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486BF" w14:textId="4DB76EEE" w:rsidR="004462A0" w:rsidRPr="00454F99" w:rsidRDefault="00615769" w:rsidP="004462A0">
      <w:pPr>
        <w:rPr>
          <w:sz w:val="22"/>
          <w:szCs w:val="22"/>
        </w:rPr>
      </w:pPr>
      <w:r w:rsidRPr="00AD2B60">
        <w:rPr>
          <w:b/>
          <w:noProof/>
          <w:szCs w:val="22"/>
        </w:rPr>
        <mc:AlternateContent>
          <mc:Choice Requires="wps">
            <w:drawing>
              <wp:anchor distT="0" distB="0" distL="114300" distR="114300" simplePos="0" relativeHeight="251668480" behindDoc="0" locked="0" layoutInCell="1" allowOverlap="1" wp14:anchorId="253E5F93" wp14:editId="64E54691">
                <wp:simplePos x="0" y="0"/>
                <wp:positionH relativeFrom="margin">
                  <wp:posOffset>-171450</wp:posOffset>
                </wp:positionH>
                <wp:positionV relativeFrom="paragraph">
                  <wp:posOffset>26670</wp:posOffset>
                </wp:positionV>
                <wp:extent cx="5772150" cy="1404620"/>
                <wp:effectExtent l="0" t="0" r="1905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04620"/>
                        </a:xfrm>
                        <a:prstGeom prst="rect">
                          <a:avLst/>
                        </a:prstGeom>
                        <a:solidFill>
                          <a:srgbClr val="FFFFFF"/>
                        </a:solidFill>
                        <a:ln w="9525">
                          <a:solidFill>
                            <a:srgbClr val="000000"/>
                          </a:solidFill>
                          <a:miter lim="800000"/>
                          <a:headEnd/>
                          <a:tailEnd/>
                        </a:ln>
                      </wps:spPr>
                      <wps:txbx>
                        <w:txbxContent>
                          <w:p w14:paraId="29F0493C" w14:textId="77777777" w:rsidR="00803B25" w:rsidRPr="00803B25" w:rsidRDefault="00615769" w:rsidP="00803B25">
                            <w:pPr>
                              <w:rPr>
                                <w:sz w:val="22"/>
                                <w:szCs w:val="22"/>
                              </w:rPr>
                            </w:pPr>
                            <w:r w:rsidRPr="00803B25">
                              <w:rPr>
                                <w:sz w:val="22"/>
                                <w:szCs w:val="22"/>
                              </w:rPr>
                              <w:t>Este documento é a informação do medicamento aprovada para Humira, tendo sido destacadas as alterações desde o procedimento anterior que afetam a informação do medicamento (EMA/N/0000249136).</w:t>
                            </w:r>
                          </w:p>
                          <w:p w14:paraId="02364C9B" w14:textId="77777777" w:rsidR="00803B25" w:rsidRPr="00803B25" w:rsidRDefault="00803B25" w:rsidP="00803B25">
                            <w:pPr>
                              <w:rPr>
                                <w:sz w:val="22"/>
                                <w:szCs w:val="22"/>
                              </w:rPr>
                            </w:pPr>
                          </w:p>
                          <w:p w14:paraId="7825868F" w14:textId="77777777" w:rsidR="00803B25" w:rsidRPr="00803B25" w:rsidRDefault="00615769" w:rsidP="00803B25">
                            <w:pPr>
                              <w:rPr>
                                <w:sz w:val="22"/>
                                <w:szCs w:val="22"/>
                              </w:rPr>
                            </w:pPr>
                            <w:r w:rsidRPr="00803B25">
                              <w:rPr>
                                <w:sz w:val="22"/>
                                <w:szCs w:val="22"/>
                              </w:rPr>
                              <w:t xml:space="preserve">Para mais informações, consultar o sítio da internet da Agência Europeia de Medicamentos: </w:t>
                            </w:r>
                            <w:hyperlink r:id="rId8" w:history="1">
                              <w:r w:rsidR="00803B25" w:rsidRPr="00803B25">
                                <w:rPr>
                                  <w:rStyle w:val="Hyperlink"/>
                                  <w:sz w:val="22"/>
                                  <w:szCs w:val="22"/>
                                </w:rPr>
                                <w:t>https://www.ema.europa.eu/en/medicines/human/EPAR/Humira</w:t>
                              </w:r>
                            </w:hyperlink>
                          </w:p>
                        </w:txbxContent>
                      </wps:txbx>
                      <wps:bodyPr rot="0" vert="horz" wrap="square" lIns="91440" tIns="45720" rIns="91440" bIns="45720" anchor="t" anchorCtr="0">
                        <a:spAutoFit/>
                      </wps:bodyPr>
                    </wps:wsp>
                  </a:graphicData>
                </a:graphic>
              </wp:anchor>
            </w:drawing>
          </mc:Choice>
          <mc:Fallback>
            <w:pict>
              <v:shapetype w14:anchorId="253E5F93" id="_x0000_t202" coordsize="21600,21600" o:spt="202" path="m,l,21600r21600,l21600,xe">
                <v:stroke joinstyle="miter"/>
                <v:path gradientshapeok="t" o:connecttype="rect"/>
              </v:shapetype>
              <v:shape id="Text Box 2" o:spid="_x0000_s1026" type="#_x0000_t202" style="position:absolute;margin-left:-13.5pt;margin-top:2.1pt;width:454.5pt;height:110.6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">
                <v:textbox style="mso-fit-shape-to-text:t">
                  <w:txbxContent>
                    <w:p w14:paraId="29F0493C" w14:textId="77777777" w:rsidR="00803B25" w:rsidRPr="00803B25" w:rsidRDefault="00615769" w:rsidP="00803B25">
                      <w:pPr>
                        <w:rPr>
                          <w:sz w:val="22"/>
                          <w:szCs w:val="22"/>
                        </w:rPr>
                      </w:pPr>
                      <w:r w:rsidRPr="00803B25">
                        <w:rPr>
                          <w:sz w:val="22"/>
                          <w:szCs w:val="22"/>
                        </w:rPr>
                        <w:t>Este documento é a informação do medicamento aprovada para Humira, tendo sido destacadas as alterações desde o procedimento anterior que afetam a informação do medicamento (EMA/N/0000249136).</w:t>
                      </w:r>
                    </w:p>
                    <w:p w14:paraId="02364C9B" w14:textId="77777777" w:rsidR="00803B25" w:rsidRPr="00803B25" w:rsidRDefault="00803B25" w:rsidP="00803B25">
                      <w:pPr>
                        <w:rPr>
                          <w:sz w:val="22"/>
                          <w:szCs w:val="22"/>
                        </w:rPr>
                      </w:pPr>
                    </w:p>
                    <w:p w14:paraId="7825868F" w14:textId="77777777" w:rsidR="00803B25" w:rsidRPr="00803B25" w:rsidRDefault="00615769" w:rsidP="00803B25">
                      <w:pPr>
                        <w:rPr>
                          <w:sz w:val="22"/>
                          <w:szCs w:val="22"/>
                        </w:rPr>
                      </w:pPr>
                      <w:r w:rsidRPr="00803B25">
                        <w:rPr>
                          <w:sz w:val="22"/>
                          <w:szCs w:val="22"/>
                        </w:rPr>
                        <w:t xml:space="preserve">Para mais informações, consultar o sítio da internet da Agência Europeia de Medicamentos: </w:t>
                      </w:r>
                      <w:hyperlink r:id="rId9" w:history="1">
                        <w:r w:rsidR="00803B25" w:rsidRPr="00803B25">
                          <w:rPr>
                            <w:rStyle w:val="Hyperlink"/>
                            <w:sz w:val="22"/>
                            <w:szCs w:val="22"/>
                          </w:rPr>
                          <w:t>https://www.ema.europa.eu/en/medicines/human/EPAR/Humira</w:t>
                        </w:r>
                      </w:hyperlink>
                    </w:p>
                  </w:txbxContent>
                </v:textbox>
                <w10:wrap type="square" anchorx="margin"/>
              </v:shape>
            </w:pict>
          </mc:Fallback>
        </mc:AlternateContent>
      </w:r>
    </w:p>
    <w:p w14:paraId="42B22FB1" w14:textId="21C99720" w:rsidR="004462A0" w:rsidRPr="00454F99" w:rsidRDefault="004462A0" w:rsidP="004462A0">
      <w:pPr>
        <w:rPr>
          <w:sz w:val="22"/>
          <w:szCs w:val="22"/>
        </w:rPr>
      </w:pPr>
    </w:p>
    <w:p w14:paraId="48DC7F21" w14:textId="77777777" w:rsidR="004462A0" w:rsidRPr="00454F99" w:rsidRDefault="004462A0" w:rsidP="004462A0">
      <w:pPr>
        <w:rPr>
          <w:sz w:val="22"/>
          <w:szCs w:val="22"/>
        </w:rPr>
      </w:pPr>
    </w:p>
    <w:p w14:paraId="4E05E90F" w14:textId="77777777" w:rsidR="004462A0" w:rsidRPr="00454F99" w:rsidRDefault="004462A0" w:rsidP="004462A0">
      <w:pPr>
        <w:rPr>
          <w:sz w:val="22"/>
          <w:szCs w:val="22"/>
        </w:rPr>
      </w:pPr>
    </w:p>
    <w:p w14:paraId="53CAB6A5" w14:textId="77777777" w:rsidR="004462A0" w:rsidRPr="00454F99" w:rsidRDefault="004462A0" w:rsidP="004462A0">
      <w:pPr>
        <w:rPr>
          <w:sz w:val="22"/>
          <w:szCs w:val="22"/>
        </w:rPr>
      </w:pPr>
    </w:p>
    <w:p w14:paraId="22CDBBBF" w14:textId="77777777" w:rsidR="004462A0" w:rsidRPr="00454F99" w:rsidRDefault="004462A0" w:rsidP="004462A0">
      <w:pPr>
        <w:rPr>
          <w:sz w:val="22"/>
          <w:szCs w:val="22"/>
        </w:rPr>
      </w:pPr>
    </w:p>
    <w:p w14:paraId="49A86621" w14:textId="77777777" w:rsidR="004462A0" w:rsidRPr="00454F99" w:rsidRDefault="004462A0" w:rsidP="004462A0">
      <w:pPr>
        <w:rPr>
          <w:sz w:val="22"/>
          <w:szCs w:val="22"/>
        </w:rPr>
      </w:pPr>
    </w:p>
    <w:p w14:paraId="5C62CE5D" w14:textId="77777777" w:rsidR="004462A0" w:rsidRPr="00454F99" w:rsidRDefault="004462A0" w:rsidP="004462A0">
      <w:pPr>
        <w:rPr>
          <w:sz w:val="22"/>
          <w:szCs w:val="22"/>
        </w:rPr>
      </w:pPr>
    </w:p>
    <w:p w14:paraId="55939F79" w14:textId="77777777" w:rsidR="004462A0" w:rsidRPr="00454F99" w:rsidRDefault="004462A0" w:rsidP="004462A0">
      <w:pPr>
        <w:rPr>
          <w:sz w:val="22"/>
          <w:szCs w:val="22"/>
        </w:rPr>
      </w:pPr>
    </w:p>
    <w:p w14:paraId="1B59CF0F" w14:textId="77777777" w:rsidR="004462A0" w:rsidRPr="00454F99" w:rsidRDefault="004462A0" w:rsidP="004462A0">
      <w:pPr>
        <w:rPr>
          <w:sz w:val="22"/>
          <w:szCs w:val="22"/>
        </w:rPr>
      </w:pPr>
    </w:p>
    <w:p w14:paraId="5F692DB7" w14:textId="77777777" w:rsidR="004462A0" w:rsidRPr="00454F99" w:rsidRDefault="004462A0" w:rsidP="004462A0">
      <w:pPr>
        <w:rPr>
          <w:sz w:val="22"/>
          <w:szCs w:val="22"/>
        </w:rPr>
      </w:pPr>
    </w:p>
    <w:p w14:paraId="610BB951" w14:textId="77777777" w:rsidR="004462A0" w:rsidRPr="00454F99" w:rsidRDefault="004462A0" w:rsidP="004462A0">
      <w:pPr>
        <w:rPr>
          <w:sz w:val="22"/>
          <w:szCs w:val="22"/>
        </w:rPr>
      </w:pPr>
    </w:p>
    <w:p w14:paraId="19D15196" w14:textId="77777777" w:rsidR="004462A0" w:rsidRPr="00454F99" w:rsidRDefault="004462A0" w:rsidP="004462A0">
      <w:pPr>
        <w:rPr>
          <w:sz w:val="22"/>
          <w:szCs w:val="22"/>
        </w:rPr>
      </w:pPr>
    </w:p>
    <w:p w14:paraId="0E33B652" w14:textId="77777777" w:rsidR="004462A0" w:rsidRPr="00454F99" w:rsidRDefault="004462A0" w:rsidP="004462A0">
      <w:pPr>
        <w:pStyle w:val="EndnoteText"/>
        <w:tabs>
          <w:tab w:val="clear" w:pos="567"/>
        </w:tabs>
        <w:rPr>
          <w:szCs w:val="22"/>
        </w:rPr>
      </w:pPr>
    </w:p>
    <w:p w14:paraId="70E61E8F" w14:textId="77777777" w:rsidR="004462A0" w:rsidRPr="00454F99" w:rsidRDefault="004462A0" w:rsidP="004462A0">
      <w:pPr>
        <w:rPr>
          <w:sz w:val="22"/>
          <w:szCs w:val="22"/>
        </w:rPr>
      </w:pPr>
    </w:p>
    <w:p w14:paraId="472F4BAF" w14:textId="77777777" w:rsidR="004462A0" w:rsidRPr="00454F99" w:rsidRDefault="004462A0" w:rsidP="004462A0">
      <w:pPr>
        <w:rPr>
          <w:sz w:val="22"/>
          <w:szCs w:val="22"/>
        </w:rPr>
      </w:pPr>
    </w:p>
    <w:p w14:paraId="7C775C9A" w14:textId="77777777" w:rsidR="004462A0" w:rsidRPr="00454F99" w:rsidRDefault="004462A0" w:rsidP="004462A0">
      <w:pPr>
        <w:pStyle w:val="EndnoteText"/>
        <w:tabs>
          <w:tab w:val="clear" w:pos="567"/>
        </w:tabs>
        <w:rPr>
          <w:szCs w:val="22"/>
        </w:rPr>
      </w:pPr>
    </w:p>
    <w:p w14:paraId="0A286C98" w14:textId="77777777" w:rsidR="004462A0" w:rsidRPr="00454F99" w:rsidRDefault="004462A0" w:rsidP="004462A0">
      <w:pPr>
        <w:rPr>
          <w:sz w:val="22"/>
          <w:szCs w:val="22"/>
        </w:rPr>
      </w:pPr>
    </w:p>
    <w:p w14:paraId="4BDAC561" w14:textId="77777777" w:rsidR="004462A0" w:rsidRPr="00454F99" w:rsidRDefault="004462A0" w:rsidP="004462A0">
      <w:pPr>
        <w:rPr>
          <w:sz w:val="22"/>
          <w:szCs w:val="22"/>
        </w:rPr>
      </w:pPr>
    </w:p>
    <w:p w14:paraId="22D302FD" w14:textId="77777777" w:rsidR="004462A0" w:rsidRPr="00454F99" w:rsidRDefault="004462A0" w:rsidP="004462A0">
      <w:pPr>
        <w:rPr>
          <w:sz w:val="22"/>
          <w:szCs w:val="22"/>
        </w:rPr>
      </w:pPr>
    </w:p>
    <w:p w14:paraId="14267B34" w14:textId="77777777" w:rsidR="004462A0" w:rsidRPr="00454F99" w:rsidRDefault="004462A0" w:rsidP="004462A0">
      <w:pPr>
        <w:rPr>
          <w:sz w:val="22"/>
          <w:szCs w:val="22"/>
        </w:rPr>
      </w:pPr>
    </w:p>
    <w:p w14:paraId="235144D2" w14:textId="77777777" w:rsidR="004462A0" w:rsidRPr="00454F99" w:rsidRDefault="004462A0" w:rsidP="004462A0">
      <w:pPr>
        <w:pStyle w:val="EndnoteText"/>
        <w:tabs>
          <w:tab w:val="clear" w:pos="567"/>
        </w:tabs>
        <w:rPr>
          <w:szCs w:val="22"/>
        </w:rPr>
      </w:pPr>
    </w:p>
    <w:p w14:paraId="7FC9F856" w14:textId="77777777" w:rsidR="004462A0" w:rsidRPr="00454F99" w:rsidRDefault="004462A0" w:rsidP="004462A0">
      <w:pPr>
        <w:jc w:val="center"/>
        <w:rPr>
          <w:b/>
          <w:sz w:val="22"/>
          <w:szCs w:val="22"/>
        </w:rPr>
      </w:pPr>
    </w:p>
    <w:p w14:paraId="02490976" w14:textId="77777777" w:rsidR="004462A0" w:rsidRPr="00454F99" w:rsidRDefault="00615769" w:rsidP="004462A0">
      <w:pPr>
        <w:jc w:val="center"/>
        <w:rPr>
          <w:b/>
          <w:sz w:val="22"/>
          <w:szCs w:val="22"/>
        </w:rPr>
      </w:pPr>
      <w:r w:rsidRPr="00454F99">
        <w:rPr>
          <w:b/>
          <w:sz w:val="22"/>
          <w:szCs w:val="22"/>
        </w:rPr>
        <w:t>ANEXO I</w:t>
      </w:r>
    </w:p>
    <w:p w14:paraId="46FC9E0D" w14:textId="77777777" w:rsidR="004462A0" w:rsidRPr="00454F99" w:rsidRDefault="004462A0" w:rsidP="004462A0">
      <w:pPr>
        <w:pStyle w:val="IndexHeading"/>
        <w:tabs>
          <w:tab w:val="clear" w:pos="567"/>
        </w:tabs>
        <w:spacing w:line="240" w:lineRule="auto"/>
        <w:rPr>
          <w:rFonts w:ascii="Times New Roman" w:hAnsi="Times New Roman"/>
          <w:szCs w:val="22"/>
          <w:lang w:val="pt-PT"/>
        </w:rPr>
      </w:pPr>
    </w:p>
    <w:p w14:paraId="64483CAD" w14:textId="77777777" w:rsidR="004462A0" w:rsidRPr="00454F99" w:rsidRDefault="00615769" w:rsidP="004462A0">
      <w:pPr>
        <w:pStyle w:val="BMCENTRED"/>
        <w:keepNext w:val="0"/>
      </w:pPr>
      <w:r w:rsidRPr="00454F99">
        <w:t>RESUMO DAS CARACTERÍSTICAS DO MEDICAMENTO</w:t>
      </w:r>
    </w:p>
    <w:p w14:paraId="424CB587" w14:textId="77777777" w:rsidR="004462A0" w:rsidRPr="00454F99" w:rsidRDefault="004462A0" w:rsidP="004462A0">
      <w:pPr>
        <w:rPr>
          <w:b/>
          <w:sz w:val="22"/>
          <w:szCs w:val="22"/>
        </w:rPr>
      </w:pPr>
    </w:p>
    <w:p w14:paraId="13DCDF7A" w14:textId="77777777" w:rsidR="004462A0" w:rsidRPr="00454F99" w:rsidRDefault="004462A0" w:rsidP="004462A0">
      <w:pPr>
        <w:rPr>
          <w:sz w:val="22"/>
          <w:szCs w:val="22"/>
        </w:rPr>
      </w:pPr>
    </w:p>
    <w:p w14:paraId="1B760039" w14:textId="77777777" w:rsidR="002F6811" w:rsidRDefault="00615769" w:rsidP="004462A0">
      <w:pPr>
        <w:ind w:left="567" w:hanging="567"/>
        <w:rPr>
          <w:sz w:val="22"/>
          <w:szCs w:val="22"/>
        </w:rPr>
      </w:pPr>
      <w:r w:rsidRPr="00454F99">
        <w:rPr>
          <w:sz w:val="22"/>
          <w:szCs w:val="22"/>
        </w:rPr>
        <w:br w:type="page"/>
      </w:r>
    </w:p>
    <w:p w14:paraId="18F34754" w14:textId="77777777" w:rsidR="002F6811" w:rsidRPr="00A7660D" w:rsidRDefault="00615769" w:rsidP="002F6811">
      <w:pPr>
        <w:ind w:left="567" w:hanging="567"/>
        <w:rPr>
          <w:sz w:val="22"/>
          <w:szCs w:val="22"/>
        </w:rPr>
      </w:pPr>
      <w:r w:rsidRPr="00A7660D">
        <w:rPr>
          <w:b/>
          <w:sz w:val="22"/>
          <w:szCs w:val="22"/>
        </w:rPr>
        <w:lastRenderedPageBreak/>
        <w:t>1.</w:t>
      </w:r>
      <w:r w:rsidRPr="00A7660D">
        <w:rPr>
          <w:b/>
          <w:sz w:val="22"/>
          <w:szCs w:val="22"/>
        </w:rPr>
        <w:tab/>
        <w:t>NOME DO MEDICAMENTO</w:t>
      </w:r>
    </w:p>
    <w:p w14:paraId="480412F8" w14:textId="77777777" w:rsidR="002F6811" w:rsidRPr="00A7660D" w:rsidRDefault="002F6811" w:rsidP="002F6811">
      <w:pPr>
        <w:rPr>
          <w:sz w:val="22"/>
          <w:szCs w:val="22"/>
        </w:rPr>
      </w:pPr>
    </w:p>
    <w:p w14:paraId="5F58896F" w14:textId="77777777" w:rsidR="002F6811" w:rsidRPr="00A7660D" w:rsidRDefault="00615769" w:rsidP="002F6811">
      <w:pPr>
        <w:rPr>
          <w:sz w:val="22"/>
          <w:szCs w:val="22"/>
        </w:rPr>
      </w:pPr>
      <w:r w:rsidRPr="00A7660D">
        <w:rPr>
          <w:sz w:val="22"/>
          <w:szCs w:val="22"/>
        </w:rPr>
        <w:t xml:space="preserve">Humira </w:t>
      </w:r>
      <w:r>
        <w:rPr>
          <w:sz w:val="22"/>
          <w:szCs w:val="22"/>
        </w:rPr>
        <w:t>2</w:t>
      </w:r>
      <w:r w:rsidRPr="00A7660D">
        <w:rPr>
          <w:sz w:val="22"/>
          <w:szCs w:val="22"/>
        </w:rPr>
        <w:t xml:space="preserve">0 mg solução injetável </w:t>
      </w:r>
      <w:r>
        <w:rPr>
          <w:sz w:val="22"/>
          <w:szCs w:val="22"/>
        </w:rPr>
        <w:t>em seringa pré-cheia</w:t>
      </w:r>
    </w:p>
    <w:p w14:paraId="629D6341" w14:textId="77777777" w:rsidR="002F6811" w:rsidRPr="00A7660D" w:rsidRDefault="002F6811" w:rsidP="002F6811">
      <w:pPr>
        <w:rPr>
          <w:sz w:val="22"/>
          <w:szCs w:val="22"/>
        </w:rPr>
      </w:pPr>
    </w:p>
    <w:p w14:paraId="4AF59F16" w14:textId="77777777" w:rsidR="002F6811" w:rsidRPr="00A7660D" w:rsidRDefault="002F6811" w:rsidP="002F6811">
      <w:pPr>
        <w:rPr>
          <w:sz w:val="22"/>
          <w:szCs w:val="22"/>
        </w:rPr>
      </w:pPr>
    </w:p>
    <w:p w14:paraId="4BE4ED1A" w14:textId="77777777" w:rsidR="002F6811" w:rsidRPr="00A7660D" w:rsidRDefault="00615769" w:rsidP="002F6811">
      <w:pPr>
        <w:ind w:left="567" w:hanging="567"/>
        <w:rPr>
          <w:sz w:val="22"/>
          <w:szCs w:val="22"/>
        </w:rPr>
      </w:pPr>
      <w:r w:rsidRPr="00A7660D">
        <w:rPr>
          <w:b/>
          <w:sz w:val="22"/>
          <w:szCs w:val="22"/>
        </w:rPr>
        <w:t>2.</w:t>
      </w:r>
      <w:r w:rsidRPr="00A7660D">
        <w:rPr>
          <w:b/>
          <w:sz w:val="22"/>
          <w:szCs w:val="22"/>
        </w:rPr>
        <w:tab/>
        <w:t>COMPOSIÇÃO QUALITATIVA E QUANTITATIVA</w:t>
      </w:r>
    </w:p>
    <w:p w14:paraId="2868DDAE" w14:textId="77777777" w:rsidR="002F6811" w:rsidRPr="00A7660D" w:rsidRDefault="002F6811" w:rsidP="002F6811">
      <w:pPr>
        <w:rPr>
          <w:i/>
          <w:sz w:val="22"/>
          <w:szCs w:val="22"/>
        </w:rPr>
      </w:pPr>
    </w:p>
    <w:p w14:paraId="5A0D30E1" w14:textId="77777777" w:rsidR="002F6811" w:rsidRPr="00A7660D" w:rsidRDefault="00615769" w:rsidP="002F6811">
      <w:pPr>
        <w:autoSpaceDE w:val="0"/>
        <w:autoSpaceDN w:val="0"/>
        <w:adjustRightInd w:val="0"/>
        <w:rPr>
          <w:sz w:val="22"/>
          <w:szCs w:val="22"/>
        </w:rPr>
      </w:pPr>
      <w:r w:rsidRPr="00A7660D">
        <w:rPr>
          <w:sz w:val="22"/>
          <w:szCs w:val="22"/>
        </w:rPr>
        <w:t xml:space="preserve">Cada </w:t>
      </w:r>
      <w:r w:rsidR="00B205BC">
        <w:rPr>
          <w:sz w:val="22"/>
          <w:szCs w:val="22"/>
        </w:rPr>
        <w:t>seringa pré-cheia</w:t>
      </w:r>
      <w:r w:rsidRPr="00A7660D">
        <w:rPr>
          <w:sz w:val="22"/>
          <w:szCs w:val="22"/>
        </w:rPr>
        <w:t xml:space="preserve"> de 0,</w:t>
      </w:r>
      <w:r w:rsidR="0032371C">
        <w:rPr>
          <w:sz w:val="22"/>
          <w:szCs w:val="22"/>
        </w:rPr>
        <w:t>2</w:t>
      </w:r>
      <w:r w:rsidRPr="00A7660D">
        <w:rPr>
          <w:sz w:val="22"/>
          <w:szCs w:val="22"/>
        </w:rPr>
        <w:t xml:space="preserve"> ml para dose única contém </w:t>
      </w:r>
      <w:r w:rsidR="0032371C">
        <w:rPr>
          <w:sz w:val="22"/>
          <w:szCs w:val="22"/>
        </w:rPr>
        <w:t>2</w:t>
      </w:r>
      <w:r w:rsidRPr="00A7660D">
        <w:rPr>
          <w:sz w:val="22"/>
          <w:szCs w:val="22"/>
        </w:rPr>
        <w:t>0 mg de adalimumab.</w:t>
      </w:r>
    </w:p>
    <w:p w14:paraId="47190B51" w14:textId="77777777" w:rsidR="002F6811" w:rsidRPr="00A7660D" w:rsidRDefault="002F6811" w:rsidP="002F6811">
      <w:pPr>
        <w:autoSpaceDE w:val="0"/>
        <w:autoSpaceDN w:val="0"/>
        <w:adjustRightInd w:val="0"/>
        <w:rPr>
          <w:sz w:val="22"/>
          <w:szCs w:val="22"/>
        </w:rPr>
      </w:pPr>
    </w:p>
    <w:p w14:paraId="26D40BA1" w14:textId="77777777" w:rsidR="002F6811" w:rsidRDefault="00615769" w:rsidP="002F6811">
      <w:pPr>
        <w:autoSpaceDE w:val="0"/>
        <w:autoSpaceDN w:val="0"/>
        <w:adjustRightInd w:val="0"/>
        <w:rPr>
          <w:ins w:id="0" w:author="AbbVie2" w:date="2025-05-13T16:30:00Z"/>
          <w:sz w:val="22"/>
          <w:szCs w:val="22"/>
        </w:rPr>
      </w:pPr>
      <w:r w:rsidRPr="00A7660D">
        <w:rPr>
          <w:sz w:val="22"/>
          <w:szCs w:val="22"/>
        </w:rPr>
        <w:t xml:space="preserve">Adalimumab é um anticorpo monoclonal humano recombinante </w:t>
      </w:r>
      <w:r w:rsidR="00D34BF5">
        <w:rPr>
          <w:sz w:val="22"/>
          <w:szCs w:val="22"/>
        </w:rPr>
        <w:t xml:space="preserve">produzido </w:t>
      </w:r>
      <w:r w:rsidRPr="00A7660D">
        <w:rPr>
          <w:sz w:val="22"/>
          <w:szCs w:val="22"/>
        </w:rPr>
        <w:t>em células de Ovário do Hamster Chinês.</w:t>
      </w:r>
    </w:p>
    <w:p w14:paraId="735133A4" w14:textId="77777777" w:rsidR="00412FC8" w:rsidRDefault="00412FC8" w:rsidP="002F6811">
      <w:pPr>
        <w:autoSpaceDE w:val="0"/>
        <w:autoSpaceDN w:val="0"/>
        <w:adjustRightInd w:val="0"/>
        <w:rPr>
          <w:ins w:id="1" w:author="AbbVie2" w:date="2025-05-13T16:30:00Z"/>
          <w:sz w:val="22"/>
          <w:szCs w:val="22"/>
        </w:rPr>
      </w:pPr>
    </w:p>
    <w:p w14:paraId="3A7CE549" w14:textId="0D213B25" w:rsidR="00412FC8" w:rsidRPr="00412FC8" w:rsidRDefault="00615769" w:rsidP="002F6811">
      <w:pPr>
        <w:autoSpaceDE w:val="0"/>
        <w:autoSpaceDN w:val="0"/>
        <w:adjustRightInd w:val="0"/>
        <w:rPr>
          <w:ins w:id="2" w:author="AbbVie2" w:date="2025-05-13T16:30:00Z"/>
          <w:sz w:val="22"/>
          <w:szCs w:val="22"/>
          <w:u w:val="single"/>
          <w:rPrChange w:id="3" w:author="AbbVie2" w:date="2025-05-13T16:31:00Z">
            <w:rPr>
              <w:ins w:id="4" w:author="AbbVie2" w:date="2025-05-13T16:30:00Z"/>
              <w:sz w:val="22"/>
              <w:szCs w:val="22"/>
            </w:rPr>
          </w:rPrChange>
        </w:rPr>
      </w:pPr>
      <w:ins w:id="5" w:author="AbbVie2" w:date="2025-05-13T16:30:00Z">
        <w:r w:rsidRPr="00412FC8">
          <w:rPr>
            <w:sz w:val="22"/>
            <w:szCs w:val="22"/>
            <w:u w:val="single"/>
            <w:rPrChange w:id="6" w:author="AbbVie2" w:date="2025-05-13T16:31:00Z">
              <w:rPr>
                <w:sz w:val="22"/>
                <w:szCs w:val="22"/>
              </w:rPr>
            </w:rPrChange>
          </w:rPr>
          <w:t>Excipientes com efeito conhecido</w:t>
        </w:r>
      </w:ins>
    </w:p>
    <w:p w14:paraId="0A7CF36D" w14:textId="77777777" w:rsidR="00412FC8" w:rsidRDefault="00412FC8" w:rsidP="002F6811">
      <w:pPr>
        <w:autoSpaceDE w:val="0"/>
        <w:autoSpaceDN w:val="0"/>
        <w:adjustRightInd w:val="0"/>
        <w:rPr>
          <w:ins w:id="7" w:author="AbbVie2" w:date="2025-05-13T16:31:00Z"/>
          <w:sz w:val="22"/>
          <w:szCs w:val="22"/>
        </w:rPr>
      </w:pPr>
    </w:p>
    <w:p w14:paraId="091B2B18" w14:textId="034D0D52" w:rsidR="00412FC8" w:rsidRPr="00A7660D" w:rsidRDefault="00615769" w:rsidP="002F6811">
      <w:pPr>
        <w:autoSpaceDE w:val="0"/>
        <w:autoSpaceDN w:val="0"/>
        <w:adjustRightInd w:val="0"/>
        <w:rPr>
          <w:sz w:val="22"/>
          <w:szCs w:val="22"/>
        </w:rPr>
      </w:pPr>
      <w:ins w:id="8" w:author="AbbVie2" w:date="2025-05-13T16:31:00Z">
        <w:r>
          <w:rPr>
            <w:sz w:val="22"/>
            <w:szCs w:val="22"/>
          </w:rPr>
          <w:t>Este medicamento contém 0,2 mg de polissorbato 80</w:t>
        </w:r>
      </w:ins>
      <w:ins w:id="9" w:author="AbbVie2" w:date="2025-05-13T16:32:00Z">
        <w:r>
          <w:rPr>
            <w:sz w:val="22"/>
            <w:szCs w:val="22"/>
          </w:rPr>
          <w:t xml:space="preserve"> em cada dose de 20 mg.</w:t>
        </w:r>
      </w:ins>
    </w:p>
    <w:p w14:paraId="2FCED3DD" w14:textId="77777777" w:rsidR="002F6811" w:rsidRPr="00A7660D" w:rsidRDefault="002F6811" w:rsidP="002F6811">
      <w:pPr>
        <w:autoSpaceDE w:val="0"/>
        <w:autoSpaceDN w:val="0"/>
        <w:adjustRightInd w:val="0"/>
        <w:rPr>
          <w:sz w:val="22"/>
          <w:szCs w:val="22"/>
        </w:rPr>
      </w:pPr>
    </w:p>
    <w:p w14:paraId="2CA29DDA" w14:textId="77777777" w:rsidR="002F6811" w:rsidRPr="00A7660D" w:rsidRDefault="00615769" w:rsidP="002F6811">
      <w:pPr>
        <w:rPr>
          <w:sz w:val="22"/>
          <w:szCs w:val="22"/>
        </w:rPr>
      </w:pPr>
      <w:r w:rsidRPr="00A7660D">
        <w:rPr>
          <w:sz w:val="22"/>
          <w:szCs w:val="22"/>
        </w:rPr>
        <w:t>Lista completa de excipientes, ver secção 6.1.</w:t>
      </w:r>
    </w:p>
    <w:p w14:paraId="758E827E" w14:textId="77777777" w:rsidR="002F6811" w:rsidRPr="00A7660D" w:rsidRDefault="002F6811" w:rsidP="002F6811">
      <w:pPr>
        <w:pStyle w:val="EndnoteText"/>
        <w:tabs>
          <w:tab w:val="clear" w:pos="567"/>
        </w:tabs>
        <w:rPr>
          <w:szCs w:val="22"/>
        </w:rPr>
      </w:pPr>
    </w:p>
    <w:p w14:paraId="773114DB" w14:textId="77777777" w:rsidR="002F6811" w:rsidRPr="00A7660D" w:rsidRDefault="002F6811" w:rsidP="002F6811">
      <w:pPr>
        <w:rPr>
          <w:sz w:val="22"/>
          <w:szCs w:val="22"/>
        </w:rPr>
      </w:pPr>
    </w:p>
    <w:p w14:paraId="30FA03C8" w14:textId="77777777" w:rsidR="002F6811" w:rsidRPr="00A7660D" w:rsidRDefault="00615769" w:rsidP="002F6811">
      <w:pPr>
        <w:ind w:left="567" w:hanging="567"/>
        <w:rPr>
          <w:b/>
          <w:caps/>
          <w:sz w:val="22"/>
          <w:szCs w:val="22"/>
          <w:highlight w:val="yellow"/>
        </w:rPr>
      </w:pPr>
      <w:r w:rsidRPr="00A7660D">
        <w:rPr>
          <w:b/>
          <w:sz w:val="22"/>
          <w:szCs w:val="22"/>
        </w:rPr>
        <w:t>3.</w:t>
      </w:r>
      <w:r w:rsidRPr="00A7660D">
        <w:rPr>
          <w:b/>
          <w:sz w:val="22"/>
          <w:szCs w:val="22"/>
        </w:rPr>
        <w:tab/>
      </w:r>
      <w:r w:rsidRPr="00A7660D">
        <w:rPr>
          <w:b/>
          <w:caps/>
          <w:sz w:val="22"/>
          <w:szCs w:val="22"/>
        </w:rPr>
        <w:t>formA FARMACÊUTICA</w:t>
      </w:r>
    </w:p>
    <w:p w14:paraId="026FCAA1" w14:textId="77777777" w:rsidR="002F6811" w:rsidRPr="00A7660D" w:rsidRDefault="002F6811" w:rsidP="002F6811">
      <w:pPr>
        <w:rPr>
          <w:b/>
          <w:caps/>
          <w:sz w:val="22"/>
          <w:szCs w:val="22"/>
        </w:rPr>
      </w:pPr>
    </w:p>
    <w:p w14:paraId="15BD3418" w14:textId="77777777" w:rsidR="002F6811" w:rsidRPr="00A7660D" w:rsidRDefault="00615769" w:rsidP="002F6811">
      <w:pPr>
        <w:rPr>
          <w:sz w:val="22"/>
          <w:szCs w:val="22"/>
        </w:rPr>
      </w:pPr>
      <w:r w:rsidRPr="00A7660D">
        <w:rPr>
          <w:sz w:val="22"/>
          <w:szCs w:val="22"/>
        </w:rPr>
        <w:t>Solução injetável.</w:t>
      </w:r>
      <w:r w:rsidR="00D34BF5">
        <w:rPr>
          <w:sz w:val="22"/>
          <w:szCs w:val="22"/>
        </w:rPr>
        <w:t xml:space="preserve"> (inje</w:t>
      </w:r>
      <w:r w:rsidR="008F48BD">
        <w:rPr>
          <w:sz w:val="22"/>
          <w:szCs w:val="22"/>
        </w:rPr>
        <w:t>tável</w:t>
      </w:r>
      <w:r w:rsidR="00D34BF5">
        <w:rPr>
          <w:sz w:val="22"/>
          <w:szCs w:val="22"/>
        </w:rPr>
        <w:t>)</w:t>
      </w:r>
    </w:p>
    <w:p w14:paraId="168439A4" w14:textId="77777777" w:rsidR="002F6811" w:rsidRPr="00A7660D" w:rsidRDefault="002F6811" w:rsidP="002F6811">
      <w:pPr>
        <w:rPr>
          <w:sz w:val="22"/>
          <w:szCs w:val="22"/>
        </w:rPr>
      </w:pPr>
    </w:p>
    <w:p w14:paraId="69A4068B" w14:textId="77777777" w:rsidR="002F6811" w:rsidRPr="00A7660D" w:rsidRDefault="00615769" w:rsidP="002F6811">
      <w:pPr>
        <w:rPr>
          <w:sz w:val="22"/>
          <w:szCs w:val="22"/>
        </w:rPr>
      </w:pPr>
      <w:r w:rsidRPr="00A7660D">
        <w:rPr>
          <w:sz w:val="22"/>
          <w:szCs w:val="22"/>
        </w:rPr>
        <w:t>Solução límpida e incolor.</w:t>
      </w:r>
    </w:p>
    <w:p w14:paraId="549BE4A7" w14:textId="77777777" w:rsidR="002F6811" w:rsidRPr="00A7660D" w:rsidRDefault="002F6811" w:rsidP="002F6811">
      <w:pPr>
        <w:pStyle w:val="EndnoteText"/>
        <w:tabs>
          <w:tab w:val="clear" w:pos="567"/>
        </w:tabs>
        <w:rPr>
          <w:szCs w:val="22"/>
        </w:rPr>
      </w:pPr>
    </w:p>
    <w:p w14:paraId="7B9FB28E" w14:textId="77777777" w:rsidR="002F6811" w:rsidRPr="00A7660D" w:rsidRDefault="002F6811" w:rsidP="002F6811">
      <w:pPr>
        <w:rPr>
          <w:sz w:val="22"/>
          <w:szCs w:val="22"/>
        </w:rPr>
      </w:pPr>
    </w:p>
    <w:p w14:paraId="3891F443" w14:textId="77777777" w:rsidR="002F6811" w:rsidRPr="00A7660D" w:rsidRDefault="00615769" w:rsidP="002F6811">
      <w:pPr>
        <w:ind w:left="567" w:hanging="567"/>
        <w:rPr>
          <w:caps/>
          <w:sz w:val="22"/>
          <w:szCs w:val="22"/>
        </w:rPr>
      </w:pPr>
      <w:r w:rsidRPr="00A7660D">
        <w:rPr>
          <w:b/>
          <w:caps/>
          <w:sz w:val="22"/>
          <w:szCs w:val="22"/>
        </w:rPr>
        <w:t>4.</w:t>
      </w:r>
      <w:r w:rsidRPr="00A7660D">
        <w:rPr>
          <w:b/>
          <w:caps/>
          <w:sz w:val="22"/>
          <w:szCs w:val="22"/>
        </w:rPr>
        <w:tab/>
        <w:t>INFORMAÇÕES CLÍNICAS</w:t>
      </w:r>
    </w:p>
    <w:p w14:paraId="52547FC9" w14:textId="77777777" w:rsidR="002F6811" w:rsidRPr="00A7660D" w:rsidRDefault="002F6811" w:rsidP="002F6811">
      <w:pPr>
        <w:rPr>
          <w:sz w:val="22"/>
          <w:szCs w:val="22"/>
        </w:rPr>
      </w:pPr>
    </w:p>
    <w:p w14:paraId="0EB72CDF" w14:textId="77777777" w:rsidR="002F6811" w:rsidRPr="00A7660D" w:rsidRDefault="00615769" w:rsidP="002F6811">
      <w:pPr>
        <w:ind w:left="567" w:hanging="567"/>
        <w:rPr>
          <w:sz w:val="22"/>
          <w:szCs w:val="22"/>
        </w:rPr>
      </w:pPr>
      <w:r w:rsidRPr="00A7660D">
        <w:rPr>
          <w:b/>
          <w:sz w:val="22"/>
          <w:szCs w:val="22"/>
        </w:rPr>
        <w:t>4.1</w:t>
      </w:r>
      <w:r w:rsidRPr="00A7660D">
        <w:rPr>
          <w:b/>
          <w:sz w:val="22"/>
          <w:szCs w:val="22"/>
        </w:rPr>
        <w:tab/>
        <w:t>Indicações terapêuticas</w:t>
      </w:r>
    </w:p>
    <w:p w14:paraId="24411B3D" w14:textId="77777777" w:rsidR="002F6811" w:rsidRPr="00A7660D" w:rsidRDefault="002F6811" w:rsidP="002F6811">
      <w:pPr>
        <w:pStyle w:val="EndnoteText"/>
        <w:tabs>
          <w:tab w:val="clear" w:pos="567"/>
        </w:tabs>
        <w:rPr>
          <w:szCs w:val="22"/>
        </w:rPr>
      </w:pPr>
    </w:p>
    <w:p w14:paraId="70BEBDC9" w14:textId="77777777" w:rsidR="002F6811" w:rsidRPr="00A7660D" w:rsidRDefault="00615769" w:rsidP="002F6811">
      <w:pPr>
        <w:pStyle w:val="BodyText2"/>
        <w:autoSpaceDE/>
        <w:autoSpaceDN/>
        <w:adjustRightInd/>
        <w:rPr>
          <w:szCs w:val="22"/>
          <w:u w:val="single"/>
        </w:rPr>
      </w:pPr>
      <w:r w:rsidRPr="00A7660D">
        <w:rPr>
          <w:szCs w:val="22"/>
          <w:u w:val="single"/>
        </w:rPr>
        <w:t>Artrite idiopática juvenil</w:t>
      </w:r>
    </w:p>
    <w:p w14:paraId="6083C4EC" w14:textId="77777777" w:rsidR="002F6811" w:rsidRPr="00A7660D" w:rsidRDefault="002F6811" w:rsidP="002F6811">
      <w:pPr>
        <w:pStyle w:val="BodyText2"/>
        <w:autoSpaceDE/>
        <w:autoSpaceDN/>
        <w:adjustRightInd/>
        <w:rPr>
          <w:szCs w:val="22"/>
          <w:u w:val="single"/>
        </w:rPr>
      </w:pPr>
    </w:p>
    <w:p w14:paraId="3A268A25" w14:textId="77777777" w:rsidR="002F6811" w:rsidRPr="00A7660D" w:rsidRDefault="00615769" w:rsidP="002F6811">
      <w:pPr>
        <w:pStyle w:val="BodyText2"/>
        <w:autoSpaceDE/>
        <w:autoSpaceDN/>
        <w:adjustRightInd/>
        <w:rPr>
          <w:szCs w:val="22"/>
        </w:rPr>
      </w:pPr>
      <w:r w:rsidRPr="00A7660D">
        <w:rPr>
          <w:i/>
          <w:szCs w:val="22"/>
        </w:rPr>
        <w:t>Artrite idiopática juvenil poliarticular</w:t>
      </w:r>
    </w:p>
    <w:p w14:paraId="738E834E" w14:textId="77777777" w:rsidR="002F6811" w:rsidRPr="00A7660D" w:rsidRDefault="002F6811" w:rsidP="002F6811">
      <w:pPr>
        <w:pStyle w:val="BodyText2"/>
        <w:autoSpaceDE/>
        <w:autoSpaceDN/>
        <w:adjustRightInd/>
        <w:rPr>
          <w:szCs w:val="22"/>
          <w:u w:val="single"/>
        </w:rPr>
      </w:pPr>
    </w:p>
    <w:p w14:paraId="3D504DAF" w14:textId="77777777" w:rsidR="002F6811" w:rsidRPr="00A7660D" w:rsidRDefault="00615769" w:rsidP="002F6811">
      <w:pPr>
        <w:pStyle w:val="BodyText2"/>
        <w:autoSpaceDE/>
        <w:autoSpaceDN/>
        <w:adjustRightInd/>
        <w:rPr>
          <w:szCs w:val="22"/>
        </w:rPr>
      </w:pPr>
      <w:r w:rsidRPr="00A7660D">
        <w:rPr>
          <w:szCs w:val="22"/>
        </w:rPr>
        <w:t>Humira em associação com metotrexato está indicado no tratamento da artrite idiopática juvenil poliarticular ativa, em doentes a partir dos 2</w:t>
      </w:r>
      <w:r>
        <w:rPr>
          <w:szCs w:val="22"/>
        </w:rPr>
        <w:t> </w:t>
      </w:r>
      <w:r w:rsidRPr="00A7660D">
        <w:rPr>
          <w:szCs w:val="22"/>
        </w:rPr>
        <w:t>anos de idade, que tiveram uma resposta inadequada a um ou mais medicamentos anti</w:t>
      </w:r>
      <w:r w:rsidR="00F96DDF">
        <w:rPr>
          <w:szCs w:val="22"/>
        </w:rPr>
        <w:t>-</w:t>
      </w:r>
      <w:r w:rsidRPr="00A7660D">
        <w:rPr>
          <w:szCs w:val="22"/>
        </w:rPr>
        <w:t>reumatismais modificadores da doença (DMARDs). Humira pode ser administrado em monoterapia em caso de intolerância a metotrexato ou quando o tratamento continuado com metotrexato não é apropriado (para a eficácia em monoterapia ver secção 5.1). Humira não foi estudado em doentes com menos de 2</w:t>
      </w:r>
      <w:r>
        <w:rPr>
          <w:szCs w:val="22"/>
        </w:rPr>
        <w:t> </w:t>
      </w:r>
      <w:r w:rsidRPr="00A7660D">
        <w:rPr>
          <w:szCs w:val="22"/>
        </w:rPr>
        <w:t>anos.</w:t>
      </w:r>
    </w:p>
    <w:p w14:paraId="4CC10046" w14:textId="77777777" w:rsidR="002F6811" w:rsidRPr="00A7660D" w:rsidRDefault="002F6811" w:rsidP="002F6811">
      <w:pPr>
        <w:pStyle w:val="BodyText2"/>
        <w:autoSpaceDE/>
        <w:autoSpaceDN/>
        <w:adjustRightInd/>
        <w:rPr>
          <w:szCs w:val="22"/>
          <w:u w:val="single"/>
        </w:rPr>
      </w:pPr>
    </w:p>
    <w:p w14:paraId="23346522" w14:textId="77777777" w:rsidR="002F6811" w:rsidRPr="00A7660D" w:rsidRDefault="00615769" w:rsidP="002F6811">
      <w:pPr>
        <w:pStyle w:val="BodyText2"/>
        <w:autoSpaceDE/>
        <w:autoSpaceDN/>
        <w:adjustRightInd/>
        <w:rPr>
          <w:szCs w:val="22"/>
        </w:rPr>
      </w:pPr>
      <w:r w:rsidRPr="00A7660D">
        <w:rPr>
          <w:i/>
          <w:szCs w:val="22"/>
        </w:rPr>
        <w:t>Artrite relacionada com entesite</w:t>
      </w:r>
    </w:p>
    <w:p w14:paraId="2C188BD1" w14:textId="77777777" w:rsidR="002F6811" w:rsidRPr="00A7660D" w:rsidRDefault="002F6811" w:rsidP="002F6811">
      <w:pPr>
        <w:pStyle w:val="BodyText2"/>
        <w:autoSpaceDE/>
        <w:autoSpaceDN/>
        <w:adjustRightInd/>
        <w:rPr>
          <w:szCs w:val="22"/>
          <w:u w:val="single"/>
        </w:rPr>
      </w:pPr>
    </w:p>
    <w:p w14:paraId="44B888D3" w14:textId="77777777" w:rsidR="002F6811" w:rsidRPr="00A7660D" w:rsidRDefault="00615769" w:rsidP="002F6811">
      <w:pPr>
        <w:pStyle w:val="BodyText2"/>
        <w:autoSpaceDE/>
        <w:autoSpaceDN/>
        <w:adjustRightInd/>
        <w:rPr>
          <w:szCs w:val="22"/>
        </w:rPr>
      </w:pPr>
      <w:r w:rsidRPr="00A7660D">
        <w:rPr>
          <w:szCs w:val="22"/>
        </w:rPr>
        <w:t>Humira está indicado no tratamento da artrite relacionada com entesite ativa em doentes com 6</w:t>
      </w:r>
      <w:r>
        <w:rPr>
          <w:szCs w:val="22"/>
        </w:rPr>
        <w:t> </w:t>
      </w:r>
      <w:r w:rsidRPr="00A7660D">
        <w:rPr>
          <w:szCs w:val="22"/>
        </w:rPr>
        <w:t>anos de idade ou mais, que tiveram uma resposta inadequada ou intolerância à terapêutica convencional (ver secção 5.1).</w:t>
      </w:r>
    </w:p>
    <w:p w14:paraId="7665CD75" w14:textId="77777777" w:rsidR="002F6811" w:rsidRPr="00A7660D" w:rsidRDefault="002F6811" w:rsidP="002F6811">
      <w:pPr>
        <w:pStyle w:val="BodyText2"/>
        <w:autoSpaceDE/>
        <w:autoSpaceDN/>
        <w:adjustRightInd/>
        <w:rPr>
          <w:szCs w:val="22"/>
        </w:rPr>
      </w:pPr>
    </w:p>
    <w:p w14:paraId="3A87F44B" w14:textId="77777777" w:rsidR="002F6811" w:rsidRPr="00A7660D" w:rsidRDefault="00615769" w:rsidP="002F6811">
      <w:pPr>
        <w:rPr>
          <w:sz w:val="22"/>
          <w:szCs w:val="22"/>
          <w:u w:val="single"/>
        </w:rPr>
      </w:pPr>
      <w:r w:rsidRPr="00A7660D">
        <w:rPr>
          <w:sz w:val="22"/>
          <w:szCs w:val="22"/>
          <w:u w:val="single"/>
        </w:rPr>
        <w:t>Psoríase pediátrica em placas</w:t>
      </w:r>
    </w:p>
    <w:p w14:paraId="0CB3C594" w14:textId="77777777" w:rsidR="002F6811" w:rsidRPr="00A7660D" w:rsidRDefault="002F6811" w:rsidP="002F6811">
      <w:pPr>
        <w:rPr>
          <w:sz w:val="22"/>
          <w:szCs w:val="22"/>
        </w:rPr>
      </w:pPr>
    </w:p>
    <w:p w14:paraId="67AF7A8E" w14:textId="77777777" w:rsidR="002F6811" w:rsidRPr="00A7660D" w:rsidRDefault="00615769" w:rsidP="002F6811">
      <w:pPr>
        <w:pStyle w:val="BodyText2"/>
        <w:autoSpaceDE/>
        <w:autoSpaceDN/>
        <w:adjustRightInd/>
        <w:rPr>
          <w:szCs w:val="22"/>
        </w:rPr>
      </w:pPr>
      <w:r w:rsidRPr="00A7660D">
        <w:rPr>
          <w:szCs w:val="22"/>
        </w:rPr>
        <w:t>Humira está indicado no tratamento da psoríase crónica em placas, grave, em crianças e adolescentes a partir dos 4</w:t>
      </w:r>
      <w:r>
        <w:rPr>
          <w:szCs w:val="22"/>
        </w:rPr>
        <w:t> </w:t>
      </w:r>
      <w:r w:rsidRPr="00A7660D">
        <w:rPr>
          <w:szCs w:val="22"/>
        </w:rPr>
        <w:t>anos de idade, que não tiveram uma resposta adequada ou quando não são candidatos a tratamento tópico e fototerapias.</w:t>
      </w:r>
    </w:p>
    <w:p w14:paraId="51FD97D7" w14:textId="77777777" w:rsidR="002F6811" w:rsidRPr="00A7660D" w:rsidRDefault="002F6811" w:rsidP="002F6811">
      <w:pPr>
        <w:pStyle w:val="BodyText2"/>
        <w:autoSpaceDE/>
        <w:autoSpaceDN/>
        <w:adjustRightInd/>
        <w:rPr>
          <w:szCs w:val="22"/>
          <w:u w:val="single"/>
        </w:rPr>
      </w:pPr>
    </w:p>
    <w:p w14:paraId="08B6EF6C" w14:textId="77777777" w:rsidR="002F6811" w:rsidRPr="00A7660D" w:rsidRDefault="00615769" w:rsidP="002F6811">
      <w:pPr>
        <w:pStyle w:val="BodyText2"/>
        <w:autoSpaceDE/>
        <w:autoSpaceDN/>
        <w:adjustRightInd/>
        <w:rPr>
          <w:szCs w:val="22"/>
          <w:u w:val="single"/>
        </w:rPr>
      </w:pPr>
      <w:r w:rsidRPr="00A7660D">
        <w:rPr>
          <w:szCs w:val="22"/>
          <w:u w:val="single"/>
        </w:rPr>
        <w:t>Doença de Crohn pediátrica</w:t>
      </w:r>
    </w:p>
    <w:p w14:paraId="6D0BAD51" w14:textId="77777777" w:rsidR="002F6811" w:rsidRPr="00A7660D" w:rsidRDefault="002F6811" w:rsidP="002F6811">
      <w:pPr>
        <w:pStyle w:val="BodyText2"/>
        <w:autoSpaceDE/>
        <w:autoSpaceDN/>
        <w:adjustRightInd/>
        <w:rPr>
          <w:szCs w:val="22"/>
        </w:rPr>
      </w:pPr>
    </w:p>
    <w:p w14:paraId="7404E745" w14:textId="77777777" w:rsidR="002F6811" w:rsidRDefault="00615769" w:rsidP="002F6811">
      <w:pPr>
        <w:pStyle w:val="BodyText2"/>
        <w:autoSpaceDE/>
        <w:autoSpaceDN/>
        <w:adjustRightInd/>
        <w:rPr>
          <w:szCs w:val="22"/>
        </w:rPr>
      </w:pPr>
      <w:r w:rsidRPr="00A7660D">
        <w:rPr>
          <w:szCs w:val="22"/>
        </w:rPr>
        <w:t xml:space="preserve">Humira está indicado no tratamento da doença de Crohn </w:t>
      </w:r>
      <w:r w:rsidRPr="008912CF">
        <w:rPr>
          <w:szCs w:val="22"/>
        </w:rPr>
        <w:t>ativa moderada a grave em doentes pediátricos (a partir dos 6</w:t>
      </w:r>
      <w:r>
        <w:rPr>
          <w:szCs w:val="22"/>
        </w:rPr>
        <w:t> </w:t>
      </w:r>
      <w:r w:rsidRPr="008912CF">
        <w:rPr>
          <w:szCs w:val="22"/>
        </w:rPr>
        <w:t xml:space="preserve">anos de idade) que tiveram uma resposta inadequada à terapêutica </w:t>
      </w:r>
      <w:r w:rsidRPr="008912CF">
        <w:rPr>
          <w:szCs w:val="22"/>
        </w:rPr>
        <w:lastRenderedPageBreak/>
        <w:t>convencional, incluindo terapêutica de nutrição primária e um corticosteroide e/ou um imunomodulador, ou que apresentam intolerância ou contraindicações a tais terapêuticas.</w:t>
      </w:r>
    </w:p>
    <w:p w14:paraId="7B29432A" w14:textId="77777777" w:rsidR="002F6811" w:rsidRDefault="002F6811" w:rsidP="002F6811">
      <w:pPr>
        <w:pStyle w:val="BodyText2"/>
        <w:autoSpaceDE/>
        <w:autoSpaceDN/>
        <w:adjustRightInd/>
        <w:rPr>
          <w:szCs w:val="22"/>
        </w:rPr>
      </w:pPr>
    </w:p>
    <w:p w14:paraId="7902A142" w14:textId="77777777" w:rsidR="002F6811" w:rsidRPr="00FF23FB" w:rsidRDefault="00615769" w:rsidP="00FC33D1">
      <w:pPr>
        <w:keepNext/>
        <w:rPr>
          <w:szCs w:val="22"/>
        </w:rPr>
      </w:pPr>
      <w:r w:rsidRPr="004D4741">
        <w:rPr>
          <w:sz w:val="22"/>
          <w:szCs w:val="22"/>
          <w:u w:val="single"/>
        </w:rPr>
        <w:t xml:space="preserve">Uveíte </w:t>
      </w:r>
      <w:r w:rsidR="008A40F5">
        <w:rPr>
          <w:sz w:val="22"/>
          <w:szCs w:val="22"/>
          <w:u w:val="single"/>
        </w:rPr>
        <w:t>p</w:t>
      </w:r>
      <w:r w:rsidRPr="004D4741">
        <w:rPr>
          <w:sz w:val="22"/>
          <w:szCs w:val="22"/>
          <w:u w:val="single"/>
        </w:rPr>
        <w:t>ediátrica</w:t>
      </w:r>
    </w:p>
    <w:p w14:paraId="74F15CAE" w14:textId="77777777" w:rsidR="002F6811" w:rsidRDefault="002F6811" w:rsidP="00FC33D1">
      <w:pPr>
        <w:keepNext/>
        <w:rPr>
          <w:szCs w:val="22"/>
        </w:rPr>
      </w:pPr>
    </w:p>
    <w:p w14:paraId="6A7D7B37" w14:textId="77777777" w:rsidR="002F6811" w:rsidRDefault="00615769" w:rsidP="00FC33D1">
      <w:pPr>
        <w:pStyle w:val="BodyText2"/>
        <w:keepNext/>
        <w:autoSpaceDE/>
        <w:autoSpaceDN/>
        <w:adjustRightInd/>
        <w:rPr>
          <w:szCs w:val="22"/>
        </w:rPr>
      </w:pPr>
      <w:r w:rsidRPr="009F0D8E">
        <w:rPr>
          <w:szCs w:val="22"/>
        </w:rPr>
        <w:t>Humira está indicado no tratamento da uveíte pediátrica não infecciosa, anterior, crónica em doentes a partir dos 2 anos de idade que tiveram uma resposta inadequada ou que são intolerantes à terapêutica convencional, ou em que a terapêutica convencional é inaprop</w:t>
      </w:r>
      <w:r w:rsidR="00AA7183">
        <w:rPr>
          <w:szCs w:val="22"/>
        </w:rPr>
        <w:t>r</w:t>
      </w:r>
      <w:r w:rsidRPr="009F0D8E">
        <w:rPr>
          <w:szCs w:val="22"/>
        </w:rPr>
        <w:t>iada</w:t>
      </w:r>
      <w:r>
        <w:rPr>
          <w:szCs w:val="22"/>
        </w:rPr>
        <w:t>.</w:t>
      </w:r>
    </w:p>
    <w:p w14:paraId="6AECDE7F" w14:textId="77777777" w:rsidR="002F6811" w:rsidRPr="008912CF" w:rsidRDefault="002F6811" w:rsidP="002F6811">
      <w:pPr>
        <w:pStyle w:val="BodyText2"/>
        <w:keepNext/>
        <w:autoSpaceDE/>
        <w:autoSpaceDN/>
        <w:adjustRightInd/>
        <w:rPr>
          <w:szCs w:val="22"/>
        </w:rPr>
      </w:pPr>
    </w:p>
    <w:p w14:paraId="1C208F19" w14:textId="77777777" w:rsidR="002F6811" w:rsidRPr="008912CF" w:rsidRDefault="00615769" w:rsidP="002F6811">
      <w:pPr>
        <w:keepNext/>
        <w:numPr>
          <w:ilvl w:val="1"/>
          <w:numId w:val="11"/>
        </w:numPr>
        <w:rPr>
          <w:b/>
          <w:sz w:val="22"/>
          <w:szCs w:val="22"/>
        </w:rPr>
      </w:pPr>
      <w:r w:rsidRPr="008912CF">
        <w:rPr>
          <w:b/>
          <w:sz w:val="22"/>
          <w:szCs w:val="22"/>
        </w:rPr>
        <w:t>Posologia e modo de administração</w:t>
      </w:r>
    </w:p>
    <w:p w14:paraId="281E675C" w14:textId="77777777" w:rsidR="002F6811" w:rsidRPr="008912CF" w:rsidRDefault="002F6811" w:rsidP="002F6811">
      <w:pPr>
        <w:keepNext/>
        <w:rPr>
          <w:b/>
          <w:sz w:val="22"/>
          <w:szCs w:val="22"/>
        </w:rPr>
      </w:pPr>
    </w:p>
    <w:p w14:paraId="316FED85" w14:textId="77777777" w:rsidR="002F6811" w:rsidRPr="008912CF" w:rsidRDefault="00615769" w:rsidP="002F6811">
      <w:pPr>
        <w:pStyle w:val="EndnoteText"/>
        <w:keepNext/>
        <w:tabs>
          <w:tab w:val="clear" w:pos="567"/>
        </w:tabs>
        <w:rPr>
          <w:szCs w:val="22"/>
        </w:rPr>
      </w:pPr>
      <w:r w:rsidRPr="008912CF">
        <w:rPr>
          <w:szCs w:val="22"/>
        </w:rPr>
        <w:t>O tratamento com Humira deve ser iniciado e supervisionado por médicos especialistas experientes no diagnóstico e tratamento das patologias para as quais Humira está indicado.</w:t>
      </w:r>
      <w:r w:rsidRPr="007B1EB2">
        <w:rPr>
          <w:szCs w:val="22"/>
        </w:rPr>
        <w:t xml:space="preserve"> </w:t>
      </w:r>
      <w:r>
        <w:rPr>
          <w:szCs w:val="22"/>
        </w:rPr>
        <w:t>Recomenda-se que os oftalmologistas consultem um destes médicos experientes antes de iniciar o tratamento com Humira (ver secção 4.4).</w:t>
      </w:r>
      <w:r w:rsidRPr="008912CF">
        <w:rPr>
          <w:szCs w:val="22"/>
        </w:rPr>
        <w:t xml:space="preserve"> Os doentes tratados com Humira devem receber o </w:t>
      </w:r>
      <w:r w:rsidR="00BE3E75">
        <w:rPr>
          <w:szCs w:val="22"/>
        </w:rPr>
        <w:t>C</w:t>
      </w:r>
      <w:r w:rsidRPr="008912CF">
        <w:rPr>
          <w:szCs w:val="22"/>
        </w:rPr>
        <w:t xml:space="preserve">artão de </w:t>
      </w:r>
      <w:r w:rsidR="00BE3E75">
        <w:rPr>
          <w:szCs w:val="22"/>
        </w:rPr>
        <w:t>S</w:t>
      </w:r>
      <w:r w:rsidRPr="008912CF">
        <w:rPr>
          <w:szCs w:val="22"/>
        </w:rPr>
        <w:t xml:space="preserve">egurança </w:t>
      </w:r>
      <w:r w:rsidR="006E6134">
        <w:rPr>
          <w:szCs w:val="22"/>
        </w:rPr>
        <w:t xml:space="preserve">do </w:t>
      </w:r>
      <w:r w:rsidR="00BE3E75">
        <w:rPr>
          <w:szCs w:val="22"/>
        </w:rPr>
        <w:t>D</w:t>
      </w:r>
      <w:r w:rsidR="006E6134">
        <w:rPr>
          <w:szCs w:val="22"/>
        </w:rPr>
        <w:t>oente</w:t>
      </w:r>
      <w:r w:rsidRPr="008912CF">
        <w:rPr>
          <w:szCs w:val="22"/>
        </w:rPr>
        <w:t>.</w:t>
      </w:r>
    </w:p>
    <w:p w14:paraId="2DF7CA87" w14:textId="77777777" w:rsidR="002F6811" w:rsidRPr="008912CF" w:rsidRDefault="002F6811" w:rsidP="002F6811">
      <w:pPr>
        <w:pStyle w:val="EndnoteText"/>
        <w:tabs>
          <w:tab w:val="clear" w:pos="567"/>
        </w:tabs>
        <w:rPr>
          <w:szCs w:val="22"/>
        </w:rPr>
      </w:pPr>
    </w:p>
    <w:p w14:paraId="16217443" w14:textId="77777777" w:rsidR="002F6811" w:rsidRPr="008912CF" w:rsidRDefault="00615769" w:rsidP="002F6811">
      <w:pPr>
        <w:pStyle w:val="EndnoteText"/>
        <w:tabs>
          <w:tab w:val="clear" w:pos="567"/>
        </w:tabs>
        <w:rPr>
          <w:szCs w:val="22"/>
        </w:rPr>
      </w:pPr>
      <w:r w:rsidRPr="008912CF">
        <w:rPr>
          <w:szCs w:val="22"/>
        </w:rPr>
        <w:t>Após receberem um treino adequado sobre a técnica de injeção, os doentes podem autoinjetar Humira se o médico assistente achar apropriado e sob acompanhamento médico, conforme necessário.</w:t>
      </w:r>
    </w:p>
    <w:p w14:paraId="1C75F24D" w14:textId="77777777" w:rsidR="002F6811" w:rsidRDefault="002F6811" w:rsidP="002F6811">
      <w:pPr>
        <w:rPr>
          <w:sz w:val="22"/>
          <w:szCs w:val="22"/>
        </w:rPr>
      </w:pPr>
    </w:p>
    <w:p w14:paraId="73DD4425" w14:textId="77777777" w:rsidR="00E7293F" w:rsidRPr="008912CF" w:rsidRDefault="00615769" w:rsidP="00E7293F">
      <w:pPr>
        <w:rPr>
          <w:sz w:val="22"/>
          <w:szCs w:val="22"/>
        </w:rPr>
      </w:pPr>
      <w:r w:rsidRPr="008912CF">
        <w:rPr>
          <w:sz w:val="22"/>
          <w:szCs w:val="22"/>
        </w:rPr>
        <w:t>Durante o tratamento com Humira, a utilização de outras terapêuticas concomitantes (como por exemplo corticosteroides e/ou agentes imunomoduladores) deverá ser otimizada.</w:t>
      </w:r>
    </w:p>
    <w:p w14:paraId="0A8C26EC" w14:textId="77777777" w:rsidR="00C22168" w:rsidRPr="008912CF" w:rsidRDefault="00C22168" w:rsidP="002F6811">
      <w:pPr>
        <w:rPr>
          <w:sz w:val="22"/>
          <w:szCs w:val="22"/>
        </w:rPr>
      </w:pPr>
    </w:p>
    <w:p w14:paraId="3DBDD95E" w14:textId="77777777" w:rsidR="002F6811" w:rsidRPr="008912CF" w:rsidRDefault="00615769" w:rsidP="002F6811">
      <w:pPr>
        <w:rPr>
          <w:sz w:val="22"/>
          <w:szCs w:val="22"/>
          <w:u w:val="single"/>
        </w:rPr>
      </w:pPr>
      <w:r w:rsidRPr="008912CF">
        <w:rPr>
          <w:sz w:val="22"/>
          <w:szCs w:val="22"/>
          <w:u w:val="single"/>
        </w:rPr>
        <w:t>Posologia</w:t>
      </w:r>
    </w:p>
    <w:p w14:paraId="3748B661" w14:textId="77777777" w:rsidR="002F6811" w:rsidRPr="008912CF" w:rsidRDefault="002F6811" w:rsidP="002F6811">
      <w:pPr>
        <w:rPr>
          <w:sz w:val="22"/>
          <w:szCs w:val="22"/>
        </w:rPr>
      </w:pPr>
    </w:p>
    <w:p w14:paraId="7B8968CC" w14:textId="77777777" w:rsidR="002F6811" w:rsidRPr="008912CF" w:rsidRDefault="00615769" w:rsidP="002F6811">
      <w:pPr>
        <w:pStyle w:val="BodyText2"/>
        <w:autoSpaceDE/>
        <w:autoSpaceDN/>
        <w:adjustRightInd/>
        <w:rPr>
          <w:szCs w:val="22"/>
          <w:u w:val="single"/>
        </w:rPr>
      </w:pPr>
      <w:r w:rsidRPr="008912CF">
        <w:rPr>
          <w:szCs w:val="22"/>
          <w:u w:val="single"/>
        </w:rPr>
        <w:t>População pediátrica</w:t>
      </w:r>
    </w:p>
    <w:p w14:paraId="618657D6" w14:textId="77777777" w:rsidR="002F6811" w:rsidRPr="008912CF" w:rsidRDefault="002F6811" w:rsidP="002F6811">
      <w:pPr>
        <w:pStyle w:val="BodyText2"/>
        <w:autoSpaceDE/>
        <w:autoSpaceDN/>
        <w:adjustRightInd/>
        <w:rPr>
          <w:szCs w:val="22"/>
          <w:u w:val="single"/>
        </w:rPr>
      </w:pPr>
    </w:p>
    <w:p w14:paraId="79E4A526" w14:textId="77777777" w:rsidR="002F6811" w:rsidRPr="008912CF" w:rsidRDefault="00615769" w:rsidP="002F6811">
      <w:pPr>
        <w:pStyle w:val="BodyText2"/>
        <w:autoSpaceDE/>
        <w:autoSpaceDN/>
        <w:adjustRightInd/>
        <w:rPr>
          <w:szCs w:val="22"/>
        </w:rPr>
      </w:pPr>
      <w:r w:rsidRPr="008912CF">
        <w:rPr>
          <w:i/>
          <w:szCs w:val="22"/>
        </w:rPr>
        <w:t>Artrite idiopática juvenil</w:t>
      </w:r>
    </w:p>
    <w:p w14:paraId="53A09F09" w14:textId="77777777" w:rsidR="002F6811" w:rsidRPr="008912CF" w:rsidRDefault="002F6811" w:rsidP="002F6811">
      <w:pPr>
        <w:pStyle w:val="BodyText2"/>
        <w:autoSpaceDE/>
        <w:autoSpaceDN/>
        <w:adjustRightInd/>
        <w:rPr>
          <w:i/>
          <w:szCs w:val="22"/>
          <w:u w:val="single"/>
        </w:rPr>
      </w:pPr>
    </w:p>
    <w:p w14:paraId="5401FC67" w14:textId="77777777" w:rsidR="002F6811" w:rsidRPr="008912CF" w:rsidRDefault="00615769" w:rsidP="002F6811">
      <w:pPr>
        <w:pStyle w:val="BodyText2"/>
        <w:autoSpaceDE/>
        <w:autoSpaceDN/>
        <w:adjustRightInd/>
        <w:rPr>
          <w:i/>
          <w:szCs w:val="22"/>
          <w:u w:val="single"/>
        </w:rPr>
      </w:pPr>
      <w:r w:rsidRPr="008912CF">
        <w:rPr>
          <w:i/>
          <w:szCs w:val="22"/>
          <w:u w:val="single"/>
        </w:rPr>
        <w:t xml:space="preserve">Artrite idiopática juvenil poliarticular </w:t>
      </w:r>
      <w:r w:rsidR="00E7293F">
        <w:rPr>
          <w:i/>
          <w:szCs w:val="22"/>
          <w:u w:val="single"/>
        </w:rPr>
        <w:t>a partir dos</w:t>
      </w:r>
      <w:r w:rsidRPr="008912CF">
        <w:rPr>
          <w:i/>
          <w:szCs w:val="22"/>
          <w:u w:val="single"/>
        </w:rPr>
        <w:t xml:space="preserve"> 2 </w:t>
      </w:r>
      <w:r w:rsidR="00E7293F">
        <w:rPr>
          <w:i/>
          <w:szCs w:val="22"/>
          <w:u w:val="single"/>
        </w:rPr>
        <w:t>a</w:t>
      </w:r>
      <w:r w:rsidRPr="008912CF">
        <w:rPr>
          <w:i/>
          <w:szCs w:val="22"/>
          <w:u w:val="single"/>
        </w:rPr>
        <w:t>nos de idade</w:t>
      </w:r>
    </w:p>
    <w:p w14:paraId="6B3CD6FA" w14:textId="77777777" w:rsidR="002F6811" w:rsidRPr="008912CF" w:rsidRDefault="002F6811" w:rsidP="002F6811">
      <w:pPr>
        <w:pStyle w:val="BodyText2"/>
        <w:autoSpaceDE/>
        <w:autoSpaceDN/>
        <w:adjustRightInd/>
        <w:rPr>
          <w:szCs w:val="22"/>
        </w:rPr>
      </w:pPr>
    </w:p>
    <w:p w14:paraId="181033AD" w14:textId="77777777" w:rsidR="002F6811" w:rsidRPr="008912CF" w:rsidRDefault="00615769" w:rsidP="002F6811">
      <w:pPr>
        <w:pStyle w:val="BodyText2"/>
        <w:autoSpaceDE/>
        <w:autoSpaceDN/>
        <w:adjustRightInd/>
        <w:rPr>
          <w:szCs w:val="22"/>
        </w:rPr>
      </w:pPr>
      <w:r w:rsidRPr="008912CF">
        <w:rPr>
          <w:szCs w:val="22"/>
        </w:rPr>
        <w:t xml:space="preserve">A dose recomendada de Humira </w:t>
      </w:r>
      <w:r w:rsidR="00D62E4B">
        <w:rPr>
          <w:szCs w:val="22"/>
        </w:rPr>
        <w:t xml:space="preserve">em </w:t>
      </w:r>
      <w:r w:rsidRPr="008912CF">
        <w:rPr>
          <w:szCs w:val="22"/>
        </w:rPr>
        <w:t xml:space="preserve">doentes com artrite idiopática juvenil poliarticular, </w:t>
      </w:r>
      <w:r w:rsidR="00E7293F">
        <w:rPr>
          <w:szCs w:val="22"/>
        </w:rPr>
        <w:t>a partir dos 2 anos de idade</w:t>
      </w:r>
      <w:r w:rsidRPr="008912CF">
        <w:rPr>
          <w:szCs w:val="22"/>
        </w:rPr>
        <w:t xml:space="preserve">, é </w:t>
      </w:r>
      <w:r w:rsidR="00BD5315">
        <w:rPr>
          <w:szCs w:val="22"/>
        </w:rPr>
        <w:t xml:space="preserve">baseada no peso corporal (Tabela 1). Humira é </w:t>
      </w:r>
      <w:r w:rsidRPr="008912CF">
        <w:rPr>
          <w:szCs w:val="22"/>
        </w:rPr>
        <w:t>administrad</w:t>
      </w:r>
      <w:r w:rsidR="00BD5315">
        <w:rPr>
          <w:szCs w:val="22"/>
        </w:rPr>
        <w:t xml:space="preserve">o </w:t>
      </w:r>
      <w:r w:rsidRPr="008912CF">
        <w:rPr>
          <w:szCs w:val="22"/>
        </w:rPr>
        <w:t xml:space="preserve">em semanas alternadas, por injeção subcutânea. </w:t>
      </w:r>
      <w:r w:rsidR="00BD5315">
        <w:rPr>
          <w:szCs w:val="22"/>
        </w:rPr>
        <w:t xml:space="preserve"> </w:t>
      </w:r>
    </w:p>
    <w:p w14:paraId="409B3B41" w14:textId="77777777" w:rsidR="002F6811" w:rsidRPr="008912CF" w:rsidRDefault="002F6811" w:rsidP="002F6811">
      <w:pPr>
        <w:pStyle w:val="BodyText2"/>
        <w:autoSpaceDE/>
        <w:autoSpaceDN/>
        <w:adjustRightInd/>
        <w:rPr>
          <w:szCs w:val="22"/>
        </w:rPr>
      </w:pPr>
    </w:p>
    <w:p w14:paraId="1E3D0A6D" w14:textId="77777777" w:rsidR="002F6811" w:rsidRPr="008912CF" w:rsidRDefault="00615769" w:rsidP="002F6811">
      <w:pPr>
        <w:pStyle w:val="BodyText2"/>
        <w:autoSpaceDE/>
        <w:autoSpaceDN/>
        <w:adjustRightInd/>
        <w:jc w:val="center"/>
        <w:rPr>
          <w:b/>
          <w:szCs w:val="22"/>
        </w:rPr>
      </w:pPr>
      <w:r w:rsidRPr="008912CF">
        <w:rPr>
          <w:b/>
          <w:szCs w:val="22"/>
        </w:rPr>
        <w:t xml:space="preserve">Tabela 1. Dose de Humira </w:t>
      </w:r>
      <w:r w:rsidR="00D62E4B">
        <w:rPr>
          <w:b/>
          <w:szCs w:val="22"/>
        </w:rPr>
        <w:t>em</w:t>
      </w:r>
      <w:r w:rsidRPr="008912CF">
        <w:rPr>
          <w:b/>
          <w:szCs w:val="22"/>
        </w:rPr>
        <w:t xml:space="preserve"> Doentes com Artrite Idiopática Juvenil Poliarticular </w:t>
      </w:r>
    </w:p>
    <w:p w14:paraId="26C5BAF6" w14:textId="77777777" w:rsidR="002F6811" w:rsidRPr="008912CF" w:rsidRDefault="002F6811" w:rsidP="002F6811">
      <w:pPr>
        <w:rPr>
          <w:sz w:val="22"/>
          <w:szCs w:val="22"/>
        </w:rPr>
      </w:pPr>
    </w:p>
    <w:tbl>
      <w:tblPr>
        <w:tblW w:w="6795" w:type="dxa"/>
        <w:jc w:val="center"/>
        <w:tblLayout w:type="fixed"/>
        <w:tblLook w:val="0000" w:firstRow="0" w:lastRow="0" w:firstColumn="0" w:lastColumn="0" w:noHBand="0" w:noVBand="0"/>
      </w:tblPr>
      <w:tblGrid>
        <w:gridCol w:w="3401"/>
        <w:gridCol w:w="3394"/>
      </w:tblGrid>
      <w:tr w:rsidR="00A7162A" w14:paraId="258BD5F6" w14:textId="77777777" w:rsidTr="00CD5952">
        <w:trPr>
          <w:tblHeader/>
          <w:jc w:val="center"/>
        </w:trPr>
        <w:tc>
          <w:tcPr>
            <w:tcW w:w="3401" w:type="dxa"/>
            <w:tcBorders>
              <w:top w:val="single" w:sz="4" w:space="0" w:color="auto"/>
              <w:bottom w:val="single" w:sz="4" w:space="0" w:color="auto"/>
            </w:tcBorders>
          </w:tcPr>
          <w:p w14:paraId="0AA22E29" w14:textId="77777777" w:rsidR="0007777F" w:rsidRPr="0007777F" w:rsidRDefault="00615769">
            <w:pPr>
              <w:keepNext/>
              <w:spacing w:before="40" w:after="40" w:line="240" w:lineRule="exact"/>
              <w:jc w:val="center"/>
              <w:rPr>
                <w:rFonts w:eastAsia="Calibri"/>
                <w:b/>
                <w:sz w:val="22"/>
                <w:szCs w:val="22"/>
                <w:lang w:val="en-US" w:eastAsia="ja-JP"/>
              </w:rPr>
            </w:pPr>
            <w:r>
              <w:rPr>
                <w:rFonts w:eastAsia="Calibri"/>
                <w:b/>
                <w:sz w:val="22"/>
                <w:szCs w:val="22"/>
                <w:lang w:val="en-US" w:eastAsia="ja-JP"/>
              </w:rPr>
              <w:t>Peso do Doente</w:t>
            </w:r>
          </w:p>
        </w:tc>
        <w:tc>
          <w:tcPr>
            <w:tcW w:w="3394" w:type="dxa"/>
            <w:tcBorders>
              <w:top w:val="single" w:sz="4" w:space="0" w:color="auto"/>
              <w:bottom w:val="single" w:sz="4" w:space="0" w:color="auto"/>
            </w:tcBorders>
          </w:tcPr>
          <w:p w14:paraId="0AD1969E" w14:textId="77777777" w:rsidR="0007777F" w:rsidRPr="0007777F" w:rsidRDefault="00615769">
            <w:pPr>
              <w:keepNext/>
              <w:spacing w:before="40" w:after="40" w:line="240" w:lineRule="exact"/>
              <w:jc w:val="center"/>
              <w:rPr>
                <w:rFonts w:eastAsia="Calibri"/>
                <w:b/>
                <w:sz w:val="22"/>
                <w:szCs w:val="22"/>
                <w:lang w:val="en-US" w:eastAsia="ja-JP"/>
              </w:rPr>
            </w:pPr>
            <w:r>
              <w:rPr>
                <w:rFonts w:eastAsia="Calibri"/>
                <w:b/>
                <w:sz w:val="22"/>
                <w:szCs w:val="22"/>
                <w:lang w:val="en-US" w:eastAsia="ja-JP"/>
              </w:rPr>
              <w:t xml:space="preserve">Regime </w:t>
            </w:r>
            <w:r w:rsidR="00C00E3F">
              <w:rPr>
                <w:rFonts w:eastAsia="Calibri"/>
                <w:b/>
                <w:sz w:val="22"/>
                <w:szCs w:val="22"/>
                <w:lang w:val="en-US" w:eastAsia="ja-JP"/>
              </w:rPr>
              <w:t xml:space="preserve">Posológico </w:t>
            </w:r>
          </w:p>
        </w:tc>
      </w:tr>
      <w:tr w:rsidR="00A7162A" w14:paraId="022E4DDA" w14:textId="77777777" w:rsidTr="00CD5952">
        <w:trPr>
          <w:tblHeader/>
          <w:jc w:val="center"/>
        </w:trPr>
        <w:tc>
          <w:tcPr>
            <w:tcW w:w="3401" w:type="dxa"/>
            <w:tcBorders>
              <w:top w:val="single" w:sz="4" w:space="0" w:color="auto"/>
              <w:bottom w:val="single" w:sz="4" w:space="0" w:color="auto"/>
            </w:tcBorders>
          </w:tcPr>
          <w:p w14:paraId="009BF871" w14:textId="77777777" w:rsidR="0007777F" w:rsidRPr="0007777F" w:rsidRDefault="00615769" w:rsidP="0007777F">
            <w:pPr>
              <w:keepNext/>
              <w:spacing w:before="40" w:after="40" w:line="240" w:lineRule="exact"/>
              <w:jc w:val="center"/>
              <w:rPr>
                <w:rFonts w:eastAsia="Calibri"/>
                <w:b/>
                <w:sz w:val="22"/>
                <w:szCs w:val="22"/>
                <w:lang w:val="en-US" w:eastAsia="ja-JP"/>
              </w:rPr>
            </w:pPr>
            <w:r>
              <w:rPr>
                <w:rFonts w:eastAsia="Calibri"/>
                <w:sz w:val="22"/>
                <w:szCs w:val="22"/>
                <w:lang w:val="en-US" w:eastAsia="ja-JP"/>
              </w:rPr>
              <w:t>10 kg até</w:t>
            </w:r>
            <w:r w:rsidRPr="0007777F">
              <w:rPr>
                <w:rFonts w:eastAsia="Calibri"/>
                <w:sz w:val="22"/>
                <w:szCs w:val="22"/>
                <w:lang w:val="en-US" w:eastAsia="ja-JP"/>
              </w:rPr>
              <w:t xml:space="preserve"> &lt; 30 kg</w:t>
            </w:r>
          </w:p>
        </w:tc>
        <w:tc>
          <w:tcPr>
            <w:tcW w:w="3394" w:type="dxa"/>
            <w:tcBorders>
              <w:top w:val="single" w:sz="4" w:space="0" w:color="auto"/>
              <w:bottom w:val="single" w:sz="4" w:space="0" w:color="auto"/>
            </w:tcBorders>
          </w:tcPr>
          <w:p w14:paraId="7A96B1C2" w14:textId="77777777" w:rsidR="0007777F" w:rsidRPr="0007777F" w:rsidRDefault="00615769">
            <w:pPr>
              <w:keepNext/>
              <w:spacing w:before="40" w:after="40" w:line="240" w:lineRule="exact"/>
              <w:jc w:val="center"/>
              <w:rPr>
                <w:rFonts w:eastAsia="Calibri"/>
                <w:b/>
                <w:sz w:val="22"/>
                <w:szCs w:val="22"/>
                <w:lang w:val="en-US" w:eastAsia="ja-JP"/>
              </w:rPr>
            </w:pPr>
            <w:r w:rsidRPr="0007777F">
              <w:rPr>
                <w:rFonts w:eastAsia="Calibri"/>
                <w:sz w:val="22"/>
                <w:szCs w:val="22"/>
                <w:lang w:val="en-US" w:eastAsia="ja-JP"/>
              </w:rPr>
              <w:t xml:space="preserve">20 mg </w:t>
            </w:r>
            <w:r w:rsidR="00CD5952">
              <w:rPr>
                <w:rFonts w:eastAsia="Calibri"/>
                <w:sz w:val="22"/>
                <w:szCs w:val="22"/>
                <w:lang w:val="en-US" w:eastAsia="ja-JP"/>
              </w:rPr>
              <w:t>em semanas alternadas</w:t>
            </w:r>
          </w:p>
        </w:tc>
      </w:tr>
      <w:tr w:rsidR="00A7162A" w14:paraId="53EEADCC" w14:textId="77777777" w:rsidTr="00CD5952">
        <w:trPr>
          <w:tblHeader/>
          <w:jc w:val="center"/>
        </w:trPr>
        <w:tc>
          <w:tcPr>
            <w:tcW w:w="3401" w:type="dxa"/>
            <w:tcBorders>
              <w:top w:val="single" w:sz="4" w:space="0" w:color="auto"/>
              <w:bottom w:val="single" w:sz="4" w:space="0" w:color="auto"/>
            </w:tcBorders>
          </w:tcPr>
          <w:p w14:paraId="456D5247" w14:textId="77777777" w:rsidR="0007777F" w:rsidRPr="0007777F" w:rsidRDefault="00615769" w:rsidP="0007777F">
            <w:pPr>
              <w:keepNext/>
              <w:spacing w:before="40" w:after="40" w:line="240" w:lineRule="exact"/>
              <w:jc w:val="center"/>
              <w:rPr>
                <w:rFonts w:eastAsia="Calibri"/>
                <w:b/>
                <w:sz w:val="22"/>
                <w:szCs w:val="22"/>
                <w:lang w:val="en-US" w:eastAsia="ja-JP"/>
              </w:rPr>
            </w:pPr>
            <w:r w:rsidRPr="0007777F">
              <w:rPr>
                <w:rFonts w:eastAsia="Calibri"/>
                <w:sz w:val="22"/>
                <w:szCs w:val="22"/>
                <w:lang w:val="en-US" w:eastAsia="ja-JP"/>
              </w:rPr>
              <w:t>≥ 30 kg</w:t>
            </w:r>
          </w:p>
        </w:tc>
        <w:tc>
          <w:tcPr>
            <w:tcW w:w="3394" w:type="dxa"/>
            <w:tcBorders>
              <w:top w:val="single" w:sz="4" w:space="0" w:color="auto"/>
              <w:bottom w:val="single" w:sz="4" w:space="0" w:color="auto"/>
            </w:tcBorders>
          </w:tcPr>
          <w:p w14:paraId="0DFA3C79" w14:textId="77777777" w:rsidR="0007777F" w:rsidRPr="0007777F" w:rsidRDefault="00615769">
            <w:pPr>
              <w:keepNext/>
              <w:spacing w:before="40" w:after="40" w:line="240" w:lineRule="exact"/>
              <w:jc w:val="center"/>
              <w:rPr>
                <w:rFonts w:eastAsia="Calibri"/>
                <w:b/>
                <w:sz w:val="22"/>
                <w:szCs w:val="22"/>
                <w:lang w:val="en-US" w:eastAsia="ja-JP"/>
              </w:rPr>
            </w:pPr>
            <w:r w:rsidRPr="0007777F">
              <w:rPr>
                <w:rFonts w:eastAsia="Calibri"/>
                <w:sz w:val="22"/>
                <w:szCs w:val="22"/>
                <w:lang w:val="en-US" w:eastAsia="ja-JP"/>
              </w:rPr>
              <w:t xml:space="preserve">40 mg </w:t>
            </w:r>
            <w:r w:rsidR="00CD5952">
              <w:rPr>
                <w:rFonts w:eastAsia="Calibri"/>
                <w:sz w:val="22"/>
                <w:szCs w:val="22"/>
                <w:lang w:val="en-US" w:eastAsia="ja-JP"/>
              </w:rPr>
              <w:t>em semanas alternadas</w:t>
            </w:r>
          </w:p>
        </w:tc>
      </w:tr>
    </w:tbl>
    <w:p w14:paraId="068E3BA9" w14:textId="77777777" w:rsidR="002F6811" w:rsidRDefault="002F6811" w:rsidP="002F6811">
      <w:pPr>
        <w:pStyle w:val="BodyText2"/>
        <w:autoSpaceDE/>
        <w:autoSpaceDN/>
        <w:adjustRightInd/>
        <w:rPr>
          <w:szCs w:val="22"/>
        </w:rPr>
      </w:pPr>
    </w:p>
    <w:p w14:paraId="19937FFD" w14:textId="77777777" w:rsidR="002F6811" w:rsidRPr="008912CF" w:rsidRDefault="00615769" w:rsidP="002F6811">
      <w:pPr>
        <w:pStyle w:val="BodyText2"/>
        <w:autoSpaceDE/>
        <w:autoSpaceDN/>
        <w:adjustRightInd/>
        <w:rPr>
          <w:szCs w:val="22"/>
          <w:u w:val="single"/>
        </w:rPr>
      </w:pPr>
      <w:r w:rsidRPr="008912CF">
        <w:rPr>
          <w:szCs w:val="22"/>
        </w:rPr>
        <w:t>Dados disponíveis sugerem que a resposta clínica é geralmente atingida após 12</w:t>
      </w:r>
      <w:r>
        <w:rPr>
          <w:szCs w:val="22"/>
        </w:rPr>
        <w:t> </w:t>
      </w:r>
      <w:r w:rsidRPr="008912CF">
        <w:rPr>
          <w:szCs w:val="22"/>
        </w:rPr>
        <w:t>semanas de tratamento. Uma terapêutica continuada deve ser cuidadosamente reconsiderada em doentes que não responderam dentro deste período de tempo.</w:t>
      </w:r>
    </w:p>
    <w:p w14:paraId="4AA1CC39" w14:textId="77777777" w:rsidR="002F6811" w:rsidRPr="008912CF" w:rsidRDefault="002F6811" w:rsidP="002F6811">
      <w:pPr>
        <w:rPr>
          <w:sz w:val="22"/>
          <w:szCs w:val="22"/>
        </w:rPr>
      </w:pPr>
    </w:p>
    <w:p w14:paraId="3C249334" w14:textId="77777777" w:rsidR="002F6811" w:rsidRPr="008912CF" w:rsidRDefault="00615769" w:rsidP="002F6811">
      <w:pPr>
        <w:rPr>
          <w:sz w:val="22"/>
          <w:szCs w:val="22"/>
        </w:rPr>
      </w:pPr>
      <w:r w:rsidRPr="008912CF">
        <w:rPr>
          <w:sz w:val="22"/>
          <w:szCs w:val="22"/>
        </w:rPr>
        <w:t>Não existe utilização relevante de Humira em doentes com menos de 2</w:t>
      </w:r>
      <w:r>
        <w:rPr>
          <w:sz w:val="22"/>
          <w:szCs w:val="22"/>
        </w:rPr>
        <w:t> </w:t>
      </w:r>
      <w:r w:rsidRPr="008912CF">
        <w:rPr>
          <w:sz w:val="22"/>
          <w:szCs w:val="22"/>
        </w:rPr>
        <w:t>anos, para esta indicação.</w:t>
      </w:r>
    </w:p>
    <w:p w14:paraId="62300C54" w14:textId="77777777" w:rsidR="002F6811" w:rsidRDefault="002F6811" w:rsidP="002F6811">
      <w:pPr>
        <w:pStyle w:val="BodyText2"/>
        <w:autoSpaceDE/>
        <w:autoSpaceDN/>
        <w:adjustRightInd/>
        <w:rPr>
          <w:szCs w:val="22"/>
          <w:u w:val="single"/>
        </w:rPr>
      </w:pPr>
    </w:p>
    <w:p w14:paraId="6855D592" w14:textId="77777777" w:rsidR="004176CD" w:rsidRPr="008912CF" w:rsidRDefault="00615769" w:rsidP="004176CD">
      <w:pPr>
        <w:pStyle w:val="BodyText2"/>
        <w:autoSpaceDE/>
        <w:autoSpaceDN/>
        <w:adjustRightInd/>
        <w:rPr>
          <w:szCs w:val="22"/>
        </w:rPr>
      </w:pPr>
      <w:r>
        <w:rPr>
          <w:szCs w:val="22"/>
        </w:rPr>
        <w:t xml:space="preserve">Humira </w:t>
      </w:r>
      <w:r w:rsidR="00CD6D57">
        <w:rPr>
          <w:szCs w:val="22"/>
        </w:rPr>
        <w:t>pode estar</w:t>
      </w:r>
      <w:r>
        <w:rPr>
          <w:szCs w:val="22"/>
        </w:rPr>
        <w:t xml:space="preserve"> disponível em outras dosagens e/ou apresentações dependendo das necessidades de cada doente. </w:t>
      </w:r>
    </w:p>
    <w:p w14:paraId="3FEF20D3" w14:textId="77777777" w:rsidR="004176CD" w:rsidRPr="008912CF" w:rsidRDefault="004176CD" w:rsidP="002F6811">
      <w:pPr>
        <w:pStyle w:val="BodyText2"/>
        <w:autoSpaceDE/>
        <w:autoSpaceDN/>
        <w:adjustRightInd/>
        <w:rPr>
          <w:szCs w:val="22"/>
          <w:u w:val="single"/>
        </w:rPr>
      </w:pPr>
    </w:p>
    <w:p w14:paraId="53CB0FE0" w14:textId="77777777" w:rsidR="002F6811" w:rsidRPr="008912CF" w:rsidRDefault="00615769" w:rsidP="002F6811">
      <w:pPr>
        <w:pStyle w:val="BodyText2"/>
        <w:keepNext/>
        <w:autoSpaceDE/>
        <w:autoSpaceDN/>
        <w:adjustRightInd/>
        <w:rPr>
          <w:i/>
          <w:szCs w:val="22"/>
          <w:u w:val="single"/>
        </w:rPr>
      </w:pPr>
      <w:r w:rsidRPr="008912CF">
        <w:rPr>
          <w:i/>
          <w:szCs w:val="22"/>
          <w:u w:val="single"/>
        </w:rPr>
        <w:t>Artrite relacionada com entesite</w:t>
      </w:r>
    </w:p>
    <w:p w14:paraId="302CDA52" w14:textId="77777777" w:rsidR="002F6811" w:rsidRPr="008912CF" w:rsidRDefault="002F6811" w:rsidP="002F6811">
      <w:pPr>
        <w:pStyle w:val="BodyText2"/>
        <w:keepNext/>
        <w:autoSpaceDE/>
        <w:autoSpaceDN/>
        <w:adjustRightInd/>
        <w:rPr>
          <w:i/>
          <w:szCs w:val="22"/>
          <w:u w:val="single"/>
        </w:rPr>
      </w:pPr>
    </w:p>
    <w:p w14:paraId="43C03C61" w14:textId="77777777" w:rsidR="00CD5952" w:rsidRPr="008912CF" w:rsidRDefault="00615769" w:rsidP="00CD5952">
      <w:pPr>
        <w:pStyle w:val="BodyText2"/>
        <w:autoSpaceDE/>
        <w:autoSpaceDN/>
        <w:adjustRightInd/>
        <w:rPr>
          <w:szCs w:val="22"/>
        </w:rPr>
      </w:pPr>
      <w:r w:rsidRPr="008912CF">
        <w:rPr>
          <w:szCs w:val="22"/>
        </w:rPr>
        <w:t xml:space="preserve">A dose de Humira recomendada </w:t>
      </w:r>
      <w:r w:rsidR="00D62E4B">
        <w:rPr>
          <w:szCs w:val="22"/>
        </w:rPr>
        <w:t xml:space="preserve">em </w:t>
      </w:r>
      <w:r w:rsidRPr="008912CF">
        <w:rPr>
          <w:szCs w:val="22"/>
        </w:rPr>
        <w:t>doentes com artrite relacionada com entesite, a</w:t>
      </w:r>
      <w:r>
        <w:rPr>
          <w:szCs w:val="22"/>
        </w:rPr>
        <w:t xml:space="preserve"> partir dos 6 anos de idade, </w:t>
      </w:r>
      <w:r w:rsidRPr="008912CF">
        <w:rPr>
          <w:szCs w:val="22"/>
        </w:rPr>
        <w:t xml:space="preserve">é </w:t>
      </w:r>
      <w:r>
        <w:rPr>
          <w:szCs w:val="22"/>
        </w:rPr>
        <w:t xml:space="preserve">baseada no peso corporal (Tabela 2). Humira é </w:t>
      </w:r>
      <w:r w:rsidRPr="008912CF">
        <w:rPr>
          <w:szCs w:val="22"/>
        </w:rPr>
        <w:t>administrad</w:t>
      </w:r>
      <w:r>
        <w:rPr>
          <w:szCs w:val="22"/>
        </w:rPr>
        <w:t>o</w:t>
      </w:r>
      <w:r w:rsidRPr="008912CF">
        <w:rPr>
          <w:szCs w:val="22"/>
        </w:rPr>
        <w:t xml:space="preserve"> em semanas alternadas, por injeção subcutânea. </w:t>
      </w:r>
    </w:p>
    <w:p w14:paraId="40D91EBE" w14:textId="77777777" w:rsidR="002F6811" w:rsidRDefault="002F6811" w:rsidP="002F6811">
      <w:pPr>
        <w:rPr>
          <w:sz w:val="22"/>
          <w:szCs w:val="22"/>
        </w:rPr>
      </w:pPr>
    </w:p>
    <w:p w14:paraId="647D4021" w14:textId="77777777" w:rsidR="00CD5952" w:rsidRPr="008912CF" w:rsidRDefault="00615769" w:rsidP="004E29A4">
      <w:pPr>
        <w:pStyle w:val="BodyText2"/>
        <w:keepNext/>
        <w:autoSpaceDE/>
        <w:autoSpaceDN/>
        <w:adjustRightInd/>
        <w:jc w:val="center"/>
        <w:rPr>
          <w:b/>
          <w:szCs w:val="22"/>
        </w:rPr>
      </w:pPr>
      <w:r w:rsidRPr="008912CF">
        <w:rPr>
          <w:b/>
          <w:szCs w:val="22"/>
        </w:rPr>
        <w:lastRenderedPageBreak/>
        <w:t xml:space="preserve">Tabela </w:t>
      </w:r>
      <w:r w:rsidR="00D52332">
        <w:rPr>
          <w:b/>
          <w:szCs w:val="22"/>
        </w:rPr>
        <w:t>2</w:t>
      </w:r>
      <w:r w:rsidRPr="008912CF">
        <w:rPr>
          <w:b/>
          <w:szCs w:val="22"/>
        </w:rPr>
        <w:t xml:space="preserve">. Dose de Humira </w:t>
      </w:r>
      <w:r w:rsidR="00D62E4B">
        <w:rPr>
          <w:b/>
          <w:szCs w:val="22"/>
        </w:rPr>
        <w:t>em</w:t>
      </w:r>
      <w:r w:rsidRPr="008912CF">
        <w:rPr>
          <w:b/>
          <w:szCs w:val="22"/>
        </w:rPr>
        <w:t xml:space="preserve"> Doentes com Artrite </w:t>
      </w:r>
      <w:r w:rsidR="00D52332">
        <w:rPr>
          <w:b/>
          <w:szCs w:val="22"/>
        </w:rPr>
        <w:t>Relacionada com Entesite</w:t>
      </w:r>
      <w:r w:rsidRPr="008912CF">
        <w:rPr>
          <w:b/>
          <w:szCs w:val="22"/>
        </w:rPr>
        <w:t xml:space="preserve"> </w:t>
      </w:r>
    </w:p>
    <w:p w14:paraId="34121B6A" w14:textId="77777777" w:rsidR="00CD5952" w:rsidRPr="008912CF" w:rsidRDefault="00CD5952" w:rsidP="004E29A4">
      <w:pPr>
        <w:keepNext/>
        <w:rPr>
          <w:sz w:val="22"/>
          <w:szCs w:val="22"/>
        </w:rPr>
      </w:pPr>
    </w:p>
    <w:tbl>
      <w:tblPr>
        <w:tblW w:w="6795" w:type="dxa"/>
        <w:jc w:val="center"/>
        <w:tblLayout w:type="fixed"/>
        <w:tblLook w:val="0000" w:firstRow="0" w:lastRow="0" w:firstColumn="0" w:lastColumn="0" w:noHBand="0" w:noVBand="0"/>
      </w:tblPr>
      <w:tblGrid>
        <w:gridCol w:w="3401"/>
        <w:gridCol w:w="3394"/>
      </w:tblGrid>
      <w:tr w:rsidR="00A7162A" w14:paraId="518240EA" w14:textId="77777777" w:rsidTr="00CD5952">
        <w:trPr>
          <w:tblHeader/>
          <w:jc w:val="center"/>
        </w:trPr>
        <w:tc>
          <w:tcPr>
            <w:tcW w:w="3401" w:type="dxa"/>
            <w:tcBorders>
              <w:top w:val="single" w:sz="4" w:space="0" w:color="auto"/>
              <w:bottom w:val="single" w:sz="4" w:space="0" w:color="auto"/>
            </w:tcBorders>
          </w:tcPr>
          <w:p w14:paraId="35B27ACA" w14:textId="77777777" w:rsidR="00CD5952" w:rsidRPr="0007777F" w:rsidRDefault="00615769" w:rsidP="004E29A4">
            <w:pPr>
              <w:keepNext/>
              <w:spacing w:before="40" w:after="40" w:line="240" w:lineRule="exact"/>
              <w:jc w:val="center"/>
              <w:rPr>
                <w:rFonts w:eastAsia="Calibri"/>
                <w:b/>
                <w:sz w:val="22"/>
                <w:szCs w:val="22"/>
                <w:lang w:val="en-US" w:eastAsia="ja-JP"/>
              </w:rPr>
            </w:pPr>
            <w:r>
              <w:rPr>
                <w:rFonts w:eastAsia="Calibri"/>
                <w:b/>
                <w:sz w:val="22"/>
                <w:szCs w:val="22"/>
                <w:lang w:val="en-US" w:eastAsia="ja-JP"/>
              </w:rPr>
              <w:t>Peso do Doente</w:t>
            </w:r>
          </w:p>
        </w:tc>
        <w:tc>
          <w:tcPr>
            <w:tcW w:w="3394" w:type="dxa"/>
            <w:tcBorders>
              <w:top w:val="single" w:sz="4" w:space="0" w:color="auto"/>
              <w:bottom w:val="single" w:sz="4" w:space="0" w:color="auto"/>
            </w:tcBorders>
          </w:tcPr>
          <w:p w14:paraId="1B1D6396" w14:textId="77777777" w:rsidR="00CD5952" w:rsidRPr="0007777F" w:rsidRDefault="00615769" w:rsidP="004E29A4">
            <w:pPr>
              <w:keepNext/>
              <w:spacing w:before="40" w:after="40" w:line="240" w:lineRule="exact"/>
              <w:jc w:val="center"/>
              <w:rPr>
                <w:rFonts w:eastAsia="Calibri"/>
                <w:b/>
                <w:sz w:val="22"/>
                <w:szCs w:val="22"/>
                <w:lang w:val="en-US" w:eastAsia="ja-JP"/>
              </w:rPr>
            </w:pPr>
            <w:r>
              <w:rPr>
                <w:rFonts w:eastAsia="Calibri"/>
                <w:b/>
                <w:sz w:val="22"/>
                <w:szCs w:val="22"/>
                <w:lang w:val="en-US" w:eastAsia="ja-JP"/>
              </w:rPr>
              <w:t xml:space="preserve">Regime </w:t>
            </w:r>
            <w:r w:rsidR="00C00E3F">
              <w:rPr>
                <w:rFonts w:eastAsia="Calibri"/>
                <w:b/>
                <w:sz w:val="22"/>
                <w:szCs w:val="22"/>
                <w:lang w:val="en-US" w:eastAsia="ja-JP"/>
              </w:rPr>
              <w:t xml:space="preserve">Posológico </w:t>
            </w:r>
          </w:p>
        </w:tc>
      </w:tr>
      <w:tr w:rsidR="00A7162A" w14:paraId="01329014" w14:textId="77777777" w:rsidTr="00CD5952">
        <w:trPr>
          <w:tblHeader/>
          <w:jc w:val="center"/>
        </w:trPr>
        <w:tc>
          <w:tcPr>
            <w:tcW w:w="3401" w:type="dxa"/>
            <w:tcBorders>
              <w:top w:val="single" w:sz="4" w:space="0" w:color="auto"/>
              <w:bottom w:val="single" w:sz="4" w:space="0" w:color="auto"/>
            </w:tcBorders>
          </w:tcPr>
          <w:p w14:paraId="0D013F88" w14:textId="77777777" w:rsidR="00CD5952" w:rsidRPr="0007777F" w:rsidRDefault="00615769">
            <w:pPr>
              <w:keepNext/>
              <w:spacing w:before="40" w:after="40" w:line="240" w:lineRule="exact"/>
              <w:jc w:val="center"/>
              <w:rPr>
                <w:rFonts w:eastAsia="Calibri"/>
                <w:b/>
                <w:sz w:val="22"/>
                <w:szCs w:val="22"/>
                <w:lang w:val="en-US" w:eastAsia="ja-JP"/>
              </w:rPr>
            </w:pPr>
            <w:r w:rsidRPr="0007777F">
              <w:rPr>
                <w:rFonts w:eastAsia="Calibri"/>
                <w:sz w:val="22"/>
                <w:szCs w:val="22"/>
                <w:lang w:val="en-US" w:eastAsia="ja-JP"/>
              </w:rPr>
              <w:t>1</w:t>
            </w:r>
            <w:r w:rsidR="00D52332">
              <w:rPr>
                <w:rFonts w:eastAsia="Calibri"/>
                <w:sz w:val="22"/>
                <w:szCs w:val="22"/>
                <w:lang w:val="en-US" w:eastAsia="ja-JP"/>
              </w:rPr>
              <w:t>5</w:t>
            </w:r>
            <w:r w:rsidR="00A3305A">
              <w:rPr>
                <w:rFonts w:eastAsia="Calibri"/>
                <w:sz w:val="22"/>
                <w:szCs w:val="22"/>
                <w:lang w:val="en-US" w:eastAsia="ja-JP"/>
              </w:rPr>
              <w:t xml:space="preserve"> kg até</w:t>
            </w:r>
            <w:r w:rsidRPr="0007777F">
              <w:rPr>
                <w:rFonts w:eastAsia="Calibri"/>
                <w:sz w:val="22"/>
                <w:szCs w:val="22"/>
                <w:lang w:val="en-US" w:eastAsia="ja-JP"/>
              </w:rPr>
              <w:t xml:space="preserve"> &lt; 30 kg</w:t>
            </w:r>
          </w:p>
        </w:tc>
        <w:tc>
          <w:tcPr>
            <w:tcW w:w="3394" w:type="dxa"/>
            <w:tcBorders>
              <w:top w:val="single" w:sz="4" w:space="0" w:color="auto"/>
              <w:bottom w:val="single" w:sz="4" w:space="0" w:color="auto"/>
            </w:tcBorders>
          </w:tcPr>
          <w:p w14:paraId="03EEF4D0" w14:textId="77777777" w:rsidR="00CD5952" w:rsidRPr="0007777F" w:rsidRDefault="00615769" w:rsidP="00CD5952">
            <w:pPr>
              <w:keepNext/>
              <w:spacing w:before="40" w:after="40" w:line="240" w:lineRule="exact"/>
              <w:jc w:val="center"/>
              <w:rPr>
                <w:rFonts w:eastAsia="Calibri"/>
                <w:b/>
                <w:sz w:val="22"/>
                <w:szCs w:val="22"/>
                <w:lang w:val="en-US" w:eastAsia="ja-JP"/>
              </w:rPr>
            </w:pPr>
            <w:r w:rsidRPr="0007777F">
              <w:rPr>
                <w:rFonts w:eastAsia="Calibri"/>
                <w:sz w:val="22"/>
                <w:szCs w:val="22"/>
                <w:lang w:val="en-US" w:eastAsia="ja-JP"/>
              </w:rPr>
              <w:t xml:space="preserve">20 mg </w:t>
            </w:r>
            <w:r>
              <w:rPr>
                <w:rFonts w:eastAsia="Calibri"/>
                <w:sz w:val="22"/>
                <w:szCs w:val="22"/>
                <w:lang w:val="en-US" w:eastAsia="ja-JP"/>
              </w:rPr>
              <w:t>em semanas alternadas</w:t>
            </w:r>
          </w:p>
        </w:tc>
      </w:tr>
      <w:tr w:rsidR="00A7162A" w14:paraId="09A62995" w14:textId="77777777" w:rsidTr="00CD5952">
        <w:trPr>
          <w:tblHeader/>
          <w:jc w:val="center"/>
        </w:trPr>
        <w:tc>
          <w:tcPr>
            <w:tcW w:w="3401" w:type="dxa"/>
            <w:tcBorders>
              <w:top w:val="single" w:sz="4" w:space="0" w:color="auto"/>
              <w:bottom w:val="single" w:sz="4" w:space="0" w:color="auto"/>
            </w:tcBorders>
          </w:tcPr>
          <w:p w14:paraId="0BCE11CE" w14:textId="77777777" w:rsidR="00CD5952" w:rsidRPr="0007777F" w:rsidRDefault="00615769" w:rsidP="00CD5952">
            <w:pPr>
              <w:keepNext/>
              <w:spacing w:before="40" w:after="40" w:line="240" w:lineRule="exact"/>
              <w:jc w:val="center"/>
              <w:rPr>
                <w:rFonts w:eastAsia="Calibri"/>
                <w:b/>
                <w:sz w:val="22"/>
                <w:szCs w:val="22"/>
                <w:lang w:val="en-US" w:eastAsia="ja-JP"/>
              </w:rPr>
            </w:pPr>
            <w:r w:rsidRPr="0007777F">
              <w:rPr>
                <w:rFonts w:eastAsia="Calibri"/>
                <w:sz w:val="22"/>
                <w:szCs w:val="22"/>
                <w:lang w:val="en-US" w:eastAsia="ja-JP"/>
              </w:rPr>
              <w:t>≥ 30 kg</w:t>
            </w:r>
          </w:p>
        </w:tc>
        <w:tc>
          <w:tcPr>
            <w:tcW w:w="3394" w:type="dxa"/>
            <w:tcBorders>
              <w:top w:val="single" w:sz="4" w:space="0" w:color="auto"/>
              <w:bottom w:val="single" w:sz="4" w:space="0" w:color="auto"/>
            </w:tcBorders>
          </w:tcPr>
          <w:p w14:paraId="7B8DCAB3" w14:textId="77777777" w:rsidR="00CD5952" w:rsidRPr="0007777F" w:rsidRDefault="00615769" w:rsidP="00CD5952">
            <w:pPr>
              <w:keepNext/>
              <w:spacing w:before="40" w:after="40" w:line="240" w:lineRule="exact"/>
              <w:jc w:val="center"/>
              <w:rPr>
                <w:rFonts w:eastAsia="Calibri"/>
                <w:b/>
                <w:sz w:val="22"/>
                <w:szCs w:val="22"/>
                <w:lang w:val="en-US" w:eastAsia="ja-JP"/>
              </w:rPr>
            </w:pPr>
            <w:r w:rsidRPr="0007777F">
              <w:rPr>
                <w:rFonts w:eastAsia="Calibri"/>
                <w:sz w:val="22"/>
                <w:szCs w:val="22"/>
                <w:lang w:val="en-US" w:eastAsia="ja-JP"/>
              </w:rPr>
              <w:t xml:space="preserve">40 mg </w:t>
            </w:r>
            <w:r>
              <w:rPr>
                <w:rFonts w:eastAsia="Calibri"/>
                <w:sz w:val="22"/>
                <w:szCs w:val="22"/>
                <w:lang w:val="en-US" w:eastAsia="ja-JP"/>
              </w:rPr>
              <w:t>em semanas alternadas</w:t>
            </w:r>
          </w:p>
        </w:tc>
      </w:tr>
    </w:tbl>
    <w:p w14:paraId="4695EE41" w14:textId="77777777" w:rsidR="00CD5952" w:rsidRDefault="00CD5952" w:rsidP="002F6811">
      <w:pPr>
        <w:rPr>
          <w:sz w:val="22"/>
          <w:szCs w:val="22"/>
        </w:rPr>
      </w:pPr>
    </w:p>
    <w:p w14:paraId="00E20524" w14:textId="77777777" w:rsidR="002F6811" w:rsidRPr="008912CF" w:rsidRDefault="00615769" w:rsidP="002F6811">
      <w:pPr>
        <w:rPr>
          <w:sz w:val="22"/>
          <w:szCs w:val="22"/>
        </w:rPr>
      </w:pPr>
      <w:r w:rsidRPr="008912CF">
        <w:rPr>
          <w:sz w:val="22"/>
          <w:szCs w:val="22"/>
        </w:rPr>
        <w:t>Humira não foi estudado em doentes com artrite relacionada com entesite com menos de 6</w:t>
      </w:r>
      <w:r>
        <w:rPr>
          <w:sz w:val="22"/>
          <w:szCs w:val="22"/>
        </w:rPr>
        <w:t> </w:t>
      </w:r>
      <w:r w:rsidRPr="008912CF">
        <w:rPr>
          <w:sz w:val="22"/>
          <w:szCs w:val="22"/>
        </w:rPr>
        <w:t>anos.</w:t>
      </w:r>
    </w:p>
    <w:p w14:paraId="79EBDB2A" w14:textId="77777777" w:rsidR="002F6811" w:rsidRDefault="002F6811" w:rsidP="002F6811">
      <w:pPr>
        <w:rPr>
          <w:bCs/>
          <w:iCs/>
          <w:sz w:val="22"/>
          <w:szCs w:val="22"/>
        </w:rPr>
      </w:pPr>
    </w:p>
    <w:p w14:paraId="6843D716" w14:textId="77777777" w:rsidR="004176CD" w:rsidRDefault="00615769" w:rsidP="00AA7352">
      <w:pPr>
        <w:pStyle w:val="BodyText2"/>
        <w:autoSpaceDE/>
        <w:autoSpaceDN/>
        <w:adjustRightInd/>
        <w:rPr>
          <w:bCs/>
          <w:iCs/>
          <w:szCs w:val="22"/>
        </w:rPr>
      </w:pPr>
      <w:r>
        <w:rPr>
          <w:szCs w:val="22"/>
        </w:rPr>
        <w:t xml:space="preserve">Humira pode estar disponível em outras dosagens e/ou apresentações dependendo das necessidades de cada doente. </w:t>
      </w:r>
    </w:p>
    <w:p w14:paraId="0D9F63E7" w14:textId="77777777" w:rsidR="004176CD" w:rsidRPr="008912CF" w:rsidRDefault="004176CD" w:rsidP="002F6811">
      <w:pPr>
        <w:rPr>
          <w:bCs/>
          <w:iCs/>
          <w:sz w:val="22"/>
          <w:szCs w:val="22"/>
        </w:rPr>
      </w:pPr>
    </w:p>
    <w:p w14:paraId="36C84087" w14:textId="77777777" w:rsidR="002F6811" w:rsidRPr="008912CF" w:rsidRDefault="00615769" w:rsidP="002F6811">
      <w:pPr>
        <w:rPr>
          <w:sz w:val="22"/>
          <w:szCs w:val="22"/>
          <w:u w:val="single"/>
        </w:rPr>
      </w:pPr>
      <w:r w:rsidRPr="008912CF">
        <w:rPr>
          <w:i/>
          <w:sz w:val="22"/>
          <w:szCs w:val="22"/>
        </w:rPr>
        <w:t>Psoríase pediátrica em placas</w:t>
      </w:r>
    </w:p>
    <w:p w14:paraId="3B6049F1" w14:textId="77777777" w:rsidR="002F6811" w:rsidRPr="008912CF" w:rsidRDefault="002F6811" w:rsidP="002F6811">
      <w:pPr>
        <w:rPr>
          <w:sz w:val="22"/>
          <w:szCs w:val="22"/>
          <w:u w:val="single"/>
        </w:rPr>
      </w:pPr>
    </w:p>
    <w:p w14:paraId="780186A7" w14:textId="77777777" w:rsidR="00D52332" w:rsidRDefault="00615769" w:rsidP="00F03C54">
      <w:pPr>
        <w:pStyle w:val="BodyText2"/>
        <w:autoSpaceDE/>
        <w:autoSpaceDN/>
        <w:adjustRightInd/>
        <w:rPr>
          <w:szCs w:val="22"/>
        </w:rPr>
      </w:pPr>
      <w:r w:rsidRPr="008912CF">
        <w:rPr>
          <w:szCs w:val="22"/>
        </w:rPr>
        <w:t xml:space="preserve">A dose recomendada de Humira </w:t>
      </w:r>
      <w:r w:rsidR="00D62E4B">
        <w:rPr>
          <w:szCs w:val="22"/>
        </w:rPr>
        <w:t xml:space="preserve">em </w:t>
      </w:r>
      <w:r>
        <w:rPr>
          <w:szCs w:val="22"/>
        </w:rPr>
        <w:t>doentes com psoríase em placas, com idades compreendidas entre os 4 e os 17 anos,</w:t>
      </w:r>
      <w:r w:rsidR="000550F3">
        <w:rPr>
          <w:szCs w:val="22"/>
        </w:rPr>
        <w:t xml:space="preserve"> </w:t>
      </w:r>
      <w:r w:rsidRPr="008912CF">
        <w:rPr>
          <w:szCs w:val="22"/>
        </w:rPr>
        <w:t xml:space="preserve">é </w:t>
      </w:r>
      <w:r>
        <w:rPr>
          <w:szCs w:val="22"/>
        </w:rPr>
        <w:t xml:space="preserve">baseada no peso corporal (Tabela 3). Humira é administrado </w:t>
      </w:r>
      <w:r w:rsidRPr="008912CF">
        <w:rPr>
          <w:szCs w:val="22"/>
        </w:rPr>
        <w:t xml:space="preserve">por injeção subcutânea. </w:t>
      </w:r>
    </w:p>
    <w:p w14:paraId="6D97A848" w14:textId="77777777" w:rsidR="00833083" w:rsidRDefault="00833083" w:rsidP="00F03C54">
      <w:pPr>
        <w:pStyle w:val="BodyText2"/>
        <w:autoSpaceDE/>
        <w:autoSpaceDN/>
        <w:adjustRightInd/>
        <w:rPr>
          <w:szCs w:val="22"/>
        </w:rPr>
      </w:pPr>
    </w:p>
    <w:p w14:paraId="6E1FB67C" w14:textId="77777777" w:rsidR="00D52332" w:rsidRPr="008912CF" w:rsidRDefault="00615769" w:rsidP="00D52332">
      <w:pPr>
        <w:pStyle w:val="BodyText2"/>
        <w:autoSpaceDE/>
        <w:autoSpaceDN/>
        <w:adjustRightInd/>
        <w:jc w:val="center"/>
        <w:rPr>
          <w:b/>
          <w:szCs w:val="22"/>
        </w:rPr>
      </w:pPr>
      <w:r w:rsidRPr="008912CF">
        <w:rPr>
          <w:b/>
          <w:szCs w:val="22"/>
        </w:rPr>
        <w:t xml:space="preserve">Tabela </w:t>
      </w:r>
      <w:r>
        <w:rPr>
          <w:b/>
          <w:szCs w:val="22"/>
        </w:rPr>
        <w:t>3</w:t>
      </w:r>
      <w:r w:rsidRPr="008912CF">
        <w:rPr>
          <w:b/>
          <w:szCs w:val="22"/>
        </w:rPr>
        <w:t xml:space="preserve">. Dose de Humira </w:t>
      </w:r>
      <w:r w:rsidR="00D62E4B">
        <w:rPr>
          <w:b/>
          <w:szCs w:val="22"/>
        </w:rPr>
        <w:t>em</w:t>
      </w:r>
      <w:r w:rsidRPr="008912CF">
        <w:rPr>
          <w:b/>
          <w:szCs w:val="22"/>
        </w:rPr>
        <w:t xml:space="preserve"> Doentes </w:t>
      </w:r>
      <w:r w:rsidR="001253B7">
        <w:rPr>
          <w:b/>
          <w:szCs w:val="22"/>
        </w:rPr>
        <w:t xml:space="preserve">Pediátricos </w:t>
      </w:r>
      <w:r w:rsidRPr="008912CF">
        <w:rPr>
          <w:b/>
          <w:szCs w:val="22"/>
        </w:rPr>
        <w:t xml:space="preserve">com </w:t>
      </w:r>
      <w:r>
        <w:rPr>
          <w:b/>
          <w:szCs w:val="22"/>
        </w:rPr>
        <w:t>Psoríase em Placas</w:t>
      </w:r>
      <w:r w:rsidRPr="008912CF">
        <w:rPr>
          <w:b/>
          <w:szCs w:val="22"/>
        </w:rPr>
        <w:t xml:space="preserve"> </w:t>
      </w:r>
    </w:p>
    <w:p w14:paraId="51A89547" w14:textId="77777777" w:rsidR="00D52332" w:rsidRPr="008912CF" w:rsidRDefault="00D52332" w:rsidP="00D52332">
      <w:pPr>
        <w:rPr>
          <w:sz w:val="22"/>
          <w:szCs w:val="22"/>
        </w:rPr>
      </w:pPr>
    </w:p>
    <w:tbl>
      <w:tblPr>
        <w:tblW w:w="6795" w:type="dxa"/>
        <w:jc w:val="center"/>
        <w:tblLayout w:type="fixed"/>
        <w:tblLook w:val="0000" w:firstRow="0" w:lastRow="0" w:firstColumn="0" w:lastColumn="0" w:noHBand="0" w:noVBand="0"/>
      </w:tblPr>
      <w:tblGrid>
        <w:gridCol w:w="3401"/>
        <w:gridCol w:w="3394"/>
      </w:tblGrid>
      <w:tr w:rsidR="00A7162A" w14:paraId="3F4BD4A2" w14:textId="77777777" w:rsidTr="00A00389">
        <w:trPr>
          <w:tblHeader/>
          <w:jc w:val="center"/>
        </w:trPr>
        <w:tc>
          <w:tcPr>
            <w:tcW w:w="3401" w:type="dxa"/>
            <w:tcBorders>
              <w:top w:val="single" w:sz="4" w:space="0" w:color="auto"/>
              <w:bottom w:val="single" w:sz="4" w:space="0" w:color="auto"/>
            </w:tcBorders>
          </w:tcPr>
          <w:p w14:paraId="4B73A3BA" w14:textId="77777777" w:rsidR="00D52332" w:rsidRPr="0007777F" w:rsidRDefault="00615769" w:rsidP="00A00389">
            <w:pPr>
              <w:keepNext/>
              <w:spacing w:before="40" w:after="40" w:line="240" w:lineRule="exact"/>
              <w:jc w:val="center"/>
              <w:rPr>
                <w:rFonts w:eastAsia="Calibri"/>
                <w:b/>
                <w:sz w:val="22"/>
                <w:szCs w:val="22"/>
                <w:lang w:val="en-US" w:eastAsia="ja-JP"/>
              </w:rPr>
            </w:pPr>
            <w:r>
              <w:rPr>
                <w:rFonts w:eastAsia="Calibri"/>
                <w:b/>
                <w:sz w:val="22"/>
                <w:szCs w:val="22"/>
                <w:lang w:val="en-US" w:eastAsia="ja-JP"/>
              </w:rPr>
              <w:t>Peso do Doente</w:t>
            </w:r>
          </w:p>
        </w:tc>
        <w:tc>
          <w:tcPr>
            <w:tcW w:w="3394" w:type="dxa"/>
            <w:tcBorders>
              <w:top w:val="single" w:sz="4" w:space="0" w:color="auto"/>
              <w:bottom w:val="single" w:sz="4" w:space="0" w:color="auto"/>
            </w:tcBorders>
          </w:tcPr>
          <w:p w14:paraId="2E5CF5BB" w14:textId="77777777" w:rsidR="00D52332" w:rsidRPr="0007777F" w:rsidRDefault="00615769">
            <w:pPr>
              <w:keepNext/>
              <w:spacing w:before="40" w:after="40" w:line="240" w:lineRule="exact"/>
              <w:jc w:val="center"/>
              <w:rPr>
                <w:rFonts w:eastAsia="Calibri"/>
                <w:b/>
                <w:sz w:val="22"/>
                <w:szCs w:val="22"/>
                <w:lang w:val="en-US" w:eastAsia="ja-JP"/>
              </w:rPr>
            </w:pPr>
            <w:r>
              <w:rPr>
                <w:rFonts w:eastAsia="Calibri"/>
                <w:b/>
                <w:sz w:val="22"/>
                <w:szCs w:val="22"/>
                <w:lang w:val="en-US" w:eastAsia="ja-JP"/>
              </w:rPr>
              <w:t xml:space="preserve">Regime </w:t>
            </w:r>
            <w:r w:rsidR="00C00E3F">
              <w:rPr>
                <w:rFonts w:eastAsia="Calibri"/>
                <w:b/>
                <w:sz w:val="22"/>
                <w:szCs w:val="22"/>
                <w:lang w:val="en-US" w:eastAsia="ja-JP"/>
              </w:rPr>
              <w:t xml:space="preserve">Posológico </w:t>
            </w:r>
          </w:p>
        </w:tc>
      </w:tr>
      <w:tr w:rsidR="00A7162A" w14:paraId="4F2A8E9E" w14:textId="77777777" w:rsidTr="00A00389">
        <w:trPr>
          <w:tblHeader/>
          <w:jc w:val="center"/>
        </w:trPr>
        <w:tc>
          <w:tcPr>
            <w:tcW w:w="3401" w:type="dxa"/>
            <w:tcBorders>
              <w:top w:val="single" w:sz="4" w:space="0" w:color="auto"/>
              <w:bottom w:val="single" w:sz="4" w:space="0" w:color="auto"/>
            </w:tcBorders>
          </w:tcPr>
          <w:p w14:paraId="5B29328D" w14:textId="77777777" w:rsidR="00D52332" w:rsidRPr="0007777F" w:rsidRDefault="00615769" w:rsidP="00A00389">
            <w:pPr>
              <w:keepNext/>
              <w:spacing w:before="40" w:after="40" w:line="240" w:lineRule="exact"/>
              <w:jc w:val="center"/>
              <w:rPr>
                <w:rFonts w:eastAsia="Calibri"/>
                <w:b/>
                <w:sz w:val="22"/>
                <w:szCs w:val="22"/>
                <w:lang w:val="en-US" w:eastAsia="ja-JP"/>
              </w:rPr>
            </w:pPr>
            <w:r w:rsidRPr="0007777F">
              <w:rPr>
                <w:rFonts w:eastAsia="Calibri"/>
                <w:sz w:val="22"/>
                <w:szCs w:val="22"/>
                <w:lang w:val="en-US" w:eastAsia="ja-JP"/>
              </w:rPr>
              <w:t>1</w:t>
            </w:r>
            <w:r>
              <w:rPr>
                <w:rFonts w:eastAsia="Calibri"/>
                <w:sz w:val="22"/>
                <w:szCs w:val="22"/>
                <w:lang w:val="en-US" w:eastAsia="ja-JP"/>
              </w:rPr>
              <w:t>5</w:t>
            </w:r>
            <w:r w:rsidR="00A3305A">
              <w:rPr>
                <w:rFonts w:eastAsia="Calibri"/>
                <w:sz w:val="22"/>
                <w:szCs w:val="22"/>
                <w:lang w:val="en-US" w:eastAsia="ja-JP"/>
              </w:rPr>
              <w:t xml:space="preserve"> kg até</w:t>
            </w:r>
            <w:r w:rsidRPr="0007777F">
              <w:rPr>
                <w:rFonts w:eastAsia="Calibri"/>
                <w:sz w:val="22"/>
                <w:szCs w:val="22"/>
                <w:lang w:val="en-US" w:eastAsia="ja-JP"/>
              </w:rPr>
              <w:t xml:space="preserve"> &lt; 30 kg</w:t>
            </w:r>
          </w:p>
        </w:tc>
        <w:tc>
          <w:tcPr>
            <w:tcW w:w="3394" w:type="dxa"/>
            <w:tcBorders>
              <w:top w:val="single" w:sz="4" w:space="0" w:color="auto"/>
              <w:bottom w:val="single" w:sz="4" w:space="0" w:color="auto"/>
            </w:tcBorders>
          </w:tcPr>
          <w:p w14:paraId="5685340C" w14:textId="77777777" w:rsidR="00D52332" w:rsidRPr="00F03C54" w:rsidRDefault="00615769">
            <w:pPr>
              <w:keepNext/>
              <w:spacing w:before="40" w:after="40" w:line="240" w:lineRule="exact"/>
              <w:jc w:val="center"/>
              <w:rPr>
                <w:rFonts w:eastAsia="Calibri"/>
                <w:b/>
                <w:sz w:val="22"/>
                <w:szCs w:val="22"/>
                <w:lang w:eastAsia="ja-JP"/>
              </w:rPr>
            </w:pPr>
            <w:r w:rsidRPr="00F03C54">
              <w:rPr>
                <w:rFonts w:eastAsia="Calibri"/>
                <w:sz w:val="22"/>
                <w:szCs w:val="22"/>
                <w:lang w:eastAsia="ja-JP"/>
              </w:rPr>
              <w:t>Dose inicial de 20 mg, seguid</w:t>
            </w:r>
            <w:r w:rsidR="00112EE3">
              <w:rPr>
                <w:rFonts w:eastAsia="Calibri"/>
                <w:sz w:val="22"/>
                <w:szCs w:val="22"/>
                <w:lang w:eastAsia="ja-JP"/>
              </w:rPr>
              <w:t>a</w:t>
            </w:r>
            <w:r w:rsidRPr="00F03C54">
              <w:rPr>
                <w:rFonts w:eastAsia="Calibri"/>
                <w:sz w:val="22"/>
                <w:szCs w:val="22"/>
                <w:lang w:eastAsia="ja-JP"/>
              </w:rPr>
              <w:t xml:space="preserve"> de 20</w:t>
            </w:r>
            <w:r w:rsidR="009343EF">
              <w:rPr>
                <w:rFonts w:eastAsia="Calibri"/>
                <w:sz w:val="22"/>
                <w:szCs w:val="22"/>
                <w:lang w:eastAsia="ja-JP"/>
              </w:rPr>
              <w:t xml:space="preserve"> </w:t>
            </w:r>
            <w:r w:rsidRPr="00F03C54">
              <w:rPr>
                <w:rFonts w:eastAsia="Calibri"/>
                <w:sz w:val="22"/>
                <w:szCs w:val="22"/>
                <w:lang w:eastAsia="ja-JP"/>
              </w:rPr>
              <w:t>mg em semanas alternadas</w:t>
            </w:r>
            <w:r>
              <w:rPr>
                <w:rFonts w:eastAsia="Calibri"/>
                <w:sz w:val="22"/>
                <w:szCs w:val="22"/>
                <w:lang w:eastAsia="ja-JP"/>
              </w:rPr>
              <w:t xml:space="preserve"> com início uma semana após a dose inicial</w:t>
            </w:r>
          </w:p>
        </w:tc>
      </w:tr>
      <w:tr w:rsidR="00A7162A" w14:paraId="2C994290" w14:textId="77777777" w:rsidTr="00A00389">
        <w:trPr>
          <w:tblHeader/>
          <w:jc w:val="center"/>
        </w:trPr>
        <w:tc>
          <w:tcPr>
            <w:tcW w:w="3401" w:type="dxa"/>
            <w:tcBorders>
              <w:top w:val="single" w:sz="4" w:space="0" w:color="auto"/>
              <w:bottom w:val="single" w:sz="4" w:space="0" w:color="auto"/>
            </w:tcBorders>
          </w:tcPr>
          <w:p w14:paraId="2EAE3092" w14:textId="77777777" w:rsidR="00D52332" w:rsidRPr="0007777F" w:rsidRDefault="00615769" w:rsidP="00A00389">
            <w:pPr>
              <w:keepNext/>
              <w:spacing w:before="40" w:after="40" w:line="240" w:lineRule="exact"/>
              <w:jc w:val="center"/>
              <w:rPr>
                <w:rFonts w:eastAsia="Calibri"/>
                <w:b/>
                <w:sz w:val="22"/>
                <w:szCs w:val="22"/>
                <w:lang w:val="en-US" w:eastAsia="ja-JP"/>
              </w:rPr>
            </w:pPr>
            <w:r w:rsidRPr="0007777F">
              <w:rPr>
                <w:rFonts w:eastAsia="Calibri"/>
                <w:sz w:val="22"/>
                <w:szCs w:val="22"/>
                <w:lang w:val="en-US" w:eastAsia="ja-JP"/>
              </w:rPr>
              <w:t>≥ 30 kg</w:t>
            </w:r>
          </w:p>
        </w:tc>
        <w:tc>
          <w:tcPr>
            <w:tcW w:w="3394" w:type="dxa"/>
            <w:tcBorders>
              <w:top w:val="single" w:sz="4" w:space="0" w:color="auto"/>
              <w:bottom w:val="single" w:sz="4" w:space="0" w:color="auto"/>
            </w:tcBorders>
          </w:tcPr>
          <w:p w14:paraId="6B8A1D77" w14:textId="77777777" w:rsidR="00D52332" w:rsidRPr="00F03C54" w:rsidRDefault="00615769">
            <w:pPr>
              <w:keepNext/>
              <w:spacing w:before="40" w:after="40" w:line="240" w:lineRule="exact"/>
              <w:jc w:val="center"/>
              <w:rPr>
                <w:rFonts w:eastAsia="Calibri"/>
                <w:b/>
                <w:sz w:val="22"/>
                <w:szCs w:val="22"/>
                <w:lang w:eastAsia="ja-JP"/>
              </w:rPr>
            </w:pPr>
            <w:r w:rsidRPr="00F03C54">
              <w:rPr>
                <w:rFonts w:eastAsia="Calibri"/>
                <w:sz w:val="22"/>
                <w:szCs w:val="22"/>
                <w:lang w:eastAsia="ja-JP"/>
              </w:rPr>
              <w:t>Dose inicial de 40 mg, seguid</w:t>
            </w:r>
            <w:r w:rsidR="00112EE3">
              <w:rPr>
                <w:rFonts w:eastAsia="Calibri"/>
                <w:sz w:val="22"/>
                <w:szCs w:val="22"/>
                <w:lang w:eastAsia="ja-JP"/>
              </w:rPr>
              <w:t>a</w:t>
            </w:r>
            <w:r w:rsidRPr="00F03C54">
              <w:rPr>
                <w:rFonts w:eastAsia="Calibri"/>
                <w:sz w:val="22"/>
                <w:szCs w:val="22"/>
                <w:lang w:eastAsia="ja-JP"/>
              </w:rPr>
              <w:t xml:space="preserve"> de 40 mg em semanas alternadas</w:t>
            </w:r>
            <w:r>
              <w:rPr>
                <w:rFonts w:eastAsia="Calibri"/>
                <w:sz w:val="22"/>
                <w:szCs w:val="22"/>
                <w:lang w:eastAsia="ja-JP"/>
              </w:rPr>
              <w:t xml:space="preserve"> com início uma semana após a dose inicial</w:t>
            </w:r>
          </w:p>
        </w:tc>
      </w:tr>
    </w:tbl>
    <w:p w14:paraId="0E9B4A2F" w14:textId="77777777" w:rsidR="00D52332" w:rsidRDefault="00D52332" w:rsidP="002F6811">
      <w:pPr>
        <w:rPr>
          <w:sz w:val="22"/>
          <w:szCs w:val="22"/>
        </w:rPr>
      </w:pPr>
    </w:p>
    <w:p w14:paraId="7679A591" w14:textId="77777777" w:rsidR="002F6811" w:rsidRPr="008912CF" w:rsidRDefault="00615769" w:rsidP="002F6811">
      <w:pPr>
        <w:rPr>
          <w:bCs/>
          <w:iCs/>
          <w:sz w:val="22"/>
          <w:szCs w:val="22"/>
        </w:rPr>
      </w:pPr>
      <w:r w:rsidRPr="008912CF">
        <w:rPr>
          <w:bCs/>
          <w:iCs/>
          <w:sz w:val="22"/>
          <w:szCs w:val="22"/>
        </w:rPr>
        <w:t>Uma terapêutica continuada para além das 16</w:t>
      </w:r>
      <w:r>
        <w:rPr>
          <w:bCs/>
          <w:iCs/>
          <w:sz w:val="22"/>
          <w:szCs w:val="22"/>
        </w:rPr>
        <w:t> </w:t>
      </w:r>
      <w:r w:rsidRPr="008912CF">
        <w:rPr>
          <w:bCs/>
          <w:iCs/>
          <w:sz w:val="22"/>
          <w:szCs w:val="22"/>
        </w:rPr>
        <w:t>semanas deve ser cuidadosamente reconsiderada nos doentes que não apresentarem resposta terapêutica dentro deste período de tempo.</w:t>
      </w:r>
    </w:p>
    <w:p w14:paraId="33D1AA3B" w14:textId="77777777" w:rsidR="002F6811" w:rsidRPr="008912CF" w:rsidRDefault="002F6811" w:rsidP="002F6811">
      <w:pPr>
        <w:rPr>
          <w:bCs/>
          <w:iCs/>
          <w:sz w:val="22"/>
          <w:szCs w:val="22"/>
        </w:rPr>
      </w:pPr>
    </w:p>
    <w:p w14:paraId="0D7C6B55" w14:textId="77777777" w:rsidR="002F6811" w:rsidRPr="008912CF" w:rsidRDefault="00615769" w:rsidP="002F6811">
      <w:pPr>
        <w:rPr>
          <w:sz w:val="22"/>
          <w:szCs w:val="22"/>
        </w:rPr>
      </w:pPr>
      <w:r w:rsidRPr="008912CF">
        <w:rPr>
          <w:sz w:val="22"/>
          <w:szCs w:val="22"/>
        </w:rPr>
        <w:t>Se estiver indicado um novo tratamento com Humira devem ser seguidas as recomendações anteriores relativamente à posologia e duração do tratamento.</w:t>
      </w:r>
    </w:p>
    <w:p w14:paraId="792E63CF" w14:textId="77777777" w:rsidR="002F6811" w:rsidRPr="008912CF" w:rsidRDefault="002F6811" w:rsidP="002F6811">
      <w:pPr>
        <w:rPr>
          <w:sz w:val="22"/>
          <w:szCs w:val="22"/>
        </w:rPr>
      </w:pPr>
    </w:p>
    <w:p w14:paraId="03B7E46E" w14:textId="77777777" w:rsidR="002F6811" w:rsidRPr="008912CF" w:rsidRDefault="00615769" w:rsidP="002F6811">
      <w:pPr>
        <w:rPr>
          <w:sz w:val="22"/>
          <w:szCs w:val="22"/>
        </w:rPr>
      </w:pPr>
      <w:r w:rsidRPr="008912CF">
        <w:rPr>
          <w:sz w:val="22"/>
          <w:szCs w:val="22"/>
        </w:rPr>
        <w:t>A segurança de Humira em doentes pediátricos com psoríase em placas foi avaliada em média durante 13</w:t>
      </w:r>
      <w:r>
        <w:rPr>
          <w:sz w:val="22"/>
          <w:szCs w:val="22"/>
        </w:rPr>
        <w:t> </w:t>
      </w:r>
      <w:r w:rsidRPr="008912CF">
        <w:rPr>
          <w:sz w:val="22"/>
          <w:szCs w:val="22"/>
        </w:rPr>
        <w:t>meses.</w:t>
      </w:r>
    </w:p>
    <w:p w14:paraId="40C2F68D" w14:textId="77777777" w:rsidR="002F6811" w:rsidRPr="008912CF" w:rsidRDefault="002F6811" w:rsidP="002F6811">
      <w:pPr>
        <w:rPr>
          <w:sz w:val="22"/>
          <w:szCs w:val="22"/>
        </w:rPr>
      </w:pPr>
    </w:p>
    <w:p w14:paraId="1279479B" w14:textId="77777777" w:rsidR="002F6811" w:rsidRPr="008912CF" w:rsidRDefault="00615769" w:rsidP="002F6811">
      <w:pPr>
        <w:rPr>
          <w:sz w:val="22"/>
          <w:szCs w:val="22"/>
        </w:rPr>
      </w:pPr>
      <w:r w:rsidRPr="008912CF">
        <w:rPr>
          <w:sz w:val="22"/>
          <w:szCs w:val="22"/>
        </w:rPr>
        <w:t>Não existe utilização relevante de Humira em crianças com menos de 4 anos, para esta indicação.</w:t>
      </w:r>
    </w:p>
    <w:p w14:paraId="51BCCA9E" w14:textId="77777777" w:rsidR="002F6811" w:rsidRDefault="002F6811" w:rsidP="002F6811">
      <w:pPr>
        <w:rPr>
          <w:sz w:val="22"/>
          <w:szCs w:val="22"/>
        </w:rPr>
      </w:pPr>
    </w:p>
    <w:p w14:paraId="52B5E9E9" w14:textId="77777777" w:rsidR="004176CD" w:rsidRDefault="00615769" w:rsidP="00AA7352">
      <w:pPr>
        <w:pStyle w:val="BodyText2"/>
        <w:autoSpaceDE/>
        <w:autoSpaceDN/>
        <w:adjustRightInd/>
        <w:rPr>
          <w:szCs w:val="22"/>
        </w:rPr>
      </w:pPr>
      <w:r>
        <w:rPr>
          <w:szCs w:val="22"/>
        </w:rPr>
        <w:t>Humira pode estar disponível em outras dosagens e/ou apresentações dependendo das necessidades de cada doente.</w:t>
      </w:r>
    </w:p>
    <w:p w14:paraId="27DB79AB" w14:textId="77777777" w:rsidR="004176CD" w:rsidRPr="008912CF" w:rsidRDefault="004176CD" w:rsidP="002F6811">
      <w:pPr>
        <w:rPr>
          <w:sz w:val="22"/>
          <w:szCs w:val="22"/>
        </w:rPr>
      </w:pPr>
    </w:p>
    <w:p w14:paraId="29D76FC9" w14:textId="77777777" w:rsidR="002F6811" w:rsidRPr="008912CF" w:rsidRDefault="00615769" w:rsidP="002F6811">
      <w:pPr>
        <w:rPr>
          <w:sz w:val="22"/>
          <w:szCs w:val="22"/>
          <w:u w:val="single"/>
        </w:rPr>
      </w:pPr>
      <w:r w:rsidRPr="008912CF">
        <w:rPr>
          <w:i/>
          <w:sz w:val="22"/>
          <w:szCs w:val="22"/>
        </w:rPr>
        <w:t xml:space="preserve">Doença de Crohn </w:t>
      </w:r>
      <w:r w:rsidR="00E7252B">
        <w:rPr>
          <w:i/>
          <w:sz w:val="22"/>
          <w:szCs w:val="22"/>
        </w:rPr>
        <w:t>p</w:t>
      </w:r>
      <w:r w:rsidRPr="008912CF">
        <w:rPr>
          <w:i/>
          <w:sz w:val="22"/>
          <w:szCs w:val="22"/>
        </w:rPr>
        <w:t>ediátrica</w:t>
      </w:r>
    </w:p>
    <w:p w14:paraId="48E8439E" w14:textId="77777777" w:rsidR="002F6811" w:rsidRPr="008912CF" w:rsidRDefault="002F6811" w:rsidP="002F6811">
      <w:pPr>
        <w:rPr>
          <w:bCs/>
          <w:iCs/>
          <w:sz w:val="22"/>
          <w:szCs w:val="22"/>
        </w:rPr>
      </w:pPr>
    </w:p>
    <w:p w14:paraId="1176D6D3" w14:textId="77777777" w:rsidR="00833083" w:rsidRPr="008912CF" w:rsidRDefault="00615769" w:rsidP="00833083">
      <w:pPr>
        <w:pStyle w:val="BodyText2"/>
        <w:autoSpaceDE/>
        <w:autoSpaceDN/>
        <w:adjustRightInd/>
        <w:rPr>
          <w:szCs w:val="22"/>
        </w:rPr>
      </w:pPr>
      <w:r w:rsidRPr="008912CF">
        <w:rPr>
          <w:szCs w:val="22"/>
        </w:rPr>
        <w:t>A dose recomendada de Humira</w:t>
      </w:r>
      <w:r w:rsidR="00D62E4B">
        <w:rPr>
          <w:szCs w:val="22"/>
        </w:rPr>
        <w:t xml:space="preserve"> em</w:t>
      </w:r>
      <w:r w:rsidRPr="008912CF">
        <w:rPr>
          <w:szCs w:val="22"/>
        </w:rPr>
        <w:t xml:space="preserve"> doentes com doença de Crohn</w:t>
      </w:r>
      <w:r w:rsidR="000550F3">
        <w:rPr>
          <w:szCs w:val="22"/>
        </w:rPr>
        <w:t>,</w:t>
      </w:r>
      <w:r w:rsidR="000550F3" w:rsidRPr="000550F3">
        <w:rPr>
          <w:szCs w:val="22"/>
        </w:rPr>
        <w:t xml:space="preserve"> </w:t>
      </w:r>
      <w:r w:rsidR="000550F3">
        <w:rPr>
          <w:szCs w:val="22"/>
        </w:rPr>
        <w:t xml:space="preserve">com idades compreendidas entre os </w:t>
      </w:r>
      <w:r w:rsidR="00284968">
        <w:rPr>
          <w:szCs w:val="22"/>
        </w:rPr>
        <w:t>6</w:t>
      </w:r>
      <w:r w:rsidR="000550F3">
        <w:rPr>
          <w:szCs w:val="22"/>
        </w:rPr>
        <w:t xml:space="preserve"> e os 17 anos, </w:t>
      </w:r>
      <w:r w:rsidR="000550F3" w:rsidRPr="008912CF">
        <w:rPr>
          <w:szCs w:val="22"/>
        </w:rPr>
        <w:t xml:space="preserve">é </w:t>
      </w:r>
      <w:r w:rsidR="000550F3">
        <w:rPr>
          <w:szCs w:val="22"/>
        </w:rPr>
        <w:t xml:space="preserve">baseada no peso corporal (Tabela 4). Humira é administrado </w:t>
      </w:r>
      <w:r w:rsidR="000550F3" w:rsidRPr="008912CF">
        <w:rPr>
          <w:szCs w:val="22"/>
        </w:rPr>
        <w:t xml:space="preserve">por injeção subcutânea. </w:t>
      </w:r>
    </w:p>
    <w:p w14:paraId="171C08A3" w14:textId="77777777" w:rsidR="00833083" w:rsidRDefault="00833083" w:rsidP="00833083">
      <w:pPr>
        <w:rPr>
          <w:sz w:val="22"/>
          <w:szCs w:val="22"/>
        </w:rPr>
      </w:pPr>
    </w:p>
    <w:p w14:paraId="29842098" w14:textId="77777777" w:rsidR="000550F3" w:rsidRPr="00F03C54" w:rsidRDefault="00615769" w:rsidP="000550F3">
      <w:pPr>
        <w:keepNext/>
        <w:tabs>
          <w:tab w:val="left" w:pos="562"/>
        </w:tabs>
        <w:suppressAutoHyphens/>
        <w:jc w:val="center"/>
        <w:rPr>
          <w:rFonts w:eastAsia="Times New Roman"/>
          <w:b/>
          <w:sz w:val="22"/>
          <w:szCs w:val="22"/>
        </w:rPr>
      </w:pPr>
      <w:r w:rsidRPr="00F03C54">
        <w:rPr>
          <w:rFonts w:eastAsia="Times New Roman"/>
          <w:b/>
          <w:sz w:val="22"/>
          <w:szCs w:val="22"/>
        </w:rPr>
        <w:lastRenderedPageBreak/>
        <w:t xml:space="preserve">Tabela 4. Dose de Humira </w:t>
      </w:r>
      <w:r w:rsidR="00D62E4B">
        <w:rPr>
          <w:rFonts w:eastAsia="Times New Roman"/>
          <w:b/>
          <w:sz w:val="22"/>
          <w:szCs w:val="22"/>
        </w:rPr>
        <w:t xml:space="preserve">em </w:t>
      </w:r>
      <w:r w:rsidRPr="00F03C54">
        <w:rPr>
          <w:rFonts w:eastAsia="Times New Roman"/>
          <w:b/>
          <w:sz w:val="22"/>
          <w:szCs w:val="22"/>
        </w:rPr>
        <w:t>Doentes</w:t>
      </w:r>
      <w:r w:rsidR="001253B7">
        <w:rPr>
          <w:rFonts w:eastAsia="Times New Roman"/>
          <w:b/>
          <w:sz w:val="22"/>
          <w:szCs w:val="22"/>
        </w:rPr>
        <w:t xml:space="preserve"> </w:t>
      </w:r>
      <w:r w:rsidR="00E7252B">
        <w:rPr>
          <w:rFonts w:eastAsia="Times New Roman"/>
          <w:b/>
          <w:sz w:val="22"/>
          <w:szCs w:val="22"/>
        </w:rPr>
        <w:t xml:space="preserve">Pediátricos </w:t>
      </w:r>
      <w:r w:rsidRPr="00F03C54">
        <w:rPr>
          <w:rFonts w:eastAsia="Times New Roman"/>
          <w:b/>
          <w:sz w:val="22"/>
          <w:szCs w:val="22"/>
        </w:rPr>
        <w:t>com Doença de Crohn</w:t>
      </w:r>
    </w:p>
    <w:p w14:paraId="4CE336B8" w14:textId="77777777" w:rsidR="000550F3" w:rsidRPr="00F03C54" w:rsidRDefault="000550F3" w:rsidP="000550F3">
      <w:pPr>
        <w:keepNext/>
        <w:tabs>
          <w:tab w:val="left" w:pos="562"/>
        </w:tabs>
        <w:suppressAutoHyphens/>
        <w:rPr>
          <w:rFonts w:eastAsia="Times New Roman"/>
          <w:sz w:val="22"/>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10"/>
        <w:gridCol w:w="6338"/>
        <w:gridCol w:w="1807"/>
      </w:tblGrid>
      <w:tr w:rsidR="00A7162A" w14:paraId="6F9822E0" w14:textId="77777777" w:rsidTr="00A00389">
        <w:trPr>
          <w:tblHeader/>
        </w:trPr>
        <w:tc>
          <w:tcPr>
            <w:tcW w:w="0" w:type="auto"/>
            <w:tcBorders>
              <w:top w:val="single" w:sz="6" w:space="0" w:color="000000"/>
              <w:left w:val="single" w:sz="6" w:space="0" w:color="000000"/>
              <w:bottom w:val="single" w:sz="6" w:space="0" w:color="000000"/>
              <w:right w:val="single" w:sz="6" w:space="0" w:color="000000"/>
            </w:tcBorders>
            <w:hideMark/>
          </w:tcPr>
          <w:p w14:paraId="43B6FFF8" w14:textId="77777777" w:rsidR="000550F3" w:rsidRPr="000550F3" w:rsidRDefault="00615769">
            <w:pPr>
              <w:keepNext/>
              <w:tabs>
                <w:tab w:val="left" w:pos="562"/>
              </w:tabs>
              <w:suppressAutoHyphens/>
              <w:jc w:val="center"/>
              <w:rPr>
                <w:rFonts w:eastAsia="Times New Roman"/>
                <w:sz w:val="22"/>
                <w:lang w:val="en-US"/>
              </w:rPr>
            </w:pPr>
            <w:r w:rsidRPr="000550F3">
              <w:rPr>
                <w:rFonts w:eastAsia="Times New Roman"/>
                <w:b/>
                <w:sz w:val="22"/>
                <w:lang w:val="en-US"/>
              </w:rPr>
              <w:t>P</w:t>
            </w:r>
            <w:r w:rsidR="00E905A5">
              <w:rPr>
                <w:rFonts w:eastAsia="Times New Roman"/>
                <w:b/>
                <w:sz w:val="22"/>
                <w:lang w:val="en-US"/>
              </w:rPr>
              <w:t>eso do Doente</w:t>
            </w:r>
          </w:p>
        </w:tc>
        <w:tc>
          <w:tcPr>
            <w:tcW w:w="0" w:type="auto"/>
            <w:tcBorders>
              <w:top w:val="single" w:sz="6" w:space="0" w:color="000000"/>
              <w:left w:val="single" w:sz="6" w:space="0" w:color="000000"/>
              <w:bottom w:val="single" w:sz="6" w:space="0" w:color="000000"/>
              <w:right w:val="single" w:sz="6" w:space="0" w:color="000000"/>
            </w:tcBorders>
            <w:hideMark/>
          </w:tcPr>
          <w:p w14:paraId="5E869FBD" w14:textId="77777777" w:rsidR="000550F3" w:rsidRPr="000550F3" w:rsidRDefault="00615769">
            <w:pPr>
              <w:keepNext/>
              <w:tabs>
                <w:tab w:val="left" w:pos="562"/>
              </w:tabs>
              <w:suppressAutoHyphens/>
              <w:jc w:val="center"/>
              <w:rPr>
                <w:rFonts w:eastAsia="Times New Roman"/>
                <w:sz w:val="22"/>
                <w:lang w:val="en-US"/>
              </w:rPr>
            </w:pPr>
            <w:r>
              <w:rPr>
                <w:rFonts w:eastAsia="Times New Roman"/>
                <w:b/>
                <w:sz w:val="22"/>
                <w:lang w:val="en-US"/>
              </w:rPr>
              <w:t>Dose de Indução</w:t>
            </w:r>
          </w:p>
        </w:tc>
        <w:tc>
          <w:tcPr>
            <w:tcW w:w="0" w:type="auto"/>
            <w:tcBorders>
              <w:top w:val="single" w:sz="6" w:space="0" w:color="000000"/>
              <w:left w:val="single" w:sz="6" w:space="0" w:color="000000"/>
              <w:bottom w:val="single" w:sz="6" w:space="0" w:color="000000"/>
              <w:right w:val="single" w:sz="6" w:space="0" w:color="000000"/>
            </w:tcBorders>
            <w:hideMark/>
          </w:tcPr>
          <w:p w14:paraId="6DAAFCE9" w14:textId="77777777" w:rsidR="00E905A5" w:rsidRDefault="00615769">
            <w:pPr>
              <w:keepNext/>
              <w:tabs>
                <w:tab w:val="left" w:pos="562"/>
              </w:tabs>
              <w:suppressAutoHyphens/>
              <w:jc w:val="center"/>
              <w:rPr>
                <w:rFonts w:eastAsia="Times New Roman"/>
                <w:b/>
                <w:sz w:val="22"/>
              </w:rPr>
            </w:pPr>
            <w:r w:rsidRPr="00F03C54">
              <w:rPr>
                <w:rFonts w:eastAsia="Times New Roman"/>
                <w:b/>
                <w:sz w:val="22"/>
              </w:rPr>
              <w:t>Dose de Manutenção com Início na</w:t>
            </w:r>
          </w:p>
          <w:p w14:paraId="53B55C06" w14:textId="77777777" w:rsidR="000550F3" w:rsidRPr="00F03C54" w:rsidRDefault="00615769">
            <w:pPr>
              <w:keepNext/>
              <w:tabs>
                <w:tab w:val="left" w:pos="562"/>
              </w:tabs>
              <w:suppressAutoHyphens/>
              <w:jc w:val="center"/>
              <w:rPr>
                <w:rFonts w:eastAsia="Times New Roman"/>
                <w:sz w:val="22"/>
              </w:rPr>
            </w:pPr>
            <w:r w:rsidRPr="00F03C54">
              <w:rPr>
                <w:rFonts w:eastAsia="Times New Roman"/>
                <w:b/>
                <w:sz w:val="22"/>
              </w:rPr>
              <w:t xml:space="preserve"> Semana 4</w:t>
            </w:r>
          </w:p>
        </w:tc>
      </w:tr>
      <w:tr w:rsidR="00A7162A" w14:paraId="0108EC34" w14:textId="77777777" w:rsidTr="00A00389">
        <w:tc>
          <w:tcPr>
            <w:tcW w:w="0" w:type="auto"/>
            <w:tcBorders>
              <w:top w:val="single" w:sz="6" w:space="0" w:color="000000"/>
              <w:left w:val="single" w:sz="6" w:space="0" w:color="000000"/>
              <w:bottom w:val="single" w:sz="6" w:space="0" w:color="000000"/>
              <w:right w:val="single" w:sz="6" w:space="0" w:color="000000"/>
            </w:tcBorders>
            <w:hideMark/>
          </w:tcPr>
          <w:p w14:paraId="3A7EDD44" w14:textId="77777777" w:rsidR="000550F3" w:rsidRPr="000550F3" w:rsidRDefault="00615769" w:rsidP="000550F3">
            <w:pPr>
              <w:keepNext/>
              <w:tabs>
                <w:tab w:val="left" w:pos="562"/>
              </w:tabs>
              <w:suppressAutoHyphens/>
              <w:jc w:val="center"/>
              <w:rPr>
                <w:rFonts w:eastAsia="Times New Roman"/>
                <w:sz w:val="22"/>
                <w:lang w:val="en-US"/>
              </w:rPr>
            </w:pPr>
            <w:r w:rsidRPr="000550F3">
              <w:rPr>
                <w:rFonts w:eastAsia="Times New Roman"/>
                <w:sz w:val="22"/>
                <w:lang w:val="en-US"/>
              </w:rPr>
              <w:t>&lt; 40 kg</w:t>
            </w:r>
          </w:p>
        </w:tc>
        <w:tc>
          <w:tcPr>
            <w:tcW w:w="0" w:type="auto"/>
            <w:tcBorders>
              <w:top w:val="single" w:sz="6" w:space="0" w:color="000000"/>
              <w:left w:val="single" w:sz="6" w:space="0" w:color="000000"/>
              <w:bottom w:val="single" w:sz="6" w:space="0" w:color="000000"/>
              <w:right w:val="single" w:sz="6" w:space="0" w:color="000000"/>
            </w:tcBorders>
            <w:hideMark/>
          </w:tcPr>
          <w:p w14:paraId="2FFB5724" w14:textId="77777777" w:rsidR="000550F3" w:rsidRPr="00F03C54" w:rsidRDefault="00615769" w:rsidP="000550F3">
            <w:pPr>
              <w:keepNext/>
              <w:numPr>
                <w:ilvl w:val="0"/>
                <w:numId w:val="137"/>
              </w:numPr>
              <w:tabs>
                <w:tab w:val="left" w:pos="562"/>
              </w:tabs>
              <w:suppressAutoHyphens/>
              <w:ind w:left="307" w:hanging="180"/>
              <w:rPr>
                <w:rFonts w:eastAsia="Times New Roman"/>
                <w:sz w:val="22"/>
                <w:szCs w:val="22"/>
              </w:rPr>
            </w:pPr>
            <w:r w:rsidRPr="00F03C54">
              <w:rPr>
                <w:rFonts w:eastAsia="Times New Roman"/>
                <w:sz w:val="22"/>
                <w:szCs w:val="22"/>
              </w:rPr>
              <w:t xml:space="preserve">40 mg </w:t>
            </w:r>
            <w:r w:rsidR="00E905A5">
              <w:rPr>
                <w:rFonts w:eastAsia="Times New Roman"/>
                <w:sz w:val="22"/>
                <w:szCs w:val="22"/>
              </w:rPr>
              <w:t xml:space="preserve">na </w:t>
            </w:r>
            <w:r w:rsidR="002C2941">
              <w:rPr>
                <w:rFonts w:eastAsia="Times New Roman"/>
                <w:sz w:val="22"/>
                <w:szCs w:val="22"/>
              </w:rPr>
              <w:t>s</w:t>
            </w:r>
            <w:r w:rsidR="00E905A5" w:rsidRPr="00F03C54">
              <w:rPr>
                <w:rFonts w:eastAsia="Times New Roman"/>
                <w:sz w:val="22"/>
                <w:szCs w:val="22"/>
              </w:rPr>
              <w:t xml:space="preserve">emana </w:t>
            </w:r>
            <w:r w:rsidRPr="00F03C54">
              <w:rPr>
                <w:rFonts w:eastAsia="Times New Roman"/>
                <w:sz w:val="22"/>
                <w:szCs w:val="22"/>
              </w:rPr>
              <w:t xml:space="preserve">0 </w:t>
            </w:r>
            <w:r w:rsidR="00E905A5" w:rsidRPr="00F03C54">
              <w:rPr>
                <w:rFonts w:eastAsia="Times New Roman"/>
                <w:sz w:val="22"/>
                <w:szCs w:val="22"/>
              </w:rPr>
              <w:t>e</w:t>
            </w:r>
            <w:r w:rsidRPr="00F03C54">
              <w:rPr>
                <w:rFonts w:eastAsia="Times New Roman"/>
                <w:sz w:val="22"/>
                <w:szCs w:val="22"/>
              </w:rPr>
              <w:t xml:space="preserve"> 20 mg </w:t>
            </w:r>
            <w:r w:rsidR="00E905A5" w:rsidRPr="00F03C54">
              <w:rPr>
                <w:rFonts w:eastAsia="Times New Roman"/>
                <w:sz w:val="22"/>
                <w:szCs w:val="22"/>
              </w:rPr>
              <w:t xml:space="preserve">na </w:t>
            </w:r>
            <w:r w:rsidR="002C2941">
              <w:rPr>
                <w:rFonts w:eastAsia="Times New Roman"/>
                <w:sz w:val="22"/>
                <w:szCs w:val="22"/>
              </w:rPr>
              <w:t>s</w:t>
            </w:r>
            <w:r w:rsidR="00E905A5" w:rsidRPr="00F03C54">
              <w:rPr>
                <w:rFonts w:eastAsia="Times New Roman"/>
                <w:sz w:val="22"/>
                <w:szCs w:val="22"/>
              </w:rPr>
              <w:t>emana 2</w:t>
            </w:r>
          </w:p>
          <w:p w14:paraId="584AC6F6" w14:textId="77777777" w:rsidR="000550F3" w:rsidRPr="00F03C54" w:rsidRDefault="000550F3" w:rsidP="000550F3">
            <w:pPr>
              <w:keepNext/>
              <w:ind w:left="337"/>
              <w:rPr>
                <w:rFonts w:eastAsia="Times New Roman"/>
                <w:sz w:val="22"/>
                <w:szCs w:val="22"/>
              </w:rPr>
            </w:pPr>
          </w:p>
          <w:p w14:paraId="47BF9EC3" w14:textId="77777777" w:rsidR="000550F3" w:rsidRPr="00F03C54" w:rsidRDefault="00615769" w:rsidP="00F03C54">
            <w:pPr>
              <w:rPr>
                <w:rFonts w:eastAsia="Times New Roman"/>
                <w:sz w:val="22"/>
                <w:szCs w:val="22"/>
              </w:rPr>
            </w:pPr>
            <w:r w:rsidRPr="00E905A5">
              <w:rPr>
                <w:sz w:val="22"/>
                <w:szCs w:val="22"/>
              </w:rPr>
              <w:t>No caso de haver necessidade de uma resposta mais rápida à terapêutica</w:t>
            </w:r>
            <w:r w:rsidRPr="00F03C54">
              <w:rPr>
                <w:sz w:val="22"/>
                <w:szCs w:val="22"/>
              </w:rPr>
              <w:t xml:space="preserve">, sendo </w:t>
            </w:r>
            <w:r w:rsidRPr="008912CF">
              <w:rPr>
                <w:sz w:val="22"/>
                <w:szCs w:val="22"/>
              </w:rPr>
              <w:t>que o risco de acontecimentos adversos pode ser superior com o u</w:t>
            </w:r>
            <w:r w:rsidR="00782FAB">
              <w:rPr>
                <w:sz w:val="22"/>
                <w:szCs w:val="22"/>
              </w:rPr>
              <w:t>so de uma dose de indução maior, pode ser usada a seguinte dose:</w:t>
            </w:r>
          </w:p>
          <w:p w14:paraId="1D3A7F0D" w14:textId="77777777" w:rsidR="000550F3" w:rsidRPr="00F03C54" w:rsidRDefault="00615769" w:rsidP="00F03C54">
            <w:pPr>
              <w:keepNext/>
              <w:numPr>
                <w:ilvl w:val="0"/>
                <w:numId w:val="139"/>
              </w:numPr>
              <w:tabs>
                <w:tab w:val="left" w:pos="562"/>
              </w:tabs>
              <w:suppressAutoHyphens/>
              <w:ind w:left="307" w:hanging="180"/>
              <w:rPr>
                <w:rFonts w:eastAsia="Times New Roman"/>
                <w:iCs/>
                <w:sz w:val="22"/>
                <w:szCs w:val="22"/>
              </w:rPr>
            </w:pPr>
            <w:r w:rsidRPr="00F03C54">
              <w:rPr>
                <w:rFonts w:eastAsia="Times New Roman"/>
                <w:sz w:val="22"/>
                <w:szCs w:val="22"/>
              </w:rPr>
              <w:t xml:space="preserve">80 mg </w:t>
            </w:r>
            <w:r w:rsidR="00782FAB" w:rsidRPr="00F03C54">
              <w:rPr>
                <w:rFonts w:eastAsia="Times New Roman"/>
                <w:sz w:val="22"/>
                <w:szCs w:val="22"/>
              </w:rPr>
              <w:t xml:space="preserve">na </w:t>
            </w:r>
            <w:r w:rsidR="002C2941">
              <w:rPr>
                <w:rFonts w:eastAsia="Times New Roman"/>
                <w:sz w:val="22"/>
                <w:szCs w:val="22"/>
              </w:rPr>
              <w:t>s</w:t>
            </w:r>
            <w:r w:rsidR="00782FAB" w:rsidRPr="00F03C54">
              <w:rPr>
                <w:rFonts w:eastAsia="Times New Roman"/>
                <w:sz w:val="22"/>
                <w:szCs w:val="22"/>
              </w:rPr>
              <w:t xml:space="preserve">emana </w:t>
            </w:r>
            <w:r w:rsidRPr="00F03C54">
              <w:rPr>
                <w:rFonts w:eastAsia="Times New Roman"/>
                <w:sz w:val="22"/>
                <w:szCs w:val="22"/>
              </w:rPr>
              <w:t xml:space="preserve">0 </w:t>
            </w:r>
            <w:r w:rsidR="00782FAB" w:rsidRPr="00F03C54">
              <w:rPr>
                <w:rFonts w:eastAsia="Times New Roman"/>
                <w:sz w:val="22"/>
                <w:szCs w:val="22"/>
              </w:rPr>
              <w:t xml:space="preserve">e </w:t>
            </w:r>
            <w:r w:rsidRPr="00F03C54">
              <w:rPr>
                <w:rFonts w:eastAsia="Times New Roman"/>
                <w:sz w:val="22"/>
                <w:szCs w:val="22"/>
              </w:rPr>
              <w:t xml:space="preserve">40 mg </w:t>
            </w:r>
            <w:r w:rsidR="00782FAB" w:rsidRPr="00F03C54">
              <w:rPr>
                <w:rFonts w:eastAsia="Times New Roman"/>
                <w:sz w:val="22"/>
                <w:szCs w:val="22"/>
              </w:rPr>
              <w:t xml:space="preserve">na </w:t>
            </w:r>
            <w:r w:rsidR="002C2941">
              <w:rPr>
                <w:rFonts w:eastAsia="Times New Roman"/>
                <w:sz w:val="22"/>
                <w:szCs w:val="22"/>
              </w:rPr>
              <w:t>s</w:t>
            </w:r>
            <w:r w:rsidR="00782FAB" w:rsidRPr="00F03C54">
              <w:rPr>
                <w:rFonts w:eastAsia="Times New Roman"/>
                <w:sz w:val="22"/>
                <w:szCs w:val="22"/>
              </w:rPr>
              <w:t>emana 2</w:t>
            </w:r>
          </w:p>
        </w:tc>
        <w:tc>
          <w:tcPr>
            <w:tcW w:w="0" w:type="auto"/>
            <w:tcBorders>
              <w:top w:val="single" w:sz="6" w:space="0" w:color="000000"/>
              <w:left w:val="single" w:sz="6" w:space="0" w:color="000000"/>
              <w:bottom w:val="single" w:sz="6" w:space="0" w:color="000000"/>
              <w:right w:val="single" w:sz="6" w:space="0" w:color="000000"/>
            </w:tcBorders>
            <w:hideMark/>
          </w:tcPr>
          <w:p w14:paraId="6828D1E3" w14:textId="77777777" w:rsidR="000550F3" w:rsidRPr="000550F3" w:rsidRDefault="00615769">
            <w:pPr>
              <w:keepNext/>
              <w:ind w:left="27"/>
              <w:jc w:val="center"/>
              <w:rPr>
                <w:rFonts w:eastAsia="Times New Roman"/>
                <w:sz w:val="22"/>
                <w:lang w:val="en-US"/>
              </w:rPr>
            </w:pPr>
            <w:r w:rsidRPr="000550F3">
              <w:rPr>
                <w:rFonts w:eastAsia="Times New Roman"/>
                <w:sz w:val="22"/>
                <w:lang w:val="en-US"/>
              </w:rPr>
              <w:t xml:space="preserve">20 mg </w:t>
            </w:r>
            <w:r w:rsidR="00E905A5">
              <w:rPr>
                <w:rFonts w:eastAsia="Times New Roman"/>
                <w:sz w:val="22"/>
                <w:lang w:val="en-US"/>
              </w:rPr>
              <w:t>em semanas alternadas</w:t>
            </w:r>
          </w:p>
        </w:tc>
      </w:tr>
      <w:tr w:rsidR="00A7162A" w14:paraId="79682D80" w14:textId="77777777" w:rsidTr="00A00389">
        <w:tc>
          <w:tcPr>
            <w:tcW w:w="0" w:type="auto"/>
            <w:tcBorders>
              <w:top w:val="single" w:sz="6" w:space="0" w:color="000000"/>
              <w:left w:val="single" w:sz="6" w:space="0" w:color="000000"/>
              <w:bottom w:val="single" w:sz="6" w:space="0" w:color="000000"/>
              <w:right w:val="single" w:sz="6" w:space="0" w:color="000000"/>
            </w:tcBorders>
            <w:hideMark/>
          </w:tcPr>
          <w:p w14:paraId="4E5A283C" w14:textId="77777777" w:rsidR="000550F3" w:rsidRPr="000550F3" w:rsidRDefault="00615769" w:rsidP="000550F3">
            <w:pPr>
              <w:keepNext/>
              <w:tabs>
                <w:tab w:val="left" w:pos="562"/>
              </w:tabs>
              <w:suppressAutoHyphens/>
              <w:jc w:val="center"/>
              <w:rPr>
                <w:rFonts w:eastAsia="Times New Roman"/>
                <w:sz w:val="22"/>
                <w:lang w:val="en-US"/>
              </w:rPr>
            </w:pPr>
            <w:r w:rsidRPr="000550F3">
              <w:rPr>
                <w:rFonts w:eastAsia="Times New Roman"/>
                <w:sz w:val="22"/>
                <w:lang w:val="en-US"/>
              </w:rPr>
              <w:t>≥ 40 kg</w:t>
            </w:r>
          </w:p>
        </w:tc>
        <w:tc>
          <w:tcPr>
            <w:tcW w:w="0" w:type="auto"/>
            <w:tcBorders>
              <w:top w:val="single" w:sz="6" w:space="0" w:color="000000"/>
              <w:left w:val="single" w:sz="6" w:space="0" w:color="000000"/>
              <w:bottom w:val="single" w:sz="6" w:space="0" w:color="000000"/>
              <w:right w:val="single" w:sz="6" w:space="0" w:color="000000"/>
            </w:tcBorders>
            <w:hideMark/>
          </w:tcPr>
          <w:p w14:paraId="73C6591E" w14:textId="77777777" w:rsidR="000550F3" w:rsidRPr="00F03C54" w:rsidRDefault="00615769" w:rsidP="000550F3">
            <w:pPr>
              <w:keepNext/>
              <w:numPr>
                <w:ilvl w:val="0"/>
                <w:numId w:val="140"/>
              </w:numPr>
              <w:tabs>
                <w:tab w:val="left" w:pos="562"/>
              </w:tabs>
              <w:suppressAutoHyphens/>
              <w:ind w:left="307" w:hanging="175"/>
              <w:rPr>
                <w:rFonts w:eastAsia="Times New Roman"/>
                <w:sz w:val="22"/>
                <w:szCs w:val="22"/>
              </w:rPr>
            </w:pPr>
            <w:r w:rsidRPr="00F03C54">
              <w:rPr>
                <w:rFonts w:eastAsia="Times New Roman"/>
                <w:sz w:val="22"/>
                <w:szCs w:val="22"/>
              </w:rPr>
              <w:t xml:space="preserve">80 mg </w:t>
            </w:r>
            <w:r w:rsidR="00782FAB" w:rsidRPr="00F03C54">
              <w:rPr>
                <w:rFonts w:eastAsia="Times New Roman"/>
                <w:sz w:val="22"/>
                <w:szCs w:val="22"/>
              </w:rPr>
              <w:t xml:space="preserve">na semana 0 e </w:t>
            </w:r>
            <w:r w:rsidRPr="00F03C54">
              <w:rPr>
                <w:rFonts w:eastAsia="Times New Roman"/>
                <w:sz w:val="22"/>
                <w:szCs w:val="22"/>
              </w:rPr>
              <w:t xml:space="preserve">40 mg </w:t>
            </w:r>
            <w:r w:rsidR="00782FAB" w:rsidRPr="00F03C54">
              <w:rPr>
                <w:rFonts w:eastAsia="Times New Roman"/>
                <w:sz w:val="22"/>
                <w:szCs w:val="22"/>
              </w:rPr>
              <w:t xml:space="preserve">na </w:t>
            </w:r>
            <w:r w:rsidR="002C2941">
              <w:rPr>
                <w:rFonts w:eastAsia="Times New Roman"/>
                <w:sz w:val="22"/>
                <w:szCs w:val="22"/>
              </w:rPr>
              <w:t>s</w:t>
            </w:r>
            <w:r w:rsidR="00782FAB" w:rsidRPr="00F03C54">
              <w:rPr>
                <w:rFonts w:eastAsia="Times New Roman"/>
                <w:sz w:val="22"/>
                <w:szCs w:val="22"/>
              </w:rPr>
              <w:t>emana 2</w:t>
            </w:r>
          </w:p>
          <w:p w14:paraId="1B55B89B" w14:textId="77777777" w:rsidR="00AB606B" w:rsidRDefault="00AB606B" w:rsidP="00782FAB">
            <w:pPr>
              <w:rPr>
                <w:sz w:val="22"/>
                <w:szCs w:val="22"/>
              </w:rPr>
            </w:pPr>
          </w:p>
          <w:p w14:paraId="4297CA94" w14:textId="77777777" w:rsidR="00782FAB" w:rsidRPr="000A1E2A" w:rsidRDefault="00615769" w:rsidP="00782FAB">
            <w:pPr>
              <w:rPr>
                <w:rFonts w:eastAsia="Times New Roman"/>
                <w:sz w:val="22"/>
                <w:szCs w:val="22"/>
              </w:rPr>
            </w:pPr>
            <w:r w:rsidRPr="000A1E2A">
              <w:rPr>
                <w:sz w:val="22"/>
                <w:szCs w:val="22"/>
              </w:rPr>
              <w:t xml:space="preserve">No caso de haver necessidade de uma resposta mais rápida à terapêutica, sendo </w:t>
            </w:r>
            <w:r w:rsidRPr="008912CF">
              <w:rPr>
                <w:sz w:val="22"/>
                <w:szCs w:val="22"/>
              </w:rPr>
              <w:t>que o risco de acontecimentos adversos pode ser superior com o u</w:t>
            </w:r>
            <w:r>
              <w:rPr>
                <w:sz w:val="22"/>
                <w:szCs w:val="22"/>
              </w:rPr>
              <w:t>so de uma dose de indução maior, pode ser usada a seguinte dose:</w:t>
            </w:r>
          </w:p>
          <w:p w14:paraId="5443796A" w14:textId="77777777" w:rsidR="000550F3" w:rsidRPr="00F03C54" w:rsidRDefault="00615769" w:rsidP="00F03C54">
            <w:pPr>
              <w:keepNext/>
              <w:numPr>
                <w:ilvl w:val="0"/>
                <w:numId w:val="138"/>
              </w:numPr>
              <w:tabs>
                <w:tab w:val="left" w:pos="562"/>
              </w:tabs>
              <w:suppressAutoHyphens/>
              <w:ind w:left="314" w:hanging="187"/>
              <w:rPr>
                <w:rFonts w:eastAsia="Times New Roman"/>
                <w:sz w:val="22"/>
                <w:szCs w:val="22"/>
              </w:rPr>
            </w:pPr>
            <w:r w:rsidRPr="00F03C54">
              <w:rPr>
                <w:rFonts w:eastAsia="Times New Roman"/>
                <w:sz w:val="22"/>
                <w:szCs w:val="22"/>
              </w:rPr>
              <w:t>160 mg</w:t>
            </w:r>
            <w:r w:rsidR="00782FAB" w:rsidRPr="00F03C54">
              <w:rPr>
                <w:rFonts w:eastAsia="Times New Roman"/>
                <w:sz w:val="22"/>
                <w:szCs w:val="22"/>
              </w:rPr>
              <w:t xml:space="preserve"> na </w:t>
            </w:r>
            <w:r w:rsidR="002C2941">
              <w:rPr>
                <w:rFonts w:eastAsia="Times New Roman"/>
                <w:sz w:val="22"/>
                <w:szCs w:val="22"/>
              </w:rPr>
              <w:t>s</w:t>
            </w:r>
            <w:r w:rsidR="00782FAB" w:rsidRPr="00F03C54">
              <w:rPr>
                <w:rFonts w:eastAsia="Times New Roman"/>
                <w:sz w:val="22"/>
                <w:szCs w:val="22"/>
              </w:rPr>
              <w:t xml:space="preserve">emana </w:t>
            </w:r>
            <w:r w:rsidRPr="00F03C54">
              <w:rPr>
                <w:rFonts w:eastAsia="Times New Roman"/>
                <w:sz w:val="22"/>
                <w:szCs w:val="22"/>
              </w:rPr>
              <w:t xml:space="preserve">0 </w:t>
            </w:r>
            <w:r w:rsidR="00782FAB" w:rsidRPr="00F03C54">
              <w:rPr>
                <w:rFonts w:eastAsia="Times New Roman"/>
                <w:sz w:val="22"/>
                <w:szCs w:val="22"/>
              </w:rPr>
              <w:t xml:space="preserve">e </w:t>
            </w:r>
            <w:r w:rsidRPr="00F03C54">
              <w:rPr>
                <w:rFonts w:eastAsia="Times New Roman"/>
                <w:sz w:val="22"/>
                <w:szCs w:val="22"/>
              </w:rPr>
              <w:t xml:space="preserve">80 mg </w:t>
            </w:r>
            <w:r w:rsidR="00782FAB" w:rsidRPr="00F03C54">
              <w:rPr>
                <w:rFonts w:eastAsia="Times New Roman"/>
                <w:sz w:val="22"/>
                <w:szCs w:val="22"/>
              </w:rPr>
              <w:t xml:space="preserve">na semana </w:t>
            </w:r>
            <w:r w:rsidRPr="00F03C54">
              <w:rPr>
                <w:rFonts w:eastAsia="Times New Roman"/>
                <w:sz w:val="22"/>
                <w:szCs w:val="22"/>
              </w:rPr>
              <w:t>2</w:t>
            </w:r>
          </w:p>
        </w:tc>
        <w:tc>
          <w:tcPr>
            <w:tcW w:w="0" w:type="auto"/>
            <w:tcBorders>
              <w:top w:val="single" w:sz="6" w:space="0" w:color="000000"/>
              <w:left w:val="single" w:sz="6" w:space="0" w:color="000000"/>
              <w:bottom w:val="single" w:sz="6" w:space="0" w:color="000000"/>
              <w:right w:val="single" w:sz="6" w:space="0" w:color="000000"/>
            </w:tcBorders>
            <w:hideMark/>
          </w:tcPr>
          <w:p w14:paraId="3B95B5B1" w14:textId="77777777" w:rsidR="000550F3" w:rsidRPr="000550F3" w:rsidRDefault="00615769">
            <w:pPr>
              <w:keepNext/>
              <w:ind w:left="36"/>
              <w:jc w:val="center"/>
              <w:rPr>
                <w:rFonts w:eastAsia="Times New Roman"/>
                <w:sz w:val="22"/>
                <w:lang w:val="en-US"/>
              </w:rPr>
            </w:pPr>
            <w:r w:rsidRPr="000550F3">
              <w:rPr>
                <w:rFonts w:eastAsia="Times New Roman"/>
                <w:sz w:val="22"/>
                <w:lang w:val="en-US"/>
              </w:rPr>
              <w:t>40 mg e</w:t>
            </w:r>
            <w:r w:rsidR="00E905A5">
              <w:rPr>
                <w:rFonts w:eastAsia="Times New Roman"/>
                <w:sz w:val="22"/>
                <w:lang w:val="en-US"/>
              </w:rPr>
              <w:t>m semanas alternadas</w:t>
            </w:r>
          </w:p>
        </w:tc>
      </w:tr>
    </w:tbl>
    <w:p w14:paraId="2CA67E6A" w14:textId="77777777" w:rsidR="000550F3" w:rsidRPr="000550F3" w:rsidRDefault="000550F3" w:rsidP="000550F3">
      <w:pPr>
        <w:keepNext/>
        <w:tabs>
          <w:tab w:val="left" w:pos="562"/>
        </w:tabs>
        <w:suppressAutoHyphens/>
        <w:rPr>
          <w:rFonts w:eastAsia="Times New Roman"/>
          <w:sz w:val="22"/>
          <w:lang w:val="en-GB"/>
        </w:rPr>
      </w:pPr>
    </w:p>
    <w:p w14:paraId="0A4C662D" w14:textId="77777777" w:rsidR="000550F3" w:rsidRPr="00F03C54" w:rsidRDefault="00615769" w:rsidP="000550F3">
      <w:pPr>
        <w:keepNext/>
        <w:tabs>
          <w:tab w:val="left" w:pos="562"/>
        </w:tabs>
        <w:suppressAutoHyphens/>
        <w:rPr>
          <w:rFonts w:eastAsia="Times New Roman"/>
          <w:sz w:val="22"/>
        </w:rPr>
      </w:pPr>
      <w:r>
        <w:rPr>
          <w:sz w:val="22"/>
          <w:szCs w:val="22"/>
        </w:rPr>
        <w:t xml:space="preserve">Os </w:t>
      </w:r>
      <w:r w:rsidRPr="008912CF">
        <w:rPr>
          <w:sz w:val="22"/>
          <w:szCs w:val="22"/>
        </w:rPr>
        <w:t>doentes que apresentarem resposta terapêutica insuficiente, podem beneficiar de um aumento da  dose</w:t>
      </w:r>
      <w:r>
        <w:rPr>
          <w:sz w:val="22"/>
          <w:szCs w:val="22"/>
        </w:rPr>
        <w:t>:</w:t>
      </w:r>
    </w:p>
    <w:p w14:paraId="2FF892A2" w14:textId="77777777" w:rsidR="000550F3" w:rsidRPr="000550F3" w:rsidRDefault="00615769" w:rsidP="000550F3">
      <w:pPr>
        <w:keepNext/>
        <w:numPr>
          <w:ilvl w:val="0"/>
          <w:numId w:val="138"/>
        </w:numPr>
        <w:tabs>
          <w:tab w:val="left" w:pos="540"/>
        </w:tabs>
        <w:suppressAutoHyphens/>
        <w:ind w:left="540" w:hanging="540"/>
        <w:rPr>
          <w:rFonts w:eastAsia="Times New Roman"/>
          <w:sz w:val="22"/>
          <w:lang w:val="en-GB"/>
        </w:rPr>
      </w:pPr>
      <w:r w:rsidRPr="000550F3">
        <w:rPr>
          <w:rFonts w:eastAsia="Times New Roman"/>
          <w:sz w:val="22"/>
          <w:lang w:val="en-GB"/>
        </w:rPr>
        <w:t xml:space="preserve">&lt; 40 kg: 20 mg </w:t>
      </w:r>
      <w:r w:rsidR="00FC55A6">
        <w:rPr>
          <w:rFonts w:eastAsia="Times New Roman"/>
          <w:sz w:val="22"/>
          <w:lang w:val="en-GB"/>
        </w:rPr>
        <w:t>todas as semanas</w:t>
      </w:r>
    </w:p>
    <w:p w14:paraId="6E1E12DC" w14:textId="77777777" w:rsidR="000550F3" w:rsidRPr="00E26768" w:rsidRDefault="00615769" w:rsidP="000550F3">
      <w:pPr>
        <w:keepNext/>
        <w:numPr>
          <w:ilvl w:val="0"/>
          <w:numId w:val="138"/>
        </w:numPr>
        <w:tabs>
          <w:tab w:val="left" w:pos="540"/>
        </w:tabs>
        <w:suppressAutoHyphens/>
        <w:ind w:left="540" w:hanging="540"/>
        <w:rPr>
          <w:rFonts w:eastAsia="Times New Roman"/>
          <w:sz w:val="22"/>
        </w:rPr>
      </w:pPr>
      <w:r w:rsidRPr="00E26768">
        <w:rPr>
          <w:rFonts w:eastAsia="Times New Roman"/>
          <w:sz w:val="22"/>
        </w:rPr>
        <w:t xml:space="preserve">≥ 40 kg: 40 mg </w:t>
      </w:r>
      <w:r w:rsidR="00FC55A6" w:rsidRPr="00E26768">
        <w:rPr>
          <w:rFonts w:eastAsia="Times New Roman"/>
          <w:sz w:val="22"/>
        </w:rPr>
        <w:t>todas as semanas</w:t>
      </w:r>
      <w:r w:rsidR="00AF6A53" w:rsidRPr="00E26768">
        <w:rPr>
          <w:rFonts w:eastAsia="Times New Roman"/>
          <w:sz w:val="22"/>
        </w:rPr>
        <w:t xml:space="preserve"> ou 80 mg em semanas alternadas</w:t>
      </w:r>
    </w:p>
    <w:p w14:paraId="12C6831A" w14:textId="77777777" w:rsidR="000550F3" w:rsidRPr="00E26768" w:rsidRDefault="000550F3" w:rsidP="000550F3">
      <w:pPr>
        <w:tabs>
          <w:tab w:val="left" w:pos="562"/>
        </w:tabs>
        <w:suppressAutoHyphens/>
        <w:rPr>
          <w:rFonts w:eastAsia="Times New Roman"/>
          <w:sz w:val="22"/>
        </w:rPr>
      </w:pPr>
    </w:p>
    <w:p w14:paraId="64A0359D" w14:textId="77777777" w:rsidR="00FC55A6" w:rsidRPr="008912CF" w:rsidRDefault="00615769" w:rsidP="00FC55A6">
      <w:pPr>
        <w:rPr>
          <w:bCs/>
          <w:iCs/>
          <w:sz w:val="22"/>
          <w:szCs w:val="22"/>
        </w:rPr>
      </w:pPr>
      <w:r w:rsidRPr="008912CF">
        <w:rPr>
          <w:bCs/>
          <w:iCs/>
          <w:sz w:val="22"/>
          <w:szCs w:val="22"/>
        </w:rPr>
        <w:t xml:space="preserve">Uma terapêutica continuada deve ser cuidadosamente reconsiderada nos doentes que não responderam até à </w:t>
      </w:r>
      <w:r w:rsidR="002C2941">
        <w:rPr>
          <w:bCs/>
          <w:iCs/>
          <w:sz w:val="22"/>
          <w:szCs w:val="22"/>
        </w:rPr>
        <w:t>s</w:t>
      </w:r>
      <w:r w:rsidRPr="008912CF">
        <w:rPr>
          <w:bCs/>
          <w:iCs/>
          <w:sz w:val="22"/>
          <w:szCs w:val="22"/>
        </w:rPr>
        <w:t>emana</w:t>
      </w:r>
      <w:r>
        <w:rPr>
          <w:bCs/>
          <w:iCs/>
          <w:sz w:val="22"/>
          <w:szCs w:val="22"/>
        </w:rPr>
        <w:t> </w:t>
      </w:r>
      <w:r w:rsidRPr="008912CF">
        <w:rPr>
          <w:bCs/>
          <w:iCs/>
          <w:sz w:val="22"/>
          <w:szCs w:val="22"/>
        </w:rPr>
        <w:t>12.</w:t>
      </w:r>
    </w:p>
    <w:p w14:paraId="7135B893" w14:textId="77777777" w:rsidR="00FC55A6" w:rsidRPr="00B2651E" w:rsidRDefault="00FC55A6" w:rsidP="002F6811">
      <w:pPr>
        <w:rPr>
          <w:sz w:val="22"/>
          <w:szCs w:val="22"/>
        </w:rPr>
      </w:pPr>
    </w:p>
    <w:p w14:paraId="34F6D8DD" w14:textId="77777777" w:rsidR="00FC55A6" w:rsidRPr="00B2651E" w:rsidRDefault="00615769" w:rsidP="00FC55A6">
      <w:pPr>
        <w:rPr>
          <w:sz w:val="22"/>
          <w:szCs w:val="22"/>
        </w:rPr>
      </w:pPr>
      <w:r w:rsidRPr="00B2651E">
        <w:rPr>
          <w:sz w:val="22"/>
          <w:szCs w:val="22"/>
        </w:rPr>
        <w:t>Não existe utilização relevante de Humira em crianças com menos de 6 anos, para esta indicação.</w:t>
      </w:r>
    </w:p>
    <w:p w14:paraId="7CEA5AB1" w14:textId="77777777" w:rsidR="00FC55A6" w:rsidRPr="00B2651E" w:rsidRDefault="00FC55A6" w:rsidP="002F6811">
      <w:pPr>
        <w:rPr>
          <w:sz w:val="22"/>
          <w:szCs w:val="22"/>
        </w:rPr>
      </w:pPr>
    </w:p>
    <w:p w14:paraId="45A63249" w14:textId="77777777" w:rsidR="004176CD" w:rsidRPr="00B2651E" w:rsidRDefault="00615769" w:rsidP="002F6811">
      <w:pPr>
        <w:rPr>
          <w:sz w:val="22"/>
          <w:szCs w:val="22"/>
        </w:rPr>
      </w:pPr>
      <w:r>
        <w:rPr>
          <w:sz w:val="22"/>
          <w:szCs w:val="22"/>
        </w:rPr>
        <w:t>Humira pode estar</w:t>
      </w:r>
      <w:r w:rsidRPr="00B2651E">
        <w:rPr>
          <w:sz w:val="22"/>
          <w:szCs w:val="22"/>
        </w:rPr>
        <w:t xml:space="preserve"> disponível em outras dosagens e/ou apresentações dependendo das necessidades de cada doente.</w:t>
      </w:r>
    </w:p>
    <w:p w14:paraId="13E3E946" w14:textId="77777777" w:rsidR="004176CD" w:rsidRPr="00B2651E" w:rsidRDefault="004176CD" w:rsidP="002F6811">
      <w:pPr>
        <w:rPr>
          <w:sz w:val="22"/>
          <w:szCs w:val="22"/>
        </w:rPr>
      </w:pPr>
    </w:p>
    <w:p w14:paraId="2978D23C" w14:textId="77777777" w:rsidR="002F6811" w:rsidRPr="00B2651E" w:rsidRDefault="00615769" w:rsidP="002F6811">
      <w:pPr>
        <w:rPr>
          <w:bCs/>
          <w:i/>
          <w:iCs/>
          <w:sz w:val="22"/>
          <w:szCs w:val="22"/>
        </w:rPr>
      </w:pPr>
      <w:r w:rsidRPr="00B2651E">
        <w:rPr>
          <w:bCs/>
          <w:i/>
          <w:iCs/>
          <w:sz w:val="22"/>
          <w:szCs w:val="22"/>
        </w:rPr>
        <w:t xml:space="preserve">Uveíte </w:t>
      </w:r>
      <w:r w:rsidR="008A40F5">
        <w:rPr>
          <w:bCs/>
          <w:i/>
          <w:iCs/>
          <w:sz w:val="22"/>
          <w:szCs w:val="22"/>
        </w:rPr>
        <w:t>p</w:t>
      </w:r>
      <w:r w:rsidRPr="00B2651E">
        <w:rPr>
          <w:bCs/>
          <w:i/>
          <w:iCs/>
          <w:sz w:val="22"/>
          <w:szCs w:val="22"/>
        </w:rPr>
        <w:t>ediátrica</w:t>
      </w:r>
    </w:p>
    <w:p w14:paraId="1B261D4B" w14:textId="77777777" w:rsidR="002F6811" w:rsidRPr="00B2651E" w:rsidRDefault="002F6811" w:rsidP="002F6811">
      <w:pPr>
        <w:rPr>
          <w:bCs/>
          <w:iCs/>
          <w:sz w:val="22"/>
          <w:szCs w:val="22"/>
        </w:rPr>
      </w:pPr>
    </w:p>
    <w:p w14:paraId="203E8364" w14:textId="77777777" w:rsidR="00FC55A6" w:rsidRPr="008912CF" w:rsidRDefault="00615769" w:rsidP="00FC55A6">
      <w:pPr>
        <w:pStyle w:val="BodyText2"/>
        <w:autoSpaceDE/>
        <w:autoSpaceDN/>
        <w:adjustRightInd/>
        <w:rPr>
          <w:b/>
          <w:szCs w:val="22"/>
        </w:rPr>
      </w:pPr>
      <w:r w:rsidRPr="00B2651E">
        <w:rPr>
          <w:szCs w:val="22"/>
        </w:rPr>
        <w:t xml:space="preserve">A dose recomendada de Humira </w:t>
      </w:r>
      <w:r w:rsidR="00D62E4B" w:rsidRPr="00B2651E">
        <w:rPr>
          <w:szCs w:val="22"/>
        </w:rPr>
        <w:t xml:space="preserve">em </w:t>
      </w:r>
      <w:r w:rsidRPr="00B2651E">
        <w:rPr>
          <w:szCs w:val="22"/>
        </w:rPr>
        <w:t>doentes com uveíte pediátrica, a partir dos 2 anos de idade, é baseada no peso corporal (Tabela</w:t>
      </w:r>
      <w:r>
        <w:rPr>
          <w:szCs w:val="22"/>
        </w:rPr>
        <w:t xml:space="preserve"> 5). </w:t>
      </w:r>
      <w:r w:rsidR="006B04AC">
        <w:rPr>
          <w:szCs w:val="22"/>
        </w:rPr>
        <w:t>Humira é administrado por injeção subcutânea.</w:t>
      </w:r>
    </w:p>
    <w:p w14:paraId="19434F33" w14:textId="77777777" w:rsidR="00FC55A6" w:rsidRDefault="00FC55A6" w:rsidP="002F6811">
      <w:pPr>
        <w:rPr>
          <w:bCs/>
          <w:iCs/>
          <w:sz w:val="22"/>
          <w:szCs w:val="22"/>
        </w:rPr>
      </w:pPr>
    </w:p>
    <w:p w14:paraId="46421006" w14:textId="77777777" w:rsidR="002F6811" w:rsidRDefault="00615769" w:rsidP="002F6811">
      <w:pPr>
        <w:rPr>
          <w:bCs/>
          <w:iCs/>
          <w:sz w:val="22"/>
          <w:szCs w:val="22"/>
        </w:rPr>
      </w:pPr>
      <w:r>
        <w:rPr>
          <w:bCs/>
          <w:iCs/>
          <w:sz w:val="22"/>
          <w:szCs w:val="22"/>
        </w:rPr>
        <w:t>Na uveíte pediátrica, não existe experiência de utilização de Humira sem tratamento concomitante com metotrexato.</w:t>
      </w:r>
    </w:p>
    <w:p w14:paraId="6F6D8E5E" w14:textId="77777777" w:rsidR="002F6811" w:rsidRDefault="002F6811" w:rsidP="002F6811">
      <w:pPr>
        <w:rPr>
          <w:bCs/>
          <w:iCs/>
          <w:sz w:val="22"/>
          <w:szCs w:val="22"/>
        </w:rPr>
      </w:pPr>
    </w:p>
    <w:p w14:paraId="58FBA455" w14:textId="77777777" w:rsidR="00B30F0B" w:rsidRPr="008912CF" w:rsidRDefault="00615769" w:rsidP="00B30F0B">
      <w:pPr>
        <w:pStyle w:val="BodyText2"/>
        <w:autoSpaceDE/>
        <w:autoSpaceDN/>
        <w:adjustRightInd/>
        <w:jc w:val="center"/>
        <w:rPr>
          <w:b/>
          <w:szCs w:val="22"/>
        </w:rPr>
      </w:pPr>
      <w:r w:rsidRPr="008912CF">
        <w:rPr>
          <w:b/>
          <w:szCs w:val="22"/>
        </w:rPr>
        <w:t xml:space="preserve">Tabela </w:t>
      </w:r>
      <w:r>
        <w:rPr>
          <w:b/>
          <w:szCs w:val="22"/>
        </w:rPr>
        <w:t>5</w:t>
      </w:r>
      <w:r w:rsidRPr="008912CF">
        <w:rPr>
          <w:b/>
          <w:szCs w:val="22"/>
        </w:rPr>
        <w:t xml:space="preserve">. Dose de Humira </w:t>
      </w:r>
      <w:r w:rsidR="00D62E4B">
        <w:rPr>
          <w:b/>
          <w:szCs w:val="22"/>
        </w:rPr>
        <w:t>em</w:t>
      </w:r>
      <w:r w:rsidRPr="008912CF">
        <w:rPr>
          <w:b/>
          <w:szCs w:val="22"/>
        </w:rPr>
        <w:t xml:space="preserve"> Doentes</w:t>
      </w:r>
      <w:r w:rsidR="00E7252B">
        <w:rPr>
          <w:b/>
          <w:szCs w:val="22"/>
        </w:rPr>
        <w:t xml:space="preserve"> Pediátricos</w:t>
      </w:r>
      <w:r w:rsidRPr="008912CF">
        <w:rPr>
          <w:b/>
          <w:szCs w:val="22"/>
        </w:rPr>
        <w:t xml:space="preserve"> com </w:t>
      </w:r>
      <w:r>
        <w:rPr>
          <w:b/>
          <w:szCs w:val="22"/>
        </w:rPr>
        <w:t>Uveíte</w:t>
      </w:r>
    </w:p>
    <w:p w14:paraId="48DC3834" w14:textId="77777777" w:rsidR="00B30F0B" w:rsidRPr="008912CF" w:rsidRDefault="00B30F0B" w:rsidP="00B30F0B">
      <w:pPr>
        <w:rPr>
          <w:sz w:val="22"/>
          <w:szCs w:val="22"/>
        </w:rPr>
      </w:pPr>
    </w:p>
    <w:tbl>
      <w:tblPr>
        <w:tblW w:w="6795" w:type="dxa"/>
        <w:jc w:val="center"/>
        <w:tblLayout w:type="fixed"/>
        <w:tblLook w:val="0000" w:firstRow="0" w:lastRow="0" w:firstColumn="0" w:lastColumn="0" w:noHBand="0" w:noVBand="0"/>
      </w:tblPr>
      <w:tblGrid>
        <w:gridCol w:w="3401"/>
        <w:gridCol w:w="3394"/>
      </w:tblGrid>
      <w:tr w:rsidR="00A7162A" w14:paraId="6B2A35B1" w14:textId="77777777" w:rsidTr="00A00389">
        <w:trPr>
          <w:tblHeader/>
          <w:jc w:val="center"/>
        </w:trPr>
        <w:tc>
          <w:tcPr>
            <w:tcW w:w="3401" w:type="dxa"/>
            <w:tcBorders>
              <w:top w:val="single" w:sz="4" w:space="0" w:color="auto"/>
              <w:bottom w:val="single" w:sz="4" w:space="0" w:color="auto"/>
            </w:tcBorders>
          </w:tcPr>
          <w:p w14:paraId="43650F3D" w14:textId="77777777" w:rsidR="00B30F0B" w:rsidRPr="0007777F" w:rsidRDefault="00615769" w:rsidP="00A00389">
            <w:pPr>
              <w:keepNext/>
              <w:spacing w:before="40" w:after="40" w:line="240" w:lineRule="exact"/>
              <w:jc w:val="center"/>
              <w:rPr>
                <w:rFonts w:eastAsia="Calibri"/>
                <w:b/>
                <w:sz w:val="22"/>
                <w:szCs w:val="22"/>
                <w:lang w:val="en-US" w:eastAsia="ja-JP"/>
              </w:rPr>
            </w:pPr>
            <w:r>
              <w:rPr>
                <w:rFonts w:eastAsia="Calibri"/>
                <w:b/>
                <w:sz w:val="22"/>
                <w:szCs w:val="22"/>
                <w:lang w:val="en-US" w:eastAsia="ja-JP"/>
              </w:rPr>
              <w:t>Peso do Doente</w:t>
            </w:r>
          </w:p>
        </w:tc>
        <w:tc>
          <w:tcPr>
            <w:tcW w:w="3394" w:type="dxa"/>
            <w:tcBorders>
              <w:top w:val="single" w:sz="4" w:space="0" w:color="auto"/>
              <w:bottom w:val="single" w:sz="4" w:space="0" w:color="auto"/>
            </w:tcBorders>
          </w:tcPr>
          <w:p w14:paraId="170663AA" w14:textId="77777777" w:rsidR="00B30F0B" w:rsidRPr="0007777F" w:rsidRDefault="00615769">
            <w:pPr>
              <w:keepNext/>
              <w:spacing w:before="40" w:after="40" w:line="240" w:lineRule="exact"/>
              <w:jc w:val="center"/>
              <w:rPr>
                <w:rFonts w:eastAsia="Calibri"/>
                <w:b/>
                <w:sz w:val="22"/>
                <w:szCs w:val="22"/>
                <w:lang w:val="en-US" w:eastAsia="ja-JP"/>
              </w:rPr>
            </w:pPr>
            <w:r>
              <w:rPr>
                <w:rFonts w:eastAsia="Calibri"/>
                <w:b/>
                <w:sz w:val="22"/>
                <w:szCs w:val="22"/>
                <w:lang w:val="en-US" w:eastAsia="ja-JP"/>
              </w:rPr>
              <w:t xml:space="preserve">Regime </w:t>
            </w:r>
            <w:r w:rsidR="00C00E3F">
              <w:rPr>
                <w:rFonts w:eastAsia="Calibri"/>
                <w:b/>
                <w:sz w:val="22"/>
                <w:szCs w:val="22"/>
                <w:lang w:val="en-US" w:eastAsia="ja-JP"/>
              </w:rPr>
              <w:t xml:space="preserve">Posológico </w:t>
            </w:r>
          </w:p>
        </w:tc>
      </w:tr>
      <w:tr w:rsidR="00A7162A" w14:paraId="083AAFE4" w14:textId="77777777" w:rsidTr="00A00389">
        <w:trPr>
          <w:tblHeader/>
          <w:jc w:val="center"/>
        </w:trPr>
        <w:tc>
          <w:tcPr>
            <w:tcW w:w="3401" w:type="dxa"/>
            <w:tcBorders>
              <w:top w:val="single" w:sz="4" w:space="0" w:color="auto"/>
              <w:bottom w:val="single" w:sz="4" w:space="0" w:color="auto"/>
            </w:tcBorders>
          </w:tcPr>
          <w:p w14:paraId="4D5AA556" w14:textId="77777777" w:rsidR="00B30F0B" w:rsidRPr="0007777F" w:rsidRDefault="00615769" w:rsidP="00A00389">
            <w:pPr>
              <w:keepNext/>
              <w:spacing w:before="40" w:after="40" w:line="240" w:lineRule="exact"/>
              <w:jc w:val="center"/>
              <w:rPr>
                <w:rFonts w:eastAsia="Calibri"/>
                <w:b/>
                <w:sz w:val="22"/>
                <w:szCs w:val="22"/>
                <w:lang w:val="en-US" w:eastAsia="ja-JP"/>
              </w:rPr>
            </w:pPr>
            <w:r w:rsidRPr="0007777F">
              <w:rPr>
                <w:rFonts w:eastAsia="Calibri"/>
                <w:sz w:val="22"/>
                <w:szCs w:val="22"/>
                <w:lang w:val="en-US" w:eastAsia="ja-JP"/>
              </w:rPr>
              <w:t>&lt; 30 kg</w:t>
            </w:r>
          </w:p>
        </w:tc>
        <w:tc>
          <w:tcPr>
            <w:tcW w:w="3394" w:type="dxa"/>
            <w:tcBorders>
              <w:top w:val="single" w:sz="4" w:space="0" w:color="auto"/>
              <w:bottom w:val="single" w:sz="4" w:space="0" w:color="auto"/>
            </w:tcBorders>
          </w:tcPr>
          <w:p w14:paraId="2985AC96" w14:textId="77777777" w:rsidR="00B30F0B" w:rsidRPr="00F03C54" w:rsidRDefault="00615769" w:rsidP="00A00389">
            <w:pPr>
              <w:keepNext/>
              <w:spacing w:before="40" w:after="40" w:line="240" w:lineRule="exact"/>
              <w:jc w:val="center"/>
              <w:rPr>
                <w:rFonts w:eastAsia="Calibri"/>
                <w:b/>
                <w:sz w:val="22"/>
                <w:szCs w:val="22"/>
                <w:lang w:eastAsia="ja-JP"/>
              </w:rPr>
            </w:pPr>
            <w:r w:rsidRPr="00F03C54">
              <w:rPr>
                <w:rFonts w:eastAsia="Calibri"/>
                <w:sz w:val="22"/>
                <w:szCs w:val="22"/>
                <w:lang w:eastAsia="ja-JP"/>
              </w:rPr>
              <w:t>20 mg em semanas alternadas em associaç</w:t>
            </w:r>
            <w:r>
              <w:rPr>
                <w:rFonts w:eastAsia="Calibri"/>
                <w:sz w:val="22"/>
                <w:szCs w:val="22"/>
                <w:lang w:eastAsia="ja-JP"/>
              </w:rPr>
              <w:t>ão com metotrexato</w:t>
            </w:r>
          </w:p>
        </w:tc>
      </w:tr>
      <w:tr w:rsidR="00A7162A" w14:paraId="10110D77" w14:textId="77777777" w:rsidTr="00A00389">
        <w:trPr>
          <w:tblHeader/>
          <w:jc w:val="center"/>
        </w:trPr>
        <w:tc>
          <w:tcPr>
            <w:tcW w:w="3401" w:type="dxa"/>
            <w:tcBorders>
              <w:top w:val="single" w:sz="4" w:space="0" w:color="auto"/>
              <w:bottom w:val="single" w:sz="4" w:space="0" w:color="auto"/>
            </w:tcBorders>
          </w:tcPr>
          <w:p w14:paraId="4E7A768C" w14:textId="77777777" w:rsidR="00B30F0B" w:rsidRPr="0007777F" w:rsidRDefault="00615769" w:rsidP="00A00389">
            <w:pPr>
              <w:keepNext/>
              <w:spacing w:before="40" w:after="40" w:line="240" w:lineRule="exact"/>
              <w:jc w:val="center"/>
              <w:rPr>
                <w:rFonts w:eastAsia="Calibri"/>
                <w:b/>
                <w:sz w:val="22"/>
                <w:szCs w:val="22"/>
                <w:lang w:val="en-US" w:eastAsia="ja-JP"/>
              </w:rPr>
            </w:pPr>
            <w:r w:rsidRPr="0007777F">
              <w:rPr>
                <w:rFonts w:eastAsia="Calibri"/>
                <w:sz w:val="22"/>
                <w:szCs w:val="22"/>
                <w:lang w:val="en-US" w:eastAsia="ja-JP"/>
              </w:rPr>
              <w:t>≥ 30 kg</w:t>
            </w:r>
          </w:p>
        </w:tc>
        <w:tc>
          <w:tcPr>
            <w:tcW w:w="3394" w:type="dxa"/>
            <w:tcBorders>
              <w:top w:val="single" w:sz="4" w:space="0" w:color="auto"/>
              <w:bottom w:val="single" w:sz="4" w:space="0" w:color="auto"/>
            </w:tcBorders>
          </w:tcPr>
          <w:p w14:paraId="4B22C5F4" w14:textId="77777777" w:rsidR="00B30F0B" w:rsidRPr="00F03C54" w:rsidRDefault="00615769" w:rsidP="00A00389">
            <w:pPr>
              <w:keepNext/>
              <w:spacing w:before="40" w:after="40" w:line="240" w:lineRule="exact"/>
              <w:jc w:val="center"/>
              <w:rPr>
                <w:rFonts w:eastAsia="Calibri"/>
                <w:b/>
                <w:sz w:val="22"/>
                <w:szCs w:val="22"/>
                <w:lang w:eastAsia="ja-JP"/>
              </w:rPr>
            </w:pPr>
            <w:r w:rsidRPr="00F03C54">
              <w:rPr>
                <w:rFonts w:eastAsia="Calibri"/>
                <w:sz w:val="22"/>
                <w:szCs w:val="22"/>
                <w:lang w:eastAsia="ja-JP"/>
              </w:rPr>
              <w:t>40 mg em semanas alternadas em associaç</w:t>
            </w:r>
            <w:r>
              <w:rPr>
                <w:rFonts w:eastAsia="Calibri"/>
                <w:sz w:val="22"/>
                <w:szCs w:val="22"/>
                <w:lang w:eastAsia="ja-JP"/>
              </w:rPr>
              <w:t>ão com metotrexato</w:t>
            </w:r>
          </w:p>
        </w:tc>
      </w:tr>
    </w:tbl>
    <w:p w14:paraId="793E5050" w14:textId="77777777" w:rsidR="002F6811" w:rsidRDefault="002F6811" w:rsidP="002F6811">
      <w:pPr>
        <w:rPr>
          <w:bCs/>
          <w:iCs/>
          <w:sz w:val="22"/>
          <w:szCs w:val="22"/>
        </w:rPr>
      </w:pPr>
    </w:p>
    <w:p w14:paraId="669C1535" w14:textId="77777777" w:rsidR="002F6811" w:rsidRDefault="00615769" w:rsidP="002F6811">
      <w:pPr>
        <w:rPr>
          <w:sz w:val="22"/>
          <w:szCs w:val="22"/>
        </w:rPr>
      </w:pPr>
      <w:r>
        <w:rPr>
          <w:bCs/>
          <w:iCs/>
          <w:sz w:val="22"/>
          <w:szCs w:val="22"/>
        </w:rPr>
        <w:t xml:space="preserve">Quando se inicia o tratamento com Humira, pode ser administrada uma dose </w:t>
      </w:r>
      <w:r w:rsidRPr="008912CF">
        <w:rPr>
          <w:sz w:val="22"/>
          <w:szCs w:val="22"/>
        </w:rPr>
        <w:t xml:space="preserve">de carga de </w:t>
      </w:r>
      <w:r>
        <w:rPr>
          <w:sz w:val="22"/>
          <w:szCs w:val="22"/>
        </w:rPr>
        <w:t>40</w:t>
      </w:r>
      <w:r w:rsidRPr="008912CF">
        <w:rPr>
          <w:sz w:val="22"/>
          <w:szCs w:val="22"/>
        </w:rPr>
        <w:t> mg</w:t>
      </w:r>
      <w:r>
        <w:rPr>
          <w:sz w:val="22"/>
          <w:szCs w:val="22"/>
        </w:rPr>
        <w:t xml:space="preserve"> </w:t>
      </w:r>
      <w:r w:rsidR="00B30F0B">
        <w:rPr>
          <w:sz w:val="22"/>
          <w:szCs w:val="22"/>
        </w:rPr>
        <w:t xml:space="preserve">em doentes &lt; 30 kg ou 80 mg em doentes </w:t>
      </w:r>
      <w:r w:rsidR="00B30F0B" w:rsidRPr="00F03C54">
        <w:rPr>
          <w:rFonts w:eastAsia="Calibri"/>
          <w:sz w:val="22"/>
          <w:szCs w:val="22"/>
          <w:lang w:eastAsia="ja-JP"/>
        </w:rPr>
        <w:t>≥ 30 kg</w:t>
      </w:r>
      <w:r w:rsidR="008A40F5">
        <w:rPr>
          <w:rFonts w:eastAsia="Calibri"/>
          <w:sz w:val="22"/>
          <w:szCs w:val="22"/>
          <w:lang w:eastAsia="ja-JP"/>
        </w:rPr>
        <w:t>,</w:t>
      </w:r>
      <w:r w:rsidR="00B30F0B">
        <w:rPr>
          <w:rFonts w:eastAsia="Calibri"/>
          <w:sz w:val="22"/>
          <w:szCs w:val="22"/>
          <w:lang w:eastAsia="ja-JP"/>
        </w:rPr>
        <w:t xml:space="preserve"> </w:t>
      </w:r>
      <w:r>
        <w:rPr>
          <w:sz w:val="22"/>
          <w:szCs w:val="22"/>
        </w:rPr>
        <w:t>uma semana antes do início do tratamento de manutenção. Não existem dados clínicos relevantes sobre a utilização de uma dose de carga de Humira em crianças &lt; 6 anos de idade (ver secção 5.2).</w:t>
      </w:r>
    </w:p>
    <w:p w14:paraId="0CE66DBF" w14:textId="77777777" w:rsidR="002F6811" w:rsidRDefault="002F6811" w:rsidP="002F6811">
      <w:pPr>
        <w:rPr>
          <w:sz w:val="22"/>
          <w:szCs w:val="22"/>
        </w:rPr>
      </w:pPr>
    </w:p>
    <w:p w14:paraId="7F0CE38B" w14:textId="77777777" w:rsidR="00B30F0B" w:rsidRPr="008912CF" w:rsidRDefault="00615769" w:rsidP="00B30F0B">
      <w:pPr>
        <w:rPr>
          <w:sz w:val="22"/>
          <w:szCs w:val="22"/>
        </w:rPr>
      </w:pPr>
      <w:r w:rsidRPr="008912CF">
        <w:rPr>
          <w:sz w:val="22"/>
          <w:szCs w:val="22"/>
        </w:rPr>
        <w:lastRenderedPageBreak/>
        <w:t xml:space="preserve">Não existe utilização relevante de Humira em crianças com menos de </w:t>
      </w:r>
      <w:r>
        <w:rPr>
          <w:sz w:val="22"/>
          <w:szCs w:val="22"/>
        </w:rPr>
        <w:t>2</w:t>
      </w:r>
      <w:r w:rsidRPr="008912CF">
        <w:rPr>
          <w:sz w:val="22"/>
          <w:szCs w:val="22"/>
        </w:rPr>
        <w:t xml:space="preserve"> anos, para esta indicação.</w:t>
      </w:r>
    </w:p>
    <w:p w14:paraId="2C823D50" w14:textId="77777777" w:rsidR="00B30F0B" w:rsidRDefault="00B30F0B" w:rsidP="002F6811">
      <w:pPr>
        <w:rPr>
          <w:sz w:val="22"/>
          <w:szCs w:val="22"/>
        </w:rPr>
      </w:pPr>
    </w:p>
    <w:p w14:paraId="1B76FC9B" w14:textId="77777777" w:rsidR="002F6811" w:rsidRDefault="00615769" w:rsidP="002F6811">
      <w:pPr>
        <w:rPr>
          <w:bCs/>
          <w:iCs/>
          <w:sz w:val="22"/>
          <w:szCs w:val="22"/>
        </w:rPr>
      </w:pPr>
      <w:r w:rsidRPr="00497512">
        <w:rPr>
          <w:bCs/>
          <w:sz w:val="22"/>
          <w:szCs w:val="22"/>
        </w:rPr>
        <w:t>Recomenda-se que o risco benefício do tratamento continuado a longo prazo seja avaliado</w:t>
      </w:r>
      <w:r>
        <w:rPr>
          <w:bCs/>
          <w:sz w:val="22"/>
          <w:szCs w:val="22"/>
        </w:rPr>
        <w:t xml:space="preserve"> anualmente (ver secção 5.1).</w:t>
      </w:r>
    </w:p>
    <w:p w14:paraId="3EC59848" w14:textId="77777777" w:rsidR="002F6811" w:rsidRPr="008912CF" w:rsidRDefault="002F6811" w:rsidP="002F6811">
      <w:pPr>
        <w:rPr>
          <w:bCs/>
          <w:iCs/>
          <w:sz w:val="22"/>
          <w:szCs w:val="22"/>
        </w:rPr>
      </w:pPr>
    </w:p>
    <w:p w14:paraId="3D6FD10E" w14:textId="77777777" w:rsidR="00EF4271" w:rsidRDefault="00615769" w:rsidP="002F6811">
      <w:pPr>
        <w:pStyle w:val="BodyText2"/>
        <w:autoSpaceDE/>
        <w:autoSpaceDN/>
        <w:adjustRightInd/>
        <w:rPr>
          <w:bCs/>
          <w:iCs/>
          <w:szCs w:val="22"/>
          <w:u w:val="single"/>
        </w:rPr>
      </w:pPr>
      <w:r>
        <w:rPr>
          <w:szCs w:val="22"/>
        </w:rPr>
        <w:t>Humira pode estar disponível em outras dosagens e/ou apresentações dependendo das necessidades de cada doente.</w:t>
      </w:r>
    </w:p>
    <w:p w14:paraId="05B3EA32" w14:textId="77777777" w:rsidR="00EF4271" w:rsidRDefault="00EF4271" w:rsidP="002F6811">
      <w:pPr>
        <w:pStyle w:val="BodyText2"/>
        <w:autoSpaceDE/>
        <w:autoSpaceDN/>
        <w:adjustRightInd/>
        <w:rPr>
          <w:bCs/>
          <w:iCs/>
          <w:szCs w:val="22"/>
          <w:u w:val="single"/>
        </w:rPr>
      </w:pPr>
    </w:p>
    <w:p w14:paraId="622C270D" w14:textId="77777777" w:rsidR="002F6811" w:rsidRPr="008912CF" w:rsidRDefault="00615769" w:rsidP="002F6811">
      <w:pPr>
        <w:pStyle w:val="BodyText2"/>
        <w:autoSpaceDE/>
        <w:autoSpaceDN/>
        <w:adjustRightInd/>
        <w:rPr>
          <w:bCs/>
          <w:iCs/>
          <w:szCs w:val="22"/>
          <w:u w:val="single"/>
        </w:rPr>
      </w:pPr>
      <w:r w:rsidRPr="008912CF">
        <w:rPr>
          <w:bCs/>
          <w:iCs/>
          <w:szCs w:val="22"/>
          <w:u w:val="single"/>
        </w:rPr>
        <w:t>Compromisso renal e/ou hepático</w:t>
      </w:r>
    </w:p>
    <w:p w14:paraId="52E301FA" w14:textId="77777777" w:rsidR="002F6811" w:rsidRPr="008912CF" w:rsidRDefault="002F6811" w:rsidP="002F6811">
      <w:pPr>
        <w:rPr>
          <w:bCs/>
          <w:iCs/>
          <w:sz w:val="22"/>
          <w:szCs w:val="22"/>
        </w:rPr>
      </w:pPr>
    </w:p>
    <w:p w14:paraId="69CFAF01" w14:textId="77777777" w:rsidR="002F6811" w:rsidRPr="008912CF" w:rsidRDefault="00615769" w:rsidP="002F6811">
      <w:pPr>
        <w:rPr>
          <w:bCs/>
          <w:iCs/>
          <w:sz w:val="22"/>
          <w:szCs w:val="22"/>
        </w:rPr>
      </w:pPr>
      <w:r w:rsidRPr="008912CF">
        <w:rPr>
          <w:bCs/>
          <w:iCs/>
          <w:sz w:val="22"/>
          <w:szCs w:val="22"/>
        </w:rPr>
        <w:t>Humira não foi estudado nesta população de doentes. Não podem ser feitas recomendações acerca da dose.</w:t>
      </w:r>
    </w:p>
    <w:p w14:paraId="5F79BBBD" w14:textId="77777777" w:rsidR="002F6811" w:rsidRPr="008912CF" w:rsidRDefault="002F6811" w:rsidP="002F6811">
      <w:pPr>
        <w:rPr>
          <w:bCs/>
          <w:iCs/>
          <w:sz w:val="22"/>
          <w:szCs w:val="22"/>
        </w:rPr>
      </w:pPr>
    </w:p>
    <w:p w14:paraId="5C241D99" w14:textId="77777777" w:rsidR="002F6811" w:rsidRPr="008912CF" w:rsidRDefault="00615769" w:rsidP="002F6811">
      <w:pPr>
        <w:rPr>
          <w:bCs/>
          <w:iCs/>
          <w:sz w:val="22"/>
          <w:szCs w:val="22"/>
          <w:u w:val="single"/>
        </w:rPr>
      </w:pPr>
      <w:r w:rsidRPr="008912CF">
        <w:rPr>
          <w:bCs/>
          <w:iCs/>
          <w:sz w:val="22"/>
          <w:szCs w:val="22"/>
          <w:u w:val="single"/>
        </w:rPr>
        <w:t>Modo de administração</w:t>
      </w:r>
    </w:p>
    <w:p w14:paraId="70904B8C" w14:textId="77777777" w:rsidR="002F6811" w:rsidRPr="008912CF" w:rsidRDefault="002F6811" w:rsidP="002F6811">
      <w:pPr>
        <w:rPr>
          <w:bCs/>
          <w:iCs/>
          <w:sz w:val="22"/>
          <w:szCs w:val="22"/>
        </w:rPr>
      </w:pPr>
    </w:p>
    <w:p w14:paraId="6AAF394F" w14:textId="77777777" w:rsidR="002F6811" w:rsidRPr="008912CF" w:rsidRDefault="00615769" w:rsidP="002F6811">
      <w:pPr>
        <w:rPr>
          <w:bCs/>
          <w:iCs/>
          <w:sz w:val="22"/>
          <w:szCs w:val="22"/>
        </w:rPr>
      </w:pPr>
      <w:r w:rsidRPr="008912CF">
        <w:rPr>
          <w:bCs/>
          <w:iCs/>
          <w:sz w:val="22"/>
          <w:szCs w:val="22"/>
        </w:rPr>
        <w:t>A administração de Humira faz-se por injeção subcutânea. Instruções completas de utilização estão disponíveis no folheto informativo.</w:t>
      </w:r>
    </w:p>
    <w:p w14:paraId="5F368ADA" w14:textId="77777777" w:rsidR="002F6811" w:rsidRPr="008912CF" w:rsidRDefault="002F6811" w:rsidP="002F6811">
      <w:pPr>
        <w:rPr>
          <w:sz w:val="22"/>
          <w:szCs w:val="22"/>
        </w:rPr>
      </w:pPr>
    </w:p>
    <w:p w14:paraId="4A79B066" w14:textId="77777777" w:rsidR="002F6811" w:rsidRPr="008912CF" w:rsidRDefault="00615769" w:rsidP="002F6811">
      <w:pPr>
        <w:rPr>
          <w:sz w:val="22"/>
          <w:szCs w:val="22"/>
        </w:rPr>
      </w:pPr>
      <w:r>
        <w:rPr>
          <w:sz w:val="22"/>
          <w:szCs w:val="22"/>
        </w:rPr>
        <w:t>Humira está</w:t>
      </w:r>
      <w:r w:rsidR="00035763">
        <w:rPr>
          <w:sz w:val="22"/>
          <w:szCs w:val="22"/>
        </w:rPr>
        <w:t xml:space="preserve"> disponível em </w:t>
      </w:r>
      <w:r w:rsidR="00833083">
        <w:rPr>
          <w:sz w:val="22"/>
          <w:szCs w:val="22"/>
        </w:rPr>
        <w:t>outras dosagens e apresentações.</w:t>
      </w:r>
    </w:p>
    <w:p w14:paraId="397125C7" w14:textId="77777777" w:rsidR="002F6811" w:rsidRPr="008912CF" w:rsidRDefault="002F6811" w:rsidP="002F6811">
      <w:pPr>
        <w:rPr>
          <w:bCs/>
          <w:iCs/>
          <w:sz w:val="22"/>
          <w:szCs w:val="22"/>
        </w:rPr>
      </w:pPr>
    </w:p>
    <w:p w14:paraId="44C30C46" w14:textId="77777777" w:rsidR="002F6811" w:rsidRPr="008912CF" w:rsidRDefault="00615769" w:rsidP="002F6811">
      <w:pPr>
        <w:ind w:left="567" w:hanging="567"/>
        <w:rPr>
          <w:sz w:val="22"/>
          <w:szCs w:val="22"/>
        </w:rPr>
      </w:pPr>
      <w:r w:rsidRPr="008912CF">
        <w:rPr>
          <w:b/>
          <w:sz w:val="22"/>
          <w:szCs w:val="22"/>
        </w:rPr>
        <w:t>4.3</w:t>
      </w:r>
      <w:r w:rsidRPr="008912CF">
        <w:rPr>
          <w:b/>
          <w:sz w:val="22"/>
          <w:szCs w:val="22"/>
        </w:rPr>
        <w:tab/>
        <w:t>Contraindicações</w:t>
      </w:r>
    </w:p>
    <w:p w14:paraId="09BAB020" w14:textId="77777777" w:rsidR="002F6811" w:rsidRPr="008912CF" w:rsidRDefault="002F6811" w:rsidP="002F6811">
      <w:pPr>
        <w:pStyle w:val="EndnoteText"/>
        <w:tabs>
          <w:tab w:val="clear" w:pos="567"/>
        </w:tabs>
        <w:rPr>
          <w:szCs w:val="22"/>
        </w:rPr>
      </w:pPr>
    </w:p>
    <w:p w14:paraId="5A03752B" w14:textId="77777777" w:rsidR="002F6811" w:rsidRPr="008912CF" w:rsidRDefault="00615769" w:rsidP="002F6811">
      <w:pPr>
        <w:rPr>
          <w:sz w:val="22"/>
          <w:szCs w:val="22"/>
        </w:rPr>
      </w:pPr>
      <w:r w:rsidRPr="008912CF">
        <w:rPr>
          <w:sz w:val="22"/>
          <w:szCs w:val="22"/>
        </w:rPr>
        <w:t>Hipersensibilidade à substância ativa ou a qualquer um dos excipientes mencionados na secção 6.1.</w:t>
      </w:r>
    </w:p>
    <w:p w14:paraId="51B2DFA4" w14:textId="77777777" w:rsidR="002F6811" w:rsidRPr="008912CF" w:rsidRDefault="002F6811" w:rsidP="002F6811">
      <w:pPr>
        <w:rPr>
          <w:sz w:val="22"/>
          <w:szCs w:val="22"/>
        </w:rPr>
      </w:pPr>
    </w:p>
    <w:p w14:paraId="563A7B6E" w14:textId="77777777" w:rsidR="002F6811" w:rsidRPr="008912CF" w:rsidRDefault="00615769" w:rsidP="002F6811">
      <w:pPr>
        <w:rPr>
          <w:bCs/>
          <w:iCs/>
          <w:sz w:val="22"/>
          <w:szCs w:val="22"/>
        </w:rPr>
      </w:pPr>
      <w:r w:rsidRPr="008912CF">
        <w:rPr>
          <w:sz w:val="22"/>
          <w:szCs w:val="22"/>
        </w:rPr>
        <w:t>Tuberculose ativa ou outras infeções graves, nomeadamente, sepsia e infeções oportunistas (ver secção 4.4).</w:t>
      </w:r>
    </w:p>
    <w:p w14:paraId="1C9E1789" w14:textId="77777777" w:rsidR="002F6811" w:rsidRPr="008912CF" w:rsidRDefault="002F6811" w:rsidP="002F6811">
      <w:pPr>
        <w:pStyle w:val="BodyText2"/>
        <w:autoSpaceDE/>
        <w:autoSpaceDN/>
        <w:adjustRightInd/>
        <w:rPr>
          <w:bCs/>
          <w:iCs/>
          <w:szCs w:val="22"/>
        </w:rPr>
      </w:pPr>
    </w:p>
    <w:p w14:paraId="77F99DCF" w14:textId="77777777" w:rsidR="002F6811" w:rsidRPr="008912CF" w:rsidRDefault="00615769" w:rsidP="002F6811">
      <w:pPr>
        <w:pStyle w:val="BodyText2"/>
        <w:autoSpaceDE/>
        <w:autoSpaceDN/>
        <w:adjustRightInd/>
        <w:rPr>
          <w:bCs/>
          <w:iCs/>
          <w:szCs w:val="22"/>
        </w:rPr>
      </w:pPr>
      <w:r w:rsidRPr="008912CF">
        <w:rPr>
          <w:bCs/>
          <w:iCs/>
          <w:szCs w:val="22"/>
        </w:rPr>
        <w:t>Insuficiência cardíaca moderada a grave (classe III/IV da NYHA) (ver secção 4.4).</w:t>
      </w:r>
    </w:p>
    <w:p w14:paraId="3E28137F" w14:textId="77777777" w:rsidR="002F6811" w:rsidRPr="008912CF" w:rsidRDefault="002F6811" w:rsidP="002F6811">
      <w:pPr>
        <w:pStyle w:val="EndnoteText"/>
        <w:tabs>
          <w:tab w:val="clear" w:pos="567"/>
        </w:tabs>
        <w:rPr>
          <w:bCs/>
          <w:iCs/>
          <w:szCs w:val="22"/>
          <w:highlight w:val="yellow"/>
        </w:rPr>
      </w:pPr>
    </w:p>
    <w:p w14:paraId="2280CE5F" w14:textId="77777777" w:rsidR="002F6811" w:rsidRPr="008912CF" w:rsidRDefault="00615769" w:rsidP="002F6811">
      <w:pPr>
        <w:ind w:left="567" w:hanging="567"/>
        <w:rPr>
          <w:b/>
          <w:sz w:val="22"/>
          <w:szCs w:val="22"/>
        </w:rPr>
      </w:pPr>
      <w:r w:rsidRPr="008912CF">
        <w:rPr>
          <w:b/>
          <w:sz w:val="22"/>
          <w:szCs w:val="22"/>
        </w:rPr>
        <w:t>4.4</w:t>
      </w:r>
      <w:r w:rsidRPr="008912CF">
        <w:rPr>
          <w:sz w:val="22"/>
          <w:szCs w:val="22"/>
        </w:rPr>
        <w:tab/>
      </w:r>
      <w:r w:rsidRPr="008912CF">
        <w:rPr>
          <w:b/>
          <w:sz w:val="22"/>
          <w:szCs w:val="22"/>
        </w:rPr>
        <w:t>Advertências e precauções especiais de utilização</w:t>
      </w:r>
    </w:p>
    <w:p w14:paraId="4279E72E" w14:textId="77777777" w:rsidR="002F6811" w:rsidRPr="008912CF" w:rsidRDefault="002F6811" w:rsidP="002F6811">
      <w:pPr>
        <w:rPr>
          <w:sz w:val="22"/>
          <w:szCs w:val="22"/>
        </w:rPr>
      </w:pPr>
    </w:p>
    <w:p w14:paraId="59A6B34A" w14:textId="77777777" w:rsidR="00833083" w:rsidRDefault="00615769" w:rsidP="002F6811">
      <w:pPr>
        <w:tabs>
          <w:tab w:val="left" w:pos="567"/>
        </w:tabs>
        <w:autoSpaceDE w:val="0"/>
        <w:autoSpaceDN w:val="0"/>
        <w:adjustRightInd w:val="0"/>
        <w:outlineLvl w:val="3"/>
        <w:rPr>
          <w:sz w:val="22"/>
          <w:szCs w:val="22"/>
          <w:u w:val="single"/>
        </w:rPr>
      </w:pPr>
      <w:r w:rsidRPr="002339BF">
        <w:rPr>
          <w:sz w:val="22"/>
          <w:szCs w:val="22"/>
          <w:u w:val="single"/>
        </w:rPr>
        <w:t xml:space="preserve">Rastreabilidade </w:t>
      </w:r>
    </w:p>
    <w:p w14:paraId="6B390714" w14:textId="77777777" w:rsidR="00833083" w:rsidRPr="002339BF" w:rsidRDefault="00833083" w:rsidP="002F6811">
      <w:pPr>
        <w:tabs>
          <w:tab w:val="left" w:pos="567"/>
        </w:tabs>
        <w:autoSpaceDE w:val="0"/>
        <w:autoSpaceDN w:val="0"/>
        <w:adjustRightInd w:val="0"/>
        <w:outlineLvl w:val="3"/>
        <w:rPr>
          <w:sz w:val="22"/>
          <w:szCs w:val="22"/>
          <w:u w:val="single"/>
        </w:rPr>
      </w:pPr>
    </w:p>
    <w:p w14:paraId="05D18B5F" w14:textId="77777777" w:rsidR="002F6811" w:rsidRPr="008912CF" w:rsidRDefault="00615769" w:rsidP="002F6811">
      <w:pPr>
        <w:tabs>
          <w:tab w:val="left" w:pos="567"/>
        </w:tabs>
        <w:autoSpaceDE w:val="0"/>
        <w:autoSpaceDN w:val="0"/>
        <w:adjustRightInd w:val="0"/>
        <w:outlineLvl w:val="3"/>
        <w:rPr>
          <w:sz w:val="22"/>
          <w:szCs w:val="22"/>
          <w:u w:val="single"/>
        </w:rPr>
      </w:pPr>
      <w:r w:rsidRPr="008912CF">
        <w:rPr>
          <w:sz w:val="22"/>
          <w:szCs w:val="22"/>
        </w:rPr>
        <w:t xml:space="preserve">De forma a melhorar a rastreabilidade dos medicamentos biológicos, </w:t>
      </w:r>
      <w:r w:rsidR="002022F7">
        <w:rPr>
          <w:sz w:val="22"/>
          <w:szCs w:val="22"/>
        </w:rPr>
        <w:t>o nome</w:t>
      </w:r>
      <w:r w:rsidR="00AA7183">
        <w:rPr>
          <w:sz w:val="22"/>
          <w:szCs w:val="22"/>
        </w:rPr>
        <w:t xml:space="preserve"> </w:t>
      </w:r>
      <w:r w:rsidRPr="008912CF">
        <w:rPr>
          <w:sz w:val="22"/>
          <w:szCs w:val="22"/>
        </w:rPr>
        <w:t>e o número de lote do medicamento administrado devem ser registados</w:t>
      </w:r>
      <w:r w:rsidR="00372684">
        <w:rPr>
          <w:sz w:val="22"/>
          <w:szCs w:val="22"/>
        </w:rPr>
        <w:t xml:space="preserve"> de forma clara</w:t>
      </w:r>
      <w:r w:rsidRPr="008912CF">
        <w:rPr>
          <w:sz w:val="22"/>
          <w:szCs w:val="22"/>
        </w:rPr>
        <w:t xml:space="preserve">. </w:t>
      </w:r>
    </w:p>
    <w:p w14:paraId="52DC6DCA" w14:textId="77777777" w:rsidR="002F6811" w:rsidRPr="008912CF" w:rsidRDefault="002F6811" w:rsidP="002F6811">
      <w:pPr>
        <w:pStyle w:val="Heading4"/>
        <w:keepNext w:val="0"/>
        <w:autoSpaceDE w:val="0"/>
        <w:autoSpaceDN w:val="0"/>
        <w:adjustRightInd w:val="0"/>
        <w:spacing w:line="240" w:lineRule="auto"/>
        <w:jc w:val="left"/>
        <w:rPr>
          <w:b w:val="0"/>
          <w:noProof w:val="0"/>
          <w:szCs w:val="22"/>
          <w:u w:val="single"/>
        </w:rPr>
      </w:pPr>
    </w:p>
    <w:p w14:paraId="6D6CB3A6" w14:textId="77777777" w:rsidR="002F6811" w:rsidRPr="008912CF" w:rsidRDefault="00615769" w:rsidP="002F6811">
      <w:pPr>
        <w:pStyle w:val="Heading4"/>
        <w:keepNext w:val="0"/>
        <w:autoSpaceDE w:val="0"/>
        <w:autoSpaceDN w:val="0"/>
        <w:adjustRightInd w:val="0"/>
        <w:spacing w:line="240" w:lineRule="auto"/>
        <w:jc w:val="left"/>
        <w:rPr>
          <w:b w:val="0"/>
          <w:noProof w:val="0"/>
          <w:szCs w:val="22"/>
          <w:u w:val="single"/>
        </w:rPr>
      </w:pPr>
      <w:r w:rsidRPr="008912CF">
        <w:rPr>
          <w:b w:val="0"/>
          <w:noProof w:val="0"/>
          <w:szCs w:val="22"/>
          <w:u w:val="single"/>
        </w:rPr>
        <w:t>Infeções</w:t>
      </w:r>
    </w:p>
    <w:p w14:paraId="7E34DC44" w14:textId="77777777" w:rsidR="002F6811" w:rsidRPr="008912CF" w:rsidRDefault="002F6811" w:rsidP="002F6811">
      <w:pPr>
        <w:rPr>
          <w:sz w:val="22"/>
          <w:szCs w:val="22"/>
        </w:rPr>
      </w:pPr>
    </w:p>
    <w:p w14:paraId="4CF30B5F" w14:textId="77777777" w:rsidR="002F6811" w:rsidRPr="008912CF" w:rsidRDefault="00615769" w:rsidP="002F6811">
      <w:pPr>
        <w:rPr>
          <w:sz w:val="22"/>
          <w:szCs w:val="22"/>
        </w:rPr>
      </w:pPr>
      <w:r w:rsidRPr="008912CF">
        <w:rPr>
          <w:sz w:val="22"/>
          <w:szCs w:val="22"/>
        </w:rPr>
        <w:t>Doentes tratados com antagonistas</w:t>
      </w:r>
      <w:r w:rsidRPr="008912CF">
        <w:rPr>
          <w:sz w:val="22"/>
          <w:szCs w:val="22"/>
        </w:rPr>
        <w:noBreakHyphen/>
        <w:t>TNF são mais suscetíveis a infeções graves. Função pulmonar comprometida pode aumentar o risco de desenvolver infeções. Os doentes devem por isso ser cuidadosamente monitorizados para despiste de infeções, incluindo tuberculose, antes, durante e após o tratamento com Humira. Dado que a eliminação de adalimumab pode levar até quatro meses, a monitorização deve ser continuada durante este período de tempo.</w:t>
      </w:r>
    </w:p>
    <w:p w14:paraId="2308204B" w14:textId="77777777" w:rsidR="002F6811" w:rsidRPr="008912CF" w:rsidRDefault="002F6811" w:rsidP="002F6811">
      <w:pPr>
        <w:autoSpaceDE w:val="0"/>
        <w:autoSpaceDN w:val="0"/>
        <w:adjustRightInd w:val="0"/>
        <w:rPr>
          <w:sz w:val="22"/>
          <w:szCs w:val="22"/>
        </w:rPr>
      </w:pPr>
    </w:p>
    <w:p w14:paraId="09CB9C7D" w14:textId="77777777" w:rsidR="002F6811" w:rsidRPr="008912CF" w:rsidRDefault="00615769" w:rsidP="002F6811">
      <w:pPr>
        <w:autoSpaceDE w:val="0"/>
        <w:autoSpaceDN w:val="0"/>
        <w:adjustRightInd w:val="0"/>
        <w:rPr>
          <w:sz w:val="22"/>
          <w:szCs w:val="22"/>
        </w:rPr>
      </w:pPr>
      <w:r w:rsidRPr="008912CF">
        <w:rPr>
          <w:sz w:val="22"/>
          <w:szCs w:val="22"/>
        </w:rPr>
        <w:t xml:space="preserve">O tratamento com Humira não deve ser iniciado em doentes com infeções ativas, incluindo infeções crónicas ou localizadas, até que as mesmas estejam controladas. Nos doentes que foram expostos à tuberculose e doentes que viajaram para zonas de alto risco de tuberculose ou micoses endémicas, tais como histoplasmose, </w:t>
      </w:r>
      <w:r w:rsidRPr="008912CF">
        <w:rPr>
          <w:color w:val="000000"/>
          <w:sz w:val="22"/>
          <w:szCs w:val="22"/>
        </w:rPr>
        <w:t>coccidioidomicose</w:t>
      </w:r>
      <w:r w:rsidRPr="008912CF">
        <w:rPr>
          <w:sz w:val="22"/>
          <w:szCs w:val="22"/>
        </w:rPr>
        <w:t>, ou blastomicose, deverá ser considerado o risco e os benefícios do tratamento com Humira antes de iniciar a terapêutica (</w:t>
      </w:r>
      <w:r w:rsidRPr="00DF5632">
        <w:rPr>
          <w:iCs/>
          <w:sz w:val="22"/>
          <w:szCs w:val="22"/>
        </w:rPr>
        <w:t>ver</w:t>
      </w:r>
      <w:r w:rsidRPr="008912CF">
        <w:rPr>
          <w:i/>
          <w:iCs/>
          <w:sz w:val="22"/>
          <w:szCs w:val="22"/>
        </w:rPr>
        <w:t xml:space="preserve"> Outras infeções oportunistas</w:t>
      </w:r>
      <w:r w:rsidRPr="008912CF">
        <w:rPr>
          <w:sz w:val="22"/>
          <w:szCs w:val="22"/>
        </w:rPr>
        <w:t>).</w:t>
      </w:r>
    </w:p>
    <w:p w14:paraId="633F2693" w14:textId="77777777" w:rsidR="002F6811" w:rsidRPr="008912CF" w:rsidRDefault="002F6811" w:rsidP="002F6811">
      <w:pPr>
        <w:autoSpaceDE w:val="0"/>
        <w:autoSpaceDN w:val="0"/>
        <w:adjustRightInd w:val="0"/>
        <w:rPr>
          <w:sz w:val="22"/>
          <w:szCs w:val="22"/>
        </w:rPr>
      </w:pPr>
    </w:p>
    <w:p w14:paraId="08B7B3F7" w14:textId="77777777" w:rsidR="002F6811" w:rsidRPr="008912CF" w:rsidRDefault="00615769" w:rsidP="002F6811">
      <w:pPr>
        <w:autoSpaceDE w:val="0"/>
        <w:autoSpaceDN w:val="0"/>
        <w:adjustRightInd w:val="0"/>
        <w:rPr>
          <w:sz w:val="22"/>
          <w:szCs w:val="22"/>
        </w:rPr>
      </w:pPr>
      <w:r w:rsidRPr="008912CF">
        <w:rPr>
          <w:sz w:val="22"/>
          <w:szCs w:val="22"/>
        </w:rPr>
        <w:t>Os doentes que desenvolvam uma nova infeção no decurso do tratamento com Humira devem ser cuidadosamente monitorizados e submetidos a uma avaliação completa do diagnóstico. A administração de Humira deve ser interrompida se um doente desenvolver uma nova infeção grave ou sepsia, e deve ser iniciada uma terapêutica antimicrobiana ou antifúngica apropriada até controlo da infeção. Os médicos devem ter precaução quando consideram o uso de Humira em doentes com história de infeção recorrente ou com condições su</w:t>
      </w:r>
      <w:r w:rsidRPr="008912CF">
        <w:rPr>
          <w:sz w:val="22"/>
          <w:szCs w:val="22"/>
        </w:rPr>
        <w:t>bjacentes suscetíveis de os predispor a infeções, incluindo o uso concomitante de medicação imunossupressora.</w:t>
      </w:r>
    </w:p>
    <w:p w14:paraId="0A7FC70D" w14:textId="77777777" w:rsidR="002F6811" w:rsidRPr="008912CF" w:rsidRDefault="002F6811" w:rsidP="002F6811">
      <w:pPr>
        <w:autoSpaceDE w:val="0"/>
        <w:autoSpaceDN w:val="0"/>
        <w:adjustRightInd w:val="0"/>
        <w:rPr>
          <w:sz w:val="22"/>
          <w:szCs w:val="22"/>
        </w:rPr>
      </w:pPr>
    </w:p>
    <w:p w14:paraId="6303F9AA" w14:textId="77777777" w:rsidR="002F6811" w:rsidRPr="008912CF" w:rsidRDefault="00615769" w:rsidP="001D65CF">
      <w:pPr>
        <w:keepNext/>
        <w:autoSpaceDE w:val="0"/>
        <w:autoSpaceDN w:val="0"/>
        <w:adjustRightInd w:val="0"/>
        <w:rPr>
          <w:i/>
          <w:iCs/>
          <w:sz w:val="22"/>
          <w:szCs w:val="22"/>
        </w:rPr>
      </w:pPr>
      <w:r w:rsidRPr="008912CF">
        <w:rPr>
          <w:i/>
          <w:iCs/>
          <w:sz w:val="22"/>
          <w:szCs w:val="22"/>
        </w:rPr>
        <w:t>Infeções graves</w:t>
      </w:r>
    </w:p>
    <w:p w14:paraId="2A8DD496" w14:textId="77777777" w:rsidR="002F6811" w:rsidRPr="008912CF" w:rsidRDefault="002F6811" w:rsidP="001D65CF">
      <w:pPr>
        <w:keepNext/>
        <w:autoSpaceDE w:val="0"/>
        <w:autoSpaceDN w:val="0"/>
        <w:adjustRightInd w:val="0"/>
        <w:rPr>
          <w:sz w:val="22"/>
          <w:szCs w:val="22"/>
        </w:rPr>
      </w:pPr>
    </w:p>
    <w:p w14:paraId="1E215290" w14:textId="77777777" w:rsidR="002F6811" w:rsidRPr="008912CF" w:rsidRDefault="00615769" w:rsidP="001D65CF">
      <w:pPr>
        <w:keepNext/>
        <w:autoSpaceDE w:val="0"/>
        <w:autoSpaceDN w:val="0"/>
        <w:adjustRightInd w:val="0"/>
        <w:rPr>
          <w:sz w:val="22"/>
          <w:szCs w:val="22"/>
        </w:rPr>
      </w:pPr>
      <w:r w:rsidRPr="008912CF">
        <w:rPr>
          <w:sz w:val="22"/>
          <w:szCs w:val="22"/>
        </w:rPr>
        <w:t>Foram notificadas infeções graves, incluindo sepsia, devido a infeções bacterianas, micobacterianas, fúngicas, parasitárias e virais invasivas, ou outras infeções oportunistas tais como listeriose, l</w:t>
      </w:r>
      <w:r w:rsidRPr="008912CF">
        <w:rPr>
          <w:sz w:val="22"/>
          <w:u w:color="0000FF"/>
        </w:rPr>
        <w:t xml:space="preserve">egionelose </w:t>
      </w:r>
      <w:r w:rsidRPr="008912CF">
        <w:rPr>
          <w:sz w:val="22"/>
          <w:szCs w:val="22"/>
        </w:rPr>
        <w:t xml:space="preserve">e </w:t>
      </w:r>
      <w:r w:rsidRPr="008912CF">
        <w:rPr>
          <w:iCs/>
          <w:sz w:val="22"/>
          <w:szCs w:val="22"/>
        </w:rPr>
        <w:t>pneumocistose</w:t>
      </w:r>
      <w:r w:rsidRPr="008912CF">
        <w:rPr>
          <w:i/>
          <w:iCs/>
          <w:sz w:val="22"/>
          <w:szCs w:val="22"/>
        </w:rPr>
        <w:t>,</w:t>
      </w:r>
      <w:r w:rsidRPr="008912CF">
        <w:rPr>
          <w:sz w:val="22"/>
          <w:szCs w:val="22"/>
        </w:rPr>
        <w:t xml:space="preserve"> em doentes tratados com Humira. </w:t>
      </w:r>
    </w:p>
    <w:p w14:paraId="7F693081" w14:textId="77777777" w:rsidR="002F6811" w:rsidRPr="008912CF" w:rsidRDefault="002F6811" w:rsidP="002F6811">
      <w:pPr>
        <w:autoSpaceDE w:val="0"/>
        <w:autoSpaceDN w:val="0"/>
        <w:adjustRightInd w:val="0"/>
        <w:rPr>
          <w:sz w:val="22"/>
          <w:szCs w:val="22"/>
        </w:rPr>
      </w:pPr>
    </w:p>
    <w:p w14:paraId="0176CF09" w14:textId="77777777" w:rsidR="002F6811" w:rsidRPr="008912CF" w:rsidRDefault="00615769" w:rsidP="002F6811">
      <w:pPr>
        <w:autoSpaceDE w:val="0"/>
        <w:autoSpaceDN w:val="0"/>
        <w:adjustRightInd w:val="0"/>
        <w:rPr>
          <w:sz w:val="22"/>
          <w:szCs w:val="22"/>
        </w:rPr>
      </w:pPr>
      <w:r w:rsidRPr="008912CF">
        <w:rPr>
          <w:sz w:val="22"/>
          <w:szCs w:val="22"/>
        </w:rPr>
        <w:t>Outras infeções graves observadas em ensaios clínicos incluem pneumonia, pielonefrite, artrite séptica e septicemia. Foram notificadas hospitalizações ou casos fatais associadas a infeções.</w:t>
      </w:r>
    </w:p>
    <w:p w14:paraId="45F13DA6" w14:textId="77777777" w:rsidR="002F6811" w:rsidRPr="008912CF" w:rsidRDefault="002F6811" w:rsidP="002F6811">
      <w:pPr>
        <w:autoSpaceDE w:val="0"/>
        <w:autoSpaceDN w:val="0"/>
        <w:adjustRightInd w:val="0"/>
        <w:rPr>
          <w:sz w:val="22"/>
          <w:szCs w:val="22"/>
        </w:rPr>
      </w:pPr>
    </w:p>
    <w:p w14:paraId="52D6D7AE" w14:textId="77777777" w:rsidR="002F6811" w:rsidRPr="008912CF" w:rsidRDefault="00615769" w:rsidP="002F6811">
      <w:pPr>
        <w:autoSpaceDE w:val="0"/>
        <w:autoSpaceDN w:val="0"/>
        <w:adjustRightInd w:val="0"/>
        <w:rPr>
          <w:i/>
          <w:iCs/>
          <w:sz w:val="22"/>
          <w:szCs w:val="22"/>
        </w:rPr>
      </w:pPr>
      <w:r w:rsidRPr="008912CF">
        <w:rPr>
          <w:i/>
          <w:iCs/>
          <w:sz w:val="22"/>
          <w:szCs w:val="22"/>
        </w:rPr>
        <w:t>Tuberculose</w:t>
      </w:r>
    </w:p>
    <w:p w14:paraId="171D135E" w14:textId="77777777" w:rsidR="002F6811" w:rsidRPr="008912CF" w:rsidRDefault="002F6811" w:rsidP="002F6811">
      <w:pPr>
        <w:autoSpaceDE w:val="0"/>
        <w:autoSpaceDN w:val="0"/>
        <w:adjustRightInd w:val="0"/>
        <w:rPr>
          <w:sz w:val="22"/>
          <w:szCs w:val="22"/>
        </w:rPr>
      </w:pPr>
    </w:p>
    <w:p w14:paraId="517CB8DE" w14:textId="77777777" w:rsidR="002F6811" w:rsidRPr="008912CF" w:rsidRDefault="00615769" w:rsidP="002F6811">
      <w:pPr>
        <w:autoSpaceDE w:val="0"/>
        <w:autoSpaceDN w:val="0"/>
        <w:adjustRightInd w:val="0"/>
        <w:rPr>
          <w:sz w:val="22"/>
          <w:szCs w:val="22"/>
        </w:rPr>
      </w:pPr>
      <w:r w:rsidRPr="008912CF">
        <w:rPr>
          <w:sz w:val="22"/>
          <w:szCs w:val="22"/>
        </w:rPr>
        <w:t>Foram notificados casos de tuberculose</w:t>
      </w:r>
      <w:r w:rsidR="008A40F5">
        <w:rPr>
          <w:sz w:val="22"/>
          <w:szCs w:val="22"/>
        </w:rPr>
        <w:t>,</w:t>
      </w:r>
      <w:r w:rsidRPr="008912CF">
        <w:rPr>
          <w:sz w:val="22"/>
          <w:szCs w:val="22"/>
        </w:rPr>
        <w:t xml:space="preserve"> incluindo reativação e novo aparecimento de tuberculose</w:t>
      </w:r>
      <w:r w:rsidR="008A40F5">
        <w:rPr>
          <w:sz w:val="22"/>
          <w:szCs w:val="22"/>
        </w:rPr>
        <w:t>,</w:t>
      </w:r>
      <w:r w:rsidRPr="008912CF">
        <w:rPr>
          <w:sz w:val="22"/>
          <w:szCs w:val="22"/>
        </w:rPr>
        <w:t xml:space="preserve"> em doentes tratados com Humira. Os casos notificados incluíram tuberculose pulmonar e extrapulmonar (isto é</w:t>
      </w:r>
      <w:r w:rsidR="0084367E">
        <w:rPr>
          <w:sz w:val="22"/>
          <w:szCs w:val="22"/>
        </w:rPr>
        <w:t>,</w:t>
      </w:r>
      <w:r w:rsidRPr="008912CF">
        <w:rPr>
          <w:sz w:val="22"/>
          <w:szCs w:val="22"/>
        </w:rPr>
        <w:t xml:space="preserve"> disseminada).</w:t>
      </w:r>
    </w:p>
    <w:p w14:paraId="38CCED92" w14:textId="77777777" w:rsidR="002F6811" w:rsidRPr="008912CF" w:rsidRDefault="002F6811" w:rsidP="002F6811">
      <w:pPr>
        <w:autoSpaceDE w:val="0"/>
        <w:autoSpaceDN w:val="0"/>
        <w:adjustRightInd w:val="0"/>
        <w:rPr>
          <w:sz w:val="22"/>
          <w:szCs w:val="22"/>
        </w:rPr>
      </w:pPr>
    </w:p>
    <w:p w14:paraId="28C2DA79" w14:textId="77777777" w:rsidR="002F6811" w:rsidRPr="008912CF" w:rsidRDefault="00615769" w:rsidP="002F6811">
      <w:pPr>
        <w:pStyle w:val="BodyText2"/>
        <w:rPr>
          <w:szCs w:val="22"/>
          <w:u w:val="single"/>
        </w:rPr>
      </w:pPr>
      <w:r w:rsidRPr="008912CF">
        <w:rPr>
          <w:szCs w:val="22"/>
        </w:rPr>
        <w:t>Antes de iniciar a terapêutica com Humira, todos os doentes devem ser avaliados para despiste da presença de infeção por tuberculose</w:t>
      </w:r>
      <w:r w:rsidR="0084367E">
        <w:rPr>
          <w:szCs w:val="22"/>
        </w:rPr>
        <w:t>,</w:t>
      </w:r>
      <w:r w:rsidRPr="008912CF">
        <w:rPr>
          <w:szCs w:val="22"/>
        </w:rPr>
        <w:t xml:space="preserve"> tanto ativa como inativa (“latente”). Esta avaliação deve incluir uma avaliação clínica detalhada dos doentes com antecedentes da tuberculose ou de uma possível exposição prévia a indivíduos com tuberculose ativa e uma terapêutica imunossupressora prévia e/ou presente. Devem realizar-se exames de despiste apropriados (isto é, teste de tuberculina e radiografia do tórax) em todos os doentes (devem aplicar-se as recomendações locais). A realização e o resultado destes exames são registados no </w:t>
      </w:r>
      <w:r w:rsidR="00BE3E75">
        <w:rPr>
          <w:szCs w:val="22"/>
        </w:rPr>
        <w:t>C</w:t>
      </w:r>
      <w:r w:rsidRPr="008912CF">
        <w:rPr>
          <w:szCs w:val="22"/>
        </w:rPr>
        <w:t xml:space="preserve">artão de </w:t>
      </w:r>
      <w:r w:rsidR="00BE3E75">
        <w:rPr>
          <w:szCs w:val="22"/>
        </w:rPr>
        <w:t>S</w:t>
      </w:r>
      <w:r w:rsidRPr="008912CF">
        <w:rPr>
          <w:szCs w:val="22"/>
        </w:rPr>
        <w:t>egu</w:t>
      </w:r>
      <w:r w:rsidRPr="008912CF">
        <w:rPr>
          <w:szCs w:val="22"/>
        </w:rPr>
        <w:t xml:space="preserve">rança do </w:t>
      </w:r>
      <w:r w:rsidR="00BE3E75">
        <w:rPr>
          <w:szCs w:val="22"/>
        </w:rPr>
        <w:t>D</w:t>
      </w:r>
      <w:r w:rsidRPr="008912CF">
        <w:rPr>
          <w:szCs w:val="22"/>
        </w:rPr>
        <w:t>oente. O médico prescritor deve ser avisado sobre o risco de resultados falsos negativos nos testes de tuberculina, especialmente nos doentes em estado grave ou imunocomprometidos.</w:t>
      </w:r>
    </w:p>
    <w:p w14:paraId="56442507" w14:textId="77777777" w:rsidR="002F6811" w:rsidRPr="008912CF" w:rsidRDefault="002F6811" w:rsidP="002F6811">
      <w:pPr>
        <w:autoSpaceDE w:val="0"/>
        <w:autoSpaceDN w:val="0"/>
        <w:adjustRightInd w:val="0"/>
        <w:rPr>
          <w:sz w:val="22"/>
          <w:szCs w:val="22"/>
          <w:u w:val="single"/>
        </w:rPr>
      </w:pPr>
    </w:p>
    <w:p w14:paraId="0F4D6BEA" w14:textId="77777777" w:rsidR="002F6811" w:rsidRPr="008912CF" w:rsidRDefault="00615769" w:rsidP="002F6811">
      <w:pPr>
        <w:pStyle w:val="EndnoteText"/>
        <w:rPr>
          <w:szCs w:val="22"/>
        </w:rPr>
      </w:pPr>
      <w:r w:rsidRPr="008912CF">
        <w:rPr>
          <w:szCs w:val="22"/>
        </w:rPr>
        <w:t>Não se deve iniciar a terapêutica com Humira em caso de diagnóstico de tuberculose ativa (ver secção 4.3).</w:t>
      </w:r>
      <w:r w:rsidRPr="008912CF">
        <w:rPr>
          <w:i/>
          <w:szCs w:val="22"/>
        </w:rPr>
        <w:t xml:space="preserve"> </w:t>
      </w:r>
    </w:p>
    <w:p w14:paraId="2831B8D7" w14:textId="77777777" w:rsidR="002F6811" w:rsidRPr="008912CF" w:rsidRDefault="002F6811" w:rsidP="002F6811">
      <w:pPr>
        <w:rPr>
          <w:sz w:val="22"/>
          <w:szCs w:val="22"/>
        </w:rPr>
      </w:pPr>
    </w:p>
    <w:p w14:paraId="168CD8DD" w14:textId="77777777" w:rsidR="002F6811" w:rsidRPr="008912CF" w:rsidRDefault="00615769" w:rsidP="002F6811">
      <w:pPr>
        <w:rPr>
          <w:sz w:val="22"/>
          <w:szCs w:val="22"/>
        </w:rPr>
      </w:pPr>
      <w:r w:rsidRPr="008912CF">
        <w:rPr>
          <w:sz w:val="22"/>
          <w:szCs w:val="22"/>
        </w:rPr>
        <w:t>Em todas as situações abaixo descritas, a relação benefício/risco da terapêutica deve ser muito cuidadosamente ponderada.</w:t>
      </w:r>
    </w:p>
    <w:p w14:paraId="34685813" w14:textId="77777777" w:rsidR="002F6811" w:rsidRPr="008912CF" w:rsidRDefault="002F6811" w:rsidP="002F6811">
      <w:pPr>
        <w:rPr>
          <w:sz w:val="22"/>
          <w:szCs w:val="22"/>
        </w:rPr>
      </w:pPr>
    </w:p>
    <w:p w14:paraId="220796D0" w14:textId="77777777" w:rsidR="002F6811" w:rsidRPr="008912CF" w:rsidRDefault="00615769" w:rsidP="002F6811">
      <w:pPr>
        <w:pStyle w:val="BodyText2"/>
        <w:autoSpaceDE/>
        <w:autoSpaceDN/>
        <w:adjustRightInd/>
        <w:rPr>
          <w:i/>
          <w:szCs w:val="22"/>
        </w:rPr>
      </w:pPr>
      <w:r w:rsidRPr="008912CF">
        <w:rPr>
          <w:szCs w:val="22"/>
        </w:rPr>
        <w:t xml:space="preserve">Em caso de suspeita de tuberculose latente, deve ser consultado um médico com experiência no tratamento da tuberculose. </w:t>
      </w:r>
    </w:p>
    <w:p w14:paraId="18316F19" w14:textId="77777777" w:rsidR="002F6811" w:rsidRPr="008912CF" w:rsidRDefault="002F6811" w:rsidP="002F6811">
      <w:pPr>
        <w:rPr>
          <w:color w:val="000000"/>
          <w:sz w:val="22"/>
          <w:szCs w:val="22"/>
        </w:rPr>
      </w:pPr>
    </w:p>
    <w:p w14:paraId="3B7FDB23" w14:textId="77777777" w:rsidR="002F6811" w:rsidRPr="008912CF" w:rsidRDefault="00615769" w:rsidP="002F6811">
      <w:pPr>
        <w:autoSpaceDE w:val="0"/>
        <w:autoSpaceDN w:val="0"/>
        <w:adjustRightInd w:val="0"/>
        <w:rPr>
          <w:snapToGrid w:val="0"/>
          <w:sz w:val="22"/>
          <w:szCs w:val="22"/>
        </w:rPr>
      </w:pPr>
      <w:r w:rsidRPr="008912CF">
        <w:rPr>
          <w:sz w:val="22"/>
          <w:szCs w:val="22"/>
        </w:rPr>
        <w:t>Em caso de diagnóstico de tuberculose</w:t>
      </w:r>
      <w:r w:rsidR="0009093D">
        <w:rPr>
          <w:sz w:val="22"/>
          <w:szCs w:val="22"/>
        </w:rPr>
        <w:t xml:space="preserve"> </w:t>
      </w:r>
      <w:r w:rsidRPr="008912CF">
        <w:rPr>
          <w:sz w:val="22"/>
          <w:szCs w:val="22"/>
        </w:rPr>
        <w:t xml:space="preserve">latente, deve ser iniciada </w:t>
      </w:r>
      <w:r w:rsidR="00FD757B">
        <w:rPr>
          <w:sz w:val="22"/>
          <w:szCs w:val="22"/>
        </w:rPr>
        <w:t>terapêutica apropriada de</w:t>
      </w:r>
      <w:r w:rsidR="00FD757B" w:rsidRPr="008912CF">
        <w:rPr>
          <w:sz w:val="22"/>
          <w:szCs w:val="22"/>
        </w:rPr>
        <w:t xml:space="preserve"> </w:t>
      </w:r>
      <w:r w:rsidRPr="008912CF">
        <w:rPr>
          <w:sz w:val="22"/>
          <w:szCs w:val="22"/>
        </w:rPr>
        <w:t>profilaxia anti</w:t>
      </w:r>
      <w:r w:rsidR="00FD757B">
        <w:rPr>
          <w:sz w:val="22"/>
          <w:szCs w:val="22"/>
        </w:rPr>
        <w:t>-</w:t>
      </w:r>
      <w:r w:rsidRPr="008912CF">
        <w:rPr>
          <w:sz w:val="22"/>
          <w:szCs w:val="22"/>
        </w:rPr>
        <w:t xml:space="preserve">tuberculose antes do início do tratamento com Humira, e de acordo com as recomendações locais. </w:t>
      </w:r>
    </w:p>
    <w:p w14:paraId="3306AB60" w14:textId="77777777" w:rsidR="002F6811" w:rsidRPr="008912CF" w:rsidRDefault="002F6811" w:rsidP="002F6811">
      <w:pPr>
        <w:pStyle w:val="BodyText"/>
        <w:rPr>
          <w:sz w:val="22"/>
          <w:szCs w:val="22"/>
        </w:rPr>
      </w:pPr>
    </w:p>
    <w:p w14:paraId="21E95DAA" w14:textId="77777777" w:rsidR="002F6811" w:rsidRPr="008912CF" w:rsidRDefault="00615769" w:rsidP="002F6811">
      <w:pPr>
        <w:autoSpaceDE w:val="0"/>
        <w:autoSpaceDN w:val="0"/>
        <w:adjustRightInd w:val="0"/>
        <w:rPr>
          <w:sz w:val="22"/>
          <w:szCs w:val="22"/>
        </w:rPr>
      </w:pPr>
      <w:r w:rsidRPr="008912CF">
        <w:rPr>
          <w:sz w:val="22"/>
          <w:szCs w:val="22"/>
        </w:rPr>
        <w:t>A utilização de um tratamento de profilaxia da tuberculose deve também ser considerada</w:t>
      </w:r>
      <w:r w:rsidR="00C50874">
        <w:rPr>
          <w:sz w:val="22"/>
          <w:szCs w:val="22"/>
        </w:rPr>
        <w:t>, antes do início do tratamento com Humira,</w:t>
      </w:r>
      <w:r w:rsidRPr="008912CF">
        <w:rPr>
          <w:sz w:val="22"/>
          <w:szCs w:val="22"/>
        </w:rPr>
        <w:t xml:space="preserve"> em doentes com vários ou significantes fatores de risco de tuberculose apesar de um teste negativo à tuberculose e em doentes com uma história de tuberculose ativa ou latente, </w:t>
      </w:r>
      <w:r w:rsidR="00C50874">
        <w:rPr>
          <w:sz w:val="22"/>
          <w:szCs w:val="22"/>
        </w:rPr>
        <w:t>nos quais não pode ser confirmado</w:t>
      </w:r>
      <w:r w:rsidRPr="008912CF">
        <w:rPr>
          <w:sz w:val="22"/>
          <w:szCs w:val="22"/>
        </w:rPr>
        <w:t xml:space="preserve"> um adequado </w:t>
      </w:r>
      <w:r w:rsidR="00C50874">
        <w:rPr>
          <w:sz w:val="22"/>
          <w:szCs w:val="22"/>
        </w:rPr>
        <w:t xml:space="preserve">curso de </w:t>
      </w:r>
      <w:r w:rsidRPr="008912CF">
        <w:rPr>
          <w:sz w:val="22"/>
          <w:szCs w:val="22"/>
        </w:rPr>
        <w:t>tratamento.</w:t>
      </w:r>
    </w:p>
    <w:p w14:paraId="10BB09CB" w14:textId="77777777" w:rsidR="002F6811" w:rsidRPr="008912CF" w:rsidRDefault="002F6811" w:rsidP="002F6811">
      <w:pPr>
        <w:autoSpaceDE w:val="0"/>
        <w:autoSpaceDN w:val="0"/>
        <w:adjustRightInd w:val="0"/>
        <w:rPr>
          <w:sz w:val="22"/>
          <w:szCs w:val="22"/>
        </w:rPr>
      </w:pPr>
    </w:p>
    <w:p w14:paraId="72736BB6" w14:textId="77777777" w:rsidR="002F6811" w:rsidRPr="008912CF" w:rsidRDefault="00615769" w:rsidP="002F6811">
      <w:pPr>
        <w:autoSpaceDE w:val="0"/>
        <w:autoSpaceDN w:val="0"/>
        <w:adjustRightInd w:val="0"/>
        <w:rPr>
          <w:sz w:val="22"/>
          <w:szCs w:val="22"/>
        </w:rPr>
      </w:pPr>
      <w:r w:rsidRPr="008912CF">
        <w:rPr>
          <w:sz w:val="22"/>
          <w:szCs w:val="22"/>
        </w:rPr>
        <w:t>Apesar do tratamento profilático da tuberculose, ocorreram casos de reativação</w:t>
      </w:r>
      <w:r w:rsidR="00C50874">
        <w:rPr>
          <w:sz w:val="22"/>
          <w:szCs w:val="22"/>
        </w:rPr>
        <w:t xml:space="preserve"> da tuberculose</w:t>
      </w:r>
      <w:r w:rsidRPr="008912CF">
        <w:rPr>
          <w:sz w:val="22"/>
          <w:szCs w:val="22"/>
        </w:rPr>
        <w:t xml:space="preserve"> em doentes tratados com Humira. Alguns doentes em que o tratamento para a tuberculose ativa foi bem sucedido, voltaram a desenvolver tuberculose enquanto foram tratados com Humira.</w:t>
      </w:r>
    </w:p>
    <w:p w14:paraId="50F82372" w14:textId="77777777" w:rsidR="002F6811" w:rsidRPr="008912CF" w:rsidRDefault="002F6811" w:rsidP="002F6811">
      <w:pPr>
        <w:autoSpaceDE w:val="0"/>
        <w:autoSpaceDN w:val="0"/>
        <w:adjustRightInd w:val="0"/>
        <w:rPr>
          <w:sz w:val="22"/>
          <w:szCs w:val="22"/>
        </w:rPr>
      </w:pPr>
    </w:p>
    <w:p w14:paraId="5A74AFD8" w14:textId="77777777" w:rsidR="002F6811" w:rsidRPr="008912CF" w:rsidRDefault="00615769" w:rsidP="002F6811">
      <w:pPr>
        <w:autoSpaceDE w:val="0"/>
        <w:autoSpaceDN w:val="0"/>
        <w:adjustRightInd w:val="0"/>
        <w:rPr>
          <w:b/>
          <w:i/>
          <w:sz w:val="22"/>
          <w:szCs w:val="22"/>
        </w:rPr>
      </w:pPr>
      <w:r w:rsidRPr="008912CF">
        <w:rPr>
          <w:sz w:val="22"/>
          <w:szCs w:val="22"/>
        </w:rPr>
        <w:t>Os doentes devem ser aconselhados a consultar o médico se ocorrerem sinais/sintomas sugestivos de uma infeção por tuberculose (por ex., tosse persistente, emagrecimento/perda de peso, febre baixa, apatia) durante ou após a terapêutica com Humira.</w:t>
      </w:r>
      <w:r w:rsidRPr="008912CF">
        <w:rPr>
          <w:b/>
          <w:i/>
          <w:sz w:val="22"/>
          <w:szCs w:val="22"/>
        </w:rPr>
        <w:t xml:space="preserve"> </w:t>
      </w:r>
    </w:p>
    <w:p w14:paraId="498ACCBB" w14:textId="77777777" w:rsidR="002F6811" w:rsidRPr="008912CF" w:rsidRDefault="002F6811" w:rsidP="002F6811">
      <w:pPr>
        <w:autoSpaceDE w:val="0"/>
        <w:autoSpaceDN w:val="0"/>
        <w:adjustRightInd w:val="0"/>
        <w:rPr>
          <w:sz w:val="22"/>
          <w:szCs w:val="22"/>
        </w:rPr>
      </w:pPr>
    </w:p>
    <w:p w14:paraId="6CDD04E9" w14:textId="77777777" w:rsidR="002F6811" w:rsidRPr="008912CF" w:rsidRDefault="00615769" w:rsidP="00636825">
      <w:pPr>
        <w:autoSpaceDE w:val="0"/>
        <w:autoSpaceDN w:val="0"/>
        <w:adjustRightInd w:val="0"/>
        <w:rPr>
          <w:i/>
          <w:iCs/>
          <w:sz w:val="22"/>
          <w:szCs w:val="22"/>
        </w:rPr>
      </w:pPr>
      <w:r w:rsidRPr="008912CF">
        <w:rPr>
          <w:i/>
          <w:iCs/>
          <w:sz w:val="22"/>
          <w:szCs w:val="22"/>
        </w:rPr>
        <w:t>Outras infeções oportunistas</w:t>
      </w:r>
    </w:p>
    <w:p w14:paraId="76125CD2" w14:textId="77777777" w:rsidR="002F6811" w:rsidRPr="008912CF" w:rsidRDefault="002F6811" w:rsidP="00636825">
      <w:pPr>
        <w:autoSpaceDE w:val="0"/>
        <w:autoSpaceDN w:val="0"/>
        <w:adjustRightInd w:val="0"/>
        <w:rPr>
          <w:sz w:val="22"/>
          <w:szCs w:val="22"/>
        </w:rPr>
      </w:pPr>
    </w:p>
    <w:p w14:paraId="397FDFFF" w14:textId="77777777" w:rsidR="002F6811" w:rsidRPr="008912CF" w:rsidRDefault="00615769" w:rsidP="00636825">
      <w:pPr>
        <w:autoSpaceDE w:val="0"/>
        <w:autoSpaceDN w:val="0"/>
        <w:adjustRightInd w:val="0"/>
        <w:rPr>
          <w:sz w:val="22"/>
          <w:szCs w:val="22"/>
        </w:rPr>
      </w:pPr>
      <w:r w:rsidRPr="008912CF">
        <w:rPr>
          <w:sz w:val="22"/>
          <w:szCs w:val="22"/>
        </w:rPr>
        <w:t>Foram observadas infeções oportunistas, incluindo infeções fúngicas invasivas</w:t>
      </w:r>
      <w:r w:rsidR="00FD757B">
        <w:rPr>
          <w:sz w:val="22"/>
          <w:szCs w:val="22"/>
        </w:rPr>
        <w:t>,</w:t>
      </w:r>
      <w:r w:rsidRPr="008912CF">
        <w:rPr>
          <w:sz w:val="22"/>
          <w:szCs w:val="22"/>
        </w:rPr>
        <w:t xml:space="preserve"> em doentes tratados com Humira. Estas infeções não foram consistentemente reconhecidas em doentes tratados com antagonistas</w:t>
      </w:r>
      <w:r w:rsidRPr="008912CF">
        <w:rPr>
          <w:sz w:val="22"/>
          <w:szCs w:val="22"/>
        </w:rPr>
        <w:noBreakHyphen/>
        <w:t>TNF, resultando em atrasos no tratamento apropriado, por vezes com consequências fatais.</w:t>
      </w:r>
    </w:p>
    <w:p w14:paraId="79C10F47" w14:textId="77777777" w:rsidR="002F6811" w:rsidRPr="008912CF" w:rsidRDefault="002F6811" w:rsidP="002F6811">
      <w:pPr>
        <w:autoSpaceDE w:val="0"/>
        <w:autoSpaceDN w:val="0"/>
        <w:adjustRightInd w:val="0"/>
        <w:rPr>
          <w:sz w:val="22"/>
          <w:szCs w:val="22"/>
        </w:rPr>
      </w:pPr>
    </w:p>
    <w:p w14:paraId="7E74083B" w14:textId="77777777" w:rsidR="002F6811" w:rsidRPr="008912CF" w:rsidRDefault="00615769" w:rsidP="002F6811">
      <w:pPr>
        <w:autoSpaceDE w:val="0"/>
        <w:autoSpaceDN w:val="0"/>
        <w:adjustRightInd w:val="0"/>
        <w:rPr>
          <w:sz w:val="22"/>
          <w:szCs w:val="22"/>
        </w:rPr>
      </w:pPr>
      <w:r>
        <w:rPr>
          <w:sz w:val="22"/>
          <w:szCs w:val="22"/>
        </w:rPr>
        <w:t>Em d</w:t>
      </w:r>
      <w:r w:rsidRPr="008912CF">
        <w:rPr>
          <w:sz w:val="22"/>
          <w:szCs w:val="22"/>
        </w:rPr>
        <w:t xml:space="preserve">oentes que desenvolvam sinais e sintomas tais como febre, mal-estar geral, perda de peso, suores, tosse, dispneia, e/ou infiltração pulmonar ou outras doenças sistémicas graves, com ou sem choque concomitante, deve suspeitar-se de uma infeção fúngica invasiva e a administração de Humira deve ser imediatamente suspensa. O diagnóstico e a administração de uma terapêutica antifúngica empírica nestes doentes devem ser feitos em consulta com um médico especialista </w:t>
      </w:r>
      <w:r>
        <w:rPr>
          <w:sz w:val="22"/>
          <w:szCs w:val="22"/>
        </w:rPr>
        <w:t>no tratamento de</w:t>
      </w:r>
      <w:r w:rsidRPr="008912CF">
        <w:rPr>
          <w:sz w:val="22"/>
          <w:szCs w:val="22"/>
        </w:rPr>
        <w:t xml:space="preserve"> doentes com infeção fúngica inv</w:t>
      </w:r>
      <w:r w:rsidRPr="008912CF">
        <w:rPr>
          <w:sz w:val="22"/>
          <w:szCs w:val="22"/>
        </w:rPr>
        <w:t>asiva.</w:t>
      </w:r>
    </w:p>
    <w:p w14:paraId="446CBFF0" w14:textId="77777777" w:rsidR="002F6811" w:rsidRPr="008912CF" w:rsidRDefault="002F6811" w:rsidP="002F6811">
      <w:pPr>
        <w:pStyle w:val="Heading9"/>
        <w:keepNext w:val="0"/>
        <w:autoSpaceDE w:val="0"/>
        <w:autoSpaceDN w:val="0"/>
        <w:adjustRightInd w:val="0"/>
        <w:rPr>
          <w:szCs w:val="22"/>
        </w:rPr>
      </w:pPr>
    </w:p>
    <w:p w14:paraId="1B0C2172" w14:textId="77777777" w:rsidR="002F6811" w:rsidRPr="008912CF" w:rsidRDefault="00615769" w:rsidP="002F6811">
      <w:pPr>
        <w:pStyle w:val="Heading9"/>
        <w:keepNext w:val="0"/>
        <w:autoSpaceDE w:val="0"/>
        <w:autoSpaceDN w:val="0"/>
        <w:adjustRightInd w:val="0"/>
        <w:rPr>
          <w:szCs w:val="22"/>
        </w:rPr>
      </w:pPr>
      <w:r w:rsidRPr="008912CF">
        <w:rPr>
          <w:szCs w:val="22"/>
        </w:rPr>
        <w:t>Reativação da hepatite B</w:t>
      </w:r>
    </w:p>
    <w:p w14:paraId="3B6BE24A" w14:textId="77777777" w:rsidR="002F6811" w:rsidRPr="008912CF" w:rsidRDefault="002F6811" w:rsidP="002F6811">
      <w:pPr>
        <w:autoSpaceDE w:val="0"/>
        <w:autoSpaceDN w:val="0"/>
        <w:adjustRightInd w:val="0"/>
        <w:rPr>
          <w:sz w:val="22"/>
          <w:szCs w:val="22"/>
          <w:u w:val="single"/>
        </w:rPr>
      </w:pPr>
    </w:p>
    <w:p w14:paraId="34D4FC7D" w14:textId="77777777" w:rsidR="002F6811" w:rsidRPr="008912CF" w:rsidRDefault="00615769" w:rsidP="002F6811">
      <w:pPr>
        <w:autoSpaceDE w:val="0"/>
        <w:autoSpaceDN w:val="0"/>
        <w:adjustRightInd w:val="0"/>
        <w:rPr>
          <w:sz w:val="22"/>
          <w:szCs w:val="22"/>
        </w:rPr>
      </w:pPr>
      <w:r w:rsidRPr="008912CF">
        <w:rPr>
          <w:sz w:val="22"/>
          <w:szCs w:val="22"/>
        </w:rPr>
        <w:t>Ocorreu reativação de hepatite B nos doentes tratados com um antagonista</w:t>
      </w:r>
      <w:r w:rsidRPr="008912CF">
        <w:rPr>
          <w:sz w:val="22"/>
          <w:szCs w:val="22"/>
        </w:rPr>
        <w:noBreakHyphen/>
        <w:t>TNF</w:t>
      </w:r>
      <w:r w:rsidR="00C50874">
        <w:rPr>
          <w:sz w:val="22"/>
          <w:szCs w:val="22"/>
        </w:rPr>
        <w:t>,</w:t>
      </w:r>
      <w:r w:rsidRPr="008912CF">
        <w:rPr>
          <w:sz w:val="22"/>
          <w:szCs w:val="22"/>
        </w:rPr>
        <w:t xml:space="preserve"> incluindo Humira, e que são portadores crónicos deste vírus (por ex., antigénio de superfície positivo). Alguns casos foram fatais. Antes do início do tratamento com Humira os doentes devem ser avaliados para uma possível infeção de HBV. Para os doentes com resultado positivo para a infeção da hepatite B, recomenda-se a consulta de um médico com experiência no tratamento da hepatite B. </w:t>
      </w:r>
    </w:p>
    <w:p w14:paraId="69E70573" w14:textId="77777777" w:rsidR="002F6811" w:rsidRPr="008912CF" w:rsidRDefault="002F6811" w:rsidP="002F6811">
      <w:pPr>
        <w:autoSpaceDE w:val="0"/>
        <w:autoSpaceDN w:val="0"/>
        <w:adjustRightInd w:val="0"/>
        <w:rPr>
          <w:sz w:val="22"/>
          <w:szCs w:val="22"/>
        </w:rPr>
      </w:pPr>
    </w:p>
    <w:p w14:paraId="5EC8F5E6" w14:textId="77777777" w:rsidR="002F6811" w:rsidRPr="008912CF" w:rsidRDefault="00615769" w:rsidP="002F6811">
      <w:pPr>
        <w:autoSpaceDE w:val="0"/>
        <w:autoSpaceDN w:val="0"/>
        <w:adjustRightInd w:val="0"/>
        <w:rPr>
          <w:sz w:val="22"/>
          <w:szCs w:val="22"/>
        </w:rPr>
      </w:pPr>
      <w:r w:rsidRPr="008912CF">
        <w:rPr>
          <w:sz w:val="22"/>
          <w:szCs w:val="22"/>
        </w:rPr>
        <w:t>Portadores de HBV que requerem tratamento com Humira devem ser cuidadosamente monitorizados relativamente aos sinais e sintomas de uma infeção HBV ativa durante o tratamento e alguns meses depois de terminada a terapêutica. Não estão disponíveis dados adequados relativos ao tratamento de doentes portadores de HBV, com terapêutica antiviral em associação com antagonistas</w:t>
      </w:r>
      <w:r w:rsidRPr="008912CF">
        <w:rPr>
          <w:sz w:val="22"/>
          <w:szCs w:val="22"/>
        </w:rPr>
        <w:noBreakHyphen/>
        <w:t>TNF, na prevenção de reativação de HBV. Em doentes que desenvolvem reativação de HBV, Humira deve ser suspenso e deve ser iniciada uma terapêutica antiviral eficaz com tratamento de suporte adequado.</w:t>
      </w:r>
    </w:p>
    <w:p w14:paraId="5E8E72B0" w14:textId="77777777" w:rsidR="002F6811" w:rsidRPr="008912CF" w:rsidRDefault="002F6811" w:rsidP="002F6811">
      <w:pPr>
        <w:pStyle w:val="EndnoteText"/>
        <w:tabs>
          <w:tab w:val="clear" w:pos="567"/>
        </w:tabs>
        <w:autoSpaceDE w:val="0"/>
        <w:autoSpaceDN w:val="0"/>
        <w:adjustRightInd w:val="0"/>
        <w:rPr>
          <w:szCs w:val="22"/>
        </w:rPr>
      </w:pPr>
    </w:p>
    <w:p w14:paraId="19D2A6A0" w14:textId="77777777" w:rsidR="002F6811" w:rsidRPr="008912CF" w:rsidRDefault="00615769" w:rsidP="002F6811">
      <w:pPr>
        <w:autoSpaceDE w:val="0"/>
        <w:autoSpaceDN w:val="0"/>
        <w:adjustRightInd w:val="0"/>
        <w:rPr>
          <w:sz w:val="22"/>
          <w:szCs w:val="22"/>
          <w:u w:val="single"/>
        </w:rPr>
      </w:pPr>
      <w:r w:rsidRPr="008912CF">
        <w:rPr>
          <w:sz w:val="22"/>
          <w:szCs w:val="22"/>
          <w:u w:val="single"/>
        </w:rPr>
        <w:t>Efeitos neurológicos</w:t>
      </w:r>
    </w:p>
    <w:p w14:paraId="414F160D" w14:textId="77777777" w:rsidR="002F6811" w:rsidRPr="008912CF" w:rsidRDefault="002F6811" w:rsidP="002F6811">
      <w:pPr>
        <w:autoSpaceDE w:val="0"/>
        <w:autoSpaceDN w:val="0"/>
        <w:adjustRightInd w:val="0"/>
        <w:rPr>
          <w:sz w:val="22"/>
          <w:szCs w:val="22"/>
          <w:u w:val="single"/>
        </w:rPr>
      </w:pPr>
    </w:p>
    <w:p w14:paraId="120DC6F8" w14:textId="77777777" w:rsidR="002F6811" w:rsidRPr="008912CF" w:rsidRDefault="00615769" w:rsidP="002F6811">
      <w:pPr>
        <w:autoSpaceDE w:val="0"/>
        <w:autoSpaceDN w:val="0"/>
        <w:adjustRightInd w:val="0"/>
        <w:rPr>
          <w:sz w:val="22"/>
          <w:szCs w:val="22"/>
        </w:rPr>
      </w:pPr>
      <w:r w:rsidRPr="008912CF">
        <w:rPr>
          <w:sz w:val="22"/>
          <w:szCs w:val="22"/>
        </w:rPr>
        <w:t>Os antagonistas</w:t>
      </w:r>
      <w:r w:rsidRPr="008912CF">
        <w:rPr>
          <w:sz w:val="22"/>
          <w:szCs w:val="22"/>
        </w:rPr>
        <w:noBreakHyphen/>
        <w:t>TNF, incluindo Humira, foram associados em casos raros com o reaparecimento ou com a exacerbação de sintomatologia clínica e/ou evidência radiográfica de doença desmielinizante do sistema nervoso central</w:t>
      </w:r>
      <w:r w:rsidR="00FD757B">
        <w:rPr>
          <w:sz w:val="22"/>
          <w:szCs w:val="22"/>
        </w:rPr>
        <w:t>,</w:t>
      </w:r>
      <w:r w:rsidRPr="008912CF">
        <w:rPr>
          <w:sz w:val="22"/>
          <w:szCs w:val="22"/>
        </w:rPr>
        <w:t xml:space="preserve"> incluindo esclerose múltipla e neurite ótica</w:t>
      </w:r>
      <w:r w:rsidR="00FD757B">
        <w:rPr>
          <w:sz w:val="22"/>
          <w:szCs w:val="22"/>
        </w:rPr>
        <w:t>,</w:t>
      </w:r>
      <w:r w:rsidRPr="008912CF">
        <w:rPr>
          <w:sz w:val="22"/>
          <w:szCs w:val="22"/>
        </w:rPr>
        <w:t xml:space="preserve"> e doença desmielinizante periférica, incluindo síndrome de </w:t>
      </w:r>
      <w:r w:rsidRPr="008912CF">
        <w:rPr>
          <w:i/>
          <w:sz w:val="22"/>
          <w:szCs w:val="22"/>
        </w:rPr>
        <w:t>Guillain-Barré</w:t>
      </w:r>
      <w:r w:rsidRPr="008912CF">
        <w:rPr>
          <w:sz w:val="22"/>
          <w:szCs w:val="22"/>
        </w:rPr>
        <w:t>. O médico prescritor deve ter precaução ao considerar o uso de Humira em doentes com patologias desmielinizantes do sistema nervoso central ou periférico pré-existentes ou de início rece</w:t>
      </w:r>
      <w:r w:rsidRPr="008912CF">
        <w:rPr>
          <w:sz w:val="22"/>
          <w:szCs w:val="22"/>
        </w:rPr>
        <w:t>nte</w:t>
      </w:r>
      <w:r>
        <w:rPr>
          <w:sz w:val="22"/>
          <w:szCs w:val="22"/>
        </w:rPr>
        <w:t>;</w:t>
      </w:r>
      <w:r w:rsidRPr="008912CF">
        <w:rPr>
          <w:sz w:val="22"/>
          <w:szCs w:val="22"/>
        </w:rPr>
        <w:t xml:space="preserve"> </w:t>
      </w:r>
      <w:r w:rsidRPr="00B77BEC">
        <w:rPr>
          <w:sz w:val="22"/>
          <w:szCs w:val="22"/>
        </w:rPr>
        <w:t>a d</w:t>
      </w:r>
      <w:r w:rsidRPr="00D808C9">
        <w:rPr>
          <w:sz w:val="22"/>
          <w:szCs w:val="22"/>
        </w:rPr>
        <w:t xml:space="preserve">escontinuação da terapêutica com Humira deverá ser considerada </w:t>
      </w:r>
      <w:r>
        <w:rPr>
          <w:sz w:val="22"/>
          <w:szCs w:val="22"/>
        </w:rPr>
        <w:t xml:space="preserve">em doentes que desenvolvam algumas destas patologias. Existe uma associação conhecida entre a uveíte intermédia e as doenças desmielinizantes do sistema nervoso central. A avaliação neurológica deve ser efetuada em doentes que apresentem uveíte intermédia não infecciosa antes do início do tratamento com Humira e regularmente durante o tratamento, para avaliação de doenças </w:t>
      </w:r>
      <w:r w:rsidRPr="00482808">
        <w:rPr>
          <w:sz w:val="22"/>
          <w:szCs w:val="22"/>
        </w:rPr>
        <w:t>desmielinizantes</w:t>
      </w:r>
      <w:r>
        <w:rPr>
          <w:sz w:val="22"/>
          <w:szCs w:val="22"/>
        </w:rPr>
        <w:t xml:space="preserve"> do sistema nervoso central pré-existentes ou em d</w:t>
      </w:r>
      <w:r>
        <w:rPr>
          <w:sz w:val="22"/>
          <w:szCs w:val="22"/>
        </w:rPr>
        <w:t xml:space="preserve">esenvolvimento.  </w:t>
      </w:r>
    </w:p>
    <w:p w14:paraId="3596CE31" w14:textId="77777777" w:rsidR="002F6811" w:rsidRPr="008912CF" w:rsidRDefault="002F6811" w:rsidP="002F6811">
      <w:pPr>
        <w:autoSpaceDE w:val="0"/>
        <w:autoSpaceDN w:val="0"/>
        <w:adjustRightInd w:val="0"/>
        <w:rPr>
          <w:sz w:val="22"/>
          <w:szCs w:val="22"/>
          <w:u w:val="single"/>
        </w:rPr>
      </w:pPr>
    </w:p>
    <w:p w14:paraId="75710D2E" w14:textId="77777777" w:rsidR="002F6811" w:rsidRPr="008912CF" w:rsidRDefault="00615769" w:rsidP="002F6811">
      <w:pPr>
        <w:rPr>
          <w:sz w:val="22"/>
          <w:szCs w:val="22"/>
          <w:u w:val="single"/>
        </w:rPr>
      </w:pPr>
      <w:r w:rsidRPr="008912CF">
        <w:rPr>
          <w:sz w:val="22"/>
          <w:szCs w:val="22"/>
          <w:u w:val="single"/>
        </w:rPr>
        <w:t>Reações alérgicas</w:t>
      </w:r>
    </w:p>
    <w:p w14:paraId="0D13A6AF" w14:textId="77777777" w:rsidR="002F6811" w:rsidRPr="008912CF" w:rsidRDefault="002F6811" w:rsidP="002F6811">
      <w:pPr>
        <w:rPr>
          <w:sz w:val="22"/>
          <w:szCs w:val="22"/>
          <w:u w:val="single"/>
        </w:rPr>
      </w:pPr>
    </w:p>
    <w:p w14:paraId="45EE3C8C" w14:textId="77777777" w:rsidR="002F6811" w:rsidRPr="008912CF" w:rsidRDefault="00615769" w:rsidP="002F6811">
      <w:pPr>
        <w:autoSpaceDE w:val="0"/>
        <w:autoSpaceDN w:val="0"/>
        <w:adjustRightInd w:val="0"/>
        <w:rPr>
          <w:sz w:val="22"/>
          <w:szCs w:val="22"/>
        </w:rPr>
      </w:pPr>
      <w:r w:rsidRPr="008912CF">
        <w:rPr>
          <w:sz w:val="22"/>
          <w:szCs w:val="22"/>
        </w:rPr>
        <w:t xml:space="preserve">No decurso dos ensaios clínicos foram raras as reações alérgicas graves associadas a Humira. No decurso dos ensaios clínicos foram pouco frequentes os casos de reações alérgicas não graves associadas a Humira. Foram notificados casos de reações alérgicas graves, incluindo anafilaxia, associadas à administração de Humira. Caso se verifique uma reação anafilática ou outra reação alérgica grave, deve suspender-se imediatamente a administração de Humira e instituir-se uma terapêutica apropriada. </w:t>
      </w:r>
    </w:p>
    <w:p w14:paraId="5F95B0CE" w14:textId="77777777" w:rsidR="002F6811" w:rsidRPr="008912CF" w:rsidRDefault="002F6811" w:rsidP="002F6811">
      <w:pPr>
        <w:autoSpaceDE w:val="0"/>
        <w:autoSpaceDN w:val="0"/>
        <w:adjustRightInd w:val="0"/>
        <w:rPr>
          <w:sz w:val="22"/>
          <w:szCs w:val="22"/>
        </w:rPr>
      </w:pPr>
    </w:p>
    <w:p w14:paraId="0CACC8E6" w14:textId="77777777" w:rsidR="002F6811" w:rsidRPr="008912CF" w:rsidRDefault="00615769" w:rsidP="002F6811">
      <w:pPr>
        <w:autoSpaceDE w:val="0"/>
        <w:autoSpaceDN w:val="0"/>
        <w:adjustRightInd w:val="0"/>
        <w:rPr>
          <w:sz w:val="22"/>
          <w:szCs w:val="22"/>
          <w:u w:val="single"/>
        </w:rPr>
      </w:pPr>
      <w:r w:rsidRPr="008912CF">
        <w:rPr>
          <w:sz w:val="22"/>
          <w:szCs w:val="22"/>
          <w:u w:val="single"/>
        </w:rPr>
        <w:t>Imunossupressão</w:t>
      </w:r>
    </w:p>
    <w:p w14:paraId="5BA3CEE8" w14:textId="77777777" w:rsidR="002F6811" w:rsidRPr="008912CF" w:rsidRDefault="002F6811" w:rsidP="002F6811">
      <w:pPr>
        <w:autoSpaceDE w:val="0"/>
        <w:autoSpaceDN w:val="0"/>
        <w:adjustRightInd w:val="0"/>
        <w:rPr>
          <w:sz w:val="22"/>
          <w:szCs w:val="22"/>
          <w:u w:val="single"/>
        </w:rPr>
      </w:pPr>
    </w:p>
    <w:p w14:paraId="364592B1" w14:textId="77777777" w:rsidR="002F6811" w:rsidRPr="008912CF" w:rsidRDefault="00615769" w:rsidP="002F6811">
      <w:pPr>
        <w:rPr>
          <w:sz w:val="22"/>
          <w:szCs w:val="22"/>
        </w:rPr>
      </w:pPr>
      <w:r w:rsidRPr="008912CF">
        <w:rPr>
          <w:sz w:val="22"/>
          <w:szCs w:val="22"/>
        </w:rPr>
        <w:t>Num estudo realizado em 64 doentes com artrite reumatoide tratados com Humira, não se observou qualquer evidência de redução da hipersensibilidade de tipo tardio, redução dos níveis de imunoglobulina ou alteração do número de linfócitos efetores T, B, células NK, monócitos/macrófagos e neutrófilos.</w:t>
      </w:r>
    </w:p>
    <w:p w14:paraId="2619662C" w14:textId="77777777" w:rsidR="002F6811" w:rsidRPr="008912CF" w:rsidRDefault="002F6811" w:rsidP="002F6811">
      <w:pPr>
        <w:pStyle w:val="EMEAHeadingUnderline"/>
        <w:spacing w:before="0" w:after="0"/>
        <w:rPr>
          <w:szCs w:val="22"/>
          <w:lang w:val="pt-PT"/>
        </w:rPr>
      </w:pPr>
    </w:p>
    <w:p w14:paraId="37715F9B" w14:textId="77777777" w:rsidR="002F6811" w:rsidRPr="008912CF" w:rsidRDefault="00615769" w:rsidP="002F6811">
      <w:pPr>
        <w:pStyle w:val="EMEAHeadingUnderline"/>
        <w:keepNext/>
        <w:spacing w:before="0" w:after="0"/>
        <w:rPr>
          <w:szCs w:val="22"/>
          <w:lang w:val="pt-PT"/>
        </w:rPr>
      </w:pPr>
      <w:r>
        <w:rPr>
          <w:szCs w:val="22"/>
          <w:lang w:val="pt-PT"/>
        </w:rPr>
        <w:t>Neoplasias e d</w:t>
      </w:r>
      <w:r w:rsidRPr="008912CF">
        <w:rPr>
          <w:szCs w:val="22"/>
          <w:lang w:val="pt-PT"/>
        </w:rPr>
        <w:t>oenças linfoproliferativas</w:t>
      </w:r>
    </w:p>
    <w:p w14:paraId="136D8AF0" w14:textId="77777777" w:rsidR="002F6811" w:rsidRPr="008912CF" w:rsidRDefault="002F6811" w:rsidP="002F6811">
      <w:pPr>
        <w:keepNext/>
        <w:rPr>
          <w:sz w:val="22"/>
          <w:szCs w:val="22"/>
        </w:rPr>
      </w:pPr>
    </w:p>
    <w:p w14:paraId="6C77D38E" w14:textId="77777777" w:rsidR="002F6811" w:rsidRPr="008912CF" w:rsidRDefault="00615769" w:rsidP="002F6811">
      <w:pPr>
        <w:keepNext/>
        <w:rPr>
          <w:sz w:val="22"/>
          <w:szCs w:val="22"/>
        </w:rPr>
      </w:pPr>
      <w:r w:rsidRPr="008912CF">
        <w:rPr>
          <w:sz w:val="22"/>
          <w:szCs w:val="22"/>
        </w:rPr>
        <w:t>Em partes controladas de ensaios clínicos de antagonistas</w:t>
      </w:r>
      <w:r w:rsidRPr="008912CF">
        <w:rPr>
          <w:sz w:val="22"/>
          <w:szCs w:val="22"/>
        </w:rPr>
        <w:noBreakHyphen/>
        <w:t xml:space="preserve">TNF, foram observados mais casos de neoplasias incluindo linfomas em doentes tratados com antagonistas-TNF do que em doentes controlo. </w:t>
      </w:r>
      <w:r w:rsidRPr="008912CF">
        <w:rPr>
          <w:sz w:val="22"/>
          <w:szCs w:val="22"/>
        </w:rPr>
        <w:lastRenderedPageBreak/>
        <w:t>Contudo, a ocorrência foi rara. Após comercialização, foram notificados casos de leucemia em doentes tratados com um antagonista</w:t>
      </w:r>
      <w:r w:rsidRPr="008912CF">
        <w:rPr>
          <w:sz w:val="22"/>
          <w:szCs w:val="22"/>
        </w:rPr>
        <w:noBreakHyphen/>
        <w:t>TNF. Há um risco aumentado de linfoma e leucemia em doentes com artrite reumatoide com doença inflamatória de longa data e muito ativa, o que complica a estimativa do risco. De acordo com o conhecimento atual, não pode ser excluído o possível risc</w:t>
      </w:r>
      <w:r w:rsidRPr="008912CF">
        <w:rPr>
          <w:sz w:val="22"/>
          <w:szCs w:val="22"/>
        </w:rPr>
        <w:t>o de desenvolvimento de linfomas, leucemias e outras neoplasias em doentes tratados com um antagonista</w:t>
      </w:r>
      <w:r w:rsidRPr="008912CF">
        <w:rPr>
          <w:sz w:val="22"/>
          <w:szCs w:val="22"/>
        </w:rPr>
        <w:noBreakHyphen/>
        <w:t>TNF.</w:t>
      </w:r>
    </w:p>
    <w:p w14:paraId="4BFBDB88" w14:textId="77777777" w:rsidR="002F6811" w:rsidRPr="008912CF" w:rsidRDefault="002F6811" w:rsidP="002F6811">
      <w:pPr>
        <w:rPr>
          <w:sz w:val="22"/>
          <w:szCs w:val="22"/>
        </w:rPr>
      </w:pPr>
    </w:p>
    <w:p w14:paraId="1821CE72" w14:textId="77777777" w:rsidR="002F6811" w:rsidRPr="008912CF" w:rsidRDefault="00615769" w:rsidP="002F6811">
      <w:pPr>
        <w:rPr>
          <w:sz w:val="22"/>
          <w:szCs w:val="22"/>
        </w:rPr>
      </w:pPr>
      <w:r w:rsidRPr="008912CF">
        <w:rPr>
          <w:sz w:val="22"/>
          <w:szCs w:val="22"/>
        </w:rPr>
        <w:t>No período pós-comercialização, foram notificadas neoplasias malignas, algumas fatais, em crianças, adolescentes e jovens adultos (até 22 anos de idade) tratados com antagonistas</w:t>
      </w:r>
      <w:r w:rsidRPr="008912CF">
        <w:rPr>
          <w:sz w:val="22"/>
          <w:szCs w:val="22"/>
        </w:rPr>
        <w:noBreakHyphen/>
        <w:t>TNF, incluindo adalimumab (início de terapia com idade ≤ 18</w:t>
      </w:r>
      <w:r>
        <w:rPr>
          <w:sz w:val="22"/>
          <w:szCs w:val="22"/>
        </w:rPr>
        <w:t> </w:t>
      </w:r>
      <w:r w:rsidRPr="008912CF">
        <w:rPr>
          <w:sz w:val="22"/>
          <w:szCs w:val="22"/>
        </w:rPr>
        <w:t>anos). Aproximadamente metade dos casos foram linfomas. Os outros casos representaram uma variedade de diferentes neoplasias e incluíram neoplasias raras, habitualmente associadas com imunossupressão. Não pode ser excluído o risco de desenvolvimento de neoplasias em crianças e adolescentes tratados com antagonistas</w:t>
      </w:r>
      <w:r w:rsidRPr="008912CF">
        <w:rPr>
          <w:sz w:val="22"/>
          <w:szCs w:val="22"/>
        </w:rPr>
        <w:noBreakHyphen/>
        <w:t>TNF.</w:t>
      </w:r>
    </w:p>
    <w:p w14:paraId="63F99D50" w14:textId="77777777" w:rsidR="002F6811" w:rsidRPr="008912CF" w:rsidRDefault="002F6811" w:rsidP="002F6811">
      <w:pPr>
        <w:rPr>
          <w:sz w:val="22"/>
          <w:szCs w:val="22"/>
        </w:rPr>
      </w:pPr>
    </w:p>
    <w:p w14:paraId="7A150536" w14:textId="77777777" w:rsidR="002F6811" w:rsidRPr="008912CF" w:rsidRDefault="00615769" w:rsidP="002F6811">
      <w:pPr>
        <w:rPr>
          <w:sz w:val="22"/>
          <w:szCs w:val="22"/>
        </w:rPr>
      </w:pPr>
      <w:r w:rsidRPr="008912CF">
        <w:rPr>
          <w:sz w:val="22"/>
          <w:szCs w:val="22"/>
        </w:rPr>
        <w:t>Após a comercialização, foram notificados casos raros de linfoma hepatoesplénico de linfócitos T em doentes tratados com adalimumab. Este tipo raro de linfoma de linfócitos T tem uma progressão muito agressiva e geralmente fatal. Alguns destes linfomas hepatoesplénicos de linfócitos T com Humira ocorreram em doentes adultos jovens com terapêutica concomitante com azatioprina ou 6-mercaptopurina, utilizados para a doença inflamatória intestinal. O risco potencial com a associação de azatioprina ou 6-mercapto</w:t>
      </w:r>
      <w:r w:rsidRPr="008912CF">
        <w:rPr>
          <w:sz w:val="22"/>
          <w:szCs w:val="22"/>
        </w:rPr>
        <w:t>purina e Humira deve ser cuidadosamente considerado. O risco de desenvolvimento de linfoma hepatoesplénico de células T em doentes que recebam tratamento com Humira não pode ser excluído (ver secção 4.8).</w:t>
      </w:r>
    </w:p>
    <w:p w14:paraId="1375F230" w14:textId="77777777" w:rsidR="002F6811" w:rsidRPr="008912CF" w:rsidRDefault="002F6811" w:rsidP="002F6811">
      <w:pPr>
        <w:rPr>
          <w:sz w:val="22"/>
          <w:szCs w:val="22"/>
        </w:rPr>
      </w:pPr>
    </w:p>
    <w:p w14:paraId="2ED8E1CC" w14:textId="77777777" w:rsidR="002F6811" w:rsidRPr="008912CF" w:rsidRDefault="00615769" w:rsidP="002F6811">
      <w:pPr>
        <w:rPr>
          <w:sz w:val="22"/>
          <w:szCs w:val="22"/>
        </w:rPr>
      </w:pPr>
      <w:r w:rsidRPr="008912CF">
        <w:rPr>
          <w:sz w:val="22"/>
          <w:szCs w:val="22"/>
        </w:rPr>
        <w:t>Não foram efetuados estudos em doentes com história de neoplasias ou nos quais o tratamento com Humira foi continuado após o desenvolvimento de neoplasias. Deste modo</w:t>
      </w:r>
      <w:r w:rsidR="00AB02F8">
        <w:rPr>
          <w:sz w:val="22"/>
          <w:szCs w:val="22"/>
        </w:rPr>
        <w:t>,</w:t>
      </w:r>
      <w:r w:rsidRPr="008912CF">
        <w:rPr>
          <w:sz w:val="22"/>
          <w:szCs w:val="22"/>
        </w:rPr>
        <w:t xml:space="preserve"> deve-se </w:t>
      </w:r>
      <w:r w:rsidR="00AB02F8">
        <w:rPr>
          <w:sz w:val="22"/>
          <w:szCs w:val="22"/>
        </w:rPr>
        <w:t>exercer</w:t>
      </w:r>
      <w:r w:rsidRPr="008912CF">
        <w:rPr>
          <w:sz w:val="22"/>
          <w:szCs w:val="22"/>
        </w:rPr>
        <w:t xml:space="preserve"> precaução adicional ao considerar o tratamento com Humira nestes doentes (ver secção 4.8).</w:t>
      </w:r>
    </w:p>
    <w:p w14:paraId="515B1817" w14:textId="77777777" w:rsidR="002F6811" w:rsidRPr="008912CF" w:rsidRDefault="002F6811" w:rsidP="002F6811">
      <w:pPr>
        <w:rPr>
          <w:sz w:val="22"/>
          <w:szCs w:val="22"/>
        </w:rPr>
      </w:pPr>
    </w:p>
    <w:p w14:paraId="2EB8010D" w14:textId="77777777" w:rsidR="002F6811" w:rsidRPr="008912CF" w:rsidRDefault="00615769" w:rsidP="002F6811">
      <w:pPr>
        <w:autoSpaceDE w:val="0"/>
        <w:autoSpaceDN w:val="0"/>
        <w:adjustRightInd w:val="0"/>
        <w:rPr>
          <w:sz w:val="22"/>
          <w:szCs w:val="22"/>
        </w:rPr>
      </w:pPr>
      <w:r w:rsidRPr="008912CF">
        <w:rPr>
          <w:sz w:val="22"/>
          <w:szCs w:val="22"/>
        </w:rPr>
        <w:t>Todos os doentes, e em particular os doentes com história clínica de terapêutica imunossupressora prolongada ou nos doentes com psoríase com uma história de tratamento por PUVA, devem ser avaliados relativamente a neoplasias cutâneas não-melanomas, antes e durante o tratamento com Humira. Melanoma e carcinoma das células de Merkel foram também notificad</w:t>
      </w:r>
      <w:r w:rsidR="00D47117">
        <w:rPr>
          <w:sz w:val="22"/>
          <w:szCs w:val="22"/>
        </w:rPr>
        <w:t>o</w:t>
      </w:r>
      <w:r w:rsidRPr="008912CF">
        <w:rPr>
          <w:sz w:val="22"/>
          <w:szCs w:val="22"/>
        </w:rPr>
        <w:t>s em doentes tratados com antagonistas-TNF</w:t>
      </w:r>
      <w:r w:rsidR="00D47117">
        <w:rPr>
          <w:sz w:val="22"/>
          <w:szCs w:val="22"/>
        </w:rPr>
        <w:t>,</w:t>
      </w:r>
      <w:r w:rsidRPr="008912CF">
        <w:rPr>
          <w:sz w:val="22"/>
          <w:szCs w:val="22"/>
        </w:rPr>
        <w:t xml:space="preserve"> incluindo adalimumab (ver secção 4.8).</w:t>
      </w:r>
    </w:p>
    <w:p w14:paraId="640D0944" w14:textId="77777777" w:rsidR="002F6811" w:rsidRPr="008912CF" w:rsidRDefault="002F6811" w:rsidP="002F6811">
      <w:pPr>
        <w:autoSpaceDE w:val="0"/>
        <w:autoSpaceDN w:val="0"/>
        <w:adjustRightInd w:val="0"/>
        <w:rPr>
          <w:sz w:val="22"/>
          <w:szCs w:val="22"/>
          <w:u w:val="single"/>
        </w:rPr>
      </w:pPr>
    </w:p>
    <w:p w14:paraId="632962B9" w14:textId="77777777" w:rsidR="002F6811" w:rsidRPr="008912CF" w:rsidRDefault="00615769" w:rsidP="002F6811">
      <w:pPr>
        <w:pStyle w:val="BodyText2"/>
        <w:rPr>
          <w:szCs w:val="22"/>
        </w:rPr>
      </w:pPr>
      <w:r w:rsidRPr="008912CF">
        <w:rPr>
          <w:szCs w:val="22"/>
        </w:rPr>
        <w:t>Num ensaio clínico exploratório realizado para avaliar o uso de um outro antagonista</w:t>
      </w:r>
      <w:r w:rsidRPr="008912CF">
        <w:rPr>
          <w:szCs w:val="22"/>
        </w:rPr>
        <w:noBreakHyphen/>
        <w:t xml:space="preserve">TNF, infliximab, em doentes com doença pulmonar </w:t>
      </w:r>
      <w:r w:rsidR="00D47117" w:rsidRPr="008912CF">
        <w:rPr>
          <w:szCs w:val="22"/>
        </w:rPr>
        <w:t xml:space="preserve">obstrutiva </w:t>
      </w:r>
      <w:r w:rsidRPr="008912CF">
        <w:rPr>
          <w:szCs w:val="22"/>
        </w:rPr>
        <w:t>crónica (DPO</w:t>
      </w:r>
      <w:r w:rsidR="00D47117">
        <w:rPr>
          <w:szCs w:val="22"/>
        </w:rPr>
        <w:t>C</w:t>
      </w:r>
      <w:r w:rsidRPr="008912CF">
        <w:rPr>
          <w:szCs w:val="22"/>
        </w:rPr>
        <w:t>) moderada a grave, foram notificadas mais doenças malignas, principalmente nos pulmões ou cabeça e pescoço, no grupo de doentes tratados com infliximab do que no grupo controlo de doentes. Todos os doentes tinham antecedentes de tabagismo intenso. Assim, devem ser tomadas precauções quando for usado um anti</w:t>
      </w:r>
      <w:r w:rsidRPr="008912CF">
        <w:rPr>
          <w:szCs w:val="22"/>
        </w:rPr>
        <w:noBreakHyphen/>
        <w:t>TNF em doentes com DPO</w:t>
      </w:r>
      <w:r w:rsidR="00D47117">
        <w:rPr>
          <w:szCs w:val="22"/>
        </w:rPr>
        <w:t>C</w:t>
      </w:r>
      <w:r w:rsidRPr="008912CF">
        <w:rPr>
          <w:szCs w:val="22"/>
        </w:rPr>
        <w:t>, bem como em doentes com risco aumentado de doenças malignas devido a tabagismo intenso.</w:t>
      </w:r>
    </w:p>
    <w:p w14:paraId="45BD380F" w14:textId="77777777" w:rsidR="002F6811" w:rsidRPr="008912CF" w:rsidRDefault="002F6811" w:rsidP="002F6811">
      <w:pPr>
        <w:autoSpaceDE w:val="0"/>
        <w:autoSpaceDN w:val="0"/>
        <w:adjustRightInd w:val="0"/>
        <w:rPr>
          <w:sz w:val="22"/>
          <w:szCs w:val="22"/>
          <w:u w:val="single"/>
        </w:rPr>
      </w:pPr>
    </w:p>
    <w:p w14:paraId="071C8406" w14:textId="77777777" w:rsidR="002F6811" w:rsidRPr="008912CF" w:rsidRDefault="00615769" w:rsidP="002F6811">
      <w:pPr>
        <w:autoSpaceDE w:val="0"/>
        <w:autoSpaceDN w:val="0"/>
        <w:adjustRightInd w:val="0"/>
        <w:rPr>
          <w:sz w:val="22"/>
          <w:szCs w:val="22"/>
          <w:lang w:eastAsia="pt-PT"/>
        </w:rPr>
      </w:pPr>
      <w:r w:rsidRPr="008912CF">
        <w:rPr>
          <w:sz w:val="22"/>
          <w:szCs w:val="22"/>
          <w:lang w:eastAsia="pt-PT"/>
        </w:rPr>
        <w:t xml:space="preserve">De acordo com os dados atuais, desconhece-se se o tratamento com </w:t>
      </w:r>
      <w:r w:rsidRPr="008912CF">
        <w:rPr>
          <w:sz w:val="22"/>
          <w:szCs w:val="22"/>
        </w:rPr>
        <w:t>adalimumab</w:t>
      </w:r>
      <w:r w:rsidRPr="008912CF">
        <w:rPr>
          <w:sz w:val="22"/>
          <w:szCs w:val="22"/>
          <w:lang w:eastAsia="pt-PT"/>
        </w:rPr>
        <w:t xml:space="preserve"> influencia o risco de desenvolvimento de displasia ou carcinoma do cólon</w:t>
      </w:r>
      <w:r w:rsidRPr="008912CF">
        <w:rPr>
          <w:sz w:val="22"/>
          <w:szCs w:val="22"/>
        </w:rPr>
        <w:t xml:space="preserve">. Todos os doentes com colite ulcerosa com risco aumentado de displasia ou carcinoma do cólon (por exemplo, doentes com colite ulcerosa </w:t>
      </w:r>
      <w:r w:rsidRPr="008912CF">
        <w:rPr>
          <w:sz w:val="22"/>
          <w:szCs w:val="22"/>
          <w:lang w:eastAsia="pt-PT"/>
        </w:rPr>
        <w:t>de duração prolongada ou colangite esclerosante primária), ou doentes com antecedentes de displasia ou carcinoma do cólon devem ser rastreados quanto à existência de displasia em intervalos regulares antes da terapêutica e durante a doença. Esta avaliação deve incluir colonoscopia e biopsias,</w:t>
      </w:r>
      <w:r w:rsidRPr="008912CF">
        <w:rPr>
          <w:sz w:val="22"/>
          <w:szCs w:val="22"/>
          <w:lang w:eastAsia="pt-PT"/>
        </w:rPr>
        <w:t xml:space="preserve"> de acordo com as recomendações locais.</w:t>
      </w:r>
    </w:p>
    <w:p w14:paraId="6C019539" w14:textId="77777777" w:rsidR="002F6811" w:rsidRPr="008912CF" w:rsidRDefault="002F6811" w:rsidP="002F6811">
      <w:pPr>
        <w:autoSpaceDE w:val="0"/>
        <w:autoSpaceDN w:val="0"/>
        <w:adjustRightInd w:val="0"/>
        <w:rPr>
          <w:sz w:val="22"/>
          <w:szCs w:val="22"/>
        </w:rPr>
      </w:pPr>
    </w:p>
    <w:p w14:paraId="13C68AA5" w14:textId="77777777" w:rsidR="002F6811" w:rsidRPr="008912CF" w:rsidRDefault="00615769" w:rsidP="001D65CF">
      <w:pPr>
        <w:keepNext/>
        <w:autoSpaceDE w:val="0"/>
        <w:autoSpaceDN w:val="0"/>
        <w:adjustRightInd w:val="0"/>
        <w:rPr>
          <w:sz w:val="22"/>
          <w:szCs w:val="22"/>
          <w:u w:val="single"/>
        </w:rPr>
      </w:pPr>
      <w:r w:rsidRPr="008912CF">
        <w:rPr>
          <w:sz w:val="22"/>
          <w:szCs w:val="22"/>
          <w:u w:val="single"/>
        </w:rPr>
        <w:t>Reações hematológicas</w:t>
      </w:r>
    </w:p>
    <w:p w14:paraId="42C194D0" w14:textId="77777777" w:rsidR="002F6811" w:rsidRPr="008912CF" w:rsidRDefault="002F6811" w:rsidP="001D65CF">
      <w:pPr>
        <w:keepNext/>
        <w:autoSpaceDE w:val="0"/>
        <w:autoSpaceDN w:val="0"/>
        <w:adjustRightInd w:val="0"/>
        <w:rPr>
          <w:sz w:val="22"/>
          <w:szCs w:val="22"/>
          <w:u w:val="single"/>
        </w:rPr>
      </w:pPr>
    </w:p>
    <w:p w14:paraId="1776C43C" w14:textId="77777777" w:rsidR="002F6811" w:rsidRPr="008912CF" w:rsidRDefault="00615769" w:rsidP="001D65CF">
      <w:pPr>
        <w:pStyle w:val="BodyText2"/>
        <w:keepNext/>
        <w:rPr>
          <w:szCs w:val="22"/>
        </w:rPr>
      </w:pPr>
      <w:r w:rsidRPr="008912CF">
        <w:rPr>
          <w:szCs w:val="22"/>
        </w:rPr>
        <w:t xml:space="preserve">Foram notificados casos raros de pancitopenia incluindo anemia aplástica com antagonistas TNF. Acontecimentos adversos do sistema hematológico incluindo citopenia clinicamente significativa (p.e. trombocitopenia, leucopenia) foram notificados com Humira. Todos os doentes devem ser aconselhados a consultar de imediato o médico caso desenvolvam sinais e sintomas sugestivos de discrasias sanguíneas (p.e. febre persistente, equimose, hemorragia, palidez) durante a terapêutica com </w:t>
      </w:r>
      <w:r w:rsidRPr="008912CF">
        <w:rPr>
          <w:szCs w:val="22"/>
        </w:rPr>
        <w:lastRenderedPageBreak/>
        <w:t>Humira. A descontinuação da terapêutica com Humira deverá ser considerada em doentes com anomalias hematológicas significativas confirmadas.</w:t>
      </w:r>
    </w:p>
    <w:p w14:paraId="4252EF03" w14:textId="77777777" w:rsidR="002F6811" w:rsidRPr="008912CF" w:rsidRDefault="002F6811" w:rsidP="002F6811">
      <w:pPr>
        <w:autoSpaceDE w:val="0"/>
        <w:autoSpaceDN w:val="0"/>
        <w:adjustRightInd w:val="0"/>
        <w:rPr>
          <w:sz w:val="22"/>
          <w:szCs w:val="22"/>
          <w:u w:val="single"/>
        </w:rPr>
      </w:pPr>
    </w:p>
    <w:p w14:paraId="02A82F4B" w14:textId="77777777" w:rsidR="002F6811" w:rsidRPr="008912CF" w:rsidRDefault="00615769" w:rsidP="002F6811">
      <w:pPr>
        <w:keepNext/>
        <w:autoSpaceDE w:val="0"/>
        <w:autoSpaceDN w:val="0"/>
        <w:adjustRightInd w:val="0"/>
        <w:rPr>
          <w:sz w:val="22"/>
          <w:szCs w:val="22"/>
          <w:u w:val="single"/>
        </w:rPr>
      </w:pPr>
      <w:r w:rsidRPr="008912CF">
        <w:rPr>
          <w:sz w:val="22"/>
          <w:szCs w:val="22"/>
          <w:u w:val="single"/>
        </w:rPr>
        <w:t>Vacinação</w:t>
      </w:r>
    </w:p>
    <w:p w14:paraId="092B04A0" w14:textId="77777777" w:rsidR="002F6811" w:rsidRPr="008912CF" w:rsidRDefault="002F6811" w:rsidP="002F6811">
      <w:pPr>
        <w:pStyle w:val="EMEAHeadingUnderline"/>
        <w:keepNext/>
        <w:tabs>
          <w:tab w:val="clear" w:pos="562"/>
        </w:tabs>
        <w:suppressAutoHyphens w:val="0"/>
        <w:autoSpaceDE w:val="0"/>
        <w:autoSpaceDN w:val="0"/>
        <w:adjustRightInd w:val="0"/>
        <w:spacing w:before="0" w:after="0"/>
        <w:rPr>
          <w:szCs w:val="22"/>
          <w:lang w:val="pt-PT"/>
        </w:rPr>
      </w:pPr>
    </w:p>
    <w:p w14:paraId="525D2054" w14:textId="77777777" w:rsidR="002F6811" w:rsidRPr="008912CF" w:rsidRDefault="00615769" w:rsidP="002F6811">
      <w:pPr>
        <w:pStyle w:val="BodyText2"/>
        <w:keepNext/>
        <w:autoSpaceDE/>
        <w:autoSpaceDN/>
        <w:adjustRightInd/>
        <w:rPr>
          <w:szCs w:val="22"/>
        </w:rPr>
      </w:pPr>
      <w:r w:rsidRPr="008912CF">
        <w:rPr>
          <w:szCs w:val="22"/>
        </w:rPr>
        <w:t xml:space="preserve">Num estudo clínico realizado em 226 doentes adultos com artrite reumatoide tratados com adalimumab ou placebo, foram observadas respostas imunitárias similares na vacinação com a vacina pneumocócica polissacarídica polivalente 23 e com a vacina trivalente contra o vírus da gripe. Não existem dados disponíveis sobre a transmissão secundária de infeção por vacinas vivas em doentes tratados com Humira.  </w:t>
      </w:r>
    </w:p>
    <w:p w14:paraId="59AE1BCF" w14:textId="77777777" w:rsidR="002F6811" w:rsidRPr="008912CF" w:rsidRDefault="002F6811" w:rsidP="002F6811">
      <w:pPr>
        <w:pStyle w:val="BodyText2"/>
        <w:autoSpaceDE/>
        <w:autoSpaceDN/>
        <w:adjustRightInd/>
        <w:rPr>
          <w:szCs w:val="22"/>
        </w:rPr>
      </w:pPr>
    </w:p>
    <w:p w14:paraId="076DB4EF" w14:textId="77777777" w:rsidR="002F6811" w:rsidRPr="008912CF" w:rsidRDefault="00615769" w:rsidP="002F6811">
      <w:pPr>
        <w:pStyle w:val="BodyText2"/>
        <w:autoSpaceDE/>
        <w:autoSpaceDN/>
        <w:adjustRightInd/>
        <w:rPr>
          <w:szCs w:val="22"/>
        </w:rPr>
      </w:pPr>
      <w:r w:rsidRPr="008912CF">
        <w:rPr>
          <w:szCs w:val="22"/>
        </w:rPr>
        <w:t>Recomenda-se que, se possível, nos doentes pediátricos, antes de iniciar o tratamento com Humira, sejam atualizadas as vacinas, de acordo com o atual Programa Nacional de Vacinação.</w:t>
      </w:r>
    </w:p>
    <w:p w14:paraId="16C2FB69" w14:textId="77777777" w:rsidR="002F6811" w:rsidRPr="008912CF" w:rsidRDefault="002F6811" w:rsidP="002F6811">
      <w:pPr>
        <w:pStyle w:val="BodyText2"/>
        <w:autoSpaceDE/>
        <w:autoSpaceDN/>
        <w:adjustRightInd/>
        <w:rPr>
          <w:szCs w:val="22"/>
        </w:rPr>
      </w:pPr>
    </w:p>
    <w:p w14:paraId="5133A2AA" w14:textId="77777777" w:rsidR="002F6811" w:rsidRPr="008912CF" w:rsidRDefault="00615769" w:rsidP="002F6811">
      <w:pPr>
        <w:pStyle w:val="BodyText2"/>
        <w:autoSpaceDE/>
        <w:autoSpaceDN/>
        <w:adjustRightInd/>
      </w:pPr>
      <w:r w:rsidRPr="008912CF">
        <w:t xml:space="preserve">Doentes tratados com Humira podem receber vacinas concomitantes, exceto vacinas vivas. Não se recomenda a administração de vacinas vivas </w:t>
      </w:r>
      <w:r w:rsidR="009B23A3">
        <w:t>(</w:t>
      </w:r>
      <w:r w:rsidR="00AD0004">
        <w:t>p.ex.,</w:t>
      </w:r>
      <w:r w:rsidR="009B23A3">
        <w:t xml:space="preserve"> vacina da BCG) </w:t>
      </w:r>
      <w:r w:rsidRPr="008912CF">
        <w:t>a crianças com exposição intrauterina a adalimumab durante 5</w:t>
      </w:r>
      <w:r>
        <w:t> </w:t>
      </w:r>
      <w:r w:rsidRPr="008912CF">
        <w:t>meses após a última injeção de adalimumab da mãe durante a gravidez.</w:t>
      </w:r>
    </w:p>
    <w:p w14:paraId="44F44473" w14:textId="77777777" w:rsidR="002F6811" w:rsidRPr="008912CF" w:rsidRDefault="002F6811" w:rsidP="002F6811">
      <w:pPr>
        <w:autoSpaceDE w:val="0"/>
        <w:autoSpaceDN w:val="0"/>
        <w:adjustRightInd w:val="0"/>
        <w:rPr>
          <w:sz w:val="22"/>
          <w:szCs w:val="22"/>
        </w:rPr>
      </w:pPr>
    </w:p>
    <w:p w14:paraId="69F2D0CF" w14:textId="77777777" w:rsidR="002F6811" w:rsidRPr="008912CF" w:rsidRDefault="00615769" w:rsidP="002F6811">
      <w:pPr>
        <w:autoSpaceDE w:val="0"/>
        <w:autoSpaceDN w:val="0"/>
        <w:adjustRightInd w:val="0"/>
        <w:rPr>
          <w:sz w:val="22"/>
          <w:szCs w:val="22"/>
          <w:u w:val="single"/>
        </w:rPr>
      </w:pPr>
      <w:r w:rsidRPr="008912CF">
        <w:rPr>
          <w:sz w:val="22"/>
          <w:szCs w:val="22"/>
          <w:u w:val="single"/>
        </w:rPr>
        <w:t>Insuficiência cardíaca congestiva</w:t>
      </w:r>
    </w:p>
    <w:p w14:paraId="234177A8" w14:textId="77777777" w:rsidR="002F6811" w:rsidRPr="008912CF" w:rsidRDefault="002F6811" w:rsidP="002F6811">
      <w:pPr>
        <w:autoSpaceDE w:val="0"/>
        <w:autoSpaceDN w:val="0"/>
        <w:adjustRightInd w:val="0"/>
        <w:rPr>
          <w:sz w:val="22"/>
          <w:szCs w:val="22"/>
          <w:u w:val="single"/>
        </w:rPr>
      </w:pPr>
    </w:p>
    <w:p w14:paraId="2198356F" w14:textId="77777777" w:rsidR="002F6811" w:rsidRPr="008912CF" w:rsidRDefault="00615769" w:rsidP="002F6811">
      <w:pPr>
        <w:autoSpaceDE w:val="0"/>
        <w:autoSpaceDN w:val="0"/>
        <w:adjustRightInd w:val="0"/>
        <w:rPr>
          <w:i/>
          <w:sz w:val="22"/>
          <w:szCs w:val="22"/>
        </w:rPr>
      </w:pPr>
      <w:r w:rsidRPr="008912CF">
        <w:rPr>
          <w:sz w:val="22"/>
          <w:szCs w:val="22"/>
        </w:rPr>
        <w:t>Num ensaio clínico realizado com outro antagonista</w:t>
      </w:r>
      <w:r w:rsidRPr="008912CF">
        <w:rPr>
          <w:sz w:val="22"/>
          <w:szCs w:val="22"/>
        </w:rPr>
        <w:noBreakHyphen/>
      </w:r>
      <w:r w:rsidRPr="008912CF">
        <w:rPr>
          <w:sz w:val="22"/>
          <w:szCs w:val="22"/>
        </w:rPr>
        <w:t xml:space="preserve">TNF observou-se agravamento da insuficiência cardíaca congestiva e aumento da mortalidade por insuficiência cardíaca congestiva. Foram </w:t>
      </w:r>
      <w:r w:rsidR="002B1836">
        <w:rPr>
          <w:sz w:val="22"/>
          <w:szCs w:val="22"/>
        </w:rPr>
        <w:t xml:space="preserve">também </w:t>
      </w:r>
      <w:r w:rsidRPr="008912CF">
        <w:rPr>
          <w:sz w:val="22"/>
          <w:szCs w:val="22"/>
        </w:rPr>
        <w:t>notificados casos de agravamento de insuficiência cardíaca congestiva em doentes tratados com Humira. Humira deve ser utilizado com precaução em doentes com insuficiência cardíaca ligeira (classe I/II da NYHA). Humira está contraindicado na insuficiência cardíaca moderada a grave (ver secção 4.3). O tratamento com Humira deve ser interrompido em doentes que desenvolva</w:t>
      </w:r>
      <w:r w:rsidRPr="008912CF">
        <w:rPr>
          <w:sz w:val="22"/>
          <w:szCs w:val="22"/>
        </w:rPr>
        <w:t xml:space="preserve">m novos sintomas ou agravamento dos sintomas de insuficiência cardíaca congestiva. </w:t>
      </w:r>
    </w:p>
    <w:p w14:paraId="6746AF26" w14:textId="77777777" w:rsidR="002F6811" w:rsidRPr="008912CF" w:rsidRDefault="002F6811" w:rsidP="002F6811">
      <w:pPr>
        <w:pStyle w:val="EndnoteText"/>
        <w:tabs>
          <w:tab w:val="clear" w:pos="567"/>
        </w:tabs>
        <w:rPr>
          <w:szCs w:val="22"/>
        </w:rPr>
      </w:pPr>
    </w:p>
    <w:p w14:paraId="1DBA3E1E" w14:textId="77777777" w:rsidR="002F6811" w:rsidRPr="008912CF" w:rsidRDefault="00615769" w:rsidP="002F6811">
      <w:pPr>
        <w:rPr>
          <w:sz w:val="22"/>
          <w:szCs w:val="22"/>
          <w:u w:val="single"/>
        </w:rPr>
      </w:pPr>
      <w:r w:rsidRPr="008912CF">
        <w:rPr>
          <w:sz w:val="22"/>
          <w:szCs w:val="22"/>
          <w:u w:val="single"/>
        </w:rPr>
        <w:t xml:space="preserve">Processos autoimunes </w:t>
      </w:r>
    </w:p>
    <w:p w14:paraId="0CEDBB4D" w14:textId="77777777" w:rsidR="002F6811" w:rsidRPr="008912CF" w:rsidRDefault="002F6811" w:rsidP="002F6811">
      <w:pPr>
        <w:rPr>
          <w:i/>
          <w:sz w:val="22"/>
          <w:szCs w:val="22"/>
          <w:u w:val="single"/>
        </w:rPr>
      </w:pPr>
    </w:p>
    <w:p w14:paraId="17372782" w14:textId="77777777" w:rsidR="002F6811" w:rsidRPr="008912CF" w:rsidRDefault="00615769" w:rsidP="002F6811">
      <w:pPr>
        <w:rPr>
          <w:sz w:val="22"/>
          <w:szCs w:val="22"/>
        </w:rPr>
      </w:pPr>
      <w:r w:rsidRPr="008912CF">
        <w:rPr>
          <w:sz w:val="22"/>
          <w:szCs w:val="22"/>
        </w:rPr>
        <w:t>O tratamento com Humira pode dar origem à formação de anticorpos autoimunes. Desconhece-se o impacto do tratamento a longo prazo com Humira no desenvolvimento de doenças autoimunes. Não deve ser administrado tratamento adicional com Humira se um doente apresentar sintomas sugestivos de uma síndrome do tipo lúpus e se for positivo para anticorpos contra a dupla cadeia de DNA, após o tratamento com Humira (ver secção 4.8).</w:t>
      </w:r>
    </w:p>
    <w:p w14:paraId="39F351FC" w14:textId="77777777" w:rsidR="002F6811" w:rsidRPr="008912CF" w:rsidRDefault="002F6811" w:rsidP="002F6811">
      <w:pPr>
        <w:rPr>
          <w:sz w:val="22"/>
          <w:szCs w:val="22"/>
        </w:rPr>
      </w:pPr>
    </w:p>
    <w:p w14:paraId="469D0D62" w14:textId="77777777" w:rsidR="002F6811" w:rsidRPr="008912CF" w:rsidRDefault="00615769" w:rsidP="002F6811">
      <w:pPr>
        <w:pStyle w:val="Heading9"/>
        <w:keepNext w:val="0"/>
        <w:rPr>
          <w:szCs w:val="22"/>
        </w:rPr>
      </w:pPr>
      <w:r w:rsidRPr="008912CF">
        <w:rPr>
          <w:szCs w:val="22"/>
        </w:rPr>
        <w:t xml:space="preserve">Administração concomitante de </w:t>
      </w:r>
      <w:r w:rsidR="002B1836" w:rsidRPr="008912CF">
        <w:rPr>
          <w:szCs w:val="22"/>
        </w:rPr>
        <w:t xml:space="preserve">DMARDS </w:t>
      </w:r>
      <w:r w:rsidRPr="008912CF">
        <w:rPr>
          <w:szCs w:val="22"/>
        </w:rPr>
        <w:t>biológicos ou antagonistas</w:t>
      </w:r>
      <w:r w:rsidRPr="008912CF">
        <w:rPr>
          <w:szCs w:val="22"/>
        </w:rPr>
        <w:noBreakHyphen/>
        <w:t>TNF</w:t>
      </w:r>
    </w:p>
    <w:p w14:paraId="12174477" w14:textId="77777777" w:rsidR="002F6811" w:rsidRPr="008912CF" w:rsidRDefault="002F6811" w:rsidP="002F6811">
      <w:pPr>
        <w:rPr>
          <w:iCs/>
          <w:sz w:val="22"/>
          <w:szCs w:val="22"/>
        </w:rPr>
      </w:pPr>
    </w:p>
    <w:p w14:paraId="21AA573C" w14:textId="77777777" w:rsidR="002F6811" w:rsidRPr="008912CF" w:rsidRDefault="00615769" w:rsidP="002F6811">
      <w:pPr>
        <w:rPr>
          <w:i/>
          <w:sz w:val="22"/>
          <w:szCs w:val="22"/>
        </w:rPr>
      </w:pPr>
      <w:r w:rsidRPr="008912CF">
        <w:rPr>
          <w:iCs/>
          <w:sz w:val="22"/>
          <w:szCs w:val="22"/>
        </w:rPr>
        <w:t>Em ensaios clínicos realizados com a administração concomitante de ana</w:t>
      </w:r>
      <w:r w:rsidR="002B1836">
        <w:rPr>
          <w:iCs/>
          <w:sz w:val="22"/>
          <w:szCs w:val="22"/>
        </w:rPr>
        <w:t>c</w:t>
      </w:r>
      <w:r w:rsidRPr="008912CF">
        <w:rPr>
          <w:iCs/>
          <w:sz w:val="22"/>
          <w:szCs w:val="22"/>
        </w:rPr>
        <w:t>inra e outro antagonista</w:t>
      </w:r>
      <w:r w:rsidRPr="008912CF">
        <w:rPr>
          <w:iCs/>
          <w:sz w:val="22"/>
          <w:szCs w:val="22"/>
        </w:rPr>
        <w:noBreakHyphen/>
        <w:t>TNF, etanercept, observaram-se infeções graves sem benefício clínico adicional relativamente à utilização de etanercept isoladamente. Devido à natureza dos acontecimentos adversos observados com a associação terapêutica de etanercept e ana</w:t>
      </w:r>
      <w:r w:rsidR="002B1836">
        <w:rPr>
          <w:iCs/>
          <w:sz w:val="22"/>
          <w:szCs w:val="22"/>
        </w:rPr>
        <w:t>c</w:t>
      </w:r>
      <w:r w:rsidRPr="008912CF">
        <w:rPr>
          <w:iCs/>
          <w:sz w:val="22"/>
          <w:szCs w:val="22"/>
        </w:rPr>
        <w:t xml:space="preserve">inra, a associação de </w:t>
      </w:r>
      <w:r w:rsidR="002B1836">
        <w:rPr>
          <w:iCs/>
          <w:sz w:val="22"/>
          <w:szCs w:val="22"/>
        </w:rPr>
        <w:t>anacinra</w:t>
      </w:r>
      <w:r w:rsidRPr="008912CF">
        <w:rPr>
          <w:iCs/>
          <w:sz w:val="22"/>
          <w:szCs w:val="22"/>
        </w:rPr>
        <w:t xml:space="preserve"> e outro antagonista</w:t>
      </w:r>
      <w:r w:rsidRPr="008912CF">
        <w:rPr>
          <w:iCs/>
          <w:sz w:val="22"/>
          <w:szCs w:val="22"/>
        </w:rPr>
        <w:noBreakHyphen/>
        <w:t>TNF pode também resultar em toxicidades semelhantes. Por conseguinte, não se recomenda a associação de adalimumab e ana</w:t>
      </w:r>
      <w:r w:rsidR="002B1836">
        <w:rPr>
          <w:iCs/>
          <w:sz w:val="22"/>
          <w:szCs w:val="22"/>
        </w:rPr>
        <w:t>c</w:t>
      </w:r>
      <w:r w:rsidRPr="008912CF">
        <w:rPr>
          <w:iCs/>
          <w:sz w:val="22"/>
          <w:szCs w:val="22"/>
        </w:rPr>
        <w:t xml:space="preserve">inra </w:t>
      </w:r>
      <w:r w:rsidRPr="008912CF">
        <w:rPr>
          <w:sz w:val="22"/>
          <w:szCs w:val="22"/>
        </w:rPr>
        <w:t>(ver secção 4.5)</w:t>
      </w:r>
      <w:r w:rsidRPr="008912CF">
        <w:rPr>
          <w:iCs/>
          <w:sz w:val="22"/>
          <w:szCs w:val="22"/>
        </w:rPr>
        <w:t xml:space="preserve">. </w:t>
      </w:r>
    </w:p>
    <w:p w14:paraId="1EE14FA6" w14:textId="77777777" w:rsidR="002F6811" w:rsidRPr="008912CF" w:rsidRDefault="002F6811" w:rsidP="002F6811">
      <w:pPr>
        <w:pStyle w:val="EMEANormal"/>
        <w:rPr>
          <w:szCs w:val="22"/>
          <w:highlight w:val="yellow"/>
          <w:u w:val="single"/>
          <w:lang w:val="pt-PT"/>
        </w:rPr>
      </w:pPr>
    </w:p>
    <w:p w14:paraId="44B94548" w14:textId="77777777" w:rsidR="002F6811" w:rsidRPr="008912CF" w:rsidRDefault="00615769" w:rsidP="002F6811">
      <w:pPr>
        <w:pStyle w:val="EMEANormal"/>
        <w:rPr>
          <w:szCs w:val="22"/>
          <w:highlight w:val="yellow"/>
          <w:lang w:val="pt-PT"/>
        </w:rPr>
      </w:pPr>
      <w:r w:rsidRPr="008912CF">
        <w:rPr>
          <w:szCs w:val="22"/>
          <w:lang w:val="pt-PT"/>
        </w:rPr>
        <w:t xml:space="preserve">Não se recomenda a administração concomitante de adalimumab com outros </w:t>
      </w:r>
      <w:r w:rsidR="002B1836" w:rsidRPr="008912CF">
        <w:rPr>
          <w:szCs w:val="22"/>
          <w:lang w:val="pt-PT"/>
        </w:rPr>
        <w:t xml:space="preserve">DMARDS </w:t>
      </w:r>
      <w:r w:rsidRPr="008912CF">
        <w:rPr>
          <w:szCs w:val="22"/>
          <w:lang w:val="pt-PT"/>
        </w:rPr>
        <w:t>biológicos (p.ex., ana</w:t>
      </w:r>
      <w:r w:rsidR="002B1836">
        <w:rPr>
          <w:szCs w:val="22"/>
          <w:lang w:val="pt-PT"/>
        </w:rPr>
        <w:t>c</w:t>
      </w:r>
      <w:r w:rsidRPr="008912CF">
        <w:rPr>
          <w:szCs w:val="22"/>
          <w:lang w:val="pt-PT"/>
        </w:rPr>
        <w:t>inra e abatacept) ou outros antagonistas</w:t>
      </w:r>
      <w:r w:rsidRPr="008912CF">
        <w:rPr>
          <w:szCs w:val="22"/>
          <w:lang w:val="pt-PT"/>
        </w:rPr>
        <w:noBreakHyphen/>
        <w:t>TNF, devido ao possível risco acrescido de infeções, incluindo infeções graves e outras potenciais interações farmacológicas (</w:t>
      </w:r>
      <w:r w:rsidR="002B1836">
        <w:rPr>
          <w:szCs w:val="22"/>
          <w:lang w:val="pt-PT"/>
        </w:rPr>
        <w:t>v</w:t>
      </w:r>
      <w:r w:rsidRPr="008912CF">
        <w:rPr>
          <w:szCs w:val="22"/>
          <w:lang w:val="pt-PT"/>
        </w:rPr>
        <w:t>er secção 4.5).</w:t>
      </w:r>
    </w:p>
    <w:p w14:paraId="12A3BAEB" w14:textId="77777777" w:rsidR="002F6811" w:rsidRPr="008912CF" w:rsidRDefault="002F6811" w:rsidP="002F6811">
      <w:pPr>
        <w:rPr>
          <w:iCs/>
          <w:sz w:val="22"/>
          <w:szCs w:val="22"/>
          <w:u w:val="single"/>
        </w:rPr>
      </w:pPr>
    </w:p>
    <w:p w14:paraId="2E468218" w14:textId="77777777" w:rsidR="002F6811" w:rsidRPr="008912CF" w:rsidRDefault="00615769" w:rsidP="001D65CF">
      <w:pPr>
        <w:pStyle w:val="Heading9"/>
        <w:rPr>
          <w:iCs/>
          <w:szCs w:val="22"/>
        </w:rPr>
      </w:pPr>
      <w:r w:rsidRPr="008912CF">
        <w:rPr>
          <w:iCs/>
          <w:szCs w:val="22"/>
        </w:rPr>
        <w:t>Cirurgia</w:t>
      </w:r>
    </w:p>
    <w:p w14:paraId="61F99973" w14:textId="77777777" w:rsidR="002F6811" w:rsidRPr="008912CF" w:rsidRDefault="002F6811" w:rsidP="001D65CF">
      <w:pPr>
        <w:keepNext/>
        <w:rPr>
          <w:iCs/>
          <w:sz w:val="22"/>
          <w:szCs w:val="22"/>
        </w:rPr>
      </w:pPr>
    </w:p>
    <w:p w14:paraId="3F80BC99" w14:textId="77777777" w:rsidR="002F6811" w:rsidRPr="008912CF" w:rsidRDefault="00615769" w:rsidP="001D65CF">
      <w:pPr>
        <w:keepNext/>
        <w:rPr>
          <w:iCs/>
          <w:sz w:val="22"/>
          <w:szCs w:val="22"/>
        </w:rPr>
      </w:pPr>
      <w:r w:rsidRPr="008912CF">
        <w:rPr>
          <w:iCs/>
          <w:sz w:val="22"/>
          <w:szCs w:val="22"/>
        </w:rPr>
        <w:t>A experiência existente, em termos de segurança de intervenções cirúrgicas em doentes tratados com Humira, é limitada. A semi</w:t>
      </w:r>
      <w:r w:rsidR="00784C05">
        <w:rPr>
          <w:iCs/>
          <w:sz w:val="22"/>
          <w:szCs w:val="22"/>
        </w:rPr>
        <w:t>-</w:t>
      </w:r>
      <w:r w:rsidRPr="008912CF">
        <w:rPr>
          <w:iCs/>
          <w:sz w:val="22"/>
          <w:szCs w:val="22"/>
        </w:rPr>
        <w:t>vida longa de adalimumab deve ser tida em consideração se for planeada uma intervenção cirúrgica. Um doente que requeira cirurgia durante o tratamento com Humira deve ser cuidadosamente monitorizado para infeções, e devem ser tomadas ações apropriadas. A experiência que existe, em termos de segurança em doentes submetidos a artroplastia durante o tratamento com Humira, é limitada.</w:t>
      </w:r>
    </w:p>
    <w:p w14:paraId="48D02208" w14:textId="77777777" w:rsidR="002F6811" w:rsidRPr="008912CF" w:rsidRDefault="002F6811" w:rsidP="002F6811">
      <w:pPr>
        <w:rPr>
          <w:sz w:val="22"/>
          <w:szCs w:val="22"/>
        </w:rPr>
      </w:pPr>
    </w:p>
    <w:p w14:paraId="73B66EAF" w14:textId="77777777" w:rsidR="002F6811" w:rsidRPr="008912CF" w:rsidRDefault="00615769" w:rsidP="002F6811">
      <w:pPr>
        <w:pStyle w:val="EMEAFigureTitle"/>
        <w:keepNext/>
        <w:tabs>
          <w:tab w:val="clear" w:pos="562"/>
        </w:tabs>
        <w:suppressAutoHyphens w:val="0"/>
        <w:rPr>
          <w:szCs w:val="22"/>
          <w:u w:val="single"/>
          <w:lang w:val="pt-PT"/>
        </w:rPr>
      </w:pPr>
      <w:r w:rsidRPr="008912CF">
        <w:rPr>
          <w:szCs w:val="22"/>
          <w:u w:val="single"/>
          <w:lang w:val="pt-PT"/>
        </w:rPr>
        <w:t>Obstrução do intestino delgado</w:t>
      </w:r>
    </w:p>
    <w:p w14:paraId="38C1315A" w14:textId="77777777" w:rsidR="002F6811" w:rsidRPr="008912CF" w:rsidRDefault="002F6811" w:rsidP="002F6811">
      <w:pPr>
        <w:keepNext/>
        <w:rPr>
          <w:sz w:val="22"/>
          <w:szCs w:val="22"/>
        </w:rPr>
      </w:pPr>
    </w:p>
    <w:p w14:paraId="668F143F" w14:textId="77777777" w:rsidR="002F6811" w:rsidRPr="008912CF" w:rsidRDefault="00615769" w:rsidP="002F6811">
      <w:pPr>
        <w:keepNext/>
        <w:rPr>
          <w:sz w:val="22"/>
          <w:szCs w:val="22"/>
        </w:rPr>
      </w:pPr>
      <w:r w:rsidRPr="008912CF">
        <w:rPr>
          <w:sz w:val="22"/>
          <w:szCs w:val="22"/>
        </w:rPr>
        <w:t>Uma falha na resposta ao tratamento da doença de Crohn pode indicar a presença de estenose fibrótica</w:t>
      </w:r>
      <w:r w:rsidR="00F7235D">
        <w:rPr>
          <w:sz w:val="22"/>
          <w:szCs w:val="22"/>
        </w:rPr>
        <w:t>,</w:t>
      </w:r>
      <w:r w:rsidRPr="008912CF">
        <w:rPr>
          <w:sz w:val="22"/>
          <w:szCs w:val="22"/>
        </w:rPr>
        <w:t xml:space="preserve"> a qual pode requerer tratamento cirúrgico. Os dados disponíveis sugerem que Humira não agrava nem provoca estenoses.</w:t>
      </w:r>
    </w:p>
    <w:p w14:paraId="1A08AAD4" w14:textId="77777777" w:rsidR="002F6811" w:rsidRPr="008912CF" w:rsidRDefault="002F6811" w:rsidP="002F6811">
      <w:pPr>
        <w:rPr>
          <w:i/>
          <w:sz w:val="22"/>
          <w:szCs w:val="22"/>
        </w:rPr>
      </w:pPr>
    </w:p>
    <w:p w14:paraId="598E36BE" w14:textId="77777777" w:rsidR="002F6811" w:rsidRPr="008912CF" w:rsidRDefault="00615769" w:rsidP="002F6811">
      <w:pPr>
        <w:rPr>
          <w:sz w:val="22"/>
          <w:szCs w:val="22"/>
          <w:u w:val="single"/>
        </w:rPr>
      </w:pPr>
      <w:r w:rsidRPr="008912CF">
        <w:rPr>
          <w:sz w:val="22"/>
          <w:szCs w:val="22"/>
          <w:u w:val="single"/>
        </w:rPr>
        <w:t>Idosos</w:t>
      </w:r>
    </w:p>
    <w:p w14:paraId="3FD70BE9" w14:textId="77777777" w:rsidR="002F6811" w:rsidRPr="008912CF" w:rsidRDefault="002F6811" w:rsidP="002F6811">
      <w:pPr>
        <w:rPr>
          <w:sz w:val="22"/>
          <w:szCs w:val="22"/>
        </w:rPr>
      </w:pPr>
    </w:p>
    <w:p w14:paraId="37F0D145" w14:textId="77777777" w:rsidR="002F6811" w:rsidRPr="008912CF" w:rsidRDefault="00615769" w:rsidP="002F6811">
      <w:pPr>
        <w:rPr>
          <w:sz w:val="22"/>
          <w:szCs w:val="22"/>
        </w:rPr>
      </w:pPr>
      <w:r w:rsidRPr="008912CF">
        <w:rPr>
          <w:sz w:val="22"/>
          <w:szCs w:val="22"/>
        </w:rPr>
        <w:t>A frequência de infeções graves em doentes tratados com Humira com mais de 65</w:t>
      </w:r>
      <w:r>
        <w:rPr>
          <w:sz w:val="22"/>
          <w:szCs w:val="22"/>
        </w:rPr>
        <w:t> </w:t>
      </w:r>
      <w:r w:rsidRPr="008912CF">
        <w:rPr>
          <w:sz w:val="22"/>
          <w:szCs w:val="22"/>
        </w:rPr>
        <w:t>anos de idade (</w:t>
      </w:r>
      <w:r>
        <w:rPr>
          <w:sz w:val="22"/>
          <w:szCs w:val="22"/>
        </w:rPr>
        <w:t>3,7</w:t>
      </w:r>
      <w:r w:rsidR="009343EF">
        <w:rPr>
          <w:sz w:val="22"/>
          <w:szCs w:val="22"/>
        </w:rPr>
        <w:t>%</w:t>
      </w:r>
      <w:r w:rsidRPr="008912CF">
        <w:rPr>
          <w:sz w:val="22"/>
          <w:szCs w:val="22"/>
        </w:rPr>
        <w:t>) foi superior à de doentes com idade inferior a 65</w:t>
      </w:r>
      <w:r>
        <w:rPr>
          <w:sz w:val="22"/>
          <w:szCs w:val="22"/>
        </w:rPr>
        <w:t> </w:t>
      </w:r>
      <w:r w:rsidRPr="008912CF">
        <w:rPr>
          <w:sz w:val="22"/>
          <w:szCs w:val="22"/>
        </w:rPr>
        <w:t>anos (</w:t>
      </w:r>
      <w:r>
        <w:rPr>
          <w:sz w:val="22"/>
          <w:szCs w:val="22"/>
        </w:rPr>
        <w:t>1,5</w:t>
      </w:r>
      <w:r w:rsidR="009343EF">
        <w:rPr>
          <w:sz w:val="22"/>
          <w:szCs w:val="22"/>
        </w:rPr>
        <w:t>%</w:t>
      </w:r>
      <w:r w:rsidRPr="008912CF">
        <w:rPr>
          <w:sz w:val="22"/>
          <w:szCs w:val="22"/>
        </w:rPr>
        <w:t>). Algumas foram fatais. No tratamento em idosos deve-se ter particular atenção ao risco de infeções.</w:t>
      </w:r>
    </w:p>
    <w:p w14:paraId="2C9925ED" w14:textId="77777777" w:rsidR="002F6811" w:rsidRPr="008912CF" w:rsidRDefault="002F6811" w:rsidP="002F6811">
      <w:pPr>
        <w:rPr>
          <w:i/>
          <w:sz w:val="22"/>
          <w:szCs w:val="22"/>
        </w:rPr>
      </w:pPr>
    </w:p>
    <w:p w14:paraId="0A50B11E" w14:textId="77777777" w:rsidR="002F6811" w:rsidRPr="008912CF" w:rsidRDefault="00615769" w:rsidP="002F6811">
      <w:pPr>
        <w:rPr>
          <w:iCs/>
          <w:sz w:val="22"/>
          <w:szCs w:val="22"/>
          <w:u w:val="single"/>
        </w:rPr>
      </w:pPr>
      <w:r w:rsidRPr="008912CF">
        <w:rPr>
          <w:iCs/>
          <w:sz w:val="22"/>
          <w:szCs w:val="22"/>
          <w:u w:val="single"/>
        </w:rPr>
        <w:t>População pediátrica</w:t>
      </w:r>
    </w:p>
    <w:p w14:paraId="54A79255" w14:textId="77777777" w:rsidR="002F6811" w:rsidRPr="008912CF" w:rsidRDefault="002F6811" w:rsidP="002F6811">
      <w:pPr>
        <w:rPr>
          <w:i/>
          <w:sz w:val="22"/>
          <w:szCs w:val="22"/>
        </w:rPr>
      </w:pPr>
    </w:p>
    <w:p w14:paraId="3BA596D4" w14:textId="77777777" w:rsidR="002F6811" w:rsidRDefault="00615769" w:rsidP="002F6811">
      <w:pPr>
        <w:rPr>
          <w:ins w:id="10" w:author="AbbVie2" w:date="2025-05-13T16:33:00Z"/>
          <w:iCs/>
          <w:sz w:val="22"/>
          <w:szCs w:val="22"/>
        </w:rPr>
      </w:pPr>
      <w:r w:rsidRPr="008912CF">
        <w:rPr>
          <w:iCs/>
          <w:sz w:val="22"/>
          <w:szCs w:val="22"/>
        </w:rPr>
        <w:t>Ver Vacinação.</w:t>
      </w:r>
    </w:p>
    <w:p w14:paraId="03301F24" w14:textId="77777777" w:rsidR="00412FC8" w:rsidRDefault="00412FC8" w:rsidP="002F6811">
      <w:pPr>
        <w:rPr>
          <w:ins w:id="11" w:author="AbbVie2" w:date="2025-05-13T16:33:00Z"/>
          <w:iCs/>
          <w:sz w:val="22"/>
          <w:szCs w:val="22"/>
        </w:rPr>
      </w:pPr>
    </w:p>
    <w:p w14:paraId="489A14E5" w14:textId="6E926BE4" w:rsidR="00412FC8" w:rsidRPr="00412FC8" w:rsidRDefault="00615769" w:rsidP="002F6811">
      <w:pPr>
        <w:rPr>
          <w:ins w:id="12" w:author="AbbVie2" w:date="2025-05-13T16:33:00Z"/>
          <w:iCs/>
          <w:sz w:val="22"/>
          <w:szCs w:val="22"/>
          <w:u w:val="single"/>
          <w:rPrChange w:id="13" w:author="AbbVie2" w:date="2025-05-13T16:33:00Z">
            <w:rPr>
              <w:ins w:id="14" w:author="AbbVie2" w:date="2025-05-13T16:33:00Z"/>
              <w:iCs/>
              <w:sz w:val="22"/>
              <w:szCs w:val="22"/>
            </w:rPr>
          </w:rPrChange>
        </w:rPr>
      </w:pPr>
      <w:ins w:id="15" w:author="AbbVie2" w:date="2025-05-13T16:33:00Z">
        <w:r w:rsidRPr="00412FC8">
          <w:rPr>
            <w:iCs/>
            <w:sz w:val="22"/>
            <w:szCs w:val="22"/>
            <w:u w:val="single"/>
            <w:rPrChange w:id="16" w:author="AbbVie2" w:date="2025-05-13T16:33:00Z">
              <w:rPr>
                <w:iCs/>
                <w:sz w:val="22"/>
                <w:szCs w:val="22"/>
              </w:rPr>
            </w:rPrChange>
          </w:rPr>
          <w:t>Excipientes com efeito conhecido</w:t>
        </w:r>
      </w:ins>
    </w:p>
    <w:p w14:paraId="08B045EE" w14:textId="77777777" w:rsidR="00412FC8" w:rsidRDefault="00412FC8" w:rsidP="002F6811">
      <w:pPr>
        <w:rPr>
          <w:ins w:id="17" w:author="AbbVie2" w:date="2025-05-13T16:33:00Z"/>
          <w:iCs/>
          <w:sz w:val="22"/>
          <w:szCs w:val="22"/>
        </w:rPr>
      </w:pPr>
    </w:p>
    <w:p w14:paraId="40F0EB95" w14:textId="4D4EA7A0" w:rsidR="00412FC8" w:rsidRPr="008912CF" w:rsidRDefault="00615769" w:rsidP="002F6811">
      <w:pPr>
        <w:rPr>
          <w:iCs/>
          <w:sz w:val="22"/>
          <w:szCs w:val="22"/>
        </w:rPr>
      </w:pPr>
      <w:ins w:id="18" w:author="AbbVie2" w:date="2025-05-13T16:33:00Z">
        <w:r>
          <w:rPr>
            <w:iCs/>
            <w:sz w:val="22"/>
            <w:szCs w:val="22"/>
          </w:rPr>
          <w:t>Este medicamento contém 0,2 mg de polissorbato 80 em cada dose de 20 mg.</w:t>
        </w:r>
      </w:ins>
      <w:ins w:id="19" w:author="AbbVie2" w:date="2025-09-08T09:52:00Z">
        <w:r w:rsidR="00BE62F9">
          <w:rPr>
            <w:iCs/>
            <w:sz w:val="22"/>
            <w:szCs w:val="22"/>
          </w:rPr>
          <w:t xml:space="preserve"> Os polissorbatos podem causar reações alérgicas.</w:t>
        </w:r>
      </w:ins>
    </w:p>
    <w:p w14:paraId="5A981596" w14:textId="77777777" w:rsidR="002F6811" w:rsidRPr="008912CF" w:rsidRDefault="002F6811" w:rsidP="002F6811">
      <w:pPr>
        <w:rPr>
          <w:iCs/>
          <w:sz w:val="22"/>
          <w:szCs w:val="22"/>
        </w:rPr>
      </w:pPr>
    </w:p>
    <w:p w14:paraId="1780FBC7" w14:textId="77777777" w:rsidR="002F6811" w:rsidRPr="008912CF" w:rsidRDefault="00615769" w:rsidP="002F6811">
      <w:pPr>
        <w:autoSpaceDE w:val="0"/>
        <w:autoSpaceDN w:val="0"/>
        <w:adjustRightInd w:val="0"/>
        <w:ind w:left="567" w:hanging="567"/>
        <w:rPr>
          <w:b/>
          <w:sz w:val="22"/>
          <w:szCs w:val="22"/>
          <w:highlight w:val="yellow"/>
        </w:rPr>
      </w:pPr>
      <w:r w:rsidRPr="008912CF">
        <w:rPr>
          <w:b/>
          <w:sz w:val="22"/>
          <w:szCs w:val="22"/>
        </w:rPr>
        <w:t>4.5</w:t>
      </w:r>
      <w:r w:rsidRPr="008912CF">
        <w:rPr>
          <w:sz w:val="22"/>
          <w:szCs w:val="22"/>
        </w:rPr>
        <w:tab/>
      </w:r>
      <w:r w:rsidRPr="008912CF">
        <w:rPr>
          <w:b/>
          <w:sz w:val="22"/>
          <w:szCs w:val="22"/>
        </w:rPr>
        <w:t xml:space="preserve">Interações medicamentosas e outras formas de interação </w:t>
      </w:r>
    </w:p>
    <w:p w14:paraId="4A47C46E" w14:textId="77777777" w:rsidR="002F6811" w:rsidRPr="008912CF" w:rsidRDefault="002F6811" w:rsidP="002F6811">
      <w:pPr>
        <w:pStyle w:val="EndnoteText"/>
        <w:tabs>
          <w:tab w:val="clear" w:pos="567"/>
        </w:tabs>
        <w:rPr>
          <w:szCs w:val="22"/>
        </w:rPr>
      </w:pPr>
    </w:p>
    <w:p w14:paraId="3E478036" w14:textId="77777777" w:rsidR="002F6811" w:rsidRPr="008912CF" w:rsidRDefault="00615769" w:rsidP="002F6811">
      <w:pPr>
        <w:autoSpaceDE w:val="0"/>
        <w:autoSpaceDN w:val="0"/>
        <w:adjustRightInd w:val="0"/>
        <w:rPr>
          <w:sz w:val="22"/>
          <w:szCs w:val="22"/>
        </w:rPr>
      </w:pPr>
      <w:r w:rsidRPr="008912CF">
        <w:rPr>
          <w:sz w:val="22"/>
          <w:szCs w:val="22"/>
        </w:rPr>
        <w:t xml:space="preserve">Humira foi estudado em doentes com artrite reumatoide, artrite idiopática juvenil poliarticular e artrite psoriática, tratados com Humira em monoterapia, e em doentes submetidos a um tratamento concomitante com metotrexato. A formação de anticorpos foi </w:t>
      </w:r>
      <w:r w:rsidR="001D79C6">
        <w:rPr>
          <w:sz w:val="22"/>
          <w:szCs w:val="22"/>
        </w:rPr>
        <w:t>inferior</w:t>
      </w:r>
      <w:r w:rsidRPr="008912CF">
        <w:rPr>
          <w:sz w:val="22"/>
          <w:szCs w:val="22"/>
        </w:rPr>
        <w:t xml:space="preserve"> quando Humira foi administrado com metotrexato relativamente ao uso em monoterapia.</w:t>
      </w:r>
      <w:r w:rsidR="001D79C6">
        <w:rPr>
          <w:sz w:val="22"/>
          <w:szCs w:val="22"/>
        </w:rPr>
        <w:t xml:space="preserve"> </w:t>
      </w:r>
      <w:r w:rsidRPr="008912CF">
        <w:rPr>
          <w:sz w:val="22"/>
          <w:szCs w:val="22"/>
        </w:rPr>
        <w:t>A administração de Humira sem metotrexato resultou numa formação aumentada de anticorpos, depuração aumentada e eficácia reduzida d</w:t>
      </w:r>
      <w:r w:rsidR="003A4C51">
        <w:rPr>
          <w:sz w:val="22"/>
          <w:szCs w:val="22"/>
        </w:rPr>
        <w:t>e</w:t>
      </w:r>
      <w:r w:rsidRPr="008912CF">
        <w:rPr>
          <w:sz w:val="22"/>
          <w:szCs w:val="22"/>
        </w:rPr>
        <w:t xml:space="preserve"> adalimumab (ver secção 5.1). </w:t>
      </w:r>
    </w:p>
    <w:p w14:paraId="580E5FB2" w14:textId="77777777" w:rsidR="002F6811" w:rsidRPr="008912CF" w:rsidRDefault="002F6811" w:rsidP="002F6811">
      <w:pPr>
        <w:autoSpaceDE w:val="0"/>
        <w:autoSpaceDN w:val="0"/>
        <w:adjustRightInd w:val="0"/>
        <w:rPr>
          <w:sz w:val="22"/>
          <w:szCs w:val="22"/>
        </w:rPr>
      </w:pPr>
    </w:p>
    <w:p w14:paraId="3A7A25D4" w14:textId="77777777" w:rsidR="002F6811" w:rsidRPr="008912CF" w:rsidRDefault="00615769" w:rsidP="002F6811">
      <w:pPr>
        <w:pStyle w:val="Heading9"/>
        <w:keepNext w:val="0"/>
        <w:rPr>
          <w:szCs w:val="22"/>
          <w:u w:val="none"/>
        </w:rPr>
      </w:pPr>
      <w:r w:rsidRPr="008912CF">
        <w:rPr>
          <w:iCs/>
          <w:szCs w:val="22"/>
          <w:u w:val="none"/>
        </w:rPr>
        <w:t>Não se recomenda a associação de Humira e ana</w:t>
      </w:r>
      <w:r w:rsidR="002B1836">
        <w:rPr>
          <w:iCs/>
          <w:szCs w:val="22"/>
          <w:u w:val="none"/>
        </w:rPr>
        <w:t>c</w:t>
      </w:r>
      <w:r w:rsidRPr="008912CF">
        <w:rPr>
          <w:iCs/>
          <w:szCs w:val="22"/>
          <w:u w:val="none"/>
        </w:rPr>
        <w:t xml:space="preserve">inra </w:t>
      </w:r>
      <w:r w:rsidRPr="008912CF">
        <w:rPr>
          <w:szCs w:val="22"/>
          <w:u w:val="none"/>
        </w:rPr>
        <w:t xml:space="preserve">(ver secção 4.4 “Administração concomitante de </w:t>
      </w:r>
      <w:r w:rsidR="002B1836" w:rsidRPr="008912CF">
        <w:rPr>
          <w:szCs w:val="22"/>
          <w:u w:val="none"/>
        </w:rPr>
        <w:t xml:space="preserve">DMARDS </w:t>
      </w:r>
      <w:r w:rsidRPr="008912CF">
        <w:rPr>
          <w:szCs w:val="22"/>
          <w:u w:val="none"/>
        </w:rPr>
        <w:t>biológicos ou antagonistas</w:t>
      </w:r>
      <w:r w:rsidRPr="008912CF">
        <w:rPr>
          <w:szCs w:val="22"/>
          <w:u w:val="none"/>
        </w:rPr>
        <w:noBreakHyphen/>
        <w:t>TNF”).</w:t>
      </w:r>
    </w:p>
    <w:p w14:paraId="7B09FAA6" w14:textId="77777777" w:rsidR="002F6811" w:rsidRPr="008912CF" w:rsidRDefault="002F6811" w:rsidP="002F6811">
      <w:pPr>
        <w:pStyle w:val="Heading9"/>
        <w:keepNext w:val="0"/>
        <w:rPr>
          <w:iCs/>
          <w:szCs w:val="22"/>
        </w:rPr>
      </w:pPr>
    </w:p>
    <w:p w14:paraId="48E19AD4" w14:textId="77777777" w:rsidR="002F6811" w:rsidRPr="008912CF" w:rsidRDefault="00615769" w:rsidP="002F6811">
      <w:pPr>
        <w:pStyle w:val="Heading9"/>
        <w:keepNext w:val="0"/>
        <w:rPr>
          <w:szCs w:val="22"/>
        </w:rPr>
      </w:pPr>
      <w:r w:rsidRPr="008912CF">
        <w:rPr>
          <w:iCs/>
          <w:szCs w:val="22"/>
          <w:u w:val="none"/>
        </w:rPr>
        <w:t xml:space="preserve">Não se recomenda a associação de Humira e </w:t>
      </w:r>
      <w:r w:rsidRPr="008912CF">
        <w:rPr>
          <w:szCs w:val="22"/>
          <w:u w:val="none"/>
        </w:rPr>
        <w:t xml:space="preserve">abatacept (ver secção 4.4 “Administração concomitante de </w:t>
      </w:r>
      <w:r w:rsidR="002B1836" w:rsidRPr="008912CF">
        <w:rPr>
          <w:szCs w:val="22"/>
          <w:u w:val="none"/>
        </w:rPr>
        <w:t xml:space="preserve">DMARDS </w:t>
      </w:r>
      <w:r w:rsidRPr="008912CF">
        <w:rPr>
          <w:szCs w:val="22"/>
          <w:u w:val="none"/>
        </w:rPr>
        <w:t>biológicos ou antagonistas</w:t>
      </w:r>
      <w:r w:rsidRPr="008912CF">
        <w:rPr>
          <w:szCs w:val="22"/>
          <w:u w:val="none"/>
        </w:rPr>
        <w:noBreakHyphen/>
        <w:t>TNF”).</w:t>
      </w:r>
    </w:p>
    <w:p w14:paraId="11FD9FD8" w14:textId="77777777" w:rsidR="002F6811" w:rsidRPr="008912CF" w:rsidRDefault="002F6811" w:rsidP="002F6811">
      <w:pPr>
        <w:autoSpaceDE w:val="0"/>
        <w:autoSpaceDN w:val="0"/>
        <w:adjustRightInd w:val="0"/>
        <w:rPr>
          <w:sz w:val="22"/>
          <w:szCs w:val="22"/>
        </w:rPr>
      </w:pPr>
    </w:p>
    <w:p w14:paraId="49E9D95D" w14:textId="77777777" w:rsidR="002F6811" w:rsidRPr="008912CF" w:rsidRDefault="00615769" w:rsidP="002F6811">
      <w:pPr>
        <w:numPr>
          <w:ilvl w:val="1"/>
          <w:numId w:val="12"/>
        </w:numPr>
        <w:autoSpaceDE w:val="0"/>
        <w:autoSpaceDN w:val="0"/>
        <w:adjustRightInd w:val="0"/>
        <w:ind w:left="567" w:hanging="567"/>
        <w:rPr>
          <w:b/>
          <w:sz w:val="22"/>
          <w:szCs w:val="22"/>
        </w:rPr>
      </w:pPr>
      <w:r w:rsidRPr="008912CF">
        <w:rPr>
          <w:b/>
          <w:sz w:val="22"/>
          <w:szCs w:val="22"/>
        </w:rPr>
        <w:t xml:space="preserve">Fertilidade, gravidez e aleitamento </w:t>
      </w:r>
    </w:p>
    <w:p w14:paraId="2B44B1F5" w14:textId="77777777" w:rsidR="002F6811" w:rsidRPr="008912CF" w:rsidRDefault="002F6811" w:rsidP="002F6811">
      <w:pPr>
        <w:autoSpaceDE w:val="0"/>
        <w:autoSpaceDN w:val="0"/>
        <w:adjustRightInd w:val="0"/>
        <w:rPr>
          <w:sz w:val="22"/>
          <w:szCs w:val="22"/>
        </w:rPr>
      </w:pPr>
    </w:p>
    <w:p w14:paraId="056BD06F" w14:textId="77777777" w:rsidR="002F6811" w:rsidRPr="008912CF" w:rsidRDefault="00615769" w:rsidP="002F6811">
      <w:pPr>
        <w:rPr>
          <w:sz w:val="22"/>
          <w:szCs w:val="22"/>
          <w:u w:val="single"/>
        </w:rPr>
      </w:pPr>
      <w:r w:rsidRPr="008912CF">
        <w:rPr>
          <w:sz w:val="22"/>
          <w:szCs w:val="22"/>
          <w:u w:val="single"/>
        </w:rPr>
        <w:t>Mulheres em idade fértil</w:t>
      </w:r>
    </w:p>
    <w:p w14:paraId="1427F04B" w14:textId="77777777" w:rsidR="002F6811" w:rsidRPr="008912CF" w:rsidRDefault="002F6811" w:rsidP="002F6811">
      <w:pPr>
        <w:rPr>
          <w:sz w:val="22"/>
          <w:szCs w:val="22"/>
        </w:rPr>
      </w:pPr>
    </w:p>
    <w:p w14:paraId="5B3A290A" w14:textId="77777777" w:rsidR="002F6811" w:rsidRPr="008912CF" w:rsidRDefault="00615769" w:rsidP="002F6811">
      <w:pPr>
        <w:rPr>
          <w:sz w:val="22"/>
          <w:szCs w:val="22"/>
        </w:rPr>
      </w:pPr>
      <w:r w:rsidRPr="008912CF">
        <w:rPr>
          <w:sz w:val="22"/>
          <w:szCs w:val="22"/>
        </w:rPr>
        <w:t xml:space="preserve">As mulheres em idade fértil </w:t>
      </w:r>
      <w:r w:rsidR="009B23A3">
        <w:rPr>
          <w:sz w:val="22"/>
          <w:szCs w:val="22"/>
        </w:rPr>
        <w:t>devem considerar a utilização de</w:t>
      </w:r>
      <w:r w:rsidRPr="008912CF">
        <w:rPr>
          <w:sz w:val="22"/>
          <w:szCs w:val="22"/>
        </w:rPr>
        <w:t xml:space="preserve"> um método contracetivo adequado para evitar a gravidez e continuar a utilizá-lo durante pelo menos cinco meses após o último tratamento com Humira.</w:t>
      </w:r>
    </w:p>
    <w:p w14:paraId="61453C86" w14:textId="77777777" w:rsidR="002F6811" w:rsidRPr="008912CF" w:rsidRDefault="002F6811" w:rsidP="002F6811">
      <w:pPr>
        <w:autoSpaceDE w:val="0"/>
        <w:autoSpaceDN w:val="0"/>
        <w:adjustRightInd w:val="0"/>
        <w:rPr>
          <w:sz w:val="22"/>
          <w:szCs w:val="22"/>
        </w:rPr>
      </w:pPr>
    </w:p>
    <w:p w14:paraId="382FBCFE" w14:textId="77777777" w:rsidR="002F6811" w:rsidRPr="008912CF" w:rsidRDefault="00615769" w:rsidP="002F6811">
      <w:pPr>
        <w:autoSpaceDE w:val="0"/>
        <w:autoSpaceDN w:val="0"/>
        <w:adjustRightInd w:val="0"/>
        <w:rPr>
          <w:sz w:val="22"/>
          <w:szCs w:val="22"/>
          <w:u w:val="single"/>
        </w:rPr>
      </w:pPr>
      <w:r w:rsidRPr="008912CF">
        <w:rPr>
          <w:sz w:val="22"/>
          <w:szCs w:val="22"/>
          <w:u w:val="single"/>
        </w:rPr>
        <w:t>Gravidez</w:t>
      </w:r>
    </w:p>
    <w:p w14:paraId="1A722DB9" w14:textId="77777777" w:rsidR="002F6811" w:rsidRPr="008912CF" w:rsidRDefault="002F6811" w:rsidP="002F6811">
      <w:pPr>
        <w:autoSpaceDE w:val="0"/>
        <w:autoSpaceDN w:val="0"/>
        <w:adjustRightInd w:val="0"/>
        <w:rPr>
          <w:sz w:val="22"/>
          <w:szCs w:val="22"/>
        </w:rPr>
      </w:pPr>
    </w:p>
    <w:p w14:paraId="2950D6B1" w14:textId="77777777" w:rsidR="002F6811" w:rsidRDefault="00615769" w:rsidP="002F6811">
      <w:pPr>
        <w:autoSpaceDE w:val="0"/>
        <w:autoSpaceDN w:val="0"/>
        <w:adjustRightInd w:val="0"/>
        <w:rPr>
          <w:sz w:val="22"/>
          <w:szCs w:val="22"/>
        </w:rPr>
      </w:pPr>
      <w:r w:rsidRPr="0037510D">
        <w:rPr>
          <w:sz w:val="22"/>
          <w:szCs w:val="22"/>
        </w:rPr>
        <w:t>Um grande número de g</w:t>
      </w:r>
      <w:r w:rsidR="00CF3350">
        <w:rPr>
          <w:sz w:val="22"/>
          <w:szCs w:val="22"/>
        </w:rPr>
        <w:t xml:space="preserve">ravidezes </w:t>
      </w:r>
      <w:r w:rsidR="00CF3350" w:rsidRPr="0037510D">
        <w:rPr>
          <w:sz w:val="22"/>
          <w:szCs w:val="22"/>
        </w:rPr>
        <w:t>(aproximadamente 2</w:t>
      </w:r>
      <w:r w:rsidR="00CF3350">
        <w:rPr>
          <w:sz w:val="22"/>
          <w:szCs w:val="22"/>
        </w:rPr>
        <w:t>.</w:t>
      </w:r>
      <w:r w:rsidR="00CF3350" w:rsidRPr="0037510D">
        <w:rPr>
          <w:sz w:val="22"/>
          <w:szCs w:val="22"/>
        </w:rPr>
        <w:t>100)</w:t>
      </w:r>
      <w:r w:rsidR="00CF3350">
        <w:rPr>
          <w:sz w:val="22"/>
          <w:szCs w:val="22"/>
        </w:rPr>
        <w:t xml:space="preserve"> recolhidas de forma prospetiva, em que ocorreu</w:t>
      </w:r>
      <w:r>
        <w:rPr>
          <w:sz w:val="22"/>
          <w:szCs w:val="22"/>
        </w:rPr>
        <w:t xml:space="preserve"> exposição</w:t>
      </w:r>
      <w:r w:rsidRPr="0037510D">
        <w:rPr>
          <w:sz w:val="22"/>
          <w:szCs w:val="22"/>
        </w:rPr>
        <w:t xml:space="preserve"> a adalimumab</w:t>
      </w:r>
      <w:r w:rsidR="00CF3350">
        <w:rPr>
          <w:sz w:val="22"/>
          <w:szCs w:val="22"/>
        </w:rPr>
        <w:t>, resultando</w:t>
      </w:r>
      <w:r>
        <w:rPr>
          <w:sz w:val="22"/>
          <w:szCs w:val="22"/>
        </w:rPr>
        <w:t xml:space="preserve"> em</w:t>
      </w:r>
      <w:r w:rsidRPr="0037510D">
        <w:rPr>
          <w:sz w:val="22"/>
          <w:szCs w:val="22"/>
        </w:rPr>
        <w:t xml:space="preserve"> na</w:t>
      </w:r>
      <w:r>
        <w:rPr>
          <w:sz w:val="22"/>
          <w:szCs w:val="22"/>
        </w:rPr>
        <w:t xml:space="preserve">dos </w:t>
      </w:r>
      <w:r w:rsidRPr="0037510D">
        <w:rPr>
          <w:sz w:val="22"/>
          <w:szCs w:val="22"/>
        </w:rPr>
        <w:t>vivos com desfecho conhecido</w:t>
      </w:r>
      <w:r>
        <w:rPr>
          <w:sz w:val="22"/>
          <w:szCs w:val="22"/>
        </w:rPr>
        <w:t xml:space="preserve"> e </w:t>
      </w:r>
      <w:r w:rsidRPr="0037510D">
        <w:rPr>
          <w:sz w:val="22"/>
          <w:szCs w:val="22"/>
        </w:rPr>
        <w:t>incluindo mais de 1.500</w:t>
      </w:r>
      <w:r>
        <w:rPr>
          <w:sz w:val="22"/>
          <w:szCs w:val="22"/>
        </w:rPr>
        <w:t xml:space="preserve"> com</w:t>
      </w:r>
      <w:r w:rsidRPr="0037510D">
        <w:rPr>
          <w:sz w:val="22"/>
          <w:szCs w:val="22"/>
        </w:rPr>
        <w:t xml:space="preserve"> expos</w:t>
      </w:r>
      <w:r>
        <w:rPr>
          <w:sz w:val="22"/>
          <w:szCs w:val="22"/>
        </w:rPr>
        <w:t>ição</w:t>
      </w:r>
      <w:r w:rsidRPr="0037510D">
        <w:rPr>
          <w:sz w:val="22"/>
          <w:szCs w:val="22"/>
        </w:rPr>
        <w:t xml:space="preserve"> durante o primeiro trimestre, não indica um aumento na taxa de malformaç</w:t>
      </w:r>
      <w:r>
        <w:rPr>
          <w:sz w:val="22"/>
          <w:szCs w:val="22"/>
        </w:rPr>
        <w:t>ões</w:t>
      </w:r>
      <w:r w:rsidRPr="0037510D">
        <w:rPr>
          <w:sz w:val="22"/>
          <w:szCs w:val="22"/>
        </w:rPr>
        <w:t xml:space="preserve"> no recém-nascido.</w:t>
      </w:r>
    </w:p>
    <w:p w14:paraId="1D491EE4" w14:textId="77777777" w:rsidR="0037510D" w:rsidRDefault="0037510D" w:rsidP="002F6811">
      <w:pPr>
        <w:autoSpaceDE w:val="0"/>
        <w:autoSpaceDN w:val="0"/>
        <w:adjustRightInd w:val="0"/>
        <w:rPr>
          <w:sz w:val="22"/>
          <w:szCs w:val="22"/>
        </w:rPr>
      </w:pPr>
    </w:p>
    <w:p w14:paraId="1932DB76" w14:textId="77777777" w:rsidR="0037510D" w:rsidRPr="008912CF" w:rsidRDefault="00615769" w:rsidP="002F6811">
      <w:pPr>
        <w:autoSpaceDE w:val="0"/>
        <w:autoSpaceDN w:val="0"/>
        <w:adjustRightInd w:val="0"/>
        <w:rPr>
          <w:sz w:val="22"/>
          <w:szCs w:val="22"/>
        </w:rPr>
      </w:pPr>
      <w:r>
        <w:rPr>
          <w:sz w:val="22"/>
          <w:szCs w:val="22"/>
        </w:rPr>
        <w:t>Num</w:t>
      </w:r>
      <w:r w:rsidR="006A233C">
        <w:rPr>
          <w:sz w:val="22"/>
          <w:szCs w:val="22"/>
        </w:rPr>
        <w:t>a</w:t>
      </w:r>
      <w:r>
        <w:rPr>
          <w:sz w:val="22"/>
          <w:szCs w:val="22"/>
        </w:rPr>
        <w:t xml:space="preserve"> c</w:t>
      </w:r>
      <w:r w:rsidRPr="00BE516A">
        <w:rPr>
          <w:sz w:val="22"/>
          <w:szCs w:val="22"/>
        </w:rPr>
        <w:t>oorte</w:t>
      </w:r>
      <w:r>
        <w:rPr>
          <w:sz w:val="22"/>
          <w:szCs w:val="22"/>
        </w:rPr>
        <w:t xml:space="preserve"> prospetiv</w:t>
      </w:r>
      <w:r w:rsidR="006A233C">
        <w:rPr>
          <w:sz w:val="22"/>
          <w:szCs w:val="22"/>
        </w:rPr>
        <w:t>a</w:t>
      </w:r>
      <w:r>
        <w:rPr>
          <w:sz w:val="22"/>
          <w:szCs w:val="22"/>
        </w:rPr>
        <w:t xml:space="preserve">, foram incluídas </w:t>
      </w:r>
      <w:r w:rsidRPr="00BE516A">
        <w:rPr>
          <w:sz w:val="22"/>
          <w:szCs w:val="22"/>
        </w:rPr>
        <w:t>257 mulheres com artrite reumatoide (AR) ou doença de Crohn (DC) tratadas com adalimumab</w:t>
      </w:r>
      <w:r w:rsidR="00A2448F">
        <w:rPr>
          <w:sz w:val="22"/>
          <w:szCs w:val="22"/>
        </w:rPr>
        <w:t>,</w:t>
      </w:r>
      <w:r w:rsidRPr="00BE516A">
        <w:rPr>
          <w:sz w:val="22"/>
          <w:szCs w:val="22"/>
        </w:rPr>
        <w:t xml:space="preserve"> pelo menos durante o primeiro trimestre</w:t>
      </w:r>
      <w:r w:rsidR="00A2448F">
        <w:rPr>
          <w:sz w:val="22"/>
          <w:szCs w:val="22"/>
        </w:rPr>
        <w:t>,</w:t>
      </w:r>
      <w:r w:rsidRPr="00BE516A">
        <w:rPr>
          <w:sz w:val="22"/>
          <w:szCs w:val="22"/>
        </w:rPr>
        <w:t xml:space="preserve"> e 120 mulheres com AR ou DC não tratadas com adalimumab</w:t>
      </w:r>
      <w:r w:rsidR="005E3DFC">
        <w:rPr>
          <w:sz w:val="22"/>
          <w:szCs w:val="22"/>
        </w:rPr>
        <w:t xml:space="preserve">. </w:t>
      </w:r>
      <w:r w:rsidR="005E3DFC" w:rsidRPr="005E3DFC">
        <w:rPr>
          <w:sz w:val="22"/>
          <w:szCs w:val="22"/>
        </w:rPr>
        <w:t xml:space="preserve">O </w:t>
      </w:r>
      <w:r w:rsidR="00E4790F">
        <w:rPr>
          <w:sz w:val="22"/>
          <w:szCs w:val="22"/>
        </w:rPr>
        <w:t>objetivo</w:t>
      </w:r>
      <w:r w:rsidR="005E3DFC" w:rsidRPr="005E3DFC">
        <w:rPr>
          <w:sz w:val="22"/>
          <w:szCs w:val="22"/>
        </w:rPr>
        <w:t xml:space="preserve"> primário foi a prevalência de </w:t>
      </w:r>
      <w:r w:rsidR="00F06203">
        <w:rPr>
          <w:sz w:val="22"/>
          <w:szCs w:val="22"/>
        </w:rPr>
        <w:t>malformações</w:t>
      </w:r>
      <w:r w:rsidR="005E3DFC" w:rsidRPr="005E3DFC">
        <w:rPr>
          <w:sz w:val="22"/>
          <w:szCs w:val="22"/>
        </w:rPr>
        <w:t xml:space="preserve"> </w:t>
      </w:r>
      <w:r w:rsidR="00F06203">
        <w:rPr>
          <w:sz w:val="22"/>
          <w:szCs w:val="22"/>
        </w:rPr>
        <w:t>congénitas</w:t>
      </w:r>
      <w:r w:rsidR="00E4790F">
        <w:rPr>
          <w:sz w:val="22"/>
          <w:szCs w:val="22"/>
        </w:rPr>
        <w:t xml:space="preserve"> </w:t>
      </w:r>
      <w:r w:rsidR="00E4790F" w:rsidRPr="00A2448F">
        <w:rPr>
          <w:i/>
          <w:sz w:val="22"/>
          <w:szCs w:val="22"/>
        </w:rPr>
        <w:t>major</w:t>
      </w:r>
      <w:r w:rsidR="00BE3EFF">
        <w:rPr>
          <w:sz w:val="22"/>
          <w:szCs w:val="22"/>
        </w:rPr>
        <w:t xml:space="preserve"> à nascença</w:t>
      </w:r>
      <w:r w:rsidR="005E3DFC" w:rsidRPr="005E3DFC">
        <w:rPr>
          <w:sz w:val="22"/>
          <w:szCs w:val="22"/>
        </w:rPr>
        <w:t xml:space="preserve">. A taxa de gravidezes que terminaram com pelo menos um </w:t>
      </w:r>
      <w:r w:rsidR="00E4790F">
        <w:rPr>
          <w:sz w:val="22"/>
          <w:szCs w:val="22"/>
        </w:rPr>
        <w:t>nado</w:t>
      </w:r>
      <w:r w:rsidR="005E3DFC" w:rsidRPr="005E3DFC">
        <w:rPr>
          <w:sz w:val="22"/>
          <w:szCs w:val="22"/>
        </w:rPr>
        <w:t xml:space="preserve"> vivo com um</w:t>
      </w:r>
      <w:r w:rsidR="00BE3EFF">
        <w:rPr>
          <w:sz w:val="22"/>
          <w:szCs w:val="22"/>
        </w:rPr>
        <w:t>a malformação</w:t>
      </w:r>
      <w:r w:rsidR="005E3DFC" w:rsidRPr="005E3DFC">
        <w:rPr>
          <w:sz w:val="22"/>
          <w:szCs w:val="22"/>
        </w:rPr>
        <w:t xml:space="preserve"> cong</w:t>
      </w:r>
      <w:r w:rsidR="005E3DFC">
        <w:rPr>
          <w:sz w:val="22"/>
          <w:szCs w:val="22"/>
        </w:rPr>
        <w:t>é</w:t>
      </w:r>
      <w:r w:rsidR="005E3DFC" w:rsidRPr="005E3DFC">
        <w:rPr>
          <w:sz w:val="22"/>
          <w:szCs w:val="22"/>
        </w:rPr>
        <w:t>nit</w:t>
      </w:r>
      <w:r w:rsidR="00BE3EFF">
        <w:rPr>
          <w:sz w:val="22"/>
          <w:szCs w:val="22"/>
        </w:rPr>
        <w:t>a</w:t>
      </w:r>
      <w:r w:rsidR="005E3DFC" w:rsidRPr="005E3DFC">
        <w:rPr>
          <w:sz w:val="22"/>
          <w:szCs w:val="22"/>
        </w:rPr>
        <w:t xml:space="preserve"> </w:t>
      </w:r>
      <w:r w:rsidR="00E4790F" w:rsidRPr="00A2448F">
        <w:rPr>
          <w:i/>
          <w:sz w:val="22"/>
          <w:szCs w:val="22"/>
        </w:rPr>
        <w:t>major</w:t>
      </w:r>
      <w:r w:rsidR="00E4790F">
        <w:rPr>
          <w:sz w:val="22"/>
          <w:szCs w:val="22"/>
        </w:rPr>
        <w:t xml:space="preserve"> </w:t>
      </w:r>
      <w:r w:rsidR="005E3DFC" w:rsidRPr="005E3DFC">
        <w:rPr>
          <w:sz w:val="22"/>
          <w:szCs w:val="22"/>
        </w:rPr>
        <w:t xml:space="preserve">foi de 6/69 (8,7%) nas mulheres </w:t>
      </w:r>
      <w:r w:rsidR="00E4790F" w:rsidRPr="005E3DFC">
        <w:rPr>
          <w:sz w:val="22"/>
          <w:szCs w:val="22"/>
        </w:rPr>
        <w:t xml:space="preserve">com AR </w:t>
      </w:r>
      <w:r w:rsidR="005E3DFC" w:rsidRPr="005E3DFC">
        <w:rPr>
          <w:sz w:val="22"/>
          <w:szCs w:val="22"/>
        </w:rPr>
        <w:t xml:space="preserve">tratadas com adalimumab e 5/74 (6,8%) nas mulheres </w:t>
      </w:r>
      <w:r w:rsidR="00E4790F" w:rsidRPr="005E3DFC">
        <w:rPr>
          <w:sz w:val="22"/>
          <w:szCs w:val="22"/>
        </w:rPr>
        <w:t xml:space="preserve">com AR </w:t>
      </w:r>
      <w:r w:rsidR="005E3DFC" w:rsidRPr="005E3DFC">
        <w:rPr>
          <w:sz w:val="22"/>
          <w:szCs w:val="22"/>
        </w:rPr>
        <w:t>não tratadas (</w:t>
      </w:r>
      <w:r w:rsidR="00A2448F" w:rsidRPr="00A2448F">
        <w:rPr>
          <w:i/>
          <w:sz w:val="22"/>
          <w:szCs w:val="22"/>
        </w:rPr>
        <w:t>odds ratio</w:t>
      </w:r>
      <w:r w:rsidR="00A2448F">
        <w:rPr>
          <w:sz w:val="22"/>
          <w:szCs w:val="22"/>
        </w:rPr>
        <w:t xml:space="preserve"> (</w:t>
      </w:r>
      <w:r w:rsidR="005E3DFC">
        <w:rPr>
          <w:sz w:val="22"/>
          <w:szCs w:val="22"/>
        </w:rPr>
        <w:t>OR</w:t>
      </w:r>
      <w:r w:rsidR="00A2448F">
        <w:rPr>
          <w:sz w:val="22"/>
          <w:szCs w:val="22"/>
        </w:rPr>
        <w:t>)</w:t>
      </w:r>
      <w:r w:rsidR="005E3DFC">
        <w:rPr>
          <w:sz w:val="22"/>
          <w:szCs w:val="22"/>
        </w:rPr>
        <w:t xml:space="preserve"> </w:t>
      </w:r>
      <w:r w:rsidR="005E3DFC" w:rsidRPr="005E3DFC">
        <w:rPr>
          <w:sz w:val="22"/>
          <w:szCs w:val="22"/>
        </w:rPr>
        <w:t>não ajustada</w:t>
      </w:r>
      <w:r w:rsidR="00DA0087">
        <w:rPr>
          <w:sz w:val="22"/>
          <w:szCs w:val="22"/>
        </w:rPr>
        <w:t>:</w:t>
      </w:r>
      <w:r w:rsidR="005E3DFC" w:rsidRPr="005E3DFC">
        <w:rPr>
          <w:sz w:val="22"/>
          <w:szCs w:val="22"/>
        </w:rPr>
        <w:t xml:space="preserve"> 1,31, IC 95% 0,38-4,52) e 16/152 (10,5%) nas m</w:t>
      </w:r>
      <w:r w:rsidR="005E3DFC">
        <w:rPr>
          <w:sz w:val="22"/>
          <w:szCs w:val="22"/>
        </w:rPr>
        <w:t xml:space="preserve">ulheres </w:t>
      </w:r>
      <w:r w:rsidR="00DA0087" w:rsidRPr="005E3DFC">
        <w:rPr>
          <w:sz w:val="22"/>
          <w:szCs w:val="22"/>
        </w:rPr>
        <w:t xml:space="preserve">com </w:t>
      </w:r>
      <w:r w:rsidR="00DA0087">
        <w:rPr>
          <w:sz w:val="22"/>
          <w:szCs w:val="22"/>
        </w:rPr>
        <w:t>DC</w:t>
      </w:r>
      <w:r w:rsidR="00DA0087" w:rsidRPr="005E3DFC">
        <w:rPr>
          <w:sz w:val="22"/>
          <w:szCs w:val="22"/>
        </w:rPr>
        <w:t xml:space="preserve"> </w:t>
      </w:r>
      <w:r w:rsidR="005E3DFC">
        <w:rPr>
          <w:sz w:val="22"/>
          <w:szCs w:val="22"/>
        </w:rPr>
        <w:t>tratadas com adalimumab</w:t>
      </w:r>
      <w:r w:rsidR="005E3DFC" w:rsidRPr="005E3DFC">
        <w:rPr>
          <w:sz w:val="22"/>
          <w:szCs w:val="22"/>
        </w:rPr>
        <w:t xml:space="preserve"> e 3/32 (9,4%) nas mulheres </w:t>
      </w:r>
      <w:r w:rsidR="00DA0087" w:rsidRPr="005E3DFC">
        <w:rPr>
          <w:sz w:val="22"/>
          <w:szCs w:val="22"/>
        </w:rPr>
        <w:t xml:space="preserve">com DC </w:t>
      </w:r>
      <w:r w:rsidR="005E3DFC" w:rsidRPr="005E3DFC">
        <w:rPr>
          <w:sz w:val="22"/>
          <w:szCs w:val="22"/>
        </w:rPr>
        <w:t>não tratadas (OR não ajustada</w:t>
      </w:r>
      <w:r w:rsidR="00DA0087">
        <w:rPr>
          <w:sz w:val="22"/>
          <w:szCs w:val="22"/>
        </w:rPr>
        <w:t>:</w:t>
      </w:r>
      <w:r w:rsidR="005E3DFC" w:rsidRPr="005E3DFC">
        <w:rPr>
          <w:sz w:val="22"/>
          <w:szCs w:val="22"/>
        </w:rPr>
        <w:t xml:space="preserve"> 1,14, IC 95% 0,31-4,16).</w:t>
      </w:r>
      <w:r w:rsidR="005E3DFC">
        <w:rPr>
          <w:sz w:val="22"/>
          <w:szCs w:val="22"/>
        </w:rPr>
        <w:t xml:space="preserve"> A OR ajustada </w:t>
      </w:r>
      <w:r w:rsidR="005E3DFC" w:rsidRPr="005E3DFC">
        <w:rPr>
          <w:sz w:val="22"/>
          <w:szCs w:val="22"/>
        </w:rPr>
        <w:t>(</w:t>
      </w:r>
      <w:r w:rsidR="00DA0087">
        <w:rPr>
          <w:sz w:val="22"/>
          <w:szCs w:val="22"/>
        </w:rPr>
        <w:t>contabilizando</w:t>
      </w:r>
      <w:r w:rsidR="005E3DFC" w:rsidRPr="005E3DFC">
        <w:rPr>
          <w:sz w:val="22"/>
          <w:szCs w:val="22"/>
        </w:rPr>
        <w:t xml:space="preserve"> </w:t>
      </w:r>
      <w:r w:rsidR="00DA0087">
        <w:rPr>
          <w:sz w:val="22"/>
          <w:szCs w:val="22"/>
        </w:rPr>
        <w:t xml:space="preserve">as </w:t>
      </w:r>
      <w:r w:rsidR="005E3DFC" w:rsidRPr="005E3DFC">
        <w:rPr>
          <w:sz w:val="22"/>
          <w:szCs w:val="22"/>
        </w:rPr>
        <w:t xml:space="preserve">diferenças </w:t>
      </w:r>
      <w:r w:rsidR="00BE3EFF">
        <w:rPr>
          <w:sz w:val="22"/>
          <w:szCs w:val="22"/>
        </w:rPr>
        <w:t>na avaliação basal</w:t>
      </w:r>
      <w:r w:rsidR="005E3DFC" w:rsidRPr="005E3DFC">
        <w:rPr>
          <w:sz w:val="22"/>
          <w:szCs w:val="22"/>
        </w:rPr>
        <w:t xml:space="preserve">) foi de 1,10 (IC 95% 0,45-2,73) com </w:t>
      </w:r>
      <w:r w:rsidR="005E3DFC">
        <w:rPr>
          <w:sz w:val="22"/>
          <w:szCs w:val="22"/>
        </w:rPr>
        <w:t>AR e DC</w:t>
      </w:r>
      <w:r w:rsidR="005E3DFC" w:rsidRPr="005E3DFC">
        <w:rPr>
          <w:sz w:val="22"/>
          <w:szCs w:val="22"/>
        </w:rPr>
        <w:t xml:space="preserve"> combinad</w:t>
      </w:r>
      <w:r w:rsidR="005E3DFC">
        <w:rPr>
          <w:sz w:val="22"/>
          <w:szCs w:val="22"/>
        </w:rPr>
        <w:t>a</w:t>
      </w:r>
      <w:r w:rsidR="005E3DFC" w:rsidRPr="005E3DFC">
        <w:rPr>
          <w:sz w:val="22"/>
          <w:szCs w:val="22"/>
        </w:rPr>
        <w:t xml:space="preserve">s. Não houve diferenças </w:t>
      </w:r>
      <w:r w:rsidR="00DA0087">
        <w:rPr>
          <w:sz w:val="22"/>
          <w:szCs w:val="22"/>
        </w:rPr>
        <w:t>significativas</w:t>
      </w:r>
      <w:r w:rsidR="005E3DFC" w:rsidRPr="005E3DFC">
        <w:rPr>
          <w:sz w:val="22"/>
          <w:szCs w:val="22"/>
        </w:rPr>
        <w:t xml:space="preserve"> entre as mulheres tratadas com adalimumab e não tratadas nos </w:t>
      </w:r>
      <w:r w:rsidR="00DA0087">
        <w:rPr>
          <w:sz w:val="22"/>
          <w:szCs w:val="22"/>
        </w:rPr>
        <w:t>parâmetros</w:t>
      </w:r>
      <w:r w:rsidR="005E3DFC" w:rsidRPr="005E3DFC">
        <w:rPr>
          <w:sz w:val="22"/>
          <w:szCs w:val="22"/>
        </w:rPr>
        <w:t xml:space="preserve"> secundários</w:t>
      </w:r>
      <w:r w:rsidR="00B03996">
        <w:rPr>
          <w:sz w:val="22"/>
          <w:szCs w:val="22"/>
        </w:rPr>
        <w:t xml:space="preserve"> de a</w:t>
      </w:r>
      <w:r w:rsidR="005E3DFC" w:rsidRPr="005E3DFC">
        <w:rPr>
          <w:sz w:val="22"/>
          <w:szCs w:val="22"/>
        </w:rPr>
        <w:t xml:space="preserve">bortos espontâneos, </w:t>
      </w:r>
      <w:r w:rsidR="00F06203">
        <w:rPr>
          <w:sz w:val="22"/>
          <w:szCs w:val="22"/>
        </w:rPr>
        <w:t>malformações</w:t>
      </w:r>
      <w:r w:rsidR="005E3DFC" w:rsidRPr="005E3DFC">
        <w:rPr>
          <w:sz w:val="22"/>
          <w:szCs w:val="22"/>
        </w:rPr>
        <w:t xml:space="preserve"> </w:t>
      </w:r>
      <w:r w:rsidR="00F06203">
        <w:rPr>
          <w:sz w:val="22"/>
          <w:szCs w:val="22"/>
        </w:rPr>
        <w:t>congénitas</w:t>
      </w:r>
      <w:r w:rsidR="005E3DFC" w:rsidRPr="005E3DFC">
        <w:rPr>
          <w:sz w:val="22"/>
          <w:szCs w:val="22"/>
        </w:rPr>
        <w:t xml:space="preserve"> menores, parto</w:t>
      </w:r>
      <w:r w:rsidR="00A2448F">
        <w:rPr>
          <w:sz w:val="22"/>
          <w:szCs w:val="22"/>
        </w:rPr>
        <w:t>s</w:t>
      </w:r>
      <w:r w:rsidR="005E3DFC" w:rsidRPr="005E3DFC">
        <w:rPr>
          <w:sz w:val="22"/>
          <w:szCs w:val="22"/>
        </w:rPr>
        <w:t xml:space="preserve"> prematuro</w:t>
      </w:r>
      <w:r w:rsidR="00A2448F">
        <w:rPr>
          <w:sz w:val="22"/>
          <w:szCs w:val="22"/>
        </w:rPr>
        <w:t>s</w:t>
      </w:r>
      <w:r w:rsidR="005E3DFC" w:rsidRPr="005E3DFC">
        <w:rPr>
          <w:sz w:val="22"/>
          <w:szCs w:val="22"/>
        </w:rPr>
        <w:t xml:space="preserve">, tamanho </w:t>
      </w:r>
      <w:r w:rsidR="00B03996">
        <w:rPr>
          <w:sz w:val="22"/>
          <w:szCs w:val="22"/>
        </w:rPr>
        <w:t>à nascença</w:t>
      </w:r>
      <w:r w:rsidR="005E3DFC" w:rsidRPr="005E3DFC">
        <w:rPr>
          <w:sz w:val="22"/>
          <w:szCs w:val="22"/>
        </w:rPr>
        <w:t xml:space="preserve"> e infeções graves ou oportunistas e n</w:t>
      </w:r>
      <w:r w:rsidR="00B03996">
        <w:rPr>
          <w:sz w:val="22"/>
          <w:szCs w:val="22"/>
        </w:rPr>
        <w:t xml:space="preserve">ão foi </w:t>
      </w:r>
      <w:r w:rsidR="00762634">
        <w:rPr>
          <w:sz w:val="22"/>
          <w:szCs w:val="22"/>
        </w:rPr>
        <w:t>notifica</w:t>
      </w:r>
      <w:r w:rsidR="00B03996">
        <w:rPr>
          <w:sz w:val="22"/>
          <w:szCs w:val="22"/>
        </w:rPr>
        <w:t>do qualquer nado</w:t>
      </w:r>
      <w:r w:rsidR="00A7629F">
        <w:rPr>
          <w:sz w:val="22"/>
          <w:szCs w:val="22"/>
        </w:rPr>
        <w:t xml:space="preserve"> </w:t>
      </w:r>
      <w:r w:rsidR="00B03996">
        <w:rPr>
          <w:sz w:val="22"/>
          <w:szCs w:val="22"/>
        </w:rPr>
        <w:t xml:space="preserve">morto ou </w:t>
      </w:r>
      <w:r w:rsidR="005E3DFC" w:rsidRPr="005E3DFC">
        <w:rPr>
          <w:sz w:val="22"/>
          <w:szCs w:val="22"/>
        </w:rPr>
        <w:t>neoplasia</w:t>
      </w:r>
      <w:r w:rsidR="00B03996">
        <w:rPr>
          <w:sz w:val="22"/>
          <w:szCs w:val="22"/>
        </w:rPr>
        <w:t xml:space="preserve"> </w:t>
      </w:r>
      <w:r w:rsidR="005E3DFC" w:rsidRPr="005E3DFC">
        <w:rPr>
          <w:sz w:val="22"/>
          <w:szCs w:val="22"/>
        </w:rPr>
        <w:t xml:space="preserve">maligna. A interpretação dos dados </w:t>
      </w:r>
      <w:r w:rsidR="00A2448F">
        <w:rPr>
          <w:sz w:val="22"/>
          <w:szCs w:val="22"/>
        </w:rPr>
        <w:t>deve ser cuidadosamente avaliada</w:t>
      </w:r>
      <w:r w:rsidR="005E3DFC" w:rsidRPr="005E3DFC">
        <w:rPr>
          <w:sz w:val="22"/>
          <w:szCs w:val="22"/>
        </w:rPr>
        <w:t xml:space="preserve"> devido às limitações metodológicas do estudo, incluindo o pequeno tamanho da amostra e o desenho não </w:t>
      </w:r>
      <w:r w:rsidR="004B43E3">
        <w:rPr>
          <w:sz w:val="22"/>
          <w:szCs w:val="22"/>
        </w:rPr>
        <w:t>aleatorizado</w:t>
      </w:r>
      <w:r w:rsidR="005E3DFC" w:rsidRPr="005E3DFC">
        <w:rPr>
          <w:sz w:val="22"/>
          <w:szCs w:val="22"/>
        </w:rPr>
        <w:t>.</w:t>
      </w:r>
    </w:p>
    <w:p w14:paraId="4F19EE0C" w14:textId="77777777" w:rsidR="002F6811" w:rsidRPr="008912CF" w:rsidRDefault="002F6811" w:rsidP="002F6811">
      <w:pPr>
        <w:autoSpaceDE w:val="0"/>
        <w:autoSpaceDN w:val="0"/>
        <w:adjustRightInd w:val="0"/>
        <w:rPr>
          <w:sz w:val="22"/>
          <w:szCs w:val="22"/>
        </w:rPr>
      </w:pPr>
    </w:p>
    <w:p w14:paraId="30CE1455" w14:textId="77777777" w:rsidR="002F6811" w:rsidRPr="008912CF" w:rsidRDefault="00615769" w:rsidP="002F6811">
      <w:pPr>
        <w:autoSpaceDE w:val="0"/>
        <w:autoSpaceDN w:val="0"/>
        <w:adjustRightInd w:val="0"/>
        <w:rPr>
          <w:sz w:val="22"/>
          <w:szCs w:val="22"/>
        </w:rPr>
      </w:pPr>
      <w:r w:rsidRPr="008912CF">
        <w:rPr>
          <w:sz w:val="22"/>
          <w:szCs w:val="22"/>
        </w:rPr>
        <w:t>Um estudo de toxicidade do desenvolvimento efetuado em macacos não revelou quaisquer sinais de toxicidade materna, embriotoxicidade ou teratogenicidade. Não se dispõe de dados pré-clínicos sobre a toxicidade pós-natal de adalimumab (ver secção 5.3).</w:t>
      </w:r>
    </w:p>
    <w:p w14:paraId="6CEECFC7" w14:textId="77777777" w:rsidR="002F6811" w:rsidRPr="008912CF" w:rsidRDefault="002F6811" w:rsidP="002F6811">
      <w:pPr>
        <w:autoSpaceDE w:val="0"/>
        <w:autoSpaceDN w:val="0"/>
        <w:adjustRightInd w:val="0"/>
        <w:rPr>
          <w:sz w:val="22"/>
          <w:szCs w:val="22"/>
        </w:rPr>
      </w:pPr>
    </w:p>
    <w:p w14:paraId="20A5E966" w14:textId="77777777" w:rsidR="002F6811" w:rsidRPr="008912CF" w:rsidRDefault="00615769" w:rsidP="00C55814">
      <w:pPr>
        <w:autoSpaceDE w:val="0"/>
        <w:autoSpaceDN w:val="0"/>
        <w:adjustRightInd w:val="0"/>
        <w:rPr>
          <w:i/>
          <w:sz w:val="22"/>
          <w:szCs w:val="22"/>
        </w:rPr>
      </w:pPr>
      <w:r w:rsidRPr="008912CF">
        <w:rPr>
          <w:sz w:val="22"/>
          <w:szCs w:val="22"/>
        </w:rPr>
        <w:t>Devido à sua inibição de TNF</w:t>
      </w:r>
      <w:r w:rsidRPr="008912CF">
        <w:rPr>
          <w:rFonts w:ascii="Symbol" w:hAnsi="Symbol"/>
          <w:sz w:val="22"/>
          <w:szCs w:val="22"/>
        </w:rPr>
        <w:sym w:font="Symbol" w:char="F061"/>
      </w:r>
      <w:r w:rsidRPr="008912CF">
        <w:rPr>
          <w:sz w:val="22"/>
          <w:szCs w:val="22"/>
        </w:rPr>
        <w:t xml:space="preserve">, a administração de adalimumab durante a gravidez pode afetar as respostas imunitárias normais no recém-nascido. </w:t>
      </w:r>
      <w:r w:rsidR="00C55814">
        <w:rPr>
          <w:sz w:val="22"/>
          <w:szCs w:val="22"/>
        </w:rPr>
        <w:t>Adalimumab</w:t>
      </w:r>
      <w:r w:rsidR="00C55814" w:rsidRPr="00C55814">
        <w:rPr>
          <w:sz w:val="22"/>
          <w:szCs w:val="22"/>
        </w:rPr>
        <w:t xml:space="preserve"> </w:t>
      </w:r>
      <w:r w:rsidR="005C75FC" w:rsidRPr="00C55814">
        <w:rPr>
          <w:sz w:val="22"/>
          <w:szCs w:val="22"/>
        </w:rPr>
        <w:t xml:space="preserve">apenas </w:t>
      </w:r>
      <w:r w:rsidR="00C55814" w:rsidRPr="00C55814">
        <w:rPr>
          <w:sz w:val="22"/>
          <w:szCs w:val="22"/>
        </w:rPr>
        <w:t>deve ser utilizado na gravidez se</w:t>
      </w:r>
      <w:r w:rsidR="00C55814">
        <w:rPr>
          <w:sz w:val="22"/>
          <w:szCs w:val="22"/>
        </w:rPr>
        <w:t xml:space="preserve"> </w:t>
      </w:r>
      <w:r w:rsidR="005C75FC">
        <w:rPr>
          <w:sz w:val="22"/>
          <w:szCs w:val="22"/>
        </w:rPr>
        <w:t>estrita</w:t>
      </w:r>
      <w:r w:rsidR="00C55814" w:rsidRPr="00C55814">
        <w:rPr>
          <w:sz w:val="22"/>
          <w:szCs w:val="22"/>
        </w:rPr>
        <w:t>mente necessário.</w:t>
      </w:r>
    </w:p>
    <w:p w14:paraId="17F7BB4F" w14:textId="77777777" w:rsidR="002F6811" w:rsidRPr="008912CF" w:rsidRDefault="002F6811" w:rsidP="002F6811">
      <w:pPr>
        <w:rPr>
          <w:sz w:val="22"/>
          <w:szCs w:val="22"/>
          <w:u w:val="single"/>
        </w:rPr>
      </w:pPr>
    </w:p>
    <w:p w14:paraId="15D98398" w14:textId="77777777" w:rsidR="002F6811" w:rsidRPr="008912CF" w:rsidRDefault="00615769" w:rsidP="002F6811">
      <w:pPr>
        <w:rPr>
          <w:sz w:val="22"/>
          <w:szCs w:val="22"/>
        </w:rPr>
      </w:pPr>
      <w:r>
        <w:rPr>
          <w:sz w:val="22"/>
          <w:szCs w:val="22"/>
        </w:rPr>
        <w:t>A</w:t>
      </w:r>
      <w:r w:rsidRPr="008912CF">
        <w:rPr>
          <w:sz w:val="22"/>
          <w:szCs w:val="22"/>
        </w:rPr>
        <w:t>dalimumab pode atravessar a placenta para o soro das crianças nascidas de mulheres tratadas com adalimumab durante a gravidez. Por conseguinte, estas crianças podem ter um risco aumentado de infeção. Não se recomenda a administração de vacinas vivas</w:t>
      </w:r>
      <w:r w:rsidR="00970280">
        <w:rPr>
          <w:sz w:val="22"/>
          <w:szCs w:val="22"/>
        </w:rPr>
        <w:t xml:space="preserve"> </w:t>
      </w:r>
      <w:r w:rsidR="00970280" w:rsidRPr="00970280">
        <w:rPr>
          <w:sz w:val="22"/>
          <w:szCs w:val="22"/>
        </w:rPr>
        <w:t>(</w:t>
      </w:r>
      <w:r w:rsidR="00AD0004">
        <w:rPr>
          <w:sz w:val="22"/>
          <w:szCs w:val="22"/>
        </w:rPr>
        <w:t xml:space="preserve">p.ex., </w:t>
      </w:r>
      <w:r w:rsidR="00970280" w:rsidRPr="00970280">
        <w:rPr>
          <w:sz w:val="22"/>
          <w:szCs w:val="22"/>
        </w:rPr>
        <w:t>vacina da BCG)</w:t>
      </w:r>
      <w:r w:rsidRPr="008912CF">
        <w:rPr>
          <w:sz w:val="22"/>
          <w:szCs w:val="22"/>
        </w:rPr>
        <w:t xml:space="preserve"> a crianças com exposição intrauterina a adalimumab durante 5</w:t>
      </w:r>
      <w:r>
        <w:rPr>
          <w:sz w:val="22"/>
          <w:szCs w:val="22"/>
        </w:rPr>
        <w:t> </w:t>
      </w:r>
      <w:r w:rsidRPr="008912CF">
        <w:rPr>
          <w:sz w:val="22"/>
          <w:szCs w:val="22"/>
        </w:rPr>
        <w:t>meses após a última injeção de adalimumab da mãe durante a gravidez.</w:t>
      </w:r>
    </w:p>
    <w:p w14:paraId="549A130B" w14:textId="77777777" w:rsidR="002F6811" w:rsidRPr="008912CF" w:rsidRDefault="002F6811" w:rsidP="002F6811">
      <w:pPr>
        <w:rPr>
          <w:sz w:val="22"/>
          <w:szCs w:val="22"/>
        </w:rPr>
      </w:pPr>
    </w:p>
    <w:p w14:paraId="35D96902" w14:textId="77777777" w:rsidR="002F6811" w:rsidRPr="008912CF" w:rsidRDefault="00615769" w:rsidP="002F6811">
      <w:pPr>
        <w:rPr>
          <w:sz w:val="22"/>
          <w:szCs w:val="22"/>
          <w:u w:val="single"/>
        </w:rPr>
      </w:pPr>
      <w:r w:rsidRPr="008912CF">
        <w:rPr>
          <w:sz w:val="22"/>
          <w:szCs w:val="22"/>
          <w:u w:val="single"/>
        </w:rPr>
        <w:t>Amamentação</w:t>
      </w:r>
    </w:p>
    <w:p w14:paraId="709E4DA9" w14:textId="77777777" w:rsidR="002F6811" w:rsidRPr="008912CF" w:rsidRDefault="002F6811" w:rsidP="002F6811">
      <w:pPr>
        <w:rPr>
          <w:sz w:val="22"/>
          <w:szCs w:val="22"/>
          <w:u w:val="single"/>
        </w:rPr>
      </w:pPr>
    </w:p>
    <w:p w14:paraId="041647BB" w14:textId="77777777" w:rsidR="002F6811" w:rsidRPr="008912CF" w:rsidRDefault="00615769" w:rsidP="002F6811">
      <w:pPr>
        <w:rPr>
          <w:i/>
          <w:sz w:val="22"/>
          <w:szCs w:val="22"/>
        </w:rPr>
      </w:pPr>
      <w:r w:rsidRPr="00970280">
        <w:rPr>
          <w:sz w:val="22"/>
          <w:szCs w:val="22"/>
        </w:rPr>
        <w:t>Informaç</w:t>
      </w:r>
      <w:r w:rsidR="005C75FC">
        <w:rPr>
          <w:sz w:val="22"/>
          <w:szCs w:val="22"/>
        </w:rPr>
        <w:t>ão</w:t>
      </w:r>
      <w:r w:rsidRPr="00970280">
        <w:rPr>
          <w:sz w:val="22"/>
          <w:szCs w:val="22"/>
        </w:rPr>
        <w:t xml:space="preserve"> limitada </w:t>
      </w:r>
      <w:r w:rsidR="005C75FC" w:rsidRPr="00970280">
        <w:rPr>
          <w:sz w:val="22"/>
          <w:szCs w:val="22"/>
        </w:rPr>
        <w:t xml:space="preserve">publicada </w:t>
      </w:r>
      <w:r w:rsidR="005C75FC">
        <w:rPr>
          <w:sz w:val="22"/>
          <w:szCs w:val="22"/>
        </w:rPr>
        <w:t>na</w:t>
      </w:r>
      <w:r w:rsidRPr="00970280">
        <w:rPr>
          <w:sz w:val="22"/>
          <w:szCs w:val="22"/>
        </w:rPr>
        <w:t xml:space="preserve"> literatura indica que adalimumab é excretado no leite materno em concentrações muito baixas</w:t>
      </w:r>
      <w:r w:rsidR="001409A7">
        <w:rPr>
          <w:sz w:val="22"/>
          <w:szCs w:val="22"/>
        </w:rPr>
        <w:t>,</w:t>
      </w:r>
      <w:r w:rsidRPr="00970280">
        <w:rPr>
          <w:sz w:val="22"/>
          <w:szCs w:val="22"/>
        </w:rPr>
        <w:t xml:space="preserve"> com a presença de adalimumab no leite humano em concentrações de 0,1% a 1% do nível sérico materno.</w:t>
      </w:r>
      <w:r>
        <w:rPr>
          <w:sz w:val="22"/>
          <w:szCs w:val="22"/>
        </w:rPr>
        <w:t xml:space="preserve"> </w:t>
      </w:r>
      <w:r w:rsidR="005C75FC">
        <w:rPr>
          <w:sz w:val="22"/>
          <w:szCs w:val="22"/>
        </w:rPr>
        <w:t>Quando a</w:t>
      </w:r>
      <w:r w:rsidRPr="00970280">
        <w:rPr>
          <w:sz w:val="22"/>
          <w:szCs w:val="22"/>
        </w:rPr>
        <w:t>dministradas oralmente, as imunoglobulina</w:t>
      </w:r>
      <w:r w:rsidR="005C75FC">
        <w:rPr>
          <w:sz w:val="22"/>
          <w:szCs w:val="22"/>
        </w:rPr>
        <w:t>s</w:t>
      </w:r>
      <w:r>
        <w:rPr>
          <w:sz w:val="22"/>
          <w:szCs w:val="22"/>
        </w:rPr>
        <w:t xml:space="preserve"> G</w:t>
      </w:r>
      <w:r w:rsidRPr="00970280">
        <w:rPr>
          <w:sz w:val="22"/>
          <w:szCs w:val="22"/>
        </w:rPr>
        <w:t xml:space="preserve"> sofrem proteólise intestinal e apresentam baixa biodisponibilidade. N</w:t>
      </w:r>
      <w:r>
        <w:rPr>
          <w:sz w:val="22"/>
          <w:szCs w:val="22"/>
        </w:rPr>
        <w:t xml:space="preserve">ão é </w:t>
      </w:r>
      <w:r w:rsidR="0042571F">
        <w:rPr>
          <w:sz w:val="22"/>
          <w:szCs w:val="22"/>
        </w:rPr>
        <w:t>esperado</w:t>
      </w:r>
      <w:r>
        <w:rPr>
          <w:sz w:val="22"/>
          <w:szCs w:val="22"/>
        </w:rPr>
        <w:t xml:space="preserve"> qualquer </w:t>
      </w:r>
      <w:r w:rsidRPr="00970280">
        <w:rPr>
          <w:sz w:val="22"/>
          <w:szCs w:val="22"/>
        </w:rPr>
        <w:t>efeito nos recém-nascidos/lactentes amamentados</w:t>
      </w:r>
      <w:r>
        <w:rPr>
          <w:sz w:val="22"/>
          <w:szCs w:val="22"/>
        </w:rPr>
        <w:t>.</w:t>
      </w:r>
      <w:r w:rsidRPr="00970280">
        <w:rPr>
          <w:sz w:val="22"/>
          <w:szCs w:val="22"/>
        </w:rPr>
        <w:t xml:space="preserve"> Consequentemente, Humira pode ser usado durante a amamentação.</w:t>
      </w:r>
    </w:p>
    <w:p w14:paraId="65CA83CF" w14:textId="77777777" w:rsidR="002F6811" w:rsidRPr="008912CF" w:rsidRDefault="002F6811" w:rsidP="002F6811">
      <w:pPr>
        <w:rPr>
          <w:b/>
          <w:iCs/>
          <w:sz w:val="22"/>
          <w:szCs w:val="22"/>
          <w:u w:val="single"/>
        </w:rPr>
      </w:pPr>
    </w:p>
    <w:p w14:paraId="252F82DA" w14:textId="77777777" w:rsidR="002F6811" w:rsidRPr="008912CF" w:rsidRDefault="00615769" w:rsidP="002F6811">
      <w:pPr>
        <w:rPr>
          <w:bCs/>
          <w:iCs/>
          <w:sz w:val="22"/>
          <w:szCs w:val="22"/>
          <w:u w:val="single"/>
        </w:rPr>
      </w:pPr>
      <w:r w:rsidRPr="008912CF">
        <w:rPr>
          <w:bCs/>
          <w:iCs/>
          <w:sz w:val="22"/>
          <w:szCs w:val="22"/>
          <w:u w:val="single"/>
        </w:rPr>
        <w:t>Fertilidade</w:t>
      </w:r>
    </w:p>
    <w:p w14:paraId="2ABBB931" w14:textId="77777777" w:rsidR="002F6811" w:rsidRPr="008912CF" w:rsidRDefault="002F6811" w:rsidP="002F6811">
      <w:pPr>
        <w:autoSpaceDE w:val="0"/>
        <w:autoSpaceDN w:val="0"/>
        <w:adjustRightInd w:val="0"/>
        <w:rPr>
          <w:sz w:val="22"/>
          <w:szCs w:val="22"/>
        </w:rPr>
      </w:pPr>
    </w:p>
    <w:p w14:paraId="7EBC5806" w14:textId="77777777" w:rsidR="002F6811" w:rsidRPr="008912CF" w:rsidRDefault="00615769" w:rsidP="002F6811">
      <w:pPr>
        <w:autoSpaceDE w:val="0"/>
        <w:autoSpaceDN w:val="0"/>
        <w:adjustRightInd w:val="0"/>
        <w:rPr>
          <w:sz w:val="22"/>
          <w:szCs w:val="22"/>
        </w:rPr>
      </w:pPr>
      <w:r w:rsidRPr="008912CF">
        <w:rPr>
          <w:sz w:val="22"/>
          <w:szCs w:val="22"/>
        </w:rPr>
        <w:t>Não se dispõe de dados pré-clínicos sobre os efeitos de adalimumab na fertilidade.</w:t>
      </w:r>
    </w:p>
    <w:p w14:paraId="1A89EC79" w14:textId="77777777" w:rsidR="002F6811" w:rsidRPr="008912CF" w:rsidRDefault="002F6811" w:rsidP="002F6811">
      <w:pPr>
        <w:autoSpaceDE w:val="0"/>
        <w:autoSpaceDN w:val="0"/>
        <w:adjustRightInd w:val="0"/>
        <w:rPr>
          <w:sz w:val="22"/>
          <w:szCs w:val="22"/>
        </w:rPr>
      </w:pPr>
    </w:p>
    <w:p w14:paraId="38418F09" w14:textId="77777777" w:rsidR="002F6811" w:rsidRPr="008912CF" w:rsidRDefault="00615769" w:rsidP="002F6811">
      <w:pPr>
        <w:ind w:left="567" w:hanging="567"/>
        <w:rPr>
          <w:sz w:val="22"/>
          <w:szCs w:val="22"/>
        </w:rPr>
      </w:pPr>
      <w:r w:rsidRPr="008912CF">
        <w:rPr>
          <w:b/>
          <w:sz w:val="22"/>
          <w:szCs w:val="22"/>
        </w:rPr>
        <w:t>4.7</w:t>
      </w:r>
      <w:r w:rsidRPr="008912CF">
        <w:rPr>
          <w:b/>
          <w:sz w:val="22"/>
          <w:szCs w:val="22"/>
        </w:rPr>
        <w:tab/>
        <w:t xml:space="preserve">Efeitos sobre a capacidade de conduzir ou utilizar máquinas </w:t>
      </w:r>
    </w:p>
    <w:p w14:paraId="46192522" w14:textId="77777777" w:rsidR="002F6811" w:rsidRPr="008912CF" w:rsidRDefault="002F6811" w:rsidP="002F6811">
      <w:pPr>
        <w:rPr>
          <w:sz w:val="22"/>
          <w:szCs w:val="22"/>
        </w:rPr>
      </w:pPr>
    </w:p>
    <w:p w14:paraId="4DB27386" w14:textId="77777777" w:rsidR="002F6811" w:rsidRPr="008912CF" w:rsidRDefault="00615769" w:rsidP="002F6811">
      <w:pPr>
        <w:rPr>
          <w:sz w:val="22"/>
          <w:szCs w:val="22"/>
        </w:rPr>
      </w:pPr>
      <w:r w:rsidRPr="008912CF">
        <w:rPr>
          <w:sz w:val="22"/>
          <w:szCs w:val="22"/>
        </w:rPr>
        <w:t>Humira pode ter uma pequena influência na capacidade de conduzir e utilizar máquinas. Após a administração de Humira podem ocorrer vertigens e alterações da acuidade visual (ver secção 4.8).</w:t>
      </w:r>
    </w:p>
    <w:p w14:paraId="5206C447" w14:textId="77777777" w:rsidR="002F6811" w:rsidRPr="008912CF" w:rsidRDefault="002F6811" w:rsidP="002F6811">
      <w:pPr>
        <w:rPr>
          <w:sz w:val="22"/>
          <w:szCs w:val="22"/>
        </w:rPr>
      </w:pPr>
    </w:p>
    <w:p w14:paraId="68A4C782" w14:textId="77777777" w:rsidR="002F6811" w:rsidRPr="008912CF" w:rsidRDefault="00615769" w:rsidP="002F6811">
      <w:pPr>
        <w:ind w:left="567" w:hanging="567"/>
        <w:rPr>
          <w:b/>
          <w:sz w:val="22"/>
          <w:szCs w:val="22"/>
        </w:rPr>
      </w:pPr>
      <w:r w:rsidRPr="008912CF">
        <w:rPr>
          <w:b/>
          <w:sz w:val="22"/>
          <w:szCs w:val="22"/>
        </w:rPr>
        <w:t>4.8</w:t>
      </w:r>
      <w:r w:rsidRPr="008912CF">
        <w:rPr>
          <w:b/>
          <w:sz w:val="22"/>
          <w:szCs w:val="22"/>
        </w:rPr>
        <w:tab/>
        <w:t xml:space="preserve">Efeitos indesejáveis </w:t>
      </w:r>
    </w:p>
    <w:p w14:paraId="1486BFC3" w14:textId="77777777" w:rsidR="002F6811" w:rsidRPr="008912CF" w:rsidRDefault="002F6811" w:rsidP="002F6811">
      <w:pPr>
        <w:pStyle w:val="Heading9"/>
        <w:keepNext w:val="0"/>
      </w:pPr>
    </w:p>
    <w:p w14:paraId="10776725" w14:textId="77777777" w:rsidR="002F6811" w:rsidRPr="008912CF" w:rsidRDefault="00615769" w:rsidP="002F6811">
      <w:pPr>
        <w:autoSpaceDE w:val="0"/>
        <w:autoSpaceDN w:val="0"/>
        <w:adjustRightInd w:val="0"/>
        <w:rPr>
          <w:sz w:val="22"/>
          <w:szCs w:val="22"/>
          <w:u w:val="single"/>
        </w:rPr>
      </w:pPr>
      <w:r w:rsidRPr="008912CF">
        <w:rPr>
          <w:sz w:val="22"/>
          <w:szCs w:val="22"/>
          <w:u w:val="single"/>
        </w:rPr>
        <w:t>Resumo do perfil de segurança</w:t>
      </w:r>
    </w:p>
    <w:p w14:paraId="4FBCBEF9" w14:textId="77777777" w:rsidR="002F6811" w:rsidRPr="008912CF" w:rsidRDefault="002F6811" w:rsidP="002F6811">
      <w:pPr>
        <w:autoSpaceDE w:val="0"/>
        <w:autoSpaceDN w:val="0"/>
        <w:adjustRightInd w:val="0"/>
        <w:rPr>
          <w:sz w:val="22"/>
          <w:szCs w:val="22"/>
        </w:rPr>
      </w:pPr>
    </w:p>
    <w:p w14:paraId="16F729B5" w14:textId="77777777" w:rsidR="002F6811" w:rsidRPr="008912CF" w:rsidRDefault="00615769" w:rsidP="002F6811">
      <w:pPr>
        <w:autoSpaceDE w:val="0"/>
        <w:autoSpaceDN w:val="0"/>
        <w:adjustRightInd w:val="0"/>
        <w:rPr>
          <w:sz w:val="22"/>
          <w:szCs w:val="22"/>
        </w:rPr>
      </w:pPr>
      <w:r w:rsidRPr="008912CF">
        <w:rPr>
          <w:sz w:val="22"/>
          <w:szCs w:val="22"/>
        </w:rPr>
        <w:t xml:space="preserve">Humira foi estudado em </w:t>
      </w:r>
      <w:r>
        <w:rPr>
          <w:sz w:val="22"/>
          <w:szCs w:val="22"/>
        </w:rPr>
        <w:t>9.506</w:t>
      </w:r>
      <w:r w:rsidRPr="008912CF">
        <w:rPr>
          <w:sz w:val="22"/>
          <w:szCs w:val="22"/>
        </w:rPr>
        <w:t xml:space="preserve"> doentes no âmbito de ensaios principais controlados e de fase aberta até 60</w:t>
      </w:r>
      <w:r>
        <w:rPr>
          <w:sz w:val="22"/>
          <w:szCs w:val="22"/>
        </w:rPr>
        <w:t> </w:t>
      </w:r>
      <w:r w:rsidRPr="008912CF">
        <w:rPr>
          <w:sz w:val="22"/>
          <w:szCs w:val="22"/>
        </w:rPr>
        <w:t>meses ou mais. Estes ensaios incluíram doentes com artrite reumatoide de curta evolução e com doença de evolução prolongada, artrite idiopática juvenil (artrite idiopática juvenil poliarticular e artrite relacionada com entesite), bem como doentes com espondilartrite axial (espondilite anquilosante e espondilartrite axial sem evidência radiográfica de EA), artrite psoriática, doença de Crohn, colite ulcerosa, psoríase</w:t>
      </w:r>
      <w:r>
        <w:rPr>
          <w:sz w:val="22"/>
          <w:szCs w:val="22"/>
        </w:rPr>
        <w:t xml:space="preserve">, </w:t>
      </w:r>
      <w:r w:rsidRPr="008912CF">
        <w:rPr>
          <w:sz w:val="22"/>
          <w:szCs w:val="22"/>
        </w:rPr>
        <w:t>hidrade</w:t>
      </w:r>
      <w:r w:rsidRPr="008912CF">
        <w:rPr>
          <w:sz w:val="22"/>
          <w:szCs w:val="22"/>
        </w:rPr>
        <w:t>nite supurativa</w:t>
      </w:r>
      <w:r>
        <w:rPr>
          <w:sz w:val="22"/>
          <w:szCs w:val="22"/>
        </w:rPr>
        <w:t xml:space="preserve"> e uveíte</w:t>
      </w:r>
      <w:r w:rsidRPr="008912CF">
        <w:rPr>
          <w:sz w:val="22"/>
          <w:szCs w:val="22"/>
        </w:rPr>
        <w:t xml:space="preserve">. Os estudos principais controlados envolveram </w:t>
      </w:r>
      <w:r>
        <w:rPr>
          <w:sz w:val="22"/>
          <w:szCs w:val="22"/>
        </w:rPr>
        <w:t>6.089</w:t>
      </w:r>
      <w:r w:rsidRPr="008912CF">
        <w:rPr>
          <w:sz w:val="22"/>
          <w:szCs w:val="22"/>
        </w:rPr>
        <w:t xml:space="preserve"> doentes que receberam Humira e </w:t>
      </w:r>
      <w:r>
        <w:rPr>
          <w:sz w:val="22"/>
          <w:szCs w:val="22"/>
        </w:rPr>
        <w:t>3.801</w:t>
      </w:r>
      <w:r w:rsidRPr="008912CF">
        <w:rPr>
          <w:sz w:val="22"/>
          <w:szCs w:val="22"/>
        </w:rPr>
        <w:t xml:space="preserve"> doentes que receberam placebo ou comparador ativo durante o período</w:t>
      </w:r>
      <w:r w:rsidR="00026992">
        <w:rPr>
          <w:sz w:val="22"/>
          <w:szCs w:val="22"/>
        </w:rPr>
        <w:t xml:space="preserve"> controlado</w:t>
      </w:r>
      <w:r w:rsidRPr="008912CF">
        <w:rPr>
          <w:sz w:val="22"/>
          <w:szCs w:val="22"/>
        </w:rPr>
        <w:t xml:space="preserve">. </w:t>
      </w:r>
    </w:p>
    <w:p w14:paraId="2307B0AA" w14:textId="77777777" w:rsidR="002F6811" w:rsidRPr="008912CF" w:rsidRDefault="002F6811" w:rsidP="002F6811">
      <w:pPr>
        <w:autoSpaceDE w:val="0"/>
        <w:autoSpaceDN w:val="0"/>
        <w:adjustRightInd w:val="0"/>
        <w:rPr>
          <w:sz w:val="22"/>
          <w:szCs w:val="22"/>
        </w:rPr>
      </w:pPr>
    </w:p>
    <w:p w14:paraId="79112E2A" w14:textId="77777777" w:rsidR="002F6811" w:rsidRPr="008912CF" w:rsidRDefault="00615769" w:rsidP="002F6811">
      <w:pPr>
        <w:autoSpaceDE w:val="0"/>
        <w:autoSpaceDN w:val="0"/>
        <w:adjustRightInd w:val="0"/>
        <w:rPr>
          <w:sz w:val="22"/>
          <w:szCs w:val="22"/>
        </w:rPr>
      </w:pPr>
      <w:r w:rsidRPr="008912CF">
        <w:rPr>
          <w:sz w:val="22"/>
          <w:szCs w:val="22"/>
        </w:rPr>
        <w:t>A percentagem de doentes que suspendeu o tratamento devido a acontecimentos adversos durante a fase controlada</w:t>
      </w:r>
      <w:r w:rsidR="001D79C6">
        <w:rPr>
          <w:sz w:val="22"/>
          <w:szCs w:val="22"/>
        </w:rPr>
        <w:t>,</w:t>
      </w:r>
      <w:r w:rsidRPr="008912CF">
        <w:rPr>
          <w:sz w:val="22"/>
          <w:szCs w:val="22"/>
        </w:rPr>
        <w:t xml:space="preserve"> de dupla ocultação, dos </w:t>
      </w:r>
      <w:r w:rsidR="001D79C6" w:rsidRPr="008912CF">
        <w:rPr>
          <w:sz w:val="22"/>
          <w:szCs w:val="22"/>
        </w:rPr>
        <w:t xml:space="preserve">estudos </w:t>
      </w:r>
      <w:r w:rsidRPr="008912CF">
        <w:rPr>
          <w:sz w:val="22"/>
          <w:szCs w:val="22"/>
        </w:rPr>
        <w:t xml:space="preserve">principais foi de </w:t>
      </w:r>
      <w:r>
        <w:rPr>
          <w:sz w:val="22"/>
          <w:szCs w:val="22"/>
        </w:rPr>
        <w:t>5,9 </w:t>
      </w:r>
      <w:r w:rsidR="009343EF">
        <w:rPr>
          <w:sz w:val="22"/>
          <w:szCs w:val="22"/>
        </w:rPr>
        <w:t>%</w:t>
      </w:r>
      <w:r w:rsidRPr="008912CF">
        <w:rPr>
          <w:sz w:val="22"/>
          <w:szCs w:val="22"/>
        </w:rPr>
        <w:t xml:space="preserve"> nos doentes tratados com Humira e de 5,4</w:t>
      </w:r>
      <w:r w:rsidR="009343EF">
        <w:rPr>
          <w:sz w:val="22"/>
          <w:szCs w:val="22"/>
        </w:rPr>
        <w:t>%</w:t>
      </w:r>
      <w:r w:rsidRPr="008912CF">
        <w:rPr>
          <w:sz w:val="22"/>
          <w:szCs w:val="22"/>
        </w:rPr>
        <w:t xml:space="preserve"> nos doentes tratados com controlo.</w:t>
      </w:r>
    </w:p>
    <w:p w14:paraId="2324FB3E" w14:textId="77777777" w:rsidR="002F6811" w:rsidRPr="008912CF" w:rsidRDefault="002F6811" w:rsidP="002F6811">
      <w:pPr>
        <w:autoSpaceDE w:val="0"/>
        <w:autoSpaceDN w:val="0"/>
        <w:adjustRightInd w:val="0"/>
        <w:rPr>
          <w:sz w:val="22"/>
          <w:szCs w:val="22"/>
        </w:rPr>
      </w:pPr>
    </w:p>
    <w:p w14:paraId="5CC74846" w14:textId="77777777" w:rsidR="002F6811" w:rsidRPr="008912CF" w:rsidRDefault="00615769" w:rsidP="002F6811">
      <w:pPr>
        <w:autoSpaceDE w:val="0"/>
        <w:autoSpaceDN w:val="0"/>
        <w:adjustRightInd w:val="0"/>
        <w:rPr>
          <w:sz w:val="22"/>
          <w:szCs w:val="22"/>
        </w:rPr>
      </w:pPr>
      <w:r w:rsidRPr="008912CF">
        <w:rPr>
          <w:sz w:val="22"/>
          <w:szCs w:val="22"/>
          <w:lang w:eastAsia="pt-PT"/>
        </w:rPr>
        <w:t xml:space="preserve">As reações adversas mais frequentemente notificadas são infeções (tais como </w:t>
      </w:r>
      <w:r w:rsidRPr="008912CF">
        <w:rPr>
          <w:sz w:val="22"/>
          <w:szCs w:val="22"/>
        </w:rPr>
        <w:t>nasofaringite, infeção do trato respiratório superior e sinusite), reações no local da injeção (eritema, prurido, hemorragia, dor ou edema), cefaleias e dor musculoesquelética.</w:t>
      </w:r>
    </w:p>
    <w:p w14:paraId="642C7B98" w14:textId="77777777" w:rsidR="002F6811" w:rsidRPr="008912CF" w:rsidRDefault="002F6811" w:rsidP="002F6811">
      <w:pPr>
        <w:autoSpaceDE w:val="0"/>
        <w:autoSpaceDN w:val="0"/>
        <w:adjustRightInd w:val="0"/>
        <w:rPr>
          <w:sz w:val="22"/>
          <w:szCs w:val="22"/>
        </w:rPr>
      </w:pPr>
    </w:p>
    <w:p w14:paraId="198E7214" w14:textId="77777777" w:rsidR="002F6811" w:rsidRPr="008912CF" w:rsidRDefault="00615769" w:rsidP="002F6811">
      <w:pPr>
        <w:autoSpaceDE w:val="0"/>
        <w:autoSpaceDN w:val="0"/>
        <w:adjustRightInd w:val="0"/>
        <w:rPr>
          <w:sz w:val="22"/>
          <w:szCs w:val="22"/>
        </w:rPr>
      </w:pPr>
      <w:r w:rsidRPr="008912CF">
        <w:rPr>
          <w:sz w:val="22"/>
          <w:szCs w:val="22"/>
        </w:rPr>
        <w:t xml:space="preserve">Foram notificadas reações adversas graves com Humira. </w:t>
      </w:r>
      <w:r w:rsidR="001D79C6">
        <w:rPr>
          <w:sz w:val="22"/>
          <w:szCs w:val="22"/>
        </w:rPr>
        <w:t>Os a</w:t>
      </w:r>
      <w:r w:rsidRPr="008912CF">
        <w:rPr>
          <w:sz w:val="22"/>
          <w:szCs w:val="22"/>
        </w:rPr>
        <w:t>ntagonistas</w:t>
      </w:r>
      <w:r w:rsidRPr="008912CF">
        <w:rPr>
          <w:sz w:val="22"/>
          <w:szCs w:val="22"/>
        </w:rPr>
        <w:noBreakHyphen/>
        <w:t>TNF, tais como Humira, atuam no sistema imunitário e a sua utilização pode afetar os mecanismos de defesa contra infeções e cancro. Durante o tratamento com Humira, foram também notificadas infeções fatais e potencialmente fatais (incluindo sepsia, infeções oportunistas e TB), reativação de HBV e várias neoplasias (incluindo leucemia, linfoma e HSTCL).</w:t>
      </w:r>
    </w:p>
    <w:p w14:paraId="08BB2669" w14:textId="77777777" w:rsidR="002F6811" w:rsidRPr="008912CF" w:rsidRDefault="002F6811" w:rsidP="002F6811">
      <w:pPr>
        <w:autoSpaceDE w:val="0"/>
        <w:autoSpaceDN w:val="0"/>
        <w:adjustRightInd w:val="0"/>
        <w:rPr>
          <w:sz w:val="22"/>
          <w:szCs w:val="22"/>
        </w:rPr>
      </w:pPr>
    </w:p>
    <w:p w14:paraId="0EBD4604" w14:textId="77777777" w:rsidR="002F6811" w:rsidRPr="008912CF" w:rsidRDefault="00615769" w:rsidP="002F6811">
      <w:pPr>
        <w:autoSpaceDE w:val="0"/>
        <w:autoSpaceDN w:val="0"/>
        <w:adjustRightInd w:val="0"/>
        <w:rPr>
          <w:sz w:val="22"/>
          <w:szCs w:val="22"/>
        </w:rPr>
      </w:pPr>
      <w:r w:rsidRPr="008912CF">
        <w:rPr>
          <w:sz w:val="22"/>
          <w:szCs w:val="22"/>
        </w:rPr>
        <w:t>Foram também notificadas reações graves hematológicas, neurológicas e autoimunes, incluindo casos raros de pancitopenia, anemia aplástica, perturbações desmielinizantes do sistema nervoso central e periférico, lúpus, doenças tipo lúpus e síndrome de Stevens-Johnson.</w:t>
      </w:r>
    </w:p>
    <w:p w14:paraId="0E33BFF4" w14:textId="77777777" w:rsidR="002F6811" w:rsidRPr="008912CF" w:rsidRDefault="002F6811" w:rsidP="002F6811">
      <w:pPr>
        <w:rPr>
          <w:sz w:val="22"/>
          <w:szCs w:val="22"/>
        </w:rPr>
      </w:pPr>
    </w:p>
    <w:p w14:paraId="7257A577" w14:textId="77777777" w:rsidR="002F6811" w:rsidRPr="008912CF" w:rsidRDefault="00615769" w:rsidP="002F6811">
      <w:pPr>
        <w:rPr>
          <w:sz w:val="22"/>
          <w:szCs w:val="22"/>
          <w:u w:val="single"/>
        </w:rPr>
      </w:pPr>
      <w:r w:rsidRPr="008912CF">
        <w:rPr>
          <w:sz w:val="22"/>
          <w:szCs w:val="22"/>
          <w:u w:val="single"/>
        </w:rPr>
        <w:t>População pediátrica</w:t>
      </w:r>
    </w:p>
    <w:p w14:paraId="2773BE6B" w14:textId="77777777" w:rsidR="002F6811" w:rsidRPr="008912CF" w:rsidRDefault="002F6811" w:rsidP="002F6811">
      <w:pPr>
        <w:rPr>
          <w:sz w:val="22"/>
          <w:szCs w:val="22"/>
        </w:rPr>
      </w:pPr>
    </w:p>
    <w:p w14:paraId="1E5CCFD6" w14:textId="77777777" w:rsidR="002F6811" w:rsidRPr="008912CF" w:rsidRDefault="00615769" w:rsidP="002F6811">
      <w:pPr>
        <w:rPr>
          <w:sz w:val="22"/>
          <w:szCs w:val="22"/>
        </w:rPr>
      </w:pPr>
      <w:r w:rsidRPr="008912CF">
        <w:rPr>
          <w:sz w:val="22"/>
          <w:szCs w:val="22"/>
        </w:rPr>
        <w:t>Em geral, os acontecimentos adversos em doentes pediátricos foram semelhantes em frequência e tipo aos observados em doentes adultos.</w:t>
      </w:r>
    </w:p>
    <w:p w14:paraId="699E0AB9" w14:textId="77777777" w:rsidR="002F6811" w:rsidRPr="008912CF" w:rsidRDefault="002F6811" w:rsidP="002F6811">
      <w:pPr>
        <w:rPr>
          <w:sz w:val="22"/>
          <w:szCs w:val="22"/>
        </w:rPr>
      </w:pPr>
    </w:p>
    <w:p w14:paraId="6F0E4E12" w14:textId="77777777" w:rsidR="002F6811" w:rsidRPr="008912CF" w:rsidRDefault="00615769" w:rsidP="002F6811">
      <w:pPr>
        <w:rPr>
          <w:sz w:val="22"/>
          <w:szCs w:val="22"/>
          <w:u w:val="single"/>
        </w:rPr>
      </w:pPr>
      <w:r w:rsidRPr="008912CF">
        <w:rPr>
          <w:sz w:val="22"/>
          <w:szCs w:val="22"/>
          <w:u w:val="single"/>
        </w:rPr>
        <w:t>Tabela de reações adversas</w:t>
      </w:r>
    </w:p>
    <w:p w14:paraId="12D5F3D7" w14:textId="77777777" w:rsidR="002F6811" w:rsidRPr="008912CF" w:rsidRDefault="002F6811" w:rsidP="002F6811">
      <w:pPr>
        <w:rPr>
          <w:sz w:val="22"/>
          <w:szCs w:val="22"/>
        </w:rPr>
      </w:pPr>
    </w:p>
    <w:p w14:paraId="34F836C7" w14:textId="77777777" w:rsidR="002F6811" w:rsidRPr="008912CF" w:rsidRDefault="00615769" w:rsidP="002F6811">
      <w:pPr>
        <w:autoSpaceDE w:val="0"/>
        <w:autoSpaceDN w:val="0"/>
        <w:adjustRightInd w:val="0"/>
        <w:rPr>
          <w:sz w:val="22"/>
          <w:szCs w:val="22"/>
        </w:rPr>
      </w:pPr>
      <w:r w:rsidRPr="008912CF">
        <w:rPr>
          <w:sz w:val="22"/>
          <w:szCs w:val="22"/>
          <w:lang w:eastAsia="pt-PT"/>
        </w:rPr>
        <w:t>As reações adversas, baseadas na experiência em ensaios clínicos e na experiência pós-comercialização,</w:t>
      </w:r>
      <w:r w:rsidRPr="008912CF">
        <w:rPr>
          <w:sz w:val="22"/>
          <w:szCs w:val="22"/>
        </w:rPr>
        <w:t xml:space="preserve"> são indicadas</w:t>
      </w:r>
      <w:r w:rsidRPr="008912CF">
        <w:rPr>
          <w:sz w:val="22"/>
          <w:szCs w:val="22"/>
          <w:lang w:eastAsia="pt-PT"/>
        </w:rPr>
        <w:t xml:space="preserve"> por </w:t>
      </w:r>
      <w:r w:rsidR="00026992">
        <w:rPr>
          <w:sz w:val="22"/>
          <w:szCs w:val="22"/>
          <w:lang w:eastAsia="pt-PT"/>
        </w:rPr>
        <w:t xml:space="preserve">classes de </w:t>
      </w:r>
      <w:r w:rsidRPr="008912CF">
        <w:rPr>
          <w:sz w:val="22"/>
          <w:szCs w:val="22"/>
          <w:lang w:eastAsia="pt-PT"/>
        </w:rPr>
        <w:t xml:space="preserve">sistemas de órgãos e frequência na Tabela </w:t>
      </w:r>
      <w:r w:rsidR="00031757">
        <w:rPr>
          <w:sz w:val="22"/>
          <w:szCs w:val="22"/>
          <w:lang w:eastAsia="pt-PT"/>
        </w:rPr>
        <w:t>6</w:t>
      </w:r>
      <w:r w:rsidRPr="008912CF">
        <w:rPr>
          <w:sz w:val="22"/>
          <w:szCs w:val="22"/>
          <w:lang w:eastAsia="pt-PT"/>
        </w:rPr>
        <w:t xml:space="preserve"> abaixo:</w:t>
      </w:r>
      <w:r w:rsidRPr="008912CF">
        <w:rPr>
          <w:sz w:val="22"/>
          <w:szCs w:val="22"/>
        </w:rPr>
        <w:t xml:space="preserve"> muito frequentes (≥1/10); frequentes (</w:t>
      </w:r>
      <w:r w:rsidR="0090687D" w:rsidRPr="008912CF">
        <w:rPr>
          <w:sz w:val="22"/>
          <w:szCs w:val="22"/>
        </w:rPr>
        <w:t>≥</w:t>
      </w:r>
      <w:r w:rsidRPr="008912CF">
        <w:rPr>
          <w:sz w:val="22"/>
          <w:szCs w:val="22"/>
        </w:rPr>
        <w:t>1/100</w:t>
      </w:r>
      <w:r w:rsidR="0090687D">
        <w:rPr>
          <w:sz w:val="22"/>
          <w:szCs w:val="22"/>
        </w:rPr>
        <w:t>,</w:t>
      </w:r>
      <w:r w:rsidRPr="008912CF">
        <w:rPr>
          <w:sz w:val="22"/>
          <w:szCs w:val="22"/>
        </w:rPr>
        <w:t xml:space="preserve"> </w:t>
      </w:r>
      <w:r w:rsidRPr="008912CF">
        <w:rPr>
          <w:rFonts w:ascii="Symbol" w:hAnsi="Symbol"/>
          <w:sz w:val="22"/>
          <w:szCs w:val="22"/>
        </w:rPr>
        <w:sym w:font="Symbol" w:char="F03C"/>
      </w:r>
      <w:r w:rsidRPr="008912CF">
        <w:rPr>
          <w:sz w:val="22"/>
          <w:szCs w:val="22"/>
        </w:rPr>
        <w:t>1/10); pouco frequentes (</w:t>
      </w:r>
      <w:r w:rsidR="0090687D" w:rsidRPr="008912CF">
        <w:rPr>
          <w:sz w:val="22"/>
          <w:szCs w:val="22"/>
        </w:rPr>
        <w:t>≥</w:t>
      </w:r>
      <w:r w:rsidRPr="008912CF">
        <w:rPr>
          <w:sz w:val="22"/>
          <w:szCs w:val="22"/>
        </w:rPr>
        <w:t>1/1.000</w:t>
      </w:r>
      <w:r w:rsidR="0090687D">
        <w:rPr>
          <w:sz w:val="22"/>
          <w:szCs w:val="22"/>
        </w:rPr>
        <w:t>,</w:t>
      </w:r>
      <w:r w:rsidRPr="008912CF">
        <w:rPr>
          <w:sz w:val="22"/>
          <w:szCs w:val="22"/>
        </w:rPr>
        <w:t xml:space="preserve"> </w:t>
      </w:r>
      <w:r w:rsidR="0090687D">
        <w:rPr>
          <w:rFonts w:ascii="Symbol" w:hAnsi="Symbol"/>
          <w:sz w:val="22"/>
          <w:szCs w:val="22"/>
        </w:rPr>
        <w:sym w:font="Symbol" w:char="F03C"/>
      </w:r>
      <w:r w:rsidRPr="008912CF">
        <w:rPr>
          <w:sz w:val="22"/>
          <w:szCs w:val="22"/>
        </w:rPr>
        <w:t>1/100)</w:t>
      </w:r>
      <w:r w:rsidR="0090687D">
        <w:rPr>
          <w:sz w:val="22"/>
          <w:szCs w:val="22"/>
        </w:rPr>
        <w:t>;</w:t>
      </w:r>
      <w:r w:rsidRPr="008912CF">
        <w:rPr>
          <w:sz w:val="22"/>
          <w:szCs w:val="22"/>
        </w:rPr>
        <w:t xml:space="preserve"> raros (</w:t>
      </w:r>
      <w:r w:rsidR="0090687D" w:rsidRPr="008912CF">
        <w:rPr>
          <w:sz w:val="22"/>
          <w:szCs w:val="22"/>
        </w:rPr>
        <w:t>≥</w:t>
      </w:r>
      <w:r w:rsidRPr="008912CF">
        <w:rPr>
          <w:sz w:val="22"/>
          <w:szCs w:val="22"/>
        </w:rPr>
        <w:t>1/10.000</w:t>
      </w:r>
      <w:r w:rsidR="0090687D">
        <w:rPr>
          <w:sz w:val="22"/>
          <w:szCs w:val="22"/>
        </w:rPr>
        <w:t>,</w:t>
      </w:r>
      <w:r w:rsidRPr="008912CF">
        <w:rPr>
          <w:sz w:val="22"/>
          <w:szCs w:val="22"/>
        </w:rPr>
        <w:t xml:space="preserve"> &lt;1/1.000) e </w:t>
      </w:r>
      <w:r w:rsidRPr="008912CF">
        <w:rPr>
          <w:sz w:val="22"/>
          <w:szCs w:val="22"/>
          <w:lang w:eastAsia="pt-PT"/>
        </w:rPr>
        <w:t xml:space="preserve">desconhecido (não pode ser calculado a partir dos dados disponíveis). </w:t>
      </w:r>
      <w:r w:rsidRPr="008912CF">
        <w:rPr>
          <w:sz w:val="22"/>
          <w:szCs w:val="22"/>
        </w:rPr>
        <w:t>Os efeitos indesejáveis são apresentados por ordem decrescente de gravidade dentro de cada classe de frequência. Foi incluída a frequência mais elevada observada nas várias indicações. Caso estejam disponíveis informações adicionais nas se</w:t>
      </w:r>
      <w:r w:rsidRPr="008912CF">
        <w:rPr>
          <w:sz w:val="22"/>
          <w:szCs w:val="22"/>
        </w:rPr>
        <w:t>cções 4.3, 4.4 e 4.8 aparece um asterisco (*) na coluna das CSO.</w:t>
      </w:r>
    </w:p>
    <w:p w14:paraId="315A488F" w14:textId="77777777" w:rsidR="002F6811" w:rsidRPr="008912CF" w:rsidRDefault="002F6811" w:rsidP="002F6811">
      <w:pPr>
        <w:tabs>
          <w:tab w:val="left" w:pos="1080"/>
        </w:tabs>
        <w:jc w:val="center"/>
        <w:rPr>
          <w:b/>
          <w:sz w:val="22"/>
          <w:szCs w:val="22"/>
        </w:rPr>
      </w:pPr>
    </w:p>
    <w:p w14:paraId="6F9E6EBD" w14:textId="77777777" w:rsidR="002F6811" w:rsidRPr="008912CF" w:rsidRDefault="00615769" w:rsidP="002F6811">
      <w:pPr>
        <w:tabs>
          <w:tab w:val="left" w:pos="1080"/>
        </w:tabs>
        <w:jc w:val="center"/>
        <w:rPr>
          <w:b/>
          <w:sz w:val="22"/>
          <w:szCs w:val="22"/>
        </w:rPr>
      </w:pPr>
      <w:r w:rsidRPr="008912CF">
        <w:rPr>
          <w:b/>
          <w:sz w:val="22"/>
          <w:szCs w:val="22"/>
        </w:rPr>
        <w:t xml:space="preserve">Tabela </w:t>
      </w:r>
      <w:r w:rsidR="008B5C6D">
        <w:rPr>
          <w:b/>
          <w:sz w:val="22"/>
          <w:szCs w:val="22"/>
        </w:rPr>
        <w:t>6</w:t>
      </w:r>
    </w:p>
    <w:p w14:paraId="2C0B2BDE" w14:textId="77777777" w:rsidR="002F6811" w:rsidRPr="008912CF" w:rsidRDefault="00615769" w:rsidP="002F6811">
      <w:pPr>
        <w:tabs>
          <w:tab w:val="left" w:pos="1080"/>
        </w:tabs>
        <w:jc w:val="center"/>
        <w:rPr>
          <w:b/>
          <w:sz w:val="22"/>
          <w:szCs w:val="22"/>
        </w:rPr>
      </w:pPr>
      <w:r w:rsidRPr="008912CF">
        <w:rPr>
          <w:b/>
          <w:sz w:val="22"/>
          <w:szCs w:val="22"/>
        </w:rPr>
        <w:t xml:space="preserve">Efeitos indesejáveis </w:t>
      </w:r>
    </w:p>
    <w:p w14:paraId="439EAA02" w14:textId="77777777" w:rsidR="002F6811" w:rsidRPr="008912CF" w:rsidRDefault="002F6811" w:rsidP="002F6811">
      <w:pPr>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1996"/>
        <w:gridCol w:w="4346"/>
      </w:tblGrid>
      <w:tr w:rsidR="00A7162A" w14:paraId="1DEF90D0" w14:textId="77777777" w:rsidTr="002F6811">
        <w:trPr>
          <w:tblHeader/>
        </w:trPr>
        <w:tc>
          <w:tcPr>
            <w:tcW w:w="2514" w:type="dxa"/>
          </w:tcPr>
          <w:p w14:paraId="38ECD7B5" w14:textId="77777777" w:rsidR="002F6811" w:rsidRPr="008912CF" w:rsidRDefault="00615769" w:rsidP="002F6811">
            <w:pPr>
              <w:widowControl w:val="0"/>
              <w:spacing w:before="120" w:after="120"/>
              <w:jc w:val="center"/>
              <w:rPr>
                <w:b/>
              </w:rPr>
            </w:pPr>
            <w:r w:rsidRPr="008912CF">
              <w:rPr>
                <w:b/>
                <w:bCs/>
                <w:sz w:val="22"/>
                <w:szCs w:val="22"/>
              </w:rPr>
              <w:t>Classes de sistema</w:t>
            </w:r>
            <w:r w:rsidR="00D9472B">
              <w:rPr>
                <w:b/>
                <w:bCs/>
                <w:sz w:val="22"/>
                <w:szCs w:val="22"/>
              </w:rPr>
              <w:t>s</w:t>
            </w:r>
            <w:r w:rsidRPr="008912CF">
              <w:rPr>
                <w:b/>
                <w:bCs/>
                <w:sz w:val="22"/>
                <w:szCs w:val="22"/>
              </w:rPr>
              <w:t xml:space="preserve"> de órgãos</w:t>
            </w:r>
          </w:p>
        </w:tc>
        <w:tc>
          <w:tcPr>
            <w:tcW w:w="1996" w:type="dxa"/>
          </w:tcPr>
          <w:p w14:paraId="711C1171" w14:textId="77777777" w:rsidR="002F6811" w:rsidRPr="008912CF" w:rsidRDefault="00615769" w:rsidP="002F6811">
            <w:pPr>
              <w:widowControl w:val="0"/>
              <w:spacing w:before="120" w:after="120"/>
              <w:jc w:val="center"/>
              <w:rPr>
                <w:b/>
              </w:rPr>
            </w:pPr>
            <w:r w:rsidRPr="008912CF">
              <w:rPr>
                <w:b/>
                <w:bCs/>
                <w:sz w:val="22"/>
                <w:szCs w:val="22"/>
              </w:rPr>
              <w:t>Frequência</w:t>
            </w:r>
          </w:p>
        </w:tc>
        <w:tc>
          <w:tcPr>
            <w:tcW w:w="4346" w:type="dxa"/>
          </w:tcPr>
          <w:p w14:paraId="5CD62252" w14:textId="77777777" w:rsidR="002F6811" w:rsidRPr="008912CF" w:rsidRDefault="00615769" w:rsidP="002F6811">
            <w:pPr>
              <w:widowControl w:val="0"/>
              <w:spacing w:before="120" w:after="120"/>
              <w:jc w:val="center"/>
              <w:rPr>
                <w:b/>
              </w:rPr>
            </w:pPr>
            <w:r w:rsidRPr="008912CF">
              <w:rPr>
                <w:b/>
                <w:bCs/>
                <w:sz w:val="22"/>
                <w:szCs w:val="22"/>
              </w:rPr>
              <w:t>Reações adversas</w:t>
            </w:r>
          </w:p>
        </w:tc>
      </w:tr>
      <w:tr w:rsidR="00A7162A" w14:paraId="53AE4482" w14:textId="77777777" w:rsidTr="0004619E">
        <w:tc>
          <w:tcPr>
            <w:tcW w:w="2514" w:type="dxa"/>
            <w:vMerge w:val="restart"/>
          </w:tcPr>
          <w:p w14:paraId="0A933A0E" w14:textId="77777777" w:rsidR="002F6811" w:rsidRPr="008912CF" w:rsidRDefault="00615769" w:rsidP="002F6811">
            <w:pPr>
              <w:pStyle w:val="EMEANormal"/>
              <w:widowControl w:val="0"/>
              <w:spacing w:before="60"/>
              <w:rPr>
                <w:szCs w:val="22"/>
                <w:lang w:val="pt-PT"/>
              </w:rPr>
            </w:pPr>
            <w:r w:rsidRPr="008912CF">
              <w:rPr>
                <w:szCs w:val="22"/>
                <w:lang w:val="pt-PT"/>
              </w:rPr>
              <w:t>Infeções e infestações *</w:t>
            </w:r>
          </w:p>
          <w:p w14:paraId="4D26F14B" w14:textId="77777777" w:rsidR="002F6811" w:rsidRPr="008912CF" w:rsidRDefault="002F6811" w:rsidP="002F6811">
            <w:pPr>
              <w:widowControl w:val="0"/>
              <w:spacing w:before="60"/>
              <w:jc w:val="center"/>
            </w:pPr>
          </w:p>
        </w:tc>
        <w:tc>
          <w:tcPr>
            <w:tcW w:w="1996" w:type="dxa"/>
            <w:tcBorders>
              <w:bottom w:val="nil"/>
            </w:tcBorders>
          </w:tcPr>
          <w:p w14:paraId="6A03ABA7" w14:textId="77777777" w:rsidR="002F6811" w:rsidRPr="008912CF" w:rsidRDefault="00615769" w:rsidP="002F6811">
            <w:pPr>
              <w:pStyle w:val="EMEANormal"/>
              <w:widowControl w:val="0"/>
              <w:spacing w:before="60"/>
              <w:rPr>
                <w:szCs w:val="22"/>
                <w:lang w:val="pt-PT"/>
              </w:rPr>
            </w:pPr>
            <w:r w:rsidRPr="008912CF">
              <w:rPr>
                <w:szCs w:val="22"/>
                <w:lang w:val="pt-PT"/>
              </w:rPr>
              <w:t>Muito frequentes</w:t>
            </w:r>
          </w:p>
        </w:tc>
        <w:tc>
          <w:tcPr>
            <w:tcW w:w="4346" w:type="dxa"/>
            <w:tcBorders>
              <w:bottom w:val="nil"/>
            </w:tcBorders>
          </w:tcPr>
          <w:p w14:paraId="29DD049B" w14:textId="77777777" w:rsidR="002F6811" w:rsidRPr="008912CF" w:rsidRDefault="00615769" w:rsidP="002F6811">
            <w:pPr>
              <w:pStyle w:val="EMEANormal"/>
              <w:rPr>
                <w:szCs w:val="22"/>
                <w:lang w:val="pt-PT"/>
              </w:rPr>
            </w:pPr>
            <w:r>
              <w:rPr>
                <w:szCs w:val="22"/>
                <w:lang w:val="pt-PT"/>
              </w:rPr>
              <w:t>I</w:t>
            </w:r>
            <w:r w:rsidRPr="008912CF">
              <w:rPr>
                <w:szCs w:val="22"/>
                <w:lang w:val="pt-PT"/>
              </w:rPr>
              <w:t>nfeções do trato respiratório (incluindo infeção do trato respiratório superior e inferior, pneumonia, sinusite, faringite, nasofaringite e pneumonia a herpes viral)</w:t>
            </w:r>
          </w:p>
          <w:p w14:paraId="1F06671B" w14:textId="77777777" w:rsidR="002F6811" w:rsidRPr="008912CF" w:rsidRDefault="002F6811" w:rsidP="002F6811">
            <w:pPr>
              <w:pStyle w:val="EMEANormal"/>
              <w:rPr>
                <w:szCs w:val="22"/>
                <w:lang w:val="pt-PT"/>
              </w:rPr>
            </w:pPr>
          </w:p>
        </w:tc>
      </w:tr>
      <w:tr w:rsidR="00A7162A" w14:paraId="176EE363" w14:textId="77777777" w:rsidTr="0004619E">
        <w:tc>
          <w:tcPr>
            <w:tcW w:w="2514" w:type="dxa"/>
            <w:vMerge/>
          </w:tcPr>
          <w:p w14:paraId="5F8716ED" w14:textId="77777777" w:rsidR="002F6811" w:rsidRPr="008912CF" w:rsidRDefault="002F6811" w:rsidP="002F6811">
            <w:pPr>
              <w:widowControl w:val="0"/>
              <w:spacing w:before="60"/>
              <w:jc w:val="center"/>
              <w:rPr>
                <w:b/>
              </w:rPr>
            </w:pPr>
          </w:p>
        </w:tc>
        <w:tc>
          <w:tcPr>
            <w:tcW w:w="1996" w:type="dxa"/>
            <w:tcBorders>
              <w:top w:val="nil"/>
              <w:bottom w:val="single" w:sz="4" w:space="0" w:color="auto"/>
            </w:tcBorders>
          </w:tcPr>
          <w:p w14:paraId="5C876AEC" w14:textId="77777777" w:rsidR="002F6811" w:rsidRPr="008912CF" w:rsidRDefault="00615769" w:rsidP="002F6811">
            <w:pPr>
              <w:pStyle w:val="EMEANormal"/>
              <w:widowControl w:val="0"/>
              <w:spacing w:before="60"/>
              <w:rPr>
                <w:szCs w:val="22"/>
                <w:lang w:val="pt-PT"/>
              </w:rPr>
            </w:pPr>
            <w:r w:rsidRPr="008912CF">
              <w:rPr>
                <w:szCs w:val="22"/>
                <w:lang w:val="pt-PT"/>
              </w:rPr>
              <w:t>Frequentes</w:t>
            </w:r>
          </w:p>
        </w:tc>
        <w:tc>
          <w:tcPr>
            <w:tcW w:w="4346" w:type="dxa"/>
            <w:tcBorders>
              <w:top w:val="nil"/>
              <w:bottom w:val="single" w:sz="4" w:space="0" w:color="auto"/>
            </w:tcBorders>
          </w:tcPr>
          <w:p w14:paraId="521DBDFE" w14:textId="77777777" w:rsidR="002F6811" w:rsidRPr="008912CF" w:rsidRDefault="00615769" w:rsidP="002F6811">
            <w:pPr>
              <w:pStyle w:val="EMEANormal"/>
              <w:rPr>
                <w:szCs w:val="22"/>
                <w:lang w:val="pt-PT"/>
              </w:rPr>
            </w:pPr>
            <w:r>
              <w:rPr>
                <w:szCs w:val="22"/>
                <w:lang w:val="pt-PT"/>
              </w:rPr>
              <w:t>I</w:t>
            </w:r>
            <w:r w:rsidRPr="008912CF">
              <w:rPr>
                <w:szCs w:val="22"/>
                <w:lang w:val="pt-PT"/>
              </w:rPr>
              <w:t>nfeções sistémicas (incluindo sepsia, candidíase e influenza),</w:t>
            </w:r>
          </w:p>
          <w:p w14:paraId="5A0EA671" w14:textId="77777777" w:rsidR="002F6811" w:rsidRPr="008912CF" w:rsidRDefault="00615769" w:rsidP="002F6811">
            <w:pPr>
              <w:pStyle w:val="EMEANormal"/>
              <w:rPr>
                <w:szCs w:val="22"/>
                <w:lang w:val="pt-PT"/>
              </w:rPr>
            </w:pPr>
            <w:r w:rsidRPr="008912CF">
              <w:rPr>
                <w:szCs w:val="22"/>
                <w:lang w:val="pt-PT"/>
              </w:rPr>
              <w:t>infeções intestinais (incluindo gastroenterite viral),</w:t>
            </w:r>
          </w:p>
          <w:p w14:paraId="7F142FD6" w14:textId="77777777" w:rsidR="002F6811" w:rsidRPr="008912CF" w:rsidRDefault="00615769" w:rsidP="002F6811">
            <w:pPr>
              <w:pStyle w:val="EMEANormal"/>
              <w:rPr>
                <w:szCs w:val="22"/>
                <w:lang w:val="pt-PT"/>
              </w:rPr>
            </w:pPr>
            <w:r w:rsidRPr="008912CF">
              <w:rPr>
                <w:szCs w:val="22"/>
                <w:lang w:val="pt-PT"/>
              </w:rPr>
              <w:t xml:space="preserve">infeções da pele e tecidos moles (incluindo paroníquia, celulite, impetigo, fasciite necrosante e herpes zoster), </w:t>
            </w:r>
          </w:p>
          <w:p w14:paraId="447C2F6F" w14:textId="77777777" w:rsidR="002F6811" w:rsidRPr="008912CF" w:rsidRDefault="00615769" w:rsidP="002F6811">
            <w:pPr>
              <w:pStyle w:val="EMEANormal"/>
              <w:rPr>
                <w:szCs w:val="22"/>
                <w:lang w:val="pt-PT"/>
              </w:rPr>
            </w:pPr>
            <w:r w:rsidRPr="008912CF">
              <w:rPr>
                <w:szCs w:val="22"/>
                <w:lang w:val="pt-PT"/>
              </w:rPr>
              <w:t xml:space="preserve">infeções auriculares, </w:t>
            </w:r>
          </w:p>
          <w:p w14:paraId="6B34978E" w14:textId="77777777" w:rsidR="002F6811" w:rsidRPr="008912CF" w:rsidRDefault="00615769" w:rsidP="002F6811">
            <w:pPr>
              <w:pStyle w:val="EMEANormal"/>
              <w:rPr>
                <w:szCs w:val="22"/>
                <w:lang w:val="pt-PT"/>
              </w:rPr>
            </w:pPr>
            <w:r w:rsidRPr="008912CF">
              <w:rPr>
                <w:szCs w:val="22"/>
                <w:lang w:val="pt-PT"/>
              </w:rPr>
              <w:t>infeções orais (incluindo herpes simplex, herpes oral e infeções odontológicas),</w:t>
            </w:r>
          </w:p>
          <w:p w14:paraId="5BA70172" w14:textId="77777777" w:rsidR="002F6811" w:rsidRPr="008912CF" w:rsidRDefault="00615769" w:rsidP="002F6811">
            <w:pPr>
              <w:pStyle w:val="EMEANormal"/>
              <w:rPr>
                <w:szCs w:val="22"/>
                <w:lang w:val="pt-PT"/>
              </w:rPr>
            </w:pPr>
            <w:r w:rsidRPr="008912CF">
              <w:rPr>
                <w:szCs w:val="22"/>
                <w:lang w:val="pt-PT"/>
              </w:rPr>
              <w:t>infeções no sistema reprodutor (incluindo infeção micótica vulvovaginal),</w:t>
            </w:r>
          </w:p>
          <w:p w14:paraId="30EF4AC1" w14:textId="77777777" w:rsidR="002F6811" w:rsidRPr="008912CF" w:rsidRDefault="00615769" w:rsidP="002F6811">
            <w:pPr>
              <w:pStyle w:val="EMEANormal"/>
              <w:rPr>
                <w:szCs w:val="22"/>
                <w:lang w:val="pt-PT"/>
              </w:rPr>
            </w:pPr>
            <w:r w:rsidRPr="008912CF">
              <w:rPr>
                <w:szCs w:val="22"/>
                <w:lang w:val="pt-PT"/>
              </w:rPr>
              <w:t>infeções do trato urinário (incluindo pielonefrite),</w:t>
            </w:r>
          </w:p>
          <w:p w14:paraId="6713ADDF" w14:textId="77777777" w:rsidR="002F6811" w:rsidRPr="008912CF" w:rsidRDefault="00615769" w:rsidP="002F6811">
            <w:pPr>
              <w:pStyle w:val="EMEANormal"/>
              <w:rPr>
                <w:szCs w:val="22"/>
                <w:lang w:val="pt-PT"/>
              </w:rPr>
            </w:pPr>
            <w:r w:rsidRPr="008912CF">
              <w:rPr>
                <w:szCs w:val="22"/>
                <w:lang w:val="pt-PT"/>
              </w:rPr>
              <w:t>infeções fúngicas,</w:t>
            </w:r>
          </w:p>
          <w:p w14:paraId="79022318" w14:textId="77777777" w:rsidR="002F6811" w:rsidRPr="008912CF" w:rsidRDefault="00615769" w:rsidP="002F6811">
            <w:pPr>
              <w:pStyle w:val="EMEANormal"/>
              <w:rPr>
                <w:szCs w:val="22"/>
                <w:lang w:val="pt-PT"/>
              </w:rPr>
            </w:pPr>
            <w:r w:rsidRPr="008912CF">
              <w:rPr>
                <w:szCs w:val="22"/>
                <w:lang w:val="pt-PT"/>
              </w:rPr>
              <w:t xml:space="preserve">infeções articulares </w:t>
            </w:r>
          </w:p>
          <w:p w14:paraId="62093CD0" w14:textId="77777777" w:rsidR="002F6811" w:rsidRPr="008912CF" w:rsidRDefault="002F6811" w:rsidP="002F6811">
            <w:pPr>
              <w:pStyle w:val="EMEANormal"/>
              <w:rPr>
                <w:szCs w:val="22"/>
                <w:lang w:val="pt-PT"/>
              </w:rPr>
            </w:pPr>
          </w:p>
        </w:tc>
      </w:tr>
      <w:tr w:rsidR="00A7162A" w14:paraId="054C6E12" w14:textId="77777777" w:rsidTr="0004619E">
        <w:tc>
          <w:tcPr>
            <w:tcW w:w="2514" w:type="dxa"/>
            <w:vMerge/>
          </w:tcPr>
          <w:p w14:paraId="14160F0E" w14:textId="77777777" w:rsidR="002F6811" w:rsidRPr="008912CF" w:rsidRDefault="002F6811" w:rsidP="002F6811">
            <w:pPr>
              <w:widowControl w:val="0"/>
              <w:spacing w:before="60"/>
              <w:jc w:val="center"/>
              <w:rPr>
                <w:b/>
              </w:rPr>
            </w:pPr>
          </w:p>
        </w:tc>
        <w:tc>
          <w:tcPr>
            <w:tcW w:w="1996" w:type="dxa"/>
            <w:tcBorders>
              <w:top w:val="single" w:sz="4" w:space="0" w:color="auto"/>
            </w:tcBorders>
          </w:tcPr>
          <w:p w14:paraId="2D4C4781" w14:textId="77777777" w:rsidR="002F6811" w:rsidRPr="008912CF" w:rsidRDefault="00615769" w:rsidP="002F6811">
            <w:pPr>
              <w:pStyle w:val="EMEANormal"/>
              <w:widowControl w:val="0"/>
              <w:rPr>
                <w:szCs w:val="22"/>
                <w:lang w:val="pt-PT"/>
              </w:rPr>
            </w:pPr>
            <w:r w:rsidRPr="008912CF">
              <w:rPr>
                <w:szCs w:val="22"/>
                <w:lang w:val="pt-PT"/>
              </w:rPr>
              <w:t>Pouco frequentes</w:t>
            </w:r>
          </w:p>
        </w:tc>
        <w:tc>
          <w:tcPr>
            <w:tcW w:w="4346" w:type="dxa"/>
            <w:tcBorders>
              <w:top w:val="single" w:sz="4" w:space="0" w:color="auto"/>
            </w:tcBorders>
          </w:tcPr>
          <w:p w14:paraId="625FFB46" w14:textId="77777777" w:rsidR="002F6811" w:rsidRPr="008912CF" w:rsidRDefault="00615769" w:rsidP="002F6811">
            <w:pPr>
              <w:pStyle w:val="EMEANormal"/>
              <w:widowControl w:val="0"/>
              <w:rPr>
                <w:szCs w:val="22"/>
                <w:lang w:val="pt-PT"/>
              </w:rPr>
            </w:pPr>
            <w:r>
              <w:rPr>
                <w:szCs w:val="22"/>
                <w:lang w:val="pt-PT"/>
              </w:rPr>
              <w:t>I</w:t>
            </w:r>
            <w:r w:rsidRPr="008912CF">
              <w:rPr>
                <w:szCs w:val="22"/>
                <w:lang w:val="pt-PT"/>
              </w:rPr>
              <w:t>nfeções neurológicas (incluindo meningite viral),</w:t>
            </w:r>
          </w:p>
          <w:p w14:paraId="17379D59" w14:textId="77777777" w:rsidR="002F6811" w:rsidRPr="008912CF" w:rsidRDefault="00615769" w:rsidP="002F6811">
            <w:pPr>
              <w:pStyle w:val="EMEANormal"/>
              <w:widowControl w:val="0"/>
              <w:rPr>
                <w:szCs w:val="22"/>
                <w:lang w:val="pt-PT"/>
              </w:rPr>
            </w:pPr>
            <w:r w:rsidRPr="008912CF">
              <w:rPr>
                <w:szCs w:val="22"/>
                <w:lang w:val="pt-PT"/>
              </w:rPr>
              <w:t xml:space="preserve">infeções oportunistas e tuberculose (incluindo coccidioidomicose, histoplasmose e infeção a complexo mycobacterium avium), </w:t>
            </w:r>
          </w:p>
          <w:p w14:paraId="4B9C2EE8" w14:textId="77777777" w:rsidR="002F6811" w:rsidRPr="008912CF" w:rsidRDefault="00615769" w:rsidP="002F6811">
            <w:pPr>
              <w:pStyle w:val="EMEANormal"/>
              <w:widowControl w:val="0"/>
              <w:rPr>
                <w:szCs w:val="22"/>
                <w:lang w:val="pt-PT"/>
              </w:rPr>
            </w:pPr>
            <w:r w:rsidRPr="008912CF">
              <w:rPr>
                <w:szCs w:val="22"/>
                <w:lang w:val="pt-PT"/>
              </w:rPr>
              <w:t>infeções bacterianas,</w:t>
            </w:r>
          </w:p>
          <w:p w14:paraId="41C05060" w14:textId="77777777" w:rsidR="002F6811" w:rsidRPr="008912CF" w:rsidRDefault="00615769" w:rsidP="002F6811">
            <w:pPr>
              <w:pStyle w:val="EMEANormal"/>
              <w:widowControl w:val="0"/>
              <w:rPr>
                <w:szCs w:val="22"/>
                <w:lang w:val="pt-PT"/>
              </w:rPr>
            </w:pPr>
            <w:r w:rsidRPr="008912CF">
              <w:rPr>
                <w:szCs w:val="22"/>
                <w:lang w:val="pt-PT"/>
              </w:rPr>
              <w:t>infeções oculares,</w:t>
            </w:r>
          </w:p>
          <w:p w14:paraId="09D84167" w14:textId="77777777" w:rsidR="002F6811" w:rsidRPr="008912CF" w:rsidRDefault="00615769" w:rsidP="002F6811">
            <w:pPr>
              <w:pStyle w:val="EMEANormal"/>
              <w:widowControl w:val="0"/>
              <w:rPr>
                <w:szCs w:val="22"/>
                <w:vertAlign w:val="superscript"/>
                <w:lang w:val="pt-PT"/>
              </w:rPr>
            </w:pPr>
            <w:r w:rsidRPr="008912CF">
              <w:rPr>
                <w:szCs w:val="22"/>
                <w:lang w:val="pt-PT"/>
              </w:rPr>
              <w:t>diverticulite</w:t>
            </w:r>
            <w:r w:rsidRPr="008912CF">
              <w:rPr>
                <w:szCs w:val="22"/>
                <w:vertAlign w:val="superscript"/>
                <w:lang w:val="pt-PT"/>
              </w:rPr>
              <w:t>1)</w:t>
            </w:r>
          </w:p>
          <w:p w14:paraId="4851CDAE" w14:textId="77777777" w:rsidR="002F6811" w:rsidRPr="008912CF" w:rsidRDefault="002F6811" w:rsidP="002F6811">
            <w:pPr>
              <w:pStyle w:val="EMEANormal"/>
              <w:widowControl w:val="0"/>
              <w:rPr>
                <w:szCs w:val="22"/>
                <w:lang w:val="pt-PT"/>
              </w:rPr>
            </w:pPr>
          </w:p>
        </w:tc>
      </w:tr>
      <w:tr w:rsidR="00A7162A" w14:paraId="15A0E01F" w14:textId="77777777" w:rsidTr="002F6811">
        <w:tc>
          <w:tcPr>
            <w:tcW w:w="2514" w:type="dxa"/>
            <w:vMerge w:val="restart"/>
          </w:tcPr>
          <w:p w14:paraId="6027648E" w14:textId="77777777" w:rsidR="002F6811" w:rsidRPr="008912CF" w:rsidRDefault="00615769" w:rsidP="002F6811">
            <w:pPr>
              <w:keepNext/>
              <w:widowControl w:val="0"/>
              <w:spacing w:before="60"/>
              <w:rPr>
                <w:b/>
              </w:rPr>
            </w:pPr>
            <w:r w:rsidRPr="008912CF">
              <w:rPr>
                <w:sz w:val="22"/>
                <w:szCs w:val="22"/>
              </w:rPr>
              <w:t>Neoplasias benignas, malignas e não especificadas (incluindo quistos e pólipos)*</w:t>
            </w:r>
          </w:p>
        </w:tc>
        <w:tc>
          <w:tcPr>
            <w:tcW w:w="1996" w:type="dxa"/>
            <w:tcBorders>
              <w:bottom w:val="nil"/>
            </w:tcBorders>
          </w:tcPr>
          <w:p w14:paraId="62498861" w14:textId="77777777" w:rsidR="002F6811" w:rsidRPr="008912CF" w:rsidRDefault="00615769" w:rsidP="002F6811">
            <w:pPr>
              <w:pStyle w:val="EMEANormal"/>
              <w:keepNext/>
              <w:widowControl w:val="0"/>
              <w:spacing w:before="60"/>
              <w:rPr>
                <w:szCs w:val="22"/>
                <w:lang w:val="pt-PT"/>
              </w:rPr>
            </w:pPr>
            <w:r w:rsidRPr="008912CF">
              <w:rPr>
                <w:szCs w:val="22"/>
                <w:lang w:val="pt-PT"/>
              </w:rPr>
              <w:t xml:space="preserve">Frequentes </w:t>
            </w:r>
          </w:p>
        </w:tc>
        <w:tc>
          <w:tcPr>
            <w:tcW w:w="4346" w:type="dxa"/>
            <w:tcBorders>
              <w:bottom w:val="nil"/>
            </w:tcBorders>
          </w:tcPr>
          <w:p w14:paraId="3A01E78D" w14:textId="77777777" w:rsidR="002F6811" w:rsidRPr="008912CF" w:rsidRDefault="00615769" w:rsidP="002F6811">
            <w:pPr>
              <w:pStyle w:val="EMEANormal"/>
              <w:keepNext/>
              <w:widowControl w:val="0"/>
              <w:spacing w:before="60"/>
              <w:rPr>
                <w:szCs w:val="22"/>
                <w:lang w:val="pt-PT"/>
              </w:rPr>
            </w:pPr>
            <w:r>
              <w:rPr>
                <w:szCs w:val="22"/>
                <w:lang w:val="pt-PT"/>
              </w:rPr>
              <w:t>C</w:t>
            </w:r>
            <w:r w:rsidRPr="008912CF">
              <w:rPr>
                <w:szCs w:val="22"/>
                <w:lang w:val="pt-PT"/>
              </w:rPr>
              <w:t>ancro de pele excluindo melanoma (incluindo carcinoma basocelular e carcinoma de células escamosas),</w:t>
            </w:r>
          </w:p>
          <w:p w14:paraId="761CDECA" w14:textId="77777777" w:rsidR="002F6811" w:rsidRPr="008912CF" w:rsidRDefault="00615769" w:rsidP="002F6811">
            <w:pPr>
              <w:pStyle w:val="EMEANormal"/>
              <w:keepNext/>
              <w:widowControl w:val="0"/>
              <w:spacing w:before="60"/>
              <w:rPr>
                <w:szCs w:val="22"/>
                <w:lang w:val="pt-PT"/>
              </w:rPr>
            </w:pPr>
            <w:r w:rsidRPr="008912CF">
              <w:rPr>
                <w:szCs w:val="22"/>
                <w:lang w:val="pt-PT"/>
              </w:rPr>
              <w:t>neoplasias benignas</w:t>
            </w:r>
          </w:p>
          <w:p w14:paraId="4C9BF207" w14:textId="77777777" w:rsidR="002F6811" w:rsidRPr="008912CF" w:rsidRDefault="002F6811" w:rsidP="002F6811">
            <w:pPr>
              <w:pStyle w:val="EMEANormal"/>
              <w:keepNext/>
              <w:widowControl w:val="0"/>
              <w:spacing w:before="60"/>
              <w:rPr>
                <w:szCs w:val="22"/>
                <w:lang w:val="pt-PT"/>
              </w:rPr>
            </w:pPr>
          </w:p>
        </w:tc>
      </w:tr>
      <w:tr w:rsidR="00A7162A" w14:paraId="1B240C4C" w14:textId="77777777" w:rsidTr="002F6811">
        <w:tc>
          <w:tcPr>
            <w:tcW w:w="2514" w:type="dxa"/>
            <w:vMerge/>
          </w:tcPr>
          <w:p w14:paraId="57C2B61D" w14:textId="77777777" w:rsidR="002F6811" w:rsidRPr="008912CF" w:rsidRDefault="002F6811" w:rsidP="002F6811">
            <w:pPr>
              <w:keepNext/>
              <w:widowControl w:val="0"/>
              <w:spacing w:before="60"/>
              <w:jc w:val="center"/>
              <w:rPr>
                <w:b/>
              </w:rPr>
            </w:pPr>
          </w:p>
        </w:tc>
        <w:tc>
          <w:tcPr>
            <w:tcW w:w="1996" w:type="dxa"/>
            <w:tcBorders>
              <w:top w:val="nil"/>
              <w:bottom w:val="nil"/>
            </w:tcBorders>
          </w:tcPr>
          <w:p w14:paraId="63D160DB" w14:textId="77777777" w:rsidR="002F6811" w:rsidRPr="008912CF" w:rsidRDefault="00615769" w:rsidP="002F6811">
            <w:pPr>
              <w:pStyle w:val="EMEANormal"/>
              <w:keepNext/>
              <w:keepLines/>
              <w:widowControl w:val="0"/>
              <w:rPr>
                <w:szCs w:val="22"/>
                <w:lang w:val="pt-PT"/>
              </w:rPr>
            </w:pPr>
            <w:r w:rsidRPr="008912CF">
              <w:rPr>
                <w:szCs w:val="22"/>
                <w:lang w:val="pt-PT"/>
              </w:rPr>
              <w:t>Pouco frequentes</w:t>
            </w:r>
          </w:p>
          <w:p w14:paraId="727DA818" w14:textId="77777777" w:rsidR="002F6811" w:rsidRPr="008912CF" w:rsidRDefault="002F6811" w:rsidP="002F6811">
            <w:pPr>
              <w:pStyle w:val="EMEANormal"/>
              <w:keepNext/>
              <w:keepLines/>
              <w:widowControl w:val="0"/>
              <w:rPr>
                <w:szCs w:val="22"/>
                <w:lang w:val="pt-PT"/>
              </w:rPr>
            </w:pPr>
          </w:p>
          <w:p w14:paraId="59A68832" w14:textId="77777777" w:rsidR="002F6811" w:rsidRPr="008912CF" w:rsidRDefault="002F6811" w:rsidP="002F6811">
            <w:pPr>
              <w:pStyle w:val="EMEANormal"/>
              <w:keepNext/>
              <w:keepLines/>
              <w:widowControl w:val="0"/>
              <w:rPr>
                <w:szCs w:val="22"/>
                <w:lang w:val="pt-PT"/>
              </w:rPr>
            </w:pPr>
          </w:p>
          <w:p w14:paraId="64C3BA28" w14:textId="77777777" w:rsidR="002F6811" w:rsidRPr="008912CF" w:rsidRDefault="002F6811" w:rsidP="002F6811">
            <w:pPr>
              <w:pStyle w:val="EMEANormal"/>
              <w:keepNext/>
              <w:keepLines/>
              <w:widowControl w:val="0"/>
              <w:rPr>
                <w:szCs w:val="22"/>
                <w:lang w:val="pt-PT"/>
              </w:rPr>
            </w:pPr>
          </w:p>
          <w:p w14:paraId="43C9821F" w14:textId="77777777" w:rsidR="002F6811" w:rsidRPr="008912CF" w:rsidRDefault="002F6811" w:rsidP="002F6811">
            <w:pPr>
              <w:pStyle w:val="EMEANormal"/>
              <w:keepNext/>
              <w:keepLines/>
              <w:widowControl w:val="0"/>
              <w:rPr>
                <w:szCs w:val="22"/>
                <w:lang w:val="pt-PT"/>
              </w:rPr>
            </w:pPr>
          </w:p>
        </w:tc>
        <w:tc>
          <w:tcPr>
            <w:tcW w:w="4346" w:type="dxa"/>
            <w:tcBorders>
              <w:top w:val="nil"/>
              <w:bottom w:val="nil"/>
            </w:tcBorders>
          </w:tcPr>
          <w:p w14:paraId="2491C730" w14:textId="77777777" w:rsidR="002F6811" w:rsidRPr="008912CF" w:rsidRDefault="00615769" w:rsidP="002F6811">
            <w:pPr>
              <w:pStyle w:val="EMEANormal"/>
              <w:keepNext/>
              <w:keepLines/>
              <w:widowControl w:val="0"/>
              <w:rPr>
                <w:szCs w:val="22"/>
                <w:lang w:val="pt-PT"/>
              </w:rPr>
            </w:pPr>
            <w:r>
              <w:rPr>
                <w:szCs w:val="22"/>
                <w:lang w:val="pt-PT"/>
              </w:rPr>
              <w:t>L</w:t>
            </w:r>
            <w:r w:rsidRPr="008912CF">
              <w:rPr>
                <w:szCs w:val="22"/>
                <w:lang w:val="pt-PT"/>
              </w:rPr>
              <w:t>infoma**,</w:t>
            </w:r>
          </w:p>
          <w:p w14:paraId="079353CF" w14:textId="77777777" w:rsidR="002F6811" w:rsidRPr="008912CF" w:rsidRDefault="00615769" w:rsidP="002F6811">
            <w:pPr>
              <w:pStyle w:val="EMEANormal"/>
              <w:keepNext/>
              <w:keepLines/>
              <w:widowControl w:val="0"/>
              <w:rPr>
                <w:szCs w:val="22"/>
                <w:lang w:val="pt-PT"/>
              </w:rPr>
            </w:pPr>
            <w:r w:rsidRPr="008912CF">
              <w:rPr>
                <w:szCs w:val="22"/>
                <w:lang w:val="pt-PT"/>
              </w:rPr>
              <w:t>neoplasias dos órgãos sólidos (incluindo cancro da mama, neoplasias do pulmão e tiroide),</w:t>
            </w:r>
          </w:p>
          <w:p w14:paraId="3A02D7BC" w14:textId="77777777" w:rsidR="002F6811" w:rsidRPr="008912CF" w:rsidRDefault="00615769" w:rsidP="002F6811">
            <w:pPr>
              <w:pStyle w:val="EMEANormal"/>
              <w:keepNext/>
              <w:keepLines/>
              <w:widowControl w:val="0"/>
              <w:rPr>
                <w:szCs w:val="22"/>
                <w:lang w:val="pt-PT"/>
              </w:rPr>
            </w:pPr>
            <w:r w:rsidRPr="008912CF">
              <w:rPr>
                <w:szCs w:val="22"/>
                <w:lang w:val="pt-PT"/>
              </w:rPr>
              <w:t>melanoma**</w:t>
            </w:r>
          </w:p>
          <w:p w14:paraId="1A1B0F3B" w14:textId="77777777" w:rsidR="002F6811" w:rsidRPr="008912CF" w:rsidRDefault="002F6811" w:rsidP="002F6811">
            <w:pPr>
              <w:pStyle w:val="EMEANormal"/>
              <w:keepNext/>
              <w:keepLines/>
              <w:widowControl w:val="0"/>
              <w:rPr>
                <w:szCs w:val="22"/>
                <w:lang w:val="pt-PT"/>
              </w:rPr>
            </w:pPr>
          </w:p>
        </w:tc>
      </w:tr>
      <w:tr w:rsidR="00A7162A" w14:paraId="76354FBF" w14:textId="77777777" w:rsidTr="002F6811">
        <w:tc>
          <w:tcPr>
            <w:tcW w:w="2514" w:type="dxa"/>
            <w:vMerge/>
          </w:tcPr>
          <w:p w14:paraId="50F88C7C" w14:textId="77777777" w:rsidR="002F6811" w:rsidRPr="008912CF" w:rsidRDefault="002F6811" w:rsidP="002F6811">
            <w:pPr>
              <w:keepNext/>
              <w:widowControl w:val="0"/>
              <w:spacing w:before="60"/>
              <w:jc w:val="center"/>
              <w:rPr>
                <w:b/>
              </w:rPr>
            </w:pPr>
          </w:p>
        </w:tc>
        <w:tc>
          <w:tcPr>
            <w:tcW w:w="1996" w:type="dxa"/>
            <w:tcBorders>
              <w:top w:val="nil"/>
              <w:bottom w:val="nil"/>
            </w:tcBorders>
          </w:tcPr>
          <w:p w14:paraId="6A3258D2" w14:textId="77777777" w:rsidR="002F6811" w:rsidRPr="008912CF" w:rsidRDefault="00615769" w:rsidP="002F6811">
            <w:pPr>
              <w:pStyle w:val="EMEANormal"/>
              <w:keepNext/>
              <w:widowControl w:val="0"/>
              <w:rPr>
                <w:szCs w:val="22"/>
                <w:lang w:val="pt-PT"/>
              </w:rPr>
            </w:pPr>
            <w:r w:rsidRPr="008912CF">
              <w:rPr>
                <w:szCs w:val="22"/>
                <w:lang w:val="pt-PT"/>
              </w:rPr>
              <w:t>Raros</w:t>
            </w:r>
          </w:p>
        </w:tc>
        <w:tc>
          <w:tcPr>
            <w:tcW w:w="4346" w:type="dxa"/>
            <w:tcBorders>
              <w:top w:val="nil"/>
              <w:bottom w:val="nil"/>
            </w:tcBorders>
          </w:tcPr>
          <w:p w14:paraId="28866015" w14:textId="77777777" w:rsidR="002F6811" w:rsidRPr="008912CF" w:rsidRDefault="00615769" w:rsidP="002F6811">
            <w:pPr>
              <w:pStyle w:val="EMEANormal"/>
              <w:keepNext/>
              <w:rPr>
                <w:szCs w:val="22"/>
                <w:vertAlign w:val="superscript"/>
                <w:lang w:val="pt-PT"/>
              </w:rPr>
            </w:pPr>
            <w:r>
              <w:rPr>
                <w:szCs w:val="22"/>
                <w:lang w:val="pt-PT"/>
              </w:rPr>
              <w:t>L</w:t>
            </w:r>
            <w:r w:rsidRPr="008912CF">
              <w:rPr>
                <w:szCs w:val="22"/>
                <w:lang w:val="pt-PT"/>
              </w:rPr>
              <w:t>eucemia</w:t>
            </w:r>
            <w:r w:rsidRPr="008912CF">
              <w:rPr>
                <w:szCs w:val="22"/>
                <w:vertAlign w:val="superscript"/>
                <w:lang w:val="pt-PT"/>
              </w:rPr>
              <w:t>1)</w:t>
            </w:r>
          </w:p>
          <w:p w14:paraId="4620DFC5" w14:textId="77777777" w:rsidR="002F6811" w:rsidRPr="008912CF" w:rsidRDefault="002F6811" w:rsidP="002F6811">
            <w:pPr>
              <w:pStyle w:val="EMEANormal"/>
              <w:keepNext/>
              <w:rPr>
                <w:szCs w:val="22"/>
                <w:lang w:val="pt-PT"/>
              </w:rPr>
            </w:pPr>
          </w:p>
        </w:tc>
      </w:tr>
      <w:tr w:rsidR="00A7162A" w14:paraId="69C46583" w14:textId="77777777" w:rsidTr="002F6811">
        <w:tc>
          <w:tcPr>
            <w:tcW w:w="2514" w:type="dxa"/>
            <w:vMerge/>
          </w:tcPr>
          <w:p w14:paraId="764141A7" w14:textId="77777777" w:rsidR="002F6811" w:rsidRPr="008912CF" w:rsidRDefault="002F6811" w:rsidP="002F6811">
            <w:pPr>
              <w:keepNext/>
              <w:widowControl w:val="0"/>
              <w:spacing w:before="60"/>
              <w:jc w:val="center"/>
              <w:rPr>
                <w:b/>
              </w:rPr>
            </w:pPr>
          </w:p>
        </w:tc>
        <w:tc>
          <w:tcPr>
            <w:tcW w:w="1996" w:type="dxa"/>
            <w:tcBorders>
              <w:top w:val="nil"/>
            </w:tcBorders>
          </w:tcPr>
          <w:p w14:paraId="408099D5" w14:textId="77777777" w:rsidR="002F6811" w:rsidRPr="008912CF" w:rsidRDefault="00615769" w:rsidP="002F6811">
            <w:pPr>
              <w:pStyle w:val="EMEANormal"/>
              <w:keepNext/>
              <w:widowControl w:val="0"/>
              <w:rPr>
                <w:szCs w:val="22"/>
                <w:lang w:val="pt-PT"/>
              </w:rPr>
            </w:pPr>
            <w:r w:rsidRPr="008912CF">
              <w:rPr>
                <w:szCs w:val="22"/>
                <w:lang w:val="pt-PT"/>
              </w:rPr>
              <w:t>Desconhecido</w:t>
            </w:r>
          </w:p>
        </w:tc>
        <w:tc>
          <w:tcPr>
            <w:tcW w:w="4346" w:type="dxa"/>
            <w:tcBorders>
              <w:top w:val="nil"/>
            </w:tcBorders>
          </w:tcPr>
          <w:p w14:paraId="209A4517" w14:textId="77777777" w:rsidR="002F6811" w:rsidRPr="00381888" w:rsidRDefault="00615769" w:rsidP="002F6811">
            <w:pPr>
              <w:pStyle w:val="EMEANormal"/>
              <w:keepNext/>
              <w:rPr>
                <w:szCs w:val="22"/>
                <w:lang w:val="pt-PT"/>
              </w:rPr>
            </w:pPr>
            <w:r>
              <w:rPr>
                <w:szCs w:val="22"/>
                <w:lang w:val="pt-PT"/>
              </w:rPr>
              <w:t>L</w:t>
            </w:r>
            <w:r w:rsidRPr="008912CF">
              <w:rPr>
                <w:szCs w:val="22"/>
                <w:lang w:val="pt-PT"/>
              </w:rPr>
              <w:t>infoma hepatoesplénico de células T</w:t>
            </w:r>
            <w:r w:rsidRPr="008912CF">
              <w:rPr>
                <w:szCs w:val="22"/>
                <w:vertAlign w:val="superscript"/>
                <w:lang w:val="pt-PT"/>
              </w:rPr>
              <w:t>1)</w:t>
            </w:r>
            <w:r w:rsidR="00D57D99">
              <w:rPr>
                <w:szCs w:val="22"/>
                <w:lang w:val="pt-PT"/>
              </w:rPr>
              <w:t>,</w:t>
            </w:r>
          </w:p>
          <w:p w14:paraId="59594C7C" w14:textId="77777777" w:rsidR="002F6811" w:rsidRPr="00381888" w:rsidRDefault="00615769" w:rsidP="002F6811">
            <w:pPr>
              <w:pStyle w:val="EMEANormal"/>
              <w:keepNext/>
              <w:rPr>
                <w:szCs w:val="22"/>
                <w:lang w:val="pt-PT"/>
              </w:rPr>
            </w:pPr>
            <w:r w:rsidRPr="008912CF">
              <w:rPr>
                <w:szCs w:val="22"/>
                <w:lang w:val="pt-PT"/>
              </w:rPr>
              <w:t>carcinoma das células de Merkel (carcinoma neuroendócrino da pele)</w:t>
            </w:r>
            <w:r w:rsidRPr="008912CF">
              <w:rPr>
                <w:szCs w:val="22"/>
                <w:vertAlign w:val="superscript"/>
                <w:lang w:val="pt-PT"/>
              </w:rPr>
              <w:t xml:space="preserve"> 1)</w:t>
            </w:r>
            <w:r w:rsidR="00D57D99">
              <w:rPr>
                <w:szCs w:val="22"/>
                <w:lang w:val="pt-PT"/>
              </w:rPr>
              <w:t>, sarcoma de Kaposi</w:t>
            </w:r>
          </w:p>
          <w:p w14:paraId="51D815AD" w14:textId="77777777" w:rsidR="002F6811" w:rsidRPr="008912CF" w:rsidRDefault="002F6811" w:rsidP="002F6811">
            <w:pPr>
              <w:pStyle w:val="EMEANormal"/>
              <w:keepNext/>
              <w:rPr>
                <w:szCs w:val="22"/>
                <w:lang w:val="pt-PT"/>
              </w:rPr>
            </w:pPr>
          </w:p>
        </w:tc>
      </w:tr>
      <w:tr w:rsidR="00A7162A" w14:paraId="415663F4" w14:textId="77777777" w:rsidTr="002F6811">
        <w:tc>
          <w:tcPr>
            <w:tcW w:w="2514" w:type="dxa"/>
            <w:vMerge w:val="restart"/>
          </w:tcPr>
          <w:p w14:paraId="2E77405C" w14:textId="77777777" w:rsidR="002F6811" w:rsidRPr="008912CF" w:rsidRDefault="00615769" w:rsidP="002F6811">
            <w:pPr>
              <w:widowControl w:val="0"/>
              <w:spacing w:before="60"/>
              <w:rPr>
                <w:b/>
              </w:rPr>
            </w:pPr>
            <w:r w:rsidRPr="008912CF">
              <w:rPr>
                <w:sz w:val="22"/>
                <w:szCs w:val="22"/>
              </w:rPr>
              <w:t>Doenças do sangue e do sistema linfático *</w:t>
            </w:r>
          </w:p>
        </w:tc>
        <w:tc>
          <w:tcPr>
            <w:tcW w:w="1996" w:type="dxa"/>
            <w:tcBorders>
              <w:bottom w:val="nil"/>
            </w:tcBorders>
          </w:tcPr>
          <w:p w14:paraId="2FECE73C" w14:textId="77777777" w:rsidR="002F6811" w:rsidRPr="008912CF" w:rsidRDefault="00615769" w:rsidP="002F6811">
            <w:pPr>
              <w:pStyle w:val="EMEANormal"/>
              <w:widowControl w:val="0"/>
              <w:spacing w:before="60"/>
              <w:jc w:val="both"/>
              <w:rPr>
                <w:szCs w:val="22"/>
                <w:lang w:val="pt-PT"/>
              </w:rPr>
            </w:pPr>
            <w:r w:rsidRPr="008912CF">
              <w:rPr>
                <w:szCs w:val="22"/>
                <w:lang w:val="pt-PT"/>
              </w:rPr>
              <w:t>Muito frequentes</w:t>
            </w:r>
          </w:p>
        </w:tc>
        <w:tc>
          <w:tcPr>
            <w:tcW w:w="4346" w:type="dxa"/>
            <w:tcBorders>
              <w:bottom w:val="nil"/>
            </w:tcBorders>
          </w:tcPr>
          <w:p w14:paraId="2E6FAC29" w14:textId="77777777" w:rsidR="002F6811" w:rsidRPr="008912CF" w:rsidRDefault="00615769" w:rsidP="002F6811">
            <w:pPr>
              <w:widowControl w:val="0"/>
              <w:spacing w:before="60"/>
            </w:pPr>
            <w:r>
              <w:rPr>
                <w:sz w:val="22"/>
                <w:szCs w:val="22"/>
              </w:rPr>
              <w:t>L</w:t>
            </w:r>
            <w:r w:rsidRPr="008912CF">
              <w:rPr>
                <w:sz w:val="22"/>
                <w:szCs w:val="22"/>
              </w:rPr>
              <w:t xml:space="preserve">eucopenia (incluindo neutropenia e agranulocitose), </w:t>
            </w:r>
          </w:p>
          <w:p w14:paraId="0D2C5FB0" w14:textId="77777777" w:rsidR="002F6811" w:rsidRPr="008912CF" w:rsidRDefault="00615769" w:rsidP="002F6811">
            <w:pPr>
              <w:widowControl w:val="0"/>
              <w:spacing w:before="60"/>
            </w:pPr>
            <w:r w:rsidRPr="008912CF">
              <w:rPr>
                <w:sz w:val="22"/>
                <w:szCs w:val="22"/>
              </w:rPr>
              <w:t>anemia</w:t>
            </w:r>
          </w:p>
          <w:p w14:paraId="7A5F9EA7" w14:textId="77777777" w:rsidR="002F6811" w:rsidRPr="008912CF" w:rsidRDefault="002F6811" w:rsidP="002F6811">
            <w:pPr>
              <w:widowControl w:val="0"/>
              <w:spacing w:before="60"/>
              <w:rPr>
                <w:b/>
              </w:rPr>
            </w:pPr>
          </w:p>
        </w:tc>
      </w:tr>
      <w:tr w:rsidR="00A7162A" w14:paraId="52EE87A4" w14:textId="77777777" w:rsidTr="002F6811">
        <w:tc>
          <w:tcPr>
            <w:tcW w:w="2514" w:type="dxa"/>
            <w:vMerge/>
          </w:tcPr>
          <w:p w14:paraId="2A456813" w14:textId="77777777" w:rsidR="002F6811" w:rsidRPr="008912CF" w:rsidRDefault="002F6811" w:rsidP="002F6811">
            <w:pPr>
              <w:widowControl w:val="0"/>
              <w:spacing w:before="144"/>
              <w:jc w:val="center"/>
              <w:rPr>
                <w:b/>
              </w:rPr>
            </w:pPr>
          </w:p>
        </w:tc>
        <w:tc>
          <w:tcPr>
            <w:tcW w:w="1996" w:type="dxa"/>
            <w:tcBorders>
              <w:top w:val="nil"/>
              <w:bottom w:val="nil"/>
            </w:tcBorders>
          </w:tcPr>
          <w:p w14:paraId="43B671FA" w14:textId="77777777" w:rsidR="002F6811" w:rsidRPr="008912CF" w:rsidRDefault="00615769" w:rsidP="002F6811">
            <w:pPr>
              <w:pStyle w:val="EMEANormal"/>
              <w:widowControl w:val="0"/>
              <w:jc w:val="both"/>
              <w:rPr>
                <w:szCs w:val="22"/>
                <w:lang w:val="pt-PT"/>
              </w:rPr>
            </w:pPr>
            <w:r w:rsidRPr="008912CF">
              <w:rPr>
                <w:szCs w:val="22"/>
                <w:lang w:val="pt-PT"/>
              </w:rPr>
              <w:t>Frequentes</w:t>
            </w:r>
          </w:p>
        </w:tc>
        <w:tc>
          <w:tcPr>
            <w:tcW w:w="4346" w:type="dxa"/>
            <w:tcBorders>
              <w:top w:val="nil"/>
              <w:bottom w:val="nil"/>
            </w:tcBorders>
          </w:tcPr>
          <w:p w14:paraId="493F4BD3" w14:textId="77777777" w:rsidR="002F6811" w:rsidRPr="008912CF" w:rsidRDefault="00615769" w:rsidP="002F6811">
            <w:pPr>
              <w:widowControl w:val="0"/>
            </w:pPr>
            <w:r>
              <w:rPr>
                <w:sz w:val="22"/>
                <w:szCs w:val="22"/>
              </w:rPr>
              <w:t>L</w:t>
            </w:r>
            <w:r w:rsidRPr="008912CF">
              <w:rPr>
                <w:sz w:val="22"/>
                <w:szCs w:val="22"/>
              </w:rPr>
              <w:t>eucocitose,</w:t>
            </w:r>
          </w:p>
          <w:p w14:paraId="1C4CCCD9" w14:textId="77777777" w:rsidR="002F6811" w:rsidRPr="008912CF" w:rsidRDefault="00615769" w:rsidP="002F6811">
            <w:pPr>
              <w:widowControl w:val="0"/>
            </w:pPr>
            <w:r w:rsidRPr="008912CF">
              <w:rPr>
                <w:sz w:val="22"/>
                <w:szCs w:val="22"/>
              </w:rPr>
              <w:t>trombocitopenia</w:t>
            </w:r>
          </w:p>
          <w:p w14:paraId="495B6996" w14:textId="77777777" w:rsidR="002F6811" w:rsidRPr="008912CF" w:rsidRDefault="002F6811" w:rsidP="002F6811">
            <w:pPr>
              <w:widowControl w:val="0"/>
            </w:pPr>
          </w:p>
        </w:tc>
      </w:tr>
      <w:tr w:rsidR="00A7162A" w14:paraId="0F9CB8F1" w14:textId="77777777" w:rsidTr="002F6811">
        <w:tc>
          <w:tcPr>
            <w:tcW w:w="2514" w:type="dxa"/>
            <w:vMerge/>
          </w:tcPr>
          <w:p w14:paraId="23D68ADA" w14:textId="77777777" w:rsidR="002F6811" w:rsidRPr="008912CF" w:rsidRDefault="002F6811" w:rsidP="002F6811">
            <w:pPr>
              <w:widowControl w:val="0"/>
              <w:spacing w:before="144"/>
              <w:jc w:val="center"/>
              <w:rPr>
                <w:b/>
              </w:rPr>
            </w:pPr>
          </w:p>
        </w:tc>
        <w:tc>
          <w:tcPr>
            <w:tcW w:w="1996" w:type="dxa"/>
            <w:tcBorders>
              <w:top w:val="nil"/>
              <w:bottom w:val="nil"/>
            </w:tcBorders>
          </w:tcPr>
          <w:p w14:paraId="789992BA" w14:textId="77777777" w:rsidR="002F6811" w:rsidRPr="008912CF" w:rsidRDefault="00615769" w:rsidP="002F6811">
            <w:pPr>
              <w:pStyle w:val="EMEANormal"/>
              <w:widowControl w:val="0"/>
              <w:jc w:val="both"/>
              <w:rPr>
                <w:szCs w:val="22"/>
                <w:lang w:val="pt-PT"/>
              </w:rPr>
            </w:pPr>
            <w:r w:rsidRPr="008912CF">
              <w:rPr>
                <w:szCs w:val="22"/>
                <w:lang w:val="pt-PT"/>
              </w:rPr>
              <w:t>Pouco frequentes</w:t>
            </w:r>
          </w:p>
          <w:p w14:paraId="369ED8FD" w14:textId="77777777" w:rsidR="002F6811" w:rsidRPr="008912CF" w:rsidRDefault="002F6811" w:rsidP="002F6811">
            <w:pPr>
              <w:pStyle w:val="EMEANormal"/>
              <w:widowControl w:val="0"/>
              <w:jc w:val="both"/>
              <w:rPr>
                <w:szCs w:val="22"/>
                <w:lang w:val="pt-PT"/>
              </w:rPr>
            </w:pPr>
          </w:p>
        </w:tc>
        <w:tc>
          <w:tcPr>
            <w:tcW w:w="4346" w:type="dxa"/>
            <w:tcBorders>
              <w:top w:val="nil"/>
              <w:bottom w:val="nil"/>
            </w:tcBorders>
          </w:tcPr>
          <w:p w14:paraId="06F73FA6" w14:textId="77777777" w:rsidR="002F6811" w:rsidRPr="008912CF" w:rsidRDefault="00615769" w:rsidP="002F6811">
            <w:pPr>
              <w:widowControl w:val="0"/>
            </w:pPr>
            <w:r>
              <w:rPr>
                <w:sz w:val="22"/>
                <w:szCs w:val="22"/>
              </w:rPr>
              <w:t>P</w:t>
            </w:r>
            <w:r w:rsidRPr="008912CF">
              <w:rPr>
                <w:sz w:val="22"/>
                <w:szCs w:val="22"/>
              </w:rPr>
              <w:t>úrpura trombocitop</w:t>
            </w:r>
            <w:r w:rsidR="00771456">
              <w:rPr>
                <w:sz w:val="22"/>
                <w:szCs w:val="22"/>
              </w:rPr>
              <w:t>é</w:t>
            </w:r>
            <w:r w:rsidRPr="008912CF">
              <w:rPr>
                <w:sz w:val="22"/>
                <w:szCs w:val="22"/>
              </w:rPr>
              <w:t>nica idiopática</w:t>
            </w:r>
          </w:p>
          <w:p w14:paraId="56517FB2" w14:textId="77777777" w:rsidR="002F6811" w:rsidRPr="008912CF" w:rsidRDefault="002F6811" w:rsidP="002F6811">
            <w:pPr>
              <w:widowControl w:val="0"/>
            </w:pPr>
          </w:p>
        </w:tc>
      </w:tr>
      <w:tr w:rsidR="00A7162A" w14:paraId="16DD33FA" w14:textId="77777777" w:rsidTr="002F6811">
        <w:tc>
          <w:tcPr>
            <w:tcW w:w="2514" w:type="dxa"/>
            <w:vMerge/>
          </w:tcPr>
          <w:p w14:paraId="0A6FB0E6" w14:textId="77777777" w:rsidR="002F6811" w:rsidRPr="008912CF" w:rsidRDefault="002F6811" w:rsidP="002F6811">
            <w:pPr>
              <w:widowControl w:val="0"/>
              <w:spacing w:before="144"/>
              <w:jc w:val="center"/>
              <w:rPr>
                <w:b/>
              </w:rPr>
            </w:pPr>
          </w:p>
        </w:tc>
        <w:tc>
          <w:tcPr>
            <w:tcW w:w="1996" w:type="dxa"/>
            <w:tcBorders>
              <w:top w:val="nil"/>
            </w:tcBorders>
          </w:tcPr>
          <w:p w14:paraId="79E215A2" w14:textId="77777777" w:rsidR="002F6811" w:rsidRPr="008912CF" w:rsidRDefault="00615769" w:rsidP="002F6811">
            <w:pPr>
              <w:pStyle w:val="EMEANormal"/>
              <w:widowControl w:val="0"/>
              <w:jc w:val="both"/>
              <w:rPr>
                <w:szCs w:val="22"/>
                <w:lang w:val="pt-PT"/>
              </w:rPr>
            </w:pPr>
            <w:r w:rsidRPr="008912CF">
              <w:rPr>
                <w:szCs w:val="22"/>
                <w:lang w:val="pt-PT"/>
              </w:rPr>
              <w:t>Raros</w:t>
            </w:r>
          </w:p>
        </w:tc>
        <w:tc>
          <w:tcPr>
            <w:tcW w:w="4346" w:type="dxa"/>
            <w:tcBorders>
              <w:top w:val="nil"/>
            </w:tcBorders>
          </w:tcPr>
          <w:p w14:paraId="7164DCE3" w14:textId="77777777" w:rsidR="002F6811" w:rsidRPr="008912CF" w:rsidRDefault="00615769" w:rsidP="002F6811">
            <w:pPr>
              <w:widowControl w:val="0"/>
            </w:pPr>
            <w:r>
              <w:rPr>
                <w:sz w:val="22"/>
                <w:szCs w:val="22"/>
              </w:rPr>
              <w:t>P</w:t>
            </w:r>
            <w:r w:rsidRPr="008912CF">
              <w:rPr>
                <w:sz w:val="22"/>
                <w:szCs w:val="22"/>
              </w:rPr>
              <w:t>ancitopenia</w:t>
            </w:r>
          </w:p>
          <w:p w14:paraId="457AE62D" w14:textId="77777777" w:rsidR="002F6811" w:rsidRPr="008912CF" w:rsidRDefault="002F6811" w:rsidP="002F6811">
            <w:pPr>
              <w:widowControl w:val="0"/>
            </w:pPr>
          </w:p>
        </w:tc>
      </w:tr>
      <w:tr w:rsidR="00A7162A" w14:paraId="34216932" w14:textId="77777777" w:rsidTr="002F6811">
        <w:tc>
          <w:tcPr>
            <w:tcW w:w="2514" w:type="dxa"/>
            <w:vMerge w:val="restart"/>
          </w:tcPr>
          <w:p w14:paraId="3F1FB950" w14:textId="77777777" w:rsidR="002F6811" w:rsidRPr="008912CF" w:rsidRDefault="00615769" w:rsidP="002F6811">
            <w:pPr>
              <w:pStyle w:val="EndnoteText"/>
              <w:widowControl w:val="0"/>
              <w:spacing w:before="60"/>
              <w:rPr>
                <w:szCs w:val="22"/>
              </w:rPr>
            </w:pPr>
            <w:r w:rsidRPr="008912CF">
              <w:rPr>
                <w:szCs w:val="22"/>
              </w:rPr>
              <w:t>Doenças do sistema imunitário *</w:t>
            </w:r>
          </w:p>
        </w:tc>
        <w:tc>
          <w:tcPr>
            <w:tcW w:w="1996" w:type="dxa"/>
            <w:tcBorders>
              <w:bottom w:val="nil"/>
            </w:tcBorders>
          </w:tcPr>
          <w:p w14:paraId="3F151472" w14:textId="77777777" w:rsidR="002F6811" w:rsidRPr="008912CF" w:rsidRDefault="00615769" w:rsidP="002F6811">
            <w:pPr>
              <w:pStyle w:val="EMEANormal"/>
              <w:widowControl w:val="0"/>
              <w:jc w:val="both"/>
              <w:rPr>
                <w:szCs w:val="22"/>
                <w:lang w:val="pt-PT"/>
              </w:rPr>
            </w:pPr>
            <w:r w:rsidRPr="008912CF">
              <w:rPr>
                <w:szCs w:val="22"/>
                <w:lang w:val="pt-PT"/>
              </w:rPr>
              <w:t>Frequentes</w:t>
            </w:r>
          </w:p>
          <w:p w14:paraId="26BE1FD9" w14:textId="77777777" w:rsidR="002F6811" w:rsidRPr="008912CF" w:rsidRDefault="002F6811" w:rsidP="002F6811">
            <w:pPr>
              <w:pStyle w:val="EndnoteText"/>
              <w:widowControl w:val="0"/>
              <w:spacing w:before="60"/>
              <w:rPr>
                <w:szCs w:val="22"/>
              </w:rPr>
            </w:pPr>
          </w:p>
        </w:tc>
        <w:tc>
          <w:tcPr>
            <w:tcW w:w="4346" w:type="dxa"/>
            <w:tcBorders>
              <w:bottom w:val="nil"/>
            </w:tcBorders>
          </w:tcPr>
          <w:p w14:paraId="66D897C7" w14:textId="77777777" w:rsidR="002F6811" w:rsidRPr="008912CF" w:rsidRDefault="00615769" w:rsidP="002F6811">
            <w:pPr>
              <w:pStyle w:val="EMEANormal"/>
              <w:rPr>
                <w:szCs w:val="22"/>
                <w:lang w:val="pt-PT"/>
              </w:rPr>
            </w:pPr>
            <w:r>
              <w:rPr>
                <w:szCs w:val="22"/>
                <w:lang w:val="pt-PT"/>
              </w:rPr>
              <w:t>H</w:t>
            </w:r>
            <w:r w:rsidRPr="008912CF">
              <w:rPr>
                <w:szCs w:val="22"/>
                <w:lang w:val="pt-PT"/>
              </w:rPr>
              <w:t>ipersensibilidade,</w:t>
            </w:r>
          </w:p>
          <w:p w14:paraId="1E43A63B" w14:textId="77777777" w:rsidR="002F6811" w:rsidRPr="008912CF" w:rsidRDefault="00615769" w:rsidP="002F6811">
            <w:r w:rsidRPr="008912CF">
              <w:rPr>
                <w:sz w:val="22"/>
                <w:szCs w:val="22"/>
              </w:rPr>
              <w:t>alergias (incluindo alergia sazonal)</w:t>
            </w:r>
          </w:p>
          <w:p w14:paraId="244CDF5B" w14:textId="77777777" w:rsidR="002F6811" w:rsidRPr="008912CF" w:rsidRDefault="002F6811" w:rsidP="002F6811"/>
        </w:tc>
      </w:tr>
      <w:tr w:rsidR="00A7162A" w14:paraId="7007402D" w14:textId="77777777" w:rsidTr="002F6811">
        <w:tc>
          <w:tcPr>
            <w:tcW w:w="2514" w:type="dxa"/>
            <w:vMerge/>
          </w:tcPr>
          <w:p w14:paraId="00CD736B" w14:textId="77777777" w:rsidR="002F6811" w:rsidRPr="008912CF" w:rsidRDefault="002F6811" w:rsidP="002F6811">
            <w:pPr>
              <w:pStyle w:val="EndnoteText"/>
              <w:widowControl w:val="0"/>
              <w:spacing w:before="60"/>
              <w:rPr>
                <w:szCs w:val="22"/>
              </w:rPr>
            </w:pPr>
          </w:p>
        </w:tc>
        <w:tc>
          <w:tcPr>
            <w:tcW w:w="1996" w:type="dxa"/>
            <w:tcBorders>
              <w:top w:val="nil"/>
              <w:bottom w:val="nil"/>
            </w:tcBorders>
          </w:tcPr>
          <w:p w14:paraId="64D17196" w14:textId="77777777" w:rsidR="002F6811" w:rsidRPr="008912CF" w:rsidRDefault="00615769" w:rsidP="002F6811">
            <w:pPr>
              <w:pStyle w:val="EMEANormal"/>
              <w:widowControl w:val="0"/>
              <w:jc w:val="both"/>
              <w:rPr>
                <w:szCs w:val="22"/>
                <w:lang w:val="pt-PT"/>
              </w:rPr>
            </w:pPr>
            <w:r w:rsidRPr="008912CF">
              <w:rPr>
                <w:szCs w:val="22"/>
                <w:lang w:val="pt-PT"/>
              </w:rPr>
              <w:t>Pouco frequentes</w:t>
            </w:r>
          </w:p>
        </w:tc>
        <w:tc>
          <w:tcPr>
            <w:tcW w:w="4346" w:type="dxa"/>
            <w:tcBorders>
              <w:top w:val="nil"/>
              <w:bottom w:val="nil"/>
            </w:tcBorders>
          </w:tcPr>
          <w:p w14:paraId="51FF7DA8" w14:textId="77777777" w:rsidR="002F6811" w:rsidRPr="00DF5632" w:rsidRDefault="00615769" w:rsidP="002F6811">
            <w:pPr>
              <w:pStyle w:val="EMEANormal"/>
              <w:rPr>
                <w:szCs w:val="22"/>
                <w:lang w:val="pt-PT"/>
              </w:rPr>
            </w:pPr>
            <w:r>
              <w:rPr>
                <w:szCs w:val="22"/>
                <w:lang w:val="pt-PT"/>
              </w:rPr>
              <w:t>S</w:t>
            </w:r>
            <w:r w:rsidRPr="008912CF">
              <w:rPr>
                <w:szCs w:val="22"/>
                <w:lang w:val="pt-PT"/>
              </w:rPr>
              <w:t>arcoidose</w:t>
            </w:r>
            <w:r w:rsidRPr="008912CF">
              <w:rPr>
                <w:szCs w:val="22"/>
                <w:vertAlign w:val="superscript"/>
                <w:lang w:val="pt-PT"/>
              </w:rPr>
              <w:t>1)</w:t>
            </w:r>
            <w:r w:rsidR="0090687D">
              <w:rPr>
                <w:szCs w:val="22"/>
                <w:lang w:val="pt-PT"/>
              </w:rPr>
              <w:t>,</w:t>
            </w:r>
          </w:p>
          <w:p w14:paraId="51846621" w14:textId="77777777" w:rsidR="002F6811" w:rsidRPr="008912CF" w:rsidRDefault="00615769" w:rsidP="002F6811">
            <w:pPr>
              <w:pStyle w:val="EMEANormal"/>
              <w:rPr>
                <w:szCs w:val="22"/>
                <w:lang w:val="pt-PT"/>
              </w:rPr>
            </w:pPr>
            <w:r w:rsidRPr="008912CF">
              <w:rPr>
                <w:szCs w:val="22"/>
                <w:lang w:val="pt-PT"/>
              </w:rPr>
              <w:t>vasculite</w:t>
            </w:r>
          </w:p>
          <w:p w14:paraId="5F4EE07F" w14:textId="77777777" w:rsidR="002F6811" w:rsidRPr="008912CF" w:rsidRDefault="002F6811" w:rsidP="002F6811">
            <w:pPr>
              <w:pStyle w:val="EMEANormal"/>
              <w:rPr>
                <w:szCs w:val="22"/>
                <w:lang w:val="pt-PT"/>
              </w:rPr>
            </w:pPr>
          </w:p>
        </w:tc>
      </w:tr>
      <w:tr w:rsidR="00A7162A" w14:paraId="777BBBEA" w14:textId="77777777" w:rsidTr="002F6811">
        <w:tc>
          <w:tcPr>
            <w:tcW w:w="2514" w:type="dxa"/>
            <w:vMerge/>
          </w:tcPr>
          <w:p w14:paraId="6135E898" w14:textId="77777777" w:rsidR="002F6811" w:rsidRPr="008912CF" w:rsidRDefault="002F6811" w:rsidP="002F6811">
            <w:pPr>
              <w:pStyle w:val="EndnoteText"/>
              <w:widowControl w:val="0"/>
              <w:spacing w:before="60"/>
              <w:rPr>
                <w:szCs w:val="22"/>
              </w:rPr>
            </w:pPr>
          </w:p>
        </w:tc>
        <w:tc>
          <w:tcPr>
            <w:tcW w:w="1996" w:type="dxa"/>
            <w:tcBorders>
              <w:top w:val="nil"/>
            </w:tcBorders>
          </w:tcPr>
          <w:p w14:paraId="6C28FEEF" w14:textId="77777777" w:rsidR="002F6811" w:rsidRPr="008912CF" w:rsidRDefault="00615769" w:rsidP="002F6811">
            <w:pPr>
              <w:pStyle w:val="EMEANormal"/>
              <w:widowControl w:val="0"/>
              <w:jc w:val="both"/>
              <w:rPr>
                <w:szCs w:val="22"/>
                <w:lang w:val="pt-PT"/>
              </w:rPr>
            </w:pPr>
            <w:r w:rsidRPr="008912CF">
              <w:rPr>
                <w:szCs w:val="22"/>
                <w:lang w:val="pt-PT"/>
              </w:rPr>
              <w:t>Raros</w:t>
            </w:r>
          </w:p>
        </w:tc>
        <w:tc>
          <w:tcPr>
            <w:tcW w:w="4346" w:type="dxa"/>
            <w:tcBorders>
              <w:top w:val="nil"/>
            </w:tcBorders>
          </w:tcPr>
          <w:p w14:paraId="7BC9105B" w14:textId="77777777" w:rsidR="002F6811" w:rsidRPr="008912CF" w:rsidRDefault="00615769" w:rsidP="002F6811">
            <w:pPr>
              <w:pStyle w:val="EMEANormal"/>
              <w:rPr>
                <w:szCs w:val="22"/>
                <w:vertAlign w:val="superscript"/>
                <w:lang w:val="pt-PT"/>
              </w:rPr>
            </w:pPr>
            <w:r>
              <w:rPr>
                <w:szCs w:val="22"/>
                <w:lang w:val="pt-PT"/>
              </w:rPr>
              <w:t>A</w:t>
            </w:r>
            <w:r w:rsidRPr="008912CF">
              <w:rPr>
                <w:szCs w:val="22"/>
                <w:lang w:val="pt-PT"/>
              </w:rPr>
              <w:t>nafilaxia</w:t>
            </w:r>
            <w:r w:rsidRPr="008912CF">
              <w:rPr>
                <w:szCs w:val="22"/>
                <w:vertAlign w:val="superscript"/>
                <w:lang w:val="pt-PT"/>
              </w:rPr>
              <w:t>1)</w:t>
            </w:r>
          </w:p>
          <w:p w14:paraId="6B8564DF" w14:textId="77777777" w:rsidR="002F6811" w:rsidRPr="008912CF" w:rsidRDefault="002F6811" w:rsidP="002F6811">
            <w:pPr>
              <w:pStyle w:val="EMEANormal"/>
              <w:rPr>
                <w:szCs w:val="22"/>
                <w:lang w:val="pt-PT"/>
              </w:rPr>
            </w:pPr>
          </w:p>
        </w:tc>
      </w:tr>
      <w:tr w:rsidR="00A7162A" w14:paraId="6214069C" w14:textId="77777777" w:rsidTr="0004619E">
        <w:tc>
          <w:tcPr>
            <w:tcW w:w="2514" w:type="dxa"/>
            <w:vMerge w:val="restart"/>
          </w:tcPr>
          <w:p w14:paraId="60E4F86A" w14:textId="77777777" w:rsidR="002F6811" w:rsidRPr="008912CF" w:rsidRDefault="00615769" w:rsidP="002F6811">
            <w:pPr>
              <w:pStyle w:val="EMEANormal"/>
              <w:widowControl w:val="0"/>
              <w:spacing w:before="60"/>
              <w:rPr>
                <w:szCs w:val="22"/>
                <w:lang w:val="pt-PT"/>
              </w:rPr>
            </w:pPr>
            <w:r w:rsidRPr="008912CF">
              <w:rPr>
                <w:szCs w:val="22"/>
                <w:lang w:val="pt-PT"/>
              </w:rPr>
              <w:t>Doenças do metabolismo e da nutrição</w:t>
            </w:r>
          </w:p>
        </w:tc>
        <w:tc>
          <w:tcPr>
            <w:tcW w:w="1996" w:type="dxa"/>
            <w:tcBorders>
              <w:bottom w:val="single" w:sz="4" w:space="0" w:color="auto"/>
            </w:tcBorders>
          </w:tcPr>
          <w:p w14:paraId="4B1AF6D0" w14:textId="77777777" w:rsidR="002F6811" w:rsidRPr="008912CF" w:rsidRDefault="00615769" w:rsidP="002F6811">
            <w:pPr>
              <w:pStyle w:val="EMEANormal"/>
              <w:widowControl w:val="0"/>
              <w:spacing w:before="60"/>
              <w:rPr>
                <w:szCs w:val="22"/>
                <w:lang w:val="pt-PT"/>
              </w:rPr>
            </w:pPr>
            <w:r w:rsidRPr="008912CF">
              <w:rPr>
                <w:szCs w:val="22"/>
                <w:lang w:val="pt-PT"/>
              </w:rPr>
              <w:t xml:space="preserve">Muito frequentes </w:t>
            </w:r>
          </w:p>
        </w:tc>
        <w:tc>
          <w:tcPr>
            <w:tcW w:w="4346" w:type="dxa"/>
            <w:tcBorders>
              <w:bottom w:val="single" w:sz="4" w:space="0" w:color="auto"/>
            </w:tcBorders>
          </w:tcPr>
          <w:p w14:paraId="647B7083" w14:textId="77777777" w:rsidR="002F6811" w:rsidRPr="008912CF" w:rsidRDefault="00615769" w:rsidP="002F6811">
            <w:pPr>
              <w:pStyle w:val="EMEANormal"/>
              <w:widowControl w:val="0"/>
              <w:spacing w:before="60"/>
              <w:rPr>
                <w:szCs w:val="22"/>
                <w:lang w:val="pt-PT"/>
              </w:rPr>
            </w:pPr>
            <w:r>
              <w:rPr>
                <w:szCs w:val="22"/>
                <w:lang w:val="pt-PT"/>
              </w:rPr>
              <w:t>A</w:t>
            </w:r>
            <w:r w:rsidRPr="008912CF">
              <w:rPr>
                <w:szCs w:val="22"/>
                <w:lang w:val="pt-PT"/>
              </w:rPr>
              <w:t>umento dos lípidos</w:t>
            </w:r>
          </w:p>
          <w:p w14:paraId="6E984175" w14:textId="77777777" w:rsidR="002F6811" w:rsidRPr="008912CF" w:rsidRDefault="002F6811" w:rsidP="002F6811">
            <w:pPr>
              <w:pStyle w:val="EMEANormal"/>
              <w:widowControl w:val="0"/>
              <w:spacing w:before="60"/>
              <w:rPr>
                <w:szCs w:val="22"/>
                <w:lang w:val="pt-PT"/>
              </w:rPr>
            </w:pPr>
          </w:p>
        </w:tc>
      </w:tr>
      <w:tr w:rsidR="00A7162A" w14:paraId="4D7BB6FD" w14:textId="77777777" w:rsidTr="0004619E">
        <w:tc>
          <w:tcPr>
            <w:tcW w:w="2514" w:type="dxa"/>
            <w:vMerge/>
          </w:tcPr>
          <w:p w14:paraId="354E7819" w14:textId="77777777" w:rsidR="002F6811" w:rsidRPr="008912CF" w:rsidRDefault="002F6811" w:rsidP="002F6811">
            <w:pPr>
              <w:pStyle w:val="EMEANormal"/>
              <w:widowControl w:val="0"/>
              <w:spacing w:before="60"/>
              <w:rPr>
                <w:szCs w:val="22"/>
                <w:lang w:val="pt-PT"/>
              </w:rPr>
            </w:pPr>
          </w:p>
        </w:tc>
        <w:tc>
          <w:tcPr>
            <w:tcW w:w="1996" w:type="dxa"/>
            <w:tcBorders>
              <w:top w:val="single" w:sz="4" w:space="0" w:color="auto"/>
              <w:bottom w:val="single" w:sz="4" w:space="0" w:color="auto"/>
            </w:tcBorders>
          </w:tcPr>
          <w:p w14:paraId="1E62205D" w14:textId="77777777" w:rsidR="002F6811" w:rsidRPr="008912CF" w:rsidRDefault="00615769" w:rsidP="002F6811">
            <w:pPr>
              <w:pStyle w:val="EMEANormal"/>
              <w:widowControl w:val="0"/>
              <w:spacing w:before="60"/>
              <w:rPr>
                <w:szCs w:val="22"/>
                <w:lang w:val="pt-PT"/>
              </w:rPr>
            </w:pPr>
            <w:r w:rsidRPr="008912CF">
              <w:rPr>
                <w:szCs w:val="22"/>
                <w:lang w:val="pt-PT"/>
              </w:rPr>
              <w:t>Frequentes</w:t>
            </w:r>
          </w:p>
          <w:p w14:paraId="35805BFD" w14:textId="77777777" w:rsidR="002F6811" w:rsidRPr="008912CF" w:rsidRDefault="002F6811" w:rsidP="002F6811">
            <w:pPr>
              <w:pStyle w:val="EMEANormal"/>
              <w:widowControl w:val="0"/>
              <w:spacing w:before="60"/>
              <w:rPr>
                <w:szCs w:val="22"/>
                <w:lang w:val="pt-PT"/>
              </w:rPr>
            </w:pPr>
          </w:p>
          <w:p w14:paraId="1855C856" w14:textId="77777777" w:rsidR="002F6811" w:rsidRPr="008912CF" w:rsidRDefault="002F6811" w:rsidP="002F6811">
            <w:pPr>
              <w:pStyle w:val="EMEANormal"/>
              <w:widowControl w:val="0"/>
              <w:spacing w:before="60"/>
              <w:rPr>
                <w:szCs w:val="22"/>
                <w:lang w:val="pt-PT"/>
              </w:rPr>
            </w:pPr>
          </w:p>
          <w:p w14:paraId="2DF35366" w14:textId="77777777" w:rsidR="002F6811" w:rsidRPr="008912CF" w:rsidRDefault="002F6811" w:rsidP="002F6811">
            <w:pPr>
              <w:pStyle w:val="EMEANormal"/>
              <w:widowControl w:val="0"/>
              <w:spacing w:before="60"/>
              <w:rPr>
                <w:szCs w:val="22"/>
                <w:lang w:val="pt-PT"/>
              </w:rPr>
            </w:pPr>
          </w:p>
          <w:p w14:paraId="6AD346D2" w14:textId="77777777" w:rsidR="002F6811" w:rsidRPr="008912CF" w:rsidRDefault="002F6811" w:rsidP="002F6811">
            <w:pPr>
              <w:pStyle w:val="EMEANormal"/>
              <w:widowControl w:val="0"/>
              <w:spacing w:before="60"/>
              <w:rPr>
                <w:szCs w:val="22"/>
                <w:lang w:val="pt-PT"/>
              </w:rPr>
            </w:pPr>
          </w:p>
          <w:p w14:paraId="4650CD2A" w14:textId="77777777" w:rsidR="002F6811" w:rsidRPr="008912CF" w:rsidRDefault="002F6811" w:rsidP="002F6811">
            <w:pPr>
              <w:pStyle w:val="EMEANormal"/>
              <w:widowControl w:val="0"/>
              <w:spacing w:before="60"/>
              <w:rPr>
                <w:szCs w:val="22"/>
                <w:lang w:val="pt-PT"/>
              </w:rPr>
            </w:pPr>
          </w:p>
          <w:p w14:paraId="24DBAD3C" w14:textId="77777777" w:rsidR="002F6811" w:rsidRPr="008912CF" w:rsidRDefault="002F6811" w:rsidP="002F6811">
            <w:pPr>
              <w:pStyle w:val="EMEANormal"/>
              <w:widowControl w:val="0"/>
              <w:spacing w:before="60"/>
              <w:rPr>
                <w:szCs w:val="22"/>
                <w:lang w:val="pt-PT"/>
              </w:rPr>
            </w:pPr>
          </w:p>
        </w:tc>
        <w:tc>
          <w:tcPr>
            <w:tcW w:w="4346" w:type="dxa"/>
            <w:tcBorders>
              <w:top w:val="single" w:sz="4" w:space="0" w:color="auto"/>
              <w:bottom w:val="single" w:sz="4" w:space="0" w:color="auto"/>
            </w:tcBorders>
          </w:tcPr>
          <w:p w14:paraId="1A919CA2" w14:textId="77777777" w:rsidR="002F6811" w:rsidRPr="008912CF" w:rsidRDefault="00615769" w:rsidP="002F6811">
            <w:pPr>
              <w:pStyle w:val="EMEANormal"/>
              <w:widowControl w:val="0"/>
              <w:spacing w:before="60"/>
              <w:rPr>
                <w:szCs w:val="22"/>
                <w:lang w:val="pt-PT"/>
              </w:rPr>
            </w:pPr>
            <w:r>
              <w:rPr>
                <w:szCs w:val="22"/>
                <w:lang w:val="pt-PT"/>
              </w:rPr>
              <w:t>H</w:t>
            </w:r>
            <w:r w:rsidRPr="008912CF">
              <w:rPr>
                <w:szCs w:val="22"/>
                <w:lang w:val="pt-PT"/>
              </w:rPr>
              <w:t xml:space="preserve">ipocaliemia, </w:t>
            </w:r>
          </w:p>
          <w:p w14:paraId="5F32B16A" w14:textId="77777777" w:rsidR="002F6811" w:rsidRPr="008912CF" w:rsidRDefault="00615769" w:rsidP="002F6811">
            <w:pPr>
              <w:pStyle w:val="EMEANormal"/>
              <w:widowControl w:val="0"/>
              <w:spacing w:before="60"/>
              <w:rPr>
                <w:szCs w:val="22"/>
                <w:lang w:val="pt-PT"/>
              </w:rPr>
            </w:pPr>
            <w:r w:rsidRPr="008912CF">
              <w:rPr>
                <w:szCs w:val="22"/>
                <w:lang w:val="pt-PT"/>
              </w:rPr>
              <w:t>aumento do ácido úrico,</w:t>
            </w:r>
          </w:p>
          <w:p w14:paraId="36CD230C" w14:textId="77777777" w:rsidR="002F6811" w:rsidRPr="008912CF" w:rsidRDefault="00615769" w:rsidP="002F6811">
            <w:pPr>
              <w:pStyle w:val="EMEANormal"/>
              <w:widowControl w:val="0"/>
              <w:spacing w:before="60"/>
              <w:rPr>
                <w:szCs w:val="22"/>
                <w:lang w:val="pt-PT"/>
              </w:rPr>
            </w:pPr>
            <w:r w:rsidRPr="008912CF">
              <w:rPr>
                <w:szCs w:val="22"/>
                <w:lang w:val="pt-PT"/>
              </w:rPr>
              <w:t xml:space="preserve">nível de sódio anormal, </w:t>
            </w:r>
          </w:p>
          <w:p w14:paraId="76C660A4" w14:textId="77777777" w:rsidR="002F6811" w:rsidRPr="008912CF" w:rsidRDefault="00615769" w:rsidP="002F6811">
            <w:pPr>
              <w:pStyle w:val="EMEANormal"/>
              <w:widowControl w:val="0"/>
              <w:spacing w:before="60"/>
              <w:rPr>
                <w:szCs w:val="22"/>
                <w:lang w:val="pt-PT"/>
              </w:rPr>
            </w:pPr>
            <w:r w:rsidRPr="008912CF">
              <w:rPr>
                <w:szCs w:val="22"/>
                <w:lang w:val="pt-PT"/>
              </w:rPr>
              <w:t>hipocalcemia,</w:t>
            </w:r>
          </w:p>
          <w:p w14:paraId="33767940" w14:textId="77777777" w:rsidR="002F6811" w:rsidRPr="008912CF" w:rsidRDefault="00615769" w:rsidP="002F6811">
            <w:pPr>
              <w:pStyle w:val="EMEANormal"/>
              <w:widowControl w:val="0"/>
              <w:spacing w:before="60"/>
              <w:rPr>
                <w:szCs w:val="22"/>
                <w:lang w:val="pt-PT"/>
              </w:rPr>
            </w:pPr>
            <w:r w:rsidRPr="008912CF">
              <w:rPr>
                <w:szCs w:val="22"/>
                <w:lang w:val="pt-PT"/>
              </w:rPr>
              <w:t>hiperglicemia,</w:t>
            </w:r>
          </w:p>
          <w:p w14:paraId="631667E3" w14:textId="77777777" w:rsidR="002F6811" w:rsidRPr="008912CF" w:rsidRDefault="00615769" w:rsidP="002F6811">
            <w:pPr>
              <w:pStyle w:val="EMEANormal"/>
              <w:widowControl w:val="0"/>
              <w:spacing w:before="60"/>
              <w:rPr>
                <w:szCs w:val="22"/>
                <w:lang w:val="pt-PT"/>
              </w:rPr>
            </w:pPr>
            <w:r w:rsidRPr="008912CF">
              <w:rPr>
                <w:szCs w:val="22"/>
                <w:lang w:val="pt-PT"/>
              </w:rPr>
              <w:t>hipofosfatemia,</w:t>
            </w:r>
          </w:p>
          <w:p w14:paraId="6D9C4EEC" w14:textId="77777777" w:rsidR="002F6811" w:rsidRPr="008912CF" w:rsidRDefault="00615769" w:rsidP="002F6811">
            <w:pPr>
              <w:pStyle w:val="EMEANormal"/>
              <w:rPr>
                <w:szCs w:val="22"/>
                <w:lang w:val="pt-PT"/>
              </w:rPr>
            </w:pPr>
            <w:r w:rsidRPr="008912CF">
              <w:rPr>
                <w:szCs w:val="22"/>
                <w:lang w:val="pt-PT"/>
              </w:rPr>
              <w:t>desidratação</w:t>
            </w:r>
          </w:p>
          <w:p w14:paraId="208C9D50" w14:textId="77777777" w:rsidR="002F6811" w:rsidRPr="008912CF" w:rsidRDefault="002F6811" w:rsidP="002F6811">
            <w:pPr>
              <w:pStyle w:val="EMEANormal"/>
              <w:rPr>
                <w:szCs w:val="22"/>
                <w:lang w:val="pt-PT"/>
              </w:rPr>
            </w:pPr>
          </w:p>
        </w:tc>
      </w:tr>
      <w:tr w:rsidR="00A7162A" w14:paraId="24287520" w14:textId="77777777" w:rsidTr="0004619E">
        <w:tc>
          <w:tcPr>
            <w:tcW w:w="2514" w:type="dxa"/>
          </w:tcPr>
          <w:p w14:paraId="1E27F934" w14:textId="77777777" w:rsidR="002F6811" w:rsidRPr="008912CF" w:rsidRDefault="00615769" w:rsidP="002F6811">
            <w:pPr>
              <w:pStyle w:val="EMEANormal"/>
              <w:widowControl w:val="0"/>
              <w:spacing w:before="60"/>
              <w:rPr>
                <w:szCs w:val="22"/>
                <w:lang w:val="pt-PT"/>
              </w:rPr>
            </w:pPr>
            <w:r w:rsidRPr="008912CF">
              <w:rPr>
                <w:sz w:val="24"/>
                <w:szCs w:val="24"/>
                <w:lang w:val="pt-PT"/>
              </w:rPr>
              <w:br w:type="page"/>
            </w:r>
            <w:r w:rsidRPr="008912CF">
              <w:rPr>
                <w:sz w:val="24"/>
                <w:szCs w:val="24"/>
                <w:lang w:val="pt-PT"/>
              </w:rPr>
              <w:br w:type="page"/>
            </w:r>
            <w:r w:rsidRPr="008912CF">
              <w:rPr>
                <w:szCs w:val="22"/>
                <w:lang w:val="pt-PT"/>
              </w:rPr>
              <w:t>Perturbações do foro psiquiátrico</w:t>
            </w:r>
          </w:p>
        </w:tc>
        <w:tc>
          <w:tcPr>
            <w:tcW w:w="1996" w:type="dxa"/>
            <w:tcBorders>
              <w:top w:val="single" w:sz="4" w:space="0" w:color="auto"/>
            </w:tcBorders>
          </w:tcPr>
          <w:p w14:paraId="7E900BF0" w14:textId="77777777" w:rsidR="002F6811" w:rsidRPr="008912CF" w:rsidRDefault="00615769" w:rsidP="002F6811">
            <w:pPr>
              <w:pStyle w:val="EMEANormal"/>
              <w:widowControl w:val="0"/>
              <w:spacing w:before="60"/>
              <w:rPr>
                <w:szCs w:val="22"/>
                <w:lang w:val="pt-PT"/>
              </w:rPr>
            </w:pPr>
            <w:r w:rsidRPr="008912CF">
              <w:rPr>
                <w:szCs w:val="22"/>
                <w:lang w:val="pt-PT"/>
              </w:rPr>
              <w:t>Frequentes</w:t>
            </w:r>
          </w:p>
          <w:p w14:paraId="77270466" w14:textId="77777777" w:rsidR="002F6811" w:rsidRPr="008912CF" w:rsidRDefault="002F6811" w:rsidP="002F6811">
            <w:pPr>
              <w:pStyle w:val="EMEANormal"/>
              <w:widowControl w:val="0"/>
              <w:spacing w:before="60"/>
              <w:rPr>
                <w:szCs w:val="22"/>
                <w:lang w:val="pt-PT"/>
              </w:rPr>
            </w:pPr>
          </w:p>
        </w:tc>
        <w:tc>
          <w:tcPr>
            <w:tcW w:w="4346" w:type="dxa"/>
            <w:tcBorders>
              <w:top w:val="single" w:sz="4" w:space="0" w:color="auto"/>
            </w:tcBorders>
          </w:tcPr>
          <w:p w14:paraId="2EE0B3F8" w14:textId="77777777" w:rsidR="002F6811" w:rsidRPr="008912CF" w:rsidRDefault="00615769" w:rsidP="002F6811">
            <w:pPr>
              <w:pStyle w:val="EMEANormal"/>
              <w:widowControl w:val="0"/>
              <w:spacing w:before="60"/>
              <w:rPr>
                <w:szCs w:val="22"/>
                <w:lang w:val="pt-PT"/>
              </w:rPr>
            </w:pPr>
            <w:r>
              <w:rPr>
                <w:szCs w:val="22"/>
                <w:lang w:val="pt-PT"/>
              </w:rPr>
              <w:t>A</w:t>
            </w:r>
            <w:r w:rsidRPr="008912CF">
              <w:rPr>
                <w:szCs w:val="22"/>
                <w:lang w:val="pt-PT"/>
              </w:rPr>
              <w:t xml:space="preserve">lterações de humor (incluindo depressão), ansiedade, </w:t>
            </w:r>
          </w:p>
          <w:p w14:paraId="7D64EEC2" w14:textId="77777777" w:rsidR="002F6811" w:rsidRPr="008912CF" w:rsidRDefault="00615769" w:rsidP="002F6811">
            <w:pPr>
              <w:pStyle w:val="EMEANormal"/>
              <w:widowControl w:val="0"/>
              <w:spacing w:before="60"/>
              <w:rPr>
                <w:szCs w:val="22"/>
                <w:lang w:val="pt-PT"/>
              </w:rPr>
            </w:pPr>
            <w:r w:rsidRPr="008912CF">
              <w:rPr>
                <w:szCs w:val="22"/>
                <w:lang w:val="pt-PT"/>
              </w:rPr>
              <w:t>insónia</w:t>
            </w:r>
          </w:p>
        </w:tc>
      </w:tr>
      <w:tr w:rsidR="00A7162A" w14:paraId="6C85BE3F" w14:textId="77777777" w:rsidTr="002F6811">
        <w:tc>
          <w:tcPr>
            <w:tcW w:w="2514" w:type="dxa"/>
            <w:vMerge w:val="restart"/>
          </w:tcPr>
          <w:p w14:paraId="3F220EC9" w14:textId="77777777" w:rsidR="002F6811" w:rsidRPr="008912CF" w:rsidRDefault="00615769" w:rsidP="002F6811">
            <w:pPr>
              <w:pStyle w:val="EMEANormal"/>
              <w:widowControl w:val="0"/>
              <w:spacing w:before="60"/>
              <w:rPr>
                <w:szCs w:val="22"/>
                <w:lang w:val="pt-PT"/>
              </w:rPr>
            </w:pPr>
            <w:r w:rsidRPr="008912CF">
              <w:rPr>
                <w:sz w:val="24"/>
                <w:szCs w:val="24"/>
                <w:lang w:val="pt-PT"/>
              </w:rPr>
              <w:br w:type="page"/>
            </w:r>
            <w:r w:rsidRPr="008912CF">
              <w:rPr>
                <w:szCs w:val="22"/>
                <w:lang w:val="pt-PT"/>
              </w:rPr>
              <w:t>Doenças do sistema nervoso *</w:t>
            </w:r>
          </w:p>
        </w:tc>
        <w:tc>
          <w:tcPr>
            <w:tcW w:w="1996" w:type="dxa"/>
            <w:tcBorders>
              <w:bottom w:val="nil"/>
            </w:tcBorders>
          </w:tcPr>
          <w:p w14:paraId="189E1DC6" w14:textId="77777777" w:rsidR="002F6811" w:rsidRPr="008912CF" w:rsidRDefault="00615769" w:rsidP="002F6811">
            <w:pPr>
              <w:pStyle w:val="EMEANormal"/>
              <w:widowControl w:val="0"/>
              <w:spacing w:before="60"/>
              <w:rPr>
                <w:szCs w:val="22"/>
                <w:lang w:val="pt-PT"/>
              </w:rPr>
            </w:pPr>
            <w:r w:rsidRPr="008912CF">
              <w:rPr>
                <w:szCs w:val="22"/>
                <w:lang w:val="pt-PT"/>
              </w:rPr>
              <w:t xml:space="preserve">Muito frequentes </w:t>
            </w:r>
          </w:p>
        </w:tc>
        <w:tc>
          <w:tcPr>
            <w:tcW w:w="4346" w:type="dxa"/>
            <w:tcBorders>
              <w:bottom w:val="nil"/>
            </w:tcBorders>
          </w:tcPr>
          <w:p w14:paraId="04E8E5DD" w14:textId="77777777" w:rsidR="002F6811" w:rsidRPr="008912CF" w:rsidRDefault="00615769" w:rsidP="002F6811">
            <w:pPr>
              <w:pStyle w:val="EMEANormal"/>
              <w:widowControl w:val="0"/>
              <w:spacing w:before="60"/>
              <w:rPr>
                <w:szCs w:val="22"/>
                <w:lang w:val="pt-PT"/>
              </w:rPr>
            </w:pPr>
            <w:r>
              <w:rPr>
                <w:szCs w:val="22"/>
                <w:lang w:val="pt-PT"/>
              </w:rPr>
              <w:t>C</w:t>
            </w:r>
            <w:r w:rsidRPr="008912CF">
              <w:rPr>
                <w:szCs w:val="22"/>
                <w:lang w:val="pt-PT"/>
              </w:rPr>
              <w:t>efaleias</w:t>
            </w:r>
          </w:p>
          <w:p w14:paraId="75C6F3D9" w14:textId="77777777" w:rsidR="002F6811" w:rsidRPr="008912CF" w:rsidRDefault="002F6811" w:rsidP="002F6811">
            <w:pPr>
              <w:pStyle w:val="EMEANormal"/>
              <w:widowControl w:val="0"/>
              <w:spacing w:before="60"/>
              <w:rPr>
                <w:szCs w:val="22"/>
                <w:lang w:val="pt-PT"/>
              </w:rPr>
            </w:pPr>
          </w:p>
        </w:tc>
      </w:tr>
      <w:tr w:rsidR="00A7162A" w14:paraId="69199F19" w14:textId="77777777" w:rsidTr="002F6811">
        <w:tc>
          <w:tcPr>
            <w:tcW w:w="2514" w:type="dxa"/>
            <w:vMerge/>
          </w:tcPr>
          <w:p w14:paraId="61E05ECF" w14:textId="77777777" w:rsidR="002F6811" w:rsidRPr="008912CF" w:rsidRDefault="002F6811" w:rsidP="002F6811">
            <w:pPr>
              <w:pStyle w:val="EMEANormal"/>
              <w:widowControl w:val="0"/>
              <w:spacing w:before="60"/>
              <w:rPr>
                <w:szCs w:val="22"/>
                <w:lang w:val="pt-PT"/>
              </w:rPr>
            </w:pPr>
          </w:p>
        </w:tc>
        <w:tc>
          <w:tcPr>
            <w:tcW w:w="1996" w:type="dxa"/>
            <w:tcBorders>
              <w:top w:val="nil"/>
              <w:bottom w:val="nil"/>
            </w:tcBorders>
          </w:tcPr>
          <w:p w14:paraId="77A22900" w14:textId="77777777" w:rsidR="002F6811" w:rsidRPr="008912CF" w:rsidRDefault="00615769" w:rsidP="002F6811">
            <w:pPr>
              <w:pStyle w:val="EMEANormal"/>
              <w:widowControl w:val="0"/>
              <w:spacing w:before="60"/>
              <w:rPr>
                <w:szCs w:val="22"/>
                <w:lang w:val="pt-PT"/>
              </w:rPr>
            </w:pPr>
            <w:r w:rsidRPr="008912CF">
              <w:rPr>
                <w:szCs w:val="22"/>
                <w:lang w:val="pt-PT"/>
              </w:rPr>
              <w:t>Frequentes</w:t>
            </w:r>
          </w:p>
          <w:p w14:paraId="230BE43B" w14:textId="77777777" w:rsidR="002F6811" w:rsidRPr="008912CF" w:rsidRDefault="002F6811" w:rsidP="002F6811">
            <w:pPr>
              <w:pStyle w:val="EMEANormal"/>
              <w:widowControl w:val="0"/>
              <w:spacing w:before="60"/>
              <w:rPr>
                <w:szCs w:val="22"/>
                <w:lang w:val="pt-PT"/>
              </w:rPr>
            </w:pPr>
          </w:p>
        </w:tc>
        <w:tc>
          <w:tcPr>
            <w:tcW w:w="4346" w:type="dxa"/>
            <w:tcBorders>
              <w:top w:val="nil"/>
              <w:bottom w:val="nil"/>
            </w:tcBorders>
          </w:tcPr>
          <w:p w14:paraId="1A3F6F65" w14:textId="77777777" w:rsidR="002F6811" w:rsidRPr="008912CF" w:rsidRDefault="00615769" w:rsidP="002F6811">
            <w:pPr>
              <w:pStyle w:val="EMEANormal"/>
              <w:widowControl w:val="0"/>
              <w:spacing w:before="60"/>
              <w:rPr>
                <w:szCs w:val="22"/>
                <w:lang w:val="pt-PT"/>
              </w:rPr>
            </w:pPr>
            <w:r>
              <w:rPr>
                <w:szCs w:val="22"/>
                <w:lang w:val="pt-PT"/>
              </w:rPr>
              <w:t>P</w:t>
            </w:r>
            <w:r w:rsidRPr="008912CF">
              <w:rPr>
                <w:szCs w:val="22"/>
                <w:lang w:val="pt-PT"/>
              </w:rPr>
              <w:t>arestesias (incluindo hipo</w:t>
            </w:r>
            <w:r w:rsidR="00D9472B">
              <w:rPr>
                <w:szCs w:val="22"/>
                <w:lang w:val="pt-PT"/>
              </w:rPr>
              <w:t>e</w:t>
            </w:r>
            <w:r w:rsidRPr="008912CF">
              <w:rPr>
                <w:szCs w:val="22"/>
                <w:lang w:val="pt-PT"/>
              </w:rPr>
              <w:t>stesia),</w:t>
            </w:r>
          </w:p>
          <w:p w14:paraId="0EA145DE" w14:textId="77777777" w:rsidR="002F6811" w:rsidRPr="008912CF" w:rsidRDefault="00615769" w:rsidP="002F6811">
            <w:pPr>
              <w:pStyle w:val="EMEANormal"/>
              <w:widowControl w:val="0"/>
              <w:spacing w:before="60"/>
              <w:rPr>
                <w:szCs w:val="22"/>
                <w:lang w:val="pt-PT"/>
              </w:rPr>
            </w:pPr>
            <w:r w:rsidRPr="008912CF">
              <w:rPr>
                <w:szCs w:val="22"/>
                <w:lang w:val="pt-PT"/>
              </w:rPr>
              <w:t>enxaqueca,</w:t>
            </w:r>
          </w:p>
          <w:p w14:paraId="5C0216C2" w14:textId="77777777" w:rsidR="002F6811" w:rsidRPr="008912CF" w:rsidRDefault="00615769" w:rsidP="002F6811">
            <w:pPr>
              <w:pStyle w:val="EMEANormal"/>
              <w:rPr>
                <w:szCs w:val="22"/>
                <w:lang w:val="pt-PT"/>
              </w:rPr>
            </w:pPr>
            <w:r w:rsidRPr="008912CF">
              <w:rPr>
                <w:szCs w:val="22"/>
                <w:lang w:val="pt-PT"/>
              </w:rPr>
              <w:t>compressão da raiz nervosa</w:t>
            </w:r>
          </w:p>
          <w:p w14:paraId="57300AC2" w14:textId="77777777" w:rsidR="002F6811" w:rsidRPr="008912CF" w:rsidRDefault="002F6811" w:rsidP="002F6811">
            <w:pPr>
              <w:pStyle w:val="EMEANormal"/>
              <w:rPr>
                <w:szCs w:val="22"/>
                <w:highlight w:val="yellow"/>
                <w:lang w:val="pt-PT"/>
              </w:rPr>
            </w:pPr>
          </w:p>
        </w:tc>
      </w:tr>
      <w:tr w:rsidR="00A7162A" w14:paraId="31A3B015" w14:textId="77777777" w:rsidTr="002F6811">
        <w:tc>
          <w:tcPr>
            <w:tcW w:w="2514" w:type="dxa"/>
            <w:vMerge/>
          </w:tcPr>
          <w:p w14:paraId="16F96E22" w14:textId="77777777" w:rsidR="002F6811" w:rsidRPr="008912CF" w:rsidRDefault="002F6811" w:rsidP="002F6811">
            <w:pPr>
              <w:widowControl w:val="0"/>
              <w:spacing w:before="60"/>
              <w:jc w:val="center"/>
              <w:rPr>
                <w:b/>
              </w:rPr>
            </w:pPr>
          </w:p>
        </w:tc>
        <w:tc>
          <w:tcPr>
            <w:tcW w:w="1996" w:type="dxa"/>
            <w:tcBorders>
              <w:top w:val="nil"/>
              <w:bottom w:val="nil"/>
            </w:tcBorders>
          </w:tcPr>
          <w:p w14:paraId="7A02BEFA" w14:textId="77777777" w:rsidR="002F6811" w:rsidRPr="008912CF" w:rsidRDefault="00615769" w:rsidP="002F6811">
            <w:pPr>
              <w:pStyle w:val="EMEANormal"/>
              <w:widowControl w:val="0"/>
              <w:rPr>
                <w:szCs w:val="22"/>
                <w:lang w:val="pt-PT"/>
              </w:rPr>
            </w:pPr>
            <w:r w:rsidRPr="008912CF">
              <w:rPr>
                <w:szCs w:val="22"/>
                <w:lang w:val="pt-PT"/>
              </w:rPr>
              <w:t>Pouco frequentes</w:t>
            </w:r>
          </w:p>
          <w:p w14:paraId="5665789A" w14:textId="77777777" w:rsidR="002F6811" w:rsidRPr="008912CF" w:rsidRDefault="002F6811" w:rsidP="002F6811">
            <w:pPr>
              <w:pStyle w:val="EMEANormal"/>
              <w:widowControl w:val="0"/>
              <w:rPr>
                <w:szCs w:val="22"/>
                <w:lang w:val="pt-PT"/>
              </w:rPr>
            </w:pPr>
          </w:p>
        </w:tc>
        <w:tc>
          <w:tcPr>
            <w:tcW w:w="4346" w:type="dxa"/>
            <w:tcBorders>
              <w:top w:val="nil"/>
              <w:bottom w:val="nil"/>
            </w:tcBorders>
          </w:tcPr>
          <w:p w14:paraId="0DD0887C" w14:textId="77777777" w:rsidR="002F6811" w:rsidRPr="008912CF" w:rsidRDefault="00615769" w:rsidP="002F6811">
            <w:pPr>
              <w:pStyle w:val="EMEANormal"/>
              <w:widowControl w:val="0"/>
              <w:rPr>
                <w:szCs w:val="22"/>
                <w:lang w:val="pt-PT"/>
              </w:rPr>
            </w:pPr>
            <w:r>
              <w:rPr>
                <w:szCs w:val="22"/>
                <w:lang w:val="pt-PT"/>
              </w:rPr>
              <w:t>A</w:t>
            </w:r>
            <w:r w:rsidRPr="008912CF">
              <w:rPr>
                <w:szCs w:val="22"/>
                <w:lang w:val="pt-PT"/>
              </w:rPr>
              <w:t>cidente vascular</w:t>
            </w:r>
            <w:r w:rsidR="003E3AA9">
              <w:rPr>
                <w:szCs w:val="22"/>
                <w:lang w:val="pt-PT"/>
              </w:rPr>
              <w:t xml:space="preserve"> cerebral</w:t>
            </w:r>
            <w:r w:rsidRPr="008912CF">
              <w:rPr>
                <w:szCs w:val="22"/>
                <w:vertAlign w:val="superscript"/>
                <w:lang w:val="pt-PT"/>
              </w:rPr>
              <w:t>1)</w:t>
            </w:r>
            <w:r w:rsidRPr="008912CF">
              <w:rPr>
                <w:szCs w:val="22"/>
                <w:lang w:val="pt-PT"/>
              </w:rPr>
              <w:t>,</w:t>
            </w:r>
          </w:p>
          <w:p w14:paraId="1410BD0A" w14:textId="77777777" w:rsidR="002F6811" w:rsidRPr="008912CF" w:rsidRDefault="00615769" w:rsidP="002F6811">
            <w:pPr>
              <w:pStyle w:val="EMEANormal"/>
              <w:widowControl w:val="0"/>
              <w:rPr>
                <w:szCs w:val="22"/>
                <w:lang w:val="pt-PT"/>
              </w:rPr>
            </w:pPr>
            <w:r w:rsidRPr="008912CF">
              <w:rPr>
                <w:szCs w:val="22"/>
                <w:lang w:val="pt-PT"/>
              </w:rPr>
              <w:t>tremor,</w:t>
            </w:r>
          </w:p>
          <w:p w14:paraId="6130E0C1" w14:textId="77777777" w:rsidR="002F6811" w:rsidRPr="008912CF" w:rsidRDefault="00615769" w:rsidP="002F6811">
            <w:pPr>
              <w:pStyle w:val="EMEANormal"/>
              <w:widowControl w:val="0"/>
              <w:rPr>
                <w:szCs w:val="22"/>
                <w:lang w:val="pt-PT"/>
              </w:rPr>
            </w:pPr>
            <w:r w:rsidRPr="008912CF">
              <w:rPr>
                <w:szCs w:val="22"/>
                <w:lang w:val="pt-PT"/>
              </w:rPr>
              <w:t>neuropatia</w:t>
            </w:r>
          </w:p>
          <w:p w14:paraId="2B2B27D4" w14:textId="77777777" w:rsidR="002F6811" w:rsidRPr="008912CF" w:rsidRDefault="00615769" w:rsidP="002F6811">
            <w:pPr>
              <w:pStyle w:val="EMEANormal"/>
              <w:widowControl w:val="0"/>
              <w:rPr>
                <w:szCs w:val="22"/>
                <w:lang w:val="pt-PT"/>
              </w:rPr>
            </w:pPr>
            <w:r w:rsidRPr="008912CF">
              <w:rPr>
                <w:szCs w:val="22"/>
                <w:lang w:val="pt-PT"/>
              </w:rPr>
              <w:t xml:space="preserve"> </w:t>
            </w:r>
          </w:p>
        </w:tc>
      </w:tr>
      <w:tr w:rsidR="00A7162A" w14:paraId="134D854A" w14:textId="77777777" w:rsidTr="002F6811">
        <w:tc>
          <w:tcPr>
            <w:tcW w:w="2514" w:type="dxa"/>
            <w:vMerge/>
          </w:tcPr>
          <w:p w14:paraId="6FA6D4B7" w14:textId="77777777" w:rsidR="002F6811" w:rsidRPr="008912CF" w:rsidRDefault="002F6811" w:rsidP="002F6811">
            <w:pPr>
              <w:widowControl w:val="0"/>
              <w:spacing w:before="60"/>
              <w:jc w:val="center"/>
              <w:rPr>
                <w:b/>
              </w:rPr>
            </w:pPr>
          </w:p>
        </w:tc>
        <w:tc>
          <w:tcPr>
            <w:tcW w:w="1996" w:type="dxa"/>
            <w:tcBorders>
              <w:top w:val="nil"/>
            </w:tcBorders>
          </w:tcPr>
          <w:p w14:paraId="6E3B6E6F" w14:textId="77777777" w:rsidR="002F6811" w:rsidRPr="008912CF" w:rsidRDefault="00615769" w:rsidP="002F6811">
            <w:pPr>
              <w:pStyle w:val="EMEANormal"/>
              <w:widowControl w:val="0"/>
              <w:rPr>
                <w:szCs w:val="22"/>
                <w:lang w:val="pt-PT"/>
              </w:rPr>
            </w:pPr>
            <w:r w:rsidRPr="008912CF">
              <w:rPr>
                <w:szCs w:val="22"/>
                <w:lang w:val="pt-PT"/>
              </w:rPr>
              <w:t>Raros</w:t>
            </w:r>
          </w:p>
          <w:p w14:paraId="79087F33" w14:textId="77777777" w:rsidR="002F6811" w:rsidRPr="008912CF" w:rsidRDefault="002F6811" w:rsidP="002F6811">
            <w:pPr>
              <w:pStyle w:val="EMEANormal"/>
              <w:widowControl w:val="0"/>
              <w:rPr>
                <w:szCs w:val="22"/>
                <w:lang w:val="pt-PT"/>
              </w:rPr>
            </w:pPr>
          </w:p>
        </w:tc>
        <w:tc>
          <w:tcPr>
            <w:tcW w:w="4346" w:type="dxa"/>
            <w:tcBorders>
              <w:top w:val="nil"/>
            </w:tcBorders>
          </w:tcPr>
          <w:p w14:paraId="5604B080" w14:textId="77777777" w:rsidR="002F6811" w:rsidRPr="008912CF" w:rsidRDefault="00615769" w:rsidP="002F6811">
            <w:pPr>
              <w:pStyle w:val="EMEANormal"/>
              <w:widowControl w:val="0"/>
              <w:rPr>
                <w:szCs w:val="22"/>
                <w:lang w:val="pt-PT"/>
              </w:rPr>
            </w:pPr>
            <w:r>
              <w:rPr>
                <w:szCs w:val="22"/>
                <w:lang w:val="pt-PT"/>
              </w:rPr>
              <w:t>E</w:t>
            </w:r>
            <w:r w:rsidRPr="008912CF">
              <w:rPr>
                <w:szCs w:val="22"/>
                <w:lang w:val="pt-PT"/>
              </w:rPr>
              <w:t>sclerose múltipla,</w:t>
            </w:r>
          </w:p>
          <w:p w14:paraId="0CF40AC6" w14:textId="77777777" w:rsidR="002F6811" w:rsidRPr="008912CF" w:rsidRDefault="00615769" w:rsidP="002F6811">
            <w:pPr>
              <w:pStyle w:val="EMEANormal"/>
              <w:widowControl w:val="0"/>
              <w:rPr>
                <w:szCs w:val="22"/>
                <w:vertAlign w:val="superscript"/>
                <w:lang w:val="pt-PT"/>
              </w:rPr>
            </w:pPr>
            <w:r w:rsidRPr="008912CF">
              <w:rPr>
                <w:szCs w:val="22"/>
                <w:lang w:val="pt-PT"/>
              </w:rPr>
              <w:t>perturbações desmielinizantes (p. ex. neurite ótica, síndrome de Guillain-Barré)</w:t>
            </w:r>
            <w:r w:rsidRPr="008912CF">
              <w:rPr>
                <w:szCs w:val="22"/>
                <w:vertAlign w:val="superscript"/>
                <w:lang w:val="pt-PT"/>
              </w:rPr>
              <w:t>1)</w:t>
            </w:r>
          </w:p>
          <w:p w14:paraId="094E1378" w14:textId="77777777" w:rsidR="002F6811" w:rsidRPr="008912CF" w:rsidRDefault="002F6811" w:rsidP="002F6811">
            <w:pPr>
              <w:pStyle w:val="EMEANormal"/>
              <w:widowControl w:val="0"/>
              <w:rPr>
                <w:szCs w:val="22"/>
                <w:lang w:val="pt-PT"/>
              </w:rPr>
            </w:pPr>
          </w:p>
        </w:tc>
      </w:tr>
      <w:tr w:rsidR="00A7162A" w14:paraId="313C0C20" w14:textId="77777777" w:rsidTr="002F6811">
        <w:tc>
          <w:tcPr>
            <w:tcW w:w="2514" w:type="dxa"/>
            <w:vMerge w:val="restart"/>
          </w:tcPr>
          <w:p w14:paraId="1FFF1F2F" w14:textId="77777777" w:rsidR="002F6811" w:rsidRPr="008912CF" w:rsidRDefault="00615769" w:rsidP="002F6811">
            <w:pPr>
              <w:pStyle w:val="EMEANormal"/>
              <w:widowControl w:val="0"/>
              <w:spacing w:before="60"/>
              <w:rPr>
                <w:szCs w:val="22"/>
                <w:lang w:val="pt-PT"/>
              </w:rPr>
            </w:pPr>
            <w:r w:rsidRPr="008912CF">
              <w:rPr>
                <w:szCs w:val="22"/>
                <w:lang w:val="pt-PT"/>
              </w:rPr>
              <w:t>Afeções oculares</w:t>
            </w:r>
          </w:p>
        </w:tc>
        <w:tc>
          <w:tcPr>
            <w:tcW w:w="1996" w:type="dxa"/>
            <w:tcBorders>
              <w:bottom w:val="nil"/>
            </w:tcBorders>
          </w:tcPr>
          <w:p w14:paraId="195C0380" w14:textId="77777777" w:rsidR="002F6811" w:rsidRPr="008912CF" w:rsidRDefault="00615769" w:rsidP="002F6811">
            <w:pPr>
              <w:pStyle w:val="EMEANormal"/>
              <w:widowControl w:val="0"/>
              <w:spacing w:before="60"/>
              <w:rPr>
                <w:szCs w:val="22"/>
                <w:lang w:val="pt-PT"/>
              </w:rPr>
            </w:pPr>
            <w:r w:rsidRPr="008912CF">
              <w:rPr>
                <w:szCs w:val="22"/>
                <w:lang w:val="pt-PT"/>
              </w:rPr>
              <w:t>Frequentes</w:t>
            </w:r>
          </w:p>
          <w:p w14:paraId="79FF0C87" w14:textId="77777777" w:rsidR="002F6811" w:rsidRPr="008912CF" w:rsidRDefault="002F6811" w:rsidP="002F6811">
            <w:pPr>
              <w:pStyle w:val="EMEANormal"/>
              <w:widowControl w:val="0"/>
              <w:spacing w:before="60"/>
              <w:rPr>
                <w:szCs w:val="22"/>
                <w:lang w:val="pt-PT"/>
              </w:rPr>
            </w:pPr>
          </w:p>
        </w:tc>
        <w:tc>
          <w:tcPr>
            <w:tcW w:w="4346" w:type="dxa"/>
            <w:tcBorders>
              <w:bottom w:val="nil"/>
            </w:tcBorders>
          </w:tcPr>
          <w:p w14:paraId="48909EBD" w14:textId="77777777" w:rsidR="002F6811" w:rsidRPr="008912CF" w:rsidRDefault="00615769" w:rsidP="002F6811">
            <w:pPr>
              <w:pStyle w:val="EMEANormal"/>
              <w:widowControl w:val="0"/>
              <w:spacing w:before="60"/>
              <w:rPr>
                <w:szCs w:val="22"/>
                <w:lang w:val="pt-PT"/>
              </w:rPr>
            </w:pPr>
            <w:r>
              <w:rPr>
                <w:szCs w:val="22"/>
                <w:lang w:val="pt-PT"/>
              </w:rPr>
              <w:t>A</w:t>
            </w:r>
            <w:r w:rsidRPr="008912CF">
              <w:rPr>
                <w:szCs w:val="22"/>
                <w:lang w:val="pt-PT"/>
              </w:rPr>
              <w:t>lterações da visão,</w:t>
            </w:r>
          </w:p>
          <w:p w14:paraId="6F2690B3" w14:textId="77777777" w:rsidR="002F6811" w:rsidRPr="008912CF" w:rsidRDefault="00615769" w:rsidP="002F6811">
            <w:pPr>
              <w:pStyle w:val="EMEAFigureTitle"/>
              <w:tabs>
                <w:tab w:val="clear" w:pos="562"/>
              </w:tabs>
              <w:suppressAutoHyphens w:val="0"/>
              <w:rPr>
                <w:szCs w:val="22"/>
                <w:lang w:val="pt-PT"/>
              </w:rPr>
            </w:pPr>
            <w:r w:rsidRPr="008912CF">
              <w:rPr>
                <w:szCs w:val="22"/>
                <w:lang w:val="pt-PT"/>
              </w:rPr>
              <w:t>conjuntivite,</w:t>
            </w:r>
          </w:p>
          <w:p w14:paraId="358A0D47" w14:textId="77777777" w:rsidR="002F6811" w:rsidRPr="008912CF" w:rsidRDefault="00615769" w:rsidP="002F6811">
            <w:pPr>
              <w:pStyle w:val="EMEANormal"/>
              <w:rPr>
                <w:lang w:val="pt-PT"/>
              </w:rPr>
            </w:pPr>
            <w:r w:rsidRPr="008912CF">
              <w:rPr>
                <w:lang w:val="pt-PT"/>
              </w:rPr>
              <w:t>blefarite,</w:t>
            </w:r>
          </w:p>
          <w:p w14:paraId="0C2C2627" w14:textId="77777777" w:rsidR="002F6811" w:rsidRPr="008912CF" w:rsidRDefault="00615769" w:rsidP="002F6811">
            <w:pPr>
              <w:pStyle w:val="EMEANormal"/>
              <w:rPr>
                <w:lang w:val="pt-PT"/>
              </w:rPr>
            </w:pPr>
            <w:r w:rsidRPr="008912CF">
              <w:rPr>
                <w:lang w:val="pt-PT"/>
              </w:rPr>
              <w:t>inchaço dos olhos</w:t>
            </w:r>
          </w:p>
          <w:p w14:paraId="14C052FA" w14:textId="77777777" w:rsidR="002F6811" w:rsidRPr="008912CF" w:rsidRDefault="002F6811" w:rsidP="002F6811">
            <w:pPr>
              <w:pStyle w:val="EMEANormal"/>
              <w:rPr>
                <w:lang w:val="pt-PT"/>
              </w:rPr>
            </w:pPr>
          </w:p>
        </w:tc>
      </w:tr>
      <w:tr w:rsidR="00A7162A" w14:paraId="3FF9CB5B" w14:textId="77777777" w:rsidTr="002F6811">
        <w:tc>
          <w:tcPr>
            <w:tcW w:w="2514" w:type="dxa"/>
            <w:vMerge/>
          </w:tcPr>
          <w:p w14:paraId="67A9F027" w14:textId="77777777" w:rsidR="002F6811" w:rsidRPr="008912CF" w:rsidRDefault="002F6811" w:rsidP="002F6811">
            <w:pPr>
              <w:widowControl w:val="0"/>
              <w:spacing w:before="60"/>
              <w:jc w:val="center"/>
              <w:rPr>
                <w:b/>
              </w:rPr>
            </w:pPr>
          </w:p>
        </w:tc>
        <w:tc>
          <w:tcPr>
            <w:tcW w:w="1996" w:type="dxa"/>
            <w:tcBorders>
              <w:top w:val="nil"/>
            </w:tcBorders>
          </w:tcPr>
          <w:p w14:paraId="7D6F01C6" w14:textId="77777777" w:rsidR="002F6811" w:rsidRPr="008912CF" w:rsidRDefault="00615769" w:rsidP="002F6811">
            <w:pPr>
              <w:pStyle w:val="EMEANormal"/>
              <w:widowControl w:val="0"/>
              <w:rPr>
                <w:szCs w:val="22"/>
                <w:lang w:val="pt-PT"/>
              </w:rPr>
            </w:pPr>
            <w:r w:rsidRPr="008912CF">
              <w:rPr>
                <w:szCs w:val="22"/>
                <w:lang w:val="pt-PT"/>
              </w:rPr>
              <w:t>Pouco frequentes</w:t>
            </w:r>
          </w:p>
        </w:tc>
        <w:tc>
          <w:tcPr>
            <w:tcW w:w="4346" w:type="dxa"/>
            <w:tcBorders>
              <w:top w:val="nil"/>
            </w:tcBorders>
          </w:tcPr>
          <w:p w14:paraId="26A40191" w14:textId="77777777" w:rsidR="002F6811" w:rsidRPr="008912CF" w:rsidRDefault="00615769" w:rsidP="002F6811">
            <w:pPr>
              <w:pStyle w:val="EMEANormal"/>
              <w:widowControl w:val="0"/>
              <w:rPr>
                <w:szCs w:val="22"/>
                <w:lang w:val="pt-PT"/>
              </w:rPr>
            </w:pPr>
            <w:r>
              <w:rPr>
                <w:szCs w:val="22"/>
                <w:lang w:val="pt-PT"/>
              </w:rPr>
              <w:t>D</w:t>
            </w:r>
            <w:r w:rsidRPr="008912CF">
              <w:rPr>
                <w:szCs w:val="22"/>
                <w:lang w:val="pt-PT"/>
              </w:rPr>
              <w:t>iplopia</w:t>
            </w:r>
          </w:p>
          <w:p w14:paraId="7CDCDC3B" w14:textId="77777777" w:rsidR="002F6811" w:rsidRPr="008912CF" w:rsidRDefault="002F6811" w:rsidP="002F6811">
            <w:pPr>
              <w:pStyle w:val="EMEANormal"/>
              <w:widowControl w:val="0"/>
              <w:rPr>
                <w:szCs w:val="22"/>
                <w:lang w:val="pt-PT"/>
              </w:rPr>
            </w:pPr>
          </w:p>
        </w:tc>
      </w:tr>
      <w:tr w:rsidR="00A7162A" w14:paraId="6CDF732E" w14:textId="77777777" w:rsidTr="002F6811">
        <w:tc>
          <w:tcPr>
            <w:tcW w:w="2514" w:type="dxa"/>
            <w:vMerge w:val="restart"/>
          </w:tcPr>
          <w:p w14:paraId="6CFB28B7" w14:textId="77777777" w:rsidR="002F6811" w:rsidRPr="008912CF" w:rsidRDefault="00615769" w:rsidP="002F6811">
            <w:pPr>
              <w:pStyle w:val="EMEANormal"/>
              <w:rPr>
                <w:szCs w:val="22"/>
                <w:lang w:val="pt-PT"/>
              </w:rPr>
            </w:pPr>
            <w:r w:rsidRPr="008912CF">
              <w:rPr>
                <w:szCs w:val="22"/>
                <w:lang w:val="pt-PT"/>
              </w:rPr>
              <w:t>Afeções do ouvido e do labirinto</w:t>
            </w:r>
          </w:p>
          <w:p w14:paraId="7A55D955" w14:textId="77777777" w:rsidR="002F6811" w:rsidRPr="008912CF" w:rsidRDefault="002F6811" w:rsidP="002F6811">
            <w:pPr>
              <w:pStyle w:val="EMEANormal"/>
              <w:widowControl w:val="0"/>
              <w:spacing w:before="60"/>
              <w:rPr>
                <w:szCs w:val="22"/>
                <w:lang w:val="pt-PT"/>
              </w:rPr>
            </w:pPr>
          </w:p>
        </w:tc>
        <w:tc>
          <w:tcPr>
            <w:tcW w:w="1996" w:type="dxa"/>
            <w:tcBorders>
              <w:bottom w:val="nil"/>
            </w:tcBorders>
          </w:tcPr>
          <w:p w14:paraId="4A7F7E99" w14:textId="77777777" w:rsidR="002F6811" w:rsidRPr="008912CF" w:rsidRDefault="00615769" w:rsidP="002F6811">
            <w:pPr>
              <w:pStyle w:val="EMEANormal"/>
              <w:widowControl w:val="0"/>
              <w:spacing w:before="60"/>
              <w:rPr>
                <w:szCs w:val="22"/>
                <w:lang w:val="pt-PT"/>
              </w:rPr>
            </w:pPr>
            <w:r w:rsidRPr="008912CF">
              <w:rPr>
                <w:szCs w:val="22"/>
                <w:lang w:val="pt-PT"/>
              </w:rPr>
              <w:t>Frequentes</w:t>
            </w:r>
          </w:p>
        </w:tc>
        <w:tc>
          <w:tcPr>
            <w:tcW w:w="4346" w:type="dxa"/>
            <w:tcBorders>
              <w:bottom w:val="nil"/>
            </w:tcBorders>
          </w:tcPr>
          <w:p w14:paraId="1828A301" w14:textId="77777777" w:rsidR="002F6811" w:rsidRPr="008912CF" w:rsidRDefault="00615769" w:rsidP="002F6811">
            <w:pPr>
              <w:pStyle w:val="EMEANormal"/>
              <w:widowControl w:val="0"/>
              <w:spacing w:before="60"/>
              <w:rPr>
                <w:szCs w:val="22"/>
                <w:lang w:val="pt-PT"/>
              </w:rPr>
            </w:pPr>
            <w:r>
              <w:rPr>
                <w:szCs w:val="22"/>
                <w:lang w:val="pt-PT"/>
              </w:rPr>
              <w:t>V</w:t>
            </w:r>
            <w:r w:rsidRPr="008912CF">
              <w:rPr>
                <w:szCs w:val="22"/>
                <w:lang w:val="pt-PT"/>
              </w:rPr>
              <w:t>ertigem</w:t>
            </w:r>
          </w:p>
          <w:p w14:paraId="6A0214A8" w14:textId="77777777" w:rsidR="002F6811" w:rsidRPr="008912CF" w:rsidRDefault="002F6811" w:rsidP="002F6811">
            <w:pPr>
              <w:pStyle w:val="EMEANormal"/>
              <w:widowControl w:val="0"/>
              <w:spacing w:before="60"/>
              <w:rPr>
                <w:szCs w:val="22"/>
                <w:lang w:val="pt-PT"/>
              </w:rPr>
            </w:pPr>
          </w:p>
        </w:tc>
      </w:tr>
      <w:tr w:rsidR="00A7162A" w14:paraId="7DED66A8" w14:textId="77777777" w:rsidTr="002F6811">
        <w:tc>
          <w:tcPr>
            <w:tcW w:w="2514" w:type="dxa"/>
            <w:vMerge/>
          </w:tcPr>
          <w:p w14:paraId="5352991B" w14:textId="77777777" w:rsidR="002F6811" w:rsidRPr="008912CF" w:rsidRDefault="002F6811" w:rsidP="002F6811">
            <w:pPr>
              <w:widowControl w:val="0"/>
              <w:spacing w:before="60"/>
              <w:jc w:val="center"/>
              <w:rPr>
                <w:b/>
              </w:rPr>
            </w:pPr>
          </w:p>
        </w:tc>
        <w:tc>
          <w:tcPr>
            <w:tcW w:w="1996" w:type="dxa"/>
            <w:tcBorders>
              <w:top w:val="nil"/>
            </w:tcBorders>
          </w:tcPr>
          <w:p w14:paraId="22C88224" w14:textId="77777777" w:rsidR="002F6811" w:rsidRPr="008912CF" w:rsidRDefault="00615769" w:rsidP="002F6811">
            <w:pPr>
              <w:pStyle w:val="EMEANormal"/>
              <w:widowControl w:val="0"/>
              <w:rPr>
                <w:szCs w:val="22"/>
                <w:lang w:val="pt-PT"/>
              </w:rPr>
            </w:pPr>
            <w:r w:rsidRPr="008912CF">
              <w:rPr>
                <w:szCs w:val="22"/>
                <w:lang w:val="pt-PT"/>
              </w:rPr>
              <w:t>Pouco frequentes</w:t>
            </w:r>
          </w:p>
        </w:tc>
        <w:tc>
          <w:tcPr>
            <w:tcW w:w="4346" w:type="dxa"/>
            <w:tcBorders>
              <w:top w:val="nil"/>
            </w:tcBorders>
          </w:tcPr>
          <w:p w14:paraId="0135770C" w14:textId="77777777" w:rsidR="002F6811" w:rsidRPr="008912CF" w:rsidRDefault="00615769" w:rsidP="002F6811">
            <w:pPr>
              <w:pStyle w:val="EMEANormal"/>
              <w:widowControl w:val="0"/>
              <w:rPr>
                <w:szCs w:val="22"/>
                <w:lang w:val="pt-PT"/>
              </w:rPr>
            </w:pPr>
            <w:r>
              <w:rPr>
                <w:szCs w:val="22"/>
                <w:lang w:val="pt-PT"/>
              </w:rPr>
              <w:t>S</w:t>
            </w:r>
            <w:r w:rsidRPr="008912CF">
              <w:rPr>
                <w:szCs w:val="22"/>
                <w:lang w:val="pt-PT"/>
              </w:rPr>
              <w:t xml:space="preserve">urdez, </w:t>
            </w:r>
          </w:p>
          <w:p w14:paraId="7B24C446" w14:textId="77777777" w:rsidR="002F6811" w:rsidRPr="008912CF" w:rsidRDefault="00615769" w:rsidP="002F6811">
            <w:pPr>
              <w:pStyle w:val="EMEANormal"/>
              <w:widowControl w:val="0"/>
              <w:rPr>
                <w:szCs w:val="22"/>
                <w:lang w:val="pt-PT"/>
              </w:rPr>
            </w:pPr>
            <w:r w:rsidRPr="008912CF">
              <w:rPr>
                <w:szCs w:val="22"/>
                <w:lang w:val="pt-PT"/>
              </w:rPr>
              <w:t>zumbido</w:t>
            </w:r>
          </w:p>
          <w:p w14:paraId="4C8AA51F" w14:textId="77777777" w:rsidR="002F6811" w:rsidRPr="008912CF" w:rsidRDefault="002F6811" w:rsidP="002F6811">
            <w:pPr>
              <w:pStyle w:val="EMEANormal"/>
              <w:widowControl w:val="0"/>
              <w:rPr>
                <w:szCs w:val="22"/>
                <w:lang w:val="pt-PT"/>
              </w:rPr>
            </w:pPr>
          </w:p>
        </w:tc>
      </w:tr>
      <w:tr w:rsidR="00A7162A" w14:paraId="79D6E6DC" w14:textId="77777777" w:rsidTr="002F6811">
        <w:tc>
          <w:tcPr>
            <w:tcW w:w="2514" w:type="dxa"/>
            <w:vMerge w:val="restart"/>
          </w:tcPr>
          <w:p w14:paraId="1788376A" w14:textId="77777777" w:rsidR="002F6811" w:rsidRPr="008912CF" w:rsidRDefault="00615769" w:rsidP="002F6811">
            <w:pPr>
              <w:pStyle w:val="EMEANormal"/>
              <w:widowControl w:val="0"/>
              <w:spacing w:before="60"/>
              <w:rPr>
                <w:szCs w:val="22"/>
                <w:lang w:val="pt-PT"/>
              </w:rPr>
            </w:pPr>
            <w:r w:rsidRPr="008912CF">
              <w:rPr>
                <w:szCs w:val="22"/>
                <w:lang w:val="pt-PT"/>
              </w:rPr>
              <w:t xml:space="preserve">Cardiopatias * </w:t>
            </w:r>
          </w:p>
        </w:tc>
        <w:tc>
          <w:tcPr>
            <w:tcW w:w="1996" w:type="dxa"/>
            <w:tcBorders>
              <w:bottom w:val="nil"/>
            </w:tcBorders>
          </w:tcPr>
          <w:p w14:paraId="5FC2A510" w14:textId="77777777" w:rsidR="002F6811" w:rsidRPr="008912CF" w:rsidRDefault="00615769" w:rsidP="002F6811">
            <w:pPr>
              <w:pStyle w:val="EMEANormal"/>
              <w:widowControl w:val="0"/>
              <w:spacing w:before="60"/>
              <w:rPr>
                <w:szCs w:val="22"/>
                <w:lang w:val="pt-PT"/>
              </w:rPr>
            </w:pPr>
            <w:r w:rsidRPr="008912CF">
              <w:rPr>
                <w:szCs w:val="22"/>
                <w:lang w:val="pt-PT"/>
              </w:rPr>
              <w:t>Frequentes</w:t>
            </w:r>
          </w:p>
        </w:tc>
        <w:tc>
          <w:tcPr>
            <w:tcW w:w="4346" w:type="dxa"/>
            <w:tcBorders>
              <w:bottom w:val="nil"/>
            </w:tcBorders>
          </w:tcPr>
          <w:p w14:paraId="4943428F" w14:textId="77777777" w:rsidR="002F6811" w:rsidRPr="008912CF" w:rsidRDefault="00615769" w:rsidP="002F6811">
            <w:pPr>
              <w:pStyle w:val="EMEANormal"/>
              <w:widowControl w:val="0"/>
              <w:spacing w:before="60"/>
              <w:rPr>
                <w:szCs w:val="22"/>
                <w:lang w:val="pt-PT"/>
              </w:rPr>
            </w:pPr>
            <w:r>
              <w:rPr>
                <w:szCs w:val="22"/>
                <w:lang w:val="pt-PT"/>
              </w:rPr>
              <w:t>T</w:t>
            </w:r>
            <w:r w:rsidRPr="008912CF">
              <w:rPr>
                <w:szCs w:val="22"/>
                <w:lang w:val="pt-PT"/>
              </w:rPr>
              <w:t>aquicardia</w:t>
            </w:r>
          </w:p>
          <w:p w14:paraId="345D496F" w14:textId="77777777" w:rsidR="002F6811" w:rsidRPr="008912CF" w:rsidRDefault="002F6811" w:rsidP="002F6811">
            <w:pPr>
              <w:pStyle w:val="EMEANormal"/>
              <w:widowControl w:val="0"/>
              <w:spacing w:before="60"/>
              <w:rPr>
                <w:szCs w:val="22"/>
                <w:lang w:val="pt-PT"/>
              </w:rPr>
            </w:pPr>
          </w:p>
        </w:tc>
      </w:tr>
      <w:tr w:rsidR="00A7162A" w14:paraId="088D9CF5" w14:textId="77777777" w:rsidTr="002F6811">
        <w:tc>
          <w:tcPr>
            <w:tcW w:w="2514" w:type="dxa"/>
            <w:vMerge/>
          </w:tcPr>
          <w:p w14:paraId="44638753" w14:textId="77777777" w:rsidR="002F6811" w:rsidRPr="008912CF" w:rsidRDefault="002F6811" w:rsidP="002F6811">
            <w:pPr>
              <w:pStyle w:val="EMEANormal"/>
              <w:widowControl w:val="0"/>
              <w:spacing w:before="60"/>
              <w:rPr>
                <w:szCs w:val="22"/>
                <w:lang w:val="pt-PT"/>
              </w:rPr>
            </w:pPr>
          </w:p>
        </w:tc>
        <w:tc>
          <w:tcPr>
            <w:tcW w:w="1996" w:type="dxa"/>
            <w:tcBorders>
              <w:top w:val="nil"/>
              <w:bottom w:val="nil"/>
            </w:tcBorders>
          </w:tcPr>
          <w:p w14:paraId="394B494E" w14:textId="77777777" w:rsidR="002F6811" w:rsidRPr="008912CF" w:rsidRDefault="00615769" w:rsidP="002F6811">
            <w:pPr>
              <w:pStyle w:val="EMEANormal"/>
              <w:widowControl w:val="0"/>
              <w:spacing w:before="60"/>
              <w:rPr>
                <w:szCs w:val="22"/>
                <w:lang w:val="pt-PT"/>
              </w:rPr>
            </w:pPr>
            <w:r w:rsidRPr="008912CF">
              <w:rPr>
                <w:szCs w:val="22"/>
                <w:lang w:val="pt-PT"/>
              </w:rPr>
              <w:t>Pouco frequentes</w:t>
            </w:r>
          </w:p>
          <w:p w14:paraId="1847FA1F" w14:textId="77777777" w:rsidR="002F6811" w:rsidRPr="008912CF" w:rsidRDefault="002F6811" w:rsidP="002F6811">
            <w:pPr>
              <w:pStyle w:val="EMEANormal"/>
              <w:widowControl w:val="0"/>
              <w:spacing w:before="60"/>
              <w:rPr>
                <w:szCs w:val="22"/>
                <w:lang w:val="pt-PT"/>
              </w:rPr>
            </w:pPr>
          </w:p>
        </w:tc>
        <w:tc>
          <w:tcPr>
            <w:tcW w:w="4346" w:type="dxa"/>
            <w:tcBorders>
              <w:top w:val="nil"/>
              <w:bottom w:val="nil"/>
            </w:tcBorders>
          </w:tcPr>
          <w:p w14:paraId="1C53475D" w14:textId="77777777" w:rsidR="002F6811" w:rsidRPr="008912CF" w:rsidRDefault="00615769" w:rsidP="002F6811">
            <w:pPr>
              <w:pStyle w:val="EMEANormal"/>
              <w:widowControl w:val="0"/>
              <w:spacing w:before="60"/>
              <w:rPr>
                <w:szCs w:val="22"/>
                <w:lang w:val="pt-PT"/>
              </w:rPr>
            </w:pPr>
            <w:r>
              <w:rPr>
                <w:szCs w:val="22"/>
                <w:lang w:val="pt-PT"/>
              </w:rPr>
              <w:t>E</w:t>
            </w:r>
            <w:r w:rsidRPr="008912CF">
              <w:rPr>
                <w:szCs w:val="22"/>
                <w:lang w:val="pt-PT"/>
              </w:rPr>
              <w:t>nfarte do miocárdio</w:t>
            </w:r>
            <w:r w:rsidRPr="008912CF">
              <w:rPr>
                <w:szCs w:val="22"/>
                <w:vertAlign w:val="superscript"/>
                <w:lang w:val="pt-PT"/>
              </w:rPr>
              <w:t>1)</w:t>
            </w:r>
            <w:r w:rsidRPr="008912CF">
              <w:rPr>
                <w:szCs w:val="22"/>
                <w:lang w:val="pt-PT"/>
              </w:rPr>
              <w:t>,</w:t>
            </w:r>
          </w:p>
          <w:p w14:paraId="41E574EE" w14:textId="77777777" w:rsidR="002F6811" w:rsidRPr="008912CF" w:rsidRDefault="00615769" w:rsidP="002F6811">
            <w:pPr>
              <w:pStyle w:val="EMEANormal"/>
              <w:widowControl w:val="0"/>
              <w:spacing w:before="60"/>
              <w:rPr>
                <w:szCs w:val="22"/>
                <w:lang w:val="pt-PT"/>
              </w:rPr>
            </w:pPr>
            <w:r w:rsidRPr="008912CF">
              <w:rPr>
                <w:szCs w:val="22"/>
                <w:lang w:val="pt-PT"/>
              </w:rPr>
              <w:t>arritmia,</w:t>
            </w:r>
          </w:p>
          <w:p w14:paraId="1AC3A681" w14:textId="77777777" w:rsidR="002F6811" w:rsidRPr="008912CF" w:rsidRDefault="00615769" w:rsidP="002F6811">
            <w:pPr>
              <w:pStyle w:val="EMEANormal"/>
              <w:widowControl w:val="0"/>
              <w:spacing w:before="60"/>
              <w:rPr>
                <w:szCs w:val="22"/>
                <w:lang w:val="pt-PT"/>
              </w:rPr>
            </w:pPr>
            <w:r w:rsidRPr="008912CF">
              <w:rPr>
                <w:szCs w:val="22"/>
                <w:lang w:val="pt-PT"/>
              </w:rPr>
              <w:t xml:space="preserve">insuficiência cardíaca congestiva </w:t>
            </w:r>
          </w:p>
          <w:p w14:paraId="5ED766BF" w14:textId="77777777" w:rsidR="002F6811" w:rsidRPr="008912CF" w:rsidRDefault="002F6811" w:rsidP="002F6811">
            <w:pPr>
              <w:pStyle w:val="EMEANormal"/>
              <w:widowControl w:val="0"/>
              <w:spacing w:before="60"/>
              <w:rPr>
                <w:szCs w:val="22"/>
                <w:lang w:val="pt-PT"/>
              </w:rPr>
            </w:pPr>
          </w:p>
        </w:tc>
      </w:tr>
      <w:tr w:rsidR="00A7162A" w14:paraId="5EFA4862" w14:textId="77777777" w:rsidTr="002F6811">
        <w:tc>
          <w:tcPr>
            <w:tcW w:w="2514" w:type="dxa"/>
            <w:vMerge/>
          </w:tcPr>
          <w:p w14:paraId="3BCB283D" w14:textId="77777777" w:rsidR="002F6811" w:rsidRPr="008912CF" w:rsidRDefault="002F6811" w:rsidP="002F6811">
            <w:pPr>
              <w:widowControl w:val="0"/>
              <w:spacing w:before="60"/>
              <w:jc w:val="center"/>
              <w:rPr>
                <w:b/>
              </w:rPr>
            </w:pPr>
          </w:p>
        </w:tc>
        <w:tc>
          <w:tcPr>
            <w:tcW w:w="1996" w:type="dxa"/>
            <w:tcBorders>
              <w:top w:val="nil"/>
            </w:tcBorders>
          </w:tcPr>
          <w:p w14:paraId="7BD37FB4" w14:textId="77777777" w:rsidR="002F6811" w:rsidRPr="008912CF" w:rsidRDefault="00615769" w:rsidP="002F6811">
            <w:pPr>
              <w:pStyle w:val="EMEANormal"/>
              <w:widowControl w:val="0"/>
              <w:rPr>
                <w:szCs w:val="22"/>
                <w:lang w:val="pt-PT"/>
              </w:rPr>
            </w:pPr>
            <w:r w:rsidRPr="008912CF">
              <w:rPr>
                <w:szCs w:val="22"/>
                <w:lang w:val="pt-PT"/>
              </w:rPr>
              <w:t>Raros</w:t>
            </w:r>
          </w:p>
        </w:tc>
        <w:tc>
          <w:tcPr>
            <w:tcW w:w="4346" w:type="dxa"/>
            <w:tcBorders>
              <w:top w:val="nil"/>
            </w:tcBorders>
          </w:tcPr>
          <w:p w14:paraId="7BD70A88" w14:textId="77777777" w:rsidR="002F6811" w:rsidRPr="008912CF" w:rsidRDefault="00615769" w:rsidP="002F6811">
            <w:pPr>
              <w:pStyle w:val="EMEANormal"/>
              <w:widowControl w:val="0"/>
              <w:rPr>
                <w:szCs w:val="22"/>
                <w:lang w:val="pt-PT"/>
              </w:rPr>
            </w:pPr>
            <w:r>
              <w:rPr>
                <w:szCs w:val="22"/>
                <w:lang w:val="pt-PT"/>
              </w:rPr>
              <w:t>P</w:t>
            </w:r>
            <w:r w:rsidRPr="008912CF">
              <w:rPr>
                <w:szCs w:val="22"/>
                <w:lang w:val="pt-PT"/>
              </w:rPr>
              <w:t>aragem cardíaca</w:t>
            </w:r>
          </w:p>
          <w:p w14:paraId="03BC0436" w14:textId="77777777" w:rsidR="002F6811" w:rsidRPr="008912CF" w:rsidRDefault="002F6811" w:rsidP="002F6811">
            <w:pPr>
              <w:pStyle w:val="EMEANormal"/>
              <w:widowControl w:val="0"/>
              <w:rPr>
                <w:szCs w:val="22"/>
                <w:lang w:val="pt-PT"/>
              </w:rPr>
            </w:pPr>
          </w:p>
        </w:tc>
      </w:tr>
      <w:tr w:rsidR="00A7162A" w14:paraId="764C51A6" w14:textId="77777777" w:rsidTr="002F6811">
        <w:tc>
          <w:tcPr>
            <w:tcW w:w="2514" w:type="dxa"/>
            <w:vMerge w:val="restart"/>
          </w:tcPr>
          <w:p w14:paraId="42B7BD5B" w14:textId="77777777" w:rsidR="002F6811" w:rsidRPr="008912CF" w:rsidRDefault="00615769" w:rsidP="002F6811">
            <w:pPr>
              <w:pStyle w:val="EMEANormal"/>
              <w:widowControl w:val="0"/>
              <w:spacing w:before="60"/>
              <w:rPr>
                <w:szCs w:val="22"/>
                <w:lang w:val="pt-PT"/>
              </w:rPr>
            </w:pPr>
            <w:r w:rsidRPr="008912CF">
              <w:rPr>
                <w:szCs w:val="22"/>
                <w:lang w:val="pt-PT"/>
              </w:rPr>
              <w:t>Vasculopatias</w:t>
            </w:r>
          </w:p>
        </w:tc>
        <w:tc>
          <w:tcPr>
            <w:tcW w:w="1996" w:type="dxa"/>
            <w:tcBorders>
              <w:bottom w:val="nil"/>
            </w:tcBorders>
          </w:tcPr>
          <w:p w14:paraId="1DE8192A" w14:textId="77777777" w:rsidR="002F6811" w:rsidRPr="008912CF" w:rsidRDefault="00615769" w:rsidP="002F6811">
            <w:pPr>
              <w:pStyle w:val="EMEANormal"/>
              <w:widowControl w:val="0"/>
              <w:spacing w:before="60"/>
              <w:rPr>
                <w:szCs w:val="22"/>
                <w:lang w:val="pt-PT"/>
              </w:rPr>
            </w:pPr>
            <w:r w:rsidRPr="008912CF">
              <w:rPr>
                <w:szCs w:val="22"/>
                <w:lang w:val="pt-PT"/>
              </w:rPr>
              <w:t>Frequentes</w:t>
            </w:r>
          </w:p>
          <w:p w14:paraId="6C1A1036" w14:textId="77777777" w:rsidR="002F6811" w:rsidRPr="008912CF" w:rsidRDefault="002F6811" w:rsidP="002F6811">
            <w:pPr>
              <w:pStyle w:val="EMEANormal"/>
              <w:widowControl w:val="0"/>
              <w:spacing w:before="60"/>
              <w:rPr>
                <w:szCs w:val="22"/>
                <w:lang w:val="pt-PT"/>
              </w:rPr>
            </w:pPr>
          </w:p>
        </w:tc>
        <w:tc>
          <w:tcPr>
            <w:tcW w:w="4346" w:type="dxa"/>
            <w:tcBorders>
              <w:bottom w:val="nil"/>
            </w:tcBorders>
          </w:tcPr>
          <w:p w14:paraId="3EECCB0C" w14:textId="77777777" w:rsidR="002F6811" w:rsidRPr="008912CF" w:rsidRDefault="00615769" w:rsidP="002F6811">
            <w:pPr>
              <w:pStyle w:val="EMEANormal"/>
              <w:widowControl w:val="0"/>
              <w:spacing w:before="60"/>
              <w:rPr>
                <w:szCs w:val="22"/>
                <w:lang w:val="pt-PT"/>
              </w:rPr>
            </w:pPr>
            <w:r>
              <w:rPr>
                <w:szCs w:val="22"/>
                <w:lang w:val="pt-PT"/>
              </w:rPr>
              <w:t>H</w:t>
            </w:r>
            <w:r w:rsidRPr="008912CF">
              <w:rPr>
                <w:szCs w:val="22"/>
                <w:lang w:val="pt-PT"/>
              </w:rPr>
              <w:t xml:space="preserve">ipertensão, </w:t>
            </w:r>
          </w:p>
          <w:p w14:paraId="1D3666B3" w14:textId="77777777" w:rsidR="002F6811" w:rsidRPr="008912CF" w:rsidRDefault="00615769" w:rsidP="002F6811">
            <w:pPr>
              <w:pStyle w:val="EMEANormal"/>
              <w:widowControl w:val="0"/>
              <w:spacing w:before="60"/>
              <w:rPr>
                <w:szCs w:val="22"/>
                <w:lang w:val="pt-PT"/>
              </w:rPr>
            </w:pPr>
            <w:r w:rsidRPr="008912CF">
              <w:rPr>
                <w:szCs w:val="22"/>
                <w:lang w:val="pt-PT"/>
              </w:rPr>
              <w:t>vasodilatação,</w:t>
            </w:r>
          </w:p>
          <w:p w14:paraId="4B0EA49D" w14:textId="77777777" w:rsidR="002F6811" w:rsidRPr="008912CF" w:rsidRDefault="00615769" w:rsidP="002F6811">
            <w:pPr>
              <w:pStyle w:val="EMEANormal"/>
              <w:widowControl w:val="0"/>
              <w:spacing w:before="60"/>
              <w:rPr>
                <w:szCs w:val="22"/>
                <w:lang w:val="pt-PT"/>
              </w:rPr>
            </w:pPr>
            <w:r w:rsidRPr="008912CF">
              <w:rPr>
                <w:szCs w:val="22"/>
                <w:lang w:val="pt-PT"/>
              </w:rPr>
              <w:t>hematoma</w:t>
            </w:r>
          </w:p>
          <w:p w14:paraId="0BCDEEBC" w14:textId="77777777" w:rsidR="002F6811" w:rsidRPr="008912CF" w:rsidRDefault="002F6811" w:rsidP="002F6811">
            <w:pPr>
              <w:pStyle w:val="EMEANormal"/>
              <w:widowControl w:val="0"/>
              <w:spacing w:before="60"/>
              <w:rPr>
                <w:szCs w:val="22"/>
                <w:lang w:val="pt-PT"/>
              </w:rPr>
            </w:pPr>
          </w:p>
        </w:tc>
      </w:tr>
      <w:tr w:rsidR="00A7162A" w14:paraId="5DB36CDB" w14:textId="77777777" w:rsidTr="002F6811">
        <w:tc>
          <w:tcPr>
            <w:tcW w:w="2514" w:type="dxa"/>
            <w:vMerge/>
          </w:tcPr>
          <w:p w14:paraId="68E545B6" w14:textId="77777777" w:rsidR="002F6811" w:rsidRPr="008912CF" w:rsidRDefault="002F6811" w:rsidP="002F6811">
            <w:pPr>
              <w:pStyle w:val="EMEANormal"/>
              <w:widowControl w:val="0"/>
              <w:spacing w:before="60"/>
              <w:rPr>
                <w:szCs w:val="22"/>
                <w:lang w:val="pt-PT"/>
              </w:rPr>
            </w:pPr>
          </w:p>
        </w:tc>
        <w:tc>
          <w:tcPr>
            <w:tcW w:w="1996" w:type="dxa"/>
            <w:tcBorders>
              <w:top w:val="nil"/>
            </w:tcBorders>
          </w:tcPr>
          <w:p w14:paraId="3EB0536C" w14:textId="77777777" w:rsidR="002F6811" w:rsidRPr="008912CF" w:rsidRDefault="00615769" w:rsidP="002F6811">
            <w:pPr>
              <w:pStyle w:val="EMEANormal"/>
              <w:widowControl w:val="0"/>
              <w:rPr>
                <w:szCs w:val="22"/>
                <w:lang w:val="pt-PT"/>
              </w:rPr>
            </w:pPr>
            <w:r w:rsidRPr="008912CF">
              <w:rPr>
                <w:szCs w:val="22"/>
                <w:lang w:val="pt-PT"/>
              </w:rPr>
              <w:t>Pouco frequentes</w:t>
            </w:r>
          </w:p>
        </w:tc>
        <w:tc>
          <w:tcPr>
            <w:tcW w:w="4346" w:type="dxa"/>
            <w:tcBorders>
              <w:top w:val="nil"/>
            </w:tcBorders>
          </w:tcPr>
          <w:p w14:paraId="0D7D3D30" w14:textId="77777777" w:rsidR="002F6811" w:rsidRPr="008912CF" w:rsidRDefault="00615769" w:rsidP="002F6811">
            <w:pPr>
              <w:pStyle w:val="EMEANormal"/>
              <w:rPr>
                <w:szCs w:val="22"/>
                <w:lang w:val="pt-PT"/>
              </w:rPr>
            </w:pPr>
            <w:r>
              <w:rPr>
                <w:szCs w:val="22"/>
                <w:lang w:val="pt-PT"/>
              </w:rPr>
              <w:t>A</w:t>
            </w:r>
            <w:r w:rsidRPr="008912CF">
              <w:rPr>
                <w:szCs w:val="22"/>
                <w:lang w:val="pt-PT"/>
              </w:rPr>
              <w:t xml:space="preserve">neurisma da aorta, </w:t>
            </w:r>
          </w:p>
          <w:p w14:paraId="18A123F2" w14:textId="77777777" w:rsidR="002F6811" w:rsidRPr="008912CF" w:rsidRDefault="00615769" w:rsidP="002F6811">
            <w:pPr>
              <w:pStyle w:val="EMEANormal"/>
              <w:rPr>
                <w:szCs w:val="22"/>
                <w:lang w:val="pt-PT"/>
              </w:rPr>
            </w:pPr>
            <w:r w:rsidRPr="008912CF">
              <w:rPr>
                <w:szCs w:val="22"/>
                <w:lang w:val="pt-PT"/>
              </w:rPr>
              <w:t>oclusão vascular arterial,</w:t>
            </w:r>
          </w:p>
          <w:p w14:paraId="78ECB5A8" w14:textId="77777777" w:rsidR="002F6811" w:rsidRPr="008912CF" w:rsidRDefault="00615769" w:rsidP="002F6811">
            <w:pPr>
              <w:pStyle w:val="EMEANormal"/>
              <w:widowControl w:val="0"/>
              <w:rPr>
                <w:szCs w:val="22"/>
                <w:lang w:val="pt-PT"/>
              </w:rPr>
            </w:pPr>
            <w:r w:rsidRPr="008912CF">
              <w:rPr>
                <w:szCs w:val="22"/>
                <w:lang w:val="pt-PT"/>
              </w:rPr>
              <w:t>tromboflebite</w:t>
            </w:r>
          </w:p>
          <w:p w14:paraId="2C01D775" w14:textId="77777777" w:rsidR="002F6811" w:rsidRPr="008912CF" w:rsidRDefault="002F6811" w:rsidP="002F6811">
            <w:pPr>
              <w:pStyle w:val="EMEANormal"/>
              <w:widowControl w:val="0"/>
              <w:rPr>
                <w:szCs w:val="22"/>
                <w:lang w:val="pt-PT"/>
              </w:rPr>
            </w:pPr>
          </w:p>
        </w:tc>
      </w:tr>
      <w:tr w:rsidR="00A7162A" w14:paraId="1CBDAD73" w14:textId="77777777" w:rsidTr="002F6811">
        <w:tc>
          <w:tcPr>
            <w:tcW w:w="2514" w:type="dxa"/>
            <w:vMerge w:val="restart"/>
          </w:tcPr>
          <w:p w14:paraId="47640718" w14:textId="77777777" w:rsidR="002F6811" w:rsidRPr="008912CF" w:rsidRDefault="00615769" w:rsidP="002F6811">
            <w:pPr>
              <w:pStyle w:val="EMEANormal"/>
              <w:keepNext/>
              <w:widowControl w:val="0"/>
              <w:spacing w:before="60"/>
              <w:rPr>
                <w:szCs w:val="22"/>
                <w:lang w:val="pt-PT"/>
              </w:rPr>
            </w:pPr>
            <w:r w:rsidRPr="008912CF">
              <w:rPr>
                <w:szCs w:val="22"/>
                <w:lang w:val="pt-PT"/>
              </w:rPr>
              <w:t>Doenças respiratórias, torácicas e do mediastino *</w:t>
            </w:r>
          </w:p>
        </w:tc>
        <w:tc>
          <w:tcPr>
            <w:tcW w:w="1996" w:type="dxa"/>
            <w:tcBorders>
              <w:bottom w:val="nil"/>
            </w:tcBorders>
          </w:tcPr>
          <w:p w14:paraId="6370EF05" w14:textId="77777777" w:rsidR="002F6811" w:rsidRPr="008912CF" w:rsidRDefault="00615769" w:rsidP="002F6811">
            <w:pPr>
              <w:pStyle w:val="EMEANormal"/>
              <w:keepNext/>
              <w:widowControl w:val="0"/>
              <w:spacing w:before="60"/>
              <w:rPr>
                <w:szCs w:val="22"/>
                <w:lang w:val="pt-PT"/>
              </w:rPr>
            </w:pPr>
            <w:r w:rsidRPr="008912CF">
              <w:rPr>
                <w:szCs w:val="22"/>
                <w:lang w:val="pt-PT"/>
              </w:rPr>
              <w:t>Frequentes</w:t>
            </w:r>
          </w:p>
          <w:p w14:paraId="7E8E81B5" w14:textId="77777777" w:rsidR="002F6811" w:rsidRPr="008912CF" w:rsidRDefault="002F6811" w:rsidP="002F6811">
            <w:pPr>
              <w:pStyle w:val="EMEANormal"/>
              <w:keepNext/>
              <w:widowControl w:val="0"/>
              <w:spacing w:before="60"/>
              <w:rPr>
                <w:szCs w:val="22"/>
                <w:lang w:val="pt-PT"/>
              </w:rPr>
            </w:pPr>
          </w:p>
        </w:tc>
        <w:tc>
          <w:tcPr>
            <w:tcW w:w="4346" w:type="dxa"/>
            <w:tcBorders>
              <w:bottom w:val="nil"/>
            </w:tcBorders>
          </w:tcPr>
          <w:p w14:paraId="3C12F65D" w14:textId="77777777" w:rsidR="002F6811" w:rsidRPr="008912CF" w:rsidRDefault="00615769" w:rsidP="002F6811">
            <w:pPr>
              <w:pStyle w:val="EMEANormal"/>
              <w:keepNext/>
              <w:widowControl w:val="0"/>
              <w:spacing w:before="60"/>
              <w:rPr>
                <w:szCs w:val="22"/>
                <w:lang w:val="pt-PT"/>
              </w:rPr>
            </w:pPr>
            <w:r>
              <w:rPr>
                <w:szCs w:val="22"/>
                <w:lang w:val="pt-PT"/>
              </w:rPr>
              <w:t>A</w:t>
            </w:r>
            <w:r w:rsidRPr="008912CF">
              <w:rPr>
                <w:szCs w:val="22"/>
                <w:lang w:val="pt-PT"/>
              </w:rPr>
              <w:t xml:space="preserve">sma, </w:t>
            </w:r>
          </w:p>
          <w:p w14:paraId="3E822022" w14:textId="77777777" w:rsidR="002F6811" w:rsidRPr="008912CF" w:rsidRDefault="00615769" w:rsidP="002F6811">
            <w:pPr>
              <w:pStyle w:val="EMEANormal"/>
              <w:keepNext/>
              <w:widowControl w:val="0"/>
              <w:spacing w:before="60"/>
              <w:rPr>
                <w:szCs w:val="22"/>
                <w:lang w:val="pt-PT"/>
              </w:rPr>
            </w:pPr>
            <w:r w:rsidRPr="008912CF">
              <w:rPr>
                <w:szCs w:val="22"/>
                <w:lang w:val="pt-PT"/>
              </w:rPr>
              <w:t>dispneia,</w:t>
            </w:r>
          </w:p>
          <w:p w14:paraId="211783BB" w14:textId="77777777" w:rsidR="002F6811" w:rsidRPr="008912CF" w:rsidRDefault="00615769" w:rsidP="002F6811">
            <w:pPr>
              <w:pStyle w:val="EMEANormal"/>
              <w:keepNext/>
              <w:widowControl w:val="0"/>
              <w:spacing w:before="60"/>
              <w:rPr>
                <w:szCs w:val="22"/>
                <w:lang w:val="pt-PT"/>
              </w:rPr>
            </w:pPr>
            <w:r w:rsidRPr="008912CF">
              <w:rPr>
                <w:szCs w:val="22"/>
                <w:lang w:val="pt-PT"/>
              </w:rPr>
              <w:t>tosse</w:t>
            </w:r>
          </w:p>
          <w:p w14:paraId="1E256C6F" w14:textId="77777777" w:rsidR="002F6811" w:rsidRPr="008912CF" w:rsidRDefault="002F6811" w:rsidP="002F6811">
            <w:pPr>
              <w:pStyle w:val="EMEANormal"/>
              <w:keepNext/>
              <w:widowControl w:val="0"/>
              <w:spacing w:before="60"/>
              <w:rPr>
                <w:szCs w:val="22"/>
                <w:lang w:val="pt-PT"/>
              </w:rPr>
            </w:pPr>
          </w:p>
        </w:tc>
      </w:tr>
      <w:tr w:rsidR="00A7162A" w14:paraId="6A81EEE3" w14:textId="77777777" w:rsidTr="002F6811">
        <w:tc>
          <w:tcPr>
            <w:tcW w:w="2514" w:type="dxa"/>
            <w:vMerge/>
          </w:tcPr>
          <w:p w14:paraId="33B3E76D" w14:textId="77777777" w:rsidR="002F6811" w:rsidRPr="008912CF" w:rsidRDefault="002F6811" w:rsidP="002F6811">
            <w:pPr>
              <w:keepNext/>
              <w:widowControl w:val="0"/>
              <w:spacing w:before="60"/>
              <w:jc w:val="center"/>
              <w:rPr>
                <w:b/>
              </w:rPr>
            </w:pPr>
          </w:p>
        </w:tc>
        <w:tc>
          <w:tcPr>
            <w:tcW w:w="1996" w:type="dxa"/>
            <w:tcBorders>
              <w:top w:val="nil"/>
              <w:bottom w:val="nil"/>
            </w:tcBorders>
          </w:tcPr>
          <w:p w14:paraId="17C2017D" w14:textId="77777777" w:rsidR="002F6811" w:rsidRPr="008912CF" w:rsidRDefault="00615769" w:rsidP="002F6811">
            <w:pPr>
              <w:pStyle w:val="EMEANormal"/>
              <w:keepNext/>
              <w:widowControl w:val="0"/>
              <w:rPr>
                <w:szCs w:val="22"/>
                <w:lang w:val="pt-PT"/>
              </w:rPr>
            </w:pPr>
            <w:r w:rsidRPr="008912CF">
              <w:rPr>
                <w:szCs w:val="22"/>
                <w:lang w:val="pt-PT"/>
              </w:rPr>
              <w:t>Pouco frequentes</w:t>
            </w:r>
          </w:p>
          <w:p w14:paraId="08BFD76E" w14:textId="77777777" w:rsidR="002F6811" w:rsidRPr="008912CF" w:rsidRDefault="002F6811" w:rsidP="002F6811">
            <w:pPr>
              <w:pStyle w:val="EMEANormal"/>
              <w:keepNext/>
              <w:widowControl w:val="0"/>
              <w:rPr>
                <w:szCs w:val="22"/>
                <w:lang w:val="pt-PT"/>
              </w:rPr>
            </w:pPr>
          </w:p>
          <w:p w14:paraId="42B84138" w14:textId="77777777" w:rsidR="002F6811" w:rsidRPr="008912CF" w:rsidRDefault="002F6811" w:rsidP="002F6811">
            <w:pPr>
              <w:pStyle w:val="EMEANormal"/>
              <w:keepNext/>
              <w:widowControl w:val="0"/>
              <w:rPr>
                <w:szCs w:val="22"/>
                <w:lang w:val="pt-PT"/>
              </w:rPr>
            </w:pPr>
          </w:p>
          <w:p w14:paraId="31AAEC45" w14:textId="77777777" w:rsidR="002F6811" w:rsidRPr="008912CF" w:rsidRDefault="002F6811" w:rsidP="002F6811">
            <w:pPr>
              <w:pStyle w:val="EMEANormal"/>
              <w:keepNext/>
              <w:widowControl w:val="0"/>
              <w:rPr>
                <w:szCs w:val="22"/>
                <w:lang w:val="pt-PT"/>
              </w:rPr>
            </w:pPr>
          </w:p>
          <w:p w14:paraId="0536CE44" w14:textId="77777777" w:rsidR="002F6811" w:rsidRPr="008912CF" w:rsidRDefault="002F6811" w:rsidP="002F6811">
            <w:pPr>
              <w:pStyle w:val="EMEANormal"/>
              <w:keepNext/>
              <w:widowControl w:val="0"/>
              <w:rPr>
                <w:szCs w:val="22"/>
                <w:lang w:val="pt-PT"/>
              </w:rPr>
            </w:pPr>
          </w:p>
        </w:tc>
        <w:tc>
          <w:tcPr>
            <w:tcW w:w="4346" w:type="dxa"/>
            <w:tcBorders>
              <w:top w:val="nil"/>
              <w:bottom w:val="nil"/>
            </w:tcBorders>
          </w:tcPr>
          <w:p w14:paraId="2293A6D9" w14:textId="77777777" w:rsidR="002F6811" w:rsidRPr="008912CF" w:rsidRDefault="00615769" w:rsidP="002F6811">
            <w:pPr>
              <w:pStyle w:val="EMEANormal"/>
              <w:keepNext/>
              <w:widowControl w:val="0"/>
              <w:rPr>
                <w:szCs w:val="22"/>
                <w:lang w:val="pt-PT"/>
              </w:rPr>
            </w:pPr>
            <w:r>
              <w:rPr>
                <w:szCs w:val="22"/>
                <w:lang w:val="pt-PT"/>
              </w:rPr>
              <w:t>E</w:t>
            </w:r>
            <w:r w:rsidRPr="008912CF">
              <w:rPr>
                <w:szCs w:val="22"/>
                <w:lang w:val="pt-PT"/>
              </w:rPr>
              <w:t>mboli</w:t>
            </w:r>
            <w:r>
              <w:rPr>
                <w:szCs w:val="22"/>
                <w:lang w:val="pt-PT"/>
              </w:rPr>
              <w:t>a</w:t>
            </w:r>
            <w:r w:rsidRPr="008912CF">
              <w:rPr>
                <w:szCs w:val="22"/>
                <w:lang w:val="pt-PT"/>
              </w:rPr>
              <w:t xml:space="preserve"> pulmonar</w:t>
            </w:r>
            <w:r w:rsidRPr="008912CF">
              <w:rPr>
                <w:szCs w:val="22"/>
                <w:vertAlign w:val="superscript"/>
                <w:lang w:val="pt-PT"/>
              </w:rPr>
              <w:t>1)</w:t>
            </w:r>
            <w:r w:rsidRPr="008912CF">
              <w:rPr>
                <w:szCs w:val="22"/>
                <w:lang w:val="pt-PT"/>
              </w:rPr>
              <w:t>,</w:t>
            </w:r>
          </w:p>
          <w:p w14:paraId="1574A9C0" w14:textId="77777777" w:rsidR="002F6811" w:rsidRPr="008912CF" w:rsidRDefault="00615769" w:rsidP="002F6811">
            <w:pPr>
              <w:pStyle w:val="EMEANormal"/>
              <w:keepNext/>
              <w:widowControl w:val="0"/>
              <w:rPr>
                <w:szCs w:val="22"/>
                <w:lang w:val="pt-PT"/>
              </w:rPr>
            </w:pPr>
            <w:r w:rsidRPr="008912CF">
              <w:rPr>
                <w:szCs w:val="22"/>
                <w:lang w:val="pt-PT"/>
              </w:rPr>
              <w:t xml:space="preserve">doença pulmonar intersticial, </w:t>
            </w:r>
          </w:p>
          <w:p w14:paraId="37A0F933" w14:textId="77777777" w:rsidR="002F6811" w:rsidRPr="008912CF" w:rsidRDefault="00615769" w:rsidP="002F6811">
            <w:pPr>
              <w:pStyle w:val="EMEANormal"/>
              <w:keepNext/>
              <w:widowControl w:val="0"/>
              <w:rPr>
                <w:szCs w:val="22"/>
                <w:lang w:val="pt-PT"/>
              </w:rPr>
            </w:pPr>
            <w:r w:rsidRPr="008912CF">
              <w:rPr>
                <w:szCs w:val="22"/>
                <w:lang w:val="pt-PT"/>
              </w:rPr>
              <w:t xml:space="preserve">doença pulmonar </w:t>
            </w:r>
            <w:r w:rsidR="00D9472B" w:rsidRPr="008912CF">
              <w:rPr>
                <w:szCs w:val="22"/>
                <w:lang w:val="pt-PT"/>
              </w:rPr>
              <w:t xml:space="preserve">obstrutiva </w:t>
            </w:r>
            <w:r w:rsidRPr="008912CF">
              <w:rPr>
                <w:szCs w:val="22"/>
                <w:lang w:val="pt-PT"/>
              </w:rPr>
              <w:t xml:space="preserve">crónica, </w:t>
            </w:r>
          </w:p>
          <w:p w14:paraId="3584FA30" w14:textId="77777777" w:rsidR="002F6811" w:rsidRPr="008912CF" w:rsidRDefault="00615769" w:rsidP="002F6811">
            <w:pPr>
              <w:pStyle w:val="EMEANormal"/>
              <w:keepNext/>
              <w:widowControl w:val="0"/>
              <w:rPr>
                <w:szCs w:val="22"/>
                <w:lang w:val="pt-PT"/>
              </w:rPr>
            </w:pPr>
            <w:r w:rsidRPr="008912CF">
              <w:rPr>
                <w:szCs w:val="22"/>
                <w:lang w:val="pt-PT"/>
              </w:rPr>
              <w:t>pneumonite,</w:t>
            </w:r>
          </w:p>
          <w:p w14:paraId="497EC30D" w14:textId="77777777" w:rsidR="002F6811" w:rsidRPr="008912CF" w:rsidRDefault="00615769" w:rsidP="002F6811">
            <w:pPr>
              <w:pStyle w:val="EMEANormal"/>
              <w:keepNext/>
              <w:widowControl w:val="0"/>
              <w:rPr>
                <w:szCs w:val="22"/>
                <w:vertAlign w:val="superscript"/>
                <w:lang w:val="pt-PT"/>
              </w:rPr>
            </w:pPr>
            <w:r w:rsidRPr="008912CF">
              <w:rPr>
                <w:szCs w:val="22"/>
                <w:lang w:val="pt-PT"/>
              </w:rPr>
              <w:t>derrame pleural</w:t>
            </w:r>
            <w:r w:rsidRPr="008912CF">
              <w:rPr>
                <w:szCs w:val="22"/>
                <w:vertAlign w:val="superscript"/>
                <w:lang w:val="pt-PT"/>
              </w:rPr>
              <w:t>1)</w:t>
            </w:r>
          </w:p>
          <w:p w14:paraId="1F0DABBB" w14:textId="77777777" w:rsidR="002F6811" w:rsidRPr="008912CF" w:rsidRDefault="002F6811" w:rsidP="002F6811">
            <w:pPr>
              <w:pStyle w:val="EMEANormal"/>
              <w:keepNext/>
              <w:widowControl w:val="0"/>
              <w:rPr>
                <w:szCs w:val="22"/>
                <w:lang w:val="pt-PT"/>
              </w:rPr>
            </w:pPr>
          </w:p>
        </w:tc>
      </w:tr>
      <w:tr w:rsidR="00A7162A" w14:paraId="6AB2D224" w14:textId="77777777" w:rsidTr="002F6811">
        <w:tc>
          <w:tcPr>
            <w:tcW w:w="2514" w:type="dxa"/>
            <w:vMerge/>
          </w:tcPr>
          <w:p w14:paraId="15B65F06" w14:textId="77777777" w:rsidR="002F6811" w:rsidRPr="008912CF" w:rsidRDefault="002F6811" w:rsidP="002F6811">
            <w:pPr>
              <w:keepNext/>
              <w:widowControl w:val="0"/>
              <w:spacing w:before="60"/>
              <w:jc w:val="center"/>
              <w:rPr>
                <w:b/>
              </w:rPr>
            </w:pPr>
          </w:p>
        </w:tc>
        <w:tc>
          <w:tcPr>
            <w:tcW w:w="1996" w:type="dxa"/>
            <w:tcBorders>
              <w:top w:val="nil"/>
            </w:tcBorders>
          </w:tcPr>
          <w:p w14:paraId="10681384" w14:textId="77777777" w:rsidR="002F6811" w:rsidRPr="008912CF" w:rsidRDefault="00615769" w:rsidP="002F6811">
            <w:pPr>
              <w:pStyle w:val="EMEANormal"/>
              <w:keepNext/>
              <w:widowControl w:val="0"/>
              <w:rPr>
                <w:szCs w:val="22"/>
                <w:lang w:val="pt-PT"/>
              </w:rPr>
            </w:pPr>
            <w:r w:rsidRPr="008912CF">
              <w:rPr>
                <w:szCs w:val="22"/>
                <w:lang w:val="pt-PT"/>
              </w:rPr>
              <w:t>Raros</w:t>
            </w:r>
          </w:p>
        </w:tc>
        <w:tc>
          <w:tcPr>
            <w:tcW w:w="4346" w:type="dxa"/>
            <w:tcBorders>
              <w:top w:val="nil"/>
            </w:tcBorders>
          </w:tcPr>
          <w:p w14:paraId="03C17A7C" w14:textId="77777777" w:rsidR="002F6811" w:rsidRPr="008912CF" w:rsidRDefault="00615769" w:rsidP="002F6811">
            <w:pPr>
              <w:pStyle w:val="EMEANormal"/>
              <w:keepNext/>
              <w:widowControl w:val="0"/>
              <w:rPr>
                <w:szCs w:val="22"/>
                <w:vertAlign w:val="superscript"/>
                <w:lang w:val="pt-PT"/>
              </w:rPr>
            </w:pPr>
            <w:r>
              <w:rPr>
                <w:szCs w:val="22"/>
                <w:lang w:val="pt-PT"/>
              </w:rPr>
              <w:t>F</w:t>
            </w:r>
            <w:r w:rsidRPr="008912CF">
              <w:rPr>
                <w:szCs w:val="22"/>
                <w:lang w:val="pt-PT"/>
              </w:rPr>
              <w:t>ibrose pulmonar</w:t>
            </w:r>
            <w:r w:rsidRPr="008912CF">
              <w:rPr>
                <w:szCs w:val="22"/>
                <w:vertAlign w:val="superscript"/>
                <w:lang w:val="pt-PT"/>
              </w:rPr>
              <w:t>1)</w:t>
            </w:r>
          </w:p>
          <w:p w14:paraId="30849E1F" w14:textId="77777777" w:rsidR="002F6811" w:rsidRPr="008912CF" w:rsidRDefault="002F6811" w:rsidP="002F6811">
            <w:pPr>
              <w:pStyle w:val="EMEANormal"/>
              <w:keepNext/>
              <w:widowControl w:val="0"/>
              <w:rPr>
                <w:szCs w:val="22"/>
                <w:lang w:val="pt-PT"/>
              </w:rPr>
            </w:pPr>
          </w:p>
        </w:tc>
      </w:tr>
      <w:tr w:rsidR="00A7162A" w14:paraId="0C766074" w14:textId="77777777" w:rsidTr="002F6811">
        <w:tc>
          <w:tcPr>
            <w:tcW w:w="2514" w:type="dxa"/>
            <w:vMerge w:val="restart"/>
          </w:tcPr>
          <w:p w14:paraId="6934A8D6" w14:textId="77777777" w:rsidR="002F6811" w:rsidRPr="008912CF" w:rsidRDefault="00615769" w:rsidP="002F6811">
            <w:pPr>
              <w:pStyle w:val="EMEANormal"/>
              <w:widowControl w:val="0"/>
              <w:spacing w:before="60"/>
              <w:rPr>
                <w:szCs w:val="22"/>
                <w:lang w:val="pt-PT"/>
              </w:rPr>
            </w:pPr>
            <w:r w:rsidRPr="008912CF">
              <w:rPr>
                <w:szCs w:val="22"/>
                <w:lang w:val="pt-PT"/>
              </w:rPr>
              <w:t>Doenças gastrointestinais</w:t>
            </w:r>
          </w:p>
        </w:tc>
        <w:tc>
          <w:tcPr>
            <w:tcW w:w="1996" w:type="dxa"/>
            <w:tcBorders>
              <w:bottom w:val="nil"/>
            </w:tcBorders>
          </w:tcPr>
          <w:p w14:paraId="243DF9F4" w14:textId="77777777" w:rsidR="002F6811" w:rsidRPr="008912CF" w:rsidRDefault="00615769" w:rsidP="002F6811">
            <w:pPr>
              <w:pStyle w:val="EMEANormal"/>
              <w:widowControl w:val="0"/>
              <w:spacing w:before="60"/>
              <w:rPr>
                <w:szCs w:val="22"/>
                <w:lang w:val="pt-PT"/>
              </w:rPr>
            </w:pPr>
            <w:r w:rsidRPr="008912CF">
              <w:rPr>
                <w:szCs w:val="22"/>
                <w:lang w:val="pt-PT"/>
              </w:rPr>
              <w:t xml:space="preserve">Muito frequentes </w:t>
            </w:r>
          </w:p>
        </w:tc>
        <w:tc>
          <w:tcPr>
            <w:tcW w:w="4346" w:type="dxa"/>
            <w:tcBorders>
              <w:bottom w:val="nil"/>
            </w:tcBorders>
          </w:tcPr>
          <w:p w14:paraId="78AAC1CE" w14:textId="77777777" w:rsidR="002F6811" w:rsidRPr="008912CF" w:rsidRDefault="00615769" w:rsidP="002F6811">
            <w:pPr>
              <w:pStyle w:val="EMEANormal"/>
              <w:widowControl w:val="0"/>
              <w:spacing w:before="60"/>
              <w:rPr>
                <w:szCs w:val="22"/>
                <w:lang w:val="pt-PT"/>
              </w:rPr>
            </w:pPr>
            <w:r>
              <w:rPr>
                <w:szCs w:val="22"/>
                <w:lang w:val="pt-PT"/>
              </w:rPr>
              <w:t>D</w:t>
            </w:r>
            <w:r w:rsidRPr="008912CF">
              <w:rPr>
                <w:szCs w:val="22"/>
                <w:lang w:val="pt-PT"/>
              </w:rPr>
              <w:t xml:space="preserve">or abdominal, </w:t>
            </w:r>
          </w:p>
          <w:p w14:paraId="49D9F691" w14:textId="77777777" w:rsidR="002F6811" w:rsidRPr="008912CF" w:rsidRDefault="00615769" w:rsidP="002F6811">
            <w:pPr>
              <w:pStyle w:val="EMEANormal"/>
              <w:widowControl w:val="0"/>
              <w:spacing w:before="60"/>
              <w:rPr>
                <w:szCs w:val="22"/>
                <w:lang w:val="pt-PT"/>
              </w:rPr>
            </w:pPr>
            <w:r w:rsidRPr="008912CF">
              <w:rPr>
                <w:szCs w:val="22"/>
                <w:lang w:val="pt-PT"/>
              </w:rPr>
              <w:t>náuseas e vómitos</w:t>
            </w:r>
          </w:p>
          <w:p w14:paraId="49D506E5" w14:textId="77777777" w:rsidR="002F6811" w:rsidRPr="008912CF" w:rsidRDefault="002F6811" w:rsidP="002F6811">
            <w:pPr>
              <w:pStyle w:val="EMEANormal"/>
              <w:widowControl w:val="0"/>
              <w:spacing w:before="60"/>
              <w:rPr>
                <w:szCs w:val="22"/>
                <w:lang w:val="pt-PT"/>
              </w:rPr>
            </w:pPr>
          </w:p>
        </w:tc>
      </w:tr>
      <w:tr w:rsidR="00A7162A" w14:paraId="481CA0A6" w14:textId="77777777" w:rsidTr="002F6811">
        <w:tc>
          <w:tcPr>
            <w:tcW w:w="2514" w:type="dxa"/>
            <w:vMerge/>
          </w:tcPr>
          <w:p w14:paraId="345EECC7" w14:textId="77777777" w:rsidR="002F6811" w:rsidRPr="008912CF" w:rsidRDefault="002F6811" w:rsidP="002F6811">
            <w:pPr>
              <w:widowControl w:val="0"/>
              <w:spacing w:before="60"/>
              <w:jc w:val="center"/>
              <w:rPr>
                <w:b/>
              </w:rPr>
            </w:pPr>
          </w:p>
        </w:tc>
        <w:tc>
          <w:tcPr>
            <w:tcW w:w="1996" w:type="dxa"/>
            <w:tcBorders>
              <w:top w:val="nil"/>
            </w:tcBorders>
          </w:tcPr>
          <w:p w14:paraId="38AE4F55" w14:textId="77777777" w:rsidR="002F6811" w:rsidRPr="008912CF" w:rsidRDefault="00615769" w:rsidP="002F6811">
            <w:pPr>
              <w:pStyle w:val="EMEANormal"/>
              <w:widowControl w:val="0"/>
              <w:rPr>
                <w:szCs w:val="22"/>
                <w:lang w:val="pt-PT"/>
              </w:rPr>
            </w:pPr>
            <w:r w:rsidRPr="008912CF">
              <w:rPr>
                <w:szCs w:val="22"/>
                <w:lang w:val="pt-PT"/>
              </w:rPr>
              <w:t>Frequentes</w:t>
            </w:r>
          </w:p>
          <w:p w14:paraId="12263CD5" w14:textId="77777777" w:rsidR="002F6811" w:rsidRPr="008912CF" w:rsidRDefault="002F6811" w:rsidP="002F6811">
            <w:pPr>
              <w:pStyle w:val="EMEANormal"/>
              <w:widowControl w:val="0"/>
              <w:rPr>
                <w:szCs w:val="22"/>
                <w:lang w:val="pt-PT"/>
              </w:rPr>
            </w:pPr>
          </w:p>
        </w:tc>
        <w:tc>
          <w:tcPr>
            <w:tcW w:w="4346" w:type="dxa"/>
            <w:tcBorders>
              <w:top w:val="nil"/>
            </w:tcBorders>
          </w:tcPr>
          <w:p w14:paraId="5FF87FC2" w14:textId="77777777" w:rsidR="002F6811" w:rsidRPr="008912CF" w:rsidRDefault="00615769" w:rsidP="002F6811">
            <w:pPr>
              <w:pStyle w:val="EMEANormal"/>
              <w:widowControl w:val="0"/>
              <w:rPr>
                <w:szCs w:val="22"/>
                <w:lang w:val="pt-PT"/>
              </w:rPr>
            </w:pPr>
            <w:r>
              <w:rPr>
                <w:szCs w:val="22"/>
                <w:lang w:val="pt-PT"/>
              </w:rPr>
              <w:t>H</w:t>
            </w:r>
            <w:r w:rsidRPr="008912CF">
              <w:rPr>
                <w:szCs w:val="22"/>
                <w:lang w:val="pt-PT"/>
              </w:rPr>
              <w:t xml:space="preserve">emorragia gastrointestinal, </w:t>
            </w:r>
          </w:p>
          <w:p w14:paraId="5B4A2126" w14:textId="77777777" w:rsidR="002F6811" w:rsidRPr="008912CF" w:rsidRDefault="00615769" w:rsidP="002F6811">
            <w:pPr>
              <w:pStyle w:val="EMEANormal"/>
              <w:widowControl w:val="0"/>
              <w:rPr>
                <w:szCs w:val="22"/>
                <w:lang w:val="pt-PT"/>
              </w:rPr>
            </w:pPr>
            <w:r w:rsidRPr="008912CF">
              <w:rPr>
                <w:szCs w:val="22"/>
                <w:lang w:val="pt-PT"/>
              </w:rPr>
              <w:t xml:space="preserve">dispepsia, </w:t>
            </w:r>
          </w:p>
          <w:p w14:paraId="45E68951" w14:textId="77777777" w:rsidR="002F6811" w:rsidRPr="008912CF" w:rsidRDefault="00615769" w:rsidP="002F6811">
            <w:pPr>
              <w:pStyle w:val="EMEANormal"/>
              <w:widowControl w:val="0"/>
              <w:rPr>
                <w:szCs w:val="22"/>
                <w:lang w:val="pt-PT"/>
              </w:rPr>
            </w:pPr>
            <w:r w:rsidRPr="008912CF">
              <w:rPr>
                <w:szCs w:val="22"/>
                <w:lang w:val="pt-PT"/>
              </w:rPr>
              <w:t>doença de refluxo gastroesofágico,</w:t>
            </w:r>
          </w:p>
          <w:p w14:paraId="382ED273" w14:textId="77777777" w:rsidR="002F6811" w:rsidRPr="008912CF" w:rsidRDefault="00615769" w:rsidP="002F6811">
            <w:pPr>
              <w:pStyle w:val="EMEANormal"/>
              <w:widowControl w:val="0"/>
              <w:rPr>
                <w:szCs w:val="22"/>
                <w:lang w:val="pt-PT"/>
              </w:rPr>
            </w:pPr>
            <w:r w:rsidRPr="008912CF">
              <w:rPr>
                <w:szCs w:val="22"/>
                <w:lang w:val="pt-PT"/>
              </w:rPr>
              <w:t>síndrome de sicca</w:t>
            </w:r>
          </w:p>
          <w:p w14:paraId="774C6070" w14:textId="77777777" w:rsidR="002F6811" w:rsidRPr="008912CF" w:rsidRDefault="002F6811" w:rsidP="002F6811">
            <w:pPr>
              <w:pStyle w:val="EMEANormal"/>
              <w:widowControl w:val="0"/>
              <w:rPr>
                <w:szCs w:val="22"/>
                <w:lang w:val="pt-PT"/>
              </w:rPr>
            </w:pPr>
          </w:p>
        </w:tc>
      </w:tr>
      <w:tr w:rsidR="00A7162A" w14:paraId="491B3582" w14:textId="77777777" w:rsidTr="002F6811">
        <w:tc>
          <w:tcPr>
            <w:tcW w:w="2514" w:type="dxa"/>
            <w:vMerge/>
          </w:tcPr>
          <w:p w14:paraId="0D4BD2CE" w14:textId="77777777" w:rsidR="002F6811" w:rsidRPr="008912CF" w:rsidRDefault="002F6811" w:rsidP="002F6811">
            <w:pPr>
              <w:widowControl w:val="0"/>
              <w:spacing w:before="60"/>
              <w:jc w:val="center"/>
              <w:rPr>
                <w:b/>
              </w:rPr>
            </w:pPr>
          </w:p>
        </w:tc>
        <w:tc>
          <w:tcPr>
            <w:tcW w:w="1996" w:type="dxa"/>
            <w:tcBorders>
              <w:bottom w:val="nil"/>
            </w:tcBorders>
          </w:tcPr>
          <w:p w14:paraId="30E2DBCA" w14:textId="77777777" w:rsidR="002F6811" w:rsidRPr="008912CF" w:rsidRDefault="00615769" w:rsidP="002F6811">
            <w:pPr>
              <w:pStyle w:val="EMEANormal"/>
              <w:widowControl w:val="0"/>
              <w:rPr>
                <w:szCs w:val="22"/>
                <w:lang w:val="pt-PT"/>
              </w:rPr>
            </w:pPr>
            <w:r w:rsidRPr="008912CF">
              <w:rPr>
                <w:szCs w:val="22"/>
                <w:lang w:val="pt-PT"/>
              </w:rPr>
              <w:t>Pouco frequentes</w:t>
            </w:r>
          </w:p>
          <w:p w14:paraId="0A169BA5" w14:textId="77777777" w:rsidR="002F6811" w:rsidRPr="008912CF" w:rsidRDefault="002F6811" w:rsidP="002F6811">
            <w:pPr>
              <w:pStyle w:val="EMEANormal"/>
              <w:widowControl w:val="0"/>
              <w:rPr>
                <w:szCs w:val="22"/>
                <w:lang w:val="pt-PT"/>
              </w:rPr>
            </w:pPr>
          </w:p>
          <w:p w14:paraId="205DB274" w14:textId="77777777" w:rsidR="002F6811" w:rsidRPr="008912CF" w:rsidRDefault="002F6811" w:rsidP="002F6811">
            <w:pPr>
              <w:pStyle w:val="EMEANormal"/>
              <w:widowControl w:val="0"/>
              <w:rPr>
                <w:szCs w:val="22"/>
                <w:lang w:val="pt-PT"/>
              </w:rPr>
            </w:pPr>
          </w:p>
        </w:tc>
        <w:tc>
          <w:tcPr>
            <w:tcW w:w="4346" w:type="dxa"/>
            <w:tcBorders>
              <w:bottom w:val="nil"/>
            </w:tcBorders>
          </w:tcPr>
          <w:p w14:paraId="4593D7BE" w14:textId="77777777" w:rsidR="002F6811" w:rsidRPr="008912CF" w:rsidRDefault="00615769" w:rsidP="002F6811">
            <w:pPr>
              <w:pStyle w:val="EMEANormal"/>
              <w:widowControl w:val="0"/>
              <w:rPr>
                <w:szCs w:val="22"/>
                <w:lang w:val="pt-PT"/>
              </w:rPr>
            </w:pPr>
            <w:r>
              <w:rPr>
                <w:szCs w:val="22"/>
                <w:lang w:val="pt-PT"/>
              </w:rPr>
              <w:t>P</w:t>
            </w:r>
            <w:r w:rsidRPr="008912CF">
              <w:rPr>
                <w:szCs w:val="22"/>
                <w:lang w:val="pt-PT"/>
              </w:rPr>
              <w:t xml:space="preserve">ancreatite, </w:t>
            </w:r>
          </w:p>
          <w:p w14:paraId="53C8786D" w14:textId="77777777" w:rsidR="002F6811" w:rsidRPr="008912CF" w:rsidRDefault="00615769" w:rsidP="002F6811">
            <w:pPr>
              <w:pStyle w:val="EMEANormal"/>
              <w:widowControl w:val="0"/>
              <w:rPr>
                <w:szCs w:val="22"/>
                <w:lang w:val="pt-PT"/>
              </w:rPr>
            </w:pPr>
            <w:r w:rsidRPr="008912CF">
              <w:rPr>
                <w:szCs w:val="22"/>
                <w:lang w:val="pt-PT"/>
              </w:rPr>
              <w:t>disfagia,</w:t>
            </w:r>
          </w:p>
          <w:p w14:paraId="4CC0D6B9" w14:textId="77777777" w:rsidR="002F6811" w:rsidRPr="008912CF" w:rsidRDefault="00615769" w:rsidP="002F6811">
            <w:pPr>
              <w:pStyle w:val="EMEANormal"/>
              <w:widowControl w:val="0"/>
              <w:rPr>
                <w:szCs w:val="22"/>
                <w:lang w:val="pt-PT"/>
              </w:rPr>
            </w:pPr>
            <w:r w:rsidRPr="008912CF">
              <w:rPr>
                <w:szCs w:val="22"/>
                <w:lang w:val="pt-PT"/>
              </w:rPr>
              <w:t>edema da face</w:t>
            </w:r>
          </w:p>
          <w:p w14:paraId="1CFA4AFB" w14:textId="77777777" w:rsidR="002F6811" w:rsidRPr="008912CF" w:rsidRDefault="002F6811" w:rsidP="002F6811">
            <w:pPr>
              <w:pStyle w:val="EMEANormal"/>
              <w:widowControl w:val="0"/>
              <w:rPr>
                <w:szCs w:val="22"/>
                <w:lang w:val="pt-PT"/>
              </w:rPr>
            </w:pPr>
          </w:p>
        </w:tc>
      </w:tr>
      <w:tr w:rsidR="00A7162A" w14:paraId="1BC9E5E9" w14:textId="77777777" w:rsidTr="002F6811">
        <w:tc>
          <w:tcPr>
            <w:tcW w:w="2514" w:type="dxa"/>
            <w:vMerge/>
          </w:tcPr>
          <w:p w14:paraId="33E08A27" w14:textId="77777777" w:rsidR="002F6811" w:rsidRPr="008912CF" w:rsidRDefault="002F6811" w:rsidP="002F6811">
            <w:pPr>
              <w:widowControl w:val="0"/>
              <w:spacing w:before="60"/>
              <w:jc w:val="center"/>
              <w:rPr>
                <w:b/>
              </w:rPr>
            </w:pPr>
          </w:p>
        </w:tc>
        <w:tc>
          <w:tcPr>
            <w:tcW w:w="1996" w:type="dxa"/>
            <w:tcBorders>
              <w:top w:val="nil"/>
            </w:tcBorders>
          </w:tcPr>
          <w:p w14:paraId="4820D069" w14:textId="77777777" w:rsidR="002F6811" w:rsidRPr="008912CF" w:rsidRDefault="00615769" w:rsidP="002F6811">
            <w:pPr>
              <w:pStyle w:val="EMEANormal"/>
              <w:widowControl w:val="0"/>
              <w:rPr>
                <w:szCs w:val="22"/>
                <w:lang w:val="pt-PT"/>
              </w:rPr>
            </w:pPr>
            <w:r w:rsidRPr="008912CF">
              <w:rPr>
                <w:szCs w:val="22"/>
                <w:lang w:val="pt-PT"/>
              </w:rPr>
              <w:t>Raros</w:t>
            </w:r>
          </w:p>
        </w:tc>
        <w:tc>
          <w:tcPr>
            <w:tcW w:w="4346" w:type="dxa"/>
            <w:tcBorders>
              <w:top w:val="nil"/>
            </w:tcBorders>
          </w:tcPr>
          <w:p w14:paraId="2DE8289C" w14:textId="77777777" w:rsidR="002F6811" w:rsidRPr="008912CF" w:rsidRDefault="00615769" w:rsidP="002F6811">
            <w:pPr>
              <w:pStyle w:val="EMEANormal"/>
              <w:widowControl w:val="0"/>
              <w:rPr>
                <w:szCs w:val="22"/>
                <w:vertAlign w:val="superscript"/>
                <w:lang w:val="pt-PT"/>
              </w:rPr>
            </w:pPr>
            <w:r>
              <w:rPr>
                <w:szCs w:val="22"/>
                <w:lang w:val="pt-PT"/>
              </w:rPr>
              <w:t>P</w:t>
            </w:r>
            <w:r w:rsidRPr="008912CF">
              <w:rPr>
                <w:szCs w:val="22"/>
                <w:lang w:val="pt-PT"/>
              </w:rPr>
              <w:t>erfuração intestinal</w:t>
            </w:r>
            <w:r w:rsidRPr="008912CF">
              <w:rPr>
                <w:szCs w:val="22"/>
                <w:vertAlign w:val="superscript"/>
                <w:lang w:val="pt-PT"/>
              </w:rPr>
              <w:t>1)</w:t>
            </w:r>
          </w:p>
          <w:p w14:paraId="3E6AA1B1" w14:textId="77777777" w:rsidR="002F6811" w:rsidRPr="008912CF" w:rsidRDefault="002F6811" w:rsidP="002F6811">
            <w:pPr>
              <w:pStyle w:val="EMEANormal"/>
              <w:widowControl w:val="0"/>
              <w:rPr>
                <w:szCs w:val="22"/>
                <w:lang w:val="pt-PT"/>
              </w:rPr>
            </w:pPr>
          </w:p>
        </w:tc>
      </w:tr>
      <w:tr w:rsidR="00A7162A" w14:paraId="5ED8B363" w14:textId="77777777" w:rsidTr="002F6811">
        <w:tc>
          <w:tcPr>
            <w:tcW w:w="2514" w:type="dxa"/>
            <w:vMerge w:val="restart"/>
          </w:tcPr>
          <w:p w14:paraId="2B85D09F" w14:textId="77777777" w:rsidR="002F6811" w:rsidRPr="008912CF" w:rsidRDefault="00615769" w:rsidP="002F6811">
            <w:pPr>
              <w:pStyle w:val="EMEANormal"/>
              <w:widowControl w:val="0"/>
              <w:spacing w:before="60"/>
              <w:rPr>
                <w:szCs w:val="22"/>
                <w:lang w:val="pt-PT"/>
              </w:rPr>
            </w:pPr>
            <w:r w:rsidRPr="008912CF">
              <w:rPr>
                <w:szCs w:val="22"/>
                <w:lang w:val="pt-PT"/>
              </w:rPr>
              <w:t>Afeções hepatobiliares *</w:t>
            </w:r>
          </w:p>
        </w:tc>
        <w:tc>
          <w:tcPr>
            <w:tcW w:w="1996" w:type="dxa"/>
            <w:tcBorders>
              <w:bottom w:val="nil"/>
            </w:tcBorders>
          </w:tcPr>
          <w:p w14:paraId="47A12759" w14:textId="77777777" w:rsidR="002F6811" w:rsidRPr="008912CF" w:rsidRDefault="00615769" w:rsidP="002F6811">
            <w:pPr>
              <w:pStyle w:val="EMEANormal"/>
              <w:widowControl w:val="0"/>
              <w:spacing w:before="60"/>
              <w:rPr>
                <w:szCs w:val="22"/>
                <w:lang w:val="pt-PT"/>
              </w:rPr>
            </w:pPr>
            <w:r w:rsidRPr="008912CF">
              <w:rPr>
                <w:szCs w:val="22"/>
                <w:lang w:val="pt-PT"/>
              </w:rPr>
              <w:t>Muito frequentes</w:t>
            </w:r>
          </w:p>
        </w:tc>
        <w:tc>
          <w:tcPr>
            <w:tcW w:w="4346" w:type="dxa"/>
            <w:tcBorders>
              <w:bottom w:val="nil"/>
            </w:tcBorders>
          </w:tcPr>
          <w:p w14:paraId="0C6F5508" w14:textId="77777777" w:rsidR="002F6811" w:rsidRPr="008912CF" w:rsidRDefault="00615769" w:rsidP="002F6811">
            <w:pPr>
              <w:pStyle w:val="EMEANormal"/>
              <w:widowControl w:val="0"/>
              <w:spacing w:before="60"/>
              <w:rPr>
                <w:szCs w:val="22"/>
                <w:lang w:val="pt-PT"/>
              </w:rPr>
            </w:pPr>
            <w:r>
              <w:rPr>
                <w:szCs w:val="22"/>
                <w:lang w:val="pt-PT"/>
              </w:rPr>
              <w:t>A</w:t>
            </w:r>
            <w:r w:rsidRPr="008912CF">
              <w:rPr>
                <w:szCs w:val="22"/>
                <w:lang w:val="pt-PT"/>
              </w:rPr>
              <w:t>umento de enzimas hepáticas</w:t>
            </w:r>
          </w:p>
          <w:p w14:paraId="261DC343" w14:textId="77777777" w:rsidR="002F6811" w:rsidRPr="008912CF" w:rsidRDefault="002F6811" w:rsidP="002F6811">
            <w:pPr>
              <w:pStyle w:val="EMEANormal"/>
              <w:widowControl w:val="0"/>
              <w:spacing w:before="60"/>
              <w:rPr>
                <w:szCs w:val="22"/>
                <w:lang w:val="pt-PT"/>
              </w:rPr>
            </w:pPr>
          </w:p>
        </w:tc>
      </w:tr>
      <w:tr w:rsidR="00A7162A" w14:paraId="4743F8C5" w14:textId="77777777" w:rsidTr="002F6811">
        <w:tc>
          <w:tcPr>
            <w:tcW w:w="2514" w:type="dxa"/>
            <w:vMerge/>
          </w:tcPr>
          <w:p w14:paraId="3A66B2D5" w14:textId="77777777" w:rsidR="002F6811" w:rsidRPr="008912CF" w:rsidRDefault="002F6811" w:rsidP="002F6811">
            <w:pPr>
              <w:pStyle w:val="EMEANormal"/>
              <w:widowControl w:val="0"/>
              <w:spacing w:before="60"/>
              <w:rPr>
                <w:szCs w:val="22"/>
                <w:lang w:val="pt-PT"/>
              </w:rPr>
            </w:pPr>
          </w:p>
        </w:tc>
        <w:tc>
          <w:tcPr>
            <w:tcW w:w="1996" w:type="dxa"/>
            <w:tcBorders>
              <w:top w:val="nil"/>
              <w:bottom w:val="nil"/>
            </w:tcBorders>
          </w:tcPr>
          <w:p w14:paraId="10E7755E" w14:textId="77777777" w:rsidR="002F6811" w:rsidRPr="008912CF" w:rsidRDefault="00615769" w:rsidP="002F6811">
            <w:pPr>
              <w:pStyle w:val="EMEANormal"/>
              <w:widowControl w:val="0"/>
              <w:rPr>
                <w:szCs w:val="22"/>
                <w:lang w:val="pt-PT"/>
              </w:rPr>
            </w:pPr>
            <w:r w:rsidRPr="008912CF">
              <w:rPr>
                <w:szCs w:val="22"/>
                <w:lang w:val="pt-PT"/>
              </w:rPr>
              <w:t>Pouco frequentes</w:t>
            </w:r>
          </w:p>
          <w:p w14:paraId="1A8E3E6A" w14:textId="77777777" w:rsidR="002F6811" w:rsidRPr="008912CF" w:rsidRDefault="002F6811" w:rsidP="002F6811">
            <w:pPr>
              <w:pStyle w:val="EMEANormal"/>
              <w:widowControl w:val="0"/>
              <w:rPr>
                <w:szCs w:val="22"/>
                <w:lang w:val="pt-PT"/>
              </w:rPr>
            </w:pPr>
          </w:p>
          <w:p w14:paraId="5DFD22E0" w14:textId="77777777" w:rsidR="002F6811" w:rsidRPr="008912CF" w:rsidRDefault="002F6811" w:rsidP="002F6811">
            <w:pPr>
              <w:pStyle w:val="EMEANormal"/>
              <w:widowControl w:val="0"/>
              <w:rPr>
                <w:szCs w:val="22"/>
                <w:lang w:val="pt-PT"/>
              </w:rPr>
            </w:pPr>
          </w:p>
        </w:tc>
        <w:tc>
          <w:tcPr>
            <w:tcW w:w="4346" w:type="dxa"/>
            <w:tcBorders>
              <w:top w:val="nil"/>
              <w:bottom w:val="nil"/>
            </w:tcBorders>
          </w:tcPr>
          <w:p w14:paraId="532FD852" w14:textId="77777777" w:rsidR="002F6811" w:rsidRPr="008912CF" w:rsidRDefault="00615769" w:rsidP="002F6811">
            <w:pPr>
              <w:pStyle w:val="EMEANormal"/>
              <w:widowControl w:val="0"/>
              <w:rPr>
                <w:szCs w:val="22"/>
                <w:lang w:val="pt-PT"/>
              </w:rPr>
            </w:pPr>
            <w:r>
              <w:rPr>
                <w:szCs w:val="22"/>
                <w:lang w:val="pt-PT"/>
              </w:rPr>
              <w:t>C</w:t>
            </w:r>
            <w:r w:rsidRPr="008912CF">
              <w:rPr>
                <w:szCs w:val="22"/>
                <w:lang w:val="pt-PT"/>
              </w:rPr>
              <w:t xml:space="preserve">olecistite e colelitíase, </w:t>
            </w:r>
          </w:p>
          <w:p w14:paraId="6D8A9FAC" w14:textId="77777777" w:rsidR="002F6811" w:rsidRPr="008912CF" w:rsidRDefault="00615769" w:rsidP="002F6811">
            <w:pPr>
              <w:autoSpaceDE w:val="0"/>
              <w:autoSpaceDN w:val="0"/>
              <w:adjustRightInd w:val="0"/>
            </w:pPr>
            <w:r w:rsidRPr="008912CF">
              <w:rPr>
                <w:sz w:val="22"/>
                <w:szCs w:val="22"/>
              </w:rPr>
              <w:t>esteatose hepática,</w:t>
            </w:r>
          </w:p>
          <w:p w14:paraId="7A1C7A2C" w14:textId="77777777" w:rsidR="002F6811" w:rsidRPr="008912CF" w:rsidRDefault="00615769" w:rsidP="002F6811">
            <w:pPr>
              <w:pStyle w:val="EMEANormal"/>
              <w:widowControl w:val="0"/>
              <w:rPr>
                <w:szCs w:val="22"/>
                <w:lang w:val="pt-PT"/>
              </w:rPr>
            </w:pPr>
            <w:r w:rsidRPr="008912CF">
              <w:rPr>
                <w:szCs w:val="22"/>
                <w:lang w:val="pt-PT"/>
              </w:rPr>
              <w:t>aumento de bilirrubina</w:t>
            </w:r>
          </w:p>
          <w:p w14:paraId="3187F162" w14:textId="77777777" w:rsidR="002F6811" w:rsidRPr="008912CF" w:rsidRDefault="002F6811" w:rsidP="002F6811">
            <w:pPr>
              <w:pStyle w:val="EMEANormal"/>
              <w:widowControl w:val="0"/>
              <w:rPr>
                <w:szCs w:val="22"/>
                <w:lang w:val="pt-PT"/>
              </w:rPr>
            </w:pPr>
          </w:p>
        </w:tc>
      </w:tr>
      <w:tr w:rsidR="00A7162A" w14:paraId="6AB36620" w14:textId="77777777" w:rsidTr="002F6811">
        <w:tc>
          <w:tcPr>
            <w:tcW w:w="2514" w:type="dxa"/>
            <w:vMerge/>
          </w:tcPr>
          <w:p w14:paraId="15AB71F0" w14:textId="77777777" w:rsidR="002F6811" w:rsidRPr="008912CF" w:rsidRDefault="002F6811" w:rsidP="002F6811">
            <w:pPr>
              <w:pStyle w:val="EMEANormal"/>
              <w:widowControl w:val="0"/>
              <w:spacing w:before="60"/>
              <w:rPr>
                <w:szCs w:val="22"/>
                <w:lang w:val="pt-PT"/>
              </w:rPr>
            </w:pPr>
          </w:p>
        </w:tc>
        <w:tc>
          <w:tcPr>
            <w:tcW w:w="1996" w:type="dxa"/>
            <w:tcBorders>
              <w:top w:val="nil"/>
              <w:bottom w:val="nil"/>
            </w:tcBorders>
          </w:tcPr>
          <w:p w14:paraId="6D3ECBE4" w14:textId="77777777" w:rsidR="002F6811" w:rsidRPr="008912CF" w:rsidRDefault="00615769" w:rsidP="002F6811">
            <w:pPr>
              <w:pStyle w:val="EMEANormal"/>
              <w:widowControl w:val="0"/>
              <w:rPr>
                <w:szCs w:val="22"/>
                <w:lang w:val="pt-PT"/>
              </w:rPr>
            </w:pPr>
            <w:r w:rsidRPr="008912CF">
              <w:rPr>
                <w:szCs w:val="22"/>
                <w:lang w:val="pt-PT"/>
              </w:rPr>
              <w:t>Raros</w:t>
            </w:r>
          </w:p>
        </w:tc>
        <w:tc>
          <w:tcPr>
            <w:tcW w:w="4346" w:type="dxa"/>
            <w:tcBorders>
              <w:top w:val="nil"/>
              <w:bottom w:val="nil"/>
            </w:tcBorders>
          </w:tcPr>
          <w:p w14:paraId="1D20E384" w14:textId="77777777" w:rsidR="002F6811" w:rsidRPr="008912CF" w:rsidRDefault="00615769" w:rsidP="002F6811">
            <w:pPr>
              <w:pStyle w:val="EMEANormal"/>
              <w:widowControl w:val="0"/>
              <w:rPr>
                <w:szCs w:val="22"/>
                <w:lang w:val="pt-PT"/>
              </w:rPr>
            </w:pPr>
            <w:r>
              <w:rPr>
                <w:szCs w:val="22"/>
                <w:lang w:val="pt-PT"/>
              </w:rPr>
              <w:t>H</w:t>
            </w:r>
            <w:r w:rsidRPr="008912CF">
              <w:rPr>
                <w:szCs w:val="22"/>
                <w:lang w:val="pt-PT"/>
              </w:rPr>
              <w:t>epatite,</w:t>
            </w:r>
          </w:p>
          <w:p w14:paraId="11C4F1D5" w14:textId="77777777" w:rsidR="002F6811" w:rsidRPr="008912CF" w:rsidRDefault="00615769" w:rsidP="002F6811">
            <w:pPr>
              <w:pStyle w:val="EMEANormal"/>
              <w:widowControl w:val="0"/>
              <w:rPr>
                <w:szCs w:val="22"/>
                <w:lang w:val="pt-PT"/>
              </w:rPr>
            </w:pPr>
            <w:r w:rsidRPr="008912CF">
              <w:rPr>
                <w:szCs w:val="22"/>
                <w:lang w:val="pt-PT"/>
              </w:rPr>
              <w:t>reativação da hepatite B</w:t>
            </w:r>
            <w:r w:rsidRPr="008912CF">
              <w:rPr>
                <w:szCs w:val="22"/>
                <w:vertAlign w:val="superscript"/>
                <w:lang w:val="pt-PT"/>
              </w:rPr>
              <w:t>1)</w:t>
            </w:r>
            <w:r w:rsidRPr="008912CF">
              <w:rPr>
                <w:szCs w:val="22"/>
                <w:lang w:val="pt-PT"/>
              </w:rPr>
              <w:t>,</w:t>
            </w:r>
          </w:p>
          <w:p w14:paraId="4B7E38AB" w14:textId="77777777" w:rsidR="002F6811" w:rsidRPr="008912CF" w:rsidRDefault="00615769" w:rsidP="002F6811">
            <w:pPr>
              <w:pStyle w:val="EMEANormal"/>
              <w:widowControl w:val="0"/>
              <w:spacing w:before="60"/>
              <w:rPr>
                <w:szCs w:val="22"/>
                <w:lang w:val="pt-PT"/>
              </w:rPr>
            </w:pPr>
            <w:r w:rsidRPr="008912CF">
              <w:rPr>
                <w:lang w:val="pt-PT"/>
              </w:rPr>
              <w:t>hepatite autoimune</w:t>
            </w:r>
            <w:r w:rsidRPr="008912CF">
              <w:rPr>
                <w:vertAlign w:val="superscript"/>
                <w:lang w:val="pt-PT"/>
              </w:rPr>
              <w:t>1)</w:t>
            </w:r>
          </w:p>
          <w:p w14:paraId="4450CC1E" w14:textId="77777777" w:rsidR="002F6811" w:rsidRPr="008912CF" w:rsidRDefault="002F6811" w:rsidP="002F6811">
            <w:pPr>
              <w:pStyle w:val="EMEANormal"/>
              <w:widowControl w:val="0"/>
              <w:rPr>
                <w:szCs w:val="22"/>
                <w:lang w:val="pt-PT"/>
              </w:rPr>
            </w:pPr>
          </w:p>
        </w:tc>
      </w:tr>
      <w:tr w:rsidR="00A7162A" w14:paraId="7B57B100" w14:textId="77777777" w:rsidTr="002F6811">
        <w:tc>
          <w:tcPr>
            <w:tcW w:w="2514" w:type="dxa"/>
            <w:vMerge/>
          </w:tcPr>
          <w:p w14:paraId="7F61C18C" w14:textId="77777777" w:rsidR="002F6811" w:rsidRPr="008912CF" w:rsidRDefault="002F6811" w:rsidP="002F6811">
            <w:pPr>
              <w:pStyle w:val="EMEANormal"/>
              <w:widowControl w:val="0"/>
              <w:spacing w:before="60"/>
              <w:rPr>
                <w:szCs w:val="22"/>
                <w:lang w:val="pt-PT"/>
              </w:rPr>
            </w:pPr>
          </w:p>
        </w:tc>
        <w:tc>
          <w:tcPr>
            <w:tcW w:w="1996" w:type="dxa"/>
            <w:tcBorders>
              <w:top w:val="nil"/>
            </w:tcBorders>
          </w:tcPr>
          <w:p w14:paraId="644B1596" w14:textId="77777777" w:rsidR="002F6811" w:rsidRPr="008912CF" w:rsidRDefault="00615769" w:rsidP="002F6811">
            <w:pPr>
              <w:pStyle w:val="EMEANormal"/>
              <w:widowControl w:val="0"/>
              <w:rPr>
                <w:szCs w:val="22"/>
                <w:lang w:val="pt-PT"/>
              </w:rPr>
            </w:pPr>
            <w:r w:rsidRPr="008912CF">
              <w:rPr>
                <w:szCs w:val="22"/>
                <w:lang w:val="pt-PT"/>
              </w:rPr>
              <w:t>Desconhecido</w:t>
            </w:r>
          </w:p>
        </w:tc>
        <w:tc>
          <w:tcPr>
            <w:tcW w:w="4346" w:type="dxa"/>
            <w:tcBorders>
              <w:top w:val="nil"/>
            </w:tcBorders>
          </w:tcPr>
          <w:p w14:paraId="2F8813E7" w14:textId="77777777" w:rsidR="002F6811" w:rsidRPr="008912CF" w:rsidRDefault="00615769" w:rsidP="002F6811">
            <w:pPr>
              <w:pStyle w:val="EMEANormal"/>
              <w:widowControl w:val="0"/>
              <w:rPr>
                <w:szCs w:val="22"/>
                <w:vertAlign w:val="superscript"/>
                <w:lang w:val="pt-PT"/>
              </w:rPr>
            </w:pPr>
            <w:r>
              <w:rPr>
                <w:szCs w:val="22"/>
                <w:lang w:val="pt-PT"/>
              </w:rPr>
              <w:t>I</w:t>
            </w:r>
            <w:r w:rsidRPr="008912CF">
              <w:rPr>
                <w:szCs w:val="22"/>
                <w:lang w:val="pt-PT"/>
              </w:rPr>
              <w:t>nsuficiência hepática</w:t>
            </w:r>
            <w:r w:rsidRPr="008912CF">
              <w:rPr>
                <w:szCs w:val="22"/>
                <w:vertAlign w:val="superscript"/>
                <w:lang w:val="pt-PT"/>
              </w:rPr>
              <w:t>1)</w:t>
            </w:r>
          </w:p>
          <w:p w14:paraId="12705ACA" w14:textId="77777777" w:rsidR="002F6811" w:rsidRPr="008912CF" w:rsidRDefault="002F6811" w:rsidP="002F6811">
            <w:pPr>
              <w:pStyle w:val="EMEANormal"/>
              <w:widowControl w:val="0"/>
              <w:rPr>
                <w:szCs w:val="22"/>
                <w:lang w:val="pt-PT"/>
              </w:rPr>
            </w:pPr>
          </w:p>
        </w:tc>
      </w:tr>
      <w:tr w:rsidR="00A7162A" w14:paraId="0B916AD8" w14:textId="77777777" w:rsidTr="0004619E">
        <w:tc>
          <w:tcPr>
            <w:tcW w:w="2514" w:type="dxa"/>
            <w:vMerge w:val="restart"/>
          </w:tcPr>
          <w:p w14:paraId="6E2E40FD" w14:textId="77777777" w:rsidR="002F6811" w:rsidRPr="008912CF" w:rsidRDefault="00615769" w:rsidP="002F6811">
            <w:pPr>
              <w:pStyle w:val="EMEANormal"/>
              <w:widowControl w:val="0"/>
              <w:spacing w:before="60"/>
              <w:rPr>
                <w:szCs w:val="22"/>
                <w:lang w:val="pt-PT"/>
              </w:rPr>
            </w:pPr>
            <w:r w:rsidRPr="008912CF">
              <w:rPr>
                <w:szCs w:val="22"/>
                <w:lang w:val="pt-PT"/>
              </w:rPr>
              <w:t>Afeções dos tecidos cutâneos e subcutâneos</w:t>
            </w:r>
          </w:p>
        </w:tc>
        <w:tc>
          <w:tcPr>
            <w:tcW w:w="1996" w:type="dxa"/>
            <w:tcBorders>
              <w:bottom w:val="nil"/>
            </w:tcBorders>
          </w:tcPr>
          <w:p w14:paraId="7F800AA4" w14:textId="77777777" w:rsidR="002F6811" w:rsidRPr="008912CF" w:rsidRDefault="00615769" w:rsidP="002F6811">
            <w:pPr>
              <w:pStyle w:val="EMEANormal"/>
              <w:widowControl w:val="0"/>
              <w:spacing w:before="60"/>
              <w:rPr>
                <w:szCs w:val="22"/>
                <w:lang w:val="pt-PT"/>
              </w:rPr>
            </w:pPr>
            <w:r w:rsidRPr="008912CF">
              <w:rPr>
                <w:szCs w:val="22"/>
                <w:lang w:val="pt-PT"/>
              </w:rPr>
              <w:t xml:space="preserve">Muito frequentes </w:t>
            </w:r>
          </w:p>
        </w:tc>
        <w:tc>
          <w:tcPr>
            <w:tcW w:w="4346" w:type="dxa"/>
            <w:tcBorders>
              <w:bottom w:val="nil"/>
            </w:tcBorders>
          </w:tcPr>
          <w:p w14:paraId="6E252299" w14:textId="77777777" w:rsidR="002F6811" w:rsidRPr="008912CF" w:rsidRDefault="00615769" w:rsidP="002F6811">
            <w:pPr>
              <w:pStyle w:val="EMEANormal"/>
              <w:widowControl w:val="0"/>
              <w:spacing w:before="60"/>
              <w:rPr>
                <w:szCs w:val="22"/>
                <w:lang w:val="pt-PT"/>
              </w:rPr>
            </w:pPr>
            <w:r>
              <w:rPr>
                <w:szCs w:val="22"/>
                <w:lang w:val="pt-PT"/>
              </w:rPr>
              <w:t>E</w:t>
            </w:r>
            <w:r w:rsidRPr="008912CF">
              <w:rPr>
                <w:szCs w:val="22"/>
                <w:lang w:val="pt-PT"/>
              </w:rPr>
              <w:t>rupção cutânea (incluindo erupção esfoliativa)</w:t>
            </w:r>
          </w:p>
          <w:p w14:paraId="21AD2C83" w14:textId="77777777" w:rsidR="002F6811" w:rsidRPr="008912CF" w:rsidRDefault="002F6811" w:rsidP="002F6811">
            <w:pPr>
              <w:pStyle w:val="EMEANormal"/>
              <w:widowControl w:val="0"/>
              <w:spacing w:before="60"/>
              <w:rPr>
                <w:szCs w:val="22"/>
                <w:lang w:val="pt-PT"/>
              </w:rPr>
            </w:pPr>
          </w:p>
        </w:tc>
      </w:tr>
      <w:tr w:rsidR="00A7162A" w14:paraId="0B26ED8D" w14:textId="77777777" w:rsidTr="0004619E">
        <w:tc>
          <w:tcPr>
            <w:tcW w:w="2514" w:type="dxa"/>
            <w:vMerge/>
          </w:tcPr>
          <w:p w14:paraId="64BC9E5C" w14:textId="77777777" w:rsidR="002F6811" w:rsidRPr="008912CF" w:rsidRDefault="002F6811" w:rsidP="002F6811">
            <w:pPr>
              <w:widowControl w:val="0"/>
              <w:spacing w:before="60"/>
              <w:jc w:val="center"/>
              <w:rPr>
                <w:b/>
              </w:rPr>
            </w:pPr>
          </w:p>
        </w:tc>
        <w:tc>
          <w:tcPr>
            <w:tcW w:w="1996" w:type="dxa"/>
            <w:tcBorders>
              <w:top w:val="nil"/>
              <w:bottom w:val="single" w:sz="4" w:space="0" w:color="auto"/>
            </w:tcBorders>
          </w:tcPr>
          <w:p w14:paraId="33140A9C" w14:textId="77777777" w:rsidR="002F6811" w:rsidRPr="008912CF" w:rsidRDefault="00615769" w:rsidP="002F6811">
            <w:pPr>
              <w:pStyle w:val="EMEANormal"/>
              <w:widowControl w:val="0"/>
              <w:rPr>
                <w:szCs w:val="22"/>
                <w:lang w:val="pt-PT"/>
              </w:rPr>
            </w:pPr>
            <w:r w:rsidRPr="008912CF">
              <w:rPr>
                <w:szCs w:val="22"/>
                <w:lang w:val="pt-PT"/>
              </w:rPr>
              <w:t>Frequentes</w:t>
            </w:r>
          </w:p>
          <w:p w14:paraId="22E7DEB0" w14:textId="77777777" w:rsidR="002F6811" w:rsidRPr="008912CF" w:rsidRDefault="002F6811" w:rsidP="002F6811">
            <w:pPr>
              <w:pStyle w:val="EMEANormal"/>
              <w:widowControl w:val="0"/>
              <w:rPr>
                <w:szCs w:val="22"/>
                <w:lang w:val="pt-PT"/>
              </w:rPr>
            </w:pPr>
          </w:p>
        </w:tc>
        <w:tc>
          <w:tcPr>
            <w:tcW w:w="4346" w:type="dxa"/>
            <w:tcBorders>
              <w:top w:val="nil"/>
              <w:bottom w:val="single" w:sz="4" w:space="0" w:color="auto"/>
            </w:tcBorders>
          </w:tcPr>
          <w:p w14:paraId="3456BB83" w14:textId="77777777" w:rsidR="002F6811" w:rsidRPr="008912CF" w:rsidRDefault="00615769" w:rsidP="002F6811">
            <w:pPr>
              <w:pStyle w:val="EMEANormal"/>
              <w:widowControl w:val="0"/>
              <w:rPr>
                <w:szCs w:val="22"/>
                <w:lang w:val="pt-PT"/>
              </w:rPr>
            </w:pPr>
            <w:r>
              <w:rPr>
                <w:szCs w:val="22"/>
                <w:lang w:val="pt-PT"/>
              </w:rPr>
              <w:t>I</w:t>
            </w:r>
            <w:r w:rsidRPr="008912CF">
              <w:rPr>
                <w:szCs w:val="22"/>
                <w:lang w:val="pt-PT"/>
              </w:rPr>
              <w:t xml:space="preserve">nício </w:t>
            </w:r>
            <w:r w:rsidRPr="008912CF">
              <w:rPr>
                <w:lang w:val="pt-PT"/>
              </w:rPr>
              <w:t>ou</w:t>
            </w:r>
            <w:r w:rsidRPr="008912CF">
              <w:rPr>
                <w:szCs w:val="22"/>
                <w:lang w:val="pt-PT"/>
              </w:rPr>
              <w:t xml:space="preserve"> agravamento da psoríase (incluindo psoríase pustular palmoplantar)</w:t>
            </w:r>
            <w:r w:rsidRPr="008912CF">
              <w:rPr>
                <w:szCs w:val="22"/>
                <w:vertAlign w:val="superscript"/>
                <w:lang w:val="pt-PT"/>
              </w:rPr>
              <w:t xml:space="preserve">1) </w:t>
            </w:r>
            <w:r w:rsidRPr="008912CF">
              <w:rPr>
                <w:szCs w:val="22"/>
                <w:lang w:val="pt-PT"/>
              </w:rPr>
              <w:t>,</w:t>
            </w:r>
          </w:p>
          <w:p w14:paraId="7E64658E" w14:textId="77777777" w:rsidR="002F6811" w:rsidRPr="008912CF" w:rsidRDefault="00615769" w:rsidP="002F6811">
            <w:pPr>
              <w:pStyle w:val="EMEANormal"/>
              <w:widowControl w:val="0"/>
              <w:rPr>
                <w:szCs w:val="22"/>
                <w:lang w:val="pt-PT"/>
              </w:rPr>
            </w:pPr>
            <w:r w:rsidRPr="008912CF">
              <w:rPr>
                <w:szCs w:val="22"/>
                <w:lang w:val="pt-PT"/>
              </w:rPr>
              <w:t>urticária,</w:t>
            </w:r>
          </w:p>
          <w:p w14:paraId="6C98F809" w14:textId="77777777" w:rsidR="002F6811" w:rsidRPr="008912CF" w:rsidRDefault="00615769" w:rsidP="002F6811">
            <w:pPr>
              <w:pStyle w:val="EMEANormal"/>
              <w:widowControl w:val="0"/>
              <w:rPr>
                <w:szCs w:val="22"/>
                <w:lang w:val="pt-PT"/>
              </w:rPr>
            </w:pPr>
            <w:r w:rsidRPr="008912CF">
              <w:rPr>
                <w:szCs w:val="22"/>
                <w:lang w:val="pt-PT"/>
              </w:rPr>
              <w:t xml:space="preserve">equimoses (incluindo púrpura), </w:t>
            </w:r>
          </w:p>
          <w:p w14:paraId="4370706C" w14:textId="77777777" w:rsidR="002F6811" w:rsidRPr="008912CF" w:rsidRDefault="00615769" w:rsidP="002F6811">
            <w:pPr>
              <w:pStyle w:val="EMEANormal"/>
              <w:widowControl w:val="0"/>
              <w:rPr>
                <w:szCs w:val="22"/>
                <w:lang w:val="pt-PT"/>
              </w:rPr>
            </w:pPr>
            <w:r w:rsidRPr="008912CF">
              <w:rPr>
                <w:szCs w:val="22"/>
                <w:lang w:val="pt-PT"/>
              </w:rPr>
              <w:t>dermatite (incluindo eczema),</w:t>
            </w:r>
          </w:p>
          <w:p w14:paraId="4B95C284" w14:textId="77777777" w:rsidR="002F6811" w:rsidRPr="008912CF" w:rsidRDefault="00615769" w:rsidP="002F6811">
            <w:pPr>
              <w:pStyle w:val="EMEANormal"/>
              <w:widowControl w:val="0"/>
              <w:rPr>
                <w:szCs w:val="22"/>
                <w:lang w:val="pt-PT"/>
              </w:rPr>
            </w:pPr>
            <w:r w:rsidRPr="008912CF">
              <w:rPr>
                <w:szCs w:val="22"/>
                <w:lang w:val="pt-PT"/>
              </w:rPr>
              <w:t xml:space="preserve">onicoclase, </w:t>
            </w:r>
          </w:p>
          <w:p w14:paraId="4B540F47" w14:textId="77777777" w:rsidR="002F6811" w:rsidRPr="008912CF" w:rsidRDefault="00615769" w:rsidP="002F6811">
            <w:pPr>
              <w:pStyle w:val="EMEANormal"/>
              <w:widowControl w:val="0"/>
              <w:rPr>
                <w:szCs w:val="22"/>
                <w:lang w:val="pt-PT"/>
              </w:rPr>
            </w:pPr>
            <w:r w:rsidRPr="008912CF">
              <w:rPr>
                <w:szCs w:val="22"/>
                <w:lang w:val="pt-PT"/>
              </w:rPr>
              <w:t>hiperidrose,</w:t>
            </w:r>
          </w:p>
          <w:p w14:paraId="72DB0203" w14:textId="77777777" w:rsidR="002F6811" w:rsidRPr="008912CF" w:rsidRDefault="00615769" w:rsidP="002F6811">
            <w:pPr>
              <w:pStyle w:val="EMEANormal"/>
              <w:widowControl w:val="0"/>
              <w:rPr>
                <w:szCs w:val="22"/>
                <w:lang w:val="pt-PT"/>
              </w:rPr>
            </w:pPr>
            <w:r w:rsidRPr="008912CF">
              <w:rPr>
                <w:szCs w:val="22"/>
                <w:lang w:val="pt-PT"/>
              </w:rPr>
              <w:t>alopecia</w:t>
            </w:r>
            <w:r w:rsidRPr="008912CF">
              <w:rPr>
                <w:szCs w:val="22"/>
                <w:vertAlign w:val="superscript"/>
                <w:lang w:val="pt-PT"/>
              </w:rPr>
              <w:t>1)</w:t>
            </w:r>
            <w:r w:rsidRPr="008912CF">
              <w:rPr>
                <w:szCs w:val="22"/>
                <w:lang w:val="pt-PT"/>
              </w:rPr>
              <w:t>,</w:t>
            </w:r>
          </w:p>
          <w:p w14:paraId="56E92A85" w14:textId="77777777" w:rsidR="002F6811" w:rsidRPr="008912CF" w:rsidRDefault="00615769" w:rsidP="002F6811">
            <w:pPr>
              <w:pStyle w:val="EMEANormal"/>
              <w:widowControl w:val="0"/>
              <w:rPr>
                <w:szCs w:val="22"/>
                <w:lang w:val="pt-PT"/>
              </w:rPr>
            </w:pPr>
            <w:r w:rsidRPr="008912CF">
              <w:rPr>
                <w:szCs w:val="22"/>
                <w:lang w:val="pt-PT"/>
              </w:rPr>
              <w:t>prurido</w:t>
            </w:r>
          </w:p>
          <w:p w14:paraId="4A110CDA" w14:textId="77777777" w:rsidR="002F6811" w:rsidRPr="008912CF" w:rsidRDefault="002F6811" w:rsidP="002F6811">
            <w:pPr>
              <w:pStyle w:val="EMEANormal"/>
              <w:widowControl w:val="0"/>
              <w:rPr>
                <w:szCs w:val="22"/>
                <w:lang w:val="pt-PT"/>
              </w:rPr>
            </w:pPr>
          </w:p>
        </w:tc>
      </w:tr>
      <w:tr w:rsidR="00A7162A" w14:paraId="0CD90C16" w14:textId="77777777" w:rsidTr="0004619E">
        <w:tc>
          <w:tcPr>
            <w:tcW w:w="2514" w:type="dxa"/>
            <w:vMerge/>
            <w:tcBorders>
              <w:bottom w:val="nil"/>
            </w:tcBorders>
          </w:tcPr>
          <w:p w14:paraId="6F73F257" w14:textId="77777777" w:rsidR="002F6811" w:rsidRPr="008912CF" w:rsidRDefault="002F6811" w:rsidP="002F6811">
            <w:pPr>
              <w:widowControl w:val="0"/>
              <w:spacing w:before="60"/>
              <w:jc w:val="center"/>
              <w:rPr>
                <w:b/>
              </w:rPr>
            </w:pPr>
          </w:p>
        </w:tc>
        <w:tc>
          <w:tcPr>
            <w:tcW w:w="1996" w:type="dxa"/>
            <w:tcBorders>
              <w:top w:val="single" w:sz="4" w:space="0" w:color="auto"/>
              <w:bottom w:val="nil"/>
            </w:tcBorders>
          </w:tcPr>
          <w:p w14:paraId="4E24F5AE" w14:textId="77777777" w:rsidR="002F6811" w:rsidRPr="008912CF" w:rsidRDefault="00615769" w:rsidP="002F6811">
            <w:pPr>
              <w:pStyle w:val="EMEANormal"/>
              <w:widowControl w:val="0"/>
              <w:rPr>
                <w:szCs w:val="22"/>
                <w:lang w:val="pt-PT"/>
              </w:rPr>
            </w:pPr>
            <w:r w:rsidRPr="008912CF">
              <w:rPr>
                <w:szCs w:val="22"/>
                <w:lang w:val="pt-PT"/>
              </w:rPr>
              <w:t>Pouco frequentes</w:t>
            </w:r>
          </w:p>
          <w:p w14:paraId="7AF1FAA2" w14:textId="77777777" w:rsidR="002F6811" w:rsidRPr="008912CF" w:rsidRDefault="002F6811" w:rsidP="002F6811">
            <w:pPr>
              <w:pStyle w:val="EMEANormal"/>
              <w:widowControl w:val="0"/>
              <w:rPr>
                <w:szCs w:val="22"/>
                <w:lang w:val="pt-PT"/>
              </w:rPr>
            </w:pPr>
          </w:p>
        </w:tc>
        <w:tc>
          <w:tcPr>
            <w:tcW w:w="4346" w:type="dxa"/>
            <w:tcBorders>
              <w:top w:val="single" w:sz="4" w:space="0" w:color="auto"/>
              <w:bottom w:val="nil"/>
            </w:tcBorders>
          </w:tcPr>
          <w:p w14:paraId="302924AB" w14:textId="77777777" w:rsidR="002F6811" w:rsidRPr="008912CF" w:rsidRDefault="00615769" w:rsidP="002F6811">
            <w:pPr>
              <w:pStyle w:val="EMEANormal"/>
              <w:widowControl w:val="0"/>
              <w:rPr>
                <w:szCs w:val="22"/>
                <w:lang w:val="pt-PT"/>
              </w:rPr>
            </w:pPr>
            <w:r>
              <w:rPr>
                <w:szCs w:val="22"/>
                <w:lang w:val="pt-PT"/>
              </w:rPr>
              <w:t>S</w:t>
            </w:r>
            <w:r w:rsidRPr="008912CF">
              <w:rPr>
                <w:szCs w:val="22"/>
                <w:lang w:val="pt-PT"/>
              </w:rPr>
              <w:t>uores noturnos,</w:t>
            </w:r>
          </w:p>
          <w:p w14:paraId="35708BDD" w14:textId="77777777" w:rsidR="002F6811" w:rsidRPr="008912CF" w:rsidRDefault="00615769" w:rsidP="002F6811">
            <w:pPr>
              <w:pStyle w:val="EMEANormal"/>
              <w:widowControl w:val="0"/>
              <w:rPr>
                <w:szCs w:val="22"/>
                <w:lang w:val="pt-PT"/>
              </w:rPr>
            </w:pPr>
            <w:r w:rsidRPr="008912CF">
              <w:rPr>
                <w:szCs w:val="22"/>
                <w:lang w:val="pt-PT"/>
              </w:rPr>
              <w:t>escara</w:t>
            </w:r>
          </w:p>
          <w:p w14:paraId="39B26BA9" w14:textId="77777777" w:rsidR="002F6811" w:rsidRPr="008912CF" w:rsidRDefault="002F6811" w:rsidP="002F6811">
            <w:pPr>
              <w:pStyle w:val="EMEANormal"/>
              <w:widowControl w:val="0"/>
              <w:rPr>
                <w:szCs w:val="22"/>
                <w:lang w:val="pt-PT"/>
              </w:rPr>
            </w:pPr>
          </w:p>
        </w:tc>
      </w:tr>
      <w:tr w:rsidR="00A7162A" w14:paraId="564B84AB" w14:textId="77777777" w:rsidTr="002F6811">
        <w:tc>
          <w:tcPr>
            <w:tcW w:w="2514" w:type="dxa"/>
            <w:tcBorders>
              <w:top w:val="nil"/>
            </w:tcBorders>
          </w:tcPr>
          <w:p w14:paraId="7DB16BB9" w14:textId="77777777" w:rsidR="002F6811" w:rsidRPr="008912CF" w:rsidRDefault="002F6811" w:rsidP="002F6811">
            <w:pPr>
              <w:widowControl w:val="0"/>
              <w:spacing w:before="60"/>
              <w:jc w:val="center"/>
              <w:rPr>
                <w:b/>
              </w:rPr>
            </w:pPr>
          </w:p>
        </w:tc>
        <w:tc>
          <w:tcPr>
            <w:tcW w:w="1996" w:type="dxa"/>
            <w:tcBorders>
              <w:top w:val="nil"/>
            </w:tcBorders>
          </w:tcPr>
          <w:p w14:paraId="1A7EA034" w14:textId="77777777" w:rsidR="002F6811" w:rsidRPr="008912CF" w:rsidRDefault="00615769" w:rsidP="002F6811">
            <w:pPr>
              <w:pStyle w:val="EMEANormal"/>
              <w:widowControl w:val="0"/>
              <w:rPr>
                <w:szCs w:val="22"/>
                <w:lang w:val="pt-PT"/>
              </w:rPr>
            </w:pPr>
            <w:r w:rsidRPr="008912CF">
              <w:rPr>
                <w:szCs w:val="22"/>
                <w:lang w:val="pt-PT"/>
              </w:rPr>
              <w:t>Raros</w:t>
            </w:r>
          </w:p>
          <w:p w14:paraId="06D4B872" w14:textId="77777777" w:rsidR="002F6811" w:rsidRPr="008912CF" w:rsidRDefault="002F6811" w:rsidP="002F6811">
            <w:pPr>
              <w:pStyle w:val="EMEANormal"/>
              <w:widowControl w:val="0"/>
              <w:rPr>
                <w:szCs w:val="22"/>
                <w:lang w:val="pt-PT"/>
              </w:rPr>
            </w:pPr>
          </w:p>
          <w:p w14:paraId="29B4A0D1" w14:textId="77777777" w:rsidR="002F6811" w:rsidRPr="008912CF" w:rsidRDefault="002F6811" w:rsidP="002F6811">
            <w:pPr>
              <w:pStyle w:val="EMEANormal"/>
              <w:widowControl w:val="0"/>
              <w:rPr>
                <w:szCs w:val="22"/>
                <w:lang w:val="pt-PT"/>
              </w:rPr>
            </w:pPr>
          </w:p>
          <w:p w14:paraId="118A3CA2" w14:textId="77777777" w:rsidR="002F6811" w:rsidRPr="008912CF" w:rsidRDefault="002F6811" w:rsidP="002F6811">
            <w:pPr>
              <w:pStyle w:val="EMEANormal"/>
              <w:widowControl w:val="0"/>
              <w:rPr>
                <w:szCs w:val="22"/>
                <w:lang w:val="pt-PT"/>
              </w:rPr>
            </w:pPr>
          </w:p>
          <w:p w14:paraId="7F44C9FF" w14:textId="77777777" w:rsidR="002F6811" w:rsidRDefault="002F6811" w:rsidP="002F6811">
            <w:pPr>
              <w:pStyle w:val="EMEANormal"/>
              <w:widowControl w:val="0"/>
              <w:rPr>
                <w:szCs w:val="22"/>
                <w:lang w:val="pt-PT"/>
              </w:rPr>
            </w:pPr>
          </w:p>
          <w:p w14:paraId="0D062FDB" w14:textId="77777777" w:rsidR="007A7A43" w:rsidRPr="008912CF" w:rsidRDefault="007A7A43" w:rsidP="002F6811">
            <w:pPr>
              <w:pStyle w:val="EMEANormal"/>
              <w:widowControl w:val="0"/>
              <w:rPr>
                <w:szCs w:val="22"/>
                <w:lang w:val="pt-PT"/>
              </w:rPr>
            </w:pPr>
          </w:p>
          <w:p w14:paraId="41668D8B" w14:textId="77777777" w:rsidR="002F6811" w:rsidRPr="008912CF" w:rsidRDefault="00615769" w:rsidP="002F6811">
            <w:pPr>
              <w:pStyle w:val="EMEANormal"/>
              <w:widowControl w:val="0"/>
              <w:rPr>
                <w:szCs w:val="22"/>
                <w:lang w:val="pt-PT"/>
              </w:rPr>
            </w:pPr>
            <w:r w:rsidRPr="008912CF">
              <w:rPr>
                <w:szCs w:val="22"/>
                <w:lang w:val="pt-PT"/>
              </w:rPr>
              <w:t>Desconhecido</w:t>
            </w:r>
          </w:p>
          <w:p w14:paraId="1650F50D" w14:textId="77777777" w:rsidR="002F6811" w:rsidRPr="008912CF" w:rsidRDefault="002F6811" w:rsidP="002F6811">
            <w:pPr>
              <w:pStyle w:val="EMEANormal"/>
              <w:widowControl w:val="0"/>
              <w:rPr>
                <w:szCs w:val="22"/>
                <w:lang w:val="pt-PT"/>
              </w:rPr>
            </w:pPr>
          </w:p>
        </w:tc>
        <w:tc>
          <w:tcPr>
            <w:tcW w:w="4346" w:type="dxa"/>
            <w:tcBorders>
              <w:top w:val="nil"/>
            </w:tcBorders>
          </w:tcPr>
          <w:p w14:paraId="3AD5A83F" w14:textId="77777777" w:rsidR="002F6811" w:rsidRPr="008912CF" w:rsidRDefault="00615769" w:rsidP="002F6811">
            <w:pPr>
              <w:pStyle w:val="EMEANormal"/>
              <w:widowControl w:val="0"/>
              <w:rPr>
                <w:szCs w:val="22"/>
                <w:lang w:val="pt-PT"/>
              </w:rPr>
            </w:pPr>
            <w:r>
              <w:rPr>
                <w:szCs w:val="22"/>
                <w:lang w:val="pt-PT"/>
              </w:rPr>
              <w:t>E</w:t>
            </w:r>
            <w:r w:rsidRPr="008912CF">
              <w:rPr>
                <w:szCs w:val="22"/>
                <w:lang w:val="pt-PT"/>
              </w:rPr>
              <w:t>ritema multiforme</w:t>
            </w:r>
            <w:r w:rsidRPr="008912CF">
              <w:rPr>
                <w:szCs w:val="22"/>
                <w:vertAlign w:val="superscript"/>
                <w:lang w:val="pt-PT"/>
              </w:rPr>
              <w:t>1)</w:t>
            </w:r>
            <w:r w:rsidRPr="008912CF">
              <w:rPr>
                <w:szCs w:val="22"/>
                <w:lang w:val="pt-PT"/>
              </w:rPr>
              <w:t>,</w:t>
            </w:r>
          </w:p>
          <w:p w14:paraId="31A45F64" w14:textId="77777777" w:rsidR="002F6811" w:rsidRPr="008912CF" w:rsidRDefault="00615769" w:rsidP="002F6811">
            <w:pPr>
              <w:pStyle w:val="EMEANormal"/>
              <w:widowControl w:val="0"/>
              <w:rPr>
                <w:szCs w:val="22"/>
                <w:lang w:val="pt-PT"/>
              </w:rPr>
            </w:pPr>
            <w:r w:rsidRPr="008912CF">
              <w:rPr>
                <w:szCs w:val="22"/>
                <w:lang w:val="pt-PT"/>
              </w:rPr>
              <w:t>síndrome de Stevens-Johnson</w:t>
            </w:r>
            <w:r w:rsidRPr="008912CF">
              <w:rPr>
                <w:szCs w:val="22"/>
                <w:vertAlign w:val="superscript"/>
                <w:lang w:val="pt-PT"/>
              </w:rPr>
              <w:t>1)</w:t>
            </w:r>
            <w:r w:rsidRPr="008912CF">
              <w:rPr>
                <w:szCs w:val="22"/>
                <w:lang w:val="pt-PT"/>
              </w:rPr>
              <w:t>,</w:t>
            </w:r>
          </w:p>
          <w:p w14:paraId="09EC4564" w14:textId="77777777" w:rsidR="002F6811" w:rsidRPr="008912CF" w:rsidRDefault="00615769" w:rsidP="002F6811">
            <w:pPr>
              <w:pStyle w:val="EMEANormal"/>
              <w:widowControl w:val="0"/>
              <w:rPr>
                <w:szCs w:val="22"/>
                <w:lang w:val="pt-PT"/>
              </w:rPr>
            </w:pPr>
            <w:r w:rsidRPr="008912CF">
              <w:rPr>
                <w:szCs w:val="22"/>
                <w:lang w:val="pt-PT"/>
              </w:rPr>
              <w:t>angioedema</w:t>
            </w:r>
            <w:r w:rsidRPr="008912CF">
              <w:rPr>
                <w:szCs w:val="22"/>
                <w:vertAlign w:val="superscript"/>
                <w:lang w:val="pt-PT"/>
              </w:rPr>
              <w:t>1)</w:t>
            </w:r>
            <w:r w:rsidRPr="008912CF">
              <w:rPr>
                <w:szCs w:val="22"/>
                <w:lang w:val="pt-PT"/>
              </w:rPr>
              <w:t>,</w:t>
            </w:r>
          </w:p>
          <w:p w14:paraId="482EBA6F" w14:textId="77777777" w:rsidR="002F6811" w:rsidRPr="008912CF" w:rsidRDefault="00615769" w:rsidP="002F6811">
            <w:pPr>
              <w:pStyle w:val="EMEANormal"/>
              <w:widowControl w:val="0"/>
              <w:rPr>
                <w:szCs w:val="22"/>
                <w:vertAlign w:val="superscript"/>
                <w:lang w:val="pt-PT"/>
              </w:rPr>
            </w:pPr>
            <w:r w:rsidRPr="008912CF">
              <w:rPr>
                <w:szCs w:val="22"/>
                <w:lang w:val="pt-PT"/>
              </w:rPr>
              <w:t>vasculite cutânea</w:t>
            </w:r>
            <w:r w:rsidRPr="008912CF">
              <w:rPr>
                <w:szCs w:val="22"/>
                <w:vertAlign w:val="superscript"/>
                <w:lang w:val="pt-PT"/>
              </w:rPr>
              <w:t>1)</w:t>
            </w:r>
            <w:r w:rsidR="00FD51F4">
              <w:rPr>
                <w:szCs w:val="22"/>
                <w:lang w:val="pt-PT"/>
              </w:rPr>
              <w:t>,</w:t>
            </w:r>
          </w:p>
          <w:p w14:paraId="43B31B80" w14:textId="77777777" w:rsidR="002F6811" w:rsidRDefault="00615769" w:rsidP="002F6811">
            <w:pPr>
              <w:pStyle w:val="EMEANormal"/>
              <w:widowControl w:val="0"/>
              <w:rPr>
                <w:szCs w:val="22"/>
                <w:lang w:val="pt-PT"/>
              </w:rPr>
            </w:pPr>
            <w:r>
              <w:rPr>
                <w:szCs w:val="22"/>
                <w:lang w:val="pt-PT"/>
              </w:rPr>
              <w:t>reação cutânea liquen</w:t>
            </w:r>
            <w:r w:rsidR="00E9064D">
              <w:rPr>
                <w:szCs w:val="22"/>
                <w:lang w:val="pt-PT"/>
              </w:rPr>
              <w:t>o</w:t>
            </w:r>
            <w:r>
              <w:rPr>
                <w:szCs w:val="22"/>
                <w:lang w:val="pt-PT"/>
              </w:rPr>
              <w:t>ide</w:t>
            </w:r>
            <w:r w:rsidRPr="008912CF">
              <w:rPr>
                <w:szCs w:val="22"/>
                <w:vertAlign w:val="superscript"/>
                <w:lang w:val="pt-PT"/>
              </w:rPr>
              <w:t xml:space="preserve">1) </w:t>
            </w:r>
          </w:p>
          <w:p w14:paraId="4932DBE9" w14:textId="77777777" w:rsidR="007A7A43" w:rsidRPr="008912CF" w:rsidRDefault="007A7A43" w:rsidP="002F6811">
            <w:pPr>
              <w:pStyle w:val="EMEANormal"/>
              <w:widowControl w:val="0"/>
              <w:rPr>
                <w:szCs w:val="22"/>
                <w:vertAlign w:val="superscript"/>
                <w:lang w:val="pt-PT"/>
              </w:rPr>
            </w:pPr>
          </w:p>
          <w:p w14:paraId="3F2B4E64" w14:textId="77777777" w:rsidR="002F6811" w:rsidRPr="008912CF" w:rsidRDefault="00615769" w:rsidP="002F6811">
            <w:pPr>
              <w:pStyle w:val="EMEANormal"/>
              <w:widowControl w:val="0"/>
              <w:rPr>
                <w:szCs w:val="22"/>
                <w:vertAlign w:val="superscript"/>
                <w:lang w:val="pt-PT"/>
              </w:rPr>
            </w:pPr>
            <w:r>
              <w:rPr>
                <w:szCs w:val="22"/>
                <w:lang w:val="pt-PT"/>
              </w:rPr>
              <w:t>A</w:t>
            </w:r>
            <w:r w:rsidRPr="008912CF">
              <w:rPr>
                <w:szCs w:val="22"/>
                <w:lang w:val="pt-PT"/>
              </w:rPr>
              <w:t>gravamento dos sintomas de dermatomiosite</w:t>
            </w:r>
            <w:r w:rsidRPr="008912CF">
              <w:rPr>
                <w:szCs w:val="22"/>
                <w:vertAlign w:val="superscript"/>
                <w:lang w:val="pt-PT"/>
              </w:rPr>
              <w:t>1)</w:t>
            </w:r>
          </w:p>
          <w:p w14:paraId="7B6B1682" w14:textId="77777777" w:rsidR="002F6811" w:rsidRPr="008912CF" w:rsidRDefault="002F6811" w:rsidP="002F6811">
            <w:pPr>
              <w:pStyle w:val="EMEANormal"/>
              <w:widowControl w:val="0"/>
              <w:rPr>
                <w:szCs w:val="22"/>
                <w:lang w:val="pt-PT"/>
              </w:rPr>
            </w:pPr>
          </w:p>
        </w:tc>
      </w:tr>
      <w:tr w:rsidR="00A7162A" w14:paraId="17B8332E" w14:textId="77777777" w:rsidTr="002F6811">
        <w:tc>
          <w:tcPr>
            <w:tcW w:w="2514" w:type="dxa"/>
            <w:vMerge w:val="restart"/>
          </w:tcPr>
          <w:p w14:paraId="2A2D6F4F" w14:textId="77777777" w:rsidR="002F6811" w:rsidRPr="008912CF" w:rsidRDefault="00615769" w:rsidP="002F6811">
            <w:pPr>
              <w:pStyle w:val="EMEANormal"/>
              <w:widowControl w:val="0"/>
              <w:spacing w:before="60"/>
              <w:rPr>
                <w:szCs w:val="22"/>
                <w:lang w:val="pt-PT"/>
              </w:rPr>
            </w:pPr>
            <w:r w:rsidRPr="008912CF">
              <w:rPr>
                <w:szCs w:val="22"/>
                <w:lang w:val="pt-PT"/>
              </w:rPr>
              <w:t>Afeções musculoesqueléticas e dos tecidos conjuntivos</w:t>
            </w:r>
          </w:p>
        </w:tc>
        <w:tc>
          <w:tcPr>
            <w:tcW w:w="1996" w:type="dxa"/>
            <w:tcBorders>
              <w:bottom w:val="nil"/>
            </w:tcBorders>
          </w:tcPr>
          <w:p w14:paraId="2C1405B6" w14:textId="77777777" w:rsidR="002F6811" w:rsidRPr="008912CF" w:rsidRDefault="00615769" w:rsidP="002F6811">
            <w:pPr>
              <w:pStyle w:val="EMEANormal"/>
              <w:widowControl w:val="0"/>
              <w:spacing w:before="60"/>
              <w:rPr>
                <w:szCs w:val="22"/>
                <w:lang w:val="pt-PT"/>
              </w:rPr>
            </w:pPr>
            <w:r w:rsidRPr="008912CF">
              <w:rPr>
                <w:szCs w:val="22"/>
                <w:lang w:val="pt-PT"/>
              </w:rPr>
              <w:t xml:space="preserve">Muito frequentes </w:t>
            </w:r>
          </w:p>
        </w:tc>
        <w:tc>
          <w:tcPr>
            <w:tcW w:w="4346" w:type="dxa"/>
            <w:tcBorders>
              <w:bottom w:val="nil"/>
            </w:tcBorders>
          </w:tcPr>
          <w:p w14:paraId="172BF30F" w14:textId="77777777" w:rsidR="002F6811" w:rsidRPr="008912CF" w:rsidRDefault="00615769" w:rsidP="002F6811">
            <w:pPr>
              <w:pStyle w:val="EMEANormal"/>
              <w:widowControl w:val="0"/>
              <w:spacing w:before="60"/>
              <w:rPr>
                <w:szCs w:val="22"/>
                <w:lang w:val="pt-PT"/>
              </w:rPr>
            </w:pPr>
            <w:r>
              <w:rPr>
                <w:szCs w:val="22"/>
                <w:lang w:val="pt-PT"/>
              </w:rPr>
              <w:t>D</w:t>
            </w:r>
            <w:r w:rsidRPr="008912CF">
              <w:rPr>
                <w:szCs w:val="22"/>
                <w:lang w:val="pt-PT"/>
              </w:rPr>
              <w:t>or musculoesquelética</w:t>
            </w:r>
          </w:p>
          <w:p w14:paraId="0C18350F" w14:textId="77777777" w:rsidR="002F6811" w:rsidRPr="008912CF" w:rsidRDefault="002F6811" w:rsidP="002F6811">
            <w:pPr>
              <w:pStyle w:val="EMEANormal"/>
              <w:widowControl w:val="0"/>
              <w:spacing w:before="60"/>
              <w:rPr>
                <w:szCs w:val="22"/>
                <w:lang w:val="pt-PT"/>
              </w:rPr>
            </w:pPr>
          </w:p>
        </w:tc>
      </w:tr>
      <w:tr w:rsidR="00A7162A" w14:paraId="3D1D766D" w14:textId="77777777" w:rsidTr="002F6811">
        <w:tc>
          <w:tcPr>
            <w:tcW w:w="2514" w:type="dxa"/>
            <w:vMerge/>
          </w:tcPr>
          <w:p w14:paraId="10901E11" w14:textId="77777777" w:rsidR="002F6811" w:rsidRPr="008912CF" w:rsidRDefault="002F6811" w:rsidP="002F6811">
            <w:pPr>
              <w:pStyle w:val="EMEANormal"/>
              <w:widowControl w:val="0"/>
              <w:spacing w:before="60"/>
              <w:rPr>
                <w:szCs w:val="22"/>
                <w:lang w:val="pt-PT"/>
              </w:rPr>
            </w:pPr>
          </w:p>
        </w:tc>
        <w:tc>
          <w:tcPr>
            <w:tcW w:w="1996" w:type="dxa"/>
            <w:tcBorders>
              <w:top w:val="nil"/>
              <w:bottom w:val="nil"/>
            </w:tcBorders>
          </w:tcPr>
          <w:p w14:paraId="03DE280E" w14:textId="77777777" w:rsidR="002F6811" w:rsidRPr="008912CF" w:rsidRDefault="00615769" w:rsidP="002F6811">
            <w:pPr>
              <w:pStyle w:val="EMEANormal"/>
              <w:widowControl w:val="0"/>
              <w:spacing w:before="60"/>
              <w:rPr>
                <w:szCs w:val="22"/>
                <w:lang w:val="pt-PT"/>
              </w:rPr>
            </w:pPr>
            <w:r w:rsidRPr="008912CF">
              <w:rPr>
                <w:szCs w:val="22"/>
                <w:lang w:val="pt-PT"/>
              </w:rPr>
              <w:t>Frequentes</w:t>
            </w:r>
          </w:p>
        </w:tc>
        <w:tc>
          <w:tcPr>
            <w:tcW w:w="4346" w:type="dxa"/>
            <w:tcBorders>
              <w:top w:val="nil"/>
              <w:bottom w:val="nil"/>
            </w:tcBorders>
          </w:tcPr>
          <w:p w14:paraId="7CB34533" w14:textId="77777777" w:rsidR="002F6811" w:rsidRPr="008912CF" w:rsidRDefault="00615769" w:rsidP="002F6811">
            <w:pPr>
              <w:pStyle w:val="EMEANormal"/>
              <w:widowControl w:val="0"/>
              <w:spacing w:before="60"/>
              <w:rPr>
                <w:szCs w:val="22"/>
                <w:lang w:val="pt-PT"/>
              </w:rPr>
            </w:pPr>
            <w:r>
              <w:rPr>
                <w:szCs w:val="22"/>
                <w:lang w:val="pt-PT"/>
              </w:rPr>
              <w:t>E</w:t>
            </w:r>
            <w:r w:rsidRPr="008912CF">
              <w:rPr>
                <w:szCs w:val="22"/>
                <w:lang w:val="pt-PT"/>
              </w:rPr>
              <w:t>spasmo muscular (incluindo nível sérico de creatinafosfoquinase aumentado)</w:t>
            </w:r>
          </w:p>
          <w:p w14:paraId="0472A480" w14:textId="77777777" w:rsidR="002F6811" w:rsidRPr="008912CF" w:rsidRDefault="002F6811" w:rsidP="002F6811">
            <w:pPr>
              <w:pStyle w:val="EMEANormal"/>
              <w:widowControl w:val="0"/>
              <w:spacing w:before="60"/>
              <w:rPr>
                <w:szCs w:val="22"/>
                <w:lang w:val="pt-PT"/>
              </w:rPr>
            </w:pPr>
          </w:p>
        </w:tc>
      </w:tr>
      <w:tr w:rsidR="00A7162A" w14:paraId="15372963" w14:textId="77777777" w:rsidTr="002F6811">
        <w:tc>
          <w:tcPr>
            <w:tcW w:w="2514" w:type="dxa"/>
            <w:vMerge/>
            <w:tcBorders>
              <w:bottom w:val="nil"/>
            </w:tcBorders>
          </w:tcPr>
          <w:p w14:paraId="2E5508B8" w14:textId="77777777" w:rsidR="002F6811" w:rsidRPr="008912CF" w:rsidRDefault="002F6811" w:rsidP="002F6811">
            <w:pPr>
              <w:widowControl w:val="0"/>
              <w:spacing w:before="60"/>
              <w:jc w:val="center"/>
              <w:rPr>
                <w:b/>
              </w:rPr>
            </w:pPr>
          </w:p>
        </w:tc>
        <w:tc>
          <w:tcPr>
            <w:tcW w:w="1996" w:type="dxa"/>
            <w:tcBorders>
              <w:top w:val="nil"/>
              <w:bottom w:val="nil"/>
            </w:tcBorders>
          </w:tcPr>
          <w:p w14:paraId="0F3C3B83" w14:textId="77777777" w:rsidR="002F6811" w:rsidRPr="008912CF" w:rsidRDefault="00615769" w:rsidP="002F6811">
            <w:pPr>
              <w:pStyle w:val="EMEANormal"/>
              <w:widowControl w:val="0"/>
              <w:rPr>
                <w:szCs w:val="22"/>
                <w:lang w:val="pt-PT"/>
              </w:rPr>
            </w:pPr>
            <w:r w:rsidRPr="008912CF">
              <w:rPr>
                <w:szCs w:val="22"/>
                <w:lang w:val="pt-PT"/>
              </w:rPr>
              <w:t>Pouco frequentes</w:t>
            </w:r>
          </w:p>
          <w:p w14:paraId="14C3BAB4" w14:textId="77777777" w:rsidR="002F6811" w:rsidRPr="008912CF" w:rsidRDefault="002F6811" w:rsidP="002F6811">
            <w:pPr>
              <w:pStyle w:val="EMEANormal"/>
              <w:widowControl w:val="0"/>
              <w:rPr>
                <w:szCs w:val="22"/>
                <w:lang w:val="pt-PT"/>
              </w:rPr>
            </w:pPr>
          </w:p>
          <w:p w14:paraId="33DE4204" w14:textId="77777777" w:rsidR="002F6811" w:rsidRPr="008912CF" w:rsidRDefault="002F6811" w:rsidP="002F6811">
            <w:pPr>
              <w:pStyle w:val="EMEANormal"/>
              <w:widowControl w:val="0"/>
              <w:rPr>
                <w:szCs w:val="22"/>
                <w:lang w:val="pt-PT"/>
              </w:rPr>
            </w:pPr>
          </w:p>
        </w:tc>
        <w:tc>
          <w:tcPr>
            <w:tcW w:w="4346" w:type="dxa"/>
            <w:tcBorders>
              <w:top w:val="nil"/>
              <w:bottom w:val="nil"/>
            </w:tcBorders>
          </w:tcPr>
          <w:p w14:paraId="709756E3" w14:textId="77777777" w:rsidR="002F6811" w:rsidRPr="008912CF" w:rsidRDefault="00615769" w:rsidP="002F6811">
            <w:pPr>
              <w:pStyle w:val="EMEANormal"/>
              <w:rPr>
                <w:szCs w:val="22"/>
                <w:lang w:val="pt-PT"/>
              </w:rPr>
            </w:pPr>
            <w:r>
              <w:rPr>
                <w:szCs w:val="22"/>
                <w:lang w:val="pt-PT"/>
              </w:rPr>
              <w:t>R</w:t>
            </w:r>
            <w:r w:rsidRPr="008912CF">
              <w:rPr>
                <w:szCs w:val="22"/>
                <w:lang w:val="pt-PT"/>
              </w:rPr>
              <w:t>abdomiólise,</w:t>
            </w:r>
          </w:p>
          <w:p w14:paraId="78ED2E95" w14:textId="77777777" w:rsidR="002F6811" w:rsidRPr="008912CF" w:rsidRDefault="00615769" w:rsidP="002F6811">
            <w:pPr>
              <w:pStyle w:val="EMEANormal"/>
              <w:widowControl w:val="0"/>
              <w:rPr>
                <w:szCs w:val="22"/>
                <w:lang w:val="pt-PT"/>
              </w:rPr>
            </w:pPr>
            <w:r w:rsidRPr="008912CF">
              <w:rPr>
                <w:szCs w:val="22"/>
                <w:lang w:val="pt-PT"/>
              </w:rPr>
              <w:t>lúpus eritematoso sistémico</w:t>
            </w:r>
          </w:p>
          <w:p w14:paraId="3E210E87" w14:textId="77777777" w:rsidR="002F6811" w:rsidRPr="008912CF" w:rsidRDefault="002F6811" w:rsidP="002F6811">
            <w:pPr>
              <w:pStyle w:val="EMEANormal"/>
              <w:widowControl w:val="0"/>
              <w:rPr>
                <w:szCs w:val="22"/>
                <w:lang w:val="pt-PT"/>
              </w:rPr>
            </w:pPr>
          </w:p>
        </w:tc>
      </w:tr>
      <w:tr w:rsidR="00A7162A" w14:paraId="1D4E7A33" w14:textId="77777777" w:rsidTr="002F6811">
        <w:tc>
          <w:tcPr>
            <w:tcW w:w="2514" w:type="dxa"/>
            <w:tcBorders>
              <w:top w:val="nil"/>
            </w:tcBorders>
          </w:tcPr>
          <w:p w14:paraId="003B745D" w14:textId="77777777" w:rsidR="002F6811" w:rsidRPr="008912CF" w:rsidRDefault="002F6811" w:rsidP="002F6811">
            <w:pPr>
              <w:widowControl w:val="0"/>
              <w:spacing w:before="60"/>
              <w:jc w:val="center"/>
              <w:rPr>
                <w:b/>
              </w:rPr>
            </w:pPr>
          </w:p>
        </w:tc>
        <w:tc>
          <w:tcPr>
            <w:tcW w:w="1996" w:type="dxa"/>
            <w:tcBorders>
              <w:top w:val="nil"/>
            </w:tcBorders>
          </w:tcPr>
          <w:p w14:paraId="03EBCC83" w14:textId="77777777" w:rsidR="002F6811" w:rsidRPr="008912CF" w:rsidRDefault="00615769" w:rsidP="002F6811">
            <w:pPr>
              <w:pStyle w:val="EMEANormal"/>
              <w:widowControl w:val="0"/>
              <w:rPr>
                <w:szCs w:val="22"/>
                <w:lang w:val="pt-PT"/>
              </w:rPr>
            </w:pPr>
            <w:r w:rsidRPr="008912CF">
              <w:rPr>
                <w:szCs w:val="22"/>
                <w:lang w:val="pt-PT"/>
              </w:rPr>
              <w:t>Raros</w:t>
            </w:r>
          </w:p>
        </w:tc>
        <w:tc>
          <w:tcPr>
            <w:tcW w:w="4346" w:type="dxa"/>
            <w:tcBorders>
              <w:top w:val="nil"/>
            </w:tcBorders>
          </w:tcPr>
          <w:p w14:paraId="08115DF7" w14:textId="77777777" w:rsidR="002F6811" w:rsidRPr="008912CF" w:rsidRDefault="00615769" w:rsidP="002F6811">
            <w:pPr>
              <w:pStyle w:val="EMEANormal"/>
              <w:rPr>
                <w:szCs w:val="22"/>
                <w:lang w:val="pt-PT"/>
              </w:rPr>
            </w:pPr>
            <w:r>
              <w:rPr>
                <w:szCs w:val="22"/>
                <w:lang w:val="pt-PT"/>
              </w:rPr>
              <w:t>S</w:t>
            </w:r>
            <w:r w:rsidRPr="008912CF">
              <w:rPr>
                <w:szCs w:val="22"/>
                <w:lang w:val="pt-PT"/>
              </w:rPr>
              <w:t>índrome tipo lúpus</w:t>
            </w:r>
            <w:r w:rsidRPr="008912CF">
              <w:rPr>
                <w:szCs w:val="22"/>
                <w:vertAlign w:val="superscript"/>
                <w:lang w:val="pt-PT"/>
              </w:rPr>
              <w:t>1)</w:t>
            </w:r>
          </w:p>
        </w:tc>
      </w:tr>
      <w:tr w:rsidR="00A7162A" w14:paraId="430EFB32" w14:textId="77777777" w:rsidTr="002F6811">
        <w:tc>
          <w:tcPr>
            <w:tcW w:w="2514" w:type="dxa"/>
            <w:vMerge w:val="restart"/>
          </w:tcPr>
          <w:p w14:paraId="66B2C34A" w14:textId="77777777" w:rsidR="002F6811" w:rsidRPr="008912CF" w:rsidRDefault="00615769" w:rsidP="002F6811">
            <w:pPr>
              <w:pStyle w:val="EMEANormal"/>
              <w:widowControl w:val="0"/>
              <w:spacing w:before="60"/>
              <w:rPr>
                <w:szCs w:val="22"/>
                <w:lang w:val="pt-PT"/>
              </w:rPr>
            </w:pPr>
            <w:r w:rsidRPr="008912CF">
              <w:rPr>
                <w:szCs w:val="22"/>
                <w:lang w:val="pt-PT"/>
              </w:rPr>
              <w:t>Doenças renais e urinárias</w:t>
            </w:r>
          </w:p>
        </w:tc>
        <w:tc>
          <w:tcPr>
            <w:tcW w:w="1996" w:type="dxa"/>
            <w:tcBorders>
              <w:bottom w:val="nil"/>
            </w:tcBorders>
          </w:tcPr>
          <w:p w14:paraId="72FADE63" w14:textId="77777777" w:rsidR="002F6811" w:rsidRPr="008912CF" w:rsidRDefault="00615769" w:rsidP="002F6811">
            <w:pPr>
              <w:pStyle w:val="EMEANormal"/>
              <w:widowControl w:val="0"/>
              <w:spacing w:before="60"/>
              <w:rPr>
                <w:szCs w:val="22"/>
                <w:lang w:val="pt-PT"/>
              </w:rPr>
            </w:pPr>
            <w:r w:rsidRPr="008912CF">
              <w:rPr>
                <w:szCs w:val="22"/>
                <w:lang w:val="pt-PT"/>
              </w:rPr>
              <w:t>Frequentes</w:t>
            </w:r>
          </w:p>
          <w:p w14:paraId="1D325EB9" w14:textId="77777777" w:rsidR="002F6811" w:rsidRPr="008912CF" w:rsidRDefault="002F6811" w:rsidP="002F6811">
            <w:pPr>
              <w:pStyle w:val="EMEANormal"/>
              <w:widowControl w:val="0"/>
              <w:spacing w:before="60"/>
              <w:rPr>
                <w:szCs w:val="22"/>
                <w:lang w:val="pt-PT"/>
              </w:rPr>
            </w:pPr>
          </w:p>
        </w:tc>
        <w:tc>
          <w:tcPr>
            <w:tcW w:w="4346" w:type="dxa"/>
            <w:tcBorders>
              <w:bottom w:val="nil"/>
            </w:tcBorders>
          </w:tcPr>
          <w:p w14:paraId="3068A245" w14:textId="77777777" w:rsidR="002F6811" w:rsidRPr="008912CF" w:rsidRDefault="00615769" w:rsidP="002F6811">
            <w:pPr>
              <w:pStyle w:val="EMEANormal"/>
              <w:widowControl w:val="0"/>
              <w:spacing w:before="60"/>
              <w:rPr>
                <w:szCs w:val="22"/>
                <w:lang w:val="pt-PT"/>
              </w:rPr>
            </w:pPr>
            <w:r>
              <w:rPr>
                <w:szCs w:val="22"/>
                <w:lang w:val="pt-PT"/>
              </w:rPr>
              <w:t>C</w:t>
            </w:r>
            <w:r w:rsidRPr="008912CF">
              <w:rPr>
                <w:szCs w:val="22"/>
                <w:lang w:val="pt-PT"/>
              </w:rPr>
              <w:t>ompromisso renal,</w:t>
            </w:r>
          </w:p>
          <w:p w14:paraId="3925FA59" w14:textId="77777777" w:rsidR="002F6811" w:rsidRPr="008912CF" w:rsidRDefault="00615769" w:rsidP="002F6811">
            <w:pPr>
              <w:pStyle w:val="EMEANormal"/>
              <w:widowControl w:val="0"/>
              <w:spacing w:before="60"/>
              <w:rPr>
                <w:szCs w:val="22"/>
                <w:lang w:val="pt-PT"/>
              </w:rPr>
            </w:pPr>
            <w:r w:rsidRPr="008912CF">
              <w:rPr>
                <w:szCs w:val="22"/>
                <w:lang w:val="pt-PT"/>
              </w:rPr>
              <w:t>hematúria</w:t>
            </w:r>
          </w:p>
          <w:p w14:paraId="0101F48A" w14:textId="77777777" w:rsidR="002F6811" w:rsidRPr="008912CF" w:rsidRDefault="002F6811" w:rsidP="002F6811">
            <w:pPr>
              <w:pStyle w:val="EMEANormal"/>
              <w:widowControl w:val="0"/>
              <w:spacing w:before="60"/>
              <w:rPr>
                <w:szCs w:val="22"/>
                <w:lang w:val="pt-PT"/>
              </w:rPr>
            </w:pPr>
          </w:p>
        </w:tc>
      </w:tr>
      <w:tr w:rsidR="00A7162A" w14:paraId="0F861133" w14:textId="77777777" w:rsidTr="002F6811">
        <w:tc>
          <w:tcPr>
            <w:tcW w:w="2514" w:type="dxa"/>
            <w:vMerge/>
          </w:tcPr>
          <w:p w14:paraId="30C77553" w14:textId="77777777" w:rsidR="002F6811" w:rsidRPr="008912CF" w:rsidRDefault="002F6811" w:rsidP="002F6811">
            <w:pPr>
              <w:widowControl w:val="0"/>
              <w:spacing w:before="60"/>
              <w:jc w:val="center"/>
              <w:rPr>
                <w:b/>
              </w:rPr>
            </w:pPr>
          </w:p>
        </w:tc>
        <w:tc>
          <w:tcPr>
            <w:tcW w:w="1996" w:type="dxa"/>
            <w:tcBorders>
              <w:top w:val="nil"/>
            </w:tcBorders>
          </w:tcPr>
          <w:p w14:paraId="6EECAD04" w14:textId="77777777" w:rsidR="002F6811" w:rsidRPr="008912CF" w:rsidRDefault="00615769" w:rsidP="002F6811">
            <w:pPr>
              <w:pStyle w:val="EMEANormal"/>
              <w:widowControl w:val="0"/>
              <w:rPr>
                <w:szCs w:val="22"/>
                <w:lang w:val="pt-PT"/>
              </w:rPr>
            </w:pPr>
            <w:r w:rsidRPr="008912CF">
              <w:rPr>
                <w:szCs w:val="22"/>
                <w:lang w:val="pt-PT"/>
              </w:rPr>
              <w:t>Pouco frequentes</w:t>
            </w:r>
          </w:p>
        </w:tc>
        <w:tc>
          <w:tcPr>
            <w:tcW w:w="4346" w:type="dxa"/>
            <w:tcBorders>
              <w:top w:val="nil"/>
            </w:tcBorders>
          </w:tcPr>
          <w:p w14:paraId="08B677AE" w14:textId="77777777" w:rsidR="002F6811" w:rsidRPr="008912CF" w:rsidRDefault="00615769" w:rsidP="002F6811">
            <w:pPr>
              <w:pStyle w:val="EMEANormal"/>
              <w:widowControl w:val="0"/>
              <w:rPr>
                <w:szCs w:val="22"/>
                <w:lang w:val="pt-PT"/>
              </w:rPr>
            </w:pPr>
            <w:r>
              <w:rPr>
                <w:szCs w:val="22"/>
                <w:lang w:val="pt-PT"/>
              </w:rPr>
              <w:t>N</w:t>
            </w:r>
            <w:r w:rsidRPr="008912CF">
              <w:rPr>
                <w:szCs w:val="22"/>
                <w:lang w:val="pt-PT"/>
              </w:rPr>
              <w:t>octúria</w:t>
            </w:r>
          </w:p>
          <w:p w14:paraId="5B1A0030" w14:textId="77777777" w:rsidR="002F6811" w:rsidRPr="008912CF" w:rsidRDefault="002F6811" w:rsidP="002F6811">
            <w:pPr>
              <w:pStyle w:val="EMEANormal"/>
              <w:widowControl w:val="0"/>
              <w:rPr>
                <w:szCs w:val="22"/>
                <w:lang w:val="pt-PT"/>
              </w:rPr>
            </w:pPr>
          </w:p>
        </w:tc>
      </w:tr>
      <w:tr w:rsidR="00A7162A" w14:paraId="7B4F8ACF" w14:textId="77777777" w:rsidTr="002F6811">
        <w:tc>
          <w:tcPr>
            <w:tcW w:w="2514" w:type="dxa"/>
          </w:tcPr>
          <w:p w14:paraId="254E8A40" w14:textId="77777777" w:rsidR="002F6811" w:rsidRPr="008912CF" w:rsidRDefault="00615769" w:rsidP="002F6811">
            <w:pPr>
              <w:pStyle w:val="EMEANormal"/>
              <w:widowControl w:val="0"/>
              <w:spacing w:before="60"/>
              <w:rPr>
                <w:szCs w:val="22"/>
                <w:lang w:val="pt-PT"/>
              </w:rPr>
            </w:pPr>
            <w:r w:rsidRPr="008912CF">
              <w:rPr>
                <w:szCs w:val="22"/>
                <w:lang w:val="pt-PT"/>
              </w:rPr>
              <w:t>Doenças dos órgãos genitais e da mama</w:t>
            </w:r>
          </w:p>
        </w:tc>
        <w:tc>
          <w:tcPr>
            <w:tcW w:w="1996" w:type="dxa"/>
          </w:tcPr>
          <w:p w14:paraId="511A7FFB" w14:textId="77777777" w:rsidR="002F6811" w:rsidRPr="008912CF" w:rsidRDefault="00615769" w:rsidP="002F6811">
            <w:pPr>
              <w:pStyle w:val="EMEANormal"/>
              <w:widowControl w:val="0"/>
              <w:spacing w:before="60"/>
              <w:rPr>
                <w:szCs w:val="22"/>
                <w:lang w:val="pt-PT"/>
              </w:rPr>
            </w:pPr>
            <w:r w:rsidRPr="008912CF">
              <w:rPr>
                <w:szCs w:val="22"/>
                <w:lang w:val="pt-PT"/>
              </w:rPr>
              <w:t>Pouco frequentes</w:t>
            </w:r>
          </w:p>
        </w:tc>
        <w:tc>
          <w:tcPr>
            <w:tcW w:w="4346" w:type="dxa"/>
          </w:tcPr>
          <w:p w14:paraId="00ACAC02" w14:textId="77777777" w:rsidR="002F6811" w:rsidRPr="008912CF" w:rsidRDefault="00615769" w:rsidP="002F6811">
            <w:pPr>
              <w:pStyle w:val="EMEANormal"/>
              <w:widowControl w:val="0"/>
              <w:spacing w:before="60"/>
              <w:rPr>
                <w:szCs w:val="22"/>
                <w:lang w:val="pt-PT"/>
              </w:rPr>
            </w:pPr>
            <w:r>
              <w:rPr>
                <w:szCs w:val="22"/>
                <w:lang w:val="pt-PT"/>
              </w:rPr>
              <w:t>D</w:t>
            </w:r>
            <w:r w:rsidRPr="008912CF">
              <w:rPr>
                <w:szCs w:val="22"/>
                <w:lang w:val="pt-PT"/>
              </w:rPr>
              <w:t>isfunção erétil</w:t>
            </w:r>
          </w:p>
        </w:tc>
      </w:tr>
      <w:tr w:rsidR="00A7162A" w14:paraId="2999A755" w14:textId="77777777" w:rsidTr="002F6811">
        <w:tc>
          <w:tcPr>
            <w:tcW w:w="2514" w:type="dxa"/>
            <w:vMerge w:val="restart"/>
          </w:tcPr>
          <w:p w14:paraId="358D2F59" w14:textId="77777777" w:rsidR="002F6811" w:rsidRPr="008912CF" w:rsidRDefault="00615769" w:rsidP="002F6811">
            <w:pPr>
              <w:pStyle w:val="EMEANormal"/>
              <w:widowControl w:val="0"/>
              <w:spacing w:before="60"/>
              <w:rPr>
                <w:szCs w:val="22"/>
                <w:lang w:val="pt-PT"/>
              </w:rPr>
            </w:pPr>
            <w:r w:rsidRPr="008912CF">
              <w:rPr>
                <w:szCs w:val="22"/>
                <w:lang w:val="pt-PT"/>
              </w:rPr>
              <w:t>Perturbações gerais e alterações no local de administração *</w:t>
            </w:r>
          </w:p>
        </w:tc>
        <w:tc>
          <w:tcPr>
            <w:tcW w:w="1996" w:type="dxa"/>
            <w:tcBorders>
              <w:bottom w:val="nil"/>
            </w:tcBorders>
          </w:tcPr>
          <w:p w14:paraId="045E2A00" w14:textId="77777777" w:rsidR="002F6811" w:rsidRPr="008912CF" w:rsidRDefault="00615769" w:rsidP="002F6811">
            <w:pPr>
              <w:pStyle w:val="EMEANormal"/>
              <w:widowControl w:val="0"/>
              <w:spacing w:before="60"/>
              <w:rPr>
                <w:szCs w:val="22"/>
                <w:lang w:val="pt-PT"/>
              </w:rPr>
            </w:pPr>
            <w:r w:rsidRPr="008912CF">
              <w:rPr>
                <w:szCs w:val="22"/>
                <w:lang w:val="pt-PT"/>
              </w:rPr>
              <w:t xml:space="preserve">Muito frequentes </w:t>
            </w:r>
          </w:p>
        </w:tc>
        <w:tc>
          <w:tcPr>
            <w:tcW w:w="4346" w:type="dxa"/>
            <w:tcBorders>
              <w:bottom w:val="nil"/>
            </w:tcBorders>
          </w:tcPr>
          <w:p w14:paraId="2B7DEC1C" w14:textId="77777777" w:rsidR="002F6811" w:rsidRPr="008912CF" w:rsidRDefault="00615769" w:rsidP="002F6811">
            <w:pPr>
              <w:pStyle w:val="EMEANormal"/>
              <w:widowControl w:val="0"/>
              <w:spacing w:before="60"/>
              <w:rPr>
                <w:szCs w:val="22"/>
                <w:lang w:val="pt-PT"/>
              </w:rPr>
            </w:pPr>
            <w:r>
              <w:rPr>
                <w:szCs w:val="22"/>
                <w:lang w:val="pt-PT"/>
              </w:rPr>
              <w:t>R</w:t>
            </w:r>
            <w:r w:rsidRPr="008912CF">
              <w:rPr>
                <w:szCs w:val="22"/>
                <w:lang w:val="pt-PT"/>
              </w:rPr>
              <w:t>eação no local da injeção (incluindo eritema no local de injeção)</w:t>
            </w:r>
          </w:p>
          <w:p w14:paraId="18D7CB29" w14:textId="77777777" w:rsidR="002F6811" w:rsidRPr="008912CF" w:rsidRDefault="002F6811" w:rsidP="002F6811">
            <w:pPr>
              <w:pStyle w:val="EMEANormal"/>
              <w:widowControl w:val="0"/>
              <w:spacing w:before="60"/>
              <w:rPr>
                <w:szCs w:val="22"/>
                <w:lang w:val="pt-PT"/>
              </w:rPr>
            </w:pPr>
          </w:p>
        </w:tc>
      </w:tr>
      <w:tr w:rsidR="00A7162A" w14:paraId="07171A07" w14:textId="77777777" w:rsidTr="002F6811">
        <w:tc>
          <w:tcPr>
            <w:tcW w:w="2514" w:type="dxa"/>
            <w:vMerge/>
          </w:tcPr>
          <w:p w14:paraId="06B52DA4" w14:textId="77777777" w:rsidR="002F6811" w:rsidRPr="008912CF" w:rsidRDefault="002F6811" w:rsidP="002F6811">
            <w:pPr>
              <w:widowControl w:val="0"/>
              <w:spacing w:before="60"/>
              <w:jc w:val="center"/>
              <w:rPr>
                <w:b/>
              </w:rPr>
            </w:pPr>
          </w:p>
        </w:tc>
        <w:tc>
          <w:tcPr>
            <w:tcW w:w="1996" w:type="dxa"/>
            <w:tcBorders>
              <w:top w:val="nil"/>
              <w:bottom w:val="nil"/>
            </w:tcBorders>
          </w:tcPr>
          <w:p w14:paraId="6FA4A42C" w14:textId="77777777" w:rsidR="002F6811" w:rsidRPr="008912CF" w:rsidRDefault="00615769" w:rsidP="002F6811">
            <w:pPr>
              <w:pStyle w:val="EMEANormal"/>
              <w:widowControl w:val="0"/>
              <w:rPr>
                <w:szCs w:val="22"/>
                <w:lang w:val="pt-PT"/>
              </w:rPr>
            </w:pPr>
            <w:r w:rsidRPr="008912CF">
              <w:rPr>
                <w:szCs w:val="22"/>
                <w:lang w:val="pt-PT"/>
              </w:rPr>
              <w:t>Frequentes</w:t>
            </w:r>
          </w:p>
        </w:tc>
        <w:tc>
          <w:tcPr>
            <w:tcW w:w="4346" w:type="dxa"/>
            <w:tcBorders>
              <w:top w:val="nil"/>
              <w:bottom w:val="nil"/>
            </w:tcBorders>
          </w:tcPr>
          <w:p w14:paraId="1A3B23A6" w14:textId="77777777" w:rsidR="002F6811" w:rsidRPr="008912CF" w:rsidRDefault="00615769" w:rsidP="002F6811">
            <w:pPr>
              <w:pStyle w:val="EMEANormal"/>
              <w:widowControl w:val="0"/>
              <w:rPr>
                <w:szCs w:val="22"/>
                <w:lang w:val="pt-PT"/>
              </w:rPr>
            </w:pPr>
            <w:r>
              <w:rPr>
                <w:szCs w:val="22"/>
                <w:lang w:val="pt-PT"/>
              </w:rPr>
              <w:t>D</w:t>
            </w:r>
            <w:r w:rsidRPr="008912CF">
              <w:rPr>
                <w:szCs w:val="22"/>
                <w:lang w:val="pt-PT"/>
              </w:rPr>
              <w:t>or torácica,</w:t>
            </w:r>
          </w:p>
          <w:p w14:paraId="69D34DED" w14:textId="77777777" w:rsidR="002F6811" w:rsidRPr="008912CF" w:rsidRDefault="00615769" w:rsidP="002F6811">
            <w:pPr>
              <w:pStyle w:val="EMEANormal"/>
              <w:widowControl w:val="0"/>
              <w:rPr>
                <w:szCs w:val="22"/>
                <w:lang w:val="pt-PT"/>
              </w:rPr>
            </w:pPr>
            <w:r w:rsidRPr="008912CF">
              <w:rPr>
                <w:szCs w:val="22"/>
                <w:lang w:val="pt-PT"/>
              </w:rPr>
              <w:t>edema,</w:t>
            </w:r>
          </w:p>
          <w:p w14:paraId="6A6166E5" w14:textId="77777777" w:rsidR="002F6811" w:rsidRPr="008912CF" w:rsidRDefault="00615769" w:rsidP="002F6811">
            <w:pPr>
              <w:pStyle w:val="EMEANormal"/>
              <w:widowControl w:val="0"/>
              <w:rPr>
                <w:szCs w:val="22"/>
                <w:lang w:val="pt-PT"/>
              </w:rPr>
            </w:pPr>
            <w:r w:rsidRPr="008912CF">
              <w:rPr>
                <w:szCs w:val="22"/>
                <w:lang w:val="pt-PT"/>
              </w:rPr>
              <w:t>febre</w:t>
            </w:r>
            <w:r w:rsidRPr="008912CF">
              <w:rPr>
                <w:szCs w:val="22"/>
                <w:vertAlign w:val="superscript"/>
                <w:lang w:val="pt-PT"/>
              </w:rPr>
              <w:t>1)</w:t>
            </w:r>
          </w:p>
          <w:p w14:paraId="35B54B50" w14:textId="77777777" w:rsidR="002F6811" w:rsidRPr="008912CF" w:rsidRDefault="002F6811" w:rsidP="002F6811">
            <w:pPr>
              <w:pStyle w:val="EMEANormal"/>
              <w:widowControl w:val="0"/>
              <w:rPr>
                <w:szCs w:val="22"/>
                <w:lang w:val="pt-PT"/>
              </w:rPr>
            </w:pPr>
          </w:p>
        </w:tc>
      </w:tr>
      <w:tr w:rsidR="00A7162A" w14:paraId="79CE1F95" w14:textId="77777777" w:rsidTr="002F6811">
        <w:tc>
          <w:tcPr>
            <w:tcW w:w="2514" w:type="dxa"/>
            <w:vMerge/>
          </w:tcPr>
          <w:p w14:paraId="1C4E297B" w14:textId="77777777" w:rsidR="002F6811" w:rsidRPr="008912CF" w:rsidRDefault="002F6811" w:rsidP="002F6811">
            <w:pPr>
              <w:widowControl w:val="0"/>
              <w:spacing w:before="60"/>
              <w:jc w:val="center"/>
              <w:rPr>
                <w:b/>
              </w:rPr>
            </w:pPr>
          </w:p>
        </w:tc>
        <w:tc>
          <w:tcPr>
            <w:tcW w:w="1996" w:type="dxa"/>
            <w:tcBorders>
              <w:top w:val="nil"/>
            </w:tcBorders>
          </w:tcPr>
          <w:p w14:paraId="7D9A0A3A" w14:textId="77777777" w:rsidR="002F6811" w:rsidRPr="008912CF" w:rsidRDefault="00615769" w:rsidP="002F6811">
            <w:pPr>
              <w:pStyle w:val="EMEANormal"/>
              <w:widowControl w:val="0"/>
              <w:rPr>
                <w:szCs w:val="22"/>
                <w:lang w:val="pt-PT"/>
              </w:rPr>
            </w:pPr>
            <w:r w:rsidRPr="008912CF">
              <w:rPr>
                <w:szCs w:val="22"/>
                <w:lang w:val="pt-PT"/>
              </w:rPr>
              <w:t>Pouco frequentes</w:t>
            </w:r>
          </w:p>
        </w:tc>
        <w:tc>
          <w:tcPr>
            <w:tcW w:w="4346" w:type="dxa"/>
            <w:tcBorders>
              <w:top w:val="nil"/>
            </w:tcBorders>
          </w:tcPr>
          <w:p w14:paraId="19875C44" w14:textId="77777777" w:rsidR="002F6811" w:rsidRPr="008912CF" w:rsidRDefault="00615769" w:rsidP="002F6811">
            <w:pPr>
              <w:pStyle w:val="EMEANormal"/>
              <w:widowControl w:val="0"/>
              <w:rPr>
                <w:szCs w:val="22"/>
                <w:lang w:val="pt-PT"/>
              </w:rPr>
            </w:pPr>
            <w:r>
              <w:rPr>
                <w:szCs w:val="22"/>
                <w:lang w:val="pt-PT"/>
              </w:rPr>
              <w:t>I</w:t>
            </w:r>
            <w:r w:rsidRPr="008912CF">
              <w:rPr>
                <w:szCs w:val="22"/>
                <w:lang w:val="pt-PT"/>
              </w:rPr>
              <w:t>nflamação</w:t>
            </w:r>
          </w:p>
          <w:p w14:paraId="78EB66A7" w14:textId="77777777" w:rsidR="002F6811" w:rsidRPr="008912CF" w:rsidRDefault="002F6811" w:rsidP="002F6811">
            <w:pPr>
              <w:pStyle w:val="EMEANormal"/>
              <w:widowControl w:val="0"/>
              <w:rPr>
                <w:szCs w:val="22"/>
                <w:lang w:val="pt-PT"/>
              </w:rPr>
            </w:pPr>
          </w:p>
        </w:tc>
      </w:tr>
      <w:tr w:rsidR="00A7162A" w14:paraId="49BAE749" w14:textId="77777777" w:rsidTr="000036F0">
        <w:tc>
          <w:tcPr>
            <w:tcW w:w="2514" w:type="dxa"/>
            <w:vMerge w:val="restart"/>
          </w:tcPr>
          <w:p w14:paraId="739E8E56" w14:textId="77777777" w:rsidR="000036F0" w:rsidRPr="008912CF" w:rsidRDefault="00615769" w:rsidP="002F6811">
            <w:pPr>
              <w:pStyle w:val="EMEANormal"/>
              <w:widowControl w:val="0"/>
              <w:spacing w:before="60"/>
              <w:rPr>
                <w:szCs w:val="22"/>
                <w:lang w:val="pt-PT"/>
              </w:rPr>
            </w:pPr>
            <w:r w:rsidRPr="008912CF">
              <w:rPr>
                <w:szCs w:val="22"/>
                <w:lang w:val="pt-PT"/>
              </w:rPr>
              <w:t>Exames complementares de diagnóstico*</w:t>
            </w:r>
          </w:p>
        </w:tc>
        <w:tc>
          <w:tcPr>
            <w:tcW w:w="1996" w:type="dxa"/>
            <w:tcBorders>
              <w:bottom w:val="nil"/>
            </w:tcBorders>
          </w:tcPr>
          <w:p w14:paraId="24C77926" w14:textId="77777777" w:rsidR="000036F0" w:rsidRPr="008912CF" w:rsidRDefault="00615769" w:rsidP="002F6811">
            <w:pPr>
              <w:pStyle w:val="EMEANormal"/>
              <w:widowControl w:val="0"/>
              <w:spacing w:before="60"/>
              <w:rPr>
                <w:szCs w:val="22"/>
                <w:lang w:val="pt-PT"/>
              </w:rPr>
            </w:pPr>
            <w:r w:rsidRPr="008912CF">
              <w:rPr>
                <w:szCs w:val="22"/>
                <w:lang w:val="pt-PT"/>
              </w:rPr>
              <w:t>Frequentes</w:t>
            </w:r>
          </w:p>
        </w:tc>
        <w:tc>
          <w:tcPr>
            <w:tcW w:w="4346" w:type="dxa"/>
            <w:tcBorders>
              <w:bottom w:val="nil"/>
            </w:tcBorders>
          </w:tcPr>
          <w:p w14:paraId="137F5CAE" w14:textId="77777777" w:rsidR="000036F0" w:rsidRPr="008912CF" w:rsidRDefault="00615769" w:rsidP="002F6811">
            <w:pPr>
              <w:pStyle w:val="EMEANormal"/>
              <w:widowControl w:val="0"/>
              <w:spacing w:before="60"/>
              <w:rPr>
                <w:szCs w:val="22"/>
                <w:lang w:val="pt-PT"/>
              </w:rPr>
            </w:pPr>
            <w:r>
              <w:rPr>
                <w:szCs w:val="22"/>
                <w:lang w:val="pt-PT"/>
              </w:rPr>
              <w:t>A</w:t>
            </w:r>
            <w:r w:rsidRPr="008912CF">
              <w:rPr>
                <w:szCs w:val="22"/>
                <w:lang w:val="pt-PT"/>
              </w:rPr>
              <w:t xml:space="preserve">lterações da coagulação e hemorragia (incluindo </w:t>
            </w:r>
            <w:r>
              <w:rPr>
                <w:szCs w:val="22"/>
                <w:lang w:val="pt-PT"/>
              </w:rPr>
              <w:t xml:space="preserve">prolongamento do </w:t>
            </w:r>
            <w:r w:rsidRPr="008912CF">
              <w:rPr>
                <w:szCs w:val="22"/>
                <w:lang w:val="pt-PT"/>
              </w:rPr>
              <w:t>tempo de tromboplastina parcial ativada),</w:t>
            </w:r>
          </w:p>
          <w:p w14:paraId="181349B1" w14:textId="77777777" w:rsidR="000036F0" w:rsidRPr="008912CF" w:rsidRDefault="00615769" w:rsidP="002F6811">
            <w:pPr>
              <w:pStyle w:val="EMEANormal"/>
              <w:widowControl w:val="0"/>
              <w:spacing w:before="60"/>
              <w:rPr>
                <w:szCs w:val="22"/>
                <w:lang w:val="pt-PT"/>
              </w:rPr>
            </w:pPr>
            <w:r w:rsidRPr="008912CF">
              <w:rPr>
                <w:szCs w:val="22"/>
                <w:lang w:val="pt-PT"/>
              </w:rPr>
              <w:t xml:space="preserve">teste positivo de autoanticorpos (incluindo anticorpos contra a dupla cadeia de DNA), </w:t>
            </w:r>
          </w:p>
          <w:p w14:paraId="36FED3E8" w14:textId="77777777" w:rsidR="000036F0" w:rsidRPr="008912CF" w:rsidRDefault="00615769" w:rsidP="002F6811">
            <w:pPr>
              <w:pStyle w:val="EMEANormal"/>
              <w:widowControl w:val="0"/>
              <w:spacing w:before="60"/>
              <w:rPr>
                <w:szCs w:val="22"/>
                <w:lang w:val="pt-PT"/>
              </w:rPr>
            </w:pPr>
            <w:r w:rsidRPr="008912CF">
              <w:rPr>
                <w:szCs w:val="22"/>
                <w:lang w:val="pt-PT"/>
              </w:rPr>
              <w:t xml:space="preserve">nível </w:t>
            </w:r>
            <w:r>
              <w:rPr>
                <w:szCs w:val="22"/>
                <w:lang w:val="pt-PT"/>
              </w:rPr>
              <w:t xml:space="preserve">sérico </w:t>
            </w:r>
            <w:r w:rsidRPr="008912CF">
              <w:rPr>
                <w:szCs w:val="22"/>
                <w:lang w:val="pt-PT"/>
              </w:rPr>
              <w:t>de de</w:t>
            </w:r>
            <w:r>
              <w:rPr>
                <w:szCs w:val="22"/>
                <w:lang w:val="pt-PT"/>
              </w:rPr>
              <w:t>s</w:t>
            </w:r>
            <w:r w:rsidRPr="008912CF">
              <w:rPr>
                <w:szCs w:val="22"/>
                <w:lang w:val="pt-PT"/>
              </w:rPr>
              <w:t>idrogenase láctica aumentado</w:t>
            </w:r>
          </w:p>
          <w:p w14:paraId="6914457E" w14:textId="77777777" w:rsidR="000036F0" w:rsidRPr="008912CF" w:rsidRDefault="000036F0" w:rsidP="002F6811">
            <w:pPr>
              <w:pStyle w:val="EMEANormal"/>
              <w:widowControl w:val="0"/>
              <w:spacing w:before="60"/>
              <w:rPr>
                <w:szCs w:val="22"/>
                <w:lang w:val="pt-PT"/>
              </w:rPr>
            </w:pPr>
          </w:p>
        </w:tc>
      </w:tr>
      <w:tr w:rsidR="00A7162A" w14:paraId="6B79B90B" w14:textId="77777777" w:rsidTr="000036F0">
        <w:tc>
          <w:tcPr>
            <w:tcW w:w="2514" w:type="dxa"/>
            <w:vMerge/>
          </w:tcPr>
          <w:p w14:paraId="2247C6AB" w14:textId="77777777" w:rsidR="000036F0" w:rsidRPr="008912CF" w:rsidRDefault="000036F0" w:rsidP="002F6811">
            <w:pPr>
              <w:pStyle w:val="EMEANormal"/>
              <w:widowControl w:val="0"/>
              <w:spacing w:before="60"/>
              <w:rPr>
                <w:szCs w:val="22"/>
                <w:lang w:val="pt-PT"/>
              </w:rPr>
            </w:pPr>
          </w:p>
        </w:tc>
        <w:tc>
          <w:tcPr>
            <w:tcW w:w="1996" w:type="dxa"/>
            <w:tcBorders>
              <w:top w:val="nil"/>
            </w:tcBorders>
          </w:tcPr>
          <w:p w14:paraId="369D5E38" w14:textId="77777777" w:rsidR="000036F0" w:rsidRPr="008912CF" w:rsidRDefault="00615769" w:rsidP="002F6811">
            <w:pPr>
              <w:pStyle w:val="EMEANormal"/>
              <w:widowControl w:val="0"/>
              <w:spacing w:before="60"/>
              <w:rPr>
                <w:szCs w:val="22"/>
                <w:lang w:val="pt-PT"/>
              </w:rPr>
            </w:pPr>
            <w:r>
              <w:rPr>
                <w:szCs w:val="22"/>
                <w:lang w:val="pt-PT"/>
              </w:rPr>
              <w:t>Desconhecido</w:t>
            </w:r>
          </w:p>
        </w:tc>
        <w:tc>
          <w:tcPr>
            <w:tcW w:w="4346" w:type="dxa"/>
            <w:tcBorders>
              <w:top w:val="nil"/>
            </w:tcBorders>
          </w:tcPr>
          <w:p w14:paraId="4E346ADA" w14:textId="77777777" w:rsidR="000036F0" w:rsidRDefault="00615769" w:rsidP="002F6811">
            <w:pPr>
              <w:pStyle w:val="EMEANormal"/>
              <w:widowControl w:val="0"/>
              <w:spacing w:before="60"/>
              <w:rPr>
                <w:szCs w:val="22"/>
                <w:vertAlign w:val="superscript"/>
                <w:lang w:val="pt-PT"/>
              </w:rPr>
            </w:pPr>
            <w:r>
              <w:rPr>
                <w:szCs w:val="22"/>
                <w:lang w:val="pt-PT"/>
              </w:rPr>
              <w:t>Aumento de peso</w:t>
            </w:r>
            <w:r w:rsidRPr="000036F0">
              <w:rPr>
                <w:szCs w:val="22"/>
                <w:vertAlign w:val="superscript"/>
                <w:lang w:val="pt-PT"/>
              </w:rPr>
              <w:t>2)</w:t>
            </w:r>
          </w:p>
          <w:p w14:paraId="4BF4053C" w14:textId="77777777" w:rsidR="00790398" w:rsidRPr="00790398" w:rsidRDefault="00790398" w:rsidP="002F6811">
            <w:pPr>
              <w:pStyle w:val="EMEANormal"/>
              <w:widowControl w:val="0"/>
              <w:spacing w:before="60"/>
              <w:rPr>
                <w:szCs w:val="22"/>
                <w:vertAlign w:val="superscript"/>
                <w:lang w:val="pt-PT"/>
              </w:rPr>
            </w:pPr>
          </w:p>
        </w:tc>
      </w:tr>
      <w:tr w:rsidR="00A7162A" w14:paraId="193F387A" w14:textId="77777777" w:rsidTr="002F6811">
        <w:tc>
          <w:tcPr>
            <w:tcW w:w="2514" w:type="dxa"/>
          </w:tcPr>
          <w:p w14:paraId="37BCCA91" w14:textId="77777777" w:rsidR="002F6811" w:rsidRPr="008912CF" w:rsidRDefault="00615769" w:rsidP="00DF5632">
            <w:pPr>
              <w:pStyle w:val="EMEANormal"/>
              <w:keepNext/>
              <w:widowControl w:val="0"/>
              <w:spacing w:before="60"/>
              <w:rPr>
                <w:szCs w:val="22"/>
                <w:lang w:val="pt-PT"/>
              </w:rPr>
            </w:pPr>
            <w:r w:rsidRPr="008912CF">
              <w:rPr>
                <w:szCs w:val="22"/>
                <w:lang w:val="pt-PT"/>
              </w:rPr>
              <w:t>Complicações de intervenções relacionadas com lesões e intoxicações</w:t>
            </w:r>
          </w:p>
        </w:tc>
        <w:tc>
          <w:tcPr>
            <w:tcW w:w="1996" w:type="dxa"/>
          </w:tcPr>
          <w:p w14:paraId="60B3E1FC" w14:textId="77777777" w:rsidR="002F6811" w:rsidRPr="008912CF" w:rsidRDefault="00615769" w:rsidP="00DF5632">
            <w:pPr>
              <w:pStyle w:val="EMEANormal"/>
              <w:keepNext/>
              <w:widowControl w:val="0"/>
              <w:spacing w:before="60"/>
              <w:rPr>
                <w:szCs w:val="22"/>
                <w:lang w:val="pt-PT"/>
              </w:rPr>
            </w:pPr>
            <w:r w:rsidRPr="008912CF">
              <w:rPr>
                <w:szCs w:val="22"/>
                <w:lang w:val="pt-PT"/>
              </w:rPr>
              <w:t>Frequentes</w:t>
            </w:r>
          </w:p>
        </w:tc>
        <w:tc>
          <w:tcPr>
            <w:tcW w:w="4346" w:type="dxa"/>
          </w:tcPr>
          <w:p w14:paraId="6FF15B0F" w14:textId="77777777" w:rsidR="002F6811" w:rsidRPr="008912CF" w:rsidRDefault="00615769" w:rsidP="00DF5632">
            <w:pPr>
              <w:pStyle w:val="EMEANormal"/>
              <w:keepNext/>
              <w:widowControl w:val="0"/>
              <w:spacing w:before="60"/>
              <w:rPr>
                <w:szCs w:val="22"/>
                <w:lang w:val="pt-PT"/>
              </w:rPr>
            </w:pPr>
            <w:r>
              <w:rPr>
                <w:szCs w:val="22"/>
                <w:lang w:val="pt-PT"/>
              </w:rPr>
              <w:t>A</w:t>
            </w:r>
            <w:r w:rsidRPr="008912CF">
              <w:rPr>
                <w:szCs w:val="22"/>
                <w:lang w:val="pt-PT"/>
              </w:rPr>
              <w:t xml:space="preserve">lteração de cicatrização </w:t>
            </w:r>
          </w:p>
        </w:tc>
      </w:tr>
    </w:tbl>
    <w:p w14:paraId="296654B2" w14:textId="77777777" w:rsidR="002F6811" w:rsidRPr="008912CF" w:rsidRDefault="002F6811" w:rsidP="002F6811">
      <w:pPr>
        <w:rPr>
          <w:sz w:val="22"/>
          <w:szCs w:val="22"/>
        </w:rPr>
      </w:pPr>
    </w:p>
    <w:p w14:paraId="55CC093A" w14:textId="77777777" w:rsidR="002F6811" w:rsidRPr="008912CF" w:rsidRDefault="00615769" w:rsidP="002F6811">
      <w:pPr>
        <w:rPr>
          <w:sz w:val="22"/>
          <w:szCs w:val="22"/>
        </w:rPr>
      </w:pPr>
      <w:r w:rsidRPr="008912CF">
        <w:rPr>
          <w:sz w:val="22"/>
          <w:szCs w:val="22"/>
        </w:rPr>
        <w:t>* está disponível informação adicional nas secções 4.3, 4.4 e 4.8</w:t>
      </w:r>
    </w:p>
    <w:p w14:paraId="0F8AEABD" w14:textId="77777777" w:rsidR="002F6811" w:rsidRPr="008912CF" w:rsidRDefault="00615769" w:rsidP="002F6811">
      <w:pPr>
        <w:pStyle w:val="EMEAHeadingUnderline"/>
        <w:spacing w:before="0" w:after="0"/>
        <w:rPr>
          <w:szCs w:val="22"/>
          <w:u w:val="none"/>
          <w:lang w:val="pt-PT"/>
        </w:rPr>
      </w:pPr>
      <w:r w:rsidRPr="008912CF">
        <w:rPr>
          <w:szCs w:val="22"/>
          <w:u w:val="none"/>
          <w:lang w:val="pt-PT"/>
        </w:rPr>
        <w:t xml:space="preserve">** incluindo estudos de extensão de fase aberta </w:t>
      </w:r>
    </w:p>
    <w:p w14:paraId="5F5C0104" w14:textId="77777777" w:rsidR="002F6811" w:rsidRDefault="00615769" w:rsidP="002F6811">
      <w:pPr>
        <w:rPr>
          <w:sz w:val="22"/>
          <w:szCs w:val="22"/>
        </w:rPr>
      </w:pPr>
      <w:r w:rsidRPr="00FB75CB">
        <w:rPr>
          <w:sz w:val="22"/>
          <w:szCs w:val="22"/>
          <w:vertAlign w:val="superscript"/>
        </w:rPr>
        <w:t>1)</w:t>
      </w:r>
      <w:r w:rsidRPr="00FB75CB">
        <w:rPr>
          <w:sz w:val="22"/>
          <w:szCs w:val="22"/>
        </w:rPr>
        <w:t xml:space="preserve"> incluindo</w:t>
      </w:r>
      <w:r w:rsidRPr="008912CF">
        <w:rPr>
          <w:sz w:val="22"/>
          <w:szCs w:val="22"/>
        </w:rPr>
        <w:t xml:space="preserve"> dados de notificações espontâneas</w:t>
      </w:r>
    </w:p>
    <w:p w14:paraId="679FE4AC" w14:textId="77777777" w:rsidR="000036F0" w:rsidRPr="000036F0" w:rsidRDefault="00615769" w:rsidP="002F6811">
      <w:pPr>
        <w:rPr>
          <w:sz w:val="22"/>
          <w:szCs w:val="22"/>
          <w:lang w:val="x-none"/>
        </w:rPr>
      </w:pPr>
      <w:r w:rsidRPr="000036F0">
        <w:rPr>
          <w:sz w:val="22"/>
          <w:szCs w:val="22"/>
          <w:vertAlign w:val="superscript"/>
        </w:rPr>
        <w:t xml:space="preserve">2) </w:t>
      </w:r>
      <w:r w:rsidRPr="000036F0">
        <w:rPr>
          <w:sz w:val="22"/>
          <w:szCs w:val="22"/>
        </w:rPr>
        <w:t>A alteração média de peso em relação à avaliação inicial para o adalimumab variou entre 0,3 kg e 1,0 kg nas indicações para adultos, em comparação com (negativo) -0,4 kg a 0,4 kg para o placebo,</w:t>
      </w:r>
      <w:r>
        <w:rPr>
          <w:sz w:val="22"/>
          <w:szCs w:val="22"/>
        </w:rPr>
        <w:t xml:space="preserve"> </w:t>
      </w:r>
      <w:r w:rsidRPr="000036F0">
        <w:rPr>
          <w:sz w:val="22"/>
          <w:szCs w:val="22"/>
        </w:rPr>
        <w:t>durante um período de tratamento de 4-6 meses. Foi também observado um aumento de peso de 5-6 kg</w:t>
      </w:r>
      <w:r>
        <w:rPr>
          <w:sz w:val="22"/>
          <w:szCs w:val="22"/>
        </w:rPr>
        <w:t xml:space="preserve"> </w:t>
      </w:r>
      <w:r w:rsidRPr="000036F0">
        <w:rPr>
          <w:sz w:val="22"/>
          <w:szCs w:val="22"/>
        </w:rPr>
        <w:t>em estudos de extensão a longo prazo com exposições médias de aproximadamente 1-2 anos sem</w:t>
      </w:r>
      <w:r>
        <w:rPr>
          <w:sz w:val="22"/>
          <w:szCs w:val="22"/>
        </w:rPr>
        <w:t xml:space="preserve"> </w:t>
      </w:r>
      <w:r w:rsidRPr="000036F0">
        <w:rPr>
          <w:sz w:val="22"/>
          <w:szCs w:val="22"/>
        </w:rPr>
        <w:t>grupo de controlo, particularmente em doentes com doença de Crohn e colite ulcerosa. O mecanismo subjacente a este efeito não é c</w:t>
      </w:r>
      <w:r w:rsidRPr="000036F0">
        <w:rPr>
          <w:sz w:val="22"/>
          <w:szCs w:val="22"/>
        </w:rPr>
        <w:t>laro, mas pode estar associado ao efeito anti-inflamatório do</w:t>
      </w:r>
      <w:r>
        <w:rPr>
          <w:sz w:val="22"/>
          <w:szCs w:val="22"/>
        </w:rPr>
        <w:t xml:space="preserve"> </w:t>
      </w:r>
      <w:r w:rsidRPr="000036F0">
        <w:rPr>
          <w:sz w:val="22"/>
          <w:szCs w:val="22"/>
        </w:rPr>
        <w:t>adalimumab.</w:t>
      </w:r>
    </w:p>
    <w:p w14:paraId="7C147BBD" w14:textId="77777777" w:rsidR="00D95462" w:rsidRDefault="00D95462" w:rsidP="002F6811">
      <w:pPr>
        <w:autoSpaceDE w:val="0"/>
        <w:autoSpaceDN w:val="0"/>
        <w:adjustRightInd w:val="0"/>
        <w:rPr>
          <w:sz w:val="22"/>
          <w:szCs w:val="22"/>
          <w:u w:val="single"/>
        </w:rPr>
      </w:pPr>
    </w:p>
    <w:p w14:paraId="38DBF906" w14:textId="77777777" w:rsidR="002F6811" w:rsidRDefault="00615769" w:rsidP="002F6811">
      <w:pPr>
        <w:autoSpaceDE w:val="0"/>
        <w:autoSpaceDN w:val="0"/>
        <w:adjustRightInd w:val="0"/>
        <w:rPr>
          <w:sz w:val="22"/>
          <w:szCs w:val="22"/>
          <w:u w:val="single"/>
        </w:rPr>
      </w:pPr>
      <w:r>
        <w:rPr>
          <w:sz w:val="22"/>
          <w:szCs w:val="22"/>
          <w:u w:val="single"/>
        </w:rPr>
        <w:t>Uveíte</w:t>
      </w:r>
    </w:p>
    <w:p w14:paraId="69ED1C4A" w14:textId="77777777" w:rsidR="008B5C6D" w:rsidRDefault="008B5C6D" w:rsidP="002F6811">
      <w:pPr>
        <w:autoSpaceDE w:val="0"/>
        <w:autoSpaceDN w:val="0"/>
        <w:adjustRightInd w:val="0"/>
        <w:rPr>
          <w:sz w:val="22"/>
          <w:szCs w:val="22"/>
          <w:u w:val="single"/>
        </w:rPr>
      </w:pPr>
    </w:p>
    <w:p w14:paraId="48633D2A" w14:textId="77777777" w:rsidR="008B5C6D" w:rsidRDefault="00615769" w:rsidP="008B5C6D">
      <w:pPr>
        <w:keepNext/>
        <w:rPr>
          <w:sz w:val="22"/>
          <w:szCs w:val="22"/>
        </w:rPr>
      </w:pPr>
      <w:r>
        <w:rPr>
          <w:sz w:val="22"/>
          <w:szCs w:val="22"/>
        </w:rPr>
        <w:t>O perfil de segurança em doentes com uveíte tratados com Humira em semanas alternadas foi consistente com o perfil de segurança conhecido d</w:t>
      </w:r>
      <w:r w:rsidR="003A4C51">
        <w:rPr>
          <w:sz w:val="22"/>
          <w:szCs w:val="22"/>
        </w:rPr>
        <w:t>e</w:t>
      </w:r>
      <w:r>
        <w:rPr>
          <w:sz w:val="22"/>
          <w:szCs w:val="22"/>
        </w:rPr>
        <w:t xml:space="preserve"> Humira.</w:t>
      </w:r>
    </w:p>
    <w:p w14:paraId="222E5EE2" w14:textId="77777777" w:rsidR="008B5C6D" w:rsidRPr="008912CF" w:rsidRDefault="008B5C6D" w:rsidP="002F6811">
      <w:pPr>
        <w:autoSpaceDE w:val="0"/>
        <w:autoSpaceDN w:val="0"/>
        <w:adjustRightInd w:val="0"/>
        <w:rPr>
          <w:sz w:val="22"/>
          <w:szCs w:val="22"/>
          <w:u w:val="single"/>
        </w:rPr>
      </w:pPr>
    </w:p>
    <w:p w14:paraId="67FAC9C8" w14:textId="77777777" w:rsidR="002F6811" w:rsidRPr="008912CF" w:rsidRDefault="00615769" w:rsidP="002F6811">
      <w:pPr>
        <w:autoSpaceDE w:val="0"/>
        <w:autoSpaceDN w:val="0"/>
        <w:adjustRightInd w:val="0"/>
        <w:rPr>
          <w:sz w:val="22"/>
          <w:szCs w:val="22"/>
          <w:u w:val="single"/>
        </w:rPr>
      </w:pPr>
      <w:r w:rsidRPr="008912CF">
        <w:rPr>
          <w:sz w:val="22"/>
          <w:szCs w:val="22"/>
          <w:u w:val="single"/>
        </w:rPr>
        <w:t>Descrição de reações adversas selecionadas</w:t>
      </w:r>
    </w:p>
    <w:p w14:paraId="1B1BFB04" w14:textId="77777777" w:rsidR="002F6811" w:rsidRPr="008912CF" w:rsidRDefault="002F6811" w:rsidP="002F6811">
      <w:pPr>
        <w:autoSpaceDE w:val="0"/>
        <w:autoSpaceDN w:val="0"/>
        <w:adjustRightInd w:val="0"/>
        <w:rPr>
          <w:sz w:val="22"/>
          <w:szCs w:val="22"/>
          <w:u w:val="single"/>
        </w:rPr>
      </w:pPr>
    </w:p>
    <w:p w14:paraId="1B797783" w14:textId="77777777" w:rsidR="002F6811" w:rsidRPr="008912CF" w:rsidRDefault="00615769" w:rsidP="002F6811">
      <w:pPr>
        <w:autoSpaceDE w:val="0"/>
        <w:autoSpaceDN w:val="0"/>
        <w:adjustRightInd w:val="0"/>
        <w:rPr>
          <w:sz w:val="22"/>
          <w:szCs w:val="22"/>
          <w:u w:val="single"/>
        </w:rPr>
      </w:pPr>
      <w:r w:rsidRPr="008912CF">
        <w:rPr>
          <w:i/>
          <w:sz w:val="22"/>
          <w:szCs w:val="22"/>
        </w:rPr>
        <w:t xml:space="preserve">Reações no local da injeção </w:t>
      </w:r>
    </w:p>
    <w:p w14:paraId="1DEA92C4" w14:textId="77777777" w:rsidR="002F6811" w:rsidRPr="008912CF" w:rsidRDefault="002F6811" w:rsidP="002F6811">
      <w:pPr>
        <w:autoSpaceDE w:val="0"/>
        <w:autoSpaceDN w:val="0"/>
        <w:adjustRightInd w:val="0"/>
        <w:rPr>
          <w:sz w:val="22"/>
          <w:szCs w:val="22"/>
          <w:u w:val="single"/>
        </w:rPr>
      </w:pPr>
    </w:p>
    <w:p w14:paraId="4B0D2931" w14:textId="77777777" w:rsidR="002F6811" w:rsidRPr="008912CF" w:rsidRDefault="00615769" w:rsidP="002F6811">
      <w:pPr>
        <w:rPr>
          <w:sz w:val="22"/>
          <w:szCs w:val="22"/>
        </w:rPr>
      </w:pPr>
      <w:r w:rsidRPr="008912CF">
        <w:rPr>
          <w:sz w:val="22"/>
          <w:szCs w:val="22"/>
        </w:rPr>
        <w:t>Nos principais ensaios controlados em adultos e crianças, 12,9</w:t>
      </w:r>
      <w:r w:rsidR="009343EF">
        <w:rPr>
          <w:sz w:val="22"/>
          <w:szCs w:val="22"/>
        </w:rPr>
        <w:t>%</w:t>
      </w:r>
      <w:r w:rsidRPr="008912CF">
        <w:rPr>
          <w:sz w:val="22"/>
          <w:szCs w:val="22"/>
        </w:rPr>
        <w:t xml:space="preserve"> dos doentes tratados com Humira desenvolveram reações no local da injeção (eritema e/ou prurido, hemorragia, dor ou edema), em relação a </w:t>
      </w:r>
      <w:r>
        <w:rPr>
          <w:sz w:val="22"/>
          <w:szCs w:val="22"/>
        </w:rPr>
        <w:t>7,2</w:t>
      </w:r>
      <w:r w:rsidR="009343EF">
        <w:rPr>
          <w:sz w:val="22"/>
          <w:szCs w:val="22"/>
        </w:rPr>
        <w:t>%</w:t>
      </w:r>
      <w:r w:rsidRPr="008912CF">
        <w:rPr>
          <w:sz w:val="22"/>
          <w:szCs w:val="22"/>
        </w:rPr>
        <w:t xml:space="preserve"> dos doentes que receberam placebo ou controlo ativo. As reações no local da injeção de uma forma geral não justificaram a suspensão do medicamento.</w:t>
      </w:r>
    </w:p>
    <w:p w14:paraId="52F21B49" w14:textId="77777777" w:rsidR="002F6811" w:rsidRPr="008912CF" w:rsidRDefault="002F6811" w:rsidP="002F6811">
      <w:pPr>
        <w:rPr>
          <w:sz w:val="22"/>
          <w:szCs w:val="22"/>
        </w:rPr>
      </w:pPr>
    </w:p>
    <w:p w14:paraId="2D0D9B3C" w14:textId="77777777" w:rsidR="002F6811" w:rsidRPr="008912CF" w:rsidRDefault="00615769" w:rsidP="002F6811">
      <w:pPr>
        <w:autoSpaceDE w:val="0"/>
        <w:autoSpaceDN w:val="0"/>
        <w:adjustRightInd w:val="0"/>
        <w:rPr>
          <w:sz w:val="22"/>
          <w:szCs w:val="22"/>
        </w:rPr>
      </w:pPr>
      <w:r w:rsidRPr="008912CF">
        <w:rPr>
          <w:i/>
          <w:sz w:val="22"/>
          <w:szCs w:val="22"/>
        </w:rPr>
        <w:t>Infeções</w:t>
      </w:r>
      <w:r w:rsidRPr="008912CF">
        <w:rPr>
          <w:sz w:val="22"/>
          <w:szCs w:val="22"/>
        </w:rPr>
        <w:t xml:space="preserve"> </w:t>
      </w:r>
    </w:p>
    <w:p w14:paraId="7E090CDB" w14:textId="77777777" w:rsidR="002F6811" w:rsidRPr="008912CF" w:rsidRDefault="002F6811" w:rsidP="002F6811">
      <w:pPr>
        <w:autoSpaceDE w:val="0"/>
        <w:autoSpaceDN w:val="0"/>
        <w:adjustRightInd w:val="0"/>
        <w:rPr>
          <w:sz w:val="22"/>
          <w:szCs w:val="22"/>
        </w:rPr>
      </w:pPr>
    </w:p>
    <w:p w14:paraId="3C3F3960" w14:textId="77777777" w:rsidR="002F6811" w:rsidRPr="008912CF" w:rsidRDefault="00615769" w:rsidP="002F6811">
      <w:pPr>
        <w:pStyle w:val="BodyText2"/>
        <w:autoSpaceDE/>
        <w:autoSpaceDN/>
        <w:adjustRightInd/>
        <w:rPr>
          <w:szCs w:val="22"/>
        </w:rPr>
      </w:pPr>
      <w:r w:rsidRPr="008912CF">
        <w:rPr>
          <w:szCs w:val="22"/>
        </w:rPr>
        <w:t>Nos principais ensaios controlados em adultos e crianças, a taxa de infeções foi de 1,51 por doentes/ano nos doentes tratados com Humira e de 1,46 por doentes/ano nos doentes tratados com placebo e controlo ativo. As infeções consisti</w:t>
      </w:r>
      <w:r w:rsidR="000A3565">
        <w:rPr>
          <w:szCs w:val="22"/>
        </w:rPr>
        <w:t>r</w:t>
      </w:r>
      <w:r w:rsidRPr="008912CF">
        <w:rPr>
          <w:szCs w:val="22"/>
        </w:rPr>
        <w:t xml:space="preserve">am principalmente em nasofaringite, infeções do </w:t>
      </w:r>
      <w:r w:rsidR="000A3565">
        <w:rPr>
          <w:szCs w:val="22"/>
        </w:rPr>
        <w:t>trato</w:t>
      </w:r>
      <w:r w:rsidR="000A3565" w:rsidRPr="008912CF">
        <w:rPr>
          <w:szCs w:val="22"/>
        </w:rPr>
        <w:t xml:space="preserve"> </w:t>
      </w:r>
      <w:r w:rsidRPr="008912CF">
        <w:rPr>
          <w:szCs w:val="22"/>
        </w:rPr>
        <w:t>respiratório superior e sinusite. A maioria dos doentes prosseguiu o tratamento com Humira após resolução da infeção.</w:t>
      </w:r>
    </w:p>
    <w:p w14:paraId="6088EF9D" w14:textId="77777777" w:rsidR="002F6811" w:rsidRPr="008912CF" w:rsidRDefault="002F6811" w:rsidP="002F6811">
      <w:pPr>
        <w:rPr>
          <w:sz w:val="22"/>
          <w:szCs w:val="22"/>
        </w:rPr>
      </w:pPr>
    </w:p>
    <w:p w14:paraId="005D4EC7" w14:textId="77777777" w:rsidR="002F6811" w:rsidRPr="008912CF" w:rsidRDefault="00615769" w:rsidP="002F6811">
      <w:pPr>
        <w:pStyle w:val="BodyText2"/>
        <w:autoSpaceDE/>
        <w:autoSpaceDN/>
        <w:adjustRightInd/>
        <w:rPr>
          <w:szCs w:val="22"/>
        </w:rPr>
      </w:pPr>
      <w:r w:rsidRPr="008912CF">
        <w:rPr>
          <w:szCs w:val="22"/>
        </w:rPr>
        <w:t>A incidência de infeções graves foi de 0,04 por doentes/ano nos doentes tratados com Humira e de 0,03 por doentes/ano nos doentes tratados com placebo e controlo ativo.</w:t>
      </w:r>
    </w:p>
    <w:p w14:paraId="16A3DB9F" w14:textId="77777777" w:rsidR="002F6811" w:rsidRPr="008912CF" w:rsidRDefault="002F6811" w:rsidP="002F6811">
      <w:pPr>
        <w:rPr>
          <w:sz w:val="22"/>
          <w:szCs w:val="22"/>
        </w:rPr>
      </w:pPr>
    </w:p>
    <w:p w14:paraId="272D2680" w14:textId="77777777" w:rsidR="002F6811" w:rsidRPr="008912CF" w:rsidRDefault="00615769" w:rsidP="002F6811">
      <w:pPr>
        <w:rPr>
          <w:sz w:val="22"/>
          <w:szCs w:val="22"/>
        </w:rPr>
      </w:pPr>
      <w:r w:rsidRPr="008912CF">
        <w:rPr>
          <w:sz w:val="22"/>
          <w:szCs w:val="22"/>
        </w:rPr>
        <w:t>Em estudos controlados e de fase aberta com Humira</w:t>
      </w:r>
      <w:r w:rsidR="001D3CF2">
        <w:rPr>
          <w:sz w:val="22"/>
          <w:szCs w:val="22"/>
        </w:rPr>
        <w:t>, em adultos e crianças,</w:t>
      </w:r>
      <w:r w:rsidRPr="008912CF">
        <w:rPr>
          <w:sz w:val="22"/>
          <w:szCs w:val="22"/>
        </w:rPr>
        <w:t xml:space="preserve"> foram notificadas infeções graves (incluindo infeções fatais, as quais ocorreram raramente), que incluíram casos de tuberculose (incluindo localizações miliares e extra</w:t>
      </w:r>
      <w:r w:rsidR="000A3565">
        <w:rPr>
          <w:sz w:val="22"/>
          <w:szCs w:val="22"/>
        </w:rPr>
        <w:t>-</w:t>
      </w:r>
      <w:r w:rsidRPr="008912CF">
        <w:rPr>
          <w:sz w:val="22"/>
          <w:szCs w:val="22"/>
        </w:rPr>
        <w:t>pulmonares) e infeções oportunistas invasivas (p.e. histoplasmose disseminada ou extra</w:t>
      </w:r>
      <w:r w:rsidR="000A3565">
        <w:rPr>
          <w:sz w:val="22"/>
          <w:szCs w:val="22"/>
        </w:rPr>
        <w:t>-</w:t>
      </w:r>
      <w:r w:rsidRPr="008912CF">
        <w:rPr>
          <w:sz w:val="22"/>
          <w:szCs w:val="22"/>
        </w:rPr>
        <w:t xml:space="preserve">pulmonar, blastomicose, </w:t>
      </w:r>
      <w:r w:rsidRPr="008912CF">
        <w:rPr>
          <w:sz w:val="22"/>
          <w:szCs w:val="22"/>
          <w:u w:color="0000FF"/>
        </w:rPr>
        <w:t xml:space="preserve">coccidioidomicose, </w:t>
      </w:r>
      <w:r w:rsidRPr="008912CF">
        <w:rPr>
          <w:iCs/>
          <w:sz w:val="22"/>
          <w:szCs w:val="22"/>
          <w:u w:color="0000FF"/>
        </w:rPr>
        <w:t>pneumocistose</w:t>
      </w:r>
      <w:r w:rsidRPr="008912CF">
        <w:rPr>
          <w:sz w:val="22"/>
          <w:szCs w:val="22"/>
        </w:rPr>
        <w:t>, candidíase, aspergilose e listeriose). A maioria dos casos de tuberculose ocorreu nos primeiros oito meses após o início do tratamento e pode refletir um agravamento de doen</w:t>
      </w:r>
      <w:r w:rsidRPr="008912CF">
        <w:rPr>
          <w:sz w:val="22"/>
          <w:szCs w:val="22"/>
        </w:rPr>
        <w:t xml:space="preserve">ça latente. </w:t>
      </w:r>
    </w:p>
    <w:p w14:paraId="0A2AC624" w14:textId="77777777" w:rsidR="002F6811" w:rsidRPr="008912CF" w:rsidRDefault="002F6811" w:rsidP="002F6811">
      <w:pPr>
        <w:pStyle w:val="EndnoteText"/>
        <w:tabs>
          <w:tab w:val="clear" w:pos="567"/>
        </w:tabs>
        <w:rPr>
          <w:szCs w:val="22"/>
        </w:rPr>
      </w:pPr>
    </w:p>
    <w:p w14:paraId="25FFFD44" w14:textId="77777777" w:rsidR="002F6811" w:rsidRPr="008912CF" w:rsidRDefault="00615769" w:rsidP="002F6811">
      <w:pPr>
        <w:pStyle w:val="EMEAHeadingUnderline"/>
        <w:spacing w:before="0" w:after="0"/>
        <w:rPr>
          <w:szCs w:val="22"/>
          <w:lang w:val="pt-PT"/>
        </w:rPr>
      </w:pPr>
      <w:r w:rsidRPr="008912CF">
        <w:rPr>
          <w:i/>
          <w:szCs w:val="22"/>
          <w:u w:val="none"/>
          <w:lang w:val="pt-PT"/>
        </w:rPr>
        <w:t>Neoplasias e doenças linfoproliferativas</w:t>
      </w:r>
    </w:p>
    <w:p w14:paraId="68A3D74B" w14:textId="77777777" w:rsidR="002F6811" w:rsidRPr="008912CF" w:rsidRDefault="002F6811" w:rsidP="002F6811">
      <w:pPr>
        <w:autoSpaceDE w:val="0"/>
        <w:autoSpaceDN w:val="0"/>
        <w:adjustRightInd w:val="0"/>
        <w:rPr>
          <w:sz w:val="22"/>
          <w:szCs w:val="22"/>
          <w:u w:val="single"/>
        </w:rPr>
      </w:pPr>
    </w:p>
    <w:p w14:paraId="70873DEC" w14:textId="77777777" w:rsidR="002F6811" w:rsidRPr="008912CF" w:rsidRDefault="00615769" w:rsidP="002F6811">
      <w:pPr>
        <w:pStyle w:val="BodyText2"/>
        <w:rPr>
          <w:szCs w:val="22"/>
        </w:rPr>
      </w:pPr>
      <w:r w:rsidRPr="008912CF">
        <w:rPr>
          <w:szCs w:val="22"/>
        </w:rPr>
        <w:t>Não se observaram neoplasias em 249 doentes pediátricos com uma exposição de 655,6</w:t>
      </w:r>
      <w:r>
        <w:rPr>
          <w:szCs w:val="22"/>
        </w:rPr>
        <w:t> </w:t>
      </w:r>
      <w:r w:rsidRPr="008912CF">
        <w:rPr>
          <w:szCs w:val="22"/>
        </w:rPr>
        <w:t>doentes/ano durante ensaios clínicos de Humira em doentes com artrite idiopática juvenil (artrite idiopática juvenil poliarticular e artrite relacionada com entesite). Adicionalmente, não se observaram neoplasias em 192 doentes pediátricos com uma exposição de 498,1</w:t>
      </w:r>
      <w:r>
        <w:rPr>
          <w:szCs w:val="22"/>
        </w:rPr>
        <w:t> </w:t>
      </w:r>
      <w:r w:rsidRPr="008912CF">
        <w:rPr>
          <w:szCs w:val="22"/>
        </w:rPr>
        <w:t>doentes/ano durante ensaios clínicos de Humira em doentes pediátricos com doença de Crohn.</w:t>
      </w:r>
      <w:r w:rsidRPr="008912CF">
        <w:t xml:space="preserve"> Não se observaram neoplasias em 77 doentes pediátricos com uma exposição de 80</w:t>
      </w:r>
      <w:r w:rsidR="000A3565">
        <w:t>,0</w:t>
      </w:r>
      <w:r>
        <w:t> </w:t>
      </w:r>
      <w:r w:rsidRPr="008912CF">
        <w:t>doentes/ano durante um ensaio clínico de Humira em doentes pediátricos c</w:t>
      </w:r>
      <w:r w:rsidRPr="008912CF">
        <w:t>om psoríase crónica em placas.</w:t>
      </w:r>
      <w:r>
        <w:t xml:space="preserve"> </w:t>
      </w:r>
      <w:r w:rsidRPr="008912CF">
        <w:rPr>
          <w:szCs w:val="22"/>
        </w:rPr>
        <w:t xml:space="preserve">Não se observaram neoplasias em </w:t>
      </w:r>
      <w:r>
        <w:rPr>
          <w:szCs w:val="22"/>
        </w:rPr>
        <w:t>60</w:t>
      </w:r>
      <w:r w:rsidRPr="008912CF">
        <w:rPr>
          <w:szCs w:val="22"/>
        </w:rPr>
        <w:t xml:space="preserve"> doentes pediátricos com uma exposição de</w:t>
      </w:r>
      <w:r>
        <w:rPr>
          <w:szCs w:val="22"/>
        </w:rPr>
        <w:t xml:space="preserve"> 58,4 doentes/ano durante um ensaio clínico de Humira em doentes pediátricos com uveíte.</w:t>
      </w:r>
    </w:p>
    <w:p w14:paraId="0F5F733C" w14:textId="77777777" w:rsidR="002F6811" w:rsidRPr="008912CF" w:rsidRDefault="002F6811" w:rsidP="002F6811">
      <w:pPr>
        <w:autoSpaceDE w:val="0"/>
        <w:autoSpaceDN w:val="0"/>
        <w:adjustRightInd w:val="0"/>
        <w:rPr>
          <w:sz w:val="22"/>
          <w:szCs w:val="22"/>
        </w:rPr>
      </w:pPr>
    </w:p>
    <w:p w14:paraId="5BD478DF" w14:textId="77777777" w:rsidR="002F6811" w:rsidRPr="008912CF" w:rsidRDefault="00615769" w:rsidP="002F6811">
      <w:pPr>
        <w:autoSpaceDE w:val="0"/>
        <w:autoSpaceDN w:val="0"/>
        <w:adjustRightInd w:val="0"/>
        <w:rPr>
          <w:sz w:val="22"/>
          <w:szCs w:val="22"/>
        </w:rPr>
      </w:pPr>
      <w:r w:rsidRPr="008912CF">
        <w:rPr>
          <w:sz w:val="22"/>
          <w:szCs w:val="22"/>
        </w:rPr>
        <w:t>Durante a parte controlada dos principais ensaios clínicos com Humira em adultos com pelo menos 12</w:t>
      </w:r>
      <w:r>
        <w:rPr>
          <w:sz w:val="22"/>
          <w:szCs w:val="22"/>
        </w:rPr>
        <w:t> </w:t>
      </w:r>
      <w:r w:rsidRPr="008912CF">
        <w:rPr>
          <w:sz w:val="22"/>
          <w:szCs w:val="22"/>
        </w:rPr>
        <w:t>semanas de duração</w:t>
      </w:r>
      <w:r w:rsidR="000A3565">
        <w:rPr>
          <w:sz w:val="22"/>
          <w:szCs w:val="22"/>
        </w:rPr>
        <w:t>,</w:t>
      </w:r>
      <w:r w:rsidRPr="008912CF">
        <w:rPr>
          <w:sz w:val="22"/>
          <w:szCs w:val="22"/>
        </w:rPr>
        <w:t xml:space="preserve"> em doentes com artrite reumatoide ativa moderada a grave, espondilite anquilosante, espondilartrite axial sem evidência radiográfica de EA, artrite psoriática, psoríase, hidradenite supurativa, doença de Crohn</w:t>
      </w:r>
      <w:r>
        <w:rPr>
          <w:sz w:val="22"/>
          <w:szCs w:val="22"/>
        </w:rPr>
        <w:t xml:space="preserve">, </w:t>
      </w:r>
      <w:r w:rsidRPr="008912CF">
        <w:rPr>
          <w:sz w:val="22"/>
          <w:szCs w:val="22"/>
        </w:rPr>
        <w:t>colite ulcerosa</w:t>
      </w:r>
      <w:r>
        <w:rPr>
          <w:sz w:val="22"/>
          <w:szCs w:val="22"/>
        </w:rPr>
        <w:t xml:space="preserve"> e uveíte</w:t>
      </w:r>
      <w:r w:rsidRPr="008912CF">
        <w:rPr>
          <w:sz w:val="22"/>
          <w:szCs w:val="22"/>
        </w:rPr>
        <w:t>, foram observadas neoplasias, para além de linfomas e neoplasias cutâneas não</w:t>
      </w:r>
      <w:r w:rsidR="000A3565">
        <w:rPr>
          <w:sz w:val="22"/>
          <w:szCs w:val="22"/>
        </w:rPr>
        <w:t xml:space="preserve"> </w:t>
      </w:r>
      <w:r w:rsidRPr="008912CF">
        <w:rPr>
          <w:sz w:val="22"/>
          <w:szCs w:val="22"/>
        </w:rPr>
        <w:t>melanomas</w:t>
      </w:r>
      <w:r w:rsidR="000A3565">
        <w:rPr>
          <w:sz w:val="22"/>
          <w:szCs w:val="22"/>
        </w:rPr>
        <w:t>,</w:t>
      </w:r>
      <w:r w:rsidRPr="008912CF">
        <w:rPr>
          <w:sz w:val="22"/>
          <w:szCs w:val="22"/>
        </w:rPr>
        <w:t xml:space="preserve"> numa taxa (intervalo de confiança 95</w:t>
      </w:r>
      <w:r w:rsidR="009343EF">
        <w:rPr>
          <w:sz w:val="22"/>
          <w:szCs w:val="22"/>
        </w:rPr>
        <w:t>%</w:t>
      </w:r>
      <w:r w:rsidRPr="008912CF">
        <w:rPr>
          <w:sz w:val="22"/>
          <w:szCs w:val="22"/>
        </w:rPr>
        <w:t xml:space="preserve">) de </w:t>
      </w:r>
      <w:r>
        <w:rPr>
          <w:sz w:val="22"/>
          <w:szCs w:val="22"/>
        </w:rPr>
        <w:t>6,8 (4,4</w:t>
      </w:r>
      <w:r w:rsidR="000A3565">
        <w:rPr>
          <w:sz w:val="22"/>
          <w:szCs w:val="22"/>
        </w:rPr>
        <w:t>;</w:t>
      </w:r>
      <w:r>
        <w:rPr>
          <w:sz w:val="22"/>
          <w:szCs w:val="22"/>
        </w:rPr>
        <w:t xml:space="preserve"> 10,5)</w:t>
      </w:r>
      <w:r w:rsidRPr="008912CF">
        <w:rPr>
          <w:sz w:val="22"/>
          <w:szCs w:val="22"/>
        </w:rPr>
        <w:t xml:space="preserve"> por 1.000 doentes/ano entre os </w:t>
      </w:r>
      <w:r>
        <w:rPr>
          <w:sz w:val="22"/>
          <w:szCs w:val="22"/>
        </w:rPr>
        <w:t>5.291</w:t>
      </w:r>
      <w:r w:rsidRPr="008912CF">
        <w:rPr>
          <w:sz w:val="22"/>
          <w:szCs w:val="22"/>
        </w:rPr>
        <w:t xml:space="preserve"> doentes tratados com Humira </w:t>
      </w:r>
      <w:r w:rsidR="000A3565">
        <w:rPr>
          <w:i/>
          <w:sz w:val="22"/>
          <w:szCs w:val="22"/>
        </w:rPr>
        <w:t xml:space="preserve">versus </w:t>
      </w:r>
      <w:r w:rsidRPr="000A3565">
        <w:rPr>
          <w:sz w:val="22"/>
          <w:szCs w:val="22"/>
        </w:rPr>
        <w:t>uma</w:t>
      </w:r>
      <w:r w:rsidRPr="008912CF">
        <w:rPr>
          <w:sz w:val="22"/>
          <w:szCs w:val="22"/>
        </w:rPr>
        <w:t xml:space="preserve"> taxa de </w:t>
      </w:r>
      <w:r w:rsidRPr="00F47F7A">
        <w:rPr>
          <w:sz w:val="22"/>
          <w:szCs w:val="22"/>
        </w:rPr>
        <w:t>6,3 (3</w:t>
      </w:r>
      <w:r>
        <w:rPr>
          <w:sz w:val="22"/>
          <w:szCs w:val="22"/>
        </w:rPr>
        <w:t>,</w:t>
      </w:r>
      <w:r w:rsidRPr="00F47F7A">
        <w:rPr>
          <w:sz w:val="22"/>
          <w:szCs w:val="22"/>
        </w:rPr>
        <w:t>4</w:t>
      </w:r>
      <w:r w:rsidR="000A3565">
        <w:rPr>
          <w:sz w:val="22"/>
          <w:szCs w:val="22"/>
        </w:rPr>
        <w:t>;</w:t>
      </w:r>
      <w:r w:rsidRPr="00F47F7A">
        <w:rPr>
          <w:sz w:val="22"/>
          <w:szCs w:val="22"/>
        </w:rPr>
        <w:t xml:space="preserve"> 11</w:t>
      </w:r>
      <w:r>
        <w:rPr>
          <w:sz w:val="22"/>
          <w:szCs w:val="22"/>
        </w:rPr>
        <w:t>,</w:t>
      </w:r>
      <w:r w:rsidRPr="00F47F7A">
        <w:rPr>
          <w:sz w:val="22"/>
          <w:szCs w:val="22"/>
        </w:rPr>
        <w:t>8)</w:t>
      </w:r>
      <w:r w:rsidRPr="008912CF">
        <w:rPr>
          <w:sz w:val="22"/>
          <w:szCs w:val="22"/>
        </w:rPr>
        <w:t xml:space="preserve"> por 1.000 doentes/ano entre </w:t>
      </w:r>
      <w:r w:rsidRPr="008912CF">
        <w:rPr>
          <w:sz w:val="22"/>
          <w:szCs w:val="22"/>
        </w:rPr>
        <w:t xml:space="preserve">os </w:t>
      </w:r>
      <w:r>
        <w:rPr>
          <w:sz w:val="22"/>
          <w:szCs w:val="22"/>
        </w:rPr>
        <w:t>3.444</w:t>
      </w:r>
      <w:r w:rsidRPr="008912CF">
        <w:rPr>
          <w:sz w:val="22"/>
          <w:szCs w:val="22"/>
        </w:rPr>
        <w:t xml:space="preserve"> doentes tratados com controlo (a duração </w:t>
      </w:r>
      <w:r w:rsidR="000A3565">
        <w:rPr>
          <w:sz w:val="22"/>
          <w:szCs w:val="22"/>
        </w:rPr>
        <w:t>mediana</w:t>
      </w:r>
      <w:r w:rsidR="000A3565" w:rsidRPr="008912CF">
        <w:rPr>
          <w:sz w:val="22"/>
          <w:szCs w:val="22"/>
        </w:rPr>
        <w:t xml:space="preserve"> </w:t>
      </w:r>
      <w:r w:rsidRPr="008912CF">
        <w:rPr>
          <w:sz w:val="22"/>
          <w:szCs w:val="22"/>
        </w:rPr>
        <w:t xml:space="preserve">de tratamento foi </w:t>
      </w:r>
      <w:r w:rsidR="000A3565">
        <w:rPr>
          <w:sz w:val="22"/>
          <w:szCs w:val="22"/>
        </w:rPr>
        <w:t xml:space="preserve">de </w:t>
      </w:r>
      <w:r w:rsidRPr="008912CF">
        <w:rPr>
          <w:sz w:val="22"/>
          <w:szCs w:val="22"/>
        </w:rPr>
        <w:t xml:space="preserve">4,0 meses para Humira e </w:t>
      </w:r>
      <w:r>
        <w:rPr>
          <w:sz w:val="22"/>
          <w:szCs w:val="22"/>
        </w:rPr>
        <w:t>3,8 </w:t>
      </w:r>
      <w:r w:rsidRPr="008912CF">
        <w:rPr>
          <w:sz w:val="22"/>
          <w:szCs w:val="22"/>
        </w:rPr>
        <w:t>meses para os doentes do grupo controlo). A taxa (intervalo de confiança 95</w:t>
      </w:r>
      <w:r w:rsidR="009343EF">
        <w:rPr>
          <w:sz w:val="22"/>
          <w:szCs w:val="22"/>
        </w:rPr>
        <w:t>%</w:t>
      </w:r>
      <w:r w:rsidRPr="008912CF">
        <w:rPr>
          <w:sz w:val="22"/>
          <w:szCs w:val="22"/>
        </w:rPr>
        <w:t xml:space="preserve">) observada de neoplasias cutâneas não melanomas foi de </w:t>
      </w:r>
      <w:r w:rsidRPr="00F47F7A">
        <w:rPr>
          <w:sz w:val="22"/>
          <w:szCs w:val="22"/>
        </w:rPr>
        <w:t>8,8 (6</w:t>
      </w:r>
      <w:r>
        <w:rPr>
          <w:sz w:val="22"/>
          <w:szCs w:val="22"/>
        </w:rPr>
        <w:t>,</w:t>
      </w:r>
      <w:r w:rsidRPr="00F47F7A">
        <w:rPr>
          <w:sz w:val="22"/>
          <w:szCs w:val="22"/>
        </w:rPr>
        <w:t>0</w:t>
      </w:r>
      <w:r w:rsidR="000A3565">
        <w:rPr>
          <w:sz w:val="22"/>
          <w:szCs w:val="22"/>
        </w:rPr>
        <w:t>;</w:t>
      </w:r>
      <w:r w:rsidRPr="00F47F7A">
        <w:rPr>
          <w:sz w:val="22"/>
          <w:szCs w:val="22"/>
        </w:rPr>
        <w:t xml:space="preserve"> 13</w:t>
      </w:r>
      <w:r>
        <w:rPr>
          <w:sz w:val="22"/>
          <w:szCs w:val="22"/>
        </w:rPr>
        <w:t>,</w:t>
      </w:r>
      <w:r w:rsidRPr="00F47F7A">
        <w:rPr>
          <w:sz w:val="22"/>
          <w:szCs w:val="22"/>
        </w:rPr>
        <w:t>0)</w:t>
      </w:r>
      <w:r w:rsidRPr="008912CF">
        <w:rPr>
          <w:sz w:val="22"/>
          <w:szCs w:val="22"/>
        </w:rPr>
        <w:t xml:space="preserve"> por 1.000 doentes/ano em doentes tratados com Humira e </w:t>
      </w:r>
      <w:r w:rsidRPr="00F47F7A">
        <w:rPr>
          <w:sz w:val="22"/>
          <w:szCs w:val="22"/>
        </w:rPr>
        <w:t>3,2 (1</w:t>
      </w:r>
      <w:r>
        <w:rPr>
          <w:sz w:val="22"/>
          <w:szCs w:val="22"/>
        </w:rPr>
        <w:t>,</w:t>
      </w:r>
      <w:r w:rsidRPr="00F47F7A">
        <w:rPr>
          <w:sz w:val="22"/>
          <w:szCs w:val="22"/>
        </w:rPr>
        <w:t>3</w:t>
      </w:r>
      <w:r w:rsidR="000A3565">
        <w:rPr>
          <w:sz w:val="22"/>
          <w:szCs w:val="22"/>
        </w:rPr>
        <w:t>;</w:t>
      </w:r>
      <w:r w:rsidRPr="00F47F7A">
        <w:rPr>
          <w:sz w:val="22"/>
          <w:szCs w:val="22"/>
        </w:rPr>
        <w:t xml:space="preserve"> 7</w:t>
      </w:r>
      <w:r>
        <w:rPr>
          <w:sz w:val="22"/>
          <w:szCs w:val="22"/>
        </w:rPr>
        <w:t>,</w:t>
      </w:r>
      <w:r w:rsidRPr="00F47F7A">
        <w:rPr>
          <w:sz w:val="22"/>
          <w:szCs w:val="22"/>
        </w:rPr>
        <w:t>6)</w:t>
      </w:r>
      <w:r w:rsidRPr="008912CF">
        <w:rPr>
          <w:sz w:val="22"/>
          <w:szCs w:val="22"/>
        </w:rPr>
        <w:t xml:space="preserve"> por 1.000 doentes/ano em doentes controlo. Destas neoplasias cutâneas, ocorreram carcinomas </w:t>
      </w:r>
      <w:r w:rsidR="000A3565">
        <w:rPr>
          <w:sz w:val="22"/>
          <w:szCs w:val="22"/>
        </w:rPr>
        <w:t>de células escamosas</w:t>
      </w:r>
      <w:r w:rsidRPr="008912CF">
        <w:rPr>
          <w:sz w:val="22"/>
          <w:szCs w:val="22"/>
        </w:rPr>
        <w:t xml:space="preserve"> numa taxa (intervalo de confiança 95</w:t>
      </w:r>
      <w:r w:rsidR="009343EF">
        <w:rPr>
          <w:sz w:val="22"/>
          <w:szCs w:val="22"/>
        </w:rPr>
        <w:t>%</w:t>
      </w:r>
      <w:r w:rsidRPr="008912CF">
        <w:rPr>
          <w:sz w:val="22"/>
          <w:szCs w:val="22"/>
        </w:rPr>
        <w:t xml:space="preserve">) de </w:t>
      </w:r>
      <w:r>
        <w:rPr>
          <w:sz w:val="22"/>
          <w:szCs w:val="22"/>
        </w:rPr>
        <w:t>2,7 (1,4</w:t>
      </w:r>
      <w:r w:rsidR="000A3565">
        <w:rPr>
          <w:sz w:val="22"/>
          <w:szCs w:val="22"/>
        </w:rPr>
        <w:t>;</w:t>
      </w:r>
      <w:r>
        <w:rPr>
          <w:sz w:val="22"/>
          <w:szCs w:val="22"/>
        </w:rPr>
        <w:t xml:space="preserve"> 5,4)</w:t>
      </w:r>
      <w:r w:rsidRPr="008912CF">
        <w:rPr>
          <w:sz w:val="22"/>
          <w:szCs w:val="22"/>
        </w:rPr>
        <w:t xml:space="preserve"> por 1.000 doentes</w:t>
      </w:r>
      <w:r w:rsidRPr="008912CF">
        <w:rPr>
          <w:sz w:val="22"/>
          <w:szCs w:val="22"/>
        </w:rPr>
        <w:t xml:space="preserve">/ano em doentes tratados com Humira e </w:t>
      </w:r>
      <w:r>
        <w:rPr>
          <w:sz w:val="22"/>
          <w:szCs w:val="22"/>
        </w:rPr>
        <w:t>0,6 (0,1</w:t>
      </w:r>
      <w:r w:rsidR="000A3565">
        <w:rPr>
          <w:sz w:val="22"/>
          <w:szCs w:val="22"/>
        </w:rPr>
        <w:t>;</w:t>
      </w:r>
      <w:r>
        <w:rPr>
          <w:sz w:val="22"/>
          <w:szCs w:val="22"/>
        </w:rPr>
        <w:t xml:space="preserve"> 4,5)</w:t>
      </w:r>
      <w:r w:rsidRPr="008912CF">
        <w:rPr>
          <w:sz w:val="22"/>
          <w:szCs w:val="22"/>
        </w:rPr>
        <w:t xml:space="preserve"> por 1.000 doentes/ano em doentes controlo. A taxa (intervalo de confiança 95</w:t>
      </w:r>
      <w:r w:rsidR="009343EF">
        <w:rPr>
          <w:sz w:val="22"/>
          <w:szCs w:val="22"/>
        </w:rPr>
        <w:t>%</w:t>
      </w:r>
      <w:r w:rsidRPr="008912CF">
        <w:rPr>
          <w:sz w:val="22"/>
          <w:szCs w:val="22"/>
        </w:rPr>
        <w:t>) de linfomas foi</w:t>
      </w:r>
      <w:r w:rsidR="000A3565">
        <w:rPr>
          <w:sz w:val="22"/>
          <w:szCs w:val="22"/>
        </w:rPr>
        <w:t xml:space="preserve"> de</w:t>
      </w:r>
      <w:r w:rsidRPr="008912CF">
        <w:rPr>
          <w:sz w:val="22"/>
          <w:szCs w:val="22"/>
        </w:rPr>
        <w:t xml:space="preserve"> 0,7 (</w:t>
      </w:r>
      <w:r>
        <w:rPr>
          <w:sz w:val="22"/>
          <w:szCs w:val="22"/>
        </w:rPr>
        <w:t>0,2</w:t>
      </w:r>
      <w:r w:rsidR="000A3565">
        <w:rPr>
          <w:sz w:val="22"/>
          <w:szCs w:val="22"/>
        </w:rPr>
        <w:t>;</w:t>
      </w:r>
      <w:r>
        <w:rPr>
          <w:sz w:val="22"/>
          <w:szCs w:val="22"/>
        </w:rPr>
        <w:t xml:space="preserve"> 2,7</w:t>
      </w:r>
      <w:r w:rsidRPr="008912CF">
        <w:rPr>
          <w:sz w:val="22"/>
          <w:szCs w:val="22"/>
        </w:rPr>
        <w:t>) por 1.000 doentes/ano em doentes tratados com Humira e</w:t>
      </w:r>
      <w:r>
        <w:rPr>
          <w:sz w:val="22"/>
          <w:szCs w:val="22"/>
        </w:rPr>
        <w:t xml:space="preserve"> 0,6 (0,1</w:t>
      </w:r>
      <w:r w:rsidR="000A3565">
        <w:rPr>
          <w:sz w:val="22"/>
          <w:szCs w:val="22"/>
        </w:rPr>
        <w:t>;</w:t>
      </w:r>
      <w:r>
        <w:rPr>
          <w:sz w:val="22"/>
          <w:szCs w:val="22"/>
        </w:rPr>
        <w:t xml:space="preserve"> 4,5)</w:t>
      </w:r>
      <w:r w:rsidRPr="008912CF">
        <w:rPr>
          <w:sz w:val="22"/>
          <w:szCs w:val="22"/>
        </w:rPr>
        <w:t xml:space="preserve"> por 1.000 doentes/ano em doentes controlo.</w:t>
      </w:r>
    </w:p>
    <w:p w14:paraId="012DE612" w14:textId="77777777" w:rsidR="002F6811" w:rsidRPr="008912CF" w:rsidRDefault="002F6811" w:rsidP="002F6811">
      <w:pPr>
        <w:autoSpaceDE w:val="0"/>
        <w:autoSpaceDN w:val="0"/>
        <w:adjustRightInd w:val="0"/>
        <w:rPr>
          <w:sz w:val="22"/>
          <w:szCs w:val="22"/>
        </w:rPr>
      </w:pPr>
    </w:p>
    <w:p w14:paraId="58DFF8F5" w14:textId="77777777" w:rsidR="002F6811" w:rsidRPr="008912CF" w:rsidRDefault="00615769" w:rsidP="002F6811">
      <w:pPr>
        <w:autoSpaceDE w:val="0"/>
        <w:autoSpaceDN w:val="0"/>
        <w:adjustRightInd w:val="0"/>
        <w:rPr>
          <w:sz w:val="22"/>
          <w:szCs w:val="22"/>
        </w:rPr>
      </w:pPr>
      <w:r w:rsidRPr="008912CF">
        <w:rPr>
          <w:sz w:val="22"/>
          <w:szCs w:val="22"/>
        </w:rPr>
        <w:t xml:space="preserve">Quando associados estes ensaios controlados com os estudos de extensão de fase aberta a decorrerem e completados, com uma </w:t>
      </w:r>
      <w:r w:rsidR="000A3565">
        <w:rPr>
          <w:sz w:val="22"/>
          <w:szCs w:val="22"/>
        </w:rPr>
        <w:t>mediana</w:t>
      </w:r>
      <w:r w:rsidR="000A3565" w:rsidRPr="008912CF">
        <w:rPr>
          <w:sz w:val="22"/>
          <w:szCs w:val="22"/>
        </w:rPr>
        <w:t xml:space="preserve"> </w:t>
      </w:r>
      <w:r w:rsidRPr="008912CF">
        <w:rPr>
          <w:sz w:val="22"/>
          <w:szCs w:val="22"/>
        </w:rPr>
        <w:t xml:space="preserve">de duração de aproximadamente </w:t>
      </w:r>
      <w:r>
        <w:rPr>
          <w:sz w:val="22"/>
          <w:szCs w:val="22"/>
        </w:rPr>
        <w:t>3,3 </w:t>
      </w:r>
      <w:r w:rsidRPr="008912CF">
        <w:rPr>
          <w:sz w:val="22"/>
          <w:szCs w:val="22"/>
        </w:rPr>
        <w:t>anos</w:t>
      </w:r>
      <w:r w:rsidR="000A3565">
        <w:rPr>
          <w:sz w:val="22"/>
          <w:szCs w:val="22"/>
        </w:rPr>
        <w:t>,</w:t>
      </w:r>
      <w:r w:rsidRPr="008912CF">
        <w:rPr>
          <w:sz w:val="22"/>
          <w:szCs w:val="22"/>
        </w:rPr>
        <w:t xml:space="preserve"> incluindo </w:t>
      </w:r>
      <w:r>
        <w:rPr>
          <w:sz w:val="22"/>
          <w:szCs w:val="22"/>
        </w:rPr>
        <w:t>6.427</w:t>
      </w:r>
      <w:r w:rsidRPr="008912CF">
        <w:rPr>
          <w:sz w:val="22"/>
          <w:szCs w:val="22"/>
        </w:rPr>
        <w:t xml:space="preserve"> doentes e mais de </w:t>
      </w:r>
      <w:r>
        <w:rPr>
          <w:sz w:val="22"/>
          <w:szCs w:val="22"/>
        </w:rPr>
        <w:t>26.439</w:t>
      </w:r>
      <w:r w:rsidRPr="008912CF">
        <w:rPr>
          <w:sz w:val="22"/>
          <w:szCs w:val="22"/>
        </w:rPr>
        <w:t> doentes/ano de terapêutica, a taxa observada de neoplasias, para além de linfomas e neoplasias cutâneas não</w:t>
      </w:r>
      <w:r w:rsidR="00BF7825">
        <w:rPr>
          <w:sz w:val="22"/>
          <w:szCs w:val="22"/>
        </w:rPr>
        <w:t xml:space="preserve"> </w:t>
      </w:r>
      <w:r w:rsidRPr="008912CF">
        <w:rPr>
          <w:sz w:val="22"/>
          <w:szCs w:val="22"/>
        </w:rPr>
        <w:t xml:space="preserve">melanomas é de aproximadamente 8,5 por 1.000 doentes/ano. A taxa observada de neoplasias cutâneas não melanomas é de aproximadamente </w:t>
      </w:r>
      <w:r>
        <w:rPr>
          <w:sz w:val="22"/>
          <w:szCs w:val="22"/>
        </w:rPr>
        <w:t>9,6</w:t>
      </w:r>
      <w:r w:rsidRPr="008912CF">
        <w:rPr>
          <w:sz w:val="22"/>
          <w:szCs w:val="22"/>
        </w:rPr>
        <w:t xml:space="preserve"> por 1.000 doentes/ano, e a taxa observada de linfomas é de aproximadamente 1,3 por 1.000 doentes/ano.</w:t>
      </w:r>
    </w:p>
    <w:p w14:paraId="235EC698" w14:textId="77777777" w:rsidR="002F6811" w:rsidRPr="008912CF" w:rsidRDefault="002F6811" w:rsidP="002F6811">
      <w:pPr>
        <w:autoSpaceDE w:val="0"/>
        <w:autoSpaceDN w:val="0"/>
        <w:adjustRightInd w:val="0"/>
        <w:rPr>
          <w:sz w:val="22"/>
          <w:szCs w:val="22"/>
        </w:rPr>
      </w:pPr>
    </w:p>
    <w:p w14:paraId="05F57044" w14:textId="5B1DA943" w:rsidR="002F6811" w:rsidRPr="008912CF" w:rsidRDefault="00615769" w:rsidP="002F6811">
      <w:pPr>
        <w:autoSpaceDE w:val="0"/>
        <w:autoSpaceDN w:val="0"/>
        <w:adjustRightInd w:val="0"/>
        <w:rPr>
          <w:sz w:val="22"/>
          <w:szCs w:val="22"/>
        </w:rPr>
      </w:pPr>
      <w:r w:rsidRPr="008912CF">
        <w:rPr>
          <w:sz w:val="22"/>
          <w:szCs w:val="22"/>
        </w:rPr>
        <w:t>Na experiência pós</w:t>
      </w:r>
      <w:r w:rsidR="00BF7825">
        <w:rPr>
          <w:sz w:val="22"/>
          <w:szCs w:val="22"/>
        </w:rPr>
        <w:t>-</w:t>
      </w:r>
      <w:r w:rsidRPr="008912CF">
        <w:rPr>
          <w:sz w:val="22"/>
          <w:szCs w:val="22"/>
        </w:rPr>
        <w:t xml:space="preserve">comercialização desde janeiro de 2003 a dezembro de 2010, predominantemente em doentes com artrite reumatoide, a taxa </w:t>
      </w:r>
      <w:r>
        <w:rPr>
          <w:sz w:val="22"/>
          <w:szCs w:val="22"/>
        </w:rPr>
        <w:t>de notificação espontânea</w:t>
      </w:r>
      <w:r w:rsidRPr="008912CF">
        <w:rPr>
          <w:sz w:val="22"/>
          <w:szCs w:val="22"/>
        </w:rPr>
        <w:t xml:space="preserve"> de neoplasias é de aproximadamente 2,7 por 1.000 doentes/ano de tratamento. As taxas </w:t>
      </w:r>
      <w:r>
        <w:rPr>
          <w:sz w:val="22"/>
          <w:szCs w:val="22"/>
        </w:rPr>
        <w:t>de notificação espontânea</w:t>
      </w:r>
      <w:r w:rsidRPr="008912CF">
        <w:rPr>
          <w:sz w:val="22"/>
          <w:szCs w:val="22"/>
        </w:rPr>
        <w:t xml:space="preserve"> de neoplasias cutâneas não</w:t>
      </w:r>
      <w:r w:rsidR="00BF7825">
        <w:rPr>
          <w:sz w:val="22"/>
          <w:szCs w:val="22"/>
        </w:rPr>
        <w:t xml:space="preserve"> </w:t>
      </w:r>
      <w:r w:rsidRPr="008912CF">
        <w:rPr>
          <w:sz w:val="22"/>
          <w:szCs w:val="22"/>
        </w:rPr>
        <w:t>melanomas e linfomas são de aproximadamente 0,2 e 0,3 por 1.000 doentes/ano de tratamento, respetivamente (ver secção 4.4).</w:t>
      </w:r>
    </w:p>
    <w:p w14:paraId="33E09946" w14:textId="77777777" w:rsidR="002F6811" w:rsidRPr="008912CF" w:rsidRDefault="002F6811" w:rsidP="002F6811">
      <w:pPr>
        <w:pStyle w:val="Default"/>
        <w:rPr>
          <w:sz w:val="22"/>
          <w:szCs w:val="22"/>
          <w:lang w:val="pt-PT"/>
        </w:rPr>
      </w:pPr>
    </w:p>
    <w:p w14:paraId="4A64F197" w14:textId="77777777" w:rsidR="002F6811" w:rsidRPr="008912CF" w:rsidRDefault="00615769" w:rsidP="002F6811">
      <w:pPr>
        <w:pStyle w:val="Default"/>
        <w:rPr>
          <w:sz w:val="22"/>
          <w:szCs w:val="22"/>
          <w:lang w:val="pt-PT"/>
        </w:rPr>
      </w:pPr>
      <w:r w:rsidRPr="008912CF">
        <w:rPr>
          <w:sz w:val="22"/>
          <w:szCs w:val="22"/>
          <w:lang w:val="pt-PT"/>
        </w:rPr>
        <w:t>Foram notificados em fase de pós</w:t>
      </w:r>
      <w:r w:rsidR="00BF7825">
        <w:rPr>
          <w:sz w:val="22"/>
          <w:szCs w:val="22"/>
          <w:lang w:val="pt-PT"/>
        </w:rPr>
        <w:t>-</w:t>
      </w:r>
      <w:r w:rsidRPr="008912CF">
        <w:rPr>
          <w:sz w:val="22"/>
          <w:szCs w:val="22"/>
          <w:lang w:val="pt-PT"/>
        </w:rPr>
        <w:t xml:space="preserve">comercialização casos raros de linfoma hepatoesplénico de </w:t>
      </w:r>
      <w:r w:rsidR="00BF7825">
        <w:rPr>
          <w:sz w:val="22"/>
          <w:szCs w:val="22"/>
          <w:lang w:val="pt-PT"/>
        </w:rPr>
        <w:t>células</w:t>
      </w:r>
      <w:r w:rsidR="00BF7825" w:rsidRPr="008912CF">
        <w:rPr>
          <w:sz w:val="22"/>
          <w:szCs w:val="22"/>
          <w:lang w:val="pt-PT"/>
        </w:rPr>
        <w:t xml:space="preserve"> </w:t>
      </w:r>
      <w:r w:rsidRPr="008912CF">
        <w:rPr>
          <w:sz w:val="22"/>
          <w:szCs w:val="22"/>
          <w:lang w:val="pt-PT"/>
        </w:rPr>
        <w:t>T em doentes tratados com adalimumab (ver secção 4.4).</w:t>
      </w:r>
    </w:p>
    <w:p w14:paraId="1D94FB8F" w14:textId="77777777" w:rsidR="002F6811" w:rsidRPr="008912CF" w:rsidRDefault="002F6811" w:rsidP="002F6811">
      <w:pPr>
        <w:autoSpaceDE w:val="0"/>
        <w:autoSpaceDN w:val="0"/>
        <w:adjustRightInd w:val="0"/>
        <w:rPr>
          <w:sz w:val="22"/>
          <w:szCs w:val="22"/>
        </w:rPr>
      </w:pPr>
    </w:p>
    <w:p w14:paraId="77835E49" w14:textId="77777777" w:rsidR="002F6811" w:rsidRPr="008912CF" w:rsidRDefault="00615769" w:rsidP="002F6811">
      <w:pPr>
        <w:autoSpaceDE w:val="0"/>
        <w:autoSpaceDN w:val="0"/>
        <w:adjustRightInd w:val="0"/>
        <w:rPr>
          <w:sz w:val="22"/>
          <w:szCs w:val="22"/>
        </w:rPr>
      </w:pPr>
      <w:r w:rsidRPr="008912CF">
        <w:rPr>
          <w:i/>
          <w:sz w:val="22"/>
          <w:szCs w:val="22"/>
        </w:rPr>
        <w:t>Autoanticorpos</w:t>
      </w:r>
    </w:p>
    <w:p w14:paraId="05C4FF59" w14:textId="77777777" w:rsidR="002F6811" w:rsidRPr="008912CF" w:rsidRDefault="002F6811" w:rsidP="002F6811">
      <w:pPr>
        <w:pStyle w:val="EndnoteText"/>
        <w:tabs>
          <w:tab w:val="clear" w:pos="567"/>
        </w:tabs>
        <w:autoSpaceDE w:val="0"/>
        <w:autoSpaceDN w:val="0"/>
        <w:adjustRightInd w:val="0"/>
        <w:rPr>
          <w:szCs w:val="22"/>
        </w:rPr>
      </w:pPr>
    </w:p>
    <w:p w14:paraId="7184B14D" w14:textId="77777777" w:rsidR="002F6811" w:rsidRPr="008912CF" w:rsidRDefault="00615769" w:rsidP="002F6811">
      <w:pPr>
        <w:autoSpaceDE w:val="0"/>
        <w:autoSpaceDN w:val="0"/>
        <w:adjustRightInd w:val="0"/>
        <w:rPr>
          <w:sz w:val="22"/>
          <w:szCs w:val="22"/>
        </w:rPr>
      </w:pPr>
      <w:r w:rsidRPr="008912CF">
        <w:rPr>
          <w:sz w:val="22"/>
          <w:szCs w:val="22"/>
        </w:rPr>
        <w:t xml:space="preserve">Foram </w:t>
      </w:r>
      <w:r w:rsidR="00B5581D">
        <w:rPr>
          <w:sz w:val="22"/>
          <w:szCs w:val="22"/>
        </w:rPr>
        <w:t>analisadas</w:t>
      </w:r>
      <w:r w:rsidR="00B5581D" w:rsidRPr="008912CF">
        <w:rPr>
          <w:sz w:val="22"/>
          <w:szCs w:val="22"/>
        </w:rPr>
        <w:t xml:space="preserve"> </w:t>
      </w:r>
      <w:r w:rsidRPr="008912CF">
        <w:rPr>
          <w:sz w:val="22"/>
          <w:szCs w:val="22"/>
        </w:rPr>
        <w:t>amostras de soro dos doentes em múltiplos pontos temporais para pesquisa de autoanticorpos nos estudos I-V na artrite reumatoide. Nestes ensaios, 11,9</w:t>
      </w:r>
      <w:r w:rsidR="009343EF">
        <w:rPr>
          <w:sz w:val="22"/>
          <w:szCs w:val="22"/>
        </w:rPr>
        <w:t>%</w:t>
      </w:r>
      <w:r w:rsidRPr="008912CF">
        <w:rPr>
          <w:sz w:val="22"/>
          <w:szCs w:val="22"/>
        </w:rPr>
        <w:t xml:space="preserve"> dos doentes tratados com Humira e 8,1</w:t>
      </w:r>
      <w:r w:rsidR="009343EF">
        <w:rPr>
          <w:sz w:val="22"/>
          <w:szCs w:val="22"/>
        </w:rPr>
        <w:t>%</w:t>
      </w:r>
      <w:r w:rsidRPr="008912CF">
        <w:rPr>
          <w:sz w:val="22"/>
          <w:szCs w:val="22"/>
        </w:rPr>
        <w:t xml:space="preserve"> dos doentes tratados com placebo e controlo ativo, cujos títulos de anticorpos antinucleares eram negativos no início do estudo, apresentavam títulos positivos na Semana</w:t>
      </w:r>
      <w:r>
        <w:rPr>
          <w:sz w:val="22"/>
          <w:szCs w:val="22"/>
        </w:rPr>
        <w:t> </w:t>
      </w:r>
      <w:r w:rsidRPr="008912CF">
        <w:rPr>
          <w:sz w:val="22"/>
          <w:szCs w:val="22"/>
        </w:rPr>
        <w:t xml:space="preserve">24. Dois dos 3.441 doentes tratados com Humira nos estudos </w:t>
      </w:r>
      <w:r w:rsidR="00B5581D">
        <w:rPr>
          <w:sz w:val="22"/>
          <w:szCs w:val="22"/>
        </w:rPr>
        <w:t>na</w:t>
      </w:r>
      <w:r w:rsidR="00B5581D" w:rsidRPr="008912CF">
        <w:rPr>
          <w:sz w:val="22"/>
          <w:szCs w:val="22"/>
        </w:rPr>
        <w:t xml:space="preserve"> </w:t>
      </w:r>
      <w:r w:rsidRPr="008912CF">
        <w:rPr>
          <w:sz w:val="22"/>
          <w:szCs w:val="22"/>
        </w:rPr>
        <w:t>artrite reumatoide e artrite psoriática desenvolveram, pela primeira vez, sinais clínicos sugestivos de uma síndrome tipo lúpus. O estado dos doentes melhorou após a suspensão da terapêutica. Nenhum doente desenvolveu nefrite lúpica ou sintomas a nível do sistema nervoso central</w:t>
      </w:r>
      <w:r w:rsidRPr="008912CF">
        <w:rPr>
          <w:sz w:val="22"/>
          <w:szCs w:val="22"/>
        </w:rPr>
        <w:t>.</w:t>
      </w:r>
    </w:p>
    <w:p w14:paraId="0A92CB1D" w14:textId="77777777" w:rsidR="002F6811" w:rsidRPr="008912CF" w:rsidRDefault="002F6811" w:rsidP="002F6811">
      <w:pPr>
        <w:ind w:hanging="567"/>
        <w:rPr>
          <w:sz w:val="22"/>
          <w:szCs w:val="22"/>
        </w:rPr>
      </w:pPr>
    </w:p>
    <w:p w14:paraId="3C86DFFE" w14:textId="77777777" w:rsidR="002F6811" w:rsidRPr="008912CF" w:rsidRDefault="00615769" w:rsidP="002F6811">
      <w:pPr>
        <w:rPr>
          <w:sz w:val="22"/>
          <w:szCs w:val="22"/>
          <w:u w:val="single"/>
        </w:rPr>
      </w:pPr>
      <w:r w:rsidRPr="008912CF">
        <w:rPr>
          <w:i/>
          <w:sz w:val="22"/>
          <w:szCs w:val="22"/>
        </w:rPr>
        <w:t>Efeitos hepatobiliares</w:t>
      </w:r>
    </w:p>
    <w:p w14:paraId="1D4BDF8E" w14:textId="77777777" w:rsidR="002F6811" w:rsidRPr="008912CF" w:rsidRDefault="002F6811" w:rsidP="002F6811">
      <w:pPr>
        <w:ind w:hanging="567"/>
        <w:rPr>
          <w:sz w:val="22"/>
          <w:szCs w:val="22"/>
        </w:rPr>
      </w:pPr>
    </w:p>
    <w:p w14:paraId="02CBFA9E" w14:textId="77777777" w:rsidR="002F6811" w:rsidRPr="008912CF" w:rsidRDefault="00615769" w:rsidP="002F6811">
      <w:pPr>
        <w:pStyle w:val="BodyText2"/>
        <w:autoSpaceDE/>
        <w:autoSpaceDN/>
        <w:adjustRightInd/>
      </w:pPr>
      <w:r w:rsidRPr="008912CF">
        <w:rPr>
          <w:szCs w:val="22"/>
        </w:rPr>
        <w:t>Nos ensaios clínicos de Fase 3 controlados de Humira, em doentes com artrite reumatoide (AR) e artrite psoriática, com um período de controlo compreendido entre 4 a 104</w:t>
      </w:r>
      <w:r>
        <w:rPr>
          <w:szCs w:val="22"/>
        </w:rPr>
        <w:t> </w:t>
      </w:r>
      <w:r w:rsidRPr="008912CF">
        <w:rPr>
          <w:szCs w:val="22"/>
        </w:rPr>
        <w:t xml:space="preserve">semanas, os aumentos de ALT </w:t>
      </w:r>
      <w:r w:rsidRPr="008912CF">
        <w:t>≥ 3 LNS ocorreram em 3,7</w:t>
      </w:r>
      <w:r w:rsidR="009343EF">
        <w:t>%</w:t>
      </w:r>
      <w:r w:rsidRPr="008912CF">
        <w:t xml:space="preserve"> dos doentes tratados com Humira e em 1,6</w:t>
      </w:r>
      <w:r w:rsidR="009343EF">
        <w:t>%</w:t>
      </w:r>
      <w:r w:rsidRPr="008912CF">
        <w:t xml:space="preserve"> dos doentes tratados com controlo.</w:t>
      </w:r>
    </w:p>
    <w:p w14:paraId="665A436E" w14:textId="77777777" w:rsidR="002F6811" w:rsidRPr="008912CF" w:rsidRDefault="002F6811" w:rsidP="002F6811">
      <w:pPr>
        <w:pStyle w:val="BodyText2"/>
        <w:autoSpaceDE/>
        <w:autoSpaceDN/>
        <w:adjustRightInd/>
        <w:rPr>
          <w:szCs w:val="22"/>
        </w:rPr>
      </w:pPr>
    </w:p>
    <w:p w14:paraId="2FD9D078" w14:textId="77777777" w:rsidR="002F6811" w:rsidRPr="008912CF" w:rsidRDefault="00615769" w:rsidP="002F6811">
      <w:pPr>
        <w:pStyle w:val="BodyText2"/>
        <w:rPr>
          <w:szCs w:val="22"/>
        </w:rPr>
      </w:pPr>
      <w:r w:rsidRPr="008912CF">
        <w:rPr>
          <w:szCs w:val="22"/>
        </w:rPr>
        <w:t>Nos ensaios clínicos de Fase 3 de Humira, em doentes com artrite idiopática juvenil</w:t>
      </w:r>
      <w:r w:rsidR="00B5581D">
        <w:rPr>
          <w:szCs w:val="22"/>
        </w:rPr>
        <w:t xml:space="preserve"> poliarticular</w:t>
      </w:r>
      <w:r w:rsidRPr="008912CF">
        <w:rPr>
          <w:szCs w:val="22"/>
        </w:rPr>
        <w:t>, dos 4 aos 17 anos de idade e com artrite relacionada com entesite, dos 6 aos 17 anos de idade, os aumentos de ALT</w:t>
      </w:r>
      <w:r>
        <w:rPr>
          <w:szCs w:val="22"/>
        </w:rPr>
        <w:t> </w:t>
      </w:r>
      <w:r w:rsidRPr="008912CF">
        <w:rPr>
          <w:szCs w:val="22"/>
        </w:rPr>
        <w:t>≥</w:t>
      </w:r>
      <w:r>
        <w:rPr>
          <w:szCs w:val="22"/>
        </w:rPr>
        <w:t> </w:t>
      </w:r>
      <w:r w:rsidRPr="008912CF">
        <w:rPr>
          <w:szCs w:val="22"/>
        </w:rPr>
        <w:t>3</w:t>
      </w:r>
      <w:r>
        <w:rPr>
          <w:szCs w:val="22"/>
        </w:rPr>
        <w:t> </w:t>
      </w:r>
      <w:r w:rsidRPr="008912CF">
        <w:rPr>
          <w:szCs w:val="22"/>
        </w:rPr>
        <w:t>LNS ocorreram em 6,1</w:t>
      </w:r>
      <w:r w:rsidR="009343EF">
        <w:rPr>
          <w:szCs w:val="22"/>
        </w:rPr>
        <w:t>%</w:t>
      </w:r>
      <w:r w:rsidRPr="008912CF">
        <w:rPr>
          <w:szCs w:val="22"/>
        </w:rPr>
        <w:t xml:space="preserve"> dos doentes tratados com Humira e em 1,3</w:t>
      </w:r>
      <w:r w:rsidR="009343EF">
        <w:rPr>
          <w:szCs w:val="22"/>
        </w:rPr>
        <w:t>%</w:t>
      </w:r>
      <w:r w:rsidRPr="008912CF">
        <w:rPr>
          <w:szCs w:val="22"/>
        </w:rPr>
        <w:t xml:space="preserve"> dos doentes tratados com controlo. Os aumentos de ALT ocorreram na sua maioria em associação com metotrexato. Nos ensaios clínicos de Fase 3 de Humira, não se registaram casos de aumentos de ALT</w:t>
      </w:r>
      <w:r>
        <w:rPr>
          <w:szCs w:val="22"/>
        </w:rPr>
        <w:t> </w:t>
      </w:r>
      <w:r w:rsidRPr="008912CF">
        <w:rPr>
          <w:szCs w:val="22"/>
        </w:rPr>
        <w:t>≥</w:t>
      </w:r>
      <w:r>
        <w:rPr>
          <w:szCs w:val="22"/>
        </w:rPr>
        <w:t> </w:t>
      </w:r>
      <w:r w:rsidRPr="008912CF">
        <w:rPr>
          <w:szCs w:val="22"/>
        </w:rPr>
        <w:t>3</w:t>
      </w:r>
      <w:r>
        <w:rPr>
          <w:szCs w:val="22"/>
        </w:rPr>
        <w:t> </w:t>
      </w:r>
      <w:r w:rsidRPr="008912CF">
        <w:rPr>
          <w:szCs w:val="22"/>
        </w:rPr>
        <w:t>LNS em doentes com artrite idiopática juvenil poliarticular, com idades compreendidas entre os 2 e os 4</w:t>
      </w:r>
      <w:r>
        <w:rPr>
          <w:szCs w:val="22"/>
        </w:rPr>
        <w:t> </w:t>
      </w:r>
      <w:r w:rsidRPr="008912CF">
        <w:rPr>
          <w:szCs w:val="22"/>
        </w:rPr>
        <w:t>anos</w:t>
      </w:r>
      <w:r w:rsidR="00B5581D">
        <w:rPr>
          <w:szCs w:val="22"/>
        </w:rPr>
        <w:t>.</w:t>
      </w:r>
      <w:r w:rsidRPr="008912CF">
        <w:rPr>
          <w:szCs w:val="22"/>
        </w:rPr>
        <w:t xml:space="preserve"> </w:t>
      </w:r>
    </w:p>
    <w:p w14:paraId="521F5F96" w14:textId="77777777" w:rsidR="002F6811" w:rsidRPr="008912CF" w:rsidRDefault="002F6811" w:rsidP="002F6811">
      <w:pPr>
        <w:rPr>
          <w:i/>
          <w:iCs/>
          <w:sz w:val="22"/>
          <w:szCs w:val="22"/>
        </w:rPr>
      </w:pPr>
    </w:p>
    <w:p w14:paraId="18A2EF16" w14:textId="77777777" w:rsidR="002F6811" w:rsidRPr="008912CF" w:rsidRDefault="00615769" w:rsidP="002F6811">
      <w:pPr>
        <w:rPr>
          <w:sz w:val="20"/>
          <w:szCs w:val="22"/>
        </w:rPr>
      </w:pPr>
      <w:r w:rsidRPr="008912CF">
        <w:rPr>
          <w:sz w:val="22"/>
          <w:szCs w:val="22"/>
        </w:rPr>
        <w:t>Nos ensaios clínicos de Fase 3 controlados de Humira, em doentes com</w:t>
      </w:r>
      <w:r w:rsidRPr="008912CF">
        <w:rPr>
          <w:i/>
          <w:iCs/>
          <w:sz w:val="22"/>
          <w:szCs w:val="22"/>
        </w:rPr>
        <w:t xml:space="preserve"> </w:t>
      </w:r>
      <w:r w:rsidRPr="008912CF">
        <w:rPr>
          <w:iCs/>
          <w:sz w:val="22"/>
          <w:szCs w:val="22"/>
        </w:rPr>
        <w:t>doença de Crohn e colite ulcerosa</w:t>
      </w:r>
      <w:r w:rsidRPr="008912CF">
        <w:rPr>
          <w:iCs/>
          <w:sz w:val="20"/>
          <w:szCs w:val="22"/>
        </w:rPr>
        <w:t>,</w:t>
      </w:r>
      <w:r w:rsidRPr="008912CF">
        <w:rPr>
          <w:sz w:val="22"/>
          <w:szCs w:val="22"/>
        </w:rPr>
        <w:t xml:space="preserve"> com um período de controlo compreendido entre 4 a 52</w:t>
      </w:r>
      <w:r>
        <w:rPr>
          <w:sz w:val="22"/>
          <w:szCs w:val="22"/>
        </w:rPr>
        <w:t> </w:t>
      </w:r>
      <w:r w:rsidRPr="008912CF">
        <w:rPr>
          <w:sz w:val="22"/>
          <w:szCs w:val="22"/>
        </w:rPr>
        <w:t>semanas, os aumentos de ALT</w:t>
      </w:r>
      <w:r>
        <w:rPr>
          <w:sz w:val="22"/>
          <w:szCs w:val="22"/>
        </w:rPr>
        <w:t> </w:t>
      </w:r>
      <w:r w:rsidRPr="008912CF">
        <w:rPr>
          <w:sz w:val="22"/>
        </w:rPr>
        <w:t>≥</w:t>
      </w:r>
      <w:r>
        <w:rPr>
          <w:sz w:val="22"/>
        </w:rPr>
        <w:t> </w:t>
      </w:r>
      <w:r w:rsidRPr="008912CF">
        <w:rPr>
          <w:sz w:val="22"/>
        </w:rPr>
        <w:t>3</w:t>
      </w:r>
      <w:r>
        <w:rPr>
          <w:sz w:val="22"/>
        </w:rPr>
        <w:t> </w:t>
      </w:r>
      <w:r w:rsidRPr="008912CF">
        <w:rPr>
          <w:sz w:val="22"/>
        </w:rPr>
        <w:t>LNS ocorreram em 0,9</w:t>
      </w:r>
      <w:r w:rsidR="009343EF">
        <w:rPr>
          <w:sz w:val="22"/>
        </w:rPr>
        <w:t>%</w:t>
      </w:r>
      <w:r w:rsidRPr="008912CF">
        <w:rPr>
          <w:sz w:val="22"/>
        </w:rPr>
        <w:t xml:space="preserve"> dos doentes tratados com Humira e em 0,9</w:t>
      </w:r>
      <w:r w:rsidR="009343EF">
        <w:rPr>
          <w:sz w:val="22"/>
        </w:rPr>
        <w:t>%</w:t>
      </w:r>
      <w:r w:rsidRPr="008912CF">
        <w:rPr>
          <w:sz w:val="22"/>
        </w:rPr>
        <w:t xml:space="preserve"> dos doentes tratados com controlo</w:t>
      </w:r>
      <w:r w:rsidRPr="008912CF">
        <w:rPr>
          <w:sz w:val="20"/>
          <w:szCs w:val="22"/>
        </w:rPr>
        <w:t>.</w:t>
      </w:r>
    </w:p>
    <w:p w14:paraId="3DBAE08E" w14:textId="77777777" w:rsidR="002F6811" w:rsidRPr="008912CF" w:rsidRDefault="002F6811" w:rsidP="002F6811">
      <w:pPr>
        <w:rPr>
          <w:sz w:val="22"/>
          <w:szCs w:val="22"/>
        </w:rPr>
      </w:pPr>
    </w:p>
    <w:p w14:paraId="45457EF4" w14:textId="77777777" w:rsidR="002F6811" w:rsidRPr="008912CF" w:rsidRDefault="00615769" w:rsidP="002F6811">
      <w:pPr>
        <w:rPr>
          <w:sz w:val="22"/>
          <w:szCs w:val="22"/>
        </w:rPr>
      </w:pPr>
      <w:r w:rsidRPr="008912CF">
        <w:rPr>
          <w:sz w:val="22"/>
          <w:szCs w:val="22"/>
        </w:rPr>
        <w:t>No ensaio clínico de Fase 3 de Humira, em doentes com</w:t>
      </w:r>
      <w:r w:rsidRPr="008912CF">
        <w:rPr>
          <w:i/>
          <w:iCs/>
          <w:sz w:val="22"/>
          <w:szCs w:val="22"/>
        </w:rPr>
        <w:t xml:space="preserve"> </w:t>
      </w:r>
      <w:r w:rsidRPr="008912CF">
        <w:rPr>
          <w:iCs/>
          <w:sz w:val="22"/>
          <w:szCs w:val="22"/>
        </w:rPr>
        <w:t xml:space="preserve">doença de Crohn pediátrica, que avaliou a eficácia e segurança de dois regimes posológicos </w:t>
      </w:r>
      <w:r w:rsidRPr="008912CF">
        <w:rPr>
          <w:sz w:val="22"/>
          <w:szCs w:val="22"/>
        </w:rPr>
        <w:t>de manutenção e indução ajustados ao peso corporal</w:t>
      </w:r>
      <w:r w:rsidRPr="008912CF">
        <w:rPr>
          <w:iCs/>
          <w:sz w:val="22"/>
          <w:szCs w:val="22"/>
        </w:rPr>
        <w:t xml:space="preserve"> durante 52 semanas de tratamento,</w:t>
      </w:r>
      <w:r w:rsidRPr="008912CF">
        <w:rPr>
          <w:sz w:val="22"/>
          <w:szCs w:val="22"/>
        </w:rPr>
        <w:t xml:space="preserve"> os aumentos de ALT</w:t>
      </w:r>
      <w:r>
        <w:rPr>
          <w:sz w:val="22"/>
          <w:szCs w:val="22"/>
        </w:rPr>
        <w:t> </w:t>
      </w:r>
      <w:r w:rsidRPr="008912CF">
        <w:rPr>
          <w:sz w:val="22"/>
          <w:szCs w:val="22"/>
        </w:rPr>
        <w:t>≥</w:t>
      </w:r>
      <w:r>
        <w:rPr>
          <w:sz w:val="22"/>
          <w:szCs w:val="22"/>
        </w:rPr>
        <w:t> </w:t>
      </w:r>
      <w:r w:rsidRPr="008912CF">
        <w:rPr>
          <w:sz w:val="22"/>
          <w:szCs w:val="22"/>
        </w:rPr>
        <w:t>3 LNS ocorreram em 2,6</w:t>
      </w:r>
      <w:r w:rsidR="009343EF">
        <w:rPr>
          <w:sz w:val="22"/>
          <w:szCs w:val="22"/>
        </w:rPr>
        <w:t>%</w:t>
      </w:r>
      <w:r w:rsidRPr="008912CF">
        <w:rPr>
          <w:sz w:val="22"/>
          <w:szCs w:val="22"/>
        </w:rPr>
        <w:t xml:space="preserve"> (5/192) dos</w:t>
      </w:r>
      <w:r w:rsidR="0098579F">
        <w:rPr>
          <w:sz w:val="22"/>
          <w:szCs w:val="22"/>
        </w:rPr>
        <w:t xml:space="preserve"> </w:t>
      </w:r>
      <w:r w:rsidRPr="008912CF">
        <w:rPr>
          <w:sz w:val="22"/>
          <w:szCs w:val="22"/>
        </w:rPr>
        <w:t>doentes</w:t>
      </w:r>
      <w:r w:rsidR="00663140">
        <w:rPr>
          <w:sz w:val="22"/>
          <w:szCs w:val="22"/>
        </w:rPr>
        <w:t>, dos quais 4</w:t>
      </w:r>
      <w:r w:rsidRPr="008912CF">
        <w:rPr>
          <w:sz w:val="22"/>
          <w:szCs w:val="22"/>
        </w:rPr>
        <w:t xml:space="preserve"> receberam medicação imunossupressora concomitante  no início do tratamento.</w:t>
      </w:r>
    </w:p>
    <w:p w14:paraId="1624288A" w14:textId="77777777" w:rsidR="002F6811" w:rsidRPr="008912CF" w:rsidRDefault="002F6811" w:rsidP="002F6811">
      <w:pPr>
        <w:rPr>
          <w:sz w:val="22"/>
          <w:szCs w:val="22"/>
        </w:rPr>
      </w:pPr>
    </w:p>
    <w:p w14:paraId="0433FE11" w14:textId="77777777" w:rsidR="002F6811" w:rsidRPr="008912CF" w:rsidRDefault="00615769" w:rsidP="002F6811">
      <w:pPr>
        <w:rPr>
          <w:sz w:val="22"/>
          <w:szCs w:val="22"/>
        </w:rPr>
      </w:pPr>
      <w:r w:rsidRPr="008912CF">
        <w:rPr>
          <w:sz w:val="22"/>
          <w:szCs w:val="22"/>
        </w:rPr>
        <w:t>Nos ensaios clínicos controlados de Fase 3 de Humira, em doentes com</w:t>
      </w:r>
      <w:r w:rsidRPr="008912CF">
        <w:rPr>
          <w:iCs/>
          <w:sz w:val="22"/>
          <w:szCs w:val="22"/>
        </w:rPr>
        <w:t xml:space="preserve"> psoríase em placas,</w:t>
      </w:r>
      <w:r w:rsidRPr="008912CF">
        <w:rPr>
          <w:sz w:val="22"/>
          <w:szCs w:val="22"/>
        </w:rPr>
        <w:t xml:space="preserve"> com um período de controlo compreendido entre 12 a 24 semanas, os aumentos de ALT</w:t>
      </w:r>
      <w:r>
        <w:rPr>
          <w:sz w:val="22"/>
          <w:szCs w:val="22"/>
        </w:rPr>
        <w:t> </w:t>
      </w:r>
      <w:r w:rsidRPr="008912CF">
        <w:rPr>
          <w:sz w:val="22"/>
          <w:szCs w:val="22"/>
        </w:rPr>
        <w:t>≥ 3</w:t>
      </w:r>
      <w:r>
        <w:rPr>
          <w:sz w:val="22"/>
          <w:szCs w:val="22"/>
        </w:rPr>
        <w:t> </w:t>
      </w:r>
      <w:r w:rsidRPr="008912CF">
        <w:rPr>
          <w:sz w:val="22"/>
          <w:szCs w:val="22"/>
        </w:rPr>
        <w:t>LNS ocorreram em 1,8</w:t>
      </w:r>
      <w:r w:rsidR="009343EF">
        <w:rPr>
          <w:sz w:val="22"/>
          <w:szCs w:val="22"/>
        </w:rPr>
        <w:t>%</w:t>
      </w:r>
      <w:r w:rsidRPr="008912CF">
        <w:rPr>
          <w:sz w:val="22"/>
          <w:szCs w:val="22"/>
        </w:rPr>
        <w:t xml:space="preserve"> dos doentes tratados com Humira e em 1,8</w:t>
      </w:r>
      <w:r w:rsidR="009343EF">
        <w:rPr>
          <w:sz w:val="22"/>
          <w:szCs w:val="22"/>
        </w:rPr>
        <w:t>%</w:t>
      </w:r>
      <w:r w:rsidRPr="008912CF">
        <w:rPr>
          <w:sz w:val="22"/>
          <w:szCs w:val="22"/>
        </w:rPr>
        <w:t xml:space="preserve"> dos doentes tratados com controlo.</w:t>
      </w:r>
    </w:p>
    <w:p w14:paraId="59A69409" w14:textId="77777777" w:rsidR="002F6811" w:rsidRPr="008912CF" w:rsidRDefault="002F6811" w:rsidP="002F6811">
      <w:pPr>
        <w:rPr>
          <w:sz w:val="22"/>
          <w:szCs w:val="22"/>
        </w:rPr>
      </w:pPr>
    </w:p>
    <w:p w14:paraId="668A1082" w14:textId="77777777" w:rsidR="002F6811" w:rsidRPr="008912CF" w:rsidRDefault="00615769" w:rsidP="002F6811">
      <w:pPr>
        <w:rPr>
          <w:sz w:val="22"/>
          <w:szCs w:val="22"/>
        </w:rPr>
      </w:pPr>
      <w:r w:rsidRPr="008912CF">
        <w:rPr>
          <w:sz w:val="22"/>
          <w:szCs w:val="22"/>
        </w:rPr>
        <w:t>Nos ensaios clínicos de Fase 3 de Humira</w:t>
      </w:r>
      <w:r w:rsidR="00A4692F">
        <w:rPr>
          <w:sz w:val="22"/>
          <w:szCs w:val="22"/>
        </w:rPr>
        <w:t>,</w:t>
      </w:r>
      <w:r w:rsidRPr="008912CF">
        <w:rPr>
          <w:sz w:val="22"/>
          <w:szCs w:val="22"/>
        </w:rPr>
        <w:t xml:space="preserve"> em doentes pediátricos com psoríase em placas, não se registaram aumentos de ALT</w:t>
      </w:r>
      <w:r>
        <w:rPr>
          <w:sz w:val="22"/>
          <w:szCs w:val="22"/>
        </w:rPr>
        <w:t> </w:t>
      </w:r>
      <w:r w:rsidRPr="008912CF">
        <w:rPr>
          <w:sz w:val="22"/>
          <w:szCs w:val="22"/>
        </w:rPr>
        <w:t>≥</w:t>
      </w:r>
      <w:r>
        <w:rPr>
          <w:sz w:val="22"/>
          <w:szCs w:val="22"/>
        </w:rPr>
        <w:t> </w:t>
      </w:r>
      <w:r w:rsidRPr="008912CF">
        <w:rPr>
          <w:sz w:val="22"/>
          <w:szCs w:val="22"/>
        </w:rPr>
        <w:t>3</w:t>
      </w:r>
      <w:r>
        <w:rPr>
          <w:sz w:val="22"/>
          <w:szCs w:val="22"/>
        </w:rPr>
        <w:t> </w:t>
      </w:r>
      <w:r w:rsidRPr="008912CF">
        <w:rPr>
          <w:sz w:val="22"/>
          <w:szCs w:val="22"/>
        </w:rPr>
        <w:t>LNS.</w:t>
      </w:r>
    </w:p>
    <w:p w14:paraId="59A83300" w14:textId="77777777" w:rsidR="002F6811" w:rsidRPr="008912CF" w:rsidRDefault="002F6811" w:rsidP="002F6811">
      <w:pPr>
        <w:rPr>
          <w:sz w:val="22"/>
          <w:szCs w:val="22"/>
        </w:rPr>
      </w:pPr>
    </w:p>
    <w:p w14:paraId="24B976CC" w14:textId="77777777" w:rsidR="002F6811" w:rsidRPr="008912CF" w:rsidRDefault="00615769" w:rsidP="002F6811">
      <w:pPr>
        <w:rPr>
          <w:sz w:val="22"/>
          <w:szCs w:val="22"/>
        </w:rPr>
      </w:pPr>
      <w:r w:rsidRPr="008912CF">
        <w:rPr>
          <w:sz w:val="22"/>
          <w:szCs w:val="22"/>
        </w:rPr>
        <w:t xml:space="preserve">Nos ensaios clínicos controlados de Humira (doses iniciais de </w:t>
      </w:r>
      <w:r w:rsidR="00D6302B">
        <w:rPr>
          <w:sz w:val="22"/>
          <w:szCs w:val="22"/>
        </w:rPr>
        <w:t>8</w:t>
      </w:r>
      <w:r w:rsidRPr="008912CF">
        <w:rPr>
          <w:sz w:val="22"/>
          <w:szCs w:val="22"/>
        </w:rPr>
        <w:t>0 mg na Semana 0</w:t>
      </w:r>
      <w:r w:rsidR="00D6302B">
        <w:rPr>
          <w:sz w:val="22"/>
          <w:szCs w:val="22"/>
        </w:rPr>
        <w:t>,</w:t>
      </w:r>
      <w:r w:rsidRPr="008912CF">
        <w:rPr>
          <w:sz w:val="22"/>
          <w:szCs w:val="22"/>
        </w:rPr>
        <w:t xml:space="preserve"> seguid</w:t>
      </w:r>
      <w:r>
        <w:rPr>
          <w:sz w:val="22"/>
          <w:szCs w:val="22"/>
        </w:rPr>
        <w:t>a</w:t>
      </w:r>
      <w:r w:rsidRPr="008912CF">
        <w:rPr>
          <w:sz w:val="22"/>
          <w:szCs w:val="22"/>
        </w:rPr>
        <w:t xml:space="preserve"> de 40 mg </w:t>
      </w:r>
      <w:r w:rsidR="00D6302B">
        <w:rPr>
          <w:sz w:val="22"/>
          <w:szCs w:val="22"/>
        </w:rPr>
        <w:t>em semanas alternadas</w:t>
      </w:r>
      <w:r w:rsidRPr="008912CF">
        <w:rPr>
          <w:sz w:val="22"/>
          <w:szCs w:val="22"/>
        </w:rPr>
        <w:t xml:space="preserve"> a partir da Semana </w:t>
      </w:r>
      <w:r w:rsidR="00D6302B">
        <w:rPr>
          <w:sz w:val="22"/>
          <w:szCs w:val="22"/>
        </w:rPr>
        <w:t>1</w:t>
      </w:r>
      <w:r w:rsidRPr="008912CF">
        <w:rPr>
          <w:sz w:val="22"/>
          <w:szCs w:val="22"/>
        </w:rPr>
        <w:t xml:space="preserve">), em doentes </w:t>
      </w:r>
      <w:r w:rsidR="00D6302B">
        <w:rPr>
          <w:sz w:val="22"/>
          <w:szCs w:val="22"/>
        </w:rPr>
        <w:t>adultos com uveíte</w:t>
      </w:r>
      <w:r w:rsidRPr="008912CF">
        <w:rPr>
          <w:sz w:val="22"/>
          <w:szCs w:val="22"/>
        </w:rPr>
        <w:t xml:space="preserve">, </w:t>
      </w:r>
      <w:r w:rsidR="00D6302B">
        <w:rPr>
          <w:sz w:val="22"/>
          <w:szCs w:val="22"/>
        </w:rPr>
        <w:t xml:space="preserve">até 80 semanas, com uma exposição </w:t>
      </w:r>
      <w:r w:rsidR="00A4692F">
        <w:rPr>
          <w:sz w:val="22"/>
          <w:szCs w:val="22"/>
        </w:rPr>
        <w:t xml:space="preserve">mediana </w:t>
      </w:r>
      <w:r w:rsidR="00D6302B">
        <w:rPr>
          <w:sz w:val="22"/>
          <w:szCs w:val="22"/>
        </w:rPr>
        <w:t xml:space="preserve">de 166,5 </w:t>
      </w:r>
      <w:r w:rsidR="0098579F">
        <w:rPr>
          <w:sz w:val="22"/>
          <w:szCs w:val="22"/>
        </w:rPr>
        <w:t xml:space="preserve">dias </w:t>
      </w:r>
      <w:r w:rsidR="00D6302B">
        <w:rPr>
          <w:sz w:val="22"/>
          <w:szCs w:val="22"/>
        </w:rPr>
        <w:t xml:space="preserve">e 105,0 dias </w:t>
      </w:r>
      <w:r w:rsidR="0098579F">
        <w:rPr>
          <w:sz w:val="22"/>
          <w:szCs w:val="22"/>
        </w:rPr>
        <w:t xml:space="preserve">em </w:t>
      </w:r>
      <w:r w:rsidR="00D6302B">
        <w:rPr>
          <w:sz w:val="22"/>
          <w:szCs w:val="22"/>
        </w:rPr>
        <w:t>doentes tratados com Humira e doentes tratados com controlo, respetivamente</w:t>
      </w:r>
      <w:r w:rsidRPr="008912CF">
        <w:rPr>
          <w:sz w:val="22"/>
          <w:szCs w:val="22"/>
        </w:rPr>
        <w:t>, os aumentos de ALT</w:t>
      </w:r>
      <w:r>
        <w:rPr>
          <w:sz w:val="22"/>
          <w:szCs w:val="22"/>
        </w:rPr>
        <w:t> </w:t>
      </w:r>
      <w:r w:rsidRPr="008912CF">
        <w:rPr>
          <w:sz w:val="22"/>
          <w:szCs w:val="22"/>
        </w:rPr>
        <w:t>≥</w:t>
      </w:r>
      <w:r>
        <w:rPr>
          <w:sz w:val="22"/>
          <w:szCs w:val="22"/>
        </w:rPr>
        <w:t> </w:t>
      </w:r>
      <w:r w:rsidRPr="008912CF">
        <w:rPr>
          <w:sz w:val="22"/>
          <w:szCs w:val="22"/>
        </w:rPr>
        <w:t>3</w:t>
      </w:r>
      <w:r>
        <w:rPr>
          <w:sz w:val="22"/>
          <w:szCs w:val="22"/>
        </w:rPr>
        <w:t> </w:t>
      </w:r>
      <w:r w:rsidRPr="008912CF">
        <w:rPr>
          <w:sz w:val="22"/>
          <w:szCs w:val="22"/>
        </w:rPr>
        <w:t>LN</w:t>
      </w:r>
      <w:r w:rsidR="00FC7E81">
        <w:rPr>
          <w:sz w:val="22"/>
          <w:szCs w:val="22"/>
        </w:rPr>
        <w:t>S</w:t>
      </w:r>
      <w:r w:rsidRPr="008912CF">
        <w:rPr>
          <w:sz w:val="22"/>
          <w:szCs w:val="22"/>
        </w:rPr>
        <w:t xml:space="preserve"> ocorreram em </w:t>
      </w:r>
      <w:r w:rsidR="00D6302B">
        <w:rPr>
          <w:sz w:val="22"/>
          <w:szCs w:val="22"/>
        </w:rPr>
        <w:t>2</w:t>
      </w:r>
      <w:r w:rsidRPr="008912CF">
        <w:rPr>
          <w:sz w:val="22"/>
          <w:szCs w:val="22"/>
        </w:rPr>
        <w:t>,</w:t>
      </w:r>
      <w:r w:rsidR="00D6302B">
        <w:rPr>
          <w:sz w:val="22"/>
          <w:szCs w:val="22"/>
        </w:rPr>
        <w:t>4</w:t>
      </w:r>
      <w:r w:rsidR="009343EF">
        <w:rPr>
          <w:sz w:val="22"/>
          <w:szCs w:val="22"/>
        </w:rPr>
        <w:t>%</w:t>
      </w:r>
      <w:r w:rsidRPr="008912CF">
        <w:rPr>
          <w:sz w:val="22"/>
          <w:szCs w:val="22"/>
        </w:rPr>
        <w:t xml:space="preserve"> dos doentes tratados com Humira e em </w:t>
      </w:r>
      <w:r w:rsidR="00D6302B">
        <w:rPr>
          <w:sz w:val="22"/>
          <w:szCs w:val="22"/>
        </w:rPr>
        <w:t>2</w:t>
      </w:r>
      <w:r w:rsidRPr="008912CF">
        <w:rPr>
          <w:sz w:val="22"/>
          <w:szCs w:val="22"/>
        </w:rPr>
        <w:t>,</w:t>
      </w:r>
      <w:r w:rsidR="00D6302B">
        <w:rPr>
          <w:sz w:val="22"/>
          <w:szCs w:val="22"/>
        </w:rPr>
        <w:t>4</w:t>
      </w:r>
      <w:r w:rsidR="009343EF">
        <w:rPr>
          <w:sz w:val="22"/>
          <w:szCs w:val="22"/>
        </w:rPr>
        <w:t>%</w:t>
      </w:r>
      <w:r w:rsidRPr="008912CF">
        <w:rPr>
          <w:sz w:val="22"/>
          <w:szCs w:val="22"/>
        </w:rPr>
        <w:t xml:space="preserve"> dos doentes tratados com controlo.</w:t>
      </w:r>
    </w:p>
    <w:p w14:paraId="7A0F23E2" w14:textId="77777777" w:rsidR="002F6811" w:rsidRPr="008912CF" w:rsidRDefault="002F6811" w:rsidP="002F6811">
      <w:pPr>
        <w:rPr>
          <w:sz w:val="22"/>
          <w:szCs w:val="22"/>
        </w:rPr>
      </w:pPr>
    </w:p>
    <w:p w14:paraId="31E082A6" w14:textId="77777777" w:rsidR="002F6811" w:rsidRPr="008912CF" w:rsidRDefault="00615769" w:rsidP="002F6811">
      <w:pPr>
        <w:rPr>
          <w:sz w:val="22"/>
          <w:szCs w:val="22"/>
        </w:rPr>
      </w:pPr>
      <w:r w:rsidRPr="008912CF">
        <w:rPr>
          <w:sz w:val="22"/>
          <w:szCs w:val="22"/>
        </w:rPr>
        <w:t>Nos ensaios clínicos, em todas as indicações, os doentes com ALT aumentada estavam assintomáticos</w:t>
      </w:r>
      <w:r w:rsidR="00A4692F">
        <w:rPr>
          <w:sz w:val="22"/>
          <w:szCs w:val="22"/>
        </w:rPr>
        <w:t>,</w:t>
      </w:r>
      <w:r w:rsidRPr="008912CF">
        <w:rPr>
          <w:sz w:val="22"/>
          <w:szCs w:val="22"/>
        </w:rPr>
        <w:t xml:space="preserve"> e na maioria dos casos os aumentos foram transitórios e resolvidos com a continuação do tratamento. Contudo, foram também notificadas, em fase de pós</w:t>
      </w:r>
      <w:r w:rsidR="00A4692F">
        <w:rPr>
          <w:sz w:val="22"/>
          <w:szCs w:val="22"/>
        </w:rPr>
        <w:t>-</w:t>
      </w:r>
      <w:r w:rsidRPr="008912CF">
        <w:rPr>
          <w:sz w:val="22"/>
          <w:szCs w:val="22"/>
        </w:rPr>
        <w:t>comercialização, insuficiência hepática e afeções hepáticas menos graves, que podem preceder a insuficiência hepática, tal como hepatite, incluindo hepatite autoimune, em doentes tratados com adalimumab.</w:t>
      </w:r>
    </w:p>
    <w:p w14:paraId="0D00E35D" w14:textId="77777777" w:rsidR="002F6811" w:rsidRPr="008912CF" w:rsidRDefault="002F6811" w:rsidP="002F6811">
      <w:pPr>
        <w:pStyle w:val="EMEANormal"/>
        <w:rPr>
          <w:u w:val="single"/>
          <w:lang w:val="pt-PT"/>
        </w:rPr>
      </w:pPr>
    </w:p>
    <w:p w14:paraId="761F1E14" w14:textId="77777777" w:rsidR="002F6811" w:rsidRPr="008912CF" w:rsidRDefault="00615769" w:rsidP="002F6811">
      <w:pPr>
        <w:pStyle w:val="EMEANormal"/>
        <w:rPr>
          <w:szCs w:val="22"/>
          <w:u w:val="single"/>
          <w:lang w:val="pt-PT"/>
        </w:rPr>
      </w:pPr>
      <w:r w:rsidRPr="008912CF">
        <w:rPr>
          <w:szCs w:val="22"/>
          <w:u w:val="single"/>
          <w:lang w:val="pt-PT"/>
        </w:rPr>
        <w:t>Administração concomitante com azatioprina/6-mercaptopurina</w:t>
      </w:r>
    </w:p>
    <w:p w14:paraId="22D1E76B" w14:textId="77777777" w:rsidR="002F6811" w:rsidRPr="008912CF" w:rsidRDefault="002F6811" w:rsidP="002F6811">
      <w:pPr>
        <w:pStyle w:val="EMEANormal"/>
        <w:rPr>
          <w:iCs/>
          <w:szCs w:val="22"/>
          <w:lang w:val="pt-PT"/>
        </w:rPr>
      </w:pPr>
    </w:p>
    <w:p w14:paraId="69A7BAFA" w14:textId="77777777" w:rsidR="002F6811" w:rsidRPr="008912CF" w:rsidRDefault="00615769" w:rsidP="002F6811">
      <w:pPr>
        <w:autoSpaceDE w:val="0"/>
        <w:autoSpaceDN w:val="0"/>
        <w:adjustRightInd w:val="0"/>
        <w:rPr>
          <w:bCs/>
        </w:rPr>
      </w:pPr>
      <w:r w:rsidRPr="008912CF">
        <w:rPr>
          <w:sz w:val="22"/>
          <w:szCs w:val="22"/>
        </w:rPr>
        <w:t>Em ensaios realizados em adultos com doença de Crohn, com administração concomitante de Humira e azatioprina/6-mercaptopurina, foram observados acontecimentos adversos com uma maior incidência de neoplasias e infeções graves, quando comparados com a utilização de Humira isoladamente</w:t>
      </w:r>
      <w:r w:rsidRPr="008912CF">
        <w:t>.</w:t>
      </w:r>
    </w:p>
    <w:p w14:paraId="62BCF11E" w14:textId="77777777" w:rsidR="002F6811" w:rsidRPr="008912CF" w:rsidRDefault="002F6811" w:rsidP="002F6811">
      <w:pPr>
        <w:rPr>
          <w:sz w:val="22"/>
          <w:szCs w:val="22"/>
          <w:u w:val="single"/>
        </w:rPr>
      </w:pPr>
    </w:p>
    <w:p w14:paraId="057B061C" w14:textId="77777777" w:rsidR="002F6811" w:rsidRPr="008912CF" w:rsidRDefault="00615769" w:rsidP="002F6811">
      <w:pPr>
        <w:suppressAutoHyphens/>
        <w:rPr>
          <w:sz w:val="22"/>
          <w:szCs w:val="22"/>
          <w:u w:val="single"/>
        </w:rPr>
      </w:pPr>
      <w:r w:rsidRPr="008912CF">
        <w:rPr>
          <w:sz w:val="22"/>
          <w:szCs w:val="22"/>
          <w:u w:val="single"/>
        </w:rPr>
        <w:t>Notificação de suspeitas de reações adversas</w:t>
      </w:r>
    </w:p>
    <w:p w14:paraId="5BA61D76" w14:textId="77777777" w:rsidR="002F6811" w:rsidRPr="008912CF" w:rsidRDefault="002F6811" w:rsidP="002F6811">
      <w:pPr>
        <w:suppressAutoHyphens/>
        <w:rPr>
          <w:sz w:val="22"/>
          <w:szCs w:val="22"/>
        </w:rPr>
      </w:pPr>
    </w:p>
    <w:p w14:paraId="0EC5280A" w14:textId="77777777" w:rsidR="002F6811" w:rsidRPr="008912CF" w:rsidRDefault="00615769" w:rsidP="002F6811">
      <w:pPr>
        <w:suppressAutoHyphens/>
        <w:rPr>
          <w:sz w:val="22"/>
          <w:szCs w:val="22"/>
        </w:rPr>
      </w:pPr>
      <w:r w:rsidRPr="008912CF">
        <w:rPr>
          <w:sz w:val="22"/>
          <w:szCs w:val="22"/>
        </w:rPr>
        <w:t>A notificação de suspeitas de reações adversas após a autorização do medicamento é importante</w:t>
      </w:r>
      <w:r w:rsidR="00A4692F">
        <w:rPr>
          <w:sz w:val="22"/>
          <w:szCs w:val="22"/>
        </w:rPr>
        <w:t>, uma vez que</w:t>
      </w:r>
      <w:r w:rsidRPr="008912CF">
        <w:rPr>
          <w:sz w:val="22"/>
          <w:szCs w:val="22"/>
        </w:rPr>
        <w:t xml:space="preserve"> permite uma monitorização contínua da relação benefício</w:t>
      </w:r>
      <w:r w:rsidR="00A4692F">
        <w:rPr>
          <w:sz w:val="22"/>
          <w:szCs w:val="22"/>
        </w:rPr>
        <w:t>-</w:t>
      </w:r>
      <w:r w:rsidRPr="008912CF">
        <w:rPr>
          <w:sz w:val="22"/>
          <w:szCs w:val="22"/>
        </w:rPr>
        <w:t xml:space="preserve">risco do medicamento. Pede-se aos profissionais de saúde que notifiquem quaisquer suspeitas de reações adversas através </w:t>
      </w:r>
      <w:r w:rsidRPr="008912CF">
        <w:rPr>
          <w:sz w:val="22"/>
          <w:szCs w:val="22"/>
          <w:highlight w:val="lightGray"/>
        </w:rPr>
        <w:t xml:space="preserve">do sistema nacional de notificação mencionado no </w:t>
      </w:r>
      <w:hyperlink r:id="rId10" w:history="1">
        <w:r w:rsidR="002F6811" w:rsidRPr="008912CF">
          <w:rPr>
            <w:rStyle w:val="Hyperlink"/>
            <w:sz w:val="22"/>
            <w:szCs w:val="22"/>
            <w:highlight w:val="lightGray"/>
          </w:rPr>
          <w:t>Apêndice V</w:t>
        </w:r>
      </w:hyperlink>
      <w:r w:rsidRPr="008912CF">
        <w:rPr>
          <w:sz w:val="22"/>
          <w:szCs w:val="22"/>
          <w:highlight w:val="lightGray"/>
        </w:rPr>
        <w:t>.</w:t>
      </w:r>
    </w:p>
    <w:p w14:paraId="3C9DB7E3" w14:textId="77777777" w:rsidR="002F6811" w:rsidRPr="008912CF" w:rsidRDefault="002F6811" w:rsidP="002F6811">
      <w:pPr>
        <w:rPr>
          <w:sz w:val="22"/>
          <w:szCs w:val="22"/>
          <w:u w:val="single"/>
        </w:rPr>
      </w:pPr>
    </w:p>
    <w:p w14:paraId="09A45869" w14:textId="77777777" w:rsidR="002F6811" w:rsidRPr="008912CF" w:rsidRDefault="00615769" w:rsidP="002F6811">
      <w:pPr>
        <w:ind w:left="567" w:hanging="567"/>
        <w:rPr>
          <w:sz w:val="22"/>
          <w:szCs w:val="22"/>
        </w:rPr>
      </w:pPr>
      <w:r w:rsidRPr="008912CF">
        <w:rPr>
          <w:b/>
          <w:sz w:val="22"/>
          <w:szCs w:val="22"/>
        </w:rPr>
        <w:t>4.9</w:t>
      </w:r>
      <w:r w:rsidRPr="008912CF">
        <w:rPr>
          <w:b/>
          <w:sz w:val="22"/>
          <w:szCs w:val="22"/>
        </w:rPr>
        <w:tab/>
        <w:t xml:space="preserve">Sobredosagem </w:t>
      </w:r>
    </w:p>
    <w:p w14:paraId="00E05890" w14:textId="77777777" w:rsidR="002F6811" w:rsidRPr="008912CF" w:rsidRDefault="002F6811" w:rsidP="002F6811">
      <w:pPr>
        <w:rPr>
          <w:sz w:val="22"/>
          <w:szCs w:val="22"/>
        </w:rPr>
      </w:pPr>
    </w:p>
    <w:p w14:paraId="39B24A6E" w14:textId="77777777" w:rsidR="002F6811" w:rsidRPr="008912CF" w:rsidRDefault="00615769" w:rsidP="002F6811">
      <w:pPr>
        <w:rPr>
          <w:sz w:val="22"/>
          <w:szCs w:val="22"/>
        </w:rPr>
      </w:pPr>
      <w:r w:rsidRPr="008912CF">
        <w:rPr>
          <w:sz w:val="22"/>
          <w:szCs w:val="22"/>
        </w:rPr>
        <w:t>No decurso dos ensaios clínicos não se observou toxicidade limitativa das doses. O nível posológico mais alto avaliado correspondeu a doses intravenosas múltiplas de 10 mg/kg, que é aproximadamente 15 vezes a dose recomendada.</w:t>
      </w:r>
    </w:p>
    <w:p w14:paraId="07DE27B2" w14:textId="77777777" w:rsidR="002F6811" w:rsidRPr="008912CF" w:rsidRDefault="002F6811" w:rsidP="002F6811">
      <w:pPr>
        <w:rPr>
          <w:sz w:val="22"/>
          <w:szCs w:val="22"/>
        </w:rPr>
      </w:pPr>
    </w:p>
    <w:p w14:paraId="70A58C69" w14:textId="77777777" w:rsidR="002F6811" w:rsidRPr="008912CF" w:rsidRDefault="002F6811" w:rsidP="002F6811">
      <w:pPr>
        <w:rPr>
          <w:sz w:val="22"/>
          <w:szCs w:val="22"/>
        </w:rPr>
      </w:pPr>
    </w:p>
    <w:p w14:paraId="1A08938E" w14:textId="77777777" w:rsidR="002F6811" w:rsidRPr="008912CF" w:rsidRDefault="00615769" w:rsidP="002F6811">
      <w:pPr>
        <w:keepNext/>
        <w:ind w:left="567" w:hanging="567"/>
        <w:rPr>
          <w:sz w:val="22"/>
          <w:szCs w:val="22"/>
        </w:rPr>
      </w:pPr>
      <w:r w:rsidRPr="008912CF">
        <w:rPr>
          <w:b/>
          <w:sz w:val="22"/>
          <w:szCs w:val="22"/>
        </w:rPr>
        <w:t>5.</w:t>
      </w:r>
      <w:r w:rsidRPr="008912CF">
        <w:rPr>
          <w:b/>
          <w:sz w:val="22"/>
          <w:szCs w:val="22"/>
        </w:rPr>
        <w:tab/>
        <w:t xml:space="preserve">PROPRIEDADES FARMACOLÓGICAS </w:t>
      </w:r>
    </w:p>
    <w:p w14:paraId="5611685B" w14:textId="77777777" w:rsidR="002F6811" w:rsidRPr="008912CF" w:rsidRDefault="002F6811" w:rsidP="002F6811">
      <w:pPr>
        <w:keepNext/>
        <w:rPr>
          <w:b/>
          <w:sz w:val="22"/>
          <w:szCs w:val="22"/>
        </w:rPr>
      </w:pPr>
    </w:p>
    <w:p w14:paraId="74DD469E" w14:textId="77777777" w:rsidR="002F6811" w:rsidRPr="008912CF" w:rsidRDefault="00615769" w:rsidP="002F6811">
      <w:pPr>
        <w:keepNext/>
        <w:ind w:left="567" w:hanging="567"/>
        <w:rPr>
          <w:sz w:val="22"/>
          <w:szCs w:val="22"/>
        </w:rPr>
      </w:pPr>
      <w:r w:rsidRPr="008912CF">
        <w:rPr>
          <w:b/>
          <w:sz w:val="22"/>
          <w:szCs w:val="22"/>
        </w:rPr>
        <w:t xml:space="preserve">5.1 </w:t>
      </w:r>
      <w:r w:rsidRPr="008912CF">
        <w:rPr>
          <w:b/>
          <w:sz w:val="22"/>
          <w:szCs w:val="22"/>
        </w:rPr>
        <w:tab/>
        <w:t xml:space="preserve">Propriedades farmacodinâmicas </w:t>
      </w:r>
    </w:p>
    <w:p w14:paraId="67EB1A40" w14:textId="77777777" w:rsidR="002F6811" w:rsidRPr="008912CF" w:rsidRDefault="002F6811" w:rsidP="002F6811">
      <w:pPr>
        <w:keepNext/>
        <w:rPr>
          <w:sz w:val="22"/>
          <w:szCs w:val="22"/>
        </w:rPr>
      </w:pPr>
    </w:p>
    <w:p w14:paraId="415AF705" w14:textId="77777777" w:rsidR="002F6811" w:rsidRPr="008912CF" w:rsidRDefault="00615769" w:rsidP="002F6811">
      <w:pPr>
        <w:keepNext/>
        <w:rPr>
          <w:sz w:val="22"/>
          <w:szCs w:val="22"/>
        </w:rPr>
      </w:pPr>
      <w:r w:rsidRPr="008912CF">
        <w:rPr>
          <w:sz w:val="22"/>
          <w:szCs w:val="22"/>
        </w:rPr>
        <w:t>Grupo farmacoterapêutico: Imunossupressores, Inibidores do Fator de Necrose Tumoral alfa (TNF-α). Código ATC: L04AB04</w:t>
      </w:r>
    </w:p>
    <w:p w14:paraId="59C358A0" w14:textId="77777777" w:rsidR="002F6811" w:rsidRPr="008912CF" w:rsidRDefault="002F6811" w:rsidP="002F6811">
      <w:pPr>
        <w:rPr>
          <w:sz w:val="22"/>
          <w:szCs w:val="22"/>
        </w:rPr>
      </w:pPr>
    </w:p>
    <w:p w14:paraId="362BDBDA" w14:textId="77777777" w:rsidR="002F6811" w:rsidRPr="008912CF" w:rsidRDefault="00615769" w:rsidP="002F6811">
      <w:pPr>
        <w:rPr>
          <w:sz w:val="22"/>
          <w:szCs w:val="22"/>
          <w:u w:val="single"/>
        </w:rPr>
      </w:pPr>
      <w:r w:rsidRPr="008912CF">
        <w:rPr>
          <w:sz w:val="22"/>
          <w:szCs w:val="22"/>
          <w:u w:val="single"/>
        </w:rPr>
        <w:t xml:space="preserve">Mecanismo de ação </w:t>
      </w:r>
    </w:p>
    <w:p w14:paraId="4B9DF8FC" w14:textId="77777777" w:rsidR="002F6811" w:rsidRPr="008912CF" w:rsidRDefault="002F6811" w:rsidP="002F6811">
      <w:pPr>
        <w:rPr>
          <w:sz w:val="22"/>
          <w:szCs w:val="22"/>
        </w:rPr>
      </w:pPr>
    </w:p>
    <w:p w14:paraId="0665BDA2" w14:textId="77777777" w:rsidR="002F6811" w:rsidRPr="008912CF" w:rsidRDefault="00615769" w:rsidP="002F6811">
      <w:pPr>
        <w:rPr>
          <w:sz w:val="22"/>
          <w:szCs w:val="22"/>
        </w:rPr>
      </w:pPr>
      <w:r w:rsidRPr="008912CF">
        <w:rPr>
          <w:sz w:val="22"/>
          <w:szCs w:val="22"/>
        </w:rPr>
        <w:t>Adalimumab liga-se especificamente ao TNF e neutraliza a função biológica do TNF bloqueando a sua interação com os recetores TNF p55 e p75 da superfície celular.</w:t>
      </w:r>
    </w:p>
    <w:p w14:paraId="08289A6A" w14:textId="77777777" w:rsidR="002F6811" w:rsidRPr="008912CF" w:rsidRDefault="002F6811" w:rsidP="002F6811">
      <w:pPr>
        <w:rPr>
          <w:sz w:val="22"/>
          <w:szCs w:val="22"/>
        </w:rPr>
      </w:pPr>
    </w:p>
    <w:p w14:paraId="18B88E94" w14:textId="77777777" w:rsidR="002F6811" w:rsidRPr="008912CF" w:rsidRDefault="00615769" w:rsidP="002F6811">
      <w:pPr>
        <w:rPr>
          <w:sz w:val="22"/>
          <w:szCs w:val="22"/>
        </w:rPr>
      </w:pPr>
      <w:r w:rsidRPr="008912CF">
        <w:rPr>
          <w:sz w:val="22"/>
          <w:szCs w:val="22"/>
        </w:rPr>
        <w:t>Adalimumab modula também as respostas biológicas induzidas ou reguladas pelo TNF, incluindo as alterações dos níveis das moléculas de adesão responsáveis pela migração leucocitária (ELAM-1, VCAM-1 e ICAM-1 com uma CI</w:t>
      </w:r>
      <w:r w:rsidRPr="008912CF">
        <w:rPr>
          <w:sz w:val="22"/>
          <w:szCs w:val="22"/>
          <w:vertAlign w:val="subscript"/>
        </w:rPr>
        <w:t>50</w:t>
      </w:r>
      <w:r w:rsidRPr="008912CF">
        <w:rPr>
          <w:sz w:val="22"/>
          <w:szCs w:val="22"/>
        </w:rPr>
        <w:t xml:space="preserve"> de 0,1</w:t>
      </w:r>
      <w:r w:rsidRPr="008912CF">
        <w:rPr>
          <w:sz w:val="22"/>
          <w:szCs w:val="22"/>
        </w:rPr>
        <w:noBreakHyphen/>
        <w:t>0,2 nM).</w:t>
      </w:r>
    </w:p>
    <w:p w14:paraId="7B4294D6" w14:textId="77777777" w:rsidR="002F6811" w:rsidRPr="008912CF" w:rsidRDefault="002F6811" w:rsidP="002F6811">
      <w:pPr>
        <w:rPr>
          <w:sz w:val="22"/>
          <w:szCs w:val="22"/>
        </w:rPr>
      </w:pPr>
    </w:p>
    <w:p w14:paraId="4454C41D" w14:textId="77777777" w:rsidR="002F6811" w:rsidRPr="008912CF" w:rsidRDefault="00615769" w:rsidP="002F6811">
      <w:pPr>
        <w:autoSpaceDE w:val="0"/>
        <w:autoSpaceDN w:val="0"/>
        <w:adjustRightInd w:val="0"/>
        <w:rPr>
          <w:sz w:val="22"/>
          <w:szCs w:val="22"/>
          <w:u w:val="single"/>
        </w:rPr>
      </w:pPr>
      <w:r w:rsidRPr="008912CF">
        <w:rPr>
          <w:sz w:val="22"/>
          <w:szCs w:val="22"/>
          <w:u w:val="single"/>
        </w:rPr>
        <w:t>Efeitos farmacodinâmicos</w:t>
      </w:r>
    </w:p>
    <w:p w14:paraId="02F45572" w14:textId="77777777" w:rsidR="002F6811" w:rsidRPr="008912CF" w:rsidRDefault="002F6811" w:rsidP="002F6811">
      <w:pPr>
        <w:autoSpaceDE w:val="0"/>
        <w:autoSpaceDN w:val="0"/>
        <w:adjustRightInd w:val="0"/>
        <w:rPr>
          <w:sz w:val="22"/>
          <w:szCs w:val="22"/>
          <w:u w:val="single"/>
        </w:rPr>
      </w:pPr>
    </w:p>
    <w:p w14:paraId="727E9FC6" w14:textId="77777777" w:rsidR="002F6811" w:rsidRPr="008912CF" w:rsidRDefault="00615769" w:rsidP="002F6811">
      <w:pPr>
        <w:rPr>
          <w:sz w:val="22"/>
          <w:szCs w:val="22"/>
        </w:rPr>
      </w:pPr>
      <w:r w:rsidRPr="008912CF">
        <w:rPr>
          <w:sz w:val="22"/>
          <w:szCs w:val="22"/>
        </w:rPr>
        <w:t>Após o tratamento com Humira em doentes com artrite reumatoide observou-se uma rápida descida dos níveis de marcadores de inflamação de fase aguda (proteína C reativa (PCR) e velocidade de sedimentação eritrocitária (VS)) e das cito</w:t>
      </w:r>
      <w:r w:rsidR="005D2ECC">
        <w:rPr>
          <w:sz w:val="22"/>
          <w:szCs w:val="22"/>
        </w:rPr>
        <w:t>c</w:t>
      </w:r>
      <w:r w:rsidRPr="008912CF">
        <w:rPr>
          <w:sz w:val="22"/>
          <w:szCs w:val="22"/>
        </w:rPr>
        <w:t>inas séricas (IL</w:t>
      </w:r>
      <w:r w:rsidRPr="008912CF">
        <w:rPr>
          <w:sz w:val="22"/>
          <w:szCs w:val="22"/>
        </w:rPr>
        <w:noBreakHyphen/>
        <w:t xml:space="preserve">6) relativamente aos valores basais. Na sequência da administração de Humira verificou-se igualmente descida dos níveis séricos das metaloproteinases da matriz (MMP-1 e MMP-3) que produzem remodelação </w:t>
      </w:r>
      <w:r w:rsidR="005D2ECC">
        <w:rPr>
          <w:sz w:val="22"/>
          <w:szCs w:val="22"/>
        </w:rPr>
        <w:t>tecidular</w:t>
      </w:r>
      <w:r w:rsidR="005D2ECC" w:rsidRPr="008912CF">
        <w:rPr>
          <w:sz w:val="22"/>
          <w:szCs w:val="22"/>
        </w:rPr>
        <w:t xml:space="preserve"> </w:t>
      </w:r>
      <w:r w:rsidRPr="008912CF">
        <w:rPr>
          <w:sz w:val="22"/>
          <w:szCs w:val="22"/>
        </w:rPr>
        <w:t>responsável pela destruição da cartilagem. Nos doentes tratados com Humira observa-se geralmente melhoria dos sinais hematológicos de inflamação crónica.</w:t>
      </w:r>
    </w:p>
    <w:p w14:paraId="7EC452F5" w14:textId="77777777" w:rsidR="002F6811" w:rsidRPr="008912CF" w:rsidRDefault="002F6811" w:rsidP="002F6811">
      <w:pPr>
        <w:rPr>
          <w:sz w:val="22"/>
          <w:szCs w:val="22"/>
        </w:rPr>
      </w:pPr>
    </w:p>
    <w:p w14:paraId="4CAF84A7" w14:textId="77777777" w:rsidR="002F6811" w:rsidRPr="008912CF" w:rsidRDefault="00615769" w:rsidP="002F6811">
      <w:pPr>
        <w:rPr>
          <w:sz w:val="22"/>
          <w:szCs w:val="22"/>
        </w:rPr>
      </w:pPr>
      <w:r w:rsidRPr="008912CF">
        <w:rPr>
          <w:sz w:val="22"/>
          <w:szCs w:val="22"/>
        </w:rPr>
        <w:t>Em doentes com artrite idiopática juvenil poliarticular, doença de Crohn, colite ulcerosa e hidradenite supurativa, foi também observada uma diminuição rápida nos níveis de PCR após tratamento com Humira.</w:t>
      </w:r>
      <w:r w:rsidRPr="008912CF">
        <w:rPr>
          <w:rStyle w:val="st1"/>
          <w:rFonts w:ascii="Arial" w:hAnsi="Arial" w:cs="Arial"/>
        </w:rPr>
        <w:t xml:space="preserve"> </w:t>
      </w:r>
      <w:r w:rsidRPr="008912CF">
        <w:rPr>
          <w:sz w:val="22"/>
          <w:szCs w:val="22"/>
        </w:rPr>
        <w:t>Em doentes com doença de Crohn foi observada uma redução do número de células expressando marcadores inflamatórios no cólon</w:t>
      </w:r>
      <w:r w:rsidR="005D2ECC">
        <w:rPr>
          <w:sz w:val="22"/>
          <w:szCs w:val="22"/>
        </w:rPr>
        <w:t>,</w:t>
      </w:r>
      <w:r w:rsidRPr="008912CF">
        <w:rPr>
          <w:sz w:val="22"/>
          <w:szCs w:val="22"/>
        </w:rPr>
        <w:t xml:space="preserve"> incluindo uma redução significativa da expressão de TNFα. Estudos endoscópicos da mucosa intestinal mostraram evidência de cicatrização da mucosa, em doentes tratados com adalimumab.</w:t>
      </w:r>
    </w:p>
    <w:p w14:paraId="0480DA0E" w14:textId="77777777" w:rsidR="002F6811" w:rsidRPr="008912CF" w:rsidRDefault="002F6811" w:rsidP="002F6811">
      <w:pPr>
        <w:rPr>
          <w:sz w:val="22"/>
          <w:szCs w:val="22"/>
        </w:rPr>
      </w:pPr>
    </w:p>
    <w:p w14:paraId="5E3A0754" w14:textId="77777777" w:rsidR="002F6811" w:rsidRPr="008912CF" w:rsidRDefault="00615769" w:rsidP="002F6811">
      <w:pPr>
        <w:rPr>
          <w:sz w:val="22"/>
          <w:szCs w:val="22"/>
          <w:u w:val="single"/>
        </w:rPr>
      </w:pPr>
      <w:r w:rsidRPr="008912CF">
        <w:rPr>
          <w:sz w:val="22"/>
          <w:szCs w:val="22"/>
          <w:u w:val="single"/>
        </w:rPr>
        <w:t>Eficácia e segurança clínicas</w:t>
      </w:r>
    </w:p>
    <w:p w14:paraId="7337FCDA" w14:textId="77777777" w:rsidR="002F6811" w:rsidRPr="008912CF" w:rsidRDefault="002F6811" w:rsidP="002F6811">
      <w:pPr>
        <w:rPr>
          <w:sz w:val="22"/>
          <w:szCs w:val="22"/>
          <w:u w:val="single"/>
        </w:rPr>
      </w:pPr>
    </w:p>
    <w:p w14:paraId="45EC2125" w14:textId="77777777" w:rsidR="002F6811" w:rsidRPr="008912CF" w:rsidRDefault="00615769" w:rsidP="002F6811">
      <w:pPr>
        <w:rPr>
          <w:sz w:val="22"/>
          <w:szCs w:val="22"/>
          <w:u w:val="single"/>
        </w:rPr>
      </w:pPr>
      <w:r w:rsidRPr="008912CF">
        <w:rPr>
          <w:i/>
          <w:sz w:val="22"/>
          <w:szCs w:val="22"/>
        </w:rPr>
        <w:t>Adultos com artrite reumatoide</w:t>
      </w:r>
    </w:p>
    <w:p w14:paraId="0EC05C4A" w14:textId="77777777" w:rsidR="002F6811" w:rsidRPr="008912CF" w:rsidRDefault="002F6811" w:rsidP="002F6811">
      <w:pPr>
        <w:rPr>
          <w:sz w:val="22"/>
          <w:szCs w:val="22"/>
          <w:u w:val="single"/>
        </w:rPr>
      </w:pPr>
    </w:p>
    <w:p w14:paraId="04A1402E" w14:textId="77777777" w:rsidR="002F6811" w:rsidRPr="008912CF" w:rsidRDefault="00615769" w:rsidP="002F6811">
      <w:pPr>
        <w:rPr>
          <w:sz w:val="22"/>
          <w:szCs w:val="22"/>
        </w:rPr>
      </w:pPr>
      <w:r w:rsidRPr="008912CF">
        <w:rPr>
          <w:sz w:val="22"/>
          <w:szCs w:val="22"/>
        </w:rPr>
        <w:t>Humira foi avaliado em mais de 3.000 doentes com artrite reumatoide que participaram em todos os ensaios clínicos. A eficácia e segurança de Humira foram avaliadas em cinco estudos aleat</w:t>
      </w:r>
      <w:r w:rsidR="005D2ECC">
        <w:rPr>
          <w:sz w:val="22"/>
          <w:szCs w:val="22"/>
        </w:rPr>
        <w:t>orizados</w:t>
      </w:r>
      <w:r w:rsidRPr="008912CF">
        <w:rPr>
          <w:sz w:val="22"/>
          <w:szCs w:val="22"/>
        </w:rPr>
        <w:t xml:space="preserve">, com dupla ocultação, bem controlados. Alguns doentes foram tratados durante um período até 120 meses. </w:t>
      </w:r>
    </w:p>
    <w:p w14:paraId="3927C827" w14:textId="77777777" w:rsidR="002F6811" w:rsidRPr="008912CF" w:rsidRDefault="002F6811" w:rsidP="002F6811">
      <w:pPr>
        <w:rPr>
          <w:bCs/>
          <w:sz w:val="22"/>
          <w:szCs w:val="22"/>
        </w:rPr>
      </w:pPr>
    </w:p>
    <w:p w14:paraId="463656C9" w14:textId="77777777" w:rsidR="002F6811" w:rsidRPr="008912CF" w:rsidRDefault="00615769" w:rsidP="002F6811">
      <w:pPr>
        <w:pStyle w:val="BodyTextIndent"/>
        <w:ind w:left="0" w:firstLine="0"/>
        <w:rPr>
          <w:b w:val="0"/>
          <w:bCs/>
          <w:color w:val="auto"/>
          <w:szCs w:val="22"/>
          <w:vertAlign w:val="superscript"/>
        </w:rPr>
      </w:pPr>
      <w:r w:rsidRPr="008912CF">
        <w:rPr>
          <w:b w:val="0"/>
          <w:color w:val="auto"/>
          <w:szCs w:val="22"/>
        </w:rPr>
        <w:t xml:space="preserve">O estudo AR I avaliou 271 doentes com artrite reumatoide ativa moderada a grave, com idade </w:t>
      </w:r>
      <w:r w:rsidRPr="008912CF">
        <w:rPr>
          <w:rFonts w:ascii="Symbol" w:hAnsi="Symbol"/>
          <w:b w:val="0"/>
          <w:color w:val="auto"/>
          <w:szCs w:val="22"/>
        </w:rPr>
        <w:sym w:font="Symbol" w:char="F0B3"/>
      </w:r>
      <w:r w:rsidRPr="008912CF">
        <w:rPr>
          <w:b w:val="0"/>
          <w:color w:val="auto"/>
          <w:szCs w:val="22"/>
        </w:rPr>
        <w:t> 18 anos, em que uma terapêutica com pelo menos um medicamento anti</w:t>
      </w:r>
      <w:r w:rsidR="00F96DDF">
        <w:rPr>
          <w:b w:val="0"/>
          <w:color w:val="auto"/>
          <w:szCs w:val="22"/>
        </w:rPr>
        <w:t>-</w:t>
      </w:r>
      <w:r w:rsidRPr="008912CF">
        <w:rPr>
          <w:b w:val="0"/>
          <w:color w:val="auto"/>
          <w:szCs w:val="22"/>
        </w:rPr>
        <w:t>reumático modificador da doença não foi bem-sucedida, em que a eficácia de metotrexato em doses semanais de 12,5 a 25 mg (10 mg em caso de intolerância a metotrexato) foi insuficiente e em que a dose semanal de metotrexato de 10 a 25 mg permaneceu constante. Foram administradas doses de 20, 40 ou 80 mg de Humira ou placebo em semanas alternadas durante 24 semanas.</w:t>
      </w:r>
    </w:p>
    <w:p w14:paraId="2DAC35F6" w14:textId="77777777" w:rsidR="002F6811" w:rsidRPr="008912CF" w:rsidRDefault="002F6811" w:rsidP="002F6811">
      <w:pPr>
        <w:pStyle w:val="BodyTextIndent"/>
        <w:ind w:left="0" w:firstLine="0"/>
        <w:rPr>
          <w:b w:val="0"/>
          <w:bCs/>
          <w:color w:val="auto"/>
          <w:szCs w:val="22"/>
          <w:vertAlign w:val="superscript"/>
        </w:rPr>
      </w:pPr>
    </w:p>
    <w:p w14:paraId="429EE925" w14:textId="77777777" w:rsidR="002F6811" w:rsidRPr="008912CF" w:rsidRDefault="00615769" w:rsidP="002F6811">
      <w:pPr>
        <w:pStyle w:val="BodyTextIndent"/>
        <w:ind w:left="0" w:firstLine="0"/>
        <w:rPr>
          <w:b w:val="0"/>
          <w:color w:val="auto"/>
          <w:szCs w:val="22"/>
        </w:rPr>
      </w:pPr>
      <w:r w:rsidRPr="008912CF">
        <w:rPr>
          <w:b w:val="0"/>
          <w:color w:val="auto"/>
        </w:rPr>
        <w:t xml:space="preserve">O estudo AR II avaliou 544 doentes com artrite reumatoide ativa moderada a grave com idade </w:t>
      </w:r>
      <w:r w:rsidRPr="008912CF">
        <w:rPr>
          <w:rFonts w:ascii="Symbol" w:hAnsi="Symbol"/>
          <w:b w:val="0"/>
          <w:color w:val="auto"/>
        </w:rPr>
        <w:sym w:font="Symbol" w:char="F0B3"/>
      </w:r>
      <w:r w:rsidRPr="008912CF">
        <w:rPr>
          <w:b w:val="0"/>
          <w:color w:val="auto"/>
        </w:rPr>
        <w:t> 18 anos e em que uma terapêutica com pelo menos um medicamento anti</w:t>
      </w:r>
      <w:r w:rsidR="00F96DDF">
        <w:rPr>
          <w:b w:val="0"/>
          <w:color w:val="auto"/>
        </w:rPr>
        <w:t>-</w:t>
      </w:r>
      <w:r w:rsidRPr="008912CF">
        <w:rPr>
          <w:b w:val="0"/>
          <w:color w:val="auto"/>
        </w:rPr>
        <w:t xml:space="preserve">reumático modificador da doença não foi bem sucedida. Foram administradas doses de 20 ou 40 mg de Humira por injeção subcutânea em semanas alternadas, com placebo em semanas alternadas ou semanalmente durante 26 semanas; o placebo foi administrado todas as semanas durante idêntico período. Não foi </w:t>
      </w:r>
      <w:r w:rsidRPr="008912CF">
        <w:rPr>
          <w:b w:val="0"/>
          <w:color w:val="auto"/>
          <w:szCs w:val="22"/>
        </w:rPr>
        <w:t>permitida a utilização de quaisquer outros medicamentos anti</w:t>
      </w:r>
      <w:r w:rsidR="00F96DDF">
        <w:rPr>
          <w:b w:val="0"/>
          <w:color w:val="auto"/>
          <w:szCs w:val="22"/>
        </w:rPr>
        <w:t>-</w:t>
      </w:r>
      <w:r w:rsidRPr="008912CF">
        <w:rPr>
          <w:b w:val="0"/>
          <w:color w:val="auto"/>
          <w:szCs w:val="22"/>
        </w:rPr>
        <w:t>reumatismais modificadores da doença.</w:t>
      </w:r>
    </w:p>
    <w:p w14:paraId="656314EB" w14:textId="77777777" w:rsidR="002F6811" w:rsidRPr="008912CF" w:rsidRDefault="002F6811" w:rsidP="002F6811">
      <w:pPr>
        <w:pStyle w:val="BodyTextIndent"/>
        <w:ind w:left="0" w:firstLine="0"/>
        <w:rPr>
          <w:b w:val="0"/>
          <w:color w:val="auto"/>
          <w:szCs w:val="22"/>
        </w:rPr>
      </w:pPr>
    </w:p>
    <w:p w14:paraId="25266B77" w14:textId="77777777" w:rsidR="002F6811" w:rsidRPr="008912CF" w:rsidRDefault="00615769" w:rsidP="002F6811">
      <w:pPr>
        <w:pStyle w:val="BodyTextIndent"/>
        <w:ind w:left="0" w:firstLine="0"/>
        <w:rPr>
          <w:b w:val="0"/>
          <w:bCs/>
          <w:color w:val="auto"/>
          <w:szCs w:val="22"/>
          <w:vertAlign w:val="superscript"/>
        </w:rPr>
      </w:pPr>
      <w:r w:rsidRPr="008912CF">
        <w:rPr>
          <w:b w:val="0"/>
          <w:color w:val="auto"/>
          <w:szCs w:val="22"/>
        </w:rPr>
        <w:t xml:space="preserve">O estudo AR III avaliou 619 doentes com artrite reumatoide ativa moderada a grave, com idade </w:t>
      </w:r>
      <w:r w:rsidRPr="008912CF">
        <w:rPr>
          <w:rFonts w:ascii="Symbol" w:hAnsi="Symbol"/>
          <w:b w:val="0"/>
          <w:color w:val="auto"/>
          <w:szCs w:val="22"/>
        </w:rPr>
        <w:sym w:font="Symbol" w:char="F0B3"/>
      </w:r>
      <w:r w:rsidRPr="008912CF">
        <w:rPr>
          <w:b w:val="0"/>
          <w:color w:val="auto"/>
          <w:szCs w:val="22"/>
        </w:rPr>
        <w:t xml:space="preserve"> 18 anos, e que tiveram uma resposta não eficaz a metotrexato nas doses de 12,5 a 25 mg, ou que tinham sido intolerantes a 10 mg de metotrexato administrado semanalmente. Participaram neste estudo três grupos. O primeiro grupo recebeu injeções semanais de placebo durante 52 semanas. O segundo grupo recebeu semanalmente 20 mg de Humira durante 52 semanas. O terceiro grupo recebeu 40 mg de Humira em semanas alternadas com injeções de placebo </w:t>
      </w:r>
      <w:r w:rsidR="005D2ECC">
        <w:rPr>
          <w:b w:val="0"/>
          <w:color w:val="auto"/>
          <w:szCs w:val="22"/>
        </w:rPr>
        <w:t>nas restantes semanas</w:t>
      </w:r>
      <w:r w:rsidRPr="008912CF">
        <w:rPr>
          <w:b w:val="0"/>
          <w:color w:val="auto"/>
          <w:szCs w:val="22"/>
        </w:rPr>
        <w:t>. Após completarem as primeiras 52</w:t>
      </w:r>
      <w:r>
        <w:rPr>
          <w:b w:val="0"/>
          <w:color w:val="auto"/>
          <w:szCs w:val="22"/>
        </w:rPr>
        <w:t> </w:t>
      </w:r>
      <w:r w:rsidRPr="008912CF">
        <w:rPr>
          <w:b w:val="0"/>
          <w:color w:val="auto"/>
          <w:szCs w:val="22"/>
        </w:rPr>
        <w:t>semanas, 45</w:t>
      </w:r>
      <w:r w:rsidRPr="008912CF">
        <w:rPr>
          <w:b w:val="0"/>
          <w:color w:val="auto"/>
          <w:szCs w:val="22"/>
        </w:rPr>
        <w:t>7 doentes foram incluídos numa extensão de fase aberta aos quais foram administrados 40 mg de Humira/MTX em semanas alternadas até 10 anos.</w:t>
      </w:r>
    </w:p>
    <w:p w14:paraId="4DF583E1" w14:textId="77777777" w:rsidR="002F6811" w:rsidRPr="008912CF" w:rsidRDefault="002F6811" w:rsidP="002F6811">
      <w:pPr>
        <w:pStyle w:val="BodyTextIndent"/>
        <w:ind w:left="0" w:firstLine="0"/>
        <w:rPr>
          <w:b w:val="0"/>
          <w:color w:val="auto"/>
          <w:szCs w:val="22"/>
        </w:rPr>
      </w:pPr>
    </w:p>
    <w:p w14:paraId="5ED12BCC" w14:textId="77777777" w:rsidR="002F6811" w:rsidRPr="008912CF" w:rsidRDefault="00615769" w:rsidP="002F6811">
      <w:pPr>
        <w:pStyle w:val="BodyTextIndent"/>
        <w:ind w:left="0" w:firstLine="0"/>
        <w:rPr>
          <w:b w:val="0"/>
          <w:color w:val="auto"/>
          <w:szCs w:val="22"/>
        </w:rPr>
      </w:pPr>
      <w:r w:rsidRPr="008912CF">
        <w:rPr>
          <w:b w:val="0"/>
          <w:color w:val="auto"/>
          <w:szCs w:val="22"/>
        </w:rPr>
        <w:t xml:space="preserve">O estudo AR IV avaliou principalmente a segurança em 636 doentes com artrite reumatoide ativa moderada a grave com idade </w:t>
      </w:r>
      <w:r w:rsidRPr="008912CF">
        <w:rPr>
          <w:rFonts w:ascii="Symbol" w:hAnsi="Symbol"/>
          <w:b w:val="0"/>
          <w:color w:val="auto"/>
          <w:szCs w:val="22"/>
        </w:rPr>
        <w:sym w:font="Symbol" w:char="F0B3"/>
      </w:r>
      <w:r w:rsidRPr="008912CF">
        <w:rPr>
          <w:b w:val="0"/>
          <w:color w:val="auto"/>
          <w:szCs w:val="22"/>
        </w:rPr>
        <w:t> 18 anos. Este estudo permitia a inclusão de doentes sem terapêutica prévia com medicamentos anti</w:t>
      </w:r>
      <w:r w:rsidR="00F96DDF">
        <w:rPr>
          <w:b w:val="0"/>
          <w:color w:val="auto"/>
          <w:szCs w:val="22"/>
        </w:rPr>
        <w:t>-</w:t>
      </w:r>
      <w:r w:rsidRPr="008912CF">
        <w:rPr>
          <w:b w:val="0"/>
          <w:color w:val="auto"/>
          <w:szCs w:val="22"/>
        </w:rPr>
        <w:t>reumatismais modificadores da doença ou que continuaram o tratamento reumatológico pr</w:t>
      </w:r>
      <w:r w:rsidR="003A732E">
        <w:rPr>
          <w:b w:val="0"/>
          <w:color w:val="auto"/>
          <w:szCs w:val="22"/>
        </w:rPr>
        <w:t>é-</w:t>
      </w:r>
      <w:r w:rsidRPr="008912CF">
        <w:rPr>
          <w:b w:val="0"/>
          <w:color w:val="auto"/>
          <w:szCs w:val="22"/>
        </w:rPr>
        <w:t>existente desde que o mesmo se tivesse mantido estável durante um período mínimo de 28 dias. Estes tratamentos incluíram metotrexato, leflunomid</w:t>
      </w:r>
      <w:r w:rsidR="00082F0B">
        <w:rPr>
          <w:b w:val="0"/>
          <w:color w:val="auto"/>
          <w:szCs w:val="22"/>
        </w:rPr>
        <w:t>a</w:t>
      </w:r>
      <w:r w:rsidRPr="008912CF">
        <w:rPr>
          <w:b w:val="0"/>
          <w:color w:val="auto"/>
          <w:szCs w:val="22"/>
        </w:rPr>
        <w:t>, hidroxicloroquina, sulfassalazina e/ou sais de ouro. Os doentes foram aleatorizados para tratamento com 40 mg de Humira ou placebo em semanas alternadas durante 24 semanas.</w:t>
      </w:r>
    </w:p>
    <w:p w14:paraId="198A21E1" w14:textId="77777777" w:rsidR="002F6811" w:rsidRPr="008912CF" w:rsidRDefault="002F6811" w:rsidP="002F6811">
      <w:pPr>
        <w:pStyle w:val="BodyTextIndent"/>
        <w:ind w:left="0" w:firstLine="0"/>
        <w:rPr>
          <w:b w:val="0"/>
          <w:color w:val="auto"/>
          <w:szCs w:val="22"/>
        </w:rPr>
      </w:pPr>
    </w:p>
    <w:p w14:paraId="63427660" w14:textId="77777777" w:rsidR="002F6811" w:rsidRPr="008912CF" w:rsidRDefault="00615769" w:rsidP="002F6811">
      <w:pPr>
        <w:pStyle w:val="BodyTextIndent"/>
        <w:ind w:left="0" w:firstLine="0"/>
        <w:rPr>
          <w:b w:val="0"/>
          <w:color w:val="auto"/>
          <w:szCs w:val="22"/>
        </w:rPr>
      </w:pPr>
      <w:r w:rsidRPr="008912CF">
        <w:rPr>
          <w:b w:val="0"/>
          <w:color w:val="auto"/>
          <w:szCs w:val="22"/>
        </w:rPr>
        <w:t>O estudo AR V avaliou 799 doentes adultos com artrite reumatoide precoce ativa moderada a grave</w:t>
      </w:r>
      <w:r w:rsidR="005D2ECC">
        <w:rPr>
          <w:b w:val="0"/>
          <w:color w:val="auto"/>
          <w:szCs w:val="22"/>
        </w:rPr>
        <w:t>,</w:t>
      </w:r>
      <w:r w:rsidRPr="008912CF">
        <w:rPr>
          <w:b w:val="0"/>
          <w:color w:val="auto"/>
          <w:szCs w:val="22"/>
        </w:rPr>
        <w:t xml:space="preserve"> </w:t>
      </w:r>
      <w:r w:rsidR="005D2ECC" w:rsidRPr="008912CF">
        <w:rPr>
          <w:b w:val="0"/>
          <w:color w:val="auto"/>
          <w:szCs w:val="22"/>
        </w:rPr>
        <w:t xml:space="preserve">não tratados previamente com metotrexato </w:t>
      </w:r>
      <w:r w:rsidRPr="008912CF">
        <w:rPr>
          <w:b w:val="0"/>
          <w:color w:val="auto"/>
          <w:szCs w:val="22"/>
        </w:rPr>
        <w:t>(doença com uma duração média inferior a 9 meses). Este estudo avaliou</w:t>
      </w:r>
      <w:r w:rsidR="005D2ECC">
        <w:rPr>
          <w:b w:val="0"/>
          <w:color w:val="auto"/>
          <w:szCs w:val="22"/>
        </w:rPr>
        <w:t>,</w:t>
      </w:r>
      <w:r w:rsidRPr="008912CF">
        <w:rPr>
          <w:b w:val="0"/>
          <w:color w:val="auto"/>
          <w:szCs w:val="22"/>
        </w:rPr>
        <w:t xml:space="preserve"> em 104 semanas, a eficácia da associação terapêutica Humira 40 mg em semanas alternadas/metotrexato, Humira 40 mg em semanas alternadas em monoterapia e metotrexato em monoterapia na redução de sinais e sintomas e na redução da taxa de progressão da lesão das articulações em doentes com artrite reumatoide.</w:t>
      </w:r>
      <w:r>
        <w:rPr>
          <w:b w:val="0"/>
          <w:color w:val="auto"/>
          <w:szCs w:val="22"/>
        </w:rPr>
        <w:t xml:space="preserve"> </w:t>
      </w:r>
      <w:r w:rsidRPr="00B609FF">
        <w:rPr>
          <w:b w:val="0"/>
          <w:color w:val="auto"/>
          <w:szCs w:val="22"/>
        </w:rPr>
        <w:t>Após a conclusão das primeiras 104</w:t>
      </w:r>
      <w:r>
        <w:rPr>
          <w:b w:val="0"/>
          <w:color w:val="auto"/>
          <w:szCs w:val="22"/>
        </w:rPr>
        <w:t> </w:t>
      </w:r>
      <w:r w:rsidRPr="00B609FF">
        <w:rPr>
          <w:b w:val="0"/>
          <w:color w:val="auto"/>
          <w:szCs w:val="22"/>
        </w:rPr>
        <w:t xml:space="preserve">semanas, 497 </w:t>
      </w:r>
      <w:r>
        <w:rPr>
          <w:b w:val="0"/>
          <w:color w:val="auto"/>
          <w:szCs w:val="22"/>
        </w:rPr>
        <w:t xml:space="preserve">doentes foram incluídos numa </w:t>
      </w:r>
      <w:r w:rsidRPr="00B609FF">
        <w:rPr>
          <w:b w:val="0"/>
          <w:color w:val="auto"/>
          <w:szCs w:val="22"/>
        </w:rPr>
        <w:t xml:space="preserve">extensão </w:t>
      </w:r>
      <w:r>
        <w:rPr>
          <w:b w:val="0"/>
          <w:color w:val="auto"/>
          <w:szCs w:val="22"/>
        </w:rPr>
        <w:t xml:space="preserve">de fase </w:t>
      </w:r>
      <w:r w:rsidRPr="00B609FF">
        <w:rPr>
          <w:b w:val="0"/>
          <w:color w:val="auto"/>
          <w:szCs w:val="22"/>
        </w:rPr>
        <w:t>aberta</w:t>
      </w:r>
      <w:r>
        <w:rPr>
          <w:b w:val="0"/>
          <w:color w:val="auto"/>
          <w:szCs w:val="22"/>
        </w:rPr>
        <w:t xml:space="preserve"> </w:t>
      </w:r>
      <w:r w:rsidRPr="00477A1B">
        <w:rPr>
          <w:b w:val="0"/>
          <w:color w:val="auto"/>
          <w:szCs w:val="22"/>
        </w:rPr>
        <w:t>aos quais foram administrados 40</w:t>
      </w:r>
      <w:r>
        <w:rPr>
          <w:b w:val="0"/>
          <w:color w:val="auto"/>
          <w:szCs w:val="22"/>
        </w:rPr>
        <w:t> </w:t>
      </w:r>
      <w:r w:rsidRPr="00477A1B">
        <w:rPr>
          <w:b w:val="0"/>
          <w:color w:val="auto"/>
          <w:szCs w:val="22"/>
        </w:rPr>
        <w:t>mg de Humira</w:t>
      </w:r>
      <w:r>
        <w:rPr>
          <w:b w:val="0"/>
          <w:color w:val="auto"/>
          <w:szCs w:val="22"/>
        </w:rPr>
        <w:t xml:space="preserve"> </w:t>
      </w:r>
      <w:r w:rsidRPr="00477A1B">
        <w:rPr>
          <w:b w:val="0"/>
          <w:color w:val="auto"/>
          <w:szCs w:val="22"/>
        </w:rPr>
        <w:t>em semanas alternadas até 10 anos</w:t>
      </w:r>
      <w:r>
        <w:rPr>
          <w:b w:val="0"/>
          <w:color w:val="auto"/>
          <w:szCs w:val="22"/>
        </w:rPr>
        <w:t>.</w:t>
      </w:r>
    </w:p>
    <w:p w14:paraId="07C41F37" w14:textId="77777777" w:rsidR="002F6811" w:rsidRPr="008912CF" w:rsidRDefault="002F6811" w:rsidP="002F6811">
      <w:pPr>
        <w:pStyle w:val="BodyTextIndent"/>
        <w:ind w:left="0" w:firstLine="0"/>
        <w:rPr>
          <w:b w:val="0"/>
          <w:color w:val="auto"/>
          <w:szCs w:val="22"/>
        </w:rPr>
      </w:pPr>
    </w:p>
    <w:p w14:paraId="09EE2865" w14:textId="77777777" w:rsidR="002F6811" w:rsidRPr="008912CF" w:rsidRDefault="00615769" w:rsidP="002F6811">
      <w:pPr>
        <w:pStyle w:val="BodyTextIndent"/>
        <w:ind w:left="0" w:firstLine="0"/>
        <w:rPr>
          <w:b w:val="0"/>
          <w:color w:val="auto"/>
          <w:szCs w:val="22"/>
        </w:rPr>
      </w:pPr>
      <w:r w:rsidRPr="008912CF">
        <w:rPr>
          <w:b w:val="0"/>
          <w:color w:val="auto"/>
          <w:szCs w:val="22"/>
        </w:rPr>
        <w:t xml:space="preserve">O </w:t>
      </w:r>
      <w:r w:rsidR="00F96DDF">
        <w:rPr>
          <w:b w:val="0"/>
          <w:color w:val="auto"/>
          <w:szCs w:val="22"/>
        </w:rPr>
        <w:t>objetivo</w:t>
      </w:r>
      <w:r w:rsidRPr="008912CF">
        <w:rPr>
          <w:b w:val="0"/>
          <w:color w:val="auto"/>
          <w:szCs w:val="22"/>
        </w:rPr>
        <w:t xml:space="preserve"> primário dos estudos AR I, II e III e o </w:t>
      </w:r>
      <w:r w:rsidR="00F96DDF">
        <w:rPr>
          <w:b w:val="0"/>
          <w:color w:val="auto"/>
          <w:szCs w:val="22"/>
        </w:rPr>
        <w:t>objetivo</w:t>
      </w:r>
      <w:r w:rsidRPr="008912CF">
        <w:rPr>
          <w:b w:val="0"/>
          <w:color w:val="auto"/>
          <w:szCs w:val="22"/>
        </w:rPr>
        <w:t xml:space="preserve"> secundário do estudo AR IV consistiam na percentagem de doentes que atingia uma resposta ACR 20 na Semana</w:t>
      </w:r>
      <w:r>
        <w:rPr>
          <w:b w:val="0"/>
          <w:color w:val="auto"/>
          <w:szCs w:val="22"/>
        </w:rPr>
        <w:t> </w:t>
      </w:r>
      <w:r w:rsidRPr="008912CF">
        <w:rPr>
          <w:b w:val="0"/>
          <w:color w:val="auto"/>
          <w:szCs w:val="22"/>
        </w:rPr>
        <w:t xml:space="preserve">24 ou 26. O </w:t>
      </w:r>
      <w:r w:rsidR="00F96DDF">
        <w:rPr>
          <w:b w:val="0"/>
          <w:color w:val="auto"/>
          <w:szCs w:val="22"/>
        </w:rPr>
        <w:t>objetivo</w:t>
      </w:r>
      <w:r w:rsidRPr="008912CF">
        <w:rPr>
          <w:b w:val="0"/>
          <w:color w:val="auto"/>
          <w:szCs w:val="22"/>
        </w:rPr>
        <w:t xml:space="preserve"> primário </w:t>
      </w:r>
      <w:r w:rsidR="00974A0A">
        <w:rPr>
          <w:b w:val="0"/>
          <w:color w:val="auto"/>
          <w:szCs w:val="22"/>
        </w:rPr>
        <w:t>d</w:t>
      </w:r>
      <w:r w:rsidRPr="008912CF">
        <w:rPr>
          <w:b w:val="0"/>
          <w:color w:val="auto"/>
          <w:szCs w:val="22"/>
        </w:rPr>
        <w:t xml:space="preserve">o </w:t>
      </w:r>
      <w:r w:rsidR="00974A0A">
        <w:rPr>
          <w:b w:val="0"/>
          <w:color w:val="auto"/>
          <w:szCs w:val="22"/>
        </w:rPr>
        <w:t>e</w:t>
      </w:r>
      <w:r w:rsidRPr="008912CF">
        <w:rPr>
          <w:b w:val="0"/>
          <w:color w:val="auto"/>
          <w:szCs w:val="22"/>
        </w:rPr>
        <w:t>studo AR V consistiu na percentagem de doentes que atingia uma resposta ACR 50 na Semana</w:t>
      </w:r>
      <w:r>
        <w:rPr>
          <w:b w:val="0"/>
          <w:color w:val="auto"/>
          <w:szCs w:val="22"/>
        </w:rPr>
        <w:t> </w:t>
      </w:r>
      <w:r w:rsidRPr="008912CF">
        <w:rPr>
          <w:b w:val="0"/>
          <w:color w:val="auto"/>
          <w:szCs w:val="22"/>
        </w:rPr>
        <w:t xml:space="preserve">52. Os estudos AR III e V tinham </w:t>
      </w:r>
      <w:r w:rsidR="00974A0A">
        <w:rPr>
          <w:b w:val="0"/>
          <w:color w:val="auto"/>
          <w:szCs w:val="22"/>
        </w:rPr>
        <w:t xml:space="preserve">um </w:t>
      </w:r>
      <w:r w:rsidR="00F96DDF">
        <w:rPr>
          <w:b w:val="0"/>
          <w:color w:val="auto"/>
          <w:szCs w:val="22"/>
        </w:rPr>
        <w:t>objetivo</w:t>
      </w:r>
      <w:r w:rsidRPr="008912CF">
        <w:rPr>
          <w:b w:val="0"/>
          <w:color w:val="auto"/>
          <w:szCs w:val="22"/>
        </w:rPr>
        <w:t xml:space="preserve"> primári</w:t>
      </w:r>
      <w:r w:rsidR="00F96DDF">
        <w:rPr>
          <w:b w:val="0"/>
          <w:color w:val="auto"/>
          <w:szCs w:val="22"/>
        </w:rPr>
        <w:t>o</w:t>
      </w:r>
      <w:r w:rsidRPr="008912CF">
        <w:rPr>
          <w:b w:val="0"/>
          <w:color w:val="auto"/>
          <w:szCs w:val="22"/>
        </w:rPr>
        <w:t xml:space="preserve"> adiciona</w:t>
      </w:r>
      <w:r w:rsidR="00974A0A">
        <w:rPr>
          <w:b w:val="0"/>
          <w:color w:val="auto"/>
          <w:szCs w:val="22"/>
        </w:rPr>
        <w:t>l</w:t>
      </w:r>
      <w:r w:rsidRPr="008912CF">
        <w:rPr>
          <w:b w:val="0"/>
          <w:color w:val="auto"/>
          <w:szCs w:val="22"/>
        </w:rPr>
        <w:t xml:space="preserve"> na </w:t>
      </w:r>
      <w:r w:rsidR="005D2ECC">
        <w:rPr>
          <w:b w:val="0"/>
          <w:color w:val="auto"/>
          <w:szCs w:val="22"/>
        </w:rPr>
        <w:t>S</w:t>
      </w:r>
      <w:r w:rsidRPr="008912CF">
        <w:rPr>
          <w:b w:val="0"/>
          <w:color w:val="auto"/>
          <w:szCs w:val="22"/>
        </w:rPr>
        <w:t xml:space="preserve">emana 52, nomeadamente atraso na progressão da doença (avaliado por radiografia). O estudo AR III tinha também um </w:t>
      </w:r>
      <w:r w:rsidR="00F96DDF">
        <w:rPr>
          <w:b w:val="0"/>
          <w:color w:val="auto"/>
          <w:szCs w:val="22"/>
        </w:rPr>
        <w:t>objetivo</w:t>
      </w:r>
      <w:r w:rsidRPr="008912CF">
        <w:rPr>
          <w:b w:val="0"/>
          <w:color w:val="auto"/>
          <w:szCs w:val="22"/>
        </w:rPr>
        <w:t xml:space="preserve"> de alterações na qualidade de vida.</w:t>
      </w:r>
    </w:p>
    <w:p w14:paraId="10907300" w14:textId="77777777" w:rsidR="002F6811" w:rsidRPr="008912CF" w:rsidRDefault="002F6811" w:rsidP="002F6811">
      <w:pPr>
        <w:pStyle w:val="BodyTextIndent"/>
        <w:ind w:left="0" w:firstLine="0"/>
        <w:rPr>
          <w:b w:val="0"/>
          <w:color w:val="auto"/>
          <w:szCs w:val="22"/>
        </w:rPr>
      </w:pPr>
    </w:p>
    <w:p w14:paraId="10988558" w14:textId="77777777" w:rsidR="002F6811" w:rsidRPr="008912CF" w:rsidRDefault="00615769" w:rsidP="002F6811">
      <w:pPr>
        <w:pStyle w:val="Heading7"/>
        <w:keepNext w:val="0"/>
        <w:spacing w:line="240" w:lineRule="auto"/>
        <w:jc w:val="left"/>
        <w:rPr>
          <w:i w:val="0"/>
          <w:szCs w:val="22"/>
          <w:u w:val="single"/>
        </w:rPr>
      </w:pPr>
      <w:r w:rsidRPr="008912CF">
        <w:rPr>
          <w:szCs w:val="22"/>
          <w:u w:val="single"/>
        </w:rPr>
        <w:t>Resposta ACR</w:t>
      </w:r>
      <w:r w:rsidRPr="008912CF">
        <w:rPr>
          <w:i w:val="0"/>
          <w:szCs w:val="22"/>
          <w:u w:val="single"/>
        </w:rPr>
        <w:t xml:space="preserve"> </w:t>
      </w:r>
    </w:p>
    <w:p w14:paraId="4640393D" w14:textId="77777777" w:rsidR="002F6811" w:rsidRPr="008912CF" w:rsidRDefault="002F6811" w:rsidP="002F6811">
      <w:pPr>
        <w:rPr>
          <w:sz w:val="22"/>
          <w:szCs w:val="22"/>
        </w:rPr>
      </w:pPr>
    </w:p>
    <w:p w14:paraId="28E0C2D0" w14:textId="77777777" w:rsidR="002F6811" w:rsidRPr="008912CF" w:rsidRDefault="00615769" w:rsidP="002F6811">
      <w:pPr>
        <w:pStyle w:val="BodyTextIndent"/>
        <w:ind w:left="0" w:firstLine="0"/>
        <w:rPr>
          <w:b w:val="0"/>
          <w:color w:val="auto"/>
          <w:szCs w:val="22"/>
        </w:rPr>
      </w:pPr>
      <w:r w:rsidRPr="008912CF">
        <w:rPr>
          <w:b w:val="0"/>
          <w:color w:val="auto"/>
          <w:szCs w:val="22"/>
        </w:rPr>
        <w:t xml:space="preserve">A percentagem de doentes tratados com Humira que atingiram respostas ACR 20, 50 e 70 foi consistente em todos os estudos AR I, II e III. Na Tabela </w:t>
      </w:r>
      <w:r w:rsidR="00FD11AF">
        <w:rPr>
          <w:b w:val="0"/>
          <w:color w:val="auto"/>
          <w:szCs w:val="22"/>
        </w:rPr>
        <w:t>7</w:t>
      </w:r>
      <w:r w:rsidRPr="008912CF">
        <w:rPr>
          <w:b w:val="0"/>
          <w:color w:val="auto"/>
          <w:szCs w:val="22"/>
        </w:rPr>
        <w:t>, apresenta-se um resumo dos resultados obtidos com a dose de 40 mg administrada em semanas alternadas.</w:t>
      </w:r>
    </w:p>
    <w:p w14:paraId="519E5D62" w14:textId="77777777" w:rsidR="002F6811" w:rsidRPr="008912CF" w:rsidRDefault="002F6811" w:rsidP="002F6811">
      <w:pPr>
        <w:pStyle w:val="BodyTextIndent"/>
        <w:keepNext/>
        <w:ind w:left="0" w:firstLine="0"/>
        <w:rPr>
          <w:b w:val="0"/>
          <w:color w:val="auto"/>
          <w:szCs w:val="22"/>
        </w:rPr>
      </w:pPr>
    </w:p>
    <w:tbl>
      <w:tblPr>
        <w:tblW w:w="9124" w:type="dxa"/>
        <w:tblInd w:w="98" w:type="dxa"/>
        <w:tblLayout w:type="fixed"/>
        <w:tblCellMar>
          <w:left w:w="0" w:type="dxa"/>
          <w:right w:w="0" w:type="dxa"/>
        </w:tblCellMar>
        <w:tblLook w:val="0000" w:firstRow="0" w:lastRow="0" w:firstColumn="0" w:lastColumn="0" w:noHBand="0" w:noVBand="0"/>
      </w:tblPr>
      <w:tblGrid>
        <w:gridCol w:w="1069"/>
        <w:gridCol w:w="1393"/>
        <w:gridCol w:w="1417"/>
        <w:gridCol w:w="1071"/>
        <w:gridCol w:w="1197"/>
        <w:gridCol w:w="1418"/>
        <w:gridCol w:w="1559"/>
      </w:tblGrid>
      <w:tr w:rsidR="00A7162A" w14:paraId="2C54A394" w14:textId="77777777" w:rsidTr="002F6811">
        <w:tc>
          <w:tcPr>
            <w:tcW w:w="9124" w:type="dxa"/>
            <w:gridSpan w:val="7"/>
          </w:tcPr>
          <w:p w14:paraId="43715ECE" w14:textId="77777777" w:rsidR="002F6811" w:rsidRPr="008912CF" w:rsidRDefault="00615769" w:rsidP="002F6811">
            <w:pPr>
              <w:pStyle w:val="Corpodetexto1"/>
              <w:keepNext/>
              <w:tabs>
                <w:tab w:val="clear" w:pos="1152"/>
                <w:tab w:val="clear" w:pos="1872"/>
              </w:tabs>
              <w:spacing w:after="0" w:line="240" w:lineRule="auto"/>
              <w:ind w:left="0"/>
              <w:jc w:val="center"/>
              <w:rPr>
                <w:b/>
                <w:sz w:val="22"/>
                <w:szCs w:val="22"/>
                <w:lang w:val="pt-PT"/>
              </w:rPr>
            </w:pPr>
            <w:r w:rsidRPr="008912CF">
              <w:rPr>
                <w:b/>
                <w:lang w:val="pt-PT"/>
              </w:rPr>
              <w:br w:type="page"/>
            </w:r>
            <w:r w:rsidR="008E77F4">
              <w:rPr>
                <w:b/>
                <w:sz w:val="22"/>
                <w:szCs w:val="22"/>
                <w:lang w:val="pt-PT"/>
              </w:rPr>
              <w:t xml:space="preserve">Tabela </w:t>
            </w:r>
            <w:r w:rsidR="00116EA1">
              <w:rPr>
                <w:b/>
                <w:sz w:val="22"/>
                <w:szCs w:val="22"/>
                <w:lang w:val="pt-PT"/>
              </w:rPr>
              <w:t>7</w:t>
            </w:r>
          </w:p>
          <w:p w14:paraId="6F4ED562" w14:textId="77777777" w:rsidR="002F6811" w:rsidRPr="008912CF" w:rsidRDefault="00615769" w:rsidP="002F6811">
            <w:pPr>
              <w:pStyle w:val="Corpodetexto1"/>
              <w:keepNext/>
              <w:tabs>
                <w:tab w:val="clear" w:pos="1152"/>
                <w:tab w:val="clear" w:pos="1872"/>
              </w:tabs>
              <w:spacing w:after="0" w:line="240" w:lineRule="auto"/>
              <w:ind w:left="0"/>
              <w:jc w:val="center"/>
              <w:rPr>
                <w:b/>
                <w:sz w:val="22"/>
                <w:szCs w:val="22"/>
                <w:lang w:val="pt-PT"/>
              </w:rPr>
            </w:pPr>
            <w:r w:rsidRPr="008912CF">
              <w:rPr>
                <w:b/>
                <w:sz w:val="22"/>
                <w:szCs w:val="22"/>
                <w:lang w:val="pt-PT"/>
              </w:rPr>
              <w:t>Respostas ACR nos Ensaios Controlados com Placebo</w:t>
            </w:r>
          </w:p>
          <w:p w14:paraId="3E5CF48E" w14:textId="77777777" w:rsidR="002F6811" w:rsidRPr="008912CF" w:rsidRDefault="00615769" w:rsidP="002F6811">
            <w:pPr>
              <w:pStyle w:val="Corpodetexto1"/>
              <w:keepNext/>
              <w:tabs>
                <w:tab w:val="clear" w:pos="1152"/>
                <w:tab w:val="clear" w:pos="1872"/>
              </w:tabs>
              <w:spacing w:after="0" w:line="240" w:lineRule="auto"/>
              <w:ind w:left="0"/>
              <w:jc w:val="center"/>
              <w:rPr>
                <w:b/>
                <w:sz w:val="22"/>
                <w:szCs w:val="22"/>
                <w:lang w:val="pt-PT"/>
              </w:rPr>
            </w:pPr>
            <w:r w:rsidRPr="008912CF">
              <w:rPr>
                <w:b/>
                <w:sz w:val="22"/>
                <w:szCs w:val="22"/>
                <w:lang w:val="pt-PT"/>
              </w:rPr>
              <w:t>(Percentagem de Doentes)</w:t>
            </w:r>
          </w:p>
          <w:p w14:paraId="0F1ED16B" w14:textId="77777777" w:rsidR="002F6811" w:rsidRPr="008912CF" w:rsidRDefault="002F6811" w:rsidP="002F6811">
            <w:pPr>
              <w:pStyle w:val="Corpodetexto1"/>
              <w:keepNext/>
              <w:tabs>
                <w:tab w:val="clear" w:pos="1152"/>
                <w:tab w:val="clear" w:pos="1872"/>
              </w:tabs>
              <w:spacing w:after="0" w:line="240" w:lineRule="auto"/>
              <w:ind w:left="0"/>
              <w:jc w:val="center"/>
              <w:rPr>
                <w:b/>
                <w:sz w:val="22"/>
                <w:szCs w:val="22"/>
                <w:lang w:val="pt-PT"/>
              </w:rPr>
            </w:pPr>
          </w:p>
        </w:tc>
      </w:tr>
      <w:tr w:rsidR="00A7162A" w14:paraId="2BAF160C" w14:textId="77777777" w:rsidTr="002F6811">
        <w:trPr>
          <w:cantSplit/>
        </w:trPr>
        <w:tc>
          <w:tcPr>
            <w:tcW w:w="1069" w:type="dxa"/>
            <w:tcBorders>
              <w:top w:val="single" w:sz="6" w:space="0" w:color="auto"/>
              <w:right w:val="single" w:sz="6" w:space="0" w:color="auto"/>
            </w:tcBorders>
          </w:tcPr>
          <w:p w14:paraId="461436F6" w14:textId="77777777" w:rsidR="002F6811" w:rsidRPr="008912CF" w:rsidRDefault="00615769" w:rsidP="002F6811">
            <w:pPr>
              <w:pStyle w:val="In-texttable"/>
              <w:spacing w:line="240" w:lineRule="auto"/>
              <w:rPr>
                <w:rFonts w:ascii="Times New Roman" w:hAnsi="Times New Roman"/>
                <w:sz w:val="22"/>
                <w:szCs w:val="22"/>
                <w:lang w:val="pt-PT"/>
              </w:rPr>
            </w:pPr>
            <w:r w:rsidRPr="008912CF">
              <w:rPr>
                <w:rFonts w:ascii="Times New Roman" w:hAnsi="Times New Roman"/>
                <w:sz w:val="22"/>
                <w:szCs w:val="22"/>
                <w:lang w:val="pt-PT"/>
              </w:rPr>
              <w:t xml:space="preserve">Resposta </w:t>
            </w:r>
          </w:p>
        </w:tc>
        <w:tc>
          <w:tcPr>
            <w:tcW w:w="2810" w:type="dxa"/>
            <w:gridSpan w:val="2"/>
            <w:tcBorders>
              <w:top w:val="single" w:sz="6" w:space="0" w:color="auto"/>
              <w:left w:val="single" w:sz="6" w:space="0" w:color="auto"/>
              <w:bottom w:val="single" w:sz="6" w:space="0" w:color="auto"/>
              <w:right w:val="single" w:sz="6" w:space="0" w:color="auto"/>
            </w:tcBorders>
          </w:tcPr>
          <w:p w14:paraId="108D5F2D" w14:textId="77777777" w:rsidR="002F6811" w:rsidRPr="008912CF" w:rsidRDefault="00615769" w:rsidP="002F6811">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Estudo AR I</w:t>
            </w:r>
            <w:r w:rsidRPr="008912CF">
              <w:rPr>
                <w:rFonts w:ascii="Times New Roman" w:hAnsi="Times New Roman"/>
                <w:sz w:val="22"/>
                <w:szCs w:val="22"/>
                <w:vertAlign w:val="superscript"/>
                <w:lang w:val="pt-PT"/>
              </w:rPr>
              <w:t>a</w:t>
            </w:r>
            <w:r w:rsidRPr="008912CF">
              <w:rPr>
                <w:rFonts w:ascii="Times New Roman" w:hAnsi="Times New Roman"/>
                <w:sz w:val="22"/>
                <w:szCs w:val="22"/>
                <w:lang w:val="pt-PT"/>
              </w:rPr>
              <w:t>**</w:t>
            </w:r>
          </w:p>
        </w:tc>
        <w:tc>
          <w:tcPr>
            <w:tcW w:w="2268" w:type="dxa"/>
            <w:gridSpan w:val="2"/>
            <w:tcBorders>
              <w:top w:val="single" w:sz="6" w:space="0" w:color="auto"/>
              <w:left w:val="single" w:sz="6" w:space="0" w:color="auto"/>
              <w:bottom w:val="single" w:sz="6" w:space="0" w:color="auto"/>
              <w:right w:val="single" w:sz="6" w:space="0" w:color="auto"/>
            </w:tcBorders>
          </w:tcPr>
          <w:p w14:paraId="1A88F2BA" w14:textId="77777777" w:rsidR="002F6811" w:rsidRPr="008912CF" w:rsidRDefault="00615769" w:rsidP="002F6811">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Estudo AR II</w:t>
            </w:r>
            <w:r w:rsidRPr="008912CF">
              <w:rPr>
                <w:rFonts w:ascii="Times New Roman" w:hAnsi="Times New Roman"/>
                <w:sz w:val="22"/>
                <w:szCs w:val="22"/>
                <w:vertAlign w:val="superscript"/>
                <w:lang w:val="pt-PT"/>
              </w:rPr>
              <w:t>a</w:t>
            </w:r>
            <w:r w:rsidRPr="008912CF">
              <w:rPr>
                <w:rFonts w:ascii="Times New Roman" w:hAnsi="Times New Roman"/>
                <w:sz w:val="22"/>
                <w:szCs w:val="22"/>
                <w:lang w:val="pt-PT"/>
              </w:rPr>
              <w:t>**</w:t>
            </w:r>
          </w:p>
        </w:tc>
        <w:tc>
          <w:tcPr>
            <w:tcW w:w="2977" w:type="dxa"/>
            <w:gridSpan w:val="2"/>
            <w:tcBorders>
              <w:top w:val="single" w:sz="6" w:space="0" w:color="auto"/>
              <w:left w:val="single" w:sz="6" w:space="0" w:color="auto"/>
              <w:bottom w:val="single" w:sz="6" w:space="0" w:color="auto"/>
            </w:tcBorders>
          </w:tcPr>
          <w:p w14:paraId="12D497F3" w14:textId="77777777" w:rsidR="002F6811" w:rsidRPr="008912CF" w:rsidRDefault="00615769" w:rsidP="002F6811">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Estudo AR III</w:t>
            </w:r>
            <w:r w:rsidRPr="008912CF">
              <w:rPr>
                <w:rFonts w:ascii="Times New Roman" w:hAnsi="Times New Roman"/>
                <w:sz w:val="22"/>
                <w:szCs w:val="22"/>
                <w:vertAlign w:val="superscript"/>
                <w:lang w:val="pt-PT"/>
              </w:rPr>
              <w:t>a</w:t>
            </w:r>
            <w:r w:rsidRPr="008912CF">
              <w:rPr>
                <w:rFonts w:ascii="Times New Roman" w:hAnsi="Times New Roman"/>
                <w:sz w:val="22"/>
                <w:szCs w:val="22"/>
                <w:lang w:val="pt-PT"/>
              </w:rPr>
              <w:t>**</w:t>
            </w:r>
          </w:p>
          <w:p w14:paraId="00D5F89B" w14:textId="77777777" w:rsidR="002F6811" w:rsidRPr="008912CF" w:rsidRDefault="002F6811" w:rsidP="002F6811">
            <w:pPr>
              <w:pStyle w:val="In-texttable"/>
              <w:spacing w:line="240" w:lineRule="auto"/>
              <w:jc w:val="center"/>
              <w:rPr>
                <w:rFonts w:ascii="Times New Roman" w:hAnsi="Times New Roman"/>
                <w:sz w:val="22"/>
                <w:szCs w:val="22"/>
                <w:lang w:val="pt-PT"/>
              </w:rPr>
            </w:pPr>
          </w:p>
        </w:tc>
      </w:tr>
      <w:tr w:rsidR="00A7162A" w14:paraId="1D23E751" w14:textId="77777777" w:rsidTr="002F6811">
        <w:trPr>
          <w:cantSplit/>
        </w:trPr>
        <w:tc>
          <w:tcPr>
            <w:tcW w:w="1069" w:type="dxa"/>
            <w:tcBorders>
              <w:bottom w:val="single" w:sz="6" w:space="0" w:color="auto"/>
              <w:right w:val="single" w:sz="6" w:space="0" w:color="auto"/>
            </w:tcBorders>
          </w:tcPr>
          <w:p w14:paraId="76ED85A0" w14:textId="77777777" w:rsidR="002F6811" w:rsidRPr="008912CF" w:rsidRDefault="002F6811" w:rsidP="002F6811">
            <w:pPr>
              <w:pStyle w:val="In-texttable"/>
              <w:spacing w:line="240" w:lineRule="auto"/>
              <w:rPr>
                <w:rFonts w:ascii="Times New Roman" w:hAnsi="Times New Roman"/>
                <w:sz w:val="22"/>
                <w:szCs w:val="22"/>
                <w:lang w:val="pt-PT"/>
              </w:rPr>
            </w:pPr>
          </w:p>
        </w:tc>
        <w:tc>
          <w:tcPr>
            <w:tcW w:w="1393" w:type="dxa"/>
            <w:tcBorders>
              <w:top w:val="single" w:sz="6" w:space="0" w:color="auto"/>
              <w:left w:val="single" w:sz="6" w:space="0" w:color="auto"/>
              <w:bottom w:val="single" w:sz="6" w:space="0" w:color="auto"/>
            </w:tcBorders>
          </w:tcPr>
          <w:p w14:paraId="112C4A78" w14:textId="77777777" w:rsidR="002F6811" w:rsidRPr="008912CF" w:rsidRDefault="00615769" w:rsidP="002F6811">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Placebo/MTX</w:t>
            </w:r>
            <w:r w:rsidRPr="008912CF">
              <w:rPr>
                <w:rFonts w:ascii="Times New Roman" w:hAnsi="Times New Roman"/>
                <w:sz w:val="22"/>
                <w:szCs w:val="22"/>
                <w:vertAlign w:val="superscript"/>
                <w:lang w:val="pt-PT"/>
              </w:rPr>
              <w:t>c</w:t>
            </w:r>
          </w:p>
          <w:p w14:paraId="6B3198B6" w14:textId="77777777" w:rsidR="002F6811" w:rsidRPr="008912CF" w:rsidRDefault="00615769" w:rsidP="002F6811">
            <w:pPr>
              <w:pStyle w:val="In-texttable"/>
              <w:spacing w:line="240" w:lineRule="auto"/>
              <w:jc w:val="center"/>
              <w:rPr>
                <w:rFonts w:ascii="Times New Roman" w:hAnsi="Times New Roman"/>
                <w:sz w:val="22"/>
                <w:szCs w:val="22"/>
                <w:lang w:val="pt-PT"/>
              </w:rPr>
            </w:pPr>
            <w:r>
              <w:rPr>
                <w:rFonts w:ascii="Times New Roman" w:hAnsi="Times New Roman"/>
                <w:sz w:val="22"/>
                <w:szCs w:val="22"/>
                <w:lang w:val="pt-PT"/>
              </w:rPr>
              <w:t>n</w:t>
            </w:r>
            <w:r w:rsidRPr="008912CF">
              <w:rPr>
                <w:rFonts w:ascii="Times New Roman" w:hAnsi="Times New Roman"/>
                <w:sz w:val="22"/>
                <w:szCs w:val="22"/>
                <w:lang w:val="pt-PT"/>
              </w:rPr>
              <w:t> = 60</w:t>
            </w:r>
          </w:p>
        </w:tc>
        <w:tc>
          <w:tcPr>
            <w:tcW w:w="1417" w:type="dxa"/>
            <w:tcBorders>
              <w:top w:val="single" w:sz="6" w:space="0" w:color="auto"/>
              <w:bottom w:val="single" w:sz="6" w:space="0" w:color="auto"/>
              <w:right w:val="single" w:sz="6" w:space="0" w:color="auto"/>
            </w:tcBorders>
          </w:tcPr>
          <w:p w14:paraId="68BC6404" w14:textId="77777777" w:rsidR="002F6811" w:rsidRPr="008912CF" w:rsidRDefault="00615769" w:rsidP="002F6811">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Humira</w:t>
            </w:r>
            <w:r w:rsidRPr="008912CF">
              <w:rPr>
                <w:rFonts w:ascii="Times New Roman" w:hAnsi="Times New Roman"/>
                <w:sz w:val="22"/>
                <w:szCs w:val="22"/>
                <w:vertAlign w:val="superscript"/>
                <w:lang w:val="pt-PT"/>
              </w:rPr>
              <w:t>b</w:t>
            </w:r>
            <w:r w:rsidRPr="008912CF">
              <w:rPr>
                <w:rFonts w:ascii="Times New Roman" w:hAnsi="Times New Roman"/>
                <w:sz w:val="22"/>
                <w:szCs w:val="22"/>
                <w:lang w:val="pt-PT"/>
              </w:rPr>
              <w:t>/MTX</w:t>
            </w:r>
            <w:r w:rsidRPr="008912CF">
              <w:rPr>
                <w:rFonts w:ascii="Times New Roman" w:hAnsi="Times New Roman"/>
                <w:sz w:val="22"/>
                <w:szCs w:val="22"/>
                <w:vertAlign w:val="superscript"/>
                <w:lang w:val="pt-PT"/>
              </w:rPr>
              <w:t>c</w:t>
            </w:r>
          </w:p>
          <w:p w14:paraId="1E55EEDB" w14:textId="77777777" w:rsidR="002F6811" w:rsidRPr="008912CF" w:rsidRDefault="00615769" w:rsidP="002F6811">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 = 63</w:t>
            </w:r>
          </w:p>
        </w:tc>
        <w:tc>
          <w:tcPr>
            <w:tcW w:w="1071" w:type="dxa"/>
            <w:tcBorders>
              <w:top w:val="single" w:sz="6" w:space="0" w:color="auto"/>
              <w:left w:val="single" w:sz="6" w:space="0" w:color="auto"/>
              <w:bottom w:val="single" w:sz="6" w:space="0" w:color="auto"/>
            </w:tcBorders>
          </w:tcPr>
          <w:p w14:paraId="61B915A2" w14:textId="77777777" w:rsidR="002F6811" w:rsidRPr="008912CF" w:rsidRDefault="00615769" w:rsidP="002F6811">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Placebo</w:t>
            </w:r>
          </w:p>
          <w:p w14:paraId="147FCC09" w14:textId="77777777" w:rsidR="002F6811" w:rsidRPr="008912CF" w:rsidRDefault="00615769" w:rsidP="002F6811">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 = 110</w:t>
            </w:r>
          </w:p>
        </w:tc>
        <w:tc>
          <w:tcPr>
            <w:tcW w:w="1197" w:type="dxa"/>
            <w:tcBorders>
              <w:top w:val="single" w:sz="6" w:space="0" w:color="auto"/>
              <w:bottom w:val="single" w:sz="6" w:space="0" w:color="auto"/>
              <w:right w:val="single" w:sz="6" w:space="0" w:color="auto"/>
            </w:tcBorders>
          </w:tcPr>
          <w:p w14:paraId="05C32321" w14:textId="77777777" w:rsidR="002F6811" w:rsidRPr="008912CF" w:rsidRDefault="00615769" w:rsidP="002F6811">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Humira</w:t>
            </w:r>
            <w:r w:rsidRPr="008912CF">
              <w:rPr>
                <w:rFonts w:ascii="Times New Roman" w:hAnsi="Times New Roman"/>
                <w:sz w:val="22"/>
                <w:szCs w:val="22"/>
                <w:vertAlign w:val="superscript"/>
                <w:lang w:val="pt-PT"/>
              </w:rPr>
              <w:t>b</w:t>
            </w:r>
          </w:p>
          <w:p w14:paraId="2A2762C2" w14:textId="77777777" w:rsidR="002F6811" w:rsidRPr="008912CF" w:rsidRDefault="00615769" w:rsidP="002F6811">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 = 113</w:t>
            </w:r>
          </w:p>
        </w:tc>
        <w:tc>
          <w:tcPr>
            <w:tcW w:w="1418" w:type="dxa"/>
            <w:tcBorders>
              <w:top w:val="single" w:sz="6" w:space="0" w:color="auto"/>
              <w:left w:val="single" w:sz="6" w:space="0" w:color="auto"/>
              <w:bottom w:val="single" w:sz="6" w:space="0" w:color="auto"/>
            </w:tcBorders>
          </w:tcPr>
          <w:p w14:paraId="4404880A" w14:textId="77777777" w:rsidR="002F6811" w:rsidRPr="008912CF" w:rsidRDefault="00615769" w:rsidP="002F6811">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Placebo/MTX</w:t>
            </w:r>
            <w:r w:rsidRPr="008912CF">
              <w:rPr>
                <w:rFonts w:ascii="Times New Roman" w:hAnsi="Times New Roman"/>
                <w:sz w:val="22"/>
                <w:szCs w:val="22"/>
                <w:vertAlign w:val="superscript"/>
                <w:lang w:val="pt-PT"/>
              </w:rPr>
              <w:t>c</w:t>
            </w:r>
          </w:p>
          <w:p w14:paraId="7CE3C01F" w14:textId="77777777" w:rsidR="002F6811" w:rsidRPr="008912CF" w:rsidRDefault="00615769" w:rsidP="002F6811">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 = 200</w:t>
            </w:r>
          </w:p>
        </w:tc>
        <w:tc>
          <w:tcPr>
            <w:tcW w:w="1559" w:type="dxa"/>
            <w:tcBorders>
              <w:top w:val="single" w:sz="6" w:space="0" w:color="auto"/>
              <w:bottom w:val="single" w:sz="6" w:space="0" w:color="auto"/>
            </w:tcBorders>
          </w:tcPr>
          <w:p w14:paraId="484E52F5" w14:textId="77777777" w:rsidR="002F6811" w:rsidRPr="008912CF" w:rsidRDefault="00615769" w:rsidP="002F6811">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Humira</w:t>
            </w:r>
            <w:r w:rsidRPr="008912CF">
              <w:rPr>
                <w:rFonts w:ascii="Times New Roman" w:hAnsi="Times New Roman"/>
                <w:sz w:val="22"/>
                <w:szCs w:val="22"/>
                <w:vertAlign w:val="superscript"/>
                <w:lang w:val="pt-PT"/>
              </w:rPr>
              <w:t>b</w:t>
            </w:r>
            <w:r w:rsidRPr="008912CF">
              <w:rPr>
                <w:rFonts w:ascii="Times New Roman" w:hAnsi="Times New Roman"/>
                <w:sz w:val="22"/>
                <w:szCs w:val="22"/>
                <w:lang w:val="pt-PT"/>
              </w:rPr>
              <w:t>/MTX</w:t>
            </w:r>
            <w:r w:rsidRPr="008912CF">
              <w:rPr>
                <w:rFonts w:ascii="Times New Roman" w:hAnsi="Times New Roman"/>
                <w:sz w:val="22"/>
                <w:szCs w:val="22"/>
                <w:vertAlign w:val="superscript"/>
                <w:lang w:val="pt-PT"/>
              </w:rPr>
              <w:t>c</w:t>
            </w:r>
          </w:p>
          <w:p w14:paraId="7FD157D8" w14:textId="77777777" w:rsidR="002F6811" w:rsidRPr="008912CF" w:rsidRDefault="00615769" w:rsidP="002F6811">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 = 207</w:t>
            </w:r>
          </w:p>
        </w:tc>
      </w:tr>
      <w:tr w:rsidR="00A7162A" w14:paraId="025756FA" w14:textId="77777777" w:rsidTr="002F6811">
        <w:trPr>
          <w:cantSplit/>
        </w:trPr>
        <w:tc>
          <w:tcPr>
            <w:tcW w:w="1069" w:type="dxa"/>
            <w:tcBorders>
              <w:right w:val="single" w:sz="6" w:space="0" w:color="auto"/>
            </w:tcBorders>
          </w:tcPr>
          <w:p w14:paraId="056DCCFF" w14:textId="77777777" w:rsidR="002F6811" w:rsidRPr="008912CF" w:rsidRDefault="00615769" w:rsidP="002F6811">
            <w:pPr>
              <w:pStyle w:val="In-texttable"/>
              <w:tabs>
                <w:tab w:val="left" w:pos="144"/>
              </w:tabs>
              <w:spacing w:line="240" w:lineRule="auto"/>
              <w:rPr>
                <w:rFonts w:ascii="Times New Roman" w:hAnsi="Times New Roman"/>
                <w:sz w:val="22"/>
                <w:szCs w:val="22"/>
                <w:lang w:val="pt-PT"/>
              </w:rPr>
            </w:pPr>
            <w:r w:rsidRPr="008912CF">
              <w:rPr>
                <w:rFonts w:ascii="Times New Roman" w:hAnsi="Times New Roman"/>
                <w:sz w:val="22"/>
                <w:szCs w:val="22"/>
                <w:lang w:val="pt-PT"/>
              </w:rPr>
              <w:t>ACR 20</w:t>
            </w:r>
          </w:p>
        </w:tc>
        <w:tc>
          <w:tcPr>
            <w:tcW w:w="1393" w:type="dxa"/>
            <w:tcBorders>
              <w:left w:val="single" w:sz="6" w:space="0" w:color="auto"/>
            </w:tcBorders>
          </w:tcPr>
          <w:p w14:paraId="605DF973" w14:textId="77777777" w:rsidR="002F6811" w:rsidRPr="008912CF" w:rsidRDefault="002F6811" w:rsidP="002F6811">
            <w:pPr>
              <w:pStyle w:val="In-texttable"/>
              <w:spacing w:line="240" w:lineRule="auto"/>
              <w:jc w:val="center"/>
              <w:rPr>
                <w:rFonts w:ascii="Times New Roman" w:hAnsi="Times New Roman"/>
                <w:sz w:val="22"/>
                <w:szCs w:val="22"/>
                <w:lang w:val="pt-PT"/>
              </w:rPr>
            </w:pPr>
          </w:p>
        </w:tc>
        <w:tc>
          <w:tcPr>
            <w:tcW w:w="1417" w:type="dxa"/>
            <w:tcBorders>
              <w:right w:val="single" w:sz="6" w:space="0" w:color="auto"/>
            </w:tcBorders>
          </w:tcPr>
          <w:p w14:paraId="10378E11" w14:textId="77777777" w:rsidR="002F6811" w:rsidRPr="008912CF" w:rsidRDefault="002F6811" w:rsidP="002F6811">
            <w:pPr>
              <w:pStyle w:val="In-texttable"/>
              <w:spacing w:line="240" w:lineRule="auto"/>
              <w:jc w:val="center"/>
              <w:rPr>
                <w:rFonts w:ascii="Times New Roman" w:hAnsi="Times New Roman"/>
                <w:sz w:val="22"/>
                <w:szCs w:val="22"/>
                <w:lang w:val="pt-PT"/>
              </w:rPr>
            </w:pPr>
          </w:p>
        </w:tc>
        <w:tc>
          <w:tcPr>
            <w:tcW w:w="1071" w:type="dxa"/>
            <w:tcBorders>
              <w:left w:val="single" w:sz="6" w:space="0" w:color="auto"/>
            </w:tcBorders>
          </w:tcPr>
          <w:p w14:paraId="3E51DB1F" w14:textId="77777777" w:rsidR="002F6811" w:rsidRPr="008912CF" w:rsidRDefault="002F6811" w:rsidP="002F6811">
            <w:pPr>
              <w:pStyle w:val="In-texttable"/>
              <w:spacing w:line="240" w:lineRule="auto"/>
              <w:jc w:val="center"/>
              <w:rPr>
                <w:rFonts w:ascii="Times New Roman" w:hAnsi="Times New Roman"/>
                <w:sz w:val="22"/>
                <w:szCs w:val="22"/>
                <w:lang w:val="pt-PT"/>
              </w:rPr>
            </w:pPr>
          </w:p>
        </w:tc>
        <w:tc>
          <w:tcPr>
            <w:tcW w:w="1197" w:type="dxa"/>
            <w:tcBorders>
              <w:right w:val="single" w:sz="6" w:space="0" w:color="auto"/>
            </w:tcBorders>
          </w:tcPr>
          <w:p w14:paraId="65500FE6" w14:textId="77777777" w:rsidR="002F6811" w:rsidRPr="008912CF" w:rsidRDefault="002F6811" w:rsidP="002F6811">
            <w:pPr>
              <w:pStyle w:val="In-texttable"/>
              <w:spacing w:line="240" w:lineRule="auto"/>
              <w:jc w:val="center"/>
              <w:rPr>
                <w:rFonts w:ascii="Times New Roman" w:hAnsi="Times New Roman"/>
                <w:sz w:val="22"/>
                <w:szCs w:val="22"/>
                <w:lang w:val="pt-PT"/>
              </w:rPr>
            </w:pPr>
          </w:p>
        </w:tc>
        <w:tc>
          <w:tcPr>
            <w:tcW w:w="1418" w:type="dxa"/>
            <w:tcBorders>
              <w:top w:val="single" w:sz="6" w:space="0" w:color="auto"/>
              <w:left w:val="single" w:sz="6" w:space="0" w:color="auto"/>
            </w:tcBorders>
          </w:tcPr>
          <w:p w14:paraId="4B7ECA03" w14:textId="77777777" w:rsidR="002F6811" w:rsidRPr="008912CF" w:rsidRDefault="002F6811" w:rsidP="002F6811">
            <w:pPr>
              <w:pStyle w:val="In-texttable"/>
              <w:spacing w:line="240" w:lineRule="auto"/>
              <w:jc w:val="center"/>
              <w:rPr>
                <w:rFonts w:ascii="Times New Roman" w:hAnsi="Times New Roman"/>
                <w:sz w:val="22"/>
                <w:szCs w:val="22"/>
                <w:lang w:val="pt-PT"/>
              </w:rPr>
            </w:pPr>
          </w:p>
        </w:tc>
        <w:tc>
          <w:tcPr>
            <w:tcW w:w="1559" w:type="dxa"/>
            <w:tcBorders>
              <w:top w:val="single" w:sz="6" w:space="0" w:color="auto"/>
            </w:tcBorders>
          </w:tcPr>
          <w:p w14:paraId="5A18BEAA" w14:textId="77777777" w:rsidR="002F6811" w:rsidRPr="008912CF" w:rsidRDefault="002F6811" w:rsidP="002F6811">
            <w:pPr>
              <w:pStyle w:val="In-texttable"/>
              <w:spacing w:line="240" w:lineRule="auto"/>
              <w:jc w:val="center"/>
              <w:rPr>
                <w:rFonts w:ascii="Times New Roman" w:hAnsi="Times New Roman"/>
                <w:sz w:val="22"/>
                <w:szCs w:val="22"/>
                <w:lang w:val="pt-PT"/>
              </w:rPr>
            </w:pPr>
          </w:p>
        </w:tc>
      </w:tr>
      <w:tr w:rsidR="00A7162A" w14:paraId="14BA2147" w14:textId="77777777" w:rsidTr="002F6811">
        <w:trPr>
          <w:cantSplit/>
        </w:trPr>
        <w:tc>
          <w:tcPr>
            <w:tcW w:w="1069" w:type="dxa"/>
            <w:tcBorders>
              <w:right w:val="single" w:sz="6" w:space="0" w:color="auto"/>
            </w:tcBorders>
          </w:tcPr>
          <w:p w14:paraId="6BB078C7" w14:textId="77777777" w:rsidR="002F6811" w:rsidRPr="008912CF" w:rsidRDefault="00615769" w:rsidP="002F6811">
            <w:pPr>
              <w:pStyle w:val="In-texttable"/>
              <w:tabs>
                <w:tab w:val="left" w:pos="144"/>
              </w:tabs>
              <w:spacing w:line="240" w:lineRule="auto"/>
              <w:rPr>
                <w:rFonts w:ascii="Times New Roman" w:hAnsi="Times New Roman"/>
                <w:sz w:val="22"/>
                <w:szCs w:val="22"/>
                <w:lang w:val="pt-PT"/>
              </w:rPr>
            </w:pPr>
            <w:r w:rsidRPr="008912CF">
              <w:rPr>
                <w:rFonts w:ascii="Times New Roman" w:hAnsi="Times New Roman"/>
                <w:sz w:val="22"/>
                <w:szCs w:val="22"/>
                <w:lang w:val="pt-PT"/>
              </w:rPr>
              <w:tab/>
              <w:t>6</w:t>
            </w:r>
            <w:r>
              <w:rPr>
                <w:rFonts w:ascii="Times New Roman" w:hAnsi="Times New Roman"/>
                <w:sz w:val="22"/>
                <w:szCs w:val="22"/>
                <w:lang w:val="pt-PT"/>
              </w:rPr>
              <w:t> </w:t>
            </w:r>
            <w:r w:rsidRPr="008912CF">
              <w:rPr>
                <w:rFonts w:ascii="Times New Roman" w:hAnsi="Times New Roman"/>
                <w:sz w:val="22"/>
                <w:szCs w:val="22"/>
                <w:lang w:val="pt-PT"/>
              </w:rPr>
              <w:t>meses</w:t>
            </w:r>
          </w:p>
        </w:tc>
        <w:tc>
          <w:tcPr>
            <w:tcW w:w="1393" w:type="dxa"/>
            <w:tcBorders>
              <w:left w:val="single" w:sz="6" w:space="0" w:color="auto"/>
            </w:tcBorders>
          </w:tcPr>
          <w:p w14:paraId="6C1660D4" w14:textId="77777777" w:rsidR="002F6811" w:rsidRPr="008912CF" w:rsidRDefault="00615769" w:rsidP="002F6811">
            <w:pPr>
              <w:pStyle w:val="In-texttable"/>
              <w:tabs>
                <w:tab w:val="decimal" w:pos="259"/>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13,3%</w:t>
            </w:r>
          </w:p>
        </w:tc>
        <w:tc>
          <w:tcPr>
            <w:tcW w:w="1417" w:type="dxa"/>
            <w:tcBorders>
              <w:right w:val="single" w:sz="6" w:space="0" w:color="auto"/>
            </w:tcBorders>
          </w:tcPr>
          <w:p w14:paraId="318DA392" w14:textId="77777777" w:rsidR="002F6811" w:rsidRPr="008912CF" w:rsidRDefault="00615769" w:rsidP="002F6811">
            <w:pPr>
              <w:pStyle w:val="In-texttable"/>
              <w:tabs>
                <w:tab w:val="decimal" w:pos="250"/>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65,1%</w:t>
            </w:r>
          </w:p>
        </w:tc>
        <w:tc>
          <w:tcPr>
            <w:tcW w:w="1071" w:type="dxa"/>
            <w:tcBorders>
              <w:left w:val="single" w:sz="6" w:space="0" w:color="auto"/>
            </w:tcBorders>
          </w:tcPr>
          <w:p w14:paraId="21C8E9F0" w14:textId="77777777" w:rsidR="002F6811" w:rsidRPr="008912CF" w:rsidRDefault="00615769" w:rsidP="002F6811">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19,1%</w:t>
            </w:r>
          </w:p>
        </w:tc>
        <w:tc>
          <w:tcPr>
            <w:tcW w:w="1197" w:type="dxa"/>
            <w:tcBorders>
              <w:right w:val="single" w:sz="6" w:space="0" w:color="auto"/>
            </w:tcBorders>
          </w:tcPr>
          <w:p w14:paraId="33C3641F" w14:textId="77777777" w:rsidR="002F6811" w:rsidRPr="008912CF" w:rsidRDefault="00615769" w:rsidP="002F6811">
            <w:pPr>
              <w:pStyle w:val="In-texttable"/>
              <w:tabs>
                <w:tab w:val="decimal" w:pos="20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46,0%</w:t>
            </w:r>
          </w:p>
        </w:tc>
        <w:tc>
          <w:tcPr>
            <w:tcW w:w="1418" w:type="dxa"/>
            <w:tcBorders>
              <w:left w:val="single" w:sz="6" w:space="0" w:color="auto"/>
            </w:tcBorders>
          </w:tcPr>
          <w:p w14:paraId="69E4BB1F" w14:textId="77777777" w:rsidR="002F6811" w:rsidRPr="008912CF" w:rsidRDefault="00615769" w:rsidP="002F6811">
            <w:pPr>
              <w:pStyle w:val="In-texttable"/>
              <w:tabs>
                <w:tab w:val="decimal" w:pos="144"/>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29,5%</w:t>
            </w:r>
          </w:p>
        </w:tc>
        <w:tc>
          <w:tcPr>
            <w:tcW w:w="1559" w:type="dxa"/>
          </w:tcPr>
          <w:p w14:paraId="06EB8781" w14:textId="77777777" w:rsidR="002F6811" w:rsidRPr="008912CF" w:rsidRDefault="00615769" w:rsidP="002F6811">
            <w:pPr>
              <w:pStyle w:val="In-texttable"/>
              <w:tabs>
                <w:tab w:val="decimal" w:pos="9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63,3%</w:t>
            </w:r>
          </w:p>
        </w:tc>
      </w:tr>
      <w:tr w:rsidR="00A7162A" w14:paraId="6D204C88" w14:textId="77777777" w:rsidTr="002F6811">
        <w:trPr>
          <w:cantSplit/>
        </w:trPr>
        <w:tc>
          <w:tcPr>
            <w:tcW w:w="1069" w:type="dxa"/>
            <w:tcBorders>
              <w:right w:val="single" w:sz="6" w:space="0" w:color="auto"/>
            </w:tcBorders>
          </w:tcPr>
          <w:p w14:paraId="439B6A39" w14:textId="77777777" w:rsidR="002F6811" w:rsidRPr="008912CF" w:rsidRDefault="00615769" w:rsidP="002F6811">
            <w:pPr>
              <w:pStyle w:val="In-texttable"/>
              <w:tabs>
                <w:tab w:val="left" w:pos="144"/>
              </w:tabs>
              <w:spacing w:line="240" w:lineRule="auto"/>
              <w:rPr>
                <w:rFonts w:ascii="Times New Roman" w:hAnsi="Times New Roman"/>
                <w:sz w:val="22"/>
                <w:szCs w:val="22"/>
                <w:lang w:val="pt-PT"/>
              </w:rPr>
            </w:pPr>
            <w:r w:rsidRPr="008912CF">
              <w:rPr>
                <w:rFonts w:ascii="Times New Roman" w:hAnsi="Times New Roman"/>
                <w:sz w:val="22"/>
                <w:szCs w:val="22"/>
                <w:lang w:val="pt-PT"/>
              </w:rPr>
              <w:tab/>
              <w:t>12</w:t>
            </w:r>
            <w:r>
              <w:rPr>
                <w:rFonts w:ascii="Times New Roman" w:hAnsi="Times New Roman"/>
                <w:sz w:val="22"/>
                <w:szCs w:val="22"/>
                <w:lang w:val="pt-PT"/>
              </w:rPr>
              <w:t> </w:t>
            </w:r>
            <w:r w:rsidRPr="008912CF">
              <w:rPr>
                <w:rFonts w:ascii="Times New Roman" w:hAnsi="Times New Roman"/>
                <w:sz w:val="22"/>
                <w:szCs w:val="22"/>
                <w:lang w:val="pt-PT"/>
              </w:rPr>
              <w:t>meses</w:t>
            </w:r>
          </w:p>
        </w:tc>
        <w:tc>
          <w:tcPr>
            <w:tcW w:w="1393" w:type="dxa"/>
            <w:tcBorders>
              <w:left w:val="single" w:sz="6" w:space="0" w:color="auto"/>
            </w:tcBorders>
          </w:tcPr>
          <w:p w14:paraId="3C46E6D9" w14:textId="77777777" w:rsidR="002F6811" w:rsidRPr="008912CF" w:rsidRDefault="00615769" w:rsidP="002F6811">
            <w:pPr>
              <w:pStyle w:val="In-texttable"/>
              <w:tabs>
                <w:tab w:val="decimal" w:pos="259"/>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417" w:type="dxa"/>
            <w:tcBorders>
              <w:right w:val="single" w:sz="6" w:space="0" w:color="auto"/>
            </w:tcBorders>
          </w:tcPr>
          <w:p w14:paraId="0712DA05" w14:textId="77777777" w:rsidR="002F6811" w:rsidRPr="008912CF" w:rsidRDefault="00615769" w:rsidP="002F6811">
            <w:pPr>
              <w:pStyle w:val="In-texttable"/>
              <w:tabs>
                <w:tab w:val="decimal" w:pos="250"/>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071" w:type="dxa"/>
            <w:tcBorders>
              <w:left w:val="single" w:sz="6" w:space="0" w:color="auto"/>
            </w:tcBorders>
          </w:tcPr>
          <w:p w14:paraId="7942945B" w14:textId="77777777" w:rsidR="002F6811" w:rsidRPr="008912CF" w:rsidRDefault="00615769" w:rsidP="002F6811">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197" w:type="dxa"/>
            <w:tcBorders>
              <w:right w:val="single" w:sz="6" w:space="0" w:color="auto"/>
            </w:tcBorders>
          </w:tcPr>
          <w:p w14:paraId="0A425D26" w14:textId="77777777" w:rsidR="002F6811" w:rsidRPr="008912CF" w:rsidRDefault="00615769" w:rsidP="002F6811">
            <w:pPr>
              <w:pStyle w:val="In-texttable"/>
              <w:tabs>
                <w:tab w:val="decimal" w:pos="20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418" w:type="dxa"/>
            <w:tcBorders>
              <w:left w:val="single" w:sz="6" w:space="0" w:color="auto"/>
            </w:tcBorders>
          </w:tcPr>
          <w:p w14:paraId="2EFC3879" w14:textId="77777777" w:rsidR="002F6811" w:rsidRPr="008912CF" w:rsidRDefault="00615769" w:rsidP="002F6811">
            <w:pPr>
              <w:pStyle w:val="In-texttable"/>
              <w:tabs>
                <w:tab w:val="decimal" w:pos="144"/>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24,0%</w:t>
            </w:r>
          </w:p>
        </w:tc>
        <w:tc>
          <w:tcPr>
            <w:tcW w:w="1559" w:type="dxa"/>
          </w:tcPr>
          <w:p w14:paraId="1D0F403E" w14:textId="77777777" w:rsidR="002F6811" w:rsidRPr="008912CF" w:rsidRDefault="00615769" w:rsidP="002F6811">
            <w:pPr>
              <w:pStyle w:val="In-texttable"/>
              <w:tabs>
                <w:tab w:val="decimal" w:pos="9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58,9%</w:t>
            </w:r>
          </w:p>
        </w:tc>
      </w:tr>
      <w:tr w:rsidR="00A7162A" w14:paraId="4807E735" w14:textId="77777777" w:rsidTr="002F6811">
        <w:trPr>
          <w:cantSplit/>
        </w:trPr>
        <w:tc>
          <w:tcPr>
            <w:tcW w:w="1069" w:type="dxa"/>
            <w:tcBorders>
              <w:right w:val="single" w:sz="6" w:space="0" w:color="auto"/>
            </w:tcBorders>
          </w:tcPr>
          <w:p w14:paraId="0B24FE96" w14:textId="77777777" w:rsidR="002F6811" w:rsidRPr="008912CF" w:rsidRDefault="00615769" w:rsidP="002F6811">
            <w:pPr>
              <w:pStyle w:val="In-texttable"/>
              <w:tabs>
                <w:tab w:val="left" w:pos="144"/>
              </w:tabs>
              <w:spacing w:line="240" w:lineRule="auto"/>
              <w:rPr>
                <w:rFonts w:ascii="Times New Roman" w:hAnsi="Times New Roman"/>
                <w:sz w:val="22"/>
                <w:szCs w:val="22"/>
                <w:lang w:val="pt-PT"/>
              </w:rPr>
            </w:pPr>
            <w:r w:rsidRPr="008912CF">
              <w:rPr>
                <w:rFonts w:ascii="Times New Roman" w:hAnsi="Times New Roman"/>
                <w:sz w:val="22"/>
                <w:szCs w:val="22"/>
                <w:lang w:val="pt-PT"/>
              </w:rPr>
              <w:t>ACR 50</w:t>
            </w:r>
          </w:p>
        </w:tc>
        <w:tc>
          <w:tcPr>
            <w:tcW w:w="1393" w:type="dxa"/>
            <w:tcBorders>
              <w:left w:val="single" w:sz="6" w:space="0" w:color="auto"/>
            </w:tcBorders>
          </w:tcPr>
          <w:p w14:paraId="254779AA" w14:textId="77777777" w:rsidR="002F6811" w:rsidRPr="008912CF" w:rsidRDefault="002F6811" w:rsidP="002F6811">
            <w:pPr>
              <w:pStyle w:val="In-texttable"/>
              <w:tabs>
                <w:tab w:val="decimal" w:pos="259"/>
              </w:tabs>
              <w:spacing w:line="240" w:lineRule="auto"/>
              <w:jc w:val="center"/>
              <w:rPr>
                <w:rFonts w:ascii="Times New Roman" w:hAnsi="Times New Roman"/>
                <w:sz w:val="22"/>
                <w:szCs w:val="22"/>
                <w:lang w:val="pt-PT"/>
              </w:rPr>
            </w:pPr>
          </w:p>
        </w:tc>
        <w:tc>
          <w:tcPr>
            <w:tcW w:w="1417" w:type="dxa"/>
            <w:tcBorders>
              <w:right w:val="single" w:sz="6" w:space="0" w:color="auto"/>
            </w:tcBorders>
          </w:tcPr>
          <w:p w14:paraId="421338F0" w14:textId="77777777" w:rsidR="002F6811" w:rsidRPr="008912CF" w:rsidRDefault="002F6811" w:rsidP="002F6811">
            <w:pPr>
              <w:pStyle w:val="In-texttable"/>
              <w:tabs>
                <w:tab w:val="decimal" w:pos="250"/>
              </w:tabs>
              <w:spacing w:line="240" w:lineRule="auto"/>
              <w:jc w:val="center"/>
              <w:rPr>
                <w:rFonts w:ascii="Times New Roman" w:hAnsi="Times New Roman"/>
                <w:sz w:val="22"/>
                <w:szCs w:val="22"/>
                <w:lang w:val="pt-PT"/>
              </w:rPr>
            </w:pPr>
          </w:p>
        </w:tc>
        <w:tc>
          <w:tcPr>
            <w:tcW w:w="1071" w:type="dxa"/>
            <w:tcBorders>
              <w:left w:val="single" w:sz="6" w:space="0" w:color="auto"/>
            </w:tcBorders>
          </w:tcPr>
          <w:p w14:paraId="767C2248" w14:textId="77777777" w:rsidR="002F6811" w:rsidRPr="008912CF" w:rsidRDefault="002F6811" w:rsidP="002F6811">
            <w:pPr>
              <w:pStyle w:val="In-texttable"/>
              <w:spacing w:line="240" w:lineRule="auto"/>
              <w:jc w:val="center"/>
              <w:rPr>
                <w:rFonts w:ascii="Times New Roman" w:hAnsi="Times New Roman"/>
                <w:sz w:val="22"/>
                <w:szCs w:val="22"/>
                <w:lang w:val="pt-PT"/>
              </w:rPr>
            </w:pPr>
          </w:p>
        </w:tc>
        <w:tc>
          <w:tcPr>
            <w:tcW w:w="1197" w:type="dxa"/>
            <w:tcBorders>
              <w:right w:val="single" w:sz="6" w:space="0" w:color="auto"/>
            </w:tcBorders>
          </w:tcPr>
          <w:p w14:paraId="133C0EDB" w14:textId="77777777" w:rsidR="002F6811" w:rsidRPr="008912CF" w:rsidRDefault="002F6811" w:rsidP="002F6811">
            <w:pPr>
              <w:pStyle w:val="In-texttable"/>
              <w:tabs>
                <w:tab w:val="decimal" w:pos="205"/>
              </w:tabs>
              <w:spacing w:line="240" w:lineRule="auto"/>
              <w:jc w:val="center"/>
              <w:rPr>
                <w:rFonts w:ascii="Times New Roman" w:hAnsi="Times New Roman"/>
                <w:sz w:val="22"/>
                <w:szCs w:val="22"/>
                <w:lang w:val="pt-PT"/>
              </w:rPr>
            </w:pPr>
          </w:p>
        </w:tc>
        <w:tc>
          <w:tcPr>
            <w:tcW w:w="1418" w:type="dxa"/>
            <w:tcBorders>
              <w:left w:val="single" w:sz="6" w:space="0" w:color="auto"/>
            </w:tcBorders>
          </w:tcPr>
          <w:p w14:paraId="0212B437" w14:textId="77777777" w:rsidR="002F6811" w:rsidRPr="008912CF" w:rsidRDefault="002F6811" w:rsidP="002F6811">
            <w:pPr>
              <w:pStyle w:val="In-texttable"/>
              <w:tabs>
                <w:tab w:val="decimal" w:pos="144"/>
              </w:tabs>
              <w:spacing w:line="240" w:lineRule="auto"/>
              <w:jc w:val="center"/>
              <w:rPr>
                <w:rFonts w:ascii="Times New Roman" w:hAnsi="Times New Roman"/>
                <w:sz w:val="22"/>
                <w:szCs w:val="22"/>
                <w:lang w:val="pt-PT"/>
              </w:rPr>
            </w:pPr>
          </w:p>
        </w:tc>
        <w:tc>
          <w:tcPr>
            <w:tcW w:w="1559" w:type="dxa"/>
          </w:tcPr>
          <w:p w14:paraId="22984E7D" w14:textId="77777777" w:rsidR="002F6811" w:rsidRPr="008912CF" w:rsidRDefault="002F6811" w:rsidP="002F6811">
            <w:pPr>
              <w:pStyle w:val="In-texttable"/>
              <w:tabs>
                <w:tab w:val="decimal" w:pos="95"/>
              </w:tabs>
              <w:spacing w:line="240" w:lineRule="auto"/>
              <w:jc w:val="center"/>
              <w:rPr>
                <w:rFonts w:ascii="Times New Roman" w:hAnsi="Times New Roman"/>
                <w:sz w:val="22"/>
                <w:szCs w:val="22"/>
                <w:lang w:val="pt-PT"/>
              </w:rPr>
            </w:pPr>
          </w:p>
        </w:tc>
      </w:tr>
      <w:tr w:rsidR="00A7162A" w14:paraId="63C423CC" w14:textId="77777777" w:rsidTr="002F6811">
        <w:trPr>
          <w:cantSplit/>
        </w:trPr>
        <w:tc>
          <w:tcPr>
            <w:tcW w:w="1069" w:type="dxa"/>
            <w:tcBorders>
              <w:right w:val="single" w:sz="6" w:space="0" w:color="auto"/>
            </w:tcBorders>
          </w:tcPr>
          <w:p w14:paraId="723DA5E8" w14:textId="77777777" w:rsidR="002F6811" w:rsidRPr="008912CF" w:rsidRDefault="00615769" w:rsidP="002F6811">
            <w:pPr>
              <w:pStyle w:val="In-texttable"/>
              <w:tabs>
                <w:tab w:val="left" w:pos="144"/>
              </w:tabs>
              <w:spacing w:line="240" w:lineRule="auto"/>
              <w:rPr>
                <w:rFonts w:ascii="Times New Roman" w:hAnsi="Times New Roman"/>
                <w:sz w:val="22"/>
                <w:szCs w:val="22"/>
                <w:lang w:val="pt-PT"/>
              </w:rPr>
            </w:pPr>
            <w:r w:rsidRPr="008912CF">
              <w:rPr>
                <w:rFonts w:ascii="Times New Roman" w:hAnsi="Times New Roman"/>
                <w:sz w:val="22"/>
                <w:szCs w:val="22"/>
                <w:lang w:val="pt-PT"/>
              </w:rPr>
              <w:tab/>
              <w:t>6</w:t>
            </w:r>
            <w:r>
              <w:rPr>
                <w:rFonts w:ascii="Times New Roman" w:hAnsi="Times New Roman"/>
                <w:sz w:val="22"/>
                <w:szCs w:val="22"/>
                <w:lang w:val="pt-PT"/>
              </w:rPr>
              <w:t> </w:t>
            </w:r>
            <w:r w:rsidRPr="008912CF">
              <w:rPr>
                <w:rFonts w:ascii="Times New Roman" w:hAnsi="Times New Roman"/>
                <w:sz w:val="22"/>
                <w:szCs w:val="22"/>
                <w:lang w:val="pt-PT"/>
              </w:rPr>
              <w:t>meses</w:t>
            </w:r>
          </w:p>
        </w:tc>
        <w:tc>
          <w:tcPr>
            <w:tcW w:w="1393" w:type="dxa"/>
            <w:tcBorders>
              <w:left w:val="single" w:sz="6" w:space="0" w:color="auto"/>
            </w:tcBorders>
          </w:tcPr>
          <w:p w14:paraId="4212A453" w14:textId="77777777" w:rsidR="002F6811" w:rsidRPr="008912CF" w:rsidRDefault="00615769" w:rsidP="002F6811">
            <w:pPr>
              <w:pStyle w:val="In-texttable"/>
              <w:tabs>
                <w:tab w:val="decimal" w:pos="259"/>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6,7%</w:t>
            </w:r>
          </w:p>
        </w:tc>
        <w:tc>
          <w:tcPr>
            <w:tcW w:w="1417" w:type="dxa"/>
            <w:tcBorders>
              <w:right w:val="single" w:sz="6" w:space="0" w:color="auto"/>
            </w:tcBorders>
          </w:tcPr>
          <w:p w14:paraId="6036E57C" w14:textId="77777777" w:rsidR="002F6811" w:rsidRPr="008912CF" w:rsidRDefault="00615769" w:rsidP="002F6811">
            <w:pPr>
              <w:pStyle w:val="In-texttable"/>
              <w:tabs>
                <w:tab w:val="decimal" w:pos="250"/>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52,4%</w:t>
            </w:r>
          </w:p>
        </w:tc>
        <w:tc>
          <w:tcPr>
            <w:tcW w:w="1071" w:type="dxa"/>
            <w:tcBorders>
              <w:left w:val="single" w:sz="6" w:space="0" w:color="auto"/>
            </w:tcBorders>
          </w:tcPr>
          <w:p w14:paraId="350E9E04" w14:textId="77777777" w:rsidR="002F6811" w:rsidRPr="008912CF" w:rsidRDefault="00615769" w:rsidP="002F6811">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8,2%</w:t>
            </w:r>
          </w:p>
        </w:tc>
        <w:tc>
          <w:tcPr>
            <w:tcW w:w="1197" w:type="dxa"/>
            <w:tcBorders>
              <w:right w:val="single" w:sz="6" w:space="0" w:color="auto"/>
            </w:tcBorders>
          </w:tcPr>
          <w:p w14:paraId="0CD0BC60" w14:textId="77777777" w:rsidR="002F6811" w:rsidRPr="008912CF" w:rsidRDefault="00615769" w:rsidP="002F6811">
            <w:pPr>
              <w:pStyle w:val="In-texttable"/>
              <w:tabs>
                <w:tab w:val="decimal" w:pos="20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22,1%</w:t>
            </w:r>
          </w:p>
        </w:tc>
        <w:tc>
          <w:tcPr>
            <w:tcW w:w="1418" w:type="dxa"/>
            <w:tcBorders>
              <w:left w:val="single" w:sz="6" w:space="0" w:color="auto"/>
            </w:tcBorders>
          </w:tcPr>
          <w:p w14:paraId="3ED755D7" w14:textId="77777777" w:rsidR="002F6811" w:rsidRPr="008912CF" w:rsidRDefault="00615769" w:rsidP="002F6811">
            <w:pPr>
              <w:pStyle w:val="In-texttable"/>
              <w:tabs>
                <w:tab w:val="decimal" w:pos="144"/>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9,5%</w:t>
            </w:r>
          </w:p>
        </w:tc>
        <w:tc>
          <w:tcPr>
            <w:tcW w:w="1559" w:type="dxa"/>
          </w:tcPr>
          <w:p w14:paraId="6604DDF6" w14:textId="77777777" w:rsidR="002F6811" w:rsidRPr="008912CF" w:rsidRDefault="00615769" w:rsidP="002F6811">
            <w:pPr>
              <w:pStyle w:val="In-texttable"/>
              <w:tabs>
                <w:tab w:val="decimal" w:pos="9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39,1%</w:t>
            </w:r>
          </w:p>
        </w:tc>
      </w:tr>
      <w:tr w:rsidR="00A7162A" w14:paraId="3E46FFBA" w14:textId="77777777" w:rsidTr="002F6811">
        <w:trPr>
          <w:cantSplit/>
        </w:trPr>
        <w:tc>
          <w:tcPr>
            <w:tcW w:w="1069" w:type="dxa"/>
            <w:tcBorders>
              <w:right w:val="single" w:sz="6" w:space="0" w:color="auto"/>
            </w:tcBorders>
          </w:tcPr>
          <w:p w14:paraId="769E257E" w14:textId="77777777" w:rsidR="002F6811" w:rsidRPr="008912CF" w:rsidRDefault="00615769" w:rsidP="002F6811">
            <w:pPr>
              <w:pStyle w:val="In-texttable"/>
              <w:tabs>
                <w:tab w:val="left" w:pos="144"/>
              </w:tabs>
              <w:spacing w:line="240" w:lineRule="auto"/>
              <w:rPr>
                <w:rFonts w:ascii="Times New Roman" w:hAnsi="Times New Roman"/>
                <w:sz w:val="22"/>
                <w:szCs w:val="22"/>
                <w:lang w:val="pt-PT"/>
              </w:rPr>
            </w:pPr>
            <w:r w:rsidRPr="008912CF">
              <w:rPr>
                <w:rFonts w:ascii="Times New Roman" w:hAnsi="Times New Roman"/>
                <w:sz w:val="22"/>
                <w:szCs w:val="22"/>
                <w:lang w:val="pt-PT"/>
              </w:rPr>
              <w:tab/>
              <w:t>12</w:t>
            </w:r>
            <w:r>
              <w:rPr>
                <w:rFonts w:ascii="Times New Roman" w:hAnsi="Times New Roman"/>
                <w:sz w:val="22"/>
                <w:szCs w:val="22"/>
                <w:lang w:val="pt-PT"/>
              </w:rPr>
              <w:t> </w:t>
            </w:r>
            <w:r w:rsidRPr="008912CF">
              <w:rPr>
                <w:rFonts w:ascii="Times New Roman" w:hAnsi="Times New Roman"/>
                <w:sz w:val="22"/>
                <w:szCs w:val="22"/>
                <w:lang w:val="pt-PT"/>
              </w:rPr>
              <w:t>meses</w:t>
            </w:r>
          </w:p>
        </w:tc>
        <w:tc>
          <w:tcPr>
            <w:tcW w:w="1393" w:type="dxa"/>
            <w:tcBorders>
              <w:left w:val="single" w:sz="6" w:space="0" w:color="auto"/>
            </w:tcBorders>
          </w:tcPr>
          <w:p w14:paraId="2C11518E" w14:textId="77777777" w:rsidR="002F6811" w:rsidRPr="008912CF" w:rsidRDefault="00615769" w:rsidP="002F6811">
            <w:pPr>
              <w:pStyle w:val="In-texttable"/>
              <w:tabs>
                <w:tab w:val="decimal" w:pos="259"/>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417" w:type="dxa"/>
            <w:tcBorders>
              <w:right w:val="single" w:sz="6" w:space="0" w:color="auto"/>
            </w:tcBorders>
          </w:tcPr>
          <w:p w14:paraId="2F7274F3" w14:textId="77777777" w:rsidR="002F6811" w:rsidRPr="008912CF" w:rsidRDefault="00615769" w:rsidP="002F6811">
            <w:pPr>
              <w:pStyle w:val="In-texttable"/>
              <w:tabs>
                <w:tab w:val="decimal" w:pos="250"/>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071" w:type="dxa"/>
            <w:tcBorders>
              <w:left w:val="single" w:sz="6" w:space="0" w:color="auto"/>
            </w:tcBorders>
          </w:tcPr>
          <w:p w14:paraId="54FD693D" w14:textId="77777777" w:rsidR="002F6811" w:rsidRPr="008912CF" w:rsidRDefault="00615769" w:rsidP="002F6811">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197" w:type="dxa"/>
            <w:tcBorders>
              <w:right w:val="single" w:sz="6" w:space="0" w:color="auto"/>
            </w:tcBorders>
          </w:tcPr>
          <w:p w14:paraId="18BB36A2" w14:textId="77777777" w:rsidR="002F6811" w:rsidRPr="008912CF" w:rsidRDefault="00615769" w:rsidP="002F6811">
            <w:pPr>
              <w:pStyle w:val="In-texttable"/>
              <w:tabs>
                <w:tab w:val="decimal" w:pos="20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418" w:type="dxa"/>
            <w:tcBorders>
              <w:left w:val="single" w:sz="6" w:space="0" w:color="auto"/>
            </w:tcBorders>
          </w:tcPr>
          <w:p w14:paraId="612BA6C9" w14:textId="77777777" w:rsidR="002F6811" w:rsidRPr="008912CF" w:rsidRDefault="00615769" w:rsidP="002F6811">
            <w:pPr>
              <w:pStyle w:val="In-texttable"/>
              <w:tabs>
                <w:tab w:val="decimal" w:pos="144"/>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9,5</w:t>
            </w:r>
            <w:r w:rsidR="009343EF">
              <w:rPr>
                <w:rFonts w:ascii="Times New Roman" w:hAnsi="Times New Roman"/>
                <w:sz w:val="22"/>
                <w:szCs w:val="22"/>
                <w:lang w:val="pt-PT"/>
              </w:rPr>
              <w:t>%</w:t>
            </w:r>
          </w:p>
        </w:tc>
        <w:tc>
          <w:tcPr>
            <w:tcW w:w="1559" w:type="dxa"/>
          </w:tcPr>
          <w:p w14:paraId="62AA673A" w14:textId="77777777" w:rsidR="002F6811" w:rsidRPr="008912CF" w:rsidRDefault="00615769" w:rsidP="002F6811">
            <w:pPr>
              <w:pStyle w:val="In-texttable"/>
              <w:tabs>
                <w:tab w:val="decimal" w:pos="9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41,5</w:t>
            </w:r>
            <w:r w:rsidR="009343EF">
              <w:rPr>
                <w:rFonts w:ascii="Times New Roman" w:hAnsi="Times New Roman"/>
                <w:sz w:val="22"/>
                <w:szCs w:val="22"/>
                <w:lang w:val="pt-PT"/>
              </w:rPr>
              <w:t>%</w:t>
            </w:r>
          </w:p>
        </w:tc>
      </w:tr>
      <w:tr w:rsidR="00A7162A" w14:paraId="12FBE53D" w14:textId="77777777" w:rsidTr="002F6811">
        <w:trPr>
          <w:cantSplit/>
        </w:trPr>
        <w:tc>
          <w:tcPr>
            <w:tcW w:w="1069" w:type="dxa"/>
            <w:tcBorders>
              <w:right w:val="single" w:sz="6" w:space="0" w:color="auto"/>
            </w:tcBorders>
          </w:tcPr>
          <w:p w14:paraId="44CD4C60" w14:textId="77777777" w:rsidR="002F6811" w:rsidRPr="008912CF" w:rsidRDefault="00615769" w:rsidP="002F6811">
            <w:pPr>
              <w:pStyle w:val="In-texttable"/>
              <w:tabs>
                <w:tab w:val="left" w:pos="144"/>
              </w:tabs>
              <w:spacing w:line="240" w:lineRule="auto"/>
              <w:rPr>
                <w:rFonts w:ascii="Times New Roman" w:hAnsi="Times New Roman"/>
                <w:sz w:val="22"/>
                <w:szCs w:val="22"/>
                <w:lang w:val="pt-PT"/>
              </w:rPr>
            </w:pPr>
            <w:r>
              <w:rPr>
                <w:noProof/>
                <w:lang w:val="en-GB" w:eastAsia="en-GB"/>
              </w:rPr>
              <mc:AlternateContent>
                <mc:Choice Requires="wps">
                  <w:drawing>
                    <wp:anchor distT="0" distB="0" distL="114300" distR="114300" simplePos="0" relativeHeight="251664384" behindDoc="0" locked="0" layoutInCell="0" allowOverlap="1" wp14:anchorId="4AD12368" wp14:editId="54483ADA">
                      <wp:simplePos x="0" y="0"/>
                      <wp:positionH relativeFrom="column">
                        <wp:posOffset>-4972050</wp:posOffset>
                      </wp:positionH>
                      <wp:positionV relativeFrom="paragraph">
                        <wp:posOffset>38735</wp:posOffset>
                      </wp:positionV>
                      <wp:extent cx="3543300" cy="342900"/>
                      <wp:effectExtent l="0" t="3175" r="4445" b="0"/>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411170" w14:textId="77777777" w:rsidR="000036F0" w:rsidRDefault="00615769" w:rsidP="002F6811">
                                  <w:r w:rsidRPr="00E06CAF">
                                    <w:rPr>
                                      <w:rFonts w:cs="Arial"/>
                                      <w:sz w:val="18"/>
                                      <w:szCs w:val="18"/>
                                    </w:rPr>
                                    <w:t>J</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AD12368" id="Text Box 107" o:spid="_x0000_s1027" type="#_x0000_t202" style="position:absolute;margin-left:-391.5pt;margin-top:3.05pt;width:279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" o:allowincell="f" stroked="f">
                      <v:textbox>
                        <w:txbxContent>
                          <w:p w14:paraId="24411170" w14:textId="77777777" w:rsidR="000036F0" w:rsidRDefault="00615769" w:rsidP="002F6811">
                            <w:r w:rsidRPr="00E06CAF">
                              <w:rPr>
                                <w:rFonts w:cs="Arial"/>
                                <w:sz w:val="18"/>
                                <w:szCs w:val="18"/>
                              </w:rPr>
                              <w:t>J</w:t>
                            </w:r>
                          </w:p>
                        </w:txbxContent>
                      </v:textbox>
                    </v:shape>
                  </w:pict>
                </mc:Fallback>
              </mc:AlternateContent>
            </w:r>
            <w:r w:rsidRPr="008912CF">
              <w:rPr>
                <w:rFonts w:ascii="Times New Roman" w:hAnsi="Times New Roman"/>
                <w:sz w:val="22"/>
                <w:szCs w:val="22"/>
                <w:lang w:val="pt-PT"/>
              </w:rPr>
              <w:t>ACR 70</w:t>
            </w:r>
          </w:p>
        </w:tc>
        <w:tc>
          <w:tcPr>
            <w:tcW w:w="1393" w:type="dxa"/>
            <w:tcBorders>
              <w:left w:val="single" w:sz="6" w:space="0" w:color="auto"/>
            </w:tcBorders>
          </w:tcPr>
          <w:p w14:paraId="12F7D57F" w14:textId="77777777" w:rsidR="002F6811" w:rsidRPr="008912CF" w:rsidRDefault="002F6811" w:rsidP="002F6811">
            <w:pPr>
              <w:pStyle w:val="In-texttable"/>
              <w:tabs>
                <w:tab w:val="decimal" w:pos="259"/>
              </w:tabs>
              <w:spacing w:line="240" w:lineRule="auto"/>
              <w:jc w:val="center"/>
              <w:rPr>
                <w:rFonts w:ascii="Times New Roman" w:hAnsi="Times New Roman"/>
                <w:sz w:val="22"/>
                <w:szCs w:val="22"/>
                <w:lang w:val="pt-PT"/>
              </w:rPr>
            </w:pPr>
          </w:p>
        </w:tc>
        <w:tc>
          <w:tcPr>
            <w:tcW w:w="1417" w:type="dxa"/>
            <w:tcBorders>
              <w:right w:val="single" w:sz="6" w:space="0" w:color="auto"/>
            </w:tcBorders>
          </w:tcPr>
          <w:p w14:paraId="48C61BB7" w14:textId="77777777" w:rsidR="002F6811" w:rsidRPr="008912CF" w:rsidRDefault="002F6811" w:rsidP="002F6811">
            <w:pPr>
              <w:pStyle w:val="In-texttable"/>
              <w:tabs>
                <w:tab w:val="decimal" w:pos="250"/>
              </w:tabs>
              <w:spacing w:line="240" w:lineRule="auto"/>
              <w:jc w:val="center"/>
              <w:rPr>
                <w:rFonts w:ascii="Times New Roman" w:hAnsi="Times New Roman"/>
                <w:sz w:val="22"/>
                <w:szCs w:val="22"/>
                <w:lang w:val="pt-PT"/>
              </w:rPr>
            </w:pPr>
          </w:p>
        </w:tc>
        <w:tc>
          <w:tcPr>
            <w:tcW w:w="1071" w:type="dxa"/>
            <w:tcBorders>
              <w:left w:val="single" w:sz="6" w:space="0" w:color="auto"/>
            </w:tcBorders>
          </w:tcPr>
          <w:p w14:paraId="73220642" w14:textId="77777777" w:rsidR="002F6811" w:rsidRPr="008912CF" w:rsidRDefault="002F6811" w:rsidP="002F6811">
            <w:pPr>
              <w:pStyle w:val="In-texttable"/>
              <w:spacing w:line="240" w:lineRule="auto"/>
              <w:jc w:val="center"/>
              <w:rPr>
                <w:rFonts w:ascii="Times New Roman" w:hAnsi="Times New Roman"/>
                <w:sz w:val="22"/>
                <w:szCs w:val="22"/>
                <w:lang w:val="pt-PT"/>
              </w:rPr>
            </w:pPr>
          </w:p>
        </w:tc>
        <w:tc>
          <w:tcPr>
            <w:tcW w:w="1197" w:type="dxa"/>
            <w:tcBorders>
              <w:right w:val="single" w:sz="6" w:space="0" w:color="auto"/>
            </w:tcBorders>
          </w:tcPr>
          <w:p w14:paraId="7B56F674" w14:textId="77777777" w:rsidR="002F6811" w:rsidRPr="008912CF" w:rsidRDefault="002F6811" w:rsidP="002F6811">
            <w:pPr>
              <w:pStyle w:val="In-texttable"/>
              <w:tabs>
                <w:tab w:val="decimal" w:pos="205"/>
              </w:tabs>
              <w:spacing w:line="240" w:lineRule="auto"/>
              <w:jc w:val="center"/>
              <w:rPr>
                <w:rFonts w:ascii="Times New Roman" w:hAnsi="Times New Roman"/>
                <w:sz w:val="22"/>
                <w:szCs w:val="22"/>
                <w:lang w:val="pt-PT"/>
              </w:rPr>
            </w:pPr>
          </w:p>
        </w:tc>
        <w:tc>
          <w:tcPr>
            <w:tcW w:w="1418" w:type="dxa"/>
            <w:tcBorders>
              <w:left w:val="single" w:sz="6" w:space="0" w:color="auto"/>
            </w:tcBorders>
          </w:tcPr>
          <w:p w14:paraId="5239B04F" w14:textId="77777777" w:rsidR="002F6811" w:rsidRPr="008912CF" w:rsidRDefault="002F6811" w:rsidP="002F6811">
            <w:pPr>
              <w:pStyle w:val="In-texttable"/>
              <w:tabs>
                <w:tab w:val="decimal" w:pos="144"/>
              </w:tabs>
              <w:spacing w:line="240" w:lineRule="auto"/>
              <w:jc w:val="center"/>
              <w:rPr>
                <w:rFonts w:ascii="Times New Roman" w:hAnsi="Times New Roman"/>
                <w:sz w:val="22"/>
                <w:szCs w:val="22"/>
                <w:lang w:val="pt-PT"/>
              </w:rPr>
            </w:pPr>
          </w:p>
        </w:tc>
        <w:tc>
          <w:tcPr>
            <w:tcW w:w="1559" w:type="dxa"/>
          </w:tcPr>
          <w:p w14:paraId="0A2D9D65" w14:textId="77777777" w:rsidR="002F6811" w:rsidRPr="008912CF" w:rsidRDefault="002F6811" w:rsidP="002F6811">
            <w:pPr>
              <w:pStyle w:val="In-texttable"/>
              <w:tabs>
                <w:tab w:val="decimal" w:pos="95"/>
              </w:tabs>
              <w:spacing w:line="240" w:lineRule="auto"/>
              <w:jc w:val="center"/>
              <w:rPr>
                <w:rFonts w:ascii="Times New Roman" w:hAnsi="Times New Roman"/>
                <w:sz w:val="22"/>
                <w:szCs w:val="22"/>
                <w:lang w:val="pt-PT"/>
              </w:rPr>
            </w:pPr>
          </w:p>
        </w:tc>
      </w:tr>
      <w:tr w:rsidR="00A7162A" w14:paraId="6D0343A9" w14:textId="77777777" w:rsidTr="002F6811">
        <w:trPr>
          <w:cantSplit/>
        </w:trPr>
        <w:tc>
          <w:tcPr>
            <w:tcW w:w="1069" w:type="dxa"/>
            <w:tcBorders>
              <w:right w:val="single" w:sz="6" w:space="0" w:color="auto"/>
            </w:tcBorders>
          </w:tcPr>
          <w:p w14:paraId="64961BD1" w14:textId="77777777" w:rsidR="002F6811" w:rsidRPr="008912CF" w:rsidRDefault="00615769" w:rsidP="002F6811">
            <w:pPr>
              <w:pStyle w:val="In-texttable"/>
              <w:tabs>
                <w:tab w:val="left" w:pos="144"/>
              </w:tabs>
              <w:spacing w:line="240" w:lineRule="auto"/>
              <w:rPr>
                <w:rFonts w:ascii="Times New Roman" w:hAnsi="Times New Roman"/>
                <w:sz w:val="22"/>
                <w:szCs w:val="22"/>
                <w:lang w:val="pt-PT"/>
              </w:rPr>
            </w:pPr>
            <w:r w:rsidRPr="008912CF">
              <w:rPr>
                <w:rFonts w:ascii="Times New Roman" w:hAnsi="Times New Roman"/>
                <w:sz w:val="22"/>
                <w:szCs w:val="22"/>
                <w:lang w:val="pt-PT"/>
              </w:rPr>
              <w:tab/>
              <w:t>6</w:t>
            </w:r>
            <w:r>
              <w:rPr>
                <w:rFonts w:ascii="Times New Roman" w:hAnsi="Times New Roman"/>
                <w:sz w:val="22"/>
                <w:szCs w:val="22"/>
                <w:lang w:val="pt-PT"/>
              </w:rPr>
              <w:t> </w:t>
            </w:r>
            <w:r w:rsidRPr="008912CF">
              <w:rPr>
                <w:rFonts w:ascii="Times New Roman" w:hAnsi="Times New Roman"/>
                <w:sz w:val="22"/>
                <w:szCs w:val="22"/>
                <w:lang w:val="pt-PT"/>
              </w:rPr>
              <w:t>meses</w:t>
            </w:r>
          </w:p>
        </w:tc>
        <w:tc>
          <w:tcPr>
            <w:tcW w:w="1393" w:type="dxa"/>
            <w:tcBorders>
              <w:left w:val="single" w:sz="6" w:space="0" w:color="auto"/>
            </w:tcBorders>
          </w:tcPr>
          <w:p w14:paraId="6DB605C7" w14:textId="77777777" w:rsidR="002F6811" w:rsidRPr="008912CF" w:rsidRDefault="00615769" w:rsidP="002F6811">
            <w:pPr>
              <w:pStyle w:val="In-texttable"/>
              <w:tabs>
                <w:tab w:val="decimal" w:pos="259"/>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3,3%</w:t>
            </w:r>
          </w:p>
        </w:tc>
        <w:tc>
          <w:tcPr>
            <w:tcW w:w="1417" w:type="dxa"/>
            <w:tcBorders>
              <w:right w:val="single" w:sz="6" w:space="0" w:color="auto"/>
            </w:tcBorders>
          </w:tcPr>
          <w:p w14:paraId="7B088FDC" w14:textId="77777777" w:rsidR="002F6811" w:rsidRPr="008912CF" w:rsidRDefault="00615769" w:rsidP="002F6811">
            <w:pPr>
              <w:pStyle w:val="In-texttable"/>
              <w:tabs>
                <w:tab w:val="decimal" w:pos="250"/>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23,8%</w:t>
            </w:r>
          </w:p>
        </w:tc>
        <w:tc>
          <w:tcPr>
            <w:tcW w:w="1071" w:type="dxa"/>
            <w:tcBorders>
              <w:left w:val="single" w:sz="6" w:space="0" w:color="auto"/>
            </w:tcBorders>
          </w:tcPr>
          <w:p w14:paraId="1283F2C5" w14:textId="77777777" w:rsidR="002F6811" w:rsidRPr="008912CF" w:rsidRDefault="00615769" w:rsidP="002F6811">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1,8%</w:t>
            </w:r>
          </w:p>
        </w:tc>
        <w:tc>
          <w:tcPr>
            <w:tcW w:w="1197" w:type="dxa"/>
            <w:tcBorders>
              <w:right w:val="single" w:sz="6" w:space="0" w:color="auto"/>
            </w:tcBorders>
          </w:tcPr>
          <w:p w14:paraId="6B052F2E" w14:textId="77777777" w:rsidR="002F6811" w:rsidRPr="008912CF" w:rsidRDefault="00615769" w:rsidP="002F6811">
            <w:pPr>
              <w:pStyle w:val="In-texttable"/>
              <w:tabs>
                <w:tab w:val="decimal" w:pos="20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12,4%</w:t>
            </w:r>
          </w:p>
        </w:tc>
        <w:tc>
          <w:tcPr>
            <w:tcW w:w="1418" w:type="dxa"/>
            <w:tcBorders>
              <w:left w:val="single" w:sz="6" w:space="0" w:color="auto"/>
            </w:tcBorders>
          </w:tcPr>
          <w:p w14:paraId="40EFD9B8" w14:textId="77777777" w:rsidR="002F6811" w:rsidRPr="008912CF" w:rsidRDefault="00615769" w:rsidP="002F6811">
            <w:pPr>
              <w:pStyle w:val="In-texttable"/>
              <w:tabs>
                <w:tab w:val="decimal" w:pos="144"/>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2,5%</w:t>
            </w:r>
          </w:p>
        </w:tc>
        <w:tc>
          <w:tcPr>
            <w:tcW w:w="1559" w:type="dxa"/>
          </w:tcPr>
          <w:p w14:paraId="4C8031CC" w14:textId="77777777" w:rsidR="002F6811" w:rsidRPr="008912CF" w:rsidRDefault="00615769" w:rsidP="002F6811">
            <w:pPr>
              <w:pStyle w:val="In-texttable"/>
              <w:tabs>
                <w:tab w:val="decimal" w:pos="9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20,8%</w:t>
            </w:r>
          </w:p>
        </w:tc>
      </w:tr>
      <w:tr w:rsidR="00A7162A" w14:paraId="621F8E6C" w14:textId="77777777" w:rsidTr="002F6811">
        <w:trPr>
          <w:cantSplit/>
        </w:trPr>
        <w:tc>
          <w:tcPr>
            <w:tcW w:w="1069" w:type="dxa"/>
            <w:tcBorders>
              <w:bottom w:val="single" w:sz="6" w:space="0" w:color="auto"/>
              <w:right w:val="single" w:sz="6" w:space="0" w:color="auto"/>
            </w:tcBorders>
          </w:tcPr>
          <w:p w14:paraId="3147A175" w14:textId="77777777" w:rsidR="002F6811" w:rsidRPr="008912CF" w:rsidRDefault="00615769" w:rsidP="002F6811">
            <w:pPr>
              <w:pStyle w:val="In-texttable"/>
              <w:tabs>
                <w:tab w:val="left" w:pos="144"/>
              </w:tabs>
              <w:spacing w:line="240" w:lineRule="auto"/>
              <w:rPr>
                <w:rFonts w:ascii="Times New Roman" w:hAnsi="Times New Roman"/>
                <w:sz w:val="22"/>
                <w:szCs w:val="22"/>
                <w:lang w:val="pt-PT"/>
              </w:rPr>
            </w:pPr>
            <w:r w:rsidRPr="008912CF">
              <w:rPr>
                <w:rFonts w:ascii="Times New Roman" w:hAnsi="Times New Roman"/>
                <w:sz w:val="22"/>
                <w:szCs w:val="22"/>
                <w:lang w:val="pt-PT"/>
              </w:rPr>
              <w:tab/>
              <w:t>12</w:t>
            </w:r>
            <w:r>
              <w:rPr>
                <w:rFonts w:ascii="Times New Roman" w:hAnsi="Times New Roman"/>
                <w:sz w:val="22"/>
                <w:szCs w:val="22"/>
                <w:lang w:val="pt-PT"/>
              </w:rPr>
              <w:t> </w:t>
            </w:r>
            <w:r w:rsidRPr="008912CF">
              <w:rPr>
                <w:rFonts w:ascii="Times New Roman" w:hAnsi="Times New Roman"/>
                <w:sz w:val="22"/>
                <w:szCs w:val="22"/>
                <w:lang w:val="pt-PT"/>
              </w:rPr>
              <w:t>meses</w:t>
            </w:r>
          </w:p>
        </w:tc>
        <w:tc>
          <w:tcPr>
            <w:tcW w:w="1393" w:type="dxa"/>
            <w:tcBorders>
              <w:left w:val="single" w:sz="6" w:space="0" w:color="auto"/>
              <w:bottom w:val="single" w:sz="6" w:space="0" w:color="auto"/>
            </w:tcBorders>
          </w:tcPr>
          <w:p w14:paraId="2409D11C" w14:textId="77777777" w:rsidR="002F6811" w:rsidRPr="008912CF" w:rsidRDefault="00615769" w:rsidP="002F6811">
            <w:pPr>
              <w:pStyle w:val="In-texttable"/>
              <w:tabs>
                <w:tab w:val="decimal" w:pos="259"/>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417" w:type="dxa"/>
            <w:tcBorders>
              <w:bottom w:val="single" w:sz="6" w:space="0" w:color="auto"/>
              <w:right w:val="single" w:sz="6" w:space="0" w:color="auto"/>
            </w:tcBorders>
          </w:tcPr>
          <w:p w14:paraId="27A7DD37" w14:textId="77777777" w:rsidR="002F6811" w:rsidRPr="008912CF" w:rsidRDefault="00615769" w:rsidP="002F6811">
            <w:pPr>
              <w:pStyle w:val="In-texttable"/>
              <w:tabs>
                <w:tab w:val="decimal" w:pos="250"/>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071" w:type="dxa"/>
            <w:tcBorders>
              <w:left w:val="single" w:sz="6" w:space="0" w:color="auto"/>
              <w:bottom w:val="single" w:sz="6" w:space="0" w:color="auto"/>
            </w:tcBorders>
          </w:tcPr>
          <w:p w14:paraId="6DDE49BD" w14:textId="77777777" w:rsidR="002F6811" w:rsidRPr="008912CF" w:rsidRDefault="00615769" w:rsidP="002F6811">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197" w:type="dxa"/>
            <w:tcBorders>
              <w:bottom w:val="single" w:sz="6" w:space="0" w:color="auto"/>
              <w:right w:val="single" w:sz="6" w:space="0" w:color="auto"/>
            </w:tcBorders>
          </w:tcPr>
          <w:p w14:paraId="03BFD1CC" w14:textId="77777777" w:rsidR="002F6811" w:rsidRPr="008912CF" w:rsidRDefault="00615769" w:rsidP="002F6811">
            <w:pPr>
              <w:pStyle w:val="In-texttable"/>
              <w:tabs>
                <w:tab w:val="decimal" w:pos="20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418" w:type="dxa"/>
            <w:tcBorders>
              <w:left w:val="single" w:sz="6" w:space="0" w:color="auto"/>
              <w:bottom w:val="single" w:sz="6" w:space="0" w:color="auto"/>
            </w:tcBorders>
          </w:tcPr>
          <w:p w14:paraId="70E03594" w14:textId="77777777" w:rsidR="002F6811" w:rsidRPr="008912CF" w:rsidRDefault="00615769" w:rsidP="002F6811">
            <w:pPr>
              <w:pStyle w:val="In-texttable"/>
              <w:tabs>
                <w:tab w:val="decimal" w:pos="144"/>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4,5%</w:t>
            </w:r>
          </w:p>
        </w:tc>
        <w:tc>
          <w:tcPr>
            <w:tcW w:w="1559" w:type="dxa"/>
            <w:tcBorders>
              <w:bottom w:val="single" w:sz="6" w:space="0" w:color="auto"/>
            </w:tcBorders>
          </w:tcPr>
          <w:p w14:paraId="647470FD" w14:textId="77777777" w:rsidR="002F6811" w:rsidRPr="008912CF" w:rsidRDefault="00615769" w:rsidP="002F6811">
            <w:pPr>
              <w:pStyle w:val="In-texttable"/>
              <w:tabs>
                <w:tab w:val="decimal" w:pos="9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23,2%</w:t>
            </w:r>
          </w:p>
        </w:tc>
      </w:tr>
      <w:tr w:rsidR="00A7162A" w14:paraId="56769256" w14:textId="77777777" w:rsidTr="002F6811">
        <w:trPr>
          <w:cantSplit/>
        </w:trPr>
        <w:tc>
          <w:tcPr>
            <w:tcW w:w="9124" w:type="dxa"/>
            <w:gridSpan w:val="7"/>
          </w:tcPr>
          <w:p w14:paraId="6FA7B061" w14:textId="77777777" w:rsidR="002F6811" w:rsidRPr="008912CF" w:rsidRDefault="00615769" w:rsidP="002F6811">
            <w:pPr>
              <w:pStyle w:val="In-textfootnote"/>
              <w:spacing w:before="0" w:line="240" w:lineRule="auto"/>
              <w:ind w:left="144" w:hanging="144"/>
              <w:rPr>
                <w:rFonts w:ascii="Times New Roman" w:hAnsi="Times New Roman"/>
                <w:sz w:val="22"/>
                <w:szCs w:val="22"/>
                <w:lang w:val="pt-PT"/>
              </w:rPr>
            </w:pPr>
            <w:r w:rsidRPr="008912CF">
              <w:rPr>
                <w:rFonts w:ascii="Times New Roman" w:hAnsi="Times New Roman"/>
                <w:sz w:val="22"/>
                <w:szCs w:val="22"/>
                <w:vertAlign w:val="superscript"/>
                <w:lang w:val="pt-PT"/>
              </w:rPr>
              <w:t>a</w:t>
            </w:r>
            <w:r w:rsidRPr="008912CF">
              <w:rPr>
                <w:rFonts w:ascii="Times New Roman" w:hAnsi="Times New Roman"/>
                <w:sz w:val="22"/>
                <w:szCs w:val="22"/>
                <w:lang w:val="pt-PT"/>
              </w:rPr>
              <w:tab/>
              <w:t xml:space="preserve">Estudo AR I na semana 24, Estudo AR II na semana 26 e Estudo AR III nas semanas 24 e 52 </w:t>
            </w:r>
          </w:p>
          <w:p w14:paraId="0F266FB4" w14:textId="77777777" w:rsidR="002F6811" w:rsidRPr="008912CF" w:rsidRDefault="00615769" w:rsidP="002F6811">
            <w:pPr>
              <w:pStyle w:val="In-textfootnote"/>
              <w:spacing w:before="0" w:line="240" w:lineRule="auto"/>
              <w:ind w:left="144" w:hanging="144"/>
              <w:rPr>
                <w:rFonts w:ascii="Times New Roman" w:hAnsi="Times New Roman"/>
                <w:sz w:val="22"/>
                <w:szCs w:val="22"/>
                <w:lang w:val="pt-PT"/>
              </w:rPr>
            </w:pPr>
            <w:r w:rsidRPr="008912CF">
              <w:rPr>
                <w:rFonts w:ascii="Times New Roman" w:hAnsi="Times New Roman"/>
                <w:sz w:val="22"/>
                <w:szCs w:val="22"/>
                <w:vertAlign w:val="superscript"/>
                <w:lang w:val="pt-PT"/>
              </w:rPr>
              <w:t>b</w:t>
            </w:r>
            <w:r w:rsidRPr="008912CF">
              <w:rPr>
                <w:rFonts w:ascii="Times New Roman" w:hAnsi="Times New Roman"/>
                <w:sz w:val="22"/>
                <w:szCs w:val="22"/>
                <w:lang w:val="pt-PT"/>
              </w:rPr>
              <w:tab/>
              <w:t xml:space="preserve">40 mg de Humira administrados em semanas alternadas </w:t>
            </w:r>
          </w:p>
          <w:p w14:paraId="5098069C" w14:textId="77777777" w:rsidR="002F6811" w:rsidRPr="008912CF" w:rsidRDefault="00615769" w:rsidP="002F6811">
            <w:pPr>
              <w:pStyle w:val="In-textfootnote"/>
              <w:spacing w:before="0" w:line="240" w:lineRule="auto"/>
              <w:ind w:left="144" w:hanging="144"/>
              <w:rPr>
                <w:rFonts w:ascii="Times New Roman" w:hAnsi="Times New Roman"/>
                <w:sz w:val="22"/>
                <w:szCs w:val="22"/>
                <w:lang w:val="pt-PT"/>
              </w:rPr>
            </w:pPr>
            <w:r w:rsidRPr="008912CF">
              <w:rPr>
                <w:rFonts w:ascii="Times New Roman" w:hAnsi="Times New Roman"/>
                <w:sz w:val="22"/>
                <w:szCs w:val="22"/>
                <w:vertAlign w:val="superscript"/>
                <w:lang w:val="pt-PT"/>
              </w:rPr>
              <w:t>c</w:t>
            </w:r>
            <w:r w:rsidRPr="008912CF">
              <w:rPr>
                <w:rFonts w:ascii="Times New Roman" w:hAnsi="Times New Roman"/>
                <w:sz w:val="22"/>
                <w:szCs w:val="22"/>
                <w:lang w:val="pt-PT"/>
              </w:rPr>
              <w:t xml:space="preserve"> MTX  = metotrexato</w:t>
            </w:r>
          </w:p>
          <w:p w14:paraId="73426DAE" w14:textId="77777777" w:rsidR="002F6811" w:rsidRPr="008912CF" w:rsidRDefault="00615769" w:rsidP="002F6811">
            <w:pPr>
              <w:pStyle w:val="In-textfootnote"/>
              <w:spacing w:before="0" w:line="240" w:lineRule="auto"/>
              <w:ind w:left="144" w:hanging="144"/>
              <w:rPr>
                <w:rFonts w:ascii="Times New Roman" w:hAnsi="Times New Roman"/>
                <w:sz w:val="22"/>
                <w:szCs w:val="22"/>
                <w:lang w:val="pt-PT"/>
              </w:rPr>
            </w:pPr>
            <w:r w:rsidRPr="008912CF">
              <w:rPr>
                <w:rFonts w:ascii="Times New Roman" w:hAnsi="Times New Roman"/>
                <w:sz w:val="22"/>
                <w:szCs w:val="22"/>
                <w:lang w:val="pt-PT"/>
              </w:rPr>
              <w:t xml:space="preserve">**p &lt; 0,01, Humira </w:t>
            </w:r>
            <w:r w:rsidRPr="008912CF">
              <w:rPr>
                <w:rFonts w:ascii="Times New Roman" w:hAnsi="Times New Roman"/>
                <w:i/>
                <w:iCs/>
                <w:sz w:val="22"/>
                <w:szCs w:val="22"/>
                <w:lang w:val="pt-PT"/>
              </w:rPr>
              <w:t xml:space="preserve">versus </w:t>
            </w:r>
            <w:r w:rsidRPr="008912CF">
              <w:rPr>
                <w:rFonts w:ascii="Times New Roman" w:hAnsi="Times New Roman"/>
                <w:sz w:val="22"/>
                <w:szCs w:val="22"/>
                <w:lang w:val="pt-PT"/>
              </w:rPr>
              <w:t>placebo</w:t>
            </w:r>
          </w:p>
        </w:tc>
      </w:tr>
    </w:tbl>
    <w:p w14:paraId="1DD8DD43" w14:textId="77777777" w:rsidR="002F6811" w:rsidRPr="008912CF" w:rsidRDefault="002F6811" w:rsidP="002F6811">
      <w:pPr>
        <w:pStyle w:val="EndnoteText"/>
        <w:rPr>
          <w:szCs w:val="22"/>
        </w:rPr>
      </w:pPr>
    </w:p>
    <w:p w14:paraId="23AD1C06" w14:textId="77777777" w:rsidR="002F6811" w:rsidRPr="008912CF" w:rsidRDefault="00615769" w:rsidP="002F6811">
      <w:pPr>
        <w:rPr>
          <w:sz w:val="22"/>
          <w:szCs w:val="22"/>
        </w:rPr>
      </w:pPr>
      <w:r w:rsidRPr="008912CF">
        <w:rPr>
          <w:sz w:val="22"/>
          <w:szCs w:val="22"/>
        </w:rPr>
        <w:t xml:space="preserve">Nos estudos AR I-IV, todos os componentes individuais dos critérios de resposta ACR (número de articulações com edema e hipersensibilidade, avaliação pelo médico e pelo doente da atividade da doença e da dor, pontuação do índice de incapacidade (HAQ) e valores PCR (mg/dl)) registaram melhoria nas semanas 24 ou 26 relativamente ao placebo. No </w:t>
      </w:r>
      <w:r w:rsidR="00F96DDF">
        <w:rPr>
          <w:sz w:val="22"/>
          <w:szCs w:val="22"/>
        </w:rPr>
        <w:t>e</w:t>
      </w:r>
      <w:r w:rsidRPr="008912CF">
        <w:rPr>
          <w:sz w:val="22"/>
          <w:szCs w:val="22"/>
        </w:rPr>
        <w:t xml:space="preserve">studo AR III, estas melhorias mantiveram-se durante 52 semanas. </w:t>
      </w:r>
    </w:p>
    <w:p w14:paraId="4318CD00" w14:textId="77777777" w:rsidR="002F6811" w:rsidRPr="008912CF" w:rsidRDefault="002F6811" w:rsidP="002F6811">
      <w:pPr>
        <w:rPr>
          <w:sz w:val="22"/>
          <w:szCs w:val="22"/>
        </w:rPr>
      </w:pPr>
    </w:p>
    <w:p w14:paraId="297D4308" w14:textId="77777777" w:rsidR="002F6811" w:rsidRPr="008912CF" w:rsidRDefault="00615769" w:rsidP="002F6811">
      <w:pPr>
        <w:rPr>
          <w:sz w:val="22"/>
          <w:szCs w:val="22"/>
        </w:rPr>
      </w:pPr>
      <w:r w:rsidRPr="008912CF">
        <w:rPr>
          <w:sz w:val="22"/>
          <w:szCs w:val="22"/>
        </w:rPr>
        <w:t>Na extensão de fase aberta do estudo AR III, a maioria dos doentes</w:t>
      </w:r>
      <w:r w:rsidRPr="008912CF">
        <w:t xml:space="preserve"> </w:t>
      </w:r>
      <w:r w:rsidRPr="008912CF">
        <w:rPr>
          <w:sz w:val="22"/>
          <w:szCs w:val="22"/>
        </w:rPr>
        <w:t>que foram respondedores ACR mantiveram a resposta quando acompanhados até 10</w:t>
      </w:r>
      <w:r>
        <w:rPr>
          <w:sz w:val="22"/>
          <w:szCs w:val="22"/>
        </w:rPr>
        <w:t> </w:t>
      </w:r>
      <w:r w:rsidRPr="008912CF">
        <w:rPr>
          <w:sz w:val="22"/>
          <w:szCs w:val="22"/>
        </w:rPr>
        <w:t xml:space="preserve">anos. Dos 207 doentes, que foram </w:t>
      </w:r>
      <w:r w:rsidR="0013275C">
        <w:rPr>
          <w:sz w:val="22"/>
          <w:szCs w:val="22"/>
        </w:rPr>
        <w:t>aleatorizado</w:t>
      </w:r>
      <w:r w:rsidRPr="008912CF">
        <w:rPr>
          <w:sz w:val="22"/>
          <w:szCs w:val="22"/>
        </w:rPr>
        <w:t>s com Humira 40 mg em semanas alternadas, 114 doentes continuaram com Humira 40</w:t>
      </w:r>
      <w:r>
        <w:rPr>
          <w:sz w:val="22"/>
          <w:szCs w:val="22"/>
        </w:rPr>
        <w:t> </w:t>
      </w:r>
      <w:r w:rsidRPr="008912CF">
        <w:rPr>
          <w:sz w:val="22"/>
          <w:szCs w:val="22"/>
        </w:rPr>
        <w:t>mg, em semanas alternadas, durante 5 anos. Entre estes, 86 doentes (75,4</w:t>
      </w:r>
      <w:r w:rsidR="009343EF">
        <w:rPr>
          <w:sz w:val="22"/>
          <w:szCs w:val="22"/>
        </w:rPr>
        <w:t>%</w:t>
      </w:r>
      <w:r w:rsidRPr="008912CF">
        <w:rPr>
          <w:sz w:val="22"/>
          <w:szCs w:val="22"/>
        </w:rPr>
        <w:t>) obtiveram uma resposta ACR 20; 72 doentes (63,2</w:t>
      </w:r>
      <w:r w:rsidR="009343EF">
        <w:rPr>
          <w:sz w:val="22"/>
          <w:szCs w:val="22"/>
        </w:rPr>
        <w:t>%</w:t>
      </w:r>
      <w:r w:rsidRPr="008912CF">
        <w:rPr>
          <w:sz w:val="22"/>
          <w:szCs w:val="22"/>
        </w:rPr>
        <w:t>) obtiveram uma resposta ACR 50; e 41 doentes (36</w:t>
      </w:r>
      <w:r w:rsidR="009343EF">
        <w:rPr>
          <w:sz w:val="22"/>
          <w:szCs w:val="22"/>
        </w:rPr>
        <w:t>%</w:t>
      </w:r>
      <w:r w:rsidRPr="008912CF">
        <w:rPr>
          <w:sz w:val="22"/>
          <w:szCs w:val="22"/>
        </w:rPr>
        <w:t>) obtiveram uma resposta ACR 70. Dos 207 doentes, 81 doentes continuaram com Humira 40 mg, em semanas alternadas, durante 10 anos. Entre</w:t>
      </w:r>
      <w:r w:rsidRPr="008912CF">
        <w:rPr>
          <w:sz w:val="22"/>
          <w:szCs w:val="22"/>
        </w:rPr>
        <w:t xml:space="preserve"> estes, 64 doentes (79</w:t>
      </w:r>
      <w:r w:rsidR="00F96DDF">
        <w:rPr>
          <w:sz w:val="22"/>
          <w:szCs w:val="22"/>
        </w:rPr>
        <w:t>,0</w:t>
      </w:r>
      <w:r w:rsidR="009343EF">
        <w:rPr>
          <w:sz w:val="22"/>
          <w:szCs w:val="22"/>
        </w:rPr>
        <w:t>%</w:t>
      </w:r>
      <w:r w:rsidRPr="008912CF">
        <w:rPr>
          <w:sz w:val="22"/>
          <w:szCs w:val="22"/>
        </w:rPr>
        <w:t>) obtiveram uma resposta ACR 20; 56 doentes (69,1</w:t>
      </w:r>
      <w:r w:rsidR="009343EF">
        <w:rPr>
          <w:sz w:val="22"/>
          <w:szCs w:val="22"/>
        </w:rPr>
        <w:t>%</w:t>
      </w:r>
      <w:r w:rsidRPr="008912CF">
        <w:rPr>
          <w:sz w:val="22"/>
          <w:szCs w:val="22"/>
        </w:rPr>
        <w:t>) obtiveram uma resposta ACR 50; e 43 doentes (53,1</w:t>
      </w:r>
      <w:r w:rsidR="009343EF">
        <w:rPr>
          <w:sz w:val="22"/>
          <w:szCs w:val="22"/>
        </w:rPr>
        <w:t>%</w:t>
      </w:r>
      <w:r w:rsidRPr="008912CF">
        <w:rPr>
          <w:sz w:val="22"/>
          <w:szCs w:val="22"/>
        </w:rPr>
        <w:t xml:space="preserve">) obtiveram uma resposta ACR 70.  </w:t>
      </w:r>
    </w:p>
    <w:p w14:paraId="45814F11" w14:textId="77777777" w:rsidR="002F6811" w:rsidRPr="008912CF" w:rsidRDefault="002F6811" w:rsidP="002F6811">
      <w:pPr>
        <w:rPr>
          <w:sz w:val="22"/>
          <w:szCs w:val="22"/>
        </w:rPr>
      </w:pPr>
    </w:p>
    <w:p w14:paraId="0CC30BC2" w14:textId="77777777" w:rsidR="002F6811" w:rsidRPr="008912CF" w:rsidRDefault="00615769" w:rsidP="002F6811">
      <w:pPr>
        <w:rPr>
          <w:sz w:val="22"/>
          <w:szCs w:val="22"/>
        </w:rPr>
      </w:pPr>
      <w:r w:rsidRPr="008912CF">
        <w:rPr>
          <w:sz w:val="22"/>
          <w:szCs w:val="22"/>
        </w:rPr>
        <w:t>No estudo AR IV, a resposta ACR 20 dos doentes tratados com Humira em associação com cuidados padrão foi superior à registada nos doentes tratados com placebo em associação com cuidados padrão, sendo a diferença estatisticamente significativa (p &lt; 0,001).</w:t>
      </w:r>
    </w:p>
    <w:p w14:paraId="31A6B704" w14:textId="77777777" w:rsidR="002F6811" w:rsidRPr="008912CF" w:rsidRDefault="002F6811" w:rsidP="002F6811">
      <w:pPr>
        <w:pStyle w:val="Corpodetexto1"/>
        <w:tabs>
          <w:tab w:val="clear" w:pos="1152"/>
          <w:tab w:val="clear" w:pos="1872"/>
        </w:tabs>
        <w:spacing w:after="0" w:line="240" w:lineRule="auto"/>
        <w:ind w:left="0"/>
        <w:jc w:val="left"/>
        <w:rPr>
          <w:sz w:val="22"/>
          <w:szCs w:val="22"/>
          <w:lang w:val="pt-PT"/>
        </w:rPr>
      </w:pPr>
    </w:p>
    <w:p w14:paraId="63C7EE5D" w14:textId="77777777" w:rsidR="002F6811" w:rsidRPr="008912CF" w:rsidRDefault="00615769" w:rsidP="002F6811">
      <w:pPr>
        <w:rPr>
          <w:sz w:val="22"/>
          <w:szCs w:val="22"/>
        </w:rPr>
      </w:pPr>
      <w:r w:rsidRPr="008912CF">
        <w:rPr>
          <w:sz w:val="22"/>
          <w:szCs w:val="22"/>
        </w:rPr>
        <w:t>Nos estudos AR I-IV, os doentes tratados com Humira atingiram logo após uma a duas semanas a seguir ao início do tratamento respostas ACR 20 e 50 estatisticamente significativas em relação ao placebo.</w:t>
      </w:r>
    </w:p>
    <w:p w14:paraId="081064CB" w14:textId="77777777" w:rsidR="002F6811" w:rsidRPr="008912CF" w:rsidRDefault="002F6811" w:rsidP="002F6811">
      <w:pPr>
        <w:rPr>
          <w:sz w:val="22"/>
          <w:szCs w:val="22"/>
        </w:rPr>
      </w:pPr>
    </w:p>
    <w:p w14:paraId="77F76EA6" w14:textId="77777777" w:rsidR="002F6811" w:rsidRPr="008912CF" w:rsidRDefault="00615769" w:rsidP="002F6811">
      <w:pPr>
        <w:rPr>
          <w:sz w:val="22"/>
          <w:szCs w:val="22"/>
        </w:rPr>
      </w:pPr>
      <w:r w:rsidRPr="008912CF">
        <w:rPr>
          <w:sz w:val="22"/>
          <w:szCs w:val="22"/>
        </w:rPr>
        <w:t>No estudo AR V em doentes com artrite reumatoide precoce não tratados previamente com metotrexato, a associação terapêutica Humira e metotrexato originou respostas ACR mais rápidas e significativamente superiores do que metotrexato e Humira em monoterapia na Semana</w:t>
      </w:r>
      <w:r>
        <w:rPr>
          <w:sz w:val="22"/>
          <w:szCs w:val="22"/>
        </w:rPr>
        <w:t> </w:t>
      </w:r>
      <w:r w:rsidRPr="008912CF">
        <w:rPr>
          <w:sz w:val="22"/>
          <w:szCs w:val="22"/>
        </w:rPr>
        <w:t>52, sendo as respostas mantidas até à Semana</w:t>
      </w:r>
      <w:r>
        <w:rPr>
          <w:sz w:val="22"/>
          <w:szCs w:val="22"/>
        </w:rPr>
        <w:t> </w:t>
      </w:r>
      <w:r w:rsidRPr="008912CF">
        <w:rPr>
          <w:sz w:val="22"/>
          <w:szCs w:val="22"/>
        </w:rPr>
        <w:t xml:space="preserve">104 (ver Tabela </w:t>
      </w:r>
      <w:r w:rsidR="00116EA1">
        <w:rPr>
          <w:sz w:val="22"/>
          <w:szCs w:val="22"/>
        </w:rPr>
        <w:t>8</w:t>
      </w:r>
      <w:r w:rsidRPr="008912CF">
        <w:rPr>
          <w:sz w:val="22"/>
          <w:szCs w:val="22"/>
        </w:rPr>
        <w:t>).</w:t>
      </w:r>
    </w:p>
    <w:p w14:paraId="6A5CCB44" w14:textId="77777777" w:rsidR="002F6811" w:rsidRPr="008912CF" w:rsidRDefault="002F6811" w:rsidP="002F6811">
      <w:pPr>
        <w:pStyle w:val="Footer"/>
        <w:keepNext/>
        <w:tabs>
          <w:tab w:val="clear" w:pos="4320"/>
          <w:tab w:val="clear" w:pos="8640"/>
        </w:tabs>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1718"/>
        <w:gridCol w:w="1320"/>
        <w:gridCol w:w="1238"/>
        <w:gridCol w:w="1658"/>
        <w:gridCol w:w="1100"/>
        <w:gridCol w:w="1173"/>
        <w:gridCol w:w="1210"/>
        <w:gridCol w:w="12"/>
      </w:tblGrid>
      <w:tr w:rsidR="00A7162A" w14:paraId="6BE7A6C2" w14:textId="77777777" w:rsidTr="002F6811">
        <w:trPr>
          <w:gridBefore w:val="1"/>
          <w:wBefore w:w="6" w:type="dxa"/>
          <w:cantSplit/>
          <w:jc w:val="center"/>
        </w:trPr>
        <w:tc>
          <w:tcPr>
            <w:tcW w:w="9429" w:type="dxa"/>
            <w:gridSpan w:val="8"/>
            <w:tcBorders>
              <w:top w:val="nil"/>
              <w:left w:val="nil"/>
              <w:bottom w:val="nil"/>
              <w:right w:val="nil"/>
            </w:tcBorders>
            <w:vAlign w:val="center"/>
          </w:tcPr>
          <w:p w14:paraId="04EEDE60" w14:textId="77777777" w:rsidR="002F6811" w:rsidRPr="008912CF" w:rsidRDefault="00615769" w:rsidP="002F6811">
            <w:pPr>
              <w:pStyle w:val="BodyText"/>
              <w:keepNext/>
              <w:tabs>
                <w:tab w:val="left" w:pos="3600"/>
                <w:tab w:val="center" w:pos="5760"/>
              </w:tabs>
              <w:jc w:val="center"/>
              <w:rPr>
                <w:b/>
                <w:bCs/>
              </w:rPr>
            </w:pPr>
            <w:r w:rsidRPr="008912CF">
              <w:rPr>
                <w:b/>
                <w:bCs/>
                <w:sz w:val="22"/>
                <w:szCs w:val="22"/>
              </w:rPr>
              <w:t xml:space="preserve">Tabela </w:t>
            </w:r>
            <w:r w:rsidR="00116EA1">
              <w:rPr>
                <w:b/>
                <w:bCs/>
                <w:sz w:val="22"/>
                <w:szCs w:val="22"/>
              </w:rPr>
              <w:t>8</w:t>
            </w:r>
          </w:p>
          <w:p w14:paraId="5AD5C737" w14:textId="77777777" w:rsidR="002F6811" w:rsidRPr="008912CF" w:rsidRDefault="00615769" w:rsidP="002F6811">
            <w:pPr>
              <w:pStyle w:val="BodyText"/>
              <w:keepNext/>
              <w:tabs>
                <w:tab w:val="left" w:pos="3600"/>
                <w:tab w:val="center" w:pos="5760"/>
              </w:tabs>
              <w:jc w:val="center"/>
              <w:rPr>
                <w:b/>
                <w:bCs/>
              </w:rPr>
            </w:pPr>
            <w:r w:rsidRPr="008912CF">
              <w:rPr>
                <w:b/>
                <w:bCs/>
                <w:sz w:val="22"/>
                <w:szCs w:val="22"/>
              </w:rPr>
              <w:t>Respostas ACR no Estudo AR V</w:t>
            </w:r>
          </w:p>
          <w:p w14:paraId="5648679D" w14:textId="77777777" w:rsidR="002F6811" w:rsidRPr="008912CF" w:rsidRDefault="00615769" w:rsidP="002F6811">
            <w:pPr>
              <w:pStyle w:val="BodyText"/>
              <w:keepNext/>
              <w:tabs>
                <w:tab w:val="left" w:pos="3600"/>
                <w:tab w:val="center" w:pos="5760"/>
              </w:tabs>
              <w:jc w:val="center"/>
              <w:rPr>
                <w:bCs/>
                <w:i/>
                <w:caps/>
              </w:rPr>
            </w:pPr>
            <w:r w:rsidRPr="008912CF">
              <w:rPr>
                <w:b/>
                <w:bCs/>
                <w:sz w:val="22"/>
                <w:szCs w:val="22"/>
              </w:rPr>
              <w:t>(percentagem de doentes</w:t>
            </w:r>
            <w:r w:rsidRPr="008912CF">
              <w:rPr>
                <w:b/>
                <w:bCs/>
                <w:caps/>
                <w:sz w:val="22"/>
                <w:szCs w:val="22"/>
              </w:rPr>
              <w:t>)</w:t>
            </w:r>
          </w:p>
          <w:p w14:paraId="32BBDBAF" w14:textId="77777777" w:rsidR="002F6811" w:rsidRPr="008912CF" w:rsidRDefault="002F6811" w:rsidP="002F6811">
            <w:pPr>
              <w:pStyle w:val="BodyText"/>
              <w:keepNext/>
              <w:tabs>
                <w:tab w:val="left" w:pos="3600"/>
                <w:tab w:val="center" w:pos="5760"/>
              </w:tabs>
              <w:jc w:val="center"/>
              <w:rPr>
                <w:bCs/>
                <w:i/>
              </w:rPr>
            </w:pPr>
          </w:p>
        </w:tc>
      </w:tr>
      <w:tr w:rsidR="00A7162A" w14:paraId="7DD83739" w14:textId="77777777" w:rsidTr="002F6811">
        <w:trPr>
          <w:gridAfter w:val="1"/>
          <w:wAfter w:w="12" w:type="dxa"/>
          <w:cantSplit/>
          <w:jc w:val="center"/>
        </w:trPr>
        <w:tc>
          <w:tcPr>
            <w:tcW w:w="1724" w:type="dxa"/>
            <w:gridSpan w:val="2"/>
            <w:vAlign w:val="center"/>
          </w:tcPr>
          <w:p w14:paraId="30F546AE" w14:textId="77777777" w:rsidR="002F6811" w:rsidRPr="008912CF" w:rsidRDefault="00615769" w:rsidP="002F6811">
            <w:pPr>
              <w:keepNext/>
              <w:rPr>
                <w:b/>
                <w:bCs/>
              </w:rPr>
            </w:pPr>
            <w:r w:rsidRPr="008912CF">
              <w:rPr>
                <w:b/>
                <w:bCs/>
                <w:sz w:val="22"/>
                <w:szCs w:val="22"/>
              </w:rPr>
              <w:t>Resposta</w:t>
            </w:r>
          </w:p>
        </w:tc>
        <w:tc>
          <w:tcPr>
            <w:tcW w:w="1320" w:type="dxa"/>
            <w:vAlign w:val="center"/>
          </w:tcPr>
          <w:p w14:paraId="4CA551C2" w14:textId="77777777" w:rsidR="002F6811" w:rsidRPr="008912CF" w:rsidRDefault="00615769" w:rsidP="002F6811">
            <w:pPr>
              <w:keepNext/>
              <w:jc w:val="center"/>
              <w:rPr>
                <w:b/>
                <w:bCs/>
              </w:rPr>
            </w:pPr>
            <w:r w:rsidRPr="008912CF">
              <w:rPr>
                <w:b/>
                <w:bCs/>
                <w:sz w:val="22"/>
                <w:szCs w:val="22"/>
              </w:rPr>
              <w:t>MTX</w:t>
            </w:r>
          </w:p>
          <w:p w14:paraId="7D3E636D" w14:textId="77777777" w:rsidR="002F6811" w:rsidRPr="008912CF" w:rsidRDefault="00615769" w:rsidP="002F6811">
            <w:pPr>
              <w:pStyle w:val="EndnoteText"/>
              <w:keepNext/>
              <w:jc w:val="center"/>
              <w:rPr>
                <w:b/>
                <w:bCs/>
                <w:szCs w:val="22"/>
              </w:rPr>
            </w:pPr>
            <w:r w:rsidRPr="008912CF">
              <w:rPr>
                <w:b/>
                <w:bCs/>
                <w:szCs w:val="22"/>
              </w:rPr>
              <w:t>n = 257</w:t>
            </w:r>
          </w:p>
        </w:tc>
        <w:tc>
          <w:tcPr>
            <w:tcW w:w="1238" w:type="dxa"/>
            <w:vAlign w:val="center"/>
          </w:tcPr>
          <w:p w14:paraId="5D7958A3" w14:textId="77777777" w:rsidR="002F6811" w:rsidRPr="008912CF" w:rsidRDefault="00615769" w:rsidP="002F6811">
            <w:pPr>
              <w:keepNext/>
              <w:jc w:val="center"/>
              <w:rPr>
                <w:b/>
                <w:bCs/>
              </w:rPr>
            </w:pPr>
            <w:r w:rsidRPr="008912CF">
              <w:rPr>
                <w:b/>
                <w:bCs/>
                <w:sz w:val="22"/>
                <w:szCs w:val="22"/>
              </w:rPr>
              <w:t>Humira</w:t>
            </w:r>
          </w:p>
          <w:p w14:paraId="134A51CA" w14:textId="77777777" w:rsidR="002F6811" w:rsidRPr="008912CF" w:rsidRDefault="00615769" w:rsidP="002F6811">
            <w:pPr>
              <w:keepNext/>
              <w:jc w:val="center"/>
              <w:rPr>
                <w:b/>
                <w:bCs/>
              </w:rPr>
            </w:pPr>
            <w:r w:rsidRPr="008912CF">
              <w:rPr>
                <w:b/>
                <w:bCs/>
                <w:sz w:val="22"/>
                <w:szCs w:val="22"/>
              </w:rPr>
              <w:t>n = 274</w:t>
            </w:r>
          </w:p>
        </w:tc>
        <w:tc>
          <w:tcPr>
            <w:tcW w:w="1658" w:type="dxa"/>
            <w:vAlign w:val="center"/>
          </w:tcPr>
          <w:p w14:paraId="25306D6E" w14:textId="77777777" w:rsidR="002F6811" w:rsidRPr="008912CF" w:rsidRDefault="00615769" w:rsidP="002F6811">
            <w:pPr>
              <w:keepNext/>
              <w:jc w:val="center"/>
              <w:rPr>
                <w:b/>
                <w:bCs/>
              </w:rPr>
            </w:pPr>
            <w:r w:rsidRPr="008912CF">
              <w:rPr>
                <w:b/>
                <w:bCs/>
                <w:sz w:val="22"/>
                <w:szCs w:val="22"/>
              </w:rPr>
              <w:t>Humira/MTX</w:t>
            </w:r>
          </w:p>
          <w:p w14:paraId="4DE2CD88" w14:textId="77777777" w:rsidR="002F6811" w:rsidRPr="008912CF" w:rsidRDefault="00615769" w:rsidP="002F6811">
            <w:pPr>
              <w:keepNext/>
              <w:jc w:val="center"/>
              <w:rPr>
                <w:b/>
                <w:bCs/>
              </w:rPr>
            </w:pPr>
            <w:r w:rsidRPr="008912CF">
              <w:rPr>
                <w:b/>
                <w:bCs/>
                <w:sz w:val="22"/>
                <w:szCs w:val="22"/>
              </w:rPr>
              <w:t>n = 268</w:t>
            </w:r>
          </w:p>
        </w:tc>
        <w:tc>
          <w:tcPr>
            <w:tcW w:w="1100" w:type="dxa"/>
            <w:vAlign w:val="center"/>
          </w:tcPr>
          <w:p w14:paraId="10F3B992" w14:textId="77777777" w:rsidR="002F6811" w:rsidRPr="008912CF" w:rsidRDefault="00615769" w:rsidP="002F6811">
            <w:pPr>
              <w:pStyle w:val="EndnoteText"/>
              <w:keepNext/>
              <w:jc w:val="center"/>
              <w:rPr>
                <w:b/>
                <w:bCs/>
                <w:szCs w:val="22"/>
              </w:rPr>
            </w:pPr>
            <w:r w:rsidRPr="008912CF">
              <w:rPr>
                <w:b/>
                <w:bCs/>
                <w:szCs w:val="22"/>
              </w:rPr>
              <w:t>valor</w:t>
            </w:r>
            <w:r w:rsidR="004D006C">
              <w:rPr>
                <w:b/>
                <w:bCs/>
                <w:szCs w:val="22"/>
              </w:rPr>
              <w:t>-p</w:t>
            </w:r>
            <w:r w:rsidRPr="008912CF">
              <w:rPr>
                <w:b/>
                <w:bCs/>
                <w:szCs w:val="22"/>
                <w:vertAlign w:val="superscript"/>
              </w:rPr>
              <w:t>a</w:t>
            </w:r>
          </w:p>
        </w:tc>
        <w:tc>
          <w:tcPr>
            <w:tcW w:w="1173" w:type="dxa"/>
            <w:vAlign w:val="center"/>
          </w:tcPr>
          <w:p w14:paraId="7122BD60" w14:textId="77777777" w:rsidR="002F6811" w:rsidRPr="008912CF" w:rsidRDefault="00615769" w:rsidP="002F6811">
            <w:pPr>
              <w:keepNext/>
              <w:jc w:val="center"/>
              <w:rPr>
                <w:b/>
                <w:bCs/>
              </w:rPr>
            </w:pPr>
            <w:r w:rsidRPr="008912CF">
              <w:rPr>
                <w:b/>
                <w:bCs/>
                <w:sz w:val="22"/>
                <w:szCs w:val="22"/>
              </w:rPr>
              <w:t>valor</w:t>
            </w:r>
            <w:r w:rsidR="004D006C">
              <w:rPr>
                <w:b/>
                <w:bCs/>
                <w:sz w:val="22"/>
                <w:szCs w:val="22"/>
              </w:rPr>
              <w:t>-p</w:t>
            </w:r>
            <w:r w:rsidRPr="008912CF">
              <w:rPr>
                <w:b/>
                <w:bCs/>
                <w:sz w:val="22"/>
                <w:szCs w:val="22"/>
                <w:vertAlign w:val="superscript"/>
              </w:rPr>
              <w:t>b</w:t>
            </w:r>
          </w:p>
        </w:tc>
        <w:tc>
          <w:tcPr>
            <w:tcW w:w="1210" w:type="dxa"/>
            <w:vAlign w:val="center"/>
          </w:tcPr>
          <w:p w14:paraId="5CC7F393" w14:textId="77777777" w:rsidR="002F6811" w:rsidRPr="008912CF" w:rsidRDefault="00615769" w:rsidP="002F6811">
            <w:pPr>
              <w:keepNext/>
              <w:jc w:val="center"/>
            </w:pPr>
            <w:r w:rsidRPr="008912CF">
              <w:rPr>
                <w:b/>
                <w:bCs/>
                <w:sz w:val="22"/>
                <w:szCs w:val="22"/>
              </w:rPr>
              <w:t>valor</w:t>
            </w:r>
            <w:r w:rsidR="004D006C">
              <w:rPr>
                <w:b/>
                <w:bCs/>
                <w:sz w:val="22"/>
                <w:szCs w:val="22"/>
              </w:rPr>
              <w:t>-p</w:t>
            </w:r>
            <w:r w:rsidRPr="008912CF">
              <w:rPr>
                <w:b/>
                <w:bCs/>
                <w:sz w:val="22"/>
                <w:szCs w:val="22"/>
                <w:vertAlign w:val="superscript"/>
              </w:rPr>
              <w:t>c</w:t>
            </w:r>
          </w:p>
        </w:tc>
      </w:tr>
      <w:tr w:rsidR="00A7162A" w14:paraId="3BA1AE33" w14:textId="77777777" w:rsidTr="002F6811">
        <w:trPr>
          <w:gridAfter w:val="1"/>
          <w:wAfter w:w="12" w:type="dxa"/>
          <w:cantSplit/>
          <w:jc w:val="center"/>
        </w:trPr>
        <w:tc>
          <w:tcPr>
            <w:tcW w:w="1724" w:type="dxa"/>
            <w:gridSpan w:val="2"/>
          </w:tcPr>
          <w:p w14:paraId="6ACB8A54" w14:textId="77777777" w:rsidR="002F6811" w:rsidRPr="008912CF" w:rsidRDefault="00615769" w:rsidP="002F6811">
            <w:pPr>
              <w:keepNext/>
            </w:pPr>
            <w:r w:rsidRPr="008912CF">
              <w:rPr>
                <w:sz w:val="22"/>
                <w:szCs w:val="22"/>
              </w:rPr>
              <w:t>ACR 20</w:t>
            </w:r>
          </w:p>
        </w:tc>
        <w:tc>
          <w:tcPr>
            <w:tcW w:w="1320" w:type="dxa"/>
          </w:tcPr>
          <w:p w14:paraId="1D86A5D7" w14:textId="77777777" w:rsidR="002F6811" w:rsidRPr="008912CF" w:rsidRDefault="002F6811" w:rsidP="002F6811">
            <w:pPr>
              <w:keepNext/>
              <w:jc w:val="center"/>
            </w:pPr>
          </w:p>
        </w:tc>
        <w:tc>
          <w:tcPr>
            <w:tcW w:w="1238" w:type="dxa"/>
          </w:tcPr>
          <w:p w14:paraId="5194DD2E" w14:textId="77777777" w:rsidR="002F6811" w:rsidRPr="008912CF" w:rsidRDefault="002F6811" w:rsidP="002F6811">
            <w:pPr>
              <w:keepNext/>
              <w:jc w:val="center"/>
            </w:pPr>
          </w:p>
        </w:tc>
        <w:tc>
          <w:tcPr>
            <w:tcW w:w="1658" w:type="dxa"/>
          </w:tcPr>
          <w:p w14:paraId="56F610C4" w14:textId="77777777" w:rsidR="002F6811" w:rsidRPr="008912CF" w:rsidRDefault="002F6811" w:rsidP="002F6811">
            <w:pPr>
              <w:keepNext/>
              <w:jc w:val="center"/>
            </w:pPr>
          </w:p>
        </w:tc>
        <w:tc>
          <w:tcPr>
            <w:tcW w:w="1100" w:type="dxa"/>
          </w:tcPr>
          <w:p w14:paraId="38EE0DFD" w14:textId="77777777" w:rsidR="002F6811" w:rsidRPr="008912CF" w:rsidRDefault="002F6811" w:rsidP="002F6811">
            <w:pPr>
              <w:keepNext/>
              <w:jc w:val="center"/>
            </w:pPr>
          </w:p>
        </w:tc>
        <w:tc>
          <w:tcPr>
            <w:tcW w:w="1173" w:type="dxa"/>
          </w:tcPr>
          <w:p w14:paraId="1F9B7422" w14:textId="77777777" w:rsidR="002F6811" w:rsidRPr="008912CF" w:rsidRDefault="002F6811" w:rsidP="002F6811">
            <w:pPr>
              <w:keepNext/>
              <w:jc w:val="center"/>
            </w:pPr>
          </w:p>
        </w:tc>
        <w:tc>
          <w:tcPr>
            <w:tcW w:w="1210" w:type="dxa"/>
          </w:tcPr>
          <w:p w14:paraId="29C3124C" w14:textId="77777777" w:rsidR="002F6811" w:rsidRPr="008912CF" w:rsidRDefault="002F6811" w:rsidP="002F6811">
            <w:pPr>
              <w:keepNext/>
              <w:jc w:val="center"/>
            </w:pPr>
          </w:p>
        </w:tc>
      </w:tr>
      <w:tr w:rsidR="00A7162A" w14:paraId="27639140" w14:textId="77777777" w:rsidTr="002F6811">
        <w:trPr>
          <w:gridAfter w:val="1"/>
          <w:wAfter w:w="12" w:type="dxa"/>
          <w:cantSplit/>
          <w:jc w:val="center"/>
        </w:trPr>
        <w:tc>
          <w:tcPr>
            <w:tcW w:w="1724" w:type="dxa"/>
            <w:gridSpan w:val="2"/>
          </w:tcPr>
          <w:p w14:paraId="44A4A408" w14:textId="77777777" w:rsidR="002F6811" w:rsidRPr="008912CF" w:rsidRDefault="00615769" w:rsidP="002F6811">
            <w:pPr>
              <w:keepNext/>
            </w:pPr>
            <w:r w:rsidRPr="008912CF">
              <w:rPr>
                <w:sz w:val="22"/>
                <w:szCs w:val="22"/>
              </w:rPr>
              <w:t xml:space="preserve">     Semana</w:t>
            </w:r>
            <w:r>
              <w:rPr>
                <w:sz w:val="22"/>
                <w:szCs w:val="22"/>
              </w:rPr>
              <w:t> </w:t>
            </w:r>
            <w:r w:rsidRPr="008912CF">
              <w:rPr>
                <w:sz w:val="22"/>
                <w:szCs w:val="22"/>
              </w:rPr>
              <w:t>52</w:t>
            </w:r>
          </w:p>
        </w:tc>
        <w:tc>
          <w:tcPr>
            <w:tcW w:w="1320" w:type="dxa"/>
          </w:tcPr>
          <w:p w14:paraId="7B35A803" w14:textId="77777777" w:rsidR="002F6811" w:rsidRPr="008912CF" w:rsidRDefault="00615769" w:rsidP="002F6811">
            <w:pPr>
              <w:keepNext/>
              <w:jc w:val="center"/>
            </w:pPr>
            <w:r w:rsidRPr="008912CF">
              <w:rPr>
                <w:sz w:val="22"/>
                <w:szCs w:val="22"/>
              </w:rPr>
              <w:t>62,6%</w:t>
            </w:r>
          </w:p>
        </w:tc>
        <w:tc>
          <w:tcPr>
            <w:tcW w:w="1238" w:type="dxa"/>
          </w:tcPr>
          <w:p w14:paraId="547B6483" w14:textId="77777777" w:rsidR="002F6811" w:rsidRPr="008912CF" w:rsidRDefault="00615769" w:rsidP="002F6811">
            <w:pPr>
              <w:keepNext/>
              <w:jc w:val="center"/>
            </w:pPr>
            <w:r w:rsidRPr="008912CF">
              <w:rPr>
                <w:sz w:val="22"/>
                <w:szCs w:val="22"/>
              </w:rPr>
              <w:t>54,4%</w:t>
            </w:r>
          </w:p>
        </w:tc>
        <w:tc>
          <w:tcPr>
            <w:tcW w:w="1658" w:type="dxa"/>
          </w:tcPr>
          <w:p w14:paraId="1CCBE54F" w14:textId="77777777" w:rsidR="002F6811" w:rsidRPr="008912CF" w:rsidRDefault="00615769" w:rsidP="002F6811">
            <w:pPr>
              <w:keepNext/>
              <w:jc w:val="center"/>
            </w:pPr>
            <w:r w:rsidRPr="008912CF">
              <w:rPr>
                <w:sz w:val="22"/>
                <w:szCs w:val="22"/>
              </w:rPr>
              <w:t>72,8%</w:t>
            </w:r>
          </w:p>
        </w:tc>
        <w:tc>
          <w:tcPr>
            <w:tcW w:w="1100" w:type="dxa"/>
          </w:tcPr>
          <w:p w14:paraId="5528DADE" w14:textId="77777777" w:rsidR="002F6811" w:rsidRPr="008912CF" w:rsidRDefault="00615769" w:rsidP="002F6811">
            <w:pPr>
              <w:keepNext/>
              <w:jc w:val="center"/>
            </w:pPr>
            <w:r w:rsidRPr="008912CF">
              <w:rPr>
                <w:sz w:val="22"/>
                <w:szCs w:val="22"/>
              </w:rPr>
              <w:t>0,013</w:t>
            </w:r>
          </w:p>
        </w:tc>
        <w:tc>
          <w:tcPr>
            <w:tcW w:w="1173" w:type="dxa"/>
          </w:tcPr>
          <w:p w14:paraId="1B616851" w14:textId="77777777" w:rsidR="002F6811" w:rsidRPr="008912CF" w:rsidRDefault="00615769" w:rsidP="002F6811">
            <w:pPr>
              <w:keepNext/>
              <w:jc w:val="center"/>
            </w:pPr>
            <w:r w:rsidRPr="008912CF">
              <w:rPr>
                <w:sz w:val="22"/>
                <w:szCs w:val="22"/>
              </w:rPr>
              <w:t>&lt; 0,001</w:t>
            </w:r>
          </w:p>
        </w:tc>
        <w:tc>
          <w:tcPr>
            <w:tcW w:w="1210" w:type="dxa"/>
          </w:tcPr>
          <w:p w14:paraId="02EBB3F6" w14:textId="77777777" w:rsidR="002F6811" w:rsidRPr="008912CF" w:rsidRDefault="00615769" w:rsidP="002F6811">
            <w:pPr>
              <w:keepNext/>
              <w:jc w:val="center"/>
            </w:pPr>
            <w:r w:rsidRPr="008912CF">
              <w:rPr>
                <w:sz w:val="22"/>
                <w:szCs w:val="22"/>
              </w:rPr>
              <w:t>0,043</w:t>
            </w:r>
          </w:p>
        </w:tc>
      </w:tr>
      <w:tr w:rsidR="00A7162A" w14:paraId="561D5E5E" w14:textId="77777777" w:rsidTr="002F6811">
        <w:trPr>
          <w:gridAfter w:val="1"/>
          <w:wAfter w:w="12" w:type="dxa"/>
          <w:cantSplit/>
          <w:jc w:val="center"/>
        </w:trPr>
        <w:tc>
          <w:tcPr>
            <w:tcW w:w="1724" w:type="dxa"/>
            <w:gridSpan w:val="2"/>
          </w:tcPr>
          <w:p w14:paraId="31C81686" w14:textId="77777777" w:rsidR="002F6811" w:rsidRPr="008912CF" w:rsidRDefault="00615769" w:rsidP="002F6811">
            <w:pPr>
              <w:keepNext/>
            </w:pPr>
            <w:r w:rsidRPr="008912CF">
              <w:rPr>
                <w:sz w:val="22"/>
                <w:szCs w:val="22"/>
              </w:rPr>
              <w:t xml:space="preserve">     Semana</w:t>
            </w:r>
            <w:r>
              <w:rPr>
                <w:sz w:val="22"/>
                <w:szCs w:val="22"/>
              </w:rPr>
              <w:t> </w:t>
            </w:r>
            <w:r w:rsidRPr="008912CF">
              <w:rPr>
                <w:sz w:val="22"/>
                <w:szCs w:val="22"/>
              </w:rPr>
              <w:t>104</w:t>
            </w:r>
          </w:p>
        </w:tc>
        <w:tc>
          <w:tcPr>
            <w:tcW w:w="1320" w:type="dxa"/>
          </w:tcPr>
          <w:p w14:paraId="6414EE17" w14:textId="77777777" w:rsidR="002F6811" w:rsidRPr="008912CF" w:rsidRDefault="00615769" w:rsidP="002F6811">
            <w:pPr>
              <w:keepNext/>
              <w:jc w:val="center"/>
            </w:pPr>
            <w:r w:rsidRPr="008912CF">
              <w:rPr>
                <w:sz w:val="22"/>
                <w:szCs w:val="22"/>
              </w:rPr>
              <w:t>56,0%</w:t>
            </w:r>
          </w:p>
        </w:tc>
        <w:tc>
          <w:tcPr>
            <w:tcW w:w="1238" w:type="dxa"/>
          </w:tcPr>
          <w:p w14:paraId="11FED947" w14:textId="77777777" w:rsidR="002F6811" w:rsidRPr="008912CF" w:rsidRDefault="00615769" w:rsidP="002F6811">
            <w:pPr>
              <w:keepNext/>
              <w:jc w:val="center"/>
            </w:pPr>
            <w:r w:rsidRPr="008912CF">
              <w:rPr>
                <w:sz w:val="22"/>
                <w:szCs w:val="22"/>
              </w:rPr>
              <w:t>49,3%</w:t>
            </w:r>
          </w:p>
        </w:tc>
        <w:tc>
          <w:tcPr>
            <w:tcW w:w="1658" w:type="dxa"/>
          </w:tcPr>
          <w:p w14:paraId="78E22200" w14:textId="77777777" w:rsidR="002F6811" w:rsidRPr="008912CF" w:rsidRDefault="00615769" w:rsidP="002F6811">
            <w:pPr>
              <w:keepNext/>
              <w:jc w:val="center"/>
            </w:pPr>
            <w:r w:rsidRPr="008912CF">
              <w:rPr>
                <w:sz w:val="22"/>
                <w:szCs w:val="22"/>
              </w:rPr>
              <w:t>69,4%</w:t>
            </w:r>
          </w:p>
        </w:tc>
        <w:tc>
          <w:tcPr>
            <w:tcW w:w="1100" w:type="dxa"/>
          </w:tcPr>
          <w:p w14:paraId="163F5675" w14:textId="77777777" w:rsidR="002F6811" w:rsidRPr="008912CF" w:rsidRDefault="00615769" w:rsidP="002F6811">
            <w:pPr>
              <w:keepNext/>
              <w:jc w:val="center"/>
            </w:pPr>
            <w:r w:rsidRPr="008912CF">
              <w:rPr>
                <w:sz w:val="22"/>
                <w:szCs w:val="22"/>
              </w:rPr>
              <w:t>0,002</w:t>
            </w:r>
          </w:p>
        </w:tc>
        <w:tc>
          <w:tcPr>
            <w:tcW w:w="1173" w:type="dxa"/>
          </w:tcPr>
          <w:p w14:paraId="16E4951B" w14:textId="77777777" w:rsidR="002F6811" w:rsidRPr="008912CF" w:rsidRDefault="00615769" w:rsidP="002F6811">
            <w:pPr>
              <w:keepNext/>
              <w:jc w:val="center"/>
            </w:pPr>
            <w:r w:rsidRPr="008912CF">
              <w:rPr>
                <w:sz w:val="22"/>
                <w:szCs w:val="22"/>
              </w:rPr>
              <w:t>&lt; 0,001</w:t>
            </w:r>
          </w:p>
        </w:tc>
        <w:tc>
          <w:tcPr>
            <w:tcW w:w="1210" w:type="dxa"/>
          </w:tcPr>
          <w:p w14:paraId="5A38F50A" w14:textId="77777777" w:rsidR="002F6811" w:rsidRPr="008912CF" w:rsidRDefault="00615769" w:rsidP="002F6811">
            <w:pPr>
              <w:keepNext/>
              <w:jc w:val="center"/>
            </w:pPr>
            <w:r w:rsidRPr="008912CF">
              <w:rPr>
                <w:sz w:val="22"/>
                <w:szCs w:val="22"/>
              </w:rPr>
              <w:t>0,140</w:t>
            </w:r>
          </w:p>
        </w:tc>
      </w:tr>
      <w:tr w:rsidR="00A7162A" w14:paraId="455343CA" w14:textId="77777777" w:rsidTr="002F6811">
        <w:trPr>
          <w:gridAfter w:val="1"/>
          <w:wAfter w:w="12" w:type="dxa"/>
          <w:cantSplit/>
          <w:jc w:val="center"/>
        </w:trPr>
        <w:tc>
          <w:tcPr>
            <w:tcW w:w="1724" w:type="dxa"/>
            <w:gridSpan w:val="2"/>
          </w:tcPr>
          <w:p w14:paraId="3FBA1EE7" w14:textId="77777777" w:rsidR="002F6811" w:rsidRPr="008912CF" w:rsidRDefault="00615769" w:rsidP="002F6811">
            <w:pPr>
              <w:keepNext/>
            </w:pPr>
            <w:r w:rsidRPr="008912CF">
              <w:rPr>
                <w:sz w:val="22"/>
                <w:szCs w:val="22"/>
              </w:rPr>
              <w:t>ACR 50</w:t>
            </w:r>
          </w:p>
        </w:tc>
        <w:tc>
          <w:tcPr>
            <w:tcW w:w="1320" w:type="dxa"/>
          </w:tcPr>
          <w:p w14:paraId="62406D31" w14:textId="77777777" w:rsidR="002F6811" w:rsidRPr="008912CF" w:rsidRDefault="002F6811" w:rsidP="002F6811">
            <w:pPr>
              <w:keepNext/>
              <w:jc w:val="center"/>
            </w:pPr>
          </w:p>
        </w:tc>
        <w:tc>
          <w:tcPr>
            <w:tcW w:w="1238" w:type="dxa"/>
          </w:tcPr>
          <w:p w14:paraId="5CA9D281" w14:textId="77777777" w:rsidR="002F6811" w:rsidRPr="008912CF" w:rsidRDefault="002F6811" w:rsidP="002F6811">
            <w:pPr>
              <w:keepNext/>
              <w:jc w:val="center"/>
            </w:pPr>
          </w:p>
        </w:tc>
        <w:tc>
          <w:tcPr>
            <w:tcW w:w="1658" w:type="dxa"/>
          </w:tcPr>
          <w:p w14:paraId="79FD99AB" w14:textId="77777777" w:rsidR="002F6811" w:rsidRPr="008912CF" w:rsidRDefault="002F6811" w:rsidP="002F6811">
            <w:pPr>
              <w:keepNext/>
              <w:jc w:val="center"/>
            </w:pPr>
          </w:p>
        </w:tc>
        <w:tc>
          <w:tcPr>
            <w:tcW w:w="1100" w:type="dxa"/>
          </w:tcPr>
          <w:p w14:paraId="10FD2A2A" w14:textId="77777777" w:rsidR="002F6811" w:rsidRPr="008912CF" w:rsidRDefault="002F6811" w:rsidP="002F6811">
            <w:pPr>
              <w:keepNext/>
              <w:jc w:val="center"/>
            </w:pPr>
          </w:p>
        </w:tc>
        <w:tc>
          <w:tcPr>
            <w:tcW w:w="1173" w:type="dxa"/>
          </w:tcPr>
          <w:p w14:paraId="5B47363E" w14:textId="77777777" w:rsidR="002F6811" w:rsidRPr="008912CF" w:rsidRDefault="002F6811" w:rsidP="002F6811">
            <w:pPr>
              <w:keepNext/>
              <w:jc w:val="center"/>
            </w:pPr>
          </w:p>
        </w:tc>
        <w:tc>
          <w:tcPr>
            <w:tcW w:w="1210" w:type="dxa"/>
          </w:tcPr>
          <w:p w14:paraId="55F8D013" w14:textId="77777777" w:rsidR="002F6811" w:rsidRPr="008912CF" w:rsidRDefault="002F6811" w:rsidP="002F6811">
            <w:pPr>
              <w:keepNext/>
              <w:jc w:val="center"/>
            </w:pPr>
          </w:p>
        </w:tc>
      </w:tr>
      <w:tr w:rsidR="00A7162A" w14:paraId="52DA9F16" w14:textId="77777777" w:rsidTr="002F6811">
        <w:trPr>
          <w:gridAfter w:val="1"/>
          <w:wAfter w:w="12" w:type="dxa"/>
          <w:cantSplit/>
          <w:jc w:val="center"/>
        </w:trPr>
        <w:tc>
          <w:tcPr>
            <w:tcW w:w="1724" w:type="dxa"/>
            <w:gridSpan w:val="2"/>
          </w:tcPr>
          <w:p w14:paraId="265C82E3" w14:textId="77777777" w:rsidR="002F6811" w:rsidRPr="008912CF" w:rsidRDefault="00615769" w:rsidP="002F6811">
            <w:pPr>
              <w:keepNext/>
            </w:pPr>
            <w:r w:rsidRPr="008912CF">
              <w:rPr>
                <w:sz w:val="22"/>
                <w:szCs w:val="22"/>
              </w:rPr>
              <w:t xml:space="preserve">     Semana</w:t>
            </w:r>
            <w:r>
              <w:rPr>
                <w:sz w:val="22"/>
                <w:szCs w:val="22"/>
              </w:rPr>
              <w:t> </w:t>
            </w:r>
            <w:r w:rsidRPr="008912CF">
              <w:rPr>
                <w:sz w:val="22"/>
                <w:szCs w:val="22"/>
              </w:rPr>
              <w:t>52</w:t>
            </w:r>
          </w:p>
        </w:tc>
        <w:tc>
          <w:tcPr>
            <w:tcW w:w="1320" w:type="dxa"/>
          </w:tcPr>
          <w:p w14:paraId="46160486" w14:textId="77777777" w:rsidR="002F6811" w:rsidRPr="008912CF" w:rsidRDefault="00615769" w:rsidP="002F6811">
            <w:pPr>
              <w:keepNext/>
              <w:jc w:val="center"/>
            </w:pPr>
            <w:r w:rsidRPr="008912CF">
              <w:rPr>
                <w:sz w:val="22"/>
                <w:szCs w:val="22"/>
              </w:rPr>
              <w:t>45,9%</w:t>
            </w:r>
          </w:p>
        </w:tc>
        <w:tc>
          <w:tcPr>
            <w:tcW w:w="1238" w:type="dxa"/>
          </w:tcPr>
          <w:p w14:paraId="55B85C26" w14:textId="77777777" w:rsidR="002F6811" w:rsidRPr="008912CF" w:rsidRDefault="00615769" w:rsidP="002F6811">
            <w:pPr>
              <w:keepNext/>
              <w:jc w:val="center"/>
            </w:pPr>
            <w:r w:rsidRPr="008912CF">
              <w:rPr>
                <w:sz w:val="22"/>
                <w:szCs w:val="22"/>
              </w:rPr>
              <w:t>41,2%</w:t>
            </w:r>
          </w:p>
        </w:tc>
        <w:tc>
          <w:tcPr>
            <w:tcW w:w="1658" w:type="dxa"/>
          </w:tcPr>
          <w:p w14:paraId="1CB404FC" w14:textId="77777777" w:rsidR="002F6811" w:rsidRPr="008912CF" w:rsidRDefault="00615769" w:rsidP="002F6811">
            <w:pPr>
              <w:keepNext/>
              <w:jc w:val="center"/>
            </w:pPr>
            <w:r w:rsidRPr="008912CF">
              <w:rPr>
                <w:sz w:val="22"/>
                <w:szCs w:val="22"/>
              </w:rPr>
              <w:t>61,6%</w:t>
            </w:r>
          </w:p>
        </w:tc>
        <w:tc>
          <w:tcPr>
            <w:tcW w:w="1100" w:type="dxa"/>
          </w:tcPr>
          <w:p w14:paraId="412FEF98" w14:textId="77777777" w:rsidR="002F6811" w:rsidRPr="008912CF" w:rsidRDefault="00615769" w:rsidP="002F6811">
            <w:pPr>
              <w:keepNext/>
              <w:jc w:val="center"/>
            </w:pPr>
            <w:r w:rsidRPr="008912CF">
              <w:rPr>
                <w:sz w:val="22"/>
                <w:szCs w:val="22"/>
              </w:rPr>
              <w:t>&lt; 0,001</w:t>
            </w:r>
          </w:p>
        </w:tc>
        <w:tc>
          <w:tcPr>
            <w:tcW w:w="1173" w:type="dxa"/>
          </w:tcPr>
          <w:p w14:paraId="67076EF6" w14:textId="77777777" w:rsidR="002F6811" w:rsidRPr="008912CF" w:rsidRDefault="00615769" w:rsidP="002F6811">
            <w:pPr>
              <w:keepNext/>
              <w:jc w:val="center"/>
            </w:pPr>
            <w:r w:rsidRPr="008912CF">
              <w:rPr>
                <w:sz w:val="22"/>
                <w:szCs w:val="22"/>
              </w:rPr>
              <w:t>&lt; 0,001</w:t>
            </w:r>
          </w:p>
        </w:tc>
        <w:tc>
          <w:tcPr>
            <w:tcW w:w="1210" w:type="dxa"/>
          </w:tcPr>
          <w:p w14:paraId="2338BDEB" w14:textId="77777777" w:rsidR="002F6811" w:rsidRPr="008912CF" w:rsidRDefault="00615769" w:rsidP="002F6811">
            <w:pPr>
              <w:keepNext/>
              <w:jc w:val="center"/>
            </w:pPr>
            <w:r w:rsidRPr="008912CF">
              <w:rPr>
                <w:sz w:val="22"/>
                <w:szCs w:val="22"/>
              </w:rPr>
              <w:t>0,317</w:t>
            </w:r>
          </w:p>
        </w:tc>
      </w:tr>
      <w:tr w:rsidR="00A7162A" w14:paraId="77622C4E" w14:textId="77777777" w:rsidTr="002F6811">
        <w:trPr>
          <w:gridAfter w:val="1"/>
          <w:wAfter w:w="12" w:type="dxa"/>
          <w:cantSplit/>
          <w:jc w:val="center"/>
        </w:trPr>
        <w:tc>
          <w:tcPr>
            <w:tcW w:w="1724" w:type="dxa"/>
            <w:gridSpan w:val="2"/>
          </w:tcPr>
          <w:p w14:paraId="2815EA1B" w14:textId="77777777" w:rsidR="002F6811" w:rsidRPr="008912CF" w:rsidRDefault="00615769" w:rsidP="002F6811">
            <w:pPr>
              <w:keepNext/>
            </w:pPr>
            <w:r w:rsidRPr="008912CF">
              <w:rPr>
                <w:sz w:val="22"/>
                <w:szCs w:val="22"/>
              </w:rPr>
              <w:t xml:space="preserve">     Semana</w:t>
            </w:r>
            <w:r>
              <w:rPr>
                <w:sz w:val="22"/>
                <w:szCs w:val="22"/>
              </w:rPr>
              <w:t> </w:t>
            </w:r>
            <w:r w:rsidRPr="008912CF">
              <w:rPr>
                <w:sz w:val="22"/>
                <w:szCs w:val="22"/>
              </w:rPr>
              <w:t>104</w:t>
            </w:r>
          </w:p>
        </w:tc>
        <w:tc>
          <w:tcPr>
            <w:tcW w:w="1320" w:type="dxa"/>
          </w:tcPr>
          <w:p w14:paraId="6BC2E2DA" w14:textId="77777777" w:rsidR="002F6811" w:rsidRPr="008912CF" w:rsidRDefault="00615769" w:rsidP="002F6811">
            <w:pPr>
              <w:keepNext/>
              <w:jc w:val="center"/>
            </w:pPr>
            <w:r w:rsidRPr="008912CF">
              <w:rPr>
                <w:sz w:val="22"/>
                <w:szCs w:val="22"/>
              </w:rPr>
              <w:t>42,8%</w:t>
            </w:r>
          </w:p>
        </w:tc>
        <w:tc>
          <w:tcPr>
            <w:tcW w:w="1238" w:type="dxa"/>
          </w:tcPr>
          <w:p w14:paraId="2E85A541" w14:textId="77777777" w:rsidR="002F6811" w:rsidRPr="008912CF" w:rsidRDefault="00615769" w:rsidP="002F6811">
            <w:pPr>
              <w:keepNext/>
              <w:jc w:val="center"/>
            </w:pPr>
            <w:r w:rsidRPr="008912CF">
              <w:rPr>
                <w:sz w:val="22"/>
                <w:szCs w:val="22"/>
              </w:rPr>
              <w:t>36,9%</w:t>
            </w:r>
          </w:p>
        </w:tc>
        <w:tc>
          <w:tcPr>
            <w:tcW w:w="1658" w:type="dxa"/>
          </w:tcPr>
          <w:p w14:paraId="5821835B" w14:textId="77777777" w:rsidR="002F6811" w:rsidRPr="008912CF" w:rsidRDefault="00615769" w:rsidP="002F6811">
            <w:pPr>
              <w:keepNext/>
              <w:jc w:val="center"/>
            </w:pPr>
            <w:r w:rsidRPr="008912CF">
              <w:rPr>
                <w:sz w:val="22"/>
                <w:szCs w:val="22"/>
              </w:rPr>
              <w:t>59,0%</w:t>
            </w:r>
          </w:p>
        </w:tc>
        <w:tc>
          <w:tcPr>
            <w:tcW w:w="1100" w:type="dxa"/>
          </w:tcPr>
          <w:p w14:paraId="18B9249C" w14:textId="77777777" w:rsidR="002F6811" w:rsidRPr="008912CF" w:rsidRDefault="00615769" w:rsidP="002F6811">
            <w:pPr>
              <w:keepNext/>
              <w:jc w:val="center"/>
            </w:pPr>
            <w:r w:rsidRPr="008912CF">
              <w:rPr>
                <w:sz w:val="22"/>
                <w:szCs w:val="22"/>
              </w:rPr>
              <w:t>&lt; 0,001</w:t>
            </w:r>
          </w:p>
        </w:tc>
        <w:tc>
          <w:tcPr>
            <w:tcW w:w="1173" w:type="dxa"/>
          </w:tcPr>
          <w:p w14:paraId="11BE3364" w14:textId="77777777" w:rsidR="002F6811" w:rsidRPr="008912CF" w:rsidRDefault="00615769" w:rsidP="002F6811">
            <w:pPr>
              <w:keepNext/>
              <w:jc w:val="center"/>
            </w:pPr>
            <w:r w:rsidRPr="008912CF">
              <w:rPr>
                <w:sz w:val="22"/>
                <w:szCs w:val="22"/>
              </w:rPr>
              <w:t>&lt; 0,001</w:t>
            </w:r>
          </w:p>
        </w:tc>
        <w:tc>
          <w:tcPr>
            <w:tcW w:w="1210" w:type="dxa"/>
          </w:tcPr>
          <w:p w14:paraId="48C63814" w14:textId="77777777" w:rsidR="002F6811" w:rsidRPr="008912CF" w:rsidRDefault="00615769" w:rsidP="002F6811">
            <w:pPr>
              <w:keepNext/>
              <w:jc w:val="center"/>
            </w:pPr>
            <w:r w:rsidRPr="008912CF">
              <w:rPr>
                <w:sz w:val="22"/>
                <w:szCs w:val="22"/>
              </w:rPr>
              <w:t>0,162</w:t>
            </w:r>
          </w:p>
        </w:tc>
      </w:tr>
      <w:tr w:rsidR="00A7162A" w14:paraId="128D7BCE" w14:textId="77777777" w:rsidTr="002F6811">
        <w:trPr>
          <w:gridAfter w:val="1"/>
          <w:wAfter w:w="12" w:type="dxa"/>
          <w:cantSplit/>
          <w:jc w:val="center"/>
        </w:trPr>
        <w:tc>
          <w:tcPr>
            <w:tcW w:w="1724" w:type="dxa"/>
            <w:gridSpan w:val="2"/>
          </w:tcPr>
          <w:p w14:paraId="0C4AB2C3" w14:textId="77777777" w:rsidR="002F6811" w:rsidRPr="008912CF" w:rsidRDefault="00615769" w:rsidP="002F6811">
            <w:pPr>
              <w:keepNext/>
            </w:pPr>
            <w:r w:rsidRPr="008912CF">
              <w:rPr>
                <w:sz w:val="22"/>
                <w:szCs w:val="22"/>
              </w:rPr>
              <w:t>ACR 70</w:t>
            </w:r>
          </w:p>
        </w:tc>
        <w:tc>
          <w:tcPr>
            <w:tcW w:w="1320" w:type="dxa"/>
          </w:tcPr>
          <w:p w14:paraId="28B89139" w14:textId="77777777" w:rsidR="002F6811" w:rsidRPr="008912CF" w:rsidRDefault="002F6811" w:rsidP="002F6811">
            <w:pPr>
              <w:keepNext/>
              <w:jc w:val="center"/>
            </w:pPr>
          </w:p>
        </w:tc>
        <w:tc>
          <w:tcPr>
            <w:tcW w:w="1238" w:type="dxa"/>
          </w:tcPr>
          <w:p w14:paraId="4BA7FBE4" w14:textId="77777777" w:rsidR="002F6811" w:rsidRPr="008912CF" w:rsidRDefault="002F6811" w:rsidP="002F6811">
            <w:pPr>
              <w:keepNext/>
              <w:jc w:val="center"/>
            </w:pPr>
          </w:p>
        </w:tc>
        <w:tc>
          <w:tcPr>
            <w:tcW w:w="1658" w:type="dxa"/>
          </w:tcPr>
          <w:p w14:paraId="06773EE9" w14:textId="77777777" w:rsidR="002F6811" w:rsidRPr="008912CF" w:rsidRDefault="002F6811" w:rsidP="002F6811">
            <w:pPr>
              <w:keepNext/>
              <w:jc w:val="center"/>
            </w:pPr>
          </w:p>
        </w:tc>
        <w:tc>
          <w:tcPr>
            <w:tcW w:w="1100" w:type="dxa"/>
          </w:tcPr>
          <w:p w14:paraId="27B52565" w14:textId="77777777" w:rsidR="002F6811" w:rsidRPr="008912CF" w:rsidRDefault="002F6811" w:rsidP="002F6811">
            <w:pPr>
              <w:keepNext/>
              <w:jc w:val="center"/>
            </w:pPr>
          </w:p>
        </w:tc>
        <w:tc>
          <w:tcPr>
            <w:tcW w:w="1173" w:type="dxa"/>
          </w:tcPr>
          <w:p w14:paraId="6B6868BC" w14:textId="77777777" w:rsidR="002F6811" w:rsidRPr="008912CF" w:rsidRDefault="002F6811" w:rsidP="002F6811">
            <w:pPr>
              <w:keepNext/>
              <w:jc w:val="center"/>
            </w:pPr>
          </w:p>
        </w:tc>
        <w:tc>
          <w:tcPr>
            <w:tcW w:w="1210" w:type="dxa"/>
          </w:tcPr>
          <w:p w14:paraId="1F86D45B" w14:textId="77777777" w:rsidR="002F6811" w:rsidRPr="008912CF" w:rsidRDefault="002F6811" w:rsidP="002F6811">
            <w:pPr>
              <w:keepNext/>
              <w:jc w:val="center"/>
            </w:pPr>
          </w:p>
        </w:tc>
      </w:tr>
      <w:tr w:rsidR="00A7162A" w14:paraId="2F13DAD3" w14:textId="77777777" w:rsidTr="002F6811">
        <w:trPr>
          <w:gridAfter w:val="1"/>
          <w:wAfter w:w="12" w:type="dxa"/>
          <w:cantSplit/>
          <w:trHeight w:val="70"/>
          <w:jc w:val="center"/>
        </w:trPr>
        <w:tc>
          <w:tcPr>
            <w:tcW w:w="1724" w:type="dxa"/>
            <w:gridSpan w:val="2"/>
          </w:tcPr>
          <w:p w14:paraId="58D35205" w14:textId="77777777" w:rsidR="002F6811" w:rsidRPr="008912CF" w:rsidRDefault="00615769" w:rsidP="002F6811">
            <w:pPr>
              <w:keepNext/>
            </w:pPr>
            <w:r w:rsidRPr="008912CF">
              <w:rPr>
                <w:sz w:val="22"/>
                <w:szCs w:val="22"/>
              </w:rPr>
              <w:t xml:space="preserve">     Semana</w:t>
            </w:r>
            <w:r>
              <w:rPr>
                <w:sz w:val="22"/>
                <w:szCs w:val="22"/>
              </w:rPr>
              <w:t> </w:t>
            </w:r>
            <w:r w:rsidRPr="008912CF">
              <w:rPr>
                <w:sz w:val="22"/>
                <w:szCs w:val="22"/>
              </w:rPr>
              <w:t>52</w:t>
            </w:r>
          </w:p>
        </w:tc>
        <w:tc>
          <w:tcPr>
            <w:tcW w:w="1320" w:type="dxa"/>
          </w:tcPr>
          <w:p w14:paraId="3DFE6EE5" w14:textId="77777777" w:rsidR="002F6811" w:rsidRPr="008912CF" w:rsidRDefault="00615769" w:rsidP="002F6811">
            <w:pPr>
              <w:keepNext/>
              <w:jc w:val="center"/>
            </w:pPr>
            <w:r w:rsidRPr="008912CF">
              <w:rPr>
                <w:sz w:val="22"/>
                <w:szCs w:val="22"/>
              </w:rPr>
              <w:t>27,2%</w:t>
            </w:r>
          </w:p>
        </w:tc>
        <w:tc>
          <w:tcPr>
            <w:tcW w:w="1238" w:type="dxa"/>
          </w:tcPr>
          <w:p w14:paraId="64F1224D" w14:textId="77777777" w:rsidR="002F6811" w:rsidRPr="008912CF" w:rsidRDefault="00615769" w:rsidP="002F6811">
            <w:pPr>
              <w:keepNext/>
              <w:jc w:val="center"/>
            </w:pPr>
            <w:r w:rsidRPr="008912CF">
              <w:rPr>
                <w:sz w:val="22"/>
                <w:szCs w:val="22"/>
              </w:rPr>
              <w:t>25,9%</w:t>
            </w:r>
          </w:p>
        </w:tc>
        <w:tc>
          <w:tcPr>
            <w:tcW w:w="1658" w:type="dxa"/>
          </w:tcPr>
          <w:p w14:paraId="11BDDF62" w14:textId="77777777" w:rsidR="002F6811" w:rsidRPr="008912CF" w:rsidRDefault="00615769" w:rsidP="002F6811">
            <w:pPr>
              <w:keepNext/>
              <w:jc w:val="center"/>
            </w:pPr>
            <w:r w:rsidRPr="008912CF">
              <w:rPr>
                <w:sz w:val="22"/>
                <w:szCs w:val="22"/>
              </w:rPr>
              <w:t>45,5%</w:t>
            </w:r>
          </w:p>
        </w:tc>
        <w:tc>
          <w:tcPr>
            <w:tcW w:w="1100" w:type="dxa"/>
          </w:tcPr>
          <w:p w14:paraId="3C2F6C4C" w14:textId="77777777" w:rsidR="002F6811" w:rsidRPr="008912CF" w:rsidRDefault="00615769" w:rsidP="002F6811">
            <w:pPr>
              <w:keepNext/>
              <w:jc w:val="center"/>
            </w:pPr>
            <w:r w:rsidRPr="008912CF">
              <w:rPr>
                <w:sz w:val="22"/>
                <w:szCs w:val="22"/>
              </w:rPr>
              <w:t>&lt; 0,001</w:t>
            </w:r>
          </w:p>
        </w:tc>
        <w:tc>
          <w:tcPr>
            <w:tcW w:w="1173" w:type="dxa"/>
          </w:tcPr>
          <w:p w14:paraId="025A7435" w14:textId="77777777" w:rsidR="002F6811" w:rsidRPr="008912CF" w:rsidRDefault="00615769" w:rsidP="002F6811">
            <w:pPr>
              <w:keepNext/>
              <w:jc w:val="center"/>
            </w:pPr>
            <w:r w:rsidRPr="008912CF">
              <w:rPr>
                <w:sz w:val="22"/>
                <w:szCs w:val="22"/>
              </w:rPr>
              <w:t>&lt; 0,001</w:t>
            </w:r>
          </w:p>
        </w:tc>
        <w:tc>
          <w:tcPr>
            <w:tcW w:w="1210" w:type="dxa"/>
          </w:tcPr>
          <w:p w14:paraId="6328CB80" w14:textId="77777777" w:rsidR="002F6811" w:rsidRPr="008912CF" w:rsidRDefault="00615769" w:rsidP="002F6811">
            <w:pPr>
              <w:keepNext/>
              <w:jc w:val="center"/>
            </w:pPr>
            <w:r w:rsidRPr="008912CF">
              <w:rPr>
                <w:sz w:val="22"/>
                <w:szCs w:val="22"/>
              </w:rPr>
              <w:t>0,656</w:t>
            </w:r>
          </w:p>
        </w:tc>
      </w:tr>
      <w:tr w:rsidR="00A7162A" w14:paraId="4057B6DC" w14:textId="77777777" w:rsidTr="002F6811">
        <w:trPr>
          <w:gridAfter w:val="1"/>
          <w:wAfter w:w="12" w:type="dxa"/>
          <w:cantSplit/>
          <w:jc w:val="center"/>
        </w:trPr>
        <w:tc>
          <w:tcPr>
            <w:tcW w:w="1724" w:type="dxa"/>
            <w:gridSpan w:val="2"/>
          </w:tcPr>
          <w:p w14:paraId="27BE9BA8" w14:textId="77777777" w:rsidR="002F6811" w:rsidRPr="008912CF" w:rsidRDefault="00615769" w:rsidP="002F6811">
            <w:pPr>
              <w:keepNext/>
            </w:pPr>
            <w:r w:rsidRPr="008912CF">
              <w:rPr>
                <w:sz w:val="22"/>
                <w:szCs w:val="22"/>
              </w:rPr>
              <w:t xml:space="preserve">     Semana</w:t>
            </w:r>
            <w:r>
              <w:rPr>
                <w:sz w:val="22"/>
                <w:szCs w:val="22"/>
              </w:rPr>
              <w:t> </w:t>
            </w:r>
            <w:r w:rsidRPr="008912CF">
              <w:rPr>
                <w:sz w:val="22"/>
                <w:szCs w:val="22"/>
              </w:rPr>
              <w:t>104</w:t>
            </w:r>
          </w:p>
        </w:tc>
        <w:tc>
          <w:tcPr>
            <w:tcW w:w="1320" w:type="dxa"/>
          </w:tcPr>
          <w:p w14:paraId="56664F0D" w14:textId="77777777" w:rsidR="002F6811" w:rsidRPr="008912CF" w:rsidRDefault="00615769" w:rsidP="002F6811">
            <w:pPr>
              <w:keepNext/>
              <w:jc w:val="center"/>
            </w:pPr>
            <w:r w:rsidRPr="008912CF">
              <w:rPr>
                <w:sz w:val="22"/>
                <w:szCs w:val="22"/>
              </w:rPr>
              <w:t>28,4%</w:t>
            </w:r>
          </w:p>
        </w:tc>
        <w:tc>
          <w:tcPr>
            <w:tcW w:w="1238" w:type="dxa"/>
          </w:tcPr>
          <w:p w14:paraId="2DF38974" w14:textId="77777777" w:rsidR="002F6811" w:rsidRPr="008912CF" w:rsidRDefault="00615769" w:rsidP="002F6811">
            <w:pPr>
              <w:keepNext/>
              <w:jc w:val="center"/>
            </w:pPr>
            <w:r w:rsidRPr="008912CF">
              <w:rPr>
                <w:sz w:val="22"/>
                <w:szCs w:val="22"/>
              </w:rPr>
              <w:t>28,1%</w:t>
            </w:r>
          </w:p>
        </w:tc>
        <w:tc>
          <w:tcPr>
            <w:tcW w:w="1658" w:type="dxa"/>
          </w:tcPr>
          <w:p w14:paraId="72ECF7E9" w14:textId="77777777" w:rsidR="002F6811" w:rsidRPr="008912CF" w:rsidRDefault="00615769" w:rsidP="002F6811">
            <w:pPr>
              <w:keepNext/>
              <w:jc w:val="center"/>
            </w:pPr>
            <w:r w:rsidRPr="008912CF">
              <w:rPr>
                <w:sz w:val="22"/>
                <w:szCs w:val="22"/>
              </w:rPr>
              <w:t>46,6%</w:t>
            </w:r>
          </w:p>
        </w:tc>
        <w:tc>
          <w:tcPr>
            <w:tcW w:w="1100" w:type="dxa"/>
          </w:tcPr>
          <w:p w14:paraId="07EF9E82" w14:textId="77777777" w:rsidR="002F6811" w:rsidRPr="008912CF" w:rsidRDefault="00615769" w:rsidP="002F6811">
            <w:pPr>
              <w:keepNext/>
              <w:jc w:val="center"/>
            </w:pPr>
            <w:r w:rsidRPr="008912CF">
              <w:rPr>
                <w:sz w:val="22"/>
                <w:szCs w:val="22"/>
              </w:rPr>
              <w:t>&lt; 0,001</w:t>
            </w:r>
          </w:p>
        </w:tc>
        <w:tc>
          <w:tcPr>
            <w:tcW w:w="1173" w:type="dxa"/>
          </w:tcPr>
          <w:p w14:paraId="0EA09442" w14:textId="77777777" w:rsidR="002F6811" w:rsidRPr="008912CF" w:rsidRDefault="00615769" w:rsidP="002F6811">
            <w:pPr>
              <w:keepNext/>
              <w:jc w:val="center"/>
            </w:pPr>
            <w:r w:rsidRPr="008912CF">
              <w:rPr>
                <w:sz w:val="22"/>
                <w:szCs w:val="22"/>
              </w:rPr>
              <w:t>&lt; 0,001</w:t>
            </w:r>
          </w:p>
        </w:tc>
        <w:tc>
          <w:tcPr>
            <w:tcW w:w="1210" w:type="dxa"/>
          </w:tcPr>
          <w:p w14:paraId="41644FD7" w14:textId="77777777" w:rsidR="002F6811" w:rsidRPr="008912CF" w:rsidRDefault="00615769" w:rsidP="002F6811">
            <w:pPr>
              <w:keepNext/>
              <w:jc w:val="center"/>
            </w:pPr>
            <w:r w:rsidRPr="008912CF">
              <w:rPr>
                <w:sz w:val="22"/>
                <w:szCs w:val="22"/>
              </w:rPr>
              <w:t>0,864</w:t>
            </w:r>
          </w:p>
        </w:tc>
      </w:tr>
      <w:tr w:rsidR="00A7162A" w14:paraId="615B5A88" w14:textId="77777777" w:rsidTr="002F6811">
        <w:trPr>
          <w:gridBefore w:val="1"/>
          <w:wBefore w:w="6" w:type="dxa"/>
          <w:cantSplit/>
          <w:jc w:val="center"/>
        </w:trPr>
        <w:tc>
          <w:tcPr>
            <w:tcW w:w="9429" w:type="dxa"/>
            <w:gridSpan w:val="8"/>
          </w:tcPr>
          <w:p w14:paraId="000EE1E7" w14:textId="77777777" w:rsidR="002F6811" w:rsidRPr="008912CF" w:rsidRDefault="00615769" w:rsidP="003B2051">
            <w:pPr>
              <w:keepNext/>
              <w:tabs>
                <w:tab w:val="left" w:pos="330"/>
                <w:tab w:val="left" w:pos="10728"/>
              </w:tabs>
              <w:ind w:left="360" w:hanging="360"/>
            </w:pPr>
            <w:r w:rsidRPr="008912CF">
              <w:rPr>
                <w:sz w:val="22"/>
                <w:szCs w:val="22"/>
                <w:vertAlign w:val="superscript"/>
              </w:rPr>
              <w:t>a</w:t>
            </w:r>
            <w:r w:rsidRPr="008912CF">
              <w:rPr>
                <w:sz w:val="22"/>
                <w:szCs w:val="22"/>
              </w:rPr>
              <w:tab/>
            </w:r>
            <w:r w:rsidRPr="008912CF">
              <w:rPr>
                <w:sz w:val="22"/>
                <w:szCs w:val="22"/>
              </w:rPr>
              <w:t>valores-p comparativos emparelhados de metotrexato em monoterapia e da associação terapêutica Humira/metotrexato usando o teste de Mann-Whitney U.</w:t>
            </w:r>
          </w:p>
          <w:p w14:paraId="55FD1570" w14:textId="77777777" w:rsidR="002F6811" w:rsidRPr="008912CF" w:rsidRDefault="00615769" w:rsidP="002F6811">
            <w:pPr>
              <w:pStyle w:val="BodyTextIndent"/>
              <w:keepNext/>
              <w:ind w:left="330" w:hanging="330"/>
              <w:rPr>
                <w:b w:val="0"/>
                <w:color w:val="auto"/>
                <w:szCs w:val="22"/>
              </w:rPr>
            </w:pPr>
            <w:r w:rsidRPr="008912CF">
              <w:rPr>
                <w:b w:val="0"/>
                <w:color w:val="auto"/>
                <w:szCs w:val="22"/>
                <w:vertAlign w:val="superscript"/>
              </w:rPr>
              <w:t>b</w:t>
            </w:r>
            <w:r w:rsidRPr="008912CF">
              <w:rPr>
                <w:b w:val="0"/>
                <w:color w:val="auto"/>
                <w:szCs w:val="22"/>
              </w:rPr>
              <w:tab/>
              <w:t xml:space="preserve">valores-p </w:t>
            </w:r>
            <w:r w:rsidRPr="008912CF">
              <w:rPr>
                <w:b w:val="0"/>
                <w:bCs/>
                <w:color w:val="auto"/>
                <w:szCs w:val="22"/>
              </w:rPr>
              <w:t xml:space="preserve">comparativos emparelhados de Humira em </w:t>
            </w:r>
            <w:r w:rsidRPr="008912CF">
              <w:rPr>
                <w:b w:val="0"/>
                <w:color w:val="auto"/>
                <w:szCs w:val="22"/>
              </w:rPr>
              <w:t>monoterapia e da associação terapêutica Humira/metotrexato usando o teste de Mann-Whitney U.</w:t>
            </w:r>
          </w:p>
          <w:p w14:paraId="692C3E35" w14:textId="77777777" w:rsidR="002F6811" w:rsidRPr="008912CF" w:rsidRDefault="00615769" w:rsidP="003B2051">
            <w:pPr>
              <w:pStyle w:val="BodyTextIndent"/>
              <w:keepNext/>
              <w:ind w:left="330" w:hanging="330"/>
              <w:rPr>
                <w:b w:val="0"/>
                <w:color w:val="auto"/>
                <w:szCs w:val="22"/>
              </w:rPr>
            </w:pPr>
            <w:r>
              <w:rPr>
                <w:b w:val="0"/>
                <w:color w:val="auto"/>
                <w:szCs w:val="22"/>
                <w:vertAlign w:val="superscript"/>
              </w:rPr>
              <w:t>c</w:t>
            </w:r>
            <w:r w:rsidRPr="008912CF">
              <w:rPr>
                <w:b w:val="0"/>
                <w:color w:val="auto"/>
                <w:szCs w:val="22"/>
              </w:rPr>
              <w:t xml:space="preserve">  </w:t>
            </w:r>
            <w:r>
              <w:rPr>
                <w:b w:val="0"/>
                <w:color w:val="auto"/>
                <w:szCs w:val="22"/>
              </w:rPr>
              <w:t xml:space="preserve">   </w:t>
            </w:r>
            <w:r w:rsidRPr="008912CF">
              <w:rPr>
                <w:b w:val="0"/>
                <w:color w:val="auto"/>
                <w:szCs w:val="22"/>
              </w:rPr>
              <w:t xml:space="preserve">valores-p </w:t>
            </w:r>
            <w:r w:rsidRPr="003B2051">
              <w:rPr>
                <w:b w:val="0"/>
                <w:color w:val="auto"/>
                <w:szCs w:val="22"/>
              </w:rPr>
              <w:t>comparativos emparelhados de Humira e metotrexato em monoterapia</w:t>
            </w:r>
            <w:r w:rsidRPr="008912CF">
              <w:rPr>
                <w:b w:val="0"/>
                <w:color w:val="auto"/>
                <w:szCs w:val="22"/>
              </w:rPr>
              <w:t xml:space="preserve"> usando o teste de Mann-Whitney U.</w:t>
            </w:r>
          </w:p>
        </w:tc>
      </w:tr>
    </w:tbl>
    <w:p w14:paraId="08AD0719" w14:textId="77777777" w:rsidR="002F6811" w:rsidRDefault="002F6811" w:rsidP="002F6811">
      <w:pPr>
        <w:rPr>
          <w:sz w:val="22"/>
          <w:szCs w:val="22"/>
        </w:rPr>
      </w:pPr>
    </w:p>
    <w:p w14:paraId="70F60EF0" w14:textId="77777777" w:rsidR="002F6811" w:rsidRDefault="00615769" w:rsidP="002F6811">
      <w:pPr>
        <w:rPr>
          <w:sz w:val="22"/>
          <w:szCs w:val="22"/>
        </w:rPr>
      </w:pPr>
      <w:r>
        <w:rPr>
          <w:sz w:val="22"/>
          <w:szCs w:val="22"/>
        </w:rPr>
        <w:t xml:space="preserve">Na extensão de fase aberta do estudo AR V, as percentagens de resposta </w:t>
      </w:r>
      <w:r w:rsidRPr="008912CF">
        <w:rPr>
          <w:sz w:val="22"/>
          <w:szCs w:val="22"/>
        </w:rPr>
        <w:t xml:space="preserve">ACR </w:t>
      </w:r>
      <w:r>
        <w:rPr>
          <w:sz w:val="22"/>
          <w:szCs w:val="22"/>
        </w:rPr>
        <w:t>foram mantidas</w:t>
      </w:r>
      <w:r w:rsidRPr="008912CF">
        <w:rPr>
          <w:sz w:val="22"/>
          <w:szCs w:val="22"/>
        </w:rPr>
        <w:t xml:space="preserve"> quando acompanhados até 10 anos.</w:t>
      </w:r>
      <w:r>
        <w:rPr>
          <w:sz w:val="22"/>
          <w:szCs w:val="22"/>
        </w:rPr>
        <w:t xml:space="preserve"> </w:t>
      </w:r>
      <w:r w:rsidRPr="008912CF">
        <w:rPr>
          <w:sz w:val="22"/>
          <w:szCs w:val="22"/>
        </w:rPr>
        <w:t xml:space="preserve">Dos </w:t>
      </w:r>
      <w:r>
        <w:rPr>
          <w:sz w:val="22"/>
          <w:szCs w:val="22"/>
        </w:rPr>
        <w:t>542</w:t>
      </w:r>
      <w:r w:rsidRPr="008912CF">
        <w:rPr>
          <w:sz w:val="22"/>
          <w:szCs w:val="22"/>
        </w:rPr>
        <w:t xml:space="preserve"> doentes que foram </w:t>
      </w:r>
      <w:r>
        <w:rPr>
          <w:sz w:val="22"/>
          <w:szCs w:val="22"/>
        </w:rPr>
        <w:t xml:space="preserve">aleatorizados </w:t>
      </w:r>
      <w:r w:rsidR="004D006C">
        <w:rPr>
          <w:sz w:val="22"/>
          <w:szCs w:val="22"/>
        </w:rPr>
        <w:t>para</w:t>
      </w:r>
      <w:r w:rsidR="004D006C" w:rsidRPr="008912CF">
        <w:rPr>
          <w:sz w:val="22"/>
          <w:szCs w:val="22"/>
        </w:rPr>
        <w:t xml:space="preserve"> </w:t>
      </w:r>
      <w:r w:rsidRPr="008912CF">
        <w:rPr>
          <w:sz w:val="22"/>
          <w:szCs w:val="22"/>
        </w:rPr>
        <w:t>Humira 40 mg em semanas alternadas, 1</w:t>
      </w:r>
      <w:r>
        <w:rPr>
          <w:sz w:val="22"/>
          <w:szCs w:val="22"/>
        </w:rPr>
        <w:t>70</w:t>
      </w:r>
      <w:r w:rsidRPr="008912CF">
        <w:rPr>
          <w:sz w:val="22"/>
          <w:szCs w:val="22"/>
        </w:rPr>
        <w:t xml:space="preserve"> doentes continuaram com Humira 40 mg em semanas alternadas durante </w:t>
      </w:r>
      <w:r>
        <w:rPr>
          <w:sz w:val="22"/>
          <w:szCs w:val="22"/>
        </w:rPr>
        <w:t>10</w:t>
      </w:r>
      <w:r w:rsidRPr="008912CF">
        <w:rPr>
          <w:sz w:val="22"/>
          <w:szCs w:val="22"/>
        </w:rPr>
        <w:t xml:space="preserve"> anos. E</w:t>
      </w:r>
      <w:r>
        <w:rPr>
          <w:sz w:val="22"/>
          <w:szCs w:val="22"/>
        </w:rPr>
        <w:t>ntre estes</w:t>
      </w:r>
      <w:r w:rsidRPr="008912CF">
        <w:rPr>
          <w:sz w:val="22"/>
          <w:szCs w:val="22"/>
        </w:rPr>
        <w:t xml:space="preserve">, </w:t>
      </w:r>
      <w:r>
        <w:rPr>
          <w:sz w:val="22"/>
          <w:szCs w:val="22"/>
        </w:rPr>
        <w:t>154</w:t>
      </w:r>
      <w:r w:rsidRPr="008912CF">
        <w:rPr>
          <w:sz w:val="22"/>
          <w:szCs w:val="22"/>
        </w:rPr>
        <w:t xml:space="preserve"> doentes (</w:t>
      </w:r>
      <w:r>
        <w:rPr>
          <w:sz w:val="22"/>
          <w:szCs w:val="22"/>
        </w:rPr>
        <w:t>90,6</w:t>
      </w:r>
      <w:r w:rsidR="009343EF">
        <w:rPr>
          <w:sz w:val="22"/>
          <w:szCs w:val="22"/>
        </w:rPr>
        <w:t>%</w:t>
      </w:r>
      <w:r w:rsidRPr="008912CF">
        <w:rPr>
          <w:sz w:val="22"/>
          <w:szCs w:val="22"/>
        </w:rPr>
        <w:t xml:space="preserve">) </w:t>
      </w:r>
      <w:r>
        <w:rPr>
          <w:sz w:val="22"/>
          <w:szCs w:val="22"/>
        </w:rPr>
        <w:t xml:space="preserve">atingiram </w:t>
      </w:r>
      <w:r w:rsidRPr="008912CF">
        <w:rPr>
          <w:sz w:val="22"/>
          <w:szCs w:val="22"/>
        </w:rPr>
        <w:t>resposta</w:t>
      </w:r>
      <w:r>
        <w:rPr>
          <w:sz w:val="22"/>
          <w:szCs w:val="22"/>
        </w:rPr>
        <w:t>s</w:t>
      </w:r>
      <w:r w:rsidRPr="008912CF">
        <w:rPr>
          <w:sz w:val="22"/>
          <w:szCs w:val="22"/>
        </w:rPr>
        <w:t xml:space="preserve"> ACR 20; </w:t>
      </w:r>
      <w:r>
        <w:rPr>
          <w:sz w:val="22"/>
          <w:szCs w:val="22"/>
        </w:rPr>
        <w:t>127</w:t>
      </w:r>
      <w:r w:rsidRPr="008912CF">
        <w:rPr>
          <w:sz w:val="22"/>
          <w:szCs w:val="22"/>
        </w:rPr>
        <w:t xml:space="preserve"> doentes (</w:t>
      </w:r>
      <w:r>
        <w:rPr>
          <w:sz w:val="22"/>
          <w:szCs w:val="22"/>
        </w:rPr>
        <w:t>74</w:t>
      </w:r>
      <w:r w:rsidRPr="008912CF">
        <w:rPr>
          <w:sz w:val="22"/>
          <w:szCs w:val="22"/>
        </w:rPr>
        <w:t>,</w:t>
      </w:r>
      <w:r>
        <w:rPr>
          <w:sz w:val="22"/>
          <w:szCs w:val="22"/>
        </w:rPr>
        <w:t>7</w:t>
      </w:r>
      <w:r w:rsidR="009343EF">
        <w:rPr>
          <w:sz w:val="22"/>
          <w:szCs w:val="22"/>
        </w:rPr>
        <w:t>%</w:t>
      </w:r>
      <w:r w:rsidRPr="008912CF">
        <w:rPr>
          <w:sz w:val="22"/>
          <w:szCs w:val="22"/>
        </w:rPr>
        <w:t xml:space="preserve">) </w:t>
      </w:r>
      <w:r>
        <w:rPr>
          <w:sz w:val="22"/>
          <w:szCs w:val="22"/>
        </w:rPr>
        <w:t>atingiram respostas</w:t>
      </w:r>
      <w:r w:rsidRPr="008912CF">
        <w:rPr>
          <w:sz w:val="22"/>
          <w:szCs w:val="22"/>
        </w:rPr>
        <w:t xml:space="preserve"> ACR 50; e </w:t>
      </w:r>
      <w:r>
        <w:rPr>
          <w:sz w:val="22"/>
          <w:szCs w:val="22"/>
        </w:rPr>
        <w:t>102</w:t>
      </w:r>
      <w:r w:rsidRPr="008912CF">
        <w:rPr>
          <w:sz w:val="22"/>
          <w:szCs w:val="22"/>
        </w:rPr>
        <w:t xml:space="preserve"> doentes (</w:t>
      </w:r>
      <w:r>
        <w:rPr>
          <w:sz w:val="22"/>
          <w:szCs w:val="22"/>
        </w:rPr>
        <w:t>60,0</w:t>
      </w:r>
      <w:r w:rsidR="009343EF">
        <w:rPr>
          <w:sz w:val="22"/>
          <w:szCs w:val="22"/>
        </w:rPr>
        <w:t>%</w:t>
      </w:r>
      <w:r w:rsidRPr="008912CF">
        <w:rPr>
          <w:sz w:val="22"/>
          <w:szCs w:val="22"/>
        </w:rPr>
        <w:t xml:space="preserve">) </w:t>
      </w:r>
      <w:r>
        <w:rPr>
          <w:sz w:val="22"/>
          <w:szCs w:val="22"/>
        </w:rPr>
        <w:t xml:space="preserve">atingiram </w:t>
      </w:r>
      <w:r w:rsidRPr="008912CF">
        <w:rPr>
          <w:sz w:val="22"/>
          <w:szCs w:val="22"/>
        </w:rPr>
        <w:t>resposta</w:t>
      </w:r>
      <w:r>
        <w:rPr>
          <w:sz w:val="22"/>
          <w:szCs w:val="22"/>
        </w:rPr>
        <w:t>s</w:t>
      </w:r>
      <w:r w:rsidRPr="008912CF">
        <w:rPr>
          <w:sz w:val="22"/>
          <w:szCs w:val="22"/>
        </w:rPr>
        <w:t xml:space="preserve"> ACR 70</w:t>
      </w:r>
      <w:r>
        <w:rPr>
          <w:sz w:val="22"/>
          <w:szCs w:val="22"/>
        </w:rPr>
        <w:t>.</w:t>
      </w:r>
    </w:p>
    <w:p w14:paraId="2AA80A9E" w14:textId="77777777" w:rsidR="002F6811" w:rsidRPr="008912CF" w:rsidRDefault="002F6811" w:rsidP="002F6811">
      <w:pPr>
        <w:rPr>
          <w:sz w:val="22"/>
          <w:szCs w:val="22"/>
        </w:rPr>
      </w:pPr>
    </w:p>
    <w:p w14:paraId="0BAC2BF0" w14:textId="77777777" w:rsidR="002F6811" w:rsidRPr="008912CF" w:rsidRDefault="00615769" w:rsidP="002F6811">
      <w:pPr>
        <w:rPr>
          <w:sz w:val="22"/>
          <w:szCs w:val="22"/>
        </w:rPr>
      </w:pPr>
      <w:r w:rsidRPr="008912CF">
        <w:rPr>
          <w:sz w:val="22"/>
          <w:szCs w:val="22"/>
        </w:rPr>
        <w:t>Na Semana</w:t>
      </w:r>
      <w:r>
        <w:rPr>
          <w:sz w:val="22"/>
          <w:szCs w:val="22"/>
        </w:rPr>
        <w:t> </w:t>
      </w:r>
      <w:r w:rsidRPr="008912CF">
        <w:rPr>
          <w:sz w:val="22"/>
          <w:szCs w:val="22"/>
        </w:rPr>
        <w:t>52, 42,9</w:t>
      </w:r>
      <w:r w:rsidR="009343EF">
        <w:rPr>
          <w:sz w:val="22"/>
          <w:szCs w:val="22"/>
        </w:rPr>
        <w:t>%</w:t>
      </w:r>
      <w:r w:rsidRPr="008912CF">
        <w:rPr>
          <w:sz w:val="22"/>
          <w:szCs w:val="22"/>
        </w:rPr>
        <w:t xml:space="preserve"> dos doentes tratados com a associação terapêutica Humira/metotrexato atingiram remissão clínica (DAS</w:t>
      </w:r>
      <w:r>
        <w:rPr>
          <w:sz w:val="22"/>
          <w:szCs w:val="22"/>
        </w:rPr>
        <w:t xml:space="preserve"> </w:t>
      </w:r>
      <w:r w:rsidRPr="008912CF">
        <w:rPr>
          <w:sz w:val="22"/>
          <w:szCs w:val="22"/>
        </w:rPr>
        <w:t>28</w:t>
      </w:r>
      <w:r>
        <w:rPr>
          <w:sz w:val="22"/>
          <w:szCs w:val="22"/>
        </w:rPr>
        <w:t xml:space="preserve"> (PCR)</w:t>
      </w:r>
      <w:r w:rsidRPr="008912CF">
        <w:rPr>
          <w:sz w:val="22"/>
          <w:szCs w:val="22"/>
        </w:rPr>
        <w:t> &lt; 2,6) comparativamente com 20,6</w:t>
      </w:r>
      <w:r w:rsidR="009343EF">
        <w:rPr>
          <w:sz w:val="22"/>
          <w:szCs w:val="22"/>
        </w:rPr>
        <w:t>%</w:t>
      </w:r>
      <w:r w:rsidRPr="008912CF">
        <w:rPr>
          <w:sz w:val="22"/>
          <w:szCs w:val="22"/>
        </w:rPr>
        <w:t xml:space="preserve"> dos doentes tratados com metotrexato em monoterapia e 23,4</w:t>
      </w:r>
      <w:r w:rsidR="009343EF">
        <w:rPr>
          <w:sz w:val="22"/>
          <w:szCs w:val="22"/>
        </w:rPr>
        <w:t>%</w:t>
      </w:r>
      <w:r w:rsidRPr="008912CF">
        <w:rPr>
          <w:sz w:val="22"/>
          <w:szCs w:val="22"/>
        </w:rPr>
        <w:t xml:space="preserve"> dos doentes tratados com Humira em monoterapia. Em doentes recentemente diagnosticados com artrite reumatoide moderada a grave, a associação terapêutica Humira/metotrexato foi clinicamente e estatisticamente superior </w:t>
      </w:r>
      <w:r w:rsidR="004D006C">
        <w:rPr>
          <w:sz w:val="22"/>
          <w:szCs w:val="22"/>
        </w:rPr>
        <w:t>a</w:t>
      </w:r>
      <w:r w:rsidRPr="008912CF">
        <w:rPr>
          <w:sz w:val="22"/>
          <w:szCs w:val="22"/>
        </w:rPr>
        <w:t xml:space="preserve"> metotrexato (p &lt; 0,001) e </w:t>
      </w:r>
      <w:r w:rsidR="004D006C">
        <w:rPr>
          <w:sz w:val="22"/>
          <w:szCs w:val="22"/>
        </w:rPr>
        <w:t xml:space="preserve">a </w:t>
      </w:r>
      <w:r w:rsidRPr="008912CF">
        <w:rPr>
          <w:sz w:val="22"/>
          <w:szCs w:val="22"/>
        </w:rPr>
        <w:t xml:space="preserve">Humira em monoterapia (p &lt; 0,001) </w:t>
      </w:r>
      <w:r w:rsidR="004D006C">
        <w:rPr>
          <w:sz w:val="22"/>
          <w:szCs w:val="22"/>
        </w:rPr>
        <w:t>na</w:t>
      </w:r>
      <w:r w:rsidRPr="008912CF">
        <w:rPr>
          <w:sz w:val="22"/>
          <w:szCs w:val="22"/>
        </w:rPr>
        <w:t xml:space="preserve"> redução da atividade da</w:t>
      </w:r>
      <w:r w:rsidRPr="008912CF">
        <w:rPr>
          <w:sz w:val="22"/>
          <w:szCs w:val="22"/>
        </w:rPr>
        <w:t xml:space="preserve"> doença. A resposta foi similar nos dois braços de monoterapia (p = 0,447).</w:t>
      </w:r>
      <w:r>
        <w:rPr>
          <w:sz w:val="22"/>
          <w:szCs w:val="22"/>
        </w:rPr>
        <w:t xml:space="preserve"> Dos 342 doentes incluídos na extensão de fase aberta do estudo, originalmente aleatorizados com Humira em monoterapia ou associação terapêutica Humira/metotrexato, 171 doentes completaram 10 anos de tratamento com Humira. Entre estes, 109 doentes (63,7</w:t>
      </w:r>
      <w:r w:rsidR="009343EF">
        <w:rPr>
          <w:sz w:val="22"/>
          <w:szCs w:val="22"/>
        </w:rPr>
        <w:t>%</w:t>
      </w:r>
      <w:r>
        <w:rPr>
          <w:sz w:val="22"/>
          <w:szCs w:val="22"/>
        </w:rPr>
        <w:t>) apresentaram remissão aos 10 anos.</w:t>
      </w:r>
    </w:p>
    <w:p w14:paraId="671E562D" w14:textId="77777777" w:rsidR="002F6811" w:rsidRPr="008912CF" w:rsidRDefault="002F6811" w:rsidP="002F6811">
      <w:pPr>
        <w:rPr>
          <w:sz w:val="22"/>
          <w:szCs w:val="22"/>
        </w:rPr>
      </w:pPr>
    </w:p>
    <w:p w14:paraId="11DCDAD6" w14:textId="77777777" w:rsidR="002F6811" w:rsidRPr="008912CF" w:rsidRDefault="00615769" w:rsidP="00556837">
      <w:pPr>
        <w:pStyle w:val="Heading9"/>
        <w:rPr>
          <w:szCs w:val="22"/>
        </w:rPr>
      </w:pPr>
      <w:r w:rsidRPr="008912CF">
        <w:rPr>
          <w:i/>
          <w:szCs w:val="22"/>
        </w:rPr>
        <w:t>Resposta radiológica</w:t>
      </w:r>
    </w:p>
    <w:p w14:paraId="60C3F917" w14:textId="77777777" w:rsidR="002F6811" w:rsidRPr="008912CF" w:rsidRDefault="002F6811" w:rsidP="00556837">
      <w:pPr>
        <w:keepNext/>
        <w:rPr>
          <w:sz w:val="22"/>
          <w:szCs w:val="22"/>
        </w:rPr>
      </w:pPr>
    </w:p>
    <w:p w14:paraId="5937CDC8" w14:textId="77777777" w:rsidR="002F6811" w:rsidRPr="008912CF" w:rsidRDefault="00615769" w:rsidP="00556837">
      <w:pPr>
        <w:keepNext/>
        <w:rPr>
          <w:sz w:val="22"/>
          <w:szCs w:val="22"/>
        </w:rPr>
      </w:pPr>
      <w:r w:rsidRPr="008912CF">
        <w:rPr>
          <w:sz w:val="22"/>
          <w:szCs w:val="22"/>
        </w:rPr>
        <w:t>No estudo AR III, em que os doentes tratados com Humira tinham uma duração média de artrite reumatoide de aproximadamente 11 anos, a lesão estrutural articular foi avaliada radiologicamente e expressa como alteração na Escala Total de Sharp (TSS) modificada e respetivos componentes, escala de erosão e escala do estreitamento do espaço articular. Doentes tratados com Humira/metotrexato demonstraram uma progressão radiológica significativamente menor do que os doentes tratados apenas com metotrexato aos 6 e 1</w:t>
      </w:r>
      <w:r w:rsidRPr="008912CF">
        <w:rPr>
          <w:sz w:val="22"/>
          <w:szCs w:val="22"/>
        </w:rPr>
        <w:t xml:space="preserve">2 meses (ver Tabela </w:t>
      </w:r>
      <w:r w:rsidR="00116EA1">
        <w:rPr>
          <w:sz w:val="22"/>
          <w:szCs w:val="22"/>
        </w:rPr>
        <w:t>9</w:t>
      </w:r>
      <w:r w:rsidRPr="008912CF">
        <w:rPr>
          <w:sz w:val="22"/>
          <w:szCs w:val="22"/>
        </w:rPr>
        <w:t>).</w:t>
      </w:r>
    </w:p>
    <w:p w14:paraId="4CDE571C" w14:textId="77777777" w:rsidR="002F6811" w:rsidRPr="008912CF" w:rsidRDefault="002F6811" w:rsidP="002F6811">
      <w:pPr>
        <w:rPr>
          <w:sz w:val="22"/>
          <w:szCs w:val="22"/>
        </w:rPr>
      </w:pPr>
    </w:p>
    <w:p w14:paraId="08C0A4C4" w14:textId="77777777" w:rsidR="002F6811" w:rsidRPr="008912CF" w:rsidRDefault="00615769" w:rsidP="002F6811">
      <w:pPr>
        <w:rPr>
          <w:sz w:val="22"/>
          <w:szCs w:val="22"/>
        </w:rPr>
      </w:pPr>
      <w:r w:rsidRPr="008912CF">
        <w:rPr>
          <w:sz w:val="22"/>
          <w:szCs w:val="22"/>
        </w:rPr>
        <w:t>Na extensão de fase aberta do estudo AR III</w:t>
      </w:r>
      <w:r w:rsidR="00FB0C02">
        <w:rPr>
          <w:sz w:val="22"/>
          <w:szCs w:val="22"/>
        </w:rPr>
        <w:t>,</w:t>
      </w:r>
      <w:r w:rsidRPr="008912CF">
        <w:rPr>
          <w:sz w:val="22"/>
          <w:szCs w:val="22"/>
        </w:rPr>
        <w:t xml:space="preserve"> a redução da taxa de progressão da lesão estrutural manteve-se por 8 e 10 anos num subgrupo de doentes. Aos 8 anos, 81 dos 207 doentes originalmente tratados com 40 mg de Humira em semanas alternadas foram avaliados radiologicamente. Entre estes, 48 doentes não mostraram progressão da lesão estrutural</w:t>
      </w:r>
      <w:r w:rsidR="00FB0C02">
        <w:rPr>
          <w:sz w:val="22"/>
          <w:szCs w:val="22"/>
        </w:rPr>
        <w:t>,</w:t>
      </w:r>
      <w:r w:rsidRPr="008912CF">
        <w:rPr>
          <w:sz w:val="22"/>
          <w:szCs w:val="22"/>
        </w:rPr>
        <w:t xml:space="preserve"> definida por uma alteração desde o início do estudo de 0,5 ou menos na mTSS. Aos 10</w:t>
      </w:r>
      <w:r>
        <w:rPr>
          <w:sz w:val="22"/>
          <w:szCs w:val="22"/>
        </w:rPr>
        <w:t> </w:t>
      </w:r>
      <w:r w:rsidRPr="008912CF">
        <w:rPr>
          <w:sz w:val="22"/>
          <w:szCs w:val="22"/>
        </w:rPr>
        <w:t>anos, 79 dos 207 doentes inicialmente tratados com Humira 40 mg em semanas alternadas foram avaliados radiologicamente. En</w:t>
      </w:r>
      <w:r w:rsidRPr="008912CF">
        <w:rPr>
          <w:sz w:val="22"/>
          <w:szCs w:val="22"/>
        </w:rPr>
        <w:t>tre estes, 40 doentes não apresentaram progressão da lesão estrutural, definida por uma alteração desde o início do estudo de 0,5 ou menos na mTSS.</w:t>
      </w:r>
    </w:p>
    <w:p w14:paraId="617DB3A4" w14:textId="77777777" w:rsidR="002F6811" w:rsidRPr="008912CF" w:rsidRDefault="002F6811" w:rsidP="002F6811">
      <w:pPr>
        <w:keepN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430"/>
        <w:gridCol w:w="1790"/>
        <w:gridCol w:w="2000"/>
        <w:gridCol w:w="1548"/>
      </w:tblGrid>
      <w:tr w:rsidR="00A7162A" w14:paraId="3D6AEFAA" w14:textId="77777777" w:rsidTr="002F6811">
        <w:trPr>
          <w:cantSplit/>
        </w:trPr>
        <w:tc>
          <w:tcPr>
            <w:tcW w:w="8856" w:type="dxa"/>
            <w:gridSpan w:val="5"/>
            <w:tcBorders>
              <w:top w:val="nil"/>
              <w:left w:val="nil"/>
              <w:right w:val="nil"/>
            </w:tcBorders>
          </w:tcPr>
          <w:p w14:paraId="2E617C83" w14:textId="77777777" w:rsidR="002F6811" w:rsidRPr="008912CF" w:rsidRDefault="00615769" w:rsidP="002F6811">
            <w:pPr>
              <w:pStyle w:val="Heading9"/>
              <w:jc w:val="center"/>
              <w:rPr>
                <w:b/>
                <w:bCs/>
                <w:u w:val="none"/>
              </w:rPr>
            </w:pPr>
            <w:r w:rsidRPr="008912CF">
              <w:rPr>
                <w:b/>
                <w:bCs/>
                <w:szCs w:val="22"/>
                <w:u w:val="none"/>
              </w:rPr>
              <w:t xml:space="preserve">Tabela </w:t>
            </w:r>
            <w:r w:rsidR="00116EA1">
              <w:rPr>
                <w:b/>
                <w:bCs/>
                <w:szCs w:val="22"/>
                <w:u w:val="none"/>
              </w:rPr>
              <w:t>9</w:t>
            </w:r>
          </w:p>
          <w:p w14:paraId="6CF27093" w14:textId="77777777" w:rsidR="002F6811" w:rsidRPr="008912CF" w:rsidRDefault="00615769" w:rsidP="002F6811">
            <w:pPr>
              <w:pStyle w:val="Heading9"/>
              <w:jc w:val="center"/>
              <w:rPr>
                <w:b/>
                <w:bCs/>
                <w:highlight w:val="cyan"/>
                <w:u w:val="none"/>
              </w:rPr>
            </w:pPr>
            <w:r w:rsidRPr="008912CF">
              <w:rPr>
                <w:b/>
                <w:bCs/>
                <w:szCs w:val="22"/>
                <w:u w:val="none"/>
              </w:rPr>
              <w:t>Alteração Média Radiológica durante 12</w:t>
            </w:r>
            <w:r>
              <w:rPr>
                <w:b/>
                <w:bCs/>
                <w:szCs w:val="22"/>
                <w:u w:val="none"/>
              </w:rPr>
              <w:t> </w:t>
            </w:r>
            <w:r w:rsidRPr="008912CF">
              <w:rPr>
                <w:b/>
                <w:bCs/>
                <w:szCs w:val="22"/>
                <w:u w:val="none"/>
              </w:rPr>
              <w:t>meses no Estudo AR III</w:t>
            </w:r>
          </w:p>
          <w:p w14:paraId="2BD5A014" w14:textId="77777777" w:rsidR="002F6811" w:rsidRPr="008912CF" w:rsidRDefault="002F6811" w:rsidP="002F6811">
            <w:pPr>
              <w:keepNext/>
              <w:jc w:val="center"/>
              <w:rPr>
                <w:b/>
                <w:bCs/>
                <w:highlight w:val="red"/>
              </w:rPr>
            </w:pPr>
          </w:p>
        </w:tc>
      </w:tr>
      <w:tr w:rsidR="00A7162A" w14:paraId="322A1C08" w14:textId="77777777" w:rsidTr="002F6811">
        <w:tc>
          <w:tcPr>
            <w:tcW w:w="2088" w:type="dxa"/>
          </w:tcPr>
          <w:p w14:paraId="4A7922C6" w14:textId="77777777" w:rsidR="002F6811" w:rsidRPr="008912CF" w:rsidRDefault="002F6811" w:rsidP="002F6811">
            <w:pPr>
              <w:keepNext/>
              <w:jc w:val="center"/>
            </w:pPr>
          </w:p>
        </w:tc>
        <w:tc>
          <w:tcPr>
            <w:tcW w:w="1430" w:type="dxa"/>
          </w:tcPr>
          <w:p w14:paraId="2437F3DA" w14:textId="77777777" w:rsidR="002F6811" w:rsidRPr="008912CF" w:rsidRDefault="00615769" w:rsidP="002F6811">
            <w:pPr>
              <w:keepNext/>
            </w:pPr>
            <w:r w:rsidRPr="008912CF">
              <w:rPr>
                <w:sz w:val="22"/>
                <w:szCs w:val="22"/>
              </w:rPr>
              <w:t>Placebo/</w:t>
            </w:r>
          </w:p>
          <w:p w14:paraId="1192B795" w14:textId="77777777" w:rsidR="002F6811" w:rsidRPr="008912CF" w:rsidRDefault="00615769" w:rsidP="002F6811">
            <w:pPr>
              <w:keepNext/>
              <w:rPr>
                <w:vertAlign w:val="superscript"/>
              </w:rPr>
            </w:pPr>
            <w:r w:rsidRPr="008912CF">
              <w:rPr>
                <w:sz w:val="22"/>
                <w:szCs w:val="22"/>
              </w:rPr>
              <w:t>MTX</w:t>
            </w:r>
            <w:r w:rsidRPr="008912CF">
              <w:rPr>
                <w:sz w:val="22"/>
                <w:szCs w:val="22"/>
                <w:vertAlign w:val="superscript"/>
              </w:rPr>
              <w:t>a</w:t>
            </w:r>
          </w:p>
        </w:tc>
        <w:tc>
          <w:tcPr>
            <w:tcW w:w="1790" w:type="dxa"/>
          </w:tcPr>
          <w:p w14:paraId="44998A3F" w14:textId="77777777" w:rsidR="002F6811" w:rsidRPr="008912CF" w:rsidRDefault="00615769" w:rsidP="002F6811">
            <w:pPr>
              <w:keepNext/>
              <w:jc w:val="center"/>
            </w:pPr>
            <w:r w:rsidRPr="008912CF">
              <w:rPr>
                <w:sz w:val="22"/>
                <w:szCs w:val="22"/>
              </w:rPr>
              <w:t>Humira/MTX</w:t>
            </w:r>
          </w:p>
          <w:p w14:paraId="515978CA" w14:textId="77777777" w:rsidR="002F6811" w:rsidRPr="008912CF" w:rsidRDefault="00615769" w:rsidP="002F6811">
            <w:pPr>
              <w:keepNext/>
              <w:jc w:val="center"/>
            </w:pPr>
            <w:r w:rsidRPr="008912CF">
              <w:rPr>
                <w:sz w:val="22"/>
                <w:szCs w:val="22"/>
              </w:rPr>
              <w:t>40 mg em semanas alternadas</w:t>
            </w:r>
          </w:p>
        </w:tc>
        <w:tc>
          <w:tcPr>
            <w:tcW w:w="2000" w:type="dxa"/>
          </w:tcPr>
          <w:p w14:paraId="707BB86B" w14:textId="77777777" w:rsidR="002F6811" w:rsidRPr="008912CF" w:rsidRDefault="00615769" w:rsidP="002F6811">
            <w:pPr>
              <w:keepNext/>
              <w:jc w:val="center"/>
            </w:pPr>
            <w:r w:rsidRPr="008912CF">
              <w:rPr>
                <w:sz w:val="22"/>
                <w:szCs w:val="22"/>
              </w:rPr>
              <w:t>Placebo/MTX-Humira/MTX (95% Intervalo de confiança</w:t>
            </w:r>
            <w:r w:rsidRPr="008912CF">
              <w:rPr>
                <w:sz w:val="22"/>
                <w:szCs w:val="22"/>
                <w:vertAlign w:val="superscript"/>
              </w:rPr>
              <w:t>b</w:t>
            </w:r>
            <w:r w:rsidRPr="008912CF">
              <w:rPr>
                <w:sz w:val="22"/>
                <w:szCs w:val="22"/>
              </w:rPr>
              <w:t>)</w:t>
            </w:r>
          </w:p>
        </w:tc>
        <w:tc>
          <w:tcPr>
            <w:tcW w:w="1548" w:type="dxa"/>
          </w:tcPr>
          <w:p w14:paraId="555ED54F" w14:textId="77777777" w:rsidR="002F6811" w:rsidRPr="008912CF" w:rsidRDefault="00615769" w:rsidP="002F6811">
            <w:pPr>
              <w:keepNext/>
              <w:jc w:val="center"/>
            </w:pPr>
            <w:r w:rsidRPr="008912CF">
              <w:rPr>
                <w:sz w:val="22"/>
                <w:szCs w:val="22"/>
              </w:rPr>
              <w:t>valor</w:t>
            </w:r>
            <w:r w:rsidR="004D006C">
              <w:rPr>
                <w:sz w:val="22"/>
                <w:szCs w:val="22"/>
              </w:rPr>
              <w:t>-p</w:t>
            </w:r>
          </w:p>
        </w:tc>
      </w:tr>
      <w:tr w:rsidR="00A7162A" w14:paraId="2439F459" w14:textId="77777777" w:rsidTr="002F6811">
        <w:tc>
          <w:tcPr>
            <w:tcW w:w="2088" w:type="dxa"/>
          </w:tcPr>
          <w:p w14:paraId="14821AB4" w14:textId="77777777" w:rsidR="002F6811" w:rsidRPr="008912CF" w:rsidRDefault="00615769" w:rsidP="002F6811">
            <w:pPr>
              <w:keepNext/>
              <w:jc w:val="center"/>
            </w:pPr>
            <w:r w:rsidRPr="008912CF">
              <w:rPr>
                <w:sz w:val="22"/>
                <w:szCs w:val="22"/>
              </w:rPr>
              <w:t>Escala Total de Sharp</w:t>
            </w:r>
          </w:p>
        </w:tc>
        <w:tc>
          <w:tcPr>
            <w:tcW w:w="1430" w:type="dxa"/>
          </w:tcPr>
          <w:p w14:paraId="5E471CEB" w14:textId="77777777" w:rsidR="002F6811" w:rsidRPr="008912CF" w:rsidRDefault="00615769" w:rsidP="002F6811">
            <w:pPr>
              <w:keepNext/>
              <w:jc w:val="center"/>
            </w:pPr>
            <w:r w:rsidRPr="008912CF">
              <w:rPr>
                <w:sz w:val="22"/>
                <w:szCs w:val="22"/>
              </w:rPr>
              <w:t>2,7</w:t>
            </w:r>
          </w:p>
        </w:tc>
        <w:tc>
          <w:tcPr>
            <w:tcW w:w="1790" w:type="dxa"/>
          </w:tcPr>
          <w:p w14:paraId="692D3FAE" w14:textId="77777777" w:rsidR="002F6811" w:rsidRPr="008912CF" w:rsidRDefault="00615769" w:rsidP="002F6811">
            <w:pPr>
              <w:keepNext/>
              <w:jc w:val="center"/>
            </w:pPr>
            <w:r w:rsidRPr="008912CF">
              <w:rPr>
                <w:sz w:val="22"/>
                <w:szCs w:val="22"/>
              </w:rPr>
              <w:t>0,1</w:t>
            </w:r>
          </w:p>
        </w:tc>
        <w:tc>
          <w:tcPr>
            <w:tcW w:w="2000" w:type="dxa"/>
          </w:tcPr>
          <w:p w14:paraId="07F0EE06" w14:textId="77777777" w:rsidR="002F6811" w:rsidRPr="008912CF" w:rsidRDefault="00615769" w:rsidP="002F6811">
            <w:pPr>
              <w:keepNext/>
              <w:jc w:val="center"/>
            </w:pPr>
            <w:r w:rsidRPr="008912CF">
              <w:rPr>
                <w:sz w:val="22"/>
                <w:szCs w:val="22"/>
              </w:rPr>
              <w:t xml:space="preserve">2,6 (1,4, 3,8) </w:t>
            </w:r>
          </w:p>
        </w:tc>
        <w:tc>
          <w:tcPr>
            <w:tcW w:w="1548" w:type="dxa"/>
          </w:tcPr>
          <w:p w14:paraId="40E820AA" w14:textId="77777777" w:rsidR="002F6811" w:rsidRPr="008912CF" w:rsidRDefault="00615769" w:rsidP="002F6811">
            <w:pPr>
              <w:keepNext/>
              <w:jc w:val="center"/>
              <w:rPr>
                <w:vertAlign w:val="superscript"/>
              </w:rPr>
            </w:pPr>
            <w:r w:rsidRPr="008912CF">
              <w:rPr>
                <w:sz w:val="22"/>
                <w:szCs w:val="22"/>
              </w:rPr>
              <w:t>&lt; 0,001</w:t>
            </w:r>
            <w:r w:rsidRPr="008912CF">
              <w:rPr>
                <w:sz w:val="22"/>
                <w:szCs w:val="22"/>
                <w:vertAlign w:val="superscript"/>
              </w:rPr>
              <w:t>c</w:t>
            </w:r>
          </w:p>
        </w:tc>
      </w:tr>
      <w:tr w:rsidR="00A7162A" w14:paraId="14B4A3BC" w14:textId="77777777" w:rsidTr="002F6811">
        <w:tc>
          <w:tcPr>
            <w:tcW w:w="2088" w:type="dxa"/>
          </w:tcPr>
          <w:p w14:paraId="5E5FC4F6" w14:textId="77777777" w:rsidR="002F6811" w:rsidRPr="008912CF" w:rsidRDefault="00615769" w:rsidP="002F6811">
            <w:pPr>
              <w:keepNext/>
              <w:jc w:val="center"/>
            </w:pPr>
            <w:r w:rsidRPr="008912CF">
              <w:rPr>
                <w:sz w:val="22"/>
                <w:szCs w:val="22"/>
              </w:rPr>
              <w:t>Escala de Erosão</w:t>
            </w:r>
          </w:p>
        </w:tc>
        <w:tc>
          <w:tcPr>
            <w:tcW w:w="1430" w:type="dxa"/>
          </w:tcPr>
          <w:p w14:paraId="1B13E7E9" w14:textId="77777777" w:rsidR="002F6811" w:rsidRPr="008912CF" w:rsidRDefault="00615769" w:rsidP="002F6811">
            <w:pPr>
              <w:keepNext/>
              <w:jc w:val="center"/>
            </w:pPr>
            <w:r w:rsidRPr="008912CF">
              <w:rPr>
                <w:sz w:val="22"/>
                <w:szCs w:val="22"/>
              </w:rPr>
              <w:t>1,6</w:t>
            </w:r>
          </w:p>
        </w:tc>
        <w:tc>
          <w:tcPr>
            <w:tcW w:w="1790" w:type="dxa"/>
          </w:tcPr>
          <w:p w14:paraId="65B4A79D" w14:textId="77777777" w:rsidR="002F6811" w:rsidRPr="008912CF" w:rsidRDefault="00615769" w:rsidP="002F6811">
            <w:pPr>
              <w:keepNext/>
              <w:jc w:val="center"/>
            </w:pPr>
            <w:r w:rsidRPr="008912CF">
              <w:rPr>
                <w:sz w:val="22"/>
                <w:szCs w:val="22"/>
              </w:rPr>
              <w:t>0,0</w:t>
            </w:r>
          </w:p>
        </w:tc>
        <w:tc>
          <w:tcPr>
            <w:tcW w:w="2000" w:type="dxa"/>
          </w:tcPr>
          <w:p w14:paraId="5E8F274C" w14:textId="77777777" w:rsidR="002F6811" w:rsidRPr="008912CF" w:rsidRDefault="00615769" w:rsidP="002F6811">
            <w:pPr>
              <w:keepNext/>
              <w:jc w:val="center"/>
            </w:pPr>
            <w:r w:rsidRPr="008912CF">
              <w:rPr>
                <w:sz w:val="22"/>
                <w:szCs w:val="22"/>
              </w:rPr>
              <w:t>1,6 (0,9, 2,2)</w:t>
            </w:r>
          </w:p>
        </w:tc>
        <w:tc>
          <w:tcPr>
            <w:tcW w:w="1548" w:type="dxa"/>
          </w:tcPr>
          <w:p w14:paraId="34E372B7" w14:textId="77777777" w:rsidR="002F6811" w:rsidRPr="008912CF" w:rsidRDefault="00615769" w:rsidP="002F6811">
            <w:pPr>
              <w:keepNext/>
              <w:jc w:val="center"/>
            </w:pPr>
            <w:r w:rsidRPr="008912CF">
              <w:rPr>
                <w:sz w:val="22"/>
                <w:szCs w:val="22"/>
              </w:rPr>
              <w:t>&lt; 0,001</w:t>
            </w:r>
          </w:p>
        </w:tc>
      </w:tr>
      <w:tr w:rsidR="00A7162A" w14:paraId="31031682" w14:textId="77777777" w:rsidTr="002F6811">
        <w:tc>
          <w:tcPr>
            <w:tcW w:w="2088" w:type="dxa"/>
          </w:tcPr>
          <w:p w14:paraId="70FA212F" w14:textId="77777777" w:rsidR="002F6811" w:rsidRPr="008912CF" w:rsidRDefault="00615769" w:rsidP="002F6811">
            <w:pPr>
              <w:keepNext/>
              <w:jc w:val="center"/>
            </w:pPr>
            <w:r w:rsidRPr="008912CF">
              <w:rPr>
                <w:sz w:val="22"/>
                <w:szCs w:val="22"/>
              </w:rPr>
              <w:t>Escala de JSN</w:t>
            </w:r>
            <w:r w:rsidRPr="008912CF">
              <w:rPr>
                <w:sz w:val="22"/>
                <w:szCs w:val="22"/>
                <w:vertAlign w:val="superscript"/>
              </w:rPr>
              <w:t>d</w:t>
            </w:r>
            <w:r w:rsidRPr="008912CF">
              <w:rPr>
                <w:sz w:val="22"/>
                <w:szCs w:val="22"/>
              </w:rPr>
              <w:t xml:space="preserve"> </w:t>
            </w:r>
          </w:p>
        </w:tc>
        <w:tc>
          <w:tcPr>
            <w:tcW w:w="1430" w:type="dxa"/>
          </w:tcPr>
          <w:p w14:paraId="46D809A0" w14:textId="77777777" w:rsidR="002F6811" w:rsidRPr="008912CF" w:rsidRDefault="00615769" w:rsidP="002F6811">
            <w:pPr>
              <w:keepNext/>
              <w:jc w:val="center"/>
            </w:pPr>
            <w:r w:rsidRPr="008912CF">
              <w:rPr>
                <w:sz w:val="22"/>
                <w:szCs w:val="22"/>
              </w:rPr>
              <w:t>1,0</w:t>
            </w:r>
          </w:p>
        </w:tc>
        <w:tc>
          <w:tcPr>
            <w:tcW w:w="1790" w:type="dxa"/>
          </w:tcPr>
          <w:p w14:paraId="68F61B36" w14:textId="77777777" w:rsidR="002F6811" w:rsidRPr="008912CF" w:rsidRDefault="00615769" w:rsidP="002F6811">
            <w:pPr>
              <w:keepNext/>
              <w:jc w:val="center"/>
            </w:pPr>
            <w:r w:rsidRPr="008912CF">
              <w:rPr>
                <w:sz w:val="22"/>
                <w:szCs w:val="22"/>
              </w:rPr>
              <w:t>0,1</w:t>
            </w:r>
          </w:p>
        </w:tc>
        <w:tc>
          <w:tcPr>
            <w:tcW w:w="2000" w:type="dxa"/>
          </w:tcPr>
          <w:p w14:paraId="447EC986" w14:textId="77777777" w:rsidR="002F6811" w:rsidRPr="008912CF" w:rsidRDefault="00615769" w:rsidP="002F6811">
            <w:pPr>
              <w:keepNext/>
              <w:jc w:val="center"/>
            </w:pPr>
            <w:r w:rsidRPr="008912CF">
              <w:rPr>
                <w:sz w:val="22"/>
                <w:szCs w:val="22"/>
              </w:rPr>
              <w:t>0,9 (0,3, 1,4)</w:t>
            </w:r>
          </w:p>
        </w:tc>
        <w:tc>
          <w:tcPr>
            <w:tcW w:w="1548" w:type="dxa"/>
          </w:tcPr>
          <w:p w14:paraId="4F05EA87" w14:textId="77777777" w:rsidR="002F6811" w:rsidRPr="008912CF" w:rsidRDefault="00615769" w:rsidP="002F6811">
            <w:pPr>
              <w:keepNext/>
              <w:jc w:val="center"/>
            </w:pPr>
            <w:r w:rsidRPr="008912CF">
              <w:rPr>
                <w:sz w:val="22"/>
                <w:szCs w:val="22"/>
              </w:rPr>
              <w:t xml:space="preserve">  0,002</w:t>
            </w:r>
          </w:p>
        </w:tc>
      </w:tr>
    </w:tbl>
    <w:p w14:paraId="5E834E6B" w14:textId="77777777" w:rsidR="002F6811" w:rsidRPr="008912CF" w:rsidRDefault="00615769" w:rsidP="002F6811">
      <w:pPr>
        <w:pStyle w:val="In-textfootnote"/>
        <w:spacing w:line="240" w:lineRule="auto"/>
        <w:rPr>
          <w:rFonts w:ascii="Times New Roman" w:hAnsi="Times New Roman"/>
          <w:sz w:val="22"/>
          <w:szCs w:val="22"/>
          <w:lang w:val="pt-PT"/>
        </w:rPr>
      </w:pPr>
      <w:r w:rsidRPr="008912CF">
        <w:rPr>
          <w:rFonts w:ascii="Times New Roman" w:hAnsi="Times New Roman"/>
          <w:b/>
          <w:bCs/>
          <w:sz w:val="22"/>
          <w:szCs w:val="22"/>
          <w:vertAlign w:val="superscript"/>
          <w:lang w:val="pt-PT"/>
        </w:rPr>
        <w:t xml:space="preserve">a </w:t>
      </w:r>
      <w:r w:rsidRPr="008912CF">
        <w:rPr>
          <w:rFonts w:ascii="Times New Roman" w:hAnsi="Times New Roman"/>
          <w:sz w:val="22"/>
          <w:szCs w:val="22"/>
          <w:lang w:val="pt-PT"/>
        </w:rPr>
        <w:t>Metotrexato</w:t>
      </w:r>
    </w:p>
    <w:p w14:paraId="6E644CDD" w14:textId="77777777" w:rsidR="002F6811" w:rsidRPr="008912CF" w:rsidRDefault="00615769" w:rsidP="002F6811">
      <w:pPr>
        <w:pStyle w:val="In-textfootnote"/>
        <w:spacing w:line="240" w:lineRule="auto"/>
        <w:rPr>
          <w:rFonts w:ascii="Times New Roman" w:hAnsi="Times New Roman"/>
          <w:sz w:val="22"/>
          <w:szCs w:val="22"/>
          <w:lang w:val="pt-PT"/>
        </w:rPr>
      </w:pPr>
      <w:r w:rsidRPr="008912CF">
        <w:rPr>
          <w:rFonts w:ascii="Times New Roman" w:hAnsi="Times New Roman"/>
          <w:sz w:val="22"/>
          <w:szCs w:val="22"/>
          <w:vertAlign w:val="superscript"/>
          <w:lang w:val="pt-PT"/>
        </w:rPr>
        <w:t xml:space="preserve">b </w:t>
      </w:r>
      <w:r w:rsidRPr="008912CF">
        <w:rPr>
          <w:rFonts w:ascii="Times New Roman" w:hAnsi="Times New Roman"/>
          <w:sz w:val="22"/>
          <w:szCs w:val="22"/>
          <w:lang w:val="pt-PT"/>
        </w:rPr>
        <w:t>Intervalo de confiança de 95</w:t>
      </w:r>
      <w:r w:rsidR="009343EF">
        <w:rPr>
          <w:rFonts w:ascii="Times New Roman" w:hAnsi="Times New Roman"/>
          <w:sz w:val="22"/>
          <w:szCs w:val="22"/>
          <w:lang w:val="pt-PT"/>
        </w:rPr>
        <w:t>%</w:t>
      </w:r>
      <w:r w:rsidRPr="008912CF">
        <w:rPr>
          <w:rFonts w:ascii="Times New Roman" w:hAnsi="Times New Roman"/>
          <w:sz w:val="22"/>
          <w:szCs w:val="22"/>
          <w:lang w:val="pt-PT"/>
        </w:rPr>
        <w:t xml:space="preserve"> para as diferenças nas alterações das escalas entre metotrexato e Humira. </w:t>
      </w:r>
    </w:p>
    <w:p w14:paraId="18E5AD01" w14:textId="77777777" w:rsidR="002F6811" w:rsidRPr="008912CF" w:rsidRDefault="00615769" w:rsidP="002F6811">
      <w:pPr>
        <w:pStyle w:val="In-textfootnote"/>
        <w:spacing w:line="240" w:lineRule="auto"/>
        <w:rPr>
          <w:rFonts w:ascii="Times New Roman" w:hAnsi="Times New Roman"/>
          <w:sz w:val="22"/>
          <w:szCs w:val="22"/>
          <w:lang w:val="pt-PT"/>
        </w:rPr>
      </w:pPr>
      <w:r w:rsidRPr="008912CF">
        <w:rPr>
          <w:rFonts w:ascii="Times New Roman" w:hAnsi="Times New Roman"/>
          <w:sz w:val="22"/>
          <w:szCs w:val="22"/>
          <w:vertAlign w:val="superscript"/>
          <w:lang w:val="pt-PT"/>
        </w:rPr>
        <w:t xml:space="preserve">c </w:t>
      </w:r>
      <w:r w:rsidRPr="008912CF">
        <w:rPr>
          <w:rFonts w:ascii="Times New Roman" w:hAnsi="Times New Roman"/>
          <w:sz w:val="22"/>
          <w:szCs w:val="22"/>
          <w:lang w:val="pt-PT"/>
        </w:rPr>
        <w:t>Com base em análise estatística</w:t>
      </w:r>
    </w:p>
    <w:p w14:paraId="3E2AB670" w14:textId="77777777" w:rsidR="002F6811" w:rsidRPr="008912CF" w:rsidRDefault="00615769" w:rsidP="002F6811">
      <w:pPr>
        <w:keepNext/>
        <w:rPr>
          <w:sz w:val="22"/>
          <w:szCs w:val="22"/>
          <w:highlight w:val="yellow"/>
        </w:rPr>
      </w:pPr>
      <w:r w:rsidRPr="008912CF">
        <w:rPr>
          <w:sz w:val="22"/>
          <w:szCs w:val="22"/>
          <w:vertAlign w:val="superscript"/>
        </w:rPr>
        <w:t>d</w:t>
      </w:r>
      <w:r w:rsidRPr="008912CF">
        <w:rPr>
          <w:sz w:val="22"/>
          <w:szCs w:val="22"/>
        </w:rPr>
        <w:t xml:space="preserve"> Estreitamento do Espaço Articular</w:t>
      </w:r>
    </w:p>
    <w:p w14:paraId="07A5AD93" w14:textId="77777777" w:rsidR="002F6811" w:rsidRPr="008912CF" w:rsidRDefault="002F6811" w:rsidP="002F6811">
      <w:pPr>
        <w:pStyle w:val="Heading7"/>
        <w:keepNext w:val="0"/>
        <w:spacing w:line="240" w:lineRule="auto"/>
        <w:jc w:val="left"/>
        <w:rPr>
          <w:i w:val="0"/>
          <w:szCs w:val="22"/>
          <w:u w:val="single"/>
        </w:rPr>
      </w:pPr>
    </w:p>
    <w:p w14:paraId="7A008D6E" w14:textId="77777777" w:rsidR="002F6811" w:rsidRPr="008912CF" w:rsidRDefault="00615769" w:rsidP="002F6811">
      <w:pPr>
        <w:rPr>
          <w:sz w:val="22"/>
          <w:szCs w:val="22"/>
        </w:rPr>
      </w:pPr>
      <w:r w:rsidRPr="008912CF">
        <w:rPr>
          <w:sz w:val="22"/>
          <w:szCs w:val="22"/>
        </w:rPr>
        <w:t>No estudo AR V, a lesão estrutural articular foi avaliada radiologicamente e expressa como alteração na Escala Total de Sharp modificada (ver Tabela</w:t>
      </w:r>
      <w:r w:rsidR="0013275C">
        <w:rPr>
          <w:sz w:val="22"/>
          <w:szCs w:val="22"/>
        </w:rPr>
        <w:t xml:space="preserve"> </w:t>
      </w:r>
      <w:r w:rsidR="00116EA1">
        <w:rPr>
          <w:sz w:val="22"/>
          <w:szCs w:val="22"/>
        </w:rPr>
        <w:t>10</w:t>
      </w:r>
      <w:r w:rsidRPr="008912CF">
        <w:rPr>
          <w:sz w:val="22"/>
          <w:szCs w:val="22"/>
        </w:rPr>
        <w:t>).</w:t>
      </w:r>
    </w:p>
    <w:p w14:paraId="023EBB89" w14:textId="77777777" w:rsidR="002F6811" w:rsidRPr="008912CF" w:rsidRDefault="002F6811" w:rsidP="002F6811">
      <w:pPr>
        <w:rPr>
          <w:sz w:val="22"/>
          <w:szCs w:val="22"/>
        </w:rPr>
      </w:pPr>
    </w:p>
    <w:tbl>
      <w:tblPr>
        <w:tblW w:w="8910" w:type="dxa"/>
        <w:tblInd w:w="108" w:type="dxa"/>
        <w:tblLayout w:type="fixed"/>
        <w:tblLook w:val="0000" w:firstRow="0" w:lastRow="0" w:firstColumn="0" w:lastColumn="0" w:noHBand="0" w:noVBand="0"/>
      </w:tblPr>
      <w:tblGrid>
        <w:gridCol w:w="1430"/>
        <w:gridCol w:w="1540"/>
        <w:gridCol w:w="1430"/>
        <w:gridCol w:w="1600"/>
        <w:gridCol w:w="930"/>
        <w:gridCol w:w="990"/>
        <w:gridCol w:w="990"/>
      </w:tblGrid>
      <w:tr w:rsidR="00A7162A" w14:paraId="118416A7" w14:textId="77777777" w:rsidTr="002F6811">
        <w:trPr>
          <w:cantSplit/>
        </w:trPr>
        <w:tc>
          <w:tcPr>
            <w:tcW w:w="8910" w:type="dxa"/>
            <w:gridSpan w:val="7"/>
            <w:tcBorders>
              <w:bottom w:val="single" w:sz="4" w:space="0" w:color="auto"/>
            </w:tcBorders>
          </w:tcPr>
          <w:p w14:paraId="3BAD32F0" w14:textId="77777777" w:rsidR="002F6811" w:rsidRPr="008912CF" w:rsidRDefault="00615769" w:rsidP="00556837">
            <w:pPr>
              <w:pStyle w:val="Heading9"/>
              <w:jc w:val="center"/>
              <w:rPr>
                <w:b/>
                <w:bCs/>
                <w:u w:val="none"/>
              </w:rPr>
            </w:pPr>
            <w:r w:rsidRPr="008912CF">
              <w:rPr>
                <w:b/>
                <w:bCs/>
                <w:szCs w:val="22"/>
                <w:u w:val="none"/>
              </w:rPr>
              <w:t xml:space="preserve">Tabela </w:t>
            </w:r>
            <w:r w:rsidR="00116EA1">
              <w:rPr>
                <w:b/>
                <w:bCs/>
                <w:szCs w:val="22"/>
                <w:u w:val="none"/>
              </w:rPr>
              <w:t>10</w:t>
            </w:r>
          </w:p>
          <w:p w14:paraId="7E87F58E" w14:textId="77777777" w:rsidR="002F6811" w:rsidRPr="008912CF" w:rsidRDefault="00615769" w:rsidP="00556837">
            <w:pPr>
              <w:pStyle w:val="Heading9"/>
              <w:jc w:val="center"/>
              <w:rPr>
                <w:b/>
                <w:bCs/>
                <w:highlight w:val="cyan"/>
                <w:u w:val="none"/>
              </w:rPr>
            </w:pPr>
            <w:r w:rsidRPr="008912CF">
              <w:rPr>
                <w:b/>
                <w:bCs/>
                <w:szCs w:val="22"/>
                <w:u w:val="none"/>
              </w:rPr>
              <w:t xml:space="preserve">Alteração Média Radiológica </w:t>
            </w:r>
            <w:r w:rsidR="00FB0C02">
              <w:rPr>
                <w:b/>
                <w:bCs/>
                <w:szCs w:val="22"/>
                <w:u w:val="none"/>
              </w:rPr>
              <w:t>à</w:t>
            </w:r>
            <w:r w:rsidRPr="008912CF">
              <w:rPr>
                <w:b/>
                <w:bCs/>
                <w:szCs w:val="22"/>
                <w:u w:val="none"/>
              </w:rPr>
              <w:t xml:space="preserve"> Semana</w:t>
            </w:r>
            <w:r>
              <w:rPr>
                <w:b/>
                <w:bCs/>
                <w:szCs w:val="22"/>
                <w:u w:val="none"/>
              </w:rPr>
              <w:t> </w:t>
            </w:r>
            <w:r w:rsidRPr="008912CF">
              <w:rPr>
                <w:b/>
                <w:bCs/>
                <w:szCs w:val="22"/>
                <w:u w:val="none"/>
              </w:rPr>
              <w:t>52 no Estudo AR V</w:t>
            </w:r>
          </w:p>
          <w:p w14:paraId="40E44DA9" w14:textId="77777777" w:rsidR="002F6811" w:rsidRPr="008912CF" w:rsidRDefault="002F6811" w:rsidP="00556837">
            <w:pPr>
              <w:keepNext/>
            </w:pPr>
          </w:p>
        </w:tc>
      </w:tr>
      <w:tr w:rsidR="00A7162A" w14:paraId="338F5D46" w14:textId="77777777" w:rsidTr="002F6811">
        <w:tc>
          <w:tcPr>
            <w:tcW w:w="1430" w:type="dxa"/>
            <w:tcBorders>
              <w:top w:val="single" w:sz="4" w:space="0" w:color="auto"/>
              <w:left w:val="single" w:sz="4" w:space="0" w:color="auto"/>
              <w:bottom w:val="single" w:sz="4" w:space="0" w:color="auto"/>
              <w:right w:val="single" w:sz="4" w:space="0" w:color="auto"/>
            </w:tcBorders>
            <w:vAlign w:val="center"/>
          </w:tcPr>
          <w:p w14:paraId="1365B85F" w14:textId="77777777" w:rsidR="002F6811" w:rsidRPr="008912CF" w:rsidRDefault="002F6811" w:rsidP="00556837">
            <w:pPr>
              <w:keepNext/>
            </w:pPr>
          </w:p>
        </w:tc>
        <w:tc>
          <w:tcPr>
            <w:tcW w:w="1540" w:type="dxa"/>
            <w:tcBorders>
              <w:top w:val="single" w:sz="4" w:space="0" w:color="auto"/>
              <w:left w:val="single" w:sz="4" w:space="0" w:color="auto"/>
              <w:bottom w:val="single" w:sz="4" w:space="0" w:color="auto"/>
              <w:right w:val="single" w:sz="4" w:space="0" w:color="auto"/>
            </w:tcBorders>
            <w:vAlign w:val="center"/>
          </w:tcPr>
          <w:p w14:paraId="405ED4BA" w14:textId="77777777" w:rsidR="002F6811" w:rsidRPr="008912CF" w:rsidRDefault="00615769" w:rsidP="00556837">
            <w:pPr>
              <w:keepNext/>
              <w:jc w:val="center"/>
            </w:pPr>
            <w:r w:rsidRPr="008912CF">
              <w:rPr>
                <w:sz w:val="22"/>
                <w:szCs w:val="22"/>
              </w:rPr>
              <w:t>MTX</w:t>
            </w:r>
          </w:p>
          <w:p w14:paraId="1113B09A" w14:textId="77777777" w:rsidR="002F6811" w:rsidRPr="008912CF" w:rsidRDefault="00615769" w:rsidP="00556837">
            <w:pPr>
              <w:keepNext/>
              <w:jc w:val="center"/>
            </w:pPr>
            <w:r w:rsidRPr="008912CF">
              <w:rPr>
                <w:sz w:val="22"/>
                <w:szCs w:val="22"/>
              </w:rPr>
              <w:t>n = 257</w:t>
            </w:r>
          </w:p>
          <w:p w14:paraId="3B6AACEF" w14:textId="77777777" w:rsidR="002F6811" w:rsidRPr="008912CF" w:rsidRDefault="00615769" w:rsidP="00556837">
            <w:pPr>
              <w:keepNext/>
              <w:jc w:val="center"/>
            </w:pPr>
            <w:r w:rsidRPr="008912CF">
              <w:rPr>
                <w:sz w:val="22"/>
                <w:szCs w:val="22"/>
              </w:rPr>
              <w:t>(95% intervalo de confiança)</w:t>
            </w:r>
          </w:p>
        </w:tc>
        <w:tc>
          <w:tcPr>
            <w:tcW w:w="1430" w:type="dxa"/>
            <w:tcBorders>
              <w:top w:val="single" w:sz="4" w:space="0" w:color="auto"/>
              <w:left w:val="single" w:sz="4" w:space="0" w:color="auto"/>
              <w:bottom w:val="single" w:sz="4" w:space="0" w:color="auto"/>
              <w:right w:val="single" w:sz="4" w:space="0" w:color="auto"/>
            </w:tcBorders>
            <w:vAlign w:val="center"/>
          </w:tcPr>
          <w:p w14:paraId="06790E04" w14:textId="77777777" w:rsidR="002F6811" w:rsidRPr="008912CF" w:rsidRDefault="00615769" w:rsidP="00556837">
            <w:pPr>
              <w:keepNext/>
              <w:jc w:val="center"/>
            </w:pPr>
            <w:r w:rsidRPr="008912CF">
              <w:rPr>
                <w:sz w:val="22"/>
                <w:szCs w:val="22"/>
              </w:rPr>
              <w:t>Humira</w:t>
            </w:r>
          </w:p>
          <w:p w14:paraId="6D1B63FA" w14:textId="77777777" w:rsidR="002F6811" w:rsidRPr="008912CF" w:rsidRDefault="00615769" w:rsidP="00556837">
            <w:pPr>
              <w:pStyle w:val="EMEAFigureTitle"/>
              <w:keepNext/>
              <w:jc w:val="center"/>
              <w:rPr>
                <w:szCs w:val="22"/>
                <w:lang w:val="pt-PT"/>
              </w:rPr>
            </w:pPr>
            <w:r w:rsidRPr="008912CF">
              <w:rPr>
                <w:szCs w:val="22"/>
                <w:lang w:val="pt-PT"/>
              </w:rPr>
              <w:t>n = 274</w:t>
            </w:r>
          </w:p>
          <w:p w14:paraId="4ED75452" w14:textId="77777777" w:rsidR="002F6811" w:rsidRPr="008912CF" w:rsidRDefault="00615769" w:rsidP="00556837">
            <w:pPr>
              <w:keepNext/>
              <w:jc w:val="center"/>
            </w:pPr>
            <w:r w:rsidRPr="008912CF">
              <w:rPr>
                <w:sz w:val="22"/>
                <w:szCs w:val="22"/>
              </w:rPr>
              <w:t>(95% intervalo de confiança)</w:t>
            </w:r>
          </w:p>
        </w:tc>
        <w:tc>
          <w:tcPr>
            <w:tcW w:w="1600" w:type="dxa"/>
            <w:tcBorders>
              <w:top w:val="single" w:sz="4" w:space="0" w:color="auto"/>
              <w:left w:val="single" w:sz="4" w:space="0" w:color="auto"/>
              <w:bottom w:val="single" w:sz="4" w:space="0" w:color="auto"/>
              <w:right w:val="single" w:sz="4" w:space="0" w:color="auto"/>
            </w:tcBorders>
            <w:vAlign w:val="center"/>
          </w:tcPr>
          <w:p w14:paraId="35CABA36" w14:textId="77777777" w:rsidR="002F6811" w:rsidRPr="008912CF" w:rsidRDefault="00615769" w:rsidP="00556837">
            <w:pPr>
              <w:keepNext/>
              <w:jc w:val="center"/>
            </w:pPr>
            <w:r w:rsidRPr="008912CF">
              <w:rPr>
                <w:sz w:val="22"/>
                <w:szCs w:val="22"/>
              </w:rPr>
              <w:t>Humira/MTX</w:t>
            </w:r>
          </w:p>
          <w:p w14:paraId="3D567D16" w14:textId="77777777" w:rsidR="002F6811" w:rsidRPr="008912CF" w:rsidRDefault="00615769" w:rsidP="00556837">
            <w:pPr>
              <w:pStyle w:val="EMEAFigureTitle"/>
              <w:keepNext/>
              <w:jc w:val="center"/>
              <w:rPr>
                <w:szCs w:val="22"/>
                <w:lang w:val="pt-PT"/>
              </w:rPr>
            </w:pPr>
            <w:r w:rsidRPr="008912CF">
              <w:rPr>
                <w:szCs w:val="22"/>
                <w:lang w:val="pt-PT"/>
              </w:rPr>
              <w:t>n = 268</w:t>
            </w:r>
          </w:p>
          <w:p w14:paraId="3A099C2B" w14:textId="77777777" w:rsidR="002F6811" w:rsidRPr="008912CF" w:rsidRDefault="00615769" w:rsidP="00556837">
            <w:pPr>
              <w:pStyle w:val="EMEANormal"/>
              <w:keepNext/>
              <w:jc w:val="center"/>
              <w:rPr>
                <w:szCs w:val="22"/>
                <w:lang w:val="pt-PT"/>
              </w:rPr>
            </w:pPr>
            <w:r w:rsidRPr="008912CF">
              <w:rPr>
                <w:szCs w:val="22"/>
                <w:lang w:val="pt-PT"/>
              </w:rPr>
              <w:t>(95% intervalo de confiança)</w:t>
            </w:r>
          </w:p>
        </w:tc>
        <w:tc>
          <w:tcPr>
            <w:tcW w:w="930" w:type="dxa"/>
            <w:tcBorders>
              <w:top w:val="single" w:sz="4" w:space="0" w:color="auto"/>
              <w:left w:val="single" w:sz="4" w:space="0" w:color="auto"/>
              <w:bottom w:val="single" w:sz="4" w:space="0" w:color="auto"/>
              <w:right w:val="single" w:sz="4" w:space="0" w:color="auto"/>
            </w:tcBorders>
            <w:vAlign w:val="center"/>
          </w:tcPr>
          <w:p w14:paraId="1DB8FC08" w14:textId="77777777" w:rsidR="002F6811" w:rsidRPr="008912CF" w:rsidRDefault="00615769" w:rsidP="00556837">
            <w:pPr>
              <w:pStyle w:val="EMEANormal"/>
              <w:keepNext/>
              <w:jc w:val="center"/>
              <w:rPr>
                <w:szCs w:val="22"/>
                <w:lang w:val="pt-PT"/>
              </w:rPr>
            </w:pPr>
            <w:r w:rsidRPr="008912CF">
              <w:rPr>
                <w:szCs w:val="22"/>
                <w:lang w:val="pt-PT"/>
              </w:rPr>
              <w:t>valor</w:t>
            </w:r>
            <w:r w:rsidR="004D006C">
              <w:rPr>
                <w:szCs w:val="22"/>
                <w:lang w:val="pt-PT"/>
              </w:rPr>
              <w:t>-p</w:t>
            </w:r>
            <w:r w:rsidRPr="008912CF">
              <w:rPr>
                <w:szCs w:val="22"/>
                <w:vertAlign w:val="superscript"/>
                <w:lang w:val="pt-PT"/>
              </w:rPr>
              <w:t>a</w:t>
            </w:r>
          </w:p>
        </w:tc>
        <w:tc>
          <w:tcPr>
            <w:tcW w:w="990" w:type="dxa"/>
            <w:tcBorders>
              <w:top w:val="single" w:sz="4" w:space="0" w:color="auto"/>
              <w:left w:val="single" w:sz="4" w:space="0" w:color="auto"/>
              <w:bottom w:val="single" w:sz="4" w:space="0" w:color="auto"/>
              <w:right w:val="single" w:sz="4" w:space="0" w:color="auto"/>
            </w:tcBorders>
            <w:vAlign w:val="center"/>
          </w:tcPr>
          <w:p w14:paraId="5CA993A6" w14:textId="77777777" w:rsidR="002F6811" w:rsidRPr="008912CF" w:rsidRDefault="00615769" w:rsidP="00556837">
            <w:pPr>
              <w:keepNext/>
              <w:jc w:val="center"/>
            </w:pPr>
            <w:r w:rsidRPr="008912CF">
              <w:rPr>
                <w:sz w:val="22"/>
                <w:szCs w:val="22"/>
              </w:rPr>
              <w:t>valor</w:t>
            </w:r>
            <w:r w:rsidR="004D006C">
              <w:rPr>
                <w:sz w:val="22"/>
                <w:szCs w:val="22"/>
              </w:rPr>
              <w:t>-p</w:t>
            </w:r>
            <w:r w:rsidRPr="008912CF">
              <w:rPr>
                <w:sz w:val="22"/>
                <w:szCs w:val="22"/>
                <w:vertAlign w:val="superscript"/>
              </w:rPr>
              <w:t>b</w:t>
            </w:r>
          </w:p>
        </w:tc>
        <w:tc>
          <w:tcPr>
            <w:tcW w:w="990" w:type="dxa"/>
            <w:tcBorders>
              <w:top w:val="single" w:sz="4" w:space="0" w:color="auto"/>
              <w:left w:val="single" w:sz="4" w:space="0" w:color="auto"/>
              <w:bottom w:val="single" w:sz="4" w:space="0" w:color="auto"/>
              <w:right w:val="single" w:sz="4" w:space="0" w:color="auto"/>
            </w:tcBorders>
            <w:vAlign w:val="center"/>
          </w:tcPr>
          <w:p w14:paraId="709231DA" w14:textId="77777777" w:rsidR="002F6811" w:rsidRPr="008912CF" w:rsidRDefault="00615769" w:rsidP="00556837">
            <w:pPr>
              <w:keepNext/>
              <w:jc w:val="center"/>
            </w:pPr>
            <w:r w:rsidRPr="008912CF">
              <w:rPr>
                <w:sz w:val="22"/>
                <w:szCs w:val="22"/>
              </w:rPr>
              <w:t>valor</w:t>
            </w:r>
            <w:r w:rsidR="004D006C">
              <w:rPr>
                <w:sz w:val="22"/>
                <w:szCs w:val="22"/>
              </w:rPr>
              <w:t>-p</w:t>
            </w:r>
            <w:r w:rsidRPr="008912CF">
              <w:rPr>
                <w:sz w:val="22"/>
                <w:szCs w:val="22"/>
                <w:vertAlign w:val="superscript"/>
              </w:rPr>
              <w:t>c</w:t>
            </w:r>
          </w:p>
        </w:tc>
      </w:tr>
      <w:tr w:rsidR="00A7162A" w14:paraId="760446AE" w14:textId="77777777" w:rsidTr="002F6811">
        <w:tc>
          <w:tcPr>
            <w:tcW w:w="1430" w:type="dxa"/>
            <w:tcBorders>
              <w:top w:val="single" w:sz="4" w:space="0" w:color="auto"/>
              <w:left w:val="single" w:sz="4" w:space="0" w:color="auto"/>
              <w:bottom w:val="single" w:sz="4" w:space="0" w:color="auto"/>
              <w:right w:val="single" w:sz="4" w:space="0" w:color="auto"/>
            </w:tcBorders>
          </w:tcPr>
          <w:p w14:paraId="1DFA219F" w14:textId="77777777" w:rsidR="002F6811" w:rsidRPr="008912CF" w:rsidRDefault="00615769" w:rsidP="00556837">
            <w:pPr>
              <w:pStyle w:val="EMEAFigureTitle"/>
              <w:keepNext/>
              <w:jc w:val="center"/>
              <w:rPr>
                <w:szCs w:val="22"/>
                <w:lang w:val="pt-PT"/>
              </w:rPr>
            </w:pPr>
            <w:r w:rsidRPr="008912CF">
              <w:rPr>
                <w:szCs w:val="22"/>
                <w:lang w:val="pt-PT"/>
              </w:rPr>
              <w:t xml:space="preserve">Escala Total de Sharp </w:t>
            </w:r>
          </w:p>
        </w:tc>
        <w:tc>
          <w:tcPr>
            <w:tcW w:w="1540" w:type="dxa"/>
            <w:tcBorders>
              <w:top w:val="single" w:sz="4" w:space="0" w:color="auto"/>
              <w:left w:val="single" w:sz="4" w:space="0" w:color="auto"/>
              <w:bottom w:val="single" w:sz="4" w:space="0" w:color="auto"/>
              <w:right w:val="single" w:sz="4" w:space="0" w:color="auto"/>
            </w:tcBorders>
          </w:tcPr>
          <w:p w14:paraId="1FE8866A" w14:textId="77777777" w:rsidR="002F6811" w:rsidRPr="008912CF" w:rsidRDefault="00615769" w:rsidP="00556837">
            <w:pPr>
              <w:keepNext/>
              <w:jc w:val="center"/>
            </w:pPr>
            <w:r w:rsidRPr="008912CF">
              <w:rPr>
                <w:sz w:val="22"/>
                <w:szCs w:val="22"/>
              </w:rPr>
              <w:t>5,7 (4,2-7,3)</w:t>
            </w:r>
          </w:p>
        </w:tc>
        <w:tc>
          <w:tcPr>
            <w:tcW w:w="1430" w:type="dxa"/>
            <w:tcBorders>
              <w:top w:val="single" w:sz="4" w:space="0" w:color="auto"/>
              <w:left w:val="single" w:sz="4" w:space="0" w:color="auto"/>
              <w:bottom w:val="single" w:sz="4" w:space="0" w:color="auto"/>
              <w:right w:val="single" w:sz="4" w:space="0" w:color="auto"/>
            </w:tcBorders>
          </w:tcPr>
          <w:p w14:paraId="36794615" w14:textId="77777777" w:rsidR="002F6811" w:rsidRPr="008912CF" w:rsidRDefault="00615769" w:rsidP="00556837">
            <w:pPr>
              <w:pStyle w:val="EndnoteText"/>
              <w:keepNext/>
              <w:jc w:val="center"/>
              <w:rPr>
                <w:szCs w:val="22"/>
              </w:rPr>
            </w:pPr>
            <w:r w:rsidRPr="008912CF">
              <w:rPr>
                <w:szCs w:val="22"/>
              </w:rPr>
              <w:t>3,0 (1,7-4,3)</w:t>
            </w:r>
          </w:p>
        </w:tc>
        <w:tc>
          <w:tcPr>
            <w:tcW w:w="1600" w:type="dxa"/>
            <w:tcBorders>
              <w:top w:val="single" w:sz="4" w:space="0" w:color="auto"/>
              <w:left w:val="single" w:sz="4" w:space="0" w:color="auto"/>
              <w:bottom w:val="single" w:sz="4" w:space="0" w:color="auto"/>
              <w:right w:val="single" w:sz="4" w:space="0" w:color="auto"/>
            </w:tcBorders>
          </w:tcPr>
          <w:p w14:paraId="65826898" w14:textId="77777777" w:rsidR="002F6811" w:rsidRPr="008912CF" w:rsidRDefault="00615769" w:rsidP="00556837">
            <w:pPr>
              <w:pStyle w:val="EndnoteText"/>
              <w:keepNext/>
              <w:jc w:val="center"/>
              <w:rPr>
                <w:szCs w:val="22"/>
              </w:rPr>
            </w:pPr>
            <w:r w:rsidRPr="008912CF">
              <w:rPr>
                <w:szCs w:val="22"/>
              </w:rPr>
              <w:t>1,3 (0,5-2,1)</w:t>
            </w:r>
          </w:p>
        </w:tc>
        <w:tc>
          <w:tcPr>
            <w:tcW w:w="930" w:type="dxa"/>
            <w:tcBorders>
              <w:top w:val="single" w:sz="4" w:space="0" w:color="auto"/>
              <w:left w:val="single" w:sz="4" w:space="0" w:color="auto"/>
              <w:bottom w:val="single" w:sz="4" w:space="0" w:color="auto"/>
              <w:right w:val="single" w:sz="4" w:space="0" w:color="auto"/>
            </w:tcBorders>
          </w:tcPr>
          <w:p w14:paraId="56F38EAC" w14:textId="77777777" w:rsidR="002F6811" w:rsidRPr="008912CF" w:rsidRDefault="00615769" w:rsidP="00556837">
            <w:pPr>
              <w:pStyle w:val="EndnoteText"/>
              <w:keepNext/>
              <w:jc w:val="center"/>
              <w:rPr>
                <w:szCs w:val="22"/>
              </w:rPr>
            </w:pPr>
            <w:r w:rsidRPr="008912CF">
              <w:rPr>
                <w:szCs w:val="22"/>
              </w:rPr>
              <w:t>&lt; 0,001</w:t>
            </w:r>
          </w:p>
        </w:tc>
        <w:tc>
          <w:tcPr>
            <w:tcW w:w="990" w:type="dxa"/>
            <w:tcBorders>
              <w:top w:val="single" w:sz="4" w:space="0" w:color="auto"/>
              <w:left w:val="single" w:sz="4" w:space="0" w:color="auto"/>
              <w:bottom w:val="single" w:sz="4" w:space="0" w:color="auto"/>
              <w:right w:val="single" w:sz="4" w:space="0" w:color="auto"/>
            </w:tcBorders>
          </w:tcPr>
          <w:p w14:paraId="58B53533" w14:textId="77777777" w:rsidR="002F6811" w:rsidRPr="008912CF" w:rsidRDefault="00615769" w:rsidP="00556837">
            <w:pPr>
              <w:keepNext/>
              <w:jc w:val="center"/>
            </w:pPr>
            <w:r w:rsidRPr="008912CF">
              <w:rPr>
                <w:sz w:val="22"/>
                <w:szCs w:val="22"/>
              </w:rPr>
              <w:t>0,0020</w:t>
            </w:r>
          </w:p>
        </w:tc>
        <w:tc>
          <w:tcPr>
            <w:tcW w:w="990" w:type="dxa"/>
            <w:tcBorders>
              <w:top w:val="single" w:sz="4" w:space="0" w:color="auto"/>
              <w:left w:val="single" w:sz="4" w:space="0" w:color="auto"/>
              <w:bottom w:val="single" w:sz="4" w:space="0" w:color="auto"/>
              <w:right w:val="single" w:sz="4" w:space="0" w:color="auto"/>
            </w:tcBorders>
          </w:tcPr>
          <w:p w14:paraId="3AC6C1C4" w14:textId="77777777" w:rsidR="002F6811" w:rsidRPr="008912CF" w:rsidRDefault="00615769" w:rsidP="00556837">
            <w:pPr>
              <w:keepNext/>
              <w:jc w:val="center"/>
            </w:pPr>
            <w:r w:rsidRPr="008912CF">
              <w:rPr>
                <w:sz w:val="22"/>
                <w:szCs w:val="22"/>
              </w:rPr>
              <w:t>&lt; 0,001</w:t>
            </w:r>
          </w:p>
        </w:tc>
      </w:tr>
      <w:tr w:rsidR="00A7162A" w14:paraId="06E1E4F2" w14:textId="77777777" w:rsidTr="002F6811">
        <w:tc>
          <w:tcPr>
            <w:tcW w:w="1430" w:type="dxa"/>
            <w:tcBorders>
              <w:top w:val="single" w:sz="4" w:space="0" w:color="auto"/>
              <w:left w:val="single" w:sz="4" w:space="0" w:color="auto"/>
              <w:bottom w:val="single" w:sz="4" w:space="0" w:color="auto"/>
              <w:right w:val="single" w:sz="4" w:space="0" w:color="auto"/>
            </w:tcBorders>
          </w:tcPr>
          <w:p w14:paraId="1D18702F" w14:textId="77777777" w:rsidR="002F6811" w:rsidRPr="008912CF" w:rsidRDefault="00615769" w:rsidP="00556837">
            <w:pPr>
              <w:keepNext/>
              <w:jc w:val="center"/>
            </w:pPr>
            <w:r w:rsidRPr="008912CF">
              <w:rPr>
                <w:sz w:val="22"/>
                <w:szCs w:val="22"/>
              </w:rPr>
              <w:t>Escala de Erosão</w:t>
            </w:r>
          </w:p>
        </w:tc>
        <w:tc>
          <w:tcPr>
            <w:tcW w:w="1540" w:type="dxa"/>
            <w:tcBorders>
              <w:top w:val="single" w:sz="4" w:space="0" w:color="auto"/>
              <w:left w:val="single" w:sz="4" w:space="0" w:color="auto"/>
              <w:bottom w:val="single" w:sz="4" w:space="0" w:color="auto"/>
              <w:right w:val="single" w:sz="4" w:space="0" w:color="auto"/>
            </w:tcBorders>
          </w:tcPr>
          <w:p w14:paraId="4D946F00" w14:textId="77777777" w:rsidR="002F6811" w:rsidRPr="008912CF" w:rsidRDefault="00615769" w:rsidP="00556837">
            <w:pPr>
              <w:keepNext/>
              <w:jc w:val="center"/>
            </w:pPr>
            <w:r w:rsidRPr="008912CF">
              <w:rPr>
                <w:sz w:val="22"/>
                <w:szCs w:val="22"/>
              </w:rPr>
              <w:t>3,7 (2,7-4,7)</w:t>
            </w:r>
          </w:p>
        </w:tc>
        <w:tc>
          <w:tcPr>
            <w:tcW w:w="1430" w:type="dxa"/>
            <w:tcBorders>
              <w:top w:val="single" w:sz="4" w:space="0" w:color="auto"/>
              <w:left w:val="single" w:sz="4" w:space="0" w:color="auto"/>
              <w:bottom w:val="single" w:sz="4" w:space="0" w:color="auto"/>
              <w:right w:val="single" w:sz="4" w:space="0" w:color="auto"/>
            </w:tcBorders>
          </w:tcPr>
          <w:p w14:paraId="5273281E" w14:textId="77777777" w:rsidR="002F6811" w:rsidRPr="008912CF" w:rsidRDefault="00615769" w:rsidP="00556837">
            <w:pPr>
              <w:keepNext/>
              <w:jc w:val="center"/>
            </w:pPr>
            <w:r w:rsidRPr="008912CF">
              <w:rPr>
                <w:sz w:val="22"/>
                <w:szCs w:val="22"/>
              </w:rPr>
              <w:t>1,7 (1,0-2,4)</w:t>
            </w:r>
          </w:p>
        </w:tc>
        <w:tc>
          <w:tcPr>
            <w:tcW w:w="1600" w:type="dxa"/>
            <w:tcBorders>
              <w:top w:val="single" w:sz="4" w:space="0" w:color="auto"/>
              <w:left w:val="single" w:sz="4" w:space="0" w:color="auto"/>
              <w:bottom w:val="single" w:sz="4" w:space="0" w:color="auto"/>
              <w:right w:val="single" w:sz="4" w:space="0" w:color="auto"/>
            </w:tcBorders>
          </w:tcPr>
          <w:p w14:paraId="26D6EDED" w14:textId="77777777" w:rsidR="002F6811" w:rsidRPr="008912CF" w:rsidRDefault="00615769" w:rsidP="00556837">
            <w:pPr>
              <w:keepNext/>
              <w:jc w:val="center"/>
            </w:pPr>
            <w:r w:rsidRPr="008912CF">
              <w:rPr>
                <w:sz w:val="22"/>
                <w:szCs w:val="22"/>
              </w:rPr>
              <w:t>0,8 (0,4-1,2)</w:t>
            </w:r>
          </w:p>
        </w:tc>
        <w:tc>
          <w:tcPr>
            <w:tcW w:w="930" w:type="dxa"/>
            <w:tcBorders>
              <w:top w:val="single" w:sz="4" w:space="0" w:color="auto"/>
              <w:left w:val="single" w:sz="4" w:space="0" w:color="auto"/>
              <w:bottom w:val="single" w:sz="4" w:space="0" w:color="auto"/>
              <w:right w:val="single" w:sz="4" w:space="0" w:color="auto"/>
            </w:tcBorders>
          </w:tcPr>
          <w:p w14:paraId="1E726D93" w14:textId="77777777" w:rsidR="002F6811" w:rsidRPr="008912CF" w:rsidRDefault="00615769" w:rsidP="00556837">
            <w:pPr>
              <w:keepNext/>
              <w:jc w:val="center"/>
            </w:pPr>
            <w:r w:rsidRPr="008912CF">
              <w:rPr>
                <w:sz w:val="22"/>
                <w:szCs w:val="22"/>
              </w:rPr>
              <w:t>&lt; 0,001</w:t>
            </w:r>
          </w:p>
        </w:tc>
        <w:tc>
          <w:tcPr>
            <w:tcW w:w="990" w:type="dxa"/>
            <w:tcBorders>
              <w:top w:val="single" w:sz="4" w:space="0" w:color="auto"/>
              <w:left w:val="single" w:sz="4" w:space="0" w:color="auto"/>
              <w:bottom w:val="single" w:sz="4" w:space="0" w:color="auto"/>
              <w:right w:val="single" w:sz="4" w:space="0" w:color="auto"/>
            </w:tcBorders>
          </w:tcPr>
          <w:p w14:paraId="26E25707" w14:textId="77777777" w:rsidR="002F6811" w:rsidRPr="008912CF" w:rsidRDefault="00615769" w:rsidP="00556837">
            <w:pPr>
              <w:keepNext/>
              <w:jc w:val="center"/>
            </w:pPr>
            <w:r w:rsidRPr="008912CF">
              <w:rPr>
                <w:sz w:val="22"/>
                <w:szCs w:val="22"/>
              </w:rPr>
              <w:t>0,0082</w:t>
            </w:r>
          </w:p>
        </w:tc>
        <w:tc>
          <w:tcPr>
            <w:tcW w:w="990" w:type="dxa"/>
            <w:tcBorders>
              <w:top w:val="single" w:sz="4" w:space="0" w:color="auto"/>
              <w:left w:val="single" w:sz="4" w:space="0" w:color="auto"/>
              <w:bottom w:val="single" w:sz="4" w:space="0" w:color="auto"/>
              <w:right w:val="single" w:sz="4" w:space="0" w:color="auto"/>
            </w:tcBorders>
          </w:tcPr>
          <w:p w14:paraId="54316AFA" w14:textId="77777777" w:rsidR="002F6811" w:rsidRPr="008912CF" w:rsidRDefault="00615769" w:rsidP="00556837">
            <w:pPr>
              <w:keepNext/>
              <w:jc w:val="center"/>
            </w:pPr>
            <w:r w:rsidRPr="008912CF">
              <w:rPr>
                <w:sz w:val="22"/>
                <w:szCs w:val="22"/>
              </w:rPr>
              <w:t>&lt; 0,001</w:t>
            </w:r>
          </w:p>
        </w:tc>
      </w:tr>
      <w:tr w:rsidR="00A7162A" w14:paraId="14A7B32A" w14:textId="77777777" w:rsidTr="002F6811">
        <w:tc>
          <w:tcPr>
            <w:tcW w:w="1430" w:type="dxa"/>
            <w:tcBorders>
              <w:top w:val="single" w:sz="4" w:space="0" w:color="auto"/>
              <w:left w:val="single" w:sz="4" w:space="0" w:color="auto"/>
              <w:bottom w:val="single" w:sz="4" w:space="0" w:color="auto"/>
              <w:right w:val="single" w:sz="4" w:space="0" w:color="auto"/>
            </w:tcBorders>
          </w:tcPr>
          <w:p w14:paraId="2318CF83" w14:textId="77777777" w:rsidR="002F6811" w:rsidRPr="008912CF" w:rsidRDefault="00615769" w:rsidP="00556837">
            <w:pPr>
              <w:keepNext/>
              <w:jc w:val="center"/>
            </w:pPr>
            <w:r w:rsidRPr="008912CF">
              <w:rPr>
                <w:sz w:val="22"/>
                <w:szCs w:val="22"/>
              </w:rPr>
              <w:t xml:space="preserve">Escala de JSN </w:t>
            </w:r>
          </w:p>
        </w:tc>
        <w:tc>
          <w:tcPr>
            <w:tcW w:w="1540" w:type="dxa"/>
            <w:tcBorders>
              <w:top w:val="single" w:sz="4" w:space="0" w:color="auto"/>
              <w:left w:val="single" w:sz="4" w:space="0" w:color="auto"/>
              <w:bottom w:val="single" w:sz="4" w:space="0" w:color="auto"/>
              <w:right w:val="single" w:sz="4" w:space="0" w:color="auto"/>
            </w:tcBorders>
          </w:tcPr>
          <w:p w14:paraId="09DDA5E4" w14:textId="77777777" w:rsidR="002F6811" w:rsidRPr="008912CF" w:rsidRDefault="00615769" w:rsidP="00556837">
            <w:pPr>
              <w:keepNext/>
              <w:jc w:val="center"/>
            </w:pPr>
            <w:r w:rsidRPr="008912CF">
              <w:rPr>
                <w:sz w:val="22"/>
                <w:szCs w:val="22"/>
              </w:rPr>
              <w:t>2,0 (1,2-2,8)</w:t>
            </w:r>
          </w:p>
        </w:tc>
        <w:tc>
          <w:tcPr>
            <w:tcW w:w="1430" w:type="dxa"/>
            <w:tcBorders>
              <w:top w:val="single" w:sz="4" w:space="0" w:color="auto"/>
              <w:left w:val="single" w:sz="4" w:space="0" w:color="auto"/>
              <w:bottom w:val="single" w:sz="4" w:space="0" w:color="auto"/>
              <w:right w:val="single" w:sz="4" w:space="0" w:color="auto"/>
            </w:tcBorders>
          </w:tcPr>
          <w:p w14:paraId="1731D261" w14:textId="77777777" w:rsidR="002F6811" w:rsidRPr="008912CF" w:rsidRDefault="00615769" w:rsidP="00556837">
            <w:pPr>
              <w:keepNext/>
              <w:jc w:val="center"/>
            </w:pPr>
            <w:r w:rsidRPr="008912CF">
              <w:rPr>
                <w:sz w:val="22"/>
                <w:szCs w:val="22"/>
              </w:rPr>
              <w:t>1,3 (0,5-2,1)</w:t>
            </w:r>
          </w:p>
        </w:tc>
        <w:tc>
          <w:tcPr>
            <w:tcW w:w="1600" w:type="dxa"/>
            <w:tcBorders>
              <w:top w:val="single" w:sz="4" w:space="0" w:color="auto"/>
              <w:left w:val="single" w:sz="4" w:space="0" w:color="auto"/>
              <w:bottom w:val="single" w:sz="4" w:space="0" w:color="auto"/>
              <w:right w:val="single" w:sz="4" w:space="0" w:color="auto"/>
            </w:tcBorders>
          </w:tcPr>
          <w:p w14:paraId="6D608FB4" w14:textId="77777777" w:rsidR="002F6811" w:rsidRPr="008912CF" w:rsidRDefault="00615769" w:rsidP="00556837">
            <w:pPr>
              <w:keepNext/>
              <w:jc w:val="center"/>
            </w:pPr>
            <w:r w:rsidRPr="008912CF">
              <w:rPr>
                <w:sz w:val="22"/>
                <w:szCs w:val="22"/>
              </w:rPr>
              <w:t>0,5 (0-1,0)</w:t>
            </w:r>
          </w:p>
        </w:tc>
        <w:tc>
          <w:tcPr>
            <w:tcW w:w="930" w:type="dxa"/>
            <w:tcBorders>
              <w:top w:val="single" w:sz="4" w:space="0" w:color="auto"/>
              <w:left w:val="single" w:sz="4" w:space="0" w:color="auto"/>
              <w:bottom w:val="single" w:sz="4" w:space="0" w:color="auto"/>
              <w:right w:val="single" w:sz="4" w:space="0" w:color="auto"/>
            </w:tcBorders>
          </w:tcPr>
          <w:p w14:paraId="2C75DCA2" w14:textId="77777777" w:rsidR="002F6811" w:rsidRPr="008912CF" w:rsidRDefault="00615769" w:rsidP="00556837">
            <w:pPr>
              <w:keepNext/>
              <w:jc w:val="center"/>
            </w:pPr>
            <w:r w:rsidRPr="008912CF">
              <w:rPr>
                <w:sz w:val="22"/>
                <w:szCs w:val="22"/>
              </w:rPr>
              <w:t>&lt; 0,001</w:t>
            </w:r>
          </w:p>
        </w:tc>
        <w:tc>
          <w:tcPr>
            <w:tcW w:w="990" w:type="dxa"/>
            <w:tcBorders>
              <w:top w:val="single" w:sz="4" w:space="0" w:color="auto"/>
              <w:left w:val="single" w:sz="4" w:space="0" w:color="auto"/>
              <w:bottom w:val="single" w:sz="4" w:space="0" w:color="auto"/>
              <w:right w:val="single" w:sz="4" w:space="0" w:color="auto"/>
            </w:tcBorders>
          </w:tcPr>
          <w:p w14:paraId="409E1096" w14:textId="77777777" w:rsidR="002F6811" w:rsidRPr="008912CF" w:rsidRDefault="00615769" w:rsidP="00556837">
            <w:pPr>
              <w:keepNext/>
              <w:jc w:val="center"/>
            </w:pPr>
            <w:r w:rsidRPr="008912CF">
              <w:rPr>
                <w:sz w:val="22"/>
                <w:szCs w:val="22"/>
              </w:rPr>
              <w:t>0,0037</w:t>
            </w:r>
          </w:p>
        </w:tc>
        <w:tc>
          <w:tcPr>
            <w:tcW w:w="990" w:type="dxa"/>
            <w:tcBorders>
              <w:top w:val="single" w:sz="4" w:space="0" w:color="auto"/>
              <w:left w:val="single" w:sz="4" w:space="0" w:color="auto"/>
              <w:bottom w:val="single" w:sz="4" w:space="0" w:color="auto"/>
              <w:right w:val="single" w:sz="4" w:space="0" w:color="auto"/>
            </w:tcBorders>
          </w:tcPr>
          <w:p w14:paraId="0AEF2D40" w14:textId="77777777" w:rsidR="002F6811" w:rsidRPr="008912CF" w:rsidRDefault="00615769" w:rsidP="00556837">
            <w:pPr>
              <w:keepNext/>
              <w:jc w:val="center"/>
            </w:pPr>
            <w:r w:rsidRPr="008912CF">
              <w:rPr>
                <w:sz w:val="22"/>
                <w:szCs w:val="22"/>
              </w:rPr>
              <w:t>0,151</w:t>
            </w:r>
          </w:p>
        </w:tc>
      </w:tr>
    </w:tbl>
    <w:p w14:paraId="00910D9B" w14:textId="77777777" w:rsidR="002F6811" w:rsidRPr="008912CF" w:rsidRDefault="00615769" w:rsidP="00556837">
      <w:pPr>
        <w:keepNext/>
        <w:tabs>
          <w:tab w:val="left" w:pos="330"/>
          <w:tab w:val="left" w:pos="10728"/>
        </w:tabs>
        <w:ind w:left="360" w:hanging="360"/>
        <w:rPr>
          <w:sz w:val="22"/>
          <w:szCs w:val="22"/>
        </w:rPr>
      </w:pPr>
      <w:r w:rsidRPr="008912CF">
        <w:rPr>
          <w:sz w:val="22"/>
          <w:szCs w:val="22"/>
          <w:vertAlign w:val="superscript"/>
        </w:rPr>
        <w:t>a</w:t>
      </w:r>
      <w:r w:rsidRPr="008912CF">
        <w:rPr>
          <w:sz w:val="22"/>
          <w:szCs w:val="22"/>
        </w:rPr>
        <w:tab/>
      </w:r>
      <w:r w:rsidRPr="008912CF">
        <w:rPr>
          <w:sz w:val="22"/>
          <w:szCs w:val="22"/>
        </w:rPr>
        <w:t>valores-p comparativos emparelhados de metotrexato em monoterapia e da associação terapêutica Humira/metotrexato usando o teste de Mann-Whitney U.</w:t>
      </w:r>
    </w:p>
    <w:p w14:paraId="57C3A163" w14:textId="77777777" w:rsidR="002F6811" w:rsidRPr="008912CF" w:rsidRDefault="00615769" w:rsidP="00556837">
      <w:pPr>
        <w:pStyle w:val="BodyTextIndent"/>
        <w:keepNext/>
        <w:ind w:left="330" w:hanging="330"/>
        <w:rPr>
          <w:b w:val="0"/>
          <w:color w:val="auto"/>
          <w:szCs w:val="22"/>
        </w:rPr>
      </w:pPr>
      <w:r w:rsidRPr="008912CF">
        <w:rPr>
          <w:b w:val="0"/>
          <w:color w:val="auto"/>
          <w:szCs w:val="22"/>
          <w:vertAlign w:val="superscript"/>
        </w:rPr>
        <w:t>b</w:t>
      </w:r>
      <w:r w:rsidRPr="008912CF">
        <w:rPr>
          <w:b w:val="0"/>
          <w:color w:val="auto"/>
          <w:szCs w:val="22"/>
        </w:rPr>
        <w:tab/>
        <w:t xml:space="preserve">valores-p </w:t>
      </w:r>
      <w:r w:rsidRPr="008912CF">
        <w:rPr>
          <w:b w:val="0"/>
          <w:bCs/>
          <w:color w:val="auto"/>
          <w:szCs w:val="22"/>
        </w:rPr>
        <w:t xml:space="preserve">comparativos emparelhados de Humira em </w:t>
      </w:r>
      <w:r w:rsidRPr="008912CF">
        <w:rPr>
          <w:b w:val="0"/>
          <w:color w:val="auto"/>
          <w:szCs w:val="22"/>
        </w:rPr>
        <w:t>monoterapia e da associação terapêutica Humira/metotrexato usando o teste de Mann-Whitney U.</w:t>
      </w:r>
    </w:p>
    <w:p w14:paraId="07134802" w14:textId="77777777" w:rsidR="002F6811" w:rsidRPr="008912CF" w:rsidRDefault="00615769" w:rsidP="00556837">
      <w:pPr>
        <w:keepNext/>
        <w:ind w:left="329" w:hanging="329"/>
        <w:rPr>
          <w:bCs/>
          <w:sz w:val="22"/>
          <w:szCs w:val="22"/>
        </w:rPr>
      </w:pPr>
      <w:r w:rsidRPr="008912CF">
        <w:rPr>
          <w:bCs/>
          <w:sz w:val="22"/>
          <w:szCs w:val="22"/>
          <w:vertAlign w:val="superscript"/>
        </w:rPr>
        <w:t>c</w:t>
      </w:r>
      <w:r w:rsidRPr="008912CF">
        <w:rPr>
          <w:bCs/>
          <w:sz w:val="22"/>
          <w:szCs w:val="22"/>
        </w:rPr>
        <w:tab/>
        <w:t>valores-p comparativos emparelhados de Humira e metotrexato em monoterapia usando o teste de Mann-Whitney U.</w:t>
      </w:r>
    </w:p>
    <w:p w14:paraId="09BE2908" w14:textId="77777777" w:rsidR="002F6811" w:rsidRPr="008912CF" w:rsidRDefault="002F6811" w:rsidP="002F6811">
      <w:pPr>
        <w:rPr>
          <w:b/>
          <w:sz w:val="22"/>
          <w:szCs w:val="22"/>
        </w:rPr>
      </w:pPr>
    </w:p>
    <w:p w14:paraId="5F38C323" w14:textId="77777777" w:rsidR="002F6811" w:rsidRDefault="00615769" w:rsidP="002F6811">
      <w:pPr>
        <w:rPr>
          <w:sz w:val="22"/>
          <w:szCs w:val="22"/>
        </w:rPr>
      </w:pPr>
      <w:r w:rsidRPr="008912CF">
        <w:rPr>
          <w:sz w:val="22"/>
          <w:szCs w:val="22"/>
        </w:rPr>
        <w:t>Após 52 e 104</w:t>
      </w:r>
      <w:r>
        <w:rPr>
          <w:sz w:val="22"/>
          <w:szCs w:val="22"/>
        </w:rPr>
        <w:t> </w:t>
      </w:r>
      <w:r w:rsidRPr="008912CF">
        <w:rPr>
          <w:sz w:val="22"/>
          <w:szCs w:val="22"/>
        </w:rPr>
        <w:t>semanas de tratamento, a percentagem de doentes sem progressão (alteração desde o início do estudo na Escala Total de Sharp modificada ≤ 0,5) foi significativamente superior na associação terapêutica Humira/metotrexato (63,8</w:t>
      </w:r>
      <w:r w:rsidR="009343EF">
        <w:rPr>
          <w:sz w:val="22"/>
          <w:szCs w:val="22"/>
        </w:rPr>
        <w:t>%</w:t>
      </w:r>
      <w:r w:rsidRPr="008912CF">
        <w:rPr>
          <w:sz w:val="22"/>
          <w:szCs w:val="22"/>
        </w:rPr>
        <w:t xml:space="preserve"> e 61,2</w:t>
      </w:r>
      <w:r w:rsidR="009343EF">
        <w:rPr>
          <w:sz w:val="22"/>
          <w:szCs w:val="22"/>
        </w:rPr>
        <w:t>%</w:t>
      </w:r>
      <w:r w:rsidRPr="008912CF">
        <w:rPr>
          <w:sz w:val="22"/>
          <w:szCs w:val="22"/>
        </w:rPr>
        <w:t xml:space="preserve"> respetivamente) comparada com metotrexato em monoterapia (37,4</w:t>
      </w:r>
      <w:r w:rsidR="009343EF">
        <w:rPr>
          <w:sz w:val="22"/>
          <w:szCs w:val="22"/>
        </w:rPr>
        <w:t>%</w:t>
      </w:r>
      <w:r w:rsidRPr="008912CF">
        <w:rPr>
          <w:sz w:val="22"/>
          <w:szCs w:val="22"/>
        </w:rPr>
        <w:t xml:space="preserve"> e 33,5</w:t>
      </w:r>
      <w:r w:rsidR="009343EF">
        <w:rPr>
          <w:sz w:val="22"/>
          <w:szCs w:val="22"/>
        </w:rPr>
        <w:t>%</w:t>
      </w:r>
      <w:r w:rsidRPr="008912CF">
        <w:rPr>
          <w:sz w:val="22"/>
          <w:szCs w:val="22"/>
        </w:rPr>
        <w:t xml:space="preserve"> respetivamente, p &lt; 0,001) e com Humira em monoterapia (50,7</w:t>
      </w:r>
      <w:r w:rsidR="009343EF">
        <w:rPr>
          <w:sz w:val="22"/>
          <w:szCs w:val="22"/>
        </w:rPr>
        <w:t>%</w:t>
      </w:r>
      <w:r w:rsidRPr="008912CF">
        <w:rPr>
          <w:sz w:val="22"/>
          <w:szCs w:val="22"/>
        </w:rPr>
        <w:t>, p &lt; 0,002 e 44,5</w:t>
      </w:r>
      <w:r w:rsidR="009343EF">
        <w:rPr>
          <w:sz w:val="22"/>
          <w:szCs w:val="22"/>
        </w:rPr>
        <w:t>%</w:t>
      </w:r>
      <w:r w:rsidRPr="008912CF">
        <w:rPr>
          <w:sz w:val="22"/>
          <w:szCs w:val="22"/>
        </w:rPr>
        <w:t xml:space="preserve">, p &lt; 0,001 respetivamente). </w:t>
      </w:r>
    </w:p>
    <w:p w14:paraId="1FA30E80" w14:textId="77777777" w:rsidR="002F6811" w:rsidRDefault="002F6811" w:rsidP="002F6811">
      <w:pPr>
        <w:rPr>
          <w:sz w:val="22"/>
          <w:szCs w:val="22"/>
        </w:rPr>
      </w:pPr>
    </w:p>
    <w:p w14:paraId="4D7016D8" w14:textId="77777777" w:rsidR="002F6811" w:rsidRPr="008912CF" w:rsidRDefault="00615769" w:rsidP="002F6811">
      <w:pPr>
        <w:rPr>
          <w:sz w:val="22"/>
          <w:szCs w:val="22"/>
        </w:rPr>
      </w:pPr>
      <w:r>
        <w:rPr>
          <w:sz w:val="22"/>
          <w:szCs w:val="22"/>
        </w:rPr>
        <w:t>Na extensão de fase aberta do estudo AR V, a alteração média desde o início do estudo ao Ano 10 na Escala Total de Sharp modificada foi de 10,8</w:t>
      </w:r>
      <w:r w:rsidR="00B479D1">
        <w:rPr>
          <w:sz w:val="22"/>
          <w:szCs w:val="22"/>
        </w:rPr>
        <w:t>,</w:t>
      </w:r>
      <w:r>
        <w:rPr>
          <w:sz w:val="22"/>
          <w:szCs w:val="22"/>
        </w:rPr>
        <w:t xml:space="preserve"> 9,2 e 3,9 em doentes originalmente aleatorizados com metotrexato em monoterapia, Humira em monoterapia e associação terapêutica Humira/metotrexato, respetivamente. As proporções correspondentes de doentes sem progressão radiológica foram 31,3%, 23,7% e 36,7% respetivamente. </w:t>
      </w:r>
    </w:p>
    <w:p w14:paraId="60294E35" w14:textId="77777777" w:rsidR="002F6811" w:rsidRPr="008912CF" w:rsidRDefault="002F6811" w:rsidP="002F6811">
      <w:pPr>
        <w:rPr>
          <w:sz w:val="22"/>
          <w:szCs w:val="22"/>
        </w:rPr>
      </w:pPr>
    </w:p>
    <w:p w14:paraId="2BAA3D1E" w14:textId="77777777" w:rsidR="002F6811" w:rsidRPr="008912CF" w:rsidRDefault="00615769" w:rsidP="002F6811">
      <w:pPr>
        <w:pStyle w:val="Heading7"/>
        <w:keepNext w:val="0"/>
        <w:spacing w:line="240" w:lineRule="auto"/>
        <w:jc w:val="left"/>
        <w:rPr>
          <w:i w:val="0"/>
          <w:szCs w:val="22"/>
          <w:u w:val="single"/>
        </w:rPr>
      </w:pPr>
      <w:r w:rsidRPr="008912CF">
        <w:rPr>
          <w:szCs w:val="22"/>
          <w:u w:val="single"/>
        </w:rPr>
        <w:t xml:space="preserve">Qualidade de vida e função física </w:t>
      </w:r>
    </w:p>
    <w:p w14:paraId="3CF77706" w14:textId="77777777" w:rsidR="002F6811" w:rsidRPr="008912CF" w:rsidRDefault="002F6811" w:rsidP="002F6811">
      <w:pPr>
        <w:rPr>
          <w:sz w:val="22"/>
          <w:szCs w:val="22"/>
        </w:rPr>
      </w:pPr>
    </w:p>
    <w:p w14:paraId="7C9DF3D2" w14:textId="77777777" w:rsidR="002F6811" w:rsidRPr="008912CF" w:rsidRDefault="00615769" w:rsidP="002F6811">
      <w:pPr>
        <w:rPr>
          <w:sz w:val="22"/>
          <w:szCs w:val="22"/>
        </w:rPr>
      </w:pPr>
      <w:r w:rsidRPr="008912CF">
        <w:rPr>
          <w:sz w:val="22"/>
          <w:szCs w:val="22"/>
        </w:rPr>
        <w:t xml:space="preserve">A qualidade de vida relacionada com a saúde e a função física foram avaliadas utilizando o índice de incapacidade do Questionário de Avaliação da Saúde (HAQ - </w:t>
      </w:r>
      <w:r w:rsidRPr="008912CF">
        <w:rPr>
          <w:i/>
          <w:sz w:val="22"/>
          <w:szCs w:val="22"/>
        </w:rPr>
        <w:t>Health Assessment Questionnaire</w:t>
      </w:r>
      <w:r w:rsidRPr="008912CF">
        <w:rPr>
          <w:sz w:val="22"/>
          <w:szCs w:val="22"/>
        </w:rPr>
        <w:t xml:space="preserve">) nos quatro ensaios originais bem controlados e adequados; no </w:t>
      </w:r>
      <w:r w:rsidR="00F96DDF">
        <w:rPr>
          <w:sz w:val="22"/>
          <w:szCs w:val="22"/>
        </w:rPr>
        <w:t>e</w:t>
      </w:r>
      <w:r w:rsidRPr="008912CF">
        <w:rPr>
          <w:sz w:val="22"/>
          <w:szCs w:val="22"/>
        </w:rPr>
        <w:t xml:space="preserve">studo AR III, este índice correspondeu a um </w:t>
      </w:r>
      <w:r w:rsidR="00F96DDF">
        <w:rPr>
          <w:sz w:val="22"/>
          <w:szCs w:val="22"/>
        </w:rPr>
        <w:t>objetivo</w:t>
      </w:r>
      <w:r w:rsidRPr="008912CF">
        <w:rPr>
          <w:sz w:val="22"/>
          <w:szCs w:val="22"/>
        </w:rPr>
        <w:t xml:space="preserve"> primário pré-especificado na Semana</w:t>
      </w:r>
      <w:r>
        <w:rPr>
          <w:sz w:val="22"/>
          <w:szCs w:val="22"/>
        </w:rPr>
        <w:t> </w:t>
      </w:r>
      <w:r w:rsidRPr="008912CF">
        <w:rPr>
          <w:sz w:val="22"/>
          <w:szCs w:val="22"/>
        </w:rPr>
        <w:t>52. Todas as doses/regimes posológicos de Humira utilizados nos quatro estudos associaram-se a melhorias do índice de incapacidade do HAQ desde o início do estudo até ao Mês 6, superiores às registadas com placebo, sendo a diferença estatisticamente significativa; no estudo AR III, foram comprovadas as mesmas melhorias na Sema</w:t>
      </w:r>
      <w:r w:rsidRPr="008912CF">
        <w:rPr>
          <w:sz w:val="22"/>
          <w:szCs w:val="22"/>
        </w:rPr>
        <w:t>na</w:t>
      </w:r>
      <w:r>
        <w:rPr>
          <w:sz w:val="22"/>
          <w:szCs w:val="22"/>
        </w:rPr>
        <w:t> </w:t>
      </w:r>
      <w:r w:rsidRPr="008912CF">
        <w:rPr>
          <w:sz w:val="22"/>
          <w:szCs w:val="22"/>
        </w:rPr>
        <w:t xml:space="preserve">52. Os resultados do </w:t>
      </w:r>
      <w:r w:rsidRPr="008912CF">
        <w:rPr>
          <w:i/>
          <w:iCs/>
          <w:sz w:val="22"/>
          <w:szCs w:val="22"/>
        </w:rPr>
        <w:t xml:space="preserve">Short Form Health Survey </w:t>
      </w:r>
      <w:r w:rsidRPr="008912CF">
        <w:rPr>
          <w:sz w:val="22"/>
          <w:szCs w:val="22"/>
        </w:rPr>
        <w:t>(SF 36) relativos a todas as doses/regimes posológicos de Humira nos quatro estudos confirmam esta informação, sendo as diferenças nas pontuações do resumo dos componentes físicos (PCS) bem como nas pontuações atribuídas à dor e domínio da vitalidade estatisticamente significativas com a dose de 40 mg administrada em semanas alternadas. Observou-se uma redução estatisticamente significativa da fadiga, determinada com base numa avaliação funcional das pontuaçõ</w:t>
      </w:r>
      <w:r w:rsidRPr="008912CF">
        <w:rPr>
          <w:sz w:val="22"/>
          <w:szCs w:val="22"/>
        </w:rPr>
        <w:t>es atribuídas à terapêutica da doença crónica (FACIT) nos três estudos em que este parâmetro foi avaliado (estudos AR I, III, IV).</w:t>
      </w:r>
    </w:p>
    <w:p w14:paraId="529FCCE7" w14:textId="77777777" w:rsidR="002F6811" w:rsidRPr="008912CF" w:rsidRDefault="002F6811" w:rsidP="002F6811">
      <w:pPr>
        <w:tabs>
          <w:tab w:val="left" w:pos="1294"/>
        </w:tabs>
        <w:autoSpaceDE w:val="0"/>
        <w:autoSpaceDN w:val="0"/>
        <w:adjustRightInd w:val="0"/>
        <w:rPr>
          <w:sz w:val="22"/>
          <w:szCs w:val="22"/>
          <w:u w:val="single"/>
        </w:rPr>
      </w:pPr>
    </w:p>
    <w:p w14:paraId="57849F72" w14:textId="77777777" w:rsidR="002F6811" w:rsidRPr="008912CF" w:rsidRDefault="00615769" w:rsidP="002F6811">
      <w:pPr>
        <w:tabs>
          <w:tab w:val="left" w:pos="1294"/>
        </w:tabs>
        <w:autoSpaceDE w:val="0"/>
        <w:autoSpaceDN w:val="0"/>
        <w:adjustRightInd w:val="0"/>
        <w:rPr>
          <w:sz w:val="22"/>
          <w:szCs w:val="22"/>
          <w:u w:val="single"/>
        </w:rPr>
      </w:pPr>
      <w:r w:rsidRPr="008912CF">
        <w:rPr>
          <w:sz w:val="22"/>
          <w:szCs w:val="22"/>
        </w:rPr>
        <w:t xml:space="preserve">No estudo AR III, a maioria dos doentes que atingiram a melhoria na função física e </w:t>
      </w:r>
      <w:r w:rsidR="00F4664A">
        <w:rPr>
          <w:sz w:val="22"/>
          <w:szCs w:val="22"/>
        </w:rPr>
        <w:t xml:space="preserve">que continuaram o </w:t>
      </w:r>
      <w:r w:rsidRPr="008912CF">
        <w:rPr>
          <w:sz w:val="22"/>
          <w:szCs w:val="22"/>
        </w:rPr>
        <w:t xml:space="preserve">tratamento mantiveram </w:t>
      </w:r>
      <w:r w:rsidR="00F4664A">
        <w:rPr>
          <w:sz w:val="22"/>
          <w:szCs w:val="22"/>
        </w:rPr>
        <w:t xml:space="preserve">a </w:t>
      </w:r>
      <w:r w:rsidRPr="008912CF">
        <w:rPr>
          <w:sz w:val="22"/>
          <w:szCs w:val="22"/>
        </w:rPr>
        <w:t>melhoria durante a Semana</w:t>
      </w:r>
      <w:r>
        <w:rPr>
          <w:sz w:val="22"/>
          <w:szCs w:val="22"/>
        </w:rPr>
        <w:t> </w:t>
      </w:r>
      <w:r w:rsidRPr="008912CF">
        <w:rPr>
          <w:sz w:val="22"/>
          <w:szCs w:val="22"/>
        </w:rPr>
        <w:t>520 (120</w:t>
      </w:r>
      <w:r>
        <w:rPr>
          <w:sz w:val="22"/>
          <w:szCs w:val="22"/>
        </w:rPr>
        <w:t> </w:t>
      </w:r>
      <w:r w:rsidRPr="008912CF">
        <w:rPr>
          <w:sz w:val="22"/>
          <w:szCs w:val="22"/>
        </w:rPr>
        <w:t>meses) do tratamento de fase aberta. A melhoria da qualidade de vida foi avaliada até à Semana</w:t>
      </w:r>
      <w:r>
        <w:rPr>
          <w:sz w:val="22"/>
          <w:szCs w:val="22"/>
        </w:rPr>
        <w:t> </w:t>
      </w:r>
      <w:r w:rsidRPr="008912CF">
        <w:rPr>
          <w:sz w:val="22"/>
          <w:szCs w:val="22"/>
        </w:rPr>
        <w:t>156 (36</w:t>
      </w:r>
      <w:r>
        <w:rPr>
          <w:sz w:val="22"/>
          <w:szCs w:val="22"/>
        </w:rPr>
        <w:t> </w:t>
      </w:r>
      <w:r w:rsidRPr="008912CF">
        <w:rPr>
          <w:sz w:val="22"/>
          <w:szCs w:val="22"/>
        </w:rPr>
        <w:t>meses) e a melhoria foi mantida durante este período de tempo.</w:t>
      </w:r>
    </w:p>
    <w:p w14:paraId="15E5B6FA" w14:textId="77777777" w:rsidR="002F6811" w:rsidRPr="008912CF" w:rsidRDefault="002F6811" w:rsidP="002F6811">
      <w:pPr>
        <w:pStyle w:val="BodyText2"/>
        <w:tabs>
          <w:tab w:val="left" w:pos="1294"/>
        </w:tabs>
        <w:rPr>
          <w:szCs w:val="22"/>
        </w:rPr>
      </w:pPr>
    </w:p>
    <w:p w14:paraId="28A95124" w14:textId="77777777" w:rsidR="002F6811" w:rsidRPr="008912CF" w:rsidRDefault="00615769" w:rsidP="002F6811">
      <w:pPr>
        <w:pStyle w:val="BodyText2"/>
        <w:tabs>
          <w:tab w:val="left" w:pos="1294"/>
        </w:tabs>
        <w:rPr>
          <w:szCs w:val="22"/>
        </w:rPr>
      </w:pPr>
      <w:r w:rsidRPr="008912CF">
        <w:rPr>
          <w:szCs w:val="22"/>
        </w:rPr>
        <w:t>No estudo AR V, a associação terapêutica Humira/metotrexato demonstrou uma melhoria</w:t>
      </w:r>
      <w:r w:rsidR="00F4664A">
        <w:rPr>
          <w:szCs w:val="22"/>
        </w:rPr>
        <w:t xml:space="preserve"> superior</w:t>
      </w:r>
      <w:r w:rsidRPr="008912CF">
        <w:rPr>
          <w:szCs w:val="22"/>
        </w:rPr>
        <w:t xml:space="preserve"> no índice de incapacidade HAQ e no componente físico do SF 36 (p &lt; 0,001) comparativamente com metotrexato e Humira em monoterapia na Semana 52, a qua</w:t>
      </w:r>
      <w:r w:rsidR="00F4664A">
        <w:rPr>
          <w:szCs w:val="22"/>
        </w:rPr>
        <w:t>l</w:t>
      </w:r>
      <w:r w:rsidRPr="008912CF">
        <w:rPr>
          <w:szCs w:val="22"/>
        </w:rPr>
        <w:t xml:space="preserve"> fo</w:t>
      </w:r>
      <w:r w:rsidR="00F4664A">
        <w:rPr>
          <w:szCs w:val="22"/>
        </w:rPr>
        <w:t>i</w:t>
      </w:r>
      <w:r w:rsidRPr="008912CF">
        <w:rPr>
          <w:szCs w:val="22"/>
        </w:rPr>
        <w:t xml:space="preserve"> mantida durante a Semana 104.</w:t>
      </w:r>
      <w:r>
        <w:rPr>
          <w:szCs w:val="22"/>
        </w:rPr>
        <w:t xml:space="preserve"> Entre os 250 doentes que completaram a extensão de fase aberta do estudo, as </w:t>
      </w:r>
      <w:r w:rsidRPr="0085738C">
        <w:rPr>
          <w:szCs w:val="22"/>
        </w:rPr>
        <w:t>melhorias na função física foram mantidas</w:t>
      </w:r>
      <w:r>
        <w:rPr>
          <w:szCs w:val="22"/>
        </w:rPr>
        <w:t xml:space="preserve"> ao longo dos </w:t>
      </w:r>
      <w:r w:rsidRPr="0085738C">
        <w:rPr>
          <w:szCs w:val="22"/>
        </w:rPr>
        <w:t>10 anos de tratamento</w:t>
      </w:r>
      <w:r>
        <w:rPr>
          <w:szCs w:val="22"/>
        </w:rPr>
        <w:t>.</w:t>
      </w:r>
    </w:p>
    <w:p w14:paraId="029A8E06" w14:textId="77777777" w:rsidR="002F6811" w:rsidRPr="008912CF" w:rsidRDefault="002F6811" w:rsidP="002F6811">
      <w:pPr>
        <w:pStyle w:val="Heading9"/>
        <w:keepNext w:val="0"/>
        <w:rPr>
          <w:szCs w:val="22"/>
        </w:rPr>
      </w:pPr>
    </w:p>
    <w:p w14:paraId="7E473BA4" w14:textId="77777777" w:rsidR="002F6811" w:rsidRPr="008912CF" w:rsidRDefault="00615769" w:rsidP="002F6811">
      <w:pPr>
        <w:pStyle w:val="Heading9"/>
        <w:rPr>
          <w:szCs w:val="22"/>
          <w:u w:val="none"/>
        </w:rPr>
      </w:pPr>
      <w:r w:rsidRPr="008912CF">
        <w:rPr>
          <w:i/>
          <w:szCs w:val="22"/>
          <w:u w:val="none"/>
        </w:rPr>
        <w:t>Psoríase em placas no adulto</w:t>
      </w:r>
    </w:p>
    <w:p w14:paraId="0DC7FD04" w14:textId="77777777" w:rsidR="002F6811" w:rsidRPr="008912CF" w:rsidRDefault="002F6811" w:rsidP="002F6811">
      <w:pPr>
        <w:keepNext/>
        <w:rPr>
          <w:sz w:val="22"/>
          <w:szCs w:val="22"/>
          <w:u w:val="single"/>
        </w:rPr>
      </w:pPr>
    </w:p>
    <w:p w14:paraId="4C42455D" w14:textId="77777777" w:rsidR="002F6811" w:rsidRPr="00092159" w:rsidRDefault="00615769" w:rsidP="002F6811">
      <w:pPr>
        <w:keepNext/>
        <w:rPr>
          <w:sz w:val="22"/>
          <w:szCs w:val="22"/>
        </w:rPr>
      </w:pPr>
      <w:r w:rsidRPr="008912CF">
        <w:rPr>
          <w:sz w:val="22"/>
          <w:szCs w:val="22"/>
        </w:rPr>
        <w:t xml:space="preserve">A segurança e eficácia de Humira foram avaliadas em estudos </w:t>
      </w:r>
      <w:r w:rsidR="0013275C">
        <w:rPr>
          <w:sz w:val="22"/>
          <w:szCs w:val="22"/>
        </w:rPr>
        <w:t>aleatorizado</w:t>
      </w:r>
      <w:r w:rsidRPr="008912CF">
        <w:rPr>
          <w:sz w:val="22"/>
          <w:szCs w:val="22"/>
        </w:rPr>
        <w:t>s, com dupla ocultação, em doentes adultos com psoríase crónica em placas (BSA </w:t>
      </w:r>
      <w:r w:rsidRPr="008912CF">
        <w:rPr>
          <w:rFonts w:ascii="Symbol" w:hAnsi="Symbol"/>
          <w:sz w:val="22"/>
          <w:szCs w:val="22"/>
        </w:rPr>
        <w:sym w:font="Symbol" w:char="F0B3"/>
      </w:r>
      <w:r w:rsidRPr="008912CF">
        <w:rPr>
          <w:sz w:val="22"/>
          <w:szCs w:val="22"/>
        </w:rPr>
        <w:t xml:space="preserve"> 10% e PASI </w:t>
      </w:r>
      <w:r w:rsidRPr="008912CF">
        <w:rPr>
          <w:rFonts w:ascii="Symbol" w:hAnsi="Symbol"/>
          <w:sz w:val="22"/>
          <w:szCs w:val="22"/>
        </w:rPr>
        <w:sym w:font="Symbol" w:char="F0B3"/>
      </w:r>
      <w:r w:rsidRPr="008912CF">
        <w:rPr>
          <w:sz w:val="22"/>
          <w:szCs w:val="22"/>
        </w:rPr>
        <w:t xml:space="preserve"> 12 ou </w:t>
      </w:r>
      <w:r w:rsidRPr="008912CF">
        <w:rPr>
          <w:rFonts w:ascii="Symbol" w:hAnsi="Symbol"/>
          <w:sz w:val="22"/>
          <w:szCs w:val="22"/>
        </w:rPr>
        <w:sym w:font="Symbol" w:char="F0B3"/>
      </w:r>
      <w:r w:rsidRPr="008912CF">
        <w:rPr>
          <w:sz w:val="22"/>
          <w:szCs w:val="22"/>
        </w:rPr>
        <w:t xml:space="preserve"> 10), que </w:t>
      </w:r>
      <w:r w:rsidR="005049F7">
        <w:rPr>
          <w:sz w:val="22"/>
          <w:szCs w:val="22"/>
        </w:rPr>
        <w:t>e</w:t>
      </w:r>
      <w:r w:rsidRPr="008912CF">
        <w:rPr>
          <w:sz w:val="22"/>
          <w:szCs w:val="22"/>
        </w:rPr>
        <w:t>ram candidatos a uma terapêutica sistémica ou fototerapia. 73</w:t>
      </w:r>
      <w:r w:rsidR="009343EF">
        <w:rPr>
          <w:sz w:val="22"/>
          <w:szCs w:val="22"/>
        </w:rPr>
        <w:t>%</w:t>
      </w:r>
      <w:r w:rsidRPr="008912CF">
        <w:rPr>
          <w:sz w:val="22"/>
          <w:szCs w:val="22"/>
        </w:rPr>
        <w:t xml:space="preserve"> dos doentes envolvidos nos estudos I e II da Psoríase receberam previamente terapêutica sistémica ou fototerapia. </w:t>
      </w:r>
      <w:r w:rsidR="008E77F4">
        <w:rPr>
          <w:sz w:val="22"/>
          <w:szCs w:val="22"/>
        </w:rPr>
        <w:t xml:space="preserve">A segurança e eficácia de Humira foram também avaliadas </w:t>
      </w:r>
      <w:r w:rsidR="00AD3E13">
        <w:rPr>
          <w:sz w:val="22"/>
          <w:szCs w:val="22"/>
        </w:rPr>
        <w:t xml:space="preserve">num estudo </w:t>
      </w:r>
      <w:r w:rsidR="0013275C">
        <w:rPr>
          <w:sz w:val="22"/>
          <w:szCs w:val="22"/>
        </w:rPr>
        <w:t>aleatorizado</w:t>
      </w:r>
      <w:r w:rsidR="00AD3E13">
        <w:rPr>
          <w:sz w:val="22"/>
          <w:szCs w:val="22"/>
        </w:rPr>
        <w:t xml:space="preserve"> em dupla ocultação (Estudo III na Psoríase) </w:t>
      </w:r>
      <w:r w:rsidR="008E77F4">
        <w:rPr>
          <w:sz w:val="22"/>
          <w:szCs w:val="22"/>
        </w:rPr>
        <w:t xml:space="preserve">em doentes adultos com </w:t>
      </w:r>
      <w:r w:rsidR="008E77F4" w:rsidRPr="008912CF">
        <w:rPr>
          <w:sz w:val="22"/>
          <w:szCs w:val="22"/>
        </w:rPr>
        <w:t>psoríase crónica em placas</w:t>
      </w:r>
      <w:r w:rsidR="008E77F4">
        <w:rPr>
          <w:sz w:val="22"/>
          <w:szCs w:val="22"/>
        </w:rPr>
        <w:t xml:space="preserve"> </w:t>
      </w:r>
      <w:r w:rsidR="008E77F4" w:rsidRPr="00092159">
        <w:rPr>
          <w:sz w:val="22"/>
          <w:szCs w:val="22"/>
        </w:rPr>
        <w:t>moderada a grave</w:t>
      </w:r>
      <w:r w:rsidR="00AD3E13" w:rsidRPr="00092159">
        <w:rPr>
          <w:sz w:val="22"/>
          <w:szCs w:val="22"/>
        </w:rPr>
        <w:t xml:space="preserve"> </w:t>
      </w:r>
      <w:r w:rsidR="00AD3E13" w:rsidRPr="00DF5632">
        <w:rPr>
          <w:sz w:val="22"/>
          <w:szCs w:val="22"/>
        </w:rPr>
        <w:t>e psoríase palmar e/ou plantar</w:t>
      </w:r>
      <w:r w:rsidR="00331F8A">
        <w:rPr>
          <w:sz w:val="22"/>
          <w:szCs w:val="22"/>
        </w:rPr>
        <w:t xml:space="preserve"> concomitante</w:t>
      </w:r>
      <w:r w:rsidR="00AD3E13" w:rsidRPr="00DF5632">
        <w:rPr>
          <w:sz w:val="22"/>
          <w:szCs w:val="22"/>
        </w:rPr>
        <w:t xml:space="preserve">, </w:t>
      </w:r>
      <w:r w:rsidR="00AD3E13" w:rsidRPr="00092159">
        <w:rPr>
          <w:sz w:val="22"/>
          <w:szCs w:val="22"/>
        </w:rPr>
        <w:t xml:space="preserve">que </w:t>
      </w:r>
      <w:r w:rsidR="00331F8A">
        <w:rPr>
          <w:sz w:val="22"/>
          <w:szCs w:val="22"/>
        </w:rPr>
        <w:t>e</w:t>
      </w:r>
      <w:r w:rsidR="00331F8A" w:rsidRPr="00092159">
        <w:rPr>
          <w:sz w:val="22"/>
          <w:szCs w:val="22"/>
        </w:rPr>
        <w:t xml:space="preserve">ram </w:t>
      </w:r>
      <w:r w:rsidR="00AD3E13" w:rsidRPr="00092159">
        <w:rPr>
          <w:sz w:val="22"/>
          <w:szCs w:val="22"/>
        </w:rPr>
        <w:t xml:space="preserve">candidatos a uma terapêutica sistémica. </w:t>
      </w:r>
    </w:p>
    <w:p w14:paraId="256BE27E" w14:textId="77777777" w:rsidR="002F6811" w:rsidRPr="00092159" w:rsidRDefault="002F6811" w:rsidP="002F6811">
      <w:pPr>
        <w:rPr>
          <w:sz w:val="22"/>
          <w:szCs w:val="22"/>
        </w:rPr>
      </w:pPr>
    </w:p>
    <w:p w14:paraId="36DCD038" w14:textId="77777777" w:rsidR="002F6811" w:rsidRPr="008912CF" w:rsidRDefault="00615769" w:rsidP="002F6811">
      <w:pPr>
        <w:rPr>
          <w:sz w:val="22"/>
          <w:szCs w:val="22"/>
        </w:rPr>
      </w:pPr>
      <w:r w:rsidRPr="008912CF">
        <w:rPr>
          <w:sz w:val="22"/>
          <w:szCs w:val="22"/>
        </w:rPr>
        <w:t>O estudo I na Psoríase (REVEAL) avaliou 1.212 doentes em três períodos de tratamento. No período A, os doentes receberam placebo ou Humira numa dose inicial de 80 mg seguida de 40 mg em semanas alternadas, uma semana após a dose inicial. Os doentes que atingiram pelo menos uma resposta PASI 75 (melhoria de pelo menos 75</w:t>
      </w:r>
      <w:r w:rsidR="009343EF">
        <w:rPr>
          <w:sz w:val="22"/>
          <w:szCs w:val="22"/>
        </w:rPr>
        <w:t>%</w:t>
      </w:r>
      <w:r w:rsidRPr="008912CF">
        <w:rPr>
          <w:sz w:val="22"/>
          <w:szCs w:val="22"/>
        </w:rPr>
        <w:t xml:space="preserve"> no PASI em relação à avaliação basal), após 16 semanas de terapêutica, entraram no período B e receberam 40 mg de Humira em fase aberta, em semanas alternadas. Os doentes que mantiveram uma resposta </w:t>
      </w:r>
      <w:r w:rsidRPr="008912CF">
        <w:rPr>
          <w:rFonts w:ascii="Symbol" w:hAnsi="Symbol"/>
          <w:sz w:val="22"/>
          <w:szCs w:val="22"/>
        </w:rPr>
        <w:sym w:font="Symbol" w:char="F0B3"/>
      </w:r>
      <w:r w:rsidRPr="008912CF">
        <w:rPr>
          <w:sz w:val="22"/>
          <w:szCs w:val="22"/>
        </w:rPr>
        <w:t xml:space="preserve"> PASI 75 à Semana 33 e </w:t>
      </w:r>
      <w:r w:rsidR="005049F7">
        <w:rPr>
          <w:sz w:val="22"/>
          <w:szCs w:val="22"/>
        </w:rPr>
        <w:t>tinham sido</w:t>
      </w:r>
      <w:r w:rsidR="005049F7" w:rsidRPr="008912CF">
        <w:rPr>
          <w:sz w:val="22"/>
          <w:szCs w:val="22"/>
        </w:rPr>
        <w:t xml:space="preserve"> </w:t>
      </w:r>
      <w:r w:rsidRPr="008912CF">
        <w:rPr>
          <w:sz w:val="22"/>
          <w:szCs w:val="22"/>
        </w:rPr>
        <w:t xml:space="preserve">originalmente </w:t>
      </w:r>
      <w:r w:rsidR="0013275C">
        <w:rPr>
          <w:sz w:val="22"/>
          <w:szCs w:val="22"/>
        </w:rPr>
        <w:t>aleatorizado</w:t>
      </w:r>
      <w:r w:rsidRPr="008912CF">
        <w:rPr>
          <w:sz w:val="22"/>
          <w:szCs w:val="22"/>
        </w:rPr>
        <w:t xml:space="preserve">s para uma terapêutica ativa no Período A, foram de novo </w:t>
      </w:r>
      <w:r w:rsidR="0013275C">
        <w:rPr>
          <w:sz w:val="22"/>
          <w:szCs w:val="22"/>
        </w:rPr>
        <w:t>aleatorizado</w:t>
      </w:r>
      <w:r w:rsidRPr="008912CF">
        <w:rPr>
          <w:sz w:val="22"/>
          <w:szCs w:val="22"/>
        </w:rPr>
        <w:t>s no período C para receberem 40 mg de Humira em semanas alternadas ou placebo, por um período adicional de 19 semanas. Em todos os grupos de tratamento, a pontuação basal média PA</w:t>
      </w:r>
      <w:r w:rsidRPr="008912CF">
        <w:rPr>
          <w:sz w:val="22"/>
          <w:szCs w:val="22"/>
        </w:rPr>
        <w:t>SI foi 18,9 e o PGA foi classificado entre “moderada” (53</w:t>
      </w:r>
      <w:r w:rsidR="009343EF">
        <w:rPr>
          <w:sz w:val="22"/>
          <w:szCs w:val="22"/>
        </w:rPr>
        <w:t>%</w:t>
      </w:r>
      <w:r w:rsidRPr="008912CF">
        <w:rPr>
          <w:sz w:val="22"/>
          <w:szCs w:val="22"/>
        </w:rPr>
        <w:t xml:space="preserve"> dos doentes incluídos) a “grave” (41</w:t>
      </w:r>
      <w:r w:rsidR="009343EF">
        <w:rPr>
          <w:sz w:val="22"/>
          <w:szCs w:val="22"/>
        </w:rPr>
        <w:t>%</w:t>
      </w:r>
      <w:r w:rsidRPr="008912CF">
        <w:rPr>
          <w:sz w:val="22"/>
          <w:szCs w:val="22"/>
        </w:rPr>
        <w:t>) a “muito grave” (6</w:t>
      </w:r>
      <w:r w:rsidR="009343EF">
        <w:rPr>
          <w:sz w:val="22"/>
          <w:szCs w:val="22"/>
        </w:rPr>
        <w:t>%</w:t>
      </w:r>
      <w:r w:rsidRPr="008912CF">
        <w:rPr>
          <w:sz w:val="22"/>
          <w:szCs w:val="22"/>
        </w:rPr>
        <w:t>).</w:t>
      </w:r>
    </w:p>
    <w:p w14:paraId="502CC305" w14:textId="77777777" w:rsidR="002F6811" w:rsidRPr="008912CF" w:rsidRDefault="002F6811" w:rsidP="002F6811">
      <w:pPr>
        <w:rPr>
          <w:sz w:val="22"/>
          <w:szCs w:val="22"/>
        </w:rPr>
      </w:pPr>
    </w:p>
    <w:p w14:paraId="60426604" w14:textId="77777777" w:rsidR="002F6811" w:rsidRPr="008912CF" w:rsidRDefault="00615769" w:rsidP="002F6811">
      <w:pPr>
        <w:autoSpaceDE w:val="0"/>
        <w:autoSpaceDN w:val="0"/>
        <w:adjustRightInd w:val="0"/>
        <w:rPr>
          <w:sz w:val="22"/>
          <w:szCs w:val="22"/>
        </w:rPr>
      </w:pPr>
      <w:r w:rsidRPr="008912CF">
        <w:rPr>
          <w:sz w:val="22"/>
          <w:szCs w:val="22"/>
        </w:rPr>
        <w:t>O estudo II na Psoríase (CHAMPION) comparou a eficácia e segurança de Humira versus metotrexato e placebo em 271 doentes. Os doentes receberam placebo, numa dose inicial de 7,5 mg de MTX com um aumento de dose</w:t>
      </w:r>
      <w:r w:rsidR="00E77A57">
        <w:rPr>
          <w:sz w:val="22"/>
          <w:szCs w:val="22"/>
        </w:rPr>
        <w:t xml:space="preserve"> </w:t>
      </w:r>
      <w:r w:rsidR="00FF0C95">
        <w:rPr>
          <w:sz w:val="22"/>
          <w:szCs w:val="22"/>
        </w:rPr>
        <w:t xml:space="preserve">até </w:t>
      </w:r>
      <w:r w:rsidRPr="008912CF">
        <w:rPr>
          <w:sz w:val="22"/>
          <w:szCs w:val="22"/>
        </w:rPr>
        <w:t>à Semana</w:t>
      </w:r>
      <w:r>
        <w:rPr>
          <w:sz w:val="22"/>
          <w:szCs w:val="22"/>
        </w:rPr>
        <w:t> </w:t>
      </w:r>
      <w:r w:rsidRPr="008912CF">
        <w:rPr>
          <w:sz w:val="22"/>
          <w:szCs w:val="22"/>
        </w:rPr>
        <w:t xml:space="preserve">12, com uma dose máxima de 25 mg ou uma dose inicial de 80 mg de Humira seguida de 40 mg em semanas alternadas (uma semana após a dose inicial), durante 16 semanas. Não existem dados disponíveis sobre a comparação de Humira e MTX para além de 16 semanas de terapêutica. Os doentes tratados com MTX que atingiram uma resposta </w:t>
      </w:r>
      <w:r w:rsidRPr="008912CF">
        <w:rPr>
          <w:rFonts w:ascii="Symbol" w:hAnsi="Symbol"/>
          <w:sz w:val="22"/>
          <w:szCs w:val="22"/>
        </w:rPr>
        <w:sym w:font="Symbol" w:char="F0B3"/>
      </w:r>
      <w:r w:rsidRPr="008912CF">
        <w:rPr>
          <w:sz w:val="22"/>
          <w:szCs w:val="22"/>
        </w:rPr>
        <w:t xml:space="preserve"> PASI 50 na Semana 8 e/ou 12, não receberam mais aumentos de dose. Em todos os grupos de tratamento, a pontuação basal média </w:t>
      </w:r>
      <w:r w:rsidRPr="008912CF">
        <w:rPr>
          <w:caps/>
          <w:sz w:val="22"/>
          <w:szCs w:val="22"/>
        </w:rPr>
        <w:t>Pasi</w:t>
      </w:r>
      <w:r w:rsidRPr="008912CF">
        <w:rPr>
          <w:sz w:val="22"/>
          <w:szCs w:val="22"/>
        </w:rPr>
        <w:t xml:space="preserve"> foi 19,7 e o PGA foi classificado entre “l</w:t>
      </w:r>
      <w:r w:rsidRPr="008912CF">
        <w:rPr>
          <w:sz w:val="22"/>
          <w:szCs w:val="22"/>
        </w:rPr>
        <w:t>igeir</w:t>
      </w:r>
      <w:r w:rsidR="00601734">
        <w:rPr>
          <w:sz w:val="22"/>
          <w:szCs w:val="22"/>
        </w:rPr>
        <w:t>a</w:t>
      </w:r>
      <w:r w:rsidRPr="008912CF">
        <w:rPr>
          <w:sz w:val="22"/>
          <w:szCs w:val="22"/>
        </w:rPr>
        <w:t>” (&lt; 1</w:t>
      </w:r>
      <w:r w:rsidR="009343EF">
        <w:rPr>
          <w:sz w:val="22"/>
          <w:szCs w:val="22"/>
        </w:rPr>
        <w:t>%</w:t>
      </w:r>
      <w:r w:rsidRPr="008912CF">
        <w:rPr>
          <w:sz w:val="22"/>
          <w:szCs w:val="22"/>
        </w:rPr>
        <w:t>) a “moderad</w:t>
      </w:r>
      <w:r w:rsidR="00601734">
        <w:rPr>
          <w:sz w:val="22"/>
          <w:szCs w:val="22"/>
        </w:rPr>
        <w:t>a</w:t>
      </w:r>
      <w:r w:rsidRPr="008912CF">
        <w:rPr>
          <w:sz w:val="22"/>
          <w:szCs w:val="22"/>
        </w:rPr>
        <w:t>” (48</w:t>
      </w:r>
      <w:r w:rsidR="009343EF">
        <w:rPr>
          <w:sz w:val="22"/>
          <w:szCs w:val="22"/>
        </w:rPr>
        <w:t>%</w:t>
      </w:r>
      <w:r w:rsidRPr="008912CF">
        <w:rPr>
          <w:sz w:val="22"/>
          <w:szCs w:val="22"/>
        </w:rPr>
        <w:t>) a “grave” (46</w:t>
      </w:r>
      <w:r w:rsidR="009343EF">
        <w:rPr>
          <w:sz w:val="22"/>
          <w:szCs w:val="22"/>
        </w:rPr>
        <w:t>%</w:t>
      </w:r>
      <w:r w:rsidRPr="008912CF">
        <w:rPr>
          <w:sz w:val="22"/>
          <w:szCs w:val="22"/>
        </w:rPr>
        <w:t>) a “muito grave” (6</w:t>
      </w:r>
      <w:r w:rsidR="009343EF">
        <w:rPr>
          <w:sz w:val="22"/>
          <w:szCs w:val="22"/>
        </w:rPr>
        <w:t>%</w:t>
      </w:r>
      <w:r w:rsidRPr="008912CF">
        <w:rPr>
          <w:sz w:val="22"/>
          <w:szCs w:val="22"/>
        </w:rPr>
        <w:t>).</w:t>
      </w:r>
    </w:p>
    <w:p w14:paraId="6E508111" w14:textId="77777777" w:rsidR="002F6811" w:rsidRPr="008912CF" w:rsidRDefault="002F6811" w:rsidP="002F6811">
      <w:pPr>
        <w:autoSpaceDE w:val="0"/>
        <w:autoSpaceDN w:val="0"/>
        <w:adjustRightInd w:val="0"/>
        <w:rPr>
          <w:sz w:val="22"/>
          <w:szCs w:val="22"/>
        </w:rPr>
      </w:pPr>
    </w:p>
    <w:p w14:paraId="21744C4F" w14:textId="77777777" w:rsidR="002F6811" w:rsidRPr="008912CF" w:rsidRDefault="00615769" w:rsidP="002F6811">
      <w:pPr>
        <w:autoSpaceDE w:val="0"/>
        <w:autoSpaceDN w:val="0"/>
        <w:adjustRightInd w:val="0"/>
        <w:rPr>
          <w:sz w:val="22"/>
          <w:szCs w:val="22"/>
        </w:rPr>
      </w:pPr>
      <w:r w:rsidRPr="008912CF">
        <w:rPr>
          <w:sz w:val="22"/>
          <w:szCs w:val="22"/>
        </w:rPr>
        <w:t>Os doentes que participaram em todos os estudos de Fase 2 e Fase 3 na psoríase foram elegíveis para inclusão num ensaio de extensão de fase aberta, no qual Humira foi administrado durante, pelo menos, 108 semanas adicionais.</w:t>
      </w:r>
    </w:p>
    <w:p w14:paraId="05A0322B" w14:textId="77777777" w:rsidR="002F6811" w:rsidRPr="008912CF" w:rsidRDefault="002F6811" w:rsidP="002F6811">
      <w:pPr>
        <w:rPr>
          <w:iCs/>
          <w:sz w:val="22"/>
          <w:szCs w:val="22"/>
        </w:rPr>
      </w:pPr>
    </w:p>
    <w:p w14:paraId="6DB14953" w14:textId="77777777" w:rsidR="002F6811" w:rsidRPr="008912CF" w:rsidRDefault="00615769" w:rsidP="002F6811">
      <w:pPr>
        <w:rPr>
          <w:sz w:val="22"/>
          <w:szCs w:val="22"/>
        </w:rPr>
      </w:pPr>
      <w:r w:rsidRPr="008912CF">
        <w:rPr>
          <w:iCs/>
          <w:sz w:val="22"/>
          <w:szCs w:val="22"/>
        </w:rPr>
        <w:t xml:space="preserve">Nos estudos I e II na Psoríase, o objetivo primário foi a percentagem de doentes que atingiram uma resposta PASI 75, desde a avaliação basal, à Semana 16 </w:t>
      </w:r>
      <w:r w:rsidR="000412C9">
        <w:rPr>
          <w:sz w:val="22"/>
          <w:szCs w:val="22"/>
        </w:rPr>
        <w:t xml:space="preserve">(ver Tabelas </w:t>
      </w:r>
      <w:r w:rsidR="00116EA1">
        <w:rPr>
          <w:sz w:val="22"/>
          <w:szCs w:val="22"/>
        </w:rPr>
        <w:t>11</w:t>
      </w:r>
      <w:r w:rsidR="000412C9">
        <w:rPr>
          <w:sz w:val="22"/>
          <w:szCs w:val="22"/>
        </w:rPr>
        <w:t xml:space="preserve"> e </w:t>
      </w:r>
      <w:r w:rsidR="00116EA1">
        <w:rPr>
          <w:sz w:val="22"/>
          <w:szCs w:val="22"/>
        </w:rPr>
        <w:t>12</w:t>
      </w:r>
      <w:r w:rsidRPr="008912CF">
        <w:rPr>
          <w:sz w:val="22"/>
          <w:szCs w:val="22"/>
        </w:rPr>
        <w:t>).</w:t>
      </w:r>
    </w:p>
    <w:p w14:paraId="4556EDB6" w14:textId="77777777" w:rsidR="002F6811" w:rsidRPr="008912CF" w:rsidRDefault="002F6811" w:rsidP="002F6811">
      <w:pPr>
        <w:pStyle w:val="EndnoteText"/>
        <w:tabs>
          <w:tab w:val="clear" w:pos="567"/>
        </w:tabs>
        <w:autoSpaceDE w:val="0"/>
        <w:autoSpaceDN w:val="0"/>
        <w:adjustRightInd w:val="0"/>
        <w:rPr>
          <w:szCs w:val="22"/>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A7162A" w14:paraId="77C81D29" w14:textId="77777777" w:rsidTr="002F6811">
        <w:trPr>
          <w:cantSplit/>
          <w:jc w:val="center"/>
        </w:trPr>
        <w:tc>
          <w:tcPr>
            <w:tcW w:w="6949" w:type="dxa"/>
            <w:gridSpan w:val="3"/>
            <w:tcBorders>
              <w:top w:val="nil"/>
              <w:left w:val="nil"/>
              <w:right w:val="nil"/>
            </w:tcBorders>
          </w:tcPr>
          <w:p w14:paraId="32EA42FF" w14:textId="77777777" w:rsidR="002F6811" w:rsidRPr="008912CF" w:rsidRDefault="00615769" w:rsidP="00B538F3">
            <w:pPr>
              <w:pStyle w:val="DefaultText"/>
              <w:jc w:val="center"/>
              <w:rPr>
                <w:rFonts w:ascii="Times New Roman" w:hAnsi="Times New Roman"/>
                <w:b/>
                <w:bCs w:val="0"/>
                <w:szCs w:val="22"/>
                <w:lang w:val="pt-PT"/>
              </w:rPr>
            </w:pPr>
            <w:r w:rsidRPr="008912CF">
              <w:rPr>
                <w:rFonts w:ascii="Times New Roman" w:hAnsi="Times New Roman"/>
                <w:b/>
                <w:bCs w:val="0"/>
                <w:szCs w:val="22"/>
                <w:lang w:val="pt-PT"/>
              </w:rPr>
              <w:t xml:space="preserve">Tabela </w:t>
            </w:r>
            <w:r w:rsidR="00116EA1">
              <w:rPr>
                <w:rFonts w:ascii="Times New Roman" w:hAnsi="Times New Roman"/>
                <w:b/>
                <w:bCs w:val="0"/>
                <w:szCs w:val="22"/>
                <w:lang w:val="pt-PT"/>
              </w:rPr>
              <w:t>11</w:t>
            </w:r>
          </w:p>
          <w:p w14:paraId="60190F58" w14:textId="77777777" w:rsidR="002F6811" w:rsidRPr="008912CF" w:rsidRDefault="00615769" w:rsidP="00B538F3">
            <w:pPr>
              <w:pStyle w:val="DefaultText"/>
              <w:jc w:val="center"/>
              <w:rPr>
                <w:rFonts w:ascii="Times New Roman" w:hAnsi="Times New Roman"/>
                <w:b/>
                <w:bCs w:val="0"/>
                <w:szCs w:val="22"/>
                <w:lang w:val="pt-PT"/>
              </w:rPr>
            </w:pPr>
            <w:r w:rsidRPr="008912CF">
              <w:rPr>
                <w:rFonts w:ascii="Times New Roman" w:hAnsi="Times New Roman"/>
                <w:b/>
                <w:bCs w:val="0"/>
                <w:szCs w:val="22"/>
                <w:lang w:val="pt-PT"/>
              </w:rPr>
              <w:t>Estudo I na Psoríase (REVEAL)</w:t>
            </w:r>
          </w:p>
          <w:p w14:paraId="3C6E9396" w14:textId="77777777" w:rsidR="002F6811" w:rsidRPr="008912CF" w:rsidRDefault="00615769" w:rsidP="00B538F3">
            <w:pPr>
              <w:pStyle w:val="DefaultText"/>
              <w:jc w:val="center"/>
              <w:rPr>
                <w:rFonts w:ascii="Times New Roman" w:hAnsi="Times New Roman"/>
                <w:b/>
                <w:bCs w:val="0"/>
                <w:szCs w:val="22"/>
                <w:lang w:val="pt-PT"/>
              </w:rPr>
            </w:pPr>
            <w:r w:rsidRPr="008912CF">
              <w:rPr>
                <w:rFonts w:ascii="Times New Roman" w:hAnsi="Times New Roman"/>
                <w:b/>
                <w:bCs w:val="0"/>
                <w:szCs w:val="22"/>
                <w:lang w:val="pt-PT"/>
              </w:rPr>
              <w:t>Resultados de Eficácia à</w:t>
            </w:r>
            <w:r w:rsidR="005049F7">
              <w:rPr>
                <w:rFonts w:ascii="Times New Roman" w:hAnsi="Times New Roman"/>
                <w:b/>
                <w:bCs w:val="0"/>
                <w:szCs w:val="22"/>
                <w:lang w:val="pt-PT"/>
              </w:rPr>
              <w:t xml:space="preserve"> Semana</w:t>
            </w:r>
            <w:r w:rsidRPr="008912CF">
              <w:rPr>
                <w:rFonts w:ascii="Times New Roman" w:hAnsi="Times New Roman"/>
                <w:b/>
                <w:bCs w:val="0"/>
                <w:szCs w:val="22"/>
                <w:lang w:val="pt-PT"/>
              </w:rPr>
              <w:t xml:space="preserve"> 16</w:t>
            </w:r>
          </w:p>
          <w:p w14:paraId="7920BB8E" w14:textId="77777777" w:rsidR="002F6811" w:rsidRPr="008912CF" w:rsidRDefault="002F6811" w:rsidP="00B538F3">
            <w:pPr>
              <w:pStyle w:val="DefaultText"/>
              <w:jc w:val="center"/>
              <w:rPr>
                <w:rFonts w:ascii="Times New Roman" w:hAnsi="Times New Roman"/>
                <w:b/>
                <w:bCs w:val="0"/>
                <w:szCs w:val="22"/>
                <w:u w:val="single"/>
                <w:lang w:val="pt-PT"/>
              </w:rPr>
            </w:pPr>
          </w:p>
        </w:tc>
      </w:tr>
      <w:tr w:rsidR="00A7162A" w14:paraId="6D7317AE" w14:textId="77777777" w:rsidTr="002F6811">
        <w:trPr>
          <w:cantSplit/>
          <w:jc w:val="center"/>
        </w:trPr>
        <w:tc>
          <w:tcPr>
            <w:tcW w:w="2977" w:type="dxa"/>
            <w:vAlign w:val="center"/>
          </w:tcPr>
          <w:p w14:paraId="5313A15C" w14:textId="77777777" w:rsidR="002F6811" w:rsidRPr="008912CF" w:rsidRDefault="002F6811" w:rsidP="00B538F3">
            <w:pPr>
              <w:pStyle w:val="DefaultText"/>
              <w:rPr>
                <w:rFonts w:ascii="Times New Roman" w:hAnsi="Times New Roman"/>
                <w:b/>
                <w:bCs w:val="0"/>
                <w:szCs w:val="22"/>
                <w:lang w:val="pt-PT"/>
              </w:rPr>
            </w:pPr>
          </w:p>
        </w:tc>
        <w:tc>
          <w:tcPr>
            <w:tcW w:w="1620" w:type="dxa"/>
            <w:vAlign w:val="center"/>
          </w:tcPr>
          <w:p w14:paraId="33221CD1" w14:textId="77777777" w:rsidR="002F6811" w:rsidRPr="008912CF" w:rsidRDefault="00615769" w:rsidP="00B538F3">
            <w:pPr>
              <w:pStyle w:val="DefaultText"/>
              <w:jc w:val="center"/>
              <w:rPr>
                <w:rFonts w:ascii="Times New Roman" w:hAnsi="Times New Roman"/>
                <w:b/>
                <w:bCs w:val="0"/>
                <w:szCs w:val="22"/>
                <w:lang w:val="pt-PT"/>
              </w:rPr>
            </w:pPr>
            <w:r w:rsidRPr="008912CF">
              <w:rPr>
                <w:rFonts w:ascii="Times New Roman" w:hAnsi="Times New Roman"/>
                <w:b/>
                <w:bCs w:val="0"/>
                <w:szCs w:val="22"/>
                <w:lang w:val="pt-PT"/>
              </w:rPr>
              <w:t>Placebo</w:t>
            </w:r>
          </w:p>
          <w:p w14:paraId="3EB841F6" w14:textId="77777777" w:rsidR="002F6811" w:rsidRPr="008912CF" w:rsidRDefault="00615769" w:rsidP="00B538F3">
            <w:pPr>
              <w:pStyle w:val="DefaultText"/>
              <w:jc w:val="center"/>
              <w:rPr>
                <w:rFonts w:ascii="Times New Roman" w:hAnsi="Times New Roman"/>
                <w:b/>
                <w:bCs w:val="0"/>
                <w:szCs w:val="22"/>
                <w:lang w:val="pt-PT"/>
              </w:rPr>
            </w:pPr>
            <w:r w:rsidRPr="008912CF">
              <w:rPr>
                <w:rFonts w:ascii="Times New Roman" w:hAnsi="Times New Roman"/>
                <w:b/>
                <w:bCs w:val="0"/>
                <w:szCs w:val="22"/>
                <w:lang w:val="pt-PT"/>
              </w:rPr>
              <w:t>N=398</w:t>
            </w:r>
          </w:p>
          <w:p w14:paraId="3DC75182" w14:textId="77777777" w:rsidR="002F6811" w:rsidRPr="008912CF" w:rsidRDefault="00615769" w:rsidP="00B538F3">
            <w:pPr>
              <w:pStyle w:val="DefaultText"/>
              <w:jc w:val="center"/>
              <w:rPr>
                <w:rFonts w:ascii="Times New Roman" w:hAnsi="Times New Roman"/>
                <w:b/>
                <w:bCs w:val="0"/>
                <w:szCs w:val="22"/>
                <w:lang w:val="pt-PT"/>
              </w:rPr>
            </w:pPr>
            <w:r w:rsidRPr="008912CF">
              <w:rPr>
                <w:rFonts w:ascii="Times New Roman" w:hAnsi="Times New Roman"/>
                <w:b/>
                <w:bCs w:val="0"/>
                <w:szCs w:val="22"/>
                <w:lang w:val="pt-PT"/>
              </w:rPr>
              <w:t>n (%)</w:t>
            </w:r>
          </w:p>
        </w:tc>
        <w:tc>
          <w:tcPr>
            <w:tcW w:w="2352" w:type="dxa"/>
            <w:vAlign w:val="center"/>
          </w:tcPr>
          <w:p w14:paraId="228ECB95" w14:textId="77777777" w:rsidR="002F6811" w:rsidRPr="008912CF" w:rsidRDefault="00615769" w:rsidP="00B538F3">
            <w:pPr>
              <w:pStyle w:val="DefaultText"/>
              <w:jc w:val="center"/>
              <w:rPr>
                <w:rFonts w:ascii="Times New Roman" w:hAnsi="Times New Roman"/>
                <w:b/>
                <w:bCs w:val="0"/>
                <w:szCs w:val="22"/>
                <w:lang w:val="pt-PT"/>
              </w:rPr>
            </w:pPr>
            <w:r w:rsidRPr="008912CF">
              <w:rPr>
                <w:rFonts w:ascii="Times New Roman" w:hAnsi="Times New Roman"/>
                <w:b/>
                <w:bCs w:val="0"/>
                <w:szCs w:val="22"/>
                <w:lang w:val="pt-PT"/>
              </w:rPr>
              <w:t>Humira 40 mg em semanas alternadas</w:t>
            </w:r>
          </w:p>
          <w:p w14:paraId="5B24E76C" w14:textId="77777777" w:rsidR="002F6811" w:rsidRPr="008912CF" w:rsidRDefault="00615769" w:rsidP="00B538F3">
            <w:pPr>
              <w:pStyle w:val="DefaultText"/>
              <w:jc w:val="center"/>
              <w:rPr>
                <w:rFonts w:ascii="Times New Roman" w:hAnsi="Times New Roman"/>
                <w:b/>
                <w:bCs w:val="0"/>
                <w:szCs w:val="22"/>
                <w:lang w:val="pt-PT"/>
              </w:rPr>
            </w:pPr>
            <w:r w:rsidRPr="008912CF">
              <w:rPr>
                <w:rFonts w:ascii="Times New Roman" w:hAnsi="Times New Roman"/>
                <w:b/>
                <w:bCs w:val="0"/>
                <w:szCs w:val="22"/>
                <w:lang w:val="pt-PT"/>
              </w:rPr>
              <w:t>N=814</w:t>
            </w:r>
          </w:p>
          <w:p w14:paraId="31CF0156" w14:textId="77777777" w:rsidR="002F6811" w:rsidRPr="008912CF" w:rsidRDefault="00615769" w:rsidP="00B538F3">
            <w:pPr>
              <w:pStyle w:val="DefaultText"/>
              <w:jc w:val="center"/>
              <w:rPr>
                <w:rFonts w:ascii="Times New Roman" w:hAnsi="Times New Roman"/>
                <w:b/>
                <w:bCs w:val="0"/>
                <w:szCs w:val="22"/>
                <w:lang w:val="pt-PT"/>
              </w:rPr>
            </w:pPr>
            <w:r w:rsidRPr="008912CF">
              <w:rPr>
                <w:rFonts w:ascii="Times New Roman" w:hAnsi="Times New Roman"/>
                <w:b/>
                <w:bCs w:val="0"/>
                <w:szCs w:val="22"/>
                <w:lang w:val="pt-PT"/>
              </w:rPr>
              <w:t>n (%)</w:t>
            </w:r>
          </w:p>
        </w:tc>
      </w:tr>
      <w:tr w:rsidR="00A7162A" w14:paraId="185FD4B0" w14:textId="77777777" w:rsidTr="002F6811">
        <w:trPr>
          <w:cantSplit/>
          <w:jc w:val="center"/>
        </w:trPr>
        <w:tc>
          <w:tcPr>
            <w:tcW w:w="2977" w:type="dxa"/>
          </w:tcPr>
          <w:p w14:paraId="73606D70" w14:textId="77777777" w:rsidR="002F6811" w:rsidRPr="008912CF" w:rsidRDefault="00615769" w:rsidP="00B538F3">
            <w:pPr>
              <w:pStyle w:val="DefaultText"/>
              <w:rPr>
                <w:rFonts w:ascii="Times New Roman" w:hAnsi="Times New Roman"/>
                <w:b/>
                <w:bCs w:val="0"/>
                <w:szCs w:val="22"/>
                <w:lang w:val="pt-PT"/>
              </w:rPr>
            </w:pPr>
            <w:r w:rsidRPr="008912CF">
              <w:rPr>
                <w:rFonts w:ascii="Symbol" w:hAnsi="Symbol"/>
                <w:b/>
                <w:bCs w:val="0"/>
                <w:szCs w:val="22"/>
                <w:lang w:val="pt-PT"/>
              </w:rPr>
              <w:sym w:font="Symbol" w:char="F0B3"/>
            </w:r>
            <w:r w:rsidR="00601734">
              <w:rPr>
                <w:rFonts w:ascii="Symbol" w:hAnsi="Symbol"/>
                <w:b/>
                <w:bCs w:val="0"/>
                <w:szCs w:val="22"/>
                <w:lang w:val="pt-PT"/>
              </w:rPr>
              <w:sym w:font="Symbol" w:char="F020"/>
            </w:r>
            <w:r w:rsidRPr="008912CF">
              <w:rPr>
                <w:rFonts w:ascii="Times New Roman" w:hAnsi="Times New Roman"/>
                <w:b/>
                <w:bCs w:val="0"/>
                <w:szCs w:val="22"/>
                <w:lang w:val="pt-PT"/>
              </w:rPr>
              <w:t>PASI 75</w:t>
            </w:r>
            <w:r w:rsidRPr="008912CF">
              <w:rPr>
                <w:rFonts w:ascii="Times New Roman" w:hAnsi="Times New Roman"/>
                <w:b/>
                <w:bCs w:val="0"/>
                <w:szCs w:val="22"/>
                <w:vertAlign w:val="superscript"/>
                <w:lang w:val="pt-PT"/>
              </w:rPr>
              <w:t>a</w:t>
            </w:r>
          </w:p>
        </w:tc>
        <w:tc>
          <w:tcPr>
            <w:tcW w:w="1620" w:type="dxa"/>
          </w:tcPr>
          <w:p w14:paraId="55534C03" w14:textId="77777777" w:rsidR="002F6811" w:rsidRPr="008912CF" w:rsidRDefault="00615769" w:rsidP="00B538F3">
            <w:pPr>
              <w:pStyle w:val="DefaultText"/>
              <w:jc w:val="center"/>
              <w:rPr>
                <w:rFonts w:ascii="Times New Roman" w:hAnsi="Times New Roman"/>
                <w:szCs w:val="22"/>
                <w:lang w:val="pt-PT"/>
              </w:rPr>
            </w:pPr>
            <w:r w:rsidRPr="008912CF">
              <w:rPr>
                <w:rFonts w:ascii="Times New Roman" w:hAnsi="Times New Roman"/>
                <w:szCs w:val="22"/>
                <w:lang w:val="pt-PT"/>
              </w:rPr>
              <w:t>26 (6,5)</w:t>
            </w:r>
          </w:p>
        </w:tc>
        <w:tc>
          <w:tcPr>
            <w:tcW w:w="2352" w:type="dxa"/>
          </w:tcPr>
          <w:p w14:paraId="7797DF56" w14:textId="77777777" w:rsidR="002F6811" w:rsidRPr="008912CF" w:rsidRDefault="00615769" w:rsidP="00B538F3">
            <w:pPr>
              <w:pStyle w:val="DefaultText"/>
              <w:jc w:val="center"/>
              <w:rPr>
                <w:rFonts w:ascii="Times New Roman" w:hAnsi="Times New Roman"/>
                <w:szCs w:val="22"/>
                <w:lang w:val="pt-PT"/>
              </w:rPr>
            </w:pPr>
            <w:r w:rsidRPr="008912CF">
              <w:rPr>
                <w:rFonts w:ascii="Times New Roman" w:hAnsi="Times New Roman"/>
                <w:szCs w:val="22"/>
                <w:lang w:val="pt-PT"/>
              </w:rPr>
              <w:t>578 (70,9)</w:t>
            </w:r>
            <w:r w:rsidRPr="008912CF">
              <w:rPr>
                <w:rFonts w:ascii="Times New Roman" w:hAnsi="Times New Roman"/>
                <w:szCs w:val="22"/>
                <w:vertAlign w:val="superscript"/>
                <w:lang w:val="pt-PT"/>
              </w:rPr>
              <w:t>b</w:t>
            </w:r>
          </w:p>
        </w:tc>
      </w:tr>
      <w:tr w:rsidR="00A7162A" w14:paraId="37488DB9" w14:textId="77777777" w:rsidTr="002F6811">
        <w:trPr>
          <w:cantSplit/>
          <w:trHeight w:val="70"/>
          <w:jc w:val="center"/>
        </w:trPr>
        <w:tc>
          <w:tcPr>
            <w:tcW w:w="2977" w:type="dxa"/>
          </w:tcPr>
          <w:p w14:paraId="2F6F33E3" w14:textId="77777777" w:rsidR="002F6811" w:rsidRPr="008912CF" w:rsidRDefault="00615769" w:rsidP="00B538F3">
            <w:pPr>
              <w:pStyle w:val="DefaultText"/>
              <w:rPr>
                <w:rFonts w:ascii="Times New Roman" w:hAnsi="Times New Roman"/>
                <w:b/>
                <w:bCs w:val="0"/>
                <w:szCs w:val="22"/>
                <w:lang w:val="pt-PT"/>
              </w:rPr>
            </w:pPr>
            <w:r w:rsidRPr="008912CF">
              <w:rPr>
                <w:rFonts w:ascii="Times New Roman" w:hAnsi="Times New Roman"/>
                <w:b/>
                <w:bCs w:val="0"/>
                <w:szCs w:val="22"/>
                <w:lang w:val="pt-PT"/>
              </w:rPr>
              <w:t>PASI 100</w:t>
            </w:r>
          </w:p>
        </w:tc>
        <w:tc>
          <w:tcPr>
            <w:tcW w:w="1620" w:type="dxa"/>
          </w:tcPr>
          <w:p w14:paraId="58265E09" w14:textId="77777777" w:rsidR="002F6811" w:rsidRPr="008912CF" w:rsidRDefault="00615769" w:rsidP="00B538F3">
            <w:pPr>
              <w:pStyle w:val="DefaultText"/>
              <w:jc w:val="center"/>
              <w:rPr>
                <w:rFonts w:ascii="Times New Roman" w:hAnsi="Times New Roman"/>
                <w:szCs w:val="22"/>
                <w:lang w:val="pt-PT"/>
              </w:rPr>
            </w:pPr>
            <w:r w:rsidRPr="008912CF">
              <w:rPr>
                <w:rFonts w:ascii="Times New Roman" w:hAnsi="Times New Roman"/>
                <w:szCs w:val="22"/>
                <w:lang w:val="pt-PT"/>
              </w:rPr>
              <w:t>3 (0,8)</w:t>
            </w:r>
          </w:p>
        </w:tc>
        <w:tc>
          <w:tcPr>
            <w:tcW w:w="2352" w:type="dxa"/>
          </w:tcPr>
          <w:p w14:paraId="52F25F8D" w14:textId="77777777" w:rsidR="002F6811" w:rsidRPr="008912CF" w:rsidRDefault="00615769" w:rsidP="00B538F3">
            <w:pPr>
              <w:pStyle w:val="DefaultText"/>
              <w:jc w:val="center"/>
              <w:rPr>
                <w:rFonts w:ascii="Times New Roman" w:hAnsi="Times New Roman"/>
                <w:szCs w:val="22"/>
                <w:lang w:val="pt-PT"/>
              </w:rPr>
            </w:pPr>
            <w:r w:rsidRPr="008912CF">
              <w:rPr>
                <w:rFonts w:ascii="Times New Roman" w:hAnsi="Times New Roman"/>
                <w:szCs w:val="22"/>
                <w:lang w:val="pt-PT"/>
              </w:rPr>
              <w:t>163 (20,0)</w:t>
            </w:r>
            <w:r w:rsidRPr="008912CF">
              <w:rPr>
                <w:rFonts w:ascii="Times New Roman" w:hAnsi="Times New Roman"/>
                <w:szCs w:val="22"/>
                <w:vertAlign w:val="superscript"/>
                <w:lang w:val="pt-PT"/>
              </w:rPr>
              <w:t>b</w:t>
            </w:r>
          </w:p>
        </w:tc>
      </w:tr>
      <w:tr w:rsidR="00A7162A" w14:paraId="20913DA0" w14:textId="77777777" w:rsidTr="002F6811">
        <w:trPr>
          <w:cantSplit/>
          <w:jc w:val="center"/>
        </w:trPr>
        <w:tc>
          <w:tcPr>
            <w:tcW w:w="2977" w:type="dxa"/>
          </w:tcPr>
          <w:p w14:paraId="7571C274" w14:textId="77777777" w:rsidR="002F6811" w:rsidRPr="008912CF" w:rsidRDefault="00615769" w:rsidP="00B538F3">
            <w:pPr>
              <w:pStyle w:val="DefaultText"/>
              <w:rPr>
                <w:rFonts w:ascii="Times New Roman" w:hAnsi="Times New Roman"/>
                <w:b/>
                <w:bCs w:val="0"/>
                <w:szCs w:val="22"/>
                <w:lang w:val="pt-PT"/>
              </w:rPr>
            </w:pPr>
            <w:r w:rsidRPr="008912CF">
              <w:rPr>
                <w:rFonts w:ascii="Times New Roman" w:hAnsi="Times New Roman"/>
                <w:b/>
                <w:bCs w:val="0"/>
                <w:szCs w:val="22"/>
                <w:lang w:val="pt-PT"/>
              </w:rPr>
              <w:t>PGA: Limp</w:t>
            </w:r>
            <w:r w:rsidR="005049F7">
              <w:rPr>
                <w:rFonts w:ascii="Times New Roman" w:hAnsi="Times New Roman"/>
                <w:b/>
                <w:bCs w:val="0"/>
                <w:szCs w:val="22"/>
                <w:lang w:val="pt-PT"/>
              </w:rPr>
              <w:t>a</w:t>
            </w:r>
            <w:r w:rsidRPr="008912CF">
              <w:rPr>
                <w:rFonts w:ascii="Times New Roman" w:hAnsi="Times New Roman"/>
                <w:b/>
                <w:bCs w:val="0"/>
                <w:szCs w:val="22"/>
                <w:lang w:val="pt-PT"/>
              </w:rPr>
              <w:t>/</w:t>
            </w:r>
            <w:r w:rsidR="00E57BBD">
              <w:rPr>
                <w:rFonts w:ascii="Times New Roman" w:hAnsi="Times New Roman"/>
                <w:b/>
                <w:bCs w:val="0"/>
                <w:szCs w:val="22"/>
                <w:lang w:val="pt-PT"/>
              </w:rPr>
              <w:t>quase limpa</w:t>
            </w:r>
          </w:p>
        </w:tc>
        <w:tc>
          <w:tcPr>
            <w:tcW w:w="1620" w:type="dxa"/>
          </w:tcPr>
          <w:p w14:paraId="283DCA96" w14:textId="77777777" w:rsidR="002F6811" w:rsidRPr="008912CF" w:rsidRDefault="00615769" w:rsidP="00B538F3">
            <w:pPr>
              <w:pStyle w:val="DefaultText"/>
              <w:jc w:val="center"/>
              <w:rPr>
                <w:rFonts w:ascii="Times New Roman" w:hAnsi="Times New Roman"/>
                <w:szCs w:val="22"/>
                <w:lang w:val="pt-PT"/>
              </w:rPr>
            </w:pPr>
            <w:r w:rsidRPr="008912CF">
              <w:rPr>
                <w:rFonts w:ascii="Times New Roman" w:hAnsi="Times New Roman"/>
                <w:szCs w:val="22"/>
                <w:lang w:val="pt-PT"/>
              </w:rPr>
              <w:t>17 (4,3)</w:t>
            </w:r>
          </w:p>
        </w:tc>
        <w:tc>
          <w:tcPr>
            <w:tcW w:w="2352" w:type="dxa"/>
          </w:tcPr>
          <w:p w14:paraId="6591AC70" w14:textId="77777777" w:rsidR="002F6811" w:rsidRPr="008912CF" w:rsidRDefault="00615769" w:rsidP="00B538F3">
            <w:pPr>
              <w:pStyle w:val="DefaultText"/>
              <w:jc w:val="center"/>
              <w:rPr>
                <w:rFonts w:ascii="Times New Roman" w:hAnsi="Times New Roman"/>
                <w:szCs w:val="22"/>
                <w:lang w:val="pt-PT"/>
              </w:rPr>
            </w:pPr>
            <w:r w:rsidRPr="008912CF">
              <w:rPr>
                <w:rFonts w:ascii="Times New Roman" w:hAnsi="Times New Roman"/>
                <w:szCs w:val="22"/>
                <w:lang w:val="pt-PT"/>
              </w:rPr>
              <w:t>506 (62,2)</w:t>
            </w:r>
            <w:r w:rsidRPr="008912CF">
              <w:rPr>
                <w:rFonts w:ascii="Times New Roman" w:hAnsi="Times New Roman"/>
                <w:szCs w:val="22"/>
                <w:vertAlign w:val="superscript"/>
                <w:lang w:val="pt-PT"/>
              </w:rPr>
              <w:t>b</w:t>
            </w:r>
          </w:p>
        </w:tc>
      </w:tr>
      <w:tr w:rsidR="00A7162A" w14:paraId="2ED75063" w14:textId="77777777" w:rsidTr="002F6811">
        <w:trPr>
          <w:cantSplit/>
          <w:jc w:val="center"/>
        </w:trPr>
        <w:tc>
          <w:tcPr>
            <w:tcW w:w="6949" w:type="dxa"/>
            <w:gridSpan w:val="3"/>
          </w:tcPr>
          <w:p w14:paraId="7EF5DD0B" w14:textId="77777777" w:rsidR="002F6811" w:rsidRPr="008912CF" w:rsidRDefault="00615769" w:rsidP="00B538F3">
            <w:pPr>
              <w:pStyle w:val="DefaultText"/>
              <w:rPr>
                <w:rFonts w:ascii="Times New Roman" w:hAnsi="Times New Roman"/>
                <w:szCs w:val="22"/>
                <w:lang w:val="pt-PT"/>
              </w:rPr>
            </w:pPr>
            <w:r w:rsidRPr="008912CF">
              <w:rPr>
                <w:rFonts w:ascii="Times New Roman" w:hAnsi="Times New Roman"/>
                <w:szCs w:val="22"/>
                <w:vertAlign w:val="superscript"/>
                <w:lang w:val="pt-PT"/>
              </w:rPr>
              <w:t>a</w:t>
            </w:r>
            <w:r w:rsidRPr="008912CF">
              <w:rPr>
                <w:rFonts w:ascii="Times New Roman" w:hAnsi="Times New Roman"/>
                <w:szCs w:val="22"/>
                <w:lang w:val="pt-PT"/>
              </w:rPr>
              <w:t xml:space="preserve"> Percentagem de doentes que atingiram uma resposta PASI75 calculada como uma taxa ajustada</w:t>
            </w:r>
          </w:p>
          <w:p w14:paraId="392DD87F" w14:textId="77777777" w:rsidR="002F6811" w:rsidRPr="008912CF" w:rsidRDefault="00615769" w:rsidP="00B538F3">
            <w:pPr>
              <w:pStyle w:val="DefaultText"/>
              <w:rPr>
                <w:rFonts w:ascii="Times New Roman" w:hAnsi="Times New Roman"/>
                <w:szCs w:val="22"/>
                <w:lang w:val="pt-PT"/>
              </w:rPr>
            </w:pPr>
            <w:r w:rsidRPr="008912CF">
              <w:rPr>
                <w:rFonts w:ascii="Times New Roman" w:hAnsi="Times New Roman"/>
                <w:szCs w:val="22"/>
                <w:vertAlign w:val="superscript"/>
                <w:lang w:val="pt-PT"/>
              </w:rPr>
              <w:t>b</w:t>
            </w:r>
            <w:r w:rsidRPr="008912CF">
              <w:rPr>
                <w:rFonts w:ascii="Times New Roman" w:hAnsi="Times New Roman"/>
                <w:szCs w:val="22"/>
                <w:lang w:val="pt-PT"/>
              </w:rPr>
              <w:t xml:space="preserve"> p&lt;0,001, Humira vs. Placebo</w:t>
            </w:r>
          </w:p>
        </w:tc>
      </w:tr>
    </w:tbl>
    <w:p w14:paraId="1533AE0C" w14:textId="77777777" w:rsidR="002F6811" w:rsidRPr="008912CF" w:rsidRDefault="002F6811" w:rsidP="002F6811">
      <w:pPr>
        <w:keepNext/>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9"/>
        <w:gridCol w:w="1668"/>
        <w:gridCol w:w="1347"/>
        <w:gridCol w:w="2392"/>
      </w:tblGrid>
      <w:tr w:rsidR="00A7162A" w14:paraId="2477DDE4" w14:textId="77777777" w:rsidTr="002F6811">
        <w:trPr>
          <w:cantSplit/>
          <w:jc w:val="center"/>
        </w:trPr>
        <w:tc>
          <w:tcPr>
            <w:tcW w:w="7046" w:type="dxa"/>
            <w:gridSpan w:val="4"/>
            <w:tcBorders>
              <w:top w:val="nil"/>
              <w:left w:val="nil"/>
              <w:right w:val="nil"/>
            </w:tcBorders>
          </w:tcPr>
          <w:p w14:paraId="7AA8D228" w14:textId="77777777" w:rsidR="002F6811" w:rsidRPr="008912CF" w:rsidRDefault="00615769" w:rsidP="002F6811">
            <w:pPr>
              <w:pStyle w:val="DefaultText"/>
              <w:keepNext/>
              <w:jc w:val="center"/>
              <w:rPr>
                <w:rFonts w:ascii="Times New Roman" w:hAnsi="Times New Roman"/>
                <w:b/>
                <w:bCs w:val="0"/>
                <w:szCs w:val="22"/>
                <w:lang w:val="pt-PT"/>
              </w:rPr>
            </w:pPr>
            <w:r>
              <w:rPr>
                <w:rFonts w:ascii="Times New Roman" w:hAnsi="Times New Roman"/>
                <w:b/>
                <w:bCs w:val="0"/>
                <w:szCs w:val="22"/>
                <w:lang w:val="pt-PT"/>
              </w:rPr>
              <w:t xml:space="preserve">Tabela </w:t>
            </w:r>
            <w:r w:rsidR="00116EA1">
              <w:rPr>
                <w:rFonts w:ascii="Times New Roman" w:hAnsi="Times New Roman"/>
                <w:b/>
                <w:bCs w:val="0"/>
                <w:szCs w:val="22"/>
                <w:lang w:val="pt-PT"/>
              </w:rPr>
              <w:t>12</w:t>
            </w:r>
          </w:p>
          <w:p w14:paraId="39933388" w14:textId="77777777" w:rsidR="002F6811" w:rsidRPr="008912CF" w:rsidRDefault="00615769" w:rsidP="002F6811">
            <w:pPr>
              <w:pStyle w:val="DefaultText"/>
              <w:keepNext/>
              <w:jc w:val="center"/>
              <w:rPr>
                <w:rFonts w:ascii="Times New Roman" w:hAnsi="Times New Roman"/>
                <w:b/>
                <w:bCs w:val="0"/>
                <w:szCs w:val="22"/>
                <w:lang w:val="pt-PT"/>
              </w:rPr>
            </w:pPr>
            <w:r w:rsidRPr="008912CF">
              <w:rPr>
                <w:rFonts w:ascii="Times New Roman" w:hAnsi="Times New Roman"/>
                <w:b/>
                <w:bCs w:val="0"/>
                <w:szCs w:val="22"/>
                <w:lang w:val="pt-PT"/>
              </w:rPr>
              <w:t>Estudo II na Psoríase (CHAMPION)</w:t>
            </w:r>
          </w:p>
          <w:p w14:paraId="5F2CAA91" w14:textId="77777777" w:rsidR="002F6811" w:rsidRPr="008912CF" w:rsidRDefault="00615769" w:rsidP="002F6811">
            <w:pPr>
              <w:pStyle w:val="DefaultText"/>
              <w:keepNext/>
              <w:jc w:val="center"/>
              <w:rPr>
                <w:rFonts w:ascii="Times New Roman" w:hAnsi="Times New Roman"/>
                <w:b/>
                <w:bCs w:val="0"/>
                <w:szCs w:val="22"/>
                <w:lang w:val="pt-PT"/>
              </w:rPr>
            </w:pPr>
            <w:r w:rsidRPr="008912CF">
              <w:rPr>
                <w:rFonts w:ascii="Times New Roman" w:hAnsi="Times New Roman"/>
                <w:b/>
                <w:bCs w:val="0"/>
                <w:szCs w:val="22"/>
                <w:lang w:val="pt-PT"/>
              </w:rPr>
              <w:t>Resultados de Eficácia à</w:t>
            </w:r>
            <w:r w:rsidR="005049F7">
              <w:rPr>
                <w:rFonts w:ascii="Times New Roman" w:hAnsi="Times New Roman"/>
                <w:b/>
                <w:bCs w:val="0"/>
                <w:szCs w:val="22"/>
                <w:lang w:val="pt-PT"/>
              </w:rPr>
              <w:t xml:space="preserve"> Semana</w:t>
            </w:r>
            <w:r w:rsidRPr="008912CF">
              <w:rPr>
                <w:rFonts w:ascii="Times New Roman" w:hAnsi="Times New Roman"/>
                <w:b/>
                <w:bCs w:val="0"/>
                <w:szCs w:val="22"/>
                <w:lang w:val="pt-PT"/>
              </w:rPr>
              <w:t xml:space="preserve"> 16</w:t>
            </w:r>
          </w:p>
          <w:p w14:paraId="4F98656D" w14:textId="77777777" w:rsidR="002F6811" w:rsidRPr="008912CF" w:rsidRDefault="00615769" w:rsidP="002F6811">
            <w:pPr>
              <w:pStyle w:val="DefaultText"/>
              <w:keepNext/>
              <w:jc w:val="center"/>
              <w:rPr>
                <w:rFonts w:ascii="Times New Roman" w:hAnsi="Times New Roman"/>
                <w:szCs w:val="22"/>
                <w:u w:val="single"/>
                <w:lang w:val="pt-PT"/>
              </w:rPr>
            </w:pPr>
            <w:r w:rsidRPr="008912CF">
              <w:rPr>
                <w:rFonts w:ascii="Times New Roman" w:hAnsi="Times New Roman"/>
                <w:b/>
                <w:bCs w:val="0"/>
                <w:szCs w:val="22"/>
                <w:lang w:val="pt-PT"/>
              </w:rPr>
              <w:t xml:space="preserve"> </w:t>
            </w:r>
          </w:p>
        </w:tc>
      </w:tr>
      <w:tr w:rsidR="00A7162A" w14:paraId="4B944EA7" w14:textId="77777777" w:rsidTr="002F6811">
        <w:trPr>
          <w:cantSplit/>
          <w:jc w:val="center"/>
        </w:trPr>
        <w:tc>
          <w:tcPr>
            <w:tcW w:w="1639" w:type="dxa"/>
          </w:tcPr>
          <w:p w14:paraId="25883EC2" w14:textId="77777777" w:rsidR="002F6811" w:rsidRPr="008912CF" w:rsidRDefault="002F6811" w:rsidP="002F6811">
            <w:pPr>
              <w:pStyle w:val="DefaultText"/>
              <w:keepNext/>
              <w:jc w:val="center"/>
              <w:rPr>
                <w:rFonts w:ascii="Times New Roman" w:hAnsi="Times New Roman"/>
                <w:b/>
                <w:bCs w:val="0"/>
                <w:szCs w:val="22"/>
                <w:lang w:val="pt-PT"/>
              </w:rPr>
            </w:pPr>
          </w:p>
        </w:tc>
        <w:tc>
          <w:tcPr>
            <w:tcW w:w="1668" w:type="dxa"/>
            <w:vAlign w:val="center"/>
          </w:tcPr>
          <w:p w14:paraId="76DC6487" w14:textId="77777777" w:rsidR="002F6811" w:rsidRPr="008912CF" w:rsidRDefault="00615769" w:rsidP="002F6811">
            <w:pPr>
              <w:pStyle w:val="DefaultText"/>
              <w:keepNext/>
              <w:jc w:val="center"/>
              <w:rPr>
                <w:rFonts w:ascii="Times New Roman" w:hAnsi="Times New Roman"/>
                <w:b/>
                <w:bCs w:val="0"/>
                <w:szCs w:val="22"/>
                <w:lang w:val="pt-PT"/>
              </w:rPr>
            </w:pPr>
            <w:r w:rsidRPr="008912CF">
              <w:rPr>
                <w:rFonts w:ascii="Times New Roman" w:hAnsi="Times New Roman"/>
                <w:b/>
                <w:bCs w:val="0"/>
                <w:szCs w:val="22"/>
                <w:lang w:val="pt-PT"/>
              </w:rPr>
              <w:t>Placebo</w:t>
            </w:r>
          </w:p>
          <w:p w14:paraId="000976E6" w14:textId="77777777" w:rsidR="002F6811" w:rsidRPr="008912CF" w:rsidRDefault="00615769" w:rsidP="002F6811">
            <w:pPr>
              <w:pStyle w:val="DefaultText"/>
              <w:keepNext/>
              <w:jc w:val="center"/>
              <w:rPr>
                <w:rFonts w:ascii="Times New Roman" w:hAnsi="Times New Roman"/>
                <w:b/>
                <w:bCs w:val="0"/>
                <w:szCs w:val="22"/>
                <w:lang w:val="pt-PT"/>
              </w:rPr>
            </w:pPr>
            <w:r w:rsidRPr="008912CF">
              <w:rPr>
                <w:rFonts w:ascii="Times New Roman" w:hAnsi="Times New Roman"/>
                <w:b/>
                <w:bCs w:val="0"/>
                <w:szCs w:val="22"/>
                <w:lang w:val="pt-PT"/>
              </w:rPr>
              <w:t>N=53</w:t>
            </w:r>
          </w:p>
          <w:p w14:paraId="0622FFBE" w14:textId="77777777" w:rsidR="002F6811" w:rsidRPr="008912CF" w:rsidRDefault="00615769" w:rsidP="002F6811">
            <w:pPr>
              <w:pStyle w:val="DefaultText"/>
              <w:keepNext/>
              <w:jc w:val="center"/>
              <w:rPr>
                <w:rFonts w:ascii="Times New Roman" w:hAnsi="Times New Roman"/>
                <w:b/>
                <w:bCs w:val="0"/>
                <w:szCs w:val="22"/>
                <w:lang w:val="pt-PT"/>
              </w:rPr>
            </w:pPr>
            <w:r w:rsidRPr="008912CF">
              <w:rPr>
                <w:rFonts w:ascii="Times New Roman" w:hAnsi="Times New Roman"/>
                <w:b/>
                <w:bCs w:val="0"/>
                <w:szCs w:val="22"/>
                <w:lang w:val="pt-PT"/>
              </w:rPr>
              <w:t>n (%)</w:t>
            </w:r>
          </w:p>
        </w:tc>
        <w:tc>
          <w:tcPr>
            <w:tcW w:w="1347" w:type="dxa"/>
            <w:vAlign w:val="center"/>
          </w:tcPr>
          <w:p w14:paraId="07B9D99F" w14:textId="77777777" w:rsidR="002F6811" w:rsidRPr="008912CF" w:rsidRDefault="00615769" w:rsidP="002F6811">
            <w:pPr>
              <w:pStyle w:val="DefaultText"/>
              <w:keepNext/>
              <w:jc w:val="center"/>
              <w:rPr>
                <w:rFonts w:ascii="Times New Roman" w:hAnsi="Times New Roman"/>
                <w:b/>
                <w:bCs w:val="0"/>
                <w:szCs w:val="22"/>
                <w:lang w:val="pt-PT"/>
              </w:rPr>
            </w:pPr>
            <w:r w:rsidRPr="008912CF">
              <w:rPr>
                <w:rFonts w:ascii="Times New Roman" w:hAnsi="Times New Roman"/>
                <w:b/>
                <w:bCs w:val="0"/>
                <w:szCs w:val="22"/>
                <w:lang w:val="pt-PT"/>
              </w:rPr>
              <w:t>MTX</w:t>
            </w:r>
          </w:p>
          <w:p w14:paraId="7FDE4F5D" w14:textId="77777777" w:rsidR="002F6811" w:rsidRPr="008912CF" w:rsidRDefault="00615769" w:rsidP="002F6811">
            <w:pPr>
              <w:pStyle w:val="DefaultText"/>
              <w:keepNext/>
              <w:jc w:val="center"/>
              <w:rPr>
                <w:rFonts w:ascii="Times New Roman" w:hAnsi="Times New Roman"/>
                <w:b/>
                <w:bCs w:val="0"/>
                <w:szCs w:val="22"/>
                <w:lang w:val="pt-PT"/>
              </w:rPr>
            </w:pPr>
            <w:r w:rsidRPr="008912CF">
              <w:rPr>
                <w:rFonts w:ascii="Times New Roman" w:hAnsi="Times New Roman"/>
                <w:b/>
                <w:bCs w:val="0"/>
                <w:szCs w:val="22"/>
                <w:lang w:val="pt-PT"/>
              </w:rPr>
              <w:t>N=110</w:t>
            </w:r>
          </w:p>
          <w:p w14:paraId="0E97B00C" w14:textId="77777777" w:rsidR="002F6811" w:rsidRPr="008912CF" w:rsidRDefault="00615769" w:rsidP="002F6811">
            <w:pPr>
              <w:pStyle w:val="DefaultText"/>
              <w:keepNext/>
              <w:jc w:val="center"/>
              <w:rPr>
                <w:rFonts w:ascii="Times New Roman" w:hAnsi="Times New Roman"/>
                <w:b/>
                <w:bCs w:val="0"/>
                <w:szCs w:val="22"/>
                <w:lang w:val="pt-PT"/>
              </w:rPr>
            </w:pPr>
            <w:r w:rsidRPr="008912CF">
              <w:rPr>
                <w:rFonts w:ascii="Times New Roman" w:hAnsi="Times New Roman"/>
                <w:b/>
                <w:bCs w:val="0"/>
                <w:szCs w:val="22"/>
                <w:lang w:val="pt-PT"/>
              </w:rPr>
              <w:t>n (%)</w:t>
            </w:r>
          </w:p>
        </w:tc>
        <w:tc>
          <w:tcPr>
            <w:tcW w:w="2392" w:type="dxa"/>
            <w:vAlign w:val="center"/>
          </w:tcPr>
          <w:p w14:paraId="6C49772D" w14:textId="77777777" w:rsidR="002F6811" w:rsidRPr="008912CF" w:rsidRDefault="00615769" w:rsidP="002F6811">
            <w:pPr>
              <w:pStyle w:val="DefaultText"/>
              <w:keepNext/>
              <w:jc w:val="center"/>
              <w:rPr>
                <w:rFonts w:ascii="Times New Roman" w:hAnsi="Times New Roman"/>
                <w:b/>
                <w:bCs w:val="0"/>
                <w:szCs w:val="22"/>
                <w:lang w:val="pt-PT"/>
              </w:rPr>
            </w:pPr>
            <w:r w:rsidRPr="008912CF">
              <w:rPr>
                <w:rFonts w:ascii="Times New Roman" w:hAnsi="Times New Roman"/>
                <w:b/>
                <w:bCs w:val="0"/>
                <w:szCs w:val="22"/>
                <w:lang w:val="pt-PT"/>
              </w:rPr>
              <w:t>Humira 40 mg em semanas alternadas</w:t>
            </w:r>
          </w:p>
          <w:p w14:paraId="596DE9BD" w14:textId="77777777" w:rsidR="002F6811" w:rsidRPr="008912CF" w:rsidRDefault="00615769" w:rsidP="002F6811">
            <w:pPr>
              <w:pStyle w:val="DefaultText"/>
              <w:keepNext/>
              <w:jc w:val="center"/>
              <w:rPr>
                <w:rFonts w:ascii="Times New Roman" w:hAnsi="Times New Roman"/>
                <w:b/>
                <w:bCs w:val="0"/>
                <w:szCs w:val="22"/>
                <w:lang w:val="pt-PT"/>
              </w:rPr>
            </w:pPr>
            <w:r w:rsidRPr="008912CF">
              <w:rPr>
                <w:rFonts w:ascii="Times New Roman" w:hAnsi="Times New Roman"/>
                <w:b/>
                <w:bCs w:val="0"/>
                <w:szCs w:val="22"/>
                <w:lang w:val="pt-PT"/>
              </w:rPr>
              <w:t>N=108</w:t>
            </w:r>
          </w:p>
          <w:p w14:paraId="68ACE32E" w14:textId="77777777" w:rsidR="002F6811" w:rsidRPr="008912CF" w:rsidRDefault="00615769" w:rsidP="002F6811">
            <w:pPr>
              <w:pStyle w:val="DefaultText"/>
              <w:keepNext/>
              <w:jc w:val="center"/>
              <w:rPr>
                <w:rFonts w:ascii="Times New Roman" w:hAnsi="Times New Roman"/>
                <w:b/>
                <w:bCs w:val="0"/>
                <w:szCs w:val="22"/>
                <w:lang w:val="pt-PT"/>
              </w:rPr>
            </w:pPr>
            <w:r w:rsidRPr="008912CF">
              <w:rPr>
                <w:rFonts w:ascii="Times New Roman" w:hAnsi="Times New Roman"/>
                <w:b/>
                <w:bCs w:val="0"/>
                <w:szCs w:val="22"/>
                <w:lang w:val="pt-PT"/>
              </w:rPr>
              <w:t>n (%)</w:t>
            </w:r>
          </w:p>
        </w:tc>
      </w:tr>
      <w:tr w:rsidR="00A7162A" w14:paraId="1D8CA233" w14:textId="77777777" w:rsidTr="002F6811">
        <w:trPr>
          <w:cantSplit/>
          <w:jc w:val="center"/>
        </w:trPr>
        <w:tc>
          <w:tcPr>
            <w:tcW w:w="1639" w:type="dxa"/>
          </w:tcPr>
          <w:p w14:paraId="139A2893" w14:textId="77777777" w:rsidR="002F6811" w:rsidRPr="008912CF" w:rsidRDefault="00615769" w:rsidP="002F6811">
            <w:pPr>
              <w:pStyle w:val="DefaultText"/>
              <w:keepNext/>
              <w:rPr>
                <w:rFonts w:ascii="Times New Roman" w:hAnsi="Times New Roman"/>
                <w:b/>
                <w:bCs w:val="0"/>
                <w:szCs w:val="22"/>
                <w:lang w:val="pt-PT"/>
              </w:rPr>
            </w:pPr>
            <w:r w:rsidRPr="00F60F83">
              <w:rPr>
                <w:rFonts w:ascii="Symbol" w:hAnsi="Symbol"/>
                <w:b/>
                <w:bCs w:val="0"/>
                <w:szCs w:val="22"/>
                <w:lang w:val="pt-PT"/>
              </w:rPr>
              <w:sym w:font="Symbol" w:char="F020"/>
            </w:r>
            <w:r w:rsidRPr="00F60F83">
              <w:rPr>
                <w:rFonts w:ascii="Symbol" w:hAnsi="Symbol"/>
                <w:b/>
                <w:bCs w:val="0"/>
                <w:szCs w:val="22"/>
                <w:lang w:val="pt-PT"/>
              </w:rPr>
              <w:sym w:font="Symbol" w:char="F020"/>
            </w:r>
            <w:r w:rsidRPr="00F60F83">
              <w:rPr>
                <w:rFonts w:ascii="Symbol" w:hAnsi="Symbol"/>
                <w:b/>
                <w:bCs w:val="0"/>
                <w:szCs w:val="22"/>
                <w:lang w:val="pt-PT"/>
              </w:rPr>
              <w:sym w:font="Symbol" w:char="F020"/>
            </w:r>
            <w:r w:rsidRPr="00F60F83">
              <w:rPr>
                <w:rFonts w:ascii="Symbol" w:hAnsi="Symbol"/>
                <w:b/>
                <w:bCs w:val="0"/>
                <w:szCs w:val="22"/>
                <w:lang w:val="pt-PT"/>
              </w:rPr>
              <w:sym w:font="Symbol" w:char="F020"/>
            </w:r>
            <w:r w:rsidRPr="008912CF">
              <w:rPr>
                <w:rFonts w:ascii="Symbol" w:hAnsi="Symbol"/>
                <w:b/>
                <w:bCs w:val="0"/>
                <w:szCs w:val="22"/>
                <w:lang w:val="pt-PT"/>
              </w:rPr>
              <w:sym w:font="Symbol" w:char="F0B3"/>
            </w:r>
            <w:r w:rsidR="00601734">
              <w:rPr>
                <w:rFonts w:ascii="Symbol" w:hAnsi="Symbol"/>
                <w:b/>
                <w:bCs w:val="0"/>
                <w:szCs w:val="22"/>
                <w:lang w:val="pt-PT"/>
              </w:rPr>
              <w:sym w:font="Symbol" w:char="F020"/>
            </w:r>
            <w:r w:rsidRPr="008912CF">
              <w:rPr>
                <w:rFonts w:ascii="Times New Roman" w:hAnsi="Times New Roman"/>
                <w:b/>
                <w:bCs w:val="0"/>
                <w:szCs w:val="22"/>
                <w:lang w:val="pt-PT"/>
              </w:rPr>
              <w:t>PASI 75</w:t>
            </w:r>
          </w:p>
        </w:tc>
        <w:tc>
          <w:tcPr>
            <w:tcW w:w="1668" w:type="dxa"/>
          </w:tcPr>
          <w:p w14:paraId="1C1342F5" w14:textId="77777777" w:rsidR="002F6811" w:rsidRPr="008912CF" w:rsidRDefault="00615769" w:rsidP="002F6811">
            <w:pPr>
              <w:pStyle w:val="DefaultText"/>
              <w:keepNext/>
              <w:jc w:val="center"/>
              <w:rPr>
                <w:rFonts w:ascii="Times New Roman" w:hAnsi="Times New Roman"/>
                <w:szCs w:val="22"/>
                <w:lang w:val="pt-PT"/>
              </w:rPr>
            </w:pPr>
            <w:r w:rsidRPr="008912CF">
              <w:rPr>
                <w:rFonts w:ascii="Times New Roman" w:hAnsi="Times New Roman"/>
                <w:szCs w:val="22"/>
                <w:lang w:val="pt-PT"/>
              </w:rPr>
              <w:t>10 (18,9)</w:t>
            </w:r>
          </w:p>
        </w:tc>
        <w:tc>
          <w:tcPr>
            <w:tcW w:w="1347" w:type="dxa"/>
          </w:tcPr>
          <w:p w14:paraId="29FC6348" w14:textId="77777777" w:rsidR="002F6811" w:rsidRPr="008912CF" w:rsidRDefault="00615769" w:rsidP="002F6811">
            <w:pPr>
              <w:pStyle w:val="DefaultText"/>
              <w:keepNext/>
              <w:jc w:val="center"/>
              <w:rPr>
                <w:rFonts w:ascii="Times New Roman" w:hAnsi="Times New Roman"/>
                <w:szCs w:val="22"/>
                <w:lang w:val="pt-PT"/>
              </w:rPr>
            </w:pPr>
            <w:r w:rsidRPr="008912CF">
              <w:rPr>
                <w:rFonts w:ascii="Times New Roman" w:hAnsi="Times New Roman"/>
                <w:szCs w:val="22"/>
                <w:lang w:val="pt-PT"/>
              </w:rPr>
              <w:t>39 (35,5)</w:t>
            </w:r>
          </w:p>
        </w:tc>
        <w:tc>
          <w:tcPr>
            <w:tcW w:w="2392" w:type="dxa"/>
          </w:tcPr>
          <w:p w14:paraId="5279966D" w14:textId="77777777" w:rsidR="002F6811" w:rsidRPr="008912CF" w:rsidRDefault="00615769" w:rsidP="002F6811">
            <w:pPr>
              <w:pStyle w:val="DefaultText"/>
              <w:keepNext/>
              <w:jc w:val="center"/>
              <w:rPr>
                <w:rFonts w:ascii="Times New Roman" w:hAnsi="Times New Roman"/>
                <w:szCs w:val="22"/>
                <w:lang w:val="pt-PT"/>
              </w:rPr>
            </w:pPr>
            <w:r w:rsidRPr="008912CF">
              <w:rPr>
                <w:rFonts w:ascii="Times New Roman" w:hAnsi="Times New Roman"/>
                <w:szCs w:val="22"/>
                <w:lang w:val="pt-PT"/>
              </w:rPr>
              <w:t>86 (79,6)</w:t>
            </w:r>
            <w:r w:rsidRPr="008912CF">
              <w:rPr>
                <w:rFonts w:ascii="Times New Roman" w:hAnsi="Times New Roman"/>
                <w:szCs w:val="22"/>
                <w:vertAlign w:val="superscript"/>
                <w:lang w:val="pt-PT"/>
              </w:rPr>
              <w:t xml:space="preserve"> a, b</w:t>
            </w:r>
          </w:p>
        </w:tc>
      </w:tr>
      <w:tr w:rsidR="00A7162A" w14:paraId="6E2B91B9" w14:textId="77777777" w:rsidTr="002F6811">
        <w:trPr>
          <w:cantSplit/>
          <w:jc w:val="center"/>
        </w:trPr>
        <w:tc>
          <w:tcPr>
            <w:tcW w:w="1639" w:type="dxa"/>
          </w:tcPr>
          <w:p w14:paraId="373746C2" w14:textId="77777777" w:rsidR="002F6811" w:rsidRPr="008912CF" w:rsidRDefault="00615769" w:rsidP="002F6811">
            <w:pPr>
              <w:pStyle w:val="DefaultText"/>
              <w:keepNext/>
              <w:rPr>
                <w:rFonts w:ascii="Times New Roman" w:hAnsi="Times New Roman"/>
                <w:b/>
                <w:bCs w:val="0"/>
                <w:szCs w:val="22"/>
                <w:lang w:val="pt-PT"/>
              </w:rPr>
            </w:pPr>
            <w:r w:rsidRPr="00F60F83">
              <w:rPr>
                <w:rFonts w:ascii="Times New Roman" w:hAnsi="Times New Roman"/>
                <w:b/>
                <w:bCs w:val="0"/>
                <w:szCs w:val="22"/>
                <w:lang w:val="pt-PT"/>
              </w:rPr>
              <w:t xml:space="preserve">    </w:t>
            </w:r>
            <w:r w:rsidRPr="008912CF">
              <w:rPr>
                <w:rFonts w:ascii="Times New Roman" w:hAnsi="Times New Roman"/>
                <w:b/>
                <w:bCs w:val="0"/>
                <w:szCs w:val="22"/>
                <w:lang w:val="pt-PT"/>
              </w:rPr>
              <w:t>PASI 100</w:t>
            </w:r>
          </w:p>
        </w:tc>
        <w:tc>
          <w:tcPr>
            <w:tcW w:w="1668" w:type="dxa"/>
          </w:tcPr>
          <w:p w14:paraId="5EA25E36" w14:textId="77777777" w:rsidR="002F6811" w:rsidRPr="008912CF" w:rsidRDefault="00615769" w:rsidP="002F6811">
            <w:pPr>
              <w:pStyle w:val="DefaultText"/>
              <w:keepNext/>
              <w:jc w:val="center"/>
              <w:rPr>
                <w:rFonts w:ascii="Times New Roman" w:hAnsi="Times New Roman"/>
                <w:szCs w:val="22"/>
                <w:lang w:val="pt-PT"/>
              </w:rPr>
            </w:pPr>
            <w:r w:rsidRPr="008912CF">
              <w:rPr>
                <w:rFonts w:ascii="Times New Roman" w:hAnsi="Times New Roman"/>
                <w:szCs w:val="22"/>
                <w:lang w:val="pt-PT"/>
              </w:rPr>
              <w:t>1 (1,9)</w:t>
            </w:r>
          </w:p>
        </w:tc>
        <w:tc>
          <w:tcPr>
            <w:tcW w:w="1347" w:type="dxa"/>
          </w:tcPr>
          <w:p w14:paraId="16052060" w14:textId="77777777" w:rsidR="002F6811" w:rsidRPr="008912CF" w:rsidRDefault="00615769" w:rsidP="002F6811">
            <w:pPr>
              <w:pStyle w:val="DefaultText"/>
              <w:keepNext/>
              <w:jc w:val="center"/>
              <w:rPr>
                <w:rFonts w:ascii="Times New Roman" w:hAnsi="Times New Roman"/>
                <w:szCs w:val="22"/>
                <w:lang w:val="pt-PT"/>
              </w:rPr>
            </w:pPr>
            <w:r w:rsidRPr="008912CF">
              <w:rPr>
                <w:rFonts w:ascii="Times New Roman" w:hAnsi="Times New Roman"/>
                <w:szCs w:val="22"/>
                <w:lang w:val="pt-PT"/>
              </w:rPr>
              <w:t>8 (7,3)</w:t>
            </w:r>
          </w:p>
        </w:tc>
        <w:tc>
          <w:tcPr>
            <w:tcW w:w="2392" w:type="dxa"/>
          </w:tcPr>
          <w:p w14:paraId="5DB7C5C9" w14:textId="77777777" w:rsidR="002F6811" w:rsidRPr="008912CF" w:rsidRDefault="00615769" w:rsidP="002F6811">
            <w:pPr>
              <w:pStyle w:val="DefaultText"/>
              <w:keepNext/>
              <w:jc w:val="center"/>
              <w:rPr>
                <w:rFonts w:ascii="Times New Roman" w:hAnsi="Times New Roman"/>
                <w:szCs w:val="22"/>
                <w:lang w:val="pt-PT"/>
              </w:rPr>
            </w:pPr>
            <w:r w:rsidRPr="008912CF">
              <w:rPr>
                <w:rFonts w:ascii="Times New Roman" w:hAnsi="Times New Roman"/>
                <w:szCs w:val="22"/>
                <w:lang w:val="pt-PT"/>
              </w:rPr>
              <w:t>18 (16,7)</w:t>
            </w:r>
            <w:r w:rsidRPr="008912CF">
              <w:rPr>
                <w:rFonts w:ascii="Times New Roman" w:hAnsi="Times New Roman"/>
                <w:szCs w:val="22"/>
                <w:vertAlign w:val="superscript"/>
                <w:lang w:val="pt-PT"/>
              </w:rPr>
              <w:t xml:space="preserve"> c, d</w:t>
            </w:r>
          </w:p>
        </w:tc>
      </w:tr>
      <w:tr w:rsidR="00A7162A" w14:paraId="19ADE70F" w14:textId="77777777" w:rsidTr="002F6811">
        <w:trPr>
          <w:cantSplit/>
          <w:jc w:val="center"/>
        </w:trPr>
        <w:tc>
          <w:tcPr>
            <w:tcW w:w="1639" w:type="dxa"/>
          </w:tcPr>
          <w:p w14:paraId="18826104" w14:textId="77777777" w:rsidR="002F6811" w:rsidRPr="008912CF" w:rsidRDefault="00615769" w:rsidP="002F6811">
            <w:pPr>
              <w:pStyle w:val="DefaultText"/>
              <w:keepNext/>
              <w:rPr>
                <w:rFonts w:ascii="Times New Roman" w:hAnsi="Times New Roman"/>
                <w:b/>
                <w:bCs w:val="0"/>
                <w:szCs w:val="22"/>
                <w:lang w:val="pt-PT"/>
              </w:rPr>
            </w:pPr>
            <w:r w:rsidRPr="00F60F83">
              <w:rPr>
                <w:rFonts w:ascii="Times New Roman" w:hAnsi="Times New Roman"/>
                <w:b/>
                <w:bCs w:val="0"/>
                <w:szCs w:val="22"/>
                <w:lang w:val="pt-PT"/>
              </w:rPr>
              <w:t xml:space="preserve">    </w:t>
            </w:r>
            <w:r w:rsidRPr="008912CF">
              <w:rPr>
                <w:rFonts w:ascii="Times New Roman" w:hAnsi="Times New Roman"/>
                <w:b/>
                <w:bCs w:val="0"/>
                <w:szCs w:val="22"/>
                <w:lang w:val="pt-PT"/>
              </w:rPr>
              <w:t>PGA: Limp</w:t>
            </w:r>
            <w:r w:rsidR="005049F7">
              <w:rPr>
                <w:rFonts w:ascii="Times New Roman" w:hAnsi="Times New Roman"/>
                <w:b/>
                <w:bCs w:val="0"/>
                <w:szCs w:val="22"/>
                <w:lang w:val="pt-PT"/>
              </w:rPr>
              <w:t>a</w:t>
            </w:r>
            <w:r w:rsidRPr="008912CF">
              <w:rPr>
                <w:rFonts w:ascii="Times New Roman" w:hAnsi="Times New Roman"/>
                <w:b/>
                <w:bCs w:val="0"/>
                <w:szCs w:val="22"/>
                <w:lang w:val="pt-PT"/>
              </w:rPr>
              <w:t>/</w:t>
            </w:r>
            <w:r w:rsidR="00E57BBD">
              <w:rPr>
                <w:rFonts w:ascii="Times New Roman" w:hAnsi="Times New Roman"/>
                <w:b/>
                <w:bCs w:val="0"/>
                <w:szCs w:val="22"/>
                <w:lang w:val="pt-PT"/>
              </w:rPr>
              <w:t>quase limpa</w:t>
            </w:r>
          </w:p>
        </w:tc>
        <w:tc>
          <w:tcPr>
            <w:tcW w:w="1668" w:type="dxa"/>
          </w:tcPr>
          <w:p w14:paraId="5CD0A534" w14:textId="77777777" w:rsidR="002F6811" w:rsidRPr="008912CF" w:rsidRDefault="00615769" w:rsidP="002F6811">
            <w:pPr>
              <w:pStyle w:val="DefaultText"/>
              <w:keepNext/>
              <w:jc w:val="center"/>
              <w:rPr>
                <w:rFonts w:ascii="Times New Roman" w:hAnsi="Times New Roman"/>
                <w:szCs w:val="22"/>
                <w:lang w:val="pt-PT"/>
              </w:rPr>
            </w:pPr>
            <w:r w:rsidRPr="008912CF">
              <w:rPr>
                <w:rFonts w:ascii="Times New Roman" w:hAnsi="Times New Roman"/>
                <w:szCs w:val="22"/>
                <w:lang w:val="pt-PT"/>
              </w:rPr>
              <w:t>6 (11,3)</w:t>
            </w:r>
          </w:p>
        </w:tc>
        <w:tc>
          <w:tcPr>
            <w:tcW w:w="1347" w:type="dxa"/>
          </w:tcPr>
          <w:p w14:paraId="4B5E920F" w14:textId="77777777" w:rsidR="002F6811" w:rsidRPr="008912CF" w:rsidRDefault="00615769" w:rsidP="002F6811">
            <w:pPr>
              <w:pStyle w:val="DefaultText"/>
              <w:keepNext/>
              <w:jc w:val="center"/>
              <w:rPr>
                <w:rFonts w:ascii="Times New Roman" w:hAnsi="Times New Roman"/>
                <w:szCs w:val="22"/>
                <w:lang w:val="pt-PT"/>
              </w:rPr>
            </w:pPr>
            <w:r w:rsidRPr="008912CF">
              <w:rPr>
                <w:rFonts w:ascii="Times New Roman" w:hAnsi="Times New Roman"/>
                <w:szCs w:val="22"/>
                <w:lang w:val="pt-PT"/>
              </w:rPr>
              <w:t>33 (30,0)</w:t>
            </w:r>
          </w:p>
        </w:tc>
        <w:tc>
          <w:tcPr>
            <w:tcW w:w="2392" w:type="dxa"/>
          </w:tcPr>
          <w:p w14:paraId="06161EF2" w14:textId="77777777" w:rsidR="002F6811" w:rsidRPr="008912CF" w:rsidRDefault="00615769" w:rsidP="002F6811">
            <w:pPr>
              <w:pStyle w:val="DefaultText"/>
              <w:keepNext/>
              <w:jc w:val="center"/>
              <w:rPr>
                <w:rFonts w:ascii="Times New Roman" w:hAnsi="Times New Roman"/>
                <w:szCs w:val="22"/>
                <w:lang w:val="pt-PT"/>
              </w:rPr>
            </w:pPr>
            <w:r w:rsidRPr="008912CF">
              <w:rPr>
                <w:rFonts w:ascii="Times New Roman" w:hAnsi="Times New Roman"/>
                <w:szCs w:val="22"/>
                <w:lang w:val="pt-PT"/>
              </w:rPr>
              <w:t>79 (73,1)</w:t>
            </w:r>
            <w:r w:rsidRPr="008912CF">
              <w:rPr>
                <w:rFonts w:ascii="Times New Roman" w:hAnsi="Times New Roman"/>
                <w:szCs w:val="22"/>
                <w:vertAlign w:val="superscript"/>
                <w:lang w:val="pt-PT"/>
              </w:rPr>
              <w:t xml:space="preserve"> a, b</w:t>
            </w:r>
          </w:p>
        </w:tc>
      </w:tr>
      <w:tr w:rsidR="00A7162A" w14:paraId="2B671184" w14:textId="77777777" w:rsidTr="002F6811">
        <w:trPr>
          <w:cantSplit/>
          <w:jc w:val="center"/>
        </w:trPr>
        <w:tc>
          <w:tcPr>
            <w:tcW w:w="7046" w:type="dxa"/>
            <w:gridSpan w:val="4"/>
          </w:tcPr>
          <w:p w14:paraId="3F85E651" w14:textId="77777777" w:rsidR="002F6811" w:rsidRPr="008912CF" w:rsidRDefault="00615769" w:rsidP="002F6811">
            <w:pPr>
              <w:pStyle w:val="DefaultText"/>
              <w:keepNext/>
              <w:rPr>
                <w:rFonts w:ascii="Times New Roman" w:hAnsi="Times New Roman"/>
                <w:szCs w:val="22"/>
                <w:lang w:val="pt-PT"/>
              </w:rPr>
            </w:pPr>
            <w:r w:rsidRPr="008912CF">
              <w:rPr>
                <w:rFonts w:ascii="Times New Roman" w:hAnsi="Times New Roman"/>
                <w:szCs w:val="22"/>
                <w:vertAlign w:val="superscript"/>
                <w:lang w:val="pt-PT"/>
              </w:rPr>
              <w:t>a</w:t>
            </w:r>
            <w:r w:rsidRPr="008912CF">
              <w:rPr>
                <w:rFonts w:ascii="Times New Roman" w:hAnsi="Times New Roman"/>
                <w:szCs w:val="22"/>
                <w:lang w:val="pt-PT"/>
              </w:rPr>
              <w:t xml:space="preserve"> p&lt;0,001 Humira vs. placebo</w:t>
            </w:r>
          </w:p>
          <w:p w14:paraId="0EE1904A" w14:textId="77777777" w:rsidR="002F6811" w:rsidRPr="008912CF" w:rsidRDefault="00615769" w:rsidP="002F6811">
            <w:pPr>
              <w:pStyle w:val="DefaultText"/>
              <w:keepNext/>
              <w:rPr>
                <w:rFonts w:ascii="Times New Roman" w:hAnsi="Times New Roman"/>
                <w:szCs w:val="22"/>
                <w:lang w:val="pt-PT"/>
              </w:rPr>
            </w:pPr>
            <w:r w:rsidRPr="008912CF">
              <w:rPr>
                <w:rFonts w:ascii="Times New Roman" w:hAnsi="Times New Roman"/>
                <w:szCs w:val="22"/>
                <w:vertAlign w:val="superscript"/>
                <w:lang w:val="pt-PT"/>
              </w:rPr>
              <w:t>b</w:t>
            </w:r>
            <w:r w:rsidRPr="008912CF">
              <w:rPr>
                <w:rFonts w:ascii="Times New Roman" w:hAnsi="Times New Roman"/>
                <w:szCs w:val="22"/>
                <w:lang w:val="pt-PT"/>
              </w:rPr>
              <w:t xml:space="preserve"> p&lt;0,001 Humira vs. metotrexato</w:t>
            </w:r>
          </w:p>
          <w:p w14:paraId="7E6918B5" w14:textId="77777777" w:rsidR="002F6811" w:rsidRPr="008912CF" w:rsidRDefault="00615769" w:rsidP="002F6811">
            <w:pPr>
              <w:pStyle w:val="DefaultText"/>
              <w:keepNext/>
              <w:rPr>
                <w:rFonts w:ascii="Times New Roman" w:hAnsi="Times New Roman"/>
                <w:szCs w:val="22"/>
                <w:lang w:val="pt-PT"/>
              </w:rPr>
            </w:pPr>
            <w:r w:rsidRPr="008912CF">
              <w:rPr>
                <w:rFonts w:ascii="Times New Roman" w:hAnsi="Times New Roman"/>
                <w:szCs w:val="22"/>
                <w:vertAlign w:val="superscript"/>
                <w:lang w:val="pt-PT"/>
              </w:rPr>
              <w:t>c</w:t>
            </w:r>
            <w:r w:rsidRPr="008912CF">
              <w:rPr>
                <w:rFonts w:ascii="Times New Roman" w:hAnsi="Times New Roman"/>
                <w:szCs w:val="22"/>
                <w:lang w:val="pt-PT"/>
              </w:rPr>
              <w:t xml:space="preserve"> p&lt;0,01 Humira vs. placebo</w:t>
            </w:r>
          </w:p>
          <w:p w14:paraId="20E5CFF1" w14:textId="77777777" w:rsidR="002F6811" w:rsidRPr="008912CF" w:rsidRDefault="00615769" w:rsidP="002F6811">
            <w:pPr>
              <w:pStyle w:val="DefaultText"/>
              <w:keepNext/>
              <w:rPr>
                <w:rFonts w:ascii="Times New Roman" w:hAnsi="Times New Roman"/>
                <w:szCs w:val="22"/>
                <w:lang w:val="pt-PT"/>
              </w:rPr>
            </w:pPr>
            <w:r w:rsidRPr="008912CF">
              <w:rPr>
                <w:rFonts w:ascii="Times New Roman" w:hAnsi="Times New Roman"/>
                <w:szCs w:val="22"/>
                <w:vertAlign w:val="superscript"/>
                <w:lang w:val="pt-PT"/>
              </w:rPr>
              <w:t>d</w:t>
            </w:r>
            <w:r w:rsidRPr="008912CF">
              <w:rPr>
                <w:rFonts w:ascii="Times New Roman" w:hAnsi="Times New Roman"/>
                <w:szCs w:val="22"/>
                <w:lang w:val="pt-PT"/>
              </w:rPr>
              <w:t xml:space="preserve"> p&lt;0,05 Humira vs. Metotrexato</w:t>
            </w:r>
          </w:p>
        </w:tc>
      </w:tr>
    </w:tbl>
    <w:p w14:paraId="2C17BAF0" w14:textId="77777777" w:rsidR="002F6811" w:rsidRPr="008912CF" w:rsidRDefault="002F6811" w:rsidP="002F6811">
      <w:pPr>
        <w:rPr>
          <w:b/>
          <w:bCs/>
          <w:sz w:val="22"/>
          <w:szCs w:val="22"/>
        </w:rPr>
      </w:pPr>
    </w:p>
    <w:p w14:paraId="256B55B1" w14:textId="77777777" w:rsidR="002F6811" w:rsidRPr="008912CF" w:rsidRDefault="00615769" w:rsidP="002F6811">
      <w:pPr>
        <w:rPr>
          <w:sz w:val="22"/>
          <w:szCs w:val="22"/>
        </w:rPr>
      </w:pPr>
      <w:r w:rsidRPr="008912CF">
        <w:rPr>
          <w:sz w:val="22"/>
          <w:szCs w:val="22"/>
        </w:rPr>
        <w:t xml:space="preserve">No Estudo I na </w:t>
      </w:r>
      <w:r w:rsidRPr="008912CF">
        <w:rPr>
          <w:iCs/>
          <w:sz w:val="22"/>
          <w:szCs w:val="22"/>
        </w:rPr>
        <w:t>Psoríase</w:t>
      </w:r>
      <w:r w:rsidRPr="008912CF">
        <w:rPr>
          <w:sz w:val="22"/>
          <w:szCs w:val="22"/>
        </w:rPr>
        <w:t>, 28</w:t>
      </w:r>
      <w:r w:rsidR="009343EF">
        <w:rPr>
          <w:sz w:val="22"/>
          <w:szCs w:val="22"/>
        </w:rPr>
        <w:t>%</w:t>
      </w:r>
      <w:r w:rsidRPr="008912CF">
        <w:rPr>
          <w:sz w:val="22"/>
          <w:szCs w:val="22"/>
        </w:rPr>
        <w:t xml:space="preserve"> dos doentes que tiveram resposta PASI 75 e que foram de novo </w:t>
      </w:r>
      <w:r w:rsidR="0013275C">
        <w:rPr>
          <w:sz w:val="22"/>
          <w:szCs w:val="22"/>
        </w:rPr>
        <w:t>aleatorizado</w:t>
      </w:r>
      <w:r w:rsidRPr="008912CF">
        <w:rPr>
          <w:sz w:val="22"/>
          <w:szCs w:val="22"/>
        </w:rPr>
        <w:t xml:space="preserve">s </w:t>
      </w:r>
      <w:r w:rsidR="00547396">
        <w:rPr>
          <w:sz w:val="22"/>
          <w:szCs w:val="22"/>
        </w:rPr>
        <w:t>para</w:t>
      </w:r>
      <w:r w:rsidR="00547396" w:rsidRPr="008912CF">
        <w:rPr>
          <w:sz w:val="22"/>
          <w:szCs w:val="22"/>
        </w:rPr>
        <w:t xml:space="preserve"> </w:t>
      </w:r>
      <w:r w:rsidRPr="008912CF">
        <w:rPr>
          <w:sz w:val="22"/>
          <w:szCs w:val="22"/>
        </w:rPr>
        <w:t>placebo à Semana 33, comparativamente a 5</w:t>
      </w:r>
      <w:r w:rsidR="009343EF">
        <w:rPr>
          <w:sz w:val="22"/>
          <w:szCs w:val="22"/>
        </w:rPr>
        <w:t>%</w:t>
      </w:r>
      <w:r w:rsidRPr="008912CF">
        <w:rPr>
          <w:sz w:val="22"/>
          <w:szCs w:val="22"/>
        </w:rPr>
        <w:t xml:space="preserve"> dos que continuaram Humira, p &lt; 0,001, atingiram “perda de resposta adequada”</w:t>
      </w:r>
      <w:r w:rsidRPr="008912CF">
        <w:rPr>
          <w:iCs/>
          <w:sz w:val="22"/>
          <w:szCs w:val="22"/>
        </w:rPr>
        <w:t xml:space="preserve"> (pontuação PASI após a Semana 33 e ou antes da Semana 52 que resultou numa resposta &lt; PASI 50 em relação à avaliação basal, com um mínimo de 6-pontos de aumento na pontuação PASI em relação à </w:t>
      </w:r>
      <w:r w:rsidR="00601734">
        <w:rPr>
          <w:iCs/>
          <w:sz w:val="22"/>
          <w:szCs w:val="22"/>
        </w:rPr>
        <w:t>S</w:t>
      </w:r>
      <w:r w:rsidRPr="008912CF">
        <w:rPr>
          <w:iCs/>
          <w:sz w:val="22"/>
          <w:szCs w:val="22"/>
        </w:rPr>
        <w:t>emana 33)</w:t>
      </w:r>
      <w:r w:rsidRPr="008912CF">
        <w:rPr>
          <w:sz w:val="22"/>
          <w:szCs w:val="22"/>
        </w:rPr>
        <w:t xml:space="preserve">. Dos doentes que não tiveram uma resposta adequada após a nova </w:t>
      </w:r>
      <w:r w:rsidR="00547396">
        <w:rPr>
          <w:sz w:val="22"/>
          <w:szCs w:val="22"/>
        </w:rPr>
        <w:t>aleato</w:t>
      </w:r>
      <w:r w:rsidRPr="008912CF">
        <w:rPr>
          <w:sz w:val="22"/>
          <w:szCs w:val="22"/>
        </w:rPr>
        <w:t xml:space="preserve">rização </w:t>
      </w:r>
      <w:r w:rsidR="00547396">
        <w:rPr>
          <w:sz w:val="22"/>
          <w:szCs w:val="22"/>
        </w:rPr>
        <w:t>para</w:t>
      </w:r>
      <w:r w:rsidR="00547396" w:rsidRPr="008912CF">
        <w:rPr>
          <w:sz w:val="22"/>
          <w:szCs w:val="22"/>
        </w:rPr>
        <w:t xml:space="preserve"> </w:t>
      </w:r>
      <w:r w:rsidRPr="008912CF">
        <w:rPr>
          <w:sz w:val="22"/>
          <w:szCs w:val="22"/>
        </w:rPr>
        <w:t xml:space="preserve">placebo e que depois foram </w:t>
      </w:r>
      <w:r w:rsidR="00547396">
        <w:rPr>
          <w:sz w:val="22"/>
          <w:szCs w:val="22"/>
        </w:rPr>
        <w:t>integrados</w:t>
      </w:r>
      <w:r w:rsidR="00547396" w:rsidRPr="008912CF">
        <w:rPr>
          <w:sz w:val="22"/>
          <w:szCs w:val="22"/>
        </w:rPr>
        <w:t xml:space="preserve"> </w:t>
      </w:r>
      <w:r w:rsidRPr="008912CF">
        <w:rPr>
          <w:sz w:val="22"/>
          <w:szCs w:val="22"/>
        </w:rPr>
        <w:t>em ensaios de extensão de fase aberta, 38</w:t>
      </w:r>
      <w:r w:rsidR="009343EF">
        <w:rPr>
          <w:sz w:val="22"/>
          <w:szCs w:val="22"/>
        </w:rPr>
        <w:t>%</w:t>
      </w:r>
      <w:r w:rsidRPr="008912CF">
        <w:rPr>
          <w:sz w:val="22"/>
          <w:szCs w:val="22"/>
        </w:rPr>
        <w:t xml:space="preserve"> (25/66) e 55</w:t>
      </w:r>
      <w:r w:rsidR="009343EF">
        <w:rPr>
          <w:sz w:val="22"/>
          <w:szCs w:val="22"/>
        </w:rPr>
        <w:t>%</w:t>
      </w:r>
      <w:r w:rsidRPr="008912CF">
        <w:rPr>
          <w:sz w:val="22"/>
          <w:szCs w:val="22"/>
        </w:rPr>
        <w:t xml:space="preserve"> (36/66) recuperaram resposta PASI 75 após 12 e 24 sem</w:t>
      </w:r>
      <w:r w:rsidRPr="008912CF">
        <w:rPr>
          <w:sz w:val="22"/>
          <w:szCs w:val="22"/>
        </w:rPr>
        <w:t>anas do novo tratamento, respetivamente.</w:t>
      </w:r>
    </w:p>
    <w:p w14:paraId="21C32C3D" w14:textId="77777777" w:rsidR="002F6811" w:rsidRPr="008912CF" w:rsidRDefault="002F6811" w:rsidP="002F6811">
      <w:pPr>
        <w:rPr>
          <w:sz w:val="22"/>
          <w:szCs w:val="22"/>
        </w:rPr>
      </w:pPr>
    </w:p>
    <w:p w14:paraId="5784D7D5" w14:textId="77777777" w:rsidR="002F6811" w:rsidRPr="008912CF" w:rsidRDefault="00615769" w:rsidP="002F6811">
      <w:pPr>
        <w:rPr>
          <w:sz w:val="22"/>
          <w:szCs w:val="22"/>
        </w:rPr>
      </w:pPr>
      <w:r w:rsidRPr="008912CF">
        <w:rPr>
          <w:sz w:val="22"/>
          <w:szCs w:val="22"/>
        </w:rPr>
        <w:t xml:space="preserve">Um total de 233 doentes que tiveram uma resposta PASI 75 à </w:t>
      </w:r>
      <w:r>
        <w:rPr>
          <w:sz w:val="22"/>
          <w:szCs w:val="22"/>
        </w:rPr>
        <w:t>S</w:t>
      </w:r>
      <w:r w:rsidRPr="008912CF">
        <w:rPr>
          <w:sz w:val="22"/>
          <w:szCs w:val="22"/>
        </w:rPr>
        <w:t>emana</w:t>
      </w:r>
      <w:r>
        <w:rPr>
          <w:sz w:val="22"/>
          <w:szCs w:val="22"/>
        </w:rPr>
        <w:t> </w:t>
      </w:r>
      <w:r w:rsidRPr="008912CF">
        <w:rPr>
          <w:sz w:val="22"/>
          <w:szCs w:val="22"/>
        </w:rPr>
        <w:t xml:space="preserve">16 e à </w:t>
      </w:r>
      <w:r>
        <w:rPr>
          <w:sz w:val="22"/>
          <w:szCs w:val="22"/>
        </w:rPr>
        <w:t>S</w:t>
      </w:r>
      <w:r w:rsidRPr="008912CF">
        <w:rPr>
          <w:sz w:val="22"/>
          <w:szCs w:val="22"/>
        </w:rPr>
        <w:t>emana</w:t>
      </w:r>
      <w:r>
        <w:rPr>
          <w:sz w:val="22"/>
          <w:szCs w:val="22"/>
        </w:rPr>
        <w:t> </w:t>
      </w:r>
      <w:r w:rsidRPr="008912CF">
        <w:rPr>
          <w:sz w:val="22"/>
          <w:szCs w:val="22"/>
        </w:rPr>
        <w:t>33 receberam tratamento contínuo com Humira no Estudo I na Psoríase, durante 52</w:t>
      </w:r>
      <w:r>
        <w:rPr>
          <w:sz w:val="22"/>
          <w:szCs w:val="22"/>
        </w:rPr>
        <w:t> </w:t>
      </w:r>
      <w:r w:rsidRPr="008912CF">
        <w:rPr>
          <w:sz w:val="22"/>
          <w:szCs w:val="22"/>
        </w:rPr>
        <w:t>semanas, e continuaram com Humira no ensaio de extensão de fase aberta. A taxa de resposta PASI 75 e PGA “limp</w:t>
      </w:r>
      <w:r w:rsidR="00E57BBD">
        <w:rPr>
          <w:sz w:val="22"/>
          <w:szCs w:val="22"/>
        </w:rPr>
        <w:t>a</w:t>
      </w:r>
      <w:r w:rsidRPr="008912CF">
        <w:rPr>
          <w:sz w:val="22"/>
          <w:szCs w:val="22"/>
        </w:rPr>
        <w:t>” ou “</w:t>
      </w:r>
      <w:r w:rsidR="00E57BBD">
        <w:rPr>
          <w:sz w:val="22"/>
          <w:szCs w:val="22"/>
        </w:rPr>
        <w:t>quase limpa</w:t>
      </w:r>
      <w:r w:rsidRPr="008912CF">
        <w:rPr>
          <w:sz w:val="22"/>
          <w:szCs w:val="22"/>
        </w:rPr>
        <w:t>” nestes doentes foi de 74,7</w:t>
      </w:r>
      <w:r w:rsidR="009343EF">
        <w:rPr>
          <w:sz w:val="22"/>
          <w:szCs w:val="22"/>
        </w:rPr>
        <w:t>%</w:t>
      </w:r>
      <w:r w:rsidRPr="008912CF">
        <w:rPr>
          <w:sz w:val="22"/>
          <w:szCs w:val="22"/>
        </w:rPr>
        <w:t xml:space="preserve"> e 59,0</w:t>
      </w:r>
      <w:r w:rsidR="009343EF">
        <w:rPr>
          <w:sz w:val="22"/>
          <w:szCs w:val="22"/>
        </w:rPr>
        <w:t>%</w:t>
      </w:r>
      <w:r w:rsidRPr="008912CF">
        <w:rPr>
          <w:sz w:val="22"/>
          <w:szCs w:val="22"/>
        </w:rPr>
        <w:t xml:space="preserve"> respetivamente, após um tratamento adicional de 108 semanas em fase aberta (total de 160 semanas). Numa análise em que todos os doentes que abandonaram o estudo, devido a acontecimentos adversos ou por falta de eficácia, ou </w:t>
      </w:r>
      <w:r w:rsidR="00547396">
        <w:rPr>
          <w:sz w:val="22"/>
          <w:szCs w:val="22"/>
        </w:rPr>
        <w:t>que tiveram</w:t>
      </w:r>
      <w:r w:rsidR="00547396" w:rsidRPr="008912CF">
        <w:rPr>
          <w:sz w:val="22"/>
          <w:szCs w:val="22"/>
        </w:rPr>
        <w:t xml:space="preserve"> </w:t>
      </w:r>
      <w:r w:rsidRPr="008912CF">
        <w:rPr>
          <w:sz w:val="22"/>
          <w:szCs w:val="22"/>
        </w:rPr>
        <w:t>escalonam</w:t>
      </w:r>
      <w:r w:rsidRPr="008912CF">
        <w:rPr>
          <w:sz w:val="22"/>
          <w:szCs w:val="22"/>
        </w:rPr>
        <w:t>ento de dose, foram considerados não-respondedores, as taxas de resposta PASI 75 e PGA “limp</w:t>
      </w:r>
      <w:r w:rsidR="00547396">
        <w:rPr>
          <w:sz w:val="22"/>
          <w:szCs w:val="22"/>
        </w:rPr>
        <w:t>a</w:t>
      </w:r>
      <w:r w:rsidRPr="008912CF">
        <w:rPr>
          <w:sz w:val="22"/>
          <w:szCs w:val="22"/>
        </w:rPr>
        <w:t>” ou “</w:t>
      </w:r>
      <w:r w:rsidR="00E57BBD">
        <w:rPr>
          <w:sz w:val="22"/>
          <w:szCs w:val="22"/>
        </w:rPr>
        <w:t>quase limpa</w:t>
      </w:r>
      <w:r w:rsidRPr="008912CF">
        <w:rPr>
          <w:sz w:val="22"/>
          <w:szCs w:val="22"/>
        </w:rPr>
        <w:t>” nestes doentes foram de 69,6% e 55,7% respetivamente, após um tratamento adicional de 108 semanas em fase aberta (total de 160 semanas).</w:t>
      </w:r>
    </w:p>
    <w:p w14:paraId="1E58DEA6" w14:textId="77777777" w:rsidR="002F6811" w:rsidRPr="008912CF" w:rsidRDefault="002F6811" w:rsidP="002F6811">
      <w:pPr>
        <w:rPr>
          <w:sz w:val="22"/>
          <w:szCs w:val="22"/>
        </w:rPr>
      </w:pPr>
    </w:p>
    <w:p w14:paraId="526238BB" w14:textId="77777777" w:rsidR="002F6811" w:rsidRPr="008912CF" w:rsidRDefault="00615769" w:rsidP="002F6811">
      <w:pPr>
        <w:rPr>
          <w:sz w:val="22"/>
          <w:szCs w:val="22"/>
        </w:rPr>
      </w:pPr>
      <w:r w:rsidRPr="008912CF">
        <w:rPr>
          <w:sz w:val="22"/>
          <w:szCs w:val="22"/>
        </w:rPr>
        <w:t xml:space="preserve">Um total de 347 doentes respondedores estáveis participaram numa avaliação da suspensão do tratamento e novo tratamento, no estudo de extensão de fase aberta. Durante o período de suspensão, os sintomas da psoríase reaparecem, com um tempo </w:t>
      </w:r>
      <w:r w:rsidR="00547396">
        <w:rPr>
          <w:sz w:val="22"/>
          <w:szCs w:val="22"/>
        </w:rPr>
        <w:t>mediano</w:t>
      </w:r>
      <w:r w:rsidR="00547396" w:rsidRPr="008912CF">
        <w:rPr>
          <w:sz w:val="22"/>
          <w:szCs w:val="22"/>
        </w:rPr>
        <w:t xml:space="preserve"> </w:t>
      </w:r>
      <w:r w:rsidRPr="008912CF">
        <w:rPr>
          <w:sz w:val="22"/>
          <w:szCs w:val="22"/>
        </w:rPr>
        <w:t>de recidiva (diminuição para um PGA "moderad</w:t>
      </w:r>
      <w:r w:rsidR="00601734">
        <w:rPr>
          <w:sz w:val="22"/>
          <w:szCs w:val="22"/>
        </w:rPr>
        <w:t>a</w:t>
      </w:r>
      <w:r w:rsidRPr="008912CF">
        <w:rPr>
          <w:sz w:val="22"/>
          <w:szCs w:val="22"/>
        </w:rPr>
        <w:t>" ou “pior”) de aproximadamente 5</w:t>
      </w:r>
      <w:r>
        <w:rPr>
          <w:sz w:val="22"/>
          <w:szCs w:val="22"/>
        </w:rPr>
        <w:t> </w:t>
      </w:r>
      <w:r w:rsidRPr="008912CF">
        <w:rPr>
          <w:sz w:val="22"/>
          <w:szCs w:val="22"/>
        </w:rPr>
        <w:t xml:space="preserve">meses. Nenhum destes doentes apresentaram efeito </w:t>
      </w:r>
      <w:r w:rsidRPr="008912CF">
        <w:rPr>
          <w:i/>
          <w:sz w:val="22"/>
          <w:szCs w:val="22"/>
        </w:rPr>
        <w:t>rebound</w:t>
      </w:r>
      <w:r w:rsidRPr="008912CF">
        <w:rPr>
          <w:sz w:val="22"/>
          <w:szCs w:val="22"/>
        </w:rPr>
        <w:t xml:space="preserve"> durante o período de suspensão. Um total de 76,5</w:t>
      </w:r>
      <w:r w:rsidR="009343EF">
        <w:rPr>
          <w:sz w:val="22"/>
          <w:szCs w:val="22"/>
        </w:rPr>
        <w:t>%</w:t>
      </w:r>
      <w:r w:rsidRPr="008912CF">
        <w:rPr>
          <w:sz w:val="22"/>
          <w:szCs w:val="22"/>
        </w:rPr>
        <w:t xml:space="preserve"> (218/285) dos doentes que entraram no período de novo tratamento apresentaram uma resposta de PGA "limp</w:t>
      </w:r>
      <w:r w:rsidR="00547396">
        <w:rPr>
          <w:sz w:val="22"/>
          <w:szCs w:val="22"/>
        </w:rPr>
        <w:t>a</w:t>
      </w:r>
      <w:r w:rsidRPr="008912CF">
        <w:rPr>
          <w:sz w:val="22"/>
          <w:szCs w:val="22"/>
        </w:rPr>
        <w:t>" ou "</w:t>
      </w:r>
      <w:r w:rsidR="00E57BBD">
        <w:rPr>
          <w:sz w:val="22"/>
          <w:szCs w:val="22"/>
        </w:rPr>
        <w:t>quase limpa</w:t>
      </w:r>
      <w:r w:rsidRPr="008912CF">
        <w:rPr>
          <w:sz w:val="22"/>
          <w:szCs w:val="22"/>
        </w:rPr>
        <w:t>", após 16 semanas de novo tratamento, independentemente de recidiva durante a suspensão (69,1</w:t>
      </w:r>
      <w:r w:rsidR="009343EF">
        <w:rPr>
          <w:sz w:val="22"/>
          <w:szCs w:val="22"/>
        </w:rPr>
        <w:t>%</w:t>
      </w:r>
      <w:r w:rsidRPr="008912CF">
        <w:rPr>
          <w:sz w:val="22"/>
          <w:szCs w:val="22"/>
        </w:rPr>
        <w:t xml:space="preserve"> [123/178] e 88,8</w:t>
      </w:r>
      <w:r w:rsidR="009343EF">
        <w:rPr>
          <w:sz w:val="22"/>
          <w:szCs w:val="22"/>
        </w:rPr>
        <w:t>%</w:t>
      </w:r>
      <w:r w:rsidRPr="008912CF">
        <w:rPr>
          <w:sz w:val="22"/>
          <w:szCs w:val="22"/>
        </w:rPr>
        <w:t xml:space="preserve"> [95/107], para doentes que tiveram ou não recidiva durante o período de suspensão, respetivamente). Durante o novo tratamento, foi observado um perfil de segurança semelhante ao observado antes da suspensão.</w:t>
      </w:r>
    </w:p>
    <w:p w14:paraId="1D274124" w14:textId="77777777" w:rsidR="002F6811" w:rsidRPr="008912CF" w:rsidRDefault="002F6811" w:rsidP="002F6811">
      <w:pPr>
        <w:autoSpaceDE w:val="0"/>
        <w:autoSpaceDN w:val="0"/>
        <w:adjustRightInd w:val="0"/>
        <w:rPr>
          <w:sz w:val="22"/>
          <w:szCs w:val="22"/>
        </w:rPr>
      </w:pPr>
    </w:p>
    <w:p w14:paraId="05FAC871" w14:textId="77777777" w:rsidR="002F6811" w:rsidRPr="008912CF" w:rsidRDefault="00615769" w:rsidP="002F6811">
      <w:pPr>
        <w:rPr>
          <w:sz w:val="22"/>
          <w:szCs w:val="22"/>
        </w:rPr>
      </w:pPr>
      <w:r w:rsidRPr="008912CF">
        <w:rPr>
          <w:sz w:val="22"/>
          <w:szCs w:val="22"/>
        </w:rPr>
        <w:t xml:space="preserve">Foram demonstradas melhorias significativas </w:t>
      </w:r>
      <w:r w:rsidR="00547396">
        <w:rPr>
          <w:sz w:val="22"/>
          <w:szCs w:val="22"/>
        </w:rPr>
        <w:t>à</w:t>
      </w:r>
      <w:r w:rsidR="00547396" w:rsidRPr="008912CF">
        <w:rPr>
          <w:sz w:val="22"/>
          <w:szCs w:val="22"/>
        </w:rPr>
        <w:t xml:space="preserve"> </w:t>
      </w:r>
      <w:r w:rsidRPr="008912CF">
        <w:rPr>
          <w:sz w:val="22"/>
          <w:szCs w:val="22"/>
        </w:rPr>
        <w:t>semana</w:t>
      </w:r>
      <w:r>
        <w:rPr>
          <w:sz w:val="22"/>
          <w:szCs w:val="22"/>
        </w:rPr>
        <w:t> </w:t>
      </w:r>
      <w:r w:rsidRPr="008912CF">
        <w:rPr>
          <w:sz w:val="22"/>
          <w:szCs w:val="22"/>
        </w:rPr>
        <w:t>16 em relação à avaliação basal comparativamente com placebo (Estudos I e II) e MTX (Estudo II), no DLQI (</w:t>
      </w:r>
      <w:r w:rsidRPr="008912CF">
        <w:rPr>
          <w:i/>
          <w:sz w:val="22"/>
          <w:szCs w:val="22"/>
        </w:rPr>
        <w:t>Dermatology Life Quality Index)</w:t>
      </w:r>
      <w:r w:rsidRPr="008912CF">
        <w:rPr>
          <w:sz w:val="22"/>
          <w:szCs w:val="22"/>
        </w:rPr>
        <w:t>. No Estudo I, foram também demonstradas melhorias nas pontuações das componentes física e mental do SF-36, comparativamente com placebo.</w:t>
      </w:r>
    </w:p>
    <w:p w14:paraId="00E839AC" w14:textId="77777777" w:rsidR="002F6811" w:rsidRPr="008912CF" w:rsidRDefault="002F6811" w:rsidP="002F6811">
      <w:pPr>
        <w:pStyle w:val="EMEANormal"/>
        <w:rPr>
          <w:szCs w:val="22"/>
          <w:lang w:val="pt-PT"/>
        </w:rPr>
      </w:pPr>
    </w:p>
    <w:p w14:paraId="67F92BD0" w14:textId="77777777" w:rsidR="002F6811" w:rsidRPr="008912CF" w:rsidRDefault="00615769" w:rsidP="002F6811">
      <w:pPr>
        <w:rPr>
          <w:sz w:val="22"/>
          <w:szCs w:val="22"/>
        </w:rPr>
      </w:pPr>
      <w:r w:rsidRPr="008912CF">
        <w:rPr>
          <w:sz w:val="22"/>
          <w:szCs w:val="22"/>
        </w:rPr>
        <w:t>Num estudo de extensão de fase aberta, em doentes em que houve escalonamento da dose de 40 mg em semanas alternadas para 40 mg todas as semanas, devido a uma resposta PASI inferior a 50</w:t>
      </w:r>
      <w:r w:rsidR="009343EF">
        <w:rPr>
          <w:sz w:val="22"/>
          <w:szCs w:val="22"/>
        </w:rPr>
        <w:t>%</w:t>
      </w:r>
      <w:r w:rsidRPr="008912CF">
        <w:rPr>
          <w:sz w:val="22"/>
          <w:szCs w:val="22"/>
        </w:rPr>
        <w:t>, 26,4</w:t>
      </w:r>
      <w:r w:rsidR="009343EF">
        <w:rPr>
          <w:sz w:val="22"/>
          <w:szCs w:val="22"/>
        </w:rPr>
        <w:t>%</w:t>
      </w:r>
      <w:r w:rsidRPr="008912CF">
        <w:rPr>
          <w:sz w:val="22"/>
          <w:szCs w:val="22"/>
        </w:rPr>
        <w:t xml:space="preserve"> (92/349) e 37,8</w:t>
      </w:r>
      <w:r w:rsidR="009343EF">
        <w:rPr>
          <w:sz w:val="22"/>
          <w:szCs w:val="22"/>
        </w:rPr>
        <w:t>%</w:t>
      </w:r>
      <w:r w:rsidRPr="008912CF">
        <w:rPr>
          <w:sz w:val="22"/>
          <w:szCs w:val="22"/>
        </w:rPr>
        <w:t xml:space="preserve"> (132/349) dos doentes alcançaram uma resposta PASI 75 às semanas 12 e 24</w:t>
      </w:r>
      <w:r w:rsidR="00547396">
        <w:rPr>
          <w:sz w:val="22"/>
          <w:szCs w:val="22"/>
        </w:rPr>
        <w:t>,</w:t>
      </w:r>
      <w:r w:rsidRPr="008912CF">
        <w:rPr>
          <w:sz w:val="22"/>
          <w:szCs w:val="22"/>
        </w:rPr>
        <w:t xml:space="preserve"> respetivamente.</w:t>
      </w:r>
    </w:p>
    <w:p w14:paraId="5D12AA78" w14:textId="77777777" w:rsidR="002F6811" w:rsidRPr="008912CF" w:rsidRDefault="002F6811" w:rsidP="002F6811"/>
    <w:p w14:paraId="3022B614" w14:textId="77777777" w:rsidR="002F6811" w:rsidRPr="008912CF" w:rsidRDefault="00615769" w:rsidP="002F6811">
      <w:pPr>
        <w:pStyle w:val="EMEAHeadingUnderline"/>
        <w:tabs>
          <w:tab w:val="clear" w:pos="562"/>
        </w:tabs>
        <w:suppressAutoHyphens w:val="0"/>
        <w:spacing w:before="0" w:after="0"/>
        <w:rPr>
          <w:szCs w:val="22"/>
          <w:u w:val="none"/>
          <w:lang w:val="pt-PT"/>
        </w:rPr>
      </w:pPr>
      <w:r w:rsidRPr="008912CF">
        <w:rPr>
          <w:szCs w:val="22"/>
          <w:u w:val="none"/>
          <w:lang w:val="pt-PT"/>
        </w:rPr>
        <w:t xml:space="preserve">O Estudo III na Psoríase (REACH) comparou a eficácia e segurança de Humira </w:t>
      </w:r>
      <w:r w:rsidRPr="008912CF">
        <w:rPr>
          <w:i/>
          <w:szCs w:val="22"/>
          <w:u w:val="none"/>
          <w:lang w:val="pt-PT"/>
        </w:rPr>
        <w:t>versus</w:t>
      </w:r>
      <w:r w:rsidRPr="008912CF">
        <w:rPr>
          <w:szCs w:val="22"/>
          <w:u w:val="none"/>
          <w:lang w:val="pt-PT"/>
        </w:rPr>
        <w:t xml:space="preserve"> placebo em 72 doentes com psoríase crónica em placas moderada a grave e psoríase palmar e/ou plantar. Os doentes receberam Humira numa dose inicial de 80 mg, seguid</w:t>
      </w:r>
      <w:r>
        <w:rPr>
          <w:szCs w:val="22"/>
          <w:u w:val="none"/>
          <w:lang w:val="pt-PT"/>
        </w:rPr>
        <w:t>a</w:t>
      </w:r>
      <w:r w:rsidRPr="008912CF">
        <w:rPr>
          <w:szCs w:val="22"/>
          <w:u w:val="none"/>
          <w:lang w:val="pt-PT"/>
        </w:rPr>
        <w:t xml:space="preserve"> de 4</w:t>
      </w:r>
      <w:r>
        <w:rPr>
          <w:szCs w:val="22"/>
          <w:u w:val="none"/>
          <w:lang w:val="pt-PT"/>
        </w:rPr>
        <w:t>0</w:t>
      </w:r>
      <w:r w:rsidRPr="008912CF">
        <w:rPr>
          <w:szCs w:val="22"/>
          <w:u w:val="none"/>
          <w:lang w:val="pt-PT"/>
        </w:rPr>
        <w:t>  mg em semanas alternadas (uma semana após a dose inicial) ou placebo, durante 16 semanas. Na semana 16, os doentes que receberam Humira apresentaram uma resposta de PGA “limp</w:t>
      </w:r>
      <w:r w:rsidR="00E57BBD">
        <w:rPr>
          <w:szCs w:val="22"/>
          <w:u w:val="none"/>
          <w:lang w:val="pt-PT"/>
        </w:rPr>
        <w:t>a</w:t>
      </w:r>
      <w:r w:rsidRPr="008912CF">
        <w:rPr>
          <w:szCs w:val="22"/>
          <w:u w:val="none"/>
          <w:lang w:val="pt-PT"/>
        </w:rPr>
        <w:t>” ou “quase limp</w:t>
      </w:r>
      <w:r w:rsidR="00E57BBD">
        <w:rPr>
          <w:szCs w:val="22"/>
          <w:u w:val="none"/>
          <w:lang w:val="pt-PT"/>
        </w:rPr>
        <w:t>a</w:t>
      </w:r>
      <w:r w:rsidRPr="008912CF">
        <w:rPr>
          <w:szCs w:val="22"/>
          <w:u w:val="none"/>
          <w:lang w:val="pt-PT"/>
        </w:rPr>
        <w:t>” nas mãos e/ou pés numa proporção superior, estatisticamente significativa, quando comparado com os doentes que receberam placebo (30,6</w:t>
      </w:r>
      <w:r w:rsidR="009343EF">
        <w:rPr>
          <w:szCs w:val="22"/>
          <w:u w:val="none"/>
          <w:lang w:val="pt-PT"/>
        </w:rPr>
        <w:t>%</w:t>
      </w:r>
      <w:r w:rsidRPr="008912CF">
        <w:rPr>
          <w:szCs w:val="22"/>
          <w:u w:val="none"/>
          <w:lang w:val="pt-PT"/>
        </w:rPr>
        <w:t xml:space="preserve"> ve</w:t>
      </w:r>
      <w:r w:rsidRPr="008912CF">
        <w:rPr>
          <w:szCs w:val="22"/>
          <w:u w:val="none"/>
          <w:lang w:val="pt-PT"/>
        </w:rPr>
        <w:t>rsus 4,3</w:t>
      </w:r>
      <w:r w:rsidR="009343EF">
        <w:rPr>
          <w:szCs w:val="22"/>
          <w:u w:val="none"/>
          <w:lang w:val="pt-PT"/>
        </w:rPr>
        <w:t>%</w:t>
      </w:r>
      <w:r w:rsidRPr="008912CF">
        <w:rPr>
          <w:szCs w:val="22"/>
          <w:u w:val="none"/>
          <w:lang w:val="pt-PT"/>
        </w:rPr>
        <w:t>, respetivamente [</w:t>
      </w:r>
      <w:r w:rsidR="00092159">
        <w:rPr>
          <w:szCs w:val="22"/>
          <w:u w:val="none"/>
          <w:lang w:val="pt-PT"/>
        </w:rPr>
        <w:t>p</w:t>
      </w:r>
      <w:r w:rsidRPr="008912CF">
        <w:rPr>
          <w:szCs w:val="22"/>
          <w:u w:val="none"/>
          <w:lang w:val="pt-PT"/>
        </w:rPr>
        <w:t>=0,014]</w:t>
      </w:r>
      <w:r w:rsidR="00601734">
        <w:rPr>
          <w:szCs w:val="22"/>
          <w:u w:val="none"/>
          <w:lang w:val="pt-PT"/>
        </w:rPr>
        <w:t>)</w:t>
      </w:r>
      <w:r w:rsidRPr="008912CF">
        <w:rPr>
          <w:szCs w:val="22"/>
          <w:u w:val="none"/>
          <w:lang w:val="pt-PT"/>
        </w:rPr>
        <w:t>.</w:t>
      </w:r>
    </w:p>
    <w:p w14:paraId="3EAFFA1A" w14:textId="77777777" w:rsidR="002F6811" w:rsidRDefault="002F6811" w:rsidP="002F6811"/>
    <w:p w14:paraId="001A9350" w14:textId="77777777" w:rsidR="002F6811" w:rsidRPr="00102FC8" w:rsidRDefault="00615769" w:rsidP="002F6811">
      <w:pPr>
        <w:autoSpaceDE w:val="0"/>
        <w:autoSpaceDN w:val="0"/>
        <w:adjustRightInd w:val="0"/>
        <w:rPr>
          <w:sz w:val="22"/>
          <w:szCs w:val="22"/>
        </w:rPr>
      </w:pPr>
      <w:r w:rsidRPr="008B193B">
        <w:rPr>
          <w:sz w:val="22"/>
          <w:szCs w:val="22"/>
        </w:rPr>
        <w:t>O Estudo IV na Psor</w:t>
      </w:r>
      <w:r w:rsidR="00AA7183">
        <w:rPr>
          <w:sz w:val="22"/>
          <w:szCs w:val="22"/>
        </w:rPr>
        <w:t>í</w:t>
      </w:r>
      <w:r w:rsidRPr="008B193B">
        <w:rPr>
          <w:sz w:val="22"/>
          <w:szCs w:val="22"/>
        </w:rPr>
        <w:t xml:space="preserve">ase comparou a eficácia e segurança de Humira </w:t>
      </w:r>
      <w:r w:rsidRPr="008B193B">
        <w:rPr>
          <w:i/>
          <w:sz w:val="22"/>
          <w:szCs w:val="22"/>
        </w:rPr>
        <w:t>versus</w:t>
      </w:r>
      <w:r w:rsidRPr="008B193B">
        <w:rPr>
          <w:sz w:val="22"/>
          <w:szCs w:val="22"/>
        </w:rPr>
        <w:t xml:space="preserve"> placebo em 217 doentes adultos com psoríase ungueal moderada a grave. Os doentes receberam Humira numa dose inicial de 80</w:t>
      </w:r>
      <w:r>
        <w:rPr>
          <w:sz w:val="22"/>
          <w:szCs w:val="22"/>
        </w:rPr>
        <w:t> </w:t>
      </w:r>
      <w:r w:rsidRPr="008B193B">
        <w:rPr>
          <w:sz w:val="22"/>
          <w:szCs w:val="22"/>
        </w:rPr>
        <w:t>mg, seguida de 40</w:t>
      </w:r>
      <w:r>
        <w:rPr>
          <w:sz w:val="22"/>
          <w:szCs w:val="22"/>
        </w:rPr>
        <w:t> </w:t>
      </w:r>
      <w:r w:rsidRPr="008B193B">
        <w:rPr>
          <w:sz w:val="22"/>
          <w:szCs w:val="22"/>
        </w:rPr>
        <w:t>mg em semanas alternadas (uma semana após a dose inicial) ou placebo, durante 26 semanas, seguid</w:t>
      </w:r>
      <w:r w:rsidR="008F2FAC">
        <w:rPr>
          <w:sz w:val="22"/>
          <w:szCs w:val="22"/>
        </w:rPr>
        <w:t>o</w:t>
      </w:r>
      <w:r w:rsidRPr="008B193B">
        <w:rPr>
          <w:sz w:val="22"/>
          <w:szCs w:val="22"/>
        </w:rPr>
        <w:t xml:space="preserve"> de um tratamento em fase aberta com Humira durante mais 26 semanas. </w:t>
      </w:r>
      <w:r w:rsidRPr="00102FC8">
        <w:rPr>
          <w:sz w:val="22"/>
          <w:szCs w:val="22"/>
          <w:lang w:eastAsia="zh-CN"/>
        </w:rPr>
        <w:t>As avaliações da psoríase ungueal inclu</w:t>
      </w:r>
      <w:r w:rsidR="00AA7183">
        <w:rPr>
          <w:sz w:val="22"/>
          <w:szCs w:val="22"/>
          <w:lang w:eastAsia="zh-CN"/>
        </w:rPr>
        <w:t>í</w:t>
      </w:r>
      <w:r w:rsidRPr="00102FC8">
        <w:rPr>
          <w:sz w:val="22"/>
          <w:szCs w:val="22"/>
          <w:lang w:eastAsia="zh-CN"/>
        </w:rPr>
        <w:t xml:space="preserve">ram o Índice de </w:t>
      </w:r>
      <w:r>
        <w:rPr>
          <w:sz w:val="22"/>
          <w:szCs w:val="22"/>
          <w:lang w:eastAsia="zh-CN"/>
        </w:rPr>
        <w:t xml:space="preserve">Gravidade </w:t>
      </w:r>
      <w:r w:rsidRPr="00102FC8">
        <w:rPr>
          <w:sz w:val="22"/>
          <w:szCs w:val="22"/>
          <w:lang w:eastAsia="zh-CN"/>
        </w:rPr>
        <w:t xml:space="preserve">da Psoríase Ungueal </w:t>
      </w:r>
      <w:r w:rsidR="008F2FAC">
        <w:rPr>
          <w:sz w:val="22"/>
          <w:szCs w:val="22"/>
          <w:lang w:eastAsia="zh-CN"/>
        </w:rPr>
        <w:t xml:space="preserve">modificado </w:t>
      </w:r>
      <w:r w:rsidRPr="00102FC8">
        <w:rPr>
          <w:sz w:val="22"/>
          <w:szCs w:val="22"/>
          <w:lang w:eastAsia="zh-CN"/>
        </w:rPr>
        <w:t xml:space="preserve">(mNAPSI), </w:t>
      </w:r>
      <w:r w:rsidRPr="00102FC8">
        <w:rPr>
          <w:sz w:val="22"/>
          <w:szCs w:val="22"/>
        </w:rPr>
        <w:t>a Avaliação Global dos Médicos da Psoríase Ung</w:t>
      </w:r>
      <w:r w:rsidRPr="00102FC8">
        <w:rPr>
          <w:sz w:val="22"/>
          <w:szCs w:val="22"/>
        </w:rPr>
        <w:t xml:space="preserve">ueal (PGA-F) e o Índice de </w:t>
      </w:r>
      <w:r>
        <w:rPr>
          <w:sz w:val="22"/>
          <w:szCs w:val="22"/>
        </w:rPr>
        <w:t>Gravidade</w:t>
      </w:r>
      <w:r w:rsidRPr="00102FC8">
        <w:rPr>
          <w:sz w:val="22"/>
          <w:szCs w:val="22"/>
        </w:rPr>
        <w:t xml:space="preserve"> da Psoríase Ungueal (NAPSI) (ver Tabela </w:t>
      </w:r>
      <w:r w:rsidR="00116EA1">
        <w:rPr>
          <w:sz w:val="22"/>
          <w:szCs w:val="22"/>
        </w:rPr>
        <w:t>13</w:t>
      </w:r>
      <w:r w:rsidRPr="00102FC8">
        <w:rPr>
          <w:sz w:val="22"/>
          <w:szCs w:val="22"/>
        </w:rPr>
        <w:t>). Humira demonstrou um benefício de tratamento em doentes com psoríase ungueal com diferentes graus de envolvimento cutâneo (BSA</w:t>
      </w:r>
      <w:r>
        <w:rPr>
          <w:sz w:val="22"/>
          <w:szCs w:val="22"/>
        </w:rPr>
        <w:t> </w:t>
      </w:r>
      <w:r w:rsidRPr="008B193B">
        <w:rPr>
          <w:sz w:val="22"/>
          <w:szCs w:val="22"/>
        </w:rPr>
        <w:t>≥</w:t>
      </w:r>
      <w:r>
        <w:rPr>
          <w:sz w:val="22"/>
          <w:szCs w:val="22"/>
        </w:rPr>
        <w:t> </w:t>
      </w:r>
      <w:r w:rsidRPr="008B193B">
        <w:rPr>
          <w:sz w:val="22"/>
          <w:szCs w:val="22"/>
        </w:rPr>
        <w:t>10</w:t>
      </w:r>
      <w:r w:rsidR="009343EF">
        <w:rPr>
          <w:sz w:val="22"/>
          <w:szCs w:val="22"/>
        </w:rPr>
        <w:t>%</w:t>
      </w:r>
      <w:r w:rsidRPr="008B193B">
        <w:rPr>
          <w:sz w:val="22"/>
          <w:szCs w:val="22"/>
        </w:rPr>
        <w:t xml:space="preserve"> </w:t>
      </w:r>
      <w:r>
        <w:rPr>
          <w:sz w:val="22"/>
          <w:szCs w:val="22"/>
        </w:rPr>
        <w:t>(60</w:t>
      </w:r>
      <w:r w:rsidR="009343EF">
        <w:rPr>
          <w:sz w:val="22"/>
          <w:szCs w:val="22"/>
        </w:rPr>
        <w:t>%</w:t>
      </w:r>
      <w:r>
        <w:rPr>
          <w:sz w:val="22"/>
          <w:szCs w:val="22"/>
        </w:rPr>
        <w:t xml:space="preserve"> dos doentes) </w:t>
      </w:r>
      <w:r w:rsidRPr="008B193B">
        <w:rPr>
          <w:sz w:val="22"/>
          <w:szCs w:val="22"/>
        </w:rPr>
        <w:t>e BSA</w:t>
      </w:r>
      <w:r>
        <w:rPr>
          <w:sz w:val="22"/>
          <w:szCs w:val="22"/>
        </w:rPr>
        <w:t> </w:t>
      </w:r>
      <w:r w:rsidRPr="008B193B">
        <w:rPr>
          <w:sz w:val="22"/>
          <w:szCs w:val="22"/>
        </w:rPr>
        <w:t>&lt;</w:t>
      </w:r>
      <w:r>
        <w:rPr>
          <w:sz w:val="22"/>
          <w:szCs w:val="22"/>
        </w:rPr>
        <w:t> </w:t>
      </w:r>
      <w:r w:rsidRPr="008B193B">
        <w:rPr>
          <w:sz w:val="22"/>
          <w:szCs w:val="22"/>
        </w:rPr>
        <w:t>10</w:t>
      </w:r>
      <w:r w:rsidR="009343EF">
        <w:rPr>
          <w:sz w:val="22"/>
          <w:szCs w:val="22"/>
        </w:rPr>
        <w:t>%</w:t>
      </w:r>
      <w:r w:rsidRPr="008B193B">
        <w:rPr>
          <w:sz w:val="22"/>
          <w:szCs w:val="22"/>
        </w:rPr>
        <w:t xml:space="preserve"> e</w:t>
      </w:r>
      <w:r>
        <w:rPr>
          <w:sz w:val="22"/>
          <w:szCs w:val="22"/>
        </w:rPr>
        <w:t> </w:t>
      </w:r>
      <w:r w:rsidRPr="008B193B">
        <w:rPr>
          <w:sz w:val="22"/>
          <w:szCs w:val="22"/>
        </w:rPr>
        <w:t>≥</w:t>
      </w:r>
      <w:r>
        <w:rPr>
          <w:sz w:val="22"/>
          <w:szCs w:val="22"/>
        </w:rPr>
        <w:t> </w:t>
      </w:r>
      <w:r w:rsidRPr="008B193B">
        <w:rPr>
          <w:sz w:val="22"/>
          <w:szCs w:val="22"/>
        </w:rPr>
        <w:t>5%</w:t>
      </w:r>
      <w:r>
        <w:rPr>
          <w:sz w:val="22"/>
          <w:szCs w:val="22"/>
        </w:rPr>
        <w:t xml:space="preserve"> (40</w:t>
      </w:r>
      <w:r w:rsidR="009343EF">
        <w:rPr>
          <w:sz w:val="22"/>
          <w:szCs w:val="22"/>
        </w:rPr>
        <w:t>%</w:t>
      </w:r>
      <w:r>
        <w:rPr>
          <w:sz w:val="22"/>
          <w:szCs w:val="22"/>
        </w:rPr>
        <w:t xml:space="preserve"> dos doentes</w:t>
      </w:r>
      <w:r w:rsidRPr="008B193B">
        <w:rPr>
          <w:sz w:val="22"/>
          <w:szCs w:val="22"/>
        </w:rPr>
        <w:t>)</w:t>
      </w:r>
      <w:r>
        <w:rPr>
          <w:sz w:val="22"/>
          <w:szCs w:val="22"/>
        </w:rPr>
        <w:t>)</w:t>
      </w:r>
      <w:r w:rsidRPr="008B193B">
        <w:rPr>
          <w:sz w:val="22"/>
          <w:szCs w:val="22"/>
        </w:rPr>
        <w:t xml:space="preserve">.    </w:t>
      </w:r>
    </w:p>
    <w:p w14:paraId="16920BB4" w14:textId="77777777" w:rsidR="002F6811" w:rsidRDefault="002F6811" w:rsidP="002F6811"/>
    <w:p w14:paraId="7BD7AF3C" w14:textId="77777777" w:rsidR="000412C9" w:rsidRDefault="00615769" w:rsidP="007A15C2">
      <w:pPr>
        <w:keepNext/>
        <w:jc w:val="center"/>
        <w:rPr>
          <w:b/>
          <w:sz w:val="22"/>
          <w:szCs w:val="22"/>
        </w:rPr>
      </w:pPr>
      <w:r w:rsidRPr="008912CF">
        <w:rPr>
          <w:b/>
          <w:sz w:val="22"/>
          <w:szCs w:val="22"/>
        </w:rPr>
        <w:t xml:space="preserve">Tabela </w:t>
      </w:r>
      <w:r w:rsidR="00116EA1">
        <w:rPr>
          <w:b/>
          <w:sz w:val="22"/>
          <w:szCs w:val="22"/>
        </w:rPr>
        <w:t>13</w:t>
      </w:r>
    </w:p>
    <w:p w14:paraId="1C6A9DDF" w14:textId="77777777" w:rsidR="002F6811" w:rsidRPr="00612E98" w:rsidRDefault="00615769" w:rsidP="007A15C2">
      <w:pPr>
        <w:keepNext/>
        <w:jc w:val="center"/>
        <w:rPr>
          <w:rFonts w:eastAsia="Times New Roman"/>
          <w:b/>
          <w:bCs/>
          <w:sz w:val="22"/>
          <w:szCs w:val="22"/>
        </w:rPr>
      </w:pPr>
      <w:r w:rsidRPr="008912CF">
        <w:rPr>
          <w:b/>
          <w:sz w:val="22"/>
          <w:szCs w:val="22"/>
        </w:rPr>
        <w:t xml:space="preserve">Estudo </w:t>
      </w:r>
      <w:r>
        <w:rPr>
          <w:b/>
          <w:sz w:val="22"/>
          <w:szCs w:val="22"/>
        </w:rPr>
        <w:t>IV na Psoríase</w:t>
      </w:r>
      <w:r w:rsidRPr="008912CF">
        <w:rPr>
          <w:b/>
          <w:sz w:val="22"/>
          <w:szCs w:val="22"/>
        </w:rPr>
        <w:t xml:space="preserve"> Resultados de </w:t>
      </w:r>
      <w:r>
        <w:rPr>
          <w:b/>
          <w:sz w:val="22"/>
          <w:szCs w:val="22"/>
        </w:rPr>
        <w:t>E</w:t>
      </w:r>
      <w:r w:rsidRPr="008912CF">
        <w:rPr>
          <w:b/>
          <w:sz w:val="22"/>
          <w:szCs w:val="22"/>
        </w:rPr>
        <w:t xml:space="preserve">ficácia às </w:t>
      </w:r>
      <w:r w:rsidR="008F2FAC">
        <w:rPr>
          <w:b/>
          <w:sz w:val="22"/>
          <w:szCs w:val="22"/>
        </w:rPr>
        <w:t xml:space="preserve">Semanas </w:t>
      </w:r>
      <w:r w:rsidRPr="008912CF">
        <w:rPr>
          <w:b/>
          <w:sz w:val="22"/>
          <w:szCs w:val="22"/>
        </w:rPr>
        <w:t>1</w:t>
      </w:r>
      <w:r>
        <w:rPr>
          <w:b/>
          <w:sz w:val="22"/>
          <w:szCs w:val="22"/>
        </w:rPr>
        <w:t>6, 26 e 52 </w:t>
      </w:r>
      <w:r w:rsidRPr="008912CF">
        <w:rPr>
          <w:b/>
          <w:sz w:val="22"/>
          <w:szCs w:val="22"/>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080"/>
        <w:gridCol w:w="1260"/>
        <w:gridCol w:w="990"/>
        <w:gridCol w:w="1260"/>
        <w:gridCol w:w="2014"/>
      </w:tblGrid>
      <w:tr w:rsidR="00A7162A" w14:paraId="321FE3CD" w14:textId="77777777" w:rsidTr="002F6811">
        <w:tc>
          <w:tcPr>
            <w:tcW w:w="2718" w:type="dxa"/>
            <w:vMerge w:val="restart"/>
          </w:tcPr>
          <w:p w14:paraId="4137307B" w14:textId="77777777" w:rsidR="002F6811" w:rsidRPr="00612E98" w:rsidRDefault="00615769" w:rsidP="007A15C2">
            <w:pPr>
              <w:keepNext/>
              <w:rPr>
                <w:rFonts w:eastAsia="Times New Roman"/>
                <w:sz w:val="22"/>
                <w:szCs w:val="22"/>
                <w:lang w:val="en-US"/>
              </w:rPr>
            </w:pPr>
            <w:r>
              <w:rPr>
                <w:rFonts w:eastAsia="Times New Roman"/>
                <w:sz w:val="22"/>
                <w:szCs w:val="22"/>
                <w:lang w:val="en-US"/>
              </w:rPr>
              <w:t>Objetivo</w:t>
            </w:r>
          </w:p>
        </w:tc>
        <w:tc>
          <w:tcPr>
            <w:tcW w:w="2340" w:type="dxa"/>
            <w:gridSpan w:val="2"/>
          </w:tcPr>
          <w:p w14:paraId="7D4BA88F" w14:textId="77777777" w:rsidR="002F6811" w:rsidRPr="00612E98" w:rsidRDefault="00615769" w:rsidP="007A15C2">
            <w:pPr>
              <w:keepNext/>
              <w:jc w:val="center"/>
              <w:rPr>
                <w:rFonts w:eastAsia="Times New Roman"/>
                <w:sz w:val="22"/>
                <w:szCs w:val="22"/>
                <w:lang w:val="en-US"/>
              </w:rPr>
            </w:pPr>
            <w:r>
              <w:rPr>
                <w:rFonts w:eastAsia="Times New Roman"/>
                <w:sz w:val="22"/>
                <w:szCs w:val="22"/>
                <w:lang w:val="en-US"/>
              </w:rPr>
              <w:t>Semana </w:t>
            </w:r>
            <w:r w:rsidRPr="00612E98">
              <w:rPr>
                <w:rFonts w:eastAsia="Times New Roman"/>
                <w:sz w:val="22"/>
                <w:szCs w:val="22"/>
                <w:lang w:val="en-US"/>
              </w:rPr>
              <w:t>16</w:t>
            </w:r>
          </w:p>
          <w:p w14:paraId="5A8E79E6" w14:textId="77777777" w:rsidR="002F6811" w:rsidRPr="00612E98" w:rsidRDefault="00615769" w:rsidP="007A15C2">
            <w:pPr>
              <w:keepNext/>
              <w:jc w:val="center"/>
              <w:rPr>
                <w:rFonts w:eastAsia="Times New Roman"/>
                <w:sz w:val="22"/>
                <w:szCs w:val="22"/>
                <w:lang w:val="en-US"/>
              </w:rPr>
            </w:pPr>
            <w:r>
              <w:rPr>
                <w:rFonts w:eastAsia="Times New Roman"/>
                <w:sz w:val="22"/>
                <w:szCs w:val="22"/>
                <w:lang w:val="en-US"/>
              </w:rPr>
              <w:t>Controlado por Placebo</w:t>
            </w:r>
          </w:p>
        </w:tc>
        <w:tc>
          <w:tcPr>
            <w:tcW w:w="2250" w:type="dxa"/>
            <w:gridSpan w:val="2"/>
          </w:tcPr>
          <w:p w14:paraId="26E74173" w14:textId="77777777" w:rsidR="002F6811" w:rsidRPr="00612E98" w:rsidRDefault="00615769" w:rsidP="007A15C2">
            <w:pPr>
              <w:keepNext/>
              <w:jc w:val="center"/>
              <w:rPr>
                <w:rFonts w:eastAsia="Times New Roman"/>
                <w:sz w:val="22"/>
                <w:szCs w:val="22"/>
                <w:lang w:val="en-US"/>
              </w:rPr>
            </w:pPr>
            <w:r>
              <w:rPr>
                <w:rFonts w:eastAsia="Times New Roman"/>
                <w:sz w:val="22"/>
                <w:szCs w:val="22"/>
                <w:lang w:val="en-US"/>
              </w:rPr>
              <w:t>Semana </w:t>
            </w:r>
            <w:r w:rsidRPr="00612E98">
              <w:rPr>
                <w:rFonts w:eastAsia="Times New Roman"/>
                <w:sz w:val="22"/>
                <w:szCs w:val="22"/>
                <w:lang w:val="en-US"/>
              </w:rPr>
              <w:t>26</w:t>
            </w:r>
          </w:p>
          <w:p w14:paraId="10C6AAE7" w14:textId="77777777" w:rsidR="002F6811" w:rsidRPr="00612E98" w:rsidRDefault="00615769" w:rsidP="007A15C2">
            <w:pPr>
              <w:keepNext/>
              <w:jc w:val="center"/>
              <w:rPr>
                <w:rFonts w:eastAsia="Times New Roman"/>
                <w:sz w:val="22"/>
                <w:szCs w:val="22"/>
                <w:lang w:val="en-US"/>
              </w:rPr>
            </w:pPr>
            <w:r>
              <w:rPr>
                <w:rFonts w:eastAsia="Times New Roman"/>
                <w:sz w:val="22"/>
                <w:szCs w:val="22"/>
                <w:lang w:val="en-US"/>
              </w:rPr>
              <w:t>Controlado por Placebo</w:t>
            </w:r>
          </w:p>
        </w:tc>
        <w:tc>
          <w:tcPr>
            <w:tcW w:w="2014" w:type="dxa"/>
          </w:tcPr>
          <w:p w14:paraId="30971664" w14:textId="77777777" w:rsidR="002F6811" w:rsidRPr="00612E98" w:rsidRDefault="00615769" w:rsidP="007A15C2">
            <w:pPr>
              <w:keepNext/>
              <w:jc w:val="center"/>
              <w:rPr>
                <w:rFonts w:eastAsia="Times New Roman"/>
                <w:sz w:val="22"/>
                <w:szCs w:val="22"/>
                <w:lang w:val="en-US"/>
              </w:rPr>
            </w:pPr>
            <w:r>
              <w:rPr>
                <w:rFonts w:eastAsia="Times New Roman"/>
                <w:sz w:val="22"/>
                <w:szCs w:val="22"/>
                <w:lang w:val="en-US"/>
              </w:rPr>
              <w:t>Semana </w:t>
            </w:r>
            <w:r w:rsidRPr="00612E98">
              <w:rPr>
                <w:rFonts w:eastAsia="Times New Roman"/>
                <w:sz w:val="22"/>
                <w:szCs w:val="22"/>
                <w:lang w:val="en-US"/>
              </w:rPr>
              <w:t>52</w:t>
            </w:r>
          </w:p>
          <w:p w14:paraId="2F42D631" w14:textId="77777777" w:rsidR="002F6811" w:rsidRPr="00612E98" w:rsidRDefault="00615769" w:rsidP="007A15C2">
            <w:pPr>
              <w:keepNext/>
              <w:jc w:val="center"/>
              <w:rPr>
                <w:rFonts w:eastAsia="Times New Roman"/>
                <w:sz w:val="22"/>
                <w:szCs w:val="22"/>
                <w:lang w:val="en-US"/>
              </w:rPr>
            </w:pPr>
            <w:r>
              <w:rPr>
                <w:rFonts w:eastAsia="Times New Roman"/>
                <w:sz w:val="22"/>
                <w:szCs w:val="22"/>
                <w:lang w:val="en-US"/>
              </w:rPr>
              <w:t>Fase aberta</w:t>
            </w:r>
          </w:p>
        </w:tc>
      </w:tr>
      <w:tr w:rsidR="00A7162A" w14:paraId="0C200D28" w14:textId="77777777" w:rsidTr="002F6811">
        <w:tc>
          <w:tcPr>
            <w:tcW w:w="2718" w:type="dxa"/>
            <w:vMerge/>
          </w:tcPr>
          <w:p w14:paraId="0C730CB0" w14:textId="77777777" w:rsidR="002F6811" w:rsidRPr="00612E98" w:rsidRDefault="002F6811" w:rsidP="007A15C2">
            <w:pPr>
              <w:keepNext/>
              <w:rPr>
                <w:rFonts w:eastAsia="Times New Roman"/>
                <w:sz w:val="22"/>
                <w:szCs w:val="22"/>
                <w:lang w:val="en-US"/>
              </w:rPr>
            </w:pPr>
          </w:p>
        </w:tc>
        <w:tc>
          <w:tcPr>
            <w:tcW w:w="1080" w:type="dxa"/>
          </w:tcPr>
          <w:p w14:paraId="34BA6DEA" w14:textId="77777777" w:rsidR="002F6811" w:rsidRPr="00612E98" w:rsidRDefault="00615769" w:rsidP="007A15C2">
            <w:pPr>
              <w:keepNext/>
              <w:jc w:val="center"/>
              <w:rPr>
                <w:rFonts w:eastAsia="Times New Roman"/>
                <w:sz w:val="22"/>
                <w:szCs w:val="22"/>
                <w:lang w:val="en-US"/>
              </w:rPr>
            </w:pPr>
            <w:r w:rsidRPr="00612E98">
              <w:rPr>
                <w:rFonts w:eastAsia="Times New Roman"/>
                <w:sz w:val="22"/>
                <w:szCs w:val="2"/>
                <w:lang w:val="en-US"/>
              </w:rPr>
              <w:t>Placebo</w:t>
            </w:r>
            <w:r w:rsidRPr="00612E98">
              <w:rPr>
                <w:rFonts w:eastAsia="Times New Roman"/>
                <w:sz w:val="22"/>
                <w:szCs w:val="2"/>
                <w:lang w:val="en-US"/>
              </w:rPr>
              <w:br/>
              <w:t>N=108</w:t>
            </w:r>
          </w:p>
        </w:tc>
        <w:tc>
          <w:tcPr>
            <w:tcW w:w="1260" w:type="dxa"/>
          </w:tcPr>
          <w:p w14:paraId="6F1789C3" w14:textId="77777777" w:rsidR="002F6811" w:rsidRPr="00B427DD" w:rsidRDefault="00615769" w:rsidP="007A15C2">
            <w:pPr>
              <w:keepNext/>
              <w:suppressAutoHyphens/>
              <w:overflowPunct w:val="0"/>
              <w:autoSpaceDE w:val="0"/>
              <w:autoSpaceDN w:val="0"/>
              <w:adjustRightInd w:val="0"/>
              <w:jc w:val="center"/>
              <w:textAlignment w:val="baseline"/>
              <w:rPr>
                <w:rFonts w:eastAsia="Times New Roman"/>
                <w:sz w:val="22"/>
              </w:rPr>
            </w:pPr>
            <w:r w:rsidRPr="00B427DD">
              <w:rPr>
                <w:rFonts w:eastAsia="Times New Roman"/>
                <w:sz w:val="22"/>
              </w:rPr>
              <w:t>Humira</w:t>
            </w:r>
          </w:p>
          <w:p w14:paraId="750D0349" w14:textId="77777777" w:rsidR="002F6811" w:rsidRPr="00B427DD" w:rsidRDefault="00615769" w:rsidP="007A15C2">
            <w:pPr>
              <w:keepNext/>
              <w:jc w:val="center"/>
              <w:rPr>
                <w:rFonts w:eastAsia="Times New Roman"/>
                <w:sz w:val="22"/>
                <w:szCs w:val="22"/>
              </w:rPr>
            </w:pPr>
            <w:r w:rsidRPr="00B427DD">
              <w:rPr>
                <w:rFonts w:eastAsia="Times New Roman"/>
                <w:sz w:val="22"/>
                <w:szCs w:val="2"/>
              </w:rPr>
              <w:t>40 mg em semanas alternadas N=109</w:t>
            </w:r>
          </w:p>
        </w:tc>
        <w:tc>
          <w:tcPr>
            <w:tcW w:w="990" w:type="dxa"/>
          </w:tcPr>
          <w:p w14:paraId="0F43F4B1" w14:textId="77777777" w:rsidR="002F6811" w:rsidRPr="00612E98" w:rsidRDefault="00615769" w:rsidP="007A15C2">
            <w:pPr>
              <w:keepNext/>
              <w:jc w:val="center"/>
              <w:rPr>
                <w:rFonts w:eastAsia="Times New Roman"/>
                <w:sz w:val="22"/>
                <w:szCs w:val="22"/>
                <w:lang w:val="en-US"/>
              </w:rPr>
            </w:pPr>
            <w:r w:rsidRPr="00612E98">
              <w:rPr>
                <w:rFonts w:eastAsia="Times New Roman"/>
                <w:sz w:val="22"/>
                <w:szCs w:val="2"/>
                <w:lang w:val="en-US"/>
              </w:rPr>
              <w:t>Placebo</w:t>
            </w:r>
            <w:r w:rsidRPr="00612E98">
              <w:rPr>
                <w:rFonts w:eastAsia="Times New Roman"/>
                <w:sz w:val="22"/>
                <w:szCs w:val="2"/>
                <w:lang w:val="en-US"/>
              </w:rPr>
              <w:br/>
              <w:t>N=108</w:t>
            </w:r>
          </w:p>
        </w:tc>
        <w:tc>
          <w:tcPr>
            <w:tcW w:w="1260" w:type="dxa"/>
          </w:tcPr>
          <w:p w14:paraId="3D0EF6CE" w14:textId="77777777" w:rsidR="002F6811" w:rsidRPr="00B427DD" w:rsidRDefault="00615769" w:rsidP="007A15C2">
            <w:pPr>
              <w:keepNext/>
              <w:suppressAutoHyphens/>
              <w:overflowPunct w:val="0"/>
              <w:autoSpaceDE w:val="0"/>
              <w:autoSpaceDN w:val="0"/>
              <w:adjustRightInd w:val="0"/>
              <w:jc w:val="center"/>
              <w:textAlignment w:val="baseline"/>
              <w:rPr>
                <w:rFonts w:eastAsia="Times New Roman"/>
                <w:sz w:val="22"/>
              </w:rPr>
            </w:pPr>
            <w:r w:rsidRPr="00B427DD">
              <w:rPr>
                <w:rFonts w:eastAsia="Times New Roman"/>
                <w:sz w:val="22"/>
              </w:rPr>
              <w:t>Humira</w:t>
            </w:r>
          </w:p>
          <w:p w14:paraId="021F01C6" w14:textId="77777777" w:rsidR="002F6811" w:rsidRPr="00B427DD" w:rsidRDefault="00615769" w:rsidP="007A15C2">
            <w:pPr>
              <w:keepNext/>
              <w:jc w:val="center"/>
              <w:rPr>
                <w:rFonts w:eastAsia="Times New Roman"/>
                <w:sz w:val="22"/>
                <w:szCs w:val="22"/>
              </w:rPr>
            </w:pPr>
            <w:r w:rsidRPr="00B427DD">
              <w:rPr>
                <w:rFonts w:eastAsia="Times New Roman"/>
                <w:sz w:val="22"/>
                <w:szCs w:val="2"/>
              </w:rPr>
              <w:t>40 mg em semanas alternadasN=109</w:t>
            </w:r>
          </w:p>
        </w:tc>
        <w:tc>
          <w:tcPr>
            <w:tcW w:w="2014" w:type="dxa"/>
          </w:tcPr>
          <w:p w14:paraId="7A93C099" w14:textId="77777777" w:rsidR="002F6811" w:rsidRPr="00B427DD" w:rsidRDefault="00615769" w:rsidP="007A15C2">
            <w:pPr>
              <w:keepNext/>
              <w:suppressAutoHyphens/>
              <w:overflowPunct w:val="0"/>
              <w:autoSpaceDE w:val="0"/>
              <w:autoSpaceDN w:val="0"/>
              <w:adjustRightInd w:val="0"/>
              <w:jc w:val="center"/>
              <w:textAlignment w:val="baseline"/>
              <w:rPr>
                <w:rFonts w:eastAsia="Times New Roman"/>
                <w:sz w:val="22"/>
              </w:rPr>
            </w:pPr>
            <w:r w:rsidRPr="00B427DD">
              <w:rPr>
                <w:rFonts w:eastAsia="Times New Roman"/>
                <w:sz w:val="22"/>
              </w:rPr>
              <w:t>Humira</w:t>
            </w:r>
          </w:p>
          <w:p w14:paraId="1150AC37" w14:textId="77777777" w:rsidR="002F6811" w:rsidRPr="00B427DD" w:rsidRDefault="00615769" w:rsidP="007A15C2">
            <w:pPr>
              <w:keepNext/>
              <w:jc w:val="center"/>
              <w:rPr>
                <w:rFonts w:eastAsia="Times New Roman"/>
                <w:sz w:val="22"/>
                <w:szCs w:val="2"/>
              </w:rPr>
            </w:pPr>
            <w:r w:rsidRPr="00B427DD">
              <w:rPr>
                <w:rFonts w:eastAsia="Times New Roman"/>
                <w:sz w:val="22"/>
                <w:szCs w:val="2"/>
              </w:rPr>
              <w:t>40 mg em semanas alternadas</w:t>
            </w:r>
          </w:p>
          <w:p w14:paraId="5EEB837C" w14:textId="77777777" w:rsidR="002F6811" w:rsidRPr="00B427DD" w:rsidRDefault="00615769" w:rsidP="007A15C2">
            <w:pPr>
              <w:keepNext/>
              <w:jc w:val="center"/>
              <w:rPr>
                <w:rFonts w:eastAsia="Times New Roman"/>
                <w:sz w:val="22"/>
                <w:szCs w:val="22"/>
              </w:rPr>
            </w:pPr>
            <w:r w:rsidRPr="00B427DD">
              <w:rPr>
                <w:rFonts w:eastAsia="Times New Roman"/>
                <w:sz w:val="22"/>
                <w:szCs w:val="2"/>
              </w:rPr>
              <w:t>N=80</w:t>
            </w:r>
          </w:p>
        </w:tc>
      </w:tr>
      <w:tr w:rsidR="00A7162A" w14:paraId="77D23B91" w14:textId="77777777" w:rsidTr="002F6811">
        <w:tc>
          <w:tcPr>
            <w:tcW w:w="2718" w:type="dxa"/>
          </w:tcPr>
          <w:p w14:paraId="44A57A98" w14:textId="77777777" w:rsidR="002F6811" w:rsidRPr="00612E98" w:rsidRDefault="00615769" w:rsidP="007A15C2">
            <w:pPr>
              <w:keepNext/>
              <w:rPr>
                <w:rFonts w:eastAsia="Times New Roman"/>
                <w:sz w:val="22"/>
                <w:szCs w:val="22"/>
                <w:lang w:val="en-US"/>
              </w:rPr>
            </w:pPr>
            <w:r w:rsidRPr="00612E98">
              <w:rPr>
                <w:rFonts w:eastAsia="Times New Roman"/>
                <w:sz w:val="22"/>
                <w:szCs w:val="2"/>
                <w:lang w:val="en-US"/>
              </w:rPr>
              <w:t>≥ mNAPSI 75 (%)</w:t>
            </w:r>
          </w:p>
        </w:tc>
        <w:tc>
          <w:tcPr>
            <w:tcW w:w="1080" w:type="dxa"/>
          </w:tcPr>
          <w:p w14:paraId="1B5CE280" w14:textId="77777777" w:rsidR="002F6811" w:rsidRPr="00612E98" w:rsidRDefault="00615769" w:rsidP="007A15C2">
            <w:pPr>
              <w:keepNext/>
              <w:jc w:val="center"/>
              <w:rPr>
                <w:rFonts w:eastAsia="Times New Roman"/>
                <w:sz w:val="22"/>
                <w:szCs w:val="22"/>
                <w:lang w:val="en-US"/>
              </w:rPr>
            </w:pPr>
            <w:r w:rsidRPr="00612E98">
              <w:rPr>
                <w:rFonts w:eastAsia="Times New Roman"/>
                <w:sz w:val="22"/>
                <w:szCs w:val="22"/>
                <w:lang w:val="en-US"/>
              </w:rPr>
              <w:t>2</w:t>
            </w:r>
            <w:r>
              <w:rPr>
                <w:rFonts w:eastAsia="Times New Roman"/>
                <w:sz w:val="22"/>
                <w:szCs w:val="22"/>
                <w:lang w:val="en-US"/>
              </w:rPr>
              <w:t>,</w:t>
            </w:r>
            <w:r w:rsidRPr="00612E98">
              <w:rPr>
                <w:rFonts w:eastAsia="Times New Roman"/>
                <w:sz w:val="22"/>
                <w:szCs w:val="22"/>
                <w:lang w:val="en-US"/>
              </w:rPr>
              <w:t>9</w:t>
            </w:r>
          </w:p>
        </w:tc>
        <w:tc>
          <w:tcPr>
            <w:tcW w:w="1260" w:type="dxa"/>
          </w:tcPr>
          <w:p w14:paraId="556A14B3" w14:textId="77777777" w:rsidR="002F6811" w:rsidRPr="00612E98" w:rsidRDefault="00615769" w:rsidP="007A15C2">
            <w:pPr>
              <w:keepNext/>
              <w:jc w:val="center"/>
              <w:rPr>
                <w:rFonts w:eastAsia="Times New Roman"/>
                <w:sz w:val="22"/>
                <w:szCs w:val="22"/>
                <w:lang w:val="en-US"/>
              </w:rPr>
            </w:pPr>
            <w:r w:rsidRPr="00612E98">
              <w:rPr>
                <w:rFonts w:eastAsia="Times New Roman"/>
                <w:sz w:val="22"/>
                <w:szCs w:val="22"/>
                <w:lang w:val="en-US"/>
              </w:rPr>
              <w:t>26</w:t>
            </w:r>
            <w:r>
              <w:rPr>
                <w:rFonts w:eastAsia="Times New Roman"/>
                <w:sz w:val="22"/>
                <w:szCs w:val="22"/>
                <w:lang w:val="en-US"/>
              </w:rPr>
              <w:t>,</w:t>
            </w:r>
            <w:r w:rsidRPr="00612E98">
              <w:rPr>
                <w:rFonts w:eastAsia="Times New Roman"/>
                <w:sz w:val="22"/>
                <w:szCs w:val="22"/>
                <w:lang w:val="en-US"/>
              </w:rPr>
              <w:t>0</w:t>
            </w:r>
            <w:r w:rsidRPr="00612E98">
              <w:rPr>
                <w:rFonts w:eastAsia="Times New Roman"/>
                <w:sz w:val="22"/>
                <w:szCs w:val="22"/>
                <w:vertAlign w:val="superscript"/>
                <w:lang w:val="en-US"/>
              </w:rPr>
              <w:t>a</w:t>
            </w:r>
          </w:p>
        </w:tc>
        <w:tc>
          <w:tcPr>
            <w:tcW w:w="990" w:type="dxa"/>
          </w:tcPr>
          <w:p w14:paraId="61A90CD0" w14:textId="77777777" w:rsidR="002F6811" w:rsidRPr="00612E98" w:rsidRDefault="00615769" w:rsidP="007A15C2">
            <w:pPr>
              <w:keepNext/>
              <w:tabs>
                <w:tab w:val="left" w:pos="562"/>
              </w:tabs>
              <w:suppressAutoHyphens/>
              <w:jc w:val="center"/>
              <w:rPr>
                <w:rFonts w:eastAsia="Times New Roman"/>
                <w:sz w:val="22"/>
                <w:szCs w:val="22"/>
                <w:lang w:val="en-US"/>
              </w:rPr>
            </w:pPr>
            <w:r w:rsidRPr="00612E98">
              <w:rPr>
                <w:rFonts w:eastAsia="Times New Roman"/>
                <w:sz w:val="22"/>
                <w:szCs w:val="22"/>
                <w:lang w:val="en-US"/>
              </w:rPr>
              <w:t>3</w:t>
            </w:r>
            <w:r>
              <w:rPr>
                <w:rFonts w:eastAsia="Times New Roman"/>
                <w:sz w:val="22"/>
                <w:szCs w:val="22"/>
                <w:lang w:val="en-US"/>
              </w:rPr>
              <w:t>,</w:t>
            </w:r>
            <w:r w:rsidRPr="00612E98">
              <w:rPr>
                <w:rFonts w:eastAsia="Times New Roman"/>
                <w:sz w:val="22"/>
                <w:szCs w:val="22"/>
                <w:lang w:val="en-US"/>
              </w:rPr>
              <w:t>4</w:t>
            </w:r>
          </w:p>
        </w:tc>
        <w:tc>
          <w:tcPr>
            <w:tcW w:w="1260" w:type="dxa"/>
          </w:tcPr>
          <w:p w14:paraId="2D5D7615" w14:textId="77777777" w:rsidR="002F6811" w:rsidRPr="00612E98" w:rsidRDefault="00615769" w:rsidP="007A15C2">
            <w:pPr>
              <w:keepNext/>
              <w:tabs>
                <w:tab w:val="left" w:pos="562"/>
              </w:tabs>
              <w:suppressAutoHyphens/>
              <w:jc w:val="center"/>
              <w:rPr>
                <w:rFonts w:eastAsia="Times New Roman"/>
                <w:sz w:val="22"/>
                <w:szCs w:val="22"/>
                <w:lang w:val="en-US"/>
              </w:rPr>
            </w:pPr>
            <w:r w:rsidRPr="00612E98">
              <w:rPr>
                <w:rFonts w:eastAsia="Times New Roman"/>
                <w:sz w:val="22"/>
                <w:szCs w:val="22"/>
                <w:lang w:val="en-US"/>
              </w:rPr>
              <w:t>46</w:t>
            </w:r>
            <w:r>
              <w:rPr>
                <w:rFonts w:eastAsia="Times New Roman"/>
                <w:sz w:val="22"/>
                <w:szCs w:val="22"/>
                <w:lang w:val="en-US"/>
              </w:rPr>
              <w:t>,</w:t>
            </w:r>
            <w:r w:rsidRPr="00612E98">
              <w:rPr>
                <w:rFonts w:eastAsia="Times New Roman"/>
                <w:sz w:val="22"/>
                <w:szCs w:val="22"/>
                <w:lang w:val="en-US"/>
              </w:rPr>
              <w:t>6</w:t>
            </w:r>
            <w:r w:rsidRPr="00612E98">
              <w:rPr>
                <w:rFonts w:eastAsia="Times New Roman"/>
                <w:sz w:val="22"/>
                <w:szCs w:val="22"/>
                <w:vertAlign w:val="superscript"/>
                <w:lang w:val="en-US"/>
              </w:rPr>
              <w:t>a</w:t>
            </w:r>
          </w:p>
        </w:tc>
        <w:tc>
          <w:tcPr>
            <w:tcW w:w="2014" w:type="dxa"/>
          </w:tcPr>
          <w:p w14:paraId="7587DA65" w14:textId="77777777" w:rsidR="002F6811" w:rsidRPr="00612E98" w:rsidRDefault="00615769" w:rsidP="007A15C2">
            <w:pPr>
              <w:keepNext/>
              <w:jc w:val="center"/>
              <w:rPr>
                <w:rFonts w:eastAsia="Times New Roman"/>
                <w:sz w:val="22"/>
                <w:szCs w:val="22"/>
                <w:lang w:val="en-US"/>
              </w:rPr>
            </w:pPr>
            <w:r w:rsidRPr="00612E98">
              <w:rPr>
                <w:rFonts w:eastAsia="Times New Roman"/>
                <w:sz w:val="22"/>
                <w:szCs w:val="22"/>
                <w:lang w:val="en-US"/>
              </w:rPr>
              <w:t>65</w:t>
            </w:r>
            <w:r>
              <w:rPr>
                <w:rFonts w:eastAsia="Times New Roman"/>
                <w:sz w:val="22"/>
                <w:szCs w:val="22"/>
                <w:lang w:val="en-US"/>
              </w:rPr>
              <w:t>,</w:t>
            </w:r>
            <w:r w:rsidRPr="00612E98">
              <w:rPr>
                <w:rFonts w:eastAsia="Times New Roman"/>
                <w:sz w:val="22"/>
                <w:szCs w:val="22"/>
                <w:lang w:val="en-US"/>
              </w:rPr>
              <w:t>0</w:t>
            </w:r>
          </w:p>
        </w:tc>
      </w:tr>
      <w:tr w:rsidR="00A7162A" w14:paraId="5EAC823E" w14:textId="77777777" w:rsidTr="002F6811">
        <w:tc>
          <w:tcPr>
            <w:tcW w:w="2718" w:type="dxa"/>
          </w:tcPr>
          <w:p w14:paraId="574412A6" w14:textId="77777777" w:rsidR="002F6811" w:rsidRPr="00612E98" w:rsidRDefault="00615769" w:rsidP="007A15C2">
            <w:pPr>
              <w:keepNext/>
              <w:rPr>
                <w:rFonts w:eastAsia="Times New Roman"/>
                <w:sz w:val="22"/>
                <w:szCs w:val="22"/>
              </w:rPr>
            </w:pPr>
            <w:r w:rsidRPr="00612E98">
              <w:rPr>
                <w:rFonts w:eastAsia="Times New Roman"/>
                <w:sz w:val="22"/>
                <w:szCs w:val="22"/>
              </w:rPr>
              <w:t>PGA-F limp</w:t>
            </w:r>
            <w:r w:rsidR="008F2FAC">
              <w:rPr>
                <w:rFonts w:eastAsia="Times New Roman"/>
                <w:sz w:val="22"/>
                <w:szCs w:val="22"/>
              </w:rPr>
              <w:t>a</w:t>
            </w:r>
            <w:r w:rsidRPr="00612E98">
              <w:rPr>
                <w:rFonts w:eastAsia="Times New Roman"/>
                <w:sz w:val="22"/>
                <w:szCs w:val="22"/>
              </w:rPr>
              <w:t>/</w:t>
            </w:r>
            <w:r w:rsidR="008F2FAC">
              <w:rPr>
                <w:rFonts w:eastAsia="Times New Roman"/>
                <w:sz w:val="22"/>
                <w:szCs w:val="22"/>
              </w:rPr>
              <w:t>quase limpa</w:t>
            </w:r>
            <w:r w:rsidRPr="00612E98">
              <w:rPr>
                <w:rFonts w:eastAsia="Times New Roman"/>
                <w:sz w:val="22"/>
                <w:szCs w:val="22"/>
              </w:rPr>
              <w:t xml:space="preserve"> e melhoria</w:t>
            </w:r>
            <w:r w:rsidR="008F2FAC">
              <w:rPr>
                <w:rFonts w:eastAsia="Times New Roman"/>
                <w:sz w:val="22"/>
                <w:szCs w:val="22"/>
              </w:rPr>
              <w:t xml:space="preserve"> </w:t>
            </w:r>
            <w:r w:rsidR="008F2FAC" w:rsidRPr="00612E98">
              <w:rPr>
                <w:rFonts w:eastAsia="Times New Roman"/>
                <w:sz w:val="22"/>
                <w:szCs w:val="22"/>
              </w:rPr>
              <w:t xml:space="preserve">≥2 </w:t>
            </w:r>
            <w:r w:rsidR="008F2FAC">
              <w:rPr>
                <w:rFonts w:eastAsia="Times New Roman"/>
                <w:sz w:val="22"/>
                <w:szCs w:val="22"/>
              </w:rPr>
              <w:t>graus</w:t>
            </w:r>
            <w:r w:rsidRPr="00612E98">
              <w:rPr>
                <w:rFonts w:eastAsia="Times New Roman"/>
                <w:sz w:val="22"/>
                <w:szCs w:val="22"/>
              </w:rPr>
              <w:t xml:space="preserve"> (%)</w:t>
            </w:r>
          </w:p>
        </w:tc>
        <w:tc>
          <w:tcPr>
            <w:tcW w:w="1080" w:type="dxa"/>
          </w:tcPr>
          <w:p w14:paraId="698C5693" w14:textId="77777777" w:rsidR="002F6811" w:rsidRPr="00612E98" w:rsidRDefault="00615769" w:rsidP="007A15C2">
            <w:pPr>
              <w:keepNext/>
              <w:jc w:val="center"/>
              <w:rPr>
                <w:rFonts w:eastAsia="Times New Roman"/>
                <w:sz w:val="22"/>
                <w:szCs w:val="22"/>
                <w:lang w:val="en-US"/>
              </w:rPr>
            </w:pPr>
            <w:r w:rsidRPr="00612E98">
              <w:rPr>
                <w:rFonts w:eastAsia="Times New Roman"/>
                <w:sz w:val="22"/>
                <w:szCs w:val="22"/>
                <w:lang w:val="en-US"/>
              </w:rPr>
              <w:t>2</w:t>
            </w:r>
            <w:r>
              <w:rPr>
                <w:rFonts w:eastAsia="Times New Roman"/>
                <w:sz w:val="22"/>
                <w:szCs w:val="22"/>
                <w:lang w:val="en-US"/>
              </w:rPr>
              <w:t>,</w:t>
            </w:r>
            <w:r w:rsidRPr="00612E98">
              <w:rPr>
                <w:rFonts w:eastAsia="Times New Roman"/>
                <w:sz w:val="22"/>
                <w:szCs w:val="22"/>
                <w:lang w:val="en-US"/>
              </w:rPr>
              <w:t>9</w:t>
            </w:r>
          </w:p>
        </w:tc>
        <w:tc>
          <w:tcPr>
            <w:tcW w:w="1260" w:type="dxa"/>
          </w:tcPr>
          <w:p w14:paraId="47E2314D" w14:textId="77777777" w:rsidR="002F6811" w:rsidRPr="00612E98" w:rsidRDefault="00615769" w:rsidP="007A15C2">
            <w:pPr>
              <w:keepNext/>
              <w:jc w:val="center"/>
              <w:rPr>
                <w:rFonts w:eastAsia="Times New Roman"/>
                <w:sz w:val="22"/>
                <w:szCs w:val="22"/>
                <w:lang w:val="en-US"/>
              </w:rPr>
            </w:pPr>
            <w:r w:rsidRPr="00612E98">
              <w:rPr>
                <w:rFonts w:eastAsia="Times New Roman"/>
                <w:sz w:val="22"/>
                <w:szCs w:val="22"/>
                <w:lang w:val="en-US"/>
              </w:rPr>
              <w:t>29</w:t>
            </w:r>
            <w:r>
              <w:rPr>
                <w:rFonts w:eastAsia="Times New Roman"/>
                <w:sz w:val="22"/>
                <w:szCs w:val="22"/>
                <w:lang w:val="en-US"/>
              </w:rPr>
              <w:t>,</w:t>
            </w:r>
            <w:r w:rsidRPr="00612E98">
              <w:rPr>
                <w:rFonts w:eastAsia="Times New Roman"/>
                <w:sz w:val="22"/>
                <w:szCs w:val="22"/>
                <w:lang w:val="en-US"/>
              </w:rPr>
              <w:t>7</w:t>
            </w:r>
            <w:r w:rsidRPr="00612E98">
              <w:rPr>
                <w:rFonts w:eastAsia="Times New Roman"/>
                <w:sz w:val="22"/>
                <w:szCs w:val="22"/>
                <w:vertAlign w:val="superscript"/>
                <w:lang w:val="en-US"/>
              </w:rPr>
              <w:t>a</w:t>
            </w:r>
          </w:p>
        </w:tc>
        <w:tc>
          <w:tcPr>
            <w:tcW w:w="990" w:type="dxa"/>
          </w:tcPr>
          <w:p w14:paraId="4B8A2007" w14:textId="77777777" w:rsidR="002F6811" w:rsidRPr="00612E98" w:rsidRDefault="00615769" w:rsidP="007A15C2">
            <w:pPr>
              <w:keepNext/>
              <w:tabs>
                <w:tab w:val="left" w:pos="562"/>
              </w:tabs>
              <w:suppressAutoHyphens/>
              <w:jc w:val="center"/>
              <w:rPr>
                <w:rFonts w:eastAsia="Times New Roman"/>
                <w:sz w:val="22"/>
                <w:szCs w:val="22"/>
                <w:lang w:val="en-US"/>
              </w:rPr>
            </w:pPr>
            <w:r w:rsidRPr="00612E98">
              <w:rPr>
                <w:rFonts w:eastAsia="Times New Roman"/>
                <w:sz w:val="22"/>
                <w:szCs w:val="22"/>
                <w:lang w:val="en-US"/>
              </w:rPr>
              <w:t>6</w:t>
            </w:r>
            <w:r>
              <w:rPr>
                <w:rFonts w:eastAsia="Times New Roman"/>
                <w:sz w:val="22"/>
                <w:szCs w:val="22"/>
                <w:lang w:val="en-US"/>
              </w:rPr>
              <w:t>,</w:t>
            </w:r>
            <w:r w:rsidRPr="00612E98">
              <w:rPr>
                <w:rFonts w:eastAsia="Times New Roman"/>
                <w:sz w:val="22"/>
                <w:szCs w:val="22"/>
                <w:lang w:val="en-US"/>
              </w:rPr>
              <w:t>9</w:t>
            </w:r>
          </w:p>
        </w:tc>
        <w:tc>
          <w:tcPr>
            <w:tcW w:w="1260" w:type="dxa"/>
          </w:tcPr>
          <w:p w14:paraId="0CFB8A35" w14:textId="77777777" w:rsidR="002F6811" w:rsidRPr="00612E98" w:rsidRDefault="00615769" w:rsidP="007A15C2">
            <w:pPr>
              <w:keepNext/>
              <w:tabs>
                <w:tab w:val="left" w:pos="562"/>
              </w:tabs>
              <w:suppressAutoHyphens/>
              <w:jc w:val="center"/>
              <w:rPr>
                <w:rFonts w:eastAsia="Times New Roman"/>
                <w:sz w:val="22"/>
                <w:szCs w:val="22"/>
                <w:lang w:val="en-US"/>
              </w:rPr>
            </w:pPr>
            <w:r w:rsidRPr="00612E98">
              <w:rPr>
                <w:rFonts w:eastAsia="Times New Roman"/>
                <w:sz w:val="22"/>
                <w:szCs w:val="22"/>
                <w:lang w:val="en-US"/>
              </w:rPr>
              <w:t>48</w:t>
            </w:r>
            <w:r>
              <w:rPr>
                <w:rFonts w:eastAsia="Times New Roman"/>
                <w:sz w:val="22"/>
                <w:szCs w:val="22"/>
                <w:lang w:val="en-US"/>
              </w:rPr>
              <w:t>,</w:t>
            </w:r>
            <w:r w:rsidRPr="00612E98">
              <w:rPr>
                <w:rFonts w:eastAsia="Times New Roman"/>
                <w:sz w:val="22"/>
                <w:szCs w:val="22"/>
                <w:lang w:val="en-US"/>
              </w:rPr>
              <w:t>9</w:t>
            </w:r>
            <w:r w:rsidRPr="00612E98">
              <w:rPr>
                <w:rFonts w:eastAsia="Times New Roman"/>
                <w:sz w:val="22"/>
                <w:szCs w:val="22"/>
                <w:vertAlign w:val="superscript"/>
                <w:lang w:val="en-US"/>
              </w:rPr>
              <w:t>a</w:t>
            </w:r>
          </w:p>
        </w:tc>
        <w:tc>
          <w:tcPr>
            <w:tcW w:w="2014" w:type="dxa"/>
          </w:tcPr>
          <w:p w14:paraId="28F1C8AE" w14:textId="77777777" w:rsidR="002F6811" w:rsidRPr="00612E98" w:rsidRDefault="00615769" w:rsidP="007A15C2">
            <w:pPr>
              <w:keepNext/>
              <w:jc w:val="center"/>
              <w:rPr>
                <w:rFonts w:eastAsia="Times New Roman"/>
                <w:sz w:val="22"/>
                <w:szCs w:val="22"/>
                <w:lang w:val="en-US"/>
              </w:rPr>
            </w:pPr>
            <w:r w:rsidRPr="00612E98">
              <w:rPr>
                <w:rFonts w:eastAsia="Times New Roman"/>
                <w:sz w:val="22"/>
                <w:szCs w:val="22"/>
                <w:lang w:val="en-US"/>
              </w:rPr>
              <w:t>61</w:t>
            </w:r>
            <w:r>
              <w:rPr>
                <w:rFonts w:eastAsia="Times New Roman"/>
                <w:sz w:val="22"/>
                <w:szCs w:val="22"/>
                <w:lang w:val="en-US"/>
              </w:rPr>
              <w:t>,</w:t>
            </w:r>
            <w:r w:rsidRPr="00612E98">
              <w:rPr>
                <w:rFonts w:eastAsia="Times New Roman"/>
                <w:sz w:val="22"/>
                <w:szCs w:val="22"/>
                <w:lang w:val="en-US"/>
              </w:rPr>
              <w:t>3</w:t>
            </w:r>
          </w:p>
        </w:tc>
      </w:tr>
      <w:tr w:rsidR="00A7162A" w14:paraId="66852EF9" w14:textId="77777777" w:rsidTr="002F6811">
        <w:tc>
          <w:tcPr>
            <w:tcW w:w="2718" w:type="dxa"/>
          </w:tcPr>
          <w:p w14:paraId="1B0D65DC" w14:textId="77777777" w:rsidR="002F6811" w:rsidRPr="00475D7E" w:rsidRDefault="00615769" w:rsidP="007A15C2">
            <w:pPr>
              <w:keepNext/>
              <w:rPr>
                <w:rFonts w:eastAsia="Times New Roman"/>
                <w:sz w:val="22"/>
                <w:szCs w:val="22"/>
              </w:rPr>
            </w:pPr>
            <w:r>
              <w:rPr>
                <w:rFonts w:eastAsia="Times New Roman"/>
                <w:sz w:val="22"/>
                <w:szCs w:val="22"/>
              </w:rPr>
              <w:t>Alteração</w:t>
            </w:r>
            <w:r w:rsidRPr="00475D7E">
              <w:rPr>
                <w:rFonts w:eastAsia="Times New Roman"/>
                <w:sz w:val="22"/>
                <w:szCs w:val="22"/>
              </w:rPr>
              <w:t xml:space="preserve"> percentual na </w:t>
            </w:r>
            <w:r>
              <w:rPr>
                <w:rFonts w:eastAsia="Times New Roman"/>
                <w:sz w:val="22"/>
                <w:szCs w:val="22"/>
              </w:rPr>
              <w:t xml:space="preserve">Avaliação Ungueal Total </w:t>
            </w:r>
            <w:r w:rsidRPr="00475D7E">
              <w:rPr>
                <w:rFonts w:eastAsia="Times New Roman"/>
                <w:sz w:val="22"/>
                <w:szCs w:val="22"/>
              </w:rPr>
              <w:t xml:space="preserve"> NAPSI (%)</w:t>
            </w:r>
          </w:p>
        </w:tc>
        <w:tc>
          <w:tcPr>
            <w:tcW w:w="1080" w:type="dxa"/>
          </w:tcPr>
          <w:p w14:paraId="6C095A86" w14:textId="77777777" w:rsidR="002F6811" w:rsidRPr="00612E98" w:rsidRDefault="00615769" w:rsidP="007A15C2">
            <w:pPr>
              <w:keepNext/>
              <w:jc w:val="center"/>
              <w:rPr>
                <w:rFonts w:eastAsia="Times New Roman"/>
                <w:sz w:val="22"/>
                <w:szCs w:val="22"/>
                <w:lang w:val="en-US"/>
              </w:rPr>
            </w:pPr>
            <w:r w:rsidRPr="00612E98">
              <w:rPr>
                <w:rFonts w:eastAsia="Times New Roman"/>
                <w:sz w:val="22"/>
                <w:szCs w:val="22"/>
                <w:lang w:val="en-US"/>
              </w:rPr>
              <w:t>-7</w:t>
            </w:r>
            <w:r>
              <w:rPr>
                <w:rFonts w:eastAsia="Times New Roman"/>
                <w:sz w:val="22"/>
                <w:szCs w:val="22"/>
                <w:lang w:val="en-US"/>
              </w:rPr>
              <w:t>,</w:t>
            </w:r>
            <w:r w:rsidRPr="00612E98">
              <w:rPr>
                <w:rFonts w:eastAsia="Times New Roman"/>
                <w:sz w:val="22"/>
                <w:szCs w:val="22"/>
                <w:lang w:val="en-US"/>
              </w:rPr>
              <w:t>8</w:t>
            </w:r>
          </w:p>
        </w:tc>
        <w:tc>
          <w:tcPr>
            <w:tcW w:w="1260" w:type="dxa"/>
          </w:tcPr>
          <w:p w14:paraId="3DE2A9F6" w14:textId="77777777" w:rsidR="002F6811" w:rsidRPr="00612E98" w:rsidRDefault="00615769" w:rsidP="007A15C2">
            <w:pPr>
              <w:keepNext/>
              <w:jc w:val="center"/>
              <w:rPr>
                <w:rFonts w:eastAsia="Times New Roman"/>
                <w:sz w:val="22"/>
                <w:szCs w:val="22"/>
                <w:lang w:val="en-US"/>
              </w:rPr>
            </w:pPr>
            <w:r w:rsidRPr="00612E98">
              <w:rPr>
                <w:rFonts w:eastAsia="Times New Roman"/>
                <w:sz w:val="22"/>
                <w:szCs w:val="22"/>
                <w:lang w:val="en-US"/>
              </w:rPr>
              <w:t>-44</w:t>
            </w:r>
            <w:r>
              <w:rPr>
                <w:rFonts w:eastAsia="Times New Roman"/>
                <w:sz w:val="22"/>
                <w:szCs w:val="22"/>
                <w:lang w:val="en-US"/>
              </w:rPr>
              <w:t>,</w:t>
            </w:r>
            <w:r w:rsidRPr="00612E98">
              <w:rPr>
                <w:rFonts w:eastAsia="Times New Roman"/>
                <w:sz w:val="22"/>
                <w:szCs w:val="22"/>
                <w:lang w:val="en-US"/>
              </w:rPr>
              <w:t>2</w:t>
            </w:r>
            <w:r w:rsidRPr="00612E98">
              <w:rPr>
                <w:rFonts w:eastAsia="Times New Roman"/>
                <w:sz w:val="22"/>
                <w:szCs w:val="22"/>
                <w:vertAlign w:val="superscript"/>
                <w:lang w:val="en-US"/>
              </w:rPr>
              <w:t xml:space="preserve"> a</w:t>
            </w:r>
          </w:p>
        </w:tc>
        <w:tc>
          <w:tcPr>
            <w:tcW w:w="990" w:type="dxa"/>
          </w:tcPr>
          <w:p w14:paraId="3B9F0FC5" w14:textId="77777777" w:rsidR="002F6811" w:rsidRPr="00612E98" w:rsidRDefault="00615769" w:rsidP="007A15C2">
            <w:pPr>
              <w:keepNext/>
              <w:tabs>
                <w:tab w:val="left" w:pos="562"/>
              </w:tabs>
              <w:suppressAutoHyphens/>
              <w:jc w:val="center"/>
              <w:rPr>
                <w:rFonts w:eastAsia="Times New Roman"/>
                <w:sz w:val="22"/>
                <w:szCs w:val="22"/>
                <w:lang w:val="en-US"/>
              </w:rPr>
            </w:pPr>
            <w:r w:rsidRPr="00612E98">
              <w:rPr>
                <w:rFonts w:eastAsia="Times New Roman"/>
                <w:sz w:val="22"/>
                <w:szCs w:val="22"/>
                <w:lang w:val="en-US"/>
              </w:rPr>
              <w:t>-11</w:t>
            </w:r>
            <w:r>
              <w:rPr>
                <w:rFonts w:eastAsia="Times New Roman"/>
                <w:sz w:val="22"/>
                <w:szCs w:val="22"/>
                <w:lang w:val="en-US"/>
              </w:rPr>
              <w:t>,</w:t>
            </w:r>
            <w:r w:rsidRPr="00612E98">
              <w:rPr>
                <w:rFonts w:eastAsia="Times New Roman"/>
                <w:sz w:val="22"/>
                <w:szCs w:val="22"/>
                <w:lang w:val="en-US"/>
              </w:rPr>
              <w:t>5</w:t>
            </w:r>
          </w:p>
        </w:tc>
        <w:tc>
          <w:tcPr>
            <w:tcW w:w="1260" w:type="dxa"/>
          </w:tcPr>
          <w:p w14:paraId="602CC464" w14:textId="77777777" w:rsidR="002F6811" w:rsidRPr="00612E98" w:rsidRDefault="00615769" w:rsidP="007A15C2">
            <w:pPr>
              <w:keepNext/>
              <w:tabs>
                <w:tab w:val="left" w:pos="562"/>
              </w:tabs>
              <w:suppressAutoHyphens/>
              <w:jc w:val="center"/>
              <w:rPr>
                <w:rFonts w:eastAsia="Times New Roman"/>
                <w:sz w:val="22"/>
                <w:szCs w:val="22"/>
                <w:lang w:val="en-US"/>
              </w:rPr>
            </w:pPr>
            <w:r w:rsidRPr="00612E98">
              <w:rPr>
                <w:rFonts w:eastAsia="Times New Roman"/>
                <w:sz w:val="22"/>
                <w:szCs w:val="22"/>
                <w:lang w:val="en-US"/>
              </w:rPr>
              <w:t>-56</w:t>
            </w:r>
            <w:r>
              <w:rPr>
                <w:rFonts w:eastAsia="Times New Roman"/>
                <w:sz w:val="22"/>
                <w:szCs w:val="22"/>
                <w:lang w:val="en-US"/>
              </w:rPr>
              <w:t>,</w:t>
            </w:r>
            <w:r w:rsidRPr="00612E98">
              <w:rPr>
                <w:rFonts w:eastAsia="Times New Roman"/>
                <w:sz w:val="22"/>
                <w:szCs w:val="22"/>
                <w:lang w:val="en-US"/>
              </w:rPr>
              <w:t>2</w:t>
            </w:r>
            <w:r w:rsidRPr="00612E98">
              <w:rPr>
                <w:rFonts w:eastAsia="Times New Roman"/>
                <w:sz w:val="22"/>
                <w:szCs w:val="22"/>
                <w:vertAlign w:val="superscript"/>
                <w:lang w:val="en-US"/>
              </w:rPr>
              <w:t>a</w:t>
            </w:r>
          </w:p>
        </w:tc>
        <w:tc>
          <w:tcPr>
            <w:tcW w:w="2014" w:type="dxa"/>
          </w:tcPr>
          <w:p w14:paraId="307729A3" w14:textId="77777777" w:rsidR="002F6811" w:rsidRPr="00612E98" w:rsidRDefault="00615769" w:rsidP="007A15C2">
            <w:pPr>
              <w:keepNext/>
              <w:jc w:val="center"/>
              <w:rPr>
                <w:rFonts w:eastAsia="Times New Roman"/>
                <w:sz w:val="22"/>
                <w:szCs w:val="22"/>
                <w:lang w:val="en-US"/>
              </w:rPr>
            </w:pPr>
            <w:r w:rsidRPr="00612E98">
              <w:rPr>
                <w:rFonts w:eastAsia="Times New Roman"/>
                <w:sz w:val="22"/>
                <w:szCs w:val="22"/>
                <w:lang w:val="en-US"/>
              </w:rPr>
              <w:t>-72</w:t>
            </w:r>
            <w:r>
              <w:rPr>
                <w:rFonts w:eastAsia="Times New Roman"/>
                <w:sz w:val="22"/>
                <w:szCs w:val="22"/>
                <w:lang w:val="en-US"/>
              </w:rPr>
              <w:t>,</w:t>
            </w:r>
            <w:r w:rsidRPr="00612E98">
              <w:rPr>
                <w:rFonts w:eastAsia="Times New Roman"/>
                <w:sz w:val="22"/>
                <w:szCs w:val="22"/>
                <w:lang w:val="en-US"/>
              </w:rPr>
              <w:t>2</w:t>
            </w:r>
          </w:p>
        </w:tc>
      </w:tr>
      <w:tr w:rsidR="00A7162A" w14:paraId="17169B9B" w14:textId="77777777" w:rsidTr="002F6811">
        <w:tc>
          <w:tcPr>
            <w:tcW w:w="9322" w:type="dxa"/>
            <w:gridSpan w:val="6"/>
          </w:tcPr>
          <w:p w14:paraId="1E6801B7" w14:textId="77777777" w:rsidR="002F6811" w:rsidRPr="00612E98" w:rsidRDefault="00615769" w:rsidP="007A15C2">
            <w:pPr>
              <w:keepNext/>
              <w:rPr>
                <w:rFonts w:eastAsia="Times New Roman"/>
                <w:sz w:val="22"/>
                <w:szCs w:val="22"/>
              </w:rPr>
            </w:pPr>
            <w:r w:rsidRPr="00612E98">
              <w:rPr>
                <w:rFonts w:eastAsia="Times New Roman"/>
                <w:sz w:val="22"/>
                <w:szCs w:val="22"/>
                <w:vertAlign w:val="superscript"/>
              </w:rPr>
              <w:t>a</w:t>
            </w:r>
            <w:r w:rsidRPr="00612E98">
              <w:rPr>
                <w:rFonts w:eastAsia="Times New Roman"/>
                <w:sz w:val="22"/>
                <w:szCs w:val="22"/>
              </w:rPr>
              <w:t xml:space="preserve"> p&lt;</w:t>
            </w:r>
            <w:r>
              <w:rPr>
                <w:rFonts w:eastAsia="Times New Roman"/>
                <w:sz w:val="22"/>
                <w:szCs w:val="22"/>
              </w:rPr>
              <w:t> </w:t>
            </w:r>
            <w:r w:rsidRPr="00612E98">
              <w:rPr>
                <w:rFonts w:eastAsia="Times New Roman"/>
                <w:sz w:val="22"/>
                <w:szCs w:val="22"/>
              </w:rPr>
              <w:t>0</w:t>
            </w:r>
            <w:r w:rsidR="009343EF">
              <w:rPr>
                <w:rFonts w:eastAsia="Times New Roman"/>
                <w:sz w:val="22"/>
                <w:szCs w:val="22"/>
              </w:rPr>
              <w:t>,</w:t>
            </w:r>
            <w:r w:rsidRPr="00612E98">
              <w:rPr>
                <w:rFonts w:eastAsia="Times New Roman"/>
                <w:sz w:val="22"/>
                <w:szCs w:val="22"/>
              </w:rPr>
              <w:t xml:space="preserve">001, Humira </w:t>
            </w:r>
            <w:r w:rsidRPr="00612E98">
              <w:rPr>
                <w:rFonts w:eastAsia="Times New Roman"/>
                <w:i/>
                <w:sz w:val="22"/>
                <w:szCs w:val="22"/>
              </w:rPr>
              <w:t>vs.</w:t>
            </w:r>
            <w:r w:rsidRPr="00612E98">
              <w:rPr>
                <w:rFonts w:eastAsia="Times New Roman"/>
                <w:sz w:val="22"/>
                <w:szCs w:val="22"/>
              </w:rPr>
              <w:t xml:space="preserve"> placebo </w:t>
            </w:r>
          </w:p>
        </w:tc>
      </w:tr>
    </w:tbl>
    <w:p w14:paraId="595C3FC8" w14:textId="77777777" w:rsidR="002F6811" w:rsidRPr="00612E98" w:rsidRDefault="002F6811" w:rsidP="002F6811">
      <w:pPr>
        <w:rPr>
          <w:rFonts w:eastAsia="Times New Roman"/>
          <w:sz w:val="22"/>
          <w:szCs w:val="22"/>
        </w:rPr>
      </w:pPr>
    </w:p>
    <w:p w14:paraId="4307B785" w14:textId="77777777" w:rsidR="002F6811" w:rsidRPr="00CB25CC" w:rsidRDefault="00615769" w:rsidP="002F6811">
      <w:pPr>
        <w:tabs>
          <w:tab w:val="left" w:pos="562"/>
        </w:tabs>
        <w:suppressAutoHyphens/>
        <w:rPr>
          <w:rFonts w:eastAsia="Times New Roman"/>
          <w:sz w:val="22"/>
          <w:szCs w:val="22"/>
        </w:rPr>
      </w:pPr>
      <w:r w:rsidRPr="00CB25CC">
        <w:rPr>
          <w:rFonts w:eastAsia="Times New Roman"/>
          <w:sz w:val="22"/>
          <w:szCs w:val="22"/>
        </w:rPr>
        <w:t>Os doentes tratados com Humira revelaram melho</w:t>
      </w:r>
      <w:r>
        <w:rPr>
          <w:rFonts w:eastAsia="Times New Roman"/>
          <w:sz w:val="22"/>
          <w:szCs w:val="22"/>
        </w:rPr>
        <w:t>ri</w:t>
      </w:r>
      <w:r w:rsidRPr="00CB25CC">
        <w:rPr>
          <w:rFonts w:eastAsia="Times New Roman"/>
          <w:sz w:val="22"/>
          <w:szCs w:val="22"/>
        </w:rPr>
        <w:t>as estatisticamente significativas</w:t>
      </w:r>
      <w:r>
        <w:rPr>
          <w:rFonts w:eastAsia="Times New Roman"/>
          <w:sz w:val="22"/>
          <w:szCs w:val="22"/>
        </w:rPr>
        <w:t xml:space="preserve"> à Semana 26 comparativamente com placebo</w:t>
      </w:r>
      <w:r w:rsidR="008F2FAC">
        <w:rPr>
          <w:rFonts w:eastAsia="Times New Roman"/>
          <w:sz w:val="22"/>
          <w:szCs w:val="22"/>
        </w:rPr>
        <w:t xml:space="preserve"> no</w:t>
      </w:r>
      <w:r w:rsidRPr="008912CF">
        <w:rPr>
          <w:sz w:val="22"/>
          <w:szCs w:val="22"/>
        </w:rPr>
        <w:t xml:space="preserve"> </w:t>
      </w:r>
      <w:r w:rsidRPr="008912CF">
        <w:rPr>
          <w:i/>
          <w:sz w:val="22"/>
          <w:szCs w:val="22"/>
        </w:rPr>
        <w:t xml:space="preserve">Dermatology Life Quality Index </w:t>
      </w:r>
      <w:r w:rsidRPr="008912CF">
        <w:rPr>
          <w:sz w:val="22"/>
          <w:szCs w:val="22"/>
        </w:rPr>
        <w:t>(DLQI</w:t>
      </w:r>
      <w:r>
        <w:rPr>
          <w:sz w:val="22"/>
          <w:szCs w:val="22"/>
        </w:rPr>
        <w:t>)</w:t>
      </w:r>
      <w:r w:rsidRPr="00CB25CC">
        <w:rPr>
          <w:rFonts w:eastAsia="Times New Roman"/>
          <w:sz w:val="22"/>
          <w:szCs w:val="22"/>
        </w:rPr>
        <w:t xml:space="preserve">. </w:t>
      </w:r>
    </w:p>
    <w:p w14:paraId="1A183752" w14:textId="77777777" w:rsidR="002F6811" w:rsidRPr="008912CF" w:rsidRDefault="002F6811" w:rsidP="002F6811">
      <w:pPr>
        <w:rPr>
          <w:sz w:val="22"/>
          <w:szCs w:val="22"/>
        </w:rPr>
      </w:pPr>
    </w:p>
    <w:p w14:paraId="2E0EFBA3" w14:textId="77777777" w:rsidR="002F6811" w:rsidRPr="008912CF" w:rsidRDefault="00615769" w:rsidP="007A15C2">
      <w:pPr>
        <w:keepNext/>
        <w:rPr>
          <w:sz w:val="22"/>
          <w:szCs w:val="22"/>
          <w:u w:val="single"/>
        </w:rPr>
      </w:pPr>
      <w:r w:rsidRPr="008912CF">
        <w:rPr>
          <w:i/>
          <w:sz w:val="22"/>
          <w:szCs w:val="22"/>
        </w:rPr>
        <w:t>Doença de Crohn no adulto</w:t>
      </w:r>
    </w:p>
    <w:p w14:paraId="0FD8748F" w14:textId="77777777" w:rsidR="002F6811" w:rsidRPr="008912CF" w:rsidRDefault="002F6811" w:rsidP="007A15C2">
      <w:pPr>
        <w:keepNext/>
        <w:rPr>
          <w:sz w:val="22"/>
          <w:szCs w:val="22"/>
        </w:rPr>
      </w:pPr>
    </w:p>
    <w:p w14:paraId="7DFC4B57" w14:textId="77777777" w:rsidR="002F6811" w:rsidRPr="008912CF" w:rsidRDefault="00615769" w:rsidP="007A15C2">
      <w:pPr>
        <w:pStyle w:val="BodyText2"/>
        <w:keepNext/>
        <w:autoSpaceDE/>
        <w:autoSpaceDN/>
        <w:adjustRightInd/>
        <w:rPr>
          <w:szCs w:val="22"/>
        </w:rPr>
      </w:pPr>
      <w:r w:rsidRPr="008912CF">
        <w:rPr>
          <w:szCs w:val="22"/>
        </w:rPr>
        <w:t>A segurança e eficácia de Humira foram avaliadas em mais de 1.500 doentes com doença de Crohn (DC) ativa moderada a grave (</w:t>
      </w:r>
      <w:r w:rsidRPr="008912CF">
        <w:rPr>
          <w:i/>
          <w:szCs w:val="22"/>
        </w:rPr>
        <w:t>Crohn’s Disease Activity Index</w:t>
      </w:r>
      <w:r w:rsidRPr="008912CF">
        <w:rPr>
          <w:szCs w:val="22"/>
        </w:rPr>
        <w:t xml:space="preserve"> (CDAI) </w:t>
      </w:r>
      <w:r w:rsidRPr="008912CF">
        <w:rPr>
          <w:rFonts w:ascii="Symbol" w:hAnsi="Symbol"/>
          <w:szCs w:val="22"/>
        </w:rPr>
        <w:sym w:font="Symbol" w:char="F0B3"/>
      </w:r>
      <w:r w:rsidRPr="008912CF">
        <w:rPr>
          <w:szCs w:val="22"/>
        </w:rPr>
        <w:t xml:space="preserve"> 220 e </w:t>
      </w:r>
      <w:r w:rsidRPr="008912CF">
        <w:rPr>
          <w:rFonts w:ascii="Symbol" w:hAnsi="Symbol"/>
          <w:szCs w:val="22"/>
        </w:rPr>
        <w:sym w:font="Symbol" w:char="F0A3"/>
      </w:r>
      <w:r w:rsidRPr="008912CF">
        <w:rPr>
          <w:szCs w:val="22"/>
        </w:rPr>
        <w:t xml:space="preserve"> 450) em estudos </w:t>
      </w:r>
      <w:r w:rsidR="0013275C">
        <w:rPr>
          <w:szCs w:val="22"/>
        </w:rPr>
        <w:t>aleatorizado</w:t>
      </w:r>
      <w:r w:rsidRPr="008912CF">
        <w:rPr>
          <w:szCs w:val="22"/>
        </w:rPr>
        <w:t>s, em dupla ocultação, controlados com placebo. Foi permitida a utilização concomitante de doses estáveis de aminosalicilatos, corticosteroides, e/ou agentes imunomoduladores e 80</w:t>
      </w:r>
      <w:r w:rsidR="009343EF">
        <w:rPr>
          <w:szCs w:val="22"/>
        </w:rPr>
        <w:t>%</w:t>
      </w:r>
      <w:r w:rsidRPr="008912CF">
        <w:rPr>
          <w:szCs w:val="22"/>
        </w:rPr>
        <w:t xml:space="preserve"> dos doentes continuaram a receber pelo menos um destes medicamentos.</w:t>
      </w:r>
    </w:p>
    <w:p w14:paraId="52E34E0D" w14:textId="77777777" w:rsidR="002F6811" w:rsidRPr="008912CF" w:rsidRDefault="002F6811" w:rsidP="002F6811">
      <w:pPr>
        <w:jc w:val="both"/>
        <w:rPr>
          <w:sz w:val="22"/>
          <w:szCs w:val="22"/>
        </w:rPr>
      </w:pPr>
    </w:p>
    <w:p w14:paraId="753635E4" w14:textId="77777777" w:rsidR="002F6811" w:rsidRPr="008912CF" w:rsidRDefault="00615769" w:rsidP="002F6811">
      <w:pPr>
        <w:pStyle w:val="BodyText2"/>
        <w:autoSpaceDE/>
        <w:autoSpaceDN/>
        <w:adjustRightInd/>
        <w:rPr>
          <w:szCs w:val="22"/>
        </w:rPr>
      </w:pPr>
      <w:r w:rsidRPr="008912CF">
        <w:rPr>
          <w:szCs w:val="22"/>
        </w:rPr>
        <w:t>A indução da remissão clínica (definida como CDAI &lt; 150) foi avaliada em dois estudos, Estudo DC I (CLASSIC I) e Estudo DC II (GAIN). No Estudo DC I</w:t>
      </w:r>
      <w:r w:rsidR="00FD7DDE">
        <w:rPr>
          <w:szCs w:val="22"/>
        </w:rPr>
        <w:t>,</w:t>
      </w:r>
      <w:r w:rsidRPr="008912CF">
        <w:rPr>
          <w:szCs w:val="22"/>
        </w:rPr>
        <w:t xml:space="preserve"> 299 doentes não tratados previamente com antagonistas-TNF foram </w:t>
      </w:r>
      <w:r w:rsidR="0013275C">
        <w:rPr>
          <w:szCs w:val="22"/>
        </w:rPr>
        <w:t>aleatorizado</w:t>
      </w:r>
      <w:r w:rsidRPr="008912CF">
        <w:rPr>
          <w:szCs w:val="22"/>
        </w:rPr>
        <w:t>s para um dos quatro grupos de tratamento; placebo nas Semanas 0 e 2, 160 mg de Humira na Semana 0 e 80 mg na Semana</w:t>
      </w:r>
      <w:r>
        <w:rPr>
          <w:szCs w:val="22"/>
        </w:rPr>
        <w:t> </w:t>
      </w:r>
      <w:r w:rsidRPr="008912CF">
        <w:rPr>
          <w:szCs w:val="22"/>
        </w:rPr>
        <w:t>2, 80 mg na Semana 0 e 40 mg na Semana 2, e 40 mg na Semana</w:t>
      </w:r>
      <w:r>
        <w:rPr>
          <w:szCs w:val="22"/>
        </w:rPr>
        <w:t> </w:t>
      </w:r>
      <w:r w:rsidRPr="008912CF">
        <w:rPr>
          <w:szCs w:val="22"/>
        </w:rPr>
        <w:t>0 e 20 mg na Semana 2. No Estudo DC II</w:t>
      </w:r>
      <w:r w:rsidR="00FD7DDE">
        <w:rPr>
          <w:szCs w:val="22"/>
        </w:rPr>
        <w:t>,</w:t>
      </w:r>
      <w:r w:rsidRPr="008912CF">
        <w:rPr>
          <w:szCs w:val="22"/>
        </w:rPr>
        <w:t xml:space="preserve"> 325 doentes que deixaram de responder ou foram intolerantes a infliximab foram </w:t>
      </w:r>
      <w:r w:rsidR="0013275C">
        <w:rPr>
          <w:szCs w:val="22"/>
        </w:rPr>
        <w:t>aleatorizado</w:t>
      </w:r>
      <w:r w:rsidRPr="008912CF">
        <w:rPr>
          <w:szCs w:val="22"/>
        </w:rPr>
        <w:t>s para receber ou 160 mg de Humira na Semana 0 e 80 mg na Semana 2 ou placebo nas Semanas</w:t>
      </w:r>
      <w:r>
        <w:rPr>
          <w:szCs w:val="22"/>
        </w:rPr>
        <w:t> </w:t>
      </w:r>
      <w:r w:rsidRPr="008912CF">
        <w:rPr>
          <w:szCs w:val="22"/>
        </w:rPr>
        <w:t xml:space="preserve">0 e 2. Foram excluídos do estudo os </w:t>
      </w:r>
      <w:r w:rsidRPr="008912CF">
        <w:rPr>
          <w:szCs w:val="22"/>
        </w:rPr>
        <w:t>não respondedores primários e estes doentes não foram avaliados.</w:t>
      </w:r>
    </w:p>
    <w:p w14:paraId="3BBE5E9E" w14:textId="77777777" w:rsidR="002F6811" w:rsidRPr="008912CF" w:rsidRDefault="002F6811" w:rsidP="002F6811">
      <w:pPr>
        <w:jc w:val="both"/>
        <w:rPr>
          <w:sz w:val="22"/>
          <w:szCs w:val="22"/>
        </w:rPr>
      </w:pPr>
    </w:p>
    <w:p w14:paraId="1140B7BB" w14:textId="77777777" w:rsidR="002F6811" w:rsidRPr="008912CF" w:rsidRDefault="00615769" w:rsidP="002F6811">
      <w:pPr>
        <w:pStyle w:val="EMEANormal"/>
        <w:rPr>
          <w:szCs w:val="22"/>
          <w:lang w:val="pt-PT"/>
        </w:rPr>
      </w:pPr>
      <w:r w:rsidRPr="008912CF">
        <w:rPr>
          <w:szCs w:val="22"/>
          <w:lang w:val="pt-PT"/>
        </w:rPr>
        <w:t xml:space="preserve">A manutenção da remissão clínica foi avaliada no estudo DC III (CHARM). No </w:t>
      </w:r>
      <w:r w:rsidR="007507AB">
        <w:rPr>
          <w:szCs w:val="22"/>
          <w:lang w:val="pt-PT"/>
        </w:rPr>
        <w:t>e</w:t>
      </w:r>
      <w:r w:rsidRPr="008912CF">
        <w:rPr>
          <w:szCs w:val="22"/>
          <w:lang w:val="pt-PT"/>
        </w:rPr>
        <w:t>studo DC III</w:t>
      </w:r>
      <w:r w:rsidR="007507AB">
        <w:rPr>
          <w:szCs w:val="22"/>
          <w:lang w:val="pt-PT"/>
        </w:rPr>
        <w:t>,</w:t>
      </w:r>
      <w:r w:rsidRPr="008912CF">
        <w:rPr>
          <w:szCs w:val="22"/>
          <w:lang w:val="pt-PT"/>
        </w:rPr>
        <w:t xml:space="preserve"> 854 doentes receberam </w:t>
      </w:r>
      <w:r w:rsidR="00891B19" w:rsidRPr="008912CF">
        <w:rPr>
          <w:szCs w:val="22"/>
          <w:lang w:val="pt-PT"/>
        </w:rPr>
        <w:t xml:space="preserve">em fase aberta </w:t>
      </w:r>
      <w:r w:rsidRPr="008912CF">
        <w:rPr>
          <w:szCs w:val="22"/>
          <w:lang w:val="pt-PT"/>
        </w:rPr>
        <w:t xml:space="preserve">80 mg na Semana 0 e 40 mg na Semana 2. Na Semana 4, os doentes foram </w:t>
      </w:r>
      <w:r w:rsidR="0013275C">
        <w:rPr>
          <w:szCs w:val="22"/>
          <w:lang w:val="pt-PT"/>
        </w:rPr>
        <w:t>aleatorizado</w:t>
      </w:r>
      <w:r w:rsidRPr="008912CF">
        <w:rPr>
          <w:szCs w:val="22"/>
          <w:lang w:val="pt-PT"/>
        </w:rPr>
        <w:t xml:space="preserve">s para 40 mg em </w:t>
      </w:r>
      <w:r>
        <w:rPr>
          <w:szCs w:val="22"/>
          <w:lang w:val="pt-PT"/>
        </w:rPr>
        <w:t>s</w:t>
      </w:r>
      <w:r w:rsidRPr="008912CF">
        <w:rPr>
          <w:szCs w:val="22"/>
          <w:lang w:val="pt-PT"/>
        </w:rPr>
        <w:t xml:space="preserve">emanas alternadas, 40 mg todas as </w:t>
      </w:r>
      <w:r>
        <w:rPr>
          <w:szCs w:val="22"/>
          <w:lang w:val="pt-PT"/>
        </w:rPr>
        <w:t>s</w:t>
      </w:r>
      <w:r w:rsidRPr="008912CF">
        <w:rPr>
          <w:szCs w:val="22"/>
          <w:lang w:val="pt-PT"/>
        </w:rPr>
        <w:t>emanas, ou placebo com uma duração total de 56</w:t>
      </w:r>
      <w:r>
        <w:rPr>
          <w:szCs w:val="22"/>
          <w:lang w:val="pt-PT"/>
        </w:rPr>
        <w:t> s</w:t>
      </w:r>
      <w:r w:rsidRPr="008912CF">
        <w:rPr>
          <w:szCs w:val="22"/>
          <w:lang w:val="pt-PT"/>
        </w:rPr>
        <w:t>emanas. Doentes em resposta clínica (diminuição de CDAI </w:t>
      </w:r>
      <w:r w:rsidRPr="008912CF">
        <w:rPr>
          <w:rFonts w:ascii="Symbol" w:hAnsi="Symbol"/>
          <w:szCs w:val="22"/>
          <w:lang w:val="pt-PT"/>
        </w:rPr>
        <w:sym w:font="Symbol" w:char="F0B3"/>
      </w:r>
      <w:r w:rsidRPr="008912CF">
        <w:rPr>
          <w:szCs w:val="22"/>
          <w:lang w:val="pt-PT"/>
        </w:rPr>
        <w:t xml:space="preserve"> 70) na </w:t>
      </w:r>
      <w:r w:rsidR="00FD7DDE">
        <w:rPr>
          <w:szCs w:val="22"/>
          <w:lang w:val="pt-PT"/>
        </w:rPr>
        <w:t>S</w:t>
      </w:r>
      <w:r w:rsidRPr="008912CF">
        <w:rPr>
          <w:szCs w:val="22"/>
          <w:lang w:val="pt-PT"/>
        </w:rPr>
        <w:t>emana 4 foram estratificados e analisados separadamente dos que não responderam clinicamente na Semana 4. A redução de corticosteroides foi permitida após a Semana</w:t>
      </w:r>
      <w:r>
        <w:rPr>
          <w:szCs w:val="22"/>
          <w:lang w:val="pt-PT"/>
        </w:rPr>
        <w:t> </w:t>
      </w:r>
      <w:r w:rsidRPr="008912CF">
        <w:rPr>
          <w:szCs w:val="22"/>
          <w:lang w:val="pt-PT"/>
        </w:rPr>
        <w:t>8.</w:t>
      </w:r>
    </w:p>
    <w:p w14:paraId="7AD53CB9" w14:textId="77777777" w:rsidR="002F6811" w:rsidRPr="008912CF" w:rsidRDefault="002F6811" w:rsidP="002F6811">
      <w:pPr>
        <w:pStyle w:val="EMEANormal"/>
        <w:rPr>
          <w:szCs w:val="22"/>
          <w:lang w:val="pt-PT"/>
        </w:rPr>
      </w:pPr>
    </w:p>
    <w:p w14:paraId="61878376" w14:textId="77777777" w:rsidR="002F6811" w:rsidRPr="008912CF" w:rsidRDefault="00615769" w:rsidP="002F6811">
      <w:pPr>
        <w:jc w:val="both"/>
        <w:rPr>
          <w:sz w:val="22"/>
          <w:szCs w:val="22"/>
        </w:rPr>
      </w:pPr>
      <w:r w:rsidRPr="008912CF">
        <w:rPr>
          <w:sz w:val="22"/>
          <w:szCs w:val="22"/>
        </w:rPr>
        <w:t>As taxas de indução de remissão e de resposta dos estudos D</w:t>
      </w:r>
      <w:r w:rsidR="00FD7DDE">
        <w:rPr>
          <w:sz w:val="22"/>
          <w:szCs w:val="22"/>
        </w:rPr>
        <w:t>C</w:t>
      </w:r>
      <w:r w:rsidRPr="008912CF">
        <w:rPr>
          <w:sz w:val="22"/>
          <w:szCs w:val="22"/>
        </w:rPr>
        <w:t xml:space="preserve"> I e D</w:t>
      </w:r>
      <w:r w:rsidR="00FD7DDE">
        <w:rPr>
          <w:sz w:val="22"/>
          <w:szCs w:val="22"/>
        </w:rPr>
        <w:t>C</w:t>
      </w:r>
      <w:r w:rsidRPr="008912CF">
        <w:rPr>
          <w:sz w:val="22"/>
          <w:szCs w:val="22"/>
        </w:rPr>
        <w:t xml:space="preserve"> II são apresentadas na Tabela </w:t>
      </w:r>
      <w:r w:rsidR="00116EA1">
        <w:rPr>
          <w:sz w:val="22"/>
          <w:szCs w:val="22"/>
        </w:rPr>
        <w:t>14</w:t>
      </w:r>
      <w:r w:rsidRPr="008912CF">
        <w:rPr>
          <w:sz w:val="22"/>
          <w:szCs w:val="22"/>
        </w:rPr>
        <w:t>.</w:t>
      </w:r>
    </w:p>
    <w:p w14:paraId="26CB2241" w14:textId="77777777" w:rsidR="002F6811" w:rsidRPr="008912CF" w:rsidRDefault="002F6811" w:rsidP="002F6811">
      <w:pPr>
        <w:jc w:val="both"/>
        <w:rPr>
          <w:sz w:val="22"/>
          <w:szCs w:val="22"/>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7"/>
        <w:gridCol w:w="1201"/>
        <w:gridCol w:w="1255"/>
        <w:gridCol w:w="1176"/>
        <w:gridCol w:w="1409"/>
        <w:gridCol w:w="1840"/>
      </w:tblGrid>
      <w:tr w:rsidR="00A7162A" w14:paraId="124C1E65" w14:textId="77777777" w:rsidTr="002F6811">
        <w:trPr>
          <w:cantSplit/>
        </w:trPr>
        <w:tc>
          <w:tcPr>
            <w:tcW w:w="9238" w:type="dxa"/>
            <w:gridSpan w:val="6"/>
            <w:tcBorders>
              <w:top w:val="nil"/>
              <w:left w:val="nil"/>
              <w:right w:val="nil"/>
            </w:tcBorders>
          </w:tcPr>
          <w:p w14:paraId="59EDF007" w14:textId="77777777" w:rsidR="002F6811" w:rsidRPr="008912CF" w:rsidRDefault="00615769" w:rsidP="0004619E">
            <w:pPr>
              <w:pStyle w:val="TableText"/>
              <w:spacing w:line="240" w:lineRule="auto"/>
              <w:jc w:val="center"/>
              <w:rPr>
                <w:b/>
                <w:bCs/>
                <w:sz w:val="22"/>
                <w:szCs w:val="22"/>
                <w:lang w:val="pt-PT"/>
              </w:rPr>
            </w:pPr>
            <w:r w:rsidRPr="008912CF">
              <w:rPr>
                <w:sz w:val="24"/>
                <w:szCs w:val="24"/>
                <w:lang w:val="pt-PT"/>
              </w:rPr>
              <w:br w:type="page"/>
            </w:r>
            <w:r w:rsidRPr="008912CF">
              <w:rPr>
                <w:szCs w:val="22"/>
                <w:lang w:val="pt-PT"/>
              </w:rPr>
              <w:br w:type="page"/>
            </w:r>
            <w:r w:rsidRPr="008912CF">
              <w:rPr>
                <w:b/>
                <w:bCs/>
                <w:sz w:val="22"/>
                <w:szCs w:val="22"/>
                <w:lang w:val="pt-PT"/>
              </w:rPr>
              <w:t xml:space="preserve">Tabela </w:t>
            </w:r>
            <w:r w:rsidR="00116EA1">
              <w:rPr>
                <w:b/>
                <w:bCs/>
                <w:sz w:val="22"/>
                <w:szCs w:val="22"/>
                <w:lang w:val="pt-PT"/>
              </w:rPr>
              <w:t>14</w:t>
            </w:r>
          </w:p>
          <w:p w14:paraId="181E2346" w14:textId="77777777" w:rsidR="002F6811" w:rsidRPr="008912CF" w:rsidRDefault="00615769" w:rsidP="0004619E">
            <w:pPr>
              <w:pStyle w:val="TableText"/>
              <w:spacing w:line="240" w:lineRule="auto"/>
              <w:jc w:val="center"/>
              <w:rPr>
                <w:b/>
                <w:bCs/>
                <w:sz w:val="22"/>
                <w:szCs w:val="22"/>
                <w:lang w:val="pt-PT"/>
              </w:rPr>
            </w:pPr>
            <w:r w:rsidRPr="008912CF">
              <w:rPr>
                <w:b/>
                <w:bCs/>
                <w:sz w:val="22"/>
                <w:szCs w:val="22"/>
                <w:lang w:val="pt-PT"/>
              </w:rPr>
              <w:t>Indução da remissão e resposta clínica</w:t>
            </w:r>
          </w:p>
          <w:p w14:paraId="573BE907" w14:textId="77777777" w:rsidR="002F6811" w:rsidRPr="008912CF" w:rsidRDefault="00615769" w:rsidP="0004619E">
            <w:pPr>
              <w:pStyle w:val="TableText"/>
              <w:spacing w:line="240" w:lineRule="auto"/>
              <w:jc w:val="center"/>
              <w:rPr>
                <w:b/>
                <w:bCs/>
                <w:sz w:val="22"/>
                <w:szCs w:val="22"/>
                <w:lang w:val="pt-PT"/>
              </w:rPr>
            </w:pPr>
            <w:r w:rsidRPr="008912CF">
              <w:rPr>
                <w:b/>
                <w:bCs/>
                <w:sz w:val="22"/>
                <w:szCs w:val="22"/>
                <w:lang w:val="pt-PT"/>
              </w:rPr>
              <w:t>(Percentagem de Doentes)</w:t>
            </w:r>
          </w:p>
          <w:p w14:paraId="30679F04" w14:textId="77777777" w:rsidR="002F6811" w:rsidRPr="008912CF" w:rsidRDefault="002F6811" w:rsidP="0004619E">
            <w:pPr>
              <w:pStyle w:val="TableText"/>
              <w:spacing w:line="240" w:lineRule="auto"/>
              <w:jc w:val="center"/>
              <w:rPr>
                <w:b/>
                <w:bCs/>
                <w:sz w:val="22"/>
                <w:szCs w:val="22"/>
                <w:lang w:val="pt-PT"/>
              </w:rPr>
            </w:pPr>
          </w:p>
        </w:tc>
      </w:tr>
      <w:tr w:rsidR="00A7162A" w14:paraId="6ED87037" w14:textId="77777777" w:rsidTr="002F6811">
        <w:trPr>
          <w:cantSplit/>
        </w:trPr>
        <w:tc>
          <w:tcPr>
            <w:tcW w:w="2357" w:type="dxa"/>
          </w:tcPr>
          <w:p w14:paraId="0D36B62D" w14:textId="77777777" w:rsidR="002F6811" w:rsidRPr="008912CF" w:rsidRDefault="002F6811" w:rsidP="0004619E">
            <w:pPr>
              <w:pStyle w:val="TableText"/>
              <w:spacing w:line="240" w:lineRule="auto"/>
              <w:rPr>
                <w:b/>
                <w:bCs/>
                <w:sz w:val="22"/>
                <w:szCs w:val="22"/>
                <w:lang w:val="pt-PT"/>
              </w:rPr>
            </w:pPr>
          </w:p>
        </w:tc>
        <w:tc>
          <w:tcPr>
            <w:tcW w:w="3632" w:type="dxa"/>
            <w:gridSpan w:val="3"/>
          </w:tcPr>
          <w:p w14:paraId="06F799A5" w14:textId="77777777" w:rsidR="002F6811" w:rsidRPr="008912CF" w:rsidRDefault="00615769" w:rsidP="0004619E">
            <w:pPr>
              <w:pStyle w:val="TableText"/>
              <w:spacing w:line="240" w:lineRule="auto"/>
              <w:rPr>
                <w:b/>
                <w:bCs/>
                <w:sz w:val="22"/>
                <w:szCs w:val="22"/>
                <w:lang w:val="pt-PT"/>
              </w:rPr>
            </w:pPr>
            <w:r w:rsidRPr="008912CF">
              <w:rPr>
                <w:b/>
                <w:bCs/>
                <w:sz w:val="22"/>
                <w:szCs w:val="22"/>
                <w:lang w:val="pt-PT"/>
              </w:rPr>
              <w:t>Estudo DC I: Doentes não tratados previamente com Infliximab</w:t>
            </w:r>
          </w:p>
        </w:tc>
        <w:tc>
          <w:tcPr>
            <w:tcW w:w="3249" w:type="dxa"/>
            <w:gridSpan w:val="2"/>
          </w:tcPr>
          <w:p w14:paraId="63CDF261" w14:textId="77777777" w:rsidR="002F6811" w:rsidRPr="008912CF" w:rsidRDefault="00615769" w:rsidP="0004619E">
            <w:pPr>
              <w:pStyle w:val="TableText"/>
              <w:spacing w:line="240" w:lineRule="auto"/>
              <w:rPr>
                <w:b/>
                <w:bCs/>
                <w:sz w:val="22"/>
                <w:szCs w:val="22"/>
                <w:lang w:val="pt-PT"/>
              </w:rPr>
            </w:pPr>
            <w:r w:rsidRPr="008912CF">
              <w:rPr>
                <w:b/>
                <w:bCs/>
                <w:sz w:val="22"/>
                <w:szCs w:val="22"/>
                <w:lang w:val="pt-PT"/>
              </w:rPr>
              <w:t>Estudo DC II: Doentes tratados</w:t>
            </w:r>
            <w:r w:rsidR="001E16B7">
              <w:rPr>
                <w:b/>
                <w:bCs/>
                <w:sz w:val="22"/>
                <w:szCs w:val="22"/>
                <w:lang w:val="pt-PT"/>
              </w:rPr>
              <w:t xml:space="preserve"> previamente</w:t>
            </w:r>
            <w:r w:rsidRPr="008912CF">
              <w:rPr>
                <w:b/>
                <w:bCs/>
                <w:sz w:val="22"/>
                <w:szCs w:val="22"/>
                <w:lang w:val="pt-PT"/>
              </w:rPr>
              <w:t xml:space="preserve"> com Infliximab</w:t>
            </w:r>
          </w:p>
        </w:tc>
      </w:tr>
      <w:tr w:rsidR="00A7162A" w14:paraId="1C971277" w14:textId="77777777" w:rsidTr="002F6811">
        <w:trPr>
          <w:cantSplit/>
        </w:trPr>
        <w:tc>
          <w:tcPr>
            <w:tcW w:w="2357" w:type="dxa"/>
          </w:tcPr>
          <w:p w14:paraId="0055ED4A" w14:textId="77777777" w:rsidR="002F6811" w:rsidRPr="008912CF" w:rsidRDefault="002F6811" w:rsidP="0004619E">
            <w:pPr>
              <w:pStyle w:val="TableText"/>
              <w:spacing w:line="240" w:lineRule="auto"/>
              <w:jc w:val="center"/>
              <w:rPr>
                <w:b/>
                <w:bCs/>
                <w:sz w:val="22"/>
                <w:szCs w:val="22"/>
                <w:lang w:val="pt-PT"/>
              </w:rPr>
            </w:pPr>
          </w:p>
        </w:tc>
        <w:tc>
          <w:tcPr>
            <w:tcW w:w="1201" w:type="dxa"/>
          </w:tcPr>
          <w:p w14:paraId="7B7CD45F" w14:textId="77777777" w:rsidR="002F6811" w:rsidRPr="008912CF" w:rsidRDefault="00615769" w:rsidP="0004619E">
            <w:pPr>
              <w:pStyle w:val="TableText"/>
              <w:spacing w:line="240" w:lineRule="auto"/>
              <w:jc w:val="center"/>
              <w:rPr>
                <w:b/>
                <w:bCs/>
                <w:sz w:val="22"/>
                <w:szCs w:val="22"/>
                <w:lang w:val="pt-PT"/>
              </w:rPr>
            </w:pPr>
            <w:r w:rsidRPr="008912CF">
              <w:rPr>
                <w:b/>
                <w:bCs/>
                <w:sz w:val="22"/>
                <w:szCs w:val="22"/>
                <w:lang w:val="pt-PT"/>
              </w:rPr>
              <w:t>Placebo</w:t>
            </w:r>
          </w:p>
          <w:p w14:paraId="7EEC2BF5" w14:textId="77777777" w:rsidR="002F6811" w:rsidRPr="008912CF" w:rsidRDefault="00615769" w:rsidP="0004619E">
            <w:pPr>
              <w:pStyle w:val="TableText"/>
              <w:spacing w:line="240" w:lineRule="auto"/>
              <w:jc w:val="center"/>
              <w:rPr>
                <w:b/>
                <w:bCs/>
                <w:sz w:val="22"/>
                <w:szCs w:val="22"/>
                <w:lang w:val="pt-PT"/>
              </w:rPr>
            </w:pPr>
            <w:r w:rsidRPr="008912CF">
              <w:rPr>
                <w:b/>
                <w:bCs/>
                <w:sz w:val="22"/>
                <w:szCs w:val="22"/>
                <w:lang w:val="pt-PT"/>
              </w:rPr>
              <w:t>N =74</w:t>
            </w:r>
          </w:p>
        </w:tc>
        <w:tc>
          <w:tcPr>
            <w:tcW w:w="1255" w:type="dxa"/>
          </w:tcPr>
          <w:p w14:paraId="455F505D" w14:textId="77777777" w:rsidR="002F6811" w:rsidRPr="008912CF" w:rsidRDefault="00615769" w:rsidP="0004619E">
            <w:pPr>
              <w:pStyle w:val="TableText"/>
              <w:spacing w:line="240" w:lineRule="auto"/>
              <w:jc w:val="center"/>
              <w:rPr>
                <w:b/>
                <w:bCs/>
                <w:sz w:val="22"/>
                <w:szCs w:val="22"/>
                <w:lang w:val="pt-PT"/>
              </w:rPr>
            </w:pPr>
            <w:r w:rsidRPr="008912CF">
              <w:rPr>
                <w:b/>
                <w:bCs/>
                <w:sz w:val="22"/>
                <w:szCs w:val="22"/>
                <w:lang w:val="pt-PT"/>
              </w:rPr>
              <w:t>Humira</w:t>
            </w:r>
          </w:p>
          <w:p w14:paraId="749ACB16" w14:textId="77777777" w:rsidR="002F6811" w:rsidRPr="008912CF" w:rsidRDefault="00615769" w:rsidP="0004619E">
            <w:pPr>
              <w:pStyle w:val="TableText"/>
              <w:spacing w:line="240" w:lineRule="auto"/>
              <w:jc w:val="center"/>
              <w:rPr>
                <w:b/>
                <w:bCs/>
                <w:sz w:val="22"/>
                <w:szCs w:val="22"/>
                <w:lang w:val="pt-PT"/>
              </w:rPr>
            </w:pPr>
            <w:r w:rsidRPr="008912CF">
              <w:rPr>
                <w:b/>
                <w:bCs/>
                <w:sz w:val="22"/>
                <w:szCs w:val="22"/>
                <w:lang w:val="pt-PT"/>
              </w:rPr>
              <w:t>80/40 mg</w:t>
            </w:r>
          </w:p>
          <w:p w14:paraId="716DF9E2" w14:textId="77777777" w:rsidR="002F6811" w:rsidRPr="008912CF" w:rsidRDefault="00615769" w:rsidP="0004619E">
            <w:pPr>
              <w:pStyle w:val="TableText"/>
              <w:spacing w:line="240" w:lineRule="auto"/>
              <w:jc w:val="center"/>
              <w:rPr>
                <w:b/>
                <w:bCs/>
                <w:sz w:val="22"/>
                <w:szCs w:val="22"/>
                <w:lang w:val="pt-PT"/>
              </w:rPr>
            </w:pPr>
            <w:r w:rsidRPr="008912CF">
              <w:rPr>
                <w:b/>
                <w:bCs/>
                <w:sz w:val="22"/>
                <w:szCs w:val="22"/>
                <w:lang w:val="pt-PT"/>
              </w:rPr>
              <w:t>N =75</w:t>
            </w:r>
          </w:p>
        </w:tc>
        <w:tc>
          <w:tcPr>
            <w:tcW w:w="1176" w:type="dxa"/>
          </w:tcPr>
          <w:p w14:paraId="23184CB6" w14:textId="77777777" w:rsidR="002F6811" w:rsidRPr="008912CF" w:rsidRDefault="00615769" w:rsidP="0004619E">
            <w:pPr>
              <w:pStyle w:val="TableText"/>
              <w:spacing w:line="240" w:lineRule="auto"/>
              <w:jc w:val="center"/>
              <w:rPr>
                <w:b/>
                <w:bCs/>
                <w:sz w:val="22"/>
                <w:szCs w:val="22"/>
                <w:lang w:val="pt-PT"/>
              </w:rPr>
            </w:pPr>
            <w:r w:rsidRPr="008912CF">
              <w:rPr>
                <w:b/>
                <w:bCs/>
                <w:sz w:val="22"/>
                <w:szCs w:val="22"/>
                <w:lang w:val="pt-PT"/>
              </w:rPr>
              <w:t xml:space="preserve">Humira </w:t>
            </w:r>
          </w:p>
          <w:p w14:paraId="7643B476" w14:textId="77777777" w:rsidR="002F6811" w:rsidRPr="008912CF" w:rsidRDefault="00615769" w:rsidP="0004619E">
            <w:pPr>
              <w:pStyle w:val="TableText"/>
              <w:spacing w:line="240" w:lineRule="auto"/>
              <w:jc w:val="center"/>
              <w:rPr>
                <w:b/>
                <w:bCs/>
                <w:sz w:val="22"/>
                <w:szCs w:val="22"/>
                <w:lang w:val="pt-PT"/>
              </w:rPr>
            </w:pPr>
            <w:r w:rsidRPr="008912CF">
              <w:rPr>
                <w:b/>
                <w:bCs/>
                <w:sz w:val="22"/>
                <w:szCs w:val="22"/>
                <w:lang w:val="pt-PT"/>
              </w:rPr>
              <w:t>160/80 mg N =76</w:t>
            </w:r>
          </w:p>
        </w:tc>
        <w:tc>
          <w:tcPr>
            <w:tcW w:w="1409" w:type="dxa"/>
          </w:tcPr>
          <w:p w14:paraId="1E6F049C" w14:textId="77777777" w:rsidR="002F6811" w:rsidRPr="008912CF" w:rsidRDefault="00615769" w:rsidP="0004619E">
            <w:pPr>
              <w:pStyle w:val="TableText"/>
              <w:spacing w:line="240" w:lineRule="auto"/>
              <w:jc w:val="center"/>
              <w:rPr>
                <w:b/>
                <w:bCs/>
                <w:sz w:val="22"/>
                <w:szCs w:val="22"/>
                <w:lang w:val="pt-PT"/>
              </w:rPr>
            </w:pPr>
            <w:r w:rsidRPr="008912CF">
              <w:rPr>
                <w:b/>
                <w:bCs/>
                <w:sz w:val="22"/>
                <w:szCs w:val="22"/>
                <w:lang w:val="pt-PT"/>
              </w:rPr>
              <w:t>Placebo</w:t>
            </w:r>
          </w:p>
          <w:p w14:paraId="2410A453" w14:textId="77777777" w:rsidR="002F6811" w:rsidRPr="008912CF" w:rsidRDefault="00615769" w:rsidP="0004619E">
            <w:pPr>
              <w:pStyle w:val="TableText"/>
              <w:spacing w:line="240" w:lineRule="auto"/>
              <w:jc w:val="center"/>
              <w:rPr>
                <w:b/>
                <w:bCs/>
                <w:sz w:val="22"/>
                <w:szCs w:val="22"/>
                <w:lang w:val="pt-PT"/>
              </w:rPr>
            </w:pPr>
            <w:r w:rsidRPr="008912CF">
              <w:rPr>
                <w:b/>
                <w:bCs/>
                <w:sz w:val="22"/>
                <w:szCs w:val="22"/>
                <w:lang w:val="pt-PT"/>
              </w:rPr>
              <w:t>N =166</w:t>
            </w:r>
          </w:p>
        </w:tc>
        <w:tc>
          <w:tcPr>
            <w:tcW w:w="1840" w:type="dxa"/>
          </w:tcPr>
          <w:p w14:paraId="2D7CBADA" w14:textId="77777777" w:rsidR="002F6811" w:rsidRPr="008912CF" w:rsidRDefault="00615769" w:rsidP="0004619E">
            <w:pPr>
              <w:pStyle w:val="TableText"/>
              <w:spacing w:line="240" w:lineRule="auto"/>
              <w:jc w:val="center"/>
              <w:rPr>
                <w:b/>
                <w:bCs/>
                <w:sz w:val="22"/>
                <w:szCs w:val="22"/>
                <w:lang w:val="pt-PT"/>
              </w:rPr>
            </w:pPr>
            <w:r w:rsidRPr="008912CF">
              <w:rPr>
                <w:b/>
                <w:bCs/>
                <w:sz w:val="22"/>
                <w:szCs w:val="22"/>
                <w:lang w:val="pt-PT"/>
              </w:rPr>
              <w:t xml:space="preserve">Humira </w:t>
            </w:r>
          </w:p>
          <w:p w14:paraId="2519079A" w14:textId="77777777" w:rsidR="002F6811" w:rsidRPr="008912CF" w:rsidRDefault="00615769" w:rsidP="0004619E">
            <w:pPr>
              <w:pStyle w:val="TableText"/>
              <w:spacing w:line="240" w:lineRule="auto"/>
              <w:jc w:val="center"/>
              <w:rPr>
                <w:b/>
                <w:bCs/>
                <w:sz w:val="22"/>
                <w:szCs w:val="22"/>
                <w:lang w:val="pt-PT"/>
              </w:rPr>
            </w:pPr>
            <w:r w:rsidRPr="008912CF">
              <w:rPr>
                <w:b/>
                <w:bCs/>
                <w:sz w:val="22"/>
                <w:szCs w:val="22"/>
                <w:lang w:val="pt-PT"/>
              </w:rPr>
              <w:t>160/80 mg</w:t>
            </w:r>
          </w:p>
          <w:p w14:paraId="4C456095" w14:textId="77777777" w:rsidR="002F6811" w:rsidRPr="008912CF" w:rsidRDefault="00615769" w:rsidP="0004619E">
            <w:pPr>
              <w:pStyle w:val="TableText"/>
              <w:spacing w:line="240" w:lineRule="auto"/>
              <w:jc w:val="center"/>
              <w:rPr>
                <w:b/>
                <w:bCs/>
                <w:sz w:val="22"/>
                <w:szCs w:val="22"/>
                <w:lang w:val="pt-PT"/>
              </w:rPr>
            </w:pPr>
            <w:r w:rsidRPr="008912CF">
              <w:rPr>
                <w:b/>
                <w:bCs/>
                <w:sz w:val="22"/>
                <w:szCs w:val="22"/>
                <w:lang w:val="pt-PT"/>
              </w:rPr>
              <w:t>N =159</w:t>
            </w:r>
          </w:p>
        </w:tc>
      </w:tr>
      <w:tr w:rsidR="00A7162A" w14:paraId="1B506223" w14:textId="77777777" w:rsidTr="002F6811">
        <w:trPr>
          <w:cantSplit/>
        </w:trPr>
        <w:tc>
          <w:tcPr>
            <w:tcW w:w="2357" w:type="dxa"/>
            <w:vAlign w:val="bottom"/>
          </w:tcPr>
          <w:p w14:paraId="6AAC2D01" w14:textId="77777777" w:rsidR="002F6811" w:rsidRPr="008912CF" w:rsidRDefault="00615769" w:rsidP="0004619E">
            <w:pPr>
              <w:pStyle w:val="TableText"/>
              <w:spacing w:line="240" w:lineRule="auto"/>
              <w:rPr>
                <w:sz w:val="22"/>
                <w:szCs w:val="22"/>
                <w:lang w:val="pt-PT"/>
              </w:rPr>
            </w:pPr>
            <w:r w:rsidRPr="008912CF">
              <w:rPr>
                <w:sz w:val="22"/>
                <w:szCs w:val="22"/>
                <w:lang w:val="pt-PT"/>
              </w:rPr>
              <w:t>Semana</w:t>
            </w:r>
            <w:r>
              <w:rPr>
                <w:sz w:val="22"/>
                <w:szCs w:val="22"/>
                <w:lang w:val="pt-PT"/>
              </w:rPr>
              <w:t> </w:t>
            </w:r>
            <w:r w:rsidRPr="008912CF">
              <w:rPr>
                <w:sz w:val="22"/>
                <w:szCs w:val="22"/>
                <w:lang w:val="pt-PT"/>
              </w:rPr>
              <w:t>4</w:t>
            </w:r>
          </w:p>
        </w:tc>
        <w:tc>
          <w:tcPr>
            <w:tcW w:w="1201" w:type="dxa"/>
            <w:vAlign w:val="bottom"/>
          </w:tcPr>
          <w:p w14:paraId="6A476E08" w14:textId="77777777" w:rsidR="002F6811" w:rsidRPr="008912CF" w:rsidRDefault="002F6811" w:rsidP="0004619E">
            <w:pPr>
              <w:pStyle w:val="TableText"/>
              <w:spacing w:line="240" w:lineRule="auto"/>
              <w:rPr>
                <w:sz w:val="22"/>
                <w:szCs w:val="22"/>
                <w:lang w:val="pt-PT"/>
              </w:rPr>
            </w:pPr>
          </w:p>
        </w:tc>
        <w:tc>
          <w:tcPr>
            <w:tcW w:w="1255" w:type="dxa"/>
            <w:vAlign w:val="bottom"/>
          </w:tcPr>
          <w:p w14:paraId="51550D9C" w14:textId="77777777" w:rsidR="002F6811" w:rsidRPr="008912CF" w:rsidRDefault="002F6811" w:rsidP="0004619E">
            <w:pPr>
              <w:pStyle w:val="TableText"/>
              <w:spacing w:line="240" w:lineRule="auto"/>
              <w:rPr>
                <w:sz w:val="22"/>
                <w:szCs w:val="22"/>
                <w:lang w:val="pt-PT"/>
              </w:rPr>
            </w:pPr>
          </w:p>
        </w:tc>
        <w:tc>
          <w:tcPr>
            <w:tcW w:w="1176" w:type="dxa"/>
            <w:vAlign w:val="bottom"/>
          </w:tcPr>
          <w:p w14:paraId="46F7F84E" w14:textId="77777777" w:rsidR="002F6811" w:rsidRPr="008912CF" w:rsidRDefault="002F6811" w:rsidP="0004619E">
            <w:pPr>
              <w:pStyle w:val="TableText"/>
              <w:spacing w:line="240" w:lineRule="auto"/>
              <w:rPr>
                <w:sz w:val="22"/>
                <w:szCs w:val="22"/>
                <w:lang w:val="pt-PT"/>
              </w:rPr>
            </w:pPr>
          </w:p>
        </w:tc>
        <w:tc>
          <w:tcPr>
            <w:tcW w:w="1409" w:type="dxa"/>
            <w:vAlign w:val="bottom"/>
          </w:tcPr>
          <w:p w14:paraId="31FDB1FC" w14:textId="77777777" w:rsidR="002F6811" w:rsidRPr="008912CF" w:rsidRDefault="002F6811" w:rsidP="0004619E">
            <w:pPr>
              <w:pStyle w:val="TableText"/>
              <w:spacing w:line="240" w:lineRule="auto"/>
              <w:rPr>
                <w:sz w:val="22"/>
                <w:szCs w:val="22"/>
                <w:lang w:val="pt-PT"/>
              </w:rPr>
            </w:pPr>
          </w:p>
        </w:tc>
        <w:tc>
          <w:tcPr>
            <w:tcW w:w="1840" w:type="dxa"/>
            <w:vAlign w:val="bottom"/>
          </w:tcPr>
          <w:p w14:paraId="6CA1EEBB" w14:textId="77777777" w:rsidR="002F6811" w:rsidRPr="008912CF" w:rsidRDefault="002F6811" w:rsidP="0004619E">
            <w:pPr>
              <w:pStyle w:val="TableText"/>
              <w:spacing w:line="240" w:lineRule="auto"/>
              <w:rPr>
                <w:sz w:val="22"/>
                <w:szCs w:val="22"/>
                <w:lang w:val="pt-PT"/>
              </w:rPr>
            </w:pPr>
          </w:p>
        </w:tc>
      </w:tr>
      <w:tr w:rsidR="00A7162A" w14:paraId="695B73B2" w14:textId="77777777" w:rsidTr="002F6811">
        <w:trPr>
          <w:cantSplit/>
        </w:trPr>
        <w:tc>
          <w:tcPr>
            <w:tcW w:w="2357" w:type="dxa"/>
            <w:vAlign w:val="bottom"/>
          </w:tcPr>
          <w:p w14:paraId="75D1A943" w14:textId="77777777" w:rsidR="002F6811" w:rsidRPr="008912CF" w:rsidRDefault="00615769" w:rsidP="0004619E">
            <w:pPr>
              <w:pStyle w:val="TableText"/>
              <w:spacing w:line="240" w:lineRule="auto"/>
              <w:rPr>
                <w:sz w:val="22"/>
                <w:szCs w:val="22"/>
                <w:lang w:val="pt-PT"/>
              </w:rPr>
            </w:pPr>
            <w:r w:rsidRPr="008912CF">
              <w:rPr>
                <w:sz w:val="22"/>
                <w:szCs w:val="22"/>
                <w:lang w:val="pt-PT"/>
              </w:rPr>
              <w:t>Remissão clínica</w:t>
            </w:r>
          </w:p>
        </w:tc>
        <w:tc>
          <w:tcPr>
            <w:tcW w:w="1201" w:type="dxa"/>
            <w:vAlign w:val="bottom"/>
          </w:tcPr>
          <w:p w14:paraId="0757534C" w14:textId="77777777" w:rsidR="002F6811" w:rsidRPr="008912CF" w:rsidRDefault="00615769" w:rsidP="0004619E">
            <w:pPr>
              <w:pStyle w:val="TableText"/>
              <w:spacing w:line="240" w:lineRule="auto"/>
              <w:jc w:val="center"/>
              <w:rPr>
                <w:sz w:val="22"/>
                <w:szCs w:val="22"/>
                <w:lang w:val="pt-PT"/>
              </w:rPr>
            </w:pPr>
            <w:r w:rsidRPr="008912CF">
              <w:rPr>
                <w:sz w:val="22"/>
                <w:szCs w:val="22"/>
                <w:lang w:val="pt-PT"/>
              </w:rPr>
              <w:t>12</w:t>
            </w:r>
            <w:r w:rsidR="009343EF">
              <w:rPr>
                <w:sz w:val="22"/>
                <w:szCs w:val="22"/>
                <w:lang w:val="pt-PT"/>
              </w:rPr>
              <w:t>%</w:t>
            </w:r>
          </w:p>
        </w:tc>
        <w:tc>
          <w:tcPr>
            <w:tcW w:w="1255" w:type="dxa"/>
            <w:vAlign w:val="bottom"/>
          </w:tcPr>
          <w:p w14:paraId="3C234A13" w14:textId="77777777" w:rsidR="002F6811" w:rsidRPr="008912CF" w:rsidRDefault="00615769" w:rsidP="0004619E">
            <w:pPr>
              <w:pStyle w:val="TableText"/>
              <w:spacing w:line="240" w:lineRule="auto"/>
              <w:jc w:val="center"/>
              <w:rPr>
                <w:bCs/>
                <w:iCs/>
                <w:sz w:val="22"/>
                <w:szCs w:val="22"/>
                <w:lang w:val="pt-PT"/>
              </w:rPr>
            </w:pPr>
            <w:r w:rsidRPr="008912CF">
              <w:rPr>
                <w:bCs/>
                <w:iCs/>
                <w:sz w:val="22"/>
                <w:szCs w:val="22"/>
                <w:lang w:val="pt-PT"/>
              </w:rPr>
              <w:t>24</w:t>
            </w:r>
            <w:r w:rsidR="009343EF">
              <w:rPr>
                <w:bCs/>
                <w:iCs/>
                <w:sz w:val="22"/>
                <w:szCs w:val="22"/>
                <w:lang w:val="pt-PT"/>
              </w:rPr>
              <w:t>%</w:t>
            </w:r>
          </w:p>
        </w:tc>
        <w:tc>
          <w:tcPr>
            <w:tcW w:w="1176" w:type="dxa"/>
            <w:vAlign w:val="bottom"/>
          </w:tcPr>
          <w:p w14:paraId="30DD8EF9" w14:textId="77777777" w:rsidR="002F6811" w:rsidRPr="008912CF" w:rsidRDefault="00615769" w:rsidP="0004619E">
            <w:pPr>
              <w:pStyle w:val="TableText"/>
              <w:spacing w:line="240" w:lineRule="auto"/>
              <w:jc w:val="center"/>
              <w:rPr>
                <w:bCs/>
                <w:iCs/>
                <w:sz w:val="22"/>
                <w:szCs w:val="22"/>
                <w:lang w:val="pt-PT"/>
              </w:rPr>
            </w:pPr>
            <w:r w:rsidRPr="008912CF">
              <w:rPr>
                <w:sz w:val="22"/>
                <w:szCs w:val="22"/>
                <w:lang w:val="pt-PT"/>
              </w:rPr>
              <w:t>36</w:t>
            </w:r>
            <w:r w:rsidR="009343EF">
              <w:rPr>
                <w:sz w:val="22"/>
                <w:szCs w:val="22"/>
                <w:lang w:val="pt-PT"/>
              </w:rPr>
              <w:t>%</w:t>
            </w:r>
            <w:r w:rsidRPr="008912CF">
              <w:rPr>
                <w:sz w:val="22"/>
                <w:szCs w:val="22"/>
                <w:vertAlign w:val="superscript"/>
                <w:lang w:val="pt-PT"/>
              </w:rPr>
              <w:t>*</w:t>
            </w:r>
          </w:p>
        </w:tc>
        <w:tc>
          <w:tcPr>
            <w:tcW w:w="1409" w:type="dxa"/>
            <w:vAlign w:val="bottom"/>
          </w:tcPr>
          <w:p w14:paraId="3EC2B8A7" w14:textId="77777777" w:rsidR="002F6811" w:rsidRPr="008912CF" w:rsidRDefault="00615769" w:rsidP="0004619E">
            <w:pPr>
              <w:pStyle w:val="TableText"/>
              <w:spacing w:line="240" w:lineRule="auto"/>
              <w:jc w:val="center"/>
              <w:rPr>
                <w:sz w:val="22"/>
                <w:szCs w:val="22"/>
                <w:lang w:val="pt-PT"/>
              </w:rPr>
            </w:pPr>
            <w:r w:rsidRPr="008912CF">
              <w:rPr>
                <w:sz w:val="22"/>
                <w:szCs w:val="22"/>
                <w:lang w:val="pt-PT"/>
              </w:rPr>
              <w:t>7</w:t>
            </w:r>
            <w:r w:rsidR="009343EF">
              <w:rPr>
                <w:sz w:val="22"/>
                <w:szCs w:val="22"/>
                <w:lang w:val="pt-PT"/>
              </w:rPr>
              <w:t>%</w:t>
            </w:r>
          </w:p>
        </w:tc>
        <w:tc>
          <w:tcPr>
            <w:tcW w:w="1840" w:type="dxa"/>
            <w:vAlign w:val="bottom"/>
          </w:tcPr>
          <w:p w14:paraId="4F32C279" w14:textId="77777777" w:rsidR="002F6811" w:rsidRPr="008912CF" w:rsidRDefault="00615769" w:rsidP="0004619E">
            <w:pPr>
              <w:pStyle w:val="TableText"/>
              <w:spacing w:line="240" w:lineRule="auto"/>
              <w:jc w:val="center"/>
              <w:rPr>
                <w:sz w:val="22"/>
                <w:szCs w:val="22"/>
                <w:lang w:val="pt-PT"/>
              </w:rPr>
            </w:pPr>
            <w:r w:rsidRPr="008912CF">
              <w:rPr>
                <w:sz w:val="22"/>
                <w:szCs w:val="22"/>
                <w:lang w:val="pt-PT"/>
              </w:rPr>
              <w:t>21</w:t>
            </w:r>
            <w:r w:rsidR="009343EF">
              <w:rPr>
                <w:sz w:val="22"/>
                <w:szCs w:val="22"/>
                <w:lang w:val="pt-PT"/>
              </w:rPr>
              <w:t>%</w:t>
            </w:r>
            <w:r w:rsidRPr="008912CF">
              <w:rPr>
                <w:sz w:val="22"/>
                <w:szCs w:val="22"/>
                <w:vertAlign w:val="superscript"/>
                <w:lang w:val="pt-PT"/>
              </w:rPr>
              <w:t>*</w:t>
            </w:r>
          </w:p>
        </w:tc>
      </w:tr>
      <w:tr w:rsidR="00A7162A" w14:paraId="1AB7989C" w14:textId="77777777" w:rsidTr="002F6811">
        <w:trPr>
          <w:cantSplit/>
        </w:trPr>
        <w:tc>
          <w:tcPr>
            <w:tcW w:w="2357" w:type="dxa"/>
          </w:tcPr>
          <w:p w14:paraId="74726866" w14:textId="77777777" w:rsidR="002F6811" w:rsidRPr="008912CF" w:rsidRDefault="00615769" w:rsidP="0004619E">
            <w:pPr>
              <w:pStyle w:val="TableText"/>
              <w:spacing w:line="240" w:lineRule="auto"/>
              <w:rPr>
                <w:sz w:val="22"/>
                <w:szCs w:val="22"/>
                <w:lang w:val="pt-PT"/>
              </w:rPr>
            </w:pPr>
            <w:r w:rsidRPr="008912CF">
              <w:rPr>
                <w:sz w:val="22"/>
                <w:szCs w:val="22"/>
                <w:lang w:val="pt-PT"/>
              </w:rPr>
              <w:t>Resposta clínica (CR-100)</w:t>
            </w:r>
          </w:p>
        </w:tc>
        <w:tc>
          <w:tcPr>
            <w:tcW w:w="1201" w:type="dxa"/>
          </w:tcPr>
          <w:p w14:paraId="641C111B" w14:textId="77777777" w:rsidR="002F6811" w:rsidRPr="008912CF" w:rsidRDefault="00615769" w:rsidP="0004619E">
            <w:pPr>
              <w:pStyle w:val="TableText"/>
              <w:spacing w:line="240" w:lineRule="auto"/>
              <w:jc w:val="center"/>
              <w:rPr>
                <w:sz w:val="22"/>
                <w:szCs w:val="22"/>
                <w:lang w:val="pt-PT"/>
              </w:rPr>
            </w:pPr>
            <w:r w:rsidRPr="008912CF">
              <w:rPr>
                <w:sz w:val="22"/>
                <w:szCs w:val="22"/>
                <w:lang w:val="pt-PT"/>
              </w:rPr>
              <w:t>24</w:t>
            </w:r>
            <w:r w:rsidR="009343EF">
              <w:rPr>
                <w:sz w:val="22"/>
                <w:szCs w:val="22"/>
                <w:lang w:val="pt-PT"/>
              </w:rPr>
              <w:t>%</w:t>
            </w:r>
          </w:p>
        </w:tc>
        <w:tc>
          <w:tcPr>
            <w:tcW w:w="1255" w:type="dxa"/>
          </w:tcPr>
          <w:p w14:paraId="23C922FC" w14:textId="77777777" w:rsidR="002F6811" w:rsidRPr="008912CF" w:rsidRDefault="00615769" w:rsidP="0004619E">
            <w:pPr>
              <w:pStyle w:val="TableText"/>
              <w:spacing w:line="240" w:lineRule="auto"/>
              <w:jc w:val="center"/>
              <w:rPr>
                <w:sz w:val="22"/>
                <w:szCs w:val="22"/>
                <w:lang w:val="pt-PT"/>
              </w:rPr>
            </w:pPr>
            <w:r w:rsidRPr="008912CF">
              <w:rPr>
                <w:sz w:val="22"/>
                <w:szCs w:val="22"/>
                <w:lang w:val="pt-PT"/>
              </w:rPr>
              <w:t>37</w:t>
            </w:r>
            <w:r w:rsidR="009343EF">
              <w:rPr>
                <w:sz w:val="22"/>
                <w:szCs w:val="22"/>
                <w:lang w:val="pt-PT"/>
              </w:rPr>
              <w:t>%</w:t>
            </w:r>
          </w:p>
        </w:tc>
        <w:tc>
          <w:tcPr>
            <w:tcW w:w="1176" w:type="dxa"/>
          </w:tcPr>
          <w:p w14:paraId="764FDFC8" w14:textId="77777777" w:rsidR="002F6811" w:rsidRPr="008912CF" w:rsidRDefault="00615769" w:rsidP="0004619E">
            <w:pPr>
              <w:pStyle w:val="TableText"/>
              <w:spacing w:line="240" w:lineRule="auto"/>
              <w:jc w:val="center"/>
              <w:rPr>
                <w:sz w:val="22"/>
                <w:szCs w:val="22"/>
                <w:lang w:val="pt-PT"/>
              </w:rPr>
            </w:pPr>
            <w:r w:rsidRPr="008912CF">
              <w:rPr>
                <w:sz w:val="22"/>
                <w:szCs w:val="22"/>
                <w:lang w:val="pt-PT"/>
              </w:rPr>
              <w:t>49</w:t>
            </w:r>
            <w:r w:rsidR="009343EF">
              <w:rPr>
                <w:sz w:val="22"/>
                <w:szCs w:val="22"/>
                <w:lang w:val="pt-PT"/>
              </w:rPr>
              <w:t>%</w:t>
            </w:r>
            <w:r w:rsidRPr="008912CF">
              <w:rPr>
                <w:sz w:val="22"/>
                <w:szCs w:val="22"/>
                <w:vertAlign w:val="superscript"/>
                <w:lang w:val="pt-PT"/>
              </w:rPr>
              <w:t>**</w:t>
            </w:r>
          </w:p>
        </w:tc>
        <w:tc>
          <w:tcPr>
            <w:tcW w:w="1409" w:type="dxa"/>
          </w:tcPr>
          <w:p w14:paraId="7148EB5F" w14:textId="77777777" w:rsidR="002F6811" w:rsidRPr="008912CF" w:rsidRDefault="00615769" w:rsidP="0004619E">
            <w:pPr>
              <w:pStyle w:val="TableText"/>
              <w:spacing w:line="240" w:lineRule="auto"/>
              <w:jc w:val="center"/>
              <w:rPr>
                <w:sz w:val="22"/>
                <w:szCs w:val="22"/>
                <w:lang w:val="pt-PT"/>
              </w:rPr>
            </w:pPr>
            <w:r w:rsidRPr="008912CF">
              <w:rPr>
                <w:sz w:val="22"/>
                <w:szCs w:val="22"/>
                <w:lang w:val="pt-PT"/>
              </w:rPr>
              <w:t>25</w:t>
            </w:r>
            <w:r w:rsidR="009343EF">
              <w:rPr>
                <w:sz w:val="22"/>
                <w:szCs w:val="22"/>
                <w:lang w:val="pt-PT"/>
              </w:rPr>
              <w:t>%</w:t>
            </w:r>
          </w:p>
        </w:tc>
        <w:tc>
          <w:tcPr>
            <w:tcW w:w="1840" w:type="dxa"/>
          </w:tcPr>
          <w:p w14:paraId="157A9520" w14:textId="77777777" w:rsidR="002F6811" w:rsidRPr="008912CF" w:rsidRDefault="00615769" w:rsidP="0004619E">
            <w:pPr>
              <w:pStyle w:val="TableText"/>
              <w:spacing w:line="240" w:lineRule="auto"/>
              <w:jc w:val="center"/>
              <w:rPr>
                <w:sz w:val="22"/>
                <w:szCs w:val="22"/>
                <w:lang w:val="pt-PT"/>
              </w:rPr>
            </w:pPr>
            <w:r w:rsidRPr="008912CF">
              <w:rPr>
                <w:sz w:val="22"/>
                <w:szCs w:val="22"/>
                <w:lang w:val="pt-PT"/>
              </w:rPr>
              <w:t>38</w:t>
            </w:r>
            <w:r w:rsidR="009343EF">
              <w:rPr>
                <w:sz w:val="22"/>
                <w:szCs w:val="22"/>
                <w:lang w:val="pt-PT"/>
              </w:rPr>
              <w:t>%</w:t>
            </w:r>
            <w:r w:rsidRPr="008912CF">
              <w:rPr>
                <w:sz w:val="22"/>
                <w:szCs w:val="22"/>
                <w:vertAlign w:val="superscript"/>
                <w:lang w:val="pt-PT"/>
              </w:rPr>
              <w:t>**</w:t>
            </w:r>
          </w:p>
        </w:tc>
      </w:tr>
      <w:tr w:rsidR="00A7162A" w14:paraId="3B145907" w14:textId="77777777" w:rsidTr="002F6811">
        <w:trPr>
          <w:cantSplit/>
        </w:trPr>
        <w:tc>
          <w:tcPr>
            <w:tcW w:w="9238" w:type="dxa"/>
            <w:gridSpan w:val="6"/>
            <w:tcBorders>
              <w:left w:val="nil"/>
              <w:bottom w:val="nil"/>
              <w:right w:val="nil"/>
            </w:tcBorders>
          </w:tcPr>
          <w:p w14:paraId="1066640E" w14:textId="77777777" w:rsidR="002F6811" w:rsidRPr="008912CF" w:rsidRDefault="00615769" w:rsidP="0004619E">
            <w:pPr>
              <w:pStyle w:val="TableText"/>
              <w:spacing w:line="240" w:lineRule="auto"/>
              <w:rPr>
                <w:sz w:val="22"/>
                <w:szCs w:val="22"/>
                <w:lang w:val="pt-PT"/>
              </w:rPr>
            </w:pPr>
            <w:r w:rsidRPr="008912CF">
              <w:rPr>
                <w:sz w:val="22"/>
                <w:szCs w:val="22"/>
                <w:lang w:val="pt-PT"/>
              </w:rPr>
              <w:t xml:space="preserve">Todos os valores-p são comparativos emparelhados entre Humira </w:t>
            </w:r>
            <w:r w:rsidRPr="008912CF">
              <w:rPr>
                <w:i/>
                <w:iCs/>
                <w:sz w:val="22"/>
                <w:szCs w:val="22"/>
                <w:lang w:val="pt-PT"/>
              </w:rPr>
              <w:t>versus</w:t>
            </w:r>
            <w:r w:rsidRPr="008912CF">
              <w:rPr>
                <w:sz w:val="22"/>
                <w:szCs w:val="22"/>
                <w:lang w:val="pt-PT"/>
              </w:rPr>
              <w:t xml:space="preserve"> placebo</w:t>
            </w:r>
          </w:p>
          <w:p w14:paraId="43191639" w14:textId="77777777" w:rsidR="002F6811" w:rsidRPr="008912CF" w:rsidRDefault="00615769" w:rsidP="0004619E">
            <w:pPr>
              <w:pStyle w:val="TableText"/>
              <w:spacing w:line="240" w:lineRule="auto"/>
              <w:rPr>
                <w:sz w:val="22"/>
                <w:szCs w:val="22"/>
                <w:lang w:val="pt-PT"/>
              </w:rPr>
            </w:pPr>
            <w:r w:rsidRPr="008912CF">
              <w:rPr>
                <w:sz w:val="22"/>
                <w:szCs w:val="22"/>
                <w:vertAlign w:val="superscript"/>
                <w:lang w:val="pt-PT"/>
              </w:rPr>
              <w:t>*</w:t>
            </w:r>
            <w:r w:rsidRPr="008912CF">
              <w:rPr>
                <w:sz w:val="22"/>
                <w:szCs w:val="22"/>
                <w:lang w:val="pt-PT"/>
              </w:rPr>
              <w:tab/>
              <w:t>p &lt; 0,001</w:t>
            </w:r>
          </w:p>
          <w:p w14:paraId="347657D5" w14:textId="77777777" w:rsidR="002F6811" w:rsidRPr="008912CF" w:rsidRDefault="00615769" w:rsidP="0004619E">
            <w:pPr>
              <w:pStyle w:val="TableText"/>
              <w:spacing w:line="240" w:lineRule="auto"/>
              <w:rPr>
                <w:sz w:val="22"/>
                <w:szCs w:val="22"/>
                <w:lang w:val="pt-PT"/>
              </w:rPr>
            </w:pPr>
            <w:r w:rsidRPr="008912CF">
              <w:rPr>
                <w:sz w:val="22"/>
                <w:szCs w:val="22"/>
                <w:vertAlign w:val="superscript"/>
                <w:lang w:val="pt-PT"/>
              </w:rPr>
              <w:t>**</w:t>
            </w:r>
            <w:r w:rsidRPr="008912CF">
              <w:rPr>
                <w:sz w:val="22"/>
                <w:szCs w:val="22"/>
                <w:lang w:val="pt-PT"/>
              </w:rPr>
              <w:tab/>
              <w:t>p &lt; 0,01</w:t>
            </w:r>
          </w:p>
        </w:tc>
      </w:tr>
    </w:tbl>
    <w:p w14:paraId="16A8226F" w14:textId="77777777" w:rsidR="002F6811" w:rsidRPr="008912CF" w:rsidRDefault="002F6811" w:rsidP="002F6811">
      <w:pPr>
        <w:pStyle w:val="EMEANormal"/>
        <w:rPr>
          <w:szCs w:val="22"/>
          <w:lang w:val="pt-PT"/>
        </w:rPr>
      </w:pPr>
    </w:p>
    <w:p w14:paraId="4B3DBB57" w14:textId="77777777" w:rsidR="002F6811" w:rsidRPr="008912CF" w:rsidRDefault="00615769" w:rsidP="002F6811">
      <w:pPr>
        <w:pStyle w:val="EMEANormal"/>
        <w:rPr>
          <w:szCs w:val="22"/>
          <w:lang w:val="pt-PT"/>
        </w:rPr>
      </w:pPr>
      <w:r w:rsidRPr="008912CF">
        <w:rPr>
          <w:szCs w:val="22"/>
          <w:lang w:val="pt-PT"/>
        </w:rPr>
        <w:t xml:space="preserve">Foram observadas taxas de remissão similares para 160/80 mg e 80/40 mg em dose de indução na </w:t>
      </w:r>
      <w:r w:rsidR="00164875">
        <w:rPr>
          <w:szCs w:val="22"/>
          <w:lang w:val="pt-PT"/>
        </w:rPr>
        <w:t>S</w:t>
      </w:r>
      <w:r w:rsidRPr="008912CF">
        <w:rPr>
          <w:szCs w:val="22"/>
          <w:lang w:val="pt-PT"/>
        </w:rPr>
        <w:t>emana 8 e os acontecimentos adversos foram mais frequentemente observados no grupo 160/80 mg.</w:t>
      </w:r>
    </w:p>
    <w:p w14:paraId="1A48C93B" w14:textId="77777777" w:rsidR="002F6811" w:rsidRPr="008912CF" w:rsidRDefault="002F6811" w:rsidP="002F6811">
      <w:pPr>
        <w:pStyle w:val="EMEANormal"/>
        <w:rPr>
          <w:szCs w:val="22"/>
          <w:lang w:val="pt-PT"/>
        </w:rPr>
      </w:pPr>
    </w:p>
    <w:p w14:paraId="755CA0FD" w14:textId="77777777" w:rsidR="002F6811" w:rsidRPr="008912CF" w:rsidRDefault="00615769" w:rsidP="002F6811">
      <w:pPr>
        <w:pStyle w:val="EMEANormal"/>
        <w:rPr>
          <w:szCs w:val="22"/>
          <w:lang w:val="pt-PT"/>
        </w:rPr>
      </w:pPr>
      <w:r w:rsidRPr="008912CF">
        <w:rPr>
          <w:szCs w:val="22"/>
          <w:lang w:val="pt-PT"/>
        </w:rPr>
        <w:t>No Estudo DC III, na Semana 4, 58</w:t>
      </w:r>
      <w:r w:rsidR="009343EF">
        <w:rPr>
          <w:szCs w:val="22"/>
          <w:lang w:val="pt-PT"/>
        </w:rPr>
        <w:t>%</w:t>
      </w:r>
      <w:r w:rsidRPr="008912CF">
        <w:rPr>
          <w:szCs w:val="22"/>
          <w:lang w:val="pt-PT"/>
        </w:rPr>
        <w:t xml:space="preserve"> (499/854) dos doentes apresentaram resposta clínica e foram avaliados na análise primária. Dos doentes com resposta clínica na Semana 4, 48</w:t>
      </w:r>
      <w:r w:rsidR="009343EF">
        <w:rPr>
          <w:szCs w:val="22"/>
          <w:lang w:val="pt-PT"/>
        </w:rPr>
        <w:t>%</w:t>
      </w:r>
      <w:r w:rsidRPr="008912CF">
        <w:rPr>
          <w:szCs w:val="22"/>
          <w:lang w:val="pt-PT"/>
        </w:rPr>
        <w:t xml:space="preserve"> foram previamente expostos a outros antagonistas-TNF. As taxas de manutenção da remissão e de resposta são apresentadas na Tabela </w:t>
      </w:r>
      <w:r w:rsidR="00116EA1">
        <w:rPr>
          <w:szCs w:val="22"/>
          <w:lang w:val="pt-PT"/>
        </w:rPr>
        <w:t>15</w:t>
      </w:r>
      <w:r w:rsidRPr="008912CF">
        <w:rPr>
          <w:szCs w:val="22"/>
          <w:lang w:val="pt-PT"/>
        </w:rPr>
        <w:t>. Os resultados de remissão clínica permaneceram relativamente constantes independentemente de uma exposição prévia a antagonistas de TNF.</w:t>
      </w:r>
    </w:p>
    <w:p w14:paraId="7D9911D4" w14:textId="77777777" w:rsidR="002F6811" w:rsidRPr="008912CF" w:rsidRDefault="002F6811" w:rsidP="002F6811">
      <w:pPr>
        <w:pStyle w:val="EMEANormal"/>
        <w:rPr>
          <w:szCs w:val="22"/>
          <w:lang w:val="pt-PT"/>
        </w:rPr>
      </w:pPr>
    </w:p>
    <w:p w14:paraId="744DDF09" w14:textId="77777777" w:rsidR="002F6811" w:rsidRPr="008912CF" w:rsidRDefault="00615769" w:rsidP="002F6811">
      <w:pPr>
        <w:pStyle w:val="EMEANormal"/>
        <w:rPr>
          <w:szCs w:val="22"/>
          <w:lang w:val="pt-PT"/>
        </w:rPr>
      </w:pPr>
      <w:r w:rsidRPr="008912CF">
        <w:rPr>
          <w:szCs w:val="22"/>
          <w:lang w:val="pt-PT"/>
        </w:rPr>
        <w:t>As cirurgias e as hospitalizações relacionadas com a doença foram, do ponto de vista estatístico, significativamente reduzidas com adalimumab quando comparadas com placebo, na Semana 56.</w:t>
      </w:r>
    </w:p>
    <w:p w14:paraId="6A724132" w14:textId="77777777" w:rsidR="002F6811" w:rsidRPr="008912CF" w:rsidRDefault="002F6811" w:rsidP="002F6811">
      <w:pPr>
        <w:pStyle w:val="EMEANormal"/>
        <w:keepNext/>
        <w:rPr>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3"/>
        <w:gridCol w:w="1625"/>
        <w:gridCol w:w="1981"/>
        <w:gridCol w:w="1822"/>
      </w:tblGrid>
      <w:tr w:rsidR="00A7162A" w14:paraId="4520925F" w14:textId="77777777" w:rsidTr="002F6811">
        <w:trPr>
          <w:cantSplit/>
        </w:trPr>
        <w:tc>
          <w:tcPr>
            <w:tcW w:w="9287" w:type="dxa"/>
            <w:gridSpan w:val="4"/>
            <w:tcBorders>
              <w:top w:val="nil"/>
              <w:left w:val="nil"/>
              <w:right w:val="nil"/>
            </w:tcBorders>
          </w:tcPr>
          <w:p w14:paraId="3C3C0EC7" w14:textId="77777777" w:rsidR="002F6811" w:rsidRPr="008912CF" w:rsidRDefault="00615769" w:rsidP="002F6811">
            <w:pPr>
              <w:pStyle w:val="TableText"/>
              <w:spacing w:line="240" w:lineRule="auto"/>
              <w:jc w:val="center"/>
              <w:rPr>
                <w:b/>
                <w:bCs/>
                <w:sz w:val="22"/>
                <w:szCs w:val="22"/>
                <w:lang w:val="pt-PT"/>
              </w:rPr>
            </w:pPr>
            <w:r w:rsidRPr="008912CF">
              <w:rPr>
                <w:b/>
                <w:bCs/>
                <w:sz w:val="22"/>
                <w:szCs w:val="22"/>
                <w:lang w:val="pt-PT"/>
              </w:rPr>
              <w:t xml:space="preserve">Tabela </w:t>
            </w:r>
            <w:r w:rsidR="00116EA1">
              <w:rPr>
                <w:b/>
                <w:bCs/>
                <w:sz w:val="22"/>
                <w:szCs w:val="22"/>
                <w:lang w:val="pt-PT"/>
              </w:rPr>
              <w:t>15</w:t>
            </w:r>
          </w:p>
          <w:p w14:paraId="670FCC8C" w14:textId="77777777" w:rsidR="002F6811" w:rsidRPr="008912CF" w:rsidRDefault="00615769" w:rsidP="002F6811">
            <w:pPr>
              <w:pStyle w:val="TableText"/>
              <w:spacing w:line="240" w:lineRule="auto"/>
              <w:jc w:val="center"/>
              <w:rPr>
                <w:b/>
                <w:bCs/>
                <w:sz w:val="22"/>
                <w:szCs w:val="22"/>
                <w:lang w:val="pt-PT"/>
              </w:rPr>
            </w:pPr>
            <w:r w:rsidRPr="008912CF">
              <w:rPr>
                <w:b/>
                <w:bCs/>
                <w:sz w:val="22"/>
                <w:szCs w:val="22"/>
                <w:lang w:val="pt-PT"/>
              </w:rPr>
              <w:t>Manutenção da Remissão e Resposta Clínica</w:t>
            </w:r>
            <w:r w:rsidR="001E16B7">
              <w:rPr>
                <w:b/>
                <w:bCs/>
                <w:sz w:val="22"/>
                <w:szCs w:val="22"/>
                <w:lang w:val="pt-PT"/>
              </w:rPr>
              <w:t>s</w:t>
            </w:r>
          </w:p>
          <w:p w14:paraId="6426F20C" w14:textId="77777777" w:rsidR="002F6811" w:rsidRPr="008912CF" w:rsidRDefault="00615769" w:rsidP="002F6811">
            <w:pPr>
              <w:pStyle w:val="TableText"/>
              <w:spacing w:line="240" w:lineRule="auto"/>
              <w:jc w:val="center"/>
              <w:rPr>
                <w:b/>
                <w:bCs/>
                <w:sz w:val="22"/>
                <w:szCs w:val="22"/>
                <w:lang w:val="pt-PT"/>
              </w:rPr>
            </w:pPr>
            <w:r w:rsidRPr="008912CF">
              <w:rPr>
                <w:b/>
                <w:bCs/>
                <w:sz w:val="22"/>
                <w:szCs w:val="22"/>
                <w:lang w:val="pt-PT"/>
              </w:rPr>
              <w:t>(Percentagem de Doentes)</w:t>
            </w:r>
          </w:p>
        </w:tc>
      </w:tr>
      <w:tr w:rsidR="00A7162A" w14:paraId="6FA67C81" w14:textId="77777777" w:rsidTr="002F6811">
        <w:tc>
          <w:tcPr>
            <w:tcW w:w="3749" w:type="dxa"/>
          </w:tcPr>
          <w:p w14:paraId="0D9C2274" w14:textId="77777777" w:rsidR="002F6811" w:rsidRPr="008912CF" w:rsidRDefault="002F6811" w:rsidP="002F6811">
            <w:pPr>
              <w:pStyle w:val="TableText"/>
              <w:spacing w:line="240" w:lineRule="auto"/>
              <w:rPr>
                <w:b/>
                <w:bCs/>
                <w:sz w:val="22"/>
                <w:szCs w:val="22"/>
                <w:lang w:val="pt-PT"/>
              </w:rPr>
            </w:pPr>
          </w:p>
        </w:tc>
        <w:tc>
          <w:tcPr>
            <w:tcW w:w="1659" w:type="dxa"/>
          </w:tcPr>
          <w:p w14:paraId="39E26ABF" w14:textId="77777777" w:rsidR="002F6811" w:rsidRPr="008912CF" w:rsidRDefault="00615769" w:rsidP="002F6811">
            <w:pPr>
              <w:pStyle w:val="TableText"/>
              <w:spacing w:line="240" w:lineRule="auto"/>
              <w:jc w:val="center"/>
              <w:rPr>
                <w:b/>
                <w:bCs/>
                <w:sz w:val="22"/>
                <w:szCs w:val="22"/>
                <w:lang w:val="pt-PT"/>
              </w:rPr>
            </w:pPr>
            <w:r w:rsidRPr="008912CF">
              <w:rPr>
                <w:b/>
                <w:bCs/>
                <w:sz w:val="22"/>
                <w:szCs w:val="22"/>
                <w:lang w:val="pt-PT"/>
              </w:rPr>
              <w:t>Placebo</w:t>
            </w:r>
          </w:p>
        </w:tc>
        <w:tc>
          <w:tcPr>
            <w:tcW w:w="2020" w:type="dxa"/>
          </w:tcPr>
          <w:p w14:paraId="3E25FA7A" w14:textId="77777777" w:rsidR="002F6811" w:rsidRPr="008912CF" w:rsidRDefault="00615769" w:rsidP="002F6811">
            <w:pPr>
              <w:pStyle w:val="TableText"/>
              <w:spacing w:line="240" w:lineRule="auto"/>
              <w:jc w:val="center"/>
              <w:rPr>
                <w:b/>
                <w:bCs/>
                <w:sz w:val="22"/>
                <w:szCs w:val="22"/>
                <w:lang w:val="pt-PT"/>
              </w:rPr>
            </w:pPr>
            <w:r w:rsidRPr="008912CF">
              <w:rPr>
                <w:b/>
                <w:bCs/>
                <w:sz w:val="22"/>
                <w:szCs w:val="22"/>
                <w:lang w:val="pt-PT"/>
              </w:rPr>
              <w:t>40 mg Humira</w:t>
            </w:r>
            <w:r w:rsidRPr="008912CF">
              <w:rPr>
                <w:b/>
                <w:bCs/>
                <w:sz w:val="22"/>
                <w:szCs w:val="22"/>
                <w:lang w:val="pt-PT"/>
              </w:rPr>
              <w:br/>
              <w:t>em semanas alternadas</w:t>
            </w:r>
          </w:p>
        </w:tc>
        <w:tc>
          <w:tcPr>
            <w:tcW w:w="1859" w:type="dxa"/>
          </w:tcPr>
          <w:p w14:paraId="5206F309" w14:textId="77777777" w:rsidR="002F6811" w:rsidRPr="008912CF" w:rsidRDefault="00615769" w:rsidP="002F6811">
            <w:pPr>
              <w:pStyle w:val="TableText"/>
              <w:spacing w:line="240" w:lineRule="auto"/>
              <w:jc w:val="center"/>
              <w:rPr>
                <w:b/>
                <w:bCs/>
                <w:sz w:val="22"/>
                <w:szCs w:val="22"/>
                <w:lang w:val="pt-PT"/>
              </w:rPr>
            </w:pPr>
            <w:r w:rsidRPr="008912CF">
              <w:rPr>
                <w:b/>
                <w:bCs/>
                <w:sz w:val="22"/>
                <w:szCs w:val="22"/>
                <w:lang w:val="pt-PT"/>
              </w:rPr>
              <w:t>40 mg Humira</w:t>
            </w:r>
            <w:r w:rsidRPr="008912CF">
              <w:rPr>
                <w:b/>
                <w:bCs/>
                <w:sz w:val="22"/>
                <w:szCs w:val="22"/>
                <w:lang w:val="pt-PT"/>
              </w:rPr>
              <w:br/>
              <w:t>todas as semanas</w:t>
            </w:r>
          </w:p>
        </w:tc>
      </w:tr>
      <w:tr w:rsidR="00A7162A" w14:paraId="2A908E6A" w14:textId="77777777" w:rsidTr="002F6811">
        <w:tc>
          <w:tcPr>
            <w:tcW w:w="3749" w:type="dxa"/>
          </w:tcPr>
          <w:p w14:paraId="610351B4" w14:textId="77777777" w:rsidR="002F6811" w:rsidRPr="008912CF" w:rsidRDefault="00615769" w:rsidP="002F6811">
            <w:pPr>
              <w:pStyle w:val="TableText"/>
              <w:spacing w:line="240" w:lineRule="auto"/>
              <w:rPr>
                <w:b/>
                <w:bCs/>
                <w:sz w:val="22"/>
                <w:szCs w:val="22"/>
                <w:lang w:val="pt-PT"/>
              </w:rPr>
            </w:pPr>
            <w:r w:rsidRPr="008912CF">
              <w:rPr>
                <w:b/>
                <w:bCs/>
                <w:sz w:val="22"/>
                <w:szCs w:val="22"/>
                <w:lang w:val="pt-PT"/>
              </w:rPr>
              <w:t>Semana</w:t>
            </w:r>
            <w:r>
              <w:rPr>
                <w:b/>
                <w:bCs/>
                <w:sz w:val="22"/>
                <w:szCs w:val="22"/>
                <w:lang w:val="pt-PT"/>
              </w:rPr>
              <w:t> </w:t>
            </w:r>
            <w:r w:rsidRPr="008912CF">
              <w:rPr>
                <w:b/>
                <w:bCs/>
                <w:sz w:val="22"/>
                <w:szCs w:val="22"/>
                <w:lang w:val="pt-PT"/>
              </w:rPr>
              <w:t>26</w:t>
            </w:r>
          </w:p>
        </w:tc>
        <w:tc>
          <w:tcPr>
            <w:tcW w:w="1659" w:type="dxa"/>
          </w:tcPr>
          <w:p w14:paraId="57625582" w14:textId="77777777" w:rsidR="002F6811" w:rsidRPr="008912CF" w:rsidRDefault="00615769" w:rsidP="002F6811">
            <w:pPr>
              <w:pStyle w:val="TableText"/>
              <w:spacing w:line="240" w:lineRule="auto"/>
              <w:jc w:val="center"/>
              <w:rPr>
                <w:b/>
                <w:bCs/>
                <w:sz w:val="22"/>
                <w:szCs w:val="22"/>
                <w:lang w:val="pt-PT"/>
              </w:rPr>
            </w:pPr>
            <w:r w:rsidRPr="008912CF">
              <w:rPr>
                <w:b/>
                <w:bCs/>
                <w:sz w:val="22"/>
                <w:szCs w:val="22"/>
                <w:lang w:val="pt-PT"/>
              </w:rPr>
              <w:t>N =170</w:t>
            </w:r>
          </w:p>
        </w:tc>
        <w:tc>
          <w:tcPr>
            <w:tcW w:w="2020" w:type="dxa"/>
          </w:tcPr>
          <w:p w14:paraId="72774460" w14:textId="77777777" w:rsidR="002F6811" w:rsidRPr="008912CF" w:rsidRDefault="00615769" w:rsidP="002F6811">
            <w:pPr>
              <w:pStyle w:val="TableText"/>
              <w:spacing w:line="240" w:lineRule="auto"/>
              <w:jc w:val="center"/>
              <w:rPr>
                <w:b/>
                <w:bCs/>
                <w:sz w:val="22"/>
                <w:szCs w:val="22"/>
                <w:lang w:val="pt-PT"/>
              </w:rPr>
            </w:pPr>
            <w:r w:rsidRPr="008912CF">
              <w:rPr>
                <w:b/>
                <w:bCs/>
                <w:sz w:val="22"/>
                <w:szCs w:val="22"/>
                <w:lang w:val="pt-PT"/>
              </w:rPr>
              <w:t>N =172</w:t>
            </w:r>
          </w:p>
        </w:tc>
        <w:tc>
          <w:tcPr>
            <w:tcW w:w="1859" w:type="dxa"/>
          </w:tcPr>
          <w:p w14:paraId="64870325" w14:textId="77777777" w:rsidR="002F6811" w:rsidRPr="008912CF" w:rsidRDefault="00615769" w:rsidP="002F6811">
            <w:pPr>
              <w:pStyle w:val="TableText"/>
              <w:spacing w:line="240" w:lineRule="auto"/>
              <w:jc w:val="center"/>
              <w:rPr>
                <w:b/>
                <w:bCs/>
                <w:sz w:val="22"/>
                <w:szCs w:val="22"/>
                <w:lang w:val="pt-PT"/>
              </w:rPr>
            </w:pPr>
            <w:r w:rsidRPr="008912CF">
              <w:rPr>
                <w:b/>
                <w:bCs/>
                <w:sz w:val="22"/>
                <w:szCs w:val="22"/>
                <w:lang w:val="pt-PT"/>
              </w:rPr>
              <w:t>N =157</w:t>
            </w:r>
          </w:p>
        </w:tc>
      </w:tr>
      <w:tr w:rsidR="00A7162A" w14:paraId="11FF2319" w14:textId="77777777" w:rsidTr="002F6811">
        <w:tc>
          <w:tcPr>
            <w:tcW w:w="3749" w:type="dxa"/>
          </w:tcPr>
          <w:p w14:paraId="06B44889" w14:textId="77777777" w:rsidR="002F6811" w:rsidRPr="008912CF" w:rsidRDefault="00615769" w:rsidP="002F6811">
            <w:pPr>
              <w:pStyle w:val="TableText"/>
              <w:spacing w:line="240" w:lineRule="auto"/>
              <w:rPr>
                <w:sz w:val="22"/>
                <w:szCs w:val="22"/>
                <w:lang w:val="pt-PT"/>
              </w:rPr>
            </w:pPr>
            <w:r w:rsidRPr="008912CF">
              <w:rPr>
                <w:sz w:val="22"/>
                <w:szCs w:val="22"/>
                <w:lang w:val="pt-PT"/>
              </w:rPr>
              <w:t>Remissão clínica</w:t>
            </w:r>
          </w:p>
        </w:tc>
        <w:tc>
          <w:tcPr>
            <w:tcW w:w="1659" w:type="dxa"/>
          </w:tcPr>
          <w:p w14:paraId="4D4F62F2" w14:textId="77777777" w:rsidR="002F6811" w:rsidRPr="008912CF" w:rsidRDefault="00615769" w:rsidP="002F6811">
            <w:pPr>
              <w:pStyle w:val="TableText"/>
              <w:spacing w:line="240" w:lineRule="auto"/>
              <w:jc w:val="center"/>
              <w:rPr>
                <w:sz w:val="22"/>
                <w:szCs w:val="22"/>
                <w:lang w:val="pt-PT"/>
              </w:rPr>
            </w:pPr>
            <w:r w:rsidRPr="008912CF">
              <w:rPr>
                <w:sz w:val="22"/>
                <w:szCs w:val="22"/>
                <w:lang w:val="pt-PT"/>
              </w:rPr>
              <w:t>17%</w:t>
            </w:r>
          </w:p>
        </w:tc>
        <w:tc>
          <w:tcPr>
            <w:tcW w:w="2020" w:type="dxa"/>
          </w:tcPr>
          <w:p w14:paraId="7993BA13" w14:textId="77777777" w:rsidR="002F6811" w:rsidRPr="008912CF" w:rsidRDefault="00615769" w:rsidP="002F6811">
            <w:pPr>
              <w:pStyle w:val="TableText"/>
              <w:spacing w:line="240" w:lineRule="auto"/>
              <w:jc w:val="center"/>
              <w:rPr>
                <w:sz w:val="22"/>
                <w:szCs w:val="22"/>
                <w:lang w:val="pt-PT"/>
              </w:rPr>
            </w:pPr>
            <w:r w:rsidRPr="008912CF">
              <w:rPr>
                <w:sz w:val="22"/>
                <w:szCs w:val="22"/>
                <w:lang w:val="pt-PT"/>
              </w:rPr>
              <w:t>40%*</w:t>
            </w:r>
          </w:p>
        </w:tc>
        <w:tc>
          <w:tcPr>
            <w:tcW w:w="1859" w:type="dxa"/>
          </w:tcPr>
          <w:p w14:paraId="335654C7" w14:textId="77777777" w:rsidR="002F6811" w:rsidRPr="008912CF" w:rsidRDefault="00615769" w:rsidP="002F6811">
            <w:pPr>
              <w:pStyle w:val="TableText"/>
              <w:spacing w:line="240" w:lineRule="auto"/>
              <w:jc w:val="center"/>
              <w:rPr>
                <w:sz w:val="22"/>
                <w:szCs w:val="22"/>
                <w:lang w:val="pt-PT"/>
              </w:rPr>
            </w:pPr>
            <w:r w:rsidRPr="008912CF">
              <w:rPr>
                <w:sz w:val="22"/>
                <w:szCs w:val="22"/>
                <w:lang w:val="pt-PT"/>
              </w:rPr>
              <w:t>47%*</w:t>
            </w:r>
          </w:p>
        </w:tc>
      </w:tr>
      <w:tr w:rsidR="00A7162A" w14:paraId="1194C281" w14:textId="77777777" w:rsidTr="002F6811">
        <w:tc>
          <w:tcPr>
            <w:tcW w:w="3749" w:type="dxa"/>
          </w:tcPr>
          <w:p w14:paraId="03F23088" w14:textId="77777777" w:rsidR="002F6811" w:rsidRPr="008912CF" w:rsidRDefault="00615769" w:rsidP="002F6811">
            <w:pPr>
              <w:pStyle w:val="TableText"/>
              <w:spacing w:line="240" w:lineRule="auto"/>
              <w:rPr>
                <w:sz w:val="22"/>
                <w:szCs w:val="22"/>
                <w:lang w:val="pt-PT"/>
              </w:rPr>
            </w:pPr>
            <w:r w:rsidRPr="008912CF">
              <w:rPr>
                <w:sz w:val="22"/>
                <w:szCs w:val="22"/>
                <w:lang w:val="pt-PT"/>
              </w:rPr>
              <w:t>Resposta clínica (CR-100)</w:t>
            </w:r>
          </w:p>
        </w:tc>
        <w:tc>
          <w:tcPr>
            <w:tcW w:w="1659" w:type="dxa"/>
          </w:tcPr>
          <w:p w14:paraId="7D3C7897" w14:textId="77777777" w:rsidR="002F6811" w:rsidRPr="008912CF" w:rsidRDefault="00615769" w:rsidP="002F6811">
            <w:pPr>
              <w:pStyle w:val="TableText"/>
              <w:spacing w:line="240" w:lineRule="auto"/>
              <w:jc w:val="center"/>
              <w:rPr>
                <w:sz w:val="22"/>
                <w:szCs w:val="22"/>
                <w:lang w:val="pt-PT"/>
              </w:rPr>
            </w:pPr>
            <w:r w:rsidRPr="008912CF">
              <w:rPr>
                <w:sz w:val="22"/>
                <w:szCs w:val="22"/>
                <w:lang w:val="pt-PT"/>
              </w:rPr>
              <w:t>27%</w:t>
            </w:r>
          </w:p>
        </w:tc>
        <w:tc>
          <w:tcPr>
            <w:tcW w:w="2020" w:type="dxa"/>
          </w:tcPr>
          <w:p w14:paraId="13EB38FC" w14:textId="77777777" w:rsidR="002F6811" w:rsidRPr="008912CF" w:rsidRDefault="00615769" w:rsidP="002F6811">
            <w:pPr>
              <w:pStyle w:val="TableText"/>
              <w:spacing w:line="240" w:lineRule="auto"/>
              <w:jc w:val="center"/>
              <w:rPr>
                <w:sz w:val="22"/>
                <w:szCs w:val="22"/>
                <w:lang w:val="pt-PT"/>
              </w:rPr>
            </w:pPr>
            <w:r w:rsidRPr="008912CF">
              <w:rPr>
                <w:sz w:val="22"/>
                <w:szCs w:val="22"/>
                <w:lang w:val="pt-PT"/>
              </w:rPr>
              <w:t>52%*</w:t>
            </w:r>
          </w:p>
        </w:tc>
        <w:tc>
          <w:tcPr>
            <w:tcW w:w="1859" w:type="dxa"/>
          </w:tcPr>
          <w:p w14:paraId="41F5E667" w14:textId="77777777" w:rsidR="002F6811" w:rsidRPr="008912CF" w:rsidRDefault="00615769" w:rsidP="002F6811">
            <w:pPr>
              <w:pStyle w:val="TableText"/>
              <w:spacing w:line="240" w:lineRule="auto"/>
              <w:jc w:val="center"/>
              <w:rPr>
                <w:sz w:val="22"/>
                <w:szCs w:val="22"/>
                <w:lang w:val="pt-PT"/>
              </w:rPr>
            </w:pPr>
            <w:r w:rsidRPr="008912CF">
              <w:rPr>
                <w:sz w:val="22"/>
                <w:szCs w:val="22"/>
                <w:lang w:val="pt-PT"/>
              </w:rPr>
              <w:t>52%*</w:t>
            </w:r>
          </w:p>
        </w:tc>
      </w:tr>
      <w:tr w:rsidR="00A7162A" w14:paraId="2C715006" w14:textId="77777777" w:rsidTr="002F6811">
        <w:tc>
          <w:tcPr>
            <w:tcW w:w="3749" w:type="dxa"/>
          </w:tcPr>
          <w:p w14:paraId="12F6947A" w14:textId="77777777" w:rsidR="002F6811" w:rsidRPr="008912CF" w:rsidRDefault="00615769" w:rsidP="002F6811">
            <w:pPr>
              <w:pStyle w:val="TableText"/>
              <w:spacing w:line="240" w:lineRule="auto"/>
              <w:ind w:left="360"/>
              <w:rPr>
                <w:sz w:val="22"/>
                <w:szCs w:val="22"/>
                <w:lang w:val="pt-PT"/>
              </w:rPr>
            </w:pPr>
            <w:r w:rsidRPr="008912CF">
              <w:rPr>
                <w:sz w:val="22"/>
                <w:szCs w:val="22"/>
                <w:lang w:val="pt-PT"/>
              </w:rPr>
              <w:t>Doentes em remissão sem tratamento com esteroides em &gt;=90 dias</w:t>
            </w:r>
            <w:r w:rsidRPr="008912CF">
              <w:rPr>
                <w:sz w:val="22"/>
                <w:szCs w:val="22"/>
                <w:vertAlign w:val="superscript"/>
                <w:lang w:val="pt-PT"/>
              </w:rPr>
              <w:t>a</w:t>
            </w:r>
          </w:p>
        </w:tc>
        <w:tc>
          <w:tcPr>
            <w:tcW w:w="1659" w:type="dxa"/>
          </w:tcPr>
          <w:p w14:paraId="18AAB5FC" w14:textId="77777777" w:rsidR="002F6811" w:rsidRPr="008912CF" w:rsidRDefault="00615769" w:rsidP="002F6811">
            <w:pPr>
              <w:pStyle w:val="TableText"/>
              <w:spacing w:line="240" w:lineRule="auto"/>
              <w:jc w:val="center"/>
              <w:rPr>
                <w:sz w:val="22"/>
                <w:szCs w:val="22"/>
                <w:lang w:val="pt-PT"/>
              </w:rPr>
            </w:pPr>
            <w:r w:rsidRPr="008912CF">
              <w:rPr>
                <w:sz w:val="22"/>
                <w:szCs w:val="22"/>
                <w:lang w:val="pt-PT"/>
              </w:rPr>
              <w:t>3% (2/66)</w:t>
            </w:r>
          </w:p>
        </w:tc>
        <w:tc>
          <w:tcPr>
            <w:tcW w:w="2020" w:type="dxa"/>
          </w:tcPr>
          <w:p w14:paraId="681437B9" w14:textId="77777777" w:rsidR="002F6811" w:rsidRPr="008912CF" w:rsidRDefault="00615769" w:rsidP="002F6811">
            <w:pPr>
              <w:pStyle w:val="TableText"/>
              <w:spacing w:line="240" w:lineRule="auto"/>
              <w:jc w:val="center"/>
              <w:rPr>
                <w:sz w:val="22"/>
                <w:szCs w:val="22"/>
                <w:lang w:val="pt-PT"/>
              </w:rPr>
            </w:pPr>
            <w:r w:rsidRPr="008912CF">
              <w:rPr>
                <w:sz w:val="22"/>
                <w:szCs w:val="22"/>
                <w:lang w:val="pt-PT"/>
              </w:rPr>
              <w:t>19% (11/58)**</w:t>
            </w:r>
          </w:p>
        </w:tc>
        <w:tc>
          <w:tcPr>
            <w:tcW w:w="1859" w:type="dxa"/>
          </w:tcPr>
          <w:p w14:paraId="6AAA905E" w14:textId="77777777" w:rsidR="002F6811" w:rsidRPr="008912CF" w:rsidRDefault="00615769" w:rsidP="002F6811">
            <w:pPr>
              <w:pStyle w:val="TableText"/>
              <w:spacing w:line="240" w:lineRule="auto"/>
              <w:jc w:val="center"/>
              <w:rPr>
                <w:sz w:val="22"/>
                <w:szCs w:val="22"/>
                <w:lang w:val="pt-PT"/>
              </w:rPr>
            </w:pPr>
            <w:r w:rsidRPr="008912CF">
              <w:rPr>
                <w:sz w:val="22"/>
                <w:szCs w:val="22"/>
                <w:lang w:val="pt-PT"/>
              </w:rPr>
              <w:t>15% (11/74)**</w:t>
            </w:r>
          </w:p>
        </w:tc>
      </w:tr>
      <w:tr w:rsidR="00A7162A" w14:paraId="6DA3EC34" w14:textId="77777777" w:rsidTr="002F6811">
        <w:tc>
          <w:tcPr>
            <w:tcW w:w="3749" w:type="dxa"/>
          </w:tcPr>
          <w:p w14:paraId="1217C2E9" w14:textId="77777777" w:rsidR="002F6811" w:rsidRPr="008912CF" w:rsidRDefault="00615769" w:rsidP="002F6811">
            <w:pPr>
              <w:pStyle w:val="TableText"/>
              <w:spacing w:line="240" w:lineRule="auto"/>
              <w:rPr>
                <w:b/>
                <w:bCs/>
                <w:sz w:val="22"/>
                <w:szCs w:val="22"/>
                <w:lang w:val="pt-PT"/>
              </w:rPr>
            </w:pPr>
            <w:r w:rsidRPr="008912CF">
              <w:rPr>
                <w:b/>
                <w:bCs/>
                <w:sz w:val="22"/>
                <w:szCs w:val="22"/>
                <w:lang w:val="pt-PT"/>
              </w:rPr>
              <w:t>Semana</w:t>
            </w:r>
            <w:r>
              <w:rPr>
                <w:b/>
                <w:bCs/>
                <w:sz w:val="22"/>
                <w:szCs w:val="22"/>
                <w:lang w:val="pt-PT"/>
              </w:rPr>
              <w:t> </w:t>
            </w:r>
            <w:r w:rsidRPr="008912CF">
              <w:rPr>
                <w:b/>
                <w:bCs/>
                <w:sz w:val="22"/>
                <w:szCs w:val="22"/>
                <w:lang w:val="pt-PT"/>
              </w:rPr>
              <w:t>56</w:t>
            </w:r>
          </w:p>
        </w:tc>
        <w:tc>
          <w:tcPr>
            <w:tcW w:w="1659" w:type="dxa"/>
          </w:tcPr>
          <w:p w14:paraId="349D181F" w14:textId="77777777" w:rsidR="002F6811" w:rsidRPr="008912CF" w:rsidRDefault="00615769" w:rsidP="002F6811">
            <w:pPr>
              <w:pStyle w:val="TableText"/>
              <w:spacing w:line="240" w:lineRule="auto"/>
              <w:jc w:val="center"/>
              <w:rPr>
                <w:b/>
                <w:bCs/>
                <w:sz w:val="22"/>
                <w:szCs w:val="22"/>
                <w:lang w:val="pt-PT"/>
              </w:rPr>
            </w:pPr>
            <w:r w:rsidRPr="008912CF">
              <w:rPr>
                <w:b/>
                <w:bCs/>
                <w:sz w:val="22"/>
                <w:szCs w:val="22"/>
                <w:lang w:val="pt-PT"/>
              </w:rPr>
              <w:t>N =170</w:t>
            </w:r>
          </w:p>
        </w:tc>
        <w:tc>
          <w:tcPr>
            <w:tcW w:w="2020" w:type="dxa"/>
          </w:tcPr>
          <w:p w14:paraId="09B32EF0" w14:textId="77777777" w:rsidR="002F6811" w:rsidRPr="008912CF" w:rsidRDefault="00615769" w:rsidP="002F6811">
            <w:pPr>
              <w:pStyle w:val="TableText"/>
              <w:spacing w:line="240" w:lineRule="auto"/>
              <w:jc w:val="center"/>
              <w:rPr>
                <w:b/>
                <w:bCs/>
                <w:sz w:val="22"/>
                <w:szCs w:val="22"/>
                <w:lang w:val="pt-PT"/>
              </w:rPr>
            </w:pPr>
            <w:r w:rsidRPr="008912CF">
              <w:rPr>
                <w:b/>
                <w:bCs/>
                <w:sz w:val="22"/>
                <w:szCs w:val="22"/>
                <w:lang w:val="pt-PT"/>
              </w:rPr>
              <w:t>N =172</w:t>
            </w:r>
          </w:p>
        </w:tc>
        <w:tc>
          <w:tcPr>
            <w:tcW w:w="1859" w:type="dxa"/>
          </w:tcPr>
          <w:p w14:paraId="3A1C6037" w14:textId="77777777" w:rsidR="002F6811" w:rsidRPr="008912CF" w:rsidRDefault="00615769" w:rsidP="002F6811">
            <w:pPr>
              <w:pStyle w:val="TableText"/>
              <w:spacing w:line="240" w:lineRule="auto"/>
              <w:jc w:val="center"/>
              <w:rPr>
                <w:b/>
                <w:bCs/>
                <w:sz w:val="22"/>
                <w:szCs w:val="22"/>
                <w:lang w:val="pt-PT"/>
              </w:rPr>
            </w:pPr>
            <w:r w:rsidRPr="008912CF">
              <w:rPr>
                <w:b/>
                <w:bCs/>
                <w:sz w:val="22"/>
                <w:szCs w:val="22"/>
                <w:lang w:val="pt-PT"/>
              </w:rPr>
              <w:t>N =157</w:t>
            </w:r>
          </w:p>
        </w:tc>
      </w:tr>
      <w:tr w:rsidR="00A7162A" w14:paraId="38446820" w14:textId="77777777" w:rsidTr="002F6811">
        <w:tc>
          <w:tcPr>
            <w:tcW w:w="3749" w:type="dxa"/>
          </w:tcPr>
          <w:p w14:paraId="44A97902" w14:textId="77777777" w:rsidR="002F6811" w:rsidRPr="008912CF" w:rsidRDefault="00615769" w:rsidP="002F6811">
            <w:pPr>
              <w:pStyle w:val="TableText"/>
              <w:spacing w:line="240" w:lineRule="auto"/>
              <w:rPr>
                <w:sz w:val="22"/>
                <w:szCs w:val="22"/>
                <w:lang w:val="pt-PT"/>
              </w:rPr>
            </w:pPr>
            <w:r w:rsidRPr="008912CF">
              <w:rPr>
                <w:sz w:val="22"/>
                <w:szCs w:val="22"/>
                <w:lang w:val="pt-PT"/>
              </w:rPr>
              <w:t>Remissão clínica</w:t>
            </w:r>
          </w:p>
        </w:tc>
        <w:tc>
          <w:tcPr>
            <w:tcW w:w="1659" w:type="dxa"/>
          </w:tcPr>
          <w:p w14:paraId="34940DC8" w14:textId="77777777" w:rsidR="002F6811" w:rsidRPr="008912CF" w:rsidRDefault="00615769" w:rsidP="002F6811">
            <w:pPr>
              <w:pStyle w:val="TableText"/>
              <w:spacing w:line="240" w:lineRule="auto"/>
              <w:jc w:val="center"/>
              <w:rPr>
                <w:sz w:val="22"/>
                <w:szCs w:val="22"/>
                <w:lang w:val="pt-PT"/>
              </w:rPr>
            </w:pPr>
            <w:r w:rsidRPr="008912CF">
              <w:rPr>
                <w:sz w:val="22"/>
                <w:szCs w:val="22"/>
                <w:lang w:val="pt-PT"/>
              </w:rPr>
              <w:t>12%</w:t>
            </w:r>
          </w:p>
        </w:tc>
        <w:tc>
          <w:tcPr>
            <w:tcW w:w="2020" w:type="dxa"/>
          </w:tcPr>
          <w:p w14:paraId="2EE17325" w14:textId="77777777" w:rsidR="002F6811" w:rsidRPr="008912CF" w:rsidRDefault="00615769" w:rsidP="002F6811">
            <w:pPr>
              <w:pStyle w:val="TableText"/>
              <w:spacing w:line="240" w:lineRule="auto"/>
              <w:jc w:val="center"/>
              <w:rPr>
                <w:sz w:val="22"/>
                <w:szCs w:val="22"/>
                <w:lang w:val="pt-PT"/>
              </w:rPr>
            </w:pPr>
            <w:r w:rsidRPr="008912CF">
              <w:rPr>
                <w:sz w:val="22"/>
                <w:szCs w:val="22"/>
                <w:lang w:val="pt-PT"/>
              </w:rPr>
              <w:t>36%*</w:t>
            </w:r>
          </w:p>
        </w:tc>
        <w:tc>
          <w:tcPr>
            <w:tcW w:w="1859" w:type="dxa"/>
          </w:tcPr>
          <w:p w14:paraId="1A0B22D8" w14:textId="77777777" w:rsidR="002F6811" w:rsidRPr="008912CF" w:rsidRDefault="00615769" w:rsidP="002F6811">
            <w:pPr>
              <w:pStyle w:val="TableText"/>
              <w:spacing w:line="240" w:lineRule="auto"/>
              <w:jc w:val="center"/>
              <w:rPr>
                <w:sz w:val="22"/>
                <w:szCs w:val="22"/>
                <w:lang w:val="pt-PT"/>
              </w:rPr>
            </w:pPr>
            <w:r w:rsidRPr="008912CF">
              <w:rPr>
                <w:sz w:val="22"/>
                <w:szCs w:val="22"/>
                <w:lang w:val="pt-PT"/>
              </w:rPr>
              <w:t>41%*</w:t>
            </w:r>
          </w:p>
        </w:tc>
      </w:tr>
      <w:tr w:rsidR="00A7162A" w14:paraId="181647D1" w14:textId="77777777" w:rsidTr="002F6811">
        <w:tc>
          <w:tcPr>
            <w:tcW w:w="3749" w:type="dxa"/>
          </w:tcPr>
          <w:p w14:paraId="335B5B2F" w14:textId="77777777" w:rsidR="002F6811" w:rsidRPr="008912CF" w:rsidRDefault="00615769" w:rsidP="002F6811">
            <w:pPr>
              <w:pStyle w:val="TableText"/>
              <w:spacing w:line="240" w:lineRule="auto"/>
              <w:rPr>
                <w:sz w:val="22"/>
                <w:szCs w:val="22"/>
                <w:lang w:val="pt-PT"/>
              </w:rPr>
            </w:pPr>
            <w:r w:rsidRPr="008912CF">
              <w:rPr>
                <w:sz w:val="22"/>
                <w:szCs w:val="22"/>
                <w:lang w:val="pt-PT"/>
              </w:rPr>
              <w:t>Resposta clínica (CR-100)</w:t>
            </w:r>
          </w:p>
        </w:tc>
        <w:tc>
          <w:tcPr>
            <w:tcW w:w="1659" w:type="dxa"/>
          </w:tcPr>
          <w:p w14:paraId="52C5DF75" w14:textId="77777777" w:rsidR="002F6811" w:rsidRPr="008912CF" w:rsidRDefault="00615769" w:rsidP="002F6811">
            <w:pPr>
              <w:pStyle w:val="TableText"/>
              <w:spacing w:line="240" w:lineRule="auto"/>
              <w:jc w:val="center"/>
              <w:rPr>
                <w:sz w:val="22"/>
                <w:szCs w:val="22"/>
                <w:lang w:val="pt-PT"/>
              </w:rPr>
            </w:pPr>
            <w:r w:rsidRPr="008912CF">
              <w:rPr>
                <w:sz w:val="22"/>
                <w:szCs w:val="22"/>
                <w:lang w:val="pt-PT"/>
              </w:rPr>
              <w:t>17%</w:t>
            </w:r>
          </w:p>
        </w:tc>
        <w:tc>
          <w:tcPr>
            <w:tcW w:w="2020" w:type="dxa"/>
          </w:tcPr>
          <w:p w14:paraId="0C1A6CFD" w14:textId="77777777" w:rsidR="002F6811" w:rsidRPr="008912CF" w:rsidRDefault="00615769" w:rsidP="002F6811">
            <w:pPr>
              <w:pStyle w:val="TableText"/>
              <w:spacing w:line="240" w:lineRule="auto"/>
              <w:jc w:val="center"/>
              <w:rPr>
                <w:sz w:val="22"/>
                <w:szCs w:val="22"/>
                <w:lang w:val="pt-PT"/>
              </w:rPr>
            </w:pPr>
            <w:r w:rsidRPr="008912CF">
              <w:rPr>
                <w:sz w:val="22"/>
                <w:szCs w:val="22"/>
                <w:lang w:val="pt-PT"/>
              </w:rPr>
              <w:t>41%*</w:t>
            </w:r>
          </w:p>
        </w:tc>
        <w:tc>
          <w:tcPr>
            <w:tcW w:w="1859" w:type="dxa"/>
          </w:tcPr>
          <w:p w14:paraId="6CD3E572" w14:textId="77777777" w:rsidR="002F6811" w:rsidRPr="008912CF" w:rsidRDefault="00615769" w:rsidP="002F6811">
            <w:pPr>
              <w:pStyle w:val="TableText"/>
              <w:spacing w:line="240" w:lineRule="auto"/>
              <w:jc w:val="center"/>
              <w:rPr>
                <w:sz w:val="22"/>
                <w:szCs w:val="22"/>
                <w:lang w:val="pt-PT"/>
              </w:rPr>
            </w:pPr>
            <w:r w:rsidRPr="008912CF">
              <w:rPr>
                <w:sz w:val="22"/>
                <w:szCs w:val="22"/>
                <w:lang w:val="pt-PT"/>
              </w:rPr>
              <w:t>48%*</w:t>
            </w:r>
          </w:p>
        </w:tc>
      </w:tr>
      <w:tr w:rsidR="00A7162A" w14:paraId="30406327" w14:textId="77777777" w:rsidTr="002F6811">
        <w:tc>
          <w:tcPr>
            <w:tcW w:w="3749" w:type="dxa"/>
          </w:tcPr>
          <w:p w14:paraId="29CDEB14" w14:textId="77777777" w:rsidR="002F6811" w:rsidRPr="008912CF" w:rsidRDefault="00615769" w:rsidP="002F6811">
            <w:pPr>
              <w:pStyle w:val="TableText"/>
              <w:spacing w:line="240" w:lineRule="auto"/>
              <w:ind w:left="360"/>
              <w:rPr>
                <w:sz w:val="22"/>
                <w:szCs w:val="22"/>
                <w:lang w:val="pt-PT"/>
              </w:rPr>
            </w:pPr>
            <w:r w:rsidRPr="008912CF">
              <w:rPr>
                <w:sz w:val="22"/>
                <w:szCs w:val="22"/>
                <w:lang w:val="pt-PT"/>
              </w:rPr>
              <w:t>Doentes em remissão sem tratamento com esteroides em &gt;=90 dias</w:t>
            </w:r>
            <w:r w:rsidRPr="008912CF">
              <w:rPr>
                <w:sz w:val="22"/>
                <w:szCs w:val="22"/>
                <w:vertAlign w:val="superscript"/>
                <w:lang w:val="pt-PT"/>
              </w:rPr>
              <w:t>a</w:t>
            </w:r>
          </w:p>
        </w:tc>
        <w:tc>
          <w:tcPr>
            <w:tcW w:w="1659" w:type="dxa"/>
          </w:tcPr>
          <w:p w14:paraId="5BC0230C" w14:textId="77777777" w:rsidR="002F6811" w:rsidRPr="008912CF" w:rsidRDefault="00615769" w:rsidP="002F6811">
            <w:pPr>
              <w:pStyle w:val="TableText"/>
              <w:spacing w:line="240" w:lineRule="auto"/>
              <w:jc w:val="center"/>
              <w:rPr>
                <w:sz w:val="22"/>
                <w:szCs w:val="22"/>
                <w:lang w:val="pt-PT"/>
              </w:rPr>
            </w:pPr>
            <w:r w:rsidRPr="008912CF">
              <w:rPr>
                <w:sz w:val="22"/>
                <w:szCs w:val="22"/>
                <w:lang w:val="pt-PT"/>
              </w:rPr>
              <w:t>5% (3/66)</w:t>
            </w:r>
          </w:p>
        </w:tc>
        <w:tc>
          <w:tcPr>
            <w:tcW w:w="2020" w:type="dxa"/>
          </w:tcPr>
          <w:p w14:paraId="750D79D1" w14:textId="77777777" w:rsidR="002F6811" w:rsidRPr="008912CF" w:rsidRDefault="00615769" w:rsidP="002F6811">
            <w:pPr>
              <w:pStyle w:val="TableText"/>
              <w:spacing w:line="240" w:lineRule="auto"/>
              <w:jc w:val="center"/>
              <w:rPr>
                <w:sz w:val="22"/>
                <w:szCs w:val="22"/>
                <w:lang w:val="pt-PT"/>
              </w:rPr>
            </w:pPr>
            <w:r w:rsidRPr="008912CF">
              <w:rPr>
                <w:sz w:val="22"/>
                <w:szCs w:val="22"/>
                <w:lang w:val="pt-PT"/>
              </w:rPr>
              <w:t>29% (17/58)*</w:t>
            </w:r>
          </w:p>
        </w:tc>
        <w:tc>
          <w:tcPr>
            <w:tcW w:w="1859" w:type="dxa"/>
          </w:tcPr>
          <w:p w14:paraId="21074DCD" w14:textId="77777777" w:rsidR="002F6811" w:rsidRPr="008912CF" w:rsidRDefault="00615769" w:rsidP="002F6811">
            <w:pPr>
              <w:pStyle w:val="TableText"/>
              <w:spacing w:line="240" w:lineRule="auto"/>
              <w:jc w:val="center"/>
              <w:rPr>
                <w:sz w:val="22"/>
                <w:szCs w:val="22"/>
                <w:lang w:val="pt-PT"/>
              </w:rPr>
            </w:pPr>
            <w:r w:rsidRPr="008912CF">
              <w:rPr>
                <w:sz w:val="22"/>
                <w:szCs w:val="22"/>
                <w:lang w:val="pt-PT"/>
              </w:rPr>
              <w:t>20% (15/74)**</w:t>
            </w:r>
          </w:p>
        </w:tc>
      </w:tr>
      <w:tr w:rsidR="00A7162A" w14:paraId="2E504D3B" w14:textId="77777777" w:rsidTr="002F6811">
        <w:trPr>
          <w:cantSplit/>
        </w:trPr>
        <w:tc>
          <w:tcPr>
            <w:tcW w:w="9287" w:type="dxa"/>
            <w:gridSpan w:val="4"/>
            <w:tcBorders>
              <w:left w:val="nil"/>
              <w:right w:val="nil"/>
            </w:tcBorders>
          </w:tcPr>
          <w:p w14:paraId="3128930E" w14:textId="77777777" w:rsidR="002F6811" w:rsidRPr="008912CF" w:rsidRDefault="00615769" w:rsidP="002F6811">
            <w:pPr>
              <w:pStyle w:val="TableText"/>
              <w:spacing w:line="240" w:lineRule="auto"/>
              <w:rPr>
                <w:sz w:val="22"/>
                <w:szCs w:val="22"/>
                <w:lang w:val="pt-PT"/>
              </w:rPr>
            </w:pPr>
            <w:r w:rsidRPr="008912CF">
              <w:rPr>
                <w:sz w:val="22"/>
                <w:szCs w:val="22"/>
                <w:lang w:val="pt-PT"/>
              </w:rPr>
              <w:t>*</w:t>
            </w:r>
            <w:r w:rsidRPr="008912CF">
              <w:rPr>
                <w:sz w:val="22"/>
                <w:szCs w:val="22"/>
                <w:lang w:val="pt-PT"/>
              </w:rPr>
              <w:tab/>
              <w:t xml:space="preserve">p &lt; 0,001 para Humira </w:t>
            </w:r>
            <w:r w:rsidRPr="008912CF">
              <w:rPr>
                <w:i/>
                <w:iCs/>
                <w:sz w:val="22"/>
                <w:szCs w:val="22"/>
                <w:lang w:val="pt-PT"/>
              </w:rPr>
              <w:t>versus</w:t>
            </w:r>
            <w:r w:rsidRPr="008912CF">
              <w:rPr>
                <w:sz w:val="22"/>
                <w:szCs w:val="22"/>
                <w:lang w:val="pt-PT"/>
              </w:rPr>
              <w:t xml:space="preserve"> placebo em proporções comparativas emparelhadas</w:t>
            </w:r>
          </w:p>
          <w:p w14:paraId="7C9E494A" w14:textId="77777777" w:rsidR="002F6811" w:rsidRPr="008912CF" w:rsidRDefault="00615769" w:rsidP="002F6811">
            <w:pPr>
              <w:pStyle w:val="TableText"/>
              <w:spacing w:line="240" w:lineRule="auto"/>
              <w:rPr>
                <w:sz w:val="22"/>
                <w:szCs w:val="22"/>
                <w:lang w:val="pt-PT"/>
              </w:rPr>
            </w:pPr>
            <w:r w:rsidRPr="008912CF">
              <w:rPr>
                <w:sz w:val="22"/>
                <w:szCs w:val="22"/>
                <w:lang w:val="pt-PT"/>
              </w:rPr>
              <w:t>**</w:t>
            </w:r>
            <w:r w:rsidRPr="008912CF">
              <w:rPr>
                <w:sz w:val="22"/>
                <w:szCs w:val="22"/>
                <w:lang w:val="pt-PT"/>
              </w:rPr>
              <w:tab/>
            </w:r>
            <w:r w:rsidRPr="008912CF">
              <w:rPr>
                <w:sz w:val="22"/>
                <w:szCs w:val="22"/>
                <w:lang w:val="pt-PT"/>
              </w:rPr>
              <w:t xml:space="preserve">p &lt; 0,02 para Humira </w:t>
            </w:r>
            <w:r w:rsidRPr="008912CF">
              <w:rPr>
                <w:i/>
                <w:iCs/>
                <w:sz w:val="22"/>
                <w:szCs w:val="22"/>
                <w:lang w:val="pt-PT"/>
              </w:rPr>
              <w:t>versus</w:t>
            </w:r>
            <w:r w:rsidRPr="008912CF">
              <w:rPr>
                <w:sz w:val="22"/>
                <w:szCs w:val="22"/>
                <w:lang w:val="pt-PT"/>
              </w:rPr>
              <w:t xml:space="preserve"> placebo em proporções comparativas emparelhadas</w:t>
            </w:r>
          </w:p>
          <w:p w14:paraId="5F6E877A" w14:textId="77777777" w:rsidR="002F6811" w:rsidRPr="008912CF" w:rsidRDefault="00615769" w:rsidP="002F6811">
            <w:pPr>
              <w:pStyle w:val="TableText"/>
              <w:spacing w:line="240" w:lineRule="auto"/>
              <w:rPr>
                <w:sz w:val="22"/>
                <w:szCs w:val="22"/>
                <w:lang w:val="pt-PT"/>
              </w:rPr>
            </w:pPr>
            <w:r w:rsidRPr="008912CF">
              <w:rPr>
                <w:sz w:val="22"/>
                <w:szCs w:val="22"/>
                <w:vertAlign w:val="superscript"/>
                <w:lang w:val="pt-PT"/>
              </w:rPr>
              <w:t>a</w:t>
            </w:r>
            <w:r w:rsidRPr="008912CF">
              <w:rPr>
                <w:sz w:val="22"/>
                <w:szCs w:val="22"/>
                <w:vertAlign w:val="superscript"/>
                <w:lang w:val="pt-PT"/>
              </w:rPr>
              <w:tab/>
            </w:r>
            <w:r w:rsidRPr="008912CF">
              <w:rPr>
                <w:sz w:val="22"/>
                <w:szCs w:val="22"/>
                <w:lang w:val="pt-PT"/>
              </w:rPr>
              <w:t>Dos que receberam corticosteroides no início do estudo</w:t>
            </w:r>
          </w:p>
        </w:tc>
      </w:tr>
    </w:tbl>
    <w:p w14:paraId="59AF9837" w14:textId="77777777" w:rsidR="002F6811" w:rsidRPr="008912CF" w:rsidRDefault="002F6811" w:rsidP="002F6811">
      <w:pPr>
        <w:pStyle w:val="EMEANormal"/>
        <w:rPr>
          <w:szCs w:val="22"/>
          <w:lang w:val="pt-PT"/>
        </w:rPr>
      </w:pPr>
    </w:p>
    <w:p w14:paraId="406F5045" w14:textId="77777777" w:rsidR="002F6811" w:rsidRPr="008912CF" w:rsidRDefault="00615769" w:rsidP="002F6811">
      <w:pPr>
        <w:pStyle w:val="EMEANormal"/>
        <w:rPr>
          <w:szCs w:val="22"/>
          <w:lang w:val="pt-PT"/>
        </w:rPr>
      </w:pPr>
      <w:r w:rsidRPr="008912CF">
        <w:rPr>
          <w:szCs w:val="22"/>
          <w:lang w:val="pt-PT"/>
        </w:rPr>
        <w:t>Entre os doentes que não responderam na Semana 4, 43</w:t>
      </w:r>
      <w:r w:rsidR="009343EF">
        <w:rPr>
          <w:szCs w:val="22"/>
          <w:lang w:val="pt-PT"/>
        </w:rPr>
        <w:t>%</w:t>
      </w:r>
      <w:r w:rsidRPr="008912CF">
        <w:rPr>
          <w:szCs w:val="22"/>
          <w:lang w:val="pt-PT"/>
        </w:rPr>
        <w:t xml:space="preserve"> dos doentes em manutenção com Humira responderam na Semana 12 comparativamente com 30</w:t>
      </w:r>
      <w:r w:rsidR="009343EF">
        <w:rPr>
          <w:szCs w:val="22"/>
          <w:lang w:val="pt-PT"/>
        </w:rPr>
        <w:t>%</w:t>
      </w:r>
      <w:r w:rsidRPr="008912CF">
        <w:rPr>
          <w:szCs w:val="22"/>
          <w:lang w:val="pt-PT"/>
        </w:rPr>
        <w:t xml:space="preserve"> d</w:t>
      </w:r>
      <w:r w:rsidR="00FD14A1">
        <w:rPr>
          <w:szCs w:val="22"/>
          <w:lang w:val="pt-PT"/>
        </w:rPr>
        <w:t>os</w:t>
      </w:r>
      <w:r w:rsidRPr="008912CF">
        <w:rPr>
          <w:szCs w:val="22"/>
          <w:lang w:val="pt-PT"/>
        </w:rPr>
        <w:t xml:space="preserve"> doentes em manutenção com placebo. Estes resultados sugerem que alguns doentes que não responderam na Semana 4 beneficiam de uma terapêutica de manutenção continuada </w:t>
      </w:r>
      <w:r w:rsidR="002B24DC">
        <w:rPr>
          <w:szCs w:val="22"/>
          <w:lang w:val="pt-PT"/>
        </w:rPr>
        <w:t>até à</w:t>
      </w:r>
      <w:r w:rsidRPr="008912CF">
        <w:rPr>
          <w:szCs w:val="22"/>
          <w:lang w:val="pt-PT"/>
        </w:rPr>
        <w:t xml:space="preserve"> Semana 12. A terapêutica combinada para além das 12 </w:t>
      </w:r>
      <w:r w:rsidR="00FD14A1">
        <w:rPr>
          <w:szCs w:val="22"/>
          <w:lang w:val="pt-PT"/>
        </w:rPr>
        <w:t>s</w:t>
      </w:r>
      <w:r w:rsidRPr="008912CF">
        <w:rPr>
          <w:szCs w:val="22"/>
          <w:lang w:val="pt-PT"/>
        </w:rPr>
        <w:t>emanas não resultou em significativamente mais respostas (ver secção 4.2).</w:t>
      </w:r>
    </w:p>
    <w:p w14:paraId="09673C30" w14:textId="77777777" w:rsidR="002F6811" w:rsidRPr="008912CF" w:rsidRDefault="002F6811" w:rsidP="002F6811">
      <w:pPr>
        <w:pStyle w:val="EMEANormal"/>
        <w:rPr>
          <w:szCs w:val="22"/>
          <w:lang w:val="pt-PT"/>
        </w:rPr>
      </w:pPr>
    </w:p>
    <w:p w14:paraId="587CBE19" w14:textId="77777777" w:rsidR="002F6811" w:rsidRPr="008912CF" w:rsidRDefault="00615769" w:rsidP="002F6811">
      <w:pPr>
        <w:jc w:val="both"/>
        <w:rPr>
          <w:bCs/>
          <w:sz w:val="22"/>
          <w:szCs w:val="22"/>
        </w:rPr>
      </w:pPr>
      <w:r w:rsidRPr="008912CF">
        <w:rPr>
          <w:bCs/>
          <w:sz w:val="22"/>
          <w:szCs w:val="22"/>
        </w:rPr>
        <w:t>117/276 doentes do Estudo DC I e 272/777 doentes dos Estudos DC II e III, medicados com adalimumab, foram seguidos pelo menos durante 3 anos em estudo aberto. 88 e 189 doentes, respetivamente, continuaram em remissão clínica. A resposta clínica (CR-100) foi mantida em 102 e 233 doentes, respetivamente.</w:t>
      </w:r>
    </w:p>
    <w:p w14:paraId="4495BBEB" w14:textId="77777777" w:rsidR="002F6811" w:rsidRPr="008912CF" w:rsidRDefault="002F6811" w:rsidP="002F6811">
      <w:pPr>
        <w:jc w:val="both"/>
        <w:rPr>
          <w:sz w:val="22"/>
          <w:szCs w:val="22"/>
        </w:rPr>
      </w:pPr>
    </w:p>
    <w:p w14:paraId="3F57035C" w14:textId="77777777" w:rsidR="002F6811" w:rsidRPr="008912CF" w:rsidRDefault="00615769" w:rsidP="002F6811">
      <w:pPr>
        <w:jc w:val="both"/>
        <w:rPr>
          <w:sz w:val="22"/>
          <w:szCs w:val="22"/>
          <w:u w:val="single"/>
        </w:rPr>
      </w:pPr>
      <w:r w:rsidRPr="008912CF">
        <w:rPr>
          <w:i/>
          <w:sz w:val="22"/>
          <w:szCs w:val="22"/>
          <w:u w:val="single"/>
        </w:rPr>
        <w:t>Qualidade de vida</w:t>
      </w:r>
    </w:p>
    <w:p w14:paraId="0828A3DC" w14:textId="77777777" w:rsidR="002F6811" w:rsidRPr="008912CF" w:rsidRDefault="002F6811" w:rsidP="002F6811">
      <w:pPr>
        <w:rPr>
          <w:sz w:val="22"/>
          <w:szCs w:val="22"/>
        </w:rPr>
      </w:pPr>
    </w:p>
    <w:p w14:paraId="1A22F4AF" w14:textId="77777777" w:rsidR="002F6811" w:rsidRPr="008912CF" w:rsidRDefault="00615769" w:rsidP="002F6811">
      <w:r w:rsidRPr="008912CF">
        <w:rPr>
          <w:sz w:val="22"/>
          <w:szCs w:val="22"/>
        </w:rPr>
        <w:t>No Estudo DC I e no Estudo DC II observou-se uma melhoria estatisticamente significativa na escala total do questionário da doença inflamatória intestinal específic</w:t>
      </w:r>
      <w:r w:rsidR="0053002F">
        <w:rPr>
          <w:sz w:val="22"/>
          <w:szCs w:val="22"/>
        </w:rPr>
        <w:t>o</w:t>
      </w:r>
      <w:r w:rsidRPr="008912CF">
        <w:rPr>
          <w:sz w:val="22"/>
          <w:szCs w:val="22"/>
        </w:rPr>
        <w:t xml:space="preserve"> da doença (IBDQ) na Semana 4 em doentes </w:t>
      </w:r>
      <w:r w:rsidR="0013275C">
        <w:rPr>
          <w:sz w:val="22"/>
          <w:szCs w:val="22"/>
        </w:rPr>
        <w:t>aleatorizado</w:t>
      </w:r>
      <w:r w:rsidRPr="008912CF">
        <w:rPr>
          <w:sz w:val="22"/>
          <w:szCs w:val="22"/>
        </w:rPr>
        <w:t>s para Humira 80/40 mg e 160/80 mg comparativamente com placebo e foi também observado nas Semanas 26 e 56 no Estudo DC III entre os grupos de tratamento com adalimumab comparativamente com o grupo placebo.</w:t>
      </w:r>
    </w:p>
    <w:p w14:paraId="4A11952C" w14:textId="77777777" w:rsidR="002F6811" w:rsidRPr="00FD024F" w:rsidRDefault="002F6811" w:rsidP="002F6811">
      <w:pPr>
        <w:pStyle w:val="BodyText2"/>
        <w:autoSpaceDE/>
        <w:autoSpaceDN/>
        <w:adjustRightInd/>
        <w:rPr>
          <w:szCs w:val="22"/>
        </w:rPr>
      </w:pPr>
    </w:p>
    <w:p w14:paraId="1F948A49" w14:textId="77777777" w:rsidR="002F6811" w:rsidRPr="00034BDE" w:rsidRDefault="00615769" w:rsidP="002F6811">
      <w:pPr>
        <w:rPr>
          <w:i/>
        </w:rPr>
      </w:pPr>
      <w:r w:rsidRPr="00034BDE">
        <w:rPr>
          <w:i/>
          <w:sz w:val="22"/>
          <w:szCs w:val="22"/>
        </w:rPr>
        <w:t xml:space="preserve">Uveíte </w:t>
      </w:r>
      <w:r>
        <w:rPr>
          <w:i/>
          <w:sz w:val="22"/>
          <w:szCs w:val="22"/>
        </w:rPr>
        <w:t>no Adulto</w:t>
      </w:r>
    </w:p>
    <w:p w14:paraId="2089C912" w14:textId="77777777" w:rsidR="002F6811" w:rsidRPr="00FD024F" w:rsidRDefault="002F6811" w:rsidP="002F6811"/>
    <w:p w14:paraId="60F37401" w14:textId="77777777" w:rsidR="002F6811" w:rsidRDefault="00615769" w:rsidP="002F6811">
      <w:pPr>
        <w:rPr>
          <w:sz w:val="22"/>
          <w:szCs w:val="22"/>
        </w:rPr>
      </w:pPr>
      <w:r w:rsidRPr="00E12FF1">
        <w:rPr>
          <w:sz w:val="22"/>
          <w:szCs w:val="22"/>
        </w:rPr>
        <w:t xml:space="preserve">A segurança e eficácia de Humira foram avaliadas </w:t>
      </w:r>
      <w:r w:rsidRPr="003314B2">
        <w:rPr>
          <w:sz w:val="22"/>
          <w:szCs w:val="22"/>
        </w:rPr>
        <w:t>em doentes adultos com uveíte não</w:t>
      </w:r>
      <w:r w:rsidRPr="009C739B">
        <w:rPr>
          <w:sz w:val="22"/>
          <w:szCs w:val="22"/>
        </w:rPr>
        <w:t xml:space="preserve"> </w:t>
      </w:r>
      <w:r w:rsidRPr="003314B2">
        <w:rPr>
          <w:sz w:val="22"/>
          <w:szCs w:val="22"/>
        </w:rPr>
        <w:t>infe</w:t>
      </w:r>
      <w:r>
        <w:rPr>
          <w:sz w:val="22"/>
          <w:szCs w:val="22"/>
        </w:rPr>
        <w:t>c</w:t>
      </w:r>
      <w:r w:rsidRPr="003314B2">
        <w:rPr>
          <w:sz w:val="22"/>
          <w:szCs w:val="22"/>
        </w:rPr>
        <w:t xml:space="preserve">ciosa intermédia, posterior, e panuveíte, </w:t>
      </w:r>
      <w:r w:rsidRPr="009C739B">
        <w:rPr>
          <w:sz w:val="22"/>
          <w:szCs w:val="22"/>
        </w:rPr>
        <w:t xml:space="preserve">excluindo </w:t>
      </w:r>
      <w:r w:rsidRPr="003314B2">
        <w:rPr>
          <w:sz w:val="22"/>
          <w:szCs w:val="22"/>
        </w:rPr>
        <w:t xml:space="preserve">doentes com uveíte anterior isolada, em dois estudos </w:t>
      </w:r>
      <w:r w:rsidR="0013275C">
        <w:rPr>
          <w:sz w:val="22"/>
          <w:szCs w:val="22"/>
        </w:rPr>
        <w:t>aleatorizado</w:t>
      </w:r>
      <w:r w:rsidRPr="003314B2">
        <w:rPr>
          <w:sz w:val="22"/>
          <w:szCs w:val="22"/>
        </w:rPr>
        <w:t>s, em dupla ocultação, controlados com placebo</w:t>
      </w:r>
      <w:r>
        <w:rPr>
          <w:sz w:val="22"/>
          <w:szCs w:val="22"/>
        </w:rPr>
        <w:t xml:space="preserve"> </w:t>
      </w:r>
      <w:r w:rsidRPr="003314B2">
        <w:rPr>
          <w:sz w:val="22"/>
          <w:szCs w:val="22"/>
        </w:rPr>
        <w:t>(UV I e II)</w:t>
      </w:r>
      <w:r>
        <w:rPr>
          <w:sz w:val="22"/>
          <w:szCs w:val="22"/>
        </w:rPr>
        <w:t>. Os doentes receberam placebo ou Humira numa dose inicial de 80 mg seguida de 40 mg em semanas alternadas, uma semana após a dose inicial. Foram permitidas doses concomitantes estáveis de um imunossupressor não biológico.</w:t>
      </w:r>
    </w:p>
    <w:p w14:paraId="76B63A9A" w14:textId="77777777" w:rsidR="002F6811" w:rsidRDefault="002F6811" w:rsidP="002F6811">
      <w:pPr>
        <w:rPr>
          <w:szCs w:val="22"/>
        </w:rPr>
      </w:pPr>
    </w:p>
    <w:p w14:paraId="47F329E5" w14:textId="77777777" w:rsidR="002F6811" w:rsidRDefault="00615769" w:rsidP="002F6811">
      <w:pPr>
        <w:rPr>
          <w:sz w:val="22"/>
          <w:szCs w:val="22"/>
        </w:rPr>
      </w:pPr>
      <w:r>
        <w:rPr>
          <w:sz w:val="22"/>
          <w:szCs w:val="22"/>
        </w:rPr>
        <w:t xml:space="preserve">O estudo UV </w:t>
      </w:r>
      <w:r w:rsidRPr="003314B2">
        <w:rPr>
          <w:sz w:val="22"/>
          <w:szCs w:val="22"/>
        </w:rPr>
        <w:t>I</w:t>
      </w:r>
      <w:r>
        <w:rPr>
          <w:sz w:val="22"/>
          <w:szCs w:val="22"/>
        </w:rPr>
        <w:t xml:space="preserve"> avaliou 217 doentes com uveíte ativa, apesar do tratamento com corticosteroides (prednisona oral numa dose de 10 a 60 mg/dia).</w:t>
      </w:r>
      <w:r w:rsidRPr="003314B2">
        <w:t xml:space="preserve"> </w:t>
      </w:r>
      <w:r w:rsidRPr="003314B2">
        <w:rPr>
          <w:sz w:val="22"/>
          <w:szCs w:val="22"/>
        </w:rPr>
        <w:t>Ao entrarem no estudo</w:t>
      </w:r>
      <w:r>
        <w:rPr>
          <w:sz w:val="22"/>
          <w:szCs w:val="22"/>
        </w:rPr>
        <w:t>,</w:t>
      </w:r>
      <w:r w:rsidRPr="003314B2">
        <w:rPr>
          <w:sz w:val="22"/>
          <w:szCs w:val="22"/>
        </w:rPr>
        <w:t xml:space="preserve"> todos os doentes receberam durante 2 semanas uma dose </w:t>
      </w:r>
      <w:r>
        <w:rPr>
          <w:sz w:val="22"/>
          <w:szCs w:val="22"/>
        </w:rPr>
        <w:t xml:space="preserve">padrão </w:t>
      </w:r>
      <w:r w:rsidRPr="003314B2">
        <w:rPr>
          <w:sz w:val="22"/>
          <w:szCs w:val="22"/>
        </w:rPr>
        <w:t>de prednisona 60</w:t>
      </w:r>
      <w:r>
        <w:rPr>
          <w:sz w:val="22"/>
          <w:szCs w:val="22"/>
        </w:rPr>
        <w:t> </w:t>
      </w:r>
      <w:r w:rsidRPr="003314B2">
        <w:rPr>
          <w:sz w:val="22"/>
          <w:szCs w:val="22"/>
        </w:rPr>
        <w:t xml:space="preserve">mg/dia, seguida de uma redução obrigatória, com descontinuação completa </w:t>
      </w:r>
      <w:r>
        <w:rPr>
          <w:sz w:val="22"/>
          <w:szCs w:val="22"/>
        </w:rPr>
        <w:t>dos corticosteroides</w:t>
      </w:r>
      <w:r w:rsidRPr="003314B2">
        <w:rPr>
          <w:sz w:val="22"/>
          <w:szCs w:val="22"/>
        </w:rPr>
        <w:t xml:space="preserve"> </w:t>
      </w:r>
      <w:r w:rsidR="00FB6C29">
        <w:rPr>
          <w:sz w:val="22"/>
          <w:szCs w:val="22"/>
        </w:rPr>
        <w:t xml:space="preserve">até </w:t>
      </w:r>
      <w:r w:rsidRPr="003314B2">
        <w:rPr>
          <w:sz w:val="22"/>
          <w:szCs w:val="22"/>
        </w:rPr>
        <w:t xml:space="preserve">à </w:t>
      </w:r>
      <w:r>
        <w:rPr>
          <w:sz w:val="22"/>
          <w:szCs w:val="22"/>
        </w:rPr>
        <w:t>S</w:t>
      </w:r>
      <w:r w:rsidRPr="003314B2">
        <w:rPr>
          <w:sz w:val="22"/>
          <w:szCs w:val="22"/>
        </w:rPr>
        <w:t>emana 15.</w:t>
      </w:r>
    </w:p>
    <w:p w14:paraId="569B0B16" w14:textId="77777777" w:rsidR="002F6811" w:rsidRDefault="002F6811" w:rsidP="002F6811">
      <w:pPr>
        <w:rPr>
          <w:sz w:val="22"/>
          <w:szCs w:val="22"/>
        </w:rPr>
      </w:pPr>
    </w:p>
    <w:p w14:paraId="15051D1E" w14:textId="77777777" w:rsidR="002F6811" w:rsidRDefault="00615769" w:rsidP="002F6811">
      <w:pPr>
        <w:rPr>
          <w:sz w:val="22"/>
          <w:szCs w:val="22"/>
        </w:rPr>
      </w:pPr>
      <w:r>
        <w:rPr>
          <w:sz w:val="22"/>
          <w:szCs w:val="22"/>
        </w:rPr>
        <w:t xml:space="preserve">O estudo UV II avaliou 226 doentes com uveíte inativa, que requeriam tratamento crónico com corticosteroide (prednisona oral 10 a 35 mg/dia) no início do estudo, para controlo da doença. </w:t>
      </w:r>
      <w:r w:rsidRPr="004A2092">
        <w:rPr>
          <w:sz w:val="22"/>
          <w:szCs w:val="22"/>
        </w:rPr>
        <w:t>Subsequentemente, os doentes tiveram uma redução obrigatória, com descontinuação completa dos corticoster</w:t>
      </w:r>
      <w:r>
        <w:rPr>
          <w:sz w:val="22"/>
          <w:szCs w:val="22"/>
        </w:rPr>
        <w:t>o</w:t>
      </w:r>
      <w:r w:rsidRPr="004A2092">
        <w:rPr>
          <w:sz w:val="22"/>
          <w:szCs w:val="22"/>
        </w:rPr>
        <w:t xml:space="preserve">ides </w:t>
      </w:r>
      <w:r w:rsidR="00FB6C29">
        <w:rPr>
          <w:sz w:val="22"/>
          <w:szCs w:val="22"/>
        </w:rPr>
        <w:t xml:space="preserve">até </w:t>
      </w:r>
      <w:r w:rsidRPr="004A2092">
        <w:rPr>
          <w:sz w:val="22"/>
          <w:szCs w:val="22"/>
        </w:rPr>
        <w:t xml:space="preserve">à </w:t>
      </w:r>
      <w:r>
        <w:rPr>
          <w:sz w:val="22"/>
          <w:szCs w:val="22"/>
        </w:rPr>
        <w:t>S</w:t>
      </w:r>
      <w:r w:rsidRPr="004A2092">
        <w:rPr>
          <w:sz w:val="22"/>
          <w:szCs w:val="22"/>
        </w:rPr>
        <w:t>emana 19.</w:t>
      </w:r>
    </w:p>
    <w:p w14:paraId="003ABE60" w14:textId="77777777" w:rsidR="002F6811" w:rsidRDefault="002F6811" w:rsidP="002F6811">
      <w:pPr>
        <w:rPr>
          <w:sz w:val="22"/>
          <w:szCs w:val="22"/>
        </w:rPr>
      </w:pPr>
    </w:p>
    <w:p w14:paraId="68A61E5F" w14:textId="77777777" w:rsidR="002F6811" w:rsidRDefault="00615769" w:rsidP="002F6811">
      <w:pPr>
        <w:rPr>
          <w:sz w:val="22"/>
          <w:szCs w:val="22"/>
        </w:rPr>
      </w:pPr>
      <w:r w:rsidRPr="00A61CAB">
        <w:rPr>
          <w:sz w:val="22"/>
          <w:szCs w:val="22"/>
        </w:rPr>
        <w:t>O objetivo primário</w:t>
      </w:r>
      <w:r>
        <w:rPr>
          <w:sz w:val="22"/>
          <w:szCs w:val="22"/>
        </w:rPr>
        <w:t xml:space="preserve"> de eficácia em ambos os estudos foi o “tempo até falha do tratamento”. A falha do tratamento foi definida por um resultado multi-componente baseado em lesões</w:t>
      </w:r>
      <w:r w:rsidRPr="008A046A">
        <w:rPr>
          <w:sz w:val="22"/>
          <w:szCs w:val="22"/>
        </w:rPr>
        <w:t xml:space="preserve"> inflamatórias coriorretinianas</w:t>
      </w:r>
      <w:r>
        <w:rPr>
          <w:sz w:val="22"/>
          <w:szCs w:val="22"/>
        </w:rPr>
        <w:t xml:space="preserve"> e/ou lesões inflamatórias vasculares da retina, grau de células da câmara anterior (CA), grau de turvação </w:t>
      </w:r>
      <w:r w:rsidRPr="008D59A5">
        <w:rPr>
          <w:sz w:val="22"/>
          <w:szCs w:val="22"/>
        </w:rPr>
        <w:t>vítrea</w:t>
      </w:r>
      <w:r>
        <w:rPr>
          <w:sz w:val="22"/>
          <w:szCs w:val="22"/>
        </w:rPr>
        <w:t xml:space="preserve"> (VH) e melhor acuidade visual corrigida (MAVC).</w:t>
      </w:r>
    </w:p>
    <w:p w14:paraId="47E816E0" w14:textId="77777777" w:rsidR="002F6811" w:rsidRDefault="002F6811" w:rsidP="002F6811">
      <w:pPr>
        <w:rPr>
          <w:szCs w:val="22"/>
        </w:rPr>
      </w:pPr>
    </w:p>
    <w:p w14:paraId="2DC27AF9" w14:textId="77777777" w:rsidR="00E32E84" w:rsidRPr="00B054DD" w:rsidRDefault="00615769" w:rsidP="002F6811">
      <w:pPr>
        <w:rPr>
          <w:sz w:val="22"/>
          <w:szCs w:val="22"/>
        </w:rPr>
      </w:pPr>
      <w:bookmarkStart w:id="20" w:name="_Hlk8381420"/>
      <w:bookmarkStart w:id="21" w:name="_Hlk8382201"/>
      <w:r w:rsidRPr="00B054DD">
        <w:rPr>
          <w:sz w:val="22"/>
          <w:szCs w:val="22"/>
        </w:rPr>
        <w:t xml:space="preserve">Os doentes que completaram os </w:t>
      </w:r>
      <w:r w:rsidR="0029286D" w:rsidRPr="00B054DD">
        <w:rPr>
          <w:sz w:val="22"/>
          <w:szCs w:val="22"/>
        </w:rPr>
        <w:t>E</w:t>
      </w:r>
      <w:r w:rsidRPr="00B054DD">
        <w:rPr>
          <w:sz w:val="22"/>
          <w:szCs w:val="22"/>
        </w:rPr>
        <w:t>studos UV I e UV II foram elegíveis</w:t>
      </w:r>
      <w:r w:rsidR="009A0977" w:rsidRPr="00B054DD">
        <w:rPr>
          <w:sz w:val="22"/>
          <w:szCs w:val="22"/>
        </w:rPr>
        <w:t xml:space="preserve"> para participar num estudo </w:t>
      </w:r>
      <w:r w:rsidR="00FB31DC" w:rsidRPr="00B054DD">
        <w:rPr>
          <w:sz w:val="22"/>
          <w:szCs w:val="22"/>
        </w:rPr>
        <w:t>de extensão</w:t>
      </w:r>
      <w:r w:rsidR="00961DA7" w:rsidRPr="00B054DD">
        <w:rPr>
          <w:sz w:val="22"/>
          <w:szCs w:val="22"/>
        </w:rPr>
        <w:t xml:space="preserve"> </w:t>
      </w:r>
      <w:r w:rsidR="00FB31DC" w:rsidRPr="00B054DD">
        <w:rPr>
          <w:sz w:val="22"/>
          <w:szCs w:val="22"/>
        </w:rPr>
        <w:t>a longo prazo</w:t>
      </w:r>
      <w:r w:rsidR="00B054DD" w:rsidRPr="00B054DD">
        <w:rPr>
          <w:sz w:val="22"/>
          <w:szCs w:val="22"/>
        </w:rPr>
        <w:t>, não-controlado</w:t>
      </w:r>
      <w:r w:rsidR="00FB31DC" w:rsidRPr="00B054DD">
        <w:rPr>
          <w:sz w:val="22"/>
          <w:szCs w:val="22"/>
        </w:rPr>
        <w:t>,</w:t>
      </w:r>
      <w:r w:rsidR="009A0977" w:rsidRPr="00B054DD">
        <w:rPr>
          <w:sz w:val="22"/>
          <w:szCs w:val="22"/>
        </w:rPr>
        <w:t xml:space="preserve"> com uma duração </w:t>
      </w:r>
      <w:r w:rsidR="00B054DD" w:rsidRPr="00B054DD">
        <w:rPr>
          <w:sz w:val="22"/>
          <w:szCs w:val="22"/>
        </w:rPr>
        <w:t>inici</w:t>
      </w:r>
      <w:r w:rsidR="009A0977" w:rsidRPr="00B054DD">
        <w:rPr>
          <w:sz w:val="22"/>
          <w:szCs w:val="22"/>
        </w:rPr>
        <w:t>almente planeada de 78 semanas. Foi permitido aos doentes continuarem co</w:t>
      </w:r>
      <w:r w:rsidR="00FB31DC" w:rsidRPr="00B054DD">
        <w:rPr>
          <w:sz w:val="22"/>
          <w:szCs w:val="22"/>
        </w:rPr>
        <w:t>m</w:t>
      </w:r>
      <w:r w:rsidR="009A0977" w:rsidRPr="00B054DD">
        <w:rPr>
          <w:sz w:val="22"/>
          <w:szCs w:val="22"/>
        </w:rPr>
        <w:t xml:space="preserve"> a medicação do estudo para além da Semana 78 até </w:t>
      </w:r>
      <w:r w:rsidR="00FC7E81">
        <w:rPr>
          <w:sz w:val="22"/>
          <w:szCs w:val="22"/>
        </w:rPr>
        <w:t>terem</w:t>
      </w:r>
      <w:r w:rsidR="009A0977" w:rsidRPr="00B054DD">
        <w:rPr>
          <w:sz w:val="22"/>
          <w:szCs w:val="22"/>
        </w:rPr>
        <w:t xml:space="preserve"> acesso a Humira.</w:t>
      </w:r>
    </w:p>
    <w:bookmarkEnd w:id="20"/>
    <w:p w14:paraId="18F47601" w14:textId="77777777" w:rsidR="00E32E84" w:rsidRPr="00FF23FB" w:rsidRDefault="00E32E84" w:rsidP="002F6811">
      <w:pPr>
        <w:rPr>
          <w:szCs w:val="22"/>
        </w:rPr>
      </w:pPr>
    </w:p>
    <w:bookmarkEnd w:id="21"/>
    <w:p w14:paraId="755FCC24" w14:textId="77777777" w:rsidR="002F6811" w:rsidRPr="008912CF" w:rsidRDefault="00615769" w:rsidP="002F6811">
      <w:pPr>
        <w:rPr>
          <w:i/>
          <w:sz w:val="22"/>
          <w:szCs w:val="22"/>
          <w:u w:val="single"/>
        </w:rPr>
      </w:pPr>
      <w:r w:rsidRPr="008912CF">
        <w:rPr>
          <w:i/>
          <w:sz w:val="22"/>
          <w:szCs w:val="22"/>
          <w:u w:val="single"/>
        </w:rPr>
        <w:t>Resposta clínica</w:t>
      </w:r>
    </w:p>
    <w:p w14:paraId="772781BA" w14:textId="77777777" w:rsidR="002F6811" w:rsidRDefault="002F6811" w:rsidP="002F6811">
      <w:pPr>
        <w:pStyle w:val="BodyText2"/>
        <w:autoSpaceDE/>
        <w:autoSpaceDN/>
        <w:adjustRightInd/>
        <w:rPr>
          <w:szCs w:val="22"/>
        </w:rPr>
      </w:pPr>
    </w:p>
    <w:p w14:paraId="41A8B821" w14:textId="77777777" w:rsidR="002F6811" w:rsidRDefault="00615769" w:rsidP="002F6811">
      <w:pPr>
        <w:rPr>
          <w:sz w:val="22"/>
          <w:szCs w:val="22"/>
        </w:rPr>
      </w:pPr>
      <w:r>
        <w:rPr>
          <w:sz w:val="22"/>
          <w:szCs w:val="22"/>
        </w:rPr>
        <w:t xml:space="preserve">Os resultados de ambos os estudos demonstraram uma redução estatisticamente significativa do risco de falha do tratamento em doentes tratados com Humira versus doentes que receberam placebo (Ver Tabela </w:t>
      </w:r>
      <w:r w:rsidR="00116EA1">
        <w:rPr>
          <w:sz w:val="22"/>
          <w:szCs w:val="22"/>
        </w:rPr>
        <w:t>16</w:t>
      </w:r>
      <w:r>
        <w:rPr>
          <w:sz w:val="22"/>
          <w:szCs w:val="22"/>
        </w:rPr>
        <w:t>). Ambos os estudos demonstraram um efeito precoce e sustentado d</w:t>
      </w:r>
      <w:r w:rsidR="003A4C51">
        <w:rPr>
          <w:sz w:val="22"/>
          <w:szCs w:val="22"/>
        </w:rPr>
        <w:t>e</w:t>
      </w:r>
      <w:r>
        <w:rPr>
          <w:sz w:val="22"/>
          <w:szCs w:val="22"/>
        </w:rPr>
        <w:t xml:space="preserve"> Humira, na taxa de falha do tratamento versus placebo (ver Figura </w:t>
      </w:r>
      <w:r w:rsidR="00116EA1">
        <w:rPr>
          <w:sz w:val="22"/>
          <w:szCs w:val="22"/>
        </w:rPr>
        <w:t>1</w:t>
      </w:r>
      <w:r>
        <w:rPr>
          <w:sz w:val="22"/>
          <w:szCs w:val="22"/>
        </w:rPr>
        <w:t>).</w:t>
      </w:r>
    </w:p>
    <w:p w14:paraId="00AC91B3" w14:textId="77777777" w:rsidR="002F6811" w:rsidRDefault="002F6811" w:rsidP="002F6811">
      <w:pPr>
        <w:rPr>
          <w:sz w:val="22"/>
          <w:szCs w:val="22"/>
        </w:rPr>
      </w:pPr>
    </w:p>
    <w:p w14:paraId="775E2CFB" w14:textId="77777777" w:rsidR="002F6811" w:rsidRPr="00635048" w:rsidRDefault="00615769" w:rsidP="002F6811">
      <w:pPr>
        <w:jc w:val="center"/>
        <w:rPr>
          <w:b/>
          <w:sz w:val="22"/>
          <w:szCs w:val="22"/>
        </w:rPr>
      </w:pPr>
      <w:r w:rsidRPr="00635048">
        <w:rPr>
          <w:b/>
          <w:sz w:val="22"/>
          <w:szCs w:val="22"/>
        </w:rPr>
        <w:t xml:space="preserve">Tabela </w:t>
      </w:r>
      <w:r w:rsidR="00116EA1">
        <w:rPr>
          <w:b/>
          <w:sz w:val="22"/>
          <w:szCs w:val="22"/>
        </w:rPr>
        <w:t>16</w:t>
      </w:r>
    </w:p>
    <w:p w14:paraId="72F098C9" w14:textId="77777777" w:rsidR="002F6811" w:rsidRPr="00635048" w:rsidRDefault="00615769" w:rsidP="002F6811">
      <w:pPr>
        <w:jc w:val="center"/>
        <w:rPr>
          <w:b/>
          <w:sz w:val="22"/>
          <w:szCs w:val="22"/>
        </w:rPr>
      </w:pPr>
      <w:r w:rsidRPr="00635048">
        <w:rPr>
          <w:b/>
          <w:sz w:val="22"/>
          <w:szCs w:val="22"/>
        </w:rPr>
        <w:t>Tempo até Falha do Tratamento nos Estudos UV I e UV II</w:t>
      </w:r>
    </w:p>
    <w:p w14:paraId="1322494A" w14:textId="77777777" w:rsidR="002F6811" w:rsidRPr="00635048" w:rsidRDefault="002F6811" w:rsidP="002F6811">
      <w:pPr>
        <w:rPr>
          <w:b/>
          <w:sz w:val="22"/>
          <w:szCs w:val="22"/>
        </w:rPr>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A7162A" w14:paraId="4F8A18E1" w14:textId="77777777" w:rsidTr="002F6811">
        <w:tc>
          <w:tcPr>
            <w:tcW w:w="2268" w:type="dxa"/>
            <w:tcBorders>
              <w:top w:val="single" w:sz="4" w:space="0" w:color="auto"/>
              <w:bottom w:val="single" w:sz="4" w:space="0" w:color="auto"/>
            </w:tcBorders>
          </w:tcPr>
          <w:p w14:paraId="25624F83" w14:textId="77777777" w:rsidR="002F6811" w:rsidRPr="00A14E04" w:rsidRDefault="00615769" w:rsidP="002F6811">
            <w:pPr>
              <w:rPr>
                <w:b/>
                <w:sz w:val="22"/>
                <w:szCs w:val="22"/>
                <w:lang w:val="en-US"/>
              </w:rPr>
            </w:pPr>
            <w:r w:rsidRPr="00A14E04">
              <w:rPr>
                <w:b/>
                <w:sz w:val="22"/>
                <w:szCs w:val="22"/>
                <w:lang w:val="en-US"/>
              </w:rPr>
              <w:t>An</w:t>
            </w:r>
            <w:r>
              <w:rPr>
                <w:b/>
                <w:sz w:val="22"/>
                <w:szCs w:val="22"/>
                <w:lang w:val="en-US"/>
              </w:rPr>
              <w:t>álise</w:t>
            </w:r>
          </w:p>
          <w:p w14:paraId="47910DD6" w14:textId="77777777" w:rsidR="002F6811" w:rsidRPr="00A14E04" w:rsidRDefault="00615769" w:rsidP="002F6811">
            <w:pPr>
              <w:rPr>
                <w:b/>
                <w:sz w:val="22"/>
                <w:szCs w:val="22"/>
                <w:lang w:val="en-US"/>
              </w:rPr>
            </w:pPr>
            <w:r>
              <w:rPr>
                <w:b/>
                <w:sz w:val="22"/>
                <w:szCs w:val="22"/>
                <w:lang w:val="en-US"/>
              </w:rPr>
              <w:tab/>
              <w:t>Tr</w:t>
            </w:r>
            <w:r w:rsidRPr="00A14E04">
              <w:rPr>
                <w:b/>
                <w:sz w:val="22"/>
                <w:szCs w:val="22"/>
                <w:lang w:val="en-US"/>
              </w:rPr>
              <w:t>at</w:t>
            </w:r>
            <w:r>
              <w:rPr>
                <w:b/>
                <w:sz w:val="22"/>
                <w:szCs w:val="22"/>
                <w:lang w:val="en-US"/>
              </w:rPr>
              <w:t>a</w:t>
            </w:r>
            <w:r w:rsidRPr="00A14E04">
              <w:rPr>
                <w:b/>
                <w:sz w:val="22"/>
                <w:szCs w:val="22"/>
                <w:lang w:val="en-US"/>
              </w:rPr>
              <w:t>ment</w:t>
            </w:r>
            <w:r>
              <w:rPr>
                <w:b/>
                <w:sz w:val="22"/>
                <w:szCs w:val="22"/>
                <w:lang w:val="en-US"/>
              </w:rPr>
              <w:t>o</w:t>
            </w:r>
          </w:p>
        </w:tc>
        <w:tc>
          <w:tcPr>
            <w:tcW w:w="720" w:type="dxa"/>
            <w:tcBorders>
              <w:top w:val="single" w:sz="4" w:space="0" w:color="auto"/>
              <w:bottom w:val="single" w:sz="4" w:space="0" w:color="auto"/>
            </w:tcBorders>
          </w:tcPr>
          <w:p w14:paraId="22CC9BE4" w14:textId="77777777" w:rsidR="002F6811" w:rsidRPr="00A14E04" w:rsidRDefault="00615769" w:rsidP="002F6811">
            <w:pPr>
              <w:rPr>
                <w:b/>
                <w:sz w:val="22"/>
                <w:szCs w:val="22"/>
                <w:lang w:val="en-US"/>
              </w:rPr>
            </w:pPr>
            <w:r w:rsidRPr="00A14E04">
              <w:rPr>
                <w:b/>
                <w:sz w:val="22"/>
                <w:szCs w:val="22"/>
                <w:lang w:val="en-US"/>
              </w:rPr>
              <w:t>N</w:t>
            </w:r>
          </w:p>
        </w:tc>
        <w:tc>
          <w:tcPr>
            <w:tcW w:w="1170" w:type="dxa"/>
            <w:tcBorders>
              <w:top w:val="single" w:sz="4" w:space="0" w:color="auto"/>
              <w:bottom w:val="single" w:sz="4" w:space="0" w:color="auto"/>
            </w:tcBorders>
          </w:tcPr>
          <w:p w14:paraId="1E8548CE" w14:textId="77777777" w:rsidR="002F6811" w:rsidRPr="00A14E04" w:rsidRDefault="00615769" w:rsidP="002F6811">
            <w:pPr>
              <w:rPr>
                <w:b/>
                <w:sz w:val="22"/>
                <w:szCs w:val="22"/>
                <w:lang w:val="en-US"/>
              </w:rPr>
            </w:pPr>
            <w:r w:rsidRPr="00A14E04">
              <w:rPr>
                <w:b/>
                <w:sz w:val="22"/>
                <w:szCs w:val="22"/>
                <w:lang w:val="en-US"/>
              </w:rPr>
              <w:t>Fa</w:t>
            </w:r>
            <w:r>
              <w:rPr>
                <w:b/>
                <w:sz w:val="22"/>
                <w:szCs w:val="22"/>
                <w:lang w:val="en-US"/>
              </w:rPr>
              <w:t>lha</w:t>
            </w:r>
            <w:r w:rsidRPr="00A14E04">
              <w:rPr>
                <w:b/>
                <w:sz w:val="22"/>
                <w:szCs w:val="22"/>
                <w:lang w:val="en-US"/>
              </w:rPr>
              <w:br/>
              <w:t>N (%)</w:t>
            </w:r>
          </w:p>
        </w:tc>
        <w:tc>
          <w:tcPr>
            <w:tcW w:w="1890" w:type="dxa"/>
            <w:tcBorders>
              <w:top w:val="single" w:sz="4" w:space="0" w:color="auto"/>
              <w:bottom w:val="single" w:sz="4" w:space="0" w:color="auto"/>
            </w:tcBorders>
          </w:tcPr>
          <w:p w14:paraId="7A46CB8B" w14:textId="77777777" w:rsidR="002F6811" w:rsidRPr="00635048" w:rsidRDefault="00615769" w:rsidP="002F6811">
            <w:pPr>
              <w:rPr>
                <w:b/>
                <w:sz w:val="22"/>
                <w:szCs w:val="22"/>
              </w:rPr>
            </w:pPr>
            <w:r>
              <w:rPr>
                <w:b/>
                <w:sz w:val="22"/>
                <w:szCs w:val="22"/>
              </w:rPr>
              <w:t xml:space="preserve">Mediana do </w:t>
            </w:r>
            <w:r w:rsidRPr="00635048">
              <w:rPr>
                <w:b/>
                <w:sz w:val="22"/>
                <w:szCs w:val="22"/>
              </w:rPr>
              <w:t>Tempo</w:t>
            </w:r>
            <w:r>
              <w:rPr>
                <w:b/>
                <w:sz w:val="22"/>
                <w:szCs w:val="22"/>
              </w:rPr>
              <w:t xml:space="preserve"> </w:t>
            </w:r>
            <w:r w:rsidRPr="00635048">
              <w:rPr>
                <w:b/>
                <w:sz w:val="22"/>
                <w:szCs w:val="22"/>
              </w:rPr>
              <w:t xml:space="preserve">até Falha do </w:t>
            </w:r>
            <w:r>
              <w:rPr>
                <w:b/>
                <w:sz w:val="22"/>
                <w:szCs w:val="22"/>
              </w:rPr>
              <w:t>T</w:t>
            </w:r>
            <w:r w:rsidRPr="00635048">
              <w:rPr>
                <w:b/>
                <w:sz w:val="22"/>
                <w:szCs w:val="22"/>
              </w:rPr>
              <w:t>ratamento</w:t>
            </w:r>
            <w:r>
              <w:rPr>
                <w:b/>
                <w:sz w:val="22"/>
                <w:szCs w:val="22"/>
              </w:rPr>
              <w:t xml:space="preserve"> (</w:t>
            </w:r>
            <w:r w:rsidRPr="00635048">
              <w:rPr>
                <w:b/>
                <w:sz w:val="22"/>
                <w:szCs w:val="22"/>
              </w:rPr>
              <w:t>meses)</w:t>
            </w:r>
          </w:p>
        </w:tc>
        <w:tc>
          <w:tcPr>
            <w:tcW w:w="720" w:type="dxa"/>
            <w:tcBorders>
              <w:top w:val="single" w:sz="4" w:space="0" w:color="auto"/>
              <w:bottom w:val="single" w:sz="4" w:space="0" w:color="auto"/>
            </w:tcBorders>
          </w:tcPr>
          <w:p w14:paraId="08FB82FE" w14:textId="77777777" w:rsidR="002F6811" w:rsidRPr="00A14E04" w:rsidRDefault="00615769" w:rsidP="002F6811">
            <w:pPr>
              <w:rPr>
                <w:b/>
                <w:sz w:val="22"/>
                <w:szCs w:val="22"/>
                <w:lang w:val="en-US"/>
              </w:rPr>
            </w:pPr>
            <w:r>
              <w:rPr>
                <w:b/>
                <w:sz w:val="22"/>
                <w:szCs w:val="22"/>
                <w:lang w:val="en-US"/>
              </w:rPr>
              <w:t>T</w:t>
            </w:r>
            <w:r w:rsidRPr="00A14E04">
              <w:rPr>
                <w:b/>
                <w:sz w:val="22"/>
                <w:szCs w:val="22"/>
                <w:lang w:val="en-US"/>
              </w:rPr>
              <w:t>R</w:t>
            </w:r>
            <w:r w:rsidRPr="00A14E04">
              <w:rPr>
                <w:b/>
                <w:sz w:val="22"/>
                <w:szCs w:val="22"/>
                <w:vertAlign w:val="superscript"/>
                <w:lang w:val="en-US"/>
              </w:rPr>
              <w:t>a</w:t>
            </w:r>
          </w:p>
        </w:tc>
        <w:tc>
          <w:tcPr>
            <w:tcW w:w="1170" w:type="dxa"/>
            <w:tcBorders>
              <w:top w:val="single" w:sz="4" w:space="0" w:color="auto"/>
              <w:bottom w:val="single" w:sz="4" w:space="0" w:color="auto"/>
            </w:tcBorders>
          </w:tcPr>
          <w:p w14:paraId="33DD088A" w14:textId="77777777" w:rsidR="002F6811" w:rsidRPr="00A14E04" w:rsidRDefault="00615769" w:rsidP="002F6811">
            <w:pPr>
              <w:rPr>
                <w:b/>
                <w:sz w:val="22"/>
                <w:szCs w:val="22"/>
                <w:lang w:val="en-US"/>
              </w:rPr>
            </w:pPr>
            <w:r>
              <w:rPr>
                <w:b/>
                <w:sz w:val="22"/>
                <w:szCs w:val="22"/>
                <w:lang w:val="en-US"/>
              </w:rPr>
              <w:t>IC</w:t>
            </w:r>
            <w:r w:rsidRPr="00A14E04">
              <w:rPr>
                <w:b/>
                <w:sz w:val="22"/>
                <w:szCs w:val="22"/>
                <w:lang w:val="en-US"/>
              </w:rPr>
              <w:t xml:space="preserve"> 95% </w:t>
            </w:r>
            <w:r>
              <w:rPr>
                <w:b/>
                <w:sz w:val="22"/>
                <w:szCs w:val="22"/>
                <w:lang w:val="en-US"/>
              </w:rPr>
              <w:t>para</w:t>
            </w:r>
            <w:r w:rsidRPr="00A14E04">
              <w:rPr>
                <w:b/>
                <w:sz w:val="22"/>
                <w:szCs w:val="22"/>
                <w:lang w:val="en-US"/>
              </w:rPr>
              <w:t xml:space="preserve"> </w:t>
            </w:r>
            <w:r>
              <w:rPr>
                <w:b/>
                <w:sz w:val="22"/>
                <w:szCs w:val="22"/>
                <w:lang w:val="en-US"/>
              </w:rPr>
              <w:t>TR</w:t>
            </w:r>
            <w:r w:rsidRPr="00A14E04">
              <w:rPr>
                <w:b/>
                <w:sz w:val="22"/>
                <w:szCs w:val="22"/>
                <w:vertAlign w:val="superscript"/>
                <w:lang w:val="en-US"/>
              </w:rPr>
              <w:t>a</w:t>
            </w:r>
          </w:p>
        </w:tc>
        <w:tc>
          <w:tcPr>
            <w:tcW w:w="1080" w:type="dxa"/>
            <w:tcBorders>
              <w:top w:val="single" w:sz="4" w:space="0" w:color="auto"/>
              <w:bottom w:val="single" w:sz="4" w:space="0" w:color="auto"/>
            </w:tcBorders>
          </w:tcPr>
          <w:p w14:paraId="419D6DCD" w14:textId="77777777" w:rsidR="002F6811" w:rsidRPr="00A14E04" w:rsidRDefault="00615769" w:rsidP="002F6811">
            <w:pPr>
              <w:rPr>
                <w:b/>
                <w:sz w:val="22"/>
                <w:szCs w:val="22"/>
                <w:lang w:val="en-US"/>
              </w:rPr>
            </w:pPr>
            <w:r w:rsidRPr="00635048">
              <w:rPr>
                <w:b/>
                <w:sz w:val="22"/>
                <w:szCs w:val="22"/>
                <w:lang w:val="en-US"/>
              </w:rPr>
              <w:t>Valor</w:t>
            </w:r>
            <w:r w:rsidR="00C9386F">
              <w:rPr>
                <w:b/>
                <w:sz w:val="22"/>
                <w:szCs w:val="22"/>
                <w:lang w:val="en-US"/>
              </w:rPr>
              <w:t>-p</w:t>
            </w:r>
            <w:r w:rsidRPr="00635048">
              <w:rPr>
                <w:b/>
                <w:sz w:val="22"/>
                <w:szCs w:val="22"/>
                <w:vertAlign w:val="superscript"/>
                <w:lang w:val="en-US"/>
              </w:rPr>
              <w:t>b</w:t>
            </w:r>
          </w:p>
        </w:tc>
      </w:tr>
      <w:tr w:rsidR="00A7162A" w14:paraId="3450DD96" w14:textId="77777777" w:rsidTr="002F6811">
        <w:tc>
          <w:tcPr>
            <w:tcW w:w="9018" w:type="dxa"/>
            <w:gridSpan w:val="7"/>
            <w:tcBorders>
              <w:top w:val="single" w:sz="4" w:space="0" w:color="auto"/>
              <w:bottom w:val="nil"/>
            </w:tcBorders>
          </w:tcPr>
          <w:p w14:paraId="7FE94D8C" w14:textId="77777777" w:rsidR="002F6811" w:rsidRPr="00635048" w:rsidRDefault="00615769" w:rsidP="002F6811">
            <w:pPr>
              <w:rPr>
                <w:b/>
                <w:sz w:val="22"/>
                <w:szCs w:val="22"/>
              </w:rPr>
            </w:pPr>
            <w:r w:rsidRPr="00635048">
              <w:rPr>
                <w:b/>
                <w:sz w:val="22"/>
                <w:szCs w:val="22"/>
              </w:rPr>
              <w:t xml:space="preserve">Tempo até Falha do Tratamento </w:t>
            </w:r>
            <w:r>
              <w:rPr>
                <w:b/>
                <w:sz w:val="22"/>
                <w:szCs w:val="22"/>
              </w:rPr>
              <w:t xml:space="preserve">na ou após a Semana 6 no Estudo </w:t>
            </w:r>
            <w:r w:rsidRPr="00635048">
              <w:rPr>
                <w:b/>
                <w:sz w:val="22"/>
                <w:szCs w:val="22"/>
              </w:rPr>
              <w:t xml:space="preserve">UV I  </w:t>
            </w:r>
          </w:p>
        </w:tc>
      </w:tr>
      <w:tr w:rsidR="00A7162A" w14:paraId="3C9B3DF1" w14:textId="77777777" w:rsidTr="002F6811">
        <w:tc>
          <w:tcPr>
            <w:tcW w:w="2988" w:type="dxa"/>
            <w:gridSpan w:val="2"/>
            <w:tcBorders>
              <w:top w:val="nil"/>
              <w:bottom w:val="nil"/>
            </w:tcBorders>
          </w:tcPr>
          <w:p w14:paraId="1D51825C" w14:textId="77777777" w:rsidR="002F6811" w:rsidRPr="00A14E04" w:rsidRDefault="00615769" w:rsidP="002F6811">
            <w:pPr>
              <w:rPr>
                <w:sz w:val="22"/>
                <w:szCs w:val="22"/>
                <w:lang w:val="en-US"/>
              </w:rPr>
            </w:pPr>
            <w:r>
              <w:rPr>
                <w:sz w:val="22"/>
                <w:szCs w:val="22"/>
                <w:lang w:val="en-US"/>
              </w:rPr>
              <w:t>Análise primária</w:t>
            </w:r>
            <w:r w:rsidRPr="00A14E04">
              <w:rPr>
                <w:sz w:val="22"/>
                <w:szCs w:val="22"/>
                <w:lang w:val="en-US"/>
              </w:rPr>
              <w:t xml:space="preserve"> (ITT)</w:t>
            </w:r>
          </w:p>
        </w:tc>
        <w:tc>
          <w:tcPr>
            <w:tcW w:w="1170" w:type="dxa"/>
            <w:tcBorders>
              <w:top w:val="nil"/>
              <w:bottom w:val="nil"/>
            </w:tcBorders>
          </w:tcPr>
          <w:p w14:paraId="5B02C61B" w14:textId="77777777" w:rsidR="002F6811" w:rsidRPr="00A14E04" w:rsidRDefault="002F6811" w:rsidP="002F6811">
            <w:pPr>
              <w:rPr>
                <w:sz w:val="22"/>
                <w:szCs w:val="22"/>
                <w:lang w:val="en-US"/>
              </w:rPr>
            </w:pPr>
          </w:p>
        </w:tc>
        <w:tc>
          <w:tcPr>
            <w:tcW w:w="1890" w:type="dxa"/>
            <w:tcBorders>
              <w:top w:val="nil"/>
              <w:bottom w:val="nil"/>
            </w:tcBorders>
          </w:tcPr>
          <w:p w14:paraId="1476ECFA" w14:textId="77777777" w:rsidR="002F6811" w:rsidRPr="00A14E04" w:rsidRDefault="002F6811" w:rsidP="002F6811">
            <w:pPr>
              <w:rPr>
                <w:sz w:val="22"/>
                <w:szCs w:val="22"/>
                <w:lang w:val="en-US"/>
              </w:rPr>
            </w:pPr>
          </w:p>
        </w:tc>
        <w:tc>
          <w:tcPr>
            <w:tcW w:w="720" w:type="dxa"/>
            <w:tcBorders>
              <w:top w:val="nil"/>
              <w:bottom w:val="nil"/>
            </w:tcBorders>
          </w:tcPr>
          <w:p w14:paraId="316DED44" w14:textId="77777777" w:rsidR="002F6811" w:rsidRPr="00A14E04" w:rsidRDefault="002F6811" w:rsidP="002F6811">
            <w:pPr>
              <w:rPr>
                <w:sz w:val="22"/>
                <w:szCs w:val="22"/>
                <w:lang w:val="en-US"/>
              </w:rPr>
            </w:pPr>
          </w:p>
        </w:tc>
        <w:tc>
          <w:tcPr>
            <w:tcW w:w="1170" w:type="dxa"/>
            <w:tcBorders>
              <w:top w:val="nil"/>
              <w:bottom w:val="nil"/>
            </w:tcBorders>
          </w:tcPr>
          <w:p w14:paraId="61341741" w14:textId="77777777" w:rsidR="002F6811" w:rsidRPr="00A14E04" w:rsidRDefault="002F6811" w:rsidP="002F6811">
            <w:pPr>
              <w:rPr>
                <w:sz w:val="22"/>
                <w:szCs w:val="22"/>
                <w:lang w:val="en-US"/>
              </w:rPr>
            </w:pPr>
          </w:p>
        </w:tc>
        <w:tc>
          <w:tcPr>
            <w:tcW w:w="1080" w:type="dxa"/>
            <w:tcBorders>
              <w:top w:val="nil"/>
              <w:bottom w:val="nil"/>
            </w:tcBorders>
          </w:tcPr>
          <w:p w14:paraId="266CF261" w14:textId="77777777" w:rsidR="002F6811" w:rsidRPr="00A14E04" w:rsidRDefault="002F6811" w:rsidP="002F6811">
            <w:pPr>
              <w:rPr>
                <w:sz w:val="22"/>
                <w:szCs w:val="22"/>
                <w:lang w:val="en-US"/>
              </w:rPr>
            </w:pPr>
          </w:p>
        </w:tc>
      </w:tr>
      <w:tr w:rsidR="00A7162A" w14:paraId="20A77995" w14:textId="77777777" w:rsidTr="002F6811">
        <w:tc>
          <w:tcPr>
            <w:tcW w:w="2268" w:type="dxa"/>
            <w:tcBorders>
              <w:top w:val="nil"/>
              <w:bottom w:val="nil"/>
            </w:tcBorders>
          </w:tcPr>
          <w:p w14:paraId="2AA42410" w14:textId="77777777" w:rsidR="002F6811" w:rsidRPr="00A14E04" w:rsidRDefault="00615769" w:rsidP="002F6811">
            <w:pPr>
              <w:rPr>
                <w:sz w:val="22"/>
                <w:szCs w:val="22"/>
                <w:lang w:val="en-US"/>
              </w:rPr>
            </w:pPr>
            <w:r w:rsidRPr="00A14E04">
              <w:rPr>
                <w:sz w:val="22"/>
                <w:szCs w:val="22"/>
                <w:lang w:val="en-US"/>
              </w:rPr>
              <w:tab/>
              <w:t>Placebo</w:t>
            </w:r>
          </w:p>
        </w:tc>
        <w:tc>
          <w:tcPr>
            <w:tcW w:w="720" w:type="dxa"/>
            <w:tcBorders>
              <w:top w:val="nil"/>
              <w:bottom w:val="nil"/>
            </w:tcBorders>
          </w:tcPr>
          <w:p w14:paraId="760847A9" w14:textId="77777777" w:rsidR="002F6811" w:rsidRPr="00A14E04" w:rsidRDefault="00615769" w:rsidP="002F6811">
            <w:pPr>
              <w:rPr>
                <w:sz w:val="22"/>
                <w:szCs w:val="22"/>
                <w:lang w:val="en-US"/>
              </w:rPr>
            </w:pPr>
            <w:r w:rsidRPr="00A14E04">
              <w:rPr>
                <w:sz w:val="22"/>
                <w:szCs w:val="22"/>
                <w:lang w:val="en-US"/>
              </w:rPr>
              <w:t>107</w:t>
            </w:r>
          </w:p>
        </w:tc>
        <w:tc>
          <w:tcPr>
            <w:tcW w:w="1170" w:type="dxa"/>
            <w:tcBorders>
              <w:top w:val="nil"/>
              <w:bottom w:val="nil"/>
            </w:tcBorders>
          </w:tcPr>
          <w:p w14:paraId="36B21408" w14:textId="77777777" w:rsidR="002F6811" w:rsidRPr="00A14E04" w:rsidRDefault="00615769" w:rsidP="002F6811">
            <w:pPr>
              <w:rPr>
                <w:sz w:val="22"/>
                <w:szCs w:val="22"/>
                <w:lang w:val="en-US"/>
              </w:rPr>
            </w:pPr>
            <w:r w:rsidRPr="00A14E04">
              <w:rPr>
                <w:sz w:val="22"/>
                <w:szCs w:val="22"/>
                <w:lang w:val="en-US"/>
              </w:rPr>
              <w:t>84 (78</w:t>
            </w:r>
            <w:r>
              <w:rPr>
                <w:sz w:val="22"/>
                <w:szCs w:val="22"/>
                <w:lang w:val="en-US"/>
              </w:rPr>
              <w:t>,</w:t>
            </w:r>
            <w:r w:rsidRPr="00A14E04">
              <w:rPr>
                <w:sz w:val="22"/>
                <w:szCs w:val="22"/>
                <w:lang w:val="en-US"/>
              </w:rPr>
              <w:t>5)</w:t>
            </w:r>
          </w:p>
        </w:tc>
        <w:tc>
          <w:tcPr>
            <w:tcW w:w="1890" w:type="dxa"/>
            <w:tcBorders>
              <w:top w:val="nil"/>
              <w:bottom w:val="nil"/>
            </w:tcBorders>
          </w:tcPr>
          <w:p w14:paraId="68B757A3" w14:textId="77777777" w:rsidR="002F6811" w:rsidRPr="00A14E04" w:rsidRDefault="00615769" w:rsidP="002F6811">
            <w:pPr>
              <w:rPr>
                <w:sz w:val="22"/>
                <w:szCs w:val="22"/>
                <w:lang w:val="en-US"/>
              </w:rPr>
            </w:pPr>
            <w:r>
              <w:rPr>
                <w:sz w:val="22"/>
                <w:szCs w:val="22"/>
                <w:lang w:val="en-US"/>
              </w:rPr>
              <w:t>3,</w:t>
            </w:r>
            <w:r w:rsidRPr="00A14E04">
              <w:rPr>
                <w:sz w:val="22"/>
                <w:szCs w:val="22"/>
                <w:lang w:val="en-US"/>
              </w:rPr>
              <w:t>0</w:t>
            </w:r>
          </w:p>
        </w:tc>
        <w:tc>
          <w:tcPr>
            <w:tcW w:w="720" w:type="dxa"/>
            <w:tcBorders>
              <w:top w:val="nil"/>
              <w:bottom w:val="nil"/>
            </w:tcBorders>
          </w:tcPr>
          <w:p w14:paraId="5CA9F529" w14:textId="77777777" w:rsidR="002F6811" w:rsidRPr="00A14E04" w:rsidRDefault="00615769" w:rsidP="002F6811">
            <w:pPr>
              <w:rPr>
                <w:sz w:val="22"/>
                <w:szCs w:val="22"/>
                <w:lang w:val="en-US"/>
              </w:rPr>
            </w:pPr>
            <w:r w:rsidRPr="00A14E04">
              <w:rPr>
                <w:sz w:val="22"/>
                <w:szCs w:val="22"/>
                <w:lang w:val="en-US"/>
              </w:rPr>
              <w:t>--</w:t>
            </w:r>
          </w:p>
        </w:tc>
        <w:tc>
          <w:tcPr>
            <w:tcW w:w="1170" w:type="dxa"/>
            <w:tcBorders>
              <w:top w:val="nil"/>
              <w:bottom w:val="nil"/>
            </w:tcBorders>
          </w:tcPr>
          <w:p w14:paraId="7F2F03C7" w14:textId="77777777" w:rsidR="002F6811" w:rsidRPr="00A14E04" w:rsidRDefault="00615769" w:rsidP="002F6811">
            <w:pPr>
              <w:rPr>
                <w:sz w:val="22"/>
                <w:szCs w:val="22"/>
                <w:lang w:val="en-US"/>
              </w:rPr>
            </w:pPr>
            <w:r w:rsidRPr="00A14E04">
              <w:rPr>
                <w:sz w:val="22"/>
                <w:szCs w:val="22"/>
                <w:lang w:val="en-US"/>
              </w:rPr>
              <w:t>--</w:t>
            </w:r>
          </w:p>
        </w:tc>
        <w:tc>
          <w:tcPr>
            <w:tcW w:w="1080" w:type="dxa"/>
            <w:tcBorders>
              <w:top w:val="nil"/>
              <w:bottom w:val="nil"/>
            </w:tcBorders>
          </w:tcPr>
          <w:p w14:paraId="49B0D9FC" w14:textId="77777777" w:rsidR="002F6811" w:rsidRPr="00A14E04" w:rsidRDefault="00615769" w:rsidP="002F6811">
            <w:pPr>
              <w:rPr>
                <w:sz w:val="22"/>
                <w:szCs w:val="22"/>
                <w:lang w:val="en-US"/>
              </w:rPr>
            </w:pPr>
            <w:r w:rsidRPr="00A14E04">
              <w:rPr>
                <w:sz w:val="22"/>
                <w:szCs w:val="22"/>
                <w:lang w:val="en-US"/>
              </w:rPr>
              <w:t>--</w:t>
            </w:r>
          </w:p>
        </w:tc>
      </w:tr>
      <w:tr w:rsidR="00A7162A" w14:paraId="276AB97B" w14:textId="77777777" w:rsidTr="002F6811">
        <w:tc>
          <w:tcPr>
            <w:tcW w:w="2268" w:type="dxa"/>
            <w:tcBorders>
              <w:top w:val="nil"/>
              <w:bottom w:val="single" w:sz="4" w:space="0" w:color="auto"/>
            </w:tcBorders>
          </w:tcPr>
          <w:p w14:paraId="53F00538" w14:textId="77777777" w:rsidR="002F6811" w:rsidRPr="00A14E04" w:rsidRDefault="00615769" w:rsidP="002F6811">
            <w:pPr>
              <w:rPr>
                <w:sz w:val="22"/>
                <w:szCs w:val="22"/>
                <w:lang w:val="en-US"/>
              </w:rPr>
            </w:pPr>
            <w:r w:rsidRPr="00A14E04">
              <w:rPr>
                <w:sz w:val="22"/>
                <w:szCs w:val="22"/>
                <w:lang w:val="en-US"/>
              </w:rPr>
              <w:tab/>
              <w:t>Adalimumab</w:t>
            </w:r>
          </w:p>
        </w:tc>
        <w:tc>
          <w:tcPr>
            <w:tcW w:w="720" w:type="dxa"/>
            <w:tcBorders>
              <w:top w:val="nil"/>
              <w:bottom w:val="single" w:sz="4" w:space="0" w:color="auto"/>
            </w:tcBorders>
          </w:tcPr>
          <w:p w14:paraId="3A05291C" w14:textId="77777777" w:rsidR="002F6811" w:rsidRPr="00A14E04" w:rsidRDefault="00615769" w:rsidP="002F6811">
            <w:pPr>
              <w:rPr>
                <w:sz w:val="22"/>
                <w:szCs w:val="22"/>
                <w:lang w:val="en-US"/>
              </w:rPr>
            </w:pPr>
            <w:r w:rsidRPr="00A14E04">
              <w:rPr>
                <w:sz w:val="22"/>
                <w:szCs w:val="22"/>
                <w:lang w:val="en-US"/>
              </w:rPr>
              <w:t>110</w:t>
            </w:r>
          </w:p>
        </w:tc>
        <w:tc>
          <w:tcPr>
            <w:tcW w:w="1170" w:type="dxa"/>
            <w:tcBorders>
              <w:top w:val="nil"/>
              <w:bottom w:val="single" w:sz="4" w:space="0" w:color="auto"/>
            </w:tcBorders>
          </w:tcPr>
          <w:p w14:paraId="7306E2FF" w14:textId="77777777" w:rsidR="002F6811" w:rsidRPr="00A14E04" w:rsidRDefault="00615769" w:rsidP="002F6811">
            <w:pPr>
              <w:rPr>
                <w:sz w:val="22"/>
                <w:szCs w:val="22"/>
                <w:lang w:val="en-US"/>
              </w:rPr>
            </w:pPr>
            <w:r w:rsidRPr="00A14E04">
              <w:rPr>
                <w:sz w:val="22"/>
                <w:szCs w:val="22"/>
                <w:lang w:val="en-US"/>
              </w:rPr>
              <w:t>60 (54</w:t>
            </w:r>
            <w:r>
              <w:rPr>
                <w:sz w:val="22"/>
                <w:szCs w:val="22"/>
                <w:lang w:val="en-US"/>
              </w:rPr>
              <w:t>,</w:t>
            </w:r>
            <w:r w:rsidRPr="00A14E04">
              <w:rPr>
                <w:sz w:val="22"/>
                <w:szCs w:val="22"/>
                <w:lang w:val="en-US"/>
              </w:rPr>
              <w:t>5)</w:t>
            </w:r>
          </w:p>
        </w:tc>
        <w:tc>
          <w:tcPr>
            <w:tcW w:w="1890" w:type="dxa"/>
            <w:tcBorders>
              <w:top w:val="nil"/>
              <w:bottom w:val="single" w:sz="4" w:space="0" w:color="auto"/>
            </w:tcBorders>
          </w:tcPr>
          <w:p w14:paraId="6A3F49F2" w14:textId="77777777" w:rsidR="002F6811" w:rsidRPr="00A14E04" w:rsidRDefault="00615769" w:rsidP="002F6811">
            <w:pPr>
              <w:rPr>
                <w:sz w:val="22"/>
                <w:szCs w:val="22"/>
                <w:lang w:val="en-US"/>
              </w:rPr>
            </w:pPr>
            <w:r>
              <w:rPr>
                <w:sz w:val="22"/>
                <w:szCs w:val="22"/>
                <w:lang w:val="en-US"/>
              </w:rPr>
              <w:t>5,</w:t>
            </w:r>
            <w:r w:rsidRPr="00A14E04">
              <w:rPr>
                <w:sz w:val="22"/>
                <w:szCs w:val="22"/>
                <w:lang w:val="en-US"/>
              </w:rPr>
              <w:t>6</w:t>
            </w:r>
          </w:p>
        </w:tc>
        <w:tc>
          <w:tcPr>
            <w:tcW w:w="720" w:type="dxa"/>
            <w:tcBorders>
              <w:top w:val="nil"/>
              <w:bottom w:val="single" w:sz="4" w:space="0" w:color="auto"/>
            </w:tcBorders>
          </w:tcPr>
          <w:p w14:paraId="1904A5C1" w14:textId="77777777" w:rsidR="002F6811" w:rsidRPr="00A14E04" w:rsidRDefault="00615769" w:rsidP="002F6811">
            <w:pPr>
              <w:rPr>
                <w:sz w:val="22"/>
                <w:szCs w:val="22"/>
                <w:lang w:val="en-US"/>
              </w:rPr>
            </w:pPr>
            <w:r w:rsidRPr="00A14E04">
              <w:rPr>
                <w:sz w:val="22"/>
                <w:szCs w:val="22"/>
                <w:lang w:val="en-US"/>
              </w:rPr>
              <w:t>0</w:t>
            </w:r>
            <w:r>
              <w:rPr>
                <w:sz w:val="22"/>
                <w:szCs w:val="22"/>
                <w:lang w:val="en-US"/>
              </w:rPr>
              <w:t>,</w:t>
            </w:r>
            <w:r w:rsidRPr="00A14E04">
              <w:rPr>
                <w:sz w:val="22"/>
                <w:szCs w:val="22"/>
                <w:lang w:val="en-US"/>
              </w:rPr>
              <w:t>50</w:t>
            </w:r>
          </w:p>
        </w:tc>
        <w:tc>
          <w:tcPr>
            <w:tcW w:w="1170" w:type="dxa"/>
            <w:tcBorders>
              <w:top w:val="nil"/>
              <w:bottom w:val="single" w:sz="4" w:space="0" w:color="auto"/>
            </w:tcBorders>
          </w:tcPr>
          <w:p w14:paraId="6257929C" w14:textId="77777777" w:rsidR="002F6811" w:rsidRPr="00A14E04" w:rsidRDefault="00615769" w:rsidP="002F6811">
            <w:pPr>
              <w:rPr>
                <w:sz w:val="22"/>
                <w:szCs w:val="22"/>
                <w:lang w:val="en-US"/>
              </w:rPr>
            </w:pPr>
            <w:r>
              <w:rPr>
                <w:sz w:val="22"/>
                <w:szCs w:val="22"/>
                <w:lang w:val="en-US"/>
              </w:rPr>
              <w:t>0,</w:t>
            </w:r>
            <w:r w:rsidRPr="00A14E04">
              <w:rPr>
                <w:sz w:val="22"/>
                <w:szCs w:val="22"/>
                <w:lang w:val="en-US"/>
              </w:rPr>
              <w:t>36</w:t>
            </w:r>
            <w:r>
              <w:rPr>
                <w:sz w:val="22"/>
                <w:szCs w:val="22"/>
                <w:lang w:val="en-US"/>
              </w:rPr>
              <w:t>;</w:t>
            </w:r>
            <w:r w:rsidRPr="00A14E04">
              <w:rPr>
                <w:sz w:val="22"/>
                <w:szCs w:val="22"/>
                <w:lang w:val="en-US"/>
              </w:rPr>
              <w:t xml:space="preserve"> 0</w:t>
            </w:r>
            <w:r>
              <w:rPr>
                <w:sz w:val="22"/>
                <w:szCs w:val="22"/>
                <w:lang w:val="en-US"/>
              </w:rPr>
              <w:t>,</w:t>
            </w:r>
            <w:r w:rsidRPr="00A14E04">
              <w:rPr>
                <w:sz w:val="22"/>
                <w:szCs w:val="22"/>
                <w:lang w:val="en-US"/>
              </w:rPr>
              <w:t>70</w:t>
            </w:r>
            <w:r w:rsidRPr="00A14E04">
              <w:rPr>
                <w:sz w:val="22"/>
                <w:szCs w:val="22"/>
                <w:vertAlign w:val="superscript"/>
                <w:lang w:val="en-US"/>
              </w:rPr>
              <w:t xml:space="preserve"> </w:t>
            </w:r>
          </w:p>
        </w:tc>
        <w:tc>
          <w:tcPr>
            <w:tcW w:w="1080" w:type="dxa"/>
            <w:tcBorders>
              <w:top w:val="nil"/>
              <w:bottom w:val="single" w:sz="4" w:space="0" w:color="auto"/>
            </w:tcBorders>
          </w:tcPr>
          <w:p w14:paraId="54A05F09" w14:textId="77777777" w:rsidR="002F6811" w:rsidRPr="00A14E04" w:rsidRDefault="00615769" w:rsidP="002F6811">
            <w:pPr>
              <w:rPr>
                <w:sz w:val="22"/>
                <w:szCs w:val="22"/>
                <w:lang w:val="en-US"/>
              </w:rPr>
            </w:pPr>
            <w:r w:rsidRPr="00A14E04">
              <w:rPr>
                <w:sz w:val="22"/>
                <w:szCs w:val="22"/>
                <w:lang w:val="en-US"/>
              </w:rPr>
              <w:t>&lt; 0</w:t>
            </w:r>
            <w:r>
              <w:rPr>
                <w:sz w:val="22"/>
                <w:szCs w:val="22"/>
                <w:lang w:val="en-US"/>
              </w:rPr>
              <w:t>,</w:t>
            </w:r>
            <w:r w:rsidRPr="00A14E04">
              <w:rPr>
                <w:sz w:val="22"/>
                <w:szCs w:val="22"/>
                <w:lang w:val="en-US"/>
              </w:rPr>
              <w:t>001</w:t>
            </w:r>
          </w:p>
        </w:tc>
      </w:tr>
      <w:tr w:rsidR="00A7162A" w14:paraId="5E54D1F0" w14:textId="77777777" w:rsidTr="002F6811">
        <w:tblPrEx>
          <w:tblBorders>
            <w:left w:val="single" w:sz="4" w:space="0" w:color="auto"/>
            <w:right w:val="single" w:sz="4" w:space="0" w:color="auto"/>
            <w:insideH w:val="single" w:sz="4" w:space="0" w:color="auto"/>
            <w:insideV w:val="single" w:sz="4" w:space="0" w:color="auto"/>
          </w:tblBorders>
        </w:tblPrEx>
        <w:tc>
          <w:tcPr>
            <w:tcW w:w="9018" w:type="dxa"/>
            <w:gridSpan w:val="7"/>
            <w:tcBorders>
              <w:left w:val="nil"/>
              <w:bottom w:val="nil"/>
              <w:right w:val="nil"/>
            </w:tcBorders>
          </w:tcPr>
          <w:p w14:paraId="445A7C06" w14:textId="77777777" w:rsidR="002F6811" w:rsidRPr="00BB2CEC" w:rsidRDefault="00615769" w:rsidP="002F6811">
            <w:pPr>
              <w:rPr>
                <w:b/>
                <w:sz w:val="22"/>
                <w:szCs w:val="22"/>
              </w:rPr>
            </w:pPr>
            <w:r w:rsidRPr="00635048">
              <w:rPr>
                <w:b/>
                <w:sz w:val="22"/>
                <w:szCs w:val="22"/>
              </w:rPr>
              <w:t xml:space="preserve">Tempo até Falha do Tratamento </w:t>
            </w:r>
            <w:r>
              <w:rPr>
                <w:b/>
                <w:sz w:val="22"/>
                <w:szCs w:val="22"/>
              </w:rPr>
              <w:t>na</w:t>
            </w:r>
            <w:r w:rsidRPr="00635048">
              <w:rPr>
                <w:b/>
                <w:sz w:val="22"/>
                <w:szCs w:val="22"/>
              </w:rPr>
              <w:t xml:space="preserve"> ou após a Semana </w:t>
            </w:r>
            <w:r w:rsidRPr="00BB2CEC">
              <w:rPr>
                <w:b/>
                <w:sz w:val="22"/>
                <w:szCs w:val="22"/>
              </w:rPr>
              <w:t>2 no Estudo UV II</w:t>
            </w:r>
          </w:p>
        </w:tc>
      </w:tr>
      <w:tr w:rsidR="00A7162A" w14:paraId="3B30D1BE" w14:textId="77777777" w:rsidTr="002F6811">
        <w:tblPrEx>
          <w:tblBorders>
            <w:left w:val="single" w:sz="4" w:space="0" w:color="auto"/>
            <w:right w:val="single" w:sz="4" w:space="0" w:color="auto"/>
            <w:insideH w:val="single" w:sz="4" w:space="0" w:color="auto"/>
            <w:insideV w:val="single" w:sz="4" w:space="0" w:color="auto"/>
          </w:tblBorders>
        </w:tblPrEx>
        <w:tc>
          <w:tcPr>
            <w:tcW w:w="2988" w:type="dxa"/>
            <w:gridSpan w:val="2"/>
            <w:tcBorders>
              <w:top w:val="nil"/>
              <w:left w:val="nil"/>
              <w:bottom w:val="nil"/>
              <w:right w:val="nil"/>
            </w:tcBorders>
          </w:tcPr>
          <w:p w14:paraId="7706C345" w14:textId="77777777" w:rsidR="002F6811" w:rsidRPr="00A14E04" w:rsidRDefault="00615769" w:rsidP="002F6811">
            <w:pPr>
              <w:rPr>
                <w:sz w:val="22"/>
                <w:szCs w:val="22"/>
                <w:lang w:val="en-US"/>
              </w:rPr>
            </w:pPr>
            <w:r>
              <w:rPr>
                <w:sz w:val="22"/>
                <w:szCs w:val="22"/>
              </w:rPr>
              <w:t>Análise primária</w:t>
            </w:r>
            <w:r w:rsidRPr="00A14E04">
              <w:rPr>
                <w:sz w:val="22"/>
                <w:szCs w:val="22"/>
                <w:lang w:val="en-US"/>
              </w:rPr>
              <w:t xml:space="preserve"> (ITT)</w:t>
            </w:r>
          </w:p>
        </w:tc>
        <w:tc>
          <w:tcPr>
            <w:tcW w:w="1170" w:type="dxa"/>
            <w:tcBorders>
              <w:top w:val="nil"/>
              <w:left w:val="nil"/>
              <w:bottom w:val="nil"/>
              <w:right w:val="nil"/>
            </w:tcBorders>
          </w:tcPr>
          <w:p w14:paraId="597E1B29" w14:textId="77777777" w:rsidR="002F6811" w:rsidRPr="00A14E04" w:rsidRDefault="002F6811" w:rsidP="002F6811">
            <w:pPr>
              <w:rPr>
                <w:sz w:val="22"/>
                <w:szCs w:val="22"/>
                <w:lang w:val="en-US"/>
              </w:rPr>
            </w:pPr>
          </w:p>
        </w:tc>
        <w:tc>
          <w:tcPr>
            <w:tcW w:w="1890" w:type="dxa"/>
            <w:tcBorders>
              <w:top w:val="nil"/>
              <w:left w:val="nil"/>
              <w:bottom w:val="nil"/>
              <w:right w:val="nil"/>
            </w:tcBorders>
          </w:tcPr>
          <w:p w14:paraId="55E4DFB7" w14:textId="77777777" w:rsidR="002F6811" w:rsidRPr="00A14E04" w:rsidRDefault="002F6811" w:rsidP="002F6811">
            <w:pPr>
              <w:rPr>
                <w:sz w:val="22"/>
                <w:szCs w:val="22"/>
                <w:lang w:val="en-US"/>
              </w:rPr>
            </w:pPr>
          </w:p>
        </w:tc>
        <w:tc>
          <w:tcPr>
            <w:tcW w:w="720" w:type="dxa"/>
            <w:tcBorders>
              <w:top w:val="nil"/>
              <w:left w:val="nil"/>
              <w:bottom w:val="nil"/>
              <w:right w:val="nil"/>
            </w:tcBorders>
          </w:tcPr>
          <w:p w14:paraId="486757EE" w14:textId="77777777" w:rsidR="002F6811" w:rsidRPr="00A14E04" w:rsidRDefault="002F6811" w:rsidP="002F6811">
            <w:pPr>
              <w:rPr>
                <w:sz w:val="22"/>
                <w:szCs w:val="22"/>
                <w:lang w:val="en-US"/>
              </w:rPr>
            </w:pPr>
          </w:p>
        </w:tc>
        <w:tc>
          <w:tcPr>
            <w:tcW w:w="1170" w:type="dxa"/>
            <w:tcBorders>
              <w:top w:val="nil"/>
              <w:left w:val="nil"/>
              <w:bottom w:val="nil"/>
              <w:right w:val="nil"/>
            </w:tcBorders>
          </w:tcPr>
          <w:p w14:paraId="3FA5273E" w14:textId="77777777" w:rsidR="002F6811" w:rsidRPr="00A14E04" w:rsidRDefault="002F6811" w:rsidP="002F6811">
            <w:pPr>
              <w:rPr>
                <w:sz w:val="22"/>
                <w:szCs w:val="22"/>
                <w:lang w:val="en-US"/>
              </w:rPr>
            </w:pPr>
          </w:p>
        </w:tc>
        <w:tc>
          <w:tcPr>
            <w:tcW w:w="1080" w:type="dxa"/>
            <w:tcBorders>
              <w:top w:val="nil"/>
              <w:left w:val="nil"/>
              <w:bottom w:val="nil"/>
              <w:right w:val="nil"/>
            </w:tcBorders>
          </w:tcPr>
          <w:p w14:paraId="3DDF50F0" w14:textId="77777777" w:rsidR="002F6811" w:rsidRPr="00A14E04" w:rsidRDefault="002F6811" w:rsidP="002F6811">
            <w:pPr>
              <w:rPr>
                <w:sz w:val="22"/>
                <w:szCs w:val="22"/>
                <w:lang w:val="en-US"/>
              </w:rPr>
            </w:pPr>
          </w:p>
        </w:tc>
      </w:tr>
      <w:tr w:rsidR="00A7162A" w14:paraId="100E1313" w14:textId="77777777" w:rsidTr="002F6811">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nil"/>
              <w:right w:val="nil"/>
            </w:tcBorders>
          </w:tcPr>
          <w:p w14:paraId="5AEB3599" w14:textId="77777777" w:rsidR="002F6811" w:rsidRPr="00A14E04" w:rsidRDefault="00615769" w:rsidP="002F6811">
            <w:pPr>
              <w:rPr>
                <w:sz w:val="22"/>
                <w:szCs w:val="22"/>
                <w:lang w:val="en-US"/>
              </w:rPr>
            </w:pPr>
            <w:r w:rsidRPr="00A14E04">
              <w:rPr>
                <w:sz w:val="22"/>
                <w:szCs w:val="22"/>
                <w:lang w:val="en-US"/>
              </w:rPr>
              <w:tab/>
              <w:t>Placebo</w:t>
            </w:r>
          </w:p>
        </w:tc>
        <w:tc>
          <w:tcPr>
            <w:tcW w:w="720" w:type="dxa"/>
            <w:tcBorders>
              <w:top w:val="nil"/>
              <w:left w:val="nil"/>
              <w:bottom w:val="nil"/>
              <w:right w:val="nil"/>
            </w:tcBorders>
          </w:tcPr>
          <w:p w14:paraId="0C7404AE" w14:textId="77777777" w:rsidR="002F6811" w:rsidRPr="00A14E04" w:rsidRDefault="00615769" w:rsidP="002F6811">
            <w:pPr>
              <w:rPr>
                <w:sz w:val="22"/>
                <w:szCs w:val="22"/>
                <w:lang w:val="en-US"/>
              </w:rPr>
            </w:pPr>
            <w:r w:rsidRPr="00A14E04">
              <w:rPr>
                <w:sz w:val="22"/>
                <w:szCs w:val="22"/>
                <w:lang w:val="en-US"/>
              </w:rPr>
              <w:t>111</w:t>
            </w:r>
          </w:p>
        </w:tc>
        <w:tc>
          <w:tcPr>
            <w:tcW w:w="1170" w:type="dxa"/>
            <w:tcBorders>
              <w:top w:val="nil"/>
              <w:left w:val="nil"/>
              <w:bottom w:val="nil"/>
              <w:right w:val="nil"/>
            </w:tcBorders>
          </w:tcPr>
          <w:p w14:paraId="59E42F5F" w14:textId="77777777" w:rsidR="002F6811" w:rsidRPr="00A14E04" w:rsidRDefault="00615769" w:rsidP="002F6811">
            <w:pPr>
              <w:rPr>
                <w:sz w:val="22"/>
                <w:szCs w:val="22"/>
                <w:lang w:val="en-US"/>
              </w:rPr>
            </w:pPr>
            <w:r w:rsidRPr="00A14E04">
              <w:rPr>
                <w:sz w:val="22"/>
                <w:szCs w:val="22"/>
                <w:lang w:val="en-US"/>
              </w:rPr>
              <w:t>61 (55</w:t>
            </w:r>
            <w:r>
              <w:rPr>
                <w:sz w:val="22"/>
                <w:szCs w:val="22"/>
                <w:lang w:val="en-US"/>
              </w:rPr>
              <w:t>,</w:t>
            </w:r>
            <w:r w:rsidRPr="00A14E04">
              <w:rPr>
                <w:sz w:val="22"/>
                <w:szCs w:val="22"/>
                <w:lang w:val="en-US"/>
              </w:rPr>
              <w:t>0)</w:t>
            </w:r>
          </w:p>
        </w:tc>
        <w:tc>
          <w:tcPr>
            <w:tcW w:w="1890" w:type="dxa"/>
            <w:tcBorders>
              <w:top w:val="nil"/>
              <w:left w:val="nil"/>
              <w:bottom w:val="nil"/>
              <w:right w:val="nil"/>
            </w:tcBorders>
          </w:tcPr>
          <w:p w14:paraId="21FA3724" w14:textId="77777777" w:rsidR="002F6811" w:rsidRPr="00A14E04" w:rsidRDefault="00615769" w:rsidP="002F6811">
            <w:pPr>
              <w:rPr>
                <w:sz w:val="22"/>
                <w:szCs w:val="22"/>
                <w:lang w:val="en-US"/>
              </w:rPr>
            </w:pPr>
            <w:r w:rsidRPr="00A14E04">
              <w:rPr>
                <w:sz w:val="22"/>
                <w:szCs w:val="22"/>
                <w:lang w:val="en-US"/>
              </w:rPr>
              <w:t>8</w:t>
            </w:r>
            <w:r>
              <w:rPr>
                <w:sz w:val="22"/>
                <w:szCs w:val="22"/>
                <w:lang w:val="en-US"/>
              </w:rPr>
              <w:t>,</w:t>
            </w:r>
            <w:r w:rsidRPr="00A14E04">
              <w:rPr>
                <w:sz w:val="22"/>
                <w:szCs w:val="22"/>
                <w:lang w:val="en-US"/>
              </w:rPr>
              <w:t>3</w:t>
            </w:r>
          </w:p>
        </w:tc>
        <w:tc>
          <w:tcPr>
            <w:tcW w:w="720" w:type="dxa"/>
            <w:tcBorders>
              <w:top w:val="nil"/>
              <w:left w:val="nil"/>
              <w:bottom w:val="nil"/>
              <w:right w:val="nil"/>
            </w:tcBorders>
          </w:tcPr>
          <w:p w14:paraId="17221B93" w14:textId="77777777" w:rsidR="002F6811" w:rsidRPr="00A14E04" w:rsidRDefault="00615769" w:rsidP="002F6811">
            <w:pPr>
              <w:rPr>
                <w:sz w:val="22"/>
                <w:szCs w:val="22"/>
                <w:lang w:val="en-US"/>
              </w:rPr>
            </w:pPr>
            <w:r w:rsidRPr="00A14E04">
              <w:rPr>
                <w:sz w:val="22"/>
                <w:szCs w:val="22"/>
                <w:lang w:val="en-US"/>
              </w:rPr>
              <w:t>--</w:t>
            </w:r>
          </w:p>
        </w:tc>
        <w:tc>
          <w:tcPr>
            <w:tcW w:w="1170" w:type="dxa"/>
            <w:tcBorders>
              <w:top w:val="nil"/>
              <w:left w:val="nil"/>
              <w:bottom w:val="nil"/>
              <w:right w:val="nil"/>
            </w:tcBorders>
          </w:tcPr>
          <w:p w14:paraId="1288926C" w14:textId="77777777" w:rsidR="002F6811" w:rsidRPr="00A14E04" w:rsidRDefault="00615769" w:rsidP="002F6811">
            <w:pPr>
              <w:rPr>
                <w:sz w:val="22"/>
                <w:szCs w:val="22"/>
                <w:lang w:val="en-US"/>
              </w:rPr>
            </w:pPr>
            <w:r w:rsidRPr="00A14E04">
              <w:rPr>
                <w:sz w:val="22"/>
                <w:szCs w:val="22"/>
                <w:lang w:val="en-US"/>
              </w:rPr>
              <w:t>--</w:t>
            </w:r>
          </w:p>
        </w:tc>
        <w:tc>
          <w:tcPr>
            <w:tcW w:w="1080" w:type="dxa"/>
            <w:tcBorders>
              <w:top w:val="nil"/>
              <w:left w:val="nil"/>
              <w:bottom w:val="nil"/>
              <w:right w:val="nil"/>
            </w:tcBorders>
          </w:tcPr>
          <w:p w14:paraId="1C65FFAB" w14:textId="77777777" w:rsidR="002F6811" w:rsidRPr="00A14E04" w:rsidRDefault="00615769" w:rsidP="002F6811">
            <w:pPr>
              <w:rPr>
                <w:sz w:val="22"/>
                <w:szCs w:val="22"/>
                <w:lang w:val="en-US"/>
              </w:rPr>
            </w:pPr>
            <w:r w:rsidRPr="00A14E04">
              <w:rPr>
                <w:sz w:val="22"/>
                <w:szCs w:val="22"/>
                <w:lang w:val="en-US"/>
              </w:rPr>
              <w:t>--</w:t>
            </w:r>
          </w:p>
        </w:tc>
      </w:tr>
      <w:tr w:rsidR="00A7162A" w14:paraId="3AFA0DD3" w14:textId="77777777" w:rsidTr="002F6811">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single" w:sz="4" w:space="0" w:color="auto"/>
              <w:right w:val="nil"/>
            </w:tcBorders>
          </w:tcPr>
          <w:p w14:paraId="06FE6C1D" w14:textId="77777777" w:rsidR="002F6811" w:rsidRPr="00A14E04" w:rsidRDefault="00615769" w:rsidP="002F6811">
            <w:pPr>
              <w:rPr>
                <w:sz w:val="22"/>
                <w:szCs w:val="22"/>
                <w:lang w:val="en-US"/>
              </w:rPr>
            </w:pPr>
            <w:r w:rsidRPr="00A14E04">
              <w:rPr>
                <w:sz w:val="22"/>
                <w:szCs w:val="22"/>
                <w:lang w:val="en-US"/>
              </w:rPr>
              <w:tab/>
              <w:t>Adalimumab</w:t>
            </w:r>
          </w:p>
        </w:tc>
        <w:tc>
          <w:tcPr>
            <w:tcW w:w="720" w:type="dxa"/>
            <w:tcBorders>
              <w:top w:val="nil"/>
              <w:left w:val="nil"/>
              <w:bottom w:val="single" w:sz="4" w:space="0" w:color="auto"/>
              <w:right w:val="nil"/>
            </w:tcBorders>
          </w:tcPr>
          <w:p w14:paraId="69864E74" w14:textId="77777777" w:rsidR="002F6811" w:rsidRPr="00A14E04" w:rsidRDefault="00615769" w:rsidP="002F6811">
            <w:pPr>
              <w:rPr>
                <w:sz w:val="22"/>
                <w:szCs w:val="22"/>
                <w:lang w:val="en-US"/>
              </w:rPr>
            </w:pPr>
            <w:r w:rsidRPr="00A14E04">
              <w:rPr>
                <w:sz w:val="22"/>
                <w:szCs w:val="22"/>
                <w:lang w:val="en-US"/>
              </w:rPr>
              <w:t>115</w:t>
            </w:r>
          </w:p>
        </w:tc>
        <w:tc>
          <w:tcPr>
            <w:tcW w:w="1170" w:type="dxa"/>
            <w:tcBorders>
              <w:top w:val="nil"/>
              <w:left w:val="nil"/>
              <w:bottom w:val="single" w:sz="4" w:space="0" w:color="auto"/>
              <w:right w:val="nil"/>
            </w:tcBorders>
          </w:tcPr>
          <w:p w14:paraId="607CA1A3" w14:textId="77777777" w:rsidR="002F6811" w:rsidRPr="00A14E04" w:rsidRDefault="00615769" w:rsidP="002F6811">
            <w:pPr>
              <w:rPr>
                <w:sz w:val="22"/>
                <w:szCs w:val="22"/>
                <w:lang w:val="en-US"/>
              </w:rPr>
            </w:pPr>
            <w:r w:rsidRPr="00A14E04">
              <w:rPr>
                <w:sz w:val="22"/>
                <w:szCs w:val="22"/>
                <w:lang w:val="en-US"/>
              </w:rPr>
              <w:t>45 (39</w:t>
            </w:r>
            <w:r>
              <w:rPr>
                <w:sz w:val="22"/>
                <w:szCs w:val="22"/>
                <w:lang w:val="en-US"/>
              </w:rPr>
              <w:t>,</w:t>
            </w:r>
            <w:r w:rsidRPr="00A14E04">
              <w:rPr>
                <w:sz w:val="22"/>
                <w:szCs w:val="22"/>
                <w:lang w:val="en-US"/>
              </w:rPr>
              <w:t>1)</w:t>
            </w:r>
          </w:p>
        </w:tc>
        <w:tc>
          <w:tcPr>
            <w:tcW w:w="1890" w:type="dxa"/>
            <w:tcBorders>
              <w:top w:val="nil"/>
              <w:left w:val="nil"/>
              <w:bottom w:val="single" w:sz="4" w:space="0" w:color="auto"/>
              <w:right w:val="nil"/>
            </w:tcBorders>
          </w:tcPr>
          <w:p w14:paraId="2851E0D4" w14:textId="77777777" w:rsidR="002F6811" w:rsidRPr="00A14E04" w:rsidRDefault="00615769" w:rsidP="002F6811">
            <w:pPr>
              <w:rPr>
                <w:sz w:val="22"/>
                <w:szCs w:val="22"/>
                <w:lang w:val="en-US"/>
              </w:rPr>
            </w:pPr>
            <w:r w:rsidRPr="00A14E04">
              <w:rPr>
                <w:sz w:val="22"/>
                <w:szCs w:val="22"/>
                <w:lang w:val="en-US"/>
              </w:rPr>
              <w:t>NE</w:t>
            </w:r>
            <w:r w:rsidRPr="00A14E04">
              <w:rPr>
                <w:sz w:val="22"/>
                <w:szCs w:val="22"/>
                <w:vertAlign w:val="superscript"/>
                <w:lang w:val="en-US"/>
              </w:rPr>
              <w:t>c</w:t>
            </w:r>
          </w:p>
        </w:tc>
        <w:tc>
          <w:tcPr>
            <w:tcW w:w="720" w:type="dxa"/>
            <w:tcBorders>
              <w:top w:val="nil"/>
              <w:left w:val="nil"/>
              <w:bottom w:val="single" w:sz="4" w:space="0" w:color="auto"/>
              <w:right w:val="nil"/>
            </w:tcBorders>
          </w:tcPr>
          <w:p w14:paraId="682AED18" w14:textId="77777777" w:rsidR="002F6811" w:rsidRPr="00A14E04" w:rsidRDefault="00615769" w:rsidP="002F6811">
            <w:pPr>
              <w:rPr>
                <w:sz w:val="22"/>
                <w:szCs w:val="22"/>
                <w:lang w:val="en-US"/>
              </w:rPr>
            </w:pPr>
            <w:r w:rsidRPr="00A14E04">
              <w:rPr>
                <w:sz w:val="22"/>
                <w:szCs w:val="22"/>
                <w:lang w:val="en-US"/>
              </w:rPr>
              <w:t>0</w:t>
            </w:r>
            <w:r>
              <w:rPr>
                <w:sz w:val="22"/>
                <w:szCs w:val="22"/>
                <w:lang w:val="en-US"/>
              </w:rPr>
              <w:t>,</w:t>
            </w:r>
            <w:r w:rsidRPr="00A14E04">
              <w:rPr>
                <w:sz w:val="22"/>
                <w:szCs w:val="22"/>
                <w:lang w:val="en-US"/>
              </w:rPr>
              <w:t>57</w:t>
            </w:r>
          </w:p>
        </w:tc>
        <w:tc>
          <w:tcPr>
            <w:tcW w:w="1170" w:type="dxa"/>
            <w:tcBorders>
              <w:top w:val="nil"/>
              <w:left w:val="nil"/>
              <w:bottom w:val="single" w:sz="4" w:space="0" w:color="auto"/>
              <w:right w:val="nil"/>
            </w:tcBorders>
          </w:tcPr>
          <w:p w14:paraId="51D6A7E1" w14:textId="77777777" w:rsidR="002F6811" w:rsidRPr="00A14E04" w:rsidRDefault="00615769" w:rsidP="002F6811">
            <w:pPr>
              <w:rPr>
                <w:sz w:val="22"/>
                <w:szCs w:val="22"/>
                <w:lang w:val="en-US"/>
              </w:rPr>
            </w:pPr>
            <w:r w:rsidRPr="00A14E04">
              <w:rPr>
                <w:sz w:val="22"/>
                <w:szCs w:val="22"/>
                <w:lang w:val="en-US"/>
              </w:rPr>
              <w:t>0</w:t>
            </w:r>
            <w:r>
              <w:rPr>
                <w:sz w:val="22"/>
                <w:szCs w:val="22"/>
                <w:lang w:val="en-US"/>
              </w:rPr>
              <w:t>,</w:t>
            </w:r>
            <w:r w:rsidRPr="00A14E04">
              <w:rPr>
                <w:sz w:val="22"/>
                <w:szCs w:val="22"/>
                <w:lang w:val="en-US"/>
              </w:rPr>
              <w:t>39</w:t>
            </w:r>
            <w:r>
              <w:rPr>
                <w:sz w:val="22"/>
                <w:szCs w:val="22"/>
                <w:lang w:val="en-US"/>
              </w:rPr>
              <w:t>;</w:t>
            </w:r>
            <w:r w:rsidRPr="00A14E04">
              <w:rPr>
                <w:sz w:val="22"/>
                <w:szCs w:val="22"/>
                <w:lang w:val="en-US"/>
              </w:rPr>
              <w:t xml:space="preserve"> 0</w:t>
            </w:r>
            <w:r>
              <w:rPr>
                <w:sz w:val="22"/>
                <w:szCs w:val="22"/>
                <w:lang w:val="en-US"/>
              </w:rPr>
              <w:t>,</w:t>
            </w:r>
            <w:r w:rsidRPr="00A14E04">
              <w:rPr>
                <w:sz w:val="22"/>
                <w:szCs w:val="22"/>
                <w:lang w:val="en-US"/>
              </w:rPr>
              <w:t>84</w:t>
            </w:r>
          </w:p>
        </w:tc>
        <w:tc>
          <w:tcPr>
            <w:tcW w:w="1080" w:type="dxa"/>
            <w:tcBorders>
              <w:top w:val="nil"/>
              <w:left w:val="nil"/>
              <w:bottom w:val="single" w:sz="4" w:space="0" w:color="auto"/>
              <w:right w:val="nil"/>
            </w:tcBorders>
          </w:tcPr>
          <w:p w14:paraId="32F34DBD" w14:textId="77777777" w:rsidR="002F6811" w:rsidRPr="00A14E04" w:rsidRDefault="00615769" w:rsidP="002F6811">
            <w:pPr>
              <w:rPr>
                <w:sz w:val="22"/>
                <w:szCs w:val="22"/>
                <w:lang w:val="en-US"/>
              </w:rPr>
            </w:pPr>
            <w:r w:rsidRPr="00A14E04">
              <w:rPr>
                <w:sz w:val="22"/>
                <w:szCs w:val="22"/>
                <w:lang w:val="en-US"/>
              </w:rPr>
              <w:t>0</w:t>
            </w:r>
            <w:r>
              <w:rPr>
                <w:sz w:val="22"/>
                <w:szCs w:val="22"/>
                <w:lang w:val="en-US"/>
              </w:rPr>
              <w:t>,</w:t>
            </w:r>
            <w:r w:rsidRPr="00A14E04">
              <w:rPr>
                <w:sz w:val="22"/>
                <w:szCs w:val="22"/>
                <w:lang w:val="en-US"/>
              </w:rPr>
              <w:t>004</w:t>
            </w:r>
          </w:p>
        </w:tc>
      </w:tr>
    </w:tbl>
    <w:p w14:paraId="25F11A0A" w14:textId="77777777" w:rsidR="002F6811" w:rsidRPr="00F42903" w:rsidRDefault="00615769" w:rsidP="002F6811">
      <w:pPr>
        <w:rPr>
          <w:sz w:val="22"/>
          <w:szCs w:val="22"/>
        </w:rPr>
      </w:pPr>
      <w:r w:rsidRPr="00C37A72">
        <w:rPr>
          <w:sz w:val="22"/>
          <w:szCs w:val="22"/>
        </w:rPr>
        <w:t>Nota:</w:t>
      </w:r>
      <w:r>
        <w:rPr>
          <w:sz w:val="22"/>
          <w:szCs w:val="22"/>
        </w:rPr>
        <w:t xml:space="preserve"> A</w:t>
      </w:r>
      <w:r w:rsidRPr="00C37A72">
        <w:rPr>
          <w:sz w:val="22"/>
          <w:szCs w:val="22"/>
        </w:rPr>
        <w:t xml:space="preserve"> falha do tratamento à ou após a Semana 6 (Estudo UV I), ou à ou após a Semana 2 (Estudo UV II), foi registad</w:t>
      </w:r>
      <w:r w:rsidR="00FB6C29">
        <w:rPr>
          <w:sz w:val="22"/>
          <w:szCs w:val="22"/>
        </w:rPr>
        <w:t>a</w:t>
      </w:r>
      <w:r w:rsidRPr="00C37A72">
        <w:rPr>
          <w:sz w:val="22"/>
          <w:szCs w:val="22"/>
        </w:rPr>
        <w:t xml:space="preserve"> como evento. </w:t>
      </w:r>
      <w:r w:rsidRPr="00F42903">
        <w:rPr>
          <w:sz w:val="22"/>
          <w:szCs w:val="22"/>
        </w:rPr>
        <w:t>Os doentes que abandonaram o estudo por outras razões que não a falha d</w:t>
      </w:r>
      <w:r w:rsidR="00FB6C29">
        <w:rPr>
          <w:sz w:val="22"/>
          <w:szCs w:val="22"/>
        </w:rPr>
        <w:t>o</w:t>
      </w:r>
      <w:r w:rsidRPr="00F42903">
        <w:rPr>
          <w:sz w:val="22"/>
          <w:szCs w:val="22"/>
        </w:rPr>
        <w:t xml:space="preserve"> tratamento foram </w:t>
      </w:r>
      <w:r w:rsidR="00FB6C29">
        <w:rPr>
          <w:sz w:val="22"/>
          <w:szCs w:val="22"/>
        </w:rPr>
        <w:t>censurados</w:t>
      </w:r>
      <w:r w:rsidR="00FB6C29" w:rsidRPr="00F42903">
        <w:rPr>
          <w:sz w:val="22"/>
          <w:szCs w:val="22"/>
        </w:rPr>
        <w:t xml:space="preserve"> </w:t>
      </w:r>
      <w:r w:rsidRPr="00F42903">
        <w:rPr>
          <w:sz w:val="22"/>
          <w:szCs w:val="22"/>
        </w:rPr>
        <w:t>no momento dos abandonos.</w:t>
      </w:r>
    </w:p>
    <w:p w14:paraId="2D80C8ED" w14:textId="77777777" w:rsidR="002F6811" w:rsidRPr="00C878A8" w:rsidRDefault="00615769" w:rsidP="002F6811">
      <w:pPr>
        <w:numPr>
          <w:ilvl w:val="0"/>
          <w:numId w:val="101"/>
        </w:numPr>
        <w:rPr>
          <w:sz w:val="22"/>
          <w:szCs w:val="22"/>
        </w:rPr>
      </w:pPr>
      <w:r>
        <w:rPr>
          <w:sz w:val="22"/>
          <w:szCs w:val="22"/>
        </w:rPr>
        <w:t>T</w:t>
      </w:r>
      <w:r w:rsidRPr="00C878A8">
        <w:rPr>
          <w:sz w:val="22"/>
          <w:szCs w:val="22"/>
        </w:rPr>
        <w:t xml:space="preserve">R </w:t>
      </w:r>
      <w:r>
        <w:rPr>
          <w:sz w:val="22"/>
          <w:szCs w:val="22"/>
        </w:rPr>
        <w:t xml:space="preserve">(Taxa de Risco) </w:t>
      </w:r>
      <w:r w:rsidRPr="00C878A8">
        <w:rPr>
          <w:sz w:val="22"/>
          <w:szCs w:val="22"/>
        </w:rPr>
        <w:t>de</w:t>
      </w:r>
      <w:r>
        <w:rPr>
          <w:sz w:val="22"/>
          <w:szCs w:val="22"/>
        </w:rPr>
        <w:t xml:space="preserve"> adalimumab vs placebo através da regressão </w:t>
      </w:r>
      <w:r w:rsidRPr="00C878A8">
        <w:rPr>
          <w:sz w:val="22"/>
          <w:szCs w:val="22"/>
        </w:rPr>
        <w:t>de risco proporciona</w:t>
      </w:r>
      <w:r>
        <w:rPr>
          <w:sz w:val="22"/>
          <w:szCs w:val="22"/>
        </w:rPr>
        <w:t>l</w:t>
      </w:r>
      <w:r w:rsidRPr="00C878A8">
        <w:rPr>
          <w:sz w:val="22"/>
          <w:szCs w:val="22"/>
        </w:rPr>
        <w:t xml:space="preserve"> com o </w:t>
      </w:r>
      <w:r>
        <w:rPr>
          <w:sz w:val="22"/>
          <w:szCs w:val="22"/>
        </w:rPr>
        <w:t xml:space="preserve">fator de </w:t>
      </w:r>
      <w:r w:rsidRPr="00C878A8">
        <w:rPr>
          <w:sz w:val="22"/>
          <w:szCs w:val="22"/>
        </w:rPr>
        <w:t>tratamento.</w:t>
      </w:r>
    </w:p>
    <w:p w14:paraId="40A8F707" w14:textId="77777777" w:rsidR="002F6811" w:rsidRPr="00966B42" w:rsidRDefault="00615769" w:rsidP="002F6811">
      <w:pPr>
        <w:numPr>
          <w:ilvl w:val="0"/>
          <w:numId w:val="101"/>
        </w:numPr>
        <w:rPr>
          <w:sz w:val="22"/>
          <w:szCs w:val="22"/>
        </w:rPr>
      </w:pPr>
      <w:r w:rsidRPr="00966B42">
        <w:rPr>
          <w:sz w:val="22"/>
          <w:szCs w:val="22"/>
        </w:rPr>
        <w:t xml:space="preserve">2-lados valor </w:t>
      </w:r>
      <w:r w:rsidRPr="00966B42">
        <w:rPr>
          <w:i/>
          <w:sz w:val="22"/>
          <w:szCs w:val="22"/>
        </w:rPr>
        <w:t>P</w:t>
      </w:r>
      <w:r w:rsidRPr="00966B42">
        <w:rPr>
          <w:sz w:val="22"/>
          <w:szCs w:val="22"/>
        </w:rPr>
        <w:t xml:space="preserve"> do teste logarítmico.</w:t>
      </w:r>
    </w:p>
    <w:p w14:paraId="2D199399" w14:textId="77777777" w:rsidR="002F6811" w:rsidRPr="00966B42" w:rsidRDefault="00615769" w:rsidP="002F6811">
      <w:pPr>
        <w:numPr>
          <w:ilvl w:val="0"/>
          <w:numId w:val="101"/>
        </w:numPr>
        <w:rPr>
          <w:sz w:val="22"/>
          <w:szCs w:val="22"/>
        </w:rPr>
      </w:pPr>
      <w:r w:rsidRPr="00966B42">
        <w:rPr>
          <w:sz w:val="22"/>
          <w:szCs w:val="22"/>
        </w:rPr>
        <w:t>NE = não estim</w:t>
      </w:r>
      <w:r>
        <w:rPr>
          <w:sz w:val="22"/>
          <w:szCs w:val="22"/>
        </w:rPr>
        <w:t>ável</w:t>
      </w:r>
      <w:r w:rsidRPr="00966B42">
        <w:rPr>
          <w:sz w:val="22"/>
          <w:szCs w:val="22"/>
        </w:rPr>
        <w:t>. Menos d</w:t>
      </w:r>
      <w:r>
        <w:rPr>
          <w:sz w:val="22"/>
          <w:szCs w:val="22"/>
        </w:rPr>
        <w:t>e</w:t>
      </w:r>
      <w:r w:rsidRPr="00966B42">
        <w:rPr>
          <w:sz w:val="22"/>
          <w:szCs w:val="22"/>
        </w:rPr>
        <w:t xml:space="preserve"> metade dos indivíduos em situação de risco teve um evento</w:t>
      </w:r>
      <w:r>
        <w:rPr>
          <w:sz w:val="22"/>
          <w:szCs w:val="22"/>
        </w:rPr>
        <w:t>.</w:t>
      </w:r>
      <w:r w:rsidRPr="00966B42">
        <w:rPr>
          <w:sz w:val="22"/>
          <w:szCs w:val="22"/>
        </w:rPr>
        <w:t xml:space="preserve"> </w:t>
      </w:r>
    </w:p>
    <w:p w14:paraId="49401612" w14:textId="77777777" w:rsidR="002F6811" w:rsidRDefault="002F6811" w:rsidP="002F6811">
      <w:pPr>
        <w:rPr>
          <w:sz w:val="22"/>
          <w:szCs w:val="22"/>
        </w:rPr>
      </w:pPr>
    </w:p>
    <w:p w14:paraId="3A9B80F0" w14:textId="77777777" w:rsidR="002F6811" w:rsidRPr="004D010F" w:rsidRDefault="00615769" w:rsidP="002F6811">
      <w:pPr>
        <w:keepNext/>
        <w:jc w:val="center"/>
        <w:rPr>
          <w:b/>
          <w:sz w:val="22"/>
          <w:szCs w:val="22"/>
        </w:rPr>
      </w:pPr>
      <w:r w:rsidRPr="004D010F">
        <w:rPr>
          <w:b/>
          <w:sz w:val="22"/>
          <w:szCs w:val="22"/>
        </w:rPr>
        <w:t xml:space="preserve">Figura </w:t>
      </w:r>
      <w:r w:rsidR="00116EA1">
        <w:rPr>
          <w:b/>
          <w:sz w:val="22"/>
          <w:szCs w:val="22"/>
        </w:rPr>
        <w:t>1</w:t>
      </w:r>
      <w:r w:rsidRPr="004D010F">
        <w:rPr>
          <w:b/>
          <w:sz w:val="22"/>
          <w:szCs w:val="22"/>
        </w:rPr>
        <w:t xml:space="preserve">: Curvas de Kaplan-Meier resumindo o Tempo </w:t>
      </w:r>
      <w:r w:rsidR="00B150A1">
        <w:rPr>
          <w:b/>
          <w:sz w:val="22"/>
          <w:szCs w:val="22"/>
        </w:rPr>
        <w:t>até</w:t>
      </w:r>
      <w:r w:rsidR="00B150A1" w:rsidRPr="004D010F">
        <w:rPr>
          <w:b/>
          <w:sz w:val="22"/>
          <w:szCs w:val="22"/>
        </w:rPr>
        <w:t xml:space="preserve"> </w:t>
      </w:r>
      <w:r w:rsidRPr="004D010F">
        <w:rPr>
          <w:b/>
          <w:sz w:val="22"/>
          <w:szCs w:val="22"/>
        </w:rPr>
        <w:t xml:space="preserve">Falha do Tratamento </w:t>
      </w:r>
      <w:r>
        <w:rPr>
          <w:b/>
          <w:sz w:val="22"/>
          <w:szCs w:val="22"/>
        </w:rPr>
        <w:t>na</w:t>
      </w:r>
      <w:r w:rsidRPr="004D010F">
        <w:rPr>
          <w:b/>
          <w:sz w:val="22"/>
          <w:szCs w:val="22"/>
        </w:rPr>
        <w:t xml:space="preserve"> ou após a Semana 6 (Estudo UV I) ou</w:t>
      </w:r>
      <w:r>
        <w:rPr>
          <w:b/>
          <w:sz w:val="22"/>
          <w:szCs w:val="22"/>
        </w:rPr>
        <w:t xml:space="preserve"> </w:t>
      </w:r>
      <w:r w:rsidRPr="004D010F">
        <w:rPr>
          <w:b/>
          <w:sz w:val="22"/>
          <w:szCs w:val="22"/>
        </w:rPr>
        <w:t>Semana 2 (Estudo UV II)</w:t>
      </w:r>
    </w:p>
    <w:tbl>
      <w:tblPr>
        <w:tblW w:w="9288" w:type="dxa"/>
        <w:tblLayout w:type="fixed"/>
        <w:tblLook w:val="04A0" w:firstRow="1" w:lastRow="0" w:firstColumn="1" w:lastColumn="0" w:noHBand="0" w:noVBand="1"/>
      </w:tblPr>
      <w:tblGrid>
        <w:gridCol w:w="482"/>
        <w:gridCol w:w="3496"/>
        <w:gridCol w:w="1170"/>
        <w:gridCol w:w="1350"/>
        <w:gridCol w:w="900"/>
        <w:gridCol w:w="1890"/>
      </w:tblGrid>
      <w:tr w:rsidR="00A7162A" w14:paraId="79B63E05" w14:textId="77777777" w:rsidTr="002F6811">
        <w:trPr>
          <w:cantSplit/>
          <w:trHeight w:val="4173"/>
        </w:trPr>
        <w:tc>
          <w:tcPr>
            <w:tcW w:w="482" w:type="dxa"/>
            <w:textDirection w:val="btLr"/>
            <w:vAlign w:val="bottom"/>
          </w:tcPr>
          <w:p w14:paraId="7AAE4D34" w14:textId="77777777" w:rsidR="002F6811" w:rsidRPr="00EA0F56" w:rsidRDefault="00615769" w:rsidP="002F6811">
            <w:pPr>
              <w:keepNext/>
              <w:rPr>
                <w:b/>
                <w:sz w:val="20"/>
                <w:szCs w:val="20"/>
              </w:rPr>
            </w:pPr>
            <w:r w:rsidRPr="00EA0F56">
              <w:rPr>
                <w:b/>
                <w:sz w:val="20"/>
                <w:szCs w:val="20"/>
              </w:rPr>
              <w:t>TAXA DE FALHA DO TR</w:t>
            </w:r>
            <w:r>
              <w:rPr>
                <w:b/>
                <w:sz w:val="20"/>
                <w:szCs w:val="20"/>
              </w:rPr>
              <w:t>A</w:t>
            </w:r>
            <w:r w:rsidRPr="00EA0F56">
              <w:rPr>
                <w:b/>
                <w:sz w:val="20"/>
                <w:szCs w:val="20"/>
              </w:rPr>
              <w:t>TAMENTO</w:t>
            </w:r>
            <w:r>
              <w:rPr>
                <w:b/>
                <w:sz w:val="20"/>
                <w:szCs w:val="20"/>
              </w:rPr>
              <w:t xml:space="preserve"> (%)</w:t>
            </w:r>
          </w:p>
        </w:tc>
        <w:tc>
          <w:tcPr>
            <w:tcW w:w="8806" w:type="dxa"/>
            <w:gridSpan w:val="5"/>
            <w:vAlign w:val="bottom"/>
          </w:tcPr>
          <w:p w14:paraId="0BD4B1D0" w14:textId="77777777" w:rsidR="002F6811" w:rsidRPr="004D010F" w:rsidRDefault="00615769" w:rsidP="002F6811">
            <w:pPr>
              <w:keepNext/>
              <w:rPr>
                <w:sz w:val="22"/>
                <w:szCs w:val="22"/>
                <w:lang w:val="en-US"/>
              </w:rPr>
            </w:pPr>
            <w:r>
              <w:rPr>
                <w:noProof/>
                <w:lang w:val="en-GB" w:eastAsia="en-GB"/>
              </w:rPr>
              <w:drawing>
                <wp:inline distT="0" distB="0" distL="0" distR="0" wp14:anchorId="72069083" wp14:editId="00E2F132">
                  <wp:extent cx="5486400" cy="2206625"/>
                  <wp:effectExtent l="0" t="0" r="0" b="3175"/>
                  <wp:docPr id="111" name="Picture 111"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 descr="Humira Uveitis Figure 5_6"/>
                          <pic:cNvPicPr>
                            <a:picLocks noChangeAspect="1" noChangeArrowheads="1"/>
                          </pic:cNvPicPr>
                        </pic:nvPicPr>
                        <pic:blipFill>
                          <a:blip r:embed="rId11" r:link="rId12">
                            <a:extLst>
                              <a:ext uri="{28A0092B-C50C-407E-A947-70E740481C1C}">
                                <a14:useLocalDpi xmlns:a14="http://schemas.microsoft.com/office/drawing/2010/main" val="0"/>
                              </a:ext>
                            </a:extLst>
                          </a:blip>
                          <a:stretch>
                            <a:fillRect/>
                          </a:stretch>
                        </pic:blipFill>
                        <pic:spPr bwMode="auto">
                          <a:xfrm>
                            <a:off x="0" y="0"/>
                            <a:ext cx="5486400" cy="2206625"/>
                          </a:xfrm>
                          <a:prstGeom prst="rect">
                            <a:avLst/>
                          </a:prstGeom>
                          <a:noFill/>
                          <a:ln>
                            <a:noFill/>
                          </a:ln>
                        </pic:spPr>
                      </pic:pic>
                    </a:graphicData>
                  </a:graphic>
                </wp:inline>
              </w:drawing>
            </w:r>
          </w:p>
        </w:tc>
      </w:tr>
      <w:tr w:rsidR="00A7162A" w14:paraId="64F2D833" w14:textId="77777777" w:rsidTr="002F6811">
        <w:tc>
          <w:tcPr>
            <w:tcW w:w="482" w:type="dxa"/>
          </w:tcPr>
          <w:p w14:paraId="5F762E44" w14:textId="77777777" w:rsidR="002F6811" w:rsidRPr="004D010F" w:rsidRDefault="002F6811" w:rsidP="002F6811">
            <w:pPr>
              <w:rPr>
                <w:sz w:val="22"/>
                <w:szCs w:val="22"/>
                <w:lang w:val="en-US"/>
              </w:rPr>
            </w:pPr>
          </w:p>
        </w:tc>
        <w:tc>
          <w:tcPr>
            <w:tcW w:w="8806" w:type="dxa"/>
            <w:gridSpan w:val="5"/>
          </w:tcPr>
          <w:p w14:paraId="53D9C8A2" w14:textId="77777777" w:rsidR="002F6811" w:rsidRPr="004D010F" w:rsidRDefault="00615769" w:rsidP="002F6811">
            <w:pPr>
              <w:jc w:val="center"/>
              <w:rPr>
                <w:b/>
                <w:sz w:val="22"/>
                <w:szCs w:val="22"/>
                <w:lang w:val="en-US"/>
              </w:rPr>
            </w:pPr>
            <w:r w:rsidRPr="004D010F">
              <w:rPr>
                <w:b/>
                <w:sz w:val="22"/>
                <w:szCs w:val="22"/>
                <w:lang w:val="en-US"/>
              </w:rPr>
              <w:t>T</w:t>
            </w:r>
            <w:r>
              <w:rPr>
                <w:b/>
                <w:sz w:val="22"/>
                <w:szCs w:val="22"/>
                <w:lang w:val="en-US"/>
              </w:rPr>
              <w:t>EMPO</w:t>
            </w:r>
            <w:r w:rsidRPr="004D010F">
              <w:rPr>
                <w:b/>
                <w:sz w:val="22"/>
                <w:szCs w:val="22"/>
                <w:lang w:val="en-US"/>
              </w:rPr>
              <w:t xml:space="preserve"> (M</w:t>
            </w:r>
            <w:r>
              <w:rPr>
                <w:b/>
                <w:sz w:val="22"/>
                <w:szCs w:val="22"/>
                <w:lang w:val="en-US"/>
              </w:rPr>
              <w:t>ESES</w:t>
            </w:r>
            <w:r w:rsidRPr="004D010F">
              <w:rPr>
                <w:b/>
                <w:sz w:val="22"/>
                <w:szCs w:val="22"/>
                <w:lang w:val="en-US"/>
              </w:rPr>
              <w:t>)</w:t>
            </w:r>
          </w:p>
        </w:tc>
      </w:tr>
      <w:tr w:rsidR="00A7162A" w14:paraId="70F61602" w14:textId="77777777" w:rsidTr="002F6811">
        <w:tc>
          <w:tcPr>
            <w:tcW w:w="482" w:type="dxa"/>
          </w:tcPr>
          <w:p w14:paraId="535D0534" w14:textId="77777777" w:rsidR="002F6811" w:rsidRPr="004D010F" w:rsidRDefault="002F6811" w:rsidP="002F6811">
            <w:pPr>
              <w:rPr>
                <w:sz w:val="22"/>
                <w:szCs w:val="22"/>
                <w:lang w:val="en-US"/>
              </w:rPr>
            </w:pPr>
          </w:p>
        </w:tc>
        <w:tc>
          <w:tcPr>
            <w:tcW w:w="3496" w:type="dxa"/>
          </w:tcPr>
          <w:p w14:paraId="329D6C37" w14:textId="77777777" w:rsidR="002F6811" w:rsidRPr="004D010F" w:rsidRDefault="00615769" w:rsidP="002F6811">
            <w:pPr>
              <w:rPr>
                <w:sz w:val="22"/>
                <w:szCs w:val="22"/>
                <w:lang w:val="en-US"/>
              </w:rPr>
            </w:pPr>
            <w:r>
              <w:rPr>
                <w:sz w:val="22"/>
                <w:szCs w:val="22"/>
                <w:lang w:val="en-US"/>
              </w:rPr>
              <w:t>Estudo UV I           Tr</w:t>
            </w:r>
            <w:r w:rsidRPr="004D010F">
              <w:rPr>
                <w:sz w:val="22"/>
                <w:szCs w:val="22"/>
                <w:lang w:val="en-US"/>
              </w:rPr>
              <w:t>at</w:t>
            </w:r>
            <w:r>
              <w:rPr>
                <w:sz w:val="22"/>
                <w:szCs w:val="22"/>
                <w:lang w:val="en-US"/>
              </w:rPr>
              <w:t>a</w:t>
            </w:r>
            <w:r w:rsidRPr="004D010F">
              <w:rPr>
                <w:sz w:val="22"/>
                <w:szCs w:val="22"/>
                <w:lang w:val="en-US"/>
              </w:rPr>
              <w:t>ment</w:t>
            </w:r>
            <w:r>
              <w:rPr>
                <w:sz w:val="22"/>
                <w:szCs w:val="22"/>
                <w:lang w:val="en-US"/>
              </w:rPr>
              <w:t>o</w:t>
            </w:r>
          </w:p>
        </w:tc>
        <w:tc>
          <w:tcPr>
            <w:tcW w:w="1170" w:type="dxa"/>
          </w:tcPr>
          <w:p w14:paraId="5C4D4907" w14:textId="77777777" w:rsidR="002F6811" w:rsidRPr="004D010F" w:rsidRDefault="00615769" w:rsidP="002F6811">
            <w:pPr>
              <w:rPr>
                <w:sz w:val="22"/>
                <w:szCs w:val="22"/>
                <w:lang w:val="en-US"/>
              </w:rPr>
            </w:pPr>
            <w:r>
              <w:rPr>
                <w:noProof/>
                <w:sz w:val="22"/>
                <w:szCs w:val="22"/>
                <w:lang w:val="en-GB" w:eastAsia="en-GB"/>
              </w:rPr>
              <w:drawing>
                <wp:inline distT="0" distB="0" distL="0" distR="0" wp14:anchorId="1D4BCB88" wp14:editId="7FCBD501">
                  <wp:extent cx="397510" cy="179070"/>
                  <wp:effectExtent l="0" t="0" r="2540" b="0"/>
                  <wp:docPr id="112" name="Picture 112"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2"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97510" cy="179070"/>
                          </a:xfrm>
                          <a:prstGeom prst="rect">
                            <a:avLst/>
                          </a:prstGeom>
                          <a:noFill/>
                          <a:ln>
                            <a:noFill/>
                          </a:ln>
                        </pic:spPr>
                      </pic:pic>
                    </a:graphicData>
                  </a:graphic>
                </wp:inline>
              </w:drawing>
            </w:r>
          </w:p>
        </w:tc>
        <w:tc>
          <w:tcPr>
            <w:tcW w:w="1350" w:type="dxa"/>
          </w:tcPr>
          <w:p w14:paraId="1BF78396" w14:textId="77777777" w:rsidR="002F6811" w:rsidRPr="004D010F" w:rsidRDefault="00615769" w:rsidP="002F6811">
            <w:pPr>
              <w:rPr>
                <w:sz w:val="22"/>
                <w:szCs w:val="22"/>
                <w:lang w:val="en-US"/>
              </w:rPr>
            </w:pPr>
            <w:r w:rsidRPr="004D010F">
              <w:rPr>
                <w:sz w:val="22"/>
                <w:szCs w:val="22"/>
                <w:lang w:val="en-US"/>
              </w:rPr>
              <w:t>Placebo</w:t>
            </w:r>
          </w:p>
        </w:tc>
        <w:tc>
          <w:tcPr>
            <w:tcW w:w="900" w:type="dxa"/>
          </w:tcPr>
          <w:p w14:paraId="017FD681" w14:textId="77777777" w:rsidR="002F6811" w:rsidRPr="004D010F" w:rsidRDefault="00615769" w:rsidP="002F6811">
            <w:pPr>
              <w:rPr>
                <w:sz w:val="22"/>
                <w:szCs w:val="22"/>
                <w:lang w:val="en-US"/>
              </w:rPr>
            </w:pPr>
            <w:r>
              <w:rPr>
                <w:noProof/>
                <w:sz w:val="22"/>
                <w:szCs w:val="22"/>
                <w:lang w:val="en-GB" w:eastAsia="en-GB"/>
              </w:rPr>
              <w:drawing>
                <wp:inline distT="0" distB="0" distL="0" distR="0" wp14:anchorId="49B78056" wp14:editId="1FC333F1">
                  <wp:extent cx="556895" cy="179070"/>
                  <wp:effectExtent l="0" t="0" r="0" b="0"/>
                  <wp:docPr id="113" name="Picture 113"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3" descr="Humira Uveitis Figure 5_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56895" cy="179070"/>
                          </a:xfrm>
                          <a:prstGeom prst="rect">
                            <a:avLst/>
                          </a:prstGeom>
                          <a:noFill/>
                          <a:ln>
                            <a:noFill/>
                          </a:ln>
                        </pic:spPr>
                      </pic:pic>
                    </a:graphicData>
                  </a:graphic>
                </wp:inline>
              </w:drawing>
            </w:r>
          </w:p>
        </w:tc>
        <w:tc>
          <w:tcPr>
            <w:tcW w:w="1890" w:type="dxa"/>
          </w:tcPr>
          <w:p w14:paraId="2054D181" w14:textId="77777777" w:rsidR="002F6811" w:rsidRPr="004D010F" w:rsidRDefault="00615769" w:rsidP="002F6811">
            <w:pPr>
              <w:rPr>
                <w:sz w:val="22"/>
                <w:szCs w:val="22"/>
                <w:lang w:val="en-US"/>
              </w:rPr>
            </w:pPr>
            <w:r w:rsidRPr="004D010F">
              <w:rPr>
                <w:sz w:val="22"/>
                <w:szCs w:val="22"/>
                <w:lang w:val="en-US"/>
              </w:rPr>
              <w:t>Adalimumab</w:t>
            </w:r>
          </w:p>
        </w:tc>
      </w:tr>
      <w:tr w:rsidR="00A7162A" w14:paraId="3A8E84DC" w14:textId="77777777" w:rsidTr="002F6811">
        <w:trPr>
          <w:trHeight w:val="4085"/>
        </w:trPr>
        <w:tc>
          <w:tcPr>
            <w:tcW w:w="482" w:type="dxa"/>
            <w:textDirection w:val="btLr"/>
            <w:vAlign w:val="bottom"/>
          </w:tcPr>
          <w:p w14:paraId="2BB72F65" w14:textId="77777777" w:rsidR="002F6811" w:rsidRPr="00EA0F56" w:rsidRDefault="00615769" w:rsidP="002F6811">
            <w:pPr>
              <w:rPr>
                <w:sz w:val="20"/>
                <w:szCs w:val="20"/>
              </w:rPr>
            </w:pPr>
            <w:r w:rsidRPr="00EA0F56">
              <w:rPr>
                <w:b/>
                <w:sz w:val="20"/>
                <w:szCs w:val="20"/>
              </w:rPr>
              <w:t>TAXA DE FALHA DE TRATAME</w:t>
            </w:r>
            <w:r>
              <w:rPr>
                <w:b/>
                <w:sz w:val="20"/>
                <w:szCs w:val="20"/>
              </w:rPr>
              <w:t>N</w:t>
            </w:r>
            <w:r w:rsidRPr="00EA0F56">
              <w:rPr>
                <w:b/>
                <w:sz w:val="20"/>
                <w:szCs w:val="20"/>
              </w:rPr>
              <w:t>TO (%)</w:t>
            </w:r>
          </w:p>
        </w:tc>
        <w:tc>
          <w:tcPr>
            <w:tcW w:w="8806" w:type="dxa"/>
            <w:gridSpan w:val="5"/>
            <w:vAlign w:val="bottom"/>
          </w:tcPr>
          <w:p w14:paraId="2DA1FDB3" w14:textId="77777777" w:rsidR="002F6811" w:rsidRPr="004D010F" w:rsidRDefault="00615769" w:rsidP="002F6811">
            <w:pPr>
              <w:rPr>
                <w:sz w:val="22"/>
                <w:szCs w:val="22"/>
                <w:lang w:val="en-US"/>
              </w:rPr>
            </w:pPr>
            <w:r>
              <w:rPr>
                <w:noProof/>
                <w:szCs w:val="22"/>
                <w:lang w:val="en-GB" w:eastAsia="en-GB"/>
              </w:rPr>
              <w:drawing>
                <wp:inline distT="0" distB="0" distL="0" distR="0" wp14:anchorId="1EAC7015" wp14:editId="58548CB3">
                  <wp:extent cx="5486400" cy="2176780"/>
                  <wp:effectExtent l="0" t="0" r="0" b="0"/>
                  <wp:docPr id="114" name="Picture 114"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4" descr="Humira Uveitis Figure 5_7"/>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486400" cy="2176780"/>
                          </a:xfrm>
                          <a:prstGeom prst="rect">
                            <a:avLst/>
                          </a:prstGeom>
                          <a:noFill/>
                          <a:ln>
                            <a:noFill/>
                          </a:ln>
                        </pic:spPr>
                      </pic:pic>
                    </a:graphicData>
                  </a:graphic>
                </wp:inline>
              </w:drawing>
            </w:r>
          </w:p>
        </w:tc>
      </w:tr>
      <w:tr w:rsidR="00A7162A" w14:paraId="615A7AE8" w14:textId="77777777" w:rsidTr="002F6811">
        <w:tc>
          <w:tcPr>
            <w:tcW w:w="482" w:type="dxa"/>
          </w:tcPr>
          <w:p w14:paraId="088BB4AE" w14:textId="77777777" w:rsidR="002F6811" w:rsidRPr="004D010F" w:rsidRDefault="002F6811" w:rsidP="002F6811">
            <w:pPr>
              <w:rPr>
                <w:sz w:val="22"/>
                <w:szCs w:val="22"/>
                <w:lang w:val="en-US"/>
              </w:rPr>
            </w:pPr>
          </w:p>
        </w:tc>
        <w:tc>
          <w:tcPr>
            <w:tcW w:w="8806" w:type="dxa"/>
            <w:gridSpan w:val="5"/>
          </w:tcPr>
          <w:p w14:paraId="729F38FF" w14:textId="77777777" w:rsidR="002F6811" w:rsidRPr="004D010F" w:rsidRDefault="00615769" w:rsidP="002F6811">
            <w:pPr>
              <w:jc w:val="center"/>
              <w:rPr>
                <w:b/>
                <w:sz w:val="22"/>
                <w:szCs w:val="22"/>
                <w:lang w:val="en-US"/>
              </w:rPr>
            </w:pPr>
            <w:r w:rsidRPr="004D010F">
              <w:rPr>
                <w:b/>
                <w:sz w:val="22"/>
                <w:szCs w:val="22"/>
                <w:lang w:val="en-US"/>
              </w:rPr>
              <w:t>T</w:t>
            </w:r>
            <w:r>
              <w:rPr>
                <w:b/>
                <w:sz w:val="22"/>
                <w:szCs w:val="22"/>
                <w:lang w:val="en-US"/>
              </w:rPr>
              <w:t>EMPO</w:t>
            </w:r>
            <w:r w:rsidRPr="004D010F">
              <w:rPr>
                <w:b/>
                <w:sz w:val="22"/>
                <w:szCs w:val="22"/>
                <w:lang w:val="en-US"/>
              </w:rPr>
              <w:t xml:space="preserve"> (M</w:t>
            </w:r>
            <w:r>
              <w:rPr>
                <w:b/>
                <w:sz w:val="22"/>
                <w:szCs w:val="22"/>
                <w:lang w:val="en-US"/>
              </w:rPr>
              <w:t>ESES</w:t>
            </w:r>
            <w:r w:rsidRPr="004D010F">
              <w:rPr>
                <w:b/>
                <w:sz w:val="22"/>
                <w:szCs w:val="22"/>
                <w:lang w:val="en-US"/>
              </w:rPr>
              <w:t>)</w:t>
            </w:r>
          </w:p>
        </w:tc>
      </w:tr>
      <w:tr w:rsidR="00A7162A" w14:paraId="1FBD50A7" w14:textId="77777777" w:rsidTr="002F6811">
        <w:trPr>
          <w:trHeight w:val="369"/>
        </w:trPr>
        <w:tc>
          <w:tcPr>
            <w:tcW w:w="482" w:type="dxa"/>
          </w:tcPr>
          <w:p w14:paraId="672A0240" w14:textId="77777777" w:rsidR="002F6811" w:rsidRPr="004D010F" w:rsidRDefault="002F6811" w:rsidP="002F6811">
            <w:pPr>
              <w:rPr>
                <w:sz w:val="22"/>
                <w:szCs w:val="22"/>
                <w:lang w:val="en-US"/>
              </w:rPr>
            </w:pPr>
          </w:p>
        </w:tc>
        <w:tc>
          <w:tcPr>
            <w:tcW w:w="3496" w:type="dxa"/>
          </w:tcPr>
          <w:p w14:paraId="51A547A3" w14:textId="77777777" w:rsidR="002F6811" w:rsidRPr="004D010F" w:rsidRDefault="00615769" w:rsidP="002F6811">
            <w:pPr>
              <w:rPr>
                <w:sz w:val="22"/>
                <w:szCs w:val="22"/>
                <w:lang w:val="en-US"/>
              </w:rPr>
            </w:pPr>
            <w:r>
              <w:rPr>
                <w:sz w:val="22"/>
                <w:szCs w:val="22"/>
                <w:lang w:val="en-US"/>
              </w:rPr>
              <w:t>Estudo</w:t>
            </w:r>
            <w:r w:rsidRPr="004D010F">
              <w:rPr>
                <w:sz w:val="22"/>
                <w:szCs w:val="22"/>
                <w:lang w:val="en-US"/>
              </w:rPr>
              <w:t xml:space="preserve"> UV II        </w:t>
            </w:r>
            <w:r>
              <w:rPr>
                <w:sz w:val="22"/>
                <w:szCs w:val="22"/>
                <w:lang w:val="en-US"/>
              </w:rPr>
              <w:t xml:space="preserve">        Tr</w:t>
            </w:r>
            <w:r w:rsidRPr="004D010F">
              <w:rPr>
                <w:sz w:val="22"/>
                <w:szCs w:val="22"/>
                <w:lang w:val="en-US"/>
              </w:rPr>
              <w:t>at</w:t>
            </w:r>
            <w:r>
              <w:rPr>
                <w:sz w:val="22"/>
                <w:szCs w:val="22"/>
                <w:lang w:val="en-US"/>
              </w:rPr>
              <w:t>a</w:t>
            </w:r>
            <w:r w:rsidRPr="004D010F">
              <w:rPr>
                <w:sz w:val="22"/>
                <w:szCs w:val="22"/>
                <w:lang w:val="en-US"/>
              </w:rPr>
              <w:t>ment</w:t>
            </w:r>
            <w:r>
              <w:rPr>
                <w:sz w:val="22"/>
                <w:szCs w:val="22"/>
                <w:lang w:val="en-US"/>
              </w:rPr>
              <w:t>o</w:t>
            </w:r>
          </w:p>
        </w:tc>
        <w:tc>
          <w:tcPr>
            <w:tcW w:w="1170" w:type="dxa"/>
          </w:tcPr>
          <w:p w14:paraId="4CBA11C1" w14:textId="77777777" w:rsidR="002F6811" w:rsidRPr="004D010F" w:rsidRDefault="00615769" w:rsidP="002F6811">
            <w:pPr>
              <w:rPr>
                <w:sz w:val="22"/>
                <w:szCs w:val="22"/>
                <w:lang w:val="en-US"/>
              </w:rPr>
            </w:pPr>
            <w:r>
              <w:rPr>
                <w:noProof/>
                <w:sz w:val="22"/>
                <w:szCs w:val="22"/>
                <w:lang w:val="en-GB" w:eastAsia="en-GB"/>
              </w:rPr>
              <w:drawing>
                <wp:inline distT="0" distB="0" distL="0" distR="0" wp14:anchorId="3EA69C46" wp14:editId="18C5FCD4">
                  <wp:extent cx="397510" cy="179070"/>
                  <wp:effectExtent l="0" t="0" r="2540" b="0"/>
                  <wp:docPr id="115" name="Picture 11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5"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97510" cy="179070"/>
                          </a:xfrm>
                          <a:prstGeom prst="rect">
                            <a:avLst/>
                          </a:prstGeom>
                          <a:noFill/>
                          <a:ln>
                            <a:noFill/>
                          </a:ln>
                        </pic:spPr>
                      </pic:pic>
                    </a:graphicData>
                  </a:graphic>
                </wp:inline>
              </w:drawing>
            </w:r>
          </w:p>
        </w:tc>
        <w:tc>
          <w:tcPr>
            <w:tcW w:w="1350" w:type="dxa"/>
          </w:tcPr>
          <w:p w14:paraId="1947F547" w14:textId="77777777" w:rsidR="002F6811" w:rsidRPr="004D010F" w:rsidRDefault="00615769" w:rsidP="002F6811">
            <w:pPr>
              <w:rPr>
                <w:sz w:val="22"/>
                <w:szCs w:val="22"/>
                <w:lang w:val="en-US"/>
              </w:rPr>
            </w:pPr>
            <w:r w:rsidRPr="004D010F">
              <w:rPr>
                <w:sz w:val="22"/>
                <w:szCs w:val="22"/>
                <w:lang w:val="en-US"/>
              </w:rPr>
              <w:t>Placebo</w:t>
            </w:r>
          </w:p>
        </w:tc>
        <w:tc>
          <w:tcPr>
            <w:tcW w:w="900" w:type="dxa"/>
          </w:tcPr>
          <w:p w14:paraId="7899684D" w14:textId="77777777" w:rsidR="002F6811" w:rsidRPr="004D010F" w:rsidRDefault="00615769" w:rsidP="002F6811">
            <w:pPr>
              <w:rPr>
                <w:sz w:val="22"/>
                <w:szCs w:val="22"/>
                <w:lang w:val="en-US"/>
              </w:rPr>
            </w:pPr>
            <w:r>
              <w:rPr>
                <w:noProof/>
                <w:sz w:val="22"/>
                <w:szCs w:val="22"/>
                <w:lang w:val="en-GB" w:eastAsia="en-GB"/>
              </w:rPr>
              <w:drawing>
                <wp:inline distT="0" distB="0" distL="0" distR="0" wp14:anchorId="7E810ADB" wp14:editId="378A7C74">
                  <wp:extent cx="556895" cy="179070"/>
                  <wp:effectExtent l="0" t="0" r="0" b="0"/>
                  <wp:docPr id="116" name="Picture 116"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6" descr="Humira Uveitis Figure 5_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56895" cy="179070"/>
                          </a:xfrm>
                          <a:prstGeom prst="rect">
                            <a:avLst/>
                          </a:prstGeom>
                          <a:noFill/>
                          <a:ln>
                            <a:noFill/>
                          </a:ln>
                        </pic:spPr>
                      </pic:pic>
                    </a:graphicData>
                  </a:graphic>
                </wp:inline>
              </w:drawing>
            </w:r>
          </w:p>
        </w:tc>
        <w:tc>
          <w:tcPr>
            <w:tcW w:w="1890" w:type="dxa"/>
          </w:tcPr>
          <w:p w14:paraId="30434510" w14:textId="77777777" w:rsidR="002F6811" w:rsidRPr="004D010F" w:rsidRDefault="00615769" w:rsidP="002F6811">
            <w:pPr>
              <w:rPr>
                <w:sz w:val="22"/>
                <w:szCs w:val="22"/>
                <w:lang w:val="en-US"/>
              </w:rPr>
            </w:pPr>
            <w:r w:rsidRPr="004D010F">
              <w:rPr>
                <w:sz w:val="22"/>
                <w:szCs w:val="22"/>
                <w:lang w:val="en-US"/>
              </w:rPr>
              <w:t>Adalimumab</w:t>
            </w:r>
          </w:p>
        </w:tc>
      </w:tr>
      <w:tr w:rsidR="00A7162A" w14:paraId="759D2AFE" w14:textId="77777777" w:rsidTr="002F6811">
        <w:trPr>
          <w:trHeight w:val="629"/>
        </w:trPr>
        <w:tc>
          <w:tcPr>
            <w:tcW w:w="9288" w:type="dxa"/>
            <w:gridSpan w:val="6"/>
            <w:vAlign w:val="center"/>
          </w:tcPr>
          <w:p w14:paraId="3CCBE857" w14:textId="77777777" w:rsidR="002F6811" w:rsidRPr="00E91933" w:rsidRDefault="00615769" w:rsidP="002F6811">
            <w:pPr>
              <w:rPr>
                <w:sz w:val="22"/>
                <w:szCs w:val="22"/>
              </w:rPr>
            </w:pPr>
            <w:r w:rsidRPr="00E91933">
              <w:rPr>
                <w:sz w:val="22"/>
                <w:szCs w:val="22"/>
              </w:rPr>
              <w:t xml:space="preserve">Nota: P# = Placebo (Número de Eventos/Número em Risco); A# </w:t>
            </w:r>
            <w:r>
              <w:rPr>
                <w:sz w:val="22"/>
                <w:szCs w:val="22"/>
              </w:rPr>
              <w:t>=</w:t>
            </w:r>
            <w:r w:rsidRPr="00E91933">
              <w:rPr>
                <w:sz w:val="22"/>
                <w:szCs w:val="22"/>
              </w:rPr>
              <w:t xml:space="preserve"> HUMIRA (Número de Eventos/Número em Risco).</w:t>
            </w:r>
          </w:p>
        </w:tc>
      </w:tr>
    </w:tbl>
    <w:p w14:paraId="298746DD" w14:textId="77777777" w:rsidR="002F6811" w:rsidRPr="00E91933" w:rsidRDefault="002F6811" w:rsidP="002F6811">
      <w:pPr>
        <w:rPr>
          <w:sz w:val="22"/>
          <w:szCs w:val="22"/>
        </w:rPr>
      </w:pPr>
    </w:p>
    <w:p w14:paraId="45B6580A" w14:textId="77777777" w:rsidR="002F6811" w:rsidRPr="003A1E9A" w:rsidRDefault="00615769" w:rsidP="002F6811">
      <w:pPr>
        <w:rPr>
          <w:sz w:val="22"/>
          <w:szCs w:val="22"/>
        </w:rPr>
      </w:pPr>
      <w:r w:rsidRPr="00256262">
        <w:rPr>
          <w:sz w:val="22"/>
          <w:szCs w:val="22"/>
        </w:rPr>
        <w:t xml:space="preserve">No Estudo UV I foram observadas diferenças estatisticamente significativas </w:t>
      </w:r>
      <w:r>
        <w:rPr>
          <w:sz w:val="22"/>
          <w:szCs w:val="22"/>
        </w:rPr>
        <w:t xml:space="preserve">favoráveis </w:t>
      </w:r>
      <w:r w:rsidRPr="00256262">
        <w:rPr>
          <w:sz w:val="22"/>
          <w:szCs w:val="22"/>
        </w:rPr>
        <w:t>a</w:t>
      </w:r>
      <w:r>
        <w:rPr>
          <w:sz w:val="22"/>
          <w:szCs w:val="22"/>
        </w:rPr>
        <w:t xml:space="preserve"> </w:t>
      </w:r>
      <w:r w:rsidRPr="00256262">
        <w:rPr>
          <w:sz w:val="22"/>
          <w:szCs w:val="22"/>
        </w:rPr>
        <w:t xml:space="preserve">adalimumab </w:t>
      </w:r>
      <w:r w:rsidRPr="006576D5">
        <w:rPr>
          <w:i/>
          <w:sz w:val="22"/>
          <w:szCs w:val="22"/>
        </w:rPr>
        <w:t>versus</w:t>
      </w:r>
      <w:r w:rsidRPr="00256262">
        <w:rPr>
          <w:sz w:val="22"/>
          <w:szCs w:val="22"/>
        </w:rPr>
        <w:t xml:space="preserve"> placebo para cada component</w:t>
      </w:r>
      <w:r>
        <w:rPr>
          <w:sz w:val="22"/>
          <w:szCs w:val="22"/>
        </w:rPr>
        <w:t>e</w:t>
      </w:r>
      <w:r w:rsidRPr="00256262">
        <w:rPr>
          <w:sz w:val="22"/>
          <w:szCs w:val="22"/>
        </w:rPr>
        <w:t xml:space="preserve"> da falha de tratamento.</w:t>
      </w:r>
      <w:r>
        <w:rPr>
          <w:sz w:val="22"/>
          <w:szCs w:val="22"/>
        </w:rPr>
        <w:t xml:space="preserve"> </w:t>
      </w:r>
      <w:r w:rsidRPr="003A1E9A">
        <w:rPr>
          <w:sz w:val="22"/>
          <w:szCs w:val="22"/>
        </w:rPr>
        <w:t xml:space="preserve">No Estudo UV II, foram observadas diferenças </w:t>
      </w:r>
      <w:r w:rsidRPr="00F05224">
        <w:rPr>
          <w:sz w:val="22"/>
          <w:szCs w:val="22"/>
        </w:rPr>
        <w:t>estatisticamente</w:t>
      </w:r>
      <w:r w:rsidRPr="003A1E9A">
        <w:rPr>
          <w:sz w:val="22"/>
          <w:szCs w:val="22"/>
        </w:rPr>
        <w:t xml:space="preserve"> significativas apenas para a acuidade visual, mas os outros component</w:t>
      </w:r>
      <w:r>
        <w:rPr>
          <w:sz w:val="22"/>
          <w:szCs w:val="22"/>
        </w:rPr>
        <w:t>e</w:t>
      </w:r>
      <w:r w:rsidRPr="003A1E9A">
        <w:rPr>
          <w:sz w:val="22"/>
          <w:szCs w:val="22"/>
        </w:rPr>
        <w:t xml:space="preserve">s foram numericamente </w:t>
      </w:r>
      <w:r>
        <w:rPr>
          <w:sz w:val="22"/>
          <w:szCs w:val="22"/>
        </w:rPr>
        <w:t xml:space="preserve">favoráveis a </w:t>
      </w:r>
      <w:r w:rsidRPr="003A1E9A">
        <w:rPr>
          <w:sz w:val="22"/>
          <w:szCs w:val="22"/>
        </w:rPr>
        <w:t>adalimumab.</w:t>
      </w:r>
    </w:p>
    <w:p w14:paraId="7F5C439B" w14:textId="77777777" w:rsidR="002F6811" w:rsidRPr="00F03C54" w:rsidRDefault="002F6811" w:rsidP="002F6811">
      <w:pPr>
        <w:rPr>
          <w:sz w:val="22"/>
          <w:szCs w:val="22"/>
        </w:rPr>
      </w:pPr>
    </w:p>
    <w:p w14:paraId="119A988F" w14:textId="77777777" w:rsidR="00E72DA2" w:rsidRDefault="00615769" w:rsidP="002F6811">
      <w:r w:rsidRPr="00F03C54">
        <w:rPr>
          <w:sz w:val="22"/>
          <w:szCs w:val="22"/>
        </w:rPr>
        <w:t xml:space="preserve">Dos </w:t>
      </w:r>
      <w:r w:rsidR="00FB31DC">
        <w:rPr>
          <w:sz w:val="22"/>
          <w:szCs w:val="22"/>
        </w:rPr>
        <w:t>424</w:t>
      </w:r>
      <w:r w:rsidRPr="00F03C54">
        <w:rPr>
          <w:sz w:val="22"/>
          <w:szCs w:val="22"/>
        </w:rPr>
        <w:t xml:space="preserve"> indivíduos incluídos na extensão a longo prazo</w:t>
      </w:r>
      <w:r w:rsidR="00137149">
        <w:rPr>
          <w:sz w:val="22"/>
          <w:szCs w:val="22"/>
        </w:rPr>
        <w:t>, não</w:t>
      </w:r>
      <w:r w:rsidR="002F3216">
        <w:rPr>
          <w:sz w:val="22"/>
          <w:szCs w:val="22"/>
        </w:rPr>
        <w:t>-</w:t>
      </w:r>
      <w:r w:rsidR="00137149">
        <w:rPr>
          <w:sz w:val="22"/>
          <w:szCs w:val="22"/>
        </w:rPr>
        <w:t>controlada,</w:t>
      </w:r>
      <w:r w:rsidRPr="00F03C54">
        <w:rPr>
          <w:sz w:val="22"/>
          <w:szCs w:val="22"/>
        </w:rPr>
        <w:t xml:space="preserve"> dos Estudos UV I e UV II, </w:t>
      </w:r>
      <w:r w:rsidR="00FB31DC">
        <w:rPr>
          <w:sz w:val="22"/>
          <w:szCs w:val="22"/>
        </w:rPr>
        <w:t>60</w:t>
      </w:r>
      <w:r w:rsidRPr="00F03C54">
        <w:rPr>
          <w:sz w:val="22"/>
          <w:szCs w:val="22"/>
        </w:rPr>
        <w:t xml:space="preserve"> indivíduos foram considerados inelegíveis (p.ex. </w:t>
      </w:r>
      <w:r w:rsidR="00FB31DC">
        <w:rPr>
          <w:sz w:val="22"/>
          <w:szCs w:val="22"/>
        </w:rPr>
        <w:t xml:space="preserve">devido a desvios ou devido a </w:t>
      </w:r>
      <w:r w:rsidR="002C78FD" w:rsidRPr="00F03C54">
        <w:rPr>
          <w:sz w:val="22"/>
          <w:szCs w:val="22"/>
        </w:rPr>
        <w:t xml:space="preserve">complicações secundárias à retinopatia diabética, devido a cirurgia de catarata ou vitrectomia) e foram excluídos da análise de eficácia primária. Dos </w:t>
      </w:r>
      <w:r w:rsidR="009B7596">
        <w:rPr>
          <w:sz w:val="22"/>
          <w:szCs w:val="22"/>
        </w:rPr>
        <w:t>364</w:t>
      </w:r>
      <w:r w:rsidR="002C78FD" w:rsidRPr="00F03C54">
        <w:rPr>
          <w:sz w:val="22"/>
          <w:szCs w:val="22"/>
        </w:rPr>
        <w:t xml:space="preserve"> doentes restantes, </w:t>
      </w:r>
      <w:r w:rsidR="009B7596">
        <w:rPr>
          <w:sz w:val="22"/>
          <w:szCs w:val="22"/>
        </w:rPr>
        <w:t>269</w:t>
      </w:r>
      <w:r w:rsidR="002C78FD" w:rsidRPr="00F03C54">
        <w:rPr>
          <w:sz w:val="22"/>
          <w:szCs w:val="22"/>
        </w:rPr>
        <w:t xml:space="preserve"> doentes avaliáveis </w:t>
      </w:r>
      <w:r w:rsidR="009B7596">
        <w:rPr>
          <w:sz w:val="22"/>
          <w:szCs w:val="22"/>
        </w:rPr>
        <w:t xml:space="preserve">(74%) </w:t>
      </w:r>
      <w:r w:rsidR="002C78FD" w:rsidRPr="00F03C54">
        <w:rPr>
          <w:sz w:val="22"/>
          <w:szCs w:val="22"/>
        </w:rPr>
        <w:t xml:space="preserve">atingiram as 78 semanas </w:t>
      </w:r>
      <w:r w:rsidR="001B4951" w:rsidRPr="00F03C54">
        <w:rPr>
          <w:sz w:val="22"/>
          <w:szCs w:val="22"/>
        </w:rPr>
        <w:t xml:space="preserve">de tratamento com adalimumab </w:t>
      </w:r>
      <w:r w:rsidR="00137149">
        <w:rPr>
          <w:sz w:val="22"/>
          <w:szCs w:val="22"/>
        </w:rPr>
        <w:t>em</w:t>
      </w:r>
      <w:r w:rsidR="001B4951" w:rsidRPr="00F03C54">
        <w:rPr>
          <w:sz w:val="22"/>
          <w:szCs w:val="22"/>
        </w:rPr>
        <w:t xml:space="preserve"> fase aberta. Com base na abordagem d</w:t>
      </w:r>
      <w:r w:rsidR="00FC7E81">
        <w:rPr>
          <w:sz w:val="22"/>
          <w:szCs w:val="22"/>
        </w:rPr>
        <w:t>os</w:t>
      </w:r>
      <w:r w:rsidR="001B4951" w:rsidRPr="00F03C54">
        <w:rPr>
          <w:sz w:val="22"/>
          <w:szCs w:val="22"/>
        </w:rPr>
        <w:t xml:space="preserve"> dados observad</w:t>
      </w:r>
      <w:r w:rsidR="00FC7E81">
        <w:rPr>
          <w:sz w:val="22"/>
          <w:szCs w:val="22"/>
        </w:rPr>
        <w:t>os</w:t>
      </w:r>
      <w:r w:rsidR="001B4951" w:rsidRPr="00F03C54">
        <w:rPr>
          <w:sz w:val="22"/>
          <w:szCs w:val="22"/>
        </w:rPr>
        <w:t xml:space="preserve">, </w:t>
      </w:r>
      <w:r w:rsidR="009B7596">
        <w:rPr>
          <w:sz w:val="22"/>
          <w:szCs w:val="22"/>
        </w:rPr>
        <w:t>216</w:t>
      </w:r>
      <w:r w:rsidR="001B4951" w:rsidRPr="00F03C54">
        <w:rPr>
          <w:sz w:val="22"/>
          <w:szCs w:val="22"/>
        </w:rPr>
        <w:t xml:space="preserve"> (</w:t>
      </w:r>
      <w:r w:rsidR="009B7596">
        <w:rPr>
          <w:sz w:val="22"/>
          <w:szCs w:val="22"/>
        </w:rPr>
        <w:t>80,3%</w:t>
      </w:r>
      <w:r w:rsidR="001B4951" w:rsidRPr="00F03C54">
        <w:rPr>
          <w:sz w:val="22"/>
          <w:szCs w:val="22"/>
        </w:rPr>
        <w:t xml:space="preserve">) estavam </w:t>
      </w:r>
      <w:r w:rsidR="00733416" w:rsidRPr="00F03C54">
        <w:rPr>
          <w:sz w:val="22"/>
          <w:szCs w:val="22"/>
        </w:rPr>
        <w:t>em fase de repouso</w:t>
      </w:r>
      <w:r w:rsidR="001B4951" w:rsidRPr="00F03C54">
        <w:rPr>
          <w:sz w:val="22"/>
          <w:szCs w:val="22"/>
        </w:rPr>
        <w:t xml:space="preserve"> (sem lesões inflamatórias ativas,</w:t>
      </w:r>
      <w:r w:rsidR="002C78FD" w:rsidRPr="00F03C54">
        <w:rPr>
          <w:sz w:val="22"/>
          <w:szCs w:val="22"/>
        </w:rPr>
        <w:t xml:space="preserve"> </w:t>
      </w:r>
      <w:r w:rsidR="001B4951" w:rsidRPr="00F03C54">
        <w:rPr>
          <w:sz w:val="22"/>
          <w:szCs w:val="22"/>
        </w:rPr>
        <w:t>grau de células AC ≤ 0,5+, grau VH ≤ 0,5+) com uma dose concomitante de ester</w:t>
      </w:r>
      <w:r w:rsidR="00137149">
        <w:rPr>
          <w:sz w:val="22"/>
          <w:szCs w:val="22"/>
        </w:rPr>
        <w:t>o</w:t>
      </w:r>
      <w:r w:rsidR="001B4951" w:rsidRPr="00F03C54">
        <w:rPr>
          <w:sz w:val="22"/>
          <w:szCs w:val="22"/>
        </w:rPr>
        <w:t>ides</w:t>
      </w:r>
      <w:r w:rsidRPr="00F03C54">
        <w:rPr>
          <w:sz w:val="22"/>
          <w:szCs w:val="22"/>
        </w:rPr>
        <w:t xml:space="preserve"> </w:t>
      </w:r>
      <w:r w:rsidR="001B4951" w:rsidRPr="00F03C54">
        <w:rPr>
          <w:sz w:val="22"/>
          <w:szCs w:val="22"/>
        </w:rPr>
        <w:t xml:space="preserve">≤ 7,5 mg por dia, e </w:t>
      </w:r>
      <w:r w:rsidR="009B7596">
        <w:rPr>
          <w:sz w:val="22"/>
          <w:szCs w:val="22"/>
        </w:rPr>
        <w:t>178</w:t>
      </w:r>
      <w:r w:rsidR="001B4951" w:rsidRPr="00F03C54">
        <w:rPr>
          <w:sz w:val="22"/>
          <w:szCs w:val="22"/>
        </w:rPr>
        <w:t xml:space="preserve"> </w:t>
      </w:r>
      <w:r w:rsidR="00CA479B" w:rsidRPr="00F03C54">
        <w:rPr>
          <w:sz w:val="22"/>
          <w:szCs w:val="22"/>
        </w:rPr>
        <w:t>(</w:t>
      </w:r>
      <w:r w:rsidR="009B7596">
        <w:rPr>
          <w:sz w:val="22"/>
          <w:szCs w:val="22"/>
        </w:rPr>
        <w:t>66,2%</w:t>
      </w:r>
      <w:r w:rsidR="00CA479B" w:rsidRPr="00F03C54">
        <w:rPr>
          <w:sz w:val="22"/>
          <w:szCs w:val="22"/>
        </w:rPr>
        <w:t>) estavam</w:t>
      </w:r>
      <w:r w:rsidR="00733416" w:rsidRPr="00F03C54">
        <w:rPr>
          <w:sz w:val="22"/>
          <w:szCs w:val="22"/>
        </w:rPr>
        <w:t xml:space="preserve"> </w:t>
      </w:r>
      <w:r w:rsidR="007D0200" w:rsidRPr="00F03C54">
        <w:rPr>
          <w:sz w:val="22"/>
          <w:szCs w:val="22"/>
        </w:rPr>
        <w:t xml:space="preserve">em repouso </w:t>
      </w:r>
      <w:r w:rsidR="00FE08F4" w:rsidRPr="00F03C54">
        <w:rPr>
          <w:sz w:val="22"/>
          <w:szCs w:val="22"/>
        </w:rPr>
        <w:t xml:space="preserve">isentos </w:t>
      </w:r>
      <w:r w:rsidR="007D0200" w:rsidRPr="00F03C54">
        <w:rPr>
          <w:sz w:val="22"/>
          <w:szCs w:val="22"/>
        </w:rPr>
        <w:t xml:space="preserve">de esteroides. </w:t>
      </w:r>
      <w:r w:rsidR="00472095" w:rsidRPr="00F03C54">
        <w:rPr>
          <w:sz w:val="22"/>
          <w:szCs w:val="22"/>
        </w:rPr>
        <w:t xml:space="preserve">Na semana 78, </w:t>
      </w:r>
      <w:r w:rsidR="00AE44E1">
        <w:rPr>
          <w:sz w:val="22"/>
          <w:szCs w:val="22"/>
        </w:rPr>
        <w:t>a MAVC</w:t>
      </w:r>
      <w:r w:rsidR="007D0200" w:rsidRPr="00F03C54">
        <w:rPr>
          <w:sz w:val="22"/>
          <w:szCs w:val="22"/>
        </w:rPr>
        <w:t xml:space="preserve"> foi melhorad</w:t>
      </w:r>
      <w:r w:rsidR="00AE44E1">
        <w:rPr>
          <w:sz w:val="22"/>
          <w:szCs w:val="22"/>
        </w:rPr>
        <w:t>a</w:t>
      </w:r>
      <w:r w:rsidR="007D0200" w:rsidRPr="00F03C54">
        <w:rPr>
          <w:sz w:val="22"/>
          <w:szCs w:val="22"/>
        </w:rPr>
        <w:t xml:space="preserve"> ou mantid</w:t>
      </w:r>
      <w:r w:rsidR="00AE44E1">
        <w:rPr>
          <w:sz w:val="22"/>
          <w:szCs w:val="22"/>
        </w:rPr>
        <w:t>a</w:t>
      </w:r>
      <w:r w:rsidR="007D0200" w:rsidRPr="00F03C54">
        <w:rPr>
          <w:sz w:val="22"/>
          <w:szCs w:val="22"/>
        </w:rPr>
        <w:t xml:space="preserve"> (</w:t>
      </w:r>
      <w:r w:rsidR="00AE44E1" w:rsidRPr="00F03C54">
        <w:rPr>
          <w:sz w:val="22"/>
          <w:szCs w:val="22"/>
        </w:rPr>
        <w:t xml:space="preserve">deterioração </w:t>
      </w:r>
      <w:r w:rsidR="00AE44E1">
        <w:rPr>
          <w:sz w:val="22"/>
          <w:szCs w:val="22"/>
        </w:rPr>
        <w:t xml:space="preserve">de </w:t>
      </w:r>
      <w:r w:rsidR="007D0200" w:rsidRPr="00F03C54">
        <w:rPr>
          <w:sz w:val="22"/>
          <w:szCs w:val="22"/>
        </w:rPr>
        <w:t xml:space="preserve">&lt; 5 </w:t>
      </w:r>
      <w:r w:rsidR="00472095" w:rsidRPr="00F03C54">
        <w:rPr>
          <w:sz w:val="22"/>
          <w:szCs w:val="22"/>
        </w:rPr>
        <w:t>letras) em 88,</w:t>
      </w:r>
      <w:r w:rsidR="009B7596">
        <w:rPr>
          <w:sz w:val="22"/>
          <w:szCs w:val="22"/>
        </w:rPr>
        <w:t>6</w:t>
      </w:r>
      <w:r w:rsidR="00472095" w:rsidRPr="00F03C54">
        <w:rPr>
          <w:sz w:val="22"/>
          <w:szCs w:val="22"/>
        </w:rPr>
        <w:t>%</w:t>
      </w:r>
      <w:r w:rsidR="00137149">
        <w:rPr>
          <w:sz w:val="22"/>
          <w:szCs w:val="22"/>
        </w:rPr>
        <w:t xml:space="preserve"> dos olhos</w:t>
      </w:r>
      <w:r w:rsidR="00472095" w:rsidRPr="00F03C54">
        <w:rPr>
          <w:sz w:val="22"/>
          <w:szCs w:val="22"/>
        </w:rPr>
        <w:t>.</w:t>
      </w:r>
      <w:r w:rsidR="00214D34" w:rsidRPr="00F03C54">
        <w:rPr>
          <w:sz w:val="22"/>
          <w:szCs w:val="22"/>
        </w:rPr>
        <w:t xml:space="preserve"> </w:t>
      </w:r>
      <w:bookmarkStart w:id="22" w:name="_Hlk8381840"/>
      <w:bookmarkStart w:id="23" w:name="_Hlk8388898"/>
      <w:r w:rsidR="00063CCF" w:rsidRPr="00063CCF">
        <w:rPr>
          <w:sz w:val="22"/>
          <w:szCs w:val="22"/>
        </w:rPr>
        <w:t xml:space="preserve">Os dados para além da semana 78 foram </w:t>
      </w:r>
      <w:r w:rsidR="00137149">
        <w:rPr>
          <w:sz w:val="22"/>
          <w:szCs w:val="22"/>
        </w:rPr>
        <w:t xml:space="preserve">na generalidade </w:t>
      </w:r>
      <w:r w:rsidR="00063CCF" w:rsidRPr="00063CCF">
        <w:rPr>
          <w:sz w:val="22"/>
          <w:szCs w:val="22"/>
        </w:rPr>
        <w:t>consistentes com estes resultados, mas o número de indivíduos inscritos diminuiu após esse tempo.</w:t>
      </w:r>
      <w:r w:rsidR="00E106FA">
        <w:rPr>
          <w:sz w:val="22"/>
          <w:szCs w:val="22"/>
        </w:rPr>
        <w:t xml:space="preserve"> </w:t>
      </w:r>
      <w:r w:rsidR="00063CCF">
        <w:rPr>
          <w:sz w:val="22"/>
          <w:szCs w:val="22"/>
        </w:rPr>
        <w:t>Globalmente,</w:t>
      </w:r>
      <w:bookmarkEnd w:id="22"/>
      <w:r w:rsidR="00063CCF">
        <w:rPr>
          <w:sz w:val="22"/>
          <w:szCs w:val="22"/>
        </w:rPr>
        <w:t xml:space="preserve"> </w:t>
      </w:r>
      <w:bookmarkEnd w:id="23"/>
      <w:r w:rsidR="00063CCF">
        <w:rPr>
          <w:sz w:val="22"/>
          <w:szCs w:val="22"/>
        </w:rPr>
        <w:t>e</w:t>
      </w:r>
      <w:r w:rsidR="00214D34" w:rsidRPr="00F03C54">
        <w:rPr>
          <w:sz w:val="22"/>
          <w:szCs w:val="22"/>
        </w:rPr>
        <w:t xml:space="preserve">ntre os doentes que descontinuaram o estudo, </w:t>
      </w:r>
      <w:r w:rsidR="00E106FA">
        <w:rPr>
          <w:sz w:val="22"/>
          <w:szCs w:val="22"/>
        </w:rPr>
        <w:t>18%</w:t>
      </w:r>
      <w:r w:rsidR="00214D34" w:rsidRPr="00F03C54">
        <w:rPr>
          <w:sz w:val="22"/>
          <w:szCs w:val="22"/>
        </w:rPr>
        <w:t xml:space="preserve"> descontinuaram </w:t>
      </w:r>
      <w:r w:rsidR="00FE08F4" w:rsidRPr="00F03C54">
        <w:rPr>
          <w:sz w:val="22"/>
          <w:szCs w:val="22"/>
        </w:rPr>
        <w:t xml:space="preserve">devido a acontecimentos adversos, e </w:t>
      </w:r>
      <w:r w:rsidR="00063CCF">
        <w:rPr>
          <w:sz w:val="22"/>
          <w:szCs w:val="22"/>
        </w:rPr>
        <w:t>8</w:t>
      </w:r>
      <w:r w:rsidR="00FE08F4" w:rsidRPr="00F03C54">
        <w:rPr>
          <w:sz w:val="22"/>
          <w:szCs w:val="22"/>
        </w:rPr>
        <w:t>% devido a uma resposta terapêutica insuficiente com adalimumab.</w:t>
      </w:r>
      <w:r w:rsidR="00FE08F4">
        <w:t xml:space="preserve"> </w:t>
      </w:r>
      <w:r w:rsidR="00472095">
        <w:t xml:space="preserve"> </w:t>
      </w:r>
      <w:r w:rsidR="00733416">
        <w:t xml:space="preserve"> </w:t>
      </w:r>
      <w:r w:rsidR="00CA479B">
        <w:t xml:space="preserve"> </w:t>
      </w:r>
    </w:p>
    <w:p w14:paraId="72DB542D" w14:textId="77777777" w:rsidR="00E72DA2" w:rsidRDefault="00E72DA2" w:rsidP="002F6811"/>
    <w:p w14:paraId="63394552" w14:textId="77777777" w:rsidR="002F6811" w:rsidRPr="008912CF" w:rsidRDefault="00615769" w:rsidP="002F6811">
      <w:pPr>
        <w:jc w:val="both"/>
        <w:rPr>
          <w:sz w:val="22"/>
          <w:szCs w:val="22"/>
          <w:u w:val="single"/>
        </w:rPr>
      </w:pPr>
      <w:r w:rsidRPr="008912CF">
        <w:rPr>
          <w:i/>
          <w:sz w:val="22"/>
          <w:szCs w:val="22"/>
          <w:u w:val="single"/>
        </w:rPr>
        <w:t>Qualidade de vida</w:t>
      </w:r>
    </w:p>
    <w:p w14:paraId="2725481C" w14:textId="77777777" w:rsidR="002F6811" w:rsidRDefault="002F6811" w:rsidP="002F6811"/>
    <w:p w14:paraId="5C4C3489" w14:textId="77777777" w:rsidR="002F6811" w:rsidRDefault="00615769" w:rsidP="002F6811">
      <w:pPr>
        <w:rPr>
          <w:sz w:val="22"/>
          <w:szCs w:val="22"/>
        </w:rPr>
      </w:pPr>
      <w:r w:rsidRPr="003A1E9A">
        <w:rPr>
          <w:sz w:val="22"/>
          <w:szCs w:val="22"/>
        </w:rPr>
        <w:t xml:space="preserve">Os resultados reportados pelos doentes relativamente aos aspetos relacionados com o funcionamento da visão foram </w:t>
      </w:r>
      <w:r>
        <w:rPr>
          <w:sz w:val="22"/>
          <w:szCs w:val="22"/>
        </w:rPr>
        <w:t>avaliados em ambos os estudos clínicos</w:t>
      </w:r>
      <w:r w:rsidRPr="003A1E9A">
        <w:rPr>
          <w:sz w:val="22"/>
          <w:szCs w:val="22"/>
        </w:rPr>
        <w:t xml:space="preserve">, </w:t>
      </w:r>
      <w:r>
        <w:rPr>
          <w:sz w:val="22"/>
          <w:szCs w:val="22"/>
        </w:rPr>
        <w:t xml:space="preserve">usando a </w:t>
      </w:r>
      <w:r w:rsidRPr="003A1E9A">
        <w:rPr>
          <w:sz w:val="22"/>
          <w:szCs w:val="22"/>
        </w:rPr>
        <w:t xml:space="preserve">NEI VFQ-25. </w:t>
      </w:r>
      <w:r w:rsidRPr="00366F92">
        <w:rPr>
          <w:sz w:val="22"/>
          <w:szCs w:val="22"/>
        </w:rPr>
        <w:t>Humira foi numericamente favorável para a maioria das subpontuações com uma m</w:t>
      </w:r>
      <w:r>
        <w:rPr>
          <w:sz w:val="22"/>
          <w:szCs w:val="22"/>
        </w:rPr>
        <w:t xml:space="preserve">édia </w:t>
      </w:r>
      <w:r w:rsidRPr="00366F92">
        <w:rPr>
          <w:sz w:val="22"/>
          <w:szCs w:val="22"/>
        </w:rPr>
        <w:t>de diferenças estatisticamente significativas para a vis</w:t>
      </w:r>
      <w:r>
        <w:rPr>
          <w:sz w:val="22"/>
          <w:szCs w:val="22"/>
        </w:rPr>
        <w:t>ão em geral, dor ocular</w:t>
      </w:r>
      <w:r w:rsidRPr="00366F92">
        <w:rPr>
          <w:sz w:val="22"/>
          <w:szCs w:val="22"/>
        </w:rPr>
        <w:t>,</w:t>
      </w:r>
      <w:r>
        <w:rPr>
          <w:sz w:val="22"/>
          <w:szCs w:val="22"/>
        </w:rPr>
        <w:t xml:space="preserve"> visão de perto, saúde mental, e pontuação total no Estudo</w:t>
      </w:r>
      <w:r w:rsidRPr="00366F92">
        <w:rPr>
          <w:sz w:val="22"/>
          <w:szCs w:val="22"/>
        </w:rPr>
        <w:t xml:space="preserve"> UV I, </w:t>
      </w:r>
      <w:r>
        <w:rPr>
          <w:sz w:val="22"/>
          <w:szCs w:val="22"/>
        </w:rPr>
        <w:t>e para a visão geral e saúde mental no Estudo</w:t>
      </w:r>
      <w:r w:rsidRPr="00366F92">
        <w:rPr>
          <w:sz w:val="22"/>
          <w:szCs w:val="22"/>
        </w:rPr>
        <w:t xml:space="preserve"> UV II. </w:t>
      </w:r>
      <w:r w:rsidRPr="00A66374">
        <w:rPr>
          <w:sz w:val="22"/>
          <w:szCs w:val="22"/>
        </w:rPr>
        <w:t>Os efeitos relacionados com a visão não foram numericamente favoráveis a Humira na vis</w:t>
      </w:r>
      <w:r>
        <w:rPr>
          <w:sz w:val="22"/>
          <w:szCs w:val="22"/>
        </w:rPr>
        <w:t xml:space="preserve">ão colorida no Estudo </w:t>
      </w:r>
      <w:r w:rsidRPr="00A66374">
        <w:rPr>
          <w:sz w:val="22"/>
          <w:szCs w:val="22"/>
        </w:rPr>
        <w:t>UV</w:t>
      </w:r>
      <w:r>
        <w:rPr>
          <w:sz w:val="22"/>
          <w:szCs w:val="22"/>
        </w:rPr>
        <w:t xml:space="preserve"> </w:t>
      </w:r>
      <w:r w:rsidRPr="00A66374">
        <w:rPr>
          <w:sz w:val="22"/>
          <w:szCs w:val="22"/>
        </w:rPr>
        <w:t xml:space="preserve">I </w:t>
      </w:r>
      <w:r>
        <w:rPr>
          <w:sz w:val="22"/>
          <w:szCs w:val="22"/>
        </w:rPr>
        <w:t xml:space="preserve">e na visão colorida, visão periférica e visão de perto no Estudo </w:t>
      </w:r>
      <w:r w:rsidRPr="00A66374">
        <w:rPr>
          <w:sz w:val="22"/>
          <w:szCs w:val="22"/>
        </w:rPr>
        <w:t>UV II.</w:t>
      </w:r>
    </w:p>
    <w:p w14:paraId="728847DB" w14:textId="77777777" w:rsidR="002F6811" w:rsidRPr="008912CF" w:rsidRDefault="002F6811" w:rsidP="002F6811"/>
    <w:p w14:paraId="71397F76" w14:textId="77777777" w:rsidR="002F6811" w:rsidRPr="008912CF" w:rsidRDefault="00615769" w:rsidP="002F6811">
      <w:pPr>
        <w:pStyle w:val="Heading9"/>
        <w:keepNext w:val="0"/>
        <w:autoSpaceDE w:val="0"/>
        <w:autoSpaceDN w:val="0"/>
        <w:adjustRightInd w:val="0"/>
        <w:rPr>
          <w:szCs w:val="22"/>
        </w:rPr>
      </w:pPr>
      <w:r w:rsidRPr="008912CF">
        <w:rPr>
          <w:szCs w:val="22"/>
        </w:rPr>
        <w:t>Imunogenicidade</w:t>
      </w:r>
    </w:p>
    <w:p w14:paraId="45DBC914" w14:textId="77777777" w:rsidR="002F6811" w:rsidRPr="008912CF" w:rsidRDefault="002F6811" w:rsidP="002F6811">
      <w:pPr>
        <w:autoSpaceDE w:val="0"/>
        <w:autoSpaceDN w:val="0"/>
        <w:adjustRightInd w:val="0"/>
        <w:rPr>
          <w:sz w:val="22"/>
          <w:szCs w:val="22"/>
          <w:u w:val="single"/>
        </w:rPr>
      </w:pPr>
    </w:p>
    <w:p w14:paraId="1BBDDDCF" w14:textId="77777777" w:rsidR="002F6811" w:rsidRPr="008912CF" w:rsidRDefault="00615769" w:rsidP="002F6811">
      <w:pPr>
        <w:autoSpaceDE w:val="0"/>
        <w:autoSpaceDN w:val="0"/>
        <w:adjustRightInd w:val="0"/>
        <w:rPr>
          <w:sz w:val="22"/>
          <w:szCs w:val="22"/>
        </w:rPr>
      </w:pPr>
      <w:r w:rsidRPr="008912CF">
        <w:rPr>
          <w:sz w:val="22"/>
          <w:szCs w:val="22"/>
        </w:rPr>
        <w:t>A formação de anticorpos anti</w:t>
      </w:r>
      <w:r w:rsidR="00840424">
        <w:rPr>
          <w:sz w:val="22"/>
          <w:szCs w:val="22"/>
        </w:rPr>
        <w:t>-</w:t>
      </w:r>
      <w:r w:rsidRPr="008912CF">
        <w:rPr>
          <w:sz w:val="22"/>
          <w:szCs w:val="22"/>
        </w:rPr>
        <w:t>adalimumab está associada a depuração aumentada e eficácia reduzida de adalimumab. Não há aparente correlação entre a presença de anticorpos anti</w:t>
      </w:r>
      <w:r w:rsidR="00840424">
        <w:rPr>
          <w:sz w:val="22"/>
          <w:szCs w:val="22"/>
        </w:rPr>
        <w:t>-</w:t>
      </w:r>
      <w:r w:rsidRPr="008912CF">
        <w:rPr>
          <w:sz w:val="22"/>
          <w:szCs w:val="22"/>
        </w:rPr>
        <w:t>adalimumab e a ocorrência de acontecimentos adversos.</w:t>
      </w:r>
    </w:p>
    <w:p w14:paraId="5DF303FF" w14:textId="77777777" w:rsidR="002F6811" w:rsidRPr="008912CF" w:rsidRDefault="002F6811" w:rsidP="002F6811">
      <w:pPr>
        <w:pStyle w:val="EndnoteText"/>
        <w:tabs>
          <w:tab w:val="clear" w:pos="567"/>
        </w:tabs>
        <w:autoSpaceDE w:val="0"/>
        <w:autoSpaceDN w:val="0"/>
        <w:adjustRightInd w:val="0"/>
        <w:rPr>
          <w:szCs w:val="22"/>
        </w:rPr>
      </w:pPr>
    </w:p>
    <w:p w14:paraId="4EED3783" w14:textId="77777777" w:rsidR="002F6811" w:rsidRPr="008912CF" w:rsidRDefault="00615769" w:rsidP="002F6811">
      <w:pPr>
        <w:pStyle w:val="Heading3"/>
        <w:keepNext w:val="0"/>
        <w:keepLines w:val="0"/>
        <w:tabs>
          <w:tab w:val="clear" w:pos="567"/>
        </w:tabs>
        <w:spacing w:before="0" w:after="0" w:line="240" w:lineRule="auto"/>
        <w:rPr>
          <w:b w:val="0"/>
          <w:bCs/>
          <w:kern w:val="0"/>
          <w:sz w:val="22"/>
          <w:szCs w:val="22"/>
          <w:lang w:val="pt-PT"/>
        </w:rPr>
      </w:pPr>
      <w:r w:rsidRPr="008912CF">
        <w:rPr>
          <w:b w:val="0"/>
          <w:bCs/>
          <w:kern w:val="0"/>
          <w:sz w:val="22"/>
          <w:szCs w:val="22"/>
          <w:lang w:val="pt-PT"/>
        </w:rPr>
        <w:t>Nos doentes com artrite idiopática juvenil poliarticular com idades compreendidas entre os 4 e os 17</w:t>
      </w:r>
      <w:r>
        <w:rPr>
          <w:b w:val="0"/>
          <w:bCs/>
          <w:kern w:val="0"/>
          <w:sz w:val="22"/>
          <w:szCs w:val="22"/>
          <w:lang w:val="pt-PT"/>
        </w:rPr>
        <w:t> </w:t>
      </w:r>
      <w:r w:rsidRPr="008912CF">
        <w:rPr>
          <w:b w:val="0"/>
          <w:bCs/>
          <w:kern w:val="0"/>
          <w:sz w:val="22"/>
          <w:szCs w:val="22"/>
          <w:lang w:val="pt-PT"/>
        </w:rPr>
        <w:t>anos foram identificados anticorpos anti</w:t>
      </w:r>
      <w:r w:rsidR="00840424">
        <w:rPr>
          <w:b w:val="0"/>
          <w:bCs/>
          <w:kern w:val="0"/>
          <w:sz w:val="22"/>
          <w:szCs w:val="22"/>
          <w:lang w:val="pt-PT"/>
        </w:rPr>
        <w:t>-</w:t>
      </w:r>
      <w:r w:rsidRPr="008912CF">
        <w:rPr>
          <w:b w:val="0"/>
          <w:bCs/>
          <w:kern w:val="0"/>
          <w:sz w:val="22"/>
          <w:szCs w:val="22"/>
          <w:lang w:val="pt-PT"/>
        </w:rPr>
        <w:t>adalimumab em 15,8</w:t>
      </w:r>
      <w:r w:rsidR="009343EF">
        <w:rPr>
          <w:b w:val="0"/>
          <w:bCs/>
          <w:kern w:val="0"/>
          <w:sz w:val="22"/>
          <w:szCs w:val="22"/>
          <w:lang w:val="pt-PT"/>
        </w:rPr>
        <w:t>%</w:t>
      </w:r>
      <w:r w:rsidRPr="008912CF">
        <w:rPr>
          <w:b w:val="0"/>
          <w:bCs/>
          <w:kern w:val="0"/>
          <w:sz w:val="22"/>
          <w:szCs w:val="22"/>
          <w:lang w:val="pt-PT"/>
        </w:rPr>
        <w:t xml:space="preserve"> (27/171) dos doentes tratados com adalimumab. Nos doentes que não receberam metotrexato concomitante, a incidência foi de 25,6</w:t>
      </w:r>
      <w:r w:rsidR="009343EF">
        <w:rPr>
          <w:b w:val="0"/>
          <w:bCs/>
          <w:kern w:val="0"/>
          <w:sz w:val="22"/>
          <w:szCs w:val="22"/>
          <w:lang w:val="pt-PT"/>
        </w:rPr>
        <w:t>%</w:t>
      </w:r>
      <w:r w:rsidRPr="008912CF">
        <w:rPr>
          <w:b w:val="0"/>
          <w:bCs/>
          <w:kern w:val="0"/>
          <w:sz w:val="22"/>
          <w:szCs w:val="22"/>
          <w:lang w:val="pt-PT"/>
        </w:rPr>
        <w:t xml:space="preserve"> (22/86)</w:t>
      </w:r>
      <w:r w:rsidR="00C9386F">
        <w:rPr>
          <w:b w:val="0"/>
          <w:bCs/>
          <w:kern w:val="0"/>
          <w:sz w:val="22"/>
          <w:szCs w:val="22"/>
          <w:lang w:val="pt-PT"/>
        </w:rPr>
        <w:t>,</w:t>
      </w:r>
      <w:r w:rsidRPr="008912CF">
        <w:rPr>
          <w:b w:val="0"/>
          <w:bCs/>
          <w:kern w:val="0"/>
          <w:sz w:val="22"/>
          <w:szCs w:val="22"/>
          <w:lang w:val="pt-PT"/>
        </w:rPr>
        <w:t xml:space="preserve"> comparativamente a 5,9</w:t>
      </w:r>
      <w:r w:rsidR="009343EF">
        <w:rPr>
          <w:b w:val="0"/>
          <w:bCs/>
          <w:kern w:val="0"/>
          <w:sz w:val="22"/>
          <w:szCs w:val="22"/>
          <w:lang w:val="pt-PT"/>
        </w:rPr>
        <w:t>%</w:t>
      </w:r>
      <w:r w:rsidRPr="008912CF">
        <w:rPr>
          <w:b w:val="0"/>
          <w:bCs/>
          <w:kern w:val="0"/>
          <w:sz w:val="22"/>
          <w:szCs w:val="22"/>
          <w:lang w:val="pt-PT"/>
        </w:rPr>
        <w:t xml:space="preserve"> (5/85)</w:t>
      </w:r>
      <w:r>
        <w:rPr>
          <w:b w:val="0"/>
          <w:bCs/>
          <w:kern w:val="0"/>
          <w:sz w:val="22"/>
          <w:szCs w:val="22"/>
          <w:lang w:val="pt-PT"/>
        </w:rPr>
        <w:t xml:space="preserve"> </w:t>
      </w:r>
      <w:r w:rsidRPr="008912CF">
        <w:rPr>
          <w:b w:val="0"/>
          <w:bCs/>
          <w:kern w:val="0"/>
          <w:sz w:val="22"/>
          <w:szCs w:val="22"/>
          <w:lang w:val="pt-PT"/>
        </w:rPr>
        <w:t>quando adalimumab foi utilizado como terapêutica adjuvante a metotrexato.</w:t>
      </w:r>
      <w:r w:rsidR="004A2528">
        <w:rPr>
          <w:b w:val="0"/>
          <w:bCs/>
          <w:kern w:val="0"/>
          <w:sz w:val="22"/>
          <w:szCs w:val="22"/>
          <w:lang w:val="pt-PT"/>
        </w:rPr>
        <w:t xml:space="preserve"> </w:t>
      </w:r>
      <w:r w:rsidR="004A2528" w:rsidRPr="008912CF">
        <w:rPr>
          <w:b w:val="0"/>
          <w:bCs/>
          <w:kern w:val="0"/>
          <w:sz w:val="22"/>
          <w:szCs w:val="22"/>
          <w:lang w:val="pt-PT"/>
        </w:rPr>
        <w:t xml:space="preserve">Nos doentes com artrite idiopática juvenil poliarticular com idades compreendidas entre </w:t>
      </w:r>
      <w:r w:rsidR="004A2528">
        <w:rPr>
          <w:b w:val="0"/>
          <w:bCs/>
          <w:kern w:val="0"/>
          <w:sz w:val="22"/>
          <w:szCs w:val="22"/>
          <w:lang w:val="pt-PT"/>
        </w:rPr>
        <w:t>2</w:t>
      </w:r>
      <w:r w:rsidR="004A2528" w:rsidRPr="008912CF">
        <w:rPr>
          <w:b w:val="0"/>
          <w:bCs/>
          <w:kern w:val="0"/>
          <w:sz w:val="22"/>
          <w:szCs w:val="22"/>
          <w:lang w:val="pt-PT"/>
        </w:rPr>
        <w:t xml:space="preserve"> e </w:t>
      </w:r>
      <w:r w:rsidR="00267C89">
        <w:rPr>
          <w:b w:val="0"/>
          <w:bCs/>
          <w:kern w:val="0"/>
          <w:sz w:val="22"/>
          <w:szCs w:val="22"/>
          <w:lang w:val="pt-PT"/>
        </w:rPr>
        <w:t>&lt;</w:t>
      </w:r>
      <w:r w:rsidR="004A2528" w:rsidRPr="008912CF">
        <w:rPr>
          <w:b w:val="0"/>
          <w:bCs/>
          <w:kern w:val="0"/>
          <w:sz w:val="22"/>
          <w:szCs w:val="22"/>
          <w:lang w:val="pt-PT"/>
        </w:rPr>
        <w:t xml:space="preserve"> </w:t>
      </w:r>
      <w:r w:rsidR="004A2528">
        <w:rPr>
          <w:b w:val="0"/>
          <w:bCs/>
          <w:kern w:val="0"/>
          <w:sz w:val="22"/>
          <w:szCs w:val="22"/>
          <w:lang w:val="pt-PT"/>
        </w:rPr>
        <w:t>4 </w:t>
      </w:r>
      <w:r w:rsidR="004A2528" w:rsidRPr="008912CF">
        <w:rPr>
          <w:b w:val="0"/>
          <w:bCs/>
          <w:kern w:val="0"/>
          <w:sz w:val="22"/>
          <w:szCs w:val="22"/>
          <w:lang w:val="pt-PT"/>
        </w:rPr>
        <w:t>anos</w:t>
      </w:r>
      <w:r w:rsidR="004A2528">
        <w:rPr>
          <w:b w:val="0"/>
          <w:bCs/>
          <w:kern w:val="0"/>
          <w:sz w:val="22"/>
          <w:szCs w:val="22"/>
          <w:lang w:val="pt-PT"/>
        </w:rPr>
        <w:t xml:space="preserve"> de idade</w:t>
      </w:r>
      <w:r w:rsidR="004A2528" w:rsidRPr="008912CF">
        <w:rPr>
          <w:b w:val="0"/>
          <w:bCs/>
          <w:kern w:val="0"/>
          <w:sz w:val="22"/>
          <w:szCs w:val="22"/>
          <w:lang w:val="pt-PT"/>
        </w:rPr>
        <w:t>,</w:t>
      </w:r>
      <w:r w:rsidR="004A2528">
        <w:rPr>
          <w:b w:val="0"/>
          <w:bCs/>
          <w:kern w:val="0"/>
          <w:sz w:val="22"/>
          <w:szCs w:val="22"/>
          <w:lang w:val="pt-PT"/>
        </w:rPr>
        <w:t xml:space="preserve"> </w:t>
      </w:r>
      <w:r w:rsidR="00267C89">
        <w:rPr>
          <w:b w:val="0"/>
          <w:bCs/>
          <w:kern w:val="0"/>
          <w:sz w:val="22"/>
          <w:szCs w:val="22"/>
          <w:lang w:val="pt-PT"/>
        </w:rPr>
        <w:t xml:space="preserve">ou idade igual ou superior a 4 anos, </w:t>
      </w:r>
      <w:r w:rsidR="008622FE">
        <w:rPr>
          <w:b w:val="0"/>
          <w:bCs/>
          <w:kern w:val="0"/>
          <w:sz w:val="22"/>
          <w:szCs w:val="22"/>
          <w:lang w:val="pt-PT"/>
        </w:rPr>
        <w:t xml:space="preserve">com </w:t>
      </w:r>
      <w:r w:rsidR="00267C89">
        <w:rPr>
          <w:b w:val="0"/>
          <w:bCs/>
          <w:kern w:val="0"/>
          <w:sz w:val="22"/>
          <w:szCs w:val="22"/>
          <w:lang w:val="pt-PT"/>
        </w:rPr>
        <w:t>pes</w:t>
      </w:r>
      <w:r w:rsidR="008622FE">
        <w:rPr>
          <w:b w:val="0"/>
          <w:bCs/>
          <w:kern w:val="0"/>
          <w:sz w:val="22"/>
          <w:szCs w:val="22"/>
          <w:lang w:val="pt-PT"/>
        </w:rPr>
        <w:t>o</w:t>
      </w:r>
      <w:r w:rsidR="00267C89">
        <w:rPr>
          <w:b w:val="0"/>
          <w:bCs/>
          <w:kern w:val="0"/>
          <w:sz w:val="22"/>
          <w:szCs w:val="22"/>
          <w:lang w:val="pt-PT"/>
        </w:rPr>
        <w:t xml:space="preserve"> &lt; 15 kg, </w:t>
      </w:r>
      <w:r w:rsidR="00267C89" w:rsidRPr="00F03C54">
        <w:rPr>
          <w:b w:val="0"/>
          <w:bCs/>
          <w:kern w:val="0"/>
          <w:sz w:val="22"/>
          <w:szCs w:val="22"/>
          <w:lang w:val="pt-PT"/>
        </w:rPr>
        <w:t>foram identificados anticorpos anti</w:t>
      </w:r>
      <w:r w:rsidR="00840424">
        <w:rPr>
          <w:b w:val="0"/>
          <w:bCs/>
          <w:kern w:val="0"/>
          <w:sz w:val="22"/>
          <w:szCs w:val="22"/>
          <w:lang w:val="pt-PT"/>
        </w:rPr>
        <w:t>-</w:t>
      </w:r>
      <w:r w:rsidR="00267C89" w:rsidRPr="00F03C54">
        <w:rPr>
          <w:b w:val="0"/>
          <w:bCs/>
          <w:kern w:val="0"/>
          <w:sz w:val="22"/>
          <w:szCs w:val="22"/>
          <w:lang w:val="pt-PT"/>
        </w:rPr>
        <w:t>adalimumab em</w:t>
      </w:r>
      <w:r w:rsidR="00267C89">
        <w:rPr>
          <w:b w:val="0"/>
          <w:bCs/>
          <w:kern w:val="0"/>
          <w:sz w:val="22"/>
          <w:szCs w:val="22"/>
          <w:lang w:val="pt-PT"/>
        </w:rPr>
        <w:t xml:space="preserve"> 7% (1/15) dos doentes, </w:t>
      </w:r>
      <w:r w:rsidR="00C9386F">
        <w:rPr>
          <w:b w:val="0"/>
          <w:bCs/>
          <w:kern w:val="0"/>
          <w:sz w:val="22"/>
          <w:szCs w:val="22"/>
          <w:lang w:val="pt-PT"/>
        </w:rPr>
        <w:t>o qual</w:t>
      </w:r>
      <w:r w:rsidR="00267C89">
        <w:rPr>
          <w:b w:val="0"/>
          <w:bCs/>
          <w:kern w:val="0"/>
          <w:sz w:val="22"/>
          <w:szCs w:val="22"/>
          <w:lang w:val="pt-PT"/>
        </w:rPr>
        <w:t xml:space="preserve"> estava a receber terapêutica concomitante com metotrexato.</w:t>
      </w:r>
    </w:p>
    <w:p w14:paraId="7D776950" w14:textId="77777777" w:rsidR="002F6811" w:rsidRPr="008912CF" w:rsidRDefault="002F6811" w:rsidP="002F6811">
      <w:pPr>
        <w:rPr>
          <w:sz w:val="22"/>
          <w:szCs w:val="22"/>
        </w:rPr>
      </w:pPr>
    </w:p>
    <w:p w14:paraId="69102243" w14:textId="77777777" w:rsidR="002F6811" w:rsidRPr="008912CF" w:rsidRDefault="00615769" w:rsidP="002F6811">
      <w:pPr>
        <w:rPr>
          <w:bCs/>
          <w:sz w:val="22"/>
          <w:szCs w:val="22"/>
        </w:rPr>
      </w:pPr>
      <w:r w:rsidRPr="008912CF">
        <w:rPr>
          <w:sz w:val="22"/>
          <w:szCs w:val="22"/>
        </w:rPr>
        <w:t>Em doentes com artrite relacionada com entesite foram identificados anticorpos anti</w:t>
      </w:r>
      <w:r w:rsidR="00840424">
        <w:rPr>
          <w:sz w:val="22"/>
          <w:szCs w:val="22"/>
        </w:rPr>
        <w:t>-</w:t>
      </w:r>
      <w:r w:rsidRPr="008912CF">
        <w:rPr>
          <w:sz w:val="22"/>
          <w:szCs w:val="22"/>
        </w:rPr>
        <w:t>adalimumab em 10</w:t>
      </w:r>
      <w:r w:rsidR="009343EF">
        <w:rPr>
          <w:sz w:val="22"/>
          <w:szCs w:val="22"/>
        </w:rPr>
        <w:t>,</w:t>
      </w:r>
      <w:r w:rsidRPr="008912CF">
        <w:rPr>
          <w:sz w:val="22"/>
          <w:szCs w:val="22"/>
        </w:rPr>
        <w:t xml:space="preserve">9% (5/46) dos doentes tratados com </w:t>
      </w:r>
      <w:r w:rsidRPr="008912CF">
        <w:rPr>
          <w:bCs/>
          <w:sz w:val="22"/>
          <w:szCs w:val="22"/>
        </w:rPr>
        <w:t>adalimumab. Nos doentes que não receberam metotrexato concomitante a incidência foi de 13</w:t>
      </w:r>
      <w:r w:rsidR="009343EF">
        <w:rPr>
          <w:bCs/>
          <w:sz w:val="22"/>
          <w:szCs w:val="22"/>
        </w:rPr>
        <w:t>,</w:t>
      </w:r>
      <w:r w:rsidRPr="008912CF">
        <w:rPr>
          <w:bCs/>
          <w:sz w:val="22"/>
          <w:szCs w:val="22"/>
        </w:rPr>
        <w:t>6% (3/22)</w:t>
      </w:r>
      <w:r w:rsidR="00FB6C29">
        <w:rPr>
          <w:bCs/>
          <w:sz w:val="22"/>
          <w:szCs w:val="22"/>
        </w:rPr>
        <w:t>, comparativamente a 8,3% (2/24)</w:t>
      </w:r>
      <w:r w:rsidRPr="008912CF">
        <w:rPr>
          <w:bCs/>
          <w:sz w:val="22"/>
          <w:szCs w:val="22"/>
        </w:rPr>
        <w:t xml:space="preserve"> quando adalimumab foi utilizado como terapêutica concomitante a metotrexato.</w:t>
      </w:r>
    </w:p>
    <w:p w14:paraId="2AFF5C74" w14:textId="77777777" w:rsidR="002F6811" w:rsidRPr="008912CF" w:rsidRDefault="002F6811" w:rsidP="002F6811">
      <w:pPr>
        <w:rPr>
          <w:sz w:val="22"/>
          <w:szCs w:val="22"/>
        </w:rPr>
      </w:pPr>
    </w:p>
    <w:p w14:paraId="218A8823" w14:textId="77777777" w:rsidR="002F6811" w:rsidRPr="008912CF" w:rsidRDefault="00615769" w:rsidP="002F6811">
      <w:pPr>
        <w:rPr>
          <w:sz w:val="22"/>
          <w:szCs w:val="22"/>
        </w:rPr>
      </w:pPr>
      <w:r w:rsidRPr="008912CF">
        <w:rPr>
          <w:sz w:val="22"/>
          <w:szCs w:val="22"/>
        </w:rPr>
        <w:t>Os doentes nos estudos de artrite reumatoide I, II e III foram analisados em múltiplos pontos temporais para pesquisa de anticorpos anti</w:t>
      </w:r>
      <w:r w:rsidR="00840424">
        <w:rPr>
          <w:sz w:val="22"/>
          <w:szCs w:val="22"/>
        </w:rPr>
        <w:t>-</w:t>
      </w:r>
      <w:r w:rsidRPr="008912CF">
        <w:rPr>
          <w:sz w:val="22"/>
          <w:szCs w:val="22"/>
        </w:rPr>
        <w:t>adalimumab durante o período de 6 a 12</w:t>
      </w:r>
      <w:r>
        <w:rPr>
          <w:sz w:val="22"/>
          <w:szCs w:val="22"/>
        </w:rPr>
        <w:t> </w:t>
      </w:r>
      <w:r w:rsidRPr="008912CF">
        <w:rPr>
          <w:sz w:val="22"/>
          <w:szCs w:val="22"/>
        </w:rPr>
        <w:t>meses. Nos ensaios centrais, foram identificados anticorpos anti</w:t>
      </w:r>
      <w:r w:rsidR="00840424">
        <w:rPr>
          <w:sz w:val="22"/>
          <w:szCs w:val="22"/>
        </w:rPr>
        <w:t>-</w:t>
      </w:r>
      <w:r w:rsidRPr="008912CF">
        <w:rPr>
          <w:sz w:val="22"/>
          <w:szCs w:val="22"/>
        </w:rPr>
        <w:t>adalimumab em 5,5</w:t>
      </w:r>
      <w:r w:rsidR="009343EF">
        <w:rPr>
          <w:sz w:val="22"/>
          <w:szCs w:val="22"/>
        </w:rPr>
        <w:t>%</w:t>
      </w:r>
      <w:r w:rsidRPr="008912CF">
        <w:rPr>
          <w:sz w:val="22"/>
          <w:szCs w:val="22"/>
        </w:rPr>
        <w:t xml:space="preserve"> (58/1053) dos doentes tratados com adalimumab comparativamente a</w:t>
      </w:r>
      <w:r w:rsidRPr="008912CF">
        <w:rPr>
          <w:i/>
          <w:iCs/>
          <w:sz w:val="22"/>
          <w:szCs w:val="22"/>
        </w:rPr>
        <w:t xml:space="preserve"> </w:t>
      </w:r>
      <w:r w:rsidRPr="008912CF">
        <w:rPr>
          <w:iCs/>
          <w:sz w:val="22"/>
          <w:szCs w:val="22"/>
        </w:rPr>
        <w:t>0,5</w:t>
      </w:r>
      <w:r w:rsidR="009343EF">
        <w:rPr>
          <w:iCs/>
          <w:sz w:val="22"/>
          <w:szCs w:val="22"/>
        </w:rPr>
        <w:t>%</w:t>
      </w:r>
      <w:r w:rsidRPr="008912CF">
        <w:rPr>
          <w:iCs/>
          <w:sz w:val="22"/>
          <w:szCs w:val="22"/>
        </w:rPr>
        <w:t xml:space="preserve"> (</w:t>
      </w:r>
      <w:r w:rsidRPr="008912CF">
        <w:rPr>
          <w:sz w:val="22"/>
          <w:szCs w:val="22"/>
        </w:rPr>
        <w:t>2/370) com placebo. Nos doentes não submetidos a um tratamento concomitante com metotrexato, a incidência foi de 12,4</w:t>
      </w:r>
      <w:r w:rsidR="009343EF">
        <w:rPr>
          <w:sz w:val="22"/>
          <w:szCs w:val="22"/>
        </w:rPr>
        <w:t>%</w:t>
      </w:r>
      <w:r w:rsidRPr="008912CF">
        <w:rPr>
          <w:sz w:val="22"/>
          <w:szCs w:val="22"/>
        </w:rPr>
        <w:t>, comparativamente a 0,6</w:t>
      </w:r>
      <w:r w:rsidR="009343EF">
        <w:rPr>
          <w:sz w:val="22"/>
          <w:szCs w:val="22"/>
        </w:rPr>
        <w:t>%</w:t>
      </w:r>
      <w:r w:rsidRPr="008912CF">
        <w:rPr>
          <w:sz w:val="22"/>
          <w:szCs w:val="22"/>
        </w:rPr>
        <w:t xml:space="preserve"> quando adalimumab foi utilizado como terapêutica adjuvante a metotrexato.</w:t>
      </w:r>
    </w:p>
    <w:p w14:paraId="5A9570D1" w14:textId="77777777" w:rsidR="002F6811" w:rsidRPr="008912CF" w:rsidRDefault="002F6811" w:rsidP="002F6811">
      <w:pPr>
        <w:rPr>
          <w:sz w:val="22"/>
          <w:szCs w:val="22"/>
        </w:rPr>
      </w:pPr>
    </w:p>
    <w:p w14:paraId="3215F46B" w14:textId="77777777" w:rsidR="002F6811" w:rsidRPr="008912CF" w:rsidRDefault="00615769" w:rsidP="002F6811">
      <w:pPr>
        <w:rPr>
          <w:sz w:val="22"/>
          <w:szCs w:val="22"/>
        </w:rPr>
      </w:pPr>
      <w:r w:rsidRPr="008912CF">
        <w:rPr>
          <w:sz w:val="22"/>
          <w:szCs w:val="22"/>
        </w:rPr>
        <w:t>Em doentes com psoríase pediátrica foram identificados anticorpos anti</w:t>
      </w:r>
      <w:r w:rsidR="00840424">
        <w:rPr>
          <w:sz w:val="22"/>
          <w:szCs w:val="22"/>
        </w:rPr>
        <w:t>-</w:t>
      </w:r>
      <w:r w:rsidRPr="008912CF">
        <w:rPr>
          <w:sz w:val="22"/>
          <w:szCs w:val="22"/>
        </w:rPr>
        <w:t>adalimumab em 5/38 doentes</w:t>
      </w:r>
      <w:r w:rsidR="00840424">
        <w:rPr>
          <w:sz w:val="22"/>
          <w:szCs w:val="22"/>
        </w:rPr>
        <w:t xml:space="preserve"> (13%)</w:t>
      </w:r>
      <w:r w:rsidRPr="008912CF">
        <w:rPr>
          <w:sz w:val="22"/>
          <w:szCs w:val="22"/>
        </w:rPr>
        <w:t xml:space="preserve"> tratados com </w:t>
      </w:r>
      <w:r w:rsidRPr="008912CF">
        <w:rPr>
          <w:bCs/>
          <w:sz w:val="22"/>
          <w:szCs w:val="22"/>
        </w:rPr>
        <w:t>adalimumab 0,8 mg/kg em monoterapia.</w:t>
      </w:r>
    </w:p>
    <w:p w14:paraId="0F4E7554" w14:textId="77777777" w:rsidR="002F6811" w:rsidRPr="008912CF" w:rsidRDefault="002F6811" w:rsidP="002F6811">
      <w:pPr>
        <w:rPr>
          <w:sz w:val="22"/>
          <w:szCs w:val="22"/>
        </w:rPr>
      </w:pPr>
    </w:p>
    <w:p w14:paraId="4FF7E3CB" w14:textId="77777777" w:rsidR="002F6811" w:rsidRPr="008912CF" w:rsidRDefault="00615769" w:rsidP="002F6811">
      <w:pPr>
        <w:rPr>
          <w:sz w:val="22"/>
          <w:szCs w:val="22"/>
        </w:rPr>
      </w:pPr>
      <w:r w:rsidRPr="008912CF">
        <w:rPr>
          <w:sz w:val="22"/>
          <w:szCs w:val="22"/>
        </w:rPr>
        <w:t>Em doentes adultos com psoríase, tratados com adalimumab em monoterapia, foram identificados anticorpos anti</w:t>
      </w:r>
      <w:r w:rsidR="00840424">
        <w:rPr>
          <w:sz w:val="22"/>
          <w:szCs w:val="22"/>
        </w:rPr>
        <w:t>-</w:t>
      </w:r>
      <w:r w:rsidRPr="008912CF">
        <w:rPr>
          <w:sz w:val="22"/>
          <w:szCs w:val="22"/>
        </w:rPr>
        <w:t>adalimumab em 77/920 doentes (8,4</w:t>
      </w:r>
      <w:r w:rsidR="009343EF">
        <w:rPr>
          <w:sz w:val="22"/>
          <w:szCs w:val="22"/>
        </w:rPr>
        <w:t>%</w:t>
      </w:r>
      <w:r w:rsidRPr="008912CF">
        <w:rPr>
          <w:sz w:val="22"/>
          <w:szCs w:val="22"/>
        </w:rPr>
        <w:t>).</w:t>
      </w:r>
    </w:p>
    <w:p w14:paraId="73EAB923" w14:textId="77777777" w:rsidR="002F6811" w:rsidRPr="008912CF" w:rsidRDefault="002F6811" w:rsidP="002F6811">
      <w:pPr>
        <w:rPr>
          <w:sz w:val="22"/>
          <w:szCs w:val="22"/>
        </w:rPr>
      </w:pPr>
    </w:p>
    <w:p w14:paraId="0ECD5E1E" w14:textId="77777777" w:rsidR="00472095" w:rsidRDefault="00615769" w:rsidP="002F6811">
      <w:pPr>
        <w:rPr>
          <w:sz w:val="22"/>
          <w:szCs w:val="22"/>
        </w:rPr>
      </w:pPr>
      <w:r>
        <w:rPr>
          <w:sz w:val="22"/>
          <w:szCs w:val="22"/>
        </w:rPr>
        <w:t xml:space="preserve">Em doentes adultos com psoríase em placas, </w:t>
      </w:r>
      <w:r w:rsidR="00A00389" w:rsidRPr="008912CF">
        <w:rPr>
          <w:sz w:val="22"/>
          <w:szCs w:val="22"/>
        </w:rPr>
        <w:t>tratados com adalimumab em monoterapia</w:t>
      </w:r>
      <w:r w:rsidR="00A00389">
        <w:rPr>
          <w:sz w:val="22"/>
          <w:szCs w:val="22"/>
        </w:rPr>
        <w:t xml:space="preserve"> a longo prazo, que participaram num estudo de </w:t>
      </w:r>
      <w:r w:rsidR="003D7D06">
        <w:rPr>
          <w:sz w:val="22"/>
          <w:szCs w:val="22"/>
        </w:rPr>
        <w:t xml:space="preserve">suspensão </w:t>
      </w:r>
      <w:r w:rsidR="00A00389">
        <w:rPr>
          <w:sz w:val="22"/>
          <w:szCs w:val="22"/>
        </w:rPr>
        <w:t xml:space="preserve">do tratamento e </w:t>
      </w:r>
      <w:r w:rsidR="003D7D06">
        <w:rPr>
          <w:sz w:val="22"/>
          <w:szCs w:val="22"/>
        </w:rPr>
        <w:t>re-</w:t>
      </w:r>
      <w:r w:rsidR="00A00389">
        <w:rPr>
          <w:sz w:val="22"/>
          <w:szCs w:val="22"/>
        </w:rPr>
        <w:t xml:space="preserve">tratamento, a taxa de anticorpos a adalimumab após o </w:t>
      </w:r>
      <w:r w:rsidR="003D7D06">
        <w:rPr>
          <w:sz w:val="22"/>
          <w:szCs w:val="22"/>
        </w:rPr>
        <w:t>re-</w:t>
      </w:r>
      <w:r w:rsidR="00A00389">
        <w:rPr>
          <w:sz w:val="22"/>
          <w:szCs w:val="22"/>
        </w:rPr>
        <w:t xml:space="preserve">tratamento (11 de 482 </w:t>
      </w:r>
      <w:r w:rsidR="00F21025">
        <w:rPr>
          <w:sz w:val="22"/>
          <w:szCs w:val="22"/>
        </w:rPr>
        <w:t>doentes</w:t>
      </w:r>
      <w:r w:rsidR="00A00389">
        <w:rPr>
          <w:sz w:val="22"/>
          <w:szCs w:val="22"/>
        </w:rPr>
        <w:t xml:space="preserve">, 2,3%) foi semelhante à taxa observada antes da </w:t>
      </w:r>
      <w:r w:rsidR="003D7D06">
        <w:rPr>
          <w:sz w:val="22"/>
          <w:szCs w:val="22"/>
        </w:rPr>
        <w:t>suspensão</w:t>
      </w:r>
      <w:r w:rsidR="00A00389">
        <w:rPr>
          <w:sz w:val="22"/>
          <w:szCs w:val="22"/>
        </w:rPr>
        <w:t xml:space="preserve"> (11</w:t>
      </w:r>
      <w:r w:rsidR="009343EF">
        <w:rPr>
          <w:sz w:val="22"/>
          <w:szCs w:val="22"/>
        </w:rPr>
        <w:t xml:space="preserve"> </w:t>
      </w:r>
      <w:r w:rsidR="00A00389">
        <w:rPr>
          <w:sz w:val="22"/>
          <w:szCs w:val="22"/>
        </w:rPr>
        <w:t xml:space="preserve">de 590 </w:t>
      </w:r>
      <w:r w:rsidR="00F21025">
        <w:rPr>
          <w:sz w:val="22"/>
          <w:szCs w:val="22"/>
        </w:rPr>
        <w:t>doentes</w:t>
      </w:r>
      <w:r w:rsidR="00A00389">
        <w:rPr>
          <w:sz w:val="22"/>
          <w:szCs w:val="22"/>
        </w:rPr>
        <w:t>, 1,9%).</w:t>
      </w:r>
    </w:p>
    <w:p w14:paraId="77A055AC" w14:textId="77777777" w:rsidR="00472095" w:rsidRDefault="00472095" w:rsidP="002F6811">
      <w:pPr>
        <w:rPr>
          <w:sz w:val="22"/>
          <w:szCs w:val="22"/>
        </w:rPr>
      </w:pPr>
    </w:p>
    <w:p w14:paraId="5D03B133" w14:textId="77777777" w:rsidR="002F6811" w:rsidRPr="008912CF" w:rsidRDefault="00615769" w:rsidP="002F6811">
      <w:pPr>
        <w:rPr>
          <w:sz w:val="22"/>
          <w:szCs w:val="22"/>
        </w:rPr>
      </w:pPr>
      <w:r w:rsidRPr="008912CF">
        <w:rPr>
          <w:sz w:val="22"/>
          <w:szCs w:val="22"/>
        </w:rPr>
        <w:t>Em doentes com doença de Crohn pediátrica ativa moderada a grave, a taxa de desenvolvimento de anticorpos anti</w:t>
      </w:r>
      <w:r w:rsidR="00840424">
        <w:rPr>
          <w:sz w:val="22"/>
          <w:szCs w:val="22"/>
        </w:rPr>
        <w:t>-</w:t>
      </w:r>
      <w:r w:rsidRPr="008912CF">
        <w:rPr>
          <w:sz w:val="22"/>
          <w:szCs w:val="22"/>
        </w:rPr>
        <w:t>adalimumab em doentes tratados com adalimumab foi de 3,3</w:t>
      </w:r>
      <w:r w:rsidR="009343EF">
        <w:rPr>
          <w:sz w:val="22"/>
          <w:szCs w:val="22"/>
        </w:rPr>
        <w:t>%</w:t>
      </w:r>
      <w:r w:rsidRPr="008912CF">
        <w:rPr>
          <w:sz w:val="22"/>
          <w:szCs w:val="22"/>
        </w:rPr>
        <w:t>.</w:t>
      </w:r>
    </w:p>
    <w:p w14:paraId="71B1EC55" w14:textId="77777777" w:rsidR="002F6811" w:rsidRDefault="00615769" w:rsidP="002F6811">
      <w:pPr>
        <w:rPr>
          <w:sz w:val="22"/>
          <w:szCs w:val="22"/>
        </w:rPr>
      </w:pPr>
      <w:r w:rsidRPr="008912CF">
        <w:rPr>
          <w:sz w:val="22"/>
          <w:szCs w:val="22"/>
        </w:rPr>
        <w:t xml:space="preserve"> </w:t>
      </w:r>
    </w:p>
    <w:p w14:paraId="51C46DEB" w14:textId="77777777" w:rsidR="00DA0040" w:rsidRDefault="00615769" w:rsidP="002F6811">
      <w:pPr>
        <w:rPr>
          <w:sz w:val="22"/>
          <w:szCs w:val="22"/>
        </w:rPr>
      </w:pPr>
      <w:r>
        <w:rPr>
          <w:sz w:val="22"/>
          <w:szCs w:val="22"/>
        </w:rPr>
        <w:t xml:space="preserve">Em doentes </w:t>
      </w:r>
      <w:r w:rsidR="00E644B5">
        <w:rPr>
          <w:sz w:val="22"/>
          <w:szCs w:val="22"/>
        </w:rPr>
        <w:t xml:space="preserve">adultos </w:t>
      </w:r>
      <w:r>
        <w:rPr>
          <w:sz w:val="22"/>
          <w:szCs w:val="22"/>
        </w:rPr>
        <w:t xml:space="preserve">com doença de Crohn foram identificados </w:t>
      </w:r>
      <w:r w:rsidRPr="008912CF">
        <w:rPr>
          <w:sz w:val="22"/>
          <w:szCs w:val="22"/>
        </w:rPr>
        <w:t>anticorpos anti</w:t>
      </w:r>
      <w:r w:rsidR="00840424">
        <w:rPr>
          <w:sz w:val="22"/>
          <w:szCs w:val="22"/>
        </w:rPr>
        <w:t>-</w:t>
      </w:r>
      <w:r w:rsidRPr="008912CF">
        <w:rPr>
          <w:sz w:val="22"/>
          <w:szCs w:val="22"/>
        </w:rPr>
        <w:t>adalimumab</w:t>
      </w:r>
      <w:r>
        <w:rPr>
          <w:sz w:val="22"/>
          <w:szCs w:val="22"/>
        </w:rPr>
        <w:t xml:space="preserve"> em 7/269 </w:t>
      </w:r>
      <w:r w:rsidR="002A563C">
        <w:rPr>
          <w:sz w:val="22"/>
          <w:szCs w:val="22"/>
        </w:rPr>
        <w:t>doentes</w:t>
      </w:r>
      <w:r>
        <w:rPr>
          <w:sz w:val="22"/>
          <w:szCs w:val="22"/>
        </w:rPr>
        <w:t xml:space="preserve"> (2,6%).</w:t>
      </w:r>
    </w:p>
    <w:p w14:paraId="77B99FB8" w14:textId="77777777" w:rsidR="00DA0040" w:rsidRDefault="00DA0040" w:rsidP="002F6811">
      <w:pPr>
        <w:rPr>
          <w:sz w:val="22"/>
          <w:szCs w:val="22"/>
        </w:rPr>
      </w:pPr>
    </w:p>
    <w:p w14:paraId="27313D66" w14:textId="77777777" w:rsidR="00DA0040" w:rsidRDefault="00615769" w:rsidP="002F6811">
      <w:pPr>
        <w:rPr>
          <w:sz w:val="22"/>
          <w:szCs w:val="22"/>
        </w:rPr>
      </w:pPr>
      <w:r>
        <w:rPr>
          <w:sz w:val="22"/>
          <w:szCs w:val="22"/>
        </w:rPr>
        <w:t>Em doentes adultos com uveíte não infec</w:t>
      </w:r>
      <w:r w:rsidR="00FC2F7D">
        <w:rPr>
          <w:sz w:val="22"/>
          <w:szCs w:val="22"/>
        </w:rPr>
        <w:t>c</w:t>
      </w:r>
      <w:r>
        <w:rPr>
          <w:sz w:val="22"/>
          <w:szCs w:val="22"/>
        </w:rPr>
        <w:t xml:space="preserve">iosa foram identificados </w:t>
      </w:r>
      <w:r w:rsidRPr="008912CF">
        <w:rPr>
          <w:sz w:val="22"/>
          <w:szCs w:val="22"/>
        </w:rPr>
        <w:t>anticorpos anti</w:t>
      </w:r>
      <w:r w:rsidR="00840424">
        <w:rPr>
          <w:sz w:val="22"/>
          <w:szCs w:val="22"/>
        </w:rPr>
        <w:t>-</w:t>
      </w:r>
      <w:r w:rsidRPr="008912CF">
        <w:rPr>
          <w:sz w:val="22"/>
          <w:szCs w:val="22"/>
        </w:rPr>
        <w:t>adalimumab</w:t>
      </w:r>
      <w:r>
        <w:rPr>
          <w:sz w:val="22"/>
          <w:szCs w:val="22"/>
        </w:rPr>
        <w:t xml:space="preserve"> em 4,8% (12/249) dos doentes tratados com adalimumab. </w:t>
      </w:r>
    </w:p>
    <w:p w14:paraId="270D26BB" w14:textId="77777777" w:rsidR="00DA0040" w:rsidRPr="008912CF" w:rsidRDefault="00DA0040" w:rsidP="002F6811">
      <w:pPr>
        <w:rPr>
          <w:sz w:val="22"/>
          <w:szCs w:val="22"/>
        </w:rPr>
      </w:pPr>
    </w:p>
    <w:p w14:paraId="3E93A202" w14:textId="77777777" w:rsidR="002F6811" w:rsidRPr="008912CF" w:rsidRDefault="00615769" w:rsidP="002F6811">
      <w:pPr>
        <w:rPr>
          <w:sz w:val="22"/>
          <w:szCs w:val="22"/>
        </w:rPr>
      </w:pPr>
      <w:r w:rsidRPr="008912CF">
        <w:rPr>
          <w:sz w:val="22"/>
          <w:szCs w:val="22"/>
        </w:rPr>
        <w:t>Uma vez que as análises de imunogenicidade são específicas do produto, não é apropriado comparar as taxas de anticorpos com as de outros produtos.</w:t>
      </w:r>
    </w:p>
    <w:p w14:paraId="40BB0AE8" w14:textId="77777777" w:rsidR="002F6811" w:rsidRDefault="002F6811" w:rsidP="002F6811">
      <w:pPr>
        <w:jc w:val="both"/>
        <w:outlineLvl w:val="0"/>
        <w:rPr>
          <w:rFonts w:eastAsia="SimSun"/>
          <w:sz w:val="22"/>
          <w:szCs w:val="22"/>
          <w:lang w:eastAsia="zh-CN"/>
        </w:rPr>
      </w:pPr>
    </w:p>
    <w:p w14:paraId="629E3A80" w14:textId="77777777" w:rsidR="002F6811" w:rsidRPr="00497512" w:rsidRDefault="00615769" w:rsidP="002F6811">
      <w:pPr>
        <w:jc w:val="both"/>
        <w:outlineLvl w:val="0"/>
        <w:rPr>
          <w:rFonts w:eastAsia="SimSun"/>
          <w:sz w:val="22"/>
          <w:szCs w:val="22"/>
          <w:u w:val="single"/>
          <w:lang w:eastAsia="zh-CN"/>
        </w:rPr>
      </w:pPr>
      <w:r w:rsidRPr="00497512">
        <w:rPr>
          <w:rFonts w:eastAsia="SimSun"/>
          <w:sz w:val="22"/>
          <w:szCs w:val="22"/>
          <w:u w:val="single"/>
          <w:lang w:eastAsia="zh-CN"/>
        </w:rPr>
        <w:t>População pediátrica</w:t>
      </w:r>
    </w:p>
    <w:p w14:paraId="6B3720A1" w14:textId="77777777" w:rsidR="00FD11AF" w:rsidRPr="008912CF" w:rsidRDefault="00FD11AF" w:rsidP="00FD11AF">
      <w:pPr>
        <w:rPr>
          <w:sz w:val="22"/>
          <w:szCs w:val="22"/>
          <w:u w:val="single"/>
        </w:rPr>
      </w:pPr>
    </w:p>
    <w:p w14:paraId="3CEBC26A" w14:textId="77777777" w:rsidR="00FD11AF" w:rsidRPr="008912CF" w:rsidRDefault="00615769" w:rsidP="00FD11AF">
      <w:pPr>
        <w:pStyle w:val="BodyText3"/>
        <w:ind w:right="0"/>
        <w:rPr>
          <w:szCs w:val="22"/>
        </w:rPr>
      </w:pPr>
      <w:r w:rsidRPr="008912CF">
        <w:rPr>
          <w:i/>
          <w:szCs w:val="22"/>
        </w:rPr>
        <w:t>Artrite idiopática juvenil (AIJ)</w:t>
      </w:r>
    </w:p>
    <w:p w14:paraId="3B8E3526" w14:textId="77777777" w:rsidR="00FD11AF" w:rsidRPr="008912CF" w:rsidRDefault="00FD11AF" w:rsidP="00FD11AF">
      <w:pPr>
        <w:pStyle w:val="BodyText3"/>
        <w:ind w:right="0"/>
        <w:rPr>
          <w:szCs w:val="22"/>
        </w:rPr>
      </w:pPr>
    </w:p>
    <w:p w14:paraId="5999C812" w14:textId="77777777" w:rsidR="00FD11AF" w:rsidRPr="008912CF" w:rsidRDefault="00615769" w:rsidP="00FD11AF">
      <w:pPr>
        <w:pStyle w:val="BodyText3"/>
        <w:ind w:right="0"/>
        <w:rPr>
          <w:szCs w:val="22"/>
        </w:rPr>
      </w:pPr>
      <w:r w:rsidRPr="008912CF">
        <w:rPr>
          <w:i/>
          <w:szCs w:val="22"/>
          <w:u w:val="single"/>
        </w:rPr>
        <w:t xml:space="preserve">Artrite idiopática juvenil poliarticular </w:t>
      </w:r>
      <w:r w:rsidRPr="008912CF">
        <w:rPr>
          <w:bCs/>
          <w:i/>
          <w:iCs/>
          <w:szCs w:val="22"/>
          <w:u w:val="single"/>
        </w:rPr>
        <w:t>(AIJp)</w:t>
      </w:r>
    </w:p>
    <w:p w14:paraId="7B9D4F80" w14:textId="77777777" w:rsidR="00FD11AF" w:rsidRPr="008912CF" w:rsidRDefault="00FD11AF" w:rsidP="00FD11AF">
      <w:pPr>
        <w:pStyle w:val="BodyText3"/>
        <w:rPr>
          <w:szCs w:val="22"/>
        </w:rPr>
      </w:pPr>
    </w:p>
    <w:p w14:paraId="5CFFD018" w14:textId="77777777" w:rsidR="00FD11AF" w:rsidRPr="008912CF" w:rsidRDefault="00615769" w:rsidP="00FD11AF">
      <w:pPr>
        <w:pStyle w:val="BodyText3"/>
        <w:rPr>
          <w:u w:val="single"/>
        </w:rPr>
      </w:pPr>
      <w:r w:rsidRPr="008912CF">
        <w:rPr>
          <w:szCs w:val="22"/>
        </w:rPr>
        <w:t>A segurança e eficácia d</w:t>
      </w:r>
      <w:r>
        <w:rPr>
          <w:szCs w:val="22"/>
        </w:rPr>
        <w:t>e</w:t>
      </w:r>
      <w:r w:rsidRPr="008912CF">
        <w:rPr>
          <w:szCs w:val="22"/>
        </w:rPr>
        <w:t xml:space="preserve"> Humira foram avaliadas em dois estudos (AIJp I e II) em crianças com artrite idiopática juvenil poliarticular ativa ou curso poliarticular, que apresentavam vários tipos de início de AIJ (mais frequentemente poliartrite com fator reumatoide negativo ou positivo e oligoartrite e</w:t>
      </w:r>
      <w:r>
        <w:rPr>
          <w:szCs w:val="22"/>
        </w:rPr>
        <w:t>xtensa</w:t>
      </w:r>
      <w:r w:rsidRPr="00C81A23">
        <w:rPr>
          <w:szCs w:val="22"/>
        </w:rPr>
        <w:t>)</w:t>
      </w:r>
      <w:r w:rsidRPr="00DF5632">
        <w:rPr>
          <w:szCs w:val="22"/>
        </w:rPr>
        <w:t>.</w:t>
      </w:r>
    </w:p>
    <w:p w14:paraId="5CDF0674" w14:textId="77777777" w:rsidR="00FD11AF" w:rsidRPr="008912CF" w:rsidRDefault="00FD11AF" w:rsidP="00FD11AF">
      <w:pPr>
        <w:pStyle w:val="BodyText3"/>
      </w:pPr>
    </w:p>
    <w:p w14:paraId="730772E5" w14:textId="77777777" w:rsidR="00FD11AF" w:rsidRPr="008912CF" w:rsidRDefault="00615769" w:rsidP="00FD11AF">
      <w:pPr>
        <w:pStyle w:val="BodyText3"/>
      </w:pPr>
      <w:r w:rsidRPr="008912CF">
        <w:t>AIJp I</w:t>
      </w:r>
    </w:p>
    <w:p w14:paraId="7FCFA476" w14:textId="77777777" w:rsidR="00FD11AF" w:rsidRPr="008912CF" w:rsidRDefault="00FD11AF" w:rsidP="00FD11AF">
      <w:pPr>
        <w:pStyle w:val="BodyText3"/>
        <w:ind w:right="0"/>
        <w:rPr>
          <w:szCs w:val="22"/>
        </w:rPr>
      </w:pPr>
    </w:p>
    <w:p w14:paraId="5BE54B03" w14:textId="77777777" w:rsidR="00FD11AF" w:rsidRPr="008912CF" w:rsidRDefault="00615769" w:rsidP="00FD11AF">
      <w:pPr>
        <w:tabs>
          <w:tab w:val="left" w:pos="6840"/>
        </w:tabs>
        <w:autoSpaceDE w:val="0"/>
        <w:autoSpaceDN w:val="0"/>
        <w:adjustRightInd w:val="0"/>
        <w:rPr>
          <w:sz w:val="22"/>
          <w:szCs w:val="22"/>
        </w:rPr>
      </w:pPr>
      <w:r w:rsidRPr="008912CF">
        <w:rPr>
          <w:sz w:val="22"/>
          <w:szCs w:val="22"/>
        </w:rPr>
        <w:t xml:space="preserve">A segurança e eficácia de Humira foram avaliadas num estudo multicêntrico, aleatorizado, </w:t>
      </w:r>
      <w:r>
        <w:rPr>
          <w:sz w:val="22"/>
          <w:szCs w:val="22"/>
        </w:rPr>
        <w:t>em dupla ocultação</w:t>
      </w:r>
      <w:r w:rsidRPr="008912CF">
        <w:rPr>
          <w:sz w:val="22"/>
          <w:szCs w:val="22"/>
        </w:rPr>
        <w:t xml:space="preserve">, </w:t>
      </w:r>
      <w:r>
        <w:rPr>
          <w:sz w:val="22"/>
          <w:szCs w:val="22"/>
        </w:rPr>
        <w:t xml:space="preserve">de grupo </w:t>
      </w:r>
      <w:r w:rsidRPr="008912CF">
        <w:rPr>
          <w:sz w:val="22"/>
          <w:szCs w:val="22"/>
        </w:rPr>
        <w:t>paralelo, em 171 crianças (4</w:t>
      </w:r>
      <w:r w:rsidRPr="008912CF">
        <w:rPr>
          <w:sz w:val="22"/>
          <w:szCs w:val="22"/>
        </w:rPr>
        <w:noBreakHyphen/>
        <w:t>17</w:t>
      </w:r>
      <w:r>
        <w:rPr>
          <w:sz w:val="22"/>
          <w:szCs w:val="22"/>
        </w:rPr>
        <w:t> </w:t>
      </w:r>
      <w:r w:rsidRPr="008912CF">
        <w:rPr>
          <w:sz w:val="22"/>
          <w:szCs w:val="22"/>
        </w:rPr>
        <w:t>anos de idade) com AIJ poliarticular. Na fase aberta de introdução (OL LI) os doentes foram distribuídos por dois grupos, tratados com MTX (metotrexato) e não tratados com MTX. Os doentes que se encontravam no grupo dos não tratados com MTX eram doentes sem terapêutica</w:t>
      </w:r>
      <w:r>
        <w:rPr>
          <w:sz w:val="22"/>
          <w:szCs w:val="22"/>
        </w:rPr>
        <w:t xml:space="preserve"> prévia</w:t>
      </w:r>
      <w:r w:rsidRPr="008912CF">
        <w:rPr>
          <w:sz w:val="22"/>
          <w:szCs w:val="22"/>
        </w:rPr>
        <w:t xml:space="preserve"> com MTX ou que haviam abandonado MTX pelo menos duas semanas antes da administração do medicamento em estudo. Os doentes permaneceram com doses estáveis de </w:t>
      </w:r>
      <w:r>
        <w:rPr>
          <w:sz w:val="22"/>
          <w:szCs w:val="22"/>
        </w:rPr>
        <w:t>medicamentos</w:t>
      </w:r>
      <w:r w:rsidRPr="00506582">
        <w:rPr>
          <w:sz w:val="22"/>
          <w:szCs w:val="22"/>
        </w:rPr>
        <w:t xml:space="preserve"> anti-</w:t>
      </w:r>
      <w:r w:rsidRPr="00506582">
        <w:rPr>
          <w:sz w:val="22"/>
          <w:szCs w:val="22"/>
        </w:rPr>
        <w:t>inflamatórios não</w:t>
      </w:r>
      <w:r>
        <w:rPr>
          <w:sz w:val="22"/>
          <w:szCs w:val="22"/>
        </w:rPr>
        <w:t xml:space="preserve"> </w:t>
      </w:r>
      <w:r w:rsidRPr="00506582">
        <w:rPr>
          <w:sz w:val="22"/>
          <w:szCs w:val="22"/>
        </w:rPr>
        <w:t>esteroides</w:t>
      </w:r>
      <w:r>
        <w:rPr>
          <w:sz w:val="22"/>
          <w:szCs w:val="22"/>
        </w:rPr>
        <w:t xml:space="preserve"> (</w:t>
      </w:r>
      <w:r w:rsidRPr="008912CF">
        <w:rPr>
          <w:sz w:val="22"/>
          <w:szCs w:val="22"/>
        </w:rPr>
        <w:t>AINEs</w:t>
      </w:r>
      <w:r>
        <w:rPr>
          <w:sz w:val="22"/>
          <w:szCs w:val="22"/>
        </w:rPr>
        <w:t>)</w:t>
      </w:r>
      <w:r w:rsidRPr="008912CF">
        <w:rPr>
          <w:sz w:val="22"/>
          <w:szCs w:val="22"/>
        </w:rPr>
        <w:t xml:space="preserve"> e ou prednisona (</w:t>
      </w:r>
      <w:r w:rsidRPr="008912CF">
        <w:rPr>
          <w:rFonts w:ascii="Symbol" w:hAnsi="Symbol"/>
          <w:sz w:val="22"/>
          <w:szCs w:val="22"/>
        </w:rPr>
        <w:sym w:font="Symbol" w:char="F0A3"/>
      </w:r>
      <w:r w:rsidRPr="008912CF">
        <w:rPr>
          <w:sz w:val="22"/>
          <w:szCs w:val="22"/>
        </w:rPr>
        <w:t> 0,2</w:t>
      </w:r>
      <w:r>
        <w:rPr>
          <w:sz w:val="22"/>
          <w:szCs w:val="22"/>
        </w:rPr>
        <w:t> </w:t>
      </w:r>
      <w:r w:rsidRPr="008912CF">
        <w:rPr>
          <w:sz w:val="22"/>
          <w:szCs w:val="22"/>
        </w:rPr>
        <w:t>mg/kg/dia ou 10</w:t>
      </w:r>
      <w:r>
        <w:rPr>
          <w:sz w:val="22"/>
          <w:szCs w:val="22"/>
        </w:rPr>
        <w:t> </w:t>
      </w:r>
      <w:r w:rsidRPr="008912CF">
        <w:rPr>
          <w:sz w:val="22"/>
          <w:szCs w:val="22"/>
        </w:rPr>
        <w:t>mg/dia no máximo). Na fase OL LI todos os doentes receberam 24 mg/m</w:t>
      </w:r>
      <w:r w:rsidRPr="008912CF">
        <w:rPr>
          <w:sz w:val="22"/>
          <w:szCs w:val="22"/>
          <w:vertAlign w:val="superscript"/>
        </w:rPr>
        <w:t>2</w:t>
      </w:r>
      <w:r w:rsidRPr="008912CF">
        <w:rPr>
          <w:sz w:val="22"/>
          <w:szCs w:val="22"/>
        </w:rPr>
        <w:t xml:space="preserve"> até um máximo de 40</w:t>
      </w:r>
      <w:r>
        <w:rPr>
          <w:sz w:val="22"/>
          <w:szCs w:val="22"/>
        </w:rPr>
        <w:t> </w:t>
      </w:r>
      <w:r w:rsidRPr="008912CF">
        <w:rPr>
          <w:sz w:val="22"/>
          <w:szCs w:val="22"/>
        </w:rPr>
        <w:t>mg de Humira, em semanas alternadas, durante 16</w:t>
      </w:r>
      <w:r>
        <w:rPr>
          <w:sz w:val="22"/>
          <w:szCs w:val="22"/>
        </w:rPr>
        <w:t> </w:t>
      </w:r>
      <w:r w:rsidRPr="008912CF">
        <w:rPr>
          <w:sz w:val="22"/>
          <w:szCs w:val="22"/>
        </w:rPr>
        <w:t>semanas. A distribuição dos doentes por idade e a</w:t>
      </w:r>
      <w:r>
        <w:rPr>
          <w:sz w:val="22"/>
          <w:szCs w:val="22"/>
        </w:rPr>
        <w:t>s</w:t>
      </w:r>
      <w:r w:rsidRPr="008912CF">
        <w:rPr>
          <w:sz w:val="22"/>
          <w:szCs w:val="22"/>
        </w:rPr>
        <w:t xml:space="preserve"> dose</w:t>
      </w:r>
      <w:r>
        <w:rPr>
          <w:sz w:val="22"/>
          <w:szCs w:val="22"/>
        </w:rPr>
        <w:t>s</w:t>
      </w:r>
      <w:r w:rsidRPr="008912CF">
        <w:rPr>
          <w:sz w:val="22"/>
          <w:szCs w:val="22"/>
        </w:rPr>
        <w:t xml:space="preserve"> mínima, média e máxima recebida</w:t>
      </w:r>
      <w:r>
        <w:rPr>
          <w:sz w:val="22"/>
          <w:szCs w:val="22"/>
        </w:rPr>
        <w:t>s</w:t>
      </w:r>
      <w:r w:rsidRPr="008912CF">
        <w:rPr>
          <w:sz w:val="22"/>
          <w:szCs w:val="22"/>
        </w:rPr>
        <w:t xml:space="preserve"> durante a fase OL LI são apresentadas na Tabela </w:t>
      </w:r>
      <w:r>
        <w:rPr>
          <w:sz w:val="22"/>
          <w:szCs w:val="22"/>
        </w:rPr>
        <w:t>17</w:t>
      </w:r>
      <w:r w:rsidRPr="008912CF">
        <w:rPr>
          <w:sz w:val="22"/>
          <w:szCs w:val="22"/>
        </w:rPr>
        <w:t>.</w:t>
      </w:r>
    </w:p>
    <w:p w14:paraId="067B8D95" w14:textId="77777777" w:rsidR="00FD11AF" w:rsidRPr="008912CF" w:rsidRDefault="00FD11AF" w:rsidP="00FD11AF">
      <w:pPr>
        <w:tabs>
          <w:tab w:val="left" w:pos="6840"/>
        </w:tabs>
        <w:autoSpaceDE w:val="0"/>
        <w:autoSpaceDN w:val="0"/>
        <w:adjustRightInd w:val="0"/>
        <w:ind w:right="53"/>
        <w:rPr>
          <w:sz w:val="22"/>
          <w:szCs w:val="22"/>
        </w:rPr>
      </w:pPr>
    </w:p>
    <w:p w14:paraId="4CF3384A" w14:textId="77777777" w:rsidR="00FD11AF" w:rsidRPr="008912CF" w:rsidRDefault="00615769" w:rsidP="00FD11AF">
      <w:pPr>
        <w:pStyle w:val="BodyTextIndent"/>
        <w:keepNext/>
        <w:ind w:left="110" w:right="53" w:firstLine="0"/>
        <w:jc w:val="center"/>
        <w:rPr>
          <w:color w:val="auto"/>
          <w:szCs w:val="22"/>
        </w:rPr>
      </w:pPr>
      <w:r w:rsidRPr="008912CF">
        <w:rPr>
          <w:color w:val="auto"/>
          <w:szCs w:val="22"/>
        </w:rPr>
        <w:t xml:space="preserve">Tabela </w:t>
      </w:r>
      <w:r>
        <w:rPr>
          <w:color w:val="auto"/>
          <w:szCs w:val="22"/>
        </w:rPr>
        <w:t>17</w:t>
      </w:r>
    </w:p>
    <w:p w14:paraId="29C33A56" w14:textId="77777777" w:rsidR="00FD11AF" w:rsidRPr="008912CF" w:rsidRDefault="00615769" w:rsidP="00FD11AF">
      <w:pPr>
        <w:pStyle w:val="BodyTextIndent"/>
        <w:keepNext/>
        <w:ind w:left="110" w:right="53" w:firstLine="0"/>
        <w:jc w:val="center"/>
        <w:rPr>
          <w:color w:val="auto"/>
          <w:szCs w:val="22"/>
        </w:rPr>
      </w:pPr>
      <w:r w:rsidRPr="008912CF">
        <w:rPr>
          <w:bCs/>
          <w:color w:val="auto"/>
          <w:szCs w:val="22"/>
        </w:rPr>
        <w:t xml:space="preserve">Distribuição dos doentes por idade e dose de adalimumab recebida durante a fase OL </w:t>
      </w:r>
      <w:r w:rsidRPr="008912CF">
        <w:rPr>
          <w:color w:val="auto"/>
          <w:szCs w:val="22"/>
        </w:rPr>
        <w:t>LI</w:t>
      </w:r>
    </w:p>
    <w:p w14:paraId="41A1CBB6" w14:textId="77777777" w:rsidR="00FD11AF" w:rsidRPr="008912CF" w:rsidRDefault="00FD11AF" w:rsidP="00FD11AF">
      <w:pPr>
        <w:pStyle w:val="BodyTextIndent"/>
        <w:keepNext/>
        <w:ind w:left="110" w:right="53" w:firstLine="0"/>
        <w:jc w:val="center"/>
        <w:rPr>
          <w:color w:val="auto"/>
          <w:szCs w:val="22"/>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1"/>
        <w:gridCol w:w="3432"/>
        <w:gridCol w:w="3158"/>
      </w:tblGrid>
      <w:tr w:rsidR="00A7162A" w14:paraId="0A99F63E" w14:textId="77777777" w:rsidTr="00FD11AF">
        <w:trPr>
          <w:cantSplit/>
        </w:trPr>
        <w:tc>
          <w:tcPr>
            <w:tcW w:w="2418" w:type="dxa"/>
          </w:tcPr>
          <w:p w14:paraId="7710D01E" w14:textId="77777777" w:rsidR="00FD11AF" w:rsidRPr="008912CF" w:rsidRDefault="00615769" w:rsidP="00FD11AF">
            <w:pPr>
              <w:pStyle w:val="BodyTextIndent"/>
              <w:keepNext/>
              <w:ind w:left="0" w:right="53" w:firstLine="0"/>
              <w:rPr>
                <w:bCs/>
                <w:color w:val="auto"/>
                <w:szCs w:val="22"/>
              </w:rPr>
            </w:pPr>
            <w:r w:rsidRPr="008912CF">
              <w:rPr>
                <w:bCs/>
                <w:color w:val="auto"/>
                <w:szCs w:val="22"/>
              </w:rPr>
              <w:t>Grupo etário</w:t>
            </w:r>
          </w:p>
        </w:tc>
        <w:tc>
          <w:tcPr>
            <w:tcW w:w="3520" w:type="dxa"/>
          </w:tcPr>
          <w:p w14:paraId="5B0D0848" w14:textId="77777777" w:rsidR="00FD11AF" w:rsidRPr="008912CF" w:rsidRDefault="00615769" w:rsidP="00FD11AF">
            <w:pPr>
              <w:pStyle w:val="BodyTextIndent"/>
              <w:keepNext/>
              <w:ind w:left="0" w:right="53" w:firstLine="0"/>
              <w:rPr>
                <w:bCs/>
                <w:color w:val="auto"/>
                <w:szCs w:val="22"/>
              </w:rPr>
            </w:pPr>
            <w:r w:rsidRPr="008912CF">
              <w:rPr>
                <w:bCs/>
                <w:color w:val="auto"/>
                <w:szCs w:val="22"/>
              </w:rPr>
              <w:t>Número de doentes na avaliação basal n (%)</w:t>
            </w:r>
          </w:p>
        </w:tc>
        <w:tc>
          <w:tcPr>
            <w:tcW w:w="3239" w:type="dxa"/>
          </w:tcPr>
          <w:p w14:paraId="1E0395E3" w14:textId="77777777" w:rsidR="00FD11AF" w:rsidRPr="008912CF" w:rsidRDefault="00615769" w:rsidP="00FD11AF">
            <w:pPr>
              <w:pStyle w:val="BodyTextIndent"/>
              <w:keepNext/>
              <w:ind w:left="0" w:right="53" w:firstLine="0"/>
              <w:rPr>
                <w:bCs/>
                <w:color w:val="auto"/>
                <w:szCs w:val="22"/>
              </w:rPr>
            </w:pPr>
            <w:r w:rsidRPr="008912CF">
              <w:rPr>
                <w:bCs/>
                <w:color w:val="auto"/>
                <w:szCs w:val="22"/>
              </w:rPr>
              <w:t>Dose mínima, média e máxima</w:t>
            </w:r>
          </w:p>
        </w:tc>
      </w:tr>
      <w:tr w:rsidR="00A7162A" w14:paraId="7C8053BA" w14:textId="77777777" w:rsidTr="00FD11AF">
        <w:trPr>
          <w:cantSplit/>
        </w:trPr>
        <w:tc>
          <w:tcPr>
            <w:tcW w:w="2418" w:type="dxa"/>
          </w:tcPr>
          <w:p w14:paraId="4F8854A8"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4 a 7 anos</w:t>
            </w:r>
          </w:p>
        </w:tc>
        <w:tc>
          <w:tcPr>
            <w:tcW w:w="3520" w:type="dxa"/>
          </w:tcPr>
          <w:p w14:paraId="3C248A59"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31 (18,1)</w:t>
            </w:r>
          </w:p>
        </w:tc>
        <w:tc>
          <w:tcPr>
            <w:tcW w:w="3239" w:type="dxa"/>
          </w:tcPr>
          <w:p w14:paraId="60DC3F96"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10, 20 e 25 mg</w:t>
            </w:r>
          </w:p>
        </w:tc>
      </w:tr>
      <w:tr w:rsidR="00A7162A" w14:paraId="26C9F0D6" w14:textId="77777777" w:rsidTr="00FD11AF">
        <w:trPr>
          <w:cantSplit/>
        </w:trPr>
        <w:tc>
          <w:tcPr>
            <w:tcW w:w="2418" w:type="dxa"/>
          </w:tcPr>
          <w:p w14:paraId="6218F889"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8 a 12 anos</w:t>
            </w:r>
          </w:p>
        </w:tc>
        <w:tc>
          <w:tcPr>
            <w:tcW w:w="3520" w:type="dxa"/>
          </w:tcPr>
          <w:p w14:paraId="7303843F"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71 (41,5)</w:t>
            </w:r>
          </w:p>
        </w:tc>
        <w:tc>
          <w:tcPr>
            <w:tcW w:w="3239" w:type="dxa"/>
          </w:tcPr>
          <w:p w14:paraId="68F554FA"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20, 25 e 40 mg</w:t>
            </w:r>
          </w:p>
        </w:tc>
      </w:tr>
      <w:tr w:rsidR="00A7162A" w14:paraId="7D873E69" w14:textId="77777777" w:rsidTr="00FD11AF">
        <w:trPr>
          <w:cantSplit/>
        </w:trPr>
        <w:tc>
          <w:tcPr>
            <w:tcW w:w="2418" w:type="dxa"/>
          </w:tcPr>
          <w:p w14:paraId="2C28F871"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13 a 17 anos</w:t>
            </w:r>
          </w:p>
        </w:tc>
        <w:tc>
          <w:tcPr>
            <w:tcW w:w="3520" w:type="dxa"/>
          </w:tcPr>
          <w:p w14:paraId="3ACFD175"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69 (40,4)</w:t>
            </w:r>
          </w:p>
        </w:tc>
        <w:tc>
          <w:tcPr>
            <w:tcW w:w="3239" w:type="dxa"/>
          </w:tcPr>
          <w:p w14:paraId="51A33724"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25, 40 e 40 mg</w:t>
            </w:r>
          </w:p>
        </w:tc>
      </w:tr>
    </w:tbl>
    <w:p w14:paraId="48723649" w14:textId="77777777" w:rsidR="00FD11AF" w:rsidRPr="008912CF" w:rsidRDefault="00FD11AF" w:rsidP="00FD11AF">
      <w:pPr>
        <w:tabs>
          <w:tab w:val="left" w:pos="6840"/>
        </w:tabs>
        <w:autoSpaceDE w:val="0"/>
        <w:autoSpaceDN w:val="0"/>
        <w:adjustRightInd w:val="0"/>
        <w:ind w:right="53"/>
        <w:rPr>
          <w:sz w:val="22"/>
          <w:szCs w:val="22"/>
        </w:rPr>
      </w:pPr>
    </w:p>
    <w:p w14:paraId="609956F9" w14:textId="77777777" w:rsidR="00FD11AF" w:rsidRPr="008912CF" w:rsidRDefault="00615769" w:rsidP="00FD11AF">
      <w:pPr>
        <w:tabs>
          <w:tab w:val="left" w:pos="6840"/>
        </w:tabs>
        <w:autoSpaceDE w:val="0"/>
        <w:autoSpaceDN w:val="0"/>
        <w:adjustRightInd w:val="0"/>
        <w:ind w:right="51"/>
        <w:rPr>
          <w:sz w:val="22"/>
          <w:szCs w:val="22"/>
        </w:rPr>
      </w:pPr>
      <w:r w:rsidRPr="008912CF">
        <w:rPr>
          <w:sz w:val="22"/>
          <w:szCs w:val="22"/>
        </w:rPr>
        <w:t xml:space="preserve">Os doentes com uma resposta ACR </w:t>
      </w:r>
      <w:r>
        <w:rPr>
          <w:sz w:val="22"/>
          <w:szCs w:val="22"/>
        </w:rPr>
        <w:t xml:space="preserve">Pediátrico </w:t>
      </w:r>
      <w:r w:rsidRPr="008912CF">
        <w:rPr>
          <w:sz w:val="22"/>
          <w:szCs w:val="22"/>
        </w:rPr>
        <w:t>30 à Semana</w:t>
      </w:r>
      <w:r>
        <w:rPr>
          <w:sz w:val="22"/>
          <w:szCs w:val="22"/>
        </w:rPr>
        <w:t> </w:t>
      </w:r>
      <w:r w:rsidRPr="008912CF">
        <w:rPr>
          <w:sz w:val="22"/>
          <w:szCs w:val="22"/>
        </w:rPr>
        <w:t xml:space="preserve">16 foram elegíveis para aleatorização na fase </w:t>
      </w:r>
      <w:r>
        <w:rPr>
          <w:sz w:val="22"/>
          <w:szCs w:val="22"/>
        </w:rPr>
        <w:t>em dupla ocultação</w:t>
      </w:r>
      <w:r w:rsidRPr="008912CF">
        <w:rPr>
          <w:sz w:val="22"/>
          <w:szCs w:val="22"/>
        </w:rPr>
        <w:t xml:space="preserve"> (DB) e receberam 24 mg/m</w:t>
      </w:r>
      <w:r w:rsidRPr="008912CF">
        <w:rPr>
          <w:sz w:val="22"/>
          <w:szCs w:val="22"/>
          <w:vertAlign w:val="superscript"/>
        </w:rPr>
        <w:t>2</w:t>
      </w:r>
      <w:r w:rsidRPr="008912CF">
        <w:rPr>
          <w:sz w:val="22"/>
          <w:szCs w:val="22"/>
        </w:rPr>
        <w:t xml:space="preserve"> de Humira até um máximo de 40</w:t>
      </w:r>
      <w:r>
        <w:rPr>
          <w:sz w:val="22"/>
          <w:szCs w:val="22"/>
        </w:rPr>
        <w:t> </w:t>
      </w:r>
      <w:r w:rsidRPr="008912CF">
        <w:rPr>
          <w:sz w:val="22"/>
          <w:szCs w:val="22"/>
        </w:rPr>
        <w:t xml:space="preserve">mg, ou placebo, em semanas alternadas, por mais 32 semanas ou até agravamento da doença. Os critérios de agravamento da doença foram definidos como um agravamento </w:t>
      </w:r>
      <w:r w:rsidRPr="008912CF">
        <w:rPr>
          <w:rFonts w:ascii="Symbol" w:hAnsi="Symbol"/>
          <w:sz w:val="22"/>
          <w:szCs w:val="22"/>
        </w:rPr>
        <w:sym w:font="Symbol" w:char="F0B3"/>
      </w:r>
      <w:r w:rsidRPr="008912CF">
        <w:rPr>
          <w:sz w:val="22"/>
          <w:szCs w:val="22"/>
        </w:rPr>
        <w:t> 30</w:t>
      </w:r>
      <w:r>
        <w:rPr>
          <w:sz w:val="22"/>
          <w:szCs w:val="22"/>
        </w:rPr>
        <w:t>%</w:t>
      </w:r>
      <w:r w:rsidRPr="008912CF">
        <w:rPr>
          <w:sz w:val="22"/>
          <w:szCs w:val="22"/>
        </w:rPr>
        <w:t xml:space="preserve"> na avaliação basal em </w:t>
      </w:r>
      <w:r w:rsidRPr="008912CF">
        <w:rPr>
          <w:rFonts w:ascii="Symbol" w:hAnsi="Symbol"/>
          <w:sz w:val="22"/>
          <w:szCs w:val="22"/>
        </w:rPr>
        <w:sym w:font="Symbol" w:char="F0B3"/>
      </w:r>
      <w:r w:rsidRPr="008912CF">
        <w:rPr>
          <w:sz w:val="22"/>
          <w:szCs w:val="22"/>
        </w:rPr>
        <w:t xml:space="preserve"> 3 dos 6 critérios principais do ACR </w:t>
      </w:r>
      <w:r>
        <w:rPr>
          <w:sz w:val="22"/>
          <w:szCs w:val="22"/>
        </w:rPr>
        <w:t>P</w:t>
      </w:r>
      <w:r w:rsidRPr="008912CF">
        <w:rPr>
          <w:sz w:val="22"/>
          <w:szCs w:val="22"/>
        </w:rPr>
        <w:t xml:space="preserve">ediátrico, </w:t>
      </w:r>
      <w:r w:rsidRPr="008912CF">
        <w:rPr>
          <w:rFonts w:ascii="Symbol" w:hAnsi="Symbol"/>
          <w:sz w:val="22"/>
          <w:szCs w:val="22"/>
        </w:rPr>
        <w:sym w:font="Symbol" w:char="F0B3"/>
      </w:r>
      <w:r w:rsidRPr="008912CF">
        <w:rPr>
          <w:sz w:val="22"/>
          <w:szCs w:val="22"/>
        </w:rPr>
        <w:t xml:space="preserve"> 2 articulações ativas e melhoria </w:t>
      </w:r>
      <w:r w:rsidRPr="008912CF">
        <w:rPr>
          <w:rFonts w:ascii="Symbol" w:hAnsi="Symbol"/>
          <w:sz w:val="22"/>
          <w:szCs w:val="22"/>
        </w:rPr>
        <w:sym w:font="Symbol" w:char="F03E"/>
      </w:r>
      <w:r w:rsidRPr="008912CF">
        <w:rPr>
          <w:sz w:val="22"/>
          <w:szCs w:val="22"/>
        </w:rPr>
        <w:t> 30</w:t>
      </w:r>
      <w:r>
        <w:rPr>
          <w:sz w:val="22"/>
          <w:szCs w:val="22"/>
        </w:rPr>
        <w:t>%</w:t>
      </w:r>
      <w:r w:rsidRPr="008912CF">
        <w:rPr>
          <w:sz w:val="22"/>
          <w:szCs w:val="22"/>
        </w:rPr>
        <w:t xml:space="preserve"> em não mais de 1 dos 6 critérios. Após 32 semanas ou em caso de agravamento da doença, os doentes eram elegíveis para participação na extensão d</w:t>
      </w:r>
      <w:r>
        <w:rPr>
          <w:sz w:val="22"/>
          <w:szCs w:val="22"/>
        </w:rPr>
        <w:t>e</w:t>
      </w:r>
      <w:r w:rsidRPr="008912CF">
        <w:rPr>
          <w:sz w:val="22"/>
          <w:szCs w:val="22"/>
        </w:rPr>
        <w:t xml:space="preserve"> fase aberta.</w:t>
      </w:r>
    </w:p>
    <w:p w14:paraId="75AA8118" w14:textId="77777777" w:rsidR="00FD11AF" w:rsidRPr="008912CF" w:rsidRDefault="00FD11AF" w:rsidP="00FD11AF">
      <w:pPr>
        <w:tabs>
          <w:tab w:val="left" w:pos="6840"/>
        </w:tabs>
        <w:autoSpaceDE w:val="0"/>
        <w:autoSpaceDN w:val="0"/>
        <w:adjustRightInd w:val="0"/>
        <w:ind w:right="53"/>
        <w:rPr>
          <w:sz w:val="22"/>
          <w:szCs w:val="22"/>
        </w:rPr>
      </w:pPr>
    </w:p>
    <w:p w14:paraId="2927727A" w14:textId="77777777" w:rsidR="00FD11AF" w:rsidRPr="008912CF" w:rsidRDefault="00615769" w:rsidP="00FD11AF">
      <w:pPr>
        <w:pStyle w:val="EMEATitle"/>
        <w:keepNext/>
        <w:tabs>
          <w:tab w:val="clear" w:pos="562"/>
        </w:tabs>
        <w:suppressAutoHyphens w:val="0"/>
        <w:rPr>
          <w:rFonts w:ascii="Times New Roman" w:hAnsi="Times New Roman"/>
          <w:bCs/>
          <w:caps w:val="0"/>
          <w:szCs w:val="22"/>
          <w:lang w:val="pt-PT"/>
        </w:rPr>
      </w:pPr>
      <w:r w:rsidRPr="008912CF">
        <w:rPr>
          <w:rFonts w:ascii="Times New Roman" w:hAnsi="Times New Roman"/>
          <w:bCs/>
          <w:caps w:val="0"/>
          <w:szCs w:val="22"/>
          <w:lang w:val="pt-PT"/>
        </w:rPr>
        <w:t xml:space="preserve">Tabela </w:t>
      </w:r>
      <w:r>
        <w:rPr>
          <w:rFonts w:ascii="Times New Roman" w:hAnsi="Times New Roman"/>
          <w:bCs/>
          <w:caps w:val="0"/>
          <w:szCs w:val="22"/>
          <w:lang w:val="pt-PT"/>
        </w:rPr>
        <w:t>18</w:t>
      </w:r>
    </w:p>
    <w:p w14:paraId="695F766E" w14:textId="77777777" w:rsidR="00FD11AF" w:rsidRPr="008912CF" w:rsidRDefault="00615769" w:rsidP="00FD11AF">
      <w:pPr>
        <w:pStyle w:val="EMEATitle"/>
        <w:keepNext/>
        <w:tabs>
          <w:tab w:val="clear" w:pos="562"/>
        </w:tabs>
        <w:suppressAutoHyphens w:val="0"/>
        <w:rPr>
          <w:rFonts w:ascii="Times New Roman" w:hAnsi="Times New Roman"/>
          <w:bCs/>
          <w:caps w:val="0"/>
          <w:szCs w:val="22"/>
          <w:lang w:val="pt-PT"/>
        </w:rPr>
      </w:pPr>
      <w:r w:rsidRPr="008912CF">
        <w:rPr>
          <w:rFonts w:ascii="Times New Roman" w:hAnsi="Times New Roman"/>
          <w:bCs/>
          <w:caps w:val="0"/>
          <w:szCs w:val="22"/>
          <w:lang w:val="pt-PT"/>
        </w:rPr>
        <w:t xml:space="preserve">Respostas ACR </w:t>
      </w:r>
      <w:r>
        <w:rPr>
          <w:rFonts w:ascii="Times New Roman" w:hAnsi="Times New Roman"/>
          <w:bCs/>
          <w:caps w:val="0"/>
          <w:szCs w:val="22"/>
          <w:lang w:val="pt-PT"/>
        </w:rPr>
        <w:t xml:space="preserve">Pediátrico </w:t>
      </w:r>
      <w:r w:rsidRPr="008912CF">
        <w:rPr>
          <w:rFonts w:ascii="Times New Roman" w:hAnsi="Times New Roman"/>
          <w:bCs/>
          <w:caps w:val="0"/>
          <w:szCs w:val="22"/>
          <w:lang w:val="pt-PT"/>
        </w:rPr>
        <w:t>30 no estudo AIJ</w:t>
      </w:r>
    </w:p>
    <w:p w14:paraId="0E4F3813" w14:textId="77777777" w:rsidR="00FD11AF" w:rsidRPr="008912CF" w:rsidRDefault="00FD11AF" w:rsidP="00FD11AF">
      <w:pPr>
        <w:pStyle w:val="EMEATitle"/>
        <w:keepNext/>
        <w:tabs>
          <w:tab w:val="clear" w:pos="562"/>
        </w:tabs>
        <w:suppressAutoHyphens w:val="0"/>
        <w:rPr>
          <w:rFonts w:ascii="Times New Roman" w:hAnsi="Times New Roman"/>
          <w:bCs/>
          <w:caps w:val="0"/>
          <w:szCs w:val="22"/>
          <w:lang w:val="pt-PT"/>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7"/>
        <w:gridCol w:w="1718"/>
        <w:gridCol w:w="1721"/>
        <w:gridCol w:w="1613"/>
        <w:gridCol w:w="1542"/>
      </w:tblGrid>
      <w:tr w:rsidR="00A7162A" w14:paraId="3EC50818" w14:textId="77777777" w:rsidTr="00FD11AF">
        <w:trPr>
          <w:cantSplit/>
        </w:trPr>
        <w:tc>
          <w:tcPr>
            <w:tcW w:w="2418" w:type="dxa"/>
          </w:tcPr>
          <w:p w14:paraId="1026E9C7" w14:textId="77777777" w:rsidR="00FD11AF" w:rsidRPr="008912CF" w:rsidRDefault="00615769" w:rsidP="00FD11AF">
            <w:pPr>
              <w:pStyle w:val="BodyTextIndent"/>
              <w:keepNext/>
              <w:ind w:left="0" w:right="53" w:firstLine="0"/>
              <w:rPr>
                <w:bCs/>
                <w:color w:val="auto"/>
                <w:szCs w:val="22"/>
              </w:rPr>
            </w:pPr>
            <w:r w:rsidRPr="008912CF">
              <w:rPr>
                <w:bCs/>
                <w:color w:val="auto"/>
                <w:szCs w:val="22"/>
              </w:rPr>
              <w:t>Estratificação</w:t>
            </w:r>
          </w:p>
        </w:tc>
        <w:tc>
          <w:tcPr>
            <w:tcW w:w="3520" w:type="dxa"/>
            <w:gridSpan w:val="2"/>
          </w:tcPr>
          <w:p w14:paraId="3FE32599" w14:textId="77777777" w:rsidR="00FD11AF" w:rsidRPr="008912CF" w:rsidRDefault="00615769" w:rsidP="00FD11AF">
            <w:pPr>
              <w:pStyle w:val="BodyTextIndent"/>
              <w:keepNext/>
              <w:ind w:left="0" w:right="53" w:firstLine="0"/>
              <w:jc w:val="center"/>
              <w:rPr>
                <w:bCs/>
                <w:color w:val="auto"/>
                <w:szCs w:val="22"/>
              </w:rPr>
            </w:pPr>
            <w:r w:rsidRPr="008912CF">
              <w:rPr>
                <w:bCs/>
                <w:color w:val="auto"/>
                <w:szCs w:val="22"/>
              </w:rPr>
              <w:t>MTX</w:t>
            </w:r>
          </w:p>
        </w:tc>
        <w:tc>
          <w:tcPr>
            <w:tcW w:w="3239" w:type="dxa"/>
            <w:gridSpan w:val="2"/>
          </w:tcPr>
          <w:p w14:paraId="0826422A" w14:textId="77777777" w:rsidR="00FD11AF" w:rsidRPr="008912CF" w:rsidRDefault="00615769" w:rsidP="00FD11AF">
            <w:pPr>
              <w:pStyle w:val="BodyTextIndent"/>
              <w:keepNext/>
              <w:ind w:left="0" w:right="53" w:firstLine="0"/>
              <w:jc w:val="center"/>
              <w:rPr>
                <w:bCs/>
                <w:color w:val="auto"/>
                <w:szCs w:val="22"/>
              </w:rPr>
            </w:pPr>
            <w:r w:rsidRPr="008912CF">
              <w:rPr>
                <w:bCs/>
                <w:color w:val="auto"/>
                <w:szCs w:val="22"/>
              </w:rPr>
              <w:t>Sem MTX</w:t>
            </w:r>
          </w:p>
        </w:tc>
      </w:tr>
      <w:tr w:rsidR="00A7162A" w14:paraId="03837AD5" w14:textId="77777777" w:rsidTr="00FD11AF">
        <w:trPr>
          <w:cantSplit/>
        </w:trPr>
        <w:tc>
          <w:tcPr>
            <w:tcW w:w="2418" w:type="dxa"/>
          </w:tcPr>
          <w:p w14:paraId="27D45B75" w14:textId="77777777" w:rsidR="00FD11AF" w:rsidRPr="008912CF" w:rsidRDefault="00615769" w:rsidP="00FD11AF">
            <w:pPr>
              <w:pStyle w:val="BodyTextIndent"/>
              <w:keepNext/>
              <w:ind w:left="0" w:right="53" w:firstLine="0"/>
              <w:rPr>
                <w:bCs/>
                <w:color w:val="auto"/>
                <w:szCs w:val="22"/>
              </w:rPr>
            </w:pPr>
            <w:r w:rsidRPr="008912CF">
              <w:rPr>
                <w:bCs/>
                <w:color w:val="auto"/>
                <w:szCs w:val="22"/>
              </w:rPr>
              <w:t>Fase</w:t>
            </w:r>
          </w:p>
        </w:tc>
        <w:tc>
          <w:tcPr>
            <w:tcW w:w="3520" w:type="dxa"/>
            <w:gridSpan w:val="2"/>
          </w:tcPr>
          <w:p w14:paraId="18C57012" w14:textId="77777777" w:rsidR="00FD11AF" w:rsidRPr="008912CF" w:rsidRDefault="00FD11AF" w:rsidP="00FD11AF">
            <w:pPr>
              <w:pStyle w:val="BodyTextIndent"/>
              <w:keepNext/>
              <w:ind w:left="0" w:right="53" w:firstLine="0"/>
              <w:jc w:val="center"/>
              <w:rPr>
                <w:bCs/>
                <w:color w:val="auto"/>
                <w:szCs w:val="22"/>
              </w:rPr>
            </w:pPr>
          </w:p>
        </w:tc>
        <w:tc>
          <w:tcPr>
            <w:tcW w:w="3239" w:type="dxa"/>
            <w:gridSpan w:val="2"/>
          </w:tcPr>
          <w:p w14:paraId="696930D6" w14:textId="77777777" w:rsidR="00FD11AF" w:rsidRPr="008912CF" w:rsidRDefault="00FD11AF" w:rsidP="00FD11AF">
            <w:pPr>
              <w:pStyle w:val="BodyTextIndent"/>
              <w:keepNext/>
              <w:ind w:left="0" w:right="53" w:firstLine="0"/>
              <w:jc w:val="center"/>
              <w:rPr>
                <w:b w:val="0"/>
                <w:bCs/>
                <w:color w:val="auto"/>
                <w:szCs w:val="22"/>
              </w:rPr>
            </w:pPr>
          </w:p>
        </w:tc>
      </w:tr>
      <w:tr w:rsidR="00A7162A" w14:paraId="5989D74A" w14:textId="77777777" w:rsidTr="00FD11AF">
        <w:trPr>
          <w:cantSplit/>
        </w:trPr>
        <w:tc>
          <w:tcPr>
            <w:tcW w:w="2418" w:type="dxa"/>
          </w:tcPr>
          <w:p w14:paraId="660BDEDF"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 xml:space="preserve">OL-LI </w:t>
            </w:r>
            <w:r>
              <w:rPr>
                <w:b w:val="0"/>
                <w:bCs/>
                <w:color w:val="auto"/>
                <w:szCs w:val="22"/>
              </w:rPr>
              <w:t xml:space="preserve">à Semana </w:t>
            </w:r>
            <w:r w:rsidRPr="008912CF">
              <w:rPr>
                <w:b w:val="0"/>
                <w:bCs/>
                <w:color w:val="auto"/>
                <w:szCs w:val="22"/>
              </w:rPr>
              <w:t>16</w:t>
            </w:r>
          </w:p>
        </w:tc>
        <w:tc>
          <w:tcPr>
            <w:tcW w:w="3520" w:type="dxa"/>
            <w:gridSpan w:val="2"/>
          </w:tcPr>
          <w:p w14:paraId="7071F244" w14:textId="77777777" w:rsidR="00FD11AF" w:rsidRPr="008912CF" w:rsidRDefault="00FD11AF" w:rsidP="00FD11AF">
            <w:pPr>
              <w:pStyle w:val="BodyTextIndent"/>
              <w:keepNext/>
              <w:ind w:left="0" w:right="53" w:firstLine="0"/>
              <w:jc w:val="center"/>
              <w:rPr>
                <w:b w:val="0"/>
                <w:bCs/>
                <w:color w:val="auto"/>
                <w:szCs w:val="22"/>
              </w:rPr>
            </w:pPr>
          </w:p>
        </w:tc>
        <w:tc>
          <w:tcPr>
            <w:tcW w:w="3239" w:type="dxa"/>
            <w:gridSpan w:val="2"/>
          </w:tcPr>
          <w:p w14:paraId="5E681210" w14:textId="77777777" w:rsidR="00FD11AF" w:rsidRPr="008912CF" w:rsidRDefault="00FD11AF" w:rsidP="00FD11AF">
            <w:pPr>
              <w:pStyle w:val="BodyTextIndent"/>
              <w:keepNext/>
              <w:ind w:left="0" w:right="53" w:firstLine="0"/>
              <w:jc w:val="center"/>
              <w:rPr>
                <w:b w:val="0"/>
                <w:bCs/>
                <w:color w:val="auto"/>
                <w:szCs w:val="22"/>
              </w:rPr>
            </w:pPr>
          </w:p>
        </w:tc>
      </w:tr>
      <w:tr w:rsidR="00A7162A" w14:paraId="10AD3E59" w14:textId="77777777" w:rsidTr="00FD11AF">
        <w:trPr>
          <w:cantSplit/>
        </w:trPr>
        <w:tc>
          <w:tcPr>
            <w:tcW w:w="2418" w:type="dxa"/>
          </w:tcPr>
          <w:p w14:paraId="181505CE" w14:textId="77777777" w:rsidR="00FD11AF" w:rsidRPr="008912CF" w:rsidRDefault="00615769" w:rsidP="00FD11AF">
            <w:pPr>
              <w:pStyle w:val="BodyTextIndent"/>
              <w:keepNext/>
              <w:ind w:right="53" w:firstLine="0"/>
              <w:rPr>
                <w:b w:val="0"/>
                <w:bCs/>
                <w:color w:val="auto"/>
                <w:szCs w:val="22"/>
              </w:rPr>
            </w:pPr>
            <w:r w:rsidRPr="008912CF">
              <w:rPr>
                <w:b w:val="0"/>
                <w:bCs/>
                <w:color w:val="auto"/>
                <w:szCs w:val="22"/>
              </w:rPr>
              <w:t>Resposta ACR Ped 30 (n/N)</w:t>
            </w:r>
          </w:p>
        </w:tc>
        <w:tc>
          <w:tcPr>
            <w:tcW w:w="3520" w:type="dxa"/>
            <w:gridSpan w:val="2"/>
          </w:tcPr>
          <w:p w14:paraId="798C7418" w14:textId="77777777" w:rsidR="00FD11AF" w:rsidRPr="008912CF" w:rsidRDefault="00615769" w:rsidP="00FD11AF">
            <w:pPr>
              <w:pStyle w:val="BodyTextIndent"/>
              <w:keepNext/>
              <w:ind w:left="0" w:right="53" w:firstLine="0"/>
              <w:jc w:val="center"/>
              <w:rPr>
                <w:b w:val="0"/>
                <w:bCs/>
                <w:color w:val="auto"/>
                <w:szCs w:val="22"/>
              </w:rPr>
            </w:pPr>
            <w:r w:rsidRPr="008912CF">
              <w:rPr>
                <w:b w:val="0"/>
                <w:bCs/>
                <w:color w:val="auto"/>
                <w:szCs w:val="22"/>
              </w:rPr>
              <w:t>94,1% (80/85)</w:t>
            </w:r>
          </w:p>
        </w:tc>
        <w:tc>
          <w:tcPr>
            <w:tcW w:w="3239" w:type="dxa"/>
            <w:gridSpan w:val="2"/>
          </w:tcPr>
          <w:p w14:paraId="1C4EA8C5" w14:textId="77777777" w:rsidR="00FD11AF" w:rsidRPr="008912CF" w:rsidRDefault="00615769" w:rsidP="00FD11AF">
            <w:pPr>
              <w:pStyle w:val="BodyTextIndent"/>
              <w:keepNext/>
              <w:ind w:left="0" w:right="53" w:firstLine="0"/>
              <w:jc w:val="center"/>
              <w:rPr>
                <w:b w:val="0"/>
                <w:bCs/>
                <w:color w:val="auto"/>
                <w:szCs w:val="22"/>
              </w:rPr>
            </w:pPr>
            <w:r w:rsidRPr="008912CF">
              <w:rPr>
                <w:b w:val="0"/>
                <w:bCs/>
                <w:color w:val="auto"/>
                <w:szCs w:val="22"/>
              </w:rPr>
              <w:t>74,4% (64/86)</w:t>
            </w:r>
          </w:p>
        </w:tc>
      </w:tr>
      <w:tr w:rsidR="00A7162A" w14:paraId="132FD973" w14:textId="77777777" w:rsidTr="00FD11AF">
        <w:trPr>
          <w:cantSplit/>
        </w:trPr>
        <w:tc>
          <w:tcPr>
            <w:tcW w:w="9177" w:type="dxa"/>
            <w:gridSpan w:val="5"/>
          </w:tcPr>
          <w:p w14:paraId="613D9952" w14:textId="77777777" w:rsidR="00FD11AF" w:rsidRPr="008912CF" w:rsidRDefault="00615769" w:rsidP="00FD11AF">
            <w:pPr>
              <w:pStyle w:val="BodyTextIndent"/>
              <w:keepNext/>
              <w:ind w:left="0" w:right="53" w:firstLine="0"/>
              <w:jc w:val="center"/>
              <w:rPr>
                <w:b w:val="0"/>
                <w:bCs/>
                <w:color w:val="auto"/>
                <w:szCs w:val="22"/>
              </w:rPr>
            </w:pPr>
            <w:r w:rsidRPr="008912CF">
              <w:rPr>
                <w:b w:val="0"/>
                <w:bCs/>
                <w:color w:val="auto"/>
                <w:szCs w:val="22"/>
              </w:rPr>
              <w:t>Resultados de eficácia</w:t>
            </w:r>
          </w:p>
        </w:tc>
      </w:tr>
      <w:tr w:rsidR="00A7162A" w14:paraId="3D9306A9" w14:textId="77777777" w:rsidTr="00FD11AF">
        <w:tc>
          <w:tcPr>
            <w:tcW w:w="2418" w:type="dxa"/>
          </w:tcPr>
          <w:p w14:paraId="2DB5D184"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Dupla</w:t>
            </w:r>
            <w:r>
              <w:rPr>
                <w:b w:val="0"/>
                <w:bCs/>
                <w:color w:val="auto"/>
                <w:szCs w:val="22"/>
              </w:rPr>
              <w:t xml:space="preserve"> ocultação à Semana </w:t>
            </w:r>
            <w:r w:rsidRPr="008912CF">
              <w:rPr>
                <w:b w:val="0"/>
                <w:bCs/>
                <w:color w:val="auto"/>
                <w:szCs w:val="22"/>
              </w:rPr>
              <w:t xml:space="preserve">32 </w:t>
            </w:r>
          </w:p>
        </w:tc>
        <w:tc>
          <w:tcPr>
            <w:tcW w:w="1760" w:type="dxa"/>
          </w:tcPr>
          <w:p w14:paraId="33338C65"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 xml:space="preserve">Humira/MTX </w:t>
            </w:r>
          </w:p>
          <w:p w14:paraId="5B9DD78E"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(N = 38)</w:t>
            </w:r>
          </w:p>
          <w:p w14:paraId="51634CC2" w14:textId="77777777" w:rsidR="00FD11AF" w:rsidRPr="008912CF" w:rsidRDefault="00FD11AF" w:rsidP="00FD11AF">
            <w:pPr>
              <w:pStyle w:val="BodyTextIndent"/>
              <w:keepNext/>
              <w:ind w:left="0" w:right="53" w:firstLine="0"/>
              <w:rPr>
                <w:b w:val="0"/>
                <w:bCs/>
                <w:color w:val="auto"/>
                <w:szCs w:val="22"/>
              </w:rPr>
            </w:pPr>
          </w:p>
        </w:tc>
        <w:tc>
          <w:tcPr>
            <w:tcW w:w="1760" w:type="dxa"/>
          </w:tcPr>
          <w:p w14:paraId="69849713"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Placebo/MTX</w:t>
            </w:r>
          </w:p>
          <w:p w14:paraId="1EA4A39F"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(N = 37)</w:t>
            </w:r>
          </w:p>
        </w:tc>
        <w:tc>
          <w:tcPr>
            <w:tcW w:w="1650" w:type="dxa"/>
          </w:tcPr>
          <w:p w14:paraId="2D25DDEF"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 xml:space="preserve">Humira </w:t>
            </w:r>
          </w:p>
          <w:p w14:paraId="20BFE521"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(N = 30)</w:t>
            </w:r>
          </w:p>
        </w:tc>
        <w:tc>
          <w:tcPr>
            <w:tcW w:w="1589" w:type="dxa"/>
          </w:tcPr>
          <w:p w14:paraId="7CC5EB84"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Placebo</w:t>
            </w:r>
          </w:p>
          <w:p w14:paraId="4FE92090"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(N = 28)</w:t>
            </w:r>
          </w:p>
        </w:tc>
      </w:tr>
      <w:tr w:rsidR="00A7162A" w14:paraId="04D70AC3" w14:textId="77777777" w:rsidTr="00FD11AF">
        <w:tc>
          <w:tcPr>
            <w:tcW w:w="2418" w:type="dxa"/>
          </w:tcPr>
          <w:p w14:paraId="4C734CC6" w14:textId="77777777" w:rsidR="00FD11AF" w:rsidRPr="008912CF" w:rsidRDefault="00615769" w:rsidP="00FD11AF">
            <w:pPr>
              <w:pStyle w:val="BodyTextIndent"/>
              <w:keepNext/>
              <w:ind w:right="53" w:firstLine="0"/>
              <w:rPr>
                <w:b w:val="0"/>
                <w:bCs/>
                <w:color w:val="auto"/>
                <w:szCs w:val="22"/>
              </w:rPr>
            </w:pPr>
            <w:r w:rsidRPr="008912CF">
              <w:rPr>
                <w:b w:val="0"/>
                <w:bCs/>
                <w:color w:val="auto"/>
                <w:szCs w:val="22"/>
              </w:rPr>
              <w:t>Agravamento da doença no final das 32</w:t>
            </w:r>
            <w:r>
              <w:rPr>
                <w:b w:val="0"/>
                <w:bCs/>
                <w:color w:val="auto"/>
                <w:szCs w:val="22"/>
              </w:rPr>
              <w:t> </w:t>
            </w:r>
            <w:r w:rsidRPr="008912CF">
              <w:rPr>
                <w:b w:val="0"/>
                <w:bCs/>
                <w:color w:val="auto"/>
                <w:szCs w:val="22"/>
              </w:rPr>
              <w:t>semanas</w:t>
            </w:r>
            <w:r w:rsidRPr="008912CF">
              <w:rPr>
                <w:b w:val="0"/>
                <w:bCs/>
                <w:color w:val="auto"/>
                <w:szCs w:val="22"/>
                <w:vertAlign w:val="superscript"/>
              </w:rPr>
              <w:t>a</w:t>
            </w:r>
            <w:r w:rsidRPr="008912CF">
              <w:rPr>
                <w:b w:val="0"/>
                <w:bCs/>
                <w:color w:val="auto"/>
                <w:szCs w:val="22"/>
              </w:rPr>
              <w:t xml:space="preserve"> (n/N)</w:t>
            </w:r>
          </w:p>
        </w:tc>
        <w:tc>
          <w:tcPr>
            <w:tcW w:w="1760" w:type="dxa"/>
          </w:tcPr>
          <w:p w14:paraId="7E55176D"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36,8% (14/38)</w:t>
            </w:r>
          </w:p>
        </w:tc>
        <w:tc>
          <w:tcPr>
            <w:tcW w:w="1760" w:type="dxa"/>
          </w:tcPr>
          <w:p w14:paraId="2170A616"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64,9% (24/37)</w:t>
            </w:r>
            <w:r w:rsidRPr="008912CF">
              <w:rPr>
                <w:b w:val="0"/>
                <w:bCs/>
                <w:color w:val="auto"/>
                <w:szCs w:val="22"/>
                <w:vertAlign w:val="superscript"/>
              </w:rPr>
              <w:t>b</w:t>
            </w:r>
          </w:p>
        </w:tc>
        <w:tc>
          <w:tcPr>
            <w:tcW w:w="1650" w:type="dxa"/>
          </w:tcPr>
          <w:p w14:paraId="79A06CA3"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43,3% (13/30)</w:t>
            </w:r>
          </w:p>
        </w:tc>
        <w:tc>
          <w:tcPr>
            <w:tcW w:w="1589" w:type="dxa"/>
          </w:tcPr>
          <w:p w14:paraId="1A749078"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71,4% (20/28)</w:t>
            </w:r>
            <w:r w:rsidRPr="008912CF">
              <w:rPr>
                <w:b w:val="0"/>
                <w:bCs/>
                <w:color w:val="auto"/>
                <w:szCs w:val="22"/>
                <w:vertAlign w:val="superscript"/>
              </w:rPr>
              <w:t>c</w:t>
            </w:r>
          </w:p>
        </w:tc>
      </w:tr>
      <w:tr w:rsidR="00A7162A" w14:paraId="311288F8" w14:textId="77777777" w:rsidTr="00FD11AF">
        <w:tc>
          <w:tcPr>
            <w:tcW w:w="2418" w:type="dxa"/>
          </w:tcPr>
          <w:p w14:paraId="48C49309" w14:textId="77777777" w:rsidR="00FD11AF" w:rsidRPr="008912CF" w:rsidRDefault="00615769" w:rsidP="00FD11AF">
            <w:pPr>
              <w:pStyle w:val="BodyTextIndent"/>
              <w:keepNext/>
              <w:ind w:right="53" w:firstLine="0"/>
              <w:rPr>
                <w:b w:val="0"/>
                <w:bCs/>
                <w:color w:val="auto"/>
                <w:szCs w:val="22"/>
              </w:rPr>
            </w:pPr>
            <w:r w:rsidRPr="008912CF">
              <w:rPr>
                <w:b w:val="0"/>
                <w:bCs/>
                <w:color w:val="auto"/>
                <w:szCs w:val="22"/>
              </w:rPr>
              <w:t xml:space="preserve">Tempo </w:t>
            </w:r>
            <w:r>
              <w:rPr>
                <w:b w:val="0"/>
                <w:bCs/>
                <w:color w:val="auto"/>
                <w:szCs w:val="22"/>
              </w:rPr>
              <w:t>mediano</w:t>
            </w:r>
            <w:r w:rsidRPr="008912CF">
              <w:rPr>
                <w:b w:val="0"/>
                <w:bCs/>
                <w:color w:val="auto"/>
                <w:szCs w:val="22"/>
              </w:rPr>
              <w:t xml:space="preserve"> para agravamento da doença</w:t>
            </w:r>
          </w:p>
        </w:tc>
        <w:tc>
          <w:tcPr>
            <w:tcW w:w="1760" w:type="dxa"/>
          </w:tcPr>
          <w:p w14:paraId="3849A2F3"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&gt;32</w:t>
            </w:r>
            <w:r>
              <w:rPr>
                <w:b w:val="0"/>
                <w:bCs/>
                <w:color w:val="auto"/>
                <w:szCs w:val="22"/>
              </w:rPr>
              <w:t> </w:t>
            </w:r>
            <w:r w:rsidRPr="008912CF">
              <w:rPr>
                <w:b w:val="0"/>
                <w:bCs/>
                <w:color w:val="auto"/>
                <w:szCs w:val="22"/>
              </w:rPr>
              <w:t>semanas</w:t>
            </w:r>
          </w:p>
        </w:tc>
        <w:tc>
          <w:tcPr>
            <w:tcW w:w="1760" w:type="dxa"/>
          </w:tcPr>
          <w:p w14:paraId="7BFD2694"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20</w:t>
            </w:r>
            <w:r>
              <w:rPr>
                <w:b w:val="0"/>
                <w:bCs/>
                <w:color w:val="auto"/>
                <w:szCs w:val="22"/>
              </w:rPr>
              <w:t> </w:t>
            </w:r>
            <w:r w:rsidRPr="008912CF">
              <w:rPr>
                <w:b w:val="0"/>
                <w:bCs/>
                <w:color w:val="auto"/>
                <w:szCs w:val="22"/>
              </w:rPr>
              <w:t>semanas</w:t>
            </w:r>
          </w:p>
        </w:tc>
        <w:tc>
          <w:tcPr>
            <w:tcW w:w="1650" w:type="dxa"/>
          </w:tcPr>
          <w:p w14:paraId="39BE07F5"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&gt;32</w:t>
            </w:r>
            <w:r>
              <w:rPr>
                <w:b w:val="0"/>
                <w:bCs/>
                <w:color w:val="auto"/>
                <w:szCs w:val="22"/>
              </w:rPr>
              <w:t> </w:t>
            </w:r>
            <w:r w:rsidRPr="008912CF">
              <w:rPr>
                <w:b w:val="0"/>
                <w:bCs/>
                <w:color w:val="auto"/>
                <w:szCs w:val="22"/>
              </w:rPr>
              <w:t>semanas</w:t>
            </w:r>
          </w:p>
        </w:tc>
        <w:tc>
          <w:tcPr>
            <w:tcW w:w="1589" w:type="dxa"/>
          </w:tcPr>
          <w:p w14:paraId="4A441626" w14:textId="77777777" w:rsidR="00FD11AF" w:rsidRPr="008912CF" w:rsidRDefault="00615769" w:rsidP="00FD11AF">
            <w:pPr>
              <w:pStyle w:val="BodyTextIndent"/>
              <w:keepNext/>
              <w:ind w:left="0" w:right="53" w:firstLine="0"/>
              <w:rPr>
                <w:b w:val="0"/>
                <w:bCs/>
                <w:color w:val="auto"/>
                <w:szCs w:val="22"/>
              </w:rPr>
            </w:pPr>
            <w:r w:rsidRPr="008912CF">
              <w:rPr>
                <w:b w:val="0"/>
                <w:bCs/>
                <w:color w:val="auto"/>
                <w:szCs w:val="22"/>
              </w:rPr>
              <w:t>14</w:t>
            </w:r>
            <w:r>
              <w:rPr>
                <w:b w:val="0"/>
                <w:bCs/>
                <w:color w:val="auto"/>
                <w:szCs w:val="22"/>
              </w:rPr>
              <w:t> </w:t>
            </w:r>
            <w:r w:rsidRPr="008912CF">
              <w:rPr>
                <w:b w:val="0"/>
                <w:bCs/>
                <w:color w:val="auto"/>
                <w:szCs w:val="22"/>
              </w:rPr>
              <w:t>semanas</w:t>
            </w:r>
          </w:p>
        </w:tc>
      </w:tr>
    </w:tbl>
    <w:p w14:paraId="2F1D71C7" w14:textId="77777777" w:rsidR="00FD11AF" w:rsidRPr="008912CF" w:rsidRDefault="00615769" w:rsidP="00FD11AF">
      <w:pPr>
        <w:pStyle w:val="BodyTextIndent"/>
        <w:ind w:left="110" w:right="53" w:firstLine="0"/>
        <w:rPr>
          <w:b w:val="0"/>
          <w:bCs/>
          <w:i/>
          <w:iCs/>
          <w:color w:val="auto"/>
          <w:szCs w:val="22"/>
        </w:rPr>
      </w:pPr>
      <w:r w:rsidRPr="008912CF">
        <w:rPr>
          <w:b w:val="0"/>
          <w:bCs/>
          <w:color w:val="auto"/>
          <w:szCs w:val="22"/>
          <w:vertAlign w:val="superscript"/>
        </w:rPr>
        <w:t xml:space="preserve">a </w:t>
      </w:r>
      <w:r w:rsidRPr="008912CF">
        <w:rPr>
          <w:b w:val="0"/>
          <w:bCs/>
          <w:color w:val="auto"/>
          <w:szCs w:val="22"/>
        </w:rPr>
        <w:t xml:space="preserve">Respostas ACR </w:t>
      </w:r>
      <w:r>
        <w:rPr>
          <w:b w:val="0"/>
          <w:bCs/>
          <w:color w:val="auto"/>
          <w:szCs w:val="22"/>
        </w:rPr>
        <w:t>P</w:t>
      </w:r>
      <w:r w:rsidRPr="008912CF">
        <w:rPr>
          <w:b w:val="0"/>
          <w:bCs/>
          <w:color w:val="auto"/>
          <w:szCs w:val="22"/>
        </w:rPr>
        <w:t xml:space="preserve">ed 30/50/70 à Semana 48 significativamente superiores às observadas nos doentes tratados com placebo </w:t>
      </w:r>
    </w:p>
    <w:p w14:paraId="17A2B769" w14:textId="77777777" w:rsidR="00FD11AF" w:rsidRPr="008912CF" w:rsidRDefault="00615769" w:rsidP="00FD11AF">
      <w:pPr>
        <w:pStyle w:val="BodyTextIndent"/>
        <w:ind w:left="110" w:right="53" w:firstLine="0"/>
        <w:rPr>
          <w:b w:val="0"/>
          <w:bCs/>
          <w:color w:val="auto"/>
          <w:szCs w:val="22"/>
        </w:rPr>
      </w:pPr>
      <w:r w:rsidRPr="008912CF">
        <w:rPr>
          <w:b w:val="0"/>
          <w:bCs/>
          <w:color w:val="auto"/>
          <w:szCs w:val="22"/>
          <w:vertAlign w:val="superscript"/>
        </w:rPr>
        <w:t>b</w:t>
      </w:r>
      <w:r w:rsidRPr="008912CF">
        <w:rPr>
          <w:b w:val="0"/>
          <w:bCs/>
          <w:color w:val="auto"/>
          <w:szCs w:val="22"/>
        </w:rPr>
        <w:t xml:space="preserve"> p = 0,015</w:t>
      </w:r>
    </w:p>
    <w:p w14:paraId="586301FF" w14:textId="77777777" w:rsidR="00FD11AF" w:rsidRPr="008912CF" w:rsidRDefault="00615769" w:rsidP="00FD11AF">
      <w:pPr>
        <w:pStyle w:val="BodyTextIndent"/>
        <w:ind w:left="110" w:right="53" w:firstLine="0"/>
        <w:rPr>
          <w:b w:val="0"/>
          <w:bCs/>
          <w:color w:val="auto"/>
          <w:szCs w:val="22"/>
        </w:rPr>
      </w:pPr>
      <w:r w:rsidRPr="008912CF">
        <w:rPr>
          <w:b w:val="0"/>
          <w:bCs/>
          <w:color w:val="auto"/>
          <w:szCs w:val="22"/>
          <w:vertAlign w:val="superscript"/>
        </w:rPr>
        <w:t>c</w:t>
      </w:r>
      <w:r w:rsidRPr="008912CF">
        <w:rPr>
          <w:b w:val="0"/>
          <w:bCs/>
          <w:color w:val="auto"/>
          <w:szCs w:val="22"/>
        </w:rPr>
        <w:t xml:space="preserve"> p = 0,031</w:t>
      </w:r>
    </w:p>
    <w:p w14:paraId="69507F15" w14:textId="77777777" w:rsidR="00FD11AF" w:rsidRPr="008912CF" w:rsidRDefault="00FD11AF" w:rsidP="00FD11AF">
      <w:pPr>
        <w:pStyle w:val="BodyTextIndent"/>
        <w:ind w:left="110" w:right="53" w:firstLine="0"/>
        <w:rPr>
          <w:b w:val="0"/>
          <w:bCs/>
          <w:color w:val="auto"/>
          <w:szCs w:val="22"/>
        </w:rPr>
      </w:pPr>
    </w:p>
    <w:p w14:paraId="5028349A" w14:textId="77777777" w:rsidR="00FD11AF" w:rsidRPr="008912CF" w:rsidRDefault="00615769" w:rsidP="00FD11AF">
      <w:pPr>
        <w:pStyle w:val="BodyTextIndent"/>
        <w:ind w:left="0" w:firstLine="0"/>
        <w:rPr>
          <w:b w:val="0"/>
          <w:bCs/>
          <w:color w:val="auto"/>
          <w:szCs w:val="22"/>
          <w:vertAlign w:val="superscript"/>
        </w:rPr>
      </w:pPr>
      <w:r w:rsidRPr="008912CF">
        <w:rPr>
          <w:b w:val="0"/>
          <w:color w:val="auto"/>
          <w:szCs w:val="22"/>
        </w:rPr>
        <w:t>Entre os doentes que responderam à Semana</w:t>
      </w:r>
      <w:r>
        <w:rPr>
          <w:b w:val="0"/>
          <w:color w:val="auto"/>
          <w:szCs w:val="22"/>
        </w:rPr>
        <w:t> </w:t>
      </w:r>
      <w:r w:rsidRPr="008912CF">
        <w:rPr>
          <w:b w:val="0"/>
          <w:color w:val="auto"/>
          <w:szCs w:val="22"/>
        </w:rPr>
        <w:t xml:space="preserve">16 (n=144), as respostas ACR </w:t>
      </w:r>
      <w:r>
        <w:rPr>
          <w:b w:val="0"/>
          <w:color w:val="auto"/>
          <w:szCs w:val="22"/>
        </w:rPr>
        <w:t xml:space="preserve">Pediátrico </w:t>
      </w:r>
      <w:r w:rsidRPr="008912CF">
        <w:rPr>
          <w:b w:val="0"/>
          <w:color w:val="auto"/>
          <w:szCs w:val="22"/>
        </w:rPr>
        <w:t xml:space="preserve">30/50/70/90 foram mantidas até seis anos na fase OLE nos doentes que receberam Humira durante o estudo. Um total de </w:t>
      </w:r>
      <w:r w:rsidRPr="008912CF">
        <w:rPr>
          <w:rStyle w:val="longtext"/>
          <w:b w:val="0"/>
          <w:color w:val="auto"/>
          <w:szCs w:val="22"/>
          <w:shd w:val="clear" w:color="auto" w:fill="FFFFFF"/>
        </w:rPr>
        <w:t xml:space="preserve">19 doentes, dos quais 11 do grupo etário de base 4-12 </w:t>
      </w:r>
      <w:r>
        <w:rPr>
          <w:rStyle w:val="longtext"/>
          <w:b w:val="0"/>
          <w:color w:val="auto"/>
          <w:szCs w:val="22"/>
          <w:shd w:val="clear" w:color="auto" w:fill="FFFFFF"/>
        </w:rPr>
        <w:t xml:space="preserve">anos </w:t>
      </w:r>
      <w:r w:rsidRPr="008912CF">
        <w:rPr>
          <w:rStyle w:val="longtext"/>
          <w:b w:val="0"/>
          <w:color w:val="auto"/>
          <w:szCs w:val="22"/>
          <w:shd w:val="clear" w:color="auto" w:fill="FFFFFF"/>
        </w:rPr>
        <w:t xml:space="preserve">e 8 do grupo etário de </w:t>
      </w:r>
      <w:r>
        <w:rPr>
          <w:rStyle w:val="longtext"/>
          <w:b w:val="0"/>
          <w:color w:val="auto"/>
          <w:szCs w:val="22"/>
          <w:shd w:val="clear" w:color="auto" w:fill="FFFFFF"/>
        </w:rPr>
        <w:t>base</w:t>
      </w:r>
      <w:r w:rsidRPr="008912CF">
        <w:rPr>
          <w:rStyle w:val="longtext"/>
          <w:b w:val="0"/>
          <w:color w:val="auto"/>
          <w:szCs w:val="22"/>
          <w:shd w:val="clear" w:color="auto" w:fill="FFFFFF"/>
        </w:rPr>
        <w:t xml:space="preserve"> de 13 a 17 anos, foram tratados durante 6</w:t>
      </w:r>
      <w:r>
        <w:rPr>
          <w:rStyle w:val="longtext"/>
          <w:b w:val="0"/>
          <w:color w:val="auto"/>
          <w:szCs w:val="22"/>
          <w:shd w:val="clear" w:color="auto" w:fill="FFFFFF"/>
        </w:rPr>
        <w:t> </w:t>
      </w:r>
      <w:r w:rsidRPr="008912CF">
        <w:rPr>
          <w:rStyle w:val="longtext"/>
          <w:b w:val="0"/>
          <w:color w:val="auto"/>
          <w:szCs w:val="22"/>
          <w:shd w:val="clear" w:color="auto" w:fill="FFFFFF"/>
        </w:rPr>
        <w:t>anos ou mais.</w:t>
      </w:r>
    </w:p>
    <w:p w14:paraId="3176C7F8" w14:textId="77777777" w:rsidR="00FD11AF" w:rsidRPr="008912CF" w:rsidRDefault="00FD11AF" w:rsidP="00FD11AF">
      <w:pPr>
        <w:pStyle w:val="BodyTextIndent"/>
        <w:ind w:left="0" w:firstLine="0"/>
        <w:rPr>
          <w:b w:val="0"/>
          <w:bCs/>
          <w:color w:val="auto"/>
          <w:szCs w:val="22"/>
        </w:rPr>
      </w:pPr>
    </w:p>
    <w:p w14:paraId="34E24EA2" w14:textId="77777777" w:rsidR="00FD11AF" w:rsidRPr="008912CF" w:rsidRDefault="00615769" w:rsidP="00FD11AF">
      <w:pPr>
        <w:rPr>
          <w:sz w:val="22"/>
          <w:szCs w:val="22"/>
        </w:rPr>
      </w:pPr>
      <w:r w:rsidRPr="008912CF">
        <w:rPr>
          <w:sz w:val="22"/>
          <w:szCs w:val="22"/>
        </w:rPr>
        <w:t xml:space="preserve">As respostas globais foram geralmente melhores e </w:t>
      </w:r>
      <w:r>
        <w:rPr>
          <w:sz w:val="22"/>
          <w:szCs w:val="22"/>
        </w:rPr>
        <w:t xml:space="preserve">um menor número de </w:t>
      </w:r>
      <w:r w:rsidRPr="008912CF">
        <w:rPr>
          <w:sz w:val="22"/>
          <w:szCs w:val="22"/>
        </w:rPr>
        <w:t>doentes desenvolve</w:t>
      </w:r>
      <w:r>
        <w:rPr>
          <w:sz w:val="22"/>
          <w:szCs w:val="22"/>
        </w:rPr>
        <w:t>u</w:t>
      </w:r>
      <w:r w:rsidRPr="008912CF">
        <w:rPr>
          <w:sz w:val="22"/>
          <w:szCs w:val="22"/>
        </w:rPr>
        <w:t xml:space="preserve"> anticorpos quando tratados com a associação de Humira e MTX, comparativamente com Humira em monoterapia. Considerando estes resultados, Humira é recomendado para utilização em associação com MTX e para utilização em monoterapia, em doentes para os quais a utilização de MTX não é apropriada (ver secção 4.2).</w:t>
      </w:r>
    </w:p>
    <w:p w14:paraId="68EF7903" w14:textId="77777777" w:rsidR="00FD11AF" w:rsidRPr="008912CF" w:rsidRDefault="00FD11AF" w:rsidP="00FD11AF">
      <w:pPr>
        <w:rPr>
          <w:sz w:val="22"/>
          <w:szCs w:val="22"/>
          <w:u w:val="single"/>
        </w:rPr>
      </w:pPr>
    </w:p>
    <w:p w14:paraId="460251F7" w14:textId="77777777" w:rsidR="00FD11AF" w:rsidRPr="008912CF" w:rsidRDefault="00615769" w:rsidP="00FD11AF">
      <w:pPr>
        <w:keepNext/>
        <w:rPr>
          <w:sz w:val="22"/>
          <w:szCs w:val="22"/>
        </w:rPr>
      </w:pPr>
      <w:r w:rsidRPr="008912CF">
        <w:rPr>
          <w:sz w:val="22"/>
          <w:szCs w:val="22"/>
        </w:rPr>
        <w:t>AIJp II</w:t>
      </w:r>
    </w:p>
    <w:p w14:paraId="620F3D75" w14:textId="77777777" w:rsidR="00FD11AF" w:rsidRPr="008912CF" w:rsidRDefault="00FD11AF" w:rsidP="00FD11AF">
      <w:pPr>
        <w:keepNext/>
        <w:rPr>
          <w:sz w:val="22"/>
          <w:szCs w:val="22"/>
          <w:u w:val="single"/>
        </w:rPr>
      </w:pPr>
    </w:p>
    <w:p w14:paraId="7DB58B57" w14:textId="77777777" w:rsidR="00FD11AF" w:rsidRPr="008912CF" w:rsidRDefault="00615769" w:rsidP="00FD11AF">
      <w:pPr>
        <w:keepNext/>
        <w:rPr>
          <w:sz w:val="22"/>
          <w:szCs w:val="22"/>
        </w:rPr>
      </w:pPr>
      <w:r w:rsidRPr="008912CF">
        <w:rPr>
          <w:sz w:val="22"/>
          <w:szCs w:val="22"/>
        </w:rPr>
        <w:t xml:space="preserve">A segurança e eficácia de Humira foram avaliadas num estudo multicêntrico aberto em 32 crianças (com 2 e menos de 4 anos ou com 4 ou mais </w:t>
      </w:r>
      <w:r>
        <w:rPr>
          <w:sz w:val="22"/>
          <w:szCs w:val="22"/>
        </w:rPr>
        <w:t xml:space="preserve">de </w:t>
      </w:r>
      <w:r w:rsidRPr="008912CF">
        <w:rPr>
          <w:sz w:val="22"/>
          <w:szCs w:val="22"/>
        </w:rPr>
        <w:t>4 anos de idade e com peso &lt; 15 kg) com AIJ poliarticular ativa moderada a grave. Os doentes receberam 24 mg/m</w:t>
      </w:r>
      <w:r w:rsidRPr="008912CF">
        <w:rPr>
          <w:sz w:val="22"/>
          <w:szCs w:val="22"/>
          <w:vertAlign w:val="superscript"/>
        </w:rPr>
        <w:t>2</w:t>
      </w:r>
      <w:r w:rsidRPr="008912CF">
        <w:rPr>
          <w:sz w:val="22"/>
          <w:szCs w:val="22"/>
        </w:rPr>
        <w:t xml:space="preserve"> de área de superfície corporal até uma dose máxima única de 20 mg de Humira administrada em semanas alternadas, por injeção subcutânea durante cerca de 24 semanas. Durante o estudo, a maior parte dos doentes foi tratada concomitantemente com MTX e poucos reportaram o uso de corticoides ou AINEs.</w:t>
      </w:r>
    </w:p>
    <w:p w14:paraId="38AF80A4" w14:textId="77777777" w:rsidR="00FD11AF" w:rsidRPr="008912CF" w:rsidRDefault="00FD11AF" w:rsidP="00FD11AF">
      <w:pPr>
        <w:rPr>
          <w:sz w:val="22"/>
          <w:szCs w:val="22"/>
        </w:rPr>
      </w:pPr>
    </w:p>
    <w:p w14:paraId="3FE6ED1E" w14:textId="77777777" w:rsidR="00FD11AF" w:rsidRPr="008912CF" w:rsidRDefault="00615769" w:rsidP="00FD11AF">
      <w:pPr>
        <w:rPr>
          <w:sz w:val="22"/>
          <w:szCs w:val="22"/>
          <w:u w:val="single"/>
        </w:rPr>
      </w:pPr>
      <w:r w:rsidRPr="008912CF">
        <w:rPr>
          <w:sz w:val="22"/>
          <w:szCs w:val="22"/>
        </w:rPr>
        <w:t>À</w:t>
      </w:r>
      <w:r>
        <w:rPr>
          <w:sz w:val="22"/>
          <w:szCs w:val="22"/>
        </w:rPr>
        <w:t>s</w:t>
      </w:r>
      <w:r w:rsidRPr="008912CF">
        <w:rPr>
          <w:sz w:val="22"/>
          <w:szCs w:val="22"/>
        </w:rPr>
        <w:t xml:space="preserve"> semana</w:t>
      </w:r>
      <w:r>
        <w:rPr>
          <w:sz w:val="22"/>
          <w:szCs w:val="22"/>
        </w:rPr>
        <w:t>s</w:t>
      </w:r>
      <w:r w:rsidRPr="008912CF">
        <w:rPr>
          <w:sz w:val="22"/>
          <w:szCs w:val="22"/>
        </w:rPr>
        <w:t xml:space="preserve"> 12 e 24</w:t>
      </w:r>
      <w:r>
        <w:rPr>
          <w:sz w:val="22"/>
          <w:szCs w:val="22"/>
        </w:rPr>
        <w:t>,</w:t>
      </w:r>
      <w:r w:rsidRPr="008912CF">
        <w:rPr>
          <w:sz w:val="22"/>
          <w:szCs w:val="22"/>
        </w:rPr>
        <w:t xml:space="preserve"> a resposta ACR </w:t>
      </w:r>
      <w:r>
        <w:rPr>
          <w:sz w:val="22"/>
          <w:szCs w:val="22"/>
        </w:rPr>
        <w:t xml:space="preserve">Pediátrico </w:t>
      </w:r>
      <w:r w:rsidRPr="008912CF">
        <w:rPr>
          <w:sz w:val="22"/>
          <w:szCs w:val="22"/>
        </w:rPr>
        <w:t>30 (ACR Ped 30) foi de 93,5</w:t>
      </w:r>
      <w:r>
        <w:rPr>
          <w:sz w:val="22"/>
          <w:szCs w:val="22"/>
        </w:rPr>
        <w:t>%</w:t>
      </w:r>
      <w:r w:rsidRPr="008912CF">
        <w:rPr>
          <w:sz w:val="22"/>
          <w:szCs w:val="22"/>
        </w:rPr>
        <w:t xml:space="preserve"> e 90</w:t>
      </w:r>
      <w:r>
        <w:rPr>
          <w:sz w:val="22"/>
          <w:szCs w:val="22"/>
        </w:rPr>
        <w:t>%,</w:t>
      </w:r>
      <w:r w:rsidRPr="008912CF">
        <w:rPr>
          <w:sz w:val="22"/>
          <w:szCs w:val="22"/>
        </w:rPr>
        <w:t xml:space="preserve"> respetivamente</w:t>
      </w:r>
      <w:r>
        <w:rPr>
          <w:sz w:val="22"/>
          <w:szCs w:val="22"/>
        </w:rPr>
        <w:t>,</w:t>
      </w:r>
      <w:r w:rsidRPr="008912CF">
        <w:rPr>
          <w:sz w:val="22"/>
          <w:szCs w:val="22"/>
        </w:rPr>
        <w:t xml:space="preserve"> com base na abordagem de dados observados. A proporção de doentes com resposta ACR Ped 50/70/90 à</w:t>
      </w:r>
      <w:r>
        <w:rPr>
          <w:sz w:val="22"/>
          <w:szCs w:val="22"/>
        </w:rPr>
        <w:t>s</w:t>
      </w:r>
      <w:r w:rsidRPr="008912CF">
        <w:rPr>
          <w:sz w:val="22"/>
          <w:szCs w:val="22"/>
        </w:rPr>
        <w:t xml:space="preserve"> semana</w:t>
      </w:r>
      <w:r>
        <w:rPr>
          <w:sz w:val="22"/>
          <w:szCs w:val="22"/>
        </w:rPr>
        <w:t>s </w:t>
      </w:r>
      <w:r w:rsidRPr="008912CF">
        <w:rPr>
          <w:sz w:val="22"/>
          <w:szCs w:val="22"/>
        </w:rPr>
        <w:t>12 e 24 foi de 90,3</w:t>
      </w:r>
      <w:r>
        <w:rPr>
          <w:sz w:val="22"/>
          <w:szCs w:val="22"/>
        </w:rPr>
        <w:t>%</w:t>
      </w:r>
      <w:r w:rsidRPr="008912CF">
        <w:rPr>
          <w:sz w:val="22"/>
          <w:szCs w:val="22"/>
        </w:rPr>
        <w:t>, 61,3</w:t>
      </w:r>
      <w:r>
        <w:rPr>
          <w:sz w:val="22"/>
          <w:szCs w:val="22"/>
        </w:rPr>
        <w:t>%</w:t>
      </w:r>
      <w:r w:rsidRPr="008912CF">
        <w:rPr>
          <w:sz w:val="22"/>
          <w:szCs w:val="22"/>
        </w:rPr>
        <w:t>, 38,7</w:t>
      </w:r>
      <w:r>
        <w:rPr>
          <w:sz w:val="22"/>
          <w:szCs w:val="22"/>
        </w:rPr>
        <w:t>%</w:t>
      </w:r>
      <w:r w:rsidRPr="008912CF">
        <w:rPr>
          <w:sz w:val="22"/>
          <w:szCs w:val="22"/>
        </w:rPr>
        <w:t xml:space="preserve"> e 83,3</w:t>
      </w:r>
      <w:r>
        <w:rPr>
          <w:sz w:val="22"/>
          <w:szCs w:val="22"/>
        </w:rPr>
        <w:t>%</w:t>
      </w:r>
      <w:r w:rsidRPr="008912CF">
        <w:rPr>
          <w:sz w:val="22"/>
          <w:szCs w:val="22"/>
        </w:rPr>
        <w:t>, 73,3</w:t>
      </w:r>
      <w:r>
        <w:rPr>
          <w:sz w:val="22"/>
          <w:szCs w:val="22"/>
        </w:rPr>
        <w:t>%</w:t>
      </w:r>
      <w:r w:rsidRPr="008912CF">
        <w:rPr>
          <w:sz w:val="22"/>
          <w:szCs w:val="22"/>
        </w:rPr>
        <w:t>, 36,7</w:t>
      </w:r>
      <w:r>
        <w:rPr>
          <w:sz w:val="22"/>
          <w:szCs w:val="22"/>
        </w:rPr>
        <w:t>%,</w:t>
      </w:r>
      <w:r w:rsidRPr="008912CF">
        <w:rPr>
          <w:sz w:val="22"/>
          <w:szCs w:val="22"/>
        </w:rPr>
        <w:t xml:space="preserve"> respetivamente. Entre os doentes que responderam à semana</w:t>
      </w:r>
      <w:r>
        <w:rPr>
          <w:sz w:val="22"/>
          <w:szCs w:val="22"/>
        </w:rPr>
        <w:t> </w:t>
      </w:r>
      <w:r w:rsidRPr="008912CF">
        <w:rPr>
          <w:sz w:val="22"/>
          <w:szCs w:val="22"/>
        </w:rPr>
        <w:t>24 (n=27 dos 30 doentes), a resposta ACR Ped 30 manteve-se durante um período de 60</w:t>
      </w:r>
      <w:r>
        <w:rPr>
          <w:sz w:val="22"/>
          <w:szCs w:val="22"/>
        </w:rPr>
        <w:t> </w:t>
      </w:r>
      <w:r w:rsidRPr="008912CF">
        <w:rPr>
          <w:sz w:val="22"/>
          <w:szCs w:val="22"/>
        </w:rPr>
        <w:t>semanas na fase OLE em doentes que receberam Humira durante este período de tempo. Foram tratados um total d</w:t>
      </w:r>
      <w:r w:rsidRPr="008912CF">
        <w:rPr>
          <w:sz w:val="22"/>
          <w:szCs w:val="22"/>
        </w:rPr>
        <w:t>e 20 doentes, durante 60</w:t>
      </w:r>
      <w:r>
        <w:rPr>
          <w:sz w:val="22"/>
          <w:szCs w:val="22"/>
        </w:rPr>
        <w:t> </w:t>
      </w:r>
      <w:r w:rsidRPr="008912CF">
        <w:rPr>
          <w:sz w:val="22"/>
          <w:szCs w:val="22"/>
        </w:rPr>
        <w:t>semanas ou mais</w:t>
      </w:r>
      <w:r w:rsidRPr="00DF5632">
        <w:rPr>
          <w:sz w:val="22"/>
          <w:szCs w:val="22"/>
        </w:rPr>
        <w:t>.</w:t>
      </w:r>
    </w:p>
    <w:p w14:paraId="19237410" w14:textId="77777777" w:rsidR="00FD11AF" w:rsidRPr="008912CF" w:rsidRDefault="00FD11AF" w:rsidP="00FD11AF">
      <w:pPr>
        <w:rPr>
          <w:sz w:val="22"/>
          <w:szCs w:val="22"/>
        </w:rPr>
      </w:pPr>
    </w:p>
    <w:p w14:paraId="00284D54" w14:textId="77777777" w:rsidR="00FD11AF" w:rsidRPr="008912CF" w:rsidRDefault="00615769" w:rsidP="00FD11AF">
      <w:pPr>
        <w:rPr>
          <w:sz w:val="22"/>
          <w:szCs w:val="22"/>
          <w:u w:val="single"/>
        </w:rPr>
      </w:pPr>
      <w:r w:rsidRPr="008912CF">
        <w:rPr>
          <w:i/>
          <w:sz w:val="22"/>
          <w:szCs w:val="22"/>
          <w:u w:val="single"/>
        </w:rPr>
        <w:t>Artrite relacionada com entesite</w:t>
      </w:r>
    </w:p>
    <w:p w14:paraId="252B35E2" w14:textId="77777777" w:rsidR="00FD11AF" w:rsidRPr="008912CF" w:rsidRDefault="00FD11AF" w:rsidP="00FD11AF">
      <w:pPr>
        <w:rPr>
          <w:sz w:val="22"/>
          <w:szCs w:val="22"/>
        </w:rPr>
      </w:pPr>
    </w:p>
    <w:p w14:paraId="05BED295" w14:textId="77777777" w:rsidR="00FD11AF" w:rsidRPr="008912CF" w:rsidRDefault="00615769" w:rsidP="00FD11AF">
      <w:pPr>
        <w:rPr>
          <w:sz w:val="22"/>
          <w:szCs w:val="22"/>
        </w:rPr>
      </w:pPr>
      <w:r w:rsidRPr="008912CF">
        <w:rPr>
          <w:sz w:val="22"/>
          <w:szCs w:val="22"/>
        </w:rPr>
        <w:t xml:space="preserve">A segurança e eficácia de Humira foram avaliadas num estudo multicêntrico, aleatorizado, com dupla ocultação, em 46 doentes pediátricos (entre os 6 e os 17 anos de idade) com artrite relacionada com entesite moderada. Os doentes foram </w:t>
      </w:r>
      <w:r>
        <w:rPr>
          <w:sz w:val="22"/>
          <w:szCs w:val="22"/>
        </w:rPr>
        <w:t>aleatorizados</w:t>
      </w:r>
      <w:r w:rsidRPr="008912CF">
        <w:rPr>
          <w:sz w:val="22"/>
          <w:szCs w:val="22"/>
        </w:rPr>
        <w:t xml:space="preserve"> para receberem 24 mg/m</w:t>
      </w:r>
      <w:r w:rsidRPr="008912CF">
        <w:rPr>
          <w:sz w:val="22"/>
          <w:szCs w:val="22"/>
          <w:vertAlign w:val="superscript"/>
        </w:rPr>
        <w:t>2</w:t>
      </w:r>
      <w:r w:rsidRPr="008912CF">
        <w:rPr>
          <w:sz w:val="22"/>
          <w:szCs w:val="22"/>
        </w:rPr>
        <w:t xml:space="preserve"> de área de superfície corporal (BSA) de Humira até uma dose máxima de 40 mg, ou placebo, em semanas alternadas, durante 12 semanas. O período em dupla-ocultação é seguido de um período aberto (OL), durante o qual os doentes receberam 24 mg/m</w:t>
      </w:r>
      <w:r w:rsidRPr="008912CF">
        <w:rPr>
          <w:sz w:val="22"/>
          <w:szCs w:val="22"/>
          <w:vertAlign w:val="superscript"/>
        </w:rPr>
        <w:t>2</w:t>
      </w:r>
      <w:r w:rsidRPr="008912CF">
        <w:rPr>
          <w:sz w:val="22"/>
          <w:szCs w:val="22"/>
        </w:rPr>
        <w:t xml:space="preserve"> de área de superfície corporal </w:t>
      </w:r>
      <w:r>
        <w:rPr>
          <w:sz w:val="22"/>
          <w:szCs w:val="22"/>
        </w:rPr>
        <w:t>(</w:t>
      </w:r>
      <w:r w:rsidRPr="008912CF">
        <w:rPr>
          <w:sz w:val="22"/>
          <w:szCs w:val="22"/>
        </w:rPr>
        <w:t>BSA</w:t>
      </w:r>
      <w:r>
        <w:rPr>
          <w:sz w:val="22"/>
          <w:szCs w:val="22"/>
        </w:rPr>
        <w:t>)</w:t>
      </w:r>
      <w:r w:rsidRPr="008912CF">
        <w:rPr>
          <w:sz w:val="22"/>
          <w:szCs w:val="22"/>
        </w:rPr>
        <w:t xml:space="preserve"> de Humira até uma dose máxima de 40 mg, em semanas alternadas, por via subcutânea, adicionalmente até um máximo de 192 semanas. O objetivo primário foi a variação percentual, da avaliação inicia</w:t>
      </w:r>
      <w:r w:rsidRPr="008912CF">
        <w:rPr>
          <w:sz w:val="22"/>
          <w:szCs w:val="22"/>
        </w:rPr>
        <w:t>l à Semana 12, do número de articulações ativas com artrite (tumefação não devid</w:t>
      </w:r>
      <w:r>
        <w:rPr>
          <w:sz w:val="22"/>
          <w:szCs w:val="22"/>
        </w:rPr>
        <w:t>a</w:t>
      </w:r>
      <w:r w:rsidRPr="008912CF">
        <w:rPr>
          <w:sz w:val="22"/>
          <w:szCs w:val="22"/>
        </w:rPr>
        <w:t xml:space="preserve"> a deformidade ou articulações com limitação de movimento além de dor e/ou dor à palpação</w:t>
      </w:r>
      <w:r>
        <w:rPr>
          <w:sz w:val="22"/>
          <w:szCs w:val="22"/>
        </w:rPr>
        <w:t>)</w:t>
      </w:r>
      <w:r w:rsidRPr="008912CF">
        <w:rPr>
          <w:sz w:val="22"/>
          <w:szCs w:val="22"/>
        </w:rPr>
        <w:t>, a qual foi conseguida com uma diminuição percentual média de -62,6</w:t>
      </w:r>
      <w:r>
        <w:rPr>
          <w:sz w:val="22"/>
          <w:szCs w:val="22"/>
        </w:rPr>
        <w:t>%</w:t>
      </w:r>
      <w:r w:rsidRPr="008912CF">
        <w:rPr>
          <w:sz w:val="22"/>
          <w:szCs w:val="22"/>
        </w:rPr>
        <w:t xml:space="preserve"> (variação percentual </w:t>
      </w:r>
      <w:r>
        <w:rPr>
          <w:sz w:val="22"/>
          <w:szCs w:val="22"/>
        </w:rPr>
        <w:t>mediana de</w:t>
      </w:r>
      <w:r w:rsidRPr="008912CF">
        <w:rPr>
          <w:sz w:val="22"/>
          <w:szCs w:val="22"/>
        </w:rPr>
        <w:t xml:space="preserve"> -88,9</w:t>
      </w:r>
      <w:r>
        <w:rPr>
          <w:sz w:val="22"/>
          <w:szCs w:val="22"/>
        </w:rPr>
        <w:t>%</w:t>
      </w:r>
      <w:r w:rsidRPr="008912CF">
        <w:rPr>
          <w:sz w:val="22"/>
          <w:szCs w:val="22"/>
        </w:rPr>
        <w:t>) no grupo de doentes que receberam Humira, comparativamente com -11,6</w:t>
      </w:r>
      <w:r>
        <w:rPr>
          <w:sz w:val="22"/>
          <w:szCs w:val="22"/>
        </w:rPr>
        <w:t>%</w:t>
      </w:r>
      <w:r w:rsidRPr="008912CF">
        <w:rPr>
          <w:sz w:val="22"/>
          <w:szCs w:val="22"/>
        </w:rPr>
        <w:t xml:space="preserve"> (variação percentual </w:t>
      </w:r>
      <w:r>
        <w:rPr>
          <w:sz w:val="22"/>
          <w:szCs w:val="22"/>
        </w:rPr>
        <w:t>mediana de</w:t>
      </w:r>
      <w:r w:rsidRPr="008912CF">
        <w:rPr>
          <w:sz w:val="22"/>
          <w:szCs w:val="22"/>
        </w:rPr>
        <w:t xml:space="preserve"> -50</w:t>
      </w:r>
      <w:r>
        <w:rPr>
          <w:sz w:val="22"/>
          <w:szCs w:val="22"/>
        </w:rPr>
        <w:t>%</w:t>
      </w:r>
      <w:r w:rsidRPr="008912CF">
        <w:rPr>
          <w:sz w:val="22"/>
          <w:szCs w:val="22"/>
        </w:rPr>
        <w:t>) no grupo de doentes tratados com placebo. A melhoria no número de articulações ativas com artrite foi mantida durante o per</w:t>
      </w:r>
      <w:r w:rsidRPr="008912CF">
        <w:rPr>
          <w:sz w:val="22"/>
          <w:szCs w:val="22"/>
        </w:rPr>
        <w:t xml:space="preserve">íodo aberto (OL) até à Semana </w:t>
      </w:r>
      <w:r>
        <w:rPr>
          <w:sz w:val="22"/>
          <w:szCs w:val="22"/>
        </w:rPr>
        <w:t>156 para 26 dos 31 doentes (84%) do grupo Humira que permaneceram</w:t>
      </w:r>
      <w:r w:rsidRPr="008912CF">
        <w:rPr>
          <w:sz w:val="22"/>
          <w:szCs w:val="22"/>
        </w:rPr>
        <w:t xml:space="preserve"> </w:t>
      </w:r>
      <w:r>
        <w:rPr>
          <w:sz w:val="22"/>
          <w:szCs w:val="22"/>
        </w:rPr>
        <w:t>n</w:t>
      </w:r>
      <w:r w:rsidRPr="008912CF">
        <w:rPr>
          <w:sz w:val="22"/>
          <w:szCs w:val="22"/>
        </w:rPr>
        <w:t>o estudo. Embora sem significância estatística, a maioria dos doentes demonstraram melhoria clínica nos objetivos secundários, tais como número de locais com entesite, contagem de articulações dolorosas (TJC), contagem de articulações tumefactas (SJC),</w:t>
      </w:r>
      <w:r w:rsidRPr="008912CF">
        <w:rPr>
          <w:szCs w:val="22"/>
        </w:rPr>
        <w:t xml:space="preserve"> </w:t>
      </w:r>
      <w:r w:rsidRPr="008912CF">
        <w:rPr>
          <w:sz w:val="22"/>
          <w:szCs w:val="22"/>
        </w:rPr>
        <w:t>respostas ACR</w:t>
      </w:r>
      <w:r>
        <w:rPr>
          <w:sz w:val="22"/>
          <w:szCs w:val="22"/>
        </w:rPr>
        <w:t xml:space="preserve"> Pediátrico</w:t>
      </w:r>
      <w:r w:rsidRPr="008912CF">
        <w:rPr>
          <w:sz w:val="22"/>
          <w:szCs w:val="22"/>
        </w:rPr>
        <w:t xml:space="preserve"> 50 e respostas ACR </w:t>
      </w:r>
      <w:r>
        <w:rPr>
          <w:sz w:val="22"/>
          <w:szCs w:val="22"/>
        </w:rPr>
        <w:t xml:space="preserve">Pediátrico </w:t>
      </w:r>
      <w:r w:rsidRPr="008912CF">
        <w:rPr>
          <w:sz w:val="22"/>
          <w:szCs w:val="22"/>
        </w:rPr>
        <w:t>70.</w:t>
      </w:r>
    </w:p>
    <w:p w14:paraId="04A157D4" w14:textId="77777777" w:rsidR="00116EA1" w:rsidRPr="008912CF" w:rsidRDefault="00116EA1" w:rsidP="00116EA1"/>
    <w:p w14:paraId="3CB30E3F" w14:textId="77777777" w:rsidR="00116EA1" w:rsidRPr="008912CF" w:rsidRDefault="00615769" w:rsidP="00116EA1">
      <w:pPr>
        <w:rPr>
          <w:sz w:val="22"/>
          <w:szCs w:val="22"/>
        </w:rPr>
      </w:pPr>
      <w:r w:rsidRPr="008912CF">
        <w:rPr>
          <w:i/>
          <w:sz w:val="22"/>
          <w:szCs w:val="22"/>
        </w:rPr>
        <w:t>Psoríase pediátrica em placas</w:t>
      </w:r>
    </w:p>
    <w:p w14:paraId="3C366380" w14:textId="77777777" w:rsidR="00116EA1" w:rsidRPr="008912CF" w:rsidRDefault="00116EA1" w:rsidP="00116EA1">
      <w:pPr>
        <w:rPr>
          <w:sz w:val="22"/>
          <w:szCs w:val="22"/>
          <w:u w:val="single"/>
        </w:rPr>
      </w:pPr>
    </w:p>
    <w:p w14:paraId="0D93EC76" w14:textId="77777777" w:rsidR="00116EA1" w:rsidRPr="008912CF" w:rsidRDefault="00615769" w:rsidP="00116EA1">
      <w:pPr>
        <w:rPr>
          <w:rFonts w:ascii="TimesNewRoman" w:hAnsi="TimesNewRoman" w:cs="TimesNewRoman"/>
          <w:sz w:val="22"/>
          <w:szCs w:val="22"/>
          <w:lang w:eastAsia="pt-PT"/>
        </w:rPr>
      </w:pPr>
      <w:r w:rsidRPr="008912CF">
        <w:rPr>
          <w:sz w:val="22"/>
          <w:szCs w:val="22"/>
        </w:rPr>
        <w:t>A eficácia d</w:t>
      </w:r>
      <w:r>
        <w:rPr>
          <w:sz w:val="22"/>
          <w:szCs w:val="22"/>
        </w:rPr>
        <w:t>e</w:t>
      </w:r>
      <w:r w:rsidRPr="008912CF">
        <w:rPr>
          <w:sz w:val="22"/>
          <w:szCs w:val="22"/>
        </w:rPr>
        <w:t xml:space="preserve"> Humira foi avaliada num estudo </w:t>
      </w:r>
      <w:r>
        <w:rPr>
          <w:sz w:val="22"/>
          <w:szCs w:val="22"/>
        </w:rPr>
        <w:t>aleatorizado,</w:t>
      </w:r>
      <w:r w:rsidRPr="008912CF">
        <w:rPr>
          <w:sz w:val="22"/>
          <w:szCs w:val="22"/>
        </w:rPr>
        <w:t xml:space="preserve"> em dupla ocultação, controlado, em 114 doentes pediátricos a partir dos 4 anos de idade, com psoríase em placas crónica grave (definida por </w:t>
      </w:r>
      <w:r w:rsidRPr="008912CF">
        <w:rPr>
          <w:i/>
          <w:sz w:val="22"/>
          <w:szCs w:val="22"/>
        </w:rPr>
        <w:t xml:space="preserve">Physician Global Assessment </w:t>
      </w:r>
      <w:r w:rsidRPr="008912CF">
        <w:rPr>
          <w:sz w:val="22"/>
          <w:szCs w:val="22"/>
        </w:rPr>
        <w:t>(PGA)</w:t>
      </w:r>
      <w:r>
        <w:rPr>
          <w:sz w:val="22"/>
          <w:szCs w:val="22"/>
        </w:rPr>
        <w:t> </w:t>
      </w:r>
      <w:r w:rsidRPr="008912CF">
        <w:rPr>
          <w:sz w:val="22"/>
          <w:szCs w:val="22"/>
        </w:rPr>
        <w:t>≥</w:t>
      </w:r>
      <w:r>
        <w:rPr>
          <w:sz w:val="22"/>
          <w:szCs w:val="22"/>
        </w:rPr>
        <w:t> </w:t>
      </w:r>
      <w:r w:rsidRPr="008912CF">
        <w:rPr>
          <w:sz w:val="22"/>
          <w:szCs w:val="22"/>
        </w:rPr>
        <w:t>4 ou envolvimento BSA &gt;</w:t>
      </w:r>
      <w:r>
        <w:rPr>
          <w:sz w:val="22"/>
          <w:szCs w:val="22"/>
        </w:rPr>
        <w:t> </w:t>
      </w:r>
      <w:r w:rsidRPr="008912CF">
        <w:rPr>
          <w:sz w:val="22"/>
          <w:szCs w:val="22"/>
        </w:rPr>
        <w:t xml:space="preserve">20% ou envolvimento BSA &gt;10% com lesões muito espessas, ou </w:t>
      </w:r>
      <w:r w:rsidRPr="008912CF">
        <w:rPr>
          <w:i/>
          <w:sz w:val="22"/>
          <w:szCs w:val="22"/>
        </w:rPr>
        <w:t>Psoriasis Area and Severity Index</w:t>
      </w:r>
      <w:r w:rsidRPr="008912CF">
        <w:rPr>
          <w:sz w:val="22"/>
          <w:szCs w:val="22"/>
        </w:rPr>
        <w:t xml:space="preserve"> (PASI) ≥</w:t>
      </w:r>
      <w:r>
        <w:rPr>
          <w:sz w:val="22"/>
          <w:szCs w:val="22"/>
        </w:rPr>
        <w:t> </w:t>
      </w:r>
      <w:r w:rsidRPr="008912CF">
        <w:rPr>
          <w:sz w:val="22"/>
          <w:szCs w:val="22"/>
        </w:rPr>
        <w:t>20 ou ≥</w:t>
      </w:r>
      <w:r>
        <w:rPr>
          <w:sz w:val="22"/>
          <w:szCs w:val="22"/>
        </w:rPr>
        <w:t> </w:t>
      </w:r>
      <w:r w:rsidRPr="008912CF">
        <w:rPr>
          <w:sz w:val="22"/>
          <w:szCs w:val="22"/>
        </w:rPr>
        <w:t>10 com envolvimento clinicamente relevante facial, genital ou das mãos/pés, que não estavam controlados adequadamente com tratamento tópico e helioterapia ou fototerapia.</w:t>
      </w:r>
    </w:p>
    <w:p w14:paraId="7EE31EDD" w14:textId="77777777" w:rsidR="00116EA1" w:rsidRPr="008912CF" w:rsidRDefault="00116EA1" w:rsidP="00116EA1">
      <w:pPr>
        <w:rPr>
          <w:rFonts w:ascii="TimesNewRoman" w:hAnsi="TimesNewRoman" w:cs="TimesNewRoman"/>
          <w:sz w:val="22"/>
          <w:szCs w:val="22"/>
          <w:lang w:eastAsia="pt-PT"/>
        </w:rPr>
      </w:pPr>
    </w:p>
    <w:p w14:paraId="6A2406BC" w14:textId="77777777" w:rsidR="00116EA1" w:rsidRPr="008912CF" w:rsidRDefault="00615769" w:rsidP="00116EA1">
      <w:pPr>
        <w:rPr>
          <w:sz w:val="22"/>
          <w:szCs w:val="22"/>
        </w:rPr>
      </w:pPr>
      <w:r w:rsidRPr="008912CF">
        <w:rPr>
          <w:sz w:val="22"/>
          <w:szCs w:val="22"/>
        </w:rPr>
        <w:t>Os doentes receberam Humira 0,8 mg/kg em semanas alternadas (até ao máximo de 40 mg), 0,4 mg/kg em semanas alternadas (até ao máximo de 20 mg), ou metotrexato 0,1 – 0,4 mg/kg por semana (até ao máximo de 25 mg). Na semana 16, os doentes que receberam Humira 0,8 mg/kg apresentaram um maior número de respostas de eficácia positivas (p.ex. PASI 75), comparativamente com os doentes que receberam 0,4 mg/kg em semanas alternadas ou MTX.</w:t>
      </w:r>
    </w:p>
    <w:p w14:paraId="03233D48" w14:textId="77777777" w:rsidR="00116EA1" w:rsidRPr="008912CF" w:rsidRDefault="00116EA1" w:rsidP="00116EA1"/>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589"/>
        <w:gridCol w:w="1429"/>
        <w:gridCol w:w="3070"/>
      </w:tblGrid>
      <w:tr w:rsidR="00A7162A" w14:paraId="15CFE807" w14:textId="77777777" w:rsidTr="00D105CA">
        <w:trPr>
          <w:jc w:val="center"/>
        </w:trPr>
        <w:tc>
          <w:tcPr>
            <w:tcW w:w="5000" w:type="pct"/>
            <w:gridSpan w:val="3"/>
            <w:tcBorders>
              <w:top w:val="nil"/>
              <w:left w:val="nil"/>
              <w:bottom w:val="nil"/>
              <w:right w:val="nil"/>
            </w:tcBorders>
            <w:vAlign w:val="center"/>
          </w:tcPr>
          <w:p w14:paraId="79F2A49B" w14:textId="77777777" w:rsidR="00116EA1" w:rsidRPr="008912CF" w:rsidRDefault="00615769" w:rsidP="00D105CA">
            <w:pPr>
              <w:keepNext/>
              <w:tabs>
                <w:tab w:val="left" w:pos="562"/>
              </w:tabs>
              <w:suppressAutoHyphens/>
              <w:autoSpaceDE w:val="0"/>
              <w:autoSpaceDN w:val="0"/>
              <w:adjustRightInd w:val="0"/>
              <w:jc w:val="center"/>
              <w:rPr>
                <w:b/>
                <w:bCs/>
                <w:sz w:val="22"/>
                <w:szCs w:val="22"/>
              </w:rPr>
            </w:pPr>
            <w:r>
              <w:rPr>
                <w:b/>
                <w:sz w:val="22"/>
                <w:szCs w:val="22"/>
              </w:rPr>
              <w:t>Tabela 19</w:t>
            </w:r>
            <w:r w:rsidRPr="008912CF">
              <w:rPr>
                <w:b/>
                <w:sz w:val="22"/>
                <w:szCs w:val="22"/>
              </w:rPr>
              <w:t xml:space="preserve">: Resultados de Eficácia à </w:t>
            </w:r>
            <w:r>
              <w:rPr>
                <w:b/>
                <w:sz w:val="22"/>
                <w:szCs w:val="22"/>
              </w:rPr>
              <w:t xml:space="preserve">Semana </w:t>
            </w:r>
            <w:r w:rsidRPr="008912CF">
              <w:rPr>
                <w:b/>
                <w:sz w:val="22"/>
                <w:szCs w:val="22"/>
              </w:rPr>
              <w:t>16 na Psoríase Pediátrica em Placas</w:t>
            </w:r>
          </w:p>
          <w:p w14:paraId="6CA1CA04" w14:textId="77777777" w:rsidR="00116EA1" w:rsidRPr="008912CF" w:rsidRDefault="00116EA1" w:rsidP="00D105CA">
            <w:pPr>
              <w:keepNext/>
              <w:tabs>
                <w:tab w:val="left" w:pos="562"/>
              </w:tabs>
              <w:suppressAutoHyphens/>
              <w:jc w:val="center"/>
              <w:rPr>
                <w:b/>
                <w:sz w:val="22"/>
                <w:szCs w:val="22"/>
              </w:rPr>
            </w:pPr>
          </w:p>
        </w:tc>
      </w:tr>
      <w:tr w:rsidR="00A7162A" w14:paraId="390CB617" w14:textId="77777777" w:rsidTr="00D105CA">
        <w:trPr>
          <w:jc w:val="center"/>
        </w:trPr>
        <w:tc>
          <w:tcPr>
            <w:tcW w:w="0" w:type="auto"/>
            <w:tcBorders>
              <w:top w:val="single" w:sz="6" w:space="0" w:color="000000"/>
              <w:left w:val="single" w:sz="6" w:space="0" w:color="000000"/>
              <w:bottom w:val="outset" w:sz="6" w:space="0" w:color="auto"/>
              <w:right w:val="outset" w:sz="6" w:space="0" w:color="auto"/>
            </w:tcBorders>
            <w:vAlign w:val="center"/>
          </w:tcPr>
          <w:p w14:paraId="64050FA9" w14:textId="77777777" w:rsidR="00116EA1" w:rsidRPr="008912CF" w:rsidRDefault="00116EA1" w:rsidP="00D105CA">
            <w:pPr>
              <w:keepNext/>
              <w:tabs>
                <w:tab w:val="left" w:pos="562"/>
              </w:tabs>
              <w:suppressAutoHyphens/>
              <w:rPr>
                <w:sz w:val="22"/>
                <w:szCs w:val="22"/>
              </w:rPr>
            </w:pPr>
          </w:p>
        </w:tc>
        <w:tc>
          <w:tcPr>
            <w:tcW w:w="0" w:type="auto"/>
            <w:tcBorders>
              <w:top w:val="single" w:sz="6" w:space="0" w:color="000000"/>
              <w:left w:val="single" w:sz="6" w:space="0" w:color="000000"/>
              <w:bottom w:val="outset" w:sz="6" w:space="0" w:color="auto"/>
              <w:right w:val="outset" w:sz="6" w:space="0" w:color="auto"/>
            </w:tcBorders>
            <w:vAlign w:val="center"/>
          </w:tcPr>
          <w:p w14:paraId="3136AC4C" w14:textId="77777777" w:rsidR="00116EA1" w:rsidRPr="008912CF" w:rsidRDefault="00615769" w:rsidP="00D105CA">
            <w:pPr>
              <w:keepNext/>
              <w:tabs>
                <w:tab w:val="left" w:pos="562"/>
              </w:tabs>
              <w:suppressAutoHyphens/>
              <w:jc w:val="center"/>
              <w:rPr>
                <w:sz w:val="22"/>
                <w:szCs w:val="22"/>
                <w:vertAlign w:val="superscript"/>
              </w:rPr>
            </w:pPr>
            <w:r w:rsidRPr="008912CF">
              <w:rPr>
                <w:sz w:val="22"/>
                <w:szCs w:val="22"/>
              </w:rPr>
              <w:t>MTX</w:t>
            </w:r>
            <w:r w:rsidRPr="008912CF">
              <w:rPr>
                <w:sz w:val="22"/>
                <w:szCs w:val="22"/>
                <w:vertAlign w:val="superscript"/>
              </w:rPr>
              <w:t>a</w:t>
            </w:r>
          </w:p>
          <w:p w14:paraId="197CBAA6" w14:textId="77777777" w:rsidR="00116EA1" w:rsidRPr="008912CF" w:rsidRDefault="00615769" w:rsidP="00D105CA">
            <w:pPr>
              <w:keepNext/>
              <w:tabs>
                <w:tab w:val="left" w:pos="562"/>
              </w:tabs>
              <w:suppressAutoHyphens/>
              <w:jc w:val="center"/>
              <w:rPr>
                <w:sz w:val="22"/>
                <w:szCs w:val="22"/>
              </w:rPr>
            </w:pPr>
            <w:r w:rsidRPr="008912CF">
              <w:rPr>
                <w:sz w:val="22"/>
                <w:szCs w:val="22"/>
              </w:rPr>
              <w:t xml:space="preserve">N=37 </w:t>
            </w:r>
          </w:p>
        </w:tc>
        <w:tc>
          <w:tcPr>
            <w:tcW w:w="1898" w:type="pct"/>
            <w:tcBorders>
              <w:top w:val="single" w:sz="6" w:space="0" w:color="000000"/>
              <w:left w:val="single" w:sz="6" w:space="0" w:color="000000"/>
              <w:bottom w:val="outset" w:sz="6" w:space="0" w:color="auto"/>
              <w:right w:val="single" w:sz="6" w:space="0" w:color="000000"/>
            </w:tcBorders>
            <w:vAlign w:val="center"/>
          </w:tcPr>
          <w:p w14:paraId="61114061" w14:textId="77777777" w:rsidR="00116EA1" w:rsidRPr="008912CF" w:rsidRDefault="00615769" w:rsidP="00D105CA">
            <w:pPr>
              <w:keepNext/>
              <w:tabs>
                <w:tab w:val="left" w:pos="562"/>
              </w:tabs>
              <w:suppressAutoHyphens/>
              <w:jc w:val="center"/>
              <w:rPr>
                <w:sz w:val="22"/>
                <w:szCs w:val="22"/>
              </w:rPr>
            </w:pPr>
            <w:r w:rsidRPr="008912CF">
              <w:rPr>
                <w:sz w:val="22"/>
                <w:szCs w:val="22"/>
              </w:rPr>
              <w:t>Humira 0,8 mg/kg em semanas alternadas</w:t>
            </w:r>
          </w:p>
          <w:p w14:paraId="6DDFAD6A" w14:textId="77777777" w:rsidR="00116EA1" w:rsidRPr="008912CF" w:rsidRDefault="00615769" w:rsidP="00D105CA">
            <w:pPr>
              <w:keepNext/>
              <w:tabs>
                <w:tab w:val="left" w:pos="562"/>
              </w:tabs>
              <w:suppressAutoHyphens/>
              <w:jc w:val="center"/>
              <w:rPr>
                <w:sz w:val="22"/>
                <w:szCs w:val="22"/>
              </w:rPr>
            </w:pPr>
            <w:r w:rsidRPr="008912CF">
              <w:rPr>
                <w:sz w:val="22"/>
                <w:szCs w:val="22"/>
              </w:rPr>
              <w:t xml:space="preserve">N=38 </w:t>
            </w:r>
          </w:p>
        </w:tc>
      </w:tr>
      <w:tr w:rsidR="00A7162A" w14:paraId="43E0AF9C" w14:textId="77777777" w:rsidTr="00D105CA">
        <w:trPr>
          <w:jc w:val="center"/>
        </w:trPr>
        <w:tc>
          <w:tcPr>
            <w:tcW w:w="0" w:type="auto"/>
            <w:tcBorders>
              <w:top w:val="single" w:sz="6" w:space="0" w:color="000000"/>
              <w:left w:val="single" w:sz="6" w:space="0" w:color="000000"/>
              <w:bottom w:val="outset" w:sz="6" w:space="0" w:color="auto"/>
              <w:right w:val="outset" w:sz="6" w:space="0" w:color="auto"/>
            </w:tcBorders>
            <w:vAlign w:val="center"/>
          </w:tcPr>
          <w:p w14:paraId="37B2707D" w14:textId="77777777" w:rsidR="00116EA1" w:rsidRPr="008912CF" w:rsidRDefault="00615769" w:rsidP="00D105CA">
            <w:pPr>
              <w:keepNext/>
              <w:tabs>
                <w:tab w:val="left" w:pos="562"/>
              </w:tabs>
              <w:suppressAutoHyphens/>
              <w:rPr>
                <w:sz w:val="22"/>
                <w:szCs w:val="22"/>
              </w:rPr>
            </w:pPr>
            <w:r w:rsidRPr="008912CF">
              <w:rPr>
                <w:sz w:val="22"/>
                <w:szCs w:val="22"/>
              </w:rPr>
              <w:t> </w:t>
            </w:r>
            <w:r w:rsidRPr="008912CF">
              <w:rPr>
                <w:sz w:val="22"/>
                <w:szCs w:val="22"/>
              </w:rPr>
              <w:t>PASI 75</w:t>
            </w:r>
            <w:r w:rsidRPr="008912CF">
              <w:rPr>
                <w:sz w:val="22"/>
                <w:szCs w:val="22"/>
                <w:vertAlign w:val="superscript"/>
              </w:rPr>
              <w:t>b</w:t>
            </w:r>
          </w:p>
        </w:tc>
        <w:tc>
          <w:tcPr>
            <w:tcW w:w="0" w:type="auto"/>
            <w:tcBorders>
              <w:top w:val="single" w:sz="6" w:space="0" w:color="000000"/>
              <w:left w:val="single" w:sz="6" w:space="0" w:color="000000"/>
              <w:bottom w:val="outset" w:sz="6" w:space="0" w:color="auto"/>
              <w:right w:val="outset" w:sz="6" w:space="0" w:color="auto"/>
            </w:tcBorders>
            <w:vAlign w:val="center"/>
          </w:tcPr>
          <w:p w14:paraId="539246F9" w14:textId="77777777" w:rsidR="00116EA1" w:rsidRPr="008912CF" w:rsidRDefault="00615769" w:rsidP="00D105CA">
            <w:pPr>
              <w:keepNext/>
              <w:tabs>
                <w:tab w:val="left" w:pos="562"/>
              </w:tabs>
              <w:suppressAutoHyphens/>
              <w:jc w:val="center"/>
              <w:rPr>
                <w:sz w:val="22"/>
                <w:szCs w:val="22"/>
              </w:rPr>
            </w:pPr>
            <w:r w:rsidRPr="008912CF">
              <w:rPr>
                <w:sz w:val="22"/>
                <w:szCs w:val="22"/>
              </w:rPr>
              <w:t>12 (32,4</w:t>
            </w:r>
            <w:r>
              <w:rPr>
                <w:sz w:val="22"/>
                <w:szCs w:val="22"/>
              </w:rPr>
              <w:t>%</w:t>
            </w:r>
            <w:r w:rsidRPr="008912CF">
              <w:rPr>
                <w:sz w:val="22"/>
                <w:szCs w:val="22"/>
              </w:rPr>
              <w:t>)</w:t>
            </w:r>
          </w:p>
        </w:tc>
        <w:tc>
          <w:tcPr>
            <w:tcW w:w="1898" w:type="pct"/>
            <w:tcBorders>
              <w:top w:val="single" w:sz="6" w:space="0" w:color="000000"/>
              <w:left w:val="single" w:sz="6" w:space="0" w:color="000000"/>
              <w:bottom w:val="outset" w:sz="6" w:space="0" w:color="auto"/>
              <w:right w:val="single" w:sz="6" w:space="0" w:color="000000"/>
            </w:tcBorders>
            <w:vAlign w:val="center"/>
          </w:tcPr>
          <w:p w14:paraId="2DB996F3" w14:textId="77777777" w:rsidR="00116EA1" w:rsidRPr="008912CF" w:rsidRDefault="00615769" w:rsidP="00D105CA">
            <w:pPr>
              <w:keepNext/>
              <w:tabs>
                <w:tab w:val="left" w:pos="562"/>
              </w:tabs>
              <w:suppressAutoHyphens/>
              <w:jc w:val="center"/>
              <w:rPr>
                <w:sz w:val="22"/>
                <w:szCs w:val="22"/>
              </w:rPr>
            </w:pPr>
            <w:r w:rsidRPr="008912CF">
              <w:rPr>
                <w:sz w:val="22"/>
                <w:szCs w:val="22"/>
              </w:rPr>
              <w:t>22 (57,9</w:t>
            </w:r>
            <w:r>
              <w:rPr>
                <w:sz w:val="22"/>
                <w:szCs w:val="22"/>
              </w:rPr>
              <w:t>%</w:t>
            </w:r>
            <w:r w:rsidRPr="008912CF">
              <w:rPr>
                <w:sz w:val="22"/>
                <w:szCs w:val="22"/>
              </w:rPr>
              <w:t>)</w:t>
            </w:r>
          </w:p>
        </w:tc>
      </w:tr>
      <w:tr w:rsidR="00A7162A" w14:paraId="367D0F0D" w14:textId="77777777" w:rsidTr="00D105CA">
        <w:trPr>
          <w:jc w:val="center"/>
        </w:trPr>
        <w:tc>
          <w:tcPr>
            <w:tcW w:w="0" w:type="auto"/>
            <w:tcBorders>
              <w:top w:val="single" w:sz="6" w:space="0" w:color="000000"/>
              <w:left w:val="single" w:sz="6" w:space="0" w:color="000000"/>
              <w:bottom w:val="single" w:sz="6" w:space="0" w:color="000000"/>
              <w:right w:val="outset" w:sz="6" w:space="0" w:color="auto"/>
            </w:tcBorders>
            <w:vAlign w:val="center"/>
          </w:tcPr>
          <w:p w14:paraId="1DBDCA84" w14:textId="77777777" w:rsidR="00116EA1" w:rsidRPr="008912CF" w:rsidRDefault="00615769" w:rsidP="00D105CA">
            <w:pPr>
              <w:keepNext/>
              <w:tabs>
                <w:tab w:val="left" w:pos="562"/>
              </w:tabs>
              <w:suppressAutoHyphens/>
              <w:rPr>
                <w:sz w:val="22"/>
                <w:szCs w:val="22"/>
              </w:rPr>
            </w:pPr>
            <w:r w:rsidRPr="008912CF">
              <w:rPr>
                <w:sz w:val="22"/>
                <w:szCs w:val="22"/>
              </w:rPr>
              <w:t> </w:t>
            </w:r>
            <w:r w:rsidRPr="008912CF">
              <w:rPr>
                <w:sz w:val="22"/>
                <w:szCs w:val="22"/>
              </w:rPr>
              <w:t>PGA: Limp</w:t>
            </w:r>
            <w:r>
              <w:rPr>
                <w:sz w:val="22"/>
                <w:szCs w:val="22"/>
              </w:rPr>
              <w:t>a</w:t>
            </w:r>
            <w:r w:rsidRPr="008912CF">
              <w:rPr>
                <w:sz w:val="22"/>
                <w:szCs w:val="22"/>
              </w:rPr>
              <w:t>/</w:t>
            </w:r>
            <w:r>
              <w:rPr>
                <w:sz w:val="22"/>
                <w:szCs w:val="22"/>
              </w:rPr>
              <w:t>quase limpa</w:t>
            </w:r>
            <w:r w:rsidRPr="008912CF">
              <w:rPr>
                <w:sz w:val="22"/>
                <w:szCs w:val="22"/>
                <w:vertAlign w:val="superscript"/>
              </w:rPr>
              <w:t>c</w:t>
            </w:r>
          </w:p>
        </w:tc>
        <w:tc>
          <w:tcPr>
            <w:tcW w:w="0" w:type="auto"/>
            <w:tcBorders>
              <w:top w:val="single" w:sz="6" w:space="0" w:color="000000"/>
              <w:left w:val="single" w:sz="6" w:space="0" w:color="000000"/>
              <w:bottom w:val="single" w:sz="6" w:space="0" w:color="000000"/>
              <w:right w:val="outset" w:sz="6" w:space="0" w:color="auto"/>
            </w:tcBorders>
            <w:vAlign w:val="center"/>
          </w:tcPr>
          <w:p w14:paraId="150EF170" w14:textId="77777777" w:rsidR="00116EA1" w:rsidRPr="008912CF" w:rsidRDefault="00615769" w:rsidP="00D105CA">
            <w:pPr>
              <w:keepNext/>
              <w:tabs>
                <w:tab w:val="left" w:pos="562"/>
              </w:tabs>
              <w:suppressAutoHyphens/>
              <w:jc w:val="center"/>
              <w:rPr>
                <w:sz w:val="22"/>
                <w:szCs w:val="22"/>
              </w:rPr>
            </w:pPr>
            <w:r w:rsidRPr="008912CF">
              <w:rPr>
                <w:sz w:val="22"/>
                <w:szCs w:val="22"/>
              </w:rPr>
              <w:t>15 (40,5</w:t>
            </w:r>
            <w:r>
              <w:rPr>
                <w:sz w:val="22"/>
                <w:szCs w:val="22"/>
              </w:rPr>
              <w:t>%</w:t>
            </w:r>
            <w:r w:rsidRPr="008912CF">
              <w:rPr>
                <w:sz w:val="22"/>
                <w:szCs w:val="22"/>
              </w:rPr>
              <w:t>)</w:t>
            </w:r>
          </w:p>
        </w:tc>
        <w:tc>
          <w:tcPr>
            <w:tcW w:w="1898" w:type="pct"/>
            <w:tcBorders>
              <w:top w:val="single" w:sz="6" w:space="0" w:color="000000"/>
              <w:left w:val="single" w:sz="6" w:space="0" w:color="000000"/>
              <w:bottom w:val="single" w:sz="6" w:space="0" w:color="000000"/>
              <w:right w:val="single" w:sz="6" w:space="0" w:color="000000"/>
            </w:tcBorders>
            <w:vAlign w:val="center"/>
          </w:tcPr>
          <w:p w14:paraId="79511419" w14:textId="77777777" w:rsidR="00116EA1" w:rsidRPr="008912CF" w:rsidRDefault="00615769" w:rsidP="00D105CA">
            <w:pPr>
              <w:keepNext/>
              <w:tabs>
                <w:tab w:val="left" w:pos="562"/>
              </w:tabs>
              <w:suppressAutoHyphens/>
              <w:jc w:val="center"/>
              <w:rPr>
                <w:sz w:val="22"/>
                <w:szCs w:val="22"/>
              </w:rPr>
            </w:pPr>
            <w:r w:rsidRPr="008912CF">
              <w:rPr>
                <w:sz w:val="22"/>
                <w:szCs w:val="22"/>
              </w:rPr>
              <w:t>23 (60,5</w:t>
            </w:r>
            <w:r>
              <w:rPr>
                <w:sz w:val="22"/>
                <w:szCs w:val="22"/>
              </w:rPr>
              <w:t>%</w:t>
            </w:r>
            <w:r w:rsidRPr="008912CF">
              <w:rPr>
                <w:sz w:val="22"/>
                <w:szCs w:val="22"/>
              </w:rPr>
              <w:t>)</w:t>
            </w:r>
          </w:p>
        </w:tc>
      </w:tr>
      <w:tr w:rsidR="00A7162A" w14:paraId="5F00310B" w14:textId="77777777" w:rsidTr="00D105CA">
        <w:trPr>
          <w:jc w:val="center"/>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76B724E2" w14:textId="77777777" w:rsidR="00116EA1" w:rsidRPr="008912CF" w:rsidRDefault="00615769" w:rsidP="00D105CA">
            <w:pPr>
              <w:keepNext/>
              <w:tabs>
                <w:tab w:val="left" w:pos="562"/>
              </w:tabs>
              <w:suppressAutoHyphens/>
              <w:rPr>
                <w:sz w:val="22"/>
                <w:szCs w:val="22"/>
              </w:rPr>
            </w:pPr>
            <w:r w:rsidRPr="008912CF">
              <w:rPr>
                <w:sz w:val="22"/>
                <w:szCs w:val="22"/>
                <w:vertAlign w:val="superscript"/>
              </w:rPr>
              <w:t xml:space="preserve">a </w:t>
            </w:r>
            <w:r w:rsidRPr="008912CF">
              <w:rPr>
                <w:sz w:val="22"/>
                <w:szCs w:val="22"/>
              </w:rPr>
              <w:t>MTX = metotrexato</w:t>
            </w:r>
          </w:p>
          <w:p w14:paraId="6B0EF706" w14:textId="77777777" w:rsidR="00116EA1" w:rsidRPr="008912CF" w:rsidRDefault="00615769" w:rsidP="00D105CA">
            <w:pPr>
              <w:keepNext/>
              <w:tabs>
                <w:tab w:val="left" w:pos="562"/>
              </w:tabs>
              <w:suppressAutoHyphens/>
              <w:rPr>
                <w:sz w:val="22"/>
                <w:szCs w:val="22"/>
              </w:rPr>
            </w:pPr>
            <w:r w:rsidRPr="008912CF">
              <w:rPr>
                <w:sz w:val="22"/>
                <w:szCs w:val="22"/>
                <w:vertAlign w:val="superscript"/>
              </w:rPr>
              <w:t>b</w:t>
            </w:r>
            <w:r w:rsidRPr="008912CF">
              <w:rPr>
                <w:sz w:val="22"/>
                <w:szCs w:val="22"/>
              </w:rPr>
              <w:t xml:space="preserve"> </w:t>
            </w:r>
            <w:r>
              <w:rPr>
                <w:sz w:val="22"/>
                <w:szCs w:val="22"/>
              </w:rPr>
              <w:t>p</w:t>
            </w:r>
            <w:r w:rsidRPr="008912CF">
              <w:rPr>
                <w:sz w:val="22"/>
                <w:szCs w:val="22"/>
              </w:rPr>
              <w:t>=0,027, Humira 0,8 mg/kg versus MTX</w:t>
            </w:r>
          </w:p>
          <w:p w14:paraId="38278403" w14:textId="77777777" w:rsidR="00116EA1" w:rsidRPr="008912CF" w:rsidRDefault="00615769" w:rsidP="00D105CA">
            <w:pPr>
              <w:keepNext/>
              <w:tabs>
                <w:tab w:val="left" w:pos="562"/>
              </w:tabs>
              <w:suppressAutoHyphens/>
              <w:rPr>
                <w:sz w:val="22"/>
                <w:szCs w:val="22"/>
              </w:rPr>
            </w:pPr>
            <w:r w:rsidRPr="008912CF">
              <w:rPr>
                <w:sz w:val="22"/>
                <w:szCs w:val="22"/>
                <w:vertAlign w:val="superscript"/>
              </w:rPr>
              <w:t>c</w:t>
            </w:r>
            <w:r w:rsidRPr="008912CF">
              <w:rPr>
                <w:sz w:val="22"/>
                <w:szCs w:val="22"/>
              </w:rPr>
              <w:t xml:space="preserve"> </w:t>
            </w:r>
            <w:r>
              <w:rPr>
                <w:sz w:val="22"/>
                <w:szCs w:val="22"/>
              </w:rPr>
              <w:t>p</w:t>
            </w:r>
            <w:r w:rsidRPr="008912CF">
              <w:rPr>
                <w:sz w:val="22"/>
                <w:szCs w:val="22"/>
              </w:rPr>
              <w:t>=0,083, Humira 0,8 mg/kg versus MTX</w:t>
            </w:r>
          </w:p>
        </w:tc>
      </w:tr>
    </w:tbl>
    <w:p w14:paraId="2566578D" w14:textId="77777777" w:rsidR="00116EA1" w:rsidRPr="008912CF" w:rsidRDefault="00615769" w:rsidP="00116EA1">
      <w:pPr>
        <w:rPr>
          <w:rFonts w:ascii="TimesNewRoman" w:hAnsi="TimesNewRoman" w:cs="TimesNewRoman"/>
          <w:sz w:val="22"/>
          <w:szCs w:val="22"/>
          <w:lang w:eastAsia="pt-PT"/>
        </w:rPr>
      </w:pPr>
      <w:r w:rsidRPr="008912CF">
        <w:rPr>
          <w:rFonts w:ascii="TimesNewRoman" w:hAnsi="TimesNewRoman" w:cs="TimesNewRoman"/>
          <w:sz w:val="22"/>
          <w:szCs w:val="22"/>
          <w:lang w:eastAsia="pt-PT"/>
        </w:rPr>
        <w:t xml:space="preserve"> </w:t>
      </w:r>
    </w:p>
    <w:p w14:paraId="62398CEB" w14:textId="77777777" w:rsidR="00116EA1" w:rsidRPr="008912CF" w:rsidRDefault="00615769" w:rsidP="00116EA1">
      <w:pPr>
        <w:autoSpaceDE w:val="0"/>
        <w:autoSpaceDN w:val="0"/>
        <w:adjustRightInd w:val="0"/>
        <w:rPr>
          <w:sz w:val="22"/>
          <w:szCs w:val="22"/>
        </w:rPr>
      </w:pPr>
      <w:r w:rsidRPr="008912CF">
        <w:rPr>
          <w:sz w:val="22"/>
          <w:szCs w:val="22"/>
        </w:rPr>
        <w:t xml:space="preserve">Os doentes que obtiveram PASI 75 e PGA </w:t>
      </w:r>
      <w:r>
        <w:rPr>
          <w:sz w:val="22"/>
          <w:szCs w:val="22"/>
        </w:rPr>
        <w:t>“</w:t>
      </w:r>
      <w:r w:rsidRPr="008912CF">
        <w:rPr>
          <w:sz w:val="22"/>
          <w:szCs w:val="22"/>
        </w:rPr>
        <w:t>limp</w:t>
      </w:r>
      <w:r>
        <w:rPr>
          <w:sz w:val="22"/>
          <w:szCs w:val="22"/>
        </w:rPr>
        <w:t>a”</w:t>
      </w:r>
      <w:r w:rsidRPr="008912CF">
        <w:rPr>
          <w:sz w:val="22"/>
          <w:szCs w:val="22"/>
        </w:rPr>
        <w:t xml:space="preserve"> ou </w:t>
      </w:r>
      <w:r>
        <w:rPr>
          <w:sz w:val="22"/>
          <w:szCs w:val="22"/>
        </w:rPr>
        <w:t>“quase limpa”</w:t>
      </w:r>
      <w:r w:rsidRPr="008912CF">
        <w:rPr>
          <w:sz w:val="22"/>
          <w:szCs w:val="22"/>
        </w:rPr>
        <w:t xml:space="preserve"> </w:t>
      </w:r>
      <w:r>
        <w:rPr>
          <w:sz w:val="22"/>
          <w:szCs w:val="22"/>
        </w:rPr>
        <w:t>suspenderam o tratamento</w:t>
      </w:r>
      <w:r w:rsidRPr="008912CF">
        <w:rPr>
          <w:sz w:val="22"/>
          <w:szCs w:val="22"/>
        </w:rPr>
        <w:t xml:space="preserve"> até um período máximo de 36</w:t>
      </w:r>
      <w:r>
        <w:rPr>
          <w:sz w:val="22"/>
          <w:szCs w:val="22"/>
        </w:rPr>
        <w:t> </w:t>
      </w:r>
      <w:r w:rsidRPr="008912CF">
        <w:rPr>
          <w:sz w:val="22"/>
          <w:szCs w:val="22"/>
        </w:rPr>
        <w:t>semanas e</w:t>
      </w:r>
      <w:r>
        <w:rPr>
          <w:sz w:val="22"/>
          <w:szCs w:val="22"/>
        </w:rPr>
        <w:t xml:space="preserve"> foram</w:t>
      </w:r>
      <w:r w:rsidRPr="008912CF">
        <w:rPr>
          <w:sz w:val="22"/>
          <w:szCs w:val="22"/>
        </w:rPr>
        <w:t xml:space="preserve"> monitorizados relativamente à perda de controlo da doença (i.e. agravamento de PGA em pelo menos 2 graus). Os doentes reiniciaram o tratamento com adalimumab 0,8 mg/kg em semanas alternadas, durante um período adicional de 16</w:t>
      </w:r>
      <w:r>
        <w:rPr>
          <w:sz w:val="22"/>
          <w:szCs w:val="22"/>
        </w:rPr>
        <w:t> </w:t>
      </w:r>
      <w:r w:rsidRPr="008912CF">
        <w:rPr>
          <w:sz w:val="22"/>
          <w:szCs w:val="22"/>
        </w:rPr>
        <w:t>semanas e as respostas observadas durante o novo tratamento foram semelhantes às observadas no período de dupla ocultação: resposta PASI 75 de 78,9</w:t>
      </w:r>
      <w:r>
        <w:rPr>
          <w:sz w:val="22"/>
          <w:szCs w:val="22"/>
        </w:rPr>
        <w:t>%</w:t>
      </w:r>
      <w:r w:rsidRPr="008912CF">
        <w:rPr>
          <w:sz w:val="22"/>
          <w:szCs w:val="22"/>
        </w:rPr>
        <w:t xml:space="preserve"> (15 de 19 indivíduos) e PGA </w:t>
      </w:r>
      <w:r>
        <w:rPr>
          <w:sz w:val="22"/>
          <w:szCs w:val="22"/>
        </w:rPr>
        <w:t>“</w:t>
      </w:r>
      <w:r w:rsidRPr="008912CF">
        <w:rPr>
          <w:sz w:val="22"/>
          <w:szCs w:val="22"/>
        </w:rPr>
        <w:t>limp</w:t>
      </w:r>
      <w:r>
        <w:rPr>
          <w:sz w:val="22"/>
          <w:szCs w:val="22"/>
        </w:rPr>
        <w:t>a”</w:t>
      </w:r>
      <w:r w:rsidRPr="008912CF">
        <w:rPr>
          <w:sz w:val="22"/>
          <w:szCs w:val="22"/>
        </w:rPr>
        <w:t xml:space="preserve"> ou </w:t>
      </w:r>
      <w:r>
        <w:rPr>
          <w:sz w:val="22"/>
          <w:szCs w:val="22"/>
        </w:rPr>
        <w:t>“quase limpa”</w:t>
      </w:r>
      <w:r w:rsidRPr="008912CF">
        <w:rPr>
          <w:sz w:val="22"/>
          <w:szCs w:val="22"/>
        </w:rPr>
        <w:t xml:space="preserve"> de 52,6</w:t>
      </w:r>
      <w:r>
        <w:rPr>
          <w:sz w:val="22"/>
          <w:szCs w:val="22"/>
        </w:rPr>
        <w:t>%</w:t>
      </w:r>
      <w:r w:rsidRPr="008912CF">
        <w:rPr>
          <w:sz w:val="22"/>
          <w:szCs w:val="22"/>
        </w:rPr>
        <w:t xml:space="preserve"> (10 de 19 indivíduos).</w:t>
      </w:r>
    </w:p>
    <w:p w14:paraId="54E00543" w14:textId="77777777" w:rsidR="00116EA1" w:rsidRPr="008912CF" w:rsidRDefault="00116EA1" w:rsidP="00116EA1">
      <w:pPr>
        <w:autoSpaceDE w:val="0"/>
        <w:autoSpaceDN w:val="0"/>
        <w:adjustRightInd w:val="0"/>
        <w:rPr>
          <w:sz w:val="22"/>
          <w:szCs w:val="22"/>
        </w:rPr>
      </w:pPr>
    </w:p>
    <w:p w14:paraId="3136B8C7" w14:textId="77777777" w:rsidR="00116EA1" w:rsidRPr="008912CF" w:rsidRDefault="00615769" w:rsidP="00116EA1">
      <w:pPr>
        <w:autoSpaceDE w:val="0"/>
        <w:autoSpaceDN w:val="0"/>
        <w:adjustRightInd w:val="0"/>
        <w:rPr>
          <w:sz w:val="22"/>
          <w:szCs w:val="22"/>
        </w:rPr>
      </w:pPr>
      <w:r w:rsidRPr="008912CF">
        <w:rPr>
          <w:sz w:val="22"/>
          <w:szCs w:val="22"/>
        </w:rPr>
        <w:t xml:space="preserve">No período do estudo em fase aberta, as respostas PASI 75 e PGA </w:t>
      </w:r>
      <w:r>
        <w:rPr>
          <w:sz w:val="22"/>
          <w:szCs w:val="22"/>
        </w:rPr>
        <w:t>“</w:t>
      </w:r>
      <w:r w:rsidRPr="008912CF">
        <w:rPr>
          <w:sz w:val="22"/>
          <w:szCs w:val="22"/>
        </w:rPr>
        <w:t>limp</w:t>
      </w:r>
      <w:r>
        <w:rPr>
          <w:sz w:val="22"/>
          <w:szCs w:val="22"/>
        </w:rPr>
        <w:t>a”</w:t>
      </w:r>
      <w:r w:rsidRPr="008912CF">
        <w:rPr>
          <w:sz w:val="22"/>
          <w:szCs w:val="22"/>
        </w:rPr>
        <w:t xml:space="preserve"> ou </w:t>
      </w:r>
      <w:r>
        <w:rPr>
          <w:sz w:val="22"/>
          <w:szCs w:val="22"/>
        </w:rPr>
        <w:t>“quase limpa”</w:t>
      </w:r>
      <w:r w:rsidRPr="008912CF">
        <w:rPr>
          <w:sz w:val="22"/>
          <w:szCs w:val="22"/>
        </w:rPr>
        <w:t xml:space="preserve"> foram mantidas durante um período adicional de 52</w:t>
      </w:r>
      <w:r>
        <w:rPr>
          <w:sz w:val="22"/>
          <w:szCs w:val="22"/>
        </w:rPr>
        <w:t> </w:t>
      </w:r>
      <w:r w:rsidRPr="008912CF">
        <w:rPr>
          <w:sz w:val="22"/>
          <w:szCs w:val="22"/>
        </w:rPr>
        <w:t>semanas e não revelaram quaisquer novas informações de segurança.</w:t>
      </w:r>
    </w:p>
    <w:p w14:paraId="1B5B712D" w14:textId="77777777" w:rsidR="00116EA1" w:rsidRDefault="00116EA1" w:rsidP="00116EA1">
      <w:pPr>
        <w:rPr>
          <w:i/>
          <w:sz w:val="22"/>
          <w:szCs w:val="22"/>
        </w:rPr>
      </w:pPr>
    </w:p>
    <w:p w14:paraId="1E119EBF" w14:textId="77777777" w:rsidR="00116EA1" w:rsidRPr="008912CF" w:rsidRDefault="00615769" w:rsidP="002F486F">
      <w:pPr>
        <w:keepNext/>
        <w:rPr>
          <w:sz w:val="22"/>
          <w:szCs w:val="22"/>
        </w:rPr>
      </w:pPr>
      <w:r w:rsidRPr="008912CF">
        <w:rPr>
          <w:i/>
          <w:sz w:val="22"/>
          <w:szCs w:val="22"/>
        </w:rPr>
        <w:t>Doença de Crohn pediátrica</w:t>
      </w:r>
    </w:p>
    <w:p w14:paraId="2503BF3C" w14:textId="77777777" w:rsidR="00116EA1" w:rsidRPr="008912CF" w:rsidRDefault="00116EA1" w:rsidP="002F486F">
      <w:pPr>
        <w:keepNext/>
        <w:rPr>
          <w:sz w:val="22"/>
          <w:szCs w:val="22"/>
          <w:u w:val="single"/>
        </w:rPr>
      </w:pPr>
    </w:p>
    <w:p w14:paraId="1BCC1CF8" w14:textId="77777777" w:rsidR="00116EA1" w:rsidRPr="008912CF" w:rsidRDefault="00615769" w:rsidP="002F486F">
      <w:pPr>
        <w:keepNext/>
        <w:rPr>
          <w:sz w:val="22"/>
          <w:szCs w:val="22"/>
        </w:rPr>
      </w:pPr>
      <w:r w:rsidRPr="008912CF">
        <w:rPr>
          <w:sz w:val="22"/>
          <w:szCs w:val="22"/>
        </w:rPr>
        <w:t xml:space="preserve">Humira foi avaliado num estudo multicêntrico, </w:t>
      </w:r>
      <w:r>
        <w:rPr>
          <w:sz w:val="22"/>
          <w:szCs w:val="22"/>
        </w:rPr>
        <w:t>aleatorizado</w:t>
      </w:r>
      <w:r w:rsidRPr="008912CF">
        <w:rPr>
          <w:sz w:val="22"/>
          <w:szCs w:val="22"/>
        </w:rPr>
        <w:t>, em dupla ocultação, desenhado para avaliar a eficácia e segurança do tratamento inicial e de manutenção, com doses dependentes do peso corporal (&lt; 40</w:t>
      </w:r>
      <w:r>
        <w:rPr>
          <w:sz w:val="22"/>
          <w:szCs w:val="22"/>
        </w:rPr>
        <w:t> </w:t>
      </w:r>
      <w:r w:rsidRPr="008912CF">
        <w:rPr>
          <w:sz w:val="22"/>
          <w:szCs w:val="22"/>
        </w:rPr>
        <w:t>kg ou ≥ 40</w:t>
      </w:r>
      <w:r>
        <w:rPr>
          <w:sz w:val="22"/>
          <w:szCs w:val="22"/>
        </w:rPr>
        <w:t> </w:t>
      </w:r>
      <w:r w:rsidRPr="008912CF">
        <w:rPr>
          <w:sz w:val="22"/>
          <w:szCs w:val="22"/>
        </w:rPr>
        <w:t>kg), em 192 doentes pediátricos com idade</w:t>
      </w:r>
      <w:r>
        <w:rPr>
          <w:sz w:val="22"/>
          <w:szCs w:val="22"/>
        </w:rPr>
        <w:t>s</w:t>
      </w:r>
      <w:r w:rsidRPr="008912CF">
        <w:rPr>
          <w:sz w:val="22"/>
          <w:szCs w:val="22"/>
        </w:rPr>
        <w:t xml:space="preserve"> compreendida</w:t>
      </w:r>
      <w:r>
        <w:rPr>
          <w:sz w:val="22"/>
          <w:szCs w:val="22"/>
        </w:rPr>
        <w:t>s</w:t>
      </w:r>
      <w:r w:rsidRPr="008912CF">
        <w:rPr>
          <w:sz w:val="22"/>
          <w:szCs w:val="22"/>
        </w:rPr>
        <w:t xml:space="preserve"> entre os 6 e 17 anos (inclusive), com doença de Crohn (DC) moderada a</w:t>
      </w:r>
      <w:r>
        <w:rPr>
          <w:sz w:val="22"/>
          <w:szCs w:val="22"/>
        </w:rPr>
        <w:t xml:space="preserve"> </w:t>
      </w:r>
      <w:r w:rsidRPr="008912CF">
        <w:rPr>
          <w:sz w:val="22"/>
          <w:szCs w:val="22"/>
        </w:rPr>
        <w:t xml:space="preserve">grave definida </w:t>
      </w:r>
      <w:r>
        <w:rPr>
          <w:sz w:val="22"/>
          <w:szCs w:val="22"/>
        </w:rPr>
        <w:t>pelo</w:t>
      </w:r>
      <w:r w:rsidRPr="008912CF">
        <w:rPr>
          <w:sz w:val="22"/>
          <w:szCs w:val="22"/>
        </w:rPr>
        <w:t xml:space="preserve"> índice de Atividade de Doença Pediátrica de Crohn (</w:t>
      </w:r>
      <w:r w:rsidRPr="008912CF">
        <w:rPr>
          <w:i/>
          <w:sz w:val="22"/>
          <w:szCs w:val="22"/>
        </w:rPr>
        <w:t>Paediatric Crohn's Disease Activity Index</w:t>
      </w:r>
      <w:r w:rsidRPr="008912CF">
        <w:rPr>
          <w:sz w:val="22"/>
          <w:szCs w:val="22"/>
        </w:rPr>
        <w:t xml:space="preserve"> (PCDAI)) &gt; 30. </w:t>
      </w:r>
      <w:r>
        <w:rPr>
          <w:sz w:val="22"/>
          <w:szCs w:val="22"/>
        </w:rPr>
        <w:t>Os d</w:t>
      </w:r>
      <w:r w:rsidRPr="008912CF">
        <w:rPr>
          <w:sz w:val="22"/>
          <w:szCs w:val="22"/>
        </w:rPr>
        <w:t xml:space="preserve">oentes não </w:t>
      </w:r>
      <w:r>
        <w:rPr>
          <w:sz w:val="22"/>
          <w:szCs w:val="22"/>
        </w:rPr>
        <w:t>tinham respondido</w:t>
      </w:r>
      <w:r w:rsidRPr="008912CF">
        <w:rPr>
          <w:sz w:val="22"/>
          <w:szCs w:val="22"/>
        </w:rPr>
        <w:t xml:space="preserve"> a uma terapêutica convencional (incluindo um cort</w:t>
      </w:r>
      <w:r w:rsidRPr="008912CF">
        <w:rPr>
          <w:sz w:val="22"/>
          <w:szCs w:val="22"/>
        </w:rPr>
        <w:t>icosteroide e/ou um imunomodulador) na DC</w:t>
      </w:r>
      <w:r>
        <w:rPr>
          <w:sz w:val="22"/>
          <w:szCs w:val="22"/>
        </w:rPr>
        <w:t xml:space="preserve"> ou tinham</w:t>
      </w:r>
      <w:r w:rsidRPr="008912CF">
        <w:rPr>
          <w:sz w:val="22"/>
          <w:szCs w:val="22"/>
        </w:rPr>
        <w:t xml:space="preserve"> deixa</w:t>
      </w:r>
      <w:r>
        <w:rPr>
          <w:sz w:val="22"/>
          <w:szCs w:val="22"/>
        </w:rPr>
        <w:t>do</w:t>
      </w:r>
      <w:r w:rsidRPr="008912CF">
        <w:rPr>
          <w:sz w:val="22"/>
          <w:szCs w:val="22"/>
        </w:rPr>
        <w:t xml:space="preserve"> de responder ou tornaram-se intolerantes ao infliximab.</w:t>
      </w:r>
      <w:r w:rsidRPr="008912CF">
        <w:rPr>
          <w:szCs w:val="22"/>
        </w:rPr>
        <w:t xml:space="preserve"> </w:t>
      </w:r>
    </w:p>
    <w:p w14:paraId="0080041B" w14:textId="77777777" w:rsidR="00116EA1" w:rsidRPr="008912CF" w:rsidRDefault="00116EA1" w:rsidP="00116EA1">
      <w:pPr>
        <w:rPr>
          <w:sz w:val="22"/>
          <w:szCs w:val="22"/>
        </w:rPr>
      </w:pPr>
    </w:p>
    <w:p w14:paraId="4A2A2127" w14:textId="77777777" w:rsidR="00116EA1" w:rsidRPr="008912CF" w:rsidRDefault="00615769" w:rsidP="00116EA1">
      <w:pPr>
        <w:rPr>
          <w:sz w:val="22"/>
          <w:szCs w:val="22"/>
        </w:rPr>
      </w:pPr>
      <w:r w:rsidRPr="008912CF">
        <w:rPr>
          <w:sz w:val="22"/>
          <w:szCs w:val="22"/>
        </w:rPr>
        <w:t>Todos os doentes receberam terapêutica de indução em fase aberta com uma dose baseada no peso corporal basal: 160</w:t>
      </w:r>
      <w:r>
        <w:rPr>
          <w:sz w:val="22"/>
          <w:szCs w:val="22"/>
        </w:rPr>
        <w:t> </w:t>
      </w:r>
      <w:r w:rsidRPr="008912CF">
        <w:rPr>
          <w:sz w:val="22"/>
          <w:szCs w:val="22"/>
        </w:rPr>
        <w:t>mg na Semana 0 e 80</w:t>
      </w:r>
      <w:r>
        <w:rPr>
          <w:sz w:val="22"/>
          <w:szCs w:val="22"/>
        </w:rPr>
        <w:t> </w:t>
      </w:r>
      <w:r w:rsidRPr="008912CF">
        <w:rPr>
          <w:sz w:val="22"/>
          <w:szCs w:val="22"/>
        </w:rPr>
        <w:t>mg na Semana 2 para doentes ≥ 40</w:t>
      </w:r>
      <w:r>
        <w:rPr>
          <w:sz w:val="22"/>
          <w:szCs w:val="22"/>
        </w:rPr>
        <w:t> </w:t>
      </w:r>
      <w:r w:rsidRPr="008912CF">
        <w:rPr>
          <w:sz w:val="22"/>
          <w:szCs w:val="22"/>
        </w:rPr>
        <w:t>kg e 80</w:t>
      </w:r>
      <w:r>
        <w:rPr>
          <w:sz w:val="22"/>
          <w:szCs w:val="22"/>
        </w:rPr>
        <w:t> </w:t>
      </w:r>
      <w:r w:rsidRPr="008912CF">
        <w:rPr>
          <w:sz w:val="22"/>
          <w:szCs w:val="22"/>
        </w:rPr>
        <w:t>mg e 40</w:t>
      </w:r>
      <w:r>
        <w:rPr>
          <w:sz w:val="22"/>
          <w:szCs w:val="22"/>
        </w:rPr>
        <w:t> </w:t>
      </w:r>
      <w:r w:rsidRPr="008912CF">
        <w:rPr>
          <w:sz w:val="22"/>
          <w:szCs w:val="22"/>
        </w:rPr>
        <w:t>mg, respetivamente, para doentes &lt; 40 kg.</w:t>
      </w:r>
    </w:p>
    <w:p w14:paraId="4D46A87D" w14:textId="77777777" w:rsidR="00116EA1" w:rsidRPr="008912CF" w:rsidRDefault="00116EA1" w:rsidP="00116EA1">
      <w:pPr>
        <w:rPr>
          <w:sz w:val="22"/>
          <w:szCs w:val="22"/>
        </w:rPr>
      </w:pPr>
    </w:p>
    <w:p w14:paraId="2ABAA81E" w14:textId="77777777" w:rsidR="00116EA1" w:rsidRPr="008912CF" w:rsidRDefault="00615769" w:rsidP="00116EA1">
      <w:pPr>
        <w:rPr>
          <w:sz w:val="22"/>
          <w:szCs w:val="22"/>
        </w:rPr>
      </w:pPr>
      <w:r w:rsidRPr="008912CF">
        <w:rPr>
          <w:sz w:val="22"/>
          <w:szCs w:val="22"/>
        </w:rPr>
        <w:t>Na Semana</w:t>
      </w:r>
      <w:r>
        <w:rPr>
          <w:sz w:val="22"/>
          <w:szCs w:val="22"/>
        </w:rPr>
        <w:t> </w:t>
      </w:r>
      <w:r w:rsidRPr="008912CF">
        <w:rPr>
          <w:sz w:val="22"/>
          <w:szCs w:val="22"/>
        </w:rPr>
        <w:t xml:space="preserve">4, os doentes foram </w:t>
      </w:r>
      <w:r>
        <w:rPr>
          <w:sz w:val="22"/>
          <w:szCs w:val="22"/>
        </w:rPr>
        <w:t>aleatorizado</w:t>
      </w:r>
      <w:r w:rsidRPr="008912CF">
        <w:rPr>
          <w:sz w:val="22"/>
          <w:szCs w:val="22"/>
        </w:rPr>
        <w:t xml:space="preserve">s 1:1 com base no seu peso corporal aquando da definição do regime de manutenção da Baixa Dose ou da Dose Padrão, conforme Tabela </w:t>
      </w:r>
      <w:r w:rsidR="002A7CC6">
        <w:rPr>
          <w:sz w:val="22"/>
          <w:szCs w:val="22"/>
        </w:rPr>
        <w:t>20</w:t>
      </w:r>
      <w:r w:rsidRPr="008912CF">
        <w:rPr>
          <w:sz w:val="22"/>
          <w:szCs w:val="22"/>
        </w:rPr>
        <w:t>.</w:t>
      </w:r>
    </w:p>
    <w:p w14:paraId="55D03F2B" w14:textId="77777777" w:rsidR="00116EA1" w:rsidRPr="008912CF" w:rsidRDefault="00116EA1" w:rsidP="00116EA1">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
        <w:gridCol w:w="2843"/>
        <w:gridCol w:w="2898"/>
      </w:tblGrid>
      <w:tr w:rsidR="00A7162A" w14:paraId="210D6C74" w14:textId="77777777" w:rsidTr="00B538F3">
        <w:trPr>
          <w:trHeight w:val="263"/>
          <w:jc w:val="center"/>
        </w:trPr>
        <w:tc>
          <w:tcPr>
            <w:tcW w:w="0" w:type="auto"/>
            <w:gridSpan w:val="3"/>
          </w:tcPr>
          <w:p w14:paraId="31143E45" w14:textId="77777777" w:rsidR="00116EA1" w:rsidRPr="008912CF" w:rsidRDefault="00615769" w:rsidP="00D105CA">
            <w:pPr>
              <w:pStyle w:val="EMEANormal"/>
              <w:jc w:val="center"/>
              <w:rPr>
                <w:b/>
                <w:szCs w:val="24"/>
                <w:lang w:val="pt-PT"/>
              </w:rPr>
            </w:pPr>
            <w:r w:rsidRPr="008912CF">
              <w:rPr>
                <w:b/>
                <w:szCs w:val="24"/>
                <w:lang w:val="pt-PT"/>
              </w:rPr>
              <w:t xml:space="preserve">Tabela </w:t>
            </w:r>
            <w:r w:rsidR="002A7CC6">
              <w:rPr>
                <w:b/>
                <w:szCs w:val="24"/>
                <w:lang w:val="pt-PT"/>
              </w:rPr>
              <w:t>20</w:t>
            </w:r>
          </w:p>
          <w:p w14:paraId="70A5BB40" w14:textId="77777777" w:rsidR="00116EA1" w:rsidRPr="008912CF" w:rsidRDefault="00615769" w:rsidP="00D105CA">
            <w:pPr>
              <w:pStyle w:val="EMEANormal"/>
              <w:jc w:val="center"/>
              <w:rPr>
                <w:szCs w:val="24"/>
                <w:lang w:val="pt-PT"/>
              </w:rPr>
            </w:pPr>
            <w:r w:rsidRPr="008912CF">
              <w:rPr>
                <w:b/>
                <w:szCs w:val="24"/>
                <w:lang w:val="pt-PT"/>
              </w:rPr>
              <w:t>Regime de manutenção</w:t>
            </w:r>
          </w:p>
        </w:tc>
      </w:tr>
      <w:tr w:rsidR="00A7162A" w14:paraId="5886F40D" w14:textId="77777777" w:rsidTr="00B538F3">
        <w:trPr>
          <w:jc w:val="center"/>
        </w:trPr>
        <w:tc>
          <w:tcPr>
            <w:tcW w:w="0" w:type="auto"/>
          </w:tcPr>
          <w:p w14:paraId="1B066EB1" w14:textId="77777777" w:rsidR="00116EA1" w:rsidRPr="008912CF" w:rsidRDefault="00615769" w:rsidP="00D105CA">
            <w:pPr>
              <w:pStyle w:val="EMEANormal"/>
              <w:rPr>
                <w:b/>
                <w:szCs w:val="24"/>
                <w:lang w:val="pt-PT"/>
              </w:rPr>
            </w:pPr>
            <w:r w:rsidRPr="008912CF">
              <w:rPr>
                <w:b/>
                <w:szCs w:val="24"/>
                <w:lang w:val="pt-PT"/>
              </w:rPr>
              <w:t>Peso</w:t>
            </w:r>
          </w:p>
          <w:p w14:paraId="60D139E4" w14:textId="77777777" w:rsidR="00116EA1" w:rsidRPr="008912CF" w:rsidRDefault="00615769" w:rsidP="00D105CA">
            <w:pPr>
              <w:pStyle w:val="EMEANormal"/>
              <w:rPr>
                <w:b/>
                <w:szCs w:val="24"/>
                <w:lang w:val="pt-PT"/>
              </w:rPr>
            </w:pPr>
            <w:r w:rsidRPr="008912CF">
              <w:rPr>
                <w:b/>
                <w:szCs w:val="24"/>
                <w:lang w:val="pt-PT"/>
              </w:rPr>
              <w:t>Doente</w:t>
            </w:r>
          </w:p>
        </w:tc>
        <w:tc>
          <w:tcPr>
            <w:tcW w:w="0" w:type="auto"/>
          </w:tcPr>
          <w:p w14:paraId="55A6C581" w14:textId="77777777" w:rsidR="00116EA1" w:rsidRPr="008912CF" w:rsidRDefault="00615769" w:rsidP="00D105CA">
            <w:pPr>
              <w:pStyle w:val="EMEANormal"/>
              <w:rPr>
                <w:b/>
                <w:szCs w:val="24"/>
                <w:lang w:val="pt-PT"/>
              </w:rPr>
            </w:pPr>
            <w:r w:rsidRPr="008912CF">
              <w:rPr>
                <w:b/>
                <w:szCs w:val="24"/>
                <w:lang w:val="pt-PT"/>
              </w:rPr>
              <w:t xml:space="preserve">Baixa </w:t>
            </w:r>
            <w:r>
              <w:rPr>
                <w:b/>
                <w:szCs w:val="24"/>
                <w:lang w:val="pt-PT"/>
              </w:rPr>
              <w:t>D</w:t>
            </w:r>
            <w:r w:rsidRPr="008912CF">
              <w:rPr>
                <w:b/>
                <w:szCs w:val="24"/>
                <w:lang w:val="pt-PT"/>
              </w:rPr>
              <w:t>ose</w:t>
            </w:r>
          </w:p>
        </w:tc>
        <w:tc>
          <w:tcPr>
            <w:tcW w:w="0" w:type="auto"/>
          </w:tcPr>
          <w:p w14:paraId="79F3D25B" w14:textId="77777777" w:rsidR="00116EA1" w:rsidRPr="008912CF" w:rsidRDefault="00615769" w:rsidP="00D105CA">
            <w:pPr>
              <w:pStyle w:val="EMEANormal"/>
              <w:rPr>
                <w:b/>
                <w:szCs w:val="24"/>
                <w:lang w:val="pt-PT"/>
              </w:rPr>
            </w:pPr>
            <w:r w:rsidRPr="008912CF">
              <w:rPr>
                <w:b/>
                <w:szCs w:val="24"/>
                <w:lang w:val="pt-PT"/>
              </w:rPr>
              <w:t>Dose</w:t>
            </w:r>
          </w:p>
          <w:p w14:paraId="19D9EDDD" w14:textId="77777777" w:rsidR="00116EA1" w:rsidRPr="008912CF" w:rsidRDefault="00615769" w:rsidP="00D105CA">
            <w:pPr>
              <w:pStyle w:val="EMEANormal"/>
              <w:rPr>
                <w:b/>
                <w:szCs w:val="24"/>
                <w:lang w:val="pt-PT"/>
              </w:rPr>
            </w:pPr>
            <w:r w:rsidRPr="008912CF">
              <w:rPr>
                <w:b/>
                <w:szCs w:val="24"/>
                <w:lang w:val="pt-PT"/>
              </w:rPr>
              <w:t>Padrão</w:t>
            </w:r>
          </w:p>
        </w:tc>
      </w:tr>
      <w:tr w:rsidR="00A7162A" w14:paraId="66B6BEA7" w14:textId="77777777" w:rsidTr="00B538F3">
        <w:trPr>
          <w:jc w:val="center"/>
        </w:trPr>
        <w:tc>
          <w:tcPr>
            <w:tcW w:w="0" w:type="auto"/>
          </w:tcPr>
          <w:p w14:paraId="4C4D7C7A" w14:textId="77777777" w:rsidR="00116EA1" w:rsidRPr="008912CF" w:rsidRDefault="00615769" w:rsidP="00D105CA">
            <w:pPr>
              <w:pStyle w:val="EMEANormal"/>
              <w:rPr>
                <w:szCs w:val="24"/>
                <w:lang w:val="pt-PT"/>
              </w:rPr>
            </w:pPr>
            <w:r w:rsidRPr="008912CF">
              <w:rPr>
                <w:szCs w:val="24"/>
                <w:lang w:val="pt-PT"/>
              </w:rPr>
              <w:t>&lt; 40</w:t>
            </w:r>
            <w:r>
              <w:rPr>
                <w:szCs w:val="24"/>
                <w:lang w:val="pt-PT"/>
              </w:rPr>
              <w:t> </w:t>
            </w:r>
            <w:r w:rsidRPr="008912CF">
              <w:rPr>
                <w:szCs w:val="24"/>
                <w:lang w:val="pt-PT"/>
              </w:rPr>
              <w:t>kg</w:t>
            </w:r>
          </w:p>
        </w:tc>
        <w:tc>
          <w:tcPr>
            <w:tcW w:w="0" w:type="auto"/>
          </w:tcPr>
          <w:p w14:paraId="53AD216C" w14:textId="77777777" w:rsidR="00116EA1" w:rsidRPr="008912CF" w:rsidRDefault="00615769" w:rsidP="00D105CA">
            <w:pPr>
              <w:pStyle w:val="EMEANormal"/>
              <w:rPr>
                <w:szCs w:val="24"/>
                <w:lang w:val="pt-PT"/>
              </w:rPr>
            </w:pPr>
            <w:r w:rsidRPr="008912CF">
              <w:rPr>
                <w:szCs w:val="24"/>
                <w:lang w:val="pt-PT"/>
              </w:rPr>
              <w:t>10</w:t>
            </w:r>
            <w:r>
              <w:rPr>
                <w:szCs w:val="24"/>
                <w:lang w:val="pt-PT"/>
              </w:rPr>
              <w:t> </w:t>
            </w:r>
            <w:r w:rsidRPr="008912CF">
              <w:rPr>
                <w:szCs w:val="24"/>
                <w:lang w:val="pt-PT"/>
              </w:rPr>
              <w:t>mg em semanas alternadas</w:t>
            </w:r>
          </w:p>
        </w:tc>
        <w:tc>
          <w:tcPr>
            <w:tcW w:w="0" w:type="auto"/>
          </w:tcPr>
          <w:p w14:paraId="33E8028E" w14:textId="77777777" w:rsidR="00116EA1" w:rsidRPr="008912CF" w:rsidRDefault="00615769" w:rsidP="00D105CA">
            <w:pPr>
              <w:pStyle w:val="EMEANormal"/>
              <w:rPr>
                <w:szCs w:val="24"/>
                <w:lang w:val="pt-PT"/>
              </w:rPr>
            </w:pPr>
            <w:r w:rsidRPr="008912CF">
              <w:rPr>
                <w:szCs w:val="24"/>
                <w:lang w:val="pt-PT"/>
              </w:rPr>
              <w:t>20</w:t>
            </w:r>
            <w:r>
              <w:rPr>
                <w:szCs w:val="24"/>
                <w:lang w:val="pt-PT"/>
              </w:rPr>
              <w:t> </w:t>
            </w:r>
            <w:r w:rsidRPr="008912CF">
              <w:rPr>
                <w:szCs w:val="24"/>
                <w:lang w:val="pt-PT"/>
              </w:rPr>
              <w:t>mg em semanas alternadas</w:t>
            </w:r>
          </w:p>
        </w:tc>
      </w:tr>
      <w:tr w:rsidR="00A7162A" w14:paraId="78C33FFD" w14:textId="77777777" w:rsidTr="00B538F3">
        <w:trPr>
          <w:jc w:val="center"/>
        </w:trPr>
        <w:tc>
          <w:tcPr>
            <w:tcW w:w="0" w:type="auto"/>
          </w:tcPr>
          <w:p w14:paraId="0BBCE7EF" w14:textId="77777777" w:rsidR="00116EA1" w:rsidRPr="008912CF" w:rsidRDefault="00615769" w:rsidP="00D105CA">
            <w:pPr>
              <w:pStyle w:val="EMEANormal"/>
              <w:rPr>
                <w:szCs w:val="24"/>
                <w:lang w:val="pt-PT"/>
              </w:rPr>
            </w:pPr>
            <w:r w:rsidRPr="008912CF">
              <w:rPr>
                <w:szCs w:val="24"/>
                <w:lang w:val="pt-PT"/>
              </w:rPr>
              <w:t>≥ 40</w:t>
            </w:r>
            <w:r>
              <w:rPr>
                <w:szCs w:val="24"/>
                <w:lang w:val="pt-PT"/>
              </w:rPr>
              <w:t> </w:t>
            </w:r>
            <w:r w:rsidRPr="008912CF">
              <w:rPr>
                <w:szCs w:val="24"/>
                <w:lang w:val="pt-PT"/>
              </w:rPr>
              <w:t>kg</w:t>
            </w:r>
          </w:p>
        </w:tc>
        <w:tc>
          <w:tcPr>
            <w:tcW w:w="0" w:type="auto"/>
          </w:tcPr>
          <w:p w14:paraId="691A7870" w14:textId="77777777" w:rsidR="00116EA1" w:rsidRPr="008912CF" w:rsidRDefault="00615769" w:rsidP="00D105CA">
            <w:pPr>
              <w:pStyle w:val="EMEANormal"/>
              <w:rPr>
                <w:szCs w:val="24"/>
                <w:lang w:val="pt-PT"/>
              </w:rPr>
            </w:pPr>
            <w:r w:rsidRPr="008912CF">
              <w:rPr>
                <w:szCs w:val="24"/>
                <w:lang w:val="pt-PT"/>
              </w:rPr>
              <w:t>20</w:t>
            </w:r>
            <w:r>
              <w:rPr>
                <w:szCs w:val="24"/>
                <w:lang w:val="pt-PT"/>
              </w:rPr>
              <w:t> </w:t>
            </w:r>
            <w:r w:rsidRPr="008912CF">
              <w:rPr>
                <w:szCs w:val="24"/>
                <w:lang w:val="pt-PT"/>
              </w:rPr>
              <w:t>mg em semanas alternadas</w:t>
            </w:r>
          </w:p>
        </w:tc>
        <w:tc>
          <w:tcPr>
            <w:tcW w:w="0" w:type="auto"/>
          </w:tcPr>
          <w:p w14:paraId="378B5EDE" w14:textId="77777777" w:rsidR="00116EA1" w:rsidRPr="008912CF" w:rsidRDefault="00615769" w:rsidP="00D105CA">
            <w:pPr>
              <w:pStyle w:val="EMEANormal"/>
              <w:rPr>
                <w:szCs w:val="24"/>
                <w:lang w:val="pt-PT"/>
              </w:rPr>
            </w:pPr>
            <w:r w:rsidRPr="008912CF">
              <w:rPr>
                <w:szCs w:val="24"/>
                <w:lang w:val="pt-PT"/>
              </w:rPr>
              <w:t>40</w:t>
            </w:r>
            <w:r>
              <w:rPr>
                <w:szCs w:val="24"/>
                <w:lang w:val="pt-PT"/>
              </w:rPr>
              <w:t> </w:t>
            </w:r>
            <w:r w:rsidRPr="008912CF">
              <w:rPr>
                <w:szCs w:val="24"/>
                <w:lang w:val="pt-PT"/>
              </w:rPr>
              <w:t xml:space="preserve"> mg em semanas alternadas</w:t>
            </w:r>
          </w:p>
        </w:tc>
      </w:tr>
    </w:tbl>
    <w:p w14:paraId="757AC8D7" w14:textId="77777777" w:rsidR="00116EA1" w:rsidRPr="008912CF" w:rsidRDefault="00116EA1" w:rsidP="00116EA1">
      <w:pPr>
        <w:rPr>
          <w:sz w:val="22"/>
          <w:szCs w:val="22"/>
        </w:rPr>
      </w:pPr>
    </w:p>
    <w:p w14:paraId="0277CABC" w14:textId="77777777" w:rsidR="00116EA1" w:rsidRPr="008912CF" w:rsidRDefault="00615769" w:rsidP="00116EA1">
      <w:pPr>
        <w:rPr>
          <w:i/>
          <w:sz w:val="22"/>
          <w:szCs w:val="22"/>
          <w:u w:val="single"/>
        </w:rPr>
      </w:pPr>
      <w:r w:rsidRPr="008912CF">
        <w:rPr>
          <w:i/>
          <w:sz w:val="22"/>
          <w:szCs w:val="22"/>
          <w:u w:val="single"/>
        </w:rPr>
        <w:t>Resultados de eficácia</w:t>
      </w:r>
    </w:p>
    <w:p w14:paraId="48A92DB1" w14:textId="77777777" w:rsidR="00116EA1" w:rsidRPr="008912CF" w:rsidRDefault="00116EA1" w:rsidP="00116EA1">
      <w:pPr>
        <w:rPr>
          <w:i/>
          <w:sz w:val="22"/>
          <w:szCs w:val="22"/>
        </w:rPr>
      </w:pPr>
    </w:p>
    <w:p w14:paraId="1D4ABD44" w14:textId="77777777" w:rsidR="00116EA1" w:rsidRPr="008912CF" w:rsidRDefault="00615769" w:rsidP="00116EA1">
      <w:r w:rsidRPr="008912CF">
        <w:rPr>
          <w:sz w:val="22"/>
          <w:szCs w:val="22"/>
        </w:rPr>
        <w:t xml:space="preserve">O objetivo primário do estudo foi a remissão clínica na Semana 26, definida como escala PCDAI </w:t>
      </w:r>
      <w:r w:rsidRPr="008912CF">
        <w:rPr>
          <w:rFonts w:ascii="Symbol" w:hAnsi="Symbol"/>
        </w:rPr>
        <w:sym w:font="Symbol" w:char="F0A3"/>
      </w:r>
      <w:r w:rsidRPr="008912CF">
        <w:t xml:space="preserve"> 10.</w:t>
      </w:r>
    </w:p>
    <w:p w14:paraId="574B9BA4" w14:textId="77777777" w:rsidR="00116EA1" w:rsidRPr="008912CF" w:rsidRDefault="00116EA1" w:rsidP="00116EA1"/>
    <w:p w14:paraId="0A9EB66D" w14:textId="77777777" w:rsidR="00116EA1" w:rsidRPr="008912CF" w:rsidRDefault="00615769" w:rsidP="00116EA1">
      <w:pPr>
        <w:rPr>
          <w:sz w:val="22"/>
          <w:szCs w:val="22"/>
        </w:rPr>
      </w:pPr>
      <w:r w:rsidRPr="008912CF">
        <w:rPr>
          <w:sz w:val="22"/>
          <w:szCs w:val="22"/>
        </w:rPr>
        <w:t xml:space="preserve">Taxas de remissão clínica e de resposta clínica (definida como uma redução na escala PCDAI de pelo menos 15 pontos desde a avaliação basal) são apresentadas na Tabela </w:t>
      </w:r>
      <w:r w:rsidR="002A7CC6">
        <w:rPr>
          <w:sz w:val="22"/>
          <w:szCs w:val="22"/>
        </w:rPr>
        <w:t>21</w:t>
      </w:r>
      <w:r w:rsidRPr="008912CF">
        <w:rPr>
          <w:sz w:val="22"/>
          <w:szCs w:val="22"/>
        </w:rPr>
        <w:t>. Taxas de descontinuação de corticosteroides ou imunomoduladores são apresentad</w:t>
      </w:r>
      <w:r>
        <w:rPr>
          <w:sz w:val="22"/>
          <w:szCs w:val="22"/>
        </w:rPr>
        <w:t>a</w:t>
      </w:r>
      <w:r w:rsidRPr="008912CF">
        <w:rPr>
          <w:sz w:val="22"/>
          <w:szCs w:val="22"/>
        </w:rPr>
        <w:t xml:space="preserve">s na Tabela </w:t>
      </w:r>
      <w:r w:rsidR="002A7CC6">
        <w:rPr>
          <w:sz w:val="22"/>
          <w:szCs w:val="22"/>
        </w:rPr>
        <w:t>22</w:t>
      </w:r>
      <w:r w:rsidRPr="008912CF">
        <w:rPr>
          <w:sz w:val="22"/>
          <w:szCs w:val="22"/>
        </w:rPr>
        <w:t xml:space="preserve">. </w:t>
      </w:r>
    </w:p>
    <w:p w14:paraId="05C930E5" w14:textId="77777777" w:rsidR="00116EA1" w:rsidRPr="008912CF" w:rsidRDefault="00116EA1" w:rsidP="00116EA1">
      <w:pPr>
        <w:keepNext/>
        <w:rPr>
          <w:sz w:val="22"/>
          <w:szCs w:val="22"/>
        </w:rPr>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A7162A" w14:paraId="60740F8C" w14:textId="77777777" w:rsidTr="00D105CA">
        <w:trPr>
          <w:jc w:val="center"/>
        </w:trPr>
        <w:tc>
          <w:tcPr>
            <w:tcW w:w="6673" w:type="dxa"/>
            <w:gridSpan w:val="4"/>
            <w:tcBorders>
              <w:top w:val="single" w:sz="6" w:space="0" w:color="000000"/>
              <w:left w:val="single" w:sz="6" w:space="0" w:color="000000"/>
              <w:bottom w:val="single" w:sz="6" w:space="0" w:color="000000"/>
              <w:right w:val="single" w:sz="6" w:space="0" w:color="000000"/>
            </w:tcBorders>
          </w:tcPr>
          <w:p w14:paraId="126564A3" w14:textId="77777777" w:rsidR="00116EA1" w:rsidRPr="008912CF" w:rsidRDefault="00615769" w:rsidP="00D105CA">
            <w:pPr>
              <w:keepNext/>
              <w:tabs>
                <w:tab w:val="left" w:pos="-878"/>
              </w:tabs>
              <w:autoSpaceDE w:val="0"/>
              <w:autoSpaceDN w:val="0"/>
              <w:adjustRightInd w:val="0"/>
              <w:ind w:left="15"/>
              <w:jc w:val="center"/>
              <w:rPr>
                <w:b/>
                <w:bCs/>
                <w:sz w:val="22"/>
                <w:szCs w:val="22"/>
              </w:rPr>
            </w:pPr>
            <w:r w:rsidRPr="008912CF">
              <w:rPr>
                <w:b/>
                <w:bCs/>
                <w:sz w:val="22"/>
                <w:szCs w:val="22"/>
              </w:rPr>
              <w:t xml:space="preserve">Tabela </w:t>
            </w:r>
            <w:r w:rsidR="002A7CC6">
              <w:rPr>
                <w:b/>
                <w:bCs/>
                <w:sz w:val="22"/>
                <w:szCs w:val="22"/>
              </w:rPr>
              <w:t>21</w:t>
            </w:r>
          </w:p>
          <w:p w14:paraId="56D27178" w14:textId="77777777" w:rsidR="00116EA1" w:rsidRPr="008912CF" w:rsidRDefault="00615769" w:rsidP="00D105CA">
            <w:pPr>
              <w:pStyle w:val="BodyText2"/>
              <w:keepNext/>
              <w:autoSpaceDE/>
              <w:autoSpaceDN/>
              <w:adjustRightInd/>
              <w:jc w:val="center"/>
              <w:rPr>
                <w:b/>
                <w:bCs/>
                <w:szCs w:val="22"/>
              </w:rPr>
            </w:pPr>
            <w:r w:rsidRPr="008912CF">
              <w:rPr>
                <w:b/>
                <w:szCs w:val="22"/>
              </w:rPr>
              <w:t>Estudo de DC Pediátrica</w:t>
            </w:r>
          </w:p>
          <w:p w14:paraId="6257E188" w14:textId="77777777" w:rsidR="00116EA1" w:rsidRPr="008912CF" w:rsidRDefault="00615769" w:rsidP="00D105CA">
            <w:pPr>
              <w:keepNext/>
              <w:tabs>
                <w:tab w:val="left" w:pos="-878"/>
              </w:tabs>
              <w:autoSpaceDE w:val="0"/>
              <w:autoSpaceDN w:val="0"/>
              <w:adjustRightInd w:val="0"/>
              <w:ind w:left="15"/>
              <w:jc w:val="center"/>
              <w:rPr>
                <w:b/>
                <w:bCs/>
                <w:sz w:val="22"/>
                <w:szCs w:val="22"/>
              </w:rPr>
            </w:pPr>
            <w:r w:rsidRPr="008912CF">
              <w:rPr>
                <w:b/>
                <w:bCs/>
                <w:sz w:val="22"/>
                <w:szCs w:val="22"/>
              </w:rPr>
              <w:t>Resposta e Remissão Clínica</w:t>
            </w:r>
            <w:r>
              <w:rPr>
                <w:b/>
                <w:bCs/>
                <w:sz w:val="22"/>
                <w:szCs w:val="22"/>
              </w:rPr>
              <w:t>s</w:t>
            </w:r>
            <w:r w:rsidRPr="008912CF">
              <w:rPr>
                <w:b/>
                <w:bCs/>
                <w:sz w:val="22"/>
                <w:szCs w:val="22"/>
              </w:rPr>
              <w:t xml:space="preserve"> PCDAI</w:t>
            </w:r>
          </w:p>
        </w:tc>
      </w:tr>
      <w:tr w:rsidR="00A7162A" w14:paraId="14D76979" w14:textId="77777777" w:rsidTr="00D105CA">
        <w:trPr>
          <w:jc w:val="center"/>
        </w:trPr>
        <w:tc>
          <w:tcPr>
            <w:tcW w:w="2321" w:type="dxa"/>
            <w:tcBorders>
              <w:top w:val="single" w:sz="6" w:space="0" w:color="000000"/>
              <w:left w:val="single" w:sz="6" w:space="0" w:color="000000"/>
              <w:bottom w:val="single" w:sz="6" w:space="0" w:color="000000"/>
              <w:right w:val="single" w:sz="6" w:space="0" w:color="000000"/>
            </w:tcBorders>
          </w:tcPr>
          <w:p w14:paraId="5F855256" w14:textId="77777777" w:rsidR="00116EA1" w:rsidRPr="008912CF" w:rsidRDefault="00116EA1" w:rsidP="00D105CA">
            <w:pPr>
              <w:keepNext/>
              <w:keepLines/>
              <w:tabs>
                <w:tab w:val="left" w:pos="-1080"/>
              </w:tabs>
              <w:autoSpaceDE w:val="0"/>
              <w:autoSpaceDN w:val="0"/>
              <w:adjustRightInd w:val="0"/>
              <w:ind w:left="15"/>
              <w:jc w:val="center"/>
              <w:rPr>
                <w:b/>
                <w:bCs/>
                <w:sz w:val="22"/>
                <w:szCs w:val="22"/>
              </w:rPr>
            </w:pPr>
          </w:p>
        </w:tc>
        <w:tc>
          <w:tcPr>
            <w:tcW w:w="1614" w:type="dxa"/>
            <w:tcBorders>
              <w:top w:val="single" w:sz="6" w:space="0" w:color="000000"/>
              <w:left w:val="single" w:sz="6" w:space="0" w:color="000000"/>
              <w:bottom w:val="single" w:sz="6" w:space="0" w:color="000000"/>
              <w:right w:val="single" w:sz="6" w:space="0" w:color="000000"/>
            </w:tcBorders>
          </w:tcPr>
          <w:p w14:paraId="18B49D56" w14:textId="77777777" w:rsidR="00116EA1" w:rsidRPr="008912CF" w:rsidRDefault="00615769" w:rsidP="00D105CA">
            <w:pPr>
              <w:keepNext/>
              <w:keepLines/>
              <w:tabs>
                <w:tab w:val="left" w:pos="-1080"/>
              </w:tabs>
              <w:autoSpaceDE w:val="0"/>
              <w:autoSpaceDN w:val="0"/>
              <w:adjustRightInd w:val="0"/>
              <w:ind w:left="15"/>
              <w:jc w:val="center"/>
              <w:rPr>
                <w:b/>
                <w:bCs/>
                <w:sz w:val="22"/>
                <w:szCs w:val="22"/>
              </w:rPr>
            </w:pPr>
            <w:r w:rsidRPr="008912CF">
              <w:rPr>
                <w:b/>
                <w:bCs/>
                <w:sz w:val="22"/>
                <w:szCs w:val="22"/>
              </w:rPr>
              <w:t>Dose Padrão</w:t>
            </w:r>
          </w:p>
          <w:p w14:paraId="6404BBE4" w14:textId="77777777" w:rsidR="00116EA1" w:rsidRPr="008912CF" w:rsidRDefault="00615769" w:rsidP="00D105CA">
            <w:pPr>
              <w:keepNext/>
              <w:keepLines/>
              <w:tabs>
                <w:tab w:val="left" w:pos="-1080"/>
              </w:tabs>
              <w:autoSpaceDE w:val="0"/>
              <w:autoSpaceDN w:val="0"/>
              <w:adjustRightInd w:val="0"/>
              <w:ind w:left="15"/>
              <w:jc w:val="center"/>
              <w:rPr>
                <w:b/>
                <w:bCs/>
                <w:sz w:val="22"/>
                <w:szCs w:val="22"/>
              </w:rPr>
            </w:pPr>
            <w:r w:rsidRPr="008912CF">
              <w:rPr>
                <w:b/>
                <w:bCs/>
                <w:sz w:val="22"/>
                <w:szCs w:val="22"/>
              </w:rPr>
              <w:t>40/20</w:t>
            </w:r>
            <w:r>
              <w:rPr>
                <w:b/>
                <w:bCs/>
                <w:sz w:val="22"/>
                <w:szCs w:val="22"/>
              </w:rPr>
              <w:t> </w:t>
            </w:r>
            <w:r w:rsidRPr="008912CF">
              <w:rPr>
                <w:b/>
                <w:bCs/>
                <w:sz w:val="22"/>
                <w:szCs w:val="22"/>
              </w:rPr>
              <w:t xml:space="preserve">mg em semanas alternadas </w:t>
            </w:r>
          </w:p>
          <w:p w14:paraId="24A8F6E4" w14:textId="77777777" w:rsidR="00116EA1" w:rsidRPr="008912CF" w:rsidRDefault="00615769" w:rsidP="00D105CA">
            <w:pPr>
              <w:keepNext/>
              <w:keepLines/>
              <w:tabs>
                <w:tab w:val="left" w:pos="-1080"/>
              </w:tabs>
              <w:autoSpaceDE w:val="0"/>
              <w:autoSpaceDN w:val="0"/>
              <w:adjustRightInd w:val="0"/>
              <w:ind w:left="15"/>
              <w:jc w:val="center"/>
              <w:rPr>
                <w:b/>
                <w:bCs/>
                <w:sz w:val="22"/>
                <w:szCs w:val="22"/>
              </w:rPr>
            </w:pPr>
            <w:r w:rsidRPr="008912CF">
              <w:rPr>
                <w:b/>
                <w:bCs/>
                <w:sz w:val="22"/>
                <w:szCs w:val="22"/>
              </w:rPr>
              <w:t>N = 93</w:t>
            </w:r>
          </w:p>
        </w:tc>
        <w:tc>
          <w:tcPr>
            <w:tcW w:w="1591" w:type="dxa"/>
            <w:tcBorders>
              <w:top w:val="single" w:sz="6" w:space="0" w:color="000000"/>
              <w:left w:val="single" w:sz="6" w:space="0" w:color="000000"/>
              <w:bottom w:val="single" w:sz="6" w:space="0" w:color="000000"/>
              <w:right w:val="single" w:sz="6" w:space="0" w:color="000000"/>
            </w:tcBorders>
          </w:tcPr>
          <w:p w14:paraId="0114533C" w14:textId="77777777" w:rsidR="00116EA1" w:rsidRPr="008912CF" w:rsidRDefault="00615769" w:rsidP="00D105CA">
            <w:pPr>
              <w:keepNext/>
              <w:keepLines/>
              <w:tabs>
                <w:tab w:val="left" w:pos="-1080"/>
              </w:tabs>
              <w:autoSpaceDE w:val="0"/>
              <w:autoSpaceDN w:val="0"/>
              <w:adjustRightInd w:val="0"/>
              <w:ind w:left="15"/>
              <w:jc w:val="center"/>
              <w:rPr>
                <w:b/>
                <w:bCs/>
                <w:sz w:val="22"/>
                <w:szCs w:val="22"/>
              </w:rPr>
            </w:pPr>
            <w:r w:rsidRPr="008912CF">
              <w:rPr>
                <w:b/>
                <w:bCs/>
                <w:sz w:val="22"/>
                <w:szCs w:val="22"/>
              </w:rPr>
              <w:t>Baixa Dose</w:t>
            </w:r>
          </w:p>
          <w:p w14:paraId="03C9E670" w14:textId="77777777" w:rsidR="00116EA1" w:rsidRPr="008912CF" w:rsidRDefault="00615769" w:rsidP="00D105CA">
            <w:pPr>
              <w:keepNext/>
              <w:keepLines/>
              <w:tabs>
                <w:tab w:val="left" w:pos="-1080"/>
              </w:tabs>
              <w:autoSpaceDE w:val="0"/>
              <w:autoSpaceDN w:val="0"/>
              <w:adjustRightInd w:val="0"/>
              <w:ind w:left="15"/>
              <w:jc w:val="center"/>
              <w:rPr>
                <w:b/>
                <w:bCs/>
                <w:sz w:val="22"/>
                <w:szCs w:val="22"/>
              </w:rPr>
            </w:pPr>
            <w:r w:rsidRPr="008912CF">
              <w:rPr>
                <w:b/>
                <w:bCs/>
                <w:sz w:val="22"/>
                <w:szCs w:val="22"/>
              </w:rPr>
              <w:t>20/10</w:t>
            </w:r>
            <w:r>
              <w:rPr>
                <w:b/>
                <w:bCs/>
                <w:sz w:val="22"/>
                <w:szCs w:val="22"/>
              </w:rPr>
              <w:t> </w:t>
            </w:r>
            <w:r w:rsidRPr="008912CF">
              <w:rPr>
                <w:b/>
                <w:bCs/>
                <w:sz w:val="22"/>
                <w:szCs w:val="22"/>
              </w:rPr>
              <w:t xml:space="preserve">mg em semanas alternadas </w:t>
            </w:r>
          </w:p>
          <w:p w14:paraId="739A0EA8" w14:textId="77777777" w:rsidR="00116EA1" w:rsidRPr="008912CF" w:rsidRDefault="00615769" w:rsidP="00D105CA">
            <w:pPr>
              <w:keepNext/>
              <w:keepLines/>
              <w:tabs>
                <w:tab w:val="left" w:pos="-1080"/>
              </w:tabs>
              <w:autoSpaceDE w:val="0"/>
              <w:autoSpaceDN w:val="0"/>
              <w:adjustRightInd w:val="0"/>
              <w:ind w:left="15"/>
              <w:jc w:val="center"/>
              <w:rPr>
                <w:b/>
                <w:bCs/>
                <w:sz w:val="22"/>
                <w:szCs w:val="22"/>
              </w:rPr>
            </w:pPr>
            <w:r w:rsidRPr="008912CF">
              <w:rPr>
                <w:b/>
                <w:bCs/>
                <w:sz w:val="22"/>
                <w:szCs w:val="22"/>
              </w:rPr>
              <w:t>N = 95</w:t>
            </w:r>
          </w:p>
        </w:tc>
        <w:tc>
          <w:tcPr>
            <w:tcW w:w="1147" w:type="dxa"/>
            <w:tcBorders>
              <w:top w:val="single" w:sz="6" w:space="0" w:color="000000"/>
              <w:left w:val="single" w:sz="6" w:space="0" w:color="000000"/>
              <w:bottom w:val="single" w:sz="6" w:space="0" w:color="000000"/>
              <w:right w:val="single" w:sz="6" w:space="0" w:color="000000"/>
            </w:tcBorders>
          </w:tcPr>
          <w:p w14:paraId="783142AA"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b/>
                <w:bCs/>
                <w:sz w:val="22"/>
                <w:szCs w:val="22"/>
              </w:rPr>
              <w:t>valor</w:t>
            </w:r>
            <w:r>
              <w:rPr>
                <w:b/>
                <w:bCs/>
                <w:sz w:val="22"/>
                <w:szCs w:val="22"/>
              </w:rPr>
              <w:t>-p</w:t>
            </w:r>
            <w:r w:rsidRPr="008912CF">
              <w:rPr>
                <w:sz w:val="22"/>
                <w:szCs w:val="22"/>
              </w:rPr>
              <w:t>*</w:t>
            </w:r>
          </w:p>
        </w:tc>
      </w:tr>
      <w:tr w:rsidR="00A7162A" w14:paraId="17E33838" w14:textId="77777777" w:rsidTr="00D105CA">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26F60839" w14:textId="77777777" w:rsidR="00116EA1" w:rsidRPr="008912CF" w:rsidRDefault="00615769" w:rsidP="00D105CA">
            <w:pPr>
              <w:keepNext/>
              <w:keepLines/>
              <w:tabs>
                <w:tab w:val="left" w:pos="-1080"/>
              </w:tabs>
              <w:autoSpaceDE w:val="0"/>
              <w:autoSpaceDN w:val="0"/>
              <w:adjustRightInd w:val="0"/>
              <w:ind w:left="15"/>
              <w:rPr>
                <w:b/>
                <w:bCs/>
                <w:sz w:val="22"/>
                <w:szCs w:val="22"/>
              </w:rPr>
            </w:pPr>
            <w:r w:rsidRPr="008912CF">
              <w:rPr>
                <w:b/>
                <w:bCs/>
                <w:sz w:val="22"/>
                <w:szCs w:val="22"/>
              </w:rPr>
              <w:t>Semana</w:t>
            </w:r>
            <w:r>
              <w:rPr>
                <w:b/>
                <w:bCs/>
                <w:sz w:val="22"/>
                <w:szCs w:val="22"/>
              </w:rPr>
              <w:t> </w:t>
            </w:r>
            <w:r w:rsidRPr="008912CF">
              <w:rPr>
                <w:b/>
                <w:bCs/>
                <w:sz w:val="22"/>
                <w:szCs w:val="22"/>
              </w:rPr>
              <w:t>26</w:t>
            </w:r>
          </w:p>
        </w:tc>
        <w:tc>
          <w:tcPr>
            <w:tcW w:w="1614" w:type="dxa"/>
            <w:tcBorders>
              <w:top w:val="single" w:sz="6" w:space="0" w:color="000000"/>
              <w:left w:val="single" w:sz="6" w:space="0" w:color="000000"/>
              <w:bottom w:val="single" w:sz="6" w:space="0" w:color="000000"/>
              <w:right w:val="single" w:sz="6" w:space="0" w:color="000000"/>
            </w:tcBorders>
            <w:vAlign w:val="bottom"/>
          </w:tcPr>
          <w:p w14:paraId="47A62E33" w14:textId="77777777" w:rsidR="00116EA1" w:rsidRPr="008912CF" w:rsidRDefault="00116EA1" w:rsidP="00D105CA">
            <w:pPr>
              <w:keepNext/>
              <w:keepLines/>
              <w:tabs>
                <w:tab w:val="left" w:pos="-1080"/>
              </w:tabs>
              <w:autoSpaceDE w:val="0"/>
              <w:autoSpaceDN w:val="0"/>
              <w:adjustRightInd w:val="0"/>
              <w:ind w:left="15"/>
              <w:jc w:val="center"/>
              <w:rPr>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4D473CE8" w14:textId="77777777" w:rsidR="00116EA1" w:rsidRPr="008912CF" w:rsidRDefault="00116EA1" w:rsidP="00D105CA">
            <w:pPr>
              <w:keepNext/>
              <w:keepLines/>
              <w:tabs>
                <w:tab w:val="left" w:pos="-1080"/>
              </w:tabs>
              <w:autoSpaceDE w:val="0"/>
              <w:autoSpaceDN w:val="0"/>
              <w:adjustRightInd w:val="0"/>
              <w:ind w:left="15"/>
              <w:jc w:val="center"/>
              <w:rPr>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40F87D14" w14:textId="77777777" w:rsidR="00116EA1" w:rsidRPr="008912CF" w:rsidRDefault="00116EA1" w:rsidP="00D105CA">
            <w:pPr>
              <w:keepNext/>
              <w:autoSpaceDE w:val="0"/>
              <w:autoSpaceDN w:val="0"/>
              <w:adjustRightInd w:val="0"/>
              <w:ind w:left="15"/>
              <w:rPr>
                <w:b/>
                <w:bCs/>
                <w:sz w:val="22"/>
                <w:szCs w:val="22"/>
              </w:rPr>
            </w:pPr>
          </w:p>
        </w:tc>
      </w:tr>
      <w:tr w:rsidR="00A7162A" w14:paraId="575DF4A5" w14:textId="77777777" w:rsidTr="00D105CA">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02F0688E" w14:textId="77777777" w:rsidR="00116EA1" w:rsidRPr="008912CF" w:rsidRDefault="00615769" w:rsidP="00D105CA">
            <w:pPr>
              <w:keepNext/>
              <w:keepLines/>
              <w:tabs>
                <w:tab w:val="left" w:pos="-1080"/>
              </w:tabs>
              <w:autoSpaceDE w:val="0"/>
              <w:autoSpaceDN w:val="0"/>
              <w:adjustRightInd w:val="0"/>
              <w:ind w:left="15"/>
              <w:rPr>
                <w:sz w:val="22"/>
                <w:szCs w:val="22"/>
              </w:rPr>
            </w:pPr>
            <w:r w:rsidRPr="008912CF">
              <w:rPr>
                <w:sz w:val="22"/>
                <w:szCs w:val="22"/>
              </w:rPr>
              <w:t xml:space="preserve">   Remissão clínica</w:t>
            </w:r>
          </w:p>
        </w:tc>
        <w:tc>
          <w:tcPr>
            <w:tcW w:w="1614" w:type="dxa"/>
            <w:tcBorders>
              <w:top w:val="single" w:sz="6" w:space="0" w:color="000000"/>
              <w:left w:val="single" w:sz="6" w:space="0" w:color="000000"/>
              <w:bottom w:val="single" w:sz="6" w:space="0" w:color="000000"/>
              <w:right w:val="single" w:sz="6" w:space="0" w:color="000000"/>
            </w:tcBorders>
            <w:vAlign w:val="bottom"/>
          </w:tcPr>
          <w:p w14:paraId="5BE7C981"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38,7%</w:t>
            </w:r>
          </w:p>
        </w:tc>
        <w:tc>
          <w:tcPr>
            <w:tcW w:w="1591" w:type="dxa"/>
            <w:tcBorders>
              <w:top w:val="single" w:sz="6" w:space="0" w:color="000000"/>
              <w:left w:val="single" w:sz="6" w:space="0" w:color="000000"/>
              <w:bottom w:val="single" w:sz="6" w:space="0" w:color="000000"/>
              <w:right w:val="single" w:sz="6" w:space="0" w:color="000000"/>
            </w:tcBorders>
            <w:vAlign w:val="bottom"/>
          </w:tcPr>
          <w:p w14:paraId="662A435D"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28,4%</w:t>
            </w:r>
          </w:p>
        </w:tc>
        <w:tc>
          <w:tcPr>
            <w:tcW w:w="1147" w:type="dxa"/>
            <w:tcBorders>
              <w:top w:val="single" w:sz="6" w:space="0" w:color="000000"/>
              <w:left w:val="single" w:sz="6" w:space="0" w:color="000000"/>
              <w:bottom w:val="single" w:sz="6" w:space="0" w:color="000000"/>
              <w:right w:val="single" w:sz="6" w:space="0" w:color="000000"/>
            </w:tcBorders>
            <w:vAlign w:val="bottom"/>
          </w:tcPr>
          <w:p w14:paraId="7E672E08"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0,075</w:t>
            </w:r>
          </w:p>
        </w:tc>
      </w:tr>
      <w:tr w:rsidR="00A7162A" w14:paraId="57AA6AE3" w14:textId="77777777" w:rsidTr="00D105CA">
        <w:trPr>
          <w:jc w:val="center"/>
        </w:trPr>
        <w:tc>
          <w:tcPr>
            <w:tcW w:w="2321" w:type="dxa"/>
            <w:tcBorders>
              <w:top w:val="single" w:sz="6" w:space="0" w:color="000000"/>
              <w:left w:val="single" w:sz="6" w:space="0" w:color="000000"/>
              <w:bottom w:val="single" w:sz="6" w:space="0" w:color="000000"/>
              <w:right w:val="single" w:sz="6" w:space="0" w:color="000000"/>
            </w:tcBorders>
          </w:tcPr>
          <w:p w14:paraId="4A7F5501" w14:textId="77777777" w:rsidR="00116EA1" w:rsidRPr="008912CF" w:rsidRDefault="00615769" w:rsidP="00D105CA">
            <w:pPr>
              <w:keepNext/>
              <w:keepLines/>
              <w:tabs>
                <w:tab w:val="left" w:pos="-1080"/>
              </w:tabs>
              <w:autoSpaceDE w:val="0"/>
              <w:autoSpaceDN w:val="0"/>
              <w:adjustRightInd w:val="0"/>
              <w:ind w:left="15"/>
              <w:rPr>
                <w:sz w:val="22"/>
                <w:szCs w:val="22"/>
              </w:rPr>
            </w:pPr>
            <w:r w:rsidRPr="008912CF">
              <w:rPr>
                <w:sz w:val="22"/>
                <w:szCs w:val="22"/>
              </w:rPr>
              <w:t xml:space="preserve">   Resposta clínica</w:t>
            </w:r>
          </w:p>
        </w:tc>
        <w:tc>
          <w:tcPr>
            <w:tcW w:w="1614" w:type="dxa"/>
            <w:tcBorders>
              <w:top w:val="single" w:sz="6" w:space="0" w:color="000000"/>
              <w:left w:val="single" w:sz="6" w:space="0" w:color="000000"/>
              <w:bottom w:val="single" w:sz="6" w:space="0" w:color="000000"/>
              <w:right w:val="single" w:sz="6" w:space="0" w:color="000000"/>
            </w:tcBorders>
          </w:tcPr>
          <w:p w14:paraId="11ECD2E5"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59,1%</w:t>
            </w:r>
          </w:p>
        </w:tc>
        <w:tc>
          <w:tcPr>
            <w:tcW w:w="1591" w:type="dxa"/>
            <w:tcBorders>
              <w:top w:val="single" w:sz="6" w:space="0" w:color="000000"/>
              <w:left w:val="single" w:sz="6" w:space="0" w:color="000000"/>
              <w:bottom w:val="single" w:sz="6" w:space="0" w:color="000000"/>
              <w:right w:val="single" w:sz="6" w:space="0" w:color="000000"/>
            </w:tcBorders>
          </w:tcPr>
          <w:p w14:paraId="45635244"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48,4%</w:t>
            </w:r>
          </w:p>
        </w:tc>
        <w:tc>
          <w:tcPr>
            <w:tcW w:w="1147" w:type="dxa"/>
            <w:tcBorders>
              <w:top w:val="single" w:sz="6" w:space="0" w:color="000000"/>
              <w:left w:val="single" w:sz="6" w:space="0" w:color="000000"/>
              <w:bottom w:val="single" w:sz="6" w:space="0" w:color="000000"/>
              <w:right w:val="single" w:sz="6" w:space="0" w:color="000000"/>
            </w:tcBorders>
          </w:tcPr>
          <w:p w14:paraId="0E57C197"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0,073</w:t>
            </w:r>
          </w:p>
        </w:tc>
      </w:tr>
      <w:tr w:rsidR="00A7162A" w14:paraId="7BCCD2D0" w14:textId="77777777" w:rsidTr="00D105CA">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3FD366AC" w14:textId="77777777" w:rsidR="00116EA1" w:rsidRPr="008912CF" w:rsidRDefault="00615769" w:rsidP="00D105CA">
            <w:pPr>
              <w:keepNext/>
              <w:keepLines/>
              <w:tabs>
                <w:tab w:val="left" w:pos="-1080"/>
              </w:tabs>
              <w:autoSpaceDE w:val="0"/>
              <w:autoSpaceDN w:val="0"/>
              <w:adjustRightInd w:val="0"/>
              <w:ind w:left="15"/>
              <w:rPr>
                <w:b/>
                <w:bCs/>
                <w:sz w:val="22"/>
                <w:szCs w:val="22"/>
              </w:rPr>
            </w:pPr>
            <w:r w:rsidRPr="008912CF">
              <w:rPr>
                <w:b/>
                <w:bCs/>
                <w:sz w:val="22"/>
                <w:szCs w:val="22"/>
              </w:rPr>
              <w:t>Semana</w:t>
            </w:r>
            <w:r>
              <w:rPr>
                <w:b/>
                <w:bCs/>
                <w:sz w:val="22"/>
                <w:szCs w:val="22"/>
              </w:rPr>
              <w:t> </w:t>
            </w:r>
            <w:r w:rsidRPr="008912CF">
              <w:rPr>
                <w:b/>
                <w:bCs/>
                <w:sz w:val="22"/>
                <w:szCs w:val="22"/>
              </w:rPr>
              <w:t>52</w:t>
            </w:r>
          </w:p>
        </w:tc>
        <w:tc>
          <w:tcPr>
            <w:tcW w:w="1614" w:type="dxa"/>
            <w:tcBorders>
              <w:top w:val="single" w:sz="6" w:space="0" w:color="000000"/>
              <w:left w:val="single" w:sz="6" w:space="0" w:color="000000"/>
              <w:bottom w:val="single" w:sz="6" w:space="0" w:color="000000"/>
              <w:right w:val="single" w:sz="6" w:space="0" w:color="000000"/>
            </w:tcBorders>
            <w:vAlign w:val="bottom"/>
          </w:tcPr>
          <w:p w14:paraId="2C16B704" w14:textId="77777777" w:rsidR="00116EA1" w:rsidRPr="008912CF" w:rsidRDefault="00116EA1" w:rsidP="00D105CA">
            <w:pPr>
              <w:keepNext/>
              <w:keepLines/>
              <w:tabs>
                <w:tab w:val="left" w:pos="-1080"/>
              </w:tabs>
              <w:autoSpaceDE w:val="0"/>
              <w:autoSpaceDN w:val="0"/>
              <w:adjustRightInd w:val="0"/>
              <w:ind w:left="15"/>
              <w:jc w:val="center"/>
              <w:rPr>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7E77E8D2" w14:textId="77777777" w:rsidR="00116EA1" w:rsidRPr="008912CF" w:rsidRDefault="00116EA1" w:rsidP="00D105CA">
            <w:pPr>
              <w:keepNext/>
              <w:keepLines/>
              <w:tabs>
                <w:tab w:val="left" w:pos="-1080"/>
              </w:tabs>
              <w:autoSpaceDE w:val="0"/>
              <w:autoSpaceDN w:val="0"/>
              <w:adjustRightInd w:val="0"/>
              <w:ind w:left="15"/>
              <w:jc w:val="center"/>
              <w:rPr>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592BAE5C" w14:textId="77777777" w:rsidR="00116EA1" w:rsidRPr="008912CF" w:rsidRDefault="00116EA1" w:rsidP="00D105CA">
            <w:pPr>
              <w:keepNext/>
              <w:autoSpaceDE w:val="0"/>
              <w:autoSpaceDN w:val="0"/>
              <w:adjustRightInd w:val="0"/>
              <w:ind w:left="15"/>
              <w:rPr>
                <w:b/>
                <w:bCs/>
                <w:sz w:val="22"/>
                <w:szCs w:val="22"/>
              </w:rPr>
            </w:pPr>
          </w:p>
        </w:tc>
      </w:tr>
      <w:tr w:rsidR="00A7162A" w14:paraId="34043BF8" w14:textId="77777777" w:rsidTr="00D105CA">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7BC07C21" w14:textId="77777777" w:rsidR="00116EA1" w:rsidRPr="008912CF" w:rsidRDefault="00615769" w:rsidP="00D105CA">
            <w:pPr>
              <w:keepNext/>
              <w:keepLines/>
              <w:tabs>
                <w:tab w:val="left" w:pos="-1080"/>
              </w:tabs>
              <w:autoSpaceDE w:val="0"/>
              <w:autoSpaceDN w:val="0"/>
              <w:adjustRightInd w:val="0"/>
              <w:ind w:left="15"/>
              <w:rPr>
                <w:sz w:val="22"/>
                <w:szCs w:val="22"/>
              </w:rPr>
            </w:pPr>
            <w:r w:rsidRPr="008912CF">
              <w:rPr>
                <w:sz w:val="22"/>
                <w:szCs w:val="22"/>
              </w:rPr>
              <w:t xml:space="preserve">   Remissão clínica</w:t>
            </w:r>
          </w:p>
        </w:tc>
        <w:tc>
          <w:tcPr>
            <w:tcW w:w="1614" w:type="dxa"/>
            <w:tcBorders>
              <w:top w:val="single" w:sz="6" w:space="0" w:color="000000"/>
              <w:left w:val="single" w:sz="6" w:space="0" w:color="000000"/>
              <w:bottom w:val="single" w:sz="6" w:space="0" w:color="000000"/>
              <w:right w:val="single" w:sz="6" w:space="0" w:color="000000"/>
            </w:tcBorders>
            <w:vAlign w:val="bottom"/>
          </w:tcPr>
          <w:p w14:paraId="226706E2"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33,3%</w:t>
            </w:r>
          </w:p>
        </w:tc>
        <w:tc>
          <w:tcPr>
            <w:tcW w:w="1591" w:type="dxa"/>
            <w:tcBorders>
              <w:top w:val="single" w:sz="6" w:space="0" w:color="000000"/>
              <w:left w:val="single" w:sz="6" w:space="0" w:color="000000"/>
              <w:bottom w:val="single" w:sz="6" w:space="0" w:color="000000"/>
              <w:right w:val="single" w:sz="6" w:space="0" w:color="000000"/>
            </w:tcBorders>
            <w:vAlign w:val="bottom"/>
          </w:tcPr>
          <w:p w14:paraId="657FE08B"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23,2%</w:t>
            </w:r>
          </w:p>
        </w:tc>
        <w:tc>
          <w:tcPr>
            <w:tcW w:w="1147" w:type="dxa"/>
            <w:tcBorders>
              <w:top w:val="single" w:sz="6" w:space="0" w:color="000000"/>
              <w:left w:val="single" w:sz="6" w:space="0" w:color="000000"/>
              <w:bottom w:val="single" w:sz="6" w:space="0" w:color="000000"/>
              <w:right w:val="single" w:sz="6" w:space="0" w:color="000000"/>
            </w:tcBorders>
            <w:vAlign w:val="bottom"/>
          </w:tcPr>
          <w:p w14:paraId="75D62988"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0,100</w:t>
            </w:r>
          </w:p>
        </w:tc>
      </w:tr>
      <w:tr w:rsidR="00A7162A" w14:paraId="211B9E15" w14:textId="77777777" w:rsidTr="00D105CA">
        <w:trPr>
          <w:jc w:val="center"/>
        </w:trPr>
        <w:tc>
          <w:tcPr>
            <w:tcW w:w="2321" w:type="dxa"/>
            <w:tcBorders>
              <w:top w:val="single" w:sz="6" w:space="0" w:color="000000"/>
              <w:left w:val="single" w:sz="6" w:space="0" w:color="000000"/>
              <w:bottom w:val="single" w:sz="6" w:space="0" w:color="000000"/>
              <w:right w:val="single" w:sz="6" w:space="0" w:color="000000"/>
            </w:tcBorders>
          </w:tcPr>
          <w:p w14:paraId="217D72C9" w14:textId="77777777" w:rsidR="00116EA1" w:rsidRPr="008912CF" w:rsidRDefault="00615769" w:rsidP="00D105CA">
            <w:pPr>
              <w:keepNext/>
              <w:keepLines/>
              <w:tabs>
                <w:tab w:val="left" w:pos="-1080"/>
              </w:tabs>
              <w:autoSpaceDE w:val="0"/>
              <w:autoSpaceDN w:val="0"/>
              <w:adjustRightInd w:val="0"/>
              <w:ind w:left="15"/>
              <w:rPr>
                <w:sz w:val="22"/>
                <w:szCs w:val="22"/>
              </w:rPr>
            </w:pPr>
            <w:r w:rsidRPr="008912CF">
              <w:rPr>
                <w:sz w:val="22"/>
                <w:szCs w:val="22"/>
              </w:rPr>
              <w:t xml:space="preserve">   Resposta clínica</w:t>
            </w:r>
          </w:p>
        </w:tc>
        <w:tc>
          <w:tcPr>
            <w:tcW w:w="1614" w:type="dxa"/>
            <w:tcBorders>
              <w:top w:val="single" w:sz="6" w:space="0" w:color="000000"/>
              <w:left w:val="single" w:sz="6" w:space="0" w:color="000000"/>
              <w:bottom w:val="single" w:sz="6" w:space="0" w:color="000000"/>
              <w:right w:val="single" w:sz="6" w:space="0" w:color="000000"/>
            </w:tcBorders>
          </w:tcPr>
          <w:p w14:paraId="64A94CC1"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41,9%</w:t>
            </w:r>
          </w:p>
        </w:tc>
        <w:tc>
          <w:tcPr>
            <w:tcW w:w="1591" w:type="dxa"/>
            <w:tcBorders>
              <w:top w:val="single" w:sz="6" w:space="0" w:color="000000"/>
              <w:left w:val="single" w:sz="6" w:space="0" w:color="000000"/>
              <w:bottom w:val="single" w:sz="6" w:space="0" w:color="000000"/>
              <w:right w:val="single" w:sz="6" w:space="0" w:color="000000"/>
            </w:tcBorders>
          </w:tcPr>
          <w:p w14:paraId="4DF269BF"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28,4%</w:t>
            </w:r>
          </w:p>
        </w:tc>
        <w:tc>
          <w:tcPr>
            <w:tcW w:w="1147" w:type="dxa"/>
            <w:tcBorders>
              <w:top w:val="single" w:sz="6" w:space="0" w:color="000000"/>
              <w:left w:val="single" w:sz="6" w:space="0" w:color="000000"/>
              <w:bottom w:val="single" w:sz="6" w:space="0" w:color="000000"/>
              <w:right w:val="single" w:sz="6" w:space="0" w:color="000000"/>
            </w:tcBorders>
          </w:tcPr>
          <w:p w14:paraId="67CF91DC"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0,038</w:t>
            </w:r>
          </w:p>
        </w:tc>
      </w:tr>
      <w:tr w:rsidR="00A7162A" w14:paraId="1276F148" w14:textId="77777777" w:rsidTr="00D105CA">
        <w:trPr>
          <w:jc w:val="center"/>
        </w:trPr>
        <w:tc>
          <w:tcPr>
            <w:tcW w:w="6673" w:type="dxa"/>
            <w:gridSpan w:val="4"/>
            <w:tcBorders>
              <w:top w:val="single" w:sz="6" w:space="0" w:color="000000"/>
              <w:left w:val="single" w:sz="6" w:space="0" w:color="000000"/>
              <w:bottom w:val="single" w:sz="6" w:space="0" w:color="000000"/>
              <w:right w:val="single" w:sz="6" w:space="0" w:color="000000"/>
            </w:tcBorders>
          </w:tcPr>
          <w:p w14:paraId="3B8C5A74" w14:textId="77777777" w:rsidR="00116EA1" w:rsidRPr="008912CF" w:rsidRDefault="00615769" w:rsidP="00D105CA">
            <w:pPr>
              <w:keepNext/>
              <w:keepLines/>
              <w:tabs>
                <w:tab w:val="left" w:pos="-1080"/>
              </w:tabs>
              <w:autoSpaceDE w:val="0"/>
              <w:autoSpaceDN w:val="0"/>
              <w:adjustRightInd w:val="0"/>
              <w:ind w:left="15"/>
              <w:rPr>
                <w:sz w:val="22"/>
                <w:szCs w:val="22"/>
              </w:rPr>
            </w:pPr>
            <w:r w:rsidRPr="008912CF">
              <w:rPr>
                <w:sz w:val="22"/>
                <w:szCs w:val="22"/>
              </w:rPr>
              <w:t>*valor</w:t>
            </w:r>
            <w:r>
              <w:rPr>
                <w:sz w:val="22"/>
                <w:szCs w:val="22"/>
              </w:rPr>
              <w:t>-p</w:t>
            </w:r>
            <w:r w:rsidRPr="008912CF">
              <w:rPr>
                <w:sz w:val="22"/>
                <w:szCs w:val="22"/>
              </w:rPr>
              <w:t xml:space="preserve"> para comparação Dose Padrão </w:t>
            </w:r>
            <w:r w:rsidRPr="008912CF">
              <w:rPr>
                <w:i/>
                <w:iCs/>
                <w:sz w:val="22"/>
                <w:szCs w:val="22"/>
              </w:rPr>
              <w:t>versus</w:t>
            </w:r>
            <w:r w:rsidRPr="008912CF">
              <w:rPr>
                <w:sz w:val="22"/>
                <w:szCs w:val="22"/>
              </w:rPr>
              <w:t xml:space="preserve"> Baixa Dose.</w:t>
            </w:r>
          </w:p>
        </w:tc>
      </w:tr>
    </w:tbl>
    <w:p w14:paraId="78130229" w14:textId="77777777" w:rsidR="00116EA1" w:rsidRPr="008912CF" w:rsidRDefault="00116EA1" w:rsidP="00116EA1">
      <w:pPr>
        <w:rPr>
          <w:sz w:val="22"/>
          <w:szCs w:val="22"/>
        </w:rPr>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A7162A" w14:paraId="27AE8427" w14:textId="77777777" w:rsidTr="00D105CA">
        <w:trPr>
          <w:jc w:val="center"/>
        </w:trPr>
        <w:tc>
          <w:tcPr>
            <w:tcW w:w="8440" w:type="dxa"/>
            <w:gridSpan w:val="4"/>
            <w:tcBorders>
              <w:top w:val="single" w:sz="6" w:space="0" w:color="000000"/>
              <w:left w:val="single" w:sz="6" w:space="0" w:color="000000"/>
              <w:bottom w:val="single" w:sz="6" w:space="0" w:color="000000"/>
              <w:right w:val="single" w:sz="6" w:space="0" w:color="000000"/>
            </w:tcBorders>
          </w:tcPr>
          <w:p w14:paraId="0C46E924" w14:textId="77777777" w:rsidR="00116EA1" w:rsidRPr="008912CF" w:rsidRDefault="00615769" w:rsidP="00D105CA">
            <w:pPr>
              <w:keepNext/>
              <w:tabs>
                <w:tab w:val="left" w:pos="-878"/>
              </w:tabs>
              <w:autoSpaceDE w:val="0"/>
              <w:autoSpaceDN w:val="0"/>
              <w:adjustRightInd w:val="0"/>
              <w:jc w:val="center"/>
              <w:rPr>
                <w:b/>
                <w:bCs/>
                <w:sz w:val="22"/>
                <w:szCs w:val="22"/>
              </w:rPr>
            </w:pPr>
            <w:r w:rsidRPr="008912CF">
              <w:rPr>
                <w:b/>
                <w:bCs/>
                <w:sz w:val="22"/>
                <w:szCs w:val="22"/>
              </w:rPr>
              <w:t xml:space="preserve">Tabela </w:t>
            </w:r>
            <w:r w:rsidR="002A7CC6">
              <w:rPr>
                <w:b/>
                <w:bCs/>
                <w:sz w:val="22"/>
                <w:szCs w:val="22"/>
              </w:rPr>
              <w:t>22</w:t>
            </w:r>
          </w:p>
          <w:p w14:paraId="176AC280" w14:textId="77777777" w:rsidR="00116EA1" w:rsidRPr="008912CF" w:rsidRDefault="00615769" w:rsidP="00D105CA">
            <w:pPr>
              <w:pStyle w:val="BodyText2"/>
              <w:keepNext/>
              <w:autoSpaceDE/>
              <w:autoSpaceDN/>
              <w:adjustRightInd/>
              <w:jc w:val="center"/>
              <w:rPr>
                <w:b/>
                <w:bCs/>
                <w:szCs w:val="22"/>
              </w:rPr>
            </w:pPr>
            <w:r w:rsidRPr="008912CF">
              <w:rPr>
                <w:b/>
                <w:szCs w:val="22"/>
              </w:rPr>
              <w:t>Estudo de DC Pediátrica</w:t>
            </w:r>
          </w:p>
          <w:p w14:paraId="75B479B8" w14:textId="77777777" w:rsidR="00116EA1" w:rsidRPr="008912CF" w:rsidRDefault="00615769" w:rsidP="00D105CA">
            <w:pPr>
              <w:keepNext/>
              <w:tabs>
                <w:tab w:val="left" w:pos="-878"/>
              </w:tabs>
              <w:autoSpaceDE w:val="0"/>
              <w:autoSpaceDN w:val="0"/>
              <w:adjustRightInd w:val="0"/>
              <w:jc w:val="center"/>
              <w:rPr>
                <w:b/>
                <w:bCs/>
                <w:sz w:val="22"/>
                <w:szCs w:val="22"/>
              </w:rPr>
            </w:pPr>
            <w:r w:rsidRPr="008912CF">
              <w:rPr>
                <w:b/>
                <w:bCs/>
                <w:sz w:val="22"/>
                <w:szCs w:val="22"/>
              </w:rPr>
              <w:t>Descontinuação de Corticosteroides ou Imunomoduladores e Remissão das Fístulas</w:t>
            </w:r>
          </w:p>
        </w:tc>
      </w:tr>
      <w:tr w:rsidR="00A7162A" w14:paraId="0EF12D37" w14:textId="77777777" w:rsidTr="00D105CA">
        <w:trPr>
          <w:jc w:val="center"/>
        </w:trPr>
        <w:tc>
          <w:tcPr>
            <w:tcW w:w="4025" w:type="dxa"/>
            <w:tcBorders>
              <w:top w:val="single" w:sz="6" w:space="0" w:color="000000"/>
              <w:left w:val="single" w:sz="6" w:space="0" w:color="000000"/>
              <w:bottom w:val="single" w:sz="6" w:space="0" w:color="000000"/>
              <w:right w:val="single" w:sz="6" w:space="0" w:color="000000"/>
            </w:tcBorders>
          </w:tcPr>
          <w:p w14:paraId="6D108CD4" w14:textId="77777777" w:rsidR="00116EA1" w:rsidRPr="008912CF" w:rsidRDefault="00116EA1" w:rsidP="00D105CA">
            <w:pPr>
              <w:keepNext/>
              <w:keepLines/>
              <w:tabs>
                <w:tab w:val="left" w:pos="-1080"/>
              </w:tabs>
              <w:autoSpaceDE w:val="0"/>
              <w:autoSpaceDN w:val="0"/>
              <w:adjustRightInd w:val="0"/>
              <w:jc w:val="center"/>
              <w:rPr>
                <w:b/>
                <w:bCs/>
                <w:sz w:val="22"/>
                <w:szCs w:val="22"/>
              </w:rPr>
            </w:pPr>
          </w:p>
        </w:tc>
        <w:tc>
          <w:tcPr>
            <w:tcW w:w="1656" w:type="dxa"/>
            <w:tcBorders>
              <w:top w:val="single" w:sz="6" w:space="0" w:color="000000"/>
              <w:left w:val="single" w:sz="6" w:space="0" w:color="000000"/>
              <w:bottom w:val="single" w:sz="6" w:space="0" w:color="000000"/>
              <w:right w:val="single" w:sz="6" w:space="0" w:color="000000"/>
            </w:tcBorders>
          </w:tcPr>
          <w:p w14:paraId="2EF797DA" w14:textId="77777777" w:rsidR="00116EA1" w:rsidRPr="008912CF" w:rsidRDefault="00615769" w:rsidP="00D105CA">
            <w:pPr>
              <w:keepNext/>
              <w:keepLines/>
              <w:tabs>
                <w:tab w:val="left" w:pos="-1080"/>
              </w:tabs>
              <w:autoSpaceDE w:val="0"/>
              <w:autoSpaceDN w:val="0"/>
              <w:adjustRightInd w:val="0"/>
              <w:ind w:left="15"/>
              <w:jc w:val="center"/>
              <w:rPr>
                <w:b/>
                <w:bCs/>
                <w:sz w:val="22"/>
                <w:szCs w:val="22"/>
              </w:rPr>
            </w:pPr>
            <w:r w:rsidRPr="008912CF">
              <w:rPr>
                <w:b/>
                <w:bCs/>
                <w:sz w:val="22"/>
                <w:szCs w:val="22"/>
              </w:rPr>
              <w:t>Dose Padrão</w:t>
            </w:r>
          </w:p>
          <w:p w14:paraId="6B896354" w14:textId="77777777" w:rsidR="00116EA1" w:rsidRPr="008912CF" w:rsidRDefault="00615769" w:rsidP="00D105CA">
            <w:pPr>
              <w:keepNext/>
              <w:keepLines/>
              <w:tabs>
                <w:tab w:val="left" w:pos="-1080"/>
              </w:tabs>
              <w:autoSpaceDE w:val="0"/>
              <w:autoSpaceDN w:val="0"/>
              <w:adjustRightInd w:val="0"/>
              <w:ind w:left="15"/>
              <w:jc w:val="center"/>
              <w:rPr>
                <w:b/>
                <w:bCs/>
                <w:sz w:val="22"/>
                <w:szCs w:val="22"/>
              </w:rPr>
            </w:pPr>
            <w:r w:rsidRPr="008912CF">
              <w:rPr>
                <w:b/>
                <w:bCs/>
                <w:sz w:val="22"/>
                <w:szCs w:val="22"/>
              </w:rPr>
              <w:t>40/20</w:t>
            </w:r>
            <w:r>
              <w:rPr>
                <w:b/>
                <w:bCs/>
                <w:sz w:val="22"/>
                <w:szCs w:val="22"/>
              </w:rPr>
              <w:t> </w:t>
            </w:r>
            <w:r w:rsidRPr="008912CF">
              <w:rPr>
                <w:b/>
                <w:bCs/>
                <w:sz w:val="22"/>
                <w:szCs w:val="22"/>
              </w:rPr>
              <w:t xml:space="preserve">mg em semanas alternadas </w:t>
            </w:r>
          </w:p>
        </w:tc>
        <w:tc>
          <w:tcPr>
            <w:tcW w:w="1619" w:type="dxa"/>
            <w:tcBorders>
              <w:top w:val="single" w:sz="6" w:space="0" w:color="000000"/>
              <w:left w:val="single" w:sz="6" w:space="0" w:color="000000"/>
              <w:bottom w:val="single" w:sz="6" w:space="0" w:color="000000"/>
              <w:right w:val="single" w:sz="6" w:space="0" w:color="000000"/>
            </w:tcBorders>
          </w:tcPr>
          <w:p w14:paraId="10B48541" w14:textId="77777777" w:rsidR="00116EA1" w:rsidRPr="008912CF" w:rsidRDefault="00615769" w:rsidP="00D105CA">
            <w:pPr>
              <w:keepNext/>
              <w:keepLines/>
              <w:tabs>
                <w:tab w:val="left" w:pos="-1080"/>
              </w:tabs>
              <w:autoSpaceDE w:val="0"/>
              <w:autoSpaceDN w:val="0"/>
              <w:adjustRightInd w:val="0"/>
              <w:ind w:left="15"/>
              <w:jc w:val="center"/>
              <w:rPr>
                <w:b/>
                <w:bCs/>
                <w:sz w:val="22"/>
                <w:szCs w:val="22"/>
              </w:rPr>
            </w:pPr>
            <w:r w:rsidRPr="008912CF">
              <w:rPr>
                <w:b/>
                <w:bCs/>
                <w:sz w:val="22"/>
                <w:szCs w:val="22"/>
              </w:rPr>
              <w:t>Baixa Dose</w:t>
            </w:r>
          </w:p>
          <w:p w14:paraId="7868CC47" w14:textId="77777777" w:rsidR="00116EA1" w:rsidRPr="008912CF" w:rsidRDefault="00615769" w:rsidP="00D105CA">
            <w:pPr>
              <w:keepNext/>
              <w:keepLines/>
              <w:tabs>
                <w:tab w:val="left" w:pos="-1080"/>
              </w:tabs>
              <w:autoSpaceDE w:val="0"/>
              <w:autoSpaceDN w:val="0"/>
              <w:adjustRightInd w:val="0"/>
              <w:ind w:left="15"/>
              <w:jc w:val="center"/>
              <w:rPr>
                <w:b/>
                <w:bCs/>
                <w:sz w:val="22"/>
                <w:szCs w:val="22"/>
              </w:rPr>
            </w:pPr>
            <w:r w:rsidRPr="008912CF">
              <w:rPr>
                <w:b/>
                <w:bCs/>
                <w:sz w:val="22"/>
                <w:szCs w:val="22"/>
              </w:rPr>
              <w:t>20/10</w:t>
            </w:r>
            <w:r>
              <w:rPr>
                <w:b/>
                <w:bCs/>
                <w:sz w:val="22"/>
                <w:szCs w:val="22"/>
              </w:rPr>
              <w:t> </w:t>
            </w:r>
            <w:r w:rsidRPr="008912CF">
              <w:rPr>
                <w:b/>
                <w:bCs/>
                <w:sz w:val="22"/>
                <w:szCs w:val="22"/>
              </w:rPr>
              <w:t xml:space="preserve">mg em semanas alternadas </w:t>
            </w:r>
          </w:p>
        </w:tc>
        <w:tc>
          <w:tcPr>
            <w:tcW w:w="1140" w:type="dxa"/>
            <w:tcBorders>
              <w:top w:val="single" w:sz="6" w:space="0" w:color="000000"/>
              <w:left w:val="single" w:sz="6" w:space="0" w:color="000000"/>
              <w:bottom w:val="single" w:sz="6" w:space="0" w:color="000000"/>
              <w:right w:val="single" w:sz="6" w:space="0" w:color="000000"/>
            </w:tcBorders>
          </w:tcPr>
          <w:p w14:paraId="6771AC70" w14:textId="77777777" w:rsidR="00116EA1" w:rsidRPr="008912CF" w:rsidRDefault="00615769" w:rsidP="00D105CA">
            <w:pPr>
              <w:keepNext/>
              <w:keepLines/>
              <w:tabs>
                <w:tab w:val="left" w:pos="-1080"/>
              </w:tabs>
              <w:autoSpaceDE w:val="0"/>
              <w:autoSpaceDN w:val="0"/>
              <w:adjustRightInd w:val="0"/>
              <w:ind w:left="15"/>
              <w:jc w:val="center"/>
              <w:rPr>
                <w:b/>
                <w:bCs/>
                <w:sz w:val="22"/>
                <w:szCs w:val="22"/>
              </w:rPr>
            </w:pPr>
            <w:r w:rsidRPr="008912CF">
              <w:rPr>
                <w:b/>
                <w:bCs/>
                <w:sz w:val="22"/>
                <w:szCs w:val="22"/>
              </w:rPr>
              <w:t>valor</w:t>
            </w:r>
            <w:r>
              <w:rPr>
                <w:b/>
                <w:bCs/>
                <w:sz w:val="22"/>
                <w:szCs w:val="22"/>
              </w:rPr>
              <w:t>-p</w:t>
            </w:r>
            <w:r w:rsidRPr="008912CF">
              <w:rPr>
                <w:b/>
                <w:bCs/>
                <w:sz w:val="22"/>
                <w:szCs w:val="22"/>
                <w:vertAlign w:val="superscript"/>
              </w:rPr>
              <w:t xml:space="preserve"> 1</w:t>
            </w:r>
          </w:p>
        </w:tc>
      </w:tr>
      <w:tr w:rsidR="00A7162A" w14:paraId="3A0D95A6" w14:textId="77777777" w:rsidTr="00D105CA">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5560595E" w14:textId="77777777" w:rsidR="00116EA1" w:rsidRPr="008912CF" w:rsidRDefault="00615769" w:rsidP="00D105CA">
            <w:pPr>
              <w:keepNext/>
              <w:keepLines/>
              <w:tabs>
                <w:tab w:val="left" w:pos="-1080"/>
              </w:tabs>
              <w:autoSpaceDE w:val="0"/>
              <w:autoSpaceDN w:val="0"/>
              <w:adjustRightInd w:val="0"/>
              <w:rPr>
                <w:b/>
                <w:sz w:val="22"/>
                <w:szCs w:val="22"/>
              </w:rPr>
            </w:pPr>
            <w:r w:rsidRPr="008912CF">
              <w:rPr>
                <w:b/>
                <w:sz w:val="22"/>
                <w:szCs w:val="22"/>
              </w:rPr>
              <w:t>Descontinuação de corticosteroides</w:t>
            </w:r>
          </w:p>
        </w:tc>
        <w:tc>
          <w:tcPr>
            <w:tcW w:w="1656" w:type="dxa"/>
            <w:tcBorders>
              <w:top w:val="single" w:sz="6" w:space="0" w:color="000000"/>
              <w:left w:val="single" w:sz="6" w:space="0" w:color="000000"/>
              <w:bottom w:val="single" w:sz="6" w:space="0" w:color="000000"/>
              <w:right w:val="single" w:sz="6" w:space="0" w:color="000000"/>
            </w:tcBorders>
            <w:vAlign w:val="bottom"/>
          </w:tcPr>
          <w:p w14:paraId="6C514270" w14:textId="77777777" w:rsidR="00116EA1" w:rsidRPr="008912CF" w:rsidRDefault="00615769" w:rsidP="00D105CA">
            <w:pPr>
              <w:keepNext/>
              <w:keepLines/>
              <w:tabs>
                <w:tab w:val="left" w:pos="-1080"/>
              </w:tabs>
              <w:autoSpaceDE w:val="0"/>
              <w:autoSpaceDN w:val="0"/>
              <w:adjustRightInd w:val="0"/>
              <w:ind w:left="15"/>
              <w:jc w:val="center"/>
              <w:rPr>
                <w:b/>
                <w:sz w:val="22"/>
                <w:szCs w:val="22"/>
              </w:rPr>
            </w:pPr>
            <w:r w:rsidRPr="008912CF">
              <w:rPr>
                <w:b/>
                <w:sz w:val="22"/>
                <w:szCs w:val="22"/>
              </w:rPr>
              <w:t>N= 33</w:t>
            </w:r>
          </w:p>
        </w:tc>
        <w:tc>
          <w:tcPr>
            <w:tcW w:w="1619" w:type="dxa"/>
            <w:tcBorders>
              <w:top w:val="single" w:sz="6" w:space="0" w:color="000000"/>
              <w:left w:val="single" w:sz="6" w:space="0" w:color="000000"/>
              <w:bottom w:val="single" w:sz="6" w:space="0" w:color="000000"/>
              <w:right w:val="single" w:sz="6" w:space="0" w:color="000000"/>
            </w:tcBorders>
            <w:vAlign w:val="bottom"/>
          </w:tcPr>
          <w:p w14:paraId="046EB3FC" w14:textId="77777777" w:rsidR="00116EA1" w:rsidRPr="008912CF" w:rsidRDefault="00615769" w:rsidP="00D105CA">
            <w:pPr>
              <w:keepNext/>
              <w:keepLines/>
              <w:tabs>
                <w:tab w:val="left" w:pos="-1080"/>
              </w:tabs>
              <w:autoSpaceDE w:val="0"/>
              <w:autoSpaceDN w:val="0"/>
              <w:adjustRightInd w:val="0"/>
              <w:ind w:left="15"/>
              <w:jc w:val="center"/>
              <w:rPr>
                <w:b/>
                <w:sz w:val="22"/>
                <w:szCs w:val="22"/>
              </w:rPr>
            </w:pPr>
            <w:r w:rsidRPr="008912CF">
              <w:rPr>
                <w:b/>
                <w:sz w:val="22"/>
                <w:szCs w:val="22"/>
              </w:rPr>
              <w:t>N=38</w:t>
            </w:r>
          </w:p>
        </w:tc>
        <w:tc>
          <w:tcPr>
            <w:tcW w:w="1140" w:type="dxa"/>
            <w:tcBorders>
              <w:top w:val="single" w:sz="6" w:space="0" w:color="000000"/>
              <w:left w:val="single" w:sz="6" w:space="0" w:color="000000"/>
              <w:bottom w:val="single" w:sz="6" w:space="0" w:color="000000"/>
              <w:right w:val="single" w:sz="6" w:space="0" w:color="000000"/>
            </w:tcBorders>
            <w:vAlign w:val="bottom"/>
          </w:tcPr>
          <w:p w14:paraId="25FB703D" w14:textId="77777777" w:rsidR="00116EA1" w:rsidRPr="008912CF" w:rsidRDefault="00116EA1" w:rsidP="00D105CA">
            <w:pPr>
              <w:keepNext/>
              <w:autoSpaceDE w:val="0"/>
              <w:autoSpaceDN w:val="0"/>
              <w:adjustRightInd w:val="0"/>
              <w:ind w:left="15"/>
              <w:rPr>
                <w:b/>
                <w:sz w:val="22"/>
                <w:szCs w:val="22"/>
              </w:rPr>
            </w:pPr>
          </w:p>
        </w:tc>
      </w:tr>
      <w:tr w:rsidR="00A7162A" w14:paraId="01FB1A6A" w14:textId="77777777" w:rsidTr="00D105CA">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3632D1B4" w14:textId="77777777" w:rsidR="00116EA1" w:rsidRPr="008912CF" w:rsidRDefault="00615769" w:rsidP="00D105CA">
            <w:pPr>
              <w:keepNext/>
              <w:keepLines/>
              <w:tabs>
                <w:tab w:val="left" w:pos="-1080"/>
              </w:tabs>
              <w:autoSpaceDE w:val="0"/>
              <w:autoSpaceDN w:val="0"/>
              <w:adjustRightInd w:val="0"/>
              <w:rPr>
                <w:bCs/>
                <w:sz w:val="22"/>
                <w:szCs w:val="22"/>
              </w:rPr>
            </w:pPr>
            <w:r w:rsidRPr="008912CF">
              <w:rPr>
                <w:bCs/>
                <w:sz w:val="22"/>
                <w:szCs w:val="22"/>
              </w:rPr>
              <w:t>Semana</w:t>
            </w:r>
            <w:r>
              <w:rPr>
                <w:bCs/>
                <w:sz w:val="22"/>
                <w:szCs w:val="22"/>
              </w:rPr>
              <w:t> </w:t>
            </w:r>
            <w:r w:rsidRPr="008912CF">
              <w:rPr>
                <w:bCs/>
                <w:sz w:val="22"/>
                <w:szCs w:val="22"/>
              </w:rPr>
              <w:t>26</w:t>
            </w:r>
          </w:p>
        </w:tc>
        <w:tc>
          <w:tcPr>
            <w:tcW w:w="1656" w:type="dxa"/>
            <w:tcBorders>
              <w:top w:val="single" w:sz="6" w:space="0" w:color="000000"/>
              <w:left w:val="single" w:sz="6" w:space="0" w:color="000000"/>
              <w:bottom w:val="single" w:sz="6" w:space="0" w:color="000000"/>
              <w:right w:val="single" w:sz="6" w:space="0" w:color="000000"/>
            </w:tcBorders>
            <w:vAlign w:val="bottom"/>
          </w:tcPr>
          <w:p w14:paraId="56A3BC68"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84,8%</w:t>
            </w:r>
          </w:p>
        </w:tc>
        <w:tc>
          <w:tcPr>
            <w:tcW w:w="1619" w:type="dxa"/>
            <w:tcBorders>
              <w:top w:val="single" w:sz="6" w:space="0" w:color="000000"/>
              <w:left w:val="single" w:sz="6" w:space="0" w:color="000000"/>
              <w:bottom w:val="single" w:sz="6" w:space="0" w:color="000000"/>
              <w:right w:val="single" w:sz="6" w:space="0" w:color="000000"/>
            </w:tcBorders>
            <w:vAlign w:val="bottom"/>
          </w:tcPr>
          <w:p w14:paraId="627FCFB3"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65,8%</w:t>
            </w:r>
          </w:p>
        </w:tc>
        <w:tc>
          <w:tcPr>
            <w:tcW w:w="1140" w:type="dxa"/>
            <w:tcBorders>
              <w:top w:val="single" w:sz="6" w:space="0" w:color="000000"/>
              <w:left w:val="single" w:sz="6" w:space="0" w:color="000000"/>
              <w:bottom w:val="single" w:sz="6" w:space="0" w:color="000000"/>
              <w:right w:val="single" w:sz="6" w:space="0" w:color="000000"/>
            </w:tcBorders>
            <w:vAlign w:val="bottom"/>
          </w:tcPr>
          <w:p w14:paraId="5C4FF1C6"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0,066</w:t>
            </w:r>
          </w:p>
        </w:tc>
      </w:tr>
      <w:tr w:rsidR="00A7162A" w14:paraId="72AAA645" w14:textId="77777777" w:rsidTr="00D105CA">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1931140D" w14:textId="77777777" w:rsidR="00116EA1" w:rsidRPr="008912CF" w:rsidRDefault="00615769" w:rsidP="00D105CA">
            <w:pPr>
              <w:keepNext/>
              <w:keepLines/>
              <w:tabs>
                <w:tab w:val="left" w:pos="-1080"/>
              </w:tabs>
              <w:autoSpaceDE w:val="0"/>
              <w:autoSpaceDN w:val="0"/>
              <w:adjustRightInd w:val="0"/>
              <w:rPr>
                <w:bCs/>
                <w:sz w:val="22"/>
                <w:szCs w:val="22"/>
              </w:rPr>
            </w:pPr>
            <w:r w:rsidRPr="008912CF">
              <w:rPr>
                <w:bCs/>
                <w:sz w:val="22"/>
                <w:szCs w:val="22"/>
              </w:rPr>
              <w:t>Semana</w:t>
            </w:r>
            <w:r>
              <w:rPr>
                <w:bCs/>
                <w:sz w:val="22"/>
                <w:szCs w:val="22"/>
              </w:rPr>
              <w:t> </w:t>
            </w:r>
            <w:r w:rsidRPr="008912CF">
              <w:rPr>
                <w:bCs/>
                <w:sz w:val="22"/>
                <w:szCs w:val="22"/>
              </w:rPr>
              <w:t>52</w:t>
            </w:r>
          </w:p>
        </w:tc>
        <w:tc>
          <w:tcPr>
            <w:tcW w:w="1656" w:type="dxa"/>
            <w:tcBorders>
              <w:top w:val="single" w:sz="6" w:space="0" w:color="000000"/>
              <w:left w:val="single" w:sz="6" w:space="0" w:color="000000"/>
              <w:bottom w:val="single" w:sz="6" w:space="0" w:color="000000"/>
              <w:right w:val="single" w:sz="6" w:space="0" w:color="000000"/>
            </w:tcBorders>
          </w:tcPr>
          <w:p w14:paraId="0ADAEB67"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69,7%</w:t>
            </w:r>
          </w:p>
        </w:tc>
        <w:tc>
          <w:tcPr>
            <w:tcW w:w="1619" w:type="dxa"/>
            <w:tcBorders>
              <w:top w:val="single" w:sz="6" w:space="0" w:color="000000"/>
              <w:left w:val="single" w:sz="6" w:space="0" w:color="000000"/>
              <w:bottom w:val="single" w:sz="6" w:space="0" w:color="000000"/>
              <w:right w:val="single" w:sz="6" w:space="0" w:color="000000"/>
            </w:tcBorders>
          </w:tcPr>
          <w:p w14:paraId="0B858D23"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60,5%</w:t>
            </w:r>
          </w:p>
        </w:tc>
        <w:tc>
          <w:tcPr>
            <w:tcW w:w="1140" w:type="dxa"/>
            <w:tcBorders>
              <w:top w:val="single" w:sz="6" w:space="0" w:color="000000"/>
              <w:left w:val="single" w:sz="6" w:space="0" w:color="000000"/>
              <w:bottom w:val="single" w:sz="6" w:space="0" w:color="000000"/>
              <w:right w:val="single" w:sz="6" w:space="0" w:color="000000"/>
            </w:tcBorders>
            <w:vAlign w:val="bottom"/>
          </w:tcPr>
          <w:p w14:paraId="1D842C77"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0,420</w:t>
            </w:r>
          </w:p>
        </w:tc>
      </w:tr>
      <w:tr w:rsidR="00A7162A" w14:paraId="20417324" w14:textId="77777777" w:rsidTr="00D105CA">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17B9AB7E" w14:textId="77777777" w:rsidR="00116EA1" w:rsidRPr="008912CF" w:rsidRDefault="00615769" w:rsidP="00D105CA">
            <w:pPr>
              <w:keepNext/>
              <w:keepLines/>
              <w:tabs>
                <w:tab w:val="left" w:pos="-1080"/>
              </w:tabs>
              <w:autoSpaceDE w:val="0"/>
              <w:autoSpaceDN w:val="0"/>
              <w:adjustRightInd w:val="0"/>
              <w:rPr>
                <w:b/>
                <w:sz w:val="22"/>
                <w:szCs w:val="22"/>
              </w:rPr>
            </w:pPr>
            <w:r w:rsidRPr="008912CF">
              <w:rPr>
                <w:b/>
                <w:sz w:val="22"/>
                <w:szCs w:val="22"/>
              </w:rPr>
              <w:t>Descontinuação de Imunomoduladores</w:t>
            </w:r>
            <w:r w:rsidRPr="008912CF">
              <w:rPr>
                <w:b/>
                <w:sz w:val="22"/>
                <w:szCs w:val="22"/>
                <w:vertAlign w:val="superscript"/>
              </w:rPr>
              <w:t>2</w:t>
            </w:r>
          </w:p>
        </w:tc>
        <w:tc>
          <w:tcPr>
            <w:tcW w:w="1656" w:type="dxa"/>
            <w:tcBorders>
              <w:top w:val="single" w:sz="6" w:space="0" w:color="000000"/>
              <w:left w:val="single" w:sz="6" w:space="0" w:color="000000"/>
              <w:bottom w:val="single" w:sz="6" w:space="0" w:color="000000"/>
              <w:right w:val="single" w:sz="6" w:space="0" w:color="000000"/>
            </w:tcBorders>
            <w:vAlign w:val="bottom"/>
          </w:tcPr>
          <w:p w14:paraId="48F4AF27" w14:textId="77777777" w:rsidR="00116EA1" w:rsidRPr="008912CF" w:rsidRDefault="00615769" w:rsidP="00D105CA">
            <w:pPr>
              <w:keepNext/>
              <w:keepLines/>
              <w:tabs>
                <w:tab w:val="left" w:pos="-1080"/>
              </w:tabs>
              <w:autoSpaceDE w:val="0"/>
              <w:autoSpaceDN w:val="0"/>
              <w:adjustRightInd w:val="0"/>
              <w:ind w:left="15"/>
              <w:jc w:val="center"/>
              <w:rPr>
                <w:b/>
                <w:sz w:val="22"/>
                <w:szCs w:val="22"/>
              </w:rPr>
            </w:pPr>
            <w:r w:rsidRPr="008912CF">
              <w:rPr>
                <w:b/>
                <w:sz w:val="22"/>
                <w:szCs w:val="22"/>
              </w:rPr>
              <w:t>N=60</w:t>
            </w:r>
          </w:p>
        </w:tc>
        <w:tc>
          <w:tcPr>
            <w:tcW w:w="1619" w:type="dxa"/>
            <w:tcBorders>
              <w:top w:val="single" w:sz="6" w:space="0" w:color="000000"/>
              <w:left w:val="single" w:sz="6" w:space="0" w:color="000000"/>
              <w:bottom w:val="single" w:sz="6" w:space="0" w:color="000000"/>
              <w:right w:val="single" w:sz="6" w:space="0" w:color="000000"/>
            </w:tcBorders>
            <w:vAlign w:val="bottom"/>
          </w:tcPr>
          <w:p w14:paraId="6DF055B7" w14:textId="77777777" w:rsidR="00116EA1" w:rsidRPr="008912CF" w:rsidRDefault="00615769" w:rsidP="00D105CA">
            <w:pPr>
              <w:keepNext/>
              <w:keepLines/>
              <w:tabs>
                <w:tab w:val="left" w:pos="-1080"/>
              </w:tabs>
              <w:autoSpaceDE w:val="0"/>
              <w:autoSpaceDN w:val="0"/>
              <w:adjustRightInd w:val="0"/>
              <w:ind w:left="15"/>
              <w:jc w:val="center"/>
              <w:rPr>
                <w:b/>
                <w:sz w:val="22"/>
                <w:szCs w:val="22"/>
              </w:rPr>
            </w:pPr>
            <w:r w:rsidRPr="008912CF">
              <w:rPr>
                <w:b/>
                <w:sz w:val="22"/>
                <w:szCs w:val="22"/>
              </w:rPr>
              <w:t>N=57</w:t>
            </w:r>
          </w:p>
        </w:tc>
        <w:tc>
          <w:tcPr>
            <w:tcW w:w="1140" w:type="dxa"/>
            <w:tcBorders>
              <w:top w:val="single" w:sz="6" w:space="0" w:color="000000"/>
              <w:left w:val="single" w:sz="6" w:space="0" w:color="000000"/>
              <w:bottom w:val="single" w:sz="6" w:space="0" w:color="000000"/>
              <w:right w:val="single" w:sz="6" w:space="0" w:color="000000"/>
            </w:tcBorders>
            <w:vAlign w:val="bottom"/>
          </w:tcPr>
          <w:p w14:paraId="3815328F" w14:textId="77777777" w:rsidR="00116EA1" w:rsidRPr="008912CF" w:rsidRDefault="00116EA1" w:rsidP="00D105CA">
            <w:pPr>
              <w:keepNext/>
              <w:autoSpaceDE w:val="0"/>
              <w:autoSpaceDN w:val="0"/>
              <w:adjustRightInd w:val="0"/>
              <w:ind w:left="15"/>
              <w:rPr>
                <w:b/>
                <w:sz w:val="22"/>
                <w:szCs w:val="22"/>
              </w:rPr>
            </w:pPr>
          </w:p>
        </w:tc>
      </w:tr>
      <w:tr w:rsidR="00A7162A" w14:paraId="01FF5955" w14:textId="77777777" w:rsidTr="00D105CA">
        <w:trPr>
          <w:jc w:val="center"/>
        </w:trPr>
        <w:tc>
          <w:tcPr>
            <w:tcW w:w="4025" w:type="dxa"/>
            <w:tcBorders>
              <w:top w:val="single" w:sz="6" w:space="0" w:color="000000"/>
              <w:left w:val="single" w:sz="6" w:space="0" w:color="000000"/>
              <w:bottom w:val="single" w:sz="6" w:space="0" w:color="000000"/>
              <w:right w:val="single" w:sz="6" w:space="0" w:color="000000"/>
            </w:tcBorders>
          </w:tcPr>
          <w:p w14:paraId="09EAE1BB" w14:textId="77777777" w:rsidR="00116EA1" w:rsidRPr="008912CF" w:rsidRDefault="00615769" w:rsidP="00D105CA">
            <w:pPr>
              <w:keepNext/>
              <w:keepLines/>
              <w:tabs>
                <w:tab w:val="left" w:pos="-1080"/>
              </w:tabs>
              <w:autoSpaceDE w:val="0"/>
              <w:autoSpaceDN w:val="0"/>
              <w:adjustRightInd w:val="0"/>
              <w:rPr>
                <w:bCs/>
                <w:sz w:val="22"/>
                <w:szCs w:val="22"/>
              </w:rPr>
            </w:pPr>
            <w:r w:rsidRPr="008912CF">
              <w:rPr>
                <w:bCs/>
                <w:sz w:val="22"/>
                <w:szCs w:val="22"/>
              </w:rPr>
              <w:t>Semana</w:t>
            </w:r>
            <w:r>
              <w:rPr>
                <w:bCs/>
                <w:sz w:val="22"/>
                <w:szCs w:val="22"/>
              </w:rPr>
              <w:t> </w:t>
            </w:r>
            <w:r w:rsidRPr="008912CF">
              <w:rPr>
                <w:bCs/>
                <w:sz w:val="22"/>
                <w:szCs w:val="22"/>
              </w:rPr>
              <w:t>52</w:t>
            </w:r>
          </w:p>
        </w:tc>
        <w:tc>
          <w:tcPr>
            <w:tcW w:w="1656" w:type="dxa"/>
            <w:tcBorders>
              <w:top w:val="single" w:sz="6" w:space="0" w:color="000000"/>
              <w:left w:val="single" w:sz="6" w:space="0" w:color="000000"/>
              <w:bottom w:val="single" w:sz="6" w:space="0" w:color="000000"/>
              <w:right w:val="single" w:sz="6" w:space="0" w:color="000000"/>
            </w:tcBorders>
          </w:tcPr>
          <w:p w14:paraId="12E27883"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30,0%</w:t>
            </w:r>
          </w:p>
        </w:tc>
        <w:tc>
          <w:tcPr>
            <w:tcW w:w="1619" w:type="dxa"/>
            <w:tcBorders>
              <w:top w:val="single" w:sz="6" w:space="0" w:color="000000"/>
              <w:left w:val="single" w:sz="6" w:space="0" w:color="000000"/>
              <w:bottom w:val="single" w:sz="6" w:space="0" w:color="000000"/>
              <w:right w:val="single" w:sz="6" w:space="0" w:color="000000"/>
            </w:tcBorders>
          </w:tcPr>
          <w:p w14:paraId="1535E833"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29,8%</w:t>
            </w:r>
          </w:p>
        </w:tc>
        <w:tc>
          <w:tcPr>
            <w:tcW w:w="1140" w:type="dxa"/>
            <w:tcBorders>
              <w:top w:val="single" w:sz="6" w:space="0" w:color="000000"/>
              <w:left w:val="single" w:sz="6" w:space="0" w:color="000000"/>
              <w:bottom w:val="single" w:sz="6" w:space="0" w:color="000000"/>
              <w:right w:val="single" w:sz="6" w:space="0" w:color="000000"/>
            </w:tcBorders>
          </w:tcPr>
          <w:p w14:paraId="50199F41"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0,983</w:t>
            </w:r>
          </w:p>
        </w:tc>
      </w:tr>
      <w:tr w:rsidR="00A7162A" w14:paraId="2C7AF33C" w14:textId="77777777" w:rsidTr="00D105CA">
        <w:trPr>
          <w:jc w:val="center"/>
        </w:trPr>
        <w:tc>
          <w:tcPr>
            <w:tcW w:w="4025" w:type="dxa"/>
            <w:tcBorders>
              <w:top w:val="single" w:sz="6" w:space="0" w:color="000000"/>
              <w:left w:val="single" w:sz="6" w:space="0" w:color="000000"/>
              <w:bottom w:val="single" w:sz="6" w:space="0" w:color="000000"/>
              <w:right w:val="single" w:sz="6" w:space="0" w:color="000000"/>
            </w:tcBorders>
          </w:tcPr>
          <w:p w14:paraId="3C12C7C1" w14:textId="77777777" w:rsidR="00116EA1" w:rsidRPr="008912CF" w:rsidRDefault="00615769" w:rsidP="00D105CA">
            <w:pPr>
              <w:keepNext/>
              <w:keepLines/>
              <w:tabs>
                <w:tab w:val="left" w:pos="-1080"/>
              </w:tabs>
              <w:autoSpaceDE w:val="0"/>
              <w:autoSpaceDN w:val="0"/>
              <w:adjustRightInd w:val="0"/>
              <w:rPr>
                <w:b/>
                <w:bCs/>
                <w:sz w:val="22"/>
                <w:szCs w:val="22"/>
              </w:rPr>
            </w:pPr>
            <w:r w:rsidRPr="008912CF">
              <w:rPr>
                <w:b/>
                <w:sz w:val="22"/>
                <w:szCs w:val="22"/>
              </w:rPr>
              <w:t xml:space="preserve">Remissão das fístulas </w:t>
            </w:r>
            <w:r w:rsidRPr="008912CF">
              <w:rPr>
                <w:b/>
                <w:sz w:val="22"/>
                <w:szCs w:val="22"/>
                <w:vertAlign w:val="superscript"/>
              </w:rPr>
              <w:t>3</w:t>
            </w:r>
          </w:p>
        </w:tc>
        <w:tc>
          <w:tcPr>
            <w:tcW w:w="1656" w:type="dxa"/>
            <w:tcBorders>
              <w:top w:val="single" w:sz="6" w:space="0" w:color="000000"/>
              <w:left w:val="single" w:sz="6" w:space="0" w:color="000000"/>
              <w:bottom w:val="single" w:sz="6" w:space="0" w:color="000000"/>
              <w:right w:val="single" w:sz="6" w:space="0" w:color="000000"/>
            </w:tcBorders>
          </w:tcPr>
          <w:p w14:paraId="37860198" w14:textId="77777777" w:rsidR="00116EA1" w:rsidRPr="008912CF" w:rsidRDefault="00615769" w:rsidP="00D105CA">
            <w:pPr>
              <w:keepNext/>
              <w:keepLines/>
              <w:tabs>
                <w:tab w:val="left" w:pos="-1080"/>
              </w:tabs>
              <w:autoSpaceDE w:val="0"/>
              <w:autoSpaceDN w:val="0"/>
              <w:adjustRightInd w:val="0"/>
              <w:ind w:left="15"/>
              <w:jc w:val="center"/>
              <w:rPr>
                <w:b/>
                <w:sz w:val="22"/>
                <w:szCs w:val="22"/>
              </w:rPr>
            </w:pPr>
            <w:r w:rsidRPr="008912CF">
              <w:rPr>
                <w:b/>
                <w:sz w:val="22"/>
                <w:szCs w:val="22"/>
              </w:rPr>
              <w:t>N=15</w:t>
            </w:r>
          </w:p>
        </w:tc>
        <w:tc>
          <w:tcPr>
            <w:tcW w:w="1619" w:type="dxa"/>
            <w:tcBorders>
              <w:top w:val="single" w:sz="6" w:space="0" w:color="000000"/>
              <w:left w:val="single" w:sz="6" w:space="0" w:color="000000"/>
              <w:bottom w:val="single" w:sz="6" w:space="0" w:color="000000"/>
              <w:right w:val="single" w:sz="6" w:space="0" w:color="000000"/>
            </w:tcBorders>
          </w:tcPr>
          <w:p w14:paraId="2AF803D4" w14:textId="77777777" w:rsidR="00116EA1" w:rsidRPr="008912CF" w:rsidRDefault="00615769" w:rsidP="00D105CA">
            <w:pPr>
              <w:keepNext/>
              <w:keepLines/>
              <w:tabs>
                <w:tab w:val="left" w:pos="-1080"/>
              </w:tabs>
              <w:autoSpaceDE w:val="0"/>
              <w:autoSpaceDN w:val="0"/>
              <w:adjustRightInd w:val="0"/>
              <w:ind w:left="15"/>
              <w:jc w:val="center"/>
              <w:rPr>
                <w:b/>
                <w:sz w:val="22"/>
                <w:szCs w:val="22"/>
              </w:rPr>
            </w:pPr>
            <w:r w:rsidRPr="008912CF">
              <w:rPr>
                <w:b/>
                <w:sz w:val="22"/>
                <w:szCs w:val="22"/>
              </w:rPr>
              <w:t>N=21</w:t>
            </w:r>
          </w:p>
        </w:tc>
        <w:tc>
          <w:tcPr>
            <w:tcW w:w="1140" w:type="dxa"/>
            <w:tcBorders>
              <w:top w:val="single" w:sz="6" w:space="0" w:color="000000"/>
              <w:left w:val="single" w:sz="6" w:space="0" w:color="000000"/>
              <w:bottom w:val="single" w:sz="6" w:space="0" w:color="000000"/>
              <w:right w:val="single" w:sz="6" w:space="0" w:color="000000"/>
            </w:tcBorders>
          </w:tcPr>
          <w:p w14:paraId="07B7AD2B" w14:textId="77777777" w:rsidR="00116EA1" w:rsidRPr="008912CF" w:rsidRDefault="00116EA1" w:rsidP="00D105CA">
            <w:pPr>
              <w:keepNext/>
              <w:keepLines/>
              <w:tabs>
                <w:tab w:val="left" w:pos="-1080"/>
              </w:tabs>
              <w:autoSpaceDE w:val="0"/>
              <w:autoSpaceDN w:val="0"/>
              <w:adjustRightInd w:val="0"/>
              <w:ind w:left="15"/>
              <w:jc w:val="center"/>
              <w:rPr>
                <w:sz w:val="22"/>
                <w:szCs w:val="22"/>
              </w:rPr>
            </w:pPr>
          </w:p>
        </w:tc>
      </w:tr>
      <w:tr w:rsidR="00A7162A" w14:paraId="69E5A8B7" w14:textId="77777777" w:rsidTr="00D105CA">
        <w:trPr>
          <w:jc w:val="center"/>
        </w:trPr>
        <w:tc>
          <w:tcPr>
            <w:tcW w:w="4025" w:type="dxa"/>
            <w:tcBorders>
              <w:top w:val="single" w:sz="6" w:space="0" w:color="000000"/>
              <w:left w:val="single" w:sz="6" w:space="0" w:color="000000"/>
              <w:bottom w:val="single" w:sz="6" w:space="0" w:color="000000"/>
              <w:right w:val="single" w:sz="6" w:space="0" w:color="000000"/>
            </w:tcBorders>
          </w:tcPr>
          <w:p w14:paraId="03D20983" w14:textId="77777777" w:rsidR="00116EA1" w:rsidRPr="008912CF" w:rsidRDefault="00615769" w:rsidP="00D105CA">
            <w:pPr>
              <w:keepNext/>
              <w:keepLines/>
              <w:tabs>
                <w:tab w:val="left" w:pos="-1080"/>
              </w:tabs>
              <w:autoSpaceDE w:val="0"/>
              <w:autoSpaceDN w:val="0"/>
              <w:adjustRightInd w:val="0"/>
              <w:rPr>
                <w:bCs/>
                <w:sz w:val="22"/>
                <w:szCs w:val="22"/>
              </w:rPr>
            </w:pPr>
            <w:r w:rsidRPr="008912CF">
              <w:rPr>
                <w:bCs/>
                <w:sz w:val="22"/>
                <w:szCs w:val="22"/>
              </w:rPr>
              <w:t>Semana</w:t>
            </w:r>
            <w:r>
              <w:rPr>
                <w:bCs/>
                <w:sz w:val="22"/>
                <w:szCs w:val="22"/>
              </w:rPr>
              <w:t> </w:t>
            </w:r>
            <w:r w:rsidRPr="008912CF">
              <w:rPr>
                <w:bCs/>
                <w:sz w:val="22"/>
                <w:szCs w:val="22"/>
              </w:rPr>
              <w:t>26</w:t>
            </w:r>
          </w:p>
        </w:tc>
        <w:tc>
          <w:tcPr>
            <w:tcW w:w="1656" w:type="dxa"/>
            <w:tcBorders>
              <w:top w:val="single" w:sz="6" w:space="0" w:color="000000"/>
              <w:left w:val="single" w:sz="6" w:space="0" w:color="000000"/>
              <w:bottom w:val="single" w:sz="6" w:space="0" w:color="000000"/>
              <w:right w:val="single" w:sz="6" w:space="0" w:color="000000"/>
            </w:tcBorders>
          </w:tcPr>
          <w:p w14:paraId="2BC3895C"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46,7%</w:t>
            </w:r>
          </w:p>
        </w:tc>
        <w:tc>
          <w:tcPr>
            <w:tcW w:w="1619" w:type="dxa"/>
            <w:tcBorders>
              <w:top w:val="single" w:sz="6" w:space="0" w:color="000000"/>
              <w:left w:val="single" w:sz="6" w:space="0" w:color="000000"/>
              <w:bottom w:val="single" w:sz="6" w:space="0" w:color="000000"/>
              <w:right w:val="single" w:sz="6" w:space="0" w:color="000000"/>
            </w:tcBorders>
          </w:tcPr>
          <w:p w14:paraId="07794CB1"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38,1%</w:t>
            </w:r>
          </w:p>
        </w:tc>
        <w:tc>
          <w:tcPr>
            <w:tcW w:w="1140" w:type="dxa"/>
            <w:tcBorders>
              <w:top w:val="single" w:sz="6" w:space="0" w:color="000000"/>
              <w:left w:val="single" w:sz="6" w:space="0" w:color="000000"/>
              <w:bottom w:val="single" w:sz="6" w:space="0" w:color="000000"/>
              <w:right w:val="single" w:sz="6" w:space="0" w:color="000000"/>
            </w:tcBorders>
          </w:tcPr>
          <w:p w14:paraId="537FD39A"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0,608</w:t>
            </w:r>
          </w:p>
        </w:tc>
      </w:tr>
      <w:tr w:rsidR="00A7162A" w14:paraId="640F93F0" w14:textId="77777777" w:rsidTr="00D105CA">
        <w:trPr>
          <w:jc w:val="center"/>
        </w:trPr>
        <w:tc>
          <w:tcPr>
            <w:tcW w:w="4025" w:type="dxa"/>
            <w:tcBorders>
              <w:top w:val="single" w:sz="6" w:space="0" w:color="000000"/>
              <w:left w:val="single" w:sz="6" w:space="0" w:color="000000"/>
              <w:bottom w:val="single" w:sz="4" w:space="0" w:color="auto"/>
              <w:right w:val="single" w:sz="6" w:space="0" w:color="000000"/>
            </w:tcBorders>
          </w:tcPr>
          <w:p w14:paraId="2A86524B" w14:textId="77777777" w:rsidR="00116EA1" w:rsidRPr="008912CF" w:rsidRDefault="00615769" w:rsidP="00D105CA">
            <w:pPr>
              <w:keepNext/>
              <w:keepLines/>
              <w:tabs>
                <w:tab w:val="left" w:pos="-1080"/>
              </w:tabs>
              <w:autoSpaceDE w:val="0"/>
              <w:autoSpaceDN w:val="0"/>
              <w:adjustRightInd w:val="0"/>
              <w:rPr>
                <w:bCs/>
                <w:sz w:val="22"/>
                <w:szCs w:val="22"/>
              </w:rPr>
            </w:pPr>
            <w:r w:rsidRPr="008912CF">
              <w:rPr>
                <w:bCs/>
                <w:sz w:val="22"/>
                <w:szCs w:val="22"/>
              </w:rPr>
              <w:t>Semana</w:t>
            </w:r>
            <w:r>
              <w:rPr>
                <w:bCs/>
                <w:sz w:val="22"/>
                <w:szCs w:val="22"/>
              </w:rPr>
              <w:t> </w:t>
            </w:r>
            <w:r w:rsidRPr="008912CF">
              <w:rPr>
                <w:sz w:val="22"/>
                <w:szCs w:val="22"/>
              </w:rPr>
              <w:t>52</w:t>
            </w:r>
          </w:p>
        </w:tc>
        <w:tc>
          <w:tcPr>
            <w:tcW w:w="1656" w:type="dxa"/>
            <w:tcBorders>
              <w:top w:val="single" w:sz="6" w:space="0" w:color="000000"/>
              <w:left w:val="single" w:sz="6" w:space="0" w:color="000000"/>
              <w:bottom w:val="single" w:sz="4" w:space="0" w:color="auto"/>
              <w:right w:val="single" w:sz="6" w:space="0" w:color="000000"/>
            </w:tcBorders>
          </w:tcPr>
          <w:p w14:paraId="7E0FCA9A"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40,0%</w:t>
            </w:r>
          </w:p>
        </w:tc>
        <w:tc>
          <w:tcPr>
            <w:tcW w:w="1619" w:type="dxa"/>
            <w:tcBorders>
              <w:top w:val="single" w:sz="6" w:space="0" w:color="000000"/>
              <w:left w:val="single" w:sz="6" w:space="0" w:color="000000"/>
              <w:bottom w:val="single" w:sz="4" w:space="0" w:color="auto"/>
              <w:right w:val="single" w:sz="6" w:space="0" w:color="000000"/>
            </w:tcBorders>
          </w:tcPr>
          <w:p w14:paraId="3EDC8176"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23,8%</w:t>
            </w:r>
          </w:p>
        </w:tc>
        <w:tc>
          <w:tcPr>
            <w:tcW w:w="1140" w:type="dxa"/>
            <w:tcBorders>
              <w:top w:val="single" w:sz="6" w:space="0" w:color="000000"/>
              <w:left w:val="single" w:sz="6" w:space="0" w:color="000000"/>
              <w:bottom w:val="single" w:sz="4" w:space="0" w:color="auto"/>
              <w:right w:val="single" w:sz="6" w:space="0" w:color="000000"/>
            </w:tcBorders>
          </w:tcPr>
          <w:p w14:paraId="2C5F6E1A" w14:textId="77777777" w:rsidR="00116EA1" w:rsidRPr="008912CF" w:rsidRDefault="00615769" w:rsidP="00D105CA">
            <w:pPr>
              <w:keepNext/>
              <w:keepLines/>
              <w:tabs>
                <w:tab w:val="left" w:pos="-1080"/>
              </w:tabs>
              <w:autoSpaceDE w:val="0"/>
              <w:autoSpaceDN w:val="0"/>
              <w:adjustRightInd w:val="0"/>
              <w:ind w:left="15"/>
              <w:jc w:val="center"/>
              <w:rPr>
                <w:sz w:val="22"/>
                <w:szCs w:val="22"/>
              </w:rPr>
            </w:pPr>
            <w:r w:rsidRPr="008912CF">
              <w:rPr>
                <w:sz w:val="22"/>
                <w:szCs w:val="22"/>
              </w:rPr>
              <w:t>0,303</w:t>
            </w:r>
          </w:p>
        </w:tc>
      </w:tr>
      <w:tr w:rsidR="00A7162A" w14:paraId="43214F2B" w14:textId="77777777" w:rsidTr="00D105CA">
        <w:trPr>
          <w:trHeight w:val="177"/>
          <w:jc w:val="center"/>
        </w:trPr>
        <w:tc>
          <w:tcPr>
            <w:tcW w:w="8440" w:type="dxa"/>
            <w:gridSpan w:val="4"/>
            <w:tcBorders>
              <w:top w:val="single" w:sz="4" w:space="0" w:color="auto"/>
            </w:tcBorders>
          </w:tcPr>
          <w:p w14:paraId="44AB5CBE" w14:textId="77777777" w:rsidR="00116EA1" w:rsidRPr="008912CF" w:rsidRDefault="00615769" w:rsidP="00D105CA">
            <w:pPr>
              <w:keepNext/>
              <w:keepLines/>
              <w:tabs>
                <w:tab w:val="left" w:pos="-1080"/>
              </w:tabs>
              <w:autoSpaceDE w:val="0"/>
              <w:autoSpaceDN w:val="0"/>
              <w:adjustRightInd w:val="0"/>
              <w:rPr>
                <w:sz w:val="22"/>
                <w:szCs w:val="22"/>
              </w:rPr>
            </w:pPr>
            <w:r w:rsidRPr="008912CF">
              <w:rPr>
                <w:sz w:val="22"/>
                <w:szCs w:val="22"/>
                <w:vertAlign w:val="superscript"/>
              </w:rPr>
              <w:t>1</w:t>
            </w:r>
            <w:r w:rsidRPr="008912CF">
              <w:rPr>
                <w:sz w:val="22"/>
                <w:szCs w:val="22"/>
              </w:rPr>
              <w:t xml:space="preserve">  </w:t>
            </w:r>
            <w:r w:rsidRPr="008912CF">
              <w:rPr>
                <w:bCs/>
                <w:sz w:val="22"/>
                <w:szCs w:val="22"/>
              </w:rPr>
              <w:t>valor</w:t>
            </w:r>
            <w:r>
              <w:rPr>
                <w:bCs/>
                <w:sz w:val="22"/>
                <w:szCs w:val="22"/>
              </w:rPr>
              <w:t>-p</w:t>
            </w:r>
            <w:r w:rsidRPr="008912CF">
              <w:rPr>
                <w:sz w:val="22"/>
                <w:szCs w:val="22"/>
              </w:rPr>
              <w:t xml:space="preserve"> para comparação Dose Padrão </w:t>
            </w:r>
            <w:r w:rsidRPr="008912CF">
              <w:rPr>
                <w:i/>
                <w:iCs/>
                <w:sz w:val="22"/>
                <w:szCs w:val="22"/>
              </w:rPr>
              <w:t>versus</w:t>
            </w:r>
            <w:r w:rsidRPr="008912CF">
              <w:rPr>
                <w:sz w:val="22"/>
                <w:szCs w:val="22"/>
              </w:rPr>
              <w:t xml:space="preserve"> Baixa Dose.</w:t>
            </w:r>
          </w:p>
          <w:p w14:paraId="7D11B6D7" w14:textId="77777777" w:rsidR="00116EA1" w:rsidRPr="008912CF" w:rsidRDefault="00615769" w:rsidP="00D105CA">
            <w:pPr>
              <w:keepNext/>
              <w:keepLines/>
              <w:tabs>
                <w:tab w:val="left" w:pos="-1080"/>
              </w:tabs>
              <w:autoSpaceDE w:val="0"/>
              <w:autoSpaceDN w:val="0"/>
              <w:adjustRightInd w:val="0"/>
              <w:rPr>
                <w:sz w:val="22"/>
                <w:szCs w:val="22"/>
              </w:rPr>
            </w:pPr>
            <w:r w:rsidRPr="008912CF">
              <w:rPr>
                <w:sz w:val="22"/>
                <w:szCs w:val="22"/>
                <w:vertAlign w:val="superscript"/>
              </w:rPr>
              <w:t xml:space="preserve"> 2</w:t>
            </w:r>
            <w:r w:rsidRPr="008912CF">
              <w:rPr>
                <w:sz w:val="22"/>
                <w:szCs w:val="22"/>
              </w:rPr>
              <w:t xml:space="preserve">  Terapêutica imunossupressora só pode ser descontinuada durante ou após a Semana 26, a critério do investigador, se o doente alcançar o critério de resposta clínica. </w:t>
            </w:r>
          </w:p>
          <w:p w14:paraId="2BA063CC" w14:textId="77777777" w:rsidR="00116EA1" w:rsidRPr="008912CF" w:rsidRDefault="00615769" w:rsidP="00D105CA">
            <w:pPr>
              <w:keepNext/>
              <w:keepLines/>
              <w:tabs>
                <w:tab w:val="left" w:pos="-1080"/>
              </w:tabs>
              <w:autoSpaceDE w:val="0"/>
              <w:autoSpaceDN w:val="0"/>
              <w:adjustRightInd w:val="0"/>
              <w:rPr>
                <w:sz w:val="22"/>
                <w:szCs w:val="22"/>
              </w:rPr>
            </w:pPr>
            <w:r w:rsidRPr="008912CF">
              <w:rPr>
                <w:sz w:val="22"/>
                <w:szCs w:val="22"/>
                <w:vertAlign w:val="superscript"/>
              </w:rPr>
              <w:t>3</w:t>
            </w:r>
            <w:r w:rsidRPr="008912CF">
              <w:rPr>
                <w:sz w:val="22"/>
                <w:szCs w:val="22"/>
              </w:rPr>
              <w:t xml:space="preserve">  definida como encerramento de todas as f</w:t>
            </w:r>
            <w:r>
              <w:rPr>
                <w:sz w:val="22"/>
                <w:szCs w:val="22"/>
              </w:rPr>
              <w:t>í</w:t>
            </w:r>
            <w:r w:rsidRPr="008912CF">
              <w:rPr>
                <w:sz w:val="22"/>
                <w:szCs w:val="22"/>
              </w:rPr>
              <w:t>stulas, que estavam a drenar no início de estudo, em pelo menos 2 visitas consecutivas após o início do estudo</w:t>
            </w:r>
          </w:p>
        </w:tc>
      </w:tr>
    </w:tbl>
    <w:p w14:paraId="6FE6F817" w14:textId="77777777" w:rsidR="00116EA1" w:rsidRPr="008912CF" w:rsidRDefault="00116EA1" w:rsidP="00116EA1">
      <w:pPr>
        <w:rPr>
          <w:sz w:val="22"/>
          <w:szCs w:val="22"/>
        </w:rPr>
      </w:pPr>
    </w:p>
    <w:p w14:paraId="0AC87189" w14:textId="77777777" w:rsidR="00116EA1" w:rsidRPr="008912CF" w:rsidRDefault="00615769" w:rsidP="00116EA1">
      <w:pPr>
        <w:keepLines/>
        <w:tabs>
          <w:tab w:val="left" w:pos="-1080"/>
        </w:tabs>
        <w:autoSpaceDE w:val="0"/>
        <w:autoSpaceDN w:val="0"/>
        <w:adjustRightInd w:val="0"/>
        <w:rPr>
          <w:sz w:val="22"/>
          <w:szCs w:val="22"/>
        </w:rPr>
      </w:pPr>
      <w:r w:rsidRPr="008912CF">
        <w:rPr>
          <w:sz w:val="22"/>
          <w:szCs w:val="22"/>
        </w:rPr>
        <w:t>Foram observados aumentos estatisticamente significativos (melhoria) do Índice de Massa Corporal e da velocidade de crescimento em ambos os grupos de tratamento, desde o início do estudo até à Semana</w:t>
      </w:r>
      <w:r>
        <w:rPr>
          <w:sz w:val="22"/>
          <w:szCs w:val="22"/>
        </w:rPr>
        <w:t>s</w:t>
      </w:r>
      <w:r w:rsidRPr="008912CF">
        <w:rPr>
          <w:sz w:val="22"/>
          <w:szCs w:val="22"/>
        </w:rPr>
        <w:t xml:space="preserve"> 26 e 52.</w:t>
      </w:r>
    </w:p>
    <w:p w14:paraId="46B84CE4" w14:textId="77777777" w:rsidR="00116EA1" w:rsidRPr="008912CF" w:rsidRDefault="00116EA1" w:rsidP="00116EA1">
      <w:pPr>
        <w:keepLines/>
        <w:tabs>
          <w:tab w:val="left" w:pos="-1080"/>
        </w:tabs>
        <w:autoSpaceDE w:val="0"/>
        <w:autoSpaceDN w:val="0"/>
        <w:adjustRightInd w:val="0"/>
        <w:rPr>
          <w:sz w:val="22"/>
          <w:szCs w:val="22"/>
        </w:rPr>
      </w:pPr>
    </w:p>
    <w:p w14:paraId="276AA28B" w14:textId="77777777" w:rsidR="00116EA1" w:rsidRPr="008912CF" w:rsidRDefault="00615769" w:rsidP="00116EA1">
      <w:pPr>
        <w:rPr>
          <w:sz w:val="22"/>
          <w:szCs w:val="22"/>
        </w:rPr>
      </w:pPr>
      <w:r w:rsidRPr="008912CF">
        <w:rPr>
          <w:sz w:val="22"/>
          <w:szCs w:val="22"/>
        </w:rPr>
        <w:t>Foram também observadas melhorias estatisticamente e clinicamente significativas nos parâmetros de qualidade de vida (incluindo IMPACT III) em ambos os grupos de tratamento.</w:t>
      </w:r>
    </w:p>
    <w:p w14:paraId="40EA6E8F" w14:textId="77777777" w:rsidR="00116EA1" w:rsidRPr="008912CF" w:rsidRDefault="00116EA1" w:rsidP="00116EA1">
      <w:pPr>
        <w:rPr>
          <w:sz w:val="22"/>
          <w:szCs w:val="22"/>
        </w:rPr>
      </w:pPr>
    </w:p>
    <w:p w14:paraId="7CA04966" w14:textId="77777777" w:rsidR="00116EA1" w:rsidRPr="008912CF" w:rsidRDefault="00615769" w:rsidP="00116EA1">
      <w:pPr>
        <w:rPr>
          <w:sz w:val="22"/>
          <w:szCs w:val="22"/>
        </w:rPr>
      </w:pPr>
      <w:r w:rsidRPr="008912CF">
        <w:rPr>
          <w:sz w:val="22"/>
          <w:szCs w:val="22"/>
        </w:rPr>
        <w:t>Cem (n=100) doentes do Estudo de DC Pediátrica continuaram num estudo a longo prazo de extensão de fase aberta. Após 5 anos de tratamento com adalimumab, 74,0</w:t>
      </w:r>
      <w:r>
        <w:rPr>
          <w:sz w:val="22"/>
          <w:szCs w:val="22"/>
        </w:rPr>
        <w:t>%</w:t>
      </w:r>
      <w:r w:rsidRPr="008912CF">
        <w:rPr>
          <w:sz w:val="22"/>
          <w:szCs w:val="22"/>
        </w:rPr>
        <w:t xml:space="preserve"> (37/50) dos 50 doentes que permaneceram no estudo continuaram em remissão clínica e 92,0</w:t>
      </w:r>
      <w:r>
        <w:rPr>
          <w:sz w:val="22"/>
          <w:szCs w:val="22"/>
        </w:rPr>
        <w:t>%</w:t>
      </w:r>
      <w:r w:rsidRPr="008912CF">
        <w:rPr>
          <w:sz w:val="22"/>
          <w:szCs w:val="22"/>
        </w:rPr>
        <w:t xml:space="preserve"> (46/50) dos doentes mantiveram resposta clínica segundo a escala PCDAI.  </w:t>
      </w:r>
    </w:p>
    <w:p w14:paraId="2C2CCC03" w14:textId="77777777" w:rsidR="00116EA1" w:rsidRDefault="00116EA1" w:rsidP="00116EA1">
      <w:pPr>
        <w:rPr>
          <w:sz w:val="22"/>
          <w:szCs w:val="22"/>
        </w:rPr>
      </w:pPr>
    </w:p>
    <w:p w14:paraId="4D9B4F9A" w14:textId="77777777" w:rsidR="00116EA1" w:rsidRPr="004D4741" w:rsidRDefault="00615769" w:rsidP="00116EA1">
      <w:pPr>
        <w:rPr>
          <w:i/>
        </w:rPr>
      </w:pPr>
      <w:r w:rsidRPr="004D4741">
        <w:rPr>
          <w:i/>
          <w:sz w:val="22"/>
          <w:szCs w:val="22"/>
        </w:rPr>
        <w:t xml:space="preserve">Uveíte </w:t>
      </w:r>
      <w:r>
        <w:rPr>
          <w:i/>
          <w:sz w:val="22"/>
          <w:szCs w:val="22"/>
        </w:rPr>
        <w:t>p</w:t>
      </w:r>
      <w:r w:rsidRPr="004D4741">
        <w:rPr>
          <w:i/>
          <w:sz w:val="22"/>
          <w:szCs w:val="22"/>
        </w:rPr>
        <w:t>ediátrica</w:t>
      </w:r>
    </w:p>
    <w:p w14:paraId="5A49AFD8" w14:textId="77777777" w:rsidR="00116EA1" w:rsidRDefault="00116EA1" w:rsidP="00116EA1"/>
    <w:p w14:paraId="57EBD6B2" w14:textId="77777777" w:rsidR="00116EA1" w:rsidRDefault="00615769" w:rsidP="00116EA1">
      <w:pPr>
        <w:pStyle w:val="BodyText2"/>
        <w:autoSpaceDE/>
        <w:autoSpaceDN/>
        <w:adjustRightInd/>
        <w:rPr>
          <w:bCs/>
          <w:szCs w:val="20"/>
        </w:rPr>
      </w:pPr>
      <w:r w:rsidRPr="008912CF">
        <w:rPr>
          <w:szCs w:val="22"/>
        </w:rPr>
        <w:t>A segurança e eficácia de Humira foram avaliadas</w:t>
      </w:r>
      <w:r>
        <w:rPr>
          <w:szCs w:val="22"/>
        </w:rPr>
        <w:t xml:space="preserve"> num </w:t>
      </w:r>
      <w:r w:rsidRPr="008912CF">
        <w:rPr>
          <w:szCs w:val="22"/>
        </w:rPr>
        <w:t>estudo</w:t>
      </w:r>
      <w:r>
        <w:rPr>
          <w:szCs w:val="22"/>
        </w:rPr>
        <w:t xml:space="preserve"> aleatorizado</w:t>
      </w:r>
      <w:r w:rsidRPr="008912CF">
        <w:rPr>
          <w:szCs w:val="22"/>
        </w:rPr>
        <w:t xml:space="preserve">, </w:t>
      </w:r>
      <w:r>
        <w:rPr>
          <w:szCs w:val="22"/>
        </w:rPr>
        <w:t xml:space="preserve">controlado, </w:t>
      </w:r>
      <w:r w:rsidRPr="008912CF">
        <w:rPr>
          <w:szCs w:val="22"/>
        </w:rPr>
        <w:t xml:space="preserve">em dupla ocultação, </w:t>
      </w:r>
      <w:r>
        <w:rPr>
          <w:szCs w:val="22"/>
        </w:rPr>
        <w:t>realizado</w:t>
      </w:r>
      <w:r w:rsidRPr="008912CF">
        <w:rPr>
          <w:szCs w:val="22"/>
        </w:rPr>
        <w:t xml:space="preserve"> em </w:t>
      </w:r>
      <w:r>
        <w:rPr>
          <w:szCs w:val="22"/>
        </w:rPr>
        <w:t>9</w:t>
      </w:r>
      <w:r w:rsidRPr="008912CF">
        <w:rPr>
          <w:szCs w:val="22"/>
        </w:rPr>
        <w:t>0 doentes</w:t>
      </w:r>
      <w:r>
        <w:rPr>
          <w:szCs w:val="22"/>
        </w:rPr>
        <w:t xml:space="preserve"> pediátricos </w:t>
      </w:r>
      <w:r w:rsidRPr="004D4741">
        <w:rPr>
          <w:szCs w:val="22"/>
        </w:rPr>
        <w:t>com idad</w:t>
      </w:r>
      <w:r>
        <w:rPr>
          <w:szCs w:val="22"/>
        </w:rPr>
        <w:t>e</w:t>
      </w:r>
      <w:r w:rsidRPr="004D4741">
        <w:rPr>
          <w:szCs w:val="22"/>
        </w:rPr>
        <w:t xml:space="preserve"> </w:t>
      </w:r>
      <w:r>
        <w:rPr>
          <w:szCs w:val="22"/>
        </w:rPr>
        <w:t>desde</w:t>
      </w:r>
      <w:r w:rsidRPr="004D4741">
        <w:rPr>
          <w:bCs/>
          <w:szCs w:val="22"/>
        </w:rPr>
        <w:t xml:space="preserve"> os</w:t>
      </w:r>
      <w:r w:rsidRPr="00A70DE6">
        <w:rPr>
          <w:b/>
          <w:bCs/>
          <w:szCs w:val="22"/>
        </w:rPr>
        <w:t xml:space="preserve"> </w:t>
      </w:r>
      <w:r w:rsidRPr="00A70DE6">
        <w:rPr>
          <w:szCs w:val="22"/>
        </w:rPr>
        <w:t>2</w:t>
      </w:r>
      <w:r>
        <w:rPr>
          <w:szCs w:val="22"/>
        </w:rPr>
        <w:t> a &lt; </w:t>
      </w:r>
      <w:r w:rsidRPr="004D4741">
        <w:rPr>
          <w:szCs w:val="22"/>
        </w:rPr>
        <w:t>1</w:t>
      </w:r>
      <w:r>
        <w:rPr>
          <w:szCs w:val="22"/>
        </w:rPr>
        <w:t xml:space="preserve">8 </w:t>
      </w:r>
      <w:r w:rsidRPr="004D4741">
        <w:rPr>
          <w:szCs w:val="22"/>
        </w:rPr>
        <w:t>anos</w:t>
      </w:r>
      <w:r w:rsidRPr="008912CF">
        <w:rPr>
          <w:szCs w:val="22"/>
        </w:rPr>
        <w:t xml:space="preserve"> com </w:t>
      </w:r>
      <w:r>
        <w:rPr>
          <w:szCs w:val="22"/>
        </w:rPr>
        <w:t xml:space="preserve">uveíte não infecciosa, anterior, associada a artrite idiopática juvenil </w:t>
      </w:r>
      <w:r w:rsidRPr="008912CF">
        <w:rPr>
          <w:szCs w:val="22"/>
        </w:rPr>
        <w:t>(</w:t>
      </w:r>
      <w:r>
        <w:rPr>
          <w:szCs w:val="22"/>
        </w:rPr>
        <w:t>AIJ</w:t>
      </w:r>
      <w:r w:rsidRPr="008912CF">
        <w:rPr>
          <w:szCs w:val="22"/>
        </w:rPr>
        <w:t>) ativa</w:t>
      </w:r>
      <w:r>
        <w:rPr>
          <w:szCs w:val="22"/>
        </w:rPr>
        <w:t>, que foram refratários durante pelo menos 12 semanas de tratamento com metotrexato.</w:t>
      </w:r>
      <w:r w:rsidRPr="008912CF">
        <w:rPr>
          <w:szCs w:val="22"/>
        </w:rPr>
        <w:t xml:space="preserve"> </w:t>
      </w:r>
      <w:r>
        <w:rPr>
          <w:szCs w:val="22"/>
        </w:rPr>
        <w:t>O</w:t>
      </w:r>
      <w:r w:rsidRPr="008912CF">
        <w:rPr>
          <w:szCs w:val="22"/>
        </w:rPr>
        <w:t xml:space="preserve">s doentes receberam placebo ou </w:t>
      </w:r>
      <w:r>
        <w:rPr>
          <w:szCs w:val="22"/>
        </w:rPr>
        <w:t>20 mg de adalimumab (se &lt; 30 kg) ou 40 mg de adalimumab (se </w:t>
      </w:r>
      <w:r w:rsidRPr="004D4741">
        <w:rPr>
          <w:bCs/>
          <w:szCs w:val="20"/>
        </w:rPr>
        <w:t>≥</w:t>
      </w:r>
      <w:r>
        <w:rPr>
          <w:bCs/>
          <w:szCs w:val="20"/>
        </w:rPr>
        <w:t> 30 kg) em semanas alternadas em associação com a dose inicial de metotrexato.</w:t>
      </w:r>
    </w:p>
    <w:p w14:paraId="0D9853B8" w14:textId="77777777" w:rsidR="00116EA1" w:rsidRDefault="00116EA1" w:rsidP="00116EA1">
      <w:pPr>
        <w:pStyle w:val="BodyText2"/>
        <w:autoSpaceDE/>
        <w:autoSpaceDN/>
        <w:adjustRightInd/>
        <w:rPr>
          <w:bCs/>
          <w:szCs w:val="20"/>
        </w:rPr>
      </w:pPr>
    </w:p>
    <w:p w14:paraId="27D06049" w14:textId="77777777" w:rsidR="00116EA1" w:rsidRDefault="00615769" w:rsidP="00116EA1">
      <w:pPr>
        <w:pStyle w:val="BodyText2"/>
        <w:autoSpaceDE/>
        <w:autoSpaceDN/>
        <w:adjustRightInd/>
        <w:rPr>
          <w:szCs w:val="22"/>
        </w:rPr>
      </w:pPr>
      <w:r>
        <w:rPr>
          <w:szCs w:val="22"/>
        </w:rPr>
        <w:t>O objetivo primário foi o “tempo até falha do tratamento”. Os critérios determinantes para a falha de tratamento foram o agravamento ou a ausência de melhoria sustentada da inflamação ocular ou melhoria parcial com desenvolvimento de comorbilidades oculares sustentadas ou agravamento das comorbilidades oculares, utilização de medicações concomitantes não permitidas e descontinuação do tratamento durante um longo período de tempo.</w:t>
      </w:r>
    </w:p>
    <w:p w14:paraId="000A8AF8" w14:textId="77777777" w:rsidR="00116EA1" w:rsidRDefault="00116EA1" w:rsidP="00116EA1">
      <w:pPr>
        <w:pStyle w:val="BodyText2"/>
        <w:autoSpaceDE/>
        <w:autoSpaceDN/>
        <w:adjustRightInd/>
        <w:rPr>
          <w:szCs w:val="22"/>
        </w:rPr>
      </w:pPr>
    </w:p>
    <w:p w14:paraId="2F81F348" w14:textId="77777777" w:rsidR="00116EA1" w:rsidRPr="008912CF" w:rsidRDefault="00615769" w:rsidP="00116EA1">
      <w:pPr>
        <w:rPr>
          <w:i/>
          <w:sz w:val="22"/>
          <w:szCs w:val="22"/>
          <w:u w:val="single"/>
        </w:rPr>
      </w:pPr>
      <w:r w:rsidRPr="008912CF">
        <w:rPr>
          <w:i/>
          <w:sz w:val="22"/>
          <w:szCs w:val="22"/>
          <w:u w:val="single"/>
        </w:rPr>
        <w:t>Resposta clínica</w:t>
      </w:r>
    </w:p>
    <w:p w14:paraId="275EEAEC" w14:textId="77777777" w:rsidR="00116EA1" w:rsidRDefault="00116EA1" w:rsidP="00116EA1">
      <w:pPr>
        <w:pStyle w:val="BodyText2"/>
        <w:autoSpaceDE/>
        <w:autoSpaceDN/>
        <w:adjustRightInd/>
        <w:rPr>
          <w:szCs w:val="22"/>
        </w:rPr>
      </w:pPr>
    </w:p>
    <w:p w14:paraId="7F673812" w14:textId="77777777" w:rsidR="00116EA1" w:rsidRPr="004D4741" w:rsidRDefault="00615769" w:rsidP="00116EA1">
      <w:pPr>
        <w:pStyle w:val="gtcbodytext"/>
        <w:spacing w:before="0" w:after="0" w:line="240" w:lineRule="auto"/>
        <w:rPr>
          <w:rFonts w:eastAsia="PMingLiU"/>
          <w:sz w:val="22"/>
          <w:szCs w:val="22"/>
          <w:lang w:val="pt-PT"/>
        </w:rPr>
      </w:pPr>
      <w:r>
        <w:rPr>
          <w:rFonts w:eastAsia="PMingLiU"/>
          <w:sz w:val="22"/>
          <w:szCs w:val="22"/>
          <w:lang w:val="pt-PT"/>
        </w:rPr>
        <w:t>A</w:t>
      </w:r>
      <w:r w:rsidRPr="004D4741">
        <w:rPr>
          <w:rFonts w:eastAsia="PMingLiU"/>
          <w:sz w:val="22"/>
          <w:szCs w:val="22"/>
          <w:lang w:val="pt-PT"/>
        </w:rPr>
        <w:t xml:space="preserve">dalimumab reduziu significativamente o tempo até falha do tratamento, em comparação com o placebo (ver Figura </w:t>
      </w:r>
      <w:r w:rsidR="002A7CC6">
        <w:rPr>
          <w:rFonts w:eastAsia="PMingLiU"/>
          <w:sz w:val="22"/>
          <w:szCs w:val="22"/>
          <w:lang w:val="pt-PT"/>
        </w:rPr>
        <w:t>2</w:t>
      </w:r>
      <w:r w:rsidRPr="004D4741">
        <w:rPr>
          <w:rFonts w:eastAsia="PMingLiU"/>
          <w:sz w:val="22"/>
          <w:szCs w:val="22"/>
          <w:lang w:val="pt-PT"/>
        </w:rPr>
        <w:t xml:space="preserve">, </w:t>
      </w:r>
      <w:r>
        <w:rPr>
          <w:rFonts w:eastAsia="PMingLiU"/>
          <w:sz w:val="22"/>
          <w:szCs w:val="22"/>
          <w:lang w:val="pt-PT"/>
        </w:rPr>
        <w:t>p</w:t>
      </w:r>
      <w:r w:rsidRPr="004D4741">
        <w:rPr>
          <w:rFonts w:eastAsia="PMingLiU"/>
          <w:sz w:val="22"/>
          <w:szCs w:val="22"/>
          <w:lang w:val="pt-PT"/>
        </w:rPr>
        <w:t xml:space="preserve"> &lt; 0,0001 do teste logarítmico). O tempo </w:t>
      </w:r>
      <w:r>
        <w:rPr>
          <w:rFonts w:eastAsia="PMingLiU"/>
          <w:sz w:val="22"/>
          <w:szCs w:val="22"/>
          <w:lang w:val="pt-PT"/>
        </w:rPr>
        <w:t>mediano</w:t>
      </w:r>
      <w:r w:rsidRPr="004D4741">
        <w:rPr>
          <w:rFonts w:eastAsia="PMingLiU"/>
          <w:sz w:val="22"/>
          <w:szCs w:val="22"/>
          <w:lang w:val="pt-PT"/>
        </w:rPr>
        <w:t xml:space="preserve"> até falha do tratamento foi 24,1 semanas em indivíduos tratados com placebo, enquanto que o tempo </w:t>
      </w:r>
      <w:r>
        <w:rPr>
          <w:rFonts w:eastAsia="PMingLiU"/>
          <w:sz w:val="22"/>
          <w:szCs w:val="22"/>
          <w:lang w:val="pt-PT"/>
        </w:rPr>
        <w:t>mediano</w:t>
      </w:r>
      <w:r w:rsidRPr="004D4741">
        <w:rPr>
          <w:rFonts w:eastAsia="PMingLiU"/>
          <w:sz w:val="22"/>
          <w:szCs w:val="22"/>
          <w:lang w:val="pt-PT"/>
        </w:rPr>
        <w:t xml:space="preserve"> até falha do tratamento em indivíduos tratados com adalimumab não foi calculável, uma vez que menos de metade destes indivíduos experimentaram falha do tratamento. </w:t>
      </w:r>
      <w:r>
        <w:rPr>
          <w:rFonts w:eastAsia="PMingLiU"/>
          <w:sz w:val="22"/>
          <w:szCs w:val="22"/>
          <w:lang w:val="pt-PT"/>
        </w:rPr>
        <w:t>A</w:t>
      </w:r>
      <w:r w:rsidRPr="004D4741">
        <w:rPr>
          <w:rFonts w:eastAsia="PMingLiU"/>
          <w:sz w:val="22"/>
          <w:szCs w:val="22"/>
          <w:lang w:val="pt-PT"/>
        </w:rPr>
        <w:t>dalimumab reduziu significativamente o risco de falha de tratamento em 75% rel</w:t>
      </w:r>
      <w:r w:rsidRPr="004D4741">
        <w:rPr>
          <w:rFonts w:eastAsia="PMingLiU"/>
          <w:sz w:val="22"/>
          <w:szCs w:val="22"/>
          <w:lang w:val="pt-PT"/>
        </w:rPr>
        <w:t>ativamente a placebo, conforme demonstrado pela taxa de risco (TR = 0,25 [</w:t>
      </w:r>
      <w:r>
        <w:rPr>
          <w:rFonts w:eastAsia="PMingLiU"/>
          <w:sz w:val="22"/>
          <w:szCs w:val="22"/>
          <w:lang w:val="pt-PT"/>
        </w:rPr>
        <w:t xml:space="preserve">IC </w:t>
      </w:r>
      <w:r w:rsidRPr="004D4741">
        <w:rPr>
          <w:rFonts w:eastAsia="PMingLiU"/>
          <w:sz w:val="22"/>
          <w:szCs w:val="22"/>
          <w:lang w:val="pt-PT"/>
        </w:rPr>
        <w:t>95%: 0,12; 0,49]).</w:t>
      </w:r>
    </w:p>
    <w:p w14:paraId="35DF10A9" w14:textId="77777777" w:rsidR="00116EA1" w:rsidRPr="004D4741" w:rsidRDefault="00116EA1" w:rsidP="00116EA1">
      <w:pPr>
        <w:pStyle w:val="BodyText2"/>
        <w:autoSpaceDE/>
        <w:autoSpaceDN/>
        <w:adjustRightInd/>
        <w:rPr>
          <w:rFonts w:eastAsia="Times New Roman"/>
          <w:sz w:val="24"/>
          <w:szCs w:val="22"/>
        </w:rPr>
      </w:pPr>
    </w:p>
    <w:p w14:paraId="498F02A1" w14:textId="77777777" w:rsidR="00116EA1" w:rsidRDefault="00615769" w:rsidP="00116EA1">
      <w:pPr>
        <w:keepNext/>
        <w:spacing w:line="300" w:lineRule="auto"/>
        <w:jc w:val="center"/>
        <w:rPr>
          <w:rFonts w:eastAsia="Times New Roman"/>
          <w:b/>
          <w:sz w:val="22"/>
          <w:szCs w:val="22"/>
        </w:rPr>
      </w:pPr>
      <w:r w:rsidRPr="004D4741">
        <w:rPr>
          <w:rFonts w:eastAsia="Times New Roman"/>
          <w:b/>
          <w:sz w:val="22"/>
          <w:szCs w:val="22"/>
        </w:rPr>
        <w:t xml:space="preserve">Figura </w:t>
      </w:r>
      <w:r w:rsidR="002A7CC6">
        <w:rPr>
          <w:rFonts w:eastAsia="Times New Roman"/>
          <w:b/>
          <w:sz w:val="22"/>
          <w:szCs w:val="22"/>
        </w:rPr>
        <w:t>2</w:t>
      </w:r>
      <w:r w:rsidRPr="004D4741">
        <w:rPr>
          <w:rFonts w:eastAsia="Times New Roman"/>
          <w:b/>
          <w:sz w:val="22"/>
          <w:szCs w:val="22"/>
        </w:rPr>
        <w:t xml:space="preserve">: Curvas de Kaplan-Meier </w:t>
      </w:r>
      <w:r>
        <w:rPr>
          <w:rFonts w:eastAsia="Times New Roman"/>
          <w:b/>
          <w:sz w:val="22"/>
          <w:szCs w:val="22"/>
        </w:rPr>
        <w:t>resumindo</w:t>
      </w:r>
      <w:r w:rsidRPr="004D4741">
        <w:rPr>
          <w:rFonts w:eastAsia="Times New Roman"/>
          <w:b/>
          <w:sz w:val="22"/>
          <w:szCs w:val="22"/>
        </w:rPr>
        <w:t xml:space="preserve"> o tempo até falha do tratamento </w:t>
      </w:r>
      <w:r>
        <w:rPr>
          <w:rFonts w:eastAsia="Times New Roman"/>
          <w:b/>
          <w:sz w:val="22"/>
          <w:szCs w:val="22"/>
        </w:rPr>
        <w:t xml:space="preserve">no Estudo da </w:t>
      </w:r>
      <w:r w:rsidRPr="004D4741">
        <w:rPr>
          <w:rFonts w:eastAsia="Times New Roman"/>
          <w:b/>
          <w:sz w:val="22"/>
          <w:szCs w:val="22"/>
        </w:rPr>
        <w:t>Uve</w:t>
      </w:r>
      <w:r>
        <w:rPr>
          <w:rFonts w:eastAsia="Times New Roman"/>
          <w:b/>
          <w:sz w:val="22"/>
          <w:szCs w:val="22"/>
        </w:rPr>
        <w:t>íte pediátrica</w:t>
      </w:r>
    </w:p>
    <w:p w14:paraId="0E64AF29" w14:textId="77777777" w:rsidR="00116EA1" w:rsidRPr="004D4741" w:rsidRDefault="00116EA1" w:rsidP="00116EA1">
      <w:pPr>
        <w:keepNext/>
        <w:spacing w:line="300" w:lineRule="auto"/>
        <w:jc w:val="center"/>
        <w:rPr>
          <w:rFonts w:eastAsia="Times New Roman"/>
          <w:b/>
          <w:sz w:val="22"/>
          <w:szCs w:val="22"/>
        </w:rPr>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A7162A" w14:paraId="78B0C33F" w14:textId="77777777" w:rsidTr="00D105CA">
        <w:trPr>
          <w:cantSplit/>
          <w:trHeight w:val="3806"/>
        </w:trPr>
        <w:tc>
          <w:tcPr>
            <w:tcW w:w="468" w:type="dxa"/>
            <w:textDirection w:val="btLr"/>
            <w:vAlign w:val="bottom"/>
          </w:tcPr>
          <w:p w14:paraId="47A0751C" w14:textId="77777777" w:rsidR="00116EA1" w:rsidRPr="004D4741" w:rsidRDefault="00615769" w:rsidP="00D105CA">
            <w:pPr>
              <w:keepNext/>
              <w:tabs>
                <w:tab w:val="left" w:pos="562"/>
              </w:tabs>
              <w:suppressAutoHyphens/>
              <w:ind w:left="113" w:right="113"/>
              <w:jc w:val="center"/>
              <w:rPr>
                <w:rFonts w:eastAsia="Times New Roman"/>
                <w:b/>
                <w:sz w:val="22"/>
                <w:szCs w:val="22"/>
              </w:rPr>
            </w:pPr>
            <w:r w:rsidRPr="004D4741">
              <w:rPr>
                <w:rFonts w:eastAsia="Times New Roman"/>
                <w:b/>
                <w:sz w:val="22"/>
                <w:szCs w:val="22"/>
              </w:rPr>
              <w:t>PROBABILIDADE DE FALHA DE TRATAMENTO</w:t>
            </w:r>
          </w:p>
        </w:tc>
        <w:tc>
          <w:tcPr>
            <w:tcW w:w="8820" w:type="dxa"/>
            <w:gridSpan w:val="5"/>
            <w:vAlign w:val="bottom"/>
          </w:tcPr>
          <w:p w14:paraId="71B99C5E" w14:textId="77777777" w:rsidR="00116EA1" w:rsidRPr="002D2EE4" w:rsidRDefault="00615769" w:rsidP="00D105CA">
            <w:pPr>
              <w:keepNext/>
              <w:tabs>
                <w:tab w:val="left" w:pos="562"/>
              </w:tabs>
              <w:suppressAutoHyphens/>
              <w:rPr>
                <w:rFonts w:eastAsia="Times New Roman"/>
                <w:sz w:val="22"/>
                <w:szCs w:val="22"/>
                <w:lang w:val="en-US"/>
              </w:rPr>
            </w:pPr>
            <w:r>
              <w:rPr>
                <w:rFonts w:eastAsia="Times New Roman"/>
                <w:noProof/>
                <w:sz w:val="22"/>
                <w:szCs w:val="22"/>
                <w:lang w:val="en-GB" w:eastAsia="en-GB"/>
              </w:rPr>
              <w:drawing>
                <wp:inline distT="0" distB="0" distL="0" distR="0" wp14:anchorId="56D54295" wp14:editId="4E68432B">
                  <wp:extent cx="5486400" cy="4552950"/>
                  <wp:effectExtent l="0" t="0" r="0" b="0"/>
                  <wp:docPr id="1" name="Picture 108"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Humira PED UV KM Curve REVISED 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p>
        </w:tc>
      </w:tr>
      <w:tr w:rsidR="00A7162A" w14:paraId="4782638D" w14:textId="77777777" w:rsidTr="00D105CA">
        <w:tc>
          <w:tcPr>
            <w:tcW w:w="468" w:type="dxa"/>
          </w:tcPr>
          <w:p w14:paraId="303F46E4" w14:textId="77777777" w:rsidR="00116EA1" w:rsidRPr="002D2EE4" w:rsidRDefault="00116EA1" w:rsidP="00D105CA">
            <w:pPr>
              <w:keepNext/>
              <w:tabs>
                <w:tab w:val="left" w:pos="562"/>
              </w:tabs>
              <w:suppressAutoHyphens/>
              <w:rPr>
                <w:rFonts w:eastAsia="Times New Roman"/>
                <w:sz w:val="22"/>
                <w:szCs w:val="22"/>
                <w:lang w:val="en-US"/>
              </w:rPr>
            </w:pPr>
          </w:p>
        </w:tc>
        <w:tc>
          <w:tcPr>
            <w:tcW w:w="8820" w:type="dxa"/>
            <w:gridSpan w:val="5"/>
          </w:tcPr>
          <w:p w14:paraId="068F6E2D" w14:textId="77777777" w:rsidR="00116EA1" w:rsidRPr="002D2EE4" w:rsidRDefault="00615769" w:rsidP="00D105CA">
            <w:pPr>
              <w:keepNext/>
              <w:tabs>
                <w:tab w:val="left" w:pos="562"/>
              </w:tabs>
              <w:suppressAutoHyphens/>
              <w:jc w:val="center"/>
              <w:rPr>
                <w:rFonts w:eastAsia="Times New Roman"/>
                <w:b/>
                <w:sz w:val="22"/>
                <w:szCs w:val="22"/>
                <w:lang w:val="en-US"/>
              </w:rPr>
            </w:pPr>
            <w:r w:rsidRPr="002D2EE4">
              <w:rPr>
                <w:rFonts w:eastAsia="Times New Roman"/>
                <w:b/>
                <w:sz w:val="22"/>
                <w:szCs w:val="22"/>
                <w:lang w:val="en-US"/>
              </w:rPr>
              <w:t>T</w:t>
            </w:r>
            <w:r>
              <w:rPr>
                <w:rFonts w:eastAsia="Times New Roman"/>
                <w:b/>
                <w:sz w:val="22"/>
                <w:szCs w:val="22"/>
                <w:lang w:val="en-US"/>
              </w:rPr>
              <w:t>EMPO</w:t>
            </w:r>
            <w:r w:rsidRPr="002D2EE4">
              <w:rPr>
                <w:rFonts w:eastAsia="Times New Roman"/>
                <w:b/>
                <w:sz w:val="22"/>
                <w:szCs w:val="22"/>
                <w:lang w:val="en-US"/>
              </w:rPr>
              <w:t xml:space="preserve"> (</w:t>
            </w:r>
            <w:r>
              <w:rPr>
                <w:rFonts w:eastAsia="Times New Roman"/>
                <w:b/>
                <w:sz w:val="22"/>
                <w:szCs w:val="22"/>
                <w:lang w:val="en-US"/>
              </w:rPr>
              <w:t>SEMANAS</w:t>
            </w:r>
            <w:r w:rsidRPr="002D2EE4">
              <w:rPr>
                <w:rFonts w:eastAsia="Times New Roman"/>
                <w:b/>
                <w:sz w:val="22"/>
                <w:szCs w:val="22"/>
                <w:lang w:val="en-US"/>
              </w:rPr>
              <w:t>)</w:t>
            </w:r>
          </w:p>
        </w:tc>
      </w:tr>
      <w:tr w:rsidR="00A7162A" w14:paraId="73AF4E18" w14:textId="77777777" w:rsidTr="00D105CA">
        <w:tc>
          <w:tcPr>
            <w:tcW w:w="468" w:type="dxa"/>
          </w:tcPr>
          <w:p w14:paraId="703202B1" w14:textId="77777777" w:rsidR="00116EA1" w:rsidRPr="002D2EE4" w:rsidRDefault="00116EA1" w:rsidP="00D105CA">
            <w:pPr>
              <w:keepNext/>
              <w:tabs>
                <w:tab w:val="left" w:pos="562"/>
              </w:tabs>
              <w:suppressAutoHyphens/>
              <w:rPr>
                <w:rFonts w:eastAsia="Times New Roman"/>
                <w:sz w:val="22"/>
                <w:szCs w:val="22"/>
                <w:lang w:val="en-US"/>
              </w:rPr>
            </w:pPr>
          </w:p>
        </w:tc>
        <w:tc>
          <w:tcPr>
            <w:tcW w:w="3510" w:type="dxa"/>
          </w:tcPr>
          <w:p w14:paraId="499E44C6" w14:textId="77777777" w:rsidR="00116EA1" w:rsidRPr="002D2EE4" w:rsidRDefault="00615769" w:rsidP="00D105CA">
            <w:pPr>
              <w:keepNext/>
              <w:tabs>
                <w:tab w:val="left" w:pos="562"/>
              </w:tabs>
              <w:suppressAutoHyphens/>
              <w:rPr>
                <w:rFonts w:eastAsia="Times New Roman"/>
                <w:sz w:val="22"/>
                <w:szCs w:val="22"/>
                <w:lang w:val="en-US"/>
              </w:rPr>
            </w:pPr>
            <w:r w:rsidRPr="002D2EE4">
              <w:rPr>
                <w:rFonts w:eastAsia="Times New Roman"/>
                <w:sz w:val="22"/>
                <w:szCs w:val="22"/>
                <w:lang w:val="en-US"/>
              </w:rPr>
              <w:t>Tr</w:t>
            </w:r>
            <w:r>
              <w:rPr>
                <w:rFonts w:eastAsia="Times New Roman"/>
                <w:sz w:val="22"/>
                <w:szCs w:val="22"/>
                <w:lang w:val="en-US"/>
              </w:rPr>
              <w:t>atamento</w:t>
            </w:r>
          </w:p>
        </w:tc>
        <w:tc>
          <w:tcPr>
            <w:tcW w:w="1170" w:type="dxa"/>
            <w:vAlign w:val="bottom"/>
          </w:tcPr>
          <w:p w14:paraId="57C13F2A" w14:textId="77777777" w:rsidR="00116EA1" w:rsidRPr="002D2EE4" w:rsidRDefault="00615769" w:rsidP="00D105CA">
            <w:pPr>
              <w:keepNext/>
              <w:tabs>
                <w:tab w:val="left" w:pos="562"/>
              </w:tabs>
              <w:suppressAutoHyphens/>
              <w:jc w:val="center"/>
              <w:rPr>
                <w:rFonts w:eastAsia="Times New Roman"/>
                <w:sz w:val="22"/>
                <w:szCs w:val="22"/>
                <w:lang w:val="en-US"/>
              </w:rPr>
            </w:pPr>
            <w:r>
              <w:rPr>
                <w:rFonts w:eastAsia="Times New Roman"/>
                <w:noProof/>
                <w:sz w:val="22"/>
                <w:szCs w:val="22"/>
                <w:lang w:val="en-GB" w:eastAsia="en-GB"/>
              </w:rPr>
              <w:drawing>
                <wp:inline distT="0" distB="0" distL="0" distR="0" wp14:anchorId="10E597D3" wp14:editId="52FE2CE7">
                  <wp:extent cx="457200" cy="123825"/>
                  <wp:effectExtent l="0" t="0" r="0" b="9525"/>
                  <wp:docPr id="5" name="Picture 109"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Humira PED UV KM Curve 1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p>
        </w:tc>
        <w:tc>
          <w:tcPr>
            <w:tcW w:w="1350" w:type="dxa"/>
          </w:tcPr>
          <w:p w14:paraId="2BA102EE" w14:textId="77777777" w:rsidR="00116EA1" w:rsidRPr="002D2EE4" w:rsidRDefault="00615769" w:rsidP="00D105CA">
            <w:pPr>
              <w:keepNext/>
              <w:tabs>
                <w:tab w:val="left" w:pos="562"/>
              </w:tabs>
              <w:suppressAutoHyphens/>
              <w:rPr>
                <w:rFonts w:eastAsia="Times New Roman"/>
                <w:sz w:val="22"/>
                <w:szCs w:val="22"/>
                <w:lang w:val="en-US"/>
              </w:rPr>
            </w:pPr>
            <w:r w:rsidRPr="002D2EE4">
              <w:rPr>
                <w:rFonts w:eastAsia="Times New Roman"/>
                <w:sz w:val="22"/>
                <w:szCs w:val="22"/>
                <w:lang w:val="en-US"/>
              </w:rPr>
              <w:t>Placebo</w:t>
            </w:r>
          </w:p>
        </w:tc>
        <w:tc>
          <w:tcPr>
            <w:tcW w:w="900" w:type="dxa"/>
            <w:vAlign w:val="center"/>
          </w:tcPr>
          <w:p w14:paraId="5AFA21AD" w14:textId="77777777" w:rsidR="00116EA1" w:rsidRPr="002D2EE4" w:rsidRDefault="00615769" w:rsidP="00D105CA">
            <w:pPr>
              <w:keepNext/>
              <w:tabs>
                <w:tab w:val="left" w:pos="562"/>
              </w:tabs>
              <w:suppressAutoHyphens/>
              <w:rPr>
                <w:rFonts w:eastAsia="Times New Roman"/>
                <w:sz w:val="22"/>
                <w:szCs w:val="22"/>
                <w:lang w:val="en-US"/>
              </w:rPr>
            </w:pPr>
            <w:r>
              <w:rPr>
                <w:rFonts w:eastAsia="Times New Roman"/>
                <w:noProof/>
                <w:sz w:val="22"/>
                <w:szCs w:val="22"/>
                <w:lang w:val="en-GB" w:eastAsia="en-GB"/>
              </w:rPr>
              <w:drawing>
                <wp:inline distT="0" distB="0" distL="0" distR="0" wp14:anchorId="7C0D7D0B" wp14:editId="2C831B1D">
                  <wp:extent cx="457200" cy="85725"/>
                  <wp:effectExtent l="0" t="0" r="0" b="9525"/>
                  <wp:docPr id="7" name="Picture 110"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Humira PED UV KM Curve 1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p>
        </w:tc>
        <w:tc>
          <w:tcPr>
            <w:tcW w:w="1890" w:type="dxa"/>
          </w:tcPr>
          <w:p w14:paraId="48EAD30C" w14:textId="77777777" w:rsidR="00116EA1" w:rsidRPr="002D2EE4" w:rsidRDefault="00615769" w:rsidP="00D105CA">
            <w:pPr>
              <w:keepNext/>
              <w:tabs>
                <w:tab w:val="left" w:pos="562"/>
              </w:tabs>
              <w:suppressAutoHyphens/>
              <w:rPr>
                <w:rFonts w:eastAsia="Times New Roman"/>
                <w:sz w:val="22"/>
                <w:szCs w:val="22"/>
                <w:lang w:val="en-US"/>
              </w:rPr>
            </w:pPr>
            <w:r w:rsidRPr="002D2EE4">
              <w:rPr>
                <w:rFonts w:eastAsia="Times New Roman"/>
                <w:sz w:val="22"/>
                <w:szCs w:val="22"/>
                <w:lang w:val="en-US"/>
              </w:rPr>
              <w:t>Adalimumab</w:t>
            </w:r>
          </w:p>
        </w:tc>
      </w:tr>
      <w:tr w:rsidR="00A7162A" w14:paraId="398C17C6" w14:textId="77777777" w:rsidTr="00D105CA">
        <w:tc>
          <w:tcPr>
            <w:tcW w:w="468" w:type="dxa"/>
          </w:tcPr>
          <w:p w14:paraId="2753EDA6" w14:textId="77777777" w:rsidR="00116EA1" w:rsidRPr="002D2EE4" w:rsidRDefault="00116EA1" w:rsidP="00D105CA">
            <w:pPr>
              <w:tabs>
                <w:tab w:val="left" w:pos="562"/>
              </w:tabs>
              <w:suppressAutoHyphens/>
              <w:rPr>
                <w:rFonts w:eastAsia="Times New Roman"/>
                <w:sz w:val="22"/>
                <w:szCs w:val="22"/>
                <w:lang w:val="en-US"/>
              </w:rPr>
            </w:pPr>
          </w:p>
        </w:tc>
        <w:tc>
          <w:tcPr>
            <w:tcW w:w="8820" w:type="dxa"/>
            <w:gridSpan w:val="5"/>
          </w:tcPr>
          <w:p w14:paraId="59D0C7C1" w14:textId="77777777" w:rsidR="00116EA1" w:rsidRPr="004D4741" w:rsidRDefault="00615769" w:rsidP="00D105CA">
            <w:pPr>
              <w:tabs>
                <w:tab w:val="left" w:pos="562"/>
              </w:tabs>
              <w:suppressAutoHyphens/>
              <w:rPr>
                <w:rFonts w:eastAsia="Times New Roman"/>
                <w:sz w:val="22"/>
                <w:szCs w:val="22"/>
              </w:rPr>
            </w:pPr>
            <w:r w:rsidRPr="004D4741">
              <w:rPr>
                <w:rFonts w:eastAsia="Times New Roman"/>
                <w:sz w:val="22"/>
                <w:szCs w:val="22"/>
              </w:rPr>
              <w:t>Nota: P = Placebo (Número em Risco); H = HUMIRA (Número em Risco).</w:t>
            </w:r>
          </w:p>
        </w:tc>
      </w:tr>
    </w:tbl>
    <w:p w14:paraId="4E78C68B" w14:textId="77777777" w:rsidR="002F6811" w:rsidRPr="008912CF" w:rsidRDefault="002F6811" w:rsidP="002F6811">
      <w:pPr>
        <w:jc w:val="both"/>
        <w:outlineLvl w:val="0"/>
        <w:rPr>
          <w:rFonts w:eastAsia="SimSun"/>
          <w:sz w:val="22"/>
          <w:szCs w:val="22"/>
          <w:lang w:eastAsia="zh-CN"/>
        </w:rPr>
      </w:pPr>
    </w:p>
    <w:p w14:paraId="0A65A482" w14:textId="77777777" w:rsidR="002F6811" w:rsidRPr="008912CF" w:rsidRDefault="00615769" w:rsidP="002F6811">
      <w:pPr>
        <w:rPr>
          <w:b/>
          <w:sz w:val="22"/>
          <w:szCs w:val="22"/>
        </w:rPr>
      </w:pPr>
      <w:r w:rsidRPr="008912CF">
        <w:rPr>
          <w:b/>
          <w:sz w:val="22"/>
          <w:szCs w:val="22"/>
        </w:rPr>
        <w:t>5.2</w:t>
      </w:r>
      <w:r w:rsidRPr="008912CF">
        <w:rPr>
          <w:b/>
          <w:sz w:val="22"/>
          <w:szCs w:val="22"/>
        </w:rPr>
        <w:tab/>
        <w:t>Propriedades farmacocinéticas</w:t>
      </w:r>
    </w:p>
    <w:p w14:paraId="7864B2D0" w14:textId="77777777" w:rsidR="002F6811" w:rsidRPr="008912CF" w:rsidRDefault="002F6811" w:rsidP="002F6811">
      <w:pPr>
        <w:rPr>
          <w:b/>
          <w:sz w:val="22"/>
          <w:szCs w:val="22"/>
        </w:rPr>
      </w:pPr>
    </w:p>
    <w:p w14:paraId="4A2CE07B" w14:textId="77777777" w:rsidR="002F6811" w:rsidRPr="008912CF" w:rsidRDefault="00615769" w:rsidP="002F6811">
      <w:pPr>
        <w:autoSpaceDE w:val="0"/>
        <w:autoSpaceDN w:val="0"/>
        <w:adjustRightInd w:val="0"/>
        <w:rPr>
          <w:sz w:val="22"/>
          <w:szCs w:val="22"/>
          <w:u w:val="single"/>
        </w:rPr>
      </w:pPr>
      <w:r w:rsidRPr="008912CF">
        <w:rPr>
          <w:sz w:val="22"/>
          <w:szCs w:val="22"/>
          <w:u w:val="single"/>
        </w:rPr>
        <w:t>Absorção e distribuição</w:t>
      </w:r>
    </w:p>
    <w:p w14:paraId="36AC9F88" w14:textId="77777777" w:rsidR="002F6811" w:rsidRPr="008912CF" w:rsidRDefault="002F6811" w:rsidP="002F6811">
      <w:pPr>
        <w:autoSpaceDE w:val="0"/>
        <w:autoSpaceDN w:val="0"/>
        <w:adjustRightInd w:val="0"/>
        <w:rPr>
          <w:sz w:val="22"/>
          <w:szCs w:val="22"/>
        </w:rPr>
      </w:pPr>
    </w:p>
    <w:p w14:paraId="1770FDE0" w14:textId="77777777" w:rsidR="002F6811" w:rsidRPr="008912CF" w:rsidRDefault="00615769" w:rsidP="002F6811">
      <w:pPr>
        <w:autoSpaceDE w:val="0"/>
        <w:autoSpaceDN w:val="0"/>
        <w:adjustRightInd w:val="0"/>
        <w:rPr>
          <w:sz w:val="22"/>
          <w:szCs w:val="22"/>
        </w:rPr>
      </w:pPr>
      <w:r w:rsidRPr="008912CF">
        <w:rPr>
          <w:sz w:val="22"/>
          <w:szCs w:val="22"/>
        </w:rPr>
        <w:t>Após a administração de 24 mg/m</w:t>
      </w:r>
      <w:r w:rsidRPr="008912CF">
        <w:rPr>
          <w:sz w:val="22"/>
          <w:szCs w:val="22"/>
          <w:vertAlign w:val="superscript"/>
        </w:rPr>
        <w:t>2</w:t>
      </w:r>
      <w:r w:rsidRPr="008912CF">
        <w:rPr>
          <w:sz w:val="22"/>
          <w:szCs w:val="22"/>
        </w:rPr>
        <w:t xml:space="preserve"> (máximo de 40 mg) por via subcutânea, em semanas alternadas, em doentes com </w:t>
      </w:r>
      <w:r w:rsidR="00F21025">
        <w:rPr>
          <w:sz w:val="22"/>
          <w:szCs w:val="22"/>
        </w:rPr>
        <w:t>artrite idiopática juvenil</w:t>
      </w:r>
      <w:r w:rsidRPr="008912CF">
        <w:rPr>
          <w:sz w:val="22"/>
          <w:szCs w:val="22"/>
        </w:rPr>
        <w:t xml:space="preserve"> poliarticular</w:t>
      </w:r>
      <w:r w:rsidR="00F21025">
        <w:rPr>
          <w:sz w:val="22"/>
          <w:szCs w:val="22"/>
        </w:rPr>
        <w:t xml:space="preserve"> (AIJ)</w:t>
      </w:r>
      <w:r w:rsidRPr="008912CF">
        <w:rPr>
          <w:sz w:val="22"/>
          <w:szCs w:val="22"/>
        </w:rPr>
        <w:t xml:space="preserve"> com idade entre os 4 e os 17 anos, as concentrações séricas médias de adalimumab na região de vale da curva no estado estacionário (valores medidos da Semana 20 à 48) foram de 5,6 </w:t>
      </w:r>
      <w:r w:rsidRPr="008912CF">
        <w:rPr>
          <w:rFonts w:ascii="Symbol" w:hAnsi="Symbol"/>
          <w:sz w:val="22"/>
          <w:szCs w:val="22"/>
        </w:rPr>
        <w:sym w:font="Symbol" w:char="F0B1"/>
      </w:r>
      <w:r w:rsidRPr="008912CF">
        <w:rPr>
          <w:sz w:val="22"/>
          <w:szCs w:val="22"/>
        </w:rPr>
        <w:t> 5,6 </w:t>
      </w:r>
      <w:r w:rsidRPr="008912CF">
        <w:rPr>
          <w:rFonts w:ascii="Symbol" w:hAnsi="Symbol"/>
          <w:sz w:val="22"/>
          <w:szCs w:val="22"/>
        </w:rPr>
        <w:sym w:font="Symbol" w:char="F06D"/>
      </w:r>
      <w:r w:rsidRPr="008912CF">
        <w:rPr>
          <w:sz w:val="22"/>
          <w:szCs w:val="22"/>
        </w:rPr>
        <w:t>g/ml (102</w:t>
      </w:r>
      <w:r w:rsidR="009343EF">
        <w:rPr>
          <w:sz w:val="22"/>
          <w:szCs w:val="22"/>
        </w:rPr>
        <w:t>%</w:t>
      </w:r>
      <w:r w:rsidRPr="008912CF">
        <w:rPr>
          <w:sz w:val="22"/>
          <w:szCs w:val="22"/>
        </w:rPr>
        <w:t xml:space="preserve"> CV) com adalimumab sem metot</w:t>
      </w:r>
      <w:r w:rsidR="00F21025">
        <w:rPr>
          <w:sz w:val="22"/>
          <w:szCs w:val="22"/>
        </w:rPr>
        <w:t>r</w:t>
      </w:r>
      <w:r w:rsidRPr="008912CF">
        <w:rPr>
          <w:sz w:val="22"/>
          <w:szCs w:val="22"/>
        </w:rPr>
        <w:t>exato concomitante e 10,9 </w:t>
      </w:r>
      <w:r w:rsidRPr="008912CF">
        <w:rPr>
          <w:rFonts w:ascii="Symbol" w:hAnsi="Symbol"/>
          <w:sz w:val="22"/>
          <w:szCs w:val="22"/>
        </w:rPr>
        <w:sym w:font="Symbol" w:char="F0B1"/>
      </w:r>
      <w:r w:rsidRPr="008912CF">
        <w:rPr>
          <w:sz w:val="22"/>
          <w:szCs w:val="22"/>
        </w:rPr>
        <w:t> 5,2 </w:t>
      </w:r>
      <w:r w:rsidRPr="008912CF">
        <w:rPr>
          <w:rFonts w:ascii="Symbol" w:hAnsi="Symbol"/>
          <w:sz w:val="22"/>
          <w:szCs w:val="22"/>
        </w:rPr>
        <w:sym w:font="Symbol" w:char="F06D"/>
      </w:r>
      <w:r w:rsidRPr="008912CF">
        <w:rPr>
          <w:sz w:val="22"/>
          <w:szCs w:val="22"/>
        </w:rPr>
        <w:t>g/ml (47,7</w:t>
      </w:r>
      <w:r w:rsidR="009343EF">
        <w:rPr>
          <w:sz w:val="22"/>
          <w:szCs w:val="22"/>
        </w:rPr>
        <w:t>%</w:t>
      </w:r>
      <w:r w:rsidRPr="008912CF">
        <w:rPr>
          <w:sz w:val="22"/>
          <w:szCs w:val="22"/>
        </w:rPr>
        <w:t xml:space="preserve"> CV) com metotrexato concomitante.</w:t>
      </w:r>
    </w:p>
    <w:p w14:paraId="64C82934" w14:textId="77777777" w:rsidR="002F6811" w:rsidRPr="008912CF" w:rsidRDefault="002F6811" w:rsidP="002F6811">
      <w:pPr>
        <w:autoSpaceDE w:val="0"/>
        <w:autoSpaceDN w:val="0"/>
        <w:adjustRightInd w:val="0"/>
        <w:rPr>
          <w:sz w:val="22"/>
          <w:szCs w:val="22"/>
        </w:rPr>
      </w:pPr>
    </w:p>
    <w:p w14:paraId="6DE19DE2" w14:textId="77777777" w:rsidR="002F6811" w:rsidRPr="008912CF" w:rsidRDefault="00615769" w:rsidP="002F6811">
      <w:pPr>
        <w:autoSpaceDE w:val="0"/>
        <w:autoSpaceDN w:val="0"/>
        <w:adjustRightInd w:val="0"/>
        <w:rPr>
          <w:sz w:val="22"/>
          <w:szCs w:val="22"/>
        </w:rPr>
      </w:pPr>
      <w:r w:rsidRPr="008912CF">
        <w:rPr>
          <w:sz w:val="22"/>
          <w:szCs w:val="22"/>
        </w:rPr>
        <w:t xml:space="preserve">Em doentes com AIJ poliarticular com 2 anos </w:t>
      </w:r>
      <w:r w:rsidR="004D2A92">
        <w:rPr>
          <w:sz w:val="22"/>
          <w:szCs w:val="22"/>
        </w:rPr>
        <w:t>a</w:t>
      </w:r>
      <w:r w:rsidR="004D2A92" w:rsidRPr="008912CF">
        <w:rPr>
          <w:sz w:val="22"/>
          <w:szCs w:val="22"/>
        </w:rPr>
        <w:t xml:space="preserve"> </w:t>
      </w:r>
      <w:r w:rsidRPr="008912CF">
        <w:rPr>
          <w:sz w:val="22"/>
          <w:szCs w:val="22"/>
        </w:rPr>
        <w:t>menos de 4 ou com 4 anos de idade e com peso &lt; 15 kg que receberam 24 mg/m</w:t>
      </w:r>
      <w:r w:rsidRPr="008912CF">
        <w:rPr>
          <w:sz w:val="22"/>
          <w:szCs w:val="22"/>
          <w:vertAlign w:val="superscript"/>
        </w:rPr>
        <w:t>2</w:t>
      </w:r>
      <w:r w:rsidRPr="008912CF">
        <w:rPr>
          <w:sz w:val="22"/>
          <w:szCs w:val="22"/>
        </w:rPr>
        <w:t xml:space="preserve"> de adalimumab, as concentrações séricas médias de adalimumab na região de vale da curva no estado estacionário foram de 6,0 </w:t>
      </w:r>
      <w:r w:rsidRPr="008912CF">
        <w:rPr>
          <w:rFonts w:ascii="Symbol" w:hAnsi="Symbol"/>
          <w:sz w:val="22"/>
          <w:szCs w:val="22"/>
        </w:rPr>
        <w:sym w:font="Symbol" w:char="F0B1"/>
      </w:r>
      <w:r w:rsidRPr="008912CF">
        <w:rPr>
          <w:sz w:val="22"/>
          <w:szCs w:val="22"/>
        </w:rPr>
        <w:t xml:space="preserve"> 6,1 </w:t>
      </w:r>
      <w:r w:rsidRPr="008912CF">
        <w:rPr>
          <w:rFonts w:ascii="Symbol" w:hAnsi="Symbol"/>
          <w:sz w:val="22"/>
          <w:szCs w:val="22"/>
        </w:rPr>
        <w:sym w:font="Symbol" w:char="F06D"/>
      </w:r>
      <w:r w:rsidRPr="008912CF">
        <w:rPr>
          <w:sz w:val="22"/>
          <w:szCs w:val="22"/>
        </w:rPr>
        <w:t>g/ml (101% CV) com adalimumab sem metot</w:t>
      </w:r>
      <w:r w:rsidR="00C1288B">
        <w:rPr>
          <w:sz w:val="22"/>
          <w:szCs w:val="22"/>
        </w:rPr>
        <w:t>r</w:t>
      </w:r>
      <w:r w:rsidRPr="008912CF">
        <w:rPr>
          <w:sz w:val="22"/>
          <w:szCs w:val="22"/>
        </w:rPr>
        <w:t xml:space="preserve">exato concomitante e 7,9 </w:t>
      </w:r>
      <w:r w:rsidRPr="008912CF">
        <w:rPr>
          <w:rFonts w:ascii="Symbol" w:hAnsi="Symbol"/>
          <w:sz w:val="22"/>
          <w:szCs w:val="22"/>
        </w:rPr>
        <w:sym w:font="Symbol" w:char="F0B1"/>
      </w:r>
      <w:r w:rsidRPr="008912CF">
        <w:rPr>
          <w:rFonts w:ascii="Symbol" w:hAnsi="Symbol"/>
          <w:sz w:val="22"/>
          <w:szCs w:val="22"/>
        </w:rPr>
        <w:sym w:font="Symbol" w:char="F020"/>
      </w:r>
      <w:r w:rsidRPr="008912CF">
        <w:rPr>
          <w:rFonts w:ascii="Symbol" w:hAnsi="Symbol"/>
          <w:sz w:val="22"/>
          <w:szCs w:val="22"/>
        </w:rPr>
        <w:sym w:font="Symbol" w:char="F035"/>
      </w:r>
      <w:r w:rsidRPr="008912CF">
        <w:rPr>
          <w:rFonts w:ascii="Symbol" w:hAnsi="Symbol"/>
          <w:sz w:val="22"/>
          <w:szCs w:val="22"/>
        </w:rPr>
        <w:sym w:font="Symbol" w:char="F02C"/>
      </w:r>
      <w:r w:rsidRPr="008912CF">
        <w:rPr>
          <w:rFonts w:ascii="Symbol" w:hAnsi="Symbol"/>
          <w:sz w:val="22"/>
          <w:szCs w:val="22"/>
        </w:rPr>
        <w:sym w:font="Symbol" w:char="F036"/>
      </w:r>
      <w:r w:rsidRPr="008912CF">
        <w:rPr>
          <w:rFonts w:ascii="Symbol" w:hAnsi="Symbol"/>
          <w:sz w:val="22"/>
          <w:szCs w:val="22"/>
        </w:rPr>
        <w:sym w:font="Symbol" w:char="F020"/>
      </w:r>
      <w:r w:rsidRPr="008912CF">
        <w:rPr>
          <w:rFonts w:ascii="Symbol" w:hAnsi="Symbol"/>
          <w:sz w:val="22"/>
          <w:szCs w:val="22"/>
        </w:rPr>
        <w:sym w:font="Symbol" w:char="F06D"/>
      </w:r>
      <w:r w:rsidRPr="008912CF">
        <w:rPr>
          <w:sz w:val="22"/>
          <w:szCs w:val="22"/>
        </w:rPr>
        <w:t xml:space="preserve">g/ml </w:t>
      </w:r>
      <w:r w:rsidRPr="008912CF">
        <w:rPr>
          <w:rFonts w:ascii="Symbol" w:hAnsi="Symbol"/>
          <w:sz w:val="22"/>
          <w:szCs w:val="22"/>
        </w:rPr>
        <w:sym w:font="Symbol" w:char="F028"/>
      </w:r>
      <w:r w:rsidRPr="008912CF">
        <w:rPr>
          <w:rFonts w:ascii="Symbol" w:hAnsi="Symbol"/>
          <w:sz w:val="22"/>
          <w:szCs w:val="22"/>
        </w:rPr>
        <w:sym w:font="Symbol" w:char="F037"/>
      </w:r>
      <w:r w:rsidRPr="008912CF">
        <w:rPr>
          <w:rFonts w:ascii="Symbol" w:hAnsi="Symbol"/>
          <w:sz w:val="22"/>
          <w:szCs w:val="22"/>
        </w:rPr>
        <w:sym w:font="Symbol" w:char="F031"/>
      </w:r>
      <w:r w:rsidRPr="008912CF">
        <w:rPr>
          <w:rFonts w:ascii="Symbol" w:hAnsi="Symbol"/>
          <w:sz w:val="22"/>
          <w:szCs w:val="22"/>
        </w:rPr>
        <w:sym w:font="Symbol" w:char="F02C"/>
      </w:r>
      <w:r w:rsidRPr="008912CF">
        <w:rPr>
          <w:rFonts w:ascii="Symbol" w:hAnsi="Symbol"/>
          <w:sz w:val="22"/>
          <w:szCs w:val="22"/>
        </w:rPr>
        <w:sym w:font="Symbol" w:char="F032"/>
      </w:r>
      <w:r w:rsidRPr="008912CF">
        <w:rPr>
          <w:rFonts w:ascii="Symbol" w:hAnsi="Symbol"/>
          <w:sz w:val="22"/>
          <w:szCs w:val="22"/>
        </w:rPr>
        <w:sym w:font="Symbol" w:char="F025"/>
      </w:r>
      <w:r w:rsidRPr="008912CF">
        <w:rPr>
          <w:sz w:val="22"/>
          <w:szCs w:val="22"/>
        </w:rPr>
        <w:t xml:space="preserve"> CV</w:t>
      </w:r>
      <w:r w:rsidRPr="008912CF">
        <w:rPr>
          <w:rFonts w:ascii="Symbol" w:hAnsi="Symbol"/>
          <w:sz w:val="22"/>
          <w:szCs w:val="22"/>
        </w:rPr>
        <w:sym w:font="Symbol" w:char="F029"/>
      </w:r>
      <w:r w:rsidRPr="008912CF">
        <w:rPr>
          <w:rFonts w:ascii="Symbol" w:hAnsi="Symbol"/>
          <w:sz w:val="22"/>
          <w:szCs w:val="22"/>
        </w:rPr>
        <w:sym w:font="Symbol" w:char="F020"/>
      </w:r>
      <w:r w:rsidRPr="008912CF">
        <w:rPr>
          <w:sz w:val="22"/>
          <w:szCs w:val="22"/>
        </w:rPr>
        <w:t>com metotrexato concomitante.</w:t>
      </w:r>
    </w:p>
    <w:p w14:paraId="0372D9D2" w14:textId="77777777" w:rsidR="002F6811" w:rsidRPr="008912CF" w:rsidRDefault="002F6811" w:rsidP="002F6811">
      <w:pPr>
        <w:autoSpaceDE w:val="0"/>
        <w:autoSpaceDN w:val="0"/>
        <w:adjustRightInd w:val="0"/>
        <w:rPr>
          <w:sz w:val="22"/>
          <w:szCs w:val="22"/>
        </w:rPr>
      </w:pPr>
    </w:p>
    <w:p w14:paraId="681B045C" w14:textId="77777777" w:rsidR="002F6811" w:rsidRDefault="00615769" w:rsidP="002F6811">
      <w:pPr>
        <w:autoSpaceDE w:val="0"/>
        <w:autoSpaceDN w:val="0"/>
        <w:adjustRightInd w:val="0"/>
        <w:rPr>
          <w:sz w:val="22"/>
          <w:szCs w:val="22"/>
        </w:rPr>
      </w:pPr>
      <w:r w:rsidRPr="008912CF">
        <w:rPr>
          <w:sz w:val="22"/>
          <w:szCs w:val="22"/>
        </w:rPr>
        <w:t>Após a administração de 24 mg/m</w:t>
      </w:r>
      <w:r w:rsidRPr="008912CF">
        <w:rPr>
          <w:sz w:val="22"/>
          <w:szCs w:val="22"/>
          <w:vertAlign w:val="superscript"/>
        </w:rPr>
        <w:t>2</w:t>
      </w:r>
      <w:r w:rsidRPr="008912CF">
        <w:rPr>
          <w:sz w:val="22"/>
          <w:szCs w:val="22"/>
        </w:rPr>
        <w:t xml:space="preserve"> (máximo de 40 mg) por via subcutânea, em semanas alternadas, em doentes com artrite relacionada com entesite com idade entre os 6 e os 17 anos, as concentrações séricas médias de adalimumab na região de vale da curva no estado estacionário (valores medidos na Semana 24) foram de 8,8 </w:t>
      </w:r>
      <w:r w:rsidRPr="008912CF">
        <w:rPr>
          <w:rFonts w:ascii="Symbol" w:hAnsi="Symbol"/>
          <w:sz w:val="22"/>
          <w:szCs w:val="22"/>
        </w:rPr>
        <w:sym w:font="Symbol" w:char="F0B1"/>
      </w:r>
      <w:r w:rsidRPr="008912CF">
        <w:rPr>
          <w:sz w:val="22"/>
          <w:szCs w:val="22"/>
        </w:rPr>
        <w:t xml:space="preserve"> 6,6 </w:t>
      </w:r>
      <w:r w:rsidRPr="008912CF">
        <w:rPr>
          <w:rFonts w:ascii="Symbol" w:hAnsi="Symbol"/>
          <w:sz w:val="22"/>
          <w:szCs w:val="22"/>
        </w:rPr>
        <w:sym w:font="Symbol" w:char="F06D"/>
      </w:r>
      <w:r w:rsidRPr="008912CF">
        <w:rPr>
          <w:sz w:val="22"/>
          <w:szCs w:val="22"/>
        </w:rPr>
        <w:t>g/ml  com adalimumab sem metotrexato concomitante e 11</w:t>
      </w:r>
      <w:r w:rsidR="009343EF">
        <w:rPr>
          <w:sz w:val="22"/>
          <w:szCs w:val="22"/>
        </w:rPr>
        <w:t>,</w:t>
      </w:r>
      <w:r w:rsidRPr="008912CF">
        <w:rPr>
          <w:sz w:val="22"/>
          <w:szCs w:val="22"/>
        </w:rPr>
        <w:t xml:space="preserve">8 </w:t>
      </w:r>
      <w:r w:rsidRPr="008912CF">
        <w:rPr>
          <w:rFonts w:ascii="Symbol" w:hAnsi="Symbol"/>
          <w:sz w:val="22"/>
          <w:szCs w:val="22"/>
        </w:rPr>
        <w:sym w:font="Symbol" w:char="F0B1"/>
      </w:r>
      <w:r w:rsidRPr="008912CF">
        <w:rPr>
          <w:rFonts w:ascii="Symbol" w:hAnsi="Symbol"/>
          <w:sz w:val="22"/>
          <w:szCs w:val="22"/>
        </w:rPr>
        <w:sym w:font="Symbol" w:char="F020"/>
      </w:r>
      <w:r w:rsidRPr="008912CF">
        <w:rPr>
          <w:rFonts w:ascii="Symbol" w:hAnsi="Symbol"/>
          <w:sz w:val="22"/>
          <w:szCs w:val="22"/>
        </w:rPr>
        <w:sym w:font="Symbol" w:char="F034"/>
      </w:r>
      <w:r w:rsidRPr="008912CF">
        <w:rPr>
          <w:rFonts w:ascii="Symbol" w:hAnsi="Symbol"/>
          <w:sz w:val="22"/>
          <w:szCs w:val="22"/>
        </w:rPr>
        <w:sym w:font="Symbol" w:char="F02C"/>
      </w:r>
      <w:r w:rsidRPr="008912CF">
        <w:rPr>
          <w:rFonts w:ascii="Symbol" w:hAnsi="Symbol"/>
          <w:sz w:val="22"/>
          <w:szCs w:val="22"/>
        </w:rPr>
        <w:sym w:font="Symbol" w:char="F033"/>
      </w:r>
      <w:r w:rsidRPr="008912CF">
        <w:rPr>
          <w:rFonts w:ascii="Symbol" w:hAnsi="Symbol"/>
          <w:sz w:val="22"/>
          <w:szCs w:val="22"/>
        </w:rPr>
        <w:sym w:font="Symbol" w:char="F020"/>
      </w:r>
      <w:r w:rsidRPr="008912CF">
        <w:rPr>
          <w:rFonts w:ascii="Symbol" w:hAnsi="Symbol"/>
          <w:sz w:val="22"/>
          <w:szCs w:val="22"/>
        </w:rPr>
        <w:sym w:font="Symbol" w:char="F06D"/>
      </w:r>
      <w:r w:rsidRPr="008912CF">
        <w:rPr>
          <w:sz w:val="22"/>
          <w:szCs w:val="22"/>
        </w:rPr>
        <w:t>g/ml com metotrexato concomitante.</w:t>
      </w:r>
    </w:p>
    <w:p w14:paraId="6F832AAA" w14:textId="77777777" w:rsidR="00DA0040" w:rsidRDefault="00DA0040" w:rsidP="002F6811">
      <w:pPr>
        <w:autoSpaceDE w:val="0"/>
        <w:autoSpaceDN w:val="0"/>
        <w:adjustRightInd w:val="0"/>
        <w:rPr>
          <w:sz w:val="22"/>
          <w:szCs w:val="22"/>
        </w:rPr>
      </w:pPr>
    </w:p>
    <w:p w14:paraId="1608B585" w14:textId="77777777" w:rsidR="00DA0040" w:rsidRDefault="00615769" w:rsidP="00DA0040">
      <w:pPr>
        <w:rPr>
          <w:sz w:val="22"/>
          <w:szCs w:val="22"/>
        </w:rPr>
      </w:pPr>
      <w:r w:rsidRPr="008912CF">
        <w:rPr>
          <w:sz w:val="22"/>
          <w:szCs w:val="22"/>
        </w:rPr>
        <w:t>Após a administração de 0,8 mg/kg (máximo de 40 mg) por via subcutânea, em semanas alternadas, em doentes pediátricos com psoríase crónica em placas, a média ±</w:t>
      </w:r>
      <w:r w:rsidR="0029007D">
        <w:rPr>
          <w:sz w:val="22"/>
          <w:szCs w:val="22"/>
        </w:rPr>
        <w:t xml:space="preserve"> </w:t>
      </w:r>
      <w:r w:rsidRPr="008912CF">
        <w:rPr>
          <w:sz w:val="22"/>
          <w:szCs w:val="22"/>
        </w:rPr>
        <w:t>DP da concentraç</w:t>
      </w:r>
      <w:r w:rsidR="004D2A92">
        <w:rPr>
          <w:sz w:val="22"/>
          <w:szCs w:val="22"/>
        </w:rPr>
        <w:t>ão de vale</w:t>
      </w:r>
      <w:r w:rsidRPr="008912CF">
        <w:rPr>
          <w:sz w:val="22"/>
          <w:szCs w:val="22"/>
        </w:rPr>
        <w:t xml:space="preserve"> de adalimumab foi aproximadamente 7,4 ± 5,8 </w:t>
      </w:r>
      <w:r w:rsidRPr="008912CF">
        <w:rPr>
          <w:rFonts w:ascii="Symbol" w:hAnsi="Symbol"/>
          <w:sz w:val="22"/>
          <w:szCs w:val="22"/>
        </w:rPr>
        <w:sym w:font="Symbol" w:char="F06D"/>
      </w:r>
      <w:r w:rsidRPr="008912CF">
        <w:rPr>
          <w:sz w:val="22"/>
          <w:szCs w:val="22"/>
        </w:rPr>
        <w:t>g/ml (79</w:t>
      </w:r>
      <w:r w:rsidR="009343EF">
        <w:rPr>
          <w:sz w:val="22"/>
          <w:szCs w:val="22"/>
        </w:rPr>
        <w:t>%</w:t>
      </w:r>
      <w:r w:rsidRPr="008912CF">
        <w:rPr>
          <w:sz w:val="22"/>
          <w:szCs w:val="22"/>
        </w:rPr>
        <w:t xml:space="preserve"> CV).</w:t>
      </w:r>
    </w:p>
    <w:p w14:paraId="6728693C" w14:textId="77777777" w:rsidR="00DA0040" w:rsidRPr="008912CF" w:rsidRDefault="00DA0040" w:rsidP="002F6811">
      <w:pPr>
        <w:autoSpaceDE w:val="0"/>
        <w:autoSpaceDN w:val="0"/>
        <w:adjustRightInd w:val="0"/>
        <w:rPr>
          <w:sz w:val="22"/>
          <w:szCs w:val="22"/>
        </w:rPr>
      </w:pPr>
    </w:p>
    <w:p w14:paraId="145A0C4D" w14:textId="77777777" w:rsidR="002F6811" w:rsidRPr="008912CF" w:rsidRDefault="00615769" w:rsidP="002F6811">
      <w:pPr>
        <w:autoSpaceDE w:val="0"/>
        <w:autoSpaceDN w:val="0"/>
        <w:adjustRightInd w:val="0"/>
        <w:rPr>
          <w:sz w:val="22"/>
          <w:szCs w:val="22"/>
        </w:rPr>
      </w:pPr>
      <w:r w:rsidRPr="008912CF">
        <w:rPr>
          <w:sz w:val="22"/>
          <w:szCs w:val="22"/>
        </w:rPr>
        <w:t>Em doentes pediátricos com DC moderada a grave, a dose de indução de adalimumab em fase aberta foi 160/80</w:t>
      </w:r>
      <w:r>
        <w:rPr>
          <w:sz w:val="22"/>
          <w:szCs w:val="22"/>
        </w:rPr>
        <w:t> </w:t>
      </w:r>
      <w:r w:rsidRPr="008912CF">
        <w:rPr>
          <w:sz w:val="22"/>
          <w:szCs w:val="22"/>
        </w:rPr>
        <w:t>mg ou 80/40</w:t>
      </w:r>
      <w:r>
        <w:rPr>
          <w:sz w:val="22"/>
          <w:szCs w:val="22"/>
        </w:rPr>
        <w:t> </w:t>
      </w:r>
      <w:r w:rsidRPr="008912CF">
        <w:rPr>
          <w:sz w:val="22"/>
          <w:szCs w:val="22"/>
        </w:rPr>
        <w:t>mg nas Semanas 0 e 2, respetivamente, dependendo do limiar de peso corporal de 40</w:t>
      </w:r>
      <w:r>
        <w:rPr>
          <w:sz w:val="22"/>
          <w:szCs w:val="22"/>
        </w:rPr>
        <w:t> </w:t>
      </w:r>
      <w:r w:rsidRPr="008912CF">
        <w:rPr>
          <w:sz w:val="22"/>
          <w:szCs w:val="22"/>
        </w:rPr>
        <w:t xml:space="preserve">kg. Na Semana 4, os doentes foram </w:t>
      </w:r>
      <w:r w:rsidR="0013275C">
        <w:rPr>
          <w:sz w:val="22"/>
          <w:szCs w:val="22"/>
        </w:rPr>
        <w:t>aleatorizado</w:t>
      </w:r>
      <w:r w:rsidRPr="008912CF">
        <w:rPr>
          <w:sz w:val="22"/>
          <w:szCs w:val="22"/>
        </w:rPr>
        <w:t>s 1:1 para Dose Padrão (40/20</w:t>
      </w:r>
      <w:r>
        <w:rPr>
          <w:sz w:val="22"/>
          <w:szCs w:val="22"/>
        </w:rPr>
        <w:t> </w:t>
      </w:r>
      <w:r w:rsidRPr="008912CF">
        <w:rPr>
          <w:sz w:val="22"/>
          <w:szCs w:val="22"/>
        </w:rPr>
        <w:t>mg em semanas alternadas) ou Baixa Dose (20/10 mg em semanas alternadas) em grupos de tratamento de manutenção com base no peso corporal. A média (</w:t>
      </w:r>
      <w:r w:rsidRPr="008912CF">
        <w:rPr>
          <w:rFonts w:eastAsia="Arial Unicode MS"/>
          <w:sz w:val="22"/>
          <w:szCs w:val="22"/>
        </w:rPr>
        <w:t>±</w:t>
      </w:r>
      <w:r w:rsidR="0029007D">
        <w:rPr>
          <w:rFonts w:eastAsia="Arial Unicode MS"/>
          <w:sz w:val="22"/>
          <w:szCs w:val="22"/>
        </w:rPr>
        <w:t xml:space="preserve"> </w:t>
      </w:r>
      <w:r w:rsidRPr="008912CF">
        <w:rPr>
          <w:rFonts w:eastAsia="Arial Unicode MS"/>
          <w:sz w:val="22"/>
          <w:szCs w:val="22"/>
        </w:rPr>
        <w:t xml:space="preserve">DP) da concentração sérica </w:t>
      </w:r>
      <w:r w:rsidR="001729C1">
        <w:rPr>
          <w:rFonts w:eastAsia="Arial Unicode MS"/>
          <w:sz w:val="22"/>
          <w:szCs w:val="22"/>
        </w:rPr>
        <w:t xml:space="preserve">de vale </w:t>
      </w:r>
      <w:r w:rsidRPr="008912CF">
        <w:rPr>
          <w:rFonts w:eastAsia="Arial Unicode MS"/>
          <w:sz w:val="22"/>
          <w:szCs w:val="22"/>
        </w:rPr>
        <w:t xml:space="preserve">de adalimumab atingida na Semana 4 foi </w:t>
      </w:r>
      <w:r w:rsidRPr="008912CF">
        <w:rPr>
          <w:sz w:val="22"/>
          <w:szCs w:val="22"/>
          <w:lang w:eastAsia="en-GB"/>
        </w:rPr>
        <w:t>15</w:t>
      </w:r>
      <w:r w:rsidR="009343EF">
        <w:rPr>
          <w:sz w:val="22"/>
          <w:szCs w:val="22"/>
          <w:lang w:eastAsia="en-GB"/>
        </w:rPr>
        <w:t>,</w:t>
      </w:r>
      <w:r w:rsidRPr="008912CF">
        <w:rPr>
          <w:sz w:val="22"/>
          <w:szCs w:val="22"/>
          <w:lang w:eastAsia="en-GB"/>
        </w:rPr>
        <w:t>7</w:t>
      </w:r>
      <w:r w:rsidR="0029007D">
        <w:rPr>
          <w:sz w:val="22"/>
          <w:szCs w:val="22"/>
          <w:lang w:eastAsia="en-GB"/>
        </w:rPr>
        <w:t xml:space="preserve"> </w:t>
      </w:r>
      <w:r w:rsidRPr="008912CF">
        <w:rPr>
          <w:rFonts w:eastAsia="Arial Unicode MS"/>
          <w:sz w:val="22"/>
          <w:szCs w:val="22"/>
        </w:rPr>
        <w:t>±</w:t>
      </w:r>
      <w:r w:rsidR="0029007D">
        <w:rPr>
          <w:rFonts w:eastAsia="Arial Unicode MS"/>
          <w:sz w:val="22"/>
          <w:szCs w:val="22"/>
        </w:rPr>
        <w:t xml:space="preserve"> </w:t>
      </w:r>
      <w:r w:rsidRPr="008912CF">
        <w:rPr>
          <w:rFonts w:eastAsia="Arial Unicode MS"/>
          <w:sz w:val="22"/>
          <w:szCs w:val="22"/>
        </w:rPr>
        <w:t>6</w:t>
      </w:r>
      <w:r w:rsidR="009343EF">
        <w:rPr>
          <w:rFonts w:eastAsia="Arial Unicode MS"/>
          <w:sz w:val="22"/>
          <w:szCs w:val="22"/>
        </w:rPr>
        <w:t>,</w:t>
      </w:r>
      <w:r w:rsidRPr="008912CF">
        <w:rPr>
          <w:rFonts w:eastAsia="Arial Unicode MS"/>
          <w:sz w:val="22"/>
          <w:szCs w:val="22"/>
        </w:rPr>
        <w:t>6</w:t>
      </w:r>
      <w:r>
        <w:rPr>
          <w:rFonts w:eastAsia="Arial Unicode MS"/>
          <w:sz w:val="22"/>
          <w:szCs w:val="22"/>
        </w:rPr>
        <w:t> </w:t>
      </w:r>
      <w:r w:rsidRPr="008912CF">
        <w:rPr>
          <w:rFonts w:ascii="Symbol" w:hAnsi="Symbol"/>
          <w:sz w:val="22"/>
          <w:szCs w:val="22"/>
        </w:rPr>
        <w:sym w:font="Symbol" w:char="F06D"/>
      </w:r>
      <w:r w:rsidRPr="008912CF">
        <w:rPr>
          <w:sz w:val="22"/>
          <w:szCs w:val="22"/>
        </w:rPr>
        <w:t xml:space="preserve">g/ml para doentes </w:t>
      </w:r>
      <w:r w:rsidRPr="008912CF">
        <w:rPr>
          <w:rFonts w:ascii="Symbol" w:hAnsi="Symbol"/>
          <w:sz w:val="22"/>
          <w:szCs w:val="22"/>
        </w:rPr>
        <w:sym w:font="Symbol" w:char="F0B3"/>
      </w:r>
      <w:r w:rsidRPr="008912CF">
        <w:rPr>
          <w:sz w:val="22"/>
          <w:szCs w:val="22"/>
        </w:rPr>
        <w:t> 40 kg (160/80</w:t>
      </w:r>
      <w:r>
        <w:rPr>
          <w:sz w:val="22"/>
          <w:szCs w:val="22"/>
        </w:rPr>
        <w:t> </w:t>
      </w:r>
      <w:r w:rsidRPr="008912CF">
        <w:rPr>
          <w:sz w:val="22"/>
          <w:szCs w:val="22"/>
        </w:rPr>
        <w:t xml:space="preserve">mg) e </w:t>
      </w:r>
      <w:r w:rsidRPr="008912CF">
        <w:rPr>
          <w:sz w:val="22"/>
          <w:szCs w:val="22"/>
          <w:lang w:eastAsia="en-GB"/>
        </w:rPr>
        <w:t>10</w:t>
      </w:r>
      <w:r w:rsidR="009343EF">
        <w:rPr>
          <w:sz w:val="22"/>
          <w:szCs w:val="22"/>
          <w:lang w:eastAsia="en-GB"/>
        </w:rPr>
        <w:t>,</w:t>
      </w:r>
      <w:r w:rsidRPr="008912CF">
        <w:rPr>
          <w:sz w:val="22"/>
          <w:szCs w:val="22"/>
          <w:lang w:eastAsia="en-GB"/>
        </w:rPr>
        <w:t>6</w:t>
      </w:r>
      <w:r w:rsidR="0029007D">
        <w:rPr>
          <w:sz w:val="22"/>
          <w:szCs w:val="22"/>
          <w:lang w:eastAsia="en-GB"/>
        </w:rPr>
        <w:t xml:space="preserve"> </w:t>
      </w:r>
      <w:r w:rsidRPr="008912CF">
        <w:rPr>
          <w:rFonts w:eastAsia="Arial Unicode MS"/>
          <w:sz w:val="22"/>
          <w:szCs w:val="22"/>
        </w:rPr>
        <w:t>±</w:t>
      </w:r>
      <w:r w:rsidR="0029007D">
        <w:rPr>
          <w:rFonts w:eastAsia="Arial Unicode MS"/>
          <w:sz w:val="22"/>
          <w:szCs w:val="22"/>
        </w:rPr>
        <w:t xml:space="preserve"> </w:t>
      </w:r>
      <w:r w:rsidRPr="008912CF">
        <w:rPr>
          <w:rFonts w:eastAsia="Arial Unicode MS"/>
          <w:sz w:val="22"/>
          <w:szCs w:val="22"/>
        </w:rPr>
        <w:t>6</w:t>
      </w:r>
      <w:r w:rsidR="009343EF">
        <w:rPr>
          <w:rFonts w:eastAsia="Arial Unicode MS"/>
          <w:sz w:val="22"/>
          <w:szCs w:val="22"/>
        </w:rPr>
        <w:t>,</w:t>
      </w:r>
      <w:r w:rsidRPr="008912CF">
        <w:rPr>
          <w:rFonts w:eastAsia="Arial Unicode MS"/>
          <w:sz w:val="22"/>
          <w:szCs w:val="22"/>
        </w:rPr>
        <w:t>1</w:t>
      </w:r>
      <w:r>
        <w:rPr>
          <w:rFonts w:eastAsia="Arial Unicode MS"/>
          <w:sz w:val="22"/>
          <w:szCs w:val="22"/>
        </w:rPr>
        <w:t> </w:t>
      </w:r>
      <w:r w:rsidRPr="008912CF">
        <w:rPr>
          <w:rFonts w:ascii="Symbol" w:hAnsi="Symbol"/>
          <w:sz w:val="22"/>
          <w:szCs w:val="22"/>
        </w:rPr>
        <w:sym w:font="Symbol" w:char="F06D"/>
      </w:r>
      <w:r w:rsidRPr="008912CF">
        <w:rPr>
          <w:sz w:val="22"/>
          <w:szCs w:val="22"/>
        </w:rPr>
        <w:t>g/ml para doentes &lt; 40 kg (80/40</w:t>
      </w:r>
      <w:r>
        <w:rPr>
          <w:sz w:val="22"/>
          <w:szCs w:val="22"/>
        </w:rPr>
        <w:t> </w:t>
      </w:r>
      <w:r w:rsidRPr="008912CF">
        <w:rPr>
          <w:sz w:val="22"/>
          <w:szCs w:val="22"/>
        </w:rPr>
        <w:t>mg).</w:t>
      </w:r>
    </w:p>
    <w:p w14:paraId="5D968FDB" w14:textId="77777777" w:rsidR="002F6811" w:rsidRPr="008912CF" w:rsidRDefault="002F6811" w:rsidP="002F6811">
      <w:pPr>
        <w:autoSpaceDE w:val="0"/>
        <w:autoSpaceDN w:val="0"/>
        <w:adjustRightInd w:val="0"/>
        <w:rPr>
          <w:sz w:val="22"/>
          <w:szCs w:val="22"/>
        </w:rPr>
      </w:pPr>
    </w:p>
    <w:p w14:paraId="7419B300" w14:textId="77777777" w:rsidR="002F6811" w:rsidRPr="008912CF" w:rsidRDefault="00615769" w:rsidP="002F6811">
      <w:pPr>
        <w:autoSpaceDE w:val="0"/>
        <w:autoSpaceDN w:val="0"/>
        <w:adjustRightInd w:val="0"/>
        <w:rPr>
          <w:sz w:val="22"/>
          <w:szCs w:val="22"/>
        </w:rPr>
      </w:pPr>
      <w:r w:rsidRPr="008912CF">
        <w:rPr>
          <w:sz w:val="22"/>
          <w:szCs w:val="22"/>
        </w:rPr>
        <w:t>Nos doentes que mantiveram a terapêutica randomizada, a média (±</w:t>
      </w:r>
      <w:r w:rsidR="0029007D">
        <w:rPr>
          <w:sz w:val="22"/>
          <w:szCs w:val="22"/>
        </w:rPr>
        <w:t xml:space="preserve"> </w:t>
      </w:r>
      <w:r w:rsidRPr="008912CF">
        <w:rPr>
          <w:sz w:val="22"/>
          <w:szCs w:val="22"/>
        </w:rPr>
        <w:t xml:space="preserve">DP) das concentrações séricas de </w:t>
      </w:r>
      <w:r w:rsidR="001729C1">
        <w:rPr>
          <w:sz w:val="22"/>
          <w:szCs w:val="22"/>
        </w:rPr>
        <w:t xml:space="preserve">vale de </w:t>
      </w:r>
      <w:r w:rsidRPr="008912CF">
        <w:rPr>
          <w:sz w:val="22"/>
          <w:szCs w:val="22"/>
        </w:rPr>
        <w:t xml:space="preserve">adalimumab na Semana 52 </w:t>
      </w:r>
      <w:r w:rsidR="001729C1">
        <w:rPr>
          <w:sz w:val="22"/>
          <w:szCs w:val="22"/>
        </w:rPr>
        <w:t>foi</w:t>
      </w:r>
      <w:r w:rsidR="001729C1" w:rsidRPr="008912CF">
        <w:rPr>
          <w:sz w:val="22"/>
          <w:szCs w:val="22"/>
        </w:rPr>
        <w:t xml:space="preserve"> </w:t>
      </w:r>
      <w:r w:rsidRPr="008912CF">
        <w:rPr>
          <w:sz w:val="22"/>
          <w:szCs w:val="22"/>
        </w:rPr>
        <w:t>de 9,5</w:t>
      </w:r>
      <w:r w:rsidR="0029007D">
        <w:rPr>
          <w:sz w:val="22"/>
          <w:szCs w:val="22"/>
        </w:rPr>
        <w:t xml:space="preserve"> </w:t>
      </w:r>
      <w:r w:rsidRPr="008912CF">
        <w:rPr>
          <w:sz w:val="22"/>
          <w:szCs w:val="22"/>
        </w:rPr>
        <w:t>±</w:t>
      </w:r>
      <w:r w:rsidR="0029007D">
        <w:rPr>
          <w:sz w:val="22"/>
          <w:szCs w:val="22"/>
        </w:rPr>
        <w:t xml:space="preserve"> </w:t>
      </w:r>
      <w:r w:rsidRPr="008912CF">
        <w:rPr>
          <w:sz w:val="22"/>
          <w:szCs w:val="22"/>
        </w:rPr>
        <w:t>5,6 </w:t>
      </w:r>
      <w:r w:rsidRPr="008912CF">
        <w:rPr>
          <w:rFonts w:ascii="Symbol" w:hAnsi="Symbol"/>
          <w:sz w:val="22"/>
          <w:szCs w:val="22"/>
        </w:rPr>
        <w:sym w:font="Symbol" w:char="F06D"/>
      </w:r>
      <w:r w:rsidRPr="008912CF">
        <w:rPr>
          <w:sz w:val="22"/>
          <w:szCs w:val="22"/>
        </w:rPr>
        <w:t>g/ml para o grupo Dose Padrão e 3,5</w:t>
      </w:r>
      <w:r w:rsidR="0029007D">
        <w:rPr>
          <w:sz w:val="22"/>
          <w:szCs w:val="22"/>
        </w:rPr>
        <w:t xml:space="preserve"> </w:t>
      </w:r>
      <w:r w:rsidRPr="008912CF">
        <w:rPr>
          <w:sz w:val="22"/>
          <w:szCs w:val="22"/>
        </w:rPr>
        <w:t>±</w:t>
      </w:r>
      <w:r w:rsidR="0029007D">
        <w:rPr>
          <w:sz w:val="22"/>
          <w:szCs w:val="22"/>
        </w:rPr>
        <w:t xml:space="preserve"> </w:t>
      </w:r>
      <w:r w:rsidRPr="008912CF">
        <w:rPr>
          <w:sz w:val="22"/>
          <w:szCs w:val="22"/>
        </w:rPr>
        <w:t>2,2 </w:t>
      </w:r>
      <w:r w:rsidRPr="008912CF">
        <w:rPr>
          <w:rFonts w:ascii="Symbol" w:hAnsi="Symbol"/>
          <w:sz w:val="22"/>
          <w:szCs w:val="22"/>
        </w:rPr>
        <w:sym w:font="Symbol" w:char="F06D"/>
      </w:r>
      <w:r w:rsidRPr="008912CF">
        <w:rPr>
          <w:sz w:val="22"/>
          <w:szCs w:val="22"/>
        </w:rPr>
        <w:t xml:space="preserve">g/ml para o grupo de Baixa Dose. As médias das concentrações </w:t>
      </w:r>
      <w:r w:rsidR="001729C1">
        <w:rPr>
          <w:sz w:val="22"/>
          <w:szCs w:val="22"/>
        </w:rPr>
        <w:t>de vale</w:t>
      </w:r>
      <w:r w:rsidR="001729C1" w:rsidRPr="008912CF">
        <w:rPr>
          <w:sz w:val="22"/>
          <w:szCs w:val="22"/>
        </w:rPr>
        <w:t xml:space="preserve"> </w:t>
      </w:r>
      <w:r w:rsidRPr="008912CF">
        <w:rPr>
          <w:sz w:val="22"/>
          <w:szCs w:val="22"/>
        </w:rPr>
        <w:t xml:space="preserve">foram mantidas em doentes que continuaram a receber o tratamento com adalimumab, em semanas alternadas, durante 52 semanas. Nos doentes em que a dose foi alterada do regime </w:t>
      </w:r>
      <w:r w:rsidR="00F21025">
        <w:rPr>
          <w:sz w:val="22"/>
          <w:szCs w:val="22"/>
        </w:rPr>
        <w:t xml:space="preserve">de </w:t>
      </w:r>
      <w:r w:rsidRPr="008912CF">
        <w:rPr>
          <w:sz w:val="22"/>
          <w:szCs w:val="22"/>
        </w:rPr>
        <w:t xml:space="preserve">semanas alternadas para </w:t>
      </w:r>
      <w:r w:rsidR="003B4BA6">
        <w:rPr>
          <w:sz w:val="22"/>
          <w:szCs w:val="22"/>
        </w:rPr>
        <w:t xml:space="preserve">regime </w:t>
      </w:r>
      <w:r w:rsidRPr="008912CF">
        <w:rPr>
          <w:sz w:val="22"/>
          <w:szCs w:val="22"/>
        </w:rPr>
        <w:t>semanal, a</w:t>
      </w:r>
      <w:r w:rsidR="001729C1">
        <w:rPr>
          <w:sz w:val="22"/>
          <w:szCs w:val="22"/>
        </w:rPr>
        <w:t>s</w:t>
      </w:r>
      <w:r w:rsidRPr="008912CF">
        <w:rPr>
          <w:sz w:val="22"/>
          <w:szCs w:val="22"/>
        </w:rPr>
        <w:t xml:space="preserve"> média</w:t>
      </w:r>
      <w:r w:rsidR="001729C1">
        <w:rPr>
          <w:sz w:val="22"/>
          <w:szCs w:val="22"/>
        </w:rPr>
        <w:t>s</w:t>
      </w:r>
      <w:r w:rsidRPr="008912CF">
        <w:rPr>
          <w:sz w:val="22"/>
          <w:szCs w:val="22"/>
        </w:rPr>
        <w:t xml:space="preserve"> (±</w:t>
      </w:r>
      <w:r w:rsidR="0029007D">
        <w:rPr>
          <w:sz w:val="22"/>
          <w:szCs w:val="22"/>
        </w:rPr>
        <w:t xml:space="preserve"> </w:t>
      </w:r>
      <w:r w:rsidRPr="008912CF">
        <w:rPr>
          <w:sz w:val="22"/>
          <w:szCs w:val="22"/>
        </w:rPr>
        <w:t>DP) das concentrações séricas de adalimumab na Semana 52 foram 15,3</w:t>
      </w:r>
      <w:r w:rsidR="0029007D">
        <w:rPr>
          <w:sz w:val="22"/>
          <w:szCs w:val="22"/>
        </w:rPr>
        <w:t xml:space="preserve"> </w:t>
      </w:r>
      <w:r w:rsidRPr="008912CF">
        <w:rPr>
          <w:sz w:val="22"/>
          <w:szCs w:val="22"/>
        </w:rPr>
        <w:t>±</w:t>
      </w:r>
      <w:r w:rsidR="0029007D">
        <w:rPr>
          <w:sz w:val="22"/>
          <w:szCs w:val="22"/>
        </w:rPr>
        <w:t xml:space="preserve"> </w:t>
      </w:r>
      <w:r w:rsidRPr="008912CF">
        <w:rPr>
          <w:sz w:val="22"/>
          <w:szCs w:val="22"/>
        </w:rPr>
        <w:t>11,4 μg/ml (40/20</w:t>
      </w:r>
      <w:r>
        <w:rPr>
          <w:sz w:val="22"/>
          <w:szCs w:val="22"/>
        </w:rPr>
        <w:t> </w:t>
      </w:r>
      <w:r w:rsidRPr="008912CF">
        <w:rPr>
          <w:sz w:val="22"/>
          <w:szCs w:val="22"/>
        </w:rPr>
        <w:t>mg, semanalmente) e 6,7</w:t>
      </w:r>
      <w:r w:rsidR="0029007D">
        <w:rPr>
          <w:sz w:val="22"/>
          <w:szCs w:val="22"/>
        </w:rPr>
        <w:t xml:space="preserve"> </w:t>
      </w:r>
      <w:r w:rsidRPr="008912CF">
        <w:rPr>
          <w:sz w:val="22"/>
          <w:szCs w:val="22"/>
        </w:rPr>
        <w:t>±</w:t>
      </w:r>
      <w:r w:rsidR="0029007D">
        <w:rPr>
          <w:sz w:val="22"/>
          <w:szCs w:val="22"/>
        </w:rPr>
        <w:t xml:space="preserve"> </w:t>
      </w:r>
      <w:r w:rsidRPr="008912CF">
        <w:rPr>
          <w:sz w:val="22"/>
          <w:szCs w:val="22"/>
        </w:rPr>
        <w:t>3,5</w:t>
      </w:r>
      <w:r>
        <w:rPr>
          <w:sz w:val="22"/>
          <w:szCs w:val="22"/>
        </w:rPr>
        <w:t> </w:t>
      </w:r>
      <w:r w:rsidRPr="008912CF">
        <w:rPr>
          <w:sz w:val="22"/>
          <w:szCs w:val="22"/>
        </w:rPr>
        <w:t>μg/ml (20/10</w:t>
      </w:r>
      <w:r>
        <w:rPr>
          <w:sz w:val="22"/>
          <w:szCs w:val="22"/>
        </w:rPr>
        <w:t> </w:t>
      </w:r>
      <w:r w:rsidRPr="008912CF">
        <w:rPr>
          <w:sz w:val="22"/>
          <w:szCs w:val="22"/>
        </w:rPr>
        <w:t>mg, semanalmente).</w:t>
      </w:r>
    </w:p>
    <w:p w14:paraId="18F4FD2A" w14:textId="77777777" w:rsidR="002F6811" w:rsidRDefault="002F6811" w:rsidP="002F6811">
      <w:pPr>
        <w:rPr>
          <w:sz w:val="22"/>
          <w:szCs w:val="22"/>
        </w:rPr>
      </w:pPr>
    </w:p>
    <w:p w14:paraId="09A0F8F8" w14:textId="77777777" w:rsidR="002F6811" w:rsidRDefault="00615769" w:rsidP="002F6811">
      <w:pPr>
        <w:rPr>
          <w:sz w:val="22"/>
          <w:szCs w:val="22"/>
        </w:rPr>
      </w:pPr>
      <w:r>
        <w:rPr>
          <w:sz w:val="22"/>
          <w:szCs w:val="22"/>
        </w:rPr>
        <w:t>A exposição de</w:t>
      </w:r>
      <w:r w:rsidRPr="00CC4B51">
        <w:rPr>
          <w:sz w:val="22"/>
          <w:szCs w:val="22"/>
        </w:rPr>
        <w:t xml:space="preserve"> adalimumab em doentes </w:t>
      </w:r>
      <w:r>
        <w:rPr>
          <w:sz w:val="22"/>
          <w:szCs w:val="22"/>
        </w:rPr>
        <w:t>pediátricos com uveíte</w:t>
      </w:r>
      <w:r w:rsidRPr="00CC4B51">
        <w:rPr>
          <w:sz w:val="22"/>
          <w:szCs w:val="22"/>
        </w:rPr>
        <w:t xml:space="preserve"> foi </w:t>
      </w:r>
      <w:r>
        <w:rPr>
          <w:sz w:val="22"/>
          <w:szCs w:val="22"/>
        </w:rPr>
        <w:t>avaliada</w:t>
      </w:r>
      <w:r w:rsidRPr="00CC4B51">
        <w:rPr>
          <w:sz w:val="22"/>
          <w:szCs w:val="22"/>
        </w:rPr>
        <w:t xml:space="preserve"> utilizando modelos farmacocinéticos e de simulação na população, baseados na farmacocinética nas várias indicações em outros doentes pediátricos (psoríase pediátrica, artrite idiopática juvenil, doença de Crohn pediátrica e artrite relacionada com entesite).</w:t>
      </w:r>
      <w:r>
        <w:rPr>
          <w:sz w:val="22"/>
          <w:szCs w:val="22"/>
        </w:rPr>
        <w:t xml:space="preserve"> Não existem dados clínicos de exposição sobre a utilização de uma dose de carga em crianças &lt; 6 anos de idade. As exposições avaliadas indicam que na ausência de metotrexato, uma dose de carga p</w:t>
      </w:r>
      <w:r>
        <w:rPr>
          <w:sz w:val="22"/>
          <w:szCs w:val="22"/>
        </w:rPr>
        <w:t>ode levar a um aumento inicial da exposição sistémica.</w:t>
      </w:r>
    </w:p>
    <w:p w14:paraId="7F7C0B38" w14:textId="77777777" w:rsidR="00CF6E91" w:rsidRDefault="00CF6E91" w:rsidP="002F6811">
      <w:pPr>
        <w:rPr>
          <w:sz w:val="22"/>
          <w:szCs w:val="22"/>
        </w:rPr>
      </w:pPr>
    </w:p>
    <w:p w14:paraId="54C76E56" w14:textId="77777777" w:rsidR="00DA0040" w:rsidRDefault="00615769" w:rsidP="002F6811">
      <w:pPr>
        <w:rPr>
          <w:bCs/>
          <w:iCs/>
          <w:sz w:val="22"/>
          <w:szCs w:val="22"/>
        </w:rPr>
      </w:pPr>
      <w:r w:rsidRPr="00AA7352">
        <w:rPr>
          <w:sz w:val="22"/>
          <w:szCs w:val="22"/>
          <w:u w:val="single"/>
        </w:rPr>
        <w:t>R</w:t>
      </w:r>
      <w:r w:rsidR="00E307C2" w:rsidRPr="00AA7352">
        <w:rPr>
          <w:sz w:val="22"/>
          <w:szCs w:val="22"/>
          <w:u w:val="single"/>
        </w:rPr>
        <w:t>elação da</w:t>
      </w:r>
      <w:r w:rsidRPr="00AA7352">
        <w:rPr>
          <w:sz w:val="22"/>
          <w:szCs w:val="22"/>
          <w:u w:val="single"/>
        </w:rPr>
        <w:t xml:space="preserve"> exposição-resposta na população pediátrica</w:t>
      </w:r>
    </w:p>
    <w:p w14:paraId="01E0B0FD" w14:textId="77777777" w:rsidR="00E307C2" w:rsidRDefault="00615769" w:rsidP="002F6811">
      <w:r>
        <w:rPr>
          <w:bCs/>
          <w:iCs/>
          <w:sz w:val="22"/>
          <w:szCs w:val="22"/>
        </w:rPr>
        <w:t xml:space="preserve">Com base nos dados obtidos dos ensaios clínicos efetuados em doentes com AIJ (AIJ poliarticular e ARE), </w:t>
      </w:r>
      <w:r w:rsidR="00E721EF">
        <w:rPr>
          <w:bCs/>
          <w:iCs/>
          <w:sz w:val="22"/>
          <w:szCs w:val="22"/>
        </w:rPr>
        <w:t xml:space="preserve">foi estabelecida </w:t>
      </w:r>
      <w:r>
        <w:rPr>
          <w:bCs/>
          <w:iCs/>
          <w:sz w:val="22"/>
          <w:szCs w:val="22"/>
        </w:rPr>
        <w:t>uma relação da exposição-resposta</w:t>
      </w:r>
      <w:r w:rsidR="00E721EF">
        <w:rPr>
          <w:bCs/>
          <w:iCs/>
          <w:sz w:val="22"/>
          <w:szCs w:val="22"/>
        </w:rPr>
        <w:t xml:space="preserve"> entre as concentrações plasm</w:t>
      </w:r>
      <w:r w:rsidR="00D41FC8">
        <w:rPr>
          <w:bCs/>
          <w:iCs/>
          <w:sz w:val="22"/>
          <w:szCs w:val="22"/>
        </w:rPr>
        <w:t>áticas</w:t>
      </w:r>
      <w:r w:rsidR="003B4BA6">
        <w:rPr>
          <w:bCs/>
          <w:iCs/>
          <w:sz w:val="22"/>
          <w:szCs w:val="22"/>
        </w:rPr>
        <w:t xml:space="preserve"> </w:t>
      </w:r>
      <w:r w:rsidR="00E721EF">
        <w:rPr>
          <w:bCs/>
          <w:iCs/>
          <w:sz w:val="22"/>
          <w:szCs w:val="22"/>
        </w:rPr>
        <w:t>e a resposta PedACR 50. A concentração plasmática aparente de adalimumab que produz metade da prob</w:t>
      </w:r>
      <w:r w:rsidR="00FF0C95">
        <w:rPr>
          <w:bCs/>
          <w:iCs/>
          <w:sz w:val="22"/>
          <w:szCs w:val="22"/>
        </w:rPr>
        <w:t>a</w:t>
      </w:r>
      <w:r w:rsidR="00AA7183">
        <w:rPr>
          <w:bCs/>
          <w:iCs/>
          <w:sz w:val="22"/>
          <w:szCs w:val="22"/>
        </w:rPr>
        <w:t>bi</w:t>
      </w:r>
      <w:r w:rsidR="00E721EF">
        <w:rPr>
          <w:bCs/>
          <w:iCs/>
          <w:sz w:val="22"/>
          <w:szCs w:val="22"/>
        </w:rPr>
        <w:t>lidade máxima de resposta PedACR 50 (EC50) foi de</w:t>
      </w:r>
      <w:r>
        <w:rPr>
          <w:bCs/>
          <w:iCs/>
          <w:sz w:val="22"/>
          <w:szCs w:val="22"/>
        </w:rPr>
        <w:t xml:space="preserve"> </w:t>
      </w:r>
      <w:r w:rsidR="00E721EF" w:rsidRPr="008D6D3A">
        <w:rPr>
          <w:sz w:val="22"/>
          <w:szCs w:val="22"/>
        </w:rPr>
        <w:t>3 </w:t>
      </w:r>
      <w:r w:rsidR="00E721EF" w:rsidRPr="008D6D3A">
        <w:rPr>
          <w:sz w:val="22"/>
          <w:szCs w:val="22"/>
          <w:lang w:val="en-GB"/>
        </w:rPr>
        <w:t>μ</w:t>
      </w:r>
      <w:r w:rsidR="00E721EF" w:rsidRPr="008D6D3A">
        <w:rPr>
          <w:sz w:val="22"/>
          <w:szCs w:val="22"/>
        </w:rPr>
        <w:t>g/ml (95% CI: 1</w:t>
      </w:r>
      <w:r w:rsidR="00E721EF" w:rsidRPr="008D6D3A">
        <w:rPr>
          <w:sz w:val="22"/>
          <w:szCs w:val="22"/>
        </w:rPr>
        <w:noBreakHyphen/>
        <w:t>6 </w:t>
      </w:r>
      <w:r w:rsidR="00E721EF" w:rsidRPr="008D6D3A">
        <w:rPr>
          <w:sz w:val="22"/>
          <w:szCs w:val="22"/>
          <w:lang w:val="en-GB"/>
        </w:rPr>
        <w:t>μ</w:t>
      </w:r>
      <w:r w:rsidR="00E721EF" w:rsidRPr="008D6D3A">
        <w:rPr>
          <w:sz w:val="22"/>
          <w:szCs w:val="22"/>
        </w:rPr>
        <w:t>g/ml).</w:t>
      </w:r>
    </w:p>
    <w:p w14:paraId="23F281ED" w14:textId="77777777" w:rsidR="00E721EF" w:rsidRDefault="00E721EF" w:rsidP="002F6811"/>
    <w:p w14:paraId="296F146D" w14:textId="77777777" w:rsidR="00E721EF" w:rsidRPr="00603D9C" w:rsidRDefault="00615769" w:rsidP="002F6811">
      <w:pPr>
        <w:rPr>
          <w:bCs/>
          <w:iCs/>
          <w:sz w:val="22"/>
          <w:szCs w:val="22"/>
        </w:rPr>
      </w:pPr>
      <w:r>
        <w:rPr>
          <w:bCs/>
          <w:iCs/>
          <w:sz w:val="22"/>
          <w:szCs w:val="22"/>
        </w:rPr>
        <w:t xml:space="preserve">As relações de exposição-resposta entre a concentração de adalimumab e a eficácia em doentes pediátricos </w:t>
      </w:r>
      <w:r w:rsidR="00603D9C">
        <w:rPr>
          <w:bCs/>
          <w:iCs/>
          <w:sz w:val="22"/>
          <w:szCs w:val="22"/>
        </w:rPr>
        <w:t xml:space="preserve">com psoríase em placas crónica foram estabelecidas em PASI 75 e PGA </w:t>
      </w:r>
      <w:r w:rsidR="00331BCF">
        <w:rPr>
          <w:bCs/>
          <w:iCs/>
          <w:sz w:val="22"/>
          <w:szCs w:val="22"/>
        </w:rPr>
        <w:t>limpo</w:t>
      </w:r>
      <w:r w:rsidR="00603D9C">
        <w:rPr>
          <w:bCs/>
          <w:iCs/>
          <w:sz w:val="22"/>
          <w:szCs w:val="22"/>
        </w:rPr>
        <w:t xml:space="preserve"> ou mínim</w:t>
      </w:r>
      <w:r w:rsidR="00331BCF">
        <w:rPr>
          <w:bCs/>
          <w:iCs/>
          <w:sz w:val="22"/>
          <w:szCs w:val="22"/>
        </w:rPr>
        <w:t>o</w:t>
      </w:r>
      <w:r w:rsidR="00603D9C">
        <w:rPr>
          <w:bCs/>
          <w:iCs/>
          <w:sz w:val="22"/>
          <w:szCs w:val="22"/>
        </w:rPr>
        <w:t xml:space="preserve">, respetivamente. </w:t>
      </w:r>
      <w:r w:rsidR="00603D9C" w:rsidRPr="00784C05">
        <w:rPr>
          <w:bCs/>
          <w:iCs/>
          <w:sz w:val="22"/>
          <w:szCs w:val="22"/>
        </w:rPr>
        <w:t xml:space="preserve">PASI 75 e PGA </w:t>
      </w:r>
      <w:r w:rsidR="00331BCF" w:rsidRPr="00784C05">
        <w:rPr>
          <w:bCs/>
          <w:iCs/>
          <w:sz w:val="22"/>
          <w:szCs w:val="22"/>
        </w:rPr>
        <w:t>limpo</w:t>
      </w:r>
      <w:r w:rsidR="00603D9C" w:rsidRPr="00784C05">
        <w:rPr>
          <w:bCs/>
          <w:iCs/>
          <w:sz w:val="22"/>
          <w:szCs w:val="22"/>
        </w:rPr>
        <w:t xml:space="preserve"> ou mínim</w:t>
      </w:r>
      <w:r w:rsidR="00331BCF" w:rsidRPr="00784C05">
        <w:rPr>
          <w:bCs/>
          <w:iCs/>
          <w:sz w:val="22"/>
          <w:szCs w:val="22"/>
        </w:rPr>
        <w:t>o</w:t>
      </w:r>
      <w:r w:rsidR="00603D9C" w:rsidRPr="00784C05">
        <w:rPr>
          <w:bCs/>
          <w:iCs/>
          <w:sz w:val="22"/>
          <w:szCs w:val="22"/>
        </w:rPr>
        <w:t xml:space="preserve"> aumentaram com o aumento das concentrações de adalimumab, ambas com um EC50 aparentemente idêntico de aproximadamente 4,5</w:t>
      </w:r>
      <w:r w:rsidR="00603D9C" w:rsidRPr="00DF5632">
        <w:rPr>
          <w:sz w:val="22"/>
          <w:szCs w:val="22"/>
        </w:rPr>
        <w:t> </w:t>
      </w:r>
      <w:r w:rsidR="00603D9C" w:rsidRPr="00DF5632">
        <w:rPr>
          <w:sz w:val="22"/>
          <w:szCs w:val="22"/>
          <w:lang w:val="en-GB"/>
        </w:rPr>
        <w:t>μ</w:t>
      </w:r>
      <w:r w:rsidR="00603D9C" w:rsidRPr="00DF5632">
        <w:rPr>
          <w:sz w:val="22"/>
          <w:szCs w:val="22"/>
        </w:rPr>
        <w:t>g/ml (95% CI 0,4-47,6 e 1,9-10,5, respetivamente</w:t>
      </w:r>
      <w:r w:rsidR="00784C05" w:rsidRPr="00DF5632">
        <w:rPr>
          <w:sz w:val="22"/>
          <w:szCs w:val="22"/>
        </w:rPr>
        <w:t>).</w:t>
      </w:r>
    </w:p>
    <w:p w14:paraId="256F7456" w14:textId="77777777" w:rsidR="00E307C2" w:rsidRDefault="00E307C2" w:rsidP="002F6811">
      <w:pPr>
        <w:rPr>
          <w:bCs/>
          <w:iCs/>
          <w:sz w:val="22"/>
          <w:szCs w:val="22"/>
        </w:rPr>
      </w:pPr>
    </w:p>
    <w:p w14:paraId="3FCEDFCF" w14:textId="77777777" w:rsidR="002F6811" w:rsidRPr="008912CF" w:rsidRDefault="00615769" w:rsidP="002F6811">
      <w:pPr>
        <w:autoSpaceDE w:val="0"/>
        <w:autoSpaceDN w:val="0"/>
        <w:adjustRightInd w:val="0"/>
        <w:rPr>
          <w:sz w:val="22"/>
          <w:szCs w:val="22"/>
          <w:u w:val="single"/>
        </w:rPr>
      </w:pPr>
      <w:r w:rsidRPr="008912CF">
        <w:rPr>
          <w:sz w:val="22"/>
          <w:szCs w:val="22"/>
          <w:u w:val="single"/>
        </w:rPr>
        <w:t>Adultos</w:t>
      </w:r>
    </w:p>
    <w:p w14:paraId="7E6CD67F" w14:textId="77777777" w:rsidR="002F6811" w:rsidRPr="008912CF" w:rsidRDefault="002F6811" w:rsidP="002F6811">
      <w:pPr>
        <w:autoSpaceDE w:val="0"/>
        <w:autoSpaceDN w:val="0"/>
        <w:adjustRightInd w:val="0"/>
        <w:rPr>
          <w:sz w:val="22"/>
          <w:szCs w:val="22"/>
        </w:rPr>
      </w:pPr>
    </w:p>
    <w:p w14:paraId="306DBF39" w14:textId="77777777" w:rsidR="002F6811" w:rsidRPr="008912CF" w:rsidRDefault="00615769" w:rsidP="002F6811">
      <w:pPr>
        <w:autoSpaceDE w:val="0"/>
        <w:autoSpaceDN w:val="0"/>
        <w:adjustRightInd w:val="0"/>
        <w:rPr>
          <w:sz w:val="22"/>
          <w:szCs w:val="22"/>
        </w:rPr>
      </w:pPr>
      <w:r w:rsidRPr="008912CF">
        <w:rPr>
          <w:sz w:val="22"/>
          <w:szCs w:val="22"/>
        </w:rPr>
        <w:t>Após a administração subcutânea de uma dose única de 40 mg, a absorção e distribuição de adalimumab foram lentas, sendo os picos das concentrações séricas atingidos cerca de 5 dias após a administração. A biodisponibilidade absoluta média de adalimumab foi de 64</w:t>
      </w:r>
      <w:r w:rsidR="009343EF">
        <w:rPr>
          <w:sz w:val="22"/>
          <w:szCs w:val="22"/>
        </w:rPr>
        <w:t>%</w:t>
      </w:r>
      <w:r w:rsidRPr="008912CF">
        <w:rPr>
          <w:sz w:val="22"/>
          <w:szCs w:val="22"/>
        </w:rPr>
        <w:t>, calculada a partir de três estudos após uma dose subcutânea única de 40 mg. Após a administração de doses intravenosas únicas compreendidas entre 0,25 e 10 mg/kg, as concentrações foram proporcionais à dose. Após doses de 0,5 mg/kg (~ 40 mg) as depurações variaram entre 11 e 15 ml/hora, o volume de distribuição (V</w:t>
      </w:r>
      <w:r w:rsidRPr="008912CF">
        <w:rPr>
          <w:sz w:val="22"/>
          <w:szCs w:val="22"/>
          <w:vertAlign w:val="subscript"/>
        </w:rPr>
        <w:t>ss</w:t>
      </w:r>
      <w:r w:rsidRPr="008912CF">
        <w:rPr>
          <w:sz w:val="22"/>
          <w:szCs w:val="22"/>
        </w:rPr>
        <w:t>) variou entre 5 e 6 litros e a semi</w:t>
      </w:r>
      <w:r w:rsidR="00784C05">
        <w:rPr>
          <w:sz w:val="22"/>
          <w:szCs w:val="22"/>
        </w:rPr>
        <w:t>-</w:t>
      </w:r>
      <w:r w:rsidRPr="008912CF">
        <w:rPr>
          <w:sz w:val="22"/>
          <w:szCs w:val="22"/>
        </w:rPr>
        <w:t>vida média da fase terminal foi de aproximadamente duas semanas. As concentrações de adalimumab no líquido sinovial de vários doentes com artrite reumatoid</w:t>
      </w:r>
      <w:r w:rsidRPr="008912CF">
        <w:rPr>
          <w:sz w:val="22"/>
          <w:szCs w:val="22"/>
        </w:rPr>
        <w:t>e variaram entre 31-96</w:t>
      </w:r>
      <w:r w:rsidR="009343EF">
        <w:rPr>
          <w:sz w:val="22"/>
          <w:szCs w:val="22"/>
        </w:rPr>
        <w:t>%</w:t>
      </w:r>
      <w:r w:rsidRPr="008912CF">
        <w:rPr>
          <w:sz w:val="22"/>
          <w:szCs w:val="22"/>
        </w:rPr>
        <w:t xml:space="preserve"> relativamente às concentrações séricas.</w:t>
      </w:r>
    </w:p>
    <w:p w14:paraId="7D4DB58F" w14:textId="77777777" w:rsidR="002F6811" w:rsidRPr="008912CF" w:rsidRDefault="002F6811" w:rsidP="002F6811">
      <w:pPr>
        <w:autoSpaceDE w:val="0"/>
        <w:autoSpaceDN w:val="0"/>
        <w:adjustRightInd w:val="0"/>
        <w:rPr>
          <w:sz w:val="22"/>
          <w:szCs w:val="22"/>
        </w:rPr>
      </w:pPr>
    </w:p>
    <w:p w14:paraId="293B3692" w14:textId="77777777" w:rsidR="002F6811" w:rsidRPr="008912CF" w:rsidRDefault="00615769" w:rsidP="002F6811">
      <w:pPr>
        <w:pStyle w:val="BodyText2"/>
        <w:rPr>
          <w:szCs w:val="22"/>
        </w:rPr>
      </w:pPr>
      <w:r w:rsidRPr="008912CF">
        <w:rPr>
          <w:szCs w:val="22"/>
        </w:rPr>
        <w:t>Após a administração subcutânea de 40 mg de adalimumab em semanas alternadas em doentes adultos com artrite reumatoide (AR) as concentrações médias de vale em estado de equilíbrio foram de aproximadamente 5 </w:t>
      </w:r>
      <w:r w:rsidRPr="008912CF">
        <w:rPr>
          <w:rFonts w:ascii="Symbol" w:hAnsi="Symbol"/>
          <w:szCs w:val="22"/>
        </w:rPr>
        <w:sym w:font="Symbol" w:char="F06D"/>
      </w:r>
      <w:r w:rsidRPr="008912CF">
        <w:rPr>
          <w:szCs w:val="22"/>
        </w:rPr>
        <w:t>g/ml (sem administração concomitante de metotrexato) e de 8 a 9 </w:t>
      </w:r>
      <w:r w:rsidRPr="008912CF">
        <w:rPr>
          <w:rFonts w:ascii="Symbol" w:hAnsi="Symbol"/>
          <w:szCs w:val="22"/>
        </w:rPr>
        <w:sym w:font="Symbol" w:char="F06D"/>
      </w:r>
      <w:r w:rsidRPr="008912CF">
        <w:rPr>
          <w:szCs w:val="22"/>
        </w:rPr>
        <w:t>g/ml (com administração concomitante de metotrexato), respetivamente. Os níveis séricos de vale de adalimumab em estado de equilíbrio aumentaram quase proporcionalmente à dose após a administração por via subcutânea de 20, 40 e 80 mg em semanas alternadas e semanalmente.</w:t>
      </w:r>
    </w:p>
    <w:p w14:paraId="5FA9502F" w14:textId="77777777" w:rsidR="002F6811" w:rsidRPr="008912CF" w:rsidRDefault="002F6811" w:rsidP="002F6811">
      <w:pPr>
        <w:rPr>
          <w:sz w:val="22"/>
          <w:szCs w:val="22"/>
        </w:rPr>
      </w:pPr>
    </w:p>
    <w:p w14:paraId="7D761069" w14:textId="77777777" w:rsidR="002F6811" w:rsidRPr="008912CF" w:rsidRDefault="00615769" w:rsidP="002F6811">
      <w:pPr>
        <w:rPr>
          <w:rFonts w:eastAsia="SimSun"/>
          <w:sz w:val="22"/>
          <w:szCs w:val="22"/>
          <w:lang w:eastAsia="zh-CN"/>
        </w:rPr>
      </w:pPr>
      <w:r w:rsidRPr="008912CF">
        <w:rPr>
          <w:sz w:val="22"/>
          <w:szCs w:val="22"/>
        </w:rPr>
        <w:t xml:space="preserve">Em doentes </w:t>
      </w:r>
      <w:r w:rsidR="0036673C">
        <w:rPr>
          <w:sz w:val="22"/>
          <w:szCs w:val="22"/>
        </w:rPr>
        <w:t xml:space="preserve">adultos </w:t>
      </w:r>
      <w:r w:rsidRPr="008912CF">
        <w:rPr>
          <w:sz w:val="22"/>
          <w:szCs w:val="22"/>
        </w:rPr>
        <w:t>com psoríase em tratamento com adalimumab 40 mg em semanas alternadas, em monoterapia, a</w:t>
      </w:r>
      <w:r w:rsidR="004D2A92">
        <w:rPr>
          <w:sz w:val="22"/>
          <w:szCs w:val="22"/>
        </w:rPr>
        <w:t xml:space="preserve"> média da</w:t>
      </w:r>
      <w:r w:rsidRPr="008912CF">
        <w:rPr>
          <w:sz w:val="22"/>
          <w:szCs w:val="22"/>
        </w:rPr>
        <w:t xml:space="preserve"> concentração </w:t>
      </w:r>
      <w:r w:rsidR="004D2A92">
        <w:rPr>
          <w:sz w:val="22"/>
          <w:szCs w:val="22"/>
        </w:rPr>
        <w:t>de vale</w:t>
      </w:r>
      <w:r w:rsidRPr="008912CF">
        <w:rPr>
          <w:sz w:val="22"/>
          <w:szCs w:val="22"/>
        </w:rPr>
        <w:t xml:space="preserve"> em estado de equilíbrio foi de 5 </w:t>
      </w:r>
      <w:r w:rsidRPr="008912CF">
        <w:rPr>
          <w:rFonts w:ascii="Symbol" w:hAnsi="Symbol"/>
          <w:sz w:val="22"/>
          <w:szCs w:val="22"/>
        </w:rPr>
        <w:sym w:font="Symbol" w:char="F06D"/>
      </w:r>
      <w:r w:rsidRPr="008912CF">
        <w:rPr>
          <w:sz w:val="22"/>
          <w:szCs w:val="22"/>
        </w:rPr>
        <w:t>g/ml.</w:t>
      </w:r>
    </w:p>
    <w:p w14:paraId="35607738" w14:textId="77777777" w:rsidR="002F6811" w:rsidRDefault="002F6811" w:rsidP="002F6811">
      <w:pPr>
        <w:pStyle w:val="EndnoteText"/>
        <w:tabs>
          <w:tab w:val="clear" w:pos="567"/>
        </w:tabs>
        <w:autoSpaceDE w:val="0"/>
        <w:autoSpaceDN w:val="0"/>
        <w:adjustRightInd w:val="0"/>
        <w:rPr>
          <w:szCs w:val="22"/>
        </w:rPr>
      </w:pPr>
    </w:p>
    <w:p w14:paraId="50CA688C" w14:textId="77777777" w:rsidR="00603D9C" w:rsidRPr="008912CF" w:rsidRDefault="00615769" w:rsidP="00603D9C">
      <w:pPr>
        <w:rPr>
          <w:sz w:val="22"/>
          <w:szCs w:val="22"/>
        </w:rPr>
      </w:pPr>
      <w:r w:rsidRPr="008912CF">
        <w:rPr>
          <w:sz w:val="22"/>
          <w:szCs w:val="22"/>
        </w:rPr>
        <w:t xml:space="preserve">Em doentes com doença de Crohn, a dose de carga de 80 mg de Humira na Semana 0 seguida de 40 mg de Humira na Semana 2 atinge uma concentração sérica </w:t>
      </w:r>
      <w:r w:rsidR="001729C1">
        <w:rPr>
          <w:sz w:val="22"/>
          <w:szCs w:val="22"/>
        </w:rPr>
        <w:t xml:space="preserve">de vale </w:t>
      </w:r>
      <w:r w:rsidRPr="008912CF">
        <w:rPr>
          <w:sz w:val="22"/>
          <w:szCs w:val="22"/>
        </w:rPr>
        <w:t>de adalimumab de aproximadamente 5,5 </w:t>
      </w:r>
      <w:r w:rsidRPr="008912CF">
        <w:rPr>
          <w:rFonts w:ascii="Symbol" w:hAnsi="Symbol"/>
          <w:sz w:val="22"/>
          <w:szCs w:val="22"/>
        </w:rPr>
        <w:sym w:font="Symbol" w:char="F06D"/>
      </w:r>
      <w:r w:rsidRPr="008912CF">
        <w:rPr>
          <w:sz w:val="22"/>
          <w:szCs w:val="22"/>
        </w:rPr>
        <w:t xml:space="preserve">g/ml durante o período de indução. Uma dose de carga de 160 mg de Humira na Semana 0 seguida de 80 mg de Humira na Semana 2 alcança uma concentração sérica </w:t>
      </w:r>
      <w:r w:rsidR="001729C1">
        <w:rPr>
          <w:sz w:val="22"/>
          <w:szCs w:val="22"/>
        </w:rPr>
        <w:t xml:space="preserve">de vale </w:t>
      </w:r>
      <w:r w:rsidRPr="008912CF">
        <w:rPr>
          <w:sz w:val="22"/>
          <w:szCs w:val="22"/>
        </w:rPr>
        <w:t>de adalimumab de aproximadamente 12 </w:t>
      </w:r>
      <w:r w:rsidRPr="008912CF">
        <w:rPr>
          <w:rFonts w:ascii="Symbol" w:hAnsi="Symbol"/>
          <w:sz w:val="22"/>
          <w:szCs w:val="22"/>
        </w:rPr>
        <w:sym w:font="Symbol" w:char="F06D"/>
      </w:r>
      <w:r w:rsidRPr="008912CF">
        <w:rPr>
          <w:sz w:val="22"/>
          <w:szCs w:val="22"/>
        </w:rPr>
        <w:t xml:space="preserve">g/ml durante o período de indução. Observaram-se níveis médios </w:t>
      </w:r>
      <w:r w:rsidR="001729C1">
        <w:rPr>
          <w:sz w:val="22"/>
          <w:szCs w:val="22"/>
        </w:rPr>
        <w:t xml:space="preserve">de vale </w:t>
      </w:r>
      <w:r w:rsidRPr="008912CF">
        <w:rPr>
          <w:sz w:val="22"/>
          <w:szCs w:val="22"/>
        </w:rPr>
        <w:t>em estado de equilíbrio de aproximadamente 7 </w:t>
      </w:r>
      <w:r w:rsidRPr="008912CF">
        <w:rPr>
          <w:rFonts w:ascii="Symbol" w:hAnsi="Symbol"/>
          <w:sz w:val="22"/>
          <w:szCs w:val="22"/>
        </w:rPr>
        <w:sym w:font="Symbol" w:char="F06D"/>
      </w:r>
      <w:r w:rsidRPr="008912CF">
        <w:rPr>
          <w:sz w:val="22"/>
          <w:szCs w:val="22"/>
        </w:rPr>
        <w:t>g/ml em doentes com doença de Crohn que receberam uma dose de manutenção de 40 mg de Humira em semanas alternadas.</w:t>
      </w:r>
    </w:p>
    <w:p w14:paraId="0019AE76" w14:textId="77777777" w:rsidR="00603D9C" w:rsidRDefault="00603D9C" w:rsidP="00F03C54"/>
    <w:p w14:paraId="7446920C" w14:textId="77777777" w:rsidR="00603D9C" w:rsidRPr="00765805" w:rsidRDefault="00615769" w:rsidP="00F03C54">
      <w:pPr>
        <w:rPr>
          <w:szCs w:val="22"/>
        </w:rPr>
      </w:pPr>
      <w:r w:rsidRPr="00F03C54">
        <w:rPr>
          <w:sz w:val="22"/>
          <w:szCs w:val="22"/>
        </w:rPr>
        <w:t xml:space="preserve">Em doentes adultos com uveíte, </w:t>
      </w:r>
      <w:r w:rsidR="00784C05">
        <w:rPr>
          <w:sz w:val="22"/>
          <w:szCs w:val="22"/>
        </w:rPr>
        <w:t>um</w:t>
      </w:r>
      <w:r w:rsidRPr="00F03C54">
        <w:rPr>
          <w:sz w:val="22"/>
          <w:szCs w:val="22"/>
        </w:rPr>
        <w:t xml:space="preserve">a dose de carga de </w:t>
      </w:r>
      <w:r w:rsidRPr="00CF6E91">
        <w:rPr>
          <w:sz w:val="22"/>
          <w:szCs w:val="22"/>
        </w:rPr>
        <w:t>80 mg de adalimumab na Semana 0</w:t>
      </w:r>
      <w:r w:rsidR="00784C05">
        <w:rPr>
          <w:sz w:val="22"/>
          <w:szCs w:val="22"/>
        </w:rPr>
        <w:t>,</w:t>
      </w:r>
      <w:r w:rsidRPr="00CF6E91">
        <w:rPr>
          <w:sz w:val="22"/>
          <w:szCs w:val="22"/>
        </w:rPr>
        <w:t xml:space="preserve"> seguida de 40 mg de adalimumab em semanas alternadas, com início na </w:t>
      </w:r>
      <w:r w:rsidR="00784C05">
        <w:rPr>
          <w:sz w:val="22"/>
          <w:szCs w:val="22"/>
        </w:rPr>
        <w:t>S</w:t>
      </w:r>
      <w:r w:rsidRPr="00CF6E91">
        <w:rPr>
          <w:sz w:val="22"/>
          <w:szCs w:val="22"/>
        </w:rPr>
        <w:t xml:space="preserve">emana 1, </w:t>
      </w:r>
      <w:r w:rsidR="00784C05">
        <w:rPr>
          <w:sz w:val="22"/>
          <w:szCs w:val="22"/>
        </w:rPr>
        <w:t>originou</w:t>
      </w:r>
      <w:r w:rsidRPr="00CF6E91">
        <w:rPr>
          <w:sz w:val="22"/>
          <w:szCs w:val="22"/>
        </w:rPr>
        <w:t xml:space="preserve"> concentraç</w:t>
      </w:r>
      <w:r w:rsidR="00784C05">
        <w:rPr>
          <w:sz w:val="22"/>
          <w:szCs w:val="22"/>
        </w:rPr>
        <w:t>ões médias em estado de equilíbrio</w:t>
      </w:r>
      <w:r w:rsidRPr="00CF6E91">
        <w:rPr>
          <w:sz w:val="22"/>
          <w:szCs w:val="22"/>
        </w:rPr>
        <w:t xml:space="preserve"> de aproximadamente 8 a 10 </w:t>
      </w:r>
      <w:r w:rsidRPr="00CF6E91">
        <w:rPr>
          <w:rFonts w:ascii="Symbol" w:hAnsi="Symbol"/>
          <w:sz w:val="22"/>
          <w:szCs w:val="22"/>
        </w:rPr>
        <w:sym w:font="Symbol" w:char="F06D"/>
      </w:r>
      <w:r w:rsidRPr="00CF6E91">
        <w:rPr>
          <w:sz w:val="22"/>
          <w:szCs w:val="22"/>
        </w:rPr>
        <w:t>g/ml.</w:t>
      </w:r>
    </w:p>
    <w:p w14:paraId="525DC481" w14:textId="77777777" w:rsidR="0036673C" w:rsidRPr="00765805" w:rsidRDefault="0036673C" w:rsidP="00F03C54"/>
    <w:p w14:paraId="724870F0" w14:textId="77777777" w:rsidR="00EF4271" w:rsidRPr="00F94419" w:rsidRDefault="00615769" w:rsidP="002F6811">
      <w:pPr>
        <w:rPr>
          <w:sz w:val="22"/>
          <w:szCs w:val="22"/>
        </w:rPr>
      </w:pPr>
      <w:r>
        <w:rPr>
          <w:sz w:val="22"/>
          <w:szCs w:val="22"/>
        </w:rPr>
        <w:t xml:space="preserve">A farmacocinética populacional e a </w:t>
      </w:r>
      <w:r w:rsidRPr="00CC4B51">
        <w:rPr>
          <w:sz w:val="22"/>
          <w:szCs w:val="22"/>
        </w:rPr>
        <w:t>model</w:t>
      </w:r>
      <w:r>
        <w:rPr>
          <w:sz w:val="22"/>
          <w:szCs w:val="22"/>
        </w:rPr>
        <w:t>ação e simulação</w:t>
      </w:r>
      <w:r w:rsidRPr="00CC4B51">
        <w:rPr>
          <w:sz w:val="22"/>
          <w:szCs w:val="22"/>
        </w:rPr>
        <w:t xml:space="preserve"> farmacocinétic</w:t>
      </w:r>
      <w:r>
        <w:rPr>
          <w:sz w:val="22"/>
          <w:szCs w:val="22"/>
        </w:rPr>
        <w:t xml:space="preserve">a/farmacodinâmica previram exposição e eficácia comparáveis de </w:t>
      </w:r>
      <w:r w:rsidRPr="00EA5D73">
        <w:rPr>
          <w:sz w:val="22"/>
          <w:szCs w:val="22"/>
        </w:rPr>
        <w:t xml:space="preserve">adalimumab em </w:t>
      </w:r>
      <w:r>
        <w:rPr>
          <w:sz w:val="22"/>
          <w:szCs w:val="22"/>
        </w:rPr>
        <w:t>doentes</w:t>
      </w:r>
      <w:r w:rsidRPr="00EA5D73">
        <w:rPr>
          <w:sz w:val="22"/>
          <w:szCs w:val="22"/>
        </w:rPr>
        <w:t xml:space="preserve"> tratados com 80 mg em </w:t>
      </w:r>
      <w:r>
        <w:rPr>
          <w:sz w:val="22"/>
          <w:szCs w:val="22"/>
        </w:rPr>
        <w:t xml:space="preserve">semanas alternadas comparativamente a 40 mg por semana (incluindo doentes adultos com artrite reumatoide, hidradenite supurativa, colite ulcerosa, doença de Crohn ou psoríase, doentes adolescentes com hidradenite supurativa, e doentes pediátricos </w:t>
      </w:r>
      <w:r w:rsidRPr="00E26768">
        <w:rPr>
          <w:sz w:val="22"/>
          <w:szCs w:val="22"/>
        </w:rPr>
        <w:t>≥</w:t>
      </w:r>
      <w:r w:rsidRPr="00192FD7">
        <w:rPr>
          <w:sz w:val="22"/>
          <w:szCs w:val="22"/>
        </w:rPr>
        <w:t> 40 kg com doença de Crohn).</w:t>
      </w:r>
    </w:p>
    <w:p w14:paraId="60218C7D" w14:textId="77777777" w:rsidR="00EF4271" w:rsidRDefault="00EF4271" w:rsidP="002F6811">
      <w:pPr>
        <w:rPr>
          <w:sz w:val="22"/>
          <w:szCs w:val="22"/>
          <w:u w:val="single"/>
        </w:rPr>
      </w:pPr>
    </w:p>
    <w:p w14:paraId="0217876F" w14:textId="77777777" w:rsidR="002F6811" w:rsidRPr="008912CF" w:rsidRDefault="00615769" w:rsidP="002F6811">
      <w:pPr>
        <w:rPr>
          <w:sz w:val="22"/>
          <w:szCs w:val="22"/>
          <w:u w:val="single"/>
        </w:rPr>
      </w:pPr>
      <w:r w:rsidRPr="008912CF">
        <w:rPr>
          <w:sz w:val="22"/>
          <w:szCs w:val="22"/>
          <w:u w:val="single"/>
        </w:rPr>
        <w:t>Eliminação</w:t>
      </w:r>
    </w:p>
    <w:p w14:paraId="5BB34FA4" w14:textId="77777777" w:rsidR="002F6811" w:rsidRPr="008912CF" w:rsidRDefault="002F6811" w:rsidP="002F6811"/>
    <w:p w14:paraId="090327C4" w14:textId="77777777" w:rsidR="002F6811" w:rsidRPr="008912CF" w:rsidRDefault="00615769" w:rsidP="002F6811">
      <w:pPr>
        <w:autoSpaceDE w:val="0"/>
        <w:autoSpaceDN w:val="0"/>
        <w:adjustRightInd w:val="0"/>
        <w:rPr>
          <w:sz w:val="22"/>
          <w:szCs w:val="22"/>
        </w:rPr>
      </w:pPr>
      <w:r w:rsidRPr="008912CF">
        <w:rPr>
          <w:sz w:val="22"/>
          <w:szCs w:val="22"/>
        </w:rPr>
        <w:t>As análises de farmacocinética da população que incluíram dados relativos a mais de 1300 doentes com AR revelaram uma tendência para uma maior depuração aparente de adalimumab em função do aumento do peso corporal. Após um ajustamento em relação às diferenças de peso, o sexo e a idade pareceram exercer um efeito mínimo sobre a depuração de adalimumab. Verificou-se que os níveis séricos de adalimumab livre (não ligado aos anticorpos anti</w:t>
      </w:r>
      <w:r w:rsidR="00840424">
        <w:rPr>
          <w:sz w:val="22"/>
          <w:szCs w:val="22"/>
        </w:rPr>
        <w:t>-</w:t>
      </w:r>
      <w:r w:rsidRPr="008912CF">
        <w:rPr>
          <w:sz w:val="22"/>
          <w:szCs w:val="22"/>
        </w:rPr>
        <w:t>adalimumab, AAA) eram mais baixos nos doentes com AAA mensurável.</w:t>
      </w:r>
    </w:p>
    <w:p w14:paraId="591944DF" w14:textId="77777777" w:rsidR="002F6811" w:rsidRPr="008912CF" w:rsidRDefault="002F6811" w:rsidP="002F6811">
      <w:pPr>
        <w:tabs>
          <w:tab w:val="left" w:pos="2304"/>
          <w:tab w:val="left" w:pos="3024"/>
        </w:tabs>
        <w:autoSpaceDE w:val="0"/>
        <w:autoSpaceDN w:val="0"/>
        <w:adjustRightInd w:val="0"/>
        <w:rPr>
          <w:sz w:val="22"/>
          <w:szCs w:val="22"/>
        </w:rPr>
      </w:pPr>
    </w:p>
    <w:p w14:paraId="39740178" w14:textId="77777777" w:rsidR="002F6811" w:rsidRPr="008912CF" w:rsidRDefault="00615769" w:rsidP="002F6811">
      <w:pPr>
        <w:rPr>
          <w:bCs/>
          <w:iCs/>
          <w:sz w:val="22"/>
          <w:szCs w:val="22"/>
          <w:u w:val="single"/>
        </w:rPr>
      </w:pPr>
      <w:r w:rsidRPr="008912CF">
        <w:rPr>
          <w:bCs/>
          <w:iCs/>
          <w:sz w:val="22"/>
          <w:szCs w:val="22"/>
          <w:u w:val="single"/>
        </w:rPr>
        <w:t>Compromisso renal ou hepático</w:t>
      </w:r>
    </w:p>
    <w:p w14:paraId="326925FF" w14:textId="77777777" w:rsidR="002F6811" w:rsidRPr="008912CF" w:rsidRDefault="002F6811" w:rsidP="002F6811">
      <w:pPr>
        <w:rPr>
          <w:b/>
          <w:iCs/>
          <w:sz w:val="22"/>
          <w:szCs w:val="22"/>
        </w:rPr>
      </w:pPr>
    </w:p>
    <w:p w14:paraId="06E37378" w14:textId="77777777" w:rsidR="002F6811" w:rsidRPr="008912CF" w:rsidRDefault="00615769" w:rsidP="002F6811">
      <w:pPr>
        <w:rPr>
          <w:sz w:val="22"/>
          <w:szCs w:val="22"/>
        </w:rPr>
      </w:pPr>
      <w:r w:rsidRPr="008912CF">
        <w:rPr>
          <w:bCs/>
          <w:iCs/>
          <w:sz w:val="22"/>
          <w:szCs w:val="22"/>
        </w:rPr>
        <w:t>Humira não foi estudado em doentes com função renal ou hepática comprometida.</w:t>
      </w:r>
    </w:p>
    <w:p w14:paraId="5ED16F2D" w14:textId="77777777" w:rsidR="002F6811" w:rsidRPr="008912CF" w:rsidRDefault="002F6811" w:rsidP="002F6811">
      <w:pPr>
        <w:tabs>
          <w:tab w:val="left" w:pos="2304"/>
          <w:tab w:val="left" w:pos="3024"/>
        </w:tabs>
        <w:autoSpaceDE w:val="0"/>
        <w:autoSpaceDN w:val="0"/>
        <w:adjustRightInd w:val="0"/>
        <w:rPr>
          <w:sz w:val="22"/>
          <w:szCs w:val="22"/>
        </w:rPr>
      </w:pPr>
    </w:p>
    <w:p w14:paraId="23A2EE1C" w14:textId="77777777" w:rsidR="002F6811" w:rsidRPr="008912CF" w:rsidRDefault="00615769" w:rsidP="002F6811">
      <w:pPr>
        <w:tabs>
          <w:tab w:val="left" w:pos="2304"/>
          <w:tab w:val="left" w:pos="3024"/>
        </w:tabs>
        <w:autoSpaceDE w:val="0"/>
        <w:autoSpaceDN w:val="0"/>
        <w:adjustRightInd w:val="0"/>
        <w:ind w:left="567" w:hanging="567"/>
        <w:rPr>
          <w:sz w:val="22"/>
          <w:szCs w:val="22"/>
        </w:rPr>
      </w:pPr>
      <w:r w:rsidRPr="008912CF">
        <w:rPr>
          <w:b/>
          <w:sz w:val="22"/>
          <w:szCs w:val="22"/>
        </w:rPr>
        <w:t>5.3</w:t>
      </w:r>
      <w:r w:rsidRPr="008912CF">
        <w:rPr>
          <w:b/>
          <w:sz w:val="22"/>
          <w:szCs w:val="22"/>
        </w:rPr>
        <w:tab/>
        <w:t xml:space="preserve">Dados de segurança pré-clínica </w:t>
      </w:r>
    </w:p>
    <w:p w14:paraId="3C957D11" w14:textId="77777777" w:rsidR="002F6811" w:rsidRPr="008912CF" w:rsidRDefault="002F6811" w:rsidP="002F6811">
      <w:pPr>
        <w:pStyle w:val="EndnoteText"/>
        <w:tabs>
          <w:tab w:val="clear" w:pos="567"/>
        </w:tabs>
        <w:rPr>
          <w:szCs w:val="22"/>
        </w:rPr>
      </w:pPr>
    </w:p>
    <w:p w14:paraId="4DEBC74C" w14:textId="77777777" w:rsidR="002F6811" w:rsidRPr="008912CF" w:rsidRDefault="00615769" w:rsidP="002F6811">
      <w:pPr>
        <w:autoSpaceDE w:val="0"/>
        <w:autoSpaceDN w:val="0"/>
        <w:adjustRightInd w:val="0"/>
        <w:rPr>
          <w:sz w:val="22"/>
          <w:szCs w:val="22"/>
        </w:rPr>
      </w:pPr>
      <w:r>
        <w:rPr>
          <w:sz w:val="22"/>
          <w:szCs w:val="22"/>
        </w:rPr>
        <w:t>Os dados não clínicos não revelam riscos</w:t>
      </w:r>
      <w:r w:rsidRPr="008912CF">
        <w:rPr>
          <w:sz w:val="22"/>
          <w:szCs w:val="22"/>
        </w:rPr>
        <w:t xml:space="preserve"> especia</w:t>
      </w:r>
      <w:r>
        <w:rPr>
          <w:sz w:val="22"/>
          <w:szCs w:val="22"/>
        </w:rPr>
        <w:t>is</w:t>
      </w:r>
      <w:r w:rsidRPr="008912CF">
        <w:rPr>
          <w:sz w:val="22"/>
          <w:szCs w:val="22"/>
        </w:rPr>
        <w:t xml:space="preserve"> para o ser humano</w:t>
      </w:r>
      <w:r>
        <w:rPr>
          <w:sz w:val="22"/>
          <w:szCs w:val="22"/>
        </w:rPr>
        <w:t>, segundo estudos convencionais de toxicidade de dose única, toxicidade de dose repetida e genotoxicidade</w:t>
      </w:r>
      <w:r w:rsidRPr="008912CF">
        <w:rPr>
          <w:sz w:val="22"/>
          <w:szCs w:val="22"/>
        </w:rPr>
        <w:t xml:space="preserve">. </w:t>
      </w:r>
    </w:p>
    <w:p w14:paraId="69498B71" w14:textId="77777777" w:rsidR="002F6811" w:rsidRPr="008912CF" w:rsidRDefault="002F6811" w:rsidP="002F6811">
      <w:pPr>
        <w:autoSpaceDE w:val="0"/>
        <w:autoSpaceDN w:val="0"/>
        <w:adjustRightInd w:val="0"/>
        <w:rPr>
          <w:sz w:val="22"/>
          <w:szCs w:val="22"/>
        </w:rPr>
      </w:pPr>
    </w:p>
    <w:p w14:paraId="45777047" w14:textId="77777777" w:rsidR="002F6811" w:rsidRPr="008912CF" w:rsidRDefault="00615769" w:rsidP="002F6811">
      <w:pPr>
        <w:autoSpaceDE w:val="0"/>
        <w:autoSpaceDN w:val="0"/>
        <w:adjustRightInd w:val="0"/>
        <w:rPr>
          <w:b/>
          <w:sz w:val="22"/>
          <w:szCs w:val="22"/>
        </w:rPr>
      </w:pPr>
      <w:r w:rsidRPr="008912CF">
        <w:rPr>
          <w:sz w:val="22"/>
          <w:szCs w:val="22"/>
        </w:rPr>
        <w:t>Um estudo de toxicidade do desenvolvimento embrio-fetal/desenvolvimento perinatal, efetuado em macacos cynomolgus com doses de 0,</w:t>
      </w:r>
      <w:r w:rsidR="00E7501D">
        <w:rPr>
          <w:sz w:val="22"/>
          <w:szCs w:val="22"/>
        </w:rPr>
        <w:t xml:space="preserve"> </w:t>
      </w:r>
      <w:r w:rsidRPr="008912CF">
        <w:rPr>
          <w:sz w:val="22"/>
          <w:szCs w:val="22"/>
        </w:rPr>
        <w:t>30 e 100 mg/kg (9</w:t>
      </w:r>
      <w:r w:rsidRPr="008912CF">
        <w:rPr>
          <w:sz w:val="22"/>
          <w:szCs w:val="22"/>
        </w:rPr>
        <w:noBreakHyphen/>
        <w:t>17 macacos/grupo), não revelou qualquer evidência de lesão fetal resultante d</w:t>
      </w:r>
      <w:r w:rsidR="003A4C51">
        <w:rPr>
          <w:sz w:val="22"/>
          <w:szCs w:val="22"/>
        </w:rPr>
        <w:t>e</w:t>
      </w:r>
      <w:r w:rsidRPr="008912CF">
        <w:rPr>
          <w:sz w:val="22"/>
          <w:szCs w:val="22"/>
        </w:rPr>
        <w:t xml:space="preserve"> adalimumab. Não foram efetuados estudos de carcinogenicidade nem avaliações de rotina da fertilidade e da toxicidade pós-natal de adalimumab devido à ausência de modelos apropriados para um anticorpo com reatividade cruzada limitada ao TNF em roedores e ao desenvolvimento de anticorpos neutraliza</w:t>
      </w:r>
      <w:r w:rsidR="00E7501D">
        <w:rPr>
          <w:sz w:val="22"/>
          <w:szCs w:val="22"/>
        </w:rPr>
        <w:t>ntes</w:t>
      </w:r>
      <w:r w:rsidRPr="008912CF">
        <w:rPr>
          <w:sz w:val="22"/>
          <w:szCs w:val="22"/>
        </w:rPr>
        <w:t xml:space="preserve"> em roedores. </w:t>
      </w:r>
    </w:p>
    <w:p w14:paraId="121B21CC" w14:textId="77777777" w:rsidR="002F6811" w:rsidRPr="008912CF" w:rsidRDefault="002F6811" w:rsidP="002F6811">
      <w:pPr>
        <w:tabs>
          <w:tab w:val="left" w:pos="2310"/>
        </w:tabs>
        <w:rPr>
          <w:sz w:val="22"/>
          <w:szCs w:val="22"/>
        </w:rPr>
      </w:pPr>
    </w:p>
    <w:p w14:paraId="35EC45F5" w14:textId="77777777" w:rsidR="002F6811" w:rsidRPr="008912CF" w:rsidRDefault="002F6811" w:rsidP="002F6811">
      <w:pPr>
        <w:tabs>
          <w:tab w:val="left" w:pos="2310"/>
        </w:tabs>
        <w:rPr>
          <w:sz w:val="22"/>
          <w:szCs w:val="22"/>
        </w:rPr>
      </w:pPr>
    </w:p>
    <w:p w14:paraId="4444A058" w14:textId="77777777" w:rsidR="002F6811" w:rsidRPr="008912CF" w:rsidRDefault="00615769" w:rsidP="002F6811">
      <w:pPr>
        <w:ind w:left="567" w:hanging="567"/>
        <w:rPr>
          <w:b/>
          <w:sz w:val="22"/>
          <w:szCs w:val="22"/>
        </w:rPr>
      </w:pPr>
      <w:r w:rsidRPr="008912CF">
        <w:rPr>
          <w:b/>
          <w:sz w:val="22"/>
          <w:szCs w:val="22"/>
        </w:rPr>
        <w:t>6.</w:t>
      </w:r>
      <w:r w:rsidRPr="008912CF">
        <w:rPr>
          <w:b/>
          <w:sz w:val="22"/>
          <w:szCs w:val="22"/>
        </w:rPr>
        <w:tab/>
        <w:t xml:space="preserve">INFORMAÇÕES FARMACÊUTICAS </w:t>
      </w:r>
    </w:p>
    <w:p w14:paraId="17C82FBB" w14:textId="77777777" w:rsidR="002F6811" w:rsidRPr="008912CF" w:rsidRDefault="002F6811" w:rsidP="002F6811">
      <w:pPr>
        <w:rPr>
          <w:sz w:val="22"/>
          <w:szCs w:val="22"/>
        </w:rPr>
      </w:pPr>
    </w:p>
    <w:p w14:paraId="75DBD1A7" w14:textId="77777777" w:rsidR="002F6811" w:rsidRPr="008912CF" w:rsidRDefault="00615769" w:rsidP="002F6811">
      <w:pPr>
        <w:ind w:left="567" w:hanging="567"/>
        <w:rPr>
          <w:b/>
          <w:sz w:val="22"/>
          <w:szCs w:val="22"/>
          <w:highlight w:val="yellow"/>
        </w:rPr>
      </w:pPr>
      <w:r w:rsidRPr="008912CF">
        <w:rPr>
          <w:b/>
          <w:sz w:val="22"/>
          <w:szCs w:val="22"/>
        </w:rPr>
        <w:t>6.1</w:t>
      </w:r>
      <w:r w:rsidRPr="008912CF">
        <w:rPr>
          <w:b/>
          <w:sz w:val="22"/>
          <w:szCs w:val="22"/>
        </w:rPr>
        <w:tab/>
        <w:t xml:space="preserve">Lista dos excipientes </w:t>
      </w:r>
    </w:p>
    <w:p w14:paraId="0D06E0C4" w14:textId="77777777" w:rsidR="002F6811" w:rsidRPr="008912CF" w:rsidRDefault="002F6811" w:rsidP="002F6811">
      <w:pPr>
        <w:autoSpaceDE w:val="0"/>
        <w:autoSpaceDN w:val="0"/>
        <w:adjustRightInd w:val="0"/>
        <w:rPr>
          <w:b/>
          <w:sz w:val="22"/>
          <w:szCs w:val="22"/>
        </w:rPr>
      </w:pPr>
    </w:p>
    <w:p w14:paraId="5BE984A9" w14:textId="77777777" w:rsidR="002F6811" w:rsidRPr="008912CF" w:rsidRDefault="00615769" w:rsidP="002F6811">
      <w:pPr>
        <w:autoSpaceDE w:val="0"/>
        <w:autoSpaceDN w:val="0"/>
        <w:adjustRightInd w:val="0"/>
        <w:rPr>
          <w:sz w:val="22"/>
          <w:szCs w:val="22"/>
        </w:rPr>
      </w:pPr>
      <w:r w:rsidRPr="008912CF">
        <w:rPr>
          <w:sz w:val="22"/>
          <w:szCs w:val="22"/>
        </w:rPr>
        <w:t>Manitol</w:t>
      </w:r>
    </w:p>
    <w:p w14:paraId="28932FD9" w14:textId="77777777" w:rsidR="002F6811" w:rsidRPr="008912CF" w:rsidRDefault="00615769" w:rsidP="002F6811">
      <w:pPr>
        <w:autoSpaceDE w:val="0"/>
        <w:autoSpaceDN w:val="0"/>
        <w:adjustRightInd w:val="0"/>
        <w:rPr>
          <w:sz w:val="22"/>
          <w:szCs w:val="22"/>
        </w:rPr>
      </w:pPr>
      <w:r w:rsidRPr="008912CF">
        <w:rPr>
          <w:sz w:val="22"/>
          <w:szCs w:val="22"/>
        </w:rPr>
        <w:t>Polissorbato 80</w:t>
      </w:r>
    </w:p>
    <w:p w14:paraId="319F5340" w14:textId="77777777" w:rsidR="002F6811" w:rsidRPr="008912CF" w:rsidRDefault="00615769" w:rsidP="002F6811">
      <w:pPr>
        <w:autoSpaceDE w:val="0"/>
        <w:autoSpaceDN w:val="0"/>
        <w:adjustRightInd w:val="0"/>
        <w:rPr>
          <w:sz w:val="22"/>
          <w:szCs w:val="22"/>
        </w:rPr>
      </w:pPr>
      <w:r w:rsidRPr="008912CF">
        <w:rPr>
          <w:sz w:val="22"/>
          <w:szCs w:val="22"/>
        </w:rPr>
        <w:t xml:space="preserve">Água para preparações injetáveis </w:t>
      </w:r>
    </w:p>
    <w:p w14:paraId="484999AA" w14:textId="77777777" w:rsidR="002F6811" w:rsidRPr="008912CF" w:rsidRDefault="002F6811" w:rsidP="002F6811">
      <w:pPr>
        <w:autoSpaceDE w:val="0"/>
        <w:autoSpaceDN w:val="0"/>
        <w:adjustRightInd w:val="0"/>
        <w:rPr>
          <w:b/>
          <w:sz w:val="22"/>
          <w:szCs w:val="22"/>
        </w:rPr>
      </w:pPr>
    </w:p>
    <w:p w14:paraId="4A98D950" w14:textId="77777777" w:rsidR="002F6811" w:rsidRPr="008912CF" w:rsidRDefault="00615769" w:rsidP="002F6811">
      <w:pPr>
        <w:ind w:left="567" w:hanging="567"/>
        <w:rPr>
          <w:sz w:val="22"/>
          <w:szCs w:val="22"/>
        </w:rPr>
      </w:pPr>
      <w:r w:rsidRPr="008912CF">
        <w:rPr>
          <w:b/>
          <w:sz w:val="22"/>
          <w:szCs w:val="22"/>
        </w:rPr>
        <w:t>6.2</w:t>
      </w:r>
      <w:r w:rsidRPr="008912CF">
        <w:rPr>
          <w:b/>
          <w:sz w:val="22"/>
          <w:szCs w:val="22"/>
        </w:rPr>
        <w:tab/>
        <w:t xml:space="preserve">Incompatibilidades </w:t>
      </w:r>
    </w:p>
    <w:p w14:paraId="64D5A1A2" w14:textId="77777777" w:rsidR="002F6811" w:rsidRPr="008912CF" w:rsidRDefault="002F6811" w:rsidP="002F6811">
      <w:pPr>
        <w:rPr>
          <w:sz w:val="22"/>
          <w:szCs w:val="22"/>
        </w:rPr>
      </w:pPr>
    </w:p>
    <w:p w14:paraId="72A6C04E" w14:textId="77777777" w:rsidR="002F6811" w:rsidRPr="008912CF" w:rsidRDefault="00615769" w:rsidP="002F6811">
      <w:pPr>
        <w:rPr>
          <w:sz w:val="22"/>
          <w:szCs w:val="22"/>
        </w:rPr>
      </w:pPr>
      <w:r w:rsidRPr="008912CF">
        <w:rPr>
          <w:sz w:val="22"/>
          <w:szCs w:val="22"/>
        </w:rPr>
        <w:t xml:space="preserve">Na ausência de estudos de compatibilidade, este medicamento não </w:t>
      </w:r>
      <w:r w:rsidR="00372684">
        <w:rPr>
          <w:sz w:val="22"/>
          <w:szCs w:val="22"/>
        </w:rPr>
        <w:t>pode</w:t>
      </w:r>
      <w:r w:rsidR="00372684" w:rsidRPr="008912CF">
        <w:rPr>
          <w:sz w:val="22"/>
          <w:szCs w:val="22"/>
        </w:rPr>
        <w:t xml:space="preserve"> </w:t>
      </w:r>
      <w:r w:rsidRPr="008912CF">
        <w:rPr>
          <w:sz w:val="22"/>
          <w:szCs w:val="22"/>
        </w:rPr>
        <w:t>ser misturado com outros medicamentos.</w:t>
      </w:r>
    </w:p>
    <w:p w14:paraId="022C653A" w14:textId="77777777" w:rsidR="002F6811" w:rsidRPr="008912CF" w:rsidRDefault="002F6811" w:rsidP="002F6811">
      <w:pPr>
        <w:ind w:left="567" w:hanging="567"/>
        <w:rPr>
          <w:b/>
          <w:sz w:val="22"/>
          <w:szCs w:val="22"/>
        </w:rPr>
      </w:pPr>
    </w:p>
    <w:p w14:paraId="7C342354" w14:textId="77777777" w:rsidR="002F6811" w:rsidRPr="008912CF" w:rsidRDefault="00615769" w:rsidP="002F6811">
      <w:pPr>
        <w:keepNext/>
        <w:ind w:left="567" w:hanging="567"/>
        <w:rPr>
          <w:sz w:val="22"/>
          <w:szCs w:val="22"/>
        </w:rPr>
      </w:pPr>
      <w:r w:rsidRPr="008912CF">
        <w:rPr>
          <w:b/>
          <w:sz w:val="22"/>
          <w:szCs w:val="22"/>
        </w:rPr>
        <w:t>6.3</w:t>
      </w:r>
      <w:r w:rsidRPr="008912CF">
        <w:rPr>
          <w:b/>
          <w:sz w:val="22"/>
          <w:szCs w:val="22"/>
        </w:rPr>
        <w:tab/>
        <w:t xml:space="preserve">Prazo de validade </w:t>
      </w:r>
    </w:p>
    <w:p w14:paraId="773C55BC" w14:textId="77777777" w:rsidR="002F6811" w:rsidRPr="008912CF" w:rsidRDefault="002F6811" w:rsidP="002F6811">
      <w:pPr>
        <w:keepNext/>
        <w:rPr>
          <w:sz w:val="22"/>
          <w:szCs w:val="22"/>
        </w:rPr>
      </w:pPr>
    </w:p>
    <w:p w14:paraId="60B206C1" w14:textId="77777777" w:rsidR="002F6811" w:rsidRPr="008912CF" w:rsidRDefault="00615769" w:rsidP="002F6811">
      <w:pPr>
        <w:keepNext/>
        <w:rPr>
          <w:sz w:val="22"/>
          <w:szCs w:val="22"/>
        </w:rPr>
      </w:pPr>
      <w:r>
        <w:rPr>
          <w:sz w:val="22"/>
          <w:szCs w:val="22"/>
        </w:rPr>
        <w:t>2 anos</w:t>
      </w:r>
    </w:p>
    <w:p w14:paraId="28BA04E3" w14:textId="77777777" w:rsidR="002F6811" w:rsidRPr="008912CF" w:rsidRDefault="002F6811" w:rsidP="002F6811">
      <w:pPr>
        <w:rPr>
          <w:sz w:val="22"/>
          <w:szCs w:val="22"/>
        </w:rPr>
      </w:pPr>
    </w:p>
    <w:p w14:paraId="035A4C17" w14:textId="77777777" w:rsidR="002F6811" w:rsidRPr="008912CF" w:rsidRDefault="00615769" w:rsidP="002F6811">
      <w:pPr>
        <w:jc w:val="both"/>
        <w:rPr>
          <w:sz w:val="22"/>
          <w:szCs w:val="22"/>
        </w:rPr>
      </w:pPr>
      <w:r w:rsidRPr="008912CF">
        <w:rPr>
          <w:b/>
          <w:sz w:val="22"/>
          <w:szCs w:val="22"/>
        </w:rPr>
        <w:t>6.4</w:t>
      </w:r>
      <w:r w:rsidRPr="008912CF">
        <w:rPr>
          <w:b/>
          <w:sz w:val="22"/>
          <w:szCs w:val="22"/>
        </w:rPr>
        <w:tab/>
        <w:t>Precauções especiais de conservação</w:t>
      </w:r>
    </w:p>
    <w:p w14:paraId="3A25B6BE" w14:textId="77777777" w:rsidR="002F6811" w:rsidRPr="008912CF" w:rsidRDefault="002F6811" w:rsidP="002F6811">
      <w:pPr>
        <w:rPr>
          <w:sz w:val="22"/>
          <w:szCs w:val="22"/>
        </w:rPr>
      </w:pPr>
    </w:p>
    <w:p w14:paraId="53E06D31" w14:textId="77777777" w:rsidR="002F6811" w:rsidRDefault="00615769" w:rsidP="002F6811">
      <w:pPr>
        <w:rPr>
          <w:sz w:val="22"/>
          <w:szCs w:val="22"/>
        </w:rPr>
      </w:pPr>
      <w:r>
        <w:rPr>
          <w:sz w:val="22"/>
          <w:szCs w:val="22"/>
        </w:rPr>
        <w:t>Conservar no frigorífico (2º</w:t>
      </w:r>
      <w:r w:rsidR="00AA2EEA">
        <w:rPr>
          <w:sz w:val="22"/>
          <w:szCs w:val="22"/>
        </w:rPr>
        <w:t xml:space="preserve"> </w:t>
      </w:r>
      <w:r w:rsidRPr="008912CF">
        <w:rPr>
          <w:sz w:val="22"/>
          <w:szCs w:val="22"/>
        </w:rPr>
        <w:t>C</w:t>
      </w:r>
      <w:r w:rsidR="00184BF5">
        <w:rPr>
          <w:sz w:val="22"/>
          <w:szCs w:val="22"/>
        </w:rPr>
        <w:t xml:space="preserve"> – </w:t>
      </w:r>
      <w:r w:rsidRPr="008912CF">
        <w:rPr>
          <w:sz w:val="22"/>
          <w:szCs w:val="22"/>
        </w:rPr>
        <w:t>8</w:t>
      </w:r>
      <w:r w:rsidR="00184BF5">
        <w:rPr>
          <w:sz w:val="22"/>
          <w:szCs w:val="22"/>
        </w:rPr>
        <w:t>º</w:t>
      </w:r>
      <w:r w:rsidR="00AA2EEA">
        <w:rPr>
          <w:sz w:val="22"/>
          <w:szCs w:val="22"/>
        </w:rPr>
        <w:t xml:space="preserve"> </w:t>
      </w:r>
      <w:r w:rsidRPr="008912CF">
        <w:rPr>
          <w:sz w:val="22"/>
          <w:szCs w:val="22"/>
        </w:rPr>
        <w:t xml:space="preserve">C). Não congelar. Manter </w:t>
      </w:r>
      <w:r w:rsidR="00243E50">
        <w:rPr>
          <w:sz w:val="22"/>
          <w:szCs w:val="22"/>
        </w:rPr>
        <w:t>a seringa pré-cheia</w:t>
      </w:r>
      <w:r w:rsidRPr="008912CF">
        <w:rPr>
          <w:sz w:val="22"/>
          <w:szCs w:val="22"/>
        </w:rPr>
        <w:t xml:space="preserve"> dentro da </w:t>
      </w:r>
      <w:r w:rsidR="00784C05">
        <w:rPr>
          <w:sz w:val="22"/>
          <w:szCs w:val="22"/>
        </w:rPr>
        <w:t xml:space="preserve">sua </w:t>
      </w:r>
      <w:r w:rsidRPr="008912CF">
        <w:rPr>
          <w:sz w:val="22"/>
          <w:szCs w:val="22"/>
        </w:rPr>
        <w:t>embalagem exterior para proteger da luz.</w:t>
      </w:r>
    </w:p>
    <w:p w14:paraId="63C9C64B" w14:textId="77777777" w:rsidR="00243E50" w:rsidRDefault="00243E50" w:rsidP="002F6811">
      <w:pPr>
        <w:rPr>
          <w:sz w:val="22"/>
          <w:szCs w:val="22"/>
        </w:rPr>
      </w:pPr>
    </w:p>
    <w:p w14:paraId="4EC90EC0" w14:textId="77777777" w:rsidR="004B42F6" w:rsidRPr="008912CF" w:rsidRDefault="00615769" w:rsidP="004B42F6">
      <w:pPr>
        <w:rPr>
          <w:sz w:val="22"/>
          <w:szCs w:val="22"/>
        </w:rPr>
      </w:pPr>
      <w:r w:rsidRPr="008912CF">
        <w:rPr>
          <w:sz w:val="22"/>
          <w:szCs w:val="22"/>
        </w:rPr>
        <w:t>Uma seringa pré-cheia</w:t>
      </w:r>
      <w:r>
        <w:rPr>
          <w:sz w:val="22"/>
          <w:szCs w:val="22"/>
        </w:rPr>
        <w:t xml:space="preserve"> </w:t>
      </w:r>
      <w:r w:rsidR="003D5DB6">
        <w:rPr>
          <w:sz w:val="22"/>
          <w:szCs w:val="22"/>
        </w:rPr>
        <w:t>de Humira</w:t>
      </w:r>
      <w:r w:rsidRPr="008912CF">
        <w:rPr>
          <w:sz w:val="22"/>
          <w:szCs w:val="22"/>
        </w:rPr>
        <w:t xml:space="preserve"> pode ser conse</w:t>
      </w:r>
      <w:r w:rsidR="003D5DB6">
        <w:rPr>
          <w:sz w:val="22"/>
          <w:szCs w:val="22"/>
        </w:rPr>
        <w:t>rvada até um período de 14 dias</w:t>
      </w:r>
      <w:r w:rsidRPr="008912CF">
        <w:rPr>
          <w:sz w:val="22"/>
          <w:szCs w:val="22"/>
        </w:rPr>
        <w:t xml:space="preserve"> até uma temperatura máxima de 25º C. A seringa deve ser protegida da luz e eliminada se não for utilizada dentro do período de 14 dias.</w:t>
      </w:r>
    </w:p>
    <w:p w14:paraId="1247BDFC" w14:textId="77777777" w:rsidR="002F6811" w:rsidRPr="008912CF" w:rsidRDefault="002F6811" w:rsidP="002F6811">
      <w:pPr>
        <w:rPr>
          <w:sz w:val="22"/>
          <w:szCs w:val="22"/>
        </w:rPr>
      </w:pPr>
    </w:p>
    <w:p w14:paraId="6550250A" w14:textId="77777777" w:rsidR="002F6811" w:rsidRPr="008912CF" w:rsidRDefault="00615769" w:rsidP="002F6811">
      <w:pPr>
        <w:ind w:left="567" w:hanging="567"/>
        <w:rPr>
          <w:sz w:val="22"/>
          <w:szCs w:val="22"/>
        </w:rPr>
      </w:pPr>
      <w:r w:rsidRPr="008912CF">
        <w:rPr>
          <w:b/>
          <w:sz w:val="22"/>
          <w:szCs w:val="22"/>
        </w:rPr>
        <w:t>6.5</w:t>
      </w:r>
      <w:r w:rsidRPr="008912CF">
        <w:rPr>
          <w:b/>
          <w:sz w:val="22"/>
          <w:szCs w:val="22"/>
        </w:rPr>
        <w:tab/>
        <w:t xml:space="preserve">Natureza e conteúdo do recipiente </w:t>
      </w:r>
    </w:p>
    <w:p w14:paraId="4EA9EF30" w14:textId="77777777" w:rsidR="002F6811" w:rsidRPr="008912CF" w:rsidRDefault="002F6811" w:rsidP="002F6811">
      <w:pPr>
        <w:rPr>
          <w:sz w:val="22"/>
          <w:szCs w:val="22"/>
        </w:rPr>
      </w:pPr>
    </w:p>
    <w:p w14:paraId="6849D642" w14:textId="77777777" w:rsidR="004B42F6" w:rsidRPr="00CC4B51" w:rsidRDefault="00615769" w:rsidP="004B42F6">
      <w:pPr>
        <w:rPr>
          <w:sz w:val="22"/>
          <w:szCs w:val="22"/>
        </w:rPr>
      </w:pPr>
      <w:r>
        <w:rPr>
          <w:sz w:val="22"/>
          <w:szCs w:val="22"/>
        </w:rPr>
        <w:t>Humira 2</w:t>
      </w:r>
      <w:r w:rsidR="002F6811" w:rsidRPr="008912CF">
        <w:rPr>
          <w:sz w:val="22"/>
          <w:szCs w:val="22"/>
        </w:rPr>
        <w:t xml:space="preserve">0 mg solução injetável em </w:t>
      </w:r>
      <w:r>
        <w:rPr>
          <w:sz w:val="22"/>
          <w:szCs w:val="22"/>
        </w:rPr>
        <w:t>seringa pré-cheia</w:t>
      </w:r>
      <w:r w:rsidR="002F6811" w:rsidRPr="008912CF">
        <w:rPr>
          <w:sz w:val="22"/>
          <w:szCs w:val="22"/>
        </w:rPr>
        <w:t xml:space="preserve"> </w:t>
      </w:r>
      <w:r w:rsidRPr="008912CF">
        <w:rPr>
          <w:sz w:val="22"/>
          <w:szCs w:val="22"/>
        </w:rPr>
        <w:t xml:space="preserve">para dose única </w:t>
      </w:r>
      <w:r w:rsidR="002F6811" w:rsidRPr="008912CF">
        <w:rPr>
          <w:sz w:val="22"/>
          <w:szCs w:val="22"/>
        </w:rPr>
        <w:t>(vidro tipo I),</w:t>
      </w:r>
      <w:r>
        <w:rPr>
          <w:sz w:val="22"/>
          <w:szCs w:val="22"/>
        </w:rPr>
        <w:t xml:space="preserve"> </w:t>
      </w:r>
      <w:r w:rsidRPr="00CC4B51">
        <w:rPr>
          <w:sz w:val="22"/>
          <w:szCs w:val="22"/>
        </w:rPr>
        <w:t>com um êmbolo</w:t>
      </w:r>
      <w:r w:rsidR="008F48BD">
        <w:rPr>
          <w:sz w:val="22"/>
          <w:szCs w:val="22"/>
        </w:rPr>
        <w:t xml:space="preserve"> rolha</w:t>
      </w:r>
      <w:r w:rsidRPr="00CC4B51">
        <w:rPr>
          <w:sz w:val="22"/>
          <w:szCs w:val="22"/>
        </w:rPr>
        <w:t xml:space="preserve"> (borracha de bromobutilo) e uma agulha com proteção (elastómero termoplástico).</w:t>
      </w:r>
    </w:p>
    <w:p w14:paraId="73AD894D" w14:textId="77777777" w:rsidR="002F6811" w:rsidRPr="008912CF" w:rsidRDefault="002F6811" w:rsidP="002F6811">
      <w:pPr>
        <w:rPr>
          <w:sz w:val="22"/>
          <w:szCs w:val="22"/>
        </w:rPr>
      </w:pPr>
    </w:p>
    <w:p w14:paraId="63793B51" w14:textId="77777777" w:rsidR="004B42F6" w:rsidRDefault="00615769" w:rsidP="002F6811">
      <w:pPr>
        <w:rPr>
          <w:sz w:val="22"/>
          <w:szCs w:val="22"/>
        </w:rPr>
      </w:pPr>
      <w:r>
        <w:rPr>
          <w:sz w:val="22"/>
          <w:szCs w:val="22"/>
        </w:rPr>
        <w:t>Embalagens com:</w:t>
      </w:r>
    </w:p>
    <w:p w14:paraId="3CE58571" w14:textId="77777777" w:rsidR="002F6811" w:rsidRPr="00F03C54" w:rsidRDefault="00615769" w:rsidP="009C50CC">
      <w:pPr>
        <w:pStyle w:val="ListParagraph"/>
        <w:numPr>
          <w:ilvl w:val="0"/>
          <w:numId w:val="148"/>
        </w:numPr>
        <w:suppressAutoHyphens/>
        <w:ind w:left="567" w:hanging="567"/>
        <w:rPr>
          <w:sz w:val="22"/>
          <w:szCs w:val="22"/>
        </w:rPr>
      </w:pPr>
      <w:r w:rsidRPr="009C50CC">
        <w:rPr>
          <w:rFonts w:eastAsia="Times New Roman"/>
          <w:sz w:val="22"/>
        </w:rPr>
        <w:t>2 seringas</w:t>
      </w:r>
      <w:r w:rsidRPr="009C50CC">
        <w:rPr>
          <w:sz w:val="22"/>
          <w:szCs w:val="22"/>
        </w:rPr>
        <w:t xml:space="preserve"> pré-cheias (0,2 ml de solução estéril), cada uma com 1 compressa embebida em </w:t>
      </w:r>
      <w:r w:rsidR="00FC7F2F">
        <w:rPr>
          <w:sz w:val="22"/>
          <w:szCs w:val="22"/>
        </w:rPr>
        <w:t xml:space="preserve">álcool, em </w:t>
      </w:r>
      <w:r w:rsidR="00FC7F2F">
        <w:rPr>
          <w:i/>
          <w:sz w:val="22"/>
          <w:szCs w:val="22"/>
        </w:rPr>
        <w:t>blister</w:t>
      </w:r>
      <w:r w:rsidR="00FC7F2F">
        <w:rPr>
          <w:sz w:val="22"/>
          <w:szCs w:val="22"/>
        </w:rPr>
        <w:t>.</w:t>
      </w:r>
    </w:p>
    <w:p w14:paraId="4C3D12EC" w14:textId="77777777" w:rsidR="002F6811" w:rsidRPr="008912CF" w:rsidRDefault="002F6811" w:rsidP="002F6811">
      <w:pPr>
        <w:pStyle w:val="EndnoteText"/>
        <w:tabs>
          <w:tab w:val="clear" w:pos="567"/>
        </w:tabs>
        <w:rPr>
          <w:szCs w:val="22"/>
        </w:rPr>
      </w:pPr>
    </w:p>
    <w:p w14:paraId="5E0BBD87" w14:textId="77777777" w:rsidR="002F6811" w:rsidRPr="008912CF" w:rsidRDefault="00615769" w:rsidP="002F6811">
      <w:pPr>
        <w:keepNext/>
        <w:ind w:left="567" w:hanging="567"/>
        <w:rPr>
          <w:sz w:val="22"/>
          <w:szCs w:val="22"/>
        </w:rPr>
      </w:pPr>
      <w:r w:rsidRPr="008912CF">
        <w:rPr>
          <w:b/>
          <w:sz w:val="22"/>
          <w:szCs w:val="22"/>
        </w:rPr>
        <w:t>6.6</w:t>
      </w:r>
      <w:r w:rsidRPr="008912CF">
        <w:rPr>
          <w:b/>
          <w:sz w:val="22"/>
          <w:szCs w:val="22"/>
        </w:rPr>
        <w:tab/>
      </w:r>
      <w:r w:rsidRPr="008912CF">
        <w:rPr>
          <w:b/>
          <w:sz w:val="22"/>
          <w:szCs w:val="22"/>
        </w:rPr>
        <w:t xml:space="preserve">Precauções especiais de eliminação </w:t>
      </w:r>
    </w:p>
    <w:p w14:paraId="0372BD10" w14:textId="77777777" w:rsidR="002F6811" w:rsidRPr="008912CF" w:rsidRDefault="002F6811" w:rsidP="002F6811">
      <w:pPr>
        <w:keepNext/>
        <w:rPr>
          <w:sz w:val="22"/>
          <w:szCs w:val="22"/>
        </w:rPr>
      </w:pPr>
    </w:p>
    <w:p w14:paraId="63CBBA32" w14:textId="77777777" w:rsidR="002F6811" w:rsidRPr="008912CF" w:rsidRDefault="00615769" w:rsidP="002F6811">
      <w:pPr>
        <w:keepNext/>
        <w:rPr>
          <w:sz w:val="22"/>
          <w:szCs w:val="22"/>
        </w:rPr>
      </w:pPr>
      <w:r>
        <w:rPr>
          <w:sz w:val="22"/>
          <w:szCs w:val="22"/>
        </w:rPr>
        <w:t>Qualquer medicamento</w:t>
      </w:r>
      <w:r w:rsidRPr="008912CF">
        <w:rPr>
          <w:sz w:val="22"/>
          <w:szCs w:val="22"/>
        </w:rPr>
        <w:t xml:space="preserve"> não utilizado ou resíduos devem ser eliminados de acordo com as exigências locais. </w:t>
      </w:r>
    </w:p>
    <w:p w14:paraId="19B2F086" w14:textId="77777777" w:rsidR="002F6811" w:rsidRPr="008912CF" w:rsidRDefault="002F6811" w:rsidP="002F6811">
      <w:pPr>
        <w:rPr>
          <w:sz w:val="22"/>
          <w:szCs w:val="22"/>
        </w:rPr>
      </w:pPr>
    </w:p>
    <w:p w14:paraId="00C20ECA" w14:textId="77777777" w:rsidR="002F6811" w:rsidRPr="008912CF" w:rsidRDefault="002F6811" w:rsidP="002F6811">
      <w:pPr>
        <w:rPr>
          <w:sz w:val="22"/>
          <w:szCs w:val="22"/>
        </w:rPr>
      </w:pPr>
    </w:p>
    <w:p w14:paraId="2FBE0126" w14:textId="77777777" w:rsidR="002F6811" w:rsidRPr="008912CF" w:rsidRDefault="00615769" w:rsidP="002F6811">
      <w:pPr>
        <w:ind w:left="567" w:hanging="567"/>
        <w:rPr>
          <w:sz w:val="22"/>
          <w:szCs w:val="22"/>
        </w:rPr>
      </w:pPr>
      <w:r w:rsidRPr="008912CF">
        <w:rPr>
          <w:b/>
          <w:sz w:val="22"/>
          <w:szCs w:val="22"/>
        </w:rPr>
        <w:t>7.</w:t>
      </w:r>
      <w:r w:rsidRPr="008912CF">
        <w:rPr>
          <w:b/>
          <w:sz w:val="22"/>
          <w:szCs w:val="22"/>
        </w:rPr>
        <w:tab/>
        <w:t xml:space="preserve">TITULAR DA AUTORIZAÇÃO DE INTRODUÇÃO NO MERCADO </w:t>
      </w:r>
    </w:p>
    <w:p w14:paraId="273ED743" w14:textId="77777777" w:rsidR="002F6811" w:rsidRPr="008912CF" w:rsidRDefault="002F6811" w:rsidP="002F6811">
      <w:pPr>
        <w:rPr>
          <w:sz w:val="22"/>
          <w:szCs w:val="22"/>
        </w:rPr>
      </w:pPr>
    </w:p>
    <w:p w14:paraId="30D4FD1F" w14:textId="77777777" w:rsidR="003B276F" w:rsidRPr="00140752" w:rsidRDefault="00615769" w:rsidP="00973CF1">
      <w:pPr>
        <w:keepNext/>
        <w:rPr>
          <w:sz w:val="22"/>
          <w:szCs w:val="22"/>
          <w:lang w:val="de-DE"/>
        </w:rPr>
      </w:pPr>
      <w:r w:rsidRPr="00140752">
        <w:rPr>
          <w:sz w:val="22"/>
          <w:szCs w:val="22"/>
          <w:lang w:val="de-DE"/>
        </w:rPr>
        <w:t>AbbVie Deutschland GmbH &amp; Co. KG</w:t>
      </w:r>
    </w:p>
    <w:p w14:paraId="75FF4CF0" w14:textId="77777777" w:rsidR="003B276F" w:rsidRPr="008D6D3A" w:rsidRDefault="00615769" w:rsidP="00973CF1">
      <w:pPr>
        <w:keepNext/>
        <w:rPr>
          <w:sz w:val="22"/>
          <w:szCs w:val="22"/>
          <w:lang w:val="de-CH"/>
        </w:rPr>
      </w:pPr>
      <w:r w:rsidRPr="008D6D3A">
        <w:rPr>
          <w:sz w:val="22"/>
          <w:szCs w:val="22"/>
          <w:lang w:val="de-CH"/>
        </w:rPr>
        <w:t>Knollstrasse</w:t>
      </w:r>
    </w:p>
    <w:p w14:paraId="5E377DFF" w14:textId="77777777" w:rsidR="003B276F" w:rsidRPr="00D35DAA" w:rsidRDefault="00615769" w:rsidP="00973CF1">
      <w:pPr>
        <w:keepNext/>
        <w:rPr>
          <w:sz w:val="22"/>
          <w:szCs w:val="22"/>
        </w:rPr>
      </w:pPr>
      <w:r w:rsidRPr="00D35DAA">
        <w:rPr>
          <w:sz w:val="22"/>
          <w:szCs w:val="22"/>
        </w:rPr>
        <w:t>67061 Ludwigshafen</w:t>
      </w:r>
    </w:p>
    <w:p w14:paraId="11E989F7" w14:textId="77777777" w:rsidR="003B276F" w:rsidRPr="00D35DAA" w:rsidRDefault="00615769" w:rsidP="00973CF1">
      <w:pPr>
        <w:keepNext/>
        <w:rPr>
          <w:sz w:val="22"/>
          <w:szCs w:val="22"/>
        </w:rPr>
      </w:pPr>
      <w:r w:rsidRPr="00D35DAA">
        <w:rPr>
          <w:sz w:val="22"/>
          <w:szCs w:val="22"/>
        </w:rPr>
        <w:t xml:space="preserve">Alemanha </w:t>
      </w:r>
    </w:p>
    <w:p w14:paraId="475E728A" w14:textId="77777777" w:rsidR="002F6811" w:rsidRPr="00D35DAA" w:rsidRDefault="002F6811" w:rsidP="002F6811">
      <w:pPr>
        <w:rPr>
          <w:sz w:val="22"/>
          <w:szCs w:val="22"/>
        </w:rPr>
      </w:pPr>
    </w:p>
    <w:p w14:paraId="0D5CFF9D" w14:textId="77777777" w:rsidR="002F6811" w:rsidRPr="00D35DAA" w:rsidRDefault="002F6811" w:rsidP="002F6811">
      <w:pPr>
        <w:rPr>
          <w:sz w:val="22"/>
          <w:szCs w:val="22"/>
        </w:rPr>
      </w:pPr>
    </w:p>
    <w:p w14:paraId="43C6D797" w14:textId="77777777" w:rsidR="002F6811" w:rsidRPr="008912CF" w:rsidRDefault="00615769" w:rsidP="002F6811">
      <w:pPr>
        <w:keepNext/>
        <w:ind w:left="567" w:hanging="567"/>
        <w:rPr>
          <w:b/>
          <w:sz w:val="22"/>
          <w:szCs w:val="22"/>
        </w:rPr>
      </w:pPr>
      <w:r w:rsidRPr="008912CF">
        <w:rPr>
          <w:b/>
          <w:sz w:val="22"/>
          <w:szCs w:val="22"/>
        </w:rPr>
        <w:t>8.</w:t>
      </w:r>
      <w:r w:rsidRPr="008912CF">
        <w:rPr>
          <w:b/>
          <w:sz w:val="22"/>
          <w:szCs w:val="22"/>
        </w:rPr>
        <w:tab/>
        <w:t xml:space="preserve">NÚMERO DA AUTORIZAÇÃO DE INTRODUÇÃO NO MERCADO </w:t>
      </w:r>
    </w:p>
    <w:p w14:paraId="3E49A67B" w14:textId="77777777" w:rsidR="002F6811" w:rsidRPr="008912CF" w:rsidRDefault="002F6811" w:rsidP="002F6811">
      <w:pPr>
        <w:keepNext/>
        <w:rPr>
          <w:sz w:val="22"/>
          <w:szCs w:val="22"/>
        </w:rPr>
      </w:pPr>
    </w:p>
    <w:p w14:paraId="2A84825E" w14:textId="77777777" w:rsidR="002F6811" w:rsidRPr="008912CF" w:rsidRDefault="00615769" w:rsidP="002F6811">
      <w:pPr>
        <w:keepNext/>
        <w:rPr>
          <w:sz w:val="22"/>
          <w:szCs w:val="22"/>
        </w:rPr>
      </w:pPr>
      <w:r w:rsidRPr="008912CF">
        <w:rPr>
          <w:sz w:val="22"/>
          <w:szCs w:val="22"/>
        </w:rPr>
        <w:t>EU/1/03/256/0</w:t>
      </w:r>
      <w:r w:rsidR="004B42F6">
        <w:rPr>
          <w:sz w:val="22"/>
          <w:szCs w:val="22"/>
        </w:rPr>
        <w:t>22</w:t>
      </w:r>
    </w:p>
    <w:p w14:paraId="388A2724" w14:textId="77777777" w:rsidR="002F6811" w:rsidRPr="008912CF" w:rsidRDefault="002F6811" w:rsidP="002F6811">
      <w:pPr>
        <w:rPr>
          <w:sz w:val="22"/>
          <w:szCs w:val="22"/>
        </w:rPr>
      </w:pPr>
    </w:p>
    <w:p w14:paraId="270C6580" w14:textId="77777777" w:rsidR="002F6811" w:rsidRPr="008912CF" w:rsidRDefault="002F6811" w:rsidP="002F6811">
      <w:pPr>
        <w:rPr>
          <w:sz w:val="22"/>
          <w:szCs w:val="22"/>
        </w:rPr>
      </w:pPr>
    </w:p>
    <w:p w14:paraId="219E95AD" w14:textId="77777777" w:rsidR="002F6811" w:rsidRPr="008912CF" w:rsidRDefault="00615769" w:rsidP="002F6811">
      <w:pPr>
        <w:pStyle w:val="BodyTextIndent2"/>
        <w:rPr>
          <w:szCs w:val="22"/>
        </w:rPr>
      </w:pPr>
      <w:r w:rsidRPr="008912CF">
        <w:rPr>
          <w:szCs w:val="22"/>
        </w:rPr>
        <w:t>9.</w:t>
      </w:r>
      <w:r w:rsidRPr="008912CF">
        <w:rPr>
          <w:szCs w:val="22"/>
        </w:rPr>
        <w:tab/>
        <w:t xml:space="preserve">DATA DA PRIMEIRA AUTORIZAÇÃO/RENOVAÇÃO DA AUTORIZAÇÃO DE INTRODUÇÃO NO MERCADO </w:t>
      </w:r>
    </w:p>
    <w:p w14:paraId="5BE0CDD6" w14:textId="77777777" w:rsidR="002F6811" w:rsidRPr="008912CF" w:rsidRDefault="002F6811" w:rsidP="002F6811">
      <w:pPr>
        <w:rPr>
          <w:sz w:val="22"/>
          <w:szCs w:val="22"/>
        </w:rPr>
      </w:pPr>
    </w:p>
    <w:p w14:paraId="5A45693A" w14:textId="77777777" w:rsidR="002F6811" w:rsidRPr="008912CF" w:rsidRDefault="00615769" w:rsidP="002F6811">
      <w:pPr>
        <w:textAlignment w:val="top"/>
        <w:rPr>
          <w:color w:val="888888"/>
          <w:sz w:val="22"/>
          <w:szCs w:val="22"/>
        </w:rPr>
      </w:pPr>
      <w:r w:rsidRPr="008912CF">
        <w:rPr>
          <w:sz w:val="22"/>
          <w:szCs w:val="22"/>
        </w:rPr>
        <w:t xml:space="preserve">Data da primeira autorização: 08 </w:t>
      </w:r>
      <w:r w:rsidR="00E7501D">
        <w:rPr>
          <w:sz w:val="22"/>
          <w:szCs w:val="22"/>
        </w:rPr>
        <w:t xml:space="preserve">de </w:t>
      </w:r>
      <w:r w:rsidRPr="008912CF">
        <w:rPr>
          <w:rStyle w:val="hps"/>
          <w:color w:val="000000"/>
          <w:sz w:val="22"/>
          <w:szCs w:val="22"/>
        </w:rPr>
        <w:t xml:space="preserve">setembro </w:t>
      </w:r>
      <w:r w:rsidR="00E7501D">
        <w:rPr>
          <w:rStyle w:val="hps"/>
          <w:color w:val="000000"/>
          <w:sz w:val="22"/>
          <w:szCs w:val="22"/>
        </w:rPr>
        <w:t xml:space="preserve">de </w:t>
      </w:r>
      <w:r w:rsidRPr="008912CF">
        <w:rPr>
          <w:rStyle w:val="hps"/>
          <w:color w:val="000000"/>
          <w:sz w:val="22"/>
          <w:szCs w:val="22"/>
        </w:rPr>
        <w:t>2003</w:t>
      </w:r>
    </w:p>
    <w:p w14:paraId="33E2B1C9" w14:textId="77777777" w:rsidR="002F6811" w:rsidRPr="008912CF" w:rsidRDefault="00615769" w:rsidP="002F6811">
      <w:pPr>
        <w:pStyle w:val="IndexHeading"/>
        <w:tabs>
          <w:tab w:val="clear" w:pos="567"/>
        </w:tabs>
        <w:spacing w:line="240" w:lineRule="auto"/>
        <w:ind w:left="567" w:hanging="567"/>
        <w:rPr>
          <w:rFonts w:ascii="Times New Roman" w:hAnsi="Times New Roman"/>
          <w:b w:val="0"/>
          <w:bCs/>
          <w:szCs w:val="22"/>
          <w:lang w:val="pt-PT"/>
        </w:rPr>
      </w:pPr>
      <w:r w:rsidRPr="008912CF">
        <w:rPr>
          <w:rFonts w:ascii="Times New Roman" w:hAnsi="Times New Roman"/>
          <w:b w:val="0"/>
          <w:szCs w:val="22"/>
          <w:lang w:val="pt-PT"/>
        </w:rPr>
        <w:t xml:space="preserve">Data da última renovação: 08 </w:t>
      </w:r>
      <w:r w:rsidR="00E7501D">
        <w:rPr>
          <w:rFonts w:ascii="Times New Roman" w:hAnsi="Times New Roman"/>
          <w:b w:val="0"/>
          <w:szCs w:val="22"/>
          <w:lang w:val="pt-PT"/>
        </w:rPr>
        <w:t xml:space="preserve">de </w:t>
      </w:r>
      <w:r w:rsidRPr="008912CF">
        <w:rPr>
          <w:rStyle w:val="hps"/>
          <w:rFonts w:ascii="Times New Roman" w:hAnsi="Times New Roman"/>
          <w:b w:val="0"/>
          <w:color w:val="000000"/>
          <w:szCs w:val="22"/>
          <w:lang w:val="pt-PT"/>
        </w:rPr>
        <w:t xml:space="preserve">setembro </w:t>
      </w:r>
      <w:r w:rsidR="00E7501D">
        <w:rPr>
          <w:rStyle w:val="hps"/>
          <w:rFonts w:ascii="Times New Roman" w:hAnsi="Times New Roman"/>
          <w:b w:val="0"/>
          <w:color w:val="000000"/>
          <w:szCs w:val="22"/>
          <w:lang w:val="pt-PT"/>
        </w:rPr>
        <w:t xml:space="preserve">de </w:t>
      </w:r>
      <w:r w:rsidRPr="008912CF">
        <w:rPr>
          <w:rStyle w:val="hps"/>
          <w:rFonts w:ascii="Times New Roman" w:hAnsi="Times New Roman"/>
          <w:b w:val="0"/>
          <w:color w:val="000000"/>
          <w:szCs w:val="22"/>
          <w:lang w:val="pt-PT"/>
        </w:rPr>
        <w:t>2008</w:t>
      </w:r>
    </w:p>
    <w:p w14:paraId="1ACB2C16" w14:textId="77777777" w:rsidR="002F6811" w:rsidRPr="00431557" w:rsidRDefault="002F6811" w:rsidP="002F6811">
      <w:pPr>
        <w:pStyle w:val="IndexHeading"/>
        <w:tabs>
          <w:tab w:val="clear" w:pos="567"/>
        </w:tabs>
        <w:spacing w:line="240" w:lineRule="auto"/>
        <w:ind w:left="567" w:hanging="567"/>
        <w:rPr>
          <w:rFonts w:ascii="Times New Roman" w:hAnsi="Times New Roman"/>
          <w:b w:val="0"/>
          <w:bCs/>
          <w:szCs w:val="22"/>
          <w:lang w:val="pt-PT"/>
        </w:rPr>
      </w:pPr>
    </w:p>
    <w:p w14:paraId="7F670714" w14:textId="77777777" w:rsidR="002F6811" w:rsidRPr="00431557" w:rsidRDefault="002F6811" w:rsidP="002F6811">
      <w:pPr>
        <w:pStyle w:val="IndexHeading"/>
        <w:tabs>
          <w:tab w:val="clear" w:pos="567"/>
        </w:tabs>
        <w:spacing w:line="240" w:lineRule="auto"/>
        <w:ind w:left="567" w:hanging="567"/>
        <w:rPr>
          <w:rFonts w:ascii="Times New Roman" w:hAnsi="Times New Roman"/>
          <w:b w:val="0"/>
          <w:bCs/>
          <w:szCs w:val="22"/>
          <w:lang w:val="pt-PT"/>
        </w:rPr>
      </w:pPr>
    </w:p>
    <w:p w14:paraId="2E878839" w14:textId="77777777" w:rsidR="002F6811" w:rsidRPr="008912CF" w:rsidRDefault="00615769" w:rsidP="002F486F">
      <w:pPr>
        <w:pStyle w:val="IndexHeading"/>
        <w:keepNext/>
        <w:tabs>
          <w:tab w:val="clear" w:pos="567"/>
        </w:tabs>
        <w:spacing w:line="240" w:lineRule="auto"/>
        <w:ind w:left="567" w:hanging="567"/>
        <w:rPr>
          <w:rFonts w:ascii="Times New Roman" w:hAnsi="Times New Roman"/>
          <w:bCs/>
          <w:szCs w:val="22"/>
          <w:lang w:val="pt-PT"/>
        </w:rPr>
      </w:pPr>
      <w:r w:rsidRPr="008912CF">
        <w:rPr>
          <w:rFonts w:ascii="Times New Roman" w:hAnsi="Times New Roman"/>
          <w:bCs/>
          <w:szCs w:val="22"/>
          <w:lang w:val="pt-PT"/>
        </w:rPr>
        <w:t>10.</w:t>
      </w:r>
      <w:r w:rsidRPr="008912CF">
        <w:rPr>
          <w:rFonts w:ascii="Times New Roman" w:hAnsi="Times New Roman"/>
          <w:bCs/>
          <w:szCs w:val="22"/>
          <w:lang w:val="pt-PT"/>
        </w:rPr>
        <w:tab/>
        <w:t>DATA DA REVISÃO DO TEXTO</w:t>
      </w:r>
    </w:p>
    <w:p w14:paraId="2081B339" w14:textId="77777777" w:rsidR="002F6811" w:rsidRPr="00431557" w:rsidRDefault="002F6811" w:rsidP="002F486F">
      <w:pPr>
        <w:keepNext/>
        <w:rPr>
          <w:sz w:val="22"/>
          <w:szCs w:val="22"/>
        </w:rPr>
      </w:pPr>
    </w:p>
    <w:p w14:paraId="2AC5543F" w14:textId="78835C32" w:rsidR="002F6811" w:rsidRDefault="00615769" w:rsidP="002F486F">
      <w:pPr>
        <w:keepNext/>
        <w:rPr>
          <w:sz w:val="22"/>
          <w:szCs w:val="22"/>
        </w:rPr>
      </w:pPr>
      <w:r w:rsidRPr="008912CF">
        <w:rPr>
          <w:sz w:val="22"/>
          <w:szCs w:val="22"/>
        </w:rPr>
        <w:t xml:space="preserve">Está disponível informação pormenorizada sobre este medicamento no sítio da internet da Agência Europeia de Medicamentos: </w:t>
      </w:r>
      <w:ins w:id="24" w:author="AbbVie2" w:date="2025-05-19T09:51:00Z">
        <w:r w:rsidR="0003481B">
          <w:rPr>
            <w:sz w:val="22"/>
            <w:szCs w:val="22"/>
          </w:rPr>
          <w:fldChar w:fldCharType="begin"/>
        </w:r>
        <w:r w:rsidR="0003481B">
          <w:rPr>
            <w:sz w:val="22"/>
            <w:szCs w:val="22"/>
          </w:rPr>
          <w:instrText>HYPERLINK "</w:instrText>
        </w:r>
      </w:ins>
      <w:r w:rsidR="0003481B" w:rsidRPr="008912CF">
        <w:rPr>
          <w:sz w:val="22"/>
          <w:szCs w:val="22"/>
        </w:rPr>
        <w:instrText>http</w:instrText>
      </w:r>
      <w:ins w:id="25" w:author="AbbVie2" w:date="2025-05-16T15:35:00Z">
        <w:r w:rsidR="0003481B">
          <w:rPr>
            <w:sz w:val="22"/>
            <w:szCs w:val="22"/>
          </w:rPr>
          <w:instrText>s</w:instrText>
        </w:r>
      </w:ins>
      <w:r w:rsidR="0003481B" w:rsidRPr="008912CF">
        <w:rPr>
          <w:sz w:val="22"/>
          <w:szCs w:val="22"/>
        </w:rPr>
        <w:instrText>://www.ema.europa.eu</w:instrText>
      </w:r>
      <w:ins w:id="26" w:author="AbbVie2" w:date="2025-05-19T09:51:00Z">
        <w:r w:rsidR="0003481B">
          <w:rPr>
            <w:sz w:val="22"/>
            <w:szCs w:val="22"/>
          </w:rPr>
          <w:instrText>"</w:instrText>
        </w:r>
        <w:r w:rsidR="0003481B">
          <w:rPr>
            <w:sz w:val="22"/>
            <w:szCs w:val="22"/>
          </w:rPr>
        </w:r>
        <w:r w:rsidR="0003481B">
          <w:rPr>
            <w:sz w:val="22"/>
            <w:szCs w:val="22"/>
          </w:rPr>
          <w:fldChar w:fldCharType="separate"/>
        </w:r>
      </w:ins>
      <w:r w:rsidR="0003481B" w:rsidRPr="005B0539">
        <w:rPr>
          <w:rStyle w:val="Hyperlink"/>
          <w:sz w:val="22"/>
          <w:szCs w:val="22"/>
        </w:rPr>
        <w:t>http</w:t>
      </w:r>
      <w:ins w:id="27" w:author="AbbVie2" w:date="2025-05-16T15:35:00Z">
        <w:r w:rsidR="0003481B" w:rsidRPr="005B0539">
          <w:rPr>
            <w:rStyle w:val="Hyperlink"/>
            <w:sz w:val="22"/>
            <w:szCs w:val="22"/>
          </w:rPr>
          <w:t>s</w:t>
        </w:r>
      </w:ins>
      <w:r w:rsidR="0003481B" w:rsidRPr="005B0539">
        <w:rPr>
          <w:rStyle w:val="Hyperlink"/>
          <w:sz w:val="22"/>
          <w:szCs w:val="22"/>
        </w:rPr>
        <w:t>://www.ema.europa.eu</w:t>
      </w:r>
      <w:ins w:id="28" w:author="AbbVie2" w:date="2025-05-19T09:51:00Z">
        <w:r w:rsidR="0003481B">
          <w:rPr>
            <w:sz w:val="22"/>
            <w:szCs w:val="22"/>
          </w:rPr>
          <w:fldChar w:fldCharType="end"/>
        </w:r>
        <w:r w:rsidR="0003481B">
          <w:rPr>
            <w:sz w:val="22"/>
            <w:szCs w:val="22"/>
          </w:rPr>
          <w:t xml:space="preserve"> </w:t>
        </w:r>
      </w:ins>
    </w:p>
    <w:p w14:paraId="6F3DB3C0" w14:textId="77777777" w:rsidR="00163483" w:rsidRDefault="00615769">
      <w:pPr>
        <w:spacing w:after="200" w:line="276" w:lineRule="auto"/>
        <w:rPr>
          <w:b/>
          <w:sz w:val="22"/>
          <w:szCs w:val="22"/>
        </w:rPr>
      </w:pPr>
      <w:r>
        <w:rPr>
          <w:b/>
          <w:sz w:val="22"/>
          <w:szCs w:val="22"/>
        </w:rPr>
        <w:br w:type="page"/>
      </w:r>
    </w:p>
    <w:p w14:paraId="2D25B5CD" w14:textId="52E3FEEB" w:rsidR="004462A0" w:rsidRPr="00A7660D" w:rsidRDefault="00615769" w:rsidP="004462A0">
      <w:pPr>
        <w:ind w:left="567" w:hanging="567"/>
        <w:rPr>
          <w:del w:id="29" w:author="AbbVie2" w:date="2025-05-13T16:36:00Z"/>
          <w:sz w:val="22"/>
          <w:szCs w:val="22"/>
        </w:rPr>
      </w:pPr>
      <w:del w:id="30" w:author="AbbVie2" w:date="2025-05-13T16:36:00Z">
        <w:r w:rsidRPr="00A7660D">
          <w:rPr>
            <w:b/>
            <w:sz w:val="22"/>
            <w:szCs w:val="22"/>
          </w:rPr>
          <w:delText>1.</w:delText>
        </w:r>
        <w:r w:rsidRPr="00A7660D">
          <w:rPr>
            <w:b/>
            <w:sz w:val="22"/>
            <w:szCs w:val="22"/>
          </w:rPr>
          <w:tab/>
          <w:delText>NOME DO MEDICAMENTO</w:delText>
        </w:r>
      </w:del>
    </w:p>
    <w:p w14:paraId="1ABC466D" w14:textId="0FB7653A" w:rsidR="004462A0" w:rsidRPr="00A7660D" w:rsidRDefault="004462A0" w:rsidP="004462A0">
      <w:pPr>
        <w:rPr>
          <w:del w:id="31" w:author="AbbVie2" w:date="2025-05-13T16:36:00Z"/>
          <w:sz w:val="22"/>
          <w:szCs w:val="22"/>
        </w:rPr>
      </w:pPr>
    </w:p>
    <w:p w14:paraId="43E68BFA" w14:textId="34E43DD4" w:rsidR="004462A0" w:rsidRPr="00A7660D" w:rsidRDefault="00615769" w:rsidP="004462A0">
      <w:pPr>
        <w:rPr>
          <w:del w:id="32" w:author="AbbVie2" w:date="2025-05-13T16:36:00Z"/>
          <w:sz w:val="22"/>
          <w:szCs w:val="22"/>
        </w:rPr>
      </w:pPr>
      <w:bookmarkStart w:id="33" w:name="OLE_LINK9"/>
      <w:bookmarkStart w:id="34" w:name="OLE_LINK10"/>
      <w:del w:id="35" w:author="AbbVie2" w:date="2025-05-13T16:36:00Z">
        <w:r w:rsidRPr="00A7660D">
          <w:rPr>
            <w:sz w:val="22"/>
            <w:szCs w:val="22"/>
          </w:rPr>
          <w:delText>Humira 40 mg/0,8 ml solução injetável</w:delText>
        </w:r>
      </w:del>
    </w:p>
    <w:bookmarkEnd w:id="33"/>
    <w:bookmarkEnd w:id="34"/>
    <w:p w14:paraId="7E94E17D" w14:textId="299009A8" w:rsidR="004462A0" w:rsidRPr="00A7660D" w:rsidRDefault="004462A0" w:rsidP="004462A0">
      <w:pPr>
        <w:rPr>
          <w:del w:id="36" w:author="AbbVie2" w:date="2025-05-13T16:36:00Z"/>
          <w:sz w:val="22"/>
          <w:szCs w:val="22"/>
        </w:rPr>
      </w:pPr>
    </w:p>
    <w:p w14:paraId="309B794A" w14:textId="15CF36D1" w:rsidR="004462A0" w:rsidRPr="00A7660D" w:rsidRDefault="004462A0" w:rsidP="004462A0">
      <w:pPr>
        <w:rPr>
          <w:del w:id="37" w:author="AbbVie2" w:date="2025-05-13T16:36:00Z"/>
          <w:sz w:val="22"/>
          <w:szCs w:val="22"/>
        </w:rPr>
      </w:pPr>
    </w:p>
    <w:p w14:paraId="5788CF8B" w14:textId="6BB186AF" w:rsidR="004462A0" w:rsidRPr="00A7660D" w:rsidRDefault="00615769" w:rsidP="004462A0">
      <w:pPr>
        <w:ind w:left="567" w:hanging="567"/>
        <w:rPr>
          <w:del w:id="38" w:author="AbbVie2" w:date="2025-05-13T16:36:00Z"/>
          <w:sz w:val="22"/>
          <w:szCs w:val="22"/>
        </w:rPr>
      </w:pPr>
      <w:del w:id="39" w:author="AbbVie2" w:date="2025-05-13T16:36:00Z">
        <w:r w:rsidRPr="00A7660D">
          <w:rPr>
            <w:b/>
            <w:sz w:val="22"/>
            <w:szCs w:val="22"/>
          </w:rPr>
          <w:delText>2.</w:delText>
        </w:r>
        <w:r w:rsidRPr="00A7660D">
          <w:rPr>
            <w:b/>
            <w:sz w:val="22"/>
            <w:szCs w:val="22"/>
          </w:rPr>
          <w:tab/>
          <w:delText>COMPOSIÇÃO QUALITATIVA E QUANTITATIVA</w:delText>
        </w:r>
      </w:del>
    </w:p>
    <w:p w14:paraId="368EE229" w14:textId="1488E5FB" w:rsidR="004462A0" w:rsidRPr="00A7660D" w:rsidRDefault="004462A0" w:rsidP="004462A0">
      <w:pPr>
        <w:rPr>
          <w:del w:id="40" w:author="AbbVie2" w:date="2025-05-13T16:36:00Z"/>
          <w:i/>
          <w:sz w:val="22"/>
          <w:szCs w:val="22"/>
        </w:rPr>
      </w:pPr>
    </w:p>
    <w:p w14:paraId="2287107E" w14:textId="0252659E" w:rsidR="004462A0" w:rsidRPr="00A7660D" w:rsidRDefault="00615769" w:rsidP="004462A0">
      <w:pPr>
        <w:autoSpaceDE w:val="0"/>
        <w:autoSpaceDN w:val="0"/>
        <w:adjustRightInd w:val="0"/>
        <w:rPr>
          <w:del w:id="41" w:author="AbbVie2" w:date="2025-05-13T16:36:00Z"/>
          <w:sz w:val="22"/>
          <w:szCs w:val="22"/>
        </w:rPr>
      </w:pPr>
      <w:del w:id="42" w:author="AbbVie2" w:date="2025-05-13T16:36:00Z">
        <w:r w:rsidRPr="00A7660D">
          <w:rPr>
            <w:sz w:val="22"/>
            <w:szCs w:val="22"/>
          </w:rPr>
          <w:delText>Cada frasco para injetáveis de 0,8 ml para dose única contém 40 mg de adalimumab.</w:delText>
        </w:r>
      </w:del>
    </w:p>
    <w:p w14:paraId="32908432" w14:textId="2E111F83" w:rsidR="004462A0" w:rsidRPr="00A7660D" w:rsidRDefault="004462A0" w:rsidP="004462A0">
      <w:pPr>
        <w:autoSpaceDE w:val="0"/>
        <w:autoSpaceDN w:val="0"/>
        <w:adjustRightInd w:val="0"/>
        <w:rPr>
          <w:del w:id="43" w:author="AbbVie2" w:date="2025-05-13T16:36:00Z"/>
          <w:sz w:val="22"/>
          <w:szCs w:val="22"/>
        </w:rPr>
      </w:pPr>
    </w:p>
    <w:p w14:paraId="6D2C4482" w14:textId="3B3F202A" w:rsidR="004462A0" w:rsidRPr="00A7660D" w:rsidRDefault="00615769" w:rsidP="004462A0">
      <w:pPr>
        <w:autoSpaceDE w:val="0"/>
        <w:autoSpaceDN w:val="0"/>
        <w:adjustRightInd w:val="0"/>
        <w:rPr>
          <w:del w:id="44" w:author="AbbVie2" w:date="2025-05-13T16:36:00Z"/>
          <w:sz w:val="22"/>
          <w:szCs w:val="22"/>
        </w:rPr>
      </w:pPr>
      <w:del w:id="45" w:author="AbbVie2" w:date="2025-05-13T16:36:00Z">
        <w:r w:rsidRPr="00A7660D">
          <w:rPr>
            <w:sz w:val="22"/>
            <w:szCs w:val="22"/>
          </w:rPr>
          <w:delText xml:space="preserve">Adalimumab é um anticorpo monoclonal humano recombinante </w:delText>
        </w:r>
        <w:r w:rsidR="00D34BF5">
          <w:rPr>
            <w:sz w:val="22"/>
            <w:szCs w:val="22"/>
          </w:rPr>
          <w:delText>produzido</w:delText>
        </w:r>
        <w:r w:rsidRPr="00A7660D">
          <w:rPr>
            <w:sz w:val="22"/>
            <w:szCs w:val="22"/>
          </w:rPr>
          <w:delText xml:space="preserve"> em células de Ovário do Hamster Chinês.</w:delText>
        </w:r>
      </w:del>
    </w:p>
    <w:p w14:paraId="564D20F7" w14:textId="7FC1C099" w:rsidR="004462A0" w:rsidRPr="00A7660D" w:rsidRDefault="004462A0" w:rsidP="004462A0">
      <w:pPr>
        <w:autoSpaceDE w:val="0"/>
        <w:autoSpaceDN w:val="0"/>
        <w:adjustRightInd w:val="0"/>
        <w:rPr>
          <w:del w:id="46" w:author="AbbVie2" w:date="2025-05-13T16:36:00Z"/>
          <w:sz w:val="22"/>
          <w:szCs w:val="22"/>
        </w:rPr>
      </w:pPr>
    </w:p>
    <w:p w14:paraId="67F699BE" w14:textId="65A1F136" w:rsidR="004462A0" w:rsidRPr="00A7660D" w:rsidRDefault="00615769" w:rsidP="004462A0">
      <w:pPr>
        <w:rPr>
          <w:del w:id="47" w:author="AbbVie2" w:date="2025-05-13T16:36:00Z"/>
          <w:sz w:val="22"/>
          <w:szCs w:val="22"/>
        </w:rPr>
      </w:pPr>
      <w:del w:id="48" w:author="AbbVie2" w:date="2025-05-13T16:36:00Z">
        <w:r w:rsidRPr="00A7660D">
          <w:rPr>
            <w:sz w:val="22"/>
            <w:szCs w:val="22"/>
          </w:rPr>
          <w:delText>Lista completa de excipientes, ver secção 6.1.</w:delText>
        </w:r>
      </w:del>
    </w:p>
    <w:p w14:paraId="7A74EB15" w14:textId="10AF90AB" w:rsidR="004462A0" w:rsidRPr="00A7660D" w:rsidRDefault="004462A0" w:rsidP="004462A0">
      <w:pPr>
        <w:pStyle w:val="EndnoteText"/>
        <w:tabs>
          <w:tab w:val="clear" w:pos="567"/>
        </w:tabs>
        <w:rPr>
          <w:del w:id="49" w:author="AbbVie2" w:date="2025-05-13T16:36:00Z"/>
          <w:szCs w:val="22"/>
        </w:rPr>
      </w:pPr>
    </w:p>
    <w:p w14:paraId="726B7565" w14:textId="3A4DA0C0" w:rsidR="004462A0" w:rsidRPr="00A7660D" w:rsidRDefault="004462A0" w:rsidP="004462A0">
      <w:pPr>
        <w:rPr>
          <w:del w:id="50" w:author="AbbVie2" w:date="2025-05-13T16:36:00Z"/>
          <w:sz w:val="22"/>
          <w:szCs w:val="22"/>
        </w:rPr>
      </w:pPr>
    </w:p>
    <w:p w14:paraId="1F838BC5" w14:textId="27480DE3" w:rsidR="004462A0" w:rsidRPr="00A7660D" w:rsidRDefault="00615769" w:rsidP="004462A0">
      <w:pPr>
        <w:ind w:left="567" w:hanging="567"/>
        <w:rPr>
          <w:del w:id="51" w:author="AbbVie2" w:date="2025-05-13T16:36:00Z"/>
          <w:b/>
          <w:caps/>
          <w:sz w:val="22"/>
          <w:szCs w:val="22"/>
          <w:highlight w:val="yellow"/>
        </w:rPr>
      </w:pPr>
      <w:del w:id="52" w:author="AbbVie2" w:date="2025-05-13T16:36:00Z">
        <w:r w:rsidRPr="00A7660D">
          <w:rPr>
            <w:b/>
            <w:sz w:val="22"/>
            <w:szCs w:val="22"/>
          </w:rPr>
          <w:delText>3.</w:delText>
        </w:r>
        <w:r w:rsidRPr="00A7660D">
          <w:rPr>
            <w:b/>
            <w:sz w:val="22"/>
            <w:szCs w:val="22"/>
          </w:rPr>
          <w:tab/>
        </w:r>
        <w:r w:rsidRPr="00A7660D">
          <w:rPr>
            <w:b/>
            <w:caps/>
            <w:sz w:val="22"/>
            <w:szCs w:val="22"/>
          </w:rPr>
          <w:delText>formA FARMACÊUTICA</w:delText>
        </w:r>
      </w:del>
    </w:p>
    <w:p w14:paraId="1495C396" w14:textId="12497597" w:rsidR="004462A0" w:rsidRPr="00A7660D" w:rsidRDefault="004462A0" w:rsidP="004462A0">
      <w:pPr>
        <w:rPr>
          <w:del w:id="53" w:author="AbbVie2" w:date="2025-05-13T16:36:00Z"/>
          <w:b/>
          <w:caps/>
          <w:sz w:val="22"/>
          <w:szCs w:val="22"/>
        </w:rPr>
      </w:pPr>
    </w:p>
    <w:p w14:paraId="507CFBC0" w14:textId="28FE695C" w:rsidR="004462A0" w:rsidRPr="00A7660D" w:rsidRDefault="00615769" w:rsidP="004462A0">
      <w:pPr>
        <w:rPr>
          <w:del w:id="54" w:author="AbbVie2" w:date="2025-05-13T16:36:00Z"/>
          <w:sz w:val="22"/>
          <w:szCs w:val="22"/>
        </w:rPr>
      </w:pPr>
      <w:del w:id="55" w:author="AbbVie2" w:date="2025-05-13T16:36:00Z">
        <w:r w:rsidRPr="00A7660D">
          <w:rPr>
            <w:sz w:val="22"/>
            <w:szCs w:val="22"/>
          </w:rPr>
          <w:delText>Solução injetável</w:delText>
        </w:r>
        <w:r w:rsidR="000C0AA3">
          <w:rPr>
            <w:sz w:val="22"/>
            <w:szCs w:val="22"/>
          </w:rPr>
          <w:delText>.</w:delText>
        </w:r>
        <w:r w:rsidR="00D34BF5">
          <w:rPr>
            <w:sz w:val="22"/>
            <w:szCs w:val="22"/>
          </w:rPr>
          <w:delText xml:space="preserve"> (</w:delText>
        </w:r>
        <w:r w:rsidR="008F48BD">
          <w:rPr>
            <w:sz w:val="22"/>
            <w:szCs w:val="22"/>
          </w:rPr>
          <w:delText>injetável</w:delText>
        </w:r>
        <w:r w:rsidR="00D34BF5">
          <w:rPr>
            <w:sz w:val="22"/>
            <w:szCs w:val="22"/>
          </w:rPr>
          <w:delText>)</w:delText>
        </w:r>
      </w:del>
    </w:p>
    <w:p w14:paraId="65D2DFAC" w14:textId="431CB168" w:rsidR="004462A0" w:rsidRPr="00A7660D" w:rsidRDefault="004462A0" w:rsidP="004462A0">
      <w:pPr>
        <w:rPr>
          <w:del w:id="56" w:author="AbbVie2" w:date="2025-05-13T16:36:00Z"/>
          <w:sz w:val="22"/>
          <w:szCs w:val="22"/>
        </w:rPr>
      </w:pPr>
    </w:p>
    <w:p w14:paraId="65DBAB0A" w14:textId="1E6017D4" w:rsidR="004462A0" w:rsidRPr="00A7660D" w:rsidRDefault="00615769" w:rsidP="004462A0">
      <w:pPr>
        <w:rPr>
          <w:del w:id="57" w:author="AbbVie2" w:date="2025-05-13T16:36:00Z"/>
          <w:sz w:val="22"/>
          <w:szCs w:val="22"/>
        </w:rPr>
      </w:pPr>
      <w:del w:id="58" w:author="AbbVie2" w:date="2025-05-13T16:36:00Z">
        <w:r w:rsidRPr="00A7660D">
          <w:rPr>
            <w:sz w:val="22"/>
            <w:szCs w:val="22"/>
          </w:rPr>
          <w:delText>Solução límpida e incolor.</w:delText>
        </w:r>
      </w:del>
    </w:p>
    <w:p w14:paraId="373D8B81" w14:textId="677EEF10" w:rsidR="004462A0" w:rsidRPr="00A7660D" w:rsidRDefault="004462A0" w:rsidP="004462A0">
      <w:pPr>
        <w:pStyle w:val="EndnoteText"/>
        <w:tabs>
          <w:tab w:val="clear" w:pos="567"/>
        </w:tabs>
        <w:rPr>
          <w:del w:id="59" w:author="AbbVie2" w:date="2025-05-13T16:36:00Z"/>
          <w:szCs w:val="22"/>
        </w:rPr>
      </w:pPr>
    </w:p>
    <w:p w14:paraId="4F1DAAC8" w14:textId="0BA62ADB" w:rsidR="004462A0" w:rsidRPr="00A7660D" w:rsidRDefault="004462A0" w:rsidP="004462A0">
      <w:pPr>
        <w:rPr>
          <w:del w:id="60" w:author="AbbVie2" w:date="2025-05-13T16:36:00Z"/>
          <w:sz w:val="22"/>
          <w:szCs w:val="22"/>
        </w:rPr>
      </w:pPr>
    </w:p>
    <w:p w14:paraId="402D891B" w14:textId="676F17AD" w:rsidR="004462A0" w:rsidRPr="00A7660D" w:rsidRDefault="00615769" w:rsidP="004462A0">
      <w:pPr>
        <w:ind w:left="567" w:hanging="567"/>
        <w:rPr>
          <w:del w:id="61" w:author="AbbVie2" w:date="2025-05-13T16:36:00Z"/>
          <w:caps/>
          <w:sz w:val="22"/>
          <w:szCs w:val="22"/>
        </w:rPr>
      </w:pPr>
      <w:del w:id="62" w:author="AbbVie2" w:date="2025-05-13T16:36:00Z">
        <w:r w:rsidRPr="00A7660D">
          <w:rPr>
            <w:b/>
            <w:caps/>
            <w:sz w:val="22"/>
            <w:szCs w:val="22"/>
          </w:rPr>
          <w:delText>4.</w:delText>
        </w:r>
        <w:r w:rsidRPr="00A7660D">
          <w:rPr>
            <w:b/>
            <w:caps/>
            <w:sz w:val="22"/>
            <w:szCs w:val="22"/>
          </w:rPr>
          <w:tab/>
          <w:delText>INFORMAÇÕES CLÍNICAS</w:delText>
        </w:r>
      </w:del>
    </w:p>
    <w:p w14:paraId="2DF1B178" w14:textId="2BEC425C" w:rsidR="004462A0" w:rsidRPr="00A7660D" w:rsidRDefault="004462A0" w:rsidP="004462A0">
      <w:pPr>
        <w:rPr>
          <w:del w:id="63" w:author="AbbVie2" w:date="2025-05-13T16:36:00Z"/>
          <w:sz w:val="22"/>
          <w:szCs w:val="22"/>
        </w:rPr>
      </w:pPr>
    </w:p>
    <w:p w14:paraId="2C320836" w14:textId="0B0E149B" w:rsidR="004462A0" w:rsidRPr="00A7660D" w:rsidRDefault="00615769" w:rsidP="004462A0">
      <w:pPr>
        <w:ind w:left="567" w:hanging="567"/>
        <w:rPr>
          <w:del w:id="64" w:author="AbbVie2" w:date="2025-05-13T16:36:00Z"/>
          <w:sz w:val="22"/>
          <w:szCs w:val="22"/>
        </w:rPr>
      </w:pPr>
      <w:del w:id="65" w:author="AbbVie2" w:date="2025-05-13T16:36:00Z">
        <w:r w:rsidRPr="00A7660D">
          <w:rPr>
            <w:b/>
            <w:sz w:val="22"/>
            <w:szCs w:val="22"/>
          </w:rPr>
          <w:delText>4.1</w:delText>
        </w:r>
        <w:r w:rsidRPr="00A7660D">
          <w:rPr>
            <w:b/>
            <w:sz w:val="22"/>
            <w:szCs w:val="22"/>
          </w:rPr>
          <w:tab/>
          <w:delText>Indicações terapêuticas</w:delText>
        </w:r>
      </w:del>
    </w:p>
    <w:p w14:paraId="1671BB43" w14:textId="363945B7" w:rsidR="004462A0" w:rsidRPr="00A7660D" w:rsidRDefault="004462A0" w:rsidP="004462A0">
      <w:pPr>
        <w:pStyle w:val="EndnoteText"/>
        <w:tabs>
          <w:tab w:val="clear" w:pos="567"/>
        </w:tabs>
        <w:rPr>
          <w:del w:id="66" w:author="AbbVie2" w:date="2025-05-13T16:36:00Z"/>
          <w:szCs w:val="22"/>
        </w:rPr>
      </w:pPr>
    </w:p>
    <w:p w14:paraId="2429C34C" w14:textId="499F0F9B" w:rsidR="004462A0" w:rsidRPr="00A7660D" w:rsidRDefault="00615769" w:rsidP="004462A0">
      <w:pPr>
        <w:pStyle w:val="BodyText2"/>
        <w:autoSpaceDE/>
        <w:autoSpaceDN/>
        <w:adjustRightInd/>
        <w:rPr>
          <w:del w:id="67" w:author="AbbVie2" w:date="2025-05-13T16:36:00Z"/>
          <w:szCs w:val="22"/>
          <w:u w:val="single"/>
        </w:rPr>
      </w:pPr>
      <w:del w:id="68" w:author="AbbVie2" w:date="2025-05-13T16:36:00Z">
        <w:r w:rsidRPr="00A7660D">
          <w:rPr>
            <w:szCs w:val="22"/>
            <w:u w:val="single"/>
          </w:rPr>
          <w:delText>Artrite idiopática juvenil</w:delText>
        </w:r>
      </w:del>
    </w:p>
    <w:p w14:paraId="7135F8CC" w14:textId="76269275" w:rsidR="004462A0" w:rsidRPr="00A7660D" w:rsidRDefault="004462A0" w:rsidP="004462A0">
      <w:pPr>
        <w:pStyle w:val="BodyText2"/>
        <w:autoSpaceDE/>
        <w:autoSpaceDN/>
        <w:adjustRightInd/>
        <w:rPr>
          <w:del w:id="69" w:author="AbbVie2" w:date="2025-05-13T16:36:00Z"/>
          <w:szCs w:val="22"/>
          <w:u w:val="single"/>
        </w:rPr>
      </w:pPr>
    </w:p>
    <w:p w14:paraId="3E96A12C" w14:textId="2ABE2D47" w:rsidR="004462A0" w:rsidRPr="00A7660D" w:rsidRDefault="00615769" w:rsidP="004462A0">
      <w:pPr>
        <w:pStyle w:val="BodyText2"/>
        <w:autoSpaceDE/>
        <w:autoSpaceDN/>
        <w:adjustRightInd/>
        <w:rPr>
          <w:del w:id="70" w:author="AbbVie2" w:date="2025-05-13T16:36:00Z"/>
          <w:szCs w:val="22"/>
        </w:rPr>
      </w:pPr>
      <w:del w:id="71" w:author="AbbVie2" w:date="2025-05-13T16:36:00Z">
        <w:r w:rsidRPr="00A7660D">
          <w:rPr>
            <w:i/>
            <w:szCs w:val="22"/>
          </w:rPr>
          <w:delText>Artrite idiopática juvenil poliarticular</w:delText>
        </w:r>
      </w:del>
    </w:p>
    <w:p w14:paraId="33B1E097" w14:textId="5CDBBDD4" w:rsidR="004462A0" w:rsidRPr="00A7660D" w:rsidRDefault="004462A0" w:rsidP="004462A0">
      <w:pPr>
        <w:pStyle w:val="BodyText2"/>
        <w:autoSpaceDE/>
        <w:autoSpaceDN/>
        <w:adjustRightInd/>
        <w:rPr>
          <w:del w:id="72" w:author="AbbVie2" w:date="2025-05-13T16:36:00Z"/>
          <w:szCs w:val="22"/>
          <w:u w:val="single"/>
        </w:rPr>
      </w:pPr>
    </w:p>
    <w:p w14:paraId="4A01BEE5" w14:textId="1E66D70B" w:rsidR="004462A0" w:rsidRPr="00A7660D" w:rsidRDefault="00615769" w:rsidP="004462A0">
      <w:pPr>
        <w:pStyle w:val="BodyText2"/>
        <w:autoSpaceDE/>
        <w:autoSpaceDN/>
        <w:adjustRightInd/>
        <w:rPr>
          <w:del w:id="73" w:author="AbbVie2" w:date="2025-05-13T16:36:00Z"/>
          <w:szCs w:val="22"/>
        </w:rPr>
      </w:pPr>
      <w:del w:id="74" w:author="AbbVie2" w:date="2025-05-13T16:36:00Z">
        <w:r w:rsidRPr="00A7660D">
          <w:rPr>
            <w:szCs w:val="22"/>
          </w:rPr>
          <w:delText>Humira em associação com metotrexato está indicado no tratamento da artrite idiopática juvenil poliarticular ativa, em doentes a partir dos 2</w:delText>
        </w:r>
        <w:r>
          <w:rPr>
            <w:szCs w:val="22"/>
          </w:rPr>
          <w:delText> </w:delText>
        </w:r>
        <w:r w:rsidRPr="00A7660D">
          <w:rPr>
            <w:szCs w:val="22"/>
          </w:rPr>
          <w:delText>anos de idade, que tiveram uma resposta inadequada a um ou mais medicamentos anti</w:delText>
        </w:r>
        <w:r w:rsidR="00F96DDF">
          <w:rPr>
            <w:szCs w:val="22"/>
          </w:rPr>
          <w:delText>-</w:delText>
        </w:r>
        <w:r w:rsidRPr="00A7660D">
          <w:rPr>
            <w:szCs w:val="22"/>
          </w:rPr>
          <w:delText>reumatismais modificadores da doença (DMARDs). Humira pode ser administrado em monoterapia em caso de intolerância a metotrexato ou quando o tratamento continuado com metotrexato não é apropriado (para a eficácia em monoterapia ver secção 5.1). Humira não foi estudado em doentes com menos de 2</w:delText>
        </w:r>
        <w:r>
          <w:rPr>
            <w:szCs w:val="22"/>
          </w:rPr>
          <w:delText> </w:delText>
        </w:r>
        <w:r w:rsidRPr="00A7660D">
          <w:rPr>
            <w:szCs w:val="22"/>
          </w:rPr>
          <w:delText>anos.</w:delText>
        </w:r>
      </w:del>
    </w:p>
    <w:p w14:paraId="40054051" w14:textId="6A5470B9" w:rsidR="004462A0" w:rsidRPr="00A7660D" w:rsidRDefault="004462A0" w:rsidP="004462A0">
      <w:pPr>
        <w:pStyle w:val="BodyText2"/>
        <w:autoSpaceDE/>
        <w:autoSpaceDN/>
        <w:adjustRightInd/>
        <w:rPr>
          <w:del w:id="75" w:author="AbbVie2" w:date="2025-05-13T16:36:00Z"/>
          <w:szCs w:val="22"/>
          <w:u w:val="single"/>
        </w:rPr>
      </w:pPr>
    </w:p>
    <w:p w14:paraId="24813733" w14:textId="65A7A658" w:rsidR="004462A0" w:rsidRPr="00A7660D" w:rsidRDefault="00615769" w:rsidP="004462A0">
      <w:pPr>
        <w:pStyle w:val="BodyText2"/>
        <w:autoSpaceDE/>
        <w:autoSpaceDN/>
        <w:adjustRightInd/>
        <w:rPr>
          <w:del w:id="76" w:author="AbbVie2" w:date="2025-05-13T16:36:00Z"/>
          <w:szCs w:val="22"/>
        </w:rPr>
      </w:pPr>
      <w:del w:id="77" w:author="AbbVie2" w:date="2025-05-13T16:36:00Z">
        <w:r w:rsidRPr="00A7660D">
          <w:rPr>
            <w:i/>
            <w:szCs w:val="22"/>
          </w:rPr>
          <w:delText>Artrite relacionada com entesite</w:delText>
        </w:r>
      </w:del>
    </w:p>
    <w:p w14:paraId="0C2F55DB" w14:textId="6BA55FD3" w:rsidR="004462A0" w:rsidRPr="00A7660D" w:rsidRDefault="004462A0" w:rsidP="004462A0">
      <w:pPr>
        <w:pStyle w:val="BodyText2"/>
        <w:autoSpaceDE/>
        <w:autoSpaceDN/>
        <w:adjustRightInd/>
        <w:rPr>
          <w:del w:id="78" w:author="AbbVie2" w:date="2025-05-13T16:36:00Z"/>
          <w:szCs w:val="22"/>
          <w:u w:val="single"/>
        </w:rPr>
      </w:pPr>
    </w:p>
    <w:p w14:paraId="0EFD5A20" w14:textId="0585B612" w:rsidR="004462A0" w:rsidRPr="00A7660D" w:rsidRDefault="00615769" w:rsidP="004462A0">
      <w:pPr>
        <w:pStyle w:val="BodyText2"/>
        <w:autoSpaceDE/>
        <w:autoSpaceDN/>
        <w:adjustRightInd/>
        <w:rPr>
          <w:del w:id="79" w:author="AbbVie2" w:date="2025-05-13T16:36:00Z"/>
          <w:szCs w:val="22"/>
        </w:rPr>
      </w:pPr>
      <w:del w:id="80" w:author="AbbVie2" w:date="2025-05-13T16:36:00Z">
        <w:r w:rsidRPr="00A7660D">
          <w:rPr>
            <w:szCs w:val="22"/>
          </w:rPr>
          <w:delText>Humira está indicado no tratamento da artrite relacionada com entesite ativa em doentes com 6</w:delText>
        </w:r>
        <w:r>
          <w:rPr>
            <w:szCs w:val="22"/>
          </w:rPr>
          <w:delText> </w:delText>
        </w:r>
        <w:r w:rsidRPr="00A7660D">
          <w:rPr>
            <w:szCs w:val="22"/>
          </w:rPr>
          <w:delText>anos de idade ou mais, que tiveram uma resposta inadequada ou intolerância à terapêutica convencional (ver secção 5.1).</w:delText>
        </w:r>
      </w:del>
    </w:p>
    <w:p w14:paraId="28772D82" w14:textId="75A68AD5" w:rsidR="004462A0" w:rsidRPr="00A7660D" w:rsidRDefault="004462A0" w:rsidP="004462A0">
      <w:pPr>
        <w:pStyle w:val="BodyText2"/>
        <w:autoSpaceDE/>
        <w:autoSpaceDN/>
        <w:adjustRightInd/>
        <w:rPr>
          <w:del w:id="81" w:author="AbbVie2" w:date="2025-05-13T16:36:00Z"/>
          <w:szCs w:val="22"/>
        </w:rPr>
      </w:pPr>
    </w:p>
    <w:p w14:paraId="7F198A52" w14:textId="6B0CCC23" w:rsidR="004462A0" w:rsidRPr="00A7660D" w:rsidRDefault="00615769" w:rsidP="004462A0">
      <w:pPr>
        <w:rPr>
          <w:del w:id="82" w:author="AbbVie2" w:date="2025-05-13T16:36:00Z"/>
          <w:sz w:val="22"/>
          <w:szCs w:val="22"/>
          <w:u w:val="single"/>
        </w:rPr>
      </w:pPr>
      <w:del w:id="83" w:author="AbbVie2" w:date="2025-05-13T16:36:00Z">
        <w:r w:rsidRPr="00A7660D">
          <w:rPr>
            <w:sz w:val="22"/>
            <w:szCs w:val="22"/>
            <w:u w:val="single"/>
          </w:rPr>
          <w:delText>Psoríase pediátrica em placas</w:delText>
        </w:r>
      </w:del>
    </w:p>
    <w:p w14:paraId="11DC718A" w14:textId="65005200" w:rsidR="004462A0" w:rsidRPr="00A7660D" w:rsidRDefault="004462A0" w:rsidP="004462A0">
      <w:pPr>
        <w:rPr>
          <w:del w:id="84" w:author="AbbVie2" w:date="2025-05-13T16:36:00Z"/>
          <w:sz w:val="22"/>
          <w:szCs w:val="22"/>
        </w:rPr>
      </w:pPr>
    </w:p>
    <w:p w14:paraId="50FC7773" w14:textId="004EF8A6" w:rsidR="004462A0" w:rsidRPr="00A7660D" w:rsidRDefault="00615769" w:rsidP="004462A0">
      <w:pPr>
        <w:pStyle w:val="BodyText2"/>
        <w:autoSpaceDE/>
        <w:autoSpaceDN/>
        <w:adjustRightInd/>
        <w:rPr>
          <w:del w:id="85" w:author="AbbVie2" w:date="2025-05-13T16:36:00Z"/>
          <w:szCs w:val="22"/>
        </w:rPr>
      </w:pPr>
      <w:del w:id="86" w:author="AbbVie2" w:date="2025-05-13T16:36:00Z">
        <w:r w:rsidRPr="00A7660D">
          <w:rPr>
            <w:szCs w:val="22"/>
          </w:rPr>
          <w:delText>Humira está indicado no tratamento da psoríase crónica em placas, grave, em crianças e adolescentes a partir dos 4</w:delText>
        </w:r>
        <w:r>
          <w:rPr>
            <w:szCs w:val="22"/>
          </w:rPr>
          <w:delText> </w:delText>
        </w:r>
        <w:r w:rsidRPr="00A7660D">
          <w:rPr>
            <w:szCs w:val="22"/>
          </w:rPr>
          <w:delText>anos de idade, que não tiveram uma resposta adequada ou quando não são candidatos a tratamento tópico e fototerapias.</w:delText>
        </w:r>
      </w:del>
    </w:p>
    <w:p w14:paraId="007F5916" w14:textId="70A59AB2" w:rsidR="004462A0" w:rsidRPr="00A7660D" w:rsidRDefault="004462A0" w:rsidP="004462A0">
      <w:pPr>
        <w:pStyle w:val="BodyText2"/>
        <w:autoSpaceDE/>
        <w:autoSpaceDN/>
        <w:adjustRightInd/>
        <w:rPr>
          <w:del w:id="87" w:author="AbbVie2" w:date="2025-05-13T16:36:00Z"/>
          <w:szCs w:val="22"/>
          <w:u w:val="single"/>
        </w:rPr>
      </w:pPr>
    </w:p>
    <w:p w14:paraId="30896075" w14:textId="74F5EDF0" w:rsidR="002A7CC6" w:rsidRPr="00FD1D0F" w:rsidRDefault="00615769" w:rsidP="00036D4F">
      <w:pPr>
        <w:pStyle w:val="BodyText2"/>
        <w:autoSpaceDE/>
        <w:autoSpaceDN/>
        <w:adjustRightInd/>
        <w:rPr>
          <w:del w:id="88" w:author="AbbVie2" w:date="2025-05-13T16:36:00Z"/>
          <w:szCs w:val="22"/>
          <w:u w:val="single"/>
        </w:rPr>
      </w:pPr>
      <w:del w:id="89" w:author="AbbVie2" w:date="2025-05-13T16:36:00Z">
        <w:r w:rsidRPr="00FD1D0F">
          <w:rPr>
            <w:szCs w:val="22"/>
            <w:u w:val="single"/>
          </w:rPr>
          <w:delText>Hidradenite supurativa no adolescente</w:delText>
        </w:r>
      </w:del>
    </w:p>
    <w:p w14:paraId="21463C94" w14:textId="19B5F917" w:rsidR="002A7CC6" w:rsidRPr="00FD1D0F" w:rsidRDefault="002A7CC6" w:rsidP="00036D4F">
      <w:pPr>
        <w:pStyle w:val="BodyText2"/>
        <w:autoSpaceDE/>
        <w:autoSpaceDN/>
        <w:adjustRightInd/>
        <w:rPr>
          <w:del w:id="90" w:author="AbbVie2" w:date="2025-05-13T16:36:00Z"/>
          <w:szCs w:val="22"/>
        </w:rPr>
      </w:pPr>
    </w:p>
    <w:p w14:paraId="1E8EB11A" w14:textId="6FB00852" w:rsidR="002A7CC6" w:rsidRPr="008912CF" w:rsidRDefault="00615769" w:rsidP="00036D4F">
      <w:pPr>
        <w:pStyle w:val="Heading9"/>
        <w:keepNext w:val="0"/>
        <w:rPr>
          <w:del w:id="91" w:author="AbbVie2" w:date="2025-05-13T16:36:00Z"/>
          <w:szCs w:val="22"/>
          <w:u w:val="none"/>
        </w:rPr>
      </w:pPr>
      <w:del w:id="92" w:author="AbbVie2" w:date="2025-05-13T16:36:00Z">
        <w:r w:rsidRPr="00FD1D0F">
          <w:rPr>
            <w:szCs w:val="22"/>
            <w:u w:val="none"/>
          </w:rPr>
          <w:delText>Humira está indicado no tratamento da hidradenite supurativa (hidrosadenite supurativa ou acne inversa) ativa, moderada a grave</w:delText>
        </w:r>
        <w:r>
          <w:rPr>
            <w:szCs w:val="22"/>
            <w:u w:val="none"/>
          </w:rPr>
          <w:delText>,</w:delText>
        </w:r>
        <w:r w:rsidRPr="00FD1D0F">
          <w:rPr>
            <w:szCs w:val="22"/>
            <w:u w:val="none"/>
          </w:rPr>
          <w:delText xml:space="preserve"> em adolescentes a partir dos 12 anos de idade com uma resposta inadequada à terapêutica sistémica convencional para a HS (ver secções 5.1 e 5.2).</w:delText>
        </w:r>
      </w:del>
    </w:p>
    <w:p w14:paraId="632CFE88" w14:textId="4F3C1D76" w:rsidR="002A7CC6" w:rsidRDefault="002A7CC6" w:rsidP="002A7CC6">
      <w:pPr>
        <w:pStyle w:val="BodyText2"/>
        <w:keepNext/>
        <w:autoSpaceDE/>
        <w:autoSpaceDN/>
        <w:adjustRightInd/>
        <w:rPr>
          <w:del w:id="93" w:author="AbbVie2" w:date="2025-05-13T16:36:00Z"/>
          <w:szCs w:val="22"/>
        </w:rPr>
      </w:pPr>
    </w:p>
    <w:p w14:paraId="502DA5EC" w14:textId="3827DD22" w:rsidR="004462A0" w:rsidRPr="00A7660D" w:rsidRDefault="00615769" w:rsidP="00036D4F">
      <w:pPr>
        <w:pStyle w:val="BodyText2"/>
        <w:keepNext/>
        <w:autoSpaceDE/>
        <w:autoSpaceDN/>
        <w:adjustRightInd/>
        <w:rPr>
          <w:del w:id="94" w:author="AbbVie2" w:date="2025-05-13T16:36:00Z"/>
          <w:szCs w:val="22"/>
          <w:u w:val="single"/>
        </w:rPr>
      </w:pPr>
      <w:del w:id="95" w:author="AbbVie2" w:date="2025-05-13T16:36:00Z">
        <w:r w:rsidRPr="00A7660D">
          <w:rPr>
            <w:szCs w:val="22"/>
            <w:u w:val="single"/>
          </w:rPr>
          <w:delText>Doença de Crohn pediátrica</w:delText>
        </w:r>
      </w:del>
    </w:p>
    <w:p w14:paraId="0243304C" w14:textId="6C5B37E4" w:rsidR="004462A0" w:rsidRPr="00A7660D" w:rsidRDefault="004462A0" w:rsidP="00036D4F">
      <w:pPr>
        <w:pStyle w:val="BodyText2"/>
        <w:keepNext/>
        <w:autoSpaceDE/>
        <w:autoSpaceDN/>
        <w:adjustRightInd/>
        <w:rPr>
          <w:del w:id="96" w:author="AbbVie2" w:date="2025-05-13T16:36:00Z"/>
          <w:szCs w:val="22"/>
        </w:rPr>
      </w:pPr>
    </w:p>
    <w:p w14:paraId="66A073C0" w14:textId="7212360E" w:rsidR="004462A0" w:rsidRDefault="00615769" w:rsidP="00036D4F">
      <w:pPr>
        <w:pStyle w:val="BodyText2"/>
        <w:keepNext/>
        <w:autoSpaceDE/>
        <w:autoSpaceDN/>
        <w:adjustRightInd/>
        <w:rPr>
          <w:del w:id="97" w:author="AbbVie2" w:date="2025-05-13T16:36:00Z"/>
          <w:szCs w:val="22"/>
        </w:rPr>
      </w:pPr>
      <w:del w:id="98" w:author="AbbVie2" w:date="2025-05-13T16:36:00Z">
        <w:r w:rsidRPr="00A7660D">
          <w:rPr>
            <w:szCs w:val="22"/>
          </w:rPr>
          <w:delText xml:space="preserve">Humira está indicado no tratamento da doença de Crohn </w:delText>
        </w:r>
        <w:r w:rsidRPr="008912CF">
          <w:rPr>
            <w:szCs w:val="22"/>
          </w:rPr>
          <w:delText>ativa moderada a grave em doentes pediátricos (a partir dos 6</w:delText>
        </w:r>
        <w:r>
          <w:rPr>
            <w:szCs w:val="22"/>
          </w:rPr>
          <w:delText> </w:delText>
        </w:r>
        <w:r w:rsidRPr="008912CF">
          <w:rPr>
            <w:szCs w:val="22"/>
          </w:rPr>
          <w:delText>anos de idade) que tiveram uma resposta inadequada à terapêutica convencional, incluindo terapêutica de nutrição primária e um corticosteroide e/ou um imunomodulador, ou que apresentam intolerância ou contraindicações a tais terapêuticas.</w:delText>
        </w:r>
      </w:del>
    </w:p>
    <w:p w14:paraId="34858A09" w14:textId="3FB0AE4C" w:rsidR="004462A0" w:rsidRDefault="004462A0" w:rsidP="004462A0">
      <w:pPr>
        <w:pStyle w:val="BodyText2"/>
        <w:autoSpaceDE/>
        <w:autoSpaceDN/>
        <w:adjustRightInd/>
        <w:rPr>
          <w:del w:id="99" w:author="AbbVie2" w:date="2025-05-13T16:36:00Z"/>
          <w:szCs w:val="22"/>
        </w:rPr>
      </w:pPr>
    </w:p>
    <w:p w14:paraId="020D3A5D" w14:textId="6C1A4AE3" w:rsidR="0012250B" w:rsidRDefault="00615769" w:rsidP="007B1EB2">
      <w:pPr>
        <w:rPr>
          <w:del w:id="100" w:author="AbbVie2" w:date="2025-05-13T16:36:00Z"/>
          <w:sz w:val="22"/>
          <w:szCs w:val="22"/>
          <w:u w:val="single"/>
        </w:rPr>
      </w:pPr>
      <w:del w:id="101" w:author="AbbVie2" w:date="2025-05-13T16:36:00Z">
        <w:r>
          <w:rPr>
            <w:sz w:val="22"/>
            <w:szCs w:val="22"/>
            <w:u w:val="single"/>
          </w:rPr>
          <w:delText>Colite ulcerosa</w:delText>
        </w:r>
        <w:r w:rsidRPr="004D4741">
          <w:rPr>
            <w:sz w:val="22"/>
            <w:szCs w:val="22"/>
            <w:u w:val="single"/>
          </w:rPr>
          <w:delText xml:space="preserve"> </w:delText>
        </w:r>
        <w:r>
          <w:rPr>
            <w:sz w:val="22"/>
            <w:szCs w:val="22"/>
            <w:u w:val="single"/>
          </w:rPr>
          <w:delText>p</w:delText>
        </w:r>
        <w:r w:rsidRPr="004D4741">
          <w:rPr>
            <w:sz w:val="22"/>
            <w:szCs w:val="22"/>
            <w:u w:val="single"/>
          </w:rPr>
          <w:delText>ediátrica</w:delText>
        </w:r>
      </w:del>
    </w:p>
    <w:p w14:paraId="5084B303" w14:textId="47B7DF40" w:rsidR="0012250B" w:rsidRPr="0012250B" w:rsidRDefault="0012250B" w:rsidP="007B1EB2">
      <w:pPr>
        <w:rPr>
          <w:del w:id="102" w:author="AbbVie2" w:date="2025-05-13T16:36:00Z"/>
          <w:sz w:val="22"/>
          <w:szCs w:val="22"/>
        </w:rPr>
      </w:pPr>
    </w:p>
    <w:p w14:paraId="0DD460E6" w14:textId="3EA5C5CC" w:rsidR="0012250B" w:rsidRPr="0012250B" w:rsidRDefault="00615769" w:rsidP="007B1EB2">
      <w:pPr>
        <w:rPr>
          <w:del w:id="103" w:author="AbbVie2" w:date="2025-05-13T16:36:00Z"/>
          <w:sz w:val="22"/>
          <w:szCs w:val="22"/>
        </w:rPr>
      </w:pPr>
      <w:del w:id="104" w:author="AbbVie2" w:date="2025-05-13T16:36:00Z">
        <w:r w:rsidRPr="0012250B">
          <w:rPr>
            <w:sz w:val="22"/>
            <w:szCs w:val="22"/>
          </w:rPr>
          <w:delText>Humira está indicado no tratamento da colite ulcerosa ativa moderada a grave em doentes pediátricos</w:delText>
        </w:r>
        <w:r w:rsidR="00D229A7">
          <w:rPr>
            <w:sz w:val="22"/>
            <w:szCs w:val="22"/>
          </w:rPr>
          <w:delText xml:space="preserve"> (a partir dos 6 anos de idade)</w:delText>
        </w:r>
        <w:r w:rsidRPr="0012250B">
          <w:rPr>
            <w:sz w:val="22"/>
            <w:szCs w:val="22"/>
          </w:rPr>
          <w:delText xml:space="preserve"> que tiveram uma resposta inadequada à terapêutica convencional, in</w:delText>
        </w:r>
        <w:r>
          <w:rPr>
            <w:sz w:val="22"/>
            <w:szCs w:val="22"/>
          </w:rPr>
          <w:delText>cluindo corticosteroides e/ou 6</w:delText>
        </w:r>
        <w:r>
          <w:rPr>
            <w:sz w:val="22"/>
            <w:szCs w:val="22"/>
          </w:rPr>
          <w:noBreakHyphen/>
          <w:delText>mercaptopurina (6</w:delText>
        </w:r>
        <w:r>
          <w:rPr>
            <w:sz w:val="22"/>
            <w:szCs w:val="22"/>
          </w:rPr>
          <w:noBreakHyphen/>
        </w:r>
        <w:r w:rsidRPr="0012250B">
          <w:rPr>
            <w:sz w:val="22"/>
            <w:szCs w:val="22"/>
          </w:rPr>
          <w:delText>MP) ou azatioprina (AZA), ou que apresentam intolerância ou contraindicações</w:delText>
        </w:r>
        <w:r w:rsidR="00036D4F">
          <w:rPr>
            <w:sz w:val="22"/>
            <w:szCs w:val="22"/>
          </w:rPr>
          <w:delText xml:space="preserve"> médicas</w:delText>
        </w:r>
        <w:r w:rsidRPr="0012250B">
          <w:rPr>
            <w:sz w:val="22"/>
            <w:szCs w:val="22"/>
          </w:rPr>
          <w:delText xml:space="preserve"> a tais terapêuticas.</w:delText>
        </w:r>
      </w:del>
    </w:p>
    <w:p w14:paraId="279603C4" w14:textId="78A1EB69" w:rsidR="0012250B" w:rsidRPr="0012250B" w:rsidRDefault="0012250B" w:rsidP="007B1EB2">
      <w:pPr>
        <w:rPr>
          <w:del w:id="105" w:author="AbbVie2" w:date="2025-05-13T16:36:00Z"/>
          <w:sz w:val="22"/>
          <w:szCs w:val="22"/>
        </w:rPr>
      </w:pPr>
    </w:p>
    <w:p w14:paraId="411B301F" w14:textId="1A37999D" w:rsidR="007B1EB2" w:rsidRPr="00FF23FB" w:rsidRDefault="00615769" w:rsidP="007B1EB2">
      <w:pPr>
        <w:rPr>
          <w:del w:id="106" w:author="AbbVie2" w:date="2025-05-13T16:36:00Z"/>
          <w:szCs w:val="22"/>
        </w:rPr>
      </w:pPr>
      <w:del w:id="107" w:author="AbbVie2" w:date="2025-05-13T16:36:00Z">
        <w:r w:rsidRPr="004D4741">
          <w:rPr>
            <w:sz w:val="22"/>
            <w:szCs w:val="22"/>
            <w:u w:val="single"/>
          </w:rPr>
          <w:delText xml:space="preserve">Uveíte </w:delText>
        </w:r>
        <w:r w:rsidR="008A40F5">
          <w:rPr>
            <w:sz w:val="22"/>
            <w:szCs w:val="22"/>
            <w:u w:val="single"/>
          </w:rPr>
          <w:delText>p</w:delText>
        </w:r>
        <w:r w:rsidRPr="004D4741">
          <w:rPr>
            <w:sz w:val="22"/>
            <w:szCs w:val="22"/>
            <w:u w:val="single"/>
          </w:rPr>
          <w:delText>ediátrica</w:delText>
        </w:r>
      </w:del>
    </w:p>
    <w:p w14:paraId="4B11FEC3" w14:textId="620CD7C0" w:rsidR="007B1EB2" w:rsidRDefault="007B1EB2" w:rsidP="007B1EB2">
      <w:pPr>
        <w:rPr>
          <w:del w:id="108" w:author="AbbVie2" w:date="2025-05-13T16:36:00Z"/>
          <w:szCs w:val="22"/>
        </w:rPr>
      </w:pPr>
    </w:p>
    <w:p w14:paraId="0C674F17" w14:textId="759704FD" w:rsidR="007B1EB2" w:rsidRDefault="00615769" w:rsidP="007B1EB2">
      <w:pPr>
        <w:pStyle w:val="BodyText2"/>
        <w:keepNext/>
        <w:autoSpaceDE/>
        <w:autoSpaceDN/>
        <w:adjustRightInd/>
        <w:rPr>
          <w:del w:id="109" w:author="AbbVie2" w:date="2025-05-13T16:36:00Z"/>
          <w:szCs w:val="22"/>
        </w:rPr>
      </w:pPr>
      <w:del w:id="110" w:author="AbbVie2" w:date="2025-05-13T16:36:00Z">
        <w:r w:rsidRPr="009F0D8E">
          <w:rPr>
            <w:szCs w:val="22"/>
          </w:rPr>
          <w:delText>Humira está indicado no tratamento da uveíte pediátrica não infecciosa, anterior, crónica em doentes a partir dos 2 anos de idade que tiveram uma resposta inadequada ou que são intolerantes à terapêutica convencional, ou em que a terapêutica convencional é inaprop</w:delText>
        </w:r>
        <w:r w:rsidR="004F2F0D">
          <w:rPr>
            <w:szCs w:val="22"/>
          </w:rPr>
          <w:delText>r</w:delText>
        </w:r>
        <w:r w:rsidRPr="009F0D8E">
          <w:rPr>
            <w:szCs w:val="22"/>
          </w:rPr>
          <w:delText>iada</w:delText>
        </w:r>
        <w:r>
          <w:rPr>
            <w:szCs w:val="22"/>
          </w:rPr>
          <w:delText>.</w:delText>
        </w:r>
      </w:del>
    </w:p>
    <w:p w14:paraId="7251ED6F" w14:textId="3DA74D07" w:rsidR="007B1EB2" w:rsidRPr="008912CF" w:rsidRDefault="007B1EB2" w:rsidP="007B1EB2">
      <w:pPr>
        <w:pStyle w:val="BodyText2"/>
        <w:keepNext/>
        <w:autoSpaceDE/>
        <w:autoSpaceDN/>
        <w:adjustRightInd/>
        <w:rPr>
          <w:del w:id="111" w:author="AbbVie2" w:date="2025-05-13T16:36:00Z"/>
          <w:szCs w:val="22"/>
        </w:rPr>
      </w:pPr>
    </w:p>
    <w:p w14:paraId="4C0EB17C" w14:textId="73024F71" w:rsidR="004462A0" w:rsidRPr="008912CF" w:rsidRDefault="00615769" w:rsidP="00006C8E">
      <w:pPr>
        <w:keepNext/>
        <w:rPr>
          <w:del w:id="112" w:author="AbbVie2" w:date="2025-05-13T16:36:00Z"/>
          <w:b/>
          <w:sz w:val="22"/>
          <w:szCs w:val="22"/>
        </w:rPr>
      </w:pPr>
      <w:del w:id="113" w:author="AbbVie2" w:date="2025-05-13T16:36:00Z">
        <w:r w:rsidRPr="00A7660D">
          <w:rPr>
            <w:b/>
            <w:sz w:val="22"/>
            <w:szCs w:val="22"/>
          </w:rPr>
          <w:delText>4.</w:delText>
        </w:r>
        <w:r>
          <w:rPr>
            <w:b/>
            <w:sz w:val="22"/>
            <w:szCs w:val="22"/>
          </w:rPr>
          <w:delText>2</w:delText>
        </w:r>
        <w:r>
          <w:rPr>
            <w:b/>
            <w:sz w:val="22"/>
            <w:szCs w:val="22"/>
          </w:rPr>
          <w:tab/>
        </w:r>
        <w:r w:rsidRPr="008912CF">
          <w:rPr>
            <w:b/>
            <w:sz w:val="22"/>
            <w:szCs w:val="22"/>
          </w:rPr>
          <w:delText>Posologia e modo de administração</w:delText>
        </w:r>
      </w:del>
    </w:p>
    <w:p w14:paraId="6ABBCD1E" w14:textId="3AAEA28E" w:rsidR="004462A0" w:rsidRPr="008912CF" w:rsidRDefault="004462A0" w:rsidP="004462A0">
      <w:pPr>
        <w:keepNext/>
        <w:rPr>
          <w:del w:id="114" w:author="AbbVie2" w:date="2025-05-13T16:36:00Z"/>
          <w:b/>
          <w:sz w:val="22"/>
          <w:szCs w:val="22"/>
        </w:rPr>
      </w:pPr>
    </w:p>
    <w:p w14:paraId="41B8E764" w14:textId="761EE70F" w:rsidR="004462A0" w:rsidRPr="008912CF" w:rsidRDefault="00615769" w:rsidP="004462A0">
      <w:pPr>
        <w:pStyle w:val="EndnoteText"/>
        <w:keepNext/>
        <w:tabs>
          <w:tab w:val="clear" w:pos="567"/>
        </w:tabs>
        <w:rPr>
          <w:del w:id="115" w:author="AbbVie2" w:date="2025-05-13T16:36:00Z"/>
          <w:szCs w:val="22"/>
        </w:rPr>
      </w:pPr>
      <w:del w:id="116" w:author="AbbVie2" w:date="2025-05-13T16:36:00Z">
        <w:r w:rsidRPr="008912CF">
          <w:rPr>
            <w:szCs w:val="22"/>
          </w:rPr>
          <w:delText>O tratamento com Humira deve ser iniciado e supervisionado por médicos especialistas experientes no diagnóstico e tratamento das patologias para as quais Humira está indicado.</w:delText>
        </w:r>
        <w:r w:rsidR="007B1EB2" w:rsidRPr="007B1EB2">
          <w:rPr>
            <w:szCs w:val="22"/>
          </w:rPr>
          <w:delText xml:space="preserve"> </w:delText>
        </w:r>
        <w:r w:rsidR="007B1EB2">
          <w:rPr>
            <w:szCs w:val="22"/>
          </w:rPr>
          <w:delText xml:space="preserve">Recomenda-se que os oftalmologistas consultem um </w:delText>
        </w:r>
        <w:r w:rsidR="00906287">
          <w:rPr>
            <w:szCs w:val="22"/>
          </w:rPr>
          <w:delText>destes médicos experientes</w:delText>
        </w:r>
        <w:r w:rsidR="007B1EB2">
          <w:rPr>
            <w:szCs w:val="22"/>
          </w:rPr>
          <w:delText xml:space="preserve"> antes de iniciar o tratamento com Humira (ver secção 4.4).</w:delText>
        </w:r>
        <w:r w:rsidRPr="008912CF">
          <w:rPr>
            <w:szCs w:val="22"/>
          </w:rPr>
          <w:delText xml:space="preserve"> Os doentes tratados com Humira devem receber o </w:delText>
        </w:r>
        <w:r w:rsidR="00BE3E75">
          <w:rPr>
            <w:szCs w:val="22"/>
          </w:rPr>
          <w:delText>C</w:delText>
        </w:r>
        <w:r w:rsidRPr="008912CF">
          <w:rPr>
            <w:szCs w:val="22"/>
          </w:rPr>
          <w:delText xml:space="preserve">artão de </w:delText>
        </w:r>
        <w:r w:rsidR="00BE3E75">
          <w:rPr>
            <w:szCs w:val="22"/>
          </w:rPr>
          <w:delText>S</w:delText>
        </w:r>
        <w:r w:rsidRPr="008912CF">
          <w:rPr>
            <w:szCs w:val="22"/>
          </w:rPr>
          <w:delText xml:space="preserve">egurança </w:delText>
        </w:r>
        <w:r w:rsidR="00BE3E75">
          <w:rPr>
            <w:szCs w:val="22"/>
          </w:rPr>
          <w:delText>do D</w:delText>
        </w:r>
        <w:r w:rsidR="008979D5">
          <w:rPr>
            <w:szCs w:val="22"/>
          </w:rPr>
          <w:delText>oente</w:delText>
        </w:r>
        <w:r w:rsidRPr="008912CF">
          <w:rPr>
            <w:szCs w:val="22"/>
          </w:rPr>
          <w:delText>.</w:delText>
        </w:r>
      </w:del>
    </w:p>
    <w:p w14:paraId="6D91CBF4" w14:textId="1A932B7A" w:rsidR="004462A0" w:rsidRPr="008912CF" w:rsidRDefault="004462A0" w:rsidP="004462A0">
      <w:pPr>
        <w:pStyle w:val="EndnoteText"/>
        <w:tabs>
          <w:tab w:val="clear" w:pos="567"/>
        </w:tabs>
        <w:rPr>
          <w:del w:id="117" w:author="AbbVie2" w:date="2025-05-13T16:36:00Z"/>
          <w:szCs w:val="22"/>
        </w:rPr>
      </w:pPr>
    </w:p>
    <w:p w14:paraId="0D4A4DAC" w14:textId="2C83A189" w:rsidR="004462A0" w:rsidRPr="008912CF" w:rsidRDefault="00615769" w:rsidP="004462A0">
      <w:pPr>
        <w:pStyle w:val="EndnoteText"/>
        <w:tabs>
          <w:tab w:val="clear" w:pos="567"/>
        </w:tabs>
        <w:rPr>
          <w:del w:id="118" w:author="AbbVie2" w:date="2025-05-13T16:36:00Z"/>
          <w:szCs w:val="22"/>
        </w:rPr>
      </w:pPr>
      <w:del w:id="119" w:author="AbbVie2" w:date="2025-05-13T16:36:00Z">
        <w:r w:rsidRPr="008912CF">
          <w:rPr>
            <w:szCs w:val="22"/>
          </w:rPr>
          <w:delText>Após receberem um treino adequado sobre a técnica de injeção, os doentes podem autoinjetar Humira se o médico assistente achar apropriado e sob acompanhamento médico, conforme necessário.</w:delText>
        </w:r>
      </w:del>
    </w:p>
    <w:p w14:paraId="7692870A" w14:textId="50D8CEDF" w:rsidR="004462A0" w:rsidRDefault="004462A0" w:rsidP="004462A0">
      <w:pPr>
        <w:rPr>
          <w:del w:id="120" w:author="AbbVie2" w:date="2025-05-13T16:36:00Z"/>
          <w:sz w:val="22"/>
          <w:szCs w:val="22"/>
        </w:rPr>
      </w:pPr>
    </w:p>
    <w:p w14:paraId="6E537661" w14:textId="6E4DAA10" w:rsidR="00006C8E" w:rsidRPr="008912CF" w:rsidRDefault="00615769" w:rsidP="00006C8E">
      <w:pPr>
        <w:rPr>
          <w:del w:id="121" w:author="AbbVie2" w:date="2025-05-13T16:36:00Z"/>
          <w:sz w:val="22"/>
          <w:szCs w:val="22"/>
        </w:rPr>
      </w:pPr>
      <w:del w:id="122" w:author="AbbVie2" w:date="2025-05-13T16:36:00Z">
        <w:r w:rsidRPr="008912CF">
          <w:rPr>
            <w:sz w:val="22"/>
            <w:szCs w:val="22"/>
          </w:rPr>
          <w:delText>Durante o tratamento com Humira, a utilização de outras terapêuticas concomitantes (como por exemplo corticosteroides e/ou agentes imunomoduladores) deverá ser otimizada.</w:delText>
        </w:r>
      </w:del>
    </w:p>
    <w:p w14:paraId="12F148DF" w14:textId="34822492" w:rsidR="00006C8E" w:rsidRPr="008912CF" w:rsidRDefault="00006C8E" w:rsidP="004462A0">
      <w:pPr>
        <w:rPr>
          <w:del w:id="123" w:author="AbbVie2" w:date="2025-05-13T16:36:00Z"/>
          <w:sz w:val="22"/>
          <w:szCs w:val="22"/>
        </w:rPr>
      </w:pPr>
    </w:p>
    <w:p w14:paraId="4D856090" w14:textId="45E8C4EA" w:rsidR="004462A0" w:rsidRPr="008912CF" w:rsidRDefault="00615769" w:rsidP="004462A0">
      <w:pPr>
        <w:rPr>
          <w:del w:id="124" w:author="AbbVie2" w:date="2025-05-13T16:36:00Z"/>
          <w:sz w:val="22"/>
          <w:szCs w:val="22"/>
          <w:u w:val="single"/>
        </w:rPr>
      </w:pPr>
      <w:del w:id="125" w:author="AbbVie2" w:date="2025-05-13T16:36:00Z">
        <w:r w:rsidRPr="008912CF">
          <w:rPr>
            <w:sz w:val="22"/>
            <w:szCs w:val="22"/>
            <w:u w:val="single"/>
          </w:rPr>
          <w:delText>Posologia</w:delText>
        </w:r>
      </w:del>
    </w:p>
    <w:p w14:paraId="10D64E14" w14:textId="0DD7243F" w:rsidR="004462A0" w:rsidRPr="008912CF" w:rsidRDefault="004462A0" w:rsidP="004462A0">
      <w:pPr>
        <w:rPr>
          <w:del w:id="126" w:author="AbbVie2" w:date="2025-05-13T16:36:00Z"/>
          <w:sz w:val="22"/>
          <w:szCs w:val="22"/>
        </w:rPr>
      </w:pPr>
    </w:p>
    <w:p w14:paraId="087E1FF9" w14:textId="4A36C261" w:rsidR="004462A0" w:rsidRPr="008912CF" w:rsidRDefault="00615769" w:rsidP="004462A0">
      <w:pPr>
        <w:pStyle w:val="BodyText2"/>
        <w:autoSpaceDE/>
        <w:autoSpaceDN/>
        <w:adjustRightInd/>
        <w:rPr>
          <w:del w:id="127" w:author="AbbVie2" w:date="2025-05-13T16:36:00Z"/>
          <w:szCs w:val="22"/>
          <w:u w:val="single"/>
        </w:rPr>
      </w:pPr>
      <w:del w:id="128" w:author="AbbVie2" w:date="2025-05-13T16:36:00Z">
        <w:r w:rsidRPr="008912CF">
          <w:rPr>
            <w:szCs w:val="22"/>
            <w:u w:val="single"/>
          </w:rPr>
          <w:delText>População pediátrica</w:delText>
        </w:r>
      </w:del>
    </w:p>
    <w:p w14:paraId="699D4A9A" w14:textId="31CBEC70" w:rsidR="004462A0" w:rsidRPr="008912CF" w:rsidRDefault="004462A0" w:rsidP="004462A0">
      <w:pPr>
        <w:pStyle w:val="BodyText2"/>
        <w:autoSpaceDE/>
        <w:autoSpaceDN/>
        <w:adjustRightInd/>
        <w:rPr>
          <w:del w:id="129" w:author="AbbVie2" w:date="2025-05-13T16:36:00Z"/>
          <w:szCs w:val="22"/>
          <w:u w:val="single"/>
        </w:rPr>
      </w:pPr>
    </w:p>
    <w:p w14:paraId="5243EA29" w14:textId="156BB12A" w:rsidR="004462A0" w:rsidRPr="008912CF" w:rsidRDefault="00615769" w:rsidP="004462A0">
      <w:pPr>
        <w:pStyle w:val="BodyText2"/>
        <w:autoSpaceDE/>
        <w:autoSpaceDN/>
        <w:adjustRightInd/>
        <w:rPr>
          <w:del w:id="130" w:author="AbbVie2" w:date="2025-05-13T16:36:00Z"/>
          <w:szCs w:val="22"/>
        </w:rPr>
      </w:pPr>
      <w:del w:id="131" w:author="AbbVie2" w:date="2025-05-13T16:36:00Z">
        <w:r w:rsidRPr="008912CF">
          <w:rPr>
            <w:i/>
            <w:szCs w:val="22"/>
          </w:rPr>
          <w:delText>Artrite idiopática juvenil</w:delText>
        </w:r>
      </w:del>
    </w:p>
    <w:p w14:paraId="127AF62C" w14:textId="5F7866B5" w:rsidR="004462A0" w:rsidRPr="008912CF" w:rsidRDefault="004462A0" w:rsidP="004462A0">
      <w:pPr>
        <w:pStyle w:val="BodyText2"/>
        <w:autoSpaceDE/>
        <w:autoSpaceDN/>
        <w:adjustRightInd/>
        <w:rPr>
          <w:del w:id="132" w:author="AbbVie2" w:date="2025-05-13T16:36:00Z"/>
          <w:i/>
          <w:szCs w:val="22"/>
          <w:u w:val="single"/>
        </w:rPr>
      </w:pPr>
    </w:p>
    <w:p w14:paraId="1242B035" w14:textId="79F56535" w:rsidR="004462A0" w:rsidRPr="008912CF" w:rsidRDefault="00615769" w:rsidP="004462A0">
      <w:pPr>
        <w:pStyle w:val="BodyText2"/>
        <w:autoSpaceDE/>
        <w:autoSpaceDN/>
        <w:adjustRightInd/>
        <w:rPr>
          <w:del w:id="133" w:author="AbbVie2" w:date="2025-05-13T16:36:00Z"/>
          <w:i/>
          <w:szCs w:val="22"/>
          <w:u w:val="single"/>
        </w:rPr>
      </w:pPr>
      <w:del w:id="134" w:author="AbbVie2" w:date="2025-05-13T16:36:00Z">
        <w:r w:rsidRPr="008912CF">
          <w:rPr>
            <w:i/>
            <w:szCs w:val="22"/>
            <w:u w:val="single"/>
          </w:rPr>
          <w:delText xml:space="preserve">Artrite idiopática juvenil poliarticular </w:delText>
        </w:r>
        <w:r w:rsidR="00006C8E">
          <w:rPr>
            <w:i/>
            <w:szCs w:val="22"/>
            <w:u w:val="single"/>
          </w:rPr>
          <w:delText>a partir dos</w:delText>
        </w:r>
        <w:r w:rsidRPr="008912CF">
          <w:rPr>
            <w:i/>
            <w:szCs w:val="22"/>
            <w:u w:val="single"/>
          </w:rPr>
          <w:delText xml:space="preserve"> 2</w:delText>
        </w:r>
        <w:r w:rsidR="00C716B5">
          <w:rPr>
            <w:i/>
            <w:szCs w:val="22"/>
            <w:u w:val="single"/>
          </w:rPr>
          <w:delText xml:space="preserve"> </w:delText>
        </w:r>
        <w:r w:rsidRPr="008912CF">
          <w:rPr>
            <w:i/>
            <w:szCs w:val="22"/>
            <w:u w:val="single"/>
          </w:rPr>
          <w:delText>anos de idade</w:delText>
        </w:r>
      </w:del>
    </w:p>
    <w:p w14:paraId="236E99E7" w14:textId="56389425" w:rsidR="004462A0" w:rsidRPr="008912CF" w:rsidRDefault="004462A0" w:rsidP="004462A0">
      <w:pPr>
        <w:pStyle w:val="BodyText2"/>
        <w:autoSpaceDE/>
        <w:autoSpaceDN/>
        <w:adjustRightInd/>
        <w:rPr>
          <w:del w:id="135" w:author="AbbVie2" w:date="2025-05-13T16:36:00Z"/>
          <w:szCs w:val="22"/>
        </w:rPr>
      </w:pPr>
    </w:p>
    <w:p w14:paraId="6512F2AE" w14:textId="699C41A9" w:rsidR="004462A0" w:rsidRPr="008912CF" w:rsidRDefault="00615769" w:rsidP="004462A0">
      <w:pPr>
        <w:pStyle w:val="BodyText2"/>
        <w:autoSpaceDE/>
        <w:autoSpaceDN/>
        <w:adjustRightInd/>
        <w:rPr>
          <w:del w:id="136" w:author="AbbVie2" w:date="2025-05-13T16:36:00Z"/>
          <w:szCs w:val="22"/>
        </w:rPr>
      </w:pPr>
      <w:del w:id="137" w:author="AbbVie2" w:date="2025-05-13T16:36:00Z">
        <w:r w:rsidRPr="008912CF">
          <w:rPr>
            <w:szCs w:val="22"/>
          </w:rPr>
          <w:delText xml:space="preserve">A dose recomendada de Humira </w:delText>
        </w:r>
        <w:r w:rsidR="00D62E4B">
          <w:rPr>
            <w:szCs w:val="22"/>
          </w:rPr>
          <w:delText xml:space="preserve">em </w:delText>
        </w:r>
        <w:r w:rsidRPr="008912CF">
          <w:rPr>
            <w:szCs w:val="22"/>
          </w:rPr>
          <w:delText xml:space="preserve">doentes com artrite idiopática juvenil poliarticular, </w:delText>
        </w:r>
        <w:r w:rsidR="00006C8E">
          <w:rPr>
            <w:szCs w:val="22"/>
          </w:rPr>
          <w:delText>a partir dos</w:delText>
        </w:r>
        <w:r w:rsidRPr="008912CF">
          <w:rPr>
            <w:szCs w:val="22"/>
          </w:rPr>
          <w:delText xml:space="preserve"> 2 anos</w:delText>
        </w:r>
        <w:r w:rsidR="00006C8E">
          <w:rPr>
            <w:szCs w:val="22"/>
          </w:rPr>
          <w:delText xml:space="preserve"> de idade</w:delText>
        </w:r>
        <w:r w:rsidRPr="008912CF">
          <w:rPr>
            <w:szCs w:val="22"/>
          </w:rPr>
          <w:delText xml:space="preserve">, é </w:delText>
        </w:r>
        <w:r w:rsidR="00006C8E">
          <w:rPr>
            <w:szCs w:val="22"/>
          </w:rPr>
          <w:delText xml:space="preserve">baseada no peso corporal (Tabela 1). Humira é administrado </w:delText>
        </w:r>
        <w:r w:rsidRPr="008912CF">
          <w:rPr>
            <w:szCs w:val="22"/>
          </w:rPr>
          <w:delText>em semanas alternadas, por injeção subcutânea.</w:delText>
        </w:r>
        <w:r w:rsidR="00006C8E" w:rsidRPr="00006C8E">
          <w:rPr>
            <w:szCs w:val="22"/>
          </w:rPr>
          <w:delText xml:space="preserve"> </w:delText>
        </w:r>
      </w:del>
    </w:p>
    <w:p w14:paraId="22F4ED28" w14:textId="2A8FE1FD" w:rsidR="004462A0" w:rsidRPr="008912CF" w:rsidRDefault="004462A0" w:rsidP="004462A0">
      <w:pPr>
        <w:pStyle w:val="BodyText2"/>
        <w:autoSpaceDE/>
        <w:autoSpaceDN/>
        <w:adjustRightInd/>
        <w:rPr>
          <w:del w:id="138" w:author="AbbVie2" w:date="2025-05-13T16:36:00Z"/>
          <w:szCs w:val="22"/>
        </w:rPr>
      </w:pPr>
    </w:p>
    <w:p w14:paraId="293AD93F" w14:textId="6CDD6878" w:rsidR="004462A0" w:rsidRDefault="004462A0" w:rsidP="004462A0">
      <w:pPr>
        <w:pStyle w:val="BodyText2"/>
        <w:autoSpaceDE/>
        <w:autoSpaceDN/>
        <w:adjustRightInd/>
        <w:rPr>
          <w:del w:id="139" w:author="AbbVie2" w:date="2025-05-13T16:36:00Z"/>
          <w:szCs w:val="22"/>
        </w:rPr>
      </w:pPr>
    </w:p>
    <w:p w14:paraId="51AD04D3" w14:textId="10F3EBAE" w:rsidR="00983201" w:rsidRPr="008912CF" w:rsidRDefault="00615769" w:rsidP="00983201">
      <w:pPr>
        <w:pStyle w:val="BodyText2"/>
        <w:autoSpaceDE/>
        <w:autoSpaceDN/>
        <w:adjustRightInd/>
        <w:jc w:val="center"/>
        <w:rPr>
          <w:del w:id="140" w:author="AbbVie2" w:date="2025-05-13T16:36:00Z"/>
          <w:b/>
          <w:szCs w:val="22"/>
        </w:rPr>
      </w:pPr>
      <w:del w:id="141" w:author="AbbVie2" w:date="2025-05-13T16:36:00Z">
        <w:r w:rsidRPr="008912CF">
          <w:rPr>
            <w:b/>
            <w:szCs w:val="22"/>
          </w:rPr>
          <w:delText xml:space="preserve">Tabela 1. Dose de Humira </w:delText>
        </w:r>
        <w:r w:rsidR="00D62E4B">
          <w:rPr>
            <w:b/>
            <w:szCs w:val="22"/>
          </w:rPr>
          <w:delText xml:space="preserve">em </w:delText>
        </w:r>
        <w:r w:rsidRPr="008912CF">
          <w:rPr>
            <w:b/>
            <w:szCs w:val="22"/>
          </w:rPr>
          <w:delText xml:space="preserve">Doentes com Artrite Idiopática Juvenil Poliarticular </w:delText>
        </w:r>
      </w:del>
    </w:p>
    <w:p w14:paraId="759F02AB" w14:textId="78A5198C" w:rsidR="00983201" w:rsidRPr="008912CF" w:rsidRDefault="00983201" w:rsidP="00983201">
      <w:pPr>
        <w:rPr>
          <w:del w:id="142" w:author="AbbVie2" w:date="2025-05-13T16:36:00Z"/>
          <w:sz w:val="22"/>
          <w:szCs w:val="22"/>
        </w:rPr>
      </w:pPr>
    </w:p>
    <w:tbl>
      <w:tblPr>
        <w:tblW w:w="6795" w:type="dxa"/>
        <w:jc w:val="center"/>
        <w:tblLayout w:type="fixed"/>
        <w:tblLook w:val="0000" w:firstRow="0" w:lastRow="0" w:firstColumn="0" w:lastColumn="0" w:noHBand="0" w:noVBand="0"/>
      </w:tblPr>
      <w:tblGrid>
        <w:gridCol w:w="3401"/>
        <w:gridCol w:w="3394"/>
      </w:tblGrid>
      <w:tr w:rsidR="00A7162A" w14:paraId="6F26C5E5" w14:textId="17332D6F" w:rsidTr="00AB343F">
        <w:trPr>
          <w:tblHeader/>
          <w:jc w:val="center"/>
          <w:del w:id="143" w:author="AbbVie2" w:date="2025-05-13T16:36:00Z"/>
        </w:trPr>
        <w:tc>
          <w:tcPr>
            <w:tcW w:w="3401" w:type="dxa"/>
            <w:tcBorders>
              <w:top w:val="single" w:sz="4" w:space="0" w:color="auto"/>
              <w:bottom w:val="single" w:sz="4" w:space="0" w:color="auto"/>
            </w:tcBorders>
          </w:tcPr>
          <w:p w14:paraId="7036492A" w14:textId="421311C6" w:rsidR="00983201" w:rsidRPr="00AD4F25" w:rsidRDefault="00615769" w:rsidP="00AB343F">
            <w:pPr>
              <w:keepNext/>
              <w:spacing w:before="40" w:after="40" w:line="240" w:lineRule="exact"/>
              <w:jc w:val="center"/>
              <w:rPr>
                <w:del w:id="144" w:author="AbbVie2" w:date="2025-05-13T16:36:00Z"/>
                <w:rFonts w:eastAsia="Calibri"/>
                <w:b/>
                <w:sz w:val="22"/>
                <w:szCs w:val="22"/>
                <w:lang w:eastAsia="ja-JP"/>
                <w:rPrChange w:id="145" w:author="AbbVie2" w:date="2025-05-14T10:17:00Z">
                  <w:rPr>
                    <w:del w:id="146" w:author="AbbVie2" w:date="2025-05-13T16:36:00Z"/>
                    <w:rFonts w:eastAsia="Calibri"/>
                    <w:b/>
                    <w:sz w:val="22"/>
                    <w:szCs w:val="22"/>
                    <w:lang w:val="en-US" w:eastAsia="ja-JP"/>
                  </w:rPr>
                </w:rPrChange>
              </w:rPr>
            </w:pPr>
            <w:del w:id="147" w:author="AbbVie2" w:date="2025-05-13T16:36:00Z">
              <w:r w:rsidRPr="00AD4F25">
                <w:rPr>
                  <w:rFonts w:eastAsia="Calibri"/>
                  <w:b/>
                  <w:sz w:val="22"/>
                  <w:szCs w:val="22"/>
                  <w:lang w:eastAsia="ja-JP"/>
                  <w:rPrChange w:id="148" w:author="AbbVie2" w:date="2025-05-14T10:17:00Z">
                    <w:rPr>
                      <w:rFonts w:eastAsia="Calibri"/>
                      <w:b/>
                      <w:sz w:val="22"/>
                      <w:szCs w:val="22"/>
                      <w:lang w:val="en-US" w:eastAsia="ja-JP"/>
                    </w:rPr>
                  </w:rPrChange>
                </w:rPr>
                <w:delText>Peso do Doente</w:delText>
              </w:r>
            </w:del>
          </w:p>
        </w:tc>
        <w:tc>
          <w:tcPr>
            <w:tcW w:w="3394" w:type="dxa"/>
            <w:tcBorders>
              <w:top w:val="single" w:sz="4" w:space="0" w:color="auto"/>
              <w:bottom w:val="single" w:sz="4" w:space="0" w:color="auto"/>
            </w:tcBorders>
          </w:tcPr>
          <w:p w14:paraId="6DA1B196" w14:textId="411D2C24" w:rsidR="00983201" w:rsidRPr="00AD4F25" w:rsidRDefault="00615769">
            <w:pPr>
              <w:keepNext/>
              <w:spacing w:before="40" w:after="40" w:line="240" w:lineRule="exact"/>
              <w:jc w:val="center"/>
              <w:rPr>
                <w:del w:id="149" w:author="AbbVie2" w:date="2025-05-13T16:36:00Z"/>
                <w:rFonts w:eastAsia="Calibri"/>
                <w:b/>
                <w:sz w:val="22"/>
                <w:szCs w:val="22"/>
                <w:lang w:eastAsia="ja-JP"/>
                <w:rPrChange w:id="150" w:author="AbbVie2" w:date="2025-05-14T10:17:00Z">
                  <w:rPr>
                    <w:del w:id="151" w:author="AbbVie2" w:date="2025-05-13T16:36:00Z"/>
                    <w:rFonts w:eastAsia="Calibri"/>
                    <w:b/>
                    <w:sz w:val="22"/>
                    <w:szCs w:val="22"/>
                    <w:lang w:val="en-US" w:eastAsia="ja-JP"/>
                  </w:rPr>
                </w:rPrChange>
              </w:rPr>
            </w:pPr>
            <w:del w:id="152" w:author="AbbVie2" w:date="2025-05-13T16:36:00Z">
              <w:r w:rsidRPr="00AD4F25">
                <w:rPr>
                  <w:rFonts w:eastAsia="Calibri"/>
                  <w:b/>
                  <w:sz w:val="22"/>
                  <w:szCs w:val="22"/>
                  <w:lang w:eastAsia="ja-JP"/>
                  <w:rPrChange w:id="153" w:author="AbbVie2" w:date="2025-05-14T10:17:00Z">
                    <w:rPr>
                      <w:rFonts w:eastAsia="Calibri"/>
                      <w:b/>
                      <w:sz w:val="22"/>
                      <w:szCs w:val="22"/>
                      <w:lang w:val="en-US" w:eastAsia="ja-JP"/>
                    </w:rPr>
                  </w:rPrChange>
                </w:rPr>
                <w:delText xml:space="preserve">Regime </w:delText>
              </w:r>
              <w:r w:rsidR="00C00E3F" w:rsidRPr="00AD4F25">
                <w:rPr>
                  <w:rFonts w:eastAsia="Calibri"/>
                  <w:b/>
                  <w:sz w:val="22"/>
                  <w:szCs w:val="22"/>
                  <w:lang w:eastAsia="ja-JP"/>
                  <w:rPrChange w:id="154" w:author="AbbVie2" w:date="2025-05-14T10:17:00Z">
                    <w:rPr>
                      <w:rFonts w:eastAsia="Calibri"/>
                      <w:b/>
                      <w:sz w:val="22"/>
                      <w:szCs w:val="22"/>
                      <w:lang w:val="en-US" w:eastAsia="ja-JP"/>
                    </w:rPr>
                  </w:rPrChange>
                </w:rPr>
                <w:delText xml:space="preserve">Posológico </w:delText>
              </w:r>
            </w:del>
          </w:p>
        </w:tc>
      </w:tr>
      <w:tr w:rsidR="00A7162A" w14:paraId="5CC9F6F8" w14:textId="61CCF186" w:rsidTr="00AB343F">
        <w:trPr>
          <w:tblHeader/>
          <w:jc w:val="center"/>
          <w:del w:id="155" w:author="AbbVie2" w:date="2025-05-13T16:36:00Z"/>
        </w:trPr>
        <w:tc>
          <w:tcPr>
            <w:tcW w:w="3401" w:type="dxa"/>
            <w:tcBorders>
              <w:top w:val="single" w:sz="4" w:space="0" w:color="auto"/>
              <w:bottom w:val="single" w:sz="4" w:space="0" w:color="auto"/>
            </w:tcBorders>
          </w:tcPr>
          <w:p w14:paraId="3D82CC84" w14:textId="123D95B2" w:rsidR="00983201" w:rsidRPr="00AD4F25" w:rsidRDefault="00615769" w:rsidP="00AB343F">
            <w:pPr>
              <w:keepNext/>
              <w:spacing w:before="40" w:after="40" w:line="240" w:lineRule="exact"/>
              <w:jc w:val="center"/>
              <w:rPr>
                <w:del w:id="156" w:author="AbbVie2" w:date="2025-05-13T16:36:00Z"/>
                <w:rFonts w:eastAsia="Calibri"/>
                <w:b/>
                <w:sz w:val="22"/>
                <w:szCs w:val="22"/>
                <w:lang w:eastAsia="ja-JP"/>
                <w:rPrChange w:id="157" w:author="AbbVie2" w:date="2025-05-14T10:17:00Z">
                  <w:rPr>
                    <w:del w:id="158" w:author="AbbVie2" w:date="2025-05-13T16:36:00Z"/>
                    <w:rFonts w:eastAsia="Calibri"/>
                    <w:b/>
                    <w:sz w:val="22"/>
                    <w:szCs w:val="22"/>
                    <w:lang w:val="en-US" w:eastAsia="ja-JP"/>
                  </w:rPr>
                </w:rPrChange>
              </w:rPr>
            </w:pPr>
            <w:del w:id="159" w:author="AbbVie2" w:date="2025-05-13T16:36:00Z">
              <w:r w:rsidRPr="00AD4F25">
                <w:rPr>
                  <w:rFonts w:eastAsia="Calibri"/>
                  <w:sz w:val="22"/>
                  <w:szCs w:val="22"/>
                  <w:lang w:eastAsia="ja-JP"/>
                  <w:rPrChange w:id="160" w:author="AbbVie2" w:date="2025-05-14T10:17:00Z">
                    <w:rPr>
                      <w:rFonts w:eastAsia="Calibri"/>
                      <w:sz w:val="22"/>
                      <w:szCs w:val="22"/>
                      <w:lang w:val="en-US" w:eastAsia="ja-JP"/>
                    </w:rPr>
                  </w:rPrChange>
                </w:rPr>
                <w:delText>10 kg até &lt; 30 kg</w:delText>
              </w:r>
            </w:del>
          </w:p>
        </w:tc>
        <w:tc>
          <w:tcPr>
            <w:tcW w:w="3394" w:type="dxa"/>
            <w:tcBorders>
              <w:top w:val="single" w:sz="4" w:space="0" w:color="auto"/>
              <w:bottom w:val="single" w:sz="4" w:space="0" w:color="auto"/>
            </w:tcBorders>
          </w:tcPr>
          <w:p w14:paraId="5DECB433" w14:textId="65329D64" w:rsidR="00983201" w:rsidRPr="00AD4F25" w:rsidRDefault="00615769" w:rsidP="00AB343F">
            <w:pPr>
              <w:keepNext/>
              <w:spacing w:before="40" w:after="40" w:line="240" w:lineRule="exact"/>
              <w:jc w:val="center"/>
              <w:rPr>
                <w:del w:id="161" w:author="AbbVie2" w:date="2025-05-13T16:36:00Z"/>
                <w:rFonts w:eastAsia="Calibri"/>
                <w:b/>
                <w:sz w:val="22"/>
                <w:szCs w:val="22"/>
                <w:lang w:eastAsia="ja-JP"/>
                <w:rPrChange w:id="162" w:author="AbbVie2" w:date="2025-05-14T10:17:00Z">
                  <w:rPr>
                    <w:del w:id="163" w:author="AbbVie2" w:date="2025-05-13T16:36:00Z"/>
                    <w:rFonts w:eastAsia="Calibri"/>
                    <w:b/>
                    <w:sz w:val="22"/>
                    <w:szCs w:val="22"/>
                    <w:lang w:val="en-US" w:eastAsia="ja-JP"/>
                  </w:rPr>
                </w:rPrChange>
              </w:rPr>
            </w:pPr>
            <w:del w:id="164" w:author="AbbVie2" w:date="2025-05-13T16:36:00Z">
              <w:r w:rsidRPr="00AD4F25">
                <w:rPr>
                  <w:rFonts w:eastAsia="Calibri"/>
                  <w:sz w:val="22"/>
                  <w:szCs w:val="22"/>
                  <w:lang w:eastAsia="ja-JP"/>
                  <w:rPrChange w:id="165" w:author="AbbVie2" w:date="2025-05-14T10:17:00Z">
                    <w:rPr>
                      <w:rFonts w:eastAsia="Calibri"/>
                      <w:sz w:val="22"/>
                      <w:szCs w:val="22"/>
                      <w:lang w:val="en-US" w:eastAsia="ja-JP"/>
                    </w:rPr>
                  </w:rPrChange>
                </w:rPr>
                <w:delText>20 mg em semanas alternadas</w:delText>
              </w:r>
            </w:del>
          </w:p>
        </w:tc>
      </w:tr>
      <w:tr w:rsidR="00A7162A" w14:paraId="656C3F32" w14:textId="2E5AA94A" w:rsidTr="00AB343F">
        <w:trPr>
          <w:tblHeader/>
          <w:jc w:val="center"/>
          <w:del w:id="166" w:author="AbbVie2" w:date="2025-05-13T16:36:00Z"/>
        </w:trPr>
        <w:tc>
          <w:tcPr>
            <w:tcW w:w="3401" w:type="dxa"/>
            <w:tcBorders>
              <w:top w:val="single" w:sz="4" w:space="0" w:color="auto"/>
              <w:bottom w:val="single" w:sz="4" w:space="0" w:color="auto"/>
            </w:tcBorders>
          </w:tcPr>
          <w:p w14:paraId="4B147E41" w14:textId="41EADBD9" w:rsidR="00983201" w:rsidRPr="00AD4F25" w:rsidRDefault="00615769" w:rsidP="00AB343F">
            <w:pPr>
              <w:keepNext/>
              <w:spacing w:before="40" w:after="40" w:line="240" w:lineRule="exact"/>
              <w:jc w:val="center"/>
              <w:rPr>
                <w:del w:id="167" w:author="AbbVie2" w:date="2025-05-13T16:36:00Z"/>
                <w:rFonts w:eastAsia="Calibri"/>
                <w:b/>
                <w:sz w:val="22"/>
                <w:szCs w:val="22"/>
                <w:lang w:eastAsia="ja-JP"/>
                <w:rPrChange w:id="168" w:author="AbbVie2" w:date="2025-05-14T10:17:00Z">
                  <w:rPr>
                    <w:del w:id="169" w:author="AbbVie2" w:date="2025-05-13T16:36:00Z"/>
                    <w:rFonts w:eastAsia="Calibri"/>
                    <w:b/>
                    <w:sz w:val="22"/>
                    <w:szCs w:val="22"/>
                    <w:lang w:val="en-US" w:eastAsia="ja-JP"/>
                  </w:rPr>
                </w:rPrChange>
              </w:rPr>
            </w:pPr>
            <w:del w:id="170" w:author="AbbVie2" w:date="2025-05-13T16:36:00Z">
              <w:r w:rsidRPr="00AD4F25">
                <w:rPr>
                  <w:rFonts w:eastAsia="Calibri"/>
                  <w:sz w:val="22"/>
                  <w:szCs w:val="22"/>
                  <w:lang w:eastAsia="ja-JP"/>
                  <w:rPrChange w:id="171" w:author="AbbVie2" w:date="2025-05-14T10:17:00Z">
                    <w:rPr>
                      <w:rFonts w:eastAsia="Calibri"/>
                      <w:sz w:val="22"/>
                      <w:szCs w:val="22"/>
                      <w:lang w:val="en-US" w:eastAsia="ja-JP"/>
                    </w:rPr>
                  </w:rPrChange>
                </w:rPr>
                <w:delText>≥ 30 kg</w:delText>
              </w:r>
            </w:del>
          </w:p>
        </w:tc>
        <w:tc>
          <w:tcPr>
            <w:tcW w:w="3394" w:type="dxa"/>
            <w:tcBorders>
              <w:top w:val="single" w:sz="4" w:space="0" w:color="auto"/>
              <w:bottom w:val="single" w:sz="4" w:space="0" w:color="auto"/>
            </w:tcBorders>
          </w:tcPr>
          <w:p w14:paraId="6C3C6E9C" w14:textId="40022BE4" w:rsidR="00983201" w:rsidRPr="00AD4F25" w:rsidRDefault="00615769" w:rsidP="00AB343F">
            <w:pPr>
              <w:keepNext/>
              <w:spacing w:before="40" w:after="40" w:line="240" w:lineRule="exact"/>
              <w:jc w:val="center"/>
              <w:rPr>
                <w:del w:id="172" w:author="AbbVie2" w:date="2025-05-13T16:36:00Z"/>
                <w:rFonts w:eastAsia="Calibri"/>
                <w:b/>
                <w:sz w:val="22"/>
                <w:szCs w:val="22"/>
                <w:lang w:eastAsia="ja-JP"/>
                <w:rPrChange w:id="173" w:author="AbbVie2" w:date="2025-05-14T10:17:00Z">
                  <w:rPr>
                    <w:del w:id="174" w:author="AbbVie2" w:date="2025-05-13T16:36:00Z"/>
                    <w:rFonts w:eastAsia="Calibri"/>
                    <w:b/>
                    <w:sz w:val="22"/>
                    <w:szCs w:val="22"/>
                    <w:lang w:val="en-US" w:eastAsia="ja-JP"/>
                  </w:rPr>
                </w:rPrChange>
              </w:rPr>
            </w:pPr>
            <w:del w:id="175" w:author="AbbVie2" w:date="2025-05-13T16:36:00Z">
              <w:r w:rsidRPr="00AD4F25">
                <w:rPr>
                  <w:rFonts w:eastAsia="Calibri"/>
                  <w:sz w:val="22"/>
                  <w:szCs w:val="22"/>
                  <w:lang w:eastAsia="ja-JP"/>
                  <w:rPrChange w:id="176" w:author="AbbVie2" w:date="2025-05-14T10:17:00Z">
                    <w:rPr>
                      <w:rFonts w:eastAsia="Calibri"/>
                      <w:sz w:val="22"/>
                      <w:szCs w:val="22"/>
                      <w:lang w:val="en-US" w:eastAsia="ja-JP"/>
                    </w:rPr>
                  </w:rPrChange>
                </w:rPr>
                <w:delText>40 mg em semanas alternadas</w:delText>
              </w:r>
            </w:del>
          </w:p>
        </w:tc>
      </w:tr>
    </w:tbl>
    <w:p w14:paraId="04C149FE" w14:textId="671D3F17" w:rsidR="00942B60" w:rsidRDefault="00942B60" w:rsidP="004462A0">
      <w:pPr>
        <w:pStyle w:val="BodyText2"/>
        <w:autoSpaceDE/>
        <w:autoSpaceDN/>
        <w:adjustRightInd/>
        <w:rPr>
          <w:del w:id="177" w:author="AbbVie2" w:date="2025-05-13T16:36:00Z"/>
          <w:szCs w:val="22"/>
        </w:rPr>
      </w:pPr>
    </w:p>
    <w:p w14:paraId="06404D2C" w14:textId="36A6A872" w:rsidR="004462A0" w:rsidRPr="008912CF" w:rsidRDefault="00615769" w:rsidP="004462A0">
      <w:pPr>
        <w:pStyle w:val="BodyText2"/>
        <w:autoSpaceDE/>
        <w:autoSpaceDN/>
        <w:adjustRightInd/>
        <w:rPr>
          <w:del w:id="178" w:author="AbbVie2" w:date="2025-05-13T16:36:00Z"/>
          <w:szCs w:val="22"/>
          <w:u w:val="single"/>
        </w:rPr>
      </w:pPr>
      <w:del w:id="179" w:author="AbbVie2" w:date="2025-05-13T16:36:00Z">
        <w:r w:rsidRPr="008912CF">
          <w:rPr>
            <w:szCs w:val="22"/>
          </w:rPr>
          <w:delText>Dados disponíveis sugerem que a resposta clínica é geralmente atingida após 12</w:delText>
        </w:r>
        <w:r>
          <w:rPr>
            <w:szCs w:val="22"/>
          </w:rPr>
          <w:delText> </w:delText>
        </w:r>
        <w:r w:rsidRPr="008912CF">
          <w:rPr>
            <w:szCs w:val="22"/>
          </w:rPr>
          <w:delText>semanas de tratamento. Uma terapêutica continuada deve ser cuidadosamente reconsiderada em doentes que não responderam dentro deste período de tempo.</w:delText>
        </w:r>
      </w:del>
    </w:p>
    <w:p w14:paraId="6BDD57CA" w14:textId="3298FF46" w:rsidR="004462A0" w:rsidRPr="008912CF" w:rsidRDefault="004462A0" w:rsidP="004462A0">
      <w:pPr>
        <w:rPr>
          <w:del w:id="180" w:author="AbbVie2" w:date="2025-05-13T16:36:00Z"/>
          <w:sz w:val="22"/>
          <w:szCs w:val="22"/>
        </w:rPr>
      </w:pPr>
    </w:p>
    <w:p w14:paraId="257DD32D" w14:textId="608B563F" w:rsidR="004462A0" w:rsidRPr="008912CF" w:rsidRDefault="00615769" w:rsidP="004462A0">
      <w:pPr>
        <w:rPr>
          <w:del w:id="181" w:author="AbbVie2" w:date="2025-05-13T16:36:00Z"/>
          <w:sz w:val="22"/>
          <w:szCs w:val="22"/>
        </w:rPr>
      </w:pPr>
      <w:del w:id="182" w:author="AbbVie2" w:date="2025-05-13T16:36:00Z">
        <w:r w:rsidRPr="008912CF">
          <w:rPr>
            <w:sz w:val="22"/>
            <w:szCs w:val="22"/>
          </w:rPr>
          <w:delText>Não existe utilização relevante de Humira em doentes com menos de 2</w:delText>
        </w:r>
        <w:r>
          <w:rPr>
            <w:sz w:val="22"/>
            <w:szCs w:val="22"/>
          </w:rPr>
          <w:delText> </w:delText>
        </w:r>
        <w:r w:rsidRPr="008912CF">
          <w:rPr>
            <w:sz w:val="22"/>
            <w:szCs w:val="22"/>
          </w:rPr>
          <w:delText>anos, para esta indicação.</w:delText>
        </w:r>
      </w:del>
    </w:p>
    <w:p w14:paraId="671B2350" w14:textId="5C788F2B" w:rsidR="004462A0" w:rsidRDefault="004462A0" w:rsidP="004462A0">
      <w:pPr>
        <w:pStyle w:val="BodyText2"/>
        <w:autoSpaceDE/>
        <w:autoSpaceDN/>
        <w:adjustRightInd/>
        <w:rPr>
          <w:del w:id="183" w:author="AbbVie2" w:date="2025-05-13T16:36:00Z"/>
          <w:szCs w:val="22"/>
          <w:u w:val="single"/>
        </w:rPr>
      </w:pPr>
    </w:p>
    <w:p w14:paraId="17269639" w14:textId="1DD6CB83" w:rsidR="002E2E75" w:rsidRPr="008912CF" w:rsidRDefault="00615769" w:rsidP="002E2E75">
      <w:pPr>
        <w:pStyle w:val="BodyText2"/>
        <w:autoSpaceDE/>
        <w:autoSpaceDN/>
        <w:adjustRightInd/>
        <w:rPr>
          <w:del w:id="184" w:author="AbbVie2" w:date="2025-05-13T16:36:00Z"/>
          <w:szCs w:val="22"/>
        </w:rPr>
      </w:pPr>
      <w:del w:id="185" w:author="AbbVie2" w:date="2025-05-13T16:36:00Z">
        <w:r>
          <w:rPr>
            <w:szCs w:val="22"/>
          </w:rPr>
          <w:delText>Humira pode estar disponível em outras dosagens e/ou apresentações dependendo das necessidades de cada doente.</w:delText>
        </w:r>
      </w:del>
    </w:p>
    <w:p w14:paraId="3E5DBA3C" w14:textId="544A28AC" w:rsidR="002E2E75" w:rsidRPr="008912CF" w:rsidRDefault="002E2E75" w:rsidP="004462A0">
      <w:pPr>
        <w:pStyle w:val="BodyText2"/>
        <w:autoSpaceDE/>
        <w:autoSpaceDN/>
        <w:adjustRightInd/>
        <w:rPr>
          <w:del w:id="186" w:author="AbbVie2" w:date="2025-05-13T16:36:00Z"/>
          <w:szCs w:val="22"/>
          <w:u w:val="single"/>
        </w:rPr>
      </w:pPr>
    </w:p>
    <w:p w14:paraId="2CBE6C1C" w14:textId="78219B27" w:rsidR="004462A0" w:rsidRPr="008912CF" w:rsidRDefault="00615769" w:rsidP="004462A0">
      <w:pPr>
        <w:pStyle w:val="BodyText2"/>
        <w:keepNext/>
        <w:autoSpaceDE/>
        <w:autoSpaceDN/>
        <w:adjustRightInd/>
        <w:rPr>
          <w:del w:id="187" w:author="AbbVie2" w:date="2025-05-13T16:36:00Z"/>
          <w:i/>
          <w:szCs w:val="22"/>
          <w:u w:val="single"/>
        </w:rPr>
      </w:pPr>
      <w:del w:id="188" w:author="AbbVie2" w:date="2025-05-13T16:36:00Z">
        <w:r w:rsidRPr="008912CF">
          <w:rPr>
            <w:i/>
            <w:szCs w:val="22"/>
            <w:u w:val="single"/>
          </w:rPr>
          <w:delText>Artrite relacionada com entesite</w:delText>
        </w:r>
      </w:del>
    </w:p>
    <w:p w14:paraId="20463F9F" w14:textId="3C4A0FB2" w:rsidR="004462A0" w:rsidRPr="008912CF" w:rsidRDefault="004462A0" w:rsidP="004462A0">
      <w:pPr>
        <w:pStyle w:val="BodyText2"/>
        <w:keepNext/>
        <w:autoSpaceDE/>
        <w:autoSpaceDN/>
        <w:adjustRightInd/>
        <w:rPr>
          <w:del w:id="189" w:author="AbbVie2" w:date="2025-05-13T16:36:00Z"/>
          <w:i/>
          <w:szCs w:val="22"/>
          <w:u w:val="single"/>
        </w:rPr>
      </w:pPr>
    </w:p>
    <w:p w14:paraId="42037B3F" w14:textId="67DF3AD9" w:rsidR="004462A0" w:rsidRDefault="00615769" w:rsidP="00D62E4B">
      <w:pPr>
        <w:pStyle w:val="BodyText2"/>
        <w:autoSpaceDE/>
        <w:autoSpaceDN/>
        <w:adjustRightInd/>
        <w:rPr>
          <w:del w:id="190" w:author="AbbVie2" w:date="2025-05-13T16:36:00Z"/>
          <w:szCs w:val="22"/>
        </w:rPr>
      </w:pPr>
      <w:del w:id="191" w:author="AbbVie2" w:date="2025-05-13T16:36:00Z">
        <w:r w:rsidRPr="008912CF">
          <w:rPr>
            <w:szCs w:val="22"/>
          </w:rPr>
          <w:delText xml:space="preserve">A dose de Humira recomendada </w:delText>
        </w:r>
        <w:r w:rsidR="00D62E4B">
          <w:rPr>
            <w:szCs w:val="22"/>
          </w:rPr>
          <w:delText>em</w:delText>
        </w:r>
        <w:r w:rsidRPr="008912CF">
          <w:rPr>
            <w:szCs w:val="22"/>
          </w:rPr>
          <w:delText xml:space="preserve"> doentes com artrite relacionada com entesite, a partir dos 6 anos de idade, é </w:delText>
        </w:r>
        <w:r w:rsidR="00983201">
          <w:rPr>
            <w:szCs w:val="22"/>
          </w:rPr>
          <w:delText>baseada no peso corporal (Tabela 2). Humira é administrado</w:delText>
        </w:r>
        <w:r w:rsidRPr="008912CF">
          <w:rPr>
            <w:szCs w:val="22"/>
          </w:rPr>
          <w:delText xml:space="preserve"> em semanas alternadas, por injeção subcutânea. </w:delText>
        </w:r>
        <w:r w:rsidR="00983201" w:rsidRPr="00983201">
          <w:rPr>
            <w:szCs w:val="22"/>
          </w:rPr>
          <w:delText xml:space="preserve"> </w:delText>
        </w:r>
      </w:del>
    </w:p>
    <w:p w14:paraId="1A9BFA7A" w14:textId="79E181E7" w:rsidR="00983201" w:rsidRDefault="00983201" w:rsidP="00F03C54">
      <w:pPr>
        <w:pStyle w:val="BodyText2"/>
        <w:autoSpaceDE/>
        <w:autoSpaceDN/>
        <w:adjustRightInd/>
        <w:rPr>
          <w:del w:id="192" w:author="AbbVie2" w:date="2025-05-13T16:36:00Z"/>
          <w:szCs w:val="22"/>
        </w:rPr>
      </w:pPr>
    </w:p>
    <w:p w14:paraId="6CE4E4F2" w14:textId="3C67E4D6" w:rsidR="00983201" w:rsidRPr="008912CF" w:rsidRDefault="00615769" w:rsidP="00983201">
      <w:pPr>
        <w:pStyle w:val="BodyText2"/>
        <w:autoSpaceDE/>
        <w:autoSpaceDN/>
        <w:adjustRightInd/>
        <w:jc w:val="center"/>
        <w:rPr>
          <w:del w:id="193" w:author="AbbVie2" w:date="2025-05-13T16:36:00Z"/>
          <w:b/>
          <w:szCs w:val="22"/>
        </w:rPr>
      </w:pPr>
      <w:del w:id="194" w:author="AbbVie2" w:date="2025-05-13T16:36:00Z">
        <w:r w:rsidRPr="008912CF">
          <w:rPr>
            <w:b/>
            <w:szCs w:val="22"/>
          </w:rPr>
          <w:delText xml:space="preserve">Tabela </w:delText>
        </w:r>
        <w:r>
          <w:rPr>
            <w:b/>
            <w:szCs w:val="22"/>
          </w:rPr>
          <w:delText>2</w:delText>
        </w:r>
        <w:r w:rsidRPr="008912CF">
          <w:rPr>
            <w:b/>
            <w:szCs w:val="22"/>
          </w:rPr>
          <w:delText xml:space="preserve">. Dose de Humira </w:delText>
        </w:r>
        <w:r w:rsidR="00D62E4B">
          <w:rPr>
            <w:b/>
            <w:szCs w:val="22"/>
          </w:rPr>
          <w:delText>em</w:delText>
        </w:r>
        <w:r w:rsidRPr="008912CF">
          <w:rPr>
            <w:b/>
            <w:szCs w:val="22"/>
          </w:rPr>
          <w:delText xml:space="preserve"> Doentes com Artrite </w:delText>
        </w:r>
        <w:r>
          <w:rPr>
            <w:b/>
            <w:szCs w:val="22"/>
          </w:rPr>
          <w:delText>Relacionada com Entesite</w:delText>
        </w:r>
        <w:r w:rsidRPr="008912CF">
          <w:rPr>
            <w:b/>
            <w:szCs w:val="22"/>
          </w:rPr>
          <w:delText xml:space="preserve"> </w:delText>
        </w:r>
      </w:del>
    </w:p>
    <w:p w14:paraId="243014D2" w14:textId="78C2B3D0" w:rsidR="00983201" w:rsidRPr="008912CF" w:rsidRDefault="00983201" w:rsidP="00983201">
      <w:pPr>
        <w:rPr>
          <w:del w:id="195" w:author="AbbVie2" w:date="2025-05-13T16:36:00Z"/>
          <w:sz w:val="22"/>
          <w:szCs w:val="22"/>
        </w:rPr>
      </w:pPr>
    </w:p>
    <w:tbl>
      <w:tblPr>
        <w:tblW w:w="6795" w:type="dxa"/>
        <w:jc w:val="center"/>
        <w:tblLayout w:type="fixed"/>
        <w:tblLook w:val="0000" w:firstRow="0" w:lastRow="0" w:firstColumn="0" w:lastColumn="0" w:noHBand="0" w:noVBand="0"/>
      </w:tblPr>
      <w:tblGrid>
        <w:gridCol w:w="3401"/>
        <w:gridCol w:w="3394"/>
      </w:tblGrid>
      <w:tr w:rsidR="00A7162A" w14:paraId="43D7C528" w14:textId="01D0CCEB" w:rsidTr="00AB343F">
        <w:trPr>
          <w:tblHeader/>
          <w:jc w:val="center"/>
          <w:del w:id="196" w:author="AbbVie2" w:date="2025-05-13T16:36:00Z"/>
        </w:trPr>
        <w:tc>
          <w:tcPr>
            <w:tcW w:w="3401" w:type="dxa"/>
            <w:tcBorders>
              <w:top w:val="single" w:sz="4" w:space="0" w:color="auto"/>
              <w:bottom w:val="single" w:sz="4" w:space="0" w:color="auto"/>
            </w:tcBorders>
          </w:tcPr>
          <w:p w14:paraId="639B8E55" w14:textId="262A091B" w:rsidR="00983201" w:rsidRPr="00AD4F25" w:rsidRDefault="00615769" w:rsidP="00AB343F">
            <w:pPr>
              <w:keepNext/>
              <w:spacing w:before="40" w:after="40" w:line="240" w:lineRule="exact"/>
              <w:jc w:val="center"/>
              <w:rPr>
                <w:del w:id="197" w:author="AbbVie2" w:date="2025-05-13T16:36:00Z"/>
                <w:rFonts w:eastAsia="Calibri"/>
                <w:b/>
                <w:sz w:val="22"/>
                <w:szCs w:val="22"/>
                <w:lang w:eastAsia="ja-JP"/>
                <w:rPrChange w:id="198" w:author="AbbVie2" w:date="2025-05-14T10:17:00Z">
                  <w:rPr>
                    <w:del w:id="199" w:author="AbbVie2" w:date="2025-05-13T16:36:00Z"/>
                    <w:rFonts w:eastAsia="Calibri"/>
                    <w:b/>
                    <w:sz w:val="22"/>
                    <w:szCs w:val="22"/>
                    <w:lang w:val="en-US" w:eastAsia="ja-JP"/>
                  </w:rPr>
                </w:rPrChange>
              </w:rPr>
            </w:pPr>
            <w:del w:id="200" w:author="AbbVie2" w:date="2025-05-13T16:36:00Z">
              <w:r w:rsidRPr="00AD4F25">
                <w:rPr>
                  <w:rFonts w:eastAsia="Calibri"/>
                  <w:b/>
                  <w:sz w:val="22"/>
                  <w:szCs w:val="22"/>
                  <w:lang w:eastAsia="ja-JP"/>
                  <w:rPrChange w:id="201" w:author="AbbVie2" w:date="2025-05-14T10:17:00Z">
                    <w:rPr>
                      <w:rFonts w:eastAsia="Calibri"/>
                      <w:b/>
                      <w:sz w:val="22"/>
                      <w:szCs w:val="22"/>
                      <w:lang w:val="en-US" w:eastAsia="ja-JP"/>
                    </w:rPr>
                  </w:rPrChange>
                </w:rPr>
                <w:delText>Peso do Doente</w:delText>
              </w:r>
            </w:del>
          </w:p>
        </w:tc>
        <w:tc>
          <w:tcPr>
            <w:tcW w:w="3394" w:type="dxa"/>
            <w:tcBorders>
              <w:top w:val="single" w:sz="4" w:space="0" w:color="auto"/>
              <w:bottom w:val="single" w:sz="4" w:space="0" w:color="auto"/>
            </w:tcBorders>
          </w:tcPr>
          <w:p w14:paraId="61B04F1C" w14:textId="573405D6" w:rsidR="00983201" w:rsidRPr="00AD4F25" w:rsidRDefault="00615769">
            <w:pPr>
              <w:keepNext/>
              <w:spacing w:before="40" w:after="40" w:line="240" w:lineRule="exact"/>
              <w:jc w:val="center"/>
              <w:rPr>
                <w:del w:id="202" w:author="AbbVie2" w:date="2025-05-13T16:36:00Z"/>
                <w:rFonts w:eastAsia="Calibri"/>
                <w:b/>
                <w:sz w:val="22"/>
                <w:szCs w:val="22"/>
                <w:lang w:eastAsia="ja-JP"/>
                <w:rPrChange w:id="203" w:author="AbbVie2" w:date="2025-05-14T10:17:00Z">
                  <w:rPr>
                    <w:del w:id="204" w:author="AbbVie2" w:date="2025-05-13T16:36:00Z"/>
                    <w:rFonts w:eastAsia="Calibri"/>
                    <w:b/>
                    <w:sz w:val="22"/>
                    <w:szCs w:val="22"/>
                    <w:lang w:val="en-US" w:eastAsia="ja-JP"/>
                  </w:rPr>
                </w:rPrChange>
              </w:rPr>
            </w:pPr>
            <w:del w:id="205" w:author="AbbVie2" w:date="2025-05-13T16:36:00Z">
              <w:r w:rsidRPr="00AD4F25">
                <w:rPr>
                  <w:rFonts w:eastAsia="Calibri"/>
                  <w:b/>
                  <w:sz w:val="22"/>
                  <w:szCs w:val="22"/>
                  <w:lang w:eastAsia="ja-JP"/>
                  <w:rPrChange w:id="206" w:author="AbbVie2" w:date="2025-05-14T10:17:00Z">
                    <w:rPr>
                      <w:rFonts w:eastAsia="Calibri"/>
                      <w:b/>
                      <w:sz w:val="22"/>
                      <w:szCs w:val="22"/>
                      <w:lang w:val="en-US" w:eastAsia="ja-JP"/>
                    </w:rPr>
                  </w:rPrChange>
                </w:rPr>
                <w:delText xml:space="preserve">Regime </w:delText>
              </w:r>
              <w:r w:rsidR="00C00E3F" w:rsidRPr="00AD4F25">
                <w:rPr>
                  <w:rFonts w:eastAsia="Calibri"/>
                  <w:b/>
                  <w:sz w:val="22"/>
                  <w:szCs w:val="22"/>
                  <w:lang w:eastAsia="ja-JP"/>
                  <w:rPrChange w:id="207" w:author="AbbVie2" w:date="2025-05-14T10:17:00Z">
                    <w:rPr>
                      <w:rFonts w:eastAsia="Calibri"/>
                      <w:b/>
                      <w:sz w:val="22"/>
                      <w:szCs w:val="22"/>
                      <w:lang w:val="en-US" w:eastAsia="ja-JP"/>
                    </w:rPr>
                  </w:rPrChange>
                </w:rPr>
                <w:delText xml:space="preserve">Posológico </w:delText>
              </w:r>
            </w:del>
          </w:p>
        </w:tc>
      </w:tr>
      <w:tr w:rsidR="00A7162A" w14:paraId="5888FF49" w14:textId="5B3B506F" w:rsidTr="00AB343F">
        <w:trPr>
          <w:tblHeader/>
          <w:jc w:val="center"/>
          <w:del w:id="208" w:author="AbbVie2" w:date="2025-05-13T16:36:00Z"/>
        </w:trPr>
        <w:tc>
          <w:tcPr>
            <w:tcW w:w="3401" w:type="dxa"/>
            <w:tcBorders>
              <w:top w:val="single" w:sz="4" w:space="0" w:color="auto"/>
              <w:bottom w:val="single" w:sz="4" w:space="0" w:color="auto"/>
            </w:tcBorders>
          </w:tcPr>
          <w:p w14:paraId="47B35D28" w14:textId="3DE3ECFC" w:rsidR="00983201" w:rsidRPr="00AD4F25" w:rsidRDefault="00615769" w:rsidP="00AB343F">
            <w:pPr>
              <w:keepNext/>
              <w:spacing w:before="40" w:after="40" w:line="240" w:lineRule="exact"/>
              <w:jc w:val="center"/>
              <w:rPr>
                <w:del w:id="209" w:author="AbbVie2" w:date="2025-05-13T16:36:00Z"/>
                <w:rFonts w:eastAsia="Calibri"/>
                <w:b/>
                <w:sz w:val="22"/>
                <w:szCs w:val="22"/>
                <w:lang w:eastAsia="ja-JP"/>
                <w:rPrChange w:id="210" w:author="AbbVie2" w:date="2025-05-14T10:17:00Z">
                  <w:rPr>
                    <w:del w:id="211" w:author="AbbVie2" w:date="2025-05-13T16:36:00Z"/>
                    <w:rFonts w:eastAsia="Calibri"/>
                    <w:b/>
                    <w:sz w:val="22"/>
                    <w:szCs w:val="22"/>
                    <w:lang w:val="en-US" w:eastAsia="ja-JP"/>
                  </w:rPr>
                </w:rPrChange>
              </w:rPr>
            </w:pPr>
            <w:del w:id="212" w:author="AbbVie2" w:date="2025-05-13T16:36:00Z">
              <w:r w:rsidRPr="00AD4F25">
                <w:rPr>
                  <w:rFonts w:eastAsia="Calibri"/>
                  <w:sz w:val="22"/>
                  <w:szCs w:val="22"/>
                  <w:lang w:eastAsia="ja-JP"/>
                  <w:rPrChange w:id="213" w:author="AbbVie2" w:date="2025-05-14T10:17:00Z">
                    <w:rPr>
                      <w:rFonts w:eastAsia="Calibri"/>
                      <w:sz w:val="22"/>
                      <w:szCs w:val="22"/>
                      <w:lang w:val="en-US" w:eastAsia="ja-JP"/>
                    </w:rPr>
                  </w:rPrChange>
                </w:rPr>
                <w:delText>15</w:delText>
              </w:r>
              <w:r w:rsidR="00A3305A" w:rsidRPr="00AD4F25">
                <w:rPr>
                  <w:rFonts w:eastAsia="Calibri"/>
                  <w:sz w:val="22"/>
                  <w:szCs w:val="22"/>
                  <w:lang w:eastAsia="ja-JP"/>
                  <w:rPrChange w:id="214" w:author="AbbVie2" w:date="2025-05-14T10:17:00Z">
                    <w:rPr>
                      <w:rFonts w:eastAsia="Calibri"/>
                      <w:sz w:val="22"/>
                      <w:szCs w:val="22"/>
                      <w:lang w:val="en-US" w:eastAsia="ja-JP"/>
                    </w:rPr>
                  </w:rPrChange>
                </w:rPr>
                <w:delText xml:space="preserve"> kg até</w:delText>
              </w:r>
              <w:r w:rsidRPr="00AD4F25">
                <w:rPr>
                  <w:rFonts w:eastAsia="Calibri"/>
                  <w:sz w:val="22"/>
                  <w:szCs w:val="22"/>
                  <w:lang w:eastAsia="ja-JP"/>
                  <w:rPrChange w:id="215" w:author="AbbVie2" w:date="2025-05-14T10:17:00Z">
                    <w:rPr>
                      <w:rFonts w:eastAsia="Calibri"/>
                      <w:sz w:val="22"/>
                      <w:szCs w:val="22"/>
                      <w:lang w:val="en-US" w:eastAsia="ja-JP"/>
                    </w:rPr>
                  </w:rPrChange>
                </w:rPr>
                <w:delText xml:space="preserve"> &lt; 30 kg</w:delText>
              </w:r>
            </w:del>
          </w:p>
        </w:tc>
        <w:tc>
          <w:tcPr>
            <w:tcW w:w="3394" w:type="dxa"/>
            <w:tcBorders>
              <w:top w:val="single" w:sz="4" w:space="0" w:color="auto"/>
              <w:bottom w:val="single" w:sz="4" w:space="0" w:color="auto"/>
            </w:tcBorders>
          </w:tcPr>
          <w:p w14:paraId="4709A843" w14:textId="5DFA0269" w:rsidR="00983201" w:rsidRPr="00AD4F25" w:rsidRDefault="00615769" w:rsidP="00AB343F">
            <w:pPr>
              <w:keepNext/>
              <w:spacing w:before="40" w:after="40" w:line="240" w:lineRule="exact"/>
              <w:jc w:val="center"/>
              <w:rPr>
                <w:del w:id="216" w:author="AbbVie2" w:date="2025-05-13T16:36:00Z"/>
                <w:rFonts w:eastAsia="Calibri"/>
                <w:b/>
                <w:sz w:val="22"/>
                <w:szCs w:val="22"/>
                <w:lang w:eastAsia="ja-JP"/>
                <w:rPrChange w:id="217" w:author="AbbVie2" w:date="2025-05-14T10:17:00Z">
                  <w:rPr>
                    <w:del w:id="218" w:author="AbbVie2" w:date="2025-05-13T16:36:00Z"/>
                    <w:rFonts w:eastAsia="Calibri"/>
                    <w:b/>
                    <w:sz w:val="22"/>
                    <w:szCs w:val="22"/>
                    <w:lang w:val="en-US" w:eastAsia="ja-JP"/>
                  </w:rPr>
                </w:rPrChange>
              </w:rPr>
            </w:pPr>
            <w:del w:id="219" w:author="AbbVie2" w:date="2025-05-13T16:36:00Z">
              <w:r w:rsidRPr="00AD4F25">
                <w:rPr>
                  <w:rFonts w:eastAsia="Calibri"/>
                  <w:sz w:val="22"/>
                  <w:szCs w:val="22"/>
                  <w:lang w:eastAsia="ja-JP"/>
                  <w:rPrChange w:id="220" w:author="AbbVie2" w:date="2025-05-14T10:17:00Z">
                    <w:rPr>
                      <w:rFonts w:eastAsia="Calibri"/>
                      <w:sz w:val="22"/>
                      <w:szCs w:val="22"/>
                      <w:lang w:val="en-US" w:eastAsia="ja-JP"/>
                    </w:rPr>
                  </w:rPrChange>
                </w:rPr>
                <w:delText>20 mg em semanas alternadas</w:delText>
              </w:r>
            </w:del>
          </w:p>
        </w:tc>
      </w:tr>
      <w:tr w:rsidR="00A7162A" w14:paraId="244BAC35" w14:textId="628FEC90" w:rsidTr="00AB343F">
        <w:trPr>
          <w:tblHeader/>
          <w:jc w:val="center"/>
          <w:del w:id="221" w:author="AbbVie2" w:date="2025-05-13T16:36:00Z"/>
        </w:trPr>
        <w:tc>
          <w:tcPr>
            <w:tcW w:w="3401" w:type="dxa"/>
            <w:tcBorders>
              <w:top w:val="single" w:sz="4" w:space="0" w:color="auto"/>
              <w:bottom w:val="single" w:sz="4" w:space="0" w:color="auto"/>
            </w:tcBorders>
          </w:tcPr>
          <w:p w14:paraId="1AB67168" w14:textId="701DE113" w:rsidR="00983201" w:rsidRPr="00AD4F25" w:rsidRDefault="00615769" w:rsidP="00AB343F">
            <w:pPr>
              <w:keepNext/>
              <w:spacing w:before="40" w:after="40" w:line="240" w:lineRule="exact"/>
              <w:jc w:val="center"/>
              <w:rPr>
                <w:del w:id="222" w:author="AbbVie2" w:date="2025-05-13T16:36:00Z"/>
                <w:rFonts w:eastAsia="Calibri"/>
                <w:b/>
                <w:sz w:val="22"/>
                <w:szCs w:val="22"/>
                <w:lang w:eastAsia="ja-JP"/>
                <w:rPrChange w:id="223" w:author="AbbVie2" w:date="2025-05-14T10:17:00Z">
                  <w:rPr>
                    <w:del w:id="224" w:author="AbbVie2" w:date="2025-05-13T16:36:00Z"/>
                    <w:rFonts w:eastAsia="Calibri"/>
                    <w:b/>
                    <w:sz w:val="22"/>
                    <w:szCs w:val="22"/>
                    <w:lang w:val="en-US" w:eastAsia="ja-JP"/>
                  </w:rPr>
                </w:rPrChange>
              </w:rPr>
            </w:pPr>
            <w:del w:id="225" w:author="AbbVie2" w:date="2025-05-13T16:36:00Z">
              <w:r w:rsidRPr="00AD4F25">
                <w:rPr>
                  <w:rFonts w:eastAsia="Calibri"/>
                  <w:sz w:val="22"/>
                  <w:szCs w:val="22"/>
                  <w:lang w:eastAsia="ja-JP"/>
                  <w:rPrChange w:id="226" w:author="AbbVie2" w:date="2025-05-14T10:17:00Z">
                    <w:rPr>
                      <w:rFonts w:eastAsia="Calibri"/>
                      <w:sz w:val="22"/>
                      <w:szCs w:val="22"/>
                      <w:lang w:val="en-US" w:eastAsia="ja-JP"/>
                    </w:rPr>
                  </w:rPrChange>
                </w:rPr>
                <w:delText>≥ 30 kg</w:delText>
              </w:r>
            </w:del>
          </w:p>
        </w:tc>
        <w:tc>
          <w:tcPr>
            <w:tcW w:w="3394" w:type="dxa"/>
            <w:tcBorders>
              <w:top w:val="single" w:sz="4" w:space="0" w:color="auto"/>
              <w:bottom w:val="single" w:sz="4" w:space="0" w:color="auto"/>
            </w:tcBorders>
          </w:tcPr>
          <w:p w14:paraId="64296D1C" w14:textId="6DB5627B" w:rsidR="00983201" w:rsidRPr="00AD4F25" w:rsidRDefault="00615769" w:rsidP="00AB343F">
            <w:pPr>
              <w:keepNext/>
              <w:spacing w:before="40" w:after="40" w:line="240" w:lineRule="exact"/>
              <w:jc w:val="center"/>
              <w:rPr>
                <w:del w:id="227" w:author="AbbVie2" w:date="2025-05-13T16:36:00Z"/>
                <w:rFonts w:eastAsia="Calibri"/>
                <w:b/>
                <w:sz w:val="22"/>
                <w:szCs w:val="22"/>
                <w:lang w:eastAsia="ja-JP"/>
                <w:rPrChange w:id="228" w:author="AbbVie2" w:date="2025-05-14T10:17:00Z">
                  <w:rPr>
                    <w:del w:id="229" w:author="AbbVie2" w:date="2025-05-13T16:36:00Z"/>
                    <w:rFonts w:eastAsia="Calibri"/>
                    <w:b/>
                    <w:sz w:val="22"/>
                    <w:szCs w:val="22"/>
                    <w:lang w:val="en-US" w:eastAsia="ja-JP"/>
                  </w:rPr>
                </w:rPrChange>
              </w:rPr>
            </w:pPr>
            <w:del w:id="230" w:author="AbbVie2" w:date="2025-05-13T16:36:00Z">
              <w:r w:rsidRPr="00AD4F25">
                <w:rPr>
                  <w:rFonts w:eastAsia="Calibri"/>
                  <w:sz w:val="22"/>
                  <w:szCs w:val="22"/>
                  <w:lang w:eastAsia="ja-JP"/>
                  <w:rPrChange w:id="231" w:author="AbbVie2" w:date="2025-05-14T10:17:00Z">
                    <w:rPr>
                      <w:rFonts w:eastAsia="Calibri"/>
                      <w:sz w:val="22"/>
                      <w:szCs w:val="22"/>
                      <w:lang w:val="en-US" w:eastAsia="ja-JP"/>
                    </w:rPr>
                  </w:rPrChange>
                </w:rPr>
                <w:delText>40 mg em semanas alternadas</w:delText>
              </w:r>
            </w:del>
          </w:p>
        </w:tc>
      </w:tr>
    </w:tbl>
    <w:p w14:paraId="061A295A" w14:textId="46732F19" w:rsidR="00942B60" w:rsidRDefault="00942B60" w:rsidP="004462A0">
      <w:pPr>
        <w:rPr>
          <w:del w:id="232" w:author="AbbVie2" w:date="2025-05-13T16:36:00Z"/>
          <w:sz w:val="22"/>
          <w:szCs w:val="22"/>
        </w:rPr>
      </w:pPr>
    </w:p>
    <w:p w14:paraId="34B108BC" w14:textId="3026EFE5" w:rsidR="004462A0" w:rsidRPr="008912CF" w:rsidRDefault="00615769" w:rsidP="004462A0">
      <w:pPr>
        <w:rPr>
          <w:del w:id="233" w:author="AbbVie2" w:date="2025-05-13T16:36:00Z"/>
          <w:sz w:val="22"/>
          <w:szCs w:val="22"/>
        </w:rPr>
      </w:pPr>
      <w:del w:id="234" w:author="AbbVie2" w:date="2025-05-13T16:36:00Z">
        <w:r w:rsidRPr="008912CF">
          <w:rPr>
            <w:sz w:val="22"/>
            <w:szCs w:val="22"/>
          </w:rPr>
          <w:delText>Humira não foi estudado em doentes com artrite relacionada com entesite com menos de 6</w:delText>
        </w:r>
        <w:r>
          <w:rPr>
            <w:sz w:val="22"/>
            <w:szCs w:val="22"/>
          </w:rPr>
          <w:delText> </w:delText>
        </w:r>
        <w:r w:rsidRPr="008912CF">
          <w:rPr>
            <w:sz w:val="22"/>
            <w:szCs w:val="22"/>
          </w:rPr>
          <w:delText>anos.</w:delText>
        </w:r>
      </w:del>
    </w:p>
    <w:p w14:paraId="06A8E021" w14:textId="60CDDEEF" w:rsidR="004462A0" w:rsidRDefault="004462A0" w:rsidP="004462A0">
      <w:pPr>
        <w:rPr>
          <w:del w:id="235" w:author="AbbVie2" w:date="2025-05-13T16:36:00Z"/>
          <w:bCs/>
          <w:iCs/>
          <w:sz w:val="22"/>
          <w:szCs w:val="22"/>
        </w:rPr>
      </w:pPr>
    </w:p>
    <w:p w14:paraId="17AAFE93" w14:textId="108B6D9D" w:rsidR="002E2E75" w:rsidRPr="008912CF" w:rsidRDefault="00615769" w:rsidP="002E2E75">
      <w:pPr>
        <w:pStyle w:val="BodyText2"/>
        <w:autoSpaceDE/>
        <w:autoSpaceDN/>
        <w:adjustRightInd/>
        <w:rPr>
          <w:del w:id="236" w:author="AbbVie2" w:date="2025-05-13T16:36:00Z"/>
          <w:szCs w:val="22"/>
        </w:rPr>
      </w:pPr>
      <w:del w:id="237" w:author="AbbVie2" w:date="2025-05-13T16:36:00Z">
        <w:r>
          <w:rPr>
            <w:szCs w:val="22"/>
          </w:rPr>
          <w:delText>Humira pode estar disponível em outras dosagens e/ou apresentações dependendo das necessidades de cada doente.</w:delText>
        </w:r>
      </w:del>
    </w:p>
    <w:p w14:paraId="15F503CE" w14:textId="4FF8C918" w:rsidR="002E2E75" w:rsidRPr="008912CF" w:rsidRDefault="002E2E75" w:rsidP="004462A0">
      <w:pPr>
        <w:rPr>
          <w:del w:id="238" w:author="AbbVie2" w:date="2025-05-13T16:36:00Z"/>
          <w:bCs/>
          <w:iCs/>
          <w:sz w:val="22"/>
          <w:szCs w:val="22"/>
        </w:rPr>
      </w:pPr>
    </w:p>
    <w:p w14:paraId="739FA45D" w14:textId="51DBD6ED" w:rsidR="004462A0" w:rsidRPr="008912CF" w:rsidRDefault="00615769" w:rsidP="004462A0">
      <w:pPr>
        <w:rPr>
          <w:del w:id="239" w:author="AbbVie2" w:date="2025-05-13T16:36:00Z"/>
          <w:sz w:val="22"/>
          <w:szCs w:val="22"/>
          <w:u w:val="single"/>
        </w:rPr>
      </w:pPr>
      <w:del w:id="240" w:author="AbbVie2" w:date="2025-05-13T16:36:00Z">
        <w:r w:rsidRPr="008912CF">
          <w:rPr>
            <w:i/>
            <w:sz w:val="22"/>
            <w:szCs w:val="22"/>
          </w:rPr>
          <w:delText>Psoríase pediátrica em placas</w:delText>
        </w:r>
      </w:del>
    </w:p>
    <w:p w14:paraId="4E717C45" w14:textId="79D128F9" w:rsidR="004462A0" w:rsidRPr="008912CF" w:rsidRDefault="004462A0" w:rsidP="004462A0">
      <w:pPr>
        <w:rPr>
          <w:del w:id="241" w:author="AbbVie2" w:date="2025-05-13T16:36:00Z"/>
          <w:sz w:val="22"/>
          <w:szCs w:val="22"/>
          <w:u w:val="single"/>
        </w:rPr>
      </w:pPr>
    </w:p>
    <w:p w14:paraId="72B93FE6" w14:textId="3980723E" w:rsidR="002E2E75" w:rsidRDefault="00615769" w:rsidP="001626B4">
      <w:pPr>
        <w:pStyle w:val="BodyText2"/>
        <w:autoSpaceDE/>
        <w:autoSpaceDN/>
        <w:adjustRightInd/>
        <w:rPr>
          <w:del w:id="242" w:author="AbbVie2" w:date="2025-05-13T16:36:00Z"/>
          <w:szCs w:val="22"/>
        </w:rPr>
      </w:pPr>
      <w:del w:id="243" w:author="AbbVie2" w:date="2025-05-13T16:36:00Z">
        <w:r w:rsidRPr="008912CF">
          <w:rPr>
            <w:szCs w:val="22"/>
          </w:rPr>
          <w:delText xml:space="preserve">A dose recomendada de Humira </w:delText>
        </w:r>
        <w:r w:rsidR="00D62E4B">
          <w:rPr>
            <w:szCs w:val="22"/>
          </w:rPr>
          <w:delText xml:space="preserve">em </w:delText>
        </w:r>
        <w:r w:rsidR="001626B4" w:rsidRPr="001626B4">
          <w:rPr>
            <w:szCs w:val="22"/>
          </w:rPr>
          <w:delText>doentes com psoríase em placas, com idades compreendidas entre os 4 e os 17 anos, é baseada no peso corporal (Tabela 3)</w:delText>
        </w:r>
        <w:r w:rsidR="001626B4">
          <w:rPr>
            <w:szCs w:val="22"/>
          </w:rPr>
          <w:delText>.</w:delText>
        </w:r>
        <w:r w:rsidR="000610BF">
          <w:rPr>
            <w:szCs w:val="22"/>
          </w:rPr>
          <w:delText xml:space="preserve"> </w:delText>
        </w:r>
        <w:r w:rsidR="001626B4">
          <w:rPr>
            <w:szCs w:val="22"/>
          </w:rPr>
          <w:delText xml:space="preserve">Humira é administrado </w:delText>
        </w:r>
        <w:r w:rsidRPr="008912CF">
          <w:rPr>
            <w:szCs w:val="22"/>
          </w:rPr>
          <w:delText>por injeção subcutânea</w:delText>
        </w:r>
        <w:r w:rsidR="001626B4">
          <w:rPr>
            <w:szCs w:val="22"/>
          </w:rPr>
          <w:delText>.</w:delText>
        </w:r>
        <w:r w:rsidRPr="008912CF">
          <w:rPr>
            <w:szCs w:val="22"/>
          </w:rPr>
          <w:delText xml:space="preserve"> </w:delText>
        </w:r>
      </w:del>
    </w:p>
    <w:p w14:paraId="47D55CC8" w14:textId="6574B29D" w:rsidR="001626B4" w:rsidRPr="008912CF" w:rsidRDefault="00615769" w:rsidP="001626B4">
      <w:pPr>
        <w:pStyle w:val="BodyText2"/>
        <w:autoSpaceDE/>
        <w:autoSpaceDN/>
        <w:adjustRightInd/>
        <w:jc w:val="center"/>
        <w:rPr>
          <w:del w:id="244" w:author="AbbVie2" w:date="2025-05-13T16:36:00Z"/>
          <w:b/>
          <w:szCs w:val="22"/>
        </w:rPr>
      </w:pPr>
      <w:del w:id="245" w:author="AbbVie2" w:date="2025-05-13T16:36:00Z">
        <w:r w:rsidRPr="008912CF">
          <w:rPr>
            <w:b/>
            <w:szCs w:val="22"/>
          </w:rPr>
          <w:delText xml:space="preserve">Tabela </w:delText>
        </w:r>
        <w:r>
          <w:rPr>
            <w:b/>
            <w:szCs w:val="22"/>
          </w:rPr>
          <w:delText>3</w:delText>
        </w:r>
        <w:r w:rsidRPr="008912CF">
          <w:rPr>
            <w:b/>
            <w:szCs w:val="22"/>
          </w:rPr>
          <w:delText xml:space="preserve">. Dose de Humira </w:delText>
        </w:r>
        <w:r w:rsidR="00D62E4B">
          <w:rPr>
            <w:b/>
            <w:szCs w:val="22"/>
          </w:rPr>
          <w:delText>em</w:delText>
        </w:r>
        <w:r w:rsidRPr="008912CF">
          <w:rPr>
            <w:b/>
            <w:szCs w:val="22"/>
          </w:rPr>
          <w:delText xml:space="preserve"> Doentes </w:delText>
        </w:r>
        <w:r w:rsidR="001A1E51">
          <w:rPr>
            <w:b/>
            <w:szCs w:val="22"/>
          </w:rPr>
          <w:delText xml:space="preserve">Pediátricos </w:delText>
        </w:r>
        <w:r w:rsidRPr="008912CF">
          <w:rPr>
            <w:b/>
            <w:szCs w:val="22"/>
          </w:rPr>
          <w:delText xml:space="preserve">com </w:delText>
        </w:r>
        <w:r>
          <w:rPr>
            <w:b/>
            <w:szCs w:val="22"/>
          </w:rPr>
          <w:delText>Psoríase em Placas</w:delText>
        </w:r>
        <w:r w:rsidRPr="008912CF">
          <w:rPr>
            <w:b/>
            <w:szCs w:val="22"/>
          </w:rPr>
          <w:delText xml:space="preserve"> </w:delText>
        </w:r>
      </w:del>
    </w:p>
    <w:p w14:paraId="5F5532CE" w14:textId="48F51451" w:rsidR="001626B4" w:rsidRPr="008912CF" w:rsidRDefault="001626B4" w:rsidP="001626B4">
      <w:pPr>
        <w:rPr>
          <w:del w:id="246" w:author="AbbVie2" w:date="2025-05-13T16:36:00Z"/>
          <w:sz w:val="22"/>
          <w:szCs w:val="22"/>
        </w:rPr>
      </w:pPr>
    </w:p>
    <w:tbl>
      <w:tblPr>
        <w:tblW w:w="6795" w:type="dxa"/>
        <w:jc w:val="center"/>
        <w:tblLayout w:type="fixed"/>
        <w:tblLook w:val="0000" w:firstRow="0" w:lastRow="0" w:firstColumn="0" w:lastColumn="0" w:noHBand="0" w:noVBand="0"/>
      </w:tblPr>
      <w:tblGrid>
        <w:gridCol w:w="3401"/>
        <w:gridCol w:w="3394"/>
      </w:tblGrid>
      <w:tr w:rsidR="00A7162A" w14:paraId="3FD6CC73" w14:textId="2279FBC9" w:rsidTr="00AB343F">
        <w:trPr>
          <w:tblHeader/>
          <w:jc w:val="center"/>
          <w:del w:id="247" w:author="AbbVie2" w:date="2025-05-13T16:36:00Z"/>
        </w:trPr>
        <w:tc>
          <w:tcPr>
            <w:tcW w:w="3401" w:type="dxa"/>
            <w:tcBorders>
              <w:top w:val="single" w:sz="4" w:space="0" w:color="auto"/>
              <w:bottom w:val="single" w:sz="4" w:space="0" w:color="auto"/>
            </w:tcBorders>
          </w:tcPr>
          <w:p w14:paraId="628AF3FB" w14:textId="4B0994F9" w:rsidR="001626B4" w:rsidRPr="00AD4F25" w:rsidRDefault="00615769" w:rsidP="00AB343F">
            <w:pPr>
              <w:keepNext/>
              <w:spacing w:before="40" w:after="40" w:line="240" w:lineRule="exact"/>
              <w:jc w:val="center"/>
              <w:rPr>
                <w:del w:id="248" w:author="AbbVie2" w:date="2025-05-13T16:36:00Z"/>
                <w:rFonts w:eastAsia="Calibri"/>
                <w:b/>
                <w:sz w:val="22"/>
                <w:szCs w:val="22"/>
                <w:lang w:eastAsia="ja-JP"/>
                <w:rPrChange w:id="249" w:author="AbbVie2" w:date="2025-05-14T10:17:00Z">
                  <w:rPr>
                    <w:del w:id="250" w:author="AbbVie2" w:date="2025-05-13T16:36:00Z"/>
                    <w:rFonts w:eastAsia="Calibri"/>
                    <w:b/>
                    <w:sz w:val="22"/>
                    <w:szCs w:val="22"/>
                    <w:lang w:val="en-US" w:eastAsia="ja-JP"/>
                  </w:rPr>
                </w:rPrChange>
              </w:rPr>
            </w:pPr>
            <w:del w:id="251" w:author="AbbVie2" w:date="2025-05-13T16:36:00Z">
              <w:r w:rsidRPr="00AD4F25">
                <w:rPr>
                  <w:rFonts w:eastAsia="Calibri"/>
                  <w:b/>
                  <w:sz w:val="22"/>
                  <w:szCs w:val="22"/>
                  <w:lang w:eastAsia="ja-JP"/>
                  <w:rPrChange w:id="252" w:author="AbbVie2" w:date="2025-05-14T10:17:00Z">
                    <w:rPr>
                      <w:rFonts w:eastAsia="Calibri"/>
                      <w:b/>
                      <w:sz w:val="22"/>
                      <w:szCs w:val="22"/>
                      <w:lang w:val="en-US" w:eastAsia="ja-JP"/>
                    </w:rPr>
                  </w:rPrChange>
                </w:rPr>
                <w:delText>Peso do Doente</w:delText>
              </w:r>
            </w:del>
          </w:p>
        </w:tc>
        <w:tc>
          <w:tcPr>
            <w:tcW w:w="3394" w:type="dxa"/>
            <w:tcBorders>
              <w:top w:val="single" w:sz="4" w:space="0" w:color="auto"/>
              <w:bottom w:val="single" w:sz="4" w:space="0" w:color="auto"/>
            </w:tcBorders>
          </w:tcPr>
          <w:p w14:paraId="07BEDAA6" w14:textId="310EDE7C" w:rsidR="001626B4" w:rsidRPr="00AD4F25" w:rsidRDefault="00615769">
            <w:pPr>
              <w:keepNext/>
              <w:spacing w:before="40" w:after="40" w:line="240" w:lineRule="exact"/>
              <w:jc w:val="center"/>
              <w:rPr>
                <w:del w:id="253" w:author="AbbVie2" w:date="2025-05-13T16:36:00Z"/>
                <w:rFonts w:eastAsia="Calibri"/>
                <w:b/>
                <w:sz w:val="22"/>
                <w:szCs w:val="22"/>
                <w:lang w:eastAsia="ja-JP"/>
                <w:rPrChange w:id="254" w:author="AbbVie2" w:date="2025-05-14T10:17:00Z">
                  <w:rPr>
                    <w:del w:id="255" w:author="AbbVie2" w:date="2025-05-13T16:36:00Z"/>
                    <w:rFonts w:eastAsia="Calibri"/>
                    <w:b/>
                    <w:sz w:val="22"/>
                    <w:szCs w:val="22"/>
                    <w:lang w:val="en-US" w:eastAsia="ja-JP"/>
                  </w:rPr>
                </w:rPrChange>
              </w:rPr>
            </w:pPr>
            <w:del w:id="256" w:author="AbbVie2" w:date="2025-05-13T16:36:00Z">
              <w:r w:rsidRPr="00AD4F25">
                <w:rPr>
                  <w:rFonts w:eastAsia="Calibri"/>
                  <w:b/>
                  <w:sz w:val="22"/>
                  <w:szCs w:val="22"/>
                  <w:lang w:eastAsia="ja-JP"/>
                  <w:rPrChange w:id="257" w:author="AbbVie2" w:date="2025-05-14T10:17:00Z">
                    <w:rPr>
                      <w:rFonts w:eastAsia="Calibri"/>
                      <w:b/>
                      <w:sz w:val="22"/>
                      <w:szCs w:val="22"/>
                      <w:lang w:val="en-US" w:eastAsia="ja-JP"/>
                    </w:rPr>
                  </w:rPrChange>
                </w:rPr>
                <w:delText xml:space="preserve">Regime </w:delText>
              </w:r>
              <w:r w:rsidR="00C00E3F" w:rsidRPr="00AD4F25">
                <w:rPr>
                  <w:rFonts w:eastAsia="Calibri"/>
                  <w:b/>
                  <w:sz w:val="22"/>
                  <w:szCs w:val="22"/>
                  <w:lang w:eastAsia="ja-JP"/>
                  <w:rPrChange w:id="258" w:author="AbbVie2" w:date="2025-05-14T10:17:00Z">
                    <w:rPr>
                      <w:rFonts w:eastAsia="Calibri"/>
                      <w:b/>
                      <w:sz w:val="22"/>
                      <w:szCs w:val="22"/>
                      <w:lang w:val="en-US" w:eastAsia="ja-JP"/>
                    </w:rPr>
                  </w:rPrChange>
                </w:rPr>
                <w:delText xml:space="preserve">Posológico </w:delText>
              </w:r>
            </w:del>
          </w:p>
        </w:tc>
      </w:tr>
      <w:tr w:rsidR="00A7162A" w14:paraId="69433A8D" w14:textId="628C8B80" w:rsidTr="00AB343F">
        <w:trPr>
          <w:tblHeader/>
          <w:jc w:val="center"/>
          <w:del w:id="259" w:author="AbbVie2" w:date="2025-05-13T16:36:00Z"/>
        </w:trPr>
        <w:tc>
          <w:tcPr>
            <w:tcW w:w="3401" w:type="dxa"/>
            <w:tcBorders>
              <w:top w:val="single" w:sz="4" w:space="0" w:color="auto"/>
              <w:bottom w:val="single" w:sz="4" w:space="0" w:color="auto"/>
            </w:tcBorders>
          </w:tcPr>
          <w:p w14:paraId="2E6E2FD2" w14:textId="07307181" w:rsidR="001626B4" w:rsidRPr="00AD4F25" w:rsidRDefault="00615769" w:rsidP="00AB343F">
            <w:pPr>
              <w:keepNext/>
              <w:spacing w:before="40" w:after="40" w:line="240" w:lineRule="exact"/>
              <w:jc w:val="center"/>
              <w:rPr>
                <w:del w:id="260" w:author="AbbVie2" w:date="2025-05-13T16:36:00Z"/>
                <w:rFonts w:eastAsia="Calibri"/>
                <w:b/>
                <w:sz w:val="22"/>
                <w:szCs w:val="22"/>
                <w:lang w:eastAsia="ja-JP"/>
                <w:rPrChange w:id="261" w:author="AbbVie2" w:date="2025-05-14T10:17:00Z">
                  <w:rPr>
                    <w:del w:id="262" w:author="AbbVie2" w:date="2025-05-13T16:36:00Z"/>
                    <w:rFonts w:eastAsia="Calibri"/>
                    <w:b/>
                    <w:sz w:val="22"/>
                    <w:szCs w:val="22"/>
                    <w:lang w:val="en-US" w:eastAsia="ja-JP"/>
                  </w:rPr>
                </w:rPrChange>
              </w:rPr>
            </w:pPr>
            <w:del w:id="263" w:author="AbbVie2" w:date="2025-05-13T16:36:00Z">
              <w:r w:rsidRPr="00AD4F25">
                <w:rPr>
                  <w:rFonts w:eastAsia="Calibri"/>
                  <w:sz w:val="22"/>
                  <w:szCs w:val="22"/>
                  <w:lang w:eastAsia="ja-JP"/>
                  <w:rPrChange w:id="264" w:author="AbbVie2" w:date="2025-05-14T10:17:00Z">
                    <w:rPr>
                      <w:rFonts w:eastAsia="Calibri"/>
                      <w:sz w:val="22"/>
                      <w:szCs w:val="22"/>
                      <w:lang w:val="en-US" w:eastAsia="ja-JP"/>
                    </w:rPr>
                  </w:rPrChange>
                </w:rPr>
                <w:delText>15</w:delText>
              </w:r>
              <w:r w:rsidR="00A3305A" w:rsidRPr="00AD4F25">
                <w:rPr>
                  <w:rFonts w:eastAsia="Calibri"/>
                  <w:sz w:val="22"/>
                  <w:szCs w:val="22"/>
                  <w:lang w:eastAsia="ja-JP"/>
                  <w:rPrChange w:id="265" w:author="AbbVie2" w:date="2025-05-14T10:17:00Z">
                    <w:rPr>
                      <w:rFonts w:eastAsia="Calibri"/>
                      <w:sz w:val="22"/>
                      <w:szCs w:val="22"/>
                      <w:lang w:val="en-US" w:eastAsia="ja-JP"/>
                    </w:rPr>
                  </w:rPrChange>
                </w:rPr>
                <w:delText xml:space="preserve"> kg até</w:delText>
              </w:r>
              <w:r w:rsidRPr="00AD4F25">
                <w:rPr>
                  <w:rFonts w:eastAsia="Calibri"/>
                  <w:sz w:val="22"/>
                  <w:szCs w:val="22"/>
                  <w:lang w:eastAsia="ja-JP"/>
                  <w:rPrChange w:id="266" w:author="AbbVie2" w:date="2025-05-14T10:17:00Z">
                    <w:rPr>
                      <w:rFonts w:eastAsia="Calibri"/>
                      <w:sz w:val="22"/>
                      <w:szCs w:val="22"/>
                      <w:lang w:val="en-US" w:eastAsia="ja-JP"/>
                    </w:rPr>
                  </w:rPrChange>
                </w:rPr>
                <w:delText xml:space="preserve"> &lt; 30 kg</w:delText>
              </w:r>
            </w:del>
          </w:p>
        </w:tc>
        <w:tc>
          <w:tcPr>
            <w:tcW w:w="3394" w:type="dxa"/>
            <w:tcBorders>
              <w:top w:val="single" w:sz="4" w:space="0" w:color="auto"/>
              <w:bottom w:val="single" w:sz="4" w:space="0" w:color="auto"/>
            </w:tcBorders>
          </w:tcPr>
          <w:p w14:paraId="542D4F2C" w14:textId="294BF897" w:rsidR="001626B4" w:rsidRPr="000A1E2A" w:rsidRDefault="00615769">
            <w:pPr>
              <w:keepNext/>
              <w:spacing w:before="40" w:after="40" w:line="240" w:lineRule="exact"/>
              <w:jc w:val="center"/>
              <w:rPr>
                <w:del w:id="267" w:author="AbbVie2" w:date="2025-05-13T16:36:00Z"/>
                <w:rFonts w:eastAsia="Calibri"/>
                <w:b/>
                <w:sz w:val="22"/>
                <w:szCs w:val="22"/>
                <w:lang w:eastAsia="ja-JP"/>
              </w:rPr>
            </w:pPr>
            <w:del w:id="268" w:author="AbbVie2" w:date="2025-05-13T16:36:00Z">
              <w:r w:rsidRPr="000A1E2A">
                <w:rPr>
                  <w:rFonts w:eastAsia="Calibri"/>
                  <w:sz w:val="22"/>
                  <w:szCs w:val="22"/>
                  <w:lang w:eastAsia="ja-JP"/>
                </w:rPr>
                <w:delText>Dose inicial de 20 mg, seguid</w:delText>
              </w:r>
              <w:r w:rsidR="001253B7">
                <w:rPr>
                  <w:rFonts w:eastAsia="Calibri"/>
                  <w:sz w:val="22"/>
                  <w:szCs w:val="22"/>
                  <w:lang w:eastAsia="ja-JP"/>
                </w:rPr>
                <w:delText>a</w:delText>
              </w:r>
              <w:r w:rsidRPr="000A1E2A">
                <w:rPr>
                  <w:rFonts w:eastAsia="Calibri"/>
                  <w:sz w:val="22"/>
                  <w:szCs w:val="22"/>
                  <w:lang w:eastAsia="ja-JP"/>
                </w:rPr>
                <w:delText xml:space="preserve"> de 20</w:delText>
              </w:r>
              <w:r w:rsidR="009343EF">
                <w:rPr>
                  <w:rFonts w:eastAsia="Calibri"/>
                  <w:sz w:val="22"/>
                  <w:szCs w:val="22"/>
                  <w:lang w:eastAsia="ja-JP"/>
                </w:rPr>
                <w:delText xml:space="preserve"> </w:delText>
              </w:r>
              <w:r w:rsidRPr="000A1E2A">
                <w:rPr>
                  <w:rFonts w:eastAsia="Calibri"/>
                  <w:sz w:val="22"/>
                  <w:szCs w:val="22"/>
                  <w:lang w:eastAsia="ja-JP"/>
                </w:rPr>
                <w:delText>mg em semanas alternadas</w:delText>
              </w:r>
              <w:r>
                <w:rPr>
                  <w:rFonts w:eastAsia="Calibri"/>
                  <w:sz w:val="22"/>
                  <w:szCs w:val="22"/>
                  <w:lang w:eastAsia="ja-JP"/>
                </w:rPr>
                <w:delText xml:space="preserve"> com início uma semana após a dose inicial</w:delText>
              </w:r>
            </w:del>
          </w:p>
        </w:tc>
      </w:tr>
      <w:tr w:rsidR="00A7162A" w14:paraId="539DA686" w14:textId="6F4509C7" w:rsidTr="00AB343F">
        <w:trPr>
          <w:tblHeader/>
          <w:jc w:val="center"/>
          <w:del w:id="269" w:author="AbbVie2" w:date="2025-05-13T16:36:00Z"/>
        </w:trPr>
        <w:tc>
          <w:tcPr>
            <w:tcW w:w="3401" w:type="dxa"/>
            <w:tcBorders>
              <w:top w:val="single" w:sz="4" w:space="0" w:color="auto"/>
              <w:bottom w:val="single" w:sz="4" w:space="0" w:color="auto"/>
            </w:tcBorders>
          </w:tcPr>
          <w:p w14:paraId="532A1ED2" w14:textId="10E76F22" w:rsidR="001626B4" w:rsidRPr="00AD4F25" w:rsidRDefault="00615769" w:rsidP="00AB343F">
            <w:pPr>
              <w:keepNext/>
              <w:spacing w:before="40" w:after="40" w:line="240" w:lineRule="exact"/>
              <w:jc w:val="center"/>
              <w:rPr>
                <w:del w:id="270" w:author="AbbVie2" w:date="2025-05-13T16:36:00Z"/>
                <w:rFonts w:eastAsia="Calibri"/>
                <w:b/>
                <w:sz w:val="22"/>
                <w:szCs w:val="22"/>
                <w:lang w:eastAsia="ja-JP"/>
                <w:rPrChange w:id="271" w:author="AbbVie2" w:date="2025-05-14T10:17:00Z">
                  <w:rPr>
                    <w:del w:id="272" w:author="AbbVie2" w:date="2025-05-13T16:36:00Z"/>
                    <w:rFonts w:eastAsia="Calibri"/>
                    <w:b/>
                    <w:sz w:val="22"/>
                    <w:szCs w:val="22"/>
                    <w:lang w:val="en-US" w:eastAsia="ja-JP"/>
                  </w:rPr>
                </w:rPrChange>
              </w:rPr>
            </w:pPr>
            <w:del w:id="273" w:author="AbbVie2" w:date="2025-05-13T16:36:00Z">
              <w:r w:rsidRPr="00AD4F25">
                <w:rPr>
                  <w:rFonts w:eastAsia="Calibri"/>
                  <w:sz w:val="22"/>
                  <w:szCs w:val="22"/>
                  <w:lang w:eastAsia="ja-JP"/>
                  <w:rPrChange w:id="274" w:author="AbbVie2" w:date="2025-05-14T10:17:00Z">
                    <w:rPr>
                      <w:rFonts w:eastAsia="Calibri"/>
                      <w:sz w:val="22"/>
                      <w:szCs w:val="22"/>
                      <w:lang w:val="en-US" w:eastAsia="ja-JP"/>
                    </w:rPr>
                  </w:rPrChange>
                </w:rPr>
                <w:delText>≥ 30 kg</w:delText>
              </w:r>
            </w:del>
          </w:p>
        </w:tc>
        <w:tc>
          <w:tcPr>
            <w:tcW w:w="3394" w:type="dxa"/>
            <w:tcBorders>
              <w:top w:val="single" w:sz="4" w:space="0" w:color="auto"/>
              <w:bottom w:val="single" w:sz="4" w:space="0" w:color="auto"/>
            </w:tcBorders>
          </w:tcPr>
          <w:p w14:paraId="11ED31D6" w14:textId="05DC4B65" w:rsidR="001626B4" w:rsidRPr="000A1E2A" w:rsidRDefault="00615769">
            <w:pPr>
              <w:keepNext/>
              <w:spacing w:before="40" w:after="40" w:line="240" w:lineRule="exact"/>
              <w:jc w:val="center"/>
              <w:rPr>
                <w:del w:id="275" w:author="AbbVie2" w:date="2025-05-13T16:36:00Z"/>
                <w:rFonts w:eastAsia="Calibri"/>
                <w:b/>
                <w:sz w:val="22"/>
                <w:szCs w:val="22"/>
                <w:lang w:eastAsia="ja-JP"/>
              </w:rPr>
            </w:pPr>
            <w:del w:id="276" w:author="AbbVie2" w:date="2025-05-13T16:36:00Z">
              <w:r w:rsidRPr="000A1E2A">
                <w:rPr>
                  <w:rFonts w:eastAsia="Calibri"/>
                  <w:sz w:val="22"/>
                  <w:szCs w:val="22"/>
                  <w:lang w:eastAsia="ja-JP"/>
                </w:rPr>
                <w:delText>Dose inicial de 40 mg, seguid</w:delText>
              </w:r>
              <w:r w:rsidR="001253B7">
                <w:rPr>
                  <w:rFonts w:eastAsia="Calibri"/>
                  <w:sz w:val="22"/>
                  <w:szCs w:val="22"/>
                  <w:lang w:eastAsia="ja-JP"/>
                </w:rPr>
                <w:delText>a</w:delText>
              </w:r>
              <w:r w:rsidRPr="000A1E2A">
                <w:rPr>
                  <w:rFonts w:eastAsia="Calibri"/>
                  <w:sz w:val="22"/>
                  <w:szCs w:val="22"/>
                  <w:lang w:eastAsia="ja-JP"/>
                </w:rPr>
                <w:delText xml:space="preserve"> de 40 mg em semanas alternadas</w:delText>
              </w:r>
              <w:r>
                <w:rPr>
                  <w:rFonts w:eastAsia="Calibri"/>
                  <w:sz w:val="22"/>
                  <w:szCs w:val="22"/>
                  <w:lang w:eastAsia="ja-JP"/>
                </w:rPr>
                <w:delText xml:space="preserve"> com início uma semana após a dose inicial</w:delText>
              </w:r>
            </w:del>
          </w:p>
        </w:tc>
      </w:tr>
    </w:tbl>
    <w:p w14:paraId="620A3CF7" w14:textId="4694F7F3" w:rsidR="001626B4" w:rsidRDefault="001626B4" w:rsidP="004462A0">
      <w:pPr>
        <w:rPr>
          <w:del w:id="277" w:author="AbbVie2" w:date="2025-05-13T16:36:00Z"/>
          <w:sz w:val="22"/>
          <w:szCs w:val="22"/>
        </w:rPr>
      </w:pPr>
    </w:p>
    <w:p w14:paraId="3DD1CB36" w14:textId="73F70883" w:rsidR="004462A0" w:rsidRPr="008912CF" w:rsidRDefault="00615769" w:rsidP="004462A0">
      <w:pPr>
        <w:rPr>
          <w:del w:id="278" w:author="AbbVie2" w:date="2025-05-13T16:36:00Z"/>
          <w:bCs/>
          <w:iCs/>
          <w:sz w:val="22"/>
          <w:szCs w:val="22"/>
        </w:rPr>
      </w:pPr>
      <w:del w:id="279" w:author="AbbVie2" w:date="2025-05-13T16:36:00Z">
        <w:r w:rsidRPr="008912CF">
          <w:rPr>
            <w:bCs/>
            <w:iCs/>
            <w:sz w:val="22"/>
            <w:szCs w:val="22"/>
          </w:rPr>
          <w:delText>Uma terapêutica continuada para além das 16</w:delText>
        </w:r>
        <w:r>
          <w:rPr>
            <w:bCs/>
            <w:iCs/>
            <w:sz w:val="22"/>
            <w:szCs w:val="22"/>
          </w:rPr>
          <w:delText> </w:delText>
        </w:r>
        <w:r w:rsidRPr="008912CF">
          <w:rPr>
            <w:bCs/>
            <w:iCs/>
            <w:sz w:val="22"/>
            <w:szCs w:val="22"/>
          </w:rPr>
          <w:delText>semanas deve ser cuidadosamente reconsiderada nos doentes que não apresentarem resposta terapêutica dentro deste período de tempo.</w:delText>
        </w:r>
      </w:del>
    </w:p>
    <w:p w14:paraId="346DBDA5" w14:textId="670E80A6" w:rsidR="004462A0" w:rsidRPr="008912CF" w:rsidRDefault="004462A0" w:rsidP="004462A0">
      <w:pPr>
        <w:rPr>
          <w:del w:id="280" w:author="AbbVie2" w:date="2025-05-13T16:36:00Z"/>
          <w:bCs/>
          <w:iCs/>
          <w:sz w:val="22"/>
          <w:szCs w:val="22"/>
        </w:rPr>
      </w:pPr>
    </w:p>
    <w:p w14:paraId="71113369" w14:textId="33E30579" w:rsidR="004462A0" w:rsidRPr="008912CF" w:rsidRDefault="00615769" w:rsidP="004462A0">
      <w:pPr>
        <w:rPr>
          <w:del w:id="281" w:author="AbbVie2" w:date="2025-05-13T16:36:00Z"/>
          <w:sz w:val="22"/>
          <w:szCs w:val="22"/>
        </w:rPr>
      </w:pPr>
      <w:del w:id="282" w:author="AbbVie2" w:date="2025-05-13T16:36:00Z">
        <w:r w:rsidRPr="008912CF">
          <w:rPr>
            <w:sz w:val="22"/>
            <w:szCs w:val="22"/>
          </w:rPr>
          <w:delText>Se estiver indicado um novo tratamento com Humira devem ser seguidas as recomendações anteriores relativamente à posologia e duração do tratamento.</w:delText>
        </w:r>
      </w:del>
    </w:p>
    <w:p w14:paraId="3BEE467F" w14:textId="2755B5B8" w:rsidR="004462A0" w:rsidRPr="008912CF" w:rsidRDefault="004462A0" w:rsidP="004462A0">
      <w:pPr>
        <w:rPr>
          <w:del w:id="283" w:author="AbbVie2" w:date="2025-05-13T16:36:00Z"/>
          <w:sz w:val="22"/>
          <w:szCs w:val="22"/>
        </w:rPr>
      </w:pPr>
    </w:p>
    <w:p w14:paraId="3F1339A6" w14:textId="2DCFDEAF" w:rsidR="004462A0" w:rsidRPr="008912CF" w:rsidRDefault="00615769" w:rsidP="004462A0">
      <w:pPr>
        <w:rPr>
          <w:del w:id="284" w:author="AbbVie2" w:date="2025-05-13T16:36:00Z"/>
          <w:sz w:val="22"/>
          <w:szCs w:val="22"/>
        </w:rPr>
      </w:pPr>
      <w:del w:id="285" w:author="AbbVie2" w:date="2025-05-13T16:36:00Z">
        <w:r w:rsidRPr="008912CF">
          <w:rPr>
            <w:sz w:val="22"/>
            <w:szCs w:val="22"/>
          </w:rPr>
          <w:delText>A segurança de Humira em doentes pediátricos com psoríase em placas foi avaliada em média durante 13</w:delText>
        </w:r>
        <w:r>
          <w:rPr>
            <w:sz w:val="22"/>
            <w:szCs w:val="22"/>
          </w:rPr>
          <w:delText> </w:delText>
        </w:r>
        <w:r w:rsidRPr="008912CF">
          <w:rPr>
            <w:sz w:val="22"/>
            <w:szCs w:val="22"/>
          </w:rPr>
          <w:delText>meses.</w:delText>
        </w:r>
      </w:del>
    </w:p>
    <w:p w14:paraId="5F976208" w14:textId="1A9E9899" w:rsidR="004462A0" w:rsidRPr="008912CF" w:rsidRDefault="004462A0" w:rsidP="004462A0">
      <w:pPr>
        <w:rPr>
          <w:del w:id="286" w:author="AbbVie2" w:date="2025-05-13T16:36:00Z"/>
          <w:sz w:val="22"/>
          <w:szCs w:val="22"/>
        </w:rPr>
      </w:pPr>
    </w:p>
    <w:p w14:paraId="4D98A6BF" w14:textId="26F436FE" w:rsidR="004462A0" w:rsidRPr="008912CF" w:rsidRDefault="00615769" w:rsidP="004462A0">
      <w:pPr>
        <w:rPr>
          <w:del w:id="287" w:author="AbbVie2" w:date="2025-05-13T16:36:00Z"/>
          <w:sz w:val="22"/>
          <w:szCs w:val="22"/>
        </w:rPr>
      </w:pPr>
      <w:del w:id="288" w:author="AbbVie2" w:date="2025-05-13T16:36:00Z">
        <w:r w:rsidRPr="008912CF">
          <w:rPr>
            <w:sz w:val="22"/>
            <w:szCs w:val="22"/>
          </w:rPr>
          <w:delText>Não existe utilização relevante de Humira em crianças com menos de 4 anos, para esta indicação.</w:delText>
        </w:r>
      </w:del>
    </w:p>
    <w:p w14:paraId="7441BF0E" w14:textId="01EE71DD" w:rsidR="00CD6D57" w:rsidRDefault="00CD6D57" w:rsidP="00AA7352">
      <w:pPr>
        <w:pStyle w:val="BodyText2"/>
        <w:autoSpaceDE/>
        <w:autoSpaceDN/>
        <w:adjustRightInd/>
        <w:rPr>
          <w:del w:id="289" w:author="AbbVie2" w:date="2025-05-13T16:36:00Z"/>
          <w:szCs w:val="22"/>
        </w:rPr>
      </w:pPr>
    </w:p>
    <w:p w14:paraId="194B7BD7" w14:textId="728A96F2" w:rsidR="002E2E75" w:rsidRDefault="00615769" w:rsidP="00AA7352">
      <w:pPr>
        <w:pStyle w:val="BodyText2"/>
        <w:autoSpaceDE/>
        <w:autoSpaceDN/>
        <w:adjustRightInd/>
        <w:rPr>
          <w:del w:id="290" w:author="AbbVie2" w:date="2025-05-13T16:36:00Z"/>
          <w:bCs/>
          <w:iCs/>
          <w:szCs w:val="22"/>
        </w:rPr>
      </w:pPr>
      <w:del w:id="291" w:author="AbbVie2" w:date="2025-05-13T16:36:00Z">
        <w:r>
          <w:rPr>
            <w:szCs w:val="22"/>
          </w:rPr>
          <w:delText>Humira pode estar disponível em outras dosagens e/ou apresentações dependendo das necessidades de cada doente.</w:delText>
        </w:r>
      </w:del>
    </w:p>
    <w:p w14:paraId="7FDAB567" w14:textId="49CDB514" w:rsidR="002E2E75" w:rsidRPr="008912CF" w:rsidRDefault="002E2E75" w:rsidP="004462A0">
      <w:pPr>
        <w:rPr>
          <w:del w:id="292" w:author="AbbVie2" w:date="2025-05-13T16:36:00Z"/>
          <w:bCs/>
          <w:iCs/>
          <w:sz w:val="22"/>
          <w:szCs w:val="22"/>
        </w:rPr>
      </w:pPr>
    </w:p>
    <w:p w14:paraId="046E2982" w14:textId="4F23C930" w:rsidR="004462A0" w:rsidRPr="00FD1D0F" w:rsidRDefault="00615769" w:rsidP="00B538F3">
      <w:pPr>
        <w:keepNext/>
        <w:rPr>
          <w:del w:id="293" w:author="AbbVie2" w:date="2025-05-13T16:36:00Z"/>
          <w:bCs/>
          <w:i/>
          <w:iCs/>
          <w:sz w:val="22"/>
          <w:szCs w:val="22"/>
        </w:rPr>
      </w:pPr>
      <w:del w:id="294" w:author="AbbVie2" w:date="2025-05-13T16:36:00Z">
        <w:r w:rsidRPr="00FD1D0F">
          <w:rPr>
            <w:bCs/>
            <w:i/>
            <w:iCs/>
            <w:sz w:val="22"/>
            <w:szCs w:val="22"/>
          </w:rPr>
          <w:delText>Hidradenite supurativa no adolescente (a partir dos 12 anos de idade, com pelo menos 30 </w:delText>
        </w:r>
        <w:r w:rsidR="00AB606B">
          <w:rPr>
            <w:bCs/>
            <w:i/>
            <w:iCs/>
            <w:sz w:val="22"/>
            <w:szCs w:val="22"/>
          </w:rPr>
          <w:delText>k</w:delText>
        </w:r>
        <w:r w:rsidRPr="00FD1D0F">
          <w:rPr>
            <w:bCs/>
            <w:i/>
            <w:iCs/>
            <w:sz w:val="22"/>
            <w:szCs w:val="22"/>
          </w:rPr>
          <w:delText>g de peso)</w:delText>
        </w:r>
      </w:del>
    </w:p>
    <w:p w14:paraId="113B01B9" w14:textId="2AEA106E" w:rsidR="004462A0" w:rsidRPr="00FD1D0F" w:rsidRDefault="004462A0" w:rsidP="00B538F3">
      <w:pPr>
        <w:keepNext/>
        <w:rPr>
          <w:del w:id="295" w:author="AbbVie2" w:date="2025-05-13T16:36:00Z"/>
          <w:bCs/>
          <w:iCs/>
          <w:sz w:val="22"/>
          <w:szCs w:val="22"/>
        </w:rPr>
      </w:pPr>
    </w:p>
    <w:p w14:paraId="1FBDD11A" w14:textId="3A259367" w:rsidR="004462A0" w:rsidRPr="00FD1D0F" w:rsidRDefault="00615769" w:rsidP="004462A0">
      <w:pPr>
        <w:rPr>
          <w:del w:id="296" w:author="AbbVie2" w:date="2025-05-13T16:36:00Z"/>
          <w:bCs/>
          <w:iCs/>
          <w:sz w:val="22"/>
          <w:szCs w:val="22"/>
        </w:rPr>
      </w:pPr>
      <w:del w:id="297" w:author="AbbVie2" w:date="2025-05-13T16:36:00Z">
        <w:r w:rsidRPr="00FD1D0F">
          <w:rPr>
            <w:bCs/>
            <w:iCs/>
            <w:sz w:val="22"/>
            <w:szCs w:val="22"/>
          </w:rPr>
          <w:delText>Não existem estudos clínicos com Humira em doentes adolescentes com hidradenite supurativa. A posologia de Humira nestes doentes foi determinada através de modelos farmacocinéticos e de simulação (ver secção 5.2).</w:delText>
        </w:r>
      </w:del>
    </w:p>
    <w:p w14:paraId="500BA371" w14:textId="4E94A577" w:rsidR="004462A0" w:rsidRPr="00FD1D0F" w:rsidRDefault="004462A0" w:rsidP="004462A0">
      <w:pPr>
        <w:rPr>
          <w:del w:id="298" w:author="AbbVie2" w:date="2025-05-13T16:36:00Z"/>
          <w:bCs/>
          <w:iCs/>
          <w:sz w:val="22"/>
          <w:szCs w:val="22"/>
        </w:rPr>
      </w:pPr>
    </w:p>
    <w:p w14:paraId="698A0D73" w14:textId="162BC874" w:rsidR="004462A0" w:rsidRDefault="00615769" w:rsidP="004462A0">
      <w:pPr>
        <w:rPr>
          <w:del w:id="299" w:author="AbbVie2" w:date="2025-05-13T16:36:00Z"/>
          <w:bCs/>
          <w:iCs/>
          <w:sz w:val="22"/>
          <w:szCs w:val="22"/>
        </w:rPr>
      </w:pPr>
      <w:del w:id="300" w:author="AbbVie2" w:date="2025-05-13T16:36:00Z">
        <w:r w:rsidRPr="00FD1D0F">
          <w:rPr>
            <w:bCs/>
            <w:iCs/>
            <w:sz w:val="22"/>
            <w:szCs w:val="22"/>
          </w:rPr>
          <w:delText>A dose recomendada de Humira é de 80 mg na Semana 0</w:delText>
        </w:r>
        <w:r w:rsidR="00AB606B">
          <w:rPr>
            <w:bCs/>
            <w:iCs/>
            <w:sz w:val="22"/>
            <w:szCs w:val="22"/>
          </w:rPr>
          <w:delText>,</w:delText>
        </w:r>
        <w:r w:rsidRPr="00FD1D0F">
          <w:rPr>
            <w:bCs/>
            <w:iCs/>
            <w:sz w:val="22"/>
            <w:szCs w:val="22"/>
          </w:rPr>
          <w:delText xml:space="preserve"> seguida de 40 mg em semanas alternadas, com início na Semana 1</w:delText>
        </w:r>
        <w:r w:rsidR="00AB606B">
          <w:rPr>
            <w:bCs/>
            <w:iCs/>
            <w:sz w:val="22"/>
            <w:szCs w:val="22"/>
          </w:rPr>
          <w:delText>,</w:delText>
        </w:r>
        <w:r w:rsidRPr="00FD1D0F">
          <w:rPr>
            <w:bCs/>
            <w:iCs/>
            <w:sz w:val="22"/>
            <w:szCs w:val="22"/>
          </w:rPr>
          <w:delText xml:space="preserve"> por injeção subcutânea.</w:delText>
        </w:r>
      </w:del>
    </w:p>
    <w:p w14:paraId="7032E817" w14:textId="28B5BBE5" w:rsidR="0028623F" w:rsidRPr="00FD1D0F" w:rsidRDefault="0028623F" w:rsidP="004462A0">
      <w:pPr>
        <w:rPr>
          <w:del w:id="301" w:author="AbbVie2" w:date="2025-05-13T16:36:00Z"/>
          <w:bCs/>
          <w:iCs/>
          <w:sz w:val="22"/>
          <w:szCs w:val="22"/>
        </w:rPr>
      </w:pPr>
    </w:p>
    <w:p w14:paraId="6BFEA919" w14:textId="03108570" w:rsidR="004462A0" w:rsidRDefault="00615769" w:rsidP="004462A0">
      <w:pPr>
        <w:rPr>
          <w:del w:id="302" w:author="AbbVie2" w:date="2025-05-13T16:36:00Z"/>
          <w:bCs/>
          <w:iCs/>
          <w:sz w:val="22"/>
          <w:szCs w:val="22"/>
        </w:rPr>
      </w:pPr>
      <w:del w:id="303" w:author="AbbVie2" w:date="2025-05-13T16:36:00Z">
        <w:r w:rsidRPr="00FD1D0F">
          <w:rPr>
            <w:bCs/>
            <w:iCs/>
            <w:sz w:val="22"/>
            <w:szCs w:val="22"/>
          </w:rPr>
          <w:delText>Em doentes adolescentes que apresentem uma resposta terapêutica inadequada com 40 mg de Humira em semanas alternadas, deverá considerar-se um aumento da dose para 40  mg todas as semanas</w:delText>
        </w:r>
        <w:r w:rsidR="00536ED5">
          <w:rPr>
            <w:bCs/>
            <w:iCs/>
            <w:sz w:val="22"/>
            <w:szCs w:val="22"/>
          </w:rPr>
          <w:delText xml:space="preserve"> ou 80 mg em semanas alternadas</w:delText>
        </w:r>
        <w:r w:rsidRPr="00FD1D0F">
          <w:rPr>
            <w:bCs/>
            <w:iCs/>
            <w:sz w:val="22"/>
            <w:szCs w:val="22"/>
          </w:rPr>
          <w:delText>.</w:delText>
        </w:r>
        <w:r>
          <w:rPr>
            <w:bCs/>
            <w:iCs/>
            <w:sz w:val="22"/>
            <w:szCs w:val="22"/>
          </w:rPr>
          <w:delText xml:space="preserve"> </w:delText>
        </w:r>
      </w:del>
    </w:p>
    <w:p w14:paraId="23AA0FE8" w14:textId="2BDBC021" w:rsidR="004462A0" w:rsidRDefault="004462A0" w:rsidP="004462A0">
      <w:pPr>
        <w:rPr>
          <w:del w:id="304" w:author="AbbVie2" w:date="2025-05-13T16:36:00Z"/>
          <w:bCs/>
          <w:iCs/>
          <w:sz w:val="22"/>
          <w:szCs w:val="22"/>
        </w:rPr>
      </w:pPr>
    </w:p>
    <w:p w14:paraId="4E30F971" w14:textId="40F30270" w:rsidR="004462A0" w:rsidRPr="00497512" w:rsidRDefault="00615769" w:rsidP="004462A0">
      <w:pPr>
        <w:rPr>
          <w:del w:id="305" w:author="AbbVie2" w:date="2025-05-13T16:36:00Z"/>
          <w:sz w:val="22"/>
          <w:szCs w:val="22"/>
        </w:rPr>
      </w:pPr>
      <w:del w:id="306" w:author="AbbVie2" w:date="2025-05-13T16:36:00Z">
        <w:r w:rsidRPr="00497512">
          <w:rPr>
            <w:sz w:val="22"/>
            <w:szCs w:val="22"/>
          </w:rPr>
          <w:delText>Durante o tratamento com Humira, pode manter-se o tratamento com antibióticos, se necessário. Recomenda-se que o doente use um anti-séptico tópico de lavagem nas lesões de HS, numa base diária, durante o tratamento com Humira.</w:delText>
        </w:r>
      </w:del>
    </w:p>
    <w:p w14:paraId="47DE4CCD" w14:textId="45B14E4A" w:rsidR="004462A0" w:rsidRPr="00497512" w:rsidRDefault="004462A0" w:rsidP="004462A0">
      <w:pPr>
        <w:rPr>
          <w:del w:id="307" w:author="AbbVie2" w:date="2025-05-13T16:36:00Z"/>
          <w:bCs/>
          <w:iCs/>
          <w:sz w:val="22"/>
          <w:szCs w:val="22"/>
        </w:rPr>
      </w:pPr>
    </w:p>
    <w:p w14:paraId="36352BC4" w14:textId="57A44FBD" w:rsidR="004462A0" w:rsidRPr="00497512" w:rsidRDefault="00615769" w:rsidP="004462A0">
      <w:pPr>
        <w:rPr>
          <w:del w:id="308" w:author="AbbVie2" w:date="2025-05-13T16:36:00Z"/>
          <w:bCs/>
          <w:iCs/>
          <w:sz w:val="22"/>
          <w:szCs w:val="22"/>
        </w:rPr>
      </w:pPr>
      <w:del w:id="309" w:author="AbbVie2" w:date="2025-05-13T16:36:00Z">
        <w:r w:rsidRPr="00497512">
          <w:rPr>
            <w:bCs/>
            <w:iCs/>
            <w:sz w:val="22"/>
            <w:szCs w:val="22"/>
          </w:rPr>
          <w:delText xml:space="preserve">Uma terapêutica continuada </w:delText>
        </w:r>
        <w:r w:rsidR="00AB606B">
          <w:rPr>
            <w:bCs/>
            <w:iCs/>
            <w:sz w:val="22"/>
            <w:szCs w:val="22"/>
          </w:rPr>
          <w:delText xml:space="preserve">para além das 12 semanas </w:delText>
        </w:r>
        <w:r w:rsidRPr="00497512">
          <w:rPr>
            <w:bCs/>
            <w:iCs/>
            <w:sz w:val="22"/>
            <w:szCs w:val="22"/>
          </w:rPr>
          <w:delText xml:space="preserve">deve ser cuidadosamente reconsiderada </w:delText>
        </w:r>
        <w:r w:rsidR="00AB606B">
          <w:rPr>
            <w:bCs/>
            <w:iCs/>
            <w:sz w:val="22"/>
            <w:szCs w:val="22"/>
          </w:rPr>
          <w:delText>em</w:delText>
        </w:r>
        <w:r w:rsidRPr="00497512">
          <w:rPr>
            <w:bCs/>
            <w:iCs/>
            <w:sz w:val="22"/>
            <w:szCs w:val="22"/>
          </w:rPr>
          <w:delText xml:space="preserve"> doentes que não </w:delText>
        </w:r>
        <w:r w:rsidR="00AB606B">
          <w:rPr>
            <w:bCs/>
            <w:iCs/>
            <w:sz w:val="22"/>
            <w:szCs w:val="22"/>
          </w:rPr>
          <w:delText>apresentaram melhoria neste período de tempo</w:delText>
        </w:r>
        <w:r w:rsidRPr="00497512">
          <w:rPr>
            <w:bCs/>
            <w:iCs/>
            <w:sz w:val="22"/>
            <w:szCs w:val="22"/>
          </w:rPr>
          <w:delText>.</w:delText>
        </w:r>
      </w:del>
    </w:p>
    <w:p w14:paraId="30DCC922" w14:textId="5593E857" w:rsidR="004462A0" w:rsidRPr="00497512" w:rsidRDefault="004462A0" w:rsidP="004462A0">
      <w:pPr>
        <w:rPr>
          <w:del w:id="310" w:author="AbbVie2" w:date="2025-05-13T16:36:00Z"/>
          <w:bCs/>
          <w:iCs/>
          <w:sz w:val="22"/>
          <w:szCs w:val="22"/>
        </w:rPr>
      </w:pPr>
    </w:p>
    <w:p w14:paraId="211CE968" w14:textId="47E55779" w:rsidR="004462A0" w:rsidRPr="00497512" w:rsidRDefault="00615769" w:rsidP="004462A0">
      <w:pPr>
        <w:rPr>
          <w:del w:id="311" w:author="AbbVie2" w:date="2025-05-13T16:36:00Z"/>
          <w:sz w:val="22"/>
          <w:szCs w:val="22"/>
        </w:rPr>
      </w:pPr>
      <w:del w:id="312" w:author="AbbVie2" w:date="2025-05-13T16:36:00Z">
        <w:r w:rsidRPr="00497512">
          <w:rPr>
            <w:sz w:val="22"/>
            <w:szCs w:val="22"/>
          </w:rPr>
          <w:delText>Caso haja necessidade de interromper o tratamento, Humira pode ser reintroduzido conforme apropriado.</w:delText>
        </w:r>
      </w:del>
    </w:p>
    <w:p w14:paraId="6D32FC44" w14:textId="44599107" w:rsidR="004462A0" w:rsidRPr="00497512" w:rsidRDefault="004462A0" w:rsidP="004462A0">
      <w:pPr>
        <w:rPr>
          <w:del w:id="313" w:author="AbbVie2" w:date="2025-05-13T16:36:00Z"/>
          <w:sz w:val="22"/>
          <w:szCs w:val="22"/>
        </w:rPr>
      </w:pPr>
    </w:p>
    <w:p w14:paraId="5804B377" w14:textId="1C67CD57" w:rsidR="004462A0" w:rsidRPr="00497512" w:rsidRDefault="00615769" w:rsidP="004462A0">
      <w:pPr>
        <w:rPr>
          <w:del w:id="314" w:author="AbbVie2" w:date="2025-05-13T16:36:00Z"/>
          <w:bCs/>
          <w:sz w:val="22"/>
          <w:szCs w:val="22"/>
        </w:rPr>
      </w:pPr>
      <w:del w:id="315" w:author="AbbVie2" w:date="2025-05-13T16:36:00Z">
        <w:r>
          <w:rPr>
            <w:bCs/>
            <w:sz w:val="22"/>
            <w:szCs w:val="22"/>
          </w:rPr>
          <w:delText>O benefício e risco</w:delText>
        </w:r>
        <w:r w:rsidRPr="00497512">
          <w:rPr>
            <w:bCs/>
            <w:sz w:val="22"/>
            <w:szCs w:val="22"/>
          </w:rPr>
          <w:delText xml:space="preserve"> </w:delText>
        </w:r>
        <w:r>
          <w:rPr>
            <w:bCs/>
            <w:sz w:val="22"/>
            <w:szCs w:val="22"/>
          </w:rPr>
          <w:delText xml:space="preserve">da continuação </w:delText>
        </w:r>
        <w:r w:rsidRPr="00497512">
          <w:rPr>
            <w:bCs/>
            <w:sz w:val="22"/>
            <w:szCs w:val="22"/>
          </w:rPr>
          <w:delText xml:space="preserve">do tratamento a longo prazo </w:delText>
        </w:r>
        <w:r>
          <w:rPr>
            <w:bCs/>
            <w:sz w:val="22"/>
            <w:szCs w:val="22"/>
          </w:rPr>
          <w:delText>devem ser avaliados</w:delText>
        </w:r>
        <w:r w:rsidRPr="00497512">
          <w:rPr>
            <w:bCs/>
            <w:sz w:val="22"/>
            <w:szCs w:val="22"/>
          </w:rPr>
          <w:delText xml:space="preserve"> periodicamente (ver dados em adultos na secção 5.1).</w:delText>
        </w:r>
      </w:del>
    </w:p>
    <w:p w14:paraId="4765B253" w14:textId="553D539A" w:rsidR="004462A0" w:rsidRPr="00497512" w:rsidRDefault="004462A0" w:rsidP="004462A0">
      <w:pPr>
        <w:rPr>
          <w:del w:id="316" w:author="AbbVie2" w:date="2025-05-13T16:36:00Z"/>
          <w:bCs/>
          <w:sz w:val="22"/>
          <w:szCs w:val="22"/>
        </w:rPr>
      </w:pPr>
    </w:p>
    <w:p w14:paraId="2376E8AE" w14:textId="6EDB7D48" w:rsidR="004462A0" w:rsidRPr="00497512" w:rsidRDefault="00615769" w:rsidP="004462A0">
      <w:pPr>
        <w:rPr>
          <w:del w:id="317" w:author="AbbVie2" w:date="2025-05-13T16:36:00Z"/>
          <w:sz w:val="22"/>
          <w:szCs w:val="22"/>
        </w:rPr>
      </w:pPr>
      <w:del w:id="318" w:author="AbbVie2" w:date="2025-05-13T16:36:00Z">
        <w:r w:rsidRPr="00497512">
          <w:rPr>
            <w:bCs/>
            <w:iCs/>
            <w:sz w:val="22"/>
            <w:szCs w:val="22"/>
          </w:rPr>
          <w:delText>Não existe utilização relevante de Humira em crianças com menos de 12 anos, para esta indicação.</w:delText>
        </w:r>
      </w:del>
    </w:p>
    <w:p w14:paraId="23C91C7A" w14:textId="756221E6" w:rsidR="004462A0" w:rsidRDefault="004462A0" w:rsidP="004462A0">
      <w:pPr>
        <w:rPr>
          <w:del w:id="319" w:author="AbbVie2" w:date="2025-05-13T16:36:00Z"/>
          <w:sz w:val="22"/>
          <w:szCs w:val="22"/>
        </w:rPr>
      </w:pPr>
    </w:p>
    <w:p w14:paraId="75562FCF" w14:textId="3F6D2B66" w:rsidR="00536ED5" w:rsidRDefault="00615769" w:rsidP="00AA7352">
      <w:pPr>
        <w:pStyle w:val="BodyText2"/>
        <w:autoSpaceDE/>
        <w:autoSpaceDN/>
        <w:adjustRightInd/>
        <w:rPr>
          <w:del w:id="320" w:author="AbbVie2" w:date="2025-05-13T16:36:00Z"/>
          <w:szCs w:val="22"/>
        </w:rPr>
      </w:pPr>
      <w:del w:id="321" w:author="AbbVie2" w:date="2025-05-13T16:36:00Z">
        <w:r>
          <w:rPr>
            <w:szCs w:val="22"/>
          </w:rPr>
          <w:delText>Humira pode estar disponível em outras dosagens e/ou apresentações dependendo das necessidades de cada doente.</w:delText>
        </w:r>
      </w:del>
    </w:p>
    <w:p w14:paraId="067520F2" w14:textId="5A26D0CE" w:rsidR="00536ED5" w:rsidRPr="00AA7352" w:rsidRDefault="00536ED5" w:rsidP="00AA7352">
      <w:pPr>
        <w:pStyle w:val="BodyText2"/>
        <w:autoSpaceDE/>
        <w:autoSpaceDN/>
        <w:adjustRightInd/>
        <w:rPr>
          <w:del w:id="322" w:author="AbbVie2" w:date="2025-05-13T16:36:00Z"/>
          <w:szCs w:val="22"/>
        </w:rPr>
      </w:pPr>
    </w:p>
    <w:p w14:paraId="567DAA6C" w14:textId="20232816" w:rsidR="004462A0" w:rsidRPr="008912CF" w:rsidRDefault="00615769" w:rsidP="004462A0">
      <w:pPr>
        <w:rPr>
          <w:del w:id="323" w:author="AbbVie2" w:date="2025-05-13T16:36:00Z"/>
          <w:sz w:val="22"/>
          <w:szCs w:val="22"/>
          <w:u w:val="single"/>
        </w:rPr>
      </w:pPr>
      <w:del w:id="324" w:author="AbbVie2" w:date="2025-05-13T16:36:00Z">
        <w:r w:rsidRPr="008912CF">
          <w:rPr>
            <w:i/>
            <w:sz w:val="22"/>
            <w:szCs w:val="22"/>
          </w:rPr>
          <w:delText xml:space="preserve">Doença de Crohn </w:delText>
        </w:r>
        <w:r w:rsidR="00E7252B">
          <w:rPr>
            <w:i/>
            <w:sz w:val="22"/>
            <w:szCs w:val="22"/>
          </w:rPr>
          <w:delText>p</w:delText>
        </w:r>
        <w:r w:rsidRPr="008912CF">
          <w:rPr>
            <w:i/>
            <w:sz w:val="22"/>
            <w:szCs w:val="22"/>
          </w:rPr>
          <w:delText>ediátrica</w:delText>
        </w:r>
      </w:del>
    </w:p>
    <w:p w14:paraId="2DFFC827" w14:textId="7FC5A489" w:rsidR="004462A0" w:rsidRPr="008912CF" w:rsidRDefault="004462A0" w:rsidP="004462A0">
      <w:pPr>
        <w:rPr>
          <w:del w:id="325" w:author="AbbVie2" w:date="2025-05-13T16:36:00Z"/>
          <w:sz w:val="22"/>
          <w:szCs w:val="22"/>
          <w:u w:val="single"/>
        </w:rPr>
      </w:pPr>
    </w:p>
    <w:p w14:paraId="48AE4E9E" w14:textId="00B14205" w:rsidR="0028623F" w:rsidRPr="008912CF" w:rsidRDefault="00615769" w:rsidP="0028623F">
      <w:pPr>
        <w:pStyle w:val="BodyText2"/>
        <w:autoSpaceDE/>
        <w:autoSpaceDN/>
        <w:adjustRightInd/>
        <w:rPr>
          <w:del w:id="326" w:author="AbbVie2" w:date="2025-05-13T16:36:00Z"/>
          <w:szCs w:val="22"/>
        </w:rPr>
      </w:pPr>
      <w:del w:id="327" w:author="AbbVie2" w:date="2025-05-13T16:36:00Z">
        <w:r w:rsidRPr="0028623F">
          <w:rPr>
            <w:szCs w:val="22"/>
          </w:rPr>
          <w:delText xml:space="preserve"> </w:delText>
        </w:r>
        <w:r w:rsidRPr="008912CF">
          <w:rPr>
            <w:szCs w:val="22"/>
          </w:rPr>
          <w:delText xml:space="preserve">A dose recomendada de Humira </w:delText>
        </w:r>
        <w:r w:rsidR="00E876B5">
          <w:rPr>
            <w:szCs w:val="22"/>
          </w:rPr>
          <w:delText xml:space="preserve">em </w:delText>
        </w:r>
        <w:r w:rsidRPr="008912CF">
          <w:rPr>
            <w:szCs w:val="22"/>
          </w:rPr>
          <w:delText>doentes com doença de Crohn</w:delText>
        </w:r>
        <w:r>
          <w:rPr>
            <w:szCs w:val="22"/>
          </w:rPr>
          <w:delText>,</w:delText>
        </w:r>
        <w:r w:rsidRPr="000550F3">
          <w:rPr>
            <w:szCs w:val="22"/>
          </w:rPr>
          <w:delText xml:space="preserve"> </w:delText>
        </w:r>
        <w:r>
          <w:rPr>
            <w:szCs w:val="22"/>
          </w:rPr>
          <w:delText xml:space="preserve">com idades compreendidas entre os </w:delText>
        </w:r>
        <w:r w:rsidR="00284968">
          <w:rPr>
            <w:szCs w:val="22"/>
          </w:rPr>
          <w:delText>6</w:delText>
        </w:r>
        <w:r>
          <w:rPr>
            <w:szCs w:val="22"/>
          </w:rPr>
          <w:delText xml:space="preserve"> e os 17 anos, </w:delText>
        </w:r>
        <w:r w:rsidRPr="008912CF">
          <w:rPr>
            <w:szCs w:val="22"/>
          </w:rPr>
          <w:delText xml:space="preserve">é </w:delText>
        </w:r>
        <w:r>
          <w:rPr>
            <w:szCs w:val="22"/>
          </w:rPr>
          <w:delText xml:space="preserve">baseada no peso corporal (Tabela 4). Humira é administrado </w:delText>
        </w:r>
        <w:r w:rsidRPr="008912CF">
          <w:rPr>
            <w:szCs w:val="22"/>
          </w:rPr>
          <w:delText xml:space="preserve">por injeção subcutânea. </w:delText>
        </w:r>
      </w:del>
    </w:p>
    <w:p w14:paraId="620AE40E" w14:textId="2B3E7191" w:rsidR="0028623F" w:rsidRDefault="0028623F" w:rsidP="0028623F">
      <w:pPr>
        <w:rPr>
          <w:del w:id="328" w:author="AbbVie2" w:date="2025-05-13T16:36:00Z"/>
          <w:sz w:val="22"/>
          <w:szCs w:val="22"/>
        </w:rPr>
      </w:pPr>
    </w:p>
    <w:p w14:paraId="56DBD310" w14:textId="00B9217D" w:rsidR="0028623F" w:rsidRPr="000A1E2A" w:rsidRDefault="00615769" w:rsidP="002F486F">
      <w:pPr>
        <w:tabs>
          <w:tab w:val="left" w:pos="562"/>
        </w:tabs>
        <w:suppressAutoHyphens/>
        <w:jc w:val="center"/>
        <w:rPr>
          <w:del w:id="329" w:author="AbbVie2" w:date="2025-05-13T16:36:00Z"/>
          <w:rFonts w:eastAsia="Times New Roman"/>
          <w:b/>
          <w:sz w:val="22"/>
          <w:szCs w:val="22"/>
        </w:rPr>
      </w:pPr>
      <w:del w:id="330" w:author="AbbVie2" w:date="2025-05-13T16:36:00Z">
        <w:r w:rsidRPr="00F03C54">
          <w:rPr>
            <w:rFonts w:eastAsia="Times New Roman"/>
            <w:b/>
            <w:sz w:val="22"/>
            <w:szCs w:val="22"/>
          </w:rPr>
          <w:delText xml:space="preserve">Tabela 4. </w:delText>
        </w:r>
        <w:r w:rsidRPr="000A1E2A">
          <w:rPr>
            <w:rFonts w:eastAsia="Times New Roman"/>
            <w:b/>
            <w:sz w:val="22"/>
            <w:szCs w:val="22"/>
          </w:rPr>
          <w:delText xml:space="preserve">Dose de Humira </w:delText>
        </w:r>
        <w:r w:rsidR="00E876B5">
          <w:rPr>
            <w:rFonts w:eastAsia="Times New Roman"/>
            <w:b/>
            <w:sz w:val="22"/>
            <w:szCs w:val="22"/>
          </w:rPr>
          <w:delText xml:space="preserve">em </w:delText>
        </w:r>
        <w:r w:rsidRPr="000A1E2A">
          <w:rPr>
            <w:rFonts w:eastAsia="Times New Roman"/>
            <w:b/>
            <w:sz w:val="22"/>
            <w:szCs w:val="22"/>
          </w:rPr>
          <w:delText xml:space="preserve">Doentes </w:delText>
        </w:r>
        <w:r w:rsidR="001A1E51">
          <w:rPr>
            <w:rFonts w:eastAsia="Times New Roman"/>
            <w:b/>
            <w:sz w:val="22"/>
            <w:szCs w:val="22"/>
          </w:rPr>
          <w:delText xml:space="preserve">Pediátricos </w:delText>
        </w:r>
        <w:r w:rsidRPr="000A1E2A">
          <w:rPr>
            <w:rFonts w:eastAsia="Times New Roman"/>
            <w:b/>
            <w:sz w:val="22"/>
            <w:szCs w:val="22"/>
          </w:rPr>
          <w:delText>com Doença de Crohn</w:delText>
        </w:r>
        <w:r>
          <w:rPr>
            <w:rFonts w:eastAsia="Times New Roman"/>
            <w:b/>
            <w:sz w:val="22"/>
            <w:szCs w:val="22"/>
          </w:rPr>
          <w:delText xml:space="preserve"> </w:delText>
        </w:r>
      </w:del>
    </w:p>
    <w:p w14:paraId="4A3CEED2" w14:textId="59465FBF" w:rsidR="0028623F" w:rsidRPr="000A1E2A" w:rsidRDefault="0028623F" w:rsidP="002F486F">
      <w:pPr>
        <w:tabs>
          <w:tab w:val="left" w:pos="562"/>
        </w:tabs>
        <w:suppressAutoHyphens/>
        <w:rPr>
          <w:del w:id="331" w:author="AbbVie2" w:date="2025-05-13T16:36:00Z"/>
          <w:rFonts w:eastAsia="Times New Roman"/>
          <w:sz w:val="22"/>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10"/>
        <w:gridCol w:w="6338"/>
        <w:gridCol w:w="1807"/>
      </w:tblGrid>
      <w:tr w:rsidR="00A7162A" w14:paraId="512C9E69" w14:textId="67C2C7C1" w:rsidTr="00AB343F">
        <w:trPr>
          <w:tblHeader/>
          <w:del w:id="332" w:author="AbbVie2" w:date="2025-05-13T16:36:00Z"/>
        </w:trPr>
        <w:tc>
          <w:tcPr>
            <w:tcW w:w="0" w:type="auto"/>
            <w:tcBorders>
              <w:top w:val="single" w:sz="6" w:space="0" w:color="000000"/>
              <w:left w:val="single" w:sz="6" w:space="0" w:color="000000"/>
              <w:bottom w:val="single" w:sz="6" w:space="0" w:color="000000"/>
              <w:right w:val="single" w:sz="6" w:space="0" w:color="000000"/>
            </w:tcBorders>
            <w:hideMark/>
          </w:tcPr>
          <w:p w14:paraId="1EA2B83F" w14:textId="145CBA67" w:rsidR="0028623F" w:rsidRPr="00AD4F25" w:rsidRDefault="00615769" w:rsidP="002F486F">
            <w:pPr>
              <w:tabs>
                <w:tab w:val="left" w:pos="562"/>
              </w:tabs>
              <w:suppressAutoHyphens/>
              <w:jc w:val="center"/>
              <w:rPr>
                <w:del w:id="333" w:author="AbbVie2" w:date="2025-05-13T16:36:00Z"/>
                <w:rFonts w:eastAsia="Times New Roman"/>
                <w:sz w:val="22"/>
                <w:rPrChange w:id="334" w:author="AbbVie2" w:date="2025-05-14T10:17:00Z">
                  <w:rPr>
                    <w:del w:id="335" w:author="AbbVie2" w:date="2025-05-13T16:36:00Z"/>
                    <w:rFonts w:eastAsia="Times New Roman"/>
                    <w:sz w:val="22"/>
                    <w:lang w:val="en-US"/>
                  </w:rPr>
                </w:rPrChange>
              </w:rPr>
            </w:pPr>
            <w:del w:id="336" w:author="AbbVie2" w:date="2025-05-13T16:36:00Z">
              <w:r w:rsidRPr="00AD4F25">
                <w:rPr>
                  <w:rFonts w:eastAsia="Times New Roman"/>
                  <w:b/>
                  <w:sz w:val="22"/>
                  <w:rPrChange w:id="337" w:author="AbbVie2" w:date="2025-05-14T10:17:00Z">
                    <w:rPr>
                      <w:rFonts w:eastAsia="Times New Roman"/>
                      <w:b/>
                      <w:sz w:val="22"/>
                      <w:lang w:val="en-US"/>
                    </w:rPr>
                  </w:rPrChange>
                </w:rPr>
                <w:delText>Peso do Doente</w:delText>
              </w:r>
            </w:del>
          </w:p>
        </w:tc>
        <w:tc>
          <w:tcPr>
            <w:tcW w:w="0" w:type="auto"/>
            <w:tcBorders>
              <w:top w:val="single" w:sz="6" w:space="0" w:color="000000"/>
              <w:left w:val="single" w:sz="6" w:space="0" w:color="000000"/>
              <w:bottom w:val="single" w:sz="6" w:space="0" w:color="000000"/>
              <w:right w:val="single" w:sz="6" w:space="0" w:color="000000"/>
            </w:tcBorders>
            <w:hideMark/>
          </w:tcPr>
          <w:p w14:paraId="63830713" w14:textId="59F82256" w:rsidR="0028623F" w:rsidRPr="00AD4F25" w:rsidRDefault="00615769" w:rsidP="002F486F">
            <w:pPr>
              <w:tabs>
                <w:tab w:val="left" w:pos="562"/>
              </w:tabs>
              <w:suppressAutoHyphens/>
              <w:jc w:val="center"/>
              <w:rPr>
                <w:del w:id="338" w:author="AbbVie2" w:date="2025-05-13T16:36:00Z"/>
                <w:rFonts w:eastAsia="Times New Roman"/>
                <w:sz w:val="22"/>
                <w:rPrChange w:id="339" w:author="AbbVie2" w:date="2025-05-14T10:17:00Z">
                  <w:rPr>
                    <w:del w:id="340" w:author="AbbVie2" w:date="2025-05-13T16:36:00Z"/>
                    <w:rFonts w:eastAsia="Times New Roman"/>
                    <w:sz w:val="22"/>
                    <w:lang w:val="en-US"/>
                  </w:rPr>
                </w:rPrChange>
              </w:rPr>
            </w:pPr>
            <w:del w:id="341" w:author="AbbVie2" w:date="2025-05-13T16:36:00Z">
              <w:r w:rsidRPr="00AD4F25">
                <w:rPr>
                  <w:rFonts w:eastAsia="Times New Roman"/>
                  <w:b/>
                  <w:sz w:val="22"/>
                  <w:rPrChange w:id="342" w:author="AbbVie2" w:date="2025-05-14T10:17:00Z">
                    <w:rPr>
                      <w:rFonts w:eastAsia="Times New Roman"/>
                      <w:b/>
                      <w:sz w:val="22"/>
                      <w:lang w:val="en-US"/>
                    </w:rPr>
                  </w:rPrChange>
                </w:rPr>
                <w:delText>Dose de Indução</w:delText>
              </w:r>
            </w:del>
          </w:p>
        </w:tc>
        <w:tc>
          <w:tcPr>
            <w:tcW w:w="0" w:type="auto"/>
            <w:tcBorders>
              <w:top w:val="single" w:sz="6" w:space="0" w:color="000000"/>
              <w:left w:val="single" w:sz="6" w:space="0" w:color="000000"/>
              <w:bottom w:val="single" w:sz="6" w:space="0" w:color="000000"/>
              <w:right w:val="single" w:sz="6" w:space="0" w:color="000000"/>
            </w:tcBorders>
            <w:hideMark/>
          </w:tcPr>
          <w:p w14:paraId="34B35AF7" w14:textId="79B4A32B" w:rsidR="0028623F" w:rsidRDefault="00615769" w:rsidP="002F486F">
            <w:pPr>
              <w:tabs>
                <w:tab w:val="left" w:pos="562"/>
              </w:tabs>
              <w:suppressAutoHyphens/>
              <w:jc w:val="center"/>
              <w:rPr>
                <w:del w:id="343" w:author="AbbVie2" w:date="2025-05-13T16:36:00Z"/>
                <w:rFonts w:eastAsia="Times New Roman"/>
                <w:b/>
                <w:sz w:val="22"/>
              </w:rPr>
            </w:pPr>
            <w:del w:id="344" w:author="AbbVie2" w:date="2025-05-13T16:36:00Z">
              <w:r w:rsidRPr="000A1E2A">
                <w:rPr>
                  <w:rFonts w:eastAsia="Times New Roman"/>
                  <w:b/>
                  <w:sz w:val="22"/>
                </w:rPr>
                <w:delText>Dose de Manutenção com Início na</w:delText>
              </w:r>
            </w:del>
          </w:p>
          <w:p w14:paraId="5FB58142" w14:textId="58D7BEE2" w:rsidR="0028623F" w:rsidRPr="000A1E2A" w:rsidRDefault="00615769" w:rsidP="002F486F">
            <w:pPr>
              <w:tabs>
                <w:tab w:val="left" w:pos="562"/>
              </w:tabs>
              <w:suppressAutoHyphens/>
              <w:jc w:val="center"/>
              <w:rPr>
                <w:del w:id="345" w:author="AbbVie2" w:date="2025-05-13T16:36:00Z"/>
                <w:rFonts w:eastAsia="Times New Roman"/>
                <w:sz w:val="22"/>
              </w:rPr>
            </w:pPr>
            <w:del w:id="346" w:author="AbbVie2" w:date="2025-05-13T16:36:00Z">
              <w:r w:rsidRPr="000A1E2A">
                <w:rPr>
                  <w:rFonts w:eastAsia="Times New Roman"/>
                  <w:b/>
                  <w:sz w:val="22"/>
                </w:rPr>
                <w:delText xml:space="preserve"> Semana 4</w:delText>
              </w:r>
            </w:del>
          </w:p>
        </w:tc>
      </w:tr>
      <w:tr w:rsidR="00A7162A" w14:paraId="3AD58B9A" w14:textId="311EBB5F" w:rsidTr="00AB343F">
        <w:trPr>
          <w:del w:id="347" w:author="AbbVie2" w:date="2025-05-13T16:36:00Z"/>
        </w:trPr>
        <w:tc>
          <w:tcPr>
            <w:tcW w:w="0" w:type="auto"/>
            <w:tcBorders>
              <w:top w:val="single" w:sz="6" w:space="0" w:color="000000"/>
              <w:left w:val="single" w:sz="6" w:space="0" w:color="000000"/>
              <w:bottom w:val="single" w:sz="6" w:space="0" w:color="000000"/>
              <w:right w:val="single" w:sz="6" w:space="0" w:color="000000"/>
            </w:tcBorders>
            <w:hideMark/>
          </w:tcPr>
          <w:p w14:paraId="37C60F64" w14:textId="6DCDCBC5" w:rsidR="0028623F" w:rsidRPr="00AD4F25" w:rsidRDefault="00615769" w:rsidP="002F486F">
            <w:pPr>
              <w:tabs>
                <w:tab w:val="left" w:pos="562"/>
              </w:tabs>
              <w:suppressAutoHyphens/>
              <w:jc w:val="center"/>
              <w:rPr>
                <w:del w:id="348" w:author="AbbVie2" w:date="2025-05-13T16:36:00Z"/>
                <w:rFonts w:eastAsia="Times New Roman"/>
                <w:sz w:val="22"/>
                <w:rPrChange w:id="349" w:author="AbbVie2" w:date="2025-05-14T10:17:00Z">
                  <w:rPr>
                    <w:del w:id="350" w:author="AbbVie2" w:date="2025-05-13T16:36:00Z"/>
                    <w:rFonts w:eastAsia="Times New Roman"/>
                    <w:sz w:val="22"/>
                    <w:lang w:val="en-US"/>
                  </w:rPr>
                </w:rPrChange>
              </w:rPr>
            </w:pPr>
            <w:del w:id="351" w:author="AbbVie2" w:date="2025-05-13T16:36:00Z">
              <w:r w:rsidRPr="00AD4F25">
                <w:rPr>
                  <w:rFonts w:eastAsia="Times New Roman"/>
                  <w:sz w:val="22"/>
                  <w:rPrChange w:id="352" w:author="AbbVie2" w:date="2025-05-14T10:17:00Z">
                    <w:rPr>
                      <w:rFonts w:eastAsia="Times New Roman"/>
                      <w:sz w:val="22"/>
                      <w:lang w:val="en-US"/>
                    </w:rPr>
                  </w:rPrChange>
                </w:rPr>
                <w:delText>&lt; 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444942B9" w14:textId="35BAFFE0" w:rsidR="0028623F" w:rsidRPr="000A1E2A" w:rsidRDefault="00615769" w:rsidP="002F486F">
            <w:pPr>
              <w:numPr>
                <w:ilvl w:val="0"/>
                <w:numId w:val="137"/>
              </w:numPr>
              <w:tabs>
                <w:tab w:val="left" w:pos="562"/>
              </w:tabs>
              <w:suppressAutoHyphens/>
              <w:ind w:left="307" w:hanging="180"/>
              <w:rPr>
                <w:del w:id="353" w:author="AbbVie2" w:date="2025-05-13T16:36:00Z"/>
                <w:rFonts w:eastAsia="Times New Roman"/>
                <w:sz w:val="22"/>
                <w:szCs w:val="22"/>
              </w:rPr>
            </w:pPr>
            <w:del w:id="354" w:author="AbbVie2" w:date="2025-05-13T16:36:00Z">
              <w:r w:rsidRPr="000A1E2A">
                <w:rPr>
                  <w:rFonts w:eastAsia="Times New Roman"/>
                  <w:sz w:val="22"/>
                  <w:szCs w:val="22"/>
                </w:rPr>
                <w:delText xml:space="preserve">40 mg na </w:delText>
              </w:r>
              <w:r w:rsidR="002C2941">
                <w:rPr>
                  <w:rFonts w:eastAsia="Times New Roman"/>
                  <w:sz w:val="22"/>
                  <w:szCs w:val="22"/>
                </w:rPr>
                <w:delText>s</w:delText>
              </w:r>
              <w:r w:rsidRPr="000A1E2A">
                <w:rPr>
                  <w:rFonts w:eastAsia="Times New Roman"/>
                  <w:sz w:val="22"/>
                  <w:szCs w:val="22"/>
                </w:rPr>
                <w:delText xml:space="preserve">emana 0 e 20 mg na </w:delText>
              </w:r>
              <w:r w:rsidR="002C2941">
                <w:rPr>
                  <w:rFonts w:eastAsia="Times New Roman"/>
                  <w:sz w:val="22"/>
                  <w:szCs w:val="22"/>
                </w:rPr>
                <w:delText>s</w:delText>
              </w:r>
              <w:r w:rsidRPr="000A1E2A">
                <w:rPr>
                  <w:rFonts w:eastAsia="Times New Roman"/>
                  <w:sz w:val="22"/>
                  <w:szCs w:val="22"/>
                </w:rPr>
                <w:delText>emana 2</w:delText>
              </w:r>
            </w:del>
          </w:p>
          <w:p w14:paraId="4991936A" w14:textId="61F7109C" w:rsidR="0028623F" w:rsidRPr="000A1E2A" w:rsidRDefault="0028623F" w:rsidP="002F486F">
            <w:pPr>
              <w:ind w:left="337"/>
              <w:rPr>
                <w:del w:id="355" w:author="AbbVie2" w:date="2025-05-13T16:36:00Z"/>
                <w:rFonts w:eastAsia="Times New Roman"/>
                <w:sz w:val="22"/>
                <w:szCs w:val="22"/>
              </w:rPr>
            </w:pPr>
          </w:p>
          <w:p w14:paraId="70D12C09" w14:textId="6039F668" w:rsidR="0028623F" w:rsidRPr="000A1E2A" w:rsidRDefault="00615769" w:rsidP="00E03A0D">
            <w:pPr>
              <w:rPr>
                <w:del w:id="356" w:author="AbbVie2" w:date="2025-05-13T16:36:00Z"/>
                <w:rFonts w:eastAsia="Times New Roman"/>
                <w:sz w:val="22"/>
                <w:szCs w:val="22"/>
              </w:rPr>
            </w:pPr>
            <w:del w:id="357" w:author="AbbVie2" w:date="2025-05-13T16:36:00Z">
              <w:r w:rsidRPr="000A1E2A">
                <w:rPr>
                  <w:sz w:val="22"/>
                  <w:szCs w:val="22"/>
                </w:rPr>
                <w:delText xml:space="preserve">No caso de haver necessidade de uma resposta mais rápida à terapêutica, sendo </w:delText>
              </w:r>
              <w:r w:rsidRPr="008912CF">
                <w:rPr>
                  <w:sz w:val="22"/>
                  <w:szCs w:val="22"/>
                </w:rPr>
                <w:delText>que o risco de acontecimentos adversos pode ser superior com o u</w:delText>
              </w:r>
              <w:r>
                <w:rPr>
                  <w:sz w:val="22"/>
                  <w:szCs w:val="22"/>
                </w:rPr>
                <w:delText>so de uma dose de indução maior, pode ser usada a seguinte dose:</w:delText>
              </w:r>
            </w:del>
          </w:p>
          <w:p w14:paraId="23935001" w14:textId="7DEFB77F" w:rsidR="0028623F" w:rsidRPr="000A1E2A" w:rsidRDefault="00615769" w:rsidP="002F486F">
            <w:pPr>
              <w:numPr>
                <w:ilvl w:val="0"/>
                <w:numId w:val="139"/>
              </w:numPr>
              <w:tabs>
                <w:tab w:val="left" w:pos="562"/>
              </w:tabs>
              <w:suppressAutoHyphens/>
              <w:ind w:left="307" w:hanging="180"/>
              <w:rPr>
                <w:del w:id="358" w:author="AbbVie2" w:date="2025-05-13T16:36:00Z"/>
                <w:rFonts w:eastAsia="Times New Roman"/>
                <w:iCs/>
                <w:sz w:val="22"/>
                <w:szCs w:val="22"/>
              </w:rPr>
            </w:pPr>
            <w:del w:id="359" w:author="AbbVie2" w:date="2025-05-13T16:36:00Z">
              <w:r w:rsidRPr="000A1E2A">
                <w:rPr>
                  <w:rFonts w:eastAsia="Times New Roman"/>
                  <w:sz w:val="22"/>
                  <w:szCs w:val="22"/>
                </w:rPr>
                <w:delText xml:space="preserve">80 mg na </w:delText>
              </w:r>
              <w:r w:rsidR="002C2941">
                <w:rPr>
                  <w:rFonts w:eastAsia="Times New Roman"/>
                  <w:sz w:val="22"/>
                  <w:szCs w:val="22"/>
                </w:rPr>
                <w:delText>s</w:delText>
              </w:r>
              <w:r w:rsidRPr="000A1E2A">
                <w:rPr>
                  <w:rFonts w:eastAsia="Times New Roman"/>
                  <w:sz w:val="22"/>
                  <w:szCs w:val="22"/>
                </w:rPr>
                <w:delText xml:space="preserve">emana 0 e 40 mg na </w:delText>
              </w:r>
              <w:r w:rsidR="002C2941">
                <w:rPr>
                  <w:rFonts w:eastAsia="Times New Roman"/>
                  <w:sz w:val="22"/>
                  <w:szCs w:val="22"/>
                </w:rPr>
                <w:delText>s</w:delText>
              </w:r>
              <w:r w:rsidRPr="000A1E2A">
                <w:rPr>
                  <w:rFonts w:eastAsia="Times New Roman"/>
                  <w:sz w:val="22"/>
                  <w:szCs w:val="22"/>
                </w:rPr>
                <w:delText>emana 2</w:delText>
              </w:r>
            </w:del>
          </w:p>
        </w:tc>
        <w:tc>
          <w:tcPr>
            <w:tcW w:w="0" w:type="auto"/>
            <w:tcBorders>
              <w:top w:val="single" w:sz="6" w:space="0" w:color="000000"/>
              <w:left w:val="single" w:sz="6" w:space="0" w:color="000000"/>
              <w:bottom w:val="single" w:sz="6" w:space="0" w:color="000000"/>
              <w:right w:val="single" w:sz="6" w:space="0" w:color="000000"/>
            </w:tcBorders>
            <w:hideMark/>
          </w:tcPr>
          <w:p w14:paraId="6570FE38" w14:textId="14F25E77" w:rsidR="0028623F" w:rsidRPr="00AD4F25" w:rsidRDefault="00615769" w:rsidP="002F486F">
            <w:pPr>
              <w:ind w:left="27"/>
              <w:jc w:val="center"/>
              <w:rPr>
                <w:del w:id="360" w:author="AbbVie2" w:date="2025-05-13T16:36:00Z"/>
                <w:rFonts w:eastAsia="Times New Roman"/>
                <w:sz w:val="22"/>
                <w:rPrChange w:id="361" w:author="AbbVie2" w:date="2025-05-14T10:17:00Z">
                  <w:rPr>
                    <w:del w:id="362" w:author="AbbVie2" w:date="2025-05-13T16:36:00Z"/>
                    <w:rFonts w:eastAsia="Times New Roman"/>
                    <w:sz w:val="22"/>
                    <w:lang w:val="en-US"/>
                  </w:rPr>
                </w:rPrChange>
              </w:rPr>
            </w:pPr>
            <w:del w:id="363" w:author="AbbVie2" w:date="2025-05-13T16:36:00Z">
              <w:r w:rsidRPr="00AD4F25">
                <w:rPr>
                  <w:rFonts w:eastAsia="Times New Roman"/>
                  <w:sz w:val="22"/>
                  <w:rPrChange w:id="364" w:author="AbbVie2" w:date="2025-05-14T10:17:00Z">
                    <w:rPr>
                      <w:rFonts w:eastAsia="Times New Roman"/>
                      <w:sz w:val="22"/>
                      <w:lang w:val="en-US"/>
                    </w:rPr>
                  </w:rPrChange>
                </w:rPr>
                <w:delText>20 mg em semanas alternadas</w:delText>
              </w:r>
            </w:del>
          </w:p>
        </w:tc>
      </w:tr>
      <w:tr w:rsidR="00A7162A" w14:paraId="36CE65A6" w14:textId="41040CEC" w:rsidTr="00AB343F">
        <w:trPr>
          <w:del w:id="365" w:author="AbbVie2" w:date="2025-05-13T16:36:00Z"/>
        </w:trPr>
        <w:tc>
          <w:tcPr>
            <w:tcW w:w="0" w:type="auto"/>
            <w:tcBorders>
              <w:top w:val="single" w:sz="6" w:space="0" w:color="000000"/>
              <w:left w:val="single" w:sz="6" w:space="0" w:color="000000"/>
              <w:bottom w:val="single" w:sz="6" w:space="0" w:color="000000"/>
              <w:right w:val="single" w:sz="6" w:space="0" w:color="000000"/>
            </w:tcBorders>
            <w:hideMark/>
          </w:tcPr>
          <w:p w14:paraId="2D5963F2" w14:textId="3C6E4182" w:rsidR="0028623F" w:rsidRPr="00AD4F25" w:rsidRDefault="00615769" w:rsidP="002F486F">
            <w:pPr>
              <w:tabs>
                <w:tab w:val="left" w:pos="562"/>
              </w:tabs>
              <w:suppressAutoHyphens/>
              <w:jc w:val="center"/>
              <w:rPr>
                <w:del w:id="366" w:author="AbbVie2" w:date="2025-05-13T16:36:00Z"/>
                <w:rFonts w:eastAsia="Times New Roman"/>
                <w:sz w:val="22"/>
                <w:rPrChange w:id="367" w:author="AbbVie2" w:date="2025-05-14T10:17:00Z">
                  <w:rPr>
                    <w:del w:id="368" w:author="AbbVie2" w:date="2025-05-13T16:36:00Z"/>
                    <w:rFonts w:eastAsia="Times New Roman"/>
                    <w:sz w:val="22"/>
                    <w:lang w:val="en-US"/>
                  </w:rPr>
                </w:rPrChange>
              </w:rPr>
            </w:pPr>
            <w:del w:id="369" w:author="AbbVie2" w:date="2025-05-13T16:36:00Z">
              <w:r w:rsidRPr="00AD4F25">
                <w:rPr>
                  <w:rFonts w:eastAsia="Times New Roman"/>
                  <w:sz w:val="22"/>
                  <w:rPrChange w:id="370" w:author="AbbVie2" w:date="2025-05-14T10:17:00Z">
                    <w:rPr>
                      <w:rFonts w:eastAsia="Times New Roman"/>
                      <w:sz w:val="22"/>
                      <w:lang w:val="en-US"/>
                    </w:rPr>
                  </w:rPrChange>
                </w:rPr>
                <w:delText>≥ 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595BFBF3" w14:textId="64F4DE54" w:rsidR="0028623F" w:rsidRPr="000A1E2A" w:rsidRDefault="00615769" w:rsidP="002F486F">
            <w:pPr>
              <w:numPr>
                <w:ilvl w:val="0"/>
                <w:numId w:val="140"/>
              </w:numPr>
              <w:tabs>
                <w:tab w:val="left" w:pos="562"/>
              </w:tabs>
              <w:suppressAutoHyphens/>
              <w:ind w:left="307" w:hanging="175"/>
              <w:rPr>
                <w:del w:id="371" w:author="AbbVie2" w:date="2025-05-13T16:36:00Z"/>
                <w:rFonts w:eastAsia="Times New Roman"/>
                <w:sz w:val="22"/>
                <w:szCs w:val="22"/>
              </w:rPr>
            </w:pPr>
            <w:del w:id="372" w:author="AbbVie2" w:date="2025-05-13T16:36:00Z">
              <w:r w:rsidRPr="000A1E2A">
                <w:rPr>
                  <w:rFonts w:eastAsia="Times New Roman"/>
                  <w:sz w:val="22"/>
                  <w:szCs w:val="22"/>
                </w:rPr>
                <w:delText xml:space="preserve">80 mg na semana 0 e 40 mg na </w:delText>
              </w:r>
              <w:r w:rsidR="002C2941">
                <w:rPr>
                  <w:rFonts w:eastAsia="Times New Roman"/>
                  <w:sz w:val="22"/>
                  <w:szCs w:val="22"/>
                </w:rPr>
                <w:delText>s</w:delText>
              </w:r>
              <w:r w:rsidRPr="000A1E2A">
                <w:rPr>
                  <w:rFonts w:eastAsia="Times New Roman"/>
                  <w:sz w:val="22"/>
                  <w:szCs w:val="22"/>
                </w:rPr>
                <w:delText>emana 2</w:delText>
              </w:r>
            </w:del>
          </w:p>
          <w:p w14:paraId="38DD8C98" w14:textId="21021D66" w:rsidR="00AB606B" w:rsidRDefault="00AB606B" w:rsidP="00E03A0D">
            <w:pPr>
              <w:rPr>
                <w:del w:id="373" w:author="AbbVie2" w:date="2025-05-13T16:36:00Z"/>
                <w:sz w:val="22"/>
                <w:szCs w:val="22"/>
              </w:rPr>
            </w:pPr>
          </w:p>
          <w:p w14:paraId="26676B9A" w14:textId="59F640AD" w:rsidR="0028623F" w:rsidRPr="000A1E2A" w:rsidRDefault="00615769" w:rsidP="00E03A0D">
            <w:pPr>
              <w:rPr>
                <w:del w:id="374" w:author="AbbVie2" w:date="2025-05-13T16:36:00Z"/>
                <w:rFonts w:eastAsia="Times New Roman"/>
                <w:sz w:val="22"/>
                <w:szCs w:val="22"/>
              </w:rPr>
            </w:pPr>
            <w:del w:id="375" w:author="AbbVie2" w:date="2025-05-13T16:36:00Z">
              <w:r w:rsidRPr="000A1E2A">
                <w:rPr>
                  <w:sz w:val="22"/>
                  <w:szCs w:val="22"/>
                </w:rPr>
                <w:delText xml:space="preserve">No caso de haver necessidade de uma resposta mais rápida à terapêutica, sendo </w:delText>
              </w:r>
              <w:r w:rsidRPr="008912CF">
                <w:rPr>
                  <w:sz w:val="22"/>
                  <w:szCs w:val="22"/>
                </w:rPr>
                <w:delText>que o risco de acontecimentos adversos pode ser superior com o u</w:delText>
              </w:r>
              <w:r>
                <w:rPr>
                  <w:sz w:val="22"/>
                  <w:szCs w:val="22"/>
                </w:rPr>
                <w:delText>so de uma dose de indução maior, pode ser usada a seguinte dose:</w:delText>
              </w:r>
            </w:del>
          </w:p>
          <w:p w14:paraId="6897B840" w14:textId="2FF6FCA7" w:rsidR="0028623F" w:rsidRPr="000A1E2A" w:rsidRDefault="00615769" w:rsidP="002F486F">
            <w:pPr>
              <w:numPr>
                <w:ilvl w:val="0"/>
                <w:numId w:val="138"/>
              </w:numPr>
              <w:tabs>
                <w:tab w:val="left" w:pos="562"/>
              </w:tabs>
              <w:suppressAutoHyphens/>
              <w:ind w:left="314" w:hanging="187"/>
              <w:rPr>
                <w:del w:id="376" w:author="AbbVie2" w:date="2025-05-13T16:36:00Z"/>
                <w:rFonts w:eastAsia="Times New Roman"/>
                <w:sz w:val="22"/>
                <w:szCs w:val="22"/>
              </w:rPr>
            </w:pPr>
            <w:del w:id="377" w:author="AbbVie2" w:date="2025-05-13T16:36:00Z">
              <w:r w:rsidRPr="000A1E2A">
                <w:rPr>
                  <w:rFonts w:eastAsia="Times New Roman"/>
                  <w:sz w:val="22"/>
                  <w:szCs w:val="22"/>
                </w:rPr>
                <w:delText xml:space="preserve">160 mg na </w:delText>
              </w:r>
              <w:r w:rsidR="002C2941">
                <w:rPr>
                  <w:rFonts w:eastAsia="Times New Roman"/>
                  <w:sz w:val="22"/>
                  <w:szCs w:val="22"/>
                </w:rPr>
                <w:delText>s</w:delText>
              </w:r>
              <w:r w:rsidRPr="000A1E2A">
                <w:rPr>
                  <w:rFonts w:eastAsia="Times New Roman"/>
                  <w:sz w:val="22"/>
                  <w:szCs w:val="22"/>
                </w:rPr>
                <w:delText>emana 0 e 80 mg na semana 2</w:delText>
              </w:r>
            </w:del>
          </w:p>
        </w:tc>
        <w:tc>
          <w:tcPr>
            <w:tcW w:w="0" w:type="auto"/>
            <w:tcBorders>
              <w:top w:val="single" w:sz="6" w:space="0" w:color="000000"/>
              <w:left w:val="single" w:sz="6" w:space="0" w:color="000000"/>
              <w:bottom w:val="single" w:sz="6" w:space="0" w:color="000000"/>
              <w:right w:val="single" w:sz="6" w:space="0" w:color="000000"/>
            </w:tcBorders>
            <w:hideMark/>
          </w:tcPr>
          <w:p w14:paraId="1F847021" w14:textId="31AC7B54" w:rsidR="0028623F" w:rsidRPr="00AD4F25" w:rsidRDefault="00615769" w:rsidP="002F486F">
            <w:pPr>
              <w:ind w:left="36"/>
              <w:jc w:val="center"/>
              <w:rPr>
                <w:del w:id="378" w:author="AbbVie2" w:date="2025-05-13T16:36:00Z"/>
                <w:rFonts w:eastAsia="Times New Roman"/>
                <w:sz w:val="22"/>
                <w:rPrChange w:id="379" w:author="AbbVie2" w:date="2025-05-14T10:17:00Z">
                  <w:rPr>
                    <w:del w:id="380" w:author="AbbVie2" w:date="2025-05-13T16:36:00Z"/>
                    <w:rFonts w:eastAsia="Times New Roman"/>
                    <w:sz w:val="22"/>
                    <w:lang w:val="en-US"/>
                  </w:rPr>
                </w:rPrChange>
              </w:rPr>
            </w:pPr>
            <w:del w:id="381" w:author="AbbVie2" w:date="2025-05-13T16:36:00Z">
              <w:r w:rsidRPr="00AD4F25">
                <w:rPr>
                  <w:rFonts w:eastAsia="Times New Roman"/>
                  <w:sz w:val="22"/>
                  <w:rPrChange w:id="382" w:author="AbbVie2" w:date="2025-05-14T10:17:00Z">
                    <w:rPr>
                      <w:rFonts w:eastAsia="Times New Roman"/>
                      <w:sz w:val="22"/>
                      <w:lang w:val="en-US"/>
                    </w:rPr>
                  </w:rPrChange>
                </w:rPr>
                <w:delText>40 mg em semanas alternadas</w:delText>
              </w:r>
            </w:del>
          </w:p>
        </w:tc>
      </w:tr>
    </w:tbl>
    <w:p w14:paraId="271E6BF8" w14:textId="5370978B" w:rsidR="0028623F" w:rsidRPr="00AD4F25" w:rsidRDefault="0028623F" w:rsidP="0028623F">
      <w:pPr>
        <w:keepNext/>
        <w:tabs>
          <w:tab w:val="left" w:pos="562"/>
        </w:tabs>
        <w:suppressAutoHyphens/>
        <w:rPr>
          <w:del w:id="383" w:author="AbbVie2" w:date="2025-05-13T16:36:00Z"/>
          <w:rFonts w:eastAsia="Times New Roman"/>
          <w:sz w:val="22"/>
          <w:rPrChange w:id="384" w:author="AbbVie2" w:date="2025-05-14T10:17:00Z">
            <w:rPr>
              <w:del w:id="385" w:author="AbbVie2" w:date="2025-05-13T16:36:00Z"/>
              <w:rFonts w:eastAsia="Times New Roman"/>
              <w:sz w:val="22"/>
              <w:lang w:val="en-GB"/>
            </w:rPr>
          </w:rPrChange>
        </w:rPr>
      </w:pPr>
    </w:p>
    <w:p w14:paraId="5520DAB1" w14:textId="6DC98544" w:rsidR="0028623F" w:rsidRPr="000A1E2A" w:rsidRDefault="00615769" w:rsidP="0028623F">
      <w:pPr>
        <w:keepNext/>
        <w:tabs>
          <w:tab w:val="left" w:pos="562"/>
        </w:tabs>
        <w:suppressAutoHyphens/>
        <w:rPr>
          <w:del w:id="386" w:author="AbbVie2" w:date="2025-05-13T16:36:00Z"/>
          <w:rFonts w:eastAsia="Times New Roman"/>
          <w:sz w:val="22"/>
        </w:rPr>
      </w:pPr>
      <w:del w:id="387" w:author="AbbVie2" w:date="2025-05-13T16:36:00Z">
        <w:r>
          <w:rPr>
            <w:sz w:val="22"/>
            <w:szCs w:val="22"/>
          </w:rPr>
          <w:delText xml:space="preserve">Os </w:delText>
        </w:r>
        <w:r w:rsidRPr="008912CF">
          <w:rPr>
            <w:sz w:val="22"/>
            <w:szCs w:val="22"/>
          </w:rPr>
          <w:delText>doentes que apresentarem resposta terapêutica insuficiente, podem beneficiar de um aumento da dose</w:delText>
        </w:r>
        <w:r>
          <w:rPr>
            <w:sz w:val="22"/>
            <w:szCs w:val="22"/>
          </w:rPr>
          <w:delText>:</w:delText>
        </w:r>
      </w:del>
    </w:p>
    <w:p w14:paraId="68728AB8" w14:textId="4E785242" w:rsidR="0028623F" w:rsidRPr="00AD4F25" w:rsidRDefault="00615769" w:rsidP="0028623F">
      <w:pPr>
        <w:keepNext/>
        <w:numPr>
          <w:ilvl w:val="0"/>
          <w:numId w:val="138"/>
        </w:numPr>
        <w:tabs>
          <w:tab w:val="left" w:pos="540"/>
        </w:tabs>
        <w:suppressAutoHyphens/>
        <w:ind w:left="540" w:hanging="540"/>
        <w:rPr>
          <w:del w:id="388" w:author="AbbVie2" w:date="2025-05-13T16:36:00Z"/>
          <w:rFonts w:eastAsia="Times New Roman"/>
          <w:sz w:val="22"/>
          <w:rPrChange w:id="389" w:author="AbbVie2" w:date="2025-05-14T10:17:00Z">
            <w:rPr>
              <w:del w:id="390" w:author="AbbVie2" w:date="2025-05-13T16:36:00Z"/>
              <w:rFonts w:eastAsia="Times New Roman"/>
              <w:sz w:val="22"/>
              <w:lang w:val="en-GB"/>
            </w:rPr>
          </w:rPrChange>
        </w:rPr>
      </w:pPr>
      <w:del w:id="391" w:author="AbbVie2" w:date="2025-05-13T16:36:00Z">
        <w:r w:rsidRPr="00AD4F25">
          <w:rPr>
            <w:rFonts w:eastAsia="Times New Roman"/>
            <w:sz w:val="22"/>
            <w:rPrChange w:id="392" w:author="AbbVie2" w:date="2025-05-14T10:17:00Z">
              <w:rPr>
                <w:rFonts w:eastAsia="Times New Roman"/>
                <w:sz w:val="22"/>
                <w:lang w:val="en-GB"/>
              </w:rPr>
            </w:rPrChange>
          </w:rPr>
          <w:delText>&lt; 40 kg: 20 mg todas as semanas</w:delText>
        </w:r>
      </w:del>
    </w:p>
    <w:p w14:paraId="0D40AD8F" w14:textId="4A6E9FD3" w:rsidR="0028623F" w:rsidRPr="00AA7352" w:rsidRDefault="00615769" w:rsidP="0028623F">
      <w:pPr>
        <w:keepNext/>
        <w:numPr>
          <w:ilvl w:val="0"/>
          <w:numId w:val="138"/>
        </w:numPr>
        <w:tabs>
          <w:tab w:val="left" w:pos="540"/>
        </w:tabs>
        <w:suppressAutoHyphens/>
        <w:ind w:left="540" w:hanging="540"/>
        <w:rPr>
          <w:del w:id="393" w:author="AbbVie2" w:date="2025-05-13T16:36:00Z"/>
          <w:rFonts w:eastAsia="Times New Roman"/>
          <w:sz w:val="22"/>
        </w:rPr>
      </w:pPr>
      <w:del w:id="394" w:author="AbbVie2" w:date="2025-05-13T16:36:00Z">
        <w:r w:rsidRPr="00AA7352">
          <w:rPr>
            <w:rFonts w:eastAsia="Times New Roman"/>
            <w:sz w:val="22"/>
          </w:rPr>
          <w:delText>≥ 40 kg: 40 mg todas as semanas</w:delText>
        </w:r>
        <w:r w:rsidR="004F021E" w:rsidRPr="00AA7352">
          <w:rPr>
            <w:rFonts w:eastAsia="Times New Roman"/>
            <w:sz w:val="22"/>
          </w:rPr>
          <w:delText xml:space="preserve"> ou 80 mg em semanas alternadas</w:delText>
        </w:r>
      </w:del>
    </w:p>
    <w:p w14:paraId="054EEBF8" w14:textId="10F63966" w:rsidR="004462A0" w:rsidRPr="008912CF" w:rsidRDefault="004462A0" w:rsidP="004462A0">
      <w:pPr>
        <w:rPr>
          <w:del w:id="395" w:author="AbbVie2" w:date="2025-05-13T16:36:00Z"/>
          <w:bCs/>
          <w:iCs/>
          <w:sz w:val="22"/>
          <w:szCs w:val="22"/>
        </w:rPr>
      </w:pPr>
    </w:p>
    <w:p w14:paraId="3FBF323B" w14:textId="3E66333A" w:rsidR="004462A0" w:rsidRPr="008912CF" w:rsidRDefault="00615769" w:rsidP="004462A0">
      <w:pPr>
        <w:rPr>
          <w:del w:id="396" w:author="AbbVie2" w:date="2025-05-13T16:36:00Z"/>
          <w:bCs/>
          <w:iCs/>
          <w:sz w:val="22"/>
          <w:szCs w:val="22"/>
        </w:rPr>
      </w:pPr>
      <w:del w:id="397" w:author="AbbVie2" w:date="2025-05-13T16:36:00Z">
        <w:r w:rsidRPr="008912CF">
          <w:rPr>
            <w:bCs/>
            <w:iCs/>
            <w:sz w:val="22"/>
            <w:szCs w:val="22"/>
          </w:rPr>
          <w:delText xml:space="preserve">Uma terapêutica continuada deve ser cuidadosamente reconsiderada nos doentes que não responderam até à </w:delText>
        </w:r>
        <w:r w:rsidR="002C2941">
          <w:rPr>
            <w:bCs/>
            <w:iCs/>
            <w:sz w:val="22"/>
            <w:szCs w:val="22"/>
          </w:rPr>
          <w:delText>s</w:delText>
        </w:r>
        <w:r w:rsidRPr="008912CF">
          <w:rPr>
            <w:bCs/>
            <w:iCs/>
            <w:sz w:val="22"/>
            <w:szCs w:val="22"/>
          </w:rPr>
          <w:delText>emana</w:delText>
        </w:r>
        <w:r>
          <w:rPr>
            <w:bCs/>
            <w:iCs/>
            <w:sz w:val="22"/>
            <w:szCs w:val="22"/>
          </w:rPr>
          <w:delText> </w:delText>
        </w:r>
        <w:r w:rsidRPr="008912CF">
          <w:rPr>
            <w:bCs/>
            <w:iCs/>
            <w:sz w:val="22"/>
            <w:szCs w:val="22"/>
          </w:rPr>
          <w:delText>12.</w:delText>
        </w:r>
      </w:del>
    </w:p>
    <w:p w14:paraId="24F6D08F" w14:textId="71C806E4" w:rsidR="004462A0" w:rsidRPr="008912CF" w:rsidRDefault="004462A0" w:rsidP="004462A0">
      <w:pPr>
        <w:rPr>
          <w:del w:id="398" w:author="AbbVie2" w:date="2025-05-13T16:36:00Z"/>
          <w:bCs/>
          <w:iCs/>
          <w:sz w:val="22"/>
          <w:szCs w:val="22"/>
        </w:rPr>
      </w:pPr>
    </w:p>
    <w:p w14:paraId="2BABD099" w14:textId="2D6A6BB8" w:rsidR="004462A0" w:rsidRPr="008912CF" w:rsidRDefault="00615769" w:rsidP="004462A0">
      <w:pPr>
        <w:rPr>
          <w:del w:id="399" w:author="AbbVie2" w:date="2025-05-13T16:36:00Z"/>
          <w:sz w:val="22"/>
          <w:szCs w:val="22"/>
        </w:rPr>
      </w:pPr>
      <w:del w:id="400" w:author="AbbVie2" w:date="2025-05-13T16:36:00Z">
        <w:r w:rsidRPr="008912CF">
          <w:rPr>
            <w:sz w:val="22"/>
            <w:szCs w:val="22"/>
          </w:rPr>
          <w:delText xml:space="preserve">Não existe utilização relevante de Humira em crianças com menos de </w:delText>
        </w:r>
        <w:r>
          <w:rPr>
            <w:sz w:val="22"/>
            <w:szCs w:val="22"/>
          </w:rPr>
          <w:delText>6</w:delText>
        </w:r>
        <w:r w:rsidRPr="008912CF">
          <w:rPr>
            <w:sz w:val="22"/>
            <w:szCs w:val="22"/>
          </w:rPr>
          <w:delText xml:space="preserve"> anos, para esta indicação.</w:delText>
        </w:r>
      </w:del>
    </w:p>
    <w:p w14:paraId="796E3E77" w14:textId="66B34A68" w:rsidR="007B1EB2" w:rsidRDefault="007B1EB2" w:rsidP="007B1EB2">
      <w:pPr>
        <w:rPr>
          <w:del w:id="401" w:author="AbbVie2" w:date="2025-05-13T16:36:00Z"/>
          <w:bCs/>
          <w:iCs/>
          <w:sz w:val="22"/>
          <w:szCs w:val="22"/>
        </w:rPr>
      </w:pPr>
    </w:p>
    <w:p w14:paraId="155F66FA" w14:textId="675F2422" w:rsidR="004F021E" w:rsidRDefault="00615769" w:rsidP="00AA7352">
      <w:pPr>
        <w:pStyle w:val="BodyText2"/>
        <w:autoSpaceDE/>
        <w:autoSpaceDN/>
        <w:adjustRightInd/>
        <w:rPr>
          <w:del w:id="402" w:author="AbbVie2" w:date="2025-05-13T16:36:00Z"/>
          <w:bCs/>
          <w:iCs/>
          <w:szCs w:val="22"/>
        </w:rPr>
      </w:pPr>
      <w:del w:id="403" w:author="AbbVie2" w:date="2025-05-13T16:36:00Z">
        <w:r>
          <w:rPr>
            <w:szCs w:val="22"/>
          </w:rPr>
          <w:delText xml:space="preserve">Humira pode estar disponível em outras dosagens e/ou apresentações dependendo das necessidades de cada doente. </w:delText>
        </w:r>
      </w:del>
    </w:p>
    <w:p w14:paraId="07FE2F29" w14:textId="47FA1A92" w:rsidR="004F021E" w:rsidRDefault="004F021E" w:rsidP="007B1EB2">
      <w:pPr>
        <w:rPr>
          <w:del w:id="404" w:author="AbbVie2" w:date="2025-05-13T16:36:00Z"/>
          <w:bCs/>
          <w:iCs/>
          <w:sz w:val="22"/>
          <w:szCs w:val="22"/>
        </w:rPr>
      </w:pPr>
    </w:p>
    <w:p w14:paraId="3D63DD0F" w14:textId="2E15189C" w:rsidR="00785885" w:rsidRPr="00785885" w:rsidRDefault="00615769" w:rsidP="00785885">
      <w:pPr>
        <w:rPr>
          <w:del w:id="405" w:author="AbbVie2" w:date="2025-05-13T16:36:00Z"/>
          <w:b/>
          <w:sz w:val="22"/>
          <w:szCs w:val="22"/>
        </w:rPr>
      </w:pPr>
      <w:del w:id="406" w:author="AbbVie2" w:date="2025-05-13T16:36:00Z">
        <w:r w:rsidRPr="00785885">
          <w:rPr>
            <w:i/>
            <w:sz w:val="22"/>
            <w:szCs w:val="22"/>
          </w:rPr>
          <w:delText xml:space="preserve">Colite ulcerosa pediátrica </w:delText>
        </w:r>
      </w:del>
    </w:p>
    <w:p w14:paraId="3B2465E3" w14:textId="7A5DD9B5" w:rsidR="00785885" w:rsidRPr="00785885" w:rsidRDefault="00785885" w:rsidP="00785885">
      <w:pPr>
        <w:rPr>
          <w:del w:id="407" w:author="AbbVie2" w:date="2025-05-13T16:36:00Z"/>
          <w:sz w:val="22"/>
          <w:szCs w:val="22"/>
        </w:rPr>
      </w:pPr>
    </w:p>
    <w:p w14:paraId="7E657C58" w14:textId="61C97CFD" w:rsidR="00785885" w:rsidRPr="008D6D3A" w:rsidRDefault="00615769" w:rsidP="00785885">
      <w:pPr>
        <w:rPr>
          <w:del w:id="408" w:author="AbbVie2" w:date="2025-05-13T16:36:00Z"/>
          <w:sz w:val="22"/>
          <w:szCs w:val="22"/>
        </w:rPr>
      </w:pPr>
      <w:del w:id="409" w:author="AbbVie2" w:date="2025-05-13T16:36:00Z">
        <w:r w:rsidRPr="00785885">
          <w:rPr>
            <w:sz w:val="22"/>
            <w:szCs w:val="22"/>
          </w:rPr>
          <w:delText xml:space="preserve">A dose recomendada de Humira em doentes com colite ulcerosa, com idades compreendidas entre os 6 e os 17 anos, é baseada no peso corporal (Tabela 5). </w:delText>
        </w:r>
        <w:r w:rsidRPr="008D6D3A">
          <w:rPr>
            <w:sz w:val="22"/>
            <w:szCs w:val="22"/>
          </w:rPr>
          <w:delText xml:space="preserve">Humira é administrado por injeção subcutânea. </w:delText>
        </w:r>
      </w:del>
    </w:p>
    <w:p w14:paraId="166035BB" w14:textId="09CCD346" w:rsidR="00785885" w:rsidRPr="008D6D3A" w:rsidRDefault="00785885" w:rsidP="00785885">
      <w:pPr>
        <w:rPr>
          <w:del w:id="410" w:author="AbbVie2" w:date="2025-05-13T16:36:00Z"/>
          <w:sz w:val="22"/>
          <w:szCs w:val="22"/>
        </w:rPr>
      </w:pPr>
    </w:p>
    <w:p w14:paraId="03FA00DB" w14:textId="50B1C803" w:rsidR="002F486F" w:rsidRPr="00997376" w:rsidRDefault="00615769" w:rsidP="002F486F">
      <w:pPr>
        <w:keepNext/>
        <w:jc w:val="center"/>
        <w:rPr>
          <w:del w:id="411" w:author="AbbVie2" w:date="2025-05-13T16:36:00Z"/>
          <w:sz w:val="22"/>
          <w:szCs w:val="22"/>
        </w:rPr>
      </w:pPr>
      <w:del w:id="412" w:author="AbbVie2" w:date="2025-05-13T16:36:00Z">
        <w:r w:rsidRPr="008D6D3A">
          <w:rPr>
            <w:b/>
            <w:sz w:val="22"/>
            <w:szCs w:val="22"/>
          </w:rPr>
          <w:delText xml:space="preserve">Tabela 5. </w:delText>
        </w:r>
        <w:r w:rsidRPr="00997376">
          <w:rPr>
            <w:b/>
            <w:sz w:val="22"/>
            <w:szCs w:val="22"/>
          </w:rPr>
          <w:delText xml:space="preserve">Dose de Humira em </w:delText>
        </w:r>
        <w:r>
          <w:rPr>
            <w:b/>
            <w:sz w:val="22"/>
            <w:szCs w:val="22"/>
          </w:rPr>
          <w:delText>D</w:delText>
        </w:r>
        <w:r w:rsidRPr="00997376">
          <w:rPr>
            <w:b/>
            <w:sz w:val="22"/>
            <w:szCs w:val="22"/>
          </w:rPr>
          <w:delText xml:space="preserve">oentes </w:delText>
        </w:r>
        <w:r>
          <w:rPr>
            <w:b/>
            <w:sz w:val="22"/>
            <w:szCs w:val="22"/>
          </w:rPr>
          <w:delText>P</w:delText>
        </w:r>
        <w:r w:rsidRPr="00997376">
          <w:rPr>
            <w:b/>
            <w:sz w:val="22"/>
            <w:szCs w:val="22"/>
          </w:rPr>
          <w:delText xml:space="preserve">ediátricos com </w:delText>
        </w:r>
        <w:r>
          <w:rPr>
            <w:b/>
            <w:sz w:val="22"/>
            <w:szCs w:val="22"/>
          </w:rPr>
          <w:delText>C</w:delText>
        </w:r>
        <w:r w:rsidRPr="00997376">
          <w:rPr>
            <w:b/>
            <w:sz w:val="22"/>
            <w:szCs w:val="22"/>
          </w:rPr>
          <w:delText xml:space="preserve">olite </w:delText>
        </w:r>
        <w:r>
          <w:rPr>
            <w:b/>
            <w:sz w:val="22"/>
            <w:szCs w:val="22"/>
          </w:rPr>
          <w:delText>U</w:delText>
        </w:r>
        <w:r w:rsidRPr="00997376">
          <w:rPr>
            <w:b/>
            <w:sz w:val="22"/>
            <w:szCs w:val="22"/>
          </w:rPr>
          <w:delText xml:space="preserve">lcerosa </w:delText>
        </w:r>
      </w:del>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4"/>
        <w:gridCol w:w="3322"/>
        <w:gridCol w:w="3158"/>
      </w:tblGrid>
      <w:tr w:rsidR="00A7162A" w14:paraId="06D2574F" w14:textId="297859B0" w:rsidTr="00D105CA">
        <w:trPr>
          <w:jc w:val="center"/>
          <w:del w:id="413" w:author="AbbVie2" w:date="2025-05-13T16:36:00Z"/>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8FF94B2" w14:textId="31AB7375" w:rsidR="00785885" w:rsidRPr="00AD4F25" w:rsidRDefault="00615769" w:rsidP="00D105CA">
            <w:pPr>
              <w:jc w:val="center"/>
              <w:rPr>
                <w:del w:id="414" w:author="AbbVie2" w:date="2025-05-13T16:36:00Z"/>
                <w:b/>
                <w:sz w:val="22"/>
                <w:szCs w:val="22"/>
                <w:rPrChange w:id="415" w:author="AbbVie2" w:date="2025-05-14T10:17:00Z">
                  <w:rPr>
                    <w:del w:id="416" w:author="AbbVie2" w:date="2025-05-13T16:36:00Z"/>
                    <w:b/>
                    <w:sz w:val="22"/>
                    <w:szCs w:val="22"/>
                    <w:lang w:val="en-US"/>
                  </w:rPr>
                </w:rPrChange>
              </w:rPr>
            </w:pPr>
            <w:del w:id="417" w:author="AbbVie2" w:date="2025-05-13T16:36:00Z">
              <w:r w:rsidRPr="00AD4F25">
                <w:rPr>
                  <w:b/>
                  <w:sz w:val="22"/>
                  <w:szCs w:val="22"/>
                  <w:rPrChange w:id="418" w:author="AbbVie2" w:date="2025-05-14T10:17:00Z">
                    <w:rPr>
                      <w:b/>
                      <w:sz w:val="22"/>
                      <w:szCs w:val="22"/>
                      <w:lang w:val="en-US"/>
                    </w:rPr>
                  </w:rPrChange>
                </w:rPr>
                <w:delText xml:space="preserve">Peso do </w:delText>
              </w:r>
              <w:r w:rsidR="002F486F" w:rsidRPr="00AD4F25">
                <w:rPr>
                  <w:b/>
                  <w:sz w:val="22"/>
                  <w:szCs w:val="22"/>
                  <w:rPrChange w:id="419" w:author="AbbVie2" w:date="2025-05-14T10:17:00Z">
                    <w:rPr>
                      <w:b/>
                      <w:sz w:val="22"/>
                      <w:szCs w:val="22"/>
                      <w:lang w:val="en-US"/>
                    </w:rPr>
                  </w:rPrChange>
                </w:rPr>
                <w:delText>Doente</w:delText>
              </w:r>
            </w:del>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6FF840E9" w14:textId="07EB602A" w:rsidR="00785885" w:rsidRPr="00AD4F25" w:rsidRDefault="00615769" w:rsidP="00D105CA">
            <w:pPr>
              <w:jc w:val="center"/>
              <w:rPr>
                <w:del w:id="420" w:author="AbbVie2" w:date="2025-05-13T16:36:00Z"/>
                <w:b/>
                <w:sz w:val="22"/>
                <w:szCs w:val="22"/>
                <w:rPrChange w:id="421" w:author="AbbVie2" w:date="2025-05-14T10:17:00Z">
                  <w:rPr>
                    <w:del w:id="422" w:author="AbbVie2" w:date="2025-05-13T16:36:00Z"/>
                    <w:b/>
                    <w:sz w:val="22"/>
                    <w:szCs w:val="22"/>
                    <w:lang w:val="en-US"/>
                  </w:rPr>
                </w:rPrChange>
              </w:rPr>
            </w:pPr>
            <w:del w:id="423" w:author="AbbVie2" w:date="2025-05-13T16:36:00Z">
              <w:r w:rsidRPr="00AD4F25">
                <w:rPr>
                  <w:b/>
                  <w:sz w:val="22"/>
                  <w:szCs w:val="22"/>
                  <w:rPrChange w:id="424" w:author="AbbVie2" w:date="2025-05-14T10:17:00Z">
                    <w:rPr>
                      <w:b/>
                      <w:sz w:val="22"/>
                      <w:szCs w:val="22"/>
                      <w:lang w:val="en-US"/>
                    </w:rPr>
                  </w:rPrChange>
                </w:rPr>
                <w:delText xml:space="preserve">Dose de </w:delText>
              </w:r>
              <w:r w:rsidR="00A56D1E" w:rsidRPr="00AD4F25">
                <w:rPr>
                  <w:b/>
                  <w:sz w:val="22"/>
                  <w:szCs w:val="22"/>
                  <w:rPrChange w:id="425" w:author="AbbVie2" w:date="2025-05-14T10:17:00Z">
                    <w:rPr>
                      <w:b/>
                      <w:sz w:val="22"/>
                      <w:szCs w:val="22"/>
                      <w:lang w:val="en-US"/>
                    </w:rPr>
                  </w:rPrChange>
                </w:rPr>
                <w:delText>I</w:delText>
              </w:r>
              <w:r w:rsidRPr="00AD4F25">
                <w:rPr>
                  <w:b/>
                  <w:sz w:val="22"/>
                  <w:szCs w:val="22"/>
                  <w:rPrChange w:id="426" w:author="AbbVie2" w:date="2025-05-14T10:17:00Z">
                    <w:rPr>
                      <w:b/>
                      <w:sz w:val="22"/>
                      <w:szCs w:val="22"/>
                      <w:lang w:val="en-US"/>
                    </w:rPr>
                  </w:rPrChange>
                </w:rPr>
                <w:delText>ndução</w:delText>
              </w:r>
            </w:del>
          </w:p>
        </w:tc>
        <w:tc>
          <w:tcPr>
            <w:tcW w:w="1906" w:type="pct"/>
            <w:tcBorders>
              <w:top w:val="single" w:sz="6" w:space="0" w:color="000000"/>
              <w:left w:val="single" w:sz="6" w:space="0" w:color="000000"/>
              <w:bottom w:val="single" w:sz="6" w:space="0" w:color="000000"/>
              <w:right w:val="single" w:sz="6" w:space="0" w:color="000000"/>
            </w:tcBorders>
            <w:hideMark/>
          </w:tcPr>
          <w:p w14:paraId="21DF1917" w14:textId="6569DE0C" w:rsidR="00785885" w:rsidRPr="00997376" w:rsidRDefault="00615769" w:rsidP="00785885">
            <w:pPr>
              <w:jc w:val="center"/>
              <w:rPr>
                <w:del w:id="427" w:author="AbbVie2" w:date="2025-05-13T16:36:00Z"/>
                <w:b/>
                <w:sz w:val="22"/>
                <w:szCs w:val="22"/>
              </w:rPr>
            </w:pPr>
            <w:del w:id="428" w:author="AbbVie2" w:date="2025-05-13T16:36:00Z">
              <w:r w:rsidRPr="00997376">
                <w:rPr>
                  <w:b/>
                  <w:sz w:val="22"/>
                  <w:szCs w:val="22"/>
                </w:rPr>
                <w:delText xml:space="preserve">Dose de </w:delText>
              </w:r>
              <w:r w:rsidR="00A56D1E">
                <w:rPr>
                  <w:b/>
                  <w:sz w:val="22"/>
                  <w:szCs w:val="22"/>
                </w:rPr>
                <w:delText>M</w:delText>
              </w:r>
              <w:r w:rsidRPr="00997376">
                <w:rPr>
                  <w:b/>
                  <w:sz w:val="22"/>
                  <w:szCs w:val="22"/>
                </w:rPr>
                <w:delText>anutenção</w:delText>
              </w:r>
              <w:r w:rsidRPr="00785885">
                <w:rPr>
                  <w:b/>
                </w:rPr>
                <w:br/>
              </w:r>
              <w:r w:rsidRPr="00997376">
                <w:rPr>
                  <w:b/>
                  <w:sz w:val="22"/>
                  <w:szCs w:val="22"/>
                </w:rPr>
                <w:delText xml:space="preserve">com </w:delText>
              </w:r>
              <w:r w:rsidR="00A56D1E">
                <w:rPr>
                  <w:b/>
                  <w:sz w:val="22"/>
                  <w:szCs w:val="22"/>
                </w:rPr>
                <w:delText>I</w:delText>
              </w:r>
              <w:r w:rsidRPr="00997376">
                <w:rPr>
                  <w:b/>
                  <w:sz w:val="22"/>
                  <w:szCs w:val="22"/>
                </w:rPr>
                <w:delText>nício na Semana 4*</w:delText>
              </w:r>
            </w:del>
          </w:p>
        </w:tc>
      </w:tr>
      <w:tr w:rsidR="00A7162A" w14:paraId="1AC228A5" w14:textId="78BD2E8B" w:rsidTr="00D105CA">
        <w:trPr>
          <w:jc w:val="center"/>
          <w:del w:id="429" w:author="AbbVie2" w:date="2025-05-13T16:36:00Z"/>
        </w:trPr>
        <w:tc>
          <w:tcPr>
            <w:tcW w:w="0" w:type="auto"/>
            <w:tcBorders>
              <w:top w:val="single" w:sz="6" w:space="0" w:color="000000"/>
              <w:left w:val="single" w:sz="6" w:space="0" w:color="000000"/>
              <w:bottom w:val="single" w:sz="6" w:space="0" w:color="000000"/>
              <w:right w:val="single" w:sz="6" w:space="0" w:color="000000"/>
            </w:tcBorders>
            <w:hideMark/>
          </w:tcPr>
          <w:p w14:paraId="4E6C1DE8" w14:textId="18197C3D" w:rsidR="00785885" w:rsidRPr="00AD4F25" w:rsidRDefault="00615769" w:rsidP="00D105CA">
            <w:pPr>
              <w:jc w:val="center"/>
              <w:rPr>
                <w:del w:id="430" w:author="AbbVie2" w:date="2025-05-13T16:36:00Z"/>
                <w:sz w:val="22"/>
                <w:szCs w:val="22"/>
                <w:rPrChange w:id="431" w:author="AbbVie2" w:date="2025-05-14T10:17:00Z">
                  <w:rPr>
                    <w:del w:id="432" w:author="AbbVie2" w:date="2025-05-13T16:36:00Z"/>
                    <w:sz w:val="22"/>
                    <w:szCs w:val="22"/>
                    <w:lang w:val="en-US"/>
                  </w:rPr>
                </w:rPrChange>
              </w:rPr>
            </w:pPr>
            <w:del w:id="433" w:author="AbbVie2" w:date="2025-05-13T16:36:00Z">
              <w:r w:rsidRPr="00AD4F25">
                <w:rPr>
                  <w:sz w:val="22"/>
                  <w:szCs w:val="22"/>
                  <w:rPrChange w:id="434" w:author="AbbVie2" w:date="2025-05-14T10:17:00Z">
                    <w:rPr>
                      <w:sz w:val="22"/>
                      <w:szCs w:val="22"/>
                      <w:lang w:val="en-US"/>
                    </w:rPr>
                  </w:rPrChange>
                </w:rPr>
                <w:delText>&lt; 40 kg</w:delText>
              </w:r>
            </w:del>
          </w:p>
        </w:tc>
        <w:tc>
          <w:tcPr>
            <w:tcW w:w="2005" w:type="pct"/>
            <w:tcBorders>
              <w:top w:val="single" w:sz="6" w:space="0" w:color="000000"/>
              <w:left w:val="single" w:sz="6" w:space="0" w:color="000000"/>
              <w:bottom w:val="single" w:sz="6" w:space="0" w:color="000000"/>
              <w:right w:val="single" w:sz="6" w:space="0" w:color="000000"/>
            </w:tcBorders>
            <w:hideMark/>
          </w:tcPr>
          <w:p w14:paraId="24C42D91" w14:textId="3F40FF61" w:rsidR="00785885" w:rsidRPr="00997376" w:rsidRDefault="00615769" w:rsidP="00785885">
            <w:pPr>
              <w:numPr>
                <w:ilvl w:val="0"/>
                <w:numId w:val="179"/>
              </w:numPr>
              <w:ind w:left="360" w:hanging="210"/>
              <w:rPr>
                <w:del w:id="435" w:author="AbbVie2" w:date="2025-05-13T16:36:00Z"/>
                <w:sz w:val="22"/>
                <w:szCs w:val="22"/>
              </w:rPr>
            </w:pPr>
            <w:del w:id="436" w:author="AbbVie2" w:date="2025-05-13T16:36:00Z">
              <w:r w:rsidRPr="00997376">
                <w:rPr>
                  <w:sz w:val="22"/>
                  <w:szCs w:val="22"/>
                </w:rPr>
                <w:delText xml:space="preserve">80 mg na Semana 0 (administrada em duas injeções de 40 mg num dia) </w:delText>
              </w:r>
              <w:r>
                <w:rPr>
                  <w:sz w:val="22"/>
                  <w:szCs w:val="22"/>
                </w:rPr>
                <w:delText>e</w:delText>
              </w:r>
            </w:del>
          </w:p>
          <w:p w14:paraId="1514D6D1" w14:textId="5FAF37A2" w:rsidR="00785885" w:rsidRPr="00997376" w:rsidRDefault="00615769" w:rsidP="00997376">
            <w:pPr>
              <w:numPr>
                <w:ilvl w:val="0"/>
                <w:numId w:val="179"/>
              </w:numPr>
              <w:ind w:left="360" w:hanging="210"/>
              <w:rPr>
                <w:del w:id="437" w:author="AbbVie2" w:date="2025-05-13T16:36:00Z"/>
                <w:sz w:val="22"/>
                <w:szCs w:val="22"/>
              </w:rPr>
            </w:pPr>
            <w:del w:id="438" w:author="AbbVie2" w:date="2025-05-13T16:36:00Z">
              <w:r w:rsidRPr="00997376">
                <w:rPr>
                  <w:sz w:val="22"/>
                  <w:szCs w:val="22"/>
                </w:rPr>
                <w:delText>40 mg na Semana 2 (adm</w:delText>
              </w:r>
              <w:r w:rsidR="00997376" w:rsidRPr="00997376">
                <w:rPr>
                  <w:sz w:val="22"/>
                  <w:szCs w:val="22"/>
                </w:rPr>
                <w:delText>inistrada numa injeção de 40 mg</w:delText>
              </w:r>
              <w:r w:rsidRPr="00997376">
                <w:rPr>
                  <w:sz w:val="22"/>
                  <w:szCs w:val="22"/>
                </w:rPr>
                <w:delText>)</w:delText>
              </w:r>
            </w:del>
          </w:p>
        </w:tc>
        <w:tc>
          <w:tcPr>
            <w:tcW w:w="1906" w:type="pct"/>
            <w:tcBorders>
              <w:top w:val="single" w:sz="6" w:space="0" w:color="000000"/>
              <w:left w:val="single" w:sz="6" w:space="0" w:color="000000"/>
              <w:bottom w:val="single" w:sz="6" w:space="0" w:color="000000"/>
              <w:right w:val="single" w:sz="6" w:space="0" w:color="000000"/>
            </w:tcBorders>
            <w:hideMark/>
          </w:tcPr>
          <w:p w14:paraId="5B81B9CF" w14:textId="7F158C88" w:rsidR="00785885" w:rsidRPr="00997376" w:rsidRDefault="00615769" w:rsidP="00997376">
            <w:pPr>
              <w:numPr>
                <w:ilvl w:val="0"/>
                <w:numId w:val="179"/>
              </w:numPr>
              <w:ind w:left="360" w:hanging="210"/>
              <w:rPr>
                <w:del w:id="439" w:author="AbbVie2" w:date="2025-05-13T16:36:00Z"/>
                <w:sz w:val="22"/>
                <w:szCs w:val="22"/>
              </w:rPr>
            </w:pPr>
            <w:del w:id="440" w:author="AbbVie2" w:date="2025-05-13T16:36:00Z">
              <w:r w:rsidRPr="00AD4F25">
                <w:rPr>
                  <w:sz w:val="22"/>
                  <w:szCs w:val="22"/>
                  <w:rPrChange w:id="441" w:author="AbbVie2" w:date="2025-05-14T10:17:00Z">
                    <w:rPr>
                      <w:sz w:val="22"/>
                      <w:szCs w:val="22"/>
                      <w:lang w:val="en-US"/>
                    </w:rPr>
                  </w:rPrChange>
                </w:rPr>
                <w:delText>40 mg em semanas alternadas</w:delText>
              </w:r>
            </w:del>
          </w:p>
        </w:tc>
      </w:tr>
      <w:tr w:rsidR="00A7162A" w14:paraId="1865B98A" w14:textId="37E99505" w:rsidTr="00D105CA">
        <w:trPr>
          <w:jc w:val="center"/>
          <w:del w:id="442" w:author="AbbVie2" w:date="2025-05-13T16:36:00Z"/>
        </w:trPr>
        <w:tc>
          <w:tcPr>
            <w:tcW w:w="0" w:type="auto"/>
            <w:tcBorders>
              <w:top w:val="single" w:sz="6" w:space="0" w:color="000000"/>
              <w:left w:val="single" w:sz="6" w:space="0" w:color="000000"/>
              <w:bottom w:val="single" w:sz="4" w:space="0" w:color="auto"/>
              <w:right w:val="single" w:sz="6" w:space="0" w:color="000000"/>
            </w:tcBorders>
            <w:hideMark/>
          </w:tcPr>
          <w:p w14:paraId="259E11BE" w14:textId="4706B427" w:rsidR="00785885" w:rsidRPr="00997376" w:rsidRDefault="00615769" w:rsidP="00D105CA">
            <w:pPr>
              <w:jc w:val="center"/>
              <w:rPr>
                <w:del w:id="443" w:author="AbbVie2" w:date="2025-05-13T16:36:00Z"/>
                <w:sz w:val="22"/>
                <w:szCs w:val="22"/>
              </w:rPr>
            </w:pPr>
            <w:del w:id="444" w:author="AbbVie2" w:date="2025-05-13T16:36:00Z">
              <w:r w:rsidRPr="00997376">
                <w:rPr>
                  <w:sz w:val="22"/>
                  <w:szCs w:val="22"/>
                </w:rPr>
                <w:delText>≥ 40 kg</w:delText>
              </w:r>
            </w:del>
          </w:p>
        </w:tc>
        <w:tc>
          <w:tcPr>
            <w:tcW w:w="2005" w:type="pct"/>
            <w:tcBorders>
              <w:top w:val="single" w:sz="6" w:space="0" w:color="000000"/>
              <w:left w:val="single" w:sz="6" w:space="0" w:color="000000"/>
              <w:bottom w:val="single" w:sz="4" w:space="0" w:color="auto"/>
              <w:right w:val="single" w:sz="6" w:space="0" w:color="000000"/>
            </w:tcBorders>
            <w:hideMark/>
          </w:tcPr>
          <w:p w14:paraId="3C1B6AA9" w14:textId="5218052C" w:rsidR="00785885" w:rsidRPr="00997376" w:rsidRDefault="00615769" w:rsidP="00997376">
            <w:pPr>
              <w:numPr>
                <w:ilvl w:val="0"/>
                <w:numId w:val="180"/>
              </w:numPr>
              <w:ind w:left="360" w:hanging="210"/>
              <w:rPr>
                <w:del w:id="445" w:author="AbbVie2" w:date="2025-05-13T16:36:00Z"/>
                <w:sz w:val="22"/>
                <w:szCs w:val="22"/>
              </w:rPr>
            </w:pPr>
            <w:del w:id="446" w:author="AbbVie2" w:date="2025-05-13T16:36:00Z">
              <w:r w:rsidRPr="00997376">
                <w:rPr>
                  <w:sz w:val="22"/>
                  <w:szCs w:val="22"/>
                </w:rPr>
                <w:delText>160 mg na Semana 0 (administrada em quatro injeções de 40 mg num dia ou duas injeções de 40 mg por dia, em dois dias consecutivos) e</w:delText>
              </w:r>
            </w:del>
          </w:p>
          <w:p w14:paraId="02D7978F" w14:textId="40BA5CE0" w:rsidR="00785885" w:rsidRPr="00997376" w:rsidRDefault="00615769" w:rsidP="00997376">
            <w:pPr>
              <w:numPr>
                <w:ilvl w:val="0"/>
                <w:numId w:val="180"/>
              </w:numPr>
              <w:ind w:left="360" w:hanging="210"/>
              <w:rPr>
                <w:del w:id="447" w:author="AbbVie2" w:date="2025-05-13T16:36:00Z"/>
                <w:sz w:val="22"/>
                <w:szCs w:val="22"/>
              </w:rPr>
            </w:pPr>
            <w:del w:id="448" w:author="AbbVie2" w:date="2025-05-13T16:36:00Z">
              <w:r w:rsidRPr="00997376">
                <w:rPr>
                  <w:sz w:val="22"/>
                  <w:szCs w:val="22"/>
                </w:rPr>
                <w:delText>80 mg na Semana 2 (administrada em duas injeções de 40 mg num dia)</w:delText>
              </w:r>
            </w:del>
          </w:p>
        </w:tc>
        <w:tc>
          <w:tcPr>
            <w:tcW w:w="1906" w:type="pct"/>
            <w:tcBorders>
              <w:top w:val="single" w:sz="6" w:space="0" w:color="000000"/>
              <w:left w:val="single" w:sz="6" w:space="0" w:color="000000"/>
              <w:bottom w:val="single" w:sz="4" w:space="0" w:color="auto"/>
              <w:right w:val="single" w:sz="6" w:space="0" w:color="000000"/>
            </w:tcBorders>
            <w:hideMark/>
          </w:tcPr>
          <w:p w14:paraId="23DE0B56" w14:textId="11AD141F" w:rsidR="00785885" w:rsidRPr="00997376" w:rsidRDefault="00615769" w:rsidP="00785885">
            <w:pPr>
              <w:numPr>
                <w:ilvl w:val="0"/>
                <w:numId w:val="179"/>
              </w:numPr>
              <w:ind w:left="360" w:hanging="210"/>
              <w:rPr>
                <w:del w:id="449" w:author="AbbVie2" w:date="2025-05-13T16:36:00Z"/>
                <w:sz w:val="22"/>
                <w:szCs w:val="22"/>
              </w:rPr>
            </w:pPr>
            <w:del w:id="450" w:author="AbbVie2" w:date="2025-05-13T16:36:00Z">
              <w:r>
                <w:rPr>
                  <w:sz w:val="22"/>
                  <w:szCs w:val="22"/>
                </w:rPr>
                <w:delText>80 </w:delText>
              </w:r>
              <w:r w:rsidRPr="00AD4F25">
                <w:rPr>
                  <w:sz w:val="22"/>
                  <w:szCs w:val="22"/>
                  <w:rPrChange w:id="451" w:author="AbbVie2" w:date="2025-05-14T10:17:00Z">
                    <w:rPr>
                      <w:sz w:val="22"/>
                      <w:szCs w:val="22"/>
                      <w:lang w:val="en-US"/>
                    </w:rPr>
                  </w:rPrChange>
                </w:rPr>
                <w:delText>mg em semanas alternadas</w:delText>
              </w:r>
            </w:del>
          </w:p>
        </w:tc>
      </w:tr>
      <w:tr w:rsidR="00A7162A" w14:paraId="34542261" w14:textId="1410D07D" w:rsidTr="00D105CA">
        <w:trPr>
          <w:jc w:val="center"/>
          <w:del w:id="452" w:author="AbbVie2" w:date="2025-05-13T16:36:00Z"/>
        </w:trPr>
        <w:tc>
          <w:tcPr>
            <w:tcW w:w="5000" w:type="pct"/>
            <w:gridSpan w:val="3"/>
            <w:tcBorders>
              <w:top w:val="single" w:sz="4" w:space="0" w:color="auto"/>
              <w:left w:val="nil"/>
              <w:bottom w:val="nil"/>
              <w:right w:val="nil"/>
            </w:tcBorders>
          </w:tcPr>
          <w:p w14:paraId="118B9EB4" w14:textId="4786A911" w:rsidR="00785885" w:rsidRPr="00997376" w:rsidRDefault="00615769" w:rsidP="00D105CA">
            <w:pPr>
              <w:rPr>
                <w:del w:id="453" w:author="AbbVie2" w:date="2025-05-13T16:36:00Z"/>
                <w:sz w:val="22"/>
                <w:szCs w:val="22"/>
              </w:rPr>
            </w:pPr>
            <w:del w:id="454" w:author="AbbVie2" w:date="2025-05-13T16:36:00Z">
              <w:r w:rsidRPr="00997376">
                <w:rPr>
                  <w:sz w:val="22"/>
                  <w:szCs w:val="22"/>
                  <w:vertAlign w:val="superscript"/>
                </w:rPr>
                <w:delText xml:space="preserve">* </w:delText>
              </w:r>
              <w:r w:rsidR="00997376" w:rsidRPr="00997376">
                <w:rPr>
                  <w:sz w:val="22"/>
                  <w:szCs w:val="22"/>
                </w:rPr>
                <w:delText>Os doentes pediátricos que completem 18 anos durante o tratamento com Humira devem continuar com a dose de manutenção prescrita.</w:delText>
              </w:r>
            </w:del>
          </w:p>
        </w:tc>
      </w:tr>
    </w:tbl>
    <w:p w14:paraId="1AB7A58D" w14:textId="641B00AF" w:rsidR="00016166" w:rsidRDefault="00016166" w:rsidP="00785885">
      <w:pPr>
        <w:rPr>
          <w:del w:id="455" w:author="AbbVie2" w:date="2025-05-13T16:36:00Z"/>
          <w:sz w:val="22"/>
          <w:szCs w:val="22"/>
        </w:rPr>
      </w:pPr>
    </w:p>
    <w:p w14:paraId="1256E28D" w14:textId="6BE2CBBF" w:rsidR="00785885" w:rsidRPr="00997376" w:rsidRDefault="00615769" w:rsidP="00785885">
      <w:pPr>
        <w:rPr>
          <w:del w:id="456" w:author="AbbVie2" w:date="2025-05-13T16:36:00Z"/>
          <w:sz w:val="22"/>
          <w:szCs w:val="22"/>
        </w:rPr>
      </w:pPr>
      <w:del w:id="457" w:author="AbbVie2" w:date="2025-05-13T16:36:00Z">
        <w:r w:rsidRPr="00997376">
          <w:rPr>
            <w:sz w:val="22"/>
            <w:szCs w:val="22"/>
          </w:rPr>
          <w:delText xml:space="preserve">Uma terapêutica continuada </w:delText>
        </w:r>
        <w:r w:rsidR="00A56D1E">
          <w:rPr>
            <w:sz w:val="22"/>
            <w:szCs w:val="22"/>
          </w:rPr>
          <w:delText xml:space="preserve">para </w:delText>
        </w:r>
        <w:r w:rsidRPr="00997376">
          <w:rPr>
            <w:sz w:val="22"/>
            <w:szCs w:val="22"/>
          </w:rPr>
          <w:delText>além das 8 semanas deve ser cuidadosamente considerada nos doentes que não apresentem sinais de resposta neste período de tempo.</w:delText>
        </w:r>
      </w:del>
    </w:p>
    <w:p w14:paraId="2A3DE3E9" w14:textId="76AF50CD" w:rsidR="00785885" w:rsidRPr="00997376" w:rsidRDefault="00785885" w:rsidP="00785885">
      <w:pPr>
        <w:rPr>
          <w:del w:id="458" w:author="AbbVie2" w:date="2025-05-13T16:36:00Z"/>
          <w:sz w:val="22"/>
          <w:szCs w:val="22"/>
        </w:rPr>
      </w:pPr>
    </w:p>
    <w:p w14:paraId="235D2D53" w14:textId="4364B100" w:rsidR="00785885" w:rsidRPr="00997376" w:rsidRDefault="00615769" w:rsidP="00785885">
      <w:pPr>
        <w:rPr>
          <w:del w:id="459" w:author="AbbVie2" w:date="2025-05-13T16:36:00Z"/>
          <w:sz w:val="22"/>
          <w:szCs w:val="22"/>
        </w:rPr>
      </w:pPr>
      <w:del w:id="460" w:author="AbbVie2" w:date="2025-05-13T16:36:00Z">
        <w:r w:rsidRPr="00997376">
          <w:rPr>
            <w:sz w:val="22"/>
            <w:szCs w:val="22"/>
          </w:rPr>
          <w:delText>Não existe utilização relevante de Humira em crianças com menos de 6 anos, para esta indicação.</w:delText>
        </w:r>
      </w:del>
    </w:p>
    <w:p w14:paraId="48A08E29" w14:textId="08E7372D" w:rsidR="00785885" w:rsidRPr="00997376" w:rsidRDefault="00785885" w:rsidP="00785885">
      <w:pPr>
        <w:rPr>
          <w:del w:id="461" w:author="AbbVie2" w:date="2025-05-13T16:36:00Z"/>
          <w:sz w:val="22"/>
          <w:szCs w:val="22"/>
        </w:rPr>
      </w:pPr>
    </w:p>
    <w:p w14:paraId="527A9FE6" w14:textId="105DF2DA" w:rsidR="00785885" w:rsidRPr="00997376" w:rsidRDefault="00615769" w:rsidP="007B1EB2">
      <w:pPr>
        <w:rPr>
          <w:del w:id="462" w:author="AbbVie2" w:date="2025-05-13T16:36:00Z"/>
          <w:sz w:val="22"/>
          <w:szCs w:val="22"/>
        </w:rPr>
      </w:pPr>
      <w:del w:id="463" w:author="AbbVie2" w:date="2025-05-13T16:36:00Z">
        <w:r w:rsidRPr="00997376">
          <w:rPr>
            <w:sz w:val="22"/>
            <w:szCs w:val="22"/>
          </w:rPr>
          <w:delText>Humira pode estar disponível em outras dosagens e/ou apresentações dependendo das necessidades de cada doente. </w:delText>
        </w:r>
      </w:del>
    </w:p>
    <w:p w14:paraId="45550EB3" w14:textId="7F3A4200" w:rsidR="00785885" w:rsidRPr="00997376" w:rsidRDefault="00785885" w:rsidP="007B1EB2">
      <w:pPr>
        <w:rPr>
          <w:del w:id="464" w:author="AbbVie2" w:date="2025-05-13T16:36:00Z"/>
          <w:bCs/>
          <w:iCs/>
          <w:sz w:val="22"/>
          <w:szCs w:val="22"/>
        </w:rPr>
      </w:pPr>
    </w:p>
    <w:p w14:paraId="6B21C231" w14:textId="1E05410B" w:rsidR="007B1EB2" w:rsidRPr="004D4741" w:rsidRDefault="00615769" w:rsidP="004E29A4">
      <w:pPr>
        <w:keepNext/>
        <w:rPr>
          <w:del w:id="465" w:author="AbbVie2" w:date="2025-05-13T16:36:00Z"/>
          <w:bCs/>
          <w:i/>
          <w:iCs/>
          <w:sz w:val="22"/>
          <w:szCs w:val="22"/>
        </w:rPr>
      </w:pPr>
      <w:del w:id="466" w:author="AbbVie2" w:date="2025-05-13T16:36:00Z">
        <w:r w:rsidRPr="004D4741">
          <w:rPr>
            <w:bCs/>
            <w:i/>
            <w:iCs/>
            <w:sz w:val="22"/>
            <w:szCs w:val="22"/>
          </w:rPr>
          <w:delText xml:space="preserve">Uveíte </w:delText>
        </w:r>
        <w:r w:rsidR="008A40F5">
          <w:rPr>
            <w:bCs/>
            <w:i/>
            <w:iCs/>
            <w:sz w:val="22"/>
            <w:szCs w:val="22"/>
          </w:rPr>
          <w:delText>p</w:delText>
        </w:r>
        <w:r w:rsidRPr="004D4741">
          <w:rPr>
            <w:bCs/>
            <w:i/>
            <w:iCs/>
            <w:sz w:val="22"/>
            <w:szCs w:val="22"/>
          </w:rPr>
          <w:delText>ediátrica</w:delText>
        </w:r>
      </w:del>
    </w:p>
    <w:p w14:paraId="0923B17D" w14:textId="4A9D114C" w:rsidR="007B1EB2" w:rsidRDefault="007B1EB2" w:rsidP="004E29A4">
      <w:pPr>
        <w:keepNext/>
        <w:rPr>
          <w:del w:id="467" w:author="AbbVie2" w:date="2025-05-13T16:36:00Z"/>
          <w:bCs/>
          <w:iCs/>
          <w:sz w:val="22"/>
          <w:szCs w:val="22"/>
        </w:rPr>
      </w:pPr>
    </w:p>
    <w:p w14:paraId="395CBA3D" w14:textId="506C38D0" w:rsidR="0028623F" w:rsidRPr="008912CF" w:rsidRDefault="00615769" w:rsidP="004E29A4">
      <w:pPr>
        <w:pStyle w:val="BodyText2"/>
        <w:keepNext/>
        <w:autoSpaceDE/>
        <w:autoSpaceDN/>
        <w:adjustRightInd/>
        <w:rPr>
          <w:del w:id="468" w:author="AbbVie2" w:date="2025-05-13T16:36:00Z"/>
          <w:b/>
          <w:szCs w:val="22"/>
        </w:rPr>
      </w:pPr>
      <w:del w:id="469" w:author="AbbVie2" w:date="2025-05-13T16:36:00Z">
        <w:r w:rsidRPr="008912CF">
          <w:rPr>
            <w:szCs w:val="22"/>
          </w:rPr>
          <w:delText xml:space="preserve">A dose recomendada de Humira </w:delText>
        </w:r>
        <w:r w:rsidR="00E876B5">
          <w:rPr>
            <w:szCs w:val="22"/>
          </w:rPr>
          <w:delText xml:space="preserve">em </w:delText>
        </w:r>
        <w:r w:rsidRPr="008912CF">
          <w:rPr>
            <w:szCs w:val="22"/>
          </w:rPr>
          <w:delText xml:space="preserve">doentes com </w:delText>
        </w:r>
        <w:r>
          <w:rPr>
            <w:szCs w:val="22"/>
          </w:rPr>
          <w:delText>uveíte pediátrica,</w:delText>
        </w:r>
        <w:r w:rsidRPr="000550F3">
          <w:rPr>
            <w:szCs w:val="22"/>
          </w:rPr>
          <w:delText xml:space="preserve"> </w:delText>
        </w:r>
        <w:r>
          <w:rPr>
            <w:szCs w:val="22"/>
          </w:rPr>
          <w:delText xml:space="preserve">a partir dos 2 anos de idade, </w:delText>
        </w:r>
        <w:r w:rsidRPr="008912CF">
          <w:rPr>
            <w:szCs w:val="22"/>
          </w:rPr>
          <w:delText xml:space="preserve">é </w:delText>
        </w:r>
        <w:r>
          <w:rPr>
            <w:szCs w:val="22"/>
          </w:rPr>
          <w:delText xml:space="preserve">baseada no peso corporal (Tabela </w:delText>
        </w:r>
        <w:r w:rsidR="0071248B">
          <w:rPr>
            <w:szCs w:val="22"/>
          </w:rPr>
          <w:delText>6</w:delText>
        </w:r>
        <w:r>
          <w:rPr>
            <w:szCs w:val="22"/>
          </w:rPr>
          <w:delText>).</w:delText>
        </w:r>
        <w:r w:rsidR="00035763">
          <w:rPr>
            <w:szCs w:val="22"/>
          </w:rPr>
          <w:delText xml:space="preserve"> </w:delText>
        </w:r>
        <w:r w:rsidR="00125AE3" w:rsidRPr="00125AE3">
          <w:rPr>
            <w:szCs w:val="22"/>
          </w:rPr>
          <w:delText>Humira é administrado por injeção subcutânea</w:delText>
        </w:r>
        <w:r w:rsidR="00125AE3">
          <w:rPr>
            <w:szCs w:val="22"/>
          </w:rPr>
          <w:delText>.</w:delText>
        </w:r>
        <w:r>
          <w:rPr>
            <w:szCs w:val="22"/>
          </w:rPr>
          <w:delText xml:space="preserve">  </w:delText>
        </w:r>
        <w:r w:rsidRPr="008912CF">
          <w:rPr>
            <w:b/>
            <w:szCs w:val="22"/>
          </w:rPr>
          <w:delText xml:space="preserve"> </w:delText>
        </w:r>
      </w:del>
    </w:p>
    <w:p w14:paraId="356187FC" w14:textId="62CC71B5" w:rsidR="0028623F" w:rsidRDefault="0028623F" w:rsidP="007B1EB2">
      <w:pPr>
        <w:rPr>
          <w:del w:id="470" w:author="AbbVie2" w:date="2025-05-13T16:36:00Z"/>
          <w:bCs/>
          <w:iCs/>
          <w:sz w:val="22"/>
          <w:szCs w:val="22"/>
        </w:rPr>
      </w:pPr>
    </w:p>
    <w:p w14:paraId="79AA8F82" w14:textId="38A2061E" w:rsidR="007B1EB2" w:rsidRDefault="00615769" w:rsidP="007B1EB2">
      <w:pPr>
        <w:rPr>
          <w:del w:id="471" w:author="AbbVie2" w:date="2025-05-13T16:36:00Z"/>
          <w:bCs/>
          <w:iCs/>
          <w:sz w:val="22"/>
          <w:szCs w:val="22"/>
        </w:rPr>
      </w:pPr>
      <w:del w:id="472" w:author="AbbVie2" w:date="2025-05-13T16:36:00Z">
        <w:r>
          <w:rPr>
            <w:bCs/>
            <w:iCs/>
            <w:sz w:val="22"/>
            <w:szCs w:val="22"/>
          </w:rPr>
          <w:delText>Na uveíte pediátrica, não existe experiência de utilização de Humira sem tratamento concomitante com metotrexato.</w:delText>
        </w:r>
      </w:del>
    </w:p>
    <w:p w14:paraId="1F505A93" w14:textId="3AD16D90" w:rsidR="007B1EB2" w:rsidRDefault="007B1EB2" w:rsidP="007B1EB2">
      <w:pPr>
        <w:rPr>
          <w:del w:id="473" w:author="AbbVie2" w:date="2025-05-13T16:36:00Z"/>
          <w:bCs/>
          <w:iCs/>
          <w:sz w:val="22"/>
          <w:szCs w:val="22"/>
        </w:rPr>
      </w:pPr>
    </w:p>
    <w:p w14:paraId="68AF860D" w14:textId="074F033E" w:rsidR="0028623F" w:rsidRPr="008912CF" w:rsidRDefault="00615769" w:rsidP="002F486F">
      <w:pPr>
        <w:pStyle w:val="BodyText2"/>
        <w:keepNext/>
        <w:autoSpaceDE/>
        <w:autoSpaceDN/>
        <w:adjustRightInd/>
        <w:jc w:val="center"/>
        <w:rPr>
          <w:del w:id="474" w:author="AbbVie2" w:date="2025-05-13T16:36:00Z"/>
          <w:b/>
          <w:szCs w:val="22"/>
        </w:rPr>
      </w:pPr>
      <w:del w:id="475" w:author="AbbVie2" w:date="2025-05-13T16:36:00Z">
        <w:r w:rsidRPr="008912CF">
          <w:rPr>
            <w:b/>
            <w:szCs w:val="22"/>
          </w:rPr>
          <w:delText xml:space="preserve">Tabela </w:delText>
        </w:r>
        <w:r w:rsidR="0071248B">
          <w:rPr>
            <w:b/>
            <w:szCs w:val="22"/>
          </w:rPr>
          <w:delText>6</w:delText>
        </w:r>
        <w:r w:rsidRPr="008912CF">
          <w:rPr>
            <w:b/>
            <w:szCs w:val="22"/>
          </w:rPr>
          <w:delText xml:space="preserve">. Dose de Humira </w:delText>
        </w:r>
        <w:r w:rsidR="00E876B5">
          <w:rPr>
            <w:b/>
            <w:szCs w:val="22"/>
          </w:rPr>
          <w:delText xml:space="preserve">em </w:delText>
        </w:r>
        <w:r w:rsidRPr="008912CF">
          <w:rPr>
            <w:b/>
            <w:szCs w:val="22"/>
          </w:rPr>
          <w:delText xml:space="preserve">Doentes </w:delText>
        </w:r>
        <w:r w:rsidR="00765EB6">
          <w:rPr>
            <w:b/>
            <w:szCs w:val="22"/>
          </w:rPr>
          <w:delText xml:space="preserve">Pediátricos </w:delText>
        </w:r>
        <w:r w:rsidRPr="008912CF">
          <w:rPr>
            <w:b/>
            <w:szCs w:val="22"/>
          </w:rPr>
          <w:delText xml:space="preserve">com </w:delText>
        </w:r>
        <w:r>
          <w:rPr>
            <w:b/>
            <w:szCs w:val="22"/>
          </w:rPr>
          <w:delText>Uveíte</w:delText>
        </w:r>
        <w:r w:rsidRPr="008912CF">
          <w:rPr>
            <w:b/>
            <w:szCs w:val="22"/>
          </w:rPr>
          <w:delText xml:space="preserve"> </w:delText>
        </w:r>
      </w:del>
    </w:p>
    <w:p w14:paraId="30B699F5" w14:textId="7D3C12D3" w:rsidR="0028623F" w:rsidRPr="008912CF" w:rsidRDefault="0028623F" w:rsidP="002F486F">
      <w:pPr>
        <w:keepNext/>
        <w:rPr>
          <w:del w:id="476" w:author="AbbVie2" w:date="2025-05-13T16:36:00Z"/>
          <w:sz w:val="22"/>
          <w:szCs w:val="22"/>
        </w:rPr>
      </w:pPr>
    </w:p>
    <w:tbl>
      <w:tblPr>
        <w:tblW w:w="6795" w:type="dxa"/>
        <w:jc w:val="center"/>
        <w:tblLayout w:type="fixed"/>
        <w:tblLook w:val="0000" w:firstRow="0" w:lastRow="0" w:firstColumn="0" w:lastColumn="0" w:noHBand="0" w:noVBand="0"/>
      </w:tblPr>
      <w:tblGrid>
        <w:gridCol w:w="3401"/>
        <w:gridCol w:w="3394"/>
      </w:tblGrid>
      <w:tr w:rsidR="00A7162A" w14:paraId="04156560" w14:textId="36082823" w:rsidTr="00AB343F">
        <w:trPr>
          <w:tblHeader/>
          <w:jc w:val="center"/>
          <w:del w:id="477" w:author="AbbVie2" w:date="2025-05-13T16:36:00Z"/>
        </w:trPr>
        <w:tc>
          <w:tcPr>
            <w:tcW w:w="3401" w:type="dxa"/>
            <w:tcBorders>
              <w:top w:val="single" w:sz="4" w:space="0" w:color="auto"/>
              <w:bottom w:val="single" w:sz="4" w:space="0" w:color="auto"/>
            </w:tcBorders>
          </w:tcPr>
          <w:p w14:paraId="683D21CB" w14:textId="32880B1F" w:rsidR="0028623F" w:rsidRPr="00AD4F25" w:rsidRDefault="00615769" w:rsidP="00E03A0D">
            <w:pPr>
              <w:keepNext/>
              <w:spacing w:before="40" w:after="40" w:line="240" w:lineRule="exact"/>
              <w:jc w:val="center"/>
              <w:rPr>
                <w:del w:id="478" w:author="AbbVie2" w:date="2025-05-13T16:36:00Z"/>
                <w:rFonts w:eastAsia="Calibri"/>
                <w:b/>
                <w:sz w:val="22"/>
                <w:szCs w:val="22"/>
                <w:lang w:eastAsia="ja-JP"/>
                <w:rPrChange w:id="479" w:author="AbbVie2" w:date="2025-05-14T10:17:00Z">
                  <w:rPr>
                    <w:del w:id="480" w:author="AbbVie2" w:date="2025-05-13T16:36:00Z"/>
                    <w:rFonts w:eastAsia="Calibri"/>
                    <w:b/>
                    <w:sz w:val="22"/>
                    <w:szCs w:val="22"/>
                    <w:lang w:val="en-US" w:eastAsia="ja-JP"/>
                  </w:rPr>
                </w:rPrChange>
              </w:rPr>
            </w:pPr>
            <w:del w:id="481" w:author="AbbVie2" w:date="2025-05-13T16:36:00Z">
              <w:r w:rsidRPr="00AD4F25">
                <w:rPr>
                  <w:rFonts w:eastAsia="Calibri"/>
                  <w:b/>
                  <w:sz w:val="22"/>
                  <w:szCs w:val="22"/>
                  <w:lang w:eastAsia="ja-JP"/>
                  <w:rPrChange w:id="482" w:author="AbbVie2" w:date="2025-05-14T10:17:00Z">
                    <w:rPr>
                      <w:rFonts w:eastAsia="Calibri"/>
                      <w:b/>
                      <w:sz w:val="22"/>
                      <w:szCs w:val="22"/>
                      <w:lang w:val="en-US" w:eastAsia="ja-JP"/>
                    </w:rPr>
                  </w:rPrChange>
                </w:rPr>
                <w:delText>Peso do Doente</w:delText>
              </w:r>
            </w:del>
          </w:p>
        </w:tc>
        <w:tc>
          <w:tcPr>
            <w:tcW w:w="3394" w:type="dxa"/>
            <w:tcBorders>
              <w:top w:val="single" w:sz="4" w:space="0" w:color="auto"/>
              <w:bottom w:val="single" w:sz="4" w:space="0" w:color="auto"/>
            </w:tcBorders>
          </w:tcPr>
          <w:p w14:paraId="0C466821" w14:textId="031E21ED" w:rsidR="0028623F" w:rsidRPr="00AD4F25" w:rsidRDefault="00615769" w:rsidP="00E03A0D">
            <w:pPr>
              <w:keepNext/>
              <w:spacing w:before="40" w:after="40" w:line="240" w:lineRule="exact"/>
              <w:jc w:val="center"/>
              <w:rPr>
                <w:del w:id="483" w:author="AbbVie2" w:date="2025-05-13T16:36:00Z"/>
                <w:rFonts w:eastAsia="Calibri"/>
                <w:b/>
                <w:sz w:val="22"/>
                <w:szCs w:val="22"/>
                <w:lang w:eastAsia="ja-JP"/>
                <w:rPrChange w:id="484" w:author="AbbVie2" w:date="2025-05-14T10:17:00Z">
                  <w:rPr>
                    <w:del w:id="485" w:author="AbbVie2" w:date="2025-05-13T16:36:00Z"/>
                    <w:rFonts w:eastAsia="Calibri"/>
                    <w:b/>
                    <w:sz w:val="22"/>
                    <w:szCs w:val="22"/>
                    <w:lang w:val="en-US" w:eastAsia="ja-JP"/>
                  </w:rPr>
                </w:rPrChange>
              </w:rPr>
            </w:pPr>
            <w:del w:id="486" w:author="AbbVie2" w:date="2025-05-13T16:36:00Z">
              <w:r w:rsidRPr="00AD4F25">
                <w:rPr>
                  <w:rFonts w:eastAsia="Calibri"/>
                  <w:b/>
                  <w:sz w:val="22"/>
                  <w:szCs w:val="22"/>
                  <w:lang w:eastAsia="ja-JP"/>
                  <w:rPrChange w:id="487" w:author="AbbVie2" w:date="2025-05-14T10:17:00Z">
                    <w:rPr>
                      <w:rFonts w:eastAsia="Calibri"/>
                      <w:b/>
                      <w:sz w:val="22"/>
                      <w:szCs w:val="22"/>
                      <w:lang w:val="en-US" w:eastAsia="ja-JP"/>
                    </w:rPr>
                  </w:rPrChange>
                </w:rPr>
                <w:delText xml:space="preserve">Regime </w:delText>
              </w:r>
              <w:r w:rsidR="00C00E3F" w:rsidRPr="00AD4F25">
                <w:rPr>
                  <w:rFonts w:eastAsia="Calibri"/>
                  <w:b/>
                  <w:sz w:val="22"/>
                  <w:szCs w:val="22"/>
                  <w:lang w:eastAsia="ja-JP"/>
                  <w:rPrChange w:id="488" w:author="AbbVie2" w:date="2025-05-14T10:17:00Z">
                    <w:rPr>
                      <w:rFonts w:eastAsia="Calibri"/>
                      <w:b/>
                      <w:sz w:val="22"/>
                      <w:szCs w:val="22"/>
                      <w:lang w:val="en-US" w:eastAsia="ja-JP"/>
                    </w:rPr>
                  </w:rPrChange>
                </w:rPr>
                <w:delText xml:space="preserve">Posológico </w:delText>
              </w:r>
            </w:del>
          </w:p>
        </w:tc>
      </w:tr>
      <w:tr w:rsidR="00A7162A" w14:paraId="11008107" w14:textId="3BBCE7A6" w:rsidTr="00AB343F">
        <w:trPr>
          <w:tblHeader/>
          <w:jc w:val="center"/>
          <w:del w:id="489" w:author="AbbVie2" w:date="2025-05-13T16:36:00Z"/>
        </w:trPr>
        <w:tc>
          <w:tcPr>
            <w:tcW w:w="3401" w:type="dxa"/>
            <w:tcBorders>
              <w:top w:val="single" w:sz="4" w:space="0" w:color="auto"/>
              <w:bottom w:val="single" w:sz="4" w:space="0" w:color="auto"/>
            </w:tcBorders>
          </w:tcPr>
          <w:p w14:paraId="43DECDDF" w14:textId="681AC871" w:rsidR="0028623F" w:rsidRPr="00AD4F25" w:rsidRDefault="00615769" w:rsidP="00E03A0D">
            <w:pPr>
              <w:keepNext/>
              <w:spacing w:before="40" w:after="40" w:line="240" w:lineRule="exact"/>
              <w:jc w:val="center"/>
              <w:rPr>
                <w:del w:id="490" w:author="AbbVie2" w:date="2025-05-13T16:36:00Z"/>
                <w:rFonts w:eastAsia="Calibri"/>
                <w:b/>
                <w:sz w:val="22"/>
                <w:szCs w:val="22"/>
                <w:lang w:eastAsia="ja-JP"/>
                <w:rPrChange w:id="491" w:author="AbbVie2" w:date="2025-05-14T10:17:00Z">
                  <w:rPr>
                    <w:del w:id="492" w:author="AbbVie2" w:date="2025-05-13T16:36:00Z"/>
                    <w:rFonts w:eastAsia="Calibri"/>
                    <w:b/>
                    <w:sz w:val="22"/>
                    <w:szCs w:val="22"/>
                    <w:lang w:val="en-US" w:eastAsia="ja-JP"/>
                  </w:rPr>
                </w:rPrChange>
              </w:rPr>
            </w:pPr>
            <w:del w:id="493" w:author="AbbVie2" w:date="2025-05-13T16:36:00Z">
              <w:r w:rsidRPr="00AD4F25">
                <w:rPr>
                  <w:rFonts w:eastAsia="Calibri"/>
                  <w:sz w:val="22"/>
                  <w:szCs w:val="22"/>
                  <w:lang w:eastAsia="ja-JP"/>
                  <w:rPrChange w:id="494" w:author="AbbVie2" w:date="2025-05-14T10:17:00Z">
                    <w:rPr>
                      <w:rFonts w:eastAsia="Calibri"/>
                      <w:sz w:val="22"/>
                      <w:szCs w:val="22"/>
                      <w:lang w:val="en-US" w:eastAsia="ja-JP"/>
                    </w:rPr>
                  </w:rPrChange>
                </w:rPr>
                <w:delText>&lt; 30 kg</w:delText>
              </w:r>
            </w:del>
          </w:p>
        </w:tc>
        <w:tc>
          <w:tcPr>
            <w:tcW w:w="3394" w:type="dxa"/>
            <w:tcBorders>
              <w:top w:val="single" w:sz="4" w:space="0" w:color="auto"/>
              <w:bottom w:val="single" w:sz="4" w:space="0" w:color="auto"/>
            </w:tcBorders>
          </w:tcPr>
          <w:p w14:paraId="558CAE1D" w14:textId="573C34A8" w:rsidR="0028623F" w:rsidRPr="000A1E2A" w:rsidRDefault="00615769" w:rsidP="00E03A0D">
            <w:pPr>
              <w:keepNext/>
              <w:spacing w:before="40" w:after="40" w:line="240" w:lineRule="exact"/>
              <w:jc w:val="center"/>
              <w:rPr>
                <w:del w:id="495" w:author="AbbVie2" w:date="2025-05-13T16:36:00Z"/>
                <w:rFonts w:eastAsia="Calibri"/>
                <w:b/>
                <w:sz w:val="22"/>
                <w:szCs w:val="22"/>
                <w:lang w:eastAsia="ja-JP"/>
              </w:rPr>
            </w:pPr>
            <w:del w:id="496" w:author="AbbVie2" w:date="2025-05-13T16:36:00Z">
              <w:r w:rsidRPr="000A1E2A">
                <w:rPr>
                  <w:rFonts w:eastAsia="Calibri"/>
                  <w:sz w:val="22"/>
                  <w:szCs w:val="22"/>
                  <w:lang w:eastAsia="ja-JP"/>
                </w:rPr>
                <w:delText>20 mg em semanas alternadas em associaç</w:delText>
              </w:r>
              <w:r>
                <w:rPr>
                  <w:rFonts w:eastAsia="Calibri"/>
                  <w:sz w:val="22"/>
                  <w:szCs w:val="22"/>
                  <w:lang w:eastAsia="ja-JP"/>
                </w:rPr>
                <w:delText>ão com metotrexato</w:delText>
              </w:r>
            </w:del>
          </w:p>
        </w:tc>
      </w:tr>
      <w:tr w:rsidR="00A7162A" w14:paraId="40ED5830" w14:textId="0D79E176" w:rsidTr="00AB343F">
        <w:trPr>
          <w:tblHeader/>
          <w:jc w:val="center"/>
          <w:del w:id="497" w:author="AbbVie2" w:date="2025-05-13T16:36:00Z"/>
        </w:trPr>
        <w:tc>
          <w:tcPr>
            <w:tcW w:w="3401" w:type="dxa"/>
            <w:tcBorders>
              <w:top w:val="single" w:sz="4" w:space="0" w:color="auto"/>
              <w:bottom w:val="single" w:sz="4" w:space="0" w:color="auto"/>
            </w:tcBorders>
          </w:tcPr>
          <w:p w14:paraId="5B62B1FF" w14:textId="481CCFAA" w:rsidR="0028623F" w:rsidRPr="00AD4F25" w:rsidRDefault="00615769" w:rsidP="00E03A0D">
            <w:pPr>
              <w:keepNext/>
              <w:spacing w:before="40" w:after="40" w:line="240" w:lineRule="exact"/>
              <w:jc w:val="center"/>
              <w:rPr>
                <w:del w:id="498" w:author="AbbVie2" w:date="2025-05-13T16:36:00Z"/>
                <w:rFonts w:eastAsia="Calibri"/>
                <w:b/>
                <w:sz w:val="22"/>
                <w:szCs w:val="22"/>
                <w:lang w:eastAsia="ja-JP"/>
                <w:rPrChange w:id="499" w:author="AbbVie2" w:date="2025-05-14T10:17:00Z">
                  <w:rPr>
                    <w:del w:id="500" w:author="AbbVie2" w:date="2025-05-13T16:36:00Z"/>
                    <w:rFonts w:eastAsia="Calibri"/>
                    <w:b/>
                    <w:sz w:val="22"/>
                    <w:szCs w:val="22"/>
                    <w:lang w:val="en-US" w:eastAsia="ja-JP"/>
                  </w:rPr>
                </w:rPrChange>
              </w:rPr>
            </w:pPr>
            <w:del w:id="501" w:author="AbbVie2" w:date="2025-05-13T16:36:00Z">
              <w:r w:rsidRPr="00AD4F25">
                <w:rPr>
                  <w:rFonts w:eastAsia="Calibri"/>
                  <w:sz w:val="22"/>
                  <w:szCs w:val="22"/>
                  <w:lang w:eastAsia="ja-JP"/>
                  <w:rPrChange w:id="502" w:author="AbbVie2" w:date="2025-05-14T10:17:00Z">
                    <w:rPr>
                      <w:rFonts w:eastAsia="Calibri"/>
                      <w:sz w:val="22"/>
                      <w:szCs w:val="22"/>
                      <w:lang w:val="en-US" w:eastAsia="ja-JP"/>
                    </w:rPr>
                  </w:rPrChange>
                </w:rPr>
                <w:delText>≥ 30 kg</w:delText>
              </w:r>
            </w:del>
          </w:p>
        </w:tc>
        <w:tc>
          <w:tcPr>
            <w:tcW w:w="3394" w:type="dxa"/>
            <w:tcBorders>
              <w:top w:val="single" w:sz="4" w:space="0" w:color="auto"/>
              <w:bottom w:val="single" w:sz="4" w:space="0" w:color="auto"/>
            </w:tcBorders>
          </w:tcPr>
          <w:p w14:paraId="74537646" w14:textId="0121EC7B" w:rsidR="0028623F" w:rsidRPr="000A1E2A" w:rsidRDefault="00615769" w:rsidP="00E03A0D">
            <w:pPr>
              <w:keepNext/>
              <w:spacing w:before="40" w:after="40" w:line="240" w:lineRule="exact"/>
              <w:jc w:val="center"/>
              <w:rPr>
                <w:del w:id="503" w:author="AbbVie2" w:date="2025-05-13T16:36:00Z"/>
                <w:rFonts w:eastAsia="Calibri"/>
                <w:b/>
                <w:sz w:val="22"/>
                <w:szCs w:val="22"/>
                <w:lang w:eastAsia="ja-JP"/>
              </w:rPr>
            </w:pPr>
            <w:del w:id="504" w:author="AbbVie2" w:date="2025-05-13T16:36:00Z">
              <w:r w:rsidRPr="000A1E2A">
                <w:rPr>
                  <w:rFonts w:eastAsia="Calibri"/>
                  <w:sz w:val="22"/>
                  <w:szCs w:val="22"/>
                  <w:lang w:eastAsia="ja-JP"/>
                </w:rPr>
                <w:delText>40 mg em semanas alternadas em associaç</w:delText>
              </w:r>
              <w:r>
                <w:rPr>
                  <w:rFonts w:eastAsia="Calibri"/>
                  <w:sz w:val="22"/>
                  <w:szCs w:val="22"/>
                  <w:lang w:eastAsia="ja-JP"/>
                </w:rPr>
                <w:delText>ão com metotrexato</w:delText>
              </w:r>
            </w:del>
          </w:p>
        </w:tc>
      </w:tr>
    </w:tbl>
    <w:p w14:paraId="6C5CED8C" w14:textId="17CB16E1" w:rsidR="0028623F" w:rsidRDefault="0028623F" w:rsidP="007B1EB2">
      <w:pPr>
        <w:rPr>
          <w:del w:id="505" w:author="AbbVie2" w:date="2025-05-13T16:36:00Z"/>
          <w:bCs/>
          <w:iCs/>
          <w:sz w:val="22"/>
          <w:szCs w:val="22"/>
        </w:rPr>
      </w:pPr>
    </w:p>
    <w:p w14:paraId="4411F1F8" w14:textId="65397EC1" w:rsidR="007B1EB2" w:rsidRDefault="007B1EB2" w:rsidP="007B1EB2">
      <w:pPr>
        <w:rPr>
          <w:del w:id="506" w:author="AbbVie2" w:date="2025-05-13T16:36:00Z"/>
          <w:bCs/>
          <w:iCs/>
          <w:sz w:val="22"/>
          <w:szCs w:val="22"/>
        </w:rPr>
      </w:pPr>
    </w:p>
    <w:p w14:paraId="7F7C9653" w14:textId="02C6062C" w:rsidR="007B1EB2" w:rsidRDefault="00615769" w:rsidP="007B1EB2">
      <w:pPr>
        <w:rPr>
          <w:del w:id="507" w:author="AbbVie2" w:date="2025-05-13T16:36:00Z"/>
          <w:sz w:val="22"/>
          <w:szCs w:val="22"/>
        </w:rPr>
      </w:pPr>
      <w:del w:id="508" w:author="AbbVie2" w:date="2025-05-13T16:36:00Z">
        <w:r>
          <w:rPr>
            <w:bCs/>
            <w:iCs/>
            <w:sz w:val="22"/>
            <w:szCs w:val="22"/>
          </w:rPr>
          <w:delText xml:space="preserve">Quando se inicia o tratamento com Humira, pode ser administrada uma dose </w:delText>
        </w:r>
        <w:r w:rsidRPr="008912CF">
          <w:rPr>
            <w:sz w:val="22"/>
            <w:szCs w:val="22"/>
          </w:rPr>
          <w:delText xml:space="preserve">de carga de </w:delText>
        </w:r>
        <w:r>
          <w:rPr>
            <w:sz w:val="22"/>
            <w:szCs w:val="22"/>
          </w:rPr>
          <w:delText>40</w:delText>
        </w:r>
        <w:r w:rsidRPr="008912CF">
          <w:rPr>
            <w:sz w:val="22"/>
            <w:szCs w:val="22"/>
          </w:rPr>
          <w:delText> mg</w:delText>
        </w:r>
        <w:r>
          <w:rPr>
            <w:sz w:val="22"/>
            <w:szCs w:val="22"/>
          </w:rPr>
          <w:delText xml:space="preserve"> </w:delText>
        </w:r>
        <w:r w:rsidR="002022F7">
          <w:rPr>
            <w:sz w:val="22"/>
            <w:szCs w:val="22"/>
          </w:rPr>
          <w:delText xml:space="preserve">em doentes &lt; 30 kg ou 80 mg em doentes </w:delText>
        </w:r>
        <w:r w:rsidR="002022F7" w:rsidRPr="000A1E2A">
          <w:rPr>
            <w:rFonts w:eastAsia="Calibri"/>
            <w:sz w:val="22"/>
            <w:szCs w:val="22"/>
            <w:lang w:eastAsia="ja-JP"/>
          </w:rPr>
          <w:delText>≥ 30 kg</w:delText>
        </w:r>
        <w:r w:rsidR="002022F7">
          <w:rPr>
            <w:rFonts w:eastAsia="Calibri"/>
            <w:sz w:val="22"/>
            <w:szCs w:val="22"/>
            <w:lang w:eastAsia="ja-JP"/>
          </w:rPr>
          <w:delText>,</w:delText>
        </w:r>
        <w:r w:rsidR="002022F7">
          <w:rPr>
            <w:sz w:val="22"/>
            <w:szCs w:val="22"/>
          </w:rPr>
          <w:delText xml:space="preserve"> </w:delText>
        </w:r>
        <w:r>
          <w:rPr>
            <w:sz w:val="22"/>
            <w:szCs w:val="22"/>
          </w:rPr>
          <w:delText>uma semana antes do início do tratamento de manutenção. Não existem dados clínicos relevantes sobre a utilização de uma dose de carga de Humira em crianças &lt; 6 anos de idade (ver secção 5.2).</w:delText>
        </w:r>
      </w:del>
    </w:p>
    <w:p w14:paraId="699FE92F" w14:textId="01E76ADB" w:rsidR="007B1EB2" w:rsidRDefault="007B1EB2" w:rsidP="007B1EB2">
      <w:pPr>
        <w:rPr>
          <w:del w:id="509" w:author="AbbVie2" w:date="2025-05-13T16:36:00Z"/>
          <w:sz w:val="22"/>
          <w:szCs w:val="22"/>
        </w:rPr>
      </w:pPr>
    </w:p>
    <w:p w14:paraId="36C193CE" w14:textId="47027106" w:rsidR="007B1EB2" w:rsidRPr="008912CF" w:rsidRDefault="00615769" w:rsidP="007B1EB2">
      <w:pPr>
        <w:rPr>
          <w:del w:id="510" w:author="AbbVie2" w:date="2025-05-13T16:36:00Z"/>
          <w:sz w:val="22"/>
          <w:szCs w:val="22"/>
        </w:rPr>
      </w:pPr>
      <w:del w:id="511" w:author="AbbVie2" w:date="2025-05-13T16:36:00Z">
        <w:r w:rsidRPr="008912CF">
          <w:rPr>
            <w:sz w:val="22"/>
            <w:szCs w:val="22"/>
          </w:rPr>
          <w:delText xml:space="preserve">Não existe utilização relevante de Humira em crianças com menos de </w:delText>
        </w:r>
        <w:r>
          <w:rPr>
            <w:sz w:val="22"/>
            <w:szCs w:val="22"/>
          </w:rPr>
          <w:delText>2 </w:delText>
        </w:r>
        <w:r w:rsidRPr="008912CF">
          <w:rPr>
            <w:sz w:val="22"/>
            <w:szCs w:val="22"/>
          </w:rPr>
          <w:delText>anos, para esta indicação.</w:delText>
        </w:r>
      </w:del>
    </w:p>
    <w:p w14:paraId="3B50169C" w14:textId="43B6CA52" w:rsidR="007B1EB2" w:rsidRPr="00CD6D57" w:rsidRDefault="007B1EB2" w:rsidP="007B1EB2">
      <w:pPr>
        <w:rPr>
          <w:del w:id="512" w:author="AbbVie2" w:date="2025-05-13T16:36:00Z"/>
          <w:sz w:val="22"/>
          <w:szCs w:val="22"/>
        </w:rPr>
      </w:pPr>
    </w:p>
    <w:p w14:paraId="0A80312C" w14:textId="038C52BD" w:rsidR="007B1EB2" w:rsidRPr="00CD6D57" w:rsidRDefault="00615769" w:rsidP="007B1EB2">
      <w:pPr>
        <w:rPr>
          <w:del w:id="513" w:author="AbbVie2" w:date="2025-05-13T16:36:00Z"/>
          <w:bCs/>
          <w:iCs/>
          <w:sz w:val="22"/>
          <w:szCs w:val="22"/>
        </w:rPr>
      </w:pPr>
      <w:del w:id="514" w:author="AbbVie2" w:date="2025-05-13T16:36:00Z">
        <w:r w:rsidRPr="00CD6D57">
          <w:rPr>
            <w:bCs/>
            <w:sz w:val="22"/>
            <w:szCs w:val="22"/>
          </w:rPr>
          <w:delText>Recomenda-se que o risco benefício do tratamento continuado a longo prazo seja avaliado anualmente (ver secção 5.1).</w:delText>
        </w:r>
      </w:del>
    </w:p>
    <w:p w14:paraId="72EB17EF" w14:textId="394EDD66" w:rsidR="004462A0" w:rsidRPr="00CD6D57" w:rsidRDefault="004462A0" w:rsidP="004462A0">
      <w:pPr>
        <w:rPr>
          <w:del w:id="515" w:author="AbbVie2" w:date="2025-05-13T16:36:00Z"/>
          <w:bCs/>
          <w:iCs/>
          <w:sz w:val="22"/>
          <w:szCs w:val="22"/>
        </w:rPr>
      </w:pPr>
    </w:p>
    <w:p w14:paraId="40021972" w14:textId="7FEF182B" w:rsidR="004F021E" w:rsidRPr="00CD6D57" w:rsidRDefault="00615769" w:rsidP="004462A0">
      <w:pPr>
        <w:rPr>
          <w:del w:id="516" w:author="AbbVie2" w:date="2025-05-13T16:36:00Z"/>
          <w:bCs/>
          <w:iCs/>
          <w:sz w:val="22"/>
          <w:szCs w:val="22"/>
        </w:rPr>
      </w:pPr>
      <w:del w:id="517" w:author="AbbVie2" w:date="2025-05-13T16:36:00Z">
        <w:r>
          <w:rPr>
            <w:sz w:val="22"/>
            <w:szCs w:val="22"/>
          </w:rPr>
          <w:delText>Humira pode estar</w:delText>
        </w:r>
        <w:r w:rsidRPr="00CD6D57">
          <w:rPr>
            <w:sz w:val="22"/>
            <w:szCs w:val="22"/>
          </w:rPr>
          <w:delText xml:space="preserve"> disponível em outras dosagens e/ou apresentações dependendo das necessidades de cada doente.</w:delText>
        </w:r>
      </w:del>
    </w:p>
    <w:p w14:paraId="2B96FA5D" w14:textId="127F3896" w:rsidR="004F021E" w:rsidRPr="00CD6D57" w:rsidRDefault="004F021E" w:rsidP="004462A0">
      <w:pPr>
        <w:rPr>
          <w:del w:id="518" w:author="AbbVie2" w:date="2025-05-13T16:36:00Z"/>
          <w:bCs/>
          <w:iCs/>
          <w:sz w:val="22"/>
          <w:szCs w:val="22"/>
        </w:rPr>
      </w:pPr>
    </w:p>
    <w:p w14:paraId="5A0F945B" w14:textId="71F89CAA" w:rsidR="004462A0" w:rsidRPr="00F03C54" w:rsidRDefault="00615769" w:rsidP="004462A0">
      <w:pPr>
        <w:pStyle w:val="BodyText2"/>
        <w:autoSpaceDE/>
        <w:autoSpaceDN/>
        <w:adjustRightInd/>
        <w:rPr>
          <w:del w:id="519" w:author="AbbVie2" w:date="2025-05-13T16:36:00Z"/>
          <w:bCs/>
          <w:i/>
          <w:iCs/>
          <w:szCs w:val="22"/>
          <w:u w:val="single"/>
        </w:rPr>
      </w:pPr>
      <w:del w:id="520" w:author="AbbVie2" w:date="2025-05-13T16:36:00Z">
        <w:r w:rsidRPr="00CD6D57">
          <w:rPr>
            <w:bCs/>
            <w:i/>
            <w:iCs/>
            <w:szCs w:val="22"/>
            <w:u w:val="single"/>
          </w:rPr>
          <w:delText>Compromisso renal</w:delText>
        </w:r>
        <w:r w:rsidRPr="00F03C54">
          <w:rPr>
            <w:bCs/>
            <w:i/>
            <w:iCs/>
            <w:szCs w:val="22"/>
            <w:u w:val="single"/>
          </w:rPr>
          <w:delText xml:space="preserve"> e/ou hepático</w:delText>
        </w:r>
      </w:del>
    </w:p>
    <w:p w14:paraId="22BB4758" w14:textId="699F14B9" w:rsidR="004462A0" w:rsidRPr="008912CF" w:rsidRDefault="004462A0" w:rsidP="004462A0">
      <w:pPr>
        <w:rPr>
          <w:del w:id="521" w:author="AbbVie2" w:date="2025-05-13T16:36:00Z"/>
          <w:bCs/>
          <w:iCs/>
          <w:sz w:val="22"/>
          <w:szCs w:val="22"/>
        </w:rPr>
      </w:pPr>
    </w:p>
    <w:p w14:paraId="05ACBE1C" w14:textId="056984AA" w:rsidR="004462A0" w:rsidRPr="008912CF" w:rsidRDefault="00615769" w:rsidP="004462A0">
      <w:pPr>
        <w:rPr>
          <w:del w:id="522" w:author="AbbVie2" w:date="2025-05-13T16:36:00Z"/>
          <w:bCs/>
          <w:iCs/>
          <w:sz w:val="22"/>
          <w:szCs w:val="22"/>
        </w:rPr>
      </w:pPr>
      <w:del w:id="523" w:author="AbbVie2" w:date="2025-05-13T16:36:00Z">
        <w:r w:rsidRPr="008912CF">
          <w:rPr>
            <w:bCs/>
            <w:iCs/>
            <w:sz w:val="22"/>
            <w:szCs w:val="22"/>
          </w:rPr>
          <w:delText>Humira não foi estudado nesta população de doentes. Não podem ser feitas recomendações acerca da dose.</w:delText>
        </w:r>
      </w:del>
    </w:p>
    <w:p w14:paraId="4F05E20E" w14:textId="3C1317DE" w:rsidR="004462A0" w:rsidRPr="008912CF" w:rsidRDefault="004462A0" w:rsidP="004462A0">
      <w:pPr>
        <w:rPr>
          <w:del w:id="524" w:author="AbbVie2" w:date="2025-05-13T16:36:00Z"/>
          <w:bCs/>
          <w:iCs/>
          <w:sz w:val="22"/>
          <w:szCs w:val="22"/>
        </w:rPr>
      </w:pPr>
    </w:p>
    <w:p w14:paraId="2FBE2188" w14:textId="3FC53CA7" w:rsidR="004462A0" w:rsidRPr="00F03C54" w:rsidRDefault="00615769" w:rsidP="004462A0">
      <w:pPr>
        <w:rPr>
          <w:del w:id="525" w:author="AbbVie2" w:date="2025-05-13T16:36:00Z"/>
          <w:bCs/>
          <w:i/>
          <w:iCs/>
          <w:sz w:val="22"/>
          <w:szCs w:val="22"/>
          <w:u w:val="single"/>
        </w:rPr>
      </w:pPr>
      <w:del w:id="526" w:author="AbbVie2" w:date="2025-05-13T16:36:00Z">
        <w:r w:rsidRPr="00F03C54">
          <w:rPr>
            <w:bCs/>
            <w:i/>
            <w:iCs/>
            <w:sz w:val="22"/>
            <w:szCs w:val="22"/>
            <w:u w:val="single"/>
          </w:rPr>
          <w:delText>Modo de administração</w:delText>
        </w:r>
      </w:del>
    </w:p>
    <w:p w14:paraId="2C192E35" w14:textId="0CB4986E" w:rsidR="004462A0" w:rsidRPr="008912CF" w:rsidRDefault="004462A0" w:rsidP="004462A0">
      <w:pPr>
        <w:rPr>
          <w:del w:id="527" w:author="AbbVie2" w:date="2025-05-13T16:36:00Z"/>
          <w:bCs/>
          <w:iCs/>
          <w:sz w:val="22"/>
          <w:szCs w:val="22"/>
        </w:rPr>
      </w:pPr>
    </w:p>
    <w:p w14:paraId="5D0E6BE3" w14:textId="00531E40" w:rsidR="004462A0" w:rsidRPr="008912CF" w:rsidRDefault="00615769" w:rsidP="004462A0">
      <w:pPr>
        <w:rPr>
          <w:del w:id="528" w:author="AbbVie2" w:date="2025-05-13T16:36:00Z"/>
          <w:bCs/>
          <w:iCs/>
          <w:sz w:val="22"/>
          <w:szCs w:val="22"/>
        </w:rPr>
      </w:pPr>
      <w:del w:id="529" w:author="AbbVie2" w:date="2025-05-13T16:36:00Z">
        <w:r w:rsidRPr="008912CF">
          <w:rPr>
            <w:bCs/>
            <w:iCs/>
            <w:sz w:val="22"/>
            <w:szCs w:val="22"/>
          </w:rPr>
          <w:delText>A administração de Humira faz-se por injeção subcutânea. Instruções completas de utilização estão disponíveis no folheto informativo.</w:delText>
        </w:r>
      </w:del>
    </w:p>
    <w:p w14:paraId="0D4DCBFE" w14:textId="0FBC33CD" w:rsidR="004462A0" w:rsidRDefault="004462A0" w:rsidP="004462A0">
      <w:pPr>
        <w:rPr>
          <w:del w:id="530" w:author="AbbVie2" w:date="2025-05-13T16:36:00Z"/>
          <w:sz w:val="22"/>
          <w:szCs w:val="22"/>
        </w:rPr>
      </w:pPr>
    </w:p>
    <w:p w14:paraId="7C9791A8" w14:textId="469D24CC" w:rsidR="002022F7" w:rsidRPr="008912CF" w:rsidRDefault="00615769" w:rsidP="004462A0">
      <w:pPr>
        <w:rPr>
          <w:del w:id="531" w:author="AbbVie2" w:date="2025-05-13T16:36:00Z"/>
          <w:sz w:val="22"/>
          <w:szCs w:val="22"/>
        </w:rPr>
      </w:pPr>
      <w:del w:id="532" w:author="AbbVie2" w:date="2025-05-13T16:36:00Z">
        <w:r>
          <w:rPr>
            <w:sz w:val="22"/>
            <w:szCs w:val="22"/>
          </w:rPr>
          <w:delText>Humira está disponível em outras dosagens e apresentações.</w:delText>
        </w:r>
      </w:del>
    </w:p>
    <w:p w14:paraId="5DBBD7AF" w14:textId="159986C5" w:rsidR="004462A0" w:rsidRPr="008912CF" w:rsidRDefault="004462A0" w:rsidP="004462A0">
      <w:pPr>
        <w:rPr>
          <w:del w:id="533" w:author="AbbVie2" w:date="2025-05-13T16:36:00Z"/>
          <w:bCs/>
          <w:iCs/>
          <w:sz w:val="22"/>
          <w:szCs w:val="22"/>
        </w:rPr>
      </w:pPr>
    </w:p>
    <w:p w14:paraId="0A4E45F2" w14:textId="07250DB9" w:rsidR="004462A0" w:rsidRPr="008912CF" w:rsidRDefault="00615769" w:rsidP="004462A0">
      <w:pPr>
        <w:ind w:left="567" w:hanging="567"/>
        <w:rPr>
          <w:del w:id="534" w:author="AbbVie2" w:date="2025-05-13T16:36:00Z"/>
          <w:sz w:val="22"/>
          <w:szCs w:val="22"/>
        </w:rPr>
      </w:pPr>
      <w:del w:id="535" w:author="AbbVie2" w:date="2025-05-13T16:36:00Z">
        <w:r w:rsidRPr="008912CF">
          <w:rPr>
            <w:b/>
            <w:sz w:val="22"/>
            <w:szCs w:val="22"/>
          </w:rPr>
          <w:delText>4.3</w:delText>
        </w:r>
        <w:r w:rsidRPr="008912CF">
          <w:rPr>
            <w:b/>
            <w:sz w:val="22"/>
            <w:szCs w:val="22"/>
          </w:rPr>
          <w:tab/>
          <w:delText>Contraindicações</w:delText>
        </w:r>
      </w:del>
    </w:p>
    <w:p w14:paraId="77DE0191" w14:textId="338C15CD" w:rsidR="004462A0" w:rsidRPr="008912CF" w:rsidRDefault="004462A0" w:rsidP="004462A0">
      <w:pPr>
        <w:pStyle w:val="EndnoteText"/>
        <w:tabs>
          <w:tab w:val="clear" w:pos="567"/>
        </w:tabs>
        <w:rPr>
          <w:del w:id="536" w:author="AbbVie2" w:date="2025-05-13T16:36:00Z"/>
          <w:szCs w:val="22"/>
        </w:rPr>
      </w:pPr>
    </w:p>
    <w:p w14:paraId="1AEF21C5" w14:textId="7CF1A574" w:rsidR="004462A0" w:rsidRPr="008912CF" w:rsidRDefault="00615769" w:rsidP="004462A0">
      <w:pPr>
        <w:rPr>
          <w:del w:id="537" w:author="AbbVie2" w:date="2025-05-13T16:36:00Z"/>
          <w:sz w:val="22"/>
          <w:szCs w:val="22"/>
        </w:rPr>
      </w:pPr>
      <w:del w:id="538" w:author="AbbVie2" w:date="2025-05-13T16:36:00Z">
        <w:r w:rsidRPr="008912CF">
          <w:rPr>
            <w:sz w:val="22"/>
            <w:szCs w:val="22"/>
          </w:rPr>
          <w:delText>Hipersensibilidade à substância ativa ou a qualquer um dos excipientes mencionados na secção 6.1.</w:delText>
        </w:r>
      </w:del>
    </w:p>
    <w:p w14:paraId="62EF536A" w14:textId="5D654508" w:rsidR="004462A0" w:rsidRPr="008912CF" w:rsidRDefault="004462A0" w:rsidP="004462A0">
      <w:pPr>
        <w:rPr>
          <w:del w:id="539" w:author="AbbVie2" w:date="2025-05-13T16:36:00Z"/>
          <w:sz w:val="22"/>
          <w:szCs w:val="22"/>
        </w:rPr>
      </w:pPr>
    </w:p>
    <w:p w14:paraId="125FE2FA" w14:textId="1909F3DB" w:rsidR="004462A0" w:rsidRPr="008912CF" w:rsidRDefault="00615769" w:rsidP="004462A0">
      <w:pPr>
        <w:rPr>
          <w:del w:id="540" w:author="AbbVie2" w:date="2025-05-13T16:36:00Z"/>
          <w:bCs/>
          <w:iCs/>
          <w:sz w:val="22"/>
          <w:szCs w:val="22"/>
        </w:rPr>
      </w:pPr>
      <w:del w:id="541" w:author="AbbVie2" w:date="2025-05-13T16:36:00Z">
        <w:r w:rsidRPr="008912CF">
          <w:rPr>
            <w:sz w:val="22"/>
            <w:szCs w:val="22"/>
          </w:rPr>
          <w:delText>Tuberculose ativa ou outras infeções graves, nomeadamente, sepsia e infeções oportunistas (ver secção 4.4).</w:delText>
        </w:r>
      </w:del>
    </w:p>
    <w:p w14:paraId="03933FA8" w14:textId="2DDCC598" w:rsidR="004462A0" w:rsidRPr="008912CF" w:rsidRDefault="004462A0" w:rsidP="004462A0">
      <w:pPr>
        <w:pStyle w:val="BodyText2"/>
        <w:autoSpaceDE/>
        <w:autoSpaceDN/>
        <w:adjustRightInd/>
        <w:rPr>
          <w:del w:id="542" w:author="AbbVie2" w:date="2025-05-13T16:36:00Z"/>
          <w:bCs/>
          <w:iCs/>
          <w:szCs w:val="22"/>
        </w:rPr>
      </w:pPr>
    </w:p>
    <w:p w14:paraId="42FDB14D" w14:textId="36E2D258" w:rsidR="004462A0" w:rsidRPr="008912CF" w:rsidRDefault="00615769" w:rsidP="004462A0">
      <w:pPr>
        <w:pStyle w:val="BodyText2"/>
        <w:autoSpaceDE/>
        <w:autoSpaceDN/>
        <w:adjustRightInd/>
        <w:rPr>
          <w:del w:id="543" w:author="AbbVie2" w:date="2025-05-13T16:36:00Z"/>
          <w:bCs/>
          <w:iCs/>
          <w:szCs w:val="22"/>
        </w:rPr>
      </w:pPr>
      <w:del w:id="544" w:author="AbbVie2" w:date="2025-05-13T16:36:00Z">
        <w:r w:rsidRPr="008912CF">
          <w:rPr>
            <w:bCs/>
            <w:iCs/>
            <w:szCs w:val="22"/>
          </w:rPr>
          <w:delText>Insuficiência cardíaca moderada a grave (classe III/IV da NYHA) (ver secção 4.4).</w:delText>
        </w:r>
      </w:del>
    </w:p>
    <w:p w14:paraId="1987A354" w14:textId="36AC4E57" w:rsidR="004462A0" w:rsidRPr="008912CF" w:rsidRDefault="004462A0" w:rsidP="004462A0">
      <w:pPr>
        <w:pStyle w:val="EndnoteText"/>
        <w:tabs>
          <w:tab w:val="clear" w:pos="567"/>
        </w:tabs>
        <w:rPr>
          <w:del w:id="545" w:author="AbbVie2" w:date="2025-05-13T16:36:00Z"/>
          <w:bCs/>
          <w:iCs/>
          <w:szCs w:val="22"/>
          <w:highlight w:val="yellow"/>
        </w:rPr>
      </w:pPr>
    </w:p>
    <w:p w14:paraId="03918484" w14:textId="7E3F99C1" w:rsidR="004462A0" w:rsidRPr="008912CF" w:rsidRDefault="00615769" w:rsidP="00B538F3">
      <w:pPr>
        <w:keepNext/>
        <w:ind w:left="567" w:hanging="567"/>
        <w:rPr>
          <w:del w:id="546" w:author="AbbVie2" w:date="2025-05-13T16:36:00Z"/>
          <w:b/>
          <w:sz w:val="22"/>
          <w:szCs w:val="22"/>
        </w:rPr>
      </w:pPr>
      <w:del w:id="547" w:author="AbbVie2" w:date="2025-05-13T16:36:00Z">
        <w:r w:rsidRPr="008912CF">
          <w:rPr>
            <w:b/>
            <w:sz w:val="22"/>
            <w:szCs w:val="22"/>
          </w:rPr>
          <w:delText>4.4</w:delText>
        </w:r>
        <w:r w:rsidRPr="008912CF">
          <w:rPr>
            <w:sz w:val="22"/>
            <w:szCs w:val="22"/>
          </w:rPr>
          <w:tab/>
        </w:r>
        <w:r w:rsidRPr="008912CF">
          <w:rPr>
            <w:b/>
            <w:sz w:val="22"/>
            <w:szCs w:val="22"/>
          </w:rPr>
          <w:delText>Advertências e precauções especiais de utilização</w:delText>
        </w:r>
      </w:del>
    </w:p>
    <w:p w14:paraId="00957BDF" w14:textId="68FA7B78" w:rsidR="004462A0" w:rsidRPr="008912CF" w:rsidRDefault="004462A0" w:rsidP="00B538F3">
      <w:pPr>
        <w:keepNext/>
        <w:rPr>
          <w:del w:id="548" w:author="AbbVie2" w:date="2025-05-13T16:36:00Z"/>
          <w:sz w:val="22"/>
          <w:szCs w:val="22"/>
        </w:rPr>
      </w:pPr>
    </w:p>
    <w:p w14:paraId="01BDCB2B" w14:textId="2AFA7EDF" w:rsidR="002022F7" w:rsidRDefault="00615769" w:rsidP="00B538F3">
      <w:pPr>
        <w:keepNext/>
        <w:tabs>
          <w:tab w:val="left" w:pos="567"/>
        </w:tabs>
        <w:autoSpaceDE w:val="0"/>
        <w:autoSpaceDN w:val="0"/>
        <w:adjustRightInd w:val="0"/>
        <w:outlineLvl w:val="3"/>
        <w:rPr>
          <w:del w:id="549" w:author="AbbVie2" w:date="2025-05-13T16:36:00Z"/>
          <w:sz w:val="22"/>
          <w:szCs w:val="22"/>
          <w:u w:val="single"/>
        </w:rPr>
      </w:pPr>
      <w:del w:id="550" w:author="AbbVie2" w:date="2025-05-13T16:36:00Z">
        <w:r w:rsidRPr="002339BF">
          <w:rPr>
            <w:sz w:val="22"/>
            <w:szCs w:val="22"/>
            <w:u w:val="single"/>
          </w:rPr>
          <w:delText xml:space="preserve">Rastreabilidade </w:delText>
        </w:r>
      </w:del>
    </w:p>
    <w:p w14:paraId="6927EA17" w14:textId="66E20441" w:rsidR="002022F7" w:rsidRPr="002339BF" w:rsidRDefault="002022F7" w:rsidP="00B538F3">
      <w:pPr>
        <w:keepNext/>
        <w:tabs>
          <w:tab w:val="left" w:pos="567"/>
        </w:tabs>
        <w:autoSpaceDE w:val="0"/>
        <w:autoSpaceDN w:val="0"/>
        <w:adjustRightInd w:val="0"/>
        <w:outlineLvl w:val="3"/>
        <w:rPr>
          <w:del w:id="551" w:author="AbbVie2" w:date="2025-05-13T16:36:00Z"/>
          <w:sz w:val="22"/>
          <w:szCs w:val="22"/>
          <w:u w:val="single"/>
        </w:rPr>
      </w:pPr>
    </w:p>
    <w:p w14:paraId="3B4C65E8" w14:textId="6CDA09D0" w:rsidR="004462A0" w:rsidRPr="008912CF" w:rsidRDefault="00615769" w:rsidP="004462A0">
      <w:pPr>
        <w:tabs>
          <w:tab w:val="left" w:pos="567"/>
        </w:tabs>
        <w:autoSpaceDE w:val="0"/>
        <w:autoSpaceDN w:val="0"/>
        <w:adjustRightInd w:val="0"/>
        <w:outlineLvl w:val="3"/>
        <w:rPr>
          <w:del w:id="552" w:author="AbbVie2" w:date="2025-05-13T16:36:00Z"/>
          <w:sz w:val="22"/>
          <w:szCs w:val="22"/>
          <w:u w:val="single"/>
        </w:rPr>
      </w:pPr>
      <w:del w:id="553" w:author="AbbVie2" w:date="2025-05-13T16:36:00Z">
        <w:r w:rsidRPr="008912CF">
          <w:rPr>
            <w:sz w:val="22"/>
            <w:szCs w:val="22"/>
          </w:rPr>
          <w:delText xml:space="preserve">De forma a melhorar a rastreabilidade dos medicamentos biológicos, </w:delText>
        </w:r>
        <w:r w:rsidR="002022F7">
          <w:rPr>
            <w:sz w:val="22"/>
            <w:szCs w:val="22"/>
          </w:rPr>
          <w:delText xml:space="preserve">o nome </w:delText>
        </w:r>
        <w:r w:rsidRPr="008912CF">
          <w:rPr>
            <w:sz w:val="22"/>
            <w:szCs w:val="22"/>
          </w:rPr>
          <w:delText>e o número de lote do medicamento administrado devem ser registados</w:delText>
        </w:r>
        <w:r w:rsidR="00372684">
          <w:rPr>
            <w:sz w:val="22"/>
            <w:szCs w:val="22"/>
          </w:rPr>
          <w:delText xml:space="preserve"> de forma clara</w:delText>
        </w:r>
        <w:r w:rsidRPr="008912CF">
          <w:rPr>
            <w:sz w:val="22"/>
            <w:szCs w:val="22"/>
          </w:rPr>
          <w:delText xml:space="preserve">. </w:delText>
        </w:r>
      </w:del>
    </w:p>
    <w:p w14:paraId="7CEE55EF" w14:textId="03B76707" w:rsidR="004462A0" w:rsidRPr="008912CF" w:rsidRDefault="004462A0" w:rsidP="004462A0">
      <w:pPr>
        <w:pStyle w:val="Heading4"/>
        <w:keepNext w:val="0"/>
        <w:autoSpaceDE w:val="0"/>
        <w:autoSpaceDN w:val="0"/>
        <w:adjustRightInd w:val="0"/>
        <w:spacing w:line="240" w:lineRule="auto"/>
        <w:jc w:val="left"/>
        <w:rPr>
          <w:del w:id="554" w:author="AbbVie2" w:date="2025-05-13T16:36:00Z"/>
          <w:b w:val="0"/>
          <w:noProof w:val="0"/>
          <w:szCs w:val="22"/>
          <w:u w:val="single"/>
        </w:rPr>
      </w:pPr>
    </w:p>
    <w:p w14:paraId="5E63BE2A" w14:textId="2599E4DA" w:rsidR="004462A0" w:rsidRPr="008912CF" w:rsidRDefault="00615769" w:rsidP="004E29A4">
      <w:pPr>
        <w:pStyle w:val="Heading4"/>
        <w:autoSpaceDE w:val="0"/>
        <w:autoSpaceDN w:val="0"/>
        <w:adjustRightInd w:val="0"/>
        <w:spacing w:line="240" w:lineRule="auto"/>
        <w:jc w:val="left"/>
        <w:rPr>
          <w:del w:id="555" w:author="AbbVie2" w:date="2025-05-13T16:36:00Z"/>
          <w:b w:val="0"/>
          <w:noProof w:val="0"/>
          <w:szCs w:val="22"/>
          <w:u w:val="single"/>
        </w:rPr>
      </w:pPr>
      <w:del w:id="556" w:author="AbbVie2" w:date="2025-05-13T16:36:00Z">
        <w:r w:rsidRPr="008912CF">
          <w:rPr>
            <w:b w:val="0"/>
            <w:noProof w:val="0"/>
            <w:szCs w:val="22"/>
            <w:u w:val="single"/>
          </w:rPr>
          <w:delText>Infeções</w:delText>
        </w:r>
      </w:del>
    </w:p>
    <w:p w14:paraId="33833357" w14:textId="1BED3EF6" w:rsidR="004462A0" w:rsidRPr="008912CF" w:rsidRDefault="004462A0" w:rsidP="004E29A4">
      <w:pPr>
        <w:keepNext/>
        <w:rPr>
          <w:del w:id="557" w:author="AbbVie2" w:date="2025-05-13T16:36:00Z"/>
          <w:sz w:val="22"/>
          <w:szCs w:val="22"/>
        </w:rPr>
      </w:pPr>
    </w:p>
    <w:p w14:paraId="4B556187" w14:textId="30EA27FE" w:rsidR="004462A0" w:rsidRPr="008912CF" w:rsidRDefault="00615769" w:rsidP="004E29A4">
      <w:pPr>
        <w:keepNext/>
        <w:rPr>
          <w:del w:id="558" w:author="AbbVie2" w:date="2025-05-13T16:36:00Z"/>
          <w:sz w:val="22"/>
          <w:szCs w:val="22"/>
        </w:rPr>
      </w:pPr>
      <w:del w:id="559" w:author="AbbVie2" w:date="2025-05-13T16:36:00Z">
        <w:r w:rsidRPr="008912CF">
          <w:rPr>
            <w:sz w:val="22"/>
            <w:szCs w:val="22"/>
          </w:rPr>
          <w:delText>Doentes tratados com antagonistas</w:delText>
        </w:r>
        <w:r w:rsidRPr="008912CF">
          <w:rPr>
            <w:sz w:val="22"/>
            <w:szCs w:val="22"/>
          </w:rPr>
          <w:noBreakHyphen/>
        </w:r>
        <w:r w:rsidRPr="008912CF">
          <w:rPr>
            <w:sz w:val="22"/>
            <w:szCs w:val="22"/>
          </w:rPr>
          <w:delText>TNF são mais suscetíveis a infeções graves. Função pulmonar comprometida pode aumentar o risco de desenvolver infeções. Os doentes devem por isso ser cuidadosamente monitorizados para despiste de infeções, incluindo tuberculose, antes, durante e após o tratamento com Humira. Dado que a eliminação de adalimumab pode levar até quatro meses, a monitorização deve ser continuada durante este período de tempo.</w:delText>
        </w:r>
      </w:del>
    </w:p>
    <w:p w14:paraId="258B587A" w14:textId="220CFA4A" w:rsidR="004462A0" w:rsidRPr="008912CF" w:rsidRDefault="004462A0" w:rsidP="004462A0">
      <w:pPr>
        <w:autoSpaceDE w:val="0"/>
        <w:autoSpaceDN w:val="0"/>
        <w:adjustRightInd w:val="0"/>
        <w:rPr>
          <w:del w:id="560" w:author="AbbVie2" w:date="2025-05-13T16:36:00Z"/>
          <w:sz w:val="22"/>
          <w:szCs w:val="22"/>
        </w:rPr>
      </w:pPr>
    </w:p>
    <w:p w14:paraId="6DCE1164" w14:textId="6A1B0963" w:rsidR="004462A0" w:rsidRPr="008912CF" w:rsidRDefault="00615769" w:rsidP="004462A0">
      <w:pPr>
        <w:autoSpaceDE w:val="0"/>
        <w:autoSpaceDN w:val="0"/>
        <w:adjustRightInd w:val="0"/>
        <w:rPr>
          <w:del w:id="561" w:author="AbbVie2" w:date="2025-05-13T16:36:00Z"/>
          <w:sz w:val="22"/>
          <w:szCs w:val="22"/>
        </w:rPr>
      </w:pPr>
      <w:del w:id="562" w:author="AbbVie2" w:date="2025-05-13T16:36:00Z">
        <w:r w:rsidRPr="008912CF">
          <w:rPr>
            <w:sz w:val="22"/>
            <w:szCs w:val="22"/>
          </w:rPr>
          <w:delText xml:space="preserve">O tratamento com Humira não deve ser iniciado em doentes com infeções ativas, incluindo infeções crónicas ou localizadas, até que as mesmas estejam controladas. Nos doentes que foram expostos à tuberculose e doentes que viajaram para zonas de alto risco de tuberculose ou micoses endémicas, tais como histoplasmose, </w:delText>
        </w:r>
        <w:r w:rsidRPr="008912CF">
          <w:rPr>
            <w:color w:val="000000"/>
            <w:sz w:val="22"/>
            <w:szCs w:val="22"/>
          </w:rPr>
          <w:delText>coccidioidomicose</w:delText>
        </w:r>
        <w:r w:rsidRPr="008912CF">
          <w:rPr>
            <w:sz w:val="22"/>
            <w:szCs w:val="22"/>
          </w:rPr>
          <w:delText>, ou blastomicose, deverá ser considerado o risco e os benefícios do tratamento com Humira antes de iniciar a terapêutica (</w:delText>
        </w:r>
        <w:r w:rsidRPr="00DF5632">
          <w:rPr>
            <w:iCs/>
            <w:sz w:val="22"/>
            <w:szCs w:val="22"/>
          </w:rPr>
          <w:delText>ver</w:delText>
        </w:r>
        <w:r w:rsidRPr="008912CF">
          <w:rPr>
            <w:i/>
            <w:iCs/>
            <w:sz w:val="22"/>
            <w:szCs w:val="22"/>
          </w:rPr>
          <w:delText xml:space="preserve"> Outras infeções oportunistas</w:delText>
        </w:r>
        <w:r w:rsidRPr="008912CF">
          <w:rPr>
            <w:sz w:val="22"/>
            <w:szCs w:val="22"/>
          </w:rPr>
          <w:delText>).</w:delText>
        </w:r>
      </w:del>
    </w:p>
    <w:p w14:paraId="157E17B3" w14:textId="2A4407EA" w:rsidR="004462A0" w:rsidRPr="008912CF" w:rsidRDefault="004462A0" w:rsidP="004462A0">
      <w:pPr>
        <w:autoSpaceDE w:val="0"/>
        <w:autoSpaceDN w:val="0"/>
        <w:adjustRightInd w:val="0"/>
        <w:rPr>
          <w:del w:id="563" w:author="AbbVie2" w:date="2025-05-13T16:36:00Z"/>
          <w:sz w:val="22"/>
          <w:szCs w:val="22"/>
        </w:rPr>
      </w:pPr>
    </w:p>
    <w:p w14:paraId="215FF6EF" w14:textId="778FD753" w:rsidR="004462A0" w:rsidRPr="008912CF" w:rsidRDefault="00615769" w:rsidP="004462A0">
      <w:pPr>
        <w:autoSpaceDE w:val="0"/>
        <w:autoSpaceDN w:val="0"/>
        <w:adjustRightInd w:val="0"/>
        <w:rPr>
          <w:del w:id="564" w:author="AbbVie2" w:date="2025-05-13T16:36:00Z"/>
          <w:sz w:val="22"/>
          <w:szCs w:val="22"/>
        </w:rPr>
      </w:pPr>
      <w:del w:id="565" w:author="AbbVie2" w:date="2025-05-13T16:36:00Z">
        <w:r w:rsidRPr="008912CF">
          <w:rPr>
            <w:sz w:val="22"/>
            <w:szCs w:val="22"/>
          </w:rPr>
          <w:delText>Os doentes que desenvolvam uma nova infeção no decurso do tratamento com Humira devem ser cuidadosamente monitorizados e submetidos a uma avaliação completa do diagnóstico. A administração de Humira deve ser interrompida se um doente desenvolver uma nova infeção grave ou sepsia, e deve ser iniciada uma terapêutica antimicrobiana ou antifúngica apropriada até controlo da infeção. Os médicos devem ter precaução quando consideram o uso de Humira em doentes com história de infeção recorrente ou com condições su</w:delText>
        </w:r>
        <w:r w:rsidRPr="008912CF">
          <w:rPr>
            <w:sz w:val="22"/>
            <w:szCs w:val="22"/>
          </w:rPr>
          <w:delText>bjacentes suscetíveis de os predispor a infeções, incluindo o uso concomitante de medicação imunossupressora.</w:delText>
        </w:r>
      </w:del>
    </w:p>
    <w:p w14:paraId="7990FE8B" w14:textId="644493F8" w:rsidR="004462A0" w:rsidRPr="008912CF" w:rsidRDefault="004462A0" w:rsidP="004462A0">
      <w:pPr>
        <w:autoSpaceDE w:val="0"/>
        <w:autoSpaceDN w:val="0"/>
        <w:adjustRightInd w:val="0"/>
        <w:rPr>
          <w:del w:id="566" w:author="AbbVie2" w:date="2025-05-13T16:36:00Z"/>
          <w:sz w:val="22"/>
          <w:szCs w:val="22"/>
        </w:rPr>
      </w:pPr>
    </w:p>
    <w:p w14:paraId="4A8224E3" w14:textId="7414777D" w:rsidR="004462A0" w:rsidRPr="008912CF" w:rsidRDefault="00615769" w:rsidP="004462A0">
      <w:pPr>
        <w:autoSpaceDE w:val="0"/>
        <w:autoSpaceDN w:val="0"/>
        <w:adjustRightInd w:val="0"/>
        <w:rPr>
          <w:del w:id="567" w:author="AbbVie2" w:date="2025-05-13T16:36:00Z"/>
          <w:i/>
          <w:iCs/>
          <w:sz w:val="22"/>
          <w:szCs w:val="22"/>
        </w:rPr>
      </w:pPr>
      <w:del w:id="568" w:author="AbbVie2" w:date="2025-05-13T16:36:00Z">
        <w:r w:rsidRPr="008912CF">
          <w:rPr>
            <w:i/>
            <w:iCs/>
            <w:sz w:val="22"/>
            <w:szCs w:val="22"/>
          </w:rPr>
          <w:delText>Infeções graves</w:delText>
        </w:r>
      </w:del>
    </w:p>
    <w:p w14:paraId="7DCE052F" w14:textId="5038E77A" w:rsidR="004462A0" w:rsidRPr="008912CF" w:rsidRDefault="004462A0" w:rsidP="004462A0">
      <w:pPr>
        <w:autoSpaceDE w:val="0"/>
        <w:autoSpaceDN w:val="0"/>
        <w:adjustRightInd w:val="0"/>
        <w:rPr>
          <w:del w:id="569" w:author="AbbVie2" w:date="2025-05-13T16:36:00Z"/>
          <w:sz w:val="22"/>
          <w:szCs w:val="22"/>
        </w:rPr>
      </w:pPr>
    </w:p>
    <w:p w14:paraId="63A9CB6A" w14:textId="3A39792D" w:rsidR="004462A0" w:rsidRPr="008912CF" w:rsidRDefault="00615769" w:rsidP="004462A0">
      <w:pPr>
        <w:autoSpaceDE w:val="0"/>
        <w:autoSpaceDN w:val="0"/>
        <w:adjustRightInd w:val="0"/>
        <w:rPr>
          <w:del w:id="570" w:author="AbbVie2" w:date="2025-05-13T16:36:00Z"/>
          <w:sz w:val="22"/>
          <w:szCs w:val="22"/>
        </w:rPr>
      </w:pPr>
      <w:del w:id="571" w:author="AbbVie2" w:date="2025-05-13T16:36:00Z">
        <w:r w:rsidRPr="008912CF">
          <w:rPr>
            <w:sz w:val="22"/>
            <w:szCs w:val="22"/>
          </w:rPr>
          <w:delText>Foram notificadas infeções graves, incluindo sepsia, devido a infeções bacterianas, micobacterianas, fúngicas, parasitárias e virais invasivas, ou outras infeções oportunistas tais como listeriose, l</w:delText>
        </w:r>
        <w:r w:rsidRPr="008912CF">
          <w:rPr>
            <w:sz w:val="22"/>
            <w:u w:color="0000FF"/>
          </w:rPr>
          <w:delText xml:space="preserve">egionelose </w:delText>
        </w:r>
        <w:r w:rsidRPr="008912CF">
          <w:rPr>
            <w:sz w:val="22"/>
            <w:szCs w:val="22"/>
          </w:rPr>
          <w:delText xml:space="preserve">e </w:delText>
        </w:r>
        <w:r w:rsidRPr="008912CF">
          <w:rPr>
            <w:iCs/>
            <w:sz w:val="22"/>
            <w:szCs w:val="22"/>
          </w:rPr>
          <w:delText>pneumocistose</w:delText>
        </w:r>
        <w:r w:rsidRPr="008912CF">
          <w:rPr>
            <w:i/>
            <w:iCs/>
            <w:sz w:val="22"/>
            <w:szCs w:val="22"/>
          </w:rPr>
          <w:delText>,</w:delText>
        </w:r>
        <w:r w:rsidRPr="008912CF">
          <w:rPr>
            <w:sz w:val="22"/>
            <w:szCs w:val="22"/>
          </w:rPr>
          <w:delText xml:space="preserve"> em doentes tratados com Humira. </w:delText>
        </w:r>
      </w:del>
    </w:p>
    <w:p w14:paraId="03ED9EB8" w14:textId="49EA864B" w:rsidR="004462A0" w:rsidRPr="008912CF" w:rsidRDefault="004462A0" w:rsidP="004462A0">
      <w:pPr>
        <w:autoSpaceDE w:val="0"/>
        <w:autoSpaceDN w:val="0"/>
        <w:adjustRightInd w:val="0"/>
        <w:rPr>
          <w:del w:id="572" w:author="AbbVie2" w:date="2025-05-13T16:36:00Z"/>
          <w:sz w:val="22"/>
          <w:szCs w:val="22"/>
        </w:rPr>
      </w:pPr>
    </w:p>
    <w:p w14:paraId="4DEE99F6" w14:textId="7532AAE1" w:rsidR="004462A0" w:rsidRPr="008912CF" w:rsidRDefault="00615769" w:rsidP="004462A0">
      <w:pPr>
        <w:autoSpaceDE w:val="0"/>
        <w:autoSpaceDN w:val="0"/>
        <w:adjustRightInd w:val="0"/>
        <w:rPr>
          <w:del w:id="573" w:author="AbbVie2" w:date="2025-05-13T16:36:00Z"/>
          <w:sz w:val="22"/>
          <w:szCs w:val="22"/>
        </w:rPr>
      </w:pPr>
      <w:del w:id="574" w:author="AbbVie2" w:date="2025-05-13T16:36:00Z">
        <w:r w:rsidRPr="008912CF">
          <w:rPr>
            <w:sz w:val="22"/>
            <w:szCs w:val="22"/>
          </w:rPr>
          <w:delText>Outras infeções graves observadas em ensaios clínicos incluem pneumonia, pielonefrite, artrite séptica e septicemia. Foram notificadas hospitalizações ou casos fatais associadas a infeções.</w:delText>
        </w:r>
      </w:del>
    </w:p>
    <w:p w14:paraId="55955725" w14:textId="33D27CF0" w:rsidR="004462A0" w:rsidRPr="008912CF" w:rsidRDefault="004462A0" w:rsidP="004462A0">
      <w:pPr>
        <w:autoSpaceDE w:val="0"/>
        <w:autoSpaceDN w:val="0"/>
        <w:adjustRightInd w:val="0"/>
        <w:rPr>
          <w:del w:id="575" w:author="AbbVie2" w:date="2025-05-13T16:36:00Z"/>
          <w:sz w:val="22"/>
          <w:szCs w:val="22"/>
        </w:rPr>
      </w:pPr>
    </w:p>
    <w:p w14:paraId="5D3D0C0B" w14:textId="54EFA398" w:rsidR="004462A0" w:rsidRPr="008912CF" w:rsidRDefault="00615769" w:rsidP="004462A0">
      <w:pPr>
        <w:autoSpaceDE w:val="0"/>
        <w:autoSpaceDN w:val="0"/>
        <w:adjustRightInd w:val="0"/>
        <w:rPr>
          <w:del w:id="576" w:author="AbbVie2" w:date="2025-05-13T16:36:00Z"/>
          <w:i/>
          <w:iCs/>
          <w:sz w:val="22"/>
          <w:szCs w:val="22"/>
        </w:rPr>
      </w:pPr>
      <w:del w:id="577" w:author="AbbVie2" w:date="2025-05-13T16:36:00Z">
        <w:r w:rsidRPr="008912CF">
          <w:rPr>
            <w:i/>
            <w:iCs/>
            <w:sz w:val="22"/>
            <w:szCs w:val="22"/>
          </w:rPr>
          <w:delText>Tuberculose</w:delText>
        </w:r>
      </w:del>
    </w:p>
    <w:p w14:paraId="0A03E787" w14:textId="0863D750" w:rsidR="004462A0" w:rsidRPr="008912CF" w:rsidRDefault="004462A0" w:rsidP="004462A0">
      <w:pPr>
        <w:autoSpaceDE w:val="0"/>
        <w:autoSpaceDN w:val="0"/>
        <w:adjustRightInd w:val="0"/>
        <w:rPr>
          <w:del w:id="578" w:author="AbbVie2" w:date="2025-05-13T16:36:00Z"/>
          <w:sz w:val="22"/>
          <w:szCs w:val="22"/>
        </w:rPr>
      </w:pPr>
    </w:p>
    <w:p w14:paraId="52D5DE3D" w14:textId="361E96C9" w:rsidR="004462A0" w:rsidRPr="008912CF" w:rsidRDefault="00615769" w:rsidP="004462A0">
      <w:pPr>
        <w:autoSpaceDE w:val="0"/>
        <w:autoSpaceDN w:val="0"/>
        <w:adjustRightInd w:val="0"/>
        <w:rPr>
          <w:del w:id="579" w:author="AbbVie2" w:date="2025-05-13T16:36:00Z"/>
          <w:sz w:val="22"/>
          <w:szCs w:val="22"/>
        </w:rPr>
      </w:pPr>
      <w:del w:id="580" w:author="AbbVie2" w:date="2025-05-13T16:36:00Z">
        <w:r w:rsidRPr="008912CF">
          <w:rPr>
            <w:sz w:val="22"/>
            <w:szCs w:val="22"/>
          </w:rPr>
          <w:delText>Foram notificados casos de tuberculose</w:delText>
        </w:r>
        <w:r w:rsidR="008A40F5">
          <w:rPr>
            <w:sz w:val="22"/>
            <w:szCs w:val="22"/>
          </w:rPr>
          <w:delText>,</w:delText>
        </w:r>
        <w:r w:rsidRPr="008912CF">
          <w:rPr>
            <w:sz w:val="22"/>
            <w:szCs w:val="22"/>
          </w:rPr>
          <w:delText xml:space="preserve"> incluindo reativação e novo aparecimento de tuberculose</w:delText>
        </w:r>
        <w:r w:rsidR="008A40F5">
          <w:rPr>
            <w:sz w:val="22"/>
            <w:szCs w:val="22"/>
          </w:rPr>
          <w:delText>,</w:delText>
        </w:r>
        <w:r w:rsidRPr="008912CF">
          <w:rPr>
            <w:sz w:val="22"/>
            <w:szCs w:val="22"/>
          </w:rPr>
          <w:delText xml:space="preserve"> em doentes tratados com Humira. Os casos notificados incluíram tuberculose pulmonar e extrapulmonar (isto é</w:delText>
        </w:r>
        <w:r w:rsidR="0084367E">
          <w:rPr>
            <w:sz w:val="22"/>
            <w:szCs w:val="22"/>
          </w:rPr>
          <w:delText>,</w:delText>
        </w:r>
        <w:r w:rsidRPr="008912CF">
          <w:rPr>
            <w:sz w:val="22"/>
            <w:szCs w:val="22"/>
          </w:rPr>
          <w:delText xml:space="preserve"> disseminada).</w:delText>
        </w:r>
      </w:del>
    </w:p>
    <w:p w14:paraId="71BBACD7" w14:textId="4E8B7F66" w:rsidR="004462A0" w:rsidRPr="008912CF" w:rsidRDefault="004462A0" w:rsidP="004462A0">
      <w:pPr>
        <w:autoSpaceDE w:val="0"/>
        <w:autoSpaceDN w:val="0"/>
        <w:adjustRightInd w:val="0"/>
        <w:rPr>
          <w:del w:id="581" w:author="AbbVie2" w:date="2025-05-13T16:36:00Z"/>
          <w:sz w:val="22"/>
          <w:szCs w:val="22"/>
        </w:rPr>
      </w:pPr>
    </w:p>
    <w:p w14:paraId="47E29669" w14:textId="11F0B536" w:rsidR="004462A0" w:rsidRPr="008912CF" w:rsidRDefault="00615769" w:rsidP="004462A0">
      <w:pPr>
        <w:pStyle w:val="BodyText2"/>
        <w:rPr>
          <w:del w:id="582" w:author="AbbVie2" w:date="2025-05-13T16:36:00Z"/>
          <w:szCs w:val="22"/>
          <w:u w:val="single"/>
        </w:rPr>
      </w:pPr>
      <w:del w:id="583" w:author="AbbVie2" w:date="2025-05-13T16:36:00Z">
        <w:r w:rsidRPr="008912CF">
          <w:rPr>
            <w:szCs w:val="22"/>
          </w:rPr>
          <w:delText>Antes de iniciar a terapêutica com Humira, todos os doentes devem ser avaliados para despiste da presença de infeção por tuberculose</w:delText>
        </w:r>
        <w:r w:rsidR="0084367E">
          <w:rPr>
            <w:szCs w:val="22"/>
          </w:rPr>
          <w:delText>,</w:delText>
        </w:r>
        <w:r w:rsidRPr="008912CF">
          <w:rPr>
            <w:szCs w:val="22"/>
          </w:rPr>
          <w:delText xml:space="preserve"> tanto ativa como inativa (“latente”). Esta avaliação deve incluir uma avaliação clínica detalhada dos doentes com antecedentes da tuberculose ou de uma possível exposição prévia a indivíduos com tuberculose ativa e uma terapêutica imunossupressora prévia e/ou presente. Devem realizar-se exames de despiste apropriados (isto é, teste de tuberculina e radiografia do tórax) em todos os doentes (devem aplicar-se as recomendações locais). A realização e o resultado destes exames são registados no </w:delText>
        </w:r>
        <w:r w:rsidR="00BE3E75">
          <w:rPr>
            <w:szCs w:val="22"/>
          </w:rPr>
          <w:delText>C</w:delText>
        </w:r>
        <w:r w:rsidRPr="008912CF">
          <w:rPr>
            <w:szCs w:val="22"/>
          </w:rPr>
          <w:delText xml:space="preserve">artão de </w:delText>
        </w:r>
        <w:r w:rsidR="00BE3E75">
          <w:rPr>
            <w:szCs w:val="22"/>
          </w:rPr>
          <w:delText>S</w:delText>
        </w:r>
        <w:r w:rsidRPr="008912CF">
          <w:rPr>
            <w:szCs w:val="22"/>
          </w:rPr>
          <w:delText>egur</w:delText>
        </w:r>
        <w:r w:rsidRPr="008912CF">
          <w:rPr>
            <w:szCs w:val="22"/>
          </w:rPr>
          <w:delText xml:space="preserve">ança do </w:delText>
        </w:r>
        <w:r w:rsidR="00BE3E75">
          <w:rPr>
            <w:szCs w:val="22"/>
          </w:rPr>
          <w:delText>D</w:delText>
        </w:r>
        <w:r w:rsidRPr="008912CF">
          <w:rPr>
            <w:szCs w:val="22"/>
          </w:rPr>
          <w:delText>oente. O médico prescritor deve ser avisado sobre o risco de resultados falsos negativos nos testes de tuberculina, especialmente nos doentes em estado grave ou imunocomprometidos.</w:delText>
        </w:r>
      </w:del>
    </w:p>
    <w:p w14:paraId="5AB11FF9" w14:textId="5A6489EB" w:rsidR="004462A0" w:rsidRPr="008912CF" w:rsidRDefault="004462A0" w:rsidP="004462A0">
      <w:pPr>
        <w:autoSpaceDE w:val="0"/>
        <w:autoSpaceDN w:val="0"/>
        <w:adjustRightInd w:val="0"/>
        <w:rPr>
          <w:del w:id="584" w:author="AbbVie2" w:date="2025-05-13T16:36:00Z"/>
          <w:sz w:val="22"/>
          <w:szCs w:val="22"/>
          <w:u w:val="single"/>
        </w:rPr>
      </w:pPr>
    </w:p>
    <w:p w14:paraId="58246787" w14:textId="5FB9A230" w:rsidR="004462A0" w:rsidRPr="008912CF" w:rsidRDefault="00615769" w:rsidP="004462A0">
      <w:pPr>
        <w:pStyle w:val="EndnoteText"/>
        <w:rPr>
          <w:del w:id="585" w:author="AbbVie2" w:date="2025-05-13T16:36:00Z"/>
          <w:szCs w:val="22"/>
        </w:rPr>
      </w:pPr>
      <w:del w:id="586" w:author="AbbVie2" w:date="2025-05-13T16:36:00Z">
        <w:r w:rsidRPr="008912CF">
          <w:rPr>
            <w:szCs w:val="22"/>
          </w:rPr>
          <w:delText>Não se deve iniciar a terapêutica com Humira em caso de diagnóstico de tuberculose ativa (ver secção 4.3).</w:delText>
        </w:r>
        <w:r w:rsidRPr="008912CF">
          <w:rPr>
            <w:i/>
            <w:szCs w:val="22"/>
          </w:rPr>
          <w:delText xml:space="preserve"> </w:delText>
        </w:r>
      </w:del>
    </w:p>
    <w:p w14:paraId="07A4783E" w14:textId="6F8FF097" w:rsidR="004462A0" w:rsidRPr="008912CF" w:rsidRDefault="004462A0" w:rsidP="004462A0">
      <w:pPr>
        <w:rPr>
          <w:del w:id="587" w:author="AbbVie2" w:date="2025-05-13T16:36:00Z"/>
          <w:sz w:val="22"/>
          <w:szCs w:val="22"/>
        </w:rPr>
      </w:pPr>
    </w:p>
    <w:p w14:paraId="4BA59FF7" w14:textId="28967230" w:rsidR="004462A0" w:rsidRPr="008912CF" w:rsidRDefault="00615769" w:rsidP="004462A0">
      <w:pPr>
        <w:rPr>
          <w:del w:id="588" w:author="AbbVie2" w:date="2025-05-13T16:36:00Z"/>
          <w:sz w:val="22"/>
          <w:szCs w:val="22"/>
        </w:rPr>
      </w:pPr>
      <w:del w:id="589" w:author="AbbVie2" w:date="2025-05-13T16:36:00Z">
        <w:r w:rsidRPr="008912CF">
          <w:rPr>
            <w:sz w:val="22"/>
            <w:szCs w:val="22"/>
          </w:rPr>
          <w:delText>Em todas as situações abaixo descritas, a relação benefício/risco da terapêutica deve ser muito cuidadosamente ponderada.</w:delText>
        </w:r>
      </w:del>
    </w:p>
    <w:p w14:paraId="2BF69E79" w14:textId="2EA75C7A" w:rsidR="004462A0" w:rsidRPr="008912CF" w:rsidRDefault="004462A0" w:rsidP="004462A0">
      <w:pPr>
        <w:rPr>
          <w:del w:id="590" w:author="AbbVie2" w:date="2025-05-13T16:36:00Z"/>
          <w:sz w:val="22"/>
          <w:szCs w:val="22"/>
        </w:rPr>
      </w:pPr>
    </w:p>
    <w:p w14:paraId="2F2A5655" w14:textId="68DE4B45" w:rsidR="004462A0" w:rsidRPr="008912CF" w:rsidRDefault="00615769" w:rsidP="004462A0">
      <w:pPr>
        <w:pStyle w:val="BodyText2"/>
        <w:autoSpaceDE/>
        <w:autoSpaceDN/>
        <w:adjustRightInd/>
        <w:rPr>
          <w:del w:id="591" w:author="AbbVie2" w:date="2025-05-13T16:36:00Z"/>
          <w:i/>
          <w:szCs w:val="22"/>
        </w:rPr>
      </w:pPr>
      <w:del w:id="592" w:author="AbbVie2" w:date="2025-05-13T16:36:00Z">
        <w:r w:rsidRPr="008912CF">
          <w:rPr>
            <w:szCs w:val="22"/>
          </w:rPr>
          <w:delText xml:space="preserve">Em caso de suspeita de tuberculose latente, deve ser consultado um médico com experiência no tratamento da tuberculose. </w:delText>
        </w:r>
      </w:del>
    </w:p>
    <w:p w14:paraId="063ED492" w14:textId="32FA92F9" w:rsidR="004462A0" w:rsidRPr="008912CF" w:rsidRDefault="004462A0" w:rsidP="004462A0">
      <w:pPr>
        <w:rPr>
          <w:del w:id="593" w:author="AbbVie2" w:date="2025-05-13T16:36:00Z"/>
          <w:color w:val="000000"/>
          <w:sz w:val="22"/>
          <w:szCs w:val="22"/>
        </w:rPr>
      </w:pPr>
    </w:p>
    <w:p w14:paraId="336DA8C6" w14:textId="25AC1374" w:rsidR="004462A0" w:rsidRPr="008912CF" w:rsidRDefault="00615769" w:rsidP="004462A0">
      <w:pPr>
        <w:autoSpaceDE w:val="0"/>
        <w:autoSpaceDN w:val="0"/>
        <w:adjustRightInd w:val="0"/>
        <w:rPr>
          <w:del w:id="594" w:author="AbbVie2" w:date="2025-05-13T16:36:00Z"/>
          <w:snapToGrid w:val="0"/>
          <w:sz w:val="22"/>
          <w:szCs w:val="22"/>
        </w:rPr>
      </w:pPr>
      <w:del w:id="595" w:author="AbbVie2" w:date="2025-05-13T16:36:00Z">
        <w:r w:rsidRPr="008912CF">
          <w:rPr>
            <w:sz w:val="22"/>
            <w:szCs w:val="22"/>
          </w:rPr>
          <w:delText xml:space="preserve">Em caso de diagnóstico de tuberculose latente, deve ser iniciada </w:delText>
        </w:r>
        <w:r w:rsidR="00FD757B">
          <w:rPr>
            <w:sz w:val="22"/>
            <w:szCs w:val="22"/>
          </w:rPr>
          <w:delText>terapêutica apropriada de</w:delText>
        </w:r>
        <w:r w:rsidR="00FD757B" w:rsidRPr="008912CF">
          <w:rPr>
            <w:sz w:val="22"/>
            <w:szCs w:val="22"/>
          </w:rPr>
          <w:delText xml:space="preserve"> </w:delText>
        </w:r>
        <w:r w:rsidRPr="008912CF">
          <w:rPr>
            <w:sz w:val="22"/>
            <w:szCs w:val="22"/>
          </w:rPr>
          <w:delText>profilaxia anti</w:delText>
        </w:r>
        <w:r w:rsidR="00FD757B">
          <w:rPr>
            <w:sz w:val="22"/>
            <w:szCs w:val="22"/>
          </w:rPr>
          <w:delText>-</w:delText>
        </w:r>
        <w:r w:rsidRPr="008912CF">
          <w:rPr>
            <w:sz w:val="22"/>
            <w:szCs w:val="22"/>
          </w:rPr>
          <w:delText xml:space="preserve">tuberculose antes do início do tratamento com Humira, e de acordo com as recomendações locais. </w:delText>
        </w:r>
      </w:del>
    </w:p>
    <w:p w14:paraId="10F09590" w14:textId="5572FEB7" w:rsidR="004462A0" w:rsidRPr="008912CF" w:rsidRDefault="004462A0" w:rsidP="004462A0">
      <w:pPr>
        <w:pStyle w:val="BodyText"/>
        <w:rPr>
          <w:del w:id="596" w:author="AbbVie2" w:date="2025-05-13T16:36:00Z"/>
          <w:sz w:val="22"/>
          <w:szCs w:val="22"/>
        </w:rPr>
      </w:pPr>
    </w:p>
    <w:p w14:paraId="78A682C9" w14:textId="4F981621" w:rsidR="004462A0" w:rsidRPr="008912CF" w:rsidRDefault="00615769" w:rsidP="004462A0">
      <w:pPr>
        <w:autoSpaceDE w:val="0"/>
        <w:autoSpaceDN w:val="0"/>
        <w:adjustRightInd w:val="0"/>
        <w:rPr>
          <w:del w:id="597" w:author="AbbVie2" w:date="2025-05-13T16:36:00Z"/>
          <w:sz w:val="22"/>
          <w:szCs w:val="22"/>
        </w:rPr>
      </w:pPr>
      <w:del w:id="598" w:author="AbbVie2" w:date="2025-05-13T16:36:00Z">
        <w:r w:rsidRPr="008912CF">
          <w:rPr>
            <w:sz w:val="22"/>
            <w:szCs w:val="22"/>
          </w:rPr>
          <w:delText>A utilização de um tratamento de profilaxia da tuberculose deve também ser considerada</w:delText>
        </w:r>
        <w:r w:rsidR="00C50874">
          <w:rPr>
            <w:sz w:val="22"/>
            <w:szCs w:val="22"/>
          </w:rPr>
          <w:delText>, antes do início do tratamento com Humira,</w:delText>
        </w:r>
        <w:r w:rsidRPr="008912CF">
          <w:rPr>
            <w:sz w:val="22"/>
            <w:szCs w:val="22"/>
          </w:rPr>
          <w:delText xml:space="preserve"> em doentes com vários ou significantes fatores de risco de tuberculose apesar de um teste negativo à tuberculose e em doentes com uma história de tuberculose ativa ou latente, </w:delText>
        </w:r>
        <w:r w:rsidR="00C50874">
          <w:rPr>
            <w:sz w:val="22"/>
            <w:szCs w:val="22"/>
          </w:rPr>
          <w:delText>nos quais não pode ser confirmado</w:delText>
        </w:r>
        <w:r w:rsidRPr="008912CF">
          <w:rPr>
            <w:sz w:val="22"/>
            <w:szCs w:val="22"/>
          </w:rPr>
          <w:delText xml:space="preserve"> um adequado </w:delText>
        </w:r>
        <w:r w:rsidR="00C50874">
          <w:rPr>
            <w:sz w:val="22"/>
            <w:szCs w:val="22"/>
          </w:rPr>
          <w:delText xml:space="preserve">curso de </w:delText>
        </w:r>
        <w:r w:rsidRPr="008912CF">
          <w:rPr>
            <w:sz w:val="22"/>
            <w:szCs w:val="22"/>
          </w:rPr>
          <w:delText>tratamento.</w:delText>
        </w:r>
      </w:del>
    </w:p>
    <w:p w14:paraId="26F4522E" w14:textId="1895DB23" w:rsidR="004462A0" w:rsidRPr="008912CF" w:rsidRDefault="004462A0" w:rsidP="004462A0">
      <w:pPr>
        <w:autoSpaceDE w:val="0"/>
        <w:autoSpaceDN w:val="0"/>
        <w:adjustRightInd w:val="0"/>
        <w:rPr>
          <w:del w:id="599" w:author="AbbVie2" w:date="2025-05-13T16:36:00Z"/>
          <w:sz w:val="22"/>
          <w:szCs w:val="22"/>
        </w:rPr>
      </w:pPr>
    </w:p>
    <w:p w14:paraId="06017D9D" w14:textId="7674B716" w:rsidR="004462A0" w:rsidRPr="008912CF" w:rsidRDefault="00615769" w:rsidP="004462A0">
      <w:pPr>
        <w:autoSpaceDE w:val="0"/>
        <w:autoSpaceDN w:val="0"/>
        <w:adjustRightInd w:val="0"/>
        <w:rPr>
          <w:del w:id="600" w:author="AbbVie2" w:date="2025-05-13T16:36:00Z"/>
          <w:sz w:val="22"/>
          <w:szCs w:val="22"/>
        </w:rPr>
      </w:pPr>
      <w:del w:id="601" w:author="AbbVie2" w:date="2025-05-13T16:36:00Z">
        <w:r w:rsidRPr="008912CF">
          <w:rPr>
            <w:sz w:val="22"/>
            <w:szCs w:val="22"/>
          </w:rPr>
          <w:delText xml:space="preserve">Apesar do tratamento profilático da tuberculose, ocorreram casos de reativação </w:delText>
        </w:r>
        <w:r w:rsidR="00C50874">
          <w:rPr>
            <w:sz w:val="22"/>
            <w:szCs w:val="22"/>
          </w:rPr>
          <w:delText xml:space="preserve">da tuberculose </w:delText>
        </w:r>
        <w:r w:rsidRPr="008912CF">
          <w:rPr>
            <w:sz w:val="22"/>
            <w:szCs w:val="22"/>
          </w:rPr>
          <w:delText>em doentes tratados com Humira. Alguns doentes em que o tratamento para a tuberculose ativa foi bem sucedido, voltaram a desenvolver tuberculose enquanto foram tratados com Humira.</w:delText>
        </w:r>
      </w:del>
    </w:p>
    <w:p w14:paraId="023CADC8" w14:textId="76A0BD87" w:rsidR="004462A0" w:rsidRPr="008912CF" w:rsidRDefault="004462A0" w:rsidP="004462A0">
      <w:pPr>
        <w:autoSpaceDE w:val="0"/>
        <w:autoSpaceDN w:val="0"/>
        <w:adjustRightInd w:val="0"/>
        <w:rPr>
          <w:del w:id="602" w:author="AbbVie2" w:date="2025-05-13T16:36:00Z"/>
          <w:sz w:val="22"/>
          <w:szCs w:val="22"/>
        </w:rPr>
      </w:pPr>
    </w:p>
    <w:p w14:paraId="6CE3788B" w14:textId="7C417912" w:rsidR="004462A0" w:rsidRPr="008912CF" w:rsidRDefault="00615769" w:rsidP="004462A0">
      <w:pPr>
        <w:autoSpaceDE w:val="0"/>
        <w:autoSpaceDN w:val="0"/>
        <w:adjustRightInd w:val="0"/>
        <w:rPr>
          <w:del w:id="603" w:author="AbbVie2" w:date="2025-05-13T16:36:00Z"/>
          <w:b/>
          <w:i/>
          <w:sz w:val="22"/>
          <w:szCs w:val="22"/>
        </w:rPr>
      </w:pPr>
      <w:del w:id="604" w:author="AbbVie2" w:date="2025-05-13T16:36:00Z">
        <w:r w:rsidRPr="008912CF">
          <w:rPr>
            <w:sz w:val="22"/>
            <w:szCs w:val="22"/>
          </w:rPr>
          <w:delText>Os doentes devem ser aconselhados a consultar o médico se ocorrerem sinais/sintomas sugestivos de uma infeção por tuberculose (por ex., tosse persistente, emagrecimento/perda de peso, febre baixa, apatia) durante ou após a terapêutica com Humira.</w:delText>
        </w:r>
        <w:r w:rsidRPr="008912CF">
          <w:rPr>
            <w:b/>
            <w:i/>
            <w:sz w:val="22"/>
            <w:szCs w:val="22"/>
          </w:rPr>
          <w:delText xml:space="preserve"> </w:delText>
        </w:r>
      </w:del>
    </w:p>
    <w:p w14:paraId="6D9450C0" w14:textId="76CE9036" w:rsidR="004462A0" w:rsidRPr="008912CF" w:rsidRDefault="004462A0" w:rsidP="004462A0">
      <w:pPr>
        <w:autoSpaceDE w:val="0"/>
        <w:autoSpaceDN w:val="0"/>
        <w:adjustRightInd w:val="0"/>
        <w:rPr>
          <w:del w:id="605" w:author="AbbVie2" w:date="2025-05-13T16:36:00Z"/>
          <w:sz w:val="22"/>
          <w:szCs w:val="22"/>
        </w:rPr>
      </w:pPr>
    </w:p>
    <w:p w14:paraId="6DEAC803" w14:textId="4A548555" w:rsidR="004462A0" w:rsidRPr="008912CF" w:rsidRDefault="00615769" w:rsidP="004462A0">
      <w:pPr>
        <w:keepNext/>
        <w:autoSpaceDE w:val="0"/>
        <w:autoSpaceDN w:val="0"/>
        <w:adjustRightInd w:val="0"/>
        <w:rPr>
          <w:del w:id="606" w:author="AbbVie2" w:date="2025-05-13T16:36:00Z"/>
          <w:i/>
          <w:iCs/>
          <w:sz w:val="22"/>
          <w:szCs w:val="22"/>
        </w:rPr>
      </w:pPr>
      <w:del w:id="607" w:author="AbbVie2" w:date="2025-05-13T16:36:00Z">
        <w:r w:rsidRPr="008912CF">
          <w:rPr>
            <w:i/>
            <w:iCs/>
            <w:sz w:val="22"/>
            <w:szCs w:val="22"/>
          </w:rPr>
          <w:delText>Outras infeções oportunistas</w:delText>
        </w:r>
      </w:del>
    </w:p>
    <w:p w14:paraId="63081B71" w14:textId="278BDC7B" w:rsidR="004462A0" w:rsidRPr="008912CF" w:rsidRDefault="004462A0" w:rsidP="004462A0">
      <w:pPr>
        <w:keepNext/>
        <w:autoSpaceDE w:val="0"/>
        <w:autoSpaceDN w:val="0"/>
        <w:adjustRightInd w:val="0"/>
        <w:rPr>
          <w:del w:id="608" w:author="AbbVie2" w:date="2025-05-13T16:36:00Z"/>
          <w:sz w:val="22"/>
          <w:szCs w:val="22"/>
        </w:rPr>
      </w:pPr>
    </w:p>
    <w:p w14:paraId="49119DBC" w14:textId="64895291" w:rsidR="004462A0" w:rsidRPr="008912CF" w:rsidRDefault="00615769" w:rsidP="004462A0">
      <w:pPr>
        <w:keepNext/>
        <w:autoSpaceDE w:val="0"/>
        <w:autoSpaceDN w:val="0"/>
        <w:adjustRightInd w:val="0"/>
        <w:rPr>
          <w:del w:id="609" w:author="AbbVie2" w:date="2025-05-13T16:36:00Z"/>
          <w:sz w:val="22"/>
          <w:szCs w:val="22"/>
        </w:rPr>
      </w:pPr>
      <w:del w:id="610" w:author="AbbVie2" w:date="2025-05-13T16:36:00Z">
        <w:r w:rsidRPr="008912CF">
          <w:rPr>
            <w:sz w:val="22"/>
            <w:szCs w:val="22"/>
          </w:rPr>
          <w:delText>Foram observadas infeções oportunistas, incluindo infeções fúngicas invasivas</w:delText>
        </w:r>
        <w:r w:rsidR="00FD757B">
          <w:rPr>
            <w:sz w:val="22"/>
            <w:szCs w:val="22"/>
          </w:rPr>
          <w:delText>,</w:delText>
        </w:r>
        <w:r w:rsidRPr="008912CF">
          <w:rPr>
            <w:sz w:val="22"/>
            <w:szCs w:val="22"/>
          </w:rPr>
          <w:delText xml:space="preserve"> em doentes tratados com Humira. Estas infeções não foram consistentemente reconhecidas em doentes tratados com antagonistas</w:delText>
        </w:r>
        <w:r w:rsidRPr="008912CF">
          <w:rPr>
            <w:sz w:val="22"/>
            <w:szCs w:val="22"/>
          </w:rPr>
          <w:noBreakHyphen/>
          <w:delText>TNF, resultando em atrasos no tratamento apropriado, por vezes com consequências fatais.</w:delText>
        </w:r>
      </w:del>
    </w:p>
    <w:p w14:paraId="43DD0D6A" w14:textId="03316663" w:rsidR="004462A0" w:rsidRPr="008912CF" w:rsidRDefault="004462A0" w:rsidP="004462A0">
      <w:pPr>
        <w:autoSpaceDE w:val="0"/>
        <w:autoSpaceDN w:val="0"/>
        <w:adjustRightInd w:val="0"/>
        <w:rPr>
          <w:del w:id="611" w:author="AbbVie2" w:date="2025-05-13T16:36:00Z"/>
          <w:sz w:val="22"/>
          <w:szCs w:val="22"/>
        </w:rPr>
      </w:pPr>
    </w:p>
    <w:p w14:paraId="1258665D" w14:textId="4593D2D1" w:rsidR="004462A0" w:rsidRPr="008912CF" w:rsidRDefault="00615769" w:rsidP="004462A0">
      <w:pPr>
        <w:autoSpaceDE w:val="0"/>
        <w:autoSpaceDN w:val="0"/>
        <w:adjustRightInd w:val="0"/>
        <w:rPr>
          <w:del w:id="612" w:author="AbbVie2" w:date="2025-05-13T16:36:00Z"/>
          <w:sz w:val="22"/>
          <w:szCs w:val="22"/>
        </w:rPr>
      </w:pPr>
      <w:del w:id="613" w:author="AbbVie2" w:date="2025-05-13T16:36:00Z">
        <w:r>
          <w:rPr>
            <w:sz w:val="22"/>
            <w:szCs w:val="22"/>
          </w:rPr>
          <w:delText>Em d</w:delText>
        </w:r>
        <w:r w:rsidRPr="008912CF">
          <w:rPr>
            <w:sz w:val="22"/>
            <w:szCs w:val="22"/>
          </w:rPr>
          <w:delText xml:space="preserve">oentes que desenvolvam sinais e sintomas tais como febre, mal-estar geral, perda de peso, suores, tosse, dispneia, e/ou infiltração pulmonar ou outras doenças sistémicas graves, com ou sem choque concomitante, deve suspeitar-se de uma infeção fúngica invasiva e a administração de Humira deve ser imediatamente suspensa. O diagnóstico e a administração de uma terapêutica antifúngica empírica nestes doentes devem ser feitos em consulta com um médico especialista </w:delText>
        </w:r>
        <w:r>
          <w:rPr>
            <w:sz w:val="22"/>
            <w:szCs w:val="22"/>
          </w:rPr>
          <w:delText>no tratamento de</w:delText>
        </w:r>
        <w:r w:rsidRPr="008912CF">
          <w:rPr>
            <w:sz w:val="22"/>
            <w:szCs w:val="22"/>
          </w:rPr>
          <w:delText xml:space="preserve"> doentes com infeção fúngica inv</w:delText>
        </w:r>
        <w:r w:rsidRPr="008912CF">
          <w:rPr>
            <w:sz w:val="22"/>
            <w:szCs w:val="22"/>
          </w:rPr>
          <w:delText>asiva.</w:delText>
        </w:r>
      </w:del>
    </w:p>
    <w:p w14:paraId="645BC2DE" w14:textId="530B819A" w:rsidR="004462A0" w:rsidRPr="008912CF" w:rsidRDefault="004462A0" w:rsidP="004462A0">
      <w:pPr>
        <w:pStyle w:val="Heading9"/>
        <w:keepNext w:val="0"/>
        <w:autoSpaceDE w:val="0"/>
        <w:autoSpaceDN w:val="0"/>
        <w:adjustRightInd w:val="0"/>
        <w:rPr>
          <w:del w:id="614" w:author="AbbVie2" w:date="2025-05-13T16:36:00Z"/>
          <w:szCs w:val="22"/>
        </w:rPr>
      </w:pPr>
    </w:p>
    <w:p w14:paraId="2F4FAA9F" w14:textId="4077127D" w:rsidR="004462A0" w:rsidRPr="008912CF" w:rsidRDefault="00615769" w:rsidP="004462A0">
      <w:pPr>
        <w:pStyle w:val="Heading9"/>
        <w:keepNext w:val="0"/>
        <w:autoSpaceDE w:val="0"/>
        <w:autoSpaceDN w:val="0"/>
        <w:adjustRightInd w:val="0"/>
        <w:rPr>
          <w:del w:id="615" w:author="AbbVie2" w:date="2025-05-13T16:36:00Z"/>
          <w:szCs w:val="22"/>
        </w:rPr>
      </w:pPr>
      <w:del w:id="616" w:author="AbbVie2" w:date="2025-05-13T16:36:00Z">
        <w:r w:rsidRPr="008912CF">
          <w:rPr>
            <w:szCs w:val="22"/>
          </w:rPr>
          <w:delText>Reativação da hepatite B</w:delText>
        </w:r>
      </w:del>
    </w:p>
    <w:p w14:paraId="1E5165CA" w14:textId="330D288B" w:rsidR="004462A0" w:rsidRPr="008912CF" w:rsidRDefault="004462A0" w:rsidP="004462A0">
      <w:pPr>
        <w:autoSpaceDE w:val="0"/>
        <w:autoSpaceDN w:val="0"/>
        <w:adjustRightInd w:val="0"/>
        <w:rPr>
          <w:del w:id="617" w:author="AbbVie2" w:date="2025-05-13T16:36:00Z"/>
          <w:sz w:val="22"/>
          <w:szCs w:val="22"/>
          <w:u w:val="single"/>
        </w:rPr>
      </w:pPr>
    </w:p>
    <w:p w14:paraId="33BAA98F" w14:textId="5385E3B4" w:rsidR="004462A0" w:rsidRPr="008912CF" w:rsidRDefault="00615769" w:rsidP="004462A0">
      <w:pPr>
        <w:autoSpaceDE w:val="0"/>
        <w:autoSpaceDN w:val="0"/>
        <w:adjustRightInd w:val="0"/>
        <w:rPr>
          <w:del w:id="618" w:author="AbbVie2" w:date="2025-05-13T16:36:00Z"/>
          <w:sz w:val="22"/>
          <w:szCs w:val="22"/>
        </w:rPr>
      </w:pPr>
      <w:del w:id="619" w:author="AbbVie2" w:date="2025-05-13T16:36:00Z">
        <w:r w:rsidRPr="008912CF">
          <w:rPr>
            <w:sz w:val="22"/>
            <w:szCs w:val="22"/>
          </w:rPr>
          <w:delText>Ocorreu reativação de hepatite B nos doentes tratados com um antagonista</w:delText>
        </w:r>
        <w:r w:rsidRPr="008912CF">
          <w:rPr>
            <w:sz w:val="22"/>
            <w:szCs w:val="22"/>
          </w:rPr>
          <w:noBreakHyphen/>
          <w:delText>TNF</w:delText>
        </w:r>
        <w:r w:rsidR="00C50874">
          <w:rPr>
            <w:sz w:val="22"/>
            <w:szCs w:val="22"/>
          </w:rPr>
          <w:delText>,</w:delText>
        </w:r>
        <w:r w:rsidRPr="008912CF">
          <w:rPr>
            <w:sz w:val="22"/>
            <w:szCs w:val="22"/>
          </w:rPr>
          <w:delText xml:space="preserve"> incluindo Humira, e que são portadores crónicos deste vírus (por ex., antigénio de superfície positivo). Alguns casos foram fatais. Antes do início do tratamento com Humira os doentes devem ser avaliados para uma possível infeção de HBV. Para os doentes com resultado positivo para a infeção da hepatite B, recomenda-se a consulta de um médico com experiência no tratamento da hepatite B. </w:delText>
        </w:r>
      </w:del>
    </w:p>
    <w:p w14:paraId="1B07AF1D" w14:textId="527D4BBA" w:rsidR="004462A0" w:rsidRPr="008912CF" w:rsidRDefault="004462A0" w:rsidP="004462A0">
      <w:pPr>
        <w:autoSpaceDE w:val="0"/>
        <w:autoSpaceDN w:val="0"/>
        <w:adjustRightInd w:val="0"/>
        <w:rPr>
          <w:del w:id="620" w:author="AbbVie2" w:date="2025-05-13T16:36:00Z"/>
          <w:sz w:val="22"/>
          <w:szCs w:val="22"/>
        </w:rPr>
      </w:pPr>
    </w:p>
    <w:p w14:paraId="10D5AF0C" w14:textId="09350AD0" w:rsidR="004462A0" w:rsidRPr="008912CF" w:rsidRDefault="00615769" w:rsidP="004462A0">
      <w:pPr>
        <w:autoSpaceDE w:val="0"/>
        <w:autoSpaceDN w:val="0"/>
        <w:adjustRightInd w:val="0"/>
        <w:rPr>
          <w:del w:id="621" w:author="AbbVie2" w:date="2025-05-13T16:36:00Z"/>
          <w:sz w:val="22"/>
          <w:szCs w:val="22"/>
        </w:rPr>
      </w:pPr>
      <w:del w:id="622" w:author="AbbVie2" w:date="2025-05-13T16:36:00Z">
        <w:r w:rsidRPr="008912CF">
          <w:rPr>
            <w:sz w:val="22"/>
            <w:szCs w:val="22"/>
          </w:rPr>
          <w:delText>Portadores de HBV que requerem tratamento com Humira devem ser cuidadosamente monitorizados relativamente aos sinais e sintomas de uma infeção HBV ativa durante o tratamento e alguns meses depois de terminada a terapêutica. Não estão disponíveis dados adequados relativos ao tratamento de doentes portadores de HBV, com terapêutica antiviral em associação com antagonistas</w:delText>
        </w:r>
        <w:r w:rsidRPr="008912CF">
          <w:rPr>
            <w:sz w:val="22"/>
            <w:szCs w:val="22"/>
          </w:rPr>
          <w:noBreakHyphen/>
          <w:delText>TNF, na prevenção de reativação de HBV. Em doentes que desenvolvem reativação de HBV, Humira deve ser suspenso e deve ser iniciada uma terapêutica antiviral eficaz com tratamento de suporte adequado.</w:delText>
        </w:r>
      </w:del>
    </w:p>
    <w:p w14:paraId="70A92C15" w14:textId="52EC793F" w:rsidR="004462A0" w:rsidRPr="008912CF" w:rsidRDefault="004462A0" w:rsidP="004462A0">
      <w:pPr>
        <w:pStyle w:val="EndnoteText"/>
        <w:tabs>
          <w:tab w:val="clear" w:pos="567"/>
        </w:tabs>
        <w:autoSpaceDE w:val="0"/>
        <w:autoSpaceDN w:val="0"/>
        <w:adjustRightInd w:val="0"/>
        <w:rPr>
          <w:del w:id="623" w:author="AbbVie2" w:date="2025-05-13T16:36:00Z"/>
          <w:szCs w:val="22"/>
        </w:rPr>
      </w:pPr>
    </w:p>
    <w:p w14:paraId="250D21D5" w14:textId="38A53B19" w:rsidR="004462A0" w:rsidRPr="008912CF" w:rsidRDefault="00615769" w:rsidP="00514D74">
      <w:pPr>
        <w:keepNext/>
        <w:autoSpaceDE w:val="0"/>
        <w:autoSpaceDN w:val="0"/>
        <w:adjustRightInd w:val="0"/>
        <w:rPr>
          <w:del w:id="624" w:author="AbbVie2" w:date="2025-05-13T16:36:00Z"/>
          <w:sz w:val="22"/>
          <w:szCs w:val="22"/>
          <w:u w:val="single"/>
        </w:rPr>
      </w:pPr>
      <w:del w:id="625" w:author="AbbVie2" w:date="2025-05-13T16:36:00Z">
        <w:r w:rsidRPr="008912CF">
          <w:rPr>
            <w:sz w:val="22"/>
            <w:szCs w:val="22"/>
            <w:u w:val="single"/>
          </w:rPr>
          <w:delText>Efeitos neurológicos</w:delText>
        </w:r>
      </w:del>
    </w:p>
    <w:p w14:paraId="03D7BA21" w14:textId="35D8FBB5" w:rsidR="004462A0" w:rsidRPr="008912CF" w:rsidRDefault="004462A0" w:rsidP="00514D74">
      <w:pPr>
        <w:keepNext/>
        <w:autoSpaceDE w:val="0"/>
        <w:autoSpaceDN w:val="0"/>
        <w:adjustRightInd w:val="0"/>
        <w:rPr>
          <w:del w:id="626" w:author="AbbVie2" w:date="2025-05-13T16:36:00Z"/>
          <w:sz w:val="22"/>
          <w:szCs w:val="22"/>
          <w:u w:val="single"/>
        </w:rPr>
      </w:pPr>
    </w:p>
    <w:p w14:paraId="060C3DFD" w14:textId="4F4EE9D9" w:rsidR="004462A0" w:rsidRPr="008912CF" w:rsidRDefault="00615769" w:rsidP="00514D74">
      <w:pPr>
        <w:keepNext/>
        <w:autoSpaceDE w:val="0"/>
        <w:autoSpaceDN w:val="0"/>
        <w:adjustRightInd w:val="0"/>
        <w:rPr>
          <w:del w:id="627" w:author="AbbVie2" w:date="2025-05-13T16:36:00Z"/>
          <w:sz w:val="22"/>
          <w:szCs w:val="22"/>
        </w:rPr>
      </w:pPr>
      <w:del w:id="628" w:author="AbbVie2" w:date="2025-05-13T16:36:00Z">
        <w:r w:rsidRPr="008912CF">
          <w:rPr>
            <w:sz w:val="22"/>
            <w:szCs w:val="22"/>
          </w:rPr>
          <w:delText>Os antagonistas</w:delText>
        </w:r>
        <w:r w:rsidRPr="008912CF">
          <w:rPr>
            <w:sz w:val="22"/>
            <w:szCs w:val="22"/>
          </w:rPr>
          <w:noBreakHyphen/>
          <w:delText>TNF, incluindo Humira, foram associados em casos raros com o reaparecimento ou com a exacerbação de sintomatologia clínica e/ou evidência radiográfica de doença desmielinizante do sistema nervoso central</w:delText>
        </w:r>
        <w:r w:rsidR="00FD757B">
          <w:rPr>
            <w:sz w:val="22"/>
            <w:szCs w:val="22"/>
          </w:rPr>
          <w:delText>,</w:delText>
        </w:r>
        <w:r w:rsidRPr="008912CF">
          <w:rPr>
            <w:sz w:val="22"/>
            <w:szCs w:val="22"/>
          </w:rPr>
          <w:delText xml:space="preserve"> incluindo esclerose múltipla e neurite ótica</w:delText>
        </w:r>
        <w:r w:rsidR="00FD757B">
          <w:rPr>
            <w:sz w:val="22"/>
            <w:szCs w:val="22"/>
          </w:rPr>
          <w:delText>,</w:delText>
        </w:r>
        <w:r w:rsidRPr="008912CF">
          <w:rPr>
            <w:sz w:val="22"/>
            <w:szCs w:val="22"/>
          </w:rPr>
          <w:delText xml:space="preserve"> e doença desmielinizante periférica, incluindo síndrome de </w:delText>
        </w:r>
        <w:r w:rsidRPr="008912CF">
          <w:rPr>
            <w:i/>
            <w:sz w:val="22"/>
            <w:szCs w:val="22"/>
          </w:rPr>
          <w:delText>Guillain-Barré</w:delText>
        </w:r>
        <w:r w:rsidRPr="008912CF">
          <w:rPr>
            <w:sz w:val="22"/>
            <w:szCs w:val="22"/>
          </w:rPr>
          <w:delText>. O médico prescritor deve ter precaução ao considerar o uso de Humira em doentes com patologias desmielinizantes do sistema nervoso central ou periférico pré-existentes ou de início rece</w:delText>
        </w:r>
        <w:r w:rsidRPr="008912CF">
          <w:rPr>
            <w:sz w:val="22"/>
            <w:szCs w:val="22"/>
          </w:rPr>
          <w:delText>nte</w:delText>
        </w:r>
        <w:r>
          <w:rPr>
            <w:sz w:val="22"/>
            <w:szCs w:val="22"/>
          </w:rPr>
          <w:delText>;</w:delText>
        </w:r>
        <w:r w:rsidRPr="008912CF">
          <w:rPr>
            <w:sz w:val="22"/>
            <w:szCs w:val="22"/>
          </w:rPr>
          <w:delText xml:space="preserve"> </w:delText>
        </w:r>
        <w:r w:rsidRPr="00B77BEC">
          <w:rPr>
            <w:sz w:val="22"/>
            <w:szCs w:val="22"/>
          </w:rPr>
          <w:delText>a d</w:delText>
        </w:r>
        <w:r w:rsidRPr="00D808C9">
          <w:rPr>
            <w:sz w:val="22"/>
            <w:szCs w:val="22"/>
          </w:rPr>
          <w:delText xml:space="preserve">escontinuação da terapêutica com Humira deverá ser considerada </w:delText>
        </w:r>
        <w:r>
          <w:rPr>
            <w:sz w:val="22"/>
            <w:szCs w:val="22"/>
          </w:rPr>
          <w:delText xml:space="preserve">em doentes que desenvolvam algumas destas patologias. Existe uma associação conhecida entre a uveíte intermédia e as doenças desmielinizantes do sistema nervoso central. A avaliação neurológica deve ser efetuada em doentes que apresentem uveíte intermédia não infecciosa antes do início do tratamento com Humira e regularmente durante o tratamento, para avaliação de doenças </w:delText>
        </w:r>
        <w:r w:rsidRPr="00482808">
          <w:rPr>
            <w:sz w:val="22"/>
            <w:szCs w:val="22"/>
          </w:rPr>
          <w:delText>desmielinizantes</w:delText>
        </w:r>
        <w:r>
          <w:rPr>
            <w:sz w:val="22"/>
            <w:szCs w:val="22"/>
          </w:rPr>
          <w:delText xml:space="preserve"> do sistema nervoso central pré-existentes ou em desenvolv</w:delText>
        </w:r>
        <w:r>
          <w:rPr>
            <w:sz w:val="22"/>
            <w:szCs w:val="22"/>
          </w:rPr>
          <w:delText xml:space="preserve">imento.  </w:delText>
        </w:r>
      </w:del>
    </w:p>
    <w:p w14:paraId="1EB2B6A7" w14:textId="216E070C" w:rsidR="004462A0" w:rsidRPr="008912CF" w:rsidRDefault="004462A0" w:rsidP="004462A0">
      <w:pPr>
        <w:autoSpaceDE w:val="0"/>
        <w:autoSpaceDN w:val="0"/>
        <w:adjustRightInd w:val="0"/>
        <w:rPr>
          <w:del w:id="629" w:author="AbbVie2" w:date="2025-05-13T16:36:00Z"/>
          <w:sz w:val="22"/>
          <w:szCs w:val="22"/>
          <w:u w:val="single"/>
        </w:rPr>
      </w:pPr>
    </w:p>
    <w:p w14:paraId="4915F0CB" w14:textId="49A00800" w:rsidR="004462A0" w:rsidRPr="008912CF" w:rsidRDefault="00615769" w:rsidP="002F486F">
      <w:pPr>
        <w:keepNext/>
        <w:rPr>
          <w:del w:id="630" w:author="AbbVie2" w:date="2025-05-13T16:36:00Z"/>
          <w:sz w:val="22"/>
          <w:szCs w:val="22"/>
          <w:u w:val="single"/>
        </w:rPr>
      </w:pPr>
      <w:del w:id="631" w:author="AbbVie2" w:date="2025-05-13T16:36:00Z">
        <w:r w:rsidRPr="008912CF">
          <w:rPr>
            <w:sz w:val="22"/>
            <w:szCs w:val="22"/>
            <w:u w:val="single"/>
          </w:rPr>
          <w:delText>Reações alérgicas</w:delText>
        </w:r>
      </w:del>
    </w:p>
    <w:p w14:paraId="69C38A90" w14:textId="1B5FC716" w:rsidR="004462A0" w:rsidRPr="008912CF" w:rsidRDefault="004462A0" w:rsidP="002F486F">
      <w:pPr>
        <w:keepNext/>
        <w:rPr>
          <w:del w:id="632" w:author="AbbVie2" w:date="2025-05-13T16:36:00Z"/>
          <w:sz w:val="22"/>
          <w:szCs w:val="22"/>
          <w:u w:val="single"/>
        </w:rPr>
      </w:pPr>
    </w:p>
    <w:p w14:paraId="0DA7A8F5" w14:textId="7FC96E06" w:rsidR="004462A0" w:rsidRPr="008912CF" w:rsidRDefault="00615769" w:rsidP="002F486F">
      <w:pPr>
        <w:keepNext/>
        <w:autoSpaceDE w:val="0"/>
        <w:autoSpaceDN w:val="0"/>
        <w:adjustRightInd w:val="0"/>
        <w:rPr>
          <w:del w:id="633" w:author="AbbVie2" w:date="2025-05-13T16:36:00Z"/>
          <w:sz w:val="22"/>
          <w:szCs w:val="22"/>
        </w:rPr>
      </w:pPr>
      <w:del w:id="634" w:author="AbbVie2" w:date="2025-05-13T16:36:00Z">
        <w:r w:rsidRPr="008912CF">
          <w:rPr>
            <w:sz w:val="22"/>
            <w:szCs w:val="22"/>
          </w:rPr>
          <w:delText xml:space="preserve">No decurso dos ensaios clínicos foram raras as reações alérgicas graves associadas a Humira. No decurso dos ensaios clínicos foram pouco frequentes os casos de reações alérgicas não graves associadas a Humira. Foram notificados casos de reações alérgicas graves, incluindo anafilaxia, associadas à administração de Humira. Caso se verifique uma reação anafilática ou outra reação alérgica grave, deve suspender-se imediatamente a administração de Humira e instituir-se uma terapêutica apropriada. </w:delText>
        </w:r>
      </w:del>
    </w:p>
    <w:p w14:paraId="74096F08" w14:textId="6D8EEAFE" w:rsidR="004462A0" w:rsidRPr="008912CF" w:rsidRDefault="004462A0" w:rsidP="004462A0">
      <w:pPr>
        <w:autoSpaceDE w:val="0"/>
        <w:autoSpaceDN w:val="0"/>
        <w:adjustRightInd w:val="0"/>
        <w:rPr>
          <w:del w:id="635" w:author="AbbVie2" w:date="2025-05-13T16:36:00Z"/>
          <w:sz w:val="22"/>
          <w:szCs w:val="22"/>
        </w:rPr>
      </w:pPr>
    </w:p>
    <w:p w14:paraId="28F5704E" w14:textId="2A7A5851" w:rsidR="004462A0" w:rsidRPr="008912CF" w:rsidRDefault="00615769" w:rsidP="004462A0">
      <w:pPr>
        <w:autoSpaceDE w:val="0"/>
        <w:autoSpaceDN w:val="0"/>
        <w:adjustRightInd w:val="0"/>
        <w:rPr>
          <w:del w:id="636" w:author="AbbVie2" w:date="2025-05-13T16:36:00Z"/>
          <w:sz w:val="22"/>
          <w:szCs w:val="22"/>
          <w:u w:val="single"/>
        </w:rPr>
      </w:pPr>
      <w:del w:id="637" w:author="AbbVie2" w:date="2025-05-13T16:36:00Z">
        <w:r w:rsidRPr="008912CF">
          <w:rPr>
            <w:sz w:val="22"/>
            <w:szCs w:val="22"/>
            <w:u w:val="single"/>
          </w:rPr>
          <w:delText>Imunossupressão</w:delText>
        </w:r>
      </w:del>
    </w:p>
    <w:p w14:paraId="6AE2377A" w14:textId="329AE4B5" w:rsidR="004462A0" w:rsidRPr="008912CF" w:rsidRDefault="004462A0" w:rsidP="004462A0">
      <w:pPr>
        <w:autoSpaceDE w:val="0"/>
        <w:autoSpaceDN w:val="0"/>
        <w:adjustRightInd w:val="0"/>
        <w:rPr>
          <w:del w:id="638" w:author="AbbVie2" w:date="2025-05-13T16:36:00Z"/>
          <w:sz w:val="22"/>
          <w:szCs w:val="22"/>
          <w:u w:val="single"/>
        </w:rPr>
      </w:pPr>
    </w:p>
    <w:p w14:paraId="037726AE" w14:textId="1784E96E" w:rsidR="004462A0" w:rsidRPr="008912CF" w:rsidRDefault="00615769" w:rsidP="004462A0">
      <w:pPr>
        <w:rPr>
          <w:del w:id="639" w:author="AbbVie2" w:date="2025-05-13T16:36:00Z"/>
          <w:sz w:val="22"/>
          <w:szCs w:val="22"/>
        </w:rPr>
      </w:pPr>
      <w:del w:id="640" w:author="AbbVie2" w:date="2025-05-13T16:36:00Z">
        <w:r w:rsidRPr="008912CF">
          <w:rPr>
            <w:sz w:val="22"/>
            <w:szCs w:val="22"/>
          </w:rPr>
          <w:delText>Num estudo realizado em 64 doentes com artrite reumatoide tratados com Humira, não se observou qualquer evidência de redução da hipersensibilidade de tipo tardio, redução dos níveis de imunoglobulina ou alteração do número de linfócitos efetores T, B, células NK, monócitos/macrófagos e neutrófilos.</w:delText>
        </w:r>
      </w:del>
    </w:p>
    <w:p w14:paraId="0D138F4C" w14:textId="60FBE91D" w:rsidR="004462A0" w:rsidRPr="008912CF" w:rsidRDefault="004462A0" w:rsidP="004462A0">
      <w:pPr>
        <w:pStyle w:val="EMEAHeadingUnderline"/>
        <w:spacing w:before="0" w:after="0"/>
        <w:rPr>
          <w:del w:id="641" w:author="AbbVie2" w:date="2025-05-13T16:36:00Z"/>
          <w:szCs w:val="22"/>
          <w:lang w:val="pt-PT"/>
        </w:rPr>
      </w:pPr>
    </w:p>
    <w:p w14:paraId="426CFEEC" w14:textId="5FA659C0" w:rsidR="004462A0" w:rsidRPr="008912CF" w:rsidRDefault="00615769" w:rsidP="004462A0">
      <w:pPr>
        <w:pStyle w:val="EMEAHeadingUnderline"/>
        <w:keepNext/>
        <w:spacing w:before="0" w:after="0"/>
        <w:rPr>
          <w:del w:id="642" w:author="AbbVie2" w:date="2025-05-13T16:36:00Z"/>
          <w:szCs w:val="22"/>
          <w:lang w:val="pt-PT"/>
        </w:rPr>
      </w:pPr>
      <w:del w:id="643" w:author="AbbVie2" w:date="2025-05-13T16:36:00Z">
        <w:r>
          <w:rPr>
            <w:szCs w:val="22"/>
            <w:lang w:val="pt-PT"/>
          </w:rPr>
          <w:delText>Neoplasias e d</w:delText>
        </w:r>
        <w:r w:rsidRPr="008912CF">
          <w:rPr>
            <w:szCs w:val="22"/>
            <w:lang w:val="pt-PT"/>
          </w:rPr>
          <w:delText>oenças linfoproliferativas</w:delText>
        </w:r>
      </w:del>
    </w:p>
    <w:p w14:paraId="6A7C72EE" w14:textId="0BCDFFFB" w:rsidR="004462A0" w:rsidRPr="008912CF" w:rsidRDefault="004462A0" w:rsidP="004462A0">
      <w:pPr>
        <w:keepNext/>
        <w:rPr>
          <w:del w:id="644" w:author="AbbVie2" w:date="2025-05-13T16:36:00Z"/>
          <w:sz w:val="22"/>
          <w:szCs w:val="22"/>
        </w:rPr>
      </w:pPr>
    </w:p>
    <w:p w14:paraId="43521470" w14:textId="16C47EF0" w:rsidR="004462A0" w:rsidRPr="008912CF" w:rsidRDefault="00615769" w:rsidP="004462A0">
      <w:pPr>
        <w:keepNext/>
        <w:rPr>
          <w:del w:id="645" w:author="AbbVie2" w:date="2025-05-13T16:36:00Z"/>
          <w:sz w:val="22"/>
          <w:szCs w:val="22"/>
        </w:rPr>
      </w:pPr>
      <w:del w:id="646" w:author="AbbVie2" w:date="2025-05-13T16:36:00Z">
        <w:r w:rsidRPr="008912CF">
          <w:rPr>
            <w:sz w:val="22"/>
            <w:szCs w:val="22"/>
          </w:rPr>
          <w:delText>Em partes controladas de ensaios clínicos de antagonistas</w:delText>
        </w:r>
        <w:r w:rsidRPr="008912CF">
          <w:rPr>
            <w:sz w:val="22"/>
            <w:szCs w:val="22"/>
          </w:rPr>
          <w:noBreakHyphen/>
        </w:r>
        <w:r w:rsidRPr="008912CF">
          <w:rPr>
            <w:sz w:val="22"/>
            <w:szCs w:val="22"/>
          </w:rPr>
          <w:delText>TNF, foram observados mais casos de neoplasias incluindo linfomas em doentes tratados com antagonistas-TNF do que em doentes controlo. Contudo, a ocorrência foi rara. Após comercialização, foram notificados casos de leucemia em doentes tratados com um antagonista</w:delText>
        </w:r>
        <w:r w:rsidRPr="008912CF">
          <w:rPr>
            <w:sz w:val="22"/>
            <w:szCs w:val="22"/>
          </w:rPr>
          <w:noBreakHyphen/>
          <w:delText>TNF. Há um risco aumentado de linfoma e leucemia em doentes com artrite reumatoide com doença inflamatória de longa data e muito ativa, o que complica a estimativa do risco. De acordo com o conhecimento atual, não pode ser excluído o possível risco</w:delText>
        </w:r>
        <w:r w:rsidRPr="008912CF">
          <w:rPr>
            <w:sz w:val="22"/>
            <w:szCs w:val="22"/>
          </w:rPr>
          <w:delText xml:space="preserve"> de desenvolvimento de linfomas, leucemias e outras neoplasias em doentes tratados com um antagonista</w:delText>
        </w:r>
        <w:r w:rsidRPr="008912CF">
          <w:rPr>
            <w:sz w:val="22"/>
            <w:szCs w:val="22"/>
          </w:rPr>
          <w:noBreakHyphen/>
          <w:delText>TNF.</w:delText>
        </w:r>
      </w:del>
    </w:p>
    <w:p w14:paraId="3EE6EFD1" w14:textId="0B466C79" w:rsidR="004462A0" w:rsidRPr="008912CF" w:rsidRDefault="004462A0" w:rsidP="004462A0">
      <w:pPr>
        <w:rPr>
          <w:del w:id="647" w:author="AbbVie2" w:date="2025-05-13T16:36:00Z"/>
          <w:sz w:val="22"/>
          <w:szCs w:val="22"/>
        </w:rPr>
      </w:pPr>
    </w:p>
    <w:p w14:paraId="3C8B0AAE" w14:textId="133B92D4" w:rsidR="004462A0" w:rsidRPr="008912CF" w:rsidRDefault="00615769" w:rsidP="004462A0">
      <w:pPr>
        <w:rPr>
          <w:del w:id="648" w:author="AbbVie2" w:date="2025-05-13T16:36:00Z"/>
          <w:sz w:val="22"/>
          <w:szCs w:val="22"/>
        </w:rPr>
      </w:pPr>
      <w:del w:id="649" w:author="AbbVie2" w:date="2025-05-13T16:36:00Z">
        <w:r w:rsidRPr="008912CF">
          <w:rPr>
            <w:sz w:val="22"/>
            <w:szCs w:val="22"/>
          </w:rPr>
          <w:delText>No período pós-comercialização, foram notificadas neoplasias malignas, algumas fatais, em crianças, adolescentes e jovens adultos (até 22 anos de idade) tratados com antagonistas</w:delText>
        </w:r>
        <w:r w:rsidRPr="008912CF">
          <w:rPr>
            <w:sz w:val="22"/>
            <w:szCs w:val="22"/>
          </w:rPr>
          <w:noBreakHyphen/>
          <w:delText>TNF, incluindo adalimumab (início de terapia com idade ≤ 18</w:delText>
        </w:r>
        <w:r>
          <w:rPr>
            <w:sz w:val="22"/>
            <w:szCs w:val="22"/>
          </w:rPr>
          <w:delText> </w:delText>
        </w:r>
        <w:r w:rsidRPr="008912CF">
          <w:rPr>
            <w:sz w:val="22"/>
            <w:szCs w:val="22"/>
          </w:rPr>
          <w:delText>anos). Aproximadamente metade dos casos foram linfomas. Os outros casos representaram uma variedade de diferentes neoplasias e incluíram neoplasias raras, habitualmente associadas com imunossupressão. Não pode ser excluído o risco de desenvolvimento de neoplasias em crianças e adolescentes tratados com antagonistas</w:delText>
        </w:r>
        <w:r w:rsidRPr="008912CF">
          <w:rPr>
            <w:sz w:val="22"/>
            <w:szCs w:val="22"/>
          </w:rPr>
          <w:noBreakHyphen/>
          <w:delText>TNF.</w:delText>
        </w:r>
      </w:del>
    </w:p>
    <w:p w14:paraId="3D258250" w14:textId="6F7C77A0" w:rsidR="004462A0" w:rsidRPr="008912CF" w:rsidRDefault="004462A0" w:rsidP="004462A0">
      <w:pPr>
        <w:rPr>
          <w:del w:id="650" w:author="AbbVie2" w:date="2025-05-13T16:36:00Z"/>
          <w:sz w:val="22"/>
          <w:szCs w:val="22"/>
        </w:rPr>
      </w:pPr>
    </w:p>
    <w:p w14:paraId="63050D61" w14:textId="6131AA87" w:rsidR="004462A0" w:rsidRPr="008912CF" w:rsidRDefault="00615769" w:rsidP="004462A0">
      <w:pPr>
        <w:rPr>
          <w:del w:id="651" w:author="AbbVie2" w:date="2025-05-13T16:36:00Z"/>
          <w:sz w:val="22"/>
          <w:szCs w:val="22"/>
        </w:rPr>
      </w:pPr>
      <w:del w:id="652" w:author="AbbVie2" w:date="2025-05-13T16:36:00Z">
        <w:r w:rsidRPr="008912CF">
          <w:rPr>
            <w:sz w:val="22"/>
            <w:szCs w:val="22"/>
          </w:rPr>
          <w:delText>Após a comercialização, foram notificados casos raros de linfoma hepatoesplénico de linfócitos T em doentes tratados com adalimumab. Este tipo raro de linfoma de linfócitos T tem uma progressão muito agressiva e geralmente fatal. Alguns destes linfomas hepatoesplénicos de linfócitos T com Humira ocorreram em doentes adultos jovens com terapêutica concomitante com azatioprina ou 6-mercaptopurina, utilizados para a doença inflamatória intestinal. O risco potencial com a associação de azatioprina ou 6-mercapto</w:delText>
        </w:r>
        <w:r w:rsidRPr="008912CF">
          <w:rPr>
            <w:sz w:val="22"/>
            <w:szCs w:val="22"/>
          </w:rPr>
          <w:delText>purina e Humira deve ser cuidadosamente considerado. O risco de desenvolvimento de linfoma hepatoesplénico de células T em doentes que recebam tratamento com Humira não pode ser excluído (ver secção 4.8).</w:delText>
        </w:r>
      </w:del>
    </w:p>
    <w:p w14:paraId="53DF25AB" w14:textId="4967F6F3" w:rsidR="004462A0" w:rsidRPr="008912CF" w:rsidRDefault="004462A0" w:rsidP="004462A0">
      <w:pPr>
        <w:rPr>
          <w:del w:id="653" w:author="AbbVie2" w:date="2025-05-13T16:36:00Z"/>
          <w:sz w:val="22"/>
          <w:szCs w:val="22"/>
        </w:rPr>
      </w:pPr>
    </w:p>
    <w:p w14:paraId="32B4EC63" w14:textId="37A9E66D" w:rsidR="004462A0" w:rsidRPr="008912CF" w:rsidRDefault="00615769" w:rsidP="004462A0">
      <w:pPr>
        <w:rPr>
          <w:del w:id="654" w:author="AbbVie2" w:date="2025-05-13T16:36:00Z"/>
          <w:sz w:val="22"/>
          <w:szCs w:val="22"/>
        </w:rPr>
      </w:pPr>
      <w:del w:id="655" w:author="AbbVie2" w:date="2025-05-13T16:36:00Z">
        <w:r w:rsidRPr="008912CF">
          <w:rPr>
            <w:sz w:val="22"/>
            <w:szCs w:val="22"/>
          </w:rPr>
          <w:delText>Não foram efetuados estudos em doentes com história de neoplasias ou nos quais o tratamento com Humira foi continuado após o desenvolvimento de neoplasias. Deste modo</w:delText>
        </w:r>
        <w:r w:rsidR="00D47117">
          <w:rPr>
            <w:sz w:val="22"/>
            <w:szCs w:val="22"/>
          </w:rPr>
          <w:delText>,</w:delText>
        </w:r>
        <w:r w:rsidRPr="008912CF">
          <w:rPr>
            <w:sz w:val="22"/>
            <w:szCs w:val="22"/>
          </w:rPr>
          <w:delText xml:space="preserve"> deve-se </w:delText>
        </w:r>
        <w:r w:rsidR="00D47117">
          <w:rPr>
            <w:sz w:val="22"/>
            <w:szCs w:val="22"/>
          </w:rPr>
          <w:delText>exercer</w:delText>
        </w:r>
        <w:r w:rsidRPr="008912CF">
          <w:rPr>
            <w:sz w:val="22"/>
            <w:szCs w:val="22"/>
          </w:rPr>
          <w:delText xml:space="preserve"> precaução adicional ao considerar o tratamento com Humira nestes doentes (ver secção 4.8).</w:delText>
        </w:r>
      </w:del>
    </w:p>
    <w:p w14:paraId="61DD4E95" w14:textId="0BF9A709" w:rsidR="004462A0" w:rsidRPr="008912CF" w:rsidRDefault="004462A0" w:rsidP="004462A0">
      <w:pPr>
        <w:rPr>
          <w:del w:id="656" w:author="AbbVie2" w:date="2025-05-13T16:36:00Z"/>
          <w:sz w:val="22"/>
          <w:szCs w:val="22"/>
        </w:rPr>
      </w:pPr>
    </w:p>
    <w:p w14:paraId="021C81F3" w14:textId="2B151A01" w:rsidR="004462A0" w:rsidRPr="008912CF" w:rsidRDefault="00615769" w:rsidP="004462A0">
      <w:pPr>
        <w:autoSpaceDE w:val="0"/>
        <w:autoSpaceDN w:val="0"/>
        <w:adjustRightInd w:val="0"/>
        <w:rPr>
          <w:del w:id="657" w:author="AbbVie2" w:date="2025-05-13T16:36:00Z"/>
          <w:sz w:val="22"/>
          <w:szCs w:val="22"/>
        </w:rPr>
      </w:pPr>
      <w:del w:id="658" w:author="AbbVie2" w:date="2025-05-13T16:36:00Z">
        <w:r w:rsidRPr="008912CF">
          <w:rPr>
            <w:sz w:val="22"/>
            <w:szCs w:val="22"/>
          </w:rPr>
          <w:delText>Todos os doentes, e em particular os doentes com história clínica de terapêutica imunossupressora prolongada ou nos doentes com psoríase com uma história de tratamento por PUVA, devem ser avaliados relativamente a neoplasias cutâneas não-melanomas, antes e durante o tratamento com Humira. Melanoma e carcinoma das células de Merkel foram também notificad</w:delText>
        </w:r>
        <w:r w:rsidR="00D47117">
          <w:rPr>
            <w:sz w:val="22"/>
            <w:szCs w:val="22"/>
          </w:rPr>
          <w:delText>o</w:delText>
        </w:r>
        <w:r w:rsidRPr="008912CF">
          <w:rPr>
            <w:sz w:val="22"/>
            <w:szCs w:val="22"/>
          </w:rPr>
          <w:delText>s em doentes tratados com antagonistas-TNF</w:delText>
        </w:r>
        <w:r w:rsidR="00D47117">
          <w:rPr>
            <w:sz w:val="22"/>
            <w:szCs w:val="22"/>
          </w:rPr>
          <w:delText>,</w:delText>
        </w:r>
        <w:r w:rsidRPr="008912CF">
          <w:rPr>
            <w:sz w:val="22"/>
            <w:szCs w:val="22"/>
          </w:rPr>
          <w:delText xml:space="preserve"> incluindo adalimumab (ver secção 4.8).</w:delText>
        </w:r>
      </w:del>
    </w:p>
    <w:p w14:paraId="1AB1F643" w14:textId="63934FBC" w:rsidR="004462A0" w:rsidRPr="008912CF" w:rsidRDefault="004462A0" w:rsidP="004462A0">
      <w:pPr>
        <w:autoSpaceDE w:val="0"/>
        <w:autoSpaceDN w:val="0"/>
        <w:adjustRightInd w:val="0"/>
        <w:rPr>
          <w:del w:id="659" w:author="AbbVie2" w:date="2025-05-13T16:36:00Z"/>
          <w:sz w:val="22"/>
          <w:szCs w:val="22"/>
          <w:u w:val="single"/>
        </w:rPr>
      </w:pPr>
    </w:p>
    <w:p w14:paraId="3841178C" w14:textId="2F488C21" w:rsidR="004462A0" w:rsidRPr="008912CF" w:rsidRDefault="00615769" w:rsidP="004462A0">
      <w:pPr>
        <w:pStyle w:val="BodyText2"/>
        <w:rPr>
          <w:del w:id="660" w:author="AbbVie2" w:date="2025-05-13T16:36:00Z"/>
          <w:szCs w:val="22"/>
        </w:rPr>
      </w:pPr>
      <w:del w:id="661" w:author="AbbVie2" w:date="2025-05-13T16:36:00Z">
        <w:r w:rsidRPr="008912CF">
          <w:rPr>
            <w:szCs w:val="22"/>
          </w:rPr>
          <w:delText>Num ensaio clínico exploratório realizado para avaliar o uso de um outro antagonista</w:delText>
        </w:r>
        <w:r w:rsidRPr="008912CF">
          <w:rPr>
            <w:szCs w:val="22"/>
          </w:rPr>
          <w:noBreakHyphen/>
          <w:delText xml:space="preserve">TNF, infliximab, em doentes com doença pulmonar </w:delText>
        </w:r>
        <w:r w:rsidR="00D47117" w:rsidRPr="008912CF">
          <w:rPr>
            <w:szCs w:val="22"/>
          </w:rPr>
          <w:delText xml:space="preserve">obstrutiva </w:delText>
        </w:r>
        <w:r w:rsidRPr="008912CF">
          <w:rPr>
            <w:szCs w:val="22"/>
          </w:rPr>
          <w:delText>crónica (DPO</w:delText>
        </w:r>
        <w:r w:rsidR="00D47117">
          <w:rPr>
            <w:szCs w:val="22"/>
          </w:rPr>
          <w:delText>C</w:delText>
        </w:r>
        <w:r w:rsidRPr="008912CF">
          <w:rPr>
            <w:szCs w:val="22"/>
          </w:rPr>
          <w:delText>) moderada a grave, foram notificadas mais doenças malignas, principalmente nos pulmões ou cabeça e pescoço, no grupo de doentes tratados com infliximab do que no grupo controlo de doentes. Todos os doentes tinham antecedentes de tabagismo intenso. Assim, devem ser tomadas precauções quando for usado um anti</w:delText>
        </w:r>
        <w:r w:rsidRPr="008912CF">
          <w:rPr>
            <w:szCs w:val="22"/>
          </w:rPr>
          <w:noBreakHyphen/>
          <w:delText>TNF em doentes com DPO</w:delText>
        </w:r>
        <w:r w:rsidR="00D47117">
          <w:rPr>
            <w:szCs w:val="22"/>
          </w:rPr>
          <w:delText>C</w:delText>
        </w:r>
        <w:r w:rsidRPr="008912CF">
          <w:rPr>
            <w:szCs w:val="22"/>
          </w:rPr>
          <w:delText>, bem como em doentes com risco aumentado de doenças malignas devido a tabagismo intenso.</w:delText>
        </w:r>
      </w:del>
    </w:p>
    <w:p w14:paraId="343130F9" w14:textId="0D348D62" w:rsidR="004462A0" w:rsidRPr="008912CF" w:rsidRDefault="004462A0" w:rsidP="004462A0">
      <w:pPr>
        <w:autoSpaceDE w:val="0"/>
        <w:autoSpaceDN w:val="0"/>
        <w:adjustRightInd w:val="0"/>
        <w:rPr>
          <w:del w:id="662" w:author="AbbVie2" w:date="2025-05-13T16:36:00Z"/>
          <w:sz w:val="22"/>
          <w:szCs w:val="22"/>
          <w:u w:val="single"/>
        </w:rPr>
      </w:pPr>
    </w:p>
    <w:p w14:paraId="5E309580" w14:textId="27E0752B" w:rsidR="004462A0" w:rsidRPr="008912CF" w:rsidRDefault="00615769" w:rsidP="004462A0">
      <w:pPr>
        <w:autoSpaceDE w:val="0"/>
        <w:autoSpaceDN w:val="0"/>
        <w:adjustRightInd w:val="0"/>
        <w:rPr>
          <w:del w:id="663" w:author="AbbVie2" w:date="2025-05-13T16:36:00Z"/>
          <w:sz w:val="22"/>
          <w:szCs w:val="22"/>
          <w:lang w:eastAsia="pt-PT"/>
        </w:rPr>
      </w:pPr>
      <w:del w:id="664" w:author="AbbVie2" w:date="2025-05-13T16:36:00Z">
        <w:r w:rsidRPr="008912CF">
          <w:rPr>
            <w:sz w:val="22"/>
            <w:szCs w:val="22"/>
            <w:lang w:eastAsia="pt-PT"/>
          </w:rPr>
          <w:delText xml:space="preserve">De acordo com os dados atuais, desconhece-se se o tratamento com </w:delText>
        </w:r>
        <w:r w:rsidRPr="008912CF">
          <w:rPr>
            <w:sz w:val="22"/>
            <w:szCs w:val="22"/>
          </w:rPr>
          <w:delText>adalimumab</w:delText>
        </w:r>
        <w:r w:rsidRPr="008912CF">
          <w:rPr>
            <w:sz w:val="22"/>
            <w:szCs w:val="22"/>
            <w:lang w:eastAsia="pt-PT"/>
          </w:rPr>
          <w:delText xml:space="preserve"> influencia o risco de desenvolvimento de displasia ou carcinoma do cólon</w:delText>
        </w:r>
        <w:r w:rsidRPr="008912CF">
          <w:rPr>
            <w:sz w:val="22"/>
            <w:szCs w:val="22"/>
          </w:rPr>
          <w:delText xml:space="preserve">. Todos os doentes com colite ulcerosa com risco aumentado de displasia ou carcinoma do cólon (por exemplo, doentes com colite ulcerosa </w:delText>
        </w:r>
        <w:r w:rsidRPr="008912CF">
          <w:rPr>
            <w:sz w:val="22"/>
            <w:szCs w:val="22"/>
            <w:lang w:eastAsia="pt-PT"/>
          </w:rPr>
          <w:delText>de duração prolongada ou colangite esclerosante primária), ou doentes com antecedentes de displasia ou carcinoma do cólon devem ser rastreados quanto à existência de displasia em intervalos regulares antes da terapêutica e durante a doença. Esta avaliação deve incluir colonoscopia e biopsias,</w:delText>
        </w:r>
        <w:r w:rsidRPr="008912CF">
          <w:rPr>
            <w:sz w:val="22"/>
            <w:szCs w:val="22"/>
            <w:lang w:eastAsia="pt-PT"/>
          </w:rPr>
          <w:delText xml:space="preserve"> de acordo com as recomendações locais.</w:delText>
        </w:r>
      </w:del>
    </w:p>
    <w:p w14:paraId="08E42F90" w14:textId="68FBBFB8" w:rsidR="004462A0" w:rsidRPr="008912CF" w:rsidRDefault="004462A0" w:rsidP="004462A0">
      <w:pPr>
        <w:autoSpaceDE w:val="0"/>
        <w:autoSpaceDN w:val="0"/>
        <w:adjustRightInd w:val="0"/>
        <w:rPr>
          <w:del w:id="665" w:author="AbbVie2" w:date="2025-05-13T16:36:00Z"/>
          <w:sz w:val="22"/>
          <w:szCs w:val="22"/>
        </w:rPr>
      </w:pPr>
    </w:p>
    <w:p w14:paraId="3501558B" w14:textId="48C2E21C" w:rsidR="004462A0" w:rsidRPr="008912CF" w:rsidRDefault="00615769" w:rsidP="004462A0">
      <w:pPr>
        <w:autoSpaceDE w:val="0"/>
        <w:autoSpaceDN w:val="0"/>
        <w:adjustRightInd w:val="0"/>
        <w:rPr>
          <w:del w:id="666" w:author="AbbVie2" w:date="2025-05-13T16:36:00Z"/>
          <w:sz w:val="22"/>
          <w:szCs w:val="22"/>
          <w:u w:val="single"/>
        </w:rPr>
      </w:pPr>
      <w:del w:id="667" w:author="AbbVie2" w:date="2025-05-13T16:36:00Z">
        <w:r w:rsidRPr="008912CF">
          <w:rPr>
            <w:sz w:val="22"/>
            <w:szCs w:val="22"/>
            <w:u w:val="single"/>
          </w:rPr>
          <w:delText>Reações hematológicas</w:delText>
        </w:r>
      </w:del>
    </w:p>
    <w:p w14:paraId="0F3B921C" w14:textId="7769276E" w:rsidR="004462A0" w:rsidRPr="008912CF" w:rsidRDefault="004462A0" w:rsidP="004462A0">
      <w:pPr>
        <w:autoSpaceDE w:val="0"/>
        <w:autoSpaceDN w:val="0"/>
        <w:adjustRightInd w:val="0"/>
        <w:rPr>
          <w:del w:id="668" w:author="AbbVie2" w:date="2025-05-13T16:36:00Z"/>
          <w:sz w:val="22"/>
          <w:szCs w:val="22"/>
          <w:u w:val="single"/>
        </w:rPr>
      </w:pPr>
    </w:p>
    <w:p w14:paraId="7B610320" w14:textId="08132563" w:rsidR="004462A0" w:rsidRPr="008912CF" w:rsidRDefault="00615769" w:rsidP="004462A0">
      <w:pPr>
        <w:pStyle w:val="BodyText2"/>
        <w:rPr>
          <w:del w:id="669" w:author="AbbVie2" w:date="2025-05-13T16:36:00Z"/>
          <w:szCs w:val="22"/>
        </w:rPr>
      </w:pPr>
      <w:del w:id="670" w:author="AbbVie2" w:date="2025-05-13T16:36:00Z">
        <w:r w:rsidRPr="008912CF">
          <w:rPr>
            <w:szCs w:val="22"/>
          </w:rPr>
          <w:delText>Foram notificados casos raros de pancitopenia incluindo anemia aplástica com antagonistas TNF. Acontecimentos adversos do sistema hematológico incluindo citopenia clinicamente significativa (p.e. trombocitopenia, leucopenia) foram notificados com Humira. Todos os doentes devem ser aconselhados a consultar de imediato o médico caso desenvolvam sinais e sintomas sugestivos de discrasias sanguíneas (p.e. febre persistente, equimose, hemorragia, palidez) durante a terapêutica com Humira. A descontinuação da ter</w:delText>
        </w:r>
        <w:r w:rsidRPr="008912CF">
          <w:rPr>
            <w:szCs w:val="22"/>
          </w:rPr>
          <w:delText>apêutica com Humira deverá ser considerada em doentes com anomalias hematológicas significativas confirmadas.</w:delText>
        </w:r>
      </w:del>
    </w:p>
    <w:p w14:paraId="53C1E35A" w14:textId="618DF20C" w:rsidR="004462A0" w:rsidRPr="008912CF" w:rsidRDefault="004462A0" w:rsidP="004462A0">
      <w:pPr>
        <w:autoSpaceDE w:val="0"/>
        <w:autoSpaceDN w:val="0"/>
        <w:adjustRightInd w:val="0"/>
        <w:rPr>
          <w:del w:id="671" w:author="AbbVie2" w:date="2025-05-13T16:36:00Z"/>
          <w:sz w:val="22"/>
          <w:szCs w:val="22"/>
          <w:u w:val="single"/>
        </w:rPr>
      </w:pPr>
    </w:p>
    <w:p w14:paraId="503BCFEE" w14:textId="10B448D8" w:rsidR="004462A0" w:rsidRPr="008912CF" w:rsidRDefault="00615769" w:rsidP="004462A0">
      <w:pPr>
        <w:keepNext/>
        <w:autoSpaceDE w:val="0"/>
        <w:autoSpaceDN w:val="0"/>
        <w:adjustRightInd w:val="0"/>
        <w:rPr>
          <w:del w:id="672" w:author="AbbVie2" w:date="2025-05-13T16:36:00Z"/>
          <w:sz w:val="22"/>
          <w:szCs w:val="22"/>
          <w:u w:val="single"/>
        </w:rPr>
      </w:pPr>
      <w:del w:id="673" w:author="AbbVie2" w:date="2025-05-13T16:36:00Z">
        <w:r w:rsidRPr="008912CF">
          <w:rPr>
            <w:sz w:val="22"/>
            <w:szCs w:val="22"/>
            <w:u w:val="single"/>
          </w:rPr>
          <w:delText>Vacinação</w:delText>
        </w:r>
      </w:del>
    </w:p>
    <w:p w14:paraId="21A4CE4E" w14:textId="6F5B5118" w:rsidR="004462A0" w:rsidRPr="008912CF" w:rsidRDefault="004462A0" w:rsidP="004462A0">
      <w:pPr>
        <w:pStyle w:val="EMEAHeadingUnderline"/>
        <w:keepNext/>
        <w:tabs>
          <w:tab w:val="clear" w:pos="562"/>
        </w:tabs>
        <w:suppressAutoHyphens w:val="0"/>
        <w:autoSpaceDE w:val="0"/>
        <w:autoSpaceDN w:val="0"/>
        <w:adjustRightInd w:val="0"/>
        <w:spacing w:before="0" w:after="0"/>
        <w:rPr>
          <w:del w:id="674" w:author="AbbVie2" w:date="2025-05-13T16:36:00Z"/>
          <w:szCs w:val="22"/>
          <w:lang w:val="pt-PT"/>
        </w:rPr>
      </w:pPr>
    </w:p>
    <w:p w14:paraId="4A8B4EF1" w14:textId="2EC8862C" w:rsidR="004462A0" w:rsidRPr="008912CF" w:rsidRDefault="00615769" w:rsidP="004462A0">
      <w:pPr>
        <w:pStyle w:val="BodyText2"/>
        <w:keepNext/>
        <w:autoSpaceDE/>
        <w:autoSpaceDN/>
        <w:adjustRightInd/>
        <w:rPr>
          <w:del w:id="675" w:author="AbbVie2" w:date="2025-05-13T16:36:00Z"/>
          <w:szCs w:val="22"/>
        </w:rPr>
      </w:pPr>
      <w:del w:id="676" w:author="AbbVie2" w:date="2025-05-13T16:36:00Z">
        <w:r w:rsidRPr="008912CF">
          <w:rPr>
            <w:szCs w:val="22"/>
          </w:rPr>
          <w:delText xml:space="preserve">Num estudo clínico realizado em 226 doentes adultos com artrite reumatoide tratados com adalimumab ou placebo, foram observadas respostas imunitárias similares na vacinação com a vacina pneumocócica polissacarídica polivalente 23 e com a vacina trivalente contra o vírus da gripe. Não existem dados disponíveis sobre a transmissão secundária de infeção por vacinas vivas em doentes tratados com Humira.  </w:delText>
        </w:r>
      </w:del>
    </w:p>
    <w:p w14:paraId="5D604DC3" w14:textId="5DD01BDA" w:rsidR="004462A0" w:rsidRPr="008912CF" w:rsidRDefault="004462A0" w:rsidP="004462A0">
      <w:pPr>
        <w:pStyle w:val="BodyText2"/>
        <w:autoSpaceDE/>
        <w:autoSpaceDN/>
        <w:adjustRightInd/>
        <w:rPr>
          <w:del w:id="677" w:author="AbbVie2" w:date="2025-05-13T16:36:00Z"/>
          <w:szCs w:val="22"/>
        </w:rPr>
      </w:pPr>
    </w:p>
    <w:p w14:paraId="5294265A" w14:textId="2E956457" w:rsidR="004462A0" w:rsidRPr="008912CF" w:rsidRDefault="00615769" w:rsidP="004462A0">
      <w:pPr>
        <w:pStyle w:val="BodyText2"/>
        <w:autoSpaceDE/>
        <w:autoSpaceDN/>
        <w:adjustRightInd/>
        <w:rPr>
          <w:del w:id="678" w:author="AbbVie2" w:date="2025-05-13T16:36:00Z"/>
          <w:szCs w:val="22"/>
        </w:rPr>
      </w:pPr>
      <w:del w:id="679" w:author="AbbVie2" w:date="2025-05-13T16:36:00Z">
        <w:r w:rsidRPr="008912CF">
          <w:rPr>
            <w:szCs w:val="22"/>
          </w:rPr>
          <w:delText>Recomenda-se que, se possível, nos doentes pediátricos, antes de iniciar o tratamento com Humira, sejam atualizadas as vacinas, de acordo com o atual Programa Nacional de Vacinação.</w:delText>
        </w:r>
      </w:del>
    </w:p>
    <w:p w14:paraId="189035D8" w14:textId="343717FA" w:rsidR="004462A0" w:rsidRPr="008912CF" w:rsidRDefault="004462A0" w:rsidP="004462A0">
      <w:pPr>
        <w:pStyle w:val="BodyText2"/>
        <w:autoSpaceDE/>
        <w:autoSpaceDN/>
        <w:adjustRightInd/>
        <w:rPr>
          <w:del w:id="680" w:author="AbbVie2" w:date="2025-05-13T16:36:00Z"/>
          <w:szCs w:val="22"/>
        </w:rPr>
      </w:pPr>
    </w:p>
    <w:p w14:paraId="6F6E6F91" w14:textId="5452A3D0" w:rsidR="004462A0" w:rsidRPr="008912CF" w:rsidRDefault="00615769" w:rsidP="004462A0">
      <w:pPr>
        <w:pStyle w:val="BodyText2"/>
        <w:autoSpaceDE/>
        <w:autoSpaceDN/>
        <w:adjustRightInd/>
        <w:rPr>
          <w:del w:id="681" w:author="AbbVie2" w:date="2025-05-13T16:36:00Z"/>
        </w:rPr>
      </w:pPr>
      <w:del w:id="682" w:author="AbbVie2" w:date="2025-05-13T16:36:00Z">
        <w:r w:rsidRPr="008912CF">
          <w:delText xml:space="preserve">Doentes tratados com Humira podem receber vacinas concomitantes, exceto vacinas vivas. Não se recomenda a administração de vacinas vivas </w:delText>
        </w:r>
        <w:r w:rsidR="00053C0C">
          <w:delText>(</w:delText>
        </w:r>
        <w:r w:rsidR="00AD0004">
          <w:delText xml:space="preserve">p.ex., </w:delText>
        </w:r>
        <w:r w:rsidR="00053C0C">
          <w:delText xml:space="preserve">vacina da BCG) </w:delText>
        </w:r>
        <w:r w:rsidRPr="008912CF">
          <w:delText>a crianças com exposição intrauterina a adalimumab durante 5</w:delText>
        </w:r>
        <w:r>
          <w:delText> </w:delText>
        </w:r>
        <w:r w:rsidRPr="008912CF">
          <w:delText>meses após a última injeção de adalimumab da mãe durante a gravidez.</w:delText>
        </w:r>
      </w:del>
    </w:p>
    <w:p w14:paraId="7ABAEE2E" w14:textId="01634014" w:rsidR="004462A0" w:rsidRPr="008912CF" w:rsidRDefault="004462A0" w:rsidP="004462A0">
      <w:pPr>
        <w:autoSpaceDE w:val="0"/>
        <w:autoSpaceDN w:val="0"/>
        <w:adjustRightInd w:val="0"/>
        <w:rPr>
          <w:del w:id="683" w:author="AbbVie2" w:date="2025-05-13T16:36:00Z"/>
          <w:sz w:val="22"/>
          <w:szCs w:val="22"/>
        </w:rPr>
      </w:pPr>
    </w:p>
    <w:p w14:paraId="7050591D" w14:textId="631CC1AF" w:rsidR="004462A0" w:rsidRPr="008912CF" w:rsidRDefault="00615769" w:rsidP="004462A0">
      <w:pPr>
        <w:autoSpaceDE w:val="0"/>
        <w:autoSpaceDN w:val="0"/>
        <w:adjustRightInd w:val="0"/>
        <w:rPr>
          <w:del w:id="684" w:author="AbbVie2" w:date="2025-05-13T16:36:00Z"/>
          <w:sz w:val="22"/>
          <w:szCs w:val="22"/>
          <w:u w:val="single"/>
        </w:rPr>
      </w:pPr>
      <w:del w:id="685" w:author="AbbVie2" w:date="2025-05-13T16:36:00Z">
        <w:r w:rsidRPr="008912CF">
          <w:rPr>
            <w:sz w:val="22"/>
            <w:szCs w:val="22"/>
            <w:u w:val="single"/>
          </w:rPr>
          <w:delText>Insuficiência cardíaca congestiva</w:delText>
        </w:r>
      </w:del>
    </w:p>
    <w:p w14:paraId="557797DC" w14:textId="613F4371" w:rsidR="004462A0" w:rsidRPr="008912CF" w:rsidRDefault="004462A0" w:rsidP="004462A0">
      <w:pPr>
        <w:autoSpaceDE w:val="0"/>
        <w:autoSpaceDN w:val="0"/>
        <w:adjustRightInd w:val="0"/>
        <w:rPr>
          <w:del w:id="686" w:author="AbbVie2" w:date="2025-05-13T16:36:00Z"/>
          <w:sz w:val="22"/>
          <w:szCs w:val="22"/>
          <w:u w:val="single"/>
        </w:rPr>
      </w:pPr>
    </w:p>
    <w:p w14:paraId="6809A32B" w14:textId="373B2B1D" w:rsidR="004462A0" w:rsidRPr="008912CF" w:rsidRDefault="00615769" w:rsidP="004462A0">
      <w:pPr>
        <w:autoSpaceDE w:val="0"/>
        <w:autoSpaceDN w:val="0"/>
        <w:adjustRightInd w:val="0"/>
        <w:rPr>
          <w:del w:id="687" w:author="AbbVie2" w:date="2025-05-13T16:36:00Z"/>
          <w:i/>
          <w:sz w:val="22"/>
          <w:szCs w:val="22"/>
        </w:rPr>
      </w:pPr>
      <w:del w:id="688" w:author="AbbVie2" w:date="2025-05-13T16:36:00Z">
        <w:r w:rsidRPr="008912CF">
          <w:rPr>
            <w:sz w:val="22"/>
            <w:szCs w:val="22"/>
          </w:rPr>
          <w:delText>Num ensaio clínico realizado com outro antagonista</w:delText>
        </w:r>
        <w:r w:rsidRPr="008912CF">
          <w:rPr>
            <w:sz w:val="22"/>
            <w:szCs w:val="22"/>
          </w:rPr>
          <w:noBreakHyphen/>
          <w:delText xml:space="preserve">TNF observou-se agravamento da insuficiência cardíaca congestiva e aumento da mortalidade por insuficiência cardíaca congestiva. Foram </w:delText>
        </w:r>
        <w:r w:rsidR="002B1836">
          <w:rPr>
            <w:sz w:val="22"/>
            <w:szCs w:val="22"/>
          </w:rPr>
          <w:delText xml:space="preserve">também </w:delText>
        </w:r>
        <w:r w:rsidRPr="008912CF">
          <w:rPr>
            <w:sz w:val="22"/>
            <w:szCs w:val="22"/>
          </w:rPr>
          <w:delText>notificados casos de agravamento de insuficiência cardíaca congestiva em doentes tratados com Humira. Humira deve ser utilizado com precaução em doentes com insuficiência cardíaca ligeira (classe I/II da NYHA). Humira está contraindicado na insuficiência cardíaca moderada a grave (ver secção 4.3). O tratamento com Humira deve ser interrompido em doentes que desenvolv</w:delText>
        </w:r>
        <w:r w:rsidRPr="008912CF">
          <w:rPr>
            <w:sz w:val="22"/>
            <w:szCs w:val="22"/>
          </w:rPr>
          <w:delText xml:space="preserve">am novos sintomas ou agravamento dos sintomas de insuficiência cardíaca congestiva. </w:delText>
        </w:r>
      </w:del>
    </w:p>
    <w:p w14:paraId="54C59710" w14:textId="73F1C11D" w:rsidR="004462A0" w:rsidRPr="008912CF" w:rsidRDefault="004462A0" w:rsidP="004462A0">
      <w:pPr>
        <w:pStyle w:val="EndnoteText"/>
        <w:tabs>
          <w:tab w:val="clear" w:pos="567"/>
        </w:tabs>
        <w:rPr>
          <w:del w:id="689" w:author="AbbVie2" w:date="2025-05-13T16:36:00Z"/>
          <w:szCs w:val="22"/>
        </w:rPr>
      </w:pPr>
    </w:p>
    <w:p w14:paraId="3B4136FA" w14:textId="03360F0E" w:rsidR="004462A0" w:rsidRPr="008912CF" w:rsidRDefault="00615769" w:rsidP="00B538F3">
      <w:pPr>
        <w:keepNext/>
        <w:rPr>
          <w:del w:id="690" w:author="AbbVie2" w:date="2025-05-13T16:36:00Z"/>
          <w:sz w:val="22"/>
          <w:szCs w:val="22"/>
          <w:u w:val="single"/>
        </w:rPr>
      </w:pPr>
      <w:del w:id="691" w:author="AbbVie2" w:date="2025-05-13T16:36:00Z">
        <w:r w:rsidRPr="008912CF">
          <w:rPr>
            <w:sz w:val="22"/>
            <w:szCs w:val="22"/>
            <w:u w:val="single"/>
          </w:rPr>
          <w:delText xml:space="preserve">Processos autoimunes </w:delText>
        </w:r>
      </w:del>
    </w:p>
    <w:p w14:paraId="4FE6D974" w14:textId="4BEC3658" w:rsidR="004462A0" w:rsidRPr="008912CF" w:rsidRDefault="004462A0" w:rsidP="004462A0">
      <w:pPr>
        <w:rPr>
          <w:del w:id="692" w:author="AbbVie2" w:date="2025-05-13T16:36:00Z"/>
          <w:i/>
          <w:sz w:val="22"/>
          <w:szCs w:val="22"/>
          <w:u w:val="single"/>
        </w:rPr>
      </w:pPr>
    </w:p>
    <w:p w14:paraId="66311FAA" w14:textId="1DDAFB64" w:rsidR="004462A0" w:rsidRPr="008912CF" w:rsidRDefault="00615769" w:rsidP="004462A0">
      <w:pPr>
        <w:rPr>
          <w:del w:id="693" w:author="AbbVie2" w:date="2025-05-13T16:36:00Z"/>
          <w:sz w:val="22"/>
          <w:szCs w:val="22"/>
        </w:rPr>
      </w:pPr>
      <w:del w:id="694" w:author="AbbVie2" w:date="2025-05-13T16:36:00Z">
        <w:r w:rsidRPr="008912CF">
          <w:rPr>
            <w:sz w:val="22"/>
            <w:szCs w:val="22"/>
          </w:rPr>
          <w:delText>O tratamento com Humira pode dar origem à formação de anticorpos autoimunes. Desconhece-se o impacto do tratamento a longo prazo com Humira no desenvolvimento de doenças autoimunes. Não deve ser administrado tratamento adicional com Humira se um doente apresentar sintomas sugestivos de uma síndrome do tipo lúpus e se for positivo para anticorpos contra a dupla cadeia de DNA, após o tratamento com Humira (ver secção 4.8).</w:delText>
        </w:r>
      </w:del>
    </w:p>
    <w:p w14:paraId="0598A583" w14:textId="74EAE8C4" w:rsidR="004462A0" w:rsidRPr="008912CF" w:rsidRDefault="004462A0" w:rsidP="004462A0">
      <w:pPr>
        <w:rPr>
          <w:del w:id="695" w:author="AbbVie2" w:date="2025-05-13T16:36:00Z"/>
          <w:sz w:val="22"/>
          <w:szCs w:val="22"/>
        </w:rPr>
      </w:pPr>
    </w:p>
    <w:p w14:paraId="4C124385" w14:textId="045244B8" w:rsidR="004462A0" w:rsidRPr="008912CF" w:rsidRDefault="00615769" w:rsidP="002F486F">
      <w:pPr>
        <w:pStyle w:val="Heading9"/>
        <w:rPr>
          <w:del w:id="696" w:author="AbbVie2" w:date="2025-05-13T16:36:00Z"/>
          <w:szCs w:val="22"/>
        </w:rPr>
      </w:pPr>
      <w:del w:id="697" w:author="AbbVie2" w:date="2025-05-13T16:36:00Z">
        <w:r w:rsidRPr="008912CF">
          <w:rPr>
            <w:szCs w:val="22"/>
          </w:rPr>
          <w:delText xml:space="preserve">Administração concomitante de </w:delText>
        </w:r>
        <w:r w:rsidR="002B1836" w:rsidRPr="008912CF">
          <w:rPr>
            <w:szCs w:val="22"/>
          </w:rPr>
          <w:delText xml:space="preserve">DMARDS </w:delText>
        </w:r>
        <w:r w:rsidRPr="008912CF">
          <w:rPr>
            <w:szCs w:val="22"/>
          </w:rPr>
          <w:delText>biológicos ou antagonistas</w:delText>
        </w:r>
        <w:r w:rsidRPr="008912CF">
          <w:rPr>
            <w:szCs w:val="22"/>
          </w:rPr>
          <w:noBreakHyphen/>
          <w:delText>TNF</w:delText>
        </w:r>
      </w:del>
    </w:p>
    <w:p w14:paraId="73B5103E" w14:textId="6322FE5D" w:rsidR="004462A0" w:rsidRPr="008912CF" w:rsidRDefault="004462A0" w:rsidP="002F486F">
      <w:pPr>
        <w:keepNext/>
        <w:rPr>
          <w:del w:id="698" w:author="AbbVie2" w:date="2025-05-13T16:36:00Z"/>
          <w:iCs/>
          <w:sz w:val="22"/>
          <w:szCs w:val="22"/>
        </w:rPr>
      </w:pPr>
    </w:p>
    <w:p w14:paraId="043D0CF1" w14:textId="603F0B1C" w:rsidR="004462A0" w:rsidRPr="008912CF" w:rsidRDefault="00615769" w:rsidP="002F486F">
      <w:pPr>
        <w:keepNext/>
        <w:rPr>
          <w:del w:id="699" w:author="AbbVie2" w:date="2025-05-13T16:36:00Z"/>
          <w:i/>
          <w:sz w:val="22"/>
          <w:szCs w:val="22"/>
        </w:rPr>
      </w:pPr>
      <w:del w:id="700" w:author="AbbVie2" w:date="2025-05-13T16:36:00Z">
        <w:r w:rsidRPr="008912CF">
          <w:rPr>
            <w:iCs/>
            <w:sz w:val="22"/>
            <w:szCs w:val="22"/>
          </w:rPr>
          <w:delText>Em ensaios clínicos realizados com a administração concomitante de ana</w:delText>
        </w:r>
        <w:r w:rsidR="002B1836">
          <w:rPr>
            <w:iCs/>
            <w:sz w:val="22"/>
            <w:szCs w:val="22"/>
          </w:rPr>
          <w:delText>c</w:delText>
        </w:r>
        <w:r w:rsidRPr="008912CF">
          <w:rPr>
            <w:iCs/>
            <w:sz w:val="22"/>
            <w:szCs w:val="22"/>
          </w:rPr>
          <w:delText>inra e outro antagonista</w:delText>
        </w:r>
        <w:r w:rsidRPr="008912CF">
          <w:rPr>
            <w:iCs/>
            <w:sz w:val="22"/>
            <w:szCs w:val="22"/>
          </w:rPr>
          <w:noBreakHyphen/>
          <w:delText>TNF, etanercept, observaram-se infeções graves sem benefício clínico adicional relativamente à utilização de etanercept isoladamente. Devido à natureza dos acontecimentos adversos observados com a associação terapêutica de etanercept e ana</w:delText>
        </w:r>
        <w:r w:rsidR="002B1836">
          <w:rPr>
            <w:iCs/>
            <w:sz w:val="22"/>
            <w:szCs w:val="22"/>
          </w:rPr>
          <w:delText>c</w:delText>
        </w:r>
        <w:r w:rsidRPr="008912CF">
          <w:rPr>
            <w:iCs/>
            <w:sz w:val="22"/>
            <w:szCs w:val="22"/>
          </w:rPr>
          <w:delText xml:space="preserve">inra, a associação de </w:delText>
        </w:r>
        <w:r w:rsidR="002B1836">
          <w:rPr>
            <w:iCs/>
            <w:sz w:val="22"/>
            <w:szCs w:val="22"/>
          </w:rPr>
          <w:delText>anacinra</w:delText>
        </w:r>
        <w:r w:rsidR="002B1836" w:rsidRPr="008912CF">
          <w:rPr>
            <w:iCs/>
            <w:sz w:val="22"/>
            <w:szCs w:val="22"/>
          </w:rPr>
          <w:delText xml:space="preserve"> </w:delText>
        </w:r>
        <w:r w:rsidRPr="008912CF">
          <w:rPr>
            <w:iCs/>
            <w:sz w:val="22"/>
            <w:szCs w:val="22"/>
          </w:rPr>
          <w:delText>e outro antagonista</w:delText>
        </w:r>
        <w:r w:rsidRPr="008912CF">
          <w:rPr>
            <w:iCs/>
            <w:sz w:val="22"/>
            <w:szCs w:val="22"/>
          </w:rPr>
          <w:noBreakHyphen/>
        </w:r>
        <w:r w:rsidRPr="008912CF">
          <w:rPr>
            <w:iCs/>
            <w:sz w:val="22"/>
            <w:szCs w:val="22"/>
          </w:rPr>
          <w:delText>TNF pode também resultar em toxicidades semelhantes. Por conseguinte, não se recomenda a associação de adalimumab e ana</w:delText>
        </w:r>
        <w:r w:rsidR="002B1836">
          <w:rPr>
            <w:iCs/>
            <w:sz w:val="22"/>
            <w:szCs w:val="22"/>
          </w:rPr>
          <w:delText>c</w:delText>
        </w:r>
        <w:r w:rsidRPr="008912CF">
          <w:rPr>
            <w:iCs/>
            <w:sz w:val="22"/>
            <w:szCs w:val="22"/>
          </w:rPr>
          <w:delText xml:space="preserve">inra </w:delText>
        </w:r>
        <w:r w:rsidRPr="008912CF">
          <w:rPr>
            <w:sz w:val="22"/>
            <w:szCs w:val="22"/>
          </w:rPr>
          <w:delText>(ver secção 4.5)</w:delText>
        </w:r>
        <w:r w:rsidRPr="008912CF">
          <w:rPr>
            <w:iCs/>
            <w:sz w:val="22"/>
            <w:szCs w:val="22"/>
          </w:rPr>
          <w:delText xml:space="preserve">. </w:delText>
        </w:r>
      </w:del>
    </w:p>
    <w:p w14:paraId="35263B1D" w14:textId="6D9A2BFA" w:rsidR="004462A0" w:rsidRPr="008912CF" w:rsidRDefault="004462A0" w:rsidP="004462A0">
      <w:pPr>
        <w:pStyle w:val="EMEANormal"/>
        <w:rPr>
          <w:del w:id="701" w:author="AbbVie2" w:date="2025-05-13T16:36:00Z"/>
          <w:szCs w:val="22"/>
          <w:highlight w:val="yellow"/>
          <w:u w:val="single"/>
          <w:lang w:val="pt-PT"/>
        </w:rPr>
      </w:pPr>
    </w:p>
    <w:p w14:paraId="16B69EE8" w14:textId="6B7F4692" w:rsidR="004462A0" w:rsidRPr="008912CF" w:rsidRDefault="00615769" w:rsidP="004462A0">
      <w:pPr>
        <w:pStyle w:val="EMEANormal"/>
        <w:rPr>
          <w:del w:id="702" w:author="AbbVie2" w:date="2025-05-13T16:36:00Z"/>
          <w:szCs w:val="22"/>
          <w:highlight w:val="yellow"/>
          <w:lang w:val="pt-PT"/>
        </w:rPr>
      </w:pPr>
      <w:del w:id="703" w:author="AbbVie2" w:date="2025-05-13T16:36:00Z">
        <w:r w:rsidRPr="008912CF">
          <w:rPr>
            <w:szCs w:val="22"/>
            <w:lang w:val="pt-PT"/>
          </w:rPr>
          <w:delText xml:space="preserve">Não se recomenda a administração concomitante de adalimumab com outros </w:delText>
        </w:r>
        <w:r w:rsidR="002B1836" w:rsidRPr="008912CF">
          <w:rPr>
            <w:szCs w:val="22"/>
            <w:lang w:val="pt-PT"/>
          </w:rPr>
          <w:delText xml:space="preserve">DMARDS </w:delText>
        </w:r>
        <w:r w:rsidRPr="008912CF">
          <w:rPr>
            <w:szCs w:val="22"/>
            <w:lang w:val="pt-PT"/>
          </w:rPr>
          <w:delText>biológicos (p.ex., ana</w:delText>
        </w:r>
        <w:r w:rsidR="002B1836">
          <w:rPr>
            <w:szCs w:val="22"/>
            <w:lang w:val="pt-PT"/>
          </w:rPr>
          <w:delText>c</w:delText>
        </w:r>
        <w:r w:rsidRPr="008912CF">
          <w:rPr>
            <w:szCs w:val="22"/>
            <w:lang w:val="pt-PT"/>
          </w:rPr>
          <w:delText>inra e abatacept) ou outros antagonistas</w:delText>
        </w:r>
        <w:r w:rsidRPr="008912CF">
          <w:rPr>
            <w:szCs w:val="22"/>
            <w:lang w:val="pt-PT"/>
          </w:rPr>
          <w:noBreakHyphen/>
          <w:delText>TNF, devido ao possível risco acrescido de infeções, incluindo infeções graves e outras potenciais interações farmacológicas (</w:delText>
        </w:r>
        <w:r w:rsidR="002B1836">
          <w:rPr>
            <w:szCs w:val="22"/>
            <w:lang w:val="pt-PT"/>
          </w:rPr>
          <w:delText>v</w:delText>
        </w:r>
        <w:r w:rsidRPr="008912CF">
          <w:rPr>
            <w:szCs w:val="22"/>
            <w:lang w:val="pt-PT"/>
          </w:rPr>
          <w:delText>er secção 4.5).</w:delText>
        </w:r>
      </w:del>
    </w:p>
    <w:p w14:paraId="76FAD5D0" w14:textId="0CC33911" w:rsidR="004462A0" w:rsidRPr="008912CF" w:rsidRDefault="004462A0" w:rsidP="004462A0">
      <w:pPr>
        <w:rPr>
          <w:del w:id="704" w:author="AbbVie2" w:date="2025-05-13T16:36:00Z"/>
          <w:iCs/>
          <w:sz w:val="22"/>
          <w:szCs w:val="22"/>
          <w:u w:val="single"/>
        </w:rPr>
      </w:pPr>
    </w:p>
    <w:p w14:paraId="0FE97ADC" w14:textId="6088FAC9" w:rsidR="004462A0" w:rsidRPr="008912CF" w:rsidRDefault="00615769" w:rsidP="004462A0">
      <w:pPr>
        <w:pStyle w:val="Heading9"/>
        <w:keepNext w:val="0"/>
        <w:rPr>
          <w:del w:id="705" w:author="AbbVie2" w:date="2025-05-13T16:36:00Z"/>
          <w:iCs/>
          <w:szCs w:val="22"/>
        </w:rPr>
      </w:pPr>
      <w:del w:id="706" w:author="AbbVie2" w:date="2025-05-13T16:36:00Z">
        <w:r w:rsidRPr="008912CF">
          <w:rPr>
            <w:iCs/>
            <w:szCs w:val="22"/>
          </w:rPr>
          <w:delText>Cirurgia</w:delText>
        </w:r>
      </w:del>
    </w:p>
    <w:p w14:paraId="0B1B0BCA" w14:textId="0209E5B0" w:rsidR="004462A0" w:rsidRPr="008912CF" w:rsidRDefault="004462A0" w:rsidP="004462A0">
      <w:pPr>
        <w:rPr>
          <w:del w:id="707" w:author="AbbVie2" w:date="2025-05-13T16:36:00Z"/>
          <w:iCs/>
          <w:sz w:val="22"/>
          <w:szCs w:val="22"/>
        </w:rPr>
      </w:pPr>
    </w:p>
    <w:p w14:paraId="279FEAE6" w14:textId="2C60DF9E" w:rsidR="004462A0" w:rsidRPr="008912CF" w:rsidRDefault="00615769" w:rsidP="004462A0">
      <w:pPr>
        <w:rPr>
          <w:del w:id="708" w:author="AbbVie2" w:date="2025-05-13T16:36:00Z"/>
          <w:iCs/>
          <w:sz w:val="22"/>
          <w:szCs w:val="22"/>
        </w:rPr>
      </w:pPr>
      <w:del w:id="709" w:author="AbbVie2" w:date="2025-05-13T16:36:00Z">
        <w:r w:rsidRPr="008912CF">
          <w:rPr>
            <w:iCs/>
            <w:sz w:val="22"/>
            <w:szCs w:val="22"/>
          </w:rPr>
          <w:delText>A experiência existente, em termos de segurança de intervenções cirúrgicas em doentes tratados com Humira, é limitada. A semi</w:delText>
        </w:r>
        <w:r w:rsidR="00784C05">
          <w:rPr>
            <w:iCs/>
            <w:sz w:val="22"/>
            <w:szCs w:val="22"/>
          </w:rPr>
          <w:delText>-</w:delText>
        </w:r>
        <w:r w:rsidRPr="008912CF">
          <w:rPr>
            <w:iCs/>
            <w:sz w:val="22"/>
            <w:szCs w:val="22"/>
          </w:rPr>
          <w:delText>vida longa de adalimumab deve ser tida em consideração se for planeada uma intervenção cirúrgica. Um doente que requeira cirurgia durante o tratamento com Humira deve ser cuidadosamente monitorizado para infeções, e devem ser tomadas ações apropriadas. A experiência que existe, em termos de segurança em doentes submetidos a artroplastia durante o tratamento com Humira, é limitada.</w:delText>
        </w:r>
      </w:del>
    </w:p>
    <w:p w14:paraId="3D033AF8" w14:textId="1B6F7D5A" w:rsidR="004462A0" w:rsidRPr="008912CF" w:rsidRDefault="004462A0" w:rsidP="004462A0">
      <w:pPr>
        <w:rPr>
          <w:del w:id="710" w:author="AbbVie2" w:date="2025-05-13T16:36:00Z"/>
          <w:sz w:val="22"/>
          <w:szCs w:val="22"/>
        </w:rPr>
      </w:pPr>
    </w:p>
    <w:p w14:paraId="3FFA0586" w14:textId="76AAFA92" w:rsidR="004462A0" w:rsidRPr="008912CF" w:rsidRDefault="00615769" w:rsidP="004462A0">
      <w:pPr>
        <w:pStyle w:val="EMEAFigureTitle"/>
        <w:keepNext/>
        <w:tabs>
          <w:tab w:val="clear" w:pos="562"/>
        </w:tabs>
        <w:suppressAutoHyphens w:val="0"/>
        <w:rPr>
          <w:del w:id="711" w:author="AbbVie2" w:date="2025-05-13T16:36:00Z"/>
          <w:szCs w:val="22"/>
          <w:u w:val="single"/>
          <w:lang w:val="pt-PT"/>
        </w:rPr>
      </w:pPr>
      <w:del w:id="712" w:author="AbbVie2" w:date="2025-05-13T16:36:00Z">
        <w:r w:rsidRPr="008912CF">
          <w:rPr>
            <w:szCs w:val="22"/>
            <w:u w:val="single"/>
            <w:lang w:val="pt-PT"/>
          </w:rPr>
          <w:delText>Obstrução do intestino delgado</w:delText>
        </w:r>
      </w:del>
    </w:p>
    <w:p w14:paraId="75B2BFD1" w14:textId="185BB3EB" w:rsidR="004462A0" w:rsidRPr="008912CF" w:rsidRDefault="004462A0" w:rsidP="004462A0">
      <w:pPr>
        <w:keepNext/>
        <w:rPr>
          <w:del w:id="713" w:author="AbbVie2" w:date="2025-05-13T16:36:00Z"/>
          <w:sz w:val="22"/>
          <w:szCs w:val="22"/>
        </w:rPr>
      </w:pPr>
    </w:p>
    <w:p w14:paraId="6575A278" w14:textId="7AB728B5" w:rsidR="004462A0" w:rsidRPr="008912CF" w:rsidRDefault="00615769" w:rsidP="004462A0">
      <w:pPr>
        <w:keepNext/>
        <w:rPr>
          <w:del w:id="714" w:author="AbbVie2" w:date="2025-05-13T16:36:00Z"/>
          <w:sz w:val="22"/>
          <w:szCs w:val="22"/>
        </w:rPr>
      </w:pPr>
      <w:del w:id="715" w:author="AbbVie2" w:date="2025-05-13T16:36:00Z">
        <w:r w:rsidRPr="008912CF">
          <w:rPr>
            <w:sz w:val="22"/>
            <w:szCs w:val="22"/>
          </w:rPr>
          <w:delText>Uma falha na resposta ao tratamento da doença de Crohn pode indicar a presença de estenose fibrótica</w:delText>
        </w:r>
        <w:r w:rsidR="00F7235D">
          <w:rPr>
            <w:sz w:val="22"/>
            <w:szCs w:val="22"/>
          </w:rPr>
          <w:delText>,</w:delText>
        </w:r>
        <w:r w:rsidRPr="008912CF">
          <w:rPr>
            <w:sz w:val="22"/>
            <w:szCs w:val="22"/>
          </w:rPr>
          <w:delText xml:space="preserve"> a qual pode requerer tratamento cirúrgico. Os dados disponíveis sugerem que Humira não agrava nem provoca estenoses.</w:delText>
        </w:r>
      </w:del>
    </w:p>
    <w:p w14:paraId="6CE6C502" w14:textId="5FA1A76E" w:rsidR="004462A0" w:rsidRPr="008912CF" w:rsidRDefault="004462A0" w:rsidP="004462A0">
      <w:pPr>
        <w:rPr>
          <w:del w:id="716" w:author="AbbVie2" w:date="2025-05-13T16:36:00Z"/>
          <w:i/>
          <w:sz w:val="22"/>
          <w:szCs w:val="22"/>
        </w:rPr>
      </w:pPr>
    </w:p>
    <w:p w14:paraId="6C20E1BF" w14:textId="599F6800" w:rsidR="004462A0" w:rsidRPr="008912CF" w:rsidRDefault="00615769" w:rsidP="004462A0">
      <w:pPr>
        <w:rPr>
          <w:del w:id="717" w:author="AbbVie2" w:date="2025-05-13T16:36:00Z"/>
          <w:sz w:val="22"/>
          <w:szCs w:val="22"/>
          <w:u w:val="single"/>
        </w:rPr>
      </w:pPr>
      <w:del w:id="718" w:author="AbbVie2" w:date="2025-05-13T16:36:00Z">
        <w:r w:rsidRPr="008912CF">
          <w:rPr>
            <w:sz w:val="22"/>
            <w:szCs w:val="22"/>
            <w:u w:val="single"/>
          </w:rPr>
          <w:delText>Idosos</w:delText>
        </w:r>
      </w:del>
    </w:p>
    <w:p w14:paraId="44815EB0" w14:textId="5365B9F7" w:rsidR="004462A0" w:rsidRPr="008912CF" w:rsidRDefault="004462A0" w:rsidP="004462A0">
      <w:pPr>
        <w:rPr>
          <w:del w:id="719" w:author="AbbVie2" w:date="2025-05-13T16:36:00Z"/>
          <w:sz w:val="22"/>
          <w:szCs w:val="22"/>
        </w:rPr>
      </w:pPr>
    </w:p>
    <w:p w14:paraId="321A5AFB" w14:textId="6F13C6EA" w:rsidR="004462A0" w:rsidRPr="008912CF" w:rsidRDefault="00615769" w:rsidP="004462A0">
      <w:pPr>
        <w:rPr>
          <w:del w:id="720" w:author="AbbVie2" w:date="2025-05-13T16:36:00Z"/>
          <w:sz w:val="22"/>
          <w:szCs w:val="22"/>
        </w:rPr>
      </w:pPr>
      <w:del w:id="721" w:author="AbbVie2" w:date="2025-05-13T16:36:00Z">
        <w:r w:rsidRPr="008912CF">
          <w:rPr>
            <w:sz w:val="22"/>
            <w:szCs w:val="22"/>
          </w:rPr>
          <w:delText>A frequência de infeções graves em doentes tratados com Humira com mais de 65</w:delText>
        </w:r>
        <w:r>
          <w:rPr>
            <w:sz w:val="22"/>
            <w:szCs w:val="22"/>
          </w:rPr>
          <w:delText> </w:delText>
        </w:r>
        <w:r w:rsidRPr="008912CF">
          <w:rPr>
            <w:sz w:val="22"/>
            <w:szCs w:val="22"/>
          </w:rPr>
          <w:delText>anos de idade (</w:delText>
        </w:r>
        <w:r>
          <w:rPr>
            <w:sz w:val="22"/>
            <w:szCs w:val="22"/>
          </w:rPr>
          <w:delText>3,7</w:delText>
        </w:r>
        <w:r w:rsidR="009343EF">
          <w:rPr>
            <w:sz w:val="22"/>
            <w:szCs w:val="22"/>
          </w:rPr>
          <w:delText>%</w:delText>
        </w:r>
        <w:r w:rsidRPr="008912CF">
          <w:rPr>
            <w:sz w:val="22"/>
            <w:szCs w:val="22"/>
          </w:rPr>
          <w:delText>) foi superior à de doentes com idade inferior a 65</w:delText>
        </w:r>
        <w:r>
          <w:rPr>
            <w:sz w:val="22"/>
            <w:szCs w:val="22"/>
          </w:rPr>
          <w:delText> </w:delText>
        </w:r>
        <w:r w:rsidRPr="008912CF">
          <w:rPr>
            <w:sz w:val="22"/>
            <w:szCs w:val="22"/>
          </w:rPr>
          <w:delText>anos (</w:delText>
        </w:r>
        <w:r>
          <w:rPr>
            <w:sz w:val="22"/>
            <w:szCs w:val="22"/>
          </w:rPr>
          <w:delText>1,5</w:delText>
        </w:r>
        <w:r w:rsidR="009343EF">
          <w:rPr>
            <w:sz w:val="22"/>
            <w:szCs w:val="22"/>
          </w:rPr>
          <w:delText>%</w:delText>
        </w:r>
        <w:r w:rsidRPr="008912CF">
          <w:rPr>
            <w:sz w:val="22"/>
            <w:szCs w:val="22"/>
          </w:rPr>
          <w:delText>). Algumas foram fatais. No tratamento em idosos deve-se ter particular atenção ao risco de infeções.</w:delText>
        </w:r>
      </w:del>
    </w:p>
    <w:p w14:paraId="38212F3E" w14:textId="64C2E908" w:rsidR="004462A0" w:rsidRPr="008912CF" w:rsidRDefault="004462A0" w:rsidP="004462A0">
      <w:pPr>
        <w:rPr>
          <w:del w:id="722" w:author="AbbVie2" w:date="2025-05-13T16:36:00Z"/>
          <w:i/>
          <w:sz w:val="22"/>
          <w:szCs w:val="22"/>
        </w:rPr>
      </w:pPr>
    </w:p>
    <w:p w14:paraId="6C1E321D" w14:textId="5F3C3C81" w:rsidR="004462A0" w:rsidRPr="008912CF" w:rsidRDefault="00615769" w:rsidP="004462A0">
      <w:pPr>
        <w:rPr>
          <w:del w:id="723" w:author="AbbVie2" w:date="2025-05-13T16:36:00Z"/>
          <w:iCs/>
          <w:sz w:val="22"/>
          <w:szCs w:val="22"/>
          <w:u w:val="single"/>
        </w:rPr>
      </w:pPr>
      <w:del w:id="724" w:author="AbbVie2" w:date="2025-05-13T16:36:00Z">
        <w:r w:rsidRPr="008912CF">
          <w:rPr>
            <w:iCs/>
            <w:sz w:val="22"/>
            <w:szCs w:val="22"/>
            <w:u w:val="single"/>
          </w:rPr>
          <w:delText>População pediátrica</w:delText>
        </w:r>
      </w:del>
    </w:p>
    <w:p w14:paraId="5D758582" w14:textId="24EA1587" w:rsidR="004462A0" w:rsidRPr="008912CF" w:rsidRDefault="004462A0" w:rsidP="004462A0">
      <w:pPr>
        <w:rPr>
          <w:del w:id="725" w:author="AbbVie2" w:date="2025-05-13T16:36:00Z"/>
          <w:i/>
          <w:sz w:val="22"/>
          <w:szCs w:val="22"/>
        </w:rPr>
      </w:pPr>
    </w:p>
    <w:p w14:paraId="008FB98D" w14:textId="56655D0F" w:rsidR="004462A0" w:rsidRDefault="00615769" w:rsidP="004462A0">
      <w:pPr>
        <w:rPr>
          <w:del w:id="726" w:author="AbbVie2" w:date="2025-05-13T16:36:00Z"/>
          <w:iCs/>
          <w:sz w:val="22"/>
          <w:szCs w:val="22"/>
        </w:rPr>
      </w:pPr>
      <w:del w:id="727" w:author="AbbVie2" w:date="2025-05-13T16:36:00Z">
        <w:r w:rsidRPr="008912CF">
          <w:rPr>
            <w:iCs/>
            <w:sz w:val="22"/>
            <w:szCs w:val="22"/>
          </w:rPr>
          <w:delText>Ver Vacinação.</w:delText>
        </w:r>
      </w:del>
    </w:p>
    <w:p w14:paraId="24CE0A3A" w14:textId="09AFE9B6" w:rsidR="008A13BA" w:rsidRDefault="008A13BA" w:rsidP="004462A0">
      <w:pPr>
        <w:rPr>
          <w:del w:id="728" w:author="AbbVie2" w:date="2025-05-13T16:36:00Z"/>
          <w:iCs/>
          <w:sz w:val="22"/>
          <w:szCs w:val="22"/>
        </w:rPr>
      </w:pPr>
    </w:p>
    <w:p w14:paraId="0F6B08CC" w14:textId="30E77B1F" w:rsidR="008A13BA" w:rsidRPr="00F03C54" w:rsidRDefault="00615769" w:rsidP="004462A0">
      <w:pPr>
        <w:rPr>
          <w:del w:id="729" w:author="AbbVie2" w:date="2025-05-13T16:36:00Z"/>
          <w:iCs/>
          <w:sz w:val="22"/>
          <w:szCs w:val="22"/>
          <w:u w:val="single"/>
        </w:rPr>
      </w:pPr>
      <w:del w:id="730" w:author="AbbVie2" w:date="2025-05-13T16:36:00Z">
        <w:r w:rsidRPr="00F03C54">
          <w:rPr>
            <w:iCs/>
            <w:sz w:val="22"/>
            <w:szCs w:val="22"/>
            <w:u w:val="single"/>
          </w:rPr>
          <w:delText>Excipientes</w:delText>
        </w:r>
        <w:r w:rsidR="00E3326B" w:rsidRPr="00F03C54">
          <w:rPr>
            <w:iCs/>
            <w:sz w:val="22"/>
            <w:szCs w:val="22"/>
            <w:u w:val="single"/>
          </w:rPr>
          <w:delText xml:space="preserve"> com efeito conhecido</w:delText>
        </w:r>
      </w:del>
    </w:p>
    <w:p w14:paraId="183D4228" w14:textId="3B6B1CA5" w:rsidR="008A13BA" w:rsidRDefault="008A13BA" w:rsidP="004462A0">
      <w:pPr>
        <w:rPr>
          <w:del w:id="731" w:author="AbbVie2" w:date="2025-05-13T16:36:00Z"/>
          <w:iCs/>
          <w:sz w:val="22"/>
          <w:szCs w:val="22"/>
        </w:rPr>
      </w:pPr>
    </w:p>
    <w:p w14:paraId="011FB1AB" w14:textId="30B4962E" w:rsidR="008A13BA" w:rsidRPr="008912CF" w:rsidRDefault="00615769" w:rsidP="004462A0">
      <w:pPr>
        <w:rPr>
          <w:del w:id="732" w:author="AbbVie2" w:date="2025-05-13T16:36:00Z"/>
          <w:iCs/>
          <w:sz w:val="22"/>
          <w:szCs w:val="22"/>
        </w:rPr>
      </w:pPr>
      <w:del w:id="733" w:author="AbbVie2" w:date="2025-05-13T16:36:00Z">
        <w:r>
          <w:rPr>
            <w:iCs/>
            <w:sz w:val="22"/>
            <w:szCs w:val="22"/>
          </w:rPr>
          <w:delText>Este medicamento contém menos d</w:delText>
        </w:r>
        <w:r w:rsidR="00974A0A">
          <w:rPr>
            <w:iCs/>
            <w:sz w:val="22"/>
            <w:szCs w:val="22"/>
          </w:rPr>
          <w:delText>o que</w:delText>
        </w:r>
        <w:r>
          <w:rPr>
            <w:iCs/>
            <w:sz w:val="22"/>
            <w:szCs w:val="22"/>
          </w:rPr>
          <w:delText xml:space="preserve"> 1 mmol (23 mg) </w:delText>
        </w:r>
        <w:r w:rsidR="00974A0A">
          <w:rPr>
            <w:iCs/>
            <w:sz w:val="22"/>
            <w:szCs w:val="22"/>
          </w:rPr>
          <w:delText xml:space="preserve">de sódio </w:delText>
        </w:r>
        <w:r>
          <w:rPr>
            <w:iCs/>
            <w:sz w:val="22"/>
            <w:szCs w:val="22"/>
          </w:rPr>
          <w:delText xml:space="preserve">por dose de 0,8 ml, </w:delText>
        </w:r>
        <w:r w:rsidR="00974A0A">
          <w:rPr>
            <w:iCs/>
            <w:sz w:val="22"/>
            <w:szCs w:val="22"/>
          </w:rPr>
          <w:delText xml:space="preserve">ou seja, é </w:delText>
        </w:r>
        <w:r>
          <w:rPr>
            <w:iCs/>
            <w:sz w:val="22"/>
            <w:szCs w:val="22"/>
          </w:rPr>
          <w:delText>praticamente “isento de sódio”.</w:delText>
        </w:r>
      </w:del>
    </w:p>
    <w:p w14:paraId="37EFA0A3" w14:textId="1AF22B8B" w:rsidR="004462A0" w:rsidRPr="008912CF" w:rsidRDefault="004462A0" w:rsidP="004462A0">
      <w:pPr>
        <w:rPr>
          <w:del w:id="734" w:author="AbbVie2" w:date="2025-05-13T16:36:00Z"/>
          <w:iCs/>
          <w:sz w:val="22"/>
          <w:szCs w:val="22"/>
        </w:rPr>
      </w:pPr>
    </w:p>
    <w:p w14:paraId="7EF24F30" w14:textId="45F58020" w:rsidR="004462A0" w:rsidRPr="008912CF" w:rsidRDefault="00615769" w:rsidP="00514D74">
      <w:pPr>
        <w:keepNext/>
        <w:autoSpaceDE w:val="0"/>
        <w:autoSpaceDN w:val="0"/>
        <w:adjustRightInd w:val="0"/>
        <w:ind w:left="567" w:hanging="567"/>
        <w:rPr>
          <w:del w:id="735" w:author="AbbVie2" w:date="2025-05-13T16:36:00Z"/>
          <w:b/>
          <w:sz w:val="22"/>
          <w:szCs w:val="22"/>
          <w:highlight w:val="yellow"/>
        </w:rPr>
      </w:pPr>
      <w:del w:id="736" w:author="AbbVie2" w:date="2025-05-13T16:36:00Z">
        <w:r w:rsidRPr="008912CF">
          <w:rPr>
            <w:b/>
            <w:sz w:val="22"/>
            <w:szCs w:val="22"/>
          </w:rPr>
          <w:delText>4.5</w:delText>
        </w:r>
        <w:r w:rsidRPr="008912CF">
          <w:rPr>
            <w:sz w:val="22"/>
            <w:szCs w:val="22"/>
          </w:rPr>
          <w:tab/>
        </w:r>
        <w:r w:rsidRPr="008912CF">
          <w:rPr>
            <w:b/>
            <w:sz w:val="22"/>
            <w:szCs w:val="22"/>
          </w:rPr>
          <w:delText xml:space="preserve">Interações medicamentosas e outras formas de interação </w:delText>
        </w:r>
      </w:del>
    </w:p>
    <w:p w14:paraId="30D4DA73" w14:textId="76411BA5" w:rsidR="004462A0" w:rsidRPr="008912CF" w:rsidRDefault="004462A0" w:rsidP="00514D74">
      <w:pPr>
        <w:pStyle w:val="EndnoteText"/>
        <w:keepNext/>
        <w:tabs>
          <w:tab w:val="clear" w:pos="567"/>
        </w:tabs>
        <w:rPr>
          <w:del w:id="737" w:author="AbbVie2" w:date="2025-05-13T16:36:00Z"/>
          <w:szCs w:val="22"/>
        </w:rPr>
      </w:pPr>
    </w:p>
    <w:p w14:paraId="70CD4AE9" w14:textId="3789E50E" w:rsidR="004462A0" w:rsidRPr="008912CF" w:rsidRDefault="00615769" w:rsidP="00514D74">
      <w:pPr>
        <w:keepNext/>
        <w:autoSpaceDE w:val="0"/>
        <w:autoSpaceDN w:val="0"/>
        <w:adjustRightInd w:val="0"/>
        <w:rPr>
          <w:del w:id="738" w:author="AbbVie2" w:date="2025-05-13T16:36:00Z"/>
          <w:sz w:val="22"/>
          <w:szCs w:val="22"/>
        </w:rPr>
      </w:pPr>
      <w:del w:id="739" w:author="AbbVie2" w:date="2025-05-13T16:36:00Z">
        <w:r w:rsidRPr="008912CF">
          <w:rPr>
            <w:sz w:val="22"/>
            <w:szCs w:val="22"/>
          </w:rPr>
          <w:delText xml:space="preserve">Humira foi estudado em doentes com artrite reumatoide, artrite idiopática juvenil poliarticular e artrite psoriática, tratados com Humira em monoterapia, e em doentes submetidos a um tratamento concomitante com metotrexato. A formação de anticorpos foi </w:delText>
        </w:r>
        <w:r w:rsidR="001D79C6">
          <w:rPr>
            <w:sz w:val="22"/>
            <w:szCs w:val="22"/>
          </w:rPr>
          <w:delText>inferior</w:delText>
        </w:r>
        <w:r w:rsidRPr="008912CF">
          <w:rPr>
            <w:sz w:val="22"/>
            <w:szCs w:val="22"/>
          </w:rPr>
          <w:delText xml:space="preserve"> quando Humira foi administrado com metotrexato relativamente ao uso em monoterapia.</w:delText>
        </w:r>
        <w:r w:rsidR="001D79C6">
          <w:rPr>
            <w:sz w:val="22"/>
            <w:szCs w:val="22"/>
          </w:rPr>
          <w:delText xml:space="preserve"> </w:delText>
        </w:r>
        <w:r w:rsidRPr="008912CF">
          <w:rPr>
            <w:sz w:val="22"/>
            <w:szCs w:val="22"/>
          </w:rPr>
          <w:delText>A administração de Humira sem metotrexato resultou numa formação aumentada de anticorpos, depuração aumentada e eficácia reduzida d</w:delText>
        </w:r>
        <w:r w:rsidR="003A4C51">
          <w:rPr>
            <w:sz w:val="22"/>
            <w:szCs w:val="22"/>
          </w:rPr>
          <w:delText>e</w:delText>
        </w:r>
        <w:r w:rsidRPr="008912CF">
          <w:rPr>
            <w:sz w:val="22"/>
            <w:szCs w:val="22"/>
          </w:rPr>
          <w:delText xml:space="preserve"> adalimumab (ver secção 5.1). </w:delText>
        </w:r>
      </w:del>
    </w:p>
    <w:p w14:paraId="0EBFC462" w14:textId="4025122B" w:rsidR="004462A0" w:rsidRPr="008912CF" w:rsidRDefault="004462A0" w:rsidP="004462A0">
      <w:pPr>
        <w:autoSpaceDE w:val="0"/>
        <w:autoSpaceDN w:val="0"/>
        <w:adjustRightInd w:val="0"/>
        <w:rPr>
          <w:del w:id="740" w:author="AbbVie2" w:date="2025-05-13T16:36:00Z"/>
          <w:sz w:val="22"/>
          <w:szCs w:val="22"/>
        </w:rPr>
      </w:pPr>
    </w:p>
    <w:p w14:paraId="6DDDA144" w14:textId="04613C05" w:rsidR="004462A0" w:rsidRPr="008912CF" w:rsidRDefault="00615769" w:rsidP="004462A0">
      <w:pPr>
        <w:pStyle w:val="Heading9"/>
        <w:keepNext w:val="0"/>
        <w:rPr>
          <w:del w:id="741" w:author="AbbVie2" w:date="2025-05-13T16:36:00Z"/>
          <w:szCs w:val="22"/>
          <w:u w:val="none"/>
        </w:rPr>
      </w:pPr>
      <w:del w:id="742" w:author="AbbVie2" w:date="2025-05-13T16:36:00Z">
        <w:r w:rsidRPr="008912CF">
          <w:rPr>
            <w:iCs/>
            <w:szCs w:val="22"/>
            <w:u w:val="none"/>
          </w:rPr>
          <w:delText>Não se recomenda a associação de Humira e ana</w:delText>
        </w:r>
        <w:r w:rsidR="002B1836">
          <w:rPr>
            <w:iCs/>
            <w:szCs w:val="22"/>
            <w:u w:val="none"/>
          </w:rPr>
          <w:delText>c</w:delText>
        </w:r>
        <w:r w:rsidRPr="008912CF">
          <w:rPr>
            <w:iCs/>
            <w:szCs w:val="22"/>
            <w:u w:val="none"/>
          </w:rPr>
          <w:delText xml:space="preserve">inra </w:delText>
        </w:r>
        <w:r w:rsidRPr="008912CF">
          <w:rPr>
            <w:szCs w:val="22"/>
            <w:u w:val="none"/>
          </w:rPr>
          <w:delText xml:space="preserve">(ver secção 4.4 “Administração concomitante de </w:delText>
        </w:r>
        <w:r w:rsidR="002B1836" w:rsidRPr="008912CF">
          <w:rPr>
            <w:szCs w:val="22"/>
            <w:u w:val="none"/>
          </w:rPr>
          <w:delText xml:space="preserve">DMARDS </w:delText>
        </w:r>
        <w:r w:rsidRPr="008912CF">
          <w:rPr>
            <w:szCs w:val="22"/>
            <w:u w:val="none"/>
          </w:rPr>
          <w:delText>biológicos ou antagonistas</w:delText>
        </w:r>
        <w:r w:rsidRPr="008912CF">
          <w:rPr>
            <w:szCs w:val="22"/>
            <w:u w:val="none"/>
          </w:rPr>
          <w:noBreakHyphen/>
          <w:delText>TNF”).</w:delText>
        </w:r>
      </w:del>
    </w:p>
    <w:p w14:paraId="6A809A59" w14:textId="2148418B" w:rsidR="004462A0" w:rsidRPr="008912CF" w:rsidRDefault="004462A0" w:rsidP="004462A0">
      <w:pPr>
        <w:pStyle w:val="Heading9"/>
        <w:keepNext w:val="0"/>
        <w:rPr>
          <w:del w:id="743" w:author="AbbVie2" w:date="2025-05-13T16:36:00Z"/>
          <w:iCs/>
          <w:szCs w:val="22"/>
        </w:rPr>
      </w:pPr>
    </w:p>
    <w:p w14:paraId="62AE30DB" w14:textId="35F5E2AC" w:rsidR="004462A0" w:rsidRPr="008912CF" w:rsidRDefault="00615769" w:rsidP="004462A0">
      <w:pPr>
        <w:pStyle w:val="Heading9"/>
        <w:keepNext w:val="0"/>
        <w:rPr>
          <w:del w:id="744" w:author="AbbVie2" w:date="2025-05-13T16:36:00Z"/>
          <w:szCs w:val="22"/>
        </w:rPr>
      </w:pPr>
      <w:del w:id="745" w:author="AbbVie2" w:date="2025-05-13T16:36:00Z">
        <w:r w:rsidRPr="008912CF">
          <w:rPr>
            <w:iCs/>
            <w:szCs w:val="22"/>
            <w:u w:val="none"/>
          </w:rPr>
          <w:delText xml:space="preserve">Não se recomenda a associação de Humira e </w:delText>
        </w:r>
        <w:r w:rsidRPr="008912CF">
          <w:rPr>
            <w:szCs w:val="22"/>
            <w:u w:val="none"/>
          </w:rPr>
          <w:delText xml:space="preserve">abatacept (ver secção 4.4 “Administração concomitante de </w:delText>
        </w:r>
        <w:r w:rsidR="002B1836" w:rsidRPr="008912CF">
          <w:rPr>
            <w:szCs w:val="22"/>
            <w:u w:val="none"/>
          </w:rPr>
          <w:delText xml:space="preserve">DMARDS </w:delText>
        </w:r>
        <w:r w:rsidRPr="008912CF">
          <w:rPr>
            <w:szCs w:val="22"/>
            <w:u w:val="none"/>
          </w:rPr>
          <w:delText>biológicos ou antagonistas</w:delText>
        </w:r>
        <w:r w:rsidRPr="008912CF">
          <w:rPr>
            <w:szCs w:val="22"/>
            <w:u w:val="none"/>
          </w:rPr>
          <w:noBreakHyphen/>
          <w:delText>TNF”).</w:delText>
        </w:r>
      </w:del>
    </w:p>
    <w:p w14:paraId="4F952A4F" w14:textId="3505BB26" w:rsidR="004462A0" w:rsidRPr="008912CF" w:rsidRDefault="004462A0" w:rsidP="004462A0">
      <w:pPr>
        <w:autoSpaceDE w:val="0"/>
        <w:autoSpaceDN w:val="0"/>
        <w:adjustRightInd w:val="0"/>
        <w:rPr>
          <w:del w:id="746" w:author="AbbVie2" w:date="2025-05-13T16:36:00Z"/>
          <w:sz w:val="22"/>
          <w:szCs w:val="22"/>
        </w:rPr>
      </w:pPr>
    </w:p>
    <w:p w14:paraId="2884EFFE" w14:textId="738B2973" w:rsidR="004462A0" w:rsidRPr="00F03C54" w:rsidRDefault="00615769">
      <w:pPr>
        <w:autoSpaceDE w:val="0"/>
        <w:autoSpaceDN w:val="0"/>
        <w:adjustRightInd w:val="0"/>
        <w:rPr>
          <w:del w:id="747" w:author="AbbVie2" w:date="2025-05-13T16:36:00Z"/>
          <w:b/>
          <w:sz w:val="22"/>
          <w:szCs w:val="22"/>
        </w:rPr>
      </w:pPr>
      <w:del w:id="748" w:author="AbbVie2" w:date="2025-05-13T16:36:00Z">
        <w:r>
          <w:rPr>
            <w:b/>
            <w:sz w:val="22"/>
            <w:szCs w:val="22"/>
          </w:rPr>
          <w:delText>4.6</w:delText>
        </w:r>
        <w:r>
          <w:rPr>
            <w:b/>
            <w:sz w:val="22"/>
            <w:szCs w:val="22"/>
          </w:rPr>
          <w:tab/>
        </w:r>
        <w:r w:rsidRPr="00F03C54">
          <w:rPr>
            <w:b/>
            <w:sz w:val="22"/>
            <w:szCs w:val="22"/>
          </w:rPr>
          <w:delText xml:space="preserve">Fertilidade, gravidez e aleitamento </w:delText>
        </w:r>
      </w:del>
    </w:p>
    <w:p w14:paraId="0EF7AE34" w14:textId="3CC21285" w:rsidR="004462A0" w:rsidRPr="008912CF" w:rsidRDefault="004462A0" w:rsidP="004462A0">
      <w:pPr>
        <w:autoSpaceDE w:val="0"/>
        <w:autoSpaceDN w:val="0"/>
        <w:adjustRightInd w:val="0"/>
        <w:rPr>
          <w:del w:id="749" w:author="AbbVie2" w:date="2025-05-13T16:36:00Z"/>
          <w:sz w:val="22"/>
          <w:szCs w:val="22"/>
        </w:rPr>
      </w:pPr>
    </w:p>
    <w:p w14:paraId="4EE2CCF1" w14:textId="3BCEABCB" w:rsidR="004462A0" w:rsidRPr="008912CF" w:rsidRDefault="00615769" w:rsidP="004462A0">
      <w:pPr>
        <w:rPr>
          <w:del w:id="750" w:author="AbbVie2" w:date="2025-05-13T16:36:00Z"/>
          <w:sz w:val="22"/>
          <w:szCs w:val="22"/>
          <w:u w:val="single"/>
        </w:rPr>
      </w:pPr>
      <w:del w:id="751" w:author="AbbVie2" w:date="2025-05-13T16:36:00Z">
        <w:r w:rsidRPr="008912CF">
          <w:rPr>
            <w:sz w:val="22"/>
            <w:szCs w:val="22"/>
            <w:u w:val="single"/>
          </w:rPr>
          <w:delText>Mulheres em idade fértil</w:delText>
        </w:r>
      </w:del>
    </w:p>
    <w:p w14:paraId="6DDD2166" w14:textId="02A1554E" w:rsidR="004462A0" w:rsidRPr="008912CF" w:rsidRDefault="004462A0" w:rsidP="004462A0">
      <w:pPr>
        <w:rPr>
          <w:del w:id="752" w:author="AbbVie2" w:date="2025-05-13T16:36:00Z"/>
          <w:sz w:val="22"/>
          <w:szCs w:val="22"/>
        </w:rPr>
      </w:pPr>
    </w:p>
    <w:p w14:paraId="57573CD1" w14:textId="4CA6F6CC" w:rsidR="004462A0" w:rsidRPr="008912CF" w:rsidRDefault="00615769" w:rsidP="004462A0">
      <w:pPr>
        <w:rPr>
          <w:del w:id="753" w:author="AbbVie2" w:date="2025-05-13T16:36:00Z"/>
          <w:sz w:val="22"/>
          <w:szCs w:val="22"/>
        </w:rPr>
      </w:pPr>
      <w:del w:id="754" w:author="AbbVie2" w:date="2025-05-13T16:36:00Z">
        <w:r w:rsidRPr="008912CF">
          <w:rPr>
            <w:sz w:val="22"/>
            <w:szCs w:val="22"/>
          </w:rPr>
          <w:delText xml:space="preserve">As mulheres em idade fértil </w:delText>
        </w:r>
        <w:r w:rsidR="00814394" w:rsidRPr="00814394">
          <w:rPr>
            <w:sz w:val="22"/>
            <w:szCs w:val="22"/>
          </w:rPr>
          <w:delText xml:space="preserve">devem considerar a </w:delText>
        </w:r>
        <w:r w:rsidR="00814394">
          <w:rPr>
            <w:sz w:val="22"/>
            <w:szCs w:val="22"/>
          </w:rPr>
          <w:delText>utilização de</w:delText>
        </w:r>
        <w:r w:rsidRPr="008912CF">
          <w:rPr>
            <w:sz w:val="22"/>
            <w:szCs w:val="22"/>
          </w:rPr>
          <w:delText xml:space="preserve"> um método contracetivo adequado para evitar a gravidez e continuar a utilizá-lo durante pelo menos cinco meses após o último tratamento com Humira.</w:delText>
        </w:r>
      </w:del>
    </w:p>
    <w:p w14:paraId="48C4F405" w14:textId="3C56D0C4" w:rsidR="004462A0" w:rsidRPr="008912CF" w:rsidRDefault="004462A0" w:rsidP="004462A0">
      <w:pPr>
        <w:autoSpaceDE w:val="0"/>
        <w:autoSpaceDN w:val="0"/>
        <w:adjustRightInd w:val="0"/>
        <w:rPr>
          <w:del w:id="755" w:author="AbbVie2" w:date="2025-05-13T16:36:00Z"/>
          <w:sz w:val="22"/>
          <w:szCs w:val="22"/>
        </w:rPr>
      </w:pPr>
    </w:p>
    <w:p w14:paraId="46D23257" w14:textId="676627B7" w:rsidR="004462A0" w:rsidRPr="008912CF" w:rsidRDefault="00615769" w:rsidP="004462A0">
      <w:pPr>
        <w:autoSpaceDE w:val="0"/>
        <w:autoSpaceDN w:val="0"/>
        <w:adjustRightInd w:val="0"/>
        <w:rPr>
          <w:del w:id="756" w:author="AbbVie2" w:date="2025-05-13T16:36:00Z"/>
          <w:sz w:val="22"/>
          <w:szCs w:val="22"/>
          <w:u w:val="single"/>
        </w:rPr>
      </w:pPr>
      <w:del w:id="757" w:author="AbbVie2" w:date="2025-05-13T16:36:00Z">
        <w:r w:rsidRPr="008912CF">
          <w:rPr>
            <w:sz w:val="22"/>
            <w:szCs w:val="22"/>
            <w:u w:val="single"/>
          </w:rPr>
          <w:delText>Gravidez</w:delText>
        </w:r>
      </w:del>
    </w:p>
    <w:p w14:paraId="08E21B3C" w14:textId="550E87CC" w:rsidR="004462A0" w:rsidRPr="008912CF" w:rsidRDefault="004462A0" w:rsidP="004462A0">
      <w:pPr>
        <w:autoSpaceDE w:val="0"/>
        <w:autoSpaceDN w:val="0"/>
        <w:adjustRightInd w:val="0"/>
        <w:rPr>
          <w:del w:id="758" w:author="AbbVie2" w:date="2025-05-13T16:36:00Z"/>
          <w:sz w:val="22"/>
          <w:szCs w:val="22"/>
        </w:rPr>
      </w:pPr>
    </w:p>
    <w:p w14:paraId="653B884A" w14:textId="6187164C" w:rsidR="00814394" w:rsidRDefault="00615769" w:rsidP="00814394">
      <w:pPr>
        <w:autoSpaceDE w:val="0"/>
        <w:autoSpaceDN w:val="0"/>
        <w:adjustRightInd w:val="0"/>
        <w:rPr>
          <w:del w:id="759" w:author="AbbVie2" w:date="2025-05-13T16:36:00Z"/>
          <w:sz w:val="22"/>
          <w:szCs w:val="22"/>
        </w:rPr>
      </w:pPr>
      <w:del w:id="760" w:author="AbbVie2" w:date="2025-05-13T16:36:00Z">
        <w:r w:rsidRPr="0037510D">
          <w:rPr>
            <w:sz w:val="22"/>
            <w:szCs w:val="22"/>
          </w:rPr>
          <w:delText>Um grande número de g</w:delText>
        </w:r>
        <w:r>
          <w:rPr>
            <w:sz w:val="22"/>
            <w:szCs w:val="22"/>
          </w:rPr>
          <w:delText xml:space="preserve">ravidezes </w:delText>
        </w:r>
        <w:r w:rsidRPr="0037510D">
          <w:rPr>
            <w:sz w:val="22"/>
            <w:szCs w:val="22"/>
          </w:rPr>
          <w:delText>(aproximadamente 2</w:delText>
        </w:r>
        <w:r>
          <w:rPr>
            <w:sz w:val="22"/>
            <w:szCs w:val="22"/>
          </w:rPr>
          <w:delText>.</w:delText>
        </w:r>
        <w:r w:rsidRPr="0037510D">
          <w:rPr>
            <w:sz w:val="22"/>
            <w:szCs w:val="22"/>
          </w:rPr>
          <w:delText>100)</w:delText>
        </w:r>
        <w:r>
          <w:rPr>
            <w:sz w:val="22"/>
            <w:szCs w:val="22"/>
          </w:rPr>
          <w:delText xml:space="preserve"> recolhidas de forma prospetiva, em que ocorreu exposição</w:delText>
        </w:r>
        <w:r w:rsidRPr="0037510D">
          <w:rPr>
            <w:sz w:val="22"/>
            <w:szCs w:val="22"/>
          </w:rPr>
          <w:delText xml:space="preserve"> a adalimumab</w:delText>
        </w:r>
        <w:r>
          <w:rPr>
            <w:sz w:val="22"/>
            <w:szCs w:val="22"/>
          </w:rPr>
          <w:delText>, resultando em</w:delText>
        </w:r>
        <w:r w:rsidRPr="0037510D">
          <w:rPr>
            <w:sz w:val="22"/>
            <w:szCs w:val="22"/>
          </w:rPr>
          <w:delText xml:space="preserve"> na</w:delText>
        </w:r>
        <w:r>
          <w:rPr>
            <w:sz w:val="22"/>
            <w:szCs w:val="22"/>
          </w:rPr>
          <w:delText xml:space="preserve">dos </w:delText>
        </w:r>
        <w:r w:rsidRPr="0037510D">
          <w:rPr>
            <w:sz w:val="22"/>
            <w:szCs w:val="22"/>
          </w:rPr>
          <w:delText>vivos com desfecho conhecido</w:delText>
        </w:r>
        <w:r>
          <w:rPr>
            <w:sz w:val="22"/>
            <w:szCs w:val="22"/>
          </w:rPr>
          <w:delText xml:space="preserve"> e </w:delText>
        </w:r>
        <w:r w:rsidRPr="0037510D">
          <w:rPr>
            <w:sz w:val="22"/>
            <w:szCs w:val="22"/>
          </w:rPr>
          <w:delText>incluindo mais de 1.500</w:delText>
        </w:r>
        <w:r>
          <w:rPr>
            <w:sz w:val="22"/>
            <w:szCs w:val="22"/>
          </w:rPr>
          <w:delText xml:space="preserve"> com</w:delText>
        </w:r>
        <w:r w:rsidRPr="0037510D">
          <w:rPr>
            <w:sz w:val="22"/>
            <w:szCs w:val="22"/>
          </w:rPr>
          <w:delText xml:space="preserve"> expos</w:delText>
        </w:r>
        <w:r>
          <w:rPr>
            <w:sz w:val="22"/>
            <w:szCs w:val="22"/>
          </w:rPr>
          <w:delText>ição</w:delText>
        </w:r>
        <w:r w:rsidRPr="0037510D">
          <w:rPr>
            <w:sz w:val="22"/>
            <w:szCs w:val="22"/>
          </w:rPr>
          <w:delText xml:space="preserve"> durante o primeiro trimestre, não indica um aumento na taxa de malformaç</w:delText>
        </w:r>
        <w:r>
          <w:rPr>
            <w:sz w:val="22"/>
            <w:szCs w:val="22"/>
          </w:rPr>
          <w:delText>ões</w:delText>
        </w:r>
        <w:r w:rsidRPr="0037510D">
          <w:rPr>
            <w:sz w:val="22"/>
            <w:szCs w:val="22"/>
          </w:rPr>
          <w:delText xml:space="preserve"> no recém-nascido.</w:delText>
        </w:r>
      </w:del>
    </w:p>
    <w:p w14:paraId="37E86144" w14:textId="166F48DD" w:rsidR="00814394" w:rsidRDefault="00814394" w:rsidP="00814394">
      <w:pPr>
        <w:autoSpaceDE w:val="0"/>
        <w:autoSpaceDN w:val="0"/>
        <w:adjustRightInd w:val="0"/>
        <w:rPr>
          <w:del w:id="761" w:author="AbbVie2" w:date="2025-05-13T16:36:00Z"/>
          <w:sz w:val="22"/>
          <w:szCs w:val="22"/>
        </w:rPr>
      </w:pPr>
    </w:p>
    <w:p w14:paraId="68E83422" w14:textId="3F531FF1" w:rsidR="004462A0" w:rsidRPr="008912CF" w:rsidRDefault="00615769" w:rsidP="004462A0">
      <w:pPr>
        <w:autoSpaceDE w:val="0"/>
        <w:autoSpaceDN w:val="0"/>
        <w:adjustRightInd w:val="0"/>
        <w:rPr>
          <w:del w:id="762" w:author="AbbVie2" w:date="2025-05-13T16:36:00Z"/>
          <w:sz w:val="22"/>
          <w:szCs w:val="22"/>
        </w:rPr>
      </w:pPr>
      <w:del w:id="763" w:author="AbbVie2" w:date="2025-05-13T16:36:00Z">
        <w:r>
          <w:rPr>
            <w:sz w:val="22"/>
            <w:szCs w:val="22"/>
          </w:rPr>
          <w:delText>Num</w:delText>
        </w:r>
        <w:r w:rsidR="00A7629F">
          <w:rPr>
            <w:sz w:val="22"/>
            <w:szCs w:val="22"/>
          </w:rPr>
          <w:delText>a</w:delText>
        </w:r>
        <w:r>
          <w:rPr>
            <w:sz w:val="22"/>
            <w:szCs w:val="22"/>
          </w:rPr>
          <w:delText xml:space="preserve"> c</w:delText>
        </w:r>
        <w:r w:rsidRPr="00BE516A">
          <w:rPr>
            <w:sz w:val="22"/>
            <w:szCs w:val="22"/>
          </w:rPr>
          <w:delText>oorte</w:delText>
        </w:r>
        <w:r>
          <w:rPr>
            <w:sz w:val="22"/>
            <w:szCs w:val="22"/>
          </w:rPr>
          <w:delText xml:space="preserve"> prospetiv</w:delText>
        </w:r>
        <w:r w:rsidR="00A7629F">
          <w:rPr>
            <w:sz w:val="22"/>
            <w:szCs w:val="22"/>
          </w:rPr>
          <w:delText>a</w:delText>
        </w:r>
        <w:r>
          <w:rPr>
            <w:sz w:val="22"/>
            <w:szCs w:val="22"/>
          </w:rPr>
          <w:delText xml:space="preserve">, foram incluídas </w:delText>
        </w:r>
        <w:r w:rsidRPr="00BE516A">
          <w:rPr>
            <w:sz w:val="22"/>
            <w:szCs w:val="22"/>
          </w:rPr>
          <w:delText>257 mulheres com artrite reumatoide (AR) ou doença de Crohn (DC) tratadas com adalimumab</w:delText>
        </w:r>
        <w:r w:rsidR="006B2D48">
          <w:rPr>
            <w:sz w:val="22"/>
            <w:szCs w:val="22"/>
          </w:rPr>
          <w:delText>,</w:delText>
        </w:r>
        <w:r w:rsidRPr="00BE516A">
          <w:rPr>
            <w:sz w:val="22"/>
            <w:szCs w:val="22"/>
          </w:rPr>
          <w:delText xml:space="preserve"> pelo menos durante o primeiro trimestre</w:delText>
        </w:r>
        <w:r w:rsidR="006B2D48">
          <w:rPr>
            <w:sz w:val="22"/>
            <w:szCs w:val="22"/>
          </w:rPr>
          <w:delText>,</w:delText>
        </w:r>
        <w:r w:rsidRPr="00BE516A">
          <w:rPr>
            <w:sz w:val="22"/>
            <w:szCs w:val="22"/>
          </w:rPr>
          <w:delText xml:space="preserve"> e 120 mulheres com AR ou DC não tratadas com adalimumab</w:delText>
        </w:r>
        <w:r>
          <w:rPr>
            <w:sz w:val="22"/>
            <w:szCs w:val="22"/>
          </w:rPr>
          <w:delText xml:space="preserve">. </w:delText>
        </w:r>
        <w:r w:rsidRPr="005E3DFC">
          <w:rPr>
            <w:sz w:val="22"/>
            <w:szCs w:val="22"/>
          </w:rPr>
          <w:delText xml:space="preserve">O </w:delText>
        </w:r>
        <w:r w:rsidR="00A7629F">
          <w:rPr>
            <w:sz w:val="22"/>
            <w:szCs w:val="22"/>
          </w:rPr>
          <w:delText>objetivo</w:delText>
        </w:r>
        <w:r w:rsidRPr="005E3DFC">
          <w:rPr>
            <w:sz w:val="22"/>
            <w:szCs w:val="22"/>
          </w:rPr>
          <w:delText xml:space="preserve"> primário foi a prevalência de </w:delText>
        </w:r>
        <w:r w:rsidR="00F06203">
          <w:rPr>
            <w:sz w:val="22"/>
            <w:szCs w:val="22"/>
          </w:rPr>
          <w:delText>malformações</w:delText>
        </w:r>
        <w:r w:rsidRPr="005E3DFC">
          <w:rPr>
            <w:sz w:val="22"/>
            <w:szCs w:val="22"/>
          </w:rPr>
          <w:delText xml:space="preserve"> </w:delText>
        </w:r>
        <w:r w:rsidR="00F06203">
          <w:rPr>
            <w:sz w:val="22"/>
            <w:szCs w:val="22"/>
          </w:rPr>
          <w:delText>congénitas</w:delText>
        </w:r>
        <w:r w:rsidR="0042571F">
          <w:rPr>
            <w:sz w:val="22"/>
            <w:szCs w:val="22"/>
          </w:rPr>
          <w:delText xml:space="preserve"> </w:delText>
        </w:r>
        <w:r w:rsidR="00A7629F" w:rsidRPr="006B2D48">
          <w:rPr>
            <w:i/>
            <w:sz w:val="22"/>
            <w:szCs w:val="22"/>
          </w:rPr>
          <w:delText>major</w:delText>
        </w:r>
        <w:r w:rsidR="00A7629F">
          <w:rPr>
            <w:sz w:val="22"/>
            <w:szCs w:val="22"/>
          </w:rPr>
          <w:delText xml:space="preserve"> </w:delText>
        </w:r>
        <w:r w:rsidR="0042571F">
          <w:rPr>
            <w:sz w:val="22"/>
            <w:szCs w:val="22"/>
          </w:rPr>
          <w:delText>à nascença</w:delText>
        </w:r>
        <w:r w:rsidRPr="005E3DFC">
          <w:rPr>
            <w:sz w:val="22"/>
            <w:szCs w:val="22"/>
          </w:rPr>
          <w:delText xml:space="preserve">. A taxa de gravidezes que terminaram com pelo menos um </w:delText>
        </w:r>
        <w:r w:rsidR="00A7629F">
          <w:rPr>
            <w:sz w:val="22"/>
            <w:szCs w:val="22"/>
          </w:rPr>
          <w:delText>nado</w:delText>
        </w:r>
        <w:r w:rsidRPr="005E3DFC">
          <w:rPr>
            <w:sz w:val="22"/>
            <w:szCs w:val="22"/>
          </w:rPr>
          <w:delText xml:space="preserve"> vivo com um</w:delText>
        </w:r>
        <w:r w:rsidR="0042571F">
          <w:rPr>
            <w:sz w:val="22"/>
            <w:szCs w:val="22"/>
          </w:rPr>
          <w:delText>a malformação</w:delText>
        </w:r>
        <w:r w:rsidRPr="005E3DFC">
          <w:rPr>
            <w:sz w:val="22"/>
            <w:szCs w:val="22"/>
          </w:rPr>
          <w:delText xml:space="preserve"> cong</w:delText>
        </w:r>
        <w:r>
          <w:rPr>
            <w:sz w:val="22"/>
            <w:szCs w:val="22"/>
          </w:rPr>
          <w:delText>é</w:delText>
        </w:r>
        <w:r w:rsidRPr="005E3DFC">
          <w:rPr>
            <w:sz w:val="22"/>
            <w:szCs w:val="22"/>
          </w:rPr>
          <w:delText>nit</w:delText>
        </w:r>
        <w:r w:rsidR="0042571F">
          <w:rPr>
            <w:sz w:val="22"/>
            <w:szCs w:val="22"/>
          </w:rPr>
          <w:delText>a</w:delText>
        </w:r>
        <w:r w:rsidRPr="005E3DFC">
          <w:rPr>
            <w:sz w:val="22"/>
            <w:szCs w:val="22"/>
          </w:rPr>
          <w:delText xml:space="preserve"> </w:delText>
        </w:r>
        <w:r w:rsidR="00A7629F" w:rsidRPr="006B2D48">
          <w:rPr>
            <w:i/>
            <w:sz w:val="22"/>
            <w:szCs w:val="22"/>
          </w:rPr>
          <w:delText>major</w:delText>
        </w:r>
        <w:r w:rsidRPr="005E3DFC">
          <w:rPr>
            <w:sz w:val="22"/>
            <w:szCs w:val="22"/>
          </w:rPr>
          <w:delText xml:space="preserve"> foi de 6/69 (8,7%) nas mulheres </w:delText>
        </w:r>
        <w:r w:rsidR="00A7629F" w:rsidRPr="005E3DFC">
          <w:rPr>
            <w:sz w:val="22"/>
            <w:szCs w:val="22"/>
          </w:rPr>
          <w:delText xml:space="preserve">com AR </w:delText>
        </w:r>
        <w:r w:rsidRPr="005E3DFC">
          <w:rPr>
            <w:sz w:val="22"/>
            <w:szCs w:val="22"/>
          </w:rPr>
          <w:delText xml:space="preserve">tratadas com adalimumab e 5/74 (6,8%) nas mulheres </w:delText>
        </w:r>
        <w:r w:rsidR="00A7629F" w:rsidRPr="005E3DFC">
          <w:rPr>
            <w:sz w:val="22"/>
            <w:szCs w:val="22"/>
          </w:rPr>
          <w:delText xml:space="preserve">com AR </w:delText>
        </w:r>
        <w:r w:rsidRPr="005E3DFC">
          <w:rPr>
            <w:sz w:val="22"/>
            <w:szCs w:val="22"/>
          </w:rPr>
          <w:delText>não tratadas (</w:delText>
        </w:r>
        <w:r w:rsidR="006B2D48" w:rsidRPr="006B2D48">
          <w:rPr>
            <w:i/>
            <w:sz w:val="22"/>
            <w:szCs w:val="22"/>
          </w:rPr>
          <w:delText>odds ratio</w:delText>
        </w:r>
        <w:r w:rsidR="006B2D48">
          <w:rPr>
            <w:sz w:val="22"/>
            <w:szCs w:val="22"/>
          </w:rPr>
          <w:delText xml:space="preserve"> (</w:delText>
        </w:r>
        <w:r>
          <w:rPr>
            <w:sz w:val="22"/>
            <w:szCs w:val="22"/>
          </w:rPr>
          <w:delText>OR</w:delText>
        </w:r>
        <w:r w:rsidR="006B2D48">
          <w:rPr>
            <w:sz w:val="22"/>
            <w:szCs w:val="22"/>
          </w:rPr>
          <w:delText>)</w:delText>
        </w:r>
        <w:r>
          <w:rPr>
            <w:sz w:val="22"/>
            <w:szCs w:val="22"/>
          </w:rPr>
          <w:delText xml:space="preserve"> </w:delText>
        </w:r>
        <w:r w:rsidRPr="005E3DFC">
          <w:rPr>
            <w:sz w:val="22"/>
            <w:szCs w:val="22"/>
          </w:rPr>
          <w:delText>não ajustada</w:delText>
        </w:r>
        <w:r w:rsidR="00A7629F">
          <w:rPr>
            <w:sz w:val="22"/>
            <w:szCs w:val="22"/>
          </w:rPr>
          <w:delText>:</w:delText>
        </w:r>
        <w:r w:rsidRPr="005E3DFC">
          <w:rPr>
            <w:sz w:val="22"/>
            <w:szCs w:val="22"/>
          </w:rPr>
          <w:delText xml:space="preserve"> 1,31, IC 95% 0,38-4,52) e 16/152 (10,5%) nas m</w:delText>
        </w:r>
        <w:r>
          <w:rPr>
            <w:sz w:val="22"/>
            <w:szCs w:val="22"/>
          </w:rPr>
          <w:delText xml:space="preserve">ulheres </w:delText>
        </w:r>
        <w:r w:rsidR="00A7629F" w:rsidRPr="005E3DFC">
          <w:rPr>
            <w:sz w:val="22"/>
            <w:szCs w:val="22"/>
          </w:rPr>
          <w:delText xml:space="preserve">com </w:delText>
        </w:r>
        <w:r w:rsidR="00A7629F">
          <w:rPr>
            <w:sz w:val="22"/>
            <w:szCs w:val="22"/>
          </w:rPr>
          <w:delText>DC</w:delText>
        </w:r>
        <w:r w:rsidR="00A7629F" w:rsidRPr="005E3DFC">
          <w:rPr>
            <w:sz w:val="22"/>
            <w:szCs w:val="22"/>
          </w:rPr>
          <w:delText xml:space="preserve"> </w:delText>
        </w:r>
        <w:r>
          <w:rPr>
            <w:sz w:val="22"/>
            <w:szCs w:val="22"/>
          </w:rPr>
          <w:delText>tratadas com adalimumab</w:delText>
        </w:r>
        <w:r w:rsidRPr="005E3DFC">
          <w:rPr>
            <w:sz w:val="22"/>
            <w:szCs w:val="22"/>
          </w:rPr>
          <w:delText xml:space="preserve"> e 3/32 (9,4%) nas mulheres </w:delText>
        </w:r>
        <w:r w:rsidR="00A7629F" w:rsidRPr="005E3DFC">
          <w:rPr>
            <w:sz w:val="22"/>
            <w:szCs w:val="22"/>
          </w:rPr>
          <w:delText xml:space="preserve">com DC </w:delText>
        </w:r>
        <w:r w:rsidRPr="005E3DFC">
          <w:rPr>
            <w:sz w:val="22"/>
            <w:szCs w:val="22"/>
          </w:rPr>
          <w:delText>não tratadas (OR não ajustada</w:delText>
        </w:r>
        <w:r w:rsidR="00A7629F">
          <w:rPr>
            <w:sz w:val="22"/>
            <w:szCs w:val="22"/>
          </w:rPr>
          <w:delText>:</w:delText>
        </w:r>
        <w:r w:rsidRPr="005E3DFC">
          <w:rPr>
            <w:sz w:val="22"/>
            <w:szCs w:val="22"/>
          </w:rPr>
          <w:delText xml:space="preserve"> 1,14, IC 95% 0,31-4,16).</w:delText>
        </w:r>
        <w:r>
          <w:rPr>
            <w:sz w:val="22"/>
            <w:szCs w:val="22"/>
          </w:rPr>
          <w:delText xml:space="preserve"> A OR ajustada </w:delText>
        </w:r>
        <w:r w:rsidRPr="005E3DFC">
          <w:rPr>
            <w:sz w:val="22"/>
            <w:szCs w:val="22"/>
          </w:rPr>
          <w:delText>(</w:delText>
        </w:r>
        <w:r w:rsidR="00A7629F">
          <w:rPr>
            <w:sz w:val="22"/>
            <w:szCs w:val="22"/>
          </w:rPr>
          <w:delText>contabilizando</w:delText>
        </w:r>
        <w:r w:rsidRPr="005E3DFC">
          <w:rPr>
            <w:sz w:val="22"/>
            <w:szCs w:val="22"/>
          </w:rPr>
          <w:delText xml:space="preserve"> </w:delText>
        </w:r>
        <w:r w:rsidR="00A7629F">
          <w:rPr>
            <w:sz w:val="22"/>
            <w:szCs w:val="22"/>
          </w:rPr>
          <w:delText xml:space="preserve">as </w:delText>
        </w:r>
        <w:r w:rsidRPr="005E3DFC">
          <w:rPr>
            <w:sz w:val="22"/>
            <w:szCs w:val="22"/>
          </w:rPr>
          <w:delText xml:space="preserve">diferenças </w:delText>
        </w:r>
        <w:r w:rsidR="0042571F">
          <w:rPr>
            <w:sz w:val="22"/>
            <w:szCs w:val="22"/>
          </w:rPr>
          <w:delText>na avaliação basal</w:delText>
        </w:r>
        <w:r w:rsidRPr="005E3DFC">
          <w:rPr>
            <w:sz w:val="22"/>
            <w:szCs w:val="22"/>
          </w:rPr>
          <w:delText xml:space="preserve">) foi de 1,10 (IC 95% 0,45-2,73) com </w:delText>
        </w:r>
        <w:r>
          <w:rPr>
            <w:sz w:val="22"/>
            <w:szCs w:val="22"/>
          </w:rPr>
          <w:delText>AR e DC</w:delText>
        </w:r>
        <w:r w:rsidRPr="005E3DFC">
          <w:rPr>
            <w:sz w:val="22"/>
            <w:szCs w:val="22"/>
          </w:rPr>
          <w:delText xml:space="preserve"> combinad</w:delText>
        </w:r>
        <w:r>
          <w:rPr>
            <w:sz w:val="22"/>
            <w:szCs w:val="22"/>
          </w:rPr>
          <w:delText>a</w:delText>
        </w:r>
        <w:r w:rsidRPr="005E3DFC">
          <w:rPr>
            <w:sz w:val="22"/>
            <w:szCs w:val="22"/>
          </w:rPr>
          <w:delText xml:space="preserve">s. Não houve diferenças </w:delText>
        </w:r>
        <w:r w:rsidR="00A7629F">
          <w:rPr>
            <w:sz w:val="22"/>
            <w:szCs w:val="22"/>
          </w:rPr>
          <w:delText>significativas</w:delText>
        </w:r>
        <w:r w:rsidRPr="005E3DFC">
          <w:rPr>
            <w:sz w:val="22"/>
            <w:szCs w:val="22"/>
          </w:rPr>
          <w:delText xml:space="preserve"> entre as mulheres tratadas com adalimumab e não tratadas nos </w:delText>
        </w:r>
        <w:r w:rsidR="00A7629F">
          <w:rPr>
            <w:sz w:val="22"/>
            <w:szCs w:val="22"/>
          </w:rPr>
          <w:delText>parâmetros</w:delText>
        </w:r>
        <w:r w:rsidRPr="005E3DFC">
          <w:rPr>
            <w:sz w:val="22"/>
            <w:szCs w:val="22"/>
          </w:rPr>
          <w:delText xml:space="preserve"> secundários</w:delText>
        </w:r>
        <w:r>
          <w:rPr>
            <w:sz w:val="22"/>
            <w:szCs w:val="22"/>
          </w:rPr>
          <w:delText xml:space="preserve"> de a</w:delText>
        </w:r>
        <w:r w:rsidRPr="005E3DFC">
          <w:rPr>
            <w:sz w:val="22"/>
            <w:szCs w:val="22"/>
          </w:rPr>
          <w:delText xml:space="preserve">bortos espontâneos, </w:delText>
        </w:r>
        <w:r w:rsidR="00F06203">
          <w:rPr>
            <w:sz w:val="22"/>
            <w:szCs w:val="22"/>
          </w:rPr>
          <w:delText>malformações</w:delText>
        </w:r>
        <w:r w:rsidRPr="005E3DFC">
          <w:rPr>
            <w:sz w:val="22"/>
            <w:szCs w:val="22"/>
          </w:rPr>
          <w:delText xml:space="preserve"> </w:delText>
        </w:r>
        <w:r w:rsidR="00F06203">
          <w:rPr>
            <w:sz w:val="22"/>
            <w:szCs w:val="22"/>
          </w:rPr>
          <w:delText>congénitas</w:delText>
        </w:r>
        <w:r w:rsidRPr="005E3DFC">
          <w:rPr>
            <w:sz w:val="22"/>
            <w:szCs w:val="22"/>
          </w:rPr>
          <w:delText xml:space="preserve"> menores, parto</w:delText>
        </w:r>
        <w:r w:rsidR="006B2D48">
          <w:rPr>
            <w:sz w:val="22"/>
            <w:szCs w:val="22"/>
          </w:rPr>
          <w:delText>s</w:delText>
        </w:r>
        <w:r w:rsidRPr="005E3DFC">
          <w:rPr>
            <w:sz w:val="22"/>
            <w:szCs w:val="22"/>
          </w:rPr>
          <w:delText xml:space="preserve"> prematuro</w:delText>
        </w:r>
        <w:r w:rsidR="006B2D48">
          <w:rPr>
            <w:sz w:val="22"/>
            <w:szCs w:val="22"/>
          </w:rPr>
          <w:delText>s</w:delText>
        </w:r>
        <w:r w:rsidRPr="005E3DFC">
          <w:rPr>
            <w:sz w:val="22"/>
            <w:szCs w:val="22"/>
          </w:rPr>
          <w:delText xml:space="preserve">, tamanho </w:delText>
        </w:r>
        <w:r>
          <w:rPr>
            <w:sz w:val="22"/>
            <w:szCs w:val="22"/>
          </w:rPr>
          <w:delText>à nascença</w:delText>
        </w:r>
        <w:r w:rsidRPr="005E3DFC">
          <w:rPr>
            <w:sz w:val="22"/>
            <w:szCs w:val="22"/>
          </w:rPr>
          <w:delText xml:space="preserve"> e infeções graves ou oportunistas e n</w:delText>
        </w:r>
        <w:r>
          <w:rPr>
            <w:sz w:val="22"/>
            <w:szCs w:val="22"/>
          </w:rPr>
          <w:delText xml:space="preserve">ão foi </w:delText>
        </w:r>
        <w:r w:rsidR="00762634">
          <w:rPr>
            <w:sz w:val="22"/>
            <w:szCs w:val="22"/>
          </w:rPr>
          <w:delText>notific</w:delText>
        </w:r>
        <w:r>
          <w:rPr>
            <w:sz w:val="22"/>
            <w:szCs w:val="22"/>
          </w:rPr>
          <w:delText>ado qualquer nado</w:delText>
        </w:r>
        <w:r w:rsidR="00A7629F">
          <w:rPr>
            <w:sz w:val="22"/>
            <w:szCs w:val="22"/>
          </w:rPr>
          <w:delText xml:space="preserve"> </w:delText>
        </w:r>
        <w:r>
          <w:rPr>
            <w:sz w:val="22"/>
            <w:szCs w:val="22"/>
          </w:rPr>
          <w:delText xml:space="preserve">morto ou </w:delText>
        </w:r>
        <w:r w:rsidRPr="005E3DFC">
          <w:rPr>
            <w:sz w:val="22"/>
            <w:szCs w:val="22"/>
          </w:rPr>
          <w:delText>neoplasia</w:delText>
        </w:r>
        <w:r>
          <w:rPr>
            <w:sz w:val="22"/>
            <w:szCs w:val="22"/>
          </w:rPr>
          <w:delText xml:space="preserve"> </w:delText>
        </w:r>
        <w:r w:rsidRPr="005E3DFC">
          <w:rPr>
            <w:sz w:val="22"/>
            <w:szCs w:val="22"/>
          </w:rPr>
          <w:delText xml:space="preserve">maligna. A interpretação dos dados </w:delText>
        </w:r>
        <w:r w:rsidR="006B2D48">
          <w:rPr>
            <w:sz w:val="22"/>
            <w:szCs w:val="22"/>
          </w:rPr>
          <w:delText>deve ser cuidadosamente avaliada</w:delText>
        </w:r>
        <w:r w:rsidRPr="005E3DFC">
          <w:rPr>
            <w:sz w:val="22"/>
            <w:szCs w:val="22"/>
          </w:rPr>
          <w:delText xml:space="preserve"> devido às limitações metodológicas do estudo, incluindo o pequeno tamanho da amostra e o desenho não </w:delText>
        </w:r>
        <w:r w:rsidR="00A7629F">
          <w:rPr>
            <w:sz w:val="22"/>
            <w:szCs w:val="22"/>
          </w:rPr>
          <w:delText>aleatorizado</w:delText>
        </w:r>
        <w:r w:rsidRPr="005E3DFC">
          <w:rPr>
            <w:sz w:val="22"/>
            <w:szCs w:val="22"/>
          </w:rPr>
          <w:delText>.</w:delText>
        </w:r>
      </w:del>
    </w:p>
    <w:p w14:paraId="2F24F2AA" w14:textId="78A47543" w:rsidR="004462A0" w:rsidRPr="008912CF" w:rsidRDefault="00615769" w:rsidP="004462A0">
      <w:pPr>
        <w:autoSpaceDE w:val="0"/>
        <w:autoSpaceDN w:val="0"/>
        <w:adjustRightInd w:val="0"/>
        <w:rPr>
          <w:del w:id="764" w:author="AbbVie2" w:date="2025-05-13T16:36:00Z"/>
          <w:sz w:val="22"/>
          <w:szCs w:val="22"/>
        </w:rPr>
      </w:pPr>
      <w:del w:id="765" w:author="AbbVie2" w:date="2025-05-13T16:36:00Z">
        <w:r w:rsidRPr="008912CF">
          <w:rPr>
            <w:sz w:val="22"/>
            <w:szCs w:val="22"/>
          </w:rPr>
          <w:delText>Um estudo de toxicidade do desenvolvimento efetuado em macacos não revelou quaisquer sinais de toxicidade materna, embriotoxicidade ou teratogenicidade. Não se dispõe de dados pré-clínicos sobre a toxicidade pós-natal de adalimumab (ver secção 5.3).</w:delText>
        </w:r>
      </w:del>
    </w:p>
    <w:p w14:paraId="377E3654" w14:textId="58338E63" w:rsidR="004462A0" w:rsidRPr="008912CF" w:rsidRDefault="004462A0" w:rsidP="004462A0">
      <w:pPr>
        <w:autoSpaceDE w:val="0"/>
        <w:autoSpaceDN w:val="0"/>
        <w:adjustRightInd w:val="0"/>
        <w:rPr>
          <w:del w:id="766" w:author="AbbVie2" w:date="2025-05-13T16:36:00Z"/>
          <w:sz w:val="22"/>
          <w:szCs w:val="22"/>
        </w:rPr>
      </w:pPr>
    </w:p>
    <w:p w14:paraId="7FF714CB" w14:textId="3599DAB5" w:rsidR="004462A0" w:rsidRPr="008912CF" w:rsidRDefault="00615769" w:rsidP="004462A0">
      <w:pPr>
        <w:autoSpaceDE w:val="0"/>
        <w:autoSpaceDN w:val="0"/>
        <w:adjustRightInd w:val="0"/>
        <w:rPr>
          <w:del w:id="767" w:author="AbbVie2" w:date="2025-05-13T16:36:00Z"/>
          <w:i/>
          <w:sz w:val="22"/>
          <w:szCs w:val="22"/>
        </w:rPr>
      </w:pPr>
      <w:del w:id="768" w:author="AbbVie2" w:date="2025-05-13T16:36:00Z">
        <w:r w:rsidRPr="008912CF">
          <w:rPr>
            <w:sz w:val="22"/>
            <w:szCs w:val="22"/>
          </w:rPr>
          <w:delText>Devido à sua inibição de TNF</w:delText>
        </w:r>
        <w:r w:rsidRPr="008912CF">
          <w:rPr>
            <w:rFonts w:ascii="Symbol" w:hAnsi="Symbol"/>
            <w:sz w:val="22"/>
            <w:szCs w:val="22"/>
          </w:rPr>
          <w:sym w:font="Symbol" w:char="F061"/>
        </w:r>
        <w:r w:rsidRPr="008912CF">
          <w:rPr>
            <w:sz w:val="22"/>
            <w:szCs w:val="22"/>
          </w:rPr>
          <w:delText xml:space="preserve">, a administração de adalimumab durante a gravidez pode afetar as respostas imunitárias normais no recém-nascido. </w:delText>
        </w:r>
        <w:r w:rsidR="00FC3D01">
          <w:rPr>
            <w:sz w:val="22"/>
            <w:szCs w:val="22"/>
          </w:rPr>
          <w:delText>Adalimumab</w:delText>
        </w:r>
        <w:r w:rsidR="00FC3D01" w:rsidRPr="00C55814">
          <w:rPr>
            <w:sz w:val="22"/>
            <w:szCs w:val="22"/>
          </w:rPr>
          <w:delText xml:space="preserve"> </w:delText>
        </w:r>
        <w:r w:rsidR="004B43E3" w:rsidRPr="00C55814">
          <w:rPr>
            <w:sz w:val="22"/>
            <w:szCs w:val="22"/>
          </w:rPr>
          <w:delText xml:space="preserve">apenas </w:delText>
        </w:r>
        <w:r w:rsidR="00FC3D01" w:rsidRPr="00C55814">
          <w:rPr>
            <w:sz w:val="22"/>
            <w:szCs w:val="22"/>
          </w:rPr>
          <w:delText>deve ser utilizado na gravidez se</w:delText>
        </w:r>
        <w:r w:rsidR="00FC3D01">
          <w:rPr>
            <w:sz w:val="22"/>
            <w:szCs w:val="22"/>
          </w:rPr>
          <w:delText xml:space="preserve"> </w:delText>
        </w:r>
        <w:r w:rsidR="004B43E3">
          <w:rPr>
            <w:sz w:val="22"/>
            <w:szCs w:val="22"/>
          </w:rPr>
          <w:delText>estritamente</w:delText>
        </w:r>
        <w:r w:rsidR="00FC3D01" w:rsidRPr="00C55814">
          <w:rPr>
            <w:sz w:val="22"/>
            <w:szCs w:val="22"/>
          </w:rPr>
          <w:delText xml:space="preserve"> necessário.</w:delText>
        </w:r>
      </w:del>
    </w:p>
    <w:p w14:paraId="44E5BF9C" w14:textId="6A681DCE" w:rsidR="004462A0" w:rsidRPr="008912CF" w:rsidRDefault="004462A0" w:rsidP="004462A0">
      <w:pPr>
        <w:rPr>
          <w:del w:id="769" w:author="AbbVie2" w:date="2025-05-13T16:36:00Z"/>
          <w:sz w:val="22"/>
          <w:szCs w:val="22"/>
          <w:u w:val="single"/>
        </w:rPr>
      </w:pPr>
    </w:p>
    <w:p w14:paraId="3CF493EC" w14:textId="270BD4CB" w:rsidR="004462A0" w:rsidRPr="008912CF" w:rsidRDefault="00615769" w:rsidP="004462A0">
      <w:pPr>
        <w:rPr>
          <w:del w:id="770" w:author="AbbVie2" w:date="2025-05-13T16:36:00Z"/>
          <w:sz w:val="22"/>
          <w:szCs w:val="22"/>
        </w:rPr>
      </w:pPr>
      <w:del w:id="771" w:author="AbbVie2" w:date="2025-05-13T16:36:00Z">
        <w:r>
          <w:rPr>
            <w:sz w:val="22"/>
            <w:szCs w:val="22"/>
          </w:rPr>
          <w:delText>A</w:delText>
        </w:r>
        <w:r w:rsidRPr="008912CF">
          <w:rPr>
            <w:sz w:val="22"/>
            <w:szCs w:val="22"/>
          </w:rPr>
          <w:delText xml:space="preserve">dalimumab pode atravessar a placenta para o soro das crianças nascidas de mulheres tratadas com adalimumab durante a gravidez. Por conseguinte, estas crianças podem ter um risco aumentado de infeção. Não se recomenda a administração de vacinas vivas </w:delText>
        </w:r>
        <w:r w:rsidR="00FC3D01" w:rsidRPr="00970280">
          <w:rPr>
            <w:sz w:val="22"/>
            <w:szCs w:val="22"/>
          </w:rPr>
          <w:delText>(</w:delText>
        </w:r>
        <w:r w:rsidR="00AD0004">
          <w:rPr>
            <w:sz w:val="22"/>
            <w:szCs w:val="22"/>
          </w:rPr>
          <w:delText xml:space="preserve">p.ex., </w:delText>
        </w:r>
        <w:r w:rsidR="00FC3D01" w:rsidRPr="00970280">
          <w:rPr>
            <w:sz w:val="22"/>
            <w:szCs w:val="22"/>
          </w:rPr>
          <w:delText xml:space="preserve">vacina da BCG) </w:delText>
        </w:r>
        <w:r w:rsidRPr="008912CF">
          <w:rPr>
            <w:sz w:val="22"/>
            <w:szCs w:val="22"/>
          </w:rPr>
          <w:delText>a crianças com exposição intrauterina a adalimumab durante 5</w:delText>
        </w:r>
        <w:r>
          <w:rPr>
            <w:sz w:val="22"/>
            <w:szCs w:val="22"/>
          </w:rPr>
          <w:delText> </w:delText>
        </w:r>
        <w:r w:rsidRPr="008912CF">
          <w:rPr>
            <w:sz w:val="22"/>
            <w:szCs w:val="22"/>
          </w:rPr>
          <w:delText>meses após a última injeção de adalimumab da mãe durante a gravidez.</w:delText>
        </w:r>
      </w:del>
    </w:p>
    <w:p w14:paraId="0DDB8CD2" w14:textId="0BEF3642" w:rsidR="004462A0" w:rsidRPr="008912CF" w:rsidRDefault="004462A0" w:rsidP="004462A0">
      <w:pPr>
        <w:rPr>
          <w:del w:id="772" w:author="AbbVie2" w:date="2025-05-13T16:36:00Z"/>
          <w:sz w:val="22"/>
          <w:szCs w:val="22"/>
        </w:rPr>
      </w:pPr>
    </w:p>
    <w:p w14:paraId="3AB5FDBA" w14:textId="0FFC59DC" w:rsidR="004462A0" w:rsidRPr="008912CF" w:rsidRDefault="00615769" w:rsidP="004462A0">
      <w:pPr>
        <w:rPr>
          <w:del w:id="773" w:author="AbbVie2" w:date="2025-05-13T16:36:00Z"/>
          <w:sz w:val="22"/>
          <w:szCs w:val="22"/>
          <w:u w:val="single"/>
        </w:rPr>
      </w:pPr>
      <w:del w:id="774" w:author="AbbVie2" w:date="2025-05-13T16:36:00Z">
        <w:r w:rsidRPr="008912CF">
          <w:rPr>
            <w:sz w:val="22"/>
            <w:szCs w:val="22"/>
            <w:u w:val="single"/>
          </w:rPr>
          <w:delText>Amamentação</w:delText>
        </w:r>
      </w:del>
    </w:p>
    <w:p w14:paraId="72D38D34" w14:textId="5F10074A" w:rsidR="004462A0" w:rsidRPr="008912CF" w:rsidRDefault="004462A0" w:rsidP="004462A0">
      <w:pPr>
        <w:rPr>
          <w:del w:id="775" w:author="AbbVie2" w:date="2025-05-13T16:36:00Z"/>
          <w:sz w:val="22"/>
          <w:szCs w:val="22"/>
          <w:u w:val="single"/>
        </w:rPr>
      </w:pPr>
    </w:p>
    <w:p w14:paraId="38DCEC6B" w14:textId="6AA5FE34" w:rsidR="004462A0" w:rsidRPr="008912CF" w:rsidRDefault="00615769" w:rsidP="004462A0">
      <w:pPr>
        <w:rPr>
          <w:del w:id="776" w:author="AbbVie2" w:date="2025-05-13T16:36:00Z"/>
          <w:i/>
          <w:sz w:val="22"/>
          <w:szCs w:val="22"/>
        </w:rPr>
      </w:pPr>
      <w:del w:id="777" w:author="AbbVie2" w:date="2025-05-13T16:36:00Z">
        <w:r w:rsidRPr="00970280">
          <w:rPr>
            <w:sz w:val="22"/>
            <w:szCs w:val="22"/>
          </w:rPr>
          <w:delText>Informaç</w:delText>
        </w:r>
        <w:r w:rsidR="005C75FC">
          <w:rPr>
            <w:sz w:val="22"/>
            <w:szCs w:val="22"/>
          </w:rPr>
          <w:delText>ão</w:delText>
        </w:r>
        <w:r w:rsidRPr="00970280">
          <w:rPr>
            <w:sz w:val="22"/>
            <w:szCs w:val="22"/>
          </w:rPr>
          <w:delText xml:space="preserve"> limitada publicada </w:delText>
        </w:r>
        <w:r w:rsidR="005C75FC">
          <w:rPr>
            <w:sz w:val="22"/>
            <w:szCs w:val="22"/>
          </w:rPr>
          <w:delText>na</w:delText>
        </w:r>
        <w:r w:rsidR="005C75FC" w:rsidRPr="00970280">
          <w:rPr>
            <w:sz w:val="22"/>
            <w:szCs w:val="22"/>
          </w:rPr>
          <w:delText xml:space="preserve"> literatura </w:delText>
        </w:r>
        <w:r w:rsidRPr="00970280">
          <w:rPr>
            <w:sz w:val="22"/>
            <w:szCs w:val="22"/>
          </w:rPr>
          <w:delText>indica que adalimumab é excretado no leite materno em concentrações muito baixas</w:delText>
        </w:r>
        <w:r w:rsidR="001409A7">
          <w:rPr>
            <w:sz w:val="22"/>
            <w:szCs w:val="22"/>
          </w:rPr>
          <w:delText>,</w:delText>
        </w:r>
        <w:r w:rsidRPr="00970280">
          <w:rPr>
            <w:sz w:val="22"/>
            <w:szCs w:val="22"/>
          </w:rPr>
          <w:delText xml:space="preserve"> com a presença de adalimumab no leite humano em concentrações de 0,1% a 1% do nível sérico materno.</w:delText>
        </w:r>
        <w:r>
          <w:rPr>
            <w:sz w:val="22"/>
            <w:szCs w:val="22"/>
          </w:rPr>
          <w:delText xml:space="preserve"> </w:delText>
        </w:r>
        <w:r w:rsidR="005C75FC">
          <w:rPr>
            <w:sz w:val="22"/>
            <w:szCs w:val="22"/>
          </w:rPr>
          <w:delText>Quando a</w:delText>
        </w:r>
        <w:r w:rsidRPr="00970280">
          <w:rPr>
            <w:sz w:val="22"/>
            <w:szCs w:val="22"/>
          </w:rPr>
          <w:delText>dministradas oralmente, as imunoglobulina</w:delText>
        </w:r>
        <w:r w:rsidR="005C75FC">
          <w:rPr>
            <w:sz w:val="22"/>
            <w:szCs w:val="22"/>
          </w:rPr>
          <w:delText>s</w:delText>
        </w:r>
        <w:r>
          <w:rPr>
            <w:sz w:val="22"/>
            <w:szCs w:val="22"/>
          </w:rPr>
          <w:delText xml:space="preserve"> G</w:delText>
        </w:r>
        <w:r w:rsidRPr="00970280">
          <w:rPr>
            <w:sz w:val="22"/>
            <w:szCs w:val="22"/>
          </w:rPr>
          <w:delText xml:space="preserve"> sofrem proteólise intestinal e apresentam baixa biodisponibilidade. N</w:delText>
        </w:r>
        <w:r>
          <w:rPr>
            <w:sz w:val="22"/>
            <w:szCs w:val="22"/>
          </w:rPr>
          <w:delText xml:space="preserve">ão é </w:delText>
        </w:r>
        <w:r w:rsidR="0042571F">
          <w:rPr>
            <w:sz w:val="22"/>
            <w:szCs w:val="22"/>
          </w:rPr>
          <w:delText>esperado</w:delText>
        </w:r>
        <w:r>
          <w:rPr>
            <w:sz w:val="22"/>
            <w:szCs w:val="22"/>
          </w:rPr>
          <w:delText xml:space="preserve"> qualquer </w:delText>
        </w:r>
        <w:r w:rsidRPr="00970280">
          <w:rPr>
            <w:sz w:val="22"/>
            <w:szCs w:val="22"/>
          </w:rPr>
          <w:delText>efeito nos recém-nascidos/lactentes amamentados</w:delText>
        </w:r>
        <w:r>
          <w:rPr>
            <w:sz w:val="22"/>
            <w:szCs w:val="22"/>
          </w:rPr>
          <w:delText>.</w:delText>
        </w:r>
        <w:r w:rsidRPr="00970280">
          <w:rPr>
            <w:sz w:val="22"/>
            <w:szCs w:val="22"/>
          </w:rPr>
          <w:delText xml:space="preserve"> Consequentemente, Humira pode ser usado durante a amamentação.</w:delText>
        </w:r>
      </w:del>
    </w:p>
    <w:p w14:paraId="0E668756" w14:textId="7D1606E6" w:rsidR="004462A0" w:rsidRPr="008912CF" w:rsidRDefault="004462A0" w:rsidP="004462A0">
      <w:pPr>
        <w:rPr>
          <w:del w:id="778" w:author="AbbVie2" w:date="2025-05-13T16:36:00Z"/>
          <w:b/>
          <w:iCs/>
          <w:sz w:val="22"/>
          <w:szCs w:val="22"/>
          <w:u w:val="single"/>
        </w:rPr>
      </w:pPr>
    </w:p>
    <w:p w14:paraId="0E62A624" w14:textId="7A466FBC" w:rsidR="004462A0" w:rsidRPr="008912CF" w:rsidRDefault="00615769" w:rsidP="004462A0">
      <w:pPr>
        <w:rPr>
          <w:del w:id="779" w:author="AbbVie2" w:date="2025-05-13T16:36:00Z"/>
          <w:bCs/>
          <w:iCs/>
          <w:sz w:val="22"/>
          <w:szCs w:val="22"/>
          <w:u w:val="single"/>
        </w:rPr>
      </w:pPr>
      <w:del w:id="780" w:author="AbbVie2" w:date="2025-05-13T16:36:00Z">
        <w:r w:rsidRPr="008912CF">
          <w:rPr>
            <w:bCs/>
            <w:iCs/>
            <w:sz w:val="22"/>
            <w:szCs w:val="22"/>
            <w:u w:val="single"/>
          </w:rPr>
          <w:delText>Fertilidade</w:delText>
        </w:r>
      </w:del>
    </w:p>
    <w:p w14:paraId="798C79E2" w14:textId="7B39753B" w:rsidR="004462A0" w:rsidRPr="008912CF" w:rsidRDefault="004462A0" w:rsidP="004462A0">
      <w:pPr>
        <w:autoSpaceDE w:val="0"/>
        <w:autoSpaceDN w:val="0"/>
        <w:adjustRightInd w:val="0"/>
        <w:rPr>
          <w:del w:id="781" w:author="AbbVie2" w:date="2025-05-13T16:36:00Z"/>
          <w:sz w:val="22"/>
          <w:szCs w:val="22"/>
        </w:rPr>
      </w:pPr>
    </w:p>
    <w:p w14:paraId="1D2CC5E5" w14:textId="25F23D2C" w:rsidR="004462A0" w:rsidRPr="008912CF" w:rsidRDefault="00615769" w:rsidP="004462A0">
      <w:pPr>
        <w:autoSpaceDE w:val="0"/>
        <w:autoSpaceDN w:val="0"/>
        <w:adjustRightInd w:val="0"/>
        <w:rPr>
          <w:del w:id="782" w:author="AbbVie2" w:date="2025-05-13T16:36:00Z"/>
          <w:sz w:val="22"/>
          <w:szCs w:val="22"/>
        </w:rPr>
      </w:pPr>
      <w:del w:id="783" w:author="AbbVie2" w:date="2025-05-13T16:36:00Z">
        <w:r w:rsidRPr="008912CF">
          <w:rPr>
            <w:sz w:val="22"/>
            <w:szCs w:val="22"/>
          </w:rPr>
          <w:delText>Não se dispõe de dados pré-clínicos sobre os efeitos de adalimumab na fertilidade.</w:delText>
        </w:r>
      </w:del>
    </w:p>
    <w:p w14:paraId="59B0A028" w14:textId="592180F9" w:rsidR="004462A0" w:rsidRPr="008912CF" w:rsidRDefault="004462A0" w:rsidP="004462A0">
      <w:pPr>
        <w:autoSpaceDE w:val="0"/>
        <w:autoSpaceDN w:val="0"/>
        <w:adjustRightInd w:val="0"/>
        <w:rPr>
          <w:del w:id="784" w:author="AbbVie2" w:date="2025-05-13T16:36:00Z"/>
          <w:sz w:val="22"/>
          <w:szCs w:val="22"/>
        </w:rPr>
      </w:pPr>
    </w:p>
    <w:p w14:paraId="67FD00AF" w14:textId="62DB03C4" w:rsidR="004462A0" w:rsidRPr="008912CF" w:rsidRDefault="00615769" w:rsidP="004462A0">
      <w:pPr>
        <w:ind w:left="567" w:hanging="567"/>
        <w:rPr>
          <w:del w:id="785" w:author="AbbVie2" w:date="2025-05-13T16:36:00Z"/>
          <w:sz w:val="22"/>
          <w:szCs w:val="22"/>
        </w:rPr>
      </w:pPr>
      <w:del w:id="786" w:author="AbbVie2" w:date="2025-05-13T16:36:00Z">
        <w:r w:rsidRPr="008912CF">
          <w:rPr>
            <w:b/>
            <w:sz w:val="22"/>
            <w:szCs w:val="22"/>
          </w:rPr>
          <w:delText>4.7</w:delText>
        </w:r>
        <w:r w:rsidRPr="008912CF">
          <w:rPr>
            <w:b/>
            <w:sz w:val="22"/>
            <w:szCs w:val="22"/>
          </w:rPr>
          <w:tab/>
          <w:delText xml:space="preserve">Efeitos sobre a capacidade de conduzir ou utilizar máquinas </w:delText>
        </w:r>
      </w:del>
    </w:p>
    <w:p w14:paraId="701037D3" w14:textId="072C5BA9" w:rsidR="004462A0" w:rsidRPr="008912CF" w:rsidRDefault="004462A0" w:rsidP="004462A0">
      <w:pPr>
        <w:rPr>
          <w:del w:id="787" w:author="AbbVie2" w:date="2025-05-13T16:36:00Z"/>
          <w:sz w:val="22"/>
          <w:szCs w:val="22"/>
        </w:rPr>
      </w:pPr>
    </w:p>
    <w:p w14:paraId="393A9C54" w14:textId="628EA190" w:rsidR="004462A0" w:rsidRPr="008912CF" w:rsidRDefault="00615769" w:rsidP="004462A0">
      <w:pPr>
        <w:rPr>
          <w:del w:id="788" w:author="AbbVie2" w:date="2025-05-13T16:36:00Z"/>
          <w:sz w:val="22"/>
          <w:szCs w:val="22"/>
        </w:rPr>
      </w:pPr>
      <w:del w:id="789" w:author="AbbVie2" w:date="2025-05-13T16:36:00Z">
        <w:r w:rsidRPr="008912CF">
          <w:rPr>
            <w:sz w:val="22"/>
            <w:szCs w:val="22"/>
          </w:rPr>
          <w:delText>Humira pode ter uma pequena influência na capacidade de conduzir e utilizar máquinas. Após a administração de Humira podem ocorrer vertigens e alterações da acuidade visual (ver secção 4.8).</w:delText>
        </w:r>
      </w:del>
    </w:p>
    <w:p w14:paraId="188C13F7" w14:textId="14D8F33F" w:rsidR="004462A0" w:rsidRPr="008912CF" w:rsidRDefault="004462A0" w:rsidP="004462A0">
      <w:pPr>
        <w:rPr>
          <w:del w:id="790" w:author="AbbVie2" w:date="2025-05-13T16:36:00Z"/>
          <w:sz w:val="22"/>
          <w:szCs w:val="22"/>
        </w:rPr>
      </w:pPr>
    </w:p>
    <w:p w14:paraId="50E6AF37" w14:textId="148EA5B1" w:rsidR="004462A0" w:rsidRPr="008912CF" w:rsidRDefault="00615769" w:rsidP="004462A0">
      <w:pPr>
        <w:ind w:left="567" w:hanging="567"/>
        <w:rPr>
          <w:del w:id="791" w:author="AbbVie2" w:date="2025-05-13T16:36:00Z"/>
          <w:b/>
          <w:sz w:val="22"/>
          <w:szCs w:val="22"/>
        </w:rPr>
      </w:pPr>
      <w:del w:id="792" w:author="AbbVie2" w:date="2025-05-13T16:36:00Z">
        <w:r w:rsidRPr="008912CF">
          <w:rPr>
            <w:b/>
            <w:sz w:val="22"/>
            <w:szCs w:val="22"/>
          </w:rPr>
          <w:delText>4.8</w:delText>
        </w:r>
        <w:r w:rsidRPr="008912CF">
          <w:rPr>
            <w:b/>
            <w:sz w:val="22"/>
            <w:szCs w:val="22"/>
          </w:rPr>
          <w:tab/>
          <w:delText xml:space="preserve">Efeitos indesejáveis </w:delText>
        </w:r>
      </w:del>
    </w:p>
    <w:p w14:paraId="3CDCAB92" w14:textId="3F772143" w:rsidR="004462A0" w:rsidRPr="008912CF" w:rsidRDefault="004462A0" w:rsidP="004462A0">
      <w:pPr>
        <w:pStyle w:val="Heading9"/>
        <w:keepNext w:val="0"/>
        <w:rPr>
          <w:del w:id="793" w:author="AbbVie2" w:date="2025-05-13T16:36:00Z"/>
        </w:rPr>
      </w:pPr>
    </w:p>
    <w:p w14:paraId="78AECAAA" w14:textId="3D848602" w:rsidR="004462A0" w:rsidRPr="008912CF" w:rsidRDefault="00615769" w:rsidP="004462A0">
      <w:pPr>
        <w:autoSpaceDE w:val="0"/>
        <w:autoSpaceDN w:val="0"/>
        <w:adjustRightInd w:val="0"/>
        <w:rPr>
          <w:del w:id="794" w:author="AbbVie2" w:date="2025-05-13T16:36:00Z"/>
          <w:sz w:val="22"/>
          <w:szCs w:val="22"/>
          <w:u w:val="single"/>
        </w:rPr>
      </w:pPr>
      <w:del w:id="795" w:author="AbbVie2" w:date="2025-05-13T16:36:00Z">
        <w:r w:rsidRPr="008912CF">
          <w:rPr>
            <w:sz w:val="22"/>
            <w:szCs w:val="22"/>
            <w:u w:val="single"/>
          </w:rPr>
          <w:delText>Resumo do perfil de segurança</w:delText>
        </w:r>
      </w:del>
    </w:p>
    <w:p w14:paraId="64A1D8A9" w14:textId="2015BFBD" w:rsidR="004462A0" w:rsidRPr="008912CF" w:rsidRDefault="004462A0" w:rsidP="004462A0">
      <w:pPr>
        <w:autoSpaceDE w:val="0"/>
        <w:autoSpaceDN w:val="0"/>
        <w:adjustRightInd w:val="0"/>
        <w:rPr>
          <w:del w:id="796" w:author="AbbVie2" w:date="2025-05-13T16:36:00Z"/>
          <w:sz w:val="22"/>
          <w:szCs w:val="22"/>
        </w:rPr>
      </w:pPr>
    </w:p>
    <w:p w14:paraId="3001C3CE" w14:textId="406B14CE" w:rsidR="004462A0" w:rsidRPr="008912CF" w:rsidRDefault="00615769" w:rsidP="004462A0">
      <w:pPr>
        <w:autoSpaceDE w:val="0"/>
        <w:autoSpaceDN w:val="0"/>
        <w:adjustRightInd w:val="0"/>
        <w:rPr>
          <w:del w:id="797" w:author="AbbVie2" w:date="2025-05-13T16:36:00Z"/>
          <w:sz w:val="22"/>
          <w:szCs w:val="22"/>
        </w:rPr>
      </w:pPr>
      <w:del w:id="798" w:author="AbbVie2" w:date="2025-05-13T16:36:00Z">
        <w:r w:rsidRPr="008912CF">
          <w:rPr>
            <w:sz w:val="22"/>
            <w:szCs w:val="22"/>
          </w:rPr>
          <w:delText xml:space="preserve">Humira foi estudado em </w:delText>
        </w:r>
        <w:r>
          <w:rPr>
            <w:sz w:val="22"/>
            <w:szCs w:val="22"/>
          </w:rPr>
          <w:delText>9.506</w:delText>
        </w:r>
        <w:r w:rsidRPr="008912CF">
          <w:rPr>
            <w:sz w:val="22"/>
            <w:szCs w:val="22"/>
          </w:rPr>
          <w:delText xml:space="preserve"> doentes no âmbito de ensaios principais controlados e de fase aberta até 60</w:delText>
        </w:r>
        <w:r>
          <w:rPr>
            <w:sz w:val="22"/>
            <w:szCs w:val="22"/>
          </w:rPr>
          <w:delText> </w:delText>
        </w:r>
        <w:r w:rsidRPr="008912CF">
          <w:rPr>
            <w:sz w:val="22"/>
            <w:szCs w:val="22"/>
          </w:rPr>
          <w:delText>meses ou mais. Estes ensaios incluíram doentes com artrite reumatoide de curta evolução e com doença de evolução prolongada, artrite idiopática juvenil (artrite idiopática juvenil poliarticular e artrite relacionada com entesite), bem como doentes com espondilartrite axial (espondilite anquilosante e espondilartrite axial sem evidência radiográfica de EA), artrite psoriática, doença de Crohn, colite ulcerosa, psoríase</w:delText>
        </w:r>
        <w:r>
          <w:rPr>
            <w:sz w:val="22"/>
            <w:szCs w:val="22"/>
          </w:rPr>
          <w:delText xml:space="preserve">, </w:delText>
        </w:r>
        <w:r w:rsidRPr="008912CF">
          <w:rPr>
            <w:sz w:val="22"/>
            <w:szCs w:val="22"/>
          </w:rPr>
          <w:delText>hidrade</w:delText>
        </w:r>
        <w:r w:rsidRPr="008912CF">
          <w:rPr>
            <w:sz w:val="22"/>
            <w:szCs w:val="22"/>
          </w:rPr>
          <w:delText>nite supurativa</w:delText>
        </w:r>
        <w:r>
          <w:rPr>
            <w:sz w:val="22"/>
            <w:szCs w:val="22"/>
          </w:rPr>
          <w:delText xml:space="preserve"> e uveíte</w:delText>
        </w:r>
        <w:r w:rsidRPr="008912CF">
          <w:rPr>
            <w:sz w:val="22"/>
            <w:szCs w:val="22"/>
          </w:rPr>
          <w:delText xml:space="preserve">. Os estudos principais controlados envolveram </w:delText>
        </w:r>
        <w:r>
          <w:rPr>
            <w:sz w:val="22"/>
            <w:szCs w:val="22"/>
          </w:rPr>
          <w:delText>6.089</w:delText>
        </w:r>
        <w:r w:rsidRPr="008912CF">
          <w:rPr>
            <w:sz w:val="22"/>
            <w:szCs w:val="22"/>
          </w:rPr>
          <w:delText xml:space="preserve"> doentes que receberam Humira e </w:delText>
        </w:r>
        <w:r>
          <w:rPr>
            <w:sz w:val="22"/>
            <w:szCs w:val="22"/>
          </w:rPr>
          <w:delText>3.801</w:delText>
        </w:r>
        <w:r w:rsidRPr="008912CF">
          <w:rPr>
            <w:sz w:val="22"/>
            <w:szCs w:val="22"/>
          </w:rPr>
          <w:delText xml:space="preserve"> doentes que receberam placebo ou comparador ativo durante o período</w:delText>
        </w:r>
        <w:r w:rsidR="00026992">
          <w:rPr>
            <w:sz w:val="22"/>
            <w:szCs w:val="22"/>
          </w:rPr>
          <w:delText xml:space="preserve"> controlado</w:delText>
        </w:r>
        <w:r w:rsidRPr="008912CF">
          <w:rPr>
            <w:sz w:val="22"/>
            <w:szCs w:val="22"/>
          </w:rPr>
          <w:delText xml:space="preserve">. </w:delText>
        </w:r>
      </w:del>
    </w:p>
    <w:p w14:paraId="4EC18BB4" w14:textId="6709FCAC" w:rsidR="004462A0" w:rsidRPr="008912CF" w:rsidRDefault="004462A0" w:rsidP="004462A0">
      <w:pPr>
        <w:autoSpaceDE w:val="0"/>
        <w:autoSpaceDN w:val="0"/>
        <w:adjustRightInd w:val="0"/>
        <w:rPr>
          <w:del w:id="799" w:author="AbbVie2" w:date="2025-05-13T16:36:00Z"/>
          <w:sz w:val="22"/>
          <w:szCs w:val="22"/>
        </w:rPr>
      </w:pPr>
    </w:p>
    <w:p w14:paraId="7219585F" w14:textId="72D7EDAE" w:rsidR="004462A0" w:rsidRPr="008912CF" w:rsidRDefault="00615769" w:rsidP="004462A0">
      <w:pPr>
        <w:autoSpaceDE w:val="0"/>
        <w:autoSpaceDN w:val="0"/>
        <w:adjustRightInd w:val="0"/>
        <w:rPr>
          <w:del w:id="800" w:author="AbbVie2" w:date="2025-05-13T16:36:00Z"/>
          <w:sz w:val="22"/>
          <w:szCs w:val="22"/>
        </w:rPr>
      </w:pPr>
      <w:del w:id="801" w:author="AbbVie2" w:date="2025-05-13T16:36:00Z">
        <w:r w:rsidRPr="008912CF">
          <w:rPr>
            <w:sz w:val="22"/>
            <w:szCs w:val="22"/>
          </w:rPr>
          <w:delText>A percentagem de doentes que suspendeu o tratamento devido a acontecimentos adversos durante a fase controlada</w:delText>
        </w:r>
        <w:r w:rsidR="001D79C6">
          <w:rPr>
            <w:sz w:val="22"/>
            <w:szCs w:val="22"/>
          </w:rPr>
          <w:delText>,</w:delText>
        </w:r>
        <w:r w:rsidRPr="008912CF">
          <w:rPr>
            <w:sz w:val="22"/>
            <w:szCs w:val="22"/>
          </w:rPr>
          <w:delText xml:space="preserve"> de dupla ocultação, dos </w:delText>
        </w:r>
        <w:r w:rsidR="001D79C6" w:rsidRPr="008912CF">
          <w:rPr>
            <w:sz w:val="22"/>
            <w:szCs w:val="22"/>
          </w:rPr>
          <w:delText xml:space="preserve">estudos </w:delText>
        </w:r>
        <w:r w:rsidRPr="008912CF">
          <w:rPr>
            <w:sz w:val="22"/>
            <w:szCs w:val="22"/>
          </w:rPr>
          <w:delText xml:space="preserve">principais foi de </w:delText>
        </w:r>
        <w:r>
          <w:rPr>
            <w:sz w:val="22"/>
            <w:szCs w:val="22"/>
          </w:rPr>
          <w:delText>5,9</w:delText>
        </w:r>
        <w:r w:rsidR="009343EF">
          <w:rPr>
            <w:sz w:val="22"/>
            <w:szCs w:val="22"/>
          </w:rPr>
          <w:delText>%</w:delText>
        </w:r>
        <w:r w:rsidRPr="008912CF">
          <w:rPr>
            <w:sz w:val="22"/>
            <w:szCs w:val="22"/>
          </w:rPr>
          <w:delText xml:space="preserve"> nos doentes tratados com Humira e de 5,4</w:delText>
        </w:r>
        <w:r w:rsidR="009343EF">
          <w:rPr>
            <w:sz w:val="22"/>
            <w:szCs w:val="22"/>
          </w:rPr>
          <w:delText>%</w:delText>
        </w:r>
        <w:r w:rsidRPr="008912CF">
          <w:rPr>
            <w:sz w:val="22"/>
            <w:szCs w:val="22"/>
          </w:rPr>
          <w:delText xml:space="preserve"> nos doentes tratados com controlo.</w:delText>
        </w:r>
      </w:del>
    </w:p>
    <w:p w14:paraId="51602880" w14:textId="60C623F2" w:rsidR="004462A0" w:rsidRPr="008912CF" w:rsidRDefault="004462A0" w:rsidP="004462A0">
      <w:pPr>
        <w:autoSpaceDE w:val="0"/>
        <w:autoSpaceDN w:val="0"/>
        <w:adjustRightInd w:val="0"/>
        <w:rPr>
          <w:del w:id="802" w:author="AbbVie2" w:date="2025-05-13T16:36:00Z"/>
          <w:sz w:val="22"/>
          <w:szCs w:val="22"/>
        </w:rPr>
      </w:pPr>
    </w:p>
    <w:p w14:paraId="70FE973B" w14:textId="07FA568B" w:rsidR="004462A0" w:rsidRPr="008912CF" w:rsidRDefault="00615769" w:rsidP="004462A0">
      <w:pPr>
        <w:autoSpaceDE w:val="0"/>
        <w:autoSpaceDN w:val="0"/>
        <w:adjustRightInd w:val="0"/>
        <w:rPr>
          <w:del w:id="803" w:author="AbbVie2" w:date="2025-05-13T16:36:00Z"/>
          <w:sz w:val="22"/>
          <w:szCs w:val="22"/>
        </w:rPr>
      </w:pPr>
      <w:del w:id="804" w:author="AbbVie2" w:date="2025-05-13T16:36:00Z">
        <w:r w:rsidRPr="008912CF">
          <w:rPr>
            <w:sz w:val="22"/>
            <w:szCs w:val="22"/>
            <w:lang w:eastAsia="pt-PT"/>
          </w:rPr>
          <w:delText xml:space="preserve">As reações adversas mais frequentemente notificadas são infeções (tais como </w:delText>
        </w:r>
        <w:r w:rsidRPr="008912CF">
          <w:rPr>
            <w:sz w:val="22"/>
            <w:szCs w:val="22"/>
          </w:rPr>
          <w:delText>nasofaringite, infeção do trato respiratório superior e sinusite), reações no local da injeção (eritema, prurido, hemorragia, dor ou edema), cefaleias e dor musculoesquelética.</w:delText>
        </w:r>
      </w:del>
    </w:p>
    <w:p w14:paraId="71FC9F60" w14:textId="29D6C6F3" w:rsidR="004462A0" w:rsidRPr="008912CF" w:rsidRDefault="004462A0" w:rsidP="004462A0">
      <w:pPr>
        <w:autoSpaceDE w:val="0"/>
        <w:autoSpaceDN w:val="0"/>
        <w:adjustRightInd w:val="0"/>
        <w:rPr>
          <w:del w:id="805" w:author="AbbVie2" w:date="2025-05-13T16:36:00Z"/>
          <w:sz w:val="22"/>
          <w:szCs w:val="22"/>
        </w:rPr>
      </w:pPr>
    </w:p>
    <w:p w14:paraId="037B2A47" w14:textId="1C1E0DDB" w:rsidR="004462A0" w:rsidRPr="008912CF" w:rsidRDefault="00615769" w:rsidP="004462A0">
      <w:pPr>
        <w:autoSpaceDE w:val="0"/>
        <w:autoSpaceDN w:val="0"/>
        <w:adjustRightInd w:val="0"/>
        <w:rPr>
          <w:del w:id="806" w:author="AbbVie2" w:date="2025-05-13T16:36:00Z"/>
          <w:sz w:val="22"/>
          <w:szCs w:val="22"/>
        </w:rPr>
      </w:pPr>
      <w:del w:id="807" w:author="AbbVie2" w:date="2025-05-13T16:36:00Z">
        <w:r w:rsidRPr="008912CF">
          <w:rPr>
            <w:sz w:val="22"/>
            <w:szCs w:val="22"/>
          </w:rPr>
          <w:delText xml:space="preserve">Foram notificadas reações adversas graves com Humira. </w:delText>
        </w:r>
        <w:r w:rsidR="001D79C6">
          <w:rPr>
            <w:sz w:val="22"/>
            <w:szCs w:val="22"/>
          </w:rPr>
          <w:delText>Os a</w:delText>
        </w:r>
        <w:r w:rsidRPr="008912CF">
          <w:rPr>
            <w:sz w:val="22"/>
            <w:szCs w:val="22"/>
          </w:rPr>
          <w:delText>ntagonistas</w:delText>
        </w:r>
        <w:r w:rsidRPr="008912CF">
          <w:rPr>
            <w:sz w:val="22"/>
            <w:szCs w:val="22"/>
          </w:rPr>
          <w:noBreakHyphen/>
          <w:delText>TNF, tais como Humira, atuam no sistema imunitário e a sua utilização pode afetar os mecanismos de defesa contra infeções e cancro. Durante o tratamento com Humira, foram também notificadas infeções fatais e potencialmente fatais (incluindo sepsia, infeções oportunistas e TB), reativação de HBV e várias neoplasias (incluindo leucemia, linfoma e HSTCL).</w:delText>
        </w:r>
      </w:del>
    </w:p>
    <w:p w14:paraId="271197C6" w14:textId="48065E41" w:rsidR="004462A0" w:rsidRPr="008912CF" w:rsidRDefault="004462A0" w:rsidP="004462A0">
      <w:pPr>
        <w:autoSpaceDE w:val="0"/>
        <w:autoSpaceDN w:val="0"/>
        <w:adjustRightInd w:val="0"/>
        <w:rPr>
          <w:del w:id="808" w:author="AbbVie2" w:date="2025-05-13T16:36:00Z"/>
          <w:sz w:val="22"/>
          <w:szCs w:val="22"/>
        </w:rPr>
      </w:pPr>
    </w:p>
    <w:p w14:paraId="68F84053" w14:textId="2E84C3ED" w:rsidR="004462A0" w:rsidRPr="008912CF" w:rsidRDefault="00615769" w:rsidP="004462A0">
      <w:pPr>
        <w:autoSpaceDE w:val="0"/>
        <w:autoSpaceDN w:val="0"/>
        <w:adjustRightInd w:val="0"/>
        <w:rPr>
          <w:del w:id="809" w:author="AbbVie2" w:date="2025-05-13T16:36:00Z"/>
          <w:sz w:val="22"/>
          <w:szCs w:val="22"/>
        </w:rPr>
      </w:pPr>
      <w:del w:id="810" w:author="AbbVie2" w:date="2025-05-13T16:36:00Z">
        <w:r w:rsidRPr="008912CF">
          <w:rPr>
            <w:sz w:val="22"/>
            <w:szCs w:val="22"/>
          </w:rPr>
          <w:delText>Foram também notificadas reações graves hematológicas, neurológicas e autoimunes, incluindo casos raros de pancitopenia, anemia aplástica, perturbações desmielinizantes do sistema nervoso central e periférico, lúpus, doenças tipo lúpus e síndrome de Stevens-Johnson.</w:delText>
        </w:r>
      </w:del>
    </w:p>
    <w:p w14:paraId="16C88F3D" w14:textId="365D30F7" w:rsidR="004462A0" w:rsidRPr="008912CF" w:rsidRDefault="004462A0" w:rsidP="004462A0">
      <w:pPr>
        <w:rPr>
          <w:del w:id="811" w:author="AbbVie2" w:date="2025-05-13T16:36:00Z"/>
          <w:sz w:val="22"/>
          <w:szCs w:val="22"/>
        </w:rPr>
      </w:pPr>
    </w:p>
    <w:p w14:paraId="272BDDE5" w14:textId="2F94611C" w:rsidR="004462A0" w:rsidRPr="008912CF" w:rsidRDefault="00615769" w:rsidP="004462A0">
      <w:pPr>
        <w:rPr>
          <w:del w:id="812" w:author="AbbVie2" w:date="2025-05-13T16:36:00Z"/>
          <w:sz w:val="22"/>
          <w:szCs w:val="22"/>
          <w:u w:val="single"/>
        </w:rPr>
      </w:pPr>
      <w:del w:id="813" w:author="AbbVie2" w:date="2025-05-13T16:36:00Z">
        <w:r w:rsidRPr="008912CF">
          <w:rPr>
            <w:sz w:val="22"/>
            <w:szCs w:val="22"/>
            <w:u w:val="single"/>
          </w:rPr>
          <w:delText>População pediátrica</w:delText>
        </w:r>
      </w:del>
    </w:p>
    <w:p w14:paraId="58EC5FA6" w14:textId="6A5E298A" w:rsidR="004462A0" w:rsidRPr="008912CF" w:rsidRDefault="004462A0" w:rsidP="004462A0">
      <w:pPr>
        <w:rPr>
          <w:del w:id="814" w:author="AbbVie2" w:date="2025-05-13T16:36:00Z"/>
          <w:sz w:val="22"/>
          <w:szCs w:val="22"/>
        </w:rPr>
      </w:pPr>
    </w:p>
    <w:p w14:paraId="7F1E4BC0" w14:textId="127A5D27" w:rsidR="004462A0" w:rsidRPr="008912CF" w:rsidRDefault="00615769" w:rsidP="004462A0">
      <w:pPr>
        <w:rPr>
          <w:del w:id="815" w:author="AbbVie2" w:date="2025-05-13T16:36:00Z"/>
          <w:sz w:val="22"/>
          <w:szCs w:val="22"/>
        </w:rPr>
      </w:pPr>
      <w:del w:id="816" w:author="AbbVie2" w:date="2025-05-13T16:36:00Z">
        <w:r w:rsidRPr="008912CF">
          <w:rPr>
            <w:sz w:val="22"/>
            <w:szCs w:val="22"/>
          </w:rPr>
          <w:delText>Em geral, os acontecimentos adversos em doentes pediátricos foram semelhantes em frequência e tipo aos observados em doentes adultos.</w:delText>
        </w:r>
      </w:del>
    </w:p>
    <w:p w14:paraId="484D0CE5" w14:textId="7B546B7E" w:rsidR="004462A0" w:rsidRPr="008912CF" w:rsidRDefault="004462A0" w:rsidP="004462A0">
      <w:pPr>
        <w:rPr>
          <w:del w:id="817" w:author="AbbVie2" w:date="2025-05-13T16:36:00Z"/>
          <w:sz w:val="22"/>
          <w:szCs w:val="22"/>
        </w:rPr>
      </w:pPr>
    </w:p>
    <w:p w14:paraId="4EF488AE" w14:textId="2F87FC27" w:rsidR="004462A0" w:rsidRPr="008912CF" w:rsidRDefault="00615769" w:rsidP="00636825">
      <w:pPr>
        <w:keepNext/>
        <w:rPr>
          <w:del w:id="818" w:author="AbbVie2" w:date="2025-05-13T16:36:00Z"/>
          <w:sz w:val="22"/>
          <w:szCs w:val="22"/>
          <w:u w:val="single"/>
        </w:rPr>
      </w:pPr>
      <w:del w:id="819" w:author="AbbVie2" w:date="2025-05-13T16:36:00Z">
        <w:r w:rsidRPr="008912CF">
          <w:rPr>
            <w:sz w:val="22"/>
            <w:szCs w:val="22"/>
            <w:u w:val="single"/>
          </w:rPr>
          <w:delText>Tabela de reações adversas</w:delText>
        </w:r>
      </w:del>
    </w:p>
    <w:p w14:paraId="162C4CBC" w14:textId="0EE1389E" w:rsidR="004462A0" w:rsidRPr="008912CF" w:rsidRDefault="004462A0" w:rsidP="00636825">
      <w:pPr>
        <w:keepNext/>
        <w:rPr>
          <w:del w:id="820" w:author="AbbVie2" w:date="2025-05-13T16:36:00Z"/>
          <w:sz w:val="22"/>
          <w:szCs w:val="22"/>
        </w:rPr>
      </w:pPr>
    </w:p>
    <w:p w14:paraId="3C8893C0" w14:textId="30CCF190" w:rsidR="004462A0" w:rsidRPr="008912CF" w:rsidRDefault="00615769" w:rsidP="00636825">
      <w:pPr>
        <w:keepNext/>
        <w:autoSpaceDE w:val="0"/>
        <w:autoSpaceDN w:val="0"/>
        <w:adjustRightInd w:val="0"/>
        <w:rPr>
          <w:del w:id="821" w:author="AbbVie2" w:date="2025-05-13T16:36:00Z"/>
          <w:sz w:val="22"/>
          <w:szCs w:val="22"/>
        </w:rPr>
      </w:pPr>
      <w:del w:id="822" w:author="AbbVie2" w:date="2025-05-13T16:36:00Z">
        <w:r w:rsidRPr="008912CF">
          <w:rPr>
            <w:sz w:val="22"/>
            <w:szCs w:val="22"/>
            <w:lang w:eastAsia="pt-PT"/>
          </w:rPr>
          <w:delText>As reações adversas, baseadas na experiência em ensaios clínicos e na experiência pós-comercialização,</w:delText>
        </w:r>
        <w:r w:rsidRPr="008912CF">
          <w:rPr>
            <w:sz w:val="22"/>
            <w:szCs w:val="22"/>
          </w:rPr>
          <w:delText xml:space="preserve"> são indicadas</w:delText>
        </w:r>
        <w:r w:rsidRPr="008912CF">
          <w:rPr>
            <w:sz w:val="22"/>
            <w:szCs w:val="22"/>
            <w:lang w:eastAsia="pt-PT"/>
          </w:rPr>
          <w:delText xml:space="preserve"> por </w:delText>
        </w:r>
        <w:r w:rsidR="00026992">
          <w:rPr>
            <w:sz w:val="22"/>
            <w:szCs w:val="22"/>
            <w:lang w:eastAsia="pt-PT"/>
          </w:rPr>
          <w:delText xml:space="preserve">classes de </w:delText>
        </w:r>
        <w:r w:rsidRPr="008912CF">
          <w:rPr>
            <w:sz w:val="22"/>
            <w:szCs w:val="22"/>
            <w:lang w:eastAsia="pt-PT"/>
          </w:rPr>
          <w:delText xml:space="preserve">sistemas de órgãos e frequência na Tabela </w:delText>
        </w:r>
        <w:r w:rsidR="0071248B">
          <w:rPr>
            <w:sz w:val="22"/>
            <w:szCs w:val="22"/>
            <w:lang w:eastAsia="pt-PT"/>
          </w:rPr>
          <w:delText>7</w:delText>
        </w:r>
        <w:r w:rsidRPr="008912CF">
          <w:rPr>
            <w:sz w:val="22"/>
            <w:szCs w:val="22"/>
            <w:lang w:eastAsia="pt-PT"/>
          </w:rPr>
          <w:delText xml:space="preserve"> abaixo:</w:delText>
        </w:r>
        <w:r w:rsidRPr="008912CF">
          <w:rPr>
            <w:sz w:val="22"/>
            <w:szCs w:val="22"/>
          </w:rPr>
          <w:delText xml:space="preserve"> muito frequentes (≥1/10); frequentes (</w:delText>
        </w:r>
        <w:r w:rsidR="0090687D" w:rsidRPr="008912CF">
          <w:rPr>
            <w:sz w:val="22"/>
            <w:szCs w:val="22"/>
          </w:rPr>
          <w:delText>≥</w:delText>
        </w:r>
        <w:r w:rsidRPr="008912CF">
          <w:rPr>
            <w:sz w:val="22"/>
            <w:szCs w:val="22"/>
          </w:rPr>
          <w:delText>1/100</w:delText>
        </w:r>
        <w:r w:rsidR="0090687D">
          <w:rPr>
            <w:sz w:val="22"/>
            <w:szCs w:val="22"/>
          </w:rPr>
          <w:delText>,</w:delText>
        </w:r>
        <w:r w:rsidRPr="008912CF">
          <w:rPr>
            <w:sz w:val="22"/>
            <w:szCs w:val="22"/>
          </w:rPr>
          <w:delText> </w:delText>
        </w:r>
        <w:r w:rsidRPr="008912CF">
          <w:rPr>
            <w:rFonts w:ascii="Symbol" w:hAnsi="Symbol"/>
            <w:sz w:val="22"/>
            <w:szCs w:val="22"/>
          </w:rPr>
          <w:sym w:font="Symbol" w:char="F03C"/>
        </w:r>
        <w:r w:rsidRPr="008912CF">
          <w:rPr>
            <w:sz w:val="22"/>
            <w:szCs w:val="22"/>
          </w:rPr>
          <w:delText>1/10); pouco frequentes (</w:delText>
        </w:r>
        <w:r w:rsidR="0090687D" w:rsidRPr="008912CF">
          <w:rPr>
            <w:sz w:val="22"/>
            <w:szCs w:val="22"/>
          </w:rPr>
          <w:delText>≥</w:delText>
        </w:r>
        <w:r w:rsidRPr="008912CF">
          <w:rPr>
            <w:sz w:val="22"/>
            <w:szCs w:val="22"/>
          </w:rPr>
          <w:delText>1/1.000</w:delText>
        </w:r>
        <w:r w:rsidR="0090687D">
          <w:rPr>
            <w:sz w:val="22"/>
            <w:szCs w:val="22"/>
          </w:rPr>
          <w:delText>,</w:delText>
        </w:r>
        <w:r w:rsidRPr="008912CF">
          <w:rPr>
            <w:sz w:val="22"/>
            <w:szCs w:val="22"/>
          </w:rPr>
          <w:delText xml:space="preserve"> </w:delText>
        </w:r>
        <w:r w:rsidR="0090687D">
          <w:rPr>
            <w:sz w:val="22"/>
            <w:szCs w:val="22"/>
          </w:rPr>
          <w:delText>&lt;</w:delText>
        </w:r>
        <w:r w:rsidRPr="008912CF">
          <w:rPr>
            <w:sz w:val="22"/>
            <w:szCs w:val="22"/>
          </w:rPr>
          <w:delText>1/100)</w:delText>
        </w:r>
        <w:r w:rsidR="0090687D">
          <w:rPr>
            <w:sz w:val="22"/>
            <w:szCs w:val="22"/>
          </w:rPr>
          <w:delText>;</w:delText>
        </w:r>
        <w:r w:rsidRPr="008912CF">
          <w:rPr>
            <w:sz w:val="22"/>
            <w:szCs w:val="22"/>
          </w:rPr>
          <w:delText xml:space="preserve"> raros (</w:delText>
        </w:r>
        <w:r w:rsidR="0090687D" w:rsidRPr="008912CF">
          <w:rPr>
            <w:sz w:val="22"/>
            <w:szCs w:val="22"/>
          </w:rPr>
          <w:delText>≥</w:delText>
        </w:r>
        <w:r w:rsidRPr="008912CF">
          <w:rPr>
            <w:sz w:val="22"/>
            <w:szCs w:val="22"/>
          </w:rPr>
          <w:delText>1/10.000</w:delText>
        </w:r>
        <w:r w:rsidR="0090687D">
          <w:rPr>
            <w:sz w:val="22"/>
            <w:szCs w:val="22"/>
          </w:rPr>
          <w:delText>,</w:delText>
        </w:r>
        <w:r w:rsidRPr="008912CF">
          <w:rPr>
            <w:sz w:val="22"/>
            <w:szCs w:val="22"/>
          </w:rPr>
          <w:delText xml:space="preserve"> &lt;1/1.000) e </w:delText>
        </w:r>
        <w:r w:rsidRPr="008912CF">
          <w:rPr>
            <w:sz w:val="22"/>
            <w:szCs w:val="22"/>
            <w:lang w:eastAsia="pt-PT"/>
          </w:rPr>
          <w:delText xml:space="preserve">desconhecido (não pode ser calculado a partir dos dados disponíveis). </w:delText>
        </w:r>
        <w:r w:rsidRPr="008912CF">
          <w:rPr>
            <w:sz w:val="22"/>
            <w:szCs w:val="22"/>
          </w:rPr>
          <w:delText>Os efeitos indesejáveis são apresentados por ordem decrescente de gravidade dentro de cada classe de frequência. Foi incluída a frequência mais elevada observada nas várias indicações. Caso estejam disponíveis informações adicionais nas secções 4.3, 4.4 e 4.8 aparece um asterisco (*) na coluna das CSO.</w:delText>
        </w:r>
      </w:del>
    </w:p>
    <w:p w14:paraId="5E990337" w14:textId="415C0172" w:rsidR="004462A0" w:rsidRPr="008912CF" w:rsidRDefault="004462A0" w:rsidP="004462A0">
      <w:pPr>
        <w:tabs>
          <w:tab w:val="left" w:pos="1080"/>
        </w:tabs>
        <w:jc w:val="center"/>
        <w:rPr>
          <w:del w:id="823" w:author="AbbVie2" w:date="2025-05-13T16:36:00Z"/>
          <w:b/>
          <w:sz w:val="22"/>
          <w:szCs w:val="22"/>
        </w:rPr>
      </w:pPr>
    </w:p>
    <w:p w14:paraId="2F1D4659" w14:textId="635EEC65" w:rsidR="004462A0" w:rsidRPr="008912CF" w:rsidRDefault="00615769" w:rsidP="002F486F">
      <w:pPr>
        <w:keepNext/>
        <w:tabs>
          <w:tab w:val="left" w:pos="1080"/>
        </w:tabs>
        <w:jc w:val="center"/>
        <w:rPr>
          <w:del w:id="824" w:author="AbbVie2" w:date="2025-05-13T16:36:00Z"/>
          <w:b/>
          <w:sz w:val="22"/>
          <w:szCs w:val="22"/>
        </w:rPr>
      </w:pPr>
      <w:del w:id="825" w:author="AbbVie2" w:date="2025-05-13T16:36:00Z">
        <w:r w:rsidRPr="008912CF">
          <w:rPr>
            <w:b/>
            <w:sz w:val="22"/>
            <w:szCs w:val="22"/>
          </w:rPr>
          <w:delText xml:space="preserve">Tabela </w:delText>
        </w:r>
        <w:r w:rsidR="0071248B">
          <w:rPr>
            <w:b/>
            <w:sz w:val="22"/>
            <w:szCs w:val="22"/>
          </w:rPr>
          <w:delText>7</w:delText>
        </w:r>
      </w:del>
    </w:p>
    <w:p w14:paraId="1120975B" w14:textId="4C76888C" w:rsidR="004462A0" w:rsidRPr="008912CF" w:rsidRDefault="00615769" w:rsidP="002F486F">
      <w:pPr>
        <w:keepNext/>
        <w:tabs>
          <w:tab w:val="left" w:pos="1080"/>
        </w:tabs>
        <w:jc w:val="center"/>
        <w:rPr>
          <w:del w:id="826" w:author="AbbVie2" w:date="2025-05-13T16:36:00Z"/>
          <w:b/>
          <w:sz w:val="22"/>
          <w:szCs w:val="22"/>
        </w:rPr>
      </w:pPr>
      <w:del w:id="827" w:author="AbbVie2" w:date="2025-05-13T16:36:00Z">
        <w:r w:rsidRPr="008912CF">
          <w:rPr>
            <w:b/>
            <w:sz w:val="22"/>
            <w:szCs w:val="22"/>
          </w:rPr>
          <w:delText xml:space="preserve">Efeitos indesejáveis </w:delText>
        </w:r>
      </w:del>
    </w:p>
    <w:p w14:paraId="2A5B3B6D" w14:textId="7A614875" w:rsidR="004462A0" w:rsidRPr="008912CF" w:rsidRDefault="004462A0" w:rsidP="002F486F">
      <w:pPr>
        <w:keepNext/>
        <w:jc w:val="center"/>
        <w:rPr>
          <w:del w:id="828" w:author="AbbVie2" w:date="2025-05-13T16:36:00Z"/>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1996"/>
        <w:gridCol w:w="4346"/>
      </w:tblGrid>
      <w:tr w:rsidR="00A7162A" w14:paraId="1E44EB41" w14:textId="191E29A0" w:rsidTr="00F675CF">
        <w:trPr>
          <w:tblHeader/>
          <w:del w:id="829" w:author="AbbVie2" w:date="2025-05-13T16:36:00Z"/>
        </w:trPr>
        <w:tc>
          <w:tcPr>
            <w:tcW w:w="2514" w:type="dxa"/>
          </w:tcPr>
          <w:p w14:paraId="09039560" w14:textId="5FED6C28" w:rsidR="004462A0" w:rsidRPr="008912CF" w:rsidRDefault="00615769" w:rsidP="002F486F">
            <w:pPr>
              <w:keepNext/>
              <w:widowControl w:val="0"/>
              <w:spacing w:before="120" w:after="120"/>
              <w:jc w:val="center"/>
              <w:rPr>
                <w:del w:id="830" w:author="AbbVie2" w:date="2025-05-13T16:36:00Z"/>
                <w:b/>
              </w:rPr>
            </w:pPr>
            <w:del w:id="831" w:author="AbbVie2" w:date="2025-05-13T16:36:00Z">
              <w:r w:rsidRPr="008912CF">
                <w:rPr>
                  <w:b/>
                  <w:bCs/>
                  <w:sz w:val="22"/>
                  <w:szCs w:val="22"/>
                </w:rPr>
                <w:delText>Classes de sistema</w:delText>
              </w:r>
              <w:r w:rsidR="00D9472B">
                <w:rPr>
                  <w:b/>
                  <w:bCs/>
                  <w:sz w:val="22"/>
                  <w:szCs w:val="22"/>
                </w:rPr>
                <w:delText>s</w:delText>
              </w:r>
              <w:r w:rsidRPr="008912CF">
                <w:rPr>
                  <w:b/>
                  <w:bCs/>
                  <w:sz w:val="22"/>
                  <w:szCs w:val="22"/>
                </w:rPr>
                <w:delText xml:space="preserve"> de órgãos</w:delText>
              </w:r>
            </w:del>
          </w:p>
        </w:tc>
        <w:tc>
          <w:tcPr>
            <w:tcW w:w="1996" w:type="dxa"/>
          </w:tcPr>
          <w:p w14:paraId="69863001" w14:textId="6F359386" w:rsidR="004462A0" w:rsidRPr="008912CF" w:rsidRDefault="00615769" w:rsidP="002F486F">
            <w:pPr>
              <w:keepNext/>
              <w:widowControl w:val="0"/>
              <w:spacing w:before="120" w:after="120"/>
              <w:jc w:val="center"/>
              <w:rPr>
                <w:del w:id="832" w:author="AbbVie2" w:date="2025-05-13T16:36:00Z"/>
                <w:b/>
              </w:rPr>
            </w:pPr>
            <w:del w:id="833" w:author="AbbVie2" w:date="2025-05-13T16:36:00Z">
              <w:r w:rsidRPr="008912CF">
                <w:rPr>
                  <w:b/>
                  <w:bCs/>
                  <w:sz w:val="22"/>
                  <w:szCs w:val="22"/>
                </w:rPr>
                <w:delText>Frequência</w:delText>
              </w:r>
            </w:del>
          </w:p>
        </w:tc>
        <w:tc>
          <w:tcPr>
            <w:tcW w:w="4346" w:type="dxa"/>
          </w:tcPr>
          <w:p w14:paraId="5BEC960A" w14:textId="65FF95AE" w:rsidR="004462A0" w:rsidRPr="008912CF" w:rsidRDefault="00615769" w:rsidP="002F486F">
            <w:pPr>
              <w:keepNext/>
              <w:widowControl w:val="0"/>
              <w:spacing w:before="120" w:after="120"/>
              <w:jc w:val="center"/>
              <w:rPr>
                <w:del w:id="834" w:author="AbbVie2" w:date="2025-05-13T16:36:00Z"/>
                <w:b/>
              </w:rPr>
            </w:pPr>
            <w:del w:id="835" w:author="AbbVie2" w:date="2025-05-13T16:36:00Z">
              <w:r w:rsidRPr="008912CF">
                <w:rPr>
                  <w:b/>
                  <w:bCs/>
                  <w:sz w:val="22"/>
                  <w:szCs w:val="22"/>
                </w:rPr>
                <w:delText>Reações adversas</w:delText>
              </w:r>
            </w:del>
          </w:p>
        </w:tc>
      </w:tr>
      <w:tr w:rsidR="00A7162A" w14:paraId="5AE18BD6" w14:textId="7BEEBE9D" w:rsidTr="00F675CF">
        <w:trPr>
          <w:del w:id="836" w:author="AbbVie2" w:date="2025-05-13T16:36:00Z"/>
        </w:trPr>
        <w:tc>
          <w:tcPr>
            <w:tcW w:w="2514" w:type="dxa"/>
            <w:vMerge w:val="restart"/>
          </w:tcPr>
          <w:p w14:paraId="5501EC7C" w14:textId="00B865D9" w:rsidR="004462A0" w:rsidRPr="008912CF" w:rsidRDefault="00615769" w:rsidP="00F675CF">
            <w:pPr>
              <w:pStyle w:val="EMEANormal"/>
              <w:widowControl w:val="0"/>
              <w:spacing w:before="60"/>
              <w:rPr>
                <w:del w:id="837" w:author="AbbVie2" w:date="2025-05-13T16:36:00Z"/>
                <w:szCs w:val="22"/>
                <w:lang w:val="pt-PT"/>
              </w:rPr>
            </w:pPr>
            <w:del w:id="838" w:author="AbbVie2" w:date="2025-05-13T16:36:00Z">
              <w:r w:rsidRPr="008912CF">
                <w:rPr>
                  <w:szCs w:val="22"/>
                  <w:lang w:val="pt-PT"/>
                </w:rPr>
                <w:delText>Infeções e infestações *</w:delText>
              </w:r>
            </w:del>
          </w:p>
          <w:p w14:paraId="45DA4303" w14:textId="3D27F479" w:rsidR="004462A0" w:rsidRPr="008912CF" w:rsidRDefault="004462A0" w:rsidP="00F675CF">
            <w:pPr>
              <w:widowControl w:val="0"/>
              <w:spacing w:before="60"/>
              <w:jc w:val="center"/>
              <w:rPr>
                <w:del w:id="839" w:author="AbbVie2" w:date="2025-05-13T16:36:00Z"/>
              </w:rPr>
            </w:pPr>
          </w:p>
        </w:tc>
        <w:tc>
          <w:tcPr>
            <w:tcW w:w="1996" w:type="dxa"/>
            <w:tcBorders>
              <w:bottom w:val="nil"/>
            </w:tcBorders>
          </w:tcPr>
          <w:p w14:paraId="6149AE7E" w14:textId="2379FC92" w:rsidR="004462A0" w:rsidRPr="008912CF" w:rsidRDefault="00615769" w:rsidP="00F675CF">
            <w:pPr>
              <w:pStyle w:val="EMEANormal"/>
              <w:widowControl w:val="0"/>
              <w:spacing w:before="60"/>
              <w:rPr>
                <w:del w:id="840" w:author="AbbVie2" w:date="2025-05-13T16:36:00Z"/>
                <w:szCs w:val="22"/>
                <w:lang w:val="pt-PT"/>
              </w:rPr>
            </w:pPr>
            <w:del w:id="841" w:author="AbbVie2" w:date="2025-05-13T16:36:00Z">
              <w:r w:rsidRPr="008912CF">
                <w:rPr>
                  <w:szCs w:val="22"/>
                  <w:lang w:val="pt-PT"/>
                </w:rPr>
                <w:delText>Muito frequentes</w:delText>
              </w:r>
            </w:del>
          </w:p>
        </w:tc>
        <w:tc>
          <w:tcPr>
            <w:tcW w:w="4346" w:type="dxa"/>
            <w:tcBorders>
              <w:bottom w:val="nil"/>
            </w:tcBorders>
          </w:tcPr>
          <w:p w14:paraId="62B800E5" w14:textId="55888F6E" w:rsidR="004462A0" w:rsidRPr="008912CF" w:rsidRDefault="00615769" w:rsidP="00F675CF">
            <w:pPr>
              <w:pStyle w:val="EMEANormal"/>
              <w:rPr>
                <w:del w:id="842" w:author="AbbVie2" w:date="2025-05-13T16:36:00Z"/>
                <w:szCs w:val="22"/>
                <w:lang w:val="pt-PT"/>
              </w:rPr>
            </w:pPr>
            <w:del w:id="843" w:author="AbbVie2" w:date="2025-05-13T16:36:00Z">
              <w:r>
                <w:rPr>
                  <w:szCs w:val="22"/>
                  <w:lang w:val="pt-PT"/>
                </w:rPr>
                <w:delText>I</w:delText>
              </w:r>
              <w:r w:rsidRPr="008912CF">
                <w:rPr>
                  <w:szCs w:val="22"/>
                  <w:lang w:val="pt-PT"/>
                </w:rPr>
                <w:delText>nfeções do trato respiratório (incluindo infeção do trato respiratório superior e inferior, pneumonia, sinusite, faringite, nasofaringite e pneumonia a herpes viral)</w:delText>
              </w:r>
            </w:del>
          </w:p>
          <w:p w14:paraId="48074B53" w14:textId="72F3541D" w:rsidR="004462A0" w:rsidRPr="008912CF" w:rsidRDefault="004462A0" w:rsidP="00F675CF">
            <w:pPr>
              <w:pStyle w:val="EMEANormal"/>
              <w:rPr>
                <w:del w:id="844" w:author="AbbVie2" w:date="2025-05-13T16:36:00Z"/>
                <w:szCs w:val="22"/>
                <w:lang w:val="pt-PT"/>
              </w:rPr>
            </w:pPr>
          </w:p>
        </w:tc>
      </w:tr>
      <w:tr w:rsidR="00A7162A" w14:paraId="3245FDC1" w14:textId="68009709" w:rsidTr="00F675CF">
        <w:trPr>
          <w:del w:id="845" w:author="AbbVie2" w:date="2025-05-13T16:36:00Z"/>
        </w:trPr>
        <w:tc>
          <w:tcPr>
            <w:tcW w:w="2514" w:type="dxa"/>
            <w:vMerge/>
          </w:tcPr>
          <w:p w14:paraId="19BE8509" w14:textId="11138466" w:rsidR="004462A0" w:rsidRPr="008912CF" w:rsidRDefault="004462A0" w:rsidP="00F675CF">
            <w:pPr>
              <w:widowControl w:val="0"/>
              <w:spacing w:before="60"/>
              <w:jc w:val="center"/>
              <w:rPr>
                <w:del w:id="846" w:author="AbbVie2" w:date="2025-05-13T16:36:00Z"/>
                <w:b/>
              </w:rPr>
            </w:pPr>
          </w:p>
        </w:tc>
        <w:tc>
          <w:tcPr>
            <w:tcW w:w="1996" w:type="dxa"/>
            <w:tcBorders>
              <w:top w:val="nil"/>
              <w:bottom w:val="nil"/>
            </w:tcBorders>
          </w:tcPr>
          <w:p w14:paraId="3D025A26" w14:textId="6A858B8A" w:rsidR="004462A0" w:rsidRPr="008912CF" w:rsidRDefault="00615769" w:rsidP="00F675CF">
            <w:pPr>
              <w:pStyle w:val="EMEANormal"/>
              <w:widowControl w:val="0"/>
              <w:spacing w:before="60"/>
              <w:rPr>
                <w:del w:id="847" w:author="AbbVie2" w:date="2025-05-13T16:36:00Z"/>
                <w:szCs w:val="22"/>
                <w:lang w:val="pt-PT"/>
              </w:rPr>
            </w:pPr>
            <w:del w:id="848" w:author="AbbVie2" w:date="2025-05-13T16:36:00Z">
              <w:r w:rsidRPr="008912CF">
                <w:rPr>
                  <w:szCs w:val="22"/>
                  <w:lang w:val="pt-PT"/>
                </w:rPr>
                <w:delText>Frequentes</w:delText>
              </w:r>
            </w:del>
          </w:p>
        </w:tc>
        <w:tc>
          <w:tcPr>
            <w:tcW w:w="4346" w:type="dxa"/>
            <w:tcBorders>
              <w:top w:val="nil"/>
              <w:bottom w:val="nil"/>
            </w:tcBorders>
          </w:tcPr>
          <w:p w14:paraId="1E494045" w14:textId="430413E2" w:rsidR="004462A0" w:rsidRPr="008912CF" w:rsidRDefault="00615769" w:rsidP="00F675CF">
            <w:pPr>
              <w:pStyle w:val="EMEANormal"/>
              <w:rPr>
                <w:del w:id="849" w:author="AbbVie2" w:date="2025-05-13T16:36:00Z"/>
                <w:szCs w:val="22"/>
                <w:lang w:val="pt-PT"/>
              </w:rPr>
            </w:pPr>
            <w:del w:id="850" w:author="AbbVie2" w:date="2025-05-13T16:36:00Z">
              <w:r>
                <w:rPr>
                  <w:szCs w:val="22"/>
                  <w:lang w:val="pt-PT"/>
                </w:rPr>
                <w:delText>I</w:delText>
              </w:r>
              <w:r w:rsidRPr="008912CF">
                <w:rPr>
                  <w:szCs w:val="22"/>
                  <w:lang w:val="pt-PT"/>
                </w:rPr>
                <w:delText>nfeções sistémicas (incluindo sepsia, candidíase e influenza),</w:delText>
              </w:r>
            </w:del>
          </w:p>
          <w:p w14:paraId="7B335015" w14:textId="37F4D091" w:rsidR="004462A0" w:rsidRPr="008912CF" w:rsidRDefault="00615769" w:rsidP="00F675CF">
            <w:pPr>
              <w:pStyle w:val="EMEANormal"/>
              <w:rPr>
                <w:del w:id="851" w:author="AbbVie2" w:date="2025-05-13T16:36:00Z"/>
                <w:szCs w:val="22"/>
                <w:lang w:val="pt-PT"/>
              </w:rPr>
            </w:pPr>
            <w:del w:id="852" w:author="AbbVie2" w:date="2025-05-13T16:36:00Z">
              <w:r w:rsidRPr="008912CF">
                <w:rPr>
                  <w:szCs w:val="22"/>
                  <w:lang w:val="pt-PT"/>
                </w:rPr>
                <w:delText>infeções intestinais (incluindo gastroenterite viral),</w:delText>
              </w:r>
            </w:del>
          </w:p>
          <w:p w14:paraId="7A943E98" w14:textId="7621E59B" w:rsidR="004462A0" w:rsidRPr="008912CF" w:rsidRDefault="00615769" w:rsidP="00F675CF">
            <w:pPr>
              <w:pStyle w:val="EMEANormal"/>
              <w:rPr>
                <w:del w:id="853" w:author="AbbVie2" w:date="2025-05-13T16:36:00Z"/>
                <w:szCs w:val="22"/>
                <w:lang w:val="pt-PT"/>
              </w:rPr>
            </w:pPr>
            <w:del w:id="854" w:author="AbbVie2" w:date="2025-05-13T16:36:00Z">
              <w:r w:rsidRPr="008912CF">
                <w:rPr>
                  <w:szCs w:val="22"/>
                  <w:lang w:val="pt-PT"/>
                </w:rPr>
                <w:delText xml:space="preserve">infeções da pele e tecidos moles (incluindo paroníquia, celulite, impetigo, fasciite necrosante e herpes zoster), </w:delText>
              </w:r>
            </w:del>
          </w:p>
          <w:p w14:paraId="24324EEC" w14:textId="75B67ED2" w:rsidR="004462A0" w:rsidRPr="008912CF" w:rsidRDefault="00615769" w:rsidP="00F675CF">
            <w:pPr>
              <w:pStyle w:val="EMEANormal"/>
              <w:rPr>
                <w:del w:id="855" w:author="AbbVie2" w:date="2025-05-13T16:36:00Z"/>
                <w:szCs w:val="22"/>
                <w:lang w:val="pt-PT"/>
              </w:rPr>
            </w:pPr>
            <w:del w:id="856" w:author="AbbVie2" w:date="2025-05-13T16:36:00Z">
              <w:r w:rsidRPr="008912CF">
                <w:rPr>
                  <w:szCs w:val="22"/>
                  <w:lang w:val="pt-PT"/>
                </w:rPr>
                <w:delText xml:space="preserve">infeções auriculares, </w:delText>
              </w:r>
            </w:del>
          </w:p>
          <w:p w14:paraId="390A7765" w14:textId="3E1B5173" w:rsidR="004462A0" w:rsidRPr="008912CF" w:rsidRDefault="00615769" w:rsidP="00F675CF">
            <w:pPr>
              <w:pStyle w:val="EMEANormal"/>
              <w:rPr>
                <w:del w:id="857" w:author="AbbVie2" w:date="2025-05-13T16:36:00Z"/>
                <w:szCs w:val="22"/>
                <w:lang w:val="pt-PT"/>
              </w:rPr>
            </w:pPr>
            <w:del w:id="858" w:author="AbbVie2" w:date="2025-05-13T16:36:00Z">
              <w:r w:rsidRPr="008912CF">
                <w:rPr>
                  <w:szCs w:val="22"/>
                  <w:lang w:val="pt-PT"/>
                </w:rPr>
                <w:delText>infeções orais (incluindo herpes simplex, herpes oral e infeções odontológicas),</w:delText>
              </w:r>
            </w:del>
          </w:p>
          <w:p w14:paraId="6193385A" w14:textId="470E547D" w:rsidR="004462A0" w:rsidRPr="008912CF" w:rsidRDefault="00615769" w:rsidP="00F675CF">
            <w:pPr>
              <w:pStyle w:val="EMEANormal"/>
              <w:rPr>
                <w:del w:id="859" w:author="AbbVie2" w:date="2025-05-13T16:36:00Z"/>
                <w:szCs w:val="22"/>
                <w:lang w:val="pt-PT"/>
              </w:rPr>
            </w:pPr>
            <w:del w:id="860" w:author="AbbVie2" w:date="2025-05-13T16:36:00Z">
              <w:r w:rsidRPr="008912CF">
                <w:rPr>
                  <w:szCs w:val="22"/>
                  <w:lang w:val="pt-PT"/>
                </w:rPr>
                <w:delText>infeções no sistema reprodutor (incluindo infeção micótica vulvovaginal),</w:delText>
              </w:r>
            </w:del>
          </w:p>
          <w:p w14:paraId="67E5CCA7" w14:textId="2E92CDB3" w:rsidR="004462A0" w:rsidRPr="008912CF" w:rsidRDefault="00615769" w:rsidP="00F675CF">
            <w:pPr>
              <w:pStyle w:val="EMEANormal"/>
              <w:rPr>
                <w:del w:id="861" w:author="AbbVie2" w:date="2025-05-13T16:36:00Z"/>
                <w:szCs w:val="22"/>
                <w:lang w:val="pt-PT"/>
              </w:rPr>
            </w:pPr>
            <w:del w:id="862" w:author="AbbVie2" w:date="2025-05-13T16:36:00Z">
              <w:r w:rsidRPr="008912CF">
                <w:rPr>
                  <w:szCs w:val="22"/>
                  <w:lang w:val="pt-PT"/>
                </w:rPr>
                <w:delText>infeções do trato urinário (incluindo pielonefrite),</w:delText>
              </w:r>
            </w:del>
          </w:p>
          <w:p w14:paraId="75E91B73" w14:textId="4245811D" w:rsidR="004462A0" w:rsidRPr="008912CF" w:rsidRDefault="00615769" w:rsidP="00F675CF">
            <w:pPr>
              <w:pStyle w:val="EMEANormal"/>
              <w:rPr>
                <w:del w:id="863" w:author="AbbVie2" w:date="2025-05-13T16:36:00Z"/>
                <w:szCs w:val="22"/>
                <w:lang w:val="pt-PT"/>
              </w:rPr>
            </w:pPr>
            <w:del w:id="864" w:author="AbbVie2" w:date="2025-05-13T16:36:00Z">
              <w:r w:rsidRPr="008912CF">
                <w:rPr>
                  <w:szCs w:val="22"/>
                  <w:lang w:val="pt-PT"/>
                </w:rPr>
                <w:delText>infeções fúngicas,</w:delText>
              </w:r>
            </w:del>
          </w:p>
          <w:p w14:paraId="0ACF037E" w14:textId="149E72AC" w:rsidR="004462A0" w:rsidRPr="008912CF" w:rsidRDefault="00615769" w:rsidP="00F675CF">
            <w:pPr>
              <w:pStyle w:val="EMEANormal"/>
              <w:rPr>
                <w:del w:id="865" w:author="AbbVie2" w:date="2025-05-13T16:36:00Z"/>
                <w:szCs w:val="22"/>
                <w:lang w:val="pt-PT"/>
              </w:rPr>
            </w:pPr>
            <w:del w:id="866" w:author="AbbVie2" w:date="2025-05-13T16:36:00Z">
              <w:r w:rsidRPr="008912CF">
                <w:rPr>
                  <w:szCs w:val="22"/>
                  <w:lang w:val="pt-PT"/>
                </w:rPr>
                <w:delText xml:space="preserve">infeções articulares </w:delText>
              </w:r>
            </w:del>
          </w:p>
          <w:p w14:paraId="42C59DDD" w14:textId="1DA1ECA7" w:rsidR="004462A0" w:rsidRPr="008912CF" w:rsidRDefault="004462A0" w:rsidP="00F675CF">
            <w:pPr>
              <w:pStyle w:val="EMEANormal"/>
              <w:rPr>
                <w:del w:id="867" w:author="AbbVie2" w:date="2025-05-13T16:36:00Z"/>
                <w:szCs w:val="22"/>
                <w:lang w:val="pt-PT"/>
              </w:rPr>
            </w:pPr>
          </w:p>
        </w:tc>
      </w:tr>
      <w:tr w:rsidR="00A7162A" w14:paraId="01B4EFE9" w14:textId="428DCE7C" w:rsidTr="00F675CF">
        <w:trPr>
          <w:del w:id="868" w:author="AbbVie2" w:date="2025-05-13T16:36:00Z"/>
        </w:trPr>
        <w:tc>
          <w:tcPr>
            <w:tcW w:w="2514" w:type="dxa"/>
            <w:vMerge/>
          </w:tcPr>
          <w:p w14:paraId="4224A01E" w14:textId="79AF2256" w:rsidR="004462A0" w:rsidRPr="008912CF" w:rsidRDefault="004462A0" w:rsidP="00F675CF">
            <w:pPr>
              <w:widowControl w:val="0"/>
              <w:spacing w:before="60"/>
              <w:jc w:val="center"/>
              <w:rPr>
                <w:del w:id="869" w:author="AbbVie2" w:date="2025-05-13T16:36:00Z"/>
                <w:b/>
              </w:rPr>
            </w:pPr>
          </w:p>
        </w:tc>
        <w:tc>
          <w:tcPr>
            <w:tcW w:w="1996" w:type="dxa"/>
            <w:tcBorders>
              <w:top w:val="nil"/>
            </w:tcBorders>
          </w:tcPr>
          <w:p w14:paraId="121F71EC" w14:textId="7ED8FB55" w:rsidR="004462A0" w:rsidRPr="008912CF" w:rsidRDefault="00615769" w:rsidP="00F675CF">
            <w:pPr>
              <w:pStyle w:val="EMEANormal"/>
              <w:widowControl w:val="0"/>
              <w:rPr>
                <w:del w:id="870" w:author="AbbVie2" w:date="2025-05-13T16:36:00Z"/>
                <w:szCs w:val="22"/>
                <w:lang w:val="pt-PT"/>
              </w:rPr>
            </w:pPr>
            <w:del w:id="871" w:author="AbbVie2" w:date="2025-05-13T16:36:00Z">
              <w:r w:rsidRPr="008912CF">
                <w:rPr>
                  <w:szCs w:val="22"/>
                  <w:lang w:val="pt-PT"/>
                </w:rPr>
                <w:delText>Pouco frequentes</w:delText>
              </w:r>
            </w:del>
          </w:p>
        </w:tc>
        <w:tc>
          <w:tcPr>
            <w:tcW w:w="4346" w:type="dxa"/>
            <w:tcBorders>
              <w:top w:val="nil"/>
            </w:tcBorders>
          </w:tcPr>
          <w:p w14:paraId="5B622819" w14:textId="1A5DA678" w:rsidR="004462A0" w:rsidRPr="008912CF" w:rsidRDefault="00615769" w:rsidP="00F675CF">
            <w:pPr>
              <w:pStyle w:val="EMEANormal"/>
              <w:widowControl w:val="0"/>
              <w:rPr>
                <w:del w:id="872" w:author="AbbVie2" w:date="2025-05-13T16:36:00Z"/>
                <w:szCs w:val="22"/>
                <w:lang w:val="pt-PT"/>
              </w:rPr>
            </w:pPr>
            <w:del w:id="873" w:author="AbbVie2" w:date="2025-05-13T16:36:00Z">
              <w:r>
                <w:rPr>
                  <w:szCs w:val="22"/>
                  <w:lang w:val="pt-PT"/>
                </w:rPr>
                <w:delText>I</w:delText>
              </w:r>
              <w:r w:rsidRPr="008912CF">
                <w:rPr>
                  <w:szCs w:val="22"/>
                  <w:lang w:val="pt-PT"/>
                </w:rPr>
                <w:delText>nfeções neurológicas (incluindo meningite viral),</w:delText>
              </w:r>
            </w:del>
          </w:p>
          <w:p w14:paraId="5FA93E37" w14:textId="34025030" w:rsidR="004462A0" w:rsidRPr="008912CF" w:rsidRDefault="00615769" w:rsidP="00F675CF">
            <w:pPr>
              <w:pStyle w:val="EMEANormal"/>
              <w:widowControl w:val="0"/>
              <w:rPr>
                <w:del w:id="874" w:author="AbbVie2" w:date="2025-05-13T16:36:00Z"/>
                <w:szCs w:val="22"/>
                <w:lang w:val="pt-PT"/>
              </w:rPr>
            </w:pPr>
            <w:del w:id="875" w:author="AbbVie2" w:date="2025-05-13T16:36:00Z">
              <w:r w:rsidRPr="008912CF">
                <w:rPr>
                  <w:szCs w:val="22"/>
                  <w:lang w:val="pt-PT"/>
                </w:rPr>
                <w:delText xml:space="preserve">infeções oportunistas e tuberculose (incluindo coccidioidomicose, histoplasmose e infeção a complexo mycobacterium avium), </w:delText>
              </w:r>
            </w:del>
          </w:p>
          <w:p w14:paraId="7AC4BCD6" w14:textId="22C6084A" w:rsidR="004462A0" w:rsidRPr="008912CF" w:rsidRDefault="00615769" w:rsidP="00F675CF">
            <w:pPr>
              <w:pStyle w:val="EMEANormal"/>
              <w:widowControl w:val="0"/>
              <w:rPr>
                <w:del w:id="876" w:author="AbbVie2" w:date="2025-05-13T16:36:00Z"/>
                <w:szCs w:val="22"/>
                <w:lang w:val="pt-PT"/>
              </w:rPr>
            </w:pPr>
            <w:del w:id="877" w:author="AbbVie2" w:date="2025-05-13T16:36:00Z">
              <w:r w:rsidRPr="008912CF">
                <w:rPr>
                  <w:szCs w:val="22"/>
                  <w:lang w:val="pt-PT"/>
                </w:rPr>
                <w:delText>infeções bacterianas,</w:delText>
              </w:r>
            </w:del>
          </w:p>
          <w:p w14:paraId="688D5D6B" w14:textId="786673D1" w:rsidR="004462A0" w:rsidRPr="008912CF" w:rsidRDefault="00615769" w:rsidP="00F675CF">
            <w:pPr>
              <w:pStyle w:val="EMEANormal"/>
              <w:widowControl w:val="0"/>
              <w:rPr>
                <w:del w:id="878" w:author="AbbVie2" w:date="2025-05-13T16:36:00Z"/>
                <w:szCs w:val="22"/>
                <w:lang w:val="pt-PT"/>
              </w:rPr>
            </w:pPr>
            <w:del w:id="879" w:author="AbbVie2" w:date="2025-05-13T16:36:00Z">
              <w:r w:rsidRPr="008912CF">
                <w:rPr>
                  <w:szCs w:val="22"/>
                  <w:lang w:val="pt-PT"/>
                </w:rPr>
                <w:delText>infeções oculares,</w:delText>
              </w:r>
            </w:del>
          </w:p>
          <w:p w14:paraId="1245BF7F" w14:textId="57473723" w:rsidR="004462A0" w:rsidRPr="008912CF" w:rsidRDefault="00615769" w:rsidP="00F675CF">
            <w:pPr>
              <w:pStyle w:val="EMEANormal"/>
              <w:widowControl w:val="0"/>
              <w:rPr>
                <w:del w:id="880" w:author="AbbVie2" w:date="2025-05-13T16:36:00Z"/>
                <w:szCs w:val="22"/>
                <w:vertAlign w:val="superscript"/>
                <w:lang w:val="pt-PT"/>
              </w:rPr>
            </w:pPr>
            <w:del w:id="881" w:author="AbbVie2" w:date="2025-05-13T16:36:00Z">
              <w:r w:rsidRPr="008912CF">
                <w:rPr>
                  <w:szCs w:val="22"/>
                  <w:lang w:val="pt-PT"/>
                </w:rPr>
                <w:delText>diverticulite</w:delText>
              </w:r>
              <w:r w:rsidRPr="008912CF">
                <w:rPr>
                  <w:szCs w:val="22"/>
                  <w:vertAlign w:val="superscript"/>
                  <w:lang w:val="pt-PT"/>
                </w:rPr>
                <w:delText>1)</w:delText>
              </w:r>
            </w:del>
          </w:p>
          <w:p w14:paraId="18D014A6" w14:textId="621B0B4F" w:rsidR="004462A0" w:rsidRPr="008912CF" w:rsidRDefault="004462A0" w:rsidP="00F675CF">
            <w:pPr>
              <w:pStyle w:val="EMEANormal"/>
              <w:widowControl w:val="0"/>
              <w:rPr>
                <w:del w:id="882" w:author="AbbVie2" w:date="2025-05-13T16:36:00Z"/>
                <w:szCs w:val="22"/>
                <w:lang w:val="pt-PT"/>
              </w:rPr>
            </w:pPr>
          </w:p>
        </w:tc>
      </w:tr>
      <w:tr w:rsidR="00A7162A" w14:paraId="05547AC4" w14:textId="38723335" w:rsidTr="00F675CF">
        <w:trPr>
          <w:del w:id="883" w:author="AbbVie2" w:date="2025-05-13T16:36:00Z"/>
        </w:trPr>
        <w:tc>
          <w:tcPr>
            <w:tcW w:w="2514" w:type="dxa"/>
            <w:vMerge w:val="restart"/>
          </w:tcPr>
          <w:p w14:paraId="15647BB0" w14:textId="4CF0DD0A" w:rsidR="004462A0" w:rsidRPr="008912CF" w:rsidRDefault="00615769" w:rsidP="00B538F3">
            <w:pPr>
              <w:widowControl w:val="0"/>
              <w:spacing w:before="60"/>
              <w:rPr>
                <w:del w:id="884" w:author="AbbVie2" w:date="2025-05-13T16:36:00Z"/>
                <w:b/>
              </w:rPr>
            </w:pPr>
            <w:del w:id="885" w:author="AbbVie2" w:date="2025-05-13T16:36:00Z">
              <w:r w:rsidRPr="008912CF">
                <w:rPr>
                  <w:sz w:val="22"/>
                  <w:szCs w:val="22"/>
                </w:rPr>
                <w:delText>Neoplasias benignas, malignas e não especificadas (incluindo quistos e pólipos)*</w:delText>
              </w:r>
            </w:del>
          </w:p>
        </w:tc>
        <w:tc>
          <w:tcPr>
            <w:tcW w:w="1996" w:type="dxa"/>
            <w:tcBorders>
              <w:bottom w:val="nil"/>
            </w:tcBorders>
          </w:tcPr>
          <w:p w14:paraId="4AE9D1B3" w14:textId="2E36C020" w:rsidR="004462A0" w:rsidRPr="008912CF" w:rsidRDefault="00615769" w:rsidP="00B538F3">
            <w:pPr>
              <w:pStyle w:val="EMEANormal"/>
              <w:widowControl w:val="0"/>
              <w:spacing w:before="60"/>
              <w:rPr>
                <w:del w:id="886" w:author="AbbVie2" w:date="2025-05-13T16:36:00Z"/>
                <w:szCs w:val="22"/>
                <w:lang w:val="pt-PT"/>
              </w:rPr>
            </w:pPr>
            <w:del w:id="887" w:author="AbbVie2" w:date="2025-05-13T16:36:00Z">
              <w:r w:rsidRPr="008912CF">
                <w:rPr>
                  <w:szCs w:val="22"/>
                  <w:lang w:val="pt-PT"/>
                </w:rPr>
                <w:delText xml:space="preserve">Frequentes </w:delText>
              </w:r>
            </w:del>
          </w:p>
        </w:tc>
        <w:tc>
          <w:tcPr>
            <w:tcW w:w="4346" w:type="dxa"/>
            <w:tcBorders>
              <w:bottom w:val="nil"/>
            </w:tcBorders>
          </w:tcPr>
          <w:p w14:paraId="071EAACE" w14:textId="601B54B7" w:rsidR="004462A0" w:rsidRPr="008912CF" w:rsidRDefault="00615769" w:rsidP="00B538F3">
            <w:pPr>
              <w:pStyle w:val="EMEANormal"/>
              <w:widowControl w:val="0"/>
              <w:spacing w:before="60"/>
              <w:rPr>
                <w:del w:id="888" w:author="AbbVie2" w:date="2025-05-13T16:36:00Z"/>
                <w:szCs w:val="22"/>
                <w:lang w:val="pt-PT"/>
              </w:rPr>
            </w:pPr>
            <w:del w:id="889" w:author="AbbVie2" w:date="2025-05-13T16:36:00Z">
              <w:r>
                <w:rPr>
                  <w:szCs w:val="22"/>
                  <w:lang w:val="pt-PT"/>
                </w:rPr>
                <w:delText>C</w:delText>
              </w:r>
              <w:r w:rsidRPr="008912CF">
                <w:rPr>
                  <w:szCs w:val="22"/>
                  <w:lang w:val="pt-PT"/>
                </w:rPr>
                <w:delText>ancro de pele excluindo melanoma (incluindo carcinoma basocelular e carcinoma de células escamosas),</w:delText>
              </w:r>
            </w:del>
          </w:p>
          <w:p w14:paraId="3E8B4E18" w14:textId="4426EDD6" w:rsidR="004462A0" w:rsidRPr="008912CF" w:rsidRDefault="00615769" w:rsidP="00B538F3">
            <w:pPr>
              <w:pStyle w:val="EMEANormal"/>
              <w:widowControl w:val="0"/>
              <w:spacing w:before="60"/>
              <w:rPr>
                <w:del w:id="890" w:author="AbbVie2" w:date="2025-05-13T16:36:00Z"/>
                <w:szCs w:val="22"/>
                <w:lang w:val="pt-PT"/>
              </w:rPr>
            </w:pPr>
            <w:del w:id="891" w:author="AbbVie2" w:date="2025-05-13T16:36:00Z">
              <w:r w:rsidRPr="008912CF">
                <w:rPr>
                  <w:szCs w:val="22"/>
                  <w:lang w:val="pt-PT"/>
                </w:rPr>
                <w:delText>neoplasias benignas</w:delText>
              </w:r>
            </w:del>
          </w:p>
          <w:p w14:paraId="013FBD79" w14:textId="247F0868" w:rsidR="004462A0" w:rsidRPr="008912CF" w:rsidRDefault="004462A0" w:rsidP="00B538F3">
            <w:pPr>
              <w:pStyle w:val="EMEANormal"/>
              <w:widowControl w:val="0"/>
              <w:spacing w:before="60"/>
              <w:rPr>
                <w:del w:id="892" w:author="AbbVie2" w:date="2025-05-13T16:36:00Z"/>
                <w:szCs w:val="22"/>
                <w:lang w:val="pt-PT"/>
              </w:rPr>
            </w:pPr>
          </w:p>
        </w:tc>
      </w:tr>
      <w:tr w:rsidR="00A7162A" w14:paraId="2FE98502" w14:textId="6BA7CAD8" w:rsidTr="00F675CF">
        <w:trPr>
          <w:del w:id="893" w:author="AbbVie2" w:date="2025-05-13T16:36:00Z"/>
        </w:trPr>
        <w:tc>
          <w:tcPr>
            <w:tcW w:w="2514" w:type="dxa"/>
            <w:vMerge/>
          </w:tcPr>
          <w:p w14:paraId="14F66056" w14:textId="10233F4A" w:rsidR="004462A0" w:rsidRPr="008912CF" w:rsidRDefault="004462A0" w:rsidP="00B538F3">
            <w:pPr>
              <w:widowControl w:val="0"/>
              <w:spacing w:before="60"/>
              <w:jc w:val="center"/>
              <w:rPr>
                <w:del w:id="894" w:author="AbbVie2" w:date="2025-05-13T16:36:00Z"/>
                <w:b/>
              </w:rPr>
            </w:pPr>
          </w:p>
        </w:tc>
        <w:tc>
          <w:tcPr>
            <w:tcW w:w="1996" w:type="dxa"/>
            <w:tcBorders>
              <w:top w:val="nil"/>
              <w:bottom w:val="nil"/>
            </w:tcBorders>
          </w:tcPr>
          <w:p w14:paraId="4ADA8BE1" w14:textId="2E09E72A" w:rsidR="004462A0" w:rsidRPr="008912CF" w:rsidRDefault="00615769" w:rsidP="00B538F3">
            <w:pPr>
              <w:pStyle w:val="EMEANormal"/>
              <w:keepLines/>
              <w:widowControl w:val="0"/>
              <w:rPr>
                <w:del w:id="895" w:author="AbbVie2" w:date="2025-05-13T16:36:00Z"/>
                <w:szCs w:val="22"/>
                <w:lang w:val="pt-PT"/>
              </w:rPr>
            </w:pPr>
            <w:del w:id="896" w:author="AbbVie2" w:date="2025-05-13T16:36:00Z">
              <w:r w:rsidRPr="008912CF">
                <w:rPr>
                  <w:szCs w:val="22"/>
                  <w:lang w:val="pt-PT"/>
                </w:rPr>
                <w:delText>Pouco frequentes</w:delText>
              </w:r>
            </w:del>
          </w:p>
          <w:p w14:paraId="3D351FFF" w14:textId="4CF5F32D" w:rsidR="004462A0" w:rsidRPr="008912CF" w:rsidRDefault="004462A0" w:rsidP="00B538F3">
            <w:pPr>
              <w:pStyle w:val="EMEANormal"/>
              <w:keepLines/>
              <w:widowControl w:val="0"/>
              <w:rPr>
                <w:del w:id="897" w:author="AbbVie2" w:date="2025-05-13T16:36:00Z"/>
                <w:szCs w:val="22"/>
                <w:lang w:val="pt-PT"/>
              </w:rPr>
            </w:pPr>
          </w:p>
          <w:p w14:paraId="3A193CD9" w14:textId="127ED2AD" w:rsidR="004462A0" w:rsidRPr="008912CF" w:rsidRDefault="004462A0" w:rsidP="00B538F3">
            <w:pPr>
              <w:pStyle w:val="EMEANormal"/>
              <w:keepLines/>
              <w:widowControl w:val="0"/>
              <w:rPr>
                <w:del w:id="898" w:author="AbbVie2" w:date="2025-05-13T16:36:00Z"/>
                <w:szCs w:val="22"/>
                <w:lang w:val="pt-PT"/>
              </w:rPr>
            </w:pPr>
          </w:p>
          <w:p w14:paraId="7540280C" w14:textId="2664FBB5" w:rsidR="004462A0" w:rsidRPr="008912CF" w:rsidRDefault="004462A0" w:rsidP="00B538F3">
            <w:pPr>
              <w:pStyle w:val="EMEANormal"/>
              <w:keepLines/>
              <w:widowControl w:val="0"/>
              <w:rPr>
                <w:del w:id="899" w:author="AbbVie2" w:date="2025-05-13T16:36:00Z"/>
                <w:szCs w:val="22"/>
                <w:lang w:val="pt-PT"/>
              </w:rPr>
            </w:pPr>
          </w:p>
          <w:p w14:paraId="394D3EAF" w14:textId="0B1925D3" w:rsidR="004462A0" w:rsidRPr="008912CF" w:rsidRDefault="004462A0" w:rsidP="00B538F3">
            <w:pPr>
              <w:pStyle w:val="EMEANormal"/>
              <w:keepLines/>
              <w:widowControl w:val="0"/>
              <w:rPr>
                <w:del w:id="900" w:author="AbbVie2" w:date="2025-05-13T16:36:00Z"/>
                <w:szCs w:val="22"/>
                <w:lang w:val="pt-PT"/>
              </w:rPr>
            </w:pPr>
          </w:p>
        </w:tc>
        <w:tc>
          <w:tcPr>
            <w:tcW w:w="4346" w:type="dxa"/>
            <w:tcBorders>
              <w:top w:val="nil"/>
              <w:bottom w:val="nil"/>
            </w:tcBorders>
          </w:tcPr>
          <w:p w14:paraId="636A8FD2" w14:textId="50A22F11" w:rsidR="004462A0" w:rsidRPr="008912CF" w:rsidRDefault="00615769" w:rsidP="00B538F3">
            <w:pPr>
              <w:pStyle w:val="EMEANormal"/>
              <w:keepLines/>
              <w:widowControl w:val="0"/>
              <w:rPr>
                <w:del w:id="901" w:author="AbbVie2" w:date="2025-05-13T16:36:00Z"/>
                <w:szCs w:val="22"/>
                <w:lang w:val="pt-PT"/>
              </w:rPr>
            </w:pPr>
            <w:del w:id="902" w:author="AbbVie2" w:date="2025-05-13T16:36:00Z">
              <w:r>
                <w:rPr>
                  <w:szCs w:val="22"/>
                  <w:lang w:val="pt-PT"/>
                </w:rPr>
                <w:delText>L</w:delText>
              </w:r>
              <w:r w:rsidRPr="008912CF">
                <w:rPr>
                  <w:szCs w:val="22"/>
                  <w:lang w:val="pt-PT"/>
                </w:rPr>
                <w:delText>infoma**,</w:delText>
              </w:r>
            </w:del>
          </w:p>
          <w:p w14:paraId="0A1C59BD" w14:textId="0D82236B" w:rsidR="004462A0" w:rsidRPr="008912CF" w:rsidRDefault="00615769" w:rsidP="00B538F3">
            <w:pPr>
              <w:pStyle w:val="EMEANormal"/>
              <w:keepLines/>
              <w:widowControl w:val="0"/>
              <w:rPr>
                <w:del w:id="903" w:author="AbbVie2" w:date="2025-05-13T16:36:00Z"/>
                <w:szCs w:val="22"/>
                <w:lang w:val="pt-PT"/>
              </w:rPr>
            </w:pPr>
            <w:del w:id="904" w:author="AbbVie2" w:date="2025-05-13T16:36:00Z">
              <w:r w:rsidRPr="008912CF">
                <w:rPr>
                  <w:szCs w:val="22"/>
                  <w:lang w:val="pt-PT"/>
                </w:rPr>
                <w:delText>neoplasias dos órgãos sólidos (incluindo cancro da mama, neoplasias do pulmão e tiroide),</w:delText>
              </w:r>
            </w:del>
          </w:p>
          <w:p w14:paraId="7CAB5118" w14:textId="05B600A7" w:rsidR="004462A0" w:rsidRPr="008912CF" w:rsidRDefault="00615769" w:rsidP="00B538F3">
            <w:pPr>
              <w:pStyle w:val="EMEANormal"/>
              <w:keepLines/>
              <w:widowControl w:val="0"/>
              <w:rPr>
                <w:del w:id="905" w:author="AbbVie2" w:date="2025-05-13T16:36:00Z"/>
                <w:szCs w:val="22"/>
                <w:lang w:val="pt-PT"/>
              </w:rPr>
            </w:pPr>
            <w:del w:id="906" w:author="AbbVie2" w:date="2025-05-13T16:36:00Z">
              <w:r w:rsidRPr="008912CF">
                <w:rPr>
                  <w:szCs w:val="22"/>
                  <w:lang w:val="pt-PT"/>
                </w:rPr>
                <w:delText>melanoma**</w:delText>
              </w:r>
            </w:del>
          </w:p>
          <w:p w14:paraId="5352F0B7" w14:textId="3243BC9E" w:rsidR="004462A0" w:rsidRPr="008912CF" w:rsidRDefault="004462A0" w:rsidP="00B538F3">
            <w:pPr>
              <w:pStyle w:val="EMEANormal"/>
              <w:keepLines/>
              <w:widowControl w:val="0"/>
              <w:rPr>
                <w:del w:id="907" w:author="AbbVie2" w:date="2025-05-13T16:36:00Z"/>
                <w:szCs w:val="22"/>
                <w:lang w:val="pt-PT"/>
              </w:rPr>
            </w:pPr>
          </w:p>
        </w:tc>
      </w:tr>
      <w:tr w:rsidR="00A7162A" w14:paraId="5769F094" w14:textId="60D1960F" w:rsidTr="00F675CF">
        <w:trPr>
          <w:del w:id="908" w:author="AbbVie2" w:date="2025-05-13T16:36:00Z"/>
        </w:trPr>
        <w:tc>
          <w:tcPr>
            <w:tcW w:w="2514" w:type="dxa"/>
            <w:vMerge/>
          </w:tcPr>
          <w:p w14:paraId="2CA0601D" w14:textId="1F1DAB52" w:rsidR="004462A0" w:rsidRPr="008912CF" w:rsidRDefault="004462A0" w:rsidP="00B538F3">
            <w:pPr>
              <w:widowControl w:val="0"/>
              <w:spacing w:before="60"/>
              <w:jc w:val="center"/>
              <w:rPr>
                <w:del w:id="909" w:author="AbbVie2" w:date="2025-05-13T16:36:00Z"/>
                <w:b/>
              </w:rPr>
            </w:pPr>
          </w:p>
        </w:tc>
        <w:tc>
          <w:tcPr>
            <w:tcW w:w="1996" w:type="dxa"/>
            <w:tcBorders>
              <w:top w:val="nil"/>
              <w:bottom w:val="nil"/>
            </w:tcBorders>
          </w:tcPr>
          <w:p w14:paraId="1F940FD4" w14:textId="1365ACD3" w:rsidR="004462A0" w:rsidRPr="008912CF" w:rsidRDefault="00615769" w:rsidP="00B538F3">
            <w:pPr>
              <w:pStyle w:val="EMEANormal"/>
              <w:widowControl w:val="0"/>
              <w:rPr>
                <w:del w:id="910" w:author="AbbVie2" w:date="2025-05-13T16:36:00Z"/>
                <w:szCs w:val="22"/>
                <w:lang w:val="pt-PT"/>
              </w:rPr>
            </w:pPr>
            <w:del w:id="911" w:author="AbbVie2" w:date="2025-05-13T16:36:00Z">
              <w:r w:rsidRPr="008912CF">
                <w:rPr>
                  <w:szCs w:val="22"/>
                  <w:lang w:val="pt-PT"/>
                </w:rPr>
                <w:delText>Raros</w:delText>
              </w:r>
            </w:del>
          </w:p>
        </w:tc>
        <w:tc>
          <w:tcPr>
            <w:tcW w:w="4346" w:type="dxa"/>
            <w:tcBorders>
              <w:top w:val="nil"/>
              <w:bottom w:val="nil"/>
            </w:tcBorders>
          </w:tcPr>
          <w:p w14:paraId="0E3002F3" w14:textId="165532D7" w:rsidR="004462A0" w:rsidRPr="008912CF" w:rsidRDefault="00615769" w:rsidP="00B538F3">
            <w:pPr>
              <w:pStyle w:val="EMEANormal"/>
              <w:rPr>
                <w:del w:id="912" w:author="AbbVie2" w:date="2025-05-13T16:36:00Z"/>
                <w:szCs w:val="22"/>
                <w:vertAlign w:val="superscript"/>
                <w:lang w:val="pt-PT"/>
              </w:rPr>
            </w:pPr>
            <w:del w:id="913" w:author="AbbVie2" w:date="2025-05-13T16:36:00Z">
              <w:r>
                <w:rPr>
                  <w:szCs w:val="22"/>
                  <w:lang w:val="pt-PT"/>
                </w:rPr>
                <w:delText>L</w:delText>
              </w:r>
              <w:r w:rsidRPr="008912CF">
                <w:rPr>
                  <w:szCs w:val="22"/>
                  <w:lang w:val="pt-PT"/>
                </w:rPr>
                <w:delText>eucemia</w:delText>
              </w:r>
              <w:r w:rsidRPr="008912CF">
                <w:rPr>
                  <w:szCs w:val="22"/>
                  <w:vertAlign w:val="superscript"/>
                  <w:lang w:val="pt-PT"/>
                </w:rPr>
                <w:delText>1)</w:delText>
              </w:r>
            </w:del>
          </w:p>
          <w:p w14:paraId="62EDC9F7" w14:textId="5D8C0CBD" w:rsidR="004462A0" w:rsidRPr="008912CF" w:rsidRDefault="004462A0" w:rsidP="00B538F3">
            <w:pPr>
              <w:pStyle w:val="EMEANormal"/>
              <w:rPr>
                <w:del w:id="914" w:author="AbbVie2" w:date="2025-05-13T16:36:00Z"/>
                <w:szCs w:val="22"/>
                <w:lang w:val="pt-PT"/>
              </w:rPr>
            </w:pPr>
          </w:p>
        </w:tc>
      </w:tr>
      <w:tr w:rsidR="00A7162A" w14:paraId="00B4CDAD" w14:textId="0D56B6D6" w:rsidTr="00F675CF">
        <w:trPr>
          <w:del w:id="915" w:author="AbbVie2" w:date="2025-05-13T16:36:00Z"/>
        </w:trPr>
        <w:tc>
          <w:tcPr>
            <w:tcW w:w="2514" w:type="dxa"/>
            <w:vMerge/>
          </w:tcPr>
          <w:p w14:paraId="163F5488" w14:textId="6376B0C3" w:rsidR="004462A0" w:rsidRPr="008912CF" w:rsidRDefault="004462A0" w:rsidP="00B538F3">
            <w:pPr>
              <w:widowControl w:val="0"/>
              <w:spacing w:before="60"/>
              <w:jc w:val="center"/>
              <w:rPr>
                <w:del w:id="916" w:author="AbbVie2" w:date="2025-05-13T16:36:00Z"/>
                <w:b/>
              </w:rPr>
            </w:pPr>
          </w:p>
        </w:tc>
        <w:tc>
          <w:tcPr>
            <w:tcW w:w="1996" w:type="dxa"/>
            <w:tcBorders>
              <w:top w:val="nil"/>
            </w:tcBorders>
          </w:tcPr>
          <w:p w14:paraId="169A9510" w14:textId="435D9ACD" w:rsidR="004462A0" w:rsidRPr="008912CF" w:rsidRDefault="00615769" w:rsidP="00B538F3">
            <w:pPr>
              <w:pStyle w:val="EMEANormal"/>
              <w:widowControl w:val="0"/>
              <w:rPr>
                <w:del w:id="917" w:author="AbbVie2" w:date="2025-05-13T16:36:00Z"/>
                <w:szCs w:val="22"/>
                <w:lang w:val="pt-PT"/>
              </w:rPr>
            </w:pPr>
            <w:del w:id="918" w:author="AbbVie2" w:date="2025-05-13T16:36:00Z">
              <w:r w:rsidRPr="008912CF">
                <w:rPr>
                  <w:szCs w:val="22"/>
                  <w:lang w:val="pt-PT"/>
                </w:rPr>
                <w:delText>Desconhecido</w:delText>
              </w:r>
            </w:del>
          </w:p>
        </w:tc>
        <w:tc>
          <w:tcPr>
            <w:tcW w:w="4346" w:type="dxa"/>
            <w:tcBorders>
              <w:top w:val="nil"/>
            </w:tcBorders>
          </w:tcPr>
          <w:p w14:paraId="43554E5F" w14:textId="39728039" w:rsidR="004462A0" w:rsidRPr="00381888" w:rsidRDefault="00615769" w:rsidP="00B538F3">
            <w:pPr>
              <w:pStyle w:val="EMEANormal"/>
              <w:rPr>
                <w:del w:id="919" w:author="AbbVie2" w:date="2025-05-13T16:36:00Z"/>
                <w:szCs w:val="22"/>
                <w:lang w:val="pt-PT"/>
              </w:rPr>
            </w:pPr>
            <w:del w:id="920" w:author="AbbVie2" w:date="2025-05-13T16:36:00Z">
              <w:r>
                <w:rPr>
                  <w:szCs w:val="22"/>
                  <w:lang w:val="pt-PT"/>
                </w:rPr>
                <w:delText>L</w:delText>
              </w:r>
              <w:r w:rsidRPr="008912CF">
                <w:rPr>
                  <w:szCs w:val="22"/>
                  <w:lang w:val="pt-PT"/>
                </w:rPr>
                <w:delText>infoma hepatoesplénico de células T</w:delText>
              </w:r>
              <w:r w:rsidRPr="008912CF">
                <w:rPr>
                  <w:szCs w:val="22"/>
                  <w:vertAlign w:val="superscript"/>
                  <w:lang w:val="pt-PT"/>
                </w:rPr>
                <w:delText>1)</w:delText>
              </w:r>
              <w:r w:rsidR="00D57D99">
                <w:rPr>
                  <w:szCs w:val="22"/>
                  <w:lang w:val="pt-PT"/>
                </w:rPr>
                <w:delText>,</w:delText>
              </w:r>
            </w:del>
          </w:p>
          <w:p w14:paraId="3AAC57E5" w14:textId="42352EF1" w:rsidR="004462A0" w:rsidRPr="008912CF" w:rsidRDefault="00615769" w:rsidP="00B538F3">
            <w:pPr>
              <w:pStyle w:val="EMEANormal"/>
              <w:rPr>
                <w:del w:id="921" w:author="AbbVie2" w:date="2025-05-13T16:36:00Z"/>
                <w:szCs w:val="22"/>
                <w:lang w:val="pt-PT"/>
              </w:rPr>
            </w:pPr>
            <w:del w:id="922" w:author="AbbVie2" w:date="2025-05-13T16:36:00Z">
              <w:r w:rsidRPr="008912CF">
                <w:rPr>
                  <w:szCs w:val="22"/>
                  <w:lang w:val="pt-PT"/>
                </w:rPr>
                <w:delText>carcinoma das células de Merkel (carcinoma neuroendócrino da pele)</w:delText>
              </w:r>
              <w:r w:rsidRPr="008912CF">
                <w:rPr>
                  <w:szCs w:val="22"/>
                  <w:vertAlign w:val="superscript"/>
                  <w:lang w:val="pt-PT"/>
                </w:rPr>
                <w:delText xml:space="preserve"> 1)</w:delText>
              </w:r>
              <w:r w:rsidR="00D57D99">
                <w:rPr>
                  <w:szCs w:val="22"/>
                  <w:lang w:val="pt-PT"/>
                </w:rPr>
                <w:delText>, sarcoma de Kaposi</w:delText>
              </w:r>
            </w:del>
          </w:p>
        </w:tc>
      </w:tr>
      <w:tr w:rsidR="00A7162A" w14:paraId="2513D5B7" w14:textId="3E1B8676" w:rsidTr="00F675CF">
        <w:trPr>
          <w:del w:id="923" w:author="AbbVie2" w:date="2025-05-13T16:36:00Z"/>
        </w:trPr>
        <w:tc>
          <w:tcPr>
            <w:tcW w:w="2514" w:type="dxa"/>
            <w:vMerge w:val="restart"/>
          </w:tcPr>
          <w:p w14:paraId="33432563" w14:textId="0950381B" w:rsidR="004462A0" w:rsidRPr="008912CF" w:rsidRDefault="00615769" w:rsidP="00F675CF">
            <w:pPr>
              <w:widowControl w:val="0"/>
              <w:spacing w:before="60"/>
              <w:rPr>
                <w:del w:id="924" w:author="AbbVie2" w:date="2025-05-13T16:36:00Z"/>
                <w:b/>
              </w:rPr>
            </w:pPr>
            <w:del w:id="925" w:author="AbbVie2" w:date="2025-05-13T16:36:00Z">
              <w:r w:rsidRPr="008912CF">
                <w:rPr>
                  <w:sz w:val="22"/>
                  <w:szCs w:val="22"/>
                </w:rPr>
                <w:delText>Doenças do sangue e do sistema linfático *</w:delText>
              </w:r>
            </w:del>
          </w:p>
        </w:tc>
        <w:tc>
          <w:tcPr>
            <w:tcW w:w="1996" w:type="dxa"/>
            <w:tcBorders>
              <w:bottom w:val="nil"/>
            </w:tcBorders>
          </w:tcPr>
          <w:p w14:paraId="31FE2201" w14:textId="3E3CD8CB" w:rsidR="004462A0" w:rsidRPr="008912CF" w:rsidRDefault="00615769" w:rsidP="00F675CF">
            <w:pPr>
              <w:pStyle w:val="EMEANormal"/>
              <w:widowControl w:val="0"/>
              <w:spacing w:before="60"/>
              <w:jc w:val="both"/>
              <w:rPr>
                <w:del w:id="926" w:author="AbbVie2" w:date="2025-05-13T16:36:00Z"/>
                <w:szCs w:val="22"/>
                <w:lang w:val="pt-PT"/>
              </w:rPr>
            </w:pPr>
            <w:del w:id="927" w:author="AbbVie2" w:date="2025-05-13T16:36:00Z">
              <w:r w:rsidRPr="008912CF">
                <w:rPr>
                  <w:szCs w:val="22"/>
                  <w:lang w:val="pt-PT"/>
                </w:rPr>
                <w:delText>Muito frequentes</w:delText>
              </w:r>
            </w:del>
          </w:p>
        </w:tc>
        <w:tc>
          <w:tcPr>
            <w:tcW w:w="4346" w:type="dxa"/>
            <w:tcBorders>
              <w:bottom w:val="nil"/>
            </w:tcBorders>
          </w:tcPr>
          <w:p w14:paraId="7D6B59F0" w14:textId="55574AD7" w:rsidR="004462A0" w:rsidRPr="008912CF" w:rsidRDefault="00615769" w:rsidP="00F675CF">
            <w:pPr>
              <w:widowControl w:val="0"/>
              <w:spacing w:before="60"/>
              <w:rPr>
                <w:del w:id="928" w:author="AbbVie2" w:date="2025-05-13T16:36:00Z"/>
              </w:rPr>
            </w:pPr>
            <w:del w:id="929" w:author="AbbVie2" w:date="2025-05-13T16:36:00Z">
              <w:r>
                <w:rPr>
                  <w:sz w:val="22"/>
                  <w:szCs w:val="22"/>
                </w:rPr>
                <w:delText>L</w:delText>
              </w:r>
              <w:r w:rsidRPr="008912CF">
                <w:rPr>
                  <w:sz w:val="22"/>
                  <w:szCs w:val="22"/>
                </w:rPr>
                <w:delText xml:space="preserve">eucopenia (incluindo neutropenia e agranulocitose), </w:delText>
              </w:r>
            </w:del>
          </w:p>
          <w:p w14:paraId="1A663F05" w14:textId="566C23A0" w:rsidR="004462A0" w:rsidRPr="008912CF" w:rsidRDefault="00615769" w:rsidP="00F675CF">
            <w:pPr>
              <w:widowControl w:val="0"/>
              <w:spacing w:before="60"/>
              <w:rPr>
                <w:del w:id="930" w:author="AbbVie2" w:date="2025-05-13T16:36:00Z"/>
              </w:rPr>
            </w:pPr>
            <w:del w:id="931" w:author="AbbVie2" w:date="2025-05-13T16:36:00Z">
              <w:r w:rsidRPr="008912CF">
                <w:rPr>
                  <w:sz w:val="22"/>
                  <w:szCs w:val="22"/>
                </w:rPr>
                <w:delText>anemia</w:delText>
              </w:r>
            </w:del>
          </w:p>
          <w:p w14:paraId="5F8C5132" w14:textId="0D9F94C8" w:rsidR="004462A0" w:rsidRPr="008912CF" w:rsidRDefault="004462A0" w:rsidP="00F675CF">
            <w:pPr>
              <w:widowControl w:val="0"/>
              <w:spacing w:before="60"/>
              <w:rPr>
                <w:del w:id="932" w:author="AbbVie2" w:date="2025-05-13T16:36:00Z"/>
                <w:b/>
              </w:rPr>
            </w:pPr>
          </w:p>
        </w:tc>
      </w:tr>
      <w:tr w:rsidR="00A7162A" w14:paraId="376A77CA" w14:textId="654A2A9C" w:rsidTr="00F675CF">
        <w:trPr>
          <w:del w:id="933" w:author="AbbVie2" w:date="2025-05-13T16:36:00Z"/>
        </w:trPr>
        <w:tc>
          <w:tcPr>
            <w:tcW w:w="2514" w:type="dxa"/>
            <w:vMerge/>
          </w:tcPr>
          <w:p w14:paraId="04FA8C33" w14:textId="4102337C" w:rsidR="004462A0" w:rsidRPr="008912CF" w:rsidRDefault="004462A0" w:rsidP="00F675CF">
            <w:pPr>
              <w:widowControl w:val="0"/>
              <w:spacing w:before="144"/>
              <w:jc w:val="center"/>
              <w:rPr>
                <w:del w:id="934" w:author="AbbVie2" w:date="2025-05-13T16:36:00Z"/>
                <w:b/>
              </w:rPr>
            </w:pPr>
          </w:p>
        </w:tc>
        <w:tc>
          <w:tcPr>
            <w:tcW w:w="1996" w:type="dxa"/>
            <w:tcBorders>
              <w:top w:val="nil"/>
              <w:bottom w:val="nil"/>
            </w:tcBorders>
          </w:tcPr>
          <w:p w14:paraId="1AE13548" w14:textId="572C58B0" w:rsidR="004462A0" w:rsidRPr="008912CF" w:rsidRDefault="00615769" w:rsidP="00F675CF">
            <w:pPr>
              <w:pStyle w:val="EMEANormal"/>
              <w:widowControl w:val="0"/>
              <w:jc w:val="both"/>
              <w:rPr>
                <w:del w:id="935" w:author="AbbVie2" w:date="2025-05-13T16:36:00Z"/>
                <w:szCs w:val="22"/>
                <w:lang w:val="pt-PT"/>
              </w:rPr>
            </w:pPr>
            <w:del w:id="936" w:author="AbbVie2" w:date="2025-05-13T16:36:00Z">
              <w:r w:rsidRPr="008912CF">
                <w:rPr>
                  <w:szCs w:val="22"/>
                  <w:lang w:val="pt-PT"/>
                </w:rPr>
                <w:delText>Frequentes</w:delText>
              </w:r>
            </w:del>
          </w:p>
        </w:tc>
        <w:tc>
          <w:tcPr>
            <w:tcW w:w="4346" w:type="dxa"/>
            <w:tcBorders>
              <w:top w:val="nil"/>
              <w:bottom w:val="nil"/>
            </w:tcBorders>
          </w:tcPr>
          <w:p w14:paraId="4CC5B9D6" w14:textId="276E4999" w:rsidR="004462A0" w:rsidRPr="008912CF" w:rsidRDefault="00615769" w:rsidP="00F675CF">
            <w:pPr>
              <w:widowControl w:val="0"/>
              <w:rPr>
                <w:del w:id="937" w:author="AbbVie2" w:date="2025-05-13T16:36:00Z"/>
              </w:rPr>
            </w:pPr>
            <w:del w:id="938" w:author="AbbVie2" w:date="2025-05-13T16:36:00Z">
              <w:r>
                <w:rPr>
                  <w:sz w:val="22"/>
                  <w:szCs w:val="22"/>
                </w:rPr>
                <w:delText>L</w:delText>
              </w:r>
              <w:r w:rsidRPr="008912CF">
                <w:rPr>
                  <w:sz w:val="22"/>
                  <w:szCs w:val="22"/>
                </w:rPr>
                <w:delText>eucocitose,</w:delText>
              </w:r>
            </w:del>
          </w:p>
          <w:p w14:paraId="587726CD" w14:textId="19DE7990" w:rsidR="004462A0" w:rsidRPr="008912CF" w:rsidRDefault="00615769" w:rsidP="00F675CF">
            <w:pPr>
              <w:widowControl w:val="0"/>
              <w:rPr>
                <w:del w:id="939" w:author="AbbVie2" w:date="2025-05-13T16:36:00Z"/>
              </w:rPr>
            </w:pPr>
            <w:del w:id="940" w:author="AbbVie2" w:date="2025-05-13T16:36:00Z">
              <w:r w:rsidRPr="008912CF">
                <w:rPr>
                  <w:sz w:val="22"/>
                  <w:szCs w:val="22"/>
                </w:rPr>
                <w:delText>trombocitopenia</w:delText>
              </w:r>
            </w:del>
          </w:p>
          <w:p w14:paraId="6E185B10" w14:textId="06EA4AF4" w:rsidR="004462A0" w:rsidRPr="008912CF" w:rsidRDefault="004462A0" w:rsidP="00F675CF">
            <w:pPr>
              <w:widowControl w:val="0"/>
              <w:rPr>
                <w:del w:id="941" w:author="AbbVie2" w:date="2025-05-13T16:36:00Z"/>
              </w:rPr>
            </w:pPr>
          </w:p>
        </w:tc>
      </w:tr>
      <w:tr w:rsidR="00A7162A" w14:paraId="595F7B5A" w14:textId="28B528C4" w:rsidTr="00F675CF">
        <w:trPr>
          <w:del w:id="942" w:author="AbbVie2" w:date="2025-05-13T16:36:00Z"/>
        </w:trPr>
        <w:tc>
          <w:tcPr>
            <w:tcW w:w="2514" w:type="dxa"/>
            <w:vMerge/>
          </w:tcPr>
          <w:p w14:paraId="0A824758" w14:textId="695196CF" w:rsidR="004462A0" w:rsidRPr="008912CF" w:rsidRDefault="004462A0" w:rsidP="00F675CF">
            <w:pPr>
              <w:widowControl w:val="0"/>
              <w:spacing w:before="144"/>
              <w:jc w:val="center"/>
              <w:rPr>
                <w:del w:id="943" w:author="AbbVie2" w:date="2025-05-13T16:36:00Z"/>
                <w:b/>
              </w:rPr>
            </w:pPr>
          </w:p>
        </w:tc>
        <w:tc>
          <w:tcPr>
            <w:tcW w:w="1996" w:type="dxa"/>
            <w:tcBorders>
              <w:top w:val="nil"/>
              <w:bottom w:val="nil"/>
            </w:tcBorders>
          </w:tcPr>
          <w:p w14:paraId="42F7AEF8" w14:textId="5704365A" w:rsidR="004462A0" w:rsidRPr="008912CF" w:rsidRDefault="00615769" w:rsidP="00F675CF">
            <w:pPr>
              <w:pStyle w:val="EMEANormal"/>
              <w:widowControl w:val="0"/>
              <w:jc w:val="both"/>
              <w:rPr>
                <w:del w:id="944" w:author="AbbVie2" w:date="2025-05-13T16:36:00Z"/>
                <w:szCs w:val="22"/>
                <w:lang w:val="pt-PT"/>
              </w:rPr>
            </w:pPr>
            <w:del w:id="945" w:author="AbbVie2" w:date="2025-05-13T16:36:00Z">
              <w:r w:rsidRPr="008912CF">
                <w:rPr>
                  <w:szCs w:val="22"/>
                  <w:lang w:val="pt-PT"/>
                </w:rPr>
                <w:delText>Pouco frequentes</w:delText>
              </w:r>
            </w:del>
          </w:p>
          <w:p w14:paraId="33003C2F" w14:textId="57A5F954" w:rsidR="004462A0" w:rsidRPr="008912CF" w:rsidRDefault="004462A0" w:rsidP="00F675CF">
            <w:pPr>
              <w:pStyle w:val="EMEANormal"/>
              <w:widowControl w:val="0"/>
              <w:jc w:val="both"/>
              <w:rPr>
                <w:del w:id="946" w:author="AbbVie2" w:date="2025-05-13T16:36:00Z"/>
                <w:szCs w:val="22"/>
                <w:lang w:val="pt-PT"/>
              </w:rPr>
            </w:pPr>
          </w:p>
        </w:tc>
        <w:tc>
          <w:tcPr>
            <w:tcW w:w="4346" w:type="dxa"/>
            <w:tcBorders>
              <w:top w:val="nil"/>
              <w:bottom w:val="nil"/>
            </w:tcBorders>
          </w:tcPr>
          <w:p w14:paraId="2B11939E" w14:textId="7942ADEC" w:rsidR="004462A0" w:rsidRPr="008912CF" w:rsidRDefault="00615769" w:rsidP="00F675CF">
            <w:pPr>
              <w:widowControl w:val="0"/>
              <w:rPr>
                <w:del w:id="947" w:author="AbbVie2" w:date="2025-05-13T16:36:00Z"/>
              </w:rPr>
            </w:pPr>
            <w:del w:id="948" w:author="AbbVie2" w:date="2025-05-13T16:36:00Z">
              <w:r>
                <w:rPr>
                  <w:sz w:val="22"/>
                  <w:szCs w:val="22"/>
                </w:rPr>
                <w:delText>P</w:delText>
              </w:r>
              <w:r w:rsidRPr="008912CF">
                <w:rPr>
                  <w:sz w:val="22"/>
                  <w:szCs w:val="22"/>
                </w:rPr>
                <w:delText>úrpura trombocitop</w:delText>
              </w:r>
              <w:r w:rsidR="00771456">
                <w:rPr>
                  <w:sz w:val="22"/>
                  <w:szCs w:val="22"/>
                </w:rPr>
                <w:delText>é</w:delText>
              </w:r>
              <w:r w:rsidRPr="008912CF">
                <w:rPr>
                  <w:sz w:val="22"/>
                  <w:szCs w:val="22"/>
                </w:rPr>
                <w:delText>nica idiopática</w:delText>
              </w:r>
            </w:del>
          </w:p>
          <w:p w14:paraId="5C58E53F" w14:textId="0E172362" w:rsidR="004462A0" w:rsidRPr="008912CF" w:rsidRDefault="004462A0" w:rsidP="00F675CF">
            <w:pPr>
              <w:widowControl w:val="0"/>
              <w:rPr>
                <w:del w:id="949" w:author="AbbVie2" w:date="2025-05-13T16:36:00Z"/>
              </w:rPr>
            </w:pPr>
          </w:p>
        </w:tc>
      </w:tr>
      <w:tr w:rsidR="00A7162A" w14:paraId="220AC9AB" w14:textId="5691CF29" w:rsidTr="00F675CF">
        <w:trPr>
          <w:del w:id="950" w:author="AbbVie2" w:date="2025-05-13T16:36:00Z"/>
        </w:trPr>
        <w:tc>
          <w:tcPr>
            <w:tcW w:w="2514" w:type="dxa"/>
            <w:vMerge/>
          </w:tcPr>
          <w:p w14:paraId="3F0C00E4" w14:textId="48E9A997" w:rsidR="004462A0" w:rsidRPr="008912CF" w:rsidRDefault="004462A0" w:rsidP="00F675CF">
            <w:pPr>
              <w:widowControl w:val="0"/>
              <w:spacing w:before="144"/>
              <w:jc w:val="center"/>
              <w:rPr>
                <w:del w:id="951" w:author="AbbVie2" w:date="2025-05-13T16:36:00Z"/>
                <w:b/>
              </w:rPr>
            </w:pPr>
          </w:p>
        </w:tc>
        <w:tc>
          <w:tcPr>
            <w:tcW w:w="1996" w:type="dxa"/>
            <w:tcBorders>
              <w:top w:val="nil"/>
            </w:tcBorders>
          </w:tcPr>
          <w:p w14:paraId="4A8AF276" w14:textId="12FFC5BC" w:rsidR="004462A0" w:rsidRPr="008912CF" w:rsidRDefault="00615769" w:rsidP="00F675CF">
            <w:pPr>
              <w:pStyle w:val="EMEANormal"/>
              <w:widowControl w:val="0"/>
              <w:jc w:val="both"/>
              <w:rPr>
                <w:del w:id="952" w:author="AbbVie2" w:date="2025-05-13T16:36:00Z"/>
                <w:szCs w:val="22"/>
                <w:lang w:val="pt-PT"/>
              </w:rPr>
            </w:pPr>
            <w:del w:id="953" w:author="AbbVie2" w:date="2025-05-13T16:36:00Z">
              <w:r w:rsidRPr="008912CF">
                <w:rPr>
                  <w:szCs w:val="22"/>
                  <w:lang w:val="pt-PT"/>
                </w:rPr>
                <w:delText>Raros</w:delText>
              </w:r>
            </w:del>
          </w:p>
        </w:tc>
        <w:tc>
          <w:tcPr>
            <w:tcW w:w="4346" w:type="dxa"/>
            <w:tcBorders>
              <w:top w:val="nil"/>
            </w:tcBorders>
          </w:tcPr>
          <w:p w14:paraId="4F846538" w14:textId="02F9F2A0" w:rsidR="004462A0" w:rsidRPr="008912CF" w:rsidRDefault="00615769" w:rsidP="00F675CF">
            <w:pPr>
              <w:widowControl w:val="0"/>
              <w:rPr>
                <w:del w:id="954" w:author="AbbVie2" w:date="2025-05-13T16:36:00Z"/>
              </w:rPr>
            </w:pPr>
            <w:del w:id="955" w:author="AbbVie2" w:date="2025-05-13T16:36:00Z">
              <w:r>
                <w:rPr>
                  <w:sz w:val="22"/>
                  <w:szCs w:val="22"/>
                </w:rPr>
                <w:delText>P</w:delText>
              </w:r>
              <w:r w:rsidRPr="008912CF">
                <w:rPr>
                  <w:sz w:val="22"/>
                  <w:szCs w:val="22"/>
                </w:rPr>
                <w:delText>ancitopenia</w:delText>
              </w:r>
            </w:del>
          </w:p>
          <w:p w14:paraId="252BF2B5" w14:textId="49DDA1B7" w:rsidR="004462A0" w:rsidRPr="008912CF" w:rsidRDefault="004462A0" w:rsidP="00F675CF">
            <w:pPr>
              <w:widowControl w:val="0"/>
              <w:rPr>
                <w:del w:id="956" w:author="AbbVie2" w:date="2025-05-13T16:36:00Z"/>
              </w:rPr>
            </w:pPr>
          </w:p>
        </w:tc>
      </w:tr>
      <w:tr w:rsidR="00A7162A" w14:paraId="31E1097B" w14:textId="26CCFBE3" w:rsidTr="00F675CF">
        <w:trPr>
          <w:del w:id="957" w:author="AbbVie2" w:date="2025-05-13T16:36:00Z"/>
        </w:trPr>
        <w:tc>
          <w:tcPr>
            <w:tcW w:w="2514" w:type="dxa"/>
            <w:vMerge w:val="restart"/>
          </w:tcPr>
          <w:p w14:paraId="12E77CA4" w14:textId="03BE98AD" w:rsidR="004462A0" w:rsidRPr="008912CF" w:rsidRDefault="00615769" w:rsidP="00F675CF">
            <w:pPr>
              <w:pStyle w:val="EndnoteText"/>
              <w:widowControl w:val="0"/>
              <w:spacing w:before="60"/>
              <w:rPr>
                <w:del w:id="958" w:author="AbbVie2" w:date="2025-05-13T16:36:00Z"/>
                <w:szCs w:val="22"/>
              </w:rPr>
            </w:pPr>
            <w:del w:id="959" w:author="AbbVie2" w:date="2025-05-13T16:36:00Z">
              <w:r w:rsidRPr="008912CF">
                <w:rPr>
                  <w:szCs w:val="22"/>
                </w:rPr>
                <w:delText>Doenças do sistema imunitário *</w:delText>
              </w:r>
            </w:del>
          </w:p>
        </w:tc>
        <w:tc>
          <w:tcPr>
            <w:tcW w:w="1996" w:type="dxa"/>
            <w:tcBorders>
              <w:bottom w:val="nil"/>
            </w:tcBorders>
          </w:tcPr>
          <w:p w14:paraId="55A5590C" w14:textId="4379916B" w:rsidR="004462A0" w:rsidRPr="008912CF" w:rsidRDefault="00615769" w:rsidP="00F675CF">
            <w:pPr>
              <w:pStyle w:val="EMEANormal"/>
              <w:widowControl w:val="0"/>
              <w:jc w:val="both"/>
              <w:rPr>
                <w:del w:id="960" w:author="AbbVie2" w:date="2025-05-13T16:36:00Z"/>
                <w:szCs w:val="22"/>
                <w:lang w:val="pt-PT"/>
              </w:rPr>
            </w:pPr>
            <w:del w:id="961" w:author="AbbVie2" w:date="2025-05-13T16:36:00Z">
              <w:r w:rsidRPr="008912CF">
                <w:rPr>
                  <w:szCs w:val="22"/>
                  <w:lang w:val="pt-PT"/>
                </w:rPr>
                <w:delText>Frequentes</w:delText>
              </w:r>
            </w:del>
          </w:p>
          <w:p w14:paraId="43560769" w14:textId="29CC8FF0" w:rsidR="004462A0" w:rsidRPr="008912CF" w:rsidRDefault="004462A0" w:rsidP="00F675CF">
            <w:pPr>
              <w:pStyle w:val="EndnoteText"/>
              <w:widowControl w:val="0"/>
              <w:spacing w:before="60"/>
              <w:rPr>
                <w:del w:id="962" w:author="AbbVie2" w:date="2025-05-13T16:36:00Z"/>
                <w:szCs w:val="22"/>
              </w:rPr>
            </w:pPr>
          </w:p>
        </w:tc>
        <w:tc>
          <w:tcPr>
            <w:tcW w:w="4346" w:type="dxa"/>
            <w:tcBorders>
              <w:bottom w:val="nil"/>
            </w:tcBorders>
          </w:tcPr>
          <w:p w14:paraId="5667301E" w14:textId="7C592AC3" w:rsidR="004462A0" w:rsidRPr="008912CF" w:rsidRDefault="00615769" w:rsidP="00F675CF">
            <w:pPr>
              <w:pStyle w:val="EMEANormal"/>
              <w:rPr>
                <w:del w:id="963" w:author="AbbVie2" w:date="2025-05-13T16:36:00Z"/>
                <w:szCs w:val="22"/>
                <w:lang w:val="pt-PT"/>
              </w:rPr>
            </w:pPr>
            <w:del w:id="964" w:author="AbbVie2" w:date="2025-05-13T16:36:00Z">
              <w:r>
                <w:rPr>
                  <w:szCs w:val="22"/>
                  <w:lang w:val="pt-PT"/>
                </w:rPr>
                <w:delText>H</w:delText>
              </w:r>
              <w:r w:rsidRPr="008912CF">
                <w:rPr>
                  <w:szCs w:val="22"/>
                  <w:lang w:val="pt-PT"/>
                </w:rPr>
                <w:delText>ipersensibilidade,</w:delText>
              </w:r>
            </w:del>
          </w:p>
          <w:p w14:paraId="4FADDB18" w14:textId="062D715F" w:rsidR="004462A0" w:rsidRPr="008912CF" w:rsidRDefault="00615769" w:rsidP="00F675CF">
            <w:pPr>
              <w:rPr>
                <w:del w:id="965" w:author="AbbVie2" w:date="2025-05-13T16:36:00Z"/>
              </w:rPr>
            </w:pPr>
            <w:del w:id="966" w:author="AbbVie2" w:date="2025-05-13T16:36:00Z">
              <w:r w:rsidRPr="008912CF">
                <w:rPr>
                  <w:sz w:val="22"/>
                  <w:szCs w:val="22"/>
                </w:rPr>
                <w:delText>alergias (incluindo alergia sazonal)</w:delText>
              </w:r>
            </w:del>
          </w:p>
          <w:p w14:paraId="5BBB0CA5" w14:textId="1862F13A" w:rsidR="004462A0" w:rsidRPr="008912CF" w:rsidRDefault="004462A0" w:rsidP="00F675CF">
            <w:pPr>
              <w:rPr>
                <w:del w:id="967" w:author="AbbVie2" w:date="2025-05-13T16:36:00Z"/>
              </w:rPr>
            </w:pPr>
          </w:p>
        </w:tc>
      </w:tr>
      <w:tr w:rsidR="00A7162A" w14:paraId="29582780" w14:textId="17EFA69B" w:rsidTr="00F675CF">
        <w:trPr>
          <w:del w:id="968" w:author="AbbVie2" w:date="2025-05-13T16:36:00Z"/>
        </w:trPr>
        <w:tc>
          <w:tcPr>
            <w:tcW w:w="2514" w:type="dxa"/>
            <w:vMerge/>
          </w:tcPr>
          <w:p w14:paraId="213590F9" w14:textId="20E807B0" w:rsidR="004462A0" w:rsidRPr="008912CF" w:rsidRDefault="004462A0" w:rsidP="00F675CF">
            <w:pPr>
              <w:pStyle w:val="EndnoteText"/>
              <w:widowControl w:val="0"/>
              <w:spacing w:before="60"/>
              <w:rPr>
                <w:del w:id="969" w:author="AbbVie2" w:date="2025-05-13T16:36:00Z"/>
                <w:szCs w:val="22"/>
              </w:rPr>
            </w:pPr>
          </w:p>
        </w:tc>
        <w:tc>
          <w:tcPr>
            <w:tcW w:w="1996" w:type="dxa"/>
            <w:tcBorders>
              <w:top w:val="nil"/>
              <w:bottom w:val="nil"/>
            </w:tcBorders>
          </w:tcPr>
          <w:p w14:paraId="1F075968" w14:textId="226A8F52" w:rsidR="004462A0" w:rsidRPr="008912CF" w:rsidRDefault="00615769" w:rsidP="00F675CF">
            <w:pPr>
              <w:pStyle w:val="EMEANormal"/>
              <w:widowControl w:val="0"/>
              <w:jc w:val="both"/>
              <w:rPr>
                <w:del w:id="970" w:author="AbbVie2" w:date="2025-05-13T16:36:00Z"/>
                <w:szCs w:val="22"/>
                <w:lang w:val="pt-PT"/>
              </w:rPr>
            </w:pPr>
            <w:del w:id="971" w:author="AbbVie2" w:date="2025-05-13T16:36:00Z">
              <w:r w:rsidRPr="008912CF">
                <w:rPr>
                  <w:szCs w:val="22"/>
                  <w:lang w:val="pt-PT"/>
                </w:rPr>
                <w:delText>Pouco frequentes</w:delText>
              </w:r>
            </w:del>
          </w:p>
        </w:tc>
        <w:tc>
          <w:tcPr>
            <w:tcW w:w="4346" w:type="dxa"/>
            <w:tcBorders>
              <w:top w:val="nil"/>
              <w:bottom w:val="nil"/>
            </w:tcBorders>
          </w:tcPr>
          <w:p w14:paraId="77FDA00D" w14:textId="41E1F9A4" w:rsidR="004462A0" w:rsidRPr="00DF5632" w:rsidRDefault="00615769" w:rsidP="00F675CF">
            <w:pPr>
              <w:pStyle w:val="EMEANormal"/>
              <w:rPr>
                <w:del w:id="972" w:author="AbbVie2" w:date="2025-05-13T16:36:00Z"/>
                <w:szCs w:val="22"/>
                <w:lang w:val="pt-PT"/>
              </w:rPr>
            </w:pPr>
            <w:del w:id="973" w:author="AbbVie2" w:date="2025-05-13T16:36:00Z">
              <w:r>
                <w:rPr>
                  <w:szCs w:val="22"/>
                  <w:lang w:val="pt-PT"/>
                </w:rPr>
                <w:delText>S</w:delText>
              </w:r>
              <w:r w:rsidRPr="008912CF">
                <w:rPr>
                  <w:szCs w:val="22"/>
                  <w:lang w:val="pt-PT"/>
                </w:rPr>
                <w:delText>arcoidose</w:delText>
              </w:r>
              <w:r w:rsidRPr="008912CF">
                <w:rPr>
                  <w:szCs w:val="22"/>
                  <w:vertAlign w:val="superscript"/>
                  <w:lang w:val="pt-PT"/>
                </w:rPr>
                <w:delText>1)</w:delText>
              </w:r>
              <w:r w:rsidR="0090687D">
                <w:rPr>
                  <w:szCs w:val="22"/>
                  <w:lang w:val="pt-PT"/>
                </w:rPr>
                <w:delText>,</w:delText>
              </w:r>
            </w:del>
          </w:p>
          <w:p w14:paraId="57F2188B" w14:textId="5D69C5ED" w:rsidR="004462A0" w:rsidRPr="008912CF" w:rsidRDefault="00615769" w:rsidP="00F675CF">
            <w:pPr>
              <w:pStyle w:val="EMEANormal"/>
              <w:rPr>
                <w:del w:id="974" w:author="AbbVie2" w:date="2025-05-13T16:36:00Z"/>
                <w:szCs w:val="22"/>
                <w:lang w:val="pt-PT"/>
              </w:rPr>
            </w:pPr>
            <w:del w:id="975" w:author="AbbVie2" w:date="2025-05-13T16:36:00Z">
              <w:r w:rsidRPr="008912CF">
                <w:rPr>
                  <w:szCs w:val="22"/>
                  <w:lang w:val="pt-PT"/>
                </w:rPr>
                <w:delText>vasculite</w:delText>
              </w:r>
            </w:del>
          </w:p>
          <w:p w14:paraId="7DA47637" w14:textId="3DDB0F88" w:rsidR="004462A0" w:rsidRPr="008912CF" w:rsidRDefault="004462A0" w:rsidP="00F675CF">
            <w:pPr>
              <w:pStyle w:val="EMEANormal"/>
              <w:rPr>
                <w:del w:id="976" w:author="AbbVie2" w:date="2025-05-13T16:36:00Z"/>
                <w:szCs w:val="22"/>
                <w:lang w:val="pt-PT"/>
              </w:rPr>
            </w:pPr>
          </w:p>
        </w:tc>
      </w:tr>
      <w:tr w:rsidR="00A7162A" w14:paraId="3125B621" w14:textId="170318B1" w:rsidTr="00F675CF">
        <w:trPr>
          <w:del w:id="977" w:author="AbbVie2" w:date="2025-05-13T16:36:00Z"/>
        </w:trPr>
        <w:tc>
          <w:tcPr>
            <w:tcW w:w="2514" w:type="dxa"/>
            <w:vMerge/>
          </w:tcPr>
          <w:p w14:paraId="35F0155E" w14:textId="5FD745C0" w:rsidR="004462A0" w:rsidRPr="008912CF" w:rsidRDefault="004462A0" w:rsidP="00F675CF">
            <w:pPr>
              <w:pStyle w:val="EndnoteText"/>
              <w:widowControl w:val="0"/>
              <w:spacing w:before="60"/>
              <w:rPr>
                <w:del w:id="978" w:author="AbbVie2" w:date="2025-05-13T16:36:00Z"/>
                <w:szCs w:val="22"/>
              </w:rPr>
            </w:pPr>
          </w:p>
        </w:tc>
        <w:tc>
          <w:tcPr>
            <w:tcW w:w="1996" w:type="dxa"/>
            <w:tcBorders>
              <w:top w:val="nil"/>
            </w:tcBorders>
          </w:tcPr>
          <w:p w14:paraId="56709602" w14:textId="4F81E626" w:rsidR="004462A0" w:rsidRPr="008912CF" w:rsidRDefault="00615769" w:rsidP="00F675CF">
            <w:pPr>
              <w:pStyle w:val="EMEANormal"/>
              <w:widowControl w:val="0"/>
              <w:jc w:val="both"/>
              <w:rPr>
                <w:del w:id="979" w:author="AbbVie2" w:date="2025-05-13T16:36:00Z"/>
                <w:szCs w:val="22"/>
                <w:lang w:val="pt-PT"/>
              </w:rPr>
            </w:pPr>
            <w:del w:id="980" w:author="AbbVie2" w:date="2025-05-13T16:36:00Z">
              <w:r w:rsidRPr="008912CF">
                <w:rPr>
                  <w:szCs w:val="22"/>
                  <w:lang w:val="pt-PT"/>
                </w:rPr>
                <w:delText>Raros</w:delText>
              </w:r>
            </w:del>
          </w:p>
        </w:tc>
        <w:tc>
          <w:tcPr>
            <w:tcW w:w="4346" w:type="dxa"/>
            <w:tcBorders>
              <w:top w:val="nil"/>
            </w:tcBorders>
          </w:tcPr>
          <w:p w14:paraId="3837A2EB" w14:textId="15A0036C" w:rsidR="004462A0" w:rsidRPr="008912CF" w:rsidRDefault="00615769" w:rsidP="00F675CF">
            <w:pPr>
              <w:pStyle w:val="EMEANormal"/>
              <w:rPr>
                <w:del w:id="981" w:author="AbbVie2" w:date="2025-05-13T16:36:00Z"/>
                <w:szCs w:val="22"/>
                <w:vertAlign w:val="superscript"/>
                <w:lang w:val="pt-PT"/>
              </w:rPr>
            </w:pPr>
            <w:del w:id="982" w:author="AbbVie2" w:date="2025-05-13T16:36:00Z">
              <w:r>
                <w:rPr>
                  <w:szCs w:val="22"/>
                  <w:lang w:val="pt-PT"/>
                </w:rPr>
                <w:delText>A</w:delText>
              </w:r>
              <w:r w:rsidRPr="008912CF">
                <w:rPr>
                  <w:szCs w:val="22"/>
                  <w:lang w:val="pt-PT"/>
                </w:rPr>
                <w:delText>nafilaxia</w:delText>
              </w:r>
              <w:r w:rsidRPr="008912CF">
                <w:rPr>
                  <w:szCs w:val="22"/>
                  <w:vertAlign w:val="superscript"/>
                  <w:lang w:val="pt-PT"/>
                </w:rPr>
                <w:delText>1)</w:delText>
              </w:r>
            </w:del>
          </w:p>
          <w:p w14:paraId="4971E331" w14:textId="36AFF2D1" w:rsidR="004462A0" w:rsidRPr="008912CF" w:rsidRDefault="004462A0" w:rsidP="00F675CF">
            <w:pPr>
              <w:pStyle w:val="EMEANormal"/>
              <w:rPr>
                <w:del w:id="983" w:author="AbbVie2" w:date="2025-05-13T16:36:00Z"/>
                <w:szCs w:val="22"/>
                <w:lang w:val="pt-PT"/>
              </w:rPr>
            </w:pPr>
          </w:p>
        </w:tc>
      </w:tr>
      <w:tr w:rsidR="00A7162A" w14:paraId="30708FFE" w14:textId="1C747BEC" w:rsidTr="00F675CF">
        <w:trPr>
          <w:del w:id="984" w:author="AbbVie2" w:date="2025-05-13T16:36:00Z"/>
        </w:trPr>
        <w:tc>
          <w:tcPr>
            <w:tcW w:w="2514" w:type="dxa"/>
            <w:vMerge w:val="restart"/>
          </w:tcPr>
          <w:p w14:paraId="0EC8D5FA" w14:textId="0C487981" w:rsidR="004462A0" w:rsidRPr="008912CF" w:rsidRDefault="00615769" w:rsidP="00F675CF">
            <w:pPr>
              <w:pStyle w:val="EMEANormal"/>
              <w:widowControl w:val="0"/>
              <w:spacing w:before="60"/>
              <w:rPr>
                <w:del w:id="985" w:author="AbbVie2" w:date="2025-05-13T16:36:00Z"/>
                <w:szCs w:val="22"/>
                <w:lang w:val="pt-PT"/>
              </w:rPr>
            </w:pPr>
            <w:del w:id="986" w:author="AbbVie2" w:date="2025-05-13T16:36:00Z">
              <w:r w:rsidRPr="008912CF">
                <w:rPr>
                  <w:szCs w:val="22"/>
                  <w:lang w:val="pt-PT"/>
                </w:rPr>
                <w:delText>Doenças do metabolismo e da nutrição</w:delText>
              </w:r>
            </w:del>
          </w:p>
        </w:tc>
        <w:tc>
          <w:tcPr>
            <w:tcW w:w="1996" w:type="dxa"/>
            <w:tcBorders>
              <w:bottom w:val="nil"/>
            </w:tcBorders>
          </w:tcPr>
          <w:p w14:paraId="49C57DF5" w14:textId="249BBF1B" w:rsidR="004462A0" w:rsidRPr="008912CF" w:rsidRDefault="00615769" w:rsidP="00F675CF">
            <w:pPr>
              <w:pStyle w:val="EMEANormal"/>
              <w:widowControl w:val="0"/>
              <w:spacing w:before="60"/>
              <w:rPr>
                <w:del w:id="987" w:author="AbbVie2" w:date="2025-05-13T16:36:00Z"/>
                <w:szCs w:val="22"/>
                <w:lang w:val="pt-PT"/>
              </w:rPr>
            </w:pPr>
            <w:del w:id="988" w:author="AbbVie2" w:date="2025-05-13T16:36:00Z">
              <w:r w:rsidRPr="008912CF">
                <w:rPr>
                  <w:szCs w:val="22"/>
                  <w:lang w:val="pt-PT"/>
                </w:rPr>
                <w:delText xml:space="preserve">Muito frequentes </w:delText>
              </w:r>
            </w:del>
          </w:p>
        </w:tc>
        <w:tc>
          <w:tcPr>
            <w:tcW w:w="4346" w:type="dxa"/>
            <w:tcBorders>
              <w:bottom w:val="nil"/>
            </w:tcBorders>
          </w:tcPr>
          <w:p w14:paraId="387E0B4D" w14:textId="664BCA7C" w:rsidR="004462A0" w:rsidRPr="008912CF" w:rsidRDefault="00615769" w:rsidP="00F675CF">
            <w:pPr>
              <w:pStyle w:val="EMEANormal"/>
              <w:widowControl w:val="0"/>
              <w:spacing w:before="60"/>
              <w:rPr>
                <w:del w:id="989" w:author="AbbVie2" w:date="2025-05-13T16:36:00Z"/>
                <w:szCs w:val="22"/>
                <w:lang w:val="pt-PT"/>
              </w:rPr>
            </w:pPr>
            <w:del w:id="990" w:author="AbbVie2" w:date="2025-05-13T16:36:00Z">
              <w:r>
                <w:rPr>
                  <w:szCs w:val="22"/>
                  <w:lang w:val="pt-PT"/>
                </w:rPr>
                <w:delText>A</w:delText>
              </w:r>
              <w:r w:rsidRPr="008912CF">
                <w:rPr>
                  <w:szCs w:val="22"/>
                  <w:lang w:val="pt-PT"/>
                </w:rPr>
                <w:delText>umento dos lípidos</w:delText>
              </w:r>
            </w:del>
          </w:p>
          <w:p w14:paraId="56846702" w14:textId="04A3D6CF" w:rsidR="004462A0" w:rsidRPr="008912CF" w:rsidRDefault="004462A0" w:rsidP="00F675CF">
            <w:pPr>
              <w:pStyle w:val="EMEANormal"/>
              <w:widowControl w:val="0"/>
              <w:spacing w:before="60"/>
              <w:rPr>
                <w:del w:id="991" w:author="AbbVie2" w:date="2025-05-13T16:36:00Z"/>
                <w:szCs w:val="22"/>
                <w:lang w:val="pt-PT"/>
              </w:rPr>
            </w:pPr>
          </w:p>
        </w:tc>
      </w:tr>
      <w:tr w:rsidR="00A7162A" w14:paraId="5ED2FD1C" w14:textId="61DA7F07" w:rsidTr="00F675CF">
        <w:trPr>
          <w:del w:id="992" w:author="AbbVie2" w:date="2025-05-13T16:36:00Z"/>
        </w:trPr>
        <w:tc>
          <w:tcPr>
            <w:tcW w:w="2514" w:type="dxa"/>
            <w:vMerge/>
          </w:tcPr>
          <w:p w14:paraId="6950DC10" w14:textId="3BC2D378" w:rsidR="004462A0" w:rsidRPr="008912CF" w:rsidRDefault="004462A0" w:rsidP="00F675CF">
            <w:pPr>
              <w:pStyle w:val="EMEANormal"/>
              <w:widowControl w:val="0"/>
              <w:spacing w:before="60"/>
              <w:rPr>
                <w:del w:id="993" w:author="AbbVie2" w:date="2025-05-13T16:36:00Z"/>
                <w:szCs w:val="22"/>
                <w:lang w:val="pt-PT"/>
              </w:rPr>
            </w:pPr>
          </w:p>
        </w:tc>
        <w:tc>
          <w:tcPr>
            <w:tcW w:w="1996" w:type="dxa"/>
            <w:tcBorders>
              <w:top w:val="nil"/>
              <w:bottom w:val="nil"/>
            </w:tcBorders>
          </w:tcPr>
          <w:p w14:paraId="5E173504" w14:textId="349FA32C" w:rsidR="004462A0" w:rsidRPr="008912CF" w:rsidRDefault="00615769" w:rsidP="00F675CF">
            <w:pPr>
              <w:pStyle w:val="EMEANormal"/>
              <w:widowControl w:val="0"/>
              <w:spacing w:before="60"/>
              <w:rPr>
                <w:del w:id="994" w:author="AbbVie2" w:date="2025-05-13T16:36:00Z"/>
                <w:szCs w:val="22"/>
                <w:lang w:val="pt-PT"/>
              </w:rPr>
            </w:pPr>
            <w:del w:id="995" w:author="AbbVie2" w:date="2025-05-13T16:36:00Z">
              <w:r w:rsidRPr="008912CF">
                <w:rPr>
                  <w:szCs w:val="22"/>
                  <w:lang w:val="pt-PT"/>
                </w:rPr>
                <w:delText>Frequentes</w:delText>
              </w:r>
            </w:del>
          </w:p>
          <w:p w14:paraId="3B59C72D" w14:textId="6B43B0C3" w:rsidR="004462A0" w:rsidRPr="008912CF" w:rsidRDefault="004462A0" w:rsidP="00F675CF">
            <w:pPr>
              <w:pStyle w:val="EMEANormal"/>
              <w:widowControl w:val="0"/>
              <w:spacing w:before="60"/>
              <w:rPr>
                <w:del w:id="996" w:author="AbbVie2" w:date="2025-05-13T16:36:00Z"/>
                <w:szCs w:val="22"/>
                <w:lang w:val="pt-PT"/>
              </w:rPr>
            </w:pPr>
          </w:p>
          <w:p w14:paraId="7E3AD253" w14:textId="1EE12A9E" w:rsidR="004462A0" w:rsidRPr="008912CF" w:rsidRDefault="004462A0" w:rsidP="00F675CF">
            <w:pPr>
              <w:pStyle w:val="EMEANormal"/>
              <w:widowControl w:val="0"/>
              <w:spacing w:before="60"/>
              <w:rPr>
                <w:del w:id="997" w:author="AbbVie2" w:date="2025-05-13T16:36:00Z"/>
                <w:szCs w:val="22"/>
                <w:lang w:val="pt-PT"/>
              </w:rPr>
            </w:pPr>
          </w:p>
          <w:p w14:paraId="31A3B735" w14:textId="3F2CB9F4" w:rsidR="004462A0" w:rsidRPr="008912CF" w:rsidRDefault="004462A0" w:rsidP="00F675CF">
            <w:pPr>
              <w:pStyle w:val="EMEANormal"/>
              <w:widowControl w:val="0"/>
              <w:spacing w:before="60"/>
              <w:rPr>
                <w:del w:id="998" w:author="AbbVie2" w:date="2025-05-13T16:36:00Z"/>
                <w:szCs w:val="22"/>
                <w:lang w:val="pt-PT"/>
              </w:rPr>
            </w:pPr>
          </w:p>
          <w:p w14:paraId="70B84C3C" w14:textId="31E69537" w:rsidR="004462A0" w:rsidRPr="008912CF" w:rsidRDefault="004462A0" w:rsidP="00F675CF">
            <w:pPr>
              <w:pStyle w:val="EMEANormal"/>
              <w:widowControl w:val="0"/>
              <w:spacing w:before="60"/>
              <w:rPr>
                <w:del w:id="999" w:author="AbbVie2" w:date="2025-05-13T16:36:00Z"/>
                <w:szCs w:val="22"/>
                <w:lang w:val="pt-PT"/>
              </w:rPr>
            </w:pPr>
          </w:p>
          <w:p w14:paraId="69518DC9" w14:textId="75F73512" w:rsidR="004462A0" w:rsidRPr="008912CF" w:rsidRDefault="004462A0" w:rsidP="00F675CF">
            <w:pPr>
              <w:pStyle w:val="EMEANormal"/>
              <w:widowControl w:val="0"/>
              <w:spacing w:before="60"/>
              <w:rPr>
                <w:del w:id="1000" w:author="AbbVie2" w:date="2025-05-13T16:36:00Z"/>
                <w:szCs w:val="22"/>
                <w:lang w:val="pt-PT"/>
              </w:rPr>
            </w:pPr>
          </w:p>
          <w:p w14:paraId="78B938C0" w14:textId="27BBE86E" w:rsidR="004462A0" w:rsidRPr="008912CF" w:rsidRDefault="004462A0" w:rsidP="00F675CF">
            <w:pPr>
              <w:pStyle w:val="EMEANormal"/>
              <w:widowControl w:val="0"/>
              <w:spacing w:before="60"/>
              <w:rPr>
                <w:del w:id="1001" w:author="AbbVie2" w:date="2025-05-13T16:36:00Z"/>
                <w:szCs w:val="22"/>
                <w:lang w:val="pt-PT"/>
              </w:rPr>
            </w:pPr>
          </w:p>
        </w:tc>
        <w:tc>
          <w:tcPr>
            <w:tcW w:w="4346" w:type="dxa"/>
            <w:tcBorders>
              <w:top w:val="nil"/>
              <w:bottom w:val="nil"/>
            </w:tcBorders>
          </w:tcPr>
          <w:p w14:paraId="74C30AB1" w14:textId="4EDC1FD8" w:rsidR="004462A0" w:rsidRPr="008912CF" w:rsidRDefault="00615769" w:rsidP="00F675CF">
            <w:pPr>
              <w:pStyle w:val="EMEANormal"/>
              <w:widowControl w:val="0"/>
              <w:spacing w:before="60"/>
              <w:rPr>
                <w:del w:id="1002" w:author="AbbVie2" w:date="2025-05-13T16:36:00Z"/>
                <w:szCs w:val="22"/>
                <w:lang w:val="pt-PT"/>
              </w:rPr>
            </w:pPr>
            <w:del w:id="1003" w:author="AbbVie2" w:date="2025-05-13T16:36:00Z">
              <w:r>
                <w:rPr>
                  <w:szCs w:val="22"/>
                  <w:lang w:val="pt-PT"/>
                </w:rPr>
                <w:delText>H</w:delText>
              </w:r>
              <w:r w:rsidRPr="008912CF">
                <w:rPr>
                  <w:szCs w:val="22"/>
                  <w:lang w:val="pt-PT"/>
                </w:rPr>
                <w:delText xml:space="preserve">ipocaliemia, </w:delText>
              </w:r>
            </w:del>
          </w:p>
          <w:p w14:paraId="797E2CB2" w14:textId="3EBB80D0" w:rsidR="004462A0" w:rsidRPr="008912CF" w:rsidRDefault="00615769" w:rsidP="00F675CF">
            <w:pPr>
              <w:pStyle w:val="EMEANormal"/>
              <w:widowControl w:val="0"/>
              <w:spacing w:before="60"/>
              <w:rPr>
                <w:del w:id="1004" w:author="AbbVie2" w:date="2025-05-13T16:36:00Z"/>
                <w:szCs w:val="22"/>
                <w:lang w:val="pt-PT"/>
              </w:rPr>
            </w:pPr>
            <w:del w:id="1005" w:author="AbbVie2" w:date="2025-05-13T16:36:00Z">
              <w:r w:rsidRPr="008912CF">
                <w:rPr>
                  <w:szCs w:val="22"/>
                  <w:lang w:val="pt-PT"/>
                </w:rPr>
                <w:delText>aumento do ácido úrico,</w:delText>
              </w:r>
            </w:del>
          </w:p>
          <w:p w14:paraId="7885A75D" w14:textId="30985D37" w:rsidR="004462A0" w:rsidRPr="008912CF" w:rsidRDefault="00615769" w:rsidP="00F675CF">
            <w:pPr>
              <w:pStyle w:val="EMEANormal"/>
              <w:widowControl w:val="0"/>
              <w:spacing w:before="60"/>
              <w:rPr>
                <w:del w:id="1006" w:author="AbbVie2" w:date="2025-05-13T16:36:00Z"/>
                <w:szCs w:val="22"/>
                <w:lang w:val="pt-PT"/>
              </w:rPr>
            </w:pPr>
            <w:del w:id="1007" w:author="AbbVie2" w:date="2025-05-13T16:36:00Z">
              <w:r w:rsidRPr="008912CF">
                <w:rPr>
                  <w:szCs w:val="22"/>
                  <w:lang w:val="pt-PT"/>
                </w:rPr>
                <w:delText xml:space="preserve">nível de sódio anormal, </w:delText>
              </w:r>
            </w:del>
          </w:p>
          <w:p w14:paraId="3A72A0FB" w14:textId="16175D2D" w:rsidR="004462A0" w:rsidRPr="008912CF" w:rsidRDefault="00615769" w:rsidP="00F675CF">
            <w:pPr>
              <w:pStyle w:val="EMEANormal"/>
              <w:widowControl w:val="0"/>
              <w:spacing w:before="60"/>
              <w:rPr>
                <w:del w:id="1008" w:author="AbbVie2" w:date="2025-05-13T16:36:00Z"/>
                <w:szCs w:val="22"/>
                <w:lang w:val="pt-PT"/>
              </w:rPr>
            </w:pPr>
            <w:del w:id="1009" w:author="AbbVie2" w:date="2025-05-13T16:36:00Z">
              <w:r w:rsidRPr="008912CF">
                <w:rPr>
                  <w:szCs w:val="22"/>
                  <w:lang w:val="pt-PT"/>
                </w:rPr>
                <w:delText>hipocalcemia,</w:delText>
              </w:r>
            </w:del>
          </w:p>
          <w:p w14:paraId="5A96A34F" w14:textId="520B9F68" w:rsidR="004462A0" w:rsidRPr="008912CF" w:rsidRDefault="00615769" w:rsidP="00F675CF">
            <w:pPr>
              <w:pStyle w:val="EMEANormal"/>
              <w:widowControl w:val="0"/>
              <w:spacing w:before="60"/>
              <w:rPr>
                <w:del w:id="1010" w:author="AbbVie2" w:date="2025-05-13T16:36:00Z"/>
                <w:szCs w:val="22"/>
                <w:lang w:val="pt-PT"/>
              </w:rPr>
            </w:pPr>
            <w:del w:id="1011" w:author="AbbVie2" w:date="2025-05-13T16:36:00Z">
              <w:r w:rsidRPr="008912CF">
                <w:rPr>
                  <w:szCs w:val="22"/>
                  <w:lang w:val="pt-PT"/>
                </w:rPr>
                <w:delText>hiperglicemia,</w:delText>
              </w:r>
            </w:del>
          </w:p>
          <w:p w14:paraId="6003FDA4" w14:textId="4D5ED078" w:rsidR="004462A0" w:rsidRPr="008912CF" w:rsidRDefault="00615769" w:rsidP="00F675CF">
            <w:pPr>
              <w:pStyle w:val="EMEANormal"/>
              <w:widowControl w:val="0"/>
              <w:spacing w:before="60"/>
              <w:rPr>
                <w:del w:id="1012" w:author="AbbVie2" w:date="2025-05-13T16:36:00Z"/>
                <w:szCs w:val="22"/>
                <w:lang w:val="pt-PT"/>
              </w:rPr>
            </w:pPr>
            <w:del w:id="1013" w:author="AbbVie2" w:date="2025-05-13T16:36:00Z">
              <w:r w:rsidRPr="008912CF">
                <w:rPr>
                  <w:szCs w:val="22"/>
                  <w:lang w:val="pt-PT"/>
                </w:rPr>
                <w:delText>hipofosfatemia,</w:delText>
              </w:r>
            </w:del>
          </w:p>
          <w:p w14:paraId="142664A8" w14:textId="770FEF15" w:rsidR="004462A0" w:rsidRPr="008912CF" w:rsidRDefault="00615769" w:rsidP="00F675CF">
            <w:pPr>
              <w:pStyle w:val="EMEANormal"/>
              <w:rPr>
                <w:del w:id="1014" w:author="AbbVie2" w:date="2025-05-13T16:36:00Z"/>
                <w:szCs w:val="22"/>
                <w:lang w:val="pt-PT"/>
              </w:rPr>
            </w:pPr>
            <w:del w:id="1015" w:author="AbbVie2" w:date="2025-05-13T16:36:00Z">
              <w:r w:rsidRPr="008912CF">
                <w:rPr>
                  <w:szCs w:val="22"/>
                  <w:lang w:val="pt-PT"/>
                </w:rPr>
                <w:delText>desidratação</w:delText>
              </w:r>
            </w:del>
          </w:p>
          <w:p w14:paraId="1FF03FF9" w14:textId="3953E08E" w:rsidR="004462A0" w:rsidRPr="008912CF" w:rsidRDefault="004462A0" w:rsidP="00F675CF">
            <w:pPr>
              <w:pStyle w:val="EMEANormal"/>
              <w:rPr>
                <w:del w:id="1016" w:author="AbbVie2" w:date="2025-05-13T16:36:00Z"/>
                <w:szCs w:val="22"/>
                <w:lang w:val="pt-PT"/>
              </w:rPr>
            </w:pPr>
          </w:p>
        </w:tc>
      </w:tr>
      <w:tr w:rsidR="00A7162A" w14:paraId="0836F34F" w14:textId="4770C72C" w:rsidTr="00F675CF">
        <w:trPr>
          <w:del w:id="1017" w:author="AbbVie2" w:date="2025-05-13T16:36:00Z"/>
        </w:trPr>
        <w:tc>
          <w:tcPr>
            <w:tcW w:w="2514" w:type="dxa"/>
          </w:tcPr>
          <w:p w14:paraId="5F450A37" w14:textId="53DBE43D" w:rsidR="004462A0" w:rsidRPr="008912CF" w:rsidRDefault="00615769" w:rsidP="00F675CF">
            <w:pPr>
              <w:pStyle w:val="EMEANormal"/>
              <w:widowControl w:val="0"/>
              <w:spacing w:before="60"/>
              <w:rPr>
                <w:del w:id="1018" w:author="AbbVie2" w:date="2025-05-13T16:36:00Z"/>
                <w:szCs w:val="22"/>
                <w:lang w:val="pt-PT"/>
              </w:rPr>
            </w:pPr>
            <w:del w:id="1019" w:author="AbbVie2" w:date="2025-05-13T16:36:00Z">
              <w:r w:rsidRPr="008912CF">
                <w:rPr>
                  <w:sz w:val="24"/>
                  <w:szCs w:val="24"/>
                  <w:lang w:val="pt-PT"/>
                </w:rPr>
                <w:br w:type="page"/>
              </w:r>
              <w:r w:rsidRPr="008912CF">
                <w:rPr>
                  <w:sz w:val="24"/>
                  <w:szCs w:val="24"/>
                  <w:lang w:val="pt-PT"/>
                </w:rPr>
                <w:br w:type="page"/>
              </w:r>
              <w:r w:rsidRPr="008912CF">
                <w:rPr>
                  <w:szCs w:val="22"/>
                  <w:lang w:val="pt-PT"/>
                </w:rPr>
                <w:delText>Perturbações do foro psiquiátrico</w:delText>
              </w:r>
            </w:del>
          </w:p>
        </w:tc>
        <w:tc>
          <w:tcPr>
            <w:tcW w:w="1996" w:type="dxa"/>
          </w:tcPr>
          <w:p w14:paraId="76A5C129" w14:textId="03FF75EA" w:rsidR="004462A0" w:rsidRPr="008912CF" w:rsidRDefault="00615769" w:rsidP="00F675CF">
            <w:pPr>
              <w:pStyle w:val="EMEANormal"/>
              <w:widowControl w:val="0"/>
              <w:spacing w:before="60"/>
              <w:rPr>
                <w:del w:id="1020" w:author="AbbVie2" w:date="2025-05-13T16:36:00Z"/>
                <w:szCs w:val="22"/>
                <w:lang w:val="pt-PT"/>
              </w:rPr>
            </w:pPr>
            <w:del w:id="1021" w:author="AbbVie2" w:date="2025-05-13T16:36:00Z">
              <w:r w:rsidRPr="008912CF">
                <w:rPr>
                  <w:szCs w:val="22"/>
                  <w:lang w:val="pt-PT"/>
                </w:rPr>
                <w:delText>Frequentes</w:delText>
              </w:r>
            </w:del>
          </w:p>
          <w:p w14:paraId="4FF03249" w14:textId="7A5B36F2" w:rsidR="004462A0" w:rsidRPr="008912CF" w:rsidRDefault="004462A0" w:rsidP="00F675CF">
            <w:pPr>
              <w:pStyle w:val="EMEANormal"/>
              <w:widowControl w:val="0"/>
              <w:spacing w:before="60"/>
              <w:rPr>
                <w:del w:id="1022" w:author="AbbVie2" w:date="2025-05-13T16:36:00Z"/>
                <w:szCs w:val="22"/>
                <w:lang w:val="pt-PT"/>
              </w:rPr>
            </w:pPr>
          </w:p>
        </w:tc>
        <w:tc>
          <w:tcPr>
            <w:tcW w:w="4346" w:type="dxa"/>
          </w:tcPr>
          <w:p w14:paraId="4CC6060B" w14:textId="1D9DAFB0" w:rsidR="004462A0" w:rsidRPr="008912CF" w:rsidRDefault="00615769" w:rsidP="00F675CF">
            <w:pPr>
              <w:pStyle w:val="EMEANormal"/>
              <w:widowControl w:val="0"/>
              <w:spacing w:before="60"/>
              <w:rPr>
                <w:del w:id="1023" w:author="AbbVie2" w:date="2025-05-13T16:36:00Z"/>
                <w:szCs w:val="22"/>
                <w:lang w:val="pt-PT"/>
              </w:rPr>
            </w:pPr>
            <w:del w:id="1024" w:author="AbbVie2" w:date="2025-05-13T16:36:00Z">
              <w:r>
                <w:rPr>
                  <w:szCs w:val="22"/>
                  <w:lang w:val="pt-PT"/>
                </w:rPr>
                <w:delText>A</w:delText>
              </w:r>
              <w:r w:rsidRPr="008912CF">
                <w:rPr>
                  <w:szCs w:val="22"/>
                  <w:lang w:val="pt-PT"/>
                </w:rPr>
                <w:delText xml:space="preserve">lterações de humor (incluindo depressão), ansiedade, </w:delText>
              </w:r>
            </w:del>
          </w:p>
          <w:p w14:paraId="63E2A092" w14:textId="03B164B3" w:rsidR="004462A0" w:rsidRPr="008912CF" w:rsidRDefault="00615769" w:rsidP="00F675CF">
            <w:pPr>
              <w:pStyle w:val="EMEANormal"/>
              <w:widowControl w:val="0"/>
              <w:spacing w:before="60"/>
              <w:rPr>
                <w:del w:id="1025" w:author="AbbVie2" w:date="2025-05-13T16:36:00Z"/>
                <w:szCs w:val="22"/>
                <w:lang w:val="pt-PT"/>
              </w:rPr>
            </w:pPr>
            <w:del w:id="1026" w:author="AbbVie2" w:date="2025-05-13T16:36:00Z">
              <w:r w:rsidRPr="008912CF">
                <w:rPr>
                  <w:szCs w:val="22"/>
                  <w:lang w:val="pt-PT"/>
                </w:rPr>
                <w:delText>insónia</w:delText>
              </w:r>
            </w:del>
          </w:p>
        </w:tc>
      </w:tr>
      <w:tr w:rsidR="00A7162A" w14:paraId="590906CE" w14:textId="3B2DA92A" w:rsidTr="00F675CF">
        <w:trPr>
          <w:del w:id="1027" w:author="AbbVie2" w:date="2025-05-13T16:36:00Z"/>
        </w:trPr>
        <w:tc>
          <w:tcPr>
            <w:tcW w:w="2514" w:type="dxa"/>
            <w:vMerge w:val="restart"/>
          </w:tcPr>
          <w:p w14:paraId="3F20D140" w14:textId="378073CF" w:rsidR="004462A0" w:rsidRPr="008912CF" w:rsidRDefault="00615769" w:rsidP="00F675CF">
            <w:pPr>
              <w:pStyle w:val="EMEANormal"/>
              <w:widowControl w:val="0"/>
              <w:spacing w:before="60"/>
              <w:rPr>
                <w:del w:id="1028" w:author="AbbVie2" w:date="2025-05-13T16:36:00Z"/>
                <w:szCs w:val="22"/>
                <w:lang w:val="pt-PT"/>
              </w:rPr>
            </w:pPr>
            <w:del w:id="1029" w:author="AbbVie2" w:date="2025-05-13T16:36:00Z">
              <w:r w:rsidRPr="008912CF">
                <w:rPr>
                  <w:sz w:val="24"/>
                  <w:szCs w:val="24"/>
                  <w:lang w:val="pt-PT"/>
                </w:rPr>
                <w:br w:type="page"/>
              </w:r>
              <w:r w:rsidRPr="008912CF">
                <w:rPr>
                  <w:szCs w:val="22"/>
                  <w:lang w:val="pt-PT"/>
                </w:rPr>
                <w:delText>Doenças do sistema nervoso *</w:delText>
              </w:r>
            </w:del>
          </w:p>
        </w:tc>
        <w:tc>
          <w:tcPr>
            <w:tcW w:w="1996" w:type="dxa"/>
            <w:tcBorders>
              <w:bottom w:val="nil"/>
            </w:tcBorders>
          </w:tcPr>
          <w:p w14:paraId="69085CE3" w14:textId="2EEB8C92" w:rsidR="004462A0" w:rsidRPr="008912CF" w:rsidRDefault="00615769" w:rsidP="00F675CF">
            <w:pPr>
              <w:pStyle w:val="EMEANormal"/>
              <w:widowControl w:val="0"/>
              <w:spacing w:before="60"/>
              <w:rPr>
                <w:del w:id="1030" w:author="AbbVie2" w:date="2025-05-13T16:36:00Z"/>
                <w:szCs w:val="22"/>
                <w:lang w:val="pt-PT"/>
              </w:rPr>
            </w:pPr>
            <w:del w:id="1031" w:author="AbbVie2" w:date="2025-05-13T16:36:00Z">
              <w:r w:rsidRPr="008912CF">
                <w:rPr>
                  <w:szCs w:val="22"/>
                  <w:lang w:val="pt-PT"/>
                </w:rPr>
                <w:delText xml:space="preserve">Muito frequentes </w:delText>
              </w:r>
            </w:del>
          </w:p>
        </w:tc>
        <w:tc>
          <w:tcPr>
            <w:tcW w:w="4346" w:type="dxa"/>
            <w:tcBorders>
              <w:bottom w:val="nil"/>
            </w:tcBorders>
          </w:tcPr>
          <w:p w14:paraId="00E06C1A" w14:textId="1C9A6FB7" w:rsidR="004462A0" w:rsidRPr="008912CF" w:rsidRDefault="00615769" w:rsidP="00F675CF">
            <w:pPr>
              <w:pStyle w:val="EMEANormal"/>
              <w:widowControl w:val="0"/>
              <w:spacing w:before="60"/>
              <w:rPr>
                <w:del w:id="1032" w:author="AbbVie2" w:date="2025-05-13T16:36:00Z"/>
                <w:szCs w:val="22"/>
                <w:lang w:val="pt-PT"/>
              </w:rPr>
            </w:pPr>
            <w:del w:id="1033" w:author="AbbVie2" w:date="2025-05-13T16:36:00Z">
              <w:r>
                <w:rPr>
                  <w:szCs w:val="22"/>
                  <w:lang w:val="pt-PT"/>
                </w:rPr>
                <w:delText>C</w:delText>
              </w:r>
              <w:r w:rsidRPr="008912CF">
                <w:rPr>
                  <w:szCs w:val="22"/>
                  <w:lang w:val="pt-PT"/>
                </w:rPr>
                <w:delText>efaleias</w:delText>
              </w:r>
            </w:del>
          </w:p>
          <w:p w14:paraId="3C9FC9AF" w14:textId="6BBC8B01" w:rsidR="004462A0" w:rsidRPr="008912CF" w:rsidRDefault="004462A0" w:rsidP="00F675CF">
            <w:pPr>
              <w:pStyle w:val="EMEANormal"/>
              <w:widowControl w:val="0"/>
              <w:spacing w:before="60"/>
              <w:rPr>
                <w:del w:id="1034" w:author="AbbVie2" w:date="2025-05-13T16:36:00Z"/>
                <w:szCs w:val="22"/>
                <w:lang w:val="pt-PT"/>
              </w:rPr>
            </w:pPr>
          </w:p>
        </w:tc>
      </w:tr>
      <w:tr w:rsidR="00A7162A" w14:paraId="6B50D5B4" w14:textId="383F95EB" w:rsidTr="00F675CF">
        <w:trPr>
          <w:del w:id="1035" w:author="AbbVie2" w:date="2025-05-13T16:36:00Z"/>
        </w:trPr>
        <w:tc>
          <w:tcPr>
            <w:tcW w:w="2514" w:type="dxa"/>
            <w:vMerge/>
          </w:tcPr>
          <w:p w14:paraId="4A56F609" w14:textId="61BF7737" w:rsidR="004462A0" w:rsidRPr="008912CF" w:rsidRDefault="004462A0" w:rsidP="00F675CF">
            <w:pPr>
              <w:pStyle w:val="EMEANormal"/>
              <w:widowControl w:val="0"/>
              <w:spacing w:before="60"/>
              <w:rPr>
                <w:del w:id="1036" w:author="AbbVie2" w:date="2025-05-13T16:36:00Z"/>
                <w:szCs w:val="22"/>
                <w:lang w:val="pt-PT"/>
              </w:rPr>
            </w:pPr>
          </w:p>
        </w:tc>
        <w:tc>
          <w:tcPr>
            <w:tcW w:w="1996" w:type="dxa"/>
            <w:tcBorders>
              <w:top w:val="nil"/>
              <w:bottom w:val="nil"/>
            </w:tcBorders>
          </w:tcPr>
          <w:p w14:paraId="05299203" w14:textId="7683330D" w:rsidR="004462A0" w:rsidRPr="008912CF" w:rsidRDefault="00615769" w:rsidP="00F675CF">
            <w:pPr>
              <w:pStyle w:val="EMEANormal"/>
              <w:widowControl w:val="0"/>
              <w:spacing w:before="60"/>
              <w:rPr>
                <w:del w:id="1037" w:author="AbbVie2" w:date="2025-05-13T16:36:00Z"/>
                <w:szCs w:val="22"/>
                <w:lang w:val="pt-PT"/>
              </w:rPr>
            </w:pPr>
            <w:del w:id="1038" w:author="AbbVie2" w:date="2025-05-13T16:36:00Z">
              <w:r w:rsidRPr="008912CF">
                <w:rPr>
                  <w:szCs w:val="22"/>
                  <w:lang w:val="pt-PT"/>
                </w:rPr>
                <w:delText>Frequentes</w:delText>
              </w:r>
            </w:del>
          </w:p>
          <w:p w14:paraId="26D32F4B" w14:textId="224A82FE" w:rsidR="004462A0" w:rsidRPr="008912CF" w:rsidRDefault="004462A0" w:rsidP="00F675CF">
            <w:pPr>
              <w:pStyle w:val="EMEANormal"/>
              <w:widowControl w:val="0"/>
              <w:spacing w:before="60"/>
              <w:rPr>
                <w:del w:id="1039" w:author="AbbVie2" w:date="2025-05-13T16:36:00Z"/>
                <w:szCs w:val="22"/>
                <w:lang w:val="pt-PT"/>
              </w:rPr>
            </w:pPr>
          </w:p>
        </w:tc>
        <w:tc>
          <w:tcPr>
            <w:tcW w:w="4346" w:type="dxa"/>
            <w:tcBorders>
              <w:top w:val="nil"/>
              <w:bottom w:val="nil"/>
            </w:tcBorders>
          </w:tcPr>
          <w:p w14:paraId="0ECA1E8D" w14:textId="124760F8" w:rsidR="004462A0" w:rsidRPr="008912CF" w:rsidRDefault="00615769" w:rsidP="00F675CF">
            <w:pPr>
              <w:pStyle w:val="EMEANormal"/>
              <w:widowControl w:val="0"/>
              <w:spacing w:before="60"/>
              <w:rPr>
                <w:del w:id="1040" w:author="AbbVie2" w:date="2025-05-13T16:36:00Z"/>
                <w:szCs w:val="22"/>
                <w:lang w:val="pt-PT"/>
              </w:rPr>
            </w:pPr>
            <w:del w:id="1041" w:author="AbbVie2" w:date="2025-05-13T16:36:00Z">
              <w:r>
                <w:rPr>
                  <w:szCs w:val="22"/>
                  <w:lang w:val="pt-PT"/>
                </w:rPr>
                <w:delText>P</w:delText>
              </w:r>
              <w:r w:rsidRPr="008912CF">
                <w:rPr>
                  <w:szCs w:val="22"/>
                  <w:lang w:val="pt-PT"/>
                </w:rPr>
                <w:delText>arestesias (incluindo hipo</w:delText>
              </w:r>
              <w:r w:rsidR="00D9472B">
                <w:rPr>
                  <w:szCs w:val="22"/>
                  <w:lang w:val="pt-PT"/>
                </w:rPr>
                <w:delText>e</w:delText>
              </w:r>
              <w:r w:rsidRPr="008912CF">
                <w:rPr>
                  <w:szCs w:val="22"/>
                  <w:lang w:val="pt-PT"/>
                </w:rPr>
                <w:delText>stesia),</w:delText>
              </w:r>
            </w:del>
          </w:p>
          <w:p w14:paraId="7B02B394" w14:textId="0EE15CC0" w:rsidR="004462A0" w:rsidRPr="008912CF" w:rsidRDefault="00615769" w:rsidP="00F675CF">
            <w:pPr>
              <w:pStyle w:val="EMEANormal"/>
              <w:widowControl w:val="0"/>
              <w:spacing w:before="60"/>
              <w:rPr>
                <w:del w:id="1042" w:author="AbbVie2" w:date="2025-05-13T16:36:00Z"/>
                <w:szCs w:val="22"/>
                <w:lang w:val="pt-PT"/>
              </w:rPr>
            </w:pPr>
            <w:del w:id="1043" w:author="AbbVie2" w:date="2025-05-13T16:36:00Z">
              <w:r w:rsidRPr="008912CF">
                <w:rPr>
                  <w:szCs w:val="22"/>
                  <w:lang w:val="pt-PT"/>
                </w:rPr>
                <w:delText>enxaqueca,</w:delText>
              </w:r>
            </w:del>
          </w:p>
          <w:p w14:paraId="31B022FD" w14:textId="54197DD4" w:rsidR="004462A0" w:rsidRPr="008912CF" w:rsidRDefault="00615769" w:rsidP="00F675CF">
            <w:pPr>
              <w:pStyle w:val="EMEANormal"/>
              <w:rPr>
                <w:del w:id="1044" w:author="AbbVie2" w:date="2025-05-13T16:36:00Z"/>
                <w:szCs w:val="22"/>
                <w:lang w:val="pt-PT"/>
              </w:rPr>
            </w:pPr>
            <w:del w:id="1045" w:author="AbbVie2" w:date="2025-05-13T16:36:00Z">
              <w:r w:rsidRPr="008912CF">
                <w:rPr>
                  <w:szCs w:val="22"/>
                  <w:lang w:val="pt-PT"/>
                </w:rPr>
                <w:delText>compressão da raiz nervosa</w:delText>
              </w:r>
            </w:del>
          </w:p>
          <w:p w14:paraId="4D3AFEE1" w14:textId="70FD15F0" w:rsidR="004462A0" w:rsidRPr="008912CF" w:rsidRDefault="004462A0" w:rsidP="00F675CF">
            <w:pPr>
              <w:pStyle w:val="EMEANormal"/>
              <w:rPr>
                <w:del w:id="1046" w:author="AbbVie2" w:date="2025-05-13T16:36:00Z"/>
                <w:szCs w:val="22"/>
                <w:highlight w:val="yellow"/>
                <w:lang w:val="pt-PT"/>
              </w:rPr>
            </w:pPr>
          </w:p>
        </w:tc>
      </w:tr>
      <w:tr w:rsidR="00A7162A" w14:paraId="1A3D87B7" w14:textId="202C5F08" w:rsidTr="00F675CF">
        <w:trPr>
          <w:del w:id="1047" w:author="AbbVie2" w:date="2025-05-13T16:36:00Z"/>
        </w:trPr>
        <w:tc>
          <w:tcPr>
            <w:tcW w:w="2514" w:type="dxa"/>
            <w:vMerge/>
          </w:tcPr>
          <w:p w14:paraId="17233DAC" w14:textId="7A672A6A" w:rsidR="004462A0" w:rsidRPr="008912CF" w:rsidRDefault="004462A0" w:rsidP="00F675CF">
            <w:pPr>
              <w:widowControl w:val="0"/>
              <w:spacing w:before="60"/>
              <w:jc w:val="center"/>
              <w:rPr>
                <w:del w:id="1048" w:author="AbbVie2" w:date="2025-05-13T16:36:00Z"/>
                <w:b/>
              </w:rPr>
            </w:pPr>
          </w:p>
        </w:tc>
        <w:tc>
          <w:tcPr>
            <w:tcW w:w="1996" w:type="dxa"/>
            <w:tcBorders>
              <w:top w:val="nil"/>
              <w:bottom w:val="nil"/>
            </w:tcBorders>
          </w:tcPr>
          <w:p w14:paraId="3E01BCE3" w14:textId="589BD2CB" w:rsidR="004462A0" w:rsidRPr="008912CF" w:rsidRDefault="00615769" w:rsidP="00F675CF">
            <w:pPr>
              <w:pStyle w:val="EMEANormal"/>
              <w:widowControl w:val="0"/>
              <w:rPr>
                <w:del w:id="1049" w:author="AbbVie2" w:date="2025-05-13T16:36:00Z"/>
                <w:szCs w:val="22"/>
                <w:lang w:val="pt-PT"/>
              </w:rPr>
            </w:pPr>
            <w:del w:id="1050" w:author="AbbVie2" w:date="2025-05-13T16:36:00Z">
              <w:r w:rsidRPr="008912CF">
                <w:rPr>
                  <w:szCs w:val="22"/>
                  <w:lang w:val="pt-PT"/>
                </w:rPr>
                <w:delText>Pouco frequentes</w:delText>
              </w:r>
            </w:del>
          </w:p>
          <w:p w14:paraId="63B81C4A" w14:textId="6CF2914E" w:rsidR="004462A0" w:rsidRPr="008912CF" w:rsidRDefault="004462A0" w:rsidP="00F675CF">
            <w:pPr>
              <w:pStyle w:val="EMEANormal"/>
              <w:widowControl w:val="0"/>
              <w:rPr>
                <w:del w:id="1051" w:author="AbbVie2" w:date="2025-05-13T16:36:00Z"/>
                <w:szCs w:val="22"/>
                <w:lang w:val="pt-PT"/>
              </w:rPr>
            </w:pPr>
          </w:p>
        </w:tc>
        <w:tc>
          <w:tcPr>
            <w:tcW w:w="4346" w:type="dxa"/>
            <w:tcBorders>
              <w:top w:val="nil"/>
              <w:bottom w:val="nil"/>
            </w:tcBorders>
          </w:tcPr>
          <w:p w14:paraId="29223C32" w14:textId="7BF9CA96" w:rsidR="004462A0" w:rsidRPr="008912CF" w:rsidRDefault="00615769" w:rsidP="00F675CF">
            <w:pPr>
              <w:pStyle w:val="EMEANormal"/>
              <w:widowControl w:val="0"/>
              <w:rPr>
                <w:del w:id="1052" w:author="AbbVie2" w:date="2025-05-13T16:36:00Z"/>
                <w:szCs w:val="22"/>
                <w:lang w:val="pt-PT"/>
              </w:rPr>
            </w:pPr>
            <w:del w:id="1053" w:author="AbbVie2" w:date="2025-05-13T16:36:00Z">
              <w:r>
                <w:rPr>
                  <w:szCs w:val="22"/>
                  <w:lang w:val="pt-PT"/>
                </w:rPr>
                <w:delText>A</w:delText>
              </w:r>
              <w:r w:rsidRPr="008912CF">
                <w:rPr>
                  <w:szCs w:val="22"/>
                  <w:lang w:val="pt-PT"/>
                </w:rPr>
                <w:delText>cidente vascular</w:delText>
              </w:r>
              <w:r w:rsidR="003E3AA9">
                <w:rPr>
                  <w:szCs w:val="22"/>
                  <w:lang w:val="pt-PT"/>
                </w:rPr>
                <w:delText xml:space="preserve"> cerebral</w:delText>
              </w:r>
              <w:r w:rsidRPr="008912CF">
                <w:rPr>
                  <w:szCs w:val="22"/>
                  <w:vertAlign w:val="superscript"/>
                  <w:lang w:val="pt-PT"/>
                </w:rPr>
                <w:delText>1)</w:delText>
              </w:r>
              <w:r w:rsidRPr="008912CF">
                <w:rPr>
                  <w:szCs w:val="22"/>
                  <w:lang w:val="pt-PT"/>
                </w:rPr>
                <w:delText>,</w:delText>
              </w:r>
            </w:del>
          </w:p>
          <w:p w14:paraId="216C0090" w14:textId="32292D42" w:rsidR="004462A0" w:rsidRPr="008912CF" w:rsidRDefault="00615769" w:rsidP="00F675CF">
            <w:pPr>
              <w:pStyle w:val="EMEANormal"/>
              <w:widowControl w:val="0"/>
              <w:rPr>
                <w:del w:id="1054" w:author="AbbVie2" w:date="2025-05-13T16:36:00Z"/>
                <w:szCs w:val="22"/>
                <w:lang w:val="pt-PT"/>
              </w:rPr>
            </w:pPr>
            <w:del w:id="1055" w:author="AbbVie2" w:date="2025-05-13T16:36:00Z">
              <w:r w:rsidRPr="008912CF">
                <w:rPr>
                  <w:szCs w:val="22"/>
                  <w:lang w:val="pt-PT"/>
                </w:rPr>
                <w:delText>tremor,</w:delText>
              </w:r>
            </w:del>
          </w:p>
          <w:p w14:paraId="475E6935" w14:textId="2B5B2082" w:rsidR="004462A0" w:rsidRPr="008912CF" w:rsidRDefault="00615769" w:rsidP="00F675CF">
            <w:pPr>
              <w:pStyle w:val="EMEANormal"/>
              <w:widowControl w:val="0"/>
              <w:rPr>
                <w:del w:id="1056" w:author="AbbVie2" w:date="2025-05-13T16:36:00Z"/>
                <w:szCs w:val="22"/>
                <w:lang w:val="pt-PT"/>
              </w:rPr>
            </w:pPr>
            <w:del w:id="1057" w:author="AbbVie2" w:date="2025-05-13T16:36:00Z">
              <w:r w:rsidRPr="008912CF">
                <w:rPr>
                  <w:szCs w:val="22"/>
                  <w:lang w:val="pt-PT"/>
                </w:rPr>
                <w:delText>neuropatia</w:delText>
              </w:r>
            </w:del>
          </w:p>
          <w:p w14:paraId="0BF6E861" w14:textId="71A9F517" w:rsidR="004462A0" w:rsidRPr="008912CF" w:rsidRDefault="00615769" w:rsidP="00F675CF">
            <w:pPr>
              <w:pStyle w:val="EMEANormal"/>
              <w:widowControl w:val="0"/>
              <w:rPr>
                <w:del w:id="1058" w:author="AbbVie2" w:date="2025-05-13T16:36:00Z"/>
                <w:szCs w:val="22"/>
                <w:lang w:val="pt-PT"/>
              </w:rPr>
            </w:pPr>
            <w:del w:id="1059" w:author="AbbVie2" w:date="2025-05-13T16:36:00Z">
              <w:r w:rsidRPr="008912CF">
                <w:rPr>
                  <w:szCs w:val="22"/>
                  <w:lang w:val="pt-PT"/>
                </w:rPr>
                <w:delText xml:space="preserve"> </w:delText>
              </w:r>
            </w:del>
          </w:p>
        </w:tc>
      </w:tr>
      <w:tr w:rsidR="00A7162A" w14:paraId="61E94E15" w14:textId="5B5398ED" w:rsidTr="0004619E">
        <w:trPr>
          <w:del w:id="1060" w:author="AbbVie2" w:date="2025-05-13T16:36:00Z"/>
        </w:trPr>
        <w:tc>
          <w:tcPr>
            <w:tcW w:w="2514" w:type="dxa"/>
            <w:vMerge/>
          </w:tcPr>
          <w:p w14:paraId="458C2CFB" w14:textId="61466A21" w:rsidR="004462A0" w:rsidRPr="008912CF" w:rsidRDefault="004462A0" w:rsidP="00F675CF">
            <w:pPr>
              <w:widowControl w:val="0"/>
              <w:spacing w:before="60"/>
              <w:jc w:val="center"/>
              <w:rPr>
                <w:del w:id="1061" w:author="AbbVie2" w:date="2025-05-13T16:36:00Z"/>
                <w:b/>
              </w:rPr>
            </w:pPr>
          </w:p>
        </w:tc>
        <w:tc>
          <w:tcPr>
            <w:tcW w:w="1996" w:type="dxa"/>
            <w:tcBorders>
              <w:top w:val="nil"/>
              <w:bottom w:val="single" w:sz="4" w:space="0" w:color="auto"/>
            </w:tcBorders>
          </w:tcPr>
          <w:p w14:paraId="2DA6672F" w14:textId="0AC8C7BB" w:rsidR="004462A0" w:rsidRPr="008912CF" w:rsidRDefault="00615769" w:rsidP="00F675CF">
            <w:pPr>
              <w:pStyle w:val="EMEANormal"/>
              <w:widowControl w:val="0"/>
              <w:rPr>
                <w:del w:id="1062" w:author="AbbVie2" w:date="2025-05-13T16:36:00Z"/>
                <w:szCs w:val="22"/>
                <w:lang w:val="pt-PT"/>
              </w:rPr>
            </w:pPr>
            <w:del w:id="1063" w:author="AbbVie2" w:date="2025-05-13T16:36:00Z">
              <w:r w:rsidRPr="008912CF">
                <w:rPr>
                  <w:szCs w:val="22"/>
                  <w:lang w:val="pt-PT"/>
                </w:rPr>
                <w:delText>Raros</w:delText>
              </w:r>
            </w:del>
          </w:p>
          <w:p w14:paraId="63D15348" w14:textId="53A2FC8A" w:rsidR="004462A0" w:rsidRPr="008912CF" w:rsidRDefault="004462A0" w:rsidP="00F675CF">
            <w:pPr>
              <w:pStyle w:val="EMEANormal"/>
              <w:widowControl w:val="0"/>
              <w:rPr>
                <w:del w:id="1064" w:author="AbbVie2" w:date="2025-05-13T16:36:00Z"/>
                <w:szCs w:val="22"/>
                <w:lang w:val="pt-PT"/>
              </w:rPr>
            </w:pPr>
          </w:p>
        </w:tc>
        <w:tc>
          <w:tcPr>
            <w:tcW w:w="4346" w:type="dxa"/>
            <w:tcBorders>
              <w:top w:val="nil"/>
              <w:bottom w:val="single" w:sz="4" w:space="0" w:color="auto"/>
            </w:tcBorders>
          </w:tcPr>
          <w:p w14:paraId="7074EFDB" w14:textId="080C745D" w:rsidR="004462A0" w:rsidRPr="008912CF" w:rsidRDefault="00615769" w:rsidP="00F675CF">
            <w:pPr>
              <w:pStyle w:val="EMEANormal"/>
              <w:widowControl w:val="0"/>
              <w:rPr>
                <w:del w:id="1065" w:author="AbbVie2" w:date="2025-05-13T16:36:00Z"/>
                <w:szCs w:val="22"/>
                <w:lang w:val="pt-PT"/>
              </w:rPr>
            </w:pPr>
            <w:del w:id="1066" w:author="AbbVie2" w:date="2025-05-13T16:36:00Z">
              <w:r>
                <w:rPr>
                  <w:szCs w:val="22"/>
                  <w:lang w:val="pt-PT"/>
                </w:rPr>
                <w:delText>E</w:delText>
              </w:r>
              <w:r w:rsidRPr="008912CF">
                <w:rPr>
                  <w:szCs w:val="22"/>
                  <w:lang w:val="pt-PT"/>
                </w:rPr>
                <w:delText>sclerose múltipla,</w:delText>
              </w:r>
            </w:del>
          </w:p>
          <w:p w14:paraId="5122AAAE" w14:textId="33A4602C" w:rsidR="004462A0" w:rsidRPr="008912CF" w:rsidRDefault="00615769" w:rsidP="00F675CF">
            <w:pPr>
              <w:pStyle w:val="EMEANormal"/>
              <w:widowControl w:val="0"/>
              <w:rPr>
                <w:del w:id="1067" w:author="AbbVie2" w:date="2025-05-13T16:36:00Z"/>
                <w:szCs w:val="22"/>
                <w:vertAlign w:val="superscript"/>
                <w:lang w:val="pt-PT"/>
              </w:rPr>
            </w:pPr>
            <w:del w:id="1068" w:author="AbbVie2" w:date="2025-05-13T16:36:00Z">
              <w:r w:rsidRPr="008912CF">
                <w:rPr>
                  <w:szCs w:val="22"/>
                  <w:lang w:val="pt-PT"/>
                </w:rPr>
                <w:delText>perturbações desmielinizantes (p. ex. neurite ótica, síndrome de Guillain-Barré)</w:delText>
              </w:r>
              <w:r w:rsidRPr="008912CF">
                <w:rPr>
                  <w:szCs w:val="22"/>
                  <w:vertAlign w:val="superscript"/>
                  <w:lang w:val="pt-PT"/>
                </w:rPr>
                <w:delText>1)</w:delText>
              </w:r>
            </w:del>
          </w:p>
          <w:p w14:paraId="39FAB472" w14:textId="440A545F" w:rsidR="004462A0" w:rsidRPr="008912CF" w:rsidRDefault="004462A0" w:rsidP="00F675CF">
            <w:pPr>
              <w:pStyle w:val="EMEANormal"/>
              <w:widowControl w:val="0"/>
              <w:rPr>
                <w:del w:id="1069" w:author="AbbVie2" w:date="2025-05-13T16:36:00Z"/>
                <w:szCs w:val="22"/>
                <w:lang w:val="pt-PT"/>
              </w:rPr>
            </w:pPr>
          </w:p>
        </w:tc>
      </w:tr>
      <w:tr w:rsidR="00A7162A" w14:paraId="59C7769C" w14:textId="02ADF976" w:rsidTr="0004619E">
        <w:trPr>
          <w:del w:id="1070" w:author="AbbVie2" w:date="2025-05-13T16:36:00Z"/>
        </w:trPr>
        <w:tc>
          <w:tcPr>
            <w:tcW w:w="2514" w:type="dxa"/>
            <w:vMerge w:val="restart"/>
          </w:tcPr>
          <w:p w14:paraId="4E655F35" w14:textId="7F59539D" w:rsidR="004462A0" w:rsidRPr="008912CF" w:rsidRDefault="00615769" w:rsidP="00F675CF">
            <w:pPr>
              <w:pStyle w:val="EMEANormal"/>
              <w:widowControl w:val="0"/>
              <w:spacing w:before="60"/>
              <w:rPr>
                <w:del w:id="1071" w:author="AbbVie2" w:date="2025-05-13T16:36:00Z"/>
                <w:szCs w:val="22"/>
                <w:lang w:val="pt-PT"/>
              </w:rPr>
            </w:pPr>
            <w:del w:id="1072" w:author="AbbVie2" w:date="2025-05-13T16:36:00Z">
              <w:r w:rsidRPr="008912CF">
                <w:rPr>
                  <w:szCs w:val="22"/>
                  <w:lang w:val="pt-PT"/>
                </w:rPr>
                <w:delText>Afeções oculares</w:delText>
              </w:r>
            </w:del>
          </w:p>
        </w:tc>
        <w:tc>
          <w:tcPr>
            <w:tcW w:w="1996" w:type="dxa"/>
            <w:tcBorders>
              <w:bottom w:val="single" w:sz="4" w:space="0" w:color="auto"/>
            </w:tcBorders>
          </w:tcPr>
          <w:p w14:paraId="22025D75" w14:textId="3CFF8C3D" w:rsidR="004462A0" w:rsidRPr="008912CF" w:rsidRDefault="00615769" w:rsidP="00F675CF">
            <w:pPr>
              <w:pStyle w:val="EMEANormal"/>
              <w:widowControl w:val="0"/>
              <w:spacing w:before="60"/>
              <w:rPr>
                <w:del w:id="1073" w:author="AbbVie2" w:date="2025-05-13T16:36:00Z"/>
                <w:szCs w:val="22"/>
                <w:lang w:val="pt-PT"/>
              </w:rPr>
            </w:pPr>
            <w:del w:id="1074" w:author="AbbVie2" w:date="2025-05-13T16:36:00Z">
              <w:r w:rsidRPr="008912CF">
                <w:rPr>
                  <w:szCs w:val="22"/>
                  <w:lang w:val="pt-PT"/>
                </w:rPr>
                <w:delText>Frequentes</w:delText>
              </w:r>
            </w:del>
          </w:p>
          <w:p w14:paraId="4FC805E1" w14:textId="32B3DAF9" w:rsidR="004462A0" w:rsidRPr="008912CF" w:rsidRDefault="004462A0" w:rsidP="00F675CF">
            <w:pPr>
              <w:pStyle w:val="EMEANormal"/>
              <w:widowControl w:val="0"/>
              <w:spacing w:before="60"/>
              <w:rPr>
                <w:del w:id="1075" w:author="AbbVie2" w:date="2025-05-13T16:36:00Z"/>
                <w:szCs w:val="22"/>
                <w:lang w:val="pt-PT"/>
              </w:rPr>
            </w:pPr>
          </w:p>
        </w:tc>
        <w:tc>
          <w:tcPr>
            <w:tcW w:w="4346" w:type="dxa"/>
            <w:tcBorders>
              <w:bottom w:val="single" w:sz="4" w:space="0" w:color="auto"/>
            </w:tcBorders>
          </w:tcPr>
          <w:p w14:paraId="4796614E" w14:textId="2EE0903D" w:rsidR="004462A0" w:rsidRPr="008912CF" w:rsidRDefault="00615769" w:rsidP="00F675CF">
            <w:pPr>
              <w:pStyle w:val="EMEANormal"/>
              <w:widowControl w:val="0"/>
              <w:spacing w:before="60"/>
              <w:rPr>
                <w:del w:id="1076" w:author="AbbVie2" w:date="2025-05-13T16:36:00Z"/>
                <w:szCs w:val="22"/>
                <w:lang w:val="pt-PT"/>
              </w:rPr>
            </w:pPr>
            <w:del w:id="1077" w:author="AbbVie2" w:date="2025-05-13T16:36:00Z">
              <w:r>
                <w:rPr>
                  <w:szCs w:val="22"/>
                  <w:lang w:val="pt-PT"/>
                </w:rPr>
                <w:delText>A</w:delText>
              </w:r>
              <w:r w:rsidRPr="008912CF">
                <w:rPr>
                  <w:szCs w:val="22"/>
                  <w:lang w:val="pt-PT"/>
                </w:rPr>
                <w:delText>lterações da visão,</w:delText>
              </w:r>
            </w:del>
          </w:p>
          <w:p w14:paraId="6F1FBBA2" w14:textId="3B262CCA" w:rsidR="004462A0" w:rsidRPr="008912CF" w:rsidRDefault="00615769" w:rsidP="00F675CF">
            <w:pPr>
              <w:pStyle w:val="EMEAFigureTitle"/>
              <w:tabs>
                <w:tab w:val="clear" w:pos="562"/>
              </w:tabs>
              <w:suppressAutoHyphens w:val="0"/>
              <w:rPr>
                <w:del w:id="1078" w:author="AbbVie2" w:date="2025-05-13T16:36:00Z"/>
                <w:szCs w:val="22"/>
                <w:lang w:val="pt-PT"/>
              </w:rPr>
            </w:pPr>
            <w:del w:id="1079" w:author="AbbVie2" w:date="2025-05-13T16:36:00Z">
              <w:r w:rsidRPr="008912CF">
                <w:rPr>
                  <w:szCs w:val="22"/>
                  <w:lang w:val="pt-PT"/>
                </w:rPr>
                <w:delText>conjuntivite,</w:delText>
              </w:r>
            </w:del>
          </w:p>
          <w:p w14:paraId="2F6E2EF0" w14:textId="52C5B747" w:rsidR="004462A0" w:rsidRPr="008912CF" w:rsidRDefault="00615769" w:rsidP="00F675CF">
            <w:pPr>
              <w:pStyle w:val="EMEANormal"/>
              <w:rPr>
                <w:del w:id="1080" w:author="AbbVie2" w:date="2025-05-13T16:36:00Z"/>
                <w:lang w:val="pt-PT"/>
              </w:rPr>
            </w:pPr>
            <w:del w:id="1081" w:author="AbbVie2" w:date="2025-05-13T16:36:00Z">
              <w:r w:rsidRPr="008912CF">
                <w:rPr>
                  <w:lang w:val="pt-PT"/>
                </w:rPr>
                <w:delText>blefarite,</w:delText>
              </w:r>
            </w:del>
          </w:p>
          <w:p w14:paraId="310B750C" w14:textId="6CD5790E" w:rsidR="004462A0" w:rsidRPr="008912CF" w:rsidRDefault="00615769" w:rsidP="00F675CF">
            <w:pPr>
              <w:pStyle w:val="EMEANormal"/>
              <w:rPr>
                <w:del w:id="1082" w:author="AbbVie2" w:date="2025-05-13T16:36:00Z"/>
                <w:lang w:val="pt-PT"/>
              </w:rPr>
            </w:pPr>
            <w:del w:id="1083" w:author="AbbVie2" w:date="2025-05-13T16:36:00Z">
              <w:r w:rsidRPr="008912CF">
                <w:rPr>
                  <w:lang w:val="pt-PT"/>
                </w:rPr>
                <w:delText>inchaço dos olhos</w:delText>
              </w:r>
            </w:del>
          </w:p>
          <w:p w14:paraId="1F960841" w14:textId="54921149" w:rsidR="004462A0" w:rsidRPr="008912CF" w:rsidRDefault="004462A0" w:rsidP="00F675CF">
            <w:pPr>
              <w:pStyle w:val="EMEANormal"/>
              <w:rPr>
                <w:del w:id="1084" w:author="AbbVie2" w:date="2025-05-13T16:36:00Z"/>
                <w:lang w:val="pt-PT"/>
              </w:rPr>
            </w:pPr>
          </w:p>
        </w:tc>
      </w:tr>
      <w:tr w:rsidR="00A7162A" w14:paraId="325B4C70" w14:textId="05F053E7" w:rsidTr="0004619E">
        <w:trPr>
          <w:del w:id="1085" w:author="AbbVie2" w:date="2025-05-13T16:36:00Z"/>
        </w:trPr>
        <w:tc>
          <w:tcPr>
            <w:tcW w:w="2514" w:type="dxa"/>
            <w:vMerge/>
          </w:tcPr>
          <w:p w14:paraId="541E2612" w14:textId="6747D278" w:rsidR="004462A0" w:rsidRPr="008912CF" w:rsidRDefault="004462A0" w:rsidP="00F675CF">
            <w:pPr>
              <w:widowControl w:val="0"/>
              <w:spacing w:before="60"/>
              <w:jc w:val="center"/>
              <w:rPr>
                <w:del w:id="1086" w:author="AbbVie2" w:date="2025-05-13T16:36:00Z"/>
                <w:b/>
              </w:rPr>
            </w:pPr>
          </w:p>
        </w:tc>
        <w:tc>
          <w:tcPr>
            <w:tcW w:w="1996" w:type="dxa"/>
            <w:tcBorders>
              <w:top w:val="single" w:sz="4" w:space="0" w:color="auto"/>
            </w:tcBorders>
          </w:tcPr>
          <w:p w14:paraId="23A773DB" w14:textId="59FFCD14" w:rsidR="004462A0" w:rsidRPr="008912CF" w:rsidRDefault="00615769" w:rsidP="00F675CF">
            <w:pPr>
              <w:pStyle w:val="EMEANormal"/>
              <w:widowControl w:val="0"/>
              <w:rPr>
                <w:del w:id="1087" w:author="AbbVie2" w:date="2025-05-13T16:36:00Z"/>
                <w:szCs w:val="22"/>
                <w:lang w:val="pt-PT"/>
              </w:rPr>
            </w:pPr>
            <w:del w:id="1088" w:author="AbbVie2" w:date="2025-05-13T16:36:00Z">
              <w:r w:rsidRPr="008912CF">
                <w:rPr>
                  <w:szCs w:val="22"/>
                  <w:lang w:val="pt-PT"/>
                </w:rPr>
                <w:delText>Pouco frequentes</w:delText>
              </w:r>
            </w:del>
          </w:p>
        </w:tc>
        <w:tc>
          <w:tcPr>
            <w:tcW w:w="4346" w:type="dxa"/>
            <w:tcBorders>
              <w:top w:val="single" w:sz="4" w:space="0" w:color="auto"/>
            </w:tcBorders>
          </w:tcPr>
          <w:p w14:paraId="6A1460F0" w14:textId="056022CF" w:rsidR="004462A0" w:rsidRPr="008912CF" w:rsidRDefault="00615769" w:rsidP="00F675CF">
            <w:pPr>
              <w:pStyle w:val="EMEANormal"/>
              <w:widowControl w:val="0"/>
              <w:rPr>
                <w:del w:id="1089" w:author="AbbVie2" w:date="2025-05-13T16:36:00Z"/>
                <w:szCs w:val="22"/>
                <w:lang w:val="pt-PT"/>
              </w:rPr>
            </w:pPr>
            <w:del w:id="1090" w:author="AbbVie2" w:date="2025-05-13T16:36:00Z">
              <w:r>
                <w:rPr>
                  <w:szCs w:val="22"/>
                  <w:lang w:val="pt-PT"/>
                </w:rPr>
                <w:delText>D</w:delText>
              </w:r>
              <w:r w:rsidRPr="008912CF">
                <w:rPr>
                  <w:szCs w:val="22"/>
                  <w:lang w:val="pt-PT"/>
                </w:rPr>
                <w:delText>iplopia</w:delText>
              </w:r>
            </w:del>
          </w:p>
          <w:p w14:paraId="2AD7C2DC" w14:textId="54240C15" w:rsidR="004462A0" w:rsidRPr="008912CF" w:rsidRDefault="004462A0" w:rsidP="00F675CF">
            <w:pPr>
              <w:pStyle w:val="EMEANormal"/>
              <w:widowControl w:val="0"/>
              <w:rPr>
                <w:del w:id="1091" w:author="AbbVie2" w:date="2025-05-13T16:36:00Z"/>
                <w:szCs w:val="22"/>
                <w:lang w:val="pt-PT"/>
              </w:rPr>
            </w:pPr>
          </w:p>
        </w:tc>
      </w:tr>
      <w:tr w:rsidR="00A7162A" w14:paraId="4D34A9F9" w14:textId="2DC346D2" w:rsidTr="00F675CF">
        <w:trPr>
          <w:del w:id="1092" w:author="AbbVie2" w:date="2025-05-13T16:36:00Z"/>
        </w:trPr>
        <w:tc>
          <w:tcPr>
            <w:tcW w:w="2514" w:type="dxa"/>
            <w:vMerge w:val="restart"/>
          </w:tcPr>
          <w:p w14:paraId="73902858" w14:textId="07D42F24" w:rsidR="004462A0" w:rsidRPr="008912CF" w:rsidRDefault="00615769" w:rsidP="00F675CF">
            <w:pPr>
              <w:pStyle w:val="EMEANormal"/>
              <w:rPr>
                <w:del w:id="1093" w:author="AbbVie2" w:date="2025-05-13T16:36:00Z"/>
                <w:szCs w:val="22"/>
                <w:lang w:val="pt-PT"/>
              </w:rPr>
            </w:pPr>
            <w:del w:id="1094" w:author="AbbVie2" w:date="2025-05-13T16:36:00Z">
              <w:r w:rsidRPr="008912CF">
                <w:rPr>
                  <w:szCs w:val="22"/>
                  <w:lang w:val="pt-PT"/>
                </w:rPr>
                <w:delText>Afeções do ouvido e do labirinto</w:delText>
              </w:r>
            </w:del>
          </w:p>
          <w:p w14:paraId="7C68B8FE" w14:textId="72212076" w:rsidR="004462A0" w:rsidRPr="008912CF" w:rsidRDefault="004462A0" w:rsidP="00F675CF">
            <w:pPr>
              <w:pStyle w:val="EMEANormal"/>
              <w:widowControl w:val="0"/>
              <w:spacing w:before="60"/>
              <w:rPr>
                <w:del w:id="1095" w:author="AbbVie2" w:date="2025-05-13T16:36:00Z"/>
                <w:szCs w:val="22"/>
                <w:lang w:val="pt-PT"/>
              </w:rPr>
            </w:pPr>
          </w:p>
        </w:tc>
        <w:tc>
          <w:tcPr>
            <w:tcW w:w="1996" w:type="dxa"/>
            <w:tcBorders>
              <w:bottom w:val="nil"/>
            </w:tcBorders>
          </w:tcPr>
          <w:p w14:paraId="588DE062" w14:textId="73445DB2" w:rsidR="004462A0" w:rsidRPr="008912CF" w:rsidRDefault="00615769" w:rsidP="00F675CF">
            <w:pPr>
              <w:pStyle w:val="EMEANormal"/>
              <w:widowControl w:val="0"/>
              <w:spacing w:before="60"/>
              <w:rPr>
                <w:del w:id="1096" w:author="AbbVie2" w:date="2025-05-13T16:36:00Z"/>
                <w:szCs w:val="22"/>
                <w:lang w:val="pt-PT"/>
              </w:rPr>
            </w:pPr>
            <w:del w:id="1097" w:author="AbbVie2" w:date="2025-05-13T16:36:00Z">
              <w:r w:rsidRPr="008912CF">
                <w:rPr>
                  <w:szCs w:val="22"/>
                  <w:lang w:val="pt-PT"/>
                </w:rPr>
                <w:delText>Frequentes</w:delText>
              </w:r>
            </w:del>
          </w:p>
        </w:tc>
        <w:tc>
          <w:tcPr>
            <w:tcW w:w="4346" w:type="dxa"/>
            <w:tcBorders>
              <w:bottom w:val="nil"/>
            </w:tcBorders>
          </w:tcPr>
          <w:p w14:paraId="55E5F009" w14:textId="2454CB7B" w:rsidR="004462A0" w:rsidRPr="008912CF" w:rsidRDefault="00615769" w:rsidP="00F675CF">
            <w:pPr>
              <w:pStyle w:val="EMEANormal"/>
              <w:widowControl w:val="0"/>
              <w:spacing w:before="60"/>
              <w:rPr>
                <w:del w:id="1098" w:author="AbbVie2" w:date="2025-05-13T16:36:00Z"/>
                <w:szCs w:val="22"/>
                <w:lang w:val="pt-PT"/>
              </w:rPr>
            </w:pPr>
            <w:del w:id="1099" w:author="AbbVie2" w:date="2025-05-13T16:36:00Z">
              <w:r>
                <w:rPr>
                  <w:szCs w:val="22"/>
                  <w:lang w:val="pt-PT"/>
                </w:rPr>
                <w:delText>V</w:delText>
              </w:r>
              <w:r w:rsidRPr="008912CF">
                <w:rPr>
                  <w:szCs w:val="22"/>
                  <w:lang w:val="pt-PT"/>
                </w:rPr>
                <w:delText>ertigem</w:delText>
              </w:r>
            </w:del>
          </w:p>
          <w:p w14:paraId="71365A57" w14:textId="640EFB15" w:rsidR="004462A0" w:rsidRPr="008912CF" w:rsidRDefault="004462A0" w:rsidP="00F675CF">
            <w:pPr>
              <w:pStyle w:val="EMEANormal"/>
              <w:widowControl w:val="0"/>
              <w:spacing w:before="60"/>
              <w:rPr>
                <w:del w:id="1100" w:author="AbbVie2" w:date="2025-05-13T16:36:00Z"/>
                <w:szCs w:val="22"/>
                <w:lang w:val="pt-PT"/>
              </w:rPr>
            </w:pPr>
          </w:p>
        </w:tc>
      </w:tr>
      <w:tr w:rsidR="00A7162A" w14:paraId="70382D9B" w14:textId="0A3D410F" w:rsidTr="00F675CF">
        <w:trPr>
          <w:del w:id="1101" w:author="AbbVie2" w:date="2025-05-13T16:36:00Z"/>
        </w:trPr>
        <w:tc>
          <w:tcPr>
            <w:tcW w:w="2514" w:type="dxa"/>
            <w:vMerge/>
          </w:tcPr>
          <w:p w14:paraId="7869A4B9" w14:textId="3780B93C" w:rsidR="004462A0" w:rsidRPr="008912CF" w:rsidRDefault="004462A0" w:rsidP="00F675CF">
            <w:pPr>
              <w:widowControl w:val="0"/>
              <w:spacing w:before="60"/>
              <w:jc w:val="center"/>
              <w:rPr>
                <w:del w:id="1102" w:author="AbbVie2" w:date="2025-05-13T16:36:00Z"/>
                <w:b/>
              </w:rPr>
            </w:pPr>
          </w:p>
        </w:tc>
        <w:tc>
          <w:tcPr>
            <w:tcW w:w="1996" w:type="dxa"/>
            <w:tcBorders>
              <w:top w:val="nil"/>
            </w:tcBorders>
          </w:tcPr>
          <w:p w14:paraId="07E1434C" w14:textId="5414B5D8" w:rsidR="004462A0" w:rsidRPr="008912CF" w:rsidRDefault="00615769" w:rsidP="00F675CF">
            <w:pPr>
              <w:pStyle w:val="EMEANormal"/>
              <w:widowControl w:val="0"/>
              <w:rPr>
                <w:del w:id="1103" w:author="AbbVie2" w:date="2025-05-13T16:36:00Z"/>
                <w:szCs w:val="22"/>
                <w:lang w:val="pt-PT"/>
              </w:rPr>
            </w:pPr>
            <w:del w:id="1104" w:author="AbbVie2" w:date="2025-05-13T16:36:00Z">
              <w:r w:rsidRPr="008912CF">
                <w:rPr>
                  <w:szCs w:val="22"/>
                  <w:lang w:val="pt-PT"/>
                </w:rPr>
                <w:delText>Pouco frequentes</w:delText>
              </w:r>
            </w:del>
          </w:p>
        </w:tc>
        <w:tc>
          <w:tcPr>
            <w:tcW w:w="4346" w:type="dxa"/>
            <w:tcBorders>
              <w:top w:val="nil"/>
            </w:tcBorders>
          </w:tcPr>
          <w:p w14:paraId="67DF7846" w14:textId="3F54042A" w:rsidR="004462A0" w:rsidRPr="008912CF" w:rsidRDefault="00615769" w:rsidP="00F675CF">
            <w:pPr>
              <w:pStyle w:val="EMEANormal"/>
              <w:widowControl w:val="0"/>
              <w:rPr>
                <w:del w:id="1105" w:author="AbbVie2" w:date="2025-05-13T16:36:00Z"/>
                <w:szCs w:val="22"/>
                <w:lang w:val="pt-PT"/>
              </w:rPr>
            </w:pPr>
            <w:del w:id="1106" w:author="AbbVie2" w:date="2025-05-13T16:36:00Z">
              <w:r>
                <w:rPr>
                  <w:szCs w:val="22"/>
                  <w:lang w:val="pt-PT"/>
                </w:rPr>
                <w:delText>S</w:delText>
              </w:r>
              <w:r w:rsidRPr="008912CF">
                <w:rPr>
                  <w:szCs w:val="22"/>
                  <w:lang w:val="pt-PT"/>
                </w:rPr>
                <w:delText xml:space="preserve">urdez, </w:delText>
              </w:r>
            </w:del>
          </w:p>
          <w:p w14:paraId="03160214" w14:textId="02A7FA31" w:rsidR="004462A0" w:rsidRPr="008912CF" w:rsidRDefault="00615769" w:rsidP="00F675CF">
            <w:pPr>
              <w:pStyle w:val="EMEANormal"/>
              <w:widowControl w:val="0"/>
              <w:rPr>
                <w:del w:id="1107" w:author="AbbVie2" w:date="2025-05-13T16:36:00Z"/>
                <w:szCs w:val="22"/>
                <w:lang w:val="pt-PT"/>
              </w:rPr>
            </w:pPr>
            <w:del w:id="1108" w:author="AbbVie2" w:date="2025-05-13T16:36:00Z">
              <w:r w:rsidRPr="008912CF">
                <w:rPr>
                  <w:szCs w:val="22"/>
                  <w:lang w:val="pt-PT"/>
                </w:rPr>
                <w:delText>zumbido</w:delText>
              </w:r>
            </w:del>
          </w:p>
          <w:p w14:paraId="7E5A7B46" w14:textId="0135DBC8" w:rsidR="004462A0" w:rsidRPr="008912CF" w:rsidRDefault="004462A0" w:rsidP="00F675CF">
            <w:pPr>
              <w:pStyle w:val="EMEANormal"/>
              <w:widowControl w:val="0"/>
              <w:rPr>
                <w:del w:id="1109" w:author="AbbVie2" w:date="2025-05-13T16:36:00Z"/>
                <w:szCs w:val="22"/>
                <w:lang w:val="pt-PT"/>
              </w:rPr>
            </w:pPr>
          </w:p>
        </w:tc>
      </w:tr>
      <w:tr w:rsidR="00A7162A" w14:paraId="2446D25D" w14:textId="66FDD27D" w:rsidTr="00F675CF">
        <w:trPr>
          <w:del w:id="1110" w:author="AbbVie2" w:date="2025-05-13T16:36:00Z"/>
        </w:trPr>
        <w:tc>
          <w:tcPr>
            <w:tcW w:w="2514" w:type="dxa"/>
            <w:vMerge w:val="restart"/>
          </w:tcPr>
          <w:p w14:paraId="363A89EC" w14:textId="681B00BD" w:rsidR="004462A0" w:rsidRPr="008912CF" w:rsidRDefault="00615769" w:rsidP="00F675CF">
            <w:pPr>
              <w:pStyle w:val="EMEANormal"/>
              <w:widowControl w:val="0"/>
              <w:spacing w:before="60"/>
              <w:rPr>
                <w:del w:id="1111" w:author="AbbVie2" w:date="2025-05-13T16:36:00Z"/>
                <w:szCs w:val="22"/>
                <w:lang w:val="pt-PT"/>
              </w:rPr>
            </w:pPr>
            <w:del w:id="1112" w:author="AbbVie2" w:date="2025-05-13T16:36:00Z">
              <w:r w:rsidRPr="008912CF">
                <w:rPr>
                  <w:szCs w:val="22"/>
                  <w:lang w:val="pt-PT"/>
                </w:rPr>
                <w:delText xml:space="preserve">Cardiopatias * </w:delText>
              </w:r>
            </w:del>
          </w:p>
        </w:tc>
        <w:tc>
          <w:tcPr>
            <w:tcW w:w="1996" w:type="dxa"/>
            <w:tcBorders>
              <w:bottom w:val="nil"/>
            </w:tcBorders>
          </w:tcPr>
          <w:p w14:paraId="7EC9EAE3" w14:textId="43FDA315" w:rsidR="004462A0" w:rsidRPr="008912CF" w:rsidRDefault="00615769" w:rsidP="00F675CF">
            <w:pPr>
              <w:pStyle w:val="EMEANormal"/>
              <w:widowControl w:val="0"/>
              <w:spacing w:before="60"/>
              <w:rPr>
                <w:del w:id="1113" w:author="AbbVie2" w:date="2025-05-13T16:36:00Z"/>
                <w:szCs w:val="22"/>
                <w:lang w:val="pt-PT"/>
              </w:rPr>
            </w:pPr>
            <w:del w:id="1114" w:author="AbbVie2" w:date="2025-05-13T16:36:00Z">
              <w:r w:rsidRPr="008912CF">
                <w:rPr>
                  <w:szCs w:val="22"/>
                  <w:lang w:val="pt-PT"/>
                </w:rPr>
                <w:delText>Frequentes</w:delText>
              </w:r>
            </w:del>
          </w:p>
        </w:tc>
        <w:tc>
          <w:tcPr>
            <w:tcW w:w="4346" w:type="dxa"/>
            <w:tcBorders>
              <w:bottom w:val="nil"/>
            </w:tcBorders>
          </w:tcPr>
          <w:p w14:paraId="23450399" w14:textId="68BB58EE" w:rsidR="004462A0" w:rsidRPr="008912CF" w:rsidRDefault="00615769" w:rsidP="00F675CF">
            <w:pPr>
              <w:pStyle w:val="EMEANormal"/>
              <w:widowControl w:val="0"/>
              <w:spacing w:before="60"/>
              <w:rPr>
                <w:del w:id="1115" w:author="AbbVie2" w:date="2025-05-13T16:36:00Z"/>
                <w:szCs w:val="22"/>
                <w:lang w:val="pt-PT"/>
              </w:rPr>
            </w:pPr>
            <w:del w:id="1116" w:author="AbbVie2" w:date="2025-05-13T16:36:00Z">
              <w:r>
                <w:rPr>
                  <w:szCs w:val="22"/>
                  <w:lang w:val="pt-PT"/>
                </w:rPr>
                <w:delText>T</w:delText>
              </w:r>
              <w:r w:rsidRPr="008912CF">
                <w:rPr>
                  <w:szCs w:val="22"/>
                  <w:lang w:val="pt-PT"/>
                </w:rPr>
                <w:delText>aquicardia</w:delText>
              </w:r>
            </w:del>
          </w:p>
          <w:p w14:paraId="29A7C53F" w14:textId="764F9B18" w:rsidR="004462A0" w:rsidRPr="008912CF" w:rsidRDefault="004462A0" w:rsidP="00F675CF">
            <w:pPr>
              <w:pStyle w:val="EMEANormal"/>
              <w:widowControl w:val="0"/>
              <w:spacing w:before="60"/>
              <w:rPr>
                <w:del w:id="1117" w:author="AbbVie2" w:date="2025-05-13T16:36:00Z"/>
                <w:szCs w:val="22"/>
                <w:lang w:val="pt-PT"/>
              </w:rPr>
            </w:pPr>
          </w:p>
        </w:tc>
      </w:tr>
      <w:tr w:rsidR="00A7162A" w14:paraId="0C4DAFAD" w14:textId="3128C5F8" w:rsidTr="00F675CF">
        <w:trPr>
          <w:del w:id="1118" w:author="AbbVie2" w:date="2025-05-13T16:36:00Z"/>
        </w:trPr>
        <w:tc>
          <w:tcPr>
            <w:tcW w:w="2514" w:type="dxa"/>
            <w:vMerge/>
          </w:tcPr>
          <w:p w14:paraId="4C00F068" w14:textId="3280FF78" w:rsidR="004462A0" w:rsidRPr="008912CF" w:rsidRDefault="004462A0" w:rsidP="00F675CF">
            <w:pPr>
              <w:pStyle w:val="EMEANormal"/>
              <w:widowControl w:val="0"/>
              <w:spacing w:before="60"/>
              <w:rPr>
                <w:del w:id="1119" w:author="AbbVie2" w:date="2025-05-13T16:36:00Z"/>
                <w:szCs w:val="22"/>
                <w:lang w:val="pt-PT"/>
              </w:rPr>
            </w:pPr>
          </w:p>
        </w:tc>
        <w:tc>
          <w:tcPr>
            <w:tcW w:w="1996" w:type="dxa"/>
            <w:tcBorders>
              <w:top w:val="nil"/>
              <w:bottom w:val="nil"/>
            </w:tcBorders>
          </w:tcPr>
          <w:p w14:paraId="5B13AF94" w14:textId="2CDBF31C" w:rsidR="004462A0" w:rsidRPr="008912CF" w:rsidRDefault="00615769" w:rsidP="00F675CF">
            <w:pPr>
              <w:pStyle w:val="EMEANormal"/>
              <w:widowControl w:val="0"/>
              <w:spacing w:before="60"/>
              <w:rPr>
                <w:del w:id="1120" w:author="AbbVie2" w:date="2025-05-13T16:36:00Z"/>
                <w:szCs w:val="22"/>
                <w:lang w:val="pt-PT"/>
              </w:rPr>
            </w:pPr>
            <w:del w:id="1121" w:author="AbbVie2" w:date="2025-05-13T16:36:00Z">
              <w:r w:rsidRPr="008912CF">
                <w:rPr>
                  <w:szCs w:val="22"/>
                  <w:lang w:val="pt-PT"/>
                </w:rPr>
                <w:delText>Pouco frequentes</w:delText>
              </w:r>
            </w:del>
          </w:p>
          <w:p w14:paraId="1D43ACE4" w14:textId="0D0A4F0B" w:rsidR="004462A0" w:rsidRPr="008912CF" w:rsidRDefault="004462A0" w:rsidP="00F675CF">
            <w:pPr>
              <w:pStyle w:val="EMEANormal"/>
              <w:widowControl w:val="0"/>
              <w:spacing w:before="60"/>
              <w:rPr>
                <w:del w:id="1122" w:author="AbbVie2" w:date="2025-05-13T16:36:00Z"/>
                <w:szCs w:val="22"/>
                <w:lang w:val="pt-PT"/>
              </w:rPr>
            </w:pPr>
          </w:p>
        </w:tc>
        <w:tc>
          <w:tcPr>
            <w:tcW w:w="4346" w:type="dxa"/>
            <w:tcBorders>
              <w:top w:val="nil"/>
              <w:bottom w:val="nil"/>
            </w:tcBorders>
          </w:tcPr>
          <w:p w14:paraId="484C5E6D" w14:textId="36BF28BE" w:rsidR="004462A0" w:rsidRPr="008912CF" w:rsidRDefault="00615769" w:rsidP="00F675CF">
            <w:pPr>
              <w:pStyle w:val="EMEANormal"/>
              <w:widowControl w:val="0"/>
              <w:spacing w:before="60"/>
              <w:rPr>
                <w:del w:id="1123" w:author="AbbVie2" w:date="2025-05-13T16:36:00Z"/>
                <w:szCs w:val="22"/>
                <w:lang w:val="pt-PT"/>
              </w:rPr>
            </w:pPr>
            <w:del w:id="1124" w:author="AbbVie2" w:date="2025-05-13T16:36:00Z">
              <w:r>
                <w:rPr>
                  <w:szCs w:val="22"/>
                  <w:lang w:val="pt-PT"/>
                </w:rPr>
                <w:delText>E</w:delText>
              </w:r>
              <w:r w:rsidRPr="008912CF">
                <w:rPr>
                  <w:szCs w:val="22"/>
                  <w:lang w:val="pt-PT"/>
                </w:rPr>
                <w:delText>nfarte do miocárdio</w:delText>
              </w:r>
              <w:r w:rsidRPr="008912CF">
                <w:rPr>
                  <w:szCs w:val="22"/>
                  <w:vertAlign w:val="superscript"/>
                  <w:lang w:val="pt-PT"/>
                </w:rPr>
                <w:delText>1)</w:delText>
              </w:r>
              <w:r w:rsidRPr="008912CF">
                <w:rPr>
                  <w:szCs w:val="22"/>
                  <w:lang w:val="pt-PT"/>
                </w:rPr>
                <w:delText>,</w:delText>
              </w:r>
            </w:del>
          </w:p>
          <w:p w14:paraId="34CF4CE5" w14:textId="0DA81CBB" w:rsidR="004462A0" w:rsidRPr="008912CF" w:rsidRDefault="00615769" w:rsidP="00F675CF">
            <w:pPr>
              <w:pStyle w:val="EMEANormal"/>
              <w:widowControl w:val="0"/>
              <w:spacing w:before="60"/>
              <w:rPr>
                <w:del w:id="1125" w:author="AbbVie2" w:date="2025-05-13T16:36:00Z"/>
                <w:szCs w:val="22"/>
                <w:lang w:val="pt-PT"/>
              </w:rPr>
            </w:pPr>
            <w:del w:id="1126" w:author="AbbVie2" w:date="2025-05-13T16:36:00Z">
              <w:r w:rsidRPr="008912CF">
                <w:rPr>
                  <w:szCs w:val="22"/>
                  <w:lang w:val="pt-PT"/>
                </w:rPr>
                <w:delText>arritmia,</w:delText>
              </w:r>
            </w:del>
          </w:p>
          <w:p w14:paraId="0FC5CA1B" w14:textId="3F524FF2" w:rsidR="004462A0" w:rsidRPr="008912CF" w:rsidRDefault="00615769" w:rsidP="00F675CF">
            <w:pPr>
              <w:pStyle w:val="EMEANormal"/>
              <w:widowControl w:val="0"/>
              <w:spacing w:before="60"/>
              <w:rPr>
                <w:del w:id="1127" w:author="AbbVie2" w:date="2025-05-13T16:36:00Z"/>
                <w:szCs w:val="22"/>
                <w:lang w:val="pt-PT"/>
              </w:rPr>
            </w:pPr>
            <w:del w:id="1128" w:author="AbbVie2" w:date="2025-05-13T16:36:00Z">
              <w:r w:rsidRPr="008912CF">
                <w:rPr>
                  <w:szCs w:val="22"/>
                  <w:lang w:val="pt-PT"/>
                </w:rPr>
                <w:delText xml:space="preserve">insuficiência cardíaca congestiva </w:delText>
              </w:r>
            </w:del>
          </w:p>
          <w:p w14:paraId="31E72A47" w14:textId="53D1C2BE" w:rsidR="004462A0" w:rsidRPr="008912CF" w:rsidRDefault="004462A0" w:rsidP="00F675CF">
            <w:pPr>
              <w:pStyle w:val="EMEANormal"/>
              <w:widowControl w:val="0"/>
              <w:spacing w:before="60"/>
              <w:rPr>
                <w:del w:id="1129" w:author="AbbVie2" w:date="2025-05-13T16:36:00Z"/>
                <w:szCs w:val="22"/>
                <w:lang w:val="pt-PT"/>
              </w:rPr>
            </w:pPr>
          </w:p>
        </w:tc>
      </w:tr>
      <w:tr w:rsidR="00A7162A" w14:paraId="7F17AAE8" w14:textId="00007E04" w:rsidTr="00F675CF">
        <w:trPr>
          <w:del w:id="1130" w:author="AbbVie2" w:date="2025-05-13T16:36:00Z"/>
        </w:trPr>
        <w:tc>
          <w:tcPr>
            <w:tcW w:w="2514" w:type="dxa"/>
            <w:vMerge/>
          </w:tcPr>
          <w:p w14:paraId="1B593713" w14:textId="043F97DC" w:rsidR="004462A0" w:rsidRPr="008912CF" w:rsidRDefault="004462A0" w:rsidP="00F675CF">
            <w:pPr>
              <w:widowControl w:val="0"/>
              <w:spacing w:before="60"/>
              <w:jc w:val="center"/>
              <w:rPr>
                <w:del w:id="1131" w:author="AbbVie2" w:date="2025-05-13T16:36:00Z"/>
                <w:b/>
              </w:rPr>
            </w:pPr>
          </w:p>
        </w:tc>
        <w:tc>
          <w:tcPr>
            <w:tcW w:w="1996" w:type="dxa"/>
            <w:tcBorders>
              <w:top w:val="nil"/>
            </w:tcBorders>
          </w:tcPr>
          <w:p w14:paraId="48A2825C" w14:textId="32C01143" w:rsidR="004462A0" w:rsidRPr="008912CF" w:rsidRDefault="00615769" w:rsidP="00F675CF">
            <w:pPr>
              <w:pStyle w:val="EMEANormal"/>
              <w:widowControl w:val="0"/>
              <w:rPr>
                <w:del w:id="1132" w:author="AbbVie2" w:date="2025-05-13T16:36:00Z"/>
                <w:szCs w:val="22"/>
                <w:lang w:val="pt-PT"/>
              </w:rPr>
            </w:pPr>
            <w:del w:id="1133" w:author="AbbVie2" w:date="2025-05-13T16:36:00Z">
              <w:r w:rsidRPr="008912CF">
                <w:rPr>
                  <w:szCs w:val="22"/>
                  <w:lang w:val="pt-PT"/>
                </w:rPr>
                <w:delText>Raros</w:delText>
              </w:r>
            </w:del>
          </w:p>
        </w:tc>
        <w:tc>
          <w:tcPr>
            <w:tcW w:w="4346" w:type="dxa"/>
            <w:tcBorders>
              <w:top w:val="nil"/>
            </w:tcBorders>
          </w:tcPr>
          <w:p w14:paraId="1D6FCE94" w14:textId="6E9E8B9D" w:rsidR="004462A0" w:rsidRPr="008912CF" w:rsidRDefault="00615769" w:rsidP="00F675CF">
            <w:pPr>
              <w:pStyle w:val="EMEANormal"/>
              <w:widowControl w:val="0"/>
              <w:rPr>
                <w:del w:id="1134" w:author="AbbVie2" w:date="2025-05-13T16:36:00Z"/>
                <w:szCs w:val="22"/>
                <w:lang w:val="pt-PT"/>
              </w:rPr>
            </w:pPr>
            <w:del w:id="1135" w:author="AbbVie2" w:date="2025-05-13T16:36:00Z">
              <w:r>
                <w:rPr>
                  <w:szCs w:val="22"/>
                  <w:lang w:val="pt-PT"/>
                </w:rPr>
                <w:delText>P</w:delText>
              </w:r>
              <w:r w:rsidRPr="008912CF">
                <w:rPr>
                  <w:szCs w:val="22"/>
                  <w:lang w:val="pt-PT"/>
                </w:rPr>
                <w:delText>aragem cardíaca</w:delText>
              </w:r>
            </w:del>
          </w:p>
          <w:p w14:paraId="6554BE5C" w14:textId="535F099C" w:rsidR="004462A0" w:rsidRPr="008912CF" w:rsidRDefault="004462A0" w:rsidP="00F675CF">
            <w:pPr>
              <w:pStyle w:val="EMEANormal"/>
              <w:widowControl w:val="0"/>
              <w:rPr>
                <w:del w:id="1136" w:author="AbbVie2" w:date="2025-05-13T16:36:00Z"/>
                <w:szCs w:val="22"/>
                <w:lang w:val="pt-PT"/>
              </w:rPr>
            </w:pPr>
          </w:p>
        </w:tc>
      </w:tr>
      <w:tr w:rsidR="00A7162A" w14:paraId="60037F1D" w14:textId="3FB0DFD5" w:rsidTr="00F675CF">
        <w:trPr>
          <w:del w:id="1137" w:author="AbbVie2" w:date="2025-05-13T16:36:00Z"/>
        </w:trPr>
        <w:tc>
          <w:tcPr>
            <w:tcW w:w="2514" w:type="dxa"/>
            <w:vMerge w:val="restart"/>
          </w:tcPr>
          <w:p w14:paraId="4A047E2B" w14:textId="48991BEB" w:rsidR="004462A0" w:rsidRPr="008912CF" w:rsidRDefault="00615769" w:rsidP="00F675CF">
            <w:pPr>
              <w:pStyle w:val="EMEANormal"/>
              <w:widowControl w:val="0"/>
              <w:spacing w:before="60"/>
              <w:rPr>
                <w:del w:id="1138" w:author="AbbVie2" w:date="2025-05-13T16:36:00Z"/>
                <w:szCs w:val="22"/>
                <w:lang w:val="pt-PT"/>
              </w:rPr>
            </w:pPr>
            <w:del w:id="1139" w:author="AbbVie2" w:date="2025-05-13T16:36:00Z">
              <w:r w:rsidRPr="008912CF">
                <w:rPr>
                  <w:szCs w:val="22"/>
                  <w:lang w:val="pt-PT"/>
                </w:rPr>
                <w:delText>Vasculopatias</w:delText>
              </w:r>
            </w:del>
          </w:p>
        </w:tc>
        <w:tc>
          <w:tcPr>
            <w:tcW w:w="1996" w:type="dxa"/>
            <w:tcBorders>
              <w:bottom w:val="nil"/>
            </w:tcBorders>
          </w:tcPr>
          <w:p w14:paraId="29690313" w14:textId="4B6A3279" w:rsidR="004462A0" w:rsidRPr="008912CF" w:rsidRDefault="00615769" w:rsidP="00F675CF">
            <w:pPr>
              <w:pStyle w:val="EMEANormal"/>
              <w:widowControl w:val="0"/>
              <w:spacing w:before="60"/>
              <w:rPr>
                <w:del w:id="1140" w:author="AbbVie2" w:date="2025-05-13T16:36:00Z"/>
                <w:szCs w:val="22"/>
                <w:lang w:val="pt-PT"/>
              </w:rPr>
            </w:pPr>
            <w:del w:id="1141" w:author="AbbVie2" w:date="2025-05-13T16:36:00Z">
              <w:r w:rsidRPr="008912CF">
                <w:rPr>
                  <w:szCs w:val="22"/>
                  <w:lang w:val="pt-PT"/>
                </w:rPr>
                <w:delText>Frequentes</w:delText>
              </w:r>
            </w:del>
          </w:p>
          <w:p w14:paraId="3CA7C65F" w14:textId="441F1709" w:rsidR="004462A0" w:rsidRPr="008912CF" w:rsidRDefault="004462A0" w:rsidP="00F675CF">
            <w:pPr>
              <w:pStyle w:val="EMEANormal"/>
              <w:widowControl w:val="0"/>
              <w:spacing w:before="60"/>
              <w:rPr>
                <w:del w:id="1142" w:author="AbbVie2" w:date="2025-05-13T16:36:00Z"/>
                <w:szCs w:val="22"/>
                <w:lang w:val="pt-PT"/>
              </w:rPr>
            </w:pPr>
          </w:p>
        </w:tc>
        <w:tc>
          <w:tcPr>
            <w:tcW w:w="4346" w:type="dxa"/>
            <w:tcBorders>
              <w:bottom w:val="nil"/>
            </w:tcBorders>
          </w:tcPr>
          <w:p w14:paraId="0B71F585" w14:textId="2DBAA0A4" w:rsidR="004462A0" w:rsidRPr="008912CF" w:rsidRDefault="00615769" w:rsidP="00F675CF">
            <w:pPr>
              <w:pStyle w:val="EMEANormal"/>
              <w:widowControl w:val="0"/>
              <w:spacing w:before="60"/>
              <w:rPr>
                <w:del w:id="1143" w:author="AbbVie2" w:date="2025-05-13T16:36:00Z"/>
                <w:szCs w:val="22"/>
                <w:lang w:val="pt-PT"/>
              </w:rPr>
            </w:pPr>
            <w:del w:id="1144" w:author="AbbVie2" w:date="2025-05-13T16:36:00Z">
              <w:r>
                <w:rPr>
                  <w:szCs w:val="22"/>
                  <w:lang w:val="pt-PT"/>
                </w:rPr>
                <w:delText>H</w:delText>
              </w:r>
              <w:r w:rsidRPr="008912CF">
                <w:rPr>
                  <w:szCs w:val="22"/>
                  <w:lang w:val="pt-PT"/>
                </w:rPr>
                <w:delText xml:space="preserve">ipertensão, </w:delText>
              </w:r>
            </w:del>
          </w:p>
          <w:p w14:paraId="2DE49BFA" w14:textId="13EA464C" w:rsidR="004462A0" w:rsidRPr="008912CF" w:rsidRDefault="00615769" w:rsidP="00F675CF">
            <w:pPr>
              <w:pStyle w:val="EMEANormal"/>
              <w:widowControl w:val="0"/>
              <w:spacing w:before="60"/>
              <w:rPr>
                <w:del w:id="1145" w:author="AbbVie2" w:date="2025-05-13T16:36:00Z"/>
                <w:szCs w:val="22"/>
                <w:lang w:val="pt-PT"/>
              </w:rPr>
            </w:pPr>
            <w:del w:id="1146" w:author="AbbVie2" w:date="2025-05-13T16:36:00Z">
              <w:r w:rsidRPr="008912CF">
                <w:rPr>
                  <w:szCs w:val="22"/>
                  <w:lang w:val="pt-PT"/>
                </w:rPr>
                <w:delText>vasodilatação,</w:delText>
              </w:r>
            </w:del>
          </w:p>
          <w:p w14:paraId="36408330" w14:textId="5C1B0928" w:rsidR="004462A0" w:rsidRPr="008912CF" w:rsidRDefault="00615769" w:rsidP="00F675CF">
            <w:pPr>
              <w:pStyle w:val="EMEANormal"/>
              <w:widowControl w:val="0"/>
              <w:spacing w:before="60"/>
              <w:rPr>
                <w:del w:id="1147" w:author="AbbVie2" w:date="2025-05-13T16:36:00Z"/>
                <w:szCs w:val="22"/>
                <w:lang w:val="pt-PT"/>
              </w:rPr>
            </w:pPr>
            <w:del w:id="1148" w:author="AbbVie2" w:date="2025-05-13T16:36:00Z">
              <w:r w:rsidRPr="008912CF">
                <w:rPr>
                  <w:szCs w:val="22"/>
                  <w:lang w:val="pt-PT"/>
                </w:rPr>
                <w:delText>hematoma</w:delText>
              </w:r>
            </w:del>
          </w:p>
          <w:p w14:paraId="63F59935" w14:textId="143B3D71" w:rsidR="004462A0" w:rsidRPr="008912CF" w:rsidRDefault="004462A0" w:rsidP="00F675CF">
            <w:pPr>
              <w:pStyle w:val="EMEANormal"/>
              <w:widowControl w:val="0"/>
              <w:spacing w:before="60"/>
              <w:rPr>
                <w:del w:id="1149" w:author="AbbVie2" w:date="2025-05-13T16:36:00Z"/>
                <w:szCs w:val="22"/>
                <w:lang w:val="pt-PT"/>
              </w:rPr>
            </w:pPr>
          </w:p>
        </w:tc>
      </w:tr>
      <w:tr w:rsidR="00A7162A" w14:paraId="084684DD" w14:textId="402D73C1" w:rsidTr="00F675CF">
        <w:trPr>
          <w:del w:id="1150" w:author="AbbVie2" w:date="2025-05-13T16:36:00Z"/>
        </w:trPr>
        <w:tc>
          <w:tcPr>
            <w:tcW w:w="2514" w:type="dxa"/>
            <w:vMerge/>
          </w:tcPr>
          <w:p w14:paraId="013054DB" w14:textId="7F87C8AA" w:rsidR="004462A0" w:rsidRPr="008912CF" w:rsidRDefault="004462A0" w:rsidP="00F675CF">
            <w:pPr>
              <w:pStyle w:val="EMEANormal"/>
              <w:widowControl w:val="0"/>
              <w:spacing w:before="60"/>
              <w:rPr>
                <w:del w:id="1151" w:author="AbbVie2" w:date="2025-05-13T16:36:00Z"/>
                <w:szCs w:val="22"/>
                <w:lang w:val="pt-PT"/>
              </w:rPr>
            </w:pPr>
          </w:p>
        </w:tc>
        <w:tc>
          <w:tcPr>
            <w:tcW w:w="1996" w:type="dxa"/>
            <w:tcBorders>
              <w:top w:val="nil"/>
            </w:tcBorders>
          </w:tcPr>
          <w:p w14:paraId="3633F674" w14:textId="45B09430" w:rsidR="004462A0" w:rsidRPr="008912CF" w:rsidRDefault="00615769" w:rsidP="00F675CF">
            <w:pPr>
              <w:pStyle w:val="EMEANormal"/>
              <w:widowControl w:val="0"/>
              <w:rPr>
                <w:del w:id="1152" w:author="AbbVie2" w:date="2025-05-13T16:36:00Z"/>
                <w:szCs w:val="22"/>
                <w:lang w:val="pt-PT"/>
              </w:rPr>
            </w:pPr>
            <w:del w:id="1153" w:author="AbbVie2" w:date="2025-05-13T16:36:00Z">
              <w:r w:rsidRPr="008912CF">
                <w:rPr>
                  <w:szCs w:val="22"/>
                  <w:lang w:val="pt-PT"/>
                </w:rPr>
                <w:delText>Pouco frequentes</w:delText>
              </w:r>
            </w:del>
          </w:p>
        </w:tc>
        <w:tc>
          <w:tcPr>
            <w:tcW w:w="4346" w:type="dxa"/>
            <w:tcBorders>
              <w:top w:val="nil"/>
            </w:tcBorders>
          </w:tcPr>
          <w:p w14:paraId="02829005" w14:textId="258F024A" w:rsidR="004462A0" w:rsidRPr="008912CF" w:rsidRDefault="00615769" w:rsidP="00F675CF">
            <w:pPr>
              <w:pStyle w:val="EMEANormal"/>
              <w:rPr>
                <w:del w:id="1154" w:author="AbbVie2" w:date="2025-05-13T16:36:00Z"/>
                <w:szCs w:val="22"/>
                <w:lang w:val="pt-PT"/>
              </w:rPr>
            </w:pPr>
            <w:del w:id="1155" w:author="AbbVie2" w:date="2025-05-13T16:36:00Z">
              <w:r>
                <w:rPr>
                  <w:szCs w:val="22"/>
                  <w:lang w:val="pt-PT"/>
                </w:rPr>
                <w:delText>A</w:delText>
              </w:r>
              <w:r w:rsidRPr="008912CF">
                <w:rPr>
                  <w:szCs w:val="22"/>
                  <w:lang w:val="pt-PT"/>
                </w:rPr>
                <w:delText xml:space="preserve">neurisma da aorta, </w:delText>
              </w:r>
            </w:del>
          </w:p>
          <w:p w14:paraId="65DBC085" w14:textId="0D3AEF8B" w:rsidR="004462A0" w:rsidRPr="008912CF" w:rsidRDefault="00615769" w:rsidP="00F675CF">
            <w:pPr>
              <w:pStyle w:val="EMEANormal"/>
              <w:rPr>
                <w:del w:id="1156" w:author="AbbVie2" w:date="2025-05-13T16:36:00Z"/>
                <w:szCs w:val="22"/>
                <w:lang w:val="pt-PT"/>
              </w:rPr>
            </w:pPr>
            <w:del w:id="1157" w:author="AbbVie2" w:date="2025-05-13T16:36:00Z">
              <w:r w:rsidRPr="008912CF">
                <w:rPr>
                  <w:szCs w:val="22"/>
                  <w:lang w:val="pt-PT"/>
                </w:rPr>
                <w:delText>oclusão vascular arterial,</w:delText>
              </w:r>
            </w:del>
          </w:p>
          <w:p w14:paraId="3A758AB5" w14:textId="25E0E29E" w:rsidR="004462A0" w:rsidRPr="008912CF" w:rsidRDefault="00615769" w:rsidP="00F675CF">
            <w:pPr>
              <w:pStyle w:val="EMEANormal"/>
              <w:widowControl w:val="0"/>
              <w:rPr>
                <w:del w:id="1158" w:author="AbbVie2" w:date="2025-05-13T16:36:00Z"/>
                <w:szCs w:val="22"/>
                <w:lang w:val="pt-PT"/>
              </w:rPr>
            </w:pPr>
            <w:del w:id="1159" w:author="AbbVie2" w:date="2025-05-13T16:36:00Z">
              <w:r w:rsidRPr="008912CF">
                <w:rPr>
                  <w:szCs w:val="22"/>
                  <w:lang w:val="pt-PT"/>
                </w:rPr>
                <w:delText>tromboflebite</w:delText>
              </w:r>
            </w:del>
          </w:p>
          <w:p w14:paraId="4A570ACF" w14:textId="3F627BA0" w:rsidR="004462A0" w:rsidRPr="008912CF" w:rsidRDefault="004462A0" w:rsidP="00F675CF">
            <w:pPr>
              <w:pStyle w:val="EMEANormal"/>
              <w:widowControl w:val="0"/>
              <w:rPr>
                <w:del w:id="1160" w:author="AbbVie2" w:date="2025-05-13T16:36:00Z"/>
                <w:szCs w:val="22"/>
                <w:lang w:val="pt-PT"/>
              </w:rPr>
            </w:pPr>
          </w:p>
        </w:tc>
      </w:tr>
      <w:tr w:rsidR="00A7162A" w14:paraId="0C3E2368" w14:textId="2C0DE434" w:rsidTr="00F675CF">
        <w:trPr>
          <w:del w:id="1161" w:author="AbbVie2" w:date="2025-05-13T16:36:00Z"/>
        </w:trPr>
        <w:tc>
          <w:tcPr>
            <w:tcW w:w="2514" w:type="dxa"/>
            <w:vMerge w:val="restart"/>
          </w:tcPr>
          <w:p w14:paraId="1463C7B6" w14:textId="0D732944" w:rsidR="004462A0" w:rsidRPr="008912CF" w:rsidRDefault="00615769" w:rsidP="00F675CF">
            <w:pPr>
              <w:pStyle w:val="EMEANormal"/>
              <w:keepNext/>
              <w:widowControl w:val="0"/>
              <w:spacing w:before="60"/>
              <w:rPr>
                <w:del w:id="1162" w:author="AbbVie2" w:date="2025-05-13T16:36:00Z"/>
                <w:szCs w:val="22"/>
                <w:lang w:val="pt-PT"/>
              </w:rPr>
            </w:pPr>
            <w:del w:id="1163" w:author="AbbVie2" w:date="2025-05-13T16:36:00Z">
              <w:r w:rsidRPr="008912CF">
                <w:rPr>
                  <w:szCs w:val="22"/>
                  <w:lang w:val="pt-PT"/>
                </w:rPr>
                <w:delText>Doenças respiratórias, torácicas e do mediastino *</w:delText>
              </w:r>
            </w:del>
          </w:p>
        </w:tc>
        <w:tc>
          <w:tcPr>
            <w:tcW w:w="1996" w:type="dxa"/>
            <w:tcBorders>
              <w:bottom w:val="nil"/>
            </w:tcBorders>
          </w:tcPr>
          <w:p w14:paraId="52F15826" w14:textId="057689AB" w:rsidR="004462A0" w:rsidRPr="008912CF" w:rsidRDefault="00615769" w:rsidP="00F675CF">
            <w:pPr>
              <w:pStyle w:val="EMEANormal"/>
              <w:keepNext/>
              <w:widowControl w:val="0"/>
              <w:spacing w:before="60"/>
              <w:rPr>
                <w:del w:id="1164" w:author="AbbVie2" w:date="2025-05-13T16:36:00Z"/>
                <w:szCs w:val="22"/>
                <w:lang w:val="pt-PT"/>
              </w:rPr>
            </w:pPr>
            <w:del w:id="1165" w:author="AbbVie2" w:date="2025-05-13T16:36:00Z">
              <w:r w:rsidRPr="008912CF">
                <w:rPr>
                  <w:szCs w:val="22"/>
                  <w:lang w:val="pt-PT"/>
                </w:rPr>
                <w:delText>Frequentes</w:delText>
              </w:r>
            </w:del>
          </w:p>
          <w:p w14:paraId="0FCF8B24" w14:textId="2F8C2303" w:rsidR="004462A0" w:rsidRPr="008912CF" w:rsidRDefault="004462A0" w:rsidP="00F675CF">
            <w:pPr>
              <w:pStyle w:val="EMEANormal"/>
              <w:keepNext/>
              <w:widowControl w:val="0"/>
              <w:spacing w:before="60"/>
              <w:rPr>
                <w:del w:id="1166" w:author="AbbVie2" w:date="2025-05-13T16:36:00Z"/>
                <w:szCs w:val="22"/>
                <w:lang w:val="pt-PT"/>
              </w:rPr>
            </w:pPr>
          </w:p>
        </w:tc>
        <w:tc>
          <w:tcPr>
            <w:tcW w:w="4346" w:type="dxa"/>
            <w:tcBorders>
              <w:bottom w:val="nil"/>
            </w:tcBorders>
          </w:tcPr>
          <w:p w14:paraId="281995AF" w14:textId="73ABCAC5" w:rsidR="004462A0" w:rsidRPr="008912CF" w:rsidRDefault="00615769" w:rsidP="00F675CF">
            <w:pPr>
              <w:pStyle w:val="EMEANormal"/>
              <w:keepNext/>
              <w:widowControl w:val="0"/>
              <w:spacing w:before="60"/>
              <w:rPr>
                <w:del w:id="1167" w:author="AbbVie2" w:date="2025-05-13T16:36:00Z"/>
                <w:szCs w:val="22"/>
                <w:lang w:val="pt-PT"/>
              </w:rPr>
            </w:pPr>
            <w:del w:id="1168" w:author="AbbVie2" w:date="2025-05-13T16:36:00Z">
              <w:r>
                <w:rPr>
                  <w:szCs w:val="22"/>
                  <w:lang w:val="pt-PT"/>
                </w:rPr>
                <w:delText>A</w:delText>
              </w:r>
              <w:r w:rsidRPr="008912CF">
                <w:rPr>
                  <w:szCs w:val="22"/>
                  <w:lang w:val="pt-PT"/>
                </w:rPr>
                <w:delText xml:space="preserve">sma, </w:delText>
              </w:r>
            </w:del>
          </w:p>
          <w:p w14:paraId="7890177D" w14:textId="24A36ACC" w:rsidR="004462A0" w:rsidRPr="008912CF" w:rsidRDefault="00615769" w:rsidP="00F675CF">
            <w:pPr>
              <w:pStyle w:val="EMEANormal"/>
              <w:keepNext/>
              <w:widowControl w:val="0"/>
              <w:spacing w:before="60"/>
              <w:rPr>
                <w:del w:id="1169" w:author="AbbVie2" w:date="2025-05-13T16:36:00Z"/>
                <w:szCs w:val="22"/>
                <w:lang w:val="pt-PT"/>
              </w:rPr>
            </w:pPr>
            <w:del w:id="1170" w:author="AbbVie2" w:date="2025-05-13T16:36:00Z">
              <w:r w:rsidRPr="008912CF">
                <w:rPr>
                  <w:szCs w:val="22"/>
                  <w:lang w:val="pt-PT"/>
                </w:rPr>
                <w:delText>dispneia,</w:delText>
              </w:r>
            </w:del>
          </w:p>
          <w:p w14:paraId="4AE20A19" w14:textId="6795210C" w:rsidR="004462A0" w:rsidRPr="008912CF" w:rsidRDefault="00615769" w:rsidP="00F675CF">
            <w:pPr>
              <w:pStyle w:val="EMEANormal"/>
              <w:keepNext/>
              <w:widowControl w:val="0"/>
              <w:spacing w:before="60"/>
              <w:rPr>
                <w:del w:id="1171" w:author="AbbVie2" w:date="2025-05-13T16:36:00Z"/>
                <w:szCs w:val="22"/>
                <w:lang w:val="pt-PT"/>
              </w:rPr>
            </w:pPr>
            <w:del w:id="1172" w:author="AbbVie2" w:date="2025-05-13T16:36:00Z">
              <w:r w:rsidRPr="008912CF">
                <w:rPr>
                  <w:szCs w:val="22"/>
                  <w:lang w:val="pt-PT"/>
                </w:rPr>
                <w:delText>tosse</w:delText>
              </w:r>
            </w:del>
          </w:p>
          <w:p w14:paraId="5CAA4C4E" w14:textId="5F21BAF3" w:rsidR="004462A0" w:rsidRPr="008912CF" w:rsidRDefault="004462A0" w:rsidP="00F675CF">
            <w:pPr>
              <w:pStyle w:val="EMEANormal"/>
              <w:keepNext/>
              <w:widowControl w:val="0"/>
              <w:spacing w:before="60"/>
              <w:rPr>
                <w:del w:id="1173" w:author="AbbVie2" w:date="2025-05-13T16:36:00Z"/>
                <w:szCs w:val="22"/>
                <w:lang w:val="pt-PT"/>
              </w:rPr>
            </w:pPr>
          </w:p>
        </w:tc>
      </w:tr>
      <w:tr w:rsidR="00A7162A" w14:paraId="5FA65310" w14:textId="0290C438" w:rsidTr="00F675CF">
        <w:trPr>
          <w:del w:id="1174" w:author="AbbVie2" w:date="2025-05-13T16:36:00Z"/>
        </w:trPr>
        <w:tc>
          <w:tcPr>
            <w:tcW w:w="2514" w:type="dxa"/>
            <w:vMerge/>
          </w:tcPr>
          <w:p w14:paraId="46E102CE" w14:textId="2BF87642" w:rsidR="004462A0" w:rsidRPr="008912CF" w:rsidRDefault="004462A0" w:rsidP="00F675CF">
            <w:pPr>
              <w:keepNext/>
              <w:widowControl w:val="0"/>
              <w:spacing w:before="60"/>
              <w:jc w:val="center"/>
              <w:rPr>
                <w:del w:id="1175" w:author="AbbVie2" w:date="2025-05-13T16:36:00Z"/>
                <w:b/>
              </w:rPr>
            </w:pPr>
          </w:p>
        </w:tc>
        <w:tc>
          <w:tcPr>
            <w:tcW w:w="1996" w:type="dxa"/>
            <w:tcBorders>
              <w:top w:val="nil"/>
              <w:bottom w:val="nil"/>
            </w:tcBorders>
          </w:tcPr>
          <w:p w14:paraId="41357140" w14:textId="507EC04E" w:rsidR="004462A0" w:rsidRPr="008912CF" w:rsidRDefault="00615769" w:rsidP="00F675CF">
            <w:pPr>
              <w:pStyle w:val="EMEANormal"/>
              <w:keepNext/>
              <w:widowControl w:val="0"/>
              <w:rPr>
                <w:del w:id="1176" w:author="AbbVie2" w:date="2025-05-13T16:36:00Z"/>
                <w:szCs w:val="22"/>
                <w:lang w:val="pt-PT"/>
              </w:rPr>
            </w:pPr>
            <w:del w:id="1177" w:author="AbbVie2" w:date="2025-05-13T16:36:00Z">
              <w:r w:rsidRPr="008912CF">
                <w:rPr>
                  <w:szCs w:val="22"/>
                  <w:lang w:val="pt-PT"/>
                </w:rPr>
                <w:delText>Pouco frequentes</w:delText>
              </w:r>
            </w:del>
          </w:p>
          <w:p w14:paraId="3A468AFA" w14:textId="29A45890" w:rsidR="004462A0" w:rsidRPr="008912CF" w:rsidRDefault="004462A0" w:rsidP="00F675CF">
            <w:pPr>
              <w:pStyle w:val="EMEANormal"/>
              <w:keepNext/>
              <w:widowControl w:val="0"/>
              <w:rPr>
                <w:del w:id="1178" w:author="AbbVie2" w:date="2025-05-13T16:36:00Z"/>
                <w:szCs w:val="22"/>
                <w:lang w:val="pt-PT"/>
              </w:rPr>
            </w:pPr>
          </w:p>
          <w:p w14:paraId="3F4E73C9" w14:textId="20E65931" w:rsidR="004462A0" w:rsidRPr="008912CF" w:rsidRDefault="004462A0" w:rsidP="00F675CF">
            <w:pPr>
              <w:pStyle w:val="EMEANormal"/>
              <w:keepNext/>
              <w:widowControl w:val="0"/>
              <w:rPr>
                <w:del w:id="1179" w:author="AbbVie2" w:date="2025-05-13T16:36:00Z"/>
                <w:szCs w:val="22"/>
                <w:lang w:val="pt-PT"/>
              </w:rPr>
            </w:pPr>
          </w:p>
          <w:p w14:paraId="3FBCAD20" w14:textId="3FF86E37" w:rsidR="004462A0" w:rsidRPr="008912CF" w:rsidRDefault="004462A0" w:rsidP="00F675CF">
            <w:pPr>
              <w:pStyle w:val="EMEANormal"/>
              <w:keepNext/>
              <w:widowControl w:val="0"/>
              <w:rPr>
                <w:del w:id="1180" w:author="AbbVie2" w:date="2025-05-13T16:36:00Z"/>
                <w:szCs w:val="22"/>
                <w:lang w:val="pt-PT"/>
              </w:rPr>
            </w:pPr>
          </w:p>
          <w:p w14:paraId="444A8CED" w14:textId="38A8FD69" w:rsidR="004462A0" w:rsidRPr="008912CF" w:rsidRDefault="004462A0" w:rsidP="00F675CF">
            <w:pPr>
              <w:pStyle w:val="EMEANormal"/>
              <w:keepNext/>
              <w:widowControl w:val="0"/>
              <w:rPr>
                <w:del w:id="1181" w:author="AbbVie2" w:date="2025-05-13T16:36:00Z"/>
                <w:szCs w:val="22"/>
                <w:lang w:val="pt-PT"/>
              </w:rPr>
            </w:pPr>
          </w:p>
        </w:tc>
        <w:tc>
          <w:tcPr>
            <w:tcW w:w="4346" w:type="dxa"/>
            <w:tcBorders>
              <w:top w:val="nil"/>
              <w:bottom w:val="nil"/>
            </w:tcBorders>
          </w:tcPr>
          <w:p w14:paraId="7B0D33F0" w14:textId="7FA92F78" w:rsidR="004462A0" w:rsidRPr="008912CF" w:rsidRDefault="00615769" w:rsidP="00F675CF">
            <w:pPr>
              <w:pStyle w:val="EMEANormal"/>
              <w:keepNext/>
              <w:widowControl w:val="0"/>
              <w:rPr>
                <w:del w:id="1182" w:author="AbbVie2" w:date="2025-05-13T16:36:00Z"/>
                <w:szCs w:val="22"/>
                <w:lang w:val="pt-PT"/>
              </w:rPr>
            </w:pPr>
            <w:del w:id="1183" w:author="AbbVie2" w:date="2025-05-13T16:36:00Z">
              <w:r>
                <w:rPr>
                  <w:szCs w:val="22"/>
                  <w:lang w:val="pt-PT"/>
                </w:rPr>
                <w:delText>E</w:delText>
              </w:r>
              <w:r w:rsidRPr="008912CF">
                <w:rPr>
                  <w:szCs w:val="22"/>
                  <w:lang w:val="pt-PT"/>
                </w:rPr>
                <w:delText>mboli</w:delText>
              </w:r>
              <w:r w:rsidR="003E3AA9">
                <w:rPr>
                  <w:szCs w:val="22"/>
                  <w:lang w:val="pt-PT"/>
                </w:rPr>
                <w:delText>a</w:delText>
              </w:r>
              <w:r w:rsidRPr="008912CF">
                <w:rPr>
                  <w:szCs w:val="22"/>
                  <w:lang w:val="pt-PT"/>
                </w:rPr>
                <w:delText xml:space="preserve"> pulmonar</w:delText>
              </w:r>
              <w:r w:rsidRPr="008912CF">
                <w:rPr>
                  <w:szCs w:val="22"/>
                  <w:vertAlign w:val="superscript"/>
                  <w:lang w:val="pt-PT"/>
                </w:rPr>
                <w:delText>1)</w:delText>
              </w:r>
              <w:r w:rsidRPr="008912CF">
                <w:rPr>
                  <w:szCs w:val="22"/>
                  <w:lang w:val="pt-PT"/>
                </w:rPr>
                <w:delText>,</w:delText>
              </w:r>
            </w:del>
          </w:p>
          <w:p w14:paraId="448E8835" w14:textId="435CD81A" w:rsidR="004462A0" w:rsidRPr="008912CF" w:rsidRDefault="00615769" w:rsidP="00F675CF">
            <w:pPr>
              <w:pStyle w:val="EMEANormal"/>
              <w:keepNext/>
              <w:widowControl w:val="0"/>
              <w:rPr>
                <w:del w:id="1184" w:author="AbbVie2" w:date="2025-05-13T16:36:00Z"/>
                <w:szCs w:val="22"/>
                <w:lang w:val="pt-PT"/>
              </w:rPr>
            </w:pPr>
            <w:del w:id="1185" w:author="AbbVie2" w:date="2025-05-13T16:36:00Z">
              <w:r w:rsidRPr="008912CF">
                <w:rPr>
                  <w:szCs w:val="22"/>
                  <w:lang w:val="pt-PT"/>
                </w:rPr>
                <w:delText xml:space="preserve">doença pulmonar intersticial, </w:delText>
              </w:r>
            </w:del>
          </w:p>
          <w:p w14:paraId="2B0C2336" w14:textId="3083DDA6" w:rsidR="004462A0" w:rsidRPr="008912CF" w:rsidRDefault="00615769" w:rsidP="00F675CF">
            <w:pPr>
              <w:pStyle w:val="EMEANormal"/>
              <w:keepNext/>
              <w:widowControl w:val="0"/>
              <w:rPr>
                <w:del w:id="1186" w:author="AbbVie2" w:date="2025-05-13T16:36:00Z"/>
                <w:szCs w:val="22"/>
                <w:lang w:val="pt-PT"/>
              </w:rPr>
            </w:pPr>
            <w:del w:id="1187" w:author="AbbVie2" w:date="2025-05-13T16:36:00Z">
              <w:r w:rsidRPr="008912CF">
                <w:rPr>
                  <w:szCs w:val="22"/>
                  <w:lang w:val="pt-PT"/>
                </w:rPr>
                <w:delText xml:space="preserve">doença pulmonar </w:delText>
              </w:r>
              <w:r w:rsidR="00D9472B" w:rsidRPr="008912CF">
                <w:rPr>
                  <w:szCs w:val="22"/>
                  <w:lang w:val="pt-PT"/>
                </w:rPr>
                <w:delText xml:space="preserve">obstrutiva </w:delText>
              </w:r>
              <w:r w:rsidRPr="008912CF">
                <w:rPr>
                  <w:szCs w:val="22"/>
                  <w:lang w:val="pt-PT"/>
                </w:rPr>
                <w:delText xml:space="preserve">crónica, </w:delText>
              </w:r>
            </w:del>
          </w:p>
          <w:p w14:paraId="0BAF8CD0" w14:textId="66C6AC18" w:rsidR="004462A0" w:rsidRPr="008912CF" w:rsidRDefault="00615769" w:rsidP="00F675CF">
            <w:pPr>
              <w:pStyle w:val="EMEANormal"/>
              <w:keepNext/>
              <w:widowControl w:val="0"/>
              <w:rPr>
                <w:del w:id="1188" w:author="AbbVie2" w:date="2025-05-13T16:36:00Z"/>
                <w:szCs w:val="22"/>
                <w:lang w:val="pt-PT"/>
              </w:rPr>
            </w:pPr>
            <w:del w:id="1189" w:author="AbbVie2" w:date="2025-05-13T16:36:00Z">
              <w:r w:rsidRPr="008912CF">
                <w:rPr>
                  <w:szCs w:val="22"/>
                  <w:lang w:val="pt-PT"/>
                </w:rPr>
                <w:delText>pneumonite,</w:delText>
              </w:r>
            </w:del>
          </w:p>
          <w:p w14:paraId="68B9B1E5" w14:textId="5879EBEE" w:rsidR="004462A0" w:rsidRPr="008912CF" w:rsidRDefault="00615769" w:rsidP="00F675CF">
            <w:pPr>
              <w:pStyle w:val="EMEANormal"/>
              <w:keepNext/>
              <w:widowControl w:val="0"/>
              <w:rPr>
                <w:del w:id="1190" w:author="AbbVie2" w:date="2025-05-13T16:36:00Z"/>
                <w:szCs w:val="22"/>
                <w:vertAlign w:val="superscript"/>
                <w:lang w:val="pt-PT"/>
              </w:rPr>
            </w:pPr>
            <w:del w:id="1191" w:author="AbbVie2" w:date="2025-05-13T16:36:00Z">
              <w:r w:rsidRPr="008912CF">
                <w:rPr>
                  <w:szCs w:val="22"/>
                  <w:lang w:val="pt-PT"/>
                </w:rPr>
                <w:delText>derrame pleural</w:delText>
              </w:r>
              <w:r w:rsidRPr="008912CF">
                <w:rPr>
                  <w:szCs w:val="22"/>
                  <w:vertAlign w:val="superscript"/>
                  <w:lang w:val="pt-PT"/>
                </w:rPr>
                <w:delText>1)</w:delText>
              </w:r>
            </w:del>
          </w:p>
          <w:p w14:paraId="36EA9015" w14:textId="585CFE33" w:rsidR="004462A0" w:rsidRPr="008912CF" w:rsidRDefault="004462A0" w:rsidP="00F675CF">
            <w:pPr>
              <w:pStyle w:val="EMEANormal"/>
              <w:keepNext/>
              <w:widowControl w:val="0"/>
              <w:rPr>
                <w:del w:id="1192" w:author="AbbVie2" w:date="2025-05-13T16:36:00Z"/>
                <w:szCs w:val="22"/>
                <w:lang w:val="pt-PT"/>
              </w:rPr>
            </w:pPr>
          </w:p>
        </w:tc>
      </w:tr>
      <w:tr w:rsidR="00A7162A" w14:paraId="1B6C329C" w14:textId="1653944E" w:rsidTr="00F675CF">
        <w:trPr>
          <w:del w:id="1193" w:author="AbbVie2" w:date="2025-05-13T16:36:00Z"/>
        </w:trPr>
        <w:tc>
          <w:tcPr>
            <w:tcW w:w="2514" w:type="dxa"/>
            <w:vMerge/>
          </w:tcPr>
          <w:p w14:paraId="0ACD7A10" w14:textId="06C45C15" w:rsidR="004462A0" w:rsidRPr="008912CF" w:rsidRDefault="004462A0" w:rsidP="00F675CF">
            <w:pPr>
              <w:keepNext/>
              <w:widowControl w:val="0"/>
              <w:spacing w:before="60"/>
              <w:jc w:val="center"/>
              <w:rPr>
                <w:del w:id="1194" w:author="AbbVie2" w:date="2025-05-13T16:36:00Z"/>
                <w:b/>
              </w:rPr>
            </w:pPr>
          </w:p>
        </w:tc>
        <w:tc>
          <w:tcPr>
            <w:tcW w:w="1996" w:type="dxa"/>
            <w:tcBorders>
              <w:top w:val="nil"/>
            </w:tcBorders>
          </w:tcPr>
          <w:p w14:paraId="07D064D9" w14:textId="374BF806" w:rsidR="004462A0" w:rsidRPr="008912CF" w:rsidRDefault="00615769" w:rsidP="00F675CF">
            <w:pPr>
              <w:pStyle w:val="EMEANormal"/>
              <w:keepNext/>
              <w:widowControl w:val="0"/>
              <w:rPr>
                <w:del w:id="1195" w:author="AbbVie2" w:date="2025-05-13T16:36:00Z"/>
                <w:szCs w:val="22"/>
                <w:lang w:val="pt-PT"/>
              </w:rPr>
            </w:pPr>
            <w:del w:id="1196" w:author="AbbVie2" w:date="2025-05-13T16:36:00Z">
              <w:r w:rsidRPr="008912CF">
                <w:rPr>
                  <w:szCs w:val="22"/>
                  <w:lang w:val="pt-PT"/>
                </w:rPr>
                <w:delText>Raros</w:delText>
              </w:r>
            </w:del>
          </w:p>
        </w:tc>
        <w:tc>
          <w:tcPr>
            <w:tcW w:w="4346" w:type="dxa"/>
            <w:tcBorders>
              <w:top w:val="nil"/>
            </w:tcBorders>
          </w:tcPr>
          <w:p w14:paraId="60B992AD" w14:textId="041E5E6F" w:rsidR="004462A0" w:rsidRPr="008912CF" w:rsidRDefault="00615769" w:rsidP="00F675CF">
            <w:pPr>
              <w:pStyle w:val="EMEANormal"/>
              <w:keepNext/>
              <w:widowControl w:val="0"/>
              <w:rPr>
                <w:del w:id="1197" w:author="AbbVie2" w:date="2025-05-13T16:36:00Z"/>
                <w:szCs w:val="22"/>
                <w:vertAlign w:val="superscript"/>
                <w:lang w:val="pt-PT"/>
              </w:rPr>
            </w:pPr>
            <w:del w:id="1198" w:author="AbbVie2" w:date="2025-05-13T16:36:00Z">
              <w:r>
                <w:rPr>
                  <w:szCs w:val="22"/>
                  <w:lang w:val="pt-PT"/>
                </w:rPr>
                <w:delText>F</w:delText>
              </w:r>
              <w:r w:rsidRPr="008912CF">
                <w:rPr>
                  <w:szCs w:val="22"/>
                  <w:lang w:val="pt-PT"/>
                </w:rPr>
                <w:delText>ibrose pulmonar</w:delText>
              </w:r>
              <w:r w:rsidRPr="008912CF">
                <w:rPr>
                  <w:szCs w:val="22"/>
                  <w:vertAlign w:val="superscript"/>
                  <w:lang w:val="pt-PT"/>
                </w:rPr>
                <w:delText>1)</w:delText>
              </w:r>
            </w:del>
          </w:p>
          <w:p w14:paraId="4A3CD961" w14:textId="1C196C11" w:rsidR="004462A0" w:rsidRPr="008912CF" w:rsidRDefault="004462A0" w:rsidP="00F675CF">
            <w:pPr>
              <w:pStyle w:val="EMEANormal"/>
              <w:keepNext/>
              <w:widowControl w:val="0"/>
              <w:rPr>
                <w:del w:id="1199" w:author="AbbVie2" w:date="2025-05-13T16:36:00Z"/>
                <w:szCs w:val="22"/>
                <w:lang w:val="pt-PT"/>
              </w:rPr>
            </w:pPr>
          </w:p>
        </w:tc>
      </w:tr>
      <w:tr w:rsidR="00A7162A" w14:paraId="406DF6EC" w14:textId="60F93F15" w:rsidTr="00F675CF">
        <w:trPr>
          <w:del w:id="1200" w:author="AbbVie2" w:date="2025-05-13T16:36:00Z"/>
        </w:trPr>
        <w:tc>
          <w:tcPr>
            <w:tcW w:w="2514" w:type="dxa"/>
            <w:vMerge w:val="restart"/>
          </w:tcPr>
          <w:p w14:paraId="20DE5261" w14:textId="7A213092" w:rsidR="004462A0" w:rsidRPr="008912CF" w:rsidRDefault="00615769" w:rsidP="00F675CF">
            <w:pPr>
              <w:pStyle w:val="EMEANormal"/>
              <w:widowControl w:val="0"/>
              <w:spacing w:before="60"/>
              <w:rPr>
                <w:del w:id="1201" w:author="AbbVie2" w:date="2025-05-13T16:36:00Z"/>
                <w:szCs w:val="22"/>
                <w:lang w:val="pt-PT"/>
              </w:rPr>
            </w:pPr>
            <w:del w:id="1202" w:author="AbbVie2" w:date="2025-05-13T16:36:00Z">
              <w:r w:rsidRPr="008912CF">
                <w:rPr>
                  <w:szCs w:val="22"/>
                  <w:lang w:val="pt-PT"/>
                </w:rPr>
                <w:delText>Doenças gastrointestinais</w:delText>
              </w:r>
            </w:del>
          </w:p>
        </w:tc>
        <w:tc>
          <w:tcPr>
            <w:tcW w:w="1996" w:type="dxa"/>
            <w:tcBorders>
              <w:bottom w:val="nil"/>
            </w:tcBorders>
          </w:tcPr>
          <w:p w14:paraId="0C0B2690" w14:textId="55620ED4" w:rsidR="004462A0" w:rsidRPr="008912CF" w:rsidRDefault="00615769" w:rsidP="00F675CF">
            <w:pPr>
              <w:pStyle w:val="EMEANormal"/>
              <w:widowControl w:val="0"/>
              <w:spacing w:before="60"/>
              <w:rPr>
                <w:del w:id="1203" w:author="AbbVie2" w:date="2025-05-13T16:36:00Z"/>
                <w:szCs w:val="22"/>
                <w:lang w:val="pt-PT"/>
              </w:rPr>
            </w:pPr>
            <w:del w:id="1204" w:author="AbbVie2" w:date="2025-05-13T16:36:00Z">
              <w:r w:rsidRPr="008912CF">
                <w:rPr>
                  <w:szCs w:val="22"/>
                  <w:lang w:val="pt-PT"/>
                </w:rPr>
                <w:delText xml:space="preserve">Muito frequentes </w:delText>
              </w:r>
            </w:del>
          </w:p>
        </w:tc>
        <w:tc>
          <w:tcPr>
            <w:tcW w:w="4346" w:type="dxa"/>
            <w:tcBorders>
              <w:bottom w:val="nil"/>
            </w:tcBorders>
          </w:tcPr>
          <w:p w14:paraId="22D31531" w14:textId="6E52C3EF" w:rsidR="004462A0" w:rsidRPr="008912CF" w:rsidRDefault="00615769" w:rsidP="00F675CF">
            <w:pPr>
              <w:pStyle w:val="EMEANormal"/>
              <w:widowControl w:val="0"/>
              <w:spacing w:before="60"/>
              <w:rPr>
                <w:del w:id="1205" w:author="AbbVie2" w:date="2025-05-13T16:36:00Z"/>
                <w:szCs w:val="22"/>
                <w:lang w:val="pt-PT"/>
              </w:rPr>
            </w:pPr>
            <w:del w:id="1206" w:author="AbbVie2" w:date="2025-05-13T16:36:00Z">
              <w:r>
                <w:rPr>
                  <w:szCs w:val="22"/>
                  <w:lang w:val="pt-PT"/>
                </w:rPr>
                <w:delText>D</w:delText>
              </w:r>
              <w:r w:rsidRPr="008912CF">
                <w:rPr>
                  <w:szCs w:val="22"/>
                  <w:lang w:val="pt-PT"/>
                </w:rPr>
                <w:delText xml:space="preserve">or abdominal, </w:delText>
              </w:r>
            </w:del>
          </w:p>
          <w:p w14:paraId="16E0B918" w14:textId="7065EA6D" w:rsidR="004462A0" w:rsidRPr="008912CF" w:rsidRDefault="00615769" w:rsidP="00F675CF">
            <w:pPr>
              <w:pStyle w:val="EMEANormal"/>
              <w:widowControl w:val="0"/>
              <w:spacing w:before="60"/>
              <w:rPr>
                <w:del w:id="1207" w:author="AbbVie2" w:date="2025-05-13T16:36:00Z"/>
                <w:szCs w:val="22"/>
                <w:lang w:val="pt-PT"/>
              </w:rPr>
            </w:pPr>
            <w:del w:id="1208" w:author="AbbVie2" w:date="2025-05-13T16:36:00Z">
              <w:r w:rsidRPr="008912CF">
                <w:rPr>
                  <w:szCs w:val="22"/>
                  <w:lang w:val="pt-PT"/>
                </w:rPr>
                <w:delText>náuseas e vómitos</w:delText>
              </w:r>
            </w:del>
          </w:p>
          <w:p w14:paraId="46297B5A" w14:textId="10DF48D1" w:rsidR="004462A0" w:rsidRPr="008912CF" w:rsidRDefault="004462A0" w:rsidP="00F675CF">
            <w:pPr>
              <w:pStyle w:val="EMEANormal"/>
              <w:widowControl w:val="0"/>
              <w:spacing w:before="60"/>
              <w:rPr>
                <w:del w:id="1209" w:author="AbbVie2" w:date="2025-05-13T16:36:00Z"/>
                <w:szCs w:val="22"/>
                <w:lang w:val="pt-PT"/>
              </w:rPr>
            </w:pPr>
          </w:p>
        </w:tc>
      </w:tr>
      <w:tr w:rsidR="00A7162A" w14:paraId="53BCE2C5" w14:textId="50EF1F1D" w:rsidTr="0004619E">
        <w:trPr>
          <w:del w:id="1210" w:author="AbbVie2" w:date="2025-05-13T16:36:00Z"/>
        </w:trPr>
        <w:tc>
          <w:tcPr>
            <w:tcW w:w="2514" w:type="dxa"/>
            <w:vMerge/>
          </w:tcPr>
          <w:p w14:paraId="55A6A3A9" w14:textId="54F5FB91" w:rsidR="004462A0" w:rsidRPr="008912CF" w:rsidRDefault="004462A0" w:rsidP="00F675CF">
            <w:pPr>
              <w:widowControl w:val="0"/>
              <w:spacing w:before="60"/>
              <w:jc w:val="center"/>
              <w:rPr>
                <w:del w:id="1211" w:author="AbbVie2" w:date="2025-05-13T16:36:00Z"/>
                <w:b/>
              </w:rPr>
            </w:pPr>
          </w:p>
        </w:tc>
        <w:tc>
          <w:tcPr>
            <w:tcW w:w="1996" w:type="dxa"/>
            <w:tcBorders>
              <w:top w:val="nil"/>
              <w:bottom w:val="single" w:sz="4" w:space="0" w:color="auto"/>
            </w:tcBorders>
          </w:tcPr>
          <w:p w14:paraId="74E161C2" w14:textId="30C28677" w:rsidR="004462A0" w:rsidRPr="008912CF" w:rsidRDefault="00615769" w:rsidP="00F675CF">
            <w:pPr>
              <w:pStyle w:val="EMEANormal"/>
              <w:widowControl w:val="0"/>
              <w:rPr>
                <w:del w:id="1212" w:author="AbbVie2" w:date="2025-05-13T16:36:00Z"/>
                <w:szCs w:val="22"/>
                <w:lang w:val="pt-PT"/>
              </w:rPr>
            </w:pPr>
            <w:del w:id="1213" w:author="AbbVie2" w:date="2025-05-13T16:36:00Z">
              <w:r w:rsidRPr="008912CF">
                <w:rPr>
                  <w:szCs w:val="22"/>
                  <w:lang w:val="pt-PT"/>
                </w:rPr>
                <w:delText>Frequentes</w:delText>
              </w:r>
            </w:del>
          </w:p>
          <w:p w14:paraId="057047BE" w14:textId="31AD5BDF" w:rsidR="004462A0" w:rsidRPr="008912CF" w:rsidRDefault="004462A0" w:rsidP="00F675CF">
            <w:pPr>
              <w:pStyle w:val="EMEANormal"/>
              <w:widowControl w:val="0"/>
              <w:rPr>
                <w:del w:id="1214" w:author="AbbVie2" w:date="2025-05-13T16:36:00Z"/>
                <w:szCs w:val="22"/>
                <w:lang w:val="pt-PT"/>
              </w:rPr>
            </w:pPr>
          </w:p>
        </w:tc>
        <w:tc>
          <w:tcPr>
            <w:tcW w:w="4346" w:type="dxa"/>
            <w:tcBorders>
              <w:top w:val="nil"/>
              <w:bottom w:val="single" w:sz="4" w:space="0" w:color="auto"/>
            </w:tcBorders>
          </w:tcPr>
          <w:p w14:paraId="3F7CE5AB" w14:textId="185719B6" w:rsidR="004462A0" w:rsidRPr="008912CF" w:rsidRDefault="00615769" w:rsidP="00F675CF">
            <w:pPr>
              <w:pStyle w:val="EMEANormal"/>
              <w:widowControl w:val="0"/>
              <w:rPr>
                <w:del w:id="1215" w:author="AbbVie2" w:date="2025-05-13T16:36:00Z"/>
                <w:szCs w:val="22"/>
                <w:lang w:val="pt-PT"/>
              </w:rPr>
            </w:pPr>
            <w:del w:id="1216" w:author="AbbVie2" w:date="2025-05-13T16:36:00Z">
              <w:r>
                <w:rPr>
                  <w:szCs w:val="22"/>
                  <w:lang w:val="pt-PT"/>
                </w:rPr>
                <w:delText>H</w:delText>
              </w:r>
              <w:r w:rsidRPr="008912CF">
                <w:rPr>
                  <w:szCs w:val="22"/>
                  <w:lang w:val="pt-PT"/>
                </w:rPr>
                <w:delText xml:space="preserve">emorragia gastrointestinal, </w:delText>
              </w:r>
            </w:del>
          </w:p>
          <w:p w14:paraId="358399F4" w14:textId="790C282A" w:rsidR="004462A0" w:rsidRPr="008912CF" w:rsidRDefault="00615769" w:rsidP="00F675CF">
            <w:pPr>
              <w:pStyle w:val="EMEANormal"/>
              <w:widowControl w:val="0"/>
              <w:rPr>
                <w:del w:id="1217" w:author="AbbVie2" w:date="2025-05-13T16:36:00Z"/>
                <w:szCs w:val="22"/>
                <w:lang w:val="pt-PT"/>
              </w:rPr>
            </w:pPr>
            <w:del w:id="1218" w:author="AbbVie2" w:date="2025-05-13T16:36:00Z">
              <w:r w:rsidRPr="008912CF">
                <w:rPr>
                  <w:szCs w:val="22"/>
                  <w:lang w:val="pt-PT"/>
                </w:rPr>
                <w:delText xml:space="preserve">dispepsia, </w:delText>
              </w:r>
            </w:del>
          </w:p>
          <w:p w14:paraId="14B5EE66" w14:textId="26E68F31" w:rsidR="004462A0" w:rsidRPr="008912CF" w:rsidRDefault="00615769" w:rsidP="00F675CF">
            <w:pPr>
              <w:pStyle w:val="EMEANormal"/>
              <w:widowControl w:val="0"/>
              <w:rPr>
                <w:del w:id="1219" w:author="AbbVie2" w:date="2025-05-13T16:36:00Z"/>
                <w:szCs w:val="22"/>
                <w:lang w:val="pt-PT"/>
              </w:rPr>
            </w:pPr>
            <w:del w:id="1220" w:author="AbbVie2" w:date="2025-05-13T16:36:00Z">
              <w:r w:rsidRPr="008912CF">
                <w:rPr>
                  <w:szCs w:val="22"/>
                  <w:lang w:val="pt-PT"/>
                </w:rPr>
                <w:delText>doença de refluxo gastroesofágico,</w:delText>
              </w:r>
            </w:del>
          </w:p>
          <w:p w14:paraId="228780D8" w14:textId="5ED718BF" w:rsidR="004462A0" w:rsidRPr="008912CF" w:rsidRDefault="00615769" w:rsidP="00F675CF">
            <w:pPr>
              <w:pStyle w:val="EMEANormal"/>
              <w:widowControl w:val="0"/>
              <w:rPr>
                <w:del w:id="1221" w:author="AbbVie2" w:date="2025-05-13T16:36:00Z"/>
                <w:szCs w:val="22"/>
                <w:lang w:val="pt-PT"/>
              </w:rPr>
            </w:pPr>
            <w:del w:id="1222" w:author="AbbVie2" w:date="2025-05-13T16:36:00Z">
              <w:r w:rsidRPr="008912CF">
                <w:rPr>
                  <w:szCs w:val="22"/>
                  <w:lang w:val="pt-PT"/>
                </w:rPr>
                <w:delText>síndrome de sicca</w:delText>
              </w:r>
            </w:del>
          </w:p>
          <w:p w14:paraId="4366A461" w14:textId="7CDD4D65" w:rsidR="004462A0" w:rsidRPr="008912CF" w:rsidRDefault="004462A0" w:rsidP="00F675CF">
            <w:pPr>
              <w:pStyle w:val="EMEANormal"/>
              <w:widowControl w:val="0"/>
              <w:rPr>
                <w:del w:id="1223" w:author="AbbVie2" w:date="2025-05-13T16:36:00Z"/>
                <w:szCs w:val="22"/>
                <w:lang w:val="pt-PT"/>
              </w:rPr>
            </w:pPr>
          </w:p>
        </w:tc>
      </w:tr>
      <w:tr w:rsidR="00A7162A" w14:paraId="2F45649B" w14:textId="665B437E" w:rsidTr="0004619E">
        <w:trPr>
          <w:del w:id="1224" w:author="AbbVie2" w:date="2025-05-13T16:36:00Z"/>
        </w:trPr>
        <w:tc>
          <w:tcPr>
            <w:tcW w:w="2514" w:type="dxa"/>
            <w:vMerge/>
          </w:tcPr>
          <w:p w14:paraId="10548EFD" w14:textId="00898C75" w:rsidR="004462A0" w:rsidRPr="008912CF" w:rsidRDefault="004462A0" w:rsidP="00F675CF">
            <w:pPr>
              <w:widowControl w:val="0"/>
              <w:spacing w:before="60"/>
              <w:jc w:val="center"/>
              <w:rPr>
                <w:del w:id="1225" w:author="AbbVie2" w:date="2025-05-13T16:36:00Z"/>
                <w:b/>
              </w:rPr>
            </w:pPr>
          </w:p>
        </w:tc>
        <w:tc>
          <w:tcPr>
            <w:tcW w:w="1996" w:type="dxa"/>
            <w:tcBorders>
              <w:bottom w:val="single" w:sz="4" w:space="0" w:color="auto"/>
            </w:tcBorders>
          </w:tcPr>
          <w:p w14:paraId="16FE3736" w14:textId="5CC0FB93" w:rsidR="004462A0" w:rsidRPr="008912CF" w:rsidRDefault="00615769" w:rsidP="00F675CF">
            <w:pPr>
              <w:pStyle w:val="EMEANormal"/>
              <w:widowControl w:val="0"/>
              <w:rPr>
                <w:del w:id="1226" w:author="AbbVie2" w:date="2025-05-13T16:36:00Z"/>
                <w:szCs w:val="22"/>
                <w:lang w:val="pt-PT"/>
              </w:rPr>
            </w:pPr>
            <w:del w:id="1227" w:author="AbbVie2" w:date="2025-05-13T16:36:00Z">
              <w:r w:rsidRPr="008912CF">
                <w:rPr>
                  <w:szCs w:val="22"/>
                  <w:lang w:val="pt-PT"/>
                </w:rPr>
                <w:delText>Pouco frequentes</w:delText>
              </w:r>
            </w:del>
          </w:p>
          <w:p w14:paraId="3198C80B" w14:textId="72801063" w:rsidR="004462A0" w:rsidRPr="008912CF" w:rsidRDefault="004462A0" w:rsidP="00F675CF">
            <w:pPr>
              <w:pStyle w:val="EMEANormal"/>
              <w:widowControl w:val="0"/>
              <w:rPr>
                <w:del w:id="1228" w:author="AbbVie2" w:date="2025-05-13T16:36:00Z"/>
                <w:szCs w:val="22"/>
                <w:lang w:val="pt-PT"/>
              </w:rPr>
            </w:pPr>
          </w:p>
          <w:p w14:paraId="4D3F1507" w14:textId="3601ABF0" w:rsidR="004462A0" w:rsidRPr="008912CF" w:rsidRDefault="004462A0" w:rsidP="00F675CF">
            <w:pPr>
              <w:pStyle w:val="EMEANormal"/>
              <w:widowControl w:val="0"/>
              <w:rPr>
                <w:del w:id="1229" w:author="AbbVie2" w:date="2025-05-13T16:36:00Z"/>
                <w:szCs w:val="22"/>
                <w:lang w:val="pt-PT"/>
              </w:rPr>
            </w:pPr>
          </w:p>
        </w:tc>
        <w:tc>
          <w:tcPr>
            <w:tcW w:w="4346" w:type="dxa"/>
            <w:tcBorders>
              <w:bottom w:val="single" w:sz="4" w:space="0" w:color="auto"/>
            </w:tcBorders>
          </w:tcPr>
          <w:p w14:paraId="08168EE1" w14:textId="256C3234" w:rsidR="004462A0" w:rsidRPr="008912CF" w:rsidRDefault="00615769" w:rsidP="00F675CF">
            <w:pPr>
              <w:pStyle w:val="EMEANormal"/>
              <w:widowControl w:val="0"/>
              <w:rPr>
                <w:del w:id="1230" w:author="AbbVie2" w:date="2025-05-13T16:36:00Z"/>
                <w:szCs w:val="22"/>
                <w:lang w:val="pt-PT"/>
              </w:rPr>
            </w:pPr>
            <w:del w:id="1231" w:author="AbbVie2" w:date="2025-05-13T16:36:00Z">
              <w:r>
                <w:rPr>
                  <w:szCs w:val="22"/>
                  <w:lang w:val="pt-PT"/>
                </w:rPr>
                <w:delText>P</w:delText>
              </w:r>
              <w:r w:rsidRPr="008912CF">
                <w:rPr>
                  <w:szCs w:val="22"/>
                  <w:lang w:val="pt-PT"/>
                </w:rPr>
                <w:delText xml:space="preserve">ancreatite, </w:delText>
              </w:r>
            </w:del>
          </w:p>
          <w:p w14:paraId="6473FF57" w14:textId="12763244" w:rsidR="004462A0" w:rsidRPr="008912CF" w:rsidRDefault="00615769" w:rsidP="00F675CF">
            <w:pPr>
              <w:pStyle w:val="EMEANormal"/>
              <w:widowControl w:val="0"/>
              <w:rPr>
                <w:del w:id="1232" w:author="AbbVie2" w:date="2025-05-13T16:36:00Z"/>
                <w:szCs w:val="22"/>
                <w:lang w:val="pt-PT"/>
              </w:rPr>
            </w:pPr>
            <w:del w:id="1233" w:author="AbbVie2" w:date="2025-05-13T16:36:00Z">
              <w:r w:rsidRPr="008912CF">
                <w:rPr>
                  <w:szCs w:val="22"/>
                  <w:lang w:val="pt-PT"/>
                </w:rPr>
                <w:delText>disfagia,</w:delText>
              </w:r>
            </w:del>
          </w:p>
          <w:p w14:paraId="51178FE2" w14:textId="671F15F3" w:rsidR="004462A0" w:rsidRPr="008912CF" w:rsidRDefault="00615769" w:rsidP="00F675CF">
            <w:pPr>
              <w:pStyle w:val="EMEANormal"/>
              <w:widowControl w:val="0"/>
              <w:rPr>
                <w:del w:id="1234" w:author="AbbVie2" w:date="2025-05-13T16:36:00Z"/>
                <w:szCs w:val="22"/>
                <w:lang w:val="pt-PT"/>
              </w:rPr>
            </w:pPr>
            <w:del w:id="1235" w:author="AbbVie2" w:date="2025-05-13T16:36:00Z">
              <w:r w:rsidRPr="008912CF">
                <w:rPr>
                  <w:szCs w:val="22"/>
                  <w:lang w:val="pt-PT"/>
                </w:rPr>
                <w:delText>edema da face</w:delText>
              </w:r>
            </w:del>
          </w:p>
          <w:p w14:paraId="0FF7C4CB" w14:textId="2E9A0915" w:rsidR="004462A0" w:rsidRPr="008912CF" w:rsidRDefault="004462A0" w:rsidP="00F675CF">
            <w:pPr>
              <w:pStyle w:val="EMEANormal"/>
              <w:widowControl w:val="0"/>
              <w:rPr>
                <w:del w:id="1236" w:author="AbbVie2" w:date="2025-05-13T16:36:00Z"/>
                <w:szCs w:val="22"/>
                <w:lang w:val="pt-PT"/>
              </w:rPr>
            </w:pPr>
          </w:p>
        </w:tc>
      </w:tr>
      <w:tr w:rsidR="00A7162A" w14:paraId="30127F12" w14:textId="0A54A118" w:rsidTr="0004619E">
        <w:trPr>
          <w:del w:id="1237" w:author="AbbVie2" w:date="2025-05-13T16:36:00Z"/>
        </w:trPr>
        <w:tc>
          <w:tcPr>
            <w:tcW w:w="2514" w:type="dxa"/>
            <w:vMerge/>
          </w:tcPr>
          <w:p w14:paraId="14316561" w14:textId="563922F2" w:rsidR="004462A0" w:rsidRPr="008912CF" w:rsidRDefault="004462A0" w:rsidP="00F675CF">
            <w:pPr>
              <w:widowControl w:val="0"/>
              <w:spacing w:before="60"/>
              <w:jc w:val="center"/>
              <w:rPr>
                <w:del w:id="1238" w:author="AbbVie2" w:date="2025-05-13T16:36:00Z"/>
                <w:b/>
              </w:rPr>
            </w:pPr>
          </w:p>
        </w:tc>
        <w:tc>
          <w:tcPr>
            <w:tcW w:w="1996" w:type="dxa"/>
            <w:tcBorders>
              <w:top w:val="single" w:sz="4" w:space="0" w:color="auto"/>
            </w:tcBorders>
          </w:tcPr>
          <w:p w14:paraId="460AF043" w14:textId="077B3F50" w:rsidR="004462A0" w:rsidRPr="008912CF" w:rsidRDefault="00615769" w:rsidP="00F675CF">
            <w:pPr>
              <w:pStyle w:val="EMEANormal"/>
              <w:widowControl w:val="0"/>
              <w:rPr>
                <w:del w:id="1239" w:author="AbbVie2" w:date="2025-05-13T16:36:00Z"/>
                <w:szCs w:val="22"/>
                <w:lang w:val="pt-PT"/>
              </w:rPr>
            </w:pPr>
            <w:del w:id="1240" w:author="AbbVie2" w:date="2025-05-13T16:36:00Z">
              <w:r w:rsidRPr="008912CF">
                <w:rPr>
                  <w:szCs w:val="22"/>
                  <w:lang w:val="pt-PT"/>
                </w:rPr>
                <w:delText>Raros</w:delText>
              </w:r>
            </w:del>
          </w:p>
        </w:tc>
        <w:tc>
          <w:tcPr>
            <w:tcW w:w="4346" w:type="dxa"/>
            <w:tcBorders>
              <w:top w:val="single" w:sz="4" w:space="0" w:color="auto"/>
            </w:tcBorders>
          </w:tcPr>
          <w:p w14:paraId="2CB012C2" w14:textId="0DC20B41" w:rsidR="004462A0" w:rsidRPr="008912CF" w:rsidRDefault="00615769" w:rsidP="00F675CF">
            <w:pPr>
              <w:pStyle w:val="EMEANormal"/>
              <w:widowControl w:val="0"/>
              <w:rPr>
                <w:del w:id="1241" w:author="AbbVie2" w:date="2025-05-13T16:36:00Z"/>
                <w:szCs w:val="22"/>
                <w:vertAlign w:val="superscript"/>
                <w:lang w:val="pt-PT"/>
              </w:rPr>
            </w:pPr>
            <w:del w:id="1242" w:author="AbbVie2" w:date="2025-05-13T16:36:00Z">
              <w:r>
                <w:rPr>
                  <w:szCs w:val="22"/>
                  <w:lang w:val="pt-PT"/>
                </w:rPr>
                <w:delText>P</w:delText>
              </w:r>
              <w:r w:rsidRPr="008912CF">
                <w:rPr>
                  <w:szCs w:val="22"/>
                  <w:lang w:val="pt-PT"/>
                </w:rPr>
                <w:delText>erfuração intestinal</w:delText>
              </w:r>
              <w:r w:rsidRPr="008912CF">
                <w:rPr>
                  <w:szCs w:val="22"/>
                  <w:vertAlign w:val="superscript"/>
                  <w:lang w:val="pt-PT"/>
                </w:rPr>
                <w:delText>1)</w:delText>
              </w:r>
            </w:del>
          </w:p>
          <w:p w14:paraId="79CC5CD6" w14:textId="68366885" w:rsidR="004462A0" w:rsidRPr="008912CF" w:rsidRDefault="004462A0" w:rsidP="00F675CF">
            <w:pPr>
              <w:pStyle w:val="EMEANormal"/>
              <w:widowControl w:val="0"/>
              <w:rPr>
                <w:del w:id="1243" w:author="AbbVie2" w:date="2025-05-13T16:36:00Z"/>
                <w:szCs w:val="22"/>
                <w:lang w:val="pt-PT"/>
              </w:rPr>
            </w:pPr>
          </w:p>
        </w:tc>
      </w:tr>
      <w:tr w:rsidR="00A7162A" w14:paraId="4AB3E061" w14:textId="4D4A341A" w:rsidTr="00F675CF">
        <w:trPr>
          <w:del w:id="1244" w:author="AbbVie2" w:date="2025-05-13T16:36:00Z"/>
        </w:trPr>
        <w:tc>
          <w:tcPr>
            <w:tcW w:w="2514" w:type="dxa"/>
            <w:vMerge w:val="restart"/>
          </w:tcPr>
          <w:p w14:paraId="50A19CCC" w14:textId="10A8BF93" w:rsidR="004462A0" w:rsidRPr="008912CF" w:rsidRDefault="00615769" w:rsidP="00F675CF">
            <w:pPr>
              <w:pStyle w:val="EMEANormal"/>
              <w:widowControl w:val="0"/>
              <w:spacing w:before="60"/>
              <w:rPr>
                <w:del w:id="1245" w:author="AbbVie2" w:date="2025-05-13T16:36:00Z"/>
                <w:szCs w:val="22"/>
                <w:lang w:val="pt-PT"/>
              </w:rPr>
            </w:pPr>
            <w:del w:id="1246" w:author="AbbVie2" w:date="2025-05-13T16:36:00Z">
              <w:r w:rsidRPr="008912CF">
                <w:rPr>
                  <w:szCs w:val="22"/>
                  <w:lang w:val="pt-PT"/>
                </w:rPr>
                <w:delText>Afeções hepatobiliares *</w:delText>
              </w:r>
            </w:del>
          </w:p>
        </w:tc>
        <w:tc>
          <w:tcPr>
            <w:tcW w:w="1996" w:type="dxa"/>
            <w:tcBorders>
              <w:bottom w:val="nil"/>
            </w:tcBorders>
          </w:tcPr>
          <w:p w14:paraId="63090DFB" w14:textId="485F189E" w:rsidR="004462A0" w:rsidRPr="008912CF" w:rsidRDefault="00615769" w:rsidP="00F675CF">
            <w:pPr>
              <w:pStyle w:val="EMEANormal"/>
              <w:widowControl w:val="0"/>
              <w:spacing w:before="60"/>
              <w:rPr>
                <w:del w:id="1247" w:author="AbbVie2" w:date="2025-05-13T16:36:00Z"/>
                <w:szCs w:val="22"/>
                <w:lang w:val="pt-PT"/>
              </w:rPr>
            </w:pPr>
            <w:del w:id="1248" w:author="AbbVie2" w:date="2025-05-13T16:36:00Z">
              <w:r w:rsidRPr="008912CF">
                <w:rPr>
                  <w:szCs w:val="22"/>
                  <w:lang w:val="pt-PT"/>
                </w:rPr>
                <w:delText>Muito frequentes</w:delText>
              </w:r>
            </w:del>
          </w:p>
        </w:tc>
        <w:tc>
          <w:tcPr>
            <w:tcW w:w="4346" w:type="dxa"/>
            <w:tcBorders>
              <w:bottom w:val="nil"/>
            </w:tcBorders>
          </w:tcPr>
          <w:p w14:paraId="6D6A4826" w14:textId="11D3D8AF" w:rsidR="004462A0" w:rsidRPr="008912CF" w:rsidRDefault="00615769" w:rsidP="00F675CF">
            <w:pPr>
              <w:pStyle w:val="EMEANormal"/>
              <w:widowControl w:val="0"/>
              <w:spacing w:before="60"/>
              <w:rPr>
                <w:del w:id="1249" w:author="AbbVie2" w:date="2025-05-13T16:36:00Z"/>
                <w:szCs w:val="22"/>
                <w:lang w:val="pt-PT"/>
              </w:rPr>
            </w:pPr>
            <w:del w:id="1250" w:author="AbbVie2" w:date="2025-05-13T16:36:00Z">
              <w:r>
                <w:rPr>
                  <w:szCs w:val="22"/>
                  <w:lang w:val="pt-PT"/>
                </w:rPr>
                <w:delText>A</w:delText>
              </w:r>
              <w:r w:rsidRPr="008912CF">
                <w:rPr>
                  <w:szCs w:val="22"/>
                  <w:lang w:val="pt-PT"/>
                </w:rPr>
                <w:delText>umento de enzimas hepáticas</w:delText>
              </w:r>
            </w:del>
          </w:p>
          <w:p w14:paraId="215EBE36" w14:textId="072C65CE" w:rsidR="004462A0" w:rsidRPr="008912CF" w:rsidRDefault="004462A0" w:rsidP="00F675CF">
            <w:pPr>
              <w:pStyle w:val="EMEANormal"/>
              <w:widowControl w:val="0"/>
              <w:spacing w:before="60"/>
              <w:rPr>
                <w:del w:id="1251" w:author="AbbVie2" w:date="2025-05-13T16:36:00Z"/>
                <w:szCs w:val="22"/>
                <w:lang w:val="pt-PT"/>
              </w:rPr>
            </w:pPr>
          </w:p>
        </w:tc>
      </w:tr>
      <w:tr w:rsidR="00A7162A" w14:paraId="20555E89" w14:textId="5D27DFA8" w:rsidTr="00F675CF">
        <w:trPr>
          <w:del w:id="1252" w:author="AbbVie2" w:date="2025-05-13T16:36:00Z"/>
        </w:trPr>
        <w:tc>
          <w:tcPr>
            <w:tcW w:w="2514" w:type="dxa"/>
            <w:vMerge/>
          </w:tcPr>
          <w:p w14:paraId="71B3BD01" w14:textId="32BD9FFD" w:rsidR="004462A0" w:rsidRPr="008912CF" w:rsidRDefault="004462A0" w:rsidP="00F675CF">
            <w:pPr>
              <w:pStyle w:val="EMEANormal"/>
              <w:widowControl w:val="0"/>
              <w:spacing w:before="60"/>
              <w:rPr>
                <w:del w:id="1253" w:author="AbbVie2" w:date="2025-05-13T16:36:00Z"/>
                <w:szCs w:val="22"/>
                <w:lang w:val="pt-PT"/>
              </w:rPr>
            </w:pPr>
          </w:p>
        </w:tc>
        <w:tc>
          <w:tcPr>
            <w:tcW w:w="1996" w:type="dxa"/>
            <w:tcBorders>
              <w:top w:val="nil"/>
              <w:bottom w:val="nil"/>
            </w:tcBorders>
          </w:tcPr>
          <w:p w14:paraId="1766D26A" w14:textId="7AA372FF" w:rsidR="004462A0" w:rsidRPr="008912CF" w:rsidRDefault="00615769" w:rsidP="00F675CF">
            <w:pPr>
              <w:pStyle w:val="EMEANormal"/>
              <w:widowControl w:val="0"/>
              <w:rPr>
                <w:del w:id="1254" w:author="AbbVie2" w:date="2025-05-13T16:36:00Z"/>
                <w:szCs w:val="22"/>
                <w:lang w:val="pt-PT"/>
              </w:rPr>
            </w:pPr>
            <w:del w:id="1255" w:author="AbbVie2" w:date="2025-05-13T16:36:00Z">
              <w:r w:rsidRPr="008912CF">
                <w:rPr>
                  <w:szCs w:val="22"/>
                  <w:lang w:val="pt-PT"/>
                </w:rPr>
                <w:delText>Pouco frequentes</w:delText>
              </w:r>
            </w:del>
          </w:p>
          <w:p w14:paraId="5EA2FA82" w14:textId="6B7FAB1A" w:rsidR="004462A0" w:rsidRPr="008912CF" w:rsidRDefault="004462A0" w:rsidP="00F675CF">
            <w:pPr>
              <w:pStyle w:val="EMEANormal"/>
              <w:widowControl w:val="0"/>
              <w:rPr>
                <w:del w:id="1256" w:author="AbbVie2" w:date="2025-05-13T16:36:00Z"/>
                <w:szCs w:val="22"/>
                <w:lang w:val="pt-PT"/>
              </w:rPr>
            </w:pPr>
          </w:p>
          <w:p w14:paraId="2D712A70" w14:textId="1BD3F810" w:rsidR="004462A0" w:rsidRPr="008912CF" w:rsidRDefault="004462A0" w:rsidP="00F675CF">
            <w:pPr>
              <w:pStyle w:val="EMEANormal"/>
              <w:widowControl w:val="0"/>
              <w:rPr>
                <w:del w:id="1257" w:author="AbbVie2" w:date="2025-05-13T16:36:00Z"/>
                <w:szCs w:val="22"/>
                <w:lang w:val="pt-PT"/>
              </w:rPr>
            </w:pPr>
          </w:p>
        </w:tc>
        <w:tc>
          <w:tcPr>
            <w:tcW w:w="4346" w:type="dxa"/>
            <w:tcBorders>
              <w:top w:val="nil"/>
              <w:bottom w:val="nil"/>
            </w:tcBorders>
          </w:tcPr>
          <w:p w14:paraId="6975E307" w14:textId="65F6CAAB" w:rsidR="004462A0" w:rsidRPr="008912CF" w:rsidRDefault="00615769" w:rsidP="00F675CF">
            <w:pPr>
              <w:pStyle w:val="EMEANormal"/>
              <w:widowControl w:val="0"/>
              <w:rPr>
                <w:del w:id="1258" w:author="AbbVie2" w:date="2025-05-13T16:36:00Z"/>
                <w:szCs w:val="22"/>
                <w:lang w:val="pt-PT"/>
              </w:rPr>
            </w:pPr>
            <w:del w:id="1259" w:author="AbbVie2" w:date="2025-05-13T16:36:00Z">
              <w:r>
                <w:rPr>
                  <w:szCs w:val="22"/>
                  <w:lang w:val="pt-PT"/>
                </w:rPr>
                <w:delText>C</w:delText>
              </w:r>
              <w:r w:rsidRPr="008912CF">
                <w:rPr>
                  <w:szCs w:val="22"/>
                  <w:lang w:val="pt-PT"/>
                </w:rPr>
                <w:delText xml:space="preserve">olecistite e colelitíase, </w:delText>
              </w:r>
            </w:del>
          </w:p>
          <w:p w14:paraId="6A93634D" w14:textId="266719C6" w:rsidR="004462A0" w:rsidRPr="008912CF" w:rsidRDefault="00615769" w:rsidP="00F675CF">
            <w:pPr>
              <w:autoSpaceDE w:val="0"/>
              <w:autoSpaceDN w:val="0"/>
              <w:adjustRightInd w:val="0"/>
              <w:rPr>
                <w:del w:id="1260" w:author="AbbVie2" w:date="2025-05-13T16:36:00Z"/>
              </w:rPr>
            </w:pPr>
            <w:del w:id="1261" w:author="AbbVie2" w:date="2025-05-13T16:36:00Z">
              <w:r w:rsidRPr="008912CF">
                <w:rPr>
                  <w:sz w:val="22"/>
                  <w:szCs w:val="22"/>
                </w:rPr>
                <w:delText>esteatose hepática,</w:delText>
              </w:r>
            </w:del>
          </w:p>
          <w:p w14:paraId="3355600F" w14:textId="318F0E19" w:rsidR="004462A0" w:rsidRPr="008912CF" w:rsidRDefault="00615769" w:rsidP="00F675CF">
            <w:pPr>
              <w:pStyle w:val="EMEANormal"/>
              <w:widowControl w:val="0"/>
              <w:rPr>
                <w:del w:id="1262" w:author="AbbVie2" w:date="2025-05-13T16:36:00Z"/>
                <w:szCs w:val="22"/>
                <w:lang w:val="pt-PT"/>
              </w:rPr>
            </w:pPr>
            <w:del w:id="1263" w:author="AbbVie2" w:date="2025-05-13T16:36:00Z">
              <w:r w:rsidRPr="008912CF">
                <w:rPr>
                  <w:szCs w:val="22"/>
                  <w:lang w:val="pt-PT"/>
                </w:rPr>
                <w:delText>aumento de bilirrubina</w:delText>
              </w:r>
            </w:del>
          </w:p>
          <w:p w14:paraId="6D52E62E" w14:textId="581C9FB6" w:rsidR="004462A0" w:rsidRPr="008912CF" w:rsidRDefault="004462A0" w:rsidP="00F675CF">
            <w:pPr>
              <w:pStyle w:val="EMEANormal"/>
              <w:widowControl w:val="0"/>
              <w:rPr>
                <w:del w:id="1264" w:author="AbbVie2" w:date="2025-05-13T16:36:00Z"/>
                <w:szCs w:val="22"/>
                <w:lang w:val="pt-PT"/>
              </w:rPr>
            </w:pPr>
          </w:p>
        </w:tc>
      </w:tr>
      <w:tr w:rsidR="00A7162A" w14:paraId="0C2225E1" w14:textId="159ECB5F" w:rsidTr="00F675CF">
        <w:trPr>
          <w:del w:id="1265" w:author="AbbVie2" w:date="2025-05-13T16:36:00Z"/>
        </w:trPr>
        <w:tc>
          <w:tcPr>
            <w:tcW w:w="2514" w:type="dxa"/>
            <w:vMerge/>
          </w:tcPr>
          <w:p w14:paraId="06186FEF" w14:textId="5DBC285D" w:rsidR="004462A0" w:rsidRPr="008912CF" w:rsidRDefault="004462A0" w:rsidP="00F675CF">
            <w:pPr>
              <w:pStyle w:val="EMEANormal"/>
              <w:widowControl w:val="0"/>
              <w:spacing w:before="60"/>
              <w:rPr>
                <w:del w:id="1266" w:author="AbbVie2" w:date="2025-05-13T16:36:00Z"/>
                <w:szCs w:val="22"/>
                <w:lang w:val="pt-PT"/>
              </w:rPr>
            </w:pPr>
          </w:p>
        </w:tc>
        <w:tc>
          <w:tcPr>
            <w:tcW w:w="1996" w:type="dxa"/>
            <w:tcBorders>
              <w:top w:val="nil"/>
              <w:bottom w:val="nil"/>
            </w:tcBorders>
          </w:tcPr>
          <w:p w14:paraId="728AE635" w14:textId="4C154977" w:rsidR="004462A0" w:rsidRPr="008912CF" w:rsidRDefault="00615769" w:rsidP="00F675CF">
            <w:pPr>
              <w:pStyle w:val="EMEANormal"/>
              <w:widowControl w:val="0"/>
              <w:rPr>
                <w:del w:id="1267" w:author="AbbVie2" w:date="2025-05-13T16:36:00Z"/>
                <w:szCs w:val="22"/>
                <w:lang w:val="pt-PT"/>
              </w:rPr>
            </w:pPr>
            <w:del w:id="1268" w:author="AbbVie2" w:date="2025-05-13T16:36:00Z">
              <w:r w:rsidRPr="008912CF">
                <w:rPr>
                  <w:szCs w:val="22"/>
                  <w:lang w:val="pt-PT"/>
                </w:rPr>
                <w:delText>Raros</w:delText>
              </w:r>
            </w:del>
          </w:p>
        </w:tc>
        <w:tc>
          <w:tcPr>
            <w:tcW w:w="4346" w:type="dxa"/>
            <w:tcBorders>
              <w:top w:val="nil"/>
              <w:bottom w:val="nil"/>
            </w:tcBorders>
          </w:tcPr>
          <w:p w14:paraId="55AE7CE8" w14:textId="2AD73B60" w:rsidR="004462A0" w:rsidRPr="008912CF" w:rsidRDefault="00615769" w:rsidP="00F675CF">
            <w:pPr>
              <w:pStyle w:val="EMEANormal"/>
              <w:widowControl w:val="0"/>
              <w:rPr>
                <w:del w:id="1269" w:author="AbbVie2" w:date="2025-05-13T16:36:00Z"/>
                <w:szCs w:val="22"/>
                <w:lang w:val="pt-PT"/>
              </w:rPr>
            </w:pPr>
            <w:del w:id="1270" w:author="AbbVie2" w:date="2025-05-13T16:36:00Z">
              <w:r>
                <w:rPr>
                  <w:szCs w:val="22"/>
                  <w:lang w:val="pt-PT"/>
                </w:rPr>
                <w:delText>H</w:delText>
              </w:r>
              <w:r w:rsidRPr="008912CF">
                <w:rPr>
                  <w:szCs w:val="22"/>
                  <w:lang w:val="pt-PT"/>
                </w:rPr>
                <w:delText>epatite,</w:delText>
              </w:r>
            </w:del>
          </w:p>
          <w:p w14:paraId="21FAC1A6" w14:textId="195EF443" w:rsidR="004462A0" w:rsidRPr="008912CF" w:rsidRDefault="00615769" w:rsidP="00F675CF">
            <w:pPr>
              <w:pStyle w:val="EMEANormal"/>
              <w:widowControl w:val="0"/>
              <w:rPr>
                <w:del w:id="1271" w:author="AbbVie2" w:date="2025-05-13T16:36:00Z"/>
                <w:szCs w:val="22"/>
                <w:lang w:val="pt-PT"/>
              </w:rPr>
            </w:pPr>
            <w:del w:id="1272" w:author="AbbVie2" w:date="2025-05-13T16:36:00Z">
              <w:r w:rsidRPr="008912CF">
                <w:rPr>
                  <w:szCs w:val="22"/>
                  <w:lang w:val="pt-PT"/>
                </w:rPr>
                <w:delText>reativação da hepatite B</w:delText>
              </w:r>
              <w:r w:rsidRPr="008912CF">
                <w:rPr>
                  <w:szCs w:val="22"/>
                  <w:vertAlign w:val="superscript"/>
                  <w:lang w:val="pt-PT"/>
                </w:rPr>
                <w:delText>1)</w:delText>
              </w:r>
              <w:r w:rsidRPr="008912CF">
                <w:rPr>
                  <w:szCs w:val="22"/>
                  <w:lang w:val="pt-PT"/>
                </w:rPr>
                <w:delText>,</w:delText>
              </w:r>
            </w:del>
          </w:p>
          <w:p w14:paraId="2BE3D054" w14:textId="7F63001B" w:rsidR="004462A0" w:rsidRPr="008912CF" w:rsidRDefault="00615769" w:rsidP="00F675CF">
            <w:pPr>
              <w:pStyle w:val="EMEANormal"/>
              <w:widowControl w:val="0"/>
              <w:spacing w:before="60"/>
              <w:rPr>
                <w:del w:id="1273" w:author="AbbVie2" w:date="2025-05-13T16:36:00Z"/>
                <w:szCs w:val="22"/>
                <w:lang w:val="pt-PT"/>
              </w:rPr>
            </w:pPr>
            <w:del w:id="1274" w:author="AbbVie2" w:date="2025-05-13T16:36:00Z">
              <w:r w:rsidRPr="008912CF">
                <w:rPr>
                  <w:lang w:val="pt-PT"/>
                </w:rPr>
                <w:delText>hepatite autoimune</w:delText>
              </w:r>
              <w:r w:rsidRPr="008912CF">
                <w:rPr>
                  <w:vertAlign w:val="superscript"/>
                  <w:lang w:val="pt-PT"/>
                </w:rPr>
                <w:delText>1)</w:delText>
              </w:r>
            </w:del>
          </w:p>
          <w:p w14:paraId="5DBBE3E1" w14:textId="14081874" w:rsidR="004462A0" w:rsidRPr="008912CF" w:rsidRDefault="004462A0" w:rsidP="00F675CF">
            <w:pPr>
              <w:pStyle w:val="EMEANormal"/>
              <w:widowControl w:val="0"/>
              <w:rPr>
                <w:del w:id="1275" w:author="AbbVie2" w:date="2025-05-13T16:36:00Z"/>
                <w:szCs w:val="22"/>
                <w:lang w:val="pt-PT"/>
              </w:rPr>
            </w:pPr>
          </w:p>
        </w:tc>
      </w:tr>
      <w:tr w:rsidR="00A7162A" w14:paraId="13F2C671" w14:textId="0D4694A4" w:rsidTr="00F675CF">
        <w:trPr>
          <w:del w:id="1276" w:author="AbbVie2" w:date="2025-05-13T16:36:00Z"/>
        </w:trPr>
        <w:tc>
          <w:tcPr>
            <w:tcW w:w="2514" w:type="dxa"/>
            <w:vMerge/>
          </w:tcPr>
          <w:p w14:paraId="1513D4E0" w14:textId="07ECBBF4" w:rsidR="004462A0" w:rsidRPr="008912CF" w:rsidRDefault="004462A0" w:rsidP="00F675CF">
            <w:pPr>
              <w:pStyle w:val="EMEANormal"/>
              <w:widowControl w:val="0"/>
              <w:spacing w:before="60"/>
              <w:rPr>
                <w:del w:id="1277" w:author="AbbVie2" w:date="2025-05-13T16:36:00Z"/>
                <w:szCs w:val="22"/>
                <w:lang w:val="pt-PT"/>
              </w:rPr>
            </w:pPr>
          </w:p>
        </w:tc>
        <w:tc>
          <w:tcPr>
            <w:tcW w:w="1996" w:type="dxa"/>
            <w:tcBorders>
              <w:top w:val="nil"/>
            </w:tcBorders>
          </w:tcPr>
          <w:p w14:paraId="34DA4854" w14:textId="5133499A" w:rsidR="004462A0" w:rsidRPr="008912CF" w:rsidRDefault="00615769" w:rsidP="00F675CF">
            <w:pPr>
              <w:pStyle w:val="EMEANormal"/>
              <w:widowControl w:val="0"/>
              <w:rPr>
                <w:del w:id="1278" w:author="AbbVie2" w:date="2025-05-13T16:36:00Z"/>
                <w:szCs w:val="22"/>
                <w:lang w:val="pt-PT"/>
              </w:rPr>
            </w:pPr>
            <w:del w:id="1279" w:author="AbbVie2" w:date="2025-05-13T16:36:00Z">
              <w:r w:rsidRPr="008912CF">
                <w:rPr>
                  <w:szCs w:val="22"/>
                  <w:lang w:val="pt-PT"/>
                </w:rPr>
                <w:delText>Desconhecido</w:delText>
              </w:r>
            </w:del>
          </w:p>
        </w:tc>
        <w:tc>
          <w:tcPr>
            <w:tcW w:w="4346" w:type="dxa"/>
            <w:tcBorders>
              <w:top w:val="nil"/>
            </w:tcBorders>
          </w:tcPr>
          <w:p w14:paraId="351585C6" w14:textId="729489AC" w:rsidR="004462A0" w:rsidRPr="008912CF" w:rsidRDefault="00615769" w:rsidP="00F675CF">
            <w:pPr>
              <w:pStyle w:val="EMEANormal"/>
              <w:widowControl w:val="0"/>
              <w:rPr>
                <w:del w:id="1280" w:author="AbbVie2" w:date="2025-05-13T16:36:00Z"/>
                <w:szCs w:val="22"/>
                <w:vertAlign w:val="superscript"/>
                <w:lang w:val="pt-PT"/>
              </w:rPr>
            </w:pPr>
            <w:del w:id="1281" w:author="AbbVie2" w:date="2025-05-13T16:36:00Z">
              <w:r>
                <w:rPr>
                  <w:szCs w:val="22"/>
                  <w:lang w:val="pt-PT"/>
                </w:rPr>
                <w:delText>I</w:delText>
              </w:r>
              <w:r w:rsidRPr="008912CF">
                <w:rPr>
                  <w:szCs w:val="22"/>
                  <w:lang w:val="pt-PT"/>
                </w:rPr>
                <w:delText>nsuficiência hepática</w:delText>
              </w:r>
              <w:r w:rsidRPr="008912CF">
                <w:rPr>
                  <w:szCs w:val="22"/>
                  <w:vertAlign w:val="superscript"/>
                  <w:lang w:val="pt-PT"/>
                </w:rPr>
                <w:delText>1)</w:delText>
              </w:r>
            </w:del>
          </w:p>
          <w:p w14:paraId="15B9CCCE" w14:textId="477276DB" w:rsidR="004462A0" w:rsidRPr="008912CF" w:rsidRDefault="004462A0" w:rsidP="00F675CF">
            <w:pPr>
              <w:pStyle w:val="EMEANormal"/>
              <w:widowControl w:val="0"/>
              <w:rPr>
                <w:del w:id="1282" w:author="AbbVie2" w:date="2025-05-13T16:36:00Z"/>
                <w:szCs w:val="22"/>
                <w:lang w:val="pt-PT"/>
              </w:rPr>
            </w:pPr>
          </w:p>
        </w:tc>
      </w:tr>
      <w:tr w:rsidR="00A7162A" w14:paraId="680FFCAE" w14:textId="489C509B" w:rsidTr="00F675CF">
        <w:trPr>
          <w:del w:id="1283" w:author="AbbVie2" w:date="2025-05-13T16:36:00Z"/>
        </w:trPr>
        <w:tc>
          <w:tcPr>
            <w:tcW w:w="2514" w:type="dxa"/>
            <w:vMerge w:val="restart"/>
          </w:tcPr>
          <w:p w14:paraId="63B39B17" w14:textId="7402C78E" w:rsidR="004462A0" w:rsidRPr="008912CF" w:rsidRDefault="00615769" w:rsidP="00F675CF">
            <w:pPr>
              <w:pStyle w:val="EMEANormal"/>
              <w:widowControl w:val="0"/>
              <w:spacing w:before="60"/>
              <w:rPr>
                <w:del w:id="1284" w:author="AbbVie2" w:date="2025-05-13T16:36:00Z"/>
                <w:szCs w:val="22"/>
                <w:lang w:val="pt-PT"/>
              </w:rPr>
            </w:pPr>
            <w:del w:id="1285" w:author="AbbVie2" w:date="2025-05-13T16:36:00Z">
              <w:r w:rsidRPr="008912CF">
                <w:rPr>
                  <w:szCs w:val="22"/>
                  <w:lang w:val="pt-PT"/>
                </w:rPr>
                <w:delText>Afeções dos tecidos cutâneos e subcutâneos</w:delText>
              </w:r>
            </w:del>
          </w:p>
        </w:tc>
        <w:tc>
          <w:tcPr>
            <w:tcW w:w="1996" w:type="dxa"/>
            <w:tcBorders>
              <w:bottom w:val="nil"/>
            </w:tcBorders>
          </w:tcPr>
          <w:p w14:paraId="7C51AA7A" w14:textId="2A30B679" w:rsidR="004462A0" w:rsidRPr="008912CF" w:rsidRDefault="00615769" w:rsidP="00F675CF">
            <w:pPr>
              <w:pStyle w:val="EMEANormal"/>
              <w:widowControl w:val="0"/>
              <w:spacing w:before="60"/>
              <w:rPr>
                <w:del w:id="1286" w:author="AbbVie2" w:date="2025-05-13T16:36:00Z"/>
                <w:szCs w:val="22"/>
                <w:lang w:val="pt-PT"/>
              </w:rPr>
            </w:pPr>
            <w:del w:id="1287" w:author="AbbVie2" w:date="2025-05-13T16:36:00Z">
              <w:r w:rsidRPr="008912CF">
                <w:rPr>
                  <w:szCs w:val="22"/>
                  <w:lang w:val="pt-PT"/>
                </w:rPr>
                <w:delText xml:space="preserve">Muito frequentes </w:delText>
              </w:r>
            </w:del>
          </w:p>
        </w:tc>
        <w:tc>
          <w:tcPr>
            <w:tcW w:w="4346" w:type="dxa"/>
            <w:tcBorders>
              <w:bottom w:val="nil"/>
            </w:tcBorders>
          </w:tcPr>
          <w:p w14:paraId="64060474" w14:textId="3FE7DFA5" w:rsidR="004462A0" w:rsidRPr="008912CF" w:rsidRDefault="00615769" w:rsidP="00F675CF">
            <w:pPr>
              <w:pStyle w:val="EMEANormal"/>
              <w:widowControl w:val="0"/>
              <w:spacing w:before="60"/>
              <w:rPr>
                <w:del w:id="1288" w:author="AbbVie2" w:date="2025-05-13T16:36:00Z"/>
                <w:szCs w:val="22"/>
                <w:lang w:val="pt-PT"/>
              </w:rPr>
            </w:pPr>
            <w:del w:id="1289" w:author="AbbVie2" w:date="2025-05-13T16:36:00Z">
              <w:r>
                <w:rPr>
                  <w:szCs w:val="22"/>
                  <w:lang w:val="pt-PT"/>
                </w:rPr>
                <w:delText>E</w:delText>
              </w:r>
              <w:r w:rsidRPr="008912CF">
                <w:rPr>
                  <w:szCs w:val="22"/>
                  <w:lang w:val="pt-PT"/>
                </w:rPr>
                <w:delText>rupção cutânea (incluindo erupção esfoliativa)</w:delText>
              </w:r>
            </w:del>
          </w:p>
          <w:p w14:paraId="55E5B2FA" w14:textId="3D7B91FC" w:rsidR="004462A0" w:rsidRPr="008912CF" w:rsidRDefault="004462A0" w:rsidP="00F675CF">
            <w:pPr>
              <w:pStyle w:val="EMEANormal"/>
              <w:widowControl w:val="0"/>
              <w:spacing w:before="60"/>
              <w:rPr>
                <w:del w:id="1290" w:author="AbbVie2" w:date="2025-05-13T16:36:00Z"/>
                <w:szCs w:val="22"/>
                <w:lang w:val="pt-PT"/>
              </w:rPr>
            </w:pPr>
          </w:p>
        </w:tc>
      </w:tr>
      <w:tr w:rsidR="00A7162A" w14:paraId="268E6976" w14:textId="169D06A9" w:rsidTr="00F675CF">
        <w:trPr>
          <w:del w:id="1291" w:author="AbbVie2" w:date="2025-05-13T16:36:00Z"/>
        </w:trPr>
        <w:tc>
          <w:tcPr>
            <w:tcW w:w="2514" w:type="dxa"/>
            <w:vMerge/>
          </w:tcPr>
          <w:p w14:paraId="485D9393" w14:textId="2FCD1EE7" w:rsidR="004462A0" w:rsidRPr="008912CF" w:rsidRDefault="004462A0" w:rsidP="00F675CF">
            <w:pPr>
              <w:widowControl w:val="0"/>
              <w:spacing w:before="60"/>
              <w:jc w:val="center"/>
              <w:rPr>
                <w:del w:id="1292" w:author="AbbVie2" w:date="2025-05-13T16:36:00Z"/>
                <w:b/>
              </w:rPr>
            </w:pPr>
          </w:p>
        </w:tc>
        <w:tc>
          <w:tcPr>
            <w:tcW w:w="1996" w:type="dxa"/>
            <w:tcBorders>
              <w:top w:val="nil"/>
              <w:bottom w:val="nil"/>
            </w:tcBorders>
          </w:tcPr>
          <w:p w14:paraId="48F34B9D" w14:textId="60AF085D" w:rsidR="004462A0" w:rsidRPr="008912CF" w:rsidRDefault="00615769" w:rsidP="00F675CF">
            <w:pPr>
              <w:pStyle w:val="EMEANormal"/>
              <w:widowControl w:val="0"/>
              <w:rPr>
                <w:del w:id="1293" w:author="AbbVie2" w:date="2025-05-13T16:36:00Z"/>
                <w:szCs w:val="22"/>
                <w:lang w:val="pt-PT"/>
              </w:rPr>
            </w:pPr>
            <w:del w:id="1294" w:author="AbbVie2" w:date="2025-05-13T16:36:00Z">
              <w:r w:rsidRPr="008912CF">
                <w:rPr>
                  <w:szCs w:val="22"/>
                  <w:lang w:val="pt-PT"/>
                </w:rPr>
                <w:delText>Frequentes</w:delText>
              </w:r>
            </w:del>
          </w:p>
          <w:p w14:paraId="38A89E60" w14:textId="35E0B239" w:rsidR="004462A0" w:rsidRPr="008912CF" w:rsidRDefault="004462A0" w:rsidP="00F675CF">
            <w:pPr>
              <w:pStyle w:val="EMEANormal"/>
              <w:widowControl w:val="0"/>
              <w:rPr>
                <w:del w:id="1295" w:author="AbbVie2" w:date="2025-05-13T16:36:00Z"/>
                <w:szCs w:val="22"/>
                <w:lang w:val="pt-PT"/>
              </w:rPr>
            </w:pPr>
          </w:p>
        </w:tc>
        <w:tc>
          <w:tcPr>
            <w:tcW w:w="4346" w:type="dxa"/>
            <w:tcBorders>
              <w:top w:val="nil"/>
              <w:bottom w:val="nil"/>
            </w:tcBorders>
          </w:tcPr>
          <w:p w14:paraId="37D0A8A2" w14:textId="52F2F0CE" w:rsidR="004462A0" w:rsidRPr="008912CF" w:rsidRDefault="00615769" w:rsidP="00F675CF">
            <w:pPr>
              <w:pStyle w:val="EMEANormal"/>
              <w:widowControl w:val="0"/>
              <w:rPr>
                <w:del w:id="1296" w:author="AbbVie2" w:date="2025-05-13T16:36:00Z"/>
                <w:szCs w:val="22"/>
                <w:lang w:val="pt-PT"/>
              </w:rPr>
            </w:pPr>
            <w:del w:id="1297" w:author="AbbVie2" w:date="2025-05-13T16:36:00Z">
              <w:r>
                <w:rPr>
                  <w:szCs w:val="22"/>
                  <w:lang w:val="pt-PT"/>
                </w:rPr>
                <w:delText>I</w:delText>
              </w:r>
              <w:r w:rsidRPr="008912CF">
                <w:rPr>
                  <w:szCs w:val="22"/>
                  <w:lang w:val="pt-PT"/>
                </w:rPr>
                <w:delText xml:space="preserve">nício </w:delText>
              </w:r>
              <w:r w:rsidRPr="008912CF">
                <w:rPr>
                  <w:lang w:val="pt-PT"/>
                </w:rPr>
                <w:delText>ou</w:delText>
              </w:r>
              <w:r w:rsidRPr="008912CF">
                <w:rPr>
                  <w:szCs w:val="22"/>
                  <w:lang w:val="pt-PT"/>
                </w:rPr>
                <w:delText xml:space="preserve"> agravamento da psoríase (incluindo psoríase pustular palmoplantar)</w:delText>
              </w:r>
              <w:r w:rsidRPr="008912CF">
                <w:rPr>
                  <w:szCs w:val="22"/>
                  <w:vertAlign w:val="superscript"/>
                  <w:lang w:val="pt-PT"/>
                </w:rPr>
                <w:delText xml:space="preserve">1) </w:delText>
              </w:r>
              <w:r w:rsidRPr="008912CF">
                <w:rPr>
                  <w:szCs w:val="22"/>
                  <w:lang w:val="pt-PT"/>
                </w:rPr>
                <w:delText>,</w:delText>
              </w:r>
            </w:del>
          </w:p>
          <w:p w14:paraId="5AE22DEF" w14:textId="05AB4AFA" w:rsidR="004462A0" w:rsidRPr="008912CF" w:rsidRDefault="00615769" w:rsidP="00F675CF">
            <w:pPr>
              <w:pStyle w:val="EMEANormal"/>
              <w:widowControl w:val="0"/>
              <w:rPr>
                <w:del w:id="1298" w:author="AbbVie2" w:date="2025-05-13T16:36:00Z"/>
                <w:szCs w:val="22"/>
                <w:lang w:val="pt-PT"/>
              </w:rPr>
            </w:pPr>
            <w:del w:id="1299" w:author="AbbVie2" w:date="2025-05-13T16:36:00Z">
              <w:r w:rsidRPr="008912CF">
                <w:rPr>
                  <w:szCs w:val="22"/>
                  <w:lang w:val="pt-PT"/>
                </w:rPr>
                <w:delText>urticária,</w:delText>
              </w:r>
            </w:del>
          </w:p>
          <w:p w14:paraId="320916EC" w14:textId="0E4AAA2C" w:rsidR="004462A0" w:rsidRPr="008912CF" w:rsidRDefault="00615769" w:rsidP="00F675CF">
            <w:pPr>
              <w:pStyle w:val="EMEANormal"/>
              <w:widowControl w:val="0"/>
              <w:rPr>
                <w:del w:id="1300" w:author="AbbVie2" w:date="2025-05-13T16:36:00Z"/>
                <w:szCs w:val="22"/>
                <w:lang w:val="pt-PT"/>
              </w:rPr>
            </w:pPr>
            <w:del w:id="1301" w:author="AbbVie2" w:date="2025-05-13T16:36:00Z">
              <w:r w:rsidRPr="008912CF">
                <w:rPr>
                  <w:szCs w:val="22"/>
                  <w:lang w:val="pt-PT"/>
                </w:rPr>
                <w:delText xml:space="preserve">equimoses (incluindo púrpura), </w:delText>
              </w:r>
            </w:del>
          </w:p>
          <w:p w14:paraId="21C12132" w14:textId="7CDA143C" w:rsidR="004462A0" w:rsidRPr="008912CF" w:rsidRDefault="00615769" w:rsidP="00F675CF">
            <w:pPr>
              <w:pStyle w:val="EMEANormal"/>
              <w:widowControl w:val="0"/>
              <w:rPr>
                <w:del w:id="1302" w:author="AbbVie2" w:date="2025-05-13T16:36:00Z"/>
                <w:szCs w:val="22"/>
                <w:lang w:val="pt-PT"/>
              </w:rPr>
            </w:pPr>
            <w:del w:id="1303" w:author="AbbVie2" w:date="2025-05-13T16:36:00Z">
              <w:r w:rsidRPr="008912CF">
                <w:rPr>
                  <w:szCs w:val="22"/>
                  <w:lang w:val="pt-PT"/>
                </w:rPr>
                <w:delText>dermatite (incluindo eczema),</w:delText>
              </w:r>
            </w:del>
          </w:p>
          <w:p w14:paraId="09233D41" w14:textId="2757875F" w:rsidR="004462A0" w:rsidRPr="008912CF" w:rsidRDefault="00615769" w:rsidP="00F675CF">
            <w:pPr>
              <w:pStyle w:val="EMEANormal"/>
              <w:widowControl w:val="0"/>
              <w:rPr>
                <w:del w:id="1304" w:author="AbbVie2" w:date="2025-05-13T16:36:00Z"/>
                <w:szCs w:val="22"/>
                <w:lang w:val="pt-PT"/>
              </w:rPr>
            </w:pPr>
            <w:del w:id="1305" w:author="AbbVie2" w:date="2025-05-13T16:36:00Z">
              <w:r w:rsidRPr="008912CF">
                <w:rPr>
                  <w:szCs w:val="22"/>
                  <w:lang w:val="pt-PT"/>
                </w:rPr>
                <w:delText xml:space="preserve">onicoclase, </w:delText>
              </w:r>
            </w:del>
          </w:p>
          <w:p w14:paraId="27F1A209" w14:textId="302F9E32" w:rsidR="004462A0" w:rsidRPr="008912CF" w:rsidRDefault="00615769" w:rsidP="00F675CF">
            <w:pPr>
              <w:pStyle w:val="EMEANormal"/>
              <w:widowControl w:val="0"/>
              <w:rPr>
                <w:del w:id="1306" w:author="AbbVie2" w:date="2025-05-13T16:36:00Z"/>
                <w:szCs w:val="22"/>
                <w:lang w:val="pt-PT"/>
              </w:rPr>
            </w:pPr>
            <w:del w:id="1307" w:author="AbbVie2" w:date="2025-05-13T16:36:00Z">
              <w:r w:rsidRPr="008912CF">
                <w:rPr>
                  <w:szCs w:val="22"/>
                  <w:lang w:val="pt-PT"/>
                </w:rPr>
                <w:delText>hiperidrose,</w:delText>
              </w:r>
            </w:del>
          </w:p>
          <w:p w14:paraId="7BE1E851" w14:textId="58453718" w:rsidR="004462A0" w:rsidRPr="008912CF" w:rsidRDefault="00615769" w:rsidP="00F675CF">
            <w:pPr>
              <w:pStyle w:val="EMEANormal"/>
              <w:widowControl w:val="0"/>
              <w:rPr>
                <w:del w:id="1308" w:author="AbbVie2" w:date="2025-05-13T16:36:00Z"/>
                <w:szCs w:val="22"/>
                <w:lang w:val="pt-PT"/>
              </w:rPr>
            </w:pPr>
            <w:del w:id="1309" w:author="AbbVie2" w:date="2025-05-13T16:36:00Z">
              <w:r w:rsidRPr="008912CF">
                <w:rPr>
                  <w:szCs w:val="22"/>
                  <w:lang w:val="pt-PT"/>
                </w:rPr>
                <w:delText>alopecia</w:delText>
              </w:r>
              <w:r w:rsidRPr="008912CF">
                <w:rPr>
                  <w:szCs w:val="22"/>
                  <w:vertAlign w:val="superscript"/>
                  <w:lang w:val="pt-PT"/>
                </w:rPr>
                <w:delText>1)</w:delText>
              </w:r>
              <w:r w:rsidRPr="008912CF">
                <w:rPr>
                  <w:szCs w:val="22"/>
                  <w:lang w:val="pt-PT"/>
                </w:rPr>
                <w:delText>,</w:delText>
              </w:r>
            </w:del>
          </w:p>
          <w:p w14:paraId="249A5C58" w14:textId="51F23902" w:rsidR="004462A0" w:rsidRPr="008912CF" w:rsidRDefault="00615769" w:rsidP="00F675CF">
            <w:pPr>
              <w:pStyle w:val="EMEANormal"/>
              <w:widowControl w:val="0"/>
              <w:rPr>
                <w:del w:id="1310" w:author="AbbVie2" w:date="2025-05-13T16:36:00Z"/>
                <w:szCs w:val="22"/>
                <w:lang w:val="pt-PT"/>
              </w:rPr>
            </w:pPr>
            <w:del w:id="1311" w:author="AbbVie2" w:date="2025-05-13T16:36:00Z">
              <w:r w:rsidRPr="008912CF">
                <w:rPr>
                  <w:szCs w:val="22"/>
                  <w:lang w:val="pt-PT"/>
                </w:rPr>
                <w:delText>prurido</w:delText>
              </w:r>
            </w:del>
          </w:p>
          <w:p w14:paraId="50D56B9E" w14:textId="5481E78E" w:rsidR="004462A0" w:rsidRPr="008912CF" w:rsidRDefault="004462A0" w:rsidP="00F675CF">
            <w:pPr>
              <w:pStyle w:val="EMEANormal"/>
              <w:widowControl w:val="0"/>
              <w:rPr>
                <w:del w:id="1312" w:author="AbbVie2" w:date="2025-05-13T16:36:00Z"/>
                <w:szCs w:val="22"/>
                <w:lang w:val="pt-PT"/>
              </w:rPr>
            </w:pPr>
          </w:p>
        </w:tc>
      </w:tr>
      <w:tr w:rsidR="00A7162A" w14:paraId="744D6F1A" w14:textId="3E7830AD" w:rsidTr="00F675CF">
        <w:trPr>
          <w:del w:id="1313" w:author="AbbVie2" w:date="2025-05-13T16:36:00Z"/>
        </w:trPr>
        <w:tc>
          <w:tcPr>
            <w:tcW w:w="2514" w:type="dxa"/>
            <w:vMerge/>
            <w:tcBorders>
              <w:bottom w:val="nil"/>
            </w:tcBorders>
          </w:tcPr>
          <w:p w14:paraId="40709E45" w14:textId="21152D3B" w:rsidR="004462A0" w:rsidRPr="008912CF" w:rsidRDefault="004462A0" w:rsidP="00F675CF">
            <w:pPr>
              <w:widowControl w:val="0"/>
              <w:spacing w:before="60"/>
              <w:jc w:val="center"/>
              <w:rPr>
                <w:del w:id="1314" w:author="AbbVie2" w:date="2025-05-13T16:36:00Z"/>
                <w:b/>
              </w:rPr>
            </w:pPr>
          </w:p>
        </w:tc>
        <w:tc>
          <w:tcPr>
            <w:tcW w:w="1996" w:type="dxa"/>
            <w:tcBorders>
              <w:top w:val="nil"/>
              <w:bottom w:val="nil"/>
            </w:tcBorders>
          </w:tcPr>
          <w:p w14:paraId="3B74A511" w14:textId="54D6821D" w:rsidR="004462A0" w:rsidRPr="008912CF" w:rsidRDefault="00615769" w:rsidP="00F675CF">
            <w:pPr>
              <w:pStyle w:val="EMEANormal"/>
              <w:widowControl w:val="0"/>
              <w:rPr>
                <w:del w:id="1315" w:author="AbbVie2" w:date="2025-05-13T16:36:00Z"/>
                <w:szCs w:val="22"/>
                <w:lang w:val="pt-PT"/>
              </w:rPr>
            </w:pPr>
            <w:del w:id="1316" w:author="AbbVie2" w:date="2025-05-13T16:36:00Z">
              <w:r w:rsidRPr="008912CF">
                <w:rPr>
                  <w:szCs w:val="22"/>
                  <w:lang w:val="pt-PT"/>
                </w:rPr>
                <w:delText>Pouco frequentes</w:delText>
              </w:r>
            </w:del>
          </w:p>
          <w:p w14:paraId="04ED5B84" w14:textId="444A8746" w:rsidR="004462A0" w:rsidRPr="008912CF" w:rsidRDefault="004462A0" w:rsidP="00F675CF">
            <w:pPr>
              <w:pStyle w:val="EMEANormal"/>
              <w:widowControl w:val="0"/>
              <w:rPr>
                <w:del w:id="1317" w:author="AbbVie2" w:date="2025-05-13T16:36:00Z"/>
                <w:szCs w:val="22"/>
                <w:lang w:val="pt-PT"/>
              </w:rPr>
            </w:pPr>
          </w:p>
        </w:tc>
        <w:tc>
          <w:tcPr>
            <w:tcW w:w="4346" w:type="dxa"/>
            <w:tcBorders>
              <w:top w:val="nil"/>
              <w:bottom w:val="nil"/>
            </w:tcBorders>
          </w:tcPr>
          <w:p w14:paraId="20DC7E5E" w14:textId="4370D245" w:rsidR="004462A0" w:rsidRPr="008912CF" w:rsidRDefault="00615769" w:rsidP="00F675CF">
            <w:pPr>
              <w:pStyle w:val="EMEANormal"/>
              <w:widowControl w:val="0"/>
              <w:rPr>
                <w:del w:id="1318" w:author="AbbVie2" w:date="2025-05-13T16:36:00Z"/>
                <w:szCs w:val="22"/>
                <w:lang w:val="pt-PT"/>
              </w:rPr>
            </w:pPr>
            <w:del w:id="1319" w:author="AbbVie2" w:date="2025-05-13T16:36:00Z">
              <w:r>
                <w:rPr>
                  <w:szCs w:val="22"/>
                  <w:lang w:val="pt-PT"/>
                </w:rPr>
                <w:delText>S</w:delText>
              </w:r>
              <w:r w:rsidRPr="008912CF">
                <w:rPr>
                  <w:szCs w:val="22"/>
                  <w:lang w:val="pt-PT"/>
                </w:rPr>
                <w:delText>uores noturnos,</w:delText>
              </w:r>
            </w:del>
          </w:p>
          <w:p w14:paraId="45E8A474" w14:textId="4E809D4B" w:rsidR="004462A0" w:rsidRPr="008912CF" w:rsidRDefault="00615769" w:rsidP="00F675CF">
            <w:pPr>
              <w:pStyle w:val="EMEANormal"/>
              <w:widowControl w:val="0"/>
              <w:rPr>
                <w:del w:id="1320" w:author="AbbVie2" w:date="2025-05-13T16:36:00Z"/>
                <w:szCs w:val="22"/>
                <w:lang w:val="pt-PT"/>
              </w:rPr>
            </w:pPr>
            <w:del w:id="1321" w:author="AbbVie2" w:date="2025-05-13T16:36:00Z">
              <w:r w:rsidRPr="008912CF">
                <w:rPr>
                  <w:szCs w:val="22"/>
                  <w:lang w:val="pt-PT"/>
                </w:rPr>
                <w:delText>escara</w:delText>
              </w:r>
            </w:del>
          </w:p>
          <w:p w14:paraId="08F9DAD9" w14:textId="371F1512" w:rsidR="004462A0" w:rsidRPr="008912CF" w:rsidRDefault="004462A0" w:rsidP="00F675CF">
            <w:pPr>
              <w:pStyle w:val="EMEANormal"/>
              <w:widowControl w:val="0"/>
              <w:rPr>
                <w:del w:id="1322" w:author="AbbVie2" w:date="2025-05-13T16:36:00Z"/>
                <w:szCs w:val="22"/>
                <w:lang w:val="pt-PT"/>
              </w:rPr>
            </w:pPr>
          </w:p>
        </w:tc>
      </w:tr>
      <w:tr w:rsidR="00A7162A" w14:paraId="37C93CE2" w14:textId="4902D018" w:rsidTr="00F675CF">
        <w:trPr>
          <w:del w:id="1323" w:author="AbbVie2" w:date="2025-05-13T16:36:00Z"/>
        </w:trPr>
        <w:tc>
          <w:tcPr>
            <w:tcW w:w="2514" w:type="dxa"/>
            <w:tcBorders>
              <w:top w:val="nil"/>
            </w:tcBorders>
          </w:tcPr>
          <w:p w14:paraId="59AC2218" w14:textId="23F02E39" w:rsidR="004462A0" w:rsidRPr="008912CF" w:rsidRDefault="004462A0" w:rsidP="00F675CF">
            <w:pPr>
              <w:widowControl w:val="0"/>
              <w:spacing w:before="60"/>
              <w:jc w:val="center"/>
              <w:rPr>
                <w:del w:id="1324" w:author="AbbVie2" w:date="2025-05-13T16:36:00Z"/>
                <w:b/>
              </w:rPr>
            </w:pPr>
          </w:p>
        </w:tc>
        <w:tc>
          <w:tcPr>
            <w:tcW w:w="1996" w:type="dxa"/>
            <w:tcBorders>
              <w:top w:val="nil"/>
            </w:tcBorders>
          </w:tcPr>
          <w:p w14:paraId="3BA4D10E" w14:textId="760AAF6A" w:rsidR="004462A0" w:rsidRPr="008912CF" w:rsidRDefault="00615769" w:rsidP="00F675CF">
            <w:pPr>
              <w:pStyle w:val="EMEANormal"/>
              <w:widowControl w:val="0"/>
              <w:rPr>
                <w:del w:id="1325" w:author="AbbVie2" w:date="2025-05-13T16:36:00Z"/>
                <w:szCs w:val="22"/>
                <w:lang w:val="pt-PT"/>
              </w:rPr>
            </w:pPr>
            <w:del w:id="1326" w:author="AbbVie2" w:date="2025-05-13T16:36:00Z">
              <w:r w:rsidRPr="008912CF">
                <w:rPr>
                  <w:szCs w:val="22"/>
                  <w:lang w:val="pt-PT"/>
                </w:rPr>
                <w:delText>Raros</w:delText>
              </w:r>
            </w:del>
          </w:p>
          <w:p w14:paraId="3CF4D3DD" w14:textId="12F86621" w:rsidR="004462A0" w:rsidRPr="008912CF" w:rsidRDefault="004462A0" w:rsidP="00F675CF">
            <w:pPr>
              <w:pStyle w:val="EMEANormal"/>
              <w:widowControl w:val="0"/>
              <w:rPr>
                <w:del w:id="1327" w:author="AbbVie2" w:date="2025-05-13T16:36:00Z"/>
                <w:szCs w:val="22"/>
                <w:lang w:val="pt-PT"/>
              </w:rPr>
            </w:pPr>
          </w:p>
          <w:p w14:paraId="17708D98" w14:textId="5E72B3C3" w:rsidR="004462A0" w:rsidRPr="008912CF" w:rsidRDefault="004462A0" w:rsidP="00F675CF">
            <w:pPr>
              <w:pStyle w:val="EMEANormal"/>
              <w:widowControl w:val="0"/>
              <w:rPr>
                <w:del w:id="1328" w:author="AbbVie2" w:date="2025-05-13T16:36:00Z"/>
                <w:szCs w:val="22"/>
                <w:lang w:val="pt-PT"/>
              </w:rPr>
            </w:pPr>
          </w:p>
          <w:p w14:paraId="53F4BE8F" w14:textId="71672D62" w:rsidR="004462A0" w:rsidRPr="008912CF" w:rsidRDefault="004462A0" w:rsidP="00F675CF">
            <w:pPr>
              <w:pStyle w:val="EMEANormal"/>
              <w:widowControl w:val="0"/>
              <w:rPr>
                <w:del w:id="1329" w:author="AbbVie2" w:date="2025-05-13T16:36:00Z"/>
                <w:szCs w:val="22"/>
                <w:lang w:val="pt-PT"/>
              </w:rPr>
            </w:pPr>
          </w:p>
          <w:p w14:paraId="6F3F5295" w14:textId="1E44F7DF" w:rsidR="004462A0" w:rsidRPr="008912CF" w:rsidRDefault="004462A0" w:rsidP="00F675CF">
            <w:pPr>
              <w:pStyle w:val="EMEANormal"/>
              <w:widowControl w:val="0"/>
              <w:rPr>
                <w:del w:id="1330" w:author="AbbVie2" w:date="2025-05-13T16:36:00Z"/>
                <w:szCs w:val="22"/>
                <w:lang w:val="pt-PT"/>
              </w:rPr>
            </w:pPr>
          </w:p>
          <w:p w14:paraId="6B5007C7" w14:textId="56E5F5CF" w:rsidR="00AB7DBC" w:rsidRDefault="00AB7DBC" w:rsidP="00F675CF">
            <w:pPr>
              <w:pStyle w:val="EMEANormal"/>
              <w:widowControl w:val="0"/>
              <w:rPr>
                <w:del w:id="1331" w:author="AbbVie2" w:date="2025-05-13T16:36:00Z"/>
                <w:szCs w:val="22"/>
                <w:lang w:val="pt-PT"/>
              </w:rPr>
            </w:pPr>
          </w:p>
          <w:p w14:paraId="78473BA0" w14:textId="4B18F3B0" w:rsidR="004462A0" w:rsidRPr="008912CF" w:rsidRDefault="00615769" w:rsidP="00F675CF">
            <w:pPr>
              <w:pStyle w:val="EMEANormal"/>
              <w:widowControl w:val="0"/>
              <w:rPr>
                <w:del w:id="1332" w:author="AbbVie2" w:date="2025-05-13T16:36:00Z"/>
                <w:szCs w:val="22"/>
                <w:lang w:val="pt-PT"/>
              </w:rPr>
            </w:pPr>
            <w:del w:id="1333" w:author="AbbVie2" w:date="2025-05-13T16:36:00Z">
              <w:r w:rsidRPr="008912CF">
                <w:rPr>
                  <w:szCs w:val="22"/>
                  <w:lang w:val="pt-PT"/>
                </w:rPr>
                <w:delText>Desconhecido</w:delText>
              </w:r>
            </w:del>
          </w:p>
          <w:p w14:paraId="5FC75D56" w14:textId="17498FB1" w:rsidR="004462A0" w:rsidRPr="008912CF" w:rsidRDefault="004462A0" w:rsidP="00F675CF">
            <w:pPr>
              <w:pStyle w:val="EMEANormal"/>
              <w:widowControl w:val="0"/>
              <w:rPr>
                <w:del w:id="1334" w:author="AbbVie2" w:date="2025-05-13T16:36:00Z"/>
                <w:szCs w:val="22"/>
                <w:lang w:val="pt-PT"/>
              </w:rPr>
            </w:pPr>
          </w:p>
        </w:tc>
        <w:tc>
          <w:tcPr>
            <w:tcW w:w="4346" w:type="dxa"/>
            <w:tcBorders>
              <w:top w:val="nil"/>
            </w:tcBorders>
          </w:tcPr>
          <w:p w14:paraId="7E54A1F3" w14:textId="3CBA539E" w:rsidR="004462A0" w:rsidRPr="008912CF" w:rsidRDefault="00615769" w:rsidP="00F675CF">
            <w:pPr>
              <w:pStyle w:val="EMEANormal"/>
              <w:widowControl w:val="0"/>
              <w:rPr>
                <w:del w:id="1335" w:author="AbbVie2" w:date="2025-05-13T16:36:00Z"/>
                <w:szCs w:val="22"/>
                <w:lang w:val="pt-PT"/>
              </w:rPr>
            </w:pPr>
            <w:del w:id="1336" w:author="AbbVie2" w:date="2025-05-13T16:36:00Z">
              <w:r>
                <w:rPr>
                  <w:szCs w:val="22"/>
                  <w:lang w:val="pt-PT"/>
                </w:rPr>
                <w:delText>E</w:delText>
              </w:r>
              <w:r w:rsidRPr="008912CF">
                <w:rPr>
                  <w:szCs w:val="22"/>
                  <w:lang w:val="pt-PT"/>
                </w:rPr>
                <w:delText>ritema multiforme</w:delText>
              </w:r>
              <w:r w:rsidRPr="008912CF">
                <w:rPr>
                  <w:szCs w:val="22"/>
                  <w:vertAlign w:val="superscript"/>
                  <w:lang w:val="pt-PT"/>
                </w:rPr>
                <w:delText>1)</w:delText>
              </w:r>
              <w:r w:rsidRPr="008912CF">
                <w:rPr>
                  <w:szCs w:val="22"/>
                  <w:lang w:val="pt-PT"/>
                </w:rPr>
                <w:delText>,</w:delText>
              </w:r>
            </w:del>
          </w:p>
          <w:p w14:paraId="0FD5F532" w14:textId="663699B8" w:rsidR="004462A0" w:rsidRPr="008912CF" w:rsidRDefault="00615769" w:rsidP="00F675CF">
            <w:pPr>
              <w:pStyle w:val="EMEANormal"/>
              <w:widowControl w:val="0"/>
              <w:rPr>
                <w:del w:id="1337" w:author="AbbVie2" w:date="2025-05-13T16:36:00Z"/>
                <w:szCs w:val="22"/>
                <w:lang w:val="pt-PT"/>
              </w:rPr>
            </w:pPr>
            <w:del w:id="1338" w:author="AbbVie2" w:date="2025-05-13T16:36:00Z">
              <w:r w:rsidRPr="008912CF">
                <w:rPr>
                  <w:szCs w:val="22"/>
                  <w:lang w:val="pt-PT"/>
                </w:rPr>
                <w:delText>síndrome de Stevens-Johnson</w:delText>
              </w:r>
              <w:r w:rsidRPr="008912CF">
                <w:rPr>
                  <w:szCs w:val="22"/>
                  <w:vertAlign w:val="superscript"/>
                  <w:lang w:val="pt-PT"/>
                </w:rPr>
                <w:delText>1)</w:delText>
              </w:r>
              <w:r w:rsidRPr="008912CF">
                <w:rPr>
                  <w:szCs w:val="22"/>
                  <w:lang w:val="pt-PT"/>
                </w:rPr>
                <w:delText>,</w:delText>
              </w:r>
            </w:del>
          </w:p>
          <w:p w14:paraId="1E2C33D7" w14:textId="1AA8AFF7" w:rsidR="004462A0" w:rsidRPr="008912CF" w:rsidRDefault="00615769" w:rsidP="00F675CF">
            <w:pPr>
              <w:pStyle w:val="EMEANormal"/>
              <w:widowControl w:val="0"/>
              <w:rPr>
                <w:del w:id="1339" w:author="AbbVie2" w:date="2025-05-13T16:36:00Z"/>
                <w:szCs w:val="22"/>
                <w:lang w:val="pt-PT"/>
              </w:rPr>
            </w:pPr>
            <w:del w:id="1340" w:author="AbbVie2" w:date="2025-05-13T16:36:00Z">
              <w:r w:rsidRPr="008912CF">
                <w:rPr>
                  <w:szCs w:val="22"/>
                  <w:lang w:val="pt-PT"/>
                </w:rPr>
                <w:delText>angioedema</w:delText>
              </w:r>
              <w:r w:rsidRPr="008912CF">
                <w:rPr>
                  <w:szCs w:val="22"/>
                  <w:vertAlign w:val="superscript"/>
                  <w:lang w:val="pt-PT"/>
                </w:rPr>
                <w:delText>1)</w:delText>
              </w:r>
              <w:r w:rsidRPr="008912CF">
                <w:rPr>
                  <w:szCs w:val="22"/>
                  <w:lang w:val="pt-PT"/>
                </w:rPr>
                <w:delText>,</w:delText>
              </w:r>
            </w:del>
          </w:p>
          <w:p w14:paraId="20CD8D2F" w14:textId="5A12F7ED" w:rsidR="00AB7DBC" w:rsidRPr="00DF5632" w:rsidRDefault="00615769" w:rsidP="00F675CF">
            <w:pPr>
              <w:pStyle w:val="EMEANormal"/>
              <w:widowControl w:val="0"/>
              <w:rPr>
                <w:del w:id="1341" w:author="AbbVie2" w:date="2025-05-13T16:36:00Z"/>
                <w:szCs w:val="22"/>
                <w:lang w:val="pt-PT"/>
              </w:rPr>
            </w:pPr>
            <w:del w:id="1342" w:author="AbbVie2" w:date="2025-05-13T16:36:00Z">
              <w:r w:rsidRPr="008912CF">
                <w:rPr>
                  <w:szCs w:val="22"/>
                  <w:lang w:val="pt-PT"/>
                </w:rPr>
                <w:delText>vasculite cutânea</w:delText>
              </w:r>
              <w:r w:rsidRPr="008912CF">
                <w:rPr>
                  <w:szCs w:val="22"/>
                  <w:vertAlign w:val="superscript"/>
                  <w:lang w:val="pt-PT"/>
                </w:rPr>
                <w:delText>1)</w:delText>
              </w:r>
              <w:r w:rsidR="00FD51F4">
                <w:rPr>
                  <w:szCs w:val="22"/>
                  <w:lang w:val="pt-PT"/>
                </w:rPr>
                <w:delText>,</w:delText>
              </w:r>
            </w:del>
          </w:p>
          <w:p w14:paraId="08AE01E5" w14:textId="2D6F32A9" w:rsidR="004462A0" w:rsidRPr="008912CF" w:rsidRDefault="00615769" w:rsidP="00F675CF">
            <w:pPr>
              <w:pStyle w:val="EMEANormal"/>
              <w:widowControl w:val="0"/>
              <w:rPr>
                <w:del w:id="1343" w:author="AbbVie2" w:date="2025-05-13T16:36:00Z"/>
                <w:szCs w:val="22"/>
                <w:vertAlign w:val="superscript"/>
                <w:lang w:val="pt-PT"/>
              </w:rPr>
            </w:pPr>
            <w:del w:id="1344" w:author="AbbVie2" w:date="2025-05-13T16:36:00Z">
              <w:r>
                <w:rPr>
                  <w:szCs w:val="22"/>
                  <w:lang w:val="pt-PT"/>
                </w:rPr>
                <w:delText>reação cutânea liquen</w:delText>
              </w:r>
              <w:r w:rsidR="00E9064D">
                <w:rPr>
                  <w:szCs w:val="22"/>
                  <w:lang w:val="pt-PT"/>
                </w:rPr>
                <w:delText>o</w:delText>
              </w:r>
              <w:r>
                <w:rPr>
                  <w:szCs w:val="22"/>
                  <w:lang w:val="pt-PT"/>
                </w:rPr>
                <w:delText>ide</w:delText>
              </w:r>
              <w:r w:rsidRPr="008912CF">
                <w:rPr>
                  <w:szCs w:val="22"/>
                  <w:vertAlign w:val="superscript"/>
                  <w:lang w:val="pt-PT"/>
                </w:rPr>
                <w:delText xml:space="preserve">1) </w:delText>
              </w:r>
            </w:del>
          </w:p>
          <w:p w14:paraId="168B5C0D" w14:textId="1DF739A4" w:rsidR="004462A0" w:rsidRPr="008912CF" w:rsidRDefault="004462A0" w:rsidP="00F675CF">
            <w:pPr>
              <w:pStyle w:val="EMEANormal"/>
              <w:widowControl w:val="0"/>
              <w:rPr>
                <w:del w:id="1345" w:author="AbbVie2" w:date="2025-05-13T16:36:00Z"/>
                <w:szCs w:val="22"/>
                <w:vertAlign w:val="superscript"/>
                <w:lang w:val="pt-PT"/>
              </w:rPr>
            </w:pPr>
          </w:p>
          <w:p w14:paraId="7B57187D" w14:textId="06AF5BEF" w:rsidR="004462A0" w:rsidRPr="008912CF" w:rsidRDefault="00615769" w:rsidP="00F675CF">
            <w:pPr>
              <w:pStyle w:val="EMEANormal"/>
              <w:widowControl w:val="0"/>
              <w:rPr>
                <w:del w:id="1346" w:author="AbbVie2" w:date="2025-05-13T16:36:00Z"/>
                <w:szCs w:val="22"/>
                <w:vertAlign w:val="superscript"/>
                <w:lang w:val="pt-PT"/>
              </w:rPr>
            </w:pPr>
            <w:del w:id="1347" w:author="AbbVie2" w:date="2025-05-13T16:36:00Z">
              <w:r>
                <w:rPr>
                  <w:szCs w:val="22"/>
                  <w:lang w:val="pt-PT"/>
                </w:rPr>
                <w:delText>A</w:delText>
              </w:r>
              <w:r w:rsidRPr="008912CF">
                <w:rPr>
                  <w:szCs w:val="22"/>
                  <w:lang w:val="pt-PT"/>
                </w:rPr>
                <w:delText>gravamento dos sintomas de dermatomiosite</w:delText>
              </w:r>
              <w:r w:rsidRPr="008912CF">
                <w:rPr>
                  <w:szCs w:val="22"/>
                  <w:vertAlign w:val="superscript"/>
                  <w:lang w:val="pt-PT"/>
                </w:rPr>
                <w:delText>1)</w:delText>
              </w:r>
            </w:del>
          </w:p>
          <w:p w14:paraId="57537556" w14:textId="10668B83" w:rsidR="004462A0" w:rsidRPr="008912CF" w:rsidRDefault="004462A0" w:rsidP="00F675CF">
            <w:pPr>
              <w:pStyle w:val="EMEANormal"/>
              <w:widowControl w:val="0"/>
              <w:rPr>
                <w:del w:id="1348" w:author="AbbVie2" w:date="2025-05-13T16:36:00Z"/>
                <w:szCs w:val="22"/>
                <w:lang w:val="pt-PT"/>
              </w:rPr>
            </w:pPr>
          </w:p>
        </w:tc>
      </w:tr>
      <w:tr w:rsidR="00A7162A" w14:paraId="4D23ABF1" w14:textId="52F1CDEE" w:rsidTr="00F675CF">
        <w:trPr>
          <w:del w:id="1349" w:author="AbbVie2" w:date="2025-05-13T16:36:00Z"/>
        </w:trPr>
        <w:tc>
          <w:tcPr>
            <w:tcW w:w="2514" w:type="dxa"/>
            <w:vMerge w:val="restart"/>
          </w:tcPr>
          <w:p w14:paraId="3E317F5F" w14:textId="78B8AF03" w:rsidR="004462A0" w:rsidRPr="008912CF" w:rsidRDefault="00615769" w:rsidP="00F675CF">
            <w:pPr>
              <w:pStyle w:val="EMEANormal"/>
              <w:widowControl w:val="0"/>
              <w:spacing w:before="60"/>
              <w:rPr>
                <w:del w:id="1350" w:author="AbbVie2" w:date="2025-05-13T16:36:00Z"/>
                <w:szCs w:val="22"/>
                <w:lang w:val="pt-PT"/>
              </w:rPr>
            </w:pPr>
            <w:del w:id="1351" w:author="AbbVie2" w:date="2025-05-13T16:36:00Z">
              <w:r w:rsidRPr="008912CF">
                <w:rPr>
                  <w:szCs w:val="22"/>
                  <w:lang w:val="pt-PT"/>
                </w:rPr>
                <w:delText>Afeções musculoesqueléticas e dos tecidos conjuntivos</w:delText>
              </w:r>
            </w:del>
          </w:p>
        </w:tc>
        <w:tc>
          <w:tcPr>
            <w:tcW w:w="1996" w:type="dxa"/>
            <w:tcBorders>
              <w:bottom w:val="nil"/>
            </w:tcBorders>
          </w:tcPr>
          <w:p w14:paraId="0BF02E1D" w14:textId="2249B119" w:rsidR="004462A0" w:rsidRPr="008912CF" w:rsidRDefault="00615769" w:rsidP="00F675CF">
            <w:pPr>
              <w:pStyle w:val="EMEANormal"/>
              <w:widowControl w:val="0"/>
              <w:spacing w:before="60"/>
              <w:rPr>
                <w:del w:id="1352" w:author="AbbVie2" w:date="2025-05-13T16:36:00Z"/>
                <w:szCs w:val="22"/>
                <w:lang w:val="pt-PT"/>
              </w:rPr>
            </w:pPr>
            <w:del w:id="1353" w:author="AbbVie2" w:date="2025-05-13T16:36:00Z">
              <w:r w:rsidRPr="008912CF">
                <w:rPr>
                  <w:szCs w:val="22"/>
                  <w:lang w:val="pt-PT"/>
                </w:rPr>
                <w:delText xml:space="preserve">Muito frequentes </w:delText>
              </w:r>
            </w:del>
          </w:p>
        </w:tc>
        <w:tc>
          <w:tcPr>
            <w:tcW w:w="4346" w:type="dxa"/>
            <w:tcBorders>
              <w:bottom w:val="nil"/>
            </w:tcBorders>
          </w:tcPr>
          <w:p w14:paraId="1825D6C5" w14:textId="712A5514" w:rsidR="004462A0" w:rsidRPr="008912CF" w:rsidRDefault="00615769" w:rsidP="00F675CF">
            <w:pPr>
              <w:pStyle w:val="EMEANormal"/>
              <w:widowControl w:val="0"/>
              <w:spacing w:before="60"/>
              <w:rPr>
                <w:del w:id="1354" w:author="AbbVie2" w:date="2025-05-13T16:36:00Z"/>
                <w:szCs w:val="22"/>
                <w:lang w:val="pt-PT"/>
              </w:rPr>
            </w:pPr>
            <w:del w:id="1355" w:author="AbbVie2" w:date="2025-05-13T16:36:00Z">
              <w:r>
                <w:rPr>
                  <w:szCs w:val="22"/>
                  <w:lang w:val="pt-PT"/>
                </w:rPr>
                <w:delText>D</w:delText>
              </w:r>
              <w:r w:rsidRPr="008912CF">
                <w:rPr>
                  <w:szCs w:val="22"/>
                  <w:lang w:val="pt-PT"/>
                </w:rPr>
                <w:delText>or musculoesquelética</w:delText>
              </w:r>
            </w:del>
          </w:p>
          <w:p w14:paraId="7EACFAEF" w14:textId="000ECD97" w:rsidR="004462A0" w:rsidRPr="008912CF" w:rsidRDefault="004462A0" w:rsidP="00F675CF">
            <w:pPr>
              <w:pStyle w:val="EMEANormal"/>
              <w:widowControl w:val="0"/>
              <w:spacing w:before="60"/>
              <w:rPr>
                <w:del w:id="1356" w:author="AbbVie2" w:date="2025-05-13T16:36:00Z"/>
                <w:szCs w:val="22"/>
                <w:lang w:val="pt-PT"/>
              </w:rPr>
            </w:pPr>
          </w:p>
        </w:tc>
      </w:tr>
      <w:tr w:rsidR="00A7162A" w14:paraId="1A2CA2E0" w14:textId="0E944940" w:rsidTr="00F675CF">
        <w:trPr>
          <w:del w:id="1357" w:author="AbbVie2" w:date="2025-05-13T16:36:00Z"/>
        </w:trPr>
        <w:tc>
          <w:tcPr>
            <w:tcW w:w="2514" w:type="dxa"/>
            <w:vMerge/>
          </w:tcPr>
          <w:p w14:paraId="6C8825F9" w14:textId="21760685" w:rsidR="004462A0" w:rsidRPr="008912CF" w:rsidRDefault="004462A0" w:rsidP="00F675CF">
            <w:pPr>
              <w:pStyle w:val="EMEANormal"/>
              <w:widowControl w:val="0"/>
              <w:spacing w:before="60"/>
              <w:rPr>
                <w:del w:id="1358" w:author="AbbVie2" w:date="2025-05-13T16:36:00Z"/>
                <w:szCs w:val="22"/>
                <w:lang w:val="pt-PT"/>
              </w:rPr>
            </w:pPr>
          </w:p>
        </w:tc>
        <w:tc>
          <w:tcPr>
            <w:tcW w:w="1996" w:type="dxa"/>
            <w:tcBorders>
              <w:top w:val="nil"/>
              <w:bottom w:val="nil"/>
            </w:tcBorders>
          </w:tcPr>
          <w:p w14:paraId="3E25B11A" w14:textId="32CD5059" w:rsidR="004462A0" w:rsidRPr="008912CF" w:rsidRDefault="00615769" w:rsidP="00F675CF">
            <w:pPr>
              <w:pStyle w:val="EMEANormal"/>
              <w:widowControl w:val="0"/>
              <w:spacing w:before="60"/>
              <w:rPr>
                <w:del w:id="1359" w:author="AbbVie2" w:date="2025-05-13T16:36:00Z"/>
                <w:szCs w:val="22"/>
                <w:lang w:val="pt-PT"/>
              </w:rPr>
            </w:pPr>
            <w:del w:id="1360" w:author="AbbVie2" w:date="2025-05-13T16:36:00Z">
              <w:r w:rsidRPr="008912CF">
                <w:rPr>
                  <w:szCs w:val="22"/>
                  <w:lang w:val="pt-PT"/>
                </w:rPr>
                <w:delText>Frequentes</w:delText>
              </w:r>
            </w:del>
          </w:p>
        </w:tc>
        <w:tc>
          <w:tcPr>
            <w:tcW w:w="4346" w:type="dxa"/>
            <w:tcBorders>
              <w:top w:val="nil"/>
              <w:bottom w:val="nil"/>
            </w:tcBorders>
          </w:tcPr>
          <w:p w14:paraId="4707FECC" w14:textId="346D43F1" w:rsidR="004462A0" w:rsidRPr="008912CF" w:rsidRDefault="00615769" w:rsidP="00F675CF">
            <w:pPr>
              <w:pStyle w:val="EMEANormal"/>
              <w:widowControl w:val="0"/>
              <w:spacing w:before="60"/>
              <w:rPr>
                <w:del w:id="1361" w:author="AbbVie2" w:date="2025-05-13T16:36:00Z"/>
                <w:szCs w:val="22"/>
                <w:lang w:val="pt-PT"/>
              </w:rPr>
            </w:pPr>
            <w:del w:id="1362" w:author="AbbVie2" w:date="2025-05-13T16:36:00Z">
              <w:r>
                <w:rPr>
                  <w:szCs w:val="22"/>
                  <w:lang w:val="pt-PT"/>
                </w:rPr>
                <w:delText>E</w:delText>
              </w:r>
              <w:r w:rsidRPr="008912CF">
                <w:rPr>
                  <w:szCs w:val="22"/>
                  <w:lang w:val="pt-PT"/>
                </w:rPr>
                <w:delText>spasmo muscular (incluindo nível sérico de creatinafosfoquinase aumentado)</w:delText>
              </w:r>
            </w:del>
          </w:p>
          <w:p w14:paraId="18C6B579" w14:textId="5ED438CF" w:rsidR="004462A0" w:rsidRPr="008912CF" w:rsidRDefault="004462A0" w:rsidP="00F675CF">
            <w:pPr>
              <w:pStyle w:val="EMEANormal"/>
              <w:widowControl w:val="0"/>
              <w:spacing w:before="60"/>
              <w:rPr>
                <w:del w:id="1363" w:author="AbbVie2" w:date="2025-05-13T16:36:00Z"/>
                <w:szCs w:val="22"/>
                <w:lang w:val="pt-PT"/>
              </w:rPr>
            </w:pPr>
          </w:p>
        </w:tc>
      </w:tr>
      <w:tr w:rsidR="00A7162A" w14:paraId="0CD70AAD" w14:textId="6CAA752D" w:rsidTr="00F675CF">
        <w:trPr>
          <w:del w:id="1364" w:author="AbbVie2" w:date="2025-05-13T16:36:00Z"/>
        </w:trPr>
        <w:tc>
          <w:tcPr>
            <w:tcW w:w="2514" w:type="dxa"/>
            <w:vMerge/>
            <w:tcBorders>
              <w:bottom w:val="nil"/>
            </w:tcBorders>
          </w:tcPr>
          <w:p w14:paraId="3D711C87" w14:textId="69CACCE0" w:rsidR="004462A0" w:rsidRPr="008912CF" w:rsidRDefault="004462A0" w:rsidP="00F675CF">
            <w:pPr>
              <w:widowControl w:val="0"/>
              <w:spacing w:before="60"/>
              <w:jc w:val="center"/>
              <w:rPr>
                <w:del w:id="1365" w:author="AbbVie2" w:date="2025-05-13T16:36:00Z"/>
                <w:b/>
              </w:rPr>
            </w:pPr>
          </w:p>
        </w:tc>
        <w:tc>
          <w:tcPr>
            <w:tcW w:w="1996" w:type="dxa"/>
            <w:tcBorders>
              <w:top w:val="nil"/>
              <w:bottom w:val="nil"/>
            </w:tcBorders>
          </w:tcPr>
          <w:p w14:paraId="376046E1" w14:textId="60C04011" w:rsidR="004462A0" w:rsidRPr="008912CF" w:rsidRDefault="00615769" w:rsidP="00F675CF">
            <w:pPr>
              <w:pStyle w:val="EMEANormal"/>
              <w:widowControl w:val="0"/>
              <w:rPr>
                <w:del w:id="1366" w:author="AbbVie2" w:date="2025-05-13T16:36:00Z"/>
                <w:szCs w:val="22"/>
                <w:lang w:val="pt-PT"/>
              </w:rPr>
            </w:pPr>
            <w:del w:id="1367" w:author="AbbVie2" w:date="2025-05-13T16:36:00Z">
              <w:r w:rsidRPr="008912CF">
                <w:rPr>
                  <w:szCs w:val="22"/>
                  <w:lang w:val="pt-PT"/>
                </w:rPr>
                <w:delText>Pouco frequentes</w:delText>
              </w:r>
            </w:del>
          </w:p>
          <w:p w14:paraId="038BE56E" w14:textId="4A66B287" w:rsidR="004462A0" w:rsidRPr="008912CF" w:rsidRDefault="004462A0" w:rsidP="00F675CF">
            <w:pPr>
              <w:pStyle w:val="EMEANormal"/>
              <w:widowControl w:val="0"/>
              <w:rPr>
                <w:del w:id="1368" w:author="AbbVie2" w:date="2025-05-13T16:36:00Z"/>
                <w:szCs w:val="22"/>
                <w:lang w:val="pt-PT"/>
              </w:rPr>
            </w:pPr>
          </w:p>
          <w:p w14:paraId="28ED6F93" w14:textId="60DBC387" w:rsidR="004462A0" w:rsidRPr="008912CF" w:rsidRDefault="004462A0" w:rsidP="00F675CF">
            <w:pPr>
              <w:pStyle w:val="EMEANormal"/>
              <w:widowControl w:val="0"/>
              <w:rPr>
                <w:del w:id="1369" w:author="AbbVie2" w:date="2025-05-13T16:36:00Z"/>
                <w:szCs w:val="22"/>
                <w:lang w:val="pt-PT"/>
              </w:rPr>
            </w:pPr>
          </w:p>
        </w:tc>
        <w:tc>
          <w:tcPr>
            <w:tcW w:w="4346" w:type="dxa"/>
            <w:tcBorders>
              <w:top w:val="nil"/>
              <w:bottom w:val="nil"/>
            </w:tcBorders>
          </w:tcPr>
          <w:p w14:paraId="37DE203D" w14:textId="2059F297" w:rsidR="004462A0" w:rsidRPr="008912CF" w:rsidRDefault="00615769" w:rsidP="00F675CF">
            <w:pPr>
              <w:pStyle w:val="EMEANormal"/>
              <w:rPr>
                <w:del w:id="1370" w:author="AbbVie2" w:date="2025-05-13T16:36:00Z"/>
                <w:szCs w:val="22"/>
                <w:lang w:val="pt-PT"/>
              </w:rPr>
            </w:pPr>
            <w:del w:id="1371" w:author="AbbVie2" w:date="2025-05-13T16:36:00Z">
              <w:r>
                <w:rPr>
                  <w:szCs w:val="22"/>
                  <w:lang w:val="pt-PT"/>
                </w:rPr>
                <w:delText>R</w:delText>
              </w:r>
              <w:r w:rsidRPr="008912CF">
                <w:rPr>
                  <w:szCs w:val="22"/>
                  <w:lang w:val="pt-PT"/>
                </w:rPr>
                <w:delText>abdomiólise,</w:delText>
              </w:r>
            </w:del>
          </w:p>
          <w:p w14:paraId="5F8782B9" w14:textId="1159D86F" w:rsidR="004462A0" w:rsidRPr="008912CF" w:rsidRDefault="00615769" w:rsidP="00F675CF">
            <w:pPr>
              <w:pStyle w:val="EMEANormal"/>
              <w:widowControl w:val="0"/>
              <w:rPr>
                <w:del w:id="1372" w:author="AbbVie2" w:date="2025-05-13T16:36:00Z"/>
                <w:szCs w:val="22"/>
                <w:lang w:val="pt-PT"/>
              </w:rPr>
            </w:pPr>
            <w:del w:id="1373" w:author="AbbVie2" w:date="2025-05-13T16:36:00Z">
              <w:r w:rsidRPr="008912CF">
                <w:rPr>
                  <w:szCs w:val="22"/>
                  <w:lang w:val="pt-PT"/>
                </w:rPr>
                <w:delText>lúpus eritematoso sistémico</w:delText>
              </w:r>
            </w:del>
          </w:p>
          <w:p w14:paraId="6CAEE6BE" w14:textId="3ED0D5E5" w:rsidR="004462A0" w:rsidRPr="008912CF" w:rsidRDefault="004462A0" w:rsidP="00F675CF">
            <w:pPr>
              <w:pStyle w:val="EMEANormal"/>
              <w:widowControl w:val="0"/>
              <w:rPr>
                <w:del w:id="1374" w:author="AbbVie2" w:date="2025-05-13T16:36:00Z"/>
                <w:szCs w:val="22"/>
                <w:lang w:val="pt-PT"/>
              </w:rPr>
            </w:pPr>
          </w:p>
        </w:tc>
      </w:tr>
      <w:tr w:rsidR="00A7162A" w14:paraId="483C8E3A" w14:textId="46A28D46" w:rsidTr="00F675CF">
        <w:trPr>
          <w:del w:id="1375" w:author="AbbVie2" w:date="2025-05-13T16:36:00Z"/>
        </w:trPr>
        <w:tc>
          <w:tcPr>
            <w:tcW w:w="2514" w:type="dxa"/>
            <w:tcBorders>
              <w:top w:val="nil"/>
            </w:tcBorders>
          </w:tcPr>
          <w:p w14:paraId="30C147DF" w14:textId="625E2805" w:rsidR="004462A0" w:rsidRPr="008912CF" w:rsidRDefault="004462A0" w:rsidP="00F675CF">
            <w:pPr>
              <w:widowControl w:val="0"/>
              <w:spacing w:before="60"/>
              <w:jc w:val="center"/>
              <w:rPr>
                <w:del w:id="1376" w:author="AbbVie2" w:date="2025-05-13T16:36:00Z"/>
                <w:b/>
              </w:rPr>
            </w:pPr>
          </w:p>
        </w:tc>
        <w:tc>
          <w:tcPr>
            <w:tcW w:w="1996" w:type="dxa"/>
            <w:tcBorders>
              <w:top w:val="nil"/>
            </w:tcBorders>
          </w:tcPr>
          <w:p w14:paraId="01EEF242" w14:textId="0F9789C9" w:rsidR="004462A0" w:rsidRPr="008912CF" w:rsidRDefault="00615769" w:rsidP="00F675CF">
            <w:pPr>
              <w:pStyle w:val="EMEANormal"/>
              <w:widowControl w:val="0"/>
              <w:rPr>
                <w:del w:id="1377" w:author="AbbVie2" w:date="2025-05-13T16:36:00Z"/>
                <w:szCs w:val="22"/>
                <w:lang w:val="pt-PT"/>
              </w:rPr>
            </w:pPr>
            <w:del w:id="1378" w:author="AbbVie2" w:date="2025-05-13T16:36:00Z">
              <w:r w:rsidRPr="008912CF">
                <w:rPr>
                  <w:szCs w:val="22"/>
                  <w:lang w:val="pt-PT"/>
                </w:rPr>
                <w:delText>Raros</w:delText>
              </w:r>
            </w:del>
          </w:p>
        </w:tc>
        <w:tc>
          <w:tcPr>
            <w:tcW w:w="4346" w:type="dxa"/>
            <w:tcBorders>
              <w:top w:val="nil"/>
            </w:tcBorders>
          </w:tcPr>
          <w:p w14:paraId="46D082F3" w14:textId="0BDD5F6D" w:rsidR="004462A0" w:rsidRPr="008912CF" w:rsidRDefault="00615769" w:rsidP="00F675CF">
            <w:pPr>
              <w:pStyle w:val="EMEANormal"/>
              <w:rPr>
                <w:del w:id="1379" w:author="AbbVie2" w:date="2025-05-13T16:36:00Z"/>
                <w:szCs w:val="22"/>
                <w:lang w:val="pt-PT"/>
              </w:rPr>
            </w:pPr>
            <w:del w:id="1380" w:author="AbbVie2" w:date="2025-05-13T16:36:00Z">
              <w:r>
                <w:rPr>
                  <w:szCs w:val="22"/>
                  <w:lang w:val="pt-PT"/>
                </w:rPr>
                <w:delText>S</w:delText>
              </w:r>
              <w:r w:rsidRPr="008912CF">
                <w:rPr>
                  <w:szCs w:val="22"/>
                  <w:lang w:val="pt-PT"/>
                </w:rPr>
                <w:delText>índrome tipo lúpus</w:delText>
              </w:r>
              <w:r w:rsidRPr="008912CF">
                <w:rPr>
                  <w:szCs w:val="22"/>
                  <w:vertAlign w:val="superscript"/>
                  <w:lang w:val="pt-PT"/>
                </w:rPr>
                <w:delText>1)</w:delText>
              </w:r>
            </w:del>
          </w:p>
        </w:tc>
      </w:tr>
      <w:tr w:rsidR="00A7162A" w14:paraId="7ED956A8" w14:textId="231BDDD3" w:rsidTr="00F675CF">
        <w:trPr>
          <w:del w:id="1381" w:author="AbbVie2" w:date="2025-05-13T16:36:00Z"/>
        </w:trPr>
        <w:tc>
          <w:tcPr>
            <w:tcW w:w="2514" w:type="dxa"/>
            <w:vMerge w:val="restart"/>
          </w:tcPr>
          <w:p w14:paraId="562931C4" w14:textId="4136D337" w:rsidR="004462A0" w:rsidRPr="008912CF" w:rsidRDefault="00615769" w:rsidP="00F675CF">
            <w:pPr>
              <w:pStyle w:val="EMEANormal"/>
              <w:widowControl w:val="0"/>
              <w:spacing w:before="60"/>
              <w:rPr>
                <w:del w:id="1382" w:author="AbbVie2" w:date="2025-05-13T16:36:00Z"/>
                <w:szCs w:val="22"/>
                <w:lang w:val="pt-PT"/>
              </w:rPr>
            </w:pPr>
            <w:del w:id="1383" w:author="AbbVie2" w:date="2025-05-13T16:36:00Z">
              <w:r w:rsidRPr="008912CF">
                <w:rPr>
                  <w:szCs w:val="22"/>
                  <w:lang w:val="pt-PT"/>
                </w:rPr>
                <w:delText>Doenças renais e urinárias</w:delText>
              </w:r>
            </w:del>
          </w:p>
        </w:tc>
        <w:tc>
          <w:tcPr>
            <w:tcW w:w="1996" w:type="dxa"/>
            <w:tcBorders>
              <w:bottom w:val="nil"/>
            </w:tcBorders>
          </w:tcPr>
          <w:p w14:paraId="05671F39" w14:textId="2F03C519" w:rsidR="004462A0" w:rsidRPr="008912CF" w:rsidRDefault="00615769" w:rsidP="00F675CF">
            <w:pPr>
              <w:pStyle w:val="EMEANormal"/>
              <w:widowControl w:val="0"/>
              <w:spacing w:before="60"/>
              <w:rPr>
                <w:del w:id="1384" w:author="AbbVie2" w:date="2025-05-13T16:36:00Z"/>
                <w:szCs w:val="22"/>
                <w:lang w:val="pt-PT"/>
              </w:rPr>
            </w:pPr>
            <w:del w:id="1385" w:author="AbbVie2" w:date="2025-05-13T16:36:00Z">
              <w:r w:rsidRPr="008912CF">
                <w:rPr>
                  <w:szCs w:val="22"/>
                  <w:lang w:val="pt-PT"/>
                </w:rPr>
                <w:delText>Frequentes</w:delText>
              </w:r>
            </w:del>
          </w:p>
          <w:p w14:paraId="60257A36" w14:textId="3EAD28B9" w:rsidR="004462A0" w:rsidRPr="008912CF" w:rsidRDefault="004462A0" w:rsidP="00F675CF">
            <w:pPr>
              <w:pStyle w:val="EMEANormal"/>
              <w:widowControl w:val="0"/>
              <w:spacing w:before="60"/>
              <w:rPr>
                <w:del w:id="1386" w:author="AbbVie2" w:date="2025-05-13T16:36:00Z"/>
                <w:szCs w:val="22"/>
                <w:lang w:val="pt-PT"/>
              </w:rPr>
            </w:pPr>
          </w:p>
        </w:tc>
        <w:tc>
          <w:tcPr>
            <w:tcW w:w="4346" w:type="dxa"/>
            <w:tcBorders>
              <w:bottom w:val="nil"/>
            </w:tcBorders>
          </w:tcPr>
          <w:p w14:paraId="18CE65C7" w14:textId="410E69F7" w:rsidR="004462A0" w:rsidRPr="008912CF" w:rsidRDefault="00615769" w:rsidP="00F675CF">
            <w:pPr>
              <w:pStyle w:val="EMEANormal"/>
              <w:widowControl w:val="0"/>
              <w:spacing w:before="60"/>
              <w:rPr>
                <w:del w:id="1387" w:author="AbbVie2" w:date="2025-05-13T16:36:00Z"/>
                <w:szCs w:val="22"/>
                <w:lang w:val="pt-PT"/>
              </w:rPr>
            </w:pPr>
            <w:del w:id="1388" w:author="AbbVie2" w:date="2025-05-13T16:36:00Z">
              <w:r>
                <w:rPr>
                  <w:szCs w:val="22"/>
                  <w:lang w:val="pt-PT"/>
                </w:rPr>
                <w:delText>C</w:delText>
              </w:r>
              <w:r w:rsidRPr="008912CF">
                <w:rPr>
                  <w:szCs w:val="22"/>
                  <w:lang w:val="pt-PT"/>
                </w:rPr>
                <w:delText>ompromisso renal,</w:delText>
              </w:r>
            </w:del>
          </w:p>
          <w:p w14:paraId="412335F2" w14:textId="7278E5FC" w:rsidR="004462A0" w:rsidRPr="008912CF" w:rsidRDefault="00615769" w:rsidP="00F675CF">
            <w:pPr>
              <w:pStyle w:val="EMEANormal"/>
              <w:widowControl w:val="0"/>
              <w:spacing w:before="60"/>
              <w:rPr>
                <w:del w:id="1389" w:author="AbbVie2" w:date="2025-05-13T16:36:00Z"/>
                <w:szCs w:val="22"/>
                <w:lang w:val="pt-PT"/>
              </w:rPr>
            </w:pPr>
            <w:del w:id="1390" w:author="AbbVie2" w:date="2025-05-13T16:36:00Z">
              <w:r w:rsidRPr="008912CF">
                <w:rPr>
                  <w:szCs w:val="22"/>
                  <w:lang w:val="pt-PT"/>
                </w:rPr>
                <w:delText>hematúria</w:delText>
              </w:r>
            </w:del>
          </w:p>
        </w:tc>
      </w:tr>
      <w:tr w:rsidR="00A7162A" w14:paraId="063F2912" w14:textId="3E1A8ED7" w:rsidTr="00F675CF">
        <w:trPr>
          <w:del w:id="1391" w:author="AbbVie2" w:date="2025-05-13T16:36:00Z"/>
        </w:trPr>
        <w:tc>
          <w:tcPr>
            <w:tcW w:w="2514" w:type="dxa"/>
            <w:vMerge/>
          </w:tcPr>
          <w:p w14:paraId="72DE71C0" w14:textId="7F19A311" w:rsidR="004462A0" w:rsidRPr="008912CF" w:rsidRDefault="004462A0" w:rsidP="00F675CF">
            <w:pPr>
              <w:widowControl w:val="0"/>
              <w:spacing w:before="60"/>
              <w:jc w:val="center"/>
              <w:rPr>
                <w:del w:id="1392" w:author="AbbVie2" w:date="2025-05-13T16:36:00Z"/>
                <w:b/>
              </w:rPr>
            </w:pPr>
          </w:p>
        </w:tc>
        <w:tc>
          <w:tcPr>
            <w:tcW w:w="1996" w:type="dxa"/>
            <w:tcBorders>
              <w:top w:val="nil"/>
            </w:tcBorders>
          </w:tcPr>
          <w:p w14:paraId="5ABEC35E" w14:textId="143D8F33" w:rsidR="004462A0" w:rsidRPr="008912CF" w:rsidRDefault="00615769" w:rsidP="00F675CF">
            <w:pPr>
              <w:pStyle w:val="EMEANormal"/>
              <w:widowControl w:val="0"/>
              <w:rPr>
                <w:del w:id="1393" w:author="AbbVie2" w:date="2025-05-13T16:36:00Z"/>
                <w:szCs w:val="22"/>
                <w:lang w:val="pt-PT"/>
              </w:rPr>
            </w:pPr>
            <w:del w:id="1394" w:author="AbbVie2" w:date="2025-05-13T16:36:00Z">
              <w:r w:rsidRPr="008912CF">
                <w:rPr>
                  <w:szCs w:val="22"/>
                  <w:lang w:val="pt-PT"/>
                </w:rPr>
                <w:delText>Pouco frequentes</w:delText>
              </w:r>
            </w:del>
          </w:p>
        </w:tc>
        <w:tc>
          <w:tcPr>
            <w:tcW w:w="4346" w:type="dxa"/>
            <w:tcBorders>
              <w:top w:val="nil"/>
            </w:tcBorders>
          </w:tcPr>
          <w:p w14:paraId="6359C749" w14:textId="21C282A4" w:rsidR="004462A0" w:rsidRPr="008912CF" w:rsidRDefault="00615769" w:rsidP="00F675CF">
            <w:pPr>
              <w:pStyle w:val="EMEANormal"/>
              <w:widowControl w:val="0"/>
              <w:rPr>
                <w:del w:id="1395" w:author="AbbVie2" w:date="2025-05-13T16:36:00Z"/>
                <w:szCs w:val="22"/>
                <w:lang w:val="pt-PT"/>
              </w:rPr>
            </w:pPr>
            <w:del w:id="1396" w:author="AbbVie2" w:date="2025-05-13T16:36:00Z">
              <w:r>
                <w:rPr>
                  <w:szCs w:val="22"/>
                  <w:lang w:val="pt-PT"/>
                </w:rPr>
                <w:delText>N</w:delText>
              </w:r>
              <w:r w:rsidRPr="008912CF">
                <w:rPr>
                  <w:szCs w:val="22"/>
                  <w:lang w:val="pt-PT"/>
                </w:rPr>
                <w:delText>octúria</w:delText>
              </w:r>
            </w:del>
          </w:p>
        </w:tc>
      </w:tr>
      <w:tr w:rsidR="00A7162A" w14:paraId="642A04DA" w14:textId="6C3CE907" w:rsidTr="00F675CF">
        <w:trPr>
          <w:del w:id="1397" w:author="AbbVie2" w:date="2025-05-13T16:36:00Z"/>
        </w:trPr>
        <w:tc>
          <w:tcPr>
            <w:tcW w:w="2514" w:type="dxa"/>
          </w:tcPr>
          <w:p w14:paraId="40173A15" w14:textId="7BF952BF" w:rsidR="004462A0" w:rsidRPr="008912CF" w:rsidRDefault="00615769" w:rsidP="00F675CF">
            <w:pPr>
              <w:pStyle w:val="EMEANormal"/>
              <w:widowControl w:val="0"/>
              <w:spacing w:before="60"/>
              <w:rPr>
                <w:del w:id="1398" w:author="AbbVie2" w:date="2025-05-13T16:36:00Z"/>
                <w:szCs w:val="22"/>
                <w:lang w:val="pt-PT"/>
              </w:rPr>
            </w:pPr>
            <w:del w:id="1399" w:author="AbbVie2" w:date="2025-05-13T16:36:00Z">
              <w:r w:rsidRPr="008912CF">
                <w:rPr>
                  <w:szCs w:val="22"/>
                  <w:lang w:val="pt-PT"/>
                </w:rPr>
                <w:delText>Doenças dos órgãos genitais e da mama</w:delText>
              </w:r>
            </w:del>
          </w:p>
        </w:tc>
        <w:tc>
          <w:tcPr>
            <w:tcW w:w="1996" w:type="dxa"/>
          </w:tcPr>
          <w:p w14:paraId="561C075A" w14:textId="3A3F1906" w:rsidR="004462A0" w:rsidRPr="008912CF" w:rsidRDefault="00615769" w:rsidP="00F675CF">
            <w:pPr>
              <w:pStyle w:val="EMEANormal"/>
              <w:widowControl w:val="0"/>
              <w:spacing w:before="60"/>
              <w:rPr>
                <w:del w:id="1400" w:author="AbbVie2" w:date="2025-05-13T16:36:00Z"/>
                <w:szCs w:val="22"/>
                <w:lang w:val="pt-PT"/>
              </w:rPr>
            </w:pPr>
            <w:del w:id="1401" w:author="AbbVie2" w:date="2025-05-13T16:36:00Z">
              <w:r w:rsidRPr="008912CF">
                <w:rPr>
                  <w:szCs w:val="22"/>
                  <w:lang w:val="pt-PT"/>
                </w:rPr>
                <w:delText>Pouco frequentes</w:delText>
              </w:r>
            </w:del>
          </w:p>
        </w:tc>
        <w:tc>
          <w:tcPr>
            <w:tcW w:w="4346" w:type="dxa"/>
          </w:tcPr>
          <w:p w14:paraId="0C52EBBA" w14:textId="58345F67" w:rsidR="004462A0" w:rsidRPr="008912CF" w:rsidRDefault="00615769" w:rsidP="00F675CF">
            <w:pPr>
              <w:pStyle w:val="EMEANormal"/>
              <w:widowControl w:val="0"/>
              <w:spacing w:before="60"/>
              <w:rPr>
                <w:del w:id="1402" w:author="AbbVie2" w:date="2025-05-13T16:36:00Z"/>
                <w:szCs w:val="22"/>
                <w:lang w:val="pt-PT"/>
              </w:rPr>
            </w:pPr>
            <w:del w:id="1403" w:author="AbbVie2" w:date="2025-05-13T16:36:00Z">
              <w:r>
                <w:rPr>
                  <w:szCs w:val="22"/>
                  <w:lang w:val="pt-PT"/>
                </w:rPr>
                <w:delText>D</w:delText>
              </w:r>
              <w:r w:rsidRPr="008912CF">
                <w:rPr>
                  <w:szCs w:val="22"/>
                  <w:lang w:val="pt-PT"/>
                </w:rPr>
                <w:delText>isfunção erétil</w:delText>
              </w:r>
            </w:del>
          </w:p>
        </w:tc>
      </w:tr>
      <w:tr w:rsidR="00A7162A" w14:paraId="725D73A1" w14:textId="3574B2C9" w:rsidTr="00F675CF">
        <w:trPr>
          <w:del w:id="1404" w:author="AbbVie2" w:date="2025-05-13T16:36:00Z"/>
        </w:trPr>
        <w:tc>
          <w:tcPr>
            <w:tcW w:w="2514" w:type="dxa"/>
            <w:vMerge w:val="restart"/>
          </w:tcPr>
          <w:p w14:paraId="3B090792" w14:textId="4D3A7CDC" w:rsidR="004462A0" w:rsidRPr="008912CF" w:rsidRDefault="00615769" w:rsidP="00636825">
            <w:pPr>
              <w:pStyle w:val="EMEANormal"/>
              <w:widowControl w:val="0"/>
              <w:spacing w:before="60"/>
              <w:rPr>
                <w:del w:id="1405" w:author="AbbVie2" w:date="2025-05-13T16:36:00Z"/>
                <w:szCs w:val="22"/>
                <w:lang w:val="pt-PT"/>
              </w:rPr>
            </w:pPr>
            <w:del w:id="1406" w:author="AbbVie2" w:date="2025-05-13T16:36:00Z">
              <w:r w:rsidRPr="008912CF">
                <w:rPr>
                  <w:szCs w:val="22"/>
                  <w:lang w:val="pt-PT"/>
                </w:rPr>
                <w:delText>Perturbações gerais e alterações no local de administração *</w:delText>
              </w:r>
            </w:del>
          </w:p>
        </w:tc>
        <w:tc>
          <w:tcPr>
            <w:tcW w:w="1996" w:type="dxa"/>
            <w:tcBorders>
              <w:bottom w:val="nil"/>
            </w:tcBorders>
          </w:tcPr>
          <w:p w14:paraId="647446DA" w14:textId="1B385FEE" w:rsidR="004462A0" w:rsidRPr="008912CF" w:rsidRDefault="00615769" w:rsidP="00636825">
            <w:pPr>
              <w:pStyle w:val="EMEANormal"/>
              <w:widowControl w:val="0"/>
              <w:spacing w:before="60"/>
              <w:rPr>
                <w:del w:id="1407" w:author="AbbVie2" w:date="2025-05-13T16:36:00Z"/>
                <w:szCs w:val="22"/>
                <w:lang w:val="pt-PT"/>
              </w:rPr>
            </w:pPr>
            <w:del w:id="1408" w:author="AbbVie2" w:date="2025-05-13T16:36:00Z">
              <w:r w:rsidRPr="008912CF">
                <w:rPr>
                  <w:szCs w:val="22"/>
                  <w:lang w:val="pt-PT"/>
                </w:rPr>
                <w:delText xml:space="preserve">Muito frequentes </w:delText>
              </w:r>
            </w:del>
          </w:p>
        </w:tc>
        <w:tc>
          <w:tcPr>
            <w:tcW w:w="4346" w:type="dxa"/>
            <w:tcBorders>
              <w:bottom w:val="nil"/>
            </w:tcBorders>
          </w:tcPr>
          <w:p w14:paraId="5BCEF8BA" w14:textId="17795F84" w:rsidR="004462A0" w:rsidRPr="008912CF" w:rsidRDefault="00615769" w:rsidP="00636825">
            <w:pPr>
              <w:pStyle w:val="EMEANormal"/>
              <w:widowControl w:val="0"/>
              <w:spacing w:before="60"/>
              <w:rPr>
                <w:del w:id="1409" w:author="AbbVie2" w:date="2025-05-13T16:36:00Z"/>
                <w:szCs w:val="22"/>
                <w:lang w:val="pt-PT"/>
              </w:rPr>
            </w:pPr>
            <w:del w:id="1410" w:author="AbbVie2" w:date="2025-05-13T16:36:00Z">
              <w:r>
                <w:rPr>
                  <w:szCs w:val="22"/>
                  <w:lang w:val="pt-PT"/>
                </w:rPr>
                <w:delText>R</w:delText>
              </w:r>
              <w:r w:rsidRPr="008912CF">
                <w:rPr>
                  <w:szCs w:val="22"/>
                  <w:lang w:val="pt-PT"/>
                </w:rPr>
                <w:delText>eação no local da injeção (incluindo eritema no local de injeção)</w:delText>
              </w:r>
            </w:del>
          </w:p>
          <w:p w14:paraId="2E28E81D" w14:textId="26521176" w:rsidR="004462A0" w:rsidRPr="008912CF" w:rsidRDefault="004462A0" w:rsidP="00636825">
            <w:pPr>
              <w:pStyle w:val="EMEANormal"/>
              <w:widowControl w:val="0"/>
              <w:spacing w:before="60"/>
              <w:rPr>
                <w:del w:id="1411" w:author="AbbVie2" w:date="2025-05-13T16:36:00Z"/>
                <w:szCs w:val="22"/>
                <w:lang w:val="pt-PT"/>
              </w:rPr>
            </w:pPr>
          </w:p>
        </w:tc>
      </w:tr>
      <w:tr w:rsidR="00A7162A" w14:paraId="40DC0C47" w14:textId="6C25C8B9" w:rsidTr="00F675CF">
        <w:trPr>
          <w:del w:id="1412" w:author="AbbVie2" w:date="2025-05-13T16:36:00Z"/>
        </w:trPr>
        <w:tc>
          <w:tcPr>
            <w:tcW w:w="2514" w:type="dxa"/>
            <w:vMerge/>
          </w:tcPr>
          <w:p w14:paraId="0629D231" w14:textId="58FB9778" w:rsidR="004462A0" w:rsidRPr="008912CF" w:rsidRDefault="004462A0" w:rsidP="00636825">
            <w:pPr>
              <w:widowControl w:val="0"/>
              <w:spacing w:before="60"/>
              <w:jc w:val="center"/>
              <w:rPr>
                <w:del w:id="1413" w:author="AbbVie2" w:date="2025-05-13T16:36:00Z"/>
                <w:b/>
              </w:rPr>
            </w:pPr>
          </w:p>
        </w:tc>
        <w:tc>
          <w:tcPr>
            <w:tcW w:w="1996" w:type="dxa"/>
            <w:tcBorders>
              <w:top w:val="nil"/>
              <w:bottom w:val="nil"/>
            </w:tcBorders>
          </w:tcPr>
          <w:p w14:paraId="0D714818" w14:textId="4EF8F83A" w:rsidR="004462A0" w:rsidRPr="008912CF" w:rsidRDefault="00615769" w:rsidP="00636825">
            <w:pPr>
              <w:pStyle w:val="EMEANormal"/>
              <w:widowControl w:val="0"/>
              <w:rPr>
                <w:del w:id="1414" w:author="AbbVie2" w:date="2025-05-13T16:36:00Z"/>
                <w:szCs w:val="22"/>
                <w:lang w:val="pt-PT"/>
              </w:rPr>
            </w:pPr>
            <w:del w:id="1415" w:author="AbbVie2" w:date="2025-05-13T16:36:00Z">
              <w:r w:rsidRPr="008912CF">
                <w:rPr>
                  <w:szCs w:val="22"/>
                  <w:lang w:val="pt-PT"/>
                </w:rPr>
                <w:delText>Frequentes</w:delText>
              </w:r>
            </w:del>
          </w:p>
        </w:tc>
        <w:tc>
          <w:tcPr>
            <w:tcW w:w="4346" w:type="dxa"/>
            <w:tcBorders>
              <w:top w:val="nil"/>
              <w:bottom w:val="nil"/>
            </w:tcBorders>
          </w:tcPr>
          <w:p w14:paraId="4DE76D3A" w14:textId="1ABB90E6" w:rsidR="004462A0" w:rsidRPr="008912CF" w:rsidRDefault="00615769" w:rsidP="00636825">
            <w:pPr>
              <w:pStyle w:val="EMEANormal"/>
              <w:widowControl w:val="0"/>
              <w:rPr>
                <w:del w:id="1416" w:author="AbbVie2" w:date="2025-05-13T16:36:00Z"/>
                <w:szCs w:val="22"/>
                <w:lang w:val="pt-PT"/>
              </w:rPr>
            </w:pPr>
            <w:del w:id="1417" w:author="AbbVie2" w:date="2025-05-13T16:36:00Z">
              <w:r>
                <w:rPr>
                  <w:szCs w:val="22"/>
                  <w:lang w:val="pt-PT"/>
                </w:rPr>
                <w:delText>D</w:delText>
              </w:r>
              <w:r w:rsidRPr="008912CF">
                <w:rPr>
                  <w:szCs w:val="22"/>
                  <w:lang w:val="pt-PT"/>
                </w:rPr>
                <w:delText>or torácica,</w:delText>
              </w:r>
            </w:del>
          </w:p>
          <w:p w14:paraId="42561FDD" w14:textId="668D80E1" w:rsidR="004462A0" w:rsidRPr="008912CF" w:rsidRDefault="00615769" w:rsidP="00636825">
            <w:pPr>
              <w:pStyle w:val="EMEANormal"/>
              <w:widowControl w:val="0"/>
              <w:rPr>
                <w:del w:id="1418" w:author="AbbVie2" w:date="2025-05-13T16:36:00Z"/>
                <w:szCs w:val="22"/>
                <w:lang w:val="pt-PT"/>
              </w:rPr>
            </w:pPr>
            <w:del w:id="1419" w:author="AbbVie2" w:date="2025-05-13T16:36:00Z">
              <w:r w:rsidRPr="008912CF">
                <w:rPr>
                  <w:szCs w:val="22"/>
                  <w:lang w:val="pt-PT"/>
                </w:rPr>
                <w:delText>edema,</w:delText>
              </w:r>
            </w:del>
          </w:p>
          <w:p w14:paraId="7D113A4C" w14:textId="74D4C0DF" w:rsidR="004462A0" w:rsidRPr="008912CF" w:rsidRDefault="00615769" w:rsidP="00636825">
            <w:pPr>
              <w:pStyle w:val="EMEANormal"/>
              <w:widowControl w:val="0"/>
              <w:rPr>
                <w:del w:id="1420" w:author="AbbVie2" w:date="2025-05-13T16:36:00Z"/>
                <w:szCs w:val="22"/>
                <w:lang w:val="pt-PT"/>
              </w:rPr>
            </w:pPr>
            <w:del w:id="1421" w:author="AbbVie2" w:date="2025-05-13T16:36:00Z">
              <w:r w:rsidRPr="008912CF">
                <w:rPr>
                  <w:szCs w:val="22"/>
                  <w:lang w:val="pt-PT"/>
                </w:rPr>
                <w:delText>febre</w:delText>
              </w:r>
              <w:r w:rsidRPr="008912CF">
                <w:rPr>
                  <w:szCs w:val="22"/>
                  <w:vertAlign w:val="superscript"/>
                  <w:lang w:val="pt-PT"/>
                </w:rPr>
                <w:delText>1)</w:delText>
              </w:r>
            </w:del>
          </w:p>
          <w:p w14:paraId="18F66DB9" w14:textId="20F82EBD" w:rsidR="004462A0" w:rsidRPr="008912CF" w:rsidRDefault="004462A0" w:rsidP="00636825">
            <w:pPr>
              <w:pStyle w:val="EMEANormal"/>
              <w:widowControl w:val="0"/>
              <w:rPr>
                <w:del w:id="1422" w:author="AbbVie2" w:date="2025-05-13T16:36:00Z"/>
                <w:szCs w:val="22"/>
                <w:lang w:val="pt-PT"/>
              </w:rPr>
            </w:pPr>
          </w:p>
        </w:tc>
      </w:tr>
      <w:tr w:rsidR="00A7162A" w14:paraId="2C52BBC9" w14:textId="1BE64390" w:rsidTr="00F675CF">
        <w:trPr>
          <w:del w:id="1423" w:author="AbbVie2" w:date="2025-05-13T16:36:00Z"/>
        </w:trPr>
        <w:tc>
          <w:tcPr>
            <w:tcW w:w="2514" w:type="dxa"/>
            <w:vMerge/>
          </w:tcPr>
          <w:p w14:paraId="54CFD0DD" w14:textId="009246AA" w:rsidR="004462A0" w:rsidRPr="008912CF" w:rsidRDefault="004462A0" w:rsidP="00636825">
            <w:pPr>
              <w:widowControl w:val="0"/>
              <w:spacing w:before="60"/>
              <w:jc w:val="center"/>
              <w:rPr>
                <w:del w:id="1424" w:author="AbbVie2" w:date="2025-05-13T16:36:00Z"/>
                <w:b/>
              </w:rPr>
            </w:pPr>
          </w:p>
        </w:tc>
        <w:tc>
          <w:tcPr>
            <w:tcW w:w="1996" w:type="dxa"/>
            <w:tcBorders>
              <w:top w:val="nil"/>
            </w:tcBorders>
          </w:tcPr>
          <w:p w14:paraId="438C9CA8" w14:textId="4CD8A217" w:rsidR="004462A0" w:rsidRPr="008912CF" w:rsidRDefault="00615769" w:rsidP="00636825">
            <w:pPr>
              <w:pStyle w:val="EMEANormal"/>
              <w:widowControl w:val="0"/>
              <w:rPr>
                <w:del w:id="1425" w:author="AbbVie2" w:date="2025-05-13T16:36:00Z"/>
                <w:szCs w:val="22"/>
                <w:lang w:val="pt-PT"/>
              </w:rPr>
            </w:pPr>
            <w:del w:id="1426" w:author="AbbVie2" w:date="2025-05-13T16:36:00Z">
              <w:r w:rsidRPr="008912CF">
                <w:rPr>
                  <w:szCs w:val="22"/>
                  <w:lang w:val="pt-PT"/>
                </w:rPr>
                <w:delText>Pouco frequentes</w:delText>
              </w:r>
            </w:del>
          </w:p>
        </w:tc>
        <w:tc>
          <w:tcPr>
            <w:tcW w:w="4346" w:type="dxa"/>
            <w:tcBorders>
              <w:top w:val="nil"/>
            </w:tcBorders>
          </w:tcPr>
          <w:p w14:paraId="0462A1DE" w14:textId="78A78E80" w:rsidR="004462A0" w:rsidRPr="008912CF" w:rsidRDefault="00615769" w:rsidP="00636825">
            <w:pPr>
              <w:pStyle w:val="EMEANormal"/>
              <w:widowControl w:val="0"/>
              <w:rPr>
                <w:del w:id="1427" w:author="AbbVie2" w:date="2025-05-13T16:36:00Z"/>
                <w:szCs w:val="22"/>
                <w:lang w:val="pt-PT"/>
              </w:rPr>
            </w:pPr>
            <w:del w:id="1428" w:author="AbbVie2" w:date="2025-05-13T16:36:00Z">
              <w:r>
                <w:rPr>
                  <w:szCs w:val="22"/>
                  <w:lang w:val="pt-PT"/>
                </w:rPr>
                <w:delText>I</w:delText>
              </w:r>
              <w:r w:rsidRPr="008912CF">
                <w:rPr>
                  <w:szCs w:val="22"/>
                  <w:lang w:val="pt-PT"/>
                </w:rPr>
                <w:delText>nflamação</w:delText>
              </w:r>
            </w:del>
          </w:p>
          <w:p w14:paraId="56E8640A" w14:textId="4F12B63E" w:rsidR="004462A0" w:rsidRPr="008912CF" w:rsidRDefault="004462A0" w:rsidP="00636825">
            <w:pPr>
              <w:pStyle w:val="EMEANormal"/>
              <w:widowControl w:val="0"/>
              <w:rPr>
                <w:del w:id="1429" w:author="AbbVie2" w:date="2025-05-13T16:36:00Z"/>
                <w:szCs w:val="22"/>
                <w:lang w:val="pt-PT"/>
              </w:rPr>
            </w:pPr>
          </w:p>
        </w:tc>
      </w:tr>
      <w:tr w:rsidR="00A7162A" w14:paraId="1E72C3A6" w14:textId="6D7BACD1" w:rsidTr="000036F0">
        <w:trPr>
          <w:del w:id="1430" w:author="AbbVie2" w:date="2025-05-13T16:36:00Z"/>
        </w:trPr>
        <w:tc>
          <w:tcPr>
            <w:tcW w:w="2514" w:type="dxa"/>
            <w:vMerge w:val="restart"/>
          </w:tcPr>
          <w:p w14:paraId="7CFAD3ED" w14:textId="7566EF24" w:rsidR="000036F0" w:rsidRPr="008912CF" w:rsidRDefault="00615769" w:rsidP="00636825">
            <w:pPr>
              <w:pStyle w:val="EMEANormal"/>
              <w:widowControl w:val="0"/>
              <w:spacing w:before="60"/>
              <w:rPr>
                <w:del w:id="1431" w:author="AbbVie2" w:date="2025-05-13T16:36:00Z"/>
                <w:szCs w:val="22"/>
                <w:lang w:val="pt-PT"/>
              </w:rPr>
            </w:pPr>
            <w:del w:id="1432" w:author="AbbVie2" w:date="2025-05-13T16:36:00Z">
              <w:r w:rsidRPr="008912CF">
                <w:rPr>
                  <w:szCs w:val="22"/>
                  <w:lang w:val="pt-PT"/>
                </w:rPr>
                <w:delText>Exames complementares de diagnóstico*</w:delText>
              </w:r>
            </w:del>
          </w:p>
        </w:tc>
        <w:tc>
          <w:tcPr>
            <w:tcW w:w="1996" w:type="dxa"/>
            <w:tcBorders>
              <w:bottom w:val="nil"/>
            </w:tcBorders>
          </w:tcPr>
          <w:p w14:paraId="3DA116FF" w14:textId="28343D7A" w:rsidR="000036F0" w:rsidRPr="008912CF" w:rsidRDefault="00615769" w:rsidP="00636825">
            <w:pPr>
              <w:pStyle w:val="EMEANormal"/>
              <w:widowControl w:val="0"/>
              <w:spacing w:before="60"/>
              <w:rPr>
                <w:del w:id="1433" w:author="AbbVie2" w:date="2025-05-13T16:36:00Z"/>
                <w:szCs w:val="22"/>
                <w:lang w:val="pt-PT"/>
              </w:rPr>
            </w:pPr>
            <w:del w:id="1434" w:author="AbbVie2" w:date="2025-05-13T16:36:00Z">
              <w:r w:rsidRPr="008912CF">
                <w:rPr>
                  <w:szCs w:val="22"/>
                  <w:lang w:val="pt-PT"/>
                </w:rPr>
                <w:delText>Frequentes</w:delText>
              </w:r>
            </w:del>
          </w:p>
        </w:tc>
        <w:tc>
          <w:tcPr>
            <w:tcW w:w="4346" w:type="dxa"/>
            <w:tcBorders>
              <w:bottom w:val="nil"/>
            </w:tcBorders>
          </w:tcPr>
          <w:p w14:paraId="67FBFDB1" w14:textId="493128A5" w:rsidR="000036F0" w:rsidRPr="008912CF" w:rsidRDefault="00615769" w:rsidP="00636825">
            <w:pPr>
              <w:pStyle w:val="EMEANormal"/>
              <w:widowControl w:val="0"/>
              <w:spacing w:before="60"/>
              <w:rPr>
                <w:del w:id="1435" w:author="AbbVie2" w:date="2025-05-13T16:36:00Z"/>
                <w:szCs w:val="22"/>
                <w:lang w:val="pt-PT"/>
              </w:rPr>
            </w:pPr>
            <w:del w:id="1436" w:author="AbbVie2" w:date="2025-05-13T16:36:00Z">
              <w:r>
                <w:rPr>
                  <w:szCs w:val="22"/>
                  <w:lang w:val="pt-PT"/>
                </w:rPr>
                <w:delText>A</w:delText>
              </w:r>
              <w:r w:rsidRPr="008912CF">
                <w:rPr>
                  <w:szCs w:val="22"/>
                  <w:lang w:val="pt-PT"/>
                </w:rPr>
                <w:delText xml:space="preserve">lterações da coagulação e hemorragia (incluindo </w:delText>
              </w:r>
              <w:r>
                <w:rPr>
                  <w:szCs w:val="22"/>
                  <w:lang w:val="pt-PT"/>
                </w:rPr>
                <w:delText xml:space="preserve">prolongamento do </w:delText>
              </w:r>
              <w:r w:rsidRPr="008912CF">
                <w:rPr>
                  <w:szCs w:val="22"/>
                  <w:lang w:val="pt-PT"/>
                </w:rPr>
                <w:delText>tempo de tromboplastina parcial ativada),</w:delText>
              </w:r>
            </w:del>
          </w:p>
          <w:p w14:paraId="49404CF6" w14:textId="26D78CEA" w:rsidR="000036F0" w:rsidRPr="008912CF" w:rsidRDefault="00615769" w:rsidP="00636825">
            <w:pPr>
              <w:pStyle w:val="EMEANormal"/>
              <w:widowControl w:val="0"/>
              <w:spacing w:before="60"/>
              <w:rPr>
                <w:del w:id="1437" w:author="AbbVie2" w:date="2025-05-13T16:36:00Z"/>
                <w:szCs w:val="22"/>
                <w:lang w:val="pt-PT"/>
              </w:rPr>
            </w:pPr>
            <w:del w:id="1438" w:author="AbbVie2" w:date="2025-05-13T16:36:00Z">
              <w:r w:rsidRPr="008912CF">
                <w:rPr>
                  <w:szCs w:val="22"/>
                  <w:lang w:val="pt-PT"/>
                </w:rPr>
                <w:delText xml:space="preserve">teste positivo de autoanticorpos (incluindo anticorpos contra a dupla cadeia de DNA), </w:delText>
              </w:r>
            </w:del>
          </w:p>
          <w:p w14:paraId="42D55528" w14:textId="38F78B3E" w:rsidR="000036F0" w:rsidRPr="008912CF" w:rsidRDefault="00615769" w:rsidP="00636825">
            <w:pPr>
              <w:pStyle w:val="EMEANormal"/>
              <w:widowControl w:val="0"/>
              <w:spacing w:before="60"/>
              <w:rPr>
                <w:del w:id="1439" w:author="AbbVie2" w:date="2025-05-13T16:36:00Z"/>
                <w:szCs w:val="22"/>
                <w:lang w:val="pt-PT"/>
              </w:rPr>
            </w:pPr>
            <w:del w:id="1440" w:author="AbbVie2" w:date="2025-05-13T16:36:00Z">
              <w:r w:rsidRPr="008912CF">
                <w:rPr>
                  <w:szCs w:val="22"/>
                  <w:lang w:val="pt-PT"/>
                </w:rPr>
                <w:delText xml:space="preserve">nível </w:delText>
              </w:r>
              <w:r>
                <w:rPr>
                  <w:szCs w:val="22"/>
                  <w:lang w:val="pt-PT"/>
                </w:rPr>
                <w:delText xml:space="preserve">sérico </w:delText>
              </w:r>
              <w:r w:rsidRPr="008912CF">
                <w:rPr>
                  <w:szCs w:val="22"/>
                  <w:lang w:val="pt-PT"/>
                </w:rPr>
                <w:delText>de de</w:delText>
              </w:r>
              <w:r>
                <w:rPr>
                  <w:szCs w:val="22"/>
                  <w:lang w:val="pt-PT"/>
                </w:rPr>
                <w:delText>s</w:delText>
              </w:r>
              <w:r w:rsidRPr="008912CF">
                <w:rPr>
                  <w:szCs w:val="22"/>
                  <w:lang w:val="pt-PT"/>
                </w:rPr>
                <w:delText>idrogenase láctica aumentado</w:delText>
              </w:r>
            </w:del>
          </w:p>
          <w:p w14:paraId="0D30A691" w14:textId="0BA5AA1C" w:rsidR="000036F0" w:rsidRPr="008912CF" w:rsidRDefault="000036F0" w:rsidP="00636825">
            <w:pPr>
              <w:pStyle w:val="EMEANormal"/>
              <w:widowControl w:val="0"/>
              <w:spacing w:before="60"/>
              <w:rPr>
                <w:del w:id="1441" w:author="AbbVie2" w:date="2025-05-13T16:36:00Z"/>
                <w:szCs w:val="22"/>
                <w:lang w:val="pt-PT"/>
              </w:rPr>
            </w:pPr>
          </w:p>
        </w:tc>
      </w:tr>
      <w:tr w:rsidR="00A7162A" w14:paraId="6134EBC1" w14:textId="1064443C" w:rsidTr="000036F0">
        <w:trPr>
          <w:del w:id="1442" w:author="AbbVie2" w:date="2025-05-13T16:36:00Z"/>
        </w:trPr>
        <w:tc>
          <w:tcPr>
            <w:tcW w:w="2514" w:type="dxa"/>
            <w:vMerge/>
          </w:tcPr>
          <w:p w14:paraId="33C868E9" w14:textId="3CA1B40E" w:rsidR="000036F0" w:rsidRPr="008912CF" w:rsidRDefault="000036F0" w:rsidP="000036F0">
            <w:pPr>
              <w:pStyle w:val="EMEANormal"/>
              <w:widowControl w:val="0"/>
              <w:spacing w:before="60"/>
              <w:rPr>
                <w:del w:id="1443" w:author="AbbVie2" w:date="2025-05-13T16:36:00Z"/>
                <w:szCs w:val="22"/>
                <w:lang w:val="pt-PT"/>
              </w:rPr>
            </w:pPr>
          </w:p>
        </w:tc>
        <w:tc>
          <w:tcPr>
            <w:tcW w:w="1996" w:type="dxa"/>
            <w:tcBorders>
              <w:top w:val="nil"/>
            </w:tcBorders>
          </w:tcPr>
          <w:p w14:paraId="2A6D6F90" w14:textId="6DF7AFB4" w:rsidR="000036F0" w:rsidRPr="008912CF" w:rsidRDefault="00615769" w:rsidP="000036F0">
            <w:pPr>
              <w:pStyle w:val="EMEANormal"/>
              <w:widowControl w:val="0"/>
              <w:spacing w:before="60"/>
              <w:rPr>
                <w:del w:id="1444" w:author="AbbVie2" w:date="2025-05-13T16:36:00Z"/>
                <w:szCs w:val="22"/>
                <w:lang w:val="pt-PT"/>
              </w:rPr>
            </w:pPr>
            <w:del w:id="1445" w:author="AbbVie2" w:date="2025-05-13T16:36:00Z">
              <w:r>
                <w:rPr>
                  <w:szCs w:val="22"/>
                  <w:lang w:val="pt-PT"/>
                </w:rPr>
                <w:delText>Desconhecido</w:delText>
              </w:r>
            </w:del>
          </w:p>
        </w:tc>
        <w:tc>
          <w:tcPr>
            <w:tcW w:w="4346" w:type="dxa"/>
            <w:tcBorders>
              <w:top w:val="nil"/>
            </w:tcBorders>
          </w:tcPr>
          <w:p w14:paraId="435DB4A3" w14:textId="6996C95A" w:rsidR="000036F0" w:rsidRDefault="00615769" w:rsidP="000036F0">
            <w:pPr>
              <w:pStyle w:val="EMEANormal"/>
              <w:widowControl w:val="0"/>
              <w:spacing w:before="60"/>
              <w:rPr>
                <w:del w:id="1446" w:author="AbbVie2" w:date="2025-05-13T16:36:00Z"/>
                <w:szCs w:val="22"/>
                <w:vertAlign w:val="superscript"/>
                <w:lang w:val="pt-PT"/>
              </w:rPr>
            </w:pPr>
            <w:del w:id="1447" w:author="AbbVie2" w:date="2025-05-13T16:36:00Z">
              <w:r>
                <w:rPr>
                  <w:szCs w:val="22"/>
                  <w:lang w:val="pt-PT"/>
                </w:rPr>
                <w:delText>Aumento de peso</w:delText>
              </w:r>
              <w:r w:rsidRPr="000036F0">
                <w:rPr>
                  <w:szCs w:val="22"/>
                  <w:vertAlign w:val="superscript"/>
                  <w:lang w:val="pt-PT"/>
                </w:rPr>
                <w:delText>2)</w:delText>
              </w:r>
            </w:del>
          </w:p>
          <w:p w14:paraId="7CE7BC6F" w14:textId="58B77083" w:rsidR="000036F0" w:rsidRDefault="000036F0" w:rsidP="000036F0">
            <w:pPr>
              <w:pStyle w:val="EMEANormal"/>
              <w:widowControl w:val="0"/>
              <w:spacing w:before="60"/>
              <w:rPr>
                <w:del w:id="1448" w:author="AbbVie2" w:date="2025-05-13T16:36:00Z"/>
                <w:szCs w:val="22"/>
                <w:lang w:val="pt-PT"/>
              </w:rPr>
            </w:pPr>
          </w:p>
        </w:tc>
      </w:tr>
      <w:tr w:rsidR="00A7162A" w14:paraId="163CDBAB" w14:textId="2D0A03B0" w:rsidTr="00F675CF">
        <w:trPr>
          <w:del w:id="1449" w:author="AbbVie2" w:date="2025-05-13T16:36:00Z"/>
        </w:trPr>
        <w:tc>
          <w:tcPr>
            <w:tcW w:w="2514" w:type="dxa"/>
          </w:tcPr>
          <w:p w14:paraId="464527A6" w14:textId="4AA7C60D" w:rsidR="000036F0" w:rsidRPr="008912CF" w:rsidRDefault="00615769" w:rsidP="000036F0">
            <w:pPr>
              <w:pStyle w:val="EMEANormal"/>
              <w:keepNext/>
              <w:widowControl w:val="0"/>
              <w:spacing w:before="60"/>
              <w:rPr>
                <w:del w:id="1450" w:author="AbbVie2" w:date="2025-05-13T16:36:00Z"/>
                <w:szCs w:val="22"/>
                <w:lang w:val="pt-PT"/>
              </w:rPr>
            </w:pPr>
            <w:del w:id="1451" w:author="AbbVie2" w:date="2025-05-13T16:36:00Z">
              <w:r w:rsidRPr="008912CF">
                <w:rPr>
                  <w:szCs w:val="22"/>
                  <w:lang w:val="pt-PT"/>
                </w:rPr>
                <w:delText>Complicações de intervenções relacionadas com lesões e intoxicações</w:delText>
              </w:r>
            </w:del>
          </w:p>
        </w:tc>
        <w:tc>
          <w:tcPr>
            <w:tcW w:w="1996" w:type="dxa"/>
          </w:tcPr>
          <w:p w14:paraId="660EF1A8" w14:textId="564B7CA4" w:rsidR="000036F0" w:rsidRPr="008912CF" w:rsidRDefault="00615769" w:rsidP="000036F0">
            <w:pPr>
              <w:pStyle w:val="EMEANormal"/>
              <w:keepNext/>
              <w:widowControl w:val="0"/>
              <w:spacing w:before="60"/>
              <w:rPr>
                <w:del w:id="1452" w:author="AbbVie2" w:date="2025-05-13T16:36:00Z"/>
                <w:szCs w:val="22"/>
                <w:lang w:val="pt-PT"/>
              </w:rPr>
            </w:pPr>
            <w:del w:id="1453" w:author="AbbVie2" w:date="2025-05-13T16:36:00Z">
              <w:r w:rsidRPr="008912CF">
                <w:rPr>
                  <w:szCs w:val="22"/>
                  <w:lang w:val="pt-PT"/>
                </w:rPr>
                <w:delText>Frequentes</w:delText>
              </w:r>
            </w:del>
          </w:p>
        </w:tc>
        <w:tc>
          <w:tcPr>
            <w:tcW w:w="4346" w:type="dxa"/>
          </w:tcPr>
          <w:p w14:paraId="66599884" w14:textId="7DD344F9" w:rsidR="000036F0" w:rsidRPr="008912CF" w:rsidRDefault="00615769" w:rsidP="000036F0">
            <w:pPr>
              <w:pStyle w:val="EMEANormal"/>
              <w:keepNext/>
              <w:widowControl w:val="0"/>
              <w:spacing w:before="60"/>
              <w:rPr>
                <w:del w:id="1454" w:author="AbbVie2" w:date="2025-05-13T16:36:00Z"/>
                <w:szCs w:val="22"/>
                <w:lang w:val="pt-PT"/>
              </w:rPr>
            </w:pPr>
            <w:del w:id="1455" w:author="AbbVie2" w:date="2025-05-13T16:36:00Z">
              <w:r>
                <w:rPr>
                  <w:szCs w:val="22"/>
                  <w:lang w:val="pt-PT"/>
                </w:rPr>
                <w:delText>A</w:delText>
              </w:r>
              <w:r w:rsidRPr="008912CF">
                <w:rPr>
                  <w:szCs w:val="22"/>
                  <w:lang w:val="pt-PT"/>
                </w:rPr>
                <w:delText xml:space="preserve">lteração de cicatrização </w:delText>
              </w:r>
            </w:del>
          </w:p>
        </w:tc>
      </w:tr>
    </w:tbl>
    <w:p w14:paraId="37C3EF30" w14:textId="743C3AE5" w:rsidR="004462A0" w:rsidRPr="008912CF" w:rsidRDefault="004462A0" w:rsidP="00556837">
      <w:pPr>
        <w:keepNext/>
        <w:rPr>
          <w:del w:id="1456" w:author="AbbVie2" w:date="2025-05-13T16:36:00Z"/>
          <w:sz w:val="22"/>
          <w:szCs w:val="22"/>
        </w:rPr>
      </w:pPr>
    </w:p>
    <w:p w14:paraId="72BBC386" w14:textId="7FFB1C31" w:rsidR="004462A0" w:rsidRPr="008912CF" w:rsidRDefault="00615769" w:rsidP="00556837">
      <w:pPr>
        <w:keepNext/>
        <w:rPr>
          <w:del w:id="1457" w:author="AbbVie2" w:date="2025-05-13T16:36:00Z"/>
          <w:sz w:val="22"/>
          <w:szCs w:val="22"/>
        </w:rPr>
      </w:pPr>
      <w:del w:id="1458" w:author="AbbVie2" w:date="2025-05-13T16:36:00Z">
        <w:r w:rsidRPr="008912CF">
          <w:rPr>
            <w:sz w:val="22"/>
            <w:szCs w:val="22"/>
          </w:rPr>
          <w:delText>* está disponível informação adicional nas secções 4.3, 4.4 e 4.8</w:delText>
        </w:r>
      </w:del>
    </w:p>
    <w:p w14:paraId="2848E9A3" w14:textId="3B897E59" w:rsidR="004462A0" w:rsidRPr="00FB75CB" w:rsidRDefault="00615769" w:rsidP="00556837">
      <w:pPr>
        <w:pStyle w:val="EMEAHeadingUnderline"/>
        <w:keepNext/>
        <w:spacing w:before="0" w:after="0"/>
        <w:rPr>
          <w:del w:id="1459" w:author="AbbVie2" w:date="2025-05-13T16:36:00Z"/>
          <w:szCs w:val="22"/>
          <w:u w:val="none"/>
          <w:lang w:val="pt-PT"/>
        </w:rPr>
      </w:pPr>
      <w:del w:id="1460" w:author="AbbVie2" w:date="2025-05-13T16:36:00Z">
        <w:r w:rsidRPr="00FB75CB">
          <w:rPr>
            <w:szCs w:val="22"/>
            <w:u w:val="none"/>
            <w:lang w:val="pt-PT"/>
          </w:rPr>
          <w:delText xml:space="preserve">** incluindo estudos de extensão de fase aberta </w:delText>
        </w:r>
      </w:del>
    </w:p>
    <w:p w14:paraId="1037D2BB" w14:textId="3BD41F67" w:rsidR="004462A0" w:rsidRPr="00FB75CB" w:rsidRDefault="00615769" w:rsidP="001E68AA">
      <w:pPr>
        <w:keepNext/>
        <w:rPr>
          <w:del w:id="1461" w:author="AbbVie2" w:date="2025-05-13T16:36:00Z"/>
          <w:sz w:val="22"/>
          <w:szCs w:val="22"/>
        </w:rPr>
      </w:pPr>
      <w:del w:id="1462" w:author="AbbVie2" w:date="2025-05-13T16:36:00Z">
        <w:r w:rsidRPr="00FB75CB">
          <w:rPr>
            <w:sz w:val="22"/>
            <w:szCs w:val="22"/>
            <w:vertAlign w:val="superscript"/>
          </w:rPr>
          <w:delText>1)</w:delText>
        </w:r>
        <w:r w:rsidRPr="00FB75CB">
          <w:rPr>
            <w:sz w:val="22"/>
            <w:szCs w:val="22"/>
          </w:rPr>
          <w:delText xml:space="preserve"> incluindo dados de notificações espontâneas</w:delText>
        </w:r>
      </w:del>
    </w:p>
    <w:p w14:paraId="489C1278" w14:textId="66A00744" w:rsidR="00FB75CB" w:rsidRPr="00FB75CB" w:rsidRDefault="00615769" w:rsidP="00FB75CB">
      <w:pPr>
        <w:rPr>
          <w:del w:id="1463" w:author="AbbVie2" w:date="2025-05-13T16:36:00Z"/>
          <w:sz w:val="22"/>
          <w:szCs w:val="22"/>
          <w:lang w:val="x-none"/>
        </w:rPr>
      </w:pPr>
      <w:del w:id="1464" w:author="AbbVie2" w:date="2025-05-13T16:36:00Z">
        <w:r w:rsidRPr="00FB75CB">
          <w:rPr>
            <w:sz w:val="22"/>
            <w:szCs w:val="22"/>
            <w:vertAlign w:val="superscript"/>
          </w:rPr>
          <w:delText xml:space="preserve">2) </w:delText>
        </w:r>
        <w:r w:rsidRPr="00FB75CB">
          <w:rPr>
            <w:sz w:val="22"/>
            <w:szCs w:val="22"/>
          </w:rPr>
          <w:delText>A alteração média de peso em relação à avaliação inicial para o adalimumab variou entre 0,3 kg e 1,0 kg nas indicações para adultos, em comparação com (negativo) -0,4 kg a 0,4 kg para o placebo, durante um período de tratamento de 4-6 meses. Foi também observado um aumento de peso de 5-6 kg em estudos de extensão a longo prazo com exposições médias de aproximadamente 1-2 anos sem grupo de controlo, particularmente em doentes com doença de Crohn e colite ulcerosa. O mecanismo subjacente a este efeito não é c</w:delText>
        </w:r>
        <w:r w:rsidRPr="00FB75CB">
          <w:rPr>
            <w:sz w:val="22"/>
            <w:szCs w:val="22"/>
          </w:rPr>
          <w:delText>laro, mas pode estar associado ao efeito anti-inflamatório do adalimumab.</w:delText>
        </w:r>
      </w:del>
    </w:p>
    <w:p w14:paraId="267D6AD3" w14:textId="2443A3A1" w:rsidR="00D70AC7" w:rsidRPr="00FB75CB" w:rsidRDefault="00D70AC7" w:rsidP="004462A0">
      <w:pPr>
        <w:rPr>
          <w:del w:id="1465" w:author="AbbVie2" w:date="2025-05-13T16:36:00Z"/>
          <w:sz w:val="22"/>
          <w:szCs w:val="22"/>
          <w:lang w:val="x-none"/>
        </w:rPr>
      </w:pPr>
    </w:p>
    <w:p w14:paraId="3477E357" w14:textId="79B75974" w:rsidR="004462A0" w:rsidRPr="00FB75CB" w:rsidRDefault="00615769" w:rsidP="004462A0">
      <w:pPr>
        <w:autoSpaceDE w:val="0"/>
        <w:autoSpaceDN w:val="0"/>
        <w:adjustRightInd w:val="0"/>
        <w:rPr>
          <w:del w:id="1466" w:author="AbbVie2" w:date="2025-05-13T16:36:00Z"/>
          <w:sz w:val="22"/>
          <w:szCs w:val="22"/>
          <w:u w:val="single"/>
        </w:rPr>
      </w:pPr>
      <w:del w:id="1467" w:author="AbbVie2" w:date="2025-05-13T16:36:00Z">
        <w:r w:rsidRPr="00FB75CB">
          <w:rPr>
            <w:sz w:val="22"/>
            <w:szCs w:val="22"/>
            <w:u w:val="single"/>
          </w:rPr>
          <w:delText>Hidradenite supurativa</w:delText>
        </w:r>
      </w:del>
    </w:p>
    <w:p w14:paraId="76594D67" w14:textId="09EFA570" w:rsidR="00D70AC7" w:rsidRPr="00FB75CB" w:rsidRDefault="00D70AC7" w:rsidP="004462A0">
      <w:pPr>
        <w:autoSpaceDE w:val="0"/>
        <w:autoSpaceDN w:val="0"/>
        <w:adjustRightInd w:val="0"/>
        <w:rPr>
          <w:del w:id="1468" w:author="AbbVie2" w:date="2025-05-13T16:36:00Z"/>
          <w:sz w:val="22"/>
          <w:szCs w:val="22"/>
          <w:u w:val="single"/>
        </w:rPr>
      </w:pPr>
    </w:p>
    <w:p w14:paraId="5AFB6F96" w14:textId="2C529D1A" w:rsidR="00C76DF0" w:rsidRPr="00FB75CB" w:rsidRDefault="00615769" w:rsidP="00C76DF0">
      <w:pPr>
        <w:rPr>
          <w:del w:id="1469" w:author="AbbVie2" w:date="2025-05-13T16:36:00Z"/>
          <w:sz w:val="22"/>
          <w:szCs w:val="22"/>
        </w:rPr>
      </w:pPr>
      <w:del w:id="1470" w:author="AbbVie2" w:date="2025-05-13T16:36:00Z">
        <w:r w:rsidRPr="00FB75CB">
          <w:rPr>
            <w:sz w:val="22"/>
            <w:szCs w:val="22"/>
          </w:rPr>
          <w:delText>O perfil de segurança em doentes com HS tratados com Humira semanalmente foi consistente com o perfil de segurança conhecido de Humira.</w:delText>
        </w:r>
      </w:del>
    </w:p>
    <w:p w14:paraId="7AF4C167" w14:textId="7861AFDB" w:rsidR="00C76DF0" w:rsidRDefault="00C76DF0" w:rsidP="00C76DF0">
      <w:pPr>
        <w:rPr>
          <w:del w:id="1471" w:author="AbbVie2" w:date="2025-05-13T16:36:00Z"/>
          <w:sz w:val="22"/>
          <w:szCs w:val="22"/>
        </w:rPr>
      </w:pPr>
    </w:p>
    <w:p w14:paraId="1AAC8C8C" w14:textId="7944DAD5" w:rsidR="00C76DF0" w:rsidRPr="00DF5632" w:rsidRDefault="00615769" w:rsidP="00C76DF0">
      <w:pPr>
        <w:rPr>
          <w:del w:id="1472" w:author="AbbVie2" w:date="2025-05-13T16:36:00Z"/>
          <w:sz w:val="22"/>
          <w:szCs w:val="22"/>
          <w:u w:val="single"/>
        </w:rPr>
      </w:pPr>
      <w:del w:id="1473" w:author="AbbVie2" w:date="2025-05-13T16:36:00Z">
        <w:r w:rsidRPr="00DF5632">
          <w:rPr>
            <w:sz w:val="22"/>
            <w:szCs w:val="22"/>
            <w:u w:val="single"/>
          </w:rPr>
          <w:delText>Uveíte</w:delText>
        </w:r>
      </w:del>
    </w:p>
    <w:p w14:paraId="6898A1B6" w14:textId="618C0AEC" w:rsidR="00C76DF0" w:rsidRDefault="00C76DF0" w:rsidP="00C76DF0">
      <w:pPr>
        <w:rPr>
          <w:del w:id="1474" w:author="AbbVie2" w:date="2025-05-13T16:36:00Z"/>
          <w:sz w:val="22"/>
          <w:szCs w:val="22"/>
        </w:rPr>
      </w:pPr>
    </w:p>
    <w:p w14:paraId="4280AE91" w14:textId="7E919B25" w:rsidR="00C76DF0" w:rsidRPr="008912CF" w:rsidRDefault="00615769" w:rsidP="00C76DF0">
      <w:pPr>
        <w:rPr>
          <w:del w:id="1475" w:author="AbbVie2" w:date="2025-05-13T16:36:00Z"/>
          <w:sz w:val="22"/>
          <w:szCs w:val="22"/>
        </w:rPr>
      </w:pPr>
      <w:del w:id="1476" w:author="AbbVie2" w:date="2025-05-13T16:36:00Z">
        <w:r w:rsidRPr="008912CF">
          <w:rPr>
            <w:sz w:val="22"/>
            <w:szCs w:val="22"/>
          </w:rPr>
          <w:delText xml:space="preserve">O perfil de segurança em doentes com </w:delText>
        </w:r>
        <w:r w:rsidR="001A1E51">
          <w:rPr>
            <w:sz w:val="22"/>
            <w:szCs w:val="22"/>
          </w:rPr>
          <w:delText xml:space="preserve">uveíte </w:delText>
        </w:r>
        <w:r w:rsidRPr="008912CF">
          <w:rPr>
            <w:sz w:val="22"/>
            <w:szCs w:val="22"/>
          </w:rPr>
          <w:delText xml:space="preserve">tratados com Humira </w:delText>
        </w:r>
        <w:r>
          <w:rPr>
            <w:sz w:val="22"/>
            <w:szCs w:val="22"/>
          </w:rPr>
          <w:delText>em semanas alternadas</w:delText>
        </w:r>
        <w:r w:rsidRPr="008912CF">
          <w:rPr>
            <w:sz w:val="22"/>
            <w:szCs w:val="22"/>
          </w:rPr>
          <w:delText xml:space="preserve"> foi consistente com o perfil de segurança conhecido de Humira.</w:delText>
        </w:r>
      </w:del>
    </w:p>
    <w:p w14:paraId="5DB5B648" w14:textId="32F9E416" w:rsidR="00D70AC7" w:rsidRPr="008912CF" w:rsidRDefault="00D70AC7" w:rsidP="004462A0">
      <w:pPr>
        <w:autoSpaceDE w:val="0"/>
        <w:autoSpaceDN w:val="0"/>
        <w:adjustRightInd w:val="0"/>
        <w:rPr>
          <w:del w:id="1477" w:author="AbbVie2" w:date="2025-05-13T16:36:00Z"/>
          <w:sz w:val="22"/>
          <w:szCs w:val="22"/>
          <w:u w:val="single"/>
        </w:rPr>
      </w:pPr>
    </w:p>
    <w:p w14:paraId="1F1EDE8C" w14:textId="73330784" w:rsidR="004462A0" w:rsidRPr="008912CF" w:rsidRDefault="00615769" w:rsidP="0004619E">
      <w:pPr>
        <w:keepNext/>
        <w:autoSpaceDE w:val="0"/>
        <w:autoSpaceDN w:val="0"/>
        <w:adjustRightInd w:val="0"/>
        <w:rPr>
          <w:del w:id="1478" w:author="AbbVie2" w:date="2025-05-13T16:36:00Z"/>
          <w:sz w:val="22"/>
          <w:szCs w:val="22"/>
          <w:u w:val="single"/>
        </w:rPr>
      </w:pPr>
      <w:del w:id="1479" w:author="AbbVie2" w:date="2025-05-13T16:36:00Z">
        <w:r w:rsidRPr="008912CF">
          <w:rPr>
            <w:sz w:val="22"/>
            <w:szCs w:val="22"/>
            <w:u w:val="single"/>
          </w:rPr>
          <w:delText>Descrição de reações adversas selecionadas</w:delText>
        </w:r>
      </w:del>
    </w:p>
    <w:p w14:paraId="7E4C5408" w14:textId="07B44C44" w:rsidR="004462A0" w:rsidRPr="008912CF" w:rsidRDefault="004462A0" w:rsidP="0004619E">
      <w:pPr>
        <w:keepNext/>
        <w:autoSpaceDE w:val="0"/>
        <w:autoSpaceDN w:val="0"/>
        <w:adjustRightInd w:val="0"/>
        <w:rPr>
          <w:del w:id="1480" w:author="AbbVie2" w:date="2025-05-13T16:36:00Z"/>
          <w:sz w:val="22"/>
          <w:szCs w:val="22"/>
          <w:u w:val="single"/>
        </w:rPr>
      </w:pPr>
    </w:p>
    <w:p w14:paraId="5140B96E" w14:textId="355B3136" w:rsidR="004462A0" w:rsidRPr="008912CF" w:rsidRDefault="00615769" w:rsidP="0004619E">
      <w:pPr>
        <w:keepNext/>
        <w:autoSpaceDE w:val="0"/>
        <w:autoSpaceDN w:val="0"/>
        <w:adjustRightInd w:val="0"/>
        <w:rPr>
          <w:del w:id="1481" w:author="AbbVie2" w:date="2025-05-13T16:36:00Z"/>
          <w:sz w:val="22"/>
          <w:szCs w:val="22"/>
          <w:u w:val="single"/>
        </w:rPr>
      </w:pPr>
      <w:del w:id="1482" w:author="AbbVie2" w:date="2025-05-13T16:36:00Z">
        <w:r w:rsidRPr="008912CF">
          <w:rPr>
            <w:i/>
            <w:sz w:val="22"/>
            <w:szCs w:val="22"/>
          </w:rPr>
          <w:delText xml:space="preserve">Reações no local da injeção </w:delText>
        </w:r>
      </w:del>
    </w:p>
    <w:p w14:paraId="3B169AFC" w14:textId="067BB29F" w:rsidR="004462A0" w:rsidRPr="008912CF" w:rsidRDefault="004462A0" w:rsidP="0004619E">
      <w:pPr>
        <w:keepNext/>
        <w:autoSpaceDE w:val="0"/>
        <w:autoSpaceDN w:val="0"/>
        <w:adjustRightInd w:val="0"/>
        <w:rPr>
          <w:del w:id="1483" w:author="AbbVie2" w:date="2025-05-13T16:36:00Z"/>
          <w:sz w:val="22"/>
          <w:szCs w:val="22"/>
          <w:u w:val="single"/>
        </w:rPr>
      </w:pPr>
    </w:p>
    <w:p w14:paraId="6D449035" w14:textId="35B02E27" w:rsidR="004462A0" w:rsidRPr="008912CF" w:rsidRDefault="00615769" w:rsidP="0004619E">
      <w:pPr>
        <w:keepNext/>
        <w:rPr>
          <w:del w:id="1484" w:author="AbbVie2" w:date="2025-05-13T16:36:00Z"/>
          <w:sz w:val="22"/>
          <w:szCs w:val="22"/>
        </w:rPr>
      </w:pPr>
      <w:del w:id="1485" w:author="AbbVie2" w:date="2025-05-13T16:36:00Z">
        <w:r w:rsidRPr="008912CF">
          <w:rPr>
            <w:sz w:val="22"/>
            <w:szCs w:val="22"/>
          </w:rPr>
          <w:delText>Nos principais ensaios controlados em adultos e crianças, 12,9</w:delText>
        </w:r>
        <w:r w:rsidR="009343EF">
          <w:rPr>
            <w:sz w:val="22"/>
            <w:szCs w:val="22"/>
          </w:rPr>
          <w:delText>%</w:delText>
        </w:r>
        <w:r w:rsidRPr="008912CF">
          <w:rPr>
            <w:sz w:val="22"/>
            <w:szCs w:val="22"/>
          </w:rPr>
          <w:delText xml:space="preserve"> dos doentes tratados com Humira desenvolveram </w:delText>
        </w:r>
        <w:bookmarkStart w:id="1486" w:name="OLE_LINK1"/>
        <w:bookmarkStart w:id="1487" w:name="OLE_LINK2"/>
        <w:r w:rsidRPr="008912CF">
          <w:rPr>
            <w:sz w:val="22"/>
            <w:szCs w:val="22"/>
          </w:rPr>
          <w:delText>reações no local da injeção (eritema e/ou prurido, hemorragia, dor ou edema</w:delText>
        </w:r>
        <w:bookmarkEnd w:id="1486"/>
        <w:bookmarkEnd w:id="1487"/>
        <w:r w:rsidRPr="008912CF">
          <w:rPr>
            <w:sz w:val="22"/>
            <w:szCs w:val="22"/>
          </w:rPr>
          <w:delText xml:space="preserve">), em relação a </w:delText>
        </w:r>
        <w:r>
          <w:rPr>
            <w:sz w:val="22"/>
            <w:szCs w:val="22"/>
          </w:rPr>
          <w:delText>7,2</w:delText>
        </w:r>
        <w:r w:rsidR="009343EF">
          <w:rPr>
            <w:sz w:val="22"/>
            <w:szCs w:val="22"/>
          </w:rPr>
          <w:delText>%</w:delText>
        </w:r>
        <w:r w:rsidRPr="008912CF">
          <w:rPr>
            <w:sz w:val="22"/>
            <w:szCs w:val="22"/>
          </w:rPr>
          <w:delText xml:space="preserve"> dos doentes que receberam placebo ou controlo ativo. As reações no local da injeção de uma forma geral não justificaram a suspensão do medicamento.</w:delText>
        </w:r>
      </w:del>
    </w:p>
    <w:p w14:paraId="7A5D3936" w14:textId="42E76FF3" w:rsidR="004462A0" w:rsidRPr="008912CF" w:rsidRDefault="004462A0" w:rsidP="004462A0">
      <w:pPr>
        <w:rPr>
          <w:del w:id="1488" w:author="AbbVie2" w:date="2025-05-13T16:36:00Z"/>
          <w:sz w:val="22"/>
          <w:szCs w:val="22"/>
        </w:rPr>
      </w:pPr>
    </w:p>
    <w:p w14:paraId="6568C579" w14:textId="1D330923" w:rsidR="004462A0" w:rsidRPr="008912CF" w:rsidRDefault="00615769" w:rsidP="004462A0">
      <w:pPr>
        <w:autoSpaceDE w:val="0"/>
        <w:autoSpaceDN w:val="0"/>
        <w:adjustRightInd w:val="0"/>
        <w:rPr>
          <w:del w:id="1489" w:author="AbbVie2" w:date="2025-05-13T16:36:00Z"/>
          <w:sz w:val="22"/>
          <w:szCs w:val="22"/>
        </w:rPr>
      </w:pPr>
      <w:del w:id="1490" w:author="AbbVie2" w:date="2025-05-13T16:36:00Z">
        <w:r w:rsidRPr="008912CF">
          <w:rPr>
            <w:i/>
            <w:sz w:val="22"/>
            <w:szCs w:val="22"/>
          </w:rPr>
          <w:delText>Infeções</w:delText>
        </w:r>
        <w:r w:rsidRPr="008912CF">
          <w:rPr>
            <w:sz w:val="22"/>
            <w:szCs w:val="22"/>
          </w:rPr>
          <w:delText xml:space="preserve"> </w:delText>
        </w:r>
      </w:del>
    </w:p>
    <w:p w14:paraId="7F6CB2B5" w14:textId="49F23372" w:rsidR="004462A0" w:rsidRPr="008912CF" w:rsidRDefault="004462A0" w:rsidP="004462A0">
      <w:pPr>
        <w:autoSpaceDE w:val="0"/>
        <w:autoSpaceDN w:val="0"/>
        <w:adjustRightInd w:val="0"/>
        <w:rPr>
          <w:del w:id="1491" w:author="AbbVie2" w:date="2025-05-13T16:36:00Z"/>
          <w:sz w:val="22"/>
          <w:szCs w:val="22"/>
        </w:rPr>
      </w:pPr>
    </w:p>
    <w:p w14:paraId="0810BE59" w14:textId="196B2B6E" w:rsidR="004462A0" w:rsidRPr="008912CF" w:rsidRDefault="00615769" w:rsidP="004462A0">
      <w:pPr>
        <w:pStyle w:val="BodyText2"/>
        <w:autoSpaceDE/>
        <w:autoSpaceDN/>
        <w:adjustRightInd/>
        <w:rPr>
          <w:del w:id="1492" w:author="AbbVie2" w:date="2025-05-13T16:36:00Z"/>
          <w:szCs w:val="22"/>
        </w:rPr>
      </w:pPr>
      <w:del w:id="1493" w:author="AbbVie2" w:date="2025-05-13T16:36:00Z">
        <w:r w:rsidRPr="008912CF">
          <w:rPr>
            <w:szCs w:val="22"/>
          </w:rPr>
          <w:delText>Nos principais ensaios controlados em adultos e crianças, a taxa de infeções foi de 1,51 por doentes/ano nos doentes tratados com Humira e de 1,46 por doentes/ano nos doentes tratados com placebo e controlo ativo. As infeções consisti</w:delText>
        </w:r>
        <w:r w:rsidR="000A3565">
          <w:rPr>
            <w:szCs w:val="22"/>
          </w:rPr>
          <w:delText>r</w:delText>
        </w:r>
        <w:r w:rsidRPr="008912CF">
          <w:rPr>
            <w:szCs w:val="22"/>
          </w:rPr>
          <w:delText xml:space="preserve">am principalmente em nasofaringite, infeções do </w:delText>
        </w:r>
        <w:r w:rsidR="000A3565">
          <w:rPr>
            <w:szCs w:val="22"/>
          </w:rPr>
          <w:delText>trato</w:delText>
        </w:r>
        <w:r w:rsidR="000A3565" w:rsidRPr="008912CF">
          <w:rPr>
            <w:szCs w:val="22"/>
          </w:rPr>
          <w:delText xml:space="preserve"> </w:delText>
        </w:r>
        <w:r w:rsidRPr="008912CF">
          <w:rPr>
            <w:szCs w:val="22"/>
          </w:rPr>
          <w:delText>respiratório superior e sinusite. A maioria dos doentes prosseguiu o tratamento com Humira após resolução da infeção.</w:delText>
        </w:r>
      </w:del>
    </w:p>
    <w:p w14:paraId="056301BA" w14:textId="3F6DD58E" w:rsidR="004462A0" w:rsidRPr="008912CF" w:rsidRDefault="004462A0" w:rsidP="004462A0">
      <w:pPr>
        <w:rPr>
          <w:del w:id="1494" w:author="AbbVie2" w:date="2025-05-13T16:36:00Z"/>
          <w:sz w:val="22"/>
          <w:szCs w:val="22"/>
        </w:rPr>
      </w:pPr>
    </w:p>
    <w:p w14:paraId="4245E22F" w14:textId="7C3B870C" w:rsidR="004462A0" w:rsidRPr="008912CF" w:rsidRDefault="00615769" w:rsidP="004462A0">
      <w:pPr>
        <w:pStyle w:val="BodyText2"/>
        <w:autoSpaceDE/>
        <w:autoSpaceDN/>
        <w:adjustRightInd/>
        <w:rPr>
          <w:del w:id="1495" w:author="AbbVie2" w:date="2025-05-13T16:36:00Z"/>
          <w:szCs w:val="22"/>
        </w:rPr>
      </w:pPr>
      <w:del w:id="1496" w:author="AbbVie2" w:date="2025-05-13T16:36:00Z">
        <w:r w:rsidRPr="008912CF">
          <w:rPr>
            <w:szCs w:val="22"/>
          </w:rPr>
          <w:delText>A incidência de infeções graves foi de 0,04 por doentes/ano nos doentes tratados com Humira e de 0,03 por doentes/ano nos doentes tratados com placebo e controlo ativo.</w:delText>
        </w:r>
      </w:del>
    </w:p>
    <w:p w14:paraId="0E0305F6" w14:textId="12B8D431" w:rsidR="004462A0" w:rsidRPr="008912CF" w:rsidRDefault="004462A0" w:rsidP="004462A0">
      <w:pPr>
        <w:rPr>
          <w:del w:id="1497" w:author="AbbVie2" w:date="2025-05-13T16:36:00Z"/>
          <w:sz w:val="22"/>
          <w:szCs w:val="22"/>
        </w:rPr>
      </w:pPr>
    </w:p>
    <w:p w14:paraId="25085C86" w14:textId="3B682F0D" w:rsidR="004462A0" w:rsidRPr="008912CF" w:rsidRDefault="00615769" w:rsidP="004462A0">
      <w:pPr>
        <w:rPr>
          <w:del w:id="1498" w:author="AbbVie2" w:date="2025-05-13T16:36:00Z"/>
          <w:sz w:val="22"/>
          <w:szCs w:val="22"/>
        </w:rPr>
      </w:pPr>
      <w:del w:id="1499" w:author="AbbVie2" w:date="2025-05-13T16:36:00Z">
        <w:r w:rsidRPr="008912CF">
          <w:rPr>
            <w:sz w:val="22"/>
            <w:szCs w:val="22"/>
          </w:rPr>
          <w:delText>Em estudos controlados e de fase aberta com Humira</w:delText>
        </w:r>
        <w:r w:rsidR="001D3CF2">
          <w:rPr>
            <w:sz w:val="22"/>
            <w:szCs w:val="22"/>
          </w:rPr>
          <w:delText>,</w:delText>
        </w:r>
        <w:r w:rsidR="001D3CF2" w:rsidRPr="001D3CF2">
          <w:rPr>
            <w:sz w:val="22"/>
            <w:szCs w:val="22"/>
          </w:rPr>
          <w:delText xml:space="preserve"> </w:delText>
        </w:r>
        <w:r w:rsidR="001D3CF2">
          <w:rPr>
            <w:sz w:val="22"/>
            <w:szCs w:val="22"/>
          </w:rPr>
          <w:delText>em adultos e crianças,</w:delText>
        </w:r>
        <w:r w:rsidRPr="008912CF">
          <w:rPr>
            <w:sz w:val="22"/>
            <w:szCs w:val="22"/>
          </w:rPr>
          <w:delText xml:space="preserve"> foram notificadas infeções graves (incluindo infeções fatais, as quais ocorreram raramente), que incluíram casos de tuberculose (incluindo localizações miliares e extra</w:delText>
        </w:r>
        <w:r w:rsidR="000A3565">
          <w:rPr>
            <w:sz w:val="22"/>
            <w:szCs w:val="22"/>
          </w:rPr>
          <w:delText>-</w:delText>
        </w:r>
        <w:r w:rsidRPr="008912CF">
          <w:rPr>
            <w:sz w:val="22"/>
            <w:szCs w:val="22"/>
          </w:rPr>
          <w:delText>pulmonares) e infeções oportunistas invasivas (p.e. histoplasmose disseminada ou extra</w:delText>
        </w:r>
        <w:r w:rsidR="000A3565">
          <w:rPr>
            <w:sz w:val="22"/>
            <w:szCs w:val="22"/>
          </w:rPr>
          <w:delText>-</w:delText>
        </w:r>
        <w:r w:rsidRPr="008912CF">
          <w:rPr>
            <w:sz w:val="22"/>
            <w:szCs w:val="22"/>
          </w:rPr>
          <w:delText xml:space="preserve">pulmonar, blastomicose, </w:delText>
        </w:r>
        <w:r w:rsidRPr="008912CF">
          <w:rPr>
            <w:sz w:val="22"/>
            <w:szCs w:val="22"/>
            <w:u w:color="0000FF"/>
          </w:rPr>
          <w:delText xml:space="preserve">coccidioidomicose, </w:delText>
        </w:r>
        <w:r w:rsidRPr="008912CF">
          <w:rPr>
            <w:iCs/>
            <w:sz w:val="22"/>
            <w:szCs w:val="22"/>
            <w:u w:color="0000FF"/>
          </w:rPr>
          <w:delText>pneumocistose</w:delText>
        </w:r>
        <w:r w:rsidRPr="008912CF">
          <w:rPr>
            <w:sz w:val="22"/>
            <w:szCs w:val="22"/>
          </w:rPr>
          <w:delText xml:space="preserve">, candidíase, aspergilose e listeriose). A maioria dos casos de tuberculose ocorreu nos primeiros oito meses após o início do tratamento e pode refletir um agravamento de doença latente. </w:delText>
        </w:r>
      </w:del>
    </w:p>
    <w:p w14:paraId="4CD25653" w14:textId="26E1D659" w:rsidR="004462A0" w:rsidRPr="008912CF" w:rsidRDefault="004462A0" w:rsidP="004462A0">
      <w:pPr>
        <w:pStyle w:val="EndnoteText"/>
        <w:tabs>
          <w:tab w:val="clear" w:pos="567"/>
        </w:tabs>
        <w:rPr>
          <w:del w:id="1500" w:author="AbbVie2" w:date="2025-05-13T16:36:00Z"/>
          <w:szCs w:val="22"/>
        </w:rPr>
      </w:pPr>
    </w:p>
    <w:p w14:paraId="3C46793B" w14:textId="3FD58463" w:rsidR="004462A0" w:rsidRPr="008912CF" w:rsidRDefault="00615769" w:rsidP="004462A0">
      <w:pPr>
        <w:pStyle w:val="EMEAHeadingUnderline"/>
        <w:spacing w:before="0" w:after="0"/>
        <w:rPr>
          <w:del w:id="1501" w:author="AbbVie2" w:date="2025-05-13T16:36:00Z"/>
          <w:szCs w:val="22"/>
          <w:lang w:val="pt-PT"/>
        </w:rPr>
      </w:pPr>
      <w:del w:id="1502" w:author="AbbVie2" w:date="2025-05-13T16:36:00Z">
        <w:r w:rsidRPr="008912CF">
          <w:rPr>
            <w:i/>
            <w:szCs w:val="22"/>
            <w:u w:val="none"/>
            <w:lang w:val="pt-PT"/>
          </w:rPr>
          <w:delText>Neoplasias e doenças linfoproliferativas</w:delText>
        </w:r>
      </w:del>
    </w:p>
    <w:p w14:paraId="76A5A66B" w14:textId="7D449078" w:rsidR="004462A0" w:rsidRPr="008912CF" w:rsidRDefault="004462A0" w:rsidP="004462A0">
      <w:pPr>
        <w:autoSpaceDE w:val="0"/>
        <w:autoSpaceDN w:val="0"/>
        <w:adjustRightInd w:val="0"/>
        <w:rPr>
          <w:del w:id="1503" w:author="AbbVie2" w:date="2025-05-13T16:36:00Z"/>
          <w:sz w:val="22"/>
          <w:szCs w:val="22"/>
          <w:u w:val="single"/>
        </w:rPr>
      </w:pPr>
    </w:p>
    <w:p w14:paraId="4BEE5CD8" w14:textId="116EB965" w:rsidR="007B1EB2" w:rsidRPr="008912CF" w:rsidRDefault="00615769" w:rsidP="007B1EB2">
      <w:pPr>
        <w:pStyle w:val="BodyText2"/>
        <w:rPr>
          <w:del w:id="1504" w:author="AbbVie2" w:date="2025-05-13T16:36:00Z"/>
          <w:szCs w:val="22"/>
        </w:rPr>
      </w:pPr>
      <w:del w:id="1505" w:author="AbbVie2" w:date="2025-05-13T16:36:00Z">
        <w:r w:rsidRPr="008912CF">
          <w:rPr>
            <w:szCs w:val="22"/>
          </w:rPr>
          <w:delText>Não se observaram neoplasias em 249 doentes pediátricos com uma exposição de 655,6</w:delText>
        </w:r>
        <w:r>
          <w:rPr>
            <w:szCs w:val="22"/>
          </w:rPr>
          <w:delText> </w:delText>
        </w:r>
        <w:r w:rsidRPr="008912CF">
          <w:rPr>
            <w:szCs w:val="22"/>
          </w:rPr>
          <w:delText>doentes/ano durante ensaios clínicos de Humira em doentes com artrite idiopática juvenil (artrite idiopática juvenil poliarticular e artrite relacionada com entesite). Adicionalmente, não se observaram neoplasias em 192 doentes pediátricos com uma exposição de 498,1</w:delText>
        </w:r>
        <w:r>
          <w:rPr>
            <w:szCs w:val="22"/>
          </w:rPr>
          <w:delText> </w:delText>
        </w:r>
        <w:r w:rsidRPr="008912CF">
          <w:rPr>
            <w:szCs w:val="22"/>
          </w:rPr>
          <w:delText>doentes/ano durante ensaios clínicos de Humira em doentes pediátricos com doença de Crohn.</w:delText>
        </w:r>
        <w:r w:rsidRPr="008912CF">
          <w:delText xml:space="preserve"> Não se observaram neoplasias em 77 doentes pediátricos com uma exposição de 80</w:delText>
        </w:r>
        <w:r w:rsidR="000A3565">
          <w:delText>,0</w:delText>
        </w:r>
        <w:r>
          <w:delText> </w:delText>
        </w:r>
        <w:r w:rsidRPr="008912CF">
          <w:delText>doentes/ano durante um ensaio clínico de Humira em doentes pediátricos co</w:delText>
        </w:r>
        <w:r w:rsidRPr="008912CF">
          <w:delText>m psoríase crónica em placas.</w:delText>
        </w:r>
        <w:r>
          <w:delText xml:space="preserve"> </w:delText>
        </w:r>
        <w:r w:rsidR="0071248B" w:rsidRPr="0071248B">
          <w:delText>Não se observaram neoplasias em 93 doentes pediátricos com uma exposição de 65,3 doentes/ano durante um ensaio clínico de Humira em doentes pediátricos com colite ulcerosa.</w:delText>
        </w:r>
        <w:r w:rsidR="00E1114B">
          <w:delText> </w:delText>
        </w:r>
        <w:r w:rsidRPr="008912CF">
          <w:rPr>
            <w:szCs w:val="22"/>
          </w:rPr>
          <w:delText xml:space="preserve">Não se observaram neoplasias em </w:delText>
        </w:r>
        <w:r>
          <w:rPr>
            <w:szCs w:val="22"/>
          </w:rPr>
          <w:delText>60</w:delText>
        </w:r>
        <w:r w:rsidRPr="008912CF">
          <w:rPr>
            <w:szCs w:val="22"/>
          </w:rPr>
          <w:delText xml:space="preserve"> doentes pediátricos com uma exposição de</w:delText>
        </w:r>
        <w:r>
          <w:rPr>
            <w:szCs w:val="22"/>
          </w:rPr>
          <w:delText xml:space="preserve"> 58,4 doentes/ano durante um ensaio clínico de Humira em doentes pediátricos com uveíte.</w:delText>
        </w:r>
      </w:del>
    </w:p>
    <w:p w14:paraId="126C9B9F" w14:textId="5FCB0206" w:rsidR="004462A0" w:rsidRPr="008912CF" w:rsidRDefault="004462A0" w:rsidP="004462A0">
      <w:pPr>
        <w:autoSpaceDE w:val="0"/>
        <w:autoSpaceDN w:val="0"/>
        <w:adjustRightInd w:val="0"/>
        <w:rPr>
          <w:del w:id="1506" w:author="AbbVie2" w:date="2025-05-13T16:36:00Z"/>
          <w:sz w:val="22"/>
          <w:szCs w:val="22"/>
        </w:rPr>
      </w:pPr>
    </w:p>
    <w:p w14:paraId="6B9ACB5F" w14:textId="3B732DFD" w:rsidR="004462A0" w:rsidRPr="008912CF" w:rsidRDefault="00615769" w:rsidP="004462A0">
      <w:pPr>
        <w:autoSpaceDE w:val="0"/>
        <w:autoSpaceDN w:val="0"/>
        <w:adjustRightInd w:val="0"/>
        <w:rPr>
          <w:del w:id="1507" w:author="AbbVie2" w:date="2025-05-13T16:36:00Z"/>
          <w:sz w:val="22"/>
          <w:szCs w:val="22"/>
        </w:rPr>
      </w:pPr>
      <w:del w:id="1508" w:author="AbbVie2" w:date="2025-05-13T16:36:00Z">
        <w:r w:rsidRPr="008912CF">
          <w:rPr>
            <w:sz w:val="22"/>
            <w:szCs w:val="22"/>
          </w:rPr>
          <w:delText>Durante a parte controlada dos principais ensaios clínicos com Humira em adultos com pelo menos 12</w:delText>
        </w:r>
        <w:r>
          <w:rPr>
            <w:sz w:val="22"/>
            <w:szCs w:val="22"/>
          </w:rPr>
          <w:delText> </w:delText>
        </w:r>
        <w:r w:rsidRPr="008912CF">
          <w:rPr>
            <w:sz w:val="22"/>
            <w:szCs w:val="22"/>
          </w:rPr>
          <w:delText>semanas de duração</w:delText>
        </w:r>
        <w:r w:rsidR="000A3565">
          <w:rPr>
            <w:sz w:val="22"/>
            <w:szCs w:val="22"/>
          </w:rPr>
          <w:delText>,</w:delText>
        </w:r>
        <w:r w:rsidRPr="008912CF">
          <w:rPr>
            <w:sz w:val="22"/>
            <w:szCs w:val="22"/>
          </w:rPr>
          <w:delText xml:space="preserve"> em doentes com artrite reumatoide ativa moderada a grave, espondilite anquilosante, espondilartrite axial sem evidência radiográfica de EA, artrite psoriática, psoríase, hidradenite supurativa, doença de Crohn</w:delText>
        </w:r>
        <w:r>
          <w:rPr>
            <w:sz w:val="22"/>
            <w:szCs w:val="22"/>
          </w:rPr>
          <w:delText xml:space="preserve">, </w:delText>
        </w:r>
        <w:r w:rsidRPr="008912CF">
          <w:rPr>
            <w:sz w:val="22"/>
            <w:szCs w:val="22"/>
          </w:rPr>
          <w:delText>colite ulcerosa</w:delText>
        </w:r>
        <w:r>
          <w:rPr>
            <w:sz w:val="22"/>
            <w:szCs w:val="22"/>
          </w:rPr>
          <w:delText xml:space="preserve"> e uveíte</w:delText>
        </w:r>
        <w:r w:rsidRPr="008912CF">
          <w:rPr>
            <w:sz w:val="22"/>
            <w:szCs w:val="22"/>
          </w:rPr>
          <w:delText>, foram observadas neoplasias, para além de linfomas e neoplasias cutâneas não</w:delText>
        </w:r>
        <w:r w:rsidR="000A3565">
          <w:rPr>
            <w:sz w:val="22"/>
            <w:szCs w:val="22"/>
          </w:rPr>
          <w:delText xml:space="preserve"> </w:delText>
        </w:r>
        <w:r w:rsidRPr="008912CF">
          <w:rPr>
            <w:sz w:val="22"/>
            <w:szCs w:val="22"/>
          </w:rPr>
          <w:delText>melanomas</w:delText>
        </w:r>
        <w:r w:rsidR="000A3565">
          <w:rPr>
            <w:sz w:val="22"/>
            <w:szCs w:val="22"/>
          </w:rPr>
          <w:delText>,</w:delText>
        </w:r>
        <w:r w:rsidRPr="008912CF">
          <w:rPr>
            <w:sz w:val="22"/>
            <w:szCs w:val="22"/>
          </w:rPr>
          <w:delText xml:space="preserve"> numa taxa (intervalo de confiança 95</w:delText>
        </w:r>
        <w:r w:rsidR="009343EF">
          <w:rPr>
            <w:sz w:val="22"/>
            <w:szCs w:val="22"/>
          </w:rPr>
          <w:delText>%</w:delText>
        </w:r>
        <w:r w:rsidRPr="008912CF">
          <w:rPr>
            <w:sz w:val="22"/>
            <w:szCs w:val="22"/>
          </w:rPr>
          <w:delText xml:space="preserve">) de </w:delText>
        </w:r>
        <w:r>
          <w:rPr>
            <w:sz w:val="22"/>
            <w:szCs w:val="22"/>
          </w:rPr>
          <w:delText>6,8 (4,4</w:delText>
        </w:r>
        <w:r w:rsidR="000A3565">
          <w:rPr>
            <w:sz w:val="22"/>
            <w:szCs w:val="22"/>
          </w:rPr>
          <w:delText>;</w:delText>
        </w:r>
        <w:r>
          <w:rPr>
            <w:sz w:val="22"/>
            <w:szCs w:val="22"/>
          </w:rPr>
          <w:delText xml:space="preserve"> 10,5)</w:delText>
        </w:r>
        <w:r w:rsidRPr="008912CF">
          <w:rPr>
            <w:sz w:val="22"/>
            <w:szCs w:val="22"/>
          </w:rPr>
          <w:delText xml:space="preserve"> por 1.000 doentes/ano entre os </w:delText>
        </w:r>
        <w:r>
          <w:rPr>
            <w:sz w:val="22"/>
            <w:szCs w:val="22"/>
          </w:rPr>
          <w:delText>5.291</w:delText>
        </w:r>
        <w:r w:rsidRPr="008912CF">
          <w:rPr>
            <w:sz w:val="22"/>
            <w:szCs w:val="22"/>
          </w:rPr>
          <w:delText xml:space="preserve"> doentes tratados com Humira </w:delText>
        </w:r>
        <w:r w:rsidR="000A3565">
          <w:rPr>
            <w:i/>
            <w:sz w:val="22"/>
            <w:szCs w:val="22"/>
          </w:rPr>
          <w:delText xml:space="preserve">versus </w:delText>
        </w:r>
        <w:r w:rsidRPr="008912CF">
          <w:rPr>
            <w:sz w:val="22"/>
            <w:szCs w:val="22"/>
          </w:rPr>
          <w:delText xml:space="preserve">uma taxa de </w:delText>
        </w:r>
        <w:r w:rsidRPr="00F47F7A">
          <w:rPr>
            <w:sz w:val="22"/>
            <w:szCs w:val="22"/>
          </w:rPr>
          <w:delText>6,3 (3</w:delText>
        </w:r>
        <w:r>
          <w:rPr>
            <w:sz w:val="22"/>
            <w:szCs w:val="22"/>
          </w:rPr>
          <w:delText>,</w:delText>
        </w:r>
        <w:r w:rsidRPr="00F47F7A">
          <w:rPr>
            <w:sz w:val="22"/>
            <w:szCs w:val="22"/>
          </w:rPr>
          <w:delText>4</w:delText>
        </w:r>
        <w:r w:rsidR="000A3565">
          <w:rPr>
            <w:sz w:val="22"/>
            <w:szCs w:val="22"/>
          </w:rPr>
          <w:delText>;</w:delText>
        </w:r>
        <w:r w:rsidRPr="00F47F7A">
          <w:rPr>
            <w:sz w:val="22"/>
            <w:szCs w:val="22"/>
          </w:rPr>
          <w:delText xml:space="preserve"> 11</w:delText>
        </w:r>
        <w:r>
          <w:rPr>
            <w:sz w:val="22"/>
            <w:szCs w:val="22"/>
          </w:rPr>
          <w:delText>,</w:delText>
        </w:r>
        <w:r w:rsidRPr="00F47F7A">
          <w:rPr>
            <w:sz w:val="22"/>
            <w:szCs w:val="22"/>
          </w:rPr>
          <w:delText>8)</w:delText>
        </w:r>
        <w:r w:rsidRPr="008912CF">
          <w:rPr>
            <w:sz w:val="22"/>
            <w:szCs w:val="22"/>
          </w:rPr>
          <w:delText xml:space="preserve"> por 1.000 doentes/ano entre </w:delText>
        </w:r>
        <w:r w:rsidRPr="008912CF">
          <w:rPr>
            <w:sz w:val="22"/>
            <w:szCs w:val="22"/>
          </w:rPr>
          <w:delText xml:space="preserve">os </w:delText>
        </w:r>
        <w:r>
          <w:rPr>
            <w:sz w:val="22"/>
            <w:szCs w:val="22"/>
          </w:rPr>
          <w:delText>3.444</w:delText>
        </w:r>
        <w:r w:rsidRPr="008912CF">
          <w:rPr>
            <w:sz w:val="22"/>
            <w:szCs w:val="22"/>
          </w:rPr>
          <w:delText xml:space="preserve"> doentes tratados com controlo (a duração </w:delText>
        </w:r>
        <w:r w:rsidR="000A3565">
          <w:rPr>
            <w:sz w:val="22"/>
            <w:szCs w:val="22"/>
          </w:rPr>
          <w:delText>median</w:delText>
        </w:r>
        <w:r w:rsidR="000A3565" w:rsidRPr="008912CF">
          <w:rPr>
            <w:sz w:val="22"/>
            <w:szCs w:val="22"/>
          </w:rPr>
          <w:delText xml:space="preserve">a </w:delText>
        </w:r>
        <w:r w:rsidRPr="008912CF">
          <w:rPr>
            <w:sz w:val="22"/>
            <w:szCs w:val="22"/>
          </w:rPr>
          <w:delText xml:space="preserve">de tratamento foi </w:delText>
        </w:r>
        <w:r w:rsidR="000A3565">
          <w:rPr>
            <w:sz w:val="22"/>
            <w:szCs w:val="22"/>
          </w:rPr>
          <w:delText xml:space="preserve">de </w:delText>
        </w:r>
        <w:r w:rsidRPr="008912CF">
          <w:rPr>
            <w:sz w:val="22"/>
            <w:szCs w:val="22"/>
          </w:rPr>
          <w:delText xml:space="preserve">4,0 meses para Humira e </w:delText>
        </w:r>
        <w:r>
          <w:rPr>
            <w:sz w:val="22"/>
            <w:szCs w:val="22"/>
          </w:rPr>
          <w:delText>3,8 </w:delText>
        </w:r>
        <w:r w:rsidRPr="008912CF">
          <w:rPr>
            <w:sz w:val="22"/>
            <w:szCs w:val="22"/>
          </w:rPr>
          <w:delText>meses para os doentes do grupo controlo). A taxa (intervalo de confiança 95</w:delText>
        </w:r>
        <w:r w:rsidR="009343EF">
          <w:rPr>
            <w:sz w:val="22"/>
            <w:szCs w:val="22"/>
          </w:rPr>
          <w:delText>%</w:delText>
        </w:r>
        <w:r w:rsidRPr="008912CF">
          <w:rPr>
            <w:sz w:val="22"/>
            <w:szCs w:val="22"/>
          </w:rPr>
          <w:delText xml:space="preserve">) observada de neoplasias cutâneas não melanomas foi de </w:delText>
        </w:r>
        <w:r w:rsidRPr="00F47F7A">
          <w:rPr>
            <w:sz w:val="22"/>
            <w:szCs w:val="22"/>
          </w:rPr>
          <w:delText>8,8 (6</w:delText>
        </w:r>
        <w:r>
          <w:rPr>
            <w:sz w:val="22"/>
            <w:szCs w:val="22"/>
          </w:rPr>
          <w:delText>,</w:delText>
        </w:r>
        <w:r w:rsidRPr="00F47F7A">
          <w:rPr>
            <w:sz w:val="22"/>
            <w:szCs w:val="22"/>
          </w:rPr>
          <w:delText>0</w:delText>
        </w:r>
        <w:r w:rsidR="000A3565">
          <w:rPr>
            <w:sz w:val="22"/>
            <w:szCs w:val="22"/>
          </w:rPr>
          <w:delText>;</w:delText>
        </w:r>
        <w:r w:rsidRPr="00F47F7A">
          <w:rPr>
            <w:sz w:val="22"/>
            <w:szCs w:val="22"/>
          </w:rPr>
          <w:delText xml:space="preserve"> 13</w:delText>
        </w:r>
        <w:r>
          <w:rPr>
            <w:sz w:val="22"/>
            <w:szCs w:val="22"/>
          </w:rPr>
          <w:delText>,</w:delText>
        </w:r>
        <w:r w:rsidRPr="00F47F7A">
          <w:rPr>
            <w:sz w:val="22"/>
            <w:szCs w:val="22"/>
          </w:rPr>
          <w:delText>0)</w:delText>
        </w:r>
        <w:r w:rsidRPr="008912CF">
          <w:rPr>
            <w:sz w:val="22"/>
            <w:szCs w:val="22"/>
          </w:rPr>
          <w:delText xml:space="preserve"> por 1.000 doentes/ano em doentes tratados com Humira e </w:delText>
        </w:r>
        <w:r w:rsidRPr="00F47F7A">
          <w:rPr>
            <w:sz w:val="22"/>
            <w:szCs w:val="22"/>
          </w:rPr>
          <w:delText>3,2 (1</w:delText>
        </w:r>
        <w:r>
          <w:rPr>
            <w:sz w:val="22"/>
            <w:szCs w:val="22"/>
          </w:rPr>
          <w:delText>,</w:delText>
        </w:r>
        <w:r w:rsidRPr="00F47F7A">
          <w:rPr>
            <w:sz w:val="22"/>
            <w:szCs w:val="22"/>
          </w:rPr>
          <w:delText>3</w:delText>
        </w:r>
        <w:r w:rsidR="000A3565">
          <w:rPr>
            <w:sz w:val="22"/>
            <w:szCs w:val="22"/>
          </w:rPr>
          <w:delText>;</w:delText>
        </w:r>
        <w:r w:rsidRPr="00F47F7A">
          <w:rPr>
            <w:sz w:val="22"/>
            <w:szCs w:val="22"/>
          </w:rPr>
          <w:delText xml:space="preserve"> 7</w:delText>
        </w:r>
        <w:r>
          <w:rPr>
            <w:sz w:val="22"/>
            <w:szCs w:val="22"/>
          </w:rPr>
          <w:delText>,</w:delText>
        </w:r>
        <w:r w:rsidRPr="00F47F7A">
          <w:rPr>
            <w:sz w:val="22"/>
            <w:szCs w:val="22"/>
          </w:rPr>
          <w:delText>6)</w:delText>
        </w:r>
        <w:r w:rsidRPr="008912CF">
          <w:rPr>
            <w:sz w:val="22"/>
            <w:szCs w:val="22"/>
          </w:rPr>
          <w:delText xml:space="preserve"> por 1.000 doentes/ano em doentes controlo. Destas neoplasias cutâneas, ocorreram carcinomas </w:delText>
        </w:r>
        <w:r w:rsidR="000A3565">
          <w:rPr>
            <w:sz w:val="22"/>
            <w:szCs w:val="22"/>
          </w:rPr>
          <w:delText>de células escamosas</w:delText>
        </w:r>
        <w:r w:rsidRPr="008912CF">
          <w:rPr>
            <w:sz w:val="22"/>
            <w:szCs w:val="22"/>
          </w:rPr>
          <w:delText xml:space="preserve"> numa taxa (intervalo de confiança 95</w:delText>
        </w:r>
        <w:r w:rsidR="009343EF">
          <w:rPr>
            <w:sz w:val="22"/>
            <w:szCs w:val="22"/>
          </w:rPr>
          <w:delText>%</w:delText>
        </w:r>
        <w:r w:rsidRPr="008912CF">
          <w:rPr>
            <w:sz w:val="22"/>
            <w:szCs w:val="22"/>
          </w:rPr>
          <w:delText xml:space="preserve">) de </w:delText>
        </w:r>
        <w:r>
          <w:rPr>
            <w:sz w:val="22"/>
            <w:szCs w:val="22"/>
          </w:rPr>
          <w:delText>2,7 (1,4</w:delText>
        </w:r>
        <w:r w:rsidR="000A3565">
          <w:rPr>
            <w:sz w:val="22"/>
            <w:szCs w:val="22"/>
          </w:rPr>
          <w:delText>;</w:delText>
        </w:r>
        <w:r>
          <w:rPr>
            <w:sz w:val="22"/>
            <w:szCs w:val="22"/>
          </w:rPr>
          <w:delText xml:space="preserve"> 5,4)</w:delText>
        </w:r>
        <w:r w:rsidRPr="008912CF">
          <w:rPr>
            <w:sz w:val="22"/>
            <w:szCs w:val="22"/>
          </w:rPr>
          <w:delText xml:space="preserve"> por 1.000 doentes/ano em doentes tratados com Humira e </w:delText>
        </w:r>
        <w:r>
          <w:rPr>
            <w:sz w:val="22"/>
            <w:szCs w:val="22"/>
          </w:rPr>
          <w:delText>0,6 (0,1</w:delText>
        </w:r>
        <w:r w:rsidR="000A3565">
          <w:rPr>
            <w:sz w:val="22"/>
            <w:szCs w:val="22"/>
          </w:rPr>
          <w:delText>;</w:delText>
        </w:r>
        <w:r>
          <w:rPr>
            <w:sz w:val="22"/>
            <w:szCs w:val="22"/>
          </w:rPr>
          <w:delText xml:space="preserve"> 4,5)</w:delText>
        </w:r>
        <w:r w:rsidRPr="008912CF">
          <w:rPr>
            <w:sz w:val="22"/>
            <w:szCs w:val="22"/>
          </w:rPr>
          <w:delText xml:space="preserve"> por 1.000 doentes/ano em doentes controlo. A taxa (intervalo de confiança 95</w:delText>
        </w:r>
        <w:r w:rsidR="009343EF">
          <w:rPr>
            <w:sz w:val="22"/>
            <w:szCs w:val="22"/>
          </w:rPr>
          <w:delText>%</w:delText>
        </w:r>
        <w:r w:rsidRPr="008912CF">
          <w:rPr>
            <w:sz w:val="22"/>
            <w:szCs w:val="22"/>
          </w:rPr>
          <w:delText xml:space="preserve">) de linfomas foi </w:delText>
        </w:r>
        <w:r w:rsidR="000A3565">
          <w:rPr>
            <w:sz w:val="22"/>
            <w:szCs w:val="22"/>
          </w:rPr>
          <w:delText xml:space="preserve">de </w:delText>
        </w:r>
        <w:r w:rsidRPr="008912CF">
          <w:rPr>
            <w:sz w:val="22"/>
            <w:szCs w:val="22"/>
          </w:rPr>
          <w:delText>0,7 (</w:delText>
        </w:r>
        <w:r>
          <w:rPr>
            <w:sz w:val="22"/>
            <w:szCs w:val="22"/>
          </w:rPr>
          <w:delText>0,2</w:delText>
        </w:r>
        <w:r w:rsidR="000A3565">
          <w:rPr>
            <w:sz w:val="22"/>
            <w:szCs w:val="22"/>
          </w:rPr>
          <w:delText>;</w:delText>
        </w:r>
        <w:r>
          <w:rPr>
            <w:sz w:val="22"/>
            <w:szCs w:val="22"/>
          </w:rPr>
          <w:delText xml:space="preserve"> 2,7</w:delText>
        </w:r>
        <w:r w:rsidRPr="008912CF">
          <w:rPr>
            <w:sz w:val="22"/>
            <w:szCs w:val="22"/>
          </w:rPr>
          <w:delText>) por 1.000 doentes/ano em doentes tratados com Humira e</w:delText>
        </w:r>
        <w:r>
          <w:rPr>
            <w:sz w:val="22"/>
            <w:szCs w:val="22"/>
          </w:rPr>
          <w:delText xml:space="preserve"> 0,6 (0,1</w:delText>
        </w:r>
        <w:r w:rsidR="000A3565">
          <w:rPr>
            <w:sz w:val="22"/>
            <w:szCs w:val="22"/>
          </w:rPr>
          <w:delText>;</w:delText>
        </w:r>
        <w:r>
          <w:rPr>
            <w:sz w:val="22"/>
            <w:szCs w:val="22"/>
          </w:rPr>
          <w:delText xml:space="preserve"> 4,5)</w:delText>
        </w:r>
        <w:r w:rsidRPr="008912CF">
          <w:rPr>
            <w:sz w:val="22"/>
            <w:szCs w:val="22"/>
          </w:rPr>
          <w:delText xml:space="preserve"> por 1.000 doentes/</w:delText>
        </w:r>
        <w:r w:rsidRPr="008912CF">
          <w:rPr>
            <w:sz w:val="22"/>
            <w:szCs w:val="22"/>
          </w:rPr>
          <w:delText>ano em doentes controlo.</w:delText>
        </w:r>
      </w:del>
    </w:p>
    <w:p w14:paraId="2C78E696" w14:textId="4CB82344" w:rsidR="004462A0" w:rsidRPr="008912CF" w:rsidRDefault="004462A0" w:rsidP="004462A0">
      <w:pPr>
        <w:autoSpaceDE w:val="0"/>
        <w:autoSpaceDN w:val="0"/>
        <w:adjustRightInd w:val="0"/>
        <w:rPr>
          <w:del w:id="1509" w:author="AbbVie2" w:date="2025-05-13T16:36:00Z"/>
          <w:sz w:val="22"/>
          <w:szCs w:val="22"/>
        </w:rPr>
      </w:pPr>
    </w:p>
    <w:p w14:paraId="3532D1B3" w14:textId="18B2F53D" w:rsidR="004462A0" w:rsidRPr="008912CF" w:rsidRDefault="00615769" w:rsidP="004462A0">
      <w:pPr>
        <w:autoSpaceDE w:val="0"/>
        <w:autoSpaceDN w:val="0"/>
        <w:adjustRightInd w:val="0"/>
        <w:rPr>
          <w:del w:id="1510" w:author="AbbVie2" w:date="2025-05-13T16:36:00Z"/>
          <w:sz w:val="22"/>
          <w:szCs w:val="22"/>
        </w:rPr>
      </w:pPr>
      <w:del w:id="1511" w:author="AbbVie2" w:date="2025-05-13T16:36:00Z">
        <w:r w:rsidRPr="008912CF">
          <w:rPr>
            <w:sz w:val="22"/>
            <w:szCs w:val="22"/>
          </w:rPr>
          <w:delText xml:space="preserve">Quando associados estes ensaios controlados com os estudos de extensão de fase aberta a decorrerem e completados, com uma </w:delText>
        </w:r>
        <w:r w:rsidR="00BF7825">
          <w:rPr>
            <w:sz w:val="22"/>
            <w:szCs w:val="22"/>
          </w:rPr>
          <w:delText>mediana</w:delText>
        </w:r>
        <w:r w:rsidR="00BF7825" w:rsidRPr="008912CF">
          <w:rPr>
            <w:sz w:val="22"/>
            <w:szCs w:val="22"/>
          </w:rPr>
          <w:delText xml:space="preserve"> </w:delText>
        </w:r>
        <w:r w:rsidRPr="008912CF">
          <w:rPr>
            <w:sz w:val="22"/>
            <w:szCs w:val="22"/>
          </w:rPr>
          <w:delText xml:space="preserve">de duração de aproximadamente </w:delText>
        </w:r>
        <w:r>
          <w:rPr>
            <w:sz w:val="22"/>
            <w:szCs w:val="22"/>
          </w:rPr>
          <w:delText>3,3 </w:delText>
        </w:r>
        <w:r w:rsidRPr="008912CF">
          <w:rPr>
            <w:sz w:val="22"/>
            <w:szCs w:val="22"/>
          </w:rPr>
          <w:delText>anos</w:delText>
        </w:r>
        <w:r w:rsidR="00BF7825">
          <w:rPr>
            <w:sz w:val="22"/>
            <w:szCs w:val="22"/>
          </w:rPr>
          <w:delText>,</w:delText>
        </w:r>
        <w:r w:rsidRPr="008912CF">
          <w:rPr>
            <w:sz w:val="22"/>
            <w:szCs w:val="22"/>
          </w:rPr>
          <w:delText xml:space="preserve"> incluindo </w:delText>
        </w:r>
        <w:r>
          <w:rPr>
            <w:sz w:val="22"/>
            <w:szCs w:val="22"/>
          </w:rPr>
          <w:delText>6.427</w:delText>
        </w:r>
        <w:r w:rsidRPr="008912CF">
          <w:rPr>
            <w:sz w:val="22"/>
            <w:szCs w:val="22"/>
          </w:rPr>
          <w:delText xml:space="preserve"> doentes e mais de </w:delText>
        </w:r>
        <w:r>
          <w:rPr>
            <w:sz w:val="22"/>
            <w:szCs w:val="22"/>
          </w:rPr>
          <w:delText>26.439</w:delText>
        </w:r>
        <w:r w:rsidRPr="008912CF">
          <w:rPr>
            <w:sz w:val="22"/>
            <w:szCs w:val="22"/>
          </w:rPr>
          <w:delText> doentes/ano de terapêutica, a taxa observada de neoplasias, para além de linfomas e neoplasias cutâneas não</w:delText>
        </w:r>
        <w:r w:rsidR="00BF7825">
          <w:rPr>
            <w:sz w:val="22"/>
            <w:szCs w:val="22"/>
          </w:rPr>
          <w:delText xml:space="preserve"> </w:delText>
        </w:r>
        <w:r w:rsidRPr="008912CF">
          <w:rPr>
            <w:sz w:val="22"/>
            <w:szCs w:val="22"/>
          </w:rPr>
          <w:delText xml:space="preserve">melanomas é de aproximadamente 8,5 por 1.000 doentes/ano. A taxa observada de neoplasias cutâneas não melanomas é de aproximadamente </w:delText>
        </w:r>
        <w:r>
          <w:rPr>
            <w:sz w:val="22"/>
            <w:szCs w:val="22"/>
          </w:rPr>
          <w:delText>9,6</w:delText>
        </w:r>
        <w:r w:rsidRPr="008912CF">
          <w:rPr>
            <w:sz w:val="22"/>
            <w:szCs w:val="22"/>
          </w:rPr>
          <w:delText xml:space="preserve"> por 1.000 doentes/ano, e a taxa observada de linfomas é de aproximadamente 1,3 por 1.000 doentes/ano.</w:delText>
        </w:r>
      </w:del>
    </w:p>
    <w:p w14:paraId="79A38542" w14:textId="2476E18E" w:rsidR="004462A0" w:rsidRPr="008912CF" w:rsidRDefault="004462A0" w:rsidP="004462A0">
      <w:pPr>
        <w:autoSpaceDE w:val="0"/>
        <w:autoSpaceDN w:val="0"/>
        <w:adjustRightInd w:val="0"/>
        <w:rPr>
          <w:del w:id="1512" w:author="AbbVie2" w:date="2025-05-13T16:36:00Z"/>
          <w:sz w:val="22"/>
          <w:szCs w:val="22"/>
        </w:rPr>
      </w:pPr>
    </w:p>
    <w:p w14:paraId="113C2EE3" w14:textId="064C15F2" w:rsidR="004462A0" w:rsidRPr="008912CF" w:rsidRDefault="00615769" w:rsidP="004462A0">
      <w:pPr>
        <w:autoSpaceDE w:val="0"/>
        <w:autoSpaceDN w:val="0"/>
        <w:adjustRightInd w:val="0"/>
        <w:rPr>
          <w:del w:id="1513" w:author="AbbVie2" w:date="2025-05-13T16:36:00Z"/>
          <w:sz w:val="22"/>
          <w:szCs w:val="22"/>
        </w:rPr>
      </w:pPr>
      <w:del w:id="1514" w:author="AbbVie2" w:date="2025-05-13T16:36:00Z">
        <w:r w:rsidRPr="008912CF">
          <w:rPr>
            <w:sz w:val="22"/>
            <w:szCs w:val="22"/>
          </w:rPr>
          <w:delText>Na experiência pós</w:delText>
        </w:r>
        <w:r w:rsidR="00BF7825">
          <w:rPr>
            <w:sz w:val="22"/>
            <w:szCs w:val="22"/>
          </w:rPr>
          <w:delText>-</w:delText>
        </w:r>
        <w:r w:rsidRPr="008912CF">
          <w:rPr>
            <w:sz w:val="22"/>
            <w:szCs w:val="22"/>
          </w:rPr>
          <w:delText xml:space="preserve">comercialização desde janeiro de 2003 a dezembro de 2010, predominantemente em doentes com artrite reumatoide, a taxa </w:delText>
        </w:r>
        <w:r>
          <w:rPr>
            <w:sz w:val="22"/>
            <w:szCs w:val="22"/>
          </w:rPr>
          <w:delText>de notificação espontânea</w:delText>
        </w:r>
        <w:r w:rsidRPr="008912CF">
          <w:rPr>
            <w:sz w:val="22"/>
            <w:szCs w:val="22"/>
          </w:rPr>
          <w:delText xml:space="preserve"> de neoplasias é de aproximadamente 2,7 por 1.000 doentes/ano de tratamento. As taxas </w:delText>
        </w:r>
        <w:r>
          <w:rPr>
            <w:sz w:val="22"/>
            <w:szCs w:val="22"/>
          </w:rPr>
          <w:delText>de notificação espontânea</w:delText>
        </w:r>
        <w:r w:rsidRPr="008912CF">
          <w:rPr>
            <w:sz w:val="22"/>
            <w:szCs w:val="22"/>
          </w:rPr>
          <w:delText xml:space="preserve"> de neoplasias cutâneas não</w:delText>
        </w:r>
        <w:r w:rsidR="00BF7825">
          <w:rPr>
            <w:sz w:val="22"/>
            <w:szCs w:val="22"/>
          </w:rPr>
          <w:delText xml:space="preserve"> </w:delText>
        </w:r>
        <w:r w:rsidRPr="008912CF">
          <w:rPr>
            <w:sz w:val="22"/>
            <w:szCs w:val="22"/>
          </w:rPr>
          <w:delText>melanomas e linfomas são de aproximadamente 0,2 e 0,3 por 1.000 doentes/ano de tratamento, respetivamente (ver secção 4.4).</w:delText>
        </w:r>
      </w:del>
    </w:p>
    <w:p w14:paraId="4CDF8252" w14:textId="2FF29B50" w:rsidR="004462A0" w:rsidRPr="008912CF" w:rsidRDefault="004462A0" w:rsidP="004462A0">
      <w:pPr>
        <w:pStyle w:val="Default"/>
        <w:rPr>
          <w:del w:id="1515" w:author="AbbVie2" w:date="2025-05-13T16:36:00Z"/>
          <w:sz w:val="22"/>
          <w:szCs w:val="22"/>
          <w:lang w:val="pt-PT"/>
        </w:rPr>
      </w:pPr>
    </w:p>
    <w:p w14:paraId="3597650C" w14:textId="4B40F89D" w:rsidR="004462A0" w:rsidRPr="008912CF" w:rsidRDefault="00615769" w:rsidP="004462A0">
      <w:pPr>
        <w:pStyle w:val="Default"/>
        <w:rPr>
          <w:del w:id="1516" w:author="AbbVie2" w:date="2025-05-13T16:36:00Z"/>
          <w:sz w:val="22"/>
          <w:szCs w:val="22"/>
          <w:lang w:val="pt-PT"/>
        </w:rPr>
      </w:pPr>
      <w:del w:id="1517" w:author="AbbVie2" w:date="2025-05-13T16:36:00Z">
        <w:r w:rsidRPr="008912CF">
          <w:rPr>
            <w:sz w:val="22"/>
            <w:szCs w:val="22"/>
            <w:lang w:val="pt-PT"/>
          </w:rPr>
          <w:delText>Foram notificados em fase de pós</w:delText>
        </w:r>
        <w:r w:rsidR="00BF7825">
          <w:rPr>
            <w:sz w:val="22"/>
            <w:szCs w:val="22"/>
            <w:lang w:val="pt-PT"/>
          </w:rPr>
          <w:delText>-</w:delText>
        </w:r>
        <w:r w:rsidRPr="008912CF">
          <w:rPr>
            <w:sz w:val="22"/>
            <w:szCs w:val="22"/>
            <w:lang w:val="pt-PT"/>
          </w:rPr>
          <w:delText xml:space="preserve">comercialização casos raros de linfoma hepatoesplénico de </w:delText>
        </w:r>
        <w:r w:rsidR="00BF7825">
          <w:rPr>
            <w:sz w:val="22"/>
            <w:szCs w:val="22"/>
            <w:lang w:val="pt-PT"/>
          </w:rPr>
          <w:delText>células</w:delText>
        </w:r>
        <w:r w:rsidR="00BF7825" w:rsidRPr="008912CF">
          <w:rPr>
            <w:sz w:val="22"/>
            <w:szCs w:val="22"/>
            <w:lang w:val="pt-PT"/>
          </w:rPr>
          <w:delText xml:space="preserve"> </w:delText>
        </w:r>
        <w:r w:rsidRPr="008912CF">
          <w:rPr>
            <w:sz w:val="22"/>
            <w:szCs w:val="22"/>
            <w:lang w:val="pt-PT"/>
          </w:rPr>
          <w:delText>T em doentes tratados com adalimumab (ver secção 4.4).</w:delText>
        </w:r>
      </w:del>
    </w:p>
    <w:p w14:paraId="0C0C4E5C" w14:textId="168E75BB" w:rsidR="004462A0" w:rsidRPr="008912CF" w:rsidRDefault="004462A0" w:rsidP="004462A0">
      <w:pPr>
        <w:autoSpaceDE w:val="0"/>
        <w:autoSpaceDN w:val="0"/>
        <w:adjustRightInd w:val="0"/>
        <w:rPr>
          <w:del w:id="1518" w:author="AbbVie2" w:date="2025-05-13T16:36:00Z"/>
          <w:sz w:val="22"/>
          <w:szCs w:val="22"/>
        </w:rPr>
      </w:pPr>
    </w:p>
    <w:p w14:paraId="4F26E076" w14:textId="32817558" w:rsidR="004462A0" w:rsidRPr="008912CF" w:rsidRDefault="00615769" w:rsidP="004462A0">
      <w:pPr>
        <w:autoSpaceDE w:val="0"/>
        <w:autoSpaceDN w:val="0"/>
        <w:adjustRightInd w:val="0"/>
        <w:rPr>
          <w:del w:id="1519" w:author="AbbVie2" w:date="2025-05-13T16:36:00Z"/>
          <w:sz w:val="22"/>
          <w:szCs w:val="22"/>
        </w:rPr>
      </w:pPr>
      <w:del w:id="1520" w:author="AbbVie2" w:date="2025-05-13T16:36:00Z">
        <w:r w:rsidRPr="008912CF">
          <w:rPr>
            <w:i/>
            <w:sz w:val="22"/>
            <w:szCs w:val="22"/>
          </w:rPr>
          <w:delText>Autoanticorpos</w:delText>
        </w:r>
      </w:del>
    </w:p>
    <w:p w14:paraId="217DDBD2" w14:textId="2B7F6F89" w:rsidR="004462A0" w:rsidRPr="008912CF" w:rsidRDefault="004462A0" w:rsidP="004462A0">
      <w:pPr>
        <w:pStyle w:val="EndnoteText"/>
        <w:tabs>
          <w:tab w:val="clear" w:pos="567"/>
        </w:tabs>
        <w:autoSpaceDE w:val="0"/>
        <w:autoSpaceDN w:val="0"/>
        <w:adjustRightInd w:val="0"/>
        <w:rPr>
          <w:del w:id="1521" w:author="AbbVie2" w:date="2025-05-13T16:36:00Z"/>
          <w:szCs w:val="22"/>
        </w:rPr>
      </w:pPr>
    </w:p>
    <w:p w14:paraId="7466CFAB" w14:textId="7D466D80" w:rsidR="004462A0" w:rsidRPr="008912CF" w:rsidRDefault="00615769" w:rsidP="004462A0">
      <w:pPr>
        <w:autoSpaceDE w:val="0"/>
        <w:autoSpaceDN w:val="0"/>
        <w:adjustRightInd w:val="0"/>
        <w:rPr>
          <w:del w:id="1522" w:author="AbbVie2" w:date="2025-05-13T16:36:00Z"/>
          <w:sz w:val="22"/>
          <w:szCs w:val="22"/>
        </w:rPr>
      </w:pPr>
      <w:del w:id="1523" w:author="AbbVie2" w:date="2025-05-13T16:36:00Z">
        <w:r w:rsidRPr="008912CF">
          <w:rPr>
            <w:sz w:val="22"/>
            <w:szCs w:val="22"/>
          </w:rPr>
          <w:delText xml:space="preserve">Foram </w:delText>
        </w:r>
        <w:r w:rsidR="00B5581D">
          <w:rPr>
            <w:sz w:val="22"/>
            <w:szCs w:val="22"/>
          </w:rPr>
          <w:delText>analisadas</w:delText>
        </w:r>
        <w:r w:rsidR="00B5581D" w:rsidRPr="008912CF">
          <w:rPr>
            <w:sz w:val="22"/>
            <w:szCs w:val="22"/>
          </w:rPr>
          <w:delText xml:space="preserve"> </w:delText>
        </w:r>
        <w:r w:rsidRPr="008912CF">
          <w:rPr>
            <w:sz w:val="22"/>
            <w:szCs w:val="22"/>
          </w:rPr>
          <w:delText>amostras de soro dos doentes em múltiplos pontos temporais para pesquisa de autoanticorpos nos estudos I-V na artrite reumatoide. Nestes ensaios, 11,9</w:delText>
        </w:r>
        <w:r w:rsidR="009343EF">
          <w:rPr>
            <w:sz w:val="22"/>
            <w:szCs w:val="22"/>
          </w:rPr>
          <w:delText>%</w:delText>
        </w:r>
        <w:r w:rsidRPr="008912CF">
          <w:rPr>
            <w:sz w:val="22"/>
            <w:szCs w:val="22"/>
          </w:rPr>
          <w:delText xml:space="preserve"> dos doentes tratados com Humira e 8,1</w:delText>
        </w:r>
        <w:r w:rsidR="009343EF">
          <w:rPr>
            <w:sz w:val="22"/>
            <w:szCs w:val="22"/>
          </w:rPr>
          <w:delText>%</w:delText>
        </w:r>
        <w:r w:rsidRPr="008912CF">
          <w:rPr>
            <w:sz w:val="22"/>
            <w:szCs w:val="22"/>
          </w:rPr>
          <w:delText xml:space="preserve"> dos doentes tratados com placebo e controlo ativo, cujos títulos de anticorpos antinucleares eram negativos no início do estudo, apresentavam títulos positivos na Semana</w:delText>
        </w:r>
        <w:r>
          <w:rPr>
            <w:sz w:val="22"/>
            <w:szCs w:val="22"/>
          </w:rPr>
          <w:delText> </w:delText>
        </w:r>
        <w:r w:rsidRPr="008912CF">
          <w:rPr>
            <w:sz w:val="22"/>
            <w:szCs w:val="22"/>
          </w:rPr>
          <w:delText xml:space="preserve">24. Dois dos 3.441 doentes tratados com Humira nos estudos </w:delText>
        </w:r>
        <w:r w:rsidR="00B5581D">
          <w:rPr>
            <w:sz w:val="22"/>
            <w:szCs w:val="22"/>
          </w:rPr>
          <w:delText>na</w:delText>
        </w:r>
        <w:r w:rsidR="00B5581D" w:rsidRPr="008912CF">
          <w:rPr>
            <w:sz w:val="22"/>
            <w:szCs w:val="22"/>
          </w:rPr>
          <w:delText xml:space="preserve"> </w:delText>
        </w:r>
        <w:r w:rsidRPr="008912CF">
          <w:rPr>
            <w:sz w:val="22"/>
            <w:szCs w:val="22"/>
          </w:rPr>
          <w:delText>artrite reumatoide e artrite psoriática desenvolveram, pela primeira vez, sinais clínicos</w:delText>
        </w:r>
        <w:r w:rsidRPr="008912CF">
          <w:rPr>
            <w:sz w:val="22"/>
            <w:szCs w:val="22"/>
          </w:rPr>
          <w:delText xml:space="preserve"> sugestivos de uma síndrome tipo lúpus. O estado dos doentes melhorou após a suspensão da terapêutica. Nenhum doente desenvolveu nefrite lúpica ou sintomas a nível do sistema nervoso central.</w:delText>
        </w:r>
      </w:del>
    </w:p>
    <w:p w14:paraId="2739BECB" w14:textId="11E3BB0B" w:rsidR="004462A0" w:rsidRPr="008912CF" w:rsidRDefault="004462A0" w:rsidP="004462A0">
      <w:pPr>
        <w:ind w:hanging="567"/>
        <w:rPr>
          <w:del w:id="1524" w:author="AbbVie2" w:date="2025-05-13T16:36:00Z"/>
          <w:sz w:val="22"/>
          <w:szCs w:val="22"/>
        </w:rPr>
      </w:pPr>
    </w:p>
    <w:p w14:paraId="6D594C55" w14:textId="42F2156C" w:rsidR="004462A0" w:rsidRPr="008912CF" w:rsidRDefault="00615769" w:rsidP="004462A0">
      <w:pPr>
        <w:rPr>
          <w:del w:id="1525" w:author="AbbVie2" w:date="2025-05-13T16:36:00Z"/>
          <w:sz w:val="22"/>
          <w:szCs w:val="22"/>
          <w:u w:val="single"/>
        </w:rPr>
      </w:pPr>
      <w:del w:id="1526" w:author="AbbVie2" w:date="2025-05-13T16:36:00Z">
        <w:r w:rsidRPr="008912CF">
          <w:rPr>
            <w:i/>
            <w:sz w:val="22"/>
            <w:szCs w:val="22"/>
          </w:rPr>
          <w:delText>Efeitos hepatobiliares</w:delText>
        </w:r>
      </w:del>
    </w:p>
    <w:p w14:paraId="15D249E0" w14:textId="5C2CA3A1" w:rsidR="004462A0" w:rsidRPr="008912CF" w:rsidRDefault="004462A0" w:rsidP="004462A0">
      <w:pPr>
        <w:ind w:hanging="567"/>
        <w:rPr>
          <w:del w:id="1527" w:author="AbbVie2" w:date="2025-05-13T16:36:00Z"/>
          <w:sz w:val="22"/>
          <w:szCs w:val="22"/>
        </w:rPr>
      </w:pPr>
    </w:p>
    <w:p w14:paraId="3F68C68E" w14:textId="47C3CE96" w:rsidR="004462A0" w:rsidRPr="008912CF" w:rsidRDefault="00615769" w:rsidP="004462A0">
      <w:pPr>
        <w:pStyle w:val="BodyText2"/>
        <w:autoSpaceDE/>
        <w:autoSpaceDN/>
        <w:adjustRightInd/>
        <w:rPr>
          <w:del w:id="1528" w:author="AbbVie2" w:date="2025-05-13T16:36:00Z"/>
        </w:rPr>
      </w:pPr>
      <w:del w:id="1529" w:author="AbbVie2" w:date="2025-05-13T16:36:00Z">
        <w:r w:rsidRPr="008912CF">
          <w:rPr>
            <w:szCs w:val="22"/>
          </w:rPr>
          <w:delText>Nos ensaios clínicos de Fase 3 controlados de Humira, em doentes com artrite reumatoide (AR) e artrite psoriática, com um período de controlo compreendido entre 4 a 104</w:delText>
        </w:r>
        <w:r>
          <w:rPr>
            <w:szCs w:val="22"/>
          </w:rPr>
          <w:delText> </w:delText>
        </w:r>
        <w:r w:rsidRPr="008912CF">
          <w:rPr>
            <w:szCs w:val="22"/>
          </w:rPr>
          <w:delText xml:space="preserve">semanas, os aumentos de ALT </w:delText>
        </w:r>
        <w:r w:rsidRPr="008912CF">
          <w:delText>≥ 3 LNS ocorreram em 3,7</w:delText>
        </w:r>
        <w:r w:rsidR="009343EF">
          <w:delText>%</w:delText>
        </w:r>
        <w:r w:rsidRPr="008912CF">
          <w:delText xml:space="preserve"> dos doentes tratados com Humira e em 1,6</w:delText>
        </w:r>
        <w:r w:rsidR="009343EF">
          <w:delText>%</w:delText>
        </w:r>
        <w:r w:rsidRPr="008912CF">
          <w:delText xml:space="preserve"> dos doentes tratados com controlo.</w:delText>
        </w:r>
      </w:del>
    </w:p>
    <w:p w14:paraId="3196078F" w14:textId="3DD931C0" w:rsidR="004462A0" w:rsidRPr="008912CF" w:rsidRDefault="004462A0" w:rsidP="004462A0">
      <w:pPr>
        <w:pStyle w:val="BodyText2"/>
        <w:autoSpaceDE/>
        <w:autoSpaceDN/>
        <w:adjustRightInd/>
        <w:rPr>
          <w:del w:id="1530" w:author="AbbVie2" w:date="2025-05-13T16:36:00Z"/>
          <w:szCs w:val="22"/>
        </w:rPr>
      </w:pPr>
    </w:p>
    <w:p w14:paraId="63ACC7D9" w14:textId="450735F5" w:rsidR="004462A0" w:rsidRPr="008912CF" w:rsidRDefault="00615769" w:rsidP="004462A0">
      <w:pPr>
        <w:pStyle w:val="BodyText2"/>
        <w:rPr>
          <w:del w:id="1531" w:author="AbbVie2" w:date="2025-05-13T16:36:00Z"/>
          <w:szCs w:val="22"/>
        </w:rPr>
      </w:pPr>
      <w:del w:id="1532" w:author="AbbVie2" w:date="2025-05-13T16:36:00Z">
        <w:r w:rsidRPr="008912CF">
          <w:rPr>
            <w:szCs w:val="22"/>
          </w:rPr>
          <w:delText>Nos ensaios clínicos de Fase 3 de Humira, em doentes com artrite idiopática juvenil</w:delText>
        </w:r>
        <w:r w:rsidR="00B5581D">
          <w:rPr>
            <w:szCs w:val="22"/>
          </w:rPr>
          <w:delText xml:space="preserve"> poliarticular</w:delText>
        </w:r>
        <w:r w:rsidRPr="008912CF">
          <w:rPr>
            <w:szCs w:val="22"/>
          </w:rPr>
          <w:delText>, dos 4 aos 17 anos de idade e com artrite relacionada com entesite, dos 6 aos 17 anos de idade, os aumentos de ALT</w:delText>
        </w:r>
        <w:r>
          <w:rPr>
            <w:szCs w:val="22"/>
          </w:rPr>
          <w:delText> </w:delText>
        </w:r>
        <w:r w:rsidRPr="008912CF">
          <w:rPr>
            <w:szCs w:val="22"/>
          </w:rPr>
          <w:delText>≥</w:delText>
        </w:r>
        <w:r>
          <w:rPr>
            <w:szCs w:val="22"/>
          </w:rPr>
          <w:delText> </w:delText>
        </w:r>
        <w:r w:rsidRPr="008912CF">
          <w:rPr>
            <w:szCs w:val="22"/>
          </w:rPr>
          <w:delText>3</w:delText>
        </w:r>
        <w:r>
          <w:rPr>
            <w:szCs w:val="22"/>
          </w:rPr>
          <w:delText> </w:delText>
        </w:r>
        <w:r w:rsidRPr="008912CF">
          <w:rPr>
            <w:szCs w:val="22"/>
          </w:rPr>
          <w:delText>LNS ocorreram em 6,1</w:delText>
        </w:r>
        <w:r w:rsidR="009343EF">
          <w:rPr>
            <w:szCs w:val="22"/>
          </w:rPr>
          <w:delText>%</w:delText>
        </w:r>
        <w:r w:rsidRPr="008912CF">
          <w:rPr>
            <w:szCs w:val="22"/>
          </w:rPr>
          <w:delText xml:space="preserve"> dos doentes tratados com Humira e em 1,3</w:delText>
        </w:r>
        <w:r w:rsidR="009343EF">
          <w:rPr>
            <w:szCs w:val="22"/>
          </w:rPr>
          <w:delText>%</w:delText>
        </w:r>
        <w:r w:rsidRPr="008912CF">
          <w:rPr>
            <w:szCs w:val="22"/>
          </w:rPr>
          <w:delText xml:space="preserve"> dos doentes tratados com controlo. Os aumentos de ALT ocorreram na sua maioria em associação com metotrexato. Nos ensaios clínicos de Fase 3 de Humira, não se registaram casos de aumentos de ALT</w:delText>
        </w:r>
        <w:r>
          <w:rPr>
            <w:szCs w:val="22"/>
          </w:rPr>
          <w:delText> </w:delText>
        </w:r>
        <w:r w:rsidRPr="008912CF">
          <w:rPr>
            <w:szCs w:val="22"/>
          </w:rPr>
          <w:delText>≥</w:delText>
        </w:r>
        <w:r>
          <w:rPr>
            <w:szCs w:val="22"/>
          </w:rPr>
          <w:delText> </w:delText>
        </w:r>
        <w:r w:rsidRPr="008912CF">
          <w:rPr>
            <w:szCs w:val="22"/>
          </w:rPr>
          <w:delText>3</w:delText>
        </w:r>
        <w:r>
          <w:rPr>
            <w:szCs w:val="22"/>
          </w:rPr>
          <w:delText> </w:delText>
        </w:r>
        <w:r w:rsidRPr="008912CF">
          <w:rPr>
            <w:szCs w:val="22"/>
          </w:rPr>
          <w:delText>LNS em doentes com artrite idiopática juvenil poliarticular, com idades compreendidas entre os 2 e os 4</w:delText>
        </w:r>
        <w:r>
          <w:rPr>
            <w:szCs w:val="22"/>
          </w:rPr>
          <w:delText> </w:delText>
        </w:r>
        <w:r w:rsidRPr="008912CF">
          <w:rPr>
            <w:szCs w:val="22"/>
          </w:rPr>
          <w:delText>anos</w:delText>
        </w:r>
        <w:r w:rsidR="00B5581D">
          <w:rPr>
            <w:szCs w:val="22"/>
          </w:rPr>
          <w:delText>.</w:delText>
        </w:r>
      </w:del>
    </w:p>
    <w:p w14:paraId="767BB3EF" w14:textId="40ADE2ED" w:rsidR="004462A0" w:rsidRPr="008912CF" w:rsidRDefault="004462A0" w:rsidP="004462A0">
      <w:pPr>
        <w:rPr>
          <w:del w:id="1533" w:author="AbbVie2" w:date="2025-05-13T16:36:00Z"/>
          <w:i/>
          <w:iCs/>
          <w:sz w:val="22"/>
          <w:szCs w:val="22"/>
        </w:rPr>
      </w:pPr>
    </w:p>
    <w:p w14:paraId="02B2CB71" w14:textId="5EA21E42" w:rsidR="004462A0" w:rsidRPr="008912CF" w:rsidRDefault="00615769" w:rsidP="004462A0">
      <w:pPr>
        <w:rPr>
          <w:del w:id="1534" w:author="AbbVie2" w:date="2025-05-13T16:36:00Z"/>
          <w:sz w:val="20"/>
          <w:szCs w:val="22"/>
        </w:rPr>
      </w:pPr>
      <w:del w:id="1535" w:author="AbbVie2" w:date="2025-05-13T16:36:00Z">
        <w:r w:rsidRPr="008912CF">
          <w:rPr>
            <w:sz w:val="22"/>
            <w:szCs w:val="22"/>
          </w:rPr>
          <w:delText>Nos ensaios clínicos de Fase 3 controlados de Humira, em doentes com</w:delText>
        </w:r>
        <w:r w:rsidRPr="008912CF">
          <w:rPr>
            <w:i/>
            <w:iCs/>
            <w:sz w:val="22"/>
            <w:szCs w:val="22"/>
          </w:rPr>
          <w:delText xml:space="preserve"> </w:delText>
        </w:r>
        <w:r w:rsidRPr="008912CF">
          <w:rPr>
            <w:iCs/>
            <w:sz w:val="22"/>
            <w:szCs w:val="22"/>
          </w:rPr>
          <w:delText>doença de Crohn e colite ulcerosa</w:delText>
        </w:r>
        <w:r w:rsidRPr="008912CF">
          <w:rPr>
            <w:iCs/>
            <w:sz w:val="20"/>
            <w:szCs w:val="22"/>
          </w:rPr>
          <w:delText>,</w:delText>
        </w:r>
        <w:r w:rsidRPr="008912CF">
          <w:rPr>
            <w:sz w:val="22"/>
            <w:szCs w:val="22"/>
          </w:rPr>
          <w:delText xml:space="preserve"> com um período de controlo compreendido entre 4 a 52</w:delText>
        </w:r>
        <w:r>
          <w:rPr>
            <w:sz w:val="22"/>
            <w:szCs w:val="22"/>
          </w:rPr>
          <w:delText> </w:delText>
        </w:r>
        <w:r w:rsidRPr="008912CF">
          <w:rPr>
            <w:sz w:val="22"/>
            <w:szCs w:val="22"/>
          </w:rPr>
          <w:delText>semanas, os aumentos de ALT</w:delText>
        </w:r>
        <w:r>
          <w:rPr>
            <w:sz w:val="22"/>
            <w:szCs w:val="22"/>
          </w:rPr>
          <w:delText> </w:delText>
        </w:r>
        <w:r w:rsidRPr="008912CF">
          <w:rPr>
            <w:sz w:val="22"/>
          </w:rPr>
          <w:delText>≥</w:delText>
        </w:r>
        <w:r>
          <w:rPr>
            <w:sz w:val="22"/>
          </w:rPr>
          <w:delText> </w:delText>
        </w:r>
        <w:r w:rsidRPr="008912CF">
          <w:rPr>
            <w:sz w:val="22"/>
          </w:rPr>
          <w:delText>3</w:delText>
        </w:r>
        <w:r>
          <w:rPr>
            <w:sz w:val="22"/>
          </w:rPr>
          <w:delText> </w:delText>
        </w:r>
        <w:r w:rsidRPr="008912CF">
          <w:rPr>
            <w:sz w:val="22"/>
          </w:rPr>
          <w:delText>LNS ocorreram em 0,9</w:delText>
        </w:r>
        <w:r w:rsidR="009343EF">
          <w:rPr>
            <w:sz w:val="22"/>
          </w:rPr>
          <w:delText>%</w:delText>
        </w:r>
        <w:r w:rsidRPr="008912CF">
          <w:rPr>
            <w:sz w:val="22"/>
          </w:rPr>
          <w:delText xml:space="preserve"> dos doentes tratados com Humira e em 0,9</w:delText>
        </w:r>
        <w:r w:rsidR="009343EF">
          <w:rPr>
            <w:sz w:val="22"/>
          </w:rPr>
          <w:delText>%</w:delText>
        </w:r>
        <w:r w:rsidRPr="008912CF">
          <w:rPr>
            <w:sz w:val="22"/>
          </w:rPr>
          <w:delText xml:space="preserve"> dos doentes tratados com controlo</w:delText>
        </w:r>
        <w:r w:rsidRPr="008912CF">
          <w:rPr>
            <w:sz w:val="20"/>
            <w:szCs w:val="22"/>
          </w:rPr>
          <w:delText>.</w:delText>
        </w:r>
      </w:del>
    </w:p>
    <w:p w14:paraId="20336C05" w14:textId="0C6FA338" w:rsidR="004462A0" w:rsidRPr="008912CF" w:rsidRDefault="004462A0" w:rsidP="004462A0">
      <w:pPr>
        <w:rPr>
          <w:del w:id="1536" w:author="AbbVie2" w:date="2025-05-13T16:36:00Z"/>
          <w:sz w:val="22"/>
          <w:szCs w:val="22"/>
        </w:rPr>
      </w:pPr>
    </w:p>
    <w:p w14:paraId="6FC3B79C" w14:textId="21969C92" w:rsidR="004462A0" w:rsidRPr="008912CF" w:rsidRDefault="00615769" w:rsidP="004462A0">
      <w:pPr>
        <w:rPr>
          <w:del w:id="1537" w:author="AbbVie2" w:date="2025-05-13T16:36:00Z"/>
          <w:sz w:val="22"/>
          <w:szCs w:val="22"/>
        </w:rPr>
      </w:pPr>
      <w:del w:id="1538" w:author="AbbVie2" w:date="2025-05-13T16:36:00Z">
        <w:r w:rsidRPr="008912CF">
          <w:rPr>
            <w:sz w:val="22"/>
            <w:szCs w:val="22"/>
          </w:rPr>
          <w:delText>No ensaio clínico de Fase 3 de Humira, em doentes com</w:delText>
        </w:r>
        <w:r w:rsidRPr="008912CF">
          <w:rPr>
            <w:i/>
            <w:iCs/>
            <w:sz w:val="22"/>
            <w:szCs w:val="22"/>
          </w:rPr>
          <w:delText xml:space="preserve"> </w:delText>
        </w:r>
        <w:r w:rsidRPr="008912CF">
          <w:rPr>
            <w:iCs/>
            <w:sz w:val="22"/>
            <w:szCs w:val="22"/>
          </w:rPr>
          <w:delText xml:space="preserve">doença de Crohn pediátrica, que avaliou a eficácia e segurança de dois regimes posológicos </w:delText>
        </w:r>
        <w:r w:rsidRPr="008912CF">
          <w:rPr>
            <w:sz w:val="22"/>
            <w:szCs w:val="22"/>
          </w:rPr>
          <w:delText>de manutenção e indução ajustados ao peso corporal</w:delText>
        </w:r>
        <w:r w:rsidRPr="008912CF">
          <w:rPr>
            <w:iCs/>
            <w:sz w:val="22"/>
            <w:szCs w:val="22"/>
          </w:rPr>
          <w:delText xml:space="preserve"> durante 52 semanas de tratamento,</w:delText>
        </w:r>
        <w:r w:rsidRPr="008912CF">
          <w:rPr>
            <w:sz w:val="22"/>
            <w:szCs w:val="22"/>
          </w:rPr>
          <w:delText xml:space="preserve"> os aumentos de ALT</w:delText>
        </w:r>
        <w:r>
          <w:rPr>
            <w:sz w:val="22"/>
            <w:szCs w:val="22"/>
          </w:rPr>
          <w:delText> </w:delText>
        </w:r>
        <w:r w:rsidRPr="008912CF">
          <w:rPr>
            <w:sz w:val="22"/>
            <w:szCs w:val="22"/>
          </w:rPr>
          <w:delText>≥</w:delText>
        </w:r>
        <w:r>
          <w:rPr>
            <w:sz w:val="22"/>
            <w:szCs w:val="22"/>
          </w:rPr>
          <w:delText> </w:delText>
        </w:r>
        <w:r w:rsidRPr="008912CF">
          <w:rPr>
            <w:sz w:val="22"/>
            <w:szCs w:val="22"/>
          </w:rPr>
          <w:delText>3 LNS ocorreram em 2,6</w:delText>
        </w:r>
        <w:r w:rsidR="009343EF">
          <w:rPr>
            <w:sz w:val="22"/>
            <w:szCs w:val="22"/>
          </w:rPr>
          <w:delText>%</w:delText>
        </w:r>
        <w:r w:rsidRPr="008912CF">
          <w:rPr>
            <w:sz w:val="22"/>
            <w:szCs w:val="22"/>
          </w:rPr>
          <w:delText xml:space="preserve"> (5/192) dos</w:delText>
        </w:r>
        <w:r w:rsidR="0098579F">
          <w:rPr>
            <w:sz w:val="22"/>
            <w:szCs w:val="22"/>
          </w:rPr>
          <w:delText xml:space="preserve"> </w:delText>
        </w:r>
        <w:r w:rsidRPr="008912CF">
          <w:rPr>
            <w:sz w:val="22"/>
            <w:szCs w:val="22"/>
          </w:rPr>
          <w:delText>doentes</w:delText>
        </w:r>
        <w:r w:rsidR="0098579F">
          <w:rPr>
            <w:sz w:val="22"/>
            <w:szCs w:val="22"/>
          </w:rPr>
          <w:delText>, dos quais 4</w:delText>
        </w:r>
        <w:r w:rsidRPr="008912CF">
          <w:rPr>
            <w:sz w:val="22"/>
            <w:szCs w:val="22"/>
          </w:rPr>
          <w:delText xml:space="preserve"> receberam medicação imunossupressora concomitante  no início do tratamento.</w:delText>
        </w:r>
      </w:del>
    </w:p>
    <w:p w14:paraId="4267CA91" w14:textId="2A015CEA" w:rsidR="004462A0" w:rsidRPr="008912CF" w:rsidRDefault="004462A0" w:rsidP="004462A0">
      <w:pPr>
        <w:rPr>
          <w:del w:id="1539" w:author="AbbVie2" w:date="2025-05-13T16:36:00Z"/>
          <w:sz w:val="22"/>
          <w:szCs w:val="22"/>
        </w:rPr>
      </w:pPr>
    </w:p>
    <w:p w14:paraId="22D2EFEC" w14:textId="6B7ED196" w:rsidR="004462A0" w:rsidRPr="008912CF" w:rsidRDefault="00615769" w:rsidP="004462A0">
      <w:pPr>
        <w:rPr>
          <w:del w:id="1540" w:author="AbbVie2" w:date="2025-05-13T16:36:00Z"/>
          <w:sz w:val="22"/>
          <w:szCs w:val="22"/>
        </w:rPr>
      </w:pPr>
      <w:del w:id="1541" w:author="AbbVie2" w:date="2025-05-13T16:36:00Z">
        <w:r w:rsidRPr="008912CF">
          <w:rPr>
            <w:sz w:val="22"/>
            <w:szCs w:val="22"/>
          </w:rPr>
          <w:delText>Nos ensaios clínicos controlados de Fase 3 de Humira, em doentes com</w:delText>
        </w:r>
        <w:r w:rsidRPr="008912CF">
          <w:rPr>
            <w:iCs/>
            <w:sz w:val="22"/>
            <w:szCs w:val="22"/>
          </w:rPr>
          <w:delText xml:space="preserve"> psoríase em placas,</w:delText>
        </w:r>
        <w:r w:rsidRPr="008912CF">
          <w:rPr>
            <w:sz w:val="22"/>
            <w:szCs w:val="22"/>
          </w:rPr>
          <w:delText xml:space="preserve"> com um período de controlo compreendido entre 12 a 24 semanas, os aumentos de ALT</w:delText>
        </w:r>
        <w:r>
          <w:rPr>
            <w:sz w:val="22"/>
            <w:szCs w:val="22"/>
          </w:rPr>
          <w:delText> </w:delText>
        </w:r>
        <w:r w:rsidRPr="008912CF">
          <w:rPr>
            <w:sz w:val="22"/>
            <w:szCs w:val="22"/>
          </w:rPr>
          <w:delText>≥ 3</w:delText>
        </w:r>
        <w:r>
          <w:rPr>
            <w:sz w:val="22"/>
            <w:szCs w:val="22"/>
          </w:rPr>
          <w:delText> </w:delText>
        </w:r>
        <w:r w:rsidRPr="008912CF">
          <w:rPr>
            <w:sz w:val="22"/>
            <w:szCs w:val="22"/>
          </w:rPr>
          <w:delText>LNS ocorreram em 1,8</w:delText>
        </w:r>
        <w:r w:rsidR="009343EF">
          <w:rPr>
            <w:sz w:val="22"/>
            <w:szCs w:val="22"/>
          </w:rPr>
          <w:delText>%</w:delText>
        </w:r>
        <w:r w:rsidRPr="008912CF">
          <w:rPr>
            <w:sz w:val="22"/>
            <w:szCs w:val="22"/>
          </w:rPr>
          <w:delText xml:space="preserve"> dos doentes tratados com Humira e em 1,8</w:delText>
        </w:r>
        <w:r w:rsidR="009343EF">
          <w:rPr>
            <w:sz w:val="22"/>
            <w:szCs w:val="22"/>
          </w:rPr>
          <w:delText>%</w:delText>
        </w:r>
        <w:r w:rsidRPr="008912CF">
          <w:rPr>
            <w:sz w:val="22"/>
            <w:szCs w:val="22"/>
          </w:rPr>
          <w:delText xml:space="preserve"> dos doentes tratados com controlo.</w:delText>
        </w:r>
      </w:del>
    </w:p>
    <w:p w14:paraId="114B0302" w14:textId="7B3B5B67" w:rsidR="004462A0" w:rsidRPr="008912CF" w:rsidRDefault="004462A0" w:rsidP="004462A0">
      <w:pPr>
        <w:rPr>
          <w:del w:id="1542" w:author="AbbVie2" w:date="2025-05-13T16:36:00Z"/>
          <w:sz w:val="22"/>
          <w:szCs w:val="22"/>
        </w:rPr>
      </w:pPr>
    </w:p>
    <w:p w14:paraId="05BF2824" w14:textId="3A72761C" w:rsidR="004462A0" w:rsidRPr="008912CF" w:rsidRDefault="00615769" w:rsidP="004462A0">
      <w:pPr>
        <w:rPr>
          <w:del w:id="1543" w:author="AbbVie2" w:date="2025-05-13T16:36:00Z"/>
          <w:sz w:val="22"/>
          <w:szCs w:val="22"/>
        </w:rPr>
      </w:pPr>
      <w:del w:id="1544" w:author="AbbVie2" w:date="2025-05-13T16:36:00Z">
        <w:r w:rsidRPr="008912CF">
          <w:rPr>
            <w:sz w:val="22"/>
            <w:szCs w:val="22"/>
          </w:rPr>
          <w:delText>Nos ensaios clínicos de Fase 3 de Humira</w:delText>
        </w:r>
        <w:r w:rsidR="00A4692F">
          <w:rPr>
            <w:sz w:val="22"/>
            <w:szCs w:val="22"/>
          </w:rPr>
          <w:delText>,</w:delText>
        </w:r>
        <w:r w:rsidRPr="008912CF">
          <w:rPr>
            <w:sz w:val="22"/>
            <w:szCs w:val="22"/>
          </w:rPr>
          <w:delText xml:space="preserve"> em doentes pediátricos com psoríase em placas, não se registaram aumentos de ALT</w:delText>
        </w:r>
        <w:r>
          <w:rPr>
            <w:sz w:val="22"/>
            <w:szCs w:val="22"/>
          </w:rPr>
          <w:delText> </w:delText>
        </w:r>
        <w:r w:rsidRPr="008912CF">
          <w:rPr>
            <w:sz w:val="22"/>
            <w:szCs w:val="22"/>
          </w:rPr>
          <w:delText>≥</w:delText>
        </w:r>
        <w:r>
          <w:rPr>
            <w:sz w:val="22"/>
            <w:szCs w:val="22"/>
          </w:rPr>
          <w:delText> </w:delText>
        </w:r>
        <w:r w:rsidRPr="008912CF">
          <w:rPr>
            <w:sz w:val="22"/>
            <w:szCs w:val="22"/>
          </w:rPr>
          <w:delText>3</w:delText>
        </w:r>
        <w:r>
          <w:rPr>
            <w:sz w:val="22"/>
            <w:szCs w:val="22"/>
          </w:rPr>
          <w:delText> </w:delText>
        </w:r>
        <w:r w:rsidRPr="008912CF">
          <w:rPr>
            <w:sz w:val="22"/>
            <w:szCs w:val="22"/>
          </w:rPr>
          <w:delText>LNS.</w:delText>
        </w:r>
      </w:del>
    </w:p>
    <w:p w14:paraId="11739A57" w14:textId="5429F387" w:rsidR="004462A0" w:rsidRPr="008912CF" w:rsidRDefault="004462A0" w:rsidP="004462A0">
      <w:pPr>
        <w:rPr>
          <w:del w:id="1545" w:author="AbbVie2" w:date="2025-05-13T16:36:00Z"/>
          <w:sz w:val="22"/>
          <w:szCs w:val="22"/>
        </w:rPr>
      </w:pPr>
    </w:p>
    <w:p w14:paraId="1AF4A3FF" w14:textId="222DA646" w:rsidR="004462A0" w:rsidRPr="008912CF" w:rsidRDefault="00615769" w:rsidP="004462A0">
      <w:pPr>
        <w:rPr>
          <w:del w:id="1546" w:author="AbbVie2" w:date="2025-05-13T16:36:00Z"/>
          <w:sz w:val="22"/>
          <w:szCs w:val="22"/>
        </w:rPr>
      </w:pPr>
      <w:del w:id="1547" w:author="AbbVie2" w:date="2025-05-13T16:36:00Z">
        <w:r w:rsidRPr="008912CF">
          <w:rPr>
            <w:sz w:val="22"/>
            <w:szCs w:val="22"/>
          </w:rPr>
          <w:delText>Nos ensaios clínicos controlados de Humira (doses iniciais de 160 mg na Semana 0 e 80 mg na Semana 2, seguid</w:delText>
        </w:r>
        <w:r>
          <w:rPr>
            <w:sz w:val="22"/>
            <w:szCs w:val="22"/>
          </w:rPr>
          <w:delText>a</w:delText>
        </w:r>
        <w:r w:rsidRPr="008912CF">
          <w:rPr>
            <w:sz w:val="22"/>
            <w:szCs w:val="22"/>
          </w:rPr>
          <w:delText xml:space="preserve"> de 40 mg por semana a partir da Semana 4), em doentes com hidradenite supurativa, com um período de controlo compreendido entre 12 e 16 semanas, os aumentos de ALT</w:delText>
        </w:r>
        <w:r>
          <w:rPr>
            <w:sz w:val="22"/>
            <w:szCs w:val="22"/>
          </w:rPr>
          <w:delText> </w:delText>
        </w:r>
        <w:r w:rsidRPr="008912CF">
          <w:rPr>
            <w:sz w:val="22"/>
            <w:szCs w:val="22"/>
          </w:rPr>
          <w:delText>≥</w:delText>
        </w:r>
        <w:r>
          <w:rPr>
            <w:sz w:val="22"/>
            <w:szCs w:val="22"/>
          </w:rPr>
          <w:delText> </w:delText>
        </w:r>
        <w:r w:rsidRPr="008912CF">
          <w:rPr>
            <w:sz w:val="22"/>
            <w:szCs w:val="22"/>
          </w:rPr>
          <w:delText>3</w:delText>
        </w:r>
        <w:r>
          <w:rPr>
            <w:sz w:val="22"/>
            <w:szCs w:val="22"/>
          </w:rPr>
          <w:delText> </w:delText>
        </w:r>
        <w:r w:rsidRPr="008912CF">
          <w:rPr>
            <w:sz w:val="22"/>
            <w:szCs w:val="22"/>
          </w:rPr>
          <w:delText>LN</w:delText>
        </w:r>
        <w:r w:rsidR="00FC7E81">
          <w:rPr>
            <w:sz w:val="22"/>
            <w:szCs w:val="22"/>
          </w:rPr>
          <w:delText>S</w:delText>
        </w:r>
        <w:r w:rsidRPr="008912CF">
          <w:rPr>
            <w:sz w:val="22"/>
            <w:szCs w:val="22"/>
          </w:rPr>
          <w:delText xml:space="preserve"> ocorreram em 0,3</w:delText>
        </w:r>
        <w:r w:rsidR="009343EF">
          <w:rPr>
            <w:sz w:val="22"/>
            <w:szCs w:val="22"/>
          </w:rPr>
          <w:delText>%</w:delText>
        </w:r>
        <w:r w:rsidRPr="008912CF">
          <w:rPr>
            <w:sz w:val="22"/>
            <w:szCs w:val="22"/>
          </w:rPr>
          <w:delText xml:space="preserve"> dos doentes tratados com Humira e em 0,6</w:delText>
        </w:r>
        <w:r w:rsidR="009343EF">
          <w:rPr>
            <w:sz w:val="22"/>
            <w:szCs w:val="22"/>
          </w:rPr>
          <w:delText>%</w:delText>
        </w:r>
        <w:r w:rsidRPr="008912CF">
          <w:rPr>
            <w:sz w:val="22"/>
            <w:szCs w:val="22"/>
          </w:rPr>
          <w:delText xml:space="preserve"> dos doentes tratados com controlo.</w:delText>
        </w:r>
      </w:del>
    </w:p>
    <w:p w14:paraId="36441D71" w14:textId="4C5083ED" w:rsidR="004462A0" w:rsidRDefault="004462A0" w:rsidP="004462A0">
      <w:pPr>
        <w:rPr>
          <w:del w:id="1548" w:author="AbbVie2" w:date="2025-05-13T16:36:00Z"/>
          <w:sz w:val="22"/>
          <w:szCs w:val="22"/>
        </w:rPr>
      </w:pPr>
    </w:p>
    <w:p w14:paraId="6E2A4D8B" w14:textId="59C79B26" w:rsidR="00C76DF0" w:rsidRPr="008912CF" w:rsidRDefault="00615769" w:rsidP="00C76DF0">
      <w:pPr>
        <w:rPr>
          <w:del w:id="1549" w:author="AbbVie2" w:date="2025-05-13T16:36:00Z"/>
          <w:sz w:val="22"/>
          <w:szCs w:val="22"/>
        </w:rPr>
      </w:pPr>
      <w:del w:id="1550" w:author="AbbVie2" w:date="2025-05-13T16:36:00Z">
        <w:r w:rsidRPr="008912CF">
          <w:rPr>
            <w:sz w:val="22"/>
            <w:szCs w:val="22"/>
          </w:rPr>
          <w:delText xml:space="preserve">Nos ensaios clínicos controlados de Humira (doses iniciais de </w:delText>
        </w:r>
        <w:r>
          <w:rPr>
            <w:sz w:val="22"/>
            <w:szCs w:val="22"/>
          </w:rPr>
          <w:delText>8</w:delText>
        </w:r>
        <w:r w:rsidRPr="008912CF">
          <w:rPr>
            <w:sz w:val="22"/>
            <w:szCs w:val="22"/>
          </w:rPr>
          <w:delText>0 mg na Semana 0</w:delText>
        </w:r>
        <w:r>
          <w:rPr>
            <w:sz w:val="22"/>
            <w:szCs w:val="22"/>
          </w:rPr>
          <w:delText>, seguida de 4</w:delText>
        </w:r>
        <w:r w:rsidRPr="008912CF">
          <w:rPr>
            <w:sz w:val="22"/>
            <w:szCs w:val="22"/>
          </w:rPr>
          <w:delText xml:space="preserve">0 mg </w:delText>
        </w:r>
        <w:r>
          <w:rPr>
            <w:sz w:val="22"/>
            <w:szCs w:val="22"/>
          </w:rPr>
          <w:delText>em semanas alternadas a partir da Semana 1)</w:delText>
        </w:r>
        <w:r w:rsidRPr="008912CF">
          <w:rPr>
            <w:sz w:val="22"/>
            <w:szCs w:val="22"/>
          </w:rPr>
          <w:delText xml:space="preserve">, em doentes </w:delText>
        </w:r>
        <w:r>
          <w:rPr>
            <w:sz w:val="22"/>
            <w:szCs w:val="22"/>
          </w:rPr>
          <w:delText xml:space="preserve">adultos </w:delText>
        </w:r>
        <w:r w:rsidRPr="008912CF">
          <w:rPr>
            <w:sz w:val="22"/>
            <w:szCs w:val="22"/>
          </w:rPr>
          <w:delText>com</w:delText>
        </w:r>
        <w:r>
          <w:rPr>
            <w:sz w:val="22"/>
            <w:szCs w:val="22"/>
          </w:rPr>
          <w:delText xml:space="preserve"> uveíte</w:delText>
        </w:r>
        <w:r w:rsidRPr="008912CF">
          <w:rPr>
            <w:sz w:val="22"/>
            <w:szCs w:val="22"/>
          </w:rPr>
          <w:delText xml:space="preserve">, </w:delText>
        </w:r>
        <w:r w:rsidR="00A4692F">
          <w:rPr>
            <w:sz w:val="22"/>
            <w:szCs w:val="22"/>
          </w:rPr>
          <w:delText xml:space="preserve">até </w:delText>
        </w:r>
        <w:r>
          <w:rPr>
            <w:sz w:val="22"/>
            <w:szCs w:val="22"/>
          </w:rPr>
          <w:delText>80 semanas</w:delText>
        </w:r>
        <w:r w:rsidR="00A4692F">
          <w:rPr>
            <w:sz w:val="22"/>
            <w:szCs w:val="22"/>
          </w:rPr>
          <w:delText>,</w:delText>
        </w:r>
        <w:r>
          <w:rPr>
            <w:sz w:val="22"/>
            <w:szCs w:val="22"/>
          </w:rPr>
          <w:delText xml:space="preserve"> </w:delText>
        </w:r>
        <w:r w:rsidRPr="008912CF">
          <w:rPr>
            <w:sz w:val="22"/>
            <w:szCs w:val="22"/>
          </w:rPr>
          <w:delText>com um</w:delText>
        </w:r>
        <w:r>
          <w:rPr>
            <w:sz w:val="22"/>
            <w:szCs w:val="22"/>
          </w:rPr>
          <w:delText xml:space="preserve">a exposição </w:delText>
        </w:r>
        <w:r w:rsidR="00A4692F">
          <w:rPr>
            <w:sz w:val="22"/>
            <w:szCs w:val="22"/>
          </w:rPr>
          <w:delText xml:space="preserve">mediana </w:delText>
        </w:r>
        <w:r>
          <w:rPr>
            <w:sz w:val="22"/>
            <w:szCs w:val="22"/>
          </w:rPr>
          <w:delText>de 166,5 dias e 105,0 dias</w:delText>
        </w:r>
        <w:r w:rsidR="00D01EDE">
          <w:rPr>
            <w:sz w:val="22"/>
            <w:szCs w:val="22"/>
          </w:rPr>
          <w:delText xml:space="preserve"> </w:delText>
        </w:r>
        <w:r w:rsidR="0098579F">
          <w:rPr>
            <w:sz w:val="22"/>
            <w:szCs w:val="22"/>
          </w:rPr>
          <w:delText xml:space="preserve">em </w:delText>
        </w:r>
        <w:r w:rsidR="00D01EDE">
          <w:rPr>
            <w:sz w:val="22"/>
            <w:szCs w:val="22"/>
          </w:rPr>
          <w:delText>doentes tratados com Humira e doentes tratados com controlo, respetivamente,</w:delText>
        </w:r>
        <w:r w:rsidRPr="008912CF">
          <w:rPr>
            <w:sz w:val="22"/>
            <w:szCs w:val="22"/>
          </w:rPr>
          <w:delText xml:space="preserve"> os aumentos de ALT</w:delText>
        </w:r>
        <w:r>
          <w:rPr>
            <w:sz w:val="22"/>
            <w:szCs w:val="22"/>
          </w:rPr>
          <w:delText> </w:delText>
        </w:r>
        <w:r w:rsidRPr="008912CF">
          <w:rPr>
            <w:sz w:val="22"/>
            <w:szCs w:val="22"/>
          </w:rPr>
          <w:delText>≥</w:delText>
        </w:r>
        <w:r>
          <w:rPr>
            <w:sz w:val="22"/>
            <w:szCs w:val="22"/>
          </w:rPr>
          <w:delText> </w:delText>
        </w:r>
        <w:r w:rsidRPr="008912CF">
          <w:rPr>
            <w:sz w:val="22"/>
            <w:szCs w:val="22"/>
          </w:rPr>
          <w:delText>3</w:delText>
        </w:r>
        <w:r>
          <w:rPr>
            <w:sz w:val="22"/>
            <w:szCs w:val="22"/>
          </w:rPr>
          <w:delText> </w:delText>
        </w:r>
        <w:r w:rsidRPr="008912CF">
          <w:rPr>
            <w:sz w:val="22"/>
            <w:szCs w:val="22"/>
          </w:rPr>
          <w:delText>LN</w:delText>
        </w:r>
        <w:r w:rsidR="00FC7E81">
          <w:rPr>
            <w:sz w:val="22"/>
            <w:szCs w:val="22"/>
          </w:rPr>
          <w:delText>S</w:delText>
        </w:r>
        <w:r w:rsidRPr="008912CF">
          <w:rPr>
            <w:sz w:val="22"/>
            <w:szCs w:val="22"/>
          </w:rPr>
          <w:delText xml:space="preserve"> ocorreram em </w:delText>
        </w:r>
        <w:r w:rsidR="00D01EDE">
          <w:rPr>
            <w:sz w:val="22"/>
            <w:szCs w:val="22"/>
          </w:rPr>
          <w:delText>2</w:delText>
        </w:r>
        <w:r w:rsidRPr="008912CF">
          <w:rPr>
            <w:sz w:val="22"/>
            <w:szCs w:val="22"/>
          </w:rPr>
          <w:delText>,</w:delText>
        </w:r>
        <w:r w:rsidR="00D01EDE">
          <w:rPr>
            <w:sz w:val="22"/>
            <w:szCs w:val="22"/>
          </w:rPr>
          <w:delText>4</w:delText>
        </w:r>
        <w:r w:rsidR="009343EF">
          <w:rPr>
            <w:sz w:val="22"/>
            <w:szCs w:val="22"/>
          </w:rPr>
          <w:delText>%</w:delText>
        </w:r>
        <w:r w:rsidRPr="008912CF">
          <w:rPr>
            <w:sz w:val="22"/>
            <w:szCs w:val="22"/>
          </w:rPr>
          <w:delText xml:space="preserve"> dos doentes tratados com Humira e em </w:delText>
        </w:r>
        <w:r w:rsidR="00D01EDE">
          <w:rPr>
            <w:sz w:val="22"/>
            <w:szCs w:val="22"/>
          </w:rPr>
          <w:delText>2,4</w:delText>
        </w:r>
        <w:r w:rsidR="009343EF">
          <w:rPr>
            <w:sz w:val="22"/>
            <w:szCs w:val="22"/>
          </w:rPr>
          <w:delText>%</w:delText>
        </w:r>
        <w:r w:rsidRPr="008912CF">
          <w:rPr>
            <w:sz w:val="22"/>
            <w:szCs w:val="22"/>
          </w:rPr>
          <w:delText xml:space="preserve"> dos doentes tratados com controlo.</w:delText>
        </w:r>
      </w:del>
    </w:p>
    <w:p w14:paraId="67EDB100" w14:textId="5997EB47" w:rsidR="00C76DF0" w:rsidRDefault="00C76DF0" w:rsidP="004462A0">
      <w:pPr>
        <w:rPr>
          <w:del w:id="1551" w:author="AbbVie2" w:date="2025-05-13T16:36:00Z"/>
          <w:sz w:val="22"/>
          <w:szCs w:val="22"/>
        </w:rPr>
      </w:pPr>
    </w:p>
    <w:p w14:paraId="24AC2F3C" w14:textId="65E2B087" w:rsidR="00AA19A3" w:rsidRDefault="00615769" w:rsidP="004462A0">
      <w:pPr>
        <w:rPr>
          <w:del w:id="1552" w:author="AbbVie2" w:date="2025-05-13T16:36:00Z"/>
          <w:sz w:val="22"/>
          <w:szCs w:val="22"/>
        </w:rPr>
      </w:pPr>
      <w:del w:id="1553" w:author="AbbVie2" w:date="2025-05-13T16:36:00Z">
        <w:r w:rsidRPr="00AA19A3">
          <w:rPr>
            <w:sz w:val="22"/>
            <w:szCs w:val="22"/>
          </w:rPr>
          <w:delText>No ensaio clínico controlado de Fase 3 de Humira, em doentes com colite ulcerosa pediátrica (N=93), que avaliou a eficácia e segurança de uma dose de ma</w:delText>
        </w:r>
        <w:r w:rsidR="007916BF">
          <w:rPr>
            <w:sz w:val="22"/>
            <w:szCs w:val="22"/>
          </w:rPr>
          <w:delText>nutenção de 0,6 mg/kg (máximo de</w:delText>
        </w:r>
        <w:r w:rsidRPr="00AA19A3">
          <w:rPr>
            <w:sz w:val="22"/>
            <w:szCs w:val="22"/>
          </w:rPr>
          <w:delText xml:space="preserve"> 40 mg) em semanas alternadas (N=31) e de uma dose</w:delText>
        </w:r>
        <w:r w:rsidR="007916BF">
          <w:rPr>
            <w:sz w:val="22"/>
            <w:szCs w:val="22"/>
          </w:rPr>
          <w:delText xml:space="preserve"> de manutenção de 0,6 mg/kg (máximo de</w:delText>
        </w:r>
        <w:r w:rsidRPr="00AA19A3">
          <w:rPr>
            <w:sz w:val="22"/>
            <w:szCs w:val="22"/>
          </w:rPr>
          <w:delText xml:space="preserve"> 40 mg) semanalmente (N=32), após uma dose de indução ajustada ao peso corporal de 2,4 mg/kg (</w:delText>
        </w:r>
        <w:r w:rsidR="007916BF">
          <w:rPr>
            <w:sz w:val="22"/>
            <w:szCs w:val="22"/>
          </w:rPr>
          <w:delText>máximo de</w:delText>
        </w:r>
        <w:r w:rsidRPr="00AA19A3">
          <w:rPr>
            <w:sz w:val="22"/>
            <w:szCs w:val="22"/>
          </w:rPr>
          <w:delText xml:space="preserve"> 160 mg) na Semana 0 e </w:delText>
        </w:r>
        <w:r w:rsidR="00140561">
          <w:rPr>
            <w:sz w:val="22"/>
            <w:szCs w:val="22"/>
          </w:rPr>
          <w:delText xml:space="preserve">na </w:delText>
        </w:r>
        <w:r w:rsidRPr="00AA19A3">
          <w:rPr>
            <w:sz w:val="22"/>
            <w:szCs w:val="22"/>
          </w:rPr>
          <w:delText>Semana 1, e de 1,2 mg/kg (</w:delText>
        </w:r>
        <w:r w:rsidR="007916BF">
          <w:rPr>
            <w:sz w:val="22"/>
            <w:szCs w:val="22"/>
          </w:rPr>
          <w:delText>máximo de</w:delText>
        </w:r>
        <w:r w:rsidRPr="00AA19A3">
          <w:rPr>
            <w:sz w:val="22"/>
            <w:szCs w:val="22"/>
          </w:rPr>
          <w:delText> 80 mg) na Semana 2 (N=63), ou uma dose de indução de 2,4 mg/kg (</w:delText>
        </w:r>
        <w:r w:rsidR="007916BF">
          <w:rPr>
            <w:sz w:val="22"/>
            <w:szCs w:val="22"/>
          </w:rPr>
          <w:delText>máximo de</w:delText>
        </w:r>
        <w:r w:rsidRPr="00AA19A3">
          <w:rPr>
            <w:sz w:val="22"/>
            <w:szCs w:val="22"/>
          </w:rPr>
          <w:delText> 160 mg) na Semana 0, placebo na Semana 1, e 1,2 mg/kg (</w:delText>
        </w:r>
        <w:r w:rsidR="007916BF">
          <w:rPr>
            <w:sz w:val="22"/>
            <w:szCs w:val="22"/>
          </w:rPr>
          <w:delText>máximo de</w:delText>
        </w:r>
        <w:r w:rsidRPr="00AA19A3">
          <w:rPr>
            <w:sz w:val="22"/>
            <w:szCs w:val="22"/>
          </w:rPr>
          <w:delText> 80 mg) na Semana 2 (N=30), os aumentos de ALT ≥ 3 LNS ocorreram em 1,1% (1/93) dos doent</w:delText>
        </w:r>
        <w:r w:rsidRPr="00AA19A3">
          <w:rPr>
            <w:sz w:val="22"/>
            <w:szCs w:val="22"/>
          </w:rPr>
          <w:delText>es.</w:delText>
        </w:r>
      </w:del>
    </w:p>
    <w:p w14:paraId="7C9CC94A" w14:textId="449B27F3" w:rsidR="00AA19A3" w:rsidRPr="008912CF" w:rsidRDefault="00AA19A3" w:rsidP="004462A0">
      <w:pPr>
        <w:rPr>
          <w:del w:id="1554" w:author="AbbVie2" w:date="2025-05-13T16:36:00Z"/>
          <w:sz w:val="22"/>
          <w:szCs w:val="22"/>
        </w:rPr>
      </w:pPr>
    </w:p>
    <w:p w14:paraId="25E31A70" w14:textId="764A4A78" w:rsidR="004462A0" w:rsidRPr="008912CF" w:rsidRDefault="00615769" w:rsidP="004462A0">
      <w:pPr>
        <w:rPr>
          <w:del w:id="1555" w:author="AbbVie2" w:date="2025-05-13T16:36:00Z"/>
          <w:sz w:val="22"/>
          <w:szCs w:val="22"/>
        </w:rPr>
      </w:pPr>
      <w:del w:id="1556" w:author="AbbVie2" w:date="2025-05-13T16:36:00Z">
        <w:r w:rsidRPr="008912CF">
          <w:rPr>
            <w:sz w:val="22"/>
            <w:szCs w:val="22"/>
          </w:rPr>
          <w:delText>Nos ensaios clínicos, em todas as indicações, os doentes com ALT aumentada estavam assintomáticos</w:delText>
        </w:r>
        <w:r w:rsidR="00A4692F">
          <w:rPr>
            <w:sz w:val="22"/>
            <w:szCs w:val="22"/>
          </w:rPr>
          <w:delText>,</w:delText>
        </w:r>
        <w:r w:rsidRPr="008912CF">
          <w:rPr>
            <w:sz w:val="22"/>
            <w:szCs w:val="22"/>
          </w:rPr>
          <w:delText xml:space="preserve"> e na maioria dos casos os aumentos foram transitórios e resolvidos com a continuação do tratamento. Contudo, foram também notificadas, em fase de pós</w:delText>
        </w:r>
        <w:r w:rsidR="00A4692F">
          <w:rPr>
            <w:sz w:val="22"/>
            <w:szCs w:val="22"/>
          </w:rPr>
          <w:delText>-</w:delText>
        </w:r>
        <w:r w:rsidRPr="008912CF">
          <w:rPr>
            <w:sz w:val="22"/>
            <w:szCs w:val="22"/>
          </w:rPr>
          <w:delText>comercialização, insuficiência hepática e afeções hepáticas menos graves, que podem preceder a insuficiência hepática, tal como hepatite, incluindo hepatite autoimune, em doentes tratados com adalimumab.</w:delText>
        </w:r>
      </w:del>
    </w:p>
    <w:p w14:paraId="147A0C96" w14:textId="1B17DBDA" w:rsidR="004462A0" w:rsidRPr="008912CF" w:rsidRDefault="004462A0" w:rsidP="004462A0">
      <w:pPr>
        <w:pStyle w:val="EMEANormal"/>
        <w:rPr>
          <w:del w:id="1557" w:author="AbbVie2" w:date="2025-05-13T16:36:00Z"/>
          <w:u w:val="single"/>
          <w:lang w:val="pt-PT"/>
        </w:rPr>
      </w:pPr>
    </w:p>
    <w:p w14:paraId="29419E6D" w14:textId="7A963533" w:rsidR="004462A0" w:rsidRPr="008912CF" w:rsidRDefault="00615769" w:rsidP="004462A0">
      <w:pPr>
        <w:pStyle w:val="EMEANormal"/>
        <w:rPr>
          <w:del w:id="1558" w:author="AbbVie2" w:date="2025-05-13T16:36:00Z"/>
          <w:szCs w:val="22"/>
          <w:u w:val="single"/>
          <w:lang w:val="pt-PT"/>
        </w:rPr>
      </w:pPr>
      <w:del w:id="1559" w:author="AbbVie2" w:date="2025-05-13T16:36:00Z">
        <w:r w:rsidRPr="008912CF">
          <w:rPr>
            <w:szCs w:val="22"/>
            <w:u w:val="single"/>
            <w:lang w:val="pt-PT"/>
          </w:rPr>
          <w:delText>Administração concomitante com azatioprina/6-mercaptopurina</w:delText>
        </w:r>
      </w:del>
    </w:p>
    <w:p w14:paraId="55677D75" w14:textId="6F83E6ED" w:rsidR="004462A0" w:rsidRPr="008912CF" w:rsidRDefault="004462A0" w:rsidP="004462A0">
      <w:pPr>
        <w:pStyle w:val="EMEANormal"/>
        <w:rPr>
          <w:del w:id="1560" w:author="AbbVie2" w:date="2025-05-13T16:36:00Z"/>
          <w:iCs/>
          <w:szCs w:val="22"/>
          <w:lang w:val="pt-PT"/>
        </w:rPr>
      </w:pPr>
    </w:p>
    <w:p w14:paraId="7E44E4BD" w14:textId="4F6A1D42" w:rsidR="004462A0" w:rsidRPr="008912CF" w:rsidRDefault="00615769" w:rsidP="004462A0">
      <w:pPr>
        <w:autoSpaceDE w:val="0"/>
        <w:autoSpaceDN w:val="0"/>
        <w:adjustRightInd w:val="0"/>
        <w:rPr>
          <w:del w:id="1561" w:author="AbbVie2" w:date="2025-05-13T16:36:00Z"/>
          <w:bCs/>
        </w:rPr>
      </w:pPr>
      <w:del w:id="1562" w:author="AbbVie2" w:date="2025-05-13T16:36:00Z">
        <w:r w:rsidRPr="008912CF">
          <w:rPr>
            <w:sz w:val="22"/>
            <w:szCs w:val="22"/>
          </w:rPr>
          <w:delText>Em ensaios realizados em adultos com doença de Crohn, com administração concomitante de Humira e azatioprina/6-mercaptopurina, foram observados acontecimentos adversos com uma maior incidência de neoplasias e infeções graves, quando comparados com a utilização de Humira isoladamente</w:delText>
        </w:r>
        <w:r w:rsidRPr="008912CF">
          <w:delText>.</w:delText>
        </w:r>
      </w:del>
    </w:p>
    <w:p w14:paraId="340834CD" w14:textId="34F1495D" w:rsidR="004462A0" w:rsidRPr="008912CF" w:rsidRDefault="004462A0" w:rsidP="004462A0">
      <w:pPr>
        <w:rPr>
          <w:del w:id="1563" w:author="AbbVie2" w:date="2025-05-13T16:36:00Z"/>
          <w:sz w:val="22"/>
          <w:szCs w:val="22"/>
          <w:u w:val="single"/>
        </w:rPr>
      </w:pPr>
    </w:p>
    <w:p w14:paraId="39DE65FA" w14:textId="18D68442" w:rsidR="004462A0" w:rsidRPr="008912CF" w:rsidRDefault="00615769" w:rsidP="004462A0">
      <w:pPr>
        <w:suppressAutoHyphens/>
        <w:rPr>
          <w:del w:id="1564" w:author="AbbVie2" w:date="2025-05-13T16:36:00Z"/>
          <w:sz w:val="22"/>
          <w:szCs w:val="22"/>
          <w:u w:val="single"/>
        </w:rPr>
      </w:pPr>
      <w:del w:id="1565" w:author="AbbVie2" w:date="2025-05-13T16:36:00Z">
        <w:r w:rsidRPr="008912CF">
          <w:rPr>
            <w:sz w:val="22"/>
            <w:szCs w:val="22"/>
            <w:u w:val="single"/>
          </w:rPr>
          <w:delText>Notificação de suspeitas de reações adversas</w:delText>
        </w:r>
      </w:del>
    </w:p>
    <w:p w14:paraId="23FB08EE" w14:textId="789C8C93" w:rsidR="004462A0" w:rsidRPr="008912CF" w:rsidRDefault="004462A0" w:rsidP="004462A0">
      <w:pPr>
        <w:suppressAutoHyphens/>
        <w:rPr>
          <w:del w:id="1566" w:author="AbbVie2" w:date="2025-05-13T16:36:00Z"/>
          <w:sz w:val="22"/>
          <w:szCs w:val="22"/>
        </w:rPr>
      </w:pPr>
    </w:p>
    <w:p w14:paraId="70925585" w14:textId="6E58B2D7" w:rsidR="004462A0" w:rsidRPr="008912CF" w:rsidRDefault="00615769" w:rsidP="004462A0">
      <w:pPr>
        <w:suppressAutoHyphens/>
        <w:rPr>
          <w:del w:id="1567" w:author="AbbVie2" w:date="2025-05-13T16:36:00Z"/>
          <w:sz w:val="22"/>
          <w:szCs w:val="22"/>
        </w:rPr>
      </w:pPr>
      <w:del w:id="1568" w:author="AbbVie2" w:date="2025-05-13T16:36:00Z">
        <w:r w:rsidRPr="008912CF">
          <w:rPr>
            <w:sz w:val="22"/>
            <w:szCs w:val="22"/>
          </w:rPr>
          <w:delText>A notificação de suspeitas de reações adversas após a autorização do medicamento é importante</w:delText>
        </w:r>
        <w:r w:rsidR="00A4692F">
          <w:rPr>
            <w:sz w:val="22"/>
            <w:szCs w:val="22"/>
          </w:rPr>
          <w:delText>, uma vez que</w:delText>
        </w:r>
        <w:r w:rsidRPr="008912CF">
          <w:rPr>
            <w:sz w:val="22"/>
            <w:szCs w:val="22"/>
          </w:rPr>
          <w:delText xml:space="preserve"> permite uma monitorização contínua da relação benefício</w:delText>
        </w:r>
        <w:r w:rsidR="00A4692F">
          <w:rPr>
            <w:sz w:val="22"/>
            <w:szCs w:val="22"/>
          </w:rPr>
          <w:delText>-</w:delText>
        </w:r>
        <w:r w:rsidRPr="008912CF">
          <w:rPr>
            <w:sz w:val="22"/>
            <w:szCs w:val="22"/>
          </w:rPr>
          <w:delText xml:space="preserve">risco do medicamento. Pede-se aos profissionais de saúde que notifiquem quaisquer suspeitas de reações adversas através </w:delText>
        </w:r>
        <w:r w:rsidRPr="008912CF">
          <w:rPr>
            <w:sz w:val="22"/>
            <w:szCs w:val="22"/>
            <w:highlight w:val="lightGray"/>
          </w:rPr>
          <w:delText xml:space="preserve">do sistema nacional de notificação mencionado no </w:delText>
        </w:r>
        <w:r>
          <w:fldChar w:fldCharType="begin"/>
        </w:r>
        <w:r>
          <w:delInstrText>HYPERLINK "http://www.ema.europa.eu/docs/en_GB/document_library/Template_or_form/2013/03/WC500139752.doc"</w:delInstrText>
        </w:r>
        <w:r>
          <w:fldChar w:fldCharType="separate"/>
        </w:r>
        <w:r w:rsidRPr="008912CF">
          <w:rPr>
            <w:rStyle w:val="Hyperlink"/>
            <w:sz w:val="22"/>
            <w:szCs w:val="22"/>
            <w:highlight w:val="lightGray"/>
          </w:rPr>
          <w:delText>Apêndice V</w:delText>
        </w:r>
        <w:r>
          <w:fldChar w:fldCharType="end"/>
        </w:r>
        <w:r w:rsidRPr="008912CF">
          <w:rPr>
            <w:sz w:val="22"/>
            <w:szCs w:val="22"/>
            <w:highlight w:val="lightGray"/>
          </w:rPr>
          <w:delText>.</w:delText>
        </w:r>
      </w:del>
    </w:p>
    <w:p w14:paraId="38E7BEF6" w14:textId="5BD1D412" w:rsidR="004462A0" w:rsidRPr="008912CF" w:rsidRDefault="004462A0" w:rsidP="004462A0">
      <w:pPr>
        <w:rPr>
          <w:del w:id="1569" w:author="AbbVie2" w:date="2025-05-13T16:36:00Z"/>
          <w:sz w:val="22"/>
          <w:szCs w:val="22"/>
          <w:u w:val="single"/>
        </w:rPr>
      </w:pPr>
    </w:p>
    <w:p w14:paraId="2D95AFB8" w14:textId="6D64D88B" w:rsidR="004462A0" w:rsidRPr="008912CF" w:rsidRDefault="00615769" w:rsidP="004E29A4">
      <w:pPr>
        <w:keepNext/>
        <w:ind w:left="567" w:hanging="567"/>
        <w:rPr>
          <w:del w:id="1570" w:author="AbbVie2" w:date="2025-05-13T16:36:00Z"/>
          <w:sz w:val="22"/>
          <w:szCs w:val="22"/>
        </w:rPr>
      </w:pPr>
      <w:del w:id="1571" w:author="AbbVie2" w:date="2025-05-13T16:36:00Z">
        <w:r w:rsidRPr="008912CF">
          <w:rPr>
            <w:b/>
            <w:sz w:val="22"/>
            <w:szCs w:val="22"/>
          </w:rPr>
          <w:delText>4.9</w:delText>
        </w:r>
        <w:r w:rsidRPr="008912CF">
          <w:rPr>
            <w:b/>
            <w:sz w:val="22"/>
            <w:szCs w:val="22"/>
          </w:rPr>
          <w:tab/>
          <w:delText xml:space="preserve">Sobredosagem </w:delText>
        </w:r>
      </w:del>
    </w:p>
    <w:p w14:paraId="62830334" w14:textId="50D44282" w:rsidR="004462A0" w:rsidRPr="008912CF" w:rsidRDefault="004462A0" w:rsidP="004E29A4">
      <w:pPr>
        <w:keepNext/>
        <w:rPr>
          <w:del w:id="1572" w:author="AbbVie2" w:date="2025-05-13T16:36:00Z"/>
          <w:sz w:val="22"/>
          <w:szCs w:val="22"/>
        </w:rPr>
      </w:pPr>
    </w:p>
    <w:p w14:paraId="571EC82B" w14:textId="0F836190" w:rsidR="004462A0" w:rsidRPr="008912CF" w:rsidRDefault="00615769" w:rsidP="004E29A4">
      <w:pPr>
        <w:keepNext/>
        <w:rPr>
          <w:del w:id="1573" w:author="AbbVie2" w:date="2025-05-13T16:36:00Z"/>
          <w:sz w:val="22"/>
          <w:szCs w:val="22"/>
        </w:rPr>
      </w:pPr>
      <w:del w:id="1574" w:author="AbbVie2" w:date="2025-05-13T16:36:00Z">
        <w:r w:rsidRPr="008912CF">
          <w:rPr>
            <w:sz w:val="22"/>
            <w:szCs w:val="22"/>
          </w:rPr>
          <w:delText>No decurso dos ensaios clínicos não se observou toxicidade limitativa das doses. O nível posológico mais alto avaliado correspondeu a doses intravenosas múltiplas de 10 mg/kg, que é aproximadamente 15 vezes a dose recomendada.</w:delText>
        </w:r>
      </w:del>
    </w:p>
    <w:p w14:paraId="52F1F123" w14:textId="3E429798" w:rsidR="004462A0" w:rsidRPr="008912CF" w:rsidRDefault="004462A0" w:rsidP="004462A0">
      <w:pPr>
        <w:rPr>
          <w:del w:id="1575" w:author="AbbVie2" w:date="2025-05-13T16:36:00Z"/>
          <w:sz w:val="22"/>
          <w:szCs w:val="22"/>
        </w:rPr>
      </w:pPr>
    </w:p>
    <w:p w14:paraId="26BCAB8D" w14:textId="1BBE8A99" w:rsidR="004462A0" w:rsidRPr="008912CF" w:rsidRDefault="004462A0" w:rsidP="004462A0">
      <w:pPr>
        <w:rPr>
          <w:del w:id="1576" w:author="AbbVie2" w:date="2025-05-13T16:36:00Z"/>
          <w:sz w:val="22"/>
          <w:szCs w:val="22"/>
        </w:rPr>
      </w:pPr>
    </w:p>
    <w:p w14:paraId="2F0DFFEA" w14:textId="2B884671" w:rsidR="004462A0" w:rsidRPr="008912CF" w:rsidRDefault="00615769" w:rsidP="000F4BA0">
      <w:pPr>
        <w:keepNext/>
        <w:ind w:left="567" w:hanging="567"/>
        <w:rPr>
          <w:del w:id="1577" w:author="AbbVie2" w:date="2025-05-13T16:36:00Z"/>
          <w:sz w:val="22"/>
          <w:szCs w:val="22"/>
        </w:rPr>
      </w:pPr>
      <w:del w:id="1578" w:author="AbbVie2" w:date="2025-05-13T16:36:00Z">
        <w:r w:rsidRPr="008912CF">
          <w:rPr>
            <w:b/>
            <w:sz w:val="22"/>
            <w:szCs w:val="22"/>
          </w:rPr>
          <w:delText>5.</w:delText>
        </w:r>
        <w:r w:rsidRPr="008912CF">
          <w:rPr>
            <w:b/>
            <w:sz w:val="22"/>
            <w:szCs w:val="22"/>
          </w:rPr>
          <w:tab/>
          <w:delText xml:space="preserve">PROPRIEDADES FARMACOLÓGICAS </w:delText>
        </w:r>
      </w:del>
    </w:p>
    <w:p w14:paraId="471F769E" w14:textId="2603274E" w:rsidR="004462A0" w:rsidRPr="008912CF" w:rsidRDefault="004462A0" w:rsidP="000F4BA0">
      <w:pPr>
        <w:keepNext/>
        <w:rPr>
          <w:del w:id="1579" w:author="AbbVie2" w:date="2025-05-13T16:36:00Z"/>
          <w:b/>
          <w:sz w:val="22"/>
          <w:szCs w:val="22"/>
        </w:rPr>
      </w:pPr>
    </w:p>
    <w:p w14:paraId="1D167799" w14:textId="5CC6F0A1" w:rsidR="004462A0" w:rsidRPr="008912CF" w:rsidRDefault="00615769" w:rsidP="000F4BA0">
      <w:pPr>
        <w:keepNext/>
        <w:ind w:left="567" w:hanging="567"/>
        <w:rPr>
          <w:del w:id="1580" w:author="AbbVie2" w:date="2025-05-13T16:36:00Z"/>
          <w:sz w:val="22"/>
          <w:szCs w:val="22"/>
        </w:rPr>
      </w:pPr>
      <w:del w:id="1581" w:author="AbbVie2" w:date="2025-05-13T16:36:00Z">
        <w:r w:rsidRPr="008912CF">
          <w:rPr>
            <w:b/>
            <w:sz w:val="22"/>
            <w:szCs w:val="22"/>
          </w:rPr>
          <w:delText xml:space="preserve">5.1 </w:delText>
        </w:r>
        <w:r w:rsidRPr="008912CF">
          <w:rPr>
            <w:b/>
            <w:sz w:val="22"/>
            <w:szCs w:val="22"/>
          </w:rPr>
          <w:tab/>
          <w:delText xml:space="preserve">Propriedades farmacodinâmicas </w:delText>
        </w:r>
      </w:del>
    </w:p>
    <w:p w14:paraId="01F6E727" w14:textId="570A43E0" w:rsidR="004462A0" w:rsidRPr="008912CF" w:rsidRDefault="004462A0" w:rsidP="000F4BA0">
      <w:pPr>
        <w:keepNext/>
        <w:rPr>
          <w:del w:id="1582" w:author="AbbVie2" w:date="2025-05-13T16:36:00Z"/>
          <w:sz w:val="22"/>
          <w:szCs w:val="22"/>
        </w:rPr>
      </w:pPr>
    </w:p>
    <w:p w14:paraId="780E69FA" w14:textId="32548463" w:rsidR="004462A0" w:rsidRPr="008912CF" w:rsidRDefault="00615769" w:rsidP="000F4BA0">
      <w:pPr>
        <w:keepNext/>
        <w:rPr>
          <w:del w:id="1583" w:author="AbbVie2" w:date="2025-05-13T16:36:00Z"/>
          <w:sz w:val="22"/>
          <w:szCs w:val="22"/>
        </w:rPr>
      </w:pPr>
      <w:del w:id="1584" w:author="AbbVie2" w:date="2025-05-13T16:36:00Z">
        <w:r w:rsidRPr="008912CF">
          <w:rPr>
            <w:sz w:val="22"/>
            <w:szCs w:val="22"/>
          </w:rPr>
          <w:delText>Grupo farmacoterapêutico: Imunossupressores, Inibidores do Fator de Necrose Tumoral alfa (TNF-α). Código ATC: L04AB04</w:delText>
        </w:r>
      </w:del>
    </w:p>
    <w:p w14:paraId="5C049F78" w14:textId="6F678A1A" w:rsidR="004462A0" w:rsidRPr="008912CF" w:rsidRDefault="004462A0" w:rsidP="004462A0">
      <w:pPr>
        <w:rPr>
          <w:del w:id="1585" w:author="AbbVie2" w:date="2025-05-13T16:36:00Z"/>
          <w:sz w:val="22"/>
          <w:szCs w:val="22"/>
        </w:rPr>
      </w:pPr>
    </w:p>
    <w:p w14:paraId="3866B4E8" w14:textId="4E7D5F31" w:rsidR="004462A0" w:rsidRPr="008912CF" w:rsidRDefault="00615769" w:rsidP="004462A0">
      <w:pPr>
        <w:rPr>
          <w:del w:id="1586" w:author="AbbVie2" w:date="2025-05-13T16:36:00Z"/>
          <w:sz w:val="22"/>
          <w:szCs w:val="22"/>
          <w:u w:val="single"/>
        </w:rPr>
      </w:pPr>
      <w:del w:id="1587" w:author="AbbVie2" w:date="2025-05-13T16:36:00Z">
        <w:r w:rsidRPr="008912CF">
          <w:rPr>
            <w:sz w:val="22"/>
            <w:szCs w:val="22"/>
            <w:u w:val="single"/>
          </w:rPr>
          <w:delText xml:space="preserve">Mecanismo de ação </w:delText>
        </w:r>
      </w:del>
    </w:p>
    <w:p w14:paraId="5736FADA" w14:textId="3AB9C905" w:rsidR="004462A0" w:rsidRPr="008912CF" w:rsidRDefault="004462A0" w:rsidP="004462A0">
      <w:pPr>
        <w:rPr>
          <w:del w:id="1588" w:author="AbbVie2" w:date="2025-05-13T16:36:00Z"/>
          <w:sz w:val="22"/>
          <w:szCs w:val="22"/>
        </w:rPr>
      </w:pPr>
    </w:p>
    <w:p w14:paraId="73425D7A" w14:textId="312CF7E7" w:rsidR="004462A0" w:rsidRPr="008912CF" w:rsidRDefault="00615769" w:rsidP="004462A0">
      <w:pPr>
        <w:rPr>
          <w:del w:id="1589" w:author="AbbVie2" w:date="2025-05-13T16:36:00Z"/>
          <w:sz w:val="22"/>
          <w:szCs w:val="22"/>
        </w:rPr>
      </w:pPr>
      <w:del w:id="1590" w:author="AbbVie2" w:date="2025-05-13T16:36:00Z">
        <w:r w:rsidRPr="008912CF">
          <w:rPr>
            <w:sz w:val="22"/>
            <w:szCs w:val="22"/>
          </w:rPr>
          <w:delText>Adalimumab liga-se especificamente ao TNF e neutraliza a função biológica do TNF bloqueando a sua interação com os recetores TNF p55 e p75 da superfície celular.</w:delText>
        </w:r>
      </w:del>
    </w:p>
    <w:p w14:paraId="5408FAD2" w14:textId="252F19F5" w:rsidR="004462A0" w:rsidRPr="008912CF" w:rsidRDefault="004462A0" w:rsidP="004462A0">
      <w:pPr>
        <w:rPr>
          <w:del w:id="1591" w:author="AbbVie2" w:date="2025-05-13T16:36:00Z"/>
          <w:sz w:val="22"/>
          <w:szCs w:val="22"/>
        </w:rPr>
      </w:pPr>
    </w:p>
    <w:p w14:paraId="778B1A89" w14:textId="50925604" w:rsidR="004462A0" w:rsidRPr="008912CF" w:rsidRDefault="00615769" w:rsidP="004462A0">
      <w:pPr>
        <w:rPr>
          <w:del w:id="1592" w:author="AbbVie2" w:date="2025-05-13T16:36:00Z"/>
          <w:sz w:val="22"/>
          <w:szCs w:val="22"/>
        </w:rPr>
      </w:pPr>
      <w:del w:id="1593" w:author="AbbVie2" w:date="2025-05-13T16:36:00Z">
        <w:r w:rsidRPr="008912CF">
          <w:rPr>
            <w:sz w:val="22"/>
            <w:szCs w:val="22"/>
          </w:rPr>
          <w:delText>Adalimumab modula também as respostas biológicas induzidas ou reguladas pelo TNF, incluindo as alterações dos níveis das moléculas de adesão responsáveis pela migração leucocitária (ELAM-1, VCAM-1 e ICAM-1 com uma CI</w:delText>
        </w:r>
        <w:r w:rsidRPr="008912CF">
          <w:rPr>
            <w:sz w:val="22"/>
            <w:szCs w:val="22"/>
            <w:vertAlign w:val="subscript"/>
          </w:rPr>
          <w:delText>50</w:delText>
        </w:r>
        <w:r w:rsidRPr="008912CF">
          <w:rPr>
            <w:sz w:val="22"/>
            <w:szCs w:val="22"/>
          </w:rPr>
          <w:delText xml:space="preserve"> de 0,1</w:delText>
        </w:r>
        <w:r w:rsidRPr="008912CF">
          <w:rPr>
            <w:sz w:val="22"/>
            <w:szCs w:val="22"/>
          </w:rPr>
          <w:noBreakHyphen/>
          <w:delText>0,2 nM).</w:delText>
        </w:r>
      </w:del>
    </w:p>
    <w:p w14:paraId="2E85E837" w14:textId="18FAC873" w:rsidR="004462A0" w:rsidRPr="008912CF" w:rsidRDefault="004462A0" w:rsidP="004462A0">
      <w:pPr>
        <w:rPr>
          <w:del w:id="1594" w:author="AbbVie2" w:date="2025-05-13T16:36:00Z"/>
          <w:sz w:val="22"/>
          <w:szCs w:val="22"/>
        </w:rPr>
      </w:pPr>
    </w:p>
    <w:p w14:paraId="622A55ED" w14:textId="6080EFF9" w:rsidR="004462A0" w:rsidRPr="008912CF" w:rsidRDefault="00615769" w:rsidP="004462A0">
      <w:pPr>
        <w:autoSpaceDE w:val="0"/>
        <w:autoSpaceDN w:val="0"/>
        <w:adjustRightInd w:val="0"/>
        <w:rPr>
          <w:del w:id="1595" w:author="AbbVie2" w:date="2025-05-13T16:36:00Z"/>
          <w:sz w:val="22"/>
          <w:szCs w:val="22"/>
          <w:u w:val="single"/>
        </w:rPr>
      </w:pPr>
      <w:del w:id="1596" w:author="AbbVie2" w:date="2025-05-13T16:36:00Z">
        <w:r w:rsidRPr="008912CF">
          <w:rPr>
            <w:sz w:val="22"/>
            <w:szCs w:val="22"/>
            <w:u w:val="single"/>
          </w:rPr>
          <w:delText>Efeitos farmacodinâmicos</w:delText>
        </w:r>
      </w:del>
    </w:p>
    <w:p w14:paraId="0D2F5E09" w14:textId="4D8318B8" w:rsidR="004462A0" w:rsidRPr="008912CF" w:rsidRDefault="004462A0" w:rsidP="004462A0">
      <w:pPr>
        <w:autoSpaceDE w:val="0"/>
        <w:autoSpaceDN w:val="0"/>
        <w:adjustRightInd w:val="0"/>
        <w:rPr>
          <w:del w:id="1597" w:author="AbbVie2" w:date="2025-05-13T16:36:00Z"/>
          <w:sz w:val="22"/>
          <w:szCs w:val="22"/>
          <w:u w:val="single"/>
        </w:rPr>
      </w:pPr>
    </w:p>
    <w:p w14:paraId="6D373930" w14:textId="4442A27F" w:rsidR="004462A0" w:rsidRPr="008912CF" w:rsidRDefault="00615769" w:rsidP="004462A0">
      <w:pPr>
        <w:rPr>
          <w:del w:id="1598" w:author="AbbVie2" w:date="2025-05-13T16:36:00Z"/>
          <w:sz w:val="22"/>
          <w:szCs w:val="22"/>
        </w:rPr>
      </w:pPr>
      <w:del w:id="1599" w:author="AbbVie2" w:date="2025-05-13T16:36:00Z">
        <w:r w:rsidRPr="008912CF">
          <w:rPr>
            <w:sz w:val="22"/>
            <w:szCs w:val="22"/>
          </w:rPr>
          <w:delText>Após o tratamento com Humira em doentes com artrite reumatoide observou-se uma rápida descida dos níveis de marcadores de inflamação de fase aguda (proteína C reativa (PCR) e velocidade de sedimentação eritrocitária (VS)) e das cito</w:delText>
        </w:r>
        <w:r w:rsidR="005D2ECC">
          <w:rPr>
            <w:sz w:val="22"/>
            <w:szCs w:val="22"/>
          </w:rPr>
          <w:delText>c</w:delText>
        </w:r>
        <w:r w:rsidRPr="008912CF">
          <w:rPr>
            <w:sz w:val="22"/>
            <w:szCs w:val="22"/>
          </w:rPr>
          <w:delText>inas séricas (IL</w:delText>
        </w:r>
        <w:r w:rsidRPr="008912CF">
          <w:rPr>
            <w:sz w:val="22"/>
            <w:szCs w:val="22"/>
          </w:rPr>
          <w:noBreakHyphen/>
          <w:delText xml:space="preserve">6) relativamente aos valores basais. Na sequência da administração de Humira verificou-se igualmente descida dos níveis séricos das metaloproteinases da matriz (MMP-1 e MMP-3) que produzem remodelação </w:delText>
        </w:r>
        <w:r w:rsidR="005D2ECC">
          <w:rPr>
            <w:sz w:val="22"/>
            <w:szCs w:val="22"/>
          </w:rPr>
          <w:delText>tecidular</w:delText>
        </w:r>
        <w:r w:rsidR="005D2ECC" w:rsidRPr="008912CF">
          <w:rPr>
            <w:sz w:val="22"/>
            <w:szCs w:val="22"/>
          </w:rPr>
          <w:delText xml:space="preserve"> </w:delText>
        </w:r>
        <w:r w:rsidRPr="008912CF">
          <w:rPr>
            <w:sz w:val="22"/>
            <w:szCs w:val="22"/>
          </w:rPr>
          <w:delText>responsável pela destruição da cartilagem. Nos doentes tratados com Humira observa-se geralmente melhoria dos sinais hematológicos de inflamação crónica.</w:delText>
        </w:r>
      </w:del>
    </w:p>
    <w:p w14:paraId="7A99CFEF" w14:textId="4B60BB3A" w:rsidR="004462A0" w:rsidRPr="008912CF" w:rsidRDefault="004462A0" w:rsidP="004462A0">
      <w:pPr>
        <w:rPr>
          <w:del w:id="1600" w:author="AbbVie2" w:date="2025-05-13T16:36:00Z"/>
          <w:sz w:val="22"/>
          <w:szCs w:val="22"/>
        </w:rPr>
      </w:pPr>
    </w:p>
    <w:p w14:paraId="79CAFA6F" w14:textId="3313021E" w:rsidR="004462A0" w:rsidRPr="008912CF" w:rsidRDefault="00615769" w:rsidP="004462A0">
      <w:pPr>
        <w:rPr>
          <w:del w:id="1601" w:author="AbbVie2" w:date="2025-05-13T16:36:00Z"/>
          <w:sz w:val="22"/>
          <w:szCs w:val="22"/>
        </w:rPr>
      </w:pPr>
      <w:del w:id="1602" w:author="AbbVie2" w:date="2025-05-13T16:36:00Z">
        <w:r w:rsidRPr="008912CF">
          <w:rPr>
            <w:sz w:val="22"/>
            <w:szCs w:val="22"/>
          </w:rPr>
          <w:delText>Em doentes com artrite idiopática juvenil poliarticular, doença de Crohn, colite ulcerosa e hidradenite supurativa, foi também observada uma diminuição rápida nos níveis de PCR após tratamento com Humira.</w:delText>
        </w:r>
        <w:r w:rsidRPr="008912CF">
          <w:rPr>
            <w:rStyle w:val="st1"/>
            <w:rFonts w:ascii="Arial" w:hAnsi="Arial" w:cs="Arial"/>
          </w:rPr>
          <w:delText xml:space="preserve"> </w:delText>
        </w:r>
        <w:r w:rsidRPr="008912CF">
          <w:rPr>
            <w:sz w:val="22"/>
            <w:szCs w:val="22"/>
          </w:rPr>
          <w:delText>Em doentes com doença de Crohn foi observada uma redução do número de células expressando marcadores inflamatórios no cólon</w:delText>
        </w:r>
        <w:r w:rsidR="005D2ECC">
          <w:rPr>
            <w:sz w:val="22"/>
            <w:szCs w:val="22"/>
          </w:rPr>
          <w:delText>,</w:delText>
        </w:r>
        <w:r w:rsidRPr="008912CF">
          <w:rPr>
            <w:sz w:val="22"/>
            <w:szCs w:val="22"/>
          </w:rPr>
          <w:delText xml:space="preserve"> incluindo uma redução significativa da expressão de TNFα. Estudos endoscópicos da mucosa intestinal mostraram evidência de cicatrização da mucosa, em doentes tratados com adalimumab.</w:delText>
        </w:r>
      </w:del>
    </w:p>
    <w:p w14:paraId="7AF662D7" w14:textId="7B44FDAE" w:rsidR="004462A0" w:rsidRPr="008912CF" w:rsidRDefault="004462A0" w:rsidP="004462A0">
      <w:pPr>
        <w:rPr>
          <w:del w:id="1603" w:author="AbbVie2" w:date="2025-05-13T16:36:00Z"/>
          <w:sz w:val="22"/>
          <w:szCs w:val="22"/>
        </w:rPr>
      </w:pPr>
    </w:p>
    <w:p w14:paraId="593ACF4F" w14:textId="3E9E9111" w:rsidR="004462A0" w:rsidRPr="008912CF" w:rsidRDefault="00615769" w:rsidP="00514D74">
      <w:pPr>
        <w:keepNext/>
        <w:rPr>
          <w:del w:id="1604" w:author="AbbVie2" w:date="2025-05-13T16:36:00Z"/>
          <w:sz w:val="22"/>
          <w:szCs w:val="22"/>
          <w:u w:val="single"/>
        </w:rPr>
      </w:pPr>
      <w:del w:id="1605" w:author="AbbVie2" w:date="2025-05-13T16:36:00Z">
        <w:r w:rsidRPr="008912CF">
          <w:rPr>
            <w:sz w:val="22"/>
            <w:szCs w:val="22"/>
            <w:u w:val="single"/>
          </w:rPr>
          <w:delText>Eficácia e segurança clínicas</w:delText>
        </w:r>
      </w:del>
    </w:p>
    <w:p w14:paraId="402FF79F" w14:textId="6430182F" w:rsidR="004462A0" w:rsidRPr="008912CF" w:rsidRDefault="004462A0" w:rsidP="004462A0">
      <w:pPr>
        <w:rPr>
          <w:del w:id="1606" w:author="AbbVie2" w:date="2025-05-13T16:36:00Z"/>
          <w:sz w:val="22"/>
          <w:szCs w:val="22"/>
          <w:u w:val="single"/>
        </w:rPr>
      </w:pPr>
    </w:p>
    <w:p w14:paraId="0B3B5426" w14:textId="7A93F978" w:rsidR="004462A0" w:rsidRPr="008912CF" w:rsidRDefault="00615769" w:rsidP="004462A0">
      <w:pPr>
        <w:rPr>
          <w:del w:id="1607" w:author="AbbVie2" w:date="2025-05-13T16:36:00Z"/>
          <w:sz w:val="22"/>
          <w:szCs w:val="22"/>
          <w:u w:val="single"/>
        </w:rPr>
      </w:pPr>
      <w:del w:id="1608" w:author="AbbVie2" w:date="2025-05-13T16:36:00Z">
        <w:r w:rsidRPr="008912CF">
          <w:rPr>
            <w:i/>
            <w:sz w:val="22"/>
            <w:szCs w:val="22"/>
          </w:rPr>
          <w:delText>Adultos com artrite reumatoide</w:delText>
        </w:r>
      </w:del>
    </w:p>
    <w:p w14:paraId="7E17F0EB" w14:textId="19D658AC" w:rsidR="004462A0" w:rsidRPr="008912CF" w:rsidRDefault="004462A0" w:rsidP="004462A0">
      <w:pPr>
        <w:rPr>
          <w:del w:id="1609" w:author="AbbVie2" w:date="2025-05-13T16:36:00Z"/>
          <w:sz w:val="22"/>
          <w:szCs w:val="22"/>
          <w:u w:val="single"/>
        </w:rPr>
      </w:pPr>
    </w:p>
    <w:p w14:paraId="778273A2" w14:textId="3060E15C" w:rsidR="004462A0" w:rsidRPr="008912CF" w:rsidRDefault="00615769" w:rsidP="004462A0">
      <w:pPr>
        <w:rPr>
          <w:del w:id="1610" w:author="AbbVie2" w:date="2025-05-13T16:36:00Z"/>
          <w:sz w:val="22"/>
          <w:szCs w:val="22"/>
        </w:rPr>
      </w:pPr>
      <w:del w:id="1611" w:author="AbbVie2" w:date="2025-05-13T16:36:00Z">
        <w:r w:rsidRPr="008912CF">
          <w:rPr>
            <w:sz w:val="22"/>
            <w:szCs w:val="22"/>
          </w:rPr>
          <w:delText>Humira foi avaliado em mais de 3.000 doentes com artrite reumatoide que participaram em todos os ensaios clínicos. A eficácia e segurança de Humira foram avaliadas em cinco estudos aleat</w:delText>
        </w:r>
        <w:r w:rsidR="005D2ECC">
          <w:rPr>
            <w:sz w:val="22"/>
            <w:szCs w:val="22"/>
          </w:rPr>
          <w:delText>orizados</w:delText>
        </w:r>
        <w:r w:rsidRPr="008912CF">
          <w:rPr>
            <w:sz w:val="22"/>
            <w:szCs w:val="22"/>
          </w:rPr>
          <w:delText xml:space="preserve">, com dupla ocultação, bem controlados. Alguns doentes foram tratados durante um período até 120 meses. </w:delText>
        </w:r>
      </w:del>
    </w:p>
    <w:p w14:paraId="629B0F40" w14:textId="0FB25D58" w:rsidR="004462A0" w:rsidRPr="008912CF" w:rsidRDefault="004462A0" w:rsidP="004462A0">
      <w:pPr>
        <w:rPr>
          <w:del w:id="1612" w:author="AbbVie2" w:date="2025-05-13T16:36:00Z"/>
          <w:bCs/>
          <w:sz w:val="22"/>
          <w:szCs w:val="22"/>
        </w:rPr>
      </w:pPr>
    </w:p>
    <w:p w14:paraId="71A4FEC3" w14:textId="491A98C4" w:rsidR="004462A0" w:rsidRPr="008912CF" w:rsidRDefault="00615769" w:rsidP="004462A0">
      <w:pPr>
        <w:pStyle w:val="BodyTextIndent"/>
        <w:ind w:left="0" w:firstLine="0"/>
        <w:rPr>
          <w:del w:id="1613" w:author="AbbVie2" w:date="2025-05-13T16:36:00Z"/>
          <w:b w:val="0"/>
          <w:bCs/>
          <w:color w:val="auto"/>
          <w:szCs w:val="22"/>
          <w:vertAlign w:val="superscript"/>
        </w:rPr>
      </w:pPr>
      <w:del w:id="1614" w:author="AbbVie2" w:date="2025-05-13T16:36:00Z">
        <w:r w:rsidRPr="008912CF">
          <w:rPr>
            <w:b w:val="0"/>
            <w:color w:val="auto"/>
            <w:szCs w:val="22"/>
          </w:rPr>
          <w:delText xml:space="preserve">O estudo AR I avaliou 271 doentes com artrite reumatoide ativa moderada a grave, com idade </w:delText>
        </w:r>
        <w:r w:rsidRPr="008912CF">
          <w:rPr>
            <w:rFonts w:ascii="Symbol" w:hAnsi="Symbol"/>
            <w:b w:val="0"/>
            <w:color w:val="auto"/>
            <w:szCs w:val="22"/>
          </w:rPr>
          <w:sym w:font="Symbol" w:char="F0B3"/>
        </w:r>
        <w:r w:rsidRPr="008912CF">
          <w:rPr>
            <w:b w:val="0"/>
            <w:color w:val="auto"/>
            <w:szCs w:val="22"/>
          </w:rPr>
          <w:delText> 18 anos, em que uma terapêutica com pelo menos um medicamento anti</w:delText>
        </w:r>
        <w:r w:rsidR="00F96DDF">
          <w:rPr>
            <w:b w:val="0"/>
            <w:color w:val="auto"/>
            <w:szCs w:val="22"/>
          </w:rPr>
          <w:delText>-</w:delText>
        </w:r>
        <w:r w:rsidRPr="008912CF">
          <w:rPr>
            <w:b w:val="0"/>
            <w:color w:val="auto"/>
            <w:szCs w:val="22"/>
          </w:rPr>
          <w:delText>reumático modificador da doença não foi bem-sucedida, em que a eficácia de metotrexato em doses semanais de 12,5 a 25 mg (10 mg em caso de intolerância a metotrexato) foi insuficiente e em que a dose semanal de metotrexato de 10 a 25 mg permaneceu constante. Foram administradas doses de 20, 40 ou 80 mg de Humira ou placebo em semanas alternadas durante 24 semanas.</w:delText>
        </w:r>
      </w:del>
    </w:p>
    <w:p w14:paraId="61CE69FC" w14:textId="1C6367E7" w:rsidR="004462A0" w:rsidRPr="008912CF" w:rsidRDefault="004462A0" w:rsidP="004462A0">
      <w:pPr>
        <w:pStyle w:val="BodyTextIndent"/>
        <w:ind w:left="0" w:firstLine="0"/>
        <w:rPr>
          <w:del w:id="1615" w:author="AbbVie2" w:date="2025-05-13T16:36:00Z"/>
          <w:b w:val="0"/>
          <w:bCs/>
          <w:color w:val="auto"/>
          <w:szCs w:val="22"/>
          <w:vertAlign w:val="superscript"/>
        </w:rPr>
      </w:pPr>
    </w:p>
    <w:p w14:paraId="46C4DF29" w14:textId="15C49D0D" w:rsidR="004462A0" w:rsidRPr="008912CF" w:rsidRDefault="00615769" w:rsidP="004462A0">
      <w:pPr>
        <w:pStyle w:val="BodyTextIndent"/>
        <w:ind w:left="0" w:firstLine="0"/>
        <w:rPr>
          <w:del w:id="1616" w:author="AbbVie2" w:date="2025-05-13T16:36:00Z"/>
          <w:b w:val="0"/>
          <w:color w:val="auto"/>
          <w:szCs w:val="22"/>
        </w:rPr>
      </w:pPr>
      <w:del w:id="1617" w:author="AbbVie2" w:date="2025-05-13T16:36:00Z">
        <w:r w:rsidRPr="008912CF">
          <w:rPr>
            <w:b w:val="0"/>
            <w:color w:val="auto"/>
          </w:rPr>
          <w:delText xml:space="preserve">O estudo AR II avaliou 544 doentes com artrite reumatoide ativa moderada a grave com idade </w:delText>
        </w:r>
        <w:r w:rsidRPr="008912CF">
          <w:rPr>
            <w:rFonts w:ascii="Symbol" w:hAnsi="Symbol"/>
            <w:b w:val="0"/>
            <w:color w:val="auto"/>
          </w:rPr>
          <w:sym w:font="Symbol" w:char="F0B3"/>
        </w:r>
        <w:r w:rsidRPr="008912CF">
          <w:rPr>
            <w:b w:val="0"/>
            <w:color w:val="auto"/>
          </w:rPr>
          <w:delText> 18 anos e em que uma terapêutica com pelo menos um medicamento anti</w:delText>
        </w:r>
        <w:r w:rsidR="00F96DDF">
          <w:rPr>
            <w:b w:val="0"/>
            <w:color w:val="auto"/>
          </w:rPr>
          <w:delText>-</w:delText>
        </w:r>
        <w:r w:rsidRPr="008912CF">
          <w:rPr>
            <w:b w:val="0"/>
            <w:color w:val="auto"/>
          </w:rPr>
          <w:delText xml:space="preserve">reumático modificador da doença não foi bem sucedida. Foram administradas doses de 20 ou 40 mg de Humira por injeção subcutânea em semanas alternadas, com placebo em semanas alternadas ou semanalmente durante 26 semanas; o placebo foi administrado todas as semanas durante idêntico período. Não foi </w:delText>
        </w:r>
        <w:r w:rsidRPr="008912CF">
          <w:rPr>
            <w:b w:val="0"/>
            <w:color w:val="auto"/>
            <w:szCs w:val="22"/>
          </w:rPr>
          <w:delText>permitida a utilização de quaisquer outros medicamentos anti</w:delText>
        </w:r>
        <w:r w:rsidR="00F96DDF">
          <w:rPr>
            <w:b w:val="0"/>
            <w:color w:val="auto"/>
            <w:szCs w:val="22"/>
          </w:rPr>
          <w:delText>-</w:delText>
        </w:r>
        <w:r w:rsidRPr="008912CF">
          <w:rPr>
            <w:b w:val="0"/>
            <w:color w:val="auto"/>
            <w:szCs w:val="22"/>
          </w:rPr>
          <w:delText>reumatismais modificadores da doença.</w:delText>
        </w:r>
      </w:del>
    </w:p>
    <w:p w14:paraId="09B1EFFB" w14:textId="32C9AE9A" w:rsidR="004462A0" w:rsidRPr="008912CF" w:rsidRDefault="004462A0" w:rsidP="004462A0">
      <w:pPr>
        <w:pStyle w:val="BodyTextIndent"/>
        <w:ind w:left="0" w:firstLine="0"/>
        <w:rPr>
          <w:del w:id="1618" w:author="AbbVie2" w:date="2025-05-13T16:36:00Z"/>
          <w:b w:val="0"/>
          <w:color w:val="auto"/>
          <w:szCs w:val="22"/>
        </w:rPr>
      </w:pPr>
    </w:p>
    <w:p w14:paraId="0A50199F" w14:textId="25EF1006" w:rsidR="004462A0" w:rsidRPr="008912CF" w:rsidRDefault="00615769" w:rsidP="004462A0">
      <w:pPr>
        <w:pStyle w:val="BodyTextIndent"/>
        <w:ind w:left="0" w:firstLine="0"/>
        <w:rPr>
          <w:del w:id="1619" w:author="AbbVie2" w:date="2025-05-13T16:36:00Z"/>
          <w:b w:val="0"/>
          <w:bCs/>
          <w:color w:val="auto"/>
          <w:szCs w:val="22"/>
          <w:vertAlign w:val="superscript"/>
        </w:rPr>
      </w:pPr>
      <w:del w:id="1620" w:author="AbbVie2" w:date="2025-05-13T16:36:00Z">
        <w:r w:rsidRPr="008912CF">
          <w:rPr>
            <w:b w:val="0"/>
            <w:color w:val="auto"/>
            <w:szCs w:val="22"/>
          </w:rPr>
          <w:delText xml:space="preserve">O estudo AR III avaliou 619 doentes com artrite reumatoide ativa moderada a grave, com idade </w:delText>
        </w:r>
        <w:r w:rsidRPr="008912CF">
          <w:rPr>
            <w:rFonts w:ascii="Symbol" w:hAnsi="Symbol"/>
            <w:b w:val="0"/>
            <w:color w:val="auto"/>
            <w:szCs w:val="22"/>
          </w:rPr>
          <w:sym w:font="Symbol" w:char="F0B3"/>
        </w:r>
        <w:r w:rsidRPr="008912CF">
          <w:rPr>
            <w:b w:val="0"/>
            <w:color w:val="auto"/>
            <w:szCs w:val="22"/>
          </w:rPr>
          <w:delText xml:space="preserve"> 18 anos, e que tiveram uma resposta não eficaz a metotrexato nas doses de 12,5 a 25 mg, ou que tinham sido intolerantes a 10 mg de metotrexato administrado semanalmente. Participaram neste estudo três grupos. O primeiro grupo recebeu injeções semanais de placebo durante 52 semanas. O segundo grupo recebeu semanalmente 20 mg de Humira durante 52 semanas. O terceiro grupo recebeu 40 mg de Humira em semanas alternadas com injeções de placebo </w:delText>
        </w:r>
        <w:r w:rsidR="005D2ECC">
          <w:rPr>
            <w:b w:val="0"/>
            <w:color w:val="auto"/>
            <w:szCs w:val="22"/>
          </w:rPr>
          <w:delText>nas restantes semanas</w:delText>
        </w:r>
        <w:r w:rsidRPr="008912CF">
          <w:rPr>
            <w:b w:val="0"/>
            <w:color w:val="auto"/>
            <w:szCs w:val="22"/>
          </w:rPr>
          <w:delText>. Após completarem as primeiras 52</w:delText>
        </w:r>
        <w:r>
          <w:rPr>
            <w:b w:val="0"/>
            <w:color w:val="auto"/>
            <w:szCs w:val="22"/>
          </w:rPr>
          <w:delText> </w:delText>
        </w:r>
        <w:r w:rsidRPr="008912CF">
          <w:rPr>
            <w:b w:val="0"/>
            <w:color w:val="auto"/>
            <w:szCs w:val="22"/>
          </w:rPr>
          <w:delText>semanas, 457 doentes foram incluídos numa extensão de fase aberta aos quais foram administrados 40 mg de Humira/MTX em semanas alternadas até 10 anos.</w:delText>
        </w:r>
      </w:del>
    </w:p>
    <w:p w14:paraId="3DF3AD66" w14:textId="5F4684EE" w:rsidR="004462A0" w:rsidRPr="008912CF" w:rsidRDefault="004462A0" w:rsidP="004462A0">
      <w:pPr>
        <w:pStyle w:val="BodyTextIndent"/>
        <w:ind w:left="0" w:firstLine="0"/>
        <w:rPr>
          <w:del w:id="1621" w:author="AbbVie2" w:date="2025-05-13T16:36:00Z"/>
          <w:b w:val="0"/>
          <w:color w:val="auto"/>
          <w:szCs w:val="22"/>
        </w:rPr>
      </w:pPr>
    </w:p>
    <w:p w14:paraId="484FE437" w14:textId="2124D657" w:rsidR="004462A0" w:rsidRPr="008912CF" w:rsidRDefault="00615769" w:rsidP="004462A0">
      <w:pPr>
        <w:pStyle w:val="BodyTextIndent"/>
        <w:ind w:left="0" w:firstLine="0"/>
        <w:rPr>
          <w:del w:id="1622" w:author="AbbVie2" w:date="2025-05-13T16:36:00Z"/>
          <w:b w:val="0"/>
          <w:color w:val="auto"/>
          <w:szCs w:val="22"/>
        </w:rPr>
      </w:pPr>
      <w:del w:id="1623" w:author="AbbVie2" w:date="2025-05-13T16:36:00Z">
        <w:r w:rsidRPr="008912CF">
          <w:rPr>
            <w:b w:val="0"/>
            <w:color w:val="auto"/>
            <w:szCs w:val="22"/>
          </w:rPr>
          <w:delText xml:space="preserve">O estudo AR IV avaliou principalmente a segurança em 636 doentes com artrite reumatoide ativa moderada a grave com idade </w:delText>
        </w:r>
        <w:r w:rsidRPr="008912CF">
          <w:rPr>
            <w:rFonts w:ascii="Symbol" w:hAnsi="Symbol"/>
            <w:b w:val="0"/>
            <w:color w:val="auto"/>
            <w:szCs w:val="22"/>
          </w:rPr>
          <w:sym w:font="Symbol" w:char="F0B3"/>
        </w:r>
        <w:r w:rsidRPr="008912CF">
          <w:rPr>
            <w:b w:val="0"/>
            <w:color w:val="auto"/>
            <w:szCs w:val="22"/>
          </w:rPr>
          <w:delText> 18 anos. Este estudo permitia a inclusão de doentes sem terapêutica prévia com medicamentos anti</w:delText>
        </w:r>
        <w:r w:rsidR="00F96DDF">
          <w:rPr>
            <w:b w:val="0"/>
            <w:color w:val="auto"/>
            <w:szCs w:val="22"/>
          </w:rPr>
          <w:delText>-</w:delText>
        </w:r>
        <w:r w:rsidRPr="008912CF">
          <w:rPr>
            <w:b w:val="0"/>
            <w:color w:val="auto"/>
            <w:szCs w:val="22"/>
          </w:rPr>
          <w:delText>reumatismais modificadores da doença ou que continuaram o tratamento reumatológico pr</w:delText>
        </w:r>
        <w:r w:rsidR="003A732E">
          <w:rPr>
            <w:b w:val="0"/>
            <w:color w:val="auto"/>
            <w:szCs w:val="22"/>
          </w:rPr>
          <w:delText>é-</w:delText>
        </w:r>
        <w:r w:rsidRPr="008912CF">
          <w:rPr>
            <w:b w:val="0"/>
            <w:color w:val="auto"/>
            <w:szCs w:val="22"/>
          </w:rPr>
          <w:delText>existente desde que o mesmo se tivesse mantido estável durante um período mínimo de 28 dias. Estes tratamentos incluíram metotrexato, leflunomid</w:delText>
        </w:r>
        <w:r w:rsidR="00082F0B">
          <w:rPr>
            <w:b w:val="0"/>
            <w:color w:val="auto"/>
            <w:szCs w:val="22"/>
          </w:rPr>
          <w:delText>a</w:delText>
        </w:r>
        <w:r w:rsidRPr="008912CF">
          <w:rPr>
            <w:b w:val="0"/>
            <w:color w:val="auto"/>
            <w:szCs w:val="22"/>
          </w:rPr>
          <w:delText>, hidroxicloroquina, sulfassalazina e/ou sais de ouro. Os doentes foram aleatorizados para tratamento com 40 mg de Humira ou placebo em semanas alternadas durante 24 semanas.</w:delText>
        </w:r>
      </w:del>
    </w:p>
    <w:p w14:paraId="3BF2FABB" w14:textId="1D3F7BFC" w:rsidR="004462A0" w:rsidRPr="008912CF" w:rsidRDefault="004462A0" w:rsidP="004462A0">
      <w:pPr>
        <w:pStyle w:val="BodyTextIndent"/>
        <w:ind w:left="0" w:firstLine="0"/>
        <w:rPr>
          <w:del w:id="1624" w:author="AbbVie2" w:date="2025-05-13T16:36:00Z"/>
          <w:b w:val="0"/>
          <w:color w:val="auto"/>
          <w:szCs w:val="22"/>
        </w:rPr>
      </w:pPr>
    </w:p>
    <w:p w14:paraId="7389AF39" w14:textId="2C508AB5" w:rsidR="004462A0" w:rsidRPr="008912CF" w:rsidRDefault="00615769" w:rsidP="004462A0">
      <w:pPr>
        <w:pStyle w:val="BodyTextIndent"/>
        <w:ind w:left="0" w:firstLine="0"/>
        <w:rPr>
          <w:del w:id="1625" w:author="AbbVie2" w:date="2025-05-13T16:36:00Z"/>
          <w:b w:val="0"/>
          <w:color w:val="auto"/>
          <w:szCs w:val="22"/>
        </w:rPr>
      </w:pPr>
      <w:del w:id="1626" w:author="AbbVie2" w:date="2025-05-13T16:36:00Z">
        <w:r w:rsidRPr="008912CF">
          <w:rPr>
            <w:b w:val="0"/>
            <w:color w:val="auto"/>
            <w:szCs w:val="22"/>
          </w:rPr>
          <w:delText>O estudo AR V avaliou 799 doentes adultos com artrite reumatoide precoce ativa moderada a grave</w:delText>
        </w:r>
        <w:r w:rsidR="005D2ECC">
          <w:rPr>
            <w:b w:val="0"/>
            <w:color w:val="auto"/>
            <w:szCs w:val="22"/>
          </w:rPr>
          <w:delText>,</w:delText>
        </w:r>
        <w:r w:rsidRPr="008912CF">
          <w:rPr>
            <w:b w:val="0"/>
            <w:color w:val="auto"/>
            <w:szCs w:val="22"/>
          </w:rPr>
          <w:delText xml:space="preserve"> </w:delText>
        </w:r>
        <w:r w:rsidR="005D2ECC" w:rsidRPr="008912CF">
          <w:rPr>
            <w:b w:val="0"/>
            <w:color w:val="auto"/>
            <w:szCs w:val="22"/>
          </w:rPr>
          <w:delText xml:space="preserve">não tratados previamente com metotrexato </w:delText>
        </w:r>
        <w:r w:rsidRPr="008912CF">
          <w:rPr>
            <w:b w:val="0"/>
            <w:color w:val="auto"/>
            <w:szCs w:val="22"/>
          </w:rPr>
          <w:delText>(doença com uma duração média inferior a 9 meses). Este estudo avaliou</w:delText>
        </w:r>
        <w:r w:rsidR="005D2ECC">
          <w:rPr>
            <w:b w:val="0"/>
            <w:color w:val="auto"/>
            <w:szCs w:val="22"/>
          </w:rPr>
          <w:delText>,</w:delText>
        </w:r>
        <w:r w:rsidRPr="008912CF">
          <w:rPr>
            <w:b w:val="0"/>
            <w:color w:val="auto"/>
            <w:szCs w:val="22"/>
          </w:rPr>
          <w:delText xml:space="preserve"> em 104 semanas, a eficácia da associação terapêutica Humira 40 mg em semanas alternadas/metotrexato, Humira 40 mg em semanas alternadas em monoterapia e metotrexato em monoterapia na redução de sinais e sintomas e na redução da taxa de progressão da lesão das articulações em doentes com artrite reumatoide.</w:delText>
        </w:r>
        <w:r>
          <w:rPr>
            <w:b w:val="0"/>
            <w:color w:val="auto"/>
            <w:szCs w:val="22"/>
          </w:rPr>
          <w:delText xml:space="preserve"> </w:delText>
        </w:r>
        <w:r w:rsidRPr="00B609FF">
          <w:rPr>
            <w:b w:val="0"/>
            <w:color w:val="auto"/>
            <w:szCs w:val="22"/>
          </w:rPr>
          <w:delText>Após a conclusão das primeiras 104</w:delText>
        </w:r>
        <w:r>
          <w:rPr>
            <w:b w:val="0"/>
            <w:color w:val="auto"/>
            <w:szCs w:val="22"/>
          </w:rPr>
          <w:delText> </w:delText>
        </w:r>
        <w:r w:rsidRPr="00B609FF">
          <w:rPr>
            <w:b w:val="0"/>
            <w:color w:val="auto"/>
            <w:szCs w:val="22"/>
          </w:rPr>
          <w:delText xml:space="preserve">semanas, 497 </w:delText>
        </w:r>
        <w:r>
          <w:rPr>
            <w:b w:val="0"/>
            <w:color w:val="auto"/>
            <w:szCs w:val="22"/>
          </w:rPr>
          <w:delText xml:space="preserve">doentes foram incluídos numa </w:delText>
        </w:r>
        <w:r w:rsidRPr="00B609FF">
          <w:rPr>
            <w:b w:val="0"/>
            <w:color w:val="auto"/>
            <w:szCs w:val="22"/>
          </w:rPr>
          <w:delText xml:space="preserve">extensão </w:delText>
        </w:r>
        <w:r>
          <w:rPr>
            <w:b w:val="0"/>
            <w:color w:val="auto"/>
            <w:szCs w:val="22"/>
          </w:rPr>
          <w:delText xml:space="preserve">de fase </w:delText>
        </w:r>
        <w:r w:rsidRPr="00B609FF">
          <w:rPr>
            <w:b w:val="0"/>
            <w:color w:val="auto"/>
            <w:szCs w:val="22"/>
          </w:rPr>
          <w:delText>aberta</w:delText>
        </w:r>
        <w:r>
          <w:rPr>
            <w:b w:val="0"/>
            <w:color w:val="auto"/>
            <w:szCs w:val="22"/>
          </w:rPr>
          <w:delText xml:space="preserve"> </w:delText>
        </w:r>
        <w:r w:rsidRPr="00477A1B">
          <w:rPr>
            <w:b w:val="0"/>
            <w:color w:val="auto"/>
            <w:szCs w:val="22"/>
          </w:rPr>
          <w:delText>aos quais foram administrados 40</w:delText>
        </w:r>
        <w:r>
          <w:rPr>
            <w:b w:val="0"/>
            <w:color w:val="auto"/>
            <w:szCs w:val="22"/>
          </w:rPr>
          <w:delText> </w:delText>
        </w:r>
        <w:r w:rsidRPr="00477A1B">
          <w:rPr>
            <w:b w:val="0"/>
            <w:color w:val="auto"/>
            <w:szCs w:val="22"/>
          </w:rPr>
          <w:delText>mg de Humira</w:delText>
        </w:r>
        <w:r>
          <w:rPr>
            <w:b w:val="0"/>
            <w:color w:val="auto"/>
            <w:szCs w:val="22"/>
          </w:rPr>
          <w:delText xml:space="preserve"> </w:delText>
        </w:r>
        <w:r w:rsidRPr="00477A1B">
          <w:rPr>
            <w:b w:val="0"/>
            <w:color w:val="auto"/>
            <w:szCs w:val="22"/>
          </w:rPr>
          <w:delText>em semanas alternadas até 10 anos</w:delText>
        </w:r>
        <w:r>
          <w:rPr>
            <w:b w:val="0"/>
            <w:color w:val="auto"/>
            <w:szCs w:val="22"/>
          </w:rPr>
          <w:delText>.</w:delText>
        </w:r>
      </w:del>
    </w:p>
    <w:p w14:paraId="04140F01" w14:textId="28E61CF2" w:rsidR="004462A0" w:rsidRPr="008912CF" w:rsidRDefault="004462A0" w:rsidP="004462A0">
      <w:pPr>
        <w:pStyle w:val="BodyTextIndent"/>
        <w:ind w:left="0" w:firstLine="0"/>
        <w:rPr>
          <w:del w:id="1627" w:author="AbbVie2" w:date="2025-05-13T16:36:00Z"/>
          <w:b w:val="0"/>
          <w:color w:val="auto"/>
          <w:szCs w:val="22"/>
        </w:rPr>
      </w:pPr>
    </w:p>
    <w:p w14:paraId="10903F0E" w14:textId="11451C4C" w:rsidR="004462A0" w:rsidRPr="008912CF" w:rsidRDefault="00615769" w:rsidP="004462A0">
      <w:pPr>
        <w:pStyle w:val="BodyTextIndent"/>
        <w:ind w:left="0" w:firstLine="0"/>
        <w:rPr>
          <w:del w:id="1628" w:author="AbbVie2" w:date="2025-05-13T16:36:00Z"/>
          <w:b w:val="0"/>
          <w:color w:val="auto"/>
          <w:szCs w:val="22"/>
        </w:rPr>
      </w:pPr>
      <w:del w:id="1629" w:author="AbbVie2" w:date="2025-05-13T16:36:00Z">
        <w:r w:rsidRPr="008912CF">
          <w:rPr>
            <w:b w:val="0"/>
            <w:color w:val="auto"/>
            <w:szCs w:val="22"/>
          </w:rPr>
          <w:delText xml:space="preserve">O </w:delText>
        </w:r>
        <w:r w:rsidR="00F96DDF">
          <w:rPr>
            <w:b w:val="0"/>
            <w:color w:val="auto"/>
            <w:szCs w:val="22"/>
          </w:rPr>
          <w:delText>objetivo</w:delText>
        </w:r>
        <w:r w:rsidRPr="008912CF">
          <w:rPr>
            <w:b w:val="0"/>
            <w:color w:val="auto"/>
            <w:szCs w:val="22"/>
          </w:rPr>
          <w:delText xml:space="preserve"> primário dos estudos AR I, II e III e o </w:delText>
        </w:r>
        <w:r w:rsidR="00F96DDF">
          <w:rPr>
            <w:b w:val="0"/>
            <w:color w:val="auto"/>
            <w:szCs w:val="22"/>
          </w:rPr>
          <w:delText>objetivo</w:delText>
        </w:r>
        <w:r w:rsidRPr="008912CF">
          <w:rPr>
            <w:b w:val="0"/>
            <w:color w:val="auto"/>
            <w:szCs w:val="22"/>
          </w:rPr>
          <w:delText xml:space="preserve"> secundário do estudo AR IV consistiam na percentagem de doentes que atingia uma resposta ACR 20 na Semana</w:delText>
        </w:r>
        <w:r>
          <w:rPr>
            <w:b w:val="0"/>
            <w:color w:val="auto"/>
            <w:szCs w:val="22"/>
          </w:rPr>
          <w:delText> </w:delText>
        </w:r>
        <w:r w:rsidRPr="008912CF">
          <w:rPr>
            <w:b w:val="0"/>
            <w:color w:val="auto"/>
            <w:szCs w:val="22"/>
          </w:rPr>
          <w:delText xml:space="preserve">24 ou 26. O </w:delText>
        </w:r>
        <w:r w:rsidR="00F96DDF">
          <w:rPr>
            <w:b w:val="0"/>
            <w:color w:val="auto"/>
            <w:szCs w:val="22"/>
          </w:rPr>
          <w:delText>objetivo</w:delText>
        </w:r>
        <w:r w:rsidRPr="008912CF">
          <w:rPr>
            <w:b w:val="0"/>
            <w:color w:val="auto"/>
            <w:szCs w:val="22"/>
          </w:rPr>
          <w:delText xml:space="preserve"> primário </w:delText>
        </w:r>
        <w:r w:rsidR="00974A0A">
          <w:rPr>
            <w:b w:val="0"/>
            <w:color w:val="auto"/>
            <w:szCs w:val="22"/>
          </w:rPr>
          <w:delText>d</w:delText>
        </w:r>
        <w:r w:rsidRPr="008912CF">
          <w:rPr>
            <w:b w:val="0"/>
            <w:color w:val="auto"/>
            <w:szCs w:val="22"/>
          </w:rPr>
          <w:delText xml:space="preserve">o </w:delText>
        </w:r>
        <w:r w:rsidR="00974A0A">
          <w:rPr>
            <w:b w:val="0"/>
            <w:color w:val="auto"/>
            <w:szCs w:val="22"/>
          </w:rPr>
          <w:delText>e</w:delText>
        </w:r>
        <w:r w:rsidRPr="008912CF">
          <w:rPr>
            <w:b w:val="0"/>
            <w:color w:val="auto"/>
            <w:szCs w:val="22"/>
          </w:rPr>
          <w:delText>studo AR V consistiu na percentagem de doentes que atingia uma resposta ACR 50 na Semana</w:delText>
        </w:r>
        <w:r>
          <w:rPr>
            <w:b w:val="0"/>
            <w:color w:val="auto"/>
            <w:szCs w:val="22"/>
          </w:rPr>
          <w:delText> </w:delText>
        </w:r>
        <w:r w:rsidRPr="008912CF">
          <w:rPr>
            <w:b w:val="0"/>
            <w:color w:val="auto"/>
            <w:szCs w:val="22"/>
          </w:rPr>
          <w:delText xml:space="preserve">52. Os estudos AR III e V tinham </w:delText>
        </w:r>
        <w:r w:rsidR="00974A0A">
          <w:rPr>
            <w:b w:val="0"/>
            <w:color w:val="auto"/>
            <w:szCs w:val="22"/>
          </w:rPr>
          <w:delText>um objetivo</w:delText>
        </w:r>
        <w:r w:rsidRPr="008912CF">
          <w:rPr>
            <w:b w:val="0"/>
            <w:color w:val="auto"/>
            <w:szCs w:val="22"/>
          </w:rPr>
          <w:delText xml:space="preserve"> primári</w:delText>
        </w:r>
        <w:r w:rsidR="00974A0A">
          <w:rPr>
            <w:b w:val="0"/>
            <w:color w:val="auto"/>
            <w:szCs w:val="22"/>
          </w:rPr>
          <w:delText>o</w:delText>
        </w:r>
        <w:r w:rsidRPr="008912CF">
          <w:rPr>
            <w:b w:val="0"/>
            <w:color w:val="auto"/>
            <w:szCs w:val="22"/>
          </w:rPr>
          <w:delText xml:space="preserve"> adiciona</w:delText>
        </w:r>
        <w:r w:rsidR="00974A0A">
          <w:rPr>
            <w:b w:val="0"/>
            <w:color w:val="auto"/>
            <w:szCs w:val="22"/>
          </w:rPr>
          <w:delText>l</w:delText>
        </w:r>
        <w:r w:rsidRPr="008912CF">
          <w:rPr>
            <w:b w:val="0"/>
            <w:color w:val="auto"/>
            <w:szCs w:val="22"/>
          </w:rPr>
          <w:delText xml:space="preserve"> na </w:delText>
        </w:r>
        <w:r w:rsidR="005D2ECC">
          <w:rPr>
            <w:b w:val="0"/>
            <w:color w:val="auto"/>
            <w:szCs w:val="22"/>
          </w:rPr>
          <w:delText>S</w:delText>
        </w:r>
        <w:r w:rsidRPr="008912CF">
          <w:rPr>
            <w:b w:val="0"/>
            <w:color w:val="auto"/>
            <w:szCs w:val="22"/>
          </w:rPr>
          <w:delText xml:space="preserve">emana 52, nomeadamente atraso na progressão da doença (avaliado por radiografia). O estudo AR III tinha também um </w:delText>
        </w:r>
        <w:r w:rsidR="00F96DDF">
          <w:rPr>
            <w:b w:val="0"/>
            <w:color w:val="auto"/>
            <w:szCs w:val="22"/>
          </w:rPr>
          <w:delText>objetivo</w:delText>
        </w:r>
        <w:r w:rsidRPr="008912CF">
          <w:rPr>
            <w:b w:val="0"/>
            <w:color w:val="auto"/>
            <w:szCs w:val="22"/>
          </w:rPr>
          <w:delText xml:space="preserve"> de alterações na qualidade de vida.</w:delText>
        </w:r>
      </w:del>
    </w:p>
    <w:p w14:paraId="08CFBD94" w14:textId="235B3D18" w:rsidR="004462A0" w:rsidRPr="008912CF" w:rsidRDefault="004462A0" w:rsidP="004462A0">
      <w:pPr>
        <w:pStyle w:val="BodyTextIndent"/>
        <w:ind w:left="0" w:firstLine="0"/>
        <w:rPr>
          <w:del w:id="1630" w:author="AbbVie2" w:date="2025-05-13T16:36:00Z"/>
          <w:b w:val="0"/>
          <w:color w:val="auto"/>
          <w:szCs w:val="22"/>
        </w:rPr>
      </w:pPr>
    </w:p>
    <w:p w14:paraId="24A880CD" w14:textId="1EA7AAE3" w:rsidR="004462A0" w:rsidRPr="008912CF" w:rsidRDefault="00615769" w:rsidP="004462A0">
      <w:pPr>
        <w:pStyle w:val="Heading7"/>
        <w:keepNext w:val="0"/>
        <w:spacing w:line="240" w:lineRule="auto"/>
        <w:jc w:val="left"/>
        <w:rPr>
          <w:del w:id="1631" w:author="AbbVie2" w:date="2025-05-13T16:36:00Z"/>
          <w:i w:val="0"/>
          <w:szCs w:val="22"/>
          <w:u w:val="single"/>
        </w:rPr>
      </w:pPr>
      <w:del w:id="1632" w:author="AbbVie2" w:date="2025-05-13T16:36:00Z">
        <w:r w:rsidRPr="008912CF">
          <w:rPr>
            <w:szCs w:val="22"/>
            <w:u w:val="single"/>
          </w:rPr>
          <w:delText>Resposta ACR</w:delText>
        </w:r>
        <w:r w:rsidRPr="008912CF">
          <w:rPr>
            <w:i w:val="0"/>
            <w:szCs w:val="22"/>
            <w:u w:val="single"/>
          </w:rPr>
          <w:delText xml:space="preserve"> </w:delText>
        </w:r>
      </w:del>
    </w:p>
    <w:p w14:paraId="6F620E7D" w14:textId="21538016" w:rsidR="004462A0" w:rsidRPr="008912CF" w:rsidRDefault="004462A0" w:rsidP="004462A0">
      <w:pPr>
        <w:rPr>
          <w:del w:id="1633" w:author="AbbVie2" w:date="2025-05-13T16:36:00Z"/>
          <w:sz w:val="22"/>
          <w:szCs w:val="22"/>
        </w:rPr>
      </w:pPr>
    </w:p>
    <w:p w14:paraId="1FD2BF55" w14:textId="59AFCFB5" w:rsidR="004462A0" w:rsidRPr="008912CF" w:rsidRDefault="00615769" w:rsidP="004462A0">
      <w:pPr>
        <w:pStyle w:val="BodyTextIndent"/>
        <w:ind w:left="0" w:firstLine="0"/>
        <w:rPr>
          <w:del w:id="1634" w:author="AbbVie2" w:date="2025-05-13T16:36:00Z"/>
          <w:b w:val="0"/>
          <w:color w:val="auto"/>
          <w:szCs w:val="22"/>
        </w:rPr>
      </w:pPr>
      <w:del w:id="1635" w:author="AbbVie2" w:date="2025-05-13T16:36:00Z">
        <w:r w:rsidRPr="008912CF">
          <w:rPr>
            <w:b w:val="0"/>
            <w:color w:val="auto"/>
            <w:szCs w:val="22"/>
          </w:rPr>
          <w:delText xml:space="preserve">A percentagem de doentes tratados com Humira que atingiram respostas ACR 20, 50 e 70 foi consistente em todos os estudos AR I, II e III. Na Tabela </w:delText>
        </w:r>
        <w:r w:rsidR="00D0749B">
          <w:rPr>
            <w:b w:val="0"/>
            <w:color w:val="auto"/>
            <w:szCs w:val="22"/>
          </w:rPr>
          <w:delText>8</w:delText>
        </w:r>
        <w:r w:rsidRPr="008912CF">
          <w:rPr>
            <w:b w:val="0"/>
            <w:color w:val="auto"/>
            <w:szCs w:val="22"/>
          </w:rPr>
          <w:delText>, apresenta-se um resumo dos resultados obtidos com a dose de 40 mg administrada em semanas alternadas.</w:delText>
        </w:r>
      </w:del>
    </w:p>
    <w:p w14:paraId="7302E556" w14:textId="48C04372" w:rsidR="004462A0" w:rsidRPr="008912CF" w:rsidRDefault="004462A0" w:rsidP="004462A0">
      <w:pPr>
        <w:pStyle w:val="BodyTextIndent"/>
        <w:keepNext/>
        <w:ind w:left="0" w:firstLine="0"/>
        <w:rPr>
          <w:del w:id="1636" w:author="AbbVie2" w:date="2025-05-13T16:36:00Z"/>
          <w:b w:val="0"/>
          <w:color w:val="auto"/>
          <w:szCs w:val="22"/>
        </w:rPr>
      </w:pPr>
    </w:p>
    <w:tbl>
      <w:tblPr>
        <w:tblW w:w="9124" w:type="dxa"/>
        <w:tblInd w:w="98" w:type="dxa"/>
        <w:tblLayout w:type="fixed"/>
        <w:tblCellMar>
          <w:left w:w="0" w:type="dxa"/>
          <w:right w:w="0" w:type="dxa"/>
        </w:tblCellMar>
        <w:tblLook w:val="0000" w:firstRow="0" w:lastRow="0" w:firstColumn="0" w:lastColumn="0" w:noHBand="0" w:noVBand="0"/>
      </w:tblPr>
      <w:tblGrid>
        <w:gridCol w:w="1069"/>
        <w:gridCol w:w="1393"/>
        <w:gridCol w:w="1417"/>
        <w:gridCol w:w="1071"/>
        <w:gridCol w:w="1197"/>
        <w:gridCol w:w="1418"/>
        <w:gridCol w:w="1559"/>
      </w:tblGrid>
      <w:tr w:rsidR="00A7162A" w14:paraId="1381CE34" w14:textId="3D1CCB08" w:rsidTr="00F675CF">
        <w:trPr>
          <w:del w:id="1637" w:author="AbbVie2" w:date="2025-05-13T16:36:00Z"/>
        </w:trPr>
        <w:tc>
          <w:tcPr>
            <w:tcW w:w="9124" w:type="dxa"/>
            <w:gridSpan w:val="7"/>
          </w:tcPr>
          <w:p w14:paraId="5124FCB1" w14:textId="5BCA7669" w:rsidR="004462A0" w:rsidRPr="008912CF" w:rsidRDefault="00615769" w:rsidP="00F675CF">
            <w:pPr>
              <w:pStyle w:val="Corpodetexto1"/>
              <w:keepNext/>
              <w:tabs>
                <w:tab w:val="clear" w:pos="1152"/>
                <w:tab w:val="clear" w:pos="1872"/>
              </w:tabs>
              <w:spacing w:after="0" w:line="240" w:lineRule="auto"/>
              <w:ind w:left="0"/>
              <w:jc w:val="center"/>
              <w:rPr>
                <w:del w:id="1638" w:author="AbbVie2" w:date="2025-05-13T16:36:00Z"/>
                <w:b/>
                <w:sz w:val="22"/>
                <w:szCs w:val="22"/>
                <w:lang w:val="pt-PT"/>
              </w:rPr>
            </w:pPr>
            <w:del w:id="1639" w:author="AbbVie2" w:date="2025-05-13T16:36:00Z">
              <w:r w:rsidRPr="008912CF">
                <w:rPr>
                  <w:b/>
                  <w:lang w:val="pt-PT"/>
                </w:rPr>
                <w:br w:type="page"/>
              </w:r>
              <w:r w:rsidRPr="008912CF">
                <w:rPr>
                  <w:b/>
                  <w:sz w:val="22"/>
                  <w:szCs w:val="22"/>
                  <w:lang w:val="pt-PT"/>
                </w:rPr>
                <w:delText xml:space="preserve">Tabela </w:delText>
              </w:r>
              <w:r w:rsidR="00D0749B">
                <w:rPr>
                  <w:b/>
                  <w:sz w:val="22"/>
                  <w:szCs w:val="22"/>
                  <w:lang w:val="pt-PT"/>
                </w:rPr>
                <w:delText>8</w:delText>
              </w:r>
            </w:del>
          </w:p>
          <w:p w14:paraId="12FEF43C" w14:textId="47CA3C17" w:rsidR="004462A0" w:rsidRPr="008912CF" w:rsidRDefault="00615769" w:rsidP="00F675CF">
            <w:pPr>
              <w:pStyle w:val="Corpodetexto1"/>
              <w:keepNext/>
              <w:tabs>
                <w:tab w:val="clear" w:pos="1152"/>
                <w:tab w:val="clear" w:pos="1872"/>
              </w:tabs>
              <w:spacing w:after="0" w:line="240" w:lineRule="auto"/>
              <w:ind w:left="0"/>
              <w:jc w:val="center"/>
              <w:rPr>
                <w:del w:id="1640" w:author="AbbVie2" w:date="2025-05-13T16:36:00Z"/>
                <w:b/>
                <w:sz w:val="22"/>
                <w:szCs w:val="22"/>
                <w:lang w:val="pt-PT"/>
              </w:rPr>
            </w:pPr>
            <w:del w:id="1641" w:author="AbbVie2" w:date="2025-05-13T16:36:00Z">
              <w:r w:rsidRPr="008912CF">
                <w:rPr>
                  <w:b/>
                  <w:sz w:val="22"/>
                  <w:szCs w:val="22"/>
                  <w:lang w:val="pt-PT"/>
                </w:rPr>
                <w:delText>Respostas ACR nos Ensaios Controlados com Placebo</w:delText>
              </w:r>
            </w:del>
          </w:p>
          <w:p w14:paraId="59EC64C8" w14:textId="05F30705" w:rsidR="004462A0" w:rsidRPr="008912CF" w:rsidRDefault="00615769" w:rsidP="00F675CF">
            <w:pPr>
              <w:pStyle w:val="Corpodetexto1"/>
              <w:keepNext/>
              <w:tabs>
                <w:tab w:val="clear" w:pos="1152"/>
                <w:tab w:val="clear" w:pos="1872"/>
              </w:tabs>
              <w:spacing w:after="0" w:line="240" w:lineRule="auto"/>
              <w:ind w:left="0"/>
              <w:jc w:val="center"/>
              <w:rPr>
                <w:del w:id="1642" w:author="AbbVie2" w:date="2025-05-13T16:36:00Z"/>
                <w:b/>
                <w:sz w:val="22"/>
                <w:szCs w:val="22"/>
                <w:lang w:val="pt-PT"/>
              </w:rPr>
            </w:pPr>
            <w:del w:id="1643" w:author="AbbVie2" w:date="2025-05-13T16:36:00Z">
              <w:r w:rsidRPr="008912CF">
                <w:rPr>
                  <w:b/>
                  <w:sz w:val="22"/>
                  <w:szCs w:val="22"/>
                  <w:lang w:val="pt-PT"/>
                </w:rPr>
                <w:delText>(Percentagem de Doentes)</w:delText>
              </w:r>
            </w:del>
          </w:p>
          <w:p w14:paraId="5CE33554" w14:textId="5760F17A" w:rsidR="004462A0" w:rsidRPr="008912CF" w:rsidRDefault="004462A0" w:rsidP="00F675CF">
            <w:pPr>
              <w:pStyle w:val="Corpodetexto1"/>
              <w:keepNext/>
              <w:tabs>
                <w:tab w:val="clear" w:pos="1152"/>
                <w:tab w:val="clear" w:pos="1872"/>
              </w:tabs>
              <w:spacing w:after="0" w:line="240" w:lineRule="auto"/>
              <w:ind w:left="0"/>
              <w:jc w:val="center"/>
              <w:rPr>
                <w:del w:id="1644" w:author="AbbVie2" w:date="2025-05-13T16:36:00Z"/>
                <w:b/>
                <w:sz w:val="22"/>
                <w:szCs w:val="22"/>
                <w:lang w:val="pt-PT"/>
              </w:rPr>
            </w:pPr>
          </w:p>
        </w:tc>
      </w:tr>
      <w:tr w:rsidR="00A7162A" w14:paraId="3CB1A5BF" w14:textId="62CD5124" w:rsidTr="00F675CF">
        <w:trPr>
          <w:cantSplit/>
          <w:del w:id="1645" w:author="AbbVie2" w:date="2025-05-13T16:36:00Z"/>
        </w:trPr>
        <w:tc>
          <w:tcPr>
            <w:tcW w:w="1069" w:type="dxa"/>
            <w:tcBorders>
              <w:top w:val="single" w:sz="6" w:space="0" w:color="auto"/>
              <w:right w:val="single" w:sz="6" w:space="0" w:color="auto"/>
            </w:tcBorders>
          </w:tcPr>
          <w:p w14:paraId="75D06FF0" w14:textId="39943865" w:rsidR="004462A0" w:rsidRPr="008912CF" w:rsidRDefault="00615769" w:rsidP="00F675CF">
            <w:pPr>
              <w:pStyle w:val="In-texttable"/>
              <w:spacing w:line="240" w:lineRule="auto"/>
              <w:rPr>
                <w:del w:id="1646" w:author="AbbVie2" w:date="2025-05-13T16:36:00Z"/>
                <w:rFonts w:ascii="Times New Roman" w:hAnsi="Times New Roman"/>
                <w:sz w:val="22"/>
                <w:szCs w:val="22"/>
                <w:lang w:val="pt-PT"/>
              </w:rPr>
            </w:pPr>
            <w:del w:id="1647" w:author="AbbVie2" w:date="2025-05-13T16:36:00Z">
              <w:r w:rsidRPr="008912CF">
                <w:rPr>
                  <w:rFonts w:ascii="Times New Roman" w:hAnsi="Times New Roman"/>
                  <w:sz w:val="22"/>
                  <w:szCs w:val="22"/>
                  <w:lang w:val="pt-PT"/>
                </w:rPr>
                <w:delText xml:space="preserve">Resposta </w:delText>
              </w:r>
            </w:del>
          </w:p>
        </w:tc>
        <w:tc>
          <w:tcPr>
            <w:tcW w:w="2810" w:type="dxa"/>
            <w:gridSpan w:val="2"/>
            <w:tcBorders>
              <w:top w:val="single" w:sz="6" w:space="0" w:color="auto"/>
              <w:left w:val="single" w:sz="6" w:space="0" w:color="auto"/>
              <w:bottom w:val="single" w:sz="6" w:space="0" w:color="auto"/>
              <w:right w:val="single" w:sz="6" w:space="0" w:color="auto"/>
            </w:tcBorders>
          </w:tcPr>
          <w:p w14:paraId="58633C3A" w14:textId="7865ACB5" w:rsidR="004462A0" w:rsidRPr="008912CF" w:rsidRDefault="00615769" w:rsidP="00F675CF">
            <w:pPr>
              <w:pStyle w:val="In-texttable"/>
              <w:spacing w:line="240" w:lineRule="auto"/>
              <w:jc w:val="center"/>
              <w:rPr>
                <w:del w:id="1648" w:author="AbbVie2" w:date="2025-05-13T16:36:00Z"/>
                <w:rFonts w:ascii="Times New Roman" w:hAnsi="Times New Roman"/>
                <w:sz w:val="22"/>
                <w:szCs w:val="22"/>
                <w:lang w:val="pt-PT"/>
              </w:rPr>
            </w:pPr>
            <w:del w:id="1649" w:author="AbbVie2" w:date="2025-05-13T16:36:00Z">
              <w:r w:rsidRPr="008912CF">
                <w:rPr>
                  <w:rFonts w:ascii="Times New Roman" w:hAnsi="Times New Roman"/>
                  <w:sz w:val="22"/>
                  <w:szCs w:val="22"/>
                  <w:lang w:val="pt-PT"/>
                </w:rPr>
                <w:delText>Estudo AR I</w:delText>
              </w:r>
              <w:r w:rsidRPr="008912CF">
                <w:rPr>
                  <w:rFonts w:ascii="Times New Roman" w:hAnsi="Times New Roman"/>
                  <w:sz w:val="22"/>
                  <w:szCs w:val="22"/>
                  <w:vertAlign w:val="superscript"/>
                  <w:lang w:val="pt-PT"/>
                </w:rPr>
                <w:delText>a</w:delText>
              </w:r>
              <w:r w:rsidRPr="008912CF">
                <w:rPr>
                  <w:rFonts w:ascii="Times New Roman" w:hAnsi="Times New Roman"/>
                  <w:sz w:val="22"/>
                  <w:szCs w:val="22"/>
                  <w:lang w:val="pt-PT"/>
                </w:rPr>
                <w:delText>**</w:delText>
              </w:r>
            </w:del>
          </w:p>
        </w:tc>
        <w:tc>
          <w:tcPr>
            <w:tcW w:w="2268" w:type="dxa"/>
            <w:gridSpan w:val="2"/>
            <w:tcBorders>
              <w:top w:val="single" w:sz="6" w:space="0" w:color="auto"/>
              <w:left w:val="single" w:sz="6" w:space="0" w:color="auto"/>
              <w:bottom w:val="single" w:sz="6" w:space="0" w:color="auto"/>
              <w:right w:val="single" w:sz="6" w:space="0" w:color="auto"/>
            </w:tcBorders>
          </w:tcPr>
          <w:p w14:paraId="720A6897" w14:textId="506DDBF3" w:rsidR="004462A0" w:rsidRPr="008912CF" w:rsidRDefault="00615769" w:rsidP="00F675CF">
            <w:pPr>
              <w:pStyle w:val="In-texttable"/>
              <w:spacing w:line="240" w:lineRule="auto"/>
              <w:jc w:val="center"/>
              <w:rPr>
                <w:del w:id="1650" w:author="AbbVie2" w:date="2025-05-13T16:36:00Z"/>
                <w:rFonts w:ascii="Times New Roman" w:hAnsi="Times New Roman"/>
                <w:sz w:val="22"/>
                <w:szCs w:val="22"/>
                <w:lang w:val="pt-PT"/>
              </w:rPr>
            </w:pPr>
            <w:del w:id="1651" w:author="AbbVie2" w:date="2025-05-13T16:36:00Z">
              <w:r w:rsidRPr="008912CF">
                <w:rPr>
                  <w:rFonts w:ascii="Times New Roman" w:hAnsi="Times New Roman"/>
                  <w:sz w:val="22"/>
                  <w:szCs w:val="22"/>
                  <w:lang w:val="pt-PT"/>
                </w:rPr>
                <w:delText>Estudo AR II</w:delText>
              </w:r>
              <w:r w:rsidRPr="008912CF">
                <w:rPr>
                  <w:rFonts w:ascii="Times New Roman" w:hAnsi="Times New Roman"/>
                  <w:sz w:val="22"/>
                  <w:szCs w:val="22"/>
                  <w:vertAlign w:val="superscript"/>
                  <w:lang w:val="pt-PT"/>
                </w:rPr>
                <w:delText>a</w:delText>
              </w:r>
              <w:r w:rsidRPr="008912CF">
                <w:rPr>
                  <w:rFonts w:ascii="Times New Roman" w:hAnsi="Times New Roman"/>
                  <w:sz w:val="22"/>
                  <w:szCs w:val="22"/>
                  <w:lang w:val="pt-PT"/>
                </w:rPr>
                <w:delText>**</w:delText>
              </w:r>
            </w:del>
          </w:p>
        </w:tc>
        <w:tc>
          <w:tcPr>
            <w:tcW w:w="2977" w:type="dxa"/>
            <w:gridSpan w:val="2"/>
            <w:tcBorders>
              <w:top w:val="single" w:sz="6" w:space="0" w:color="auto"/>
              <w:left w:val="single" w:sz="6" w:space="0" w:color="auto"/>
              <w:bottom w:val="single" w:sz="6" w:space="0" w:color="auto"/>
            </w:tcBorders>
          </w:tcPr>
          <w:p w14:paraId="145B5BCC" w14:textId="0BEAF21F" w:rsidR="004462A0" w:rsidRPr="008912CF" w:rsidRDefault="00615769" w:rsidP="00F675CF">
            <w:pPr>
              <w:pStyle w:val="In-texttable"/>
              <w:spacing w:line="240" w:lineRule="auto"/>
              <w:jc w:val="center"/>
              <w:rPr>
                <w:del w:id="1652" w:author="AbbVie2" w:date="2025-05-13T16:36:00Z"/>
                <w:rFonts w:ascii="Times New Roman" w:hAnsi="Times New Roman"/>
                <w:sz w:val="22"/>
                <w:szCs w:val="22"/>
                <w:lang w:val="pt-PT"/>
              </w:rPr>
            </w:pPr>
            <w:del w:id="1653" w:author="AbbVie2" w:date="2025-05-13T16:36:00Z">
              <w:r w:rsidRPr="008912CF">
                <w:rPr>
                  <w:rFonts w:ascii="Times New Roman" w:hAnsi="Times New Roman"/>
                  <w:sz w:val="22"/>
                  <w:szCs w:val="22"/>
                  <w:lang w:val="pt-PT"/>
                </w:rPr>
                <w:delText>Estudo AR III</w:delText>
              </w:r>
              <w:r w:rsidRPr="008912CF">
                <w:rPr>
                  <w:rFonts w:ascii="Times New Roman" w:hAnsi="Times New Roman"/>
                  <w:sz w:val="22"/>
                  <w:szCs w:val="22"/>
                  <w:vertAlign w:val="superscript"/>
                  <w:lang w:val="pt-PT"/>
                </w:rPr>
                <w:delText>a</w:delText>
              </w:r>
              <w:r w:rsidRPr="008912CF">
                <w:rPr>
                  <w:rFonts w:ascii="Times New Roman" w:hAnsi="Times New Roman"/>
                  <w:sz w:val="22"/>
                  <w:szCs w:val="22"/>
                  <w:lang w:val="pt-PT"/>
                </w:rPr>
                <w:delText>**</w:delText>
              </w:r>
            </w:del>
          </w:p>
          <w:p w14:paraId="0FDD6D2A" w14:textId="4F574A61" w:rsidR="004462A0" w:rsidRPr="008912CF" w:rsidRDefault="004462A0" w:rsidP="00F675CF">
            <w:pPr>
              <w:pStyle w:val="In-texttable"/>
              <w:spacing w:line="240" w:lineRule="auto"/>
              <w:jc w:val="center"/>
              <w:rPr>
                <w:del w:id="1654" w:author="AbbVie2" w:date="2025-05-13T16:36:00Z"/>
                <w:rFonts w:ascii="Times New Roman" w:hAnsi="Times New Roman"/>
                <w:sz w:val="22"/>
                <w:szCs w:val="22"/>
                <w:lang w:val="pt-PT"/>
              </w:rPr>
            </w:pPr>
          </w:p>
        </w:tc>
      </w:tr>
      <w:tr w:rsidR="00A7162A" w14:paraId="2E6C4306" w14:textId="6C9ACC50" w:rsidTr="00F675CF">
        <w:trPr>
          <w:cantSplit/>
          <w:del w:id="1655" w:author="AbbVie2" w:date="2025-05-13T16:36:00Z"/>
        </w:trPr>
        <w:tc>
          <w:tcPr>
            <w:tcW w:w="1069" w:type="dxa"/>
            <w:tcBorders>
              <w:bottom w:val="single" w:sz="6" w:space="0" w:color="auto"/>
              <w:right w:val="single" w:sz="6" w:space="0" w:color="auto"/>
            </w:tcBorders>
          </w:tcPr>
          <w:p w14:paraId="063060CA" w14:textId="79AEAD1D" w:rsidR="004462A0" w:rsidRPr="008912CF" w:rsidRDefault="004462A0" w:rsidP="00F675CF">
            <w:pPr>
              <w:pStyle w:val="In-texttable"/>
              <w:spacing w:line="240" w:lineRule="auto"/>
              <w:rPr>
                <w:del w:id="1656" w:author="AbbVie2" w:date="2025-05-13T16:36:00Z"/>
                <w:rFonts w:ascii="Times New Roman" w:hAnsi="Times New Roman"/>
                <w:sz w:val="22"/>
                <w:szCs w:val="22"/>
                <w:lang w:val="pt-PT"/>
              </w:rPr>
            </w:pPr>
          </w:p>
        </w:tc>
        <w:tc>
          <w:tcPr>
            <w:tcW w:w="1393" w:type="dxa"/>
            <w:tcBorders>
              <w:top w:val="single" w:sz="6" w:space="0" w:color="auto"/>
              <w:left w:val="single" w:sz="6" w:space="0" w:color="auto"/>
              <w:bottom w:val="single" w:sz="6" w:space="0" w:color="auto"/>
            </w:tcBorders>
          </w:tcPr>
          <w:p w14:paraId="08FDD50A" w14:textId="1861F22E" w:rsidR="004462A0" w:rsidRPr="008912CF" w:rsidRDefault="00615769" w:rsidP="00F675CF">
            <w:pPr>
              <w:pStyle w:val="In-texttable"/>
              <w:spacing w:line="240" w:lineRule="auto"/>
              <w:jc w:val="center"/>
              <w:rPr>
                <w:del w:id="1657" w:author="AbbVie2" w:date="2025-05-13T16:36:00Z"/>
                <w:rFonts w:ascii="Times New Roman" w:hAnsi="Times New Roman"/>
                <w:sz w:val="22"/>
                <w:szCs w:val="22"/>
                <w:lang w:val="pt-PT"/>
              </w:rPr>
            </w:pPr>
            <w:del w:id="1658" w:author="AbbVie2" w:date="2025-05-13T16:36:00Z">
              <w:r w:rsidRPr="008912CF">
                <w:rPr>
                  <w:rFonts w:ascii="Times New Roman" w:hAnsi="Times New Roman"/>
                  <w:sz w:val="22"/>
                  <w:szCs w:val="22"/>
                  <w:lang w:val="pt-PT"/>
                </w:rPr>
                <w:delText>Placebo/MTX</w:delText>
              </w:r>
              <w:r w:rsidRPr="008912CF">
                <w:rPr>
                  <w:rFonts w:ascii="Times New Roman" w:hAnsi="Times New Roman"/>
                  <w:sz w:val="22"/>
                  <w:szCs w:val="22"/>
                  <w:vertAlign w:val="superscript"/>
                  <w:lang w:val="pt-PT"/>
                </w:rPr>
                <w:delText>c</w:delText>
              </w:r>
            </w:del>
          </w:p>
          <w:p w14:paraId="0CE2A831" w14:textId="4D357368" w:rsidR="004462A0" w:rsidRPr="008912CF" w:rsidRDefault="00615769" w:rsidP="00F675CF">
            <w:pPr>
              <w:pStyle w:val="In-texttable"/>
              <w:spacing w:line="240" w:lineRule="auto"/>
              <w:jc w:val="center"/>
              <w:rPr>
                <w:del w:id="1659" w:author="AbbVie2" w:date="2025-05-13T16:36:00Z"/>
                <w:rFonts w:ascii="Times New Roman" w:hAnsi="Times New Roman"/>
                <w:sz w:val="22"/>
                <w:szCs w:val="22"/>
                <w:lang w:val="pt-PT"/>
              </w:rPr>
            </w:pPr>
            <w:del w:id="1660" w:author="AbbVie2" w:date="2025-05-13T16:36:00Z">
              <w:r>
                <w:rPr>
                  <w:rFonts w:ascii="Times New Roman" w:hAnsi="Times New Roman"/>
                  <w:sz w:val="22"/>
                  <w:szCs w:val="22"/>
                  <w:lang w:val="pt-PT"/>
                </w:rPr>
                <w:delText>n</w:delText>
              </w:r>
              <w:r w:rsidRPr="008912CF">
                <w:rPr>
                  <w:rFonts w:ascii="Times New Roman" w:hAnsi="Times New Roman"/>
                  <w:sz w:val="22"/>
                  <w:szCs w:val="22"/>
                  <w:lang w:val="pt-PT"/>
                </w:rPr>
                <w:delText> = 60</w:delText>
              </w:r>
            </w:del>
          </w:p>
        </w:tc>
        <w:tc>
          <w:tcPr>
            <w:tcW w:w="1417" w:type="dxa"/>
            <w:tcBorders>
              <w:top w:val="single" w:sz="6" w:space="0" w:color="auto"/>
              <w:bottom w:val="single" w:sz="6" w:space="0" w:color="auto"/>
              <w:right w:val="single" w:sz="6" w:space="0" w:color="auto"/>
            </w:tcBorders>
          </w:tcPr>
          <w:p w14:paraId="6E5B252F" w14:textId="58D4D2CC" w:rsidR="004462A0" w:rsidRPr="008912CF" w:rsidRDefault="00615769" w:rsidP="00F675CF">
            <w:pPr>
              <w:pStyle w:val="In-texttable"/>
              <w:spacing w:line="240" w:lineRule="auto"/>
              <w:jc w:val="center"/>
              <w:rPr>
                <w:del w:id="1661" w:author="AbbVie2" w:date="2025-05-13T16:36:00Z"/>
                <w:rFonts w:ascii="Times New Roman" w:hAnsi="Times New Roman"/>
                <w:sz w:val="22"/>
                <w:szCs w:val="22"/>
                <w:lang w:val="pt-PT"/>
              </w:rPr>
            </w:pPr>
            <w:del w:id="1662" w:author="AbbVie2" w:date="2025-05-13T16:36:00Z">
              <w:r w:rsidRPr="008912CF">
                <w:rPr>
                  <w:rFonts w:ascii="Times New Roman" w:hAnsi="Times New Roman"/>
                  <w:sz w:val="22"/>
                  <w:szCs w:val="22"/>
                  <w:lang w:val="pt-PT"/>
                </w:rPr>
                <w:delText>Humira</w:delText>
              </w:r>
              <w:r w:rsidRPr="008912CF">
                <w:rPr>
                  <w:rFonts w:ascii="Times New Roman" w:hAnsi="Times New Roman"/>
                  <w:sz w:val="22"/>
                  <w:szCs w:val="22"/>
                  <w:vertAlign w:val="superscript"/>
                  <w:lang w:val="pt-PT"/>
                </w:rPr>
                <w:delText>b</w:delText>
              </w:r>
              <w:r w:rsidRPr="008912CF">
                <w:rPr>
                  <w:rFonts w:ascii="Times New Roman" w:hAnsi="Times New Roman"/>
                  <w:sz w:val="22"/>
                  <w:szCs w:val="22"/>
                  <w:lang w:val="pt-PT"/>
                </w:rPr>
                <w:delText>/MTX</w:delText>
              </w:r>
              <w:r w:rsidRPr="008912CF">
                <w:rPr>
                  <w:rFonts w:ascii="Times New Roman" w:hAnsi="Times New Roman"/>
                  <w:sz w:val="22"/>
                  <w:szCs w:val="22"/>
                  <w:vertAlign w:val="superscript"/>
                  <w:lang w:val="pt-PT"/>
                </w:rPr>
                <w:delText>c</w:delText>
              </w:r>
            </w:del>
          </w:p>
          <w:p w14:paraId="39AE5D8F" w14:textId="7B127962" w:rsidR="004462A0" w:rsidRPr="008912CF" w:rsidRDefault="00615769" w:rsidP="00F675CF">
            <w:pPr>
              <w:pStyle w:val="In-texttable"/>
              <w:spacing w:line="240" w:lineRule="auto"/>
              <w:jc w:val="center"/>
              <w:rPr>
                <w:del w:id="1663" w:author="AbbVie2" w:date="2025-05-13T16:36:00Z"/>
                <w:rFonts w:ascii="Times New Roman" w:hAnsi="Times New Roman"/>
                <w:sz w:val="22"/>
                <w:szCs w:val="22"/>
                <w:lang w:val="pt-PT"/>
              </w:rPr>
            </w:pPr>
            <w:del w:id="1664" w:author="AbbVie2" w:date="2025-05-13T16:36:00Z">
              <w:r w:rsidRPr="008912CF">
                <w:rPr>
                  <w:rFonts w:ascii="Times New Roman" w:hAnsi="Times New Roman"/>
                  <w:sz w:val="22"/>
                  <w:szCs w:val="22"/>
                  <w:lang w:val="pt-PT"/>
                </w:rPr>
                <w:delText>n = 63</w:delText>
              </w:r>
            </w:del>
          </w:p>
        </w:tc>
        <w:tc>
          <w:tcPr>
            <w:tcW w:w="1071" w:type="dxa"/>
            <w:tcBorders>
              <w:top w:val="single" w:sz="6" w:space="0" w:color="auto"/>
              <w:left w:val="single" w:sz="6" w:space="0" w:color="auto"/>
              <w:bottom w:val="single" w:sz="6" w:space="0" w:color="auto"/>
            </w:tcBorders>
          </w:tcPr>
          <w:p w14:paraId="7147F690" w14:textId="18DFA90E" w:rsidR="004462A0" w:rsidRPr="008912CF" w:rsidRDefault="00615769" w:rsidP="00F675CF">
            <w:pPr>
              <w:pStyle w:val="In-texttable"/>
              <w:spacing w:line="240" w:lineRule="auto"/>
              <w:jc w:val="center"/>
              <w:rPr>
                <w:del w:id="1665" w:author="AbbVie2" w:date="2025-05-13T16:36:00Z"/>
                <w:rFonts w:ascii="Times New Roman" w:hAnsi="Times New Roman"/>
                <w:sz w:val="22"/>
                <w:szCs w:val="22"/>
                <w:lang w:val="pt-PT"/>
              </w:rPr>
            </w:pPr>
            <w:del w:id="1666" w:author="AbbVie2" w:date="2025-05-13T16:36:00Z">
              <w:r w:rsidRPr="008912CF">
                <w:rPr>
                  <w:rFonts w:ascii="Times New Roman" w:hAnsi="Times New Roman"/>
                  <w:sz w:val="22"/>
                  <w:szCs w:val="22"/>
                  <w:lang w:val="pt-PT"/>
                </w:rPr>
                <w:delText>Placebo</w:delText>
              </w:r>
            </w:del>
          </w:p>
          <w:p w14:paraId="70CAD451" w14:textId="62D47455" w:rsidR="004462A0" w:rsidRPr="008912CF" w:rsidRDefault="00615769" w:rsidP="00F675CF">
            <w:pPr>
              <w:pStyle w:val="In-texttable"/>
              <w:spacing w:line="240" w:lineRule="auto"/>
              <w:jc w:val="center"/>
              <w:rPr>
                <w:del w:id="1667" w:author="AbbVie2" w:date="2025-05-13T16:36:00Z"/>
                <w:rFonts w:ascii="Times New Roman" w:hAnsi="Times New Roman"/>
                <w:sz w:val="22"/>
                <w:szCs w:val="22"/>
                <w:lang w:val="pt-PT"/>
              </w:rPr>
            </w:pPr>
            <w:del w:id="1668" w:author="AbbVie2" w:date="2025-05-13T16:36:00Z">
              <w:r w:rsidRPr="008912CF">
                <w:rPr>
                  <w:rFonts w:ascii="Times New Roman" w:hAnsi="Times New Roman"/>
                  <w:sz w:val="22"/>
                  <w:szCs w:val="22"/>
                  <w:lang w:val="pt-PT"/>
                </w:rPr>
                <w:delText>n = 110</w:delText>
              </w:r>
            </w:del>
          </w:p>
        </w:tc>
        <w:tc>
          <w:tcPr>
            <w:tcW w:w="1197" w:type="dxa"/>
            <w:tcBorders>
              <w:top w:val="single" w:sz="6" w:space="0" w:color="auto"/>
              <w:bottom w:val="single" w:sz="6" w:space="0" w:color="auto"/>
              <w:right w:val="single" w:sz="6" w:space="0" w:color="auto"/>
            </w:tcBorders>
          </w:tcPr>
          <w:p w14:paraId="304017BF" w14:textId="4DCA17B6" w:rsidR="004462A0" w:rsidRPr="008912CF" w:rsidRDefault="00615769" w:rsidP="00F675CF">
            <w:pPr>
              <w:pStyle w:val="In-texttable"/>
              <w:spacing w:line="240" w:lineRule="auto"/>
              <w:jc w:val="center"/>
              <w:rPr>
                <w:del w:id="1669" w:author="AbbVie2" w:date="2025-05-13T16:36:00Z"/>
                <w:rFonts w:ascii="Times New Roman" w:hAnsi="Times New Roman"/>
                <w:sz w:val="22"/>
                <w:szCs w:val="22"/>
                <w:lang w:val="pt-PT"/>
              </w:rPr>
            </w:pPr>
            <w:del w:id="1670" w:author="AbbVie2" w:date="2025-05-13T16:36:00Z">
              <w:r w:rsidRPr="008912CF">
                <w:rPr>
                  <w:rFonts w:ascii="Times New Roman" w:hAnsi="Times New Roman"/>
                  <w:sz w:val="22"/>
                  <w:szCs w:val="22"/>
                  <w:lang w:val="pt-PT"/>
                </w:rPr>
                <w:delText>Humira</w:delText>
              </w:r>
              <w:r w:rsidRPr="008912CF">
                <w:rPr>
                  <w:rFonts w:ascii="Times New Roman" w:hAnsi="Times New Roman"/>
                  <w:sz w:val="22"/>
                  <w:szCs w:val="22"/>
                  <w:vertAlign w:val="superscript"/>
                  <w:lang w:val="pt-PT"/>
                </w:rPr>
                <w:delText>b</w:delText>
              </w:r>
            </w:del>
          </w:p>
          <w:p w14:paraId="25DBB8A7" w14:textId="5EFFC3EA" w:rsidR="004462A0" w:rsidRPr="008912CF" w:rsidRDefault="00615769" w:rsidP="00F675CF">
            <w:pPr>
              <w:pStyle w:val="In-texttable"/>
              <w:spacing w:line="240" w:lineRule="auto"/>
              <w:jc w:val="center"/>
              <w:rPr>
                <w:del w:id="1671" w:author="AbbVie2" w:date="2025-05-13T16:36:00Z"/>
                <w:rFonts w:ascii="Times New Roman" w:hAnsi="Times New Roman"/>
                <w:sz w:val="22"/>
                <w:szCs w:val="22"/>
                <w:lang w:val="pt-PT"/>
              </w:rPr>
            </w:pPr>
            <w:del w:id="1672" w:author="AbbVie2" w:date="2025-05-13T16:36:00Z">
              <w:r w:rsidRPr="008912CF">
                <w:rPr>
                  <w:rFonts w:ascii="Times New Roman" w:hAnsi="Times New Roman"/>
                  <w:sz w:val="22"/>
                  <w:szCs w:val="22"/>
                  <w:lang w:val="pt-PT"/>
                </w:rPr>
                <w:delText>n = 113</w:delText>
              </w:r>
            </w:del>
          </w:p>
        </w:tc>
        <w:tc>
          <w:tcPr>
            <w:tcW w:w="1418" w:type="dxa"/>
            <w:tcBorders>
              <w:top w:val="single" w:sz="6" w:space="0" w:color="auto"/>
              <w:left w:val="single" w:sz="6" w:space="0" w:color="auto"/>
              <w:bottom w:val="single" w:sz="6" w:space="0" w:color="auto"/>
            </w:tcBorders>
          </w:tcPr>
          <w:p w14:paraId="7947B655" w14:textId="7FA154A8" w:rsidR="004462A0" w:rsidRPr="008912CF" w:rsidRDefault="00615769" w:rsidP="00F675CF">
            <w:pPr>
              <w:pStyle w:val="In-texttable"/>
              <w:spacing w:line="240" w:lineRule="auto"/>
              <w:jc w:val="center"/>
              <w:rPr>
                <w:del w:id="1673" w:author="AbbVie2" w:date="2025-05-13T16:36:00Z"/>
                <w:rFonts w:ascii="Times New Roman" w:hAnsi="Times New Roman"/>
                <w:sz w:val="22"/>
                <w:szCs w:val="22"/>
                <w:lang w:val="pt-PT"/>
              </w:rPr>
            </w:pPr>
            <w:del w:id="1674" w:author="AbbVie2" w:date="2025-05-13T16:36:00Z">
              <w:r w:rsidRPr="008912CF">
                <w:rPr>
                  <w:rFonts w:ascii="Times New Roman" w:hAnsi="Times New Roman"/>
                  <w:sz w:val="22"/>
                  <w:szCs w:val="22"/>
                  <w:lang w:val="pt-PT"/>
                </w:rPr>
                <w:delText>Placebo/MTX</w:delText>
              </w:r>
              <w:r w:rsidRPr="008912CF">
                <w:rPr>
                  <w:rFonts w:ascii="Times New Roman" w:hAnsi="Times New Roman"/>
                  <w:sz w:val="22"/>
                  <w:szCs w:val="22"/>
                  <w:vertAlign w:val="superscript"/>
                  <w:lang w:val="pt-PT"/>
                </w:rPr>
                <w:delText>c</w:delText>
              </w:r>
            </w:del>
          </w:p>
          <w:p w14:paraId="4F2AC8A6" w14:textId="1FF2154E" w:rsidR="004462A0" w:rsidRPr="008912CF" w:rsidRDefault="00615769" w:rsidP="00F675CF">
            <w:pPr>
              <w:pStyle w:val="In-texttable"/>
              <w:spacing w:line="240" w:lineRule="auto"/>
              <w:jc w:val="center"/>
              <w:rPr>
                <w:del w:id="1675" w:author="AbbVie2" w:date="2025-05-13T16:36:00Z"/>
                <w:rFonts w:ascii="Times New Roman" w:hAnsi="Times New Roman"/>
                <w:sz w:val="22"/>
                <w:szCs w:val="22"/>
                <w:lang w:val="pt-PT"/>
              </w:rPr>
            </w:pPr>
            <w:del w:id="1676" w:author="AbbVie2" w:date="2025-05-13T16:36:00Z">
              <w:r w:rsidRPr="008912CF">
                <w:rPr>
                  <w:rFonts w:ascii="Times New Roman" w:hAnsi="Times New Roman"/>
                  <w:sz w:val="22"/>
                  <w:szCs w:val="22"/>
                  <w:lang w:val="pt-PT"/>
                </w:rPr>
                <w:delText>n = 200</w:delText>
              </w:r>
            </w:del>
          </w:p>
        </w:tc>
        <w:tc>
          <w:tcPr>
            <w:tcW w:w="1559" w:type="dxa"/>
            <w:tcBorders>
              <w:top w:val="single" w:sz="6" w:space="0" w:color="auto"/>
              <w:bottom w:val="single" w:sz="6" w:space="0" w:color="auto"/>
            </w:tcBorders>
          </w:tcPr>
          <w:p w14:paraId="37606631" w14:textId="24333A08" w:rsidR="004462A0" w:rsidRPr="008912CF" w:rsidRDefault="00615769" w:rsidP="00F675CF">
            <w:pPr>
              <w:pStyle w:val="In-texttable"/>
              <w:spacing w:line="240" w:lineRule="auto"/>
              <w:jc w:val="center"/>
              <w:rPr>
                <w:del w:id="1677" w:author="AbbVie2" w:date="2025-05-13T16:36:00Z"/>
                <w:rFonts w:ascii="Times New Roman" w:hAnsi="Times New Roman"/>
                <w:sz w:val="22"/>
                <w:szCs w:val="22"/>
                <w:lang w:val="pt-PT"/>
              </w:rPr>
            </w:pPr>
            <w:del w:id="1678" w:author="AbbVie2" w:date="2025-05-13T16:36:00Z">
              <w:r w:rsidRPr="008912CF">
                <w:rPr>
                  <w:rFonts w:ascii="Times New Roman" w:hAnsi="Times New Roman"/>
                  <w:sz w:val="22"/>
                  <w:szCs w:val="22"/>
                  <w:lang w:val="pt-PT"/>
                </w:rPr>
                <w:delText>Humira</w:delText>
              </w:r>
              <w:r w:rsidRPr="008912CF">
                <w:rPr>
                  <w:rFonts w:ascii="Times New Roman" w:hAnsi="Times New Roman"/>
                  <w:sz w:val="22"/>
                  <w:szCs w:val="22"/>
                  <w:vertAlign w:val="superscript"/>
                  <w:lang w:val="pt-PT"/>
                </w:rPr>
                <w:delText>b</w:delText>
              </w:r>
              <w:r w:rsidRPr="008912CF">
                <w:rPr>
                  <w:rFonts w:ascii="Times New Roman" w:hAnsi="Times New Roman"/>
                  <w:sz w:val="22"/>
                  <w:szCs w:val="22"/>
                  <w:lang w:val="pt-PT"/>
                </w:rPr>
                <w:delText>/MTX</w:delText>
              </w:r>
              <w:r w:rsidRPr="008912CF">
                <w:rPr>
                  <w:rFonts w:ascii="Times New Roman" w:hAnsi="Times New Roman"/>
                  <w:sz w:val="22"/>
                  <w:szCs w:val="22"/>
                  <w:vertAlign w:val="superscript"/>
                  <w:lang w:val="pt-PT"/>
                </w:rPr>
                <w:delText>c</w:delText>
              </w:r>
            </w:del>
          </w:p>
          <w:p w14:paraId="083D3022" w14:textId="07308CEB" w:rsidR="004462A0" w:rsidRPr="008912CF" w:rsidRDefault="00615769" w:rsidP="00F675CF">
            <w:pPr>
              <w:pStyle w:val="In-texttable"/>
              <w:spacing w:line="240" w:lineRule="auto"/>
              <w:jc w:val="center"/>
              <w:rPr>
                <w:del w:id="1679" w:author="AbbVie2" w:date="2025-05-13T16:36:00Z"/>
                <w:rFonts w:ascii="Times New Roman" w:hAnsi="Times New Roman"/>
                <w:sz w:val="22"/>
                <w:szCs w:val="22"/>
                <w:lang w:val="pt-PT"/>
              </w:rPr>
            </w:pPr>
            <w:del w:id="1680" w:author="AbbVie2" w:date="2025-05-13T16:36:00Z">
              <w:r w:rsidRPr="008912CF">
                <w:rPr>
                  <w:rFonts w:ascii="Times New Roman" w:hAnsi="Times New Roman"/>
                  <w:sz w:val="22"/>
                  <w:szCs w:val="22"/>
                  <w:lang w:val="pt-PT"/>
                </w:rPr>
                <w:delText>n = 207</w:delText>
              </w:r>
            </w:del>
          </w:p>
        </w:tc>
      </w:tr>
      <w:tr w:rsidR="00A7162A" w14:paraId="0E245138" w14:textId="6ECFC281" w:rsidTr="00F675CF">
        <w:trPr>
          <w:cantSplit/>
          <w:del w:id="1681" w:author="AbbVie2" w:date="2025-05-13T16:36:00Z"/>
        </w:trPr>
        <w:tc>
          <w:tcPr>
            <w:tcW w:w="1069" w:type="dxa"/>
            <w:tcBorders>
              <w:right w:val="single" w:sz="6" w:space="0" w:color="auto"/>
            </w:tcBorders>
          </w:tcPr>
          <w:p w14:paraId="0A53F947" w14:textId="6B241458" w:rsidR="004462A0" w:rsidRPr="008912CF" w:rsidRDefault="00615769" w:rsidP="00F675CF">
            <w:pPr>
              <w:pStyle w:val="In-texttable"/>
              <w:tabs>
                <w:tab w:val="left" w:pos="144"/>
              </w:tabs>
              <w:spacing w:line="240" w:lineRule="auto"/>
              <w:rPr>
                <w:del w:id="1682" w:author="AbbVie2" w:date="2025-05-13T16:36:00Z"/>
                <w:rFonts w:ascii="Times New Roman" w:hAnsi="Times New Roman"/>
                <w:sz w:val="22"/>
                <w:szCs w:val="22"/>
                <w:lang w:val="pt-PT"/>
              </w:rPr>
            </w:pPr>
            <w:del w:id="1683" w:author="AbbVie2" w:date="2025-05-13T16:36:00Z">
              <w:r w:rsidRPr="008912CF">
                <w:rPr>
                  <w:rFonts w:ascii="Times New Roman" w:hAnsi="Times New Roman"/>
                  <w:sz w:val="22"/>
                  <w:szCs w:val="22"/>
                  <w:lang w:val="pt-PT"/>
                </w:rPr>
                <w:delText>ACR 20</w:delText>
              </w:r>
            </w:del>
          </w:p>
        </w:tc>
        <w:tc>
          <w:tcPr>
            <w:tcW w:w="1393" w:type="dxa"/>
            <w:tcBorders>
              <w:left w:val="single" w:sz="6" w:space="0" w:color="auto"/>
            </w:tcBorders>
          </w:tcPr>
          <w:p w14:paraId="528EBFD4" w14:textId="622D6482" w:rsidR="004462A0" w:rsidRPr="008912CF" w:rsidRDefault="004462A0" w:rsidP="00F675CF">
            <w:pPr>
              <w:pStyle w:val="In-texttable"/>
              <w:spacing w:line="240" w:lineRule="auto"/>
              <w:jc w:val="center"/>
              <w:rPr>
                <w:del w:id="1684" w:author="AbbVie2" w:date="2025-05-13T16:36:00Z"/>
                <w:rFonts w:ascii="Times New Roman" w:hAnsi="Times New Roman"/>
                <w:sz w:val="22"/>
                <w:szCs w:val="22"/>
                <w:lang w:val="pt-PT"/>
              </w:rPr>
            </w:pPr>
          </w:p>
        </w:tc>
        <w:tc>
          <w:tcPr>
            <w:tcW w:w="1417" w:type="dxa"/>
            <w:tcBorders>
              <w:right w:val="single" w:sz="6" w:space="0" w:color="auto"/>
            </w:tcBorders>
          </w:tcPr>
          <w:p w14:paraId="49621A35" w14:textId="0275C8D7" w:rsidR="004462A0" w:rsidRPr="008912CF" w:rsidRDefault="004462A0" w:rsidP="00F675CF">
            <w:pPr>
              <w:pStyle w:val="In-texttable"/>
              <w:spacing w:line="240" w:lineRule="auto"/>
              <w:jc w:val="center"/>
              <w:rPr>
                <w:del w:id="1685" w:author="AbbVie2" w:date="2025-05-13T16:36:00Z"/>
                <w:rFonts w:ascii="Times New Roman" w:hAnsi="Times New Roman"/>
                <w:sz w:val="22"/>
                <w:szCs w:val="22"/>
                <w:lang w:val="pt-PT"/>
              </w:rPr>
            </w:pPr>
          </w:p>
        </w:tc>
        <w:tc>
          <w:tcPr>
            <w:tcW w:w="1071" w:type="dxa"/>
            <w:tcBorders>
              <w:left w:val="single" w:sz="6" w:space="0" w:color="auto"/>
            </w:tcBorders>
          </w:tcPr>
          <w:p w14:paraId="53943633" w14:textId="7BA68C03" w:rsidR="004462A0" w:rsidRPr="008912CF" w:rsidRDefault="004462A0" w:rsidP="00F675CF">
            <w:pPr>
              <w:pStyle w:val="In-texttable"/>
              <w:spacing w:line="240" w:lineRule="auto"/>
              <w:jc w:val="center"/>
              <w:rPr>
                <w:del w:id="1686" w:author="AbbVie2" w:date="2025-05-13T16:36:00Z"/>
                <w:rFonts w:ascii="Times New Roman" w:hAnsi="Times New Roman"/>
                <w:sz w:val="22"/>
                <w:szCs w:val="22"/>
                <w:lang w:val="pt-PT"/>
              </w:rPr>
            </w:pPr>
          </w:p>
        </w:tc>
        <w:tc>
          <w:tcPr>
            <w:tcW w:w="1197" w:type="dxa"/>
            <w:tcBorders>
              <w:right w:val="single" w:sz="6" w:space="0" w:color="auto"/>
            </w:tcBorders>
          </w:tcPr>
          <w:p w14:paraId="77F01F49" w14:textId="3F5639DE" w:rsidR="004462A0" w:rsidRPr="008912CF" w:rsidRDefault="004462A0" w:rsidP="00F675CF">
            <w:pPr>
              <w:pStyle w:val="In-texttable"/>
              <w:spacing w:line="240" w:lineRule="auto"/>
              <w:jc w:val="center"/>
              <w:rPr>
                <w:del w:id="1687" w:author="AbbVie2" w:date="2025-05-13T16:36:00Z"/>
                <w:rFonts w:ascii="Times New Roman" w:hAnsi="Times New Roman"/>
                <w:sz w:val="22"/>
                <w:szCs w:val="22"/>
                <w:lang w:val="pt-PT"/>
              </w:rPr>
            </w:pPr>
          </w:p>
        </w:tc>
        <w:tc>
          <w:tcPr>
            <w:tcW w:w="1418" w:type="dxa"/>
            <w:tcBorders>
              <w:top w:val="single" w:sz="6" w:space="0" w:color="auto"/>
              <w:left w:val="single" w:sz="6" w:space="0" w:color="auto"/>
            </w:tcBorders>
          </w:tcPr>
          <w:p w14:paraId="51ED2EC7" w14:textId="69F6BDE8" w:rsidR="004462A0" w:rsidRPr="008912CF" w:rsidRDefault="004462A0" w:rsidP="00F675CF">
            <w:pPr>
              <w:pStyle w:val="In-texttable"/>
              <w:spacing w:line="240" w:lineRule="auto"/>
              <w:jc w:val="center"/>
              <w:rPr>
                <w:del w:id="1688" w:author="AbbVie2" w:date="2025-05-13T16:36:00Z"/>
                <w:rFonts w:ascii="Times New Roman" w:hAnsi="Times New Roman"/>
                <w:sz w:val="22"/>
                <w:szCs w:val="22"/>
                <w:lang w:val="pt-PT"/>
              </w:rPr>
            </w:pPr>
          </w:p>
        </w:tc>
        <w:tc>
          <w:tcPr>
            <w:tcW w:w="1559" w:type="dxa"/>
            <w:tcBorders>
              <w:top w:val="single" w:sz="6" w:space="0" w:color="auto"/>
            </w:tcBorders>
          </w:tcPr>
          <w:p w14:paraId="13285A7E" w14:textId="39E05954" w:rsidR="004462A0" w:rsidRPr="008912CF" w:rsidRDefault="004462A0" w:rsidP="00F675CF">
            <w:pPr>
              <w:pStyle w:val="In-texttable"/>
              <w:spacing w:line="240" w:lineRule="auto"/>
              <w:jc w:val="center"/>
              <w:rPr>
                <w:del w:id="1689" w:author="AbbVie2" w:date="2025-05-13T16:36:00Z"/>
                <w:rFonts w:ascii="Times New Roman" w:hAnsi="Times New Roman"/>
                <w:sz w:val="22"/>
                <w:szCs w:val="22"/>
                <w:lang w:val="pt-PT"/>
              </w:rPr>
            </w:pPr>
          </w:p>
        </w:tc>
      </w:tr>
      <w:tr w:rsidR="00A7162A" w14:paraId="231DCE4E" w14:textId="731A2DDF" w:rsidTr="00F675CF">
        <w:trPr>
          <w:cantSplit/>
          <w:del w:id="1690" w:author="AbbVie2" w:date="2025-05-13T16:36:00Z"/>
        </w:trPr>
        <w:tc>
          <w:tcPr>
            <w:tcW w:w="1069" w:type="dxa"/>
            <w:tcBorders>
              <w:right w:val="single" w:sz="6" w:space="0" w:color="auto"/>
            </w:tcBorders>
          </w:tcPr>
          <w:p w14:paraId="224C82B9" w14:textId="155C12F9" w:rsidR="004462A0" w:rsidRPr="008912CF" w:rsidRDefault="00615769" w:rsidP="00F675CF">
            <w:pPr>
              <w:pStyle w:val="In-texttable"/>
              <w:tabs>
                <w:tab w:val="left" w:pos="144"/>
              </w:tabs>
              <w:spacing w:line="240" w:lineRule="auto"/>
              <w:rPr>
                <w:del w:id="1691" w:author="AbbVie2" w:date="2025-05-13T16:36:00Z"/>
                <w:rFonts w:ascii="Times New Roman" w:hAnsi="Times New Roman"/>
                <w:sz w:val="22"/>
                <w:szCs w:val="22"/>
                <w:lang w:val="pt-PT"/>
              </w:rPr>
            </w:pPr>
            <w:del w:id="1692" w:author="AbbVie2" w:date="2025-05-13T16:36:00Z">
              <w:r w:rsidRPr="008912CF">
                <w:rPr>
                  <w:rFonts w:ascii="Times New Roman" w:hAnsi="Times New Roman"/>
                  <w:sz w:val="22"/>
                  <w:szCs w:val="22"/>
                  <w:lang w:val="pt-PT"/>
                </w:rPr>
                <w:tab/>
                <w:delText>6</w:delText>
              </w:r>
              <w:r>
                <w:rPr>
                  <w:rFonts w:ascii="Times New Roman" w:hAnsi="Times New Roman"/>
                  <w:sz w:val="22"/>
                  <w:szCs w:val="22"/>
                  <w:lang w:val="pt-PT"/>
                </w:rPr>
                <w:delText> </w:delText>
              </w:r>
              <w:r w:rsidRPr="008912CF">
                <w:rPr>
                  <w:rFonts w:ascii="Times New Roman" w:hAnsi="Times New Roman"/>
                  <w:sz w:val="22"/>
                  <w:szCs w:val="22"/>
                  <w:lang w:val="pt-PT"/>
                </w:rPr>
                <w:delText>meses</w:delText>
              </w:r>
            </w:del>
          </w:p>
        </w:tc>
        <w:tc>
          <w:tcPr>
            <w:tcW w:w="1393" w:type="dxa"/>
            <w:tcBorders>
              <w:left w:val="single" w:sz="6" w:space="0" w:color="auto"/>
            </w:tcBorders>
          </w:tcPr>
          <w:p w14:paraId="6C3FC194" w14:textId="15A9B844" w:rsidR="004462A0" w:rsidRPr="008912CF" w:rsidRDefault="00615769" w:rsidP="00F675CF">
            <w:pPr>
              <w:pStyle w:val="In-texttable"/>
              <w:tabs>
                <w:tab w:val="decimal" w:pos="259"/>
              </w:tabs>
              <w:spacing w:line="240" w:lineRule="auto"/>
              <w:jc w:val="center"/>
              <w:rPr>
                <w:del w:id="1693" w:author="AbbVie2" w:date="2025-05-13T16:36:00Z"/>
                <w:rFonts w:ascii="Times New Roman" w:hAnsi="Times New Roman"/>
                <w:sz w:val="22"/>
                <w:szCs w:val="22"/>
                <w:lang w:val="pt-PT"/>
              </w:rPr>
            </w:pPr>
            <w:del w:id="1694" w:author="AbbVie2" w:date="2025-05-13T16:36:00Z">
              <w:r w:rsidRPr="008912CF">
                <w:rPr>
                  <w:rFonts w:ascii="Times New Roman" w:hAnsi="Times New Roman"/>
                  <w:sz w:val="22"/>
                  <w:szCs w:val="22"/>
                  <w:lang w:val="pt-PT"/>
                </w:rPr>
                <w:delText>13,3%</w:delText>
              </w:r>
            </w:del>
          </w:p>
        </w:tc>
        <w:tc>
          <w:tcPr>
            <w:tcW w:w="1417" w:type="dxa"/>
            <w:tcBorders>
              <w:right w:val="single" w:sz="6" w:space="0" w:color="auto"/>
            </w:tcBorders>
          </w:tcPr>
          <w:p w14:paraId="64F24AD1" w14:textId="71138E56" w:rsidR="004462A0" w:rsidRPr="008912CF" w:rsidRDefault="00615769" w:rsidP="00F675CF">
            <w:pPr>
              <w:pStyle w:val="In-texttable"/>
              <w:tabs>
                <w:tab w:val="decimal" w:pos="250"/>
              </w:tabs>
              <w:spacing w:line="240" w:lineRule="auto"/>
              <w:jc w:val="center"/>
              <w:rPr>
                <w:del w:id="1695" w:author="AbbVie2" w:date="2025-05-13T16:36:00Z"/>
                <w:rFonts w:ascii="Times New Roman" w:hAnsi="Times New Roman"/>
                <w:sz w:val="22"/>
                <w:szCs w:val="22"/>
                <w:lang w:val="pt-PT"/>
              </w:rPr>
            </w:pPr>
            <w:del w:id="1696" w:author="AbbVie2" w:date="2025-05-13T16:36:00Z">
              <w:r w:rsidRPr="008912CF">
                <w:rPr>
                  <w:rFonts w:ascii="Times New Roman" w:hAnsi="Times New Roman"/>
                  <w:sz w:val="22"/>
                  <w:szCs w:val="22"/>
                  <w:lang w:val="pt-PT"/>
                </w:rPr>
                <w:delText>65,1%</w:delText>
              </w:r>
            </w:del>
          </w:p>
        </w:tc>
        <w:tc>
          <w:tcPr>
            <w:tcW w:w="1071" w:type="dxa"/>
            <w:tcBorders>
              <w:left w:val="single" w:sz="6" w:space="0" w:color="auto"/>
            </w:tcBorders>
          </w:tcPr>
          <w:p w14:paraId="3E2D1E19" w14:textId="719967ED" w:rsidR="004462A0" w:rsidRPr="008912CF" w:rsidRDefault="00615769" w:rsidP="00F675CF">
            <w:pPr>
              <w:pStyle w:val="In-texttable"/>
              <w:spacing w:line="240" w:lineRule="auto"/>
              <w:jc w:val="center"/>
              <w:rPr>
                <w:del w:id="1697" w:author="AbbVie2" w:date="2025-05-13T16:36:00Z"/>
                <w:rFonts w:ascii="Times New Roman" w:hAnsi="Times New Roman"/>
                <w:sz w:val="22"/>
                <w:szCs w:val="22"/>
                <w:lang w:val="pt-PT"/>
              </w:rPr>
            </w:pPr>
            <w:del w:id="1698" w:author="AbbVie2" w:date="2025-05-13T16:36:00Z">
              <w:r w:rsidRPr="008912CF">
                <w:rPr>
                  <w:rFonts w:ascii="Times New Roman" w:hAnsi="Times New Roman"/>
                  <w:sz w:val="22"/>
                  <w:szCs w:val="22"/>
                  <w:lang w:val="pt-PT"/>
                </w:rPr>
                <w:delText>19,1%</w:delText>
              </w:r>
            </w:del>
          </w:p>
        </w:tc>
        <w:tc>
          <w:tcPr>
            <w:tcW w:w="1197" w:type="dxa"/>
            <w:tcBorders>
              <w:right w:val="single" w:sz="6" w:space="0" w:color="auto"/>
            </w:tcBorders>
          </w:tcPr>
          <w:p w14:paraId="63E88DAE" w14:textId="7760763C" w:rsidR="004462A0" w:rsidRPr="008912CF" w:rsidRDefault="00615769" w:rsidP="00F675CF">
            <w:pPr>
              <w:pStyle w:val="In-texttable"/>
              <w:tabs>
                <w:tab w:val="decimal" w:pos="205"/>
              </w:tabs>
              <w:spacing w:line="240" w:lineRule="auto"/>
              <w:jc w:val="center"/>
              <w:rPr>
                <w:del w:id="1699" w:author="AbbVie2" w:date="2025-05-13T16:36:00Z"/>
                <w:rFonts w:ascii="Times New Roman" w:hAnsi="Times New Roman"/>
                <w:sz w:val="22"/>
                <w:szCs w:val="22"/>
                <w:lang w:val="pt-PT"/>
              </w:rPr>
            </w:pPr>
            <w:del w:id="1700" w:author="AbbVie2" w:date="2025-05-13T16:36:00Z">
              <w:r w:rsidRPr="008912CF">
                <w:rPr>
                  <w:rFonts w:ascii="Times New Roman" w:hAnsi="Times New Roman"/>
                  <w:sz w:val="22"/>
                  <w:szCs w:val="22"/>
                  <w:lang w:val="pt-PT"/>
                </w:rPr>
                <w:delText>46,0%</w:delText>
              </w:r>
            </w:del>
          </w:p>
        </w:tc>
        <w:tc>
          <w:tcPr>
            <w:tcW w:w="1418" w:type="dxa"/>
            <w:tcBorders>
              <w:left w:val="single" w:sz="6" w:space="0" w:color="auto"/>
            </w:tcBorders>
          </w:tcPr>
          <w:p w14:paraId="6B903BED" w14:textId="32425631" w:rsidR="004462A0" w:rsidRPr="008912CF" w:rsidRDefault="00615769" w:rsidP="00F675CF">
            <w:pPr>
              <w:pStyle w:val="In-texttable"/>
              <w:tabs>
                <w:tab w:val="decimal" w:pos="144"/>
              </w:tabs>
              <w:spacing w:line="240" w:lineRule="auto"/>
              <w:jc w:val="center"/>
              <w:rPr>
                <w:del w:id="1701" w:author="AbbVie2" w:date="2025-05-13T16:36:00Z"/>
                <w:rFonts w:ascii="Times New Roman" w:hAnsi="Times New Roman"/>
                <w:sz w:val="22"/>
                <w:szCs w:val="22"/>
                <w:lang w:val="pt-PT"/>
              </w:rPr>
            </w:pPr>
            <w:del w:id="1702" w:author="AbbVie2" w:date="2025-05-13T16:36:00Z">
              <w:r w:rsidRPr="008912CF">
                <w:rPr>
                  <w:rFonts w:ascii="Times New Roman" w:hAnsi="Times New Roman"/>
                  <w:sz w:val="22"/>
                  <w:szCs w:val="22"/>
                  <w:lang w:val="pt-PT"/>
                </w:rPr>
                <w:delText>29,5%</w:delText>
              </w:r>
            </w:del>
          </w:p>
        </w:tc>
        <w:tc>
          <w:tcPr>
            <w:tcW w:w="1559" w:type="dxa"/>
          </w:tcPr>
          <w:p w14:paraId="1757ECA2" w14:textId="0A68D759" w:rsidR="004462A0" w:rsidRPr="008912CF" w:rsidRDefault="00615769" w:rsidP="00F675CF">
            <w:pPr>
              <w:pStyle w:val="In-texttable"/>
              <w:tabs>
                <w:tab w:val="decimal" w:pos="95"/>
              </w:tabs>
              <w:spacing w:line="240" w:lineRule="auto"/>
              <w:jc w:val="center"/>
              <w:rPr>
                <w:del w:id="1703" w:author="AbbVie2" w:date="2025-05-13T16:36:00Z"/>
                <w:rFonts w:ascii="Times New Roman" w:hAnsi="Times New Roman"/>
                <w:sz w:val="22"/>
                <w:szCs w:val="22"/>
                <w:lang w:val="pt-PT"/>
              </w:rPr>
            </w:pPr>
            <w:del w:id="1704" w:author="AbbVie2" w:date="2025-05-13T16:36:00Z">
              <w:r w:rsidRPr="008912CF">
                <w:rPr>
                  <w:rFonts w:ascii="Times New Roman" w:hAnsi="Times New Roman"/>
                  <w:sz w:val="22"/>
                  <w:szCs w:val="22"/>
                  <w:lang w:val="pt-PT"/>
                </w:rPr>
                <w:delText>63,3%</w:delText>
              </w:r>
            </w:del>
          </w:p>
        </w:tc>
      </w:tr>
      <w:tr w:rsidR="00A7162A" w14:paraId="18E76E6E" w14:textId="33343D0E" w:rsidTr="00F675CF">
        <w:trPr>
          <w:cantSplit/>
          <w:del w:id="1705" w:author="AbbVie2" w:date="2025-05-13T16:36:00Z"/>
        </w:trPr>
        <w:tc>
          <w:tcPr>
            <w:tcW w:w="1069" w:type="dxa"/>
            <w:tcBorders>
              <w:right w:val="single" w:sz="6" w:space="0" w:color="auto"/>
            </w:tcBorders>
          </w:tcPr>
          <w:p w14:paraId="49805CCE" w14:textId="1727DA3C" w:rsidR="004462A0" w:rsidRPr="008912CF" w:rsidRDefault="00615769" w:rsidP="00F675CF">
            <w:pPr>
              <w:pStyle w:val="In-texttable"/>
              <w:tabs>
                <w:tab w:val="left" w:pos="144"/>
              </w:tabs>
              <w:spacing w:line="240" w:lineRule="auto"/>
              <w:rPr>
                <w:del w:id="1706" w:author="AbbVie2" w:date="2025-05-13T16:36:00Z"/>
                <w:rFonts w:ascii="Times New Roman" w:hAnsi="Times New Roman"/>
                <w:sz w:val="22"/>
                <w:szCs w:val="22"/>
                <w:lang w:val="pt-PT"/>
              </w:rPr>
            </w:pPr>
            <w:del w:id="1707" w:author="AbbVie2" w:date="2025-05-13T16:36:00Z">
              <w:r w:rsidRPr="008912CF">
                <w:rPr>
                  <w:rFonts w:ascii="Times New Roman" w:hAnsi="Times New Roman"/>
                  <w:sz w:val="22"/>
                  <w:szCs w:val="22"/>
                  <w:lang w:val="pt-PT"/>
                </w:rPr>
                <w:tab/>
                <w:delText>12</w:delText>
              </w:r>
              <w:r>
                <w:rPr>
                  <w:rFonts w:ascii="Times New Roman" w:hAnsi="Times New Roman"/>
                  <w:sz w:val="22"/>
                  <w:szCs w:val="22"/>
                  <w:lang w:val="pt-PT"/>
                </w:rPr>
                <w:delText> </w:delText>
              </w:r>
              <w:r w:rsidRPr="008912CF">
                <w:rPr>
                  <w:rFonts w:ascii="Times New Roman" w:hAnsi="Times New Roman"/>
                  <w:sz w:val="22"/>
                  <w:szCs w:val="22"/>
                  <w:lang w:val="pt-PT"/>
                </w:rPr>
                <w:delText>meses</w:delText>
              </w:r>
            </w:del>
          </w:p>
        </w:tc>
        <w:tc>
          <w:tcPr>
            <w:tcW w:w="1393" w:type="dxa"/>
            <w:tcBorders>
              <w:left w:val="single" w:sz="6" w:space="0" w:color="auto"/>
            </w:tcBorders>
          </w:tcPr>
          <w:p w14:paraId="5C7515D6" w14:textId="6E437A84" w:rsidR="004462A0" w:rsidRPr="008912CF" w:rsidRDefault="00615769" w:rsidP="00F675CF">
            <w:pPr>
              <w:pStyle w:val="In-texttable"/>
              <w:tabs>
                <w:tab w:val="decimal" w:pos="259"/>
              </w:tabs>
              <w:spacing w:line="240" w:lineRule="auto"/>
              <w:jc w:val="center"/>
              <w:rPr>
                <w:del w:id="1708" w:author="AbbVie2" w:date="2025-05-13T16:36:00Z"/>
                <w:rFonts w:ascii="Times New Roman" w:hAnsi="Times New Roman"/>
                <w:sz w:val="22"/>
                <w:szCs w:val="22"/>
                <w:lang w:val="pt-PT"/>
              </w:rPr>
            </w:pPr>
            <w:del w:id="1709" w:author="AbbVie2" w:date="2025-05-13T16:36:00Z">
              <w:r w:rsidRPr="008912CF">
                <w:rPr>
                  <w:rFonts w:ascii="Times New Roman" w:hAnsi="Times New Roman"/>
                  <w:sz w:val="22"/>
                  <w:szCs w:val="22"/>
                  <w:lang w:val="pt-PT"/>
                </w:rPr>
                <w:delText>NA</w:delText>
              </w:r>
            </w:del>
          </w:p>
        </w:tc>
        <w:tc>
          <w:tcPr>
            <w:tcW w:w="1417" w:type="dxa"/>
            <w:tcBorders>
              <w:right w:val="single" w:sz="6" w:space="0" w:color="auto"/>
            </w:tcBorders>
          </w:tcPr>
          <w:p w14:paraId="12D3AC21" w14:textId="3C81D03F" w:rsidR="004462A0" w:rsidRPr="008912CF" w:rsidRDefault="00615769" w:rsidP="00F675CF">
            <w:pPr>
              <w:pStyle w:val="In-texttable"/>
              <w:tabs>
                <w:tab w:val="decimal" w:pos="250"/>
              </w:tabs>
              <w:spacing w:line="240" w:lineRule="auto"/>
              <w:jc w:val="center"/>
              <w:rPr>
                <w:del w:id="1710" w:author="AbbVie2" w:date="2025-05-13T16:36:00Z"/>
                <w:rFonts w:ascii="Times New Roman" w:hAnsi="Times New Roman"/>
                <w:sz w:val="22"/>
                <w:szCs w:val="22"/>
                <w:lang w:val="pt-PT"/>
              </w:rPr>
            </w:pPr>
            <w:del w:id="1711" w:author="AbbVie2" w:date="2025-05-13T16:36:00Z">
              <w:r w:rsidRPr="008912CF">
                <w:rPr>
                  <w:rFonts w:ascii="Times New Roman" w:hAnsi="Times New Roman"/>
                  <w:sz w:val="22"/>
                  <w:szCs w:val="22"/>
                  <w:lang w:val="pt-PT"/>
                </w:rPr>
                <w:delText>NA</w:delText>
              </w:r>
            </w:del>
          </w:p>
        </w:tc>
        <w:tc>
          <w:tcPr>
            <w:tcW w:w="1071" w:type="dxa"/>
            <w:tcBorders>
              <w:left w:val="single" w:sz="6" w:space="0" w:color="auto"/>
            </w:tcBorders>
          </w:tcPr>
          <w:p w14:paraId="5D7F2B5A" w14:textId="48699260" w:rsidR="004462A0" w:rsidRPr="008912CF" w:rsidRDefault="00615769" w:rsidP="00F675CF">
            <w:pPr>
              <w:pStyle w:val="In-texttable"/>
              <w:spacing w:line="240" w:lineRule="auto"/>
              <w:jc w:val="center"/>
              <w:rPr>
                <w:del w:id="1712" w:author="AbbVie2" w:date="2025-05-13T16:36:00Z"/>
                <w:rFonts w:ascii="Times New Roman" w:hAnsi="Times New Roman"/>
                <w:sz w:val="22"/>
                <w:szCs w:val="22"/>
                <w:lang w:val="pt-PT"/>
              </w:rPr>
            </w:pPr>
            <w:del w:id="1713" w:author="AbbVie2" w:date="2025-05-13T16:36:00Z">
              <w:r w:rsidRPr="008912CF">
                <w:rPr>
                  <w:rFonts w:ascii="Times New Roman" w:hAnsi="Times New Roman"/>
                  <w:sz w:val="22"/>
                  <w:szCs w:val="22"/>
                  <w:lang w:val="pt-PT"/>
                </w:rPr>
                <w:delText>NA</w:delText>
              </w:r>
            </w:del>
          </w:p>
        </w:tc>
        <w:tc>
          <w:tcPr>
            <w:tcW w:w="1197" w:type="dxa"/>
            <w:tcBorders>
              <w:right w:val="single" w:sz="6" w:space="0" w:color="auto"/>
            </w:tcBorders>
          </w:tcPr>
          <w:p w14:paraId="72AF12D4" w14:textId="36162983" w:rsidR="004462A0" w:rsidRPr="008912CF" w:rsidRDefault="00615769" w:rsidP="00F675CF">
            <w:pPr>
              <w:pStyle w:val="In-texttable"/>
              <w:tabs>
                <w:tab w:val="decimal" w:pos="205"/>
              </w:tabs>
              <w:spacing w:line="240" w:lineRule="auto"/>
              <w:jc w:val="center"/>
              <w:rPr>
                <w:del w:id="1714" w:author="AbbVie2" w:date="2025-05-13T16:36:00Z"/>
                <w:rFonts w:ascii="Times New Roman" w:hAnsi="Times New Roman"/>
                <w:sz w:val="22"/>
                <w:szCs w:val="22"/>
                <w:lang w:val="pt-PT"/>
              </w:rPr>
            </w:pPr>
            <w:del w:id="1715" w:author="AbbVie2" w:date="2025-05-13T16:36:00Z">
              <w:r w:rsidRPr="008912CF">
                <w:rPr>
                  <w:rFonts w:ascii="Times New Roman" w:hAnsi="Times New Roman"/>
                  <w:sz w:val="22"/>
                  <w:szCs w:val="22"/>
                  <w:lang w:val="pt-PT"/>
                </w:rPr>
                <w:delText>NA</w:delText>
              </w:r>
            </w:del>
          </w:p>
        </w:tc>
        <w:tc>
          <w:tcPr>
            <w:tcW w:w="1418" w:type="dxa"/>
            <w:tcBorders>
              <w:left w:val="single" w:sz="6" w:space="0" w:color="auto"/>
            </w:tcBorders>
          </w:tcPr>
          <w:p w14:paraId="417247E0" w14:textId="2F3C7726" w:rsidR="004462A0" w:rsidRPr="008912CF" w:rsidRDefault="00615769" w:rsidP="00F675CF">
            <w:pPr>
              <w:pStyle w:val="In-texttable"/>
              <w:tabs>
                <w:tab w:val="decimal" w:pos="144"/>
              </w:tabs>
              <w:spacing w:line="240" w:lineRule="auto"/>
              <w:jc w:val="center"/>
              <w:rPr>
                <w:del w:id="1716" w:author="AbbVie2" w:date="2025-05-13T16:36:00Z"/>
                <w:rFonts w:ascii="Times New Roman" w:hAnsi="Times New Roman"/>
                <w:sz w:val="22"/>
                <w:szCs w:val="22"/>
                <w:lang w:val="pt-PT"/>
              </w:rPr>
            </w:pPr>
            <w:del w:id="1717" w:author="AbbVie2" w:date="2025-05-13T16:36:00Z">
              <w:r w:rsidRPr="008912CF">
                <w:rPr>
                  <w:rFonts w:ascii="Times New Roman" w:hAnsi="Times New Roman"/>
                  <w:sz w:val="22"/>
                  <w:szCs w:val="22"/>
                  <w:lang w:val="pt-PT"/>
                </w:rPr>
                <w:delText>24,0%</w:delText>
              </w:r>
            </w:del>
          </w:p>
        </w:tc>
        <w:tc>
          <w:tcPr>
            <w:tcW w:w="1559" w:type="dxa"/>
          </w:tcPr>
          <w:p w14:paraId="583C35C3" w14:textId="31CD7CA9" w:rsidR="004462A0" w:rsidRPr="008912CF" w:rsidRDefault="00615769" w:rsidP="00F675CF">
            <w:pPr>
              <w:pStyle w:val="In-texttable"/>
              <w:tabs>
                <w:tab w:val="decimal" w:pos="95"/>
              </w:tabs>
              <w:spacing w:line="240" w:lineRule="auto"/>
              <w:jc w:val="center"/>
              <w:rPr>
                <w:del w:id="1718" w:author="AbbVie2" w:date="2025-05-13T16:36:00Z"/>
                <w:rFonts w:ascii="Times New Roman" w:hAnsi="Times New Roman"/>
                <w:sz w:val="22"/>
                <w:szCs w:val="22"/>
                <w:lang w:val="pt-PT"/>
              </w:rPr>
            </w:pPr>
            <w:del w:id="1719" w:author="AbbVie2" w:date="2025-05-13T16:36:00Z">
              <w:r w:rsidRPr="008912CF">
                <w:rPr>
                  <w:rFonts w:ascii="Times New Roman" w:hAnsi="Times New Roman"/>
                  <w:sz w:val="22"/>
                  <w:szCs w:val="22"/>
                  <w:lang w:val="pt-PT"/>
                </w:rPr>
                <w:delText>58,9%</w:delText>
              </w:r>
            </w:del>
          </w:p>
        </w:tc>
      </w:tr>
      <w:tr w:rsidR="00A7162A" w14:paraId="5F4C6222" w14:textId="5C5DE620" w:rsidTr="00F675CF">
        <w:trPr>
          <w:cantSplit/>
          <w:del w:id="1720" w:author="AbbVie2" w:date="2025-05-13T16:36:00Z"/>
        </w:trPr>
        <w:tc>
          <w:tcPr>
            <w:tcW w:w="1069" w:type="dxa"/>
            <w:tcBorders>
              <w:right w:val="single" w:sz="6" w:space="0" w:color="auto"/>
            </w:tcBorders>
          </w:tcPr>
          <w:p w14:paraId="01843DB8" w14:textId="6FE1E168" w:rsidR="004462A0" w:rsidRPr="008912CF" w:rsidRDefault="00615769" w:rsidP="00F675CF">
            <w:pPr>
              <w:pStyle w:val="In-texttable"/>
              <w:tabs>
                <w:tab w:val="left" w:pos="144"/>
              </w:tabs>
              <w:spacing w:line="240" w:lineRule="auto"/>
              <w:rPr>
                <w:del w:id="1721" w:author="AbbVie2" w:date="2025-05-13T16:36:00Z"/>
                <w:rFonts w:ascii="Times New Roman" w:hAnsi="Times New Roman"/>
                <w:sz w:val="22"/>
                <w:szCs w:val="22"/>
                <w:lang w:val="pt-PT"/>
              </w:rPr>
            </w:pPr>
            <w:del w:id="1722" w:author="AbbVie2" w:date="2025-05-13T16:36:00Z">
              <w:r w:rsidRPr="008912CF">
                <w:rPr>
                  <w:rFonts w:ascii="Times New Roman" w:hAnsi="Times New Roman"/>
                  <w:sz w:val="22"/>
                  <w:szCs w:val="22"/>
                  <w:lang w:val="pt-PT"/>
                </w:rPr>
                <w:delText>ACR 50</w:delText>
              </w:r>
            </w:del>
          </w:p>
        </w:tc>
        <w:tc>
          <w:tcPr>
            <w:tcW w:w="1393" w:type="dxa"/>
            <w:tcBorders>
              <w:left w:val="single" w:sz="6" w:space="0" w:color="auto"/>
            </w:tcBorders>
          </w:tcPr>
          <w:p w14:paraId="49406175" w14:textId="4791341D" w:rsidR="004462A0" w:rsidRPr="008912CF" w:rsidRDefault="004462A0" w:rsidP="00F675CF">
            <w:pPr>
              <w:pStyle w:val="In-texttable"/>
              <w:tabs>
                <w:tab w:val="decimal" w:pos="259"/>
              </w:tabs>
              <w:spacing w:line="240" w:lineRule="auto"/>
              <w:jc w:val="center"/>
              <w:rPr>
                <w:del w:id="1723" w:author="AbbVie2" w:date="2025-05-13T16:36:00Z"/>
                <w:rFonts w:ascii="Times New Roman" w:hAnsi="Times New Roman"/>
                <w:sz w:val="22"/>
                <w:szCs w:val="22"/>
                <w:lang w:val="pt-PT"/>
              </w:rPr>
            </w:pPr>
          </w:p>
        </w:tc>
        <w:tc>
          <w:tcPr>
            <w:tcW w:w="1417" w:type="dxa"/>
            <w:tcBorders>
              <w:right w:val="single" w:sz="6" w:space="0" w:color="auto"/>
            </w:tcBorders>
          </w:tcPr>
          <w:p w14:paraId="45E7A663" w14:textId="28891494" w:rsidR="004462A0" w:rsidRPr="008912CF" w:rsidRDefault="004462A0" w:rsidP="00F675CF">
            <w:pPr>
              <w:pStyle w:val="In-texttable"/>
              <w:tabs>
                <w:tab w:val="decimal" w:pos="250"/>
              </w:tabs>
              <w:spacing w:line="240" w:lineRule="auto"/>
              <w:jc w:val="center"/>
              <w:rPr>
                <w:del w:id="1724" w:author="AbbVie2" w:date="2025-05-13T16:36:00Z"/>
                <w:rFonts w:ascii="Times New Roman" w:hAnsi="Times New Roman"/>
                <w:sz w:val="22"/>
                <w:szCs w:val="22"/>
                <w:lang w:val="pt-PT"/>
              </w:rPr>
            </w:pPr>
          </w:p>
        </w:tc>
        <w:tc>
          <w:tcPr>
            <w:tcW w:w="1071" w:type="dxa"/>
            <w:tcBorders>
              <w:left w:val="single" w:sz="6" w:space="0" w:color="auto"/>
            </w:tcBorders>
          </w:tcPr>
          <w:p w14:paraId="62E703F2" w14:textId="2DE735A7" w:rsidR="004462A0" w:rsidRPr="008912CF" w:rsidRDefault="004462A0" w:rsidP="00F675CF">
            <w:pPr>
              <w:pStyle w:val="In-texttable"/>
              <w:spacing w:line="240" w:lineRule="auto"/>
              <w:jc w:val="center"/>
              <w:rPr>
                <w:del w:id="1725" w:author="AbbVie2" w:date="2025-05-13T16:36:00Z"/>
                <w:rFonts w:ascii="Times New Roman" w:hAnsi="Times New Roman"/>
                <w:sz w:val="22"/>
                <w:szCs w:val="22"/>
                <w:lang w:val="pt-PT"/>
              </w:rPr>
            </w:pPr>
          </w:p>
        </w:tc>
        <w:tc>
          <w:tcPr>
            <w:tcW w:w="1197" w:type="dxa"/>
            <w:tcBorders>
              <w:right w:val="single" w:sz="6" w:space="0" w:color="auto"/>
            </w:tcBorders>
          </w:tcPr>
          <w:p w14:paraId="538F4EE7" w14:textId="1A0210E0" w:rsidR="004462A0" w:rsidRPr="008912CF" w:rsidRDefault="004462A0" w:rsidP="00F675CF">
            <w:pPr>
              <w:pStyle w:val="In-texttable"/>
              <w:tabs>
                <w:tab w:val="decimal" w:pos="205"/>
              </w:tabs>
              <w:spacing w:line="240" w:lineRule="auto"/>
              <w:jc w:val="center"/>
              <w:rPr>
                <w:del w:id="1726" w:author="AbbVie2" w:date="2025-05-13T16:36:00Z"/>
                <w:rFonts w:ascii="Times New Roman" w:hAnsi="Times New Roman"/>
                <w:sz w:val="22"/>
                <w:szCs w:val="22"/>
                <w:lang w:val="pt-PT"/>
              </w:rPr>
            </w:pPr>
          </w:p>
        </w:tc>
        <w:tc>
          <w:tcPr>
            <w:tcW w:w="1418" w:type="dxa"/>
            <w:tcBorders>
              <w:left w:val="single" w:sz="6" w:space="0" w:color="auto"/>
            </w:tcBorders>
          </w:tcPr>
          <w:p w14:paraId="3BD2D4A7" w14:textId="5C4E269B" w:rsidR="004462A0" w:rsidRPr="008912CF" w:rsidRDefault="004462A0" w:rsidP="00F675CF">
            <w:pPr>
              <w:pStyle w:val="In-texttable"/>
              <w:tabs>
                <w:tab w:val="decimal" w:pos="144"/>
              </w:tabs>
              <w:spacing w:line="240" w:lineRule="auto"/>
              <w:jc w:val="center"/>
              <w:rPr>
                <w:del w:id="1727" w:author="AbbVie2" w:date="2025-05-13T16:36:00Z"/>
                <w:rFonts w:ascii="Times New Roman" w:hAnsi="Times New Roman"/>
                <w:sz w:val="22"/>
                <w:szCs w:val="22"/>
                <w:lang w:val="pt-PT"/>
              </w:rPr>
            </w:pPr>
          </w:p>
        </w:tc>
        <w:tc>
          <w:tcPr>
            <w:tcW w:w="1559" w:type="dxa"/>
          </w:tcPr>
          <w:p w14:paraId="2234D141" w14:textId="3D2C0238" w:rsidR="004462A0" w:rsidRPr="008912CF" w:rsidRDefault="004462A0" w:rsidP="00F675CF">
            <w:pPr>
              <w:pStyle w:val="In-texttable"/>
              <w:tabs>
                <w:tab w:val="decimal" w:pos="95"/>
              </w:tabs>
              <w:spacing w:line="240" w:lineRule="auto"/>
              <w:jc w:val="center"/>
              <w:rPr>
                <w:del w:id="1728" w:author="AbbVie2" w:date="2025-05-13T16:36:00Z"/>
                <w:rFonts w:ascii="Times New Roman" w:hAnsi="Times New Roman"/>
                <w:sz w:val="22"/>
                <w:szCs w:val="22"/>
                <w:lang w:val="pt-PT"/>
              </w:rPr>
            </w:pPr>
          </w:p>
        </w:tc>
      </w:tr>
      <w:tr w:rsidR="00A7162A" w14:paraId="7C4E80B5" w14:textId="36A4C4B9" w:rsidTr="00F675CF">
        <w:trPr>
          <w:cantSplit/>
          <w:del w:id="1729" w:author="AbbVie2" w:date="2025-05-13T16:36:00Z"/>
        </w:trPr>
        <w:tc>
          <w:tcPr>
            <w:tcW w:w="1069" w:type="dxa"/>
            <w:tcBorders>
              <w:right w:val="single" w:sz="6" w:space="0" w:color="auto"/>
            </w:tcBorders>
          </w:tcPr>
          <w:p w14:paraId="105DA30C" w14:textId="1FDC1625" w:rsidR="004462A0" w:rsidRPr="008912CF" w:rsidRDefault="00615769" w:rsidP="00F675CF">
            <w:pPr>
              <w:pStyle w:val="In-texttable"/>
              <w:tabs>
                <w:tab w:val="left" w:pos="144"/>
              </w:tabs>
              <w:spacing w:line="240" w:lineRule="auto"/>
              <w:rPr>
                <w:del w:id="1730" w:author="AbbVie2" w:date="2025-05-13T16:36:00Z"/>
                <w:rFonts w:ascii="Times New Roman" w:hAnsi="Times New Roman"/>
                <w:sz w:val="22"/>
                <w:szCs w:val="22"/>
                <w:lang w:val="pt-PT"/>
              </w:rPr>
            </w:pPr>
            <w:del w:id="1731" w:author="AbbVie2" w:date="2025-05-13T16:36:00Z">
              <w:r w:rsidRPr="008912CF">
                <w:rPr>
                  <w:rFonts w:ascii="Times New Roman" w:hAnsi="Times New Roman"/>
                  <w:sz w:val="22"/>
                  <w:szCs w:val="22"/>
                  <w:lang w:val="pt-PT"/>
                </w:rPr>
                <w:tab/>
                <w:delText>6</w:delText>
              </w:r>
              <w:r>
                <w:rPr>
                  <w:rFonts w:ascii="Times New Roman" w:hAnsi="Times New Roman"/>
                  <w:sz w:val="22"/>
                  <w:szCs w:val="22"/>
                  <w:lang w:val="pt-PT"/>
                </w:rPr>
                <w:delText> </w:delText>
              </w:r>
              <w:r w:rsidRPr="008912CF">
                <w:rPr>
                  <w:rFonts w:ascii="Times New Roman" w:hAnsi="Times New Roman"/>
                  <w:sz w:val="22"/>
                  <w:szCs w:val="22"/>
                  <w:lang w:val="pt-PT"/>
                </w:rPr>
                <w:delText>meses</w:delText>
              </w:r>
            </w:del>
          </w:p>
        </w:tc>
        <w:tc>
          <w:tcPr>
            <w:tcW w:w="1393" w:type="dxa"/>
            <w:tcBorders>
              <w:left w:val="single" w:sz="6" w:space="0" w:color="auto"/>
            </w:tcBorders>
          </w:tcPr>
          <w:p w14:paraId="7344BE07" w14:textId="12405BD4" w:rsidR="004462A0" w:rsidRPr="008912CF" w:rsidRDefault="00615769" w:rsidP="00F675CF">
            <w:pPr>
              <w:pStyle w:val="In-texttable"/>
              <w:tabs>
                <w:tab w:val="decimal" w:pos="259"/>
              </w:tabs>
              <w:spacing w:line="240" w:lineRule="auto"/>
              <w:jc w:val="center"/>
              <w:rPr>
                <w:del w:id="1732" w:author="AbbVie2" w:date="2025-05-13T16:36:00Z"/>
                <w:rFonts w:ascii="Times New Roman" w:hAnsi="Times New Roman"/>
                <w:sz w:val="22"/>
                <w:szCs w:val="22"/>
                <w:lang w:val="pt-PT"/>
              </w:rPr>
            </w:pPr>
            <w:del w:id="1733" w:author="AbbVie2" w:date="2025-05-13T16:36:00Z">
              <w:r w:rsidRPr="008912CF">
                <w:rPr>
                  <w:rFonts w:ascii="Times New Roman" w:hAnsi="Times New Roman"/>
                  <w:sz w:val="22"/>
                  <w:szCs w:val="22"/>
                  <w:lang w:val="pt-PT"/>
                </w:rPr>
                <w:delText>6,7%</w:delText>
              </w:r>
            </w:del>
          </w:p>
        </w:tc>
        <w:tc>
          <w:tcPr>
            <w:tcW w:w="1417" w:type="dxa"/>
            <w:tcBorders>
              <w:right w:val="single" w:sz="6" w:space="0" w:color="auto"/>
            </w:tcBorders>
          </w:tcPr>
          <w:p w14:paraId="2F3AF500" w14:textId="510A1BBB" w:rsidR="004462A0" w:rsidRPr="008912CF" w:rsidRDefault="00615769" w:rsidP="00F675CF">
            <w:pPr>
              <w:pStyle w:val="In-texttable"/>
              <w:tabs>
                <w:tab w:val="decimal" w:pos="250"/>
              </w:tabs>
              <w:spacing w:line="240" w:lineRule="auto"/>
              <w:jc w:val="center"/>
              <w:rPr>
                <w:del w:id="1734" w:author="AbbVie2" w:date="2025-05-13T16:36:00Z"/>
                <w:rFonts w:ascii="Times New Roman" w:hAnsi="Times New Roman"/>
                <w:sz w:val="22"/>
                <w:szCs w:val="22"/>
                <w:lang w:val="pt-PT"/>
              </w:rPr>
            </w:pPr>
            <w:del w:id="1735" w:author="AbbVie2" w:date="2025-05-13T16:36:00Z">
              <w:r w:rsidRPr="008912CF">
                <w:rPr>
                  <w:rFonts w:ascii="Times New Roman" w:hAnsi="Times New Roman"/>
                  <w:sz w:val="22"/>
                  <w:szCs w:val="22"/>
                  <w:lang w:val="pt-PT"/>
                </w:rPr>
                <w:delText>52,4%</w:delText>
              </w:r>
            </w:del>
          </w:p>
        </w:tc>
        <w:tc>
          <w:tcPr>
            <w:tcW w:w="1071" w:type="dxa"/>
            <w:tcBorders>
              <w:left w:val="single" w:sz="6" w:space="0" w:color="auto"/>
            </w:tcBorders>
          </w:tcPr>
          <w:p w14:paraId="03D5CE8E" w14:textId="4471E552" w:rsidR="004462A0" w:rsidRPr="008912CF" w:rsidRDefault="00615769" w:rsidP="00F675CF">
            <w:pPr>
              <w:pStyle w:val="In-texttable"/>
              <w:spacing w:line="240" w:lineRule="auto"/>
              <w:jc w:val="center"/>
              <w:rPr>
                <w:del w:id="1736" w:author="AbbVie2" w:date="2025-05-13T16:36:00Z"/>
                <w:rFonts w:ascii="Times New Roman" w:hAnsi="Times New Roman"/>
                <w:sz w:val="22"/>
                <w:szCs w:val="22"/>
                <w:lang w:val="pt-PT"/>
              </w:rPr>
            </w:pPr>
            <w:del w:id="1737" w:author="AbbVie2" w:date="2025-05-13T16:36:00Z">
              <w:r w:rsidRPr="008912CF">
                <w:rPr>
                  <w:rFonts w:ascii="Times New Roman" w:hAnsi="Times New Roman"/>
                  <w:sz w:val="22"/>
                  <w:szCs w:val="22"/>
                  <w:lang w:val="pt-PT"/>
                </w:rPr>
                <w:delText>8,2%</w:delText>
              </w:r>
            </w:del>
          </w:p>
        </w:tc>
        <w:tc>
          <w:tcPr>
            <w:tcW w:w="1197" w:type="dxa"/>
            <w:tcBorders>
              <w:right w:val="single" w:sz="6" w:space="0" w:color="auto"/>
            </w:tcBorders>
          </w:tcPr>
          <w:p w14:paraId="3C61D0FD" w14:textId="5B4469B0" w:rsidR="004462A0" w:rsidRPr="008912CF" w:rsidRDefault="00615769" w:rsidP="00F675CF">
            <w:pPr>
              <w:pStyle w:val="In-texttable"/>
              <w:tabs>
                <w:tab w:val="decimal" w:pos="205"/>
              </w:tabs>
              <w:spacing w:line="240" w:lineRule="auto"/>
              <w:jc w:val="center"/>
              <w:rPr>
                <w:del w:id="1738" w:author="AbbVie2" w:date="2025-05-13T16:36:00Z"/>
                <w:rFonts w:ascii="Times New Roman" w:hAnsi="Times New Roman"/>
                <w:sz w:val="22"/>
                <w:szCs w:val="22"/>
                <w:lang w:val="pt-PT"/>
              </w:rPr>
            </w:pPr>
            <w:del w:id="1739" w:author="AbbVie2" w:date="2025-05-13T16:36:00Z">
              <w:r w:rsidRPr="008912CF">
                <w:rPr>
                  <w:rFonts w:ascii="Times New Roman" w:hAnsi="Times New Roman"/>
                  <w:sz w:val="22"/>
                  <w:szCs w:val="22"/>
                  <w:lang w:val="pt-PT"/>
                </w:rPr>
                <w:delText>22,1%</w:delText>
              </w:r>
            </w:del>
          </w:p>
        </w:tc>
        <w:tc>
          <w:tcPr>
            <w:tcW w:w="1418" w:type="dxa"/>
            <w:tcBorders>
              <w:left w:val="single" w:sz="6" w:space="0" w:color="auto"/>
            </w:tcBorders>
          </w:tcPr>
          <w:p w14:paraId="0F9B449E" w14:textId="4D4F5C20" w:rsidR="004462A0" w:rsidRPr="008912CF" w:rsidRDefault="00615769" w:rsidP="00F675CF">
            <w:pPr>
              <w:pStyle w:val="In-texttable"/>
              <w:tabs>
                <w:tab w:val="decimal" w:pos="144"/>
              </w:tabs>
              <w:spacing w:line="240" w:lineRule="auto"/>
              <w:jc w:val="center"/>
              <w:rPr>
                <w:del w:id="1740" w:author="AbbVie2" w:date="2025-05-13T16:36:00Z"/>
                <w:rFonts w:ascii="Times New Roman" w:hAnsi="Times New Roman"/>
                <w:sz w:val="22"/>
                <w:szCs w:val="22"/>
                <w:lang w:val="pt-PT"/>
              </w:rPr>
            </w:pPr>
            <w:del w:id="1741" w:author="AbbVie2" w:date="2025-05-13T16:36:00Z">
              <w:r w:rsidRPr="008912CF">
                <w:rPr>
                  <w:rFonts w:ascii="Times New Roman" w:hAnsi="Times New Roman"/>
                  <w:sz w:val="22"/>
                  <w:szCs w:val="22"/>
                  <w:lang w:val="pt-PT"/>
                </w:rPr>
                <w:delText>9,5%</w:delText>
              </w:r>
            </w:del>
          </w:p>
        </w:tc>
        <w:tc>
          <w:tcPr>
            <w:tcW w:w="1559" w:type="dxa"/>
          </w:tcPr>
          <w:p w14:paraId="52A4188B" w14:textId="00181330" w:rsidR="004462A0" w:rsidRPr="008912CF" w:rsidRDefault="00615769" w:rsidP="00F675CF">
            <w:pPr>
              <w:pStyle w:val="In-texttable"/>
              <w:tabs>
                <w:tab w:val="decimal" w:pos="95"/>
              </w:tabs>
              <w:spacing w:line="240" w:lineRule="auto"/>
              <w:jc w:val="center"/>
              <w:rPr>
                <w:del w:id="1742" w:author="AbbVie2" w:date="2025-05-13T16:36:00Z"/>
                <w:rFonts w:ascii="Times New Roman" w:hAnsi="Times New Roman"/>
                <w:sz w:val="22"/>
                <w:szCs w:val="22"/>
                <w:lang w:val="pt-PT"/>
              </w:rPr>
            </w:pPr>
            <w:del w:id="1743" w:author="AbbVie2" w:date="2025-05-13T16:36:00Z">
              <w:r w:rsidRPr="008912CF">
                <w:rPr>
                  <w:rFonts w:ascii="Times New Roman" w:hAnsi="Times New Roman"/>
                  <w:sz w:val="22"/>
                  <w:szCs w:val="22"/>
                  <w:lang w:val="pt-PT"/>
                </w:rPr>
                <w:delText>39,1%</w:delText>
              </w:r>
            </w:del>
          </w:p>
        </w:tc>
      </w:tr>
      <w:tr w:rsidR="00A7162A" w14:paraId="4610E856" w14:textId="67F21685" w:rsidTr="00F675CF">
        <w:trPr>
          <w:cantSplit/>
          <w:del w:id="1744" w:author="AbbVie2" w:date="2025-05-13T16:36:00Z"/>
        </w:trPr>
        <w:tc>
          <w:tcPr>
            <w:tcW w:w="1069" w:type="dxa"/>
            <w:tcBorders>
              <w:right w:val="single" w:sz="6" w:space="0" w:color="auto"/>
            </w:tcBorders>
          </w:tcPr>
          <w:p w14:paraId="6AAC9564" w14:textId="56E8736A" w:rsidR="004462A0" w:rsidRPr="008912CF" w:rsidRDefault="00615769" w:rsidP="00F675CF">
            <w:pPr>
              <w:pStyle w:val="In-texttable"/>
              <w:tabs>
                <w:tab w:val="left" w:pos="144"/>
              </w:tabs>
              <w:spacing w:line="240" w:lineRule="auto"/>
              <w:rPr>
                <w:del w:id="1745" w:author="AbbVie2" w:date="2025-05-13T16:36:00Z"/>
                <w:rFonts w:ascii="Times New Roman" w:hAnsi="Times New Roman"/>
                <w:sz w:val="22"/>
                <w:szCs w:val="22"/>
                <w:lang w:val="pt-PT"/>
              </w:rPr>
            </w:pPr>
            <w:del w:id="1746" w:author="AbbVie2" w:date="2025-05-13T16:36:00Z">
              <w:r w:rsidRPr="008912CF">
                <w:rPr>
                  <w:rFonts w:ascii="Times New Roman" w:hAnsi="Times New Roman"/>
                  <w:sz w:val="22"/>
                  <w:szCs w:val="22"/>
                  <w:lang w:val="pt-PT"/>
                </w:rPr>
                <w:tab/>
                <w:delText>12</w:delText>
              </w:r>
              <w:r>
                <w:rPr>
                  <w:rFonts w:ascii="Times New Roman" w:hAnsi="Times New Roman"/>
                  <w:sz w:val="22"/>
                  <w:szCs w:val="22"/>
                  <w:lang w:val="pt-PT"/>
                </w:rPr>
                <w:delText> </w:delText>
              </w:r>
              <w:r w:rsidRPr="008912CF">
                <w:rPr>
                  <w:rFonts w:ascii="Times New Roman" w:hAnsi="Times New Roman"/>
                  <w:sz w:val="22"/>
                  <w:szCs w:val="22"/>
                  <w:lang w:val="pt-PT"/>
                </w:rPr>
                <w:delText>meses</w:delText>
              </w:r>
            </w:del>
          </w:p>
        </w:tc>
        <w:tc>
          <w:tcPr>
            <w:tcW w:w="1393" w:type="dxa"/>
            <w:tcBorders>
              <w:left w:val="single" w:sz="6" w:space="0" w:color="auto"/>
            </w:tcBorders>
          </w:tcPr>
          <w:p w14:paraId="79EBFE0F" w14:textId="5EBF004C" w:rsidR="004462A0" w:rsidRPr="008912CF" w:rsidRDefault="00615769" w:rsidP="00F675CF">
            <w:pPr>
              <w:pStyle w:val="In-texttable"/>
              <w:tabs>
                <w:tab w:val="decimal" w:pos="259"/>
              </w:tabs>
              <w:spacing w:line="240" w:lineRule="auto"/>
              <w:jc w:val="center"/>
              <w:rPr>
                <w:del w:id="1747" w:author="AbbVie2" w:date="2025-05-13T16:36:00Z"/>
                <w:rFonts w:ascii="Times New Roman" w:hAnsi="Times New Roman"/>
                <w:sz w:val="22"/>
                <w:szCs w:val="22"/>
                <w:lang w:val="pt-PT"/>
              </w:rPr>
            </w:pPr>
            <w:del w:id="1748" w:author="AbbVie2" w:date="2025-05-13T16:36:00Z">
              <w:r w:rsidRPr="008912CF">
                <w:rPr>
                  <w:rFonts w:ascii="Times New Roman" w:hAnsi="Times New Roman"/>
                  <w:sz w:val="22"/>
                  <w:szCs w:val="22"/>
                  <w:lang w:val="pt-PT"/>
                </w:rPr>
                <w:delText>NA</w:delText>
              </w:r>
            </w:del>
          </w:p>
        </w:tc>
        <w:tc>
          <w:tcPr>
            <w:tcW w:w="1417" w:type="dxa"/>
            <w:tcBorders>
              <w:right w:val="single" w:sz="6" w:space="0" w:color="auto"/>
            </w:tcBorders>
          </w:tcPr>
          <w:p w14:paraId="6D7E7264" w14:textId="734D324F" w:rsidR="004462A0" w:rsidRPr="008912CF" w:rsidRDefault="00615769" w:rsidP="00F675CF">
            <w:pPr>
              <w:pStyle w:val="In-texttable"/>
              <w:tabs>
                <w:tab w:val="decimal" w:pos="250"/>
              </w:tabs>
              <w:spacing w:line="240" w:lineRule="auto"/>
              <w:jc w:val="center"/>
              <w:rPr>
                <w:del w:id="1749" w:author="AbbVie2" w:date="2025-05-13T16:36:00Z"/>
                <w:rFonts w:ascii="Times New Roman" w:hAnsi="Times New Roman"/>
                <w:sz w:val="22"/>
                <w:szCs w:val="22"/>
                <w:lang w:val="pt-PT"/>
              </w:rPr>
            </w:pPr>
            <w:del w:id="1750" w:author="AbbVie2" w:date="2025-05-13T16:36:00Z">
              <w:r w:rsidRPr="008912CF">
                <w:rPr>
                  <w:rFonts w:ascii="Times New Roman" w:hAnsi="Times New Roman"/>
                  <w:sz w:val="22"/>
                  <w:szCs w:val="22"/>
                  <w:lang w:val="pt-PT"/>
                </w:rPr>
                <w:delText>NA</w:delText>
              </w:r>
            </w:del>
          </w:p>
        </w:tc>
        <w:tc>
          <w:tcPr>
            <w:tcW w:w="1071" w:type="dxa"/>
            <w:tcBorders>
              <w:left w:val="single" w:sz="6" w:space="0" w:color="auto"/>
            </w:tcBorders>
          </w:tcPr>
          <w:p w14:paraId="26F76ABA" w14:textId="73EA4D68" w:rsidR="004462A0" w:rsidRPr="008912CF" w:rsidRDefault="00615769" w:rsidP="00F675CF">
            <w:pPr>
              <w:pStyle w:val="In-texttable"/>
              <w:spacing w:line="240" w:lineRule="auto"/>
              <w:jc w:val="center"/>
              <w:rPr>
                <w:del w:id="1751" w:author="AbbVie2" w:date="2025-05-13T16:36:00Z"/>
                <w:rFonts w:ascii="Times New Roman" w:hAnsi="Times New Roman"/>
                <w:sz w:val="22"/>
                <w:szCs w:val="22"/>
                <w:lang w:val="pt-PT"/>
              </w:rPr>
            </w:pPr>
            <w:del w:id="1752" w:author="AbbVie2" w:date="2025-05-13T16:36:00Z">
              <w:r w:rsidRPr="008912CF">
                <w:rPr>
                  <w:rFonts w:ascii="Times New Roman" w:hAnsi="Times New Roman"/>
                  <w:sz w:val="22"/>
                  <w:szCs w:val="22"/>
                  <w:lang w:val="pt-PT"/>
                </w:rPr>
                <w:delText>NA</w:delText>
              </w:r>
            </w:del>
          </w:p>
        </w:tc>
        <w:tc>
          <w:tcPr>
            <w:tcW w:w="1197" w:type="dxa"/>
            <w:tcBorders>
              <w:right w:val="single" w:sz="6" w:space="0" w:color="auto"/>
            </w:tcBorders>
          </w:tcPr>
          <w:p w14:paraId="7CC639E8" w14:textId="22CFF350" w:rsidR="004462A0" w:rsidRPr="008912CF" w:rsidRDefault="00615769" w:rsidP="00F675CF">
            <w:pPr>
              <w:pStyle w:val="In-texttable"/>
              <w:tabs>
                <w:tab w:val="decimal" w:pos="205"/>
              </w:tabs>
              <w:spacing w:line="240" w:lineRule="auto"/>
              <w:jc w:val="center"/>
              <w:rPr>
                <w:del w:id="1753" w:author="AbbVie2" w:date="2025-05-13T16:36:00Z"/>
                <w:rFonts w:ascii="Times New Roman" w:hAnsi="Times New Roman"/>
                <w:sz w:val="22"/>
                <w:szCs w:val="22"/>
                <w:lang w:val="pt-PT"/>
              </w:rPr>
            </w:pPr>
            <w:del w:id="1754" w:author="AbbVie2" w:date="2025-05-13T16:36:00Z">
              <w:r w:rsidRPr="008912CF">
                <w:rPr>
                  <w:rFonts w:ascii="Times New Roman" w:hAnsi="Times New Roman"/>
                  <w:sz w:val="22"/>
                  <w:szCs w:val="22"/>
                  <w:lang w:val="pt-PT"/>
                </w:rPr>
                <w:delText>NA</w:delText>
              </w:r>
            </w:del>
          </w:p>
        </w:tc>
        <w:tc>
          <w:tcPr>
            <w:tcW w:w="1418" w:type="dxa"/>
            <w:tcBorders>
              <w:left w:val="single" w:sz="6" w:space="0" w:color="auto"/>
            </w:tcBorders>
          </w:tcPr>
          <w:p w14:paraId="5BA87F67" w14:textId="2D96FFA6" w:rsidR="004462A0" w:rsidRPr="008912CF" w:rsidRDefault="00615769" w:rsidP="00F675CF">
            <w:pPr>
              <w:pStyle w:val="In-texttable"/>
              <w:tabs>
                <w:tab w:val="decimal" w:pos="144"/>
              </w:tabs>
              <w:spacing w:line="240" w:lineRule="auto"/>
              <w:jc w:val="center"/>
              <w:rPr>
                <w:del w:id="1755" w:author="AbbVie2" w:date="2025-05-13T16:36:00Z"/>
                <w:rFonts w:ascii="Times New Roman" w:hAnsi="Times New Roman"/>
                <w:sz w:val="22"/>
                <w:szCs w:val="22"/>
                <w:lang w:val="pt-PT"/>
              </w:rPr>
            </w:pPr>
            <w:del w:id="1756" w:author="AbbVie2" w:date="2025-05-13T16:36:00Z">
              <w:r w:rsidRPr="008912CF">
                <w:rPr>
                  <w:rFonts w:ascii="Times New Roman" w:hAnsi="Times New Roman"/>
                  <w:sz w:val="22"/>
                  <w:szCs w:val="22"/>
                  <w:lang w:val="pt-PT"/>
                </w:rPr>
                <w:delText>9,5</w:delText>
              </w:r>
              <w:r w:rsidR="009343EF">
                <w:rPr>
                  <w:rFonts w:ascii="Times New Roman" w:hAnsi="Times New Roman"/>
                  <w:sz w:val="22"/>
                  <w:szCs w:val="22"/>
                  <w:lang w:val="pt-PT"/>
                </w:rPr>
                <w:delText>%</w:delText>
              </w:r>
            </w:del>
          </w:p>
        </w:tc>
        <w:tc>
          <w:tcPr>
            <w:tcW w:w="1559" w:type="dxa"/>
          </w:tcPr>
          <w:p w14:paraId="6A2C71A6" w14:textId="3192CDE8" w:rsidR="004462A0" w:rsidRPr="008912CF" w:rsidRDefault="00615769" w:rsidP="00F675CF">
            <w:pPr>
              <w:pStyle w:val="In-texttable"/>
              <w:tabs>
                <w:tab w:val="decimal" w:pos="95"/>
              </w:tabs>
              <w:spacing w:line="240" w:lineRule="auto"/>
              <w:jc w:val="center"/>
              <w:rPr>
                <w:del w:id="1757" w:author="AbbVie2" w:date="2025-05-13T16:36:00Z"/>
                <w:rFonts w:ascii="Times New Roman" w:hAnsi="Times New Roman"/>
                <w:sz w:val="22"/>
                <w:szCs w:val="22"/>
                <w:lang w:val="pt-PT"/>
              </w:rPr>
            </w:pPr>
            <w:del w:id="1758" w:author="AbbVie2" w:date="2025-05-13T16:36:00Z">
              <w:r w:rsidRPr="008912CF">
                <w:rPr>
                  <w:rFonts w:ascii="Times New Roman" w:hAnsi="Times New Roman"/>
                  <w:sz w:val="22"/>
                  <w:szCs w:val="22"/>
                  <w:lang w:val="pt-PT"/>
                </w:rPr>
                <w:delText>41,5</w:delText>
              </w:r>
              <w:r w:rsidR="009343EF">
                <w:rPr>
                  <w:rFonts w:ascii="Times New Roman" w:hAnsi="Times New Roman"/>
                  <w:sz w:val="22"/>
                  <w:szCs w:val="22"/>
                  <w:lang w:val="pt-PT"/>
                </w:rPr>
                <w:delText>%</w:delText>
              </w:r>
            </w:del>
          </w:p>
        </w:tc>
      </w:tr>
      <w:tr w:rsidR="00A7162A" w14:paraId="74844D05" w14:textId="2ED56C11" w:rsidTr="00F675CF">
        <w:trPr>
          <w:cantSplit/>
          <w:del w:id="1759" w:author="AbbVie2" w:date="2025-05-13T16:36:00Z"/>
        </w:trPr>
        <w:tc>
          <w:tcPr>
            <w:tcW w:w="1069" w:type="dxa"/>
            <w:tcBorders>
              <w:right w:val="single" w:sz="6" w:space="0" w:color="auto"/>
            </w:tcBorders>
          </w:tcPr>
          <w:p w14:paraId="11AE0ED3" w14:textId="4AC4A302" w:rsidR="004462A0" w:rsidRPr="008912CF" w:rsidRDefault="00615769" w:rsidP="00F675CF">
            <w:pPr>
              <w:pStyle w:val="In-texttable"/>
              <w:tabs>
                <w:tab w:val="left" w:pos="144"/>
              </w:tabs>
              <w:spacing w:line="240" w:lineRule="auto"/>
              <w:rPr>
                <w:del w:id="1760" w:author="AbbVie2" w:date="2025-05-13T16:36:00Z"/>
                <w:rFonts w:ascii="Times New Roman" w:hAnsi="Times New Roman"/>
                <w:sz w:val="22"/>
                <w:szCs w:val="22"/>
                <w:lang w:val="pt-PT"/>
              </w:rPr>
            </w:pPr>
            <w:del w:id="1761" w:author="AbbVie2" w:date="2025-05-13T16:36:00Z">
              <w:r>
                <w:rPr>
                  <w:noProof/>
                  <w:lang w:val="en-GB" w:eastAsia="en-GB"/>
                </w:rPr>
                <mc:AlternateContent>
                  <mc:Choice Requires="wps">
                    <w:drawing>
                      <wp:anchor distT="0" distB="0" distL="114300" distR="114300" simplePos="0" relativeHeight="251658240" behindDoc="0" locked="0" layoutInCell="0" allowOverlap="1" wp14:anchorId="3CB3F4C9" wp14:editId="5EC2A746">
                        <wp:simplePos x="0" y="0"/>
                        <wp:positionH relativeFrom="column">
                          <wp:posOffset>-4972050</wp:posOffset>
                        </wp:positionH>
                        <wp:positionV relativeFrom="paragraph">
                          <wp:posOffset>38735</wp:posOffset>
                        </wp:positionV>
                        <wp:extent cx="3543300" cy="342900"/>
                        <wp:effectExtent l="0" t="3175" r="4445"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5D2A39" w14:textId="77777777" w:rsidR="000036F0" w:rsidRDefault="00615769" w:rsidP="004462A0">
                                    <w:del w:id="1762" w:author="AbbVie2" w:date="2025-05-13T16:36:00Z">
                                      <w:r w:rsidRPr="00E06CAF">
                                        <w:rPr>
                                          <w:rFonts w:cs="Arial"/>
                                          <w:sz w:val="18"/>
                                          <w:szCs w:val="18"/>
                                        </w:rPr>
                                        <w:delText>J</w:delText>
                                      </w:r>
                                    </w:del>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CB3F4C9" id="Text Box 70" o:spid="_x0000_s1028" type="#_x0000_t202" style="position:absolute;margin-left:-391.5pt;margin-top:3.05pt;width:27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" o:allowincell="f" stroked="f">
                        <v:textbox>
                          <w:txbxContent>
                            <w:p w14:paraId="6D5D2A39" w14:textId="77777777" w:rsidR="000036F0" w:rsidRDefault="00615769" w:rsidP="004462A0">
                              <w:del w:id="1763" w:author="AbbVie2" w:date="2025-05-13T16:36:00Z">
                                <w:r w:rsidRPr="00E06CAF">
                                  <w:rPr>
                                    <w:rFonts w:cs="Arial"/>
                                    <w:sz w:val="18"/>
                                    <w:szCs w:val="18"/>
                                  </w:rPr>
                                  <w:delText>J</w:delText>
                                </w:r>
                              </w:del>
                            </w:p>
                          </w:txbxContent>
                        </v:textbox>
                      </v:shape>
                    </w:pict>
                  </mc:Fallback>
                </mc:AlternateContent>
              </w:r>
              <w:r w:rsidRPr="008912CF">
                <w:rPr>
                  <w:rFonts w:ascii="Times New Roman" w:hAnsi="Times New Roman"/>
                  <w:sz w:val="22"/>
                  <w:szCs w:val="22"/>
                  <w:lang w:val="pt-PT"/>
                </w:rPr>
                <w:delText>ACR 70</w:delText>
              </w:r>
            </w:del>
          </w:p>
        </w:tc>
        <w:tc>
          <w:tcPr>
            <w:tcW w:w="1393" w:type="dxa"/>
            <w:tcBorders>
              <w:left w:val="single" w:sz="6" w:space="0" w:color="auto"/>
            </w:tcBorders>
          </w:tcPr>
          <w:p w14:paraId="5D7B777D" w14:textId="74AE6B80" w:rsidR="004462A0" w:rsidRPr="008912CF" w:rsidRDefault="004462A0" w:rsidP="00F675CF">
            <w:pPr>
              <w:pStyle w:val="In-texttable"/>
              <w:tabs>
                <w:tab w:val="decimal" w:pos="259"/>
              </w:tabs>
              <w:spacing w:line="240" w:lineRule="auto"/>
              <w:jc w:val="center"/>
              <w:rPr>
                <w:del w:id="1764" w:author="AbbVie2" w:date="2025-05-13T16:36:00Z"/>
                <w:rFonts w:ascii="Times New Roman" w:hAnsi="Times New Roman"/>
                <w:sz w:val="22"/>
                <w:szCs w:val="22"/>
                <w:lang w:val="pt-PT"/>
              </w:rPr>
            </w:pPr>
          </w:p>
        </w:tc>
        <w:tc>
          <w:tcPr>
            <w:tcW w:w="1417" w:type="dxa"/>
            <w:tcBorders>
              <w:right w:val="single" w:sz="6" w:space="0" w:color="auto"/>
            </w:tcBorders>
          </w:tcPr>
          <w:p w14:paraId="64A3D125" w14:textId="625EFD4B" w:rsidR="004462A0" w:rsidRPr="008912CF" w:rsidRDefault="004462A0" w:rsidP="00F675CF">
            <w:pPr>
              <w:pStyle w:val="In-texttable"/>
              <w:tabs>
                <w:tab w:val="decimal" w:pos="250"/>
              </w:tabs>
              <w:spacing w:line="240" w:lineRule="auto"/>
              <w:jc w:val="center"/>
              <w:rPr>
                <w:del w:id="1765" w:author="AbbVie2" w:date="2025-05-13T16:36:00Z"/>
                <w:rFonts w:ascii="Times New Roman" w:hAnsi="Times New Roman"/>
                <w:sz w:val="22"/>
                <w:szCs w:val="22"/>
                <w:lang w:val="pt-PT"/>
              </w:rPr>
            </w:pPr>
          </w:p>
        </w:tc>
        <w:tc>
          <w:tcPr>
            <w:tcW w:w="1071" w:type="dxa"/>
            <w:tcBorders>
              <w:left w:val="single" w:sz="6" w:space="0" w:color="auto"/>
            </w:tcBorders>
          </w:tcPr>
          <w:p w14:paraId="7B9B775E" w14:textId="71280062" w:rsidR="004462A0" w:rsidRPr="008912CF" w:rsidRDefault="004462A0" w:rsidP="00F675CF">
            <w:pPr>
              <w:pStyle w:val="In-texttable"/>
              <w:spacing w:line="240" w:lineRule="auto"/>
              <w:jc w:val="center"/>
              <w:rPr>
                <w:del w:id="1766" w:author="AbbVie2" w:date="2025-05-13T16:36:00Z"/>
                <w:rFonts w:ascii="Times New Roman" w:hAnsi="Times New Roman"/>
                <w:sz w:val="22"/>
                <w:szCs w:val="22"/>
                <w:lang w:val="pt-PT"/>
              </w:rPr>
            </w:pPr>
          </w:p>
        </w:tc>
        <w:tc>
          <w:tcPr>
            <w:tcW w:w="1197" w:type="dxa"/>
            <w:tcBorders>
              <w:right w:val="single" w:sz="6" w:space="0" w:color="auto"/>
            </w:tcBorders>
          </w:tcPr>
          <w:p w14:paraId="163F45D1" w14:textId="26A39D26" w:rsidR="004462A0" w:rsidRPr="008912CF" w:rsidRDefault="004462A0" w:rsidP="00F675CF">
            <w:pPr>
              <w:pStyle w:val="In-texttable"/>
              <w:tabs>
                <w:tab w:val="decimal" w:pos="205"/>
              </w:tabs>
              <w:spacing w:line="240" w:lineRule="auto"/>
              <w:jc w:val="center"/>
              <w:rPr>
                <w:del w:id="1767" w:author="AbbVie2" w:date="2025-05-13T16:36:00Z"/>
                <w:rFonts w:ascii="Times New Roman" w:hAnsi="Times New Roman"/>
                <w:sz w:val="22"/>
                <w:szCs w:val="22"/>
                <w:lang w:val="pt-PT"/>
              </w:rPr>
            </w:pPr>
          </w:p>
        </w:tc>
        <w:tc>
          <w:tcPr>
            <w:tcW w:w="1418" w:type="dxa"/>
            <w:tcBorders>
              <w:left w:val="single" w:sz="6" w:space="0" w:color="auto"/>
            </w:tcBorders>
          </w:tcPr>
          <w:p w14:paraId="14660F5C" w14:textId="6DD083DB" w:rsidR="004462A0" w:rsidRPr="008912CF" w:rsidRDefault="004462A0" w:rsidP="00F675CF">
            <w:pPr>
              <w:pStyle w:val="In-texttable"/>
              <w:tabs>
                <w:tab w:val="decimal" w:pos="144"/>
              </w:tabs>
              <w:spacing w:line="240" w:lineRule="auto"/>
              <w:jc w:val="center"/>
              <w:rPr>
                <w:del w:id="1768" w:author="AbbVie2" w:date="2025-05-13T16:36:00Z"/>
                <w:rFonts w:ascii="Times New Roman" w:hAnsi="Times New Roman"/>
                <w:sz w:val="22"/>
                <w:szCs w:val="22"/>
                <w:lang w:val="pt-PT"/>
              </w:rPr>
            </w:pPr>
          </w:p>
        </w:tc>
        <w:tc>
          <w:tcPr>
            <w:tcW w:w="1559" w:type="dxa"/>
          </w:tcPr>
          <w:p w14:paraId="2A680B40" w14:textId="735F6C94" w:rsidR="004462A0" w:rsidRPr="008912CF" w:rsidRDefault="004462A0" w:rsidP="00F675CF">
            <w:pPr>
              <w:pStyle w:val="In-texttable"/>
              <w:tabs>
                <w:tab w:val="decimal" w:pos="95"/>
              </w:tabs>
              <w:spacing w:line="240" w:lineRule="auto"/>
              <w:jc w:val="center"/>
              <w:rPr>
                <w:del w:id="1769" w:author="AbbVie2" w:date="2025-05-13T16:36:00Z"/>
                <w:rFonts w:ascii="Times New Roman" w:hAnsi="Times New Roman"/>
                <w:sz w:val="22"/>
                <w:szCs w:val="22"/>
                <w:lang w:val="pt-PT"/>
              </w:rPr>
            </w:pPr>
          </w:p>
        </w:tc>
      </w:tr>
      <w:tr w:rsidR="00A7162A" w14:paraId="213D11D1" w14:textId="4D69E640" w:rsidTr="00F675CF">
        <w:trPr>
          <w:cantSplit/>
          <w:del w:id="1770" w:author="AbbVie2" w:date="2025-05-13T16:36:00Z"/>
        </w:trPr>
        <w:tc>
          <w:tcPr>
            <w:tcW w:w="1069" w:type="dxa"/>
            <w:tcBorders>
              <w:right w:val="single" w:sz="6" w:space="0" w:color="auto"/>
            </w:tcBorders>
          </w:tcPr>
          <w:p w14:paraId="128BB08E" w14:textId="721678B3" w:rsidR="004462A0" w:rsidRPr="008912CF" w:rsidRDefault="00615769" w:rsidP="00F675CF">
            <w:pPr>
              <w:pStyle w:val="In-texttable"/>
              <w:tabs>
                <w:tab w:val="left" w:pos="144"/>
              </w:tabs>
              <w:spacing w:line="240" w:lineRule="auto"/>
              <w:rPr>
                <w:del w:id="1771" w:author="AbbVie2" w:date="2025-05-13T16:36:00Z"/>
                <w:rFonts w:ascii="Times New Roman" w:hAnsi="Times New Roman"/>
                <w:sz w:val="22"/>
                <w:szCs w:val="22"/>
                <w:lang w:val="pt-PT"/>
              </w:rPr>
            </w:pPr>
            <w:del w:id="1772" w:author="AbbVie2" w:date="2025-05-13T16:36:00Z">
              <w:r w:rsidRPr="008912CF">
                <w:rPr>
                  <w:rFonts w:ascii="Times New Roman" w:hAnsi="Times New Roman"/>
                  <w:sz w:val="22"/>
                  <w:szCs w:val="22"/>
                  <w:lang w:val="pt-PT"/>
                </w:rPr>
                <w:tab/>
                <w:delText>6</w:delText>
              </w:r>
              <w:r>
                <w:rPr>
                  <w:rFonts w:ascii="Times New Roman" w:hAnsi="Times New Roman"/>
                  <w:sz w:val="22"/>
                  <w:szCs w:val="22"/>
                  <w:lang w:val="pt-PT"/>
                </w:rPr>
                <w:delText> </w:delText>
              </w:r>
              <w:r w:rsidRPr="008912CF">
                <w:rPr>
                  <w:rFonts w:ascii="Times New Roman" w:hAnsi="Times New Roman"/>
                  <w:sz w:val="22"/>
                  <w:szCs w:val="22"/>
                  <w:lang w:val="pt-PT"/>
                </w:rPr>
                <w:delText>meses</w:delText>
              </w:r>
            </w:del>
          </w:p>
        </w:tc>
        <w:tc>
          <w:tcPr>
            <w:tcW w:w="1393" w:type="dxa"/>
            <w:tcBorders>
              <w:left w:val="single" w:sz="6" w:space="0" w:color="auto"/>
            </w:tcBorders>
          </w:tcPr>
          <w:p w14:paraId="1400F541" w14:textId="114728C6" w:rsidR="004462A0" w:rsidRPr="008912CF" w:rsidRDefault="00615769" w:rsidP="00F675CF">
            <w:pPr>
              <w:pStyle w:val="In-texttable"/>
              <w:tabs>
                <w:tab w:val="decimal" w:pos="259"/>
              </w:tabs>
              <w:spacing w:line="240" w:lineRule="auto"/>
              <w:jc w:val="center"/>
              <w:rPr>
                <w:del w:id="1773" w:author="AbbVie2" w:date="2025-05-13T16:36:00Z"/>
                <w:rFonts w:ascii="Times New Roman" w:hAnsi="Times New Roman"/>
                <w:sz w:val="22"/>
                <w:szCs w:val="22"/>
                <w:lang w:val="pt-PT"/>
              </w:rPr>
            </w:pPr>
            <w:del w:id="1774" w:author="AbbVie2" w:date="2025-05-13T16:36:00Z">
              <w:r w:rsidRPr="008912CF">
                <w:rPr>
                  <w:rFonts w:ascii="Times New Roman" w:hAnsi="Times New Roman"/>
                  <w:sz w:val="22"/>
                  <w:szCs w:val="22"/>
                  <w:lang w:val="pt-PT"/>
                </w:rPr>
                <w:delText>3,3%</w:delText>
              </w:r>
            </w:del>
          </w:p>
        </w:tc>
        <w:tc>
          <w:tcPr>
            <w:tcW w:w="1417" w:type="dxa"/>
            <w:tcBorders>
              <w:right w:val="single" w:sz="6" w:space="0" w:color="auto"/>
            </w:tcBorders>
          </w:tcPr>
          <w:p w14:paraId="03CD84E6" w14:textId="3662E28C" w:rsidR="004462A0" w:rsidRPr="008912CF" w:rsidRDefault="00615769" w:rsidP="00F675CF">
            <w:pPr>
              <w:pStyle w:val="In-texttable"/>
              <w:tabs>
                <w:tab w:val="decimal" w:pos="250"/>
              </w:tabs>
              <w:spacing w:line="240" w:lineRule="auto"/>
              <w:jc w:val="center"/>
              <w:rPr>
                <w:del w:id="1775" w:author="AbbVie2" w:date="2025-05-13T16:36:00Z"/>
                <w:rFonts w:ascii="Times New Roman" w:hAnsi="Times New Roman"/>
                <w:sz w:val="22"/>
                <w:szCs w:val="22"/>
                <w:lang w:val="pt-PT"/>
              </w:rPr>
            </w:pPr>
            <w:del w:id="1776" w:author="AbbVie2" w:date="2025-05-13T16:36:00Z">
              <w:r w:rsidRPr="008912CF">
                <w:rPr>
                  <w:rFonts w:ascii="Times New Roman" w:hAnsi="Times New Roman"/>
                  <w:sz w:val="22"/>
                  <w:szCs w:val="22"/>
                  <w:lang w:val="pt-PT"/>
                </w:rPr>
                <w:delText>23,8%</w:delText>
              </w:r>
            </w:del>
          </w:p>
        </w:tc>
        <w:tc>
          <w:tcPr>
            <w:tcW w:w="1071" w:type="dxa"/>
            <w:tcBorders>
              <w:left w:val="single" w:sz="6" w:space="0" w:color="auto"/>
            </w:tcBorders>
          </w:tcPr>
          <w:p w14:paraId="7E702D90" w14:textId="4D1F6971" w:rsidR="004462A0" w:rsidRPr="008912CF" w:rsidRDefault="00615769" w:rsidP="00F675CF">
            <w:pPr>
              <w:pStyle w:val="In-texttable"/>
              <w:spacing w:line="240" w:lineRule="auto"/>
              <w:jc w:val="center"/>
              <w:rPr>
                <w:del w:id="1777" w:author="AbbVie2" w:date="2025-05-13T16:36:00Z"/>
                <w:rFonts w:ascii="Times New Roman" w:hAnsi="Times New Roman"/>
                <w:sz w:val="22"/>
                <w:szCs w:val="22"/>
                <w:lang w:val="pt-PT"/>
              </w:rPr>
            </w:pPr>
            <w:del w:id="1778" w:author="AbbVie2" w:date="2025-05-13T16:36:00Z">
              <w:r w:rsidRPr="008912CF">
                <w:rPr>
                  <w:rFonts w:ascii="Times New Roman" w:hAnsi="Times New Roman"/>
                  <w:sz w:val="22"/>
                  <w:szCs w:val="22"/>
                  <w:lang w:val="pt-PT"/>
                </w:rPr>
                <w:delText>1,8%</w:delText>
              </w:r>
            </w:del>
          </w:p>
        </w:tc>
        <w:tc>
          <w:tcPr>
            <w:tcW w:w="1197" w:type="dxa"/>
            <w:tcBorders>
              <w:right w:val="single" w:sz="6" w:space="0" w:color="auto"/>
            </w:tcBorders>
          </w:tcPr>
          <w:p w14:paraId="3090EE7D" w14:textId="773805FA" w:rsidR="004462A0" w:rsidRPr="008912CF" w:rsidRDefault="00615769" w:rsidP="00F675CF">
            <w:pPr>
              <w:pStyle w:val="In-texttable"/>
              <w:tabs>
                <w:tab w:val="decimal" w:pos="205"/>
              </w:tabs>
              <w:spacing w:line="240" w:lineRule="auto"/>
              <w:jc w:val="center"/>
              <w:rPr>
                <w:del w:id="1779" w:author="AbbVie2" w:date="2025-05-13T16:36:00Z"/>
                <w:rFonts w:ascii="Times New Roman" w:hAnsi="Times New Roman"/>
                <w:sz w:val="22"/>
                <w:szCs w:val="22"/>
                <w:lang w:val="pt-PT"/>
              </w:rPr>
            </w:pPr>
            <w:del w:id="1780" w:author="AbbVie2" w:date="2025-05-13T16:36:00Z">
              <w:r w:rsidRPr="008912CF">
                <w:rPr>
                  <w:rFonts w:ascii="Times New Roman" w:hAnsi="Times New Roman"/>
                  <w:sz w:val="22"/>
                  <w:szCs w:val="22"/>
                  <w:lang w:val="pt-PT"/>
                </w:rPr>
                <w:delText>12,4%</w:delText>
              </w:r>
            </w:del>
          </w:p>
        </w:tc>
        <w:tc>
          <w:tcPr>
            <w:tcW w:w="1418" w:type="dxa"/>
            <w:tcBorders>
              <w:left w:val="single" w:sz="6" w:space="0" w:color="auto"/>
            </w:tcBorders>
          </w:tcPr>
          <w:p w14:paraId="431A10F2" w14:textId="2C499976" w:rsidR="004462A0" w:rsidRPr="008912CF" w:rsidRDefault="00615769" w:rsidP="00F675CF">
            <w:pPr>
              <w:pStyle w:val="In-texttable"/>
              <w:tabs>
                <w:tab w:val="decimal" w:pos="144"/>
              </w:tabs>
              <w:spacing w:line="240" w:lineRule="auto"/>
              <w:jc w:val="center"/>
              <w:rPr>
                <w:del w:id="1781" w:author="AbbVie2" w:date="2025-05-13T16:36:00Z"/>
                <w:rFonts w:ascii="Times New Roman" w:hAnsi="Times New Roman"/>
                <w:sz w:val="22"/>
                <w:szCs w:val="22"/>
                <w:lang w:val="pt-PT"/>
              </w:rPr>
            </w:pPr>
            <w:del w:id="1782" w:author="AbbVie2" w:date="2025-05-13T16:36:00Z">
              <w:r w:rsidRPr="008912CF">
                <w:rPr>
                  <w:rFonts w:ascii="Times New Roman" w:hAnsi="Times New Roman"/>
                  <w:sz w:val="22"/>
                  <w:szCs w:val="22"/>
                  <w:lang w:val="pt-PT"/>
                </w:rPr>
                <w:delText>2,5%</w:delText>
              </w:r>
            </w:del>
          </w:p>
        </w:tc>
        <w:tc>
          <w:tcPr>
            <w:tcW w:w="1559" w:type="dxa"/>
          </w:tcPr>
          <w:p w14:paraId="5A08DE18" w14:textId="3F0567BF" w:rsidR="004462A0" w:rsidRPr="008912CF" w:rsidRDefault="00615769" w:rsidP="00F675CF">
            <w:pPr>
              <w:pStyle w:val="In-texttable"/>
              <w:tabs>
                <w:tab w:val="decimal" w:pos="95"/>
              </w:tabs>
              <w:spacing w:line="240" w:lineRule="auto"/>
              <w:jc w:val="center"/>
              <w:rPr>
                <w:del w:id="1783" w:author="AbbVie2" w:date="2025-05-13T16:36:00Z"/>
                <w:rFonts w:ascii="Times New Roman" w:hAnsi="Times New Roman"/>
                <w:sz w:val="22"/>
                <w:szCs w:val="22"/>
                <w:lang w:val="pt-PT"/>
              </w:rPr>
            </w:pPr>
            <w:del w:id="1784" w:author="AbbVie2" w:date="2025-05-13T16:36:00Z">
              <w:r w:rsidRPr="008912CF">
                <w:rPr>
                  <w:rFonts w:ascii="Times New Roman" w:hAnsi="Times New Roman"/>
                  <w:sz w:val="22"/>
                  <w:szCs w:val="22"/>
                  <w:lang w:val="pt-PT"/>
                </w:rPr>
                <w:delText>20,8%</w:delText>
              </w:r>
            </w:del>
          </w:p>
        </w:tc>
      </w:tr>
      <w:tr w:rsidR="00A7162A" w14:paraId="14535DE7" w14:textId="3496B763" w:rsidTr="00F675CF">
        <w:trPr>
          <w:cantSplit/>
          <w:del w:id="1785" w:author="AbbVie2" w:date="2025-05-13T16:36:00Z"/>
        </w:trPr>
        <w:tc>
          <w:tcPr>
            <w:tcW w:w="1069" w:type="dxa"/>
            <w:tcBorders>
              <w:bottom w:val="single" w:sz="6" w:space="0" w:color="auto"/>
              <w:right w:val="single" w:sz="6" w:space="0" w:color="auto"/>
            </w:tcBorders>
          </w:tcPr>
          <w:p w14:paraId="3EE14343" w14:textId="35D1AF03" w:rsidR="004462A0" w:rsidRPr="008912CF" w:rsidRDefault="00615769" w:rsidP="00F675CF">
            <w:pPr>
              <w:pStyle w:val="In-texttable"/>
              <w:tabs>
                <w:tab w:val="left" w:pos="144"/>
              </w:tabs>
              <w:spacing w:line="240" w:lineRule="auto"/>
              <w:rPr>
                <w:del w:id="1786" w:author="AbbVie2" w:date="2025-05-13T16:36:00Z"/>
                <w:rFonts w:ascii="Times New Roman" w:hAnsi="Times New Roman"/>
                <w:sz w:val="22"/>
                <w:szCs w:val="22"/>
                <w:lang w:val="pt-PT"/>
              </w:rPr>
            </w:pPr>
            <w:del w:id="1787" w:author="AbbVie2" w:date="2025-05-13T16:36:00Z">
              <w:r w:rsidRPr="008912CF">
                <w:rPr>
                  <w:rFonts w:ascii="Times New Roman" w:hAnsi="Times New Roman"/>
                  <w:sz w:val="22"/>
                  <w:szCs w:val="22"/>
                  <w:lang w:val="pt-PT"/>
                </w:rPr>
                <w:tab/>
                <w:delText>12</w:delText>
              </w:r>
              <w:r>
                <w:rPr>
                  <w:rFonts w:ascii="Times New Roman" w:hAnsi="Times New Roman"/>
                  <w:sz w:val="22"/>
                  <w:szCs w:val="22"/>
                  <w:lang w:val="pt-PT"/>
                </w:rPr>
                <w:delText> </w:delText>
              </w:r>
              <w:r w:rsidRPr="008912CF">
                <w:rPr>
                  <w:rFonts w:ascii="Times New Roman" w:hAnsi="Times New Roman"/>
                  <w:sz w:val="22"/>
                  <w:szCs w:val="22"/>
                  <w:lang w:val="pt-PT"/>
                </w:rPr>
                <w:delText>meses</w:delText>
              </w:r>
            </w:del>
          </w:p>
        </w:tc>
        <w:tc>
          <w:tcPr>
            <w:tcW w:w="1393" w:type="dxa"/>
            <w:tcBorders>
              <w:left w:val="single" w:sz="6" w:space="0" w:color="auto"/>
              <w:bottom w:val="single" w:sz="6" w:space="0" w:color="auto"/>
            </w:tcBorders>
          </w:tcPr>
          <w:p w14:paraId="62DE2DFD" w14:textId="09EBB615" w:rsidR="004462A0" w:rsidRPr="008912CF" w:rsidRDefault="00615769" w:rsidP="00F675CF">
            <w:pPr>
              <w:pStyle w:val="In-texttable"/>
              <w:tabs>
                <w:tab w:val="decimal" w:pos="259"/>
              </w:tabs>
              <w:spacing w:line="240" w:lineRule="auto"/>
              <w:jc w:val="center"/>
              <w:rPr>
                <w:del w:id="1788" w:author="AbbVie2" w:date="2025-05-13T16:36:00Z"/>
                <w:rFonts w:ascii="Times New Roman" w:hAnsi="Times New Roman"/>
                <w:sz w:val="22"/>
                <w:szCs w:val="22"/>
                <w:lang w:val="pt-PT"/>
              </w:rPr>
            </w:pPr>
            <w:del w:id="1789" w:author="AbbVie2" w:date="2025-05-13T16:36:00Z">
              <w:r w:rsidRPr="008912CF">
                <w:rPr>
                  <w:rFonts w:ascii="Times New Roman" w:hAnsi="Times New Roman"/>
                  <w:sz w:val="22"/>
                  <w:szCs w:val="22"/>
                  <w:lang w:val="pt-PT"/>
                </w:rPr>
                <w:delText>NA</w:delText>
              </w:r>
            </w:del>
          </w:p>
        </w:tc>
        <w:tc>
          <w:tcPr>
            <w:tcW w:w="1417" w:type="dxa"/>
            <w:tcBorders>
              <w:bottom w:val="single" w:sz="6" w:space="0" w:color="auto"/>
              <w:right w:val="single" w:sz="6" w:space="0" w:color="auto"/>
            </w:tcBorders>
          </w:tcPr>
          <w:p w14:paraId="00973C26" w14:textId="662A7971" w:rsidR="004462A0" w:rsidRPr="008912CF" w:rsidRDefault="00615769" w:rsidP="00F675CF">
            <w:pPr>
              <w:pStyle w:val="In-texttable"/>
              <w:tabs>
                <w:tab w:val="decimal" w:pos="250"/>
              </w:tabs>
              <w:spacing w:line="240" w:lineRule="auto"/>
              <w:jc w:val="center"/>
              <w:rPr>
                <w:del w:id="1790" w:author="AbbVie2" w:date="2025-05-13T16:36:00Z"/>
                <w:rFonts w:ascii="Times New Roman" w:hAnsi="Times New Roman"/>
                <w:sz w:val="22"/>
                <w:szCs w:val="22"/>
                <w:lang w:val="pt-PT"/>
              </w:rPr>
            </w:pPr>
            <w:del w:id="1791" w:author="AbbVie2" w:date="2025-05-13T16:36:00Z">
              <w:r w:rsidRPr="008912CF">
                <w:rPr>
                  <w:rFonts w:ascii="Times New Roman" w:hAnsi="Times New Roman"/>
                  <w:sz w:val="22"/>
                  <w:szCs w:val="22"/>
                  <w:lang w:val="pt-PT"/>
                </w:rPr>
                <w:delText>NA</w:delText>
              </w:r>
            </w:del>
          </w:p>
        </w:tc>
        <w:tc>
          <w:tcPr>
            <w:tcW w:w="1071" w:type="dxa"/>
            <w:tcBorders>
              <w:left w:val="single" w:sz="6" w:space="0" w:color="auto"/>
              <w:bottom w:val="single" w:sz="6" w:space="0" w:color="auto"/>
            </w:tcBorders>
          </w:tcPr>
          <w:p w14:paraId="44EB2D3C" w14:textId="3B8F57CB" w:rsidR="004462A0" w:rsidRPr="008912CF" w:rsidRDefault="00615769" w:rsidP="00F675CF">
            <w:pPr>
              <w:pStyle w:val="In-texttable"/>
              <w:spacing w:line="240" w:lineRule="auto"/>
              <w:jc w:val="center"/>
              <w:rPr>
                <w:del w:id="1792" w:author="AbbVie2" w:date="2025-05-13T16:36:00Z"/>
                <w:rFonts w:ascii="Times New Roman" w:hAnsi="Times New Roman"/>
                <w:sz w:val="22"/>
                <w:szCs w:val="22"/>
                <w:lang w:val="pt-PT"/>
              </w:rPr>
            </w:pPr>
            <w:del w:id="1793" w:author="AbbVie2" w:date="2025-05-13T16:36:00Z">
              <w:r w:rsidRPr="008912CF">
                <w:rPr>
                  <w:rFonts w:ascii="Times New Roman" w:hAnsi="Times New Roman"/>
                  <w:sz w:val="22"/>
                  <w:szCs w:val="22"/>
                  <w:lang w:val="pt-PT"/>
                </w:rPr>
                <w:delText>NA</w:delText>
              </w:r>
            </w:del>
          </w:p>
        </w:tc>
        <w:tc>
          <w:tcPr>
            <w:tcW w:w="1197" w:type="dxa"/>
            <w:tcBorders>
              <w:bottom w:val="single" w:sz="6" w:space="0" w:color="auto"/>
              <w:right w:val="single" w:sz="6" w:space="0" w:color="auto"/>
            </w:tcBorders>
          </w:tcPr>
          <w:p w14:paraId="0D332FD1" w14:textId="6395468B" w:rsidR="004462A0" w:rsidRPr="008912CF" w:rsidRDefault="00615769" w:rsidP="00F675CF">
            <w:pPr>
              <w:pStyle w:val="In-texttable"/>
              <w:tabs>
                <w:tab w:val="decimal" w:pos="205"/>
              </w:tabs>
              <w:spacing w:line="240" w:lineRule="auto"/>
              <w:jc w:val="center"/>
              <w:rPr>
                <w:del w:id="1794" w:author="AbbVie2" w:date="2025-05-13T16:36:00Z"/>
                <w:rFonts w:ascii="Times New Roman" w:hAnsi="Times New Roman"/>
                <w:sz w:val="22"/>
                <w:szCs w:val="22"/>
                <w:lang w:val="pt-PT"/>
              </w:rPr>
            </w:pPr>
            <w:del w:id="1795" w:author="AbbVie2" w:date="2025-05-13T16:36:00Z">
              <w:r w:rsidRPr="008912CF">
                <w:rPr>
                  <w:rFonts w:ascii="Times New Roman" w:hAnsi="Times New Roman"/>
                  <w:sz w:val="22"/>
                  <w:szCs w:val="22"/>
                  <w:lang w:val="pt-PT"/>
                </w:rPr>
                <w:delText>NA</w:delText>
              </w:r>
            </w:del>
          </w:p>
        </w:tc>
        <w:tc>
          <w:tcPr>
            <w:tcW w:w="1418" w:type="dxa"/>
            <w:tcBorders>
              <w:left w:val="single" w:sz="6" w:space="0" w:color="auto"/>
              <w:bottom w:val="single" w:sz="6" w:space="0" w:color="auto"/>
            </w:tcBorders>
          </w:tcPr>
          <w:p w14:paraId="7FBE1BC5" w14:textId="1A3BE52B" w:rsidR="004462A0" w:rsidRPr="008912CF" w:rsidRDefault="00615769" w:rsidP="00F675CF">
            <w:pPr>
              <w:pStyle w:val="In-texttable"/>
              <w:tabs>
                <w:tab w:val="decimal" w:pos="144"/>
              </w:tabs>
              <w:spacing w:line="240" w:lineRule="auto"/>
              <w:jc w:val="center"/>
              <w:rPr>
                <w:del w:id="1796" w:author="AbbVie2" w:date="2025-05-13T16:36:00Z"/>
                <w:rFonts w:ascii="Times New Roman" w:hAnsi="Times New Roman"/>
                <w:sz w:val="22"/>
                <w:szCs w:val="22"/>
                <w:lang w:val="pt-PT"/>
              </w:rPr>
            </w:pPr>
            <w:del w:id="1797" w:author="AbbVie2" w:date="2025-05-13T16:36:00Z">
              <w:r w:rsidRPr="008912CF">
                <w:rPr>
                  <w:rFonts w:ascii="Times New Roman" w:hAnsi="Times New Roman"/>
                  <w:sz w:val="22"/>
                  <w:szCs w:val="22"/>
                  <w:lang w:val="pt-PT"/>
                </w:rPr>
                <w:delText>4,5%</w:delText>
              </w:r>
            </w:del>
          </w:p>
        </w:tc>
        <w:tc>
          <w:tcPr>
            <w:tcW w:w="1559" w:type="dxa"/>
            <w:tcBorders>
              <w:bottom w:val="single" w:sz="6" w:space="0" w:color="auto"/>
            </w:tcBorders>
          </w:tcPr>
          <w:p w14:paraId="3B3C5345" w14:textId="76ABB6F4" w:rsidR="004462A0" w:rsidRPr="008912CF" w:rsidRDefault="00615769" w:rsidP="00F675CF">
            <w:pPr>
              <w:pStyle w:val="In-texttable"/>
              <w:tabs>
                <w:tab w:val="decimal" w:pos="95"/>
              </w:tabs>
              <w:spacing w:line="240" w:lineRule="auto"/>
              <w:jc w:val="center"/>
              <w:rPr>
                <w:del w:id="1798" w:author="AbbVie2" w:date="2025-05-13T16:36:00Z"/>
                <w:rFonts w:ascii="Times New Roman" w:hAnsi="Times New Roman"/>
                <w:sz w:val="22"/>
                <w:szCs w:val="22"/>
                <w:lang w:val="pt-PT"/>
              </w:rPr>
            </w:pPr>
            <w:del w:id="1799" w:author="AbbVie2" w:date="2025-05-13T16:36:00Z">
              <w:r w:rsidRPr="008912CF">
                <w:rPr>
                  <w:rFonts w:ascii="Times New Roman" w:hAnsi="Times New Roman"/>
                  <w:sz w:val="22"/>
                  <w:szCs w:val="22"/>
                  <w:lang w:val="pt-PT"/>
                </w:rPr>
                <w:delText>23,2%</w:delText>
              </w:r>
            </w:del>
          </w:p>
        </w:tc>
      </w:tr>
      <w:tr w:rsidR="00A7162A" w14:paraId="2AB79F4E" w14:textId="6DE051A5" w:rsidTr="00F675CF">
        <w:trPr>
          <w:cantSplit/>
          <w:del w:id="1800" w:author="AbbVie2" w:date="2025-05-13T16:36:00Z"/>
        </w:trPr>
        <w:tc>
          <w:tcPr>
            <w:tcW w:w="9124" w:type="dxa"/>
            <w:gridSpan w:val="7"/>
          </w:tcPr>
          <w:p w14:paraId="5D46269B" w14:textId="2D9E2D50" w:rsidR="004462A0" w:rsidRPr="008912CF" w:rsidRDefault="00615769" w:rsidP="00F675CF">
            <w:pPr>
              <w:pStyle w:val="In-textfootnote"/>
              <w:spacing w:before="0" w:line="240" w:lineRule="auto"/>
              <w:ind w:left="144" w:hanging="144"/>
              <w:rPr>
                <w:del w:id="1801" w:author="AbbVie2" w:date="2025-05-13T16:36:00Z"/>
                <w:rFonts w:ascii="Times New Roman" w:hAnsi="Times New Roman"/>
                <w:sz w:val="22"/>
                <w:szCs w:val="22"/>
                <w:lang w:val="pt-PT"/>
              </w:rPr>
            </w:pPr>
            <w:del w:id="1802" w:author="AbbVie2" w:date="2025-05-13T16:36:00Z">
              <w:r w:rsidRPr="008912CF">
                <w:rPr>
                  <w:rFonts w:ascii="Times New Roman" w:hAnsi="Times New Roman"/>
                  <w:sz w:val="22"/>
                  <w:szCs w:val="22"/>
                  <w:vertAlign w:val="superscript"/>
                  <w:lang w:val="pt-PT"/>
                </w:rPr>
                <w:delText>a</w:delText>
              </w:r>
              <w:r w:rsidRPr="008912CF">
                <w:rPr>
                  <w:rFonts w:ascii="Times New Roman" w:hAnsi="Times New Roman"/>
                  <w:sz w:val="22"/>
                  <w:szCs w:val="22"/>
                  <w:lang w:val="pt-PT"/>
                </w:rPr>
                <w:tab/>
                <w:delText xml:space="preserve">Estudo AR I na semana 24, Estudo AR II na semana 26 e Estudo AR III nas semanas 24 e 52 </w:delText>
              </w:r>
            </w:del>
          </w:p>
          <w:p w14:paraId="6743F148" w14:textId="1650EE84" w:rsidR="004462A0" w:rsidRPr="008912CF" w:rsidRDefault="00615769" w:rsidP="00F675CF">
            <w:pPr>
              <w:pStyle w:val="In-textfootnote"/>
              <w:spacing w:before="0" w:line="240" w:lineRule="auto"/>
              <w:ind w:left="144" w:hanging="144"/>
              <w:rPr>
                <w:del w:id="1803" w:author="AbbVie2" w:date="2025-05-13T16:36:00Z"/>
                <w:rFonts w:ascii="Times New Roman" w:hAnsi="Times New Roman"/>
                <w:sz w:val="22"/>
                <w:szCs w:val="22"/>
                <w:lang w:val="pt-PT"/>
              </w:rPr>
            </w:pPr>
            <w:del w:id="1804" w:author="AbbVie2" w:date="2025-05-13T16:36:00Z">
              <w:r w:rsidRPr="008912CF">
                <w:rPr>
                  <w:rFonts w:ascii="Times New Roman" w:hAnsi="Times New Roman"/>
                  <w:sz w:val="22"/>
                  <w:szCs w:val="22"/>
                  <w:vertAlign w:val="superscript"/>
                  <w:lang w:val="pt-PT"/>
                </w:rPr>
                <w:delText>b</w:delText>
              </w:r>
              <w:r w:rsidRPr="008912CF">
                <w:rPr>
                  <w:rFonts w:ascii="Times New Roman" w:hAnsi="Times New Roman"/>
                  <w:sz w:val="22"/>
                  <w:szCs w:val="22"/>
                  <w:lang w:val="pt-PT"/>
                </w:rPr>
                <w:tab/>
                <w:delText xml:space="preserve">40 mg de Humira administrados em semanas alternadas </w:delText>
              </w:r>
            </w:del>
          </w:p>
          <w:p w14:paraId="348C435B" w14:textId="4761789B" w:rsidR="004462A0" w:rsidRPr="008912CF" w:rsidRDefault="00615769" w:rsidP="00F675CF">
            <w:pPr>
              <w:pStyle w:val="In-textfootnote"/>
              <w:spacing w:before="0" w:line="240" w:lineRule="auto"/>
              <w:ind w:left="144" w:hanging="144"/>
              <w:rPr>
                <w:del w:id="1805" w:author="AbbVie2" w:date="2025-05-13T16:36:00Z"/>
                <w:rFonts w:ascii="Times New Roman" w:hAnsi="Times New Roman"/>
                <w:sz w:val="22"/>
                <w:szCs w:val="22"/>
                <w:lang w:val="pt-PT"/>
              </w:rPr>
            </w:pPr>
            <w:del w:id="1806" w:author="AbbVie2" w:date="2025-05-13T16:36:00Z">
              <w:r w:rsidRPr="008912CF">
                <w:rPr>
                  <w:rFonts w:ascii="Times New Roman" w:hAnsi="Times New Roman"/>
                  <w:sz w:val="22"/>
                  <w:szCs w:val="22"/>
                  <w:vertAlign w:val="superscript"/>
                  <w:lang w:val="pt-PT"/>
                </w:rPr>
                <w:delText>c</w:delText>
              </w:r>
              <w:r w:rsidRPr="008912CF">
                <w:rPr>
                  <w:rFonts w:ascii="Times New Roman" w:hAnsi="Times New Roman"/>
                  <w:sz w:val="22"/>
                  <w:szCs w:val="22"/>
                  <w:lang w:val="pt-PT"/>
                </w:rPr>
                <w:delText xml:space="preserve"> MTX  = metotrexato</w:delText>
              </w:r>
            </w:del>
          </w:p>
          <w:p w14:paraId="0400B8A1" w14:textId="0D1B5D8B" w:rsidR="004462A0" w:rsidRPr="008912CF" w:rsidRDefault="00615769" w:rsidP="00F675CF">
            <w:pPr>
              <w:pStyle w:val="In-textfootnote"/>
              <w:spacing w:before="0" w:line="240" w:lineRule="auto"/>
              <w:ind w:left="144" w:hanging="144"/>
              <w:rPr>
                <w:del w:id="1807" w:author="AbbVie2" w:date="2025-05-13T16:36:00Z"/>
                <w:rFonts w:ascii="Times New Roman" w:hAnsi="Times New Roman"/>
                <w:sz w:val="22"/>
                <w:szCs w:val="22"/>
                <w:lang w:val="pt-PT"/>
              </w:rPr>
            </w:pPr>
            <w:del w:id="1808" w:author="AbbVie2" w:date="2025-05-13T16:36:00Z">
              <w:r w:rsidRPr="008912CF">
                <w:rPr>
                  <w:rFonts w:ascii="Times New Roman" w:hAnsi="Times New Roman"/>
                  <w:sz w:val="22"/>
                  <w:szCs w:val="22"/>
                  <w:lang w:val="pt-PT"/>
                </w:rPr>
                <w:delText xml:space="preserve">**p &lt; 0,01, Humira </w:delText>
              </w:r>
              <w:r w:rsidRPr="008912CF">
                <w:rPr>
                  <w:rFonts w:ascii="Times New Roman" w:hAnsi="Times New Roman"/>
                  <w:i/>
                  <w:iCs/>
                  <w:sz w:val="22"/>
                  <w:szCs w:val="22"/>
                  <w:lang w:val="pt-PT"/>
                </w:rPr>
                <w:delText xml:space="preserve">versus </w:delText>
              </w:r>
              <w:r w:rsidRPr="008912CF">
                <w:rPr>
                  <w:rFonts w:ascii="Times New Roman" w:hAnsi="Times New Roman"/>
                  <w:sz w:val="22"/>
                  <w:szCs w:val="22"/>
                  <w:lang w:val="pt-PT"/>
                </w:rPr>
                <w:delText>placebo</w:delText>
              </w:r>
            </w:del>
          </w:p>
        </w:tc>
      </w:tr>
    </w:tbl>
    <w:p w14:paraId="61672A42" w14:textId="51A910F7" w:rsidR="004462A0" w:rsidRPr="008912CF" w:rsidRDefault="004462A0" w:rsidP="004462A0">
      <w:pPr>
        <w:pStyle w:val="EndnoteText"/>
        <w:rPr>
          <w:del w:id="1809" w:author="AbbVie2" w:date="2025-05-13T16:36:00Z"/>
          <w:szCs w:val="22"/>
        </w:rPr>
      </w:pPr>
    </w:p>
    <w:p w14:paraId="4DCD0549" w14:textId="22A071E3" w:rsidR="004462A0" w:rsidRPr="008912CF" w:rsidRDefault="00615769" w:rsidP="004462A0">
      <w:pPr>
        <w:rPr>
          <w:del w:id="1810" w:author="AbbVie2" w:date="2025-05-13T16:36:00Z"/>
          <w:sz w:val="22"/>
          <w:szCs w:val="22"/>
        </w:rPr>
      </w:pPr>
      <w:del w:id="1811" w:author="AbbVie2" w:date="2025-05-13T16:36:00Z">
        <w:r w:rsidRPr="008912CF">
          <w:rPr>
            <w:sz w:val="22"/>
            <w:szCs w:val="22"/>
          </w:rPr>
          <w:delText xml:space="preserve">Nos estudos AR I-IV, todos os componentes individuais dos critérios de resposta ACR (número de articulações com edema e hipersensibilidade, avaliação pelo médico e pelo doente da atividade da doença e da dor, pontuação do índice de incapacidade (HAQ) e valores PCR (mg/dl)) registaram melhoria nas semanas 24 ou 26 relativamente ao placebo. No </w:delText>
        </w:r>
        <w:r w:rsidR="00F96DDF">
          <w:rPr>
            <w:sz w:val="22"/>
            <w:szCs w:val="22"/>
          </w:rPr>
          <w:delText>e</w:delText>
        </w:r>
        <w:r w:rsidRPr="008912CF">
          <w:rPr>
            <w:sz w:val="22"/>
            <w:szCs w:val="22"/>
          </w:rPr>
          <w:delText xml:space="preserve">studo AR III, estas melhorias mantiveram-se durante 52 semanas. </w:delText>
        </w:r>
      </w:del>
    </w:p>
    <w:p w14:paraId="4D509D28" w14:textId="003DD953" w:rsidR="004462A0" w:rsidRPr="008912CF" w:rsidRDefault="004462A0" w:rsidP="004462A0">
      <w:pPr>
        <w:rPr>
          <w:del w:id="1812" w:author="AbbVie2" w:date="2025-05-13T16:36:00Z"/>
          <w:sz w:val="22"/>
          <w:szCs w:val="22"/>
        </w:rPr>
      </w:pPr>
    </w:p>
    <w:p w14:paraId="28A9E6FE" w14:textId="47BFBD3D" w:rsidR="004462A0" w:rsidRPr="008912CF" w:rsidRDefault="00615769" w:rsidP="004462A0">
      <w:pPr>
        <w:rPr>
          <w:del w:id="1813" w:author="AbbVie2" w:date="2025-05-13T16:36:00Z"/>
          <w:sz w:val="22"/>
          <w:szCs w:val="22"/>
        </w:rPr>
      </w:pPr>
      <w:del w:id="1814" w:author="AbbVie2" w:date="2025-05-13T16:36:00Z">
        <w:r w:rsidRPr="008912CF">
          <w:rPr>
            <w:sz w:val="22"/>
            <w:szCs w:val="22"/>
          </w:rPr>
          <w:delText>Na extensão de fase aberta do estudo AR III, a maioria dos doentes</w:delText>
        </w:r>
        <w:r w:rsidRPr="008912CF">
          <w:delText xml:space="preserve"> </w:delText>
        </w:r>
        <w:r w:rsidRPr="008912CF">
          <w:rPr>
            <w:sz w:val="22"/>
            <w:szCs w:val="22"/>
          </w:rPr>
          <w:delText>que foram respondedores ACR mantiveram a resposta quando acompanhados até 10</w:delText>
        </w:r>
        <w:r>
          <w:rPr>
            <w:sz w:val="22"/>
            <w:szCs w:val="22"/>
          </w:rPr>
          <w:delText> </w:delText>
        </w:r>
        <w:r w:rsidRPr="008912CF">
          <w:rPr>
            <w:sz w:val="22"/>
            <w:szCs w:val="22"/>
          </w:rPr>
          <w:delText xml:space="preserve">anos. Dos 207 doentes, que foram </w:delText>
        </w:r>
        <w:r w:rsidR="0013275C">
          <w:rPr>
            <w:sz w:val="22"/>
            <w:szCs w:val="22"/>
          </w:rPr>
          <w:delText>aleatorizado</w:delText>
        </w:r>
        <w:r w:rsidRPr="008912CF">
          <w:rPr>
            <w:sz w:val="22"/>
            <w:szCs w:val="22"/>
          </w:rPr>
          <w:delText>s com Humira 40 mg em semanas alternadas, 114 doentes continuaram com Humira 40</w:delText>
        </w:r>
        <w:r>
          <w:rPr>
            <w:sz w:val="22"/>
            <w:szCs w:val="22"/>
          </w:rPr>
          <w:delText> </w:delText>
        </w:r>
        <w:r w:rsidRPr="008912CF">
          <w:rPr>
            <w:sz w:val="22"/>
            <w:szCs w:val="22"/>
          </w:rPr>
          <w:delText>mg, em semanas alternadas, durante 5 anos. Entre estes, 86 doentes (75,4</w:delText>
        </w:r>
        <w:r w:rsidR="009343EF">
          <w:rPr>
            <w:sz w:val="22"/>
            <w:szCs w:val="22"/>
          </w:rPr>
          <w:delText>%</w:delText>
        </w:r>
        <w:r w:rsidRPr="008912CF">
          <w:rPr>
            <w:sz w:val="22"/>
            <w:szCs w:val="22"/>
          </w:rPr>
          <w:delText>) obtiveram uma resposta ACR 20; 72 doentes (63,2</w:delText>
        </w:r>
        <w:r w:rsidR="009343EF">
          <w:rPr>
            <w:sz w:val="22"/>
            <w:szCs w:val="22"/>
          </w:rPr>
          <w:delText>%</w:delText>
        </w:r>
        <w:r w:rsidRPr="008912CF">
          <w:rPr>
            <w:sz w:val="22"/>
            <w:szCs w:val="22"/>
          </w:rPr>
          <w:delText>) obtiveram uma resposta ACR 50; e 41 doentes (36</w:delText>
        </w:r>
        <w:r w:rsidR="009343EF">
          <w:rPr>
            <w:sz w:val="22"/>
            <w:szCs w:val="22"/>
          </w:rPr>
          <w:delText>%</w:delText>
        </w:r>
        <w:r w:rsidRPr="008912CF">
          <w:rPr>
            <w:sz w:val="22"/>
            <w:szCs w:val="22"/>
          </w:rPr>
          <w:delText>) obtiveram uma resposta ACR 70. Dos 207 doentes, 81 doentes continuaram com Humira 40 mg, em semanas alternadas, durante 10 anos. Entre</w:delText>
        </w:r>
        <w:r w:rsidRPr="008912CF">
          <w:rPr>
            <w:sz w:val="22"/>
            <w:szCs w:val="22"/>
          </w:rPr>
          <w:delText xml:space="preserve"> estes, 64 doentes (79</w:delText>
        </w:r>
        <w:r w:rsidR="00F96DDF">
          <w:rPr>
            <w:sz w:val="22"/>
            <w:szCs w:val="22"/>
          </w:rPr>
          <w:delText>,0</w:delText>
        </w:r>
        <w:r w:rsidR="009343EF">
          <w:rPr>
            <w:sz w:val="22"/>
            <w:szCs w:val="22"/>
          </w:rPr>
          <w:delText>%</w:delText>
        </w:r>
        <w:r w:rsidRPr="008912CF">
          <w:rPr>
            <w:sz w:val="22"/>
            <w:szCs w:val="22"/>
          </w:rPr>
          <w:delText>) obtiveram uma resposta ACR 20; 56 doentes (69,1</w:delText>
        </w:r>
        <w:r w:rsidR="009343EF">
          <w:rPr>
            <w:sz w:val="22"/>
            <w:szCs w:val="22"/>
          </w:rPr>
          <w:delText>%</w:delText>
        </w:r>
        <w:r w:rsidRPr="008912CF">
          <w:rPr>
            <w:sz w:val="22"/>
            <w:szCs w:val="22"/>
          </w:rPr>
          <w:delText>) obtiveram uma resposta ACR 50; e 43 doentes (53,1</w:delText>
        </w:r>
        <w:r w:rsidR="009343EF">
          <w:rPr>
            <w:sz w:val="22"/>
            <w:szCs w:val="22"/>
          </w:rPr>
          <w:delText>%</w:delText>
        </w:r>
        <w:r w:rsidRPr="008912CF">
          <w:rPr>
            <w:sz w:val="22"/>
            <w:szCs w:val="22"/>
          </w:rPr>
          <w:delText xml:space="preserve">) obtiveram uma resposta ACR 70.  </w:delText>
        </w:r>
      </w:del>
    </w:p>
    <w:p w14:paraId="190F617D" w14:textId="21CBA188" w:rsidR="004462A0" w:rsidRPr="008912CF" w:rsidRDefault="004462A0" w:rsidP="004462A0">
      <w:pPr>
        <w:rPr>
          <w:del w:id="1815" w:author="AbbVie2" w:date="2025-05-13T16:36:00Z"/>
          <w:sz w:val="22"/>
          <w:szCs w:val="22"/>
        </w:rPr>
      </w:pPr>
    </w:p>
    <w:p w14:paraId="7E1BA943" w14:textId="5FF179DB" w:rsidR="004462A0" w:rsidRPr="008912CF" w:rsidRDefault="00615769" w:rsidP="004462A0">
      <w:pPr>
        <w:rPr>
          <w:del w:id="1816" w:author="AbbVie2" w:date="2025-05-13T16:36:00Z"/>
          <w:sz w:val="22"/>
          <w:szCs w:val="22"/>
        </w:rPr>
      </w:pPr>
      <w:del w:id="1817" w:author="AbbVie2" w:date="2025-05-13T16:36:00Z">
        <w:r w:rsidRPr="008912CF">
          <w:rPr>
            <w:sz w:val="22"/>
            <w:szCs w:val="22"/>
          </w:rPr>
          <w:delText>No estudo AR IV, a resposta ACR 20 dos doentes tratados com Humira em associação com cuidados padrão foi superior à registada nos doentes tratados com placebo em associação com cuidados padrão, sendo a diferença estatisticamente significativa (p &lt; 0,001).</w:delText>
        </w:r>
      </w:del>
    </w:p>
    <w:p w14:paraId="063959AB" w14:textId="4DDC9FCC" w:rsidR="004462A0" w:rsidRPr="008912CF" w:rsidRDefault="004462A0" w:rsidP="004462A0">
      <w:pPr>
        <w:pStyle w:val="Corpodetexto1"/>
        <w:tabs>
          <w:tab w:val="clear" w:pos="1152"/>
          <w:tab w:val="clear" w:pos="1872"/>
        </w:tabs>
        <w:spacing w:after="0" w:line="240" w:lineRule="auto"/>
        <w:ind w:left="0"/>
        <w:jc w:val="left"/>
        <w:rPr>
          <w:del w:id="1818" w:author="AbbVie2" w:date="2025-05-13T16:36:00Z"/>
          <w:sz w:val="22"/>
          <w:szCs w:val="22"/>
          <w:lang w:val="pt-PT"/>
        </w:rPr>
      </w:pPr>
    </w:p>
    <w:p w14:paraId="61319F01" w14:textId="12607BD6" w:rsidR="004462A0" w:rsidRPr="008912CF" w:rsidRDefault="00615769" w:rsidP="004462A0">
      <w:pPr>
        <w:rPr>
          <w:del w:id="1819" w:author="AbbVie2" w:date="2025-05-13T16:36:00Z"/>
          <w:sz w:val="22"/>
          <w:szCs w:val="22"/>
        </w:rPr>
      </w:pPr>
      <w:del w:id="1820" w:author="AbbVie2" w:date="2025-05-13T16:36:00Z">
        <w:r w:rsidRPr="008912CF">
          <w:rPr>
            <w:sz w:val="22"/>
            <w:szCs w:val="22"/>
          </w:rPr>
          <w:delText>Nos estudos AR I-IV, os doentes tratados com Humira atingiram logo após uma a duas semanas a seguir ao início do tratamento respostas ACR 20 e 50 estatisticamente significativas em relação ao placebo.</w:delText>
        </w:r>
      </w:del>
    </w:p>
    <w:p w14:paraId="47ADD7CF" w14:textId="1A7B8BF9" w:rsidR="004462A0" w:rsidRPr="008912CF" w:rsidRDefault="004462A0" w:rsidP="004462A0">
      <w:pPr>
        <w:rPr>
          <w:del w:id="1821" w:author="AbbVie2" w:date="2025-05-13T16:36:00Z"/>
          <w:sz w:val="22"/>
          <w:szCs w:val="22"/>
        </w:rPr>
      </w:pPr>
    </w:p>
    <w:p w14:paraId="733CEFFF" w14:textId="2F6C8329" w:rsidR="004462A0" w:rsidRPr="008912CF" w:rsidRDefault="00615769" w:rsidP="004462A0">
      <w:pPr>
        <w:rPr>
          <w:del w:id="1822" w:author="AbbVie2" w:date="2025-05-13T16:36:00Z"/>
          <w:sz w:val="22"/>
          <w:szCs w:val="22"/>
        </w:rPr>
      </w:pPr>
      <w:del w:id="1823" w:author="AbbVie2" w:date="2025-05-13T16:36:00Z">
        <w:r w:rsidRPr="008912CF">
          <w:rPr>
            <w:sz w:val="22"/>
            <w:szCs w:val="22"/>
          </w:rPr>
          <w:delText>No estudo AR V em doentes com artrite reumatoide precoce não tratados previamente com metotrexato, a associação terapêutica Humira e metotrexato originou respostas ACR mais rápidas e significativamente superiores do que metotrexato e Humira em monoterapia na Semana</w:delText>
        </w:r>
        <w:r>
          <w:rPr>
            <w:sz w:val="22"/>
            <w:szCs w:val="22"/>
          </w:rPr>
          <w:delText> </w:delText>
        </w:r>
        <w:r w:rsidRPr="008912CF">
          <w:rPr>
            <w:sz w:val="22"/>
            <w:szCs w:val="22"/>
          </w:rPr>
          <w:delText>52, sendo as respostas mantidas até à Semana</w:delText>
        </w:r>
        <w:r>
          <w:rPr>
            <w:sz w:val="22"/>
            <w:szCs w:val="22"/>
          </w:rPr>
          <w:delText> </w:delText>
        </w:r>
        <w:r w:rsidRPr="008912CF">
          <w:rPr>
            <w:sz w:val="22"/>
            <w:szCs w:val="22"/>
          </w:rPr>
          <w:delText>104 (ver Tabela</w:delText>
        </w:r>
        <w:r w:rsidR="0013275C">
          <w:rPr>
            <w:sz w:val="22"/>
            <w:szCs w:val="22"/>
          </w:rPr>
          <w:delText xml:space="preserve"> </w:delText>
        </w:r>
        <w:r w:rsidR="00D0749B">
          <w:rPr>
            <w:sz w:val="22"/>
            <w:szCs w:val="22"/>
          </w:rPr>
          <w:delText>9</w:delText>
        </w:r>
        <w:r w:rsidRPr="008912CF">
          <w:rPr>
            <w:sz w:val="22"/>
            <w:szCs w:val="22"/>
          </w:rPr>
          <w:delText>).</w:delText>
        </w:r>
      </w:del>
    </w:p>
    <w:p w14:paraId="03CFF4A3" w14:textId="70F08300" w:rsidR="004462A0" w:rsidRPr="008912CF" w:rsidRDefault="004462A0" w:rsidP="004462A0">
      <w:pPr>
        <w:pStyle w:val="Footer"/>
        <w:keepNext/>
        <w:tabs>
          <w:tab w:val="clear" w:pos="4320"/>
          <w:tab w:val="clear" w:pos="8640"/>
        </w:tabs>
        <w:rPr>
          <w:del w:id="1824" w:author="AbbVie2" w:date="2025-05-13T16:36:00Z"/>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1718"/>
        <w:gridCol w:w="1320"/>
        <w:gridCol w:w="1238"/>
        <w:gridCol w:w="1658"/>
        <w:gridCol w:w="1100"/>
        <w:gridCol w:w="1173"/>
        <w:gridCol w:w="1210"/>
        <w:gridCol w:w="12"/>
      </w:tblGrid>
      <w:tr w:rsidR="00A7162A" w14:paraId="6A44FE86" w14:textId="070DF4DF" w:rsidTr="00F675CF">
        <w:trPr>
          <w:gridBefore w:val="1"/>
          <w:wBefore w:w="6" w:type="dxa"/>
          <w:cantSplit/>
          <w:jc w:val="center"/>
          <w:del w:id="1825" w:author="AbbVie2" w:date="2025-05-13T16:36:00Z"/>
        </w:trPr>
        <w:tc>
          <w:tcPr>
            <w:tcW w:w="9429" w:type="dxa"/>
            <w:gridSpan w:val="8"/>
            <w:tcBorders>
              <w:top w:val="nil"/>
              <w:left w:val="nil"/>
              <w:bottom w:val="nil"/>
              <w:right w:val="nil"/>
            </w:tcBorders>
            <w:vAlign w:val="center"/>
          </w:tcPr>
          <w:p w14:paraId="5BE8D360" w14:textId="0148B596" w:rsidR="004462A0" w:rsidRPr="008912CF" w:rsidRDefault="00615769" w:rsidP="00F675CF">
            <w:pPr>
              <w:pStyle w:val="BodyText"/>
              <w:keepNext/>
              <w:tabs>
                <w:tab w:val="left" w:pos="3600"/>
                <w:tab w:val="center" w:pos="5760"/>
              </w:tabs>
              <w:jc w:val="center"/>
              <w:rPr>
                <w:del w:id="1826" w:author="AbbVie2" w:date="2025-05-13T16:36:00Z"/>
                <w:b/>
                <w:bCs/>
              </w:rPr>
            </w:pPr>
            <w:del w:id="1827" w:author="AbbVie2" w:date="2025-05-13T16:36:00Z">
              <w:r w:rsidRPr="008912CF">
                <w:rPr>
                  <w:b/>
                  <w:bCs/>
                  <w:sz w:val="22"/>
                  <w:szCs w:val="22"/>
                </w:rPr>
                <w:delText xml:space="preserve">Tabela </w:delText>
              </w:r>
              <w:r w:rsidR="00D0749B">
                <w:rPr>
                  <w:b/>
                  <w:bCs/>
                  <w:sz w:val="22"/>
                  <w:szCs w:val="22"/>
                </w:rPr>
                <w:delText>9</w:delText>
              </w:r>
            </w:del>
          </w:p>
          <w:p w14:paraId="0E01F2A1" w14:textId="67F74D71" w:rsidR="004462A0" w:rsidRPr="008912CF" w:rsidRDefault="00615769" w:rsidP="00F675CF">
            <w:pPr>
              <w:pStyle w:val="BodyText"/>
              <w:keepNext/>
              <w:tabs>
                <w:tab w:val="left" w:pos="3600"/>
                <w:tab w:val="center" w:pos="5760"/>
              </w:tabs>
              <w:jc w:val="center"/>
              <w:rPr>
                <w:del w:id="1828" w:author="AbbVie2" w:date="2025-05-13T16:36:00Z"/>
                <w:b/>
                <w:bCs/>
              </w:rPr>
            </w:pPr>
            <w:del w:id="1829" w:author="AbbVie2" w:date="2025-05-13T16:36:00Z">
              <w:r w:rsidRPr="008912CF">
                <w:rPr>
                  <w:b/>
                  <w:bCs/>
                  <w:sz w:val="22"/>
                  <w:szCs w:val="22"/>
                </w:rPr>
                <w:delText>Respostas ACR no Estudo AR V</w:delText>
              </w:r>
            </w:del>
          </w:p>
          <w:p w14:paraId="7BC5BB6A" w14:textId="63686F79" w:rsidR="004462A0" w:rsidRPr="008912CF" w:rsidRDefault="00615769" w:rsidP="00F675CF">
            <w:pPr>
              <w:pStyle w:val="BodyText"/>
              <w:keepNext/>
              <w:tabs>
                <w:tab w:val="left" w:pos="3600"/>
                <w:tab w:val="center" w:pos="5760"/>
              </w:tabs>
              <w:jc w:val="center"/>
              <w:rPr>
                <w:del w:id="1830" w:author="AbbVie2" w:date="2025-05-13T16:36:00Z"/>
                <w:bCs/>
                <w:i/>
                <w:caps/>
              </w:rPr>
            </w:pPr>
            <w:del w:id="1831" w:author="AbbVie2" w:date="2025-05-13T16:36:00Z">
              <w:r w:rsidRPr="008912CF">
                <w:rPr>
                  <w:b/>
                  <w:bCs/>
                  <w:sz w:val="22"/>
                  <w:szCs w:val="22"/>
                </w:rPr>
                <w:delText>(percentagem de doentes</w:delText>
              </w:r>
              <w:r w:rsidRPr="008912CF">
                <w:rPr>
                  <w:b/>
                  <w:bCs/>
                  <w:caps/>
                  <w:sz w:val="22"/>
                  <w:szCs w:val="22"/>
                </w:rPr>
                <w:delText>)</w:delText>
              </w:r>
            </w:del>
          </w:p>
          <w:p w14:paraId="6BB3C2CC" w14:textId="388951A5" w:rsidR="004462A0" w:rsidRPr="008912CF" w:rsidRDefault="004462A0" w:rsidP="00F675CF">
            <w:pPr>
              <w:pStyle w:val="BodyText"/>
              <w:keepNext/>
              <w:tabs>
                <w:tab w:val="left" w:pos="3600"/>
                <w:tab w:val="center" w:pos="5760"/>
              </w:tabs>
              <w:jc w:val="center"/>
              <w:rPr>
                <w:del w:id="1832" w:author="AbbVie2" w:date="2025-05-13T16:36:00Z"/>
                <w:bCs/>
                <w:i/>
              </w:rPr>
            </w:pPr>
          </w:p>
        </w:tc>
      </w:tr>
      <w:tr w:rsidR="00A7162A" w14:paraId="0F741112" w14:textId="0694EA74" w:rsidTr="00F675CF">
        <w:trPr>
          <w:gridAfter w:val="1"/>
          <w:wAfter w:w="12" w:type="dxa"/>
          <w:cantSplit/>
          <w:jc w:val="center"/>
          <w:del w:id="1833" w:author="AbbVie2" w:date="2025-05-13T16:36:00Z"/>
        </w:trPr>
        <w:tc>
          <w:tcPr>
            <w:tcW w:w="1724" w:type="dxa"/>
            <w:gridSpan w:val="2"/>
            <w:vAlign w:val="center"/>
          </w:tcPr>
          <w:p w14:paraId="73E5429A" w14:textId="35E30D4A" w:rsidR="004462A0" w:rsidRPr="008912CF" w:rsidRDefault="00615769" w:rsidP="00F675CF">
            <w:pPr>
              <w:keepNext/>
              <w:rPr>
                <w:del w:id="1834" w:author="AbbVie2" w:date="2025-05-13T16:36:00Z"/>
                <w:b/>
                <w:bCs/>
              </w:rPr>
            </w:pPr>
            <w:del w:id="1835" w:author="AbbVie2" w:date="2025-05-13T16:36:00Z">
              <w:r w:rsidRPr="008912CF">
                <w:rPr>
                  <w:b/>
                  <w:bCs/>
                  <w:sz w:val="22"/>
                  <w:szCs w:val="22"/>
                </w:rPr>
                <w:delText>Resposta</w:delText>
              </w:r>
            </w:del>
          </w:p>
        </w:tc>
        <w:tc>
          <w:tcPr>
            <w:tcW w:w="1320" w:type="dxa"/>
            <w:vAlign w:val="center"/>
          </w:tcPr>
          <w:p w14:paraId="3D390BAD" w14:textId="242DA650" w:rsidR="004462A0" w:rsidRPr="008912CF" w:rsidRDefault="00615769" w:rsidP="00F675CF">
            <w:pPr>
              <w:keepNext/>
              <w:jc w:val="center"/>
              <w:rPr>
                <w:del w:id="1836" w:author="AbbVie2" w:date="2025-05-13T16:36:00Z"/>
                <w:b/>
                <w:bCs/>
              </w:rPr>
            </w:pPr>
            <w:del w:id="1837" w:author="AbbVie2" w:date="2025-05-13T16:36:00Z">
              <w:r w:rsidRPr="008912CF">
                <w:rPr>
                  <w:b/>
                  <w:bCs/>
                  <w:sz w:val="22"/>
                  <w:szCs w:val="22"/>
                </w:rPr>
                <w:delText>MTX</w:delText>
              </w:r>
            </w:del>
          </w:p>
          <w:p w14:paraId="5081BDE5" w14:textId="12D84339" w:rsidR="004462A0" w:rsidRPr="008912CF" w:rsidRDefault="00615769" w:rsidP="00F675CF">
            <w:pPr>
              <w:pStyle w:val="EndnoteText"/>
              <w:keepNext/>
              <w:jc w:val="center"/>
              <w:rPr>
                <w:del w:id="1838" w:author="AbbVie2" w:date="2025-05-13T16:36:00Z"/>
                <w:b/>
                <w:bCs/>
                <w:szCs w:val="22"/>
              </w:rPr>
            </w:pPr>
            <w:del w:id="1839" w:author="AbbVie2" w:date="2025-05-13T16:36:00Z">
              <w:r w:rsidRPr="008912CF">
                <w:rPr>
                  <w:b/>
                  <w:bCs/>
                  <w:szCs w:val="22"/>
                </w:rPr>
                <w:delText>n = 257</w:delText>
              </w:r>
            </w:del>
          </w:p>
        </w:tc>
        <w:tc>
          <w:tcPr>
            <w:tcW w:w="1238" w:type="dxa"/>
            <w:vAlign w:val="center"/>
          </w:tcPr>
          <w:p w14:paraId="1C5ED010" w14:textId="0A57485B" w:rsidR="004462A0" w:rsidRPr="008912CF" w:rsidRDefault="00615769" w:rsidP="00F675CF">
            <w:pPr>
              <w:keepNext/>
              <w:jc w:val="center"/>
              <w:rPr>
                <w:del w:id="1840" w:author="AbbVie2" w:date="2025-05-13T16:36:00Z"/>
                <w:b/>
                <w:bCs/>
              </w:rPr>
            </w:pPr>
            <w:del w:id="1841" w:author="AbbVie2" w:date="2025-05-13T16:36:00Z">
              <w:r w:rsidRPr="008912CF">
                <w:rPr>
                  <w:b/>
                  <w:bCs/>
                  <w:sz w:val="22"/>
                  <w:szCs w:val="22"/>
                </w:rPr>
                <w:delText>Humira</w:delText>
              </w:r>
            </w:del>
          </w:p>
          <w:p w14:paraId="7C60AF6E" w14:textId="21FB2CE5" w:rsidR="004462A0" w:rsidRPr="008912CF" w:rsidRDefault="00615769" w:rsidP="00F675CF">
            <w:pPr>
              <w:keepNext/>
              <w:jc w:val="center"/>
              <w:rPr>
                <w:del w:id="1842" w:author="AbbVie2" w:date="2025-05-13T16:36:00Z"/>
                <w:b/>
                <w:bCs/>
              </w:rPr>
            </w:pPr>
            <w:del w:id="1843" w:author="AbbVie2" w:date="2025-05-13T16:36:00Z">
              <w:r w:rsidRPr="008912CF">
                <w:rPr>
                  <w:b/>
                  <w:bCs/>
                  <w:sz w:val="22"/>
                  <w:szCs w:val="22"/>
                </w:rPr>
                <w:delText>n = 274</w:delText>
              </w:r>
            </w:del>
          </w:p>
        </w:tc>
        <w:tc>
          <w:tcPr>
            <w:tcW w:w="1658" w:type="dxa"/>
            <w:vAlign w:val="center"/>
          </w:tcPr>
          <w:p w14:paraId="243702F4" w14:textId="68702730" w:rsidR="004462A0" w:rsidRPr="008912CF" w:rsidRDefault="00615769" w:rsidP="00F675CF">
            <w:pPr>
              <w:keepNext/>
              <w:jc w:val="center"/>
              <w:rPr>
                <w:del w:id="1844" w:author="AbbVie2" w:date="2025-05-13T16:36:00Z"/>
                <w:b/>
                <w:bCs/>
              </w:rPr>
            </w:pPr>
            <w:del w:id="1845" w:author="AbbVie2" w:date="2025-05-13T16:36:00Z">
              <w:r w:rsidRPr="008912CF">
                <w:rPr>
                  <w:b/>
                  <w:bCs/>
                  <w:sz w:val="22"/>
                  <w:szCs w:val="22"/>
                </w:rPr>
                <w:delText>Humira/MTX</w:delText>
              </w:r>
            </w:del>
          </w:p>
          <w:p w14:paraId="6D790502" w14:textId="51E38791" w:rsidR="004462A0" w:rsidRPr="008912CF" w:rsidRDefault="00615769" w:rsidP="00F675CF">
            <w:pPr>
              <w:keepNext/>
              <w:jc w:val="center"/>
              <w:rPr>
                <w:del w:id="1846" w:author="AbbVie2" w:date="2025-05-13T16:36:00Z"/>
                <w:b/>
                <w:bCs/>
              </w:rPr>
            </w:pPr>
            <w:del w:id="1847" w:author="AbbVie2" w:date="2025-05-13T16:36:00Z">
              <w:r w:rsidRPr="008912CF">
                <w:rPr>
                  <w:b/>
                  <w:bCs/>
                  <w:sz w:val="22"/>
                  <w:szCs w:val="22"/>
                </w:rPr>
                <w:delText>n = 268</w:delText>
              </w:r>
            </w:del>
          </w:p>
        </w:tc>
        <w:tc>
          <w:tcPr>
            <w:tcW w:w="1100" w:type="dxa"/>
            <w:vAlign w:val="center"/>
          </w:tcPr>
          <w:p w14:paraId="56C20AAC" w14:textId="72D86420" w:rsidR="004462A0" w:rsidRPr="008912CF" w:rsidRDefault="00615769" w:rsidP="00F675CF">
            <w:pPr>
              <w:pStyle w:val="EndnoteText"/>
              <w:keepNext/>
              <w:jc w:val="center"/>
              <w:rPr>
                <w:del w:id="1848" w:author="AbbVie2" w:date="2025-05-13T16:36:00Z"/>
                <w:b/>
                <w:bCs/>
                <w:szCs w:val="22"/>
              </w:rPr>
            </w:pPr>
            <w:del w:id="1849" w:author="AbbVie2" w:date="2025-05-13T16:36:00Z">
              <w:r w:rsidRPr="008912CF">
                <w:rPr>
                  <w:b/>
                  <w:bCs/>
                  <w:szCs w:val="22"/>
                </w:rPr>
                <w:delText>valor</w:delText>
              </w:r>
              <w:r w:rsidR="004D006C">
                <w:rPr>
                  <w:b/>
                  <w:bCs/>
                  <w:szCs w:val="22"/>
                </w:rPr>
                <w:delText>-p</w:delText>
              </w:r>
              <w:r w:rsidRPr="008912CF">
                <w:rPr>
                  <w:b/>
                  <w:bCs/>
                  <w:szCs w:val="22"/>
                  <w:vertAlign w:val="superscript"/>
                </w:rPr>
                <w:delText>a</w:delText>
              </w:r>
            </w:del>
          </w:p>
        </w:tc>
        <w:tc>
          <w:tcPr>
            <w:tcW w:w="1173" w:type="dxa"/>
            <w:vAlign w:val="center"/>
          </w:tcPr>
          <w:p w14:paraId="6D204684" w14:textId="58CB633F" w:rsidR="004462A0" w:rsidRPr="008912CF" w:rsidRDefault="00615769" w:rsidP="00F675CF">
            <w:pPr>
              <w:keepNext/>
              <w:jc w:val="center"/>
              <w:rPr>
                <w:del w:id="1850" w:author="AbbVie2" w:date="2025-05-13T16:36:00Z"/>
                <w:b/>
                <w:bCs/>
              </w:rPr>
            </w:pPr>
            <w:del w:id="1851" w:author="AbbVie2" w:date="2025-05-13T16:36:00Z">
              <w:r w:rsidRPr="008912CF">
                <w:rPr>
                  <w:b/>
                  <w:bCs/>
                  <w:sz w:val="22"/>
                  <w:szCs w:val="22"/>
                </w:rPr>
                <w:delText>valor</w:delText>
              </w:r>
              <w:r w:rsidR="004D006C">
                <w:rPr>
                  <w:b/>
                  <w:bCs/>
                  <w:sz w:val="22"/>
                  <w:szCs w:val="22"/>
                </w:rPr>
                <w:delText>-p</w:delText>
              </w:r>
              <w:r w:rsidRPr="008912CF">
                <w:rPr>
                  <w:b/>
                  <w:bCs/>
                  <w:sz w:val="22"/>
                  <w:szCs w:val="22"/>
                  <w:vertAlign w:val="superscript"/>
                </w:rPr>
                <w:delText>b</w:delText>
              </w:r>
            </w:del>
          </w:p>
        </w:tc>
        <w:tc>
          <w:tcPr>
            <w:tcW w:w="1210" w:type="dxa"/>
            <w:vAlign w:val="center"/>
          </w:tcPr>
          <w:p w14:paraId="0A3E3496" w14:textId="2E337179" w:rsidR="004462A0" w:rsidRPr="008912CF" w:rsidRDefault="00615769" w:rsidP="00F675CF">
            <w:pPr>
              <w:keepNext/>
              <w:jc w:val="center"/>
              <w:rPr>
                <w:del w:id="1852" w:author="AbbVie2" w:date="2025-05-13T16:36:00Z"/>
              </w:rPr>
            </w:pPr>
            <w:del w:id="1853" w:author="AbbVie2" w:date="2025-05-13T16:36:00Z">
              <w:r w:rsidRPr="008912CF">
                <w:rPr>
                  <w:b/>
                  <w:bCs/>
                  <w:sz w:val="22"/>
                  <w:szCs w:val="22"/>
                </w:rPr>
                <w:delText>valor</w:delText>
              </w:r>
              <w:r w:rsidR="004D006C">
                <w:rPr>
                  <w:b/>
                  <w:bCs/>
                  <w:sz w:val="22"/>
                  <w:szCs w:val="22"/>
                </w:rPr>
                <w:delText>-p</w:delText>
              </w:r>
              <w:r w:rsidRPr="008912CF">
                <w:rPr>
                  <w:b/>
                  <w:bCs/>
                  <w:sz w:val="22"/>
                  <w:szCs w:val="22"/>
                  <w:vertAlign w:val="superscript"/>
                </w:rPr>
                <w:delText>c</w:delText>
              </w:r>
            </w:del>
          </w:p>
        </w:tc>
      </w:tr>
      <w:tr w:rsidR="00A7162A" w14:paraId="0076CEBB" w14:textId="1A67F27C" w:rsidTr="00F675CF">
        <w:trPr>
          <w:gridAfter w:val="1"/>
          <w:wAfter w:w="12" w:type="dxa"/>
          <w:cantSplit/>
          <w:jc w:val="center"/>
          <w:del w:id="1854" w:author="AbbVie2" w:date="2025-05-13T16:36:00Z"/>
        </w:trPr>
        <w:tc>
          <w:tcPr>
            <w:tcW w:w="1724" w:type="dxa"/>
            <w:gridSpan w:val="2"/>
          </w:tcPr>
          <w:p w14:paraId="72BFAA51" w14:textId="1F258B54" w:rsidR="004462A0" w:rsidRPr="008912CF" w:rsidRDefault="00615769" w:rsidP="00F675CF">
            <w:pPr>
              <w:keepNext/>
              <w:rPr>
                <w:del w:id="1855" w:author="AbbVie2" w:date="2025-05-13T16:36:00Z"/>
              </w:rPr>
            </w:pPr>
            <w:del w:id="1856" w:author="AbbVie2" w:date="2025-05-13T16:36:00Z">
              <w:r w:rsidRPr="008912CF">
                <w:rPr>
                  <w:sz w:val="22"/>
                  <w:szCs w:val="22"/>
                </w:rPr>
                <w:delText>ACR 20</w:delText>
              </w:r>
            </w:del>
          </w:p>
        </w:tc>
        <w:tc>
          <w:tcPr>
            <w:tcW w:w="1320" w:type="dxa"/>
          </w:tcPr>
          <w:p w14:paraId="3DF5C9E8" w14:textId="7E5EE576" w:rsidR="004462A0" w:rsidRPr="008912CF" w:rsidRDefault="004462A0" w:rsidP="00F675CF">
            <w:pPr>
              <w:keepNext/>
              <w:jc w:val="center"/>
              <w:rPr>
                <w:del w:id="1857" w:author="AbbVie2" w:date="2025-05-13T16:36:00Z"/>
              </w:rPr>
            </w:pPr>
          </w:p>
        </w:tc>
        <w:tc>
          <w:tcPr>
            <w:tcW w:w="1238" w:type="dxa"/>
          </w:tcPr>
          <w:p w14:paraId="194F9317" w14:textId="1995D8CE" w:rsidR="004462A0" w:rsidRPr="008912CF" w:rsidRDefault="004462A0" w:rsidP="00F675CF">
            <w:pPr>
              <w:keepNext/>
              <w:jc w:val="center"/>
              <w:rPr>
                <w:del w:id="1858" w:author="AbbVie2" w:date="2025-05-13T16:36:00Z"/>
              </w:rPr>
            </w:pPr>
          </w:p>
        </w:tc>
        <w:tc>
          <w:tcPr>
            <w:tcW w:w="1658" w:type="dxa"/>
          </w:tcPr>
          <w:p w14:paraId="1CCA899D" w14:textId="24AB10E8" w:rsidR="004462A0" w:rsidRPr="008912CF" w:rsidRDefault="004462A0" w:rsidP="00F675CF">
            <w:pPr>
              <w:keepNext/>
              <w:jc w:val="center"/>
              <w:rPr>
                <w:del w:id="1859" w:author="AbbVie2" w:date="2025-05-13T16:36:00Z"/>
              </w:rPr>
            </w:pPr>
          </w:p>
        </w:tc>
        <w:tc>
          <w:tcPr>
            <w:tcW w:w="1100" w:type="dxa"/>
          </w:tcPr>
          <w:p w14:paraId="210DFE9D" w14:textId="51B4655A" w:rsidR="004462A0" w:rsidRPr="008912CF" w:rsidRDefault="004462A0" w:rsidP="00F675CF">
            <w:pPr>
              <w:keepNext/>
              <w:jc w:val="center"/>
              <w:rPr>
                <w:del w:id="1860" w:author="AbbVie2" w:date="2025-05-13T16:36:00Z"/>
              </w:rPr>
            </w:pPr>
          </w:p>
        </w:tc>
        <w:tc>
          <w:tcPr>
            <w:tcW w:w="1173" w:type="dxa"/>
          </w:tcPr>
          <w:p w14:paraId="30ED97D1" w14:textId="10A11C11" w:rsidR="004462A0" w:rsidRPr="008912CF" w:rsidRDefault="004462A0" w:rsidP="00F675CF">
            <w:pPr>
              <w:keepNext/>
              <w:jc w:val="center"/>
              <w:rPr>
                <w:del w:id="1861" w:author="AbbVie2" w:date="2025-05-13T16:36:00Z"/>
              </w:rPr>
            </w:pPr>
          </w:p>
        </w:tc>
        <w:tc>
          <w:tcPr>
            <w:tcW w:w="1210" w:type="dxa"/>
          </w:tcPr>
          <w:p w14:paraId="25E5EB0B" w14:textId="0FBE8102" w:rsidR="004462A0" w:rsidRPr="008912CF" w:rsidRDefault="004462A0" w:rsidP="00F675CF">
            <w:pPr>
              <w:keepNext/>
              <w:jc w:val="center"/>
              <w:rPr>
                <w:del w:id="1862" w:author="AbbVie2" w:date="2025-05-13T16:36:00Z"/>
              </w:rPr>
            </w:pPr>
          </w:p>
        </w:tc>
      </w:tr>
      <w:tr w:rsidR="00A7162A" w14:paraId="36535709" w14:textId="44339034" w:rsidTr="00F675CF">
        <w:trPr>
          <w:gridAfter w:val="1"/>
          <w:wAfter w:w="12" w:type="dxa"/>
          <w:cantSplit/>
          <w:jc w:val="center"/>
          <w:del w:id="1863" w:author="AbbVie2" w:date="2025-05-13T16:36:00Z"/>
        </w:trPr>
        <w:tc>
          <w:tcPr>
            <w:tcW w:w="1724" w:type="dxa"/>
            <w:gridSpan w:val="2"/>
          </w:tcPr>
          <w:p w14:paraId="68E58538" w14:textId="740EBEF1" w:rsidR="004462A0" w:rsidRPr="008912CF" w:rsidRDefault="00615769" w:rsidP="00F675CF">
            <w:pPr>
              <w:keepNext/>
              <w:rPr>
                <w:del w:id="1864" w:author="AbbVie2" w:date="2025-05-13T16:36:00Z"/>
              </w:rPr>
            </w:pPr>
            <w:del w:id="1865" w:author="AbbVie2" w:date="2025-05-13T16:36:00Z">
              <w:r w:rsidRPr="008912CF">
                <w:rPr>
                  <w:sz w:val="22"/>
                  <w:szCs w:val="22"/>
                </w:rPr>
                <w:delText xml:space="preserve">     Semana</w:delText>
              </w:r>
              <w:r>
                <w:rPr>
                  <w:sz w:val="22"/>
                  <w:szCs w:val="22"/>
                </w:rPr>
                <w:delText> </w:delText>
              </w:r>
              <w:r w:rsidRPr="008912CF">
                <w:rPr>
                  <w:sz w:val="22"/>
                  <w:szCs w:val="22"/>
                </w:rPr>
                <w:delText>52</w:delText>
              </w:r>
            </w:del>
          </w:p>
        </w:tc>
        <w:tc>
          <w:tcPr>
            <w:tcW w:w="1320" w:type="dxa"/>
          </w:tcPr>
          <w:p w14:paraId="48349268" w14:textId="0ABB0E58" w:rsidR="004462A0" w:rsidRPr="008912CF" w:rsidRDefault="00615769" w:rsidP="00F675CF">
            <w:pPr>
              <w:keepNext/>
              <w:jc w:val="center"/>
              <w:rPr>
                <w:del w:id="1866" w:author="AbbVie2" w:date="2025-05-13T16:36:00Z"/>
              </w:rPr>
            </w:pPr>
            <w:del w:id="1867" w:author="AbbVie2" w:date="2025-05-13T16:36:00Z">
              <w:r w:rsidRPr="008912CF">
                <w:rPr>
                  <w:sz w:val="22"/>
                  <w:szCs w:val="22"/>
                </w:rPr>
                <w:delText>62,6%</w:delText>
              </w:r>
            </w:del>
          </w:p>
        </w:tc>
        <w:tc>
          <w:tcPr>
            <w:tcW w:w="1238" w:type="dxa"/>
          </w:tcPr>
          <w:p w14:paraId="23E175A7" w14:textId="42B3645D" w:rsidR="004462A0" w:rsidRPr="008912CF" w:rsidRDefault="00615769" w:rsidP="00F675CF">
            <w:pPr>
              <w:keepNext/>
              <w:jc w:val="center"/>
              <w:rPr>
                <w:del w:id="1868" w:author="AbbVie2" w:date="2025-05-13T16:36:00Z"/>
              </w:rPr>
            </w:pPr>
            <w:del w:id="1869" w:author="AbbVie2" w:date="2025-05-13T16:36:00Z">
              <w:r w:rsidRPr="008912CF">
                <w:rPr>
                  <w:sz w:val="22"/>
                  <w:szCs w:val="22"/>
                </w:rPr>
                <w:delText>54,4%</w:delText>
              </w:r>
            </w:del>
          </w:p>
        </w:tc>
        <w:tc>
          <w:tcPr>
            <w:tcW w:w="1658" w:type="dxa"/>
          </w:tcPr>
          <w:p w14:paraId="1B6B414A" w14:textId="589A1DD9" w:rsidR="004462A0" w:rsidRPr="008912CF" w:rsidRDefault="00615769" w:rsidP="00F675CF">
            <w:pPr>
              <w:keepNext/>
              <w:jc w:val="center"/>
              <w:rPr>
                <w:del w:id="1870" w:author="AbbVie2" w:date="2025-05-13T16:36:00Z"/>
              </w:rPr>
            </w:pPr>
            <w:del w:id="1871" w:author="AbbVie2" w:date="2025-05-13T16:36:00Z">
              <w:r w:rsidRPr="008912CF">
                <w:rPr>
                  <w:sz w:val="22"/>
                  <w:szCs w:val="22"/>
                </w:rPr>
                <w:delText>72,8%</w:delText>
              </w:r>
            </w:del>
          </w:p>
        </w:tc>
        <w:tc>
          <w:tcPr>
            <w:tcW w:w="1100" w:type="dxa"/>
          </w:tcPr>
          <w:p w14:paraId="7CB48181" w14:textId="34EAE188" w:rsidR="004462A0" w:rsidRPr="008912CF" w:rsidRDefault="00615769" w:rsidP="00F675CF">
            <w:pPr>
              <w:keepNext/>
              <w:jc w:val="center"/>
              <w:rPr>
                <w:del w:id="1872" w:author="AbbVie2" w:date="2025-05-13T16:36:00Z"/>
              </w:rPr>
            </w:pPr>
            <w:del w:id="1873" w:author="AbbVie2" w:date="2025-05-13T16:36:00Z">
              <w:r w:rsidRPr="008912CF">
                <w:rPr>
                  <w:sz w:val="22"/>
                  <w:szCs w:val="22"/>
                </w:rPr>
                <w:delText>0,013</w:delText>
              </w:r>
            </w:del>
          </w:p>
        </w:tc>
        <w:tc>
          <w:tcPr>
            <w:tcW w:w="1173" w:type="dxa"/>
          </w:tcPr>
          <w:p w14:paraId="33D938F6" w14:textId="38C896AE" w:rsidR="004462A0" w:rsidRPr="008912CF" w:rsidRDefault="00615769" w:rsidP="00F675CF">
            <w:pPr>
              <w:keepNext/>
              <w:jc w:val="center"/>
              <w:rPr>
                <w:del w:id="1874" w:author="AbbVie2" w:date="2025-05-13T16:36:00Z"/>
              </w:rPr>
            </w:pPr>
            <w:del w:id="1875" w:author="AbbVie2" w:date="2025-05-13T16:36:00Z">
              <w:r w:rsidRPr="008912CF">
                <w:rPr>
                  <w:sz w:val="22"/>
                  <w:szCs w:val="22"/>
                </w:rPr>
                <w:delText>&lt; 0,001</w:delText>
              </w:r>
            </w:del>
          </w:p>
        </w:tc>
        <w:tc>
          <w:tcPr>
            <w:tcW w:w="1210" w:type="dxa"/>
          </w:tcPr>
          <w:p w14:paraId="2F6AFC07" w14:textId="5443B2EA" w:rsidR="004462A0" w:rsidRPr="008912CF" w:rsidRDefault="00615769" w:rsidP="00F675CF">
            <w:pPr>
              <w:keepNext/>
              <w:jc w:val="center"/>
              <w:rPr>
                <w:del w:id="1876" w:author="AbbVie2" w:date="2025-05-13T16:36:00Z"/>
              </w:rPr>
            </w:pPr>
            <w:del w:id="1877" w:author="AbbVie2" w:date="2025-05-13T16:36:00Z">
              <w:r w:rsidRPr="008912CF">
                <w:rPr>
                  <w:sz w:val="22"/>
                  <w:szCs w:val="22"/>
                </w:rPr>
                <w:delText>0,043</w:delText>
              </w:r>
            </w:del>
          </w:p>
        </w:tc>
      </w:tr>
      <w:tr w:rsidR="00A7162A" w14:paraId="66A6BFD9" w14:textId="2A7260DC" w:rsidTr="00F675CF">
        <w:trPr>
          <w:gridAfter w:val="1"/>
          <w:wAfter w:w="12" w:type="dxa"/>
          <w:cantSplit/>
          <w:jc w:val="center"/>
          <w:del w:id="1878" w:author="AbbVie2" w:date="2025-05-13T16:36:00Z"/>
        </w:trPr>
        <w:tc>
          <w:tcPr>
            <w:tcW w:w="1724" w:type="dxa"/>
            <w:gridSpan w:val="2"/>
          </w:tcPr>
          <w:p w14:paraId="363EBA7A" w14:textId="4884283B" w:rsidR="004462A0" w:rsidRPr="008912CF" w:rsidRDefault="00615769" w:rsidP="00F675CF">
            <w:pPr>
              <w:keepNext/>
              <w:rPr>
                <w:del w:id="1879" w:author="AbbVie2" w:date="2025-05-13T16:36:00Z"/>
              </w:rPr>
            </w:pPr>
            <w:del w:id="1880" w:author="AbbVie2" w:date="2025-05-13T16:36:00Z">
              <w:r w:rsidRPr="008912CF">
                <w:rPr>
                  <w:sz w:val="22"/>
                  <w:szCs w:val="22"/>
                </w:rPr>
                <w:delText xml:space="preserve">     Semana</w:delText>
              </w:r>
              <w:r>
                <w:rPr>
                  <w:sz w:val="22"/>
                  <w:szCs w:val="22"/>
                </w:rPr>
                <w:delText> </w:delText>
              </w:r>
              <w:r w:rsidRPr="008912CF">
                <w:rPr>
                  <w:sz w:val="22"/>
                  <w:szCs w:val="22"/>
                </w:rPr>
                <w:delText>104</w:delText>
              </w:r>
            </w:del>
          </w:p>
        </w:tc>
        <w:tc>
          <w:tcPr>
            <w:tcW w:w="1320" w:type="dxa"/>
          </w:tcPr>
          <w:p w14:paraId="1F84BBBB" w14:textId="02259424" w:rsidR="004462A0" w:rsidRPr="008912CF" w:rsidRDefault="00615769" w:rsidP="00F675CF">
            <w:pPr>
              <w:keepNext/>
              <w:jc w:val="center"/>
              <w:rPr>
                <w:del w:id="1881" w:author="AbbVie2" w:date="2025-05-13T16:36:00Z"/>
              </w:rPr>
            </w:pPr>
            <w:del w:id="1882" w:author="AbbVie2" w:date="2025-05-13T16:36:00Z">
              <w:r w:rsidRPr="008912CF">
                <w:rPr>
                  <w:sz w:val="22"/>
                  <w:szCs w:val="22"/>
                </w:rPr>
                <w:delText>56,0%</w:delText>
              </w:r>
            </w:del>
          </w:p>
        </w:tc>
        <w:tc>
          <w:tcPr>
            <w:tcW w:w="1238" w:type="dxa"/>
          </w:tcPr>
          <w:p w14:paraId="4222AD81" w14:textId="7BD030D3" w:rsidR="004462A0" w:rsidRPr="008912CF" w:rsidRDefault="00615769" w:rsidP="00F675CF">
            <w:pPr>
              <w:keepNext/>
              <w:jc w:val="center"/>
              <w:rPr>
                <w:del w:id="1883" w:author="AbbVie2" w:date="2025-05-13T16:36:00Z"/>
              </w:rPr>
            </w:pPr>
            <w:del w:id="1884" w:author="AbbVie2" w:date="2025-05-13T16:36:00Z">
              <w:r w:rsidRPr="008912CF">
                <w:rPr>
                  <w:sz w:val="22"/>
                  <w:szCs w:val="22"/>
                </w:rPr>
                <w:delText>49,3%</w:delText>
              </w:r>
            </w:del>
          </w:p>
        </w:tc>
        <w:tc>
          <w:tcPr>
            <w:tcW w:w="1658" w:type="dxa"/>
          </w:tcPr>
          <w:p w14:paraId="47670D06" w14:textId="518952A7" w:rsidR="004462A0" w:rsidRPr="008912CF" w:rsidRDefault="00615769" w:rsidP="00F675CF">
            <w:pPr>
              <w:keepNext/>
              <w:jc w:val="center"/>
              <w:rPr>
                <w:del w:id="1885" w:author="AbbVie2" w:date="2025-05-13T16:36:00Z"/>
              </w:rPr>
            </w:pPr>
            <w:del w:id="1886" w:author="AbbVie2" w:date="2025-05-13T16:36:00Z">
              <w:r w:rsidRPr="008912CF">
                <w:rPr>
                  <w:sz w:val="22"/>
                  <w:szCs w:val="22"/>
                </w:rPr>
                <w:delText>69,4%</w:delText>
              </w:r>
            </w:del>
          </w:p>
        </w:tc>
        <w:tc>
          <w:tcPr>
            <w:tcW w:w="1100" w:type="dxa"/>
          </w:tcPr>
          <w:p w14:paraId="576B6CE1" w14:textId="2CCB7FE6" w:rsidR="004462A0" w:rsidRPr="008912CF" w:rsidRDefault="00615769" w:rsidP="00F675CF">
            <w:pPr>
              <w:keepNext/>
              <w:jc w:val="center"/>
              <w:rPr>
                <w:del w:id="1887" w:author="AbbVie2" w:date="2025-05-13T16:36:00Z"/>
              </w:rPr>
            </w:pPr>
            <w:del w:id="1888" w:author="AbbVie2" w:date="2025-05-13T16:36:00Z">
              <w:r w:rsidRPr="008912CF">
                <w:rPr>
                  <w:sz w:val="22"/>
                  <w:szCs w:val="22"/>
                </w:rPr>
                <w:delText>0,002</w:delText>
              </w:r>
            </w:del>
          </w:p>
        </w:tc>
        <w:tc>
          <w:tcPr>
            <w:tcW w:w="1173" w:type="dxa"/>
          </w:tcPr>
          <w:p w14:paraId="4F3CDB70" w14:textId="282477A9" w:rsidR="004462A0" w:rsidRPr="008912CF" w:rsidRDefault="00615769" w:rsidP="00F675CF">
            <w:pPr>
              <w:keepNext/>
              <w:jc w:val="center"/>
              <w:rPr>
                <w:del w:id="1889" w:author="AbbVie2" w:date="2025-05-13T16:36:00Z"/>
              </w:rPr>
            </w:pPr>
            <w:del w:id="1890" w:author="AbbVie2" w:date="2025-05-13T16:36:00Z">
              <w:r w:rsidRPr="008912CF">
                <w:rPr>
                  <w:sz w:val="22"/>
                  <w:szCs w:val="22"/>
                </w:rPr>
                <w:delText>&lt; 0,001</w:delText>
              </w:r>
            </w:del>
          </w:p>
        </w:tc>
        <w:tc>
          <w:tcPr>
            <w:tcW w:w="1210" w:type="dxa"/>
          </w:tcPr>
          <w:p w14:paraId="6CBB4083" w14:textId="5C079880" w:rsidR="004462A0" w:rsidRPr="008912CF" w:rsidRDefault="00615769" w:rsidP="00F675CF">
            <w:pPr>
              <w:keepNext/>
              <w:jc w:val="center"/>
              <w:rPr>
                <w:del w:id="1891" w:author="AbbVie2" w:date="2025-05-13T16:36:00Z"/>
              </w:rPr>
            </w:pPr>
            <w:del w:id="1892" w:author="AbbVie2" w:date="2025-05-13T16:36:00Z">
              <w:r w:rsidRPr="008912CF">
                <w:rPr>
                  <w:sz w:val="22"/>
                  <w:szCs w:val="22"/>
                </w:rPr>
                <w:delText>0,140</w:delText>
              </w:r>
            </w:del>
          </w:p>
        </w:tc>
      </w:tr>
      <w:tr w:rsidR="00A7162A" w14:paraId="60729BE4" w14:textId="14640386" w:rsidTr="00F675CF">
        <w:trPr>
          <w:gridAfter w:val="1"/>
          <w:wAfter w:w="12" w:type="dxa"/>
          <w:cantSplit/>
          <w:jc w:val="center"/>
          <w:del w:id="1893" w:author="AbbVie2" w:date="2025-05-13T16:36:00Z"/>
        </w:trPr>
        <w:tc>
          <w:tcPr>
            <w:tcW w:w="1724" w:type="dxa"/>
            <w:gridSpan w:val="2"/>
          </w:tcPr>
          <w:p w14:paraId="261AD528" w14:textId="2A51D0BB" w:rsidR="004462A0" w:rsidRPr="008912CF" w:rsidRDefault="00615769" w:rsidP="00F675CF">
            <w:pPr>
              <w:keepNext/>
              <w:rPr>
                <w:del w:id="1894" w:author="AbbVie2" w:date="2025-05-13T16:36:00Z"/>
              </w:rPr>
            </w:pPr>
            <w:del w:id="1895" w:author="AbbVie2" w:date="2025-05-13T16:36:00Z">
              <w:r w:rsidRPr="008912CF">
                <w:rPr>
                  <w:sz w:val="22"/>
                  <w:szCs w:val="22"/>
                </w:rPr>
                <w:delText>ACR 50</w:delText>
              </w:r>
            </w:del>
          </w:p>
        </w:tc>
        <w:tc>
          <w:tcPr>
            <w:tcW w:w="1320" w:type="dxa"/>
          </w:tcPr>
          <w:p w14:paraId="6E701387" w14:textId="1FC16D4E" w:rsidR="004462A0" w:rsidRPr="008912CF" w:rsidRDefault="004462A0" w:rsidP="00F675CF">
            <w:pPr>
              <w:keepNext/>
              <w:jc w:val="center"/>
              <w:rPr>
                <w:del w:id="1896" w:author="AbbVie2" w:date="2025-05-13T16:36:00Z"/>
              </w:rPr>
            </w:pPr>
          </w:p>
        </w:tc>
        <w:tc>
          <w:tcPr>
            <w:tcW w:w="1238" w:type="dxa"/>
          </w:tcPr>
          <w:p w14:paraId="5CAA247E" w14:textId="5A8B005F" w:rsidR="004462A0" w:rsidRPr="008912CF" w:rsidRDefault="004462A0" w:rsidP="00F675CF">
            <w:pPr>
              <w:keepNext/>
              <w:jc w:val="center"/>
              <w:rPr>
                <w:del w:id="1897" w:author="AbbVie2" w:date="2025-05-13T16:36:00Z"/>
              </w:rPr>
            </w:pPr>
          </w:p>
        </w:tc>
        <w:tc>
          <w:tcPr>
            <w:tcW w:w="1658" w:type="dxa"/>
          </w:tcPr>
          <w:p w14:paraId="0646D8C2" w14:textId="219A1318" w:rsidR="004462A0" w:rsidRPr="008912CF" w:rsidRDefault="004462A0" w:rsidP="00F675CF">
            <w:pPr>
              <w:keepNext/>
              <w:jc w:val="center"/>
              <w:rPr>
                <w:del w:id="1898" w:author="AbbVie2" w:date="2025-05-13T16:36:00Z"/>
              </w:rPr>
            </w:pPr>
          </w:p>
        </w:tc>
        <w:tc>
          <w:tcPr>
            <w:tcW w:w="1100" w:type="dxa"/>
          </w:tcPr>
          <w:p w14:paraId="66F63BED" w14:textId="2EDB41F5" w:rsidR="004462A0" w:rsidRPr="008912CF" w:rsidRDefault="004462A0" w:rsidP="00F675CF">
            <w:pPr>
              <w:keepNext/>
              <w:jc w:val="center"/>
              <w:rPr>
                <w:del w:id="1899" w:author="AbbVie2" w:date="2025-05-13T16:36:00Z"/>
              </w:rPr>
            </w:pPr>
          </w:p>
        </w:tc>
        <w:tc>
          <w:tcPr>
            <w:tcW w:w="1173" w:type="dxa"/>
          </w:tcPr>
          <w:p w14:paraId="0F65EECF" w14:textId="2C7E1D5C" w:rsidR="004462A0" w:rsidRPr="008912CF" w:rsidRDefault="004462A0" w:rsidP="00F675CF">
            <w:pPr>
              <w:keepNext/>
              <w:jc w:val="center"/>
              <w:rPr>
                <w:del w:id="1900" w:author="AbbVie2" w:date="2025-05-13T16:36:00Z"/>
              </w:rPr>
            </w:pPr>
          </w:p>
        </w:tc>
        <w:tc>
          <w:tcPr>
            <w:tcW w:w="1210" w:type="dxa"/>
          </w:tcPr>
          <w:p w14:paraId="54872A67" w14:textId="7D392597" w:rsidR="004462A0" w:rsidRPr="008912CF" w:rsidRDefault="004462A0" w:rsidP="00F675CF">
            <w:pPr>
              <w:keepNext/>
              <w:jc w:val="center"/>
              <w:rPr>
                <w:del w:id="1901" w:author="AbbVie2" w:date="2025-05-13T16:36:00Z"/>
              </w:rPr>
            </w:pPr>
          </w:p>
        </w:tc>
      </w:tr>
      <w:tr w:rsidR="00A7162A" w14:paraId="42EC98C1" w14:textId="1134D00D" w:rsidTr="00F675CF">
        <w:trPr>
          <w:gridAfter w:val="1"/>
          <w:wAfter w:w="12" w:type="dxa"/>
          <w:cantSplit/>
          <w:jc w:val="center"/>
          <w:del w:id="1902" w:author="AbbVie2" w:date="2025-05-13T16:36:00Z"/>
        </w:trPr>
        <w:tc>
          <w:tcPr>
            <w:tcW w:w="1724" w:type="dxa"/>
            <w:gridSpan w:val="2"/>
          </w:tcPr>
          <w:p w14:paraId="27D357F1" w14:textId="381430A3" w:rsidR="004462A0" w:rsidRPr="008912CF" w:rsidRDefault="00615769" w:rsidP="00F675CF">
            <w:pPr>
              <w:keepNext/>
              <w:rPr>
                <w:del w:id="1903" w:author="AbbVie2" w:date="2025-05-13T16:36:00Z"/>
              </w:rPr>
            </w:pPr>
            <w:del w:id="1904" w:author="AbbVie2" w:date="2025-05-13T16:36:00Z">
              <w:r w:rsidRPr="008912CF">
                <w:rPr>
                  <w:sz w:val="22"/>
                  <w:szCs w:val="22"/>
                </w:rPr>
                <w:delText xml:space="preserve">     Semana</w:delText>
              </w:r>
              <w:r>
                <w:rPr>
                  <w:sz w:val="22"/>
                  <w:szCs w:val="22"/>
                </w:rPr>
                <w:delText> </w:delText>
              </w:r>
              <w:r w:rsidRPr="008912CF">
                <w:rPr>
                  <w:sz w:val="22"/>
                  <w:szCs w:val="22"/>
                </w:rPr>
                <w:delText>52</w:delText>
              </w:r>
            </w:del>
          </w:p>
        </w:tc>
        <w:tc>
          <w:tcPr>
            <w:tcW w:w="1320" w:type="dxa"/>
          </w:tcPr>
          <w:p w14:paraId="71E1716B" w14:textId="3F05EA6A" w:rsidR="004462A0" w:rsidRPr="008912CF" w:rsidRDefault="00615769" w:rsidP="00F675CF">
            <w:pPr>
              <w:keepNext/>
              <w:jc w:val="center"/>
              <w:rPr>
                <w:del w:id="1905" w:author="AbbVie2" w:date="2025-05-13T16:36:00Z"/>
              </w:rPr>
            </w:pPr>
            <w:del w:id="1906" w:author="AbbVie2" w:date="2025-05-13T16:36:00Z">
              <w:r w:rsidRPr="008912CF">
                <w:rPr>
                  <w:sz w:val="22"/>
                  <w:szCs w:val="22"/>
                </w:rPr>
                <w:delText>45,9%</w:delText>
              </w:r>
            </w:del>
          </w:p>
        </w:tc>
        <w:tc>
          <w:tcPr>
            <w:tcW w:w="1238" w:type="dxa"/>
          </w:tcPr>
          <w:p w14:paraId="70C910E7" w14:textId="270A3751" w:rsidR="004462A0" w:rsidRPr="008912CF" w:rsidRDefault="00615769" w:rsidP="00F675CF">
            <w:pPr>
              <w:keepNext/>
              <w:jc w:val="center"/>
              <w:rPr>
                <w:del w:id="1907" w:author="AbbVie2" w:date="2025-05-13T16:36:00Z"/>
              </w:rPr>
            </w:pPr>
            <w:del w:id="1908" w:author="AbbVie2" w:date="2025-05-13T16:36:00Z">
              <w:r w:rsidRPr="008912CF">
                <w:rPr>
                  <w:sz w:val="22"/>
                  <w:szCs w:val="22"/>
                </w:rPr>
                <w:delText>41,2%</w:delText>
              </w:r>
            </w:del>
          </w:p>
        </w:tc>
        <w:tc>
          <w:tcPr>
            <w:tcW w:w="1658" w:type="dxa"/>
          </w:tcPr>
          <w:p w14:paraId="6C9A51A5" w14:textId="61C0ECBD" w:rsidR="004462A0" w:rsidRPr="008912CF" w:rsidRDefault="00615769" w:rsidP="00F675CF">
            <w:pPr>
              <w:keepNext/>
              <w:jc w:val="center"/>
              <w:rPr>
                <w:del w:id="1909" w:author="AbbVie2" w:date="2025-05-13T16:36:00Z"/>
              </w:rPr>
            </w:pPr>
            <w:del w:id="1910" w:author="AbbVie2" w:date="2025-05-13T16:36:00Z">
              <w:r w:rsidRPr="008912CF">
                <w:rPr>
                  <w:sz w:val="22"/>
                  <w:szCs w:val="22"/>
                </w:rPr>
                <w:delText>61,6%</w:delText>
              </w:r>
            </w:del>
          </w:p>
        </w:tc>
        <w:tc>
          <w:tcPr>
            <w:tcW w:w="1100" w:type="dxa"/>
          </w:tcPr>
          <w:p w14:paraId="773B1E26" w14:textId="59B6B822" w:rsidR="004462A0" w:rsidRPr="008912CF" w:rsidRDefault="00615769" w:rsidP="00F675CF">
            <w:pPr>
              <w:keepNext/>
              <w:jc w:val="center"/>
              <w:rPr>
                <w:del w:id="1911" w:author="AbbVie2" w:date="2025-05-13T16:36:00Z"/>
              </w:rPr>
            </w:pPr>
            <w:del w:id="1912" w:author="AbbVie2" w:date="2025-05-13T16:36:00Z">
              <w:r w:rsidRPr="008912CF">
                <w:rPr>
                  <w:sz w:val="22"/>
                  <w:szCs w:val="22"/>
                </w:rPr>
                <w:delText>&lt; 0,001</w:delText>
              </w:r>
            </w:del>
          </w:p>
        </w:tc>
        <w:tc>
          <w:tcPr>
            <w:tcW w:w="1173" w:type="dxa"/>
          </w:tcPr>
          <w:p w14:paraId="320097B5" w14:textId="3CAA9F3E" w:rsidR="004462A0" w:rsidRPr="008912CF" w:rsidRDefault="00615769" w:rsidP="00F675CF">
            <w:pPr>
              <w:keepNext/>
              <w:jc w:val="center"/>
              <w:rPr>
                <w:del w:id="1913" w:author="AbbVie2" w:date="2025-05-13T16:36:00Z"/>
              </w:rPr>
            </w:pPr>
            <w:del w:id="1914" w:author="AbbVie2" w:date="2025-05-13T16:36:00Z">
              <w:r w:rsidRPr="008912CF">
                <w:rPr>
                  <w:sz w:val="22"/>
                  <w:szCs w:val="22"/>
                </w:rPr>
                <w:delText>&lt; 0,001</w:delText>
              </w:r>
            </w:del>
          </w:p>
        </w:tc>
        <w:tc>
          <w:tcPr>
            <w:tcW w:w="1210" w:type="dxa"/>
          </w:tcPr>
          <w:p w14:paraId="5BC8D6FD" w14:textId="77479BE6" w:rsidR="004462A0" w:rsidRPr="008912CF" w:rsidRDefault="00615769" w:rsidP="00F675CF">
            <w:pPr>
              <w:keepNext/>
              <w:jc w:val="center"/>
              <w:rPr>
                <w:del w:id="1915" w:author="AbbVie2" w:date="2025-05-13T16:36:00Z"/>
              </w:rPr>
            </w:pPr>
            <w:del w:id="1916" w:author="AbbVie2" w:date="2025-05-13T16:36:00Z">
              <w:r w:rsidRPr="008912CF">
                <w:rPr>
                  <w:sz w:val="22"/>
                  <w:szCs w:val="22"/>
                </w:rPr>
                <w:delText>0,317</w:delText>
              </w:r>
            </w:del>
          </w:p>
        </w:tc>
      </w:tr>
      <w:tr w:rsidR="00A7162A" w14:paraId="13B05C00" w14:textId="5B408B97" w:rsidTr="00F675CF">
        <w:trPr>
          <w:gridAfter w:val="1"/>
          <w:wAfter w:w="12" w:type="dxa"/>
          <w:cantSplit/>
          <w:jc w:val="center"/>
          <w:del w:id="1917" w:author="AbbVie2" w:date="2025-05-13T16:36:00Z"/>
        </w:trPr>
        <w:tc>
          <w:tcPr>
            <w:tcW w:w="1724" w:type="dxa"/>
            <w:gridSpan w:val="2"/>
          </w:tcPr>
          <w:p w14:paraId="09ACECB9" w14:textId="0AD7430B" w:rsidR="004462A0" w:rsidRPr="008912CF" w:rsidRDefault="00615769" w:rsidP="00F675CF">
            <w:pPr>
              <w:keepNext/>
              <w:rPr>
                <w:del w:id="1918" w:author="AbbVie2" w:date="2025-05-13T16:36:00Z"/>
              </w:rPr>
            </w:pPr>
            <w:del w:id="1919" w:author="AbbVie2" w:date="2025-05-13T16:36:00Z">
              <w:r w:rsidRPr="008912CF">
                <w:rPr>
                  <w:sz w:val="22"/>
                  <w:szCs w:val="22"/>
                </w:rPr>
                <w:delText xml:space="preserve">     Semana</w:delText>
              </w:r>
              <w:r>
                <w:rPr>
                  <w:sz w:val="22"/>
                  <w:szCs w:val="22"/>
                </w:rPr>
                <w:delText> </w:delText>
              </w:r>
              <w:r w:rsidRPr="008912CF">
                <w:rPr>
                  <w:sz w:val="22"/>
                  <w:szCs w:val="22"/>
                </w:rPr>
                <w:delText>104</w:delText>
              </w:r>
            </w:del>
          </w:p>
        </w:tc>
        <w:tc>
          <w:tcPr>
            <w:tcW w:w="1320" w:type="dxa"/>
          </w:tcPr>
          <w:p w14:paraId="4A02290F" w14:textId="7CB5673F" w:rsidR="004462A0" w:rsidRPr="008912CF" w:rsidRDefault="00615769" w:rsidP="00F675CF">
            <w:pPr>
              <w:keepNext/>
              <w:jc w:val="center"/>
              <w:rPr>
                <w:del w:id="1920" w:author="AbbVie2" w:date="2025-05-13T16:36:00Z"/>
              </w:rPr>
            </w:pPr>
            <w:del w:id="1921" w:author="AbbVie2" w:date="2025-05-13T16:36:00Z">
              <w:r w:rsidRPr="008912CF">
                <w:rPr>
                  <w:sz w:val="22"/>
                  <w:szCs w:val="22"/>
                </w:rPr>
                <w:delText>42,8%</w:delText>
              </w:r>
            </w:del>
          </w:p>
        </w:tc>
        <w:tc>
          <w:tcPr>
            <w:tcW w:w="1238" w:type="dxa"/>
          </w:tcPr>
          <w:p w14:paraId="4FEDF299" w14:textId="77763019" w:rsidR="004462A0" w:rsidRPr="008912CF" w:rsidRDefault="00615769" w:rsidP="00F675CF">
            <w:pPr>
              <w:keepNext/>
              <w:jc w:val="center"/>
              <w:rPr>
                <w:del w:id="1922" w:author="AbbVie2" w:date="2025-05-13T16:36:00Z"/>
              </w:rPr>
            </w:pPr>
            <w:del w:id="1923" w:author="AbbVie2" w:date="2025-05-13T16:36:00Z">
              <w:r w:rsidRPr="008912CF">
                <w:rPr>
                  <w:sz w:val="22"/>
                  <w:szCs w:val="22"/>
                </w:rPr>
                <w:delText>36,9%</w:delText>
              </w:r>
            </w:del>
          </w:p>
        </w:tc>
        <w:tc>
          <w:tcPr>
            <w:tcW w:w="1658" w:type="dxa"/>
          </w:tcPr>
          <w:p w14:paraId="7680C2BA" w14:textId="4ABCEA17" w:rsidR="004462A0" w:rsidRPr="008912CF" w:rsidRDefault="00615769" w:rsidP="00F675CF">
            <w:pPr>
              <w:keepNext/>
              <w:jc w:val="center"/>
              <w:rPr>
                <w:del w:id="1924" w:author="AbbVie2" w:date="2025-05-13T16:36:00Z"/>
              </w:rPr>
            </w:pPr>
            <w:del w:id="1925" w:author="AbbVie2" w:date="2025-05-13T16:36:00Z">
              <w:r w:rsidRPr="008912CF">
                <w:rPr>
                  <w:sz w:val="22"/>
                  <w:szCs w:val="22"/>
                </w:rPr>
                <w:delText>59,0%</w:delText>
              </w:r>
            </w:del>
          </w:p>
        </w:tc>
        <w:tc>
          <w:tcPr>
            <w:tcW w:w="1100" w:type="dxa"/>
          </w:tcPr>
          <w:p w14:paraId="44BB5008" w14:textId="18664573" w:rsidR="004462A0" w:rsidRPr="008912CF" w:rsidRDefault="00615769" w:rsidP="00F675CF">
            <w:pPr>
              <w:keepNext/>
              <w:jc w:val="center"/>
              <w:rPr>
                <w:del w:id="1926" w:author="AbbVie2" w:date="2025-05-13T16:36:00Z"/>
              </w:rPr>
            </w:pPr>
            <w:del w:id="1927" w:author="AbbVie2" w:date="2025-05-13T16:36:00Z">
              <w:r w:rsidRPr="008912CF">
                <w:rPr>
                  <w:sz w:val="22"/>
                  <w:szCs w:val="22"/>
                </w:rPr>
                <w:delText>&lt; 0,001</w:delText>
              </w:r>
            </w:del>
          </w:p>
        </w:tc>
        <w:tc>
          <w:tcPr>
            <w:tcW w:w="1173" w:type="dxa"/>
          </w:tcPr>
          <w:p w14:paraId="60FA237D" w14:textId="0E81C330" w:rsidR="004462A0" w:rsidRPr="008912CF" w:rsidRDefault="00615769" w:rsidP="00F675CF">
            <w:pPr>
              <w:keepNext/>
              <w:jc w:val="center"/>
              <w:rPr>
                <w:del w:id="1928" w:author="AbbVie2" w:date="2025-05-13T16:36:00Z"/>
              </w:rPr>
            </w:pPr>
            <w:del w:id="1929" w:author="AbbVie2" w:date="2025-05-13T16:36:00Z">
              <w:r w:rsidRPr="008912CF">
                <w:rPr>
                  <w:sz w:val="22"/>
                  <w:szCs w:val="22"/>
                </w:rPr>
                <w:delText>&lt; 0,001</w:delText>
              </w:r>
            </w:del>
          </w:p>
        </w:tc>
        <w:tc>
          <w:tcPr>
            <w:tcW w:w="1210" w:type="dxa"/>
          </w:tcPr>
          <w:p w14:paraId="7730516B" w14:textId="1528DA04" w:rsidR="004462A0" w:rsidRPr="008912CF" w:rsidRDefault="00615769" w:rsidP="00F675CF">
            <w:pPr>
              <w:keepNext/>
              <w:jc w:val="center"/>
              <w:rPr>
                <w:del w:id="1930" w:author="AbbVie2" w:date="2025-05-13T16:36:00Z"/>
              </w:rPr>
            </w:pPr>
            <w:del w:id="1931" w:author="AbbVie2" w:date="2025-05-13T16:36:00Z">
              <w:r w:rsidRPr="008912CF">
                <w:rPr>
                  <w:sz w:val="22"/>
                  <w:szCs w:val="22"/>
                </w:rPr>
                <w:delText>0,162</w:delText>
              </w:r>
            </w:del>
          </w:p>
        </w:tc>
      </w:tr>
      <w:tr w:rsidR="00A7162A" w14:paraId="4AD3DF8A" w14:textId="58CD9B3B" w:rsidTr="00F675CF">
        <w:trPr>
          <w:gridAfter w:val="1"/>
          <w:wAfter w:w="12" w:type="dxa"/>
          <w:cantSplit/>
          <w:jc w:val="center"/>
          <w:del w:id="1932" w:author="AbbVie2" w:date="2025-05-13T16:36:00Z"/>
        </w:trPr>
        <w:tc>
          <w:tcPr>
            <w:tcW w:w="1724" w:type="dxa"/>
            <w:gridSpan w:val="2"/>
          </w:tcPr>
          <w:p w14:paraId="6FC635A7" w14:textId="3F3BD343" w:rsidR="004462A0" w:rsidRPr="008912CF" w:rsidRDefault="00615769" w:rsidP="00F675CF">
            <w:pPr>
              <w:keepNext/>
              <w:rPr>
                <w:del w:id="1933" w:author="AbbVie2" w:date="2025-05-13T16:36:00Z"/>
              </w:rPr>
            </w:pPr>
            <w:del w:id="1934" w:author="AbbVie2" w:date="2025-05-13T16:36:00Z">
              <w:r w:rsidRPr="008912CF">
                <w:rPr>
                  <w:sz w:val="22"/>
                  <w:szCs w:val="22"/>
                </w:rPr>
                <w:delText>ACR 70</w:delText>
              </w:r>
            </w:del>
          </w:p>
        </w:tc>
        <w:tc>
          <w:tcPr>
            <w:tcW w:w="1320" w:type="dxa"/>
          </w:tcPr>
          <w:p w14:paraId="220536B7" w14:textId="75249883" w:rsidR="004462A0" w:rsidRPr="008912CF" w:rsidRDefault="004462A0" w:rsidP="00F675CF">
            <w:pPr>
              <w:keepNext/>
              <w:jc w:val="center"/>
              <w:rPr>
                <w:del w:id="1935" w:author="AbbVie2" w:date="2025-05-13T16:36:00Z"/>
              </w:rPr>
            </w:pPr>
          </w:p>
        </w:tc>
        <w:tc>
          <w:tcPr>
            <w:tcW w:w="1238" w:type="dxa"/>
          </w:tcPr>
          <w:p w14:paraId="3D10C573" w14:textId="17FBDE5E" w:rsidR="004462A0" w:rsidRPr="008912CF" w:rsidRDefault="004462A0" w:rsidP="00F675CF">
            <w:pPr>
              <w:keepNext/>
              <w:jc w:val="center"/>
              <w:rPr>
                <w:del w:id="1936" w:author="AbbVie2" w:date="2025-05-13T16:36:00Z"/>
              </w:rPr>
            </w:pPr>
          </w:p>
        </w:tc>
        <w:tc>
          <w:tcPr>
            <w:tcW w:w="1658" w:type="dxa"/>
          </w:tcPr>
          <w:p w14:paraId="4773A4BE" w14:textId="348E6A88" w:rsidR="004462A0" w:rsidRPr="008912CF" w:rsidRDefault="004462A0" w:rsidP="00F675CF">
            <w:pPr>
              <w:keepNext/>
              <w:jc w:val="center"/>
              <w:rPr>
                <w:del w:id="1937" w:author="AbbVie2" w:date="2025-05-13T16:36:00Z"/>
              </w:rPr>
            </w:pPr>
          </w:p>
        </w:tc>
        <w:tc>
          <w:tcPr>
            <w:tcW w:w="1100" w:type="dxa"/>
          </w:tcPr>
          <w:p w14:paraId="3A83F04E" w14:textId="5699A797" w:rsidR="004462A0" w:rsidRPr="008912CF" w:rsidRDefault="004462A0" w:rsidP="00F675CF">
            <w:pPr>
              <w:keepNext/>
              <w:jc w:val="center"/>
              <w:rPr>
                <w:del w:id="1938" w:author="AbbVie2" w:date="2025-05-13T16:36:00Z"/>
              </w:rPr>
            </w:pPr>
          </w:p>
        </w:tc>
        <w:tc>
          <w:tcPr>
            <w:tcW w:w="1173" w:type="dxa"/>
          </w:tcPr>
          <w:p w14:paraId="72A6ADA9" w14:textId="5FBF30EF" w:rsidR="004462A0" w:rsidRPr="008912CF" w:rsidRDefault="004462A0" w:rsidP="00F675CF">
            <w:pPr>
              <w:keepNext/>
              <w:jc w:val="center"/>
              <w:rPr>
                <w:del w:id="1939" w:author="AbbVie2" w:date="2025-05-13T16:36:00Z"/>
              </w:rPr>
            </w:pPr>
          </w:p>
        </w:tc>
        <w:tc>
          <w:tcPr>
            <w:tcW w:w="1210" w:type="dxa"/>
          </w:tcPr>
          <w:p w14:paraId="7F61179D" w14:textId="44C51BF0" w:rsidR="004462A0" w:rsidRPr="008912CF" w:rsidRDefault="004462A0" w:rsidP="00F675CF">
            <w:pPr>
              <w:keepNext/>
              <w:jc w:val="center"/>
              <w:rPr>
                <w:del w:id="1940" w:author="AbbVie2" w:date="2025-05-13T16:36:00Z"/>
              </w:rPr>
            </w:pPr>
          </w:p>
        </w:tc>
      </w:tr>
      <w:tr w:rsidR="00A7162A" w14:paraId="3304B85C" w14:textId="22783E27" w:rsidTr="00F675CF">
        <w:trPr>
          <w:gridAfter w:val="1"/>
          <w:wAfter w:w="12" w:type="dxa"/>
          <w:cantSplit/>
          <w:trHeight w:val="70"/>
          <w:jc w:val="center"/>
          <w:del w:id="1941" w:author="AbbVie2" w:date="2025-05-13T16:36:00Z"/>
        </w:trPr>
        <w:tc>
          <w:tcPr>
            <w:tcW w:w="1724" w:type="dxa"/>
            <w:gridSpan w:val="2"/>
          </w:tcPr>
          <w:p w14:paraId="3D339490" w14:textId="5FC0EDCC" w:rsidR="004462A0" w:rsidRPr="008912CF" w:rsidRDefault="00615769" w:rsidP="00F675CF">
            <w:pPr>
              <w:keepNext/>
              <w:rPr>
                <w:del w:id="1942" w:author="AbbVie2" w:date="2025-05-13T16:36:00Z"/>
              </w:rPr>
            </w:pPr>
            <w:del w:id="1943" w:author="AbbVie2" w:date="2025-05-13T16:36:00Z">
              <w:r w:rsidRPr="008912CF">
                <w:rPr>
                  <w:sz w:val="22"/>
                  <w:szCs w:val="22"/>
                </w:rPr>
                <w:delText xml:space="preserve">     Semana</w:delText>
              </w:r>
              <w:r>
                <w:rPr>
                  <w:sz w:val="22"/>
                  <w:szCs w:val="22"/>
                </w:rPr>
                <w:delText> </w:delText>
              </w:r>
              <w:r w:rsidRPr="008912CF">
                <w:rPr>
                  <w:sz w:val="22"/>
                  <w:szCs w:val="22"/>
                </w:rPr>
                <w:delText>52</w:delText>
              </w:r>
            </w:del>
          </w:p>
        </w:tc>
        <w:tc>
          <w:tcPr>
            <w:tcW w:w="1320" w:type="dxa"/>
          </w:tcPr>
          <w:p w14:paraId="7ED73392" w14:textId="5C604F0B" w:rsidR="004462A0" w:rsidRPr="008912CF" w:rsidRDefault="00615769" w:rsidP="00F675CF">
            <w:pPr>
              <w:keepNext/>
              <w:jc w:val="center"/>
              <w:rPr>
                <w:del w:id="1944" w:author="AbbVie2" w:date="2025-05-13T16:36:00Z"/>
              </w:rPr>
            </w:pPr>
            <w:del w:id="1945" w:author="AbbVie2" w:date="2025-05-13T16:36:00Z">
              <w:r w:rsidRPr="008912CF">
                <w:rPr>
                  <w:sz w:val="22"/>
                  <w:szCs w:val="22"/>
                </w:rPr>
                <w:delText>27,2%</w:delText>
              </w:r>
            </w:del>
          </w:p>
        </w:tc>
        <w:tc>
          <w:tcPr>
            <w:tcW w:w="1238" w:type="dxa"/>
          </w:tcPr>
          <w:p w14:paraId="20E27163" w14:textId="2A97DDC4" w:rsidR="004462A0" w:rsidRPr="008912CF" w:rsidRDefault="00615769" w:rsidP="00F675CF">
            <w:pPr>
              <w:keepNext/>
              <w:jc w:val="center"/>
              <w:rPr>
                <w:del w:id="1946" w:author="AbbVie2" w:date="2025-05-13T16:36:00Z"/>
              </w:rPr>
            </w:pPr>
            <w:del w:id="1947" w:author="AbbVie2" w:date="2025-05-13T16:36:00Z">
              <w:r w:rsidRPr="008912CF">
                <w:rPr>
                  <w:sz w:val="22"/>
                  <w:szCs w:val="22"/>
                </w:rPr>
                <w:delText>25,9%</w:delText>
              </w:r>
            </w:del>
          </w:p>
        </w:tc>
        <w:tc>
          <w:tcPr>
            <w:tcW w:w="1658" w:type="dxa"/>
          </w:tcPr>
          <w:p w14:paraId="2A24947E" w14:textId="30353230" w:rsidR="004462A0" w:rsidRPr="008912CF" w:rsidRDefault="00615769" w:rsidP="00F675CF">
            <w:pPr>
              <w:keepNext/>
              <w:jc w:val="center"/>
              <w:rPr>
                <w:del w:id="1948" w:author="AbbVie2" w:date="2025-05-13T16:36:00Z"/>
              </w:rPr>
            </w:pPr>
            <w:del w:id="1949" w:author="AbbVie2" w:date="2025-05-13T16:36:00Z">
              <w:r w:rsidRPr="008912CF">
                <w:rPr>
                  <w:sz w:val="22"/>
                  <w:szCs w:val="22"/>
                </w:rPr>
                <w:delText>45,5%</w:delText>
              </w:r>
            </w:del>
          </w:p>
        </w:tc>
        <w:tc>
          <w:tcPr>
            <w:tcW w:w="1100" w:type="dxa"/>
          </w:tcPr>
          <w:p w14:paraId="58618215" w14:textId="55571D01" w:rsidR="004462A0" w:rsidRPr="008912CF" w:rsidRDefault="00615769" w:rsidP="00F675CF">
            <w:pPr>
              <w:keepNext/>
              <w:jc w:val="center"/>
              <w:rPr>
                <w:del w:id="1950" w:author="AbbVie2" w:date="2025-05-13T16:36:00Z"/>
              </w:rPr>
            </w:pPr>
            <w:del w:id="1951" w:author="AbbVie2" w:date="2025-05-13T16:36:00Z">
              <w:r w:rsidRPr="008912CF">
                <w:rPr>
                  <w:sz w:val="22"/>
                  <w:szCs w:val="22"/>
                </w:rPr>
                <w:delText>&lt; 0,001</w:delText>
              </w:r>
            </w:del>
          </w:p>
        </w:tc>
        <w:tc>
          <w:tcPr>
            <w:tcW w:w="1173" w:type="dxa"/>
          </w:tcPr>
          <w:p w14:paraId="2FC85771" w14:textId="519C6190" w:rsidR="004462A0" w:rsidRPr="008912CF" w:rsidRDefault="00615769" w:rsidP="00F675CF">
            <w:pPr>
              <w:keepNext/>
              <w:jc w:val="center"/>
              <w:rPr>
                <w:del w:id="1952" w:author="AbbVie2" w:date="2025-05-13T16:36:00Z"/>
              </w:rPr>
            </w:pPr>
            <w:del w:id="1953" w:author="AbbVie2" w:date="2025-05-13T16:36:00Z">
              <w:r w:rsidRPr="008912CF">
                <w:rPr>
                  <w:sz w:val="22"/>
                  <w:szCs w:val="22"/>
                </w:rPr>
                <w:delText>&lt; 0,001</w:delText>
              </w:r>
            </w:del>
          </w:p>
        </w:tc>
        <w:tc>
          <w:tcPr>
            <w:tcW w:w="1210" w:type="dxa"/>
          </w:tcPr>
          <w:p w14:paraId="33CF4E89" w14:textId="793C899D" w:rsidR="004462A0" w:rsidRPr="008912CF" w:rsidRDefault="00615769" w:rsidP="00F675CF">
            <w:pPr>
              <w:keepNext/>
              <w:jc w:val="center"/>
              <w:rPr>
                <w:del w:id="1954" w:author="AbbVie2" w:date="2025-05-13T16:36:00Z"/>
              </w:rPr>
            </w:pPr>
            <w:del w:id="1955" w:author="AbbVie2" w:date="2025-05-13T16:36:00Z">
              <w:r w:rsidRPr="008912CF">
                <w:rPr>
                  <w:sz w:val="22"/>
                  <w:szCs w:val="22"/>
                </w:rPr>
                <w:delText>0,656</w:delText>
              </w:r>
            </w:del>
          </w:p>
        </w:tc>
      </w:tr>
      <w:tr w:rsidR="00A7162A" w14:paraId="2BCAD7AA" w14:textId="1FABBCEA" w:rsidTr="00F675CF">
        <w:trPr>
          <w:gridAfter w:val="1"/>
          <w:wAfter w:w="12" w:type="dxa"/>
          <w:cantSplit/>
          <w:jc w:val="center"/>
          <w:del w:id="1956" w:author="AbbVie2" w:date="2025-05-13T16:36:00Z"/>
        </w:trPr>
        <w:tc>
          <w:tcPr>
            <w:tcW w:w="1724" w:type="dxa"/>
            <w:gridSpan w:val="2"/>
          </w:tcPr>
          <w:p w14:paraId="57216C0D" w14:textId="2E8AFE13" w:rsidR="004462A0" w:rsidRPr="008912CF" w:rsidRDefault="00615769" w:rsidP="00F675CF">
            <w:pPr>
              <w:keepNext/>
              <w:rPr>
                <w:del w:id="1957" w:author="AbbVie2" w:date="2025-05-13T16:36:00Z"/>
              </w:rPr>
            </w:pPr>
            <w:del w:id="1958" w:author="AbbVie2" w:date="2025-05-13T16:36:00Z">
              <w:r w:rsidRPr="008912CF">
                <w:rPr>
                  <w:sz w:val="22"/>
                  <w:szCs w:val="22"/>
                </w:rPr>
                <w:delText xml:space="preserve">     Semana</w:delText>
              </w:r>
              <w:r>
                <w:rPr>
                  <w:sz w:val="22"/>
                  <w:szCs w:val="22"/>
                </w:rPr>
                <w:delText> </w:delText>
              </w:r>
              <w:r w:rsidRPr="008912CF">
                <w:rPr>
                  <w:sz w:val="22"/>
                  <w:szCs w:val="22"/>
                </w:rPr>
                <w:delText>104</w:delText>
              </w:r>
            </w:del>
          </w:p>
        </w:tc>
        <w:tc>
          <w:tcPr>
            <w:tcW w:w="1320" w:type="dxa"/>
          </w:tcPr>
          <w:p w14:paraId="383B0544" w14:textId="6AF6D079" w:rsidR="004462A0" w:rsidRPr="008912CF" w:rsidRDefault="00615769" w:rsidP="00F675CF">
            <w:pPr>
              <w:keepNext/>
              <w:jc w:val="center"/>
              <w:rPr>
                <w:del w:id="1959" w:author="AbbVie2" w:date="2025-05-13T16:36:00Z"/>
              </w:rPr>
            </w:pPr>
            <w:del w:id="1960" w:author="AbbVie2" w:date="2025-05-13T16:36:00Z">
              <w:r w:rsidRPr="008912CF">
                <w:rPr>
                  <w:sz w:val="22"/>
                  <w:szCs w:val="22"/>
                </w:rPr>
                <w:delText>28,4%</w:delText>
              </w:r>
            </w:del>
          </w:p>
        </w:tc>
        <w:tc>
          <w:tcPr>
            <w:tcW w:w="1238" w:type="dxa"/>
          </w:tcPr>
          <w:p w14:paraId="4B45D3AD" w14:textId="77DE9F9B" w:rsidR="004462A0" w:rsidRPr="008912CF" w:rsidRDefault="00615769" w:rsidP="00F675CF">
            <w:pPr>
              <w:keepNext/>
              <w:jc w:val="center"/>
              <w:rPr>
                <w:del w:id="1961" w:author="AbbVie2" w:date="2025-05-13T16:36:00Z"/>
              </w:rPr>
            </w:pPr>
            <w:del w:id="1962" w:author="AbbVie2" w:date="2025-05-13T16:36:00Z">
              <w:r w:rsidRPr="008912CF">
                <w:rPr>
                  <w:sz w:val="22"/>
                  <w:szCs w:val="22"/>
                </w:rPr>
                <w:delText>28,1%</w:delText>
              </w:r>
            </w:del>
          </w:p>
        </w:tc>
        <w:tc>
          <w:tcPr>
            <w:tcW w:w="1658" w:type="dxa"/>
          </w:tcPr>
          <w:p w14:paraId="50D662BF" w14:textId="6E1CAA10" w:rsidR="004462A0" w:rsidRPr="008912CF" w:rsidRDefault="00615769" w:rsidP="00F675CF">
            <w:pPr>
              <w:keepNext/>
              <w:jc w:val="center"/>
              <w:rPr>
                <w:del w:id="1963" w:author="AbbVie2" w:date="2025-05-13T16:36:00Z"/>
              </w:rPr>
            </w:pPr>
            <w:del w:id="1964" w:author="AbbVie2" w:date="2025-05-13T16:36:00Z">
              <w:r w:rsidRPr="008912CF">
                <w:rPr>
                  <w:sz w:val="22"/>
                  <w:szCs w:val="22"/>
                </w:rPr>
                <w:delText>46,6%</w:delText>
              </w:r>
            </w:del>
          </w:p>
        </w:tc>
        <w:tc>
          <w:tcPr>
            <w:tcW w:w="1100" w:type="dxa"/>
          </w:tcPr>
          <w:p w14:paraId="4B971D7E" w14:textId="289CC384" w:rsidR="004462A0" w:rsidRPr="008912CF" w:rsidRDefault="00615769" w:rsidP="00F675CF">
            <w:pPr>
              <w:keepNext/>
              <w:jc w:val="center"/>
              <w:rPr>
                <w:del w:id="1965" w:author="AbbVie2" w:date="2025-05-13T16:36:00Z"/>
              </w:rPr>
            </w:pPr>
            <w:del w:id="1966" w:author="AbbVie2" w:date="2025-05-13T16:36:00Z">
              <w:r w:rsidRPr="008912CF">
                <w:rPr>
                  <w:sz w:val="22"/>
                  <w:szCs w:val="22"/>
                </w:rPr>
                <w:delText>&lt; 0,001</w:delText>
              </w:r>
            </w:del>
          </w:p>
        </w:tc>
        <w:tc>
          <w:tcPr>
            <w:tcW w:w="1173" w:type="dxa"/>
          </w:tcPr>
          <w:p w14:paraId="7F533805" w14:textId="66A21BD3" w:rsidR="004462A0" w:rsidRPr="008912CF" w:rsidRDefault="00615769" w:rsidP="00F675CF">
            <w:pPr>
              <w:keepNext/>
              <w:jc w:val="center"/>
              <w:rPr>
                <w:del w:id="1967" w:author="AbbVie2" w:date="2025-05-13T16:36:00Z"/>
              </w:rPr>
            </w:pPr>
            <w:del w:id="1968" w:author="AbbVie2" w:date="2025-05-13T16:36:00Z">
              <w:r w:rsidRPr="008912CF">
                <w:rPr>
                  <w:sz w:val="22"/>
                  <w:szCs w:val="22"/>
                </w:rPr>
                <w:delText>&lt; 0,001</w:delText>
              </w:r>
            </w:del>
          </w:p>
        </w:tc>
        <w:tc>
          <w:tcPr>
            <w:tcW w:w="1210" w:type="dxa"/>
          </w:tcPr>
          <w:p w14:paraId="3699226F" w14:textId="016F2359" w:rsidR="004462A0" w:rsidRPr="008912CF" w:rsidRDefault="00615769" w:rsidP="00F675CF">
            <w:pPr>
              <w:keepNext/>
              <w:jc w:val="center"/>
              <w:rPr>
                <w:del w:id="1969" w:author="AbbVie2" w:date="2025-05-13T16:36:00Z"/>
              </w:rPr>
            </w:pPr>
            <w:del w:id="1970" w:author="AbbVie2" w:date="2025-05-13T16:36:00Z">
              <w:r w:rsidRPr="008912CF">
                <w:rPr>
                  <w:sz w:val="22"/>
                  <w:szCs w:val="22"/>
                </w:rPr>
                <w:delText>0,864</w:delText>
              </w:r>
            </w:del>
          </w:p>
        </w:tc>
      </w:tr>
      <w:tr w:rsidR="00A7162A" w14:paraId="4BE8E05E" w14:textId="01CF8A7B" w:rsidTr="00F675CF">
        <w:trPr>
          <w:gridBefore w:val="1"/>
          <w:wBefore w:w="6" w:type="dxa"/>
          <w:cantSplit/>
          <w:jc w:val="center"/>
          <w:del w:id="1971" w:author="AbbVie2" w:date="2025-05-13T16:36:00Z"/>
        </w:trPr>
        <w:tc>
          <w:tcPr>
            <w:tcW w:w="9429" w:type="dxa"/>
            <w:gridSpan w:val="8"/>
          </w:tcPr>
          <w:p w14:paraId="1FC05858" w14:textId="460CBFB9" w:rsidR="004462A0" w:rsidRPr="008912CF" w:rsidRDefault="00615769" w:rsidP="00F675CF">
            <w:pPr>
              <w:keepNext/>
              <w:tabs>
                <w:tab w:val="left" w:pos="330"/>
                <w:tab w:val="left" w:pos="10728"/>
              </w:tabs>
              <w:ind w:left="360" w:hanging="360"/>
              <w:rPr>
                <w:del w:id="1972" w:author="AbbVie2" w:date="2025-05-13T16:36:00Z"/>
              </w:rPr>
            </w:pPr>
            <w:del w:id="1973" w:author="AbbVie2" w:date="2025-05-13T16:36:00Z">
              <w:r w:rsidRPr="008912CF">
                <w:rPr>
                  <w:sz w:val="22"/>
                  <w:szCs w:val="22"/>
                  <w:vertAlign w:val="superscript"/>
                </w:rPr>
                <w:delText>a</w:delText>
              </w:r>
              <w:r w:rsidRPr="008912CF">
                <w:rPr>
                  <w:sz w:val="22"/>
                  <w:szCs w:val="22"/>
                </w:rPr>
                <w:tab/>
              </w:r>
              <w:r w:rsidRPr="008912CF">
                <w:rPr>
                  <w:sz w:val="22"/>
                  <w:szCs w:val="22"/>
                </w:rPr>
                <w:delText>valores-p comparativos emparelhados de metotrexato em monoterapia e da associação terapêutica Humira/metotrexato usando o teste de Mann-Whitney U.</w:delText>
              </w:r>
            </w:del>
          </w:p>
          <w:p w14:paraId="3109FBAA" w14:textId="184B8F72" w:rsidR="004462A0" w:rsidRPr="008912CF" w:rsidRDefault="00615769" w:rsidP="00F675CF">
            <w:pPr>
              <w:pStyle w:val="BodyTextIndent"/>
              <w:keepNext/>
              <w:ind w:left="330" w:hanging="330"/>
              <w:rPr>
                <w:del w:id="1974" w:author="AbbVie2" w:date="2025-05-13T16:36:00Z"/>
                <w:b w:val="0"/>
                <w:color w:val="auto"/>
                <w:szCs w:val="22"/>
              </w:rPr>
            </w:pPr>
            <w:del w:id="1975" w:author="AbbVie2" w:date="2025-05-13T16:36:00Z">
              <w:r w:rsidRPr="008912CF">
                <w:rPr>
                  <w:b w:val="0"/>
                  <w:color w:val="auto"/>
                  <w:szCs w:val="22"/>
                  <w:vertAlign w:val="superscript"/>
                </w:rPr>
                <w:delText>b</w:delText>
              </w:r>
              <w:r w:rsidRPr="008912CF">
                <w:rPr>
                  <w:b w:val="0"/>
                  <w:color w:val="auto"/>
                  <w:szCs w:val="22"/>
                </w:rPr>
                <w:tab/>
                <w:delText xml:space="preserve">valores-p </w:delText>
              </w:r>
              <w:r w:rsidRPr="008912CF">
                <w:rPr>
                  <w:b w:val="0"/>
                  <w:bCs/>
                  <w:color w:val="auto"/>
                  <w:szCs w:val="22"/>
                </w:rPr>
                <w:delText xml:space="preserve">comparativos emparelhados de Humira em </w:delText>
              </w:r>
              <w:r w:rsidRPr="008912CF">
                <w:rPr>
                  <w:b w:val="0"/>
                  <w:color w:val="auto"/>
                  <w:szCs w:val="22"/>
                </w:rPr>
                <w:delText>monoterapia e da associação terapêutica Humira/metotrexato usando o teste de Mann-Whitney U.</w:delText>
              </w:r>
            </w:del>
          </w:p>
          <w:p w14:paraId="67087E79" w14:textId="659AE1A6" w:rsidR="004462A0" w:rsidRPr="008912CF" w:rsidRDefault="00615769" w:rsidP="00F675CF">
            <w:pPr>
              <w:pStyle w:val="BodyTextIndent"/>
              <w:keepNext/>
              <w:ind w:left="330" w:hanging="330"/>
              <w:rPr>
                <w:del w:id="1976" w:author="AbbVie2" w:date="2025-05-13T16:36:00Z"/>
                <w:b w:val="0"/>
                <w:color w:val="auto"/>
                <w:szCs w:val="22"/>
              </w:rPr>
            </w:pPr>
            <w:del w:id="1977" w:author="AbbVie2" w:date="2025-05-13T16:36:00Z">
              <w:r w:rsidRPr="008912CF">
                <w:rPr>
                  <w:b w:val="0"/>
                  <w:color w:val="auto"/>
                  <w:szCs w:val="22"/>
                  <w:vertAlign w:val="superscript"/>
                </w:rPr>
                <w:delText>c</w:delText>
              </w:r>
              <w:r w:rsidRPr="008912CF">
                <w:rPr>
                  <w:b w:val="0"/>
                  <w:color w:val="auto"/>
                  <w:szCs w:val="22"/>
                </w:rPr>
                <w:delText xml:space="preserve">  </w:delText>
              </w:r>
              <w:r w:rsidR="003B2051">
                <w:rPr>
                  <w:b w:val="0"/>
                  <w:color w:val="auto"/>
                  <w:szCs w:val="22"/>
                </w:rPr>
                <w:delText xml:space="preserve">   </w:delText>
              </w:r>
              <w:r w:rsidRPr="008912CF">
                <w:rPr>
                  <w:b w:val="0"/>
                  <w:color w:val="auto"/>
                  <w:szCs w:val="22"/>
                </w:rPr>
                <w:delText xml:space="preserve">valores-p </w:delText>
              </w:r>
              <w:r w:rsidRPr="008912CF">
                <w:rPr>
                  <w:b w:val="0"/>
                  <w:bCs/>
                  <w:color w:val="auto"/>
                  <w:szCs w:val="22"/>
                </w:rPr>
                <w:delText>comparativos emparelhados de Humira e metotrexato em monoterapia</w:delText>
              </w:r>
              <w:r w:rsidRPr="008912CF">
                <w:rPr>
                  <w:b w:val="0"/>
                  <w:color w:val="auto"/>
                  <w:szCs w:val="22"/>
                </w:rPr>
                <w:delText xml:space="preserve"> usando o teste de Mann-Whitney U.</w:delText>
              </w:r>
            </w:del>
          </w:p>
        </w:tc>
      </w:tr>
    </w:tbl>
    <w:p w14:paraId="3FF44C04" w14:textId="120036C0" w:rsidR="004462A0" w:rsidRDefault="004462A0" w:rsidP="004462A0">
      <w:pPr>
        <w:rPr>
          <w:del w:id="1978" w:author="AbbVie2" w:date="2025-05-13T16:36:00Z"/>
          <w:sz w:val="22"/>
          <w:szCs w:val="22"/>
        </w:rPr>
      </w:pPr>
    </w:p>
    <w:p w14:paraId="1A151570" w14:textId="200AB8CF" w:rsidR="004462A0" w:rsidRDefault="00615769" w:rsidP="004462A0">
      <w:pPr>
        <w:rPr>
          <w:del w:id="1979" w:author="AbbVie2" w:date="2025-05-13T16:36:00Z"/>
          <w:sz w:val="22"/>
          <w:szCs w:val="22"/>
        </w:rPr>
      </w:pPr>
      <w:del w:id="1980" w:author="AbbVie2" w:date="2025-05-13T16:36:00Z">
        <w:r>
          <w:rPr>
            <w:sz w:val="22"/>
            <w:szCs w:val="22"/>
          </w:rPr>
          <w:delText xml:space="preserve">Na extensão de fase aberta do estudo AR V, as percentagens de resposta </w:delText>
        </w:r>
        <w:r w:rsidRPr="008912CF">
          <w:rPr>
            <w:sz w:val="22"/>
            <w:szCs w:val="22"/>
          </w:rPr>
          <w:delText xml:space="preserve">ACR </w:delText>
        </w:r>
        <w:r>
          <w:rPr>
            <w:sz w:val="22"/>
            <w:szCs w:val="22"/>
          </w:rPr>
          <w:delText>foram mantidas</w:delText>
        </w:r>
        <w:r w:rsidRPr="008912CF">
          <w:rPr>
            <w:sz w:val="22"/>
            <w:szCs w:val="22"/>
          </w:rPr>
          <w:delText xml:space="preserve"> quando acompanhados até 10 anos.</w:delText>
        </w:r>
        <w:r>
          <w:rPr>
            <w:sz w:val="22"/>
            <w:szCs w:val="22"/>
          </w:rPr>
          <w:delText xml:space="preserve"> </w:delText>
        </w:r>
        <w:r w:rsidRPr="008912CF">
          <w:rPr>
            <w:sz w:val="22"/>
            <w:szCs w:val="22"/>
          </w:rPr>
          <w:delText xml:space="preserve">Dos </w:delText>
        </w:r>
        <w:r>
          <w:rPr>
            <w:sz w:val="22"/>
            <w:szCs w:val="22"/>
          </w:rPr>
          <w:delText>542</w:delText>
        </w:r>
        <w:r w:rsidRPr="008912CF">
          <w:rPr>
            <w:sz w:val="22"/>
            <w:szCs w:val="22"/>
          </w:rPr>
          <w:delText xml:space="preserve"> doentes que foram </w:delText>
        </w:r>
        <w:r>
          <w:rPr>
            <w:sz w:val="22"/>
            <w:szCs w:val="22"/>
          </w:rPr>
          <w:delText xml:space="preserve">aleatorizados </w:delText>
        </w:r>
        <w:r w:rsidR="004D006C">
          <w:rPr>
            <w:sz w:val="22"/>
            <w:szCs w:val="22"/>
          </w:rPr>
          <w:delText>para</w:delText>
        </w:r>
        <w:r w:rsidR="004D006C" w:rsidRPr="008912CF">
          <w:rPr>
            <w:sz w:val="22"/>
            <w:szCs w:val="22"/>
          </w:rPr>
          <w:delText xml:space="preserve"> </w:delText>
        </w:r>
        <w:r w:rsidRPr="008912CF">
          <w:rPr>
            <w:sz w:val="22"/>
            <w:szCs w:val="22"/>
          </w:rPr>
          <w:delText>Humira 40 mg em semanas alternadas, 1</w:delText>
        </w:r>
        <w:r>
          <w:rPr>
            <w:sz w:val="22"/>
            <w:szCs w:val="22"/>
          </w:rPr>
          <w:delText>70</w:delText>
        </w:r>
        <w:r w:rsidRPr="008912CF">
          <w:rPr>
            <w:sz w:val="22"/>
            <w:szCs w:val="22"/>
          </w:rPr>
          <w:delText xml:space="preserve"> doentes continuaram com Humira 40 mg em semanas alternadas durante </w:delText>
        </w:r>
        <w:r>
          <w:rPr>
            <w:sz w:val="22"/>
            <w:szCs w:val="22"/>
          </w:rPr>
          <w:delText>10</w:delText>
        </w:r>
        <w:r w:rsidRPr="008912CF">
          <w:rPr>
            <w:sz w:val="22"/>
            <w:szCs w:val="22"/>
          </w:rPr>
          <w:delText xml:space="preserve"> anos. E</w:delText>
        </w:r>
        <w:r>
          <w:rPr>
            <w:sz w:val="22"/>
            <w:szCs w:val="22"/>
          </w:rPr>
          <w:delText>ntre estes</w:delText>
        </w:r>
        <w:r w:rsidRPr="008912CF">
          <w:rPr>
            <w:sz w:val="22"/>
            <w:szCs w:val="22"/>
          </w:rPr>
          <w:delText xml:space="preserve">, </w:delText>
        </w:r>
        <w:r>
          <w:rPr>
            <w:sz w:val="22"/>
            <w:szCs w:val="22"/>
          </w:rPr>
          <w:delText>154</w:delText>
        </w:r>
        <w:r w:rsidRPr="008912CF">
          <w:rPr>
            <w:sz w:val="22"/>
            <w:szCs w:val="22"/>
          </w:rPr>
          <w:delText xml:space="preserve"> doentes (</w:delText>
        </w:r>
        <w:r>
          <w:rPr>
            <w:sz w:val="22"/>
            <w:szCs w:val="22"/>
          </w:rPr>
          <w:delText>90,6</w:delText>
        </w:r>
        <w:r w:rsidR="009343EF">
          <w:rPr>
            <w:sz w:val="22"/>
            <w:szCs w:val="22"/>
          </w:rPr>
          <w:delText>%</w:delText>
        </w:r>
        <w:r w:rsidRPr="008912CF">
          <w:rPr>
            <w:sz w:val="22"/>
            <w:szCs w:val="22"/>
          </w:rPr>
          <w:delText xml:space="preserve">) </w:delText>
        </w:r>
        <w:r>
          <w:rPr>
            <w:sz w:val="22"/>
            <w:szCs w:val="22"/>
          </w:rPr>
          <w:delText xml:space="preserve">atingiram </w:delText>
        </w:r>
        <w:r w:rsidRPr="008912CF">
          <w:rPr>
            <w:sz w:val="22"/>
            <w:szCs w:val="22"/>
          </w:rPr>
          <w:delText>resposta</w:delText>
        </w:r>
        <w:r>
          <w:rPr>
            <w:sz w:val="22"/>
            <w:szCs w:val="22"/>
          </w:rPr>
          <w:delText>s</w:delText>
        </w:r>
        <w:r w:rsidRPr="008912CF">
          <w:rPr>
            <w:sz w:val="22"/>
            <w:szCs w:val="22"/>
          </w:rPr>
          <w:delText xml:space="preserve"> ACR 20; </w:delText>
        </w:r>
        <w:r>
          <w:rPr>
            <w:sz w:val="22"/>
            <w:szCs w:val="22"/>
          </w:rPr>
          <w:delText>127</w:delText>
        </w:r>
        <w:r w:rsidRPr="008912CF">
          <w:rPr>
            <w:sz w:val="22"/>
            <w:szCs w:val="22"/>
          </w:rPr>
          <w:delText xml:space="preserve"> doentes (</w:delText>
        </w:r>
        <w:r>
          <w:rPr>
            <w:sz w:val="22"/>
            <w:szCs w:val="22"/>
          </w:rPr>
          <w:delText>74</w:delText>
        </w:r>
        <w:r w:rsidRPr="008912CF">
          <w:rPr>
            <w:sz w:val="22"/>
            <w:szCs w:val="22"/>
          </w:rPr>
          <w:delText>,</w:delText>
        </w:r>
        <w:r>
          <w:rPr>
            <w:sz w:val="22"/>
            <w:szCs w:val="22"/>
          </w:rPr>
          <w:delText>7</w:delText>
        </w:r>
        <w:r w:rsidR="009343EF">
          <w:rPr>
            <w:sz w:val="22"/>
            <w:szCs w:val="22"/>
          </w:rPr>
          <w:delText>%</w:delText>
        </w:r>
        <w:r w:rsidRPr="008912CF">
          <w:rPr>
            <w:sz w:val="22"/>
            <w:szCs w:val="22"/>
          </w:rPr>
          <w:delText xml:space="preserve">) </w:delText>
        </w:r>
        <w:r>
          <w:rPr>
            <w:sz w:val="22"/>
            <w:szCs w:val="22"/>
          </w:rPr>
          <w:delText>atingiram respostas</w:delText>
        </w:r>
        <w:r w:rsidRPr="008912CF">
          <w:rPr>
            <w:sz w:val="22"/>
            <w:szCs w:val="22"/>
          </w:rPr>
          <w:delText xml:space="preserve"> ACR 50; e </w:delText>
        </w:r>
        <w:r>
          <w:rPr>
            <w:sz w:val="22"/>
            <w:szCs w:val="22"/>
          </w:rPr>
          <w:delText>102</w:delText>
        </w:r>
        <w:r w:rsidRPr="008912CF">
          <w:rPr>
            <w:sz w:val="22"/>
            <w:szCs w:val="22"/>
          </w:rPr>
          <w:delText xml:space="preserve"> doentes (</w:delText>
        </w:r>
        <w:r>
          <w:rPr>
            <w:sz w:val="22"/>
            <w:szCs w:val="22"/>
          </w:rPr>
          <w:delText>60,0</w:delText>
        </w:r>
        <w:r w:rsidR="009343EF">
          <w:rPr>
            <w:sz w:val="22"/>
            <w:szCs w:val="22"/>
          </w:rPr>
          <w:delText>%</w:delText>
        </w:r>
        <w:r w:rsidRPr="008912CF">
          <w:rPr>
            <w:sz w:val="22"/>
            <w:szCs w:val="22"/>
          </w:rPr>
          <w:delText xml:space="preserve">) </w:delText>
        </w:r>
        <w:r>
          <w:rPr>
            <w:sz w:val="22"/>
            <w:szCs w:val="22"/>
          </w:rPr>
          <w:delText xml:space="preserve">atingiram </w:delText>
        </w:r>
        <w:r w:rsidRPr="008912CF">
          <w:rPr>
            <w:sz w:val="22"/>
            <w:szCs w:val="22"/>
          </w:rPr>
          <w:delText>resposta</w:delText>
        </w:r>
        <w:r>
          <w:rPr>
            <w:sz w:val="22"/>
            <w:szCs w:val="22"/>
          </w:rPr>
          <w:delText>s</w:delText>
        </w:r>
        <w:r w:rsidRPr="008912CF">
          <w:rPr>
            <w:sz w:val="22"/>
            <w:szCs w:val="22"/>
          </w:rPr>
          <w:delText xml:space="preserve"> ACR 70</w:delText>
        </w:r>
        <w:r>
          <w:rPr>
            <w:sz w:val="22"/>
            <w:szCs w:val="22"/>
          </w:rPr>
          <w:delText>.</w:delText>
        </w:r>
      </w:del>
    </w:p>
    <w:p w14:paraId="35E43750" w14:textId="56609E29" w:rsidR="004462A0" w:rsidRPr="008912CF" w:rsidRDefault="004462A0" w:rsidP="004462A0">
      <w:pPr>
        <w:rPr>
          <w:del w:id="1981" w:author="AbbVie2" w:date="2025-05-13T16:36:00Z"/>
          <w:sz w:val="22"/>
          <w:szCs w:val="22"/>
        </w:rPr>
      </w:pPr>
    </w:p>
    <w:p w14:paraId="0F2AD8CC" w14:textId="0FCF2E9D" w:rsidR="004462A0" w:rsidRPr="008912CF" w:rsidRDefault="00615769" w:rsidP="004462A0">
      <w:pPr>
        <w:rPr>
          <w:del w:id="1982" w:author="AbbVie2" w:date="2025-05-13T16:36:00Z"/>
          <w:sz w:val="22"/>
          <w:szCs w:val="22"/>
        </w:rPr>
      </w:pPr>
      <w:del w:id="1983" w:author="AbbVie2" w:date="2025-05-13T16:36:00Z">
        <w:r w:rsidRPr="008912CF">
          <w:rPr>
            <w:sz w:val="22"/>
            <w:szCs w:val="22"/>
          </w:rPr>
          <w:delText>Na Semana</w:delText>
        </w:r>
        <w:r>
          <w:rPr>
            <w:sz w:val="22"/>
            <w:szCs w:val="22"/>
          </w:rPr>
          <w:delText> </w:delText>
        </w:r>
        <w:r w:rsidRPr="008912CF">
          <w:rPr>
            <w:sz w:val="22"/>
            <w:szCs w:val="22"/>
          </w:rPr>
          <w:delText>52, 42,9</w:delText>
        </w:r>
        <w:r w:rsidR="009343EF">
          <w:rPr>
            <w:sz w:val="22"/>
            <w:szCs w:val="22"/>
          </w:rPr>
          <w:delText>%</w:delText>
        </w:r>
        <w:r w:rsidRPr="008912CF">
          <w:rPr>
            <w:sz w:val="22"/>
            <w:szCs w:val="22"/>
          </w:rPr>
          <w:delText xml:space="preserve"> dos doentes tratados com a associação terapêutica Humira/metotrexato atingiram remissão clínica (DAS</w:delText>
        </w:r>
        <w:r>
          <w:rPr>
            <w:sz w:val="22"/>
            <w:szCs w:val="22"/>
          </w:rPr>
          <w:delText xml:space="preserve"> </w:delText>
        </w:r>
        <w:r w:rsidRPr="008912CF">
          <w:rPr>
            <w:sz w:val="22"/>
            <w:szCs w:val="22"/>
          </w:rPr>
          <w:delText>28</w:delText>
        </w:r>
        <w:r>
          <w:rPr>
            <w:sz w:val="22"/>
            <w:szCs w:val="22"/>
          </w:rPr>
          <w:delText xml:space="preserve"> (PCR)</w:delText>
        </w:r>
        <w:r w:rsidRPr="008912CF">
          <w:rPr>
            <w:sz w:val="22"/>
            <w:szCs w:val="22"/>
          </w:rPr>
          <w:delText> &lt; 2,6) comparativamente com 20,6</w:delText>
        </w:r>
        <w:r w:rsidR="009343EF">
          <w:rPr>
            <w:sz w:val="22"/>
            <w:szCs w:val="22"/>
          </w:rPr>
          <w:delText>%</w:delText>
        </w:r>
        <w:r w:rsidRPr="008912CF">
          <w:rPr>
            <w:sz w:val="22"/>
            <w:szCs w:val="22"/>
          </w:rPr>
          <w:delText xml:space="preserve"> dos doentes tratados com metotrexato em monoterapia e 23,4</w:delText>
        </w:r>
        <w:r w:rsidR="009343EF">
          <w:rPr>
            <w:sz w:val="22"/>
            <w:szCs w:val="22"/>
          </w:rPr>
          <w:delText>%</w:delText>
        </w:r>
        <w:r w:rsidRPr="008912CF">
          <w:rPr>
            <w:sz w:val="22"/>
            <w:szCs w:val="22"/>
          </w:rPr>
          <w:delText xml:space="preserve"> dos doentes tratados com Humira em monoterapia. Em doentes recentemente diagnosticados com artrite reumatoide moderada a grave, a associação terapêutica Humira/metotrexato foi clinicamente e estatisticamente superior </w:delText>
        </w:r>
        <w:r w:rsidR="004D006C">
          <w:rPr>
            <w:sz w:val="22"/>
            <w:szCs w:val="22"/>
          </w:rPr>
          <w:delText>a</w:delText>
        </w:r>
        <w:r w:rsidRPr="008912CF">
          <w:rPr>
            <w:sz w:val="22"/>
            <w:szCs w:val="22"/>
          </w:rPr>
          <w:delText xml:space="preserve"> metotrexato (p &lt; 0,001) e </w:delText>
        </w:r>
        <w:r w:rsidR="004D006C">
          <w:rPr>
            <w:sz w:val="22"/>
            <w:szCs w:val="22"/>
          </w:rPr>
          <w:delText xml:space="preserve">a </w:delText>
        </w:r>
        <w:r w:rsidRPr="008912CF">
          <w:rPr>
            <w:sz w:val="22"/>
            <w:szCs w:val="22"/>
          </w:rPr>
          <w:delText xml:space="preserve">Humira em monoterapia (p &lt; 0,001) </w:delText>
        </w:r>
        <w:r w:rsidR="004D006C">
          <w:rPr>
            <w:sz w:val="22"/>
            <w:szCs w:val="22"/>
          </w:rPr>
          <w:delText>na</w:delText>
        </w:r>
        <w:r w:rsidRPr="008912CF">
          <w:rPr>
            <w:sz w:val="22"/>
            <w:szCs w:val="22"/>
          </w:rPr>
          <w:delText xml:space="preserve"> redução da atividade da doença. A resposta foi similar nos dois braços de monoterapia (p = 0,447).</w:delText>
        </w:r>
        <w:r>
          <w:rPr>
            <w:sz w:val="22"/>
            <w:szCs w:val="22"/>
          </w:rPr>
          <w:delText xml:space="preserve"> Dos 342 doentes incluídos na extensão de fase aberta do estudo, originalmente aleatorizados com Humira em monoterapia ou associação terapêutica Humira/metotrexato, 171 doentes completaram 10 anos de tratamento com Humira. Entre estes, 109 doentes (63,7</w:delText>
        </w:r>
        <w:r w:rsidR="009343EF">
          <w:rPr>
            <w:sz w:val="22"/>
            <w:szCs w:val="22"/>
          </w:rPr>
          <w:delText>%</w:delText>
        </w:r>
        <w:r>
          <w:rPr>
            <w:sz w:val="22"/>
            <w:szCs w:val="22"/>
          </w:rPr>
          <w:delText>) apresentaram remissão aos 10 anos.</w:delText>
        </w:r>
      </w:del>
    </w:p>
    <w:p w14:paraId="79CBD0B0" w14:textId="1A3BE69F" w:rsidR="004462A0" w:rsidRPr="008912CF" w:rsidRDefault="004462A0" w:rsidP="004462A0">
      <w:pPr>
        <w:rPr>
          <w:del w:id="1984" w:author="AbbVie2" w:date="2025-05-13T16:36:00Z"/>
          <w:sz w:val="22"/>
          <w:szCs w:val="22"/>
        </w:rPr>
      </w:pPr>
    </w:p>
    <w:p w14:paraId="1B11F430" w14:textId="53E38129" w:rsidR="004462A0" w:rsidRPr="008912CF" w:rsidRDefault="00615769" w:rsidP="004462A0">
      <w:pPr>
        <w:pStyle w:val="Heading9"/>
        <w:keepNext w:val="0"/>
        <w:rPr>
          <w:del w:id="1985" w:author="AbbVie2" w:date="2025-05-13T16:36:00Z"/>
          <w:szCs w:val="22"/>
        </w:rPr>
      </w:pPr>
      <w:del w:id="1986" w:author="AbbVie2" w:date="2025-05-13T16:36:00Z">
        <w:r w:rsidRPr="008912CF">
          <w:rPr>
            <w:i/>
            <w:szCs w:val="22"/>
          </w:rPr>
          <w:delText>Resposta radiológica</w:delText>
        </w:r>
      </w:del>
    </w:p>
    <w:p w14:paraId="1AD19FD8" w14:textId="59DEEB64" w:rsidR="004462A0" w:rsidRPr="008912CF" w:rsidRDefault="004462A0" w:rsidP="004462A0">
      <w:pPr>
        <w:rPr>
          <w:del w:id="1987" w:author="AbbVie2" w:date="2025-05-13T16:36:00Z"/>
          <w:sz w:val="22"/>
          <w:szCs w:val="22"/>
        </w:rPr>
      </w:pPr>
    </w:p>
    <w:p w14:paraId="76EDE31A" w14:textId="6B50117F" w:rsidR="004462A0" w:rsidRPr="008912CF" w:rsidRDefault="00615769" w:rsidP="004462A0">
      <w:pPr>
        <w:rPr>
          <w:del w:id="1988" w:author="AbbVie2" w:date="2025-05-13T16:36:00Z"/>
          <w:sz w:val="22"/>
          <w:szCs w:val="22"/>
        </w:rPr>
      </w:pPr>
      <w:del w:id="1989" w:author="AbbVie2" w:date="2025-05-13T16:36:00Z">
        <w:r w:rsidRPr="008912CF">
          <w:rPr>
            <w:sz w:val="22"/>
            <w:szCs w:val="22"/>
          </w:rPr>
          <w:delText>No estudo AR III, em que os doentes tratados com Humira tinham uma duração média de artrite reumatoide de aproximadamente 11 anos, a lesão estrutural articular foi avaliada radiologicamente e expressa como alteração na Escala Total de Sharp (TSS) modificada e respetivos componentes, escala de erosão e escala do estreitamento do espaço articular. Doentes tratados com Humira/metotrexato demonstraram uma progressão radiológica significativamente menor do que os doentes tratados apenas com metotrexato aos 6 e 1</w:delText>
        </w:r>
        <w:r w:rsidRPr="008912CF">
          <w:rPr>
            <w:sz w:val="22"/>
            <w:szCs w:val="22"/>
          </w:rPr>
          <w:delText xml:space="preserve">2 meses (ver Tabela </w:delText>
        </w:r>
        <w:r w:rsidR="00D0749B">
          <w:rPr>
            <w:sz w:val="22"/>
            <w:szCs w:val="22"/>
          </w:rPr>
          <w:delText>10</w:delText>
        </w:r>
        <w:r w:rsidRPr="008912CF">
          <w:rPr>
            <w:sz w:val="22"/>
            <w:szCs w:val="22"/>
          </w:rPr>
          <w:delText>).</w:delText>
        </w:r>
      </w:del>
    </w:p>
    <w:p w14:paraId="1F2E6125" w14:textId="79BC1DE2" w:rsidR="004462A0" w:rsidRPr="008912CF" w:rsidRDefault="004462A0" w:rsidP="004462A0">
      <w:pPr>
        <w:rPr>
          <w:del w:id="1990" w:author="AbbVie2" w:date="2025-05-13T16:36:00Z"/>
          <w:sz w:val="22"/>
          <w:szCs w:val="22"/>
        </w:rPr>
      </w:pPr>
    </w:p>
    <w:p w14:paraId="5151964B" w14:textId="2647DB6C" w:rsidR="004462A0" w:rsidRPr="008912CF" w:rsidRDefault="00615769" w:rsidP="004462A0">
      <w:pPr>
        <w:rPr>
          <w:del w:id="1991" w:author="AbbVie2" w:date="2025-05-13T16:36:00Z"/>
          <w:sz w:val="22"/>
          <w:szCs w:val="22"/>
        </w:rPr>
      </w:pPr>
      <w:del w:id="1992" w:author="AbbVie2" w:date="2025-05-13T16:36:00Z">
        <w:r w:rsidRPr="008912CF">
          <w:rPr>
            <w:sz w:val="22"/>
            <w:szCs w:val="22"/>
          </w:rPr>
          <w:delText>Na extensão de fase aberta do estudo AR III</w:delText>
        </w:r>
        <w:r w:rsidR="00FB0C02">
          <w:rPr>
            <w:sz w:val="22"/>
            <w:szCs w:val="22"/>
          </w:rPr>
          <w:delText>,</w:delText>
        </w:r>
        <w:r w:rsidRPr="008912CF">
          <w:rPr>
            <w:sz w:val="22"/>
            <w:szCs w:val="22"/>
          </w:rPr>
          <w:delText xml:space="preserve"> a redução da taxa de progressão da lesão estrutural manteve-se por 8 e 10 anos num subgrupo de doentes. Aos 8 anos, 81 dos 207 doentes originalmente tratados com 40 mg de Humira em semanas alternadas foram avaliados radiologicamente. Entre estes, 48 doentes não mostraram progressão da lesão estrutural</w:delText>
        </w:r>
        <w:r w:rsidR="00FB0C02">
          <w:rPr>
            <w:sz w:val="22"/>
            <w:szCs w:val="22"/>
          </w:rPr>
          <w:delText>,</w:delText>
        </w:r>
        <w:r w:rsidRPr="008912CF">
          <w:rPr>
            <w:sz w:val="22"/>
            <w:szCs w:val="22"/>
          </w:rPr>
          <w:delText xml:space="preserve"> definida por uma alteração desde o início do estudo de 0,5 ou menos na mTSS. Aos 10</w:delText>
        </w:r>
        <w:r>
          <w:rPr>
            <w:sz w:val="22"/>
            <w:szCs w:val="22"/>
          </w:rPr>
          <w:delText> </w:delText>
        </w:r>
        <w:r w:rsidRPr="008912CF">
          <w:rPr>
            <w:sz w:val="22"/>
            <w:szCs w:val="22"/>
          </w:rPr>
          <w:delText>anos, 79 dos 207 doentes inicialmente tratados com Humira 40 mg em semanas alternadas foram avaliados radiologicamente. En</w:delText>
        </w:r>
        <w:r w:rsidRPr="008912CF">
          <w:rPr>
            <w:sz w:val="22"/>
            <w:szCs w:val="22"/>
          </w:rPr>
          <w:delText>tre estes, 40 doentes não apresentaram progressão da lesão estrutural, definida por uma alteração desde o início do estudo de 0,5 ou menos na mTSS.</w:delText>
        </w:r>
      </w:del>
    </w:p>
    <w:p w14:paraId="41FF8A85" w14:textId="2DB97FF3" w:rsidR="004462A0" w:rsidRPr="008912CF" w:rsidRDefault="004462A0" w:rsidP="004462A0">
      <w:pPr>
        <w:keepNext/>
        <w:rPr>
          <w:del w:id="1993" w:author="AbbVie2" w:date="2025-05-13T16:36: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430"/>
        <w:gridCol w:w="1790"/>
        <w:gridCol w:w="2000"/>
        <w:gridCol w:w="1548"/>
      </w:tblGrid>
      <w:tr w:rsidR="00A7162A" w14:paraId="6E2240A1" w14:textId="5ACEBFA7" w:rsidTr="00F675CF">
        <w:trPr>
          <w:cantSplit/>
          <w:del w:id="1994" w:author="AbbVie2" w:date="2025-05-13T16:36:00Z"/>
        </w:trPr>
        <w:tc>
          <w:tcPr>
            <w:tcW w:w="8856" w:type="dxa"/>
            <w:gridSpan w:val="5"/>
            <w:tcBorders>
              <w:top w:val="nil"/>
              <w:left w:val="nil"/>
              <w:right w:val="nil"/>
            </w:tcBorders>
          </w:tcPr>
          <w:p w14:paraId="0371F0E7" w14:textId="1E9A3665" w:rsidR="004462A0" w:rsidRPr="008912CF" w:rsidRDefault="00615769" w:rsidP="00F675CF">
            <w:pPr>
              <w:pStyle w:val="Heading9"/>
              <w:jc w:val="center"/>
              <w:rPr>
                <w:del w:id="1995" w:author="AbbVie2" w:date="2025-05-13T16:36:00Z"/>
                <w:b/>
                <w:bCs/>
                <w:u w:val="none"/>
              </w:rPr>
            </w:pPr>
            <w:del w:id="1996" w:author="AbbVie2" w:date="2025-05-13T16:36:00Z">
              <w:r w:rsidRPr="008912CF">
                <w:rPr>
                  <w:b/>
                  <w:bCs/>
                  <w:szCs w:val="22"/>
                  <w:u w:val="none"/>
                </w:rPr>
                <w:delText xml:space="preserve">Tabela </w:delText>
              </w:r>
              <w:r w:rsidR="00D01EDE">
                <w:rPr>
                  <w:b/>
                  <w:bCs/>
                  <w:szCs w:val="22"/>
                  <w:u w:val="none"/>
                </w:rPr>
                <w:delText>1</w:delText>
              </w:r>
              <w:r w:rsidR="00D0749B">
                <w:rPr>
                  <w:b/>
                  <w:bCs/>
                  <w:szCs w:val="22"/>
                  <w:u w:val="none"/>
                </w:rPr>
                <w:delText>0</w:delText>
              </w:r>
            </w:del>
          </w:p>
          <w:p w14:paraId="45338690" w14:textId="4ED56579" w:rsidR="004462A0" w:rsidRPr="008912CF" w:rsidRDefault="00615769" w:rsidP="00F675CF">
            <w:pPr>
              <w:pStyle w:val="Heading9"/>
              <w:jc w:val="center"/>
              <w:rPr>
                <w:del w:id="1997" w:author="AbbVie2" w:date="2025-05-13T16:36:00Z"/>
                <w:b/>
                <w:bCs/>
                <w:highlight w:val="cyan"/>
                <w:u w:val="none"/>
              </w:rPr>
            </w:pPr>
            <w:del w:id="1998" w:author="AbbVie2" w:date="2025-05-13T16:36:00Z">
              <w:r w:rsidRPr="008912CF">
                <w:rPr>
                  <w:b/>
                  <w:bCs/>
                  <w:szCs w:val="22"/>
                  <w:u w:val="none"/>
                </w:rPr>
                <w:delText>Alteração Média Radiológica durante 12</w:delText>
              </w:r>
              <w:r>
                <w:rPr>
                  <w:b/>
                  <w:bCs/>
                  <w:szCs w:val="22"/>
                  <w:u w:val="none"/>
                </w:rPr>
                <w:delText> </w:delText>
              </w:r>
              <w:r w:rsidRPr="008912CF">
                <w:rPr>
                  <w:b/>
                  <w:bCs/>
                  <w:szCs w:val="22"/>
                  <w:u w:val="none"/>
                </w:rPr>
                <w:delText>meses no Estudo AR III</w:delText>
              </w:r>
            </w:del>
          </w:p>
          <w:p w14:paraId="64BE2870" w14:textId="6BA2ACDE" w:rsidR="004462A0" w:rsidRPr="008912CF" w:rsidRDefault="004462A0" w:rsidP="00F675CF">
            <w:pPr>
              <w:keepNext/>
              <w:jc w:val="center"/>
              <w:rPr>
                <w:del w:id="1999" w:author="AbbVie2" w:date="2025-05-13T16:36:00Z"/>
                <w:b/>
                <w:bCs/>
                <w:highlight w:val="red"/>
              </w:rPr>
            </w:pPr>
          </w:p>
        </w:tc>
      </w:tr>
      <w:tr w:rsidR="00A7162A" w14:paraId="3579F9D7" w14:textId="43A8EA23" w:rsidTr="00F675CF">
        <w:trPr>
          <w:del w:id="2000" w:author="AbbVie2" w:date="2025-05-13T16:36:00Z"/>
        </w:trPr>
        <w:tc>
          <w:tcPr>
            <w:tcW w:w="2088" w:type="dxa"/>
          </w:tcPr>
          <w:p w14:paraId="33164891" w14:textId="489B3F03" w:rsidR="004462A0" w:rsidRPr="008912CF" w:rsidRDefault="004462A0" w:rsidP="00F675CF">
            <w:pPr>
              <w:keepNext/>
              <w:jc w:val="center"/>
              <w:rPr>
                <w:del w:id="2001" w:author="AbbVie2" w:date="2025-05-13T16:36:00Z"/>
              </w:rPr>
            </w:pPr>
          </w:p>
        </w:tc>
        <w:tc>
          <w:tcPr>
            <w:tcW w:w="1430" w:type="dxa"/>
          </w:tcPr>
          <w:p w14:paraId="78EAA1B0" w14:textId="0810B682" w:rsidR="004462A0" w:rsidRPr="008912CF" w:rsidRDefault="00615769" w:rsidP="00F675CF">
            <w:pPr>
              <w:keepNext/>
              <w:rPr>
                <w:del w:id="2002" w:author="AbbVie2" w:date="2025-05-13T16:36:00Z"/>
              </w:rPr>
            </w:pPr>
            <w:del w:id="2003" w:author="AbbVie2" w:date="2025-05-13T16:36:00Z">
              <w:r w:rsidRPr="008912CF">
                <w:rPr>
                  <w:sz w:val="22"/>
                  <w:szCs w:val="22"/>
                </w:rPr>
                <w:delText>Placebo/</w:delText>
              </w:r>
            </w:del>
          </w:p>
          <w:p w14:paraId="5C49D3EC" w14:textId="07113DF9" w:rsidR="004462A0" w:rsidRPr="008912CF" w:rsidRDefault="00615769" w:rsidP="00F675CF">
            <w:pPr>
              <w:keepNext/>
              <w:rPr>
                <w:del w:id="2004" w:author="AbbVie2" w:date="2025-05-13T16:36:00Z"/>
                <w:vertAlign w:val="superscript"/>
              </w:rPr>
            </w:pPr>
            <w:del w:id="2005" w:author="AbbVie2" w:date="2025-05-13T16:36:00Z">
              <w:r w:rsidRPr="008912CF">
                <w:rPr>
                  <w:sz w:val="22"/>
                  <w:szCs w:val="22"/>
                </w:rPr>
                <w:delText>MTX</w:delText>
              </w:r>
              <w:r w:rsidRPr="008912CF">
                <w:rPr>
                  <w:sz w:val="22"/>
                  <w:szCs w:val="22"/>
                  <w:vertAlign w:val="superscript"/>
                </w:rPr>
                <w:delText>a</w:delText>
              </w:r>
            </w:del>
          </w:p>
        </w:tc>
        <w:tc>
          <w:tcPr>
            <w:tcW w:w="1790" w:type="dxa"/>
          </w:tcPr>
          <w:p w14:paraId="1753EFA9" w14:textId="33D54DAF" w:rsidR="004462A0" w:rsidRPr="008912CF" w:rsidRDefault="00615769" w:rsidP="00F675CF">
            <w:pPr>
              <w:keepNext/>
              <w:jc w:val="center"/>
              <w:rPr>
                <w:del w:id="2006" w:author="AbbVie2" w:date="2025-05-13T16:36:00Z"/>
              </w:rPr>
            </w:pPr>
            <w:del w:id="2007" w:author="AbbVie2" w:date="2025-05-13T16:36:00Z">
              <w:r w:rsidRPr="008912CF">
                <w:rPr>
                  <w:sz w:val="22"/>
                  <w:szCs w:val="22"/>
                </w:rPr>
                <w:delText>Humira/MTX</w:delText>
              </w:r>
            </w:del>
          </w:p>
          <w:p w14:paraId="0A1DE197" w14:textId="64958EA0" w:rsidR="004462A0" w:rsidRPr="008912CF" w:rsidRDefault="00615769" w:rsidP="00F675CF">
            <w:pPr>
              <w:keepNext/>
              <w:jc w:val="center"/>
              <w:rPr>
                <w:del w:id="2008" w:author="AbbVie2" w:date="2025-05-13T16:36:00Z"/>
              </w:rPr>
            </w:pPr>
            <w:del w:id="2009" w:author="AbbVie2" w:date="2025-05-13T16:36:00Z">
              <w:r w:rsidRPr="008912CF">
                <w:rPr>
                  <w:sz w:val="22"/>
                  <w:szCs w:val="22"/>
                </w:rPr>
                <w:delText>40 mg em semanas alternadas</w:delText>
              </w:r>
            </w:del>
          </w:p>
        </w:tc>
        <w:tc>
          <w:tcPr>
            <w:tcW w:w="2000" w:type="dxa"/>
          </w:tcPr>
          <w:p w14:paraId="3764245D" w14:textId="13066E05" w:rsidR="004462A0" w:rsidRPr="008912CF" w:rsidRDefault="00615769" w:rsidP="00F675CF">
            <w:pPr>
              <w:keepNext/>
              <w:jc w:val="center"/>
              <w:rPr>
                <w:del w:id="2010" w:author="AbbVie2" w:date="2025-05-13T16:36:00Z"/>
              </w:rPr>
            </w:pPr>
            <w:del w:id="2011" w:author="AbbVie2" w:date="2025-05-13T16:36:00Z">
              <w:r w:rsidRPr="008912CF">
                <w:rPr>
                  <w:sz w:val="22"/>
                  <w:szCs w:val="22"/>
                </w:rPr>
                <w:delText>Placebo/MTX-Humira/MTX (95% Intervalo de confiança</w:delText>
              </w:r>
              <w:r w:rsidRPr="008912CF">
                <w:rPr>
                  <w:sz w:val="22"/>
                  <w:szCs w:val="22"/>
                  <w:vertAlign w:val="superscript"/>
                </w:rPr>
                <w:delText>b</w:delText>
              </w:r>
              <w:r w:rsidRPr="008912CF">
                <w:rPr>
                  <w:sz w:val="22"/>
                  <w:szCs w:val="22"/>
                </w:rPr>
                <w:delText>)</w:delText>
              </w:r>
            </w:del>
          </w:p>
        </w:tc>
        <w:tc>
          <w:tcPr>
            <w:tcW w:w="1548" w:type="dxa"/>
          </w:tcPr>
          <w:p w14:paraId="17D3DAB4" w14:textId="3812C8AA" w:rsidR="004462A0" w:rsidRPr="008912CF" w:rsidRDefault="00615769" w:rsidP="00F675CF">
            <w:pPr>
              <w:keepNext/>
              <w:jc w:val="center"/>
              <w:rPr>
                <w:del w:id="2012" w:author="AbbVie2" w:date="2025-05-13T16:36:00Z"/>
              </w:rPr>
            </w:pPr>
            <w:del w:id="2013" w:author="AbbVie2" w:date="2025-05-13T16:36:00Z">
              <w:r w:rsidRPr="008912CF">
                <w:rPr>
                  <w:sz w:val="22"/>
                  <w:szCs w:val="22"/>
                </w:rPr>
                <w:delText>valor</w:delText>
              </w:r>
              <w:r w:rsidR="004D006C">
                <w:rPr>
                  <w:sz w:val="22"/>
                  <w:szCs w:val="22"/>
                </w:rPr>
                <w:delText>-p</w:delText>
              </w:r>
            </w:del>
          </w:p>
        </w:tc>
      </w:tr>
      <w:tr w:rsidR="00A7162A" w14:paraId="30526388" w14:textId="71BE6D62" w:rsidTr="00F675CF">
        <w:trPr>
          <w:del w:id="2014" w:author="AbbVie2" w:date="2025-05-13T16:36:00Z"/>
        </w:trPr>
        <w:tc>
          <w:tcPr>
            <w:tcW w:w="2088" w:type="dxa"/>
          </w:tcPr>
          <w:p w14:paraId="23728DC4" w14:textId="0D52AC7B" w:rsidR="004462A0" w:rsidRPr="008912CF" w:rsidRDefault="00615769" w:rsidP="00F675CF">
            <w:pPr>
              <w:keepNext/>
              <w:jc w:val="center"/>
              <w:rPr>
                <w:del w:id="2015" w:author="AbbVie2" w:date="2025-05-13T16:36:00Z"/>
              </w:rPr>
            </w:pPr>
            <w:del w:id="2016" w:author="AbbVie2" w:date="2025-05-13T16:36:00Z">
              <w:r w:rsidRPr="008912CF">
                <w:rPr>
                  <w:sz w:val="22"/>
                  <w:szCs w:val="22"/>
                </w:rPr>
                <w:delText>Escala Total de Sharp</w:delText>
              </w:r>
            </w:del>
          </w:p>
        </w:tc>
        <w:tc>
          <w:tcPr>
            <w:tcW w:w="1430" w:type="dxa"/>
          </w:tcPr>
          <w:p w14:paraId="7CB557D0" w14:textId="69C040A1" w:rsidR="004462A0" w:rsidRPr="008912CF" w:rsidRDefault="00615769" w:rsidP="00F675CF">
            <w:pPr>
              <w:keepNext/>
              <w:jc w:val="center"/>
              <w:rPr>
                <w:del w:id="2017" w:author="AbbVie2" w:date="2025-05-13T16:36:00Z"/>
              </w:rPr>
            </w:pPr>
            <w:del w:id="2018" w:author="AbbVie2" w:date="2025-05-13T16:36:00Z">
              <w:r w:rsidRPr="008912CF">
                <w:rPr>
                  <w:sz w:val="22"/>
                  <w:szCs w:val="22"/>
                </w:rPr>
                <w:delText>2,7</w:delText>
              </w:r>
            </w:del>
          </w:p>
        </w:tc>
        <w:tc>
          <w:tcPr>
            <w:tcW w:w="1790" w:type="dxa"/>
          </w:tcPr>
          <w:p w14:paraId="53F6CEEE" w14:textId="305A0633" w:rsidR="004462A0" w:rsidRPr="008912CF" w:rsidRDefault="00615769" w:rsidP="00F675CF">
            <w:pPr>
              <w:keepNext/>
              <w:jc w:val="center"/>
              <w:rPr>
                <w:del w:id="2019" w:author="AbbVie2" w:date="2025-05-13T16:36:00Z"/>
              </w:rPr>
            </w:pPr>
            <w:del w:id="2020" w:author="AbbVie2" w:date="2025-05-13T16:36:00Z">
              <w:r w:rsidRPr="008912CF">
                <w:rPr>
                  <w:sz w:val="22"/>
                  <w:szCs w:val="22"/>
                </w:rPr>
                <w:delText>0,1</w:delText>
              </w:r>
            </w:del>
          </w:p>
        </w:tc>
        <w:tc>
          <w:tcPr>
            <w:tcW w:w="2000" w:type="dxa"/>
          </w:tcPr>
          <w:p w14:paraId="3E6D70C7" w14:textId="623DF0C0" w:rsidR="004462A0" w:rsidRPr="008912CF" w:rsidRDefault="00615769" w:rsidP="00F675CF">
            <w:pPr>
              <w:keepNext/>
              <w:jc w:val="center"/>
              <w:rPr>
                <w:del w:id="2021" w:author="AbbVie2" w:date="2025-05-13T16:36:00Z"/>
              </w:rPr>
            </w:pPr>
            <w:del w:id="2022" w:author="AbbVie2" w:date="2025-05-13T16:36:00Z">
              <w:r w:rsidRPr="008912CF">
                <w:rPr>
                  <w:sz w:val="22"/>
                  <w:szCs w:val="22"/>
                </w:rPr>
                <w:delText xml:space="preserve">2,6 (1,4, 3,8) </w:delText>
              </w:r>
            </w:del>
          </w:p>
        </w:tc>
        <w:tc>
          <w:tcPr>
            <w:tcW w:w="1548" w:type="dxa"/>
          </w:tcPr>
          <w:p w14:paraId="078C66DA" w14:textId="2292B88B" w:rsidR="004462A0" w:rsidRPr="008912CF" w:rsidRDefault="00615769" w:rsidP="00F675CF">
            <w:pPr>
              <w:keepNext/>
              <w:jc w:val="center"/>
              <w:rPr>
                <w:del w:id="2023" w:author="AbbVie2" w:date="2025-05-13T16:36:00Z"/>
                <w:vertAlign w:val="superscript"/>
              </w:rPr>
            </w:pPr>
            <w:del w:id="2024" w:author="AbbVie2" w:date="2025-05-13T16:36:00Z">
              <w:r w:rsidRPr="008912CF">
                <w:rPr>
                  <w:sz w:val="22"/>
                  <w:szCs w:val="22"/>
                </w:rPr>
                <w:delText>&lt; 0,001</w:delText>
              </w:r>
              <w:r w:rsidRPr="008912CF">
                <w:rPr>
                  <w:sz w:val="22"/>
                  <w:szCs w:val="22"/>
                  <w:vertAlign w:val="superscript"/>
                </w:rPr>
                <w:delText>c</w:delText>
              </w:r>
            </w:del>
          </w:p>
        </w:tc>
      </w:tr>
      <w:tr w:rsidR="00A7162A" w14:paraId="39A3D233" w14:textId="3FD58B6B" w:rsidTr="00F675CF">
        <w:trPr>
          <w:del w:id="2025" w:author="AbbVie2" w:date="2025-05-13T16:36:00Z"/>
        </w:trPr>
        <w:tc>
          <w:tcPr>
            <w:tcW w:w="2088" w:type="dxa"/>
          </w:tcPr>
          <w:p w14:paraId="63C123EF" w14:textId="442BC6E2" w:rsidR="004462A0" w:rsidRPr="008912CF" w:rsidRDefault="00615769" w:rsidP="00F675CF">
            <w:pPr>
              <w:keepNext/>
              <w:jc w:val="center"/>
              <w:rPr>
                <w:del w:id="2026" w:author="AbbVie2" w:date="2025-05-13T16:36:00Z"/>
              </w:rPr>
            </w:pPr>
            <w:del w:id="2027" w:author="AbbVie2" w:date="2025-05-13T16:36:00Z">
              <w:r w:rsidRPr="008912CF">
                <w:rPr>
                  <w:sz w:val="22"/>
                  <w:szCs w:val="22"/>
                </w:rPr>
                <w:delText>Escala de Erosão</w:delText>
              </w:r>
            </w:del>
          </w:p>
        </w:tc>
        <w:tc>
          <w:tcPr>
            <w:tcW w:w="1430" w:type="dxa"/>
          </w:tcPr>
          <w:p w14:paraId="038C6544" w14:textId="79BAD8EC" w:rsidR="004462A0" w:rsidRPr="008912CF" w:rsidRDefault="00615769" w:rsidP="00F675CF">
            <w:pPr>
              <w:keepNext/>
              <w:jc w:val="center"/>
              <w:rPr>
                <w:del w:id="2028" w:author="AbbVie2" w:date="2025-05-13T16:36:00Z"/>
              </w:rPr>
            </w:pPr>
            <w:del w:id="2029" w:author="AbbVie2" w:date="2025-05-13T16:36:00Z">
              <w:r w:rsidRPr="008912CF">
                <w:rPr>
                  <w:sz w:val="22"/>
                  <w:szCs w:val="22"/>
                </w:rPr>
                <w:delText>1,6</w:delText>
              </w:r>
            </w:del>
          </w:p>
        </w:tc>
        <w:tc>
          <w:tcPr>
            <w:tcW w:w="1790" w:type="dxa"/>
          </w:tcPr>
          <w:p w14:paraId="3C158239" w14:textId="53E4EABA" w:rsidR="004462A0" w:rsidRPr="008912CF" w:rsidRDefault="00615769" w:rsidP="00F675CF">
            <w:pPr>
              <w:keepNext/>
              <w:jc w:val="center"/>
              <w:rPr>
                <w:del w:id="2030" w:author="AbbVie2" w:date="2025-05-13T16:36:00Z"/>
              </w:rPr>
            </w:pPr>
            <w:del w:id="2031" w:author="AbbVie2" w:date="2025-05-13T16:36:00Z">
              <w:r w:rsidRPr="008912CF">
                <w:rPr>
                  <w:sz w:val="22"/>
                  <w:szCs w:val="22"/>
                </w:rPr>
                <w:delText>0,0</w:delText>
              </w:r>
            </w:del>
          </w:p>
        </w:tc>
        <w:tc>
          <w:tcPr>
            <w:tcW w:w="2000" w:type="dxa"/>
          </w:tcPr>
          <w:p w14:paraId="2031981B" w14:textId="7CE679C4" w:rsidR="004462A0" w:rsidRPr="008912CF" w:rsidRDefault="00615769" w:rsidP="00F675CF">
            <w:pPr>
              <w:keepNext/>
              <w:jc w:val="center"/>
              <w:rPr>
                <w:del w:id="2032" w:author="AbbVie2" w:date="2025-05-13T16:36:00Z"/>
              </w:rPr>
            </w:pPr>
            <w:del w:id="2033" w:author="AbbVie2" w:date="2025-05-13T16:36:00Z">
              <w:r w:rsidRPr="008912CF">
                <w:rPr>
                  <w:sz w:val="22"/>
                  <w:szCs w:val="22"/>
                </w:rPr>
                <w:delText>1,6 (0,9, 2,2)</w:delText>
              </w:r>
            </w:del>
          </w:p>
        </w:tc>
        <w:tc>
          <w:tcPr>
            <w:tcW w:w="1548" w:type="dxa"/>
          </w:tcPr>
          <w:p w14:paraId="29A4FDA8" w14:textId="422FD39A" w:rsidR="004462A0" w:rsidRPr="008912CF" w:rsidRDefault="00615769" w:rsidP="00F675CF">
            <w:pPr>
              <w:keepNext/>
              <w:jc w:val="center"/>
              <w:rPr>
                <w:del w:id="2034" w:author="AbbVie2" w:date="2025-05-13T16:36:00Z"/>
              </w:rPr>
            </w:pPr>
            <w:del w:id="2035" w:author="AbbVie2" w:date="2025-05-13T16:36:00Z">
              <w:r w:rsidRPr="008912CF">
                <w:rPr>
                  <w:sz w:val="22"/>
                  <w:szCs w:val="22"/>
                </w:rPr>
                <w:delText>&lt; 0,001</w:delText>
              </w:r>
            </w:del>
          </w:p>
        </w:tc>
      </w:tr>
      <w:tr w:rsidR="00A7162A" w14:paraId="6E7C67DB" w14:textId="4990D69D" w:rsidTr="00F675CF">
        <w:trPr>
          <w:del w:id="2036" w:author="AbbVie2" w:date="2025-05-13T16:36:00Z"/>
        </w:trPr>
        <w:tc>
          <w:tcPr>
            <w:tcW w:w="2088" w:type="dxa"/>
          </w:tcPr>
          <w:p w14:paraId="5CC3C2E5" w14:textId="45A67CAC" w:rsidR="004462A0" w:rsidRPr="008912CF" w:rsidRDefault="00615769" w:rsidP="00F675CF">
            <w:pPr>
              <w:keepNext/>
              <w:jc w:val="center"/>
              <w:rPr>
                <w:del w:id="2037" w:author="AbbVie2" w:date="2025-05-13T16:36:00Z"/>
              </w:rPr>
            </w:pPr>
            <w:del w:id="2038" w:author="AbbVie2" w:date="2025-05-13T16:36:00Z">
              <w:r w:rsidRPr="008912CF">
                <w:rPr>
                  <w:sz w:val="22"/>
                  <w:szCs w:val="22"/>
                </w:rPr>
                <w:delText>Escala de JSN</w:delText>
              </w:r>
              <w:r w:rsidRPr="008912CF">
                <w:rPr>
                  <w:sz w:val="22"/>
                  <w:szCs w:val="22"/>
                  <w:vertAlign w:val="superscript"/>
                </w:rPr>
                <w:delText>d</w:delText>
              </w:r>
              <w:r w:rsidRPr="008912CF">
                <w:rPr>
                  <w:sz w:val="22"/>
                  <w:szCs w:val="22"/>
                </w:rPr>
                <w:delText xml:space="preserve"> </w:delText>
              </w:r>
            </w:del>
          </w:p>
        </w:tc>
        <w:tc>
          <w:tcPr>
            <w:tcW w:w="1430" w:type="dxa"/>
          </w:tcPr>
          <w:p w14:paraId="5D18B942" w14:textId="4FDD0C91" w:rsidR="004462A0" w:rsidRPr="008912CF" w:rsidRDefault="00615769" w:rsidP="00F675CF">
            <w:pPr>
              <w:keepNext/>
              <w:jc w:val="center"/>
              <w:rPr>
                <w:del w:id="2039" w:author="AbbVie2" w:date="2025-05-13T16:36:00Z"/>
              </w:rPr>
            </w:pPr>
            <w:del w:id="2040" w:author="AbbVie2" w:date="2025-05-13T16:36:00Z">
              <w:r w:rsidRPr="008912CF">
                <w:rPr>
                  <w:sz w:val="22"/>
                  <w:szCs w:val="22"/>
                </w:rPr>
                <w:delText>1,0</w:delText>
              </w:r>
            </w:del>
          </w:p>
        </w:tc>
        <w:tc>
          <w:tcPr>
            <w:tcW w:w="1790" w:type="dxa"/>
          </w:tcPr>
          <w:p w14:paraId="188812AA" w14:textId="746BBA1A" w:rsidR="004462A0" w:rsidRPr="008912CF" w:rsidRDefault="00615769" w:rsidP="00F675CF">
            <w:pPr>
              <w:keepNext/>
              <w:jc w:val="center"/>
              <w:rPr>
                <w:del w:id="2041" w:author="AbbVie2" w:date="2025-05-13T16:36:00Z"/>
              </w:rPr>
            </w:pPr>
            <w:del w:id="2042" w:author="AbbVie2" w:date="2025-05-13T16:36:00Z">
              <w:r w:rsidRPr="008912CF">
                <w:rPr>
                  <w:sz w:val="22"/>
                  <w:szCs w:val="22"/>
                </w:rPr>
                <w:delText>0,1</w:delText>
              </w:r>
            </w:del>
          </w:p>
        </w:tc>
        <w:tc>
          <w:tcPr>
            <w:tcW w:w="2000" w:type="dxa"/>
          </w:tcPr>
          <w:p w14:paraId="3740B6A3" w14:textId="29C36654" w:rsidR="004462A0" w:rsidRPr="008912CF" w:rsidRDefault="00615769" w:rsidP="00F675CF">
            <w:pPr>
              <w:keepNext/>
              <w:jc w:val="center"/>
              <w:rPr>
                <w:del w:id="2043" w:author="AbbVie2" w:date="2025-05-13T16:36:00Z"/>
              </w:rPr>
            </w:pPr>
            <w:del w:id="2044" w:author="AbbVie2" w:date="2025-05-13T16:36:00Z">
              <w:r w:rsidRPr="008912CF">
                <w:rPr>
                  <w:sz w:val="22"/>
                  <w:szCs w:val="22"/>
                </w:rPr>
                <w:delText>0,9 (0,3, 1,4)</w:delText>
              </w:r>
            </w:del>
          </w:p>
        </w:tc>
        <w:tc>
          <w:tcPr>
            <w:tcW w:w="1548" w:type="dxa"/>
          </w:tcPr>
          <w:p w14:paraId="48AB4B81" w14:textId="5E4CF646" w:rsidR="004462A0" w:rsidRPr="008912CF" w:rsidRDefault="00615769" w:rsidP="00F675CF">
            <w:pPr>
              <w:keepNext/>
              <w:jc w:val="center"/>
              <w:rPr>
                <w:del w:id="2045" w:author="AbbVie2" w:date="2025-05-13T16:36:00Z"/>
              </w:rPr>
            </w:pPr>
            <w:del w:id="2046" w:author="AbbVie2" w:date="2025-05-13T16:36:00Z">
              <w:r w:rsidRPr="008912CF">
                <w:rPr>
                  <w:sz w:val="22"/>
                  <w:szCs w:val="22"/>
                </w:rPr>
                <w:delText xml:space="preserve">  0,002</w:delText>
              </w:r>
            </w:del>
          </w:p>
        </w:tc>
      </w:tr>
    </w:tbl>
    <w:p w14:paraId="35A92E27" w14:textId="3325182E" w:rsidR="004462A0" w:rsidRPr="008912CF" w:rsidRDefault="00615769" w:rsidP="004462A0">
      <w:pPr>
        <w:pStyle w:val="In-textfootnote"/>
        <w:spacing w:line="240" w:lineRule="auto"/>
        <w:rPr>
          <w:del w:id="2047" w:author="AbbVie2" w:date="2025-05-13T16:36:00Z"/>
          <w:rFonts w:ascii="Times New Roman" w:hAnsi="Times New Roman"/>
          <w:sz w:val="22"/>
          <w:szCs w:val="22"/>
          <w:lang w:val="pt-PT"/>
        </w:rPr>
      </w:pPr>
      <w:del w:id="2048" w:author="AbbVie2" w:date="2025-05-13T16:36:00Z">
        <w:r w:rsidRPr="008912CF">
          <w:rPr>
            <w:rFonts w:ascii="Times New Roman" w:hAnsi="Times New Roman"/>
            <w:b/>
            <w:bCs/>
            <w:sz w:val="22"/>
            <w:szCs w:val="22"/>
            <w:vertAlign w:val="superscript"/>
            <w:lang w:val="pt-PT"/>
          </w:rPr>
          <w:delText xml:space="preserve">a </w:delText>
        </w:r>
        <w:r w:rsidRPr="008912CF">
          <w:rPr>
            <w:rFonts w:ascii="Times New Roman" w:hAnsi="Times New Roman"/>
            <w:sz w:val="22"/>
            <w:szCs w:val="22"/>
            <w:lang w:val="pt-PT"/>
          </w:rPr>
          <w:delText>Metotrexato</w:delText>
        </w:r>
      </w:del>
    </w:p>
    <w:p w14:paraId="365C4FBB" w14:textId="047770DB" w:rsidR="004462A0" w:rsidRPr="008912CF" w:rsidRDefault="00615769" w:rsidP="004462A0">
      <w:pPr>
        <w:pStyle w:val="In-textfootnote"/>
        <w:spacing w:line="240" w:lineRule="auto"/>
        <w:rPr>
          <w:del w:id="2049" w:author="AbbVie2" w:date="2025-05-13T16:36:00Z"/>
          <w:rFonts w:ascii="Times New Roman" w:hAnsi="Times New Roman"/>
          <w:sz w:val="22"/>
          <w:szCs w:val="22"/>
          <w:lang w:val="pt-PT"/>
        </w:rPr>
      </w:pPr>
      <w:del w:id="2050" w:author="AbbVie2" w:date="2025-05-13T16:36:00Z">
        <w:r w:rsidRPr="008912CF">
          <w:rPr>
            <w:rFonts w:ascii="Times New Roman" w:hAnsi="Times New Roman"/>
            <w:sz w:val="22"/>
            <w:szCs w:val="22"/>
            <w:vertAlign w:val="superscript"/>
            <w:lang w:val="pt-PT"/>
          </w:rPr>
          <w:delText xml:space="preserve">b </w:delText>
        </w:r>
        <w:r w:rsidRPr="008912CF">
          <w:rPr>
            <w:rFonts w:ascii="Times New Roman" w:hAnsi="Times New Roman"/>
            <w:sz w:val="22"/>
            <w:szCs w:val="22"/>
            <w:lang w:val="pt-PT"/>
          </w:rPr>
          <w:delText>Intervalo de confiança de 95</w:delText>
        </w:r>
        <w:r w:rsidR="009343EF">
          <w:rPr>
            <w:rFonts w:ascii="Times New Roman" w:hAnsi="Times New Roman"/>
            <w:sz w:val="22"/>
            <w:szCs w:val="22"/>
            <w:lang w:val="pt-PT"/>
          </w:rPr>
          <w:delText>%</w:delText>
        </w:r>
        <w:r w:rsidRPr="008912CF">
          <w:rPr>
            <w:rFonts w:ascii="Times New Roman" w:hAnsi="Times New Roman"/>
            <w:sz w:val="22"/>
            <w:szCs w:val="22"/>
            <w:lang w:val="pt-PT"/>
          </w:rPr>
          <w:delText xml:space="preserve"> para as diferenças nas alterações das escalas entre metotrexato e Humira. </w:delText>
        </w:r>
      </w:del>
    </w:p>
    <w:p w14:paraId="0E6B904E" w14:textId="48A46FA8" w:rsidR="004462A0" w:rsidRPr="008912CF" w:rsidRDefault="00615769" w:rsidP="004462A0">
      <w:pPr>
        <w:pStyle w:val="In-textfootnote"/>
        <w:spacing w:line="240" w:lineRule="auto"/>
        <w:rPr>
          <w:del w:id="2051" w:author="AbbVie2" w:date="2025-05-13T16:36:00Z"/>
          <w:rFonts w:ascii="Times New Roman" w:hAnsi="Times New Roman"/>
          <w:sz w:val="22"/>
          <w:szCs w:val="22"/>
          <w:lang w:val="pt-PT"/>
        </w:rPr>
      </w:pPr>
      <w:del w:id="2052" w:author="AbbVie2" w:date="2025-05-13T16:36:00Z">
        <w:r w:rsidRPr="008912CF">
          <w:rPr>
            <w:rFonts w:ascii="Times New Roman" w:hAnsi="Times New Roman"/>
            <w:sz w:val="22"/>
            <w:szCs w:val="22"/>
            <w:vertAlign w:val="superscript"/>
            <w:lang w:val="pt-PT"/>
          </w:rPr>
          <w:delText xml:space="preserve">c </w:delText>
        </w:r>
        <w:r w:rsidRPr="008912CF">
          <w:rPr>
            <w:rFonts w:ascii="Times New Roman" w:hAnsi="Times New Roman"/>
            <w:sz w:val="22"/>
            <w:szCs w:val="22"/>
            <w:lang w:val="pt-PT"/>
          </w:rPr>
          <w:delText>Com base em análise estatística</w:delText>
        </w:r>
      </w:del>
    </w:p>
    <w:p w14:paraId="4F8BABDE" w14:textId="1D943449" w:rsidR="004462A0" w:rsidRPr="008912CF" w:rsidRDefault="00615769" w:rsidP="004462A0">
      <w:pPr>
        <w:keepNext/>
        <w:rPr>
          <w:del w:id="2053" w:author="AbbVie2" w:date="2025-05-13T16:36:00Z"/>
          <w:sz w:val="22"/>
          <w:szCs w:val="22"/>
          <w:highlight w:val="yellow"/>
        </w:rPr>
      </w:pPr>
      <w:del w:id="2054" w:author="AbbVie2" w:date="2025-05-13T16:36:00Z">
        <w:r w:rsidRPr="008912CF">
          <w:rPr>
            <w:sz w:val="22"/>
            <w:szCs w:val="22"/>
            <w:vertAlign w:val="superscript"/>
          </w:rPr>
          <w:delText>d</w:delText>
        </w:r>
        <w:r w:rsidRPr="008912CF">
          <w:rPr>
            <w:sz w:val="22"/>
            <w:szCs w:val="22"/>
          </w:rPr>
          <w:delText xml:space="preserve"> Estreitamento do Espaço Articular</w:delText>
        </w:r>
      </w:del>
    </w:p>
    <w:p w14:paraId="3C4D51F2" w14:textId="59A69974" w:rsidR="004462A0" w:rsidRPr="008912CF" w:rsidRDefault="004462A0" w:rsidP="004462A0">
      <w:pPr>
        <w:pStyle w:val="Heading7"/>
        <w:keepNext w:val="0"/>
        <w:spacing w:line="240" w:lineRule="auto"/>
        <w:jc w:val="left"/>
        <w:rPr>
          <w:del w:id="2055" w:author="AbbVie2" w:date="2025-05-13T16:36:00Z"/>
          <w:i w:val="0"/>
          <w:szCs w:val="22"/>
          <w:u w:val="single"/>
        </w:rPr>
      </w:pPr>
    </w:p>
    <w:p w14:paraId="7D4D72C6" w14:textId="3BCEE527" w:rsidR="004462A0" w:rsidRPr="008912CF" w:rsidRDefault="00615769" w:rsidP="004462A0">
      <w:pPr>
        <w:rPr>
          <w:del w:id="2056" w:author="AbbVie2" w:date="2025-05-13T16:36:00Z"/>
          <w:sz w:val="22"/>
          <w:szCs w:val="22"/>
        </w:rPr>
      </w:pPr>
      <w:del w:id="2057" w:author="AbbVie2" w:date="2025-05-13T16:36:00Z">
        <w:r w:rsidRPr="008912CF">
          <w:rPr>
            <w:sz w:val="22"/>
            <w:szCs w:val="22"/>
          </w:rPr>
          <w:delText xml:space="preserve">No estudo AR V, a lesão estrutural articular foi avaliada radiologicamente e expressa como alteração na Escala Total de Sharp modificada (ver Tabela </w:delText>
        </w:r>
        <w:r w:rsidR="00D01EDE">
          <w:rPr>
            <w:sz w:val="22"/>
            <w:szCs w:val="22"/>
          </w:rPr>
          <w:delText>1</w:delText>
        </w:r>
        <w:r w:rsidR="00D0749B">
          <w:rPr>
            <w:sz w:val="22"/>
            <w:szCs w:val="22"/>
          </w:rPr>
          <w:delText>1</w:delText>
        </w:r>
        <w:r w:rsidRPr="008912CF">
          <w:rPr>
            <w:sz w:val="22"/>
            <w:szCs w:val="22"/>
          </w:rPr>
          <w:delText>).</w:delText>
        </w:r>
      </w:del>
    </w:p>
    <w:p w14:paraId="1F39092C" w14:textId="0B39CE08" w:rsidR="004462A0" w:rsidRPr="008912CF" w:rsidRDefault="004462A0" w:rsidP="004462A0">
      <w:pPr>
        <w:rPr>
          <w:del w:id="2058" w:author="AbbVie2" w:date="2025-05-13T16:36:00Z"/>
          <w:sz w:val="22"/>
          <w:szCs w:val="22"/>
        </w:rPr>
      </w:pPr>
    </w:p>
    <w:tbl>
      <w:tblPr>
        <w:tblW w:w="8910" w:type="dxa"/>
        <w:tblInd w:w="108" w:type="dxa"/>
        <w:tblLayout w:type="fixed"/>
        <w:tblLook w:val="0000" w:firstRow="0" w:lastRow="0" w:firstColumn="0" w:lastColumn="0" w:noHBand="0" w:noVBand="0"/>
      </w:tblPr>
      <w:tblGrid>
        <w:gridCol w:w="1430"/>
        <w:gridCol w:w="1540"/>
        <w:gridCol w:w="1430"/>
        <w:gridCol w:w="1600"/>
        <w:gridCol w:w="930"/>
        <w:gridCol w:w="990"/>
        <w:gridCol w:w="990"/>
      </w:tblGrid>
      <w:tr w:rsidR="00A7162A" w14:paraId="26FE2407" w14:textId="472E32C7" w:rsidTr="00F675CF">
        <w:trPr>
          <w:cantSplit/>
          <w:del w:id="2059" w:author="AbbVie2" w:date="2025-05-13T16:36:00Z"/>
        </w:trPr>
        <w:tc>
          <w:tcPr>
            <w:tcW w:w="8910" w:type="dxa"/>
            <w:gridSpan w:val="7"/>
            <w:tcBorders>
              <w:bottom w:val="single" w:sz="4" w:space="0" w:color="auto"/>
            </w:tcBorders>
          </w:tcPr>
          <w:p w14:paraId="6A219E8B" w14:textId="6640E203" w:rsidR="004462A0" w:rsidRPr="008912CF" w:rsidRDefault="00615769" w:rsidP="00F675CF">
            <w:pPr>
              <w:pStyle w:val="Heading9"/>
              <w:keepNext w:val="0"/>
              <w:jc w:val="center"/>
              <w:rPr>
                <w:del w:id="2060" w:author="AbbVie2" w:date="2025-05-13T16:36:00Z"/>
                <w:b/>
                <w:bCs/>
                <w:u w:val="none"/>
              </w:rPr>
            </w:pPr>
            <w:del w:id="2061" w:author="AbbVie2" w:date="2025-05-13T16:36:00Z">
              <w:r w:rsidRPr="008912CF">
                <w:rPr>
                  <w:b/>
                  <w:bCs/>
                  <w:szCs w:val="22"/>
                  <w:u w:val="none"/>
                </w:rPr>
                <w:delText xml:space="preserve">Tabela </w:delText>
              </w:r>
              <w:r w:rsidR="00D01EDE">
                <w:rPr>
                  <w:b/>
                  <w:bCs/>
                  <w:szCs w:val="22"/>
                  <w:u w:val="none"/>
                </w:rPr>
                <w:delText>1</w:delText>
              </w:r>
              <w:r w:rsidR="00D105CA">
                <w:rPr>
                  <w:b/>
                  <w:bCs/>
                  <w:szCs w:val="22"/>
                  <w:u w:val="none"/>
                </w:rPr>
                <w:delText>1</w:delText>
              </w:r>
            </w:del>
          </w:p>
          <w:p w14:paraId="26CC383A" w14:textId="40E2F2F0" w:rsidR="004462A0" w:rsidRPr="008912CF" w:rsidRDefault="00615769" w:rsidP="00F675CF">
            <w:pPr>
              <w:pStyle w:val="Heading9"/>
              <w:keepNext w:val="0"/>
              <w:jc w:val="center"/>
              <w:rPr>
                <w:del w:id="2062" w:author="AbbVie2" w:date="2025-05-13T16:36:00Z"/>
                <w:b/>
                <w:bCs/>
                <w:highlight w:val="cyan"/>
                <w:u w:val="none"/>
              </w:rPr>
            </w:pPr>
            <w:del w:id="2063" w:author="AbbVie2" w:date="2025-05-13T16:36:00Z">
              <w:r w:rsidRPr="008912CF">
                <w:rPr>
                  <w:b/>
                  <w:bCs/>
                  <w:szCs w:val="22"/>
                  <w:u w:val="none"/>
                </w:rPr>
                <w:delText xml:space="preserve">Alteração Média Radiológica </w:delText>
              </w:r>
              <w:r w:rsidR="00FB0C02">
                <w:rPr>
                  <w:b/>
                  <w:bCs/>
                  <w:szCs w:val="22"/>
                  <w:u w:val="none"/>
                </w:rPr>
                <w:delText>à</w:delText>
              </w:r>
              <w:r w:rsidRPr="008912CF">
                <w:rPr>
                  <w:b/>
                  <w:bCs/>
                  <w:szCs w:val="22"/>
                  <w:u w:val="none"/>
                </w:rPr>
                <w:delText xml:space="preserve"> Semana</w:delText>
              </w:r>
              <w:r>
                <w:rPr>
                  <w:b/>
                  <w:bCs/>
                  <w:szCs w:val="22"/>
                  <w:u w:val="none"/>
                </w:rPr>
                <w:delText> </w:delText>
              </w:r>
              <w:r w:rsidRPr="008912CF">
                <w:rPr>
                  <w:b/>
                  <w:bCs/>
                  <w:szCs w:val="22"/>
                  <w:u w:val="none"/>
                </w:rPr>
                <w:delText>52 no Estudo AR V</w:delText>
              </w:r>
            </w:del>
          </w:p>
          <w:p w14:paraId="0395DAF9" w14:textId="5D8EB7CE" w:rsidR="004462A0" w:rsidRPr="008912CF" w:rsidRDefault="004462A0" w:rsidP="00F675CF">
            <w:pPr>
              <w:rPr>
                <w:del w:id="2064" w:author="AbbVie2" w:date="2025-05-13T16:36:00Z"/>
              </w:rPr>
            </w:pPr>
          </w:p>
        </w:tc>
      </w:tr>
      <w:tr w:rsidR="00A7162A" w14:paraId="04D4B99A" w14:textId="500F2BE0" w:rsidTr="00F675CF">
        <w:trPr>
          <w:del w:id="2065" w:author="AbbVie2" w:date="2025-05-13T16:36:00Z"/>
        </w:trPr>
        <w:tc>
          <w:tcPr>
            <w:tcW w:w="1430" w:type="dxa"/>
            <w:tcBorders>
              <w:top w:val="single" w:sz="4" w:space="0" w:color="auto"/>
              <w:left w:val="single" w:sz="4" w:space="0" w:color="auto"/>
              <w:bottom w:val="single" w:sz="4" w:space="0" w:color="auto"/>
              <w:right w:val="single" w:sz="4" w:space="0" w:color="auto"/>
            </w:tcBorders>
            <w:vAlign w:val="center"/>
          </w:tcPr>
          <w:p w14:paraId="7EB8E267" w14:textId="525EC712" w:rsidR="004462A0" w:rsidRPr="008912CF" w:rsidRDefault="004462A0" w:rsidP="00F675CF">
            <w:pPr>
              <w:rPr>
                <w:del w:id="2066" w:author="AbbVie2" w:date="2025-05-13T16:36:00Z"/>
              </w:rPr>
            </w:pPr>
          </w:p>
        </w:tc>
        <w:tc>
          <w:tcPr>
            <w:tcW w:w="1540" w:type="dxa"/>
            <w:tcBorders>
              <w:top w:val="single" w:sz="4" w:space="0" w:color="auto"/>
              <w:left w:val="single" w:sz="4" w:space="0" w:color="auto"/>
              <w:bottom w:val="single" w:sz="4" w:space="0" w:color="auto"/>
              <w:right w:val="single" w:sz="4" w:space="0" w:color="auto"/>
            </w:tcBorders>
            <w:vAlign w:val="center"/>
          </w:tcPr>
          <w:p w14:paraId="15D27CA9" w14:textId="5E76A38B" w:rsidR="004462A0" w:rsidRPr="008912CF" w:rsidRDefault="00615769" w:rsidP="00F675CF">
            <w:pPr>
              <w:jc w:val="center"/>
              <w:rPr>
                <w:del w:id="2067" w:author="AbbVie2" w:date="2025-05-13T16:36:00Z"/>
              </w:rPr>
            </w:pPr>
            <w:del w:id="2068" w:author="AbbVie2" w:date="2025-05-13T16:36:00Z">
              <w:r w:rsidRPr="008912CF">
                <w:rPr>
                  <w:sz w:val="22"/>
                  <w:szCs w:val="22"/>
                </w:rPr>
                <w:delText>MTX</w:delText>
              </w:r>
            </w:del>
          </w:p>
          <w:p w14:paraId="470520F5" w14:textId="58DFB549" w:rsidR="004462A0" w:rsidRPr="008912CF" w:rsidRDefault="00615769" w:rsidP="00F675CF">
            <w:pPr>
              <w:jc w:val="center"/>
              <w:rPr>
                <w:del w:id="2069" w:author="AbbVie2" w:date="2025-05-13T16:36:00Z"/>
              </w:rPr>
            </w:pPr>
            <w:del w:id="2070" w:author="AbbVie2" w:date="2025-05-13T16:36:00Z">
              <w:r w:rsidRPr="008912CF">
                <w:rPr>
                  <w:sz w:val="22"/>
                  <w:szCs w:val="22"/>
                </w:rPr>
                <w:delText>n = 257</w:delText>
              </w:r>
            </w:del>
          </w:p>
          <w:p w14:paraId="2ACE2E5F" w14:textId="737D76A6" w:rsidR="004462A0" w:rsidRPr="008912CF" w:rsidRDefault="00615769" w:rsidP="00F675CF">
            <w:pPr>
              <w:jc w:val="center"/>
              <w:rPr>
                <w:del w:id="2071" w:author="AbbVie2" w:date="2025-05-13T16:36:00Z"/>
              </w:rPr>
            </w:pPr>
            <w:del w:id="2072" w:author="AbbVie2" w:date="2025-05-13T16:36:00Z">
              <w:r w:rsidRPr="008912CF">
                <w:rPr>
                  <w:sz w:val="22"/>
                  <w:szCs w:val="22"/>
                </w:rPr>
                <w:delText>(95% intervalo de confiança)</w:delText>
              </w:r>
            </w:del>
          </w:p>
        </w:tc>
        <w:tc>
          <w:tcPr>
            <w:tcW w:w="1430" w:type="dxa"/>
            <w:tcBorders>
              <w:top w:val="single" w:sz="4" w:space="0" w:color="auto"/>
              <w:left w:val="single" w:sz="4" w:space="0" w:color="auto"/>
              <w:bottom w:val="single" w:sz="4" w:space="0" w:color="auto"/>
              <w:right w:val="single" w:sz="4" w:space="0" w:color="auto"/>
            </w:tcBorders>
            <w:vAlign w:val="center"/>
          </w:tcPr>
          <w:p w14:paraId="42D5C469" w14:textId="6CF667AA" w:rsidR="004462A0" w:rsidRPr="008912CF" w:rsidRDefault="00615769" w:rsidP="00F675CF">
            <w:pPr>
              <w:jc w:val="center"/>
              <w:rPr>
                <w:del w:id="2073" w:author="AbbVie2" w:date="2025-05-13T16:36:00Z"/>
              </w:rPr>
            </w:pPr>
            <w:del w:id="2074" w:author="AbbVie2" w:date="2025-05-13T16:36:00Z">
              <w:r w:rsidRPr="008912CF">
                <w:rPr>
                  <w:sz w:val="22"/>
                  <w:szCs w:val="22"/>
                </w:rPr>
                <w:delText>Humira</w:delText>
              </w:r>
            </w:del>
          </w:p>
          <w:p w14:paraId="1DDCB814" w14:textId="7AF1CDBC" w:rsidR="004462A0" w:rsidRPr="008912CF" w:rsidRDefault="00615769" w:rsidP="00F675CF">
            <w:pPr>
              <w:pStyle w:val="EMEAFigureTitle"/>
              <w:jc w:val="center"/>
              <w:rPr>
                <w:del w:id="2075" w:author="AbbVie2" w:date="2025-05-13T16:36:00Z"/>
                <w:szCs w:val="22"/>
                <w:lang w:val="pt-PT"/>
              </w:rPr>
            </w:pPr>
            <w:del w:id="2076" w:author="AbbVie2" w:date="2025-05-13T16:36:00Z">
              <w:r w:rsidRPr="008912CF">
                <w:rPr>
                  <w:szCs w:val="22"/>
                  <w:lang w:val="pt-PT"/>
                </w:rPr>
                <w:delText>n = 274</w:delText>
              </w:r>
            </w:del>
          </w:p>
          <w:p w14:paraId="378E9921" w14:textId="130CA5A1" w:rsidR="004462A0" w:rsidRPr="008912CF" w:rsidRDefault="00615769" w:rsidP="00F675CF">
            <w:pPr>
              <w:jc w:val="center"/>
              <w:rPr>
                <w:del w:id="2077" w:author="AbbVie2" w:date="2025-05-13T16:36:00Z"/>
              </w:rPr>
            </w:pPr>
            <w:del w:id="2078" w:author="AbbVie2" w:date="2025-05-13T16:36:00Z">
              <w:r w:rsidRPr="008912CF">
                <w:rPr>
                  <w:sz w:val="22"/>
                  <w:szCs w:val="22"/>
                </w:rPr>
                <w:delText>(95% intervalo de confiança)</w:delText>
              </w:r>
            </w:del>
          </w:p>
        </w:tc>
        <w:tc>
          <w:tcPr>
            <w:tcW w:w="1600" w:type="dxa"/>
            <w:tcBorders>
              <w:top w:val="single" w:sz="4" w:space="0" w:color="auto"/>
              <w:left w:val="single" w:sz="4" w:space="0" w:color="auto"/>
              <w:bottom w:val="single" w:sz="4" w:space="0" w:color="auto"/>
              <w:right w:val="single" w:sz="4" w:space="0" w:color="auto"/>
            </w:tcBorders>
            <w:vAlign w:val="center"/>
          </w:tcPr>
          <w:p w14:paraId="749553DD" w14:textId="55E21B0C" w:rsidR="004462A0" w:rsidRPr="008912CF" w:rsidRDefault="00615769" w:rsidP="00F675CF">
            <w:pPr>
              <w:jc w:val="center"/>
              <w:rPr>
                <w:del w:id="2079" w:author="AbbVie2" w:date="2025-05-13T16:36:00Z"/>
              </w:rPr>
            </w:pPr>
            <w:del w:id="2080" w:author="AbbVie2" w:date="2025-05-13T16:36:00Z">
              <w:r w:rsidRPr="008912CF">
                <w:rPr>
                  <w:sz w:val="22"/>
                  <w:szCs w:val="22"/>
                </w:rPr>
                <w:delText>Humira/MTX</w:delText>
              </w:r>
            </w:del>
          </w:p>
          <w:p w14:paraId="1FBF2D10" w14:textId="1DDFD2EF" w:rsidR="004462A0" w:rsidRPr="008912CF" w:rsidRDefault="00615769" w:rsidP="00F675CF">
            <w:pPr>
              <w:pStyle w:val="EMEAFigureTitle"/>
              <w:jc w:val="center"/>
              <w:rPr>
                <w:del w:id="2081" w:author="AbbVie2" w:date="2025-05-13T16:36:00Z"/>
                <w:szCs w:val="22"/>
                <w:lang w:val="pt-PT"/>
              </w:rPr>
            </w:pPr>
            <w:del w:id="2082" w:author="AbbVie2" w:date="2025-05-13T16:36:00Z">
              <w:r w:rsidRPr="008912CF">
                <w:rPr>
                  <w:szCs w:val="22"/>
                  <w:lang w:val="pt-PT"/>
                </w:rPr>
                <w:delText>n = 268</w:delText>
              </w:r>
            </w:del>
          </w:p>
          <w:p w14:paraId="04308852" w14:textId="12A2B44A" w:rsidR="004462A0" w:rsidRPr="008912CF" w:rsidRDefault="00615769" w:rsidP="00F675CF">
            <w:pPr>
              <w:pStyle w:val="EMEANormal"/>
              <w:jc w:val="center"/>
              <w:rPr>
                <w:del w:id="2083" w:author="AbbVie2" w:date="2025-05-13T16:36:00Z"/>
                <w:szCs w:val="22"/>
                <w:lang w:val="pt-PT"/>
              </w:rPr>
            </w:pPr>
            <w:del w:id="2084" w:author="AbbVie2" w:date="2025-05-13T16:36:00Z">
              <w:r w:rsidRPr="008912CF">
                <w:rPr>
                  <w:szCs w:val="22"/>
                  <w:lang w:val="pt-PT"/>
                </w:rPr>
                <w:delText>(95% intervalo de confiança)</w:delText>
              </w:r>
            </w:del>
          </w:p>
        </w:tc>
        <w:tc>
          <w:tcPr>
            <w:tcW w:w="930" w:type="dxa"/>
            <w:tcBorders>
              <w:top w:val="single" w:sz="4" w:space="0" w:color="auto"/>
              <w:left w:val="single" w:sz="4" w:space="0" w:color="auto"/>
              <w:bottom w:val="single" w:sz="4" w:space="0" w:color="auto"/>
              <w:right w:val="single" w:sz="4" w:space="0" w:color="auto"/>
            </w:tcBorders>
            <w:vAlign w:val="center"/>
          </w:tcPr>
          <w:p w14:paraId="54EA6C88" w14:textId="35EDD20E" w:rsidR="004462A0" w:rsidRPr="008912CF" w:rsidRDefault="00615769" w:rsidP="00F675CF">
            <w:pPr>
              <w:pStyle w:val="EMEANormal"/>
              <w:jc w:val="center"/>
              <w:rPr>
                <w:del w:id="2085" w:author="AbbVie2" w:date="2025-05-13T16:36:00Z"/>
                <w:szCs w:val="22"/>
                <w:lang w:val="pt-PT"/>
              </w:rPr>
            </w:pPr>
            <w:del w:id="2086" w:author="AbbVie2" w:date="2025-05-13T16:36:00Z">
              <w:r w:rsidRPr="008912CF">
                <w:rPr>
                  <w:szCs w:val="22"/>
                  <w:lang w:val="pt-PT"/>
                </w:rPr>
                <w:delText>valor</w:delText>
              </w:r>
              <w:r w:rsidR="004D006C">
                <w:rPr>
                  <w:szCs w:val="22"/>
                  <w:lang w:val="pt-PT"/>
                </w:rPr>
                <w:delText>-p</w:delText>
              </w:r>
              <w:r w:rsidRPr="008912CF">
                <w:rPr>
                  <w:szCs w:val="22"/>
                  <w:vertAlign w:val="superscript"/>
                  <w:lang w:val="pt-PT"/>
                </w:rPr>
                <w:delText>a</w:delText>
              </w:r>
            </w:del>
          </w:p>
        </w:tc>
        <w:tc>
          <w:tcPr>
            <w:tcW w:w="990" w:type="dxa"/>
            <w:tcBorders>
              <w:top w:val="single" w:sz="4" w:space="0" w:color="auto"/>
              <w:left w:val="single" w:sz="4" w:space="0" w:color="auto"/>
              <w:bottom w:val="single" w:sz="4" w:space="0" w:color="auto"/>
              <w:right w:val="single" w:sz="4" w:space="0" w:color="auto"/>
            </w:tcBorders>
            <w:vAlign w:val="center"/>
          </w:tcPr>
          <w:p w14:paraId="405286D5" w14:textId="0277F811" w:rsidR="004462A0" w:rsidRPr="008912CF" w:rsidRDefault="00615769" w:rsidP="00F675CF">
            <w:pPr>
              <w:jc w:val="center"/>
              <w:rPr>
                <w:del w:id="2087" w:author="AbbVie2" w:date="2025-05-13T16:36:00Z"/>
              </w:rPr>
            </w:pPr>
            <w:del w:id="2088" w:author="AbbVie2" w:date="2025-05-13T16:36:00Z">
              <w:r w:rsidRPr="008912CF">
                <w:rPr>
                  <w:sz w:val="22"/>
                  <w:szCs w:val="22"/>
                </w:rPr>
                <w:delText>valor</w:delText>
              </w:r>
              <w:r w:rsidR="004D006C">
                <w:rPr>
                  <w:sz w:val="22"/>
                  <w:szCs w:val="22"/>
                </w:rPr>
                <w:delText>-p</w:delText>
              </w:r>
              <w:r w:rsidRPr="008912CF">
                <w:rPr>
                  <w:sz w:val="22"/>
                  <w:szCs w:val="22"/>
                  <w:vertAlign w:val="superscript"/>
                </w:rPr>
                <w:delText>b</w:delText>
              </w:r>
            </w:del>
          </w:p>
        </w:tc>
        <w:tc>
          <w:tcPr>
            <w:tcW w:w="990" w:type="dxa"/>
            <w:tcBorders>
              <w:top w:val="single" w:sz="4" w:space="0" w:color="auto"/>
              <w:left w:val="single" w:sz="4" w:space="0" w:color="auto"/>
              <w:bottom w:val="single" w:sz="4" w:space="0" w:color="auto"/>
              <w:right w:val="single" w:sz="4" w:space="0" w:color="auto"/>
            </w:tcBorders>
            <w:vAlign w:val="center"/>
          </w:tcPr>
          <w:p w14:paraId="390B62A9" w14:textId="0844BCE4" w:rsidR="004462A0" w:rsidRPr="008912CF" w:rsidRDefault="00615769" w:rsidP="00F675CF">
            <w:pPr>
              <w:jc w:val="center"/>
              <w:rPr>
                <w:del w:id="2089" w:author="AbbVie2" w:date="2025-05-13T16:36:00Z"/>
              </w:rPr>
            </w:pPr>
            <w:del w:id="2090" w:author="AbbVie2" w:date="2025-05-13T16:36:00Z">
              <w:r w:rsidRPr="008912CF">
                <w:rPr>
                  <w:sz w:val="22"/>
                  <w:szCs w:val="22"/>
                </w:rPr>
                <w:delText>valor</w:delText>
              </w:r>
              <w:r w:rsidR="004D006C">
                <w:rPr>
                  <w:sz w:val="22"/>
                  <w:szCs w:val="22"/>
                </w:rPr>
                <w:delText>-p</w:delText>
              </w:r>
              <w:r w:rsidRPr="008912CF">
                <w:rPr>
                  <w:sz w:val="22"/>
                  <w:szCs w:val="22"/>
                  <w:vertAlign w:val="superscript"/>
                </w:rPr>
                <w:delText>c</w:delText>
              </w:r>
            </w:del>
          </w:p>
        </w:tc>
      </w:tr>
      <w:tr w:rsidR="00A7162A" w14:paraId="7E2D94DB" w14:textId="6D7561DE" w:rsidTr="00F675CF">
        <w:trPr>
          <w:del w:id="2091" w:author="AbbVie2" w:date="2025-05-13T16:36:00Z"/>
        </w:trPr>
        <w:tc>
          <w:tcPr>
            <w:tcW w:w="1430" w:type="dxa"/>
            <w:tcBorders>
              <w:top w:val="single" w:sz="4" w:space="0" w:color="auto"/>
              <w:left w:val="single" w:sz="4" w:space="0" w:color="auto"/>
              <w:bottom w:val="single" w:sz="4" w:space="0" w:color="auto"/>
              <w:right w:val="single" w:sz="4" w:space="0" w:color="auto"/>
            </w:tcBorders>
          </w:tcPr>
          <w:p w14:paraId="6FE0F201" w14:textId="05F109D3" w:rsidR="004462A0" w:rsidRPr="008912CF" w:rsidRDefault="00615769" w:rsidP="00F675CF">
            <w:pPr>
              <w:pStyle w:val="EMEAFigureTitle"/>
              <w:jc w:val="center"/>
              <w:rPr>
                <w:del w:id="2092" w:author="AbbVie2" w:date="2025-05-13T16:36:00Z"/>
                <w:szCs w:val="22"/>
                <w:lang w:val="pt-PT"/>
              </w:rPr>
            </w:pPr>
            <w:del w:id="2093" w:author="AbbVie2" w:date="2025-05-13T16:36:00Z">
              <w:r w:rsidRPr="008912CF">
                <w:rPr>
                  <w:szCs w:val="22"/>
                  <w:lang w:val="pt-PT"/>
                </w:rPr>
                <w:delText xml:space="preserve">Escala Total de Sharp </w:delText>
              </w:r>
            </w:del>
          </w:p>
        </w:tc>
        <w:tc>
          <w:tcPr>
            <w:tcW w:w="1540" w:type="dxa"/>
            <w:tcBorders>
              <w:top w:val="single" w:sz="4" w:space="0" w:color="auto"/>
              <w:left w:val="single" w:sz="4" w:space="0" w:color="auto"/>
              <w:bottom w:val="single" w:sz="4" w:space="0" w:color="auto"/>
              <w:right w:val="single" w:sz="4" w:space="0" w:color="auto"/>
            </w:tcBorders>
          </w:tcPr>
          <w:p w14:paraId="23B0FEE2" w14:textId="62B2A4DE" w:rsidR="004462A0" w:rsidRPr="008912CF" w:rsidRDefault="00615769" w:rsidP="00F675CF">
            <w:pPr>
              <w:jc w:val="center"/>
              <w:rPr>
                <w:del w:id="2094" w:author="AbbVie2" w:date="2025-05-13T16:36:00Z"/>
              </w:rPr>
            </w:pPr>
            <w:del w:id="2095" w:author="AbbVie2" w:date="2025-05-13T16:36:00Z">
              <w:r w:rsidRPr="008912CF">
                <w:rPr>
                  <w:sz w:val="22"/>
                  <w:szCs w:val="22"/>
                </w:rPr>
                <w:delText>5,7 (4,2-7,3)</w:delText>
              </w:r>
            </w:del>
          </w:p>
        </w:tc>
        <w:tc>
          <w:tcPr>
            <w:tcW w:w="1430" w:type="dxa"/>
            <w:tcBorders>
              <w:top w:val="single" w:sz="4" w:space="0" w:color="auto"/>
              <w:left w:val="single" w:sz="4" w:space="0" w:color="auto"/>
              <w:bottom w:val="single" w:sz="4" w:space="0" w:color="auto"/>
              <w:right w:val="single" w:sz="4" w:space="0" w:color="auto"/>
            </w:tcBorders>
          </w:tcPr>
          <w:p w14:paraId="582EFAF1" w14:textId="117FED84" w:rsidR="004462A0" w:rsidRPr="008912CF" w:rsidRDefault="00615769" w:rsidP="00F675CF">
            <w:pPr>
              <w:pStyle w:val="EndnoteText"/>
              <w:jc w:val="center"/>
              <w:rPr>
                <w:del w:id="2096" w:author="AbbVie2" w:date="2025-05-13T16:36:00Z"/>
                <w:szCs w:val="22"/>
              </w:rPr>
            </w:pPr>
            <w:del w:id="2097" w:author="AbbVie2" w:date="2025-05-13T16:36:00Z">
              <w:r w:rsidRPr="008912CF">
                <w:rPr>
                  <w:szCs w:val="22"/>
                </w:rPr>
                <w:delText>3,0 (1,7-4,3)</w:delText>
              </w:r>
            </w:del>
          </w:p>
        </w:tc>
        <w:tc>
          <w:tcPr>
            <w:tcW w:w="1600" w:type="dxa"/>
            <w:tcBorders>
              <w:top w:val="single" w:sz="4" w:space="0" w:color="auto"/>
              <w:left w:val="single" w:sz="4" w:space="0" w:color="auto"/>
              <w:bottom w:val="single" w:sz="4" w:space="0" w:color="auto"/>
              <w:right w:val="single" w:sz="4" w:space="0" w:color="auto"/>
            </w:tcBorders>
          </w:tcPr>
          <w:p w14:paraId="1D5DDD66" w14:textId="4ACF8F0C" w:rsidR="004462A0" w:rsidRPr="008912CF" w:rsidRDefault="00615769" w:rsidP="00F675CF">
            <w:pPr>
              <w:pStyle w:val="EndnoteText"/>
              <w:jc w:val="center"/>
              <w:rPr>
                <w:del w:id="2098" w:author="AbbVie2" w:date="2025-05-13T16:36:00Z"/>
                <w:szCs w:val="22"/>
              </w:rPr>
            </w:pPr>
            <w:del w:id="2099" w:author="AbbVie2" w:date="2025-05-13T16:36:00Z">
              <w:r w:rsidRPr="008912CF">
                <w:rPr>
                  <w:szCs w:val="22"/>
                </w:rPr>
                <w:delText>1,3 (0,5-2,1)</w:delText>
              </w:r>
            </w:del>
          </w:p>
        </w:tc>
        <w:tc>
          <w:tcPr>
            <w:tcW w:w="930" w:type="dxa"/>
            <w:tcBorders>
              <w:top w:val="single" w:sz="4" w:space="0" w:color="auto"/>
              <w:left w:val="single" w:sz="4" w:space="0" w:color="auto"/>
              <w:bottom w:val="single" w:sz="4" w:space="0" w:color="auto"/>
              <w:right w:val="single" w:sz="4" w:space="0" w:color="auto"/>
            </w:tcBorders>
          </w:tcPr>
          <w:p w14:paraId="35035079" w14:textId="45AF158C" w:rsidR="004462A0" w:rsidRPr="008912CF" w:rsidRDefault="00615769" w:rsidP="00F675CF">
            <w:pPr>
              <w:pStyle w:val="EndnoteText"/>
              <w:jc w:val="center"/>
              <w:rPr>
                <w:del w:id="2100" w:author="AbbVie2" w:date="2025-05-13T16:36:00Z"/>
                <w:szCs w:val="22"/>
              </w:rPr>
            </w:pPr>
            <w:del w:id="2101" w:author="AbbVie2" w:date="2025-05-13T16:36:00Z">
              <w:r w:rsidRPr="008912CF">
                <w:rPr>
                  <w:szCs w:val="22"/>
                </w:rPr>
                <w:delText>&lt; 0,001</w:delText>
              </w:r>
            </w:del>
          </w:p>
        </w:tc>
        <w:tc>
          <w:tcPr>
            <w:tcW w:w="990" w:type="dxa"/>
            <w:tcBorders>
              <w:top w:val="single" w:sz="4" w:space="0" w:color="auto"/>
              <w:left w:val="single" w:sz="4" w:space="0" w:color="auto"/>
              <w:bottom w:val="single" w:sz="4" w:space="0" w:color="auto"/>
              <w:right w:val="single" w:sz="4" w:space="0" w:color="auto"/>
            </w:tcBorders>
          </w:tcPr>
          <w:p w14:paraId="5B32F132" w14:textId="1D7B0161" w:rsidR="004462A0" w:rsidRPr="008912CF" w:rsidRDefault="00615769" w:rsidP="00F675CF">
            <w:pPr>
              <w:jc w:val="center"/>
              <w:rPr>
                <w:del w:id="2102" w:author="AbbVie2" w:date="2025-05-13T16:36:00Z"/>
              </w:rPr>
            </w:pPr>
            <w:del w:id="2103" w:author="AbbVie2" w:date="2025-05-13T16:36:00Z">
              <w:r w:rsidRPr="008912CF">
                <w:rPr>
                  <w:sz w:val="22"/>
                  <w:szCs w:val="22"/>
                </w:rPr>
                <w:delText>0,0020</w:delText>
              </w:r>
            </w:del>
          </w:p>
        </w:tc>
        <w:tc>
          <w:tcPr>
            <w:tcW w:w="990" w:type="dxa"/>
            <w:tcBorders>
              <w:top w:val="single" w:sz="4" w:space="0" w:color="auto"/>
              <w:left w:val="single" w:sz="4" w:space="0" w:color="auto"/>
              <w:bottom w:val="single" w:sz="4" w:space="0" w:color="auto"/>
              <w:right w:val="single" w:sz="4" w:space="0" w:color="auto"/>
            </w:tcBorders>
          </w:tcPr>
          <w:p w14:paraId="4C5BF0B1" w14:textId="332354B5" w:rsidR="004462A0" w:rsidRPr="008912CF" w:rsidRDefault="00615769" w:rsidP="00F675CF">
            <w:pPr>
              <w:jc w:val="center"/>
              <w:rPr>
                <w:del w:id="2104" w:author="AbbVie2" w:date="2025-05-13T16:36:00Z"/>
              </w:rPr>
            </w:pPr>
            <w:del w:id="2105" w:author="AbbVie2" w:date="2025-05-13T16:36:00Z">
              <w:r w:rsidRPr="008912CF">
                <w:rPr>
                  <w:sz w:val="22"/>
                  <w:szCs w:val="22"/>
                </w:rPr>
                <w:delText>&lt; 0,001</w:delText>
              </w:r>
            </w:del>
          </w:p>
        </w:tc>
      </w:tr>
      <w:tr w:rsidR="00A7162A" w14:paraId="0952EC44" w14:textId="6A208CF1" w:rsidTr="00F675CF">
        <w:trPr>
          <w:del w:id="2106" w:author="AbbVie2" w:date="2025-05-13T16:36:00Z"/>
        </w:trPr>
        <w:tc>
          <w:tcPr>
            <w:tcW w:w="1430" w:type="dxa"/>
            <w:tcBorders>
              <w:top w:val="single" w:sz="4" w:space="0" w:color="auto"/>
              <w:left w:val="single" w:sz="4" w:space="0" w:color="auto"/>
              <w:bottom w:val="single" w:sz="4" w:space="0" w:color="auto"/>
              <w:right w:val="single" w:sz="4" w:space="0" w:color="auto"/>
            </w:tcBorders>
          </w:tcPr>
          <w:p w14:paraId="35B49E9A" w14:textId="4F7055AC" w:rsidR="004462A0" w:rsidRPr="008912CF" w:rsidRDefault="00615769" w:rsidP="00F675CF">
            <w:pPr>
              <w:jc w:val="center"/>
              <w:rPr>
                <w:del w:id="2107" w:author="AbbVie2" w:date="2025-05-13T16:36:00Z"/>
              </w:rPr>
            </w:pPr>
            <w:del w:id="2108" w:author="AbbVie2" w:date="2025-05-13T16:36:00Z">
              <w:r w:rsidRPr="008912CF">
                <w:rPr>
                  <w:sz w:val="22"/>
                  <w:szCs w:val="22"/>
                </w:rPr>
                <w:delText>Escala de Erosão</w:delText>
              </w:r>
            </w:del>
          </w:p>
        </w:tc>
        <w:tc>
          <w:tcPr>
            <w:tcW w:w="1540" w:type="dxa"/>
            <w:tcBorders>
              <w:top w:val="single" w:sz="4" w:space="0" w:color="auto"/>
              <w:left w:val="single" w:sz="4" w:space="0" w:color="auto"/>
              <w:bottom w:val="single" w:sz="4" w:space="0" w:color="auto"/>
              <w:right w:val="single" w:sz="4" w:space="0" w:color="auto"/>
            </w:tcBorders>
          </w:tcPr>
          <w:p w14:paraId="6D355C53" w14:textId="4CE02757" w:rsidR="004462A0" w:rsidRPr="008912CF" w:rsidRDefault="00615769" w:rsidP="00F675CF">
            <w:pPr>
              <w:jc w:val="center"/>
              <w:rPr>
                <w:del w:id="2109" w:author="AbbVie2" w:date="2025-05-13T16:36:00Z"/>
              </w:rPr>
            </w:pPr>
            <w:del w:id="2110" w:author="AbbVie2" w:date="2025-05-13T16:36:00Z">
              <w:r w:rsidRPr="008912CF">
                <w:rPr>
                  <w:sz w:val="22"/>
                  <w:szCs w:val="22"/>
                </w:rPr>
                <w:delText>3,7 (2,7-4,7)</w:delText>
              </w:r>
            </w:del>
          </w:p>
        </w:tc>
        <w:tc>
          <w:tcPr>
            <w:tcW w:w="1430" w:type="dxa"/>
            <w:tcBorders>
              <w:top w:val="single" w:sz="4" w:space="0" w:color="auto"/>
              <w:left w:val="single" w:sz="4" w:space="0" w:color="auto"/>
              <w:bottom w:val="single" w:sz="4" w:space="0" w:color="auto"/>
              <w:right w:val="single" w:sz="4" w:space="0" w:color="auto"/>
            </w:tcBorders>
          </w:tcPr>
          <w:p w14:paraId="3323C8F3" w14:textId="3DAD7554" w:rsidR="004462A0" w:rsidRPr="008912CF" w:rsidRDefault="00615769" w:rsidP="00F675CF">
            <w:pPr>
              <w:jc w:val="center"/>
              <w:rPr>
                <w:del w:id="2111" w:author="AbbVie2" w:date="2025-05-13T16:36:00Z"/>
              </w:rPr>
            </w:pPr>
            <w:del w:id="2112" w:author="AbbVie2" w:date="2025-05-13T16:36:00Z">
              <w:r w:rsidRPr="008912CF">
                <w:rPr>
                  <w:sz w:val="22"/>
                  <w:szCs w:val="22"/>
                </w:rPr>
                <w:delText>1,7 (1,0-2,4)</w:delText>
              </w:r>
            </w:del>
          </w:p>
        </w:tc>
        <w:tc>
          <w:tcPr>
            <w:tcW w:w="1600" w:type="dxa"/>
            <w:tcBorders>
              <w:top w:val="single" w:sz="4" w:space="0" w:color="auto"/>
              <w:left w:val="single" w:sz="4" w:space="0" w:color="auto"/>
              <w:bottom w:val="single" w:sz="4" w:space="0" w:color="auto"/>
              <w:right w:val="single" w:sz="4" w:space="0" w:color="auto"/>
            </w:tcBorders>
          </w:tcPr>
          <w:p w14:paraId="7EE0E239" w14:textId="7EE95FFD" w:rsidR="004462A0" w:rsidRPr="008912CF" w:rsidRDefault="00615769" w:rsidP="00F675CF">
            <w:pPr>
              <w:jc w:val="center"/>
              <w:rPr>
                <w:del w:id="2113" w:author="AbbVie2" w:date="2025-05-13T16:36:00Z"/>
              </w:rPr>
            </w:pPr>
            <w:del w:id="2114" w:author="AbbVie2" w:date="2025-05-13T16:36:00Z">
              <w:r w:rsidRPr="008912CF">
                <w:rPr>
                  <w:sz w:val="22"/>
                  <w:szCs w:val="22"/>
                </w:rPr>
                <w:delText>0,8 (0,4-1,2)</w:delText>
              </w:r>
            </w:del>
          </w:p>
        </w:tc>
        <w:tc>
          <w:tcPr>
            <w:tcW w:w="930" w:type="dxa"/>
            <w:tcBorders>
              <w:top w:val="single" w:sz="4" w:space="0" w:color="auto"/>
              <w:left w:val="single" w:sz="4" w:space="0" w:color="auto"/>
              <w:bottom w:val="single" w:sz="4" w:space="0" w:color="auto"/>
              <w:right w:val="single" w:sz="4" w:space="0" w:color="auto"/>
            </w:tcBorders>
          </w:tcPr>
          <w:p w14:paraId="14539DA5" w14:textId="5D62BB01" w:rsidR="004462A0" w:rsidRPr="008912CF" w:rsidRDefault="00615769" w:rsidP="00F675CF">
            <w:pPr>
              <w:jc w:val="center"/>
              <w:rPr>
                <w:del w:id="2115" w:author="AbbVie2" w:date="2025-05-13T16:36:00Z"/>
              </w:rPr>
            </w:pPr>
            <w:del w:id="2116" w:author="AbbVie2" w:date="2025-05-13T16:36:00Z">
              <w:r w:rsidRPr="008912CF">
                <w:rPr>
                  <w:sz w:val="22"/>
                  <w:szCs w:val="22"/>
                </w:rPr>
                <w:delText>&lt; 0,001</w:delText>
              </w:r>
            </w:del>
          </w:p>
        </w:tc>
        <w:tc>
          <w:tcPr>
            <w:tcW w:w="990" w:type="dxa"/>
            <w:tcBorders>
              <w:top w:val="single" w:sz="4" w:space="0" w:color="auto"/>
              <w:left w:val="single" w:sz="4" w:space="0" w:color="auto"/>
              <w:bottom w:val="single" w:sz="4" w:space="0" w:color="auto"/>
              <w:right w:val="single" w:sz="4" w:space="0" w:color="auto"/>
            </w:tcBorders>
          </w:tcPr>
          <w:p w14:paraId="66D37D02" w14:textId="1A137C09" w:rsidR="004462A0" w:rsidRPr="008912CF" w:rsidRDefault="00615769" w:rsidP="00F675CF">
            <w:pPr>
              <w:jc w:val="center"/>
              <w:rPr>
                <w:del w:id="2117" w:author="AbbVie2" w:date="2025-05-13T16:36:00Z"/>
              </w:rPr>
            </w:pPr>
            <w:del w:id="2118" w:author="AbbVie2" w:date="2025-05-13T16:36:00Z">
              <w:r w:rsidRPr="008912CF">
                <w:rPr>
                  <w:sz w:val="22"/>
                  <w:szCs w:val="22"/>
                </w:rPr>
                <w:delText>0,0082</w:delText>
              </w:r>
            </w:del>
          </w:p>
        </w:tc>
        <w:tc>
          <w:tcPr>
            <w:tcW w:w="990" w:type="dxa"/>
            <w:tcBorders>
              <w:top w:val="single" w:sz="4" w:space="0" w:color="auto"/>
              <w:left w:val="single" w:sz="4" w:space="0" w:color="auto"/>
              <w:bottom w:val="single" w:sz="4" w:space="0" w:color="auto"/>
              <w:right w:val="single" w:sz="4" w:space="0" w:color="auto"/>
            </w:tcBorders>
          </w:tcPr>
          <w:p w14:paraId="5A6FAD29" w14:textId="694DD63B" w:rsidR="004462A0" w:rsidRPr="008912CF" w:rsidRDefault="00615769" w:rsidP="00F675CF">
            <w:pPr>
              <w:jc w:val="center"/>
              <w:rPr>
                <w:del w:id="2119" w:author="AbbVie2" w:date="2025-05-13T16:36:00Z"/>
              </w:rPr>
            </w:pPr>
            <w:del w:id="2120" w:author="AbbVie2" w:date="2025-05-13T16:36:00Z">
              <w:r w:rsidRPr="008912CF">
                <w:rPr>
                  <w:sz w:val="22"/>
                  <w:szCs w:val="22"/>
                </w:rPr>
                <w:delText>&lt; 0,001</w:delText>
              </w:r>
            </w:del>
          </w:p>
        </w:tc>
      </w:tr>
      <w:tr w:rsidR="00A7162A" w14:paraId="1636B501" w14:textId="77419693" w:rsidTr="00F675CF">
        <w:trPr>
          <w:del w:id="2121" w:author="AbbVie2" w:date="2025-05-13T16:36:00Z"/>
        </w:trPr>
        <w:tc>
          <w:tcPr>
            <w:tcW w:w="1430" w:type="dxa"/>
            <w:tcBorders>
              <w:top w:val="single" w:sz="4" w:space="0" w:color="auto"/>
              <w:left w:val="single" w:sz="4" w:space="0" w:color="auto"/>
              <w:bottom w:val="single" w:sz="4" w:space="0" w:color="auto"/>
              <w:right w:val="single" w:sz="4" w:space="0" w:color="auto"/>
            </w:tcBorders>
          </w:tcPr>
          <w:p w14:paraId="4D3EB588" w14:textId="1398658A" w:rsidR="004462A0" w:rsidRPr="008912CF" w:rsidRDefault="00615769" w:rsidP="00F675CF">
            <w:pPr>
              <w:jc w:val="center"/>
              <w:rPr>
                <w:del w:id="2122" w:author="AbbVie2" w:date="2025-05-13T16:36:00Z"/>
              </w:rPr>
            </w:pPr>
            <w:del w:id="2123" w:author="AbbVie2" w:date="2025-05-13T16:36:00Z">
              <w:r w:rsidRPr="008912CF">
                <w:rPr>
                  <w:sz w:val="22"/>
                  <w:szCs w:val="22"/>
                </w:rPr>
                <w:delText xml:space="preserve">Escala de JSN </w:delText>
              </w:r>
            </w:del>
          </w:p>
        </w:tc>
        <w:tc>
          <w:tcPr>
            <w:tcW w:w="1540" w:type="dxa"/>
            <w:tcBorders>
              <w:top w:val="single" w:sz="4" w:space="0" w:color="auto"/>
              <w:left w:val="single" w:sz="4" w:space="0" w:color="auto"/>
              <w:bottom w:val="single" w:sz="4" w:space="0" w:color="auto"/>
              <w:right w:val="single" w:sz="4" w:space="0" w:color="auto"/>
            </w:tcBorders>
          </w:tcPr>
          <w:p w14:paraId="79C71186" w14:textId="2E2456D7" w:rsidR="004462A0" w:rsidRPr="008912CF" w:rsidRDefault="00615769" w:rsidP="00F675CF">
            <w:pPr>
              <w:jc w:val="center"/>
              <w:rPr>
                <w:del w:id="2124" w:author="AbbVie2" w:date="2025-05-13T16:36:00Z"/>
              </w:rPr>
            </w:pPr>
            <w:del w:id="2125" w:author="AbbVie2" w:date="2025-05-13T16:36:00Z">
              <w:r w:rsidRPr="008912CF">
                <w:rPr>
                  <w:sz w:val="22"/>
                  <w:szCs w:val="22"/>
                </w:rPr>
                <w:delText>2,0 (1,2-2,8)</w:delText>
              </w:r>
            </w:del>
          </w:p>
        </w:tc>
        <w:tc>
          <w:tcPr>
            <w:tcW w:w="1430" w:type="dxa"/>
            <w:tcBorders>
              <w:top w:val="single" w:sz="4" w:space="0" w:color="auto"/>
              <w:left w:val="single" w:sz="4" w:space="0" w:color="auto"/>
              <w:bottom w:val="single" w:sz="4" w:space="0" w:color="auto"/>
              <w:right w:val="single" w:sz="4" w:space="0" w:color="auto"/>
            </w:tcBorders>
          </w:tcPr>
          <w:p w14:paraId="64F829D4" w14:textId="622A5373" w:rsidR="004462A0" w:rsidRPr="008912CF" w:rsidRDefault="00615769" w:rsidP="00F675CF">
            <w:pPr>
              <w:jc w:val="center"/>
              <w:rPr>
                <w:del w:id="2126" w:author="AbbVie2" w:date="2025-05-13T16:36:00Z"/>
              </w:rPr>
            </w:pPr>
            <w:del w:id="2127" w:author="AbbVie2" w:date="2025-05-13T16:36:00Z">
              <w:r w:rsidRPr="008912CF">
                <w:rPr>
                  <w:sz w:val="22"/>
                  <w:szCs w:val="22"/>
                </w:rPr>
                <w:delText>1,3 (0,5-2,1)</w:delText>
              </w:r>
            </w:del>
          </w:p>
        </w:tc>
        <w:tc>
          <w:tcPr>
            <w:tcW w:w="1600" w:type="dxa"/>
            <w:tcBorders>
              <w:top w:val="single" w:sz="4" w:space="0" w:color="auto"/>
              <w:left w:val="single" w:sz="4" w:space="0" w:color="auto"/>
              <w:bottom w:val="single" w:sz="4" w:space="0" w:color="auto"/>
              <w:right w:val="single" w:sz="4" w:space="0" w:color="auto"/>
            </w:tcBorders>
          </w:tcPr>
          <w:p w14:paraId="1F699670" w14:textId="2BC38A4C" w:rsidR="004462A0" w:rsidRPr="008912CF" w:rsidRDefault="00615769" w:rsidP="00F675CF">
            <w:pPr>
              <w:jc w:val="center"/>
              <w:rPr>
                <w:del w:id="2128" w:author="AbbVie2" w:date="2025-05-13T16:36:00Z"/>
              </w:rPr>
            </w:pPr>
            <w:del w:id="2129" w:author="AbbVie2" w:date="2025-05-13T16:36:00Z">
              <w:r w:rsidRPr="008912CF">
                <w:rPr>
                  <w:sz w:val="22"/>
                  <w:szCs w:val="22"/>
                </w:rPr>
                <w:delText>0,5 (0-1,0)</w:delText>
              </w:r>
            </w:del>
          </w:p>
        </w:tc>
        <w:tc>
          <w:tcPr>
            <w:tcW w:w="930" w:type="dxa"/>
            <w:tcBorders>
              <w:top w:val="single" w:sz="4" w:space="0" w:color="auto"/>
              <w:left w:val="single" w:sz="4" w:space="0" w:color="auto"/>
              <w:bottom w:val="single" w:sz="4" w:space="0" w:color="auto"/>
              <w:right w:val="single" w:sz="4" w:space="0" w:color="auto"/>
            </w:tcBorders>
          </w:tcPr>
          <w:p w14:paraId="30BD1A29" w14:textId="379DBBE7" w:rsidR="004462A0" w:rsidRPr="008912CF" w:rsidRDefault="00615769" w:rsidP="00F675CF">
            <w:pPr>
              <w:jc w:val="center"/>
              <w:rPr>
                <w:del w:id="2130" w:author="AbbVie2" w:date="2025-05-13T16:36:00Z"/>
              </w:rPr>
            </w:pPr>
            <w:del w:id="2131" w:author="AbbVie2" w:date="2025-05-13T16:36:00Z">
              <w:r w:rsidRPr="008912CF">
                <w:rPr>
                  <w:sz w:val="22"/>
                  <w:szCs w:val="22"/>
                </w:rPr>
                <w:delText>&lt; 0,001</w:delText>
              </w:r>
            </w:del>
          </w:p>
        </w:tc>
        <w:tc>
          <w:tcPr>
            <w:tcW w:w="990" w:type="dxa"/>
            <w:tcBorders>
              <w:top w:val="single" w:sz="4" w:space="0" w:color="auto"/>
              <w:left w:val="single" w:sz="4" w:space="0" w:color="auto"/>
              <w:bottom w:val="single" w:sz="4" w:space="0" w:color="auto"/>
              <w:right w:val="single" w:sz="4" w:space="0" w:color="auto"/>
            </w:tcBorders>
          </w:tcPr>
          <w:p w14:paraId="61A157B5" w14:textId="2A71ACB8" w:rsidR="004462A0" w:rsidRPr="008912CF" w:rsidRDefault="00615769" w:rsidP="00F675CF">
            <w:pPr>
              <w:jc w:val="center"/>
              <w:rPr>
                <w:del w:id="2132" w:author="AbbVie2" w:date="2025-05-13T16:36:00Z"/>
              </w:rPr>
            </w:pPr>
            <w:del w:id="2133" w:author="AbbVie2" w:date="2025-05-13T16:36:00Z">
              <w:r w:rsidRPr="008912CF">
                <w:rPr>
                  <w:sz w:val="22"/>
                  <w:szCs w:val="22"/>
                </w:rPr>
                <w:delText>0,0037</w:delText>
              </w:r>
            </w:del>
          </w:p>
        </w:tc>
        <w:tc>
          <w:tcPr>
            <w:tcW w:w="990" w:type="dxa"/>
            <w:tcBorders>
              <w:top w:val="single" w:sz="4" w:space="0" w:color="auto"/>
              <w:left w:val="single" w:sz="4" w:space="0" w:color="auto"/>
              <w:bottom w:val="single" w:sz="4" w:space="0" w:color="auto"/>
              <w:right w:val="single" w:sz="4" w:space="0" w:color="auto"/>
            </w:tcBorders>
          </w:tcPr>
          <w:p w14:paraId="05AE992B" w14:textId="0917F5E9" w:rsidR="004462A0" w:rsidRPr="008912CF" w:rsidRDefault="00615769" w:rsidP="00F675CF">
            <w:pPr>
              <w:jc w:val="center"/>
              <w:rPr>
                <w:del w:id="2134" w:author="AbbVie2" w:date="2025-05-13T16:36:00Z"/>
              </w:rPr>
            </w:pPr>
            <w:del w:id="2135" w:author="AbbVie2" w:date="2025-05-13T16:36:00Z">
              <w:r w:rsidRPr="008912CF">
                <w:rPr>
                  <w:sz w:val="22"/>
                  <w:szCs w:val="22"/>
                </w:rPr>
                <w:delText>0,151</w:delText>
              </w:r>
            </w:del>
          </w:p>
        </w:tc>
      </w:tr>
    </w:tbl>
    <w:p w14:paraId="4BCAAB8C" w14:textId="4BACC7F1" w:rsidR="004462A0" w:rsidRPr="008912CF" w:rsidRDefault="00615769" w:rsidP="004462A0">
      <w:pPr>
        <w:tabs>
          <w:tab w:val="left" w:pos="330"/>
          <w:tab w:val="left" w:pos="10728"/>
        </w:tabs>
        <w:ind w:left="360" w:hanging="360"/>
        <w:rPr>
          <w:del w:id="2136" w:author="AbbVie2" w:date="2025-05-13T16:36:00Z"/>
          <w:sz w:val="22"/>
          <w:szCs w:val="22"/>
        </w:rPr>
      </w:pPr>
      <w:del w:id="2137" w:author="AbbVie2" w:date="2025-05-13T16:36:00Z">
        <w:r w:rsidRPr="008912CF">
          <w:rPr>
            <w:sz w:val="22"/>
            <w:szCs w:val="22"/>
            <w:vertAlign w:val="superscript"/>
          </w:rPr>
          <w:delText>a</w:delText>
        </w:r>
        <w:r w:rsidRPr="008912CF">
          <w:rPr>
            <w:sz w:val="22"/>
            <w:szCs w:val="22"/>
          </w:rPr>
          <w:tab/>
        </w:r>
        <w:r w:rsidRPr="008912CF">
          <w:rPr>
            <w:sz w:val="22"/>
            <w:szCs w:val="22"/>
          </w:rPr>
          <w:delText>valores-p comparativos emparelhados de metotrexato em monoterapia e da associação terapêutica Humira/metotrexato usando o teste de Mann-Whitney U.</w:delText>
        </w:r>
      </w:del>
    </w:p>
    <w:p w14:paraId="3923FEF0" w14:textId="7C5760B0" w:rsidR="004462A0" w:rsidRPr="008912CF" w:rsidRDefault="00615769" w:rsidP="004462A0">
      <w:pPr>
        <w:pStyle w:val="BodyTextIndent"/>
        <w:ind w:left="330" w:hanging="330"/>
        <w:rPr>
          <w:del w:id="2138" w:author="AbbVie2" w:date="2025-05-13T16:36:00Z"/>
          <w:b w:val="0"/>
          <w:color w:val="auto"/>
          <w:szCs w:val="22"/>
        </w:rPr>
      </w:pPr>
      <w:del w:id="2139" w:author="AbbVie2" w:date="2025-05-13T16:36:00Z">
        <w:r w:rsidRPr="008912CF">
          <w:rPr>
            <w:b w:val="0"/>
            <w:color w:val="auto"/>
            <w:szCs w:val="22"/>
            <w:vertAlign w:val="superscript"/>
          </w:rPr>
          <w:delText>b</w:delText>
        </w:r>
        <w:r w:rsidRPr="008912CF">
          <w:rPr>
            <w:b w:val="0"/>
            <w:color w:val="auto"/>
            <w:szCs w:val="22"/>
          </w:rPr>
          <w:tab/>
          <w:delText xml:space="preserve">valores-p </w:delText>
        </w:r>
        <w:r w:rsidRPr="008912CF">
          <w:rPr>
            <w:b w:val="0"/>
            <w:bCs/>
            <w:color w:val="auto"/>
            <w:szCs w:val="22"/>
          </w:rPr>
          <w:delText xml:space="preserve">comparativos emparelhados de Humira em </w:delText>
        </w:r>
        <w:r w:rsidRPr="008912CF">
          <w:rPr>
            <w:b w:val="0"/>
            <w:color w:val="auto"/>
            <w:szCs w:val="22"/>
          </w:rPr>
          <w:delText>monoterapia e da associação terapêutica Humira/metotrexato usando o teste de Mann-Whitney U.</w:delText>
        </w:r>
      </w:del>
    </w:p>
    <w:p w14:paraId="34F8184D" w14:textId="540F89F7" w:rsidR="004462A0" w:rsidRPr="008912CF" w:rsidRDefault="00615769" w:rsidP="004462A0">
      <w:pPr>
        <w:ind w:left="329" w:hanging="329"/>
        <w:rPr>
          <w:del w:id="2140" w:author="AbbVie2" w:date="2025-05-13T16:36:00Z"/>
          <w:bCs/>
          <w:sz w:val="22"/>
          <w:szCs w:val="22"/>
        </w:rPr>
      </w:pPr>
      <w:del w:id="2141" w:author="AbbVie2" w:date="2025-05-13T16:36:00Z">
        <w:r w:rsidRPr="008912CF">
          <w:rPr>
            <w:bCs/>
            <w:sz w:val="22"/>
            <w:szCs w:val="22"/>
            <w:vertAlign w:val="superscript"/>
          </w:rPr>
          <w:delText>c</w:delText>
        </w:r>
        <w:r w:rsidRPr="008912CF">
          <w:rPr>
            <w:bCs/>
            <w:sz w:val="22"/>
            <w:szCs w:val="22"/>
          </w:rPr>
          <w:tab/>
          <w:delText>valores-p comparativos emparelhados de Humira e metotrexato em monoterapia usando o teste de Mann-Whitney U.</w:delText>
        </w:r>
      </w:del>
    </w:p>
    <w:p w14:paraId="2CC91705" w14:textId="732C983A" w:rsidR="004462A0" w:rsidRPr="008912CF" w:rsidRDefault="004462A0" w:rsidP="004462A0">
      <w:pPr>
        <w:rPr>
          <w:del w:id="2142" w:author="AbbVie2" w:date="2025-05-13T16:36:00Z"/>
          <w:b/>
          <w:sz w:val="22"/>
          <w:szCs w:val="22"/>
        </w:rPr>
      </w:pPr>
    </w:p>
    <w:p w14:paraId="3984D483" w14:textId="60E7F954" w:rsidR="004462A0" w:rsidRDefault="00615769" w:rsidP="004462A0">
      <w:pPr>
        <w:rPr>
          <w:del w:id="2143" w:author="AbbVie2" w:date="2025-05-13T16:36:00Z"/>
          <w:sz w:val="22"/>
          <w:szCs w:val="22"/>
        </w:rPr>
      </w:pPr>
      <w:del w:id="2144" w:author="AbbVie2" w:date="2025-05-13T16:36:00Z">
        <w:r w:rsidRPr="008912CF">
          <w:rPr>
            <w:sz w:val="22"/>
            <w:szCs w:val="22"/>
          </w:rPr>
          <w:delText>Após 52 e 104</w:delText>
        </w:r>
        <w:r>
          <w:rPr>
            <w:sz w:val="22"/>
            <w:szCs w:val="22"/>
          </w:rPr>
          <w:delText> </w:delText>
        </w:r>
        <w:r w:rsidRPr="008912CF">
          <w:rPr>
            <w:sz w:val="22"/>
            <w:szCs w:val="22"/>
          </w:rPr>
          <w:delText>semanas de tratamento, a percentagem de doentes sem progressão (alteração desde o início do estudo na Escala Total de Sharp modificada ≤ 0,5) foi significativamente superior na associação terapêutica Humira/metotrexato (63,8</w:delText>
        </w:r>
        <w:r w:rsidR="009343EF">
          <w:rPr>
            <w:sz w:val="22"/>
            <w:szCs w:val="22"/>
          </w:rPr>
          <w:delText>%</w:delText>
        </w:r>
        <w:r w:rsidRPr="008912CF">
          <w:rPr>
            <w:sz w:val="22"/>
            <w:szCs w:val="22"/>
          </w:rPr>
          <w:delText xml:space="preserve"> e 61,2</w:delText>
        </w:r>
        <w:r w:rsidR="009343EF">
          <w:rPr>
            <w:sz w:val="22"/>
            <w:szCs w:val="22"/>
          </w:rPr>
          <w:delText>%</w:delText>
        </w:r>
        <w:r w:rsidRPr="008912CF">
          <w:rPr>
            <w:sz w:val="22"/>
            <w:szCs w:val="22"/>
          </w:rPr>
          <w:delText xml:space="preserve"> respetivamente) comparada com metotrexato em monoterapia (37,4</w:delText>
        </w:r>
        <w:r w:rsidR="009343EF">
          <w:rPr>
            <w:sz w:val="22"/>
            <w:szCs w:val="22"/>
          </w:rPr>
          <w:delText>%</w:delText>
        </w:r>
        <w:r w:rsidRPr="008912CF">
          <w:rPr>
            <w:sz w:val="22"/>
            <w:szCs w:val="22"/>
          </w:rPr>
          <w:delText xml:space="preserve"> e 33,5</w:delText>
        </w:r>
        <w:r w:rsidR="009343EF">
          <w:rPr>
            <w:sz w:val="22"/>
            <w:szCs w:val="22"/>
          </w:rPr>
          <w:delText>%</w:delText>
        </w:r>
        <w:r w:rsidRPr="008912CF">
          <w:rPr>
            <w:sz w:val="22"/>
            <w:szCs w:val="22"/>
          </w:rPr>
          <w:delText xml:space="preserve"> respetivamente, p &lt; 0,001) e com Humira em monoterapia (50,7</w:delText>
        </w:r>
        <w:r w:rsidR="009343EF">
          <w:rPr>
            <w:sz w:val="22"/>
            <w:szCs w:val="22"/>
          </w:rPr>
          <w:delText>%</w:delText>
        </w:r>
        <w:r w:rsidRPr="008912CF">
          <w:rPr>
            <w:sz w:val="22"/>
            <w:szCs w:val="22"/>
          </w:rPr>
          <w:delText>, p &lt; 0,002 e 44,5</w:delText>
        </w:r>
        <w:r w:rsidR="009343EF">
          <w:rPr>
            <w:sz w:val="22"/>
            <w:szCs w:val="22"/>
          </w:rPr>
          <w:delText>%</w:delText>
        </w:r>
        <w:r w:rsidRPr="008912CF">
          <w:rPr>
            <w:sz w:val="22"/>
            <w:szCs w:val="22"/>
          </w:rPr>
          <w:delText xml:space="preserve">, p &lt; 0,001 respetivamente). </w:delText>
        </w:r>
      </w:del>
    </w:p>
    <w:p w14:paraId="37D97A2F" w14:textId="3E5503A0" w:rsidR="004462A0" w:rsidRDefault="004462A0" w:rsidP="004462A0">
      <w:pPr>
        <w:rPr>
          <w:del w:id="2145" w:author="AbbVie2" w:date="2025-05-13T16:36:00Z"/>
          <w:sz w:val="22"/>
          <w:szCs w:val="22"/>
        </w:rPr>
      </w:pPr>
    </w:p>
    <w:p w14:paraId="2D3139B0" w14:textId="029F0C12" w:rsidR="004462A0" w:rsidRPr="008912CF" w:rsidRDefault="00615769" w:rsidP="004462A0">
      <w:pPr>
        <w:rPr>
          <w:del w:id="2146" w:author="AbbVie2" w:date="2025-05-13T16:36:00Z"/>
          <w:sz w:val="22"/>
          <w:szCs w:val="22"/>
        </w:rPr>
      </w:pPr>
      <w:del w:id="2147" w:author="AbbVie2" w:date="2025-05-13T16:36:00Z">
        <w:r>
          <w:rPr>
            <w:sz w:val="22"/>
            <w:szCs w:val="22"/>
          </w:rPr>
          <w:delText>Na extensão de fase aberta do estudo AR V, a alteração média desde o início do estudo ao Ano 10 na Escala Total de Sharp modificada foi de 10,8</w:delText>
        </w:r>
        <w:r w:rsidR="00B479D1">
          <w:rPr>
            <w:sz w:val="22"/>
            <w:szCs w:val="22"/>
          </w:rPr>
          <w:delText>,</w:delText>
        </w:r>
        <w:r>
          <w:rPr>
            <w:sz w:val="22"/>
            <w:szCs w:val="22"/>
          </w:rPr>
          <w:delText xml:space="preserve"> 9,2 e 3,9 em doentes originalmente aleatorizados com metotrexato em monoterapia, Humira em monoterapia e associação terapêutica Humira/metotrexato, respetivamente. As proporções correspondentes de doentes sem progressão radiológica foram 31,3%, 23,7% e 36,7% respetivamente. </w:delText>
        </w:r>
      </w:del>
    </w:p>
    <w:p w14:paraId="547EDBE5" w14:textId="2A9EB474" w:rsidR="004462A0" w:rsidRPr="008912CF" w:rsidRDefault="004462A0" w:rsidP="004462A0">
      <w:pPr>
        <w:rPr>
          <w:del w:id="2148" w:author="AbbVie2" w:date="2025-05-13T16:36:00Z"/>
          <w:sz w:val="22"/>
          <w:szCs w:val="22"/>
        </w:rPr>
      </w:pPr>
    </w:p>
    <w:p w14:paraId="21C6BA8F" w14:textId="5EEB0ECE" w:rsidR="004462A0" w:rsidRPr="008912CF" w:rsidRDefault="00615769" w:rsidP="004462A0">
      <w:pPr>
        <w:pStyle w:val="Heading7"/>
        <w:keepNext w:val="0"/>
        <w:spacing w:line="240" w:lineRule="auto"/>
        <w:jc w:val="left"/>
        <w:rPr>
          <w:del w:id="2149" w:author="AbbVie2" w:date="2025-05-13T16:36:00Z"/>
          <w:i w:val="0"/>
          <w:szCs w:val="22"/>
          <w:u w:val="single"/>
        </w:rPr>
      </w:pPr>
      <w:del w:id="2150" w:author="AbbVie2" w:date="2025-05-13T16:36:00Z">
        <w:r w:rsidRPr="008912CF">
          <w:rPr>
            <w:szCs w:val="22"/>
            <w:u w:val="single"/>
          </w:rPr>
          <w:delText xml:space="preserve">Qualidade de vida e função física </w:delText>
        </w:r>
      </w:del>
    </w:p>
    <w:p w14:paraId="5FEFB5AC" w14:textId="7AA3E945" w:rsidR="004462A0" w:rsidRPr="008912CF" w:rsidRDefault="004462A0" w:rsidP="004462A0">
      <w:pPr>
        <w:rPr>
          <w:del w:id="2151" w:author="AbbVie2" w:date="2025-05-13T16:36:00Z"/>
          <w:sz w:val="22"/>
          <w:szCs w:val="22"/>
        </w:rPr>
      </w:pPr>
    </w:p>
    <w:p w14:paraId="0A196A65" w14:textId="0EBBBFEB" w:rsidR="004462A0" w:rsidRPr="008912CF" w:rsidRDefault="00615769" w:rsidP="004462A0">
      <w:pPr>
        <w:rPr>
          <w:del w:id="2152" w:author="AbbVie2" w:date="2025-05-13T16:36:00Z"/>
          <w:sz w:val="22"/>
          <w:szCs w:val="22"/>
        </w:rPr>
      </w:pPr>
      <w:del w:id="2153" w:author="AbbVie2" w:date="2025-05-13T16:36:00Z">
        <w:r w:rsidRPr="008912CF">
          <w:rPr>
            <w:sz w:val="22"/>
            <w:szCs w:val="22"/>
          </w:rPr>
          <w:delText xml:space="preserve">A qualidade de vida relacionada com a saúde e a função física foram avaliadas utilizando o índice de incapacidade do Questionário de Avaliação da Saúde (HAQ </w:delText>
        </w:r>
        <w:r w:rsidR="000B426B">
          <w:rPr>
            <w:sz w:val="22"/>
            <w:szCs w:val="22"/>
          </w:rPr>
          <w:delText>–</w:delText>
        </w:r>
        <w:r w:rsidRPr="008912CF">
          <w:rPr>
            <w:sz w:val="22"/>
            <w:szCs w:val="22"/>
          </w:rPr>
          <w:delText xml:space="preserve"> </w:delText>
        </w:r>
        <w:r w:rsidRPr="008912CF">
          <w:rPr>
            <w:i/>
            <w:sz w:val="22"/>
            <w:szCs w:val="22"/>
          </w:rPr>
          <w:delText>Health Assessment Questionnaire</w:delText>
        </w:r>
        <w:r w:rsidRPr="008912CF">
          <w:rPr>
            <w:sz w:val="22"/>
            <w:szCs w:val="22"/>
          </w:rPr>
          <w:delText xml:space="preserve">) nos quatro ensaios originais bem controlados e adequados; no </w:delText>
        </w:r>
        <w:r w:rsidR="00F96DDF">
          <w:rPr>
            <w:sz w:val="22"/>
            <w:szCs w:val="22"/>
          </w:rPr>
          <w:delText>e</w:delText>
        </w:r>
        <w:r w:rsidRPr="008912CF">
          <w:rPr>
            <w:sz w:val="22"/>
            <w:szCs w:val="22"/>
          </w:rPr>
          <w:delText xml:space="preserve">studo AR III, este índice correspondeu a um </w:delText>
        </w:r>
        <w:r w:rsidR="00F96DDF">
          <w:rPr>
            <w:sz w:val="22"/>
            <w:szCs w:val="22"/>
          </w:rPr>
          <w:delText>objetivo</w:delText>
        </w:r>
        <w:r w:rsidRPr="008912CF">
          <w:rPr>
            <w:sz w:val="22"/>
            <w:szCs w:val="22"/>
          </w:rPr>
          <w:delText xml:space="preserve"> primário pré-especificado na Semana</w:delText>
        </w:r>
        <w:r>
          <w:rPr>
            <w:sz w:val="22"/>
            <w:szCs w:val="22"/>
          </w:rPr>
          <w:delText> </w:delText>
        </w:r>
        <w:r w:rsidRPr="008912CF">
          <w:rPr>
            <w:sz w:val="22"/>
            <w:szCs w:val="22"/>
          </w:rPr>
          <w:delText>52. Todas as doses/regimes posológicos de Humira utilizados nos quatro estudos associaram-se a melhorias do índice de incapacidade do HAQ desde o início do estudo até ao Mês 6, superiores às registadas com placebo, sendo a diferença estatisticamente significativa; no estudo AR III, foram comprovadas as mesmas melhorias na Se</w:delText>
        </w:r>
        <w:r w:rsidRPr="008912CF">
          <w:rPr>
            <w:sz w:val="22"/>
            <w:szCs w:val="22"/>
          </w:rPr>
          <w:delText>mana</w:delText>
        </w:r>
        <w:r>
          <w:rPr>
            <w:sz w:val="22"/>
            <w:szCs w:val="22"/>
          </w:rPr>
          <w:delText> </w:delText>
        </w:r>
        <w:r w:rsidRPr="008912CF">
          <w:rPr>
            <w:sz w:val="22"/>
            <w:szCs w:val="22"/>
          </w:rPr>
          <w:delText xml:space="preserve">52. Os resultados do </w:delText>
        </w:r>
        <w:r w:rsidRPr="008912CF">
          <w:rPr>
            <w:i/>
            <w:iCs/>
            <w:sz w:val="22"/>
            <w:szCs w:val="22"/>
          </w:rPr>
          <w:delText xml:space="preserve">Short Form Health Survey </w:delText>
        </w:r>
        <w:r w:rsidRPr="008912CF">
          <w:rPr>
            <w:sz w:val="22"/>
            <w:szCs w:val="22"/>
          </w:rPr>
          <w:delText>(SF 36) relativos a todas as doses/regimes posológicos de Humira nos quatro estudos confirmam esta informação, sendo as diferenças nas pontuações do resumo dos componentes físicos (PCS) bem como nas pontuações atribuídas à dor e domínio da vitalidade estatisticamente significativas com a dose de 40 mg administrada em semanas alternadas. Observou-se uma redução estatisticamente significativa da fadiga, determinada com base numa avaliação funcional das pontua</w:delText>
        </w:r>
        <w:r w:rsidRPr="008912CF">
          <w:rPr>
            <w:sz w:val="22"/>
            <w:szCs w:val="22"/>
          </w:rPr>
          <w:delText>ções atribuídas à terapêutica da doença crónica (FACIT) nos três estudos em que este parâmetro foi avaliado (estudos AR I, III, IV).</w:delText>
        </w:r>
      </w:del>
    </w:p>
    <w:p w14:paraId="0C134F2E" w14:textId="53BE4F0B" w:rsidR="004462A0" w:rsidRPr="008912CF" w:rsidRDefault="004462A0" w:rsidP="004462A0">
      <w:pPr>
        <w:tabs>
          <w:tab w:val="left" w:pos="1294"/>
        </w:tabs>
        <w:autoSpaceDE w:val="0"/>
        <w:autoSpaceDN w:val="0"/>
        <w:adjustRightInd w:val="0"/>
        <w:rPr>
          <w:del w:id="2154" w:author="AbbVie2" w:date="2025-05-13T16:36:00Z"/>
          <w:sz w:val="22"/>
          <w:szCs w:val="22"/>
          <w:u w:val="single"/>
        </w:rPr>
      </w:pPr>
    </w:p>
    <w:p w14:paraId="5BD14AD0" w14:textId="01E1F72C" w:rsidR="004462A0" w:rsidRPr="008912CF" w:rsidRDefault="00615769" w:rsidP="004462A0">
      <w:pPr>
        <w:tabs>
          <w:tab w:val="left" w:pos="1294"/>
        </w:tabs>
        <w:autoSpaceDE w:val="0"/>
        <w:autoSpaceDN w:val="0"/>
        <w:adjustRightInd w:val="0"/>
        <w:rPr>
          <w:del w:id="2155" w:author="AbbVie2" w:date="2025-05-13T16:36:00Z"/>
          <w:sz w:val="22"/>
          <w:szCs w:val="22"/>
          <w:u w:val="single"/>
        </w:rPr>
      </w:pPr>
      <w:del w:id="2156" w:author="AbbVie2" w:date="2025-05-13T16:36:00Z">
        <w:r w:rsidRPr="008912CF">
          <w:rPr>
            <w:sz w:val="22"/>
            <w:szCs w:val="22"/>
          </w:rPr>
          <w:delText xml:space="preserve">No estudo AR III, a maioria dos doentes que atingiram a melhoria na função física e </w:delText>
        </w:r>
        <w:r w:rsidR="009663C2">
          <w:rPr>
            <w:sz w:val="22"/>
            <w:szCs w:val="22"/>
          </w:rPr>
          <w:delText xml:space="preserve">que continuaram o </w:delText>
        </w:r>
        <w:r w:rsidRPr="008912CF">
          <w:rPr>
            <w:sz w:val="22"/>
            <w:szCs w:val="22"/>
          </w:rPr>
          <w:delText xml:space="preserve">tratamento mantiveram </w:delText>
        </w:r>
        <w:r w:rsidR="009663C2">
          <w:rPr>
            <w:sz w:val="22"/>
            <w:szCs w:val="22"/>
          </w:rPr>
          <w:delText xml:space="preserve">a </w:delText>
        </w:r>
        <w:r w:rsidRPr="008912CF">
          <w:rPr>
            <w:sz w:val="22"/>
            <w:szCs w:val="22"/>
          </w:rPr>
          <w:delText>melhoria durante a Semana</w:delText>
        </w:r>
        <w:r>
          <w:rPr>
            <w:sz w:val="22"/>
            <w:szCs w:val="22"/>
          </w:rPr>
          <w:delText> </w:delText>
        </w:r>
        <w:r w:rsidRPr="008912CF">
          <w:rPr>
            <w:sz w:val="22"/>
            <w:szCs w:val="22"/>
          </w:rPr>
          <w:delText>520 (120</w:delText>
        </w:r>
        <w:r>
          <w:rPr>
            <w:sz w:val="22"/>
            <w:szCs w:val="22"/>
          </w:rPr>
          <w:delText> </w:delText>
        </w:r>
        <w:r w:rsidRPr="008912CF">
          <w:rPr>
            <w:sz w:val="22"/>
            <w:szCs w:val="22"/>
          </w:rPr>
          <w:delText>meses) do tratamento de fase aberta. A melhoria da qualidade de vida foi avaliada até à Semana</w:delText>
        </w:r>
        <w:r>
          <w:rPr>
            <w:sz w:val="22"/>
            <w:szCs w:val="22"/>
          </w:rPr>
          <w:delText> </w:delText>
        </w:r>
        <w:r w:rsidRPr="008912CF">
          <w:rPr>
            <w:sz w:val="22"/>
            <w:szCs w:val="22"/>
          </w:rPr>
          <w:delText>156 (36</w:delText>
        </w:r>
        <w:r>
          <w:rPr>
            <w:sz w:val="22"/>
            <w:szCs w:val="22"/>
          </w:rPr>
          <w:delText> </w:delText>
        </w:r>
        <w:r w:rsidRPr="008912CF">
          <w:rPr>
            <w:sz w:val="22"/>
            <w:szCs w:val="22"/>
          </w:rPr>
          <w:delText>meses) e a melhoria foi mantida durante este período de tempo.</w:delText>
        </w:r>
      </w:del>
    </w:p>
    <w:p w14:paraId="072FE2C2" w14:textId="54D3FB4B" w:rsidR="004462A0" w:rsidRPr="008912CF" w:rsidRDefault="004462A0" w:rsidP="004462A0">
      <w:pPr>
        <w:pStyle w:val="BodyText2"/>
        <w:tabs>
          <w:tab w:val="left" w:pos="1294"/>
        </w:tabs>
        <w:rPr>
          <w:del w:id="2157" w:author="AbbVie2" w:date="2025-05-13T16:36:00Z"/>
          <w:szCs w:val="22"/>
        </w:rPr>
      </w:pPr>
    </w:p>
    <w:p w14:paraId="531AF41B" w14:textId="46B5BC3F" w:rsidR="004462A0" w:rsidRPr="008912CF" w:rsidRDefault="00615769" w:rsidP="004462A0">
      <w:pPr>
        <w:pStyle w:val="BodyText2"/>
        <w:tabs>
          <w:tab w:val="left" w:pos="1294"/>
        </w:tabs>
        <w:rPr>
          <w:del w:id="2158" w:author="AbbVie2" w:date="2025-05-13T16:36:00Z"/>
          <w:szCs w:val="22"/>
        </w:rPr>
      </w:pPr>
      <w:del w:id="2159" w:author="AbbVie2" w:date="2025-05-13T16:36:00Z">
        <w:r w:rsidRPr="008912CF">
          <w:rPr>
            <w:szCs w:val="22"/>
          </w:rPr>
          <w:delText xml:space="preserve">No estudo AR V, a associação terapêutica Humira/metotrexato demonstrou uma melhoria </w:delText>
        </w:r>
        <w:r w:rsidR="009663C2">
          <w:rPr>
            <w:szCs w:val="22"/>
          </w:rPr>
          <w:delText xml:space="preserve">superior </w:delText>
        </w:r>
        <w:r w:rsidRPr="008912CF">
          <w:rPr>
            <w:szCs w:val="22"/>
          </w:rPr>
          <w:delText>no índice de incapacidade HAQ e no componente físico do SF 36 (p &lt; 0,001) comparativamente com metotrexato e Humira em monoterapia na Semana 52, a qua</w:delText>
        </w:r>
        <w:r w:rsidR="009663C2">
          <w:rPr>
            <w:szCs w:val="22"/>
          </w:rPr>
          <w:delText>l</w:delText>
        </w:r>
        <w:r w:rsidRPr="008912CF">
          <w:rPr>
            <w:szCs w:val="22"/>
          </w:rPr>
          <w:delText xml:space="preserve"> fo</w:delText>
        </w:r>
        <w:r w:rsidR="009663C2">
          <w:rPr>
            <w:szCs w:val="22"/>
          </w:rPr>
          <w:delText>i</w:delText>
        </w:r>
        <w:r w:rsidRPr="008912CF">
          <w:rPr>
            <w:szCs w:val="22"/>
          </w:rPr>
          <w:delText xml:space="preserve"> mantida durante a Semana 104.</w:delText>
        </w:r>
        <w:r>
          <w:rPr>
            <w:szCs w:val="22"/>
          </w:rPr>
          <w:delText xml:space="preserve"> Entre os 250 doentes que completaram a extensão de fase aberta do estudo, as </w:delText>
        </w:r>
        <w:r w:rsidRPr="0085738C">
          <w:rPr>
            <w:szCs w:val="22"/>
          </w:rPr>
          <w:delText>melhorias na função física foram mantidas</w:delText>
        </w:r>
        <w:r>
          <w:rPr>
            <w:szCs w:val="22"/>
          </w:rPr>
          <w:delText xml:space="preserve"> ao longo dos </w:delText>
        </w:r>
        <w:r w:rsidRPr="0085738C">
          <w:rPr>
            <w:szCs w:val="22"/>
          </w:rPr>
          <w:delText>10 anos de tratamento</w:delText>
        </w:r>
        <w:r>
          <w:rPr>
            <w:szCs w:val="22"/>
          </w:rPr>
          <w:delText>.</w:delText>
        </w:r>
      </w:del>
    </w:p>
    <w:p w14:paraId="4C13A286" w14:textId="4503A723" w:rsidR="004462A0" w:rsidRPr="008912CF" w:rsidRDefault="004462A0" w:rsidP="004462A0">
      <w:pPr>
        <w:pStyle w:val="Heading9"/>
        <w:keepNext w:val="0"/>
        <w:rPr>
          <w:del w:id="2160" w:author="AbbVie2" w:date="2025-05-13T16:36:00Z"/>
          <w:szCs w:val="22"/>
        </w:rPr>
      </w:pPr>
    </w:p>
    <w:p w14:paraId="284ECC0B" w14:textId="18EFCCF9" w:rsidR="004462A0" w:rsidRPr="008912CF" w:rsidRDefault="00615769" w:rsidP="004462A0">
      <w:pPr>
        <w:pStyle w:val="Heading9"/>
        <w:rPr>
          <w:del w:id="2161" w:author="AbbVie2" w:date="2025-05-13T16:36:00Z"/>
          <w:szCs w:val="22"/>
          <w:u w:val="none"/>
        </w:rPr>
      </w:pPr>
      <w:del w:id="2162" w:author="AbbVie2" w:date="2025-05-13T16:36:00Z">
        <w:r w:rsidRPr="008912CF">
          <w:rPr>
            <w:i/>
            <w:szCs w:val="22"/>
            <w:u w:val="none"/>
          </w:rPr>
          <w:delText>Psoríase em placas no adulto</w:delText>
        </w:r>
      </w:del>
    </w:p>
    <w:p w14:paraId="71F681E8" w14:textId="429719A4" w:rsidR="004462A0" w:rsidRPr="008912CF" w:rsidRDefault="004462A0" w:rsidP="004462A0">
      <w:pPr>
        <w:keepNext/>
        <w:rPr>
          <w:del w:id="2163" w:author="AbbVie2" w:date="2025-05-13T16:36:00Z"/>
          <w:sz w:val="22"/>
          <w:szCs w:val="22"/>
          <w:u w:val="single"/>
        </w:rPr>
      </w:pPr>
    </w:p>
    <w:p w14:paraId="18E29F2A" w14:textId="5D6FB182" w:rsidR="004462A0" w:rsidRPr="008912CF" w:rsidRDefault="00615769" w:rsidP="004462A0">
      <w:pPr>
        <w:keepNext/>
        <w:rPr>
          <w:del w:id="2164" w:author="AbbVie2" w:date="2025-05-13T16:36:00Z"/>
          <w:sz w:val="22"/>
          <w:szCs w:val="22"/>
        </w:rPr>
      </w:pPr>
      <w:del w:id="2165" w:author="AbbVie2" w:date="2025-05-13T16:36:00Z">
        <w:r w:rsidRPr="008912CF">
          <w:rPr>
            <w:sz w:val="22"/>
            <w:szCs w:val="22"/>
          </w:rPr>
          <w:delText xml:space="preserve">A segurança e eficácia de Humira foram avaliadas em estudos </w:delText>
        </w:r>
        <w:r w:rsidR="0013275C">
          <w:rPr>
            <w:sz w:val="22"/>
            <w:szCs w:val="22"/>
          </w:rPr>
          <w:delText>aleatorizado</w:delText>
        </w:r>
        <w:r w:rsidRPr="008912CF">
          <w:rPr>
            <w:sz w:val="22"/>
            <w:szCs w:val="22"/>
          </w:rPr>
          <w:delText>s, com dupla ocultação, em doentes adultos com psoríase crónica em placas (BSA </w:delText>
        </w:r>
        <w:r w:rsidRPr="008912CF">
          <w:rPr>
            <w:rFonts w:ascii="Symbol" w:hAnsi="Symbol"/>
            <w:sz w:val="22"/>
            <w:szCs w:val="22"/>
          </w:rPr>
          <w:sym w:font="Symbol" w:char="F0B3"/>
        </w:r>
        <w:r w:rsidRPr="008912CF">
          <w:rPr>
            <w:sz w:val="22"/>
            <w:szCs w:val="22"/>
          </w:rPr>
          <w:delText xml:space="preserve"> 10% e  PASI </w:delText>
        </w:r>
        <w:r w:rsidRPr="008912CF">
          <w:rPr>
            <w:rFonts w:ascii="Symbol" w:hAnsi="Symbol"/>
            <w:sz w:val="22"/>
            <w:szCs w:val="22"/>
          </w:rPr>
          <w:sym w:font="Symbol" w:char="F0B3"/>
        </w:r>
        <w:r w:rsidRPr="008912CF">
          <w:rPr>
            <w:sz w:val="22"/>
            <w:szCs w:val="22"/>
          </w:rPr>
          <w:delText xml:space="preserve"> 12 ou </w:delText>
        </w:r>
        <w:r w:rsidRPr="008912CF">
          <w:rPr>
            <w:rFonts w:ascii="Symbol" w:hAnsi="Symbol"/>
            <w:sz w:val="22"/>
            <w:szCs w:val="22"/>
          </w:rPr>
          <w:sym w:font="Symbol" w:char="F0B3"/>
        </w:r>
        <w:r w:rsidRPr="008912CF">
          <w:rPr>
            <w:sz w:val="22"/>
            <w:szCs w:val="22"/>
          </w:rPr>
          <w:delText xml:space="preserve"> 10), que </w:delText>
        </w:r>
        <w:r w:rsidR="005049F7">
          <w:rPr>
            <w:sz w:val="22"/>
            <w:szCs w:val="22"/>
          </w:rPr>
          <w:delText>e</w:delText>
        </w:r>
        <w:r w:rsidRPr="008912CF">
          <w:rPr>
            <w:sz w:val="22"/>
            <w:szCs w:val="22"/>
          </w:rPr>
          <w:delText>ram candidatos a uma terapêutica sistémica ou fototerapia. 73</w:delText>
        </w:r>
        <w:r w:rsidR="009343EF">
          <w:rPr>
            <w:sz w:val="22"/>
            <w:szCs w:val="22"/>
          </w:rPr>
          <w:delText>%</w:delText>
        </w:r>
        <w:r w:rsidRPr="008912CF">
          <w:rPr>
            <w:sz w:val="22"/>
            <w:szCs w:val="22"/>
          </w:rPr>
          <w:delText xml:space="preserve"> dos doentes envolvidos nos estudos I e II da Psoríase receberam previamente terapêutica sistémica ou fototerapia. </w:delText>
        </w:r>
        <w:r w:rsidR="005049F7">
          <w:rPr>
            <w:sz w:val="22"/>
            <w:szCs w:val="22"/>
          </w:rPr>
          <w:delText xml:space="preserve">A segurança e eficácia de Humira foram também avaliadas num estudo aleatorizado em dupla ocultação (Estudo III na Psoríase) em doentes adultos com </w:delText>
        </w:r>
        <w:r w:rsidR="005049F7" w:rsidRPr="008912CF">
          <w:rPr>
            <w:sz w:val="22"/>
            <w:szCs w:val="22"/>
          </w:rPr>
          <w:delText>psoríase crónica em placas</w:delText>
        </w:r>
        <w:r w:rsidR="005049F7">
          <w:rPr>
            <w:sz w:val="22"/>
            <w:szCs w:val="22"/>
          </w:rPr>
          <w:delText xml:space="preserve"> </w:delText>
        </w:r>
        <w:r w:rsidR="005049F7" w:rsidRPr="00092159">
          <w:rPr>
            <w:sz w:val="22"/>
            <w:szCs w:val="22"/>
          </w:rPr>
          <w:delText xml:space="preserve">moderada a grave </w:delText>
        </w:r>
        <w:r w:rsidR="005049F7" w:rsidRPr="00D43E7A">
          <w:rPr>
            <w:sz w:val="22"/>
            <w:szCs w:val="22"/>
          </w:rPr>
          <w:delText>e psoríase palmar e/ou plantar</w:delText>
        </w:r>
        <w:r w:rsidR="005049F7">
          <w:rPr>
            <w:sz w:val="22"/>
            <w:szCs w:val="22"/>
          </w:rPr>
          <w:delText xml:space="preserve"> concomitante</w:delText>
        </w:r>
        <w:r w:rsidR="005049F7" w:rsidRPr="00D43E7A">
          <w:rPr>
            <w:sz w:val="22"/>
            <w:szCs w:val="22"/>
          </w:rPr>
          <w:delText xml:space="preserve">, </w:delText>
        </w:r>
        <w:r w:rsidR="005049F7" w:rsidRPr="00092159">
          <w:rPr>
            <w:sz w:val="22"/>
            <w:szCs w:val="22"/>
          </w:rPr>
          <w:delText xml:space="preserve">que </w:delText>
        </w:r>
        <w:r w:rsidR="005049F7">
          <w:rPr>
            <w:sz w:val="22"/>
            <w:szCs w:val="22"/>
          </w:rPr>
          <w:delText>e</w:delText>
        </w:r>
        <w:r w:rsidR="005049F7" w:rsidRPr="00092159">
          <w:rPr>
            <w:sz w:val="22"/>
            <w:szCs w:val="22"/>
          </w:rPr>
          <w:delText xml:space="preserve">ram candidatos a uma terapêutica sistémica. </w:delText>
        </w:r>
      </w:del>
    </w:p>
    <w:p w14:paraId="4900C7BA" w14:textId="20F9BF37" w:rsidR="004462A0" w:rsidRPr="008912CF" w:rsidRDefault="004462A0" w:rsidP="004462A0">
      <w:pPr>
        <w:rPr>
          <w:del w:id="2166" w:author="AbbVie2" w:date="2025-05-13T16:36:00Z"/>
          <w:sz w:val="22"/>
          <w:szCs w:val="22"/>
        </w:rPr>
      </w:pPr>
    </w:p>
    <w:p w14:paraId="3DFB10A0" w14:textId="53D98A96" w:rsidR="004462A0" w:rsidRPr="008912CF" w:rsidRDefault="00615769" w:rsidP="004462A0">
      <w:pPr>
        <w:rPr>
          <w:del w:id="2167" w:author="AbbVie2" w:date="2025-05-13T16:36:00Z"/>
          <w:sz w:val="22"/>
          <w:szCs w:val="22"/>
        </w:rPr>
      </w:pPr>
      <w:del w:id="2168" w:author="AbbVie2" w:date="2025-05-13T16:36:00Z">
        <w:r w:rsidRPr="008912CF">
          <w:rPr>
            <w:sz w:val="22"/>
            <w:szCs w:val="22"/>
          </w:rPr>
          <w:delText>O estudo I na Psoríase (REVEAL) avaliou 1.212 doentes em três períodos de tratamento. No período A, os doentes receberam placebo ou Humira numa dose inicial de 80 mg seguida de 40 mg em semanas alternadas, uma semana após a dose inicial. Os doentes que atingiram pelo menos uma resposta PASI 75 (melhoria de pelo menos 75</w:delText>
        </w:r>
        <w:r w:rsidR="009343EF">
          <w:rPr>
            <w:sz w:val="22"/>
            <w:szCs w:val="22"/>
          </w:rPr>
          <w:delText>%</w:delText>
        </w:r>
        <w:r w:rsidRPr="008912CF">
          <w:rPr>
            <w:sz w:val="22"/>
            <w:szCs w:val="22"/>
          </w:rPr>
          <w:delText xml:space="preserve"> no PASI em relação à avaliação basal), após 16 semanas de terapêutica, entraram no período B e receberam 40 mg de Humira em fase aberta, em semanas alternadas. Os doentes que mantiveram uma resposta </w:delText>
        </w:r>
        <w:r w:rsidRPr="008912CF">
          <w:rPr>
            <w:rFonts w:ascii="Symbol" w:hAnsi="Symbol"/>
            <w:sz w:val="22"/>
            <w:szCs w:val="22"/>
          </w:rPr>
          <w:sym w:font="Symbol" w:char="F0B3"/>
        </w:r>
        <w:r w:rsidRPr="008912CF">
          <w:rPr>
            <w:sz w:val="22"/>
            <w:szCs w:val="22"/>
          </w:rPr>
          <w:delText xml:space="preserve"> PASI 75 à Semana 33 e </w:delText>
        </w:r>
        <w:r w:rsidR="005049F7">
          <w:rPr>
            <w:sz w:val="22"/>
            <w:szCs w:val="22"/>
          </w:rPr>
          <w:delText>tinham sido</w:delText>
        </w:r>
        <w:r w:rsidR="005049F7" w:rsidRPr="008912CF">
          <w:rPr>
            <w:sz w:val="22"/>
            <w:szCs w:val="22"/>
          </w:rPr>
          <w:delText xml:space="preserve"> </w:delText>
        </w:r>
        <w:r w:rsidRPr="008912CF">
          <w:rPr>
            <w:sz w:val="22"/>
            <w:szCs w:val="22"/>
          </w:rPr>
          <w:delText xml:space="preserve">originalmente </w:delText>
        </w:r>
        <w:r w:rsidR="0013275C">
          <w:rPr>
            <w:sz w:val="22"/>
            <w:szCs w:val="22"/>
          </w:rPr>
          <w:delText>aleatorizado</w:delText>
        </w:r>
        <w:r w:rsidRPr="008912CF">
          <w:rPr>
            <w:sz w:val="22"/>
            <w:szCs w:val="22"/>
          </w:rPr>
          <w:delText xml:space="preserve">s para uma terapêutica ativa no Período A, foram de novo </w:delText>
        </w:r>
        <w:r w:rsidR="0013275C">
          <w:rPr>
            <w:sz w:val="22"/>
            <w:szCs w:val="22"/>
          </w:rPr>
          <w:delText>aleatorizado</w:delText>
        </w:r>
        <w:r w:rsidRPr="008912CF">
          <w:rPr>
            <w:sz w:val="22"/>
            <w:szCs w:val="22"/>
          </w:rPr>
          <w:delText>s no período C para receberem 40 mg de Humira em semanas alternadas ou placebo, por um período adicional de 19 semanas. Em todos os grupos de tratamento, a pontuação basal média PA</w:delText>
        </w:r>
        <w:r w:rsidRPr="008912CF">
          <w:rPr>
            <w:sz w:val="22"/>
            <w:szCs w:val="22"/>
          </w:rPr>
          <w:delText>SI foi 18,9 e o PGA foi classificado entre “moderada” (53</w:delText>
        </w:r>
        <w:r w:rsidR="009343EF">
          <w:rPr>
            <w:sz w:val="22"/>
            <w:szCs w:val="22"/>
          </w:rPr>
          <w:delText>%</w:delText>
        </w:r>
        <w:r w:rsidRPr="008912CF">
          <w:rPr>
            <w:sz w:val="22"/>
            <w:szCs w:val="22"/>
          </w:rPr>
          <w:delText xml:space="preserve"> dos doentes incluídos) a “grave” (41</w:delText>
        </w:r>
        <w:r w:rsidR="009343EF">
          <w:rPr>
            <w:sz w:val="22"/>
            <w:szCs w:val="22"/>
          </w:rPr>
          <w:delText>%</w:delText>
        </w:r>
        <w:r w:rsidRPr="008912CF">
          <w:rPr>
            <w:sz w:val="22"/>
            <w:szCs w:val="22"/>
          </w:rPr>
          <w:delText>) a “muito grave” (6</w:delText>
        </w:r>
        <w:r w:rsidR="009343EF">
          <w:rPr>
            <w:sz w:val="22"/>
            <w:szCs w:val="22"/>
          </w:rPr>
          <w:delText>%</w:delText>
        </w:r>
        <w:r w:rsidRPr="008912CF">
          <w:rPr>
            <w:sz w:val="22"/>
            <w:szCs w:val="22"/>
          </w:rPr>
          <w:delText>).</w:delText>
        </w:r>
      </w:del>
    </w:p>
    <w:p w14:paraId="63B98CBC" w14:textId="5BA67BA6" w:rsidR="004462A0" w:rsidRPr="008912CF" w:rsidRDefault="004462A0" w:rsidP="004462A0">
      <w:pPr>
        <w:rPr>
          <w:del w:id="2169" w:author="AbbVie2" w:date="2025-05-13T16:36:00Z"/>
          <w:sz w:val="22"/>
          <w:szCs w:val="22"/>
        </w:rPr>
      </w:pPr>
    </w:p>
    <w:p w14:paraId="6058F47E" w14:textId="391C097A" w:rsidR="004462A0" w:rsidRPr="008912CF" w:rsidRDefault="00615769" w:rsidP="004462A0">
      <w:pPr>
        <w:autoSpaceDE w:val="0"/>
        <w:autoSpaceDN w:val="0"/>
        <w:adjustRightInd w:val="0"/>
        <w:rPr>
          <w:del w:id="2170" w:author="AbbVie2" w:date="2025-05-13T16:36:00Z"/>
          <w:sz w:val="22"/>
          <w:szCs w:val="22"/>
        </w:rPr>
      </w:pPr>
      <w:del w:id="2171" w:author="AbbVie2" w:date="2025-05-13T16:36:00Z">
        <w:r w:rsidRPr="008912CF">
          <w:rPr>
            <w:sz w:val="22"/>
            <w:szCs w:val="22"/>
          </w:rPr>
          <w:delText xml:space="preserve">O estudo II na Psoríase (CHAMPION) comparou a eficácia e segurança de Humira versus metotrexato e placebo em 271 doentes. Os doentes receberam placebo, numa dose inicial de 7,5 mg de MTX com um aumento de dose </w:delText>
        </w:r>
        <w:r w:rsidR="005049F7">
          <w:rPr>
            <w:sz w:val="22"/>
            <w:szCs w:val="22"/>
          </w:rPr>
          <w:delText xml:space="preserve">até </w:delText>
        </w:r>
        <w:r w:rsidRPr="008912CF">
          <w:rPr>
            <w:sz w:val="22"/>
            <w:szCs w:val="22"/>
          </w:rPr>
          <w:delText>à Semana</w:delText>
        </w:r>
        <w:r>
          <w:rPr>
            <w:sz w:val="22"/>
            <w:szCs w:val="22"/>
          </w:rPr>
          <w:delText> </w:delText>
        </w:r>
        <w:r w:rsidRPr="008912CF">
          <w:rPr>
            <w:sz w:val="22"/>
            <w:szCs w:val="22"/>
          </w:rPr>
          <w:delText xml:space="preserve">12, com uma dose máxima de 25 mg ou uma dose inicial de 80 mg de Humira seguida de 40 mg em semanas alternadas (uma semana após a dose inicial), durante 16 semanas. Não existem dados disponíveis sobre a comparação de Humira e MTX para além de 16 semanas de terapêutica. Os doentes tratados com MTX que atingiram uma resposta </w:delText>
        </w:r>
        <w:r w:rsidRPr="008912CF">
          <w:rPr>
            <w:rFonts w:ascii="Symbol" w:hAnsi="Symbol"/>
            <w:sz w:val="22"/>
            <w:szCs w:val="22"/>
          </w:rPr>
          <w:sym w:font="Symbol" w:char="F0B3"/>
        </w:r>
        <w:r w:rsidRPr="008912CF">
          <w:rPr>
            <w:sz w:val="22"/>
            <w:szCs w:val="22"/>
          </w:rPr>
          <w:delText xml:space="preserve"> PASI 50 na Semana 8 e/ou 12, não receberam mais aumentos de dose. Em todos os grupos de tratamento, a pontuação basal média </w:delText>
        </w:r>
        <w:r w:rsidRPr="008912CF">
          <w:rPr>
            <w:caps/>
            <w:sz w:val="22"/>
            <w:szCs w:val="22"/>
          </w:rPr>
          <w:delText>Pasi</w:delText>
        </w:r>
        <w:r w:rsidRPr="008912CF">
          <w:rPr>
            <w:sz w:val="22"/>
            <w:szCs w:val="22"/>
          </w:rPr>
          <w:delText xml:space="preserve"> foi 19,7 e o PGA foi classificado entre “li</w:delText>
        </w:r>
        <w:r w:rsidRPr="008912CF">
          <w:rPr>
            <w:sz w:val="22"/>
            <w:szCs w:val="22"/>
          </w:rPr>
          <w:delText>geir</w:delText>
        </w:r>
        <w:r w:rsidR="00601734">
          <w:rPr>
            <w:sz w:val="22"/>
            <w:szCs w:val="22"/>
          </w:rPr>
          <w:delText>a</w:delText>
        </w:r>
        <w:r w:rsidRPr="008912CF">
          <w:rPr>
            <w:sz w:val="22"/>
            <w:szCs w:val="22"/>
          </w:rPr>
          <w:delText>” (&lt; 1</w:delText>
        </w:r>
        <w:r w:rsidR="009343EF">
          <w:rPr>
            <w:sz w:val="22"/>
            <w:szCs w:val="22"/>
          </w:rPr>
          <w:delText>%</w:delText>
        </w:r>
        <w:r w:rsidRPr="008912CF">
          <w:rPr>
            <w:sz w:val="22"/>
            <w:szCs w:val="22"/>
          </w:rPr>
          <w:delText>) a “moderad</w:delText>
        </w:r>
        <w:r w:rsidR="00601734">
          <w:rPr>
            <w:sz w:val="22"/>
            <w:szCs w:val="22"/>
          </w:rPr>
          <w:delText>a</w:delText>
        </w:r>
        <w:r w:rsidRPr="008912CF">
          <w:rPr>
            <w:sz w:val="22"/>
            <w:szCs w:val="22"/>
          </w:rPr>
          <w:delText>” (48</w:delText>
        </w:r>
        <w:r w:rsidR="009343EF">
          <w:rPr>
            <w:sz w:val="22"/>
            <w:szCs w:val="22"/>
          </w:rPr>
          <w:delText>%</w:delText>
        </w:r>
        <w:r w:rsidRPr="008912CF">
          <w:rPr>
            <w:sz w:val="22"/>
            <w:szCs w:val="22"/>
          </w:rPr>
          <w:delText>) a “grave” (46</w:delText>
        </w:r>
        <w:r w:rsidR="009343EF">
          <w:rPr>
            <w:sz w:val="22"/>
            <w:szCs w:val="22"/>
          </w:rPr>
          <w:delText>%</w:delText>
        </w:r>
        <w:r w:rsidRPr="008912CF">
          <w:rPr>
            <w:sz w:val="22"/>
            <w:szCs w:val="22"/>
          </w:rPr>
          <w:delText>) a “muito grave” (6</w:delText>
        </w:r>
        <w:r w:rsidR="009343EF">
          <w:rPr>
            <w:sz w:val="22"/>
            <w:szCs w:val="22"/>
          </w:rPr>
          <w:delText>%</w:delText>
        </w:r>
        <w:r w:rsidRPr="008912CF">
          <w:rPr>
            <w:sz w:val="22"/>
            <w:szCs w:val="22"/>
          </w:rPr>
          <w:delText>).</w:delText>
        </w:r>
      </w:del>
    </w:p>
    <w:p w14:paraId="4FA86AB4" w14:textId="03A460DF" w:rsidR="004462A0" w:rsidRPr="008912CF" w:rsidRDefault="004462A0" w:rsidP="004462A0">
      <w:pPr>
        <w:autoSpaceDE w:val="0"/>
        <w:autoSpaceDN w:val="0"/>
        <w:adjustRightInd w:val="0"/>
        <w:rPr>
          <w:del w:id="2172" w:author="AbbVie2" w:date="2025-05-13T16:36:00Z"/>
          <w:sz w:val="22"/>
          <w:szCs w:val="22"/>
        </w:rPr>
      </w:pPr>
    </w:p>
    <w:p w14:paraId="0B124892" w14:textId="278F1240" w:rsidR="004462A0" w:rsidRPr="008912CF" w:rsidRDefault="00615769" w:rsidP="004462A0">
      <w:pPr>
        <w:autoSpaceDE w:val="0"/>
        <w:autoSpaceDN w:val="0"/>
        <w:adjustRightInd w:val="0"/>
        <w:rPr>
          <w:del w:id="2173" w:author="AbbVie2" w:date="2025-05-13T16:36:00Z"/>
          <w:sz w:val="22"/>
          <w:szCs w:val="22"/>
        </w:rPr>
      </w:pPr>
      <w:del w:id="2174" w:author="AbbVie2" w:date="2025-05-13T16:36:00Z">
        <w:r w:rsidRPr="008912CF">
          <w:rPr>
            <w:sz w:val="22"/>
            <w:szCs w:val="22"/>
          </w:rPr>
          <w:delText>Os doentes que participaram em todos os estudos de Fase 2 e Fase 3 na psoríase foram elegíveis para inclusão num ensaio de extensão de fase aberta, no qual Humira foi administrado durante, pelo menos, 108 semanas adicionais.</w:delText>
        </w:r>
      </w:del>
    </w:p>
    <w:p w14:paraId="5776BFF6" w14:textId="36BBF65F" w:rsidR="004462A0" w:rsidRPr="008912CF" w:rsidRDefault="004462A0" w:rsidP="004462A0">
      <w:pPr>
        <w:rPr>
          <w:del w:id="2175" w:author="AbbVie2" w:date="2025-05-13T16:36:00Z"/>
          <w:iCs/>
          <w:sz w:val="22"/>
          <w:szCs w:val="22"/>
        </w:rPr>
      </w:pPr>
    </w:p>
    <w:p w14:paraId="01AF1FAE" w14:textId="6C2344F4" w:rsidR="004462A0" w:rsidRPr="008912CF" w:rsidRDefault="00615769" w:rsidP="004462A0">
      <w:pPr>
        <w:rPr>
          <w:del w:id="2176" w:author="AbbVie2" w:date="2025-05-13T16:36:00Z"/>
          <w:sz w:val="22"/>
          <w:szCs w:val="22"/>
        </w:rPr>
      </w:pPr>
      <w:del w:id="2177" w:author="AbbVie2" w:date="2025-05-13T16:36:00Z">
        <w:r w:rsidRPr="008912CF">
          <w:rPr>
            <w:iCs/>
            <w:sz w:val="22"/>
            <w:szCs w:val="22"/>
          </w:rPr>
          <w:delText xml:space="preserve">Nos estudos I e II na Psoríase, o objetivo primário foi a percentagem de doentes que atingiram uma resposta PASI 75, desde a avaliação basal, à Semana 16 </w:delText>
        </w:r>
        <w:r w:rsidRPr="008912CF">
          <w:rPr>
            <w:sz w:val="22"/>
            <w:szCs w:val="22"/>
          </w:rPr>
          <w:delText xml:space="preserve">(ver Tabelas </w:delText>
        </w:r>
        <w:r w:rsidR="00D01EDE">
          <w:rPr>
            <w:sz w:val="22"/>
            <w:szCs w:val="22"/>
          </w:rPr>
          <w:delText>1</w:delText>
        </w:r>
        <w:r w:rsidR="00D105CA">
          <w:rPr>
            <w:sz w:val="22"/>
            <w:szCs w:val="22"/>
          </w:rPr>
          <w:delText>2</w:delText>
        </w:r>
        <w:r w:rsidRPr="008912CF">
          <w:rPr>
            <w:sz w:val="22"/>
            <w:szCs w:val="22"/>
          </w:rPr>
          <w:delText xml:space="preserve"> e </w:delText>
        </w:r>
        <w:r w:rsidR="00D01EDE">
          <w:rPr>
            <w:sz w:val="22"/>
            <w:szCs w:val="22"/>
          </w:rPr>
          <w:delText>1</w:delText>
        </w:r>
        <w:r w:rsidR="00D105CA">
          <w:rPr>
            <w:sz w:val="22"/>
            <w:szCs w:val="22"/>
          </w:rPr>
          <w:delText>3</w:delText>
        </w:r>
        <w:r w:rsidRPr="008912CF">
          <w:rPr>
            <w:sz w:val="22"/>
            <w:szCs w:val="22"/>
          </w:rPr>
          <w:delText>).</w:delText>
        </w:r>
      </w:del>
    </w:p>
    <w:p w14:paraId="365F0B7C" w14:textId="201934E3" w:rsidR="004462A0" w:rsidRPr="008912CF" w:rsidRDefault="004462A0" w:rsidP="004462A0">
      <w:pPr>
        <w:pStyle w:val="EndnoteText"/>
        <w:tabs>
          <w:tab w:val="clear" w:pos="567"/>
        </w:tabs>
        <w:autoSpaceDE w:val="0"/>
        <w:autoSpaceDN w:val="0"/>
        <w:adjustRightInd w:val="0"/>
        <w:rPr>
          <w:del w:id="2178" w:author="AbbVie2" w:date="2025-05-13T16:36:00Z"/>
          <w:szCs w:val="22"/>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A7162A" w14:paraId="022FA0F3" w14:textId="365CD67B" w:rsidTr="00F675CF">
        <w:trPr>
          <w:cantSplit/>
          <w:jc w:val="center"/>
          <w:del w:id="2179" w:author="AbbVie2" w:date="2025-05-13T16:36:00Z"/>
        </w:trPr>
        <w:tc>
          <w:tcPr>
            <w:tcW w:w="6949" w:type="dxa"/>
            <w:gridSpan w:val="3"/>
            <w:tcBorders>
              <w:top w:val="nil"/>
              <w:left w:val="nil"/>
              <w:right w:val="nil"/>
            </w:tcBorders>
          </w:tcPr>
          <w:p w14:paraId="77487381" w14:textId="496DF0D8" w:rsidR="004462A0" w:rsidRPr="008912CF" w:rsidRDefault="00615769" w:rsidP="00F675CF">
            <w:pPr>
              <w:pStyle w:val="DefaultText"/>
              <w:keepNext/>
              <w:jc w:val="center"/>
              <w:rPr>
                <w:del w:id="2180" w:author="AbbVie2" w:date="2025-05-13T16:36:00Z"/>
                <w:rFonts w:ascii="Times New Roman" w:hAnsi="Times New Roman"/>
                <w:b/>
                <w:bCs w:val="0"/>
                <w:szCs w:val="22"/>
                <w:lang w:val="pt-PT"/>
              </w:rPr>
            </w:pPr>
            <w:del w:id="2181" w:author="AbbVie2" w:date="2025-05-13T16:36:00Z">
              <w:r w:rsidRPr="008912CF">
                <w:rPr>
                  <w:rFonts w:ascii="Times New Roman" w:hAnsi="Times New Roman"/>
                  <w:b/>
                  <w:bCs w:val="0"/>
                  <w:szCs w:val="22"/>
                  <w:lang w:val="pt-PT"/>
                </w:rPr>
                <w:delText xml:space="preserve">Tabela </w:delText>
              </w:r>
              <w:r w:rsidR="00D01EDE">
                <w:rPr>
                  <w:rFonts w:ascii="Times New Roman" w:hAnsi="Times New Roman"/>
                  <w:b/>
                  <w:bCs w:val="0"/>
                  <w:szCs w:val="22"/>
                  <w:lang w:val="pt-PT"/>
                </w:rPr>
                <w:delText>1</w:delText>
              </w:r>
              <w:r w:rsidR="00D105CA">
                <w:rPr>
                  <w:rFonts w:ascii="Times New Roman" w:hAnsi="Times New Roman"/>
                  <w:b/>
                  <w:bCs w:val="0"/>
                  <w:szCs w:val="22"/>
                  <w:lang w:val="pt-PT"/>
                </w:rPr>
                <w:delText>2</w:delText>
              </w:r>
            </w:del>
          </w:p>
          <w:p w14:paraId="31841C71" w14:textId="13A37179" w:rsidR="004462A0" w:rsidRPr="008912CF" w:rsidRDefault="00615769" w:rsidP="00F675CF">
            <w:pPr>
              <w:pStyle w:val="DefaultText"/>
              <w:keepNext/>
              <w:jc w:val="center"/>
              <w:rPr>
                <w:del w:id="2182" w:author="AbbVie2" w:date="2025-05-13T16:36:00Z"/>
                <w:rFonts w:ascii="Times New Roman" w:hAnsi="Times New Roman"/>
                <w:b/>
                <w:bCs w:val="0"/>
                <w:szCs w:val="22"/>
                <w:lang w:val="pt-PT"/>
              </w:rPr>
            </w:pPr>
            <w:del w:id="2183" w:author="AbbVie2" w:date="2025-05-13T16:36:00Z">
              <w:r w:rsidRPr="008912CF">
                <w:rPr>
                  <w:rFonts w:ascii="Times New Roman" w:hAnsi="Times New Roman"/>
                  <w:b/>
                  <w:bCs w:val="0"/>
                  <w:szCs w:val="22"/>
                  <w:lang w:val="pt-PT"/>
                </w:rPr>
                <w:delText>Estudo I na Psoríase (REVEAL)</w:delText>
              </w:r>
            </w:del>
          </w:p>
          <w:p w14:paraId="3443E934" w14:textId="6C7533FB" w:rsidR="004462A0" w:rsidRPr="008912CF" w:rsidRDefault="00615769" w:rsidP="00F675CF">
            <w:pPr>
              <w:pStyle w:val="DefaultText"/>
              <w:keepNext/>
              <w:jc w:val="center"/>
              <w:rPr>
                <w:del w:id="2184" w:author="AbbVie2" w:date="2025-05-13T16:36:00Z"/>
                <w:rFonts w:ascii="Times New Roman" w:hAnsi="Times New Roman"/>
                <w:b/>
                <w:bCs w:val="0"/>
                <w:szCs w:val="22"/>
                <w:lang w:val="pt-PT"/>
              </w:rPr>
            </w:pPr>
            <w:del w:id="2185" w:author="AbbVie2" w:date="2025-05-13T16:36:00Z">
              <w:r w:rsidRPr="008912CF">
                <w:rPr>
                  <w:rFonts w:ascii="Times New Roman" w:hAnsi="Times New Roman"/>
                  <w:b/>
                  <w:bCs w:val="0"/>
                  <w:szCs w:val="22"/>
                  <w:lang w:val="pt-PT"/>
                </w:rPr>
                <w:delText>Resultados de Eficácia à</w:delText>
              </w:r>
              <w:r w:rsidR="005049F7">
                <w:rPr>
                  <w:rFonts w:ascii="Times New Roman" w:hAnsi="Times New Roman"/>
                  <w:b/>
                  <w:bCs w:val="0"/>
                  <w:szCs w:val="22"/>
                  <w:lang w:val="pt-PT"/>
                </w:rPr>
                <w:delText xml:space="preserve"> Semana</w:delText>
              </w:r>
              <w:r w:rsidRPr="008912CF">
                <w:rPr>
                  <w:rFonts w:ascii="Times New Roman" w:hAnsi="Times New Roman"/>
                  <w:b/>
                  <w:bCs w:val="0"/>
                  <w:szCs w:val="22"/>
                  <w:lang w:val="pt-PT"/>
                </w:rPr>
                <w:delText xml:space="preserve"> 16</w:delText>
              </w:r>
            </w:del>
          </w:p>
          <w:p w14:paraId="2C5634AD" w14:textId="6758024B" w:rsidR="004462A0" w:rsidRPr="008912CF" w:rsidRDefault="004462A0" w:rsidP="00F675CF">
            <w:pPr>
              <w:pStyle w:val="DefaultText"/>
              <w:keepNext/>
              <w:jc w:val="center"/>
              <w:rPr>
                <w:del w:id="2186" w:author="AbbVie2" w:date="2025-05-13T16:36:00Z"/>
                <w:rFonts w:ascii="Times New Roman" w:hAnsi="Times New Roman"/>
                <w:b/>
                <w:bCs w:val="0"/>
                <w:szCs w:val="22"/>
                <w:u w:val="single"/>
                <w:lang w:val="pt-PT"/>
              </w:rPr>
            </w:pPr>
          </w:p>
        </w:tc>
      </w:tr>
      <w:tr w:rsidR="00A7162A" w14:paraId="20AF27C0" w14:textId="2DE98C19" w:rsidTr="00F675CF">
        <w:trPr>
          <w:cantSplit/>
          <w:jc w:val="center"/>
          <w:del w:id="2187" w:author="AbbVie2" w:date="2025-05-13T16:36:00Z"/>
        </w:trPr>
        <w:tc>
          <w:tcPr>
            <w:tcW w:w="2977" w:type="dxa"/>
            <w:vAlign w:val="center"/>
          </w:tcPr>
          <w:p w14:paraId="783E446B" w14:textId="229D015B" w:rsidR="004462A0" w:rsidRPr="008912CF" w:rsidRDefault="004462A0" w:rsidP="00F675CF">
            <w:pPr>
              <w:pStyle w:val="DefaultText"/>
              <w:keepNext/>
              <w:rPr>
                <w:del w:id="2188" w:author="AbbVie2" w:date="2025-05-13T16:36:00Z"/>
                <w:rFonts w:ascii="Times New Roman" w:hAnsi="Times New Roman"/>
                <w:b/>
                <w:bCs w:val="0"/>
                <w:szCs w:val="22"/>
                <w:lang w:val="pt-PT"/>
              </w:rPr>
            </w:pPr>
          </w:p>
        </w:tc>
        <w:tc>
          <w:tcPr>
            <w:tcW w:w="1620" w:type="dxa"/>
            <w:vAlign w:val="center"/>
          </w:tcPr>
          <w:p w14:paraId="07D3BB48" w14:textId="33EF0FA1" w:rsidR="004462A0" w:rsidRPr="008912CF" w:rsidRDefault="00615769" w:rsidP="00F675CF">
            <w:pPr>
              <w:pStyle w:val="DefaultText"/>
              <w:keepNext/>
              <w:jc w:val="center"/>
              <w:rPr>
                <w:del w:id="2189" w:author="AbbVie2" w:date="2025-05-13T16:36:00Z"/>
                <w:rFonts w:ascii="Times New Roman" w:hAnsi="Times New Roman"/>
                <w:b/>
                <w:bCs w:val="0"/>
                <w:szCs w:val="22"/>
                <w:lang w:val="pt-PT"/>
              </w:rPr>
            </w:pPr>
            <w:del w:id="2190" w:author="AbbVie2" w:date="2025-05-13T16:36:00Z">
              <w:r w:rsidRPr="008912CF">
                <w:rPr>
                  <w:rFonts w:ascii="Times New Roman" w:hAnsi="Times New Roman"/>
                  <w:b/>
                  <w:bCs w:val="0"/>
                  <w:szCs w:val="22"/>
                  <w:lang w:val="pt-PT"/>
                </w:rPr>
                <w:delText>Placebo</w:delText>
              </w:r>
            </w:del>
          </w:p>
          <w:p w14:paraId="60C46DAE" w14:textId="6A8C7FA2" w:rsidR="004462A0" w:rsidRPr="008912CF" w:rsidRDefault="00615769" w:rsidP="00F675CF">
            <w:pPr>
              <w:pStyle w:val="DefaultText"/>
              <w:keepNext/>
              <w:jc w:val="center"/>
              <w:rPr>
                <w:del w:id="2191" w:author="AbbVie2" w:date="2025-05-13T16:36:00Z"/>
                <w:rFonts w:ascii="Times New Roman" w:hAnsi="Times New Roman"/>
                <w:b/>
                <w:bCs w:val="0"/>
                <w:szCs w:val="22"/>
                <w:lang w:val="pt-PT"/>
              </w:rPr>
            </w:pPr>
            <w:del w:id="2192" w:author="AbbVie2" w:date="2025-05-13T16:36:00Z">
              <w:r w:rsidRPr="008912CF">
                <w:rPr>
                  <w:rFonts w:ascii="Times New Roman" w:hAnsi="Times New Roman"/>
                  <w:b/>
                  <w:bCs w:val="0"/>
                  <w:szCs w:val="22"/>
                  <w:lang w:val="pt-PT"/>
                </w:rPr>
                <w:delText>N=398</w:delText>
              </w:r>
            </w:del>
          </w:p>
          <w:p w14:paraId="6AB092B6" w14:textId="2181806B" w:rsidR="004462A0" w:rsidRPr="008912CF" w:rsidRDefault="00615769" w:rsidP="00F675CF">
            <w:pPr>
              <w:pStyle w:val="DefaultText"/>
              <w:keepNext/>
              <w:jc w:val="center"/>
              <w:rPr>
                <w:del w:id="2193" w:author="AbbVie2" w:date="2025-05-13T16:36:00Z"/>
                <w:rFonts w:ascii="Times New Roman" w:hAnsi="Times New Roman"/>
                <w:b/>
                <w:bCs w:val="0"/>
                <w:szCs w:val="22"/>
                <w:lang w:val="pt-PT"/>
              </w:rPr>
            </w:pPr>
            <w:del w:id="2194" w:author="AbbVie2" w:date="2025-05-13T16:36:00Z">
              <w:r w:rsidRPr="008912CF">
                <w:rPr>
                  <w:rFonts w:ascii="Times New Roman" w:hAnsi="Times New Roman"/>
                  <w:b/>
                  <w:bCs w:val="0"/>
                  <w:szCs w:val="22"/>
                  <w:lang w:val="pt-PT"/>
                </w:rPr>
                <w:delText>n (%)</w:delText>
              </w:r>
            </w:del>
          </w:p>
        </w:tc>
        <w:tc>
          <w:tcPr>
            <w:tcW w:w="2352" w:type="dxa"/>
            <w:vAlign w:val="center"/>
          </w:tcPr>
          <w:p w14:paraId="12F93C8B" w14:textId="35EFA60B" w:rsidR="004462A0" w:rsidRPr="008912CF" w:rsidRDefault="00615769" w:rsidP="00F675CF">
            <w:pPr>
              <w:pStyle w:val="DefaultText"/>
              <w:keepNext/>
              <w:jc w:val="center"/>
              <w:rPr>
                <w:del w:id="2195" w:author="AbbVie2" w:date="2025-05-13T16:36:00Z"/>
                <w:rFonts w:ascii="Times New Roman" w:hAnsi="Times New Roman"/>
                <w:b/>
                <w:bCs w:val="0"/>
                <w:szCs w:val="22"/>
                <w:lang w:val="pt-PT"/>
              </w:rPr>
            </w:pPr>
            <w:del w:id="2196" w:author="AbbVie2" w:date="2025-05-13T16:36:00Z">
              <w:r w:rsidRPr="008912CF">
                <w:rPr>
                  <w:rFonts w:ascii="Times New Roman" w:hAnsi="Times New Roman"/>
                  <w:b/>
                  <w:bCs w:val="0"/>
                  <w:szCs w:val="22"/>
                  <w:lang w:val="pt-PT"/>
                </w:rPr>
                <w:delText>Humira 40 mg em semanas alternadas</w:delText>
              </w:r>
            </w:del>
          </w:p>
          <w:p w14:paraId="7E944D99" w14:textId="3505934E" w:rsidR="004462A0" w:rsidRPr="008912CF" w:rsidRDefault="00615769" w:rsidP="00F675CF">
            <w:pPr>
              <w:pStyle w:val="DefaultText"/>
              <w:keepNext/>
              <w:jc w:val="center"/>
              <w:rPr>
                <w:del w:id="2197" w:author="AbbVie2" w:date="2025-05-13T16:36:00Z"/>
                <w:rFonts w:ascii="Times New Roman" w:hAnsi="Times New Roman"/>
                <w:b/>
                <w:bCs w:val="0"/>
                <w:szCs w:val="22"/>
                <w:lang w:val="pt-PT"/>
              </w:rPr>
            </w:pPr>
            <w:del w:id="2198" w:author="AbbVie2" w:date="2025-05-13T16:36:00Z">
              <w:r w:rsidRPr="008912CF">
                <w:rPr>
                  <w:rFonts w:ascii="Times New Roman" w:hAnsi="Times New Roman"/>
                  <w:b/>
                  <w:bCs w:val="0"/>
                  <w:szCs w:val="22"/>
                  <w:lang w:val="pt-PT"/>
                </w:rPr>
                <w:delText>N=814</w:delText>
              </w:r>
            </w:del>
          </w:p>
          <w:p w14:paraId="1A71F420" w14:textId="0363FCE5" w:rsidR="004462A0" w:rsidRPr="008912CF" w:rsidRDefault="00615769" w:rsidP="00F675CF">
            <w:pPr>
              <w:pStyle w:val="DefaultText"/>
              <w:keepNext/>
              <w:jc w:val="center"/>
              <w:rPr>
                <w:del w:id="2199" w:author="AbbVie2" w:date="2025-05-13T16:36:00Z"/>
                <w:rFonts w:ascii="Times New Roman" w:hAnsi="Times New Roman"/>
                <w:b/>
                <w:bCs w:val="0"/>
                <w:szCs w:val="22"/>
                <w:lang w:val="pt-PT"/>
              </w:rPr>
            </w:pPr>
            <w:del w:id="2200" w:author="AbbVie2" w:date="2025-05-13T16:36:00Z">
              <w:r w:rsidRPr="008912CF">
                <w:rPr>
                  <w:rFonts w:ascii="Times New Roman" w:hAnsi="Times New Roman"/>
                  <w:b/>
                  <w:bCs w:val="0"/>
                  <w:szCs w:val="22"/>
                  <w:lang w:val="pt-PT"/>
                </w:rPr>
                <w:delText>n (%)</w:delText>
              </w:r>
            </w:del>
          </w:p>
        </w:tc>
      </w:tr>
      <w:tr w:rsidR="00A7162A" w14:paraId="41A675AC" w14:textId="3F6F6B1F" w:rsidTr="00F675CF">
        <w:trPr>
          <w:cantSplit/>
          <w:jc w:val="center"/>
          <w:del w:id="2201" w:author="AbbVie2" w:date="2025-05-13T16:36:00Z"/>
        </w:trPr>
        <w:tc>
          <w:tcPr>
            <w:tcW w:w="2977" w:type="dxa"/>
          </w:tcPr>
          <w:p w14:paraId="7A94A618" w14:textId="63B08605" w:rsidR="004462A0" w:rsidRPr="008912CF" w:rsidRDefault="00615769" w:rsidP="00F675CF">
            <w:pPr>
              <w:pStyle w:val="DefaultText"/>
              <w:keepNext/>
              <w:rPr>
                <w:del w:id="2202" w:author="AbbVie2" w:date="2025-05-13T16:36:00Z"/>
                <w:rFonts w:ascii="Times New Roman" w:hAnsi="Times New Roman"/>
                <w:b/>
                <w:bCs w:val="0"/>
                <w:szCs w:val="22"/>
                <w:lang w:val="pt-PT"/>
              </w:rPr>
            </w:pPr>
            <w:del w:id="2203" w:author="AbbVie2" w:date="2025-05-13T16:36:00Z">
              <w:r w:rsidRPr="008912CF">
                <w:rPr>
                  <w:rFonts w:ascii="Symbol" w:hAnsi="Symbol"/>
                  <w:b/>
                  <w:bCs w:val="0"/>
                  <w:szCs w:val="22"/>
                  <w:lang w:val="pt-PT"/>
                </w:rPr>
                <w:sym w:font="Symbol" w:char="F0B3"/>
              </w:r>
              <w:r w:rsidR="00601734">
                <w:rPr>
                  <w:rFonts w:ascii="Symbol" w:hAnsi="Symbol"/>
                  <w:b/>
                  <w:bCs w:val="0"/>
                  <w:szCs w:val="22"/>
                  <w:lang w:val="pt-PT"/>
                </w:rPr>
                <w:sym w:font="Symbol" w:char="F020"/>
              </w:r>
              <w:r w:rsidRPr="008912CF">
                <w:rPr>
                  <w:rFonts w:ascii="Times New Roman" w:hAnsi="Times New Roman"/>
                  <w:b/>
                  <w:bCs w:val="0"/>
                  <w:szCs w:val="22"/>
                  <w:lang w:val="pt-PT"/>
                </w:rPr>
                <w:delText>PASI 75</w:delText>
              </w:r>
              <w:r w:rsidRPr="008912CF">
                <w:rPr>
                  <w:rFonts w:ascii="Times New Roman" w:hAnsi="Times New Roman"/>
                  <w:b/>
                  <w:bCs w:val="0"/>
                  <w:szCs w:val="22"/>
                  <w:vertAlign w:val="superscript"/>
                  <w:lang w:val="pt-PT"/>
                </w:rPr>
                <w:delText>a</w:delText>
              </w:r>
            </w:del>
          </w:p>
        </w:tc>
        <w:tc>
          <w:tcPr>
            <w:tcW w:w="1620" w:type="dxa"/>
          </w:tcPr>
          <w:p w14:paraId="33B4F383" w14:textId="07847C00" w:rsidR="004462A0" w:rsidRPr="008912CF" w:rsidRDefault="00615769" w:rsidP="00F675CF">
            <w:pPr>
              <w:pStyle w:val="DefaultText"/>
              <w:keepNext/>
              <w:jc w:val="center"/>
              <w:rPr>
                <w:del w:id="2204" w:author="AbbVie2" w:date="2025-05-13T16:36:00Z"/>
                <w:rFonts w:ascii="Times New Roman" w:hAnsi="Times New Roman"/>
                <w:szCs w:val="22"/>
                <w:lang w:val="pt-PT"/>
              </w:rPr>
            </w:pPr>
            <w:del w:id="2205" w:author="AbbVie2" w:date="2025-05-13T16:36:00Z">
              <w:r w:rsidRPr="008912CF">
                <w:rPr>
                  <w:rFonts w:ascii="Times New Roman" w:hAnsi="Times New Roman"/>
                  <w:szCs w:val="22"/>
                  <w:lang w:val="pt-PT"/>
                </w:rPr>
                <w:delText>26 (6,5)</w:delText>
              </w:r>
            </w:del>
          </w:p>
        </w:tc>
        <w:tc>
          <w:tcPr>
            <w:tcW w:w="2352" w:type="dxa"/>
          </w:tcPr>
          <w:p w14:paraId="3FEEA7C1" w14:textId="37AE93F8" w:rsidR="004462A0" w:rsidRPr="008912CF" w:rsidRDefault="00615769" w:rsidP="00F675CF">
            <w:pPr>
              <w:pStyle w:val="DefaultText"/>
              <w:keepNext/>
              <w:jc w:val="center"/>
              <w:rPr>
                <w:del w:id="2206" w:author="AbbVie2" w:date="2025-05-13T16:36:00Z"/>
                <w:rFonts w:ascii="Times New Roman" w:hAnsi="Times New Roman"/>
                <w:szCs w:val="22"/>
                <w:lang w:val="pt-PT"/>
              </w:rPr>
            </w:pPr>
            <w:del w:id="2207" w:author="AbbVie2" w:date="2025-05-13T16:36:00Z">
              <w:r w:rsidRPr="008912CF">
                <w:rPr>
                  <w:rFonts w:ascii="Times New Roman" w:hAnsi="Times New Roman"/>
                  <w:szCs w:val="22"/>
                  <w:lang w:val="pt-PT"/>
                </w:rPr>
                <w:delText>578 (70,9)</w:delText>
              </w:r>
              <w:r w:rsidRPr="008912CF">
                <w:rPr>
                  <w:rFonts w:ascii="Times New Roman" w:hAnsi="Times New Roman"/>
                  <w:szCs w:val="22"/>
                  <w:vertAlign w:val="superscript"/>
                  <w:lang w:val="pt-PT"/>
                </w:rPr>
                <w:delText>b</w:delText>
              </w:r>
            </w:del>
          </w:p>
        </w:tc>
      </w:tr>
      <w:tr w:rsidR="00A7162A" w14:paraId="4ABDB239" w14:textId="4AD0F4B6" w:rsidTr="00F675CF">
        <w:trPr>
          <w:cantSplit/>
          <w:trHeight w:val="70"/>
          <w:jc w:val="center"/>
          <w:del w:id="2208" w:author="AbbVie2" w:date="2025-05-13T16:36:00Z"/>
        </w:trPr>
        <w:tc>
          <w:tcPr>
            <w:tcW w:w="2977" w:type="dxa"/>
          </w:tcPr>
          <w:p w14:paraId="29FD2A2B" w14:textId="6D418E51" w:rsidR="004462A0" w:rsidRPr="008912CF" w:rsidRDefault="00615769" w:rsidP="00F675CF">
            <w:pPr>
              <w:pStyle w:val="DefaultText"/>
              <w:keepNext/>
              <w:rPr>
                <w:del w:id="2209" w:author="AbbVie2" w:date="2025-05-13T16:36:00Z"/>
                <w:rFonts w:ascii="Times New Roman" w:hAnsi="Times New Roman"/>
                <w:b/>
                <w:bCs w:val="0"/>
                <w:szCs w:val="22"/>
                <w:lang w:val="pt-PT"/>
              </w:rPr>
            </w:pPr>
            <w:del w:id="2210" w:author="AbbVie2" w:date="2025-05-13T16:36:00Z">
              <w:r w:rsidRPr="008912CF">
                <w:rPr>
                  <w:rFonts w:ascii="Times New Roman" w:hAnsi="Times New Roman"/>
                  <w:b/>
                  <w:bCs w:val="0"/>
                  <w:szCs w:val="22"/>
                  <w:lang w:val="pt-PT"/>
                </w:rPr>
                <w:delText>PASI 100</w:delText>
              </w:r>
            </w:del>
          </w:p>
        </w:tc>
        <w:tc>
          <w:tcPr>
            <w:tcW w:w="1620" w:type="dxa"/>
          </w:tcPr>
          <w:p w14:paraId="70476F90" w14:textId="4A9CB724" w:rsidR="004462A0" w:rsidRPr="008912CF" w:rsidRDefault="00615769" w:rsidP="00F675CF">
            <w:pPr>
              <w:pStyle w:val="DefaultText"/>
              <w:keepNext/>
              <w:jc w:val="center"/>
              <w:rPr>
                <w:del w:id="2211" w:author="AbbVie2" w:date="2025-05-13T16:36:00Z"/>
                <w:rFonts w:ascii="Times New Roman" w:hAnsi="Times New Roman"/>
                <w:szCs w:val="22"/>
                <w:lang w:val="pt-PT"/>
              </w:rPr>
            </w:pPr>
            <w:del w:id="2212" w:author="AbbVie2" w:date="2025-05-13T16:36:00Z">
              <w:r w:rsidRPr="008912CF">
                <w:rPr>
                  <w:rFonts w:ascii="Times New Roman" w:hAnsi="Times New Roman"/>
                  <w:szCs w:val="22"/>
                  <w:lang w:val="pt-PT"/>
                </w:rPr>
                <w:delText>3 (0,8)</w:delText>
              </w:r>
            </w:del>
          </w:p>
        </w:tc>
        <w:tc>
          <w:tcPr>
            <w:tcW w:w="2352" w:type="dxa"/>
          </w:tcPr>
          <w:p w14:paraId="7F8FCD23" w14:textId="6CB08450" w:rsidR="004462A0" w:rsidRPr="008912CF" w:rsidRDefault="00615769" w:rsidP="00F675CF">
            <w:pPr>
              <w:pStyle w:val="DefaultText"/>
              <w:keepNext/>
              <w:jc w:val="center"/>
              <w:rPr>
                <w:del w:id="2213" w:author="AbbVie2" w:date="2025-05-13T16:36:00Z"/>
                <w:rFonts w:ascii="Times New Roman" w:hAnsi="Times New Roman"/>
                <w:szCs w:val="22"/>
                <w:lang w:val="pt-PT"/>
              </w:rPr>
            </w:pPr>
            <w:del w:id="2214" w:author="AbbVie2" w:date="2025-05-13T16:36:00Z">
              <w:r w:rsidRPr="008912CF">
                <w:rPr>
                  <w:rFonts w:ascii="Times New Roman" w:hAnsi="Times New Roman"/>
                  <w:szCs w:val="22"/>
                  <w:lang w:val="pt-PT"/>
                </w:rPr>
                <w:delText>163 (20,0)</w:delText>
              </w:r>
              <w:r w:rsidRPr="008912CF">
                <w:rPr>
                  <w:rFonts w:ascii="Times New Roman" w:hAnsi="Times New Roman"/>
                  <w:szCs w:val="22"/>
                  <w:vertAlign w:val="superscript"/>
                  <w:lang w:val="pt-PT"/>
                </w:rPr>
                <w:delText>b</w:delText>
              </w:r>
            </w:del>
          </w:p>
        </w:tc>
      </w:tr>
      <w:tr w:rsidR="00A7162A" w14:paraId="00A362B7" w14:textId="2C230A98" w:rsidTr="00F675CF">
        <w:trPr>
          <w:cantSplit/>
          <w:jc w:val="center"/>
          <w:del w:id="2215" w:author="AbbVie2" w:date="2025-05-13T16:36:00Z"/>
        </w:trPr>
        <w:tc>
          <w:tcPr>
            <w:tcW w:w="2977" w:type="dxa"/>
          </w:tcPr>
          <w:p w14:paraId="6A6B0DF2" w14:textId="5B34FDE4" w:rsidR="004462A0" w:rsidRPr="008912CF" w:rsidRDefault="00615769" w:rsidP="00F675CF">
            <w:pPr>
              <w:pStyle w:val="DefaultText"/>
              <w:keepNext/>
              <w:rPr>
                <w:del w:id="2216" w:author="AbbVie2" w:date="2025-05-13T16:36:00Z"/>
                <w:rFonts w:ascii="Times New Roman" w:hAnsi="Times New Roman"/>
                <w:b/>
                <w:bCs w:val="0"/>
                <w:szCs w:val="22"/>
                <w:lang w:val="pt-PT"/>
              </w:rPr>
            </w:pPr>
            <w:del w:id="2217" w:author="AbbVie2" w:date="2025-05-13T16:36:00Z">
              <w:r w:rsidRPr="008912CF">
                <w:rPr>
                  <w:rFonts w:ascii="Times New Roman" w:hAnsi="Times New Roman"/>
                  <w:b/>
                  <w:bCs w:val="0"/>
                  <w:szCs w:val="22"/>
                  <w:lang w:val="pt-PT"/>
                </w:rPr>
                <w:delText>PGA: Limp</w:delText>
              </w:r>
              <w:r w:rsidR="005049F7">
                <w:rPr>
                  <w:rFonts w:ascii="Times New Roman" w:hAnsi="Times New Roman"/>
                  <w:b/>
                  <w:bCs w:val="0"/>
                  <w:szCs w:val="22"/>
                  <w:lang w:val="pt-PT"/>
                </w:rPr>
                <w:delText>a</w:delText>
              </w:r>
              <w:r w:rsidRPr="008912CF">
                <w:rPr>
                  <w:rFonts w:ascii="Times New Roman" w:hAnsi="Times New Roman"/>
                  <w:b/>
                  <w:bCs w:val="0"/>
                  <w:szCs w:val="22"/>
                  <w:lang w:val="pt-PT"/>
                </w:rPr>
                <w:delText>/</w:delText>
              </w:r>
              <w:r w:rsidR="00E57BBD">
                <w:rPr>
                  <w:rFonts w:ascii="Times New Roman" w:hAnsi="Times New Roman"/>
                  <w:b/>
                  <w:bCs w:val="0"/>
                  <w:szCs w:val="22"/>
                  <w:lang w:val="pt-PT"/>
                </w:rPr>
                <w:delText>quase limpa</w:delText>
              </w:r>
            </w:del>
          </w:p>
        </w:tc>
        <w:tc>
          <w:tcPr>
            <w:tcW w:w="1620" w:type="dxa"/>
          </w:tcPr>
          <w:p w14:paraId="2802E391" w14:textId="78BA16CD" w:rsidR="004462A0" w:rsidRPr="008912CF" w:rsidRDefault="00615769" w:rsidP="00F675CF">
            <w:pPr>
              <w:pStyle w:val="DefaultText"/>
              <w:keepNext/>
              <w:jc w:val="center"/>
              <w:rPr>
                <w:del w:id="2218" w:author="AbbVie2" w:date="2025-05-13T16:36:00Z"/>
                <w:rFonts w:ascii="Times New Roman" w:hAnsi="Times New Roman"/>
                <w:szCs w:val="22"/>
                <w:lang w:val="pt-PT"/>
              </w:rPr>
            </w:pPr>
            <w:del w:id="2219" w:author="AbbVie2" w:date="2025-05-13T16:36:00Z">
              <w:r w:rsidRPr="008912CF">
                <w:rPr>
                  <w:rFonts w:ascii="Times New Roman" w:hAnsi="Times New Roman"/>
                  <w:szCs w:val="22"/>
                  <w:lang w:val="pt-PT"/>
                </w:rPr>
                <w:delText>17 (4,3)</w:delText>
              </w:r>
            </w:del>
          </w:p>
        </w:tc>
        <w:tc>
          <w:tcPr>
            <w:tcW w:w="2352" w:type="dxa"/>
          </w:tcPr>
          <w:p w14:paraId="11E105AC" w14:textId="67E73682" w:rsidR="004462A0" w:rsidRPr="008912CF" w:rsidRDefault="00615769" w:rsidP="00F675CF">
            <w:pPr>
              <w:pStyle w:val="DefaultText"/>
              <w:keepNext/>
              <w:jc w:val="center"/>
              <w:rPr>
                <w:del w:id="2220" w:author="AbbVie2" w:date="2025-05-13T16:36:00Z"/>
                <w:rFonts w:ascii="Times New Roman" w:hAnsi="Times New Roman"/>
                <w:szCs w:val="22"/>
                <w:lang w:val="pt-PT"/>
              </w:rPr>
            </w:pPr>
            <w:del w:id="2221" w:author="AbbVie2" w:date="2025-05-13T16:36:00Z">
              <w:r w:rsidRPr="008912CF">
                <w:rPr>
                  <w:rFonts w:ascii="Times New Roman" w:hAnsi="Times New Roman"/>
                  <w:szCs w:val="22"/>
                  <w:lang w:val="pt-PT"/>
                </w:rPr>
                <w:delText>506 (62,2)</w:delText>
              </w:r>
              <w:r w:rsidRPr="008912CF">
                <w:rPr>
                  <w:rFonts w:ascii="Times New Roman" w:hAnsi="Times New Roman"/>
                  <w:szCs w:val="22"/>
                  <w:vertAlign w:val="superscript"/>
                  <w:lang w:val="pt-PT"/>
                </w:rPr>
                <w:delText>b</w:delText>
              </w:r>
            </w:del>
          </w:p>
        </w:tc>
      </w:tr>
      <w:tr w:rsidR="00A7162A" w14:paraId="522F3E2F" w14:textId="148A76A8" w:rsidTr="00F675CF">
        <w:trPr>
          <w:cantSplit/>
          <w:jc w:val="center"/>
          <w:del w:id="2222" w:author="AbbVie2" w:date="2025-05-13T16:36:00Z"/>
        </w:trPr>
        <w:tc>
          <w:tcPr>
            <w:tcW w:w="6949" w:type="dxa"/>
            <w:gridSpan w:val="3"/>
          </w:tcPr>
          <w:p w14:paraId="170EC80C" w14:textId="2F5EA29A" w:rsidR="004462A0" w:rsidRPr="008912CF" w:rsidRDefault="00615769" w:rsidP="00F675CF">
            <w:pPr>
              <w:pStyle w:val="DefaultText"/>
              <w:keepNext/>
              <w:rPr>
                <w:del w:id="2223" w:author="AbbVie2" w:date="2025-05-13T16:36:00Z"/>
                <w:rFonts w:ascii="Times New Roman" w:hAnsi="Times New Roman"/>
                <w:szCs w:val="22"/>
                <w:lang w:val="pt-PT"/>
              </w:rPr>
            </w:pPr>
            <w:del w:id="2224" w:author="AbbVie2" w:date="2025-05-13T16:36:00Z">
              <w:r w:rsidRPr="008912CF">
                <w:rPr>
                  <w:rFonts w:ascii="Times New Roman" w:hAnsi="Times New Roman"/>
                  <w:szCs w:val="22"/>
                  <w:vertAlign w:val="superscript"/>
                  <w:lang w:val="pt-PT"/>
                </w:rPr>
                <w:delText>a</w:delText>
              </w:r>
              <w:r w:rsidRPr="008912CF">
                <w:rPr>
                  <w:rFonts w:ascii="Times New Roman" w:hAnsi="Times New Roman"/>
                  <w:szCs w:val="22"/>
                  <w:lang w:val="pt-PT"/>
                </w:rPr>
                <w:delText xml:space="preserve"> Percentagem de doentes que atingiram uma resposta PASI75 calculada como uma taxa ajustada</w:delText>
              </w:r>
            </w:del>
          </w:p>
          <w:p w14:paraId="2D1D255D" w14:textId="2C034568" w:rsidR="004462A0" w:rsidRPr="008912CF" w:rsidRDefault="00615769" w:rsidP="00F675CF">
            <w:pPr>
              <w:pStyle w:val="DefaultText"/>
              <w:keepNext/>
              <w:rPr>
                <w:del w:id="2225" w:author="AbbVie2" w:date="2025-05-13T16:36:00Z"/>
                <w:rFonts w:ascii="Times New Roman" w:hAnsi="Times New Roman"/>
                <w:szCs w:val="22"/>
                <w:lang w:val="pt-PT"/>
              </w:rPr>
            </w:pPr>
            <w:del w:id="2226" w:author="AbbVie2" w:date="2025-05-13T16:36:00Z">
              <w:r w:rsidRPr="008912CF">
                <w:rPr>
                  <w:rFonts w:ascii="Times New Roman" w:hAnsi="Times New Roman"/>
                  <w:szCs w:val="22"/>
                  <w:vertAlign w:val="superscript"/>
                  <w:lang w:val="pt-PT"/>
                </w:rPr>
                <w:delText>b</w:delText>
              </w:r>
              <w:r w:rsidRPr="008912CF">
                <w:rPr>
                  <w:rFonts w:ascii="Times New Roman" w:hAnsi="Times New Roman"/>
                  <w:szCs w:val="22"/>
                  <w:lang w:val="pt-PT"/>
                </w:rPr>
                <w:delText xml:space="preserve"> p&lt;0,001, Humira vs. Placebo</w:delText>
              </w:r>
            </w:del>
          </w:p>
        </w:tc>
      </w:tr>
    </w:tbl>
    <w:p w14:paraId="797167A7" w14:textId="1EF6D6A3" w:rsidR="004462A0" w:rsidRPr="008912CF" w:rsidRDefault="004462A0" w:rsidP="004462A0">
      <w:pPr>
        <w:keepNext/>
        <w:rPr>
          <w:del w:id="2227" w:author="AbbVie2" w:date="2025-05-13T16:36:00Z"/>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9"/>
        <w:gridCol w:w="1668"/>
        <w:gridCol w:w="1347"/>
        <w:gridCol w:w="2392"/>
      </w:tblGrid>
      <w:tr w:rsidR="00A7162A" w14:paraId="5A3AFD86" w14:textId="7666912A" w:rsidTr="00F675CF">
        <w:trPr>
          <w:cantSplit/>
          <w:jc w:val="center"/>
          <w:del w:id="2228" w:author="AbbVie2" w:date="2025-05-13T16:36:00Z"/>
        </w:trPr>
        <w:tc>
          <w:tcPr>
            <w:tcW w:w="7046" w:type="dxa"/>
            <w:gridSpan w:val="4"/>
            <w:tcBorders>
              <w:top w:val="nil"/>
              <w:left w:val="nil"/>
              <w:right w:val="nil"/>
            </w:tcBorders>
          </w:tcPr>
          <w:p w14:paraId="0EA25A45" w14:textId="45FDE985" w:rsidR="004462A0" w:rsidRPr="008912CF" w:rsidRDefault="00615769" w:rsidP="00F675CF">
            <w:pPr>
              <w:pStyle w:val="DefaultText"/>
              <w:keepNext/>
              <w:jc w:val="center"/>
              <w:rPr>
                <w:del w:id="2229" w:author="AbbVie2" w:date="2025-05-13T16:36:00Z"/>
                <w:rFonts w:ascii="Times New Roman" w:hAnsi="Times New Roman"/>
                <w:b/>
                <w:bCs w:val="0"/>
                <w:szCs w:val="22"/>
                <w:lang w:val="pt-PT"/>
              </w:rPr>
            </w:pPr>
            <w:del w:id="2230" w:author="AbbVie2" w:date="2025-05-13T16:36:00Z">
              <w:r w:rsidRPr="008912CF">
                <w:rPr>
                  <w:rFonts w:ascii="Times New Roman" w:hAnsi="Times New Roman"/>
                  <w:b/>
                  <w:bCs w:val="0"/>
                  <w:szCs w:val="22"/>
                  <w:lang w:val="pt-PT"/>
                </w:rPr>
                <w:delText xml:space="preserve">Tabela </w:delText>
              </w:r>
              <w:r w:rsidR="00D01EDE">
                <w:rPr>
                  <w:rFonts w:ascii="Times New Roman" w:hAnsi="Times New Roman"/>
                  <w:b/>
                  <w:bCs w:val="0"/>
                  <w:szCs w:val="22"/>
                  <w:lang w:val="pt-PT"/>
                </w:rPr>
                <w:delText>1</w:delText>
              </w:r>
              <w:r w:rsidR="00D105CA">
                <w:rPr>
                  <w:rFonts w:ascii="Times New Roman" w:hAnsi="Times New Roman"/>
                  <w:b/>
                  <w:bCs w:val="0"/>
                  <w:szCs w:val="22"/>
                  <w:lang w:val="pt-PT"/>
                </w:rPr>
                <w:delText>3</w:delText>
              </w:r>
            </w:del>
          </w:p>
          <w:p w14:paraId="056DD26D" w14:textId="11AB04A0" w:rsidR="004462A0" w:rsidRPr="008912CF" w:rsidRDefault="00615769" w:rsidP="00F675CF">
            <w:pPr>
              <w:pStyle w:val="DefaultText"/>
              <w:keepNext/>
              <w:jc w:val="center"/>
              <w:rPr>
                <w:del w:id="2231" w:author="AbbVie2" w:date="2025-05-13T16:36:00Z"/>
                <w:rFonts w:ascii="Times New Roman" w:hAnsi="Times New Roman"/>
                <w:b/>
                <w:bCs w:val="0"/>
                <w:szCs w:val="22"/>
                <w:lang w:val="pt-PT"/>
              </w:rPr>
            </w:pPr>
            <w:del w:id="2232" w:author="AbbVie2" w:date="2025-05-13T16:36:00Z">
              <w:r w:rsidRPr="008912CF">
                <w:rPr>
                  <w:rFonts w:ascii="Times New Roman" w:hAnsi="Times New Roman"/>
                  <w:b/>
                  <w:bCs w:val="0"/>
                  <w:szCs w:val="22"/>
                  <w:lang w:val="pt-PT"/>
                </w:rPr>
                <w:delText>Estudo II na Psoríase (CHAMPION)</w:delText>
              </w:r>
            </w:del>
          </w:p>
          <w:p w14:paraId="612E4C67" w14:textId="7C4EFADE" w:rsidR="004462A0" w:rsidRPr="008912CF" w:rsidRDefault="00615769" w:rsidP="00F675CF">
            <w:pPr>
              <w:pStyle w:val="DefaultText"/>
              <w:keepNext/>
              <w:jc w:val="center"/>
              <w:rPr>
                <w:del w:id="2233" w:author="AbbVie2" w:date="2025-05-13T16:36:00Z"/>
                <w:rFonts w:ascii="Times New Roman" w:hAnsi="Times New Roman"/>
                <w:b/>
                <w:bCs w:val="0"/>
                <w:szCs w:val="22"/>
                <w:lang w:val="pt-PT"/>
              </w:rPr>
            </w:pPr>
            <w:del w:id="2234" w:author="AbbVie2" w:date="2025-05-13T16:36:00Z">
              <w:r w:rsidRPr="008912CF">
                <w:rPr>
                  <w:rFonts w:ascii="Times New Roman" w:hAnsi="Times New Roman"/>
                  <w:b/>
                  <w:bCs w:val="0"/>
                  <w:szCs w:val="22"/>
                  <w:lang w:val="pt-PT"/>
                </w:rPr>
                <w:delText>Resultados de Eficácia à</w:delText>
              </w:r>
              <w:r w:rsidR="005049F7">
                <w:rPr>
                  <w:rFonts w:ascii="Times New Roman" w:hAnsi="Times New Roman"/>
                  <w:b/>
                  <w:bCs w:val="0"/>
                  <w:szCs w:val="22"/>
                  <w:lang w:val="pt-PT"/>
                </w:rPr>
                <w:delText xml:space="preserve"> Semana</w:delText>
              </w:r>
              <w:r w:rsidRPr="008912CF">
                <w:rPr>
                  <w:rFonts w:ascii="Times New Roman" w:hAnsi="Times New Roman"/>
                  <w:b/>
                  <w:bCs w:val="0"/>
                  <w:szCs w:val="22"/>
                  <w:lang w:val="pt-PT"/>
                </w:rPr>
                <w:delText xml:space="preserve"> 16</w:delText>
              </w:r>
            </w:del>
          </w:p>
          <w:p w14:paraId="4835FD16" w14:textId="46B705CE" w:rsidR="004462A0" w:rsidRPr="008912CF" w:rsidRDefault="00615769" w:rsidP="00F675CF">
            <w:pPr>
              <w:pStyle w:val="DefaultText"/>
              <w:keepNext/>
              <w:jc w:val="center"/>
              <w:rPr>
                <w:del w:id="2235" w:author="AbbVie2" w:date="2025-05-13T16:36:00Z"/>
                <w:rFonts w:ascii="Times New Roman" w:hAnsi="Times New Roman"/>
                <w:szCs w:val="22"/>
                <w:u w:val="single"/>
                <w:lang w:val="pt-PT"/>
              </w:rPr>
            </w:pPr>
            <w:del w:id="2236" w:author="AbbVie2" w:date="2025-05-13T16:36:00Z">
              <w:r w:rsidRPr="008912CF">
                <w:rPr>
                  <w:rFonts w:ascii="Times New Roman" w:hAnsi="Times New Roman"/>
                  <w:b/>
                  <w:bCs w:val="0"/>
                  <w:szCs w:val="22"/>
                  <w:lang w:val="pt-PT"/>
                </w:rPr>
                <w:delText xml:space="preserve"> </w:delText>
              </w:r>
            </w:del>
          </w:p>
        </w:tc>
      </w:tr>
      <w:tr w:rsidR="00A7162A" w14:paraId="27DACE81" w14:textId="717E70E5" w:rsidTr="00F675CF">
        <w:trPr>
          <w:cantSplit/>
          <w:jc w:val="center"/>
          <w:del w:id="2237" w:author="AbbVie2" w:date="2025-05-13T16:36:00Z"/>
        </w:trPr>
        <w:tc>
          <w:tcPr>
            <w:tcW w:w="1639" w:type="dxa"/>
          </w:tcPr>
          <w:p w14:paraId="241CD0ED" w14:textId="57DBF696" w:rsidR="004462A0" w:rsidRPr="008912CF" w:rsidRDefault="004462A0" w:rsidP="00F675CF">
            <w:pPr>
              <w:pStyle w:val="DefaultText"/>
              <w:keepNext/>
              <w:jc w:val="center"/>
              <w:rPr>
                <w:del w:id="2238" w:author="AbbVie2" w:date="2025-05-13T16:36:00Z"/>
                <w:rFonts w:ascii="Times New Roman" w:hAnsi="Times New Roman"/>
                <w:b/>
                <w:bCs w:val="0"/>
                <w:szCs w:val="22"/>
                <w:lang w:val="pt-PT"/>
              </w:rPr>
            </w:pPr>
          </w:p>
        </w:tc>
        <w:tc>
          <w:tcPr>
            <w:tcW w:w="1668" w:type="dxa"/>
            <w:vAlign w:val="center"/>
          </w:tcPr>
          <w:p w14:paraId="0087E660" w14:textId="21292800" w:rsidR="004462A0" w:rsidRPr="008912CF" w:rsidRDefault="00615769" w:rsidP="00F675CF">
            <w:pPr>
              <w:pStyle w:val="DefaultText"/>
              <w:keepNext/>
              <w:jc w:val="center"/>
              <w:rPr>
                <w:del w:id="2239" w:author="AbbVie2" w:date="2025-05-13T16:36:00Z"/>
                <w:rFonts w:ascii="Times New Roman" w:hAnsi="Times New Roman"/>
                <w:b/>
                <w:bCs w:val="0"/>
                <w:szCs w:val="22"/>
                <w:lang w:val="pt-PT"/>
              </w:rPr>
            </w:pPr>
            <w:del w:id="2240" w:author="AbbVie2" w:date="2025-05-13T16:36:00Z">
              <w:r w:rsidRPr="008912CF">
                <w:rPr>
                  <w:rFonts w:ascii="Times New Roman" w:hAnsi="Times New Roman"/>
                  <w:b/>
                  <w:bCs w:val="0"/>
                  <w:szCs w:val="22"/>
                  <w:lang w:val="pt-PT"/>
                </w:rPr>
                <w:delText>Placebo</w:delText>
              </w:r>
            </w:del>
          </w:p>
          <w:p w14:paraId="789D8EEB" w14:textId="16853938" w:rsidR="004462A0" w:rsidRPr="008912CF" w:rsidRDefault="00615769" w:rsidP="00F675CF">
            <w:pPr>
              <w:pStyle w:val="DefaultText"/>
              <w:keepNext/>
              <w:jc w:val="center"/>
              <w:rPr>
                <w:del w:id="2241" w:author="AbbVie2" w:date="2025-05-13T16:36:00Z"/>
                <w:rFonts w:ascii="Times New Roman" w:hAnsi="Times New Roman"/>
                <w:b/>
                <w:bCs w:val="0"/>
                <w:szCs w:val="22"/>
                <w:lang w:val="pt-PT"/>
              </w:rPr>
            </w:pPr>
            <w:del w:id="2242" w:author="AbbVie2" w:date="2025-05-13T16:36:00Z">
              <w:r w:rsidRPr="008912CF">
                <w:rPr>
                  <w:rFonts w:ascii="Times New Roman" w:hAnsi="Times New Roman"/>
                  <w:b/>
                  <w:bCs w:val="0"/>
                  <w:szCs w:val="22"/>
                  <w:lang w:val="pt-PT"/>
                </w:rPr>
                <w:delText>N=53</w:delText>
              </w:r>
            </w:del>
          </w:p>
          <w:p w14:paraId="4F80C75B" w14:textId="2341EDB9" w:rsidR="004462A0" w:rsidRPr="008912CF" w:rsidRDefault="00615769" w:rsidP="00F675CF">
            <w:pPr>
              <w:pStyle w:val="DefaultText"/>
              <w:keepNext/>
              <w:jc w:val="center"/>
              <w:rPr>
                <w:del w:id="2243" w:author="AbbVie2" w:date="2025-05-13T16:36:00Z"/>
                <w:rFonts w:ascii="Times New Roman" w:hAnsi="Times New Roman"/>
                <w:b/>
                <w:bCs w:val="0"/>
                <w:szCs w:val="22"/>
                <w:lang w:val="pt-PT"/>
              </w:rPr>
            </w:pPr>
            <w:del w:id="2244" w:author="AbbVie2" w:date="2025-05-13T16:36:00Z">
              <w:r w:rsidRPr="008912CF">
                <w:rPr>
                  <w:rFonts w:ascii="Times New Roman" w:hAnsi="Times New Roman"/>
                  <w:b/>
                  <w:bCs w:val="0"/>
                  <w:szCs w:val="22"/>
                  <w:lang w:val="pt-PT"/>
                </w:rPr>
                <w:delText>n (%)</w:delText>
              </w:r>
            </w:del>
          </w:p>
        </w:tc>
        <w:tc>
          <w:tcPr>
            <w:tcW w:w="1347" w:type="dxa"/>
            <w:vAlign w:val="center"/>
          </w:tcPr>
          <w:p w14:paraId="1A6CC85A" w14:textId="29187F8A" w:rsidR="004462A0" w:rsidRPr="008912CF" w:rsidRDefault="00615769" w:rsidP="00F675CF">
            <w:pPr>
              <w:pStyle w:val="DefaultText"/>
              <w:keepNext/>
              <w:jc w:val="center"/>
              <w:rPr>
                <w:del w:id="2245" w:author="AbbVie2" w:date="2025-05-13T16:36:00Z"/>
                <w:rFonts w:ascii="Times New Roman" w:hAnsi="Times New Roman"/>
                <w:b/>
                <w:bCs w:val="0"/>
                <w:szCs w:val="22"/>
                <w:lang w:val="pt-PT"/>
              </w:rPr>
            </w:pPr>
            <w:del w:id="2246" w:author="AbbVie2" w:date="2025-05-13T16:36:00Z">
              <w:r w:rsidRPr="008912CF">
                <w:rPr>
                  <w:rFonts w:ascii="Times New Roman" w:hAnsi="Times New Roman"/>
                  <w:b/>
                  <w:bCs w:val="0"/>
                  <w:szCs w:val="22"/>
                  <w:lang w:val="pt-PT"/>
                </w:rPr>
                <w:delText>MTX</w:delText>
              </w:r>
            </w:del>
          </w:p>
          <w:p w14:paraId="5A4ED373" w14:textId="06781D09" w:rsidR="004462A0" w:rsidRPr="008912CF" w:rsidRDefault="00615769" w:rsidP="00F675CF">
            <w:pPr>
              <w:pStyle w:val="DefaultText"/>
              <w:keepNext/>
              <w:jc w:val="center"/>
              <w:rPr>
                <w:del w:id="2247" w:author="AbbVie2" w:date="2025-05-13T16:36:00Z"/>
                <w:rFonts w:ascii="Times New Roman" w:hAnsi="Times New Roman"/>
                <w:b/>
                <w:bCs w:val="0"/>
                <w:szCs w:val="22"/>
                <w:lang w:val="pt-PT"/>
              </w:rPr>
            </w:pPr>
            <w:del w:id="2248" w:author="AbbVie2" w:date="2025-05-13T16:36:00Z">
              <w:r w:rsidRPr="008912CF">
                <w:rPr>
                  <w:rFonts w:ascii="Times New Roman" w:hAnsi="Times New Roman"/>
                  <w:b/>
                  <w:bCs w:val="0"/>
                  <w:szCs w:val="22"/>
                  <w:lang w:val="pt-PT"/>
                </w:rPr>
                <w:delText>N=110</w:delText>
              </w:r>
            </w:del>
          </w:p>
          <w:p w14:paraId="1D12C9CE" w14:textId="6B39413E" w:rsidR="004462A0" w:rsidRPr="008912CF" w:rsidRDefault="00615769" w:rsidP="00F675CF">
            <w:pPr>
              <w:pStyle w:val="DefaultText"/>
              <w:keepNext/>
              <w:jc w:val="center"/>
              <w:rPr>
                <w:del w:id="2249" w:author="AbbVie2" w:date="2025-05-13T16:36:00Z"/>
                <w:rFonts w:ascii="Times New Roman" w:hAnsi="Times New Roman"/>
                <w:b/>
                <w:bCs w:val="0"/>
                <w:szCs w:val="22"/>
                <w:lang w:val="pt-PT"/>
              </w:rPr>
            </w:pPr>
            <w:del w:id="2250" w:author="AbbVie2" w:date="2025-05-13T16:36:00Z">
              <w:r w:rsidRPr="008912CF">
                <w:rPr>
                  <w:rFonts w:ascii="Times New Roman" w:hAnsi="Times New Roman"/>
                  <w:b/>
                  <w:bCs w:val="0"/>
                  <w:szCs w:val="22"/>
                  <w:lang w:val="pt-PT"/>
                </w:rPr>
                <w:delText>n (%)</w:delText>
              </w:r>
            </w:del>
          </w:p>
        </w:tc>
        <w:tc>
          <w:tcPr>
            <w:tcW w:w="2392" w:type="dxa"/>
            <w:vAlign w:val="center"/>
          </w:tcPr>
          <w:p w14:paraId="74D4B44E" w14:textId="037CA67A" w:rsidR="004462A0" w:rsidRPr="008912CF" w:rsidRDefault="00615769" w:rsidP="00F675CF">
            <w:pPr>
              <w:pStyle w:val="DefaultText"/>
              <w:keepNext/>
              <w:jc w:val="center"/>
              <w:rPr>
                <w:del w:id="2251" w:author="AbbVie2" w:date="2025-05-13T16:36:00Z"/>
                <w:rFonts w:ascii="Times New Roman" w:hAnsi="Times New Roman"/>
                <w:b/>
                <w:bCs w:val="0"/>
                <w:szCs w:val="22"/>
                <w:lang w:val="pt-PT"/>
              </w:rPr>
            </w:pPr>
            <w:del w:id="2252" w:author="AbbVie2" w:date="2025-05-13T16:36:00Z">
              <w:r w:rsidRPr="008912CF">
                <w:rPr>
                  <w:rFonts w:ascii="Times New Roman" w:hAnsi="Times New Roman"/>
                  <w:b/>
                  <w:bCs w:val="0"/>
                  <w:szCs w:val="22"/>
                  <w:lang w:val="pt-PT"/>
                </w:rPr>
                <w:delText>Humira 40 mg em semanas alternadas</w:delText>
              </w:r>
            </w:del>
          </w:p>
          <w:p w14:paraId="1F1617B0" w14:textId="2A6BBC2F" w:rsidR="004462A0" w:rsidRPr="008912CF" w:rsidRDefault="00615769" w:rsidP="00F675CF">
            <w:pPr>
              <w:pStyle w:val="DefaultText"/>
              <w:keepNext/>
              <w:jc w:val="center"/>
              <w:rPr>
                <w:del w:id="2253" w:author="AbbVie2" w:date="2025-05-13T16:36:00Z"/>
                <w:rFonts w:ascii="Times New Roman" w:hAnsi="Times New Roman"/>
                <w:b/>
                <w:bCs w:val="0"/>
                <w:szCs w:val="22"/>
                <w:lang w:val="pt-PT"/>
              </w:rPr>
            </w:pPr>
            <w:del w:id="2254" w:author="AbbVie2" w:date="2025-05-13T16:36:00Z">
              <w:r w:rsidRPr="008912CF">
                <w:rPr>
                  <w:rFonts w:ascii="Times New Roman" w:hAnsi="Times New Roman"/>
                  <w:b/>
                  <w:bCs w:val="0"/>
                  <w:szCs w:val="22"/>
                  <w:lang w:val="pt-PT"/>
                </w:rPr>
                <w:delText>N=108</w:delText>
              </w:r>
            </w:del>
          </w:p>
          <w:p w14:paraId="2D977E73" w14:textId="7C7A0E2B" w:rsidR="004462A0" w:rsidRPr="008912CF" w:rsidRDefault="00615769" w:rsidP="00F675CF">
            <w:pPr>
              <w:pStyle w:val="DefaultText"/>
              <w:keepNext/>
              <w:jc w:val="center"/>
              <w:rPr>
                <w:del w:id="2255" w:author="AbbVie2" w:date="2025-05-13T16:36:00Z"/>
                <w:rFonts w:ascii="Times New Roman" w:hAnsi="Times New Roman"/>
                <w:b/>
                <w:bCs w:val="0"/>
                <w:szCs w:val="22"/>
                <w:lang w:val="pt-PT"/>
              </w:rPr>
            </w:pPr>
            <w:del w:id="2256" w:author="AbbVie2" w:date="2025-05-13T16:36:00Z">
              <w:r w:rsidRPr="008912CF">
                <w:rPr>
                  <w:rFonts w:ascii="Times New Roman" w:hAnsi="Times New Roman"/>
                  <w:b/>
                  <w:bCs w:val="0"/>
                  <w:szCs w:val="22"/>
                  <w:lang w:val="pt-PT"/>
                </w:rPr>
                <w:delText>n (%)</w:delText>
              </w:r>
            </w:del>
          </w:p>
        </w:tc>
      </w:tr>
      <w:tr w:rsidR="00A7162A" w14:paraId="61BD91A6" w14:textId="6E23AD56" w:rsidTr="00F675CF">
        <w:trPr>
          <w:cantSplit/>
          <w:jc w:val="center"/>
          <w:del w:id="2257" w:author="AbbVie2" w:date="2025-05-13T16:36:00Z"/>
        </w:trPr>
        <w:tc>
          <w:tcPr>
            <w:tcW w:w="1639" w:type="dxa"/>
          </w:tcPr>
          <w:p w14:paraId="103104B5" w14:textId="3669A9B0" w:rsidR="004462A0" w:rsidRPr="008912CF" w:rsidRDefault="00615769" w:rsidP="00F675CF">
            <w:pPr>
              <w:pStyle w:val="DefaultText"/>
              <w:keepNext/>
              <w:rPr>
                <w:del w:id="2258" w:author="AbbVie2" w:date="2025-05-13T16:36:00Z"/>
                <w:rFonts w:ascii="Times New Roman" w:hAnsi="Times New Roman"/>
                <w:b/>
                <w:bCs w:val="0"/>
                <w:szCs w:val="22"/>
                <w:lang w:val="pt-PT"/>
              </w:rPr>
            </w:pPr>
            <w:del w:id="2259" w:author="AbbVie2" w:date="2025-05-13T16:36:00Z">
              <w:r w:rsidRPr="00F60F83">
                <w:rPr>
                  <w:rFonts w:ascii="Symbol" w:hAnsi="Symbol"/>
                  <w:b/>
                  <w:bCs w:val="0"/>
                  <w:szCs w:val="22"/>
                  <w:lang w:val="pt-PT"/>
                </w:rPr>
                <w:sym w:font="Symbol" w:char="F020"/>
              </w:r>
              <w:r w:rsidRPr="00F60F83">
                <w:rPr>
                  <w:rFonts w:ascii="Symbol" w:hAnsi="Symbol"/>
                  <w:b/>
                  <w:bCs w:val="0"/>
                  <w:szCs w:val="22"/>
                  <w:lang w:val="pt-PT"/>
                </w:rPr>
                <w:sym w:font="Symbol" w:char="F020"/>
              </w:r>
              <w:r w:rsidRPr="00F60F83">
                <w:rPr>
                  <w:rFonts w:ascii="Symbol" w:hAnsi="Symbol"/>
                  <w:b/>
                  <w:bCs w:val="0"/>
                  <w:szCs w:val="22"/>
                  <w:lang w:val="pt-PT"/>
                </w:rPr>
                <w:sym w:font="Symbol" w:char="F020"/>
              </w:r>
              <w:r w:rsidRPr="00F60F83">
                <w:rPr>
                  <w:rFonts w:ascii="Symbol" w:hAnsi="Symbol"/>
                  <w:b/>
                  <w:bCs w:val="0"/>
                  <w:szCs w:val="22"/>
                  <w:lang w:val="pt-PT"/>
                </w:rPr>
                <w:sym w:font="Symbol" w:char="F020"/>
              </w:r>
              <w:r w:rsidRPr="008912CF">
                <w:rPr>
                  <w:rFonts w:ascii="Symbol" w:hAnsi="Symbol"/>
                  <w:b/>
                  <w:bCs w:val="0"/>
                  <w:szCs w:val="22"/>
                  <w:lang w:val="pt-PT"/>
                </w:rPr>
                <w:sym w:font="Symbol" w:char="F0B3"/>
              </w:r>
              <w:r w:rsidR="00601734">
                <w:rPr>
                  <w:rFonts w:ascii="Symbol" w:hAnsi="Symbol"/>
                  <w:b/>
                  <w:bCs w:val="0"/>
                  <w:szCs w:val="22"/>
                  <w:lang w:val="pt-PT"/>
                </w:rPr>
                <w:sym w:font="Symbol" w:char="F020"/>
              </w:r>
              <w:r w:rsidRPr="008912CF">
                <w:rPr>
                  <w:rFonts w:ascii="Times New Roman" w:hAnsi="Times New Roman"/>
                  <w:b/>
                  <w:bCs w:val="0"/>
                  <w:szCs w:val="22"/>
                  <w:lang w:val="pt-PT"/>
                </w:rPr>
                <w:delText>PASI 75</w:delText>
              </w:r>
            </w:del>
          </w:p>
        </w:tc>
        <w:tc>
          <w:tcPr>
            <w:tcW w:w="1668" w:type="dxa"/>
          </w:tcPr>
          <w:p w14:paraId="438E3F10" w14:textId="18DDD508" w:rsidR="004462A0" w:rsidRPr="008912CF" w:rsidRDefault="00615769" w:rsidP="00F675CF">
            <w:pPr>
              <w:pStyle w:val="DefaultText"/>
              <w:keepNext/>
              <w:jc w:val="center"/>
              <w:rPr>
                <w:del w:id="2260" w:author="AbbVie2" w:date="2025-05-13T16:36:00Z"/>
                <w:rFonts w:ascii="Times New Roman" w:hAnsi="Times New Roman"/>
                <w:szCs w:val="22"/>
                <w:lang w:val="pt-PT"/>
              </w:rPr>
            </w:pPr>
            <w:del w:id="2261" w:author="AbbVie2" w:date="2025-05-13T16:36:00Z">
              <w:r w:rsidRPr="008912CF">
                <w:rPr>
                  <w:rFonts w:ascii="Times New Roman" w:hAnsi="Times New Roman"/>
                  <w:szCs w:val="22"/>
                  <w:lang w:val="pt-PT"/>
                </w:rPr>
                <w:delText>10 (18,9)</w:delText>
              </w:r>
            </w:del>
          </w:p>
        </w:tc>
        <w:tc>
          <w:tcPr>
            <w:tcW w:w="1347" w:type="dxa"/>
          </w:tcPr>
          <w:p w14:paraId="43162234" w14:textId="3B1779F7" w:rsidR="004462A0" w:rsidRPr="008912CF" w:rsidRDefault="00615769" w:rsidP="00F675CF">
            <w:pPr>
              <w:pStyle w:val="DefaultText"/>
              <w:keepNext/>
              <w:jc w:val="center"/>
              <w:rPr>
                <w:del w:id="2262" w:author="AbbVie2" w:date="2025-05-13T16:36:00Z"/>
                <w:rFonts w:ascii="Times New Roman" w:hAnsi="Times New Roman"/>
                <w:szCs w:val="22"/>
                <w:lang w:val="pt-PT"/>
              </w:rPr>
            </w:pPr>
            <w:del w:id="2263" w:author="AbbVie2" w:date="2025-05-13T16:36:00Z">
              <w:r w:rsidRPr="008912CF">
                <w:rPr>
                  <w:rFonts w:ascii="Times New Roman" w:hAnsi="Times New Roman"/>
                  <w:szCs w:val="22"/>
                  <w:lang w:val="pt-PT"/>
                </w:rPr>
                <w:delText>39 (35,5)</w:delText>
              </w:r>
            </w:del>
          </w:p>
        </w:tc>
        <w:tc>
          <w:tcPr>
            <w:tcW w:w="2392" w:type="dxa"/>
          </w:tcPr>
          <w:p w14:paraId="432AF31E" w14:textId="41D0463F" w:rsidR="004462A0" w:rsidRPr="008912CF" w:rsidRDefault="00615769" w:rsidP="00F675CF">
            <w:pPr>
              <w:pStyle w:val="DefaultText"/>
              <w:keepNext/>
              <w:jc w:val="center"/>
              <w:rPr>
                <w:del w:id="2264" w:author="AbbVie2" w:date="2025-05-13T16:36:00Z"/>
                <w:rFonts w:ascii="Times New Roman" w:hAnsi="Times New Roman"/>
                <w:szCs w:val="22"/>
                <w:lang w:val="pt-PT"/>
              </w:rPr>
            </w:pPr>
            <w:del w:id="2265" w:author="AbbVie2" w:date="2025-05-13T16:36:00Z">
              <w:r w:rsidRPr="008912CF">
                <w:rPr>
                  <w:rFonts w:ascii="Times New Roman" w:hAnsi="Times New Roman"/>
                  <w:szCs w:val="22"/>
                  <w:lang w:val="pt-PT"/>
                </w:rPr>
                <w:delText>86 (79,6)</w:delText>
              </w:r>
              <w:r w:rsidRPr="008912CF">
                <w:rPr>
                  <w:rFonts w:ascii="Times New Roman" w:hAnsi="Times New Roman"/>
                  <w:szCs w:val="22"/>
                  <w:vertAlign w:val="superscript"/>
                  <w:lang w:val="pt-PT"/>
                </w:rPr>
                <w:delText xml:space="preserve"> a, b</w:delText>
              </w:r>
            </w:del>
          </w:p>
        </w:tc>
      </w:tr>
      <w:tr w:rsidR="00A7162A" w14:paraId="7F9480A3" w14:textId="074C04F7" w:rsidTr="00F675CF">
        <w:trPr>
          <w:cantSplit/>
          <w:jc w:val="center"/>
          <w:del w:id="2266" w:author="AbbVie2" w:date="2025-05-13T16:36:00Z"/>
        </w:trPr>
        <w:tc>
          <w:tcPr>
            <w:tcW w:w="1639" w:type="dxa"/>
          </w:tcPr>
          <w:p w14:paraId="40897FA5" w14:textId="69354827" w:rsidR="004462A0" w:rsidRPr="008912CF" w:rsidRDefault="00615769" w:rsidP="00F675CF">
            <w:pPr>
              <w:pStyle w:val="DefaultText"/>
              <w:keepNext/>
              <w:rPr>
                <w:del w:id="2267" w:author="AbbVie2" w:date="2025-05-13T16:36:00Z"/>
                <w:rFonts w:ascii="Times New Roman" w:hAnsi="Times New Roman"/>
                <w:b/>
                <w:bCs w:val="0"/>
                <w:szCs w:val="22"/>
                <w:lang w:val="pt-PT"/>
              </w:rPr>
            </w:pPr>
            <w:del w:id="2268" w:author="AbbVie2" w:date="2025-05-13T16:36:00Z">
              <w:r w:rsidRPr="00F60F83">
                <w:rPr>
                  <w:rFonts w:ascii="Times New Roman" w:hAnsi="Times New Roman"/>
                  <w:b/>
                  <w:bCs w:val="0"/>
                  <w:szCs w:val="22"/>
                  <w:lang w:val="pt-PT"/>
                </w:rPr>
                <w:delText xml:space="preserve">    </w:delText>
              </w:r>
              <w:r w:rsidRPr="008912CF">
                <w:rPr>
                  <w:rFonts w:ascii="Times New Roman" w:hAnsi="Times New Roman"/>
                  <w:b/>
                  <w:bCs w:val="0"/>
                  <w:szCs w:val="22"/>
                  <w:lang w:val="pt-PT"/>
                </w:rPr>
                <w:delText>PASI 100</w:delText>
              </w:r>
            </w:del>
          </w:p>
        </w:tc>
        <w:tc>
          <w:tcPr>
            <w:tcW w:w="1668" w:type="dxa"/>
          </w:tcPr>
          <w:p w14:paraId="75F2BDD2" w14:textId="626377D3" w:rsidR="004462A0" w:rsidRPr="008912CF" w:rsidRDefault="00615769" w:rsidP="00F675CF">
            <w:pPr>
              <w:pStyle w:val="DefaultText"/>
              <w:keepNext/>
              <w:jc w:val="center"/>
              <w:rPr>
                <w:del w:id="2269" w:author="AbbVie2" w:date="2025-05-13T16:36:00Z"/>
                <w:rFonts w:ascii="Times New Roman" w:hAnsi="Times New Roman"/>
                <w:szCs w:val="22"/>
                <w:lang w:val="pt-PT"/>
              </w:rPr>
            </w:pPr>
            <w:del w:id="2270" w:author="AbbVie2" w:date="2025-05-13T16:36:00Z">
              <w:r w:rsidRPr="008912CF">
                <w:rPr>
                  <w:rFonts w:ascii="Times New Roman" w:hAnsi="Times New Roman"/>
                  <w:szCs w:val="22"/>
                  <w:lang w:val="pt-PT"/>
                </w:rPr>
                <w:delText>1 (1,9)</w:delText>
              </w:r>
            </w:del>
          </w:p>
        </w:tc>
        <w:tc>
          <w:tcPr>
            <w:tcW w:w="1347" w:type="dxa"/>
          </w:tcPr>
          <w:p w14:paraId="7C691C2B" w14:textId="0F5D942B" w:rsidR="004462A0" w:rsidRPr="008912CF" w:rsidRDefault="00615769" w:rsidP="00F675CF">
            <w:pPr>
              <w:pStyle w:val="DefaultText"/>
              <w:keepNext/>
              <w:jc w:val="center"/>
              <w:rPr>
                <w:del w:id="2271" w:author="AbbVie2" w:date="2025-05-13T16:36:00Z"/>
                <w:rFonts w:ascii="Times New Roman" w:hAnsi="Times New Roman"/>
                <w:szCs w:val="22"/>
                <w:lang w:val="pt-PT"/>
              </w:rPr>
            </w:pPr>
            <w:del w:id="2272" w:author="AbbVie2" w:date="2025-05-13T16:36:00Z">
              <w:r w:rsidRPr="008912CF">
                <w:rPr>
                  <w:rFonts w:ascii="Times New Roman" w:hAnsi="Times New Roman"/>
                  <w:szCs w:val="22"/>
                  <w:lang w:val="pt-PT"/>
                </w:rPr>
                <w:delText>8 (7,3)</w:delText>
              </w:r>
            </w:del>
          </w:p>
        </w:tc>
        <w:tc>
          <w:tcPr>
            <w:tcW w:w="2392" w:type="dxa"/>
          </w:tcPr>
          <w:p w14:paraId="676A99A0" w14:textId="004F8FCB" w:rsidR="004462A0" w:rsidRPr="008912CF" w:rsidRDefault="00615769" w:rsidP="00F675CF">
            <w:pPr>
              <w:pStyle w:val="DefaultText"/>
              <w:keepNext/>
              <w:jc w:val="center"/>
              <w:rPr>
                <w:del w:id="2273" w:author="AbbVie2" w:date="2025-05-13T16:36:00Z"/>
                <w:rFonts w:ascii="Times New Roman" w:hAnsi="Times New Roman"/>
                <w:szCs w:val="22"/>
                <w:lang w:val="pt-PT"/>
              </w:rPr>
            </w:pPr>
            <w:del w:id="2274" w:author="AbbVie2" w:date="2025-05-13T16:36:00Z">
              <w:r w:rsidRPr="008912CF">
                <w:rPr>
                  <w:rFonts w:ascii="Times New Roman" w:hAnsi="Times New Roman"/>
                  <w:szCs w:val="22"/>
                  <w:lang w:val="pt-PT"/>
                </w:rPr>
                <w:delText>18 (16,7)</w:delText>
              </w:r>
              <w:r w:rsidRPr="008912CF">
                <w:rPr>
                  <w:rFonts w:ascii="Times New Roman" w:hAnsi="Times New Roman"/>
                  <w:szCs w:val="22"/>
                  <w:vertAlign w:val="superscript"/>
                  <w:lang w:val="pt-PT"/>
                </w:rPr>
                <w:delText xml:space="preserve"> c, d</w:delText>
              </w:r>
            </w:del>
          </w:p>
        </w:tc>
      </w:tr>
      <w:tr w:rsidR="00A7162A" w14:paraId="58D2268E" w14:textId="47934CD8" w:rsidTr="00F675CF">
        <w:trPr>
          <w:cantSplit/>
          <w:jc w:val="center"/>
          <w:del w:id="2275" w:author="AbbVie2" w:date="2025-05-13T16:36:00Z"/>
        </w:trPr>
        <w:tc>
          <w:tcPr>
            <w:tcW w:w="1639" w:type="dxa"/>
          </w:tcPr>
          <w:p w14:paraId="7F17F488" w14:textId="20E97DA3" w:rsidR="004462A0" w:rsidRPr="008912CF" w:rsidRDefault="00615769" w:rsidP="00F675CF">
            <w:pPr>
              <w:pStyle w:val="DefaultText"/>
              <w:keepNext/>
              <w:rPr>
                <w:del w:id="2276" w:author="AbbVie2" w:date="2025-05-13T16:36:00Z"/>
                <w:rFonts w:ascii="Times New Roman" w:hAnsi="Times New Roman"/>
                <w:b/>
                <w:bCs w:val="0"/>
                <w:szCs w:val="22"/>
                <w:lang w:val="pt-PT"/>
              </w:rPr>
            </w:pPr>
            <w:del w:id="2277" w:author="AbbVie2" w:date="2025-05-13T16:36:00Z">
              <w:r w:rsidRPr="00F60F83">
                <w:rPr>
                  <w:rFonts w:ascii="Times New Roman" w:hAnsi="Times New Roman"/>
                  <w:b/>
                  <w:bCs w:val="0"/>
                  <w:szCs w:val="22"/>
                  <w:lang w:val="pt-PT"/>
                </w:rPr>
                <w:delText xml:space="preserve">    </w:delText>
              </w:r>
              <w:r w:rsidRPr="008912CF">
                <w:rPr>
                  <w:rFonts w:ascii="Times New Roman" w:hAnsi="Times New Roman"/>
                  <w:b/>
                  <w:bCs w:val="0"/>
                  <w:szCs w:val="22"/>
                  <w:lang w:val="pt-PT"/>
                </w:rPr>
                <w:delText>PGA: Limp</w:delText>
              </w:r>
              <w:r w:rsidR="005049F7">
                <w:rPr>
                  <w:rFonts w:ascii="Times New Roman" w:hAnsi="Times New Roman"/>
                  <w:b/>
                  <w:bCs w:val="0"/>
                  <w:szCs w:val="22"/>
                  <w:lang w:val="pt-PT"/>
                </w:rPr>
                <w:delText>a</w:delText>
              </w:r>
              <w:r w:rsidRPr="008912CF">
                <w:rPr>
                  <w:rFonts w:ascii="Times New Roman" w:hAnsi="Times New Roman"/>
                  <w:b/>
                  <w:bCs w:val="0"/>
                  <w:szCs w:val="22"/>
                  <w:lang w:val="pt-PT"/>
                </w:rPr>
                <w:delText>/</w:delText>
              </w:r>
              <w:r w:rsidR="00E57BBD">
                <w:rPr>
                  <w:rFonts w:ascii="Times New Roman" w:hAnsi="Times New Roman"/>
                  <w:b/>
                  <w:bCs w:val="0"/>
                  <w:szCs w:val="22"/>
                  <w:lang w:val="pt-PT"/>
                </w:rPr>
                <w:delText>quase limpa</w:delText>
              </w:r>
            </w:del>
          </w:p>
        </w:tc>
        <w:tc>
          <w:tcPr>
            <w:tcW w:w="1668" w:type="dxa"/>
          </w:tcPr>
          <w:p w14:paraId="550D0768" w14:textId="79DCF07B" w:rsidR="004462A0" w:rsidRPr="008912CF" w:rsidRDefault="00615769" w:rsidP="00F675CF">
            <w:pPr>
              <w:pStyle w:val="DefaultText"/>
              <w:keepNext/>
              <w:jc w:val="center"/>
              <w:rPr>
                <w:del w:id="2278" w:author="AbbVie2" w:date="2025-05-13T16:36:00Z"/>
                <w:rFonts w:ascii="Times New Roman" w:hAnsi="Times New Roman"/>
                <w:szCs w:val="22"/>
                <w:lang w:val="pt-PT"/>
              </w:rPr>
            </w:pPr>
            <w:del w:id="2279" w:author="AbbVie2" w:date="2025-05-13T16:36:00Z">
              <w:r w:rsidRPr="008912CF">
                <w:rPr>
                  <w:rFonts w:ascii="Times New Roman" w:hAnsi="Times New Roman"/>
                  <w:szCs w:val="22"/>
                  <w:lang w:val="pt-PT"/>
                </w:rPr>
                <w:delText>6 (11,3)</w:delText>
              </w:r>
            </w:del>
          </w:p>
        </w:tc>
        <w:tc>
          <w:tcPr>
            <w:tcW w:w="1347" w:type="dxa"/>
          </w:tcPr>
          <w:p w14:paraId="6FE20050" w14:textId="7BC9F9E1" w:rsidR="004462A0" w:rsidRPr="008912CF" w:rsidRDefault="00615769" w:rsidP="00F675CF">
            <w:pPr>
              <w:pStyle w:val="DefaultText"/>
              <w:keepNext/>
              <w:jc w:val="center"/>
              <w:rPr>
                <w:del w:id="2280" w:author="AbbVie2" w:date="2025-05-13T16:36:00Z"/>
                <w:rFonts w:ascii="Times New Roman" w:hAnsi="Times New Roman"/>
                <w:szCs w:val="22"/>
                <w:lang w:val="pt-PT"/>
              </w:rPr>
            </w:pPr>
            <w:del w:id="2281" w:author="AbbVie2" w:date="2025-05-13T16:36:00Z">
              <w:r w:rsidRPr="008912CF">
                <w:rPr>
                  <w:rFonts w:ascii="Times New Roman" w:hAnsi="Times New Roman"/>
                  <w:szCs w:val="22"/>
                  <w:lang w:val="pt-PT"/>
                </w:rPr>
                <w:delText>33 (30,0)</w:delText>
              </w:r>
            </w:del>
          </w:p>
        </w:tc>
        <w:tc>
          <w:tcPr>
            <w:tcW w:w="2392" w:type="dxa"/>
          </w:tcPr>
          <w:p w14:paraId="4C32ED9B" w14:textId="2CE0CFDE" w:rsidR="004462A0" w:rsidRPr="008912CF" w:rsidRDefault="00615769" w:rsidP="00F675CF">
            <w:pPr>
              <w:pStyle w:val="DefaultText"/>
              <w:keepNext/>
              <w:jc w:val="center"/>
              <w:rPr>
                <w:del w:id="2282" w:author="AbbVie2" w:date="2025-05-13T16:36:00Z"/>
                <w:rFonts w:ascii="Times New Roman" w:hAnsi="Times New Roman"/>
                <w:szCs w:val="22"/>
                <w:lang w:val="pt-PT"/>
              </w:rPr>
            </w:pPr>
            <w:del w:id="2283" w:author="AbbVie2" w:date="2025-05-13T16:36:00Z">
              <w:r w:rsidRPr="008912CF">
                <w:rPr>
                  <w:rFonts w:ascii="Times New Roman" w:hAnsi="Times New Roman"/>
                  <w:szCs w:val="22"/>
                  <w:lang w:val="pt-PT"/>
                </w:rPr>
                <w:delText>79 (73,1)</w:delText>
              </w:r>
              <w:r w:rsidRPr="008912CF">
                <w:rPr>
                  <w:rFonts w:ascii="Times New Roman" w:hAnsi="Times New Roman"/>
                  <w:szCs w:val="22"/>
                  <w:vertAlign w:val="superscript"/>
                  <w:lang w:val="pt-PT"/>
                </w:rPr>
                <w:delText xml:space="preserve"> a, b</w:delText>
              </w:r>
            </w:del>
          </w:p>
        </w:tc>
      </w:tr>
      <w:tr w:rsidR="00A7162A" w14:paraId="63C4A96A" w14:textId="40BC5973" w:rsidTr="00F675CF">
        <w:trPr>
          <w:cantSplit/>
          <w:jc w:val="center"/>
          <w:del w:id="2284" w:author="AbbVie2" w:date="2025-05-13T16:36:00Z"/>
        </w:trPr>
        <w:tc>
          <w:tcPr>
            <w:tcW w:w="7046" w:type="dxa"/>
            <w:gridSpan w:val="4"/>
          </w:tcPr>
          <w:p w14:paraId="111DE7DC" w14:textId="2C7A1CE7" w:rsidR="004462A0" w:rsidRPr="008912CF" w:rsidRDefault="00615769" w:rsidP="00F675CF">
            <w:pPr>
              <w:pStyle w:val="DefaultText"/>
              <w:keepNext/>
              <w:rPr>
                <w:del w:id="2285" w:author="AbbVie2" w:date="2025-05-13T16:36:00Z"/>
                <w:rFonts w:ascii="Times New Roman" w:hAnsi="Times New Roman"/>
                <w:szCs w:val="22"/>
                <w:lang w:val="pt-PT"/>
              </w:rPr>
            </w:pPr>
            <w:del w:id="2286" w:author="AbbVie2" w:date="2025-05-13T16:36:00Z">
              <w:r w:rsidRPr="008912CF">
                <w:rPr>
                  <w:rFonts w:ascii="Times New Roman" w:hAnsi="Times New Roman"/>
                  <w:szCs w:val="22"/>
                  <w:vertAlign w:val="superscript"/>
                  <w:lang w:val="pt-PT"/>
                </w:rPr>
                <w:delText>a</w:delText>
              </w:r>
              <w:r w:rsidRPr="008912CF">
                <w:rPr>
                  <w:rFonts w:ascii="Times New Roman" w:hAnsi="Times New Roman"/>
                  <w:szCs w:val="22"/>
                  <w:lang w:val="pt-PT"/>
                </w:rPr>
                <w:delText xml:space="preserve"> p&lt;0,001 Humira vs. placebo</w:delText>
              </w:r>
            </w:del>
          </w:p>
          <w:p w14:paraId="4354A755" w14:textId="6AEF56BC" w:rsidR="004462A0" w:rsidRPr="008912CF" w:rsidRDefault="00615769" w:rsidP="00F675CF">
            <w:pPr>
              <w:pStyle w:val="DefaultText"/>
              <w:keepNext/>
              <w:rPr>
                <w:del w:id="2287" w:author="AbbVie2" w:date="2025-05-13T16:36:00Z"/>
                <w:rFonts w:ascii="Times New Roman" w:hAnsi="Times New Roman"/>
                <w:szCs w:val="22"/>
                <w:lang w:val="pt-PT"/>
              </w:rPr>
            </w:pPr>
            <w:del w:id="2288" w:author="AbbVie2" w:date="2025-05-13T16:36:00Z">
              <w:r w:rsidRPr="008912CF">
                <w:rPr>
                  <w:rFonts w:ascii="Times New Roman" w:hAnsi="Times New Roman"/>
                  <w:szCs w:val="22"/>
                  <w:vertAlign w:val="superscript"/>
                  <w:lang w:val="pt-PT"/>
                </w:rPr>
                <w:delText>b</w:delText>
              </w:r>
              <w:r w:rsidRPr="008912CF">
                <w:rPr>
                  <w:rFonts w:ascii="Times New Roman" w:hAnsi="Times New Roman"/>
                  <w:szCs w:val="22"/>
                  <w:lang w:val="pt-PT"/>
                </w:rPr>
                <w:delText xml:space="preserve"> p&lt;0,001 Humira vs. metotrexato</w:delText>
              </w:r>
            </w:del>
          </w:p>
          <w:p w14:paraId="21A43B80" w14:textId="09AB2500" w:rsidR="004462A0" w:rsidRPr="008912CF" w:rsidRDefault="00615769" w:rsidP="00F675CF">
            <w:pPr>
              <w:pStyle w:val="DefaultText"/>
              <w:keepNext/>
              <w:rPr>
                <w:del w:id="2289" w:author="AbbVie2" w:date="2025-05-13T16:36:00Z"/>
                <w:rFonts w:ascii="Times New Roman" w:hAnsi="Times New Roman"/>
                <w:szCs w:val="22"/>
                <w:lang w:val="pt-PT"/>
              </w:rPr>
            </w:pPr>
            <w:del w:id="2290" w:author="AbbVie2" w:date="2025-05-13T16:36:00Z">
              <w:r w:rsidRPr="008912CF">
                <w:rPr>
                  <w:rFonts w:ascii="Times New Roman" w:hAnsi="Times New Roman"/>
                  <w:szCs w:val="22"/>
                  <w:vertAlign w:val="superscript"/>
                  <w:lang w:val="pt-PT"/>
                </w:rPr>
                <w:delText>c</w:delText>
              </w:r>
              <w:r w:rsidRPr="008912CF">
                <w:rPr>
                  <w:rFonts w:ascii="Times New Roman" w:hAnsi="Times New Roman"/>
                  <w:szCs w:val="22"/>
                  <w:lang w:val="pt-PT"/>
                </w:rPr>
                <w:delText xml:space="preserve"> p&lt;0,01 Humira vs. placebo</w:delText>
              </w:r>
            </w:del>
          </w:p>
          <w:p w14:paraId="348B6C40" w14:textId="024C35E6" w:rsidR="004462A0" w:rsidRPr="008912CF" w:rsidRDefault="00615769" w:rsidP="00F675CF">
            <w:pPr>
              <w:pStyle w:val="DefaultText"/>
              <w:keepNext/>
              <w:rPr>
                <w:del w:id="2291" w:author="AbbVie2" w:date="2025-05-13T16:36:00Z"/>
                <w:rFonts w:ascii="Times New Roman" w:hAnsi="Times New Roman"/>
                <w:szCs w:val="22"/>
                <w:lang w:val="pt-PT"/>
              </w:rPr>
            </w:pPr>
            <w:del w:id="2292" w:author="AbbVie2" w:date="2025-05-13T16:36:00Z">
              <w:r w:rsidRPr="008912CF">
                <w:rPr>
                  <w:rFonts w:ascii="Times New Roman" w:hAnsi="Times New Roman"/>
                  <w:szCs w:val="22"/>
                  <w:vertAlign w:val="superscript"/>
                  <w:lang w:val="pt-PT"/>
                </w:rPr>
                <w:delText>d</w:delText>
              </w:r>
              <w:r w:rsidRPr="008912CF">
                <w:rPr>
                  <w:rFonts w:ascii="Times New Roman" w:hAnsi="Times New Roman"/>
                  <w:szCs w:val="22"/>
                  <w:lang w:val="pt-PT"/>
                </w:rPr>
                <w:delText xml:space="preserve"> p&lt;0,05 Humira vs. Metotrexato</w:delText>
              </w:r>
            </w:del>
          </w:p>
        </w:tc>
      </w:tr>
    </w:tbl>
    <w:p w14:paraId="0AA4435E" w14:textId="14C060A8" w:rsidR="004462A0" w:rsidRPr="008912CF" w:rsidRDefault="004462A0" w:rsidP="004462A0">
      <w:pPr>
        <w:rPr>
          <w:del w:id="2293" w:author="AbbVie2" w:date="2025-05-13T16:36:00Z"/>
          <w:b/>
          <w:bCs/>
          <w:sz w:val="22"/>
          <w:szCs w:val="22"/>
        </w:rPr>
      </w:pPr>
    </w:p>
    <w:p w14:paraId="5AB92A4A" w14:textId="5A6886AB" w:rsidR="004462A0" w:rsidRPr="008912CF" w:rsidRDefault="00615769" w:rsidP="004462A0">
      <w:pPr>
        <w:rPr>
          <w:del w:id="2294" w:author="AbbVie2" w:date="2025-05-13T16:36:00Z"/>
          <w:sz w:val="22"/>
          <w:szCs w:val="22"/>
        </w:rPr>
      </w:pPr>
      <w:del w:id="2295" w:author="AbbVie2" w:date="2025-05-13T16:36:00Z">
        <w:r w:rsidRPr="008912CF">
          <w:rPr>
            <w:sz w:val="22"/>
            <w:szCs w:val="22"/>
          </w:rPr>
          <w:delText xml:space="preserve">No Estudo I na </w:delText>
        </w:r>
        <w:r w:rsidRPr="008912CF">
          <w:rPr>
            <w:iCs/>
            <w:sz w:val="22"/>
            <w:szCs w:val="22"/>
          </w:rPr>
          <w:delText>Psoríase</w:delText>
        </w:r>
        <w:r w:rsidRPr="008912CF">
          <w:rPr>
            <w:sz w:val="22"/>
            <w:szCs w:val="22"/>
          </w:rPr>
          <w:delText>, 28</w:delText>
        </w:r>
        <w:r w:rsidR="009343EF">
          <w:rPr>
            <w:sz w:val="22"/>
            <w:szCs w:val="22"/>
          </w:rPr>
          <w:delText>%</w:delText>
        </w:r>
        <w:r w:rsidRPr="008912CF">
          <w:rPr>
            <w:sz w:val="22"/>
            <w:szCs w:val="22"/>
          </w:rPr>
          <w:delText xml:space="preserve"> dos doentes que tiveram resposta PASI 75 e que foram de novo </w:delText>
        </w:r>
        <w:r w:rsidR="0013275C">
          <w:rPr>
            <w:sz w:val="22"/>
            <w:szCs w:val="22"/>
          </w:rPr>
          <w:delText>aleatorizado</w:delText>
        </w:r>
        <w:r w:rsidRPr="008912CF">
          <w:rPr>
            <w:sz w:val="22"/>
            <w:szCs w:val="22"/>
          </w:rPr>
          <w:delText xml:space="preserve">s </w:delText>
        </w:r>
        <w:r w:rsidR="00547396">
          <w:rPr>
            <w:sz w:val="22"/>
            <w:szCs w:val="22"/>
          </w:rPr>
          <w:delText>para</w:delText>
        </w:r>
        <w:r w:rsidR="00547396" w:rsidRPr="008912CF">
          <w:rPr>
            <w:sz w:val="22"/>
            <w:szCs w:val="22"/>
          </w:rPr>
          <w:delText xml:space="preserve"> </w:delText>
        </w:r>
        <w:r w:rsidRPr="008912CF">
          <w:rPr>
            <w:sz w:val="22"/>
            <w:szCs w:val="22"/>
          </w:rPr>
          <w:delText>placebo à Semana 33, comparativamente a 5</w:delText>
        </w:r>
        <w:r w:rsidR="009343EF">
          <w:rPr>
            <w:sz w:val="22"/>
            <w:szCs w:val="22"/>
          </w:rPr>
          <w:delText>%</w:delText>
        </w:r>
        <w:r w:rsidRPr="008912CF">
          <w:rPr>
            <w:sz w:val="22"/>
            <w:szCs w:val="22"/>
          </w:rPr>
          <w:delText xml:space="preserve"> dos que continuaram Humira, p &lt; 0,001, atingiram “perda de resposta adequada”</w:delText>
        </w:r>
        <w:r w:rsidRPr="008912CF">
          <w:rPr>
            <w:iCs/>
            <w:sz w:val="22"/>
            <w:szCs w:val="22"/>
          </w:rPr>
          <w:delText xml:space="preserve"> (pontuação PASI após a Semana 33 e ou antes da Semana 52 que resultou numa resposta &lt; PASI 50 em relação à avaliação basal, com um mínimo de 6-pontos de aumento na pontuação PASI em relação à </w:delText>
        </w:r>
        <w:r w:rsidR="00601734">
          <w:rPr>
            <w:iCs/>
            <w:sz w:val="22"/>
            <w:szCs w:val="22"/>
          </w:rPr>
          <w:delText>S</w:delText>
        </w:r>
        <w:r w:rsidRPr="008912CF">
          <w:rPr>
            <w:iCs/>
            <w:sz w:val="22"/>
            <w:szCs w:val="22"/>
          </w:rPr>
          <w:delText>emana 33)</w:delText>
        </w:r>
        <w:r w:rsidRPr="008912CF">
          <w:rPr>
            <w:sz w:val="22"/>
            <w:szCs w:val="22"/>
          </w:rPr>
          <w:delText xml:space="preserve">. Dos doentes que não tiveram uma resposta adequada após a nova </w:delText>
        </w:r>
        <w:r w:rsidR="00547396">
          <w:rPr>
            <w:sz w:val="22"/>
            <w:szCs w:val="22"/>
          </w:rPr>
          <w:delText>aleator</w:delText>
        </w:r>
        <w:r w:rsidRPr="008912CF">
          <w:rPr>
            <w:sz w:val="22"/>
            <w:szCs w:val="22"/>
          </w:rPr>
          <w:delText xml:space="preserve">ização </w:delText>
        </w:r>
        <w:r w:rsidR="00547396">
          <w:rPr>
            <w:sz w:val="22"/>
            <w:szCs w:val="22"/>
          </w:rPr>
          <w:delText>para</w:delText>
        </w:r>
        <w:r w:rsidR="00547396" w:rsidRPr="008912CF">
          <w:rPr>
            <w:sz w:val="22"/>
            <w:szCs w:val="22"/>
          </w:rPr>
          <w:delText xml:space="preserve"> </w:delText>
        </w:r>
        <w:r w:rsidRPr="008912CF">
          <w:rPr>
            <w:sz w:val="22"/>
            <w:szCs w:val="22"/>
          </w:rPr>
          <w:delText>placebo e que depois fora</w:delText>
        </w:r>
        <w:r w:rsidRPr="008912CF">
          <w:rPr>
            <w:sz w:val="22"/>
            <w:szCs w:val="22"/>
          </w:rPr>
          <w:delText xml:space="preserve">m </w:delText>
        </w:r>
        <w:r w:rsidR="00547396">
          <w:rPr>
            <w:sz w:val="22"/>
            <w:szCs w:val="22"/>
          </w:rPr>
          <w:delText>integrados</w:delText>
        </w:r>
        <w:r w:rsidR="00547396" w:rsidRPr="008912CF">
          <w:rPr>
            <w:sz w:val="22"/>
            <w:szCs w:val="22"/>
          </w:rPr>
          <w:delText xml:space="preserve"> </w:delText>
        </w:r>
        <w:r w:rsidRPr="008912CF">
          <w:rPr>
            <w:sz w:val="22"/>
            <w:szCs w:val="22"/>
          </w:rPr>
          <w:delText>em ensaios de extensão de fase aberta, 38</w:delText>
        </w:r>
        <w:r w:rsidR="009343EF">
          <w:rPr>
            <w:sz w:val="22"/>
            <w:szCs w:val="22"/>
          </w:rPr>
          <w:delText>%</w:delText>
        </w:r>
        <w:r w:rsidRPr="008912CF">
          <w:rPr>
            <w:sz w:val="22"/>
            <w:szCs w:val="22"/>
          </w:rPr>
          <w:delText xml:space="preserve"> (25/66) e 55</w:delText>
        </w:r>
        <w:r w:rsidR="009343EF">
          <w:rPr>
            <w:sz w:val="22"/>
            <w:szCs w:val="22"/>
          </w:rPr>
          <w:delText>%</w:delText>
        </w:r>
        <w:r w:rsidRPr="008912CF">
          <w:rPr>
            <w:sz w:val="22"/>
            <w:szCs w:val="22"/>
          </w:rPr>
          <w:delText xml:space="preserve"> (36/66) recuperaram resposta PASI 75 após 12 e 24 semanas do novo tratamento, respetivamente.</w:delText>
        </w:r>
      </w:del>
    </w:p>
    <w:p w14:paraId="0C983B1E" w14:textId="77033F8F" w:rsidR="004462A0" w:rsidRPr="008912CF" w:rsidRDefault="004462A0" w:rsidP="004462A0">
      <w:pPr>
        <w:rPr>
          <w:del w:id="2296" w:author="AbbVie2" w:date="2025-05-13T16:36:00Z"/>
          <w:sz w:val="22"/>
          <w:szCs w:val="22"/>
        </w:rPr>
      </w:pPr>
    </w:p>
    <w:p w14:paraId="4720A665" w14:textId="7C9D8258" w:rsidR="004462A0" w:rsidRPr="008912CF" w:rsidRDefault="00615769" w:rsidP="004462A0">
      <w:pPr>
        <w:rPr>
          <w:del w:id="2297" w:author="AbbVie2" w:date="2025-05-13T16:36:00Z"/>
          <w:sz w:val="22"/>
          <w:szCs w:val="22"/>
        </w:rPr>
      </w:pPr>
      <w:del w:id="2298" w:author="AbbVie2" w:date="2025-05-13T16:36:00Z">
        <w:r w:rsidRPr="008912CF">
          <w:rPr>
            <w:sz w:val="22"/>
            <w:szCs w:val="22"/>
          </w:rPr>
          <w:delText xml:space="preserve">Um total de 233 doentes que tiveram uma resposta PASI 75 à </w:delText>
        </w:r>
        <w:r>
          <w:rPr>
            <w:sz w:val="22"/>
            <w:szCs w:val="22"/>
          </w:rPr>
          <w:delText>S</w:delText>
        </w:r>
        <w:r w:rsidRPr="008912CF">
          <w:rPr>
            <w:sz w:val="22"/>
            <w:szCs w:val="22"/>
          </w:rPr>
          <w:delText>emana</w:delText>
        </w:r>
        <w:r>
          <w:rPr>
            <w:sz w:val="22"/>
            <w:szCs w:val="22"/>
          </w:rPr>
          <w:delText> </w:delText>
        </w:r>
        <w:r w:rsidRPr="008912CF">
          <w:rPr>
            <w:sz w:val="22"/>
            <w:szCs w:val="22"/>
          </w:rPr>
          <w:delText xml:space="preserve">16 e à </w:delText>
        </w:r>
        <w:r>
          <w:rPr>
            <w:sz w:val="22"/>
            <w:szCs w:val="22"/>
          </w:rPr>
          <w:delText>S</w:delText>
        </w:r>
        <w:r w:rsidRPr="008912CF">
          <w:rPr>
            <w:sz w:val="22"/>
            <w:szCs w:val="22"/>
          </w:rPr>
          <w:delText>emana</w:delText>
        </w:r>
        <w:r>
          <w:rPr>
            <w:sz w:val="22"/>
            <w:szCs w:val="22"/>
          </w:rPr>
          <w:delText> </w:delText>
        </w:r>
        <w:r w:rsidRPr="008912CF">
          <w:rPr>
            <w:sz w:val="22"/>
            <w:szCs w:val="22"/>
          </w:rPr>
          <w:delText>33 receberam tratamento contínuo com Humira no Estudo I na Psoríase, durante 52</w:delText>
        </w:r>
        <w:r>
          <w:rPr>
            <w:sz w:val="22"/>
            <w:szCs w:val="22"/>
          </w:rPr>
          <w:delText> </w:delText>
        </w:r>
        <w:r w:rsidRPr="008912CF">
          <w:rPr>
            <w:sz w:val="22"/>
            <w:szCs w:val="22"/>
          </w:rPr>
          <w:delText>semanas, e continuaram com Humira no ensaio de extensão de fase aberta. A taxa de resposta PASI 75 e PGA “limp</w:delText>
        </w:r>
        <w:r w:rsidR="00E57BBD">
          <w:rPr>
            <w:sz w:val="22"/>
            <w:szCs w:val="22"/>
          </w:rPr>
          <w:delText>a</w:delText>
        </w:r>
        <w:r w:rsidRPr="008912CF">
          <w:rPr>
            <w:sz w:val="22"/>
            <w:szCs w:val="22"/>
          </w:rPr>
          <w:delText>” ou “</w:delText>
        </w:r>
        <w:r w:rsidR="00E57BBD">
          <w:rPr>
            <w:sz w:val="22"/>
            <w:szCs w:val="22"/>
          </w:rPr>
          <w:delText>quase limpa</w:delText>
        </w:r>
        <w:r w:rsidRPr="008912CF">
          <w:rPr>
            <w:sz w:val="22"/>
            <w:szCs w:val="22"/>
          </w:rPr>
          <w:delText>” nestes doentes foi de 74,7</w:delText>
        </w:r>
        <w:r w:rsidR="009343EF">
          <w:rPr>
            <w:sz w:val="22"/>
            <w:szCs w:val="22"/>
          </w:rPr>
          <w:delText>%</w:delText>
        </w:r>
        <w:r w:rsidRPr="008912CF">
          <w:rPr>
            <w:sz w:val="22"/>
            <w:szCs w:val="22"/>
          </w:rPr>
          <w:delText xml:space="preserve"> e 59,0</w:delText>
        </w:r>
        <w:r w:rsidR="009343EF">
          <w:rPr>
            <w:sz w:val="22"/>
            <w:szCs w:val="22"/>
          </w:rPr>
          <w:delText>%</w:delText>
        </w:r>
        <w:r w:rsidRPr="008912CF">
          <w:rPr>
            <w:sz w:val="22"/>
            <w:szCs w:val="22"/>
          </w:rPr>
          <w:delText xml:space="preserve"> respetivamente, após um tratamento adicional de 108 semanas em fase aberta (total de 160 semanas). Numa análise em que todos os doentes que abandonaram o estudo, devido a acontecimentos adversos ou por falta de eficácia, ou </w:delText>
        </w:r>
        <w:r w:rsidR="00547396">
          <w:rPr>
            <w:sz w:val="22"/>
            <w:szCs w:val="22"/>
          </w:rPr>
          <w:delText>que tiveram</w:delText>
        </w:r>
        <w:r w:rsidR="00547396" w:rsidRPr="008912CF">
          <w:rPr>
            <w:sz w:val="22"/>
            <w:szCs w:val="22"/>
          </w:rPr>
          <w:delText xml:space="preserve"> </w:delText>
        </w:r>
        <w:r w:rsidRPr="008912CF">
          <w:rPr>
            <w:sz w:val="22"/>
            <w:szCs w:val="22"/>
          </w:rPr>
          <w:delText>escalonamento de dose, foram c</w:delText>
        </w:r>
        <w:r w:rsidRPr="008912CF">
          <w:rPr>
            <w:sz w:val="22"/>
            <w:szCs w:val="22"/>
          </w:rPr>
          <w:delText>onsiderados não-respondedores, as taxas de resposta PASI 75 e PGA “limp</w:delText>
        </w:r>
        <w:r w:rsidR="00547396">
          <w:rPr>
            <w:sz w:val="22"/>
            <w:szCs w:val="22"/>
          </w:rPr>
          <w:delText>a</w:delText>
        </w:r>
        <w:r w:rsidRPr="008912CF">
          <w:rPr>
            <w:sz w:val="22"/>
            <w:szCs w:val="22"/>
          </w:rPr>
          <w:delText>” ou “</w:delText>
        </w:r>
        <w:r w:rsidR="00E57BBD">
          <w:rPr>
            <w:sz w:val="22"/>
            <w:szCs w:val="22"/>
          </w:rPr>
          <w:delText>quase limpa</w:delText>
        </w:r>
        <w:r w:rsidRPr="008912CF">
          <w:rPr>
            <w:sz w:val="22"/>
            <w:szCs w:val="22"/>
          </w:rPr>
          <w:delText>” nestes doentes foram de 69,6% e 55,7% respetivamente, após um tratamento adicional de 108 semanas em fase aberta (total de 160 semanas).</w:delText>
        </w:r>
      </w:del>
    </w:p>
    <w:p w14:paraId="4A9C48E2" w14:textId="419E5CD6" w:rsidR="004462A0" w:rsidRPr="008912CF" w:rsidRDefault="004462A0" w:rsidP="004462A0">
      <w:pPr>
        <w:rPr>
          <w:del w:id="2299" w:author="AbbVie2" w:date="2025-05-13T16:36:00Z"/>
          <w:sz w:val="22"/>
          <w:szCs w:val="22"/>
        </w:rPr>
      </w:pPr>
    </w:p>
    <w:p w14:paraId="68A4D7EC" w14:textId="4C6595F4" w:rsidR="004462A0" w:rsidRPr="008912CF" w:rsidRDefault="00615769" w:rsidP="004462A0">
      <w:pPr>
        <w:rPr>
          <w:del w:id="2300" w:author="AbbVie2" w:date="2025-05-13T16:36:00Z"/>
          <w:sz w:val="22"/>
          <w:szCs w:val="22"/>
        </w:rPr>
      </w:pPr>
      <w:del w:id="2301" w:author="AbbVie2" w:date="2025-05-13T16:36:00Z">
        <w:r w:rsidRPr="008912CF">
          <w:rPr>
            <w:sz w:val="22"/>
            <w:szCs w:val="22"/>
          </w:rPr>
          <w:delText xml:space="preserve">Um total de 347 doentes respondedores estáveis participaram numa avaliação da suspensão do tratamento e novo tratamento, no estudo de extensão de fase aberta. Durante o período de suspensão, os sintomas da psoríase reaparecem, com um tempo </w:delText>
        </w:r>
        <w:r w:rsidR="00547396">
          <w:rPr>
            <w:sz w:val="22"/>
            <w:szCs w:val="22"/>
          </w:rPr>
          <w:delText>mediano</w:delText>
        </w:r>
        <w:r w:rsidR="00547396" w:rsidRPr="008912CF">
          <w:rPr>
            <w:sz w:val="22"/>
            <w:szCs w:val="22"/>
          </w:rPr>
          <w:delText xml:space="preserve"> </w:delText>
        </w:r>
        <w:r w:rsidRPr="008912CF">
          <w:rPr>
            <w:sz w:val="22"/>
            <w:szCs w:val="22"/>
          </w:rPr>
          <w:delText xml:space="preserve">de recidiva (diminuição para um PGA </w:delText>
        </w:r>
        <w:r w:rsidR="0090687D">
          <w:rPr>
            <w:sz w:val="22"/>
            <w:szCs w:val="22"/>
          </w:rPr>
          <w:delText>“</w:delText>
        </w:r>
        <w:r w:rsidRPr="008912CF">
          <w:rPr>
            <w:sz w:val="22"/>
            <w:szCs w:val="22"/>
          </w:rPr>
          <w:delText>moderad</w:delText>
        </w:r>
        <w:r w:rsidR="00601734">
          <w:rPr>
            <w:sz w:val="22"/>
            <w:szCs w:val="22"/>
          </w:rPr>
          <w:delText>a</w:delText>
        </w:r>
        <w:r w:rsidR="0090687D">
          <w:rPr>
            <w:sz w:val="22"/>
            <w:szCs w:val="22"/>
          </w:rPr>
          <w:delText>”</w:delText>
        </w:r>
        <w:r w:rsidRPr="008912CF">
          <w:rPr>
            <w:sz w:val="22"/>
            <w:szCs w:val="22"/>
          </w:rPr>
          <w:delText xml:space="preserve"> ou “pior”) de aproximadamente 5</w:delText>
        </w:r>
        <w:r>
          <w:rPr>
            <w:sz w:val="22"/>
            <w:szCs w:val="22"/>
          </w:rPr>
          <w:delText> </w:delText>
        </w:r>
        <w:r w:rsidRPr="008912CF">
          <w:rPr>
            <w:sz w:val="22"/>
            <w:szCs w:val="22"/>
          </w:rPr>
          <w:delText xml:space="preserve">meses. Nenhum destes doentes apresentaram efeito </w:delText>
        </w:r>
        <w:r w:rsidRPr="008912CF">
          <w:rPr>
            <w:i/>
            <w:sz w:val="22"/>
            <w:szCs w:val="22"/>
          </w:rPr>
          <w:delText>rebound</w:delText>
        </w:r>
        <w:r w:rsidRPr="008912CF">
          <w:rPr>
            <w:sz w:val="22"/>
            <w:szCs w:val="22"/>
          </w:rPr>
          <w:delText xml:space="preserve"> durante o período de suspensão. Um total de 76,5</w:delText>
        </w:r>
        <w:r w:rsidR="009343EF">
          <w:rPr>
            <w:sz w:val="22"/>
            <w:szCs w:val="22"/>
          </w:rPr>
          <w:delText>%</w:delText>
        </w:r>
        <w:r w:rsidRPr="008912CF">
          <w:rPr>
            <w:sz w:val="22"/>
            <w:szCs w:val="22"/>
          </w:rPr>
          <w:delText xml:space="preserve"> (218/285) dos doentes que entraram no período de novo tratamento apresentaram uma resposta de PGA </w:delText>
        </w:r>
        <w:r w:rsidR="0090687D">
          <w:rPr>
            <w:sz w:val="22"/>
            <w:szCs w:val="22"/>
          </w:rPr>
          <w:delText>“</w:delText>
        </w:r>
        <w:r w:rsidRPr="008912CF">
          <w:rPr>
            <w:sz w:val="22"/>
            <w:szCs w:val="22"/>
          </w:rPr>
          <w:delText>limp</w:delText>
        </w:r>
        <w:r w:rsidR="00547396">
          <w:rPr>
            <w:sz w:val="22"/>
            <w:szCs w:val="22"/>
          </w:rPr>
          <w:delText>a</w:delText>
        </w:r>
        <w:r w:rsidR="0090687D">
          <w:rPr>
            <w:sz w:val="22"/>
            <w:szCs w:val="22"/>
          </w:rPr>
          <w:delText>”</w:delText>
        </w:r>
        <w:r w:rsidRPr="008912CF">
          <w:rPr>
            <w:sz w:val="22"/>
            <w:szCs w:val="22"/>
          </w:rPr>
          <w:delText xml:space="preserve"> ou </w:delText>
        </w:r>
        <w:r w:rsidR="0090687D">
          <w:rPr>
            <w:sz w:val="22"/>
            <w:szCs w:val="22"/>
          </w:rPr>
          <w:delText>“</w:delText>
        </w:r>
        <w:r w:rsidR="00E57BBD">
          <w:rPr>
            <w:sz w:val="22"/>
            <w:szCs w:val="22"/>
          </w:rPr>
          <w:delText>quase limpa</w:delText>
        </w:r>
        <w:r w:rsidR="0090687D">
          <w:rPr>
            <w:sz w:val="22"/>
            <w:szCs w:val="22"/>
          </w:rPr>
          <w:delText>”</w:delText>
        </w:r>
        <w:r w:rsidRPr="008912CF">
          <w:rPr>
            <w:sz w:val="22"/>
            <w:szCs w:val="22"/>
          </w:rPr>
          <w:delText>, após 16 semanas de novo tratamento, independentemente de recidiva durante a suspensão (69,1</w:delText>
        </w:r>
        <w:r w:rsidR="009343EF">
          <w:rPr>
            <w:sz w:val="22"/>
            <w:szCs w:val="22"/>
          </w:rPr>
          <w:delText>%</w:delText>
        </w:r>
        <w:r w:rsidRPr="008912CF">
          <w:rPr>
            <w:sz w:val="22"/>
            <w:szCs w:val="22"/>
          </w:rPr>
          <w:delText xml:space="preserve"> [123/178] e 88,8</w:delText>
        </w:r>
        <w:r w:rsidR="009343EF">
          <w:rPr>
            <w:sz w:val="22"/>
            <w:szCs w:val="22"/>
          </w:rPr>
          <w:delText>%</w:delText>
        </w:r>
        <w:r w:rsidRPr="008912CF">
          <w:rPr>
            <w:sz w:val="22"/>
            <w:szCs w:val="22"/>
          </w:rPr>
          <w:delText xml:space="preserve"> [95/107], para doentes que tiveram ou não recidiva durante o período de suspensão, respetivamente). Durante o novo tratamento, foi observado um perfil de segurança semelhante ao observado antes da suspensão.</w:delText>
        </w:r>
      </w:del>
    </w:p>
    <w:p w14:paraId="16FC6010" w14:textId="70367D64" w:rsidR="004462A0" w:rsidRPr="008912CF" w:rsidRDefault="004462A0" w:rsidP="004462A0">
      <w:pPr>
        <w:autoSpaceDE w:val="0"/>
        <w:autoSpaceDN w:val="0"/>
        <w:adjustRightInd w:val="0"/>
        <w:rPr>
          <w:del w:id="2302" w:author="AbbVie2" w:date="2025-05-13T16:36:00Z"/>
          <w:sz w:val="22"/>
          <w:szCs w:val="22"/>
        </w:rPr>
      </w:pPr>
    </w:p>
    <w:p w14:paraId="6AFE0BCB" w14:textId="22261719" w:rsidR="004462A0" w:rsidRPr="008912CF" w:rsidRDefault="00615769" w:rsidP="004462A0">
      <w:pPr>
        <w:rPr>
          <w:del w:id="2303" w:author="AbbVie2" w:date="2025-05-13T16:36:00Z"/>
          <w:sz w:val="22"/>
          <w:szCs w:val="22"/>
        </w:rPr>
      </w:pPr>
      <w:del w:id="2304" w:author="AbbVie2" w:date="2025-05-13T16:36:00Z">
        <w:r w:rsidRPr="008912CF">
          <w:rPr>
            <w:sz w:val="22"/>
            <w:szCs w:val="22"/>
          </w:rPr>
          <w:delText xml:space="preserve">Foram demonstradas melhorias significativas </w:delText>
        </w:r>
        <w:r w:rsidR="00547396">
          <w:rPr>
            <w:sz w:val="22"/>
            <w:szCs w:val="22"/>
          </w:rPr>
          <w:delText>à</w:delText>
        </w:r>
        <w:r w:rsidR="00547396" w:rsidRPr="008912CF">
          <w:rPr>
            <w:sz w:val="22"/>
            <w:szCs w:val="22"/>
          </w:rPr>
          <w:delText xml:space="preserve"> </w:delText>
        </w:r>
        <w:r w:rsidRPr="008912CF">
          <w:rPr>
            <w:sz w:val="22"/>
            <w:szCs w:val="22"/>
          </w:rPr>
          <w:delText>semana</w:delText>
        </w:r>
        <w:r>
          <w:rPr>
            <w:sz w:val="22"/>
            <w:szCs w:val="22"/>
          </w:rPr>
          <w:delText> </w:delText>
        </w:r>
        <w:r w:rsidRPr="008912CF">
          <w:rPr>
            <w:sz w:val="22"/>
            <w:szCs w:val="22"/>
          </w:rPr>
          <w:delText>16 em relação à avaliação basal comparativamente com placebo (Estudos I e II) e MTX (Estudo II), no DLQI (</w:delText>
        </w:r>
        <w:r w:rsidRPr="008912CF">
          <w:rPr>
            <w:i/>
            <w:sz w:val="22"/>
            <w:szCs w:val="22"/>
          </w:rPr>
          <w:delText>Dermatology Life Quality Index)</w:delText>
        </w:r>
        <w:r w:rsidRPr="008912CF">
          <w:rPr>
            <w:sz w:val="22"/>
            <w:szCs w:val="22"/>
          </w:rPr>
          <w:delText>. No Estudo I, foram também demonstradas melhorias nas pontuações das componentes física e mental do SF-36, comparativamente com placebo.</w:delText>
        </w:r>
      </w:del>
    </w:p>
    <w:p w14:paraId="2F175D9D" w14:textId="2A50E277" w:rsidR="004462A0" w:rsidRPr="008912CF" w:rsidRDefault="004462A0" w:rsidP="004462A0">
      <w:pPr>
        <w:pStyle w:val="EMEANormal"/>
        <w:rPr>
          <w:del w:id="2305" w:author="AbbVie2" w:date="2025-05-13T16:36:00Z"/>
          <w:szCs w:val="22"/>
          <w:lang w:val="pt-PT"/>
        </w:rPr>
      </w:pPr>
    </w:p>
    <w:p w14:paraId="2E6F150C" w14:textId="69C45833" w:rsidR="004462A0" w:rsidRPr="008912CF" w:rsidRDefault="00615769" w:rsidP="004462A0">
      <w:pPr>
        <w:rPr>
          <w:del w:id="2306" w:author="AbbVie2" w:date="2025-05-13T16:36:00Z"/>
          <w:sz w:val="22"/>
          <w:szCs w:val="22"/>
        </w:rPr>
      </w:pPr>
      <w:del w:id="2307" w:author="AbbVie2" w:date="2025-05-13T16:36:00Z">
        <w:r w:rsidRPr="008912CF">
          <w:rPr>
            <w:sz w:val="22"/>
            <w:szCs w:val="22"/>
          </w:rPr>
          <w:delText>Num estudo de extensão de fase aberta, em doentes em que houve escalonamento da dose de 40 mg em semanas alternadas para 40 mg todas as semanas, devido a uma resposta PASI inferior a 50</w:delText>
        </w:r>
        <w:r w:rsidR="009343EF">
          <w:rPr>
            <w:sz w:val="22"/>
            <w:szCs w:val="22"/>
          </w:rPr>
          <w:delText>%</w:delText>
        </w:r>
        <w:r w:rsidRPr="008912CF">
          <w:rPr>
            <w:sz w:val="22"/>
            <w:szCs w:val="22"/>
          </w:rPr>
          <w:delText>, 26,4</w:delText>
        </w:r>
        <w:r w:rsidR="009343EF">
          <w:rPr>
            <w:sz w:val="22"/>
            <w:szCs w:val="22"/>
          </w:rPr>
          <w:delText>%</w:delText>
        </w:r>
        <w:r w:rsidRPr="008912CF">
          <w:rPr>
            <w:sz w:val="22"/>
            <w:szCs w:val="22"/>
          </w:rPr>
          <w:delText xml:space="preserve"> (92/349) e 37,8</w:delText>
        </w:r>
        <w:r w:rsidR="009343EF">
          <w:rPr>
            <w:sz w:val="22"/>
            <w:szCs w:val="22"/>
          </w:rPr>
          <w:delText>%</w:delText>
        </w:r>
        <w:r w:rsidRPr="008912CF">
          <w:rPr>
            <w:sz w:val="22"/>
            <w:szCs w:val="22"/>
          </w:rPr>
          <w:delText xml:space="preserve"> (132/349) dos doentes alcançaram uma resposta PASI 75 às semanas 12 e 24</w:delText>
        </w:r>
        <w:r w:rsidR="00547396">
          <w:rPr>
            <w:sz w:val="22"/>
            <w:szCs w:val="22"/>
          </w:rPr>
          <w:delText>,</w:delText>
        </w:r>
        <w:r w:rsidRPr="008912CF">
          <w:rPr>
            <w:sz w:val="22"/>
            <w:szCs w:val="22"/>
          </w:rPr>
          <w:delText xml:space="preserve"> respetivamente.</w:delText>
        </w:r>
      </w:del>
    </w:p>
    <w:p w14:paraId="76872BFF" w14:textId="2C78958A" w:rsidR="004462A0" w:rsidRPr="008912CF" w:rsidRDefault="004462A0" w:rsidP="004462A0">
      <w:pPr>
        <w:rPr>
          <w:del w:id="2308" w:author="AbbVie2" w:date="2025-05-13T16:36:00Z"/>
        </w:rPr>
      </w:pPr>
    </w:p>
    <w:p w14:paraId="3AAFD025" w14:textId="26B6C810" w:rsidR="004462A0" w:rsidRPr="008912CF" w:rsidRDefault="00615769" w:rsidP="004462A0">
      <w:pPr>
        <w:pStyle w:val="EMEAHeadingUnderline"/>
        <w:tabs>
          <w:tab w:val="clear" w:pos="562"/>
        </w:tabs>
        <w:suppressAutoHyphens w:val="0"/>
        <w:spacing w:before="0" w:after="0"/>
        <w:rPr>
          <w:del w:id="2309" w:author="AbbVie2" w:date="2025-05-13T16:36:00Z"/>
          <w:szCs w:val="22"/>
          <w:u w:val="none"/>
          <w:lang w:val="pt-PT"/>
        </w:rPr>
      </w:pPr>
      <w:del w:id="2310" w:author="AbbVie2" w:date="2025-05-13T16:36:00Z">
        <w:r w:rsidRPr="008912CF">
          <w:rPr>
            <w:szCs w:val="22"/>
            <w:u w:val="none"/>
            <w:lang w:val="pt-PT"/>
          </w:rPr>
          <w:delText xml:space="preserve">O Estudo III na Psoríase (REACH) comparou a eficácia e segurança de Humira </w:delText>
        </w:r>
        <w:r w:rsidRPr="008912CF">
          <w:rPr>
            <w:i/>
            <w:szCs w:val="22"/>
            <w:u w:val="none"/>
            <w:lang w:val="pt-PT"/>
          </w:rPr>
          <w:delText>versus</w:delText>
        </w:r>
        <w:r w:rsidRPr="008912CF">
          <w:rPr>
            <w:szCs w:val="22"/>
            <w:u w:val="none"/>
            <w:lang w:val="pt-PT"/>
          </w:rPr>
          <w:delText xml:space="preserve"> placebo em 72 doentes com psoríase crónica em placas moderada a grave e psoríase palmar e/ou plantar. Os doentes receberam Humira numa dose inicial de 80 mg, seguid</w:delText>
        </w:r>
        <w:r>
          <w:rPr>
            <w:szCs w:val="22"/>
            <w:u w:val="none"/>
            <w:lang w:val="pt-PT"/>
          </w:rPr>
          <w:delText>a</w:delText>
        </w:r>
        <w:r w:rsidRPr="008912CF">
          <w:rPr>
            <w:szCs w:val="22"/>
            <w:u w:val="none"/>
            <w:lang w:val="pt-PT"/>
          </w:rPr>
          <w:delText xml:space="preserve"> de 4</w:delText>
        </w:r>
        <w:r>
          <w:rPr>
            <w:szCs w:val="22"/>
            <w:u w:val="none"/>
            <w:lang w:val="pt-PT"/>
          </w:rPr>
          <w:delText>0</w:delText>
        </w:r>
        <w:r w:rsidRPr="008912CF">
          <w:rPr>
            <w:szCs w:val="22"/>
            <w:u w:val="none"/>
            <w:lang w:val="pt-PT"/>
          </w:rPr>
          <w:delText>  mg em semanas alternadas (uma semana após a dose inicial) ou placebo, durante 16 semanas. Na semana 16, os doentes que receberam Humira apresentaram uma resposta de PGA “limp</w:delText>
        </w:r>
        <w:r w:rsidR="00E57BBD">
          <w:rPr>
            <w:szCs w:val="22"/>
            <w:u w:val="none"/>
            <w:lang w:val="pt-PT"/>
          </w:rPr>
          <w:delText>a</w:delText>
        </w:r>
        <w:r w:rsidRPr="008912CF">
          <w:rPr>
            <w:szCs w:val="22"/>
            <w:u w:val="none"/>
            <w:lang w:val="pt-PT"/>
          </w:rPr>
          <w:delText>” ou “quase limp</w:delText>
        </w:r>
        <w:r w:rsidR="00E57BBD">
          <w:rPr>
            <w:szCs w:val="22"/>
            <w:u w:val="none"/>
            <w:lang w:val="pt-PT"/>
          </w:rPr>
          <w:delText>a</w:delText>
        </w:r>
        <w:r w:rsidRPr="008912CF">
          <w:rPr>
            <w:szCs w:val="22"/>
            <w:u w:val="none"/>
            <w:lang w:val="pt-PT"/>
          </w:rPr>
          <w:delText>” nas mãos e/ou pés numa proporção superior, estatisticamente significativa, quando comparado com os doentes que receberam placebo (30,6</w:delText>
        </w:r>
        <w:r w:rsidR="009343EF">
          <w:rPr>
            <w:szCs w:val="22"/>
            <w:u w:val="none"/>
            <w:lang w:val="pt-PT"/>
          </w:rPr>
          <w:delText>%</w:delText>
        </w:r>
        <w:r w:rsidRPr="008912CF">
          <w:rPr>
            <w:szCs w:val="22"/>
            <w:u w:val="none"/>
            <w:lang w:val="pt-PT"/>
          </w:rPr>
          <w:delText xml:space="preserve"> versus 4</w:delText>
        </w:r>
        <w:r w:rsidRPr="008912CF">
          <w:rPr>
            <w:szCs w:val="22"/>
            <w:u w:val="none"/>
            <w:lang w:val="pt-PT"/>
          </w:rPr>
          <w:delText>,3</w:delText>
        </w:r>
        <w:r w:rsidR="009343EF">
          <w:rPr>
            <w:szCs w:val="22"/>
            <w:u w:val="none"/>
            <w:lang w:val="pt-PT"/>
          </w:rPr>
          <w:delText>%</w:delText>
        </w:r>
        <w:r w:rsidRPr="008912CF">
          <w:rPr>
            <w:szCs w:val="22"/>
            <w:u w:val="none"/>
            <w:lang w:val="pt-PT"/>
          </w:rPr>
          <w:delText>, respetivamente [</w:delText>
        </w:r>
        <w:r w:rsidR="00092159">
          <w:rPr>
            <w:szCs w:val="22"/>
            <w:u w:val="none"/>
            <w:lang w:val="pt-PT"/>
          </w:rPr>
          <w:delText>p</w:delText>
        </w:r>
        <w:r w:rsidRPr="008912CF">
          <w:rPr>
            <w:szCs w:val="22"/>
            <w:u w:val="none"/>
            <w:lang w:val="pt-PT"/>
          </w:rPr>
          <w:delText>=0,014]</w:delText>
        </w:r>
        <w:r w:rsidR="00601734">
          <w:rPr>
            <w:szCs w:val="22"/>
            <w:u w:val="none"/>
            <w:lang w:val="pt-PT"/>
          </w:rPr>
          <w:delText>)</w:delText>
        </w:r>
        <w:r w:rsidRPr="008912CF">
          <w:rPr>
            <w:szCs w:val="22"/>
            <w:u w:val="none"/>
            <w:lang w:val="pt-PT"/>
          </w:rPr>
          <w:delText>.</w:delText>
        </w:r>
      </w:del>
    </w:p>
    <w:p w14:paraId="05D0F4AF" w14:textId="4D25E52E" w:rsidR="004462A0" w:rsidRDefault="004462A0" w:rsidP="004462A0">
      <w:pPr>
        <w:rPr>
          <w:del w:id="2311" w:author="AbbVie2" w:date="2025-05-13T16:36:00Z"/>
        </w:rPr>
      </w:pPr>
    </w:p>
    <w:p w14:paraId="3C479DDD" w14:textId="13481363" w:rsidR="004462A0" w:rsidRPr="00102FC8" w:rsidRDefault="00615769" w:rsidP="004462A0">
      <w:pPr>
        <w:autoSpaceDE w:val="0"/>
        <w:autoSpaceDN w:val="0"/>
        <w:adjustRightInd w:val="0"/>
        <w:rPr>
          <w:del w:id="2312" w:author="AbbVie2" w:date="2025-05-13T16:36:00Z"/>
          <w:sz w:val="22"/>
          <w:szCs w:val="22"/>
        </w:rPr>
      </w:pPr>
      <w:del w:id="2313" w:author="AbbVie2" w:date="2025-05-13T16:36:00Z">
        <w:r w:rsidRPr="008B193B">
          <w:rPr>
            <w:sz w:val="22"/>
            <w:szCs w:val="22"/>
          </w:rPr>
          <w:delText>O Estudo IV na Psor</w:delText>
        </w:r>
        <w:r w:rsidR="008F2FAC">
          <w:rPr>
            <w:sz w:val="22"/>
            <w:szCs w:val="22"/>
          </w:rPr>
          <w:delText>í</w:delText>
        </w:r>
        <w:r w:rsidRPr="008B193B">
          <w:rPr>
            <w:sz w:val="22"/>
            <w:szCs w:val="22"/>
          </w:rPr>
          <w:delText xml:space="preserve">ase comparou a eficácia e segurança de Humira </w:delText>
        </w:r>
        <w:r w:rsidRPr="008B193B">
          <w:rPr>
            <w:i/>
            <w:sz w:val="22"/>
            <w:szCs w:val="22"/>
          </w:rPr>
          <w:delText>versus</w:delText>
        </w:r>
        <w:r w:rsidRPr="008B193B">
          <w:rPr>
            <w:sz w:val="22"/>
            <w:szCs w:val="22"/>
          </w:rPr>
          <w:delText xml:space="preserve"> placebo em 217 doentes adultos com psoríase ungueal moderada a grave. Os doentes receberam Humira numa dose inicial de 80</w:delText>
        </w:r>
        <w:r>
          <w:rPr>
            <w:sz w:val="22"/>
            <w:szCs w:val="22"/>
          </w:rPr>
          <w:delText> </w:delText>
        </w:r>
        <w:r w:rsidRPr="008B193B">
          <w:rPr>
            <w:sz w:val="22"/>
            <w:szCs w:val="22"/>
          </w:rPr>
          <w:delText>mg, seguida de 40</w:delText>
        </w:r>
        <w:r>
          <w:rPr>
            <w:sz w:val="22"/>
            <w:szCs w:val="22"/>
          </w:rPr>
          <w:delText> </w:delText>
        </w:r>
        <w:r w:rsidRPr="008B193B">
          <w:rPr>
            <w:sz w:val="22"/>
            <w:szCs w:val="22"/>
          </w:rPr>
          <w:delText>mg em semanas alternadas (uma semana após a dose inicial) ou placebo, durante 26 semanas, seguid</w:delText>
        </w:r>
        <w:r w:rsidR="008F2FAC">
          <w:rPr>
            <w:sz w:val="22"/>
            <w:szCs w:val="22"/>
          </w:rPr>
          <w:delText>o</w:delText>
        </w:r>
        <w:r w:rsidRPr="008B193B">
          <w:rPr>
            <w:sz w:val="22"/>
            <w:szCs w:val="22"/>
          </w:rPr>
          <w:delText xml:space="preserve"> de um tratamento em fase aberta com Humira durante mais 26 semanas. </w:delText>
        </w:r>
        <w:r w:rsidRPr="00102FC8">
          <w:rPr>
            <w:sz w:val="22"/>
            <w:szCs w:val="22"/>
            <w:lang w:eastAsia="zh-CN"/>
          </w:rPr>
          <w:delText>As avaliações da psoríase ungueal inclu</w:delText>
        </w:r>
        <w:r w:rsidR="008F2FAC">
          <w:rPr>
            <w:sz w:val="22"/>
            <w:szCs w:val="22"/>
            <w:lang w:eastAsia="zh-CN"/>
          </w:rPr>
          <w:delText>í</w:delText>
        </w:r>
        <w:r w:rsidRPr="00102FC8">
          <w:rPr>
            <w:sz w:val="22"/>
            <w:szCs w:val="22"/>
            <w:lang w:eastAsia="zh-CN"/>
          </w:rPr>
          <w:delText xml:space="preserve">ram o Índice de </w:delText>
        </w:r>
        <w:r>
          <w:rPr>
            <w:sz w:val="22"/>
            <w:szCs w:val="22"/>
            <w:lang w:eastAsia="zh-CN"/>
          </w:rPr>
          <w:delText xml:space="preserve">Gravidade </w:delText>
        </w:r>
        <w:r w:rsidRPr="00102FC8">
          <w:rPr>
            <w:sz w:val="22"/>
            <w:szCs w:val="22"/>
            <w:lang w:eastAsia="zh-CN"/>
          </w:rPr>
          <w:delText xml:space="preserve">da Psoríase Ungueal </w:delText>
        </w:r>
        <w:r w:rsidR="008F2FAC">
          <w:rPr>
            <w:sz w:val="22"/>
            <w:szCs w:val="22"/>
            <w:lang w:eastAsia="zh-CN"/>
          </w:rPr>
          <w:delText xml:space="preserve">modificado </w:delText>
        </w:r>
        <w:r w:rsidRPr="00102FC8">
          <w:rPr>
            <w:sz w:val="22"/>
            <w:szCs w:val="22"/>
            <w:lang w:eastAsia="zh-CN"/>
          </w:rPr>
          <w:delText xml:space="preserve">(mNAPSI), </w:delText>
        </w:r>
        <w:r w:rsidRPr="00102FC8">
          <w:rPr>
            <w:sz w:val="22"/>
            <w:szCs w:val="22"/>
          </w:rPr>
          <w:delText xml:space="preserve">a Avaliação Global dos Médicos da Psoríase Ungueal (PGA-F) e o Índice de </w:delText>
        </w:r>
        <w:r>
          <w:rPr>
            <w:sz w:val="22"/>
            <w:szCs w:val="22"/>
          </w:rPr>
          <w:delText>Gravidade</w:delText>
        </w:r>
        <w:r w:rsidRPr="00102FC8">
          <w:rPr>
            <w:sz w:val="22"/>
            <w:szCs w:val="22"/>
          </w:rPr>
          <w:delText xml:space="preserve"> da Psoríase Ung</w:delText>
        </w:r>
        <w:r w:rsidRPr="00102FC8">
          <w:rPr>
            <w:sz w:val="22"/>
            <w:szCs w:val="22"/>
          </w:rPr>
          <w:delText xml:space="preserve">ueal (NAPSI) (ver Tabela </w:delText>
        </w:r>
        <w:r w:rsidR="00D01EDE">
          <w:rPr>
            <w:sz w:val="22"/>
            <w:szCs w:val="22"/>
          </w:rPr>
          <w:delText>1</w:delText>
        </w:r>
        <w:r w:rsidR="00D105CA">
          <w:rPr>
            <w:sz w:val="22"/>
            <w:szCs w:val="22"/>
          </w:rPr>
          <w:delText>4</w:delText>
        </w:r>
        <w:r w:rsidRPr="00102FC8">
          <w:rPr>
            <w:sz w:val="22"/>
            <w:szCs w:val="22"/>
          </w:rPr>
          <w:delText>). Humira demonstrou um benefício de tratamento em doentes com psoríase ungueal com diferentes graus de envolvimento cutâneo (BSA</w:delText>
        </w:r>
        <w:r>
          <w:rPr>
            <w:sz w:val="22"/>
            <w:szCs w:val="22"/>
          </w:rPr>
          <w:delText> </w:delText>
        </w:r>
        <w:r w:rsidRPr="008B193B">
          <w:rPr>
            <w:sz w:val="22"/>
            <w:szCs w:val="22"/>
          </w:rPr>
          <w:delText>≥</w:delText>
        </w:r>
        <w:r>
          <w:rPr>
            <w:sz w:val="22"/>
            <w:szCs w:val="22"/>
          </w:rPr>
          <w:delText> </w:delText>
        </w:r>
        <w:r w:rsidRPr="008B193B">
          <w:rPr>
            <w:sz w:val="22"/>
            <w:szCs w:val="22"/>
          </w:rPr>
          <w:delText>10</w:delText>
        </w:r>
        <w:r w:rsidR="009343EF">
          <w:rPr>
            <w:sz w:val="22"/>
            <w:szCs w:val="22"/>
          </w:rPr>
          <w:delText>%</w:delText>
        </w:r>
        <w:r w:rsidRPr="008B193B">
          <w:rPr>
            <w:sz w:val="22"/>
            <w:szCs w:val="22"/>
          </w:rPr>
          <w:delText xml:space="preserve"> </w:delText>
        </w:r>
        <w:r>
          <w:rPr>
            <w:sz w:val="22"/>
            <w:szCs w:val="22"/>
          </w:rPr>
          <w:delText>(60</w:delText>
        </w:r>
        <w:r w:rsidR="009343EF">
          <w:rPr>
            <w:sz w:val="22"/>
            <w:szCs w:val="22"/>
          </w:rPr>
          <w:delText>%</w:delText>
        </w:r>
        <w:r>
          <w:rPr>
            <w:sz w:val="22"/>
            <w:szCs w:val="22"/>
          </w:rPr>
          <w:delText xml:space="preserve"> dos doentes) </w:delText>
        </w:r>
        <w:r w:rsidRPr="008B193B">
          <w:rPr>
            <w:sz w:val="22"/>
            <w:szCs w:val="22"/>
          </w:rPr>
          <w:delText>e BSA</w:delText>
        </w:r>
        <w:r>
          <w:rPr>
            <w:sz w:val="22"/>
            <w:szCs w:val="22"/>
          </w:rPr>
          <w:delText> </w:delText>
        </w:r>
        <w:r w:rsidRPr="008B193B">
          <w:rPr>
            <w:sz w:val="22"/>
            <w:szCs w:val="22"/>
          </w:rPr>
          <w:delText>&lt;</w:delText>
        </w:r>
        <w:r>
          <w:rPr>
            <w:sz w:val="22"/>
            <w:szCs w:val="22"/>
          </w:rPr>
          <w:delText> </w:delText>
        </w:r>
        <w:r w:rsidRPr="008B193B">
          <w:rPr>
            <w:sz w:val="22"/>
            <w:szCs w:val="22"/>
          </w:rPr>
          <w:delText>10</w:delText>
        </w:r>
        <w:r w:rsidR="009343EF">
          <w:rPr>
            <w:sz w:val="22"/>
            <w:szCs w:val="22"/>
          </w:rPr>
          <w:delText>%</w:delText>
        </w:r>
        <w:r w:rsidRPr="008B193B">
          <w:rPr>
            <w:sz w:val="22"/>
            <w:szCs w:val="22"/>
          </w:rPr>
          <w:delText xml:space="preserve"> e</w:delText>
        </w:r>
        <w:r>
          <w:rPr>
            <w:sz w:val="22"/>
            <w:szCs w:val="22"/>
          </w:rPr>
          <w:delText> </w:delText>
        </w:r>
        <w:r w:rsidRPr="008B193B">
          <w:rPr>
            <w:sz w:val="22"/>
            <w:szCs w:val="22"/>
          </w:rPr>
          <w:delText>≥</w:delText>
        </w:r>
        <w:r>
          <w:rPr>
            <w:sz w:val="22"/>
            <w:szCs w:val="22"/>
          </w:rPr>
          <w:delText> </w:delText>
        </w:r>
        <w:r w:rsidRPr="008B193B">
          <w:rPr>
            <w:sz w:val="22"/>
            <w:szCs w:val="22"/>
          </w:rPr>
          <w:delText>5%</w:delText>
        </w:r>
        <w:r>
          <w:rPr>
            <w:sz w:val="22"/>
            <w:szCs w:val="22"/>
          </w:rPr>
          <w:delText xml:space="preserve"> (40</w:delText>
        </w:r>
        <w:r w:rsidR="009343EF">
          <w:rPr>
            <w:sz w:val="22"/>
            <w:szCs w:val="22"/>
          </w:rPr>
          <w:delText>%</w:delText>
        </w:r>
        <w:r>
          <w:rPr>
            <w:sz w:val="22"/>
            <w:szCs w:val="22"/>
          </w:rPr>
          <w:delText xml:space="preserve"> dos doentes</w:delText>
        </w:r>
        <w:r w:rsidRPr="008B193B">
          <w:rPr>
            <w:sz w:val="22"/>
            <w:szCs w:val="22"/>
          </w:rPr>
          <w:delText>)</w:delText>
        </w:r>
        <w:r>
          <w:rPr>
            <w:sz w:val="22"/>
            <w:szCs w:val="22"/>
          </w:rPr>
          <w:delText>)</w:delText>
        </w:r>
        <w:r w:rsidRPr="008B193B">
          <w:rPr>
            <w:sz w:val="22"/>
            <w:szCs w:val="22"/>
          </w:rPr>
          <w:delText xml:space="preserve">.    </w:delText>
        </w:r>
      </w:del>
    </w:p>
    <w:p w14:paraId="227FFB48" w14:textId="4F1C7A2E" w:rsidR="004462A0" w:rsidRDefault="004462A0" w:rsidP="004462A0">
      <w:pPr>
        <w:rPr>
          <w:del w:id="2314" w:author="AbbVie2" w:date="2025-05-13T16:36:00Z"/>
        </w:rPr>
      </w:pPr>
    </w:p>
    <w:p w14:paraId="22D7C463" w14:textId="7834675B" w:rsidR="004462A0" w:rsidRPr="00612E98" w:rsidRDefault="00615769" w:rsidP="00E03A0D">
      <w:pPr>
        <w:keepNext/>
        <w:tabs>
          <w:tab w:val="center" w:pos="4536"/>
          <w:tab w:val="left" w:pos="5475"/>
        </w:tabs>
        <w:rPr>
          <w:del w:id="2315" w:author="AbbVie2" w:date="2025-05-13T16:36:00Z"/>
          <w:rFonts w:eastAsia="Times New Roman"/>
          <w:b/>
          <w:sz w:val="22"/>
          <w:szCs w:val="22"/>
        </w:rPr>
      </w:pPr>
      <w:del w:id="2316" w:author="AbbVie2" w:date="2025-05-13T16:36:00Z">
        <w:r w:rsidRPr="00B427DD">
          <w:rPr>
            <w:rFonts w:eastAsia="Times New Roman"/>
            <w:b/>
            <w:sz w:val="22"/>
            <w:szCs w:val="22"/>
          </w:rPr>
          <w:tab/>
        </w:r>
        <w:r w:rsidRPr="00612E98">
          <w:rPr>
            <w:rFonts w:eastAsia="Times New Roman"/>
            <w:b/>
            <w:sz w:val="22"/>
            <w:szCs w:val="22"/>
          </w:rPr>
          <w:delText xml:space="preserve">Tabela </w:delText>
        </w:r>
        <w:r w:rsidR="00D01EDE">
          <w:rPr>
            <w:rFonts w:eastAsia="Times New Roman"/>
            <w:b/>
            <w:sz w:val="22"/>
            <w:szCs w:val="22"/>
          </w:rPr>
          <w:delText>1</w:delText>
        </w:r>
        <w:r w:rsidR="00D105CA">
          <w:rPr>
            <w:rFonts w:eastAsia="Times New Roman"/>
            <w:b/>
            <w:sz w:val="22"/>
            <w:szCs w:val="22"/>
          </w:rPr>
          <w:delText>4</w:delText>
        </w:r>
        <w:r w:rsidRPr="00612E98">
          <w:rPr>
            <w:rFonts w:eastAsia="Times New Roman"/>
            <w:b/>
            <w:sz w:val="22"/>
            <w:szCs w:val="22"/>
          </w:rPr>
          <w:tab/>
        </w:r>
      </w:del>
    </w:p>
    <w:p w14:paraId="4A95CB87" w14:textId="5E2DF20D" w:rsidR="004462A0" w:rsidRPr="00612E98" w:rsidRDefault="00615769" w:rsidP="002F486F">
      <w:pPr>
        <w:keepNext/>
        <w:jc w:val="center"/>
        <w:rPr>
          <w:del w:id="2317" w:author="AbbVie2" w:date="2025-05-13T16:36:00Z"/>
          <w:rFonts w:eastAsia="Times New Roman"/>
          <w:b/>
          <w:bCs/>
          <w:sz w:val="22"/>
          <w:szCs w:val="22"/>
        </w:rPr>
      </w:pPr>
      <w:del w:id="2318" w:author="AbbVie2" w:date="2025-05-13T16:36:00Z">
        <w:r w:rsidRPr="008912CF">
          <w:rPr>
            <w:b/>
            <w:sz w:val="22"/>
            <w:szCs w:val="22"/>
          </w:rPr>
          <w:delText xml:space="preserve">Estudo </w:delText>
        </w:r>
        <w:r>
          <w:rPr>
            <w:b/>
            <w:sz w:val="22"/>
            <w:szCs w:val="22"/>
          </w:rPr>
          <w:delText>IV na Psoríase</w:delText>
        </w:r>
        <w:r w:rsidRPr="008912CF">
          <w:rPr>
            <w:b/>
            <w:sz w:val="22"/>
            <w:szCs w:val="22"/>
          </w:rPr>
          <w:delText xml:space="preserve"> Resultados de </w:delText>
        </w:r>
        <w:r>
          <w:rPr>
            <w:b/>
            <w:sz w:val="22"/>
            <w:szCs w:val="22"/>
          </w:rPr>
          <w:delText>E</w:delText>
        </w:r>
        <w:r w:rsidRPr="008912CF">
          <w:rPr>
            <w:b/>
            <w:sz w:val="22"/>
            <w:szCs w:val="22"/>
          </w:rPr>
          <w:delText xml:space="preserve">ficácia às </w:delText>
        </w:r>
        <w:r w:rsidR="008F2FAC">
          <w:rPr>
            <w:b/>
            <w:sz w:val="22"/>
            <w:szCs w:val="22"/>
          </w:rPr>
          <w:delText xml:space="preserve">Semanas </w:delText>
        </w:r>
        <w:r w:rsidRPr="008912CF">
          <w:rPr>
            <w:b/>
            <w:sz w:val="22"/>
            <w:szCs w:val="22"/>
          </w:rPr>
          <w:delText>1</w:delText>
        </w:r>
        <w:r>
          <w:rPr>
            <w:b/>
            <w:sz w:val="22"/>
            <w:szCs w:val="22"/>
          </w:rPr>
          <w:delText>6, 26 e 52 </w:delText>
        </w:r>
        <w:r w:rsidRPr="008912CF">
          <w:rPr>
            <w:b/>
            <w:sz w:val="22"/>
            <w:szCs w:val="22"/>
          </w:rPr>
          <w:delText xml:space="preserve"> </w:delText>
        </w:r>
      </w:del>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080"/>
        <w:gridCol w:w="1260"/>
        <w:gridCol w:w="990"/>
        <w:gridCol w:w="1260"/>
        <w:gridCol w:w="2014"/>
      </w:tblGrid>
      <w:tr w:rsidR="00A7162A" w14:paraId="6C99FCB3" w14:textId="056B12F2" w:rsidTr="00F675CF">
        <w:trPr>
          <w:del w:id="2319" w:author="AbbVie2" w:date="2025-05-13T16:36:00Z"/>
        </w:trPr>
        <w:tc>
          <w:tcPr>
            <w:tcW w:w="2718" w:type="dxa"/>
            <w:vMerge w:val="restart"/>
          </w:tcPr>
          <w:p w14:paraId="6FADD168" w14:textId="0F399076" w:rsidR="004462A0" w:rsidRPr="00AD4F25" w:rsidRDefault="00615769" w:rsidP="002F486F">
            <w:pPr>
              <w:keepNext/>
              <w:rPr>
                <w:del w:id="2320" w:author="AbbVie2" w:date="2025-05-13T16:36:00Z"/>
                <w:rFonts w:eastAsia="Times New Roman"/>
                <w:sz w:val="22"/>
                <w:szCs w:val="22"/>
                <w:rPrChange w:id="2321" w:author="AbbVie2" w:date="2025-05-14T10:17:00Z">
                  <w:rPr>
                    <w:del w:id="2322" w:author="AbbVie2" w:date="2025-05-13T16:36:00Z"/>
                    <w:rFonts w:eastAsia="Times New Roman"/>
                    <w:sz w:val="22"/>
                    <w:szCs w:val="22"/>
                    <w:lang w:val="en-US"/>
                  </w:rPr>
                </w:rPrChange>
              </w:rPr>
            </w:pPr>
            <w:del w:id="2323" w:author="AbbVie2" w:date="2025-05-13T16:36:00Z">
              <w:r w:rsidRPr="00AD4F25">
                <w:rPr>
                  <w:rFonts w:eastAsia="Times New Roman"/>
                  <w:sz w:val="22"/>
                  <w:szCs w:val="22"/>
                  <w:rPrChange w:id="2324" w:author="AbbVie2" w:date="2025-05-14T10:17:00Z">
                    <w:rPr>
                      <w:rFonts w:eastAsia="Times New Roman"/>
                      <w:sz w:val="22"/>
                      <w:szCs w:val="22"/>
                      <w:lang w:val="en-US"/>
                    </w:rPr>
                  </w:rPrChange>
                </w:rPr>
                <w:delText>Objetivo</w:delText>
              </w:r>
            </w:del>
          </w:p>
        </w:tc>
        <w:tc>
          <w:tcPr>
            <w:tcW w:w="2340" w:type="dxa"/>
            <w:gridSpan w:val="2"/>
          </w:tcPr>
          <w:p w14:paraId="7A477B0A" w14:textId="58D752FA" w:rsidR="004462A0" w:rsidRPr="00AD4F25" w:rsidRDefault="00615769" w:rsidP="002F486F">
            <w:pPr>
              <w:keepNext/>
              <w:jc w:val="center"/>
              <w:rPr>
                <w:del w:id="2325" w:author="AbbVie2" w:date="2025-05-13T16:36:00Z"/>
                <w:rFonts w:eastAsia="Times New Roman"/>
                <w:sz w:val="22"/>
                <w:szCs w:val="22"/>
                <w:rPrChange w:id="2326" w:author="AbbVie2" w:date="2025-05-14T10:17:00Z">
                  <w:rPr>
                    <w:del w:id="2327" w:author="AbbVie2" w:date="2025-05-13T16:36:00Z"/>
                    <w:rFonts w:eastAsia="Times New Roman"/>
                    <w:sz w:val="22"/>
                    <w:szCs w:val="22"/>
                    <w:lang w:val="en-US"/>
                  </w:rPr>
                </w:rPrChange>
              </w:rPr>
            </w:pPr>
            <w:del w:id="2328" w:author="AbbVie2" w:date="2025-05-13T16:36:00Z">
              <w:r w:rsidRPr="00AD4F25">
                <w:rPr>
                  <w:rFonts w:eastAsia="Times New Roman"/>
                  <w:sz w:val="22"/>
                  <w:szCs w:val="22"/>
                  <w:rPrChange w:id="2329" w:author="AbbVie2" w:date="2025-05-14T10:17:00Z">
                    <w:rPr>
                      <w:rFonts w:eastAsia="Times New Roman"/>
                      <w:sz w:val="22"/>
                      <w:szCs w:val="22"/>
                      <w:lang w:val="en-US"/>
                    </w:rPr>
                  </w:rPrChange>
                </w:rPr>
                <w:delText>Semana 16</w:delText>
              </w:r>
            </w:del>
          </w:p>
          <w:p w14:paraId="23481D01" w14:textId="5DFA33A1" w:rsidR="004462A0" w:rsidRPr="00AD4F25" w:rsidRDefault="00615769" w:rsidP="002F486F">
            <w:pPr>
              <w:keepNext/>
              <w:jc w:val="center"/>
              <w:rPr>
                <w:del w:id="2330" w:author="AbbVie2" w:date="2025-05-13T16:36:00Z"/>
                <w:rFonts w:eastAsia="Times New Roman"/>
                <w:sz w:val="22"/>
                <w:szCs w:val="22"/>
                <w:rPrChange w:id="2331" w:author="AbbVie2" w:date="2025-05-14T10:17:00Z">
                  <w:rPr>
                    <w:del w:id="2332" w:author="AbbVie2" w:date="2025-05-13T16:36:00Z"/>
                    <w:rFonts w:eastAsia="Times New Roman"/>
                    <w:sz w:val="22"/>
                    <w:szCs w:val="22"/>
                    <w:lang w:val="en-US"/>
                  </w:rPr>
                </w:rPrChange>
              </w:rPr>
            </w:pPr>
            <w:del w:id="2333" w:author="AbbVie2" w:date="2025-05-13T16:36:00Z">
              <w:r w:rsidRPr="00AD4F25">
                <w:rPr>
                  <w:rFonts w:eastAsia="Times New Roman"/>
                  <w:sz w:val="22"/>
                  <w:szCs w:val="22"/>
                  <w:rPrChange w:id="2334" w:author="AbbVie2" w:date="2025-05-14T10:17:00Z">
                    <w:rPr>
                      <w:rFonts w:eastAsia="Times New Roman"/>
                      <w:sz w:val="22"/>
                      <w:szCs w:val="22"/>
                      <w:lang w:val="en-US"/>
                    </w:rPr>
                  </w:rPrChange>
                </w:rPr>
                <w:delText>Controlado por Placebo</w:delText>
              </w:r>
            </w:del>
          </w:p>
        </w:tc>
        <w:tc>
          <w:tcPr>
            <w:tcW w:w="2250" w:type="dxa"/>
            <w:gridSpan w:val="2"/>
          </w:tcPr>
          <w:p w14:paraId="208D7845" w14:textId="083194C7" w:rsidR="004462A0" w:rsidRPr="00AD4F25" w:rsidRDefault="00615769" w:rsidP="002F486F">
            <w:pPr>
              <w:keepNext/>
              <w:jc w:val="center"/>
              <w:rPr>
                <w:del w:id="2335" w:author="AbbVie2" w:date="2025-05-13T16:36:00Z"/>
                <w:rFonts w:eastAsia="Times New Roman"/>
                <w:sz w:val="22"/>
                <w:szCs w:val="22"/>
                <w:rPrChange w:id="2336" w:author="AbbVie2" w:date="2025-05-14T10:17:00Z">
                  <w:rPr>
                    <w:del w:id="2337" w:author="AbbVie2" w:date="2025-05-13T16:36:00Z"/>
                    <w:rFonts w:eastAsia="Times New Roman"/>
                    <w:sz w:val="22"/>
                    <w:szCs w:val="22"/>
                    <w:lang w:val="en-US"/>
                  </w:rPr>
                </w:rPrChange>
              </w:rPr>
            </w:pPr>
            <w:del w:id="2338" w:author="AbbVie2" w:date="2025-05-13T16:36:00Z">
              <w:r w:rsidRPr="00AD4F25">
                <w:rPr>
                  <w:rFonts w:eastAsia="Times New Roman"/>
                  <w:sz w:val="22"/>
                  <w:szCs w:val="22"/>
                  <w:rPrChange w:id="2339" w:author="AbbVie2" w:date="2025-05-14T10:17:00Z">
                    <w:rPr>
                      <w:rFonts w:eastAsia="Times New Roman"/>
                      <w:sz w:val="22"/>
                      <w:szCs w:val="22"/>
                      <w:lang w:val="en-US"/>
                    </w:rPr>
                  </w:rPrChange>
                </w:rPr>
                <w:delText>Semana 26</w:delText>
              </w:r>
            </w:del>
          </w:p>
          <w:p w14:paraId="6E4BBECA" w14:textId="41409D12" w:rsidR="004462A0" w:rsidRPr="00AD4F25" w:rsidRDefault="00615769" w:rsidP="002F486F">
            <w:pPr>
              <w:keepNext/>
              <w:jc w:val="center"/>
              <w:rPr>
                <w:del w:id="2340" w:author="AbbVie2" w:date="2025-05-13T16:36:00Z"/>
                <w:rFonts w:eastAsia="Times New Roman"/>
                <w:sz w:val="22"/>
                <w:szCs w:val="22"/>
                <w:rPrChange w:id="2341" w:author="AbbVie2" w:date="2025-05-14T10:17:00Z">
                  <w:rPr>
                    <w:del w:id="2342" w:author="AbbVie2" w:date="2025-05-13T16:36:00Z"/>
                    <w:rFonts w:eastAsia="Times New Roman"/>
                    <w:sz w:val="22"/>
                    <w:szCs w:val="22"/>
                    <w:lang w:val="en-US"/>
                  </w:rPr>
                </w:rPrChange>
              </w:rPr>
            </w:pPr>
            <w:del w:id="2343" w:author="AbbVie2" w:date="2025-05-13T16:36:00Z">
              <w:r w:rsidRPr="00AD4F25">
                <w:rPr>
                  <w:rFonts w:eastAsia="Times New Roman"/>
                  <w:sz w:val="22"/>
                  <w:szCs w:val="22"/>
                  <w:rPrChange w:id="2344" w:author="AbbVie2" w:date="2025-05-14T10:17:00Z">
                    <w:rPr>
                      <w:rFonts w:eastAsia="Times New Roman"/>
                      <w:sz w:val="22"/>
                      <w:szCs w:val="22"/>
                      <w:lang w:val="en-US"/>
                    </w:rPr>
                  </w:rPrChange>
                </w:rPr>
                <w:delText>Controlado por Placebo</w:delText>
              </w:r>
            </w:del>
          </w:p>
        </w:tc>
        <w:tc>
          <w:tcPr>
            <w:tcW w:w="2014" w:type="dxa"/>
          </w:tcPr>
          <w:p w14:paraId="6AE32F69" w14:textId="3F44F559" w:rsidR="004462A0" w:rsidRPr="00AD4F25" w:rsidRDefault="00615769" w:rsidP="002F486F">
            <w:pPr>
              <w:keepNext/>
              <w:jc w:val="center"/>
              <w:rPr>
                <w:del w:id="2345" w:author="AbbVie2" w:date="2025-05-13T16:36:00Z"/>
                <w:rFonts w:eastAsia="Times New Roman"/>
                <w:sz w:val="22"/>
                <w:szCs w:val="22"/>
                <w:rPrChange w:id="2346" w:author="AbbVie2" w:date="2025-05-14T10:17:00Z">
                  <w:rPr>
                    <w:del w:id="2347" w:author="AbbVie2" w:date="2025-05-13T16:36:00Z"/>
                    <w:rFonts w:eastAsia="Times New Roman"/>
                    <w:sz w:val="22"/>
                    <w:szCs w:val="22"/>
                    <w:lang w:val="en-US"/>
                  </w:rPr>
                </w:rPrChange>
              </w:rPr>
            </w:pPr>
            <w:del w:id="2348" w:author="AbbVie2" w:date="2025-05-13T16:36:00Z">
              <w:r w:rsidRPr="00AD4F25">
                <w:rPr>
                  <w:rFonts w:eastAsia="Times New Roman"/>
                  <w:sz w:val="22"/>
                  <w:szCs w:val="22"/>
                  <w:rPrChange w:id="2349" w:author="AbbVie2" w:date="2025-05-14T10:17:00Z">
                    <w:rPr>
                      <w:rFonts w:eastAsia="Times New Roman"/>
                      <w:sz w:val="22"/>
                      <w:szCs w:val="22"/>
                      <w:lang w:val="en-US"/>
                    </w:rPr>
                  </w:rPrChange>
                </w:rPr>
                <w:delText>Semana 52</w:delText>
              </w:r>
            </w:del>
          </w:p>
          <w:p w14:paraId="289EBBDE" w14:textId="38EA0914" w:rsidR="004462A0" w:rsidRPr="00AD4F25" w:rsidRDefault="00615769" w:rsidP="002F486F">
            <w:pPr>
              <w:keepNext/>
              <w:jc w:val="center"/>
              <w:rPr>
                <w:del w:id="2350" w:author="AbbVie2" w:date="2025-05-13T16:36:00Z"/>
                <w:rFonts w:eastAsia="Times New Roman"/>
                <w:sz w:val="22"/>
                <w:szCs w:val="22"/>
                <w:rPrChange w:id="2351" w:author="AbbVie2" w:date="2025-05-14T10:17:00Z">
                  <w:rPr>
                    <w:del w:id="2352" w:author="AbbVie2" w:date="2025-05-13T16:36:00Z"/>
                    <w:rFonts w:eastAsia="Times New Roman"/>
                    <w:sz w:val="22"/>
                    <w:szCs w:val="22"/>
                    <w:lang w:val="en-US"/>
                  </w:rPr>
                </w:rPrChange>
              </w:rPr>
            </w:pPr>
            <w:del w:id="2353" w:author="AbbVie2" w:date="2025-05-13T16:36:00Z">
              <w:r w:rsidRPr="00AD4F25">
                <w:rPr>
                  <w:rFonts w:eastAsia="Times New Roman"/>
                  <w:sz w:val="22"/>
                  <w:szCs w:val="22"/>
                  <w:rPrChange w:id="2354" w:author="AbbVie2" w:date="2025-05-14T10:17:00Z">
                    <w:rPr>
                      <w:rFonts w:eastAsia="Times New Roman"/>
                      <w:sz w:val="22"/>
                      <w:szCs w:val="22"/>
                      <w:lang w:val="en-US"/>
                    </w:rPr>
                  </w:rPrChange>
                </w:rPr>
                <w:delText>Fase aberta</w:delText>
              </w:r>
            </w:del>
          </w:p>
        </w:tc>
      </w:tr>
      <w:tr w:rsidR="00A7162A" w14:paraId="2988B999" w14:textId="45315023" w:rsidTr="00F675CF">
        <w:trPr>
          <w:del w:id="2355" w:author="AbbVie2" w:date="2025-05-13T16:36:00Z"/>
        </w:trPr>
        <w:tc>
          <w:tcPr>
            <w:tcW w:w="2718" w:type="dxa"/>
            <w:vMerge/>
          </w:tcPr>
          <w:p w14:paraId="6A80630C" w14:textId="77C276BF" w:rsidR="004462A0" w:rsidRPr="00AD4F25" w:rsidRDefault="004462A0" w:rsidP="00F675CF">
            <w:pPr>
              <w:rPr>
                <w:del w:id="2356" w:author="AbbVie2" w:date="2025-05-13T16:36:00Z"/>
                <w:rFonts w:eastAsia="Times New Roman"/>
                <w:sz w:val="22"/>
                <w:szCs w:val="22"/>
                <w:rPrChange w:id="2357" w:author="AbbVie2" w:date="2025-05-14T10:17:00Z">
                  <w:rPr>
                    <w:del w:id="2358" w:author="AbbVie2" w:date="2025-05-13T16:36:00Z"/>
                    <w:rFonts w:eastAsia="Times New Roman"/>
                    <w:sz w:val="22"/>
                    <w:szCs w:val="22"/>
                    <w:lang w:val="en-US"/>
                  </w:rPr>
                </w:rPrChange>
              </w:rPr>
            </w:pPr>
          </w:p>
        </w:tc>
        <w:tc>
          <w:tcPr>
            <w:tcW w:w="1080" w:type="dxa"/>
          </w:tcPr>
          <w:p w14:paraId="5A64C5A9" w14:textId="49A03BEA" w:rsidR="004462A0" w:rsidRPr="00AD4F25" w:rsidRDefault="00615769" w:rsidP="00F675CF">
            <w:pPr>
              <w:jc w:val="center"/>
              <w:rPr>
                <w:del w:id="2359" w:author="AbbVie2" w:date="2025-05-13T16:36:00Z"/>
                <w:rFonts w:eastAsia="Times New Roman"/>
                <w:sz w:val="22"/>
                <w:szCs w:val="22"/>
                <w:rPrChange w:id="2360" w:author="AbbVie2" w:date="2025-05-14T10:17:00Z">
                  <w:rPr>
                    <w:del w:id="2361" w:author="AbbVie2" w:date="2025-05-13T16:36:00Z"/>
                    <w:rFonts w:eastAsia="Times New Roman"/>
                    <w:sz w:val="22"/>
                    <w:szCs w:val="22"/>
                    <w:lang w:val="en-US"/>
                  </w:rPr>
                </w:rPrChange>
              </w:rPr>
            </w:pPr>
            <w:del w:id="2362" w:author="AbbVie2" w:date="2025-05-13T16:36:00Z">
              <w:r w:rsidRPr="00AD4F25">
                <w:rPr>
                  <w:rFonts w:eastAsia="Times New Roman"/>
                  <w:sz w:val="22"/>
                  <w:szCs w:val="2"/>
                  <w:rPrChange w:id="2363" w:author="AbbVie2" w:date="2025-05-14T10:17:00Z">
                    <w:rPr>
                      <w:rFonts w:eastAsia="Times New Roman"/>
                      <w:sz w:val="22"/>
                      <w:szCs w:val="2"/>
                      <w:lang w:val="en-US"/>
                    </w:rPr>
                  </w:rPrChange>
                </w:rPr>
                <w:delText>Placebo</w:delText>
              </w:r>
              <w:r w:rsidRPr="00AD4F25">
                <w:rPr>
                  <w:rFonts w:eastAsia="Times New Roman"/>
                  <w:sz w:val="22"/>
                  <w:szCs w:val="2"/>
                  <w:rPrChange w:id="2364" w:author="AbbVie2" w:date="2025-05-14T10:17:00Z">
                    <w:rPr>
                      <w:rFonts w:eastAsia="Times New Roman"/>
                      <w:sz w:val="22"/>
                      <w:szCs w:val="2"/>
                      <w:lang w:val="en-US"/>
                    </w:rPr>
                  </w:rPrChange>
                </w:rPr>
                <w:br/>
                <w:delText>N=108</w:delText>
              </w:r>
            </w:del>
          </w:p>
        </w:tc>
        <w:tc>
          <w:tcPr>
            <w:tcW w:w="1260" w:type="dxa"/>
          </w:tcPr>
          <w:p w14:paraId="66FFB95C" w14:textId="397A96D0" w:rsidR="004462A0" w:rsidRPr="00B427DD" w:rsidRDefault="00615769" w:rsidP="00F675CF">
            <w:pPr>
              <w:suppressAutoHyphens/>
              <w:overflowPunct w:val="0"/>
              <w:autoSpaceDE w:val="0"/>
              <w:autoSpaceDN w:val="0"/>
              <w:adjustRightInd w:val="0"/>
              <w:jc w:val="center"/>
              <w:textAlignment w:val="baseline"/>
              <w:rPr>
                <w:del w:id="2365" w:author="AbbVie2" w:date="2025-05-13T16:36:00Z"/>
                <w:rFonts w:eastAsia="Times New Roman"/>
                <w:sz w:val="22"/>
              </w:rPr>
            </w:pPr>
            <w:del w:id="2366" w:author="AbbVie2" w:date="2025-05-13T16:36:00Z">
              <w:r w:rsidRPr="00B427DD">
                <w:rPr>
                  <w:rFonts w:eastAsia="Times New Roman"/>
                  <w:sz w:val="22"/>
                </w:rPr>
                <w:delText>Humira</w:delText>
              </w:r>
            </w:del>
          </w:p>
          <w:p w14:paraId="7B76FDDF" w14:textId="4CC192E6" w:rsidR="004462A0" w:rsidRPr="00B427DD" w:rsidRDefault="00615769" w:rsidP="00F675CF">
            <w:pPr>
              <w:jc w:val="center"/>
              <w:rPr>
                <w:del w:id="2367" w:author="AbbVie2" w:date="2025-05-13T16:36:00Z"/>
                <w:rFonts w:eastAsia="Times New Roman"/>
                <w:sz w:val="22"/>
                <w:szCs w:val="22"/>
              </w:rPr>
            </w:pPr>
            <w:del w:id="2368" w:author="AbbVie2" w:date="2025-05-13T16:36:00Z">
              <w:r w:rsidRPr="00B427DD">
                <w:rPr>
                  <w:rFonts w:eastAsia="Times New Roman"/>
                  <w:sz w:val="22"/>
                  <w:szCs w:val="2"/>
                </w:rPr>
                <w:delText>40 mg em semanas alternadas N=109</w:delText>
              </w:r>
            </w:del>
          </w:p>
        </w:tc>
        <w:tc>
          <w:tcPr>
            <w:tcW w:w="990" w:type="dxa"/>
          </w:tcPr>
          <w:p w14:paraId="1EF65318" w14:textId="1A603727" w:rsidR="004462A0" w:rsidRPr="00AD4F25" w:rsidRDefault="00615769" w:rsidP="00F675CF">
            <w:pPr>
              <w:jc w:val="center"/>
              <w:rPr>
                <w:del w:id="2369" w:author="AbbVie2" w:date="2025-05-13T16:36:00Z"/>
                <w:rFonts w:eastAsia="Times New Roman"/>
                <w:sz w:val="22"/>
                <w:szCs w:val="22"/>
                <w:rPrChange w:id="2370" w:author="AbbVie2" w:date="2025-05-14T10:17:00Z">
                  <w:rPr>
                    <w:del w:id="2371" w:author="AbbVie2" w:date="2025-05-13T16:36:00Z"/>
                    <w:rFonts w:eastAsia="Times New Roman"/>
                    <w:sz w:val="22"/>
                    <w:szCs w:val="22"/>
                    <w:lang w:val="en-US"/>
                  </w:rPr>
                </w:rPrChange>
              </w:rPr>
            </w:pPr>
            <w:del w:id="2372" w:author="AbbVie2" w:date="2025-05-13T16:36:00Z">
              <w:r w:rsidRPr="00AD4F25">
                <w:rPr>
                  <w:rFonts w:eastAsia="Times New Roman"/>
                  <w:sz w:val="22"/>
                  <w:szCs w:val="2"/>
                  <w:rPrChange w:id="2373" w:author="AbbVie2" w:date="2025-05-14T10:17:00Z">
                    <w:rPr>
                      <w:rFonts w:eastAsia="Times New Roman"/>
                      <w:sz w:val="22"/>
                      <w:szCs w:val="2"/>
                      <w:lang w:val="en-US"/>
                    </w:rPr>
                  </w:rPrChange>
                </w:rPr>
                <w:delText>Placebo</w:delText>
              </w:r>
              <w:r w:rsidRPr="00AD4F25">
                <w:rPr>
                  <w:rFonts w:eastAsia="Times New Roman"/>
                  <w:sz w:val="22"/>
                  <w:szCs w:val="2"/>
                  <w:rPrChange w:id="2374" w:author="AbbVie2" w:date="2025-05-14T10:17:00Z">
                    <w:rPr>
                      <w:rFonts w:eastAsia="Times New Roman"/>
                      <w:sz w:val="22"/>
                      <w:szCs w:val="2"/>
                      <w:lang w:val="en-US"/>
                    </w:rPr>
                  </w:rPrChange>
                </w:rPr>
                <w:br/>
                <w:delText>N=108</w:delText>
              </w:r>
            </w:del>
          </w:p>
        </w:tc>
        <w:tc>
          <w:tcPr>
            <w:tcW w:w="1260" w:type="dxa"/>
          </w:tcPr>
          <w:p w14:paraId="6ADE7597" w14:textId="7B19FD8C" w:rsidR="004462A0" w:rsidRPr="00B427DD" w:rsidRDefault="00615769" w:rsidP="00F675CF">
            <w:pPr>
              <w:suppressAutoHyphens/>
              <w:overflowPunct w:val="0"/>
              <w:autoSpaceDE w:val="0"/>
              <w:autoSpaceDN w:val="0"/>
              <w:adjustRightInd w:val="0"/>
              <w:jc w:val="center"/>
              <w:textAlignment w:val="baseline"/>
              <w:rPr>
                <w:del w:id="2375" w:author="AbbVie2" w:date="2025-05-13T16:36:00Z"/>
                <w:rFonts w:eastAsia="Times New Roman"/>
                <w:sz w:val="22"/>
              </w:rPr>
            </w:pPr>
            <w:del w:id="2376" w:author="AbbVie2" w:date="2025-05-13T16:36:00Z">
              <w:r w:rsidRPr="00B427DD">
                <w:rPr>
                  <w:rFonts w:eastAsia="Times New Roman"/>
                  <w:sz w:val="22"/>
                </w:rPr>
                <w:delText>Humira</w:delText>
              </w:r>
            </w:del>
          </w:p>
          <w:p w14:paraId="735212B2" w14:textId="1A02A0C5" w:rsidR="004462A0" w:rsidRPr="00B427DD" w:rsidRDefault="00615769" w:rsidP="00F675CF">
            <w:pPr>
              <w:jc w:val="center"/>
              <w:rPr>
                <w:del w:id="2377" w:author="AbbVie2" w:date="2025-05-13T16:36:00Z"/>
                <w:rFonts w:eastAsia="Times New Roman"/>
                <w:sz w:val="22"/>
                <w:szCs w:val="22"/>
              </w:rPr>
            </w:pPr>
            <w:del w:id="2378" w:author="AbbVie2" w:date="2025-05-13T16:36:00Z">
              <w:r w:rsidRPr="00B427DD">
                <w:rPr>
                  <w:rFonts w:eastAsia="Times New Roman"/>
                  <w:sz w:val="22"/>
                  <w:szCs w:val="2"/>
                </w:rPr>
                <w:delText>40 mg em semanas alternadasN=109</w:delText>
              </w:r>
            </w:del>
          </w:p>
        </w:tc>
        <w:tc>
          <w:tcPr>
            <w:tcW w:w="2014" w:type="dxa"/>
          </w:tcPr>
          <w:p w14:paraId="2EA425C9" w14:textId="7E91388C" w:rsidR="004462A0" w:rsidRPr="00B427DD" w:rsidRDefault="00615769" w:rsidP="00F675CF">
            <w:pPr>
              <w:suppressAutoHyphens/>
              <w:overflowPunct w:val="0"/>
              <w:autoSpaceDE w:val="0"/>
              <w:autoSpaceDN w:val="0"/>
              <w:adjustRightInd w:val="0"/>
              <w:jc w:val="center"/>
              <w:textAlignment w:val="baseline"/>
              <w:rPr>
                <w:del w:id="2379" w:author="AbbVie2" w:date="2025-05-13T16:36:00Z"/>
                <w:rFonts w:eastAsia="Times New Roman"/>
                <w:sz w:val="22"/>
              </w:rPr>
            </w:pPr>
            <w:del w:id="2380" w:author="AbbVie2" w:date="2025-05-13T16:36:00Z">
              <w:r w:rsidRPr="00B427DD">
                <w:rPr>
                  <w:rFonts w:eastAsia="Times New Roman"/>
                  <w:sz w:val="22"/>
                </w:rPr>
                <w:delText>Humira</w:delText>
              </w:r>
            </w:del>
          </w:p>
          <w:p w14:paraId="6A4A51E1" w14:textId="5E4BB279" w:rsidR="004462A0" w:rsidRPr="00B427DD" w:rsidRDefault="00615769" w:rsidP="00F675CF">
            <w:pPr>
              <w:jc w:val="center"/>
              <w:rPr>
                <w:del w:id="2381" w:author="AbbVie2" w:date="2025-05-13T16:36:00Z"/>
                <w:rFonts w:eastAsia="Times New Roman"/>
                <w:sz w:val="22"/>
                <w:szCs w:val="2"/>
              </w:rPr>
            </w:pPr>
            <w:del w:id="2382" w:author="AbbVie2" w:date="2025-05-13T16:36:00Z">
              <w:r w:rsidRPr="00B427DD">
                <w:rPr>
                  <w:rFonts w:eastAsia="Times New Roman"/>
                  <w:sz w:val="22"/>
                  <w:szCs w:val="2"/>
                </w:rPr>
                <w:delText>40 mg em semanas alternadas</w:delText>
              </w:r>
            </w:del>
          </w:p>
          <w:p w14:paraId="403417FA" w14:textId="4CA08594" w:rsidR="004462A0" w:rsidRPr="00B427DD" w:rsidRDefault="00615769" w:rsidP="00F675CF">
            <w:pPr>
              <w:jc w:val="center"/>
              <w:rPr>
                <w:del w:id="2383" w:author="AbbVie2" w:date="2025-05-13T16:36:00Z"/>
                <w:rFonts w:eastAsia="Times New Roman"/>
                <w:sz w:val="22"/>
                <w:szCs w:val="22"/>
              </w:rPr>
            </w:pPr>
            <w:del w:id="2384" w:author="AbbVie2" w:date="2025-05-13T16:36:00Z">
              <w:r w:rsidRPr="00B427DD">
                <w:rPr>
                  <w:rFonts w:eastAsia="Times New Roman"/>
                  <w:sz w:val="22"/>
                  <w:szCs w:val="2"/>
                </w:rPr>
                <w:delText>N=80</w:delText>
              </w:r>
            </w:del>
          </w:p>
        </w:tc>
      </w:tr>
      <w:tr w:rsidR="00A7162A" w14:paraId="64A6C434" w14:textId="5D792BEB" w:rsidTr="00F675CF">
        <w:trPr>
          <w:del w:id="2385" w:author="AbbVie2" w:date="2025-05-13T16:36:00Z"/>
        </w:trPr>
        <w:tc>
          <w:tcPr>
            <w:tcW w:w="2718" w:type="dxa"/>
          </w:tcPr>
          <w:p w14:paraId="7D44EC02" w14:textId="0D8DCFEE" w:rsidR="004462A0" w:rsidRPr="00AD4F25" w:rsidRDefault="00615769" w:rsidP="00F675CF">
            <w:pPr>
              <w:rPr>
                <w:del w:id="2386" w:author="AbbVie2" w:date="2025-05-13T16:36:00Z"/>
                <w:rFonts w:eastAsia="Times New Roman"/>
                <w:sz w:val="22"/>
                <w:szCs w:val="22"/>
                <w:rPrChange w:id="2387" w:author="AbbVie2" w:date="2025-05-14T10:17:00Z">
                  <w:rPr>
                    <w:del w:id="2388" w:author="AbbVie2" w:date="2025-05-13T16:36:00Z"/>
                    <w:rFonts w:eastAsia="Times New Roman"/>
                    <w:sz w:val="22"/>
                    <w:szCs w:val="22"/>
                    <w:lang w:val="en-US"/>
                  </w:rPr>
                </w:rPrChange>
              </w:rPr>
            </w:pPr>
            <w:del w:id="2389" w:author="AbbVie2" w:date="2025-05-13T16:36:00Z">
              <w:r w:rsidRPr="00AD4F25">
                <w:rPr>
                  <w:rFonts w:eastAsia="Times New Roman"/>
                  <w:sz w:val="22"/>
                  <w:szCs w:val="2"/>
                  <w:rPrChange w:id="2390" w:author="AbbVie2" w:date="2025-05-14T10:17:00Z">
                    <w:rPr>
                      <w:rFonts w:eastAsia="Times New Roman"/>
                      <w:sz w:val="22"/>
                      <w:szCs w:val="2"/>
                      <w:lang w:val="en-US"/>
                    </w:rPr>
                  </w:rPrChange>
                </w:rPr>
                <w:delText>≥ mNAPSI 75 (%)</w:delText>
              </w:r>
            </w:del>
          </w:p>
        </w:tc>
        <w:tc>
          <w:tcPr>
            <w:tcW w:w="1080" w:type="dxa"/>
          </w:tcPr>
          <w:p w14:paraId="581F093A" w14:textId="3E00CE01" w:rsidR="004462A0" w:rsidRPr="00AD4F25" w:rsidRDefault="00615769" w:rsidP="00F675CF">
            <w:pPr>
              <w:jc w:val="center"/>
              <w:rPr>
                <w:del w:id="2391" w:author="AbbVie2" w:date="2025-05-13T16:36:00Z"/>
                <w:rFonts w:eastAsia="Times New Roman"/>
                <w:sz w:val="22"/>
                <w:szCs w:val="22"/>
                <w:rPrChange w:id="2392" w:author="AbbVie2" w:date="2025-05-14T10:17:00Z">
                  <w:rPr>
                    <w:del w:id="2393" w:author="AbbVie2" w:date="2025-05-13T16:36:00Z"/>
                    <w:rFonts w:eastAsia="Times New Roman"/>
                    <w:sz w:val="22"/>
                    <w:szCs w:val="22"/>
                    <w:lang w:val="en-US"/>
                  </w:rPr>
                </w:rPrChange>
              </w:rPr>
            </w:pPr>
            <w:del w:id="2394" w:author="AbbVie2" w:date="2025-05-13T16:36:00Z">
              <w:r w:rsidRPr="00AD4F25">
                <w:rPr>
                  <w:rFonts w:eastAsia="Times New Roman"/>
                  <w:sz w:val="22"/>
                  <w:szCs w:val="22"/>
                  <w:rPrChange w:id="2395" w:author="AbbVie2" w:date="2025-05-14T10:17:00Z">
                    <w:rPr>
                      <w:rFonts w:eastAsia="Times New Roman"/>
                      <w:sz w:val="22"/>
                      <w:szCs w:val="22"/>
                      <w:lang w:val="en-US"/>
                    </w:rPr>
                  </w:rPrChange>
                </w:rPr>
                <w:delText>2,9</w:delText>
              </w:r>
            </w:del>
          </w:p>
        </w:tc>
        <w:tc>
          <w:tcPr>
            <w:tcW w:w="1260" w:type="dxa"/>
          </w:tcPr>
          <w:p w14:paraId="39B1E3B1" w14:textId="3C0590CF" w:rsidR="004462A0" w:rsidRPr="00AD4F25" w:rsidRDefault="00615769" w:rsidP="00F675CF">
            <w:pPr>
              <w:jc w:val="center"/>
              <w:rPr>
                <w:del w:id="2396" w:author="AbbVie2" w:date="2025-05-13T16:36:00Z"/>
                <w:rFonts w:eastAsia="Times New Roman"/>
                <w:sz w:val="22"/>
                <w:szCs w:val="22"/>
                <w:rPrChange w:id="2397" w:author="AbbVie2" w:date="2025-05-14T10:17:00Z">
                  <w:rPr>
                    <w:del w:id="2398" w:author="AbbVie2" w:date="2025-05-13T16:36:00Z"/>
                    <w:rFonts w:eastAsia="Times New Roman"/>
                    <w:sz w:val="22"/>
                    <w:szCs w:val="22"/>
                    <w:lang w:val="en-US"/>
                  </w:rPr>
                </w:rPrChange>
              </w:rPr>
            </w:pPr>
            <w:del w:id="2399" w:author="AbbVie2" w:date="2025-05-13T16:36:00Z">
              <w:r w:rsidRPr="00AD4F25">
                <w:rPr>
                  <w:rFonts w:eastAsia="Times New Roman"/>
                  <w:sz w:val="22"/>
                  <w:szCs w:val="22"/>
                  <w:rPrChange w:id="2400" w:author="AbbVie2" w:date="2025-05-14T10:17:00Z">
                    <w:rPr>
                      <w:rFonts w:eastAsia="Times New Roman"/>
                      <w:sz w:val="22"/>
                      <w:szCs w:val="22"/>
                      <w:lang w:val="en-US"/>
                    </w:rPr>
                  </w:rPrChange>
                </w:rPr>
                <w:delText>26,0</w:delText>
              </w:r>
              <w:r w:rsidRPr="00AD4F25">
                <w:rPr>
                  <w:rFonts w:eastAsia="Times New Roman"/>
                  <w:sz w:val="22"/>
                  <w:szCs w:val="22"/>
                  <w:vertAlign w:val="superscript"/>
                  <w:rPrChange w:id="2401" w:author="AbbVie2" w:date="2025-05-14T10:17:00Z">
                    <w:rPr>
                      <w:rFonts w:eastAsia="Times New Roman"/>
                      <w:sz w:val="22"/>
                      <w:szCs w:val="22"/>
                      <w:vertAlign w:val="superscript"/>
                      <w:lang w:val="en-US"/>
                    </w:rPr>
                  </w:rPrChange>
                </w:rPr>
                <w:delText>a</w:delText>
              </w:r>
            </w:del>
          </w:p>
        </w:tc>
        <w:tc>
          <w:tcPr>
            <w:tcW w:w="990" w:type="dxa"/>
          </w:tcPr>
          <w:p w14:paraId="7878CD2C" w14:textId="691E2AA1" w:rsidR="004462A0" w:rsidRPr="00AD4F25" w:rsidRDefault="00615769" w:rsidP="00F675CF">
            <w:pPr>
              <w:keepNext/>
              <w:tabs>
                <w:tab w:val="left" w:pos="562"/>
              </w:tabs>
              <w:suppressAutoHyphens/>
              <w:jc w:val="center"/>
              <w:rPr>
                <w:del w:id="2402" w:author="AbbVie2" w:date="2025-05-13T16:36:00Z"/>
                <w:rFonts w:eastAsia="Times New Roman"/>
                <w:sz w:val="22"/>
                <w:szCs w:val="22"/>
                <w:rPrChange w:id="2403" w:author="AbbVie2" w:date="2025-05-14T10:17:00Z">
                  <w:rPr>
                    <w:del w:id="2404" w:author="AbbVie2" w:date="2025-05-13T16:36:00Z"/>
                    <w:rFonts w:eastAsia="Times New Roman"/>
                    <w:sz w:val="22"/>
                    <w:szCs w:val="22"/>
                    <w:lang w:val="en-US"/>
                  </w:rPr>
                </w:rPrChange>
              </w:rPr>
            </w:pPr>
            <w:del w:id="2405" w:author="AbbVie2" w:date="2025-05-13T16:36:00Z">
              <w:r w:rsidRPr="00AD4F25">
                <w:rPr>
                  <w:rFonts w:eastAsia="Times New Roman"/>
                  <w:sz w:val="22"/>
                  <w:szCs w:val="22"/>
                  <w:rPrChange w:id="2406" w:author="AbbVie2" w:date="2025-05-14T10:17:00Z">
                    <w:rPr>
                      <w:rFonts w:eastAsia="Times New Roman"/>
                      <w:sz w:val="22"/>
                      <w:szCs w:val="22"/>
                      <w:lang w:val="en-US"/>
                    </w:rPr>
                  </w:rPrChange>
                </w:rPr>
                <w:delText>3,4</w:delText>
              </w:r>
            </w:del>
          </w:p>
        </w:tc>
        <w:tc>
          <w:tcPr>
            <w:tcW w:w="1260" w:type="dxa"/>
          </w:tcPr>
          <w:p w14:paraId="4D6402F3" w14:textId="5FBDEDD8" w:rsidR="004462A0" w:rsidRPr="00AD4F25" w:rsidRDefault="00615769" w:rsidP="00F675CF">
            <w:pPr>
              <w:keepNext/>
              <w:tabs>
                <w:tab w:val="left" w:pos="562"/>
              </w:tabs>
              <w:suppressAutoHyphens/>
              <w:jc w:val="center"/>
              <w:rPr>
                <w:del w:id="2407" w:author="AbbVie2" w:date="2025-05-13T16:36:00Z"/>
                <w:rFonts w:eastAsia="Times New Roman"/>
                <w:sz w:val="22"/>
                <w:szCs w:val="22"/>
                <w:rPrChange w:id="2408" w:author="AbbVie2" w:date="2025-05-14T10:17:00Z">
                  <w:rPr>
                    <w:del w:id="2409" w:author="AbbVie2" w:date="2025-05-13T16:36:00Z"/>
                    <w:rFonts w:eastAsia="Times New Roman"/>
                    <w:sz w:val="22"/>
                    <w:szCs w:val="22"/>
                    <w:lang w:val="en-US"/>
                  </w:rPr>
                </w:rPrChange>
              </w:rPr>
            </w:pPr>
            <w:del w:id="2410" w:author="AbbVie2" w:date="2025-05-13T16:36:00Z">
              <w:r w:rsidRPr="00AD4F25">
                <w:rPr>
                  <w:rFonts w:eastAsia="Times New Roman"/>
                  <w:sz w:val="22"/>
                  <w:szCs w:val="22"/>
                  <w:rPrChange w:id="2411" w:author="AbbVie2" w:date="2025-05-14T10:17:00Z">
                    <w:rPr>
                      <w:rFonts w:eastAsia="Times New Roman"/>
                      <w:sz w:val="22"/>
                      <w:szCs w:val="22"/>
                      <w:lang w:val="en-US"/>
                    </w:rPr>
                  </w:rPrChange>
                </w:rPr>
                <w:delText>46,6</w:delText>
              </w:r>
              <w:r w:rsidRPr="00AD4F25">
                <w:rPr>
                  <w:rFonts w:eastAsia="Times New Roman"/>
                  <w:sz w:val="22"/>
                  <w:szCs w:val="22"/>
                  <w:vertAlign w:val="superscript"/>
                  <w:rPrChange w:id="2412" w:author="AbbVie2" w:date="2025-05-14T10:17:00Z">
                    <w:rPr>
                      <w:rFonts w:eastAsia="Times New Roman"/>
                      <w:sz w:val="22"/>
                      <w:szCs w:val="22"/>
                      <w:vertAlign w:val="superscript"/>
                      <w:lang w:val="en-US"/>
                    </w:rPr>
                  </w:rPrChange>
                </w:rPr>
                <w:delText>a</w:delText>
              </w:r>
            </w:del>
          </w:p>
        </w:tc>
        <w:tc>
          <w:tcPr>
            <w:tcW w:w="2014" w:type="dxa"/>
          </w:tcPr>
          <w:p w14:paraId="10D208C2" w14:textId="4B8236B2" w:rsidR="004462A0" w:rsidRPr="00AD4F25" w:rsidRDefault="00615769" w:rsidP="00F675CF">
            <w:pPr>
              <w:jc w:val="center"/>
              <w:rPr>
                <w:del w:id="2413" w:author="AbbVie2" w:date="2025-05-13T16:36:00Z"/>
                <w:rFonts w:eastAsia="Times New Roman"/>
                <w:sz w:val="22"/>
                <w:szCs w:val="22"/>
                <w:rPrChange w:id="2414" w:author="AbbVie2" w:date="2025-05-14T10:17:00Z">
                  <w:rPr>
                    <w:del w:id="2415" w:author="AbbVie2" w:date="2025-05-13T16:36:00Z"/>
                    <w:rFonts w:eastAsia="Times New Roman"/>
                    <w:sz w:val="22"/>
                    <w:szCs w:val="22"/>
                    <w:lang w:val="en-US"/>
                  </w:rPr>
                </w:rPrChange>
              </w:rPr>
            </w:pPr>
            <w:del w:id="2416" w:author="AbbVie2" w:date="2025-05-13T16:36:00Z">
              <w:r w:rsidRPr="00AD4F25">
                <w:rPr>
                  <w:rFonts w:eastAsia="Times New Roman"/>
                  <w:sz w:val="22"/>
                  <w:szCs w:val="22"/>
                  <w:rPrChange w:id="2417" w:author="AbbVie2" w:date="2025-05-14T10:17:00Z">
                    <w:rPr>
                      <w:rFonts w:eastAsia="Times New Roman"/>
                      <w:sz w:val="22"/>
                      <w:szCs w:val="22"/>
                      <w:lang w:val="en-US"/>
                    </w:rPr>
                  </w:rPrChange>
                </w:rPr>
                <w:delText>65,0</w:delText>
              </w:r>
            </w:del>
          </w:p>
        </w:tc>
      </w:tr>
      <w:tr w:rsidR="00A7162A" w14:paraId="3BBC0B52" w14:textId="21FE6445" w:rsidTr="00F675CF">
        <w:trPr>
          <w:del w:id="2418" w:author="AbbVie2" w:date="2025-05-13T16:36:00Z"/>
        </w:trPr>
        <w:tc>
          <w:tcPr>
            <w:tcW w:w="2718" w:type="dxa"/>
          </w:tcPr>
          <w:p w14:paraId="6CC1F4E6" w14:textId="3D6D225B" w:rsidR="004462A0" w:rsidRPr="00612E98" w:rsidRDefault="00615769" w:rsidP="00F675CF">
            <w:pPr>
              <w:rPr>
                <w:del w:id="2419" w:author="AbbVie2" w:date="2025-05-13T16:36:00Z"/>
                <w:rFonts w:eastAsia="Times New Roman"/>
                <w:sz w:val="22"/>
                <w:szCs w:val="22"/>
              </w:rPr>
            </w:pPr>
            <w:del w:id="2420" w:author="AbbVie2" w:date="2025-05-13T16:36:00Z">
              <w:r w:rsidRPr="00612E98">
                <w:rPr>
                  <w:rFonts w:eastAsia="Times New Roman"/>
                  <w:sz w:val="22"/>
                  <w:szCs w:val="22"/>
                </w:rPr>
                <w:delText>PGA-F limp</w:delText>
              </w:r>
              <w:r w:rsidR="008F2FAC">
                <w:rPr>
                  <w:rFonts w:eastAsia="Times New Roman"/>
                  <w:sz w:val="22"/>
                  <w:szCs w:val="22"/>
                </w:rPr>
                <w:delText>a</w:delText>
              </w:r>
              <w:r w:rsidRPr="00612E98">
                <w:rPr>
                  <w:rFonts w:eastAsia="Times New Roman"/>
                  <w:sz w:val="22"/>
                  <w:szCs w:val="22"/>
                </w:rPr>
                <w:delText>/</w:delText>
              </w:r>
              <w:r w:rsidR="008F2FAC">
                <w:rPr>
                  <w:rFonts w:eastAsia="Times New Roman"/>
                  <w:sz w:val="22"/>
                  <w:szCs w:val="22"/>
                </w:rPr>
                <w:delText>quase limpa</w:delText>
              </w:r>
              <w:r w:rsidRPr="00612E98">
                <w:rPr>
                  <w:rFonts w:eastAsia="Times New Roman"/>
                  <w:sz w:val="22"/>
                  <w:szCs w:val="22"/>
                </w:rPr>
                <w:delText xml:space="preserve"> e melhoria</w:delText>
              </w:r>
              <w:r w:rsidR="008F2FAC">
                <w:rPr>
                  <w:rFonts w:eastAsia="Times New Roman"/>
                  <w:sz w:val="22"/>
                  <w:szCs w:val="22"/>
                </w:rPr>
                <w:delText xml:space="preserve"> </w:delText>
              </w:r>
              <w:r w:rsidR="008F2FAC" w:rsidRPr="00612E98">
                <w:rPr>
                  <w:rFonts w:eastAsia="Times New Roman"/>
                  <w:sz w:val="22"/>
                  <w:szCs w:val="22"/>
                </w:rPr>
                <w:delText xml:space="preserve">≥2 </w:delText>
              </w:r>
              <w:r w:rsidR="008F2FAC">
                <w:rPr>
                  <w:rFonts w:eastAsia="Times New Roman"/>
                  <w:sz w:val="22"/>
                  <w:szCs w:val="22"/>
                </w:rPr>
                <w:delText>graus</w:delText>
              </w:r>
              <w:r w:rsidRPr="00612E98">
                <w:rPr>
                  <w:rFonts w:eastAsia="Times New Roman"/>
                  <w:sz w:val="22"/>
                  <w:szCs w:val="22"/>
                </w:rPr>
                <w:delText xml:space="preserve"> (%)</w:delText>
              </w:r>
            </w:del>
          </w:p>
        </w:tc>
        <w:tc>
          <w:tcPr>
            <w:tcW w:w="1080" w:type="dxa"/>
          </w:tcPr>
          <w:p w14:paraId="67DD1EFA" w14:textId="4DCEC9D1" w:rsidR="004462A0" w:rsidRPr="00AD4F25" w:rsidRDefault="00615769" w:rsidP="00F675CF">
            <w:pPr>
              <w:jc w:val="center"/>
              <w:rPr>
                <w:del w:id="2421" w:author="AbbVie2" w:date="2025-05-13T16:36:00Z"/>
                <w:rFonts w:eastAsia="Times New Roman"/>
                <w:sz w:val="22"/>
                <w:szCs w:val="22"/>
                <w:rPrChange w:id="2422" w:author="AbbVie2" w:date="2025-05-14T10:17:00Z">
                  <w:rPr>
                    <w:del w:id="2423" w:author="AbbVie2" w:date="2025-05-13T16:36:00Z"/>
                    <w:rFonts w:eastAsia="Times New Roman"/>
                    <w:sz w:val="22"/>
                    <w:szCs w:val="22"/>
                    <w:lang w:val="en-US"/>
                  </w:rPr>
                </w:rPrChange>
              </w:rPr>
            </w:pPr>
            <w:del w:id="2424" w:author="AbbVie2" w:date="2025-05-13T16:36:00Z">
              <w:r w:rsidRPr="00AD4F25">
                <w:rPr>
                  <w:rFonts w:eastAsia="Times New Roman"/>
                  <w:sz w:val="22"/>
                  <w:szCs w:val="22"/>
                  <w:rPrChange w:id="2425" w:author="AbbVie2" w:date="2025-05-14T10:17:00Z">
                    <w:rPr>
                      <w:rFonts w:eastAsia="Times New Roman"/>
                      <w:sz w:val="22"/>
                      <w:szCs w:val="22"/>
                      <w:lang w:val="en-US"/>
                    </w:rPr>
                  </w:rPrChange>
                </w:rPr>
                <w:delText>2,9</w:delText>
              </w:r>
            </w:del>
          </w:p>
        </w:tc>
        <w:tc>
          <w:tcPr>
            <w:tcW w:w="1260" w:type="dxa"/>
          </w:tcPr>
          <w:p w14:paraId="28FA4DBD" w14:textId="553B374A" w:rsidR="004462A0" w:rsidRPr="00AD4F25" w:rsidRDefault="00615769" w:rsidP="00F675CF">
            <w:pPr>
              <w:jc w:val="center"/>
              <w:rPr>
                <w:del w:id="2426" w:author="AbbVie2" w:date="2025-05-13T16:36:00Z"/>
                <w:rFonts w:eastAsia="Times New Roman"/>
                <w:sz w:val="22"/>
                <w:szCs w:val="22"/>
                <w:rPrChange w:id="2427" w:author="AbbVie2" w:date="2025-05-14T10:17:00Z">
                  <w:rPr>
                    <w:del w:id="2428" w:author="AbbVie2" w:date="2025-05-13T16:36:00Z"/>
                    <w:rFonts w:eastAsia="Times New Roman"/>
                    <w:sz w:val="22"/>
                    <w:szCs w:val="22"/>
                    <w:lang w:val="en-US"/>
                  </w:rPr>
                </w:rPrChange>
              </w:rPr>
            </w:pPr>
            <w:del w:id="2429" w:author="AbbVie2" w:date="2025-05-13T16:36:00Z">
              <w:r w:rsidRPr="00AD4F25">
                <w:rPr>
                  <w:rFonts w:eastAsia="Times New Roman"/>
                  <w:sz w:val="22"/>
                  <w:szCs w:val="22"/>
                  <w:rPrChange w:id="2430" w:author="AbbVie2" w:date="2025-05-14T10:17:00Z">
                    <w:rPr>
                      <w:rFonts w:eastAsia="Times New Roman"/>
                      <w:sz w:val="22"/>
                      <w:szCs w:val="22"/>
                      <w:lang w:val="en-US"/>
                    </w:rPr>
                  </w:rPrChange>
                </w:rPr>
                <w:delText>29,7</w:delText>
              </w:r>
              <w:r w:rsidRPr="00AD4F25">
                <w:rPr>
                  <w:rFonts w:eastAsia="Times New Roman"/>
                  <w:sz w:val="22"/>
                  <w:szCs w:val="22"/>
                  <w:vertAlign w:val="superscript"/>
                  <w:rPrChange w:id="2431" w:author="AbbVie2" w:date="2025-05-14T10:17:00Z">
                    <w:rPr>
                      <w:rFonts w:eastAsia="Times New Roman"/>
                      <w:sz w:val="22"/>
                      <w:szCs w:val="22"/>
                      <w:vertAlign w:val="superscript"/>
                      <w:lang w:val="en-US"/>
                    </w:rPr>
                  </w:rPrChange>
                </w:rPr>
                <w:delText>a</w:delText>
              </w:r>
            </w:del>
          </w:p>
        </w:tc>
        <w:tc>
          <w:tcPr>
            <w:tcW w:w="990" w:type="dxa"/>
          </w:tcPr>
          <w:p w14:paraId="25851B3C" w14:textId="425DA319" w:rsidR="004462A0" w:rsidRPr="00AD4F25" w:rsidRDefault="00615769" w:rsidP="00F675CF">
            <w:pPr>
              <w:keepNext/>
              <w:tabs>
                <w:tab w:val="left" w:pos="562"/>
              </w:tabs>
              <w:suppressAutoHyphens/>
              <w:jc w:val="center"/>
              <w:rPr>
                <w:del w:id="2432" w:author="AbbVie2" w:date="2025-05-13T16:36:00Z"/>
                <w:rFonts w:eastAsia="Times New Roman"/>
                <w:sz w:val="22"/>
                <w:szCs w:val="22"/>
                <w:rPrChange w:id="2433" w:author="AbbVie2" w:date="2025-05-14T10:17:00Z">
                  <w:rPr>
                    <w:del w:id="2434" w:author="AbbVie2" w:date="2025-05-13T16:36:00Z"/>
                    <w:rFonts w:eastAsia="Times New Roman"/>
                    <w:sz w:val="22"/>
                    <w:szCs w:val="22"/>
                    <w:lang w:val="en-US"/>
                  </w:rPr>
                </w:rPrChange>
              </w:rPr>
            </w:pPr>
            <w:del w:id="2435" w:author="AbbVie2" w:date="2025-05-13T16:36:00Z">
              <w:r w:rsidRPr="00AD4F25">
                <w:rPr>
                  <w:rFonts w:eastAsia="Times New Roman"/>
                  <w:sz w:val="22"/>
                  <w:szCs w:val="22"/>
                  <w:rPrChange w:id="2436" w:author="AbbVie2" w:date="2025-05-14T10:17:00Z">
                    <w:rPr>
                      <w:rFonts w:eastAsia="Times New Roman"/>
                      <w:sz w:val="22"/>
                      <w:szCs w:val="22"/>
                      <w:lang w:val="en-US"/>
                    </w:rPr>
                  </w:rPrChange>
                </w:rPr>
                <w:delText>6,9</w:delText>
              </w:r>
            </w:del>
          </w:p>
        </w:tc>
        <w:tc>
          <w:tcPr>
            <w:tcW w:w="1260" w:type="dxa"/>
          </w:tcPr>
          <w:p w14:paraId="7E72A2E3" w14:textId="737890F2" w:rsidR="004462A0" w:rsidRPr="00AD4F25" w:rsidRDefault="00615769" w:rsidP="00F675CF">
            <w:pPr>
              <w:keepNext/>
              <w:tabs>
                <w:tab w:val="left" w:pos="562"/>
              </w:tabs>
              <w:suppressAutoHyphens/>
              <w:jc w:val="center"/>
              <w:rPr>
                <w:del w:id="2437" w:author="AbbVie2" w:date="2025-05-13T16:36:00Z"/>
                <w:rFonts w:eastAsia="Times New Roman"/>
                <w:sz w:val="22"/>
                <w:szCs w:val="22"/>
                <w:rPrChange w:id="2438" w:author="AbbVie2" w:date="2025-05-14T10:17:00Z">
                  <w:rPr>
                    <w:del w:id="2439" w:author="AbbVie2" w:date="2025-05-13T16:36:00Z"/>
                    <w:rFonts w:eastAsia="Times New Roman"/>
                    <w:sz w:val="22"/>
                    <w:szCs w:val="22"/>
                    <w:lang w:val="en-US"/>
                  </w:rPr>
                </w:rPrChange>
              </w:rPr>
            </w:pPr>
            <w:del w:id="2440" w:author="AbbVie2" w:date="2025-05-13T16:36:00Z">
              <w:r w:rsidRPr="00AD4F25">
                <w:rPr>
                  <w:rFonts w:eastAsia="Times New Roman"/>
                  <w:sz w:val="22"/>
                  <w:szCs w:val="22"/>
                  <w:rPrChange w:id="2441" w:author="AbbVie2" w:date="2025-05-14T10:17:00Z">
                    <w:rPr>
                      <w:rFonts w:eastAsia="Times New Roman"/>
                      <w:sz w:val="22"/>
                      <w:szCs w:val="22"/>
                      <w:lang w:val="en-US"/>
                    </w:rPr>
                  </w:rPrChange>
                </w:rPr>
                <w:delText>48,9</w:delText>
              </w:r>
              <w:r w:rsidRPr="00AD4F25">
                <w:rPr>
                  <w:rFonts w:eastAsia="Times New Roman"/>
                  <w:sz w:val="22"/>
                  <w:szCs w:val="22"/>
                  <w:vertAlign w:val="superscript"/>
                  <w:rPrChange w:id="2442" w:author="AbbVie2" w:date="2025-05-14T10:17:00Z">
                    <w:rPr>
                      <w:rFonts w:eastAsia="Times New Roman"/>
                      <w:sz w:val="22"/>
                      <w:szCs w:val="22"/>
                      <w:vertAlign w:val="superscript"/>
                      <w:lang w:val="en-US"/>
                    </w:rPr>
                  </w:rPrChange>
                </w:rPr>
                <w:delText>a</w:delText>
              </w:r>
            </w:del>
          </w:p>
        </w:tc>
        <w:tc>
          <w:tcPr>
            <w:tcW w:w="2014" w:type="dxa"/>
          </w:tcPr>
          <w:p w14:paraId="0EDFD35B" w14:textId="0B5DA137" w:rsidR="004462A0" w:rsidRPr="00AD4F25" w:rsidRDefault="00615769" w:rsidP="00F675CF">
            <w:pPr>
              <w:jc w:val="center"/>
              <w:rPr>
                <w:del w:id="2443" w:author="AbbVie2" w:date="2025-05-13T16:36:00Z"/>
                <w:rFonts w:eastAsia="Times New Roman"/>
                <w:sz w:val="22"/>
                <w:szCs w:val="22"/>
                <w:rPrChange w:id="2444" w:author="AbbVie2" w:date="2025-05-14T10:17:00Z">
                  <w:rPr>
                    <w:del w:id="2445" w:author="AbbVie2" w:date="2025-05-13T16:36:00Z"/>
                    <w:rFonts w:eastAsia="Times New Roman"/>
                    <w:sz w:val="22"/>
                    <w:szCs w:val="22"/>
                    <w:lang w:val="en-US"/>
                  </w:rPr>
                </w:rPrChange>
              </w:rPr>
            </w:pPr>
            <w:del w:id="2446" w:author="AbbVie2" w:date="2025-05-13T16:36:00Z">
              <w:r w:rsidRPr="00AD4F25">
                <w:rPr>
                  <w:rFonts w:eastAsia="Times New Roman"/>
                  <w:sz w:val="22"/>
                  <w:szCs w:val="22"/>
                  <w:rPrChange w:id="2447" w:author="AbbVie2" w:date="2025-05-14T10:17:00Z">
                    <w:rPr>
                      <w:rFonts w:eastAsia="Times New Roman"/>
                      <w:sz w:val="22"/>
                      <w:szCs w:val="22"/>
                      <w:lang w:val="en-US"/>
                    </w:rPr>
                  </w:rPrChange>
                </w:rPr>
                <w:delText>61,3</w:delText>
              </w:r>
            </w:del>
          </w:p>
        </w:tc>
      </w:tr>
      <w:tr w:rsidR="00A7162A" w14:paraId="6C5D8A7E" w14:textId="45094D13" w:rsidTr="00F675CF">
        <w:trPr>
          <w:del w:id="2448" w:author="AbbVie2" w:date="2025-05-13T16:36:00Z"/>
        </w:trPr>
        <w:tc>
          <w:tcPr>
            <w:tcW w:w="2718" w:type="dxa"/>
          </w:tcPr>
          <w:p w14:paraId="380B2AA5" w14:textId="0138980D" w:rsidR="004462A0" w:rsidRPr="00475D7E" w:rsidRDefault="00615769" w:rsidP="00F675CF">
            <w:pPr>
              <w:rPr>
                <w:del w:id="2449" w:author="AbbVie2" w:date="2025-05-13T16:36:00Z"/>
                <w:rFonts w:eastAsia="Times New Roman"/>
                <w:sz w:val="22"/>
                <w:szCs w:val="22"/>
              </w:rPr>
            </w:pPr>
            <w:del w:id="2450" w:author="AbbVie2" w:date="2025-05-13T16:36:00Z">
              <w:r>
                <w:rPr>
                  <w:rFonts w:eastAsia="Times New Roman"/>
                  <w:sz w:val="22"/>
                  <w:szCs w:val="22"/>
                </w:rPr>
                <w:delText>Alteração</w:delText>
              </w:r>
              <w:r w:rsidRPr="00475D7E">
                <w:rPr>
                  <w:rFonts w:eastAsia="Times New Roman"/>
                  <w:sz w:val="22"/>
                  <w:szCs w:val="22"/>
                </w:rPr>
                <w:delText xml:space="preserve"> percentual na </w:delText>
              </w:r>
              <w:r>
                <w:rPr>
                  <w:rFonts w:eastAsia="Times New Roman"/>
                  <w:sz w:val="22"/>
                  <w:szCs w:val="22"/>
                </w:rPr>
                <w:delText xml:space="preserve">Avaliação Ungueal Total </w:delText>
              </w:r>
              <w:r w:rsidRPr="00475D7E">
                <w:rPr>
                  <w:rFonts w:eastAsia="Times New Roman"/>
                  <w:sz w:val="22"/>
                  <w:szCs w:val="22"/>
                </w:rPr>
                <w:delText xml:space="preserve"> NAPSI (%)</w:delText>
              </w:r>
            </w:del>
          </w:p>
        </w:tc>
        <w:tc>
          <w:tcPr>
            <w:tcW w:w="1080" w:type="dxa"/>
          </w:tcPr>
          <w:p w14:paraId="1F6FDE53" w14:textId="71ACC73B" w:rsidR="004462A0" w:rsidRPr="00AD4F25" w:rsidRDefault="00615769" w:rsidP="00F675CF">
            <w:pPr>
              <w:jc w:val="center"/>
              <w:rPr>
                <w:del w:id="2451" w:author="AbbVie2" w:date="2025-05-13T16:36:00Z"/>
                <w:rFonts w:eastAsia="Times New Roman"/>
                <w:sz w:val="22"/>
                <w:szCs w:val="22"/>
                <w:rPrChange w:id="2452" w:author="AbbVie2" w:date="2025-05-14T10:17:00Z">
                  <w:rPr>
                    <w:del w:id="2453" w:author="AbbVie2" w:date="2025-05-13T16:36:00Z"/>
                    <w:rFonts w:eastAsia="Times New Roman"/>
                    <w:sz w:val="22"/>
                    <w:szCs w:val="22"/>
                    <w:lang w:val="en-US"/>
                  </w:rPr>
                </w:rPrChange>
              </w:rPr>
            </w:pPr>
            <w:del w:id="2454" w:author="AbbVie2" w:date="2025-05-13T16:36:00Z">
              <w:r w:rsidRPr="00AD4F25">
                <w:rPr>
                  <w:rFonts w:eastAsia="Times New Roman"/>
                  <w:sz w:val="22"/>
                  <w:szCs w:val="22"/>
                  <w:rPrChange w:id="2455" w:author="AbbVie2" w:date="2025-05-14T10:17:00Z">
                    <w:rPr>
                      <w:rFonts w:eastAsia="Times New Roman"/>
                      <w:sz w:val="22"/>
                      <w:szCs w:val="22"/>
                      <w:lang w:val="en-US"/>
                    </w:rPr>
                  </w:rPrChange>
                </w:rPr>
                <w:delText>-7,8</w:delText>
              </w:r>
            </w:del>
          </w:p>
        </w:tc>
        <w:tc>
          <w:tcPr>
            <w:tcW w:w="1260" w:type="dxa"/>
          </w:tcPr>
          <w:p w14:paraId="21B0DC96" w14:textId="46FD2589" w:rsidR="004462A0" w:rsidRPr="00AD4F25" w:rsidRDefault="00615769" w:rsidP="00F675CF">
            <w:pPr>
              <w:jc w:val="center"/>
              <w:rPr>
                <w:del w:id="2456" w:author="AbbVie2" w:date="2025-05-13T16:36:00Z"/>
                <w:rFonts w:eastAsia="Times New Roman"/>
                <w:sz w:val="22"/>
                <w:szCs w:val="22"/>
                <w:rPrChange w:id="2457" w:author="AbbVie2" w:date="2025-05-14T10:17:00Z">
                  <w:rPr>
                    <w:del w:id="2458" w:author="AbbVie2" w:date="2025-05-13T16:36:00Z"/>
                    <w:rFonts w:eastAsia="Times New Roman"/>
                    <w:sz w:val="22"/>
                    <w:szCs w:val="22"/>
                    <w:lang w:val="en-US"/>
                  </w:rPr>
                </w:rPrChange>
              </w:rPr>
            </w:pPr>
            <w:del w:id="2459" w:author="AbbVie2" w:date="2025-05-13T16:36:00Z">
              <w:r w:rsidRPr="00AD4F25">
                <w:rPr>
                  <w:rFonts w:eastAsia="Times New Roman"/>
                  <w:sz w:val="22"/>
                  <w:szCs w:val="22"/>
                  <w:rPrChange w:id="2460" w:author="AbbVie2" w:date="2025-05-14T10:17:00Z">
                    <w:rPr>
                      <w:rFonts w:eastAsia="Times New Roman"/>
                      <w:sz w:val="22"/>
                      <w:szCs w:val="22"/>
                      <w:lang w:val="en-US"/>
                    </w:rPr>
                  </w:rPrChange>
                </w:rPr>
                <w:delText>-44,2</w:delText>
              </w:r>
              <w:r w:rsidRPr="00AD4F25">
                <w:rPr>
                  <w:rFonts w:eastAsia="Times New Roman"/>
                  <w:sz w:val="22"/>
                  <w:szCs w:val="22"/>
                  <w:vertAlign w:val="superscript"/>
                  <w:rPrChange w:id="2461" w:author="AbbVie2" w:date="2025-05-14T10:17:00Z">
                    <w:rPr>
                      <w:rFonts w:eastAsia="Times New Roman"/>
                      <w:sz w:val="22"/>
                      <w:szCs w:val="22"/>
                      <w:vertAlign w:val="superscript"/>
                      <w:lang w:val="en-US"/>
                    </w:rPr>
                  </w:rPrChange>
                </w:rPr>
                <w:delText xml:space="preserve"> a</w:delText>
              </w:r>
            </w:del>
          </w:p>
        </w:tc>
        <w:tc>
          <w:tcPr>
            <w:tcW w:w="990" w:type="dxa"/>
          </w:tcPr>
          <w:p w14:paraId="190B3672" w14:textId="69EFCC26" w:rsidR="004462A0" w:rsidRPr="00AD4F25" w:rsidRDefault="00615769" w:rsidP="00F675CF">
            <w:pPr>
              <w:keepNext/>
              <w:tabs>
                <w:tab w:val="left" w:pos="562"/>
              </w:tabs>
              <w:suppressAutoHyphens/>
              <w:jc w:val="center"/>
              <w:rPr>
                <w:del w:id="2462" w:author="AbbVie2" w:date="2025-05-13T16:36:00Z"/>
                <w:rFonts w:eastAsia="Times New Roman"/>
                <w:sz w:val="22"/>
                <w:szCs w:val="22"/>
                <w:rPrChange w:id="2463" w:author="AbbVie2" w:date="2025-05-14T10:17:00Z">
                  <w:rPr>
                    <w:del w:id="2464" w:author="AbbVie2" w:date="2025-05-13T16:36:00Z"/>
                    <w:rFonts w:eastAsia="Times New Roman"/>
                    <w:sz w:val="22"/>
                    <w:szCs w:val="22"/>
                    <w:lang w:val="en-US"/>
                  </w:rPr>
                </w:rPrChange>
              </w:rPr>
            </w:pPr>
            <w:del w:id="2465" w:author="AbbVie2" w:date="2025-05-13T16:36:00Z">
              <w:r w:rsidRPr="00AD4F25">
                <w:rPr>
                  <w:rFonts w:eastAsia="Times New Roman"/>
                  <w:sz w:val="22"/>
                  <w:szCs w:val="22"/>
                  <w:rPrChange w:id="2466" w:author="AbbVie2" w:date="2025-05-14T10:17:00Z">
                    <w:rPr>
                      <w:rFonts w:eastAsia="Times New Roman"/>
                      <w:sz w:val="22"/>
                      <w:szCs w:val="22"/>
                      <w:lang w:val="en-US"/>
                    </w:rPr>
                  </w:rPrChange>
                </w:rPr>
                <w:delText>-11,5</w:delText>
              </w:r>
            </w:del>
          </w:p>
        </w:tc>
        <w:tc>
          <w:tcPr>
            <w:tcW w:w="1260" w:type="dxa"/>
          </w:tcPr>
          <w:p w14:paraId="5E345F9F" w14:textId="765FD92E" w:rsidR="004462A0" w:rsidRPr="00AD4F25" w:rsidRDefault="00615769" w:rsidP="00F675CF">
            <w:pPr>
              <w:keepNext/>
              <w:tabs>
                <w:tab w:val="left" w:pos="562"/>
              </w:tabs>
              <w:suppressAutoHyphens/>
              <w:jc w:val="center"/>
              <w:rPr>
                <w:del w:id="2467" w:author="AbbVie2" w:date="2025-05-13T16:36:00Z"/>
                <w:rFonts w:eastAsia="Times New Roman"/>
                <w:sz w:val="22"/>
                <w:szCs w:val="22"/>
                <w:rPrChange w:id="2468" w:author="AbbVie2" w:date="2025-05-14T10:17:00Z">
                  <w:rPr>
                    <w:del w:id="2469" w:author="AbbVie2" w:date="2025-05-13T16:36:00Z"/>
                    <w:rFonts w:eastAsia="Times New Roman"/>
                    <w:sz w:val="22"/>
                    <w:szCs w:val="22"/>
                    <w:lang w:val="en-US"/>
                  </w:rPr>
                </w:rPrChange>
              </w:rPr>
            </w:pPr>
            <w:del w:id="2470" w:author="AbbVie2" w:date="2025-05-13T16:36:00Z">
              <w:r w:rsidRPr="00AD4F25">
                <w:rPr>
                  <w:rFonts w:eastAsia="Times New Roman"/>
                  <w:sz w:val="22"/>
                  <w:szCs w:val="22"/>
                  <w:rPrChange w:id="2471" w:author="AbbVie2" w:date="2025-05-14T10:17:00Z">
                    <w:rPr>
                      <w:rFonts w:eastAsia="Times New Roman"/>
                      <w:sz w:val="22"/>
                      <w:szCs w:val="22"/>
                      <w:lang w:val="en-US"/>
                    </w:rPr>
                  </w:rPrChange>
                </w:rPr>
                <w:delText>-56,2</w:delText>
              </w:r>
              <w:r w:rsidRPr="00AD4F25">
                <w:rPr>
                  <w:rFonts w:eastAsia="Times New Roman"/>
                  <w:sz w:val="22"/>
                  <w:szCs w:val="22"/>
                  <w:vertAlign w:val="superscript"/>
                  <w:rPrChange w:id="2472" w:author="AbbVie2" w:date="2025-05-14T10:17:00Z">
                    <w:rPr>
                      <w:rFonts w:eastAsia="Times New Roman"/>
                      <w:sz w:val="22"/>
                      <w:szCs w:val="22"/>
                      <w:vertAlign w:val="superscript"/>
                      <w:lang w:val="en-US"/>
                    </w:rPr>
                  </w:rPrChange>
                </w:rPr>
                <w:delText>a</w:delText>
              </w:r>
            </w:del>
          </w:p>
        </w:tc>
        <w:tc>
          <w:tcPr>
            <w:tcW w:w="2014" w:type="dxa"/>
          </w:tcPr>
          <w:p w14:paraId="1A45370C" w14:textId="6BE4D697" w:rsidR="004462A0" w:rsidRPr="00AD4F25" w:rsidRDefault="00615769" w:rsidP="00F675CF">
            <w:pPr>
              <w:jc w:val="center"/>
              <w:rPr>
                <w:del w:id="2473" w:author="AbbVie2" w:date="2025-05-13T16:36:00Z"/>
                <w:rFonts w:eastAsia="Times New Roman"/>
                <w:sz w:val="22"/>
                <w:szCs w:val="22"/>
                <w:rPrChange w:id="2474" w:author="AbbVie2" w:date="2025-05-14T10:17:00Z">
                  <w:rPr>
                    <w:del w:id="2475" w:author="AbbVie2" w:date="2025-05-13T16:36:00Z"/>
                    <w:rFonts w:eastAsia="Times New Roman"/>
                    <w:sz w:val="22"/>
                    <w:szCs w:val="22"/>
                    <w:lang w:val="en-US"/>
                  </w:rPr>
                </w:rPrChange>
              </w:rPr>
            </w:pPr>
            <w:del w:id="2476" w:author="AbbVie2" w:date="2025-05-13T16:36:00Z">
              <w:r w:rsidRPr="00AD4F25">
                <w:rPr>
                  <w:rFonts w:eastAsia="Times New Roman"/>
                  <w:sz w:val="22"/>
                  <w:szCs w:val="22"/>
                  <w:rPrChange w:id="2477" w:author="AbbVie2" w:date="2025-05-14T10:17:00Z">
                    <w:rPr>
                      <w:rFonts w:eastAsia="Times New Roman"/>
                      <w:sz w:val="22"/>
                      <w:szCs w:val="22"/>
                      <w:lang w:val="en-US"/>
                    </w:rPr>
                  </w:rPrChange>
                </w:rPr>
                <w:delText>-72,2</w:delText>
              </w:r>
            </w:del>
          </w:p>
        </w:tc>
      </w:tr>
      <w:tr w:rsidR="00A7162A" w14:paraId="4A10701F" w14:textId="2056DFFE" w:rsidTr="00F675CF">
        <w:trPr>
          <w:del w:id="2478" w:author="AbbVie2" w:date="2025-05-13T16:36:00Z"/>
        </w:trPr>
        <w:tc>
          <w:tcPr>
            <w:tcW w:w="9322" w:type="dxa"/>
            <w:gridSpan w:val="6"/>
          </w:tcPr>
          <w:p w14:paraId="5B96FA62" w14:textId="2654DAB4" w:rsidR="004462A0" w:rsidRPr="00612E98" w:rsidRDefault="00615769" w:rsidP="00F675CF">
            <w:pPr>
              <w:rPr>
                <w:del w:id="2479" w:author="AbbVie2" w:date="2025-05-13T16:36:00Z"/>
                <w:rFonts w:eastAsia="Times New Roman"/>
                <w:sz w:val="22"/>
                <w:szCs w:val="22"/>
              </w:rPr>
            </w:pPr>
            <w:del w:id="2480" w:author="AbbVie2" w:date="2025-05-13T16:36:00Z">
              <w:r w:rsidRPr="00612E98">
                <w:rPr>
                  <w:rFonts w:eastAsia="Times New Roman"/>
                  <w:sz w:val="22"/>
                  <w:szCs w:val="22"/>
                  <w:vertAlign w:val="superscript"/>
                </w:rPr>
                <w:delText>a</w:delText>
              </w:r>
              <w:r w:rsidRPr="00612E98">
                <w:rPr>
                  <w:rFonts w:eastAsia="Times New Roman"/>
                  <w:sz w:val="22"/>
                  <w:szCs w:val="22"/>
                </w:rPr>
                <w:delText xml:space="preserve"> p&lt;</w:delText>
              </w:r>
              <w:r>
                <w:rPr>
                  <w:rFonts w:eastAsia="Times New Roman"/>
                  <w:sz w:val="22"/>
                  <w:szCs w:val="22"/>
                </w:rPr>
                <w:delText> </w:delText>
              </w:r>
              <w:r w:rsidRPr="00612E98">
                <w:rPr>
                  <w:rFonts w:eastAsia="Times New Roman"/>
                  <w:sz w:val="22"/>
                  <w:szCs w:val="22"/>
                </w:rPr>
                <w:delText>0</w:delText>
              </w:r>
              <w:r w:rsidR="009343EF">
                <w:rPr>
                  <w:rFonts w:eastAsia="Times New Roman"/>
                  <w:sz w:val="22"/>
                  <w:szCs w:val="22"/>
                </w:rPr>
                <w:delText>,</w:delText>
              </w:r>
              <w:r w:rsidRPr="00612E98">
                <w:rPr>
                  <w:rFonts w:eastAsia="Times New Roman"/>
                  <w:sz w:val="22"/>
                  <w:szCs w:val="22"/>
                </w:rPr>
                <w:delText xml:space="preserve">001, Humira </w:delText>
              </w:r>
              <w:r w:rsidRPr="00612E98">
                <w:rPr>
                  <w:rFonts w:eastAsia="Times New Roman"/>
                  <w:i/>
                  <w:sz w:val="22"/>
                  <w:szCs w:val="22"/>
                </w:rPr>
                <w:delText>vs.</w:delText>
              </w:r>
              <w:r w:rsidRPr="00612E98">
                <w:rPr>
                  <w:rFonts w:eastAsia="Times New Roman"/>
                  <w:sz w:val="22"/>
                  <w:szCs w:val="22"/>
                </w:rPr>
                <w:delText xml:space="preserve"> placebo </w:delText>
              </w:r>
            </w:del>
          </w:p>
        </w:tc>
      </w:tr>
    </w:tbl>
    <w:p w14:paraId="73AA2C07" w14:textId="3FDBDA61" w:rsidR="004462A0" w:rsidRPr="00612E98" w:rsidRDefault="004462A0" w:rsidP="004462A0">
      <w:pPr>
        <w:rPr>
          <w:del w:id="2481" w:author="AbbVie2" w:date="2025-05-13T16:36:00Z"/>
          <w:rFonts w:eastAsia="Times New Roman"/>
          <w:sz w:val="22"/>
          <w:szCs w:val="22"/>
        </w:rPr>
      </w:pPr>
    </w:p>
    <w:p w14:paraId="6267EF6B" w14:textId="185BEC7C" w:rsidR="004462A0" w:rsidRPr="00CB25CC" w:rsidRDefault="00615769" w:rsidP="004462A0">
      <w:pPr>
        <w:tabs>
          <w:tab w:val="left" w:pos="562"/>
        </w:tabs>
        <w:suppressAutoHyphens/>
        <w:rPr>
          <w:del w:id="2482" w:author="AbbVie2" w:date="2025-05-13T16:36:00Z"/>
          <w:rFonts w:eastAsia="Times New Roman"/>
          <w:sz w:val="22"/>
          <w:szCs w:val="22"/>
        </w:rPr>
      </w:pPr>
      <w:del w:id="2483" w:author="AbbVie2" w:date="2025-05-13T16:36:00Z">
        <w:r w:rsidRPr="00CB25CC">
          <w:rPr>
            <w:rFonts w:eastAsia="Times New Roman"/>
            <w:sz w:val="22"/>
            <w:szCs w:val="22"/>
          </w:rPr>
          <w:delText>Os doentes tratados com Humira revelaram melho</w:delText>
        </w:r>
        <w:r>
          <w:rPr>
            <w:rFonts w:eastAsia="Times New Roman"/>
            <w:sz w:val="22"/>
            <w:szCs w:val="22"/>
          </w:rPr>
          <w:delText>ri</w:delText>
        </w:r>
        <w:r w:rsidRPr="00CB25CC">
          <w:rPr>
            <w:rFonts w:eastAsia="Times New Roman"/>
            <w:sz w:val="22"/>
            <w:szCs w:val="22"/>
          </w:rPr>
          <w:delText>as estatisticamente significativas</w:delText>
        </w:r>
        <w:r>
          <w:rPr>
            <w:rFonts w:eastAsia="Times New Roman"/>
            <w:sz w:val="22"/>
            <w:szCs w:val="22"/>
          </w:rPr>
          <w:delText xml:space="preserve"> à Semana 26 comparativamente com placebo</w:delText>
        </w:r>
        <w:r w:rsidR="008F2FAC">
          <w:rPr>
            <w:rFonts w:eastAsia="Times New Roman"/>
            <w:sz w:val="22"/>
            <w:szCs w:val="22"/>
          </w:rPr>
          <w:delText xml:space="preserve"> no</w:delText>
        </w:r>
        <w:r w:rsidRPr="008912CF">
          <w:rPr>
            <w:sz w:val="22"/>
            <w:szCs w:val="22"/>
          </w:rPr>
          <w:delText xml:space="preserve"> </w:delText>
        </w:r>
        <w:r w:rsidRPr="008912CF">
          <w:rPr>
            <w:i/>
            <w:sz w:val="22"/>
            <w:szCs w:val="22"/>
          </w:rPr>
          <w:delText xml:space="preserve">Dermatology Life Quality Index </w:delText>
        </w:r>
        <w:r w:rsidRPr="008912CF">
          <w:rPr>
            <w:sz w:val="22"/>
            <w:szCs w:val="22"/>
          </w:rPr>
          <w:delText>(DLQI</w:delText>
        </w:r>
        <w:r>
          <w:rPr>
            <w:sz w:val="22"/>
            <w:szCs w:val="22"/>
          </w:rPr>
          <w:delText>)</w:delText>
        </w:r>
        <w:r w:rsidRPr="00CB25CC">
          <w:rPr>
            <w:rFonts w:eastAsia="Times New Roman"/>
            <w:sz w:val="22"/>
            <w:szCs w:val="22"/>
          </w:rPr>
          <w:delText xml:space="preserve">. </w:delText>
        </w:r>
      </w:del>
    </w:p>
    <w:p w14:paraId="4858C4D8" w14:textId="198C0F8A" w:rsidR="004462A0" w:rsidRDefault="004462A0" w:rsidP="004462A0">
      <w:pPr>
        <w:rPr>
          <w:del w:id="2484" w:author="AbbVie2" w:date="2025-05-13T16:36:00Z"/>
          <w:bCs/>
          <w:iCs/>
          <w:sz w:val="22"/>
          <w:szCs w:val="22"/>
        </w:rPr>
      </w:pPr>
    </w:p>
    <w:p w14:paraId="10847EAB" w14:textId="20B61007" w:rsidR="004462A0" w:rsidRPr="00756D1A" w:rsidRDefault="00615769" w:rsidP="004462A0">
      <w:pPr>
        <w:rPr>
          <w:del w:id="2485" w:author="AbbVie2" w:date="2025-05-13T16:36:00Z"/>
          <w:i/>
          <w:sz w:val="22"/>
          <w:szCs w:val="22"/>
        </w:rPr>
      </w:pPr>
      <w:del w:id="2486" w:author="AbbVie2" w:date="2025-05-13T16:36:00Z">
        <w:r w:rsidRPr="00756D1A">
          <w:rPr>
            <w:i/>
            <w:sz w:val="22"/>
            <w:szCs w:val="22"/>
          </w:rPr>
          <w:delText>Hidradenite supurativa no a</w:delText>
        </w:r>
        <w:r>
          <w:rPr>
            <w:i/>
            <w:sz w:val="22"/>
            <w:szCs w:val="22"/>
          </w:rPr>
          <w:delText>dulto</w:delText>
        </w:r>
      </w:del>
    </w:p>
    <w:p w14:paraId="45FC24B0" w14:textId="03919558" w:rsidR="004462A0" w:rsidRDefault="004462A0" w:rsidP="004462A0">
      <w:pPr>
        <w:rPr>
          <w:del w:id="2487" w:author="AbbVie2" w:date="2025-05-13T16:36:00Z"/>
          <w:b/>
          <w:sz w:val="22"/>
          <w:szCs w:val="22"/>
        </w:rPr>
      </w:pPr>
    </w:p>
    <w:p w14:paraId="7518411C" w14:textId="79DC5014" w:rsidR="004462A0" w:rsidRPr="008912CF" w:rsidRDefault="00615769" w:rsidP="004462A0">
      <w:pPr>
        <w:rPr>
          <w:del w:id="2488" w:author="AbbVie2" w:date="2025-05-13T16:36:00Z"/>
          <w:sz w:val="22"/>
          <w:szCs w:val="22"/>
        </w:rPr>
      </w:pPr>
      <w:del w:id="2489" w:author="AbbVie2" w:date="2025-05-13T16:36:00Z">
        <w:r w:rsidRPr="008912CF">
          <w:rPr>
            <w:sz w:val="22"/>
            <w:szCs w:val="22"/>
          </w:rPr>
          <w:delText xml:space="preserve">A segurança e eficácia de Humira foram avaliadas em estudos </w:delText>
        </w:r>
        <w:r w:rsidR="0013275C">
          <w:rPr>
            <w:sz w:val="22"/>
            <w:szCs w:val="22"/>
          </w:rPr>
          <w:delText>aleatorizado</w:delText>
        </w:r>
        <w:r w:rsidRPr="008912CF">
          <w:rPr>
            <w:sz w:val="22"/>
            <w:szCs w:val="22"/>
          </w:rPr>
          <w:delText>s, em dupla ocultação, controlado</w:delText>
        </w:r>
        <w:r w:rsidR="00D93157">
          <w:rPr>
            <w:sz w:val="22"/>
            <w:szCs w:val="22"/>
          </w:rPr>
          <w:delText>s</w:delText>
        </w:r>
        <w:r w:rsidRPr="008912CF">
          <w:rPr>
            <w:sz w:val="22"/>
            <w:szCs w:val="22"/>
          </w:rPr>
          <w:delText xml:space="preserve"> por placebo e num estudo de extensão de fase aberta, em doentes adultos com hidradenite supurativa (HS) moderada a grave, que eram intolerantes, contraindicados ou com uma resposta inadequada a pelo menos 3 meses de antibioterapia sistémica. Os doentes nos estudos HS-I e HS-II tinham doença em estadio de Hurley II ou III, com pelo menos 3 abcessos ou nódulos inflamatórios.</w:delText>
        </w:r>
      </w:del>
    </w:p>
    <w:p w14:paraId="3E86D2D2" w14:textId="13F8F65F" w:rsidR="004462A0" w:rsidRPr="008912CF" w:rsidRDefault="004462A0" w:rsidP="004462A0">
      <w:pPr>
        <w:rPr>
          <w:del w:id="2490" w:author="AbbVie2" w:date="2025-05-13T16:36:00Z"/>
          <w:sz w:val="22"/>
          <w:szCs w:val="22"/>
        </w:rPr>
      </w:pPr>
    </w:p>
    <w:p w14:paraId="5552A1AC" w14:textId="1F3DB4B6" w:rsidR="004462A0" w:rsidRPr="008912CF" w:rsidRDefault="00615769" w:rsidP="004462A0">
      <w:pPr>
        <w:rPr>
          <w:del w:id="2491" w:author="AbbVie2" w:date="2025-05-13T16:36:00Z"/>
          <w:sz w:val="22"/>
          <w:szCs w:val="22"/>
        </w:rPr>
      </w:pPr>
      <w:del w:id="2492" w:author="AbbVie2" w:date="2025-05-13T16:36:00Z">
        <w:r w:rsidRPr="008912CF">
          <w:rPr>
            <w:sz w:val="22"/>
            <w:szCs w:val="22"/>
          </w:rPr>
          <w:delText>No estudo HS-I (PIONEER I) foram avaliados 307 doentes em 2 períodos de tratamento. No período A, os doentes receberam placebo ou Humira, numa dose inicial de 160 mg na Semana 0, 80 mg na Semana 2 e 40 mg por semana</w:delText>
        </w:r>
        <w:r w:rsidR="0082206C">
          <w:rPr>
            <w:sz w:val="22"/>
            <w:szCs w:val="22"/>
          </w:rPr>
          <w:delText>,</w:delText>
        </w:r>
        <w:r w:rsidRPr="008912CF">
          <w:rPr>
            <w:sz w:val="22"/>
            <w:szCs w:val="22"/>
          </w:rPr>
          <w:delText xml:space="preserve"> </w:delText>
        </w:r>
        <w:r w:rsidR="0082206C">
          <w:rPr>
            <w:sz w:val="22"/>
            <w:szCs w:val="22"/>
          </w:rPr>
          <w:delText>d</w:delText>
        </w:r>
        <w:r w:rsidRPr="008912CF">
          <w:rPr>
            <w:sz w:val="22"/>
            <w:szCs w:val="22"/>
          </w:rPr>
          <w:delText>a semana 4 à semana 11. O uso concomitante de antibióticos não foi permitido durante o estudo. Após 12 semanas de tratamento, os doentes que receberam Humira no Período A foram re-</w:delText>
        </w:r>
        <w:r w:rsidR="0013275C">
          <w:rPr>
            <w:sz w:val="22"/>
            <w:szCs w:val="22"/>
          </w:rPr>
          <w:delText>aleatorizado</w:delText>
        </w:r>
        <w:r w:rsidRPr="008912CF">
          <w:rPr>
            <w:sz w:val="22"/>
            <w:szCs w:val="22"/>
          </w:rPr>
          <w:delText xml:space="preserve">s no Período B para 1 de 3 grupos de tratamento (Humira 40 mg todas as semanas, Humira 40 mg em semanas alternadas, ou placebo da Semana 12 à Semana 35). Os doentes que foram </w:delText>
        </w:r>
        <w:r w:rsidR="0013275C">
          <w:rPr>
            <w:sz w:val="22"/>
            <w:szCs w:val="22"/>
          </w:rPr>
          <w:delText>aleatorizado</w:delText>
        </w:r>
        <w:r w:rsidRPr="008912CF">
          <w:rPr>
            <w:sz w:val="22"/>
            <w:szCs w:val="22"/>
          </w:rPr>
          <w:delText>s para placebo no Período A, receberam Humira 40 mg todas as semanas no período B.</w:delText>
        </w:r>
      </w:del>
    </w:p>
    <w:p w14:paraId="5E112617" w14:textId="1D4A5C52" w:rsidR="004462A0" w:rsidRPr="008912CF" w:rsidRDefault="004462A0" w:rsidP="004462A0">
      <w:pPr>
        <w:rPr>
          <w:del w:id="2493" w:author="AbbVie2" w:date="2025-05-13T16:36:00Z"/>
          <w:sz w:val="22"/>
          <w:szCs w:val="22"/>
        </w:rPr>
      </w:pPr>
    </w:p>
    <w:p w14:paraId="52EF1BB1" w14:textId="50EFB3D0" w:rsidR="004462A0" w:rsidRPr="008912CF" w:rsidRDefault="00615769" w:rsidP="004462A0">
      <w:pPr>
        <w:rPr>
          <w:del w:id="2494" w:author="AbbVie2" w:date="2025-05-13T16:36:00Z"/>
          <w:sz w:val="22"/>
          <w:szCs w:val="22"/>
        </w:rPr>
      </w:pPr>
      <w:del w:id="2495" w:author="AbbVie2" w:date="2025-05-13T16:36:00Z">
        <w:r w:rsidRPr="008912CF">
          <w:rPr>
            <w:sz w:val="22"/>
            <w:szCs w:val="22"/>
          </w:rPr>
          <w:delText>No estudo HS-II (PIONEER II) foram avaliados 326 doentes em 2 períodos de tratamento. No Período A, os doentes receberam placebo ou Humira numa dose inicial de 160 mg na Semana 0 e 80 mg na Semana 2 e 40 mg por semana, da Semana 4 à Semana 11. 19,3</w:delText>
        </w:r>
        <w:r w:rsidR="009343EF">
          <w:rPr>
            <w:sz w:val="22"/>
            <w:szCs w:val="22"/>
          </w:rPr>
          <w:delText>%</w:delText>
        </w:r>
        <w:r w:rsidRPr="008912CF">
          <w:rPr>
            <w:sz w:val="22"/>
            <w:szCs w:val="22"/>
          </w:rPr>
          <w:delText xml:space="preserve"> dos doentes continuaram antibioterapia oral durante o estudo. Após 12 semanas de tratamento, os doentes que receberam Humira no Período A foram re-</w:delText>
        </w:r>
        <w:r w:rsidR="0013275C">
          <w:rPr>
            <w:sz w:val="22"/>
            <w:szCs w:val="22"/>
          </w:rPr>
          <w:delText>aleatorizado</w:delText>
        </w:r>
        <w:r w:rsidR="0082206C">
          <w:rPr>
            <w:sz w:val="22"/>
            <w:szCs w:val="22"/>
          </w:rPr>
          <w:delText>s</w:delText>
        </w:r>
        <w:r w:rsidRPr="008912CF">
          <w:rPr>
            <w:sz w:val="22"/>
            <w:szCs w:val="22"/>
          </w:rPr>
          <w:delText xml:space="preserve"> no Período B para 1 de 3 grupos de tratamento (Humira 40 mg todas as semanas, Humira 40 mg em semanas alternadas, ou placebo da Semana 12 à Semana 35). Os doentes que foram </w:delText>
        </w:r>
        <w:r w:rsidR="0013275C">
          <w:rPr>
            <w:sz w:val="22"/>
            <w:szCs w:val="22"/>
          </w:rPr>
          <w:delText>aleatorizado</w:delText>
        </w:r>
        <w:r w:rsidRPr="008912CF">
          <w:rPr>
            <w:sz w:val="22"/>
            <w:szCs w:val="22"/>
          </w:rPr>
          <w:delText>s para placebo no Período A, receberam placebo no período B.</w:delText>
        </w:r>
      </w:del>
    </w:p>
    <w:p w14:paraId="3A063F40" w14:textId="16D20D27" w:rsidR="004462A0" w:rsidRPr="008912CF" w:rsidRDefault="004462A0" w:rsidP="004462A0">
      <w:pPr>
        <w:rPr>
          <w:del w:id="2496" w:author="AbbVie2" w:date="2025-05-13T16:36:00Z"/>
          <w:sz w:val="22"/>
          <w:szCs w:val="22"/>
        </w:rPr>
      </w:pPr>
    </w:p>
    <w:p w14:paraId="1CB54DF3" w14:textId="27EDB16D" w:rsidR="004462A0" w:rsidRPr="008912CF" w:rsidRDefault="00615769" w:rsidP="004462A0">
      <w:pPr>
        <w:rPr>
          <w:del w:id="2497" w:author="AbbVie2" w:date="2025-05-13T16:36:00Z"/>
          <w:sz w:val="22"/>
          <w:szCs w:val="22"/>
        </w:rPr>
      </w:pPr>
      <w:del w:id="2498" w:author="AbbVie2" w:date="2025-05-13T16:36:00Z">
        <w:r w:rsidRPr="008912CF">
          <w:rPr>
            <w:sz w:val="22"/>
            <w:szCs w:val="22"/>
          </w:rPr>
          <w:delText xml:space="preserve">Os doentes que participaram nos estudos HS-I e HS-II foram elegíveis para participação num estudo de extensão de fase aberta, no qual Humira 40 mg foi administrado todas as semanas. </w:delText>
        </w:r>
        <w:r w:rsidR="004D5D22">
          <w:rPr>
            <w:sz w:val="22"/>
            <w:szCs w:val="22"/>
          </w:rPr>
          <w:delText xml:space="preserve">A exposição média em toda a população de adalimumab foi de 762 dias. </w:delText>
        </w:r>
        <w:r w:rsidRPr="008912CF">
          <w:rPr>
            <w:sz w:val="22"/>
            <w:szCs w:val="22"/>
          </w:rPr>
          <w:delText>Nos três estudos, os doentes usaram anti-séptico tópico de lavagem diária.</w:delText>
        </w:r>
      </w:del>
    </w:p>
    <w:p w14:paraId="727C12A1" w14:textId="64BC6FD9" w:rsidR="004462A0" w:rsidRDefault="004462A0" w:rsidP="004462A0">
      <w:pPr>
        <w:rPr>
          <w:del w:id="2499" w:author="AbbVie2" w:date="2025-05-13T16:36:00Z"/>
          <w:sz w:val="22"/>
          <w:szCs w:val="22"/>
        </w:rPr>
      </w:pPr>
    </w:p>
    <w:p w14:paraId="1CE3A2E7" w14:textId="3F0B732E" w:rsidR="004462A0" w:rsidRPr="008912CF" w:rsidRDefault="00615769" w:rsidP="004462A0">
      <w:pPr>
        <w:rPr>
          <w:del w:id="2500" w:author="AbbVie2" w:date="2025-05-13T16:36:00Z"/>
          <w:i/>
          <w:sz w:val="22"/>
          <w:szCs w:val="22"/>
          <w:u w:val="single"/>
        </w:rPr>
      </w:pPr>
      <w:del w:id="2501" w:author="AbbVie2" w:date="2025-05-13T16:36:00Z">
        <w:r w:rsidRPr="008912CF">
          <w:rPr>
            <w:i/>
            <w:sz w:val="22"/>
            <w:szCs w:val="22"/>
            <w:u w:val="single"/>
          </w:rPr>
          <w:delText>Resposta clínica</w:delText>
        </w:r>
      </w:del>
    </w:p>
    <w:p w14:paraId="63ED277F" w14:textId="354E87B9" w:rsidR="004462A0" w:rsidRPr="008912CF" w:rsidRDefault="004462A0" w:rsidP="004462A0">
      <w:pPr>
        <w:rPr>
          <w:del w:id="2502" w:author="AbbVie2" w:date="2025-05-13T16:36:00Z"/>
          <w:sz w:val="22"/>
          <w:szCs w:val="22"/>
          <w:u w:val="single"/>
        </w:rPr>
      </w:pPr>
    </w:p>
    <w:p w14:paraId="1C111A17" w14:textId="2E8B1DCD" w:rsidR="004462A0" w:rsidRPr="008912CF" w:rsidRDefault="00615769" w:rsidP="004462A0">
      <w:pPr>
        <w:rPr>
          <w:del w:id="2503" w:author="AbbVie2" w:date="2025-05-13T16:36:00Z"/>
          <w:sz w:val="22"/>
          <w:szCs w:val="20"/>
        </w:rPr>
      </w:pPr>
      <w:del w:id="2504" w:author="AbbVie2" w:date="2025-05-13T16:36:00Z">
        <w:r w:rsidRPr="008912CF">
          <w:rPr>
            <w:sz w:val="22"/>
            <w:szCs w:val="20"/>
          </w:rPr>
          <w:delText>A redução de lesões inflamatórias e prevenção do agravamento de abcessos e fístulas drenantes foram avaliadas utilizando o índice</w:delText>
        </w:r>
        <w:r w:rsidRPr="008912CF">
          <w:rPr>
            <w:i/>
            <w:sz w:val="22"/>
            <w:szCs w:val="20"/>
          </w:rPr>
          <w:delText xml:space="preserve"> Hidradenitis Suppurativa Clinical Response</w:delText>
        </w:r>
        <w:r w:rsidRPr="008912CF">
          <w:rPr>
            <w:sz w:val="22"/>
            <w:szCs w:val="20"/>
          </w:rPr>
          <w:delText xml:space="preserve"> (HiSCR; pelo menos 50% de redução na contagem do número total d</w:delText>
        </w:r>
        <w:r w:rsidR="00D93157">
          <w:rPr>
            <w:sz w:val="22"/>
            <w:szCs w:val="20"/>
          </w:rPr>
          <w:delText>e</w:delText>
        </w:r>
        <w:r w:rsidRPr="008912CF">
          <w:rPr>
            <w:sz w:val="22"/>
            <w:szCs w:val="20"/>
          </w:rPr>
          <w:delText xml:space="preserve"> abcessos e nódulos inflamatórios, sem aumento na contagem de abcessos e sem aumento de fístulas drenantes, relativamente ao valor inicial). A redução da dor na pele, relacionada com HS, foi avaliada utilizando uma escala numérica </w:delText>
        </w:r>
        <w:r w:rsidR="0090687D">
          <w:rPr>
            <w:sz w:val="22"/>
            <w:szCs w:val="20"/>
          </w:rPr>
          <w:delText>–</w:delText>
        </w:r>
        <w:r w:rsidRPr="008912CF">
          <w:rPr>
            <w:sz w:val="22"/>
            <w:szCs w:val="20"/>
          </w:rPr>
          <w:delText xml:space="preserve"> </w:delText>
        </w:r>
        <w:r w:rsidRPr="00DF5632">
          <w:rPr>
            <w:i/>
            <w:sz w:val="22"/>
            <w:szCs w:val="20"/>
          </w:rPr>
          <w:delText>Numeric Rating Scale</w:delText>
        </w:r>
        <w:r w:rsidR="009E086D">
          <w:rPr>
            <w:sz w:val="22"/>
            <w:szCs w:val="20"/>
          </w:rPr>
          <w:delText>,</w:delText>
        </w:r>
        <w:r w:rsidRPr="008912CF">
          <w:rPr>
            <w:sz w:val="22"/>
            <w:szCs w:val="20"/>
          </w:rPr>
          <w:delText xml:space="preserve"> em doentes que participaram no estudo com uma pontuação inicial de 3 ou mais, numa escala de 11 pontos.</w:delText>
        </w:r>
      </w:del>
    </w:p>
    <w:p w14:paraId="5722ADDC" w14:textId="2A031DDC" w:rsidR="004462A0" w:rsidRPr="008912CF" w:rsidRDefault="004462A0" w:rsidP="004462A0">
      <w:pPr>
        <w:rPr>
          <w:del w:id="2505" w:author="AbbVie2" w:date="2025-05-13T16:36:00Z"/>
          <w:sz w:val="22"/>
          <w:szCs w:val="20"/>
        </w:rPr>
      </w:pPr>
    </w:p>
    <w:p w14:paraId="6874B207" w14:textId="31B4125B" w:rsidR="004462A0" w:rsidRPr="008912CF" w:rsidRDefault="00615769" w:rsidP="004462A0">
      <w:pPr>
        <w:rPr>
          <w:del w:id="2506" w:author="AbbVie2" w:date="2025-05-13T16:36:00Z"/>
          <w:sz w:val="22"/>
          <w:szCs w:val="20"/>
        </w:rPr>
      </w:pPr>
      <w:del w:id="2507" w:author="AbbVie2" w:date="2025-05-13T16:36:00Z">
        <w:r w:rsidRPr="008912CF">
          <w:rPr>
            <w:sz w:val="22"/>
            <w:szCs w:val="20"/>
          </w:rPr>
          <w:delText xml:space="preserve">Na Semana 12, uma percentagem significativamente superior de doentes tratados com Humira </w:delText>
        </w:r>
        <w:r w:rsidRPr="00DF5632">
          <w:rPr>
            <w:i/>
            <w:sz w:val="22"/>
            <w:szCs w:val="20"/>
          </w:rPr>
          <w:delText>versus</w:delText>
        </w:r>
        <w:r w:rsidRPr="008912CF">
          <w:rPr>
            <w:sz w:val="22"/>
            <w:szCs w:val="20"/>
          </w:rPr>
          <w:delText xml:space="preserve"> placebo alcançaram o HiSCR. Na semana 12, no Estudo HS-II, uma percentagem significativamente superior de doentes apresentaram uma diminuição clinicamente relevante da dor na pele, relacionada com HS (ver Tabela </w:delText>
        </w:r>
        <w:r w:rsidR="00D01EDE">
          <w:rPr>
            <w:sz w:val="22"/>
            <w:szCs w:val="20"/>
          </w:rPr>
          <w:delText>1</w:delText>
        </w:r>
        <w:r w:rsidR="00D105CA">
          <w:rPr>
            <w:sz w:val="22"/>
            <w:szCs w:val="20"/>
          </w:rPr>
          <w:delText>5</w:delText>
        </w:r>
        <w:r w:rsidRPr="008912CF">
          <w:rPr>
            <w:sz w:val="22"/>
            <w:szCs w:val="20"/>
          </w:rPr>
          <w:delText>). Os doentes tratados com Humira apresentaram uma redução significativa do risco de agravamento da doença, durante as primeiras 12 semanas de tratamento.</w:delText>
        </w:r>
      </w:del>
    </w:p>
    <w:p w14:paraId="5FDE9FF7" w14:textId="6430F6DC" w:rsidR="004462A0" w:rsidRPr="008912CF" w:rsidRDefault="004462A0" w:rsidP="004462A0">
      <w:pPr>
        <w:rPr>
          <w:del w:id="2508" w:author="AbbVie2" w:date="2025-05-13T16:36:00Z"/>
          <w:sz w:val="22"/>
          <w:szCs w:val="22"/>
          <w:u w:val="single"/>
        </w:rPr>
      </w:pPr>
    </w:p>
    <w:p w14:paraId="7AABB65F" w14:textId="3CFC2ABB" w:rsidR="004462A0" w:rsidRPr="008912CF" w:rsidRDefault="00615769" w:rsidP="004462A0">
      <w:pPr>
        <w:keepNext/>
        <w:jc w:val="center"/>
        <w:rPr>
          <w:del w:id="2509" w:author="AbbVie2" w:date="2025-05-13T16:36:00Z"/>
          <w:sz w:val="22"/>
          <w:szCs w:val="22"/>
        </w:rPr>
      </w:pPr>
      <w:del w:id="2510" w:author="AbbVie2" w:date="2025-05-13T16:36:00Z">
        <w:r w:rsidRPr="008912CF">
          <w:rPr>
            <w:b/>
            <w:sz w:val="22"/>
            <w:szCs w:val="22"/>
          </w:rPr>
          <w:delText xml:space="preserve">Tabela </w:delText>
        </w:r>
        <w:r w:rsidR="00D01EDE">
          <w:rPr>
            <w:b/>
            <w:sz w:val="22"/>
            <w:szCs w:val="22"/>
          </w:rPr>
          <w:delText>1</w:delText>
        </w:r>
        <w:r w:rsidR="00D105CA">
          <w:rPr>
            <w:b/>
            <w:sz w:val="22"/>
            <w:szCs w:val="22"/>
          </w:rPr>
          <w:delText>5</w:delText>
        </w:r>
        <w:r w:rsidRPr="008912CF">
          <w:rPr>
            <w:b/>
            <w:sz w:val="22"/>
            <w:szCs w:val="22"/>
          </w:rPr>
          <w:delText>: Resultados de eficácia à</w:delText>
        </w:r>
        <w:r w:rsidR="0082206C">
          <w:rPr>
            <w:b/>
            <w:sz w:val="22"/>
            <w:szCs w:val="22"/>
          </w:rPr>
          <w:delText xml:space="preserve"> Semana</w:delText>
        </w:r>
        <w:r w:rsidRPr="008912CF">
          <w:rPr>
            <w:b/>
            <w:sz w:val="22"/>
            <w:szCs w:val="22"/>
          </w:rPr>
          <w:delText xml:space="preserve"> 12, Estudos HS I e II</w:delText>
        </w:r>
      </w:del>
    </w:p>
    <w:p w14:paraId="28804D14" w14:textId="31001257" w:rsidR="004462A0" w:rsidRPr="008912CF" w:rsidRDefault="004462A0" w:rsidP="004462A0">
      <w:pPr>
        <w:keepNext/>
        <w:rPr>
          <w:del w:id="2511" w:author="AbbVie2" w:date="2025-05-13T16:36:00Z"/>
          <w:sz w:val="22"/>
          <w:szCs w:val="22"/>
          <w:u w:val="single"/>
        </w:rPr>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A7162A" w14:paraId="7CF13224" w14:textId="5CBEE4F7" w:rsidTr="00F675CF">
        <w:trPr>
          <w:jc w:val="center"/>
          <w:del w:id="2512" w:author="AbbVie2" w:date="2025-05-13T16:36:00Z"/>
        </w:trPr>
        <w:tc>
          <w:tcPr>
            <w:tcW w:w="2847" w:type="dxa"/>
            <w:vMerge w:val="restart"/>
            <w:tcMar>
              <w:top w:w="0" w:type="dxa"/>
              <w:left w:w="115" w:type="dxa"/>
              <w:bottom w:w="0" w:type="dxa"/>
              <w:right w:w="115" w:type="dxa"/>
            </w:tcMar>
            <w:vAlign w:val="bottom"/>
          </w:tcPr>
          <w:p w14:paraId="5D19C7C3" w14:textId="6ACC553E" w:rsidR="004462A0" w:rsidRPr="008912CF" w:rsidRDefault="004462A0" w:rsidP="00F675CF">
            <w:pPr>
              <w:keepNext/>
              <w:widowControl w:val="0"/>
              <w:tabs>
                <w:tab w:val="left" w:pos="562"/>
                <w:tab w:val="left" w:pos="4120"/>
              </w:tabs>
              <w:suppressAutoHyphens/>
              <w:rPr>
                <w:del w:id="2513" w:author="AbbVie2" w:date="2025-05-13T16:36:00Z"/>
                <w:b/>
                <w:color w:val="000000"/>
                <w:sz w:val="22"/>
              </w:rPr>
            </w:pPr>
          </w:p>
        </w:tc>
        <w:tc>
          <w:tcPr>
            <w:tcW w:w="3186" w:type="dxa"/>
            <w:gridSpan w:val="2"/>
            <w:tcMar>
              <w:top w:w="0" w:type="dxa"/>
              <w:left w:w="115" w:type="dxa"/>
              <w:bottom w:w="0" w:type="dxa"/>
              <w:right w:w="115" w:type="dxa"/>
            </w:tcMar>
            <w:vAlign w:val="bottom"/>
          </w:tcPr>
          <w:p w14:paraId="41117954" w14:textId="5C5A0AC5" w:rsidR="004462A0" w:rsidRPr="008912CF" w:rsidRDefault="00615769" w:rsidP="00F675CF">
            <w:pPr>
              <w:keepNext/>
              <w:widowControl w:val="0"/>
              <w:tabs>
                <w:tab w:val="left" w:pos="562"/>
                <w:tab w:val="left" w:pos="4120"/>
              </w:tabs>
              <w:suppressAutoHyphens/>
              <w:jc w:val="center"/>
              <w:rPr>
                <w:del w:id="2514" w:author="AbbVie2" w:date="2025-05-13T16:36:00Z"/>
                <w:b/>
                <w:bCs/>
                <w:color w:val="000000"/>
                <w:sz w:val="22"/>
              </w:rPr>
            </w:pPr>
            <w:del w:id="2515" w:author="AbbVie2" w:date="2025-05-13T16:36:00Z">
              <w:r w:rsidRPr="008912CF">
                <w:rPr>
                  <w:b/>
                  <w:bCs/>
                  <w:color w:val="000000"/>
                  <w:sz w:val="22"/>
                </w:rPr>
                <w:delText>HS Estudo I</w:delText>
              </w:r>
            </w:del>
          </w:p>
        </w:tc>
        <w:tc>
          <w:tcPr>
            <w:tcW w:w="3260" w:type="dxa"/>
            <w:gridSpan w:val="2"/>
            <w:tcMar>
              <w:top w:w="0" w:type="dxa"/>
              <w:left w:w="115" w:type="dxa"/>
              <w:bottom w:w="0" w:type="dxa"/>
              <w:right w:w="115" w:type="dxa"/>
            </w:tcMar>
            <w:vAlign w:val="bottom"/>
          </w:tcPr>
          <w:p w14:paraId="56685E29" w14:textId="39D93479" w:rsidR="004462A0" w:rsidRPr="008912CF" w:rsidRDefault="00615769" w:rsidP="00F675CF">
            <w:pPr>
              <w:keepNext/>
              <w:widowControl w:val="0"/>
              <w:tabs>
                <w:tab w:val="left" w:pos="562"/>
                <w:tab w:val="left" w:pos="4120"/>
              </w:tabs>
              <w:suppressAutoHyphens/>
              <w:jc w:val="center"/>
              <w:rPr>
                <w:del w:id="2516" w:author="AbbVie2" w:date="2025-05-13T16:36:00Z"/>
                <w:b/>
                <w:bCs/>
                <w:color w:val="000000"/>
                <w:sz w:val="22"/>
              </w:rPr>
            </w:pPr>
            <w:del w:id="2517" w:author="AbbVie2" w:date="2025-05-13T16:36:00Z">
              <w:r w:rsidRPr="008912CF">
                <w:rPr>
                  <w:b/>
                  <w:bCs/>
                  <w:color w:val="000000"/>
                  <w:sz w:val="22"/>
                </w:rPr>
                <w:delText>HS Estudo II</w:delText>
              </w:r>
            </w:del>
          </w:p>
        </w:tc>
      </w:tr>
      <w:tr w:rsidR="00A7162A" w14:paraId="4907919F" w14:textId="61F38E4D" w:rsidTr="00F675CF">
        <w:trPr>
          <w:jc w:val="center"/>
          <w:del w:id="2518" w:author="AbbVie2" w:date="2025-05-13T16:36:00Z"/>
        </w:trPr>
        <w:tc>
          <w:tcPr>
            <w:tcW w:w="2847" w:type="dxa"/>
            <w:vMerge/>
            <w:tcMar>
              <w:top w:w="0" w:type="dxa"/>
              <w:left w:w="115" w:type="dxa"/>
              <w:bottom w:w="0" w:type="dxa"/>
              <w:right w:w="115" w:type="dxa"/>
            </w:tcMar>
            <w:vAlign w:val="center"/>
            <w:hideMark/>
          </w:tcPr>
          <w:p w14:paraId="4C1D9AD2" w14:textId="2262BDDC" w:rsidR="004462A0" w:rsidRPr="008912CF" w:rsidRDefault="004462A0" w:rsidP="00F675CF">
            <w:pPr>
              <w:keepNext/>
              <w:widowControl w:val="0"/>
              <w:tabs>
                <w:tab w:val="left" w:pos="562"/>
                <w:tab w:val="left" w:pos="4120"/>
              </w:tabs>
              <w:suppressAutoHyphens/>
              <w:rPr>
                <w:del w:id="2519" w:author="AbbVie2" w:date="2025-05-13T16:36:00Z"/>
                <w:color w:val="000000"/>
                <w:sz w:val="22"/>
              </w:rPr>
            </w:pPr>
          </w:p>
        </w:tc>
        <w:tc>
          <w:tcPr>
            <w:tcW w:w="1440" w:type="dxa"/>
            <w:tcMar>
              <w:top w:w="0" w:type="dxa"/>
              <w:left w:w="115" w:type="dxa"/>
              <w:bottom w:w="0" w:type="dxa"/>
              <w:right w:w="115" w:type="dxa"/>
            </w:tcMar>
            <w:vAlign w:val="bottom"/>
            <w:hideMark/>
          </w:tcPr>
          <w:p w14:paraId="26C93AFD" w14:textId="2D749894" w:rsidR="004462A0" w:rsidRPr="008912CF" w:rsidRDefault="00615769" w:rsidP="00F675CF">
            <w:pPr>
              <w:keepNext/>
              <w:widowControl w:val="0"/>
              <w:tabs>
                <w:tab w:val="left" w:pos="562"/>
                <w:tab w:val="left" w:pos="4120"/>
              </w:tabs>
              <w:suppressAutoHyphens/>
              <w:jc w:val="center"/>
              <w:rPr>
                <w:del w:id="2520" w:author="AbbVie2" w:date="2025-05-13T16:36:00Z"/>
                <w:color w:val="000000"/>
                <w:sz w:val="22"/>
              </w:rPr>
            </w:pPr>
            <w:del w:id="2521" w:author="AbbVie2" w:date="2025-05-13T16:36:00Z">
              <w:r w:rsidRPr="008912CF">
                <w:rPr>
                  <w:b/>
                  <w:bCs/>
                  <w:color w:val="000000"/>
                  <w:sz w:val="22"/>
                </w:rPr>
                <w:delText>Placebo</w:delText>
              </w:r>
            </w:del>
          </w:p>
        </w:tc>
        <w:tc>
          <w:tcPr>
            <w:tcW w:w="1746" w:type="dxa"/>
            <w:tcMar>
              <w:top w:w="0" w:type="dxa"/>
              <w:left w:w="115" w:type="dxa"/>
              <w:bottom w:w="0" w:type="dxa"/>
              <w:right w:w="115" w:type="dxa"/>
            </w:tcMar>
            <w:vAlign w:val="bottom"/>
            <w:hideMark/>
          </w:tcPr>
          <w:p w14:paraId="10E8C771" w14:textId="52A2FD68" w:rsidR="004462A0" w:rsidRPr="008912CF" w:rsidRDefault="00615769" w:rsidP="00F675CF">
            <w:pPr>
              <w:keepNext/>
              <w:widowControl w:val="0"/>
              <w:tabs>
                <w:tab w:val="left" w:pos="562"/>
                <w:tab w:val="left" w:pos="4120"/>
              </w:tabs>
              <w:suppressAutoHyphens/>
              <w:jc w:val="center"/>
              <w:rPr>
                <w:del w:id="2522" w:author="AbbVie2" w:date="2025-05-13T16:36:00Z"/>
                <w:b/>
                <w:bCs/>
                <w:color w:val="000000"/>
                <w:sz w:val="22"/>
              </w:rPr>
            </w:pPr>
            <w:del w:id="2523" w:author="AbbVie2" w:date="2025-05-13T16:36:00Z">
              <w:r w:rsidRPr="008912CF">
                <w:rPr>
                  <w:b/>
                  <w:bCs/>
                  <w:color w:val="000000"/>
                  <w:sz w:val="22"/>
                </w:rPr>
                <w:delText>Humira 40 mg Semanalmente</w:delText>
              </w:r>
            </w:del>
          </w:p>
        </w:tc>
        <w:tc>
          <w:tcPr>
            <w:tcW w:w="1404" w:type="dxa"/>
            <w:tcMar>
              <w:top w:w="0" w:type="dxa"/>
              <w:left w:w="115" w:type="dxa"/>
              <w:bottom w:w="0" w:type="dxa"/>
              <w:right w:w="115" w:type="dxa"/>
            </w:tcMar>
            <w:vAlign w:val="bottom"/>
            <w:hideMark/>
          </w:tcPr>
          <w:p w14:paraId="4D37F11F" w14:textId="29E4F8B5" w:rsidR="004462A0" w:rsidRPr="008912CF" w:rsidRDefault="00615769" w:rsidP="00F675CF">
            <w:pPr>
              <w:keepNext/>
              <w:widowControl w:val="0"/>
              <w:tabs>
                <w:tab w:val="left" w:pos="562"/>
                <w:tab w:val="left" w:pos="4120"/>
              </w:tabs>
              <w:suppressAutoHyphens/>
              <w:jc w:val="center"/>
              <w:rPr>
                <w:del w:id="2524" w:author="AbbVie2" w:date="2025-05-13T16:36:00Z"/>
                <w:b/>
                <w:bCs/>
                <w:color w:val="000000"/>
                <w:sz w:val="22"/>
              </w:rPr>
            </w:pPr>
            <w:del w:id="2525" w:author="AbbVie2" w:date="2025-05-13T16:36:00Z">
              <w:r w:rsidRPr="008912CF">
                <w:rPr>
                  <w:b/>
                  <w:bCs/>
                  <w:color w:val="000000"/>
                  <w:sz w:val="22"/>
                </w:rPr>
                <w:delText xml:space="preserve">Placebo </w:delText>
              </w:r>
            </w:del>
          </w:p>
        </w:tc>
        <w:tc>
          <w:tcPr>
            <w:tcW w:w="1856" w:type="dxa"/>
            <w:tcMar>
              <w:top w:w="0" w:type="dxa"/>
              <w:left w:w="115" w:type="dxa"/>
              <w:bottom w:w="0" w:type="dxa"/>
              <w:right w:w="115" w:type="dxa"/>
            </w:tcMar>
            <w:vAlign w:val="bottom"/>
            <w:hideMark/>
          </w:tcPr>
          <w:p w14:paraId="762A1F81" w14:textId="5C81284A" w:rsidR="004462A0" w:rsidRPr="008912CF" w:rsidRDefault="00615769" w:rsidP="00F675CF">
            <w:pPr>
              <w:keepNext/>
              <w:widowControl w:val="0"/>
              <w:tabs>
                <w:tab w:val="left" w:pos="562"/>
                <w:tab w:val="left" w:pos="4120"/>
              </w:tabs>
              <w:suppressAutoHyphens/>
              <w:jc w:val="center"/>
              <w:rPr>
                <w:del w:id="2526" w:author="AbbVie2" w:date="2025-05-13T16:36:00Z"/>
                <w:b/>
                <w:bCs/>
                <w:color w:val="000000"/>
                <w:sz w:val="22"/>
              </w:rPr>
            </w:pPr>
            <w:del w:id="2527" w:author="AbbVie2" w:date="2025-05-13T16:36:00Z">
              <w:r w:rsidRPr="008912CF">
                <w:rPr>
                  <w:b/>
                  <w:bCs/>
                  <w:color w:val="000000"/>
                  <w:sz w:val="22"/>
                </w:rPr>
                <w:delText>Humira 40 mg Semanalmente</w:delText>
              </w:r>
            </w:del>
          </w:p>
        </w:tc>
      </w:tr>
      <w:tr w:rsidR="00A7162A" w14:paraId="1E3ED8BC" w14:textId="2E79B472" w:rsidTr="00F675CF">
        <w:trPr>
          <w:trHeight w:val="755"/>
          <w:jc w:val="center"/>
          <w:del w:id="2528" w:author="AbbVie2" w:date="2025-05-13T16:36:00Z"/>
        </w:trPr>
        <w:tc>
          <w:tcPr>
            <w:tcW w:w="2847" w:type="dxa"/>
            <w:tcMar>
              <w:top w:w="0" w:type="dxa"/>
              <w:left w:w="115" w:type="dxa"/>
              <w:bottom w:w="0" w:type="dxa"/>
              <w:right w:w="115" w:type="dxa"/>
            </w:tcMar>
            <w:vAlign w:val="center"/>
            <w:hideMark/>
          </w:tcPr>
          <w:p w14:paraId="426A610B" w14:textId="5233D954" w:rsidR="004462A0" w:rsidRPr="008912CF" w:rsidRDefault="00615769" w:rsidP="00F675CF">
            <w:pPr>
              <w:keepNext/>
              <w:widowControl w:val="0"/>
              <w:tabs>
                <w:tab w:val="left" w:pos="562"/>
                <w:tab w:val="left" w:pos="4120"/>
              </w:tabs>
              <w:suppressAutoHyphens/>
              <w:rPr>
                <w:del w:id="2529" w:author="AbbVie2" w:date="2025-05-13T16:36:00Z"/>
                <w:color w:val="000000"/>
                <w:sz w:val="22"/>
              </w:rPr>
            </w:pPr>
            <w:del w:id="2530" w:author="AbbVie2" w:date="2025-05-13T16:36:00Z">
              <w:r w:rsidRPr="008912CF">
                <w:rPr>
                  <w:color w:val="000000"/>
                  <w:sz w:val="22"/>
                </w:rPr>
                <w:delText>Hidradenite Supurativa Resposta Clinica (HiSCR)</w:delText>
              </w:r>
              <w:r w:rsidRPr="008912CF">
                <w:rPr>
                  <w:color w:val="000000"/>
                  <w:sz w:val="22"/>
                  <w:vertAlign w:val="superscript"/>
                </w:rPr>
                <w:delText>a</w:delText>
              </w:r>
              <w:r w:rsidRPr="008912CF">
                <w:rPr>
                  <w:color w:val="000000"/>
                  <w:sz w:val="22"/>
                </w:rPr>
                <w:delText xml:space="preserve"> </w:delText>
              </w:r>
            </w:del>
          </w:p>
          <w:p w14:paraId="0619CC80" w14:textId="2A254ECC" w:rsidR="004462A0" w:rsidRPr="008912CF" w:rsidRDefault="004462A0" w:rsidP="00F675CF">
            <w:pPr>
              <w:keepNext/>
              <w:widowControl w:val="0"/>
              <w:tabs>
                <w:tab w:val="left" w:pos="562"/>
                <w:tab w:val="left" w:pos="4120"/>
              </w:tabs>
              <w:suppressAutoHyphens/>
              <w:rPr>
                <w:del w:id="2531" w:author="AbbVie2" w:date="2025-05-13T16:36:00Z"/>
                <w:color w:val="000000"/>
                <w:sz w:val="22"/>
              </w:rPr>
            </w:pPr>
          </w:p>
        </w:tc>
        <w:tc>
          <w:tcPr>
            <w:tcW w:w="1440" w:type="dxa"/>
            <w:tcMar>
              <w:top w:w="0" w:type="dxa"/>
              <w:left w:w="115" w:type="dxa"/>
              <w:bottom w:w="0" w:type="dxa"/>
              <w:right w:w="115" w:type="dxa"/>
            </w:tcMar>
            <w:hideMark/>
          </w:tcPr>
          <w:p w14:paraId="26C6F463" w14:textId="3DD94E8C" w:rsidR="004462A0" w:rsidRPr="008912CF" w:rsidRDefault="00615769" w:rsidP="00F675CF">
            <w:pPr>
              <w:keepNext/>
              <w:widowControl w:val="0"/>
              <w:tabs>
                <w:tab w:val="left" w:pos="562"/>
                <w:tab w:val="left" w:pos="4120"/>
              </w:tabs>
              <w:suppressAutoHyphens/>
              <w:jc w:val="center"/>
              <w:rPr>
                <w:del w:id="2532" w:author="AbbVie2" w:date="2025-05-13T16:36:00Z"/>
                <w:color w:val="000000"/>
                <w:sz w:val="22"/>
              </w:rPr>
            </w:pPr>
            <w:del w:id="2533" w:author="AbbVie2" w:date="2025-05-13T16:36:00Z">
              <w:r w:rsidRPr="008912CF">
                <w:rPr>
                  <w:color w:val="000000"/>
                  <w:sz w:val="22"/>
                </w:rPr>
                <w:delText>N = 154</w:delText>
              </w:r>
            </w:del>
          </w:p>
          <w:p w14:paraId="399A420C" w14:textId="2BB66B5B" w:rsidR="004462A0" w:rsidRPr="008912CF" w:rsidRDefault="00615769" w:rsidP="00F675CF">
            <w:pPr>
              <w:keepNext/>
              <w:widowControl w:val="0"/>
              <w:tabs>
                <w:tab w:val="left" w:pos="562"/>
                <w:tab w:val="left" w:pos="4120"/>
              </w:tabs>
              <w:suppressAutoHyphens/>
              <w:jc w:val="center"/>
              <w:rPr>
                <w:del w:id="2534" w:author="AbbVie2" w:date="2025-05-13T16:36:00Z"/>
                <w:color w:val="000000"/>
                <w:sz w:val="22"/>
              </w:rPr>
            </w:pPr>
            <w:del w:id="2535" w:author="AbbVie2" w:date="2025-05-13T16:36:00Z">
              <w:r w:rsidRPr="008912CF">
                <w:rPr>
                  <w:color w:val="000000"/>
                  <w:sz w:val="22"/>
                </w:rPr>
                <w:delText>40 (26,0%)</w:delText>
              </w:r>
            </w:del>
          </w:p>
        </w:tc>
        <w:tc>
          <w:tcPr>
            <w:tcW w:w="1746" w:type="dxa"/>
            <w:tcMar>
              <w:top w:w="0" w:type="dxa"/>
              <w:left w:w="115" w:type="dxa"/>
              <w:bottom w:w="0" w:type="dxa"/>
              <w:right w:w="115" w:type="dxa"/>
            </w:tcMar>
            <w:hideMark/>
          </w:tcPr>
          <w:p w14:paraId="6DE49628" w14:textId="359AA1CC" w:rsidR="004462A0" w:rsidRPr="008912CF" w:rsidRDefault="00615769" w:rsidP="00F675CF">
            <w:pPr>
              <w:keepNext/>
              <w:widowControl w:val="0"/>
              <w:tabs>
                <w:tab w:val="left" w:pos="562"/>
                <w:tab w:val="left" w:pos="4120"/>
              </w:tabs>
              <w:suppressAutoHyphens/>
              <w:jc w:val="center"/>
              <w:rPr>
                <w:del w:id="2536" w:author="AbbVie2" w:date="2025-05-13T16:36:00Z"/>
                <w:color w:val="000000"/>
                <w:sz w:val="22"/>
              </w:rPr>
            </w:pPr>
            <w:del w:id="2537" w:author="AbbVie2" w:date="2025-05-13T16:36:00Z">
              <w:r w:rsidRPr="008912CF">
                <w:rPr>
                  <w:color w:val="000000"/>
                  <w:sz w:val="22"/>
                </w:rPr>
                <w:delText>N = 153</w:delText>
              </w:r>
            </w:del>
          </w:p>
          <w:p w14:paraId="75616787" w14:textId="46EB9E2A" w:rsidR="004462A0" w:rsidRPr="008912CF" w:rsidRDefault="00615769" w:rsidP="00F675CF">
            <w:pPr>
              <w:keepNext/>
              <w:widowControl w:val="0"/>
              <w:tabs>
                <w:tab w:val="left" w:pos="562"/>
                <w:tab w:val="left" w:pos="4120"/>
              </w:tabs>
              <w:suppressAutoHyphens/>
              <w:jc w:val="center"/>
              <w:rPr>
                <w:del w:id="2538" w:author="AbbVie2" w:date="2025-05-13T16:36:00Z"/>
                <w:color w:val="000000"/>
                <w:sz w:val="22"/>
              </w:rPr>
            </w:pPr>
            <w:del w:id="2539" w:author="AbbVie2" w:date="2025-05-13T16:36:00Z">
              <w:r w:rsidRPr="008912CF">
                <w:rPr>
                  <w:color w:val="000000"/>
                  <w:sz w:val="22"/>
                </w:rPr>
                <w:delText xml:space="preserve">64 (41,8%) </w:delText>
              </w:r>
              <w:r w:rsidRPr="008912CF">
                <w:rPr>
                  <w:color w:val="000000"/>
                  <w:sz w:val="22"/>
                  <w:vertAlign w:val="superscript"/>
                </w:rPr>
                <w:delText>*</w:delText>
              </w:r>
            </w:del>
          </w:p>
        </w:tc>
        <w:tc>
          <w:tcPr>
            <w:tcW w:w="1404" w:type="dxa"/>
            <w:tcMar>
              <w:top w:w="0" w:type="dxa"/>
              <w:left w:w="115" w:type="dxa"/>
              <w:bottom w:w="0" w:type="dxa"/>
              <w:right w:w="115" w:type="dxa"/>
            </w:tcMar>
          </w:tcPr>
          <w:p w14:paraId="34CD8E92" w14:textId="4F5E5647" w:rsidR="004462A0" w:rsidRPr="008912CF" w:rsidRDefault="00615769" w:rsidP="00F675CF">
            <w:pPr>
              <w:keepNext/>
              <w:widowControl w:val="0"/>
              <w:tabs>
                <w:tab w:val="left" w:pos="562"/>
                <w:tab w:val="left" w:pos="4120"/>
              </w:tabs>
              <w:suppressAutoHyphens/>
              <w:jc w:val="center"/>
              <w:rPr>
                <w:del w:id="2540" w:author="AbbVie2" w:date="2025-05-13T16:36:00Z"/>
                <w:color w:val="000000"/>
                <w:sz w:val="22"/>
              </w:rPr>
            </w:pPr>
            <w:del w:id="2541" w:author="AbbVie2" w:date="2025-05-13T16:36:00Z">
              <w:r w:rsidRPr="008912CF">
                <w:rPr>
                  <w:color w:val="000000"/>
                  <w:sz w:val="22"/>
                </w:rPr>
                <w:delText>N=163</w:delText>
              </w:r>
            </w:del>
          </w:p>
          <w:p w14:paraId="4CE33980" w14:textId="0ECB3309" w:rsidR="004462A0" w:rsidRPr="008912CF" w:rsidRDefault="00615769" w:rsidP="00F675CF">
            <w:pPr>
              <w:keepNext/>
              <w:widowControl w:val="0"/>
              <w:tabs>
                <w:tab w:val="left" w:pos="562"/>
                <w:tab w:val="left" w:pos="4120"/>
              </w:tabs>
              <w:suppressAutoHyphens/>
              <w:jc w:val="center"/>
              <w:rPr>
                <w:del w:id="2542" w:author="AbbVie2" w:date="2025-05-13T16:36:00Z"/>
                <w:color w:val="000000"/>
                <w:sz w:val="22"/>
              </w:rPr>
            </w:pPr>
            <w:del w:id="2543" w:author="AbbVie2" w:date="2025-05-13T16:36:00Z">
              <w:r w:rsidRPr="008912CF">
                <w:rPr>
                  <w:color w:val="000000"/>
                  <w:sz w:val="22"/>
                </w:rPr>
                <w:delText>45 (27,6%)</w:delText>
              </w:r>
            </w:del>
          </w:p>
        </w:tc>
        <w:tc>
          <w:tcPr>
            <w:tcW w:w="1856" w:type="dxa"/>
            <w:tcMar>
              <w:top w:w="0" w:type="dxa"/>
              <w:left w:w="115" w:type="dxa"/>
              <w:bottom w:w="0" w:type="dxa"/>
              <w:right w:w="115" w:type="dxa"/>
            </w:tcMar>
          </w:tcPr>
          <w:p w14:paraId="4421C1C3" w14:textId="37687397" w:rsidR="004462A0" w:rsidRPr="008912CF" w:rsidRDefault="00615769" w:rsidP="00F675CF">
            <w:pPr>
              <w:keepNext/>
              <w:widowControl w:val="0"/>
              <w:tabs>
                <w:tab w:val="left" w:pos="562"/>
                <w:tab w:val="left" w:pos="4120"/>
              </w:tabs>
              <w:suppressAutoHyphens/>
              <w:jc w:val="center"/>
              <w:rPr>
                <w:del w:id="2544" w:author="AbbVie2" w:date="2025-05-13T16:36:00Z"/>
                <w:color w:val="000000"/>
                <w:sz w:val="22"/>
              </w:rPr>
            </w:pPr>
            <w:del w:id="2545" w:author="AbbVie2" w:date="2025-05-13T16:36:00Z">
              <w:r w:rsidRPr="008912CF">
                <w:rPr>
                  <w:color w:val="000000"/>
                  <w:sz w:val="22"/>
                </w:rPr>
                <w:delText>N=163</w:delText>
              </w:r>
            </w:del>
          </w:p>
          <w:p w14:paraId="5E131CA5" w14:textId="200D04B1" w:rsidR="004462A0" w:rsidRPr="008912CF" w:rsidRDefault="00615769" w:rsidP="00F675CF">
            <w:pPr>
              <w:keepNext/>
              <w:widowControl w:val="0"/>
              <w:tabs>
                <w:tab w:val="left" w:pos="562"/>
                <w:tab w:val="left" w:pos="4120"/>
              </w:tabs>
              <w:suppressAutoHyphens/>
              <w:jc w:val="center"/>
              <w:rPr>
                <w:del w:id="2546" w:author="AbbVie2" w:date="2025-05-13T16:36:00Z"/>
                <w:color w:val="000000"/>
                <w:sz w:val="22"/>
              </w:rPr>
            </w:pPr>
            <w:del w:id="2547" w:author="AbbVie2" w:date="2025-05-13T16:36:00Z">
              <w:r w:rsidRPr="008912CF">
                <w:rPr>
                  <w:color w:val="000000"/>
                  <w:sz w:val="22"/>
                </w:rPr>
                <w:delText xml:space="preserve">96 (58,9%) </w:delText>
              </w:r>
              <w:r w:rsidRPr="008912CF">
                <w:rPr>
                  <w:color w:val="000000"/>
                  <w:sz w:val="22"/>
                  <w:vertAlign w:val="superscript"/>
                </w:rPr>
                <w:delText>***</w:delText>
              </w:r>
            </w:del>
          </w:p>
        </w:tc>
      </w:tr>
      <w:tr w:rsidR="00A7162A" w14:paraId="3F14ECC2" w14:textId="14017E2B" w:rsidTr="00F675CF">
        <w:trPr>
          <w:jc w:val="center"/>
          <w:del w:id="2548" w:author="AbbVie2" w:date="2025-05-13T16:36:00Z"/>
        </w:trPr>
        <w:tc>
          <w:tcPr>
            <w:tcW w:w="2847" w:type="dxa"/>
            <w:tcMar>
              <w:top w:w="0" w:type="dxa"/>
              <w:left w:w="115" w:type="dxa"/>
              <w:bottom w:w="0" w:type="dxa"/>
              <w:right w:w="115" w:type="dxa"/>
            </w:tcMar>
            <w:vAlign w:val="center"/>
            <w:hideMark/>
          </w:tcPr>
          <w:p w14:paraId="6C0D6243" w14:textId="02DDFA8A" w:rsidR="004462A0" w:rsidRPr="008912CF" w:rsidRDefault="00615769" w:rsidP="00F675CF">
            <w:pPr>
              <w:keepNext/>
              <w:widowControl w:val="0"/>
              <w:tabs>
                <w:tab w:val="left" w:pos="562"/>
                <w:tab w:val="left" w:pos="4120"/>
              </w:tabs>
              <w:suppressAutoHyphens/>
              <w:rPr>
                <w:del w:id="2549" w:author="AbbVie2" w:date="2025-05-13T16:36:00Z"/>
                <w:color w:val="000000"/>
                <w:sz w:val="22"/>
              </w:rPr>
            </w:pPr>
            <w:del w:id="2550" w:author="AbbVie2" w:date="2025-05-13T16:36:00Z">
              <w:r w:rsidRPr="008912CF">
                <w:rPr>
                  <w:color w:val="000000"/>
                  <w:sz w:val="22"/>
                </w:rPr>
                <w:delText>≥30% Redução da dor na pele</w:delText>
              </w:r>
              <w:r w:rsidRPr="008912CF">
                <w:rPr>
                  <w:color w:val="000000"/>
                  <w:sz w:val="22"/>
                  <w:vertAlign w:val="superscript"/>
                </w:rPr>
                <w:delText>b</w:delText>
              </w:r>
            </w:del>
          </w:p>
        </w:tc>
        <w:tc>
          <w:tcPr>
            <w:tcW w:w="1440" w:type="dxa"/>
            <w:tcMar>
              <w:top w:w="0" w:type="dxa"/>
              <w:left w:w="115" w:type="dxa"/>
              <w:bottom w:w="0" w:type="dxa"/>
              <w:right w:w="115" w:type="dxa"/>
            </w:tcMar>
            <w:hideMark/>
          </w:tcPr>
          <w:p w14:paraId="587F867F" w14:textId="0F6F3CEA" w:rsidR="004462A0" w:rsidRPr="008912CF" w:rsidRDefault="00615769" w:rsidP="00F675CF">
            <w:pPr>
              <w:keepNext/>
              <w:widowControl w:val="0"/>
              <w:tabs>
                <w:tab w:val="left" w:pos="562"/>
                <w:tab w:val="left" w:pos="4120"/>
              </w:tabs>
              <w:suppressAutoHyphens/>
              <w:jc w:val="center"/>
              <w:rPr>
                <w:del w:id="2551" w:author="AbbVie2" w:date="2025-05-13T16:36:00Z"/>
                <w:color w:val="000000"/>
                <w:sz w:val="22"/>
              </w:rPr>
            </w:pPr>
            <w:del w:id="2552" w:author="AbbVie2" w:date="2025-05-13T16:36:00Z">
              <w:r w:rsidRPr="008912CF">
                <w:rPr>
                  <w:color w:val="000000"/>
                  <w:sz w:val="22"/>
                </w:rPr>
                <w:delText>N = 109</w:delText>
              </w:r>
            </w:del>
          </w:p>
          <w:p w14:paraId="2F578E2E" w14:textId="14F16E30" w:rsidR="004462A0" w:rsidRPr="008912CF" w:rsidRDefault="00615769" w:rsidP="00F675CF">
            <w:pPr>
              <w:keepNext/>
              <w:widowControl w:val="0"/>
              <w:tabs>
                <w:tab w:val="left" w:pos="562"/>
                <w:tab w:val="left" w:pos="4120"/>
              </w:tabs>
              <w:suppressAutoHyphens/>
              <w:jc w:val="center"/>
              <w:rPr>
                <w:del w:id="2553" w:author="AbbVie2" w:date="2025-05-13T16:36:00Z"/>
                <w:color w:val="000000"/>
                <w:sz w:val="22"/>
              </w:rPr>
            </w:pPr>
            <w:del w:id="2554" w:author="AbbVie2" w:date="2025-05-13T16:36:00Z">
              <w:r w:rsidRPr="008912CF">
                <w:rPr>
                  <w:color w:val="000000"/>
                  <w:sz w:val="22"/>
                </w:rPr>
                <w:delText>27 (24,8%)</w:delText>
              </w:r>
            </w:del>
          </w:p>
        </w:tc>
        <w:tc>
          <w:tcPr>
            <w:tcW w:w="1746" w:type="dxa"/>
            <w:tcMar>
              <w:top w:w="0" w:type="dxa"/>
              <w:left w:w="115" w:type="dxa"/>
              <w:bottom w:w="0" w:type="dxa"/>
              <w:right w:w="115" w:type="dxa"/>
            </w:tcMar>
            <w:hideMark/>
          </w:tcPr>
          <w:p w14:paraId="4CF63E98" w14:textId="26719B68" w:rsidR="004462A0" w:rsidRPr="008912CF" w:rsidRDefault="00615769" w:rsidP="00F675CF">
            <w:pPr>
              <w:keepNext/>
              <w:widowControl w:val="0"/>
              <w:tabs>
                <w:tab w:val="left" w:pos="562"/>
                <w:tab w:val="left" w:pos="4120"/>
              </w:tabs>
              <w:suppressAutoHyphens/>
              <w:jc w:val="center"/>
              <w:rPr>
                <w:del w:id="2555" w:author="AbbVie2" w:date="2025-05-13T16:36:00Z"/>
                <w:color w:val="000000"/>
                <w:sz w:val="22"/>
              </w:rPr>
            </w:pPr>
            <w:del w:id="2556" w:author="AbbVie2" w:date="2025-05-13T16:36:00Z">
              <w:r w:rsidRPr="008912CF">
                <w:rPr>
                  <w:color w:val="000000"/>
                  <w:sz w:val="22"/>
                </w:rPr>
                <w:delText>N = 122</w:delText>
              </w:r>
            </w:del>
          </w:p>
          <w:p w14:paraId="1DCC3CCA" w14:textId="5E2207A0" w:rsidR="004462A0" w:rsidRPr="008912CF" w:rsidRDefault="00615769" w:rsidP="00F675CF">
            <w:pPr>
              <w:keepNext/>
              <w:widowControl w:val="0"/>
              <w:tabs>
                <w:tab w:val="left" w:pos="562"/>
                <w:tab w:val="left" w:pos="4120"/>
              </w:tabs>
              <w:suppressAutoHyphens/>
              <w:jc w:val="center"/>
              <w:rPr>
                <w:del w:id="2557" w:author="AbbVie2" w:date="2025-05-13T16:36:00Z"/>
                <w:color w:val="000000"/>
                <w:sz w:val="22"/>
              </w:rPr>
            </w:pPr>
            <w:del w:id="2558" w:author="AbbVie2" w:date="2025-05-13T16:36:00Z">
              <w:r w:rsidRPr="008912CF">
                <w:rPr>
                  <w:color w:val="000000"/>
                  <w:sz w:val="22"/>
                </w:rPr>
                <w:delText>34 (27,9%)</w:delText>
              </w:r>
            </w:del>
          </w:p>
        </w:tc>
        <w:tc>
          <w:tcPr>
            <w:tcW w:w="1404" w:type="dxa"/>
            <w:tcMar>
              <w:top w:w="0" w:type="dxa"/>
              <w:left w:w="115" w:type="dxa"/>
              <w:bottom w:w="0" w:type="dxa"/>
              <w:right w:w="115" w:type="dxa"/>
            </w:tcMar>
          </w:tcPr>
          <w:p w14:paraId="3F44D69E" w14:textId="321CE081" w:rsidR="004462A0" w:rsidRPr="008912CF" w:rsidRDefault="00615769" w:rsidP="00F675CF">
            <w:pPr>
              <w:keepNext/>
              <w:widowControl w:val="0"/>
              <w:tabs>
                <w:tab w:val="left" w:pos="562"/>
                <w:tab w:val="left" w:pos="4120"/>
              </w:tabs>
              <w:suppressAutoHyphens/>
              <w:jc w:val="center"/>
              <w:rPr>
                <w:del w:id="2559" w:author="AbbVie2" w:date="2025-05-13T16:36:00Z"/>
                <w:color w:val="000000"/>
                <w:sz w:val="22"/>
              </w:rPr>
            </w:pPr>
            <w:del w:id="2560" w:author="AbbVie2" w:date="2025-05-13T16:36:00Z">
              <w:r w:rsidRPr="008912CF">
                <w:rPr>
                  <w:color w:val="000000"/>
                  <w:sz w:val="22"/>
                </w:rPr>
                <w:delText>N=111</w:delText>
              </w:r>
            </w:del>
          </w:p>
          <w:p w14:paraId="4EEA3EF1" w14:textId="04AD389B" w:rsidR="004462A0" w:rsidRPr="008912CF" w:rsidRDefault="00615769" w:rsidP="00F675CF">
            <w:pPr>
              <w:keepNext/>
              <w:widowControl w:val="0"/>
              <w:tabs>
                <w:tab w:val="left" w:pos="562"/>
                <w:tab w:val="left" w:pos="4120"/>
              </w:tabs>
              <w:suppressAutoHyphens/>
              <w:jc w:val="center"/>
              <w:rPr>
                <w:del w:id="2561" w:author="AbbVie2" w:date="2025-05-13T16:36:00Z"/>
                <w:color w:val="000000"/>
                <w:sz w:val="22"/>
              </w:rPr>
            </w:pPr>
            <w:del w:id="2562" w:author="AbbVie2" w:date="2025-05-13T16:36:00Z">
              <w:r w:rsidRPr="008912CF">
                <w:rPr>
                  <w:color w:val="000000"/>
                  <w:sz w:val="22"/>
                </w:rPr>
                <w:delText>23 (20,7%)</w:delText>
              </w:r>
            </w:del>
          </w:p>
        </w:tc>
        <w:tc>
          <w:tcPr>
            <w:tcW w:w="1856" w:type="dxa"/>
            <w:tcMar>
              <w:top w:w="0" w:type="dxa"/>
              <w:left w:w="115" w:type="dxa"/>
              <w:bottom w:w="0" w:type="dxa"/>
              <w:right w:w="115" w:type="dxa"/>
            </w:tcMar>
          </w:tcPr>
          <w:p w14:paraId="0B7D91B3" w14:textId="2018A037" w:rsidR="004462A0" w:rsidRPr="008912CF" w:rsidRDefault="00615769" w:rsidP="00F675CF">
            <w:pPr>
              <w:keepNext/>
              <w:widowControl w:val="0"/>
              <w:tabs>
                <w:tab w:val="left" w:pos="562"/>
                <w:tab w:val="left" w:pos="4120"/>
              </w:tabs>
              <w:suppressAutoHyphens/>
              <w:jc w:val="center"/>
              <w:rPr>
                <w:del w:id="2563" w:author="AbbVie2" w:date="2025-05-13T16:36:00Z"/>
                <w:color w:val="000000"/>
                <w:sz w:val="22"/>
              </w:rPr>
            </w:pPr>
            <w:del w:id="2564" w:author="AbbVie2" w:date="2025-05-13T16:36:00Z">
              <w:r w:rsidRPr="008912CF">
                <w:rPr>
                  <w:color w:val="000000"/>
                  <w:sz w:val="22"/>
                </w:rPr>
                <w:delText>N=105</w:delText>
              </w:r>
            </w:del>
          </w:p>
          <w:p w14:paraId="6B4B33F3" w14:textId="302B9BB7" w:rsidR="004462A0" w:rsidRPr="008912CF" w:rsidRDefault="00615769" w:rsidP="00F675CF">
            <w:pPr>
              <w:keepNext/>
              <w:widowControl w:val="0"/>
              <w:tabs>
                <w:tab w:val="left" w:pos="562"/>
                <w:tab w:val="left" w:pos="4120"/>
              </w:tabs>
              <w:suppressAutoHyphens/>
              <w:jc w:val="center"/>
              <w:rPr>
                <w:del w:id="2565" w:author="AbbVie2" w:date="2025-05-13T16:36:00Z"/>
                <w:color w:val="000000"/>
                <w:sz w:val="22"/>
              </w:rPr>
            </w:pPr>
            <w:del w:id="2566" w:author="AbbVie2" w:date="2025-05-13T16:36:00Z">
              <w:r w:rsidRPr="008912CF">
                <w:rPr>
                  <w:color w:val="000000"/>
                  <w:sz w:val="22"/>
                </w:rPr>
                <w:delText xml:space="preserve">48 (45,7%) </w:delText>
              </w:r>
              <w:r w:rsidRPr="008912CF">
                <w:rPr>
                  <w:color w:val="000000"/>
                  <w:sz w:val="22"/>
                  <w:vertAlign w:val="superscript"/>
                </w:rPr>
                <w:delText>***</w:delText>
              </w:r>
            </w:del>
          </w:p>
        </w:tc>
      </w:tr>
      <w:tr w:rsidR="00A7162A" w14:paraId="60E0F0DE" w14:textId="6A922974" w:rsidTr="00F675CF">
        <w:trPr>
          <w:trHeight w:val="1417"/>
          <w:jc w:val="center"/>
          <w:del w:id="2567" w:author="AbbVie2" w:date="2025-05-13T16:36:00Z"/>
        </w:trPr>
        <w:tc>
          <w:tcPr>
            <w:tcW w:w="9293" w:type="dxa"/>
            <w:gridSpan w:val="5"/>
            <w:tcMar>
              <w:top w:w="0" w:type="dxa"/>
              <w:left w:w="115" w:type="dxa"/>
              <w:bottom w:w="0" w:type="dxa"/>
              <w:right w:w="115" w:type="dxa"/>
            </w:tcMar>
            <w:vAlign w:val="center"/>
          </w:tcPr>
          <w:p w14:paraId="20CBB581" w14:textId="45451ED0" w:rsidR="004462A0" w:rsidRPr="008912CF" w:rsidRDefault="00615769" w:rsidP="00F675CF">
            <w:pPr>
              <w:keepNext/>
              <w:widowControl w:val="0"/>
              <w:tabs>
                <w:tab w:val="left" w:pos="562"/>
                <w:tab w:val="left" w:pos="4120"/>
              </w:tabs>
              <w:suppressAutoHyphens/>
              <w:ind w:left="360"/>
              <w:rPr>
                <w:del w:id="2568" w:author="AbbVie2" w:date="2025-05-13T16:36:00Z"/>
                <w:color w:val="000000"/>
                <w:sz w:val="22"/>
              </w:rPr>
            </w:pPr>
            <w:del w:id="2569" w:author="AbbVie2" w:date="2025-05-13T16:36:00Z">
              <w:r w:rsidRPr="008912CF">
                <w:rPr>
                  <w:color w:val="000000"/>
                  <w:sz w:val="22"/>
                </w:rPr>
                <w:delText xml:space="preserve">* </w:delText>
              </w:r>
              <w:r w:rsidR="00092159">
                <w:rPr>
                  <w:i/>
                  <w:color w:val="000000"/>
                  <w:sz w:val="22"/>
                </w:rPr>
                <w:delText>p</w:delText>
              </w:r>
              <w:r w:rsidRPr="008912CF">
                <w:rPr>
                  <w:color w:val="000000"/>
                  <w:sz w:val="22"/>
                </w:rPr>
                <w:delText xml:space="preserve"> &lt; 0,05, ***</w:delText>
              </w:r>
              <w:r w:rsidR="00092159">
                <w:rPr>
                  <w:i/>
                  <w:color w:val="000000"/>
                  <w:sz w:val="22"/>
                </w:rPr>
                <w:delText>p</w:delText>
              </w:r>
              <w:r w:rsidRPr="008912CF">
                <w:rPr>
                  <w:i/>
                  <w:color w:val="000000"/>
                  <w:sz w:val="22"/>
                </w:rPr>
                <w:delText xml:space="preserve"> </w:delText>
              </w:r>
              <w:r w:rsidRPr="008912CF">
                <w:rPr>
                  <w:color w:val="000000"/>
                  <w:sz w:val="22"/>
                </w:rPr>
                <w:delText xml:space="preserve">&lt; 0,001, Humira </w:delText>
              </w:r>
              <w:r w:rsidRPr="00DF5632">
                <w:rPr>
                  <w:i/>
                  <w:color w:val="000000"/>
                  <w:sz w:val="22"/>
                </w:rPr>
                <w:delText>versus</w:delText>
              </w:r>
              <w:r w:rsidRPr="008912CF">
                <w:rPr>
                  <w:color w:val="000000"/>
                  <w:sz w:val="22"/>
                </w:rPr>
                <w:delText xml:space="preserve"> placebo </w:delText>
              </w:r>
            </w:del>
          </w:p>
          <w:p w14:paraId="41FEE656" w14:textId="0A37EA9B" w:rsidR="004462A0" w:rsidRPr="008912CF" w:rsidRDefault="00615769" w:rsidP="00F675CF">
            <w:pPr>
              <w:keepNext/>
              <w:keepLines/>
              <w:widowControl w:val="0"/>
              <w:numPr>
                <w:ilvl w:val="0"/>
                <w:numId w:val="82"/>
              </w:numPr>
              <w:tabs>
                <w:tab w:val="left" w:pos="562"/>
                <w:tab w:val="left" w:pos="4120"/>
              </w:tabs>
              <w:suppressAutoHyphens/>
              <w:spacing w:line="240" w:lineRule="exact"/>
              <w:rPr>
                <w:del w:id="2570" w:author="AbbVie2" w:date="2025-05-13T16:36:00Z"/>
                <w:color w:val="000000"/>
                <w:sz w:val="22"/>
              </w:rPr>
            </w:pPr>
            <w:del w:id="2571" w:author="AbbVie2" w:date="2025-05-13T16:36:00Z">
              <w:r w:rsidRPr="008912CF">
                <w:rPr>
                  <w:color w:val="000000"/>
                  <w:sz w:val="22"/>
                </w:rPr>
                <w:delText xml:space="preserve">Em todos os doentes </w:delText>
              </w:r>
              <w:r w:rsidR="0013275C">
                <w:rPr>
                  <w:color w:val="000000"/>
                  <w:sz w:val="22"/>
                </w:rPr>
                <w:delText>aleatorizado</w:delText>
              </w:r>
              <w:r w:rsidRPr="008912CF">
                <w:rPr>
                  <w:color w:val="000000"/>
                  <w:sz w:val="22"/>
                </w:rPr>
                <w:delText>s.</w:delText>
              </w:r>
            </w:del>
          </w:p>
          <w:p w14:paraId="6AD74E3A" w14:textId="2F084029" w:rsidR="004462A0" w:rsidRPr="008912CF" w:rsidRDefault="00615769" w:rsidP="00F675CF">
            <w:pPr>
              <w:keepNext/>
              <w:keepLines/>
              <w:widowControl w:val="0"/>
              <w:numPr>
                <w:ilvl w:val="0"/>
                <w:numId w:val="82"/>
              </w:numPr>
              <w:tabs>
                <w:tab w:val="left" w:pos="562"/>
                <w:tab w:val="left" w:pos="4120"/>
              </w:tabs>
              <w:suppressAutoHyphens/>
              <w:spacing w:line="240" w:lineRule="exact"/>
              <w:ind w:left="563" w:hanging="563"/>
              <w:rPr>
                <w:del w:id="2572" w:author="AbbVie2" w:date="2025-05-13T16:36:00Z"/>
                <w:color w:val="000000"/>
                <w:sz w:val="22"/>
              </w:rPr>
            </w:pPr>
            <w:del w:id="2573" w:author="AbbVie2" w:date="2025-05-13T16:36:00Z">
              <w:r w:rsidRPr="008912CF">
                <w:rPr>
                  <w:rFonts w:eastAsia="Calibri"/>
                  <w:color w:val="000000"/>
                  <w:sz w:val="22"/>
                  <w:szCs w:val="22"/>
                </w:rPr>
                <w:delText xml:space="preserve">Entre os doentes com a avaliação inicial da dor da pele, relacionada com HS ≥ 3, baseado na escala numérica </w:delText>
              </w:r>
              <w:r w:rsidR="0090687D">
                <w:rPr>
                  <w:rFonts w:eastAsia="Calibri"/>
                  <w:color w:val="000000"/>
                  <w:sz w:val="22"/>
                  <w:szCs w:val="22"/>
                </w:rPr>
                <w:delText>–</w:delText>
              </w:r>
              <w:r w:rsidRPr="008912CF">
                <w:rPr>
                  <w:rFonts w:eastAsia="Calibri"/>
                  <w:color w:val="000000"/>
                  <w:sz w:val="22"/>
                  <w:szCs w:val="22"/>
                </w:rPr>
                <w:delText xml:space="preserve"> </w:delText>
              </w:r>
              <w:r w:rsidRPr="008912CF">
                <w:rPr>
                  <w:rFonts w:eastAsia="Calibri"/>
                  <w:i/>
                  <w:color w:val="000000"/>
                  <w:sz w:val="22"/>
                  <w:szCs w:val="22"/>
                </w:rPr>
                <w:delText>Numeric Rating Scale</w:delText>
              </w:r>
              <w:r w:rsidRPr="008912CF">
                <w:rPr>
                  <w:rFonts w:eastAsia="Calibri"/>
                  <w:color w:val="000000"/>
                  <w:sz w:val="22"/>
                  <w:szCs w:val="22"/>
                </w:rPr>
                <w:delText xml:space="preserve"> 0-10; 0 = sem dor na pele, 10 = dor muito intensa e acentuada na pele </w:delText>
              </w:r>
            </w:del>
          </w:p>
        </w:tc>
      </w:tr>
    </w:tbl>
    <w:p w14:paraId="308560C5" w14:textId="044D28B4" w:rsidR="004462A0" w:rsidRPr="008912CF" w:rsidRDefault="004462A0" w:rsidP="004462A0">
      <w:pPr>
        <w:rPr>
          <w:del w:id="2574" w:author="AbbVie2" w:date="2025-05-13T16:36:00Z"/>
          <w:sz w:val="22"/>
          <w:szCs w:val="22"/>
          <w:u w:val="single"/>
        </w:rPr>
      </w:pPr>
    </w:p>
    <w:p w14:paraId="07DE4388" w14:textId="0E5F2EDC" w:rsidR="004462A0" w:rsidRPr="008912CF" w:rsidRDefault="00615769" w:rsidP="004462A0">
      <w:pPr>
        <w:rPr>
          <w:del w:id="2575" w:author="AbbVie2" w:date="2025-05-13T16:36:00Z"/>
          <w:sz w:val="22"/>
          <w:szCs w:val="20"/>
        </w:rPr>
      </w:pPr>
      <w:del w:id="2576" w:author="AbbVie2" w:date="2025-05-13T16:36:00Z">
        <w:r w:rsidRPr="008912CF">
          <w:rPr>
            <w:sz w:val="22"/>
            <w:szCs w:val="20"/>
          </w:rPr>
          <w:delText>O tratamento com Humira 40 mg todas as semanas, reduziu significativamente o risco de agravamento de abcessos e fístulas drenantes. Nos Estudos HS-I e HS-II, nas primeiras 12 semanas, aproximadamente o dobro da percentagem de doentes do grupo d</w:delText>
        </w:r>
        <w:r w:rsidR="0082206C">
          <w:rPr>
            <w:sz w:val="22"/>
            <w:szCs w:val="20"/>
          </w:rPr>
          <w:delText>e</w:delText>
        </w:r>
        <w:r w:rsidRPr="008912CF">
          <w:rPr>
            <w:sz w:val="22"/>
            <w:szCs w:val="20"/>
          </w:rPr>
          <w:delText xml:space="preserve"> placebo em comparação com os do grupo Humira, apresentaram agravamento de abcessos (23,0</w:delText>
        </w:r>
        <w:r w:rsidR="009343EF">
          <w:rPr>
            <w:sz w:val="22"/>
            <w:szCs w:val="20"/>
          </w:rPr>
          <w:delText>%</w:delText>
        </w:r>
        <w:r w:rsidRPr="008912CF">
          <w:rPr>
            <w:sz w:val="22"/>
            <w:szCs w:val="20"/>
          </w:rPr>
          <w:delText xml:space="preserve"> vs 11,4</w:delText>
        </w:r>
        <w:r w:rsidR="009343EF">
          <w:rPr>
            <w:sz w:val="22"/>
            <w:szCs w:val="20"/>
          </w:rPr>
          <w:delText>%</w:delText>
        </w:r>
        <w:r w:rsidRPr="008912CF">
          <w:rPr>
            <w:sz w:val="22"/>
            <w:szCs w:val="20"/>
          </w:rPr>
          <w:delText>, respetivamente) e de fístulas drenantes (30,0</w:delText>
        </w:r>
        <w:r w:rsidR="009343EF">
          <w:rPr>
            <w:sz w:val="22"/>
            <w:szCs w:val="20"/>
          </w:rPr>
          <w:delText>%</w:delText>
        </w:r>
        <w:r w:rsidRPr="008912CF">
          <w:rPr>
            <w:sz w:val="22"/>
            <w:szCs w:val="20"/>
          </w:rPr>
          <w:delText xml:space="preserve"> vs 13,9</w:delText>
        </w:r>
        <w:r w:rsidR="009343EF">
          <w:rPr>
            <w:sz w:val="22"/>
            <w:szCs w:val="20"/>
          </w:rPr>
          <w:delText>%</w:delText>
        </w:r>
        <w:r w:rsidRPr="008912CF">
          <w:rPr>
            <w:sz w:val="22"/>
            <w:szCs w:val="20"/>
          </w:rPr>
          <w:delText xml:space="preserve">, respetivamente). </w:delText>
        </w:r>
      </w:del>
    </w:p>
    <w:p w14:paraId="74D16356" w14:textId="749563F1" w:rsidR="004462A0" w:rsidRDefault="004462A0" w:rsidP="004462A0">
      <w:pPr>
        <w:rPr>
          <w:del w:id="2577" w:author="AbbVie2" w:date="2025-05-13T16:36:00Z"/>
          <w:sz w:val="22"/>
          <w:szCs w:val="22"/>
        </w:rPr>
      </w:pPr>
    </w:p>
    <w:p w14:paraId="1FDCDD85" w14:textId="3A0AC006" w:rsidR="004462A0" w:rsidRPr="008912CF" w:rsidRDefault="00615769" w:rsidP="004462A0">
      <w:pPr>
        <w:rPr>
          <w:del w:id="2578" w:author="AbbVie2" w:date="2025-05-13T16:36:00Z"/>
          <w:sz w:val="22"/>
          <w:szCs w:val="22"/>
        </w:rPr>
      </w:pPr>
      <w:del w:id="2579" w:author="AbbVie2" w:date="2025-05-13T16:36:00Z">
        <w:r w:rsidRPr="008912CF">
          <w:rPr>
            <w:sz w:val="22"/>
            <w:szCs w:val="22"/>
          </w:rPr>
          <w:delText xml:space="preserve">Observaram-se melhorias significativas </w:delText>
        </w:r>
        <w:r w:rsidR="0082206C">
          <w:rPr>
            <w:sz w:val="22"/>
            <w:szCs w:val="22"/>
          </w:rPr>
          <w:delText>relativamente ao valor inicial</w:delText>
        </w:r>
        <w:r w:rsidR="0082206C" w:rsidRPr="008912CF">
          <w:rPr>
            <w:sz w:val="22"/>
            <w:szCs w:val="22"/>
          </w:rPr>
          <w:delText xml:space="preserve"> </w:delText>
        </w:r>
        <w:r w:rsidRPr="008912CF">
          <w:rPr>
            <w:sz w:val="22"/>
            <w:szCs w:val="22"/>
          </w:rPr>
          <w:delText>no grupo Humira, comparativamente ao placebo, à Semana</w:delText>
        </w:r>
        <w:r w:rsidR="0082206C">
          <w:rPr>
            <w:sz w:val="22"/>
            <w:szCs w:val="22"/>
          </w:rPr>
          <w:delText xml:space="preserve"> </w:delText>
        </w:r>
        <w:r w:rsidRPr="008912CF">
          <w:rPr>
            <w:sz w:val="22"/>
            <w:szCs w:val="22"/>
          </w:rPr>
          <w:delText>12,</w:delText>
        </w:r>
        <w:r w:rsidR="0082206C">
          <w:rPr>
            <w:sz w:val="22"/>
            <w:szCs w:val="22"/>
          </w:rPr>
          <w:delText xml:space="preserve"> </w:delText>
        </w:r>
        <w:r w:rsidRPr="008912CF">
          <w:rPr>
            <w:sz w:val="22"/>
            <w:szCs w:val="22"/>
          </w:rPr>
          <w:delText xml:space="preserve">na qualidade de vida relacionada com a saúde da pele, avaliada pelo </w:delText>
        </w:r>
        <w:r w:rsidRPr="008912CF">
          <w:rPr>
            <w:i/>
            <w:sz w:val="22"/>
            <w:szCs w:val="22"/>
          </w:rPr>
          <w:delText xml:space="preserve">Dermatology Life Quality Index </w:delText>
        </w:r>
        <w:r w:rsidRPr="008912CF">
          <w:rPr>
            <w:sz w:val="22"/>
            <w:szCs w:val="22"/>
          </w:rPr>
          <w:delText xml:space="preserve">(DLQI; Estudos HS-I e HS-II), na satisfação global do doente com o tratamento, avaliado pelo </w:delText>
        </w:r>
        <w:r w:rsidRPr="008912CF">
          <w:rPr>
            <w:i/>
            <w:sz w:val="22"/>
            <w:szCs w:val="22"/>
          </w:rPr>
          <w:delText>Treatment Satisfaction Questionnaire (</w:delText>
        </w:r>
        <w:r w:rsidRPr="008912CF">
          <w:rPr>
            <w:sz w:val="22"/>
            <w:szCs w:val="22"/>
          </w:rPr>
          <w:delText xml:space="preserve">QSTM; Estudos HS-I e HS-II), e na saúde física, avaliada pela pontuação do SF-36 (Estudo HS-I). </w:delText>
        </w:r>
      </w:del>
    </w:p>
    <w:p w14:paraId="772AF3C8" w14:textId="49758590" w:rsidR="004462A0" w:rsidRPr="008912CF" w:rsidRDefault="004462A0" w:rsidP="004462A0">
      <w:pPr>
        <w:rPr>
          <w:del w:id="2580" w:author="AbbVie2" w:date="2025-05-13T16:36:00Z"/>
          <w:sz w:val="22"/>
          <w:szCs w:val="22"/>
        </w:rPr>
      </w:pPr>
    </w:p>
    <w:p w14:paraId="45D72FE6" w14:textId="251D3521" w:rsidR="004462A0" w:rsidRPr="008912CF" w:rsidRDefault="00615769" w:rsidP="004462A0">
      <w:pPr>
        <w:rPr>
          <w:del w:id="2581" w:author="AbbVie2" w:date="2025-05-13T16:36:00Z"/>
          <w:sz w:val="22"/>
          <w:szCs w:val="22"/>
        </w:rPr>
      </w:pPr>
      <w:del w:id="2582" w:author="AbbVie2" w:date="2025-05-13T16:36:00Z">
        <w:r w:rsidRPr="008912CF">
          <w:rPr>
            <w:sz w:val="22"/>
            <w:szCs w:val="22"/>
          </w:rPr>
          <w:delText xml:space="preserve">Nos doentes que apresentaram pelo menos uma resposta parcial à Semana 12, </w:delText>
        </w:r>
        <w:r w:rsidR="00212B10">
          <w:rPr>
            <w:sz w:val="22"/>
            <w:szCs w:val="22"/>
          </w:rPr>
          <w:delText>com</w:delText>
        </w:r>
        <w:r w:rsidRPr="008912CF">
          <w:rPr>
            <w:sz w:val="22"/>
            <w:szCs w:val="22"/>
          </w:rPr>
          <w:delText xml:space="preserve"> Humira 40 mg todas as semanas, a taxa de HiSCR à semana 36 foi superior nos doentes que continuaram com Humira semanal, comparativamente com os doentes nos quais a frequência de administração foi reduzida para semanas alternadas, ou nos quais o tratamento foi suspenso (ver Tabela </w:delText>
        </w:r>
        <w:r w:rsidR="00D01EDE">
          <w:rPr>
            <w:sz w:val="22"/>
            <w:szCs w:val="22"/>
          </w:rPr>
          <w:delText>1</w:delText>
        </w:r>
        <w:r w:rsidR="00D105CA">
          <w:rPr>
            <w:sz w:val="22"/>
            <w:szCs w:val="22"/>
          </w:rPr>
          <w:delText>6</w:delText>
        </w:r>
        <w:r w:rsidRPr="008912CF">
          <w:rPr>
            <w:sz w:val="22"/>
            <w:szCs w:val="22"/>
          </w:rPr>
          <w:delText>).</w:delText>
        </w:r>
      </w:del>
    </w:p>
    <w:p w14:paraId="6B55684A" w14:textId="6C8BEC9B" w:rsidR="004462A0" w:rsidRDefault="004462A0" w:rsidP="004462A0">
      <w:pPr>
        <w:rPr>
          <w:del w:id="2583" w:author="AbbVie2" w:date="2025-05-13T16:36:00Z"/>
          <w:sz w:val="22"/>
          <w:szCs w:val="22"/>
        </w:rPr>
      </w:pPr>
    </w:p>
    <w:p w14:paraId="468EC1A3" w14:textId="5F42B61C" w:rsidR="004462A0" w:rsidRPr="008912CF" w:rsidRDefault="00615769" w:rsidP="002F486F">
      <w:pPr>
        <w:keepNext/>
        <w:jc w:val="center"/>
        <w:rPr>
          <w:del w:id="2584" w:author="AbbVie2" w:date="2025-05-13T16:36:00Z"/>
          <w:b/>
          <w:sz w:val="22"/>
          <w:szCs w:val="22"/>
        </w:rPr>
      </w:pPr>
      <w:del w:id="2585" w:author="AbbVie2" w:date="2025-05-13T16:36:00Z">
        <w:r>
          <w:rPr>
            <w:b/>
            <w:sz w:val="22"/>
            <w:szCs w:val="22"/>
          </w:rPr>
          <w:delText xml:space="preserve">Tabela </w:delText>
        </w:r>
        <w:r w:rsidR="00D01EDE">
          <w:rPr>
            <w:b/>
            <w:sz w:val="22"/>
            <w:szCs w:val="22"/>
          </w:rPr>
          <w:delText>1</w:delText>
        </w:r>
        <w:r w:rsidR="00D105CA">
          <w:rPr>
            <w:b/>
            <w:sz w:val="22"/>
            <w:szCs w:val="22"/>
          </w:rPr>
          <w:delText>6</w:delText>
        </w:r>
        <w:r w:rsidRPr="008912CF">
          <w:rPr>
            <w:b/>
            <w:sz w:val="22"/>
            <w:szCs w:val="22"/>
          </w:rPr>
          <w:delText>:</w:delText>
        </w:r>
        <w:r w:rsidR="00D93157">
          <w:rPr>
            <w:b/>
            <w:sz w:val="22"/>
            <w:szCs w:val="22"/>
          </w:rPr>
          <w:delText xml:space="preserve"> </w:delText>
        </w:r>
        <w:r w:rsidRPr="008912CF">
          <w:rPr>
            <w:b/>
            <w:sz w:val="22"/>
            <w:szCs w:val="22"/>
          </w:rPr>
          <w:delText xml:space="preserve">Re-alocação de tratamento de Humira semanal à Semana 12 </w:delText>
        </w:r>
        <w:r w:rsidR="0090687D">
          <w:rPr>
            <w:b/>
            <w:sz w:val="22"/>
            <w:szCs w:val="22"/>
          </w:rPr>
          <w:delText>–</w:delText>
        </w:r>
        <w:r w:rsidRPr="008912CF">
          <w:rPr>
            <w:b/>
            <w:sz w:val="22"/>
            <w:szCs w:val="22"/>
          </w:rPr>
          <w:delText xml:space="preserve"> Percentagem de</w:delText>
        </w:r>
        <w:r w:rsidR="00D93157">
          <w:rPr>
            <w:b/>
            <w:sz w:val="22"/>
            <w:szCs w:val="22"/>
          </w:rPr>
          <w:delText xml:space="preserve"> </w:delText>
        </w:r>
        <w:r w:rsidRPr="008912CF">
          <w:rPr>
            <w:b/>
            <w:sz w:val="22"/>
            <w:szCs w:val="22"/>
          </w:rPr>
          <w:delText>doentes</w:delText>
        </w:r>
        <w:r w:rsidRPr="008912CF">
          <w:rPr>
            <w:b/>
            <w:sz w:val="22"/>
            <w:szCs w:val="22"/>
            <w:vertAlign w:val="superscript"/>
          </w:rPr>
          <w:delText>a</w:delText>
        </w:r>
        <w:r w:rsidRPr="008912CF">
          <w:rPr>
            <w:b/>
            <w:sz w:val="22"/>
            <w:szCs w:val="22"/>
          </w:rPr>
          <w:delText xml:space="preserve"> que alcançaram HiSCR</w:delText>
        </w:r>
        <w:r w:rsidRPr="008912CF">
          <w:rPr>
            <w:b/>
            <w:sz w:val="22"/>
            <w:szCs w:val="22"/>
            <w:vertAlign w:val="superscript"/>
          </w:rPr>
          <w:delText>b</w:delText>
        </w:r>
        <w:r w:rsidRPr="008912CF">
          <w:rPr>
            <w:b/>
            <w:sz w:val="22"/>
            <w:szCs w:val="22"/>
          </w:rPr>
          <w:delText xml:space="preserve"> às Semanas</w:delText>
        </w:r>
        <w:r>
          <w:rPr>
            <w:b/>
            <w:sz w:val="22"/>
            <w:szCs w:val="22"/>
          </w:rPr>
          <w:delText> </w:delText>
        </w:r>
        <w:r w:rsidRPr="008912CF">
          <w:rPr>
            <w:b/>
            <w:sz w:val="22"/>
            <w:szCs w:val="22"/>
          </w:rPr>
          <w:delText>24 e 36</w:delText>
        </w:r>
      </w:del>
    </w:p>
    <w:p w14:paraId="6DA773A3" w14:textId="1D51407E" w:rsidR="004462A0" w:rsidRPr="008912CF" w:rsidRDefault="004462A0" w:rsidP="002F486F">
      <w:pPr>
        <w:keepNext/>
        <w:rPr>
          <w:del w:id="2586" w:author="AbbVie2" w:date="2025-05-13T16:36:00Z"/>
          <w:sz w:val="22"/>
          <w:szCs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1980"/>
        <w:gridCol w:w="1980"/>
        <w:gridCol w:w="1855"/>
      </w:tblGrid>
      <w:tr w:rsidR="00A7162A" w14:paraId="5D3EB77C" w14:textId="17F4A904" w:rsidTr="00F675CF">
        <w:trPr>
          <w:tblHeader/>
          <w:jc w:val="center"/>
          <w:del w:id="2587" w:author="AbbVie2" w:date="2025-05-13T16:36:00Z"/>
        </w:trPr>
        <w:tc>
          <w:tcPr>
            <w:tcW w:w="1437" w:type="dxa"/>
            <w:vAlign w:val="bottom"/>
          </w:tcPr>
          <w:p w14:paraId="4C0C23DC" w14:textId="5123DFF7" w:rsidR="004462A0" w:rsidRPr="008912CF" w:rsidRDefault="004462A0" w:rsidP="00E03A0D">
            <w:pPr>
              <w:keepNext/>
              <w:spacing w:before="40" w:after="40" w:line="240" w:lineRule="exact"/>
              <w:rPr>
                <w:del w:id="2588" w:author="AbbVie2" w:date="2025-05-13T16:36:00Z"/>
                <w:rFonts w:eastAsia="Calibri"/>
                <w:b/>
                <w:sz w:val="22"/>
                <w:szCs w:val="22"/>
                <w:lang w:eastAsia="ja-JP"/>
              </w:rPr>
            </w:pPr>
          </w:p>
        </w:tc>
        <w:tc>
          <w:tcPr>
            <w:tcW w:w="1980" w:type="dxa"/>
            <w:vAlign w:val="bottom"/>
          </w:tcPr>
          <w:p w14:paraId="08C87B47" w14:textId="737C627C" w:rsidR="004462A0" w:rsidRPr="008912CF" w:rsidRDefault="00615769" w:rsidP="00E03A0D">
            <w:pPr>
              <w:keepNext/>
              <w:spacing w:before="40" w:after="40" w:line="240" w:lineRule="exact"/>
              <w:jc w:val="center"/>
              <w:rPr>
                <w:del w:id="2589" w:author="AbbVie2" w:date="2025-05-13T16:36:00Z"/>
                <w:rFonts w:eastAsia="Calibri"/>
                <w:b/>
                <w:sz w:val="22"/>
                <w:szCs w:val="22"/>
                <w:lang w:eastAsia="ja-JP"/>
              </w:rPr>
            </w:pPr>
            <w:del w:id="2590" w:author="AbbVie2" w:date="2025-05-13T16:36:00Z">
              <w:r w:rsidRPr="008912CF">
                <w:rPr>
                  <w:rFonts w:eastAsia="Calibri"/>
                  <w:b/>
                  <w:sz w:val="22"/>
                  <w:szCs w:val="22"/>
                  <w:lang w:eastAsia="ja-JP"/>
                </w:rPr>
                <w:delText>Placebo</w:delText>
              </w:r>
            </w:del>
          </w:p>
          <w:p w14:paraId="0E2E09CB" w14:textId="453A75CA" w:rsidR="004462A0" w:rsidRPr="008912CF" w:rsidRDefault="00615769" w:rsidP="00E03A0D">
            <w:pPr>
              <w:keepNext/>
              <w:spacing w:before="40" w:after="40" w:line="240" w:lineRule="exact"/>
              <w:jc w:val="center"/>
              <w:rPr>
                <w:del w:id="2591" w:author="AbbVie2" w:date="2025-05-13T16:36:00Z"/>
                <w:rFonts w:eastAsia="Calibri"/>
                <w:b/>
                <w:sz w:val="22"/>
                <w:szCs w:val="22"/>
                <w:lang w:eastAsia="ja-JP"/>
              </w:rPr>
            </w:pPr>
            <w:del w:id="2592" w:author="AbbVie2" w:date="2025-05-13T16:36:00Z">
              <w:r w:rsidRPr="008912CF">
                <w:rPr>
                  <w:rFonts w:eastAsia="Calibri"/>
                  <w:b/>
                  <w:sz w:val="22"/>
                  <w:szCs w:val="22"/>
                  <w:lang w:eastAsia="ja-JP"/>
                </w:rPr>
                <w:delText>(suspensão de tratamento)</w:delText>
              </w:r>
            </w:del>
          </w:p>
          <w:p w14:paraId="173A70AA" w14:textId="2EB49B7A" w:rsidR="004462A0" w:rsidRPr="008912CF" w:rsidRDefault="00615769" w:rsidP="00E03A0D">
            <w:pPr>
              <w:keepNext/>
              <w:spacing w:before="40" w:after="40" w:line="240" w:lineRule="exact"/>
              <w:jc w:val="center"/>
              <w:rPr>
                <w:del w:id="2593" w:author="AbbVie2" w:date="2025-05-13T16:36:00Z"/>
                <w:rFonts w:eastAsia="Calibri"/>
                <w:b/>
                <w:sz w:val="22"/>
                <w:szCs w:val="22"/>
                <w:lang w:eastAsia="ja-JP"/>
              </w:rPr>
            </w:pPr>
            <w:del w:id="2594" w:author="AbbVie2" w:date="2025-05-13T16:36:00Z">
              <w:r w:rsidRPr="008912CF">
                <w:rPr>
                  <w:rFonts w:eastAsia="Calibri"/>
                  <w:b/>
                  <w:sz w:val="22"/>
                  <w:szCs w:val="22"/>
                  <w:lang w:eastAsia="ja-JP"/>
                </w:rPr>
                <w:delText>N = 73</w:delText>
              </w:r>
            </w:del>
          </w:p>
        </w:tc>
        <w:tc>
          <w:tcPr>
            <w:tcW w:w="1980" w:type="dxa"/>
            <w:vAlign w:val="bottom"/>
          </w:tcPr>
          <w:p w14:paraId="3800DAE9" w14:textId="3749F601" w:rsidR="004462A0" w:rsidRPr="008912CF" w:rsidRDefault="00615769" w:rsidP="00E03A0D">
            <w:pPr>
              <w:keepNext/>
              <w:spacing w:before="40" w:after="40" w:line="240" w:lineRule="exact"/>
              <w:jc w:val="center"/>
              <w:rPr>
                <w:del w:id="2595" w:author="AbbVie2" w:date="2025-05-13T16:36:00Z"/>
                <w:rFonts w:eastAsia="Calibri"/>
                <w:b/>
                <w:sz w:val="22"/>
                <w:szCs w:val="22"/>
                <w:lang w:eastAsia="ja-JP"/>
              </w:rPr>
            </w:pPr>
            <w:del w:id="2596" w:author="AbbVie2" w:date="2025-05-13T16:36:00Z">
              <w:r w:rsidRPr="008912CF">
                <w:rPr>
                  <w:rFonts w:eastAsia="Calibri"/>
                  <w:b/>
                  <w:sz w:val="22"/>
                  <w:szCs w:val="22"/>
                  <w:lang w:eastAsia="ja-JP"/>
                </w:rPr>
                <w:delText>Humira 40 mg</w:delText>
              </w:r>
              <w:r w:rsidRPr="008912CF">
                <w:rPr>
                  <w:rFonts w:eastAsia="Calibri"/>
                  <w:b/>
                  <w:sz w:val="22"/>
                  <w:szCs w:val="22"/>
                  <w:lang w:eastAsia="ja-JP"/>
                </w:rPr>
                <w:br/>
              </w:r>
              <w:r w:rsidRPr="008912CF">
                <w:rPr>
                  <w:rFonts w:eastAsia="Calibri"/>
                  <w:b/>
                  <w:sz w:val="22"/>
                  <w:szCs w:val="22"/>
                  <w:lang w:eastAsia="ja-JP"/>
                </w:rPr>
                <w:delText>em semanas alternadas</w:delText>
              </w:r>
            </w:del>
          </w:p>
          <w:p w14:paraId="13DAFC7B" w14:textId="69D14A52" w:rsidR="004462A0" w:rsidRPr="008912CF" w:rsidRDefault="00615769" w:rsidP="00E03A0D">
            <w:pPr>
              <w:keepNext/>
              <w:spacing w:before="40" w:after="40" w:line="240" w:lineRule="exact"/>
              <w:jc w:val="center"/>
              <w:rPr>
                <w:del w:id="2597" w:author="AbbVie2" w:date="2025-05-13T16:36:00Z"/>
                <w:rFonts w:eastAsia="Calibri"/>
                <w:b/>
                <w:sz w:val="22"/>
                <w:szCs w:val="22"/>
                <w:lang w:eastAsia="ja-JP"/>
              </w:rPr>
            </w:pPr>
            <w:del w:id="2598" w:author="AbbVie2" w:date="2025-05-13T16:36:00Z">
              <w:r w:rsidRPr="008912CF">
                <w:rPr>
                  <w:rFonts w:eastAsia="Calibri"/>
                  <w:b/>
                  <w:sz w:val="22"/>
                  <w:szCs w:val="22"/>
                  <w:lang w:eastAsia="ja-JP"/>
                </w:rPr>
                <w:delText>N = 70</w:delText>
              </w:r>
            </w:del>
          </w:p>
        </w:tc>
        <w:tc>
          <w:tcPr>
            <w:tcW w:w="1855" w:type="dxa"/>
            <w:vAlign w:val="bottom"/>
          </w:tcPr>
          <w:p w14:paraId="5314BA5F" w14:textId="7FEBE672" w:rsidR="004462A0" w:rsidRPr="008912CF" w:rsidRDefault="00615769" w:rsidP="00E03A0D">
            <w:pPr>
              <w:keepNext/>
              <w:spacing w:before="40" w:after="40" w:line="240" w:lineRule="exact"/>
              <w:jc w:val="center"/>
              <w:rPr>
                <w:del w:id="2599" w:author="AbbVie2" w:date="2025-05-13T16:36:00Z"/>
                <w:rFonts w:eastAsia="Calibri"/>
                <w:b/>
                <w:sz w:val="22"/>
                <w:szCs w:val="22"/>
                <w:lang w:eastAsia="ja-JP"/>
              </w:rPr>
            </w:pPr>
            <w:del w:id="2600" w:author="AbbVie2" w:date="2025-05-13T16:36:00Z">
              <w:r w:rsidRPr="008912CF">
                <w:rPr>
                  <w:rFonts w:eastAsia="Calibri"/>
                  <w:b/>
                  <w:sz w:val="22"/>
                  <w:szCs w:val="22"/>
                  <w:lang w:eastAsia="ja-JP"/>
                </w:rPr>
                <w:delText>Humira 40 mg</w:delText>
              </w:r>
              <w:r w:rsidRPr="008912CF">
                <w:rPr>
                  <w:rFonts w:eastAsia="Calibri"/>
                  <w:b/>
                  <w:sz w:val="22"/>
                  <w:szCs w:val="22"/>
                  <w:lang w:eastAsia="ja-JP"/>
                </w:rPr>
                <w:br/>
                <w:delText>todas as semanas</w:delText>
              </w:r>
              <w:r w:rsidRPr="008912CF">
                <w:rPr>
                  <w:rFonts w:eastAsia="Calibri"/>
                  <w:b/>
                  <w:sz w:val="22"/>
                  <w:szCs w:val="22"/>
                  <w:lang w:eastAsia="ja-JP"/>
                </w:rPr>
                <w:br/>
                <w:delText>N = 70</w:delText>
              </w:r>
            </w:del>
          </w:p>
        </w:tc>
      </w:tr>
      <w:tr w:rsidR="00A7162A" w14:paraId="1BDCB36E" w14:textId="0496B3C3" w:rsidTr="00F675CF">
        <w:trPr>
          <w:jc w:val="center"/>
          <w:del w:id="2601" w:author="AbbVie2" w:date="2025-05-13T16:36:00Z"/>
        </w:trPr>
        <w:tc>
          <w:tcPr>
            <w:tcW w:w="1437" w:type="dxa"/>
          </w:tcPr>
          <w:p w14:paraId="4A11FC3E" w14:textId="6E6751ED" w:rsidR="004462A0" w:rsidRPr="008912CF" w:rsidRDefault="00615769" w:rsidP="00E03A0D">
            <w:pPr>
              <w:keepNext/>
              <w:spacing w:before="40" w:after="40" w:line="240" w:lineRule="exact"/>
              <w:rPr>
                <w:del w:id="2602" w:author="AbbVie2" w:date="2025-05-13T16:36:00Z"/>
                <w:rFonts w:eastAsia="Calibri"/>
                <w:sz w:val="22"/>
                <w:szCs w:val="22"/>
                <w:lang w:eastAsia="ja-JP"/>
              </w:rPr>
            </w:pPr>
            <w:del w:id="2603" w:author="AbbVie2" w:date="2025-05-13T16:36:00Z">
              <w:r w:rsidRPr="008912CF">
                <w:rPr>
                  <w:rFonts w:eastAsia="Calibri"/>
                  <w:sz w:val="22"/>
                  <w:szCs w:val="22"/>
                  <w:lang w:eastAsia="ja-JP"/>
                </w:rPr>
                <w:delText>Semana 24</w:delText>
              </w:r>
            </w:del>
          </w:p>
        </w:tc>
        <w:tc>
          <w:tcPr>
            <w:tcW w:w="1980" w:type="dxa"/>
          </w:tcPr>
          <w:p w14:paraId="2F06BB74" w14:textId="102B578A" w:rsidR="004462A0" w:rsidRPr="008912CF" w:rsidRDefault="00615769" w:rsidP="00E03A0D">
            <w:pPr>
              <w:keepNext/>
              <w:spacing w:before="40" w:after="40" w:line="240" w:lineRule="exact"/>
              <w:jc w:val="center"/>
              <w:rPr>
                <w:del w:id="2604" w:author="AbbVie2" w:date="2025-05-13T16:36:00Z"/>
                <w:rFonts w:eastAsia="Calibri"/>
                <w:sz w:val="22"/>
                <w:szCs w:val="22"/>
                <w:lang w:eastAsia="ja-JP"/>
              </w:rPr>
            </w:pPr>
            <w:del w:id="2605" w:author="AbbVie2" w:date="2025-05-13T16:36:00Z">
              <w:r w:rsidRPr="008912CF">
                <w:rPr>
                  <w:rFonts w:eastAsia="Calibri"/>
                  <w:sz w:val="22"/>
                  <w:szCs w:val="22"/>
                  <w:lang w:eastAsia="ja-JP"/>
                </w:rPr>
                <w:delText>24 (32,9%)</w:delText>
              </w:r>
            </w:del>
          </w:p>
        </w:tc>
        <w:tc>
          <w:tcPr>
            <w:tcW w:w="1980" w:type="dxa"/>
          </w:tcPr>
          <w:p w14:paraId="30521E51" w14:textId="05401A99" w:rsidR="004462A0" w:rsidRPr="008912CF" w:rsidRDefault="00615769" w:rsidP="00E03A0D">
            <w:pPr>
              <w:keepNext/>
              <w:spacing w:before="40" w:after="40" w:line="240" w:lineRule="exact"/>
              <w:jc w:val="center"/>
              <w:rPr>
                <w:del w:id="2606" w:author="AbbVie2" w:date="2025-05-13T16:36:00Z"/>
                <w:rFonts w:eastAsia="Calibri"/>
                <w:sz w:val="22"/>
                <w:szCs w:val="22"/>
                <w:lang w:eastAsia="ja-JP"/>
              </w:rPr>
            </w:pPr>
            <w:del w:id="2607" w:author="AbbVie2" w:date="2025-05-13T16:36:00Z">
              <w:r w:rsidRPr="008912CF">
                <w:rPr>
                  <w:rFonts w:eastAsia="Calibri"/>
                  <w:sz w:val="22"/>
                  <w:szCs w:val="22"/>
                  <w:lang w:eastAsia="ja-JP"/>
                </w:rPr>
                <w:delText>36 (51,4%)</w:delText>
              </w:r>
            </w:del>
          </w:p>
        </w:tc>
        <w:tc>
          <w:tcPr>
            <w:tcW w:w="1855" w:type="dxa"/>
          </w:tcPr>
          <w:p w14:paraId="5961E6B6" w14:textId="18B22088" w:rsidR="004462A0" w:rsidRPr="008912CF" w:rsidRDefault="00615769" w:rsidP="00E03A0D">
            <w:pPr>
              <w:keepNext/>
              <w:spacing w:before="40" w:after="40" w:line="240" w:lineRule="exact"/>
              <w:jc w:val="center"/>
              <w:rPr>
                <w:del w:id="2608" w:author="AbbVie2" w:date="2025-05-13T16:36:00Z"/>
                <w:rFonts w:eastAsia="Calibri"/>
                <w:sz w:val="22"/>
                <w:szCs w:val="22"/>
                <w:lang w:eastAsia="ja-JP"/>
              </w:rPr>
            </w:pPr>
            <w:del w:id="2609" w:author="AbbVie2" w:date="2025-05-13T16:36:00Z">
              <w:r w:rsidRPr="008912CF">
                <w:rPr>
                  <w:rFonts w:eastAsia="Calibri"/>
                  <w:sz w:val="22"/>
                  <w:szCs w:val="22"/>
                  <w:lang w:eastAsia="ja-JP"/>
                </w:rPr>
                <w:delText>40 (57,1%)</w:delText>
              </w:r>
            </w:del>
          </w:p>
        </w:tc>
      </w:tr>
      <w:tr w:rsidR="00A7162A" w14:paraId="2BA4D4C6" w14:textId="0E72BBD8" w:rsidTr="00F675CF">
        <w:trPr>
          <w:jc w:val="center"/>
          <w:del w:id="2610" w:author="AbbVie2" w:date="2025-05-13T16:36:00Z"/>
        </w:trPr>
        <w:tc>
          <w:tcPr>
            <w:tcW w:w="1437" w:type="dxa"/>
          </w:tcPr>
          <w:p w14:paraId="7CDC383B" w14:textId="1C3137F6" w:rsidR="004462A0" w:rsidRPr="008912CF" w:rsidRDefault="00615769" w:rsidP="00E03A0D">
            <w:pPr>
              <w:keepNext/>
              <w:spacing w:before="40" w:after="40" w:line="240" w:lineRule="exact"/>
              <w:rPr>
                <w:del w:id="2611" w:author="AbbVie2" w:date="2025-05-13T16:36:00Z"/>
                <w:rFonts w:eastAsia="Calibri"/>
                <w:sz w:val="22"/>
                <w:szCs w:val="22"/>
                <w:lang w:eastAsia="ja-JP"/>
              </w:rPr>
            </w:pPr>
            <w:del w:id="2612" w:author="AbbVie2" w:date="2025-05-13T16:36:00Z">
              <w:r w:rsidRPr="008912CF">
                <w:rPr>
                  <w:rFonts w:eastAsia="Calibri"/>
                  <w:sz w:val="22"/>
                  <w:szCs w:val="22"/>
                  <w:lang w:eastAsia="ja-JP"/>
                </w:rPr>
                <w:delText>Semana 36</w:delText>
              </w:r>
            </w:del>
          </w:p>
        </w:tc>
        <w:tc>
          <w:tcPr>
            <w:tcW w:w="1980" w:type="dxa"/>
          </w:tcPr>
          <w:p w14:paraId="27663542" w14:textId="5BF84AAB" w:rsidR="004462A0" w:rsidRPr="008912CF" w:rsidRDefault="00615769" w:rsidP="00E03A0D">
            <w:pPr>
              <w:keepNext/>
              <w:spacing w:before="40" w:after="40" w:line="240" w:lineRule="exact"/>
              <w:jc w:val="center"/>
              <w:rPr>
                <w:del w:id="2613" w:author="AbbVie2" w:date="2025-05-13T16:36:00Z"/>
                <w:rFonts w:eastAsia="Calibri"/>
                <w:sz w:val="22"/>
                <w:szCs w:val="22"/>
                <w:lang w:eastAsia="ja-JP"/>
              </w:rPr>
            </w:pPr>
            <w:del w:id="2614" w:author="AbbVie2" w:date="2025-05-13T16:36:00Z">
              <w:r w:rsidRPr="008912CF">
                <w:rPr>
                  <w:rFonts w:eastAsia="Calibri"/>
                  <w:sz w:val="22"/>
                  <w:szCs w:val="22"/>
                  <w:lang w:eastAsia="ja-JP"/>
                </w:rPr>
                <w:delText>22 (30,1%)</w:delText>
              </w:r>
            </w:del>
          </w:p>
        </w:tc>
        <w:tc>
          <w:tcPr>
            <w:tcW w:w="1980" w:type="dxa"/>
          </w:tcPr>
          <w:p w14:paraId="1715E857" w14:textId="6CB50FFF" w:rsidR="004462A0" w:rsidRPr="008912CF" w:rsidRDefault="00615769" w:rsidP="00E03A0D">
            <w:pPr>
              <w:keepNext/>
              <w:spacing w:before="40" w:after="40" w:line="240" w:lineRule="exact"/>
              <w:jc w:val="center"/>
              <w:rPr>
                <w:del w:id="2615" w:author="AbbVie2" w:date="2025-05-13T16:36:00Z"/>
                <w:rFonts w:eastAsia="Calibri"/>
                <w:sz w:val="22"/>
                <w:szCs w:val="22"/>
                <w:lang w:eastAsia="ja-JP"/>
              </w:rPr>
            </w:pPr>
            <w:del w:id="2616" w:author="AbbVie2" w:date="2025-05-13T16:36:00Z">
              <w:r w:rsidRPr="008912CF">
                <w:rPr>
                  <w:rFonts w:eastAsia="Calibri"/>
                  <w:sz w:val="22"/>
                  <w:szCs w:val="22"/>
                  <w:lang w:eastAsia="ja-JP"/>
                </w:rPr>
                <w:delText>28 (40,0%)</w:delText>
              </w:r>
            </w:del>
          </w:p>
        </w:tc>
        <w:tc>
          <w:tcPr>
            <w:tcW w:w="1855" w:type="dxa"/>
          </w:tcPr>
          <w:p w14:paraId="3E7F1065" w14:textId="4C91BFAA" w:rsidR="004462A0" w:rsidRPr="008912CF" w:rsidRDefault="00615769" w:rsidP="00E03A0D">
            <w:pPr>
              <w:keepNext/>
              <w:spacing w:before="40" w:after="40" w:line="240" w:lineRule="exact"/>
              <w:jc w:val="center"/>
              <w:rPr>
                <w:del w:id="2617" w:author="AbbVie2" w:date="2025-05-13T16:36:00Z"/>
                <w:rFonts w:eastAsia="Calibri"/>
                <w:sz w:val="22"/>
                <w:szCs w:val="22"/>
                <w:lang w:eastAsia="ja-JP"/>
              </w:rPr>
            </w:pPr>
            <w:del w:id="2618" w:author="AbbVie2" w:date="2025-05-13T16:36:00Z">
              <w:r w:rsidRPr="008912CF">
                <w:rPr>
                  <w:rFonts w:eastAsia="Calibri"/>
                  <w:sz w:val="22"/>
                  <w:szCs w:val="22"/>
                  <w:lang w:eastAsia="ja-JP"/>
                </w:rPr>
                <w:delText>39 (55,7%)</w:delText>
              </w:r>
            </w:del>
          </w:p>
        </w:tc>
      </w:tr>
      <w:tr w:rsidR="00A7162A" w14:paraId="7E496C30" w14:textId="79D8887E" w:rsidTr="00F675CF">
        <w:trPr>
          <w:jc w:val="center"/>
          <w:del w:id="2619" w:author="AbbVie2" w:date="2025-05-13T16:36:00Z"/>
        </w:trPr>
        <w:tc>
          <w:tcPr>
            <w:tcW w:w="7252" w:type="dxa"/>
            <w:gridSpan w:val="4"/>
          </w:tcPr>
          <w:p w14:paraId="6D8380DA" w14:textId="500B42C8" w:rsidR="004462A0" w:rsidRPr="00030971" w:rsidRDefault="00615769" w:rsidP="002F486F">
            <w:pPr>
              <w:keepNext/>
              <w:keepLines/>
              <w:numPr>
                <w:ilvl w:val="0"/>
                <w:numId w:val="83"/>
              </w:numPr>
              <w:tabs>
                <w:tab w:val="left" w:pos="562"/>
              </w:tabs>
              <w:suppressAutoHyphens/>
              <w:spacing w:line="240" w:lineRule="exact"/>
              <w:ind w:left="447"/>
              <w:rPr>
                <w:del w:id="2620" w:author="AbbVie2" w:date="2025-05-13T16:36:00Z"/>
                <w:rFonts w:eastAsia="MS Mincho"/>
                <w:sz w:val="22"/>
                <w:szCs w:val="22"/>
                <w:lang w:eastAsia="ja-JP"/>
              </w:rPr>
            </w:pPr>
            <w:del w:id="2621" w:author="AbbVie2" w:date="2025-05-13T16:36:00Z">
              <w:r w:rsidRPr="008912CF">
                <w:rPr>
                  <w:rFonts w:eastAsia="MS Mincho"/>
                  <w:sz w:val="22"/>
                  <w:szCs w:val="22"/>
                  <w:lang w:eastAsia="ja-JP"/>
                </w:rPr>
                <w:delText>D</w:delText>
              </w:r>
              <w:r w:rsidRPr="008912CF">
                <w:rPr>
                  <w:sz w:val="22"/>
                  <w:szCs w:val="22"/>
                </w:rPr>
                <w:delText>oentes com pelo menos uma resposta parcial a Humira 40 mg todas as semanas, após 12 semanas de tratamento</w:delText>
              </w:r>
            </w:del>
          </w:p>
          <w:p w14:paraId="68F30BA0" w14:textId="5B0DD470" w:rsidR="004462A0" w:rsidRPr="008912CF" w:rsidRDefault="004462A0" w:rsidP="002F486F">
            <w:pPr>
              <w:keepNext/>
              <w:keepLines/>
              <w:tabs>
                <w:tab w:val="left" w:pos="562"/>
              </w:tabs>
              <w:suppressAutoHyphens/>
              <w:spacing w:line="240" w:lineRule="exact"/>
              <w:ind w:left="720"/>
              <w:rPr>
                <w:del w:id="2622" w:author="AbbVie2" w:date="2025-05-13T16:36:00Z"/>
                <w:rFonts w:eastAsia="MS Mincho"/>
                <w:sz w:val="22"/>
                <w:szCs w:val="22"/>
                <w:lang w:eastAsia="ja-JP"/>
              </w:rPr>
            </w:pPr>
          </w:p>
          <w:p w14:paraId="4F11F0A3" w14:textId="437BA793" w:rsidR="004462A0" w:rsidRPr="008912CF" w:rsidRDefault="00615769" w:rsidP="002F486F">
            <w:pPr>
              <w:keepNext/>
              <w:keepLines/>
              <w:numPr>
                <w:ilvl w:val="0"/>
                <w:numId w:val="83"/>
              </w:numPr>
              <w:tabs>
                <w:tab w:val="left" w:pos="562"/>
              </w:tabs>
              <w:suppressAutoHyphens/>
              <w:spacing w:line="240" w:lineRule="exact"/>
              <w:ind w:left="447"/>
              <w:rPr>
                <w:del w:id="2623" w:author="AbbVie2" w:date="2025-05-13T16:36:00Z"/>
                <w:rFonts w:eastAsia="MS Mincho"/>
                <w:sz w:val="22"/>
                <w:szCs w:val="22"/>
                <w:lang w:eastAsia="ja-JP"/>
              </w:rPr>
            </w:pPr>
            <w:del w:id="2624" w:author="AbbVie2" w:date="2025-05-13T16:36:00Z">
              <w:r w:rsidRPr="008912CF">
                <w:rPr>
                  <w:rFonts w:eastAsia="MS Mincho"/>
                  <w:sz w:val="22"/>
                  <w:szCs w:val="22"/>
                  <w:lang w:eastAsia="ja-JP"/>
                </w:rPr>
                <w:delText>Aos doentes que apresentaram perda de resposta ou sem melhoria (de acordo com os critérios específicos do protocolo) foi solicitada a descontinuação dos estudos e foram considerados como não respondedores.</w:delText>
              </w:r>
            </w:del>
          </w:p>
        </w:tc>
      </w:tr>
    </w:tbl>
    <w:p w14:paraId="61C85882" w14:textId="02F93EAA" w:rsidR="004462A0" w:rsidRDefault="004462A0" w:rsidP="004462A0">
      <w:pPr>
        <w:rPr>
          <w:del w:id="2625" w:author="AbbVie2" w:date="2025-05-13T16:36:00Z"/>
          <w:sz w:val="22"/>
          <w:szCs w:val="22"/>
          <w:u w:val="single"/>
        </w:rPr>
      </w:pPr>
    </w:p>
    <w:p w14:paraId="5DF862CB" w14:textId="025A3334" w:rsidR="00E45662" w:rsidRPr="008912CF" w:rsidRDefault="00615769" w:rsidP="00E45662">
      <w:pPr>
        <w:autoSpaceDE w:val="0"/>
        <w:autoSpaceDN w:val="0"/>
        <w:adjustRightInd w:val="0"/>
        <w:rPr>
          <w:del w:id="2626" w:author="AbbVie2" w:date="2025-05-13T16:36:00Z"/>
          <w:sz w:val="22"/>
          <w:szCs w:val="22"/>
        </w:rPr>
      </w:pPr>
      <w:del w:id="2627" w:author="AbbVie2" w:date="2025-05-13T16:36:00Z">
        <w:r w:rsidRPr="008912CF">
          <w:rPr>
            <w:sz w:val="22"/>
            <w:szCs w:val="22"/>
          </w:rPr>
          <w:delText xml:space="preserve">Entre os doentes que foram pelo menos respondedores parciais </w:delText>
        </w:r>
        <w:r w:rsidR="0082206C">
          <w:rPr>
            <w:sz w:val="22"/>
            <w:szCs w:val="22"/>
          </w:rPr>
          <w:delText>à</w:delText>
        </w:r>
        <w:r w:rsidR="0082206C" w:rsidRPr="008912CF">
          <w:rPr>
            <w:sz w:val="22"/>
            <w:szCs w:val="22"/>
          </w:rPr>
          <w:delText xml:space="preserve"> </w:delText>
        </w:r>
        <w:r w:rsidRPr="008912CF">
          <w:rPr>
            <w:sz w:val="22"/>
            <w:szCs w:val="22"/>
          </w:rPr>
          <w:delText xml:space="preserve">Semana 12, e que receberam o tratamento com Humira todas as semanas, em contínuo, a taxa HiSCR na </w:delText>
        </w:r>
        <w:r w:rsidR="00D93157">
          <w:rPr>
            <w:sz w:val="22"/>
            <w:szCs w:val="22"/>
          </w:rPr>
          <w:delText>S</w:delText>
        </w:r>
        <w:r w:rsidRPr="008912CF">
          <w:rPr>
            <w:sz w:val="22"/>
            <w:szCs w:val="22"/>
          </w:rPr>
          <w:delText xml:space="preserve">emana 48 foi de </w:delText>
        </w:r>
        <w:r w:rsidR="004D5D22">
          <w:rPr>
            <w:sz w:val="22"/>
            <w:szCs w:val="22"/>
          </w:rPr>
          <w:delText>68,3</w:delText>
        </w:r>
        <w:r w:rsidR="009343EF">
          <w:rPr>
            <w:sz w:val="22"/>
            <w:szCs w:val="22"/>
          </w:rPr>
          <w:delText>%</w:delText>
        </w:r>
        <w:r w:rsidR="004D5D22">
          <w:rPr>
            <w:sz w:val="22"/>
            <w:szCs w:val="22"/>
          </w:rPr>
          <w:delText xml:space="preserve"> e na </w:delText>
        </w:r>
        <w:r w:rsidR="00D93157">
          <w:rPr>
            <w:sz w:val="22"/>
            <w:szCs w:val="22"/>
          </w:rPr>
          <w:delText>S</w:delText>
        </w:r>
        <w:r w:rsidR="004D5D22">
          <w:rPr>
            <w:sz w:val="22"/>
            <w:szCs w:val="22"/>
          </w:rPr>
          <w:delText>emana 96 foi de 65,1</w:delText>
        </w:r>
        <w:r w:rsidR="009343EF">
          <w:rPr>
            <w:sz w:val="22"/>
            <w:szCs w:val="22"/>
          </w:rPr>
          <w:delText>%</w:delText>
        </w:r>
        <w:r w:rsidRPr="008912CF">
          <w:rPr>
            <w:sz w:val="22"/>
            <w:szCs w:val="22"/>
          </w:rPr>
          <w:delText>.</w:delText>
        </w:r>
        <w:r w:rsidR="004D5D22">
          <w:rPr>
            <w:sz w:val="22"/>
            <w:szCs w:val="22"/>
          </w:rPr>
          <w:delText xml:space="preserve"> O tratamento a longo prazo com Humira</w:delText>
        </w:r>
        <w:r>
          <w:rPr>
            <w:sz w:val="22"/>
            <w:szCs w:val="22"/>
          </w:rPr>
          <w:delText xml:space="preserve"> 40</w:delText>
        </w:r>
        <w:r w:rsidR="00676A46">
          <w:rPr>
            <w:sz w:val="22"/>
            <w:szCs w:val="22"/>
          </w:rPr>
          <w:delText> </w:delText>
        </w:r>
        <w:r>
          <w:rPr>
            <w:sz w:val="22"/>
            <w:szCs w:val="22"/>
          </w:rPr>
          <w:delText xml:space="preserve">mg todas as semanas durante 96 semanas </w:delText>
        </w:r>
        <w:r w:rsidRPr="008912CF">
          <w:rPr>
            <w:sz w:val="22"/>
            <w:szCs w:val="22"/>
          </w:rPr>
          <w:delText>não revel</w:delText>
        </w:r>
        <w:r>
          <w:rPr>
            <w:sz w:val="22"/>
            <w:szCs w:val="22"/>
          </w:rPr>
          <w:delText>ou</w:delText>
        </w:r>
        <w:r w:rsidRPr="008912CF">
          <w:rPr>
            <w:sz w:val="22"/>
            <w:szCs w:val="22"/>
          </w:rPr>
          <w:delText xml:space="preserve"> quaisquer novas informações de segurança.</w:delText>
        </w:r>
      </w:del>
    </w:p>
    <w:p w14:paraId="1CF2F158" w14:textId="596B0DE8" w:rsidR="004462A0" w:rsidRPr="008912CF" w:rsidRDefault="004462A0" w:rsidP="004462A0">
      <w:pPr>
        <w:rPr>
          <w:del w:id="2628" w:author="AbbVie2" w:date="2025-05-13T16:36:00Z"/>
          <w:sz w:val="22"/>
          <w:szCs w:val="22"/>
        </w:rPr>
      </w:pPr>
    </w:p>
    <w:p w14:paraId="2F219084" w14:textId="7B016A14" w:rsidR="004462A0" w:rsidRPr="008912CF" w:rsidRDefault="004462A0" w:rsidP="004462A0">
      <w:pPr>
        <w:rPr>
          <w:del w:id="2629" w:author="AbbVie2" w:date="2025-05-13T16:36:00Z"/>
          <w:sz w:val="22"/>
          <w:szCs w:val="22"/>
        </w:rPr>
      </w:pPr>
    </w:p>
    <w:p w14:paraId="35B1DFBC" w14:textId="4FDFD0C4" w:rsidR="004462A0" w:rsidRDefault="00615769" w:rsidP="004462A0">
      <w:pPr>
        <w:rPr>
          <w:del w:id="2630" w:author="AbbVie2" w:date="2025-05-13T16:36:00Z"/>
          <w:sz w:val="22"/>
          <w:szCs w:val="22"/>
        </w:rPr>
      </w:pPr>
      <w:del w:id="2631" w:author="AbbVie2" w:date="2025-05-13T16:36:00Z">
        <w:r w:rsidRPr="008912CF">
          <w:rPr>
            <w:sz w:val="22"/>
            <w:szCs w:val="22"/>
          </w:rPr>
          <w:delText>Nos Estudos HS-I e HS-II, nos doentes cujo tratamento com Humira foi supenso na semana 12, a taxa de HiSCR, 12 semanas após a re-introdução de Humira 40 mg semanal, voltou a atingir níveis semelhantes aos observados antes da suspensão (56,0</w:delText>
        </w:r>
        <w:r w:rsidR="009343EF">
          <w:rPr>
            <w:sz w:val="22"/>
            <w:szCs w:val="22"/>
          </w:rPr>
          <w:delText>%</w:delText>
        </w:r>
        <w:r w:rsidRPr="008912CF">
          <w:rPr>
            <w:sz w:val="22"/>
            <w:szCs w:val="22"/>
          </w:rPr>
          <w:delText>).</w:delText>
        </w:r>
      </w:del>
    </w:p>
    <w:p w14:paraId="03E10997" w14:textId="5858CF69" w:rsidR="00E03A0D" w:rsidRDefault="00E03A0D" w:rsidP="004462A0">
      <w:pPr>
        <w:rPr>
          <w:del w:id="2632" w:author="AbbVie2" w:date="2025-05-13T16:36:00Z"/>
          <w:i/>
          <w:sz w:val="22"/>
          <w:szCs w:val="22"/>
        </w:rPr>
      </w:pPr>
    </w:p>
    <w:p w14:paraId="6B39949C" w14:textId="138DAE38" w:rsidR="004462A0" w:rsidRPr="008912CF" w:rsidRDefault="00615769" w:rsidP="004462A0">
      <w:pPr>
        <w:rPr>
          <w:del w:id="2633" w:author="AbbVie2" w:date="2025-05-13T16:36:00Z"/>
          <w:sz w:val="22"/>
          <w:szCs w:val="22"/>
          <w:u w:val="single"/>
        </w:rPr>
      </w:pPr>
      <w:del w:id="2634" w:author="AbbVie2" w:date="2025-05-13T16:36:00Z">
        <w:r w:rsidRPr="008912CF">
          <w:rPr>
            <w:i/>
            <w:sz w:val="22"/>
            <w:szCs w:val="22"/>
          </w:rPr>
          <w:delText>Doença de Crohn no adulto</w:delText>
        </w:r>
      </w:del>
    </w:p>
    <w:p w14:paraId="1B070BB3" w14:textId="3D61620D" w:rsidR="004462A0" w:rsidRPr="008912CF" w:rsidRDefault="004462A0" w:rsidP="004462A0">
      <w:pPr>
        <w:rPr>
          <w:del w:id="2635" w:author="AbbVie2" w:date="2025-05-13T16:36:00Z"/>
          <w:sz w:val="22"/>
          <w:szCs w:val="22"/>
        </w:rPr>
      </w:pPr>
    </w:p>
    <w:p w14:paraId="7858A292" w14:textId="5DD7F38F" w:rsidR="004462A0" w:rsidRPr="008912CF" w:rsidRDefault="00615769" w:rsidP="004462A0">
      <w:pPr>
        <w:pStyle w:val="BodyText2"/>
        <w:autoSpaceDE/>
        <w:autoSpaceDN/>
        <w:adjustRightInd/>
        <w:rPr>
          <w:del w:id="2636" w:author="AbbVie2" w:date="2025-05-13T16:36:00Z"/>
          <w:szCs w:val="22"/>
        </w:rPr>
      </w:pPr>
      <w:del w:id="2637" w:author="AbbVie2" w:date="2025-05-13T16:36:00Z">
        <w:r w:rsidRPr="008912CF">
          <w:rPr>
            <w:szCs w:val="22"/>
          </w:rPr>
          <w:delText>A segurança e eficácia de Humira foram avaliadas em mais de 1.500 doentes com doença de Crohn (DC) ativa moderada a grave (</w:delText>
        </w:r>
        <w:r w:rsidRPr="008912CF">
          <w:rPr>
            <w:i/>
            <w:szCs w:val="22"/>
          </w:rPr>
          <w:delText>Crohn’s Disease Activity Index</w:delText>
        </w:r>
        <w:r w:rsidRPr="008912CF">
          <w:rPr>
            <w:szCs w:val="22"/>
          </w:rPr>
          <w:delText xml:space="preserve"> (CDAI) </w:delText>
        </w:r>
        <w:r w:rsidRPr="008912CF">
          <w:rPr>
            <w:rFonts w:ascii="Symbol" w:hAnsi="Symbol"/>
            <w:szCs w:val="22"/>
          </w:rPr>
          <w:sym w:font="Symbol" w:char="F0B3"/>
        </w:r>
        <w:r w:rsidRPr="008912CF">
          <w:rPr>
            <w:szCs w:val="22"/>
          </w:rPr>
          <w:delText xml:space="preserve"> 220 e </w:delText>
        </w:r>
        <w:r w:rsidRPr="008912CF">
          <w:rPr>
            <w:rFonts w:ascii="Symbol" w:hAnsi="Symbol"/>
            <w:szCs w:val="22"/>
          </w:rPr>
          <w:sym w:font="Symbol" w:char="F0A3"/>
        </w:r>
        <w:r w:rsidRPr="008912CF">
          <w:rPr>
            <w:szCs w:val="22"/>
          </w:rPr>
          <w:delText xml:space="preserve"> 450) em estudos </w:delText>
        </w:r>
        <w:r w:rsidR="0013275C">
          <w:rPr>
            <w:szCs w:val="22"/>
          </w:rPr>
          <w:delText>aleatorizado</w:delText>
        </w:r>
        <w:r w:rsidRPr="008912CF">
          <w:rPr>
            <w:szCs w:val="22"/>
          </w:rPr>
          <w:delText>s, em dupla ocultação, controlados com placebo. Foi permitida a utilização concomitante de doses estáveis de aminosalicilatos, corticosteroides, e/ou agentes imunomoduladores e 80</w:delText>
        </w:r>
        <w:r w:rsidR="009343EF">
          <w:rPr>
            <w:szCs w:val="22"/>
          </w:rPr>
          <w:delText>%</w:delText>
        </w:r>
        <w:r w:rsidRPr="008912CF">
          <w:rPr>
            <w:szCs w:val="22"/>
          </w:rPr>
          <w:delText xml:space="preserve"> dos doentes continuaram a receber pelo menos um destes medicamentos.</w:delText>
        </w:r>
      </w:del>
    </w:p>
    <w:p w14:paraId="7B61C55A" w14:textId="40A7A4BE" w:rsidR="004462A0" w:rsidRPr="008912CF" w:rsidRDefault="004462A0" w:rsidP="004462A0">
      <w:pPr>
        <w:jc w:val="both"/>
        <w:rPr>
          <w:del w:id="2638" w:author="AbbVie2" w:date="2025-05-13T16:36:00Z"/>
          <w:sz w:val="22"/>
          <w:szCs w:val="22"/>
        </w:rPr>
      </w:pPr>
    </w:p>
    <w:p w14:paraId="70DD19E2" w14:textId="6F442BDA" w:rsidR="004462A0" w:rsidRPr="008912CF" w:rsidRDefault="00615769" w:rsidP="004462A0">
      <w:pPr>
        <w:pStyle w:val="BodyText2"/>
        <w:autoSpaceDE/>
        <w:autoSpaceDN/>
        <w:adjustRightInd/>
        <w:rPr>
          <w:del w:id="2639" w:author="AbbVie2" w:date="2025-05-13T16:36:00Z"/>
          <w:szCs w:val="22"/>
        </w:rPr>
      </w:pPr>
      <w:del w:id="2640" w:author="AbbVie2" w:date="2025-05-13T16:36:00Z">
        <w:r w:rsidRPr="008912CF">
          <w:rPr>
            <w:szCs w:val="22"/>
          </w:rPr>
          <w:delText>A indução da remissão clínica (definida como CDAI &lt; 150) foi avaliada em dois estudos, Estudo DC I (CLASSIC I) e Estudo DC II (GAIN). No Estudo DC I</w:delText>
        </w:r>
        <w:r w:rsidR="00FD7DDE">
          <w:rPr>
            <w:szCs w:val="22"/>
          </w:rPr>
          <w:delText>,</w:delText>
        </w:r>
        <w:r w:rsidRPr="008912CF">
          <w:rPr>
            <w:szCs w:val="22"/>
          </w:rPr>
          <w:delText xml:space="preserve"> 299 doentes não tratados previamente com antagonistas-TNF foram </w:delText>
        </w:r>
        <w:r w:rsidR="0013275C">
          <w:rPr>
            <w:szCs w:val="22"/>
          </w:rPr>
          <w:delText>aleatorizado</w:delText>
        </w:r>
        <w:r w:rsidRPr="008912CF">
          <w:rPr>
            <w:szCs w:val="22"/>
          </w:rPr>
          <w:delText>s para um dos quatro grupos de tratamento; placebo nas Semanas 0 e 2, 160 mg de Humira na Semana 0 e 80 mg na Semana</w:delText>
        </w:r>
        <w:r>
          <w:rPr>
            <w:szCs w:val="22"/>
          </w:rPr>
          <w:delText> </w:delText>
        </w:r>
        <w:r w:rsidRPr="008912CF">
          <w:rPr>
            <w:szCs w:val="22"/>
          </w:rPr>
          <w:delText>2, 80 mg na Semana 0 e 40 mg na Semana 2, e 40 mg na Semana</w:delText>
        </w:r>
        <w:r>
          <w:rPr>
            <w:szCs w:val="22"/>
          </w:rPr>
          <w:delText> </w:delText>
        </w:r>
        <w:r w:rsidRPr="008912CF">
          <w:rPr>
            <w:szCs w:val="22"/>
          </w:rPr>
          <w:delText>0 e 20 mg na Semana 2. No Estudo DC II</w:delText>
        </w:r>
        <w:r w:rsidR="00FD7DDE">
          <w:rPr>
            <w:szCs w:val="22"/>
          </w:rPr>
          <w:delText>,</w:delText>
        </w:r>
        <w:r w:rsidRPr="008912CF">
          <w:rPr>
            <w:szCs w:val="22"/>
          </w:rPr>
          <w:delText xml:space="preserve"> 325 doentes que deixaram de responder ou foram intolerantes a infliximab foram </w:delText>
        </w:r>
        <w:r w:rsidR="0013275C">
          <w:rPr>
            <w:szCs w:val="22"/>
          </w:rPr>
          <w:delText>aleatorizado</w:delText>
        </w:r>
        <w:r w:rsidRPr="008912CF">
          <w:rPr>
            <w:szCs w:val="22"/>
          </w:rPr>
          <w:delText>s para receber ou 160 mg de Humira na Semana 0 e 80 mg na Semana 2 ou placebo nas Semanas</w:delText>
        </w:r>
        <w:r>
          <w:rPr>
            <w:szCs w:val="22"/>
          </w:rPr>
          <w:delText> </w:delText>
        </w:r>
        <w:r w:rsidRPr="008912CF">
          <w:rPr>
            <w:szCs w:val="22"/>
          </w:rPr>
          <w:delText>0 e 2. Foram excluídos do estudo os não respondedores primários e estes doentes não foram avaliados.</w:delText>
        </w:r>
      </w:del>
    </w:p>
    <w:p w14:paraId="6D36ED9B" w14:textId="25532DEE" w:rsidR="004462A0" w:rsidRPr="008912CF" w:rsidRDefault="004462A0" w:rsidP="004462A0">
      <w:pPr>
        <w:jc w:val="both"/>
        <w:rPr>
          <w:del w:id="2641" w:author="AbbVie2" w:date="2025-05-13T16:36:00Z"/>
          <w:sz w:val="22"/>
          <w:szCs w:val="22"/>
        </w:rPr>
      </w:pPr>
    </w:p>
    <w:p w14:paraId="6F4652E9" w14:textId="1E0B5B31" w:rsidR="004462A0" w:rsidRPr="008912CF" w:rsidRDefault="00615769" w:rsidP="004462A0">
      <w:pPr>
        <w:pStyle w:val="EMEANormal"/>
        <w:rPr>
          <w:del w:id="2642" w:author="AbbVie2" w:date="2025-05-13T16:36:00Z"/>
          <w:szCs w:val="22"/>
          <w:lang w:val="pt-PT"/>
        </w:rPr>
      </w:pPr>
      <w:del w:id="2643" w:author="AbbVie2" w:date="2025-05-13T16:36:00Z">
        <w:r w:rsidRPr="008912CF">
          <w:rPr>
            <w:szCs w:val="22"/>
            <w:lang w:val="pt-PT"/>
          </w:rPr>
          <w:delText xml:space="preserve">A manutenção da remissão clínica foi avaliada no </w:delText>
        </w:r>
        <w:r w:rsidR="00D93157">
          <w:rPr>
            <w:szCs w:val="22"/>
            <w:lang w:val="pt-PT"/>
          </w:rPr>
          <w:delText>E</w:delText>
        </w:r>
        <w:r w:rsidRPr="008912CF">
          <w:rPr>
            <w:szCs w:val="22"/>
            <w:lang w:val="pt-PT"/>
          </w:rPr>
          <w:delText>studo DC III (CHARM). No Estudo DC III</w:delText>
        </w:r>
        <w:r w:rsidR="007507AB">
          <w:rPr>
            <w:szCs w:val="22"/>
            <w:lang w:val="pt-PT"/>
          </w:rPr>
          <w:delText>,</w:delText>
        </w:r>
        <w:r w:rsidRPr="008912CF">
          <w:rPr>
            <w:szCs w:val="22"/>
            <w:lang w:val="pt-PT"/>
          </w:rPr>
          <w:delText xml:space="preserve"> 854 doentes receberam </w:delText>
        </w:r>
        <w:r w:rsidR="00891B19" w:rsidRPr="008912CF">
          <w:rPr>
            <w:szCs w:val="22"/>
            <w:lang w:val="pt-PT"/>
          </w:rPr>
          <w:delText xml:space="preserve">em fase aberta </w:delText>
        </w:r>
        <w:r w:rsidRPr="008912CF">
          <w:rPr>
            <w:szCs w:val="22"/>
            <w:lang w:val="pt-PT"/>
          </w:rPr>
          <w:delText xml:space="preserve">80 mg na Semana 0 e 40 mg na Semana 2. Na Semana 4, os doentes foram </w:delText>
        </w:r>
        <w:r w:rsidR="0013275C">
          <w:rPr>
            <w:szCs w:val="22"/>
            <w:lang w:val="pt-PT"/>
          </w:rPr>
          <w:delText>aleatorizado</w:delText>
        </w:r>
        <w:r w:rsidRPr="008912CF">
          <w:rPr>
            <w:szCs w:val="22"/>
            <w:lang w:val="pt-PT"/>
          </w:rPr>
          <w:delText xml:space="preserve">s para 40 mg em </w:delText>
        </w:r>
        <w:r>
          <w:rPr>
            <w:szCs w:val="22"/>
            <w:lang w:val="pt-PT"/>
          </w:rPr>
          <w:delText>s</w:delText>
        </w:r>
        <w:r w:rsidRPr="008912CF">
          <w:rPr>
            <w:szCs w:val="22"/>
            <w:lang w:val="pt-PT"/>
          </w:rPr>
          <w:delText xml:space="preserve">emanas alternadas, 40 mg todas as </w:delText>
        </w:r>
        <w:r>
          <w:rPr>
            <w:szCs w:val="22"/>
            <w:lang w:val="pt-PT"/>
          </w:rPr>
          <w:delText>s</w:delText>
        </w:r>
        <w:r w:rsidRPr="008912CF">
          <w:rPr>
            <w:szCs w:val="22"/>
            <w:lang w:val="pt-PT"/>
          </w:rPr>
          <w:delText>emanas, ou placebo com uma duração total de 56</w:delText>
        </w:r>
        <w:r>
          <w:rPr>
            <w:szCs w:val="22"/>
            <w:lang w:val="pt-PT"/>
          </w:rPr>
          <w:delText> s</w:delText>
        </w:r>
        <w:r w:rsidRPr="008912CF">
          <w:rPr>
            <w:szCs w:val="22"/>
            <w:lang w:val="pt-PT"/>
          </w:rPr>
          <w:delText>emanas. Doentes em resposta clínica (diminuição de CDAI </w:delText>
        </w:r>
        <w:r w:rsidRPr="008912CF">
          <w:rPr>
            <w:rFonts w:ascii="Symbol" w:hAnsi="Symbol"/>
            <w:szCs w:val="22"/>
            <w:lang w:val="pt-PT"/>
          </w:rPr>
          <w:sym w:font="Symbol" w:char="F0B3"/>
        </w:r>
        <w:r w:rsidRPr="008912CF">
          <w:rPr>
            <w:szCs w:val="22"/>
            <w:lang w:val="pt-PT"/>
          </w:rPr>
          <w:delText xml:space="preserve"> 70) na </w:delText>
        </w:r>
        <w:r w:rsidR="00FD7DDE">
          <w:rPr>
            <w:szCs w:val="22"/>
            <w:lang w:val="pt-PT"/>
          </w:rPr>
          <w:delText>S</w:delText>
        </w:r>
        <w:r w:rsidRPr="008912CF">
          <w:rPr>
            <w:szCs w:val="22"/>
            <w:lang w:val="pt-PT"/>
          </w:rPr>
          <w:delText>emana 4 foram estratificados e analisados separadamente dos que não responderam clinicamente na Semana 4. A redução de corticosteroides foi permitida após a Semana</w:delText>
        </w:r>
        <w:r>
          <w:rPr>
            <w:szCs w:val="22"/>
            <w:lang w:val="pt-PT"/>
          </w:rPr>
          <w:delText> </w:delText>
        </w:r>
        <w:r w:rsidRPr="008912CF">
          <w:rPr>
            <w:szCs w:val="22"/>
            <w:lang w:val="pt-PT"/>
          </w:rPr>
          <w:delText>8.</w:delText>
        </w:r>
      </w:del>
    </w:p>
    <w:p w14:paraId="77E79B5E" w14:textId="34B61DA6" w:rsidR="004462A0" w:rsidRPr="008912CF" w:rsidRDefault="004462A0" w:rsidP="004462A0">
      <w:pPr>
        <w:pStyle w:val="EMEANormal"/>
        <w:rPr>
          <w:del w:id="2644" w:author="AbbVie2" w:date="2025-05-13T16:36:00Z"/>
          <w:szCs w:val="22"/>
          <w:lang w:val="pt-PT"/>
        </w:rPr>
      </w:pPr>
    </w:p>
    <w:p w14:paraId="0B40668E" w14:textId="3EC0AEFB" w:rsidR="004462A0" w:rsidRPr="008912CF" w:rsidRDefault="00615769" w:rsidP="004462A0">
      <w:pPr>
        <w:jc w:val="both"/>
        <w:rPr>
          <w:del w:id="2645" w:author="AbbVie2" w:date="2025-05-13T16:36:00Z"/>
          <w:sz w:val="22"/>
          <w:szCs w:val="22"/>
        </w:rPr>
      </w:pPr>
      <w:del w:id="2646" w:author="AbbVie2" w:date="2025-05-13T16:36:00Z">
        <w:r w:rsidRPr="008912CF">
          <w:rPr>
            <w:sz w:val="22"/>
            <w:szCs w:val="22"/>
          </w:rPr>
          <w:delText>As taxas de indução de remissão e de resposta dos estudos D</w:delText>
        </w:r>
        <w:r w:rsidR="00FD7DDE">
          <w:rPr>
            <w:sz w:val="22"/>
            <w:szCs w:val="22"/>
          </w:rPr>
          <w:delText>C</w:delText>
        </w:r>
        <w:r w:rsidRPr="008912CF">
          <w:rPr>
            <w:sz w:val="22"/>
            <w:szCs w:val="22"/>
          </w:rPr>
          <w:delText xml:space="preserve"> I e D</w:delText>
        </w:r>
        <w:r w:rsidR="00FD7DDE">
          <w:rPr>
            <w:sz w:val="22"/>
            <w:szCs w:val="22"/>
          </w:rPr>
          <w:delText>C</w:delText>
        </w:r>
        <w:r w:rsidRPr="008912CF">
          <w:rPr>
            <w:sz w:val="22"/>
            <w:szCs w:val="22"/>
          </w:rPr>
          <w:delText xml:space="preserve"> II são apresentadas na Tabela </w:delText>
        </w:r>
        <w:r w:rsidR="00D105CA">
          <w:rPr>
            <w:sz w:val="22"/>
            <w:szCs w:val="22"/>
          </w:rPr>
          <w:delText>17</w:delText>
        </w:r>
        <w:r w:rsidRPr="008912CF">
          <w:rPr>
            <w:sz w:val="22"/>
            <w:szCs w:val="22"/>
          </w:rPr>
          <w:delText>.</w:delText>
        </w:r>
      </w:del>
    </w:p>
    <w:p w14:paraId="40AAFD60" w14:textId="0105BB0A" w:rsidR="004462A0" w:rsidRPr="008912CF" w:rsidRDefault="004462A0" w:rsidP="004462A0">
      <w:pPr>
        <w:jc w:val="both"/>
        <w:rPr>
          <w:del w:id="2647" w:author="AbbVie2" w:date="2025-05-13T16:36:00Z"/>
          <w:sz w:val="22"/>
          <w:szCs w:val="22"/>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7"/>
        <w:gridCol w:w="1201"/>
        <w:gridCol w:w="1255"/>
        <w:gridCol w:w="1176"/>
        <w:gridCol w:w="1409"/>
        <w:gridCol w:w="1840"/>
      </w:tblGrid>
      <w:tr w:rsidR="00A7162A" w14:paraId="5F30BD4D" w14:textId="3C24CE82" w:rsidTr="00F675CF">
        <w:trPr>
          <w:cantSplit/>
          <w:del w:id="2648" w:author="AbbVie2" w:date="2025-05-13T16:36:00Z"/>
        </w:trPr>
        <w:tc>
          <w:tcPr>
            <w:tcW w:w="9238" w:type="dxa"/>
            <w:gridSpan w:val="6"/>
            <w:tcBorders>
              <w:top w:val="nil"/>
              <w:left w:val="nil"/>
              <w:right w:val="nil"/>
            </w:tcBorders>
          </w:tcPr>
          <w:p w14:paraId="7AC710A8" w14:textId="6589B455" w:rsidR="004462A0" w:rsidRPr="008912CF" w:rsidRDefault="00615769" w:rsidP="00F675CF">
            <w:pPr>
              <w:pStyle w:val="TableText"/>
              <w:keepNext w:val="0"/>
              <w:spacing w:line="240" w:lineRule="auto"/>
              <w:jc w:val="center"/>
              <w:rPr>
                <w:del w:id="2649" w:author="AbbVie2" w:date="2025-05-13T16:36:00Z"/>
                <w:b/>
                <w:bCs/>
                <w:sz w:val="22"/>
                <w:szCs w:val="22"/>
                <w:lang w:val="pt-PT"/>
              </w:rPr>
            </w:pPr>
            <w:del w:id="2650" w:author="AbbVie2" w:date="2025-05-13T16:36:00Z">
              <w:r w:rsidRPr="008912CF">
                <w:rPr>
                  <w:sz w:val="24"/>
                  <w:szCs w:val="24"/>
                  <w:lang w:val="pt-PT"/>
                </w:rPr>
                <w:br w:type="page"/>
              </w:r>
              <w:r w:rsidRPr="008912CF">
                <w:rPr>
                  <w:szCs w:val="22"/>
                  <w:lang w:val="pt-PT"/>
                </w:rPr>
                <w:br w:type="page"/>
              </w:r>
              <w:r w:rsidRPr="008912CF">
                <w:rPr>
                  <w:b/>
                  <w:bCs/>
                  <w:sz w:val="22"/>
                  <w:szCs w:val="22"/>
                  <w:lang w:val="pt-PT"/>
                </w:rPr>
                <w:delText xml:space="preserve">Tabela </w:delText>
              </w:r>
              <w:r w:rsidR="00D105CA">
                <w:rPr>
                  <w:b/>
                  <w:bCs/>
                  <w:sz w:val="22"/>
                  <w:szCs w:val="22"/>
                  <w:lang w:val="pt-PT"/>
                </w:rPr>
                <w:delText>17</w:delText>
              </w:r>
            </w:del>
          </w:p>
          <w:p w14:paraId="41D6F37E" w14:textId="736040F9" w:rsidR="004462A0" w:rsidRPr="008912CF" w:rsidRDefault="00615769" w:rsidP="00F675CF">
            <w:pPr>
              <w:pStyle w:val="TableText"/>
              <w:keepNext w:val="0"/>
              <w:spacing w:line="240" w:lineRule="auto"/>
              <w:jc w:val="center"/>
              <w:rPr>
                <w:del w:id="2651" w:author="AbbVie2" w:date="2025-05-13T16:36:00Z"/>
                <w:b/>
                <w:bCs/>
                <w:sz w:val="22"/>
                <w:szCs w:val="22"/>
                <w:lang w:val="pt-PT"/>
              </w:rPr>
            </w:pPr>
            <w:del w:id="2652" w:author="AbbVie2" w:date="2025-05-13T16:36:00Z">
              <w:r w:rsidRPr="008912CF">
                <w:rPr>
                  <w:b/>
                  <w:bCs/>
                  <w:sz w:val="22"/>
                  <w:szCs w:val="22"/>
                  <w:lang w:val="pt-PT"/>
                </w:rPr>
                <w:delText>Indução da remissão e resposta clínica</w:delText>
              </w:r>
            </w:del>
          </w:p>
          <w:p w14:paraId="6E48095A" w14:textId="57569537" w:rsidR="004462A0" w:rsidRPr="008912CF" w:rsidRDefault="00615769" w:rsidP="00F675CF">
            <w:pPr>
              <w:pStyle w:val="TableText"/>
              <w:keepNext w:val="0"/>
              <w:spacing w:line="240" w:lineRule="auto"/>
              <w:jc w:val="center"/>
              <w:rPr>
                <w:del w:id="2653" w:author="AbbVie2" w:date="2025-05-13T16:36:00Z"/>
                <w:b/>
                <w:bCs/>
                <w:sz w:val="22"/>
                <w:szCs w:val="22"/>
                <w:lang w:val="pt-PT"/>
              </w:rPr>
            </w:pPr>
            <w:del w:id="2654" w:author="AbbVie2" w:date="2025-05-13T16:36:00Z">
              <w:r w:rsidRPr="008912CF">
                <w:rPr>
                  <w:b/>
                  <w:bCs/>
                  <w:sz w:val="22"/>
                  <w:szCs w:val="22"/>
                  <w:lang w:val="pt-PT"/>
                </w:rPr>
                <w:delText>(Percentagem de Doentes)</w:delText>
              </w:r>
            </w:del>
          </w:p>
          <w:p w14:paraId="5C9BC711" w14:textId="2FA7318E" w:rsidR="004462A0" w:rsidRPr="008912CF" w:rsidRDefault="004462A0" w:rsidP="00F675CF">
            <w:pPr>
              <w:pStyle w:val="TableText"/>
              <w:keepNext w:val="0"/>
              <w:spacing w:line="240" w:lineRule="auto"/>
              <w:jc w:val="center"/>
              <w:rPr>
                <w:del w:id="2655" w:author="AbbVie2" w:date="2025-05-13T16:36:00Z"/>
                <w:b/>
                <w:bCs/>
                <w:sz w:val="22"/>
                <w:szCs w:val="22"/>
                <w:lang w:val="pt-PT"/>
              </w:rPr>
            </w:pPr>
          </w:p>
        </w:tc>
      </w:tr>
      <w:tr w:rsidR="00A7162A" w14:paraId="2FDA475A" w14:textId="009EEB1E" w:rsidTr="00F675CF">
        <w:trPr>
          <w:cantSplit/>
          <w:del w:id="2656" w:author="AbbVie2" w:date="2025-05-13T16:36:00Z"/>
        </w:trPr>
        <w:tc>
          <w:tcPr>
            <w:tcW w:w="2357" w:type="dxa"/>
          </w:tcPr>
          <w:p w14:paraId="6BDB22EA" w14:textId="6B13145C" w:rsidR="004462A0" w:rsidRPr="008912CF" w:rsidRDefault="004462A0" w:rsidP="00F675CF">
            <w:pPr>
              <w:pStyle w:val="TableText"/>
              <w:keepNext w:val="0"/>
              <w:spacing w:line="240" w:lineRule="auto"/>
              <w:rPr>
                <w:del w:id="2657" w:author="AbbVie2" w:date="2025-05-13T16:36:00Z"/>
                <w:b/>
                <w:bCs/>
                <w:sz w:val="22"/>
                <w:szCs w:val="22"/>
                <w:lang w:val="pt-PT"/>
              </w:rPr>
            </w:pPr>
          </w:p>
        </w:tc>
        <w:tc>
          <w:tcPr>
            <w:tcW w:w="3632" w:type="dxa"/>
            <w:gridSpan w:val="3"/>
          </w:tcPr>
          <w:p w14:paraId="50D75315" w14:textId="4AE54D5D" w:rsidR="004462A0" w:rsidRPr="008912CF" w:rsidRDefault="00615769" w:rsidP="00F675CF">
            <w:pPr>
              <w:pStyle w:val="TableText"/>
              <w:keepNext w:val="0"/>
              <w:spacing w:line="240" w:lineRule="auto"/>
              <w:rPr>
                <w:del w:id="2658" w:author="AbbVie2" w:date="2025-05-13T16:36:00Z"/>
                <w:b/>
                <w:bCs/>
                <w:sz w:val="22"/>
                <w:szCs w:val="22"/>
                <w:lang w:val="pt-PT"/>
              </w:rPr>
            </w:pPr>
            <w:del w:id="2659" w:author="AbbVie2" w:date="2025-05-13T16:36:00Z">
              <w:r w:rsidRPr="008912CF">
                <w:rPr>
                  <w:b/>
                  <w:bCs/>
                  <w:sz w:val="22"/>
                  <w:szCs w:val="22"/>
                  <w:lang w:val="pt-PT"/>
                </w:rPr>
                <w:delText>Estudo DC I: Doentes não tratados previamente com Infliximab</w:delText>
              </w:r>
            </w:del>
          </w:p>
        </w:tc>
        <w:tc>
          <w:tcPr>
            <w:tcW w:w="3249" w:type="dxa"/>
            <w:gridSpan w:val="2"/>
          </w:tcPr>
          <w:p w14:paraId="6F9B3201" w14:textId="700811C7" w:rsidR="004462A0" w:rsidRPr="008912CF" w:rsidRDefault="00615769" w:rsidP="00F675CF">
            <w:pPr>
              <w:pStyle w:val="TableText"/>
              <w:keepNext w:val="0"/>
              <w:spacing w:line="240" w:lineRule="auto"/>
              <w:rPr>
                <w:del w:id="2660" w:author="AbbVie2" w:date="2025-05-13T16:36:00Z"/>
                <w:b/>
                <w:bCs/>
                <w:sz w:val="22"/>
                <w:szCs w:val="22"/>
                <w:lang w:val="pt-PT"/>
              </w:rPr>
            </w:pPr>
            <w:del w:id="2661" w:author="AbbVie2" w:date="2025-05-13T16:36:00Z">
              <w:r w:rsidRPr="008912CF">
                <w:rPr>
                  <w:b/>
                  <w:bCs/>
                  <w:sz w:val="22"/>
                  <w:szCs w:val="22"/>
                  <w:lang w:val="pt-PT"/>
                </w:rPr>
                <w:delText>Estudo DC II: Doentes tratados</w:delText>
              </w:r>
              <w:r w:rsidR="001E16B7">
                <w:rPr>
                  <w:b/>
                  <w:bCs/>
                  <w:sz w:val="22"/>
                  <w:szCs w:val="22"/>
                  <w:lang w:val="pt-PT"/>
                </w:rPr>
                <w:delText xml:space="preserve"> previamente</w:delText>
              </w:r>
              <w:r w:rsidRPr="008912CF">
                <w:rPr>
                  <w:b/>
                  <w:bCs/>
                  <w:sz w:val="22"/>
                  <w:szCs w:val="22"/>
                  <w:lang w:val="pt-PT"/>
                </w:rPr>
                <w:delText xml:space="preserve"> com Infliximab</w:delText>
              </w:r>
            </w:del>
          </w:p>
        </w:tc>
      </w:tr>
      <w:tr w:rsidR="00A7162A" w14:paraId="7A54D725" w14:textId="5F712E30" w:rsidTr="00F675CF">
        <w:trPr>
          <w:cantSplit/>
          <w:del w:id="2662" w:author="AbbVie2" w:date="2025-05-13T16:36:00Z"/>
        </w:trPr>
        <w:tc>
          <w:tcPr>
            <w:tcW w:w="2357" w:type="dxa"/>
          </w:tcPr>
          <w:p w14:paraId="63F00C41" w14:textId="6BAEA00F" w:rsidR="004462A0" w:rsidRPr="008912CF" w:rsidRDefault="004462A0" w:rsidP="00F675CF">
            <w:pPr>
              <w:pStyle w:val="TableText"/>
              <w:keepNext w:val="0"/>
              <w:spacing w:line="240" w:lineRule="auto"/>
              <w:jc w:val="center"/>
              <w:rPr>
                <w:del w:id="2663" w:author="AbbVie2" w:date="2025-05-13T16:36:00Z"/>
                <w:b/>
                <w:bCs/>
                <w:sz w:val="22"/>
                <w:szCs w:val="22"/>
                <w:lang w:val="pt-PT"/>
              </w:rPr>
            </w:pPr>
          </w:p>
        </w:tc>
        <w:tc>
          <w:tcPr>
            <w:tcW w:w="1201" w:type="dxa"/>
          </w:tcPr>
          <w:p w14:paraId="0B12FB2C" w14:textId="07C1AF5D" w:rsidR="004462A0" w:rsidRPr="008912CF" w:rsidRDefault="00615769" w:rsidP="00F675CF">
            <w:pPr>
              <w:pStyle w:val="TableText"/>
              <w:keepNext w:val="0"/>
              <w:spacing w:line="240" w:lineRule="auto"/>
              <w:jc w:val="center"/>
              <w:rPr>
                <w:del w:id="2664" w:author="AbbVie2" w:date="2025-05-13T16:36:00Z"/>
                <w:b/>
                <w:bCs/>
                <w:sz w:val="22"/>
                <w:szCs w:val="22"/>
                <w:lang w:val="pt-PT"/>
              </w:rPr>
            </w:pPr>
            <w:del w:id="2665" w:author="AbbVie2" w:date="2025-05-13T16:36:00Z">
              <w:r w:rsidRPr="008912CF">
                <w:rPr>
                  <w:b/>
                  <w:bCs/>
                  <w:sz w:val="22"/>
                  <w:szCs w:val="22"/>
                  <w:lang w:val="pt-PT"/>
                </w:rPr>
                <w:delText>Placebo</w:delText>
              </w:r>
            </w:del>
          </w:p>
          <w:p w14:paraId="723A8D7D" w14:textId="0BD73590" w:rsidR="004462A0" w:rsidRPr="008912CF" w:rsidRDefault="00615769" w:rsidP="00F675CF">
            <w:pPr>
              <w:pStyle w:val="TableText"/>
              <w:keepNext w:val="0"/>
              <w:spacing w:line="240" w:lineRule="auto"/>
              <w:jc w:val="center"/>
              <w:rPr>
                <w:del w:id="2666" w:author="AbbVie2" w:date="2025-05-13T16:36:00Z"/>
                <w:b/>
                <w:bCs/>
                <w:sz w:val="22"/>
                <w:szCs w:val="22"/>
                <w:lang w:val="pt-PT"/>
              </w:rPr>
            </w:pPr>
            <w:del w:id="2667" w:author="AbbVie2" w:date="2025-05-13T16:36:00Z">
              <w:r w:rsidRPr="008912CF">
                <w:rPr>
                  <w:b/>
                  <w:bCs/>
                  <w:sz w:val="22"/>
                  <w:szCs w:val="22"/>
                  <w:lang w:val="pt-PT"/>
                </w:rPr>
                <w:delText>N =74</w:delText>
              </w:r>
            </w:del>
          </w:p>
        </w:tc>
        <w:tc>
          <w:tcPr>
            <w:tcW w:w="1255" w:type="dxa"/>
          </w:tcPr>
          <w:p w14:paraId="4B52F1B1" w14:textId="4581E7B8" w:rsidR="004462A0" w:rsidRPr="008912CF" w:rsidRDefault="00615769" w:rsidP="00F675CF">
            <w:pPr>
              <w:pStyle w:val="TableText"/>
              <w:keepNext w:val="0"/>
              <w:spacing w:line="240" w:lineRule="auto"/>
              <w:jc w:val="center"/>
              <w:rPr>
                <w:del w:id="2668" w:author="AbbVie2" w:date="2025-05-13T16:36:00Z"/>
                <w:b/>
                <w:bCs/>
                <w:sz w:val="22"/>
                <w:szCs w:val="22"/>
                <w:lang w:val="pt-PT"/>
              </w:rPr>
            </w:pPr>
            <w:del w:id="2669" w:author="AbbVie2" w:date="2025-05-13T16:36:00Z">
              <w:r w:rsidRPr="008912CF">
                <w:rPr>
                  <w:b/>
                  <w:bCs/>
                  <w:sz w:val="22"/>
                  <w:szCs w:val="22"/>
                  <w:lang w:val="pt-PT"/>
                </w:rPr>
                <w:delText>Humira</w:delText>
              </w:r>
            </w:del>
          </w:p>
          <w:p w14:paraId="480EE1C0" w14:textId="4D78B9F6" w:rsidR="004462A0" w:rsidRPr="008912CF" w:rsidRDefault="00615769" w:rsidP="00F675CF">
            <w:pPr>
              <w:pStyle w:val="TableText"/>
              <w:keepNext w:val="0"/>
              <w:spacing w:line="240" w:lineRule="auto"/>
              <w:jc w:val="center"/>
              <w:rPr>
                <w:del w:id="2670" w:author="AbbVie2" w:date="2025-05-13T16:36:00Z"/>
                <w:b/>
                <w:bCs/>
                <w:sz w:val="22"/>
                <w:szCs w:val="22"/>
                <w:lang w:val="pt-PT"/>
              </w:rPr>
            </w:pPr>
            <w:del w:id="2671" w:author="AbbVie2" w:date="2025-05-13T16:36:00Z">
              <w:r w:rsidRPr="008912CF">
                <w:rPr>
                  <w:b/>
                  <w:bCs/>
                  <w:sz w:val="22"/>
                  <w:szCs w:val="22"/>
                  <w:lang w:val="pt-PT"/>
                </w:rPr>
                <w:delText>80/40 mg</w:delText>
              </w:r>
            </w:del>
          </w:p>
          <w:p w14:paraId="7DF76367" w14:textId="576D6D48" w:rsidR="004462A0" w:rsidRPr="008912CF" w:rsidRDefault="00615769" w:rsidP="00F675CF">
            <w:pPr>
              <w:pStyle w:val="TableText"/>
              <w:keepNext w:val="0"/>
              <w:spacing w:line="240" w:lineRule="auto"/>
              <w:jc w:val="center"/>
              <w:rPr>
                <w:del w:id="2672" w:author="AbbVie2" w:date="2025-05-13T16:36:00Z"/>
                <w:b/>
                <w:bCs/>
                <w:sz w:val="22"/>
                <w:szCs w:val="22"/>
                <w:lang w:val="pt-PT"/>
              </w:rPr>
            </w:pPr>
            <w:del w:id="2673" w:author="AbbVie2" w:date="2025-05-13T16:36:00Z">
              <w:r w:rsidRPr="008912CF">
                <w:rPr>
                  <w:b/>
                  <w:bCs/>
                  <w:sz w:val="22"/>
                  <w:szCs w:val="22"/>
                  <w:lang w:val="pt-PT"/>
                </w:rPr>
                <w:delText>N =75</w:delText>
              </w:r>
            </w:del>
          </w:p>
        </w:tc>
        <w:tc>
          <w:tcPr>
            <w:tcW w:w="1176" w:type="dxa"/>
          </w:tcPr>
          <w:p w14:paraId="16AD72C3" w14:textId="35DD7A21" w:rsidR="004462A0" w:rsidRPr="008912CF" w:rsidRDefault="00615769" w:rsidP="00F675CF">
            <w:pPr>
              <w:pStyle w:val="TableText"/>
              <w:keepNext w:val="0"/>
              <w:spacing w:line="240" w:lineRule="auto"/>
              <w:jc w:val="center"/>
              <w:rPr>
                <w:del w:id="2674" w:author="AbbVie2" w:date="2025-05-13T16:36:00Z"/>
                <w:b/>
                <w:bCs/>
                <w:sz w:val="22"/>
                <w:szCs w:val="22"/>
                <w:lang w:val="pt-PT"/>
              </w:rPr>
            </w:pPr>
            <w:del w:id="2675" w:author="AbbVie2" w:date="2025-05-13T16:36:00Z">
              <w:r w:rsidRPr="008912CF">
                <w:rPr>
                  <w:b/>
                  <w:bCs/>
                  <w:sz w:val="22"/>
                  <w:szCs w:val="22"/>
                  <w:lang w:val="pt-PT"/>
                </w:rPr>
                <w:delText xml:space="preserve">Humira </w:delText>
              </w:r>
            </w:del>
          </w:p>
          <w:p w14:paraId="17185E8F" w14:textId="67B68B74" w:rsidR="004462A0" w:rsidRPr="008912CF" w:rsidRDefault="00615769" w:rsidP="00F675CF">
            <w:pPr>
              <w:pStyle w:val="TableText"/>
              <w:keepNext w:val="0"/>
              <w:spacing w:line="240" w:lineRule="auto"/>
              <w:jc w:val="center"/>
              <w:rPr>
                <w:del w:id="2676" w:author="AbbVie2" w:date="2025-05-13T16:36:00Z"/>
                <w:b/>
                <w:bCs/>
                <w:sz w:val="22"/>
                <w:szCs w:val="22"/>
                <w:lang w:val="pt-PT"/>
              </w:rPr>
            </w:pPr>
            <w:del w:id="2677" w:author="AbbVie2" w:date="2025-05-13T16:36:00Z">
              <w:r w:rsidRPr="008912CF">
                <w:rPr>
                  <w:b/>
                  <w:bCs/>
                  <w:sz w:val="22"/>
                  <w:szCs w:val="22"/>
                  <w:lang w:val="pt-PT"/>
                </w:rPr>
                <w:delText>160/80 mg N =76</w:delText>
              </w:r>
            </w:del>
          </w:p>
        </w:tc>
        <w:tc>
          <w:tcPr>
            <w:tcW w:w="1409" w:type="dxa"/>
          </w:tcPr>
          <w:p w14:paraId="1CF064E0" w14:textId="5E45EE4A" w:rsidR="004462A0" w:rsidRPr="008912CF" w:rsidRDefault="00615769" w:rsidP="00F675CF">
            <w:pPr>
              <w:pStyle w:val="TableText"/>
              <w:keepNext w:val="0"/>
              <w:spacing w:line="240" w:lineRule="auto"/>
              <w:jc w:val="center"/>
              <w:rPr>
                <w:del w:id="2678" w:author="AbbVie2" w:date="2025-05-13T16:36:00Z"/>
                <w:b/>
                <w:bCs/>
                <w:sz w:val="22"/>
                <w:szCs w:val="22"/>
                <w:lang w:val="pt-PT"/>
              </w:rPr>
            </w:pPr>
            <w:del w:id="2679" w:author="AbbVie2" w:date="2025-05-13T16:36:00Z">
              <w:r w:rsidRPr="008912CF">
                <w:rPr>
                  <w:b/>
                  <w:bCs/>
                  <w:sz w:val="22"/>
                  <w:szCs w:val="22"/>
                  <w:lang w:val="pt-PT"/>
                </w:rPr>
                <w:delText>Placebo</w:delText>
              </w:r>
            </w:del>
          </w:p>
          <w:p w14:paraId="4D5A9F72" w14:textId="380479C9" w:rsidR="004462A0" w:rsidRPr="008912CF" w:rsidRDefault="00615769" w:rsidP="00F675CF">
            <w:pPr>
              <w:pStyle w:val="TableText"/>
              <w:keepNext w:val="0"/>
              <w:spacing w:line="240" w:lineRule="auto"/>
              <w:jc w:val="center"/>
              <w:rPr>
                <w:del w:id="2680" w:author="AbbVie2" w:date="2025-05-13T16:36:00Z"/>
                <w:b/>
                <w:bCs/>
                <w:sz w:val="22"/>
                <w:szCs w:val="22"/>
                <w:lang w:val="pt-PT"/>
              </w:rPr>
            </w:pPr>
            <w:del w:id="2681" w:author="AbbVie2" w:date="2025-05-13T16:36:00Z">
              <w:r w:rsidRPr="008912CF">
                <w:rPr>
                  <w:b/>
                  <w:bCs/>
                  <w:sz w:val="22"/>
                  <w:szCs w:val="22"/>
                  <w:lang w:val="pt-PT"/>
                </w:rPr>
                <w:delText>N =166</w:delText>
              </w:r>
            </w:del>
          </w:p>
        </w:tc>
        <w:tc>
          <w:tcPr>
            <w:tcW w:w="1840" w:type="dxa"/>
          </w:tcPr>
          <w:p w14:paraId="28A3A97D" w14:textId="68F393CB" w:rsidR="004462A0" w:rsidRPr="008912CF" w:rsidRDefault="00615769" w:rsidP="00F675CF">
            <w:pPr>
              <w:pStyle w:val="TableText"/>
              <w:keepNext w:val="0"/>
              <w:spacing w:line="240" w:lineRule="auto"/>
              <w:jc w:val="center"/>
              <w:rPr>
                <w:del w:id="2682" w:author="AbbVie2" w:date="2025-05-13T16:36:00Z"/>
                <w:b/>
                <w:bCs/>
                <w:sz w:val="22"/>
                <w:szCs w:val="22"/>
                <w:lang w:val="pt-PT"/>
              </w:rPr>
            </w:pPr>
            <w:del w:id="2683" w:author="AbbVie2" w:date="2025-05-13T16:36:00Z">
              <w:r w:rsidRPr="008912CF">
                <w:rPr>
                  <w:b/>
                  <w:bCs/>
                  <w:sz w:val="22"/>
                  <w:szCs w:val="22"/>
                  <w:lang w:val="pt-PT"/>
                </w:rPr>
                <w:delText xml:space="preserve">Humira </w:delText>
              </w:r>
            </w:del>
          </w:p>
          <w:p w14:paraId="29A9E86B" w14:textId="4F7415EE" w:rsidR="004462A0" w:rsidRPr="008912CF" w:rsidRDefault="00615769" w:rsidP="00F675CF">
            <w:pPr>
              <w:pStyle w:val="TableText"/>
              <w:keepNext w:val="0"/>
              <w:spacing w:line="240" w:lineRule="auto"/>
              <w:jc w:val="center"/>
              <w:rPr>
                <w:del w:id="2684" w:author="AbbVie2" w:date="2025-05-13T16:36:00Z"/>
                <w:b/>
                <w:bCs/>
                <w:sz w:val="22"/>
                <w:szCs w:val="22"/>
                <w:lang w:val="pt-PT"/>
              </w:rPr>
            </w:pPr>
            <w:del w:id="2685" w:author="AbbVie2" w:date="2025-05-13T16:36:00Z">
              <w:r w:rsidRPr="008912CF">
                <w:rPr>
                  <w:b/>
                  <w:bCs/>
                  <w:sz w:val="22"/>
                  <w:szCs w:val="22"/>
                  <w:lang w:val="pt-PT"/>
                </w:rPr>
                <w:delText>160/80 mg</w:delText>
              </w:r>
            </w:del>
          </w:p>
          <w:p w14:paraId="764619B3" w14:textId="6F0CF71E" w:rsidR="004462A0" w:rsidRPr="008912CF" w:rsidRDefault="00615769" w:rsidP="00F675CF">
            <w:pPr>
              <w:pStyle w:val="TableText"/>
              <w:keepNext w:val="0"/>
              <w:spacing w:line="240" w:lineRule="auto"/>
              <w:jc w:val="center"/>
              <w:rPr>
                <w:del w:id="2686" w:author="AbbVie2" w:date="2025-05-13T16:36:00Z"/>
                <w:b/>
                <w:bCs/>
                <w:sz w:val="22"/>
                <w:szCs w:val="22"/>
                <w:lang w:val="pt-PT"/>
              </w:rPr>
            </w:pPr>
            <w:del w:id="2687" w:author="AbbVie2" w:date="2025-05-13T16:36:00Z">
              <w:r w:rsidRPr="008912CF">
                <w:rPr>
                  <w:b/>
                  <w:bCs/>
                  <w:sz w:val="22"/>
                  <w:szCs w:val="22"/>
                  <w:lang w:val="pt-PT"/>
                </w:rPr>
                <w:delText>N =159</w:delText>
              </w:r>
            </w:del>
          </w:p>
        </w:tc>
      </w:tr>
      <w:tr w:rsidR="00A7162A" w14:paraId="10966FD8" w14:textId="69A90B4B" w:rsidTr="00F675CF">
        <w:trPr>
          <w:cantSplit/>
          <w:del w:id="2688" w:author="AbbVie2" w:date="2025-05-13T16:36:00Z"/>
        </w:trPr>
        <w:tc>
          <w:tcPr>
            <w:tcW w:w="2357" w:type="dxa"/>
            <w:vAlign w:val="bottom"/>
          </w:tcPr>
          <w:p w14:paraId="23CE8EAB" w14:textId="3C7F7041" w:rsidR="004462A0" w:rsidRPr="008912CF" w:rsidRDefault="00615769" w:rsidP="00F675CF">
            <w:pPr>
              <w:pStyle w:val="TableText"/>
              <w:keepNext w:val="0"/>
              <w:spacing w:line="240" w:lineRule="auto"/>
              <w:rPr>
                <w:del w:id="2689" w:author="AbbVie2" w:date="2025-05-13T16:36:00Z"/>
                <w:sz w:val="22"/>
                <w:szCs w:val="22"/>
                <w:lang w:val="pt-PT"/>
              </w:rPr>
            </w:pPr>
            <w:del w:id="2690" w:author="AbbVie2" w:date="2025-05-13T16:36:00Z">
              <w:r w:rsidRPr="008912CF">
                <w:rPr>
                  <w:sz w:val="22"/>
                  <w:szCs w:val="22"/>
                  <w:lang w:val="pt-PT"/>
                </w:rPr>
                <w:delText>Semana</w:delText>
              </w:r>
              <w:r>
                <w:rPr>
                  <w:sz w:val="22"/>
                  <w:szCs w:val="22"/>
                  <w:lang w:val="pt-PT"/>
                </w:rPr>
                <w:delText> </w:delText>
              </w:r>
              <w:r w:rsidRPr="008912CF">
                <w:rPr>
                  <w:sz w:val="22"/>
                  <w:szCs w:val="22"/>
                  <w:lang w:val="pt-PT"/>
                </w:rPr>
                <w:delText>4</w:delText>
              </w:r>
            </w:del>
          </w:p>
        </w:tc>
        <w:tc>
          <w:tcPr>
            <w:tcW w:w="1201" w:type="dxa"/>
            <w:vAlign w:val="bottom"/>
          </w:tcPr>
          <w:p w14:paraId="46440313" w14:textId="000248F5" w:rsidR="004462A0" w:rsidRPr="008912CF" w:rsidRDefault="004462A0" w:rsidP="00F675CF">
            <w:pPr>
              <w:pStyle w:val="TableText"/>
              <w:keepNext w:val="0"/>
              <w:spacing w:line="240" w:lineRule="auto"/>
              <w:rPr>
                <w:del w:id="2691" w:author="AbbVie2" w:date="2025-05-13T16:36:00Z"/>
                <w:sz w:val="22"/>
                <w:szCs w:val="22"/>
                <w:lang w:val="pt-PT"/>
              </w:rPr>
            </w:pPr>
          </w:p>
        </w:tc>
        <w:tc>
          <w:tcPr>
            <w:tcW w:w="1255" w:type="dxa"/>
            <w:vAlign w:val="bottom"/>
          </w:tcPr>
          <w:p w14:paraId="3A36B849" w14:textId="72B57C39" w:rsidR="004462A0" w:rsidRPr="008912CF" w:rsidRDefault="004462A0" w:rsidP="00F675CF">
            <w:pPr>
              <w:pStyle w:val="TableText"/>
              <w:keepNext w:val="0"/>
              <w:spacing w:line="240" w:lineRule="auto"/>
              <w:rPr>
                <w:del w:id="2692" w:author="AbbVie2" w:date="2025-05-13T16:36:00Z"/>
                <w:sz w:val="22"/>
                <w:szCs w:val="22"/>
                <w:lang w:val="pt-PT"/>
              </w:rPr>
            </w:pPr>
          </w:p>
        </w:tc>
        <w:tc>
          <w:tcPr>
            <w:tcW w:w="1176" w:type="dxa"/>
            <w:vAlign w:val="bottom"/>
          </w:tcPr>
          <w:p w14:paraId="60488DD4" w14:textId="376B90C4" w:rsidR="004462A0" w:rsidRPr="008912CF" w:rsidRDefault="004462A0" w:rsidP="00F675CF">
            <w:pPr>
              <w:pStyle w:val="TableText"/>
              <w:keepNext w:val="0"/>
              <w:spacing w:line="240" w:lineRule="auto"/>
              <w:rPr>
                <w:del w:id="2693" w:author="AbbVie2" w:date="2025-05-13T16:36:00Z"/>
                <w:sz w:val="22"/>
                <w:szCs w:val="22"/>
                <w:lang w:val="pt-PT"/>
              </w:rPr>
            </w:pPr>
          </w:p>
        </w:tc>
        <w:tc>
          <w:tcPr>
            <w:tcW w:w="1409" w:type="dxa"/>
            <w:vAlign w:val="bottom"/>
          </w:tcPr>
          <w:p w14:paraId="5A75D887" w14:textId="349D92C9" w:rsidR="004462A0" w:rsidRPr="008912CF" w:rsidRDefault="004462A0" w:rsidP="00F675CF">
            <w:pPr>
              <w:pStyle w:val="TableText"/>
              <w:keepNext w:val="0"/>
              <w:spacing w:line="240" w:lineRule="auto"/>
              <w:rPr>
                <w:del w:id="2694" w:author="AbbVie2" w:date="2025-05-13T16:36:00Z"/>
                <w:sz w:val="22"/>
                <w:szCs w:val="22"/>
                <w:lang w:val="pt-PT"/>
              </w:rPr>
            </w:pPr>
          </w:p>
        </w:tc>
        <w:tc>
          <w:tcPr>
            <w:tcW w:w="1840" w:type="dxa"/>
            <w:vAlign w:val="bottom"/>
          </w:tcPr>
          <w:p w14:paraId="76009D10" w14:textId="1C14EBDC" w:rsidR="004462A0" w:rsidRPr="008912CF" w:rsidRDefault="004462A0" w:rsidP="00F675CF">
            <w:pPr>
              <w:pStyle w:val="TableText"/>
              <w:keepNext w:val="0"/>
              <w:spacing w:line="240" w:lineRule="auto"/>
              <w:rPr>
                <w:del w:id="2695" w:author="AbbVie2" w:date="2025-05-13T16:36:00Z"/>
                <w:sz w:val="22"/>
                <w:szCs w:val="22"/>
                <w:lang w:val="pt-PT"/>
              </w:rPr>
            </w:pPr>
          </w:p>
        </w:tc>
      </w:tr>
      <w:tr w:rsidR="00A7162A" w14:paraId="05A121F0" w14:textId="5E2143AC" w:rsidTr="00F675CF">
        <w:trPr>
          <w:cantSplit/>
          <w:del w:id="2696" w:author="AbbVie2" w:date="2025-05-13T16:36:00Z"/>
        </w:trPr>
        <w:tc>
          <w:tcPr>
            <w:tcW w:w="2357" w:type="dxa"/>
            <w:vAlign w:val="bottom"/>
          </w:tcPr>
          <w:p w14:paraId="764D5CD9" w14:textId="03A1FBA7" w:rsidR="004462A0" w:rsidRPr="008912CF" w:rsidRDefault="00615769" w:rsidP="00F675CF">
            <w:pPr>
              <w:pStyle w:val="TableText"/>
              <w:keepNext w:val="0"/>
              <w:spacing w:line="240" w:lineRule="auto"/>
              <w:rPr>
                <w:del w:id="2697" w:author="AbbVie2" w:date="2025-05-13T16:36:00Z"/>
                <w:sz w:val="22"/>
                <w:szCs w:val="22"/>
                <w:lang w:val="pt-PT"/>
              </w:rPr>
            </w:pPr>
            <w:del w:id="2698" w:author="AbbVie2" w:date="2025-05-13T16:36:00Z">
              <w:r w:rsidRPr="008912CF">
                <w:rPr>
                  <w:sz w:val="22"/>
                  <w:szCs w:val="22"/>
                  <w:lang w:val="pt-PT"/>
                </w:rPr>
                <w:delText>Remissão clínica</w:delText>
              </w:r>
            </w:del>
          </w:p>
        </w:tc>
        <w:tc>
          <w:tcPr>
            <w:tcW w:w="1201" w:type="dxa"/>
            <w:vAlign w:val="bottom"/>
          </w:tcPr>
          <w:p w14:paraId="10EFF78E" w14:textId="2E9CA063" w:rsidR="004462A0" w:rsidRPr="008912CF" w:rsidRDefault="00615769" w:rsidP="00F675CF">
            <w:pPr>
              <w:pStyle w:val="TableText"/>
              <w:keepNext w:val="0"/>
              <w:spacing w:line="240" w:lineRule="auto"/>
              <w:jc w:val="center"/>
              <w:rPr>
                <w:del w:id="2699" w:author="AbbVie2" w:date="2025-05-13T16:36:00Z"/>
                <w:sz w:val="22"/>
                <w:szCs w:val="22"/>
                <w:lang w:val="pt-PT"/>
              </w:rPr>
            </w:pPr>
            <w:del w:id="2700" w:author="AbbVie2" w:date="2025-05-13T16:36:00Z">
              <w:r w:rsidRPr="008912CF">
                <w:rPr>
                  <w:sz w:val="22"/>
                  <w:szCs w:val="22"/>
                  <w:lang w:val="pt-PT"/>
                </w:rPr>
                <w:delText>12</w:delText>
              </w:r>
              <w:r w:rsidR="009343EF">
                <w:rPr>
                  <w:sz w:val="22"/>
                  <w:szCs w:val="22"/>
                  <w:lang w:val="pt-PT"/>
                </w:rPr>
                <w:delText>%</w:delText>
              </w:r>
            </w:del>
          </w:p>
        </w:tc>
        <w:tc>
          <w:tcPr>
            <w:tcW w:w="1255" w:type="dxa"/>
            <w:vAlign w:val="bottom"/>
          </w:tcPr>
          <w:p w14:paraId="60F8CCD7" w14:textId="213D745A" w:rsidR="004462A0" w:rsidRPr="008912CF" w:rsidRDefault="00615769" w:rsidP="00F675CF">
            <w:pPr>
              <w:pStyle w:val="TableText"/>
              <w:keepNext w:val="0"/>
              <w:spacing w:line="240" w:lineRule="auto"/>
              <w:jc w:val="center"/>
              <w:rPr>
                <w:del w:id="2701" w:author="AbbVie2" w:date="2025-05-13T16:36:00Z"/>
                <w:bCs/>
                <w:iCs/>
                <w:sz w:val="22"/>
                <w:szCs w:val="22"/>
                <w:lang w:val="pt-PT"/>
              </w:rPr>
            </w:pPr>
            <w:del w:id="2702" w:author="AbbVie2" w:date="2025-05-13T16:36:00Z">
              <w:r w:rsidRPr="008912CF">
                <w:rPr>
                  <w:bCs/>
                  <w:iCs/>
                  <w:sz w:val="22"/>
                  <w:szCs w:val="22"/>
                  <w:lang w:val="pt-PT"/>
                </w:rPr>
                <w:delText>24</w:delText>
              </w:r>
              <w:r w:rsidR="009343EF">
                <w:rPr>
                  <w:bCs/>
                  <w:iCs/>
                  <w:sz w:val="22"/>
                  <w:szCs w:val="22"/>
                  <w:lang w:val="pt-PT"/>
                </w:rPr>
                <w:delText>%</w:delText>
              </w:r>
            </w:del>
          </w:p>
        </w:tc>
        <w:tc>
          <w:tcPr>
            <w:tcW w:w="1176" w:type="dxa"/>
            <w:vAlign w:val="bottom"/>
          </w:tcPr>
          <w:p w14:paraId="43D72E2B" w14:textId="7196EF80" w:rsidR="004462A0" w:rsidRPr="008912CF" w:rsidRDefault="00615769" w:rsidP="00F675CF">
            <w:pPr>
              <w:pStyle w:val="TableText"/>
              <w:keepNext w:val="0"/>
              <w:spacing w:line="240" w:lineRule="auto"/>
              <w:jc w:val="center"/>
              <w:rPr>
                <w:del w:id="2703" w:author="AbbVie2" w:date="2025-05-13T16:36:00Z"/>
                <w:bCs/>
                <w:iCs/>
                <w:sz w:val="22"/>
                <w:szCs w:val="22"/>
                <w:lang w:val="pt-PT"/>
              </w:rPr>
            </w:pPr>
            <w:del w:id="2704" w:author="AbbVie2" w:date="2025-05-13T16:36:00Z">
              <w:r w:rsidRPr="008912CF">
                <w:rPr>
                  <w:sz w:val="22"/>
                  <w:szCs w:val="22"/>
                  <w:lang w:val="pt-PT"/>
                </w:rPr>
                <w:delText>36</w:delText>
              </w:r>
              <w:r w:rsidR="009343EF">
                <w:rPr>
                  <w:sz w:val="22"/>
                  <w:szCs w:val="22"/>
                  <w:lang w:val="pt-PT"/>
                </w:rPr>
                <w:delText>%</w:delText>
              </w:r>
              <w:r w:rsidRPr="008912CF">
                <w:rPr>
                  <w:sz w:val="22"/>
                  <w:szCs w:val="22"/>
                  <w:vertAlign w:val="superscript"/>
                  <w:lang w:val="pt-PT"/>
                </w:rPr>
                <w:delText>*</w:delText>
              </w:r>
            </w:del>
          </w:p>
        </w:tc>
        <w:tc>
          <w:tcPr>
            <w:tcW w:w="1409" w:type="dxa"/>
            <w:vAlign w:val="bottom"/>
          </w:tcPr>
          <w:p w14:paraId="31130E33" w14:textId="6B09043F" w:rsidR="004462A0" w:rsidRPr="008912CF" w:rsidRDefault="00615769" w:rsidP="00F675CF">
            <w:pPr>
              <w:pStyle w:val="TableText"/>
              <w:keepNext w:val="0"/>
              <w:spacing w:line="240" w:lineRule="auto"/>
              <w:jc w:val="center"/>
              <w:rPr>
                <w:del w:id="2705" w:author="AbbVie2" w:date="2025-05-13T16:36:00Z"/>
                <w:sz w:val="22"/>
                <w:szCs w:val="22"/>
                <w:lang w:val="pt-PT"/>
              </w:rPr>
            </w:pPr>
            <w:del w:id="2706" w:author="AbbVie2" w:date="2025-05-13T16:36:00Z">
              <w:r w:rsidRPr="008912CF">
                <w:rPr>
                  <w:sz w:val="22"/>
                  <w:szCs w:val="22"/>
                  <w:lang w:val="pt-PT"/>
                </w:rPr>
                <w:delText>7</w:delText>
              </w:r>
              <w:r w:rsidR="009343EF">
                <w:rPr>
                  <w:sz w:val="22"/>
                  <w:szCs w:val="22"/>
                  <w:lang w:val="pt-PT"/>
                </w:rPr>
                <w:delText>%</w:delText>
              </w:r>
            </w:del>
          </w:p>
        </w:tc>
        <w:tc>
          <w:tcPr>
            <w:tcW w:w="1840" w:type="dxa"/>
            <w:vAlign w:val="bottom"/>
          </w:tcPr>
          <w:p w14:paraId="4314878E" w14:textId="4FADEB1B" w:rsidR="004462A0" w:rsidRPr="008912CF" w:rsidRDefault="00615769" w:rsidP="00F675CF">
            <w:pPr>
              <w:pStyle w:val="TableText"/>
              <w:keepNext w:val="0"/>
              <w:spacing w:line="240" w:lineRule="auto"/>
              <w:jc w:val="center"/>
              <w:rPr>
                <w:del w:id="2707" w:author="AbbVie2" w:date="2025-05-13T16:36:00Z"/>
                <w:sz w:val="22"/>
                <w:szCs w:val="22"/>
                <w:lang w:val="pt-PT"/>
              </w:rPr>
            </w:pPr>
            <w:del w:id="2708" w:author="AbbVie2" w:date="2025-05-13T16:36:00Z">
              <w:r w:rsidRPr="008912CF">
                <w:rPr>
                  <w:sz w:val="22"/>
                  <w:szCs w:val="22"/>
                  <w:lang w:val="pt-PT"/>
                </w:rPr>
                <w:delText>21</w:delText>
              </w:r>
              <w:r w:rsidR="009343EF">
                <w:rPr>
                  <w:sz w:val="22"/>
                  <w:szCs w:val="22"/>
                  <w:lang w:val="pt-PT"/>
                </w:rPr>
                <w:delText>%</w:delText>
              </w:r>
              <w:r w:rsidRPr="008912CF">
                <w:rPr>
                  <w:sz w:val="22"/>
                  <w:szCs w:val="22"/>
                  <w:vertAlign w:val="superscript"/>
                  <w:lang w:val="pt-PT"/>
                </w:rPr>
                <w:delText>*</w:delText>
              </w:r>
            </w:del>
          </w:p>
        </w:tc>
      </w:tr>
      <w:tr w:rsidR="00A7162A" w14:paraId="2BD1A3DB" w14:textId="6FE001C6" w:rsidTr="00F675CF">
        <w:trPr>
          <w:cantSplit/>
          <w:del w:id="2709" w:author="AbbVie2" w:date="2025-05-13T16:36:00Z"/>
        </w:trPr>
        <w:tc>
          <w:tcPr>
            <w:tcW w:w="2357" w:type="dxa"/>
          </w:tcPr>
          <w:p w14:paraId="119FB561" w14:textId="29E8A0A2" w:rsidR="004462A0" w:rsidRPr="008912CF" w:rsidRDefault="00615769" w:rsidP="00F675CF">
            <w:pPr>
              <w:pStyle w:val="TableText"/>
              <w:keepNext w:val="0"/>
              <w:spacing w:line="240" w:lineRule="auto"/>
              <w:rPr>
                <w:del w:id="2710" w:author="AbbVie2" w:date="2025-05-13T16:36:00Z"/>
                <w:sz w:val="22"/>
                <w:szCs w:val="22"/>
                <w:lang w:val="pt-PT"/>
              </w:rPr>
            </w:pPr>
            <w:del w:id="2711" w:author="AbbVie2" w:date="2025-05-13T16:36:00Z">
              <w:r w:rsidRPr="008912CF">
                <w:rPr>
                  <w:sz w:val="22"/>
                  <w:szCs w:val="22"/>
                  <w:lang w:val="pt-PT"/>
                </w:rPr>
                <w:delText>Resposta clínica (CR-100)</w:delText>
              </w:r>
            </w:del>
          </w:p>
        </w:tc>
        <w:tc>
          <w:tcPr>
            <w:tcW w:w="1201" w:type="dxa"/>
          </w:tcPr>
          <w:p w14:paraId="36FDFEC4" w14:textId="123504E7" w:rsidR="004462A0" w:rsidRPr="008912CF" w:rsidRDefault="00615769" w:rsidP="00F675CF">
            <w:pPr>
              <w:pStyle w:val="TableText"/>
              <w:keepNext w:val="0"/>
              <w:spacing w:line="240" w:lineRule="auto"/>
              <w:jc w:val="center"/>
              <w:rPr>
                <w:del w:id="2712" w:author="AbbVie2" w:date="2025-05-13T16:36:00Z"/>
                <w:sz w:val="22"/>
                <w:szCs w:val="22"/>
                <w:lang w:val="pt-PT"/>
              </w:rPr>
            </w:pPr>
            <w:del w:id="2713" w:author="AbbVie2" w:date="2025-05-13T16:36:00Z">
              <w:r w:rsidRPr="008912CF">
                <w:rPr>
                  <w:sz w:val="22"/>
                  <w:szCs w:val="22"/>
                  <w:lang w:val="pt-PT"/>
                </w:rPr>
                <w:delText>24</w:delText>
              </w:r>
              <w:r w:rsidR="009343EF">
                <w:rPr>
                  <w:sz w:val="22"/>
                  <w:szCs w:val="22"/>
                  <w:lang w:val="pt-PT"/>
                </w:rPr>
                <w:delText>%</w:delText>
              </w:r>
            </w:del>
          </w:p>
        </w:tc>
        <w:tc>
          <w:tcPr>
            <w:tcW w:w="1255" w:type="dxa"/>
          </w:tcPr>
          <w:p w14:paraId="49236557" w14:textId="5C27BF57" w:rsidR="004462A0" w:rsidRPr="008912CF" w:rsidRDefault="00615769" w:rsidP="00F675CF">
            <w:pPr>
              <w:pStyle w:val="TableText"/>
              <w:keepNext w:val="0"/>
              <w:spacing w:line="240" w:lineRule="auto"/>
              <w:jc w:val="center"/>
              <w:rPr>
                <w:del w:id="2714" w:author="AbbVie2" w:date="2025-05-13T16:36:00Z"/>
                <w:sz w:val="22"/>
                <w:szCs w:val="22"/>
                <w:lang w:val="pt-PT"/>
              </w:rPr>
            </w:pPr>
            <w:del w:id="2715" w:author="AbbVie2" w:date="2025-05-13T16:36:00Z">
              <w:r w:rsidRPr="008912CF">
                <w:rPr>
                  <w:sz w:val="22"/>
                  <w:szCs w:val="22"/>
                  <w:lang w:val="pt-PT"/>
                </w:rPr>
                <w:delText>37</w:delText>
              </w:r>
              <w:r w:rsidR="009343EF">
                <w:rPr>
                  <w:sz w:val="22"/>
                  <w:szCs w:val="22"/>
                  <w:lang w:val="pt-PT"/>
                </w:rPr>
                <w:delText>%</w:delText>
              </w:r>
            </w:del>
          </w:p>
        </w:tc>
        <w:tc>
          <w:tcPr>
            <w:tcW w:w="1176" w:type="dxa"/>
          </w:tcPr>
          <w:p w14:paraId="6DF3A706" w14:textId="7DD01A9C" w:rsidR="004462A0" w:rsidRPr="008912CF" w:rsidRDefault="00615769" w:rsidP="00F675CF">
            <w:pPr>
              <w:pStyle w:val="TableText"/>
              <w:keepNext w:val="0"/>
              <w:spacing w:line="240" w:lineRule="auto"/>
              <w:jc w:val="center"/>
              <w:rPr>
                <w:del w:id="2716" w:author="AbbVie2" w:date="2025-05-13T16:36:00Z"/>
                <w:sz w:val="22"/>
                <w:szCs w:val="22"/>
                <w:lang w:val="pt-PT"/>
              </w:rPr>
            </w:pPr>
            <w:del w:id="2717" w:author="AbbVie2" w:date="2025-05-13T16:36:00Z">
              <w:r w:rsidRPr="008912CF">
                <w:rPr>
                  <w:sz w:val="22"/>
                  <w:szCs w:val="22"/>
                  <w:lang w:val="pt-PT"/>
                </w:rPr>
                <w:delText>49</w:delText>
              </w:r>
              <w:r w:rsidR="009343EF">
                <w:rPr>
                  <w:sz w:val="22"/>
                  <w:szCs w:val="22"/>
                  <w:lang w:val="pt-PT"/>
                </w:rPr>
                <w:delText>%</w:delText>
              </w:r>
              <w:r w:rsidRPr="008912CF">
                <w:rPr>
                  <w:sz w:val="22"/>
                  <w:szCs w:val="22"/>
                  <w:vertAlign w:val="superscript"/>
                  <w:lang w:val="pt-PT"/>
                </w:rPr>
                <w:delText>**</w:delText>
              </w:r>
            </w:del>
          </w:p>
        </w:tc>
        <w:tc>
          <w:tcPr>
            <w:tcW w:w="1409" w:type="dxa"/>
          </w:tcPr>
          <w:p w14:paraId="375B8B04" w14:textId="06155863" w:rsidR="004462A0" w:rsidRPr="008912CF" w:rsidRDefault="00615769" w:rsidP="00F675CF">
            <w:pPr>
              <w:pStyle w:val="TableText"/>
              <w:keepNext w:val="0"/>
              <w:spacing w:line="240" w:lineRule="auto"/>
              <w:jc w:val="center"/>
              <w:rPr>
                <w:del w:id="2718" w:author="AbbVie2" w:date="2025-05-13T16:36:00Z"/>
                <w:sz w:val="22"/>
                <w:szCs w:val="22"/>
                <w:lang w:val="pt-PT"/>
              </w:rPr>
            </w:pPr>
            <w:del w:id="2719" w:author="AbbVie2" w:date="2025-05-13T16:36:00Z">
              <w:r w:rsidRPr="008912CF">
                <w:rPr>
                  <w:sz w:val="22"/>
                  <w:szCs w:val="22"/>
                  <w:lang w:val="pt-PT"/>
                </w:rPr>
                <w:delText>25</w:delText>
              </w:r>
              <w:r w:rsidR="009343EF">
                <w:rPr>
                  <w:sz w:val="22"/>
                  <w:szCs w:val="22"/>
                  <w:lang w:val="pt-PT"/>
                </w:rPr>
                <w:delText>%</w:delText>
              </w:r>
            </w:del>
          </w:p>
        </w:tc>
        <w:tc>
          <w:tcPr>
            <w:tcW w:w="1840" w:type="dxa"/>
          </w:tcPr>
          <w:p w14:paraId="4DF0D96A" w14:textId="7EF74A08" w:rsidR="004462A0" w:rsidRPr="008912CF" w:rsidRDefault="00615769" w:rsidP="00F675CF">
            <w:pPr>
              <w:pStyle w:val="TableText"/>
              <w:keepNext w:val="0"/>
              <w:spacing w:line="240" w:lineRule="auto"/>
              <w:jc w:val="center"/>
              <w:rPr>
                <w:del w:id="2720" w:author="AbbVie2" w:date="2025-05-13T16:36:00Z"/>
                <w:sz w:val="22"/>
                <w:szCs w:val="22"/>
                <w:lang w:val="pt-PT"/>
              </w:rPr>
            </w:pPr>
            <w:del w:id="2721" w:author="AbbVie2" w:date="2025-05-13T16:36:00Z">
              <w:r w:rsidRPr="008912CF">
                <w:rPr>
                  <w:sz w:val="22"/>
                  <w:szCs w:val="22"/>
                  <w:lang w:val="pt-PT"/>
                </w:rPr>
                <w:delText>38</w:delText>
              </w:r>
              <w:r w:rsidR="009343EF">
                <w:rPr>
                  <w:sz w:val="22"/>
                  <w:szCs w:val="22"/>
                  <w:lang w:val="pt-PT"/>
                </w:rPr>
                <w:delText>%</w:delText>
              </w:r>
              <w:r w:rsidRPr="008912CF">
                <w:rPr>
                  <w:sz w:val="22"/>
                  <w:szCs w:val="22"/>
                  <w:vertAlign w:val="superscript"/>
                  <w:lang w:val="pt-PT"/>
                </w:rPr>
                <w:delText>**</w:delText>
              </w:r>
            </w:del>
          </w:p>
        </w:tc>
      </w:tr>
      <w:tr w:rsidR="00A7162A" w14:paraId="4CB69380" w14:textId="79F67A8E" w:rsidTr="00F675CF">
        <w:trPr>
          <w:cantSplit/>
          <w:del w:id="2722" w:author="AbbVie2" w:date="2025-05-13T16:36:00Z"/>
        </w:trPr>
        <w:tc>
          <w:tcPr>
            <w:tcW w:w="9238" w:type="dxa"/>
            <w:gridSpan w:val="6"/>
            <w:tcBorders>
              <w:left w:val="nil"/>
              <w:bottom w:val="nil"/>
              <w:right w:val="nil"/>
            </w:tcBorders>
          </w:tcPr>
          <w:p w14:paraId="2487D510" w14:textId="33C05B52" w:rsidR="004462A0" w:rsidRPr="008912CF" w:rsidRDefault="00615769" w:rsidP="00F675CF">
            <w:pPr>
              <w:pStyle w:val="TableText"/>
              <w:keepNext w:val="0"/>
              <w:spacing w:line="240" w:lineRule="auto"/>
              <w:rPr>
                <w:del w:id="2723" w:author="AbbVie2" w:date="2025-05-13T16:36:00Z"/>
                <w:sz w:val="22"/>
                <w:szCs w:val="22"/>
                <w:lang w:val="pt-PT"/>
              </w:rPr>
            </w:pPr>
            <w:del w:id="2724" w:author="AbbVie2" w:date="2025-05-13T16:36:00Z">
              <w:r w:rsidRPr="008912CF">
                <w:rPr>
                  <w:sz w:val="22"/>
                  <w:szCs w:val="22"/>
                  <w:lang w:val="pt-PT"/>
                </w:rPr>
                <w:delText xml:space="preserve">Todos os valores-p são comparativos emparelhados entre Humira </w:delText>
              </w:r>
              <w:r w:rsidRPr="008912CF">
                <w:rPr>
                  <w:i/>
                  <w:iCs/>
                  <w:sz w:val="22"/>
                  <w:szCs w:val="22"/>
                  <w:lang w:val="pt-PT"/>
                </w:rPr>
                <w:delText>versus</w:delText>
              </w:r>
              <w:r w:rsidRPr="008912CF">
                <w:rPr>
                  <w:sz w:val="22"/>
                  <w:szCs w:val="22"/>
                  <w:lang w:val="pt-PT"/>
                </w:rPr>
                <w:delText xml:space="preserve"> placebo</w:delText>
              </w:r>
            </w:del>
          </w:p>
          <w:p w14:paraId="0A058BC0" w14:textId="5C25211F" w:rsidR="004462A0" w:rsidRPr="008912CF" w:rsidRDefault="00615769" w:rsidP="00F675CF">
            <w:pPr>
              <w:pStyle w:val="TableText"/>
              <w:keepNext w:val="0"/>
              <w:spacing w:line="240" w:lineRule="auto"/>
              <w:rPr>
                <w:del w:id="2725" w:author="AbbVie2" w:date="2025-05-13T16:36:00Z"/>
                <w:sz w:val="22"/>
                <w:szCs w:val="22"/>
                <w:lang w:val="pt-PT"/>
              </w:rPr>
            </w:pPr>
            <w:del w:id="2726" w:author="AbbVie2" w:date="2025-05-13T16:36:00Z">
              <w:r w:rsidRPr="008912CF">
                <w:rPr>
                  <w:sz w:val="22"/>
                  <w:szCs w:val="22"/>
                  <w:vertAlign w:val="superscript"/>
                  <w:lang w:val="pt-PT"/>
                </w:rPr>
                <w:delText>*</w:delText>
              </w:r>
              <w:r w:rsidRPr="008912CF">
                <w:rPr>
                  <w:sz w:val="22"/>
                  <w:szCs w:val="22"/>
                  <w:lang w:val="pt-PT"/>
                </w:rPr>
                <w:tab/>
                <w:delText>p &lt; 0,001</w:delText>
              </w:r>
            </w:del>
          </w:p>
          <w:p w14:paraId="11CEFC6D" w14:textId="0C56D357" w:rsidR="004462A0" w:rsidRPr="008912CF" w:rsidRDefault="00615769" w:rsidP="00F675CF">
            <w:pPr>
              <w:pStyle w:val="TableText"/>
              <w:keepNext w:val="0"/>
              <w:spacing w:line="240" w:lineRule="auto"/>
              <w:rPr>
                <w:del w:id="2727" w:author="AbbVie2" w:date="2025-05-13T16:36:00Z"/>
                <w:sz w:val="22"/>
                <w:szCs w:val="22"/>
                <w:lang w:val="pt-PT"/>
              </w:rPr>
            </w:pPr>
            <w:del w:id="2728" w:author="AbbVie2" w:date="2025-05-13T16:36:00Z">
              <w:r w:rsidRPr="008912CF">
                <w:rPr>
                  <w:sz w:val="22"/>
                  <w:szCs w:val="22"/>
                  <w:vertAlign w:val="superscript"/>
                  <w:lang w:val="pt-PT"/>
                </w:rPr>
                <w:delText>**</w:delText>
              </w:r>
              <w:r w:rsidRPr="008912CF">
                <w:rPr>
                  <w:sz w:val="22"/>
                  <w:szCs w:val="22"/>
                  <w:lang w:val="pt-PT"/>
                </w:rPr>
                <w:tab/>
                <w:delText>p &lt; 0,01</w:delText>
              </w:r>
            </w:del>
          </w:p>
        </w:tc>
      </w:tr>
    </w:tbl>
    <w:p w14:paraId="13456E4B" w14:textId="7FC8A480" w:rsidR="004462A0" w:rsidRPr="008912CF" w:rsidRDefault="004462A0" w:rsidP="004462A0">
      <w:pPr>
        <w:pStyle w:val="EMEANormal"/>
        <w:rPr>
          <w:del w:id="2729" w:author="AbbVie2" w:date="2025-05-13T16:36:00Z"/>
          <w:szCs w:val="22"/>
          <w:lang w:val="pt-PT"/>
        </w:rPr>
      </w:pPr>
    </w:p>
    <w:p w14:paraId="69A4F016" w14:textId="5FF17AAC" w:rsidR="004462A0" w:rsidRPr="008912CF" w:rsidRDefault="00615769" w:rsidP="004462A0">
      <w:pPr>
        <w:pStyle w:val="EMEANormal"/>
        <w:rPr>
          <w:del w:id="2730" w:author="AbbVie2" w:date="2025-05-13T16:36:00Z"/>
          <w:szCs w:val="22"/>
          <w:lang w:val="pt-PT"/>
        </w:rPr>
      </w:pPr>
      <w:del w:id="2731" w:author="AbbVie2" w:date="2025-05-13T16:36:00Z">
        <w:r w:rsidRPr="008912CF">
          <w:rPr>
            <w:szCs w:val="22"/>
            <w:lang w:val="pt-PT"/>
          </w:rPr>
          <w:delText xml:space="preserve">Foram observadas taxas de remissão similares para 160/80 mg e 80/40 mg em dose de indução na </w:delText>
        </w:r>
        <w:r w:rsidR="00164875">
          <w:rPr>
            <w:szCs w:val="22"/>
            <w:lang w:val="pt-PT"/>
          </w:rPr>
          <w:delText>S</w:delText>
        </w:r>
        <w:r w:rsidRPr="008912CF">
          <w:rPr>
            <w:szCs w:val="22"/>
            <w:lang w:val="pt-PT"/>
          </w:rPr>
          <w:delText>emana 8 e os acontecimentos adversos foram mais frequentemente observados no grupo 160/80 mg.</w:delText>
        </w:r>
      </w:del>
    </w:p>
    <w:p w14:paraId="779B68B6" w14:textId="4DFC0BA6" w:rsidR="004462A0" w:rsidRPr="008912CF" w:rsidRDefault="004462A0" w:rsidP="004462A0">
      <w:pPr>
        <w:pStyle w:val="EMEANormal"/>
        <w:rPr>
          <w:del w:id="2732" w:author="AbbVie2" w:date="2025-05-13T16:36:00Z"/>
          <w:szCs w:val="22"/>
          <w:lang w:val="pt-PT"/>
        </w:rPr>
      </w:pPr>
    </w:p>
    <w:p w14:paraId="200CFD77" w14:textId="04797A2A" w:rsidR="004462A0" w:rsidRPr="008912CF" w:rsidRDefault="00615769" w:rsidP="004462A0">
      <w:pPr>
        <w:pStyle w:val="EMEANormal"/>
        <w:rPr>
          <w:del w:id="2733" w:author="AbbVie2" w:date="2025-05-13T16:36:00Z"/>
          <w:szCs w:val="22"/>
          <w:lang w:val="pt-PT"/>
        </w:rPr>
      </w:pPr>
      <w:del w:id="2734" w:author="AbbVie2" w:date="2025-05-13T16:36:00Z">
        <w:r w:rsidRPr="008912CF">
          <w:rPr>
            <w:szCs w:val="22"/>
            <w:lang w:val="pt-PT"/>
          </w:rPr>
          <w:delText>No Estudo DC III, na Semana 4, 58</w:delText>
        </w:r>
        <w:r w:rsidR="009343EF">
          <w:rPr>
            <w:szCs w:val="22"/>
            <w:lang w:val="pt-PT"/>
          </w:rPr>
          <w:delText>%</w:delText>
        </w:r>
        <w:r w:rsidRPr="008912CF">
          <w:rPr>
            <w:szCs w:val="22"/>
            <w:lang w:val="pt-PT"/>
          </w:rPr>
          <w:delText xml:space="preserve"> (499/854) dos doentes apresentaram resposta clínica e foram avaliados na análise primária. Dos doentes com resposta clínica na Semana 4, 48</w:delText>
        </w:r>
        <w:r w:rsidR="009343EF">
          <w:rPr>
            <w:szCs w:val="22"/>
            <w:lang w:val="pt-PT"/>
          </w:rPr>
          <w:delText>%</w:delText>
        </w:r>
        <w:r w:rsidRPr="008912CF">
          <w:rPr>
            <w:szCs w:val="22"/>
            <w:lang w:val="pt-PT"/>
          </w:rPr>
          <w:delText xml:space="preserve"> foram previamente expostos a outros antagonistas-TNF. As taxas de manutenção da remissão e de resposta são apresentadas na Tabela </w:delText>
        </w:r>
        <w:r w:rsidR="00D105CA">
          <w:rPr>
            <w:szCs w:val="22"/>
            <w:lang w:val="pt-PT"/>
          </w:rPr>
          <w:delText>18</w:delText>
        </w:r>
        <w:r w:rsidRPr="008912CF">
          <w:rPr>
            <w:szCs w:val="22"/>
            <w:lang w:val="pt-PT"/>
          </w:rPr>
          <w:delText>. Os resultados de remissão clínica permaneceram relativamente constantes independentemente de uma exposição prévia a antagonistas de TNF.</w:delText>
        </w:r>
      </w:del>
    </w:p>
    <w:p w14:paraId="2D646EB6" w14:textId="435051C8" w:rsidR="004462A0" w:rsidRPr="008912CF" w:rsidRDefault="004462A0" w:rsidP="004462A0">
      <w:pPr>
        <w:pStyle w:val="EMEANormal"/>
        <w:rPr>
          <w:del w:id="2735" w:author="AbbVie2" w:date="2025-05-13T16:36:00Z"/>
          <w:szCs w:val="22"/>
          <w:lang w:val="pt-PT"/>
        </w:rPr>
      </w:pPr>
    </w:p>
    <w:p w14:paraId="00F8039A" w14:textId="6B9C86F3" w:rsidR="004462A0" w:rsidRPr="008912CF" w:rsidRDefault="00615769" w:rsidP="004462A0">
      <w:pPr>
        <w:pStyle w:val="EMEANormal"/>
        <w:rPr>
          <w:del w:id="2736" w:author="AbbVie2" w:date="2025-05-13T16:36:00Z"/>
          <w:szCs w:val="22"/>
          <w:lang w:val="pt-PT"/>
        </w:rPr>
      </w:pPr>
      <w:del w:id="2737" w:author="AbbVie2" w:date="2025-05-13T16:36:00Z">
        <w:r w:rsidRPr="008912CF">
          <w:rPr>
            <w:szCs w:val="22"/>
            <w:lang w:val="pt-PT"/>
          </w:rPr>
          <w:delText>As cirurgias e as hospitalizações relacionadas com a doença foram, do ponto de vista estatístico, significativamente reduzidas com adalimumab quando comparadas com placebo, na Semana 56.</w:delText>
        </w:r>
      </w:del>
    </w:p>
    <w:p w14:paraId="45AEE95C" w14:textId="6EF2122F" w:rsidR="004462A0" w:rsidRPr="008912CF" w:rsidRDefault="004462A0" w:rsidP="004462A0">
      <w:pPr>
        <w:pStyle w:val="EMEANormal"/>
        <w:keepNext/>
        <w:rPr>
          <w:del w:id="2738" w:author="AbbVie2" w:date="2025-05-13T16:36:00Z"/>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3"/>
        <w:gridCol w:w="1625"/>
        <w:gridCol w:w="1981"/>
        <w:gridCol w:w="1822"/>
      </w:tblGrid>
      <w:tr w:rsidR="00A7162A" w14:paraId="32E57604" w14:textId="0B54A2E5" w:rsidTr="00F675CF">
        <w:trPr>
          <w:cantSplit/>
          <w:del w:id="2739" w:author="AbbVie2" w:date="2025-05-13T16:36:00Z"/>
        </w:trPr>
        <w:tc>
          <w:tcPr>
            <w:tcW w:w="9287" w:type="dxa"/>
            <w:gridSpan w:val="4"/>
            <w:tcBorders>
              <w:top w:val="nil"/>
              <w:left w:val="nil"/>
              <w:right w:val="nil"/>
            </w:tcBorders>
          </w:tcPr>
          <w:p w14:paraId="623B5406" w14:textId="6EA7C6BB" w:rsidR="004462A0" w:rsidRPr="008912CF" w:rsidRDefault="00615769" w:rsidP="00B538F3">
            <w:pPr>
              <w:pStyle w:val="TableText"/>
              <w:keepNext w:val="0"/>
              <w:spacing w:line="240" w:lineRule="auto"/>
              <w:jc w:val="center"/>
              <w:rPr>
                <w:del w:id="2740" w:author="AbbVie2" w:date="2025-05-13T16:36:00Z"/>
                <w:b/>
                <w:bCs/>
                <w:sz w:val="22"/>
                <w:szCs w:val="22"/>
                <w:lang w:val="pt-PT"/>
              </w:rPr>
            </w:pPr>
            <w:del w:id="2741" w:author="AbbVie2" w:date="2025-05-13T16:36:00Z">
              <w:r w:rsidRPr="008912CF">
                <w:rPr>
                  <w:b/>
                  <w:bCs/>
                  <w:sz w:val="22"/>
                  <w:szCs w:val="22"/>
                  <w:lang w:val="pt-PT"/>
                </w:rPr>
                <w:delText xml:space="preserve">Tabela </w:delText>
              </w:r>
              <w:r w:rsidR="00D105CA">
                <w:rPr>
                  <w:b/>
                  <w:bCs/>
                  <w:sz w:val="22"/>
                  <w:szCs w:val="22"/>
                  <w:lang w:val="pt-PT"/>
                </w:rPr>
                <w:delText>18</w:delText>
              </w:r>
            </w:del>
          </w:p>
          <w:p w14:paraId="19135B2D" w14:textId="5D7D496D" w:rsidR="004462A0" w:rsidRPr="008912CF" w:rsidRDefault="00615769" w:rsidP="00B538F3">
            <w:pPr>
              <w:pStyle w:val="TableText"/>
              <w:keepNext w:val="0"/>
              <w:spacing w:line="240" w:lineRule="auto"/>
              <w:jc w:val="center"/>
              <w:rPr>
                <w:del w:id="2742" w:author="AbbVie2" w:date="2025-05-13T16:36:00Z"/>
                <w:b/>
                <w:bCs/>
                <w:sz w:val="22"/>
                <w:szCs w:val="22"/>
                <w:lang w:val="pt-PT"/>
              </w:rPr>
            </w:pPr>
            <w:del w:id="2743" w:author="AbbVie2" w:date="2025-05-13T16:36:00Z">
              <w:r w:rsidRPr="008912CF">
                <w:rPr>
                  <w:b/>
                  <w:bCs/>
                  <w:sz w:val="22"/>
                  <w:szCs w:val="22"/>
                  <w:lang w:val="pt-PT"/>
                </w:rPr>
                <w:delText>Manutenção da Remissão e Resposta Clínica</w:delText>
              </w:r>
              <w:r w:rsidR="002B24DC">
                <w:rPr>
                  <w:b/>
                  <w:bCs/>
                  <w:sz w:val="22"/>
                  <w:szCs w:val="22"/>
                  <w:lang w:val="pt-PT"/>
                </w:rPr>
                <w:delText>s</w:delText>
              </w:r>
            </w:del>
          </w:p>
          <w:p w14:paraId="169D7D88" w14:textId="2BAC480B" w:rsidR="004462A0" w:rsidRPr="008912CF" w:rsidRDefault="00615769" w:rsidP="00B538F3">
            <w:pPr>
              <w:pStyle w:val="TableText"/>
              <w:keepNext w:val="0"/>
              <w:spacing w:line="240" w:lineRule="auto"/>
              <w:jc w:val="center"/>
              <w:rPr>
                <w:del w:id="2744" w:author="AbbVie2" w:date="2025-05-13T16:36:00Z"/>
                <w:b/>
                <w:bCs/>
                <w:sz w:val="22"/>
                <w:szCs w:val="22"/>
                <w:lang w:val="pt-PT"/>
              </w:rPr>
            </w:pPr>
            <w:del w:id="2745" w:author="AbbVie2" w:date="2025-05-13T16:36:00Z">
              <w:r w:rsidRPr="008912CF">
                <w:rPr>
                  <w:b/>
                  <w:bCs/>
                  <w:sz w:val="22"/>
                  <w:szCs w:val="22"/>
                  <w:lang w:val="pt-PT"/>
                </w:rPr>
                <w:delText>(Percentagem de Doentes)</w:delText>
              </w:r>
            </w:del>
          </w:p>
        </w:tc>
      </w:tr>
      <w:tr w:rsidR="00A7162A" w14:paraId="43EE060E" w14:textId="7757A35A" w:rsidTr="00F675CF">
        <w:trPr>
          <w:del w:id="2746" w:author="AbbVie2" w:date="2025-05-13T16:36:00Z"/>
        </w:trPr>
        <w:tc>
          <w:tcPr>
            <w:tcW w:w="3749" w:type="dxa"/>
          </w:tcPr>
          <w:p w14:paraId="27ED465B" w14:textId="48F9D6F3" w:rsidR="004462A0" w:rsidRPr="008912CF" w:rsidRDefault="004462A0" w:rsidP="00B538F3">
            <w:pPr>
              <w:pStyle w:val="TableText"/>
              <w:keepNext w:val="0"/>
              <w:spacing w:line="240" w:lineRule="auto"/>
              <w:rPr>
                <w:del w:id="2747" w:author="AbbVie2" w:date="2025-05-13T16:36:00Z"/>
                <w:b/>
                <w:bCs/>
                <w:sz w:val="22"/>
                <w:szCs w:val="22"/>
                <w:lang w:val="pt-PT"/>
              </w:rPr>
            </w:pPr>
          </w:p>
        </w:tc>
        <w:tc>
          <w:tcPr>
            <w:tcW w:w="1659" w:type="dxa"/>
          </w:tcPr>
          <w:p w14:paraId="54B0CECC" w14:textId="35A90566" w:rsidR="004462A0" w:rsidRPr="008912CF" w:rsidRDefault="00615769" w:rsidP="00B538F3">
            <w:pPr>
              <w:pStyle w:val="TableText"/>
              <w:keepNext w:val="0"/>
              <w:spacing w:line="240" w:lineRule="auto"/>
              <w:jc w:val="center"/>
              <w:rPr>
                <w:del w:id="2748" w:author="AbbVie2" w:date="2025-05-13T16:36:00Z"/>
                <w:b/>
                <w:bCs/>
                <w:sz w:val="22"/>
                <w:szCs w:val="22"/>
                <w:lang w:val="pt-PT"/>
              </w:rPr>
            </w:pPr>
            <w:del w:id="2749" w:author="AbbVie2" w:date="2025-05-13T16:36:00Z">
              <w:r w:rsidRPr="008912CF">
                <w:rPr>
                  <w:b/>
                  <w:bCs/>
                  <w:sz w:val="22"/>
                  <w:szCs w:val="22"/>
                  <w:lang w:val="pt-PT"/>
                </w:rPr>
                <w:delText>Placebo</w:delText>
              </w:r>
            </w:del>
          </w:p>
        </w:tc>
        <w:tc>
          <w:tcPr>
            <w:tcW w:w="2020" w:type="dxa"/>
          </w:tcPr>
          <w:p w14:paraId="1DFA5BBA" w14:textId="45133E4C" w:rsidR="004462A0" w:rsidRPr="008912CF" w:rsidRDefault="00615769" w:rsidP="00B538F3">
            <w:pPr>
              <w:pStyle w:val="TableText"/>
              <w:keepNext w:val="0"/>
              <w:spacing w:line="240" w:lineRule="auto"/>
              <w:jc w:val="center"/>
              <w:rPr>
                <w:del w:id="2750" w:author="AbbVie2" w:date="2025-05-13T16:36:00Z"/>
                <w:b/>
                <w:bCs/>
                <w:sz w:val="22"/>
                <w:szCs w:val="22"/>
                <w:lang w:val="pt-PT"/>
              </w:rPr>
            </w:pPr>
            <w:del w:id="2751" w:author="AbbVie2" w:date="2025-05-13T16:36:00Z">
              <w:r w:rsidRPr="008912CF">
                <w:rPr>
                  <w:b/>
                  <w:bCs/>
                  <w:sz w:val="22"/>
                  <w:szCs w:val="22"/>
                  <w:lang w:val="pt-PT"/>
                </w:rPr>
                <w:delText>40 mg Humira</w:delText>
              </w:r>
              <w:r w:rsidRPr="008912CF">
                <w:rPr>
                  <w:b/>
                  <w:bCs/>
                  <w:sz w:val="22"/>
                  <w:szCs w:val="22"/>
                  <w:lang w:val="pt-PT"/>
                </w:rPr>
                <w:br/>
                <w:delText>em semanas alternadas</w:delText>
              </w:r>
            </w:del>
          </w:p>
        </w:tc>
        <w:tc>
          <w:tcPr>
            <w:tcW w:w="1859" w:type="dxa"/>
          </w:tcPr>
          <w:p w14:paraId="289DAC76" w14:textId="3EA26709" w:rsidR="004462A0" w:rsidRPr="008912CF" w:rsidRDefault="00615769" w:rsidP="00B538F3">
            <w:pPr>
              <w:pStyle w:val="TableText"/>
              <w:keepNext w:val="0"/>
              <w:spacing w:line="240" w:lineRule="auto"/>
              <w:jc w:val="center"/>
              <w:rPr>
                <w:del w:id="2752" w:author="AbbVie2" w:date="2025-05-13T16:36:00Z"/>
                <w:b/>
                <w:bCs/>
                <w:sz w:val="22"/>
                <w:szCs w:val="22"/>
                <w:lang w:val="pt-PT"/>
              </w:rPr>
            </w:pPr>
            <w:del w:id="2753" w:author="AbbVie2" w:date="2025-05-13T16:36:00Z">
              <w:r w:rsidRPr="008912CF">
                <w:rPr>
                  <w:b/>
                  <w:bCs/>
                  <w:sz w:val="22"/>
                  <w:szCs w:val="22"/>
                  <w:lang w:val="pt-PT"/>
                </w:rPr>
                <w:delText>40 mg Humira</w:delText>
              </w:r>
              <w:r w:rsidRPr="008912CF">
                <w:rPr>
                  <w:b/>
                  <w:bCs/>
                  <w:sz w:val="22"/>
                  <w:szCs w:val="22"/>
                  <w:lang w:val="pt-PT"/>
                </w:rPr>
                <w:br/>
              </w:r>
              <w:r w:rsidRPr="008912CF">
                <w:rPr>
                  <w:b/>
                  <w:bCs/>
                  <w:sz w:val="22"/>
                  <w:szCs w:val="22"/>
                  <w:lang w:val="pt-PT"/>
                </w:rPr>
                <w:delText>todas as semanas</w:delText>
              </w:r>
            </w:del>
          </w:p>
        </w:tc>
      </w:tr>
      <w:tr w:rsidR="00A7162A" w14:paraId="4B61F0E3" w14:textId="5A69A367" w:rsidTr="00F675CF">
        <w:trPr>
          <w:del w:id="2754" w:author="AbbVie2" w:date="2025-05-13T16:36:00Z"/>
        </w:trPr>
        <w:tc>
          <w:tcPr>
            <w:tcW w:w="3749" w:type="dxa"/>
          </w:tcPr>
          <w:p w14:paraId="1D6B231A" w14:textId="10F76B43" w:rsidR="004462A0" w:rsidRPr="008912CF" w:rsidRDefault="00615769" w:rsidP="00B538F3">
            <w:pPr>
              <w:pStyle w:val="TableText"/>
              <w:keepNext w:val="0"/>
              <w:spacing w:line="240" w:lineRule="auto"/>
              <w:rPr>
                <w:del w:id="2755" w:author="AbbVie2" w:date="2025-05-13T16:36:00Z"/>
                <w:b/>
                <w:bCs/>
                <w:sz w:val="22"/>
                <w:szCs w:val="22"/>
                <w:lang w:val="pt-PT"/>
              </w:rPr>
            </w:pPr>
            <w:del w:id="2756" w:author="AbbVie2" w:date="2025-05-13T16:36:00Z">
              <w:r w:rsidRPr="008912CF">
                <w:rPr>
                  <w:b/>
                  <w:bCs/>
                  <w:sz w:val="22"/>
                  <w:szCs w:val="22"/>
                  <w:lang w:val="pt-PT"/>
                </w:rPr>
                <w:delText>Semana</w:delText>
              </w:r>
              <w:r>
                <w:rPr>
                  <w:b/>
                  <w:bCs/>
                  <w:sz w:val="22"/>
                  <w:szCs w:val="22"/>
                  <w:lang w:val="pt-PT"/>
                </w:rPr>
                <w:delText> </w:delText>
              </w:r>
              <w:r w:rsidRPr="008912CF">
                <w:rPr>
                  <w:b/>
                  <w:bCs/>
                  <w:sz w:val="22"/>
                  <w:szCs w:val="22"/>
                  <w:lang w:val="pt-PT"/>
                </w:rPr>
                <w:delText>26</w:delText>
              </w:r>
            </w:del>
          </w:p>
        </w:tc>
        <w:tc>
          <w:tcPr>
            <w:tcW w:w="1659" w:type="dxa"/>
          </w:tcPr>
          <w:p w14:paraId="322E5205" w14:textId="235D13FF" w:rsidR="004462A0" w:rsidRPr="008912CF" w:rsidRDefault="00615769" w:rsidP="00B538F3">
            <w:pPr>
              <w:pStyle w:val="TableText"/>
              <w:keepNext w:val="0"/>
              <w:spacing w:line="240" w:lineRule="auto"/>
              <w:jc w:val="center"/>
              <w:rPr>
                <w:del w:id="2757" w:author="AbbVie2" w:date="2025-05-13T16:36:00Z"/>
                <w:b/>
                <w:bCs/>
                <w:sz w:val="22"/>
                <w:szCs w:val="22"/>
                <w:lang w:val="pt-PT"/>
              </w:rPr>
            </w:pPr>
            <w:del w:id="2758" w:author="AbbVie2" w:date="2025-05-13T16:36:00Z">
              <w:r w:rsidRPr="008912CF">
                <w:rPr>
                  <w:b/>
                  <w:bCs/>
                  <w:sz w:val="22"/>
                  <w:szCs w:val="22"/>
                  <w:lang w:val="pt-PT"/>
                </w:rPr>
                <w:delText>N =170</w:delText>
              </w:r>
            </w:del>
          </w:p>
        </w:tc>
        <w:tc>
          <w:tcPr>
            <w:tcW w:w="2020" w:type="dxa"/>
          </w:tcPr>
          <w:p w14:paraId="360D5EC9" w14:textId="3715ECCA" w:rsidR="004462A0" w:rsidRPr="008912CF" w:rsidRDefault="00615769" w:rsidP="00B538F3">
            <w:pPr>
              <w:pStyle w:val="TableText"/>
              <w:keepNext w:val="0"/>
              <w:spacing w:line="240" w:lineRule="auto"/>
              <w:jc w:val="center"/>
              <w:rPr>
                <w:del w:id="2759" w:author="AbbVie2" w:date="2025-05-13T16:36:00Z"/>
                <w:b/>
                <w:bCs/>
                <w:sz w:val="22"/>
                <w:szCs w:val="22"/>
                <w:lang w:val="pt-PT"/>
              </w:rPr>
            </w:pPr>
            <w:del w:id="2760" w:author="AbbVie2" w:date="2025-05-13T16:36:00Z">
              <w:r w:rsidRPr="008912CF">
                <w:rPr>
                  <w:b/>
                  <w:bCs/>
                  <w:sz w:val="22"/>
                  <w:szCs w:val="22"/>
                  <w:lang w:val="pt-PT"/>
                </w:rPr>
                <w:delText>N =172</w:delText>
              </w:r>
            </w:del>
          </w:p>
        </w:tc>
        <w:tc>
          <w:tcPr>
            <w:tcW w:w="1859" w:type="dxa"/>
          </w:tcPr>
          <w:p w14:paraId="39FA1E1C" w14:textId="6261BBAC" w:rsidR="004462A0" w:rsidRPr="008912CF" w:rsidRDefault="00615769" w:rsidP="00B538F3">
            <w:pPr>
              <w:pStyle w:val="TableText"/>
              <w:keepNext w:val="0"/>
              <w:spacing w:line="240" w:lineRule="auto"/>
              <w:jc w:val="center"/>
              <w:rPr>
                <w:del w:id="2761" w:author="AbbVie2" w:date="2025-05-13T16:36:00Z"/>
                <w:b/>
                <w:bCs/>
                <w:sz w:val="22"/>
                <w:szCs w:val="22"/>
                <w:lang w:val="pt-PT"/>
              </w:rPr>
            </w:pPr>
            <w:del w:id="2762" w:author="AbbVie2" w:date="2025-05-13T16:36:00Z">
              <w:r w:rsidRPr="008912CF">
                <w:rPr>
                  <w:b/>
                  <w:bCs/>
                  <w:sz w:val="22"/>
                  <w:szCs w:val="22"/>
                  <w:lang w:val="pt-PT"/>
                </w:rPr>
                <w:delText>N =157</w:delText>
              </w:r>
            </w:del>
          </w:p>
        </w:tc>
      </w:tr>
      <w:tr w:rsidR="00A7162A" w14:paraId="17D22A0F" w14:textId="2CADA79D" w:rsidTr="00F675CF">
        <w:trPr>
          <w:del w:id="2763" w:author="AbbVie2" w:date="2025-05-13T16:36:00Z"/>
        </w:trPr>
        <w:tc>
          <w:tcPr>
            <w:tcW w:w="3749" w:type="dxa"/>
          </w:tcPr>
          <w:p w14:paraId="076310B5" w14:textId="412A36BD" w:rsidR="004462A0" w:rsidRPr="008912CF" w:rsidRDefault="00615769" w:rsidP="00B538F3">
            <w:pPr>
              <w:pStyle w:val="TableText"/>
              <w:keepNext w:val="0"/>
              <w:spacing w:line="240" w:lineRule="auto"/>
              <w:rPr>
                <w:del w:id="2764" w:author="AbbVie2" w:date="2025-05-13T16:36:00Z"/>
                <w:sz w:val="22"/>
                <w:szCs w:val="22"/>
                <w:lang w:val="pt-PT"/>
              </w:rPr>
            </w:pPr>
            <w:del w:id="2765" w:author="AbbVie2" w:date="2025-05-13T16:36:00Z">
              <w:r w:rsidRPr="008912CF">
                <w:rPr>
                  <w:sz w:val="22"/>
                  <w:szCs w:val="22"/>
                  <w:lang w:val="pt-PT"/>
                </w:rPr>
                <w:delText>Remissão clínica</w:delText>
              </w:r>
            </w:del>
          </w:p>
        </w:tc>
        <w:tc>
          <w:tcPr>
            <w:tcW w:w="1659" w:type="dxa"/>
          </w:tcPr>
          <w:p w14:paraId="7E8493DE" w14:textId="356E2D5A" w:rsidR="004462A0" w:rsidRPr="008912CF" w:rsidRDefault="00615769" w:rsidP="00B538F3">
            <w:pPr>
              <w:pStyle w:val="TableText"/>
              <w:keepNext w:val="0"/>
              <w:spacing w:line="240" w:lineRule="auto"/>
              <w:jc w:val="center"/>
              <w:rPr>
                <w:del w:id="2766" w:author="AbbVie2" w:date="2025-05-13T16:36:00Z"/>
                <w:sz w:val="22"/>
                <w:szCs w:val="22"/>
                <w:lang w:val="pt-PT"/>
              </w:rPr>
            </w:pPr>
            <w:del w:id="2767" w:author="AbbVie2" w:date="2025-05-13T16:36:00Z">
              <w:r w:rsidRPr="008912CF">
                <w:rPr>
                  <w:sz w:val="22"/>
                  <w:szCs w:val="22"/>
                  <w:lang w:val="pt-PT"/>
                </w:rPr>
                <w:delText>17%</w:delText>
              </w:r>
            </w:del>
          </w:p>
        </w:tc>
        <w:tc>
          <w:tcPr>
            <w:tcW w:w="2020" w:type="dxa"/>
          </w:tcPr>
          <w:p w14:paraId="3F299A9E" w14:textId="386DA0BF" w:rsidR="004462A0" w:rsidRPr="008912CF" w:rsidRDefault="00615769" w:rsidP="00B538F3">
            <w:pPr>
              <w:pStyle w:val="TableText"/>
              <w:keepNext w:val="0"/>
              <w:spacing w:line="240" w:lineRule="auto"/>
              <w:jc w:val="center"/>
              <w:rPr>
                <w:del w:id="2768" w:author="AbbVie2" w:date="2025-05-13T16:36:00Z"/>
                <w:sz w:val="22"/>
                <w:szCs w:val="22"/>
                <w:lang w:val="pt-PT"/>
              </w:rPr>
            </w:pPr>
            <w:del w:id="2769" w:author="AbbVie2" w:date="2025-05-13T16:36:00Z">
              <w:r w:rsidRPr="008912CF">
                <w:rPr>
                  <w:sz w:val="22"/>
                  <w:szCs w:val="22"/>
                  <w:lang w:val="pt-PT"/>
                </w:rPr>
                <w:delText>40%*</w:delText>
              </w:r>
            </w:del>
          </w:p>
        </w:tc>
        <w:tc>
          <w:tcPr>
            <w:tcW w:w="1859" w:type="dxa"/>
          </w:tcPr>
          <w:p w14:paraId="3A1D79B0" w14:textId="3D778171" w:rsidR="004462A0" w:rsidRPr="008912CF" w:rsidRDefault="00615769" w:rsidP="00B538F3">
            <w:pPr>
              <w:pStyle w:val="TableText"/>
              <w:keepNext w:val="0"/>
              <w:spacing w:line="240" w:lineRule="auto"/>
              <w:jc w:val="center"/>
              <w:rPr>
                <w:del w:id="2770" w:author="AbbVie2" w:date="2025-05-13T16:36:00Z"/>
                <w:sz w:val="22"/>
                <w:szCs w:val="22"/>
                <w:lang w:val="pt-PT"/>
              </w:rPr>
            </w:pPr>
            <w:del w:id="2771" w:author="AbbVie2" w:date="2025-05-13T16:36:00Z">
              <w:r w:rsidRPr="008912CF">
                <w:rPr>
                  <w:sz w:val="22"/>
                  <w:szCs w:val="22"/>
                  <w:lang w:val="pt-PT"/>
                </w:rPr>
                <w:delText>47%*</w:delText>
              </w:r>
            </w:del>
          </w:p>
        </w:tc>
      </w:tr>
      <w:tr w:rsidR="00A7162A" w14:paraId="22EFC3EA" w14:textId="21F313F1" w:rsidTr="00F675CF">
        <w:trPr>
          <w:del w:id="2772" w:author="AbbVie2" w:date="2025-05-13T16:36:00Z"/>
        </w:trPr>
        <w:tc>
          <w:tcPr>
            <w:tcW w:w="3749" w:type="dxa"/>
          </w:tcPr>
          <w:p w14:paraId="74A4421C" w14:textId="3F14A460" w:rsidR="004462A0" w:rsidRPr="008912CF" w:rsidRDefault="00615769" w:rsidP="00B538F3">
            <w:pPr>
              <w:pStyle w:val="TableText"/>
              <w:keepNext w:val="0"/>
              <w:spacing w:line="240" w:lineRule="auto"/>
              <w:rPr>
                <w:del w:id="2773" w:author="AbbVie2" w:date="2025-05-13T16:36:00Z"/>
                <w:sz w:val="22"/>
                <w:szCs w:val="22"/>
                <w:lang w:val="pt-PT"/>
              </w:rPr>
            </w:pPr>
            <w:del w:id="2774" w:author="AbbVie2" w:date="2025-05-13T16:36:00Z">
              <w:r w:rsidRPr="008912CF">
                <w:rPr>
                  <w:sz w:val="22"/>
                  <w:szCs w:val="22"/>
                  <w:lang w:val="pt-PT"/>
                </w:rPr>
                <w:delText>Resposta clínica (CR-100)</w:delText>
              </w:r>
            </w:del>
          </w:p>
        </w:tc>
        <w:tc>
          <w:tcPr>
            <w:tcW w:w="1659" w:type="dxa"/>
          </w:tcPr>
          <w:p w14:paraId="5C892302" w14:textId="1ECAD354" w:rsidR="004462A0" w:rsidRPr="008912CF" w:rsidRDefault="00615769" w:rsidP="00B538F3">
            <w:pPr>
              <w:pStyle w:val="TableText"/>
              <w:keepNext w:val="0"/>
              <w:spacing w:line="240" w:lineRule="auto"/>
              <w:jc w:val="center"/>
              <w:rPr>
                <w:del w:id="2775" w:author="AbbVie2" w:date="2025-05-13T16:36:00Z"/>
                <w:sz w:val="22"/>
                <w:szCs w:val="22"/>
                <w:lang w:val="pt-PT"/>
              </w:rPr>
            </w:pPr>
            <w:del w:id="2776" w:author="AbbVie2" w:date="2025-05-13T16:36:00Z">
              <w:r w:rsidRPr="008912CF">
                <w:rPr>
                  <w:sz w:val="22"/>
                  <w:szCs w:val="22"/>
                  <w:lang w:val="pt-PT"/>
                </w:rPr>
                <w:delText>27%</w:delText>
              </w:r>
            </w:del>
          </w:p>
        </w:tc>
        <w:tc>
          <w:tcPr>
            <w:tcW w:w="2020" w:type="dxa"/>
          </w:tcPr>
          <w:p w14:paraId="1410E0DE" w14:textId="0DE2BF11" w:rsidR="004462A0" w:rsidRPr="008912CF" w:rsidRDefault="00615769" w:rsidP="00B538F3">
            <w:pPr>
              <w:pStyle w:val="TableText"/>
              <w:keepNext w:val="0"/>
              <w:spacing w:line="240" w:lineRule="auto"/>
              <w:jc w:val="center"/>
              <w:rPr>
                <w:del w:id="2777" w:author="AbbVie2" w:date="2025-05-13T16:36:00Z"/>
                <w:sz w:val="22"/>
                <w:szCs w:val="22"/>
                <w:lang w:val="pt-PT"/>
              </w:rPr>
            </w:pPr>
            <w:del w:id="2778" w:author="AbbVie2" w:date="2025-05-13T16:36:00Z">
              <w:r w:rsidRPr="008912CF">
                <w:rPr>
                  <w:sz w:val="22"/>
                  <w:szCs w:val="22"/>
                  <w:lang w:val="pt-PT"/>
                </w:rPr>
                <w:delText>52%*</w:delText>
              </w:r>
            </w:del>
          </w:p>
        </w:tc>
        <w:tc>
          <w:tcPr>
            <w:tcW w:w="1859" w:type="dxa"/>
          </w:tcPr>
          <w:p w14:paraId="668F4FA8" w14:textId="03D51E2B" w:rsidR="004462A0" w:rsidRPr="008912CF" w:rsidRDefault="00615769" w:rsidP="00B538F3">
            <w:pPr>
              <w:pStyle w:val="TableText"/>
              <w:keepNext w:val="0"/>
              <w:spacing w:line="240" w:lineRule="auto"/>
              <w:jc w:val="center"/>
              <w:rPr>
                <w:del w:id="2779" w:author="AbbVie2" w:date="2025-05-13T16:36:00Z"/>
                <w:sz w:val="22"/>
                <w:szCs w:val="22"/>
                <w:lang w:val="pt-PT"/>
              </w:rPr>
            </w:pPr>
            <w:del w:id="2780" w:author="AbbVie2" w:date="2025-05-13T16:36:00Z">
              <w:r w:rsidRPr="008912CF">
                <w:rPr>
                  <w:sz w:val="22"/>
                  <w:szCs w:val="22"/>
                  <w:lang w:val="pt-PT"/>
                </w:rPr>
                <w:delText>52%*</w:delText>
              </w:r>
            </w:del>
          </w:p>
        </w:tc>
      </w:tr>
      <w:tr w:rsidR="00A7162A" w14:paraId="1BE3DD6C" w14:textId="045E99D2" w:rsidTr="00F675CF">
        <w:trPr>
          <w:del w:id="2781" w:author="AbbVie2" w:date="2025-05-13T16:36:00Z"/>
        </w:trPr>
        <w:tc>
          <w:tcPr>
            <w:tcW w:w="3749" w:type="dxa"/>
          </w:tcPr>
          <w:p w14:paraId="633BA05A" w14:textId="375FF304" w:rsidR="004462A0" w:rsidRPr="008912CF" w:rsidRDefault="00615769" w:rsidP="00B538F3">
            <w:pPr>
              <w:pStyle w:val="TableText"/>
              <w:keepNext w:val="0"/>
              <w:spacing w:line="240" w:lineRule="auto"/>
              <w:ind w:left="360"/>
              <w:rPr>
                <w:del w:id="2782" w:author="AbbVie2" w:date="2025-05-13T16:36:00Z"/>
                <w:sz w:val="22"/>
                <w:szCs w:val="22"/>
                <w:lang w:val="pt-PT"/>
              </w:rPr>
            </w:pPr>
            <w:del w:id="2783" w:author="AbbVie2" w:date="2025-05-13T16:36:00Z">
              <w:r w:rsidRPr="008912CF">
                <w:rPr>
                  <w:sz w:val="22"/>
                  <w:szCs w:val="22"/>
                  <w:lang w:val="pt-PT"/>
                </w:rPr>
                <w:delText>Doentes em remissão sem tratamento com esteroides em &gt;=90 dias</w:delText>
              </w:r>
              <w:r w:rsidRPr="008912CF">
                <w:rPr>
                  <w:sz w:val="22"/>
                  <w:szCs w:val="22"/>
                  <w:vertAlign w:val="superscript"/>
                  <w:lang w:val="pt-PT"/>
                </w:rPr>
                <w:delText>a</w:delText>
              </w:r>
            </w:del>
          </w:p>
        </w:tc>
        <w:tc>
          <w:tcPr>
            <w:tcW w:w="1659" w:type="dxa"/>
          </w:tcPr>
          <w:p w14:paraId="01838D51" w14:textId="0AA46E1D" w:rsidR="004462A0" w:rsidRPr="008912CF" w:rsidRDefault="00615769" w:rsidP="00B538F3">
            <w:pPr>
              <w:pStyle w:val="TableText"/>
              <w:keepNext w:val="0"/>
              <w:spacing w:line="240" w:lineRule="auto"/>
              <w:jc w:val="center"/>
              <w:rPr>
                <w:del w:id="2784" w:author="AbbVie2" w:date="2025-05-13T16:36:00Z"/>
                <w:sz w:val="22"/>
                <w:szCs w:val="22"/>
                <w:lang w:val="pt-PT"/>
              </w:rPr>
            </w:pPr>
            <w:del w:id="2785" w:author="AbbVie2" w:date="2025-05-13T16:36:00Z">
              <w:r w:rsidRPr="008912CF">
                <w:rPr>
                  <w:sz w:val="22"/>
                  <w:szCs w:val="22"/>
                  <w:lang w:val="pt-PT"/>
                </w:rPr>
                <w:delText>3% (2/66)</w:delText>
              </w:r>
            </w:del>
          </w:p>
        </w:tc>
        <w:tc>
          <w:tcPr>
            <w:tcW w:w="2020" w:type="dxa"/>
          </w:tcPr>
          <w:p w14:paraId="2ED11021" w14:textId="4A068262" w:rsidR="004462A0" w:rsidRPr="008912CF" w:rsidRDefault="00615769" w:rsidP="00B538F3">
            <w:pPr>
              <w:pStyle w:val="TableText"/>
              <w:keepNext w:val="0"/>
              <w:spacing w:line="240" w:lineRule="auto"/>
              <w:jc w:val="center"/>
              <w:rPr>
                <w:del w:id="2786" w:author="AbbVie2" w:date="2025-05-13T16:36:00Z"/>
                <w:sz w:val="22"/>
                <w:szCs w:val="22"/>
                <w:lang w:val="pt-PT"/>
              </w:rPr>
            </w:pPr>
            <w:del w:id="2787" w:author="AbbVie2" w:date="2025-05-13T16:36:00Z">
              <w:r w:rsidRPr="008912CF">
                <w:rPr>
                  <w:sz w:val="22"/>
                  <w:szCs w:val="22"/>
                  <w:lang w:val="pt-PT"/>
                </w:rPr>
                <w:delText>19% (11/58)**</w:delText>
              </w:r>
            </w:del>
          </w:p>
        </w:tc>
        <w:tc>
          <w:tcPr>
            <w:tcW w:w="1859" w:type="dxa"/>
          </w:tcPr>
          <w:p w14:paraId="25648234" w14:textId="7584D7FA" w:rsidR="004462A0" w:rsidRPr="008912CF" w:rsidRDefault="00615769" w:rsidP="00B538F3">
            <w:pPr>
              <w:pStyle w:val="TableText"/>
              <w:keepNext w:val="0"/>
              <w:spacing w:line="240" w:lineRule="auto"/>
              <w:jc w:val="center"/>
              <w:rPr>
                <w:del w:id="2788" w:author="AbbVie2" w:date="2025-05-13T16:36:00Z"/>
                <w:sz w:val="22"/>
                <w:szCs w:val="22"/>
                <w:lang w:val="pt-PT"/>
              </w:rPr>
            </w:pPr>
            <w:del w:id="2789" w:author="AbbVie2" w:date="2025-05-13T16:36:00Z">
              <w:r w:rsidRPr="008912CF">
                <w:rPr>
                  <w:sz w:val="22"/>
                  <w:szCs w:val="22"/>
                  <w:lang w:val="pt-PT"/>
                </w:rPr>
                <w:delText>15% (11/74)**</w:delText>
              </w:r>
            </w:del>
          </w:p>
        </w:tc>
      </w:tr>
      <w:tr w:rsidR="00A7162A" w14:paraId="72005932" w14:textId="554E0F24" w:rsidTr="00F675CF">
        <w:trPr>
          <w:del w:id="2790" w:author="AbbVie2" w:date="2025-05-13T16:36:00Z"/>
        </w:trPr>
        <w:tc>
          <w:tcPr>
            <w:tcW w:w="3749" w:type="dxa"/>
          </w:tcPr>
          <w:p w14:paraId="0FB22FDF" w14:textId="46ADBE40" w:rsidR="004462A0" w:rsidRPr="008912CF" w:rsidRDefault="00615769" w:rsidP="00B538F3">
            <w:pPr>
              <w:pStyle w:val="TableText"/>
              <w:keepNext w:val="0"/>
              <w:spacing w:line="240" w:lineRule="auto"/>
              <w:rPr>
                <w:del w:id="2791" w:author="AbbVie2" w:date="2025-05-13T16:36:00Z"/>
                <w:b/>
                <w:bCs/>
                <w:sz w:val="22"/>
                <w:szCs w:val="22"/>
                <w:lang w:val="pt-PT"/>
              </w:rPr>
            </w:pPr>
            <w:del w:id="2792" w:author="AbbVie2" w:date="2025-05-13T16:36:00Z">
              <w:r w:rsidRPr="008912CF">
                <w:rPr>
                  <w:b/>
                  <w:bCs/>
                  <w:sz w:val="22"/>
                  <w:szCs w:val="22"/>
                  <w:lang w:val="pt-PT"/>
                </w:rPr>
                <w:delText>Semana</w:delText>
              </w:r>
              <w:r>
                <w:rPr>
                  <w:b/>
                  <w:bCs/>
                  <w:sz w:val="22"/>
                  <w:szCs w:val="22"/>
                  <w:lang w:val="pt-PT"/>
                </w:rPr>
                <w:delText> </w:delText>
              </w:r>
              <w:r w:rsidRPr="008912CF">
                <w:rPr>
                  <w:b/>
                  <w:bCs/>
                  <w:sz w:val="22"/>
                  <w:szCs w:val="22"/>
                  <w:lang w:val="pt-PT"/>
                </w:rPr>
                <w:delText>56</w:delText>
              </w:r>
            </w:del>
          </w:p>
        </w:tc>
        <w:tc>
          <w:tcPr>
            <w:tcW w:w="1659" w:type="dxa"/>
          </w:tcPr>
          <w:p w14:paraId="41E33F9D" w14:textId="4BECE7B1" w:rsidR="004462A0" w:rsidRPr="008912CF" w:rsidRDefault="00615769" w:rsidP="00B538F3">
            <w:pPr>
              <w:pStyle w:val="TableText"/>
              <w:keepNext w:val="0"/>
              <w:spacing w:line="240" w:lineRule="auto"/>
              <w:jc w:val="center"/>
              <w:rPr>
                <w:del w:id="2793" w:author="AbbVie2" w:date="2025-05-13T16:36:00Z"/>
                <w:b/>
                <w:bCs/>
                <w:sz w:val="22"/>
                <w:szCs w:val="22"/>
                <w:lang w:val="pt-PT"/>
              </w:rPr>
            </w:pPr>
            <w:del w:id="2794" w:author="AbbVie2" w:date="2025-05-13T16:36:00Z">
              <w:r w:rsidRPr="008912CF">
                <w:rPr>
                  <w:b/>
                  <w:bCs/>
                  <w:sz w:val="22"/>
                  <w:szCs w:val="22"/>
                  <w:lang w:val="pt-PT"/>
                </w:rPr>
                <w:delText>N =170</w:delText>
              </w:r>
            </w:del>
          </w:p>
        </w:tc>
        <w:tc>
          <w:tcPr>
            <w:tcW w:w="2020" w:type="dxa"/>
          </w:tcPr>
          <w:p w14:paraId="460C31B4" w14:textId="2E3D8977" w:rsidR="004462A0" w:rsidRPr="008912CF" w:rsidRDefault="00615769" w:rsidP="00B538F3">
            <w:pPr>
              <w:pStyle w:val="TableText"/>
              <w:keepNext w:val="0"/>
              <w:spacing w:line="240" w:lineRule="auto"/>
              <w:jc w:val="center"/>
              <w:rPr>
                <w:del w:id="2795" w:author="AbbVie2" w:date="2025-05-13T16:36:00Z"/>
                <w:b/>
                <w:bCs/>
                <w:sz w:val="22"/>
                <w:szCs w:val="22"/>
                <w:lang w:val="pt-PT"/>
              </w:rPr>
            </w:pPr>
            <w:del w:id="2796" w:author="AbbVie2" w:date="2025-05-13T16:36:00Z">
              <w:r w:rsidRPr="008912CF">
                <w:rPr>
                  <w:b/>
                  <w:bCs/>
                  <w:sz w:val="22"/>
                  <w:szCs w:val="22"/>
                  <w:lang w:val="pt-PT"/>
                </w:rPr>
                <w:delText>N =172</w:delText>
              </w:r>
            </w:del>
          </w:p>
        </w:tc>
        <w:tc>
          <w:tcPr>
            <w:tcW w:w="1859" w:type="dxa"/>
          </w:tcPr>
          <w:p w14:paraId="5CDBA972" w14:textId="75659690" w:rsidR="004462A0" w:rsidRPr="008912CF" w:rsidRDefault="00615769" w:rsidP="00B538F3">
            <w:pPr>
              <w:pStyle w:val="TableText"/>
              <w:keepNext w:val="0"/>
              <w:spacing w:line="240" w:lineRule="auto"/>
              <w:jc w:val="center"/>
              <w:rPr>
                <w:del w:id="2797" w:author="AbbVie2" w:date="2025-05-13T16:36:00Z"/>
                <w:b/>
                <w:bCs/>
                <w:sz w:val="22"/>
                <w:szCs w:val="22"/>
                <w:lang w:val="pt-PT"/>
              </w:rPr>
            </w:pPr>
            <w:del w:id="2798" w:author="AbbVie2" w:date="2025-05-13T16:36:00Z">
              <w:r w:rsidRPr="008912CF">
                <w:rPr>
                  <w:b/>
                  <w:bCs/>
                  <w:sz w:val="22"/>
                  <w:szCs w:val="22"/>
                  <w:lang w:val="pt-PT"/>
                </w:rPr>
                <w:delText>N =157</w:delText>
              </w:r>
            </w:del>
          </w:p>
        </w:tc>
      </w:tr>
      <w:tr w:rsidR="00A7162A" w14:paraId="1514F102" w14:textId="6E64DC3C" w:rsidTr="00F675CF">
        <w:trPr>
          <w:del w:id="2799" w:author="AbbVie2" w:date="2025-05-13T16:36:00Z"/>
        </w:trPr>
        <w:tc>
          <w:tcPr>
            <w:tcW w:w="3749" w:type="dxa"/>
          </w:tcPr>
          <w:p w14:paraId="126ACAC1" w14:textId="75EDAD2C" w:rsidR="004462A0" w:rsidRPr="008912CF" w:rsidRDefault="00615769" w:rsidP="00B538F3">
            <w:pPr>
              <w:pStyle w:val="TableText"/>
              <w:keepNext w:val="0"/>
              <w:spacing w:line="240" w:lineRule="auto"/>
              <w:rPr>
                <w:del w:id="2800" w:author="AbbVie2" w:date="2025-05-13T16:36:00Z"/>
                <w:sz w:val="22"/>
                <w:szCs w:val="22"/>
                <w:lang w:val="pt-PT"/>
              </w:rPr>
            </w:pPr>
            <w:del w:id="2801" w:author="AbbVie2" w:date="2025-05-13T16:36:00Z">
              <w:r w:rsidRPr="008912CF">
                <w:rPr>
                  <w:sz w:val="22"/>
                  <w:szCs w:val="22"/>
                  <w:lang w:val="pt-PT"/>
                </w:rPr>
                <w:delText>Remissão clínica</w:delText>
              </w:r>
            </w:del>
          </w:p>
        </w:tc>
        <w:tc>
          <w:tcPr>
            <w:tcW w:w="1659" w:type="dxa"/>
          </w:tcPr>
          <w:p w14:paraId="25F0FDB2" w14:textId="7D574D56" w:rsidR="004462A0" w:rsidRPr="008912CF" w:rsidRDefault="00615769" w:rsidP="00B538F3">
            <w:pPr>
              <w:pStyle w:val="TableText"/>
              <w:keepNext w:val="0"/>
              <w:spacing w:line="240" w:lineRule="auto"/>
              <w:jc w:val="center"/>
              <w:rPr>
                <w:del w:id="2802" w:author="AbbVie2" w:date="2025-05-13T16:36:00Z"/>
                <w:sz w:val="22"/>
                <w:szCs w:val="22"/>
                <w:lang w:val="pt-PT"/>
              </w:rPr>
            </w:pPr>
            <w:del w:id="2803" w:author="AbbVie2" w:date="2025-05-13T16:36:00Z">
              <w:r w:rsidRPr="008912CF">
                <w:rPr>
                  <w:sz w:val="22"/>
                  <w:szCs w:val="22"/>
                  <w:lang w:val="pt-PT"/>
                </w:rPr>
                <w:delText>12%</w:delText>
              </w:r>
            </w:del>
          </w:p>
        </w:tc>
        <w:tc>
          <w:tcPr>
            <w:tcW w:w="2020" w:type="dxa"/>
          </w:tcPr>
          <w:p w14:paraId="29415641" w14:textId="1A7F3FE4" w:rsidR="004462A0" w:rsidRPr="008912CF" w:rsidRDefault="00615769" w:rsidP="00B538F3">
            <w:pPr>
              <w:pStyle w:val="TableText"/>
              <w:keepNext w:val="0"/>
              <w:spacing w:line="240" w:lineRule="auto"/>
              <w:jc w:val="center"/>
              <w:rPr>
                <w:del w:id="2804" w:author="AbbVie2" w:date="2025-05-13T16:36:00Z"/>
                <w:sz w:val="22"/>
                <w:szCs w:val="22"/>
                <w:lang w:val="pt-PT"/>
              </w:rPr>
            </w:pPr>
            <w:del w:id="2805" w:author="AbbVie2" w:date="2025-05-13T16:36:00Z">
              <w:r w:rsidRPr="008912CF">
                <w:rPr>
                  <w:sz w:val="22"/>
                  <w:szCs w:val="22"/>
                  <w:lang w:val="pt-PT"/>
                </w:rPr>
                <w:delText>36%*</w:delText>
              </w:r>
            </w:del>
          </w:p>
        </w:tc>
        <w:tc>
          <w:tcPr>
            <w:tcW w:w="1859" w:type="dxa"/>
          </w:tcPr>
          <w:p w14:paraId="4A96C51E" w14:textId="341395C1" w:rsidR="004462A0" w:rsidRPr="008912CF" w:rsidRDefault="00615769" w:rsidP="00B538F3">
            <w:pPr>
              <w:pStyle w:val="TableText"/>
              <w:keepNext w:val="0"/>
              <w:spacing w:line="240" w:lineRule="auto"/>
              <w:jc w:val="center"/>
              <w:rPr>
                <w:del w:id="2806" w:author="AbbVie2" w:date="2025-05-13T16:36:00Z"/>
                <w:sz w:val="22"/>
                <w:szCs w:val="22"/>
                <w:lang w:val="pt-PT"/>
              </w:rPr>
            </w:pPr>
            <w:del w:id="2807" w:author="AbbVie2" w:date="2025-05-13T16:36:00Z">
              <w:r w:rsidRPr="008912CF">
                <w:rPr>
                  <w:sz w:val="22"/>
                  <w:szCs w:val="22"/>
                  <w:lang w:val="pt-PT"/>
                </w:rPr>
                <w:delText>41%*</w:delText>
              </w:r>
            </w:del>
          </w:p>
        </w:tc>
      </w:tr>
      <w:tr w:rsidR="00A7162A" w14:paraId="07947EE8" w14:textId="20FA2F04" w:rsidTr="00F675CF">
        <w:trPr>
          <w:del w:id="2808" w:author="AbbVie2" w:date="2025-05-13T16:36:00Z"/>
        </w:trPr>
        <w:tc>
          <w:tcPr>
            <w:tcW w:w="3749" w:type="dxa"/>
          </w:tcPr>
          <w:p w14:paraId="5F6E9CC9" w14:textId="4612713E" w:rsidR="004462A0" w:rsidRPr="008912CF" w:rsidRDefault="00615769" w:rsidP="00B538F3">
            <w:pPr>
              <w:pStyle w:val="TableText"/>
              <w:keepNext w:val="0"/>
              <w:spacing w:line="240" w:lineRule="auto"/>
              <w:rPr>
                <w:del w:id="2809" w:author="AbbVie2" w:date="2025-05-13T16:36:00Z"/>
                <w:sz w:val="22"/>
                <w:szCs w:val="22"/>
                <w:lang w:val="pt-PT"/>
              </w:rPr>
            </w:pPr>
            <w:del w:id="2810" w:author="AbbVie2" w:date="2025-05-13T16:36:00Z">
              <w:r w:rsidRPr="008912CF">
                <w:rPr>
                  <w:sz w:val="22"/>
                  <w:szCs w:val="22"/>
                  <w:lang w:val="pt-PT"/>
                </w:rPr>
                <w:delText>Resposta clínica (CR-100)</w:delText>
              </w:r>
            </w:del>
          </w:p>
        </w:tc>
        <w:tc>
          <w:tcPr>
            <w:tcW w:w="1659" w:type="dxa"/>
          </w:tcPr>
          <w:p w14:paraId="3181BAAA" w14:textId="2A6BA538" w:rsidR="004462A0" w:rsidRPr="008912CF" w:rsidRDefault="00615769" w:rsidP="00B538F3">
            <w:pPr>
              <w:pStyle w:val="TableText"/>
              <w:keepNext w:val="0"/>
              <w:spacing w:line="240" w:lineRule="auto"/>
              <w:jc w:val="center"/>
              <w:rPr>
                <w:del w:id="2811" w:author="AbbVie2" w:date="2025-05-13T16:36:00Z"/>
                <w:sz w:val="22"/>
                <w:szCs w:val="22"/>
                <w:lang w:val="pt-PT"/>
              </w:rPr>
            </w:pPr>
            <w:del w:id="2812" w:author="AbbVie2" w:date="2025-05-13T16:36:00Z">
              <w:r w:rsidRPr="008912CF">
                <w:rPr>
                  <w:sz w:val="22"/>
                  <w:szCs w:val="22"/>
                  <w:lang w:val="pt-PT"/>
                </w:rPr>
                <w:delText>17%</w:delText>
              </w:r>
            </w:del>
          </w:p>
        </w:tc>
        <w:tc>
          <w:tcPr>
            <w:tcW w:w="2020" w:type="dxa"/>
          </w:tcPr>
          <w:p w14:paraId="58E2D7F5" w14:textId="7AB9B6BA" w:rsidR="004462A0" w:rsidRPr="008912CF" w:rsidRDefault="00615769" w:rsidP="00B538F3">
            <w:pPr>
              <w:pStyle w:val="TableText"/>
              <w:keepNext w:val="0"/>
              <w:spacing w:line="240" w:lineRule="auto"/>
              <w:jc w:val="center"/>
              <w:rPr>
                <w:del w:id="2813" w:author="AbbVie2" w:date="2025-05-13T16:36:00Z"/>
                <w:sz w:val="22"/>
                <w:szCs w:val="22"/>
                <w:lang w:val="pt-PT"/>
              </w:rPr>
            </w:pPr>
            <w:del w:id="2814" w:author="AbbVie2" w:date="2025-05-13T16:36:00Z">
              <w:r w:rsidRPr="008912CF">
                <w:rPr>
                  <w:sz w:val="22"/>
                  <w:szCs w:val="22"/>
                  <w:lang w:val="pt-PT"/>
                </w:rPr>
                <w:delText>41%*</w:delText>
              </w:r>
            </w:del>
          </w:p>
        </w:tc>
        <w:tc>
          <w:tcPr>
            <w:tcW w:w="1859" w:type="dxa"/>
          </w:tcPr>
          <w:p w14:paraId="1183C7CB" w14:textId="4A14F4A5" w:rsidR="004462A0" w:rsidRPr="008912CF" w:rsidRDefault="00615769" w:rsidP="00B538F3">
            <w:pPr>
              <w:pStyle w:val="TableText"/>
              <w:keepNext w:val="0"/>
              <w:spacing w:line="240" w:lineRule="auto"/>
              <w:jc w:val="center"/>
              <w:rPr>
                <w:del w:id="2815" w:author="AbbVie2" w:date="2025-05-13T16:36:00Z"/>
                <w:sz w:val="22"/>
                <w:szCs w:val="22"/>
                <w:lang w:val="pt-PT"/>
              </w:rPr>
            </w:pPr>
            <w:del w:id="2816" w:author="AbbVie2" w:date="2025-05-13T16:36:00Z">
              <w:r w:rsidRPr="008912CF">
                <w:rPr>
                  <w:sz w:val="22"/>
                  <w:szCs w:val="22"/>
                  <w:lang w:val="pt-PT"/>
                </w:rPr>
                <w:delText>48%*</w:delText>
              </w:r>
            </w:del>
          </w:p>
        </w:tc>
      </w:tr>
      <w:tr w:rsidR="00A7162A" w14:paraId="19C249F4" w14:textId="127F5627" w:rsidTr="00F675CF">
        <w:trPr>
          <w:del w:id="2817" w:author="AbbVie2" w:date="2025-05-13T16:36:00Z"/>
        </w:trPr>
        <w:tc>
          <w:tcPr>
            <w:tcW w:w="3749" w:type="dxa"/>
          </w:tcPr>
          <w:p w14:paraId="66D53AAF" w14:textId="4E9BEAC8" w:rsidR="004462A0" w:rsidRPr="008912CF" w:rsidRDefault="00615769" w:rsidP="00B538F3">
            <w:pPr>
              <w:pStyle w:val="TableText"/>
              <w:keepNext w:val="0"/>
              <w:spacing w:line="240" w:lineRule="auto"/>
              <w:ind w:left="360"/>
              <w:rPr>
                <w:del w:id="2818" w:author="AbbVie2" w:date="2025-05-13T16:36:00Z"/>
                <w:sz w:val="22"/>
                <w:szCs w:val="22"/>
                <w:lang w:val="pt-PT"/>
              </w:rPr>
            </w:pPr>
            <w:del w:id="2819" w:author="AbbVie2" w:date="2025-05-13T16:36:00Z">
              <w:r w:rsidRPr="008912CF">
                <w:rPr>
                  <w:sz w:val="22"/>
                  <w:szCs w:val="22"/>
                  <w:lang w:val="pt-PT"/>
                </w:rPr>
                <w:delText>Doentes em remissão sem tratamento com esteroides em &gt;=90 dias</w:delText>
              </w:r>
              <w:r w:rsidRPr="008912CF">
                <w:rPr>
                  <w:sz w:val="22"/>
                  <w:szCs w:val="22"/>
                  <w:vertAlign w:val="superscript"/>
                  <w:lang w:val="pt-PT"/>
                </w:rPr>
                <w:delText>a</w:delText>
              </w:r>
            </w:del>
          </w:p>
        </w:tc>
        <w:tc>
          <w:tcPr>
            <w:tcW w:w="1659" w:type="dxa"/>
          </w:tcPr>
          <w:p w14:paraId="1D393274" w14:textId="412BE51C" w:rsidR="004462A0" w:rsidRPr="008912CF" w:rsidRDefault="00615769" w:rsidP="00B538F3">
            <w:pPr>
              <w:pStyle w:val="TableText"/>
              <w:keepNext w:val="0"/>
              <w:spacing w:line="240" w:lineRule="auto"/>
              <w:jc w:val="center"/>
              <w:rPr>
                <w:del w:id="2820" w:author="AbbVie2" w:date="2025-05-13T16:36:00Z"/>
                <w:sz w:val="22"/>
                <w:szCs w:val="22"/>
                <w:lang w:val="pt-PT"/>
              </w:rPr>
            </w:pPr>
            <w:del w:id="2821" w:author="AbbVie2" w:date="2025-05-13T16:36:00Z">
              <w:r w:rsidRPr="008912CF">
                <w:rPr>
                  <w:sz w:val="22"/>
                  <w:szCs w:val="22"/>
                  <w:lang w:val="pt-PT"/>
                </w:rPr>
                <w:delText>5% (3/66)</w:delText>
              </w:r>
            </w:del>
          </w:p>
        </w:tc>
        <w:tc>
          <w:tcPr>
            <w:tcW w:w="2020" w:type="dxa"/>
          </w:tcPr>
          <w:p w14:paraId="36514EAE" w14:textId="638370CF" w:rsidR="004462A0" w:rsidRPr="008912CF" w:rsidRDefault="00615769" w:rsidP="00B538F3">
            <w:pPr>
              <w:pStyle w:val="TableText"/>
              <w:keepNext w:val="0"/>
              <w:spacing w:line="240" w:lineRule="auto"/>
              <w:jc w:val="center"/>
              <w:rPr>
                <w:del w:id="2822" w:author="AbbVie2" w:date="2025-05-13T16:36:00Z"/>
                <w:sz w:val="22"/>
                <w:szCs w:val="22"/>
                <w:lang w:val="pt-PT"/>
              </w:rPr>
            </w:pPr>
            <w:del w:id="2823" w:author="AbbVie2" w:date="2025-05-13T16:36:00Z">
              <w:r w:rsidRPr="008912CF">
                <w:rPr>
                  <w:sz w:val="22"/>
                  <w:szCs w:val="22"/>
                  <w:lang w:val="pt-PT"/>
                </w:rPr>
                <w:delText>29% (17/58)*</w:delText>
              </w:r>
            </w:del>
          </w:p>
        </w:tc>
        <w:tc>
          <w:tcPr>
            <w:tcW w:w="1859" w:type="dxa"/>
          </w:tcPr>
          <w:p w14:paraId="68442813" w14:textId="398DDDB6" w:rsidR="004462A0" w:rsidRPr="008912CF" w:rsidRDefault="00615769" w:rsidP="00B538F3">
            <w:pPr>
              <w:pStyle w:val="TableText"/>
              <w:keepNext w:val="0"/>
              <w:spacing w:line="240" w:lineRule="auto"/>
              <w:jc w:val="center"/>
              <w:rPr>
                <w:del w:id="2824" w:author="AbbVie2" w:date="2025-05-13T16:36:00Z"/>
                <w:sz w:val="22"/>
                <w:szCs w:val="22"/>
                <w:lang w:val="pt-PT"/>
              </w:rPr>
            </w:pPr>
            <w:del w:id="2825" w:author="AbbVie2" w:date="2025-05-13T16:36:00Z">
              <w:r w:rsidRPr="008912CF">
                <w:rPr>
                  <w:sz w:val="22"/>
                  <w:szCs w:val="22"/>
                  <w:lang w:val="pt-PT"/>
                </w:rPr>
                <w:delText>20% (15/74)**</w:delText>
              </w:r>
            </w:del>
          </w:p>
        </w:tc>
      </w:tr>
      <w:tr w:rsidR="00A7162A" w14:paraId="15D37DCD" w14:textId="68B96AAA" w:rsidTr="00F675CF">
        <w:trPr>
          <w:cantSplit/>
          <w:del w:id="2826" w:author="AbbVie2" w:date="2025-05-13T16:36:00Z"/>
        </w:trPr>
        <w:tc>
          <w:tcPr>
            <w:tcW w:w="9287" w:type="dxa"/>
            <w:gridSpan w:val="4"/>
            <w:tcBorders>
              <w:left w:val="nil"/>
              <w:right w:val="nil"/>
            </w:tcBorders>
          </w:tcPr>
          <w:p w14:paraId="4D9BE271" w14:textId="0F00681A" w:rsidR="004462A0" w:rsidRPr="008912CF" w:rsidRDefault="00615769" w:rsidP="00B538F3">
            <w:pPr>
              <w:pStyle w:val="TableText"/>
              <w:keepNext w:val="0"/>
              <w:spacing w:line="240" w:lineRule="auto"/>
              <w:rPr>
                <w:del w:id="2827" w:author="AbbVie2" w:date="2025-05-13T16:36:00Z"/>
                <w:sz w:val="22"/>
                <w:szCs w:val="22"/>
                <w:lang w:val="pt-PT"/>
              </w:rPr>
            </w:pPr>
            <w:del w:id="2828" w:author="AbbVie2" w:date="2025-05-13T16:36:00Z">
              <w:r w:rsidRPr="008912CF">
                <w:rPr>
                  <w:sz w:val="22"/>
                  <w:szCs w:val="22"/>
                  <w:lang w:val="pt-PT"/>
                </w:rPr>
                <w:delText>*</w:delText>
              </w:r>
              <w:r w:rsidRPr="008912CF">
                <w:rPr>
                  <w:sz w:val="22"/>
                  <w:szCs w:val="22"/>
                  <w:lang w:val="pt-PT"/>
                </w:rPr>
                <w:tab/>
                <w:delText xml:space="preserve">p &lt; 0,001 para Humira </w:delText>
              </w:r>
              <w:r w:rsidRPr="008912CF">
                <w:rPr>
                  <w:i/>
                  <w:iCs/>
                  <w:sz w:val="22"/>
                  <w:szCs w:val="22"/>
                  <w:lang w:val="pt-PT"/>
                </w:rPr>
                <w:delText>versus</w:delText>
              </w:r>
              <w:r w:rsidRPr="008912CF">
                <w:rPr>
                  <w:sz w:val="22"/>
                  <w:szCs w:val="22"/>
                  <w:lang w:val="pt-PT"/>
                </w:rPr>
                <w:delText xml:space="preserve"> placebo em proporções comparativas emparelhadas</w:delText>
              </w:r>
            </w:del>
          </w:p>
          <w:p w14:paraId="704AE9DB" w14:textId="55D22F40" w:rsidR="004462A0" w:rsidRPr="008912CF" w:rsidRDefault="00615769" w:rsidP="00B538F3">
            <w:pPr>
              <w:pStyle w:val="TableText"/>
              <w:keepNext w:val="0"/>
              <w:spacing w:line="240" w:lineRule="auto"/>
              <w:rPr>
                <w:del w:id="2829" w:author="AbbVie2" w:date="2025-05-13T16:36:00Z"/>
                <w:sz w:val="22"/>
                <w:szCs w:val="22"/>
                <w:lang w:val="pt-PT"/>
              </w:rPr>
            </w:pPr>
            <w:del w:id="2830" w:author="AbbVie2" w:date="2025-05-13T16:36:00Z">
              <w:r w:rsidRPr="008912CF">
                <w:rPr>
                  <w:sz w:val="22"/>
                  <w:szCs w:val="22"/>
                  <w:lang w:val="pt-PT"/>
                </w:rPr>
                <w:delText>**</w:delText>
              </w:r>
              <w:r w:rsidRPr="008912CF">
                <w:rPr>
                  <w:sz w:val="22"/>
                  <w:szCs w:val="22"/>
                  <w:lang w:val="pt-PT"/>
                </w:rPr>
                <w:tab/>
                <w:delText xml:space="preserve">p &lt; 0,02 para Humira </w:delText>
              </w:r>
              <w:r w:rsidRPr="008912CF">
                <w:rPr>
                  <w:i/>
                  <w:iCs/>
                  <w:sz w:val="22"/>
                  <w:szCs w:val="22"/>
                  <w:lang w:val="pt-PT"/>
                </w:rPr>
                <w:delText>versus</w:delText>
              </w:r>
              <w:r w:rsidRPr="008912CF">
                <w:rPr>
                  <w:sz w:val="22"/>
                  <w:szCs w:val="22"/>
                  <w:lang w:val="pt-PT"/>
                </w:rPr>
                <w:delText xml:space="preserve"> placebo em proporções comparativas emparelhadas</w:delText>
              </w:r>
            </w:del>
          </w:p>
          <w:p w14:paraId="04FA6A7A" w14:textId="353C6347" w:rsidR="004462A0" w:rsidRPr="008912CF" w:rsidRDefault="00615769" w:rsidP="00B538F3">
            <w:pPr>
              <w:pStyle w:val="TableText"/>
              <w:keepNext w:val="0"/>
              <w:spacing w:line="240" w:lineRule="auto"/>
              <w:rPr>
                <w:del w:id="2831" w:author="AbbVie2" w:date="2025-05-13T16:36:00Z"/>
                <w:sz w:val="22"/>
                <w:szCs w:val="22"/>
                <w:lang w:val="pt-PT"/>
              </w:rPr>
            </w:pPr>
            <w:del w:id="2832" w:author="AbbVie2" w:date="2025-05-13T16:36:00Z">
              <w:r w:rsidRPr="008912CF">
                <w:rPr>
                  <w:sz w:val="22"/>
                  <w:szCs w:val="22"/>
                  <w:vertAlign w:val="superscript"/>
                  <w:lang w:val="pt-PT"/>
                </w:rPr>
                <w:delText>a</w:delText>
              </w:r>
              <w:r w:rsidRPr="008912CF">
                <w:rPr>
                  <w:sz w:val="22"/>
                  <w:szCs w:val="22"/>
                  <w:vertAlign w:val="superscript"/>
                  <w:lang w:val="pt-PT"/>
                </w:rPr>
                <w:tab/>
              </w:r>
              <w:r w:rsidRPr="008912CF">
                <w:rPr>
                  <w:sz w:val="22"/>
                  <w:szCs w:val="22"/>
                  <w:lang w:val="pt-PT"/>
                </w:rPr>
                <w:delText>Dos que receberam corticosteroides no início do estudo</w:delText>
              </w:r>
            </w:del>
          </w:p>
        </w:tc>
      </w:tr>
    </w:tbl>
    <w:p w14:paraId="6D8DCCC7" w14:textId="2C3DEDBA" w:rsidR="004462A0" w:rsidRPr="008912CF" w:rsidRDefault="004462A0" w:rsidP="004462A0">
      <w:pPr>
        <w:pStyle w:val="EMEANormal"/>
        <w:rPr>
          <w:del w:id="2833" w:author="AbbVie2" w:date="2025-05-13T16:36:00Z"/>
          <w:szCs w:val="22"/>
          <w:lang w:val="pt-PT"/>
        </w:rPr>
      </w:pPr>
    </w:p>
    <w:p w14:paraId="73F5EE0B" w14:textId="51038D8F" w:rsidR="004462A0" w:rsidRPr="008912CF" w:rsidRDefault="00615769" w:rsidP="004462A0">
      <w:pPr>
        <w:pStyle w:val="EMEANormal"/>
        <w:rPr>
          <w:del w:id="2834" w:author="AbbVie2" w:date="2025-05-13T16:36:00Z"/>
          <w:szCs w:val="22"/>
          <w:lang w:val="pt-PT"/>
        </w:rPr>
      </w:pPr>
      <w:del w:id="2835" w:author="AbbVie2" w:date="2025-05-13T16:36:00Z">
        <w:r w:rsidRPr="008912CF">
          <w:rPr>
            <w:szCs w:val="22"/>
            <w:lang w:val="pt-PT"/>
          </w:rPr>
          <w:delText>Entre os doentes que não responderam na Semana 4, 43</w:delText>
        </w:r>
        <w:r w:rsidR="009343EF">
          <w:rPr>
            <w:szCs w:val="22"/>
            <w:lang w:val="pt-PT"/>
          </w:rPr>
          <w:delText>%</w:delText>
        </w:r>
        <w:r w:rsidRPr="008912CF">
          <w:rPr>
            <w:szCs w:val="22"/>
            <w:lang w:val="pt-PT"/>
          </w:rPr>
          <w:delText xml:space="preserve"> dos doentes em manutenção com Humira responderam na Semana 12 comparativamente com 30</w:delText>
        </w:r>
        <w:r w:rsidR="009343EF">
          <w:rPr>
            <w:szCs w:val="22"/>
            <w:lang w:val="pt-PT"/>
          </w:rPr>
          <w:delText>%</w:delText>
        </w:r>
        <w:r w:rsidRPr="008912CF">
          <w:rPr>
            <w:szCs w:val="22"/>
            <w:lang w:val="pt-PT"/>
          </w:rPr>
          <w:delText xml:space="preserve"> d</w:delText>
        </w:r>
        <w:r w:rsidR="00FD14A1">
          <w:rPr>
            <w:szCs w:val="22"/>
            <w:lang w:val="pt-PT"/>
          </w:rPr>
          <w:delText>os</w:delText>
        </w:r>
        <w:r w:rsidRPr="008912CF">
          <w:rPr>
            <w:szCs w:val="22"/>
            <w:lang w:val="pt-PT"/>
          </w:rPr>
          <w:delText xml:space="preserve"> doentes em manutenção com placebo. Estes resultados sugerem que alguns doentes que não responderam na Semana 4 beneficiam de uma terapêutica de manutenção continuada </w:delText>
        </w:r>
        <w:r w:rsidR="002B24DC">
          <w:rPr>
            <w:szCs w:val="22"/>
            <w:lang w:val="pt-PT"/>
          </w:rPr>
          <w:delText>até à</w:delText>
        </w:r>
        <w:r w:rsidRPr="008912CF">
          <w:rPr>
            <w:szCs w:val="22"/>
            <w:lang w:val="pt-PT"/>
          </w:rPr>
          <w:delText xml:space="preserve"> Semana 12. A terapêutica combinada para além das 12 </w:delText>
        </w:r>
        <w:r w:rsidR="00FD14A1">
          <w:rPr>
            <w:szCs w:val="22"/>
            <w:lang w:val="pt-PT"/>
          </w:rPr>
          <w:delText>s</w:delText>
        </w:r>
        <w:r w:rsidRPr="008912CF">
          <w:rPr>
            <w:szCs w:val="22"/>
            <w:lang w:val="pt-PT"/>
          </w:rPr>
          <w:delText>emanas não resultou em significativamente mais respostas (ver secção 4.2).</w:delText>
        </w:r>
      </w:del>
    </w:p>
    <w:p w14:paraId="3CBA10A9" w14:textId="105A79E6" w:rsidR="004462A0" w:rsidRPr="008912CF" w:rsidRDefault="004462A0" w:rsidP="004462A0">
      <w:pPr>
        <w:pStyle w:val="EMEANormal"/>
        <w:rPr>
          <w:del w:id="2836" w:author="AbbVie2" w:date="2025-05-13T16:36:00Z"/>
          <w:szCs w:val="22"/>
          <w:lang w:val="pt-PT"/>
        </w:rPr>
      </w:pPr>
    </w:p>
    <w:p w14:paraId="491DF631" w14:textId="6560BF88" w:rsidR="004462A0" w:rsidRPr="008912CF" w:rsidRDefault="00615769" w:rsidP="004462A0">
      <w:pPr>
        <w:jc w:val="both"/>
        <w:rPr>
          <w:del w:id="2837" w:author="AbbVie2" w:date="2025-05-13T16:36:00Z"/>
          <w:bCs/>
          <w:sz w:val="22"/>
          <w:szCs w:val="22"/>
        </w:rPr>
      </w:pPr>
      <w:del w:id="2838" w:author="AbbVie2" w:date="2025-05-13T16:36:00Z">
        <w:r w:rsidRPr="008912CF">
          <w:rPr>
            <w:bCs/>
            <w:sz w:val="22"/>
            <w:szCs w:val="22"/>
          </w:rPr>
          <w:delText>117/276 doentes do Estudo DC I e 272/777 doentes dos Estudos DC II e III, medicados com adalimumab, foram seguidos pelo menos durante 3 anos em estudo aberto. 88 e 189 doentes, respetivamente, continuaram em remissão clínica. A resposta clínica (CR-100) foi mantida em 102 e 233 doentes, respetivamente.</w:delText>
        </w:r>
      </w:del>
    </w:p>
    <w:p w14:paraId="1D7A84A1" w14:textId="4BA0BCF7" w:rsidR="004462A0" w:rsidRPr="008912CF" w:rsidRDefault="004462A0" w:rsidP="004462A0">
      <w:pPr>
        <w:jc w:val="both"/>
        <w:rPr>
          <w:del w:id="2839" w:author="AbbVie2" w:date="2025-05-13T16:36:00Z"/>
          <w:sz w:val="22"/>
          <w:szCs w:val="22"/>
        </w:rPr>
      </w:pPr>
    </w:p>
    <w:p w14:paraId="003ECB44" w14:textId="348BE683" w:rsidR="004462A0" w:rsidRPr="008912CF" w:rsidRDefault="00615769" w:rsidP="004462A0">
      <w:pPr>
        <w:jc w:val="both"/>
        <w:rPr>
          <w:del w:id="2840" w:author="AbbVie2" w:date="2025-05-13T16:36:00Z"/>
          <w:sz w:val="22"/>
          <w:szCs w:val="22"/>
          <w:u w:val="single"/>
        </w:rPr>
      </w:pPr>
      <w:del w:id="2841" w:author="AbbVie2" w:date="2025-05-13T16:36:00Z">
        <w:r w:rsidRPr="008912CF">
          <w:rPr>
            <w:i/>
            <w:sz w:val="22"/>
            <w:szCs w:val="22"/>
            <w:u w:val="single"/>
          </w:rPr>
          <w:delText>Qualidade de vida</w:delText>
        </w:r>
      </w:del>
    </w:p>
    <w:p w14:paraId="04089AB7" w14:textId="7616FE09" w:rsidR="004462A0" w:rsidRPr="008912CF" w:rsidRDefault="004462A0" w:rsidP="004462A0">
      <w:pPr>
        <w:rPr>
          <w:del w:id="2842" w:author="AbbVie2" w:date="2025-05-13T16:36:00Z"/>
          <w:sz w:val="22"/>
          <w:szCs w:val="22"/>
        </w:rPr>
      </w:pPr>
    </w:p>
    <w:p w14:paraId="59241BFF" w14:textId="00DE762D" w:rsidR="004462A0" w:rsidRPr="008912CF" w:rsidRDefault="00615769" w:rsidP="004462A0">
      <w:pPr>
        <w:rPr>
          <w:del w:id="2843" w:author="AbbVie2" w:date="2025-05-13T16:36:00Z"/>
        </w:rPr>
      </w:pPr>
      <w:del w:id="2844" w:author="AbbVie2" w:date="2025-05-13T16:36:00Z">
        <w:r w:rsidRPr="008912CF">
          <w:rPr>
            <w:sz w:val="22"/>
            <w:szCs w:val="22"/>
          </w:rPr>
          <w:delText>No Estudo DC I e no Estudo DC II observou-se uma melhoria estatisticamente significativa na escala total do questionário da doença inflamatória intestinal específic</w:delText>
        </w:r>
        <w:r w:rsidR="0053002F">
          <w:rPr>
            <w:sz w:val="22"/>
            <w:szCs w:val="22"/>
          </w:rPr>
          <w:delText>o</w:delText>
        </w:r>
        <w:r w:rsidRPr="008912CF">
          <w:rPr>
            <w:sz w:val="22"/>
            <w:szCs w:val="22"/>
          </w:rPr>
          <w:delText xml:space="preserve"> da doença (IBDQ) na Semana 4 em doentes </w:delText>
        </w:r>
        <w:r w:rsidR="0013275C">
          <w:rPr>
            <w:sz w:val="22"/>
            <w:szCs w:val="22"/>
          </w:rPr>
          <w:delText>aleatorizado</w:delText>
        </w:r>
        <w:r w:rsidRPr="008912CF">
          <w:rPr>
            <w:sz w:val="22"/>
            <w:szCs w:val="22"/>
          </w:rPr>
          <w:delText>s para Humira 80/40 mg e 160/80 mg comparativamente com placebo e foi também observado nas Semanas 26 e 56 no Estudo DC III entre os grupos de tratamento com adalimumab comparativamente com o grupo placebo.</w:delText>
        </w:r>
      </w:del>
    </w:p>
    <w:p w14:paraId="5952F2B8" w14:textId="71683E70" w:rsidR="007B1EB2" w:rsidRPr="00FD024F" w:rsidRDefault="007B1EB2" w:rsidP="007B1EB2">
      <w:pPr>
        <w:pStyle w:val="BodyText2"/>
        <w:autoSpaceDE/>
        <w:autoSpaceDN/>
        <w:adjustRightInd/>
        <w:rPr>
          <w:del w:id="2845" w:author="AbbVie2" w:date="2025-05-13T16:36:00Z"/>
          <w:szCs w:val="22"/>
        </w:rPr>
      </w:pPr>
    </w:p>
    <w:p w14:paraId="5E3651D0" w14:textId="3F0E9FC3" w:rsidR="007B1EB2" w:rsidRPr="00034BDE" w:rsidRDefault="00615769" w:rsidP="007B1EB2">
      <w:pPr>
        <w:rPr>
          <w:del w:id="2846" w:author="AbbVie2" w:date="2025-05-13T16:36:00Z"/>
          <w:i/>
        </w:rPr>
      </w:pPr>
      <w:del w:id="2847" w:author="AbbVie2" w:date="2025-05-13T16:36:00Z">
        <w:r w:rsidRPr="00034BDE">
          <w:rPr>
            <w:i/>
            <w:sz w:val="22"/>
            <w:szCs w:val="22"/>
          </w:rPr>
          <w:delText xml:space="preserve">Uveíte </w:delText>
        </w:r>
        <w:r>
          <w:rPr>
            <w:i/>
            <w:sz w:val="22"/>
            <w:szCs w:val="22"/>
          </w:rPr>
          <w:delText>no Adulto</w:delText>
        </w:r>
      </w:del>
    </w:p>
    <w:p w14:paraId="64ED71A6" w14:textId="2F13E484" w:rsidR="007B1EB2" w:rsidRPr="00FD024F" w:rsidRDefault="007B1EB2" w:rsidP="007B1EB2">
      <w:pPr>
        <w:rPr>
          <w:del w:id="2848" w:author="AbbVie2" w:date="2025-05-13T16:36:00Z"/>
        </w:rPr>
      </w:pPr>
    </w:p>
    <w:p w14:paraId="042DEC63" w14:textId="218FED40" w:rsidR="007B1EB2" w:rsidRDefault="00615769" w:rsidP="007B1EB2">
      <w:pPr>
        <w:rPr>
          <w:del w:id="2849" w:author="AbbVie2" w:date="2025-05-13T16:36:00Z"/>
          <w:sz w:val="22"/>
          <w:szCs w:val="22"/>
        </w:rPr>
      </w:pPr>
      <w:del w:id="2850" w:author="AbbVie2" w:date="2025-05-13T16:36:00Z">
        <w:r w:rsidRPr="00E12FF1">
          <w:rPr>
            <w:sz w:val="22"/>
            <w:szCs w:val="22"/>
          </w:rPr>
          <w:delText xml:space="preserve">A segurança e eficácia de Humira foram avaliadas </w:delText>
        </w:r>
        <w:r w:rsidRPr="003314B2">
          <w:rPr>
            <w:sz w:val="22"/>
            <w:szCs w:val="22"/>
          </w:rPr>
          <w:delText>em doentes adultos com uveíte não</w:delText>
        </w:r>
        <w:r w:rsidRPr="009C739B">
          <w:rPr>
            <w:sz w:val="22"/>
            <w:szCs w:val="22"/>
          </w:rPr>
          <w:delText xml:space="preserve"> </w:delText>
        </w:r>
        <w:r w:rsidRPr="003314B2">
          <w:rPr>
            <w:sz w:val="22"/>
            <w:szCs w:val="22"/>
          </w:rPr>
          <w:delText>infe</w:delText>
        </w:r>
        <w:r>
          <w:rPr>
            <w:sz w:val="22"/>
            <w:szCs w:val="22"/>
          </w:rPr>
          <w:delText>c</w:delText>
        </w:r>
        <w:r w:rsidRPr="003314B2">
          <w:rPr>
            <w:sz w:val="22"/>
            <w:szCs w:val="22"/>
          </w:rPr>
          <w:delText xml:space="preserve">ciosa intermédia, posterior, e panuveíte, </w:delText>
        </w:r>
        <w:r w:rsidRPr="009C739B">
          <w:rPr>
            <w:sz w:val="22"/>
            <w:szCs w:val="22"/>
          </w:rPr>
          <w:delText xml:space="preserve">excluindo </w:delText>
        </w:r>
        <w:r w:rsidRPr="003314B2">
          <w:rPr>
            <w:sz w:val="22"/>
            <w:szCs w:val="22"/>
          </w:rPr>
          <w:delText xml:space="preserve">doentes com uveíte anterior isolada, em dois estudos </w:delText>
        </w:r>
        <w:r w:rsidR="0013275C">
          <w:rPr>
            <w:sz w:val="22"/>
            <w:szCs w:val="22"/>
          </w:rPr>
          <w:delText>aleatorizado</w:delText>
        </w:r>
        <w:r w:rsidRPr="003314B2">
          <w:rPr>
            <w:sz w:val="22"/>
            <w:szCs w:val="22"/>
          </w:rPr>
          <w:delText>s, em dupla ocultação, controlados com placebo</w:delText>
        </w:r>
        <w:r>
          <w:rPr>
            <w:sz w:val="22"/>
            <w:szCs w:val="22"/>
          </w:rPr>
          <w:delText xml:space="preserve"> </w:delText>
        </w:r>
        <w:r w:rsidRPr="003314B2">
          <w:rPr>
            <w:sz w:val="22"/>
            <w:szCs w:val="22"/>
          </w:rPr>
          <w:delText>(UV I e II)</w:delText>
        </w:r>
        <w:r>
          <w:rPr>
            <w:sz w:val="22"/>
            <w:szCs w:val="22"/>
          </w:rPr>
          <w:delText>. Os doentes receberam placebo ou Humira numa dose inicial de 80 mg seguida de 40 mg em semanas alternadas, uma semana após a dose inicial. Foram permitidas doses concomitantes estáveis de um imunossupressor não biológico.</w:delText>
        </w:r>
      </w:del>
    </w:p>
    <w:p w14:paraId="70D247D6" w14:textId="298D6B72" w:rsidR="007B1EB2" w:rsidRDefault="007B1EB2" w:rsidP="007B1EB2">
      <w:pPr>
        <w:rPr>
          <w:del w:id="2851" w:author="AbbVie2" w:date="2025-05-13T16:36:00Z"/>
          <w:szCs w:val="22"/>
        </w:rPr>
      </w:pPr>
    </w:p>
    <w:p w14:paraId="4E1ACD95" w14:textId="3570478B" w:rsidR="007B1EB2" w:rsidRDefault="00615769" w:rsidP="007B1EB2">
      <w:pPr>
        <w:rPr>
          <w:del w:id="2852" w:author="AbbVie2" w:date="2025-05-13T16:36:00Z"/>
          <w:sz w:val="22"/>
          <w:szCs w:val="22"/>
        </w:rPr>
      </w:pPr>
      <w:del w:id="2853" w:author="AbbVie2" w:date="2025-05-13T16:36:00Z">
        <w:r>
          <w:rPr>
            <w:sz w:val="22"/>
            <w:szCs w:val="22"/>
          </w:rPr>
          <w:delText xml:space="preserve">O estudo UV </w:delText>
        </w:r>
        <w:r w:rsidRPr="003314B2">
          <w:rPr>
            <w:sz w:val="22"/>
            <w:szCs w:val="22"/>
          </w:rPr>
          <w:delText>I</w:delText>
        </w:r>
        <w:r>
          <w:rPr>
            <w:sz w:val="22"/>
            <w:szCs w:val="22"/>
          </w:rPr>
          <w:delText xml:space="preserve"> avaliou 217 doentes com uveíte ativa, apesar do tratamento com corticosteroides (prednisona oral numa dose de 10 a 60 mg/dia).</w:delText>
        </w:r>
        <w:r w:rsidRPr="003314B2">
          <w:delText xml:space="preserve"> </w:delText>
        </w:r>
        <w:r w:rsidRPr="003314B2">
          <w:rPr>
            <w:sz w:val="22"/>
            <w:szCs w:val="22"/>
          </w:rPr>
          <w:delText>Ao entrarem no estudo</w:delText>
        </w:r>
        <w:r>
          <w:rPr>
            <w:sz w:val="22"/>
            <w:szCs w:val="22"/>
          </w:rPr>
          <w:delText>,</w:delText>
        </w:r>
        <w:r w:rsidRPr="003314B2">
          <w:rPr>
            <w:sz w:val="22"/>
            <w:szCs w:val="22"/>
          </w:rPr>
          <w:delText xml:space="preserve"> todos os doentes receberam durante 2 semanas uma dose </w:delText>
        </w:r>
        <w:r>
          <w:rPr>
            <w:sz w:val="22"/>
            <w:szCs w:val="22"/>
          </w:rPr>
          <w:delText xml:space="preserve">padrão </w:delText>
        </w:r>
        <w:r w:rsidRPr="003314B2">
          <w:rPr>
            <w:sz w:val="22"/>
            <w:szCs w:val="22"/>
          </w:rPr>
          <w:delText>de prednisona 60</w:delText>
        </w:r>
        <w:r>
          <w:rPr>
            <w:sz w:val="22"/>
            <w:szCs w:val="22"/>
          </w:rPr>
          <w:delText> </w:delText>
        </w:r>
        <w:r w:rsidRPr="003314B2">
          <w:rPr>
            <w:sz w:val="22"/>
            <w:szCs w:val="22"/>
          </w:rPr>
          <w:delText xml:space="preserve">mg/dia, seguida de uma redução obrigatória, com descontinuação completa </w:delText>
        </w:r>
        <w:r>
          <w:rPr>
            <w:sz w:val="22"/>
            <w:szCs w:val="22"/>
          </w:rPr>
          <w:delText>dos corticosteroides</w:delText>
        </w:r>
        <w:r w:rsidRPr="003314B2">
          <w:rPr>
            <w:sz w:val="22"/>
            <w:szCs w:val="22"/>
          </w:rPr>
          <w:delText xml:space="preserve"> </w:delText>
        </w:r>
        <w:r w:rsidR="00FB6C29">
          <w:rPr>
            <w:sz w:val="22"/>
            <w:szCs w:val="22"/>
          </w:rPr>
          <w:delText xml:space="preserve">até </w:delText>
        </w:r>
        <w:r w:rsidRPr="003314B2">
          <w:rPr>
            <w:sz w:val="22"/>
            <w:szCs w:val="22"/>
          </w:rPr>
          <w:delText xml:space="preserve">à </w:delText>
        </w:r>
        <w:r w:rsidR="00676A46">
          <w:rPr>
            <w:sz w:val="22"/>
            <w:szCs w:val="22"/>
          </w:rPr>
          <w:delText>S</w:delText>
        </w:r>
        <w:r w:rsidRPr="003314B2">
          <w:rPr>
            <w:sz w:val="22"/>
            <w:szCs w:val="22"/>
          </w:rPr>
          <w:delText>emana 15.</w:delText>
        </w:r>
      </w:del>
    </w:p>
    <w:p w14:paraId="754DBC3F" w14:textId="2F7567E1" w:rsidR="007B1EB2" w:rsidRDefault="007B1EB2" w:rsidP="007B1EB2">
      <w:pPr>
        <w:rPr>
          <w:del w:id="2854" w:author="AbbVie2" w:date="2025-05-13T16:36:00Z"/>
          <w:sz w:val="22"/>
          <w:szCs w:val="22"/>
        </w:rPr>
      </w:pPr>
    </w:p>
    <w:p w14:paraId="423BA50A" w14:textId="0979F3E9" w:rsidR="007B1EB2" w:rsidRDefault="00615769" w:rsidP="007B1EB2">
      <w:pPr>
        <w:rPr>
          <w:del w:id="2855" w:author="AbbVie2" w:date="2025-05-13T16:36:00Z"/>
          <w:sz w:val="22"/>
          <w:szCs w:val="22"/>
        </w:rPr>
      </w:pPr>
      <w:del w:id="2856" w:author="AbbVie2" w:date="2025-05-13T16:36:00Z">
        <w:r>
          <w:rPr>
            <w:sz w:val="22"/>
            <w:szCs w:val="22"/>
          </w:rPr>
          <w:delText xml:space="preserve">O estudo UV II avaliou 226 doentes com uveíte inativa, que requeriam tratamento crónico com corticosteroide (prednisona oral 10 a 35 mg/dia) no início do estudo, para controlo da doença. </w:delText>
        </w:r>
        <w:r w:rsidRPr="004A2092">
          <w:rPr>
            <w:sz w:val="22"/>
            <w:szCs w:val="22"/>
          </w:rPr>
          <w:delText>Subsequentemente, os doentes tiveram uma redução obrigatória, com descontinuação completa dos corticoster</w:delText>
        </w:r>
        <w:r>
          <w:rPr>
            <w:sz w:val="22"/>
            <w:szCs w:val="22"/>
          </w:rPr>
          <w:delText>o</w:delText>
        </w:r>
        <w:r w:rsidRPr="004A2092">
          <w:rPr>
            <w:sz w:val="22"/>
            <w:szCs w:val="22"/>
          </w:rPr>
          <w:delText xml:space="preserve">ides </w:delText>
        </w:r>
        <w:r w:rsidR="00FB6C29">
          <w:rPr>
            <w:sz w:val="22"/>
            <w:szCs w:val="22"/>
          </w:rPr>
          <w:delText xml:space="preserve">até </w:delText>
        </w:r>
        <w:r w:rsidRPr="004A2092">
          <w:rPr>
            <w:sz w:val="22"/>
            <w:szCs w:val="22"/>
          </w:rPr>
          <w:delText xml:space="preserve">à </w:delText>
        </w:r>
        <w:r w:rsidR="00676A46">
          <w:rPr>
            <w:sz w:val="22"/>
            <w:szCs w:val="22"/>
          </w:rPr>
          <w:delText>S</w:delText>
        </w:r>
        <w:r w:rsidRPr="004A2092">
          <w:rPr>
            <w:sz w:val="22"/>
            <w:szCs w:val="22"/>
          </w:rPr>
          <w:delText>emana 19.</w:delText>
        </w:r>
      </w:del>
    </w:p>
    <w:p w14:paraId="053736B2" w14:textId="268ED59D" w:rsidR="007B1EB2" w:rsidRDefault="007B1EB2" w:rsidP="007B1EB2">
      <w:pPr>
        <w:rPr>
          <w:del w:id="2857" w:author="AbbVie2" w:date="2025-05-13T16:36:00Z"/>
          <w:sz w:val="22"/>
          <w:szCs w:val="22"/>
        </w:rPr>
      </w:pPr>
    </w:p>
    <w:p w14:paraId="3239F7C6" w14:textId="747D0711" w:rsidR="007B1EB2" w:rsidRDefault="00615769" w:rsidP="007B1EB2">
      <w:pPr>
        <w:rPr>
          <w:del w:id="2858" w:author="AbbVie2" w:date="2025-05-13T16:36:00Z"/>
          <w:sz w:val="22"/>
          <w:szCs w:val="22"/>
        </w:rPr>
      </w:pPr>
      <w:del w:id="2859" w:author="AbbVie2" w:date="2025-05-13T16:36:00Z">
        <w:r w:rsidRPr="00A61CAB">
          <w:rPr>
            <w:sz w:val="22"/>
            <w:szCs w:val="22"/>
          </w:rPr>
          <w:delText>O objetivo primário</w:delText>
        </w:r>
        <w:r>
          <w:rPr>
            <w:sz w:val="22"/>
            <w:szCs w:val="22"/>
          </w:rPr>
          <w:delText xml:space="preserve"> de eficácia em ambos os estudos foi o “tempo até falha do tratamento”. A falha do tratamento foi definida por um resultado multi-componente baseado em lesões</w:delText>
        </w:r>
        <w:r w:rsidRPr="008A046A">
          <w:rPr>
            <w:sz w:val="22"/>
            <w:szCs w:val="22"/>
          </w:rPr>
          <w:delText xml:space="preserve"> inflamatórias coriorretinianas</w:delText>
        </w:r>
        <w:r>
          <w:rPr>
            <w:sz w:val="22"/>
            <w:szCs w:val="22"/>
          </w:rPr>
          <w:delText xml:space="preserve"> e/ou lesões inflamatórias vasculares da retina, grau de células da câmara anterior (CA), grau de turvação </w:delText>
        </w:r>
        <w:r w:rsidRPr="008D59A5">
          <w:rPr>
            <w:sz w:val="22"/>
            <w:szCs w:val="22"/>
          </w:rPr>
          <w:delText>vítrea</w:delText>
        </w:r>
        <w:r>
          <w:rPr>
            <w:sz w:val="22"/>
            <w:szCs w:val="22"/>
          </w:rPr>
          <w:delText xml:space="preserve"> (VH) e melhor acuidade visual corrigida (MAVC).</w:delText>
        </w:r>
      </w:del>
    </w:p>
    <w:p w14:paraId="74E327BD" w14:textId="7B850C23" w:rsidR="007B1EB2" w:rsidRDefault="007B1EB2" w:rsidP="007B1EB2">
      <w:pPr>
        <w:rPr>
          <w:del w:id="2860" w:author="AbbVie2" w:date="2025-05-13T16:36:00Z"/>
          <w:szCs w:val="22"/>
        </w:rPr>
      </w:pPr>
    </w:p>
    <w:p w14:paraId="4978826F" w14:textId="185E5F43" w:rsidR="00192392" w:rsidRPr="00B054DD" w:rsidRDefault="00615769" w:rsidP="00192392">
      <w:pPr>
        <w:rPr>
          <w:del w:id="2861" w:author="AbbVie2" w:date="2025-05-13T16:36:00Z"/>
          <w:sz w:val="22"/>
          <w:szCs w:val="22"/>
        </w:rPr>
      </w:pPr>
      <w:del w:id="2862" w:author="AbbVie2" w:date="2025-05-13T16:36:00Z">
        <w:r w:rsidRPr="00B054DD">
          <w:rPr>
            <w:sz w:val="22"/>
            <w:szCs w:val="22"/>
          </w:rPr>
          <w:delText xml:space="preserve">Os doentes que completaram os </w:delText>
        </w:r>
        <w:r w:rsidR="00B054DD" w:rsidRPr="00B054DD">
          <w:rPr>
            <w:sz w:val="22"/>
            <w:szCs w:val="22"/>
          </w:rPr>
          <w:delText>E</w:delText>
        </w:r>
        <w:r w:rsidRPr="00B054DD">
          <w:rPr>
            <w:sz w:val="22"/>
            <w:szCs w:val="22"/>
          </w:rPr>
          <w:delText>studos UV I e UV II foram elegíveis para participar num estudo de extensão</w:delText>
        </w:r>
        <w:r w:rsidR="00961DA7" w:rsidRPr="00B054DD">
          <w:rPr>
            <w:sz w:val="22"/>
            <w:szCs w:val="22"/>
          </w:rPr>
          <w:delText xml:space="preserve"> </w:delText>
        </w:r>
        <w:r w:rsidRPr="00B054DD">
          <w:rPr>
            <w:sz w:val="22"/>
            <w:szCs w:val="22"/>
          </w:rPr>
          <w:delText>a longo prazo</w:delText>
        </w:r>
        <w:r w:rsidR="00B054DD" w:rsidRPr="00B054DD">
          <w:rPr>
            <w:sz w:val="22"/>
            <w:szCs w:val="22"/>
          </w:rPr>
          <w:delText>, não-controlado</w:delText>
        </w:r>
        <w:r w:rsidRPr="00B054DD">
          <w:rPr>
            <w:sz w:val="22"/>
            <w:szCs w:val="22"/>
          </w:rPr>
          <w:delText xml:space="preserve">, com uma duração </w:delText>
        </w:r>
        <w:r w:rsidR="00B054DD">
          <w:rPr>
            <w:sz w:val="22"/>
            <w:szCs w:val="22"/>
          </w:rPr>
          <w:delText>inici</w:delText>
        </w:r>
        <w:r w:rsidRPr="00B054DD">
          <w:rPr>
            <w:sz w:val="22"/>
            <w:szCs w:val="22"/>
          </w:rPr>
          <w:delText xml:space="preserve">almente planeada de 78 semanas. Foi permitido aos doentes continuarem com a medicação do estudo para além da Semana 78 até </w:delText>
        </w:r>
        <w:r w:rsidR="00FC7E81">
          <w:rPr>
            <w:sz w:val="22"/>
            <w:szCs w:val="22"/>
          </w:rPr>
          <w:delText xml:space="preserve">terem </w:delText>
        </w:r>
        <w:r w:rsidRPr="00B054DD">
          <w:rPr>
            <w:sz w:val="22"/>
            <w:szCs w:val="22"/>
          </w:rPr>
          <w:delText>acesso a Humira.</w:delText>
        </w:r>
      </w:del>
    </w:p>
    <w:p w14:paraId="2F30B112" w14:textId="7779580A" w:rsidR="00192392" w:rsidRPr="00FF23FB" w:rsidRDefault="00192392" w:rsidP="007B1EB2">
      <w:pPr>
        <w:rPr>
          <w:del w:id="2863" w:author="AbbVie2" w:date="2025-05-13T16:36:00Z"/>
          <w:szCs w:val="22"/>
        </w:rPr>
      </w:pPr>
    </w:p>
    <w:p w14:paraId="7A05C3B8" w14:textId="2315F814" w:rsidR="007B1EB2" w:rsidRPr="008912CF" w:rsidRDefault="00615769" w:rsidP="007B1EB2">
      <w:pPr>
        <w:rPr>
          <w:del w:id="2864" w:author="AbbVie2" w:date="2025-05-13T16:36:00Z"/>
          <w:i/>
          <w:sz w:val="22"/>
          <w:szCs w:val="22"/>
          <w:u w:val="single"/>
        </w:rPr>
      </w:pPr>
      <w:del w:id="2865" w:author="AbbVie2" w:date="2025-05-13T16:36:00Z">
        <w:r w:rsidRPr="008912CF">
          <w:rPr>
            <w:i/>
            <w:sz w:val="22"/>
            <w:szCs w:val="22"/>
            <w:u w:val="single"/>
          </w:rPr>
          <w:delText>Resposta clínica</w:delText>
        </w:r>
      </w:del>
    </w:p>
    <w:p w14:paraId="4A327549" w14:textId="1CDAE68B" w:rsidR="007B1EB2" w:rsidRDefault="007B1EB2" w:rsidP="007B1EB2">
      <w:pPr>
        <w:pStyle w:val="BodyText2"/>
        <w:autoSpaceDE/>
        <w:autoSpaceDN/>
        <w:adjustRightInd/>
        <w:rPr>
          <w:del w:id="2866" w:author="AbbVie2" w:date="2025-05-13T16:36:00Z"/>
          <w:szCs w:val="22"/>
        </w:rPr>
      </w:pPr>
    </w:p>
    <w:p w14:paraId="0CCA4CB6" w14:textId="5DB3AE1A" w:rsidR="007B1EB2" w:rsidRDefault="00615769" w:rsidP="007B1EB2">
      <w:pPr>
        <w:rPr>
          <w:del w:id="2867" w:author="AbbVie2" w:date="2025-05-13T16:36:00Z"/>
          <w:sz w:val="22"/>
          <w:szCs w:val="22"/>
        </w:rPr>
      </w:pPr>
      <w:del w:id="2868" w:author="AbbVie2" w:date="2025-05-13T16:36:00Z">
        <w:r>
          <w:rPr>
            <w:sz w:val="22"/>
            <w:szCs w:val="22"/>
          </w:rPr>
          <w:delText xml:space="preserve">Os resultados de ambos os estudos demonstraram uma redução estatisticamente significativa do risco de falha do tratamento em doentes tratados com Humira versus doentes que receberam placebo (Ver Tabela </w:delText>
        </w:r>
        <w:r w:rsidR="00D105CA">
          <w:rPr>
            <w:sz w:val="22"/>
            <w:szCs w:val="22"/>
          </w:rPr>
          <w:delText>19</w:delText>
        </w:r>
        <w:r>
          <w:rPr>
            <w:sz w:val="22"/>
            <w:szCs w:val="22"/>
          </w:rPr>
          <w:delText>). Ambos os estudos demonstraram um efeito precoce e sustentado d</w:delText>
        </w:r>
        <w:r w:rsidR="003A4C51">
          <w:rPr>
            <w:sz w:val="22"/>
            <w:szCs w:val="22"/>
          </w:rPr>
          <w:delText>e</w:delText>
        </w:r>
        <w:r>
          <w:rPr>
            <w:sz w:val="22"/>
            <w:szCs w:val="22"/>
          </w:rPr>
          <w:delText xml:space="preserve"> Humira, na taxa de falha do tratamento versus placebo (ver Figura 2).</w:delText>
        </w:r>
      </w:del>
    </w:p>
    <w:p w14:paraId="47ED97C4" w14:textId="512B0B76" w:rsidR="007B1EB2" w:rsidRDefault="007B1EB2" w:rsidP="007B1EB2">
      <w:pPr>
        <w:rPr>
          <w:del w:id="2869" w:author="AbbVie2" w:date="2025-05-13T16:36:00Z"/>
          <w:sz w:val="22"/>
          <w:szCs w:val="22"/>
        </w:rPr>
      </w:pPr>
    </w:p>
    <w:p w14:paraId="00E41625" w14:textId="630CCA1E" w:rsidR="007B1EB2" w:rsidRPr="00635048" w:rsidRDefault="00615769" w:rsidP="007B1EB2">
      <w:pPr>
        <w:jc w:val="center"/>
        <w:rPr>
          <w:del w:id="2870" w:author="AbbVie2" w:date="2025-05-13T16:36:00Z"/>
          <w:b/>
          <w:sz w:val="22"/>
          <w:szCs w:val="22"/>
        </w:rPr>
      </w:pPr>
      <w:del w:id="2871" w:author="AbbVie2" w:date="2025-05-13T16:36:00Z">
        <w:r w:rsidRPr="00635048">
          <w:rPr>
            <w:b/>
            <w:sz w:val="22"/>
            <w:szCs w:val="22"/>
          </w:rPr>
          <w:delText xml:space="preserve">Tabela </w:delText>
        </w:r>
        <w:r w:rsidR="00D105CA">
          <w:rPr>
            <w:b/>
            <w:sz w:val="22"/>
            <w:szCs w:val="22"/>
          </w:rPr>
          <w:delText>19</w:delText>
        </w:r>
      </w:del>
    </w:p>
    <w:p w14:paraId="4932380C" w14:textId="73646BC8" w:rsidR="007B1EB2" w:rsidRPr="00635048" w:rsidRDefault="00615769" w:rsidP="007B1EB2">
      <w:pPr>
        <w:jc w:val="center"/>
        <w:rPr>
          <w:del w:id="2872" w:author="AbbVie2" w:date="2025-05-13T16:36:00Z"/>
          <w:b/>
          <w:sz w:val="22"/>
          <w:szCs w:val="22"/>
        </w:rPr>
      </w:pPr>
      <w:del w:id="2873" w:author="AbbVie2" w:date="2025-05-13T16:36:00Z">
        <w:r w:rsidRPr="00635048">
          <w:rPr>
            <w:b/>
            <w:sz w:val="22"/>
            <w:szCs w:val="22"/>
          </w:rPr>
          <w:delText>Tempo até Falha do Tratamento nos Estudos UV I e UV II</w:delText>
        </w:r>
      </w:del>
    </w:p>
    <w:p w14:paraId="269CFD74" w14:textId="6E87CA5E" w:rsidR="007B1EB2" w:rsidRPr="00635048" w:rsidRDefault="007B1EB2" w:rsidP="007B1EB2">
      <w:pPr>
        <w:rPr>
          <w:del w:id="2874" w:author="AbbVie2" w:date="2025-05-13T16:36:00Z"/>
          <w:b/>
          <w:sz w:val="22"/>
          <w:szCs w:val="22"/>
        </w:rPr>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A7162A" w14:paraId="6356C4A1" w14:textId="65C7BD7F" w:rsidTr="007B1EB2">
        <w:trPr>
          <w:del w:id="2875" w:author="AbbVie2" w:date="2025-05-13T16:36:00Z"/>
        </w:trPr>
        <w:tc>
          <w:tcPr>
            <w:tcW w:w="2268" w:type="dxa"/>
            <w:tcBorders>
              <w:top w:val="single" w:sz="4" w:space="0" w:color="auto"/>
              <w:bottom w:val="single" w:sz="4" w:space="0" w:color="auto"/>
            </w:tcBorders>
          </w:tcPr>
          <w:p w14:paraId="6FB408F4" w14:textId="766D3828" w:rsidR="007B1EB2" w:rsidRPr="00AD4F25" w:rsidRDefault="00615769" w:rsidP="007B1EB2">
            <w:pPr>
              <w:rPr>
                <w:del w:id="2876" w:author="AbbVie2" w:date="2025-05-13T16:36:00Z"/>
                <w:b/>
                <w:sz w:val="22"/>
                <w:szCs w:val="22"/>
                <w:rPrChange w:id="2877" w:author="AbbVie2" w:date="2025-05-14T10:17:00Z">
                  <w:rPr>
                    <w:del w:id="2878" w:author="AbbVie2" w:date="2025-05-13T16:36:00Z"/>
                    <w:b/>
                    <w:sz w:val="22"/>
                    <w:szCs w:val="22"/>
                    <w:lang w:val="en-US"/>
                  </w:rPr>
                </w:rPrChange>
              </w:rPr>
            </w:pPr>
            <w:del w:id="2879" w:author="AbbVie2" w:date="2025-05-13T16:36:00Z">
              <w:r w:rsidRPr="00AD4F25">
                <w:rPr>
                  <w:b/>
                  <w:sz w:val="22"/>
                  <w:szCs w:val="22"/>
                  <w:rPrChange w:id="2880" w:author="AbbVie2" w:date="2025-05-14T10:17:00Z">
                    <w:rPr>
                      <w:b/>
                      <w:sz w:val="22"/>
                      <w:szCs w:val="22"/>
                      <w:lang w:val="en-US"/>
                    </w:rPr>
                  </w:rPrChange>
                </w:rPr>
                <w:delText>Análise</w:delText>
              </w:r>
            </w:del>
          </w:p>
          <w:p w14:paraId="68C87339" w14:textId="2992FFC4" w:rsidR="007B1EB2" w:rsidRPr="00AD4F25" w:rsidRDefault="00615769" w:rsidP="007B1EB2">
            <w:pPr>
              <w:rPr>
                <w:del w:id="2881" w:author="AbbVie2" w:date="2025-05-13T16:36:00Z"/>
                <w:b/>
                <w:sz w:val="22"/>
                <w:szCs w:val="22"/>
                <w:rPrChange w:id="2882" w:author="AbbVie2" w:date="2025-05-14T10:17:00Z">
                  <w:rPr>
                    <w:del w:id="2883" w:author="AbbVie2" w:date="2025-05-13T16:36:00Z"/>
                    <w:b/>
                    <w:sz w:val="22"/>
                    <w:szCs w:val="22"/>
                    <w:lang w:val="en-US"/>
                  </w:rPr>
                </w:rPrChange>
              </w:rPr>
            </w:pPr>
            <w:del w:id="2884" w:author="AbbVie2" w:date="2025-05-13T16:36:00Z">
              <w:r w:rsidRPr="00AD4F25">
                <w:rPr>
                  <w:b/>
                  <w:sz w:val="22"/>
                  <w:szCs w:val="22"/>
                  <w:rPrChange w:id="2885" w:author="AbbVie2" w:date="2025-05-14T10:17:00Z">
                    <w:rPr>
                      <w:b/>
                      <w:sz w:val="22"/>
                      <w:szCs w:val="22"/>
                      <w:lang w:val="en-US"/>
                    </w:rPr>
                  </w:rPrChange>
                </w:rPr>
                <w:tab/>
                <w:delText>Tratamento</w:delText>
              </w:r>
            </w:del>
          </w:p>
        </w:tc>
        <w:tc>
          <w:tcPr>
            <w:tcW w:w="720" w:type="dxa"/>
            <w:tcBorders>
              <w:top w:val="single" w:sz="4" w:space="0" w:color="auto"/>
              <w:bottom w:val="single" w:sz="4" w:space="0" w:color="auto"/>
            </w:tcBorders>
          </w:tcPr>
          <w:p w14:paraId="6CF931D6" w14:textId="26832675" w:rsidR="007B1EB2" w:rsidRPr="00AD4F25" w:rsidRDefault="00615769" w:rsidP="007B1EB2">
            <w:pPr>
              <w:rPr>
                <w:del w:id="2886" w:author="AbbVie2" w:date="2025-05-13T16:36:00Z"/>
                <w:b/>
                <w:sz w:val="22"/>
                <w:szCs w:val="22"/>
                <w:rPrChange w:id="2887" w:author="AbbVie2" w:date="2025-05-14T10:17:00Z">
                  <w:rPr>
                    <w:del w:id="2888" w:author="AbbVie2" w:date="2025-05-13T16:36:00Z"/>
                    <w:b/>
                    <w:sz w:val="22"/>
                    <w:szCs w:val="22"/>
                    <w:lang w:val="en-US"/>
                  </w:rPr>
                </w:rPrChange>
              </w:rPr>
            </w:pPr>
            <w:del w:id="2889" w:author="AbbVie2" w:date="2025-05-13T16:36:00Z">
              <w:r w:rsidRPr="00AD4F25">
                <w:rPr>
                  <w:b/>
                  <w:sz w:val="22"/>
                  <w:szCs w:val="22"/>
                  <w:rPrChange w:id="2890" w:author="AbbVie2" w:date="2025-05-14T10:17:00Z">
                    <w:rPr>
                      <w:b/>
                      <w:sz w:val="22"/>
                      <w:szCs w:val="22"/>
                      <w:lang w:val="en-US"/>
                    </w:rPr>
                  </w:rPrChange>
                </w:rPr>
                <w:delText>N</w:delText>
              </w:r>
            </w:del>
          </w:p>
        </w:tc>
        <w:tc>
          <w:tcPr>
            <w:tcW w:w="1170" w:type="dxa"/>
            <w:tcBorders>
              <w:top w:val="single" w:sz="4" w:space="0" w:color="auto"/>
              <w:bottom w:val="single" w:sz="4" w:space="0" w:color="auto"/>
            </w:tcBorders>
          </w:tcPr>
          <w:p w14:paraId="2EF9E0AB" w14:textId="7BE7715A" w:rsidR="007B1EB2" w:rsidRPr="00AD4F25" w:rsidRDefault="00615769" w:rsidP="007B1EB2">
            <w:pPr>
              <w:rPr>
                <w:del w:id="2891" w:author="AbbVie2" w:date="2025-05-13T16:36:00Z"/>
                <w:b/>
                <w:sz w:val="22"/>
                <w:szCs w:val="22"/>
                <w:rPrChange w:id="2892" w:author="AbbVie2" w:date="2025-05-14T10:17:00Z">
                  <w:rPr>
                    <w:del w:id="2893" w:author="AbbVie2" w:date="2025-05-13T16:36:00Z"/>
                    <w:b/>
                    <w:sz w:val="22"/>
                    <w:szCs w:val="22"/>
                    <w:lang w:val="en-US"/>
                  </w:rPr>
                </w:rPrChange>
              </w:rPr>
            </w:pPr>
            <w:del w:id="2894" w:author="AbbVie2" w:date="2025-05-13T16:36:00Z">
              <w:r w:rsidRPr="00AD4F25">
                <w:rPr>
                  <w:b/>
                  <w:sz w:val="22"/>
                  <w:szCs w:val="22"/>
                  <w:rPrChange w:id="2895" w:author="AbbVie2" w:date="2025-05-14T10:17:00Z">
                    <w:rPr>
                      <w:b/>
                      <w:sz w:val="22"/>
                      <w:szCs w:val="22"/>
                      <w:lang w:val="en-US"/>
                    </w:rPr>
                  </w:rPrChange>
                </w:rPr>
                <w:delText>Falha</w:delText>
              </w:r>
              <w:r w:rsidRPr="00AD4F25">
                <w:rPr>
                  <w:b/>
                  <w:sz w:val="22"/>
                  <w:szCs w:val="22"/>
                  <w:rPrChange w:id="2896" w:author="AbbVie2" w:date="2025-05-14T10:17:00Z">
                    <w:rPr>
                      <w:b/>
                      <w:sz w:val="22"/>
                      <w:szCs w:val="22"/>
                      <w:lang w:val="en-US"/>
                    </w:rPr>
                  </w:rPrChange>
                </w:rPr>
                <w:br/>
                <w:delText>N (%)</w:delText>
              </w:r>
            </w:del>
          </w:p>
        </w:tc>
        <w:tc>
          <w:tcPr>
            <w:tcW w:w="1890" w:type="dxa"/>
            <w:tcBorders>
              <w:top w:val="single" w:sz="4" w:space="0" w:color="auto"/>
              <w:bottom w:val="single" w:sz="4" w:space="0" w:color="auto"/>
            </w:tcBorders>
          </w:tcPr>
          <w:p w14:paraId="432CD8C3" w14:textId="46FF6A58" w:rsidR="007B1EB2" w:rsidRPr="00635048" w:rsidRDefault="00615769" w:rsidP="007B1EB2">
            <w:pPr>
              <w:rPr>
                <w:del w:id="2897" w:author="AbbVie2" w:date="2025-05-13T16:36:00Z"/>
                <w:b/>
                <w:sz w:val="22"/>
                <w:szCs w:val="22"/>
              </w:rPr>
            </w:pPr>
            <w:del w:id="2898" w:author="AbbVie2" w:date="2025-05-13T16:36:00Z">
              <w:r>
                <w:rPr>
                  <w:b/>
                  <w:sz w:val="22"/>
                  <w:szCs w:val="22"/>
                </w:rPr>
                <w:delText xml:space="preserve">Mediana do </w:delText>
              </w:r>
              <w:r w:rsidRPr="00635048">
                <w:rPr>
                  <w:b/>
                  <w:sz w:val="22"/>
                  <w:szCs w:val="22"/>
                </w:rPr>
                <w:delText>Tempo</w:delText>
              </w:r>
              <w:r>
                <w:rPr>
                  <w:b/>
                  <w:sz w:val="22"/>
                  <w:szCs w:val="22"/>
                </w:rPr>
                <w:delText xml:space="preserve"> </w:delText>
              </w:r>
              <w:r w:rsidRPr="00635048">
                <w:rPr>
                  <w:b/>
                  <w:sz w:val="22"/>
                  <w:szCs w:val="22"/>
                </w:rPr>
                <w:delText xml:space="preserve">até Falha do </w:delText>
              </w:r>
              <w:r>
                <w:rPr>
                  <w:b/>
                  <w:sz w:val="22"/>
                  <w:szCs w:val="22"/>
                </w:rPr>
                <w:delText>T</w:delText>
              </w:r>
              <w:r w:rsidRPr="00635048">
                <w:rPr>
                  <w:b/>
                  <w:sz w:val="22"/>
                  <w:szCs w:val="22"/>
                </w:rPr>
                <w:delText>ratamento</w:delText>
              </w:r>
              <w:r>
                <w:rPr>
                  <w:b/>
                  <w:sz w:val="22"/>
                  <w:szCs w:val="22"/>
                </w:rPr>
                <w:delText xml:space="preserve"> (</w:delText>
              </w:r>
              <w:r w:rsidRPr="00635048">
                <w:rPr>
                  <w:b/>
                  <w:sz w:val="22"/>
                  <w:szCs w:val="22"/>
                </w:rPr>
                <w:delText>meses)</w:delText>
              </w:r>
            </w:del>
          </w:p>
        </w:tc>
        <w:tc>
          <w:tcPr>
            <w:tcW w:w="720" w:type="dxa"/>
            <w:tcBorders>
              <w:top w:val="single" w:sz="4" w:space="0" w:color="auto"/>
              <w:bottom w:val="single" w:sz="4" w:space="0" w:color="auto"/>
            </w:tcBorders>
          </w:tcPr>
          <w:p w14:paraId="2A84861C" w14:textId="208C6DC6" w:rsidR="007B1EB2" w:rsidRPr="00AD4F25" w:rsidRDefault="00615769" w:rsidP="007B1EB2">
            <w:pPr>
              <w:rPr>
                <w:del w:id="2899" w:author="AbbVie2" w:date="2025-05-13T16:36:00Z"/>
                <w:b/>
                <w:sz w:val="22"/>
                <w:szCs w:val="22"/>
                <w:rPrChange w:id="2900" w:author="AbbVie2" w:date="2025-05-14T10:17:00Z">
                  <w:rPr>
                    <w:del w:id="2901" w:author="AbbVie2" w:date="2025-05-13T16:36:00Z"/>
                    <w:b/>
                    <w:sz w:val="22"/>
                    <w:szCs w:val="22"/>
                    <w:lang w:val="en-US"/>
                  </w:rPr>
                </w:rPrChange>
              </w:rPr>
            </w:pPr>
            <w:del w:id="2902" w:author="AbbVie2" w:date="2025-05-13T16:36:00Z">
              <w:r w:rsidRPr="00AD4F25">
                <w:rPr>
                  <w:b/>
                  <w:sz w:val="22"/>
                  <w:szCs w:val="22"/>
                  <w:rPrChange w:id="2903" w:author="AbbVie2" w:date="2025-05-14T10:17:00Z">
                    <w:rPr>
                      <w:b/>
                      <w:sz w:val="22"/>
                      <w:szCs w:val="22"/>
                      <w:lang w:val="en-US"/>
                    </w:rPr>
                  </w:rPrChange>
                </w:rPr>
                <w:delText>TR</w:delText>
              </w:r>
              <w:r w:rsidRPr="00AD4F25">
                <w:rPr>
                  <w:b/>
                  <w:sz w:val="22"/>
                  <w:szCs w:val="22"/>
                  <w:vertAlign w:val="superscript"/>
                  <w:rPrChange w:id="2904" w:author="AbbVie2" w:date="2025-05-14T10:17:00Z">
                    <w:rPr>
                      <w:b/>
                      <w:sz w:val="22"/>
                      <w:szCs w:val="22"/>
                      <w:vertAlign w:val="superscript"/>
                      <w:lang w:val="en-US"/>
                    </w:rPr>
                  </w:rPrChange>
                </w:rPr>
                <w:delText>a</w:delText>
              </w:r>
            </w:del>
          </w:p>
        </w:tc>
        <w:tc>
          <w:tcPr>
            <w:tcW w:w="1170" w:type="dxa"/>
            <w:tcBorders>
              <w:top w:val="single" w:sz="4" w:space="0" w:color="auto"/>
              <w:bottom w:val="single" w:sz="4" w:space="0" w:color="auto"/>
            </w:tcBorders>
          </w:tcPr>
          <w:p w14:paraId="3919AEC6" w14:textId="2AC39300" w:rsidR="007B1EB2" w:rsidRPr="00AD4F25" w:rsidRDefault="00615769" w:rsidP="007B1EB2">
            <w:pPr>
              <w:rPr>
                <w:del w:id="2905" w:author="AbbVie2" w:date="2025-05-13T16:36:00Z"/>
                <w:b/>
                <w:sz w:val="22"/>
                <w:szCs w:val="22"/>
                <w:rPrChange w:id="2906" w:author="AbbVie2" w:date="2025-05-14T10:17:00Z">
                  <w:rPr>
                    <w:del w:id="2907" w:author="AbbVie2" w:date="2025-05-13T16:36:00Z"/>
                    <w:b/>
                    <w:sz w:val="22"/>
                    <w:szCs w:val="22"/>
                    <w:lang w:val="en-US"/>
                  </w:rPr>
                </w:rPrChange>
              </w:rPr>
            </w:pPr>
            <w:del w:id="2908" w:author="AbbVie2" w:date="2025-05-13T16:36:00Z">
              <w:r w:rsidRPr="00AD4F25">
                <w:rPr>
                  <w:b/>
                  <w:sz w:val="22"/>
                  <w:szCs w:val="22"/>
                  <w:rPrChange w:id="2909" w:author="AbbVie2" w:date="2025-05-14T10:17:00Z">
                    <w:rPr>
                      <w:b/>
                      <w:sz w:val="22"/>
                      <w:szCs w:val="22"/>
                      <w:lang w:val="en-US"/>
                    </w:rPr>
                  </w:rPrChange>
                </w:rPr>
                <w:delText>IC 95% para TR</w:delText>
              </w:r>
              <w:r w:rsidRPr="00AD4F25">
                <w:rPr>
                  <w:b/>
                  <w:sz w:val="22"/>
                  <w:szCs w:val="22"/>
                  <w:vertAlign w:val="superscript"/>
                  <w:rPrChange w:id="2910" w:author="AbbVie2" w:date="2025-05-14T10:17:00Z">
                    <w:rPr>
                      <w:b/>
                      <w:sz w:val="22"/>
                      <w:szCs w:val="22"/>
                      <w:vertAlign w:val="superscript"/>
                      <w:lang w:val="en-US"/>
                    </w:rPr>
                  </w:rPrChange>
                </w:rPr>
                <w:delText>a</w:delText>
              </w:r>
            </w:del>
          </w:p>
        </w:tc>
        <w:tc>
          <w:tcPr>
            <w:tcW w:w="1080" w:type="dxa"/>
            <w:tcBorders>
              <w:top w:val="single" w:sz="4" w:space="0" w:color="auto"/>
              <w:bottom w:val="single" w:sz="4" w:space="0" w:color="auto"/>
            </w:tcBorders>
          </w:tcPr>
          <w:p w14:paraId="2952AA2A" w14:textId="532C4E61" w:rsidR="007B1EB2" w:rsidRPr="00AD4F25" w:rsidRDefault="00615769" w:rsidP="007B1EB2">
            <w:pPr>
              <w:rPr>
                <w:del w:id="2911" w:author="AbbVie2" w:date="2025-05-13T16:36:00Z"/>
                <w:b/>
                <w:sz w:val="22"/>
                <w:szCs w:val="22"/>
                <w:rPrChange w:id="2912" w:author="AbbVie2" w:date="2025-05-14T10:17:00Z">
                  <w:rPr>
                    <w:del w:id="2913" w:author="AbbVie2" w:date="2025-05-13T16:36:00Z"/>
                    <w:b/>
                    <w:sz w:val="22"/>
                    <w:szCs w:val="22"/>
                    <w:lang w:val="en-US"/>
                  </w:rPr>
                </w:rPrChange>
              </w:rPr>
            </w:pPr>
            <w:del w:id="2914" w:author="AbbVie2" w:date="2025-05-13T16:36:00Z">
              <w:r w:rsidRPr="00AD4F25">
                <w:rPr>
                  <w:b/>
                  <w:sz w:val="22"/>
                  <w:szCs w:val="22"/>
                  <w:rPrChange w:id="2915" w:author="AbbVie2" w:date="2025-05-14T10:17:00Z">
                    <w:rPr>
                      <w:b/>
                      <w:sz w:val="22"/>
                      <w:szCs w:val="22"/>
                      <w:lang w:val="en-US"/>
                    </w:rPr>
                  </w:rPrChange>
                </w:rPr>
                <w:delText>Valor</w:delText>
              </w:r>
              <w:r w:rsidR="00C9386F" w:rsidRPr="00AD4F25">
                <w:rPr>
                  <w:b/>
                  <w:sz w:val="22"/>
                  <w:szCs w:val="22"/>
                  <w:rPrChange w:id="2916" w:author="AbbVie2" w:date="2025-05-14T10:17:00Z">
                    <w:rPr>
                      <w:b/>
                      <w:sz w:val="22"/>
                      <w:szCs w:val="22"/>
                      <w:lang w:val="en-US"/>
                    </w:rPr>
                  </w:rPrChange>
                </w:rPr>
                <w:delText>-p</w:delText>
              </w:r>
              <w:r w:rsidRPr="00AD4F25">
                <w:rPr>
                  <w:b/>
                  <w:sz w:val="22"/>
                  <w:szCs w:val="22"/>
                  <w:vertAlign w:val="superscript"/>
                  <w:rPrChange w:id="2917" w:author="AbbVie2" w:date="2025-05-14T10:17:00Z">
                    <w:rPr>
                      <w:b/>
                      <w:sz w:val="22"/>
                      <w:szCs w:val="22"/>
                      <w:vertAlign w:val="superscript"/>
                      <w:lang w:val="en-US"/>
                    </w:rPr>
                  </w:rPrChange>
                </w:rPr>
                <w:delText>b</w:delText>
              </w:r>
            </w:del>
          </w:p>
        </w:tc>
      </w:tr>
      <w:tr w:rsidR="00A7162A" w14:paraId="3FCE2ECC" w14:textId="52566800" w:rsidTr="007B1EB2">
        <w:trPr>
          <w:del w:id="2918" w:author="AbbVie2" w:date="2025-05-13T16:36:00Z"/>
        </w:trPr>
        <w:tc>
          <w:tcPr>
            <w:tcW w:w="9018" w:type="dxa"/>
            <w:gridSpan w:val="7"/>
            <w:tcBorders>
              <w:top w:val="single" w:sz="4" w:space="0" w:color="auto"/>
              <w:bottom w:val="nil"/>
            </w:tcBorders>
          </w:tcPr>
          <w:p w14:paraId="12C2373F" w14:textId="276B16CC" w:rsidR="007B1EB2" w:rsidRPr="00635048" w:rsidRDefault="00615769" w:rsidP="007B1EB2">
            <w:pPr>
              <w:rPr>
                <w:del w:id="2919" w:author="AbbVie2" w:date="2025-05-13T16:36:00Z"/>
                <w:b/>
                <w:sz w:val="22"/>
                <w:szCs w:val="22"/>
              </w:rPr>
            </w:pPr>
            <w:del w:id="2920" w:author="AbbVie2" w:date="2025-05-13T16:36:00Z">
              <w:r w:rsidRPr="00635048">
                <w:rPr>
                  <w:b/>
                  <w:sz w:val="22"/>
                  <w:szCs w:val="22"/>
                </w:rPr>
                <w:delText xml:space="preserve">Tempo até Falha do Tratamento </w:delText>
              </w:r>
              <w:r>
                <w:rPr>
                  <w:b/>
                  <w:sz w:val="22"/>
                  <w:szCs w:val="22"/>
                </w:rPr>
                <w:delText xml:space="preserve">na ou após a Semana 6 no Estudo </w:delText>
              </w:r>
              <w:r w:rsidRPr="00635048">
                <w:rPr>
                  <w:b/>
                  <w:sz w:val="22"/>
                  <w:szCs w:val="22"/>
                </w:rPr>
                <w:delText xml:space="preserve">UV I  </w:delText>
              </w:r>
            </w:del>
          </w:p>
        </w:tc>
      </w:tr>
      <w:tr w:rsidR="00A7162A" w14:paraId="19EA0316" w14:textId="2B9693F8" w:rsidTr="007B1EB2">
        <w:trPr>
          <w:del w:id="2921" w:author="AbbVie2" w:date="2025-05-13T16:36:00Z"/>
        </w:trPr>
        <w:tc>
          <w:tcPr>
            <w:tcW w:w="2988" w:type="dxa"/>
            <w:gridSpan w:val="2"/>
            <w:tcBorders>
              <w:top w:val="nil"/>
              <w:bottom w:val="nil"/>
            </w:tcBorders>
          </w:tcPr>
          <w:p w14:paraId="63E629D0" w14:textId="562C0013" w:rsidR="007B1EB2" w:rsidRPr="00AD4F25" w:rsidRDefault="00615769" w:rsidP="007B1EB2">
            <w:pPr>
              <w:rPr>
                <w:del w:id="2922" w:author="AbbVie2" w:date="2025-05-13T16:36:00Z"/>
                <w:sz w:val="22"/>
                <w:szCs w:val="22"/>
                <w:rPrChange w:id="2923" w:author="AbbVie2" w:date="2025-05-14T10:17:00Z">
                  <w:rPr>
                    <w:del w:id="2924" w:author="AbbVie2" w:date="2025-05-13T16:36:00Z"/>
                    <w:sz w:val="22"/>
                    <w:szCs w:val="22"/>
                    <w:lang w:val="en-US"/>
                  </w:rPr>
                </w:rPrChange>
              </w:rPr>
            </w:pPr>
            <w:del w:id="2925" w:author="AbbVie2" w:date="2025-05-13T16:36:00Z">
              <w:r w:rsidRPr="00AD4F25">
                <w:rPr>
                  <w:sz w:val="22"/>
                  <w:szCs w:val="22"/>
                  <w:rPrChange w:id="2926" w:author="AbbVie2" w:date="2025-05-14T10:17:00Z">
                    <w:rPr>
                      <w:sz w:val="22"/>
                      <w:szCs w:val="22"/>
                      <w:lang w:val="en-US"/>
                    </w:rPr>
                  </w:rPrChange>
                </w:rPr>
                <w:delText>Análise primária (ITT)</w:delText>
              </w:r>
            </w:del>
          </w:p>
        </w:tc>
        <w:tc>
          <w:tcPr>
            <w:tcW w:w="1170" w:type="dxa"/>
            <w:tcBorders>
              <w:top w:val="nil"/>
              <w:bottom w:val="nil"/>
            </w:tcBorders>
          </w:tcPr>
          <w:p w14:paraId="0FDF0B60" w14:textId="710BB37D" w:rsidR="007B1EB2" w:rsidRPr="00AD4F25" w:rsidRDefault="007B1EB2" w:rsidP="007B1EB2">
            <w:pPr>
              <w:rPr>
                <w:del w:id="2927" w:author="AbbVie2" w:date="2025-05-13T16:36:00Z"/>
                <w:sz w:val="22"/>
                <w:szCs w:val="22"/>
                <w:rPrChange w:id="2928" w:author="AbbVie2" w:date="2025-05-14T10:17:00Z">
                  <w:rPr>
                    <w:del w:id="2929" w:author="AbbVie2" w:date="2025-05-13T16:36:00Z"/>
                    <w:sz w:val="22"/>
                    <w:szCs w:val="22"/>
                    <w:lang w:val="en-US"/>
                  </w:rPr>
                </w:rPrChange>
              </w:rPr>
            </w:pPr>
          </w:p>
        </w:tc>
        <w:tc>
          <w:tcPr>
            <w:tcW w:w="1890" w:type="dxa"/>
            <w:tcBorders>
              <w:top w:val="nil"/>
              <w:bottom w:val="nil"/>
            </w:tcBorders>
          </w:tcPr>
          <w:p w14:paraId="7AC40A2F" w14:textId="68F1B366" w:rsidR="007B1EB2" w:rsidRPr="00AD4F25" w:rsidRDefault="007B1EB2" w:rsidP="007B1EB2">
            <w:pPr>
              <w:rPr>
                <w:del w:id="2930" w:author="AbbVie2" w:date="2025-05-13T16:36:00Z"/>
                <w:sz w:val="22"/>
                <w:szCs w:val="22"/>
                <w:rPrChange w:id="2931" w:author="AbbVie2" w:date="2025-05-14T10:17:00Z">
                  <w:rPr>
                    <w:del w:id="2932" w:author="AbbVie2" w:date="2025-05-13T16:36:00Z"/>
                    <w:sz w:val="22"/>
                    <w:szCs w:val="22"/>
                    <w:lang w:val="en-US"/>
                  </w:rPr>
                </w:rPrChange>
              </w:rPr>
            </w:pPr>
          </w:p>
        </w:tc>
        <w:tc>
          <w:tcPr>
            <w:tcW w:w="720" w:type="dxa"/>
            <w:tcBorders>
              <w:top w:val="nil"/>
              <w:bottom w:val="nil"/>
            </w:tcBorders>
          </w:tcPr>
          <w:p w14:paraId="4DC7A2A3" w14:textId="1B7C4CF6" w:rsidR="007B1EB2" w:rsidRPr="00AD4F25" w:rsidRDefault="007B1EB2" w:rsidP="007B1EB2">
            <w:pPr>
              <w:rPr>
                <w:del w:id="2933" w:author="AbbVie2" w:date="2025-05-13T16:36:00Z"/>
                <w:sz w:val="22"/>
                <w:szCs w:val="22"/>
                <w:rPrChange w:id="2934" w:author="AbbVie2" w:date="2025-05-14T10:17:00Z">
                  <w:rPr>
                    <w:del w:id="2935" w:author="AbbVie2" w:date="2025-05-13T16:36:00Z"/>
                    <w:sz w:val="22"/>
                    <w:szCs w:val="22"/>
                    <w:lang w:val="en-US"/>
                  </w:rPr>
                </w:rPrChange>
              </w:rPr>
            </w:pPr>
          </w:p>
        </w:tc>
        <w:tc>
          <w:tcPr>
            <w:tcW w:w="1170" w:type="dxa"/>
            <w:tcBorders>
              <w:top w:val="nil"/>
              <w:bottom w:val="nil"/>
            </w:tcBorders>
          </w:tcPr>
          <w:p w14:paraId="7EB720E7" w14:textId="0AA14B58" w:rsidR="007B1EB2" w:rsidRPr="00AD4F25" w:rsidRDefault="007B1EB2" w:rsidP="007B1EB2">
            <w:pPr>
              <w:rPr>
                <w:del w:id="2936" w:author="AbbVie2" w:date="2025-05-13T16:36:00Z"/>
                <w:sz w:val="22"/>
                <w:szCs w:val="22"/>
                <w:rPrChange w:id="2937" w:author="AbbVie2" w:date="2025-05-14T10:17:00Z">
                  <w:rPr>
                    <w:del w:id="2938" w:author="AbbVie2" w:date="2025-05-13T16:36:00Z"/>
                    <w:sz w:val="22"/>
                    <w:szCs w:val="22"/>
                    <w:lang w:val="en-US"/>
                  </w:rPr>
                </w:rPrChange>
              </w:rPr>
            </w:pPr>
          </w:p>
        </w:tc>
        <w:tc>
          <w:tcPr>
            <w:tcW w:w="1080" w:type="dxa"/>
            <w:tcBorders>
              <w:top w:val="nil"/>
              <w:bottom w:val="nil"/>
            </w:tcBorders>
          </w:tcPr>
          <w:p w14:paraId="52762804" w14:textId="68D41781" w:rsidR="007B1EB2" w:rsidRPr="00AD4F25" w:rsidRDefault="007B1EB2" w:rsidP="007B1EB2">
            <w:pPr>
              <w:rPr>
                <w:del w:id="2939" w:author="AbbVie2" w:date="2025-05-13T16:36:00Z"/>
                <w:sz w:val="22"/>
                <w:szCs w:val="22"/>
                <w:rPrChange w:id="2940" w:author="AbbVie2" w:date="2025-05-14T10:17:00Z">
                  <w:rPr>
                    <w:del w:id="2941" w:author="AbbVie2" w:date="2025-05-13T16:36:00Z"/>
                    <w:sz w:val="22"/>
                    <w:szCs w:val="22"/>
                    <w:lang w:val="en-US"/>
                  </w:rPr>
                </w:rPrChange>
              </w:rPr>
            </w:pPr>
          </w:p>
        </w:tc>
      </w:tr>
      <w:tr w:rsidR="00A7162A" w14:paraId="7E0C516F" w14:textId="05BA34E0" w:rsidTr="007B1EB2">
        <w:trPr>
          <w:del w:id="2942" w:author="AbbVie2" w:date="2025-05-13T16:36:00Z"/>
        </w:trPr>
        <w:tc>
          <w:tcPr>
            <w:tcW w:w="2268" w:type="dxa"/>
            <w:tcBorders>
              <w:top w:val="nil"/>
              <w:bottom w:val="nil"/>
            </w:tcBorders>
          </w:tcPr>
          <w:p w14:paraId="41853078" w14:textId="77AB3A38" w:rsidR="007B1EB2" w:rsidRPr="00AD4F25" w:rsidRDefault="00615769" w:rsidP="007B1EB2">
            <w:pPr>
              <w:rPr>
                <w:del w:id="2943" w:author="AbbVie2" w:date="2025-05-13T16:36:00Z"/>
                <w:sz w:val="22"/>
                <w:szCs w:val="22"/>
                <w:rPrChange w:id="2944" w:author="AbbVie2" w:date="2025-05-14T10:17:00Z">
                  <w:rPr>
                    <w:del w:id="2945" w:author="AbbVie2" w:date="2025-05-13T16:36:00Z"/>
                    <w:sz w:val="22"/>
                    <w:szCs w:val="22"/>
                    <w:lang w:val="en-US"/>
                  </w:rPr>
                </w:rPrChange>
              </w:rPr>
            </w:pPr>
            <w:del w:id="2946" w:author="AbbVie2" w:date="2025-05-13T16:36:00Z">
              <w:r w:rsidRPr="00AD4F25">
                <w:rPr>
                  <w:sz w:val="22"/>
                  <w:szCs w:val="22"/>
                  <w:rPrChange w:id="2947" w:author="AbbVie2" w:date="2025-05-14T10:17:00Z">
                    <w:rPr>
                      <w:sz w:val="22"/>
                      <w:szCs w:val="22"/>
                      <w:lang w:val="en-US"/>
                    </w:rPr>
                  </w:rPrChange>
                </w:rPr>
                <w:tab/>
                <w:delText>Placebo</w:delText>
              </w:r>
            </w:del>
          </w:p>
        </w:tc>
        <w:tc>
          <w:tcPr>
            <w:tcW w:w="720" w:type="dxa"/>
            <w:tcBorders>
              <w:top w:val="nil"/>
              <w:bottom w:val="nil"/>
            </w:tcBorders>
          </w:tcPr>
          <w:p w14:paraId="2DA13E64" w14:textId="44356847" w:rsidR="007B1EB2" w:rsidRPr="00AD4F25" w:rsidRDefault="00615769" w:rsidP="007B1EB2">
            <w:pPr>
              <w:rPr>
                <w:del w:id="2948" w:author="AbbVie2" w:date="2025-05-13T16:36:00Z"/>
                <w:sz w:val="22"/>
                <w:szCs w:val="22"/>
                <w:rPrChange w:id="2949" w:author="AbbVie2" w:date="2025-05-14T10:17:00Z">
                  <w:rPr>
                    <w:del w:id="2950" w:author="AbbVie2" w:date="2025-05-13T16:36:00Z"/>
                    <w:sz w:val="22"/>
                    <w:szCs w:val="22"/>
                    <w:lang w:val="en-US"/>
                  </w:rPr>
                </w:rPrChange>
              </w:rPr>
            </w:pPr>
            <w:del w:id="2951" w:author="AbbVie2" w:date="2025-05-13T16:36:00Z">
              <w:r w:rsidRPr="00AD4F25">
                <w:rPr>
                  <w:sz w:val="22"/>
                  <w:szCs w:val="22"/>
                  <w:rPrChange w:id="2952" w:author="AbbVie2" w:date="2025-05-14T10:17:00Z">
                    <w:rPr>
                      <w:sz w:val="22"/>
                      <w:szCs w:val="22"/>
                      <w:lang w:val="en-US"/>
                    </w:rPr>
                  </w:rPrChange>
                </w:rPr>
                <w:delText>107</w:delText>
              </w:r>
            </w:del>
          </w:p>
        </w:tc>
        <w:tc>
          <w:tcPr>
            <w:tcW w:w="1170" w:type="dxa"/>
            <w:tcBorders>
              <w:top w:val="nil"/>
              <w:bottom w:val="nil"/>
            </w:tcBorders>
          </w:tcPr>
          <w:p w14:paraId="1DE35128" w14:textId="1B1F6081" w:rsidR="007B1EB2" w:rsidRPr="00AD4F25" w:rsidRDefault="00615769" w:rsidP="007B1EB2">
            <w:pPr>
              <w:rPr>
                <w:del w:id="2953" w:author="AbbVie2" w:date="2025-05-13T16:36:00Z"/>
                <w:sz w:val="22"/>
                <w:szCs w:val="22"/>
                <w:rPrChange w:id="2954" w:author="AbbVie2" w:date="2025-05-14T10:17:00Z">
                  <w:rPr>
                    <w:del w:id="2955" w:author="AbbVie2" w:date="2025-05-13T16:36:00Z"/>
                    <w:sz w:val="22"/>
                    <w:szCs w:val="22"/>
                    <w:lang w:val="en-US"/>
                  </w:rPr>
                </w:rPrChange>
              </w:rPr>
            </w:pPr>
            <w:del w:id="2956" w:author="AbbVie2" w:date="2025-05-13T16:36:00Z">
              <w:r w:rsidRPr="00AD4F25">
                <w:rPr>
                  <w:sz w:val="22"/>
                  <w:szCs w:val="22"/>
                  <w:rPrChange w:id="2957" w:author="AbbVie2" w:date="2025-05-14T10:17:00Z">
                    <w:rPr>
                      <w:sz w:val="22"/>
                      <w:szCs w:val="22"/>
                      <w:lang w:val="en-US"/>
                    </w:rPr>
                  </w:rPrChange>
                </w:rPr>
                <w:delText>84 (78,5)</w:delText>
              </w:r>
            </w:del>
          </w:p>
        </w:tc>
        <w:tc>
          <w:tcPr>
            <w:tcW w:w="1890" w:type="dxa"/>
            <w:tcBorders>
              <w:top w:val="nil"/>
              <w:bottom w:val="nil"/>
            </w:tcBorders>
          </w:tcPr>
          <w:p w14:paraId="34AD224E" w14:textId="7FB907E8" w:rsidR="007B1EB2" w:rsidRPr="00AD4F25" w:rsidRDefault="00615769" w:rsidP="007B1EB2">
            <w:pPr>
              <w:rPr>
                <w:del w:id="2958" w:author="AbbVie2" w:date="2025-05-13T16:36:00Z"/>
                <w:sz w:val="22"/>
                <w:szCs w:val="22"/>
                <w:rPrChange w:id="2959" w:author="AbbVie2" w:date="2025-05-14T10:17:00Z">
                  <w:rPr>
                    <w:del w:id="2960" w:author="AbbVie2" w:date="2025-05-13T16:36:00Z"/>
                    <w:sz w:val="22"/>
                    <w:szCs w:val="22"/>
                    <w:lang w:val="en-US"/>
                  </w:rPr>
                </w:rPrChange>
              </w:rPr>
            </w:pPr>
            <w:del w:id="2961" w:author="AbbVie2" w:date="2025-05-13T16:36:00Z">
              <w:r w:rsidRPr="00AD4F25">
                <w:rPr>
                  <w:sz w:val="22"/>
                  <w:szCs w:val="22"/>
                  <w:rPrChange w:id="2962" w:author="AbbVie2" w:date="2025-05-14T10:17:00Z">
                    <w:rPr>
                      <w:sz w:val="22"/>
                      <w:szCs w:val="22"/>
                      <w:lang w:val="en-US"/>
                    </w:rPr>
                  </w:rPrChange>
                </w:rPr>
                <w:delText>3,0</w:delText>
              </w:r>
            </w:del>
          </w:p>
        </w:tc>
        <w:tc>
          <w:tcPr>
            <w:tcW w:w="720" w:type="dxa"/>
            <w:tcBorders>
              <w:top w:val="nil"/>
              <w:bottom w:val="nil"/>
            </w:tcBorders>
          </w:tcPr>
          <w:p w14:paraId="7109DBB5" w14:textId="2D3CC2CB" w:rsidR="007B1EB2" w:rsidRPr="00AD4F25" w:rsidRDefault="00615769" w:rsidP="007B1EB2">
            <w:pPr>
              <w:rPr>
                <w:del w:id="2963" w:author="AbbVie2" w:date="2025-05-13T16:36:00Z"/>
                <w:sz w:val="22"/>
                <w:szCs w:val="22"/>
                <w:rPrChange w:id="2964" w:author="AbbVie2" w:date="2025-05-14T10:17:00Z">
                  <w:rPr>
                    <w:del w:id="2965" w:author="AbbVie2" w:date="2025-05-13T16:36:00Z"/>
                    <w:sz w:val="22"/>
                    <w:szCs w:val="22"/>
                    <w:lang w:val="en-US"/>
                  </w:rPr>
                </w:rPrChange>
              </w:rPr>
            </w:pPr>
            <w:del w:id="2966" w:author="AbbVie2" w:date="2025-05-13T16:36:00Z">
              <w:r w:rsidRPr="00AD4F25">
                <w:rPr>
                  <w:sz w:val="22"/>
                  <w:szCs w:val="22"/>
                  <w:rPrChange w:id="2967" w:author="AbbVie2" w:date="2025-05-14T10:17:00Z">
                    <w:rPr>
                      <w:sz w:val="22"/>
                      <w:szCs w:val="22"/>
                      <w:lang w:val="en-US"/>
                    </w:rPr>
                  </w:rPrChange>
                </w:rPr>
                <w:delText>--</w:delText>
              </w:r>
            </w:del>
          </w:p>
        </w:tc>
        <w:tc>
          <w:tcPr>
            <w:tcW w:w="1170" w:type="dxa"/>
            <w:tcBorders>
              <w:top w:val="nil"/>
              <w:bottom w:val="nil"/>
            </w:tcBorders>
          </w:tcPr>
          <w:p w14:paraId="223E92A3" w14:textId="02AEBEB0" w:rsidR="007B1EB2" w:rsidRPr="00AD4F25" w:rsidRDefault="00615769" w:rsidP="007B1EB2">
            <w:pPr>
              <w:rPr>
                <w:del w:id="2968" w:author="AbbVie2" w:date="2025-05-13T16:36:00Z"/>
                <w:sz w:val="22"/>
                <w:szCs w:val="22"/>
                <w:rPrChange w:id="2969" w:author="AbbVie2" w:date="2025-05-14T10:17:00Z">
                  <w:rPr>
                    <w:del w:id="2970" w:author="AbbVie2" w:date="2025-05-13T16:36:00Z"/>
                    <w:sz w:val="22"/>
                    <w:szCs w:val="22"/>
                    <w:lang w:val="en-US"/>
                  </w:rPr>
                </w:rPrChange>
              </w:rPr>
            </w:pPr>
            <w:del w:id="2971" w:author="AbbVie2" w:date="2025-05-13T16:36:00Z">
              <w:r w:rsidRPr="00AD4F25">
                <w:rPr>
                  <w:sz w:val="22"/>
                  <w:szCs w:val="22"/>
                  <w:rPrChange w:id="2972" w:author="AbbVie2" w:date="2025-05-14T10:17:00Z">
                    <w:rPr>
                      <w:sz w:val="22"/>
                      <w:szCs w:val="22"/>
                      <w:lang w:val="en-US"/>
                    </w:rPr>
                  </w:rPrChange>
                </w:rPr>
                <w:delText>--</w:delText>
              </w:r>
            </w:del>
          </w:p>
        </w:tc>
        <w:tc>
          <w:tcPr>
            <w:tcW w:w="1080" w:type="dxa"/>
            <w:tcBorders>
              <w:top w:val="nil"/>
              <w:bottom w:val="nil"/>
            </w:tcBorders>
          </w:tcPr>
          <w:p w14:paraId="558C2FA3" w14:textId="23E79134" w:rsidR="007B1EB2" w:rsidRPr="00AD4F25" w:rsidRDefault="00615769" w:rsidP="007B1EB2">
            <w:pPr>
              <w:rPr>
                <w:del w:id="2973" w:author="AbbVie2" w:date="2025-05-13T16:36:00Z"/>
                <w:sz w:val="22"/>
                <w:szCs w:val="22"/>
                <w:rPrChange w:id="2974" w:author="AbbVie2" w:date="2025-05-14T10:17:00Z">
                  <w:rPr>
                    <w:del w:id="2975" w:author="AbbVie2" w:date="2025-05-13T16:36:00Z"/>
                    <w:sz w:val="22"/>
                    <w:szCs w:val="22"/>
                    <w:lang w:val="en-US"/>
                  </w:rPr>
                </w:rPrChange>
              </w:rPr>
            </w:pPr>
            <w:del w:id="2976" w:author="AbbVie2" w:date="2025-05-13T16:36:00Z">
              <w:r w:rsidRPr="00AD4F25">
                <w:rPr>
                  <w:sz w:val="22"/>
                  <w:szCs w:val="22"/>
                  <w:rPrChange w:id="2977" w:author="AbbVie2" w:date="2025-05-14T10:17:00Z">
                    <w:rPr>
                      <w:sz w:val="22"/>
                      <w:szCs w:val="22"/>
                      <w:lang w:val="en-US"/>
                    </w:rPr>
                  </w:rPrChange>
                </w:rPr>
                <w:delText>--</w:delText>
              </w:r>
            </w:del>
          </w:p>
        </w:tc>
      </w:tr>
      <w:tr w:rsidR="00A7162A" w14:paraId="2A02BCA3" w14:textId="7A13742A" w:rsidTr="007B1EB2">
        <w:trPr>
          <w:del w:id="2978" w:author="AbbVie2" w:date="2025-05-13T16:36:00Z"/>
        </w:trPr>
        <w:tc>
          <w:tcPr>
            <w:tcW w:w="2268" w:type="dxa"/>
            <w:tcBorders>
              <w:top w:val="nil"/>
              <w:bottom w:val="single" w:sz="4" w:space="0" w:color="auto"/>
            </w:tcBorders>
          </w:tcPr>
          <w:p w14:paraId="399D0BA2" w14:textId="1F4D168B" w:rsidR="007B1EB2" w:rsidRPr="00AD4F25" w:rsidRDefault="00615769" w:rsidP="007B1EB2">
            <w:pPr>
              <w:rPr>
                <w:del w:id="2979" w:author="AbbVie2" w:date="2025-05-13T16:36:00Z"/>
                <w:sz w:val="22"/>
                <w:szCs w:val="22"/>
                <w:rPrChange w:id="2980" w:author="AbbVie2" w:date="2025-05-14T10:17:00Z">
                  <w:rPr>
                    <w:del w:id="2981" w:author="AbbVie2" w:date="2025-05-13T16:36:00Z"/>
                    <w:sz w:val="22"/>
                    <w:szCs w:val="22"/>
                    <w:lang w:val="en-US"/>
                  </w:rPr>
                </w:rPrChange>
              </w:rPr>
            </w:pPr>
            <w:del w:id="2982" w:author="AbbVie2" w:date="2025-05-13T16:36:00Z">
              <w:r w:rsidRPr="00AD4F25">
                <w:rPr>
                  <w:sz w:val="22"/>
                  <w:szCs w:val="22"/>
                  <w:rPrChange w:id="2983" w:author="AbbVie2" w:date="2025-05-14T10:17:00Z">
                    <w:rPr>
                      <w:sz w:val="22"/>
                      <w:szCs w:val="22"/>
                      <w:lang w:val="en-US"/>
                    </w:rPr>
                  </w:rPrChange>
                </w:rPr>
                <w:tab/>
                <w:delText>Adalimumab</w:delText>
              </w:r>
            </w:del>
          </w:p>
        </w:tc>
        <w:tc>
          <w:tcPr>
            <w:tcW w:w="720" w:type="dxa"/>
            <w:tcBorders>
              <w:top w:val="nil"/>
              <w:bottom w:val="single" w:sz="4" w:space="0" w:color="auto"/>
            </w:tcBorders>
          </w:tcPr>
          <w:p w14:paraId="58D40683" w14:textId="58E63F57" w:rsidR="007B1EB2" w:rsidRPr="00AD4F25" w:rsidRDefault="00615769" w:rsidP="007B1EB2">
            <w:pPr>
              <w:rPr>
                <w:del w:id="2984" w:author="AbbVie2" w:date="2025-05-13T16:36:00Z"/>
                <w:sz w:val="22"/>
                <w:szCs w:val="22"/>
                <w:rPrChange w:id="2985" w:author="AbbVie2" w:date="2025-05-14T10:17:00Z">
                  <w:rPr>
                    <w:del w:id="2986" w:author="AbbVie2" w:date="2025-05-13T16:36:00Z"/>
                    <w:sz w:val="22"/>
                    <w:szCs w:val="22"/>
                    <w:lang w:val="en-US"/>
                  </w:rPr>
                </w:rPrChange>
              </w:rPr>
            </w:pPr>
            <w:del w:id="2987" w:author="AbbVie2" w:date="2025-05-13T16:36:00Z">
              <w:r w:rsidRPr="00AD4F25">
                <w:rPr>
                  <w:sz w:val="22"/>
                  <w:szCs w:val="22"/>
                  <w:rPrChange w:id="2988" w:author="AbbVie2" w:date="2025-05-14T10:17:00Z">
                    <w:rPr>
                      <w:sz w:val="22"/>
                      <w:szCs w:val="22"/>
                      <w:lang w:val="en-US"/>
                    </w:rPr>
                  </w:rPrChange>
                </w:rPr>
                <w:delText>110</w:delText>
              </w:r>
            </w:del>
          </w:p>
        </w:tc>
        <w:tc>
          <w:tcPr>
            <w:tcW w:w="1170" w:type="dxa"/>
            <w:tcBorders>
              <w:top w:val="nil"/>
              <w:bottom w:val="single" w:sz="4" w:space="0" w:color="auto"/>
            </w:tcBorders>
          </w:tcPr>
          <w:p w14:paraId="590AC66D" w14:textId="2651256A" w:rsidR="007B1EB2" w:rsidRPr="00AD4F25" w:rsidRDefault="00615769" w:rsidP="007B1EB2">
            <w:pPr>
              <w:rPr>
                <w:del w:id="2989" w:author="AbbVie2" w:date="2025-05-13T16:36:00Z"/>
                <w:sz w:val="22"/>
                <w:szCs w:val="22"/>
                <w:rPrChange w:id="2990" w:author="AbbVie2" w:date="2025-05-14T10:17:00Z">
                  <w:rPr>
                    <w:del w:id="2991" w:author="AbbVie2" w:date="2025-05-13T16:36:00Z"/>
                    <w:sz w:val="22"/>
                    <w:szCs w:val="22"/>
                    <w:lang w:val="en-US"/>
                  </w:rPr>
                </w:rPrChange>
              </w:rPr>
            </w:pPr>
            <w:del w:id="2992" w:author="AbbVie2" w:date="2025-05-13T16:36:00Z">
              <w:r w:rsidRPr="00AD4F25">
                <w:rPr>
                  <w:sz w:val="22"/>
                  <w:szCs w:val="22"/>
                  <w:rPrChange w:id="2993" w:author="AbbVie2" w:date="2025-05-14T10:17:00Z">
                    <w:rPr>
                      <w:sz w:val="22"/>
                      <w:szCs w:val="22"/>
                      <w:lang w:val="en-US"/>
                    </w:rPr>
                  </w:rPrChange>
                </w:rPr>
                <w:delText>60 (54,5)</w:delText>
              </w:r>
            </w:del>
          </w:p>
        </w:tc>
        <w:tc>
          <w:tcPr>
            <w:tcW w:w="1890" w:type="dxa"/>
            <w:tcBorders>
              <w:top w:val="nil"/>
              <w:bottom w:val="single" w:sz="4" w:space="0" w:color="auto"/>
            </w:tcBorders>
          </w:tcPr>
          <w:p w14:paraId="0D6B2096" w14:textId="3FBA353F" w:rsidR="007B1EB2" w:rsidRPr="00AD4F25" w:rsidRDefault="00615769" w:rsidP="007B1EB2">
            <w:pPr>
              <w:rPr>
                <w:del w:id="2994" w:author="AbbVie2" w:date="2025-05-13T16:36:00Z"/>
                <w:sz w:val="22"/>
                <w:szCs w:val="22"/>
                <w:rPrChange w:id="2995" w:author="AbbVie2" w:date="2025-05-14T10:17:00Z">
                  <w:rPr>
                    <w:del w:id="2996" w:author="AbbVie2" w:date="2025-05-13T16:36:00Z"/>
                    <w:sz w:val="22"/>
                    <w:szCs w:val="22"/>
                    <w:lang w:val="en-US"/>
                  </w:rPr>
                </w:rPrChange>
              </w:rPr>
            </w:pPr>
            <w:del w:id="2997" w:author="AbbVie2" w:date="2025-05-13T16:36:00Z">
              <w:r w:rsidRPr="00AD4F25">
                <w:rPr>
                  <w:sz w:val="22"/>
                  <w:szCs w:val="22"/>
                  <w:rPrChange w:id="2998" w:author="AbbVie2" w:date="2025-05-14T10:17:00Z">
                    <w:rPr>
                      <w:sz w:val="22"/>
                      <w:szCs w:val="22"/>
                      <w:lang w:val="en-US"/>
                    </w:rPr>
                  </w:rPrChange>
                </w:rPr>
                <w:delText>5,6</w:delText>
              </w:r>
            </w:del>
          </w:p>
        </w:tc>
        <w:tc>
          <w:tcPr>
            <w:tcW w:w="720" w:type="dxa"/>
            <w:tcBorders>
              <w:top w:val="nil"/>
              <w:bottom w:val="single" w:sz="4" w:space="0" w:color="auto"/>
            </w:tcBorders>
          </w:tcPr>
          <w:p w14:paraId="61CDDDED" w14:textId="6DD1A356" w:rsidR="007B1EB2" w:rsidRPr="00AD4F25" w:rsidRDefault="00615769" w:rsidP="007B1EB2">
            <w:pPr>
              <w:rPr>
                <w:del w:id="2999" w:author="AbbVie2" w:date="2025-05-13T16:36:00Z"/>
                <w:sz w:val="22"/>
                <w:szCs w:val="22"/>
                <w:rPrChange w:id="3000" w:author="AbbVie2" w:date="2025-05-14T10:17:00Z">
                  <w:rPr>
                    <w:del w:id="3001" w:author="AbbVie2" w:date="2025-05-13T16:36:00Z"/>
                    <w:sz w:val="22"/>
                    <w:szCs w:val="22"/>
                    <w:lang w:val="en-US"/>
                  </w:rPr>
                </w:rPrChange>
              </w:rPr>
            </w:pPr>
            <w:del w:id="3002" w:author="AbbVie2" w:date="2025-05-13T16:36:00Z">
              <w:r w:rsidRPr="00AD4F25">
                <w:rPr>
                  <w:sz w:val="22"/>
                  <w:szCs w:val="22"/>
                  <w:rPrChange w:id="3003" w:author="AbbVie2" w:date="2025-05-14T10:17:00Z">
                    <w:rPr>
                      <w:sz w:val="22"/>
                      <w:szCs w:val="22"/>
                      <w:lang w:val="en-US"/>
                    </w:rPr>
                  </w:rPrChange>
                </w:rPr>
                <w:delText>0,50</w:delText>
              </w:r>
            </w:del>
          </w:p>
        </w:tc>
        <w:tc>
          <w:tcPr>
            <w:tcW w:w="1170" w:type="dxa"/>
            <w:tcBorders>
              <w:top w:val="nil"/>
              <w:bottom w:val="single" w:sz="4" w:space="0" w:color="auto"/>
            </w:tcBorders>
          </w:tcPr>
          <w:p w14:paraId="31C7B938" w14:textId="34B208CE" w:rsidR="007B1EB2" w:rsidRPr="00AD4F25" w:rsidRDefault="00615769" w:rsidP="007B1EB2">
            <w:pPr>
              <w:rPr>
                <w:del w:id="3004" w:author="AbbVie2" w:date="2025-05-13T16:36:00Z"/>
                <w:sz w:val="22"/>
                <w:szCs w:val="22"/>
                <w:rPrChange w:id="3005" w:author="AbbVie2" w:date="2025-05-14T10:17:00Z">
                  <w:rPr>
                    <w:del w:id="3006" w:author="AbbVie2" w:date="2025-05-13T16:36:00Z"/>
                    <w:sz w:val="22"/>
                    <w:szCs w:val="22"/>
                    <w:lang w:val="en-US"/>
                  </w:rPr>
                </w:rPrChange>
              </w:rPr>
            </w:pPr>
            <w:del w:id="3007" w:author="AbbVie2" w:date="2025-05-13T16:36:00Z">
              <w:r w:rsidRPr="00AD4F25">
                <w:rPr>
                  <w:sz w:val="22"/>
                  <w:szCs w:val="22"/>
                  <w:rPrChange w:id="3008" w:author="AbbVie2" w:date="2025-05-14T10:17:00Z">
                    <w:rPr>
                      <w:sz w:val="22"/>
                      <w:szCs w:val="22"/>
                      <w:lang w:val="en-US"/>
                    </w:rPr>
                  </w:rPrChange>
                </w:rPr>
                <w:delText>0,36; 0,70</w:delText>
              </w:r>
              <w:r w:rsidRPr="00AD4F25">
                <w:rPr>
                  <w:sz w:val="22"/>
                  <w:szCs w:val="22"/>
                  <w:vertAlign w:val="superscript"/>
                  <w:rPrChange w:id="3009" w:author="AbbVie2" w:date="2025-05-14T10:17:00Z">
                    <w:rPr>
                      <w:sz w:val="22"/>
                      <w:szCs w:val="22"/>
                      <w:vertAlign w:val="superscript"/>
                      <w:lang w:val="en-US"/>
                    </w:rPr>
                  </w:rPrChange>
                </w:rPr>
                <w:delText xml:space="preserve"> </w:delText>
              </w:r>
            </w:del>
          </w:p>
        </w:tc>
        <w:tc>
          <w:tcPr>
            <w:tcW w:w="1080" w:type="dxa"/>
            <w:tcBorders>
              <w:top w:val="nil"/>
              <w:bottom w:val="single" w:sz="4" w:space="0" w:color="auto"/>
            </w:tcBorders>
          </w:tcPr>
          <w:p w14:paraId="5619774E" w14:textId="3CE00B04" w:rsidR="007B1EB2" w:rsidRPr="00AD4F25" w:rsidRDefault="00615769" w:rsidP="007B1EB2">
            <w:pPr>
              <w:rPr>
                <w:del w:id="3010" w:author="AbbVie2" w:date="2025-05-13T16:36:00Z"/>
                <w:sz w:val="22"/>
                <w:szCs w:val="22"/>
                <w:rPrChange w:id="3011" w:author="AbbVie2" w:date="2025-05-14T10:17:00Z">
                  <w:rPr>
                    <w:del w:id="3012" w:author="AbbVie2" w:date="2025-05-13T16:36:00Z"/>
                    <w:sz w:val="22"/>
                    <w:szCs w:val="22"/>
                    <w:lang w:val="en-US"/>
                  </w:rPr>
                </w:rPrChange>
              </w:rPr>
            </w:pPr>
            <w:del w:id="3013" w:author="AbbVie2" w:date="2025-05-13T16:36:00Z">
              <w:r w:rsidRPr="00AD4F25">
                <w:rPr>
                  <w:sz w:val="22"/>
                  <w:szCs w:val="22"/>
                  <w:rPrChange w:id="3014" w:author="AbbVie2" w:date="2025-05-14T10:17:00Z">
                    <w:rPr>
                      <w:sz w:val="22"/>
                      <w:szCs w:val="22"/>
                      <w:lang w:val="en-US"/>
                    </w:rPr>
                  </w:rPrChange>
                </w:rPr>
                <w:delText>&lt; 0,001</w:delText>
              </w:r>
            </w:del>
          </w:p>
        </w:tc>
      </w:tr>
      <w:tr w:rsidR="00A7162A" w14:paraId="3FCB6EAC" w14:textId="15379CAC" w:rsidTr="007B1EB2">
        <w:tblPrEx>
          <w:tblBorders>
            <w:left w:val="single" w:sz="4" w:space="0" w:color="auto"/>
            <w:right w:val="single" w:sz="4" w:space="0" w:color="auto"/>
            <w:insideH w:val="single" w:sz="4" w:space="0" w:color="auto"/>
            <w:insideV w:val="single" w:sz="4" w:space="0" w:color="auto"/>
          </w:tblBorders>
        </w:tblPrEx>
        <w:trPr>
          <w:del w:id="3015" w:author="AbbVie2" w:date="2025-05-13T16:36:00Z"/>
        </w:trPr>
        <w:tc>
          <w:tcPr>
            <w:tcW w:w="9018" w:type="dxa"/>
            <w:gridSpan w:val="7"/>
            <w:tcBorders>
              <w:left w:val="nil"/>
              <w:bottom w:val="nil"/>
              <w:right w:val="nil"/>
            </w:tcBorders>
          </w:tcPr>
          <w:p w14:paraId="460B6FC3" w14:textId="788EB160" w:rsidR="007B1EB2" w:rsidRPr="00BB2CEC" w:rsidRDefault="00615769" w:rsidP="007B1EB2">
            <w:pPr>
              <w:rPr>
                <w:del w:id="3016" w:author="AbbVie2" w:date="2025-05-13T16:36:00Z"/>
                <w:b/>
                <w:sz w:val="22"/>
                <w:szCs w:val="22"/>
              </w:rPr>
            </w:pPr>
            <w:del w:id="3017" w:author="AbbVie2" w:date="2025-05-13T16:36:00Z">
              <w:r w:rsidRPr="00635048">
                <w:rPr>
                  <w:b/>
                  <w:sz w:val="22"/>
                  <w:szCs w:val="22"/>
                </w:rPr>
                <w:delText xml:space="preserve">Tempo até Falha do Tratamento </w:delText>
              </w:r>
              <w:r>
                <w:rPr>
                  <w:b/>
                  <w:sz w:val="22"/>
                  <w:szCs w:val="22"/>
                </w:rPr>
                <w:delText>na</w:delText>
              </w:r>
              <w:r w:rsidRPr="00635048">
                <w:rPr>
                  <w:b/>
                  <w:sz w:val="22"/>
                  <w:szCs w:val="22"/>
                </w:rPr>
                <w:delText xml:space="preserve"> ou após a Semana </w:delText>
              </w:r>
              <w:r w:rsidRPr="00BB2CEC">
                <w:rPr>
                  <w:b/>
                  <w:sz w:val="22"/>
                  <w:szCs w:val="22"/>
                </w:rPr>
                <w:delText>2 no Estudo UV II</w:delText>
              </w:r>
            </w:del>
          </w:p>
        </w:tc>
      </w:tr>
      <w:tr w:rsidR="00A7162A" w14:paraId="44FA1CF8" w14:textId="67574F4F" w:rsidTr="007B1EB2">
        <w:tblPrEx>
          <w:tblBorders>
            <w:left w:val="single" w:sz="4" w:space="0" w:color="auto"/>
            <w:right w:val="single" w:sz="4" w:space="0" w:color="auto"/>
            <w:insideH w:val="single" w:sz="4" w:space="0" w:color="auto"/>
            <w:insideV w:val="single" w:sz="4" w:space="0" w:color="auto"/>
          </w:tblBorders>
        </w:tblPrEx>
        <w:trPr>
          <w:del w:id="3018" w:author="AbbVie2" w:date="2025-05-13T16:36:00Z"/>
        </w:trPr>
        <w:tc>
          <w:tcPr>
            <w:tcW w:w="2988" w:type="dxa"/>
            <w:gridSpan w:val="2"/>
            <w:tcBorders>
              <w:top w:val="nil"/>
              <w:left w:val="nil"/>
              <w:bottom w:val="nil"/>
              <w:right w:val="nil"/>
            </w:tcBorders>
          </w:tcPr>
          <w:p w14:paraId="7A61865C" w14:textId="7C1A2779" w:rsidR="007B1EB2" w:rsidRPr="00AD4F25" w:rsidRDefault="00615769" w:rsidP="007B1EB2">
            <w:pPr>
              <w:rPr>
                <w:del w:id="3019" w:author="AbbVie2" w:date="2025-05-13T16:36:00Z"/>
                <w:sz w:val="22"/>
                <w:szCs w:val="22"/>
                <w:rPrChange w:id="3020" w:author="AbbVie2" w:date="2025-05-14T10:17:00Z">
                  <w:rPr>
                    <w:del w:id="3021" w:author="AbbVie2" w:date="2025-05-13T16:36:00Z"/>
                    <w:sz w:val="22"/>
                    <w:szCs w:val="22"/>
                    <w:lang w:val="en-US"/>
                  </w:rPr>
                </w:rPrChange>
              </w:rPr>
            </w:pPr>
            <w:del w:id="3022" w:author="AbbVie2" w:date="2025-05-13T16:36:00Z">
              <w:r>
                <w:rPr>
                  <w:sz w:val="22"/>
                  <w:szCs w:val="22"/>
                </w:rPr>
                <w:delText>Análise primária</w:delText>
              </w:r>
              <w:r w:rsidRPr="00AD4F25">
                <w:rPr>
                  <w:sz w:val="22"/>
                  <w:szCs w:val="22"/>
                  <w:rPrChange w:id="3023" w:author="AbbVie2" w:date="2025-05-14T10:17:00Z">
                    <w:rPr>
                      <w:sz w:val="22"/>
                      <w:szCs w:val="22"/>
                      <w:lang w:val="en-US"/>
                    </w:rPr>
                  </w:rPrChange>
                </w:rPr>
                <w:delText xml:space="preserve"> (ITT)</w:delText>
              </w:r>
            </w:del>
          </w:p>
        </w:tc>
        <w:tc>
          <w:tcPr>
            <w:tcW w:w="1170" w:type="dxa"/>
            <w:tcBorders>
              <w:top w:val="nil"/>
              <w:left w:val="nil"/>
              <w:bottom w:val="nil"/>
              <w:right w:val="nil"/>
            </w:tcBorders>
          </w:tcPr>
          <w:p w14:paraId="0A6C7B60" w14:textId="12693676" w:rsidR="007B1EB2" w:rsidRPr="00AD4F25" w:rsidRDefault="007B1EB2" w:rsidP="007B1EB2">
            <w:pPr>
              <w:rPr>
                <w:del w:id="3024" w:author="AbbVie2" w:date="2025-05-13T16:36:00Z"/>
                <w:sz w:val="22"/>
                <w:szCs w:val="22"/>
                <w:rPrChange w:id="3025" w:author="AbbVie2" w:date="2025-05-14T10:17:00Z">
                  <w:rPr>
                    <w:del w:id="3026" w:author="AbbVie2" w:date="2025-05-13T16:36:00Z"/>
                    <w:sz w:val="22"/>
                    <w:szCs w:val="22"/>
                    <w:lang w:val="en-US"/>
                  </w:rPr>
                </w:rPrChange>
              </w:rPr>
            </w:pPr>
          </w:p>
        </w:tc>
        <w:tc>
          <w:tcPr>
            <w:tcW w:w="1890" w:type="dxa"/>
            <w:tcBorders>
              <w:top w:val="nil"/>
              <w:left w:val="nil"/>
              <w:bottom w:val="nil"/>
              <w:right w:val="nil"/>
            </w:tcBorders>
          </w:tcPr>
          <w:p w14:paraId="7EC5C067" w14:textId="695AF6C0" w:rsidR="007B1EB2" w:rsidRPr="00AD4F25" w:rsidRDefault="007B1EB2" w:rsidP="007B1EB2">
            <w:pPr>
              <w:rPr>
                <w:del w:id="3027" w:author="AbbVie2" w:date="2025-05-13T16:36:00Z"/>
                <w:sz w:val="22"/>
                <w:szCs w:val="22"/>
                <w:rPrChange w:id="3028" w:author="AbbVie2" w:date="2025-05-14T10:17:00Z">
                  <w:rPr>
                    <w:del w:id="3029" w:author="AbbVie2" w:date="2025-05-13T16:36:00Z"/>
                    <w:sz w:val="22"/>
                    <w:szCs w:val="22"/>
                    <w:lang w:val="en-US"/>
                  </w:rPr>
                </w:rPrChange>
              </w:rPr>
            </w:pPr>
          </w:p>
        </w:tc>
        <w:tc>
          <w:tcPr>
            <w:tcW w:w="720" w:type="dxa"/>
            <w:tcBorders>
              <w:top w:val="nil"/>
              <w:left w:val="nil"/>
              <w:bottom w:val="nil"/>
              <w:right w:val="nil"/>
            </w:tcBorders>
          </w:tcPr>
          <w:p w14:paraId="037327E8" w14:textId="61B91231" w:rsidR="007B1EB2" w:rsidRPr="00AD4F25" w:rsidRDefault="007B1EB2" w:rsidP="007B1EB2">
            <w:pPr>
              <w:rPr>
                <w:del w:id="3030" w:author="AbbVie2" w:date="2025-05-13T16:36:00Z"/>
                <w:sz w:val="22"/>
                <w:szCs w:val="22"/>
                <w:rPrChange w:id="3031" w:author="AbbVie2" w:date="2025-05-14T10:17:00Z">
                  <w:rPr>
                    <w:del w:id="3032" w:author="AbbVie2" w:date="2025-05-13T16:36:00Z"/>
                    <w:sz w:val="22"/>
                    <w:szCs w:val="22"/>
                    <w:lang w:val="en-US"/>
                  </w:rPr>
                </w:rPrChange>
              </w:rPr>
            </w:pPr>
          </w:p>
        </w:tc>
        <w:tc>
          <w:tcPr>
            <w:tcW w:w="1170" w:type="dxa"/>
            <w:tcBorders>
              <w:top w:val="nil"/>
              <w:left w:val="nil"/>
              <w:bottom w:val="nil"/>
              <w:right w:val="nil"/>
            </w:tcBorders>
          </w:tcPr>
          <w:p w14:paraId="73CEA5C0" w14:textId="13FBD7F7" w:rsidR="007B1EB2" w:rsidRPr="00AD4F25" w:rsidRDefault="007B1EB2" w:rsidP="007B1EB2">
            <w:pPr>
              <w:rPr>
                <w:del w:id="3033" w:author="AbbVie2" w:date="2025-05-13T16:36:00Z"/>
                <w:sz w:val="22"/>
                <w:szCs w:val="22"/>
                <w:rPrChange w:id="3034" w:author="AbbVie2" w:date="2025-05-14T10:17:00Z">
                  <w:rPr>
                    <w:del w:id="3035" w:author="AbbVie2" w:date="2025-05-13T16:36:00Z"/>
                    <w:sz w:val="22"/>
                    <w:szCs w:val="22"/>
                    <w:lang w:val="en-US"/>
                  </w:rPr>
                </w:rPrChange>
              </w:rPr>
            </w:pPr>
          </w:p>
        </w:tc>
        <w:tc>
          <w:tcPr>
            <w:tcW w:w="1080" w:type="dxa"/>
            <w:tcBorders>
              <w:top w:val="nil"/>
              <w:left w:val="nil"/>
              <w:bottom w:val="nil"/>
              <w:right w:val="nil"/>
            </w:tcBorders>
          </w:tcPr>
          <w:p w14:paraId="59B9B8F9" w14:textId="3F98E35D" w:rsidR="007B1EB2" w:rsidRPr="00AD4F25" w:rsidRDefault="007B1EB2" w:rsidP="007B1EB2">
            <w:pPr>
              <w:rPr>
                <w:del w:id="3036" w:author="AbbVie2" w:date="2025-05-13T16:36:00Z"/>
                <w:sz w:val="22"/>
                <w:szCs w:val="22"/>
                <w:rPrChange w:id="3037" w:author="AbbVie2" w:date="2025-05-14T10:17:00Z">
                  <w:rPr>
                    <w:del w:id="3038" w:author="AbbVie2" w:date="2025-05-13T16:36:00Z"/>
                    <w:sz w:val="22"/>
                    <w:szCs w:val="22"/>
                    <w:lang w:val="en-US"/>
                  </w:rPr>
                </w:rPrChange>
              </w:rPr>
            </w:pPr>
          </w:p>
        </w:tc>
      </w:tr>
      <w:tr w:rsidR="00A7162A" w14:paraId="22D1E640" w14:textId="775A87E8" w:rsidTr="007B1EB2">
        <w:tblPrEx>
          <w:tblBorders>
            <w:left w:val="single" w:sz="4" w:space="0" w:color="auto"/>
            <w:right w:val="single" w:sz="4" w:space="0" w:color="auto"/>
            <w:insideH w:val="single" w:sz="4" w:space="0" w:color="auto"/>
            <w:insideV w:val="single" w:sz="4" w:space="0" w:color="auto"/>
          </w:tblBorders>
        </w:tblPrEx>
        <w:trPr>
          <w:del w:id="3039" w:author="AbbVie2" w:date="2025-05-13T16:36:00Z"/>
        </w:trPr>
        <w:tc>
          <w:tcPr>
            <w:tcW w:w="2268" w:type="dxa"/>
            <w:tcBorders>
              <w:top w:val="nil"/>
              <w:left w:val="nil"/>
              <w:bottom w:val="nil"/>
              <w:right w:val="nil"/>
            </w:tcBorders>
          </w:tcPr>
          <w:p w14:paraId="4A36413E" w14:textId="29557D12" w:rsidR="007B1EB2" w:rsidRPr="00AD4F25" w:rsidRDefault="00615769" w:rsidP="007B1EB2">
            <w:pPr>
              <w:rPr>
                <w:del w:id="3040" w:author="AbbVie2" w:date="2025-05-13T16:36:00Z"/>
                <w:sz w:val="22"/>
                <w:szCs w:val="22"/>
                <w:rPrChange w:id="3041" w:author="AbbVie2" w:date="2025-05-14T10:17:00Z">
                  <w:rPr>
                    <w:del w:id="3042" w:author="AbbVie2" w:date="2025-05-13T16:36:00Z"/>
                    <w:sz w:val="22"/>
                    <w:szCs w:val="22"/>
                    <w:lang w:val="en-US"/>
                  </w:rPr>
                </w:rPrChange>
              </w:rPr>
            </w:pPr>
            <w:del w:id="3043" w:author="AbbVie2" w:date="2025-05-13T16:36:00Z">
              <w:r w:rsidRPr="00AD4F25">
                <w:rPr>
                  <w:sz w:val="22"/>
                  <w:szCs w:val="22"/>
                  <w:rPrChange w:id="3044" w:author="AbbVie2" w:date="2025-05-14T10:17:00Z">
                    <w:rPr>
                      <w:sz w:val="22"/>
                      <w:szCs w:val="22"/>
                      <w:lang w:val="en-US"/>
                    </w:rPr>
                  </w:rPrChange>
                </w:rPr>
                <w:tab/>
                <w:delText>Placebo</w:delText>
              </w:r>
            </w:del>
          </w:p>
        </w:tc>
        <w:tc>
          <w:tcPr>
            <w:tcW w:w="720" w:type="dxa"/>
            <w:tcBorders>
              <w:top w:val="nil"/>
              <w:left w:val="nil"/>
              <w:bottom w:val="nil"/>
              <w:right w:val="nil"/>
            </w:tcBorders>
          </w:tcPr>
          <w:p w14:paraId="1E71B7A0" w14:textId="10B555A6" w:rsidR="007B1EB2" w:rsidRPr="00AD4F25" w:rsidRDefault="00615769" w:rsidP="007B1EB2">
            <w:pPr>
              <w:rPr>
                <w:del w:id="3045" w:author="AbbVie2" w:date="2025-05-13T16:36:00Z"/>
                <w:sz w:val="22"/>
                <w:szCs w:val="22"/>
                <w:rPrChange w:id="3046" w:author="AbbVie2" w:date="2025-05-14T10:17:00Z">
                  <w:rPr>
                    <w:del w:id="3047" w:author="AbbVie2" w:date="2025-05-13T16:36:00Z"/>
                    <w:sz w:val="22"/>
                    <w:szCs w:val="22"/>
                    <w:lang w:val="en-US"/>
                  </w:rPr>
                </w:rPrChange>
              </w:rPr>
            </w:pPr>
            <w:del w:id="3048" w:author="AbbVie2" w:date="2025-05-13T16:36:00Z">
              <w:r w:rsidRPr="00AD4F25">
                <w:rPr>
                  <w:sz w:val="22"/>
                  <w:szCs w:val="22"/>
                  <w:rPrChange w:id="3049" w:author="AbbVie2" w:date="2025-05-14T10:17:00Z">
                    <w:rPr>
                      <w:sz w:val="22"/>
                      <w:szCs w:val="22"/>
                      <w:lang w:val="en-US"/>
                    </w:rPr>
                  </w:rPrChange>
                </w:rPr>
                <w:delText>111</w:delText>
              </w:r>
            </w:del>
          </w:p>
        </w:tc>
        <w:tc>
          <w:tcPr>
            <w:tcW w:w="1170" w:type="dxa"/>
            <w:tcBorders>
              <w:top w:val="nil"/>
              <w:left w:val="nil"/>
              <w:bottom w:val="nil"/>
              <w:right w:val="nil"/>
            </w:tcBorders>
          </w:tcPr>
          <w:p w14:paraId="0B9E2F46" w14:textId="0931596D" w:rsidR="007B1EB2" w:rsidRPr="00AD4F25" w:rsidRDefault="00615769" w:rsidP="007B1EB2">
            <w:pPr>
              <w:rPr>
                <w:del w:id="3050" w:author="AbbVie2" w:date="2025-05-13T16:36:00Z"/>
                <w:sz w:val="22"/>
                <w:szCs w:val="22"/>
                <w:rPrChange w:id="3051" w:author="AbbVie2" w:date="2025-05-14T10:17:00Z">
                  <w:rPr>
                    <w:del w:id="3052" w:author="AbbVie2" w:date="2025-05-13T16:36:00Z"/>
                    <w:sz w:val="22"/>
                    <w:szCs w:val="22"/>
                    <w:lang w:val="en-US"/>
                  </w:rPr>
                </w:rPrChange>
              </w:rPr>
            </w:pPr>
            <w:del w:id="3053" w:author="AbbVie2" w:date="2025-05-13T16:36:00Z">
              <w:r w:rsidRPr="00AD4F25">
                <w:rPr>
                  <w:sz w:val="22"/>
                  <w:szCs w:val="22"/>
                  <w:rPrChange w:id="3054" w:author="AbbVie2" w:date="2025-05-14T10:17:00Z">
                    <w:rPr>
                      <w:sz w:val="22"/>
                      <w:szCs w:val="22"/>
                      <w:lang w:val="en-US"/>
                    </w:rPr>
                  </w:rPrChange>
                </w:rPr>
                <w:delText>61 (55,0)</w:delText>
              </w:r>
            </w:del>
          </w:p>
        </w:tc>
        <w:tc>
          <w:tcPr>
            <w:tcW w:w="1890" w:type="dxa"/>
            <w:tcBorders>
              <w:top w:val="nil"/>
              <w:left w:val="nil"/>
              <w:bottom w:val="nil"/>
              <w:right w:val="nil"/>
            </w:tcBorders>
          </w:tcPr>
          <w:p w14:paraId="4E88421B" w14:textId="7BD5CA6E" w:rsidR="007B1EB2" w:rsidRPr="00AD4F25" w:rsidRDefault="00615769" w:rsidP="007B1EB2">
            <w:pPr>
              <w:rPr>
                <w:del w:id="3055" w:author="AbbVie2" w:date="2025-05-13T16:36:00Z"/>
                <w:sz w:val="22"/>
                <w:szCs w:val="22"/>
                <w:rPrChange w:id="3056" w:author="AbbVie2" w:date="2025-05-14T10:17:00Z">
                  <w:rPr>
                    <w:del w:id="3057" w:author="AbbVie2" w:date="2025-05-13T16:36:00Z"/>
                    <w:sz w:val="22"/>
                    <w:szCs w:val="22"/>
                    <w:lang w:val="en-US"/>
                  </w:rPr>
                </w:rPrChange>
              </w:rPr>
            </w:pPr>
            <w:del w:id="3058" w:author="AbbVie2" w:date="2025-05-13T16:36:00Z">
              <w:r w:rsidRPr="00AD4F25">
                <w:rPr>
                  <w:sz w:val="22"/>
                  <w:szCs w:val="22"/>
                  <w:rPrChange w:id="3059" w:author="AbbVie2" w:date="2025-05-14T10:17:00Z">
                    <w:rPr>
                      <w:sz w:val="22"/>
                      <w:szCs w:val="22"/>
                      <w:lang w:val="en-US"/>
                    </w:rPr>
                  </w:rPrChange>
                </w:rPr>
                <w:delText>8,3</w:delText>
              </w:r>
            </w:del>
          </w:p>
        </w:tc>
        <w:tc>
          <w:tcPr>
            <w:tcW w:w="720" w:type="dxa"/>
            <w:tcBorders>
              <w:top w:val="nil"/>
              <w:left w:val="nil"/>
              <w:bottom w:val="nil"/>
              <w:right w:val="nil"/>
            </w:tcBorders>
          </w:tcPr>
          <w:p w14:paraId="5C5CF00E" w14:textId="1A6B7763" w:rsidR="007B1EB2" w:rsidRPr="00AD4F25" w:rsidRDefault="00615769" w:rsidP="007B1EB2">
            <w:pPr>
              <w:rPr>
                <w:del w:id="3060" w:author="AbbVie2" w:date="2025-05-13T16:36:00Z"/>
                <w:sz w:val="22"/>
                <w:szCs w:val="22"/>
                <w:rPrChange w:id="3061" w:author="AbbVie2" w:date="2025-05-14T10:17:00Z">
                  <w:rPr>
                    <w:del w:id="3062" w:author="AbbVie2" w:date="2025-05-13T16:36:00Z"/>
                    <w:sz w:val="22"/>
                    <w:szCs w:val="22"/>
                    <w:lang w:val="en-US"/>
                  </w:rPr>
                </w:rPrChange>
              </w:rPr>
            </w:pPr>
            <w:del w:id="3063" w:author="AbbVie2" w:date="2025-05-13T16:36:00Z">
              <w:r w:rsidRPr="00AD4F25">
                <w:rPr>
                  <w:sz w:val="22"/>
                  <w:szCs w:val="22"/>
                  <w:rPrChange w:id="3064" w:author="AbbVie2" w:date="2025-05-14T10:17:00Z">
                    <w:rPr>
                      <w:sz w:val="22"/>
                      <w:szCs w:val="22"/>
                      <w:lang w:val="en-US"/>
                    </w:rPr>
                  </w:rPrChange>
                </w:rPr>
                <w:delText>--</w:delText>
              </w:r>
            </w:del>
          </w:p>
        </w:tc>
        <w:tc>
          <w:tcPr>
            <w:tcW w:w="1170" w:type="dxa"/>
            <w:tcBorders>
              <w:top w:val="nil"/>
              <w:left w:val="nil"/>
              <w:bottom w:val="nil"/>
              <w:right w:val="nil"/>
            </w:tcBorders>
          </w:tcPr>
          <w:p w14:paraId="747238A7" w14:textId="69EF065D" w:rsidR="007B1EB2" w:rsidRPr="00AD4F25" w:rsidRDefault="00615769" w:rsidP="007B1EB2">
            <w:pPr>
              <w:rPr>
                <w:del w:id="3065" w:author="AbbVie2" w:date="2025-05-13T16:36:00Z"/>
                <w:sz w:val="22"/>
                <w:szCs w:val="22"/>
                <w:rPrChange w:id="3066" w:author="AbbVie2" w:date="2025-05-14T10:17:00Z">
                  <w:rPr>
                    <w:del w:id="3067" w:author="AbbVie2" w:date="2025-05-13T16:36:00Z"/>
                    <w:sz w:val="22"/>
                    <w:szCs w:val="22"/>
                    <w:lang w:val="en-US"/>
                  </w:rPr>
                </w:rPrChange>
              </w:rPr>
            </w:pPr>
            <w:del w:id="3068" w:author="AbbVie2" w:date="2025-05-13T16:36:00Z">
              <w:r w:rsidRPr="00AD4F25">
                <w:rPr>
                  <w:sz w:val="22"/>
                  <w:szCs w:val="22"/>
                  <w:rPrChange w:id="3069" w:author="AbbVie2" w:date="2025-05-14T10:17:00Z">
                    <w:rPr>
                      <w:sz w:val="22"/>
                      <w:szCs w:val="22"/>
                      <w:lang w:val="en-US"/>
                    </w:rPr>
                  </w:rPrChange>
                </w:rPr>
                <w:delText>--</w:delText>
              </w:r>
            </w:del>
          </w:p>
        </w:tc>
        <w:tc>
          <w:tcPr>
            <w:tcW w:w="1080" w:type="dxa"/>
            <w:tcBorders>
              <w:top w:val="nil"/>
              <w:left w:val="nil"/>
              <w:bottom w:val="nil"/>
              <w:right w:val="nil"/>
            </w:tcBorders>
          </w:tcPr>
          <w:p w14:paraId="5CF44A43" w14:textId="11EE2051" w:rsidR="007B1EB2" w:rsidRPr="00AD4F25" w:rsidRDefault="00615769" w:rsidP="007B1EB2">
            <w:pPr>
              <w:rPr>
                <w:del w:id="3070" w:author="AbbVie2" w:date="2025-05-13T16:36:00Z"/>
                <w:sz w:val="22"/>
                <w:szCs w:val="22"/>
                <w:rPrChange w:id="3071" w:author="AbbVie2" w:date="2025-05-14T10:17:00Z">
                  <w:rPr>
                    <w:del w:id="3072" w:author="AbbVie2" w:date="2025-05-13T16:36:00Z"/>
                    <w:sz w:val="22"/>
                    <w:szCs w:val="22"/>
                    <w:lang w:val="en-US"/>
                  </w:rPr>
                </w:rPrChange>
              </w:rPr>
            </w:pPr>
            <w:del w:id="3073" w:author="AbbVie2" w:date="2025-05-13T16:36:00Z">
              <w:r w:rsidRPr="00AD4F25">
                <w:rPr>
                  <w:sz w:val="22"/>
                  <w:szCs w:val="22"/>
                  <w:rPrChange w:id="3074" w:author="AbbVie2" w:date="2025-05-14T10:17:00Z">
                    <w:rPr>
                      <w:sz w:val="22"/>
                      <w:szCs w:val="22"/>
                      <w:lang w:val="en-US"/>
                    </w:rPr>
                  </w:rPrChange>
                </w:rPr>
                <w:delText>--</w:delText>
              </w:r>
            </w:del>
          </w:p>
        </w:tc>
      </w:tr>
      <w:tr w:rsidR="00A7162A" w14:paraId="067D68D4" w14:textId="054CEEB5" w:rsidTr="007B1EB2">
        <w:tblPrEx>
          <w:tblBorders>
            <w:left w:val="single" w:sz="4" w:space="0" w:color="auto"/>
            <w:right w:val="single" w:sz="4" w:space="0" w:color="auto"/>
            <w:insideH w:val="single" w:sz="4" w:space="0" w:color="auto"/>
            <w:insideV w:val="single" w:sz="4" w:space="0" w:color="auto"/>
          </w:tblBorders>
        </w:tblPrEx>
        <w:trPr>
          <w:del w:id="3075" w:author="AbbVie2" w:date="2025-05-13T16:36:00Z"/>
        </w:trPr>
        <w:tc>
          <w:tcPr>
            <w:tcW w:w="2268" w:type="dxa"/>
            <w:tcBorders>
              <w:top w:val="nil"/>
              <w:left w:val="nil"/>
              <w:bottom w:val="single" w:sz="4" w:space="0" w:color="auto"/>
              <w:right w:val="nil"/>
            </w:tcBorders>
          </w:tcPr>
          <w:p w14:paraId="697AED07" w14:textId="576D5880" w:rsidR="007B1EB2" w:rsidRPr="00AD4F25" w:rsidRDefault="00615769" w:rsidP="007B1EB2">
            <w:pPr>
              <w:rPr>
                <w:del w:id="3076" w:author="AbbVie2" w:date="2025-05-13T16:36:00Z"/>
                <w:sz w:val="22"/>
                <w:szCs w:val="22"/>
                <w:rPrChange w:id="3077" w:author="AbbVie2" w:date="2025-05-14T10:17:00Z">
                  <w:rPr>
                    <w:del w:id="3078" w:author="AbbVie2" w:date="2025-05-13T16:36:00Z"/>
                    <w:sz w:val="22"/>
                    <w:szCs w:val="22"/>
                    <w:lang w:val="en-US"/>
                  </w:rPr>
                </w:rPrChange>
              </w:rPr>
            </w:pPr>
            <w:del w:id="3079" w:author="AbbVie2" w:date="2025-05-13T16:36:00Z">
              <w:r w:rsidRPr="00AD4F25">
                <w:rPr>
                  <w:sz w:val="22"/>
                  <w:szCs w:val="22"/>
                  <w:rPrChange w:id="3080" w:author="AbbVie2" w:date="2025-05-14T10:17:00Z">
                    <w:rPr>
                      <w:sz w:val="22"/>
                      <w:szCs w:val="22"/>
                      <w:lang w:val="en-US"/>
                    </w:rPr>
                  </w:rPrChange>
                </w:rPr>
                <w:tab/>
                <w:delText>Adalimumab</w:delText>
              </w:r>
            </w:del>
          </w:p>
        </w:tc>
        <w:tc>
          <w:tcPr>
            <w:tcW w:w="720" w:type="dxa"/>
            <w:tcBorders>
              <w:top w:val="nil"/>
              <w:left w:val="nil"/>
              <w:bottom w:val="single" w:sz="4" w:space="0" w:color="auto"/>
              <w:right w:val="nil"/>
            </w:tcBorders>
          </w:tcPr>
          <w:p w14:paraId="2BE42632" w14:textId="3E4BB4F1" w:rsidR="007B1EB2" w:rsidRPr="00AD4F25" w:rsidRDefault="00615769" w:rsidP="007B1EB2">
            <w:pPr>
              <w:rPr>
                <w:del w:id="3081" w:author="AbbVie2" w:date="2025-05-13T16:36:00Z"/>
                <w:sz w:val="22"/>
                <w:szCs w:val="22"/>
                <w:rPrChange w:id="3082" w:author="AbbVie2" w:date="2025-05-14T10:17:00Z">
                  <w:rPr>
                    <w:del w:id="3083" w:author="AbbVie2" w:date="2025-05-13T16:36:00Z"/>
                    <w:sz w:val="22"/>
                    <w:szCs w:val="22"/>
                    <w:lang w:val="en-US"/>
                  </w:rPr>
                </w:rPrChange>
              </w:rPr>
            </w:pPr>
            <w:del w:id="3084" w:author="AbbVie2" w:date="2025-05-13T16:36:00Z">
              <w:r w:rsidRPr="00AD4F25">
                <w:rPr>
                  <w:sz w:val="22"/>
                  <w:szCs w:val="22"/>
                  <w:rPrChange w:id="3085" w:author="AbbVie2" w:date="2025-05-14T10:17:00Z">
                    <w:rPr>
                      <w:sz w:val="22"/>
                      <w:szCs w:val="22"/>
                      <w:lang w:val="en-US"/>
                    </w:rPr>
                  </w:rPrChange>
                </w:rPr>
                <w:delText>115</w:delText>
              </w:r>
            </w:del>
          </w:p>
        </w:tc>
        <w:tc>
          <w:tcPr>
            <w:tcW w:w="1170" w:type="dxa"/>
            <w:tcBorders>
              <w:top w:val="nil"/>
              <w:left w:val="nil"/>
              <w:bottom w:val="single" w:sz="4" w:space="0" w:color="auto"/>
              <w:right w:val="nil"/>
            </w:tcBorders>
          </w:tcPr>
          <w:p w14:paraId="6A9A2148" w14:textId="3708D7D6" w:rsidR="007B1EB2" w:rsidRPr="00AD4F25" w:rsidRDefault="00615769" w:rsidP="007B1EB2">
            <w:pPr>
              <w:rPr>
                <w:del w:id="3086" w:author="AbbVie2" w:date="2025-05-13T16:36:00Z"/>
                <w:sz w:val="22"/>
                <w:szCs w:val="22"/>
                <w:rPrChange w:id="3087" w:author="AbbVie2" w:date="2025-05-14T10:17:00Z">
                  <w:rPr>
                    <w:del w:id="3088" w:author="AbbVie2" w:date="2025-05-13T16:36:00Z"/>
                    <w:sz w:val="22"/>
                    <w:szCs w:val="22"/>
                    <w:lang w:val="en-US"/>
                  </w:rPr>
                </w:rPrChange>
              </w:rPr>
            </w:pPr>
            <w:del w:id="3089" w:author="AbbVie2" w:date="2025-05-13T16:36:00Z">
              <w:r w:rsidRPr="00AD4F25">
                <w:rPr>
                  <w:sz w:val="22"/>
                  <w:szCs w:val="22"/>
                  <w:rPrChange w:id="3090" w:author="AbbVie2" w:date="2025-05-14T10:17:00Z">
                    <w:rPr>
                      <w:sz w:val="22"/>
                      <w:szCs w:val="22"/>
                      <w:lang w:val="en-US"/>
                    </w:rPr>
                  </w:rPrChange>
                </w:rPr>
                <w:delText>45 (39,1)</w:delText>
              </w:r>
            </w:del>
          </w:p>
        </w:tc>
        <w:tc>
          <w:tcPr>
            <w:tcW w:w="1890" w:type="dxa"/>
            <w:tcBorders>
              <w:top w:val="nil"/>
              <w:left w:val="nil"/>
              <w:bottom w:val="single" w:sz="4" w:space="0" w:color="auto"/>
              <w:right w:val="nil"/>
            </w:tcBorders>
          </w:tcPr>
          <w:p w14:paraId="35FBAE2F" w14:textId="0885369B" w:rsidR="007B1EB2" w:rsidRPr="00AD4F25" w:rsidRDefault="00615769" w:rsidP="007B1EB2">
            <w:pPr>
              <w:rPr>
                <w:del w:id="3091" w:author="AbbVie2" w:date="2025-05-13T16:36:00Z"/>
                <w:sz w:val="22"/>
                <w:szCs w:val="22"/>
                <w:rPrChange w:id="3092" w:author="AbbVie2" w:date="2025-05-14T10:17:00Z">
                  <w:rPr>
                    <w:del w:id="3093" w:author="AbbVie2" w:date="2025-05-13T16:36:00Z"/>
                    <w:sz w:val="22"/>
                    <w:szCs w:val="22"/>
                    <w:lang w:val="en-US"/>
                  </w:rPr>
                </w:rPrChange>
              </w:rPr>
            </w:pPr>
            <w:del w:id="3094" w:author="AbbVie2" w:date="2025-05-13T16:36:00Z">
              <w:r w:rsidRPr="00AD4F25">
                <w:rPr>
                  <w:sz w:val="22"/>
                  <w:szCs w:val="22"/>
                  <w:rPrChange w:id="3095" w:author="AbbVie2" w:date="2025-05-14T10:17:00Z">
                    <w:rPr>
                      <w:sz w:val="22"/>
                      <w:szCs w:val="22"/>
                      <w:lang w:val="en-US"/>
                    </w:rPr>
                  </w:rPrChange>
                </w:rPr>
                <w:delText>NE</w:delText>
              </w:r>
              <w:r w:rsidRPr="00AD4F25">
                <w:rPr>
                  <w:sz w:val="22"/>
                  <w:szCs w:val="22"/>
                  <w:vertAlign w:val="superscript"/>
                  <w:rPrChange w:id="3096" w:author="AbbVie2" w:date="2025-05-14T10:17:00Z">
                    <w:rPr>
                      <w:sz w:val="22"/>
                      <w:szCs w:val="22"/>
                      <w:vertAlign w:val="superscript"/>
                      <w:lang w:val="en-US"/>
                    </w:rPr>
                  </w:rPrChange>
                </w:rPr>
                <w:delText>c</w:delText>
              </w:r>
            </w:del>
          </w:p>
        </w:tc>
        <w:tc>
          <w:tcPr>
            <w:tcW w:w="720" w:type="dxa"/>
            <w:tcBorders>
              <w:top w:val="nil"/>
              <w:left w:val="nil"/>
              <w:bottom w:val="single" w:sz="4" w:space="0" w:color="auto"/>
              <w:right w:val="nil"/>
            </w:tcBorders>
          </w:tcPr>
          <w:p w14:paraId="1356118D" w14:textId="6B1172A7" w:rsidR="007B1EB2" w:rsidRPr="00AD4F25" w:rsidRDefault="00615769" w:rsidP="007B1EB2">
            <w:pPr>
              <w:rPr>
                <w:del w:id="3097" w:author="AbbVie2" w:date="2025-05-13T16:36:00Z"/>
                <w:sz w:val="22"/>
                <w:szCs w:val="22"/>
                <w:rPrChange w:id="3098" w:author="AbbVie2" w:date="2025-05-14T10:17:00Z">
                  <w:rPr>
                    <w:del w:id="3099" w:author="AbbVie2" w:date="2025-05-13T16:36:00Z"/>
                    <w:sz w:val="22"/>
                    <w:szCs w:val="22"/>
                    <w:lang w:val="en-US"/>
                  </w:rPr>
                </w:rPrChange>
              </w:rPr>
            </w:pPr>
            <w:del w:id="3100" w:author="AbbVie2" w:date="2025-05-13T16:36:00Z">
              <w:r w:rsidRPr="00AD4F25">
                <w:rPr>
                  <w:sz w:val="22"/>
                  <w:szCs w:val="22"/>
                  <w:rPrChange w:id="3101" w:author="AbbVie2" w:date="2025-05-14T10:17:00Z">
                    <w:rPr>
                      <w:sz w:val="22"/>
                      <w:szCs w:val="22"/>
                      <w:lang w:val="en-US"/>
                    </w:rPr>
                  </w:rPrChange>
                </w:rPr>
                <w:delText>0,57</w:delText>
              </w:r>
            </w:del>
          </w:p>
        </w:tc>
        <w:tc>
          <w:tcPr>
            <w:tcW w:w="1170" w:type="dxa"/>
            <w:tcBorders>
              <w:top w:val="nil"/>
              <w:left w:val="nil"/>
              <w:bottom w:val="single" w:sz="4" w:space="0" w:color="auto"/>
              <w:right w:val="nil"/>
            </w:tcBorders>
          </w:tcPr>
          <w:p w14:paraId="67EC04D8" w14:textId="3B4DDAB2" w:rsidR="007B1EB2" w:rsidRPr="00AD4F25" w:rsidRDefault="00615769" w:rsidP="007B1EB2">
            <w:pPr>
              <w:rPr>
                <w:del w:id="3102" w:author="AbbVie2" w:date="2025-05-13T16:36:00Z"/>
                <w:sz w:val="22"/>
                <w:szCs w:val="22"/>
                <w:rPrChange w:id="3103" w:author="AbbVie2" w:date="2025-05-14T10:17:00Z">
                  <w:rPr>
                    <w:del w:id="3104" w:author="AbbVie2" w:date="2025-05-13T16:36:00Z"/>
                    <w:sz w:val="22"/>
                    <w:szCs w:val="22"/>
                    <w:lang w:val="en-US"/>
                  </w:rPr>
                </w:rPrChange>
              </w:rPr>
            </w:pPr>
            <w:del w:id="3105" w:author="AbbVie2" w:date="2025-05-13T16:36:00Z">
              <w:r w:rsidRPr="00AD4F25">
                <w:rPr>
                  <w:sz w:val="22"/>
                  <w:szCs w:val="22"/>
                  <w:rPrChange w:id="3106" w:author="AbbVie2" w:date="2025-05-14T10:17:00Z">
                    <w:rPr>
                      <w:sz w:val="22"/>
                      <w:szCs w:val="22"/>
                      <w:lang w:val="en-US"/>
                    </w:rPr>
                  </w:rPrChange>
                </w:rPr>
                <w:delText>0,39; 0,84</w:delText>
              </w:r>
            </w:del>
          </w:p>
        </w:tc>
        <w:tc>
          <w:tcPr>
            <w:tcW w:w="1080" w:type="dxa"/>
            <w:tcBorders>
              <w:top w:val="nil"/>
              <w:left w:val="nil"/>
              <w:bottom w:val="single" w:sz="4" w:space="0" w:color="auto"/>
              <w:right w:val="nil"/>
            </w:tcBorders>
          </w:tcPr>
          <w:p w14:paraId="6482BC44" w14:textId="5CDC2A3B" w:rsidR="007B1EB2" w:rsidRPr="00AD4F25" w:rsidRDefault="00615769" w:rsidP="007B1EB2">
            <w:pPr>
              <w:rPr>
                <w:del w:id="3107" w:author="AbbVie2" w:date="2025-05-13T16:36:00Z"/>
                <w:sz w:val="22"/>
                <w:szCs w:val="22"/>
                <w:rPrChange w:id="3108" w:author="AbbVie2" w:date="2025-05-14T10:17:00Z">
                  <w:rPr>
                    <w:del w:id="3109" w:author="AbbVie2" w:date="2025-05-13T16:36:00Z"/>
                    <w:sz w:val="22"/>
                    <w:szCs w:val="22"/>
                    <w:lang w:val="en-US"/>
                  </w:rPr>
                </w:rPrChange>
              </w:rPr>
            </w:pPr>
            <w:del w:id="3110" w:author="AbbVie2" w:date="2025-05-13T16:36:00Z">
              <w:r w:rsidRPr="00AD4F25">
                <w:rPr>
                  <w:sz w:val="22"/>
                  <w:szCs w:val="22"/>
                  <w:rPrChange w:id="3111" w:author="AbbVie2" w:date="2025-05-14T10:17:00Z">
                    <w:rPr>
                      <w:sz w:val="22"/>
                      <w:szCs w:val="22"/>
                      <w:lang w:val="en-US"/>
                    </w:rPr>
                  </w:rPrChange>
                </w:rPr>
                <w:delText>0,004</w:delText>
              </w:r>
            </w:del>
          </w:p>
        </w:tc>
      </w:tr>
    </w:tbl>
    <w:p w14:paraId="142B449E" w14:textId="41D4B0F4" w:rsidR="007B1EB2" w:rsidRPr="00F42903" w:rsidRDefault="00615769" w:rsidP="007B1EB2">
      <w:pPr>
        <w:rPr>
          <w:del w:id="3112" w:author="AbbVie2" w:date="2025-05-13T16:36:00Z"/>
          <w:sz w:val="22"/>
          <w:szCs w:val="22"/>
        </w:rPr>
      </w:pPr>
      <w:del w:id="3113" w:author="AbbVie2" w:date="2025-05-13T16:36:00Z">
        <w:r w:rsidRPr="00C37A72">
          <w:rPr>
            <w:sz w:val="22"/>
            <w:szCs w:val="22"/>
          </w:rPr>
          <w:delText>Nota:</w:delText>
        </w:r>
        <w:r>
          <w:rPr>
            <w:sz w:val="22"/>
            <w:szCs w:val="22"/>
          </w:rPr>
          <w:delText xml:space="preserve"> A</w:delText>
        </w:r>
        <w:r w:rsidRPr="00C37A72">
          <w:rPr>
            <w:sz w:val="22"/>
            <w:szCs w:val="22"/>
          </w:rPr>
          <w:delText xml:space="preserve"> falha do tratamento à ou após a Semana 6 (Estudo UV I), ou à ou após a Semana 2 (Estudo UV II)</w:delText>
        </w:r>
        <w:r w:rsidR="00FB6C29">
          <w:rPr>
            <w:sz w:val="22"/>
            <w:szCs w:val="22"/>
          </w:rPr>
          <w:delText>,</w:delText>
        </w:r>
        <w:r w:rsidRPr="00C37A72">
          <w:rPr>
            <w:sz w:val="22"/>
            <w:szCs w:val="22"/>
          </w:rPr>
          <w:delText xml:space="preserve"> foi registad</w:delText>
        </w:r>
        <w:r w:rsidR="00FB6C29">
          <w:rPr>
            <w:sz w:val="22"/>
            <w:szCs w:val="22"/>
          </w:rPr>
          <w:delText>a</w:delText>
        </w:r>
        <w:r w:rsidRPr="00C37A72">
          <w:rPr>
            <w:sz w:val="22"/>
            <w:szCs w:val="22"/>
          </w:rPr>
          <w:delText xml:space="preserve"> como evento. </w:delText>
        </w:r>
        <w:r w:rsidRPr="00F42903">
          <w:rPr>
            <w:sz w:val="22"/>
            <w:szCs w:val="22"/>
          </w:rPr>
          <w:delText>Os doentes que abandonaram o estudo por outras razões que não a falha d</w:delText>
        </w:r>
        <w:r w:rsidR="00FB6C29">
          <w:rPr>
            <w:sz w:val="22"/>
            <w:szCs w:val="22"/>
          </w:rPr>
          <w:delText>o</w:delText>
        </w:r>
        <w:r w:rsidRPr="00F42903">
          <w:rPr>
            <w:sz w:val="22"/>
            <w:szCs w:val="22"/>
          </w:rPr>
          <w:delText xml:space="preserve"> tratamento foram </w:delText>
        </w:r>
        <w:r w:rsidR="00FB6C29">
          <w:rPr>
            <w:sz w:val="22"/>
            <w:szCs w:val="22"/>
          </w:rPr>
          <w:delText>censurados</w:delText>
        </w:r>
        <w:r w:rsidR="00FB6C29" w:rsidRPr="00F42903">
          <w:rPr>
            <w:sz w:val="22"/>
            <w:szCs w:val="22"/>
          </w:rPr>
          <w:delText xml:space="preserve"> </w:delText>
        </w:r>
        <w:r w:rsidRPr="00F42903">
          <w:rPr>
            <w:sz w:val="22"/>
            <w:szCs w:val="22"/>
          </w:rPr>
          <w:delText>no momento dos abandonos.</w:delText>
        </w:r>
      </w:del>
    </w:p>
    <w:p w14:paraId="5AF40C55" w14:textId="32A47F83" w:rsidR="007B1EB2" w:rsidRPr="00C878A8" w:rsidRDefault="00615769" w:rsidP="00DF5632">
      <w:pPr>
        <w:numPr>
          <w:ilvl w:val="0"/>
          <w:numId w:val="172"/>
        </w:numPr>
        <w:rPr>
          <w:del w:id="3114" w:author="AbbVie2" w:date="2025-05-13T16:36:00Z"/>
          <w:sz w:val="22"/>
          <w:szCs w:val="22"/>
        </w:rPr>
      </w:pPr>
      <w:del w:id="3115" w:author="AbbVie2" w:date="2025-05-13T16:36:00Z">
        <w:r>
          <w:rPr>
            <w:sz w:val="22"/>
            <w:szCs w:val="22"/>
          </w:rPr>
          <w:delText>T</w:delText>
        </w:r>
        <w:r w:rsidRPr="00C878A8">
          <w:rPr>
            <w:sz w:val="22"/>
            <w:szCs w:val="22"/>
          </w:rPr>
          <w:delText xml:space="preserve">R </w:delText>
        </w:r>
        <w:r>
          <w:rPr>
            <w:sz w:val="22"/>
            <w:szCs w:val="22"/>
          </w:rPr>
          <w:delText xml:space="preserve">(Taxa de Risco) </w:delText>
        </w:r>
        <w:r w:rsidRPr="00C878A8">
          <w:rPr>
            <w:sz w:val="22"/>
            <w:szCs w:val="22"/>
          </w:rPr>
          <w:delText>de</w:delText>
        </w:r>
        <w:r>
          <w:rPr>
            <w:sz w:val="22"/>
            <w:szCs w:val="22"/>
          </w:rPr>
          <w:delText xml:space="preserve"> adalimumab vs placebo através da regressão </w:delText>
        </w:r>
        <w:r w:rsidRPr="00C878A8">
          <w:rPr>
            <w:sz w:val="22"/>
            <w:szCs w:val="22"/>
          </w:rPr>
          <w:delText>de risco proporciona</w:delText>
        </w:r>
        <w:r>
          <w:rPr>
            <w:sz w:val="22"/>
            <w:szCs w:val="22"/>
          </w:rPr>
          <w:delText>l</w:delText>
        </w:r>
        <w:r w:rsidRPr="00C878A8">
          <w:rPr>
            <w:sz w:val="22"/>
            <w:szCs w:val="22"/>
          </w:rPr>
          <w:delText xml:space="preserve"> com o </w:delText>
        </w:r>
        <w:r>
          <w:rPr>
            <w:sz w:val="22"/>
            <w:szCs w:val="22"/>
          </w:rPr>
          <w:delText xml:space="preserve">fator de </w:delText>
        </w:r>
        <w:r w:rsidRPr="00C878A8">
          <w:rPr>
            <w:sz w:val="22"/>
            <w:szCs w:val="22"/>
          </w:rPr>
          <w:delText>tratamento.</w:delText>
        </w:r>
      </w:del>
    </w:p>
    <w:p w14:paraId="5F89F5CA" w14:textId="40BD5F4A" w:rsidR="007B1EB2" w:rsidRPr="00966B42" w:rsidRDefault="00615769" w:rsidP="00DF5632">
      <w:pPr>
        <w:numPr>
          <w:ilvl w:val="0"/>
          <w:numId w:val="172"/>
        </w:numPr>
        <w:rPr>
          <w:del w:id="3116" w:author="AbbVie2" w:date="2025-05-13T16:36:00Z"/>
          <w:sz w:val="22"/>
          <w:szCs w:val="22"/>
        </w:rPr>
      </w:pPr>
      <w:del w:id="3117" w:author="AbbVie2" w:date="2025-05-13T16:36:00Z">
        <w:r w:rsidRPr="00966B42">
          <w:rPr>
            <w:sz w:val="22"/>
            <w:szCs w:val="22"/>
          </w:rPr>
          <w:delText xml:space="preserve">2-lados valor </w:delText>
        </w:r>
        <w:r w:rsidRPr="00966B42">
          <w:rPr>
            <w:i/>
            <w:sz w:val="22"/>
            <w:szCs w:val="22"/>
          </w:rPr>
          <w:delText>P</w:delText>
        </w:r>
        <w:r w:rsidRPr="00966B42">
          <w:rPr>
            <w:sz w:val="22"/>
            <w:szCs w:val="22"/>
          </w:rPr>
          <w:delText xml:space="preserve"> do teste logarítmico.</w:delText>
        </w:r>
      </w:del>
    </w:p>
    <w:p w14:paraId="4AA72937" w14:textId="3D8EB485" w:rsidR="007B1EB2" w:rsidRPr="00966B42" w:rsidRDefault="00615769" w:rsidP="00DF5632">
      <w:pPr>
        <w:numPr>
          <w:ilvl w:val="0"/>
          <w:numId w:val="172"/>
        </w:numPr>
        <w:rPr>
          <w:del w:id="3118" w:author="AbbVie2" w:date="2025-05-13T16:36:00Z"/>
          <w:sz w:val="22"/>
          <w:szCs w:val="22"/>
        </w:rPr>
      </w:pPr>
      <w:del w:id="3119" w:author="AbbVie2" w:date="2025-05-13T16:36:00Z">
        <w:r w:rsidRPr="00966B42">
          <w:rPr>
            <w:sz w:val="22"/>
            <w:szCs w:val="22"/>
          </w:rPr>
          <w:delText>NE = não estim</w:delText>
        </w:r>
        <w:r>
          <w:rPr>
            <w:sz w:val="22"/>
            <w:szCs w:val="22"/>
          </w:rPr>
          <w:delText>ável</w:delText>
        </w:r>
        <w:r w:rsidRPr="00966B42">
          <w:rPr>
            <w:sz w:val="22"/>
            <w:szCs w:val="22"/>
          </w:rPr>
          <w:delText>. Menos d</w:delText>
        </w:r>
        <w:r>
          <w:rPr>
            <w:sz w:val="22"/>
            <w:szCs w:val="22"/>
          </w:rPr>
          <w:delText>e</w:delText>
        </w:r>
        <w:r w:rsidRPr="00966B42">
          <w:rPr>
            <w:sz w:val="22"/>
            <w:szCs w:val="22"/>
          </w:rPr>
          <w:delText xml:space="preserve"> metade dos indivíduos em situação de risco teve um evento</w:delText>
        </w:r>
        <w:r>
          <w:rPr>
            <w:sz w:val="22"/>
            <w:szCs w:val="22"/>
          </w:rPr>
          <w:delText>.</w:delText>
        </w:r>
        <w:r w:rsidRPr="00966B42">
          <w:rPr>
            <w:sz w:val="22"/>
            <w:szCs w:val="22"/>
          </w:rPr>
          <w:delText xml:space="preserve"> </w:delText>
        </w:r>
      </w:del>
    </w:p>
    <w:p w14:paraId="09E4ECDD" w14:textId="26B0220B" w:rsidR="007B1EB2" w:rsidRDefault="007B1EB2" w:rsidP="007B1EB2">
      <w:pPr>
        <w:rPr>
          <w:del w:id="3120" w:author="AbbVie2" w:date="2025-05-13T16:36:00Z"/>
          <w:sz w:val="22"/>
          <w:szCs w:val="22"/>
        </w:rPr>
      </w:pPr>
    </w:p>
    <w:p w14:paraId="2E5F9182" w14:textId="216CEE9D" w:rsidR="007B1EB2" w:rsidRPr="004D010F" w:rsidRDefault="00615769" w:rsidP="007B1EB2">
      <w:pPr>
        <w:keepNext/>
        <w:jc w:val="center"/>
        <w:rPr>
          <w:del w:id="3121" w:author="AbbVie2" w:date="2025-05-13T16:36:00Z"/>
          <w:b/>
          <w:sz w:val="22"/>
          <w:szCs w:val="22"/>
        </w:rPr>
      </w:pPr>
      <w:del w:id="3122" w:author="AbbVie2" w:date="2025-05-13T16:36:00Z">
        <w:r w:rsidRPr="004D010F">
          <w:rPr>
            <w:b/>
            <w:sz w:val="22"/>
            <w:szCs w:val="22"/>
          </w:rPr>
          <w:delText xml:space="preserve">Figura </w:delText>
        </w:r>
        <w:r w:rsidR="00D105CA">
          <w:rPr>
            <w:b/>
            <w:sz w:val="22"/>
            <w:szCs w:val="22"/>
          </w:rPr>
          <w:delText>1</w:delText>
        </w:r>
        <w:r w:rsidRPr="004D010F">
          <w:rPr>
            <w:b/>
            <w:sz w:val="22"/>
            <w:szCs w:val="22"/>
          </w:rPr>
          <w:delText xml:space="preserve">: Curvas de Kaplan-Meier resumindo o Tempo </w:delText>
        </w:r>
        <w:r w:rsidR="00B150A1">
          <w:rPr>
            <w:b/>
            <w:sz w:val="22"/>
            <w:szCs w:val="22"/>
          </w:rPr>
          <w:delText>até</w:delText>
        </w:r>
        <w:r w:rsidR="00B150A1" w:rsidRPr="004D010F">
          <w:rPr>
            <w:b/>
            <w:sz w:val="22"/>
            <w:szCs w:val="22"/>
          </w:rPr>
          <w:delText xml:space="preserve"> </w:delText>
        </w:r>
        <w:r w:rsidRPr="004D010F">
          <w:rPr>
            <w:b/>
            <w:sz w:val="22"/>
            <w:szCs w:val="22"/>
          </w:rPr>
          <w:delText xml:space="preserve">Falha do Tratamento </w:delText>
        </w:r>
        <w:r>
          <w:rPr>
            <w:b/>
            <w:sz w:val="22"/>
            <w:szCs w:val="22"/>
          </w:rPr>
          <w:delText>na</w:delText>
        </w:r>
        <w:r w:rsidRPr="004D010F">
          <w:rPr>
            <w:b/>
            <w:sz w:val="22"/>
            <w:szCs w:val="22"/>
          </w:rPr>
          <w:delText xml:space="preserve"> ou após a Semana 6 (Estudo UV I) ou</w:delText>
        </w:r>
        <w:r>
          <w:rPr>
            <w:b/>
            <w:sz w:val="22"/>
            <w:szCs w:val="22"/>
          </w:rPr>
          <w:delText xml:space="preserve"> </w:delText>
        </w:r>
        <w:r w:rsidRPr="004D010F">
          <w:rPr>
            <w:b/>
            <w:sz w:val="22"/>
            <w:szCs w:val="22"/>
          </w:rPr>
          <w:delText>Semana 2 (Estudo UV II)</w:delText>
        </w:r>
      </w:del>
    </w:p>
    <w:tbl>
      <w:tblPr>
        <w:tblW w:w="9288" w:type="dxa"/>
        <w:tblLayout w:type="fixed"/>
        <w:tblLook w:val="04A0" w:firstRow="1" w:lastRow="0" w:firstColumn="1" w:lastColumn="0" w:noHBand="0" w:noVBand="1"/>
      </w:tblPr>
      <w:tblGrid>
        <w:gridCol w:w="482"/>
        <w:gridCol w:w="3496"/>
        <w:gridCol w:w="1170"/>
        <w:gridCol w:w="1350"/>
        <w:gridCol w:w="900"/>
        <w:gridCol w:w="1890"/>
      </w:tblGrid>
      <w:tr w:rsidR="00A7162A" w14:paraId="056C028D" w14:textId="7B24E564" w:rsidTr="007B1EB2">
        <w:trPr>
          <w:cantSplit/>
          <w:trHeight w:val="4173"/>
          <w:del w:id="3123" w:author="AbbVie2" w:date="2025-05-13T16:36:00Z"/>
        </w:trPr>
        <w:tc>
          <w:tcPr>
            <w:tcW w:w="482" w:type="dxa"/>
            <w:textDirection w:val="btLr"/>
            <w:vAlign w:val="bottom"/>
          </w:tcPr>
          <w:p w14:paraId="235DFD0C" w14:textId="76EB61D5" w:rsidR="007B1EB2" w:rsidRPr="00EA0F56" w:rsidRDefault="00615769" w:rsidP="007B1EB2">
            <w:pPr>
              <w:keepNext/>
              <w:rPr>
                <w:del w:id="3124" w:author="AbbVie2" w:date="2025-05-13T16:36:00Z"/>
                <w:b/>
                <w:sz w:val="20"/>
                <w:szCs w:val="20"/>
              </w:rPr>
            </w:pPr>
            <w:del w:id="3125" w:author="AbbVie2" w:date="2025-05-13T16:36:00Z">
              <w:r w:rsidRPr="00EA0F56">
                <w:rPr>
                  <w:b/>
                  <w:sz w:val="20"/>
                  <w:szCs w:val="20"/>
                </w:rPr>
                <w:delText>TAXA DE FALHA DO TR</w:delText>
              </w:r>
              <w:r>
                <w:rPr>
                  <w:b/>
                  <w:sz w:val="20"/>
                  <w:szCs w:val="20"/>
                </w:rPr>
                <w:delText>A</w:delText>
              </w:r>
              <w:r w:rsidRPr="00EA0F56">
                <w:rPr>
                  <w:b/>
                  <w:sz w:val="20"/>
                  <w:szCs w:val="20"/>
                </w:rPr>
                <w:delText>TAMENTO</w:delText>
              </w:r>
              <w:r>
                <w:rPr>
                  <w:b/>
                  <w:sz w:val="20"/>
                  <w:szCs w:val="20"/>
                </w:rPr>
                <w:delText xml:space="preserve"> (%)</w:delText>
              </w:r>
            </w:del>
          </w:p>
        </w:tc>
        <w:tc>
          <w:tcPr>
            <w:tcW w:w="8806" w:type="dxa"/>
            <w:gridSpan w:val="5"/>
            <w:vAlign w:val="bottom"/>
          </w:tcPr>
          <w:p w14:paraId="67C18083" w14:textId="4645B45B" w:rsidR="007B1EB2" w:rsidRPr="00AD4F25" w:rsidRDefault="00615769" w:rsidP="007B1EB2">
            <w:pPr>
              <w:keepNext/>
              <w:rPr>
                <w:del w:id="3126" w:author="AbbVie2" w:date="2025-05-13T16:36:00Z"/>
                <w:sz w:val="22"/>
                <w:szCs w:val="22"/>
                <w:rPrChange w:id="3127" w:author="AbbVie2" w:date="2025-05-14T10:17:00Z">
                  <w:rPr>
                    <w:del w:id="3128" w:author="AbbVie2" w:date="2025-05-13T16:36:00Z"/>
                    <w:sz w:val="22"/>
                    <w:szCs w:val="22"/>
                    <w:lang w:val="en-US"/>
                  </w:rPr>
                </w:rPrChange>
              </w:rPr>
            </w:pPr>
            <w:del w:id="3129" w:author="AbbVie2" w:date="2025-05-13T16:36:00Z">
              <w:r>
                <w:rPr>
                  <w:noProof/>
                  <w:lang w:val="en-GB" w:eastAsia="en-GB"/>
                </w:rPr>
                <w:drawing>
                  <wp:inline distT="0" distB="0" distL="0" distR="0" wp14:anchorId="6C98039D" wp14:editId="1ECFA06A">
                    <wp:extent cx="5486400" cy="2206625"/>
                    <wp:effectExtent l="0" t="0" r="0" b="3175"/>
                    <wp:docPr id="74" name="Picture 74"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1" descr="Humira Uveitis Figure 5_6"/>
                            <pic:cNvPicPr>
                              <a:picLocks noChangeAspect="1" noChangeArrowheads="1"/>
                            </pic:cNvPicPr>
                          </pic:nvPicPr>
                          <pic:blipFill>
                            <a:blip r:embed="rId11" r:link="rId12">
                              <a:extLst>
                                <a:ext uri="{28A0092B-C50C-407E-A947-70E740481C1C}">
                                  <a14:useLocalDpi xmlns:a14="http://schemas.microsoft.com/office/drawing/2010/main" val="0"/>
                                </a:ext>
                              </a:extLst>
                            </a:blip>
                            <a:stretch>
                              <a:fillRect/>
                            </a:stretch>
                          </pic:blipFill>
                          <pic:spPr bwMode="auto">
                            <a:xfrm>
                              <a:off x="0" y="0"/>
                              <a:ext cx="5486400" cy="2206625"/>
                            </a:xfrm>
                            <a:prstGeom prst="rect">
                              <a:avLst/>
                            </a:prstGeom>
                            <a:noFill/>
                            <a:ln>
                              <a:noFill/>
                            </a:ln>
                          </pic:spPr>
                        </pic:pic>
                      </a:graphicData>
                    </a:graphic>
                  </wp:inline>
                </w:drawing>
              </w:r>
            </w:del>
          </w:p>
        </w:tc>
      </w:tr>
      <w:tr w:rsidR="00A7162A" w14:paraId="6AB2D802" w14:textId="3C9B407D" w:rsidTr="007B1EB2">
        <w:trPr>
          <w:del w:id="3130" w:author="AbbVie2" w:date="2025-05-13T16:36:00Z"/>
        </w:trPr>
        <w:tc>
          <w:tcPr>
            <w:tcW w:w="482" w:type="dxa"/>
          </w:tcPr>
          <w:p w14:paraId="1BAA9059" w14:textId="51813878" w:rsidR="007B1EB2" w:rsidRPr="00AD4F25" w:rsidRDefault="007B1EB2" w:rsidP="007B1EB2">
            <w:pPr>
              <w:rPr>
                <w:del w:id="3131" w:author="AbbVie2" w:date="2025-05-13T16:36:00Z"/>
                <w:sz w:val="22"/>
                <w:szCs w:val="22"/>
                <w:rPrChange w:id="3132" w:author="AbbVie2" w:date="2025-05-14T10:17:00Z">
                  <w:rPr>
                    <w:del w:id="3133" w:author="AbbVie2" w:date="2025-05-13T16:36:00Z"/>
                    <w:sz w:val="22"/>
                    <w:szCs w:val="22"/>
                    <w:lang w:val="en-US"/>
                  </w:rPr>
                </w:rPrChange>
              </w:rPr>
            </w:pPr>
          </w:p>
        </w:tc>
        <w:tc>
          <w:tcPr>
            <w:tcW w:w="8806" w:type="dxa"/>
            <w:gridSpan w:val="5"/>
          </w:tcPr>
          <w:p w14:paraId="797077DA" w14:textId="1852D3FD" w:rsidR="007B1EB2" w:rsidRPr="00AD4F25" w:rsidRDefault="00615769" w:rsidP="007B1EB2">
            <w:pPr>
              <w:jc w:val="center"/>
              <w:rPr>
                <w:del w:id="3134" w:author="AbbVie2" w:date="2025-05-13T16:36:00Z"/>
                <w:b/>
                <w:sz w:val="22"/>
                <w:szCs w:val="22"/>
                <w:rPrChange w:id="3135" w:author="AbbVie2" w:date="2025-05-14T10:17:00Z">
                  <w:rPr>
                    <w:del w:id="3136" w:author="AbbVie2" w:date="2025-05-13T16:36:00Z"/>
                    <w:b/>
                    <w:sz w:val="22"/>
                    <w:szCs w:val="22"/>
                    <w:lang w:val="en-US"/>
                  </w:rPr>
                </w:rPrChange>
              </w:rPr>
            </w:pPr>
            <w:del w:id="3137" w:author="AbbVie2" w:date="2025-05-13T16:36:00Z">
              <w:r w:rsidRPr="00AD4F25">
                <w:rPr>
                  <w:b/>
                  <w:sz w:val="22"/>
                  <w:szCs w:val="22"/>
                  <w:rPrChange w:id="3138" w:author="AbbVie2" w:date="2025-05-14T10:17:00Z">
                    <w:rPr>
                      <w:b/>
                      <w:sz w:val="22"/>
                      <w:szCs w:val="22"/>
                      <w:lang w:val="en-US"/>
                    </w:rPr>
                  </w:rPrChange>
                </w:rPr>
                <w:delText>TEMPO (MESES)</w:delText>
              </w:r>
            </w:del>
          </w:p>
        </w:tc>
      </w:tr>
      <w:tr w:rsidR="00A7162A" w14:paraId="08099CB2" w14:textId="289C9F88" w:rsidTr="007B1EB2">
        <w:trPr>
          <w:del w:id="3139" w:author="AbbVie2" w:date="2025-05-13T16:36:00Z"/>
        </w:trPr>
        <w:tc>
          <w:tcPr>
            <w:tcW w:w="482" w:type="dxa"/>
          </w:tcPr>
          <w:p w14:paraId="6A15C1A1" w14:textId="2B05E25D" w:rsidR="007B1EB2" w:rsidRPr="00AD4F25" w:rsidRDefault="007B1EB2" w:rsidP="007B1EB2">
            <w:pPr>
              <w:rPr>
                <w:del w:id="3140" w:author="AbbVie2" w:date="2025-05-13T16:36:00Z"/>
                <w:sz w:val="22"/>
                <w:szCs w:val="22"/>
                <w:rPrChange w:id="3141" w:author="AbbVie2" w:date="2025-05-14T10:17:00Z">
                  <w:rPr>
                    <w:del w:id="3142" w:author="AbbVie2" w:date="2025-05-13T16:36:00Z"/>
                    <w:sz w:val="22"/>
                    <w:szCs w:val="22"/>
                    <w:lang w:val="en-US"/>
                  </w:rPr>
                </w:rPrChange>
              </w:rPr>
            </w:pPr>
          </w:p>
        </w:tc>
        <w:tc>
          <w:tcPr>
            <w:tcW w:w="3496" w:type="dxa"/>
          </w:tcPr>
          <w:p w14:paraId="5FB235D2" w14:textId="0A183687" w:rsidR="007B1EB2" w:rsidRPr="00AD4F25" w:rsidRDefault="00615769" w:rsidP="007B1EB2">
            <w:pPr>
              <w:rPr>
                <w:del w:id="3143" w:author="AbbVie2" w:date="2025-05-13T16:36:00Z"/>
                <w:sz w:val="22"/>
                <w:szCs w:val="22"/>
                <w:rPrChange w:id="3144" w:author="AbbVie2" w:date="2025-05-14T10:17:00Z">
                  <w:rPr>
                    <w:del w:id="3145" w:author="AbbVie2" w:date="2025-05-13T16:36:00Z"/>
                    <w:sz w:val="22"/>
                    <w:szCs w:val="22"/>
                    <w:lang w:val="en-US"/>
                  </w:rPr>
                </w:rPrChange>
              </w:rPr>
            </w:pPr>
            <w:del w:id="3146" w:author="AbbVie2" w:date="2025-05-13T16:36:00Z">
              <w:r w:rsidRPr="00AD4F25">
                <w:rPr>
                  <w:sz w:val="22"/>
                  <w:szCs w:val="22"/>
                  <w:rPrChange w:id="3147" w:author="AbbVie2" w:date="2025-05-14T10:17:00Z">
                    <w:rPr>
                      <w:sz w:val="22"/>
                      <w:szCs w:val="22"/>
                      <w:lang w:val="en-US"/>
                    </w:rPr>
                  </w:rPrChange>
                </w:rPr>
                <w:delText>Estudo UV I           Tratamento</w:delText>
              </w:r>
            </w:del>
          </w:p>
        </w:tc>
        <w:tc>
          <w:tcPr>
            <w:tcW w:w="1170" w:type="dxa"/>
          </w:tcPr>
          <w:p w14:paraId="52C7AE8D" w14:textId="7D414C10" w:rsidR="007B1EB2" w:rsidRPr="00AD4F25" w:rsidRDefault="00615769" w:rsidP="007B1EB2">
            <w:pPr>
              <w:rPr>
                <w:del w:id="3148" w:author="AbbVie2" w:date="2025-05-13T16:36:00Z"/>
                <w:sz w:val="22"/>
                <w:szCs w:val="22"/>
                <w:rPrChange w:id="3149" w:author="AbbVie2" w:date="2025-05-14T10:17:00Z">
                  <w:rPr>
                    <w:del w:id="3150" w:author="AbbVie2" w:date="2025-05-13T16:36:00Z"/>
                    <w:sz w:val="22"/>
                    <w:szCs w:val="22"/>
                    <w:lang w:val="en-US"/>
                  </w:rPr>
                </w:rPrChange>
              </w:rPr>
            </w:pPr>
            <w:del w:id="3151" w:author="AbbVie2" w:date="2025-05-13T16:36:00Z">
              <w:r>
                <w:rPr>
                  <w:noProof/>
                  <w:sz w:val="22"/>
                  <w:szCs w:val="22"/>
                  <w:lang w:val="en-GB" w:eastAsia="en-GB"/>
                </w:rPr>
                <w:drawing>
                  <wp:inline distT="0" distB="0" distL="0" distR="0" wp14:anchorId="1E49B815" wp14:editId="0D27D29A">
                    <wp:extent cx="397510" cy="179070"/>
                    <wp:effectExtent l="0" t="0" r="2540" b="0"/>
                    <wp:docPr id="75" name="Picture 7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2"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97510" cy="179070"/>
                            </a:xfrm>
                            <a:prstGeom prst="rect">
                              <a:avLst/>
                            </a:prstGeom>
                            <a:noFill/>
                            <a:ln>
                              <a:noFill/>
                            </a:ln>
                          </pic:spPr>
                        </pic:pic>
                      </a:graphicData>
                    </a:graphic>
                  </wp:inline>
                </w:drawing>
              </w:r>
            </w:del>
          </w:p>
        </w:tc>
        <w:tc>
          <w:tcPr>
            <w:tcW w:w="1350" w:type="dxa"/>
          </w:tcPr>
          <w:p w14:paraId="51803B53" w14:textId="7AAE5F3F" w:rsidR="007B1EB2" w:rsidRPr="00AD4F25" w:rsidRDefault="00615769" w:rsidP="007B1EB2">
            <w:pPr>
              <w:rPr>
                <w:del w:id="3152" w:author="AbbVie2" w:date="2025-05-13T16:36:00Z"/>
                <w:sz w:val="22"/>
                <w:szCs w:val="22"/>
                <w:rPrChange w:id="3153" w:author="AbbVie2" w:date="2025-05-14T10:17:00Z">
                  <w:rPr>
                    <w:del w:id="3154" w:author="AbbVie2" w:date="2025-05-13T16:36:00Z"/>
                    <w:sz w:val="22"/>
                    <w:szCs w:val="22"/>
                    <w:lang w:val="en-US"/>
                  </w:rPr>
                </w:rPrChange>
              </w:rPr>
            </w:pPr>
            <w:del w:id="3155" w:author="AbbVie2" w:date="2025-05-13T16:36:00Z">
              <w:r w:rsidRPr="00AD4F25">
                <w:rPr>
                  <w:sz w:val="22"/>
                  <w:szCs w:val="22"/>
                  <w:rPrChange w:id="3156" w:author="AbbVie2" w:date="2025-05-14T10:17:00Z">
                    <w:rPr>
                      <w:sz w:val="22"/>
                      <w:szCs w:val="22"/>
                      <w:lang w:val="en-US"/>
                    </w:rPr>
                  </w:rPrChange>
                </w:rPr>
                <w:delText>Placebo</w:delText>
              </w:r>
            </w:del>
          </w:p>
        </w:tc>
        <w:tc>
          <w:tcPr>
            <w:tcW w:w="900" w:type="dxa"/>
          </w:tcPr>
          <w:p w14:paraId="3F70D2C4" w14:textId="41F46090" w:rsidR="007B1EB2" w:rsidRPr="00AD4F25" w:rsidRDefault="00615769" w:rsidP="007B1EB2">
            <w:pPr>
              <w:rPr>
                <w:del w:id="3157" w:author="AbbVie2" w:date="2025-05-13T16:36:00Z"/>
                <w:sz w:val="22"/>
                <w:szCs w:val="22"/>
                <w:rPrChange w:id="3158" w:author="AbbVie2" w:date="2025-05-14T10:17:00Z">
                  <w:rPr>
                    <w:del w:id="3159" w:author="AbbVie2" w:date="2025-05-13T16:36:00Z"/>
                    <w:sz w:val="22"/>
                    <w:szCs w:val="22"/>
                    <w:lang w:val="en-US"/>
                  </w:rPr>
                </w:rPrChange>
              </w:rPr>
            </w:pPr>
            <w:del w:id="3160" w:author="AbbVie2" w:date="2025-05-13T16:36:00Z">
              <w:r>
                <w:rPr>
                  <w:noProof/>
                  <w:sz w:val="22"/>
                  <w:szCs w:val="22"/>
                  <w:lang w:val="en-GB" w:eastAsia="en-GB"/>
                </w:rPr>
                <w:drawing>
                  <wp:inline distT="0" distB="0" distL="0" distR="0" wp14:anchorId="4BC710AC" wp14:editId="2ED76F33">
                    <wp:extent cx="556895" cy="179070"/>
                    <wp:effectExtent l="0" t="0" r="0" b="0"/>
                    <wp:docPr id="76" name="Picture 76"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3" descr="Humira Uveitis Figure 5_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56895" cy="179070"/>
                            </a:xfrm>
                            <a:prstGeom prst="rect">
                              <a:avLst/>
                            </a:prstGeom>
                            <a:noFill/>
                            <a:ln>
                              <a:noFill/>
                            </a:ln>
                          </pic:spPr>
                        </pic:pic>
                      </a:graphicData>
                    </a:graphic>
                  </wp:inline>
                </w:drawing>
              </w:r>
            </w:del>
          </w:p>
        </w:tc>
        <w:tc>
          <w:tcPr>
            <w:tcW w:w="1890" w:type="dxa"/>
          </w:tcPr>
          <w:p w14:paraId="66528D75" w14:textId="6793B53C" w:rsidR="007B1EB2" w:rsidRPr="00AD4F25" w:rsidRDefault="00615769" w:rsidP="007B1EB2">
            <w:pPr>
              <w:rPr>
                <w:del w:id="3161" w:author="AbbVie2" w:date="2025-05-13T16:36:00Z"/>
                <w:sz w:val="22"/>
                <w:szCs w:val="22"/>
                <w:rPrChange w:id="3162" w:author="AbbVie2" w:date="2025-05-14T10:17:00Z">
                  <w:rPr>
                    <w:del w:id="3163" w:author="AbbVie2" w:date="2025-05-13T16:36:00Z"/>
                    <w:sz w:val="22"/>
                    <w:szCs w:val="22"/>
                    <w:lang w:val="en-US"/>
                  </w:rPr>
                </w:rPrChange>
              </w:rPr>
            </w:pPr>
            <w:del w:id="3164" w:author="AbbVie2" w:date="2025-05-13T16:36:00Z">
              <w:r w:rsidRPr="00AD4F25">
                <w:rPr>
                  <w:sz w:val="22"/>
                  <w:szCs w:val="22"/>
                  <w:rPrChange w:id="3165" w:author="AbbVie2" w:date="2025-05-14T10:17:00Z">
                    <w:rPr>
                      <w:sz w:val="22"/>
                      <w:szCs w:val="22"/>
                      <w:lang w:val="en-US"/>
                    </w:rPr>
                  </w:rPrChange>
                </w:rPr>
                <w:delText>Adalimumab</w:delText>
              </w:r>
            </w:del>
          </w:p>
        </w:tc>
      </w:tr>
      <w:tr w:rsidR="00A7162A" w14:paraId="649FA80B" w14:textId="52744F3B" w:rsidTr="007B1EB2">
        <w:trPr>
          <w:trHeight w:val="4085"/>
          <w:del w:id="3166" w:author="AbbVie2" w:date="2025-05-13T16:36:00Z"/>
        </w:trPr>
        <w:tc>
          <w:tcPr>
            <w:tcW w:w="482" w:type="dxa"/>
            <w:textDirection w:val="btLr"/>
            <w:vAlign w:val="bottom"/>
          </w:tcPr>
          <w:p w14:paraId="73CD0E4F" w14:textId="1CF7034D" w:rsidR="007B1EB2" w:rsidRPr="00EA0F56" w:rsidRDefault="00615769" w:rsidP="007B1EB2">
            <w:pPr>
              <w:rPr>
                <w:del w:id="3167" w:author="AbbVie2" w:date="2025-05-13T16:36:00Z"/>
                <w:sz w:val="20"/>
                <w:szCs w:val="20"/>
              </w:rPr>
            </w:pPr>
            <w:del w:id="3168" w:author="AbbVie2" w:date="2025-05-13T16:36:00Z">
              <w:r w:rsidRPr="00EA0F56">
                <w:rPr>
                  <w:b/>
                  <w:sz w:val="20"/>
                  <w:szCs w:val="20"/>
                </w:rPr>
                <w:delText>TAXA DE FALHA DE TRATAME</w:delText>
              </w:r>
              <w:r>
                <w:rPr>
                  <w:b/>
                  <w:sz w:val="20"/>
                  <w:szCs w:val="20"/>
                </w:rPr>
                <w:delText>N</w:delText>
              </w:r>
              <w:r w:rsidRPr="00EA0F56">
                <w:rPr>
                  <w:b/>
                  <w:sz w:val="20"/>
                  <w:szCs w:val="20"/>
                </w:rPr>
                <w:delText>TO (%)</w:delText>
              </w:r>
            </w:del>
          </w:p>
        </w:tc>
        <w:tc>
          <w:tcPr>
            <w:tcW w:w="8806" w:type="dxa"/>
            <w:gridSpan w:val="5"/>
            <w:vAlign w:val="bottom"/>
          </w:tcPr>
          <w:p w14:paraId="1CAAEF01" w14:textId="08196CEC" w:rsidR="007B1EB2" w:rsidRPr="00AD4F25" w:rsidRDefault="00615769" w:rsidP="007B1EB2">
            <w:pPr>
              <w:rPr>
                <w:del w:id="3169" w:author="AbbVie2" w:date="2025-05-13T16:36:00Z"/>
                <w:sz w:val="22"/>
                <w:szCs w:val="22"/>
                <w:rPrChange w:id="3170" w:author="AbbVie2" w:date="2025-05-14T10:17:00Z">
                  <w:rPr>
                    <w:del w:id="3171" w:author="AbbVie2" w:date="2025-05-13T16:36:00Z"/>
                    <w:sz w:val="22"/>
                    <w:szCs w:val="22"/>
                    <w:lang w:val="en-US"/>
                  </w:rPr>
                </w:rPrChange>
              </w:rPr>
            </w:pPr>
            <w:del w:id="3172" w:author="AbbVie2" w:date="2025-05-13T16:36:00Z">
              <w:r>
                <w:rPr>
                  <w:noProof/>
                  <w:szCs w:val="22"/>
                  <w:lang w:val="en-GB" w:eastAsia="en-GB"/>
                </w:rPr>
                <w:drawing>
                  <wp:inline distT="0" distB="0" distL="0" distR="0" wp14:anchorId="19D1D3C4" wp14:editId="21B5D0AF">
                    <wp:extent cx="5486400" cy="2176780"/>
                    <wp:effectExtent l="0" t="0" r="0" b="0"/>
                    <wp:docPr id="77" name="Picture 77"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4" descr="Humira Uveitis Figure 5_7"/>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486400" cy="2176780"/>
                            </a:xfrm>
                            <a:prstGeom prst="rect">
                              <a:avLst/>
                            </a:prstGeom>
                            <a:noFill/>
                            <a:ln>
                              <a:noFill/>
                            </a:ln>
                          </pic:spPr>
                        </pic:pic>
                      </a:graphicData>
                    </a:graphic>
                  </wp:inline>
                </w:drawing>
              </w:r>
            </w:del>
          </w:p>
        </w:tc>
      </w:tr>
      <w:tr w:rsidR="00A7162A" w14:paraId="427486D3" w14:textId="5DE71FED" w:rsidTr="007B1EB2">
        <w:trPr>
          <w:del w:id="3173" w:author="AbbVie2" w:date="2025-05-13T16:36:00Z"/>
        </w:trPr>
        <w:tc>
          <w:tcPr>
            <w:tcW w:w="482" w:type="dxa"/>
          </w:tcPr>
          <w:p w14:paraId="5BFE8E0E" w14:textId="53107ECC" w:rsidR="007B1EB2" w:rsidRPr="00AD4F25" w:rsidRDefault="007B1EB2" w:rsidP="007B1EB2">
            <w:pPr>
              <w:rPr>
                <w:del w:id="3174" w:author="AbbVie2" w:date="2025-05-13T16:36:00Z"/>
                <w:sz w:val="22"/>
                <w:szCs w:val="22"/>
                <w:rPrChange w:id="3175" w:author="AbbVie2" w:date="2025-05-14T10:17:00Z">
                  <w:rPr>
                    <w:del w:id="3176" w:author="AbbVie2" w:date="2025-05-13T16:36:00Z"/>
                    <w:sz w:val="22"/>
                    <w:szCs w:val="22"/>
                    <w:lang w:val="en-US"/>
                  </w:rPr>
                </w:rPrChange>
              </w:rPr>
            </w:pPr>
          </w:p>
        </w:tc>
        <w:tc>
          <w:tcPr>
            <w:tcW w:w="8806" w:type="dxa"/>
            <w:gridSpan w:val="5"/>
          </w:tcPr>
          <w:p w14:paraId="4F9C83AE" w14:textId="2CF569C3" w:rsidR="007B1EB2" w:rsidRPr="00AD4F25" w:rsidRDefault="00615769" w:rsidP="007B1EB2">
            <w:pPr>
              <w:jc w:val="center"/>
              <w:rPr>
                <w:del w:id="3177" w:author="AbbVie2" w:date="2025-05-13T16:36:00Z"/>
                <w:b/>
                <w:sz w:val="22"/>
                <w:szCs w:val="22"/>
                <w:rPrChange w:id="3178" w:author="AbbVie2" w:date="2025-05-14T10:17:00Z">
                  <w:rPr>
                    <w:del w:id="3179" w:author="AbbVie2" w:date="2025-05-13T16:36:00Z"/>
                    <w:b/>
                    <w:sz w:val="22"/>
                    <w:szCs w:val="22"/>
                    <w:lang w:val="en-US"/>
                  </w:rPr>
                </w:rPrChange>
              </w:rPr>
            </w:pPr>
            <w:del w:id="3180" w:author="AbbVie2" w:date="2025-05-13T16:36:00Z">
              <w:r w:rsidRPr="00AD4F25">
                <w:rPr>
                  <w:b/>
                  <w:sz w:val="22"/>
                  <w:szCs w:val="22"/>
                  <w:rPrChange w:id="3181" w:author="AbbVie2" w:date="2025-05-14T10:17:00Z">
                    <w:rPr>
                      <w:b/>
                      <w:sz w:val="22"/>
                      <w:szCs w:val="22"/>
                      <w:lang w:val="en-US"/>
                    </w:rPr>
                  </w:rPrChange>
                </w:rPr>
                <w:delText>TEMPO (MESES)</w:delText>
              </w:r>
            </w:del>
          </w:p>
        </w:tc>
      </w:tr>
      <w:tr w:rsidR="00A7162A" w14:paraId="3705E393" w14:textId="0F605B76" w:rsidTr="007B1EB2">
        <w:trPr>
          <w:trHeight w:val="369"/>
          <w:del w:id="3182" w:author="AbbVie2" w:date="2025-05-13T16:36:00Z"/>
        </w:trPr>
        <w:tc>
          <w:tcPr>
            <w:tcW w:w="482" w:type="dxa"/>
          </w:tcPr>
          <w:p w14:paraId="0B65139D" w14:textId="06C0A8E2" w:rsidR="007B1EB2" w:rsidRPr="00AD4F25" w:rsidRDefault="007B1EB2" w:rsidP="007B1EB2">
            <w:pPr>
              <w:rPr>
                <w:del w:id="3183" w:author="AbbVie2" w:date="2025-05-13T16:36:00Z"/>
                <w:sz w:val="22"/>
                <w:szCs w:val="22"/>
                <w:rPrChange w:id="3184" w:author="AbbVie2" w:date="2025-05-14T10:17:00Z">
                  <w:rPr>
                    <w:del w:id="3185" w:author="AbbVie2" w:date="2025-05-13T16:36:00Z"/>
                    <w:sz w:val="22"/>
                    <w:szCs w:val="22"/>
                    <w:lang w:val="en-US"/>
                  </w:rPr>
                </w:rPrChange>
              </w:rPr>
            </w:pPr>
          </w:p>
        </w:tc>
        <w:tc>
          <w:tcPr>
            <w:tcW w:w="3496" w:type="dxa"/>
          </w:tcPr>
          <w:p w14:paraId="3FAE2209" w14:textId="4EE1A1EE" w:rsidR="007B1EB2" w:rsidRPr="00AD4F25" w:rsidRDefault="00615769" w:rsidP="007B1EB2">
            <w:pPr>
              <w:rPr>
                <w:del w:id="3186" w:author="AbbVie2" w:date="2025-05-13T16:36:00Z"/>
                <w:sz w:val="22"/>
                <w:szCs w:val="22"/>
                <w:rPrChange w:id="3187" w:author="AbbVie2" w:date="2025-05-14T10:17:00Z">
                  <w:rPr>
                    <w:del w:id="3188" w:author="AbbVie2" w:date="2025-05-13T16:36:00Z"/>
                    <w:sz w:val="22"/>
                    <w:szCs w:val="22"/>
                    <w:lang w:val="en-US"/>
                  </w:rPr>
                </w:rPrChange>
              </w:rPr>
            </w:pPr>
            <w:del w:id="3189" w:author="AbbVie2" w:date="2025-05-13T16:36:00Z">
              <w:r w:rsidRPr="00AD4F25">
                <w:rPr>
                  <w:sz w:val="22"/>
                  <w:szCs w:val="22"/>
                  <w:rPrChange w:id="3190" w:author="AbbVie2" w:date="2025-05-14T10:17:00Z">
                    <w:rPr>
                      <w:sz w:val="22"/>
                      <w:szCs w:val="22"/>
                      <w:lang w:val="en-US"/>
                    </w:rPr>
                  </w:rPrChange>
                </w:rPr>
                <w:delText>Estudo UV II                Tratamento</w:delText>
              </w:r>
            </w:del>
          </w:p>
        </w:tc>
        <w:tc>
          <w:tcPr>
            <w:tcW w:w="1170" w:type="dxa"/>
          </w:tcPr>
          <w:p w14:paraId="165C8F5C" w14:textId="13C29FEC" w:rsidR="007B1EB2" w:rsidRPr="00AD4F25" w:rsidRDefault="00615769" w:rsidP="007B1EB2">
            <w:pPr>
              <w:rPr>
                <w:del w:id="3191" w:author="AbbVie2" w:date="2025-05-13T16:36:00Z"/>
                <w:sz w:val="22"/>
                <w:szCs w:val="22"/>
                <w:rPrChange w:id="3192" w:author="AbbVie2" w:date="2025-05-14T10:17:00Z">
                  <w:rPr>
                    <w:del w:id="3193" w:author="AbbVie2" w:date="2025-05-13T16:36:00Z"/>
                    <w:sz w:val="22"/>
                    <w:szCs w:val="22"/>
                    <w:lang w:val="en-US"/>
                  </w:rPr>
                </w:rPrChange>
              </w:rPr>
            </w:pPr>
            <w:del w:id="3194" w:author="AbbVie2" w:date="2025-05-13T16:36:00Z">
              <w:r>
                <w:rPr>
                  <w:noProof/>
                  <w:sz w:val="22"/>
                  <w:szCs w:val="22"/>
                  <w:lang w:val="en-GB" w:eastAsia="en-GB"/>
                </w:rPr>
                <w:drawing>
                  <wp:inline distT="0" distB="0" distL="0" distR="0" wp14:anchorId="5713922E" wp14:editId="24DBC8ED">
                    <wp:extent cx="397510" cy="179070"/>
                    <wp:effectExtent l="0" t="0" r="2540" b="0"/>
                    <wp:docPr id="78" name="Picture 78"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5"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97510" cy="179070"/>
                            </a:xfrm>
                            <a:prstGeom prst="rect">
                              <a:avLst/>
                            </a:prstGeom>
                            <a:noFill/>
                            <a:ln>
                              <a:noFill/>
                            </a:ln>
                          </pic:spPr>
                        </pic:pic>
                      </a:graphicData>
                    </a:graphic>
                  </wp:inline>
                </w:drawing>
              </w:r>
            </w:del>
          </w:p>
        </w:tc>
        <w:tc>
          <w:tcPr>
            <w:tcW w:w="1350" w:type="dxa"/>
          </w:tcPr>
          <w:p w14:paraId="77F478F6" w14:textId="71CD1297" w:rsidR="007B1EB2" w:rsidRPr="00AD4F25" w:rsidRDefault="00615769" w:rsidP="007B1EB2">
            <w:pPr>
              <w:rPr>
                <w:del w:id="3195" w:author="AbbVie2" w:date="2025-05-13T16:36:00Z"/>
                <w:sz w:val="22"/>
                <w:szCs w:val="22"/>
                <w:rPrChange w:id="3196" w:author="AbbVie2" w:date="2025-05-14T10:17:00Z">
                  <w:rPr>
                    <w:del w:id="3197" w:author="AbbVie2" w:date="2025-05-13T16:36:00Z"/>
                    <w:sz w:val="22"/>
                    <w:szCs w:val="22"/>
                    <w:lang w:val="en-US"/>
                  </w:rPr>
                </w:rPrChange>
              </w:rPr>
            </w:pPr>
            <w:del w:id="3198" w:author="AbbVie2" w:date="2025-05-13T16:36:00Z">
              <w:r w:rsidRPr="00AD4F25">
                <w:rPr>
                  <w:sz w:val="22"/>
                  <w:szCs w:val="22"/>
                  <w:rPrChange w:id="3199" w:author="AbbVie2" w:date="2025-05-14T10:17:00Z">
                    <w:rPr>
                      <w:sz w:val="22"/>
                      <w:szCs w:val="22"/>
                      <w:lang w:val="en-US"/>
                    </w:rPr>
                  </w:rPrChange>
                </w:rPr>
                <w:delText>Placebo</w:delText>
              </w:r>
            </w:del>
          </w:p>
        </w:tc>
        <w:tc>
          <w:tcPr>
            <w:tcW w:w="900" w:type="dxa"/>
          </w:tcPr>
          <w:p w14:paraId="78D16C93" w14:textId="04B89D15" w:rsidR="007B1EB2" w:rsidRPr="00AD4F25" w:rsidRDefault="00615769" w:rsidP="007B1EB2">
            <w:pPr>
              <w:rPr>
                <w:del w:id="3200" w:author="AbbVie2" w:date="2025-05-13T16:36:00Z"/>
                <w:sz w:val="22"/>
                <w:szCs w:val="22"/>
                <w:rPrChange w:id="3201" w:author="AbbVie2" w:date="2025-05-14T10:17:00Z">
                  <w:rPr>
                    <w:del w:id="3202" w:author="AbbVie2" w:date="2025-05-13T16:36:00Z"/>
                    <w:sz w:val="22"/>
                    <w:szCs w:val="22"/>
                    <w:lang w:val="en-US"/>
                  </w:rPr>
                </w:rPrChange>
              </w:rPr>
            </w:pPr>
            <w:del w:id="3203" w:author="AbbVie2" w:date="2025-05-13T16:36:00Z">
              <w:r>
                <w:rPr>
                  <w:noProof/>
                  <w:sz w:val="22"/>
                  <w:szCs w:val="22"/>
                  <w:lang w:val="en-GB" w:eastAsia="en-GB"/>
                </w:rPr>
                <w:drawing>
                  <wp:inline distT="0" distB="0" distL="0" distR="0" wp14:anchorId="1EB7FA40" wp14:editId="13082E0A">
                    <wp:extent cx="556895" cy="179070"/>
                    <wp:effectExtent l="0" t="0" r="0" b="0"/>
                    <wp:docPr id="79" name="Picture 79"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6" descr="Humira Uveitis Figure 5_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56895" cy="179070"/>
                            </a:xfrm>
                            <a:prstGeom prst="rect">
                              <a:avLst/>
                            </a:prstGeom>
                            <a:noFill/>
                            <a:ln>
                              <a:noFill/>
                            </a:ln>
                          </pic:spPr>
                        </pic:pic>
                      </a:graphicData>
                    </a:graphic>
                  </wp:inline>
                </w:drawing>
              </w:r>
            </w:del>
          </w:p>
        </w:tc>
        <w:tc>
          <w:tcPr>
            <w:tcW w:w="1890" w:type="dxa"/>
          </w:tcPr>
          <w:p w14:paraId="153F434F" w14:textId="7051DB8B" w:rsidR="007B1EB2" w:rsidRPr="00AD4F25" w:rsidRDefault="00615769" w:rsidP="007B1EB2">
            <w:pPr>
              <w:rPr>
                <w:del w:id="3204" w:author="AbbVie2" w:date="2025-05-13T16:36:00Z"/>
                <w:sz w:val="22"/>
                <w:szCs w:val="22"/>
                <w:rPrChange w:id="3205" w:author="AbbVie2" w:date="2025-05-14T10:17:00Z">
                  <w:rPr>
                    <w:del w:id="3206" w:author="AbbVie2" w:date="2025-05-13T16:36:00Z"/>
                    <w:sz w:val="22"/>
                    <w:szCs w:val="22"/>
                    <w:lang w:val="en-US"/>
                  </w:rPr>
                </w:rPrChange>
              </w:rPr>
            </w:pPr>
            <w:del w:id="3207" w:author="AbbVie2" w:date="2025-05-13T16:36:00Z">
              <w:r w:rsidRPr="00AD4F25">
                <w:rPr>
                  <w:sz w:val="22"/>
                  <w:szCs w:val="22"/>
                  <w:rPrChange w:id="3208" w:author="AbbVie2" w:date="2025-05-14T10:17:00Z">
                    <w:rPr>
                      <w:sz w:val="22"/>
                      <w:szCs w:val="22"/>
                      <w:lang w:val="en-US"/>
                    </w:rPr>
                  </w:rPrChange>
                </w:rPr>
                <w:delText>Adalimumab</w:delText>
              </w:r>
            </w:del>
          </w:p>
        </w:tc>
      </w:tr>
      <w:tr w:rsidR="00A7162A" w14:paraId="0B10CEB6" w14:textId="0429CD62" w:rsidTr="007B1EB2">
        <w:trPr>
          <w:trHeight w:val="629"/>
          <w:del w:id="3209" w:author="AbbVie2" w:date="2025-05-13T16:36:00Z"/>
        </w:trPr>
        <w:tc>
          <w:tcPr>
            <w:tcW w:w="9288" w:type="dxa"/>
            <w:gridSpan w:val="6"/>
            <w:vAlign w:val="center"/>
          </w:tcPr>
          <w:p w14:paraId="77F848E1" w14:textId="38327E73" w:rsidR="007B1EB2" w:rsidRPr="00E91933" w:rsidRDefault="00615769" w:rsidP="007B1EB2">
            <w:pPr>
              <w:rPr>
                <w:del w:id="3210" w:author="AbbVie2" w:date="2025-05-13T16:36:00Z"/>
                <w:sz w:val="22"/>
                <w:szCs w:val="22"/>
              </w:rPr>
            </w:pPr>
            <w:del w:id="3211" w:author="AbbVie2" w:date="2025-05-13T16:36:00Z">
              <w:r w:rsidRPr="00E91933">
                <w:rPr>
                  <w:sz w:val="22"/>
                  <w:szCs w:val="22"/>
                </w:rPr>
                <w:delText xml:space="preserve">Nota: P# = Placebo (Número de Eventos/Número em Risco); A# </w:delText>
              </w:r>
              <w:r>
                <w:rPr>
                  <w:sz w:val="22"/>
                  <w:szCs w:val="22"/>
                </w:rPr>
                <w:delText>=</w:delText>
              </w:r>
              <w:r w:rsidRPr="00E91933">
                <w:rPr>
                  <w:sz w:val="22"/>
                  <w:szCs w:val="22"/>
                </w:rPr>
                <w:delText xml:space="preserve"> HUMIRA (Número de Eventos/Número em Risco).</w:delText>
              </w:r>
            </w:del>
          </w:p>
        </w:tc>
      </w:tr>
    </w:tbl>
    <w:p w14:paraId="1ED6D00B" w14:textId="52B8E6A4" w:rsidR="007B1EB2" w:rsidRPr="00E91933" w:rsidRDefault="007B1EB2" w:rsidP="007B1EB2">
      <w:pPr>
        <w:rPr>
          <w:del w:id="3212" w:author="AbbVie2" w:date="2025-05-13T16:36:00Z"/>
          <w:sz w:val="22"/>
          <w:szCs w:val="22"/>
        </w:rPr>
      </w:pPr>
    </w:p>
    <w:p w14:paraId="31F80B1E" w14:textId="05DBED8E" w:rsidR="007B1EB2" w:rsidRPr="003A1E9A" w:rsidRDefault="00615769" w:rsidP="007B1EB2">
      <w:pPr>
        <w:rPr>
          <w:del w:id="3213" w:author="AbbVie2" w:date="2025-05-13T16:36:00Z"/>
          <w:sz w:val="22"/>
          <w:szCs w:val="22"/>
        </w:rPr>
      </w:pPr>
      <w:del w:id="3214" w:author="AbbVie2" w:date="2025-05-13T16:36:00Z">
        <w:r w:rsidRPr="00256262">
          <w:rPr>
            <w:sz w:val="22"/>
            <w:szCs w:val="22"/>
          </w:rPr>
          <w:delText xml:space="preserve">No Estudo UV I foram observadas diferenças estatisticamente significativas </w:delText>
        </w:r>
        <w:r>
          <w:rPr>
            <w:sz w:val="22"/>
            <w:szCs w:val="22"/>
          </w:rPr>
          <w:delText xml:space="preserve">favoráveis </w:delText>
        </w:r>
        <w:r w:rsidRPr="00256262">
          <w:rPr>
            <w:sz w:val="22"/>
            <w:szCs w:val="22"/>
          </w:rPr>
          <w:delText>a</w:delText>
        </w:r>
        <w:r>
          <w:rPr>
            <w:sz w:val="22"/>
            <w:szCs w:val="22"/>
          </w:rPr>
          <w:delText xml:space="preserve"> </w:delText>
        </w:r>
        <w:r w:rsidRPr="00256262">
          <w:rPr>
            <w:sz w:val="22"/>
            <w:szCs w:val="22"/>
          </w:rPr>
          <w:delText xml:space="preserve">adalimumab </w:delText>
        </w:r>
        <w:r w:rsidRPr="006576D5">
          <w:rPr>
            <w:i/>
            <w:sz w:val="22"/>
            <w:szCs w:val="22"/>
          </w:rPr>
          <w:delText>versus</w:delText>
        </w:r>
        <w:r w:rsidRPr="00256262">
          <w:rPr>
            <w:sz w:val="22"/>
            <w:szCs w:val="22"/>
          </w:rPr>
          <w:delText xml:space="preserve"> placebo para cada component</w:delText>
        </w:r>
        <w:r>
          <w:rPr>
            <w:sz w:val="22"/>
            <w:szCs w:val="22"/>
          </w:rPr>
          <w:delText>e</w:delText>
        </w:r>
        <w:r w:rsidRPr="00256262">
          <w:rPr>
            <w:sz w:val="22"/>
            <w:szCs w:val="22"/>
          </w:rPr>
          <w:delText xml:space="preserve"> da falha de tratamento.</w:delText>
        </w:r>
        <w:r>
          <w:rPr>
            <w:sz w:val="22"/>
            <w:szCs w:val="22"/>
          </w:rPr>
          <w:delText xml:space="preserve"> </w:delText>
        </w:r>
        <w:r w:rsidRPr="003A1E9A">
          <w:rPr>
            <w:sz w:val="22"/>
            <w:szCs w:val="22"/>
          </w:rPr>
          <w:delText xml:space="preserve">No Estudo UV II, foram observadas diferenças </w:delText>
        </w:r>
        <w:r w:rsidRPr="00F05224">
          <w:rPr>
            <w:sz w:val="22"/>
            <w:szCs w:val="22"/>
          </w:rPr>
          <w:delText>estatisticamente</w:delText>
        </w:r>
        <w:r w:rsidRPr="003A1E9A">
          <w:rPr>
            <w:sz w:val="22"/>
            <w:szCs w:val="22"/>
          </w:rPr>
          <w:delText xml:space="preserve"> significativas apenas para a acuidade visual, mas os outros component</w:delText>
        </w:r>
        <w:r>
          <w:rPr>
            <w:sz w:val="22"/>
            <w:szCs w:val="22"/>
          </w:rPr>
          <w:delText>e</w:delText>
        </w:r>
        <w:r w:rsidRPr="003A1E9A">
          <w:rPr>
            <w:sz w:val="22"/>
            <w:szCs w:val="22"/>
          </w:rPr>
          <w:delText xml:space="preserve">s foram numericamente </w:delText>
        </w:r>
        <w:r>
          <w:rPr>
            <w:sz w:val="22"/>
            <w:szCs w:val="22"/>
          </w:rPr>
          <w:delText xml:space="preserve">favoráveis a </w:delText>
        </w:r>
        <w:r w:rsidRPr="003A1E9A">
          <w:rPr>
            <w:sz w:val="22"/>
            <w:szCs w:val="22"/>
          </w:rPr>
          <w:delText>adalimumab.</w:delText>
        </w:r>
      </w:del>
    </w:p>
    <w:p w14:paraId="13CF3E91" w14:textId="61351183" w:rsidR="007B1EB2" w:rsidRPr="00F03C54" w:rsidRDefault="007B1EB2" w:rsidP="007B1EB2">
      <w:pPr>
        <w:rPr>
          <w:del w:id="3215" w:author="AbbVie2" w:date="2025-05-13T16:36:00Z"/>
          <w:sz w:val="22"/>
          <w:szCs w:val="22"/>
        </w:rPr>
      </w:pPr>
    </w:p>
    <w:p w14:paraId="109FEACA" w14:textId="0A8E12C2" w:rsidR="00214D34" w:rsidRDefault="00615769" w:rsidP="007B1EB2">
      <w:pPr>
        <w:rPr>
          <w:del w:id="3216" w:author="AbbVie2" w:date="2025-05-13T16:36:00Z"/>
        </w:rPr>
      </w:pPr>
      <w:del w:id="3217" w:author="AbbVie2" w:date="2025-05-13T16:36:00Z">
        <w:r w:rsidRPr="00F03C54">
          <w:rPr>
            <w:sz w:val="22"/>
            <w:szCs w:val="22"/>
          </w:rPr>
          <w:delText xml:space="preserve">Dos </w:delText>
        </w:r>
        <w:r w:rsidR="009C37D7">
          <w:rPr>
            <w:sz w:val="22"/>
            <w:szCs w:val="22"/>
          </w:rPr>
          <w:delText>424</w:delText>
        </w:r>
        <w:r w:rsidRPr="00F03C54">
          <w:rPr>
            <w:sz w:val="22"/>
            <w:szCs w:val="22"/>
          </w:rPr>
          <w:delText xml:space="preserve"> indivíduos incluídos na extensão a longo prazo</w:delText>
        </w:r>
        <w:r w:rsidR="00182D4E">
          <w:rPr>
            <w:sz w:val="22"/>
            <w:szCs w:val="22"/>
          </w:rPr>
          <w:delText>, não</w:delText>
        </w:r>
        <w:r w:rsidR="002F3216">
          <w:rPr>
            <w:sz w:val="22"/>
            <w:szCs w:val="22"/>
          </w:rPr>
          <w:delText>-</w:delText>
        </w:r>
        <w:r w:rsidR="00182D4E">
          <w:rPr>
            <w:sz w:val="22"/>
            <w:szCs w:val="22"/>
          </w:rPr>
          <w:delText>controlada,</w:delText>
        </w:r>
        <w:r w:rsidRPr="00F03C54">
          <w:rPr>
            <w:sz w:val="22"/>
            <w:szCs w:val="22"/>
          </w:rPr>
          <w:delText xml:space="preserve"> dos Estudos UV I e UV II, </w:delText>
        </w:r>
        <w:r w:rsidR="009C37D7">
          <w:rPr>
            <w:sz w:val="22"/>
            <w:szCs w:val="22"/>
          </w:rPr>
          <w:delText>60</w:delText>
        </w:r>
        <w:r w:rsidRPr="00F03C54">
          <w:rPr>
            <w:sz w:val="22"/>
            <w:szCs w:val="22"/>
          </w:rPr>
          <w:delText xml:space="preserve"> indivíduos foram considerados inelegíveis (p.ex. </w:delText>
        </w:r>
        <w:r w:rsidR="009C37D7">
          <w:rPr>
            <w:sz w:val="22"/>
            <w:szCs w:val="22"/>
          </w:rPr>
          <w:delText xml:space="preserve">devido a desvios ou devido a </w:delText>
        </w:r>
        <w:r w:rsidRPr="00F03C54">
          <w:rPr>
            <w:sz w:val="22"/>
            <w:szCs w:val="22"/>
          </w:rPr>
          <w:delText xml:space="preserve">complicações secundárias à retinopatia diabética, devido a cirurgia de catarata ou vitrectomia) e foram excluídos da análise de eficácia primária. Dos </w:delText>
        </w:r>
        <w:r w:rsidR="009C37D7">
          <w:rPr>
            <w:sz w:val="22"/>
            <w:szCs w:val="22"/>
          </w:rPr>
          <w:delText>364</w:delText>
        </w:r>
        <w:r w:rsidRPr="00F03C54">
          <w:rPr>
            <w:sz w:val="22"/>
            <w:szCs w:val="22"/>
          </w:rPr>
          <w:delText xml:space="preserve"> doentes restantes, </w:delText>
        </w:r>
        <w:r w:rsidR="009C37D7">
          <w:rPr>
            <w:sz w:val="22"/>
            <w:szCs w:val="22"/>
          </w:rPr>
          <w:delText>269</w:delText>
        </w:r>
        <w:r w:rsidRPr="00F03C54">
          <w:rPr>
            <w:sz w:val="22"/>
            <w:szCs w:val="22"/>
          </w:rPr>
          <w:delText xml:space="preserve"> doentes avaliáveis </w:delText>
        </w:r>
        <w:r w:rsidR="009C37D7">
          <w:rPr>
            <w:sz w:val="22"/>
            <w:szCs w:val="22"/>
          </w:rPr>
          <w:delText xml:space="preserve">(74%) </w:delText>
        </w:r>
        <w:r w:rsidRPr="00F03C54">
          <w:rPr>
            <w:sz w:val="22"/>
            <w:szCs w:val="22"/>
          </w:rPr>
          <w:delText xml:space="preserve">atingiram as 78 semanas de tratamento com adalimumab </w:delText>
        </w:r>
        <w:r w:rsidR="00182D4E">
          <w:rPr>
            <w:sz w:val="22"/>
            <w:szCs w:val="22"/>
          </w:rPr>
          <w:delText>em</w:delText>
        </w:r>
        <w:r w:rsidRPr="00F03C54">
          <w:rPr>
            <w:sz w:val="22"/>
            <w:szCs w:val="22"/>
          </w:rPr>
          <w:delText xml:space="preserve"> fase aberta. Com base na abordagem d</w:delText>
        </w:r>
        <w:r w:rsidR="00FC7E81">
          <w:rPr>
            <w:sz w:val="22"/>
            <w:szCs w:val="22"/>
          </w:rPr>
          <w:delText>os</w:delText>
        </w:r>
        <w:r w:rsidRPr="00F03C54">
          <w:rPr>
            <w:sz w:val="22"/>
            <w:szCs w:val="22"/>
          </w:rPr>
          <w:delText xml:space="preserve"> dados observad</w:delText>
        </w:r>
        <w:r w:rsidR="00FC7E81">
          <w:rPr>
            <w:sz w:val="22"/>
            <w:szCs w:val="22"/>
          </w:rPr>
          <w:delText>os</w:delText>
        </w:r>
        <w:r w:rsidRPr="00F03C54">
          <w:rPr>
            <w:sz w:val="22"/>
            <w:szCs w:val="22"/>
          </w:rPr>
          <w:delText xml:space="preserve">, </w:delText>
        </w:r>
        <w:r w:rsidR="009C37D7">
          <w:rPr>
            <w:sz w:val="22"/>
            <w:szCs w:val="22"/>
          </w:rPr>
          <w:delText>216</w:delText>
        </w:r>
        <w:r w:rsidRPr="00F03C54">
          <w:rPr>
            <w:sz w:val="22"/>
            <w:szCs w:val="22"/>
          </w:rPr>
          <w:delText xml:space="preserve"> (</w:delText>
        </w:r>
        <w:r w:rsidR="009C37D7">
          <w:rPr>
            <w:sz w:val="22"/>
            <w:szCs w:val="22"/>
          </w:rPr>
          <w:delText>80,3</w:delText>
        </w:r>
        <w:r w:rsidRPr="00F03C54">
          <w:rPr>
            <w:sz w:val="22"/>
            <w:szCs w:val="22"/>
          </w:rPr>
          <w:delText>%) estavam em fase de repouso (sem lesões inflamatórias ativas, grau de células AC ≤ 0,5+, grau VH ≤ 0,5+) com uma dose concomitante de ester</w:delText>
        </w:r>
        <w:r w:rsidR="002B3706">
          <w:rPr>
            <w:sz w:val="22"/>
            <w:szCs w:val="22"/>
          </w:rPr>
          <w:delText>o</w:delText>
        </w:r>
        <w:r w:rsidRPr="00F03C54">
          <w:rPr>
            <w:sz w:val="22"/>
            <w:szCs w:val="22"/>
          </w:rPr>
          <w:delText xml:space="preserve">ides ≤ 7,5 mg por dia, e </w:delText>
        </w:r>
        <w:r w:rsidR="009C37D7">
          <w:rPr>
            <w:sz w:val="22"/>
            <w:szCs w:val="22"/>
          </w:rPr>
          <w:delText>178</w:delText>
        </w:r>
        <w:r w:rsidRPr="00F03C54">
          <w:rPr>
            <w:sz w:val="22"/>
            <w:szCs w:val="22"/>
          </w:rPr>
          <w:delText xml:space="preserve"> (</w:delText>
        </w:r>
        <w:r w:rsidR="009C37D7">
          <w:rPr>
            <w:sz w:val="22"/>
            <w:szCs w:val="22"/>
          </w:rPr>
          <w:delText>66,2</w:delText>
        </w:r>
        <w:r w:rsidRPr="00F03C54">
          <w:rPr>
            <w:sz w:val="22"/>
            <w:szCs w:val="22"/>
          </w:rPr>
          <w:delText xml:space="preserve">%) estavam </w:delText>
        </w:r>
        <w:r w:rsidRPr="00F03C54">
          <w:rPr>
            <w:sz w:val="22"/>
            <w:szCs w:val="22"/>
          </w:rPr>
          <w:delText xml:space="preserve">em repouso isentos de esteroides. Na semana 78, </w:delText>
        </w:r>
        <w:r w:rsidR="002B3706">
          <w:rPr>
            <w:sz w:val="22"/>
            <w:szCs w:val="22"/>
          </w:rPr>
          <w:delText>a MAVC</w:delText>
        </w:r>
        <w:r w:rsidRPr="00F03C54">
          <w:rPr>
            <w:sz w:val="22"/>
            <w:szCs w:val="22"/>
          </w:rPr>
          <w:delText xml:space="preserve"> foi melhorad</w:delText>
        </w:r>
        <w:r w:rsidR="002B3706">
          <w:rPr>
            <w:sz w:val="22"/>
            <w:szCs w:val="22"/>
          </w:rPr>
          <w:delText>a</w:delText>
        </w:r>
        <w:r w:rsidRPr="00F03C54">
          <w:rPr>
            <w:sz w:val="22"/>
            <w:szCs w:val="22"/>
          </w:rPr>
          <w:delText xml:space="preserve"> ou mantid</w:delText>
        </w:r>
        <w:r w:rsidR="002B3706">
          <w:rPr>
            <w:sz w:val="22"/>
            <w:szCs w:val="22"/>
          </w:rPr>
          <w:delText>a</w:delText>
        </w:r>
        <w:r w:rsidRPr="00F03C54">
          <w:rPr>
            <w:sz w:val="22"/>
            <w:szCs w:val="22"/>
          </w:rPr>
          <w:delText xml:space="preserve"> (</w:delText>
        </w:r>
        <w:r w:rsidR="002B3706">
          <w:rPr>
            <w:sz w:val="22"/>
            <w:szCs w:val="22"/>
          </w:rPr>
          <w:delText xml:space="preserve">deterioração de </w:delText>
        </w:r>
        <w:r w:rsidRPr="00F03C54">
          <w:rPr>
            <w:sz w:val="22"/>
            <w:szCs w:val="22"/>
          </w:rPr>
          <w:delText>&lt; 5 letras) em 88,</w:delText>
        </w:r>
        <w:r w:rsidR="009C37D7">
          <w:rPr>
            <w:sz w:val="22"/>
            <w:szCs w:val="22"/>
          </w:rPr>
          <w:delText>6</w:delText>
        </w:r>
        <w:r w:rsidRPr="00F03C54">
          <w:rPr>
            <w:sz w:val="22"/>
            <w:szCs w:val="22"/>
          </w:rPr>
          <w:delText>%</w:delText>
        </w:r>
        <w:r w:rsidR="002B3706">
          <w:rPr>
            <w:sz w:val="22"/>
            <w:szCs w:val="22"/>
          </w:rPr>
          <w:delText xml:space="preserve"> dos olhos</w:delText>
        </w:r>
        <w:r w:rsidRPr="00F03C54">
          <w:rPr>
            <w:sz w:val="22"/>
            <w:szCs w:val="22"/>
          </w:rPr>
          <w:delText xml:space="preserve">. </w:delText>
        </w:r>
        <w:r w:rsidR="009C37D7" w:rsidRPr="009C37D7">
          <w:rPr>
            <w:sz w:val="22"/>
            <w:szCs w:val="22"/>
          </w:rPr>
          <w:delText xml:space="preserve">Os dados para além da semana 78 foram </w:delText>
        </w:r>
        <w:r w:rsidR="002B3706">
          <w:rPr>
            <w:sz w:val="22"/>
            <w:szCs w:val="22"/>
          </w:rPr>
          <w:delText>na generalidade</w:delText>
        </w:r>
        <w:r w:rsidR="009C37D7" w:rsidRPr="009C37D7">
          <w:rPr>
            <w:sz w:val="22"/>
            <w:szCs w:val="22"/>
          </w:rPr>
          <w:delText xml:space="preserve"> consistentes com estes resultados, mas o número de indivíduos inscritos diminuiu após esse tempo. Globalmente,</w:delText>
        </w:r>
        <w:r w:rsidR="009C37D7">
          <w:rPr>
            <w:sz w:val="22"/>
            <w:szCs w:val="22"/>
          </w:rPr>
          <w:delText xml:space="preserve"> e</w:delText>
        </w:r>
        <w:r w:rsidRPr="00F03C54">
          <w:rPr>
            <w:sz w:val="22"/>
            <w:szCs w:val="22"/>
          </w:rPr>
          <w:delText xml:space="preserve">ntre os doentes que descontinuaram o estudo , </w:delText>
        </w:r>
        <w:r w:rsidR="009C37D7">
          <w:rPr>
            <w:sz w:val="22"/>
            <w:szCs w:val="22"/>
          </w:rPr>
          <w:delText>18</w:delText>
        </w:r>
        <w:r w:rsidRPr="00F03C54">
          <w:rPr>
            <w:sz w:val="22"/>
            <w:szCs w:val="22"/>
          </w:rPr>
          <w:delText xml:space="preserve">% descontinuaram devido a acontecimentos adversos, e </w:delText>
        </w:r>
        <w:r w:rsidR="009C37D7">
          <w:rPr>
            <w:sz w:val="22"/>
            <w:szCs w:val="22"/>
          </w:rPr>
          <w:delText>8</w:delText>
        </w:r>
        <w:r w:rsidRPr="00F03C54">
          <w:rPr>
            <w:sz w:val="22"/>
            <w:szCs w:val="22"/>
          </w:rPr>
          <w:delText>% devido a uma resposta terapêutica insuficiente com adalimumab</w:delText>
        </w:r>
        <w:r>
          <w:delText xml:space="preserve">.    </w:delText>
        </w:r>
      </w:del>
    </w:p>
    <w:p w14:paraId="61FEFE01" w14:textId="07724205" w:rsidR="00214D34" w:rsidRDefault="00214D34" w:rsidP="007B1EB2">
      <w:pPr>
        <w:rPr>
          <w:del w:id="3218" w:author="AbbVie2" w:date="2025-05-13T16:36:00Z"/>
        </w:rPr>
      </w:pPr>
    </w:p>
    <w:p w14:paraId="0E63562A" w14:textId="5F7F87C9" w:rsidR="007B1EB2" w:rsidRPr="008912CF" w:rsidRDefault="00615769" w:rsidP="007B1EB2">
      <w:pPr>
        <w:jc w:val="both"/>
        <w:rPr>
          <w:del w:id="3219" w:author="AbbVie2" w:date="2025-05-13T16:36:00Z"/>
          <w:sz w:val="22"/>
          <w:szCs w:val="22"/>
          <w:u w:val="single"/>
        </w:rPr>
      </w:pPr>
      <w:del w:id="3220" w:author="AbbVie2" w:date="2025-05-13T16:36:00Z">
        <w:r w:rsidRPr="008912CF">
          <w:rPr>
            <w:i/>
            <w:sz w:val="22"/>
            <w:szCs w:val="22"/>
            <w:u w:val="single"/>
          </w:rPr>
          <w:delText>Qualidade de vida</w:delText>
        </w:r>
      </w:del>
    </w:p>
    <w:p w14:paraId="13ED4F05" w14:textId="3A8925A7" w:rsidR="007B1EB2" w:rsidRDefault="007B1EB2" w:rsidP="007B1EB2">
      <w:pPr>
        <w:rPr>
          <w:del w:id="3221" w:author="AbbVie2" w:date="2025-05-13T16:36:00Z"/>
        </w:rPr>
      </w:pPr>
    </w:p>
    <w:p w14:paraId="11FD2A6B" w14:textId="7EC341F6" w:rsidR="007B1EB2" w:rsidRDefault="00615769" w:rsidP="007B1EB2">
      <w:pPr>
        <w:rPr>
          <w:del w:id="3222" w:author="AbbVie2" w:date="2025-05-13T16:36:00Z"/>
          <w:sz w:val="22"/>
          <w:szCs w:val="22"/>
        </w:rPr>
      </w:pPr>
      <w:del w:id="3223" w:author="AbbVie2" w:date="2025-05-13T16:36:00Z">
        <w:r w:rsidRPr="003A1E9A">
          <w:rPr>
            <w:sz w:val="22"/>
            <w:szCs w:val="22"/>
          </w:rPr>
          <w:delText xml:space="preserve">Os resultados reportados pelos doentes relativamente aos aspetos relacionados com o funcionamento da visão foram </w:delText>
        </w:r>
        <w:r>
          <w:rPr>
            <w:sz w:val="22"/>
            <w:szCs w:val="22"/>
          </w:rPr>
          <w:delText>avaliados em ambos os estudos clínicos</w:delText>
        </w:r>
        <w:r w:rsidRPr="003A1E9A">
          <w:rPr>
            <w:sz w:val="22"/>
            <w:szCs w:val="22"/>
          </w:rPr>
          <w:delText xml:space="preserve">, </w:delText>
        </w:r>
        <w:r>
          <w:rPr>
            <w:sz w:val="22"/>
            <w:szCs w:val="22"/>
          </w:rPr>
          <w:delText xml:space="preserve">usando a </w:delText>
        </w:r>
        <w:r w:rsidRPr="003A1E9A">
          <w:rPr>
            <w:sz w:val="22"/>
            <w:szCs w:val="22"/>
          </w:rPr>
          <w:delText xml:space="preserve">NEI VFQ-25. </w:delText>
        </w:r>
        <w:r w:rsidRPr="00366F92">
          <w:rPr>
            <w:sz w:val="22"/>
            <w:szCs w:val="22"/>
          </w:rPr>
          <w:delText>Humira foi numericamente favorável para a maioria das subpontuações com uma m</w:delText>
        </w:r>
        <w:r>
          <w:rPr>
            <w:sz w:val="22"/>
            <w:szCs w:val="22"/>
          </w:rPr>
          <w:delText xml:space="preserve">édia </w:delText>
        </w:r>
        <w:r w:rsidRPr="00366F92">
          <w:rPr>
            <w:sz w:val="22"/>
            <w:szCs w:val="22"/>
          </w:rPr>
          <w:delText>de diferenças estatisticamente significativas para a vis</w:delText>
        </w:r>
        <w:r>
          <w:rPr>
            <w:sz w:val="22"/>
            <w:szCs w:val="22"/>
          </w:rPr>
          <w:delText>ão em geral, dor ocular</w:delText>
        </w:r>
        <w:r w:rsidRPr="00366F92">
          <w:rPr>
            <w:sz w:val="22"/>
            <w:szCs w:val="22"/>
          </w:rPr>
          <w:delText>,</w:delText>
        </w:r>
        <w:r>
          <w:rPr>
            <w:sz w:val="22"/>
            <w:szCs w:val="22"/>
          </w:rPr>
          <w:delText xml:space="preserve"> visão de perto, saúde mental, e pontuação total no Estudo</w:delText>
        </w:r>
        <w:r w:rsidRPr="00366F92">
          <w:rPr>
            <w:sz w:val="22"/>
            <w:szCs w:val="22"/>
          </w:rPr>
          <w:delText xml:space="preserve"> UV I, </w:delText>
        </w:r>
        <w:r>
          <w:rPr>
            <w:sz w:val="22"/>
            <w:szCs w:val="22"/>
          </w:rPr>
          <w:delText>e para a visão geral e saúde mental no Estudo</w:delText>
        </w:r>
        <w:r w:rsidRPr="00366F92">
          <w:rPr>
            <w:sz w:val="22"/>
            <w:szCs w:val="22"/>
          </w:rPr>
          <w:delText xml:space="preserve"> UV II. </w:delText>
        </w:r>
        <w:r w:rsidRPr="00A66374">
          <w:rPr>
            <w:sz w:val="22"/>
            <w:szCs w:val="22"/>
          </w:rPr>
          <w:delText>Os efeitos relacionados com a visão não foram numericamente favoráveis a Humira na vis</w:delText>
        </w:r>
        <w:r>
          <w:rPr>
            <w:sz w:val="22"/>
            <w:szCs w:val="22"/>
          </w:rPr>
          <w:delText xml:space="preserve">ão colorida no Estudo </w:delText>
        </w:r>
        <w:r w:rsidRPr="00A66374">
          <w:rPr>
            <w:sz w:val="22"/>
            <w:szCs w:val="22"/>
          </w:rPr>
          <w:delText>UV</w:delText>
        </w:r>
        <w:r>
          <w:rPr>
            <w:sz w:val="22"/>
            <w:szCs w:val="22"/>
          </w:rPr>
          <w:delText xml:space="preserve"> </w:delText>
        </w:r>
        <w:r w:rsidRPr="00A66374">
          <w:rPr>
            <w:sz w:val="22"/>
            <w:szCs w:val="22"/>
          </w:rPr>
          <w:delText xml:space="preserve">I </w:delText>
        </w:r>
        <w:r>
          <w:rPr>
            <w:sz w:val="22"/>
            <w:szCs w:val="22"/>
          </w:rPr>
          <w:delText xml:space="preserve">e na visão colorida, visão periférica e visão de perto no Estudo </w:delText>
        </w:r>
        <w:r w:rsidRPr="00A66374">
          <w:rPr>
            <w:sz w:val="22"/>
            <w:szCs w:val="22"/>
          </w:rPr>
          <w:delText>UV II.</w:delText>
        </w:r>
      </w:del>
    </w:p>
    <w:p w14:paraId="3850F5CE" w14:textId="23C67447" w:rsidR="004462A0" w:rsidRPr="008912CF" w:rsidRDefault="004462A0" w:rsidP="004462A0">
      <w:pPr>
        <w:rPr>
          <w:del w:id="3224" w:author="AbbVie2" w:date="2025-05-13T16:36:00Z"/>
        </w:rPr>
      </w:pPr>
    </w:p>
    <w:p w14:paraId="14F2BCC0" w14:textId="12FEB491" w:rsidR="004462A0" w:rsidRPr="008912CF" w:rsidRDefault="00615769" w:rsidP="004462A0">
      <w:pPr>
        <w:pStyle w:val="Heading9"/>
        <w:keepNext w:val="0"/>
        <w:autoSpaceDE w:val="0"/>
        <w:autoSpaceDN w:val="0"/>
        <w:adjustRightInd w:val="0"/>
        <w:rPr>
          <w:del w:id="3225" w:author="AbbVie2" w:date="2025-05-13T16:36:00Z"/>
          <w:szCs w:val="22"/>
        </w:rPr>
      </w:pPr>
      <w:del w:id="3226" w:author="AbbVie2" w:date="2025-05-13T16:36:00Z">
        <w:r w:rsidRPr="008912CF">
          <w:rPr>
            <w:szCs w:val="22"/>
          </w:rPr>
          <w:delText>Imunogenicidade</w:delText>
        </w:r>
      </w:del>
    </w:p>
    <w:p w14:paraId="3F3FCE38" w14:textId="5061C94F" w:rsidR="004462A0" w:rsidRPr="008912CF" w:rsidRDefault="004462A0" w:rsidP="004462A0">
      <w:pPr>
        <w:autoSpaceDE w:val="0"/>
        <w:autoSpaceDN w:val="0"/>
        <w:adjustRightInd w:val="0"/>
        <w:rPr>
          <w:del w:id="3227" w:author="AbbVie2" w:date="2025-05-13T16:36:00Z"/>
          <w:sz w:val="22"/>
          <w:szCs w:val="22"/>
          <w:u w:val="single"/>
        </w:rPr>
      </w:pPr>
    </w:p>
    <w:p w14:paraId="0DD7043A" w14:textId="06D2ABD5" w:rsidR="004462A0" w:rsidRPr="008912CF" w:rsidRDefault="00615769" w:rsidP="004462A0">
      <w:pPr>
        <w:autoSpaceDE w:val="0"/>
        <w:autoSpaceDN w:val="0"/>
        <w:adjustRightInd w:val="0"/>
        <w:rPr>
          <w:del w:id="3228" w:author="AbbVie2" w:date="2025-05-13T16:36:00Z"/>
          <w:sz w:val="22"/>
          <w:szCs w:val="22"/>
        </w:rPr>
      </w:pPr>
      <w:del w:id="3229" w:author="AbbVie2" w:date="2025-05-13T16:36:00Z">
        <w:r w:rsidRPr="008912CF">
          <w:rPr>
            <w:sz w:val="22"/>
            <w:szCs w:val="22"/>
          </w:rPr>
          <w:delText>A formação de anticorpos anti</w:delText>
        </w:r>
        <w:r w:rsidR="00840424">
          <w:rPr>
            <w:sz w:val="22"/>
            <w:szCs w:val="22"/>
          </w:rPr>
          <w:delText>-</w:delText>
        </w:r>
        <w:r w:rsidRPr="008912CF">
          <w:rPr>
            <w:sz w:val="22"/>
            <w:szCs w:val="22"/>
          </w:rPr>
          <w:delText>adalimumab está associada a depuração aumentada e eficácia reduzida de adalimumab. Não há aparente correlação entre a presença de anticorpos anti</w:delText>
        </w:r>
        <w:r w:rsidR="00840424">
          <w:rPr>
            <w:sz w:val="22"/>
            <w:szCs w:val="22"/>
          </w:rPr>
          <w:delText>-</w:delText>
        </w:r>
        <w:r w:rsidRPr="008912CF">
          <w:rPr>
            <w:sz w:val="22"/>
            <w:szCs w:val="22"/>
          </w:rPr>
          <w:delText>adalimumab e a ocorrência de acontecimentos adversos.</w:delText>
        </w:r>
      </w:del>
    </w:p>
    <w:p w14:paraId="0CC9DC4C" w14:textId="5B16BEC1" w:rsidR="004462A0" w:rsidRPr="008912CF" w:rsidRDefault="004462A0" w:rsidP="004462A0">
      <w:pPr>
        <w:pStyle w:val="EndnoteText"/>
        <w:tabs>
          <w:tab w:val="clear" w:pos="567"/>
        </w:tabs>
        <w:autoSpaceDE w:val="0"/>
        <w:autoSpaceDN w:val="0"/>
        <w:adjustRightInd w:val="0"/>
        <w:rPr>
          <w:del w:id="3230" w:author="AbbVie2" w:date="2025-05-13T16:36:00Z"/>
          <w:szCs w:val="22"/>
        </w:rPr>
      </w:pPr>
    </w:p>
    <w:p w14:paraId="3714FE11" w14:textId="636DB8F1" w:rsidR="00A85772" w:rsidRDefault="00615769" w:rsidP="004462A0">
      <w:pPr>
        <w:rPr>
          <w:del w:id="3231" w:author="AbbVie2" w:date="2025-05-13T16:36:00Z"/>
          <w:bCs/>
          <w:kern w:val="28"/>
          <w:sz w:val="22"/>
          <w:szCs w:val="22"/>
        </w:rPr>
      </w:pPr>
      <w:del w:id="3232" w:author="AbbVie2" w:date="2025-05-13T16:36:00Z">
        <w:r w:rsidRPr="00F03C54">
          <w:rPr>
            <w:bCs/>
            <w:kern w:val="28"/>
            <w:sz w:val="22"/>
            <w:szCs w:val="22"/>
          </w:rPr>
          <w:delText>Nos doentes com artrite idiopática juvenil poliarticular com idades compreendidas entre os 4 e os 17 anos foram identificados anticorpos anti</w:delText>
        </w:r>
        <w:r w:rsidR="00840424">
          <w:rPr>
            <w:bCs/>
            <w:kern w:val="28"/>
            <w:sz w:val="22"/>
            <w:szCs w:val="22"/>
          </w:rPr>
          <w:delText>-</w:delText>
        </w:r>
        <w:r w:rsidRPr="00F03C54">
          <w:rPr>
            <w:bCs/>
            <w:kern w:val="28"/>
            <w:sz w:val="22"/>
            <w:szCs w:val="22"/>
          </w:rPr>
          <w:delText>adalimumab em 15,8</w:delText>
        </w:r>
        <w:r w:rsidR="009343EF">
          <w:rPr>
            <w:bCs/>
            <w:kern w:val="28"/>
            <w:sz w:val="22"/>
            <w:szCs w:val="22"/>
          </w:rPr>
          <w:delText>%</w:delText>
        </w:r>
        <w:r w:rsidRPr="00F03C54">
          <w:rPr>
            <w:bCs/>
            <w:kern w:val="28"/>
            <w:sz w:val="22"/>
            <w:szCs w:val="22"/>
          </w:rPr>
          <w:delText xml:space="preserve"> (27/171) dos doentes tratados com adalimumab. Nos doentes que não receberam metotrexato concomitante, a incidência foi de 25,6</w:delText>
        </w:r>
        <w:r w:rsidR="009343EF">
          <w:rPr>
            <w:bCs/>
            <w:kern w:val="28"/>
            <w:sz w:val="22"/>
            <w:szCs w:val="22"/>
          </w:rPr>
          <w:delText>%</w:delText>
        </w:r>
        <w:r w:rsidRPr="00F03C54">
          <w:rPr>
            <w:bCs/>
            <w:kern w:val="28"/>
            <w:sz w:val="22"/>
            <w:szCs w:val="22"/>
          </w:rPr>
          <w:delText xml:space="preserve"> (22/86) comparativamente a 5,9</w:delText>
        </w:r>
        <w:r w:rsidR="009343EF">
          <w:rPr>
            <w:bCs/>
            <w:kern w:val="28"/>
            <w:sz w:val="22"/>
            <w:szCs w:val="22"/>
          </w:rPr>
          <w:delText>%</w:delText>
        </w:r>
        <w:r w:rsidRPr="00F03C54">
          <w:rPr>
            <w:bCs/>
            <w:kern w:val="28"/>
            <w:sz w:val="22"/>
            <w:szCs w:val="22"/>
          </w:rPr>
          <w:delText xml:space="preserve"> (5/85)</w:delText>
        </w:r>
        <w:r w:rsidR="000F4BA0" w:rsidRPr="00F03C54">
          <w:rPr>
            <w:bCs/>
            <w:kern w:val="28"/>
            <w:sz w:val="22"/>
            <w:szCs w:val="22"/>
          </w:rPr>
          <w:delText xml:space="preserve"> </w:delText>
        </w:r>
        <w:r w:rsidRPr="00F03C54">
          <w:rPr>
            <w:bCs/>
            <w:kern w:val="28"/>
            <w:sz w:val="22"/>
            <w:szCs w:val="22"/>
          </w:rPr>
          <w:delText>quando adalimumab foi utilizado como terapêutica adjuvante a metotrexato.</w:delText>
        </w:r>
        <w:r w:rsidR="004A2528" w:rsidRPr="00F03C54">
          <w:rPr>
            <w:bCs/>
            <w:kern w:val="28"/>
            <w:sz w:val="22"/>
            <w:szCs w:val="22"/>
          </w:rPr>
          <w:delText xml:space="preserve"> </w:delText>
        </w:r>
        <w:r w:rsidR="00267C89" w:rsidRPr="00F03C54">
          <w:rPr>
            <w:bCs/>
            <w:kern w:val="28"/>
            <w:sz w:val="22"/>
            <w:szCs w:val="22"/>
          </w:rPr>
          <w:delText xml:space="preserve">Nos doentes com artrite idiopática juvenil poliarticular com idades compreendidas entre 2 e &lt; 4 anos de idade, ou idade igual ou superior a 4 anos, </w:delText>
        </w:r>
        <w:r w:rsidR="00E3326B" w:rsidRPr="00F03C54">
          <w:rPr>
            <w:bCs/>
            <w:kern w:val="28"/>
            <w:sz w:val="22"/>
            <w:szCs w:val="22"/>
          </w:rPr>
          <w:delText xml:space="preserve">com </w:delText>
        </w:r>
        <w:r w:rsidR="00267C89" w:rsidRPr="00F03C54">
          <w:rPr>
            <w:bCs/>
            <w:kern w:val="28"/>
            <w:sz w:val="22"/>
            <w:szCs w:val="22"/>
          </w:rPr>
          <w:delText>pes</w:delText>
        </w:r>
        <w:r w:rsidR="00E3326B" w:rsidRPr="00F03C54">
          <w:rPr>
            <w:bCs/>
            <w:kern w:val="28"/>
            <w:sz w:val="22"/>
            <w:szCs w:val="22"/>
          </w:rPr>
          <w:delText>o</w:delText>
        </w:r>
        <w:r w:rsidR="00267C89" w:rsidRPr="00F03C54">
          <w:rPr>
            <w:bCs/>
            <w:kern w:val="28"/>
            <w:sz w:val="22"/>
            <w:szCs w:val="22"/>
          </w:rPr>
          <w:delText xml:space="preserve"> &lt; 15</w:delText>
        </w:r>
        <w:r w:rsidR="00E3326B" w:rsidRPr="00F03C54">
          <w:rPr>
            <w:bCs/>
            <w:kern w:val="28"/>
            <w:sz w:val="22"/>
            <w:szCs w:val="22"/>
          </w:rPr>
          <w:delText> </w:delText>
        </w:r>
        <w:r w:rsidR="00267C89" w:rsidRPr="00F03C54">
          <w:rPr>
            <w:bCs/>
            <w:kern w:val="28"/>
            <w:sz w:val="22"/>
            <w:szCs w:val="22"/>
          </w:rPr>
          <w:delText>kg, foram identificados anticorpos anti</w:delText>
        </w:r>
        <w:r w:rsidR="00840424">
          <w:rPr>
            <w:bCs/>
            <w:kern w:val="28"/>
            <w:sz w:val="22"/>
            <w:szCs w:val="22"/>
          </w:rPr>
          <w:delText>-</w:delText>
        </w:r>
        <w:r w:rsidR="00267C89" w:rsidRPr="00F03C54">
          <w:rPr>
            <w:bCs/>
            <w:kern w:val="28"/>
            <w:sz w:val="22"/>
            <w:szCs w:val="22"/>
          </w:rPr>
          <w:delText xml:space="preserve">adalimumab em 7% (1/15) dos doentes, </w:delText>
        </w:r>
        <w:r w:rsidR="00C9386F">
          <w:rPr>
            <w:bCs/>
            <w:kern w:val="28"/>
            <w:sz w:val="22"/>
            <w:szCs w:val="22"/>
          </w:rPr>
          <w:delText>o qual</w:delText>
        </w:r>
        <w:r w:rsidR="00267C89" w:rsidRPr="00F03C54">
          <w:rPr>
            <w:bCs/>
            <w:kern w:val="28"/>
            <w:sz w:val="22"/>
            <w:szCs w:val="22"/>
          </w:rPr>
          <w:delText xml:space="preserve"> estava a receber terapêutica concomitante com metotrexato.</w:delText>
        </w:r>
        <w:r w:rsidR="00085ED5" w:rsidRPr="00F03C54">
          <w:rPr>
            <w:bCs/>
            <w:kern w:val="28"/>
            <w:sz w:val="22"/>
            <w:szCs w:val="22"/>
          </w:rPr>
          <w:delText xml:space="preserve"> </w:delText>
        </w:r>
      </w:del>
    </w:p>
    <w:p w14:paraId="3B639D54" w14:textId="035CD28A" w:rsidR="00A85772" w:rsidRDefault="00A85772" w:rsidP="004462A0">
      <w:pPr>
        <w:rPr>
          <w:del w:id="3233" w:author="AbbVie2" w:date="2025-05-13T16:36:00Z"/>
          <w:bCs/>
          <w:kern w:val="28"/>
          <w:sz w:val="22"/>
          <w:szCs w:val="22"/>
        </w:rPr>
      </w:pPr>
    </w:p>
    <w:p w14:paraId="77978078" w14:textId="37215D7A" w:rsidR="004462A0" w:rsidRPr="008912CF" w:rsidRDefault="00615769" w:rsidP="004462A0">
      <w:pPr>
        <w:rPr>
          <w:del w:id="3234" w:author="AbbVie2" w:date="2025-05-13T16:36:00Z"/>
          <w:bCs/>
          <w:sz w:val="22"/>
          <w:szCs w:val="22"/>
        </w:rPr>
      </w:pPr>
      <w:del w:id="3235" w:author="AbbVie2" w:date="2025-05-13T16:36:00Z">
        <w:r w:rsidRPr="002339BF">
          <w:rPr>
            <w:sz w:val="22"/>
            <w:szCs w:val="22"/>
          </w:rPr>
          <w:delText>Em</w:delText>
        </w:r>
        <w:r w:rsidRPr="008912CF">
          <w:rPr>
            <w:sz w:val="22"/>
            <w:szCs w:val="22"/>
          </w:rPr>
          <w:delText xml:space="preserve"> doentes com artrite relacionada com entesite foram identificados anticorpos anti</w:delText>
        </w:r>
        <w:r w:rsidR="00840424">
          <w:rPr>
            <w:sz w:val="22"/>
            <w:szCs w:val="22"/>
          </w:rPr>
          <w:delText>-</w:delText>
        </w:r>
        <w:r w:rsidRPr="008912CF">
          <w:rPr>
            <w:sz w:val="22"/>
            <w:szCs w:val="22"/>
          </w:rPr>
          <w:delText>adalimumab em 10</w:delText>
        </w:r>
        <w:r w:rsidR="009343EF">
          <w:rPr>
            <w:sz w:val="22"/>
            <w:szCs w:val="22"/>
          </w:rPr>
          <w:delText>,</w:delText>
        </w:r>
        <w:r w:rsidRPr="008912CF">
          <w:rPr>
            <w:sz w:val="22"/>
            <w:szCs w:val="22"/>
          </w:rPr>
          <w:delText xml:space="preserve">9% (5/46) dos doentes tratados com </w:delText>
        </w:r>
        <w:r w:rsidRPr="008912CF">
          <w:rPr>
            <w:bCs/>
            <w:sz w:val="22"/>
            <w:szCs w:val="22"/>
          </w:rPr>
          <w:delText>adalimumab. Nos doentes que não receberam metotrexato concomitante a incidência foi de 13</w:delText>
        </w:r>
        <w:r w:rsidR="009343EF">
          <w:rPr>
            <w:bCs/>
            <w:sz w:val="22"/>
            <w:szCs w:val="22"/>
          </w:rPr>
          <w:delText>,</w:delText>
        </w:r>
        <w:r w:rsidRPr="008912CF">
          <w:rPr>
            <w:bCs/>
            <w:sz w:val="22"/>
            <w:szCs w:val="22"/>
          </w:rPr>
          <w:delText>6% (3/22)</w:delText>
        </w:r>
        <w:r w:rsidR="00840424">
          <w:rPr>
            <w:bCs/>
            <w:sz w:val="22"/>
            <w:szCs w:val="22"/>
          </w:rPr>
          <w:delText>, comparativamente a 8,3% (2/24)</w:delText>
        </w:r>
        <w:r w:rsidRPr="008912CF">
          <w:rPr>
            <w:bCs/>
            <w:sz w:val="22"/>
            <w:szCs w:val="22"/>
          </w:rPr>
          <w:delText xml:space="preserve"> quando adalimumab foi utilizado como terapêutica concomitante a metotrexato.</w:delText>
        </w:r>
      </w:del>
    </w:p>
    <w:p w14:paraId="0A287D73" w14:textId="160BE2D8" w:rsidR="004462A0" w:rsidRPr="008912CF" w:rsidRDefault="004462A0" w:rsidP="004462A0">
      <w:pPr>
        <w:rPr>
          <w:del w:id="3236" w:author="AbbVie2" w:date="2025-05-13T16:36:00Z"/>
          <w:sz w:val="22"/>
          <w:szCs w:val="22"/>
        </w:rPr>
      </w:pPr>
    </w:p>
    <w:p w14:paraId="4E615003" w14:textId="2A60BBE5" w:rsidR="004462A0" w:rsidRPr="008912CF" w:rsidRDefault="00615769" w:rsidP="004462A0">
      <w:pPr>
        <w:rPr>
          <w:del w:id="3237" w:author="AbbVie2" w:date="2025-05-13T16:36:00Z"/>
          <w:sz w:val="22"/>
          <w:szCs w:val="22"/>
        </w:rPr>
      </w:pPr>
      <w:del w:id="3238" w:author="AbbVie2" w:date="2025-05-13T16:36:00Z">
        <w:r w:rsidRPr="008912CF">
          <w:rPr>
            <w:sz w:val="22"/>
            <w:szCs w:val="22"/>
          </w:rPr>
          <w:delText>Os doentes nos estudos de artrite reumatoide I, II e III foram analisados em múltiplos pontos temporais para pesquisa de anticorpos anti</w:delText>
        </w:r>
        <w:r w:rsidR="00840424">
          <w:rPr>
            <w:sz w:val="22"/>
            <w:szCs w:val="22"/>
          </w:rPr>
          <w:delText>-</w:delText>
        </w:r>
        <w:r w:rsidRPr="008912CF">
          <w:rPr>
            <w:sz w:val="22"/>
            <w:szCs w:val="22"/>
          </w:rPr>
          <w:delText>adalimumab durante o período de 6 a 12</w:delText>
        </w:r>
        <w:r>
          <w:rPr>
            <w:sz w:val="22"/>
            <w:szCs w:val="22"/>
          </w:rPr>
          <w:delText> </w:delText>
        </w:r>
        <w:r w:rsidRPr="008912CF">
          <w:rPr>
            <w:sz w:val="22"/>
            <w:szCs w:val="22"/>
          </w:rPr>
          <w:delText>meses. Nos ensaios centrais, foram identificados anticorpos anti</w:delText>
        </w:r>
        <w:r w:rsidR="00840424">
          <w:rPr>
            <w:sz w:val="22"/>
            <w:szCs w:val="22"/>
          </w:rPr>
          <w:delText>-</w:delText>
        </w:r>
        <w:r w:rsidRPr="008912CF">
          <w:rPr>
            <w:sz w:val="22"/>
            <w:szCs w:val="22"/>
          </w:rPr>
          <w:delText>adalimumab em 5,5</w:delText>
        </w:r>
        <w:r w:rsidR="009343EF">
          <w:rPr>
            <w:sz w:val="22"/>
            <w:szCs w:val="22"/>
          </w:rPr>
          <w:delText>%</w:delText>
        </w:r>
        <w:r w:rsidRPr="008912CF">
          <w:rPr>
            <w:sz w:val="22"/>
            <w:szCs w:val="22"/>
          </w:rPr>
          <w:delText xml:space="preserve"> (58/1053) dos doentes tratados com adalimumab comparativamente a</w:delText>
        </w:r>
        <w:r w:rsidRPr="008912CF">
          <w:rPr>
            <w:i/>
            <w:iCs/>
            <w:sz w:val="22"/>
            <w:szCs w:val="22"/>
          </w:rPr>
          <w:delText xml:space="preserve"> </w:delText>
        </w:r>
        <w:r w:rsidRPr="008912CF">
          <w:rPr>
            <w:iCs/>
            <w:sz w:val="22"/>
            <w:szCs w:val="22"/>
          </w:rPr>
          <w:delText>0,5</w:delText>
        </w:r>
        <w:r w:rsidR="009343EF">
          <w:rPr>
            <w:iCs/>
            <w:sz w:val="22"/>
            <w:szCs w:val="22"/>
          </w:rPr>
          <w:delText>%</w:delText>
        </w:r>
        <w:r w:rsidRPr="008912CF">
          <w:rPr>
            <w:iCs/>
            <w:sz w:val="22"/>
            <w:szCs w:val="22"/>
          </w:rPr>
          <w:delText xml:space="preserve"> (</w:delText>
        </w:r>
        <w:r w:rsidRPr="008912CF">
          <w:rPr>
            <w:sz w:val="22"/>
            <w:szCs w:val="22"/>
          </w:rPr>
          <w:delText>2/370) com placebo. Nos doentes não submetidos a um tratamento concomitante com metotrexato, a incidência foi de 12,4</w:delText>
        </w:r>
        <w:r w:rsidR="009343EF">
          <w:rPr>
            <w:sz w:val="22"/>
            <w:szCs w:val="22"/>
          </w:rPr>
          <w:delText>%</w:delText>
        </w:r>
        <w:r w:rsidRPr="008912CF">
          <w:rPr>
            <w:sz w:val="22"/>
            <w:szCs w:val="22"/>
          </w:rPr>
          <w:delText>, comparativamente a 0,6</w:delText>
        </w:r>
        <w:r w:rsidR="009343EF">
          <w:rPr>
            <w:sz w:val="22"/>
            <w:szCs w:val="22"/>
          </w:rPr>
          <w:delText>%</w:delText>
        </w:r>
        <w:r w:rsidRPr="008912CF">
          <w:rPr>
            <w:sz w:val="22"/>
            <w:szCs w:val="22"/>
          </w:rPr>
          <w:delText xml:space="preserve"> quando adalimumab foi utilizado como terapêutica adjuvante a metotrexato.</w:delText>
        </w:r>
      </w:del>
    </w:p>
    <w:p w14:paraId="06475584" w14:textId="5C15099C" w:rsidR="004462A0" w:rsidRPr="008912CF" w:rsidRDefault="004462A0" w:rsidP="004462A0">
      <w:pPr>
        <w:rPr>
          <w:del w:id="3239" w:author="AbbVie2" w:date="2025-05-13T16:36:00Z"/>
          <w:sz w:val="22"/>
          <w:szCs w:val="22"/>
        </w:rPr>
      </w:pPr>
    </w:p>
    <w:p w14:paraId="79A854EF" w14:textId="32185ADB" w:rsidR="004462A0" w:rsidRPr="008912CF" w:rsidRDefault="00615769" w:rsidP="004462A0">
      <w:pPr>
        <w:rPr>
          <w:del w:id="3240" w:author="AbbVie2" w:date="2025-05-13T16:36:00Z"/>
          <w:sz w:val="22"/>
          <w:szCs w:val="22"/>
        </w:rPr>
      </w:pPr>
      <w:del w:id="3241" w:author="AbbVie2" w:date="2025-05-13T16:36:00Z">
        <w:r w:rsidRPr="008912CF">
          <w:rPr>
            <w:sz w:val="22"/>
            <w:szCs w:val="22"/>
          </w:rPr>
          <w:delText>Em doentes com psoríase pediátrica foram identificados anticorpos anti</w:delText>
        </w:r>
        <w:r w:rsidR="00840424">
          <w:rPr>
            <w:sz w:val="22"/>
            <w:szCs w:val="22"/>
          </w:rPr>
          <w:delText>-</w:delText>
        </w:r>
        <w:r w:rsidRPr="008912CF">
          <w:rPr>
            <w:sz w:val="22"/>
            <w:szCs w:val="22"/>
          </w:rPr>
          <w:delText>adalimumab em 5/38 doentes</w:delText>
        </w:r>
        <w:r w:rsidR="00840424">
          <w:rPr>
            <w:sz w:val="22"/>
            <w:szCs w:val="22"/>
          </w:rPr>
          <w:delText xml:space="preserve"> (13%)</w:delText>
        </w:r>
        <w:r w:rsidRPr="008912CF">
          <w:rPr>
            <w:sz w:val="22"/>
            <w:szCs w:val="22"/>
          </w:rPr>
          <w:delText xml:space="preserve"> tratados com </w:delText>
        </w:r>
        <w:r w:rsidRPr="008912CF">
          <w:rPr>
            <w:bCs/>
            <w:sz w:val="22"/>
            <w:szCs w:val="22"/>
          </w:rPr>
          <w:delText>adalimumab 0,8 mg/kg em monoterapia.</w:delText>
        </w:r>
      </w:del>
    </w:p>
    <w:p w14:paraId="49CF4691" w14:textId="6B62468B" w:rsidR="004462A0" w:rsidRPr="008912CF" w:rsidRDefault="004462A0" w:rsidP="004462A0">
      <w:pPr>
        <w:rPr>
          <w:del w:id="3242" w:author="AbbVie2" w:date="2025-05-13T16:36:00Z"/>
          <w:sz w:val="22"/>
          <w:szCs w:val="22"/>
        </w:rPr>
      </w:pPr>
    </w:p>
    <w:p w14:paraId="2FD2F853" w14:textId="4536EF77" w:rsidR="004462A0" w:rsidRPr="008912CF" w:rsidRDefault="00615769" w:rsidP="004462A0">
      <w:pPr>
        <w:rPr>
          <w:del w:id="3243" w:author="AbbVie2" w:date="2025-05-13T16:36:00Z"/>
          <w:sz w:val="22"/>
          <w:szCs w:val="22"/>
        </w:rPr>
      </w:pPr>
      <w:del w:id="3244" w:author="AbbVie2" w:date="2025-05-13T16:36:00Z">
        <w:r w:rsidRPr="008912CF">
          <w:rPr>
            <w:sz w:val="22"/>
            <w:szCs w:val="22"/>
          </w:rPr>
          <w:delText>Em doentes adultos com psoríase, tratados com adalimumab em monoterapia, foram identificados anticorpos anti</w:delText>
        </w:r>
        <w:r w:rsidR="00840424">
          <w:rPr>
            <w:sz w:val="22"/>
            <w:szCs w:val="22"/>
          </w:rPr>
          <w:delText>-</w:delText>
        </w:r>
        <w:r w:rsidRPr="008912CF">
          <w:rPr>
            <w:sz w:val="22"/>
            <w:szCs w:val="22"/>
          </w:rPr>
          <w:delText>adalimumab em 77/920 doentes (8,4</w:delText>
        </w:r>
        <w:r w:rsidR="009343EF">
          <w:rPr>
            <w:sz w:val="22"/>
            <w:szCs w:val="22"/>
          </w:rPr>
          <w:delText>%</w:delText>
        </w:r>
        <w:r w:rsidRPr="008912CF">
          <w:rPr>
            <w:sz w:val="22"/>
            <w:szCs w:val="22"/>
          </w:rPr>
          <w:delText>).</w:delText>
        </w:r>
      </w:del>
    </w:p>
    <w:p w14:paraId="4B8D6537" w14:textId="678D8E21" w:rsidR="004462A0" w:rsidRDefault="004462A0" w:rsidP="004462A0">
      <w:pPr>
        <w:rPr>
          <w:del w:id="3245" w:author="AbbVie2" w:date="2025-05-13T16:36:00Z"/>
          <w:sz w:val="22"/>
          <w:szCs w:val="22"/>
        </w:rPr>
      </w:pPr>
    </w:p>
    <w:p w14:paraId="0A70B963" w14:textId="4C744527" w:rsidR="002A563C" w:rsidRPr="008912CF" w:rsidRDefault="00615769" w:rsidP="002A563C">
      <w:pPr>
        <w:rPr>
          <w:del w:id="3246" w:author="AbbVie2" w:date="2025-05-13T16:36:00Z"/>
          <w:sz w:val="22"/>
          <w:szCs w:val="22"/>
        </w:rPr>
      </w:pPr>
      <w:del w:id="3247" w:author="AbbVie2" w:date="2025-05-13T16:36:00Z">
        <w:r w:rsidRPr="008912CF">
          <w:rPr>
            <w:sz w:val="22"/>
            <w:szCs w:val="22"/>
          </w:rPr>
          <w:delText xml:space="preserve">Em doentes adultos com psoríase em placas, tratados </w:delText>
        </w:r>
        <w:r w:rsidR="003D7D06">
          <w:rPr>
            <w:sz w:val="22"/>
            <w:szCs w:val="22"/>
          </w:rPr>
          <w:delText xml:space="preserve">com adalimumab </w:delText>
        </w:r>
        <w:r w:rsidRPr="008912CF">
          <w:rPr>
            <w:sz w:val="22"/>
            <w:szCs w:val="22"/>
          </w:rPr>
          <w:delText>em monoterapia a longo prazo, que participaram n</w:delText>
        </w:r>
        <w:r w:rsidR="003D7D06">
          <w:rPr>
            <w:sz w:val="22"/>
            <w:szCs w:val="22"/>
          </w:rPr>
          <w:delText>um</w:delText>
        </w:r>
        <w:r w:rsidRPr="008912CF">
          <w:rPr>
            <w:sz w:val="22"/>
            <w:szCs w:val="22"/>
          </w:rPr>
          <w:delText xml:space="preserve"> estudo de suspensão do tratamento e </w:delText>
        </w:r>
        <w:r w:rsidR="003D7D06">
          <w:rPr>
            <w:sz w:val="22"/>
            <w:szCs w:val="22"/>
          </w:rPr>
          <w:delText>re-</w:delText>
        </w:r>
        <w:r w:rsidRPr="008912CF">
          <w:rPr>
            <w:sz w:val="22"/>
            <w:szCs w:val="22"/>
          </w:rPr>
          <w:delText xml:space="preserve">tratamento, a taxa de anticorpos a adalimumab após o </w:delText>
        </w:r>
        <w:r w:rsidR="003D7D06">
          <w:rPr>
            <w:sz w:val="22"/>
            <w:szCs w:val="22"/>
          </w:rPr>
          <w:delText>re-</w:delText>
        </w:r>
        <w:r w:rsidRPr="008912CF">
          <w:rPr>
            <w:sz w:val="22"/>
            <w:szCs w:val="22"/>
          </w:rPr>
          <w:delText>tratamento (11 de 482 doentes, 2,3</w:delText>
        </w:r>
        <w:r w:rsidR="009343EF">
          <w:rPr>
            <w:sz w:val="22"/>
            <w:szCs w:val="22"/>
          </w:rPr>
          <w:delText>%</w:delText>
        </w:r>
        <w:r w:rsidRPr="008912CF">
          <w:rPr>
            <w:sz w:val="22"/>
            <w:szCs w:val="22"/>
          </w:rPr>
          <w:delText>) foi semelhante à taxa observada antes da suspensão (11 de 590 doentes, 1,9</w:delText>
        </w:r>
        <w:r w:rsidR="009343EF">
          <w:rPr>
            <w:sz w:val="22"/>
            <w:szCs w:val="22"/>
          </w:rPr>
          <w:delText>%</w:delText>
        </w:r>
        <w:r w:rsidRPr="008912CF">
          <w:rPr>
            <w:sz w:val="22"/>
            <w:szCs w:val="22"/>
          </w:rPr>
          <w:delText>).</w:delText>
        </w:r>
      </w:del>
    </w:p>
    <w:p w14:paraId="2184CC9B" w14:textId="238DCBC7" w:rsidR="002A563C" w:rsidRPr="008912CF" w:rsidRDefault="002A563C" w:rsidP="004462A0">
      <w:pPr>
        <w:rPr>
          <w:del w:id="3248" w:author="AbbVie2" w:date="2025-05-13T16:36:00Z"/>
          <w:sz w:val="22"/>
          <w:szCs w:val="22"/>
        </w:rPr>
      </w:pPr>
    </w:p>
    <w:p w14:paraId="7EAA0E47" w14:textId="7BA28582" w:rsidR="004462A0" w:rsidRPr="008912CF" w:rsidRDefault="00615769" w:rsidP="004462A0">
      <w:pPr>
        <w:rPr>
          <w:del w:id="3249" w:author="AbbVie2" w:date="2025-05-13T16:36:00Z"/>
          <w:sz w:val="22"/>
          <w:szCs w:val="22"/>
        </w:rPr>
      </w:pPr>
      <w:del w:id="3250" w:author="AbbVie2" w:date="2025-05-13T16:36:00Z">
        <w:r w:rsidRPr="008912CF">
          <w:rPr>
            <w:sz w:val="22"/>
            <w:szCs w:val="22"/>
          </w:rPr>
          <w:delText>Em doentes com doença de Crohn pediátrica ativa moderada a grave, a taxa de desenvolvimento de anticorpos anti</w:delText>
        </w:r>
        <w:r w:rsidR="00840424">
          <w:rPr>
            <w:sz w:val="22"/>
            <w:szCs w:val="22"/>
          </w:rPr>
          <w:delText>-</w:delText>
        </w:r>
        <w:r w:rsidRPr="008912CF">
          <w:rPr>
            <w:sz w:val="22"/>
            <w:szCs w:val="22"/>
          </w:rPr>
          <w:delText>adalimumab em doentes tratados com adalimumab foi de 3,3</w:delText>
        </w:r>
        <w:r w:rsidR="009343EF">
          <w:rPr>
            <w:sz w:val="22"/>
            <w:szCs w:val="22"/>
          </w:rPr>
          <w:delText>%</w:delText>
        </w:r>
        <w:r w:rsidRPr="008912CF">
          <w:rPr>
            <w:sz w:val="22"/>
            <w:szCs w:val="22"/>
          </w:rPr>
          <w:delText>.</w:delText>
        </w:r>
      </w:del>
    </w:p>
    <w:p w14:paraId="5CF2ADEE" w14:textId="12E31F1B" w:rsidR="004462A0" w:rsidRPr="008912CF" w:rsidRDefault="00615769" w:rsidP="004462A0">
      <w:pPr>
        <w:rPr>
          <w:del w:id="3251" w:author="AbbVie2" w:date="2025-05-13T16:36:00Z"/>
          <w:sz w:val="22"/>
          <w:szCs w:val="22"/>
        </w:rPr>
      </w:pPr>
      <w:del w:id="3252" w:author="AbbVie2" w:date="2025-05-13T16:36:00Z">
        <w:r w:rsidRPr="008912CF">
          <w:rPr>
            <w:sz w:val="22"/>
            <w:szCs w:val="22"/>
          </w:rPr>
          <w:delText xml:space="preserve"> </w:delText>
        </w:r>
      </w:del>
    </w:p>
    <w:p w14:paraId="65077247" w14:textId="1728448A" w:rsidR="002A563C" w:rsidRDefault="00615769" w:rsidP="004462A0">
      <w:pPr>
        <w:rPr>
          <w:del w:id="3253" w:author="AbbVie2" w:date="2025-05-13T16:36:00Z"/>
          <w:sz w:val="22"/>
          <w:szCs w:val="22"/>
        </w:rPr>
      </w:pPr>
      <w:del w:id="3254" w:author="AbbVie2" w:date="2025-05-13T16:36:00Z">
        <w:r>
          <w:rPr>
            <w:sz w:val="22"/>
            <w:szCs w:val="22"/>
          </w:rPr>
          <w:delText>Em doentes adultos com doença de Crohn foram identificados anticorpos anti</w:delText>
        </w:r>
        <w:r w:rsidR="009A1276">
          <w:rPr>
            <w:sz w:val="22"/>
            <w:szCs w:val="22"/>
          </w:rPr>
          <w:delText>-</w:delText>
        </w:r>
        <w:r>
          <w:rPr>
            <w:sz w:val="22"/>
            <w:szCs w:val="22"/>
          </w:rPr>
          <w:delText>adalimumab em 7/269 doentes (2,6%).</w:delText>
        </w:r>
      </w:del>
    </w:p>
    <w:p w14:paraId="69B8006E" w14:textId="7EDA2E8E" w:rsidR="002A563C" w:rsidRDefault="002A563C" w:rsidP="004462A0">
      <w:pPr>
        <w:rPr>
          <w:del w:id="3255" w:author="AbbVie2" w:date="2025-05-13T16:36:00Z"/>
          <w:sz w:val="22"/>
          <w:szCs w:val="22"/>
        </w:rPr>
      </w:pPr>
    </w:p>
    <w:p w14:paraId="52F578B7" w14:textId="6B58AF48" w:rsidR="002A563C" w:rsidRDefault="00615769" w:rsidP="004462A0">
      <w:pPr>
        <w:rPr>
          <w:del w:id="3256" w:author="AbbVie2" w:date="2025-05-13T16:36:00Z"/>
          <w:sz w:val="22"/>
          <w:szCs w:val="22"/>
        </w:rPr>
      </w:pPr>
      <w:del w:id="3257" w:author="AbbVie2" w:date="2025-05-13T16:36:00Z">
        <w:r w:rsidRPr="003A12AC">
          <w:rPr>
            <w:sz w:val="22"/>
            <w:szCs w:val="22"/>
          </w:rPr>
          <w:delText xml:space="preserve">Em doentes </w:delText>
        </w:r>
        <w:r w:rsidR="00E3326B">
          <w:rPr>
            <w:sz w:val="22"/>
            <w:szCs w:val="22"/>
          </w:rPr>
          <w:delText xml:space="preserve">adultos </w:delText>
        </w:r>
        <w:r w:rsidRPr="003A12AC">
          <w:rPr>
            <w:sz w:val="22"/>
            <w:szCs w:val="22"/>
          </w:rPr>
          <w:delText>com uveíte não infecciosa foram identificados anticorpos anti-adalimumab em 4,8% (12/249) dos doentes tratados com adalimumab</w:delText>
        </w:r>
        <w:r>
          <w:rPr>
            <w:sz w:val="22"/>
            <w:szCs w:val="22"/>
          </w:rPr>
          <w:delText>.</w:delText>
        </w:r>
      </w:del>
    </w:p>
    <w:p w14:paraId="2E24EEE1" w14:textId="44494994" w:rsidR="002A563C" w:rsidRDefault="002A563C" w:rsidP="004462A0">
      <w:pPr>
        <w:rPr>
          <w:del w:id="3258" w:author="AbbVie2" w:date="2025-05-13T16:36:00Z"/>
          <w:sz w:val="22"/>
          <w:szCs w:val="22"/>
        </w:rPr>
      </w:pPr>
    </w:p>
    <w:p w14:paraId="59ED04E1" w14:textId="14AEA669" w:rsidR="00D105CA" w:rsidRDefault="00615769" w:rsidP="004462A0">
      <w:pPr>
        <w:rPr>
          <w:del w:id="3259" w:author="AbbVie2" w:date="2025-05-13T16:36:00Z"/>
          <w:sz w:val="22"/>
          <w:szCs w:val="22"/>
        </w:rPr>
      </w:pPr>
      <w:del w:id="3260" w:author="AbbVie2" w:date="2025-05-13T16:36:00Z">
        <w:r w:rsidRPr="00D105CA">
          <w:rPr>
            <w:sz w:val="22"/>
            <w:szCs w:val="22"/>
          </w:rPr>
          <w:delText xml:space="preserve">Em doentes com colite ulcerosa </w:delText>
        </w:r>
        <w:r w:rsidR="004B66CF">
          <w:rPr>
            <w:sz w:val="22"/>
            <w:szCs w:val="22"/>
          </w:rPr>
          <w:delText xml:space="preserve">pediátrica </w:delText>
        </w:r>
        <w:r w:rsidRPr="00D105CA">
          <w:rPr>
            <w:sz w:val="22"/>
            <w:szCs w:val="22"/>
          </w:rPr>
          <w:delText>ativa moderada a grave, a taxa de des</w:delText>
        </w:r>
        <w:r>
          <w:rPr>
            <w:sz w:val="22"/>
            <w:szCs w:val="22"/>
          </w:rPr>
          <w:delText>envolvimento de anticorpos anti</w:delText>
        </w:r>
        <w:r>
          <w:rPr>
            <w:sz w:val="22"/>
            <w:szCs w:val="22"/>
          </w:rPr>
          <w:noBreakHyphen/>
        </w:r>
        <w:r w:rsidRPr="00D105CA">
          <w:rPr>
            <w:sz w:val="22"/>
            <w:szCs w:val="22"/>
          </w:rPr>
          <w:delText>adalimumab em doentes tratados com adalimumab foi de 3%.</w:delText>
        </w:r>
      </w:del>
    </w:p>
    <w:p w14:paraId="74E10F17" w14:textId="0B32CD95" w:rsidR="00D105CA" w:rsidRDefault="00D105CA" w:rsidP="004462A0">
      <w:pPr>
        <w:rPr>
          <w:del w:id="3261" w:author="AbbVie2" w:date="2025-05-13T16:36:00Z"/>
          <w:sz w:val="22"/>
          <w:szCs w:val="22"/>
        </w:rPr>
      </w:pPr>
    </w:p>
    <w:p w14:paraId="790CE003" w14:textId="6BE0EC6C" w:rsidR="004462A0" w:rsidRPr="008912CF" w:rsidRDefault="00615769" w:rsidP="004462A0">
      <w:pPr>
        <w:rPr>
          <w:del w:id="3262" w:author="AbbVie2" w:date="2025-05-13T16:36:00Z"/>
          <w:sz w:val="22"/>
          <w:szCs w:val="22"/>
        </w:rPr>
      </w:pPr>
      <w:del w:id="3263" w:author="AbbVie2" w:date="2025-05-13T16:36:00Z">
        <w:r w:rsidRPr="008912CF">
          <w:rPr>
            <w:sz w:val="22"/>
            <w:szCs w:val="22"/>
          </w:rPr>
          <w:delText>Uma vez que as análises de imunogenicidade são específicas do produto, não é apropriado comparar as taxas de anticorpos com as de outros produtos.</w:delText>
        </w:r>
      </w:del>
    </w:p>
    <w:p w14:paraId="7DFABA43" w14:textId="2EDAE2E5" w:rsidR="004462A0" w:rsidRDefault="004462A0" w:rsidP="004462A0">
      <w:pPr>
        <w:jc w:val="both"/>
        <w:outlineLvl w:val="0"/>
        <w:rPr>
          <w:del w:id="3264" w:author="AbbVie2" w:date="2025-05-13T16:36:00Z"/>
          <w:rFonts w:eastAsia="SimSun"/>
          <w:sz w:val="22"/>
          <w:szCs w:val="22"/>
          <w:lang w:eastAsia="zh-CN"/>
        </w:rPr>
      </w:pPr>
    </w:p>
    <w:p w14:paraId="16C8A131" w14:textId="7CC0D025" w:rsidR="004462A0" w:rsidRPr="00497512" w:rsidRDefault="00615769" w:rsidP="004462A0">
      <w:pPr>
        <w:jc w:val="both"/>
        <w:outlineLvl w:val="0"/>
        <w:rPr>
          <w:del w:id="3265" w:author="AbbVie2" w:date="2025-05-13T16:36:00Z"/>
          <w:rFonts w:eastAsia="SimSun"/>
          <w:sz w:val="22"/>
          <w:szCs w:val="22"/>
          <w:u w:val="single"/>
          <w:lang w:eastAsia="zh-CN"/>
        </w:rPr>
      </w:pPr>
      <w:del w:id="3266" w:author="AbbVie2" w:date="2025-05-13T16:36:00Z">
        <w:r w:rsidRPr="00497512">
          <w:rPr>
            <w:rFonts w:eastAsia="SimSun"/>
            <w:sz w:val="22"/>
            <w:szCs w:val="22"/>
            <w:u w:val="single"/>
            <w:lang w:eastAsia="zh-CN"/>
          </w:rPr>
          <w:delText>População pediátrica</w:delText>
        </w:r>
      </w:del>
    </w:p>
    <w:p w14:paraId="29DC8A3A" w14:textId="0BFE0791" w:rsidR="00D0749B" w:rsidRPr="008912CF" w:rsidRDefault="00D0749B" w:rsidP="00D0749B">
      <w:pPr>
        <w:keepNext/>
        <w:rPr>
          <w:del w:id="3267" w:author="AbbVie2" w:date="2025-05-13T16:36:00Z"/>
          <w:sz w:val="22"/>
          <w:szCs w:val="22"/>
          <w:u w:val="single"/>
        </w:rPr>
      </w:pPr>
    </w:p>
    <w:p w14:paraId="0CAF9A1B" w14:textId="42281799" w:rsidR="00D0749B" w:rsidRPr="008912CF" w:rsidRDefault="00615769" w:rsidP="00D0749B">
      <w:pPr>
        <w:pStyle w:val="BodyText3"/>
        <w:keepNext/>
        <w:ind w:right="0"/>
        <w:rPr>
          <w:del w:id="3268" w:author="AbbVie2" w:date="2025-05-13T16:36:00Z"/>
          <w:szCs w:val="22"/>
        </w:rPr>
      </w:pPr>
      <w:del w:id="3269" w:author="AbbVie2" w:date="2025-05-13T16:36:00Z">
        <w:r w:rsidRPr="008912CF">
          <w:rPr>
            <w:i/>
            <w:szCs w:val="22"/>
          </w:rPr>
          <w:delText>Artrite idiopática juvenil (AIJ)</w:delText>
        </w:r>
      </w:del>
    </w:p>
    <w:p w14:paraId="47B7B8C7" w14:textId="171E2160" w:rsidR="00D0749B" w:rsidRPr="008912CF" w:rsidRDefault="00D0749B" w:rsidP="00D0749B">
      <w:pPr>
        <w:pStyle w:val="BodyText3"/>
        <w:keepNext/>
        <w:ind w:right="0"/>
        <w:rPr>
          <w:del w:id="3270" w:author="AbbVie2" w:date="2025-05-13T16:36:00Z"/>
          <w:szCs w:val="22"/>
        </w:rPr>
      </w:pPr>
    </w:p>
    <w:p w14:paraId="6E388242" w14:textId="157FE4F3" w:rsidR="00D0749B" w:rsidRPr="008912CF" w:rsidRDefault="00615769" w:rsidP="00D0749B">
      <w:pPr>
        <w:pStyle w:val="BodyText3"/>
        <w:keepNext/>
        <w:ind w:right="0"/>
        <w:rPr>
          <w:del w:id="3271" w:author="AbbVie2" w:date="2025-05-13T16:36:00Z"/>
          <w:szCs w:val="22"/>
        </w:rPr>
      </w:pPr>
      <w:del w:id="3272" w:author="AbbVie2" w:date="2025-05-13T16:36:00Z">
        <w:r w:rsidRPr="008912CF">
          <w:rPr>
            <w:i/>
            <w:szCs w:val="22"/>
            <w:u w:val="single"/>
          </w:rPr>
          <w:delText xml:space="preserve">Artrite idiopática juvenil poliarticular </w:delText>
        </w:r>
        <w:r w:rsidRPr="008912CF">
          <w:rPr>
            <w:bCs/>
            <w:i/>
            <w:iCs/>
            <w:szCs w:val="22"/>
            <w:u w:val="single"/>
          </w:rPr>
          <w:delText>(AIJp)</w:delText>
        </w:r>
      </w:del>
    </w:p>
    <w:p w14:paraId="08EA0143" w14:textId="667EF5A6" w:rsidR="00D0749B" w:rsidRPr="008912CF" w:rsidRDefault="00D0749B" w:rsidP="00D0749B">
      <w:pPr>
        <w:pStyle w:val="BodyText3"/>
        <w:keepNext/>
        <w:rPr>
          <w:del w:id="3273" w:author="AbbVie2" w:date="2025-05-13T16:36:00Z"/>
          <w:szCs w:val="22"/>
        </w:rPr>
      </w:pPr>
    </w:p>
    <w:p w14:paraId="143F0E61" w14:textId="38245BFF" w:rsidR="00D0749B" w:rsidRPr="008912CF" w:rsidRDefault="00615769" w:rsidP="00D0749B">
      <w:pPr>
        <w:pStyle w:val="BodyText3"/>
        <w:keepNext/>
        <w:rPr>
          <w:del w:id="3274" w:author="AbbVie2" w:date="2025-05-13T16:36:00Z"/>
          <w:u w:val="single"/>
        </w:rPr>
      </w:pPr>
      <w:del w:id="3275" w:author="AbbVie2" w:date="2025-05-13T16:36:00Z">
        <w:r w:rsidRPr="008912CF">
          <w:rPr>
            <w:szCs w:val="22"/>
          </w:rPr>
          <w:delText>A segurança e eficácia d</w:delText>
        </w:r>
        <w:r>
          <w:rPr>
            <w:szCs w:val="22"/>
          </w:rPr>
          <w:delText>e</w:delText>
        </w:r>
        <w:r w:rsidRPr="008912CF">
          <w:rPr>
            <w:szCs w:val="22"/>
          </w:rPr>
          <w:delText xml:space="preserve"> Humira foram avaliadas em dois estudos (AIJp I e II) em crianças com artrite idiopática juvenil poliarticular ativa ou curso poliarticular, que apresentavam vários tipos de início de AIJ (mais frequentemente poliartrite com fator reumatoide negativo ou positivo e oligoartrite e</w:delText>
        </w:r>
        <w:r>
          <w:rPr>
            <w:szCs w:val="22"/>
          </w:rPr>
          <w:delText>xtensa)</w:delText>
        </w:r>
        <w:r w:rsidRPr="006E6749">
          <w:rPr>
            <w:szCs w:val="22"/>
          </w:rPr>
          <w:delText>.</w:delText>
        </w:r>
      </w:del>
    </w:p>
    <w:p w14:paraId="52176B11" w14:textId="65EA1B21" w:rsidR="00D0749B" w:rsidRPr="008912CF" w:rsidRDefault="00D0749B" w:rsidP="00D0749B">
      <w:pPr>
        <w:pStyle w:val="BodyText3"/>
        <w:rPr>
          <w:del w:id="3276" w:author="AbbVie2" w:date="2025-05-13T16:36:00Z"/>
        </w:rPr>
      </w:pPr>
    </w:p>
    <w:p w14:paraId="67733E1F" w14:textId="17AE2438" w:rsidR="00D0749B" w:rsidRPr="008912CF" w:rsidRDefault="00615769" w:rsidP="00D0749B">
      <w:pPr>
        <w:pStyle w:val="BodyText3"/>
        <w:keepNext/>
        <w:rPr>
          <w:del w:id="3277" w:author="AbbVie2" w:date="2025-05-13T16:36:00Z"/>
        </w:rPr>
      </w:pPr>
      <w:del w:id="3278" w:author="AbbVie2" w:date="2025-05-13T16:36:00Z">
        <w:r w:rsidRPr="008912CF">
          <w:delText>AIJp I</w:delText>
        </w:r>
      </w:del>
    </w:p>
    <w:p w14:paraId="4B230806" w14:textId="0EB0467F" w:rsidR="00D0749B" w:rsidRPr="008912CF" w:rsidRDefault="00D0749B" w:rsidP="00D0749B">
      <w:pPr>
        <w:pStyle w:val="BodyText3"/>
        <w:keepNext/>
        <w:ind w:right="0"/>
        <w:rPr>
          <w:del w:id="3279" w:author="AbbVie2" w:date="2025-05-13T16:36:00Z"/>
          <w:szCs w:val="22"/>
        </w:rPr>
      </w:pPr>
    </w:p>
    <w:p w14:paraId="19F7A313" w14:textId="7B8279A6" w:rsidR="00D0749B" w:rsidRPr="008912CF" w:rsidRDefault="00615769" w:rsidP="00D0749B">
      <w:pPr>
        <w:keepNext/>
        <w:tabs>
          <w:tab w:val="left" w:pos="6840"/>
        </w:tabs>
        <w:autoSpaceDE w:val="0"/>
        <w:autoSpaceDN w:val="0"/>
        <w:adjustRightInd w:val="0"/>
        <w:rPr>
          <w:del w:id="3280" w:author="AbbVie2" w:date="2025-05-13T16:36:00Z"/>
          <w:sz w:val="22"/>
          <w:szCs w:val="22"/>
        </w:rPr>
      </w:pPr>
      <w:del w:id="3281" w:author="AbbVie2" w:date="2025-05-13T16:36:00Z">
        <w:r w:rsidRPr="008912CF">
          <w:rPr>
            <w:sz w:val="22"/>
            <w:szCs w:val="22"/>
          </w:rPr>
          <w:delText xml:space="preserve">A segurança e eficácia de Humira foram avaliadas num estudo multicêntrico, aleatorizado, </w:delText>
        </w:r>
        <w:r>
          <w:rPr>
            <w:sz w:val="22"/>
            <w:szCs w:val="22"/>
          </w:rPr>
          <w:delText>em dupla ocultação</w:delText>
        </w:r>
        <w:r w:rsidRPr="008912CF">
          <w:rPr>
            <w:sz w:val="22"/>
            <w:szCs w:val="22"/>
          </w:rPr>
          <w:delText xml:space="preserve">, </w:delText>
        </w:r>
        <w:r>
          <w:rPr>
            <w:sz w:val="22"/>
            <w:szCs w:val="22"/>
          </w:rPr>
          <w:delText xml:space="preserve">de grupo </w:delText>
        </w:r>
        <w:r w:rsidRPr="008912CF">
          <w:rPr>
            <w:sz w:val="22"/>
            <w:szCs w:val="22"/>
          </w:rPr>
          <w:delText>paralelo, em 171 crianças (4</w:delText>
        </w:r>
        <w:r w:rsidRPr="008912CF">
          <w:rPr>
            <w:sz w:val="22"/>
            <w:szCs w:val="22"/>
          </w:rPr>
          <w:noBreakHyphen/>
          <w:delText>17</w:delText>
        </w:r>
        <w:r>
          <w:rPr>
            <w:sz w:val="22"/>
            <w:szCs w:val="22"/>
          </w:rPr>
          <w:delText> </w:delText>
        </w:r>
        <w:r w:rsidRPr="008912CF">
          <w:rPr>
            <w:sz w:val="22"/>
            <w:szCs w:val="22"/>
          </w:rPr>
          <w:delText xml:space="preserve">anos de idade) com AIJ poliarticular. Na fase aberta de introdução (OL LI) os doentes foram distribuídos por dois grupos, tratados com MTX (metotrexato) e não tratados com MTX. Os doentes que se encontravam no grupo dos não tratados com MTX eram doentes sem terapêutica </w:delText>
        </w:r>
        <w:r>
          <w:rPr>
            <w:sz w:val="22"/>
            <w:szCs w:val="22"/>
          </w:rPr>
          <w:delText xml:space="preserve">prévia </w:delText>
        </w:r>
        <w:r w:rsidRPr="008912CF">
          <w:rPr>
            <w:sz w:val="22"/>
            <w:szCs w:val="22"/>
          </w:rPr>
          <w:delText xml:space="preserve">com MTX ou que haviam abandonado MTX pelo menos duas semanas antes da administração do medicamento em estudo. Os doentes permaneceram com doses estáveis de </w:delText>
        </w:r>
        <w:r>
          <w:rPr>
            <w:sz w:val="22"/>
            <w:szCs w:val="22"/>
          </w:rPr>
          <w:delText>medicamentos</w:delText>
        </w:r>
        <w:r w:rsidRPr="0070539E">
          <w:rPr>
            <w:sz w:val="22"/>
            <w:szCs w:val="22"/>
          </w:rPr>
          <w:delText xml:space="preserve"> anti-inflamatórios não</w:delText>
        </w:r>
        <w:r>
          <w:rPr>
            <w:sz w:val="22"/>
            <w:szCs w:val="22"/>
          </w:rPr>
          <w:delText xml:space="preserve"> </w:delText>
        </w:r>
        <w:r w:rsidRPr="0070539E">
          <w:rPr>
            <w:sz w:val="22"/>
            <w:szCs w:val="22"/>
          </w:rPr>
          <w:delText xml:space="preserve">esteroides </w:delText>
        </w:r>
        <w:r>
          <w:rPr>
            <w:sz w:val="22"/>
            <w:szCs w:val="22"/>
          </w:rPr>
          <w:delText>(</w:delText>
        </w:r>
        <w:r w:rsidRPr="008912CF">
          <w:rPr>
            <w:sz w:val="22"/>
            <w:szCs w:val="22"/>
          </w:rPr>
          <w:delText>AINEs</w:delText>
        </w:r>
        <w:r>
          <w:rPr>
            <w:sz w:val="22"/>
            <w:szCs w:val="22"/>
          </w:rPr>
          <w:delText>)</w:delText>
        </w:r>
        <w:r w:rsidRPr="008912CF">
          <w:rPr>
            <w:sz w:val="22"/>
            <w:szCs w:val="22"/>
          </w:rPr>
          <w:delText xml:space="preserve"> e ou prednisona (</w:delText>
        </w:r>
        <w:r w:rsidRPr="008912CF">
          <w:rPr>
            <w:rFonts w:ascii="Symbol" w:hAnsi="Symbol"/>
            <w:sz w:val="22"/>
            <w:szCs w:val="22"/>
          </w:rPr>
          <w:sym w:font="Symbol" w:char="F0A3"/>
        </w:r>
        <w:r w:rsidRPr="008912CF">
          <w:rPr>
            <w:sz w:val="22"/>
            <w:szCs w:val="22"/>
          </w:rPr>
          <w:delText> 0,2</w:delText>
        </w:r>
        <w:r>
          <w:rPr>
            <w:sz w:val="22"/>
            <w:szCs w:val="22"/>
          </w:rPr>
          <w:delText> </w:delText>
        </w:r>
        <w:r w:rsidRPr="008912CF">
          <w:rPr>
            <w:sz w:val="22"/>
            <w:szCs w:val="22"/>
          </w:rPr>
          <w:delText>m</w:delText>
        </w:r>
        <w:r w:rsidRPr="008912CF">
          <w:rPr>
            <w:sz w:val="22"/>
            <w:szCs w:val="22"/>
          </w:rPr>
          <w:delText>g/kg/dia ou 10</w:delText>
        </w:r>
        <w:r>
          <w:rPr>
            <w:sz w:val="22"/>
            <w:szCs w:val="22"/>
          </w:rPr>
          <w:delText> </w:delText>
        </w:r>
        <w:r w:rsidRPr="008912CF">
          <w:rPr>
            <w:sz w:val="22"/>
            <w:szCs w:val="22"/>
          </w:rPr>
          <w:delText>mg/dia no máximo). Na fase OL LI todos os doentes receberam 24 mg/m</w:delText>
        </w:r>
        <w:r w:rsidRPr="008912CF">
          <w:rPr>
            <w:sz w:val="22"/>
            <w:szCs w:val="22"/>
            <w:vertAlign w:val="superscript"/>
          </w:rPr>
          <w:delText>2</w:delText>
        </w:r>
        <w:r w:rsidRPr="008912CF">
          <w:rPr>
            <w:sz w:val="22"/>
            <w:szCs w:val="22"/>
          </w:rPr>
          <w:delText xml:space="preserve"> até um máximo de 40</w:delText>
        </w:r>
        <w:r>
          <w:rPr>
            <w:sz w:val="22"/>
            <w:szCs w:val="22"/>
          </w:rPr>
          <w:delText> </w:delText>
        </w:r>
        <w:r w:rsidRPr="008912CF">
          <w:rPr>
            <w:sz w:val="22"/>
            <w:szCs w:val="22"/>
          </w:rPr>
          <w:delText>mg de Humira, em semanas alternadas, durante 16</w:delText>
        </w:r>
        <w:r>
          <w:rPr>
            <w:sz w:val="22"/>
            <w:szCs w:val="22"/>
          </w:rPr>
          <w:delText> </w:delText>
        </w:r>
        <w:r w:rsidRPr="008912CF">
          <w:rPr>
            <w:sz w:val="22"/>
            <w:szCs w:val="22"/>
          </w:rPr>
          <w:delText>semanas. A distribuição dos doentes por idade e a</w:delText>
        </w:r>
        <w:r>
          <w:rPr>
            <w:sz w:val="22"/>
            <w:szCs w:val="22"/>
          </w:rPr>
          <w:delText>s</w:delText>
        </w:r>
        <w:r w:rsidRPr="008912CF">
          <w:rPr>
            <w:sz w:val="22"/>
            <w:szCs w:val="22"/>
          </w:rPr>
          <w:delText xml:space="preserve"> dose</w:delText>
        </w:r>
        <w:r>
          <w:rPr>
            <w:sz w:val="22"/>
            <w:szCs w:val="22"/>
          </w:rPr>
          <w:delText>s</w:delText>
        </w:r>
        <w:r w:rsidRPr="008912CF">
          <w:rPr>
            <w:sz w:val="22"/>
            <w:szCs w:val="22"/>
          </w:rPr>
          <w:delText xml:space="preserve"> mínima, média e máxima recebida</w:delText>
        </w:r>
        <w:r>
          <w:rPr>
            <w:sz w:val="22"/>
            <w:szCs w:val="22"/>
          </w:rPr>
          <w:delText>s</w:delText>
        </w:r>
        <w:r w:rsidRPr="008912CF">
          <w:rPr>
            <w:sz w:val="22"/>
            <w:szCs w:val="22"/>
          </w:rPr>
          <w:delText xml:space="preserve"> durante a fase OL LI são apresentadas na Tabela </w:delText>
        </w:r>
        <w:r w:rsidR="00D105CA">
          <w:rPr>
            <w:sz w:val="22"/>
            <w:szCs w:val="22"/>
          </w:rPr>
          <w:delText>20</w:delText>
        </w:r>
        <w:r>
          <w:rPr>
            <w:sz w:val="22"/>
            <w:szCs w:val="22"/>
          </w:rPr>
          <w:delText>.</w:delText>
        </w:r>
      </w:del>
    </w:p>
    <w:p w14:paraId="4C37E206" w14:textId="5781D7E7" w:rsidR="00D0749B" w:rsidRPr="008912CF" w:rsidRDefault="00D0749B" w:rsidP="00D0749B">
      <w:pPr>
        <w:tabs>
          <w:tab w:val="left" w:pos="6840"/>
        </w:tabs>
        <w:autoSpaceDE w:val="0"/>
        <w:autoSpaceDN w:val="0"/>
        <w:adjustRightInd w:val="0"/>
        <w:ind w:right="53"/>
        <w:rPr>
          <w:del w:id="3282" w:author="AbbVie2" w:date="2025-05-13T16:36:00Z"/>
          <w:sz w:val="22"/>
          <w:szCs w:val="22"/>
        </w:rPr>
      </w:pPr>
    </w:p>
    <w:p w14:paraId="16E6DD05" w14:textId="647A6784" w:rsidR="00D0749B" w:rsidRPr="008912CF" w:rsidRDefault="00615769" w:rsidP="00D0749B">
      <w:pPr>
        <w:pStyle w:val="BodyTextIndent"/>
        <w:keepNext/>
        <w:ind w:left="110" w:right="53" w:firstLine="0"/>
        <w:jc w:val="center"/>
        <w:rPr>
          <w:del w:id="3283" w:author="AbbVie2" w:date="2025-05-13T16:36:00Z"/>
          <w:color w:val="auto"/>
          <w:szCs w:val="22"/>
        </w:rPr>
      </w:pPr>
      <w:del w:id="3284" w:author="AbbVie2" w:date="2025-05-13T16:36:00Z">
        <w:r w:rsidRPr="008912CF">
          <w:rPr>
            <w:color w:val="auto"/>
            <w:szCs w:val="22"/>
          </w:rPr>
          <w:delText xml:space="preserve">Tabela </w:delText>
        </w:r>
        <w:r w:rsidR="00D105CA">
          <w:rPr>
            <w:color w:val="auto"/>
            <w:szCs w:val="22"/>
          </w:rPr>
          <w:delText>20</w:delText>
        </w:r>
      </w:del>
    </w:p>
    <w:p w14:paraId="31B9BE51" w14:textId="6482C9CA" w:rsidR="00D0749B" w:rsidRPr="008912CF" w:rsidRDefault="00615769" w:rsidP="00D0749B">
      <w:pPr>
        <w:pStyle w:val="BodyTextIndent"/>
        <w:keepNext/>
        <w:ind w:left="110" w:right="53" w:firstLine="0"/>
        <w:jc w:val="center"/>
        <w:rPr>
          <w:del w:id="3285" w:author="AbbVie2" w:date="2025-05-13T16:36:00Z"/>
          <w:color w:val="auto"/>
          <w:szCs w:val="22"/>
        </w:rPr>
      </w:pPr>
      <w:del w:id="3286" w:author="AbbVie2" w:date="2025-05-13T16:36:00Z">
        <w:r w:rsidRPr="008912CF">
          <w:rPr>
            <w:bCs/>
            <w:color w:val="auto"/>
            <w:szCs w:val="22"/>
          </w:rPr>
          <w:delText xml:space="preserve">Distribuição dos doentes por idade e dose de adalimumab recebida durante a fase OL </w:delText>
        </w:r>
        <w:r w:rsidRPr="008912CF">
          <w:rPr>
            <w:color w:val="auto"/>
            <w:szCs w:val="22"/>
          </w:rPr>
          <w:delText>LI</w:delText>
        </w:r>
      </w:del>
    </w:p>
    <w:p w14:paraId="3DC6F76D" w14:textId="08842CEB" w:rsidR="00D0749B" w:rsidRPr="008912CF" w:rsidRDefault="00D0749B" w:rsidP="00D0749B">
      <w:pPr>
        <w:pStyle w:val="BodyTextIndent"/>
        <w:keepNext/>
        <w:ind w:left="110" w:right="53" w:firstLine="0"/>
        <w:jc w:val="center"/>
        <w:rPr>
          <w:del w:id="3287" w:author="AbbVie2" w:date="2025-05-13T16:36:00Z"/>
          <w:color w:val="auto"/>
          <w:szCs w:val="22"/>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1"/>
        <w:gridCol w:w="3432"/>
        <w:gridCol w:w="3158"/>
      </w:tblGrid>
      <w:tr w:rsidR="00A7162A" w14:paraId="7559690F" w14:textId="148F182A" w:rsidTr="00D105CA">
        <w:trPr>
          <w:cantSplit/>
          <w:del w:id="3288" w:author="AbbVie2" w:date="2025-05-13T16:36:00Z"/>
        </w:trPr>
        <w:tc>
          <w:tcPr>
            <w:tcW w:w="2418" w:type="dxa"/>
          </w:tcPr>
          <w:p w14:paraId="150EEDD0" w14:textId="2FC20DF2" w:rsidR="00D0749B" w:rsidRPr="008912CF" w:rsidRDefault="00615769" w:rsidP="00D105CA">
            <w:pPr>
              <w:pStyle w:val="BodyTextIndent"/>
              <w:keepNext/>
              <w:ind w:left="0" w:right="53" w:firstLine="0"/>
              <w:rPr>
                <w:del w:id="3289" w:author="AbbVie2" w:date="2025-05-13T16:36:00Z"/>
                <w:bCs/>
                <w:color w:val="auto"/>
                <w:szCs w:val="22"/>
              </w:rPr>
            </w:pPr>
            <w:del w:id="3290" w:author="AbbVie2" w:date="2025-05-13T16:36:00Z">
              <w:r w:rsidRPr="008912CF">
                <w:rPr>
                  <w:bCs/>
                  <w:color w:val="auto"/>
                  <w:szCs w:val="22"/>
                </w:rPr>
                <w:delText>Grupo etário</w:delText>
              </w:r>
            </w:del>
          </w:p>
        </w:tc>
        <w:tc>
          <w:tcPr>
            <w:tcW w:w="3520" w:type="dxa"/>
          </w:tcPr>
          <w:p w14:paraId="78C5F689" w14:textId="3B4A6709" w:rsidR="00D0749B" w:rsidRPr="008912CF" w:rsidRDefault="00615769" w:rsidP="00D105CA">
            <w:pPr>
              <w:pStyle w:val="BodyTextIndent"/>
              <w:keepNext/>
              <w:ind w:left="0" w:right="53" w:firstLine="0"/>
              <w:rPr>
                <w:del w:id="3291" w:author="AbbVie2" w:date="2025-05-13T16:36:00Z"/>
                <w:bCs/>
                <w:color w:val="auto"/>
                <w:szCs w:val="22"/>
              </w:rPr>
            </w:pPr>
            <w:del w:id="3292" w:author="AbbVie2" w:date="2025-05-13T16:36:00Z">
              <w:r w:rsidRPr="008912CF">
                <w:rPr>
                  <w:bCs/>
                  <w:color w:val="auto"/>
                  <w:szCs w:val="22"/>
                </w:rPr>
                <w:delText>Número de doentes na avaliação basal n (%)</w:delText>
              </w:r>
            </w:del>
          </w:p>
        </w:tc>
        <w:tc>
          <w:tcPr>
            <w:tcW w:w="3239" w:type="dxa"/>
          </w:tcPr>
          <w:p w14:paraId="5D8FEBE4" w14:textId="612CF3BA" w:rsidR="00D0749B" w:rsidRPr="008912CF" w:rsidRDefault="00615769" w:rsidP="00D105CA">
            <w:pPr>
              <w:pStyle w:val="BodyTextIndent"/>
              <w:keepNext/>
              <w:ind w:left="0" w:right="53" w:firstLine="0"/>
              <w:rPr>
                <w:del w:id="3293" w:author="AbbVie2" w:date="2025-05-13T16:36:00Z"/>
                <w:bCs/>
                <w:color w:val="auto"/>
                <w:szCs w:val="22"/>
              </w:rPr>
            </w:pPr>
            <w:del w:id="3294" w:author="AbbVie2" w:date="2025-05-13T16:36:00Z">
              <w:r w:rsidRPr="008912CF">
                <w:rPr>
                  <w:bCs/>
                  <w:color w:val="auto"/>
                  <w:szCs w:val="22"/>
                </w:rPr>
                <w:delText>Dose mínima, média e máxima</w:delText>
              </w:r>
            </w:del>
          </w:p>
        </w:tc>
      </w:tr>
      <w:tr w:rsidR="00A7162A" w14:paraId="7211F7A7" w14:textId="26010DD9" w:rsidTr="00D105CA">
        <w:trPr>
          <w:cantSplit/>
          <w:del w:id="3295" w:author="AbbVie2" w:date="2025-05-13T16:36:00Z"/>
        </w:trPr>
        <w:tc>
          <w:tcPr>
            <w:tcW w:w="2418" w:type="dxa"/>
          </w:tcPr>
          <w:p w14:paraId="02205F7C" w14:textId="75F183A7" w:rsidR="00D0749B" w:rsidRPr="008912CF" w:rsidRDefault="00615769" w:rsidP="00D105CA">
            <w:pPr>
              <w:pStyle w:val="BodyTextIndent"/>
              <w:keepNext/>
              <w:ind w:left="0" w:right="53" w:firstLine="0"/>
              <w:rPr>
                <w:del w:id="3296" w:author="AbbVie2" w:date="2025-05-13T16:36:00Z"/>
                <w:b w:val="0"/>
                <w:bCs/>
                <w:color w:val="auto"/>
                <w:szCs w:val="22"/>
              </w:rPr>
            </w:pPr>
            <w:del w:id="3297" w:author="AbbVie2" w:date="2025-05-13T16:36:00Z">
              <w:r w:rsidRPr="008912CF">
                <w:rPr>
                  <w:b w:val="0"/>
                  <w:bCs/>
                  <w:color w:val="auto"/>
                  <w:szCs w:val="22"/>
                </w:rPr>
                <w:delText>4 a 7 anos</w:delText>
              </w:r>
            </w:del>
          </w:p>
        </w:tc>
        <w:tc>
          <w:tcPr>
            <w:tcW w:w="3520" w:type="dxa"/>
          </w:tcPr>
          <w:p w14:paraId="2EFBD56A" w14:textId="41089378" w:rsidR="00D0749B" w:rsidRPr="008912CF" w:rsidRDefault="00615769" w:rsidP="00D105CA">
            <w:pPr>
              <w:pStyle w:val="BodyTextIndent"/>
              <w:keepNext/>
              <w:ind w:left="0" w:right="53" w:firstLine="0"/>
              <w:rPr>
                <w:del w:id="3298" w:author="AbbVie2" w:date="2025-05-13T16:36:00Z"/>
                <w:b w:val="0"/>
                <w:bCs/>
                <w:color w:val="auto"/>
                <w:szCs w:val="22"/>
              </w:rPr>
            </w:pPr>
            <w:del w:id="3299" w:author="AbbVie2" w:date="2025-05-13T16:36:00Z">
              <w:r w:rsidRPr="008912CF">
                <w:rPr>
                  <w:b w:val="0"/>
                  <w:bCs/>
                  <w:color w:val="auto"/>
                  <w:szCs w:val="22"/>
                </w:rPr>
                <w:delText>31 (18,1)</w:delText>
              </w:r>
            </w:del>
          </w:p>
        </w:tc>
        <w:tc>
          <w:tcPr>
            <w:tcW w:w="3239" w:type="dxa"/>
          </w:tcPr>
          <w:p w14:paraId="0E371449" w14:textId="17A4BD5B" w:rsidR="00D0749B" w:rsidRPr="008912CF" w:rsidRDefault="00615769" w:rsidP="00D105CA">
            <w:pPr>
              <w:pStyle w:val="BodyTextIndent"/>
              <w:keepNext/>
              <w:ind w:left="0" w:right="53" w:firstLine="0"/>
              <w:rPr>
                <w:del w:id="3300" w:author="AbbVie2" w:date="2025-05-13T16:36:00Z"/>
                <w:b w:val="0"/>
                <w:bCs/>
                <w:color w:val="auto"/>
                <w:szCs w:val="22"/>
              </w:rPr>
            </w:pPr>
            <w:del w:id="3301" w:author="AbbVie2" w:date="2025-05-13T16:36:00Z">
              <w:r w:rsidRPr="008912CF">
                <w:rPr>
                  <w:b w:val="0"/>
                  <w:bCs/>
                  <w:color w:val="auto"/>
                  <w:szCs w:val="22"/>
                </w:rPr>
                <w:delText>10, 20 e 25 mg</w:delText>
              </w:r>
            </w:del>
          </w:p>
        </w:tc>
      </w:tr>
      <w:tr w:rsidR="00A7162A" w14:paraId="34408CE5" w14:textId="0126DB9E" w:rsidTr="00D105CA">
        <w:trPr>
          <w:cantSplit/>
          <w:del w:id="3302" w:author="AbbVie2" w:date="2025-05-13T16:36:00Z"/>
        </w:trPr>
        <w:tc>
          <w:tcPr>
            <w:tcW w:w="2418" w:type="dxa"/>
          </w:tcPr>
          <w:p w14:paraId="3656B848" w14:textId="05BE91B6" w:rsidR="00D0749B" w:rsidRPr="008912CF" w:rsidRDefault="00615769" w:rsidP="00D105CA">
            <w:pPr>
              <w:pStyle w:val="BodyTextIndent"/>
              <w:keepNext/>
              <w:ind w:left="0" w:right="53" w:firstLine="0"/>
              <w:rPr>
                <w:del w:id="3303" w:author="AbbVie2" w:date="2025-05-13T16:36:00Z"/>
                <w:b w:val="0"/>
                <w:bCs/>
                <w:color w:val="auto"/>
                <w:szCs w:val="22"/>
              </w:rPr>
            </w:pPr>
            <w:del w:id="3304" w:author="AbbVie2" w:date="2025-05-13T16:36:00Z">
              <w:r w:rsidRPr="008912CF">
                <w:rPr>
                  <w:b w:val="0"/>
                  <w:bCs/>
                  <w:color w:val="auto"/>
                  <w:szCs w:val="22"/>
                </w:rPr>
                <w:delText>8 a 12 anos</w:delText>
              </w:r>
            </w:del>
          </w:p>
        </w:tc>
        <w:tc>
          <w:tcPr>
            <w:tcW w:w="3520" w:type="dxa"/>
          </w:tcPr>
          <w:p w14:paraId="37E86A50" w14:textId="47D7D326" w:rsidR="00D0749B" w:rsidRPr="008912CF" w:rsidRDefault="00615769" w:rsidP="00D105CA">
            <w:pPr>
              <w:pStyle w:val="BodyTextIndent"/>
              <w:keepNext/>
              <w:ind w:left="0" w:right="53" w:firstLine="0"/>
              <w:rPr>
                <w:del w:id="3305" w:author="AbbVie2" w:date="2025-05-13T16:36:00Z"/>
                <w:b w:val="0"/>
                <w:bCs/>
                <w:color w:val="auto"/>
                <w:szCs w:val="22"/>
              </w:rPr>
            </w:pPr>
            <w:del w:id="3306" w:author="AbbVie2" w:date="2025-05-13T16:36:00Z">
              <w:r w:rsidRPr="008912CF">
                <w:rPr>
                  <w:b w:val="0"/>
                  <w:bCs/>
                  <w:color w:val="auto"/>
                  <w:szCs w:val="22"/>
                </w:rPr>
                <w:delText>71 (41,5)</w:delText>
              </w:r>
            </w:del>
          </w:p>
        </w:tc>
        <w:tc>
          <w:tcPr>
            <w:tcW w:w="3239" w:type="dxa"/>
          </w:tcPr>
          <w:p w14:paraId="6A4355D4" w14:textId="5D863833" w:rsidR="00D0749B" w:rsidRPr="008912CF" w:rsidRDefault="00615769" w:rsidP="00D105CA">
            <w:pPr>
              <w:pStyle w:val="BodyTextIndent"/>
              <w:keepNext/>
              <w:ind w:left="0" w:right="53" w:firstLine="0"/>
              <w:rPr>
                <w:del w:id="3307" w:author="AbbVie2" w:date="2025-05-13T16:36:00Z"/>
                <w:b w:val="0"/>
                <w:bCs/>
                <w:color w:val="auto"/>
                <w:szCs w:val="22"/>
              </w:rPr>
            </w:pPr>
            <w:del w:id="3308" w:author="AbbVie2" w:date="2025-05-13T16:36:00Z">
              <w:r w:rsidRPr="008912CF">
                <w:rPr>
                  <w:b w:val="0"/>
                  <w:bCs/>
                  <w:color w:val="auto"/>
                  <w:szCs w:val="22"/>
                </w:rPr>
                <w:delText>20, 25 e 40 mg</w:delText>
              </w:r>
            </w:del>
          </w:p>
        </w:tc>
      </w:tr>
      <w:tr w:rsidR="00A7162A" w14:paraId="2EA02FB3" w14:textId="27B0C531" w:rsidTr="00D105CA">
        <w:trPr>
          <w:cantSplit/>
          <w:del w:id="3309" w:author="AbbVie2" w:date="2025-05-13T16:36:00Z"/>
        </w:trPr>
        <w:tc>
          <w:tcPr>
            <w:tcW w:w="2418" w:type="dxa"/>
          </w:tcPr>
          <w:p w14:paraId="2B69EFBB" w14:textId="56F93706" w:rsidR="00D0749B" w:rsidRPr="008912CF" w:rsidRDefault="00615769" w:rsidP="00D105CA">
            <w:pPr>
              <w:pStyle w:val="BodyTextIndent"/>
              <w:keepNext/>
              <w:ind w:left="0" w:right="53" w:firstLine="0"/>
              <w:rPr>
                <w:del w:id="3310" w:author="AbbVie2" w:date="2025-05-13T16:36:00Z"/>
                <w:b w:val="0"/>
                <w:bCs/>
                <w:color w:val="auto"/>
                <w:szCs w:val="22"/>
              </w:rPr>
            </w:pPr>
            <w:del w:id="3311" w:author="AbbVie2" w:date="2025-05-13T16:36:00Z">
              <w:r w:rsidRPr="008912CF">
                <w:rPr>
                  <w:b w:val="0"/>
                  <w:bCs/>
                  <w:color w:val="auto"/>
                  <w:szCs w:val="22"/>
                </w:rPr>
                <w:delText>13 a 17 anos</w:delText>
              </w:r>
            </w:del>
          </w:p>
        </w:tc>
        <w:tc>
          <w:tcPr>
            <w:tcW w:w="3520" w:type="dxa"/>
          </w:tcPr>
          <w:p w14:paraId="1A1E97CD" w14:textId="4DBBD37B" w:rsidR="00D0749B" w:rsidRPr="008912CF" w:rsidRDefault="00615769" w:rsidP="00D105CA">
            <w:pPr>
              <w:pStyle w:val="BodyTextIndent"/>
              <w:keepNext/>
              <w:ind w:left="0" w:right="53" w:firstLine="0"/>
              <w:rPr>
                <w:del w:id="3312" w:author="AbbVie2" w:date="2025-05-13T16:36:00Z"/>
                <w:b w:val="0"/>
                <w:bCs/>
                <w:color w:val="auto"/>
                <w:szCs w:val="22"/>
              </w:rPr>
            </w:pPr>
            <w:del w:id="3313" w:author="AbbVie2" w:date="2025-05-13T16:36:00Z">
              <w:r w:rsidRPr="008912CF">
                <w:rPr>
                  <w:b w:val="0"/>
                  <w:bCs/>
                  <w:color w:val="auto"/>
                  <w:szCs w:val="22"/>
                </w:rPr>
                <w:delText>69 (40,4)</w:delText>
              </w:r>
            </w:del>
          </w:p>
        </w:tc>
        <w:tc>
          <w:tcPr>
            <w:tcW w:w="3239" w:type="dxa"/>
          </w:tcPr>
          <w:p w14:paraId="22B25629" w14:textId="3DE8D143" w:rsidR="00D0749B" w:rsidRPr="008912CF" w:rsidRDefault="00615769" w:rsidP="00D105CA">
            <w:pPr>
              <w:pStyle w:val="BodyTextIndent"/>
              <w:keepNext/>
              <w:ind w:left="0" w:right="53" w:firstLine="0"/>
              <w:rPr>
                <w:del w:id="3314" w:author="AbbVie2" w:date="2025-05-13T16:36:00Z"/>
                <w:b w:val="0"/>
                <w:bCs/>
                <w:color w:val="auto"/>
                <w:szCs w:val="22"/>
              </w:rPr>
            </w:pPr>
            <w:del w:id="3315" w:author="AbbVie2" w:date="2025-05-13T16:36:00Z">
              <w:r w:rsidRPr="008912CF">
                <w:rPr>
                  <w:b w:val="0"/>
                  <w:bCs/>
                  <w:color w:val="auto"/>
                  <w:szCs w:val="22"/>
                </w:rPr>
                <w:delText>25, 40 e 40 mg</w:delText>
              </w:r>
            </w:del>
          </w:p>
        </w:tc>
      </w:tr>
    </w:tbl>
    <w:p w14:paraId="5252A078" w14:textId="4389B813" w:rsidR="00D0749B" w:rsidRPr="008912CF" w:rsidRDefault="00D0749B" w:rsidP="00D0749B">
      <w:pPr>
        <w:tabs>
          <w:tab w:val="left" w:pos="6840"/>
        </w:tabs>
        <w:autoSpaceDE w:val="0"/>
        <w:autoSpaceDN w:val="0"/>
        <w:adjustRightInd w:val="0"/>
        <w:ind w:right="53"/>
        <w:rPr>
          <w:del w:id="3316" w:author="AbbVie2" w:date="2025-05-13T16:36:00Z"/>
          <w:sz w:val="22"/>
          <w:szCs w:val="22"/>
        </w:rPr>
      </w:pPr>
    </w:p>
    <w:p w14:paraId="46E30F82" w14:textId="528479C8" w:rsidR="00D0749B" w:rsidRPr="008912CF" w:rsidRDefault="00615769" w:rsidP="00D0749B">
      <w:pPr>
        <w:tabs>
          <w:tab w:val="left" w:pos="6840"/>
        </w:tabs>
        <w:autoSpaceDE w:val="0"/>
        <w:autoSpaceDN w:val="0"/>
        <w:adjustRightInd w:val="0"/>
        <w:ind w:right="51"/>
        <w:rPr>
          <w:del w:id="3317" w:author="AbbVie2" w:date="2025-05-13T16:36:00Z"/>
          <w:sz w:val="22"/>
          <w:szCs w:val="22"/>
        </w:rPr>
      </w:pPr>
      <w:del w:id="3318" w:author="AbbVie2" w:date="2025-05-13T16:36:00Z">
        <w:r w:rsidRPr="008912CF">
          <w:rPr>
            <w:sz w:val="22"/>
            <w:szCs w:val="22"/>
          </w:rPr>
          <w:delText xml:space="preserve">Os doentes com uma resposta ACR </w:delText>
        </w:r>
        <w:r>
          <w:rPr>
            <w:sz w:val="22"/>
            <w:szCs w:val="22"/>
          </w:rPr>
          <w:delText xml:space="preserve">Pediátrico </w:delText>
        </w:r>
        <w:r w:rsidRPr="008912CF">
          <w:rPr>
            <w:sz w:val="22"/>
            <w:szCs w:val="22"/>
          </w:rPr>
          <w:delText>30 à Semana</w:delText>
        </w:r>
        <w:r>
          <w:rPr>
            <w:sz w:val="22"/>
            <w:szCs w:val="22"/>
          </w:rPr>
          <w:delText> </w:delText>
        </w:r>
        <w:r w:rsidRPr="008912CF">
          <w:rPr>
            <w:sz w:val="22"/>
            <w:szCs w:val="22"/>
          </w:rPr>
          <w:delText xml:space="preserve">16 foram elegíveis para aleatorização na fase </w:delText>
        </w:r>
        <w:r>
          <w:rPr>
            <w:sz w:val="22"/>
            <w:szCs w:val="22"/>
          </w:rPr>
          <w:delText>em dupla ocultação</w:delText>
        </w:r>
        <w:r w:rsidRPr="008912CF">
          <w:rPr>
            <w:sz w:val="22"/>
            <w:szCs w:val="22"/>
          </w:rPr>
          <w:delText xml:space="preserve"> (DB) e receberam 24 mg/m</w:delText>
        </w:r>
        <w:r w:rsidRPr="008912CF">
          <w:rPr>
            <w:sz w:val="22"/>
            <w:szCs w:val="22"/>
            <w:vertAlign w:val="superscript"/>
          </w:rPr>
          <w:delText>2</w:delText>
        </w:r>
        <w:r w:rsidRPr="008912CF">
          <w:rPr>
            <w:sz w:val="22"/>
            <w:szCs w:val="22"/>
          </w:rPr>
          <w:delText xml:space="preserve"> de Humira até um máximo de 40</w:delText>
        </w:r>
        <w:r>
          <w:rPr>
            <w:sz w:val="22"/>
            <w:szCs w:val="22"/>
          </w:rPr>
          <w:delText> </w:delText>
        </w:r>
        <w:r w:rsidRPr="008912CF">
          <w:rPr>
            <w:sz w:val="22"/>
            <w:szCs w:val="22"/>
          </w:rPr>
          <w:delText xml:space="preserve">mg, ou placebo, em semanas alternadas, por mais 32 semanas ou até agravamento da doença. Os critérios de agravamento da doença foram definidos como um agravamento </w:delText>
        </w:r>
        <w:r w:rsidRPr="008912CF">
          <w:rPr>
            <w:rFonts w:ascii="Symbol" w:hAnsi="Symbol"/>
            <w:sz w:val="22"/>
            <w:szCs w:val="22"/>
          </w:rPr>
          <w:sym w:font="Symbol" w:char="F0B3"/>
        </w:r>
        <w:r w:rsidRPr="008912CF">
          <w:rPr>
            <w:sz w:val="22"/>
            <w:szCs w:val="22"/>
          </w:rPr>
          <w:delText> 30</w:delText>
        </w:r>
        <w:r>
          <w:rPr>
            <w:sz w:val="22"/>
            <w:szCs w:val="22"/>
          </w:rPr>
          <w:delText>%</w:delText>
        </w:r>
        <w:r w:rsidRPr="008912CF">
          <w:rPr>
            <w:sz w:val="22"/>
            <w:szCs w:val="22"/>
          </w:rPr>
          <w:delText xml:space="preserve"> na avaliação basal em </w:delText>
        </w:r>
        <w:r w:rsidRPr="008912CF">
          <w:rPr>
            <w:rFonts w:ascii="Symbol" w:hAnsi="Symbol"/>
            <w:sz w:val="22"/>
            <w:szCs w:val="22"/>
          </w:rPr>
          <w:sym w:font="Symbol" w:char="F0B3"/>
        </w:r>
        <w:r w:rsidRPr="008912CF">
          <w:rPr>
            <w:sz w:val="22"/>
            <w:szCs w:val="22"/>
          </w:rPr>
          <w:delText xml:space="preserve"> 3 dos 6 critérios principais do ACR </w:delText>
        </w:r>
        <w:r>
          <w:rPr>
            <w:sz w:val="22"/>
            <w:szCs w:val="22"/>
          </w:rPr>
          <w:delText>P</w:delText>
        </w:r>
        <w:r w:rsidRPr="008912CF">
          <w:rPr>
            <w:sz w:val="22"/>
            <w:szCs w:val="22"/>
          </w:rPr>
          <w:delText xml:space="preserve">ediátrico, </w:delText>
        </w:r>
        <w:r w:rsidRPr="008912CF">
          <w:rPr>
            <w:rFonts w:ascii="Symbol" w:hAnsi="Symbol"/>
            <w:sz w:val="22"/>
            <w:szCs w:val="22"/>
          </w:rPr>
          <w:sym w:font="Symbol" w:char="F0B3"/>
        </w:r>
        <w:r w:rsidRPr="008912CF">
          <w:rPr>
            <w:sz w:val="22"/>
            <w:szCs w:val="22"/>
          </w:rPr>
          <w:delText xml:space="preserve"> 2 articulações ativas e melhoria </w:delText>
        </w:r>
        <w:r w:rsidRPr="008912CF">
          <w:rPr>
            <w:rFonts w:ascii="Symbol" w:hAnsi="Symbol"/>
            <w:sz w:val="22"/>
            <w:szCs w:val="22"/>
          </w:rPr>
          <w:sym w:font="Symbol" w:char="F03E"/>
        </w:r>
        <w:r w:rsidRPr="008912CF">
          <w:rPr>
            <w:sz w:val="22"/>
            <w:szCs w:val="22"/>
          </w:rPr>
          <w:delText> 30</w:delText>
        </w:r>
        <w:r>
          <w:rPr>
            <w:sz w:val="22"/>
            <w:szCs w:val="22"/>
          </w:rPr>
          <w:delText>%</w:delText>
        </w:r>
        <w:r w:rsidRPr="008912CF">
          <w:rPr>
            <w:sz w:val="22"/>
            <w:szCs w:val="22"/>
          </w:rPr>
          <w:delText xml:space="preserve"> em não mais de 1 dos 6 critérios. Após 32 semanas ou em caso de agravamento da doença, os doentes eram elegíveis para participação na extensão d</w:delText>
        </w:r>
        <w:r>
          <w:rPr>
            <w:sz w:val="22"/>
            <w:szCs w:val="22"/>
          </w:rPr>
          <w:delText>e</w:delText>
        </w:r>
        <w:r w:rsidRPr="008912CF">
          <w:rPr>
            <w:sz w:val="22"/>
            <w:szCs w:val="22"/>
          </w:rPr>
          <w:delText xml:space="preserve"> fase aberta.</w:delText>
        </w:r>
      </w:del>
    </w:p>
    <w:p w14:paraId="0FD6C7FE" w14:textId="3F40CC84" w:rsidR="00D0749B" w:rsidRPr="008912CF" w:rsidRDefault="00D0749B" w:rsidP="00D0749B">
      <w:pPr>
        <w:tabs>
          <w:tab w:val="left" w:pos="6840"/>
        </w:tabs>
        <w:autoSpaceDE w:val="0"/>
        <w:autoSpaceDN w:val="0"/>
        <w:adjustRightInd w:val="0"/>
        <w:ind w:right="53"/>
        <w:rPr>
          <w:del w:id="3319" w:author="AbbVie2" w:date="2025-05-13T16:36:00Z"/>
          <w:sz w:val="22"/>
          <w:szCs w:val="22"/>
        </w:rPr>
      </w:pPr>
    </w:p>
    <w:p w14:paraId="3DC325FA" w14:textId="6CF256AA" w:rsidR="00D0749B" w:rsidRPr="008912CF" w:rsidRDefault="00615769" w:rsidP="00D0749B">
      <w:pPr>
        <w:pStyle w:val="EMEATitle"/>
        <w:keepNext/>
        <w:tabs>
          <w:tab w:val="clear" w:pos="562"/>
        </w:tabs>
        <w:suppressAutoHyphens w:val="0"/>
        <w:rPr>
          <w:del w:id="3320" w:author="AbbVie2" w:date="2025-05-13T16:36:00Z"/>
          <w:rFonts w:ascii="Times New Roman" w:hAnsi="Times New Roman"/>
          <w:bCs/>
          <w:caps w:val="0"/>
          <w:szCs w:val="22"/>
          <w:lang w:val="pt-PT"/>
        </w:rPr>
      </w:pPr>
      <w:del w:id="3321" w:author="AbbVie2" w:date="2025-05-13T16:36:00Z">
        <w:r w:rsidRPr="008912CF">
          <w:rPr>
            <w:rFonts w:ascii="Times New Roman" w:hAnsi="Times New Roman"/>
            <w:bCs/>
            <w:caps w:val="0"/>
            <w:szCs w:val="22"/>
            <w:lang w:val="pt-PT"/>
          </w:rPr>
          <w:delText xml:space="preserve">Tabela </w:delText>
        </w:r>
        <w:r w:rsidR="00D105CA">
          <w:rPr>
            <w:rFonts w:ascii="Times New Roman" w:hAnsi="Times New Roman"/>
            <w:bCs/>
            <w:caps w:val="0"/>
            <w:szCs w:val="22"/>
            <w:lang w:val="pt-PT"/>
          </w:rPr>
          <w:delText>21</w:delText>
        </w:r>
      </w:del>
    </w:p>
    <w:p w14:paraId="0294C556" w14:textId="702263FE" w:rsidR="00D0749B" w:rsidRPr="008912CF" w:rsidRDefault="00615769" w:rsidP="00D0749B">
      <w:pPr>
        <w:pStyle w:val="EMEATitle"/>
        <w:keepNext/>
        <w:tabs>
          <w:tab w:val="clear" w:pos="562"/>
        </w:tabs>
        <w:suppressAutoHyphens w:val="0"/>
        <w:rPr>
          <w:del w:id="3322" w:author="AbbVie2" w:date="2025-05-13T16:36:00Z"/>
          <w:rFonts w:ascii="Times New Roman" w:hAnsi="Times New Roman"/>
          <w:bCs/>
          <w:caps w:val="0"/>
          <w:szCs w:val="22"/>
          <w:lang w:val="pt-PT"/>
        </w:rPr>
      </w:pPr>
      <w:del w:id="3323" w:author="AbbVie2" w:date="2025-05-13T16:36:00Z">
        <w:r w:rsidRPr="008912CF">
          <w:rPr>
            <w:rFonts w:ascii="Times New Roman" w:hAnsi="Times New Roman"/>
            <w:bCs/>
            <w:caps w:val="0"/>
            <w:szCs w:val="22"/>
            <w:lang w:val="pt-PT"/>
          </w:rPr>
          <w:delText xml:space="preserve">Respostas ACR </w:delText>
        </w:r>
        <w:r>
          <w:rPr>
            <w:rFonts w:ascii="Times New Roman" w:hAnsi="Times New Roman"/>
            <w:bCs/>
            <w:caps w:val="0"/>
            <w:szCs w:val="22"/>
            <w:lang w:val="pt-PT"/>
          </w:rPr>
          <w:delText xml:space="preserve">Pediátrico </w:delText>
        </w:r>
        <w:r w:rsidRPr="008912CF">
          <w:rPr>
            <w:rFonts w:ascii="Times New Roman" w:hAnsi="Times New Roman"/>
            <w:bCs/>
            <w:caps w:val="0"/>
            <w:szCs w:val="22"/>
            <w:lang w:val="pt-PT"/>
          </w:rPr>
          <w:delText>30 no estudo AIJ</w:delText>
        </w:r>
      </w:del>
    </w:p>
    <w:p w14:paraId="20631BBB" w14:textId="72630633" w:rsidR="00D0749B" w:rsidRPr="008912CF" w:rsidRDefault="00D0749B" w:rsidP="00D0749B">
      <w:pPr>
        <w:pStyle w:val="EMEATitle"/>
        <w:keepNext/>
        <w:tabs>
          <w:tab w:val="clear" w:pos="562"/>
        </w:tabs>
        <w:suppressAutoHyphens w:val="0"/>
        <w:rPr>
          <w:del w:id="3324" w:author="AbbVie2" w:date="2025-05-13T16:36:00Z"/>
          <w:rFonts w:ascii="Times New Roman" w:hAnsi="Times New Roman"/>
          <w:bCs/>
          <w:caps w:val="0"/>
          <w:szCs w:val="22"/>
          <w:lang w:val="pt-PT"/>
        </w:rPr>
      </w:pPr>
    </w:p>
    <w:tbl>
      <w:tblPr>
        <w:tblW w:w="924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2"/>
        <w:gridCol w:w="1716"/>
        <w:gridCol w:w="1693"/>
        <w:gridCol w:w="1654"/>
        <w:gridCol w:w="1606"/>
      </w:tblGrid>
      <w:tr w:rsidR="00A7162A" w14:paraId="232D2550" w14:textId="432D01B3" w:rsidTr="00B538F3">
        <w:trPr>
          <w:cantSplit/>
          <w:del w:id="3325" w:author="AbbVie2" w:date="2025-05-13T16:36:00Z"/>
        </w:trPr>
        <w:tc>
          <w:tcPr>
            <w:tcW w:w="2572" w:type="dxa"/>
          </w:tcPr>
          <w:p w14:paraId="152BA437" w14:textId="65793556" w:rsidR="00D0749B" w:rsidRPr="008912CF" w:rsidRDefault="00615769" w:rsidP="00D105CA">
            <w:pPr>
              <w:pStyle w:val="BodyTextIndent"/>
              <w:keepNext/>
              <w:ind w:left="0" w:right="53" w:firstLine="0"/>
              <w:rPr>
                <w:del w:id="3326" w:author="AbbVie2" w:date="2025-05-13T16:36:00Z"/>
                <w:bCs/>
                <w:color w:val="auto"/>
                <w:szCs w:val="22"/>
              </w:rPr>
            </w:pPr>
            <w:del w:id="3327" w:author="AbbVie2" w:date="2025-05-13T16:36:00Z">
              <w:r w:rsidRPr="008912CF">
                <w:rPr>
                  <w:bCs/>
                  <w:color w:val="auto"/>
                  <w:szCs w:val="22"/>
                </w:rPr>
                <w:delText>Estratificação</w:delText>
              </w:r>
            </w:del>
          </w:p>
        </w:tc>
        <w:tc>
          <w:tcPr>
            <w:tcW w:w="3409" w:type="dxa"/>
            <w:gridSpan w:val="2"/>
          </w:tcPr>
          <w:p w14:paraId="46477CD7" w14:textId="7BA03C52" w:rsidR="00D0749B" w:rsidRPr="008912CF" w:rsidRDefault="00615769" w:rsidP="00D105CA">
            <w:pPr>
              <w:pStyle w:val="BodyTextIndent"/>
              <w:keepNext/>
              <w:ind w:left="0" w:right="53" w:firstLine="0"/>
              <w:jc w:val="center"/>
              <w:rPr>
                <w:del w:id="3328" w:author="AbbVie2" w:date="2025-05-13T16:36:00Z"/>
                <w:bCs/>
                <w:color w:val="auto"/>
                <w:szCs w:val="22"/>
              </w:rPr>
            </w:pPr>
            <w:del w:id="3329" w:author="AbbVie2" w:date="2025-05-13T16:36:00Z">
              <w:r w:rsidRPr="008912CF">
                <w:rPr>
                  <w:bCs/>
                  <w:color w:val="auto"/>
                  <w:szCs w:val="22"/>
                </w:rPr>
                <w:delText>MTX</w:delText>
              </w:r>
            </w:del>
          </w:p>
        </w:tc>
        <w:tc>
          <w:tcPr>
            <w:tcW w:w="3260" w:type="dxa"/>
            <w:gridSpan w:val="2"/>
          </w:tcPr>
          <w:p w14:paraId="3F8D1A0C" w14:textId="53035DA9" w:rsidR="00D0749B" w:rsidRPr="008912CF" w:rsidRDefault="00615769" w:rsidP="00D105CA">
            <w:pPr>
              <w:pStyle w:val="BodyTextIndent"/>
              <w:keepNext/>
              <w:ind w:left="0" w:right="53" w:firstLine="0"/>
              <w:jc w:val="center"/>
              <w:rPr>
                <w:del w:id="3330" w:author="AbbVie2" w:date="2025-05-13T16:36:00Z"/>
                <w:bCs/>
                <w:color w:val="auto"/>
                <w:szCs w:val="22"/>
              </w:rPr>
            </w:pPr>
            <w:del w:id="3331" w:author="AbbVie2" w:date="2025-05-13T16:36:00Z">
              <w:r w:rsidRPr="008912CF">
                <w:rPr>
                  <w:bCs/>
                  <w:color w:val="auto"/>
                  <w:szCs w:val="22"/>
                </w:rPr>
                <w:delText>Sem MTX</w:delText>
              </w:r>
            </w:del>
          </w:p>
        </w:tc>
      </w:tr>
      <w:tr w:rsidR="00A7162A" w14:paraId="6CB4CEE8" w14:textId="70B5F73D" w:rsidTr="00B538F3">
        <w:trPr>
          <w:cantSplit/>
          <w:del w:id="3332" w:author="AbbVie2" w:date="2025-05-13T16:36:00Z"/>
        </w:trPr>
        <w:tc>
          <w:tcPr>
            <w:tcW w:w="2572" w:type="dxa"/>
          </w:tcPr>
          <w:p w14:paraId="15FD3792" w14:textId="10C57742" w:rsidR="00D0749B" w:rsidRPr="008912CF" w:rsidRDefault="00615769" w:rsidP="00D105CA">
            <w:pPr>
              <w:pStyle w:val="BodyTextIndent"/>
              <w:keepNext/>
              <w:ind w:left="0" w:right="53" w:firstLine="0"/>
              <w:rPr>
                <w:del w:id="3333" w:author="AbbVie2" w:date="2025-05-13T16:36:00Z"/>
                <w:bCs/>
                <w:color w:val="auto"/>
                <w:szCs w:val="22"/>
              </w:rPr>
            </w:pPr>
            <w:del w:id="3334" w:author="AbbVie2" w:date="2025-05-13T16:36:00Z">
              <w:r w:rsidRPr="008912CF">
                <w:rPr>
                  <w:bCs/>
                  <w:color w:val="auto"/>
                  <w:szCs w:val="22"/>
                </w:rPr>
                <w:delText>Fase</w:delText>
              </w:r>
            </w:del>
          </w:p>
        </w:tc>
        <w:tc>
          <w:tcPr>
            <w:tcW w:w="3409" w:type="dxa"/>
            <w:gridSpan w:val="2"/>
          </w:tcPr>
          <w:p w14:paraId="2E4996C9" w14:textId="027CD9CD" w:rsidR="00D0749B" w:rsidRPr="008912CF" w:rsidRDefault="00D0749B" w:rsidP="00D105CA">
            <w:pPr>
              <w:pStyle w:val="BodyTextIndent"/>
              <w:keepNext/>
              <w:ind w:left="0" w:right="53" w:firstLine="0"/>
              <w:jc w:val="center"/>
              <w:rPr>
                <w:del w:id="3335" w:author="AbbVie2" w:date="2025-05-13T16:36:00Z"/>
                <w:bCs/>
                <w:color w:val="auto"/>
                <w:szCs w:val="22"/>
              </w:rPr>
            </w:pPr>
          </w:p>
        </w:tc>
        <w:tc>
          <w:tcPr>
            <w:tcW w:w="3260" w:type="dxa"/>
            <w:gridSpan w:val="2"/>
          </w:tcPr>
          <w:p w14:paraId="582A6014" w14:textId="0ABC3124" w:rsidR="00D0749B" w:rsidRPr="008912CF" w:rsidRDefault="00D0749B" w:rsidP="00D105CA">
            <w:pPr>
              <w:pStyle w:val="BodyTextIndent"/>
              <w:keepNext/>
              <w:ind w:left="0" w:right="53" w:firstLine="0"/>
              <w:jc w:val="center"/>
              <w:rPr>
                <w:del w:id="3336" w:author="AbbVie2" w:date="2025-05-13T16:36:00Z"/>
                <w:b w:val="0"/>
                <w:bCs/>
                <w:color w:val="auto"/>
                <w:szCs w:val="22"/>
              </w:rPr>
            </w:pPr>
          </w:p>
        </w:tc>
      </w:tr>
      <w:tr w:rsidR="00A7162A" w14:paraId="465764E1" w14:textId="09E5FF20" w:rsidTr="00B538F3">
        <w:trPr>
          <w:cantSplit/>
          <w:del w:id="3337" w:author="AbbVie2" w:date="2025-05-13T16:36:00Z"/>
        </w:trPr>
        <w:tc>
          <w:tcPr>
            <w:tcW w:w="2572" w:type="dxa"/>
          </w:tcPr>
          <w:p w14:paraId="6F728CD8" w14:textId="223E0B1E" w:rsidR="00D0749B" w:rsidRPr="008912CF" w:rsidRDefault="00615769" w:rsidP="00D105CA">
            <w:pPr>
              <w:pStyle w:val="BodyTextIndent"/>
              <w:keepNext/>
              <w:ind w:left="0" w:right="53" w:firstLine="0"/>
              <w:rPr>
                <w:del w:id="3338" w:author="AbbVie2" w:date="2025-05-13T16:36:00Z"/>
                <w:b w:val="0"/>
                <w:bCs/>
                <w:color w:val="auto"/>
                <w:szCs w:val="22"/>
              </w:rPr>
            </w:pPr>
            <w:del w:id="3339" w:author="AbbVie2" w:date="2025-05-13T16:36:00Z">
              <w:r w:rsidRPr="008912CF">
                <w:rPr>
                  <w:b w:val="0"/>
                  <w:bCs/>
                  <w:color w:val="auto"/>
                  <w:szCs w:val="22"/>
                </w:rPr>
                <w:delText xml:space="preserve">OL-LI </w:delText>
              </w:r>
              <w:r>
                <w:rPr>
                  <w:b w:val="0"/>
                  <w:bCs/>
                  <w:color w:val="auto"/>
                  <w:szCs w:val="22"/>
                </w:rPr>
                <w:delText xml:space="preserve">à Semana </w:delText>
              </w:r>
              <w:r w:rsidRPr="008912CF">
                <w:rPr>
                  <w:b w:val="0"/>
                  <w:bCs/>
                  <w:color w:val="auto"/>
                  <w:szCs w:val="22"/>
                </w:rPr>
                <w:delText>16</w:delText>
              </w:r>
            </w:del>
          </w:p>
        </w:tc>
        <w:tc>
          <w:tcPr>
            <w:tcW w:w="3409" w:type="dxa"/>
            <w:gridSpan w:val="2"/>
          </w:tcPr>
          <w:p w14:paraId="18923055" w14:textId="413D4CE0" w:rsidR="00D0749B" w:rsidRPr="008912CF" w:rsidRDefault="00D0749B" w:rsidP="00D105CA">
            <w:pPr>
              <w:pStyle w:val="BodyTextIndent"/>
              <w:keepNext/>
              <w:ind w:left="0" w:right="53" w:firstLine="0"/>
              <w:jc w:val="center"/>
              <w:rPr>
                <w:del w:id="3340" w:author="AbbVie2" w:date="2025-05-13T16:36:00Z"/>
                <w:b w:val="0"/>
                <w:bCs/>
                <w:color w:val="auto"/>
                <w:szCs w:val="22"/>
              </w:rPr>
            </w:pPr>
          </w:p>
        </w:tc>
        <w:tc>
          <w:tcPr>
            <w:tcW w:w="3260" w:type="dxa"/>
            <w:gridSpan w:val="2"/>
          </w:tcPr>
          <w:p w14:paraId="3B54FC14" w14:textId="67BAF215" w:rsidR="00D0749B" w:rsidRPr="008912CF" w:rsidRDefault="00D0749B" w:rsidP="00D105CA">
            <w:pPr>
              <w:pStyle w:val="BodyTextIndent"/>
              <w:keepNext/>
              <w:ind w:left="0" w:right="53" w:firstLine="0"/>
              <w:jc w:val="center"/>
              <w:rPr>
                <w:del w:id="3341" w:author="AbbVie2" w:date="2025-05-13T16:36:00Z"/>
                <w:b w:val="0"/>
                <w:bCs/>
                <w:color w:val="auto"/>
                <w:szCs w:val="22"/>
              </w:rPr>
            </w:pPr>
          </w:p>
        </w:tc>
      </w:tr>
      <w:tr w:rsidR="00A7162A" w14:paraId="5C5930A2" w14:textId="4D8A9307" w:rsidTr="00B538F3">
        <w:trPr>
          <w:cantSplit/>
          <w:del w:id="3342" w:author="AbbVie2" w:date="2025-05-13T16:36:00Z"/>
        </w:trPr>
        <w:tc>
          <w:tcPr>
            <w:tcW w:w="2572" w:type="dxa"/>
          </w:tcPr>
          <w:p w14:paraId="21C5EEDF" w14:textId="5EBBFE7E" w:rsidR="00D0749B" w:rsidRPr="008912CF" w:rsidRDefault="00615769" w:rsidP="00D105CA">
            <w:pPr>
              <w:pStyle w:val="BodyTextIndent"/>
              <w:keepNext/>
              <w:ind w:right="53" w:firstLine="0"/>
              <w:rPr>
                <w:del w:id="3343" w:author="AbbVie2" w:date="2025-05-13T16:36:00Z"/>
                <w:b w:val="0"/>
                <w:bCs/>
                <w:color w:val="auto"/>
                <w:szCs w:val="22"/>
              </w:rPr>
            </w:pPr>
            <w:del w:id="3344" w:author="AbbVie2" w:date="2025-05-13T16:36:00Z">
              <w:r w:rsidRPr="008912CF">
                <w:rPr>
                  <w:b w:val="0"/>
                  <w:bCs/>
                  <w:color w:val="auto"/>
                  <w:szCs w:val="22"/>
                </w:rPr>
                <w:delText>Resposta ACR Ped 30 (n/N)</w:delText>
              </w:r>
            </w:del>
          </w:p>
        </w:tc>
        <w:tc>
          <w:tcPr>
            <w:tcW w:w="3409" w:type="dxa"/>
            <w:gridSpan w:val="2"/>
          </w:tcPr>
          <w:p w14:paraId="4169A067" w14:textId="5C8A534E" w:rsidR="00D0749B" w:rsidRPr="008912CF" w:rsidRDefault="00615769" w:rsidP="00D105CA">
            <w:pPr>
              <w:pStyle w:val="BodyTextIndent"/>
              <w:keepNext/>
              <w:ind w:left="0" w:right="53" w:firstLine="0"/>
              <w:jc w:val="center"/>
              <w:rPr>
                <w:del w:id="3345" w:author="AbbVie2" w:date="2025-05-13T16:36:00Z"/>
                <w:b w:val="0"/>
                <w:bCs/>
                <w:color w:val="auto"/>
                <w:szCs w:val="22"/>
              </w:rPr>
            </w:pPr>
            <w:del w:id="3346" w:author="AbbVie2" w:date="2025-05-13T16:36:00Z">
              <w:r w:rsidRPr="008912CF">
                <w:rPr>
                  <w:b w:val="0"/>
                  <w:bCs/>
                  <w:color w:val="auto"/>
                  <w:szCs w:val="22"/>
                </w:rPr>
                <w:delText>94,1% (80/85)</w:delText>
              </w:r>
            </w:del>
          </w:p>
        </w:tc>
        <w:tc>
          <w:tcPr>
            <w:tcW w:w="3260" w:type="dxa"/>
            <w:gridSpan w:val="2"/>
          </w:tcPr>
          <w:p w14:paraId="0C3B5C86" w14:textId="4EBD419A" w:rsidR="00D0749B" w:rsidRPr="008912CF" w:rsidRDefault="00615769" w:rsidP="00D105CA">
            <w:pPr>
              <w:pStyle w:val="BodyTextIndent"/>
              <w:keepNext/>
              <w:ind w:left="0" w:right="53" w:firstLine="0"/>
              <w:jc w:val="center"/>
              <w:rPr>
                <w:del w:id="3347" w:author="AbbVie2" w:date="2025-05-13T16:36:00Z"/>
                <w:b w:val="0"/>
                <w:bCs/>
                <w:color w:val="auto"/>
                <w:szCs w:val="22"/>
              </w:rPr>
            </w:pPr>
            <w:del w:id="3348" w:author="AbbVie2" w:date="2025-05-13T16:36:00Z">
              <w:r w:rsidRPr="008912CF">
                <w:rPr>
                  <w:b w:val="0"/>
                  <w:bCs/>
                  <w:color w:val="auto"/>
                  <w:szCs w:val="22"/>
                </w:rPr>
                <w:delText>74,4% (64/86)</w:delText>
              </w:r>
            </w:del>
          </w:p>
        </w:tc>
      </w:tr>
      <w:tr w:rsidR="00A7162A" w14:paraId="264A976C" w14:textId="50C46FD4" w:rsidTr="00B538F3">
        <w:trPr>
          <w:cantSplit/>
          <w:del w:id="3349" w:author="AbbVie2" w:date="2025-05-13T16:36:00Z"/>
        </w:trPr>
        <w:tc>
          <w:tcPr>
            <w:tcW w:w="9241" w:type="dxa"/>
            <w:gridSpan w:val="5"/>
          </w:tcPr>
          <w:p w14:paraId="64AB9A48" w14:textId="5B4A69A9" w:rsidR="00D0749B" w:rsidRPr="008912CF" w:rsidRDefault="00615769" w:rsidP="00D105CA">
            <w:pPr>
              <w:pStyle w:val="BodyTextIndent"/>
              <w:keepNext/>
              <w:ind w:left="0" w:right="53" w:firstLine="0"/>
              <w:jc w:val="center"/>
              <w:rPr>
                <w:del w:id="3350" w:author="AbbVie2" w:date="2025-05-13T16:36:00Z"/>
                <w:b w:val="0"/>
                <w:bCs/>
                <w:color w:val="auto"/>
                <w:szCs w:val="22"/>
              </w:rPr>
            </w:pPr>
            <w:del w:id="3351" w:author="AbbVie2" w:date="2025-05-13T16:36:00Z">
              <w:r w:rsidRPr="008912CF">
                <w:rPr>
                  <w:b w:val="0"/>
                  <w:bCs/>
                  <w:color w:val="auto"/>
                  <w:szCs w:val="22"/>
                </w:rPr>
                <w:delText>Resultados de eficácia</w:delText>
              </w:r>
            </w:del>
          </w:p>
        </w:tc>
      </w:tr>
      <w:tr w:rsidR="00A7162A" w14:paraId="0E511B05" w14:textId="00B62711" w:rsidTr="00B538F3">
        <w:trPr>
          <w:del w:id="3352" w:author="AbbVie2" w:date="2025-05-13T16:36:00Z"/>
        </w:trPr>
        <w:tc>
          <w:tcPr>
            <w:tcW w:w="2572" w:type="dxa"/>
          </w:tcPr>
          <w:p w14:paraId="169FC6DB" w14:textId="261162BF" w:rsidR="00D0749B" w:rsidRPr="008912CF" w:rsidRDefault="00615769" w:rsidP="00D105CA">
            <w:pPr>
              <w:pStyle w:val="BodyTextIndent"/>
              <w:keepNext/>
              <w:ind w:left="0" w:right="53" w:firstLine="0"/>
              <w:rPr>
                <w:del w:id="3353" w:author="AbbVie2" w:date="2025-05-13T16:36:00Z"/>
                <w:b w:val="0"/>
                <w:bCs/>
                <w:color w:val="auto"/>
                <w:szCs w:val="22"/>
              </w:rPr>
            </w:pPr>
            <w:del w:id="3354" w:author="AbbVie2" w:date="2025-05-13T16:36:00Z">
              <w:r w:rsidRPr="008912CF">
                <w:rPr>
                  <w:b w:val="0"/>
                  <w:bCs/>
                  <w:color w:val="auto"/>
                  <w:szCs w:val="22"/>
                </w:rPr>
                <w:delText>Dupla</w:delText>
              </w:r>
              <w:r>
                <w:rPr>
                  <w:b w:val="0"/>
                  <w:bCs/>
                  <w:color w:val="auto"/>
                  <w:szCs w:val="22"/>
                </w:rPr>
                <w:delText xml:space="preserve"> ocultação à Semana </w:delText>
              </w:r>
              <w:r w:rsidRPr="008912CF">
                <w:rPr>
                  <w:b w:val="0"/>
                  <w:bCs/>
                  <w:color w:val="auto"/>
                  <w:szCs w:val="22"/>
                </w:rPr>
                <w:delText>32</w:delText>
              </w:r>
              <w:r>
                <w:rPr>
                  <w:b w:val="0"/>
                  <w:bCs/>
                  <w:color w:val="auto"/>
                  <w:szCs w:val="22"/>
                </w:rPr>
                <w:delText> </w:delText>
              </w:r>
            </w:del>
          </w:p>
        </w:tc>
        <w:tc>
          <w:tcPr>
            <w:tcW w:w="1716" w:type="dxa"/>
          </w:tcPr>
          <w:p w14:paraId="0A9C7104" w14:textId="772814BB" w:rsidR="00D0749B" w:rsidRPr="008912CF" w:rsidRDefault="00615769" w:rsidP="00D105CA">
            <w:pPr>
              <w:pStyle w:val="BodyTextIndent"/>
              <w:keepNext/>
              <w:ind w:left="0" w:right="53" w:firstLine="0"/>
              <w:rPr>
                <w:del w:id="3355" w:author="AbbVie2" w:date="2025-05-13T16:36:00Z"/>
                <w:b w:val="0"/>
                <w:bCs/>
                <w:color w:val="auto"/>
                <w:szCs w:val="22"/>
              </w:rPr>
            </w:pPr>
            <w:del w:id="3356" w:author="AbbVie2" w:date="2025-05-13T16:36:00Z">
              <w:r w:rsidRPr="008912CF">
                <w:rPr>
                  <w:b w:val="0"/>
                  <w:bCs/>
                  <w:color w:val="auto"/>
                  <w:szCs w:val="22"/>
                </w:rPr>
                <w:delText xml:space="preserve">Humira/MTX </w:delText>
              </w:r>
            </w:del>
          </w:p>
          <w:p w14:paraId="2EA8556F" w14:textId="21C84A80" w:rsidR="00D0749B" w:rsidRPr="008912CF" w:rsidRDefault="00615769" w:rsidP="00D105CA">
            <w:pPr>
              <w:pStyle w:val="BodyTextIndent"/>
              <w:keepNext/>
              <w:ind w:left="0" w:right="53" w:firstLine="0"/>
              <w:rPr>
                <w:del w:id="3357" w:author="AbbVie2" w:date="2025-05-13T16:36:00Z"/>
                <w:b w:val="0"/>
                <w:bCs/>
                <w:color w:val="auto"/>
                <w:szCs w:val="22"/>
              </w:rPr>
            </w:pPr>
            <w:del w:id="3358" w:author="AbbVie2" w:date="2025-05-13T16:36:00Z">
              <w:r w:rsidRPr="008912CF">
                <w:rPr>
                  <w:b w:val="0"/>
                  <w:bCs/>
                  <w:color w:val="auto"/>
                  <w:szCs w:val="22"/>
                </w:rPr>
                <w:delText>(N = 38)</w:delText>
              </w:r>
            </w:del>
          </w:p>
          <w:p w14:paraId="0AE258E5" w14:textId="1BDED4B0" w:rsidR="00D0749B" w:rsidRPr="008912CF" w:rsidRDefault="00D0749B" w:rsidP="00D105CA">
            <w:pPr>
              <w:pStyle w:val="BodyTextIndent"/>
              <w:keepNext/>
              <w:ind w:left="0" w:right="53" w:firstLine="0"/>
              <w:rPr>
                <w:del w:id="3359" w:author="AbbVie2" w:date="2025-05-13T16:36:00Z"/>
                <w:b w:val="0"/>
                <w:bCs/>
                <w:color w:val="auto"/>
                <w:szCs w:val="22"/>
              </w:rPr>
            </w:pPr>
          </w:p>
        </w:tc>
        <w:tc>
          <w:tcPr>
            <w:tcW w:w="1693" w:type="dxa"/>
          </w:tcPr>
          <w:p w14:paraId="28790D4E" w14:textId="57483BC8" w:rsidR="00D0749B" w:rsidRPr="008912CF" w:rsidRDefault="00615769" w:rsidP="00D105CA">
            <w:pPr>
              <w:pStyle w:val="BodyTextIndent"/>
              <w:keepNext/>
              <w:ind w:left="0" w:right="53" w:firstLine="0"/>
              <w:rPr>
                <w:del w:id="3360" w:author="AbbVie2" w:date="2025-05-13T16:36:00Z"/>
                <w:b w:val="0"/>
                <w:bCs/>
                <w:color w:val="auto"/>
                <w:szCs w:val="22"/>
              </w:rPr>
            </w:pPr>
            <w:del w:id="3361" w:author="AbbVie2" w:date="2025-05-13T16:36:00Z">
              <w:r w:rsidRPr="008912CF">
                <w:rPr>
                  <w:b w:val="0"/>
                  <w:bCs/>
                  <w:color w:val="auto"/>
                  <w:szCs w:val="22"/>
                </w:rPr>
                <w:delText>Placebo/MTX</w:delText>
              </w:r>
            </w:del>
          </w:p>
          <w:p w14:paraId="47002115" w14:textId="34677F16" w:rsidR="00D0749B" w:rsidRPr="008912CF" w:rsidRDefault="00615769" w:rsidP="00D105CA">
            <w:pPr>
              <w:pStyle w:val="BodyTextIndent"/>
              <w:keepNext/>
              <w:ind w:left="0" w:right="53" w:firstLine="0"/>
              <w:rPr>
                <w:del w:id="3362" w:author="AbbVie2" w:date="2025-05-13T16:36:00Z"/>
                <w:b w:val="0"/>
                <w:bCs/>
                <w:color w:val="auto"/>
                <w:szCs w:val="22"/>
              </w:rPr>
            </w:pPr>
            <w:del w:id="3363" w:author="AbbVie2" w:date="2025-05-13T16:36:00Z">
              <w:r w:rsidRPr="008912CF">
                <w:rPr>
                  <w:b w:val="0"/>
                  <w:bCs/>
                  <w:color w:val="auto"/>
                  <w:szCs w:val="22"/>
                </w:rPr>
                <w:delText>(N = 37)</w:delText>
              </w:r>
            </w:del>
          </w:p>
        </w:tc>
        <w:tc>
          <w:tcPr>
            <w:tcW w:w="1654" w:type="dxa"/>
          </w:tcPr>
          <w:p w14:paraId="6B0201DC" w14:textId="23C4AE1B" w:rsidR="00D0749B" w:rsidRPr="008912CF" w:rsidRDefault="00615769" w:rsidP="00D105CA">
            <w:pPr>
              <w:pStyle w:val="BodyTextIndent"/>
              <w:keepNext/>
              <w:ind w:left="0" w:right="53" w:firstLine="0"/>
              <w:rPr>
                <w:del w:id="3364" w:author="AbbVie2" w:date="2025-05-13T16:36:00Z"/>
                <w:b w:val="0"/>
                <w:bCs/>
                <w:color w:val="auto"/>
                <w:szCs w:val="22"/>
              </w:rPr>
            </w:pPr>
            <w:del w:id="3365" w:author="AbbVie2" w:date="2025-05-13T16:36:00Z">
              <w:r w:rsidRPr="008912CF">
                <w:rPr>
                  <w:b w:val="0"/>
                  <w:bCs/>
                  <w:color w:val="auto"/>
                  <w:szCs w:val="22"/>
                </w:rPr>
                <w:delText xml:space="preserve">Humira </w:delText>
              </w:r>
            </w:del>
          </w:p>
          <w:p w14:paraId="470E4FF4" w14:textId="0B552D12" w:rsidR="00D0749B" w:rsidRPr="008912CF" w:rsidRDefault="00615769" w:rsidP="00D105CA">
            <w:pPr>
              <w:pStyle w:val="BodyTextIndent"/>
              <w:keepNext/>
              <w:ind w:left="0" w:right="53" w:firstLine="0"/>
              <w:rPr>
                <w:del w:id="3366" w:author="AbbVie2" w:date="2025-05-13T16:36:00Z"/>
                <w:b w:val="0"/>
                <w:bCs/>
                <w:color w:val="auto"/>
                <w:szCs w:val="22"/>
              </w:rPr>
            </w:pPr>
            <w:del w:id="3367" w:author="AbbVie2" w:date="2025-05-13T16:36:00Z">
              <w:r w:rsidRPr="008912CF">
                <w:rPr>
                  <w:b w:val="0"/>
                  <w:bCs/>
                  <w:color w:val="auto"/>
                  <w:szCs w:val="22"/>
                </w:rPr>
                <w:delText>(N = 30)</w:delText>
              </w:r>
            </w:del>
          </w:p>
        </w:tc>
        <w:tc>
          <w:tcPr>
            <w:tcW w:w="1606" w:type="dxa"/>
          </w:tcPr>
          <w:p w14:paraId="0B1E2760" w14:textId="16699108" w:rsidR="00D0749B" w:rsidRPr="008912CF" w:rsidRDefault="00615769" w:rsidP="00D105CA">
            <w:pPr>
              <w:pStyle w:val="BodyTextIndent"/>
              <w:keepNext/>
              <w:ind w:left="0" w:right="53" w:firstLine="0"/>
              <w:rPr>
                <w:del w:id="3368" w:author="AbbVie2" w:date="2025-05-13T16:36:00Z"/>
                <w:b w:val="0"/>
                <w:bCs/>
                <w:color w:val="auto"/>
                <w:szCs w:val="22"/>
              </w:rPr>
            </w:pPr>
            <w:del w:id="3369" w:author="AbbVie2" w:date="2025-05-13T16:36:00Z">
              <w:r w:rsidRPr="008912CF">
                <w:rPr>
                  <w:b w:val="0"/>
                  <w:bCs/>
                  <w:color w:val="auto"/>
                  <w:szCs w:val="22"/>
                </w:rPr>
                <w:delText>Placebo</w:delText>
              </w:r>
            </w:del>
          </w:p>
          <w:p w14:paraId="1ED93849" w14:textId="3630944D" w:rsidR="00D0749B" w:rsidRPr="008912CF" w:rsidRDefault="00615769" w:rsidP="00D105CA">
            <w:pPr>
              <w:pStyle w:val="BodyTextIndent"/>
              <w:keepNext/>
              <w:ind w:left="0" w:right="53" w:firstLine="0"/>
              <w:rPr>
                <w:del w:id="3370" w:author="AbbVie2" w:date="2025-05-13T16:36:00Z"/>
                <w:b w:val="0"/>
                <w:bCs/>
                <w:color w:val="auto"/>
                <w:szCs w:val="22"/>
              </w:rPr>
            </w:pPr>
            <w:del w:id="3371" w:author="AbbVie2" w:date="2025-05-13T16:36:00Z">
              <w:r w:rsidRPr="008912CF">
                <w:rPr>
                  <w:b w:val="0"/>
                  <w:bCs/>
                  <w:color w:val="auto"/>
                  <w:szCs w:val="22"/>
                </w:rPr>
                <w:delText>(N = 28)</w:delText>
              </w:r>
            </w:del>
          </w:p>
        </w:tc>
      </w:tr>
      <w:tr w:rsidR="00A7162A" w14:paraId="09849419" w14:textId="1227CB31" w:rsidTr="00B538F3">
        <w:trPr>
          <w:del w:id="3372" w:author="AbbVie2" w:date="2025-05-13T16:36:00Z"/>
        </w:trPr>
        <w:tc>
          <w:tcPr>
            <w:tcW w:w="2572" w:type="dxa"/>
          </w:tcPr>
          <w:p w14:paraId="588641C4" w14:textId="5EAE97B1" w:rsidR="00D0749B" w:rsidRPr="008912CF" w:rsidRDefault="00615769" w:rsidP="00D105CA">
            <w:pPr>
              <w:pStyle w:val="BodyTextIndent"/>
              <w:keepNext/>
              <w:ind w:right="53" w:firstLine="0"/>
              <w:rPr>
                <w:del w:id="3373" w:author="AbbVie2" w:date="2025-05-13T16:36:00Z"/>
                <w:b w:val="0"/>
                <w:bCs/>
                <w:color w:val="auto"/>
                <w:szCs w:val="22"/>
              </w:rPr>
            </w:pPr>
            <w:del w:id="3374" w:author="AbbVie2" w:date="2025-05-13T16:36:00Z">
              <w:r w:rsidRPr="008912CF">
                <w:rPr>
                  <w:b w:val="0"/>
                  <w:bCs/>
                  <w:color w:val="auto"/>
                  <w:szCs w:val="22"/>
                </w:rPr>
                <w:delText>Agravamento da doença no final das 32</w:delText>
              </w:r>
              <w:r>
                <w:rPr>
                  <w:b w:val="0"/>
                  <w:bCs/>
                  <w:color w:val="auto"/>
                  <w:szCs w:val="22"/>
                </w:rPr>
                <w:delText> </w:delText>
              </w:r>
              <w:r w:rsidRPr="008912CF">
                <w:rPr>
                  <w:b w:val="0"/>
                  <w:bCs/>
                  <w:color w:val="auto"/>
                  <w:szCs w:val="22"/>
                </w:rPr>
                <w:delText>semanas</w:delText>
              </w:r>
              <w:r w:rsidRPr="008912CF">
                <w:rPr>
                  <w:b w:val="0"/>
                  <w:bCs/>
                  <w:color w:val="auto"/>
                  <w:szCs w:val="22"/>
                  <w:vertAlign w:val="superscript"/>
                </w:rPr>
                <w:delText>a</w:delText>
              </w:r>
              <w:r w:rsidRPr="008912CF">
                <w:rPr>
                  <w:b w:val="0"/>
                  <w:bCs/>
                  <w:color w:val="auto"/>
                  <w:szCs w:val="22"/>
                </w:rPr>
                <w:delText xml:space="preserve"> (n/N)</w:delText>
              </w:r>
            </w:del>
          </w:p>
        </w:tc>
        <w:tc>
          <w:tcPr>
            <w:tcW w:w="1716" w:type="dxa"/>
          </w:tcPr>
          <w:p w14:paraId="3195E9D3" w14:textId="3974201E" w:rsidR="00D0749B" w:rsidRPr="008912CF" w:rsidRDefault="00615769" w:rsidP="00D105CA">
            <w:pPr>
              <w:pStyle w:val="BodyTextIndent"/>
              <w:keepNext/>
              <w:ind w:left="0" w:right="53" w:firstLine="0"/>
              <w:rPr>
                <w:del w:id="3375" w:author="AbbVie2" w:date="2025-05-13T16:36:00Z"/>
                <w:b w:val="0"/>
                <w:bCs/>
                <w:color w:val="auto"/>
                <w:szCs w:val="22"/>
              </w:rPr>
            </w:pPr>
            <w:del w:id="3376" w:author="AbbVie2" w:date="2025-05-13T16:36:00Z">
              <w:r w:rsidRPr="008912CF">
                <w:rPr>
                  <w:b w:val="0"/>
                  <w:bCs/>
                  <w:color w:val="auto"/>
                  <w:szCs w:val="22"/>
                </w:rPr>
                <w:delText>36,8% (14/38)</w:delText>
              </w:r>
            </w:del>
          </w:p>
        </w:tc>
        <w:tc>
          <w:tcPr>
            <w:tcW w:w="1693" w:type="dxa"/>
          </w:tcPr>
          <w:p w14:paraId="5F381386" w14:textId="11494D5C" w:rsidR="00D0749B" w:rsidRPr="008912CF" w:rsidRDefault="00615769" w:rsidP="00D105CA">
            <w:pPr>
              <w:pStyle w:val="BodyTextIndent"/>
              <w:keepNext/>
              <w:ind w:left="0" w:right="53" w:firstLine="0"/>
              <w:rPr>
                <w:del w:id="3377" w:author="AbbVie2" w:date="2025-05-13T16:36:00Z"/>
                <w:b w:val="0"/>
                <w:bCs/>
                <w:color w:val="auto"/>
                <w:szCs w:val="22"/>
              </w:rPr>
            </w:pPr>
            <w:del w:id="3378" w:author="AbbVie2" w:date="2025-05-13T16:36:00Z">
              <w:r w:rsidRPr="008912CF">
                <w:rPr>
                  <w:b w:val="0"/>
                  <w:bCs/>
                  <w:color w:val="auto"/>
                  <w:szCs w:val="22"/>
                </w:rPr>
                <w:delText>64,9% (24/37)</w:delText>
              </w:r>
              <w:r w:rsidRPr="008912CF">
                <w:rPr>
                  <w:b w:val="0"/>
                  <w:bCs/>
                  <w:color w:val="auto"/>
                  <w:szCs w:val="22"/>
                  <w:vertAlign w:val="superscript"/>
                </w:rPr>
                <w:delText>b</w:delText>
              </w:r>
            </w:del>
          </w:p>
        </w:tc>
        <w:tc>
          <w:tcPr>
            <w:tcW w:w="1654" w:type="dxa"/>
          </w:tcPr>
          <w:p w14:paraId="0551EDA6" w14:textId="079F5315" w:rsidR="00D0749B" w:rsidRPr="008912CF" w:rsidRDefault="00615769" w:rsidP="00D105CA">
            <w:pPr>
              <w:pStyle w:val="BodyTextIndent"/>
              <w:keepNext/>
              <w:ind w:left="0" w:right="53" w:firstLine="0"/>
              <w:rPr>
                <w:del w:id="3379" w:author="AbbVie2" w:date="2025-05-13T16:36:00Z"/>
                <w:b w:val="0"/>
                <w:bCs/>
                <w:color w:val="auto"/>
                <w:szCs w:val="22"/>
              </w:rPr>
            </w:pPr>
            <w:del w:id="3380" w:author="AbbVie2" w:date="2025-05-13T16:36:00Z">
              <w:r w:rsidRPr="008912CF">
                <w:rPr>
                  <w:b w:val="0"/>
                  <w:bCs/>
                  <w:color w:val="auto"/>
                  <w:szCs w:val="22"/>
                </w:rPr>
                <w:delText>43,3% (13/30)</w:delText>
              </w:r>
            </w:del>
          </w:p>
        </w:tc>
        <w:tc>
          <w:tcPr>
            <w:tcW w:w="1606" w:type="dxa"/>
          </w:tcPr>
          <w:p w14:paraId="3316B759" w14:textId="56D3B085" w:rsidR="00D0749B" w:rsidRPr="008912CF" w:rsidRDefault="00615769" w:rsidP="00D105CA">
            <w:pPr>
              <w:pStyle w:val="BodyTextIndent"/>
              <w:keepNext/>
              <w:ind w:left="0" w:right="53" w:firstLine="0"/>
              <w:rPr>
                <w:del w:id="3381" w:author="AbbVie2" w:date="2025-05-13T16:36:00Z"/>
                <w:b w:val="0"/>
                <w:bCs/>
                <w:color w:val="auto"/>
                <w:szCs w:val="22"/>
              </w:rPr>
            </w:pPr>
            <w:del w:id="3382" w:author="AbbVie2" w:date="2025-05-13T16:36:00Z">
              <w:r w:rsidRPr="008912CF">
                <w:rPr>
                  <w:b w:val="0"/>
                  <w:bCs/>
                  <w:color w:val="auto"/>
                  <w:szCs w:val="22"/>
                </w:rPr>
                <w:delText>71,4% (20/28)</w:delText>
              </w:r>
              <w:r w:rsidRPr="008912CF">
                <w:rPr>
                  <w:b w:val="0"/>
                  <w:bCs/>
                  <w:color w:val="auto"/>
                  <w:szCs w:val="22"/>
                  <w:vertAlign w:val="superscript"/>
                </w:rPr>
                <w:delText>c</w:delText>
              </w:r>
            </w:del>
          </w:p>
        </w:tc>
      </w:tr>
      <w:tr w:rsidR="00A7162A" w14:paraId="4DC04FF8" w14:textId="6D1DFC70" w:rsidTr="00B538F3">
        <w:trPr>
          <w:del w:id="3383" w:author="AbbVie2" w:date="2025-05-13T16:36:00Z"/>
        </w:trPr>
        <w:tc>
          <w:tcPr>
            <w:tcW w:w="2572" w:type="dxa"/>
          </w:tcPr>
          <w:p w14:paraId="3E32307D" w14:textId="5A6F6F14" w:rsidR="00D0749B" w:rsidRPr="008912CF" w:rsidRDefault="00615769" w:rsidP="00D105CA">
            <w:pPr>
              <w:pStyle w:val="BodyTextIndent"/>
              <w:keepNext/>
              <w:ind w:right="53" w:firstLine="0"/>
              <w:rPr>
                <w:del w:id="3384" w:author="AbbVie2" w:date="2025-05-13T16:36:00Z"/>
                <w:b w:val="0"/>
                <w:bCs/>
                <w:color w:val="auto"/>
                <w:szCs w:val="22"/>
              </w:rPr>
            </w:pPr>
            <w:del w:id="3385" w:author="AbbVie2" w:date="2025-05-13T16:36:00Z">
              <w:r w:rsidRPr="008912CF">
                <w:rPr>
                  <w:b w:val="0"/>
                  <w:bCs/>
                  <w:color w:val="auto"/>
                  <w:szCs w:val="22"/>
                </w:rPr>
                <w:delText xml:space="preserve">Tempo </w:delText>
              </w:r>
              <w:r>
                <w:rPr>
                  <w:b w:val="0"/>
                  <w:bCs/>
                  <w:color w:val="auto"/>
                  <w:szCs w:val="22"/>
                </w:rPr>
                <w:delText>mediano</w:delText>
              </w:r>
              <w:r w:rsidRPr="008912CF">
                <w:rPr>
                  <w:b w:val="0"/>
                  <w:bCs/>
                  <w:color w:val="auto"/>
                  <w:szCs w:val="22"/>
                </w:rPr>
                <w:delText xml:space="preserve"> para agravamento da doença</w:delText>
              </w:r>
            </w:del>
          </w:p>
        </w:tc>
        <w:tc>
          <w:tcPr>
            <w:tcW w:w="1716" w:type="dxa"/>
          </w:tcPr>
          <w:p w14:paraId="267B0819" w14:textId="5AFF9257" w:rsidR="00D0749B" w:rsidRPr="008912CF" w:rsidRDefault="00615769" w:rsidP="00D105CA">
            <w:pPr>
              <w:pStyle w:val="BodyTextIndent"/>
              <w:keepNext/>
              <w:ind w:left="0" w:right="53" w:firstLine="0"/>
              <w:rPr>
                <w:del w:id="3386" w:author="AbbVie2" w:date="2025-05-13T16:36:00Z"/>
                <w:b w:val="0"/>
                <w:bCs/>
                <w:color w:val="auto"/>
                <w:szCs w:val="22"/>
              </w:rPr>
            </w:pPr>
            <w:del w:id="3387" w:author="AbbVie2" w:date="2025-05-13T16:36:00Z">
              <w:r w:rsidRPr="008912CF">
                <w:rPr>
                  <w:b w:val="0"/>
                  <w:bCs/>
                  <w:color w:val="auto"/>
                  <w:szCs w:val="22"/>
                </w:rPr>
                <w:delText>&gt;32</w:delText>
              </w:r>
              <w:r>
                <w:rPr>
                  <w:b w:val="0"/>
                  <w:bCs/>
                  <w:color w:val="auto"/>
                  <w:szCs w:val="22"/>
                </w:rPr>
                <w:delText> </w:delText>
              </w:r>
              <w:r w:rsidRPr="008912CF">
                <w:rPr>
                  <w:b w:val="0"/>
                  <w:bCs/>
                  <w:color w:val="auto"/>
                  <w:szCs w:val="22"/>
                </w:rPr>
                <w:delText>semanas</w:delText>
              </w:r>
            </w:del>
          </w:p>
        </w:tc>
        <w:tc>
          <w:tcPr>
            <w:tcW w:w="1693" w:type="dxa"/>
          </w:tcPr>
          <w:p w14:paraId="58F27502" w14:textId="172DC3E6" w:rsidR="00D0749B" w:rsidRPr="008912CF" w:rsidRDefault="00615769" w:rsidP="00D105CA">
            <w:pPr>
              <w:pStyle w:val="BodyTextIndent"/>
              <w:keepNext/>
              <w:ind w:left="0" w:right="53" w:firstLine="0"/>
              <w:rPr>
                <w:del w:id="3388" w:author="AbbVie2" w:date="2025-05-13T16:36:00Z"/>
                <w:b w:val="0"/>
                <w:bCs/>
                <w:color w:val="auto"/>
                <w:szCs w:val="22"/>
              </w:rPr>
            </w:pPr>
            <w:del w:id="3389" w:author="AbbVie2" w:date="2025-05-13T16:36:00Z">
              <w:r w:rsidRPr="008912CF">
                <w:rPr>
                  <w:b w:val="0"/>
                  <w:bCs/>
                  <w:color w:val="auto"/>
                  <w:szCs w:val="22"/>
                </w:rPr>
                <w:delText>20</w:delText>
              </w:r>
              <w:r>
                <w:rPr>
                  <w:b w:val="0"/>
                  <w:bCs/>
                  <w:color w:val="auto"/>
                  <w:szCs w:val="22"/>
                </w:rPr>
                <w:delText> </w:delText>
              </w:r>
              <w:r w:rsidRPr="008912CF">
                <w:rPr>
                  <w:b w:val="0"/>
                  <w:bCs/>
                  <w:color w:val="auto"/>
                  <w:szCs w:val="22"/>
                </w:rPr>
                <w:delText>semanas</w:delText>
              </w:r>
            </w:del>
          </w:p>
        </w:tc>
        <w:tc>
          <w:tcPr>
            <w:tcW w:w="1654" w:type="dxa"/>
          </w:tcPr>
          <w:p w14:paraId="687FA3F8" w14:textId="7FB2B8FB" w:rsidR="00D0749B" w:rsidRPr="008912CF" w:rsidRDefault="00615769" w:rsidP="00D105CA">
            <w:pPr>
              <w:pStyle w:val="BodyTextIndent"/>
              <w:keepNext/>
              <w:ind w:left="0" w:right="53" w:firstLine="0"/>
              <w:rPr>
                <w:del w:id="3390" w:author="AbbVie2" w:date="2025-05-13T16:36:00Z"/>
                <w:b w:val="0"/>
                <w:bCs/>
                <w:color w:val="auto"/>
                <w:szCs w:val="22"/>
              </w:rPr>
            </w:pPr>
            <w:del w:id="3391" w:author="AbbVie2" w:date="2025-05-13T16:36:00Z">
              <w:r w:rsidRPr="008912CF">
                <w:rPr>
                  <w:b w:val="0"/>
                  <w:bCs/>
                  <w:color w:val="auto"/>
                  <w:szCs w:val="22"/>
                </w:rPr>
                <w:delText>&gt;32</w:delText>
              </w:r>
              <w:r>
                <w:rPr>
                  <w:b w:val="0"/>
                  <w:bCs/>
                  <w:color w:val="auto"/>
                  <w:szCs w:val="22"/>
                </w:rPr>
                <w:delText> </w:delText>
              </w:r>
              <w:r w:rsidRPr="008912CF">
                <w:rPr>
                  <w:b w:val="0"/>
                  <w:bCs/>
                  <w:color w:val="auto"/>
                  <w:szCs w:val="22"/>
                </w:rPr>
                <w:delText>semanas</w:delText>
              </w:r>
            </w:del>
          </w:p>
        </w:tc>
        <w:tc>
          <w:tcPr>
            <w:tcW w:w="1606" w:type="dxa"/>
          </w:tcPr>
          <w:p w14:paraId="03C23D8F" w14:textId="0DCC2E6E" w:rsidR="00D0749B" w:rsidRPr="008912CF" w:rsidRDefault="00615769" w:rsidP="00D105CA">
            <w:pPr>
              <w:pStyle w:val="BodyTextIndent"/>
              <w:keepNext/>
              <w:ind w:left="0" w:right="53" w:firstLine="0"/>
              <w:rPr>
                <w:del w:id="3392" w:author="AbbVie2" w:date="2025-05-13T16:36:00Z"/>
                <w:b w:val="0"/>
                <w:bCs/>
                <w:color w:val="auto"/>
                <w:szCs w:val="22"/>
              </w:rPr>
            </w:pPr>
            <w:del w:id="3393" w:author="AbbVie2" w:date="2025-05-13T16:36:00Z">
              <w:r w:rsidRPr="008912CF">
                <w:rPr>
                  <w:b w:val="0"/>
                  <w:bCs/>
                  <w:color w:val="auto"/>
                  <w:szCs w:val="22"/>
                </w:rPr>
                <w:delText>14</w:delText>
              </w:r>
              <w:r>
                <w:rPr>
                  <w:b w:val="0"/>
                  <w:bCs/>
                  <w:color w:val="auto"/>
                  <w:szCs w:val="22"/>
                </w:rPr>
                <w:delText> </w:delText>
              </w:r>
              <w:r w:rsidRPr="008912CF">
                <w:rPr>
                  <w:b w:val="0"/>
                  <w:bCs/>
                  <w:color w:val="auto"/>
                  <w:szCs w:val="22"/>
                </w:rPr>
                <w:delText>semanas</w:delText>
              </w:r>
            </w:del>
          </w:p>
        </w:tc>
      </w:tr>
    </w:tbl>
    <w:p w14:paraId="65C8BFB3" w14:textId="0E962A2D" w:rsidR="00D0749B" w:rsidRPr="008912CF" w:rsidRDefault="00615769" w:rsidP="00D0749B">
      <w:pPr>
        <w:pStyle w:val="BodyTextIndent"/>
        <w:ind w:left="110" w:right="53" w:firstLine="0"/>
        <w:rPr>
          <w:del w:id="3394" w:author="AbbVie2" w:date="2025-05-13T16:36:00Z"/>
          <w:b w:val="0"/>
          <w:bCs/>
          <w:i/>
          <w:iCs/>
          <w:color w:val="auto"/>
          <w:szCs w:val="22"/>
        </w:rPr>
      </w:pPr>
      <w:del w:id="3395" w:author="AbbVie2" w:date="2025-05-13T16:36:00Z">
        <w:r w:rsidRPr="008912CF">
          <w:rPr>
            <w:b w:val="0"/>
            <w:bCs/>
            <w:color w:val="auto"/>
            <w:szCs w:val="22"/>
            <w:vertAlign w:val="superscript"/>
          </w:rPr>
          <w:delText xml:space="preserve">a </w:delText>
        </w:r>
        <w:r w:rsidRPr="008912CF">
          <w:rPr>
            <w:b w:val="0"/>
            <w:bCs/>
            <w:color w:val="auto"/>
            <w:szCs w:val="22"/>
          </w:rPr>
          <w:delText xml:space="preserve">Respostas ACR </w:delText>
        </w:r>
        <w:r>
          <w:rPr>
            <w:b w:val="0"/>
            <w:bCs/>
            <w:color w:val="auto"/>
            <w:szCs w:val="22"/>
          </w:rPr>
          <w:delText>P</w:delText>
        </w:r>
        <w:r w:rsidRPr="008912CF">
          <w:rPr>
            <w:b w:val="0"/>
            <w:bCs/>
            <w:color w:val="auto"/>
            <w:szCs w:val="22"/>
          </w:rPr>
          <w:delText xml:space="preserve">ed 30/50/70 à Semana 48 significativamente superiores às observadas nos doentes tratados com placebo </w:delText>
        </w:r>
      </w:del>
    </w:p>
    <w:p w14:paraId="616F115D" w14:textId="4DDAE3F3" w:rsidR="00D0749B" w:rsidRPr="008912CF" w:rsidRDefault="00615769" w:rsidP="00D0749B">
      <w:pPr>
        <w:pStyle w:val="BodyTextIndent"/>
        <w:ind w:left="110" w:right="53" w:firstLine="0"/>
        <w:rPr>
          <w:del w:id="3396" w:author="AbbVie2" w:date="2025-05-13T16:36:00Z"/>
          <w:b w:val="0"/>
          <w:bCs/>
          <w:color w:val="auto"/>
          <w:szCs w:val="22"/>
        </w:rPr>
      </w:pPr>
      <w:del w:id="3397" w:author="AbbVie2" w:date="2025-05-13T16:36:00Z">
        <w:r w:rsidRPr="008912CF">
          <w:rPr>
            <w:b w:val="0"/>
            <w:bCs/>
            <w:color w:val="auto"/>
            <w:szCs w:val="22"/>
            <w:vertAlign w:val="superscript"/>
          </w:rPr>
          <w:delText>b</w:delText>
        </w:r>
        <w:r w:rsidRPr="008912CF">
          <w:rPr>
            <w:b w:val="0"/>
            <w:bCs/>
            <w:color w:val="auto"/>
            <w:szCs w:val="22"/>
          </w:rPr>
          <w:delText xml:space="preserve"> p = 0,015</w:delText>
        </w:r>
      </w:del>
    </w:p>
    <w:p w14:paraId="7CFA06BB" w14:textId="3634C74E" w:rsidR="00D0749B" w:rsidRPr="008912CF" w:rsidRDefault="00615769" w:rsidP="00D0749B">
      <w:pPr>
        <w:pStyle w:val="BodyTextIndent"/>
        <w:ind w:left="110" w:right="53" w:firstLine="0"/>
        <w:rPr>
          <w:del w:id="3398" w:author="AbbVie2" w:date="2025-05-13T16:36:00Z"/>
          <w:b w:val="0"/>
          <w:bCs/>
          <w:color w:val="auto"/>
          <w:szCs w:val="22"/>
        </w:rPr>
      </w:pPr>
      <w:del w:id="3399" w:author="AbbVie2" w:date="2025-05-13T16:36:00Z">
        <w:r w:rsidRPr="008912CF">
          <w:rPr>
            <w:b w:val="0"/>
            <w:bCs/>
            <w:color w:val="auto"/>
            <w:szCs w:val="22"/>
            <w:vertAlign w:val="superscript"/>
          </w:rPr>
          <w:delText>c</w:delText>
        </w:r>
        <w:r w:rsidRPr="008912CF">
          <w:rPr>
            <w:b w:val="0"/>
            <w:bCs/>
            <w:color w:val="auto"/>
            <w:szCs w:val="22"/>
          </w:rPr>
          <w:delText xml:space="preserve"> p = 0,031</w:delText>
        </w:r>
      </w:del>
    </w:p>
    <w:p w14:paraId="1EE12DFE" w14:textId="21CEDE8B" w:rsidR="00D0749B" w:rsidRPr="008912CF" w:rsidRDefault="00D0749B" w:rsidP="00D0749B">
      <w:pPr>
        <w:pStyle w:val="BodyTextIndent"/>
        <w:ind w:left="110" w:right="53" w:firstLine="0"/>
        <w:rPr>
          <w:del w:id="3400" w:author="AbbVie2" w:date="2025-05-13T16:36:00Z"/>
          <w:b w:val="0"/>
          <w:bCs/>
          <w:color w:val="auto"/>
          <w:szCs w:val="22"/>
        </w:rPr>
      </w:pPr>
    </w:p>
    <w:p w14:paraId="3FAE3F11" w14:textId="7F2AB219" w:rsidR="00D0749B" w:rsidRPr="008912CF" w:rsidRDefault="00615769" w:rsidP="00D0749B">
      <w:pPr>
        <w:pStyle w:val="BodyTextIndent"/>
        <w:ind w:left="0" w:firstLine="0"/>
        <w:rPr>
          <w:del w:id="3401" w:author="AbbVie2" w:date="2025-05-13T16:36:00Z"/>
          <w:b w:val="0"/>
          <w:bCs/>
          <w:color w:val="auto"/>
          <w:szCs w:val="22"/>
          <w:vertAlign w:val="superscript"/>
        </w:rPr>
      </w:pPr>
      <w:del w:id="3402" w:author="AbbVie2" w:date="2025-05-13T16:36:00Z">
        <w:r w:rsidRPr="008912CF">
          <w:rPr>
            <w:b w:val="0"/>
            <w:color w:val="auto"/>
            <w:szCs w:val="22"/>
          </w:rPr>
          <w:delText>Entre os doentes que responderam à Semana</w:delText>
        </w:r>
        <w:r>
          <w:rPr>
            <w:b w:val="0"/>
            <w:color w:val="auto"/>
            <w:szCs w:val="22"/>
          </w:rPr>
          <w:delText> </w:delText>
        </w:r>
        <w:r w:rsidRPr="008912CF">
          <w:rPr>
            <w:b w:val="0"/>
            <w:color w:val="auto"/>
            <w:szCs w:val="22"/>
          </w:rPr>
          <w:delText xml:space="preserve">16 (n=144), as respostas ACR </w:delText>
        </w:r>
        <w:r>
          <w:rPr>
            <w:b w:val="0"/>
            <w:color w:val="auto"/>
            <w:szCs w:val="22"/>
          </w:rPr>
          <w:delText xml:space="preserve">Pediátrico </w:delText>
        </w:r>
        <w:r w:rsidRPr="008912CF">
          <w:rPr>
            <w:b w:val="0"/>
            <w:color w:val="auto"/>
            <w:szCs w:val="22"/>
          </w:rPr>
          <w:delText xml:space="preserve">30/50/70/90 foram mantidas até seis anos na fase OLE nos doentes que receberam Humira durante o estudo. Um total de </w:delText>
        </w:r>
        <w:r w:rsidRPr="008912CF">
          <w:rPr>
            <w:rStyle w:val="longtext"/>
            <w:b w:val="0"/>
            <w:color w:val="auto"/>
            <w:szCs w:val="22"/>
            <w:shd w:val="clear" w:color="auto" w:fill="FFFFFF"/>
          </w:rPr>
          <w:delText>19 doentes, dos quais 11 do grupo etário de base 4-12</w:delText>
        </w:r>
        <w:r>
          <w:rPr>
            <w:rStyle w:val="longtext"/>
            <w:b w:val="0"/>
            <w:color w:val="auto"/>
            <w:szCs w:val="22"/>
            <w:shd w:val="clear" w:color="auto" w:fill="FFFFFF"/>
          </w:rPr>
          <w:delText xml:space="preserve"> anos</w:delText>
        </w:r>
        <w:r w:rsidRPr="008912CF">
          <w:rPr>
            <w:rStyle w:val="longtext"/>
            <w:b w:val="0"/>
            <w:color w:val="auto"/>
            <w:szCs w:val="22"/>
            <w:shd w:val="clear" w:color="auto" w:fill="FFFFFF"/>
          </w:rPr>
          <w:delText xml:space="preserve"> e 8 do grupo etário de </w:delText>
        </w:r>
        <w:r>
          <w:rPr>
            <w:rStyle w:val="longtext"/>
            <w:b w:val="0"/>
            <w:color w:val="auto"/>
            <w:szCs w:val="22"/>
            <w:shd w:val="clear" w:color="auto" w:fill="FFFFFF"/>
          </w:rPr>
          <w:delText>base</w:delText>
        </w:r>
        <w:r w:rsidRPr="008912CF">
          <w:rPr>
            <w:rStyle w:val="longtext"/>
            <w:b w:val="0"/>
            <w:color w:val="auto"/>
            <w:szCs w:val="22"/>
            <w:shd w:val="clear" w:color="auto" w:fill="FFFFFF"/>
          </w:rPr>
          <w:delText xml:space="preserve"> de 13 a 17 anos, foram tratados durante 6</w:delText>
        </w:r>
        <w:r>
          <w:rPr>
            <w:rStyle w:val="longtext"/>
            <w:b w:val="0"/>
            <w:color w:val="auto"/>
            <w:szCs w:val="22"/>
            <w:shd w:val="clear" w:color="auto" w:fill="FFFFFF"/>
          </w:rPr>
          <w:delText> </w:delText>
        </w:r>
        <w:r w:rsidRPr="008912CF">
          <w:rPr>
            <w:rStyle w:val="longtext"/>
            <w:b w:val="0"/>
            <w:color w:val="auto"/>
            <w:szCs w:val="22"/>
            <w:shd w:val="clear" w:color="auto" w:fill="FFFFFF"/>
          </w:rPr>
          <w:delText>anos ou mais.</w:delText>
        </w:r>
      </w:del>
    </w:p>
    <w:p w14:paraId="1AB64831" w14:textId="23FF5BF3" w:rsidR="00D0749B" w:rsidRPr="008912CF" w:rsidRDefault="00D0749B" w:rsidP="00D0749B">
      <w:pPr>
        <w:pStyle w:val="BodyTextIndent"/>
        <w:ind w:left="0" w:firstLine="0"/>
        <w:rPr>
          <w:del w:id="3403" w:author="AbbVie2" w:date="2025-05-13T16:36:00Z"/>
          <w:b w:val="0"/>
          <w:bCs/>
          <w:color w:val="auto"/>
          <w:szCs w:val="22"/>
        </w:rPr>
      </w:pPr>
    </w:p>
    <w:p w14:paraId="5DFC518C" w14:textId="367E918D" w:rsidR="00D0749B" w:rsidRPr="008912CF" w:rsidRDefault="00615769" w:rsidP="00D0749B">
      <w:pPr>
        <w:rPr>
          <w:del w:id="3404" w:author="AbbVie2" w:date="2025-05-13T16:36:00Z"/>
          <w:sz w:val="22"/>
          <w:szCs w:val="22"/>
        </w:rPr>
      </w:pPr>
      <w:del w:id="3405" w:author="AbbVie2" w:date="2025-05-13T16:36:00Z">
        <w:r w:rsidRPr="008912CF">
          <w:rPr>
            <w:sz w:val="22"/>
            <w:szCs w:val="22"/>
          </w:rPr>
          <w:delText xml:space="preserve">As respostas globais foram geralmente melhores e </w:delText>
        </w:r>
        <w:r>
          <w:rPr>
            <w:sz w:val="22"/>
            <w:szCs w:val="22"/>
          </w:rPr>
          <w:delText>um menor número de</w:delText>
        </w:r>
        <w:r w:rsidRPr="008912CF">
          <w:rPr>
            <w:sz w:val="22"/>
            <w:szCs w:val="22"/>
          </w:rPr>
          <w:delText xml:space="preserve"> doentes desenvolve</w:delText>
        </w:r>
        <w:r>
          <w:rPr>
            <w:sz w:val="22"/>
            <w:szCs w:val="22"/>
          </w:rPr>
          <w:delText>u</w:delText>
        </w:r>
        <w:r w:rsidRPr="008912CF">
          <w:rPr>
            <w:sz w:val="22"/>
            <w:szCs w:val="22"/>
          </w:rPr>
          <w:delText xml:space="preserve"> anticorpos quando tratados com a associação de Humira e MTX, comparativamente com Humira em monoterapia. Considerando estes resultados, Humira é recomendado para utilização em associação com MTX e para utilização em monoterapia, em doentes para os quais a utilização de MTX não é apropriada (ver secção 4.2).</w:delText>
        </w:r>
      </w:del>
    </w:p>
    <w:p w14:paraId="33D14838" w14:textId="30A29555" w:rsidR="00D0749B" w:rsidRPr="008912CF" w:rsidRDefault="00D0749B" w:rsidP="00D0749B">
      <w:pPr>
        <w:rPr>
          <w:del w:id="3406" w:author="AbbVie2" w:date="2025-05-13T16:36:00Z"/>
          <w:sz w:val="22"/>
          <w:szCs w:val="22"/>
          <w:u w:val="single"/>
        </w:rPr>
      </w:pPr>
    </w:p>
    <w:p w14:paraId="7ECC5672" w14:textId="1ECAE8C6" w:rsidR="00D0749B" w:rsidRPr="008912CF" w:rsidRDefault="00615769" w:rsidP="00D0749B">
      <w:pPr>
        <w:rPr>
          <w:del w:id="3407" w:author="AbbVie2" w:date="2025-05-13T16:36:00Z"/>
          <w:sz w:val="22"/>
          <w:szCs w:val="22"/>
        </w:rPr>
      </w:pPr>
      <w:del w:id="3408" w:author="AbbVie2" w:date="2025-05-13T16:36:00Z">
        <w:r w:rsidRPr="008912CF">
          <w:rPr>
            <w:sz w:val="22"/>
            <w:szCs w:val="22"/>
          </w:rPr>
          <w:delText>AIJp II</w:delText>
        </w:r>
      </w:del>
    </w:p>
    <w:p w14:paraId="001D45E9" w14:textId="6950B138" w:rsidR="00D0749B" w:rsidRPr="008912CF" w:rsidRDefault="00D0749B" w:rsidP="00D0749B">
      <w:pPr>
        <w:rPr>
          <w:del w:id="3409" w:author="AbbVie2" w:date="2025-05-13T16:36:00Z"/>
          <w:sz w:val="22"/>
          <w:szCs w:val="22"/>
          <w:u w:val="single"/>
        </w:rPr>
      </w:pPr>
    </w:p>
    <w:p w14:paraId="7E0F9DBC" w14:textId="3FA77F66" w:rsidR="00D0749B" w:rsidRPr="008912CF" w:rsidRDefault="00615769" w:rsidP="00D0749B">
      <w:pPr>
        <w:rPr>
          <w:del w:id="3410" w:author="AbbVie2" w:date="2025-05-13T16:36:00Z"/>
          <w:sz w:val="22"/>
          <w:szCs w:val="22"/>
        </w:rPr>
      </w:pPr>
      <w:del w:id="3411" w:author="AbbVie2" w:date="2025-05-13T16:36:00Z">
        <w:r w:rsidRPr="008912CF">
          <w:rPr>
            <w:sz w:val="22"/>
            <w:szCs w:val="22"/>
          </w:rPr>
          <w:delText xml:space="preserve">A segurança e eficácia de Humira foram avaliadas num estudo multicêntrico aberto em 32 crianças (com 2 e menos de 4 anos ou com 4 ou mais </w:delText>
        </w:r>
        <w:r>
          <w:rPr>
            <w:sz w:val="22"/>
            <w:szCs w:val="22"/>
          </w:rPr>
          <w:delText xml:space="preserve">de </w:delText>
        </w:r>
        <w:r w:rsidRPr="008912CF">
          <w:rPr>
            <w:sz w:val="22"/>
            <w:szCs w:val="22"/>
          </w:rPr>
          <w:delText>4 anos de idade e com peso &lt; 15 kg) com AIJ poliarticular ativa moderada a grave. Os doentes receberam 24 mg/m</w:delText>
        </w:r>
        <w:r w:rsidRPr="008912CF">
          <w:rPr>
            <w:sz w:val="22"/>
            <w:szCs w:val="22"/>
            <w:vertAlign w:val="superscript"/>
          </w:rPr>
          <w:delText>2</w:delText>
        </w:r>
        <w:r w:rsidRPr="008912CF">
          <w:rPr>
            <w:sz w:val="22"/>
            <w:szCs w:val="22"/>
          </w:rPr>
          <w:delText xml:space="preserve"> de área de superfície corporal até uma dose máxima única de 20 mg de Humira administrada em semanas alternadas, por injeção subcutânea durante cerca de 24 semanas. Durante o estudo, a maior parte dos doentes foi tratada concomitantemente com MTX e poucos reportaram o uso de corticoides ou AINEs.</w:delText>
        </w:r>
      </w:del>
    </w:p>
    <w:p w14:paraId="382327F0" w14:textId="17CF37F6" w:rsidR="00D0749B" w:rsidRPr="008912CF" w:rsidRDefault="00D0749B" w:rsidP="00D0749B">
      <w:pPr>
        <w:rPr>
          <w:del w:id="3412" w:author="AbbVie2" w:date="2025-05-13T16:36:00Z"/>
          <w:sz w:val="22"/>
          <w:szCs w:val="22"/>
        </w:rPr>
      </w:pPr>
    </w:p>
    <w:p w14:paraId="37C006F8" w14:textId="679280A7" w:rsidR="00D0749B" w:rsidRPr="008912CF" w:rsidRDefault="00615769" w:rsidP="00D0749B">
      <w:pPr>
        <w:rPr>
          <w:del w:id="3413" w:author="AbbVie2" w:date="2025-05-13T16:36:00Z"/>
          <w:sz w:val="22"/>
          <w:szCs w:val="22"/>
          <w:u w:val="single"/>
        </w:rPr>
      </w:pPr>
      <w:del w:id="3414" w:author="AbbVie2" w:date="2025-05-13T16:36:00Z">
        <w:r w:rsidRPr="008912CF">
          <w:rPr>
            <w:sz w:val="22"/>
            <w:szCs w:val="22"/>
          </w:rPr>
          <w:delText>À</w:delText>
        </w:r>
        <w:r>
          <w:rPr>
            <w:sz w:val="22"/>
            <w:szCs w:val="22"/>
          </w:rPr>
          <w:delText>s</w:delText>
        </w:r>
        <w:r w:rsidRPr="008912CF">
          <w:rPr>
            <w:sz w:val="22"/>
            <w:szCs w:val="22"/>
          </w:rPr>
          <w:delText xml:space="preserve"> semana</w:delText>
        </w:r>
        <w:r>
          <w:rPr>
            <w:sz w:val="22"/>
            <w:szCs w:val="22"/>
          </w:rPr>
          <w:delText>s</w:delText>
        </w:r>
        <w:r w:rsidRPr="008912CF">
          <w:rPr>
            <w:sz w:val="22"/>
            <w:szCs w:val="22"/>
          </w:rPr>
          <w:delText xml:space="preserve"> 12 e 24</w:delText>
        </w:r>
        <w:r>
          <w:rPr>
            <w:sz w:val="22"/>
            <w:szCs w:val="22"/>
          </w:rPr>
          <w:delText>,</w:delText>
        </w:r>
        <w:r w:rsidRPr="008912CF">
          <w:rPr>
            <w:sz w:val="22"/>
            <w:szCs w:val="22"/>
          </w:rPr>
          <w:delText xml:space="preserve"> a resposta ACR </w:delText>
        </w:r>
        <w:r>
          <w:rPr>
            <w:sz w:val="22"/>
            <w:szCs w:val="22"/>
          </w:rPr>
          <w:delText xml:space="preserve">Pediátrico </w:delText>
        </w:r>
        <w:r w:rsidRPr="008912CF">
          <w:rPr>
            <w:sz w:val="22"/>
            <w:szCs w:val="22"/>
          </w:rPr>
          <w:delText>30 (ACR Ped 30) foi de 93,5</w:delText>
        </w:r>
        <w:r>
          <w:rPr>
            <w:sz w:val="22"/>
            <w:szCs w:val="22"/>
          </w:rPr>
          <w:delText>%</w:delText>
        </w:r>
        <w:r w:rsidRPr="008912CF">
          <w:rPr>
            <w:sz w:val="22"/>
            <w:szCs w:val="22"/>
          </w:rPr>
          <w:delText xml:space="preserve"> e 90</w:delText>
        </w:r>
        <w:r>
          <w:rPr>
            <w:sz w:val="22"/>
            <w:szCs w:val="22"/>
          </w:rPr>
          <w:delText>%,</w:delText>
        </w:r>
        <w:r w:rsidRPr="008912CF">
          <w:rPr>
            <w:sz w:val="22"/>
            <w:szCs w:val="22"/>
          </w:rPr>
          <w:delText xml:space="preserve"> respetivamente</w:delText>
        </w:r>
        <w:r>
          <w:rPr>
            <w:sz w:val="22"/>
            <w:szCs w:val="22"/>
          </w:rPr>
          <w:delText>,</w:delText>
        </w:r>
        <w:r w:rsidRPr="008912CF">
          <w:rPr>
            <w:sz w:val="22"/>
            <w:szCs w:val="22"/>
          </w:rPr>
          <w:delText xml:space="preserve"> com base na abordagem de dados observados. A proporção de doentes com resposta ACR Ped 50/70/90 à</w:delText>
        </w:r>
        <w:r>
          <w:rPr>
            <w:sz w:val="22"/>
            <w:szCs w:val="22"/>
          </w:rPr>
          <w:delText>s</w:delText>
        </w:r>
        <w:r w:rsidRPr="008912CF">
          <w:rPr>
            <w:sz w:val="22"/>
            <w:szCs w:val="22"/>
          </w:rPr>
          <w:delText xml:space="preserve"> semana</w:delText>
        </w:r>
        <w:r>
          <w:rPr>
            <w:sz w:val="22"/>
            <w:szCs w:val="22"/>
          </w:rPr>
          <w:delText>s </w:delText>
        </w:r>
        <w:r w:rsidRPr="008912CF">
          <w:rPr>
            <w:sz w:val="22"/>
            <w:szCs w:val="22"/>
          </w:rPr>
          <w:delText>12 e 24 foi de 90,3</w:delText>
        </w:r>
        <w:r>
          <w:rPr>
            <w:sz w:val="22"/>
            <w:szCs w:val="22"/>
          </w:rPr>
          <w:delText>%</w:delText>
        </w:r>
        <w:r w:rsidRPr="008912CF">
          <w:rPr>
            <w:sz w:val="22"/>
            <w:szCs w:val="22"/>
          </w:rPr>
          <w:delText>, 61,3</w:delText>
        </w:r>
        <w:r>
          <w:rPr>
            <w:sz w:val="22"/>
            <w:szCs w:val="22"/>
          </w:rPr>
          <w:delText>%</w:delText>
        </w:r>
        <w:r w:rsidRPr="008912CF">
          <w:rPr>
            <w:sz w:val="22"/>
            <w:szCs w:val="22"/>
          </w:rPr>
          <w:delText>, 38,7</w:delText>
        </w:r>
        <w:r>
          <w:rPr>
            <w:sz w:val="22"/>
            <w:szCs w:val="22"/>
          </w:rPr>
          <w:delText>%</w:delText>
        </w:r>
        <w:r w:rsidRPr="008912CF">
          <w:rPr>
            <w:sz w:val="22"/>
            <w:szCs w:val="22"/>
          </w:rPr>
          <w:delText xml:space="preserve"> e 83,3</w:delText>
        </w:r>
        <w:r>
          <w:rPr>
            <w:sz w:val="22"/>
            <w:szCs w:val="22"/>
          </w:rPr>
          <w:delText>%</w:delText>
        </w:r>
        <w:r w:rsidRPr="008912CF">
          <w:rPr>
            <w:sz w:val="22"/>
            <w:szCs w:val="22"/>
          </w:rPr>
          <w:delText>, 73,3</w:delText>
        </w:r>
        <w:r>
          <w:rPr>
            <w:sz w:val="22"/>
            <w:szCs w:val="22"/>
          </w:rPr>
          <w:delText>%</w:delText>
        </w:r>
        <w:r w:rsidRPr="008912CF">
          <w:rPr>
            <w:sz w:val="22"/>
            <w:szCs w:val="22"/>
          </w:rPr>
          <w:delText>, 36,7</w:delText>
        </w:r>
        <w:r>
          <w:rPr>
            <w:sz w:val="22"/>
            <w:szCs w:val="22"/>
          </w:rPr>
          <w:delText>%,</w:delText>
        </w:r>
        <w:r w:rsidRPr="008912CF">
          <w:rPr>
            <w:sz w:val="22"/>
            <w:szCs w:val="22"/>
          </w:rPr>
          <w:delText xml:space="preserve"> respetivamente. Entre os doentes que responderam à semana</w:delText>
        </w:r>
        <w:r>
          <w:rPr>
            <w:sz w:val="22"/>
            <w:szCs w:val="22"/>
          </w:rPr>
          <w:delText> </w:delText>
        </w:r>
        <w:r w:rsidRPr="008912CF">
          <w:rPr>
            <w:sz w:val="22"/>
            <w:szCs w:val="22"/>
          </w:rPr>
          <w:delText>24 (n=27 dos 30 doentes), a resposta ACR Ped 30 manteve-se durante um período de 60</w:delText>
        </w:r>
        <w:r>
          <w:rPr>
            <w:sz w:val="22"/>
            <w:szCs w:val="22"/>
          </w:rPr>
          <w:delText> </w:delText>
        </w:r>
        <w:r w:rsidRPr="008912CF">
          <w:rPr>
            <w:sz w:val="22"/>
            <w:szCs w:val="22"/>
          </w:rPr>
          <w:delText>semanas na fase OLE em doentes que receberam Humira durante este período de tempo. Foram tratados um total d</w:delText>
        </w:r>
        <w:r w:rsidRPr="008912CF">
          <w:rPr>
            <w:sz w:val="22"/>
            <w:szCs w:val="22"/>
          </w:rPr>
          <w:delText>e 20 doentes, durante 60</w:delText>
        </w:r>
        <w:r>
          <w:rPr>
            <w:sz w:val="22"/>
            <w:szCs w:val="22"/>
          </w:rPr>
          <w:delText> </w:delText>
        </w:r>
        <w:r w:rsidRPr="008912CF">
          <w:rPr>
            <w:sz w:val="22"/>
            <w:szCs w:val="22"/>
          </w:rPr>
          <w:delText>semanas ou mais</w:delText>
        </w:r>
        <w:r w:rsidRPr="00DF5632">
          <w:rPr>
            <w:sz w:val="22"/>
            <w:szCs w:val="22"/>
          </w:rPr>
          <w:delText>.</w:delText>
        </w:r>
      </w:del>
    </w:p>
    <w:p w14:paraId="5CD81755" w14:textId="7A5E7ACE" w:rsidR="00D0749B" w:rsidRPr="008912CF" w:rsidRDefault="00D0749B" w:rsidP="00D0749B">
      <w:pPr>
        <w:rPr>
          <w:del w:id="3415" w:author="AbbVie2" w:date="2025-05-13T16:36:00Z"/>
          <w:sz w:val="22"/>
          <w:szCs w:val="22"/>
        </w:rPr>
      </w:pPr>
    </w:p>
    <w:p w14:paraId="6903FD68" w14:textId="54B77CA4" w:rsidR="00D0749B" w:rsidRPr="008912CF" w:rsidRDefault="00615769" w:rsidP="00D0749B">
      <w:pPr>
        <w:rPr>
          <w:del w:id="3416" w:author="AbbVie2" w:date="2025-05-13T16:36:00Z"/>
          <w:sz w:val="22"/>
          <w:szCs w:val="22"/>
          <w:u w:val="single"/>
        </w:rPr>
      </w:pPr>
      <w:del w:id="3417" w:author="AbbVie2" w:date="2025-05-13T16:36:00Z">
        <w:r w:rsidRPr="008912CF">
          <w:rPr>
            <w:i/>
            <w:sz w:val="22"/>
            <w:szCs w:val="22"/>
            <w:u w:val="single"/>
          </w:rPr>
          <w:delText>Artrite relacionada com entesite</w:delText>
        </w:r>
      </w:del>
    </w:p>
    <w:p w14:paraId="591D5D57" w14:textId="1E35852F" w:rsidR="00D0749B" w:rsidRPr="008912CF" w:rsidRDefault="00D0749B" w:rsidP="00D0749B">
      <w:pPr>
        <w:rPr>
          <w:del w:id="3418" w:author="AbbVie2" w:date="2025-05-13T16:36:00Z"/>
          <w:sz w:val="22"/>
          <w:szCs w:val="22"/>
        </w:rPr>
      </w:pPr>
    </w:p>
    <w:p w14:paraId="5692B549" w14:textId="7EF22475" w:rsidR="00D0749B" w:rsidRPr="008912CF" w:rsidRDefault="00615769" w:rsidP="00D0749B">
      <w:pPr>
        <w:rPr>
          <w:del w:id="3419" w:author="AbbVie2" w:date="2025-05-13T16:36:00Z"/>
          <w:sz w:val="22"/>
          <w:szCs w:val="22"/>
        </w:rPr>
      </w:pPr>
      <w:del w:id="3420" w:author="AbbVie2" w:date="2025-05-13T16:36:00Z">
        <w:r w:rsidRPr="008912CF">
          <w:rPr>
            <w:sz w:val="22"/>
            <w:szCs w:val="22"/>
          </w:rPr>
          <w:delText xml:space="preserve">A segurança e eficácia de Humira foram avaliadas num estudo multicêntrico, aleatorizado, com dupla ocultação, em 46 doentes pediátricos (entre os 6 e os 17 anos de idade) com artrite relacionada com entesite moderada. Os doentes foram </w:delText>
        </w:r>
        <w:r>
          <w:rPr>
            <w:sz w:val="22"/>
            <w:szCs w:val="22"/>
          </w:rPr>
          <w:delText>aleatorizados</w:delText>
        </w:r>
        <w:r w:rsidRPr="008912CF">
          <w:rPr>
            <w:sz w:val="22"/>
            <w:szCs w:val="22"/>
          </w:rPr>
          <w:delText xml:space="preserve"> para receberem 24 mg/m</w:delText>
        </w:r>
        <w:r w:rsidRPr="008912CF">
          <w:rPr>
            <w:sz w:val="22"/>
            <w:szCs w:val="22"/>
            <w:vertAlign w:val="superscript"/>
          </w:rPr>
          <w:delText>2</w:delText>
        </w:r>
        <w:r w:rsidRPr="008912CF">
          <w:rPr>
            <w:sz w:val="22"/>
            <w:szCs w:val="22"/>
          </w:rPr>
          <w:delText xml:space="preserve"> de área de superfície corporal (BSA) de Humira até uma dose máxima de 40 mg, ou placebo, em semanas alternadas, durante 12 semanas. O período em dupla-ocultação é seguido de um período aberto (OL), durante o qual os doentes receberam 24 mg/m</w:delText>
        </w:r>
        <w:r w:rsidRPr="008912CF">
          <w:rPr>
            <w:sz w:val="22"/>
            <w:szCs w:val="22"/>
            <w:vertAlign w:val="superscript"/>
          </w:rPr>
          <w:delText>2</w:delText>
        </w:r>
        <w:r w:rsidRPr="008912CF">
          <w:rPr>
            <w:sz w:val="22"/>
            <w:szCs w:val="22"/>
          </w:rPr>
          <w:delText xml:space="preserve"> de área de superfície corporal </w:delText>
        </w:r>
        <w:r>
          <w:rPr>
            <w:sz w:val="22"/>
            <w:szCs w:val="22"/>
          </w:rPr>
          <w:delText>(</w:delText>
        </w:r>
        <w:r w:rsidRPr="008912CF">
          <w:rPr>
            <w:sz w:val="22"/>
            <w:szCs w:val="22"/>
          </w:rPr>
          <w:delText>BSA</w:delText>
        </w:r>
        <w:r>
          <w:rPr>
            <w:sz w:val="22"/>
            <w:szCs w:val="22"/>
          </w:rPr>
          <w:delText>)</w:delText>
        </w:r>
        <w:r w:rsidRPr="008912CF">
          <w:rPr>
            <w:sz w:val="22"/>
            <w:szCs w:val="22"/>
          </w:rPr>
          <w:delText xml:space="preserve"> de Humira até uma dose máxima de 40 mg, em semanas alternadas, por via subcutânea, adicionalmente até um máximo de 192 semanas. O objetivo primário foi a variação percentual, da avaliação inicia</w:delText>
        </w:r>
        <w:r w:rsidRPr="008912CF">
          <w:rPr>
            <w:sz w:val="22"/>
            <w:szCs w:val="22"/>
          </w:rPr>
          <w:delText>l à Semana 12, do número de articulações ativas com artrite (tumefação não devid</w:delText>
        </w:r>
        <w:r>
          <w:rPr>
            <w:sz w:val="22"/>
            <w:szCs w:val="22"/>
          </w:rPr>
          <w:delText>a</w:delText>
        </w:r>
        <w:r w:rsidRPr="008912CF">
          <w:rPr>
            <w:sz w:val="22"/>
            <w:szCs w:val="22"/>
          </w:rPr>
          <w:delText xml:space="preserve"> a deformidade ou articulações com limitação de movimento além de dor e/ou dor à palpação</w:delText>
        </w:r>
        <w:r>
          <w:rPr>
            <w:sz w:val="22"/>
            <w:szCs w:val="22"/>
          </w:rPr>
          <w:delText>)</w:delText>
        </w:r>
        <w:r w:rsidRPr="008912CF">
          <w:rPr>
            <w:sz w:val="22"/>
            <w:szCs w:val="22"/>
          </w:rPr>
          <w:delText>, a qual foi conseguida com uma diminuição percentual média de -62,6</w:delText>
        </w:r>
        <w:r>
          <w:rPr>
            <w:sz w:val="22"/>
            <w:szCs w:val="22"/>
          </w:rPr>
          <w:delText>%</w:delText>
        </w:r>
        <w:r w:rsidRPr="008912CF">
          <w:rPr>
            <w:sz w:val="22"/>
            <w:szCs w:val="22"/>
          </w:rPr>
          <w:delText xml:space="preserve"> (variação percentual </w:delText>
        </w:r>
        <w:r>
          <w:rPr>
            <w:sz w:val="22"/>
            <w:szCs w:val="22"/>
          </w:rPr>
          <w:delText>mediana de</w:delText>
        </w:r>
        <w:r w:rsidRPr="008912CF">
          <w:rPr>
            <w:sz w:val="22"/>
            <w:szCs w:val="22"/>
          </w:rPr>
          <w:delText xml:space="preserve"> -88,9</w:delText>
        </w:r>
        <w:r>
          <w:rPr>
            <w:sz w:val="22"/>
            <w:szCs w:val="22"/>
          </w:rPr>
          <w:delText>%</w:delText>
        </w:r>
        <w:r w:rsidRPr="008912CF">
          <w:rPr>
            <w:sz w:val="22"/>
            <w:szCs w:val="22"/>
          </w:rPr>
          <w:delText>) no grupo de doentes que receberam Humira, comparativamente com -11,6</w:delText>
        </w:r>
        <w:r>
          <w:rPr>
            <w:sz w:val="22"/>
            <w:szCs w:val="22"/>
          </w:rPr>
          <w:delText>%</w:delText>
        </w:r>
        <w:r w:rsidRPr="008912CF">
          <w:rPr>
            <w:sz w:val="22"/>
            <w:szCs w:val="22"/>
          </w:rPr>
          <w:delText xml:space="preserve"> (variação percentual </w:delText>
        </w:r>
        <w:r>
          <w:rPr>
            <w:sz w:val="22"/>
            <w:szCs w:val="22"/>
          </w:rPr>
          <w:delText>mediana de</w:delText>
        </w:r>
        <w:r w:rsidRPr="008912CF">
          <w:rPr>
            <w:sz w:val="22"/>
            <w:szCs w:val="22"/>
          </w:rPr>
          <w:delText xml:space="preserve"> -50</w:delText>
        </w:r>
        <w:r>
          <w:rPr>
            <w:sz w:val="22"/>
            <w:szCs w:val="22"/>
          </w:rPr>
          <w:delText>%</w:delText>
        </w:r>
        <w:r w:rsidRPr="008912CF">
          <w:rPr>
            <w:sz w:val="22"/>
            <w:szCs w:val="22"/>
          </w:rPr>
          <w:delText>) no grupo de doentes tratados com placebo. A melhoria no número de articulações ativas com artrite foi mantida durante o per</w:delText>
        </w:r>
        <w:r w:rsidRPr="008912CF">
          <w:rPr>
            <w:sz w:val="22"/>
            <w:szCs w:val="22"/>
          </w:rPr>
          <w:delText xml:space="preserve">íodo aberto (OL) até à Semana </w:delText>
        </w:r>
        <w:r>
          <w:rPr>
            <w:sz w:val="22"/>
            <w:szCs w:val="22"/>
          </w:rPr>
          <w:delText>156 para 26 dos 31 doentes (84%) do grupo Humira que permaneceram</w:delText>
        </w:r>
        <w:r w:rsidRPr="008912CF">
          <w:rPr>
            <w:sz w:val="22"/>
            <w:szCs w:val="22"/>
          </w:rPr>
          <w:delText xml:space="preserve"> </w:delText>
        </w:r>
        <w:r>
          <w:rPr>
            <w:sz w:val="22"/>
            <w:szCs w:val="22"/>
          </w:rPr>
          <w:delText>n</w:delText>
        </w:r>
        <w:r w:rsidRPr="008912CF">
          <w:rPr>
            <w:sz w:val="22"/>
            <w:szCs w:val="22"/>
          </w:rPr>
          <w:delText>o estudo. Embora sem significância estatística, a maioria dos doentes demonstraram melhoria clínica nos objetivos secundários, tais como número de locais com entesite, contagem de articulações dolorosas (TJC), contagem de articulações tumefactas (SJC),</w:delText>
        </w:r>
        <w:r w:rsidRPr="008912CF">
          <w:rPr>
            <w:szCs w:val="22"/>
          </w:rPr>
          <w:delText xml:space="preserve"> </w:delText>
        </w:r>
        <w:r w:rsidRPr="008912CF">
          <w:rPr>
            <w:sz w:val="22"/>
            <w:szCs w:val="22"/>
          </w:rPr>
          <w:delText>respostas ACR</w:delText>
        </w:r>
        <w:r>
          <w:rPr>
            <w:sz w:val="22"/>
            <w:szCs w:val="22"/>
          </w:rPr>
          <w:delText xml:space="preserve"> Pediátrico</w:delText>
        </w:r>
        <w:r w:rsidRPr="008912CF">
          <w:rPr>
            <w:sz w:val="22"/>
            <w:szCs w:val="22"/>
          </w:rPr>
          <w:delText xml:space="preserve"> 50 e respostas ACR</w:delText>
        </w:r>
        <w:r>
          <w:rPr>
            <w:sz w:val="22"/>
            <w:szCs w:val="22"/>
          </w:rPr>
          <w:delText xml:space="preserve"> Pediátrico</w:delText>
        </w:r>
        <w:r w:rsidRPr="008912CF">
          <w:rPr>
            <w:sz w:val="22"/>
            <w:szCs w:val="22"/>
          </w:rPr>
          <w:delText xml:space="preserve"> 70.</w:delText>
        </w:r>
      </w:del>
    </w:p>
    <w:p w14:paraId="554193D3" w14:textId="2A6DA28D" w:rsidR="00D105CA" w:rsidRPr="008912CF" w:rsidRDefault="00D105CA" w:rsidP="00D105CA">
      <w:pPr>
        <w:rPr>
          <w:del w:id="3421" w:author="AbbVie2" w:date="2025-05-13T16:36:00Z"/>
        </w:rPr>
      </w:pPr>
    </w:p>
    <w:p w14:paraId="4FD0EB7B" w14:textId="20185B55" w:rsidR="00D105CA" w:rsidRPr="008912CF" w:rsidRDefault="00615769" w:rsidP="00D105CA">
      <w:pPr>
        <w:rPr>
          <w:del w:id="3422" w:author="AbbVie2" w:date="2025-05-13T16:36:00Z"/>
          <w:sz w:val="22"/>
          <w:szCs w:val="22"/>
        </w:rPr>
      </w:pPr>
      <w:del w:id="3423" w:author="AbbVie2" w:date="2025-05-13T16:36:00Z">
        <w:r w:rsidRPr="008912CF">
          <w:rPr>
            <w:i/>
            <w:sz w:val="22"/>
            <w:szCs w:val="22"/>
          </w:rPr>
          <w:delText>Psoríase pediátrica em placas</w:delText>
        </w:r>
      </w:del>
    </w:p>
    <w:p w14:paraId="1CE6A1C1" w14:textId="61748CD7" w:rsidR="00D105CA" w:rsidRPr="008912CF" w:rsidRDefault="00D105CA" w:rsidP="00D105CA">
      <w:pPr>
        <w:rPr>
          <w:del w:id="3424" w:author="AbbVie2" w:date="2025-05-13T16:36:00Z"/>
          <w:sz w:val="22"/>
          <w:szCs w:val="22"/>
          <w:u w:val="single"/>
        </w:rPr>
      </w:pPr>
    </w:p>
    <w:p w14:paraId="56D83B4F" w14:textId="5C0AD487" w:rsidR="00D105CA" w:rsidRPr="008912CF" w:rsidRDefault="00615769" w:rsidP="00D105CA">
      <w:pPr>
        <w:rPr>
          <w:del w:id="3425" w:author="AbbVie2" w:date="2025-05-13T16:36:00Z"/>
          <w:rFonts w:ascii="TimesNewRoman" w:hAnsi="TimesNewRoman" w:cs="TimesNewRoman"/>
          <w:sz w:val="22"/>
          <w:szCs w:val="22"/>
          <w:lang w:eastAsia="pt-PT"/>
        </w:rPr>
      </w:pPr>
      <w:del w:id="3426" w:author="AbbVie2" w:date="2025-05-13T16:36:00Z">
        <w:r w:rsidRPr="008912CF">
          <w:rPr>
            <w:sz w:val="22"/>
            <w:szCs w:val="22"/>
          </w:rPr>
          <w:delText>A eficácia d</w:delText>
        </w:r>
        <w:r>
          <w:rPr>
            <w:sz w:val="22"/>
            <w:szCs w:val="22"/>
          </w:rPr>
          <w:delText>e</w:delText>
        </w:r>
        <w:r w:rsidRPr="008912CF">
          <w:rPr>
            <w:sz w:val="22"/>
            <w:szCs w:val="22"/>
          </w:rPr>
          <w:delText xml:space="preserve"> Humira foi avaliada num estudo </w:delText>
        </w:r>
        <w:r>
          <w:rPr>
            <w:sz w:val="22"/>
            <w:szCs w:val="22"/>
          </w:rPr>
          <w:delText>aleatorizado,</w:delText>
        </w:r>
        <w:r w:rsidRPr="008912CF">
          <w:rPr>
            <w:sz w:val="22"/>
            <w:szCs w:val="22"/>
          </w:rPr>
          <w:delText xml:space="preserve"> em dupla ocultação, controlado, em 114 doentes pediátricos a partir dos 4 anos de idade, com psoríase em placas crónica grave (definida por </w:delText>
        </w:r>
        <w:r w:rsidRPr="008912CF">
          <w:rPr>
            <w:i/>
            <w:sz w:val="22"/>
            <w:szCs w:val="22"/>
          </w:rPr>
          <w:delText xml:space="preserve">Physician Global Assessment </w:delText>
        </w:r>
        <w:r w:rsidRPr="008912CF">
          <w:rPr>
            <w:sz w:val="22"/>
            <w:szCs w:val="22"/>
          </w:rPr>
          <w:delText>(PGA)</w:delText>
        </w:r>
        <w:r>
          <w:rPr>
            <w:sz w:val="22"/>
            <w:szCs w:val="22"/>
          </w:rPr>
          <w:delText> </w:delText>
        </w:r>
        <w:r w:rsidRPr="008912CF">
          <w:rPr>
            <w:sz w:val="22"/>
            <w:szCs w:val="22"/>
          </w:rPr>
          <w:delText>≥</w:delText>
        </w:r>
        <w:r>
          <w:rPr>
            <w:sz w:val="22"/>
            <w:szCs w:val="22"/>
          </w:rPr>
          <w:delText> </w:delText>
        </w:r>
        <w:r w:rsidRPr="008912CF">
          <w:rPr>
            <w:sz w:val="22"/>
            <w:szCs w:val="22"/>
          </w:rPr>
          <w:delText>4 ou envolvimento BSA &gt;</w:delText>
        </w:r>
        <w:r>
          <w:rPr>
            <w:sz w:val="22"/>
            <w:szCs w:val="22"/>
          </w:rPr>
          <w:delText> </w:delText>
        </w:r>
        <w:r w:rsidRPr="008912CF">
          <w:rPr>
            <w:sz w:val="22"/>
            <w:szCs w:val="22"/>
          </w:rPr>
          <w:delText xml:space="preserve">20% ou envolvimento BSA &gt;10% com lesões muito espessas, ou </w:delText>
        </w:r>
        <w:r w:rsidRPr="008912CF">
          <w:rPr>
            <w:i/>
            <w:sz w:val="22"/>
            <w:szCs w:val="22"/>
          </w:rPr>
          <w:delText>Psoriasis Area and Severity Index</w:delText>
        </w:r>
        <w:r w:rsidRPr="008912CF">
          <w:rPr>
            <w:sz w:val="22"/>
            <w:szCs w:val="22"/>
          </w:rPr>
          <w:delText xml:space="preserve"> (PASI) ≥</w:delText>
        </w:r>
        <w:r>
          <w:rPr>
            <w:sz w:val="22"/>
            <w:szCs w:val="22"/>
          </w:rPr>
          <w:delText> </w:delText>
        </w:r>
        <w:r w:rsidRPr="008912CF">
          <w:rPr>
            <w:sz w:val="22"/>
            <w:szCs w:val="22"/>
          </w:rPr>
          <w:delText>20 ou ≥</w:delText>
        </w:r>
        <w:r>
          <w:rPr>
            <w:sz w:val="22"/>
            <w:szCs w:val="22"/>
          </w:rPr>
          <w:delText> </w:delText>
        </w:r>
        <w:r w:rsidRPr="008912CF">
          <w:rPr>
            <w:sz w:val="22"/>
            <w:szCs w:val="22"/>
          </w:rPr>
          <w:delText>10 com envolvimento clinicamente relevante facial, genital ou das mãos/pés, que não estavam controlados adequadamente com tratamento tópico e helioterapia ou fototerapia.</w:delText>
        </w:r>
      </w:del>
    </w:p>
    <w:p w14:paraId="40682981" w14:textId="26883415" w:rsidR="00D105CA" w:rsidRPr="008912CF" w:rsidRDefault="00D105CA" w:rsidP="00D105CA">
      <w:pPr>
        <w:rPr>
          <w:del w:id="3427" w:author="AbbVie2" w:date="2025-05-13T16:36:00Z"/>
          <w:rFonts w:ascii="TimesNewRoman" w:hAnsi="TimesNewRoman" w:cs="TimesNewRoman"/>
          <w:sz w:val="22"/>
          <w:szCs w:val="22"/>
          <w:lang w:eastAsia="pt-PT"/>
        </w:rPr>
      </w:pPr>
    </w:p>
    <w:p w14:paraId="770D119A" w14:textId="698516A1" w:rsidR="00D105CA" w:rsidRPr="008912CF" w:rsidRDefault="00615769" w:rsidP="00D105CA">
      <w:pPr>
        <w:rPr>
          <w:del w:id="3428" w:author="AbbVie2" w:date="2025-05-13T16:36:00Z"/>
          <w:sz w:val="22"/>
          <w:szCs w:val="22"/>
        </w:rPr>
      </w:pPr>
      <w:del w:id="3429" w:author="AbbVie2" w:date="2025-05-13T16:36:00Z">
        <w:r w:rsidRPr="008912CF">
          <w:rPr>
            <w:sz w:val="22"/>
            <w:szCs w:val="22"/>
          </w:rPr>
          <w:delText>Os doentes receberam Humira 0,8 mg/kg em semanas alternadas (até ao máximo de 40 mg), 0,4 mg/kg em semanas alternadas (até ao máximo de 20 mg), ou metotrexato 0,1 – 0,4 mg/kg por semana (até ao máximo de 25 mg). Na semana 16, os doentes que receberam Humira 0,8 mg/kg apresentaram um maior número de respostas de eficácia positivas (p.ex. PASI 75), comparativamente com os doentes que receberam 0,4 mg/kg em semanas alternadas ou MTX.</w:delText>
        </w:r>
      </w:del>
    </w:p>
    <w:p w14:paraId="4B6935AF" w14:textId="31C2019F" w:rsidR="00D105CA" w:rsidRPr="008912CF" w:rsidRDefault="00D105CA" w:rsidP="00D105CA">
      <w:pPr>
        <w:rPr>
          <w:del w:id="3430" w:author="AbbVie2" w:date="2025-05-13T16:36:00Z"/>
        </w:rPr>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589"/>
        <w:gridCol w:w="1429"/>
        <w:gridCol w:w="3070"/>
      </w:tblGrid>
      <w:tr w:rsidR="00A7162A" w14:paraId="68641619" w14:textId="7FCC1A53" w:rsidTr="00D105CA">
        <w:trPr>
          <w:jc w:val="center"/>
          <w:del w:id="3431" w:author="AbbVie2" w:date="2025-05-13T16:36:00Z"/>
        </w:trPr>
        <w:tc>
          <w:tcPr>
            <w:tcW w:w="5000" w:type="pct"/>
            <w:gridSpan w:val="3"/>
            <w:tcBorders>
              <w:top w:val="nil"/>
              <w:left w:val="nil"/>
              <w:bottom w:val="nil"/>
              <w:right w:val="nil"/>
            </w:tcBorders>
            <w:vAlign w:val="center"/>
          </w:tcPr>
          <w:p w14:paraId="1E3D546A" w14:textId="24CC55B2" w:rsidR="00D105CA" w:rsidRPr="008912CF" w:rsidRDefault="00615769" w:rsidP="00D105CA">
            <w:pPr>
              <w:keepNext/>
              <w:tabs>
                <w:tab w:val="left" w:pos="562"/>
              </w:tabs>
              <w:suppressAutoHyphens/>
              <w:autoSpaceDE w:val="0"/>
              <w:autoSpaceDN w:val="0"/>
              <w:adjustRightInd w:val="0"/>
              <w:jc w:val="center"/>
              <w:rPr>
                <w:del w:id="3432" w:author="AbbVie2" w:date="2025-05-13T16:36:00Z"/>
                <w:b/>
                <w:bCs/>
                <w:sz w:val="22"/>
                <w:szCs w:val="22"/>
              </w:rPr>
            </w:pPr>
            <w:del w:id="3433" w:author="AbbVie2" w:date="2025-05-13T16:36:00Z">
              <w:r w:rsidRPr="008912CF">
                <w:rPr>
                  <w:b/>
                  <w:sz w:val="22"/>
                  <w:szCs w:val="22"/>
                </w:rPr>
                <w:delText xml:space="preserve">Tabela </w:delText>
              </w:r>
              <w:r w:rsidR="00953E6E">
                <w:rPr>
                  <w:b/>
                  <w:sz w:val="22"/>
                  <w:szCs w:val="22"/>
                </w:rPr>
                <w:delText>22</w:delText>
              </w:r>
              <w:r w:rsidRPr="008912CF">
                <w:rPr>
                  <w:b/>
                  <w:sz w:val="22"/>
                  <w:szCs w:val="22"/>
                </w:rPr>
                <w:delText>: Resultados de Eficácia à</w:delText>
              </w:r>
              <w:r>
                <w:rPr>
                  <w:b/>
                  <w:sz w:val="22"/>
                  <w:szCs w:val="22"/>
                </w:rPr>
                <w:delText xml:space="preserve"> Semana</w:delText>
              </w:r>
              <w:r w:rsidRPr="008912CF">
                <w:rPr>
                  <w:b/>
                  <w:sz w:val="22"/>
                  <w:szCs w:val="22"/>
                </w:rPr>
                <w:delText xml:space="preserve"> 16 na Psoríase Pediátrica em Placas</w:delText>
              </w:r>
            </w:del>
          </w:p>
          <w:p w14:paraId="31DC382E" w14:textId="4E006268" w:rsidR="00D105CA" w:rsidRPr="008912CF" w:rsidRDefault="00D105CA" w:rsidP="00D105CA">
            <w:pPr>
              <w:keepNext/>
              <w:tabs>
                <w:tab w:val="left" w:pos="562"/>
              </w:tabs>
              <w:suppressAutoHyphens/>
              <w:jc w:val="center"/>
              <w:rPr>
                <w:del w:id="3434" w:author="AbbVie2" w:date="2025-05-13T16:36:00Z"/>
                <w:b/>
                <w:sz w:val="22"/>
                <w:szCs w:val="22"/>
              </w:rPr>
            </w:pPr>
          </w:p>
        </w:tc>
      </w:tr>
      <w:tr w:rsidR="00A7162A" w14:paraId="60B04B16" w14:textId="5F1964F6" w:rsidTr="00D105CA">
        <w:trPr>
          <w:jc w:val="center"/>
          <w:del w:id="3435" w:author="AbbVie2" w:date="2025-05-13T16:36:00Z"/>
        </w:trPr>
        <w:tc>
          <w:tcPr>
            <w:tcW w:w="0" w:type="auto"/>
            <w:tcBorders>
              <w:top w:val="single" w:sz="6" w:space="0" w:color="000000"/>
              <w:left w:val="single" w:sz="6" w:space="0" w:color="000000"/>
              <w:bottom w:val="outset" w:sz="6" w:space="0" w:color="auto"/>
              <w:right w:val="outset" w:sz="6" w:space="0" w:color="auto"/>
            </w:tcBorders>
            <w:vAlign w:val="center"/>
          </w:tcPr>
          <w:p w14:paraId="62B0B1AB" w14:textId="541AED98" w:rsidR="00D105CA" w:rsidRPr="008912CF" w:rsidRDefault="00D105CA" w:rsidP="00D105CA">
            <w:pPr>
              <w:keepNext/>
              <w:tabs>
                <w:tab w:val="left" w:pos="562"/>
              </w:tabs>
              <w:suppressAutoHyphens/>
              <w:rPr>
                <w:del w:id="3436" w:author="AbbVie2" w:date="2025-05-13T16:36:00Z"/>
                <w:sz w:val="22"/>
                <w:szCs w:val="22"/>
              </w:rPr>
            </w:pPr>
          </w:p>
        </w:tc>
        <w:tc>
          <w:tcPr>
            <w:tcW w:w="0" w:type="auto"/>
            <w:tcBorders>
              <w:top w:val="single" w:sz="6" w:space="0" w:color="000000"/>
              <w:left w:val="single" w:sz="6" w:space="0" w:color="000000"/>
              <w:bottom w:val="outset" w:sz="6" w:space="0" w:color="auto"/>
              <w:right w:val="outset" w:sz="6" w:space="0" w:color="auto"/>
            </w:tcBorders>
            <w:vAlign w:val="center"/>
          </w:tcPr>
          <w:p w14:paraId="2F9CDF3D" w14:textId="2D8927AF" w:rsidR="00D105CA" w:rsidRPr="008912CF" w:rsidRDefault="00615769" w:rsidP="00D105CA">
            <w:pPr>
              <w:keepNext/>
              <w:tabs>
                <w:tab w:val="left" w:pos="562"/>
              </w:tabs>
              <w:suppressAutoHyphens/>
              <w:jc w:val="center"/>
              <w:rPr>
                <w:del w:id="3437" w:author="AbbVie2" w:date="2025-05-13T16:36:00Z"/>
                <w:sz w:val="22"/>
                <w:szCs w:val="22"/>
                <w:vertAlign w:val="superscript"/>
              </w:rPr>
            </w:pPr>
            <w:del w:id="3438" w:author="AbbVie2" w:date="2025-05-13T16:36:00Z">
              <w:r w:rsidRPr="008912CF">
                <w:rPr>
                  <w:sz w:val="22"/>
                  <w:szCs w:val="22"/>
                </w:rPr>
                <w:delText>MTX</w:delText>
              </w:r>
              <w:r w:rsidRPr="008912CF">
                <w:rPr>
                  <w:sz w:val="22"/>
                  <w:szCs w:val="22"/>
                  <w:vertAlign w:val="superscript"/>
                </w:rPr>
                <w:delText>a</w:delText>
              </w:r>
            </w:del>
          </w:p>
          <w:p w14:paraId="302CF324" w14:textId="5FE34274" w:rsidR="00D105CA" w:rsidRPr="008912CF" w:rsidRDefault="00615769" w:rsidP="00D105CA">
            <w:pPr>
              <w:keepNext/>
              <w:tabs>
                <w:tab w:val="left" w:pos="562"/>
              </w:tabs>
              <w:suppressAutoHyphens/>
              <w:jc w:val="center"/>
              <w:rPr>
                <w:del w:id="3439" w:author="AbbVie2" w:date="2025-05-13T16:36:00Z"/>
                <w:sz w:val="22"/>
                <w:szCs w:val="22"/>
              </w:rPr>
            </w:pPr>
            <w:del w:id="3440" w:author="AbbVie2" w:date="2025-05-13T16:36:00Z">
              <w:r w:rsidRPr="008912CF">
                <w:rPr>
                  <w:sz w:val="22"/>
                  <w:szCs w:val="22"/>
                </w:rPr>
                <w:delText xml:space="preserve">N=37 </w:delText>
              </w:r>
            </w:del>
          </w:p>
        </w:tc>
        <w:tc>
          <w:tcPr>
            <w:tcW w:w="1898" w:type="pct"/>
            <w:tcBorders>
              <w:top w:val="single" w:sz="6" w:space="0" w:color="000000"/>
              <w:left w:val="single" w:sz="6" w:space="0" w:color="000000"/>
              <w:bottom w:val="outset" w:sz="6" w:space="0" w:color="auto"/>
              <w:right w:val="single" w:sz="6" w:space="0" w:color="000000"/>
            </w:tcBorders>
            <w:vAlign w:val="center"/>
          </w:tcPr>
          <w:p w14:paraId="47786699" w14:textId="460F4DB2" w:rsidR="00D105CA" w:rsidRPr="008912CF" w:rsidRDefault="00615769" w:rsidP="00D105CA">
            <w:pPr>
              <w:keepNext/>
              <w:tabs>
                <w:tab w:val="left" w:pos="562"/>
              </w:tabs>
              <w:suppressAutoHyphens/>
              <w:jc w:val="center"/>
              <w:rPr>
                <w:del w:id="3441" w:author="AbbVie2" w:date="2025-05-13T16:36:00Z"/>
                <w:sz w:val="22"/>
                <w:szCs w:val="22"/>
              </w:rPr>
            </w:pPr>
            <w:del w:id="3442" w:author="AbbVie2" w:date="2025-05-13T16:36:00Z">
              <w:r w:rsidRPr="008912CF">
                <w:rPr>
                  <w:sz w:val="22"/>
                  <w:szCs w:val="22"/>
                </w:rPr>
                <w:delText>Humira 0,8 mg/kg em semanas alternadas</w:delText>
              </w:r>
            </w:del>
          </w:p>
          <w:p w14:paraId="7104D019" w14:textId="18CBD790" w:rsidR="00D105CA" w:rsidRPr="008912CF" w:rsidRDefault="00615769" w:rsidP="00D105CA">
            <w:pPr>
              <w:keepNext/>
              <w:tabs>
                <w:tab w:val="left" w:pos="562"/>
              </w:tabs>
              <w:suppressAutoHyphens/>
              <w:jc w:val="center"/>
              <w:rPr>
                <w:del w:id="3443" w:author="AbbVie2" w:date="2025-05-13T16:36:00Z"/>
                <w:sz w:val="22"/>
                <w:szCs w:val="22"/>
              </w:rPr>
            </w:pPr>
            <w:del w:id="3444" w:author="AbbVie2" w:date="2025-05-13T16:36:00Z">
              <w:r w:rsidRPr="008912CF">
                <w:rPr>
                  <w:sz w:val="22"/>
                  <w:szCs w:val="22"/>
                </w:rPr>
                <w:delText xml:space="preserve">N=38 </w:delText>
              </w:r>
            </w:del>
          </w:p>
        </w:tc>
      </w:tr>
      <w:tr w:rsidR="00A7162A" w14:paraId="75E89BD5" w14:textId="60E6DC65" w:rsidTr="00D105CA">
        <w:trPr>
          <w:jc w:val="center"/>
          <w:del w:id="3445" w:author="AbbVie2" w:date="2025-05-13T16:36:00Z"/>
        </w:trPr>
        <w:tc>
          <w:tcPr>
            <w:tcW w:w="0" w:type="auto"/>
            <w:tcBorders>
              <w:top w:val="single" w:sz="6" w:space="0" w:color="000000"/>
              <w:left w:val="single" w:sz="6" w:space="0" w:color="000000"/>
              <w:bottom w:val="outset" w:sz="6" w:space="0" w:color="auto"/>
              <w:right w:val="outset" w:sz="6" w:space="0" w:color="auto"/>
            </w:tcBorders>
            <w:vAlign w:val="center"/>
          </w:tcPr>
          <w:p w14:paraId="663D7C82" w14:textId="694B610D" w:rsidR="00D105CA" w:rsidRPr="008912CF" w:rsidRDefault="00615769" w:rsidP="00D105CA">
            <w:pPr>
              <w:keepNext/>
              <w:tabs>
                <w:tab w:val="left" w:pos="562"/>
              </w:tabs>
              <w:suppressAutoHyphens/>
              <w:rPr>
                <w:del w:id="3446" w:author="AbbVie2" w:date="2025-05-13T16:36:00Z"/>
                <w:sz w:val="22"/>
                <w:szCs w:val="22"/>
              </w:rPr>
            </w:pPr>
            <w:del w:id="3447" w:author="AbbVie2" w:date="2025-05-13T16:36:00Z">
              <w:r w:rsidRPr="008912CF">
                <w:rPr>
                  <w:sz w:val="22"/>
                  <w:szCs w:val="22"/>
                </w:rPr>
                <w:delText> </w:delText>
              </w:r>
              <w:r w:rsidRPr="008912CF">
                <w:rPr>
                  <w:sz w:val="22"/>
                  <w:szCs w:val="22"/>
                </w:rPr>
                <w:delText>PASI 75</w:delText>
              </w:r>
              <w:r w:rsidRPr="008912CF">
                <w:rPr>
                  <w:sz w:val="22"/>
                  <w:szCs w:val="22"/>
                  <w:vertAlign w:val="superscript"/>
                </w:rPr>
                <w:delText>b</w:delText>
              </w:r>
            </w:del>
          </w:p>
        </w:tc>
        <w:tc>
          <w:tcPr>
            <w:tcW w:w="0" w:type="auto"/>
            <w:tcBorders>
              <w:top w:val="single" w:sz="6" w:space="0" w:color="000000"/>
              <w:left w:val="single" w:sz="6" w:space="0" w:color="000000"/>
              <w:bottom w:val="outset" w:sz="6" w:space="0" w:color="auto"/>
              <w:right w:val="outset" w:sz="6" w:space="0" w:color="auto"/>
            </w:tcBorders>
            <w:vAlign w:val="center"/>
          </w:tcPr>
          <w:p w14:paraId="5FDE682F" w14:textId="49E8E36A" w:rsidR="00D105CA" w:rsidRPr="008912CF" w:rsidRDefault="00615769" w:rsidP="00D105CA">
            <w:pPr>
              <w:keepNext/>
              <w:tabs>
                <w:tab w:val="left" w:pos="562"/>
              </w:tabs>
              <w:suppressAutoHyphens/>
              <w:jc w:val="center"/>
              <w:rPr>
                <w:del w:id="3448" w:author="AbbVie2" w:date="2025-05-13T16:36:00Z"/>
                <w:sz w:val="22"/>
                <w:szCs w:val="22"/>
              </w:rPr>
            </w:pPr>
            <w:del w:id="3449" w:author="AbbVie2" w:date="2025-05-13T16:36:00Z">
              <w:r w:rsidRPr="008912CF">
                <w:rPr>
                  <w:sz w:val="22"/>
                  <w:szCs w:val="22"/>
                </w:rPr>
                <w:delText>12 (32,4</w:delText>
              </w:r>
              <w:r>
                <w:rPr>
                  <w:sz w:val="22"/>
                  <w:szCs w:val="22"/>
                </w:rPr>
                <w:delText>%</w:delText>
              </w:r>
              <w:r w:rsidRPr="008912CF">
                <w:rPr>
                  <w:sz w:val="22"/>
                  <w:szCs w:val="22"/>
                </w:rPr>
                <w:delText>)</w:delText>
              </w:r>
            </w:del>
          </w:p>
        </w:tc>
        <w:tc>
          <w:tcPr>
            <w:tcW w:w="1898" w:type="pct"/>
            <w:tcBorders>
              <w:top w:val="single" w:sz="6" w:space="0" w:color="000000"/>
              <w:left w:val="single" w:sz="6" w:space="0" w:color="000000"/>
              <w:bottom w:val="outset" w:sz="6" w:space="0" w:color="auto"/>
              <w:right w:val="single" w:sz="6" w:space="0" w:color="000000"/>
            </w:tcBorders>
            <w:vAlign w:val="center"/>
          </w:tcPr>
          <w:p w14:paraId="724FAE8F" w14:textId="471A8ED8" w:rsidR="00D105CA" w:rsidRPr="008912CF" w:rsidRDefault="00615769" w:rsidP="00D105CA">
            <w:pPr>
              <w:keepNext/>
              <w:tabs>
                <w:tab w:val="left" w:pos="562"/>
              </w:tabs>
              <w:suppressAutoHyphens/>
              <w:jc w:val="center"/>
              <w:rPr>
                <w:del w:id="3450" w:author="AbbVie2" w:date="2025-05-13T16:36:00Z"/>
                <w:sz w:val="22"/>
                <w:szCs w:val="22"/>
              </w:rPr>
            </w:pPr>
            <w:del w:id="3451" w:author="AbbVie2" w:date="2025-05-13T16:36:00Z">
              <w:r w:rsidRPr="008912CF">
                <w:rPr>
                  <w:sz w:val="22"/>
                  <w:szCs w:val="22"/>
                </w:rPr>
                <w:delText>22 (57,9</w:delText>
              </w:r>
              <w:r>
                <w:rPr>
                  <w:sz w:val="22"/>
                  <w:szCs w:val="22"/>
                </w:rPr>
                <w:delText>%</w:delText>
              </w:r>
              <w:r w:rsidRPr="008912CF">
                <w:rPr>
                  <w:sz w:val="22"/>
                  <w:szCs w:val="22"/>
                </w:rPr>
                <w:delText>)</w:delText>
              </w:r>
            </w:del>
          </w:p>
        </w:tc>
      </w:tr>
      <w:tr w:rsidR="00A7162A" w14:paraId="4C39EB57" w14:textId="0E2265D6" w:rsidTr="00D105CA">
        <w:trPr>
          <w:jc w:val="center"/>
          <w:del w:id="3452" w:author="AbbVie2" w:date="2025-05-13T16:36:00Z"/>
        </w:trPr>
        <w:tc>
          <w:tcPr>
            <w:tcW w:w="0" w:type="auto"/>
            <w:tcBorders>
              <w:top w:val="single" w:sz="6" w:space="0" w:color="000000"/>
              <w:left w:val="single" w:sz="6" w:space="0" w:color="000000"/>
              <w:bottom w:val="single" w:sz="6" w:space="0" w:color="000000"/>
              <w:right w:val="outset" w:sz="6" w:space="0" w:color="auto"/>
            </w:tcBorders>
            <w:vAlign w:val="center"/>
          </w:tcPr>
          <w:p w14:paraId="77AF2C31" w14:textId="748C786D" w:rsidR="00D105CA" w:rsidRPr="008912CF" w:rsidRDefault="00615769" w:rsidP="00D105CA">
            <w:pPr>
              <w:keepNext/>
              <w:tabs>
                <w:tab w:val="left" w:pos="562"/>
              </w:tabs>
              <w:suppressAutoHyphens/>
              <w:rPr>
                <w:del w:id="3453" w:author="AbbVie2" w:date="2025-05-13T16:36:00Z"/>
                <w:sz w:val="22"/>
                <w:szCs w:val="22"/>
              </w:rPr>
            </w:pPr>
            <w:del w:id="3454" w:author="AbbVie2" w:date="2025-05-13T16:36:00Z">
              <w:r w:rsidRPr="008912CF">
                <w:rPr>
                  <w:sz w:val="22"/>
                  <w:szCs w:val="22"/>
                </w:rPr>
                <w:delText> </w:delText>
              </w:r>
              <w:r w:rsidRPr="008912CF">
                <w:rPr>
                  <w:sz w:val="22"/>
                  <w:szCs w:val="22"/>
                </w:rPr>
                <w:delText>PGA: Limp</w:delText>
              </w:r>
              <w:r>
                <w:rPr>
                  <w:sz w:val="22"/>
                  <w:szCs w:val="22"/>
                </w:rPr>
                <w:delText>a</w:delText>
              </w:r>
              <w:r w:rsidRPr="008912CF">
                <w:rPr>
                  <w:sz w:val="22"/>
                  <w:szCs w:val="22"/>
                </w:rPr>
                <w:delText>/</w:delText>
              </w:r>
              <w:r>
                <w:rPr>
                  <w:sz w:val="22"/>
                  <w:szCs w:val="22"/>
                </w:rPr>
                <w:delText>quase limpa</w:delText>
              </w:r>
              <w:r w:rsidRPr="008912CF">
                <w:rPr>
                  <w:sz w:val="22"/>
                  <w:szCs w:val="22"/>
                  <w:vertAlign w:val="superscript"/>
                </w:rPr>
                <w:delText>c</w:delText>
              </w:r>
            </w:del>
          </w:p>
        </w:tc>
        <w:tc>
          <w:tcPr>
            <w:tcW w:w="0" w:type="auto"/>
            <w:tcBorders>
              <w:top w:val="single" w:sz="6" w:space="0" w:color="000000"/>
              <w:left w:val="single" w:sz="6" w:space="0" w:color="000000"/>
              <w:bottom w:val="single" w:sz="6" w:space="0" w:color="000000"/>
              <w:right w:val="outset" w:sz="6" w:space="0" w:color="auto"/>
            </w:tcBorders>
            <w:vAlign w:val="center"/>
          </w:tcPr>
          <w:p w14:paraId="163F50B6" w14:textId="432CB34E" w:rsidR="00D105CA" w:rsidRPr="008912CF" w:rsidRDefault="00615769" w:rsidP="00D105CA">
            <w:pPr>
              <w:keepNext/>
              <w:tabs>
                <w:tab w:val="left" w:pos="562"/>
              </w:tabs>
              <w:suppressAutoHyphens/>
              <w:jc w:val="center"/>
              <w:rPr>
                <w:del w:id="3455" w:author="AbbVie2" w:date="2025-05-13T16:36:00Z"/>
                <w:sz w:val="22"/>
                <w:szCs w:val="22"/>
              </w:rPr>
            </w:pPr>
            <w:del w:id="3456" w:author="AbbVie2" w:date="2025-05-13T16:36:00Z">
              <w:r w:rsidRPr="008912CF">
                <w:rPr>
                  <w:sz w:val="22"/>
                  <w:szCs w:val="22"/>
                </w:rPr>
                <w:delText>15 (40,5</w:delText>
              </w:r>
              <w:r>
                <w:rPr>
                  <w:sz w:val="22"/>
                  <w:szCs w:val="22"/>
                </w:rPr>
                <w:delText>%</w:delText>
              </w:r>
              <w:r w:rsidRPr="008912CF">
                <w:rPr>
                  <w:sz w:val="22"/>
                  <w:szCs w:val="22"/>
                </w:rPr>
                <w:delText>)</w:delText>
              </w:r>
            </w:del>
          </w:p>
        </w:tc>
        <w:tc>
          <w:tcPr>
            <w:tcW w:w="1898" w:type="pct"/>
            <w:tcBorders>
              <w:top w:val="single" w:sz="6" w:space="0" w:color="000000"/>
              <w:left w:val="single" w:sz="6" w:space="0" w:color="000000"/>
              <w:bottom w:val="single" w:sz="6" w:space="0" w:color="000000"/>
              <w:right w:val="single" w:sz="6" w:space="0" w:color="000000"/>
            </w:tcBorders>
            <w:vAlign w:val="center"/>
          </w:tcPr>
          <w:p w14:paraId="160801CE" w14:textId="1089B646" w:rsidR="00D105CA" w:rsidRPr="008912CF" w:rsidRDefault="00615769" w:rsidP="00D105CA">
            <w:pPr>
              <w:keepNext/>
              <w:tabs>
                <w:tab w:val="left" w:pos="562"/>
              </w:tabs>
              <w:suppressAutoHyphens/>
              <w:jc w:val="center"/>
              <w:rPr>
                <w:del w:id="3457" w:author="AbbVie2" w:date="2025-05-13T16:36:00Z"/>
                <w:sz w:val="22"/>
                <w:szCs w:val="22"/>
              </w:rPr>
            </w:pPr>
            <w:del w:id="3458" w:author="AbbVie2" w:date="2025-05-13T16:36:00Z">
              <w:r w:rsidRPr="008912CF">
                <w:rPr>
                  <w:sz w:val="22"/>
                  <w:szCs w:val="22"/>
                </w:rPr>
                <w:delText>23 (60,5</w:delText>
              </w:r>
              <w:r>
                <w:rPr>
                  <w:sz w:val="22"/>
                  <w:szCs w:val="22"/>
                </w:rPr>
                <w:delText>%</w:delText>
              </w:r>
              <w:r w:rsidRPr="008912CF">
                <w:rPr>
                  <w:sz w:val="22"/>
                  <w:szCs w:val="22"/>
                </w:rPr>
                <w:delText>)</w:delText>
              </w:r>
            </w:del>
          </w:p>
        </w:tc>
      </w:tr>
      <w:tr w:rsidR="00A7162A" w14:paraId="5D9D4874" w14:textId="29E5503B" w:rsidTr="00D105CA">
        <w:trPr>
          <w:jc w:val="center"/>
          <w:del w:id="3459" w:author="AbbVie2" w:date="2025-05-13T16:36:00Z"/>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65064896" w14:textId="44EDE42E" w:rsidR="00D105CA" w:rsidRPr="008912CF" w:rsidRDefault="00615769" w:rsidP="00D105CA">
            <w:pPr>
              <w:keepNext/>
              <w:tabs>
                <w:tab w:val="left" w:pos="562"/>
              </w:tabs>
              <w:suppressAutoHyphens/>
              <w:rPr>
                <w:del w:id="3460" w:author="AbbVie2" w:date="2025-05-13T16:36:00Z"/>
                <w:sz w:val="22"/>
                <w:szCs w:val="22"/>
              </w:rPr>
            </w:pPr>
            <w:del w:id="3461" w:author="AbbVie2" w:date="2025-05-13T16:36:00Z">
              <w:r w:rsidRPr="008912CF">
                <w:rPr>
                  <w:sz w:val="22"/>
                  <w:szCs w:val="22"/>
                  <w:vertAlign w:val="superscript"/>
                </w:rPr>
                <w:delText xml:space="preserve">a </w:delText>
              </w:r>
              <w:r w:rsidRPr="008912CF">
                <w:rPr>
                  <w:sz w:val="22"/>
                  <w:szCs w:val="22"/>
                </w:rPr>
                <w:delText>MTX = metotrexato</w:delText>
              </w:r>
            </w:del>
          </w:p>
          <w:p w14:paraId="3D1B967B" w14:textId="53B354FC" w:rsidR="00D105CA" w:rsidRPr="008912CF" w:rsidRDefault="00615769" w:rsidP="00D105CA">
            <w:pPr>
              <w:keepNext/>
              <w:tabs>
                <w:tab w:val="left" w:pos="562"/>
              </w:tabs>
              <w:suppressAutoHyphens/>
              <w:rPr>
                <w:del w:id="3462" w:author="AbbVie2" w:date="2025-05-13T16:36:00Z"/>
                <w:sz w:val="22"/>
                <w:szCs w:val="22"/>
              </w:rPr>
            </w:pPr>
            <w:del w:id="3463" w:author="AbbVie2" w:date="2025-05-13T16:36:00Z">
              <w:r w:rsidRPr="008912CF">
                <w:rPr>
                  <w:sz w:val="22"/>
                  <w:szCs w:val="22"/>
                  <w:vertAlign w:val="superscript"/>
                </w:rPr>
                <w:delText>b</w:delText>
              </w:r>
              <w:r w:rsidRPr="008912CF">
                <w:rPr>
                  <w:sz w:val="22"/>
                  <w:szCs w:val="22"/>
                </w:rPr>
                <w:delText xml:space="preserve"> </w:delText>
              </w:r>
              <w:r>
                <w:rPr>
                  <w:sz w:val="22"/>
                  <w:szCs w:val="22"/>
                </w:rPr>
                <w:delText>p</w:delText>
              </w:r>
              <w:r w:rsidRPr="008912CF">
                <w:rPr>
                  <w:sz w:val="22"/>
                  <w:szCs w:val="22"/>
                </w:rPr>
                <w:delText>=0,027, Humira 0,8 mg/kg versus MTX</w:delText>
              </w:r>
            </w:del>
          </w:p>
          <w:p w14:paraId="6668CD6A" w14:textId="5EF9A2BF" w:rsidR="00D105CA" w:rsidRPr="008912CF" w:rsidRDefault="00615769" w:rsidP="00D105CA">
            <w:pPr>
              <w:keepNext/>
              <w:tabs>
                <w:tab w:val="left" w:pos="562"/>
              </w:tabs>
              <w:suppressAutoHyphens/>
              <w:rPr>
                <w:del w:id="3464" w:author="AbbVie2" w:date="2025-05-13T16:36:00Z"/>
                <w:sz w:val="22"/>
                <w:szCs w:val="22"/>
              </w:rPr>
            </w:pPr>
            <w:del w:id="3465" w:author="AbbVie2" w:date="2025-05-13T16:36:00Z">
              <w:r w:rsidRPr="008912CF">
                <w:rPr>
                  <w:sz w:val="22"/>
                  <w:szCs w:val="22"/>
                  <w:vertAlign w:val="superscript"/>
                </w:rPr>
                <w:delText>c</w:delText>
              </w:r>
              <w:r w:rsidRPr="008912CF">
                <w:rPr>
                  <w:sz w:val="22"/>
                  <w:szCs w:val="22"/>
                </w:rPr>
                <w:delText xml:space="preserve"> </w:delText>
              </w:r>
              <w:r>
                <w:rPr>
                  <w:sz w:val="22"/>
                  <w:szCs w:val="22"/>
                </w:rPr>
                <w:delText>p</w:delText>
              </w:r>
              <w:r w:rsidRPr="008912CF">
                <w:rPr>
                  <w:sz w:val="22"/>
                  <w:szCs w:val="22"/>
                </w:rPr>
                <w:delText>=0,083, Humira 0,8 mg/kg versus MTX</w:delText>
              </w:r>
            </w:del>
          </w:p>
        </w:tc>
      </w:tr>
    </w:tbl>
    <w:p w14:paraId="75F16806" w14:textId="089A2BCA" w:rsidR="00D105CA" w:rsidRPr="008912CF" w:rsidRDefault="00615769" w:rsidP="00D105CA">
      <w:pPr>
        <w:rPr>
          <w:del w:id="3466" w:author="AbbVie2" w:date="2025-05-13T16:36:00Z"/>
          <w:rFonts w:ascii="TimesNewRoman" w:hAnsi="TimesNewRoman" w:cs="TimesNewRoman"/>
          <w:sz w:val="22"/>
          <w:szCs w:val="22"/>
          <w:lang w:eastAsia="pt-PT"/>
        </w:rPr>
      </w:pPr>
      <w:del w:id="3467" w:author="AbbVie2" w:date="2025-05-13T16:36:00Z">
        <w:r w:rsidRPr="008912CF">
          <w:rPr>
            <w:rFonts w:ascii="TimesNewRoman" w:hAnsi="TimesNewRoman" w:cs="TimesNewRoman"/>
            <w:sz w:val="22"/>
            <w:szCs w:val="22"/>
            <w:lang w:eastAsia="pt-PT"/>
          </w:rPr>
          <w:delText xml:space="preserve"> </w:delText>
        </w:r>
      </w:del>
    </w:p>
    <w:p w14:paraId="49309EDF" w14:textId="489793A6" w:rsidR="00D105CA" w:rsidRPr="008912CF" w:rsidRDefault="00615769" w:rsidP="00D105CA">
      <w:pPr>
        <w:autoSpaceDE w:val="0"/>
        <w:autoSpaceDN w:val="0"/>
        <w:adjustRightInd w:val="0"/>
        <w:rPr>
          <w:del w:id="3468" w:author="AbbVie2" w:date="2025-05-13T16:36:00Z"/>
          <w:sz w:val="22"/>
          <w:szCs w:val="22"/>
        </w:rPr>
      </w:pPr>
      <w:del w:id="3469" w:author="AbbVie2" w:date="2025-05-13T16:36:00Z">
        <w:r w:rsidRPr="008912CF">
          <w:rPr>
            <w:sz w:val="22"/>
            <w:szCs w:val="22"/>
          </w:rPr>
          <w:delText xml:space="preserve">Os doentes que obtiveram PASI 75 e PGA </w:delText>
        </w:r>
        <w:r>
          <w:rPr>
            <w:sz w:val="22"/>
            <w:szCs w:val="22"/>
          </w:rPr>
          <w:delText>“</w:delText>
        </w:r>
        <w:r w:rsidRPr="008912CF">
          <w:rPr>
            <w:sz w:val="22"/>
            <w:szCs w:val="22"/>
          </w:rPr>
          <w:delText>limp</w:delText>
        </w:r>
        <w:r>
          <w:rPr>
            <w:sz w:val="22"/>
            <w:szCs w:val="22"/>
          </w:rPr>
          <w:delText>a”</w:delText>
        </w:r>
        <w:r w:rsidRPr="008912CF">
          <w:rPr>
            <w:sz w:val="22"/>
            <w:szCs w:val="22"/>
          </w:rPr>
          <w:delText xml:space="preserve"> ou </w:delText>
        </w:r>
        <w:r>
          <w:rPr>
            <w:sz w:val="22"/>
            <w:szCs w:val="22"/>
          </w:rPr>
          <w:delText>“quase limpa”</w:delText>
        </w:r>
        <w:r w:rsidRPr="008912CF">
          <w:rPr>
            <w:sz w:val="22"/>
            <w:szCs w:val="22"/>
          </w:rPr>
          <w:delText xml:space="preserve"> </w:delText>
        </w:r>
        <w:r>
          <w:rPr>
            <w:sz w:val="22"/>
            <w:szCs w:val="22"/>
          </w:rPr>
          <w:delText>suspenderam o tratamento</w:delText>
        </w:r>
        <w:r w:rsidRPr="008912CF">
          <w:rPr>
            <w:sz w:val="22"/>
            <w:szCs w:val="22"/>
          </w:rPr>
          <w:delText xml:space="preserve"> até um período máximo de 36</w:delText>
        </w:r>
        <w:r>
          <w:rPr>
            <w:sz w:val="22"/>
            <w:szCs w:val="22"/>
          </w:rPr>
          <w:delText> </w:delText>
        </w:r>
        <w:r w:rsidRPr="008912CF">
          <w:rPr>
            <w:sz w:val="22"/>
            <w:szCs w:val="22"/>
          </w:rPr>
          <w:delText xml:space="preserve">semanas e </w:delText>
        </w:r>
        <w:r>
          <w:rPr>
            <w:sz w:val="22"/>
            <w:szCs w:val="22"/>
          </w:rPr>
          <w:delText xml:space="preserve">foram </w:delText>
        </w:r>
        <w:r w:rsidRPr="008912CF">
          <w:rPr>
            <w:sz w:val="22"/>
            <w:szCs w:val="22"/>
          </w:rPr>
          <w:delText>monitorizados relativamente à perda de controlo da doença (i.e. agravamento de PGA em pelo menos 2 graus). Os doentes reiniciaram o tratamento com adalimumab 0,8 mg/kg em semanas alternadas, durante um período adicional de 16</w:delText>
        </w:r>
        <w:r>
          <w:rPr>
            <w:sz w:val="22"/>
            <w:szCs w:val="22"/>
          </w:rPr>
          <w:delText> </w:delText>
        </w:r>
        <w:r w:rsidRPr="008912CF">
          <w:rPr>
            <w:sz w:val="22"/>
            <w:szCs w:val="22"/>
          </w:rPr>
          <w:delText>semanas e as respostas observadas durante o novo tratamento foram semelhantes às observadas no período de dupla ocultação: resposta PASI 75 de 78,9</w:delText>
        </w:r>
        <w:r>
          <w:rPr>
            <w:sz w:val="22"/>
            <w:szCs w:val="22"/>
          </w:rPr>
          <w:delText>%</w:delText>
        </w:r>
        <w:r w:rsidRPr="008912CF">
          <w:rPr>
            <w:sz w:val="22"/>
            <w:szCs w:val="22"/>
          </w:rPr>
          <w:delText xml:space="preserve"> (15 de 19 indivíduos) e PGA </w:delText>
        </w:r>
        <w:r>
          <w:rPr>
            <w:sz w:val="22"/>
            <w:szCs w:val="22"/>
          </w:rPr>
          <w:delText>“</w:delText>
        </w:r>
        <w:r w:rsidRPr="008912CF">
          <w:rPr>
            <w:sz w:val="22"/>
            <w:szCs w:val="22"/>
          </w:rPr>
          <w:delText>limp</w:delText>
        </w:r>
        <w:r>
          <w:rPr>
            <w:sz w:val="22"/>
            <w:szCs w:val="22"/>
          </w:rPr>
          <w:delText>a”</w:delText>
        </w:r>
        <w:r w:rsidRPr="008912CF">
          <w:rPr>
            <w:sz w:val="22"/>
            <w:szCs w:val="22"/>
          </w:rPr>
          <w:delText xml:space="preserve"> ou </w:delText>
        </w:r>
        <w:r>
          <w:rPr>
            <w:sz w:val="22"/>
            <w:szCs w:val="22"/>
          </w:rPr>
          <w:delText>“quase limpa”</w:delText>
        </w:r>
        <w:r w:rsidRPr="008912CF">
          <w:rPr>
            <w:sz w:val="22"/>
            <w:szCs w:val="22"/>
          </w:rPr>
          <w:delText xml:space="preserve"> de 52,6</w:delText>
        </w:r>
        <w:r>
          <w:rPr>
            <w:sz w:val="22"/>
            <w:szCs w:val="22"/>
          </w:rPr>
          <w:delText>%</w:delText>
        </w:r>
        <w:r w:rsidRPr="008912CF">
          <w:rPr>
            <w:sz w:val="22"/>
            <w:szCs w:val="22"/>
          </w:rPr>
          <w:delText xml:space="preserve"> (10 de 19 indivíduos).</w:delText>
        </w:r>
      </w:del>
    </w:p>
    <w:p w14:paraId="694BB20B" w14:textId="7A082616" w:rsidR="00D105CA" w:rsidRPr="008912CF" w:rsidRDefault="00D105CA" w:rsidP="00D105CA">
      <w:pPr>
        <w:autoSpaceDE w:val="0"/>
        <w:autoSpaceDN w:val="0"/>
        <w:adjustRightInd w:val="0"/>
        <w:rPr>
          <w:del w:id="3470" w:author="AbbVie2" w:date="2025-05-13T16:36:00Z"/>
          <w:sz w:val="22"/>
          <w:szCs w:val="22"/>
        </w:rPr>
      </w:pPr>
    </w:p>
    <w:p w14:paraId="17FA3274" w14:textId="2CAB0EB2" w:rsidR="00D105CA" w:rsidRPr="008912CF" w:rsidRDefault="00615769" w:rsidP="00D105CA">
      <w:pPr>
        <w:autoSpaceDE w:val="0"/>
        <w:autoSpaceDN w:val="0"/>
        <w:adjustRightInd w:val="0"/>
        <w:rPr>
          <w:del w:id="3471" w:author="AbbVie2" w:date="2025-05-13T16:36:00Z"/>
          <w:sz w:val="22"/>
          <w:szCs w:val="22"/>
        </w:rPr>
      </w:pPr>
      <w:del w:id="3472" w:author="AbbVie2" w:date="2025-05-13T16:36:00Z">
        <w:r w:rsidRPr="008912CF">
          <w:rPr>
            <w:sz w:val="22"/>
            <w:szCs w:val="22"/>
          </w:rPr>
          <w:delText xml:space="preserve">No período do estudo em fase aberta, as respostas PASI 75 e PGA </w:delText>
        </w:r>
        <w:r>
          <w:rPr>
            <w:sz w:val="22"/>
            <w:szCs w:val="22"/>
          </w:rPr>
          <w:delText>“</w:delText>
        </w:r>
        <w:r w:rsidRPr="008912CF">
          <w:rPr>
            <w:sz w:val="22"/>
            <w:szCs w:val="22"/>
          </w:rPr>
          <w:delText>limp</w:delText>
        </w:r>
        <w:r>
          <w:rPr>
            <w:sz w:val="22"/>
            <w:szCs w:val="22"/>
          </w:rPr>
          <w:delText>a”</w:delText>
        </w:r>
        <w:r w:rsidRPr="008912CF">
          <w:rPr>
            <w:sz w:val="22"/>
            <w:szCs w:val="22"/>
          </w:rPr>
          <w:delText xml:space="preserve"> ou </w:delText>
        </w:r>
        <w:r>
          <w:rPr>
            <w:sz w:val="22"/>
            <w:szCs w:val="22"/>
          </w:rPr>
          <w:delText>“quase limpa”</w:delText>
        </w:r>
        <w:r w:rsidRPr="008912CF">
          <w:rPr>
            <w:sz w:val="22"/>
            <w:szCs w:val="22"/>
          </w:rPr>
          <w:delText xml:space="preserve"> foram mantidas durante um período adicional de 52</w:delText>
        </w:r>
        <w:r>
          <w:rPr>
            <w:sz w:val="22"/>
            <w:szCs w:val="22"/>
          </w:rPr>
          <w:delText> </w:delText>
        </w:r>
        <w:r w:rsidRPr="008912CF">
          <w:rPr>
            <w:sz w:val="22"/>
            <w:szCs w:val="22"/>
          </w:rPr>
          <w:delText>semanas e não revelaram quaisquer novas informações de segurança.</w:delText>
        </w:r>
      </w:del>
    </w:p>
    <w:p w14:paraId="746E598A" w14:textId="395F86B3" w:rsidR="00D105CA" w:rsidRPr="00CB25CC" w:rsidRDefault="00D105CA" w:rsidP="00D105CA">
      <w:pPr>
        <w:rPr>
          <w:del w:id="3473" w:author="AbbVie2" w:date="2025-05-13T16:36:00Z"/>
        </w:rPr>
      </w:pPr>
    </w:p>
    <w:p w14:paraId="486DF553" w14:textId="67A64CF9" w:rsidR="00D105CA" w:rsidRPr="00FD1D0F" w:rsidRDefault="00615769" w:rsidP="00D105CA">
      <w:pPr>
        <w:keepNext/>
        <w:rPr>
          <w:del w:id="3474" w:author="AbbVie2" w:date="2025-05-13T16:36:00Z"/>
          <w:i/>
          <w:sz w:val="22"/>
          <w:szCs w:val="22"/>
        </w:rPr>
      </w:pPr>
      <w:del w:id="3475" w:author="AbbVie2" w:date="2025-05-13T16:36:00Z">
        <w:r w:rsidRPr="00FD1D0F">
          <w:rPr>
            <w:i/>
            <w:sz w:val="22"/>
            <w:szCs w:val="22"/>
          </w:rPr>
          <w:delText>Hidradenite supurativa no adolescente</w:delText>
        </w:r>
      </w:del>
    </w:p>
    <w:p w14:paraId="3D694419" w14:textId="71E3E71D" w:rsidR="00D105CA" w:rsidRPr="00FD1D0F" w:rsidRDefault="00D105CA" w:rsidP="00D105CA">
      <w:pPr>
        <w:keepNext/>
        <w:rPr>
          <w:del w:id="3476" w:author="AbbVie2" w:date="2025-05-13T16:36:00Z"/>
          <w:b/>
          <w:sz w:val="22"/>
          <w:szCs w:val="22"/>
        </w:rPr>
      </w:pPr>
    </w:p>
    <w:p w14:paraId="0A664FD9" w14:textId="26C2425E" w:rsidR="00D105CA" w:rsidRDefault="00615769" w:rsidP="00D105CA">
      <w:pPr>
        <w:keepNext/>
        <w:rPr>
          <w:del w:id="3477" w:author="AbbVie2" w:date="2025-05-13T16:36:00Z"/>
          <w:bCs/>
          <w:iCs/>
          <w:sz w:val="22"/>
          <w:szCs w:val="22"/>
        </w:rPr>
      </w:pPr>
      <w:del w:id="3478" w:author="AbbVie2" w:date="2025-05-13T16:36:00Z">
        <w:r w:rsidRPr="00FD1D0F">
          <w:rPr>
            <w:bCs/>
            <w:iCs/>
            <w:sz w:val="22"/>
            <w:szCs w:val="22"/>
          </w:rPr>
          <w:delText>Não existem estudos clínicos com Humira em doentes adolescentes com hidradenite supurativa. A eficácia de adalimumab no tratamento de doentes adolescentes com HS é avaliada com base na eficácia e na relação de exposição-resposta</w:delText>
        </w:r>
        <w:r>
          <w:rPr>
            <w:bCs/>
            <w:iCs/>
            <w:sz w:val="22"/>
            <w:szCs w:val="22"/>
          </w:rPr>
          <w:delText xml:space="preserve"> </w:delText>
        </w:r>
        <w:r w:rsidRPr="00FD1D0F">
          <w:rPr>
            <w:bCs/>
            <w:iCs/>
            <w:sz w:val="22"/>
            <w:szCs w:val="22"/>
          </w:rPr>
          <w:delText>demonstradas em doentes adultos com HS, considerando a probabilidade de que o curso da doença, fisiopatologia e efeitos de medicação sejam substancialmente semelhantes aos dos adultos, com os mesmos níveis de exposição. A segurança da dose recomendada de adalimumab nos adolescentes com HS é baseada no perfil de segurança de adalimumab nas várias indicações, em doentes adultos e pediátricos em doses semelhantes ou mais frequentes (ver secção 5.2).</w:delText>
        </w:r>
      </w:del>
    </w:p>
    <w:p w14:paraId="1211E65E" w14:textId="0578D264" w:rsidR="00D105CA" w:rsidRPr="000D5D61" w:rsidRDefault="00D105CA" w:rsidP="00D105CA">
      <w:pPr>
        <w:rPr>
          <w:del w:id="3479" w:author="AbbVie2" w:date="2025-05-13T16:36:00Z"/>
          <w:sz w:val="22"/>
          <w:szCs w:val="22"/>
        </w:rPr>
      </w:pPr>
    </w:p>
    <w:p w14:paraId="53BF4FE8" w14:textId="3AA2C1F6" w:rsidR="00D105CA" w:rsidRPr="008912CF" w:rsidRDefault="00615769" w:rsidP="00D105CA">
      <w:pPr>
        <w:rPr>
          <w:del w:id="3480" w:author="AbbVie2" w:date="2025-05-13T16:36:00Z"/>
          <w:sz w:val="22"/>
          <w:szCs w:val="22"/>
        </w:rPr>
      </w:pPr>
      <w:del w:id="3481" w:author="AbbVie2" w:date="2025-05-13T16:36:00Z">
        <w:r w:rsidRPr="008912CF">
          <w:rPr>
            <w:i/>
            <w:sz w:val="22"/>
            <w:szCs w:val="22"/>
          </w:rPr>
          <w:delText>Doença de Crohn pediátrica</w:delText>
        </w:r>
      </w:del>
    </w:p>
    <w:p w14:paraId="6D69541D" w14:textId="10F7C5AC" w:rsidR="00D105CA" w:rsidRPr="008912CF" w:rsidRDefault="00D105CA" w:rsidP="00D105CA">
      <w:pPr>
        <w:rPr>
          <w:del w:id="3482" w:author="AbbVie2" w:date="2025-05-13T16:36:00Z"/>
          <w:sz w:val="22"/>
          <w:szCs w:val="22"/>
          <w:u w:val="single"/>
        </w:rPr>
      </w:pPr>
    </w:p>
    <w:p w14:paraId="7CCCDEC2" w14:textId="372AE259" w:rsidR="00D105CA" w:rsidRPr="008912CF" w:rsidRDefault="00615769" w:rsidP="00D105CA">
      <w:pPr>
        <w:rPr>
          <w:del w:id="3483" w:author="AbbVie2" w:date="2025-05-13T16:36:00Z"/>
          <w:sz w:val="22"/>
          <w:szCs w:val="22"/>
        </w:rPr>
      </w:pPr>
      <w:del w:id="3484" w:author="AbbVie2" w:date="2025-05-13T16:36:00Z">
        <w:r w:rsidRPr="008912CF">
          <w:rPr>
            <w:sz w:val="22"/>
            <w:szCs w:val="22"/>
          </w:rPr>
          <w:delText xml:space="preserve">Humira foi avaliado num estudo multicêntrico, </w:delText>
        </w:r>
        <w:r>
          <w:rPr>
            <w:sz w:val="22"/>
            <w:szCs w:val="22"/>
          </w:rPr>
          <w:delText>aleatorizado</w:delText>
        </w:r>
        <w:r w:rsidRPr="008912CF">
          <w:rPr>
            <w:sz w:val="22"/>
            <w:szCs w:val="22"/>
          </w:rPr>
          <w:delText>, em dupla ocultação, desenhado para avaliar a eficácia e segurança do tratamento inicial e de manutenção, com doses dependentes do peso corporal (&lt; 40</w:delText>
        </w:r>
        <w:r>
          <w:rPr>
            <w:sz w:val="22"/>
            <w:szCs w:val="22"/>
          </w:rPr>
          <w:delText> </w:delText>
        </w:r>
        <w:r w:rsidRPr="008912CF">
          <w:rPr>
            <w:sz w:val="22"/>
            <w:szCs w:val="22"/>
          </w:rPr>
          <w:delText>kg ou ≥ 40</w:delText>
        </w:r>
        <w:r>
          <w:rPr>
            <w:sz w:val="22"/>
            <w:szCs w:val="22"/>
          </w:rPr>
          <w:delText> </w:delText>
        </w:r>
        <w:r w:rsidRPr="008912CF">
          <w:rPr>
            <w:sz w:val="22"/>
            <w:szCs w:val="22"/>
          </w:rPr>
          <w:delText>kg), em 192 doentes pediátricos com idade</w:delText>
        </w:r>
        <w:r>
          <w:rPr>
            <w:sz w:val="22"/>
            <w:szCs w:val="22"/>
          </w:rPr>
          <w:delText>s</w:delText>
        </w:r>
        <w:r w:rsidRPr="008912CF">
          <w:rPr>
            <w:sz w:val="22"/>
            <w:szCs w:val="22"/>
          </w:rPr>
          <w:delText xml:space="preserve"> compreendida</w:delText>
        </w:r>
        <w:r>
          <w:rPr>
            <w:sz w:val="22"/>
            <w:szCs w:val="22"/>
          </w:rPr>
          <w:delText>s</w:delText>
        </w:r>
        <w:r w:rsidRPr="008912CF">
          <w:rPr>
            <w:sz w:val="22"/>
            <w:szCs w:val="22"/>
          </w:rPr>
          <w:delText xml:space="preserve"> entre os 6 e 17 anos (inclusive), com doença de Crohn (DC) moderada a</w:delText>
        </w:r>
        <w:r>
          <w:rPr>
            <w:sz w:val="22"/>
            <w:szCs w:val="22"/>
          </w:rPr>
          <w:delText xml:space="preserve"> </w:delText>
        </w:r>
        <w:r w:rsidRPr="008912CF">
          <w:rPr>
            <w:sz w:val="22"/>
            <w:szCs w:val="22"/>
          </w:rPr>
          <w:delText xml:space="preserve">grave definida </w:delText>
        </w:r>
        <w:r>
          <w:rPr>
            <w:sz w:val="22"/>
            <w:szCs w:val="22"/>
          </w:rPr>
          <w:delText>pelo</w:delText>
        </w:r>
        <w:r w:rsidRPr="008912CF">
          <w:rPr>
            <w:sz w:val="22"/>
            <w:szCs w:val="22"/>
          </w:rPr>
          <w:delText xml:space="preserve"> índice de Atividade de Doença Pediátrica de Crohn (</w:delText>
        </w:r>
        <w:r w:rsidRPr="008912CF">
          <w:rPr>
            <w:i/>
            <w:sz w:val="22"/>
            <w:szCs w:val="22"/>
          </w:rPr>
          <w:delText>Paediatric Crohn</w:delText>
        </w:r>
        <w:r>
          <w:rPr>
            <w:i/>
            <w:sz w:val="22"/>
            <w:szCs w:val="22"/>
          </w:rPr>
          <w:delText>’</w:delText>
        </w:r>
        <w:r w:rsidRPr="008912CF">
          <w:rPr>
            <w:i/>
            <w:sz w:val="22"/>
            <w:szCs w:val="22"/>
          </w:rPr>
          <w:delText>s Disease Activity Index</w:delText>
        </w:r>
        <w:r w:rsidRPr="008912CF">
          <w:rPr>
            <w:sz w:val="22"/>
            <w:szCs w:val="22"/>
          </w:rPr>
          <w:delText xml:space="preserve"> (PCDAI)) &gt; 30. </w:delText>
        </w:r>
        <w:r>
          <w:rPr>
            <w:sz w:val="22"/>
            <w:szCs w:val="22"/>
          </w:rPr>
          <w:delText>Os d</w:delText>
        </w:r>
        <w:r w:rsidRPr="008912CF">
          <w:rPr>
            <w:sz w:val="22"/>
            <w:szCs w:val="22"/>
          </w:rPr>
          <w:delText xml:space="preserve">oentes não </w:delText>
        </w:r>
        <w:r>
          <w:rPr>
            <w:sz w:val="22"/>
            <w:szCs w:val="22"/>
          </w:rPr>
          <w:delText xml:space="preserve">tinham </w:delText>
        </w:r>
        <w:r w:rsidRPr="008912CF">
          <w:rPr>
            <w:sz w:val="22"/>
            <w:szCs w:val="22"/>
          </w:rPr>
          <w:delText>respond</w:delText>
        </w:r>
        <w:r>
          <w:rPr>
            <w:sz w:val="22"/>
            <w:szCs w:val="22"/>
          </w:rPr>
          <w:delText>ido</w:delText>
        </w:r>
        <w:r w:rsidRPr="008912CF">
          <w:rPr>
            <w:sz w:val="22"/>
            <w:szCs w:val="22"/>
          </w:rPr>
          <w:delText xml:space="preserve"> a uma terapêutica convencional (incluindo um corticosteroide e/ou um imunomodulador) na DC</w:delText>
        </w:r>
        <w:r>
          <w:rPr>
            <w:sz w:val="22"/>
            <w:szCs w:val="22"/>
          </w:rPr>
          <w:delText xml:space="preserve"> ou tinham</w:delText>
        </w:r>
        <w:r w:rsidRPr="008912CF">
          <w:rPr>
            <w:sz w:val="22"/>
            <w:szCs w:val="22"/>
          </w:rPr>
          <w:delText xml:space="preserve"> deixa</w:delText>
        </w:r>
        <w:r>
          <w:rPr>
            <w:sz w:val="22"/>
            <w:szCs w:val="22"/>
          </w:rPr>
          <w:delText>do</w:delText>
        </w:r>
        <w:r w:rsidRPr="008912CF">
          <w:rPr>
            <w:sz w:val="22"/>
            <w:szCs w:val="22"/>
          </w:rPr>
          <w:delText xml:space="preserve"> de responder ou tornaram-se intolerantes ao infliximab.</w:delText>
        </w:r>
        <w:r w:rsidRPr="008912CF">
          <w:rPr>
            <w:szCs w:val="22"/>
          </w:rPr>
          <w:delText xml:space="preserve"> </w:delText>
        </w:r>
      </w:del>
    </w:p>
    <w:p w14:paraId="5A8AACFD" w14:textId="033A4B13" w:rsidR="00D105CA" w:rsidRPr="008912CF" w:rsidRDefault="00D105CA" w:rsidP="00D105CA">
      <w:pPr>
        <w:rPr>
          <w:del w:id="3485" w:author="AbbVie2" w:date="2025-05-13T16:36:00Z"/>
          <w:sz w:val="22"/>
          <w:szCs w:val="22"/>
        </w:rPr>
      </w:pPr>
    </w:p>
    <w:p w14:paraId="151B5123" w14:textId="74E1EAED" w:rsidR="00D105CA" w:rsidRPr="008912CF" w:rsidRDefault="00615769" w:rsidP="00D105CA">
      <w:pPr>
        <w:rPr>
          <w:del w:id="3486" w:author="AbbVie2" w:date="2025-05-13T16:36:00Z"/>
          <w:sz w:val="22"/>
          <w:szCs w:val="22"/>
        </w:rPr>
      </w:pPr>
      <w:del w:id="3487" w:author="AbbVie2" w:date="2025-05-13T16:36:00Z">
        <w:r w:rsidRPr="008912CF">
          <w:rPr>
            <w:sz w:val="22"/>
            <w:szCs w:val="22"/>
          </w:rPr>
          <w:delText>Todos os doentes receberam terapêutica de indução em fase aberta com uma dose baseada no peso corporal basal: 160</w:delText>
        </w:r>
        <w:r>
          <w:rPr>
            <w:sz w:val="22"/>
            <w:szCs w:val="22"/>
          </w:rPr>
          <w:delText> </w:delText>
        </w:r>
        <w:r w:rsidRPr="008912CF">
          <w:rPr>
            <w:sz w:val="22"/>
            <w:szCs w:val="22"/>
          </w:rPr>
          <w:delText>mg na Semana 0 e 80</w:delText>
        </w:r>
        <w:r>
          <w:rPr>
            <w:sz w:val="22"/>
            <w:szCs w:val="22"/>
          </w:rPr>
          <w:delText> </w:delText>
        </w:r>
        <w:r w:rsidRPr="008912CF">
          <w:rPr>
            <w:sz w:val="22"/>
            <w:szCs w:val="22"/>
          </w:rPr>
          <w:delText>mg na Semana 2 para doentes ≥ 40</w:delText>
        </w:r>
        <w:r>
          <w:rPr>
            <w:sz w:val="22"/>
            <w:szCs w:val="22"/>
          </w:rPr>
          <w:delText> </w:delText>
        </w:r>
        <w:r w:rsidRPr="008912CF">
          <w:rPr>
            <w:sz w:val="22"/>
            <w:szCs w:val="22"/>
          </w:rPr>
          <w:delText>kg e 80</w:delText>
        </w:r>
        <w:r>
          <w:rPr>
            <w:sz w:val="22"/>
            <w:szCs w:val="22"/>
          </w:rPr>
          <w:delText> </w:delText>
        </w:r>
        <w:r w:rsidRPr="008912CF">
          <w:rPr>
            <w:sz w:val="22"/>
            <w:szCs w:val="22"/>
          </w:rPr>
          <w:delText>mg e 40</w:delText>
        </w:r>
        <w:r>
          <w:rPr>
            <w:sz w:val="22"/>
            <w:szCs w:val="22"/>
          </w:rPr>
          <w:delText> </w:delText>
        </w:r>
        <w:r w:rsidRPr="008912CF">
          <w:rPr>
            <w:sz w:val="22"/>
            <w:szCs w:val="22"/>
          </w:rPr>
          <w:delText>mg, respetivamente, para doentes &lt; 40 kg.</w:delText>
        </w:r>
      </w:del>
    </w:p>
    <w:p w14:paraId="54045C6B" w14:textId="19FE725F" w:rsidR="00D105CA" w:rsidRPr="008912CF" w:rsidRDefault="00D105CA" w:rsidP="00D105CA">
      <w:pPr>
        <w:rPr>
          <w:del w:id="3488" w:author="AbbVie2" w:date="2025-05-13T16:36:00Z"/>
          <w:sz w:val="22"/>
          <w:szCs w:val="22"/>
        </w:rPr>
      </w:pPr>
    </w:p>
    <w:p w14:paraId="465A5142" w14:textId="0D5A79B3" w:rsidR="00D105CA" w:rsidRPr="008912CF" w:rsidRDefault="00615769" w:rsidP="00D105CA">
      <w:pPr>
        <w:rPr>
          <w:del w:id="3489" w:author="AbbVie2" w:date="2025-05-13T16:36:00Z"/>
          <w:sz w:val="22"/>
          <w:szCs w:val="22"/>
        </w:rPr>
      </w:pPr>
      <w:del w:id="3490" w:author="AbbVie2" w:date="2025-05-13T16:36:00Z">
        <w:r w:rsidRPr="008912CF">
          <w:rPr>
            <w:sz w:val="22"/>
            <w:szCs w:val="22"/>
          </w:rPr>
          <w:delText>Na Semana</w:delText>
        </w:r>
        <w:r>
          <w:rPr>
            <w:sz w:val="22"/>
            <w:szCs w:val="22"/>
          </w:rPr>
          <w:delText> </w:delText>
        </w:r>
        <w:r w:rsidRPr="008912CF">
          <w:rPr>
            <w:sz w:val="22"/>
            <w:szCs w:val="22"/>
          </w:rPr>
          <w:delText xml:space="preserve">4, os doentes foram </w:delText>
        </w:r>
        <w:r>
          <w:rPr>
            <w:sz w:val="22"/>
            <w:szCs w:val="22"/>
          </w:rPr>
          <w:delText>aleatorizado</w:delText>
        </w:r>
        <w:r w:rsidRPr="008912CF">
          <w:rPr>
            <w:sz w:val="22"/>
            <w:szCs w:val="22"/>
          </w:rPr>
          <w:delText xml:space="preserve">s 1:1 com base no seu peso corporal aquando da definição do regime de manutenção da Baixa Dose ou da Dose Padrão, conforme Tabela </w:delText>
        </w:r>
        <w:r w:rsidR="00953E6E">
          <w:rPr>
            <w:sz w:val="22"/>
            <w:szCs w:val="22"/>
          </w:rPr>
          <w:delText>23</w:delText>
        </w:r>
        <w:r w:rsidRPr="008912CF">
          <w:rPr>
            <w:sz w:val="22"/>
            <w:szCs w:val="22"/>
          </w:rPr>
          <w:delText>.</w:delText>
        </w:r>
      </w:del>
    </w:p>
    <w:p w14:paraId="11EC2965" w14:textId="62FB9221" w:rsidR="00D105CA" w:rsidRPr="008912CF" w:rsidRDefault="00D105CA" w:rsidP="00D105CA">
      <w:pPr>
        <w:rPr>
          <w:del w:id="3491" w:author="AbbVie2" w:date="2025-05-13T16:36:00Z"/>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
        <w:gridCol w:w="2843"/>
        <w:gridCol w:w="2898"/>
      </w:tblGrid>
      <w:tr w:rsidR="00A7162A" w14:paraId="08D665D5" w14:textId="2FCA4A24" w:rsidTr="00B538F3">
        <w:trPr>
          <w:trHeight w:val="263"/>
          <w:jc w:val="center"/>
          <w:del w:id="3492" w:author="AbbVie2" w:date="2025-05-13T16:36:00Z"/>
        </w:trPr>
        <w:tc>
          <w:tcPr>
            <w:tcW w:w="0" w:type="auto"/>
            <w:gridSpan w:val="3"/>
            <w:vAlign w:val="center"/>
          </w:tcPr>
          <w:p w14:paraId="2BFCC80E" w14:textId="78ED0A5A" w:rsidR="00D105CA" w:rsidRPr="008912CF" w:rsidRDefault="00615769" w:rsidP="00B538F3">
            <w:pPr>
              <w:pStyle w:val="EMEANormal"/>
              <w:jc w:val="center"/>
              <w:rPr>
                <w:del w:id="3493" w:author="AbbVie2" w:date="2025-05-13T16:36:00Z"/>
                <w:b/>
                <w:szCs w:val="24"/>
                <w:lang w:val="pt-PT"/>
              </w:rPr>
            </w:pPr>
            <w:del w:id="3494" w:author="AbbVie2" w:date="2025-05-13T16:36:00Z">
              <w:r w:rsidRPr="008912CF">
                <w:rPr>
                  <w:b/>
                  <w:szCs w:val="24"/>
                  <w:lang w:val="pt-PT"/>
                </w:rPr>
                <w:delText xml:space="preserve">Tabela </w:delText>
              </w:r>
              <w:r w:rsidR="00953E6E">
                <w:rPr>
                  <w:b/>
                  <w:szCs w:val="24"/>
                  <w:lang w:val="pt-PT"/>
                </w:rPr>
                <w:delText>23</w:delText>
              </w:r>
            </w:del>
          </w:p>
          <w:p w14:paraId="1B939C0D" w14:textId="4A36B4FE" w:rsidR="00D105CA" w:rsidRPr="008912CF" w:rsidRDefault="00615769" w:rsidP="00B538F3">
            <w:pPr>
              <w:pStyle w:val="EMEANormal"/>
              <w:jc w:val="center"/>
              <w:rPr>
                <w:del w:id="3495" w:author="AbbVie2" w:date="2025-05-13T16:36:00Z"/>
                <w:szCs w:val="24"/>
                <w:lang w:val="pt-PT"/>
              </w:rPr>
            </w:pPr>
            <w:del w:id="3496" w:author="AbbVie2" w:date="2025-05-13T16:36:00Z">
              <w:r w:rsidRPr="008912CF">
                <w:rPr>
                  <w:b/>
                  <w:szCs w:val="24"/>
                  <w:lang w:val="pt-PT"/>
                </w:rPr>
                <w:delText>Regime de manutenção</w:delText>
              </w:r>
            </w:del>
          </w:p>
        </w:tc>
      </w:tr>
      <w:tr w:rsidR="00A7162A" w14:paraId="7B490790" w14:textId="21F8EEC2" w:rsidTr="00B538F3">
        <w:trPr>
          <w:jc w:val="center"/>
          <w:del w:id="3497" w:author="AbbVie2" w:date="2025-05-13T16:36:00Z"/>
        </w:trPr>
        <w:tc>
          <w:tcPr>
            <w:tcW w:w="0" w:type="auto"/>
            <w:vAlign w:val="center"/>
          </w:tcPr>
          <w:p w14:paraId="240D5E51" w14:textId="3B665E70" w:rsidR="00D105CA" w:rsidRPr="008912CF" w:rsidRDefault="00615769" w:rsidP="00B538F3">
            <w:pPr>
              <w:pStyle w:val="EMEANormal"/>
              <w:jc w:val="center"/>
              <w:rPr>
                <w:del w:id="3498" w:author="AbbVie2" w:date="2025-05-13T16:36:00Z"/>
                <w:b/>
                <w:szCs w:val="24"/>
                <w:lang w:val="pt-PT"/>
              </w:rPr>
            </w:pPr>
            <w:del w:id="3499" w:author="AbbVie2" w:date="2025-05-13T16:36:00Z">
              <w:r w:rsidRPr="008912CF">
                <w:rPr>
                  <w:b/>
                  <w:szCs w:val="24"/>
                  <w:lang w:val="pt-PT"/>
                </w:rPr>
                <w:delText>Peso</w:delText>
              </w:r>
            </w:del>
          </w:p>
          <w:p w14:paraId="2FE81D46" w14:textId="34BF28D1" w:rsidR="00D105CA" w:rsidRPr="008912CF" w:rsidRDefault="00615769" w:rsidP="00B538F3">
            <w:pPr>
              <w:pStyle w:val="EMEANormal"/>
              <w:jc w:val="center"/>
              <w:rPr>
                <w:del w:id="3500" w:author="AbbVie2" w:date="2025-05-13T16:36:00Z"/>
                <w:b/>
                <w:szCs w:val="24"/>
                <w:lang w:val="pt-PT"/>
              </w:rPr>
            </w:pPr>
            <w:del w:id="3501" w:author="AbbVie2" w:date="2025-05-13T16:36:00Z">
              <w:r w:rsidRPr="008912CF">
                <w:rPr>
                  <w:b/>
                  <w:szCs w:val="24"/>
                  <w:lang w:val="pt-PT"/>
                </w:rPr>
                <w:delText>Doente</w:delText>
              </w:r>
            </w:del>
          </w:p>
        </w:tc>
        <w:tc>
          <w:tcPr>
            <w:tcW w:w="0" w:type="auto"/>
            <w:vAlign w:val="center"/>
          </w:tcPr>
          <w:p w14:paraId="76B7C3B8" w14:textId="4E07C974" w:rsidR="00D105CA" w:rsidRPr="008912CF" w:rsidRDefault="00615769" w:rsidP="00B538F3">
            <w:pPr>
              <w:pStyle w:val="EMEANormal"/>
              <w:jc w:val="center"/>
              <w:rPr>
                <w:del w:id="3502" w:author="AbbVie2" w:date="2025-05-13T16:36:00Z"/>
                <w:b/>
                <w:szCs w:val="24"/>
                <w:lang w:val="pt-PT"/>
              </w:rPr>
            </w:pPr>
            <w:del w:id="3503" w:author="AbbVie2" w:date="2025-05-13T16:36:00Z">
              <w:r w:rsidRPr="008912CF">
                <w:rPr>
                  <w:b/>
                  <w:szCs w:val="24"/>
                  <w:lang w:val="pt-PT"/>
                </w:rPr>
                <w:delText xml:space="preserve">Baixa </w:delText>
              </w:r>
              <w:r>
                <w:rPr>
                  <w:b/>
                  <w:szCs w:val="24"/>
                  <w:lang w:val="pt-PT"/>
                </w:rPr>
                <w:delText>D</w:delText>
              </w:r>
              <w:r w:rsidRPr="008912CF">
                <w:rPr>
                  <w:b/>
                  <w:szCs w:val="24"/>
                  <w:lang w:val="pt-PT"/>
                </w:rPr>
                <w:delText>ose</w:delText>
              </w:r>
            </w:del>
          </w:p>
        </w:tc>
        <w:tc>
          <w:tcPr>
            <w:tcW w:w="0" w:type="auto"/>
            <w:vAlign w:val="center"/>
          </w:tcPr>
          <w:p w14:paraId="02DC5A04" w14:textId="6B9FD84B" w:rsidR="00D105CA" w:rsidRPr="008912CF" w:rsidRDefault="00615769" w:rsidP="00B538F3">
            <w:pPr>
              <w:pStyle w:val="EMEANormal"/>
              <w:jc w:val="center"/>
              <w:rPr>
                <w:del w:id="3504" w:author="AbbVie2" w:date="2025-05-13T16:36:00Z"/>
                <w:b/>
                <w:szCs w:val="24"/>
                <w:lang w:val="pt-PT"/>
              </w:rPr>
            </w:pPr>
            <w:del w:id="3505" w:author="AbbVie2" w:date="2025-05-13T16:36:00Z">
              <w:r w:rsidRPr="008912CF">
                <w:rPr>
                  <w:b/>
                  <w:szCs w:val="24"/>
                  <w:lang w:val="pt-PT"/>
                </w:rPr>
                <w:delText>Dose</w:delText>
              </w:r>
            </w:del>
          </w:p>
          <w:p w14:paraId="5A75FBC8" w14:textId="35F8B9B4" w:rsidR="00D105CA" w:rsidRPr="008912CF" w:rsidRDefault="00615769" w:rsidP="00B538F3">
            <w:pPr>
              <w:pStyle w:val="EMEANormal"/>
              <w:jc w:val="center"/>
              <w:rPr>
                <w:del w:id="3506" w:author="AbbVie2" w:date="2025-05-13T16:36:00Z"/>
                <w:b/>
                <w:szCs w:val="24"/>
                <w:lang w:val="pt-PT"/>
              </w:rPr>
            </w:pPr>
            <w:del w:id="3507" w:author="AbbVie2" w:date="2025-05-13T16:36:00Z">
              <w:r w:rsidRPr="008912CF">
                <w:rPr>
                  <w:b/>
                  <w:szCs w:val="24"/>
                  <w:lang w:val="pt-PT"/>
                </w:rPr>
                <w:delText>Padrão</w:delText>
              </w:r>
            </w:del>
          </w:p>
        </w:tc>
      </w:tr>
      <w:tr w:rsidR="00A7162A" w14:paraId="67DDC74C" w14:textId="4AB6E2C8" w:rsidTr="00B538F3">
        <w:trPr>
          <w:jc w:val="center"/>
          <w:del w:id="3508" w:author="AbbVie2" w:date="2025-05-13T16:36:00Z"/>
        </w:trPr>
        <w:tc>
          <w:tcPr>
            <w:tcW w:w="0" w:type="auto"/>
            <w:vAlign w:val="center"/>
          </w:tcPr>
          <w:p w14:paraId="3BB42356" w14:textId="6E35BA68" w:rsidR="00D105CA" w:rsidRPr="008912CF" w:rsidRDefault="00615769" w:rsidP="00B538F3">
            <w:pPr>
              <w:pStyle w:val="EMEANormal"/>
              <w:jc w:val="center"/>
              <w:rPr>
                <w:del w:id="3509" w:author="AbbVie2" w:date="2025-05-13T16:36:00Z"/>
                <w:szCs w:val="24"/>
                <w:lang w:val="pt-PT"/>
              </w:rPr>
            </w:pPr>
            <w:del w:id="3510" w:author="AbbVie2" w:date="2025-05-13T16:36:00Z">
              <w:r w:rsidRPr="008912CF">
                <w:rPr>
                  <w:szCs w:val="24"/>
                  <w:lang w:val="pt-PT"/>
                </w:rPr>
                <w:delText>&lt; 40</w:delText>
              </w:r>
              <w:r>
                <w:rPr>
                  <w:szCs w:val="24"/>
                  <w:lang w:val="pt-PT"/>
                </w:rPr>
                <w:delText> </w:delText>
              </w:r>
              <w:r w:rsidRPr="008912CF">
                <w:rPr>
                  <w:szCs w:val="24"/>
                  <w:lang w:val="pt-PT"/>
                </w:rPr>
                <w:delText>kg</w:delText>
              </w:r>
            </w:del>
          </w:p>
        </w:tc>
        <w:tc>
          <w:tcPr>
            <w:tcW w:w="0" w:type="auto"/>
            <w:vAlign w:val="center"/>
          </w:tcPr>
          <w:p w14:paraId="08BC762F" w14:textId="6D495A0C" w:rsidR="00D105CA" w:rsidRPr="008912CF" w:rsidRDefault="00615769" w:rsidP="00B538F3">
            <w:pPr>
              <w:pStyle w:val="EMEANormal"/>
              <w:jc w:val="center"/>
              <w:rPr>
                <w:del w:id="3511" w:author="AbbVie2" w:date="2025-05-13T16:36:00Z"/>
                <w:szCs w:val="24"/>
                <w:lang w:val="pt-PT"/>
              </w:rPr>
            </w:pPr>
            <w:del w:id="3512" w:author="AbbVie2" w:date="2025-05-13T16:36:00Z">
              <w:r w:rsidRPr="008912CF">
                <w:rPr>
                  <w:szCs w:val="24"/>
                  <w:lang w:val="pt-PT"/>
                </w:rPr>
                <w:delText>10</w:delText>
              </w:r>
              <w:r>
                <w:rPr>
                  <w:szCs w:val="24"/>
                  <w:lang w:val="pt-PT"/>
                </w:rPr>
                <w:delText> </w:delText>
              </w:r>
              <w:r w:rsidRPr="008912CF">
                <w:rPr>
                  <w:szCs w:val="24"/>
                  <w:lang w:val="pt-PT"/>
                </w:rPr>
                <w:delText>mg em semanas alternadas</w:delText>
              </w:r>
            </w:del>
          </w:p>
        </w:tc>
        <w:tc>
          <w:tcPr>
            <w:tcW w:w="0" w:type="auto"/>
            <w:vAlign w:val="center"/>
          </w:tcPr>
          <w:p w14:paraId="410E97AE" w14:textId="4E205DAF" w:rsidR="00D105CA" w:rsidRPr="008912CF" w:rsidRDefault="00615769" w:rsidP="00B538F3">
            <w:pPr>
              <w:pStyle w:val="EMEANormal"/>
              <w:jc w:val="center"/>
              <w:rPr>
                <w:del w:id="3513" w:author="AbbVie2" w:date="2025-05-13T16:36:00Z"/>
                <w:szCs w:val="24"/>
                <w:lang w:val="pt-PT"/>
              </w:rPr>
            </w:pPr>
            <w:del w:id="3514" w:author="AbbVie2" w:date="2025-05-13T16:36:00Z">
              <w:r w:rsidRPr="008912CF">
                <w:rPr>
                  <w:szCs w:val="24"/>
                  <w:lang w:val="pt-PT"/>
                </w:rPr>
                <w:delText>20</w:delText>
              </w:r>
              <w:r>
                <w:rPr>
                  <w:szCs w:val="24"/>
                  <w:lang w:val="pt-PT"/>
                </w:rPr>
                <w:delText> </w:delText>
              </w:r>
              <w:r w:rsidRPr="008912CF">
                <w:rPr>
                  <w:szCs w:val="24"/>
                  <w:lang w:val="pt-PT"/>
                </w:rPr>
                <w:delText>mg em semanas alternadas</w:delText>
              </w:r>
            </w:del>
          </w:p>
        </w:tc>
      </w:tr>
      <w:tr w:rsidR="00A7162A" w14:paraId="25B972A0" w14:textId="22EDFE74" w:rsidTr="00B538F3">
        <w:trPr>
          <w:jc w:val="center"/>
          <w:del w:id="3515" w:author="AbbVie2" w:date="2025-05-13T16:36:00Z"/>
        </w:trPr>
        <w:tc>
          <w:tcPr>
            <w:tcW w:w="0" w:type="auto"/>
            <w:vAlign w:val="center"/>
          </w:tcPr>
          <w:p w14:paraId="4233ADB0" w14:textId="17F4699B" w:rsidR="00D105CA" w:rsidRPr="008912CF" w:rsidRDefault="00615769" w:rsidP="00B538F3">
            <w:pPr>
              <w:pStyle w:val="EMEANormal"/>
              <w:jc w:val="center"/>
              <w:rPr>
                <w:del w:id="3516" w:author="AbbVie2" w:date="2025-05-13T16:36:00Z"/>
                <w:szCs w:val="24"/>
                <w:lang w:val="pt-PT"/>
              </w:rPr>
            </w:pPr>
            <w:del w:id="3517" w:author="AbbVie2" w:date="2025-05-13T16:36:00Z">
              <w:r w:rsidRPr="008912CF">
                <w:rPr>
                  <w:szCs w:val="24"/>
                  <w:lang w:val="pt-PT"/>
                </w:rPr>
                <w:delText>≥ 40</w:delText>
              </w:r>
              <w:r>
                <w:rPr>
                  <w:szCs w:val="24"/>
                  <w:lang w:val="pt-PT"/>
                </w:rPr>
                <w:delText> </w:delText>
              </w:r>
              <w:r w:rsidRPr="008912CF">
                <w:rPr>
                  <w:szCs w:val="24"/>
                  <w:lang w:val="pt-PT"/>
                </w:rPr>
                <w:delText>kg</w:delText>
              </w:r>
            </w:del>
          </w:p>
        </w:tc>
        <w:tc>
          <w:tcPr>
            <w:tcW w:w="0" w:type="auto"/>
            <w:vAlign w:val="center"/>
          </w:tcPr>
          <w:p w14:paraId="539B152C" w14:textId="42B71FE7" w:rsidR="00D105CA" w:rsidRPr="008912CF" w:rsidRDefault="00615769" w:rsidP="00B538F3">
            <w:pPr>
              <w:pStyle w:val="EMEANormal"/>
              <w:jc w:val="center"/>
              <w:rPr>
                <w:del w:id="3518" w:author="AbbVie2" w:date="2025-05-13T16:36:00Z"/>
                <w:szCs w:val="24"/>
                <w:lang w:val="pt-PT"/>
              </w:rPr>
            </w:pPr>
            <w:del w:id="3519" w:author="AbbVie2" w:date="2025-05-13T16:36:00Z">
              <w:r w:rsidRPr="008912CF">
                <w:rPr>
                  <w:szCs w:val="24"/>
                  <w:lang w:val="pt-PT"/>
                </w:rPr>
                <w:delText>20</w:delText>
              </w:r>
              <w:r>
                <w:rPr>
                  <w:szCs w:val="24"/>
                  <w:lang w:val="pt-PT"/>
                </w:rPr>
                <w:delText> </w:delText>
              </w:r>
              <w:r w:rsidRPr="008912CF">
                <w:rPr>
                  <w:szCs w:val="24"/>
                  <w:lang w:val="pt-PT"/>
                </w:rPr>
                <w:delText>mg em semanas alternadas</w:delText>
              </w:r>
            </w:del>
          </w:p>
        </w:tc>
        <w:tc>
          <w:tcPr>
            <w:tcW w:w="0" w:type="auto"/>
            <w:vAlign w:val="center"/>
          </w:tcPr>
          <w:p w14:paraId="7F8829D3" w14:textId="31945783" w:rsidR="00D105CA" w:rsidRPr="008912CF" w:rsidRDefault="00615769" w:rsidP="00B538F3">
            <w:pPr>
              <w:pStyle w:val="EMEANormal"/>
              <w:jc w:val="center"/>
              <w:rPr>
                <w:del w:id="3520" w:author="AbbVie2" w:date="2025-05-13T16:36:00Z"/>
                <w:szCs w:val="24"/>
                <w:lang w:val="pt-PT"/>
              </w:rPr>
            </w:pPr>
            <w:del w:id="3521" w:author="AbbVie2" w:date="2025-05-13T16:36:00Z">
              <w:r w:rsidRPr="008912CF">
                <w:rPr>
                  <w:szCs w:val="24"/>
                  <w:lang w:val="pt-PT"/>
                </w:rPr>
                <w:delText>40</w:delText>
              </w:r>
              <w:r>
                <w:rPr>
                  <w:szCs w:val="24"/>
                  <w:lang w:val="pt-PT"/>
                </w:rPr>
                <w:delText> </w:delText>
              </w:r>
              <w:r w:rsidRPr="008912CF">
                <w:rPr>
                  <w:szCs w:val="24"/>
                  <w:lang w:val="pt-PT"/>
                </w:rPr>
                <w:delText xml:space="preserve"> mg em semanas alternadas</w:delText>
              </w:r>
            </w:del>
          </w:p>
        </w:tc>
      </w:tr>
    </w:tbl>
    <w:p w14:paraId="566F180D" w14:textId="1F477505" w:rsidR="00D105CA" w:rsidRPr="008912CF" w:rsidRDefault="00D105CA" w:rsidP="00D105CA">
      <w:pPr>
        <w:rPr>
          <w:del w:id="3522" w:author="AbbVie2" w:date="2025-05-13T16:36:00Z"/>
          <w:sz w:val="22"/>
          <w:szCs w:val="22"/>
        </w:rPr>
      </w:pPr>
    </w:p>
    <w:p w14:paraId="7EFA7FD6" w14:textId="0B9F5ADE" w:rsidR="00D105CA" w:rsidRPr="008912CF" w:rsidRDefault="00615769" w:rsidP="00D105CA">
      <w:pPr>
        <w:rPr>
          <w:del w:id="3523" w:author="AbbVie2" w:date="2025-05-13T16:36:00Z"/>
          <w:i/>
          <w:sz w:val="22"/>
          <w:szCs w:val="22"/>
          <w:u w:val="single"/>
        </w:rPr>
      </w:pPr>
      <w:del w:id="3524" w:author="AbbVie2" w:date="2025-05-13T16:36:00Z">
        <w:r w:rsidRPr="008912CF">
          <w:rPr>
            <w:i/>
            <w:sz w:val="22"/>
            <w:szCs w:val="22"/>
            <w:u w:val="single"/>
          </w:rPr>
          <w:delText>Resultados de eficácia</w:delText>
        </w:r>
      </w:del>
    </w:p>
    <w:p w14:paraId="6B074221" w14:textId="7B6DAA6C" w:rsidR="00D105CA" w:rsidRPr="008912CF" w:rsidRDefault="00D105CA" w:rsidP="00D105CA">
      <w:pPr>
        <w:rPr>
          <w:del w:id="3525" w:author="AbbVie2" w:date="2025-05-13T16:36:00Z"/>
          <w:i/>
          <w:sz w:val="22"/>
          <w:szCs w:val="22"/>
        </w:rPr>
      </w:pPr>
    </w:p>
    <w:p w14:paraId="1080E2E7" w14:textId="14C96068" w:rsidR="00D105CA" w:rsidRPr="008912CF" w:rsidRDefault="00615769" w:rsidP="00D105CA">
      <w:pPr>
        <w:rPr>
          <w:del w:id="3526" w:author="AbbVie2" w:date="2025-05-13T16:36:00Z"/>
        </w:rPr>
      </w:pPr>
      <w:del w:id="3527" w:author="AbbVie2" w:date="2025-05-13T16:36:00Z">
        <w:r w:rsidRPr="008912CF">
          <w:rPr>
            <w:sz w:val="22"/>
            <w:szCs w:val="22"/>
          </w:rPr>
          <w:delText xml:space="preserve">O objetivo primário do estudo foi a remissão clínica na Semana 26, definida como escala PCDAI </w:delText>
        </w:r>
        <w:r w:rsidRPr="008912CF">
          <w:rPr>
            <w:rFonts w:ascii="Symbol" w:hAnsi="Symbol"/>
          </w:rPr>
          <w:sym w:font="Symbol" w:char="F0A3"/>
        </w:r>
        <w:r w:rsidR="00953E6E">
          <w:delText> </w:delText>
        </w:r>
        <w:r w:rsidRPr="008912CF">
          <w:delText>10.</w:delText>
        </w:r>
      </w:del>
    </w:p>
    <w:p w14:paraId="3B8D7596" w14:textId="0C842883" w:rsidR="00D105CA" w:rsidRPr="008912CF" w:rsidRDefault="00D105CA" w:rsidP="00D105CA">
      <w:pPr>
        <w:rPr>
          <w:del w:id="3528" w:author="AbbVie2" w:date="2025-05-13T16:36:00Z"/>
        </w:rPr>
      </w:pPr>
    </w:p>
    <w:p w14:paraId="3CE4C1C7" w14:textId="10A6335C" w:rsidR="00D105CA" w:rsidRPr="008912CF" w:rsidRDefault="00615769" w:rsidP="00D105CA">
      <w:pPr>
        <w:rPr>
          <w:del w:id="3529" w:author="AbbVie2" w:date="2025-05-13T16:36:00Z"/>
          <w:sz w:val="22"/>
          <w:szCs w:val="22"/>
        </w:rPr>
      </w:pPr>
      <w:del w:id="3530" w:author="AbbVie2" w:date="2025-05-13T16:36:00Z">
        <w:r w:rsidRPr="008912CF">
          <w:rPr>
            <w:sz w:val="22"/>
            <w:szCs w:val="22"/>
          </w:rPr>
          <w:delText xml:space="preserve">Taxas de remissão clínica e de resposta clínica (definida como uma redução na escala PCDAI de pelo menos 15 pontos desde a avaliação basal) são apresentadas na Tabela </w:delText>
        </w:r>
        <w:r>
          <w:rPr>
            <w:sz w:val="22"/>
            <w:szCs w:val="22"/>
          </w:rPr>
          <w:delText>2</w:delText>
        </w:r>
        <w:r w:rsidR="00953E6E">
          <w:rPr>
            <w:sz w:val="22"/>
            <w:szCs w:val="22"/>
          </w:rPr>
          <w:delText>4</w:delText>
        </w:r>
        <w:r w:rsidRPr="008912CF">
          <w:rPr>
            <w:sz w:val="22"/>
            <w:szCs w:val="22"/>
          </w:rPr>
          <w:delText>. Taxas de descontinuação de corticosteroides ou imunomoduladores são apresentad</w:delText>
        </w:r>
        <w:r>
          <w:rPr>
            <w:sz w:val="22"/>
            <w:szCs w:val="22"/>
          </w:rPr>
          <w:delText>a</w:delText>
        </w:r>
        <w:r w:rsidRPr="008912CF">
          <w:rPr>
            <w:sz w:val="22"/>
            <w:szCs w:val="22"/>
          </w:rPr>
          <w:delText xml:space="preserve">s na Tabela </w:delText>
        </w:r>
        <w:r>
          <w:rPr>
            <w:sz w:val="22"/>
            <w:szCs w:val="22"/>
          </w:rPr>
          <w:delText>2</w:delText>
        </w:r>
        <w:r w:rsidR="00953E6E">
          <w:rPr>
            <w:sz w:val="22"/>
            <w:szCs w:val="22"/>
          </w:rPr>
          <w:delText>5</w:delText>
        </w:r>
        <w:r w:rsidRPr="008912CF">
          <w:rPr>
            <w:sz w:val="22"/>
            <w:szCs w:val="22"/>
          </w:rPr>
          <w:delText xml:space="preserve">. </w:delText>
        </w:r>
      </w:del>
    </w:p>
    <w:p w14:paraId="2EEAB14E" w14:textId="530D13EE" w:rsidR="00D105CA" w:rsidRPr="008912CF" w:rsidRDefault="00D105CA" w:rsidP="00D105CA">
      <w:pPr>
        <w:keepNext/>
        <w:rPr>
          <w:del w:id="3531" w:author="AbbVie2" w:date="2025-05-13T16:36:00Z"/>
          <w:sz w:val="22"/>
          <w:szCs w:val="22"/>
        </w:rPr>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A7162A" w14:paraId="0E6689FD" w14:textId="228B8F7E" w:rsidTr="00D105CA">
        <w:trPr>
          <w:jc w:val="center"/>
          <w:del w:id="3532" w:author="AbbVie2" w:date="2025-05-13T16:36:00Z"/>
        </w:trPr>
        <w:tc>
          <w:tcPr>
            <w:tcW w:w="6673" w:type="dxa"/>
            <w:gridSpan w:val="4"/>
            <w:tcBorders>
              <w:top w:val="single" w:sz="6" w:space="0" w:color="000000"/>
              <w:left w:val="single" w:sz="6" w:space="0" w:color="000000"/>
              <w:bottom w:val="single" w:sz="6" w:space="0" w:color="000000"/>
              <w:right w:val="single" w:sz="6" w:space="0" w:color="000000"/>
            </w:tcBorders>
          </w:tcPr>
          <w:p w14:paraId="7CA0D825" w14:textId="34BA1070" w:rsidR="00D105CA" w:rsidRPr="008912CF" w:rsidRDefault="00615769" w:rsidP="00D105CA">
            <w:pPr>
              <w:keepNext/>
              <w:tabs>
                <w:tab w:val="left" w:pos="-878"/>
              </w:tabs>
              <w:autoSpaceDE w:val="0"/>
              <w:autoSpaceDN w:val="0"/>
              <w:adjustRightInd w:val="0"/>
              <w:ind w:left="15"/>
              <w:jc w:val="center"/>
              <w:rPr>
                <w:del w:id="3533" w:author="AbbVie2" w:date="2025-05-13T16:36:00Z"/>
                <w:b/>
                <w:bCs/>
                <w:sz w:val="22"/>
                <w:szCs w:val="22"/>
              </w:rPr>
            </w:pPr>
            <w:del w:id="3534" w:author="AbbVie2" w:date="2025-05-13T16:36:00Z">
              <w:r w:rsidRPr="008912CF">
                <w:rPr>
                  <w:b/>
                  <w:bCs/>
                  <w:sz w:val="22"/>
                  <w:szCs w:val="22"/>
                </w:rPr>
                <w:delText xml:space="preserve">Tabela </w:delText>
              </w:r>
              <w:r>
                <w:rPr>
                  <w:b/>
                  <w:bCs/>
                  <w:sz w:val="22"/>
                  <w:szCs w:val="22"/>
                </w:rPr>
                <w:delText>2</w:delText>
              </w:r>
              <w:r w:rsidR="00953E6E">
                <w:rPr>
                  <w:b/>
                  <w:bCs/>
                  <w:sz w:val="22"/>
                  <w:szCs w:val="22"/>
                </w:rPr>
                <w:delText>4</w:delText>
              </w:r>
            </w:del>
          </w:p>
          <w:p w14:paraId="41910957" w14:textId="0D19EAC4" w:rsidR="00D105CA" w:rsidRPr="008912CF" w:rsidRDefault="00615769" w:rsidP="00D105CA">
            <w:pPr>
              <w:pStyle w:val="BodyText2"/>
              <w:keepNext/>
              <w:autoSpaceDE/>
              <w:autoSpaceDN/>
              <w:adjustRightInd/>
              <w:jc w:val="center"/>
              <w:rPr>
                <w:del w:id="3535" w:author="AbbVie2" w:date="2025-05-13T16:36:00Z"/>
                <w:b/>
                <w:bCs/>
                <w:szCs w:val="22"/>
              </w:rPr>
            </w:pPr>
            <w:del w:id="3536" w:author="AbbVie2" w:date="2025-05-13T16:36:00Z">
              <w:r w:rsidRPr="008912CF">
                <w:rPr>
                  <w:b/>
                  <w:szCs w:val="22"/>
                </w:rPr>
                <w:delText>Estudo de DC Pediátrica</w:delText>
              </w:r>
            </w:del>
          </w:p>
          <w:p w14:paraId="742018DB" w14:textId="47299D7D" w:rsidR="00D105CA" w:rsidRPr="008912CF" w:rsidRDefault="00615769" w:rsidP="00D105CA">
            <w:pPr>
              <w:keepNext/>
              <w:tabs>
                <w:tab w:val="left" w:pos="-878"/>
              </w:tabs>
              <w:autoSpaceDE w:val="0"/>
              <w:autoSpaceDN w:val="0"/>
              <w:adjustRightInd w:val="0"/>
              <w:ind w:left="15"/>
              <w:jc w:val="center"/>
              <w:rPr>
                <w:del w:id="3537" w:author="AbbVie2" w:date="2025-05-13T16:36:00Z"/>
                <w:b/>
                <w:bCs/>
                <w:sz w:val="22"/>
                <w:szCs w:val="22"/>
              </w:rPr>
            </w:pPr>
            <w:del w:id="3538" w:author="AbbVie2" w:date="2025-05-13T16:36:00Z">
              <w:r w:rsidRPr="008912CF">
                <w:rPr>
                  <w:b/>
                  <w:bCs/>
                  <w:sz w:val="22"/>
                  <w:szCs w:val="22"/>
                </w:rPr>
                <w:delText>Resposta e Remissão Clínica</w:delText>
              </w:r>
              <w:r>
                <w:rPr>
                  <w:b/>
                  <w:bCs/>
                  <w:sz w:val="22"/>
                  <w:szCs w:val="22"/>
                </w:rPr>
                <w:delText>s</w:delText>
              </w:r>
              <w:r w:rsidRPr="008912CF">
                <w:rPr>
                  <w:b/>
                  <w:bCs/>
                  <w:sz w:val="22"/>
                  <w:szCs w:val="22"/>
                </w:rPr>
                <w:delText xml:space="preserve"> PCDAI</w:delText>
              </w:r>
            </w:del>
          </w:p>
        </w:tc>
      </w:tr>
      <w:tr w:rsidR="00A7162A" w14:paraId="5CE991E9" w14:textId="70B20A14" w:rsidTr="00D105CA">
        <w:trPr>
          <w:jc w:val="center"/>
          <w:del w:id="3539" w:author="AbbVie2" w:date="2025-05-13T16:36:00Z"/>
        </w:trPr>
        <w:tc>
          <w:tcPr>
            <w:tcW w:w="2321" w:type="dxa"/>
            <w:tcBorders>
              <w:top w:val="single" w:sz="6" w:space="0" w:color="000000"/>
              <w:left w:val="single" w:sz="6" w:space="0" w:color="000000"/>
              <w:bottom w:val="single" w:sz="6" w:space="0" w:color="000000"/>
              <w:right w:val="single" w:sz="6" w:space="0" w:color="000000"/>
            </w:tcBorders>
          </w:tcPr>
          <w:p w14:paraId="0EC86F47" w14:textId="5F0C8866" w:rsidR="00D105CA" w:rsidRPr="008912CF" w:rsidRDefault="00D105CA" w:rsidP="00D105CA">
            <w:pPr>
              <w:keepNext/>
              <w:keepLines/>
              <w:tabs>
                <w:tab w:val="left" w:pos="-1080"/>
              </w:tabs>
              <w:autoSpaceDE w:val="0"/>
              <w:autoSpaceDN w:val="0"/>
              <w:adjustRightInd w:val="0"/>
              <w:ind w:left="15"/>
              <w:jc w:val="center"/>
              <w:rPr>
                <w:del w:id="3540" w:author="AbbVie2" w:date="2025-05-13T16:36:00Z"/>
                <w:b/>
                <w:bCs/>
                <w:sz w:val="22"/>
                <w:szCs w:val="22"/>
              </w:rPr>
            </w:pPr>
          </w:p>
        </w:tc>
        <w:tc>
          <w:tcPr>
            <w:tcW w:w="1614" w:type="dxa"/>
            <w:tcBorders>
              <w:top w:val="single" w:sz="6" w:space="0" w:color="000000"/>
              <w:left w:val="single" w:sz="6" w:space="0" w:color="000000"/>
              <w:bottom w:val="single" w:sz="6" w:space="0" w:color="000000"/>
              <w:right w:val="single" w:sz="6" w:space="0" w:color="000000"/>
            </w:tcBorders>
          </w:tcPr>
          <w:p w14:paraId="3A61AB65" w14:textId="7B8F9AE7" w:rsidR="00D105CA" w:rsidRPr="008912CF" w:rsidRDefault="00615769" w:rsidP="00D105CA">
            <w:pPr>
              <w:keepNext/>
              <w:keepLines/>
              <w:tabs>
                <w:tab w:val="left" w:pos="-1080"/>
              </w:tabs>
              <w:autoSpaceDE w:val="0"/>
              <w:autoSpaceDN w:val="0"/>
              <w:adjustRightInd w:val="0"/>
              <w:ind w:left="15"/>
              <w:jc w:val="center"/>
              <w:rPr>
                <w:del w:id="3541" w:author="AbbVie2" w:date="2025-05-13T16:36:00Z"/>
                <w:b/>
                <w:bCs/>
                <w:sz w:val="22"/>
                <w:szCs w:val="22"/>
              </w:rPr>
            </w:pPr>
            <w:del w:id="3542" w:author="AbbVie2" w:date="2025-05-13T16:36:00Z">
              <w:r w:rsidRPr="008912CF">
                <w:rPr>
                  <w:b/>
                  <w:bCs/>
                  <w:sz w:val="22"/>
                  <w:szCs w:val="22"/>
                </w:rPr>
                <w:delText>Dose Padrão</w:delText>
              </w:r>
            </w:del>
          </w:p>
          <w:p w14:paraId="4FF908CC" w14:textId="53BC910C" w:rsidR="00D105CA" w:rsidRPr="008912CF" w:rsidRDefault="00615769" w:rsidP="00D105CA">
            <w:pPr>
              <w:keepNext/>
              <w:keepLines/>
              <w:tabs>
                <w:tab w:val="left" w:pos="-1080"/>
              </w:tabs>
              <w:autoSpaceDE w:val="0"/>
              <w:autoSpaceDN w:val="0"/>
              <w:adjustRightInd w:val="0"/>
              <w:ind w:left="15"/>
              <w:jc w:val="center"/>
              <w:rPr>
                <w:del w:id="3543" w:author="AbbVie2" w:date="2025-05-13T16:36:00Z"/>
                <w:b/>
                <w:bCs/>
                <w:sz w:val="22"/>
                <w:szCs w:val="22"/>
              </w:rPr>
            </w:pPr>
            <w:del w:id="3544" w:author="AbbVie2" w:date="2025-05-13T16:36:00Z">
              <w:r w:rsidRPr="008912CF">
                <w:rPr>
                  <w:b/>
                  <w:bCs/>
                  <w:sz w:val="22"/>
                  <w:szCs w:val="22"/>
                </w:rPr>
                <w:delText>40/20</w:delText>
              </w:r>
              <w:r>
                <w:rPr>
                  <w:b/>
                  <w:bCs/>
                  <w:sz w:val="22"/>
                  <w:szCs w:val="22"/>
                </w:rPr>
                <w:delText> </w:delText>
              </w:r>
              <w:r w:rsidRPr="008912CF">
                <w:rPr>
                  <w:b/>
                  <w:bCs/>
                  <w:sz w:val="22"/>
                  <w:szCs w:val="22"/>
                </w:rPr>
                <w:delText xml:space="preserve">mg em semanas alternadas </w:delText>
              </w:r>
            </w:del>
          </w:p>
          <w:p w14:paraId="1FD36269" w14:textId="42702E54" w:rsidR="00D105CA" w:rsidRPr="008912CF" w:rsidRDefault="00615769" w:rsidP="00D105CA">
            <w:pPr>
              <w:keepNext/>
              <w:keepLines/>
              <w:tabs>
                <w:tab w:val="left" w:pos="-1080"/>
              </w:tabs>
              <w:autoSpaceDE w:val="0"/>
              <w:autoSpaceDN w:val="0"/>
              <w:adjustRightInd w:val="0"/>
              <w:ind w:left="15"/>
              <w:jc w:val="center"/>
              <w:rPr>
                <w:del w:id="3545" w:author="AbbVie2" w:date="2025-05-13T16:36:00Z"/>
                <w:b/>
                <w:bCs/>
                <w:sz w:val="22"/>
                <w:szCs w:val="22"/>
              </w:rPr>
            </w:pPr>
            <w:del w:id="3546" w:author="AbbVie2" w:date="2025-05-13T16:36:00Z">
              <w:r w:rsidRPr="008912CF">
                <w:rPr>
                  <w:b/>
                  <w:bCs/>
                  <w:sz w:val="22"/>
                  <w:szCs w:val="22"/>
                </w:rPr>
                <w:delText>N = 93</w:delText>
              </w:r>
            </w:del>
          </w:p>
        </w:tc>
        <w:tc>
          <w:tcPr>
            <w:tcW w:w="1591" w:type="dxa"/>
            <w:tcBorders>
              <w:top w:val="single" w:sz="6" w:space="0" w:color="000000"/>
              <w:left w:val="single" w:sz="6" w:space="0" w:color="000000"/>
              <w:bottom w:val="single" w:sz="6" w:space="0" w:color="000000"/>
              <w:right w:val="single" w:sz="6" w:space="0" w:color="000000"/>
            </w:tcBorders>
          </w:tcPr>
          <w:p w14:paraId="0B7329FE" w14:textId="05E8BAEB" w:rsidR="00D105CA" w:rsidRPr="008912CF" w:rsidRDefault="00615769" w:rsidP="00D105CA">
            <w:pPr>
              <w:keepNext/>
              <w:keepLines/>
              <w:tabs>
                <w:tab w:val="left" w:pos="-1080"/>
              </w:tabs>
              <w:autoSpaceDE w:val="0"/>
              <w:autoSpaceDN w:val="0"/>
              <w:adjustRightInd w:val="0"/>
              <w:ind w:left="15"/>
              <w:jc w:val="center"/>
              <w:rPr>
                <w:del w:id="3547" w:author="AbbVie2" w:date="2025-05-13T16:36:00Z"/>
                <w:b/>
                <w:bCs/>
                <w:sz w:val="22"/>
                <w:szCs w:val="22"/>
              </w:rPr>
            </w:pPr>
            <w:del w:id="3548" w:author="AbbVie2" w:date="2025-05-13T16:36:00Z">
              <w:r w:rsidRPr="008912CF">
                <w:rPr>
                  <w:b/>
                  <w:bCs/>
                  <w:sz w:val="22"/>
                  <w:szCs w:val="22"/>
                </w:rPr>
                <w:delText>Baixa Dose</w:delText>
              </w:r>
            </w:del>
          </w:p>
          <w:p w14:paraId="5C1EB290" w14:textId="40E76BBF" w:rsidR="00D105CA" w:rsidRPr="008912CF" w:rsidRDefault="00615769" w:rsidP="00D105CA">
            <w:pPr>
              <w:keepNext/>
              <w:keepLines/>
              <w:tabs>
                <w:tab w:val="left" w:pos="-1080"/>
              </w:tabs>
              <w:autoSpaceDE w:val="0"/>
              <w:autoSpaceDN w:val="0"/>
              <w:adjustRightInd w:val="0"/>
              <w:ind w:left="15"/>
              <w:jc w:val="center"/>
              <w:rPr>
                <w:del w:id="3549" w:author="AbbVie2" w:date="2025-05-13T16:36:00Z"/>
                <w:b/>
                <w:bCs/>
                <w:sz w:val="22"/>
                <w:szCs w:val="22"/>
              </w:rPr>
            </w:pPr>
            <w:del w:id="3550" w:author="AbbVie2" w:date="2025-05-13T16:36:00Z">
              <w:r w:rsidRPr="008912CF">
                <w:rPr>
                  <w:b/>
                  <w:bCs/>
                  <w:sz w:val="22"/>
                  <w:szCs w:val="22"/>
                </w:rPr>
                <w:delText>20/10</w:delText>
              </w:r>
              <w:r>
                <w:rPr>
                  <w:b/>
                  <w:bCs/>
                  <w:sz w:val="22"/>
                  <w:szCs w:val="22"/>
                </w:rPr>
                <w:delText> </w:delText>
              </w:r>
              <w:r w:rsidRPr="008912CF">
                <w:rPr>
                  <w:b/>
                  <w:bCs/>
                  <w:sz w:val="22"/>
                  <w:szCs w:val="22"/>
                </w:rPr>
                <w:delText xml:space="preserve">mg em semanas alternadas </w:delText>
              </w:r>
            </w:del>
          </w:p>
          <w:p w14:paraId="20B52E7B" w14:textId="461C1740" w:rsidR="00D105CA" w:rsidRPr="008912CF" w:rsidRDefault="00615769" w:rsidP="00D105CA">
            <w:pPr>
              <w:keepNext/>
              <w:keepLines/>
              <w:tabs>
                <w:tab w:val="left" w:pos="-1080"/>
              </w:tabs>
              <w:autoSpaceDE w:val="0"/>
              <w:autoSpaceDN w:val="0"/>
              <w:adjustRightInd w:val="0"/>
              <w:ind w:left="15"/>
              <w:jc w:val="center"/>
              <w:rPr>
                <w:del w:id="3551" w:author="AbbVie2" w:date="2025-05-13T16:36:00Z"/>
                <w:b/>
                <w:bCs/>
                <w:sz w:val="22"/>
                <w:szCs w:val="22"/>
              </w:rPr>
            </w:pPr>
            <w:del w:id="3552" w:author="AbbVie2" w:date="2025-05-13T16:36:00Z">
              <w:r w:rsidRPr="008912CF">
                <w:rPr>
                  <w:b/>
                  <w:bCs/>
                  <w:sz w:val="22"/>
                  <w:szCs w:val="22"/>
                </w:rPr>
                <w:delText>N = 95</w:delText>
              </w:r>
            </w:del>
          </w:p>
        </w:tc>
        <w:tc>
          <w:tcPr>
            <w:tcW w:w="1147" w:type="dxa"/>
            <w:tcBorders>
              <w:top w:val="single" w:sz="6" w:space="0" w:color="000000"/>
              <w:left w:val="single" w:sz="6" w:space="0" w:color="000000"/>
              <w:bottom w:val="single" w:sz="6" w:space="0" w:color="000000"/>
              <w:right w:val="single" w:sz="6" w:space="0" w:color="000000"/>
            </w:tcBorders>
          </w:tcPr>
          <w:p w14:paraId="61C4FB4D" w14:textId="2E86492D" w:rsidR="00D105CA" w:rsidRPr="008912CF" w:rsidRDefault="00615769" w:rsidP="00D105CA">
            <w:pPr>
              <w:keepNext/>
              <w:keepLines/>
              <w:tabs>
                <w:tab w:val="left" w:pos="-1080"/>
              </w:tabs>
              <w:autoSpaceDE w:val="0"/>
              <w:autoSpaceDN w:val="0"/>
              <w:adjustRightInd w:val="0"/>
              <w:ind w:left="15"/>
              <w:jc w:val="center"/>
              <w:rPr>
                <w:del w:id="3553" w:author="AbbVie2" w:date="2025-05-13T16:36:00Z"/>
                <w:sz w:val="22"/>
                <w:szCs w:val="22"/>
              </w:rPr>
            </w:pPr>
            <w:del w:id="3554" w:author="AbbVie2" w:date="2025-05-13T16:36:00Z">
              <w:r w:rsidRPr="008912CF">
                <w:rPr>
                  <w:b/>
                  <w:bCs/>
                  <w:sz w:val="22"/>
                  <w:szCs w:val="22"/>
                </w:rPr>
                <w:delText>valor</w:delText>
              </w:r>
              <w:r>
                <w:rPr>
                  <w:b/>
                  <w:bCs/>
                  <w:sz w:val="22"/>
                  <w:szCs w:val="22"/>
                </w:rPr>
                <w:delText>-p</w:delText>
              </w:r>
              <w:r w:rsidRPr="008912CF">
                <w:rPr>
                  <w:sz w:val="22"/>
                  <w:szCs w:val="22"/>
                </w:rPr>
                <w:delText>*</w:delText>
              </w:r>
            </w:del>
          </w:p>
        </w:tc>
      </w:tr>
      <w:tr w:rsidR="00A7162A" w14:paraId="1DFE7CB1" w14:textId="0B51BC3B" w:rsidTr="00D105CA">
        <w:trPr>
          <w:jc w:val="center"/>
          <w:del w:id="3555" w:author="AbbVie2" w:date="2025-05-13T16:36:00Z"/>
        </w:trPr>
        <w:tc>
          <w:tcPr>
            <w:tcW w:w="2321" w:type="dxa"/>
            <w:tcBorders>
              <w:top w:val="single" w:sz="6" w:space="0" w:color="000000"/>
              <w:left w:val="single" w:sz="6" w:space="0" w:color="000000"/>
              <w:bottom w:val="single" w:sz="6" w:space="0" w:color="000000"/>
              <w:right w:val="single" w:sz="6" w:space="0" w:color="000000"/>
            </w:tcBorders>
            <w:vAlign w:val="bottom"/>
          </w:tcPr>
          <w:p w14:paraId="078F88CA" w14:textId="5D8F358D" w:rsidR="00D105CA" w:rsidRPr="008912CF" w:rsidRDefault="00615769" w:rsidP="00D105CA">
            <w:pPr>
              <w:keepNext/>
              <w:keepLines/>
              <w:tabs>
                <w:tab w:val="left" w:pos="-1080"/>
              </w:tabs>
              <w:autoSpaceDE w:val="0"/>
              <w:autoSpaceDN w:val="0"/>
              <w:adjustRightInd w:val="0"/>
              <w:ind w:left="15"/>
              <w:rPr>
                <w:del w:id="3556" w:author="AbbVie2" w:date="2025-05-13T16:36:00Z"/>
                <w:b/>
                <w:bCs/>
                <w:sz w:val="22"/>
                <w:szCs w:val="22"/>
              </w:rPr>
            </w:pPr>
            <w:del w:id="3557" w:author="AbbVie2" w:date="2025-05-13T16:36:00Z">
              <w:r w:rsidRPr="008912CF">
                <w:rPr>
                  <w:b/>
                  <w:bCs/>
                  <w:sz w:val="22"/>
                  <w:szCs w:val="22"/>
                </w:rPr>
                <w:delText>Semana</w:delText>
              </w:r>
              <w:r>
                <w:rPr>
                  <w:b/>
                  <w:bCs/>
                  <w:sz w:val="22"/>
                  <w:szCs w:val="22"/>
                </w:rPr>
                <w:delText> </w:delText>
              </w:r>
              <w:r w:rsidRPr="008912CF">
                <w:rPr>
                  <w:b/>
                  <w:bCs/>
                  <w:sz w:val="22"/>
                  <w:szCs w:val="22"/>
                </w:rPr>
                <w:delText>26</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287F6B80" w14:textId="5A064F64" w:rsidR="00D105CA" w:rsidRPr="008912CF" w:rsidRDefault="00D105CA" w:rsidP="00D105CA">
            <w:pPr>
              <w:keepNext/>
              <w:keepLines/>
              <w:tabs>
                <w:tab w:val="left" w:pos="-1080"/>
              </w:tabs>
              <w:autoSpaceDE w:val="0"/>
              <w:autoSpaceDN w:val="0"/>
              <w:adjustRightInd w:val="0"/>
              <w:ind w:left="15"/>
              <w:jc w:val="center"/>
              <w:rPr>
                <w:del w:id="3558" w:author="AbbVie2" w:date="2025-05-13T16:36:00Z"/>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3B4BD73B" w14:textId="3F20A21E" w:rsidR="00D105CA" w:rsidRPr="008912CF" w:rsidRDefault="00D105CA" w:rsidP="00D105CA">
            <w:pPr>
              <w:keepNext/>
              <w:keepLines/>
              <w:tabs>
                <w:tab w:val="left" w:pos="-1080"/>
              </w:tabs>
              <w:autoSpaceDE w:val="0"/>
              <w:autoSpaceDN w:val="0"/>
              <w:adjustRightInd w:val="0"/>
              <w:ind w:left="15"/>
              <w:jc w:val="center"/>
              <w:rPr>
                <w:del w:id="3559" w:author="AbbVie2" w:date="2025-05-13T16:36:00Z"/>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678CC215" w14:textId="61F83D3A" w:rsidR="00D105CA" w:rsidRPr="008912CF" w:rsidRDefault="00D105CA" w:rsidP="00D105CA">
            <w:pPr>
              <w:keepNext/>
              <w:autoSpaceDE w:val="0"/>
              <w:autoSpaceDN w:val="0"/>
              <w:adjustRightInd w:val="0"/>
              <w:ind w:left="15"/>
              <w:rPr>
                <w:del w:id="3560" w:author="AbbVie2" w:date="2025-05-13T16:36:00Z"/>
                <w:b/>
                <w:bCs/>
                <w:sz w:val="22"/>
                <w:szCs w:val="22"/>
              </w:rPr>
            </w:pPr>
          </w:p>
        </w:tc>
      </w:tr>
      <w:tr w:rsidR="00A7162A" w14:paraId="33E3C614" w14:textId="4EE62E37" w:rsidTr="00D105CA">
        <w:trPr>
          <w:jc w:val="center"/>
          <w:del w:id="3561" w:author="AbbVie2" w:date="2025-05-13T16:36:00Z"/>
        </w:trPr>
        <w:tc>
          <w:tcPr>
            <w:tcW w:w="2321" w:type="dxa"/>
            <w:tcBorders>
              <w:top w:val="single" w:sz="6" w:space="0" w:color="000000"/>
              <w:left w:val="single" w:sz="6" w:space="0" w:color="000000"/>
              <w:bottom w:val="single" w:sz="6" w:space="0" w:color="000000"/>
              <w:right w:val="single" w:sz="6" w:space="0" w:color="000000"/>
            </w:tcBorders>
            <w:vAlign w:val="bottom"/>
          </w:tcPr>
          <w:p w14:paraId="47025CB4" w14:textId="232CBDAE" w:rsidR="00D105CA" w:rsidRPr="008912CF" w:rsidRDefault="00615769" w:rsidP="00D105CA">
            <w:pPr>
              <w:keepNext/>
              <w:keepLines/>
              <w:tabs>
                <w:tab w:val="left" w:pos="-1080"/>
              </w:tabs>
              <w:autoSpaceDE w:val="0"/>
              <w:autoSpaceDN w:val="0"/>
              <w:adjustRightInd w:val="0"/>
              <w:ind w:left="15"/>
              <w:rPr>
                <w:del w:id="3562" w:author="AbbVie2" w:date="2025-05-13T16:36:00Z"/>
                <w:sz w:val="22"/>
                <w:szCs w:val="22"/>
              </w:rPr>
            </w:pPr>
            <w:del w:id="3563" w:author="AbbVie2" w:date="2025-05-13T16:36:00Z">
              <w:r w:rsidRPr="008912CF">
                <w:rPr>
                  <w:sz w:val="22"/>
                  <w:szCs w:val="22"/>
                </w:rPr>
                <w:delText xml:space="preserve">   Remissão clínica</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40AB4D64" w14:textId="66C850E0" w:rsidR="00D105CA" w:rsidRPr="008912CF" w:rsidRDefault="00615769" w:rsidP="00D105CA">
            <w:pPr>
              <w:keepNext/>
              <w:keepLines/>
              <w:tabs>
                <w:tab w:val="left" w:pos="-1080"/>
              </w:tabs>
              <w:autoSpaceDE w:val="0"/>
              <w:autoSpaceDN w:val="0"/>
              <w:adjustRightInd w:val="0"/>
              <w:ind w:left="15"/>
              <w:jc w:val="center"/>
              <w:rPr>
                <w:del w:id="3564" w:author="AbbVie2" w:date="2025-05-13T16:36:00Z"/>
                <w:sz w:val="22"/>
                <w:szCs w:val="22"/>
              </w:rPr>
            </w:pPr>
            <w:del w:id="3565" w:author="AbbVie2" w:date="2025-05-13T16:36:00Z">
              <w:r w:rsidRPr="008912CF">
                <w:rPr>
                  <w:sz w:val="22"/>
                  <w:szCs w:val="22"/>
                </w:rPr>
                <w:delText>38,7%</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14:paraId="06C4D3AB" w14:textId="2B073B25" w:rsidR="00D105CA" w:rsidRPr="008912CF" w:rsidRDefault="00615769" w:rsidP="00D105CA">
            <w:pPr>
              <w:keepNext/>
              <w:keepLines/>
              <w:tabs>
                <w:tab w:val="left" w:pos="-1080"/>
              </w:tabs>
              <w:autoSpaceDE w:val="0"/>
              <w:autoSpaceDN w:val="0"/>
              <w:adjustRightInd w:val="0"/>
              <w:ind w:left="15"/>
              <w:jc w:val="center"/>
              <w:rPr>
                <w:del w:id="3566" w:author="AbbVie2" w:date="2025-05-13T16:36:00Z"/>
                <w:sz w:val="22"/>
                <w:szCs w:val="22"/>
              </w:rPr>
            </w:pPr>
            <w:del w:id="3567" w:author="AbbVie2" w:date="2025-05-13T16:36:00Z">
              <w:r w:rsidRPr="008912CF">
                <w:rPr>
                  <w:sz w:val="22"/>
                  <w:szCs w:val="22"/>
                </w:rPr>
                <w:delText>28,4%</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14:paraId="47F8EE89" w14:textId="4F822585" w:rsidR="00D105CA" w:rsidRPr="008912CF" w:rsidRDefault="00615769" w:rsidP="00D105CA">
            <w:pPr>
              <w:keepNext/>
              <w:keepLines/>
              <w:tabs>
                <w:tab w:val="left" w:pos="-1080"/>
              </w:tabs>
              <w:autoSpaceDE w:val="0"/>
              <w:autoSpaceDN w:val="0"/>
              <w:adjustRightInd w:val="0"/>
              <w:ind w:left="15"/>
              <w:jc w:val="center"/>
              <w:rPr>
                <w:del w:id="3568" w:author="AbbVie2" w:date="2025-05-13T16:36:00Z"/>
                <w:sz w:val="22"/>
                <w:szCs w:val="22"/>
              </w:rPr>
            </w:pPr>
            <w:del w:id="3569" w:author="AbbVie2" w:date="2025-05-13T16:36:00Z">
              <w:r w:rsidRPr="008912CF">
                <w:rPr>
                  <w:sz w:val="22"/>
                  <w:szCs w:val="22"/>
                </w:rPr>
                <w:delText>0,075</w:delText>
              </w:r>
            </w:del>
          </w:p>
        </w:tc>
      </w:tr>
      <w:tr w:rsidR="00A7162A" w14:paraId="342FF852" w14:textId="28EA1FF4" w:rsidTr="00D105CA">
        <w:trPr>
          <w:jc w:val="center"/>
          <w:del w:id="3570" w:author="AbbVie2" w:date="2025-05-13T16:36:00Z"/>
        </w:trPr>
        <w:tc>
          <w:tcPr>
            <w:tcW w:w="2321" w:type="dxa"/>
            <w:tcBorders>
              <w:top w:val="single" w:sz="6" w:space="0" w:color="000000"/>
              <w:left w:val="single" w:sz="6" w:space="0" w:color="000000"/>
              <w:bottom w:val="single" w:sz="6" w:space="0" w:color="000000"/>
              <w:right w:val="single" w:sz="6" w:space="0" w:color="000000"/>
            </w:tcBorders>
          </w:tcPr>
          <w:p w14:paraId="4432AB9B" w14:textId="4979913E" w:rsidR="00D105CA" w:rsidRPr="008912CF" w:rsidRDefault="00615769" w:rsidP="00D105CA">
            <w:pPr>
              <w:keepNext/>
              <w:keepLines/>
              <w:tabs>
                <w:tab w:val="left" w:pos="-1080"/>
              </w:tabs>
              <w:autoSpaceDE w:val="0"/>
              <w:autoSpaceDN w:val="0"/>
              <w:adjustRightInd w:val="0"/>
              <w:ind w:left="15"/>
              <w:rPr>
                <w:del w:id="3571" w:author="AbbVie2" w:date="2025-05-13T16:36:00Z"/>
                <w:sz w:val="22"/>
                <w:szCs w:val="22"/>
              </w:rPr>
            </w:pPr>
            <w:del w:id="3572" w:author="AbbVie2" w:date="2025-05-13T16:36:00Z">
              <w:r w:rsidRPr="008912CF">
                <w:rPr>
                  <w:sz w:val="22"/>
                  <w:szCs w:val="22"/>
                </w:rPr>
                <w:delText xml:space="preserve">   Resposta clínica</w:delText>
              </w:r>
            </w:del>
          </w:p>
        </w:tc>
        <w:tc>
          <w:tcPr>
            <w:tcW w:w="1614" w:type="dxa"/>
            <w:tcBorders>
              <w:top w:val="single" w:sz="6" w:space="0" w:color="000000"/>
              <w:left w:val="single" w:sz="6" w:space="0" w:color="000000"/>
              <w:bottom w:val="single" w:sz="6" w:space="0" w:color="000000"/>
              <w:right w:val="single" w:sz="6" w:space="0" w:color="000000"/>
            </w:tcBorders>
          </w:tcPr>
          <w:p w14:paraId="66EE37F1" w14:textId="5C901C5A" w:rsidR="00D105CA" w:rsidRPr="008912CF" w:rsidRDefault="00615769" w:rsidP="00D105CA">
            <w:pPr>
              <w:keepNext/>
              <w:keepLines/>
              <w:tabs>
                <w:tab w:val="left" w:pos="-1080"/>
              </w:tabs>
              <w:autoSpaceDE w:val="0"/>
              <w:autoSpaceDN w:val="0"/>
              <w:adjustRightInd w:val="0"/>
              <w:ind w:left="15"/>
              <w:jc w:val="center"/>
              <w:rPr>
                <w:del w:id="3573" w:author="AbbVie2" w:date="2025-05-13T16:36:00Z"/>
                <w:sz w:val="22"/>
                <w:szCs w:val="22"/>
              </w:rPr>
            </w:pPr>
            <w:del w:id="3574" w:author="AbbVie2" w:date="2025-05-13T16:36:00Z">
              <w:r w:rsidRPr="008912CF">
                <w:rPr>
                  <w:sz w:val="22"/>
                  <w:szCs w:val="22"/>
                </w:rPr>
                <w:delText>59,1%</w:delText>
              </w:r>
            </w:del>
          </w:p>
        </w:tc>
        <w:tc>
          <w:tcPr>
            <w:tcW w:w="1591" w:type="dxa"/>
            <w:tcBorders>
              <w:top w:val="single" w:sz="6" w:space="0" w:color="000000"/>
              <w:left w:val="single" w:sz="6" w:space="0" w:color="000000"/>
              <w:bottom w:val="single" w:sz="6" w:space="0" w:color="000000"/>
              <w:right w:val="single" w:sz="6" w:space="0" w:color="000000"/>
            </w:tcBorders>
          </w:tcPr>
          <w:p w14:paraId="5BE50233" w14:textId="51FDD6CE" w:rsidR="00D105CA" w:rsidRPr="008912CF" w:rsidRDefault="00615769" w:rsidP="00D105CA">
            <w:pPr>
              <w:keepNext/>
              <w:keepLines/>
              <w:tabs>
                <w:tab w:val="left" w:pos="-1080"/>
              </w:tabs>
              <w:autoSpaceDE w:val="0"/>
              <w:autoSpaceDN w:val="0"/>
              <w:adjustRightInd w:val="0"/>
              <w:ind w:left="15"/>
              <w:jc w:val="center"/>
              <w:rPr>
                <w:del w:id="3575" w:author="AbbVie2" w:date="2025-05-13T16:36:00Z"/>
                <w:sz w:val="22"/>
                <w:szCs w:val="22"/>
              </w:rPr>
            </w:pPr>
            <w:del w:id="3576" w:author="AbbVie2" w:date="2025-05-13T16:36:00Z">
              <w:r w:rsidRPr="008912CF">
                <w:rPr>
                  <w:sz w:val="22"/>
                  <w:szCs w:val="22"/>
                </w:rPr>
                <w:delText>48,4%</w:delText>
              </w:r>
            </w:del>
          </w:p>
        </w:tc>
        <w:tc>
          <w:tcPr>
            <w:tcW w:w="1147" w:type="dxa"/>
            <w:tcBorders>
              <w:top w:val="single" w:sz="6" w:space="0" w:color="000000"/>
              <w:left w:val="single" w:sz="6" w:space="0" w:color="000000"/>
              <w:bottom w:val="single" w:sz="6" w:space="0" w:color="000000"/>
              <w:right w:val="single" w:sz="6" w:space="0" w:color="000000"/>
            </w:tcBorders>
          </w:tcPr>
          <w:p w14:paraId="7B923CB5" w14:textId="6761AB00" w:rsidR="00D105CA" w:rsidRPr="008912CF" w:rsidRDefault="00615769" w:rsidP="00D105CA">
            <w:pPr>
              <w:keepNext/>
              <w:keepLines/>
              <w:tabs>
                <w:tab w:val="left" w:pos="-1080"/>
              </w:tabs>
              <w:autoSpaceDE w:val="0"/>
              <w:autoSpaceDN w:val="0"/>
              <w:adjustRightInd w:val="0"/>
              <w:ind w:left="15"/>
              <w:jc w:val="center"/>
              <w:rPr>
                <w:del w:id="3577" w:author="AbbVie2" w:date="2025-05-13T16:36:00Z"/>
                <w:sz w:val="22"/>
                <w:szCs w:val="22"/>
              </w:rPr>
            </w:pPr>
            <w:del w:id="3578" w:author="AbbVie2" w:date="2025-05-13T16:36:00Z">
              <w:r w:rsidRPr="008912CF">
                <w:rPr>
                  <w:sz w:val="22"/>
                  <w:szCs w:val="22"/>
                </w:rPr>
                <w:delText>0,073</w:delText>
              </w:r>
            </w:del>
          </w:p>
        </w:tc>
      </w:tr>
      <w:tr w:rsidR="00A7162A" w14:paraId="1E707263" w14:textId="4C513E1B" w:rsidTr="00D105CA">
        <w:trPr>
          <w:jc w:val="center"/>
          <w:del w:id="3579" w:author="AbbVie2" w:date="2025-05-13T16:36:00Z"/>
        </w:trPr>
        <w:tc>
          <w:tcPr>
            <w:tcW w:w="2321" w:type="dxa"/>
            <w:tcBorders>
              <w:top w:val="single" w:sz="6" w:space="0" w:color="000000"/>
              <w:left w:val="single" w:sz="6" w:space="0" w:color="000000"/>
              <w:bottom w:val="single" w:sz="6" w:space="0" w:color="000000"/>
              <w:right w:val="single" w:sz="6" w:space="0" w:color="000000"/>
            </w:tcBorders>
            <w:vAlign w:val="bottom"/>
          </w:tcPr>
          <w:p w14:paraId="2F563257" w14:textId="5CCE1DD7" w:rsidR="00D105CA" w:rsidRPr="008912CF" w:rsidRDefault="00615769" w:rsidP="00D105CA">
            <w:pPr>
              <w:keepNext/>
              <w:keepLines/>
              <w:tabs>
                <w:tab w:val="left" w:pos="-1080"/>
              </w:tabs>
              <w:autoSpaceDE w:val="0"/>
              <w:autoSpaceDN w:val="0"/>
              <w:adjustRightInd w:val="0"/>
              <w:ind w:left="15"/>
              <w:rPr>
                <w:del w:id="3580" w:author="AbbVie2" w:date="2025-05-13T16:36:00Z"/>
                <w:b/>
                <w:bCs/>
                <w:sz w:val="22"/>
                <w:szCs w:val="22"/>
              </w:rPr>
            </w:pPr>
            <w:del w:id="3581" w:author="AbbVie2" w:date="2025-05-13T16:36:00Z">
              <w:r w:rsidRPr="008912CF">
                <w:rPr>
                  <w:b/>
                  <w:bCs/>
                  <w:sz w:val="22"/>
                  <w:szCs w:val="22"/>
                </w:rPr>
                <w:delText>Semana</w:delText>
              </w:r>
              <w:r>
                <w:rPr>
                  <w:b/>
                  <w:bCs/>
                  <w:sz w:val="22"/>
                  <w:szCs w:val="22"/>
                </w:rPr>
                <w:delText> </w:delText>
              </w:r>
              <w:r w:rsidRPr="008912CF">
                <w:rPr>
                  <w:b/>
                  <w:bCs/>
                  <w:sz w:val="22"/>
                  <w:szCs w:val="22"/>
                </w:rPr>
                <w:delText>52</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18D5F133" w14:textId="6A5BA535" w:rsidR="00D105CA" w:rsidRPr="008912CF" w:rsidRDefault="00D105CA" w:rsidP="00D105CA">
            <w:pPr>
              <w:keepNext/>
              <w:keepLines/>
              <w:tabs>
                <w:tab w:val="left" w:pos="-1080"/>
              </w:tabs>
              <w:autoSpaceDE w:val="0"/>
              <w:autoSpaceDN w:val="0"/>
              <w:adjustRightInd w:val="0"/>
              <w:ind w:left="15"/>
              <w:jc w:val="center"/>
              <w:rPr>
                <w:del w:id="3582" w:author="AbbVie2" w:date="2025-05-13T16:36:00Z"/>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6292F0D7" w14:textId="58DDD5DE" w:rsidR="00D105CA" w:rsidRPr="008912CF" w:rsidRDefault="00D105CA" w:rsidP="00D105CA">
            <w:pPr>
              <w:keepNext/>
              <w:keepLines/>
              <w:tabs>
                <w:tab w:val="left" w:pos="-1080"/>
              </w:tabs>
              <w:autoSpaceDE w:val="0"/>
              <w:autoSpaceDN w:val="0"/>
              <w:adjustRightInd w:val="0"/>
              <w:ind w:left="15"/>
              <w:jc w:val="center"/>
              <w:rPr>
                <w:del w:id="3583" w:author="AbbVie2" w:date="2025-05-13T16:36:00Z"/>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3A2E549A" w14:textId="516289E7" w:rsidR="00D105CA" w:rsidRPr="008912CF" w:rsidRDefault="00D105CA" w:rsidP="00D105CA">
            <w:pPr>
              <w:keepNext/>
              <w:autoSpaceDE w:val="0"/>
              <w:autoSpaceDN w:val="0"/>
              <w:adjustRightInd w:val="0"/>
              <w:ind w:left="15"/>
              <w:rPr>
                <w:del w:id="3584" w:author="AbbVie2" w:date="2025-05-13T16:36:00Z"/>
                <w:b/>
                <w:bCs/>
                <w:sz w:val="22"/>
                <w:szCs w:val="22"/>
              </w:rPr>
            </w:pPr>
          </w:p>
        </w:tc>
      </w:tr>
      <w:tr w:rsidR="00A7162A" w14:paraId="41D4FF57" w14:textId="132C4FB4" w:rsidTr="00D105CA">
        <w:trPr>
          <w:jc w:val="center"/>
          <w:del w:id="3585" w:author="AbbVie2" w:date="2025-05-13T16:36:00Z"/>
        </w:trPr>
        <w:tc>
          <w:tcPr>
            <w:tcW w:w="2321" w:type="dxa"/>
            <w:tcBorders>
              <w:top w:val="single" w:sz="6" w:space="0" w:color="000000"/>
              <w:left w:val="single" w:sz="6" w:space="0" w:color="000000"/>
              <w:bottom w:val="single" w:sz="6" w:space="0" w:color="000000"/>
              <w:right w:val="single" w:sz="6" w:space="0" w:color="000000"/>
            </w:tcBorders>
            <w:vAlign w:val="bottom"/>
          </w:tcPr>
          <w:p w14:paraId="5AE0FCA8" w14:textId="1B29ED3B" w:rsidR="00D105CA" w:rsidRPr="008912CF" w:rsidRDefault="00615769" w:rsidP="00D105CA">
            <w:pPr>
              <w:keepNext/>
              <w:keepLines/>
              <w:tabs>
                <w:tab w:val="left" w:pos="-1080"/>
              </w:tabs>
              <w:autoSpaceDE w:val="0"/>
              <w:autoSpaceDN w:val="0"/>
              <w:adjustRightInd w:val="0"/>
              <w:ind w:left="15"/>
              <w:rPr>
                <w:del w:id="3586" w:author="AbbVie2" w:date="2025-05-13T16:36:00Z"/>
                <w:sz w:val="22"/>
                <w:szCs w:val="22"/>
              </w:rPr>
            </w:pPr>
            <w:del w:id="3587" w:author="AbbVie2" w:date="2025-05-13T16:36:00Z">
              <w:r w:rsidRPr="008912CF">
                <w:rPr>
                  <w:sz w:val="22"/>
                  <w:szCs w:val="22"/>
                </w:rPr>
                <w:delText xml:space="preserve">   Remissão clínica</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044997D2" w14:textId="3EA81BB9" w:rsidR="00D105CA" w:rsidRPr="008912CF" w:rsidRDefault="00615769" w:rsidP="00D105CA">
            <w:pPr>
              <w:keepNext/>
              <w:keepLines/>
              <w:tabs>
                <w:tab w:val="left" w:pos="-1080"/>
              </w:tabs>
              <w:autoSpaceDE w:val="0"/>
              <w:autoSpaceDN w:val="0"/>
              <w:adjustRightInd w:val="0"/>
              <w:ind w:left="15"/>
              <w:jc w:val="center"/>
              <w:rPr>
                <w:del w:id="3588" w:author="AbbVie2" w:date="2025-05-13T16:36:00Z"/>
                <w:sz w:val="22"/>
                <w:szCs w:val="22"/>
              </w:rPr>
            </w:pPr>
            <w:del w:id="3589" w:author="AbbVie2" w:date="2025-05-13T16:36:00Z">
              <w:r w:rsidRPr="008912CF">
                <w:rPr>
                  <w:sz w:val="22"/>
                  <w:szCs w:val="22"/>
                </w:rPr>
                <w:delText>33,3%</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14:paraId="1651FE27" w14:textId="715F19F8" w:rsidR="00D105CA" w:rsidRPr="008912CF" w:rsidRDefault="00615769" w:rsidP="00D105CA">
            <w:pPr>
              <w:keepNext/>
              <w:keepLines/>
              <w:tabs>
                <w:tab w:val="left" w:pos="-1080"/>
              </w:tabs>
              <w:autoSpaceDE w:val="0"/>
              <w:autoSpaceDN w:val="0"/>
              <w:adjustRightInd w:val="0"/>
              <w:ind w:left="15"/>
              <w:jc w:val="center"/>
              <w:rPr>
                <w:del w:id="3590" w:author="AbbVie2" w:date="2025-05-13T16:36:00Z"/>
                <w:sz w:val="22"/>
                <w:szCs w:val="22"/>
              </w:rPr>
            </w:pPr>
            <w:del w:id="3591" w:author="AbbVie2" w:date="2025-05-13T16:36:00Z">
              <w:r w:rsidRPr="008912CF">
                <w:rPr>
                  <w:sz w:val="22"/>
                  <w:szCs w:val="22"/>
                </w:rPr>
                <w:delText>23,2%</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14:paraId="628FCDBF" w14:textId="4C5FD2F1" w:rsidR="00D105CA" w:rsidRPr="008912CF" w:rsidRDefault="00615769" w:rsidP="00D105CA">
            <w:pPr>
              <w:keepNext/>
              <w:keepLines/>
              <w:tabs>
                <w:tab w:val="left" w:pos="-1080"/>
              </w:tabs>
              <w:autoSpaceDE w:val="0"/>
              <w:autoSpaceDN w:val="0"/>
              <w:adjustRightInd w:val="0"/>
              <w:ind w:left="15"/>
              <w:jc w:val="center"/>
              <w:rPr>
                <w:del w:id="3592" w:author="AbbVie2" w:date="2025-05-13T16:36:00Z"/>
                <w:sz w:val="22"/>
                <w:szCs w:val="22"/>
              </w:rPr>
            </w:pPr>
            <w:del w:id="3593" w:author="AbbVie2" w:date="2025-05-13T16:36:00Z">
              <w:r w:rsidRPr="008912CF">
                <w:rPr>
                  <w:sz w:val="22"/>
                  <w:szCs w:val="22"/>
                </w:rPr>
                <w:delText>0,100</w:delText>
              </w:r>
            </w:del>
          </w:p>
        </w:tc>
      </w:tr>
      <w:tr w:rsidR="00A7162A" w14:paraId="0CB96934" w14:textId="30DA112E" w:rsidTr="00D105CA">
        <w:trPr>
          <w:jc w:val="center"/>
          <w:del w:id="3594" w:author="AbbVie2" w:date="2025-05-13T16:36:00Z"/>
        </w:trPr>
        <w:tc>
          <w:tcPr>
            <w:tcW w:w="2321" w:type="dxa"/>
            <w:tcBorders>
              <w:top w:val="single" w:sz="6" w:space="0" w:color="000000"/>
              <w:left w:val="single" w:sz="6" w:space="0" w:color="000000"/>
              <w:bottom w:val="single" w:sz="6" w:space="0" w:color="000000"/>
              <w:right w:val="single" w:sz="6" w:space="0" w:color="000000"/>
            </w:tcBorders>
          </w:tcPr>
          <w:p w14:paraId="2354761D" w14:textId="13FFB982" w:rsidR="00D105CA" w:rsidRPr="008912CF" w:rsidRDefault="00615769" w:rsidP="00D105CA">
            <w:pPr>
              <w:keepNext/>
              <w:keepLines/>
              <w:tabs>
                <w:tab w:val="left" w:pos="-1080"/>
              </w:tabs>
              <w:autoSpaceDE w:val="0"/>
              <w:autoSpaceDN w:val="0"/>
              <w:adjustRightInd w:val="0"/>
              <w:ind w:left="15"/>
              <w:rPr>
                <w:del w:id="3595" w:author="AbbVie2" w:date="2025-05-13T16:36:00Z"/>
                <w:sz w:val="22"/>
                <w:szCs w:val="22"/>
              </w:rPr>
            </w:pPr>
            <w:del w:id="3596" w:author="AbbVie2" w:date="2025-05-13T16:36:00Z">
              <w:r w:rsidRPr="008912CF">
                <w:rPr>
                  <w:sz w:val="22"/>
                  <w:szCs w:val="22"/>
                </w:rPr>
                <w:delText xml:space="preserve">   Resposta clínica</w:delText>
              </w:r>
            </w:del>
          </w:p>
        </w:tc>
        <w:tc>
          <w:tcPr>
            <w:tcW w:w="1614" w:type="dxa"/>
            <w:tcBorders>
              <w:top w:val="single" w:sz="6" w:space="0" w:color="000000"/>
              <w:left w:val="single" w:sz="6" w:space="0" w:color="000000"/>
              <w:bottom w:val="single" w:sz="6" w:space="0" w:color="000000"/>
              <w:right w:val="single" w:sz="6" w:space="0" w:color="000000"/>
            </w:tcBorders>
          </w:tcPr>
          <w:p w14:paraId="7A43F147" w14:textId="46459CD1" w:rsidR="00D105CA" w:rsidRPr="008912CF" w:rsidRDefault="00615769" w:rsidP="00D105CA">
            <w:pPr>
              <w:keepNext/>
              <w:keepLines/>
              <w:tabs>
                <w:tab w:val="left" w:pos="-1080"/>
              </w:tabs>
              <w:autoSpaceDE w:val="0"/>
              <w:autoSpaceDN w:val="0"/>
              <w:adjustRightInd w:val="0"/>
              <w:ind w:left="15"/>
              <w:jc w:val="center"/>
              <w:rPr>
                <w:del w:id="3597" w:author="AbbVie2" w:date="2025-05-13T16:36:00Z"/>
                <w:sz w:val="22"/>
                <w:szCs w:val="22"/>
              </w:rPr>
            </w:pPr>
            <w:del w:id="3598" w:author="AbbVie2" w:date="2025-05-13T16:36:00Z">
              <w:r w:rsidRPr="008912CF">
                <w:rPr>
                  <w:sz w:val="22"/>
                  <w:szCs w:val="22"/>
                </w:rPr>
                <w:delText>41,9%</w:delText>
              </w:r>
            </w:del>
          </w:p>
        </w:tc>
        <w:tc>
          <w:tcPr>
            <w:tcW w:w="1591" w:type="dxa"/>
            <w:tcBorders>
              <w:top w:val="single" w:sz="6" w:space="0" w:color="000000"/>
              <w:left w:val="single" w:sz="6" w:space="0" w:color="000000"/>
              <w:bottom w:val="single" w:sz="6" w:space="0" w:color="000000"/>
              <w:right w:val="single" w:sz="6" w:space="0" w:color="000000"/>
            </w:tcBorders>
          </w:tcPr>
          <w:p w14:paraId="1B8C1A38" w14:textId="7DB60882" w:rsidR="00D105CA" w:rsidRPr="008912CF" w:rsidRDefault="00615769" w:rsidP="00D105CA">
            <w:pPr>
              <w:keepNext/>
              <w:keepLines/>
              <w:tabs>
                <w:tab w:val="left" w:pos="-1080"/>
              </w:tabs>
              <w:autoSpaceDE w:val="0"/>
              <w:autoSpaceDN w:val="0"/>
              <w:adjustRightInd w:val="0"/>
              <w:ind w:left="15"/>
              <w:jc w:val="center"/>
              <w:rPr>
                <w:del w:id="3599" w:author="AbbVie2" w:date="2025-05-13T16:36:00Z"/>
                <w:sz w:val="22"/>
                <w:szCs w:val="22"/>
              </w:rPr>
            </w:pPr>
            <w:del w:id="3600" w:author="AbbVie2" w:date="2025-05-13T16:36:00Z">
              <w:r w:rsidRPr="008912CF">
                <w:rPr>
                  <w:sz w:val="22"/>
                  <w:szCs w:val="22"/>
                </w:rPr>
                <w:delText>28,4%</w:delText>
              </w:r>
            </w:del>
          </w:p>
        </w:tc>
        <w:tc>
          <w:tcPr>
            <w:tcW w:w="1147" w:type="dxa"/>
            <w:tcBorders>
              <w:top w:val="single" w:sz="6" w:space="0" w:color="000000"/>
              <w:left w:val="single" w:sz="6" w:space="0" w:color="000000"/>
              <w:bottom w:val="single" w:sz="6" w:space="0" w:color="000000"/>
              <w:right w:val="single" w:sz="6" w:space="0" w:color="000000"/>
            </w:tcBorders>
          </w:tcPr>
          <w:p w14:paraId="68D69FB2" w14:textId="591FB7C6" w:rsidR="00D105CA" w:rsidRPr="008912CF" w:rsidRDefault="00615769" w:rsidP="00D105CA">
            <w:pPr>
              <w:keepNext/>
              <w:keepLines/>
              <w:tabs>
                <w:tab w:val="left" w:pos="-1080"/>
              </w:tabs>
              <w:autoSpaceDE w:val="0"/>
              <w:autoSpaceDN w:val="0"/>
              <w:adjustRightInd w:val="0"/>
              <w:ind w:left="15"/>
              <w:jc w:val="center"/>
              <w:rPr>
                <w:del w:id="3601" w:author="AbbVie2" w:date="2025-05-13T16:36:00Z"/>
                <w:sz w:val="22"/>
                <w:szCs w:val="22"/>
              </w:rPr>
            </w:pPr>
            <w:del w:id="3602" w:author="AbbVie2" w:date="2025-05-13T16:36:00Z">
              <w:r w:rsidRPr="008912CF">
                <w:rPr>
                  <w:sz w:val="22"/>
                  <w:szCs w:val="22"/>
                </w:rPr>
                <w:delText>0,038</w:delText>
              </w:r>
            </w:del>
          </w:p>
        </w:tc>
      </w:tr>
      <w:tr w:rsidR="00A7162A" w14:paraId="312B77E9" w14:textId="47F7F6BA" w:rsidTr="00D105CA">
        <w:trPr>
          <w:jc w:val="center"/>
          <w:del w:id="3603" w:author="AbbVie2" w:date="2025-05-13T16:36:00Z"/>
        </w:trPr>
        <w:tc>
          <w:tcPr>
            <w:tcW w:w="6673" w:type="dxa"/>
            <w:gridSpan w:val="4"/>
            <w:tcBorders>
              <w:top w:val="single" w:sz="6" w:space="0" w:color="000000"/>
              <w:left w:val="single" w:sz="6" w:space="0" w:color="000000"/>
              <w:bottom w:val="single" w:sz="6" w:space="0" w:color="000000"/>
              <w:right w:val="single" w:sz="6" w:space="0" w:color="000000"/>
            </w:tcBorders>
          </w:tcPr>
          <w:p w14:paraId="400594D5" w14:textId="3ED68D4F" w:rsidR="00D105CA" w:rsidRPr="008912CF" w:rsidRDefault="00615769" w:rsidP="00D105CA">
            <w:pPr>
              <w:keepNext/>
              <w:keepLines/>
              <w:tabs>
                <w:tab w:val="left" w:pos="-1080"/>
              </w:tabs>
              <w:autoSpaceDE w:val="0"/>
              <w:autoSpaceDN w:val="0"/>
              <w:adjustRightInd w:val="0"/>
              <w:ind w:left="15"/>
              <w:rPr>
                <w:del w:id="3604" w:author="AbbVie2" w:date="2025-05-13T16:36:00Z"/>
                <w:sz w:val="22"/>
                <w:szCs w:val="22"/>
              </w:rPr>
            </w:pPr>
            <w:del w:id="3605" w:author="AbbVie2" w:date="2025-05-13T16:36:00Z">
              <w:r w:rsidRPr="008912CF">
                <w:rPr>
                  <w:sz w:val="22"/>
                  <w:szCs w:val="22"/>
                </w:rPr>
                <w:delText>*valor</w:delText>
              </w:r>
              <w:r>
                <w:rPr>
                  <w:sz w:val="22"/>
                  <w:szCs w:val="22"/>
                </w:rPr>
                <w:delText>-p</w:delText>
              </w:r>
              <w:r w:rsidRPr="008912CF">
                <w:rPr>
                  <w:sz w:val="22"/>
                  <w:szCs w:val="22"/>
                </w:rPr>
                <w:delText xml:space="preserve"> para comparação Dose Padrão </w:delText>
              </w:r>
              <w:r w:rsidRPr="008912CF">
                <w:rPr>
                  <w:i/>
                  <w:iCs/>
                  <w:sz w:val="22"/>
                  <w:szCs w:val="22"/>
                </w:rPr>
                <w:delText>versus</w:delText>
              </w:r>
              <w:r w:rsidRPr="008912CF">
                <w:rPr>
                  <w:sz w:val="22"/>
                  <w:szCs w:val="22"/>
                </w:rPr>
                <w:delText xml:space="preserve"> Baixa Dose.</w:delText>
              </w:r>
            </w:del>
          </w:p>
        </w:tc>
      </w:tr>
    </w:tbl>
    <w:p w14:paraId="6BA3F8E3" w14:textId="0EC10E0C" w:rsidR="00D105CA" w:rsidRPr="008912CF" w:rsidRDefault="00D105CA" w:rsidP="00D105CA">
      <w:pPr>
        <w:rPr>
          <w:del w:id="3606" w:author="AbbVie2" w:date="2025-05-13T16:36:00Z"/>
          <w:sz w:val="22"/>
          <w:szCs w:val="22"/>
        </w:rPr>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A7162A" w14:paraId="5FC5923E" w14:textId="04541A24" w:rsidTr="00D105CA">
        <w:trPr>
          <w:jc w:val="center"/>
          <w:del w:id="3607" w:author="AbbVie2" w:date="2025-05-13T16:36:00Z"/>
        </w:trPr>
        <w:tc>
          <w:tcPr>
            <w:tcW w:w="8440" w:type="dxa"/>
            <w:gridSpan w:val="4"/>
            <w:tcBorders>
              <w:top w:val="single" w:sz="6" w:space="0" w:color="000000"/>
              <w:left w:val="single" w:sz="6" w:space="0" w:color="000000"/>
              <w:bottom w:val="single" w:sz="6" w:space="0" w:color="000000"/>
              <w:right w:val="single" w:sz="6" w:space="0" w:color="000000"/>
            </w:tcBorders>
          </w:tcPr>
          <w:p w14:paraId="0C90151A" w14:textId="197A814C" w:rsidR="00D105CA" w:rsidRPr="008912CF" w:rsidRDefault="00615769" w:rsidP="00D105CA">
            <w:pPr>
              <w:tabs>
                <w:tab w:val="left" w:pos="-878"/>
              </w:tabs>
              <w:autoSpaceDE w:val="0"/>
              <w:autoSpaceDN w:val="0"/>
              <w:adjustRightInd w:val="0"/>
              <w:jc w:val="center"/>
              <w:rPr>
                <w:del w:id="3608" w:author="AbbVie2" w:date="2025-05-13T16:36:00Z"/>
                <w:b/>
                <w:bCs/>
                <w:sz w:val="22"/>
                <w:szCs w:val="22"/>
              </w:rPr>
            </w:pPr>
            <w:del w:id="3609" w:author="AbbVie2" w:date="2025-05-13T16:36:00Z">
              <w:r w:rsidRPr="008912CF">
                <w:rPr>
                  <w:b/>
                  <w:bCs/>
                  <w:sz w:val="22"/>
                  <w:szCs w:val="22"/>
                </w:rPr>
                <w:delText xml:space="preserve">Tabela </w:delText>
              </w:r>
              <w:r>
                <w:rPr>
                  <w:b/>
                  <w:bCs/>
                  <w:sz w:val="22"/>
                  <w:szCs w:val="22"/>
                </w:rPr>
                <w:delText>2</w:delText>
              </w:r>
              <w:r w:rsidR="00953E6E">
                <w:rPr>
                  <w:b/>
                  <w:bCs/>
                  <w:sz w:val="22"/>
                  <w:szCs w:val="22"/>
                </w:rPr>
                <w:delText>5</w:delText>
              </w:r>
            </w:del>
          </w:p>
          <w:p w14:paraId="0E864B02" w14:textId="3C1ECE31" w:rsidR="00D105CA" w:rsidRPr="008912CF" w:rsidRDefault="00615769" w:rsidP="00D105CA">
            <w:pPr>
              <w:pStyle w:val="BodyText2"/>
              <w:autoSpaceDE/>
              <w:autoSpaceDN/>
              <w:adjustRightInd/>
              <w:jc w:val="center"/>
              <w:rPr>
                <w:del w:id="3610" w:author="AbbVie2" w:date="2025-05-13T16:36:00Z"/>
                <w:b/>
                <w:bCs/>
                <w:szCs w:val="22"/>
              </w:rPr>
            </w:pPr>
            <w:del w:id="3611" w:author="AbbVie2" w:date="2025-05-13T16:36:00Z">
              <w:r w:rsidRPr="008912CF">
                <w:rPr>
                  <w:b/>
                  <w:szCs w:val="22"/>
                </w:rPr>
                <w:delText>Estudo de DC Pediátrica</w:delText>
              </w:r>
            </w:del>
          </w:p>
          <w:p w14:paraId="50F846EB" w14:textId="773D4384" w:rsidR="00D105CA" w:rsidRPr="008912CF" w:rsidRDefault="00615769" w:rsidP="00D105CA">
            <w:pPr>
              <w:tabs>
                <w:tab w:val="left" w:pos="-878"/>
              </w:tabs>
              <w:autoSpaceDE w:val="0"/>
              <w:autoSpaceDN w:val="0"/>
              <w:adjustRightInd w:val="0"/>
              <w:jc w:val="center"/>
              <w:rPr>
                <w:del w:id="3612" w:author="AbbVie2" w:date="2025-05-13T16:36:00Z"/>
                <w:b/>
                <w:bCs/>
                <w:sz w:val="22"/>
                <w:szCs w:val="22"/>
              </w:rPr>
            </w:pPr>
            <w:del w:id="3613" w:author="AbbVie2" w:date="2025-05-13T16:36:00Z">
              <w:r w:rsidRPr="008912CF">
                <w:rPr>
                  <w:b/>
                  <w:bCs/>
                  <w:sz w:val="22"/>
                  <w:szCs w:val="22"/>
                </w:rPr>
                <w:delText>Descontinuação de Corticosteroides ou Imunomoduladores e Remissão das Fístulas</w:delText>
              </w:r>
            </w:del>
          </w:p>
        </w:tc>
      </w:tr>
      <w:tr w:rsidR="00A7162A" w14:paraId="61F2D94D" w14:textId="668A7DDF" w:rsidTr="00D105CA">
        <w:trPr>
          <w:jc w:val="center"/>
          <w:del w:id="3614" w:author="AbbVie2" w:date="2025-05-13T16:36:00Z"/>
        </w:trPr>
        <w:tc>
          <w:tcPr>
            <w:tcW w:w="4025" w:type="dxa"/>
            <w:tcBorders>
              <w:top w:val="single" w:sz="6" w:space="0" w:color="000000"/>
              <w:left w:val="single" w:sz="6" w:space="0" w:color="000000"/>
              <w:bottom w:val="single" w:sz="6" w:space="0" w:color="000000"/>
              <w:right w:val="single" w:sz="6" w:space="0" w:color="000000"/>
            </w:tcBorders>
          </w:tcPr>
          <w:p w14:paraId="39882B71" w14:textId="297B7BDF" w:rsidR="00D105CA" w:rsidRPr="008912CF" w:rsidRDefault="00D105CA" w:rsidP="00D105CA">
            <w:pPr>
              <w:keepLines/>
              <w:tabs>
                <w:tab w:val="left" w:pos="-1080"/>
              </w:tabs>
              <w:autoSpaceDE w:val="0"/>
              <w:autoSpaceDN w:val="0"/>
              <w:adjustRightInd w:val="0"/>
              <w:jc w:val="center"/>
              <w:rPr>
                <w:del w:id="3615" w:author="AbbVie2" w:date="2025-05-13T16:36:00Z"/>
                <w:b/>
                <w:bCs/>
                <w:sz w:val="22"/>
                <w:szCs w:val="22"/>
              </w:rPr>
            </w:pPr>
          </w:p>
        </w:tc>
        <w:tc>
          <w:tcPr>
            <w:tcW w:w="1656" w:type="dxa"/>
            <w:tcBorders>
              <w:top w:val="single" w:sz="6" w:space="0" w:color="000000"/>
              <w:left w:val="single" w:sz="6" w:space="0" w:color="000000"/>
              <w:bottom w:val="single" w:sz="6" w:space="0" w:color="000000"/>
              <w:right w:val="single" w:sz="6" w:space="0" w:color="000000"/>
            </w:tcBorders>
          </w:tcPr>
          <w:p w14:paraId="37F75C80" w14:textId="552819CC" w:rsidR="00D105CA" w:rsidRPr="008912CF" w:rsidRDefault="00615769" w:rsidP="00D105CA">
            <w:pPr>
              <w:keepLines/>
              <w:tabs>
                <w:tab w:val="left" w:pos="-1080"/>
              </w:tabs>
              <w:autoSpaceDE w:val="0"/>
              <w:autoSpaceDN w:val="0"/>
              <w:adjustRightInd w:val="0"/>
              <w:ind w:left="15"/>
              <w:jc w:val="center"/>
              <w:rPr>
                <w:del w:id="3616" w:author="AbbVie2" w:date="2025-05-13T16:36:00Z"/>
                <w:b/>
                <w:bCs/>
                <w:sz w:val="22"/>
                <w:szCs w:val="22"/>
              </w:rPr>
            </w:pPr>
            <w:del w:id="3617" w:author="AbbVie2" w:date="2025-05-13T16:36:00Z">
              <w:r w:rsidRPr="008912CF">
                <w:rPr>
                  <w:b/>
                  <w:bCs/>
                  <w:sz w:val="22"/>
                  <w:szCs w:val="22"/>
                </w:rPr>
                <w:delText>Dose Padrão</w:delText>
              </w:r>
            </w:del>
          </w:p>
          <w:p w14:paraId="27A47B29" w14:textId="696F1B1C" w:rsidR="00D105CA" w:rsidRPr="008912CF" w:rsidRDefault="00615769" w:rsidP="00D105CA">
            <w:pPr>
              <w:keepLines/>
              <w:tabs>
                <w:tab w:val="left" w:pos="-1080"/>
              </w:tabs>
              <w:autoSpaceDE w:val="0"/>
              <w:autoSpaceDN w:val="0"/>
              <w:adjustRightInd w:val="0"/>
              <w:ind w:left="15"/>
              <w:jc w:val="center"/>
              <w:rPr>
                <w:del w:id="3618" w:author="AbbVie2" w:date="2025-05-13T16:36:00Z"/>
                <w:b/>
                <w:bCs/>
                <w:sz w:val="22"/>
                <w:szCs w:val="22"/>
              </w:rPr>
            </w:pPr>
            <w:del w:id="3619" w:author="AbbVie2" w:date="2025-05-13T16:36:00Z">
              <w:r w:rsidRPr="008912CF">
                <w:rPr>
                  <w:b/>
                  <w:bCs/>
                  <w:sz w:val="22"/>
                  <w:szCs w:val="22"/>
                </w:rPr>
                <w:delText>40/20</w:delText>
              </w:r>
              <w:r>
                <w:rPr>
                  <w:b/>
                  <w:bCs/>
                  <w:sz w:val="22"/>
                  <w:szCs w:val="22"/>
                </w:rPr>
                <w:delText> </w:delText>
              </w:r>
              <w:r w:rsidRPr="008912CF">
                <w:rPr>
                  <w:b/>
                  <w:bCs/>
                  <w:sz w:val="22"/>
                  <w:szCs w:val="22"/>
                </w:rPr>
                <w:delText xml:space="preserve">mg em semanas alternadas </w:delText>
              </w:r>
            </w:del>
          </w:p>
        </w:tc>
        <w:tc>
          <w:tcPr>
            <w:tcW w:w="1619" w:type="dxa"/>
            <w:tcBorders>
              <w:top w:val="single" w:sz="6" w:space="0" w:color="000000"/>
              <w:left w:val="single" w:sz="6" w:space="0" w:color="000000"/>
              <w:bottom w:val="single" w:sz="6" w:space="0" w:color="000000"/>
              <w:right w:val="single" w:sz="6" w:space="0" w:color="000000"/>
            </w:tcBorders>
          </w:tcPr>
          <w:p w14:paraId="6C159382" w14:textId="6E037ECF" w:rsidR="00D105CA" w:rsidRPr="008912CF" w:rsidRDefault="00615769" w:rsidP="00D105CA">
            <w:pPr>
              <w:keepLines/>
              <w:tabs>
                <w:tab w:val="left" w:pos="-1080"/>
              </w:tabs>
              <w:autoSpaceDE w:val="0"/>
              <w:autoSpaceDN w:val="0"/>
              <w:adjustRightInd w:val="0"/>
              <w:ind w:left="15"/>
              <w:jc w:val="center"/>
              <w:rPr>
                <w:del w:id="3620" w:author="AbbVie2" w:date="2025-05-13T16:36:00Z"/>
                <w:b/>
                <w:bCs/>
                <w:sz w:val="22"/>
                <w:szCs w:val="22"/>
              </w:rPr>
            </w:pPr>
            <w:del w:id="3621" w:author="AbbVie2" w:date="2025-05-13T16:36:00Z">
              <w:r w:rsidRPr="008912CF">
                <w:rPr>
                  <w:b/>
                  <w:bCs/>
                  <w:sz w:val="22"/>
                  <w:szCs w:val="22"/>
                </w:rPr>
                <w:delText>Baixa Dose</w:delText>
              </w:r>
            </w:del>
          </w:p>
          <w:p w14:paraId="12C8C43C" w14:textId="35C6ABAB" w:rsidR="00D105CA" w:rsidRPr="008912CF" w:rsidRDefault="00615769" w:rsidP="00D105CA">
            <w:pPr>
              <w:keepLines/>
              <w:tabs>
                <w:tab w:val="left" w:pos="-1080"/>
              </w:tabs>
              <w:autoSpaceDE w:val="0"/>
              <w:autoSpaceDN w:val="0"/>
              <w:adjustRightInd w:val="0"/>
              <w:ind w:left="15"/>
              <w:jc w:val="center"/>
              <w:rPr>
                <w:del w:id="3622" w:author="AbbVie2" w:date="2025-05-13T16:36:00Z"/>
                <w:b/>
                <w:bCs/>
                <w:sz w:val="22"/>
                <w:szCs w:val="22"/>
              </w:rPr>
            </w:pPr>
            <w:del w:id="3623" w:author="AbbVie2" w:date="2025-05-13T16:36:00Z">
              <w:r w:rsidRPr="008912CF">
                <w:rPr>
                  <w:b/>
                  <w:bCs/>
                  <w:sz w:val="22"/>
                  <w:szCs w:val="22"/>
                </w:rPr>
                <w:delText>20/10</w:delText>
              </w:r>
              <w:r>
                <w:rPr>
                  <w:b/>
                  <w:bCs/>
                  <w:sz w:val="22"/>
                  <w:szCs w:val="22"/>
                </w:rPr>
                <w:delText> </w:delText>
              </w:r>
              <w:r w:rsidRPr="008912CF">
                <w:rPr>
                  <w:b/>
                  <w:bCs/>
                  <w:sz w:val="22"/>
                  <w:szCs w:val="22"/>
                </w:rPr>
                <w:delText xml:space="preserve">mg em semanas alternadas </w:delText>
              </w:r>
            </w:del>
          </w:p>
        </w:tc>
        <w:tc>
          <w:tcPr>
            <w:tcW w:w="1140" w:type="dxa"/>
            <w:tcBorders>
              <w:top w:val="single" w:sz="6" w:space="0" w:color="000000"/>
              <w:left w:val="single" w:sz="6" w:space="0" w:color="000000"/>
              <w:bottom w:val="single" w:sz="6" w:space="0" w:color="000000"/>
              <w:right w:val="single" w:sz="6" w:space="0" w:color="000000"/>
            </w:tcBorders>
          </w:tcPr>
          <w:p w14:paraId="3B1CFBC0" w14:textId="2C94E10D" w:rsidR="00D105CA" w:rsidRPr="008912CF" w:rsidRDefault="00615769" w:rsidP="00D105CA">
            <w:pPr>
              <w:keepLines/>
              <w:tabs>
                <w:tab w:val="left" w:pos="-1080"/>
              </w:tabs>
              <w:autoSpaceDE w:val="0"/>
              <w:autoSpaceDN w:val="0"/>
              <w:adjustRightInd w:val="0"/>
              <w:ind w:left="15"/>
              <w:jc w:val="center"/>
              <w:rPr>
                <w:del w:id="3624" w:author="AbbVie2" w:date="2025-05-13T16:36:00Z"/>
                <w:b/>
                <w:bCs/>
                <w:sz w:val="22"/>
                <w:szCs w:val="22"/>
              </w:rPr>
            </w:pPr>
            <w:del w:id="3625" w:author="AbbVie2" w:date="2025-05-13T16:36:00Z">
              <w:r w:rsidRPr="008912CF">
                <w:rPr>
                  <w:b/>
                  <w:bCs/>
                  <w:sz w:val="22"/>
                  <w:szCs w:val="22"/>
                </w:rPr>
                <w:delText>valor</w:delText>
              </w:r>
              <w:r>
                <w:rPr>
                  <w:b/>
                  <w:bCs/>
                  <w:sz w:val="22"/>
                  <w:szCs w:val="22"/>
                </w:rPr>
                <w:delText>-p</w:delText>
              </w:r>
              <w:r w:rsidRPr="008912CF">
                <w:rPr>
                  <w:b/>
                  <w:bCs/>
                  <w:sz w:val="22"/>
                  <w:szCs w:val="22"/>
                  <w:vertAlign w:val="superscript"/>
                </w:rPr>
                <w:delText xml:space="preserve"> 1</w:delText>
              </w:r>
            </w:del>
          </w:p>
        </w:tc>
      </w:tr>
      <w:tr w:rsidR="00A7162A" w14:paraId="0D9D7A6C" w14:textId="39B39F79" w:rsidTr="00D105CA">
        <w:trPr>
          <w:jc w:val="center"/>
          <w:del w:id="3626" w:author="AbbVie2" w:date="2025-05-13T16:36:00Z"/>
        </w:trPr>
        <w:tc>
          <w:tcPr>
            <w:tcW w:w="4025" w:type="dxa"/>
            <w:tcBorders>
              <w:top w:val="single" w:sz="6" w:space="0" w:color="000000"/>
              <w:left w:val="single" w:sz="6" w:space="0" w:color="000000"/>
              <w:bottom w:val="single" w:sz="6" w:space="0" w:color="000000"/>
              <w:right w:val="single" w:sz="6" w:space="0" w:color="000000"/>
            </w:tcBorders>
            <w:vAlign w:val="bottom"/>
          </w:tcPr>
          <w:p w14:paraId="3C875609" w14:textId="5FB157FE" w:rsidR="00D105CA" w:rsidRPr="008912CF" w:rsidRDefault="00615769" w:rsidP="00D105CA">
            <w:pPr>
              <w:keepLines/>
              <w:tabs>
                <w:tab w:val="left" w:pos="-1080"/>
              </w:tabs>
              <w:autoSpaceDE w:val="0"/>
              <w:autoSpaceDN w:val="0"/>
              <w:adjustRightInd w:val="0"/>
              <w:rPr>
                <w:del w:id="3627" w:author="AbbVie2" w:date="2025-05-13T16:36:00Z"/>
                <w:b/>
                <w:sz w:val="22"/>
                <w:szCs w:val="22"/>
              </w:rPr>
            </w:pPr>
            <w:del w:id="3628" w:author="AbbVie2" w:date="2025-05-13T16:36:00Z">
              <w:r w:rsidRPr="008912CF">
                <w:rPr>
                  <w:b/>
                  <w:sz w:val="22"/>
                  <w:szCs w:val="22"/>
                </w:rPr>
                <w:delText>Descontinuação de corticosteroides</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2EFC62CC" w14:textId="04C44FB3" w:rsidR="00D105CA" w:rsidRPr="008912CF" w:rsidRDefault="00615769" w:rsidP="00D105CA">
            <w:pPr>
              <w:keepLines/>
              <w:tabs>
                <w:tab w:val="left" w:pos="-1080"/>
              </w:tabs>
              <w:autoSpaceDE w:val="0"/>
              <w:autoSpaceDN w:val="0"/>
              <w:adjustRightInd w:val="0"/>
              <w:ind w:left="15"/>
              <w:jc w:val="center"/>
              <w:rPr>
                <w:del w:id="3629" w:author="AbbVie2" w:date="2025-05-13T16:36:00Z"/>
                <w:b/>
                <w:sz w:val="22"/>
                <w:szCs w:val="22"/>
              </w:rPr>
            </w:pPr>
            <w:del w:id="3630" w:author="AbbVie2" w:date="2025-05-13T16:36:00Z">
              <w:r w:rsidRPr="008912CF">
                <w:rPr>
                  <w:b/>
                  <w:sz w:val="22"/>
                  <w:szCs w:val="22"/>
                </w:rPr>
                <w:delText>N= 33</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2367098C" w14:textId="764A5F36" w:rsidR="00D105CA" w:rsidRPr="008912CF" w:rsidRDefault="00615769" w:rsidP="00D105CA">
            <w:pPr>
              <w:keepLines/>
              <w:tabs>
                <w:tab w:val="left" w:pos="-1080"/>
              </w:tabs>
              <w:autoSpaceDE w:val="0"/>
              <w:autoSpaceDN w:val="0"/>
              <w:adjustRightInd w:val="0"/>
              <w:ind w:left="15"/>
              <w:jc w:val="center"/>
              <w:rPr>
                <w:del w:id="3631" w:author="AbbVie2" w:date="2025-05-13T16:36:00Z"/>
                <w:b/>
                <w:sz w:val="22"/>
                <w:szCs w:val="22"/>
              </w:rPr>
            </w:pPr>
            <w:del w:id="3632" w:author="AbbVie2" w:date="2025-05-13T16:36:00Z">
              <w:r w:rsidRPr="008912CF">
                <w:rPr>
                  <w:b/>
                  <w:sz w:val="22"/>
                  <w:szCs w:val="22"/>
                </w:rPr>
                <w:delText>N=38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42E606BE" w14:textId="1E33864B" w:rsidR="00D105CA" w:rsidRPr="008912CF" w:rsidRDefault="00D105CA" w:rsidP="00D105CA">
            <w:pPr>
              <w:autoSpaceDE w:val="0"/>
              <w:autoSpaceDN w:val="0"/>
              <w:adjustRightInd w:val="0"/>
              <w:ind w:left="15"/>
              <w:rPr>
                <w:del w:id="3633" w:author="AbbVie2" w:date="2025-05-13T16:36:00Z"/>
                <w:b/>
                <w:sz w:val="22"/>
                <w:szCs w:val="22"/>
              </w:rPr>
            </w:pPr>
          </w:p>
        </w:tc>
      </w:tr>
      <w:tr w:rsidR="00A7162A" w14:paraId="71F07D89" w14:textId="1975A6B6" w:rsidTr="00D105CA">
        <w:trPr>
          <w:jc w:val="center"/>
          <w:del w:id="3634" w:author="AbbVie2" w:date="2025-05-13T16:36:00Z"/>
        </w:trPr>
        <w:tc>
          <w:tcPr>
            <w:tcW w:w="4025" w:type="dxa"/>
            <w:tcBorders>
              <w:top w:val="single" w:sz="6" w:space="0" w:color="000000"/>
              <w:left w:val="single" w:sz="6" w:space="0" w:color="000000"/>
              <w:bottom w:val="single" w:sz="6" w:space="0" w:color="000000"/>
              <w:right w:val="single" w:sz="6" w:space="0" w:color="000000"/>
            </w:tcBorders>
            <w:vAlign w:val="bottom"/>
          </w:tcPr>
          <w:p w14:paraId="6D6E3B14" w14:textId="4EBDBC6C" w:rsidR="00D105CA" w:rsidRPr="008912CF" w:rsidRDefault="00615769" w:rsidP="00D105CA">
            <w:pPr>
              <w:keepLines/>
              <w:tabs>
                <w:tab w:val="left" w:pos="-1080"/>
              </w:tabs>
              <w:autoSpaceDE w:val="0"/>
              <w:autoSpaceDN w:val="0"/>
              <w:adjustRightInd w:val="0"/>
              <w:rPr>
                <w:del w:id="3635" w:author="AbbVie2" w:date="2025-05-13T16:36:00Z"/>
                <w:bCs/>
                <w:sz w:val="22"/>
                <w:szCs w:val="22"/>
              </w:rPr>
            </w:pPr>
            <w:del w:id="3636" w:author="AbbVie2" w:date="2025-05-13T16:36:00Z">
              <w:r w:rsidRPr="008912CF">
                <w:rPr>
                  <w:bCs/>
                  <w:sz w:val="22"/>
                  <w:szCs w:val="22"/>
                </w:rPr>
                <w:delText>Semana</w:delText>
              </w:r>
              <w:r>
                <w:rPr>
                  <w:bCs/>
                  <w:sz w:val="22"/>
                  <w:szCs w:val="22"/>
                </w:rPr>
                <w:delText> </w:delText>
              </w:r>
              <w:r w:rsidRPr="008912CF">
                <w:rPr>
                  <w:bCs/>
                  <w:sz w:val="22"/>
                  <w:szCs w:val="22"/>
                </w:rPr>
                <w:delText>26</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38DD50CC" w14:textId="704059DB" w:rsidR="00D105CA" w:rsidRPr="008912CF" w:rsidRDefault="00615769" w:rsidP="00D105CA">
            <w:pPr>
              <w:keepLines/>
              <w:tabs>
                <w:tab w:val="left" w:pos="-1080"/>
              </w:tabs>
              <w:autoSpaceDE w:val="0"/>
              <w:autoSpaceDN w:val="0"/>
              <w:adjustRightInd w:val="0"/>
              <w:ind w:left="15"/>
              <w:jc w:val="center"/>
              <w:rPr>
                <w:del w:id="3637" w:author="AbbVie2" w:date="2025-05-13T16:36:00Z"/>
                <w:sz w:val="22"/>
                <w:szCs w:val="22"/>
              </w:rPr>
            </w:pPr>
            <w:del w:id="3638" w:author="AbbVie2" w:date="2025-05-13T16:36:00Z">
              <w:r w:rsidRPr="008912CF">
                <w:rPr>
                  <w:sz w:val="22"/>
                  <w:szCs w:val="22"/>
                </w:rPr>
                <w:delText>84,8%</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1D71768E" w14:textId="4EDFA8E6" w:rsidR="00D105CA" w:rsidRPr="008912CF" w:rsidRDefault="00615769" w:rsidP="00D105CA">
            <w:pPr>
              <w:keepLines/>
              <w:tabs>
                <w:tab w:val="left" w:pos="-1080"/>
              </w:tabs>
              <w:autoSpaceDE w:val="0"/>
              <w:autoSpaceDN w:val="0"/>
              <w:adjustRightInd w:val="0"/>
              <w:ind w:left="15"/>
              <w:jc w:val="center"/>
              <w:rPr>
                <w:del w:id="3639" w:author="AbbVie2" w:date="2025-05-13T16:36:00Z"/>
                <w:sz w:val="22"/>
                <w:szCs w:val="22"/>
              </w:rPr>
            </w:pPr>
            <w:del w:id="3640" w:author="AbbVie2" w:date="2025-05-13T16:36:00Z">
              <w:r w:rsidRPr="008912CF">
                <w:rPr>
                  <w:sz w:val="22"/>
                  <w:szCs w:val="22"/>
                </w:rPr>
                <w:delText>65,8%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24DDF443" w14:textId="68622D6D" w:rsidR="00D105CA" w:rsidRPr="008912CF" w:rsidRDefault="00615769" w:rsidP="00D105CA">
            <w:pPr>
              <w:keepLines/>
              <w:tabs>
                <w:tab w:val="left" w:pos="-1080"/>
              </w:tabs>
              <w:autoSpaceDE w:val="0"/>
              <w:autoSpaceDN w:val="0"/>
              <w:adjustRightInd w:val="0"/>
              <w:ind w:left="15"/>
              <w:jc w:val="center"/>
              <w:rPr>
                <w:del w:id="3641" w:author="AbbVie2" w:date="2025-05-13T16:36:00Z"/>
                <w:sz w:val="22"/>
                <w:szCs w:val="22"/>
              </w:rPr>
            </w:pPr>
            <w:del w:id="3642" w:author="AbbVie2" w:date="2025-05-13T16:36:00Z">
              <w:r w:rsidRPr="008912CF">
                <w:rPr>
                  <w:sz w:val="22"/>
                  <w:szCs w:val="22"/>
                </w:rPr>
                <w:delText>0,066</w:delText>
              </w:r>
            </w:del>
          </w:p>
        </w:tc>
      </w:tr>
      <w:tr w:rsidR="00A7162A" w14:paraId="1196B2E1" w14:textId="2A66B587" w:rsidTr="00D105CA">
        <w:trPr>
          <w:jc w:val="center"/>
          <w:del w:id="3643" w:author="AbbVie2" w:date="2025-05-13T16:36:00Z"/>
        </w:trPr>
        <w:tc>
          <w:tcPr>
            <w:tcW w:w="4025" w:type="dxa"/>
            <w:tcBorders>
              <w:top w:val="single" w:sz="6" w:space="0" w:color="000000"/>
              <w:left w:val="single" w:sz="6" w:space="0" w:color="000000"/>
              <w:bottom w:val="single" w:sz="6" w:space="0" w:color="000000"/>
              <w:right w:val="single" w:sz="6" w:space="0" w:color="000000"/>
            </w:tcBorders>
            <w:vAlign w:val="bottom"/>
          </w:tcPr>
          <w:p w14:paraId="320CF0C0" w14:textId="6F01A335" w:rsidR="00D105CA" w:rsidRPr="008912CF" w:rsidRDefault="00615769" w:rsidP="00D105CA">
            <w:pPr>
              <w:keepLines/>
              <w:tabs>
                <w:tab w:val="left" w:pos="-1080"/>
              </w:tabs>
              <w:autoSpaceDE w:val="0"/>
              <w:autoSpaceDN w:val="0"/>
              <w:adjustRightInd w:val="0"/>
              <w:rPr>
                <w:del w:id="3644" w:author="AbbVie2" w:date="2025-05-13T16:36:00Z"/>
                <w:bCs/>
                <w:sz w:val="22"/>
                <w:szCs w:val="22"/>
              </w:rPr>
            </w:pPr>
            <w:del w:id="3645" w:author="AbbVie2" w:date="2025-05-13T16:36:00Z">
              <w:r w:rsidRPr="008912CF">
                <w:rPr>
                  <w:bCs/>
                  <w:sz w:val="22"/>
                  <w:szCs w:val="22"/>
                </w:rPr>
                <w:delText>Semana</w:delText>
              </w:r>
              <w:r>
                <w:rPr>
                  <w:bCs/>
                  <w:sz w:val="22"/>
                  <w:szCs w:val="22"/>
                </w:rPr>
                <w:delText> </w:delText>
              </w:r>
              <w:r w:rsidRPr="008912CF">
                <w:rPr>
                  <w:bCs/>
                  <w:sz w:val="22"/>
                  <w:szCs w:val="22"/>
                </w:rPr>
                <w:delText>52</w:delText>
              </w:r>
            </w:del>
          </w:p>
        </w:tc>
        <w:tc>
          <w:tcPr>
            <w:tcW w:w="1656" w:type="dxa"/>
            <w:tcBorders>
              <w:top w:val="single" w:sz="6" w:space="0" w:color="000000"/>
              <w:left w:val="single" w:sz="6" w:space="0" w:color="000000"/>
              <w:bottom w:val="single" w:sz="6" w:space="0" w:color="000000"/>
              <w:right w:val="single" w:sz="6" w:space="0" w:color="000000"/>
            </w:tcBorders>
          </w:tcPr>
          <w:p w14:paraId="357CB285" w14:textId="061799BD" w:rsidR="00D105CA" w:rsidRPr="008912CF" w:rsidRDefault="00615769" w:rsidP="00D105CA">
            <w:pPr>
              <w:keepLines/>
              <w:tabs>
                <w:tab w:val="left" w:pos="-1080"/>
              </w:tabs>
              <w:autoSpaceDE w:val="0"/>
              <w:autoSpaceDN w:val="0"/>
              <w:adjustRightInd w:val="0"/>
              <w:ind w:left="15"/>
              <w:jc w:val="center"/>
              <w:rPr>
                <w:del w:id="3646" w:author="AbbVie2" w:date="2025-05-13T16:36:00Z"/>
                <w:sz w:val="22"/>
                <w:szCs w:val="22"/>
              </w:rPr>
            </w:pPr>
            <w:del w:id="3647" w:author="AbbVie2" w:date="2025-05-13T16:36:00Z">
              <w:r w:rsidRPr="008912CF">
                <w:rPr>
                  <w:sz w:val="22"/>
                  <w:szCs w:val="22"/>
                </w:rPr>
                <w:delText>69,7%</w:delText>
              </w:r>
            </w:del>
          </w:p>
        </w:tc>
        <w:tc>
          <w:tcPr>
            <w:tcW w:w="1619" w:type="dxa"/>
            <w:tcBorders>
              <w:top w:val="single" w:sz="6" w:space="0" w:color="000000"/>
              <w:left w:val="single" w:sz="6" w:space="0" w:color="000000"/>
              <w:bottom w:val="single" w:sz="6" w:space="0" w:color="000000"/>
              <w:right w:val="single" w:sz="6" w:space="0" w:color="000000"/>
            </w:tcBorders>
          </w:tcPr>
          <w:p w14:paraId="0BD957B6" w14:textId="6A2B8CF7" w:rsidR="00D105CA" w:rsidRPr="008912CF" w:rsidRDefault="00615769" w:rsidP="00D105CA">
            <w:pPr>
              <w:keepLines/>
              <w:tabs>
                <w:tab w:val="left" w:pos="-1080"/>
              </w:tabs>
              <w:autoSpaceDE w:val="0"/>
              <w:autoSpaceDN w:val="0"/>
              <w:adjustRightInd w:val="0"/>
              <w:ind w:left="15"/>
              <w:jc w:val="center"/>
              <w:rPr>
                <w:del w:id="3648" w:author="AbbVie2" w:date="2025-05-13T16:36:00Z"/>
                <w:sz w:val="22"/>
                <w:szCs w:val="22"/>
              </w:rPr>
            </w:pPr>
            <w:del w:id="3649" w:author="AbbVie2" w:date="2025-05-13T16:36:00Z">
              <w:r w:rsidRPr="008912CF">
                <w:rPr>
                  <w:sz w:val="22"/>
                  <w:szCs w:val="22"/>
                </w:rPr>
                <w:delText>60,5%</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2C0687DB" w14:textId="5B24B5FE" w:rsidR="00D105CA" w:rsidRPr="008912CF" w:rsidRDefault="00615769" w:rsidP="00D105CA">
            <w:pPr>
              <w:keepLines/>
              <w:tabs>
                <w:tab w:val="left" w:pos="-1080"/>
              </w:tabs>
              <w:autoSpaceDE w:val="0"/>
              <w:autoSpaceDN w:val="0"/>
              <w:adjustRightInd w:val="0"/>
              <w:ind w:left="15"/>
              <w:jc w:val="center"/>
              <w:rPr>
                <w:del w:id="3650" w:author="AbbVie2" w:date="2025-05-13T16:36:00Z"/>
                <w:sz w:val="22"/>
                <w:szCs w:val="22"/>
              </w:rPr>
            </w:pPr>
            <w:del w:id="3651" w:author="AbbVie2" w:date="2025-05-13T16:36:00Z">
              <w:r w:rsidRPr="008912CF">
                <w:rPr>
                  <w:sz w:val="22"/>
                  <w:szCs w:val="22"/>
                </w:rPr>
                <w:delText>0,420</w:delText>
              </w:r>
            </w:del>
          </w:p>
        </w:tc>
      </w:tr>
      <w:tr w:rsidR="00A7162A" w14:paraId="686370D4" w14:textId="75302011" w:rsidTr="00D105CA">
        <w:trPr>
          <w:jc w:val="center"/>
          <w:del w:id="3652" w:author="AbbVie2" w:date="2025-05-13T16:36:00Z"/>
        </w:trPr>
        <w:tc>
          <w:tcPr>
            <w:tcW w:w="4025" w:type="dxa"/>
            <w:tcBorders>
              <w:top w:val="single" w:sz="6" w:space="0" w:color="000000"/>
              <w:left w:val="single" w:sz="6" w:space="0" w:color="000000"/>
              <w:bottom w:val="single" w:sz="6" w:space="0" w:color="000000"/>
              <w:right w:val="single" w:sz="6" w:space="0" w:color="000000"/>
            </w:tcBorders>
            <w:vAlign w:val="bottom"/>
          </w:tcPr>
          <w:p w14:paraId="5D591ECE" w14:textId="0F33C75B" w:rsidR="00D105CA" w:rsidRPr="008912CF" w:rsidRDefault="00615769" w:rsidP="00D105CA">
            <w:pPr>
              <w:keepLines/>
              <w:tabs>
                <w:tab w:val="left" w:pos="-1080"/>
              </w:tabs>
              <w:autoSpaceDE w:val="0"/>
              <w:autoSpaceDN w:val="0"/>
              <w:adjustRightInd w:val="0"/>
              <w:rPr>
                <w:del w:id="3653" w:author="AbbVie2" w:date="2025-05-13T16:36:00Z"/>
                <w:b/>
                <w:sz w:val="22"/>
                <w:szCs w:val="22"/>
              </w:rPr>
            </w:pPr>
            <w:del w:id="3654" w:author="AbbVie2" w:date="2025-05-13T16:36:00Z">
              <w:r w:rsidRPr="008912CF">
                <w:rPr>
                  <w:b/>
                  <w:sz w:val="22"/>
                  <w:szCs w:val="22"/>
                </w:rPr>
                <w:delText>Descontinuação de Imunomoduladores</w:delText>
              </w:r>
              <w:r w:rsidRPr="008912CF">
                <w:rPr>
                  <w:b/>
                  <w:sz w:val="22"/>
                  <w:szCs w:val="22"/>
                  <w:vertAlign w:val="superscript"/>
                </w:rPr>
                <w:delText>2</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3EFFA019" w14:textId="7E4DFED8" w:rsidR="00D105CA" w:rsidRPr="008912CF" w:rsidRDefault="00615769" w:rsidP="00D105CA">
            <w:pPr>
              <w:keepLines/>
              <w:tabs>
                <w:tab w:val="left" w:pos="-1080"/>
              </w:tabs>
              <w:autoSpaceDE w:val="0"/>
              <w:autoSpaceDN w:val="0"/>
              <w:adjustRightInd w:val="0"/>
              <w:ind w:left="15"/>
              <w:jc w:val="center"/>
              <w:rPr>
                <w:del w:id="3655" w:author="AbbVie2" w:date="2025-05-13T16:36:00Z"/>
                <w:b/>
                <w:sz w:val="22"/>
                <w:szCs w:val="22"/>
              </w:rPr>
            </w:pPr>
            <w:del w:id="3656" w:author="AbbVie2" w:date="2025-05-13T16:36:00Z">
              <w:r w:rsidRPr="008912CF">
                <w:rPr>
                  <w:b/>
                  <w:sz w:val="22"/>
                  <w:szCs w:val="22"/>
                </w:rPr>
                <w:delText>N=60</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6FADC20F" w14:textId="782D0E18" w:rsidR="00D105CA" w:rsidRPr="008912CF" w:rsidRDefault="00615769" w:rsidP="00D105CA">
            <w:pPr>
              <w:keepLines/>
              <w:tabs>
                <w:tab w:val="left" w:pos="-1080"/>
              </w:tabs>
              <w:autoSpaceDE w:val="0"/>
              <w:autoSpaceDN w:val="0"/>
              <w:adjustRightInd w:val="0"/>
              <w:ind w:left="15"/>
              <w:jc w:val="center"/>
              <w:rPr>
                <w:del w:id="3657" w:author="AbbVie2" w:date="2025-05-13T16:36:00Z"/>
                <w:b/>
                <w:sz w:val="22"/>
                <w:szCs w:val="22"/>
              </w:rPr>
            </w:pPr>
            <w:del w:id="3658" w:author="AbbVie2" w:date="2025-05-13T16:36:00Z">
              <w:r w:rsidRPr="008912CF">
                <w:rPr>
                  <w:b/>
                  <w:sz w:val="22"/>
                  <w:szCs w:val="22"/>
                </w:rPr>
                <w:delText>N=57</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77FAB7A0" w14:textId="73829F8F" w:rsidR="00D105CA" w:rsidRPr="008912CF" w:rsidRDefault="00D105CA" w:rsidP="00D105CA">
            <w:pPr>
              <w:autoSpaceDE w:val="0"/>
              <w:autoSpaceDN w:val="0"/>
              <w:adjustRightInd w:val="0"/>
              <w:ind w:left="15"/>
              <w:rPr>
                <w:del w:id="3659" w:author="AbbVie2" w:date="2025-05-13T16:36:00Z"/>
                <w:b/>
                <w:sz w:val="22"/>
                <w:szCs w:val="22"/>
              </w:rPr>
            </w:pPr>
          </w:p>
        </w:tc>
      </w:tr>
      <w:tr w:rsidR="00A7162A" w14:paraId="2D5A6CC1" w14:textId="4CDD1C22" w:rsidTr="00D105CA">
        <w:trPr>
          <w:jc w:val="center"/>
          <w:del w:id="3660" w:author="AbbVie2" w:date="2025-05-13T16:36:00Z"/>
        </w:trPr>
        <w:tc>
          <w:tcPr>
            <w:tcW w:w="4025" w:type="dxa"/>
            <w:tcBorders>
              <w:top w:val="single" w:sz="6" w:space="0" w:color="000000"/>
              <w:left w:val="single" w:sz="6" w:space="0" w:color="000000"/>
              <w:bottom w:val="single" w:sz="6" w:space="0" w:color="000000"/>
              <w:right w:val="single" w:sz="6" w:space="0" w:color="000000"/>
            </w:tcBorders>
          </w:tcPr>
          <w:p w14:paraId="49EC7106" w14:textId="1B260A81" w:rsidR="00D105CA" w:rsidRPr="008912CF" w:rsidRDefault="00615769" w:rsidP="00D105CA">
            <w:pPr>
              <w:keepLines/>
              <w:tabs>
                <w:tab w:val="left" w:pos="-1080"/>
              </w:tabs>
              <w:autoSpaceDE w:val="0"/>
              <w:autoSpaceDN w:val="0"/>
              <w:adjustRightInd w:val="0"/>
              <w:rPr>
                <w:del w:id="3661" w:author="AbbVie2" w:date="2025-05-13T16:36:00Z"/>
                <w:bCs/>
                <w:sz w:val="22"/>
                <w:szCs w:val="22"/>
              </w:rPr>
            </w:pPr>
            <w:del w:id="3662" w:author="AbbVie2" w:date="2025-05-13T16:36:00Z">
              <w:r w:rsidRPr="008912CF">
                <w:rPr>
                  <w:bCs/>
                  <w:sz w:val="22"/>
                  <w:szCs w:val="22"/>
                </w:rPr>
                <w:delText>Semana</w:delText>
              </w:r>
              <w:r>
                <w:rPr>
                  <w:bCs/>
                  <w:sz w:val="22"/>
                  <w:szCs w:val="22"/>
                </w:rPr>
                <w:delText> </w:delText>
              </w:r>
              <w:r w:rsidRPr="008912CF">
                <w:rPr>
                  <w:bCs/>
                  <w:sz w:val="22"/>
                  <w:szCs w:val="22"/>
                </w:rPr>
                <w:delText>52</w:delText>
              </w:r>
            </w:del>
          </w:p>
        </w:tc>
        <w:tc>
          <w:tcPr>
            <w:tcW w:w="1656" w:type="dxa"/>
            <w:tcBorders>
              <w:top w:val="single" w:sz="6" w:space="0" w:color="000000"/>
              <w:left w:val="single" w:sz="6" w:space="0" w:color="000000"/>
              <w:bottom w:val="single" w:sz="6" w:space="0" w:color="000000"/>
              <w:right w:val="single" w:sz="6" w:space="0" w:color="000000"/>
            </w:tcBorders>
          </w:tcPr>
          <w:p w14:paraId="0EB8BE43" w14:textId="13467C1E" w:rsidR="00D105CA" w:rsidRPr="008912CF" w:rsidRDefault="00615769" w:rsidP="00D105CA">
            <w:pPr>
              <w:keepLines/>
              <w:tabs>
                <w:tab w:val="left" w:pos="-1080"/>
              </w:tabs>
              <w:autoSpaceDE w:val="0"/>
              <w:autoSpaceDN w:val="0"/>
              <w:adjustRightInd w:val="0"/>
              <w:ind w:left="15"/>
              <w:jc w:val="center"/>
              <w:rPr>
                <w:del w:id="3663" w:author="AbbVie2" w:date="2025-05-13T16:36:00Z"/>
                <w:sz w:val="22"/>
                <w:szCs w:val="22"/>
              </w:rPr>
            </w:pPr>
            <w:del w:id="3664" w:author="AbbVie2" w:date="2025-05-13T16:36:00Z">
              <w:r w:rsidRPr="008912CF">
                <w:rPr>
                  <w:sz w:val="22"/>
                  <w:szCs w:val="22"/>
                </w:rPr>
                <w:delText>30,0%</w:delText>
              </w:r>
            </w:del>
          </w:p>
        </w:tc>
        <w:tc>
          <w:tcPr>
            <w:tcW w:w="1619" w:type="dxa"/>
            <w:tcBorders>
              <w:top w:val="single" w:sz="6" w:space="0" w:color="000000"/>
              <w:left w:val="single" w:sz="6" w:space="0" w:color="000000"/>
              <w:bottom w:val="single" w:sz="6" w:space="0" w:color="000000"/>
              <w:right w:val="single" w:sz="6" w:space="0" w:color="000000"/>
            </w:tcBorders>
          </w:tcPr>
          <w:p w14:paraId="6067C3F7" w14:textId="2DC95920" w:rsidR="00D105CA" w:rsidRPr="008912CF" w:rsidRDefault="00615769" w:rsidP="00D105CA">
            <w:pPr>
              <w:keepLines/>
              <w:tabs>
                <w:tab w:val="left" w:pos="-1080"/>
              </w:tabs>
              <w:autoSpaceDE w:val="0"/>
              <w:autoSpaceDN w:val="0"/>
              <w:adjustRightInd w:val="0"/>
              <w:ind w:left="15"/>
              <w:jc w:val="center"/>
              <w:rPr>
                <w:del w:id="3665" w:author="AbbVie2" w:date="2025-05-13T16:36:00Z"/>
                <w:sz w:val="22"/>
                <w:szCs w:val="22"/>
              </w:rPr>
            </w:pPr>
            <w:del w:id="3666" w:author="AbbVie2" w:date="2025-05-13T16:36:00Z">
              <w:r w:rsidRPr="008912CF">
                <w:rPr>
                  <w:sz w:val="22"/>
                  <w:szCs w:val="22"/>
                </w:rPr>
                <w:delText>29,8%</w:delText>
              </w:r>
            </w:del>
          </w:p>
        </w:tc>
        <w:tc>
          <w:tcPr>
            <w:tcW w:w="1140" w:type="dxa"/>
            <w:tcBorders>
              <w:top w:val="single" w:sz="6" w:space="0" w:color="000000"/>
              <w:left w:val="single" w:sz="6" w:space="0" w:color="000000"/>
              <w:bottom w:val="single" w:sz="6" w:space="0" w:color="000000"/>
              <w:right w:val="single" w:sz="6" w:space="0" w:color="000000"/>
            </w:tcBorders>
          </w:tcPr>
          <w:p w14:paraId="07D5BA58" w14:textId="0EB4E5B5" w:rsidR="00D105CA" w:rsidRPr="008912CF" w:rsidRDefault="00615769" w:rsidP="00D105CA">
            <w:pPr>
              <w:keepLines/>
              <w:tabs>
                <w:tab w:val="left" w:pos="-1080"/>
              </w:tabs>
              <w:autoSpaceDE w:val="0"/>
              <w:autoSpaceDN w:val="0"/>
              <w:adjustRightInd w:val="0"/>
              <w:ind w:left="15"/>
              <w:jc w:val="center"/>
              <w:rPr>
                <w:del w:id="3667" w:author="AbbVie2" w:date="2025-05-13T16:36:00Z"/>
                <w:sz w:val="22"/>
                <w:szCs w:val="22"/>
              </w:rPr>
            </w:pPr>
            <w:del w:id="3668" w:author="AbbVie2" w:date="2025-05-13T16:36:00Z">
              <w:r w:rsidRPr="008912CF">
                <w:rPr>
                  <w:sz w:val="22"/>
                  <w:szCs w:val="22"/>
                </w:rPr>
                <w:delText>0,983</w:delText>
              </w:r>
            </w:del>
          </w:p>
        </w:tc>
      </w:tr>
      <w:tr w:rsidR="00A7162A" w14:paraId="4139528C" w14:textId="1D39394B" w:rsidTr="00D105CA">
        <w:trPr>
          <w:jc w:val="center"/>
          <w:del w:id="3669" w:author="AbbVie2" w:date="2025-05-13T16:36:00Z"/>
        </w:trPr>
        <w:tc>
          <w:tcPr>
            <w:tcW w:w="4025" w:type="dxa"/>
            <w:tcBorders>
              <w:top w:val="single" w:sz="6" w:space="0" w:color="000000"/>
              <w:left w:val="single" w:sz="6" w:space="0" w:color="000000"/>
              <w:bottom w:val="single" w:sz="6" w:space="0" w:color="000000"/>
              <w:right w:val="single" w:sz="6" w:space="0" w:color="000000"/>
            </w:tcBorders>
          </w:tcPr>
          <w:p w14:paraId="010AF718" w14:textId="5E85596F" w:rsidR="00D105CA" w:rsidRPr="008912CF" w:rsidRDefault="00615769" w:rsidP="00D105CA">
            <w:pPr>
              <w:keepLines/>
              <w:tabs>
                <w:tab w:val="left" w:pos="-1080"/>
              </w:tabs>
              <w:autoSpaceDE w:val="0"/>
              <w:autoSpaceDN w:val="0"/>
              <w:adjustRightInd w:val="0"/>
              <w:rPr>
                <w:del w:id="3670" w:author="AbbVie2" w:date="2025-05-13T16:36:00Z"/>
                <w:b/>
                <w:bCs/>
                <w:sz w:val="22"/>
                <w:szCs w:val="22"/>
              </w:rPr>
            </w:pPr>
            <w:del w:id="3671" w:author="AbbVie2" w:date="2025-05-13T16:36:00Z">
              <w:r w:rsidRPr="008912CF">
                <w:rPr>
                  <w:b/>
                  <w:sz w:val="22"/>
                  <w:szCs w:val="22"/>
                </w:rPr>
                <w:delText xml:space="preserve">Remissão das fístulas </w:delText>
              </w:r>
              <w:r w:rsidRPr="008912CF">
                <w:rPr>
                  <w:b/>
                  <w:sz w:val="22"/>
                  <w:szCs w:val="22"/>
                  <w:vertAlign w:val="superscript"/>
                </w:rPr>
                <w:delText>3</w:delText>
              </w:r>
            </w:del>
          </w:p>
        </w:tc>
        <w:tc>
          <w:tcPr>
            <w:tcW w:w="1656" w:type="dxa"/>
            <w:tcBorders>
              <w:top w:val="single" w:sz="6" w:space="0" w:color="000000"/>
              <w:left w:val="single" w:sz="6" w:space="0" w:color="000000"/>
              <w:bottom w:val="single" w:sz="6" w:space="0" w:color="000000"/>
              <w:right w:val="single" w:sz="6" w:space="0" w:color="000000"/>
            </w:tcBorders>
          </w:tcPr>
          <w:p w14:paraId="1CB5F211" w14:textId="679B92C7" w:rsidR="00D105CA" w:rsidRPr="008912CF" w:rsidRDefault="00615769" w:rsidP="00D105CA">
            <w:pPr>
              <w:keepLines/>
              <w:tabs>
                <w:tab w:val="left" w:pos="-1080"/>
              </w:tabs>
              <w:autoSpaceDE w:val="0"/>
              <w:autoSpaceDN w:val="0"/>
              <w:adjustRightInd w:val="0"/>
              <w:ind w:left="15"/>
              <w:jc w:val="center"/>
              <w:rPr>
                <w:del w:id="3672" w:author="AbbVie2" w:date="2025-05-13T16:36:00Z"/>
                <w:b/>
                <w:sz w:val="22"/>
                <w:szCs w:val="22"/>
              </w:rPr>
            </w:pPr>
            <w:del w:id="3673" w:author="AbbVie2" w:date="2025-05-13T16:36:00Z">
              <w:r w:rsidRPr="008912CF">
                <w:rPr>
                  <w:b/>
                  <w:sz w:val="22"/>
                  <w:szCs w:val="22"/>
                </w:rPr>
                <w:delText>N=15</w:delText>
              </w:r>
            </w:del>
          </w:p>
        </w:tc>
        <w:tc>
          <w:tcPr>
            <w:tcW w:w="1619" w:type="dxa"/>
            <w:tcBorders>
              <w:top w:val="single" w:sz="6" w:space="0" w:color="000000"/>
              <w:left w:val="single" w:sz="6" w:space="0" w:color="000000"/>
              <w:bottom w:val="single" w:sz="6" w:space="0" w:color="000000"/>
              <w:right w:val="single" w:sz="6" w:space="0" w:color="000000"/>
            </w:tcBorders>
          </w:tcPr>
          <w:p w14:paraId="0B143F4F" w14:textId="756835B6" w:rsidR="00D105CA" w:rsidRPr="008912CF" w:rsidRDefault="00615769" w:rsidP="00D105CA">
            <w:pPr>
              <w:keepLines/>
              <w:tabs>
                <w:tab w:val="left" w:pos="-1080"/>
              </w:tabs>
              <w:autoSpaceDE w:val="0"/>
              <w:autoSpaceDN w:val="0"/>
              <w:adjustRightInd w:val="0"/>
              <w:ind w:left="15"/>
              <w:jc w:val="center"/>
              <w:rPr>
                <w:del w:id="3674" w:author="AbbVie2" w:date="2025-05-13T16:36:00Z"/>
                <w:b/>
                <w:sz w:val="22"/>
                <w:szCs w:val="22"/>
              </w:rPr>
            </w:pPr>
            <w:del w:id="3675" w:author="AbbVie2" w:date="2025-05-13T16:36:00Z">
              <w:r w:rsidRPr="008912CF">
                <w:rPr>
                  <w:b/>
                  <w:sz w:val="22"/>
                  <w:szCs w:val="22"/>
                </w:rPr>
                <w:delText>N=21</w:delText>
              </w:r>
            </w:del>
          </w:p>
        </w:tc>
        <w:tc>
          <w:tcPr>
            <w:tcW w:w="1140" w:type="dxa"/>
            <w:tcBorders>
              <w:top w:val="single" w:sz="6" w:space="0" w:color="000000"/>
              <w:left w:val="single" w:sz="6" w:space="0" w:color="000000"/>
              <w:bottom w:val="single" w:sz="6" w:space="0" w:color="000000"/>
              <w:right w:val="single" w:sz="6" w:space="0" w:color="000000"/>
            </w:tcBorders>
          </w:tcPr>
          <w:p w14:paraId="22CD8378" w14:textId="39E18F0A" w:rsidR="00D105CA" w:rsidRPr="008912CF" w:rsidRDefault="00D105CA" w:rsidP="00D105CA">
            <w:pPr>
              <w:keepLines/>
              <w:tabs>
                <w:tab w:val="left" w:pos="-1080"/>
              </w:tabs>
              <w:autoSpaceDE w:val="0"/>
              <w:autoSpaceDN w:val="0"/>
              <w:adjustRightInd w:val="0"/>
              <w:ind w:left="15"/>
              <w:jc w:val="center"/>
              <w:rPr>
                <w:del w:id="3676" w:author="AbbVie2" w:date="2025-05-13T16:36:00Z"/>
                <w:sz w:val="22"/>
                <w:szCs w:val="22"/>
              </w:rPr>
            </w:pPr>
          </w:p>
        </w:tc>
      </w:tr>
      <w:tr w:rsidR="00A7162A" w14:paraId="593BB7B1" w14:textId="577F6482" w:rsidTr="00D105CA">
        <w:trPr>
          <w:jc w:val="center"/>
          <w:del w:id="3677" w:author="AbbVie2" w:date="2025-05-13T16:36:00Z"/>
        </w:trPr>
        <w:tc>
          <w:tcPr>
            <w:tcW w:w="4025" w:type="dxa"/>
            <w:tcBorders>
              <w:top w:val="single" w:sz="6" w:space="0" w:color="000000"/>
              <w:left w:val="single" w:sz="6" w:space="0" w:color="000000"/>
              <w:bottom w:val="single" w:sz="6" w:space="0" w:color="000000"/>
              <w:right w:val="single" w:sz="6" w:space="0" w:color="000000"/>
            </w:tcBorders>
          </w:tcPr>
          <w:p w14:paraId="4F208CAD" w14:textId="0CA90E06" w:rsidR="00D105CA" w:rsidRPr="008912CF" w:rsidRDefault="00615769" w:rsidP="00D105CA">
            <w:pPr>
              <w:keepLines/>
              <w:tabs>
                <w:tab w:val="left" w:pos="-1080"/>
              </w:tabs>
              <w:autoSpaceDE w:val="0"/>
              <w:autoSpaceDN w:val="0"/>
              <w:adjustRightInd w:val="0"/>
              <w:rPr>
                <w:del w:id="3678" w:author="AbbVie2" w:date="2025-05-13T16:36:00Z"/>
                <w:bCs/>
                <w:sz w:val="22"/>
                <w:szCs w:val="22"/>
              </w:rPr>
            </w:pPr>
            <w:del w:id="3679" w:author="AbbVie2" w:date="2025-05-13T16:36:00Z">
              <w:r w:rsidRPr="008912CF">
                <w:rPr>
                  <w:bCs/>
                  <w:sz w:val="22"/>
                  <w:szCs w:val="22"/>
                </w:rPr>
                <w:delText>Semana</w:delText>
              </w:r>
              <w:r>
                <w:rPr>
                  <w:bCs/>
                  <w:sz w:val="22"/>
                  <w:szCs w:val="22"/>
                </w:rPr>
                <w:delText> </w:delText>
              </w:r>
              <w:r w:rsidRPr="008912CF">
                <w:rPr>
                  <w:bCs/>
                  <w:sz w:val="22"/>
                  <w:szCs w:val="22"/>
                </w:rPr>
                <w:delText>26</w:delText>
              </w:r>
            </w:del>
          </w:p>
        </w:tc>
        <w:tc>
          <w:tcPr>
            <w:tcW w:w="1656" w:type="dxa"/>
            <w:tcBorders>
              <w:top w:val="single" w:sz="6" w:space="0" w:color="000000"/>
              <w:left w:val="single" w:sz="6" w:space="0" w:color="000000"/>
              <w:bottom w:val="single" w:sz="6" w:space="0" w:color="000000"/>
              <w:right w:val="single" w:sz="6" w:space="0" w:color="000000"/>
            </w:tcBorders>
          </w:tcPr>
          <w:p w14:paraId="2EC1B9D7" w14:textId="26AAA886" w:rsidR="00D105CA" w:rsidRPr="008912CF" w:rsidRDefault="00615769" w:rsidP="00D105CA">
            <w:pPr>
              <w:keepLines/>
              <w:tabs>
                <w:tab w:val="left" w:pos="-1080"/>
              </w:tabs>
              <w:autoSpaceDE w:val="0"/>
              <w:autoSpaceDN w:val="0"/>
              <w:adjustRightInd w:val="0"/>
              <w:ind w:left="15"/>
              <w:jc w:val="center"/>
              <w:rPr>
                <w:del w:id="3680" w:author="AbbVie2" w:date="2025-05-13T16:36:00Z"/>
                <w:sz w:val="22"/>
                <w:szCs w:val="22"/>
              </w:rPr>
            </w:pPr>
            <w:del w:id="3681" w:author="AbbVie2" w:date="2025-05-13T16:36:00Z">
              <w:r w:rsidRPr="008912CF">
                <w:rPr>
                  <w:sz w:val="22"/>
                  <w:szCs w:val="22"/>
                </w:rPr>
                <w:delText>46,7%</w:delText>
              </w:r>
            </w:del>
          </w:p>
        </w:tc>
        <w:tc>
          <w:tcPr>
            <w:tcW w:w="1619" w:type="dxa"/>
            <w:tcBorders>
              <w:top w:val="single" w:sz="6" w:space="0" w:color="000000"/>
              <w:left w:val="single" w:sz="6" w:space="0" w:color="000000"/>
              <w:bottom w:val="single" w:sz="6" w:space="0" w:color="000000"/>
              <w:right w:val="single" w:sz="6" w:space="0" w:color="000000"/>
            </w:tcBorders>
          </w:tcPr>
          <w:p w14:paraId="590343A5" w14:textId="07C52848" w:rsidR="00D105CA" w:rsidRPr="008912CF" w:rsidRDefault="00615769" w:rsidP="00D105CA">
            <w:pPr>
              <w:keepLines/>
              <w:tabs>
                <w:tab w:val="left" w:pos="-1080"/>
              </w:tabs>
              <w:autoSpaceDE w:val="0"/>
              <w:autoSpaceDN w:val="0"/>
              <w:adjustRightInd w:val="0"/>
              <w:ind w:left="15"/>
              <w:jc w:val="center"/>
              <w:rPr>
                <w:del w:id="3682" w:author="AbbVie2" w:date="2025-05-13T16:36:00Z"/>
                <w:sz w:val="22"/>
                <w:szCs w:val="22"/>
              </w:rPr>
            </w:pPr>
            <w:del w:id="3683" w:author="AbbVie2" w:date="2025-05-13T16:36:00Z">
              <w:r w:rsidRPr="008912CF">
                <w:rPr>
                  <w:sz w:val="22"/>
                  <w:szCs w:val="22"/>
                </w:rPr>
                <w:delText>38,1%</w:delText>
              </w:r>
            </w:del>
          </w:p>
        </w:tc>
        <w:tc>
          <w:tcPr>
            <w:tcW w:w="1140" w:type="dxa"/>
            <w:tcBorders>
              <w:top w:val="single" w:sz="6" w:space="0" w:color="000000"/>
              <w:left w:val="single" w:sz="6" w:space="0" w:color="000000"/>
              <w:bottom w:val="single" w:sz="6" w:space="0" w:color="000000"/>
              <w:right w:val="single" w:sz="6" w:space="0" w:color="000000"/>
            </w:tcBorders>
          </w:tcPr>
          <w:p w14:paraId="6D470946" w14:textId="703C61C3" w:rsidR="00D105CA" w:rsidRPr="008912CF" w:rsidRDefault="00615769" w:rsidP="00D105CA">
            <w:pPr>
              <w:keepLines/>
              <w:tabs>
                <w:tab w:val="left" w:pos="-1080"/>
              </w:tabs>
              <w:autoSpaceDE w:val="0"/>
              <w:autoSpaceDN w:val="0"/>
              <w:adjustRightInd w:val="0"/>
              <w:ind w:left="15"/>
              <w:jc w:val="center"/>
              <w:rPr>
                <w:del w:id="3684" w:author="AbbVie2" w:date="2025-05-13T16:36:00Z"/>
                <w:sz w:val="22"/>
                <w:szCs w:val="22"/>
              </w:rPr>
            </w:pPr>
            <w:del w:id="3685" w:author="AbbVie2" w:date="2025-05-13T16:36:00Z">
              <w:r w:rsidRPr="008912CF">
                <w:rPr>
                  <w:sz w:val="22"/>
                  <w:szCs w:val="22"/>
                </w:rPr>
                <w:delText>0,608</w:delText>
              </w:r>
            </w:del>
          </w:p>
        </w:tc>
      </w:tr>
      <w:tr w:rsidR="00A7162A" w14:paraId="0508D77A" w14:textId="5D9B88B4" w:rsidTr="00D105CA">
        <w:trPr>
          <w:jc w:val="center"/>
          <w:del w:id="3686" w:author="AbbVie2" w:date="2025-05-13T16:36:00Z"/>
        </w:trPr>
        <w:tc>
          <w:tcPr>
            <w:tcW w:w="4025" w:type="dxa"/>
            <w:tcBorders>
              <w:top w:val="single" w:sz="6" w:space="0" w:color="000000"/>
              <w:left w:val="single" w:sz="6" w:space="0" w:color="000000"/>
              <w:bottom w:val="single" w:sz="4" w:space="0" w:color="auto"/>
              <w:right w:val="single" w:sz="6" w:space="0" w:color="000000"/>
            </w:tcBorders>
          </w:tcPr>
          <w:p w14:paraId="6302E57A" w14:textId="1B098E8A" w:rsidR="00D105CA" w:rsidRPr="008912CF" w:rsidRDefault="00615769" w:rsidP="00D105CA">
            <w:pPr>
              <w:keepLines/>
              <w:tabs>
                <w:tab w:val="left" w:pos="-1080"/>
              </w:tabs>
              <w:autoSpaceDE w:val="0"/>
              <w:autoSpaceDN w:val="0"/>
              <w:adjustRightInd w:val="0"/>
              <w:rPr>
                <w:del w:id="3687" w:author="AbbVie2" w:date="2025-05-13T16:36:00Z"/>
                <w:bCs/>
                <w:sz w:val="22"/>
                <w:szCs w:val="22"/>
              </w:rPr>
            </w:pPr>
            <w:del w:id="3688" w:author="AbbVie2" w:date="2025-05-13T16:36:00Z">
              <w:r w:rsidRPr="008912CF">
                <w:rPr>
                  <w:bCs/>
                  <w:sz w:val="22"/>
                  <w:szCs w:val="22"/>
                </w:rPr>
                <w:delText>Semana</w:delText>
              </w:r>
              <w:r>
                <w:rPr>
                  <w:bCs/>
                  <w:sz w:val="22"/>
                  <w:szCs w:val="22"/>
                </w:rPr>
                <w:delText> </w:delText>
              </w:r>
              <w:r w:rsidRPr="008912CF">
                <w:rPr>
                  <w:sz w:val="22"/>
                  <w:szCs w:val="22"/>
                </w:rPr>
                <w:delText>52</w:delText>
              </w:r>
            </w:del>
          </w:p>
        </w:tc>
        <w:tc>
          <w:tcPr>
            <w:tcW w:w="1656" w:type="dxa"/>
            <w:tcBorders>
              <w:top w:val="single" w:sz="6" w:space="0" w:color="000000"/>
              <w:left w:val="single" w:sz="6" w:space="0" w:color="000000"/>
              <w:bottom w:val="single" w:sz="4" w:space="0" w:color="auto"/>
              <w:right w:val="single" w:sz="6" w:space="0" w:color="000000"/>
            </w:tcBorders>
          </w:tcPr>
          <w:p w14:paraId="012A73E8" w14:textId="26541E16" w:rsidR="00D105CA" w:rsidRPr="008912CF" w:rsidRDefault="00615769" w:rsidP="00D105CA">
            <w:pPr>
              <w:keepLines/>
              <w:tabs>
                <w:tab w:val="left" w:pos="-1080"/>
              </w:tabs>
              <w:autoSpaceDE w:val="0"/>
              <w:autoSpaceDN w:val="0"/>
              <w:adjustRightInd w:val="0"/>
              <w:ind w:left="15"/>
              <w:jc w:val="center"/>
              <w:rPr>
                <w:del w:id="3689" w:author="AbbVie2" w:date="2025-05-13T16:36:00Z"/>
                <w:sz w:val="22"/>
                <w:szCs w:val="22"/>
              </w:rPr>
            </w:pPr>
            <w:del w:id="3690" w:author="AbbVie2" w:date="2025-05-13T16:36:00Z">
              <w:r w:rsidRPr="008912CF">
                <w:rPr>
                  <w:sz w:val="22"/>
                  <w:szCs w:val="22"/>
                </w:rPr>
                <w:delText>40,0%</w:delText>
              </w:r>
            </w:del>
          </w:p>
        </w:tc>
        <w:tc>
          <w:tcPr>
            <w:tcW w:w="1619" w:type="dxa"/>
            <w:tcBorders>
              <w:top w:val="single" w:sz="6" w:space="0" w:color="000000"/>
              <w:left w:val="single" w:sz="6" w:space="0" w:color="000000"/>
              <w:bottom w:val="single" w:sz="4" w:space="0" w:color="auto"/>
              <w:right w:val="single" w:sz="6" w:space="0" w:color="000000"/>
            </w:tcBorders>
          </w:tcPr>
          <w:p w14:paraId="54AD450D" w14:textId="65C5E992" w:rsidR="00D105CA" w:rsidRPr="008912CF" w:rsidRDefault="00615769" w:rsidP="00D105CA">
            <w:pPr>
              <w:keepLines/>
              <w:tabs>
                <w:tab w:val="left" w:pos="-1080"/>
              </w:tabs>
              <w:autoSpaceDE w:val="0"/>
              <w:autoSpaceDN w:val="0"/>
              <w:adjustRightInd w:val="0"/>
              <w:ind w:left="15"/>
              <w:jc w:val="center"/>
              <w:rPr>
                <w:del w:id="3691" w:author="AbbVie2" w:date="2025-05-13T16:36:00Z"/>
                <w:sz w:val="22"/>
                <w:szCs w:val="22"/>
              </w:rPr>
            </w:pPr>
            <w:del w:id="3692" w:author="AbbVie2" w:date="2025-05-13T16:36:00Z">
              <w:r w:rsidRPr="008912CF">
                <w:rPr>
                  <w:sz w:val="22"/>
                  <w:szCs w:val="22"/>
                </w:rPr>
                <w:delText>23,8%</w:delText>
              </w:r>
            </w:del>
          </w:p>
        </w:tc>
        <w:tc>
          <w:tcPr>
            <w:tcW w:w="1140" w:type="dxa"/>
            <w:tcBorders>
              <w:top w:val="single" w:sz="6" w:space="0" w:color="000000"/>
              <w:left w:val="single" w:sz="6" w:space="0" w:color="000000"/>
              <w:bottom w:val="single" w:sz="4" w:space="0" w:color="auto"/>
              <w:right w:val="single" w:sz="6" w:space="0" w:color="000000"/>
            </w:tcBorders>
          </w:tcPr>
          <w:p w14:paraId="163EDF4A" w14:textId="7F6B9762" w:rsidR="00D105CA" w:rsidRPr="008912CF" w:rsidRDefault="00615769" w:rsidP="00D105CA">
            <w:pPr>
              <w:keepLines/>
              <w:tabs>
                <w:tab w:val="left" w:pos="-1080"/>
              </w:tabs>
              <w:autoSpaceDE w:val="0"/>
              <w:autoSpaceDN w:val="0"/>
              <w:adjustRightInd w:val="0"/>
              <w:ind w:left="15"/>
              <w:jc w:val="center"/>
              <w:rPr>
                <w:del w:id="3693" w:author="AbbVie2" w:date="2025-05-13T16:36:00Z"/>
                <w:sz w:val="22"/>
                <w:szCs w:val="22"/>
              </w:rPr>
            </w:pPr>
            <w:del w:id="3694" w:author="AbbVie2" w:date="2025-05-13T16:36:00Z">
              <w:r w:rsidRPr="008912CF">
                <w:rPr>
                  <w:sz w:val="22"/>
                  <w:szCs w:val="22"/>
                </w:rPr>
                <w:delText>0,303</w:delText>
              </w:r>
            </w:del>
          </w:p>
        </w:tc>
      </w:tr>
      <w:tr w:rsidR="00A7162A" w14:paraId="3F758DB2" w14:textId="66FCAC51" w:rsidTr="00D105CA">
        <w:trPr>
          <w:trHeight w:val="177"/>
          <w:jc w:val="center"/>
          <w:del w:id="3695" w:author="AbbVie2" w:date="2025-05-13T16:36:00Z"/>
        </w:trPr>
        <w:tc>
          <w:tcPr>
            <w:tcW w:w="8440" w:type="dxa"/>
            <w:gridSpan w:val="4"/>
            <w:tcBorders>
              <w:top w:val="single" w:sz="4" w:space="0" w:color="auto"/>
            </w:tcBorders>
          </w:tcPr>
          <w:p w14:paraId="3F3F22A3" w14:textId="5FE6BC3F" w:rsidR="00D105CA" w:rsidRPr="000B426B" w:rsidRDefault="00615769" w:rsidP="00D105CA">
            <w:pPr>
              <w:keepLines/>
              <w:tabs>
                <w:tab w:val="left" w:pos="-1080"/>
              </w:tabs>
              <w:autoSpaceDE w:val="0"/>
              <w:autoSpaceDN w:val="0"/>
              <w:adjustRightInd w:val="0"/>
              <w:rPr>
                <w:del w:id="3696" w:author="AbbVie2" w:date="2025-05-13T16:36:00Z"/>
                <w:sz w:val="22"/>
                <w:szCs w:val="22"/>
              </w:rPr>
            </w:pPr>
            <w:del w:id="3697" w:author="AbbVie2" w:date="2025-05-13T16:36:00Z">
              <w:r w:rsidRPr="000B426B">
                <w:rPr>
                  <w:vertAlign w:val="superscript"/>
                </w:rPr>
                <w:delText>1</w:delText>
              </w:r>
              <w:r w:rsidRPr="000B426B">
                <w:delText xml:space="preserve">  </w:delText>
              </w:r>
              <w:r w:rsidRPr="000B426B">
                <w:rPr>
                  <w:bCs/>
                </w:rPr>
                <w:delText>valor</w:delText>
              </w:r>
              <w:r>
                <w:rPr>
                  <w:bCs/>
                </w:rPr>
                <w:delText>-p</w:delText>
              </w:r>
              <w:r w:rsidRPr="000B426B">
                <w:delText xml:space="preserve"> para </w:delText>
              </w:r>
              <w:r w:rsidRPr="000B426B">
                <w:rPr>
                  <w:sz w:val="22"/>
                  <w:szCs w:val="22"/>
                </w:rPr>
                <w:delText xml:space="preserve">comparação Dose Padrão </w:delText>
              </w:r>
              <w:r w:rsidRPr="000B426B">
                <w:rPr>
                  <w:i/>
                  <w:iCs/>
                  <w:sz w:val="22"/>
                  <w:szCs w:val="22"/>
                </w:rPr>
                <w:delText>versus</w:delText>
              </w:r>
              <w:r w:rsidRPr="000B426B">
                <w:rPr>
                  <w:sz w:val="22"/>
                  <w:szCs w:val="22"/>
                </w:rPr>
                <w:delText xml:space="preserve"> Baixa Dose.</w:delText>
              </w:r>
            </w:del>
          </w:p>
          <w:p w14:paraId="74208D58" w14:textId="17FE7489" w:rsidR="00D105CA" w:rsidRPr="008912CF" w:rsidRDefault="00615769" w:rsidP="00D105CA">
            <w:pPr>
              <w:keepLines/>
              <w:tabs>
                <w:tab w:val="left" w:pos="-1080"/>
              </w:tabs>
              <w:autoSpaceDE w:val="0"/>
              <w:autoSpaceDN w:val="0"/>
              <w:adjustRightInd w:val="0"/>
              <w:rPr>
                <w:del w:id="3698" w:author="AbbVie2" w:date="2025-05-13T16:36:00Z"/>
                <w:sz w:val="22"/>
                <w:szCs w:val="22"/>
              </w:rPr>
            </w:pPr>
            <w:del w:id="3699" w:author="AbbVie2" w:date="2025-05-13T16:36:00Z">
              <w:r w:rsidRPr="008912CF">
                <w:rPr>
                  <w:sz w:val="22"/>
                  <w:szCs w:val="22"/>
                  <w:vertAlign w:val="superscript"/>
                </w:rPr>
                <w:delText xml:space="preserve"> 2</w:delText>
              </w:r>
              <w:r w:rsidRPr="008912CF">
                <w:rPr>
                  <w:sz w:val="22"/>
                  <w:szCs w:val="22"/>
                </w:rPr>
                <w:delText xml:space="preserve">  Terapêutica imunossupressora só pode ser descontinuada durante ou após a Semana 26, a critério do investigador, se o doente alcançar o critério de resposta clínica. </w:delText>
              </w:r>
            </w:del>
          </w:p>
          <w:p w14:paraId="1FDB69C6" w14:textId="58379284" w:rsidR="00D105CA" w:rsidRPr="008912CF" w:rsidRDefault="00615769" w:rsidP="00D105CA">
            <w:pPr>
              <w:keepLines/>
              <w:tabs>
                <w:tab w:val="left" w:pos="-1080"/>
              </w:tabs>
              <w:autoSpaceDE w:val="0"/>
              <w:autoSpaceDN w:val="0"/>
              <w:adjustRightInd w:val="0"/>
              <w:rPr>
                <w:del w:id="3700" w:author="AbbVie2" w:date="2025-05-13T16:36:00Z"/>
                <w:sz w:val="22"/>
                <w:szCs w:val="22"/>
              </w:rPr>
            </w:pPr>
            <w:del w:id="3701" w:author="AbbVie2" w:date="2025-05-13T16:36:00Z">
              <w:r w:rsidRPr="008912CF">
                <w:rPr>
                  <w:sz w:val="22"/>
                  <w:szCs w:val="22"/>
                  <w:vertAlign w:val="superscript"/>
                </w:rPr>
                <w:delText>3</w:delText>
              </w:r>
              <w:r w:rsidRPr="008912CF">
                <w:rPr>
                  <w:sz w:val="22"/>
                  <w:szCs w:val="22"/>
                </w:rPr>
                <w:delText xml:space="preserve">  definida como encerramento de todas as f</w:delText>
              </w:r>
              <w:r>
                <w:rPr>
                  <w:sz w:val="22"/>
                  <w:szCs w:val="22"/>
                </w:rPr>
                <w:delText>í</w:delText>
              </w:r>
              <w:r w:rsidRPr="008912CF">
                <w:rPr>
                  <w:sz w:val="22"/>
                  <w:szCs w:val="22"/>
                </w:rPr>
                <w:delText>stulas, que estavam a drenar no início de estudo, em pelo menos 2 visitas consecutivas após o início do estudo</w:delText>
              </w:r>
            </w:del>
          </w:p>
        </w:tc>
      </w:tr>
    </w:tbl>
    <w:p w14:paraId="1BC9CB6B" w14:textId="066B7B84" w:rsidR="00D105CA" w:rsidRPr="008912CF" w:rsidRDefault="00D105CA" w:rsidP="00D105CA">
      <w:pPr>
        <w:rPr>
          <w:del w:id="3702" w:author="AbbVie2" w:date="2025-05-13T16:36:00Z"/>
          <w:sz w:val="22"/>
          <w:szCs w:val="22"/>
        </w:rPr>
      </w:pPr>
    </w:p>
    <w:p w14:paraId="278D94F9" w14:textId="0D35E870" w:rsidR="00D105CA" w:rsidRPr="008912CF" w:rsidRDefault="00615769" w:rsidP="00D105CA">
      <w:pPr>
        <w:keepLines/>
        <w:tabs>
          <w:tab w:val="left" w:pos="-1080"/>
        </w:tabs>
        <w:autoSpaceDE w:val="0"/>
        <w:autoSpaceDN w:val="0"/>
        <w:adjustRightInd w:val="0"/>
        <w:rPr>
          <w:del w:id="3703" w:author="AbbVie2" w:date="2025-05-13T16:36:00Z"/>
          <w:sz w:val="22"/>
          <w:szCs w:val="22"/>
        </w:rPr>
      </w:pPr>
      <w:del w:id="3704" w:author="AbbVie2" w:date="2025-05-13T16:36:00Z">
        <w:r w:rsidRPr="008912CF">
          <w:rPr>
            <w:sz w:val="22"/>
            <w:szCs w:val="22"/>
          </w:rPr>
          <w:delText>Foram observados aumentos estatisticamente significativos (melhoria) do Índice de Massa Corporal e da velocidade de crescimento em ambos os grupos de tratamento, desde o início do estudo até à Semana</w:delText>
        </w:r>
        <w:r>
          <w:rPr>
            <w:sz w:val="22"/>
            <w:szCs w:val="22"/>
          </w:rPr>
          <w:delText>s</w:delText>
        </w:r>
        <w:r w:rsidRPr="008912CF">
          <w:rPr>
            <w:sz w:val="22"/>
            <w:szCs w:val="22"/>
          </w:rPr>
          <w:delText xml:space="preserve"> 26 e 52.</w:delText>
        </w:r>
      </w:del>
    </w:p>
    <w:p w14:paraId="7D98EAC5" w14:textId="6822BFF7" w:rsidR="00D105CA" w:rsidRPr="008912CF" w:rsidRDefault="00D105CA" w:rsidP="00D105CA">
      <w:pPr>
        <w:keepLines/>
        <w:tabs>
          <w:tab w:val="left" w:pos="-1080"/>
        </w:tabs>
        <w:autoSpaceDE w:val="0"/>
        <w:autoSpaceDN w:val="0"/>
        <w:adjustRightInd w:val="0"/>
        <w:rPr>
          <w:del w:id="3705" w:author="AbbVie2" w:date="2025-05-13T16:36:00Z"/>
          <w:sz w:val="22"/>
          <w:szCs w:val="22"/>
        </w:rPr>
      </w:pPr>
    </w:p>
    <w:p w14:paraId="6E73915B" w14:textId="51E269F9" w:rsidR="00D105CA" w:rsidRPr="008912CF" w:rsidRDefault="00615769" w:rsidP="00D105CA">
      <w:pPr>
        <w:rPr>
          <w:del w:id="3706" w:author="AbbVie2" w:date="2025-05-13T16:36:00Z"/>
          <w:sz w:val="22"/>
          <w:szCs w:val="22"/>
        </w:rPr>
      </w:pPr>
      <w:del w:id="3707" w:author="AbbVie2" w:date="2025-05-13T16:36:00Z">
        <w:r w:rsidRPr="008912CF">
          <w:rPr>
            <w:sz w:val="22"/>
            <w:szCs w:val="22"/>
          </w:rPr>
          <w:delText>Foram também observadas melhorias estatisticamente e clinicamente significativas nos parâmetros de qualidade de vida (incluindo IMPACT III) em ambos os grupos de tratamento.</w:delText>
        </w:r>
      </w:del>
    </w:p>
    <w:p w14:paraId="629C51C2" w14:textId="76085510" w:rsidR="00D105CA" w:rsidRPr="008912CF" w:rsidRDefault="00D105CA" w:rsidP="00D105CA">
      <w:pPr>
        <w:rPr>
          <w:del w:id="3708" w:author="AbbVie2" w:date="2025-05-13T16:36:00Z"/>
          <w:sz w:val="22"/>
          <w:szCs w:val="22"/>
        </w:rPr>
      </w:pPr>
    </w:p>
    <w:p w14:paraId="21F96981" w14:textId="4DD2C8C6" w:rsidR="00D105CA" w:rsidRPr="008912CF" w:rsidRDefault="00615769" w:rsidP="00D105CA">
      <w:pPr>
        <w:rPr>
          <w:del w:id="3709" w:author="AbbVie2" w:date="2025-05-13T16:36:00Z"/>
          <w:sz w:val="22"/>
          <w:szCs w:val="22"/>
        </w:rPr>
      </w:pPr>
      <w:del w:id="3710" w:author="AbbVie2" w:date="2025-05-13T16:36:00Z">
        <w:r w:rsidRPr="008912CF">
          <w:rPr>
            <w:sz w:val="22"/>
            <w:szCs w:val="22"/>
          </w:rPr>
          <w:delText>Cem (n=100) doentes do Estudo de DC Pediátrica continuaram num estudo a longo prazo de extensão de fase aberta. Após 5 anos de tratamento com adalimumab, 74,0</w:delText>
        </w:r>
        <w:r>
          <w:rPr>
            <w:sz w:val="22"/>
            <w:szCs w:val="22"/>
          </w:rPr>
          <w:delText>%</w:delText>
        </w:r>
        <w:r w:rsidRPr="008912CF">
          <w:rPr>
            <w:sz w:val="22"/>
            <w:szCs w:val="22"/>
          </w:rPr>
          <w:delText xml:space="preserve"> (37/50) dos 50 doentes que permaneceram no estudo continuaram em remissão clínica e 92,0</w:delText>
        </w:r>
        <w:r>
          <w:rPr>
            <w:sz w:val="22"/>
            <w:szCs w:val="22"/>
          </w:rPr>
          <w:delText>%</w:delText>
        </w:r>
        <w:r w:rsidRPr="008912CF">
          <w:rPr>
            <w:sz w:val="22"/>
            <w:szCs w:val="22"/>
          </w:rPr>
          <w:delText xml:space="preserve"> (46/50) dos doentes mantiveram resposta clínica segundo a escala PCDAI.  </w:delText>
        </w:r>
      </w:del>
    </w:p>
    <w:p w14:paraId="78512E29" w14:textId="2A6D2454" w:rsidR="00D105CA" w:rsidRDefault="00D105CA" w:rsidP="00D105CA">
      <w:pPr>
        <w:rPr>
          <w:del w:id="3711" w:author="AbbVie2" w:date="2025-05-13T16:36:00Z"/>
          <w:sz w:val="22"/>
          <w:szCs w:val="22"/>
        </w:rPr>
      </w:pPr>
    </w:p>
    <w:p w14:paraId="5D64D2DA" w14:textId="78AACF53" w:rsidR="00953E6E" w:rsidRPr="00AA6D42" w:rsidRDefault="00615769" w:rsidP="00953E6E">
      <w:pPr>
        <w:keepNext/>
        <w:rPr>
          <w:del w:id="3712" w:author="AbbVie2" w:date="2025-05-13T16:36:00Z"/>
          <w:bCs/>
          <w:i/>
          <w:sz w:val="22"/>
          <w:szCs w:val="22"/>
        </w:rPr>
      </w:pPr>
      <w:del w:id="3713" w:author="AbbVie2" w:date="2025-05-13T16:36:00Z">
        <w:r w:rsidRPr="00AA6D42">
          <w:rPr>
            <w:bCs/>
            <w:i/>
            <w:sz w:val="22"/>
            <w:szCs w:val="22"/>
          </w:rPr>
          <w:delText>Colite ulcerosa pediátrica</w:delText>
        </w:r>
      </w:del>
    </w:p>
    <w:p w14:paraId="7FF9EE0D" w14:textId="4BE08EE6" w:rsidR="00953E6E" w:rsidRPr="00AA6D42" w:rsidRDefault="00953E6E" w:rsidP="00953E6E">
      <w:pPr>
        <w:keepNext/>
        <w:rPr>
          <w:del w:id="3714" w:author="AbbVie2" w:date="2025-05-13T16:36:00Z"/>
          <w:bCs/>
          <w:i/>
          <w:sz w:val="22"/>
          <w:szCs w:val="22"/>
        </w:rPr>
      </w:pPr>
    </w:p>
    <w:p w14:paraId="322E6867" w14:textId="3384D10D" w:rsidR="002F486F" w:rsidRPr="00AA6D42" w:rsidRDefault="00615769" w:rsidP="002F486F">
      <w:pPr>
        <w:rPr>
          <w:del w:id="3715" w:author="AbbVie2" w:date="2025-05-13T16:36:00Z"/>
          <w:sz w:val="22"/>
          <w:szCs w:val="22"/>
        </w:rPr>
      </w:pPr>
      <w:del w:id="3716" w:author="AbbVie2" w:date="2025-05-13T16:36:00Z">
        <w:r w:rsidRPr="00AA6D42">
          <w:rPr>
            <w:sz w:val="22"/>
            <w:szCs w:val="22"/>
          </w:rPr>
          <w:delText>A segurança e eficácia de Humira foram avaliadas num ensaio multicêntrico, aleatorizado, em dupla ocultação, em 93 doentes pediátricos com idades compreendidas entre os 5 e os 17 anos com colite ulcerosa moderada a grave (pontuação Mayo de 6 a 12 com subpontuação endoscópica de 2 a 3 pontos, confirmada por endoscopia avaliada centralmente) que apresentavam uma resposta inadequada ou intolerância à terapêutica convencional. Aproximadamente 16% dos doentes no estudo não tinham respondido à terap</w:delText>
        </w:r>
        <w:r>
          <w:rPr>
            <w:sz w:val="22"/>
            <w:szCs w:val="22"/>
          </w:rPr>
          <w:delText>êutica prévia com um anti</w:delText>
        </w:r>
        <w:r>
          <w:rPr>
            <w:sz w:val="22"/>
            <w:szCs w:val="22"/>
          </w:rPr>
          <w:noBreakHyphen/>
        </w:r>
        <w:r w:rsidRPr="00AA6D42">
          <w:rPr>
            <w:sz w:val="22"/>
            <w:szCs w:val="22"/>
          </w:rPr>
          <w:delText xml:space="preserve">TNF. Foi permitido que os doentes que recebiam corticosteroides no momento </w:delText>
        </w:r>
        <w:r>
          <w:rPr>
            <w:sz w:val="22"/>
            <w:szCs w:val="22"/>
          </w:rPr>
          <w:delText>do recrutamento</w:delText>
        </w:r>
        <w:r w:rsidRPr="00AA6D42">
          <w:rPr>
            <w:sz w:val="22"/>
            <w:szCs w:val="22"/>
          </w:rPr>
          <w:delText xml:space="preserve"> reduzissem a terapêutica com corticosteroides após a Semana 4.</w:delText>
        </w:r>
      </w:del>
    </w:p>
    <w:p w14:paraId="3967FEAD" w14:textId="0954B033" w:rsidR="002F486F" w:rsidRPr="00AA6D42" w:rsidRDefault="002F486F" w:rsidP="002F486F">
      <w:pPr>
        <w:rPr>
          <w:del w:id="3717" w:author="AbbVie2" w:date="2025-05-13T16:36:00Z"/>
          <w:sz w:val="22"/>
          <w:szCs w:val="22"/>
        </w:rPr>
      </w:pPr>
    </w:p>
    <w:p w14:paraId="65A202B8" w14:textId="66E60941" w:rsidR="002F486F" w:rsidRPr="00AA6D42" w:rsidRDefault="00615769" w:rsidP="002F486F">
      <w:pPr>
        <w:rPr>
          <w:del w:id="3718" w:author="AbbVie2" w:date="2025-05-13T16:36:00Z"/>
          <w:sz w:val="22"/>
          <w:szCs w:val="22"/>
        </w:rPr>
      </w:pPr>
      <w:del w:id="3719" w:author="AbbVie2" w:date="2025-05-13T16:36:00Z">
        <w:r w:rsidRPr="00AA6D42">
          <w:rPr>
            <w:rStyle w:val="normaltextrun"/>
            <w:sz w:val="22"/>
            <w:szCs w:val="22"/>
            <w:shd w:val="clear" w:color="auto" w:fill="FFFFFF"/>
          </w:rPr>
          <w:delText>No período de indução do estudo, 77 doentes foram aleatorizados numa proporção de 3:2 para receberem o tratamento em dupla ocultação com Humira numa dose de indução de 2,4 mg/kg (</w:delText>
        </w:r>
        <w:r>
          <w:rPr>
            <w:rStyle w:val="normaltextrun"/>
            <w:sz w:val="22"/>
            <w:szCs w:val="22"/>
            <w:shd w:val="clear" w:color="auto" w:fill="FFFFFF"/>
          </w:rPr>
          <w:delText>máximo de </w:delText>
        </w:r>
        <w:r w:rsidRPr="00AA6D42">
          <w:rPr>
            <w:rStyle w:val="normaltextrun"/>
            <w:sz w:val="22"/>
            <w:szCs w:val="22"/>
            <w:shd w:val="clear" w:color="auto" w:fill="FFFFFF"/>
          </w:rPr>
          <w:delText xml:space="preserve">160 mg) na Semana 0 e </w:delText>
        </w:r>
        <w:r>
          <w:rPr>
            <w:rStyle w:val="normaltextrun"/>
            <w:sz w:val="22"/>
            <w:szCs w:val="22"/>
            <w:shd w:val="clear" w:color="auto" w:fill="FFFFFF"/>
          </w:rPr>
          <w:delText xml:space="preserve">na </w:delText>
        </w:r>
        <w:r w:rsidRPr="00AA6D42">
          <w:rPr>
            <w:rStyle w:val="normaltextrun"/>
            <w:sz w:val="22"/>
            <w:szCs w:val="22"/>
            <w:shd w:val="clear" w:color="auto" w:fill="FFFFFF"/>
          </w:rPr>
          <w:delText>Semana 1, e de 1,2 mg/kg (máximo</w:delText>
        </w:r>
        <w:r>
          <w:rPr>
            <w:rStyle w:val="normaltextrun"/>
            <w:sz w:val="22"/>
            <w:szCs w:val="22"/>
            <w:shd w:val="clear" w:color="auto" w:fill="FFFFFF"/>
          </w:rPr>
          <w:delText xml:space="preserve"> de </w:delText>
        </w:r>
        <w:r w:rsidRPr="00AA6D42">
          <w:rPr>
            <w:rStyle w:val="normaltextrun"/>
            <w:sz w:val="22"/>
            <w:szCs w:val="22"/>
            <w:shd w:val="clear" w:color="auto" w:fill="FFFFFF"/>
          </w:rPr>
          <w:delText>80 mg) na Semana 2; ou numa dose de indução de 2,4 mg/kg (</w:delText>
        </w:r>
        <w:r>
          <w:rPr>
            <w:rStyle w:val="normaltextrun"/>
            <w:sz w:val="22"/>
            <w:szCs w:val="22"/>
            <w:shd w:val="clear" w:color="auto" w:fill="FFFFFF"/>
          </w:rPr>
          <w:delText>máximo de </w:delText>
        </w:r>
        <w:r w:rsidRPr="00AA6D42">
          <w:rPr>
            <w:rStyle w:val="normaltextrun"/>
            <w:sz w:val="22"/>
            <w:szCs w:val="22"/>
            <w:shd w:val="clear" w:color="auto" w:fill="FFFFFF"/>
          </w:rPr>
          <w:delText>160 mg) na Semana 0, placebo na Semana 1, e 1,2 mg/kg (</w:delText>
        </w:r>
        <w:r>
          <w:rPr>
            <w:rStyle w:val="normaltextrun"/>
            <w:sz w:val="22"/>
            <w:szCs w:val="22"/>
            <w:shd w:val="clear" w:color="auto" w:fill="FFFFFF"/>
          </w:rPr>
          <w:delText>máximo de </w:delText>
        </w:r>
        <w:r w:rsidRPr="00AA6D42">
          <w:rPr>
            <w:rStyle w:val="normaltextrun"/>
            <w:sz w:val="22"/>
            <w:szCs w:val="22"/>
            <w:shd w:val="clear" w:color="auto" w:fill="FFFFFF"/>
          </w:rPr>
          <w:delText>80 mg) na Semana 2. Ambos os grupos receberam 0,6 mg/kg (</w:delText>
        </w:r>
        <w:r>
          <w:rPr>
            <w:rStyle w:val="normaltextrun"/>
            <w:sz w:val="22"/>
            <w:szCs w:val="22"/>
            <w:shd w:val="clear" w:color="auto" w:fill="FFFFFF"/>
          </w:rPr>
          <w:delText>máximo de </w:delText>
        </w:r>
        <w:r w:rsidRPr="00AA6D42">
          <w:rPr>
            <w:rStyle w:val="normaltextrun"/>
            <w:sz w:val="22"/>
            <w:szCs w:val="22"/>
            <w:shd w:val="clear" w:color="auto" w:fill="FFFFFF"/>
          </w:rPr>
          <w:delText xml:space="preserve">40 mg) na Semana 4 e na Semana 6. Após uma alteração </w:delText>
        </w:r>
        <w:r>
          <w:rPr>
            <w:rStyle w:val="normaltextrun"/>
            <w:sz w:val="22"/>
            <w:szCs w:val="22"/>
            <w:shd w:val="clear" w:color="auto" w:fill="FFFFFF"/>
          </w:rPr>
          <w:delText>ao desenho</w:delText>
        </w:r>
        <w:r w:rsidRPr="00AA6D42">
          <w:rPr>
            <w:rStyle w:val="normaltextrun"/>
            <w:sz w:val="22"/>
            <w:szCs w:val="22"/>
            <w:shd w:val="clear" w:color="auto" w:fill="FFFFFF"/>
          </w:rPr>
          <w:delText xml:space="preserve"> do estudo, os restantes 16 doentes </w:delText>
        </w:r>
        <w:r>
          <w:rPr>
            <w:rStyle w:val="normaltextrun"/>
            <w:sz w:val="22"/>
            <w:szCs w:val="22"/>
            <w:shd w:val="clear" w:color="auto" w:fill="FFFFFF"/>
          </w:rPr>
          <w:delText>envolvidos</w:delText>
        </w:r>
        <w:r w:rsidRPr="00AA6D42">
          <w:rPr>
            <w:rStyle w:val="normaltextrun"/>
            <w:sz w:val="22"/>
            <w:szCs w:val="22"/>
            <w:shd w:val="clear" w:color="auto" w:fill="FFFFFF"/>
          </w:rPr>
          <w:delText xml:space="preserve"> no período de indução receberam tratamento </w:delText>
        </w:r>
        <w:r>
          <w:rPr>
            <w:rStyle w:val="normaltextrun"/>
            <w:sz w:val="22"/>
            <w:szCs w:val="22"/>
            <w:shd w:val="clear" w:color="auto" w:fill="FFFFFF"/>
          </w:rPr>
          <w:delText>em fase aberta</w:delText>
        </w:r>
        <w:r w:rsidRPr="00AA6D42">
          <w:rPr>
            <w:rStyle w:val="normaltextrun"/>
            <w:sz w:val="22"/>
            <w:szCs w:val="22"/>
            <w:shd w:val="clear" w:color="auto" w:fill="FFFFFF"/>
          </w:rPr>
          <w:delText xml:space="preserve"> com Humira numa dose de indução de 2,4 mg/kg (</w:delText>
        </w:r>
        <w:r>
          <w:rPr>
            <w:rStyle w:val="normaltextrun"/>
            <w:sz w:val="22"/>
            <w:szCs w:val="22"/>
            <w:shd w:val="clear" w:color="auto" w:fill="FFFFFF"/>
          </w:rPr>
          <w:delText>máximo de </w:delText>
        </w:r>
        <w:r w:rsidRPr="00AA6D42">
          <w:rPr>
            <w:rStyle w:val="normaltextrun"/>
            <w:sz w:val="22"/>
            <w:szCs w:val="22"/>
            <w:shd w:val="clear" w:color="auto" w:fill="FFFFFF"/>
          </w:rPr>
          <w:delText>160 mg) na Semana</w:delText>
        </w:r>
        <w:r w:rsidRPr="00AA6D42">
          <w:rPr>
            <w:rStyle w:val="normaltextrun"/>
            <w:sz w:val="22"/>
            <w:szCs w:val="22"/>
            <w:shd w:val="clear" w:color="auto" w:fill="FFFFFF"/>
          </w:rPr>
          <w:delText xml:space="preserve"> 0 e </w:delText>
        </w:r>
        <w:r>
          <w:rPr>
            <w:rStyle w:val="normaltextrun"/>
            <w:sz w:val="22"/>
            <w:szCs w:val="22"/>
            <w:shd w:val="clear" w:color="auto" w:fill="FFFFFF"/>
          </w:rPr>
          <w:delText xml:space="preserve">na </w:delText>
        </w:r>
        <w:r w:rsidRPr="00AA6D42">
          <w:rPr>
            <w:rStyle w:val="normaltextrun"/>
            <w:sz w:val="22"/>
            <w:szCs w:val="22"/>
            <w:shd w:val="clear" w:color="auto" w:fill="FFFFFF"/>
          </w:rPr>
          <w:delText>Semana 1, e de 1,2 mg/kg (</w:delText>
        </w:r>
        <w:r>
          <w:rPr>
            <w:rStyle w:val="normaltextrun"/>
            <w:sz w:val="22"/>
            <w:szCs w:val="22"/>
            <w:shd w:val="clear" w:color="auto" w:fill="FFFFFF"/>
          </w:rPr>
          <w:delText>máximo de </w:delText>
        </w:r>
        <w:r w:rsidRPr="00AA6D42">
          <w:rPr>
            <w:rStyle w:val="normaltextrun"/>
            <w:sz w:val="22"/>
            <w:szCs w:val="22"/>
            <w:shd w:val="clear" w:color="auto" w:fill="FFFFFF"/>
          </w:rPr>
          <w:delText>80 mg) na Semana 2.</w:delText>
        </w:r>
        <w:r w:rsidRPr="00AA6D42">
          <w:rPr>
            <w:rStyle w:val="eop"/>
            <w:sz w:val="22"/>
            <w:szCs w:val="22"/>
            <w:shd w:val="clear" w:color="auto" w:fill="FFFFFF"/>
          </w:rPr>
          <w:delText> </w:delText>
        </w:r>
      </w:del>
    </w:p>
    <w:p w14:paraId="134F3ED0" w14:textId="21FDE9A4" w:rsidR="002F486F" w:rsidRPr="00AA6D42" w:rsidRDefault="002F486F" w:rsidP="002F486F">
      <w:pPr>
        <w:rPr>
          <w:del w:id="3720" w:author="AbbVie2" w:date="2025-05-13T16:36:00Z"/>
          <w:sz w:val="22"/>
          <w:szCs w:val="22"/>
        </w:rPr>
      </w:pPr>
    </w:p>
    <w:p w14:paraId="62296F9A" w14:textId="33BA6343" w:rsidR="002F486F" w:rsidRPr="00AA6D42" w:rsidRDefault="00615769" w:rsidP="002F486F">
      <w:pPr>
        <w:rPr>
          <w:del w:id="3721" w:author="AbbVie2" w:date="2025-05-13T16:36:00Z"/>
          <w:rStyle w:val="eop"/>
          <w:sz w:val="22"/>
          <w:szCs w:val="22"/>
          <w:shd w:val="clear" w:color="auto" w:fill="FFFFFF"/>
        </w:rPr>
      </w:pPr>
      <w:del w:id="3722" w:author="AbbVie2" w:date="2025-05-13T16:36:00Z">
        <w:r w:rsidRPr="00AA6D42">
          <w:rPr>
            <w:rStyle w:val="normaltextrun"/>
            <w:sz w:val="22"/>
            <w:szCs w:val="22"/>
            <w:shd w:val="clear" w:color="auto" w:fill="FFFFFF"/>
          </w:rPr>
          <w:delText xml:space="preserve">Na Semana 8, 62 doentes que demonstraram resposta clínica de acordo com a pontuação parcial de Mayo (PMS; definida como uma diminuição na PMS ≥ 2 pontos e ≥ 30% em comparação com os valores </w:delText>
        </w:r>
        <w:r>
          <w:rPr>
            <w:rStyle w:val="normaltextrun"/>
            <w:sz w:val="22"/>
            <w:szCs w:val="22"/>
            <w:shd w:val="clear" w:color="auto" w:fill="FFFFFF"/>
          </w:rPr>
          <w:delText>iniciais</w:delText>
        </w:r>
        <w:r w:rsidRPr="00AA6D42">
          <w:rPr>
            <w:rStyle w:val="normaltextrun"/>
            <w:sz w:val="22"/>
            <w:szCs w:val="22"/>
            <w:shd w:val="clear" w:color="auto" w:fill="FFFFFF"/>
          </w:rPr>
          <w:delText>) foram aleatorizados para receberem tratamento de manutenção em dupla ocultação com Humira numa dose de 0,6 mg/kg (</w:delText>
        </w:r>
        <w:r>
          <w:rPr>
            <w:rStyle w:val="normaltextrun"/>
            <w:sz w:val="22"/>
            <w:szCs w:val="22"/>
            <w:shd w:val="clear" w:color="auto" w:fill="FFFFFF"/>
          </w:rPr>
          <w:delText>máximo de 40 mg) semanalmente</w:delText>
        </w:r>
        <w:r w:rsidRPr="00AA6D42">
          <w:rPr>
            <w:rStyle w:val="normaltextrun"/>
            <w:sz w:val="22"/>
            <w:szCs w:val="22"/>
            <w:shd w:val="clear" w:color="auto" w:fill="FFFFFF"/>
          </w:rPr>
          <w:delText xml:space="preserve">, ou </w:delText>
        </w:r>
        <w:r>
          <w:rPr>
            <w:rStyle w:val="normaltextrun"/>
            <w:sz w:val="22"/>
            <w:szCs w:val="22"/>
            <w:shd w:val="clear" w:color="auto" w:fill="FFFFFF"/>
          </w:rPr>
          <w:delText>n</w:delText>
        </w:r>
        <w:r w:rsidRPr="00AA6D42">
          <w:rPr>
            <w:rStyle w:val="normaltextrun"/>
            <w:sz w:val="22"/>
            <w:szCs w:val="22"/>
            <w:shd w:val="clear" w:color="auto" w:fill="FFFFFF"/>
          </w:rPr>
          <w:delText>uma dose de manutenção de 0,6 mg/kg (</w:delText>
        </w:r>
        <w:r>
          <w:rPr>
            <w:rStyle w:val="normaltextrun"/>
            <w:sz w:val="22"/>
            <w:szCs w:val="22"/>
            <w:shd w:val="clear" w:color="auto" w:fill="FFFFFF"/>
          </w:rPr>
          <w:delText>máximo</w:delText>
        </w:r>
        <w:r w:rsidRPr="00AA6D42">
          <w:rPr>
            <w:rStyle w:val="normaltextrun"/>
            <w:sz w:val="22"/>
            <w:szCs w:val="22"/>
            <w:shd w:val="clear" w:color="auto" w:fill="FFFFFF"/>
          </w:rPr>
          <w:delText xml:space="preserve"> d</w:delText>
        </w:r>
        <w:r>
          <w:rPr>
            <w:rStyle w:val="normaltextrun"/>
            <w:sz w:val="22"/>
            <w:szCs w:val="22"/>
            <w:shd w:val="clear" w:color="auto" w:fill="FFFFFF"/>
          </w:rPr>
          <w:delText>e 40 mg) em semanas alternadas</w:delText>
        </w:r>
        <w:r w:rsidRPr="00AA6D42">
          <w:rPr>
            <w:rStyle w:val="normaltextrun"/>
            <w:sz w:val="22"/>
            <w:szCs w:val="22"/>
            <w:shd w:val="clear" w:color="auto" w:fill="FFFFFF"/>
          </w:rPr>
          <w:delText xml:space="preserve">. Antes de uma alteração </w:delText>
        </w:r>
        <w:r>
          <w:rPr>
            <w:rStyle w:val="normaltextrun"/>
            <w:sz w:val="22"/>
            <w:szCs w:val="22"/>
            <w:shd w:val="clear" w:color="auto" w:fill="FFFFFF"/>
          </w:rPr>
          <w:delText>ao desenho</w:delText>
        </w:r>
        <w:r w:rsidRPr="00AA6D42">
          <w:rPr>
            <w:rStyle w:val="normaltextrun"/>
            <w:sz w:val="22"/>
            <w:szCs w:val="22"/>
            <w:shd w:val="clear" w:color="auto" w:fill="FFFFFF"/>
          </w:rPr>
          <w:delText xml:space="preserve"> do estudo, 12 doentes adicionais que demonstraram resposta clínica de acordo com a PMS foram aleatorizados para receberem placebo, mas não foram incluídos na análise confirma</w:delText>
        </w:r>
        <w:r>
          <w:rPr>
            <w:rStyle w:val="normaltextrun"/>
            <w:sz w:val="22"/>
            <w:szCs w:val="22"/>
            <w:shd w:val="clear" w:color="auto" w:fill="FFFFFF"/>
          </w:rPr>
          <w:delText>tória</w:delText>
        </w:r>
        <w:r w:rsidRPr="00AA6D42">
          <w:rPr>
            <w:rStyle w:val="normaltextrun"/>
            <w:sz w:val="22"/>
            <w:szCs w:val="22"/>
            <w:shd w:val="clear" w:color="auto" w:fill="FFFFFF"/>
          </w:rPr>
          <w:delText xml:space="preserve"> da eficácia.</w:delText>
        </w:r>
      </w:del>
    </w:p>
    <w:p w14:paraId="6AAB5011" w14:textId="107ECEE5" w:rsidR="00953E6E" w:rsidRPr="00AA6D42" w:rsidRDefault="00953E6E" w:rsidP="00953E6E">
      <w:pPr>
        <w:rPr>
          <w:del w:id="3723" w:author="AbbVie2" w:date="2025-05-13T16:36:00Z"/>
          <w:sz w:val="22"/>
          <w:szCs w:val="22"/>
        </w:rPr>
      </w:pPr>
    </w:p>
    <w:p w14:paraId="492B964F" w14:textId="3975C3EC" w:rsidR="00953E6E" w:rsidRPr="00675DF0" w:rsidRDefault="00615769" w:rsidP="00953E6E">
      <w:pPr>
        <w:rPr>
          <w:del w:id="3724" w:author="AbbVie2" w:date="2025-05-13T16:36:00Z"/>
          <w:sz w:val="22"/>
          <w:szCs w:val="22"/>
        </w:rPr>
      </w:pPr>
      <w:del w:id="3725" w:author="AbbVie2" w:date="2025-05-13T16:36:00Z">
        <w:r w:rsidRPr="00675DF0">
          <w:rPr>
            <w:sz w:val="22"/>
            <w:szCs w:val="22"/>
          </w:rPr>
          <w:delText>O agravamento da doença foi definido como um aumento na PMS de, pelo menos, 3 pontos (para doentes com uma PMS de 0 a 2 na Semana 8), 2 pontos (para doentes com uma PMS de 3 a 4 na Semana 8) ou 1 ponto (para doentes com uma PMS de 5 a 6 na Semana 8). </w:delText>
        </w:r>
      </w:del>
    </w:p>
    <w:p w14:paraId="28323163" w14:textId="75EA1251" w:rsidR="00953E6E" w:rsidRPr="00675DF0" w:rsidRDefault="00953E6E" w:rsidP="00953E6E">
      <w:pPr>
        <w:rPr>
          <w:del w:id="3726" w:author="AbbVie2" w:date="2025-05-13T16:36:00Z"/>
          <w:sz w:val="22"/>
          <w:szCs w:val="22"/>
        </w:rPr>
      </w:pPr>
    </w:p>
    <w:p w14:paraId="289D70E4" w14:textId="787F401A" w:rsidR="00953E6E" w:rsidRPr="00675DF0" w:rsidRDefault="00615769" w:rsidP="00953E6E">
      <w:pPr>
        <w:rPr>
          <w:del w:id="3727" w:author="AbbVie2" w:date="2025-05-13T16:36:00Z"/>
          <w:sz w:val="22"/>
          <w:szCs w:val="22"/>
        </w:rPr>
      </w:pPr>
      <w:del w:id="3728" w:author="AbbVie2" w:date="2025-05-13T16:36:00Z">
        <w:r w:rsidRPr="00675DF0">
          <w:rPr>
            <w:sz w:val="22"/>
            <w:szCs w:val="22"/>
          </w:rPr>
          <w:delText>Os doentes que cumpriram os critérios de agravamento da doença na ou após a Semana 12 foram aleatorizados para receberem uma dose de reindução de 2,4 mg/kg (</w:delText>
        </w:r>
        <w:r w:rsidR="007916BF">
          <w:rPr>
            <w:sz w:val="22"/>
            <w:szCs w:val="22"/>
          </w:rPr>
          <w:delText>máximo de </w:delText>
        </w:r>
        <w:r w:rsidRPr="00675DF0">
          <w:rPr>
            <w:sz w:val="22"/>
            <w:szCs w:val="22"/>
          </w:rPr>
          <w:delText>160 mg) ou uma dose de 0,6 mg/kg (</w:delText>
        </w:r>
        <w:r w:rsidR="007916BF">
          <w:rPr>
            <w:sz w:val="22"/>
            <w:szCs w:val="22"/>
          </w:rPr>
          <w:delText>máximo de </w:delText>
        </w:r>
        <w:r w:rsidRPr="00675DF0">
          <w:rPr>
            <w:sz w:val="22"/>
            <w:szCs w:val="22"/>
          </w:rPr>
          <w:delText>40 mg) e continuaram a receber posteriormente a respetiva dose de manutenção. </w:delText>
        </w:r>
      </w:del>
    </w:p>
    <w:p w14:paraId="3B00B112" w14:textId="400B8781" w:rsidR="00953E6E" w:rsidRPr="00A63F1F" w:rsidRDefault="00615769" w:rsidP="00953E6E">
      <w:pPr>
        <w:pStyle w:val="gtcbodytext"/>
        <w:rPr>
          <w:del w:id="3729" w:author="AbbVie2" w:date="2025-05-13T16:36:00Z"/>
          <w:i/>
          <w:sz w:val="22"/>
          <w:szCs w:val="22"/>
          <w:u w:val="single"/>
          <w:lang w:val="pt-PT"/>
        </w:rPr>
      </w:pPr>
      <w:del w:id="3730" w:author="AbbVie2" w:date="2025-05-13T16:36:00Z">
        <w:r w:rsidRPr="00A63F1F">
          <w:rPr>
            <w:i/>
            <w:sz w:val="22"/>
            <w:szCs w:val="22"/>
            <w:u w:val="single"/>
            <w:lang w:val="pt-PT"/>
          </w:rPr>
          <w:delText>Resultados de eficácia</w:delText>
        </w:r>
      </w:del>
    </w:p>
    <w:p w14:paraId="2495DC01" w14:textId="3FF1B0BF" w:rsidR="00953E6E" w:rsidRPr="00140561" w:rsidRDefault="00615769" w:rsidP="00953E6E">
      <w:pPr>
        <w:textAlignment w:val="baseline"/>
        <w:rPr>
          <w:del w:id="3731" w:author="AbbVie2" w:date="2025-05-13T16:36:00Z"/>
          <w:rFonts w:ascii="Segoe UI" w:hAnsi="Segoe UI" w:cs="Segoe UI"/>
          <w:sz w:val="22"/>
          <w:szCs w:val="22"/>
          <w:lang w:eastAsia="en-GB"/>
        </w:rPr>
      </w:pPr>
      <w:del w:id="3732" w:author="AbbVie2" w:date="2025-05-13T16:36:00Z">
        <w:r w:rsidRPr="00140561">
          <w:rPr>
            <w:sz w:val="22"/>
            <w:szCs w:val="22"/>
          </w:rPr>
          <w:delText>Os objetivos coprimários do estudo foram a remissão clínica de acordo com a PMS (definida como PMS ≤ 2 e sem subpontuação individual &gt; 1) na Semana 8, e a remissão clínica de acordo com a FMS (pontuação completa de Mayo) (definida como uma pontuação de Mayo ≤ 2 e sem subpontuação individual &gt; 1) na Semana 52 em doentes que obtiveram resposta clínica de acordo com a PMS na Semana 8.</w:delText>
        </w:r>
      </w:del>
    </w:p>
    <w:p w14:paraId="2425CB63" w14:textId="4D4231F6" w:rsidR="002F486F" w:rsidRPr="00140561" w:rsidRDefault="00615769" w:rsidP="002F486F">
      <w:pPr>
        <w:textAlignment w:val="baseline"/>
        <w:rPr>
          <w:del w:id="3733" w:author="AbbVie2" w:date="2025-05-13T16:36:00Z"/>
          <w:sz w:val="22"/>
          <w:szCs w:val="22"/>
        </w:rPr>
      </w:pPr>
      <w:del w:id="3734" w:author="AbbVie2" w:date="2025-05-13T16:36:00Z">
        <w:r w:rsidRPr="00140561">
          <w:rPr>
            <w:sz w:val="22"/>
            <w:szCs w:val="22"/>
          </w:rPr>
          <w:delText>As taxas de remissão clínica de acordo com a PMS na Semana 8 para os doentes em cada um dos grupos de indução</w:delText>
        </w:r>
        <w:r>
          <w:rPr>
            <w:sz w:val="22"/>
            <w:szCs w:val="22"/>
          </w:rPr>
          <w:delText xml:space="preserve"> de Humira</w:delText>
        </w:r>
        <w:r w:rsidRPr="00140561">
          <w:rPr>
            <w:sz w:val="22"/>
            <w:szCs w:val="22"/>
          </w:rPr>
          <w:delText xml:space="preserve"> em dupla ocultação</w:delText>
        </w:r>
        <w:r>
          <w:rPr>
            <w:sz w:val="22"/>
            <w:szCs w:val="22"/>
          </w:rPr>
          <w:delText xml:space="preserve"> são apresentadas na </w:delText>
        </w:r>
        <w:r w:rsidRPr="00140561">
          <w:rPr>
            <w:sz w:val="22"/>
            <w:szCs w:val="22"/>
          </w:rPr>
          <w:delText>Tabela 26. </w:delText>
        </w:r>
      </w:del>
    </w:p>
    <w:p w14:paraId="58F85135" w14:textId="3E8A5B6D" w:rsidR="002F486F" w:rsidRPr="00140561" w:rsidRDefault="00615769" w:rsidP="002F486F">
      <w:pPr>
        <w:pStyle w:val="gtcbodytext"/>
        <w:keepNext/>
        <w:jc w:val="center"/>
        <w:rPr>
          <w:del w:id="3735" w:author="AbbVie2" w:date="2025-05-13T16:36:00Z"/>
          <w:sz w:val="22"/>
          <w:szCs w:val="22"/>
          <w:lang w:val="pt-PT"/>
        </w:rPr>
      </w:pPr>
      <w:del w:id="3736" w:author="AbbVie2" w:date="2025-05-13T16:36:00Z">
        <w:r w:rsidRPr="00140561">
          <w:rPr>
            <w:b/>
            <w:sz w:val="22"/>
            <w:szCs w:val="22"/>
            <w:lang w:val="pt-PT"/>
          </w:rPr>
          <w:delText>Tabela</w:delText>
        </w:r>
        <w:r>
          <w:rPr>
            <w:b/>
            <w:sz w:val="22"/>
            <w:szCs w:val="22"/>
            <w:lang w:val="pt-PT"/>
          </w:rPr>
          <w:delText> </w:delText>
        </w:r>
        <w:r w:rsidRPr="00140561">
          <w:rPr>
            <w:b/>
            <w:sz w:val="22"/>
            <w:szCs w:val="22"/>
            <w:lang w:val="pt-PT"/>
          </w:rPr>
          <w:delText xml:space="preserve">26: Remissão </w:delText>
        </w:r>
        <w:r>
          <w:rPr>
            <w:b/>
            <w:sz w:val="22"/>
            <w:szCs w:val="22"/>
            <w:lang w:val="pt-PT"/>
          </w:rPr>
          <w:delText>C</w:delText>
        </w:r>
        <w:r w:rsidRPr="00140561">
          <w:rPr>
            <w:b/>
            <w:sz w:val="22"/>
            <w:szCs w:val="22"/>
            <w:lang w:val="pt-PT"/>
          </w:rPr>
          <w:delText xml:space="preserve">línica de acordo com a PMS </w:delText>
        </w:r>
        <w:r>
          <w:rPr>
            <w:b/>
            <w:sz w:val="22"/>
            <w:szCs w:val="22"/>
            <w:lang w:val="pt-PT"/>
          </w:rPr>
          <w:delText xml:space="preserve">à Semana 8 </w:delText>
        </w:r>
      </w:del>
    </w:p>
    <w:tbl>
      <w:tblPr>
        <w:tblW w:w="4246" w:type="pct"/>
        <w:jc w:val="center"/>
        <w:tblLook w:val="04A0" w:firstRow="1" w:lastRow="0" w:firstColumn="1" w:lastColumn="0" w:noHBand="0" w:noVBand="1"/>
      </w:tblPr>
      <w:tblGrid>
        <w:gridCol w:w="1904"/>
        <w:gridCol w:w="2867"/>
        <w:gridCol w:w="2919"/>
      </w:tblGrid>
      <w:tr w:rsidR="00A7162A" w14:paraId="600DB1D6" w14:textId="60D15BDA" w:rsidTr="00140561">
        <w:trPr>
          <w:jc w:val="center"/>
          <w:del w:id="3737" w:author="AbbVie2" w:date="2025-05-13T16:36: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9503997" w14:textId="5CE22AF4" w:rsidR="00953E6E" w:rsidRPr="00140561" w:rsidRDefault="00953E6E" w:rsidP="002F486F">
            <w:pPr>
              <w:keepNext/>
              <w:rPr>
                <w:del w:id="3738" w:author="AbbVie2" w:date="2025-05-13T16:36:00Z"/>
                <w:sz w:val="22"/>
                <w:szCs w:val="22"/>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5BE3FCE" w14:textId="46D07C11" w:rsidR="00953E6E" w:rsidRPr="003A4405" w:rsidRDefault="00615769" w:rsidP="002F486F">
            <w:pPr>
              <w:pStyle w:val="paragraph"/>
              <w:keepNext/>
              <w:spacing w:before="0" w:beforeAutospacing="0" w:after="0" w:afterAutospacing="0" w:line="276" w:lineRule="auto"/>
              <w:jc w:val="center"/>
              <w:textAlignment w:val="baseline"/>
              <w:rPr>
                <w:del w:id="3739" w:author="AbbVie2" w:date="2025-05-13T16:36:00Z"/>
                <w:rFonts w:ascii="Segoe UI" w:hAnsi="Segoe UI" w:cs="Segoe UI"/>
                <w:sz w:val="22"/>
                <w:szCs w:val="22"/>
                <w:lang w:val="pt-PT"/>
              </w:rPr>
            </w:pPr>
            <w:del w:id="3740" w:author="AbbVie2" w:date="2025-05-13T16:36:00Z">
              <w:r w:rsidRPr="003A4405">
                <w:rPr>
                  <w:rStyle w:val="spellingerror"/>
                  <w:rFonts w:cs="Calibri"/>
                  <w:b/>
                  <w:bCs/>
                  <w:sz w:val="22"/>
                  <w:szCs w:val="22"/>
                  <w:lang w:val="pt-PT"/>
                </w:rPr>
                <w:delText>Humira</w:delText>
              </w:r>
              <w:r w:rsidRPr="003A4405">
                <w:rPr>
                  <w:rStyle w:val="spellingerror"/>
                  <w:rFonts w:cs="Calibri"/>
                  <w:b/>
                  <w:sz w:val="22"/>
                  <w:szCs w:val="22"/>
                  <w:vertAlign w:val="superscript"/>
                  <w:lang w:val="pt-PT"/>
                </w:rPr>
                <w:delText>a</w:delText>
              </w:r>
              <w:r w:rsidRPr="003A4405">
                <w:rPr>
                  <w:rStyle w:val="eop"/>
                  <w:rFonts w:cs="Calibri"/>
                  <w:sz w:val="22"/>
                  <w:szCs w:val="22"/>
                  <w:lang w:val="pt-PT"/>
                </w:rPr>
                <w:delText> </w:delText>
              </w:r>
            </w:del>
          </w:p>
          <w:p w14:paraId="0EA29589" w14:textId="3C7913F5" w:rsidR="00953E6E" w:rsidRPr="002F486F" w:rsidRDefault="00615769" w:rsidP="002F486F">
            <w:pPr>
              <w:keepNext/>
              <w:spacing w:line="276" w:lineRule="auto"/>
              <w:jc w:val="center"/>
              <w:rPr>
                <w:del w:id="3741" w:author="AbbVie2" w:date="2025-05-13T16:36:00Z"/>
                <w:rStyle w:val="eop"/>
                <w:rFonts w:cs="Calibri"/>
                <w:sz w:val="22"/>
                <w:szCs w:val="22"/>
              </w:rPr>
            </w:pPr>
            <w:del w:id="3742" w:author="AbbVie2" w:date="2025-05-13T16:36:00Z">
              <w:r w:rsidRPr="00140561">
                <w:rPr>
                  <w:rStyle w:val="normaltextrun"/>
                  <w:rFonts w:cs="Calibri"/>
                  <w:b/>
                  <w:bCs/>
                  <w:sz w:val="22"/>
                  <w:szCs w:val="22"/>
                </w:rPr>
                <w:delText>Máximo de 160 mg na Semana 0 / Placebo na Semana 1</w:delText>
              </w:r>
              <w:r w:rsidRPr="00140561">
                <w:rPr>
                  <w:rStyle w:val="eop"/>
                  <w:rFonts w:cs="Calibri"/>
                  <w:sz w:val="22"/>
                  <w:szCs w:val="22"/>
                </w:rPr>
                <w:delText> </w:delText>
              </w:r>
            </w:del>
          </w:p>
          <w:p w14:paraId="0E4F5821" w14:textId="605265E9" w:rsidR="00953E6E" w:rsidRPr="00AD4F25" w:rsidRDefault="00615769" w:rsidP="002F486F">
            <w:pPr>
              <w:keepNext/>
              <w:spacing w:line="276" w:lineRule="auto"/>
              <w:jc w:val="center"/>
              <w:rPr>
                <w:del w:id="3743" w:author="AbbVie2" w:date="2025-05-13T16:36:00Z"/>
                <w:sz w:val="22"/>
                <w:szCs w:val="22"/>
                <w:rPrChange w:id="3744" w:author="AbbVie2" w:date="2025-05-14T10:17:00Z">
                  <w:rPr>
                    <w:del w:id="3745" w:author="AbbVie2" w:date="2025-05-13T16:36:00Z"/>
                    <w:sz w:val="22"/>
                    <w:szCs w:val="22"/>
                    <w:lang w:val="en-US"/>
                  </w:rPr>
                </w:rPrChange>
              </w:rPr>
            </w:pPr>
            <w:del w:id="3746" w:author="AbbVie2" w:date="2025-05-13T16:36:00Z">
              <w:r w:rsidRPr="00140561">
                <w:rPr>
                  <w:rStyle w:val="eop"/>
                  <w:rFonts w:cs="Calibri"/>
                  <w:sz w:val="22"/>
                  <w:szCs w:val="22"/>
                </w:rPr>
                <w:delText>N=30</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4F495AD" w14:textId="4695DC5E" w:rsidR="00953E6E" w:rsidRPr="003A4405" w:rsidRDefault="00615769" w:rsidP="002F486F">
            <w:pPr>
              <w:pStyle w:val="paragraph"/>
              <w:keepNext/>
              <w:spacing w:before="0" w:beforeAutospacing="0" w:after="0" w:afterAutospacing="0" w:line="276" w:lineRule="auto"/>
              <w:jc w:val="center"/>
              <w:textAlignment w:val="baseline"/>
              <w:rPr>
                <w:del w:id="3747" w:author="AbbVie2" w:date="2025-05-13T16:36:00Z"/>
                <w:rFonts w:ascii="Segoe UI" w:hAnsi="Segoe UI" w:cs="Segoe UI"/>
                <w:sz w:val="22"/>
                <w:szCs w:val="22"/>
                <w:lang w:val="pt-PT"/>
              </w:rPr>
            </w:pPr>
            <w:del w:id="3748" w:author="AbbVie2" w:date="2025-05-13T16:36:00Z">
              <w:r w:rsidRPr="003A4405">
                <w:rPr>
                  <w:rStyle w:val="spellingerror"/>
                  <w:rFonts w:cs="Calibri"/>
                  <w:b/>
                  <w:bCs/>
                  <w:sz w:val="22"/>
                  <w:szCs w:val="22"/>
                  <w:lang w:val="pt-PT"/>
                </w:rPr>
                <w:delText>Humira</w:delText>
              </w:r>
              <w:r w:rsidRPr="003A4405">
                <w:rPr>
                  <w:rStyle w:val="spellingerror"/>
                  <w:rFonts w:cs="Calibri"/>
                  <w:b/>
                  <w:sz w:val="22"/>
                  <w:szCs w:val="22"/>
                  <w:vertAlign w:val="superscript"/>
                  <w:lang w:val="pt-PT"/>
                </w:rPr>
                <w:delText>b</w:delText>
              </w:r>
              <w:r w:rsidRPr="003A4405">
                <w:rPr>
                  <w:rStyle w:val="normaltextrun"/>
                  <w:rFonts w:cs="Calibri"/>
                  <w:b/>
                  <w:sz w:val="22"/>
                  <w:szCs w:val="22"/>
                  <w:vertAlign w:val="superscript"/>
                  <w:lang w:val="pt-PT"/>
                </w:rPr>
                <w:delText>, c</w:delText>
              </w:r>
              <w:r w:rsidRPr="003A4405">
                <w:rPr>
                  <w:rStyle w:val="eop"/>
                  <w:rFonts w:cs="Calibri"/>
                  <w:sz w:val="22"/>
                  <w:szCs w:val="22"/>
                  <w:lang w:val="pt-PT"/>
                </w:rPr>
                <w:delText> </w:delText>
              </w:r>
            </w:del>
          </w:p>
          <w:p w14:paraId="061EBD5B" w14:textId="40A10AFC" w:rsidR="00953E6E" w:rsidRPr="002F486F" w:rsidRDefault="00615769" w:rsidP="002F486F">
            <w:pPr>
              <w:keepNext/>
              <w:spacing w:line="276" w:lineRule="auto"/>
              <w:jc w:val="center"/>
              <w:rPr>
                <w:del w:id="3749" w:author="AbbVie2" w:date="2025-05-13T16:36:00Z"/>
                <w:rStyle w:val="eop"/>
                <w:rFonts w:cs="Calibri"/>
                <w:sz w:val="22"/>
                <w:szCs w:val="22"/>
              </w:rPr>
            </w:pPr>
            <w:del w:id="3750" w:author="AbbVie2" w:date="2025-05-13T16:36:00Z">
              <w:r w:rsidRPr="00140561">
                <w:rPr>
                  <w:rStyle w:val="normaltextrun"/>
                  <w:rFonts w:cs="Calibri"/>
                  <w:b/>
                  <w:bCs/>
                  <w:sz w:val="22"/>
                  <w:szCs w:val="22"/>
                </w:rPr>
                <w:delText>Máximo de 160 mg na Semana 0 e Semana 1</w:delText>
              </w:r>
              <w:r w:rsidRPr="00140561">
                <w:rPr>
                  <w:rStyle w:val="eop"/>
                  <w:rFonts w:cs="Calibri"/>
                  <w:sz w:val="22"/>
                  <w:szCs w:val="22"/>
                </w:rPr>
                <w:delText> </w:delText>
              </w:r>
            </w:del>
          </w:p>
          <w:p w14:paraId="645305AD" w14:textId="19BC1DD6" w:rsidR="00953E6E" w:rsidRPr="00AD4F25" w:rsidRDefault="00615769" w:rsidP="002F486F">
            <w:pPr>
              <w:keepNext/>
              <w:spacing w:line="276" w:lineRule="auto"/>
              <w:jc w:val="center"/>
              <w:rPr>
                <w:del w:id="3751" w:author="AbbVie2" w:date="2025-05-13T16:36:00Z"/>
                <w:sz w:val="22"/>
                <w:szCs w:val="22"/>
                <w:rPrChange w:id="3752" w:author="AbbVie2" w:date="2025-05-14T10:17:00Z">
                  <w:rPr>
                    <w:del w:id="3753" w:author="AbbVie2" w:date="2025-05-13T16:36:00Z"/>
                    <w:sz w:val="22"/>
                    <w:szCs w:val="22"/>
                    <w:lang w:val="en-US"/>
                  </w:rPr>
                </w:rPrChange>
              </w:rPr>
            </w:pPr>
            <w:del w:id="3754" w:author="AbbVie2" w:date="2025-05-13T16:36:00Z">
              <w:r w:rsidRPr="00140561">
                <w:rPr>
                  <w:rStyle w:val="eop"/>
                  <w:rFonts w:cs="Calibri"/>
                  <w:sz w:val="22"/>
                  <w:szCs w:val="22"/>
                </w:rPr>
                <w:delText>N=47</w:delText>
              </w:r>
            </w:del>
          </w:p>
        </w:tc>
      </w:tr>
      <w:tr w:rsidR="00A7162A" w14:paraId="5ABA912A" w14:textId="3773E449" w:rsidTr="00140561">
        <w:trPr>
          <w:jc w:val="center"/>
          <w:del w:id="3755" w:author="AbbVie2" w:date="2025-05-13T16:36: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86C3F7A" w14:textId="3AC196F2" w:rsidR="00953E6E" w:rsidRPr="00AD4F25" w:rsidRDefault="00615769" w:rsidP="002F486F">
            <w:pPr>
              <w:keepNext/>
              <w:spacing w:line="276" w:lineRule="auto"/>
              <w:rPr>
                <w:del w:id="3756" w:author="AbbVie2" w:date="2025-05-13T16:36:00Z"/>
                <w:sz w:val="22"/>
                <w:szCs w:val="22"/>
                <w:rPrChange w:id="3757" w:author="AbbVie2" w:date="2025-05-14T10:17:00Z">
                  <w:rPr>
                    <w:del w:id="3758" w:author="AbbVie2" w:date="2025-05-13T16:36:00Z"/>
                    <w:sz w:val="22"/>
                    <w:szCs w:val="22"/>
                    <w:lang w:val="en-US"/>
                  </w:rPr>
                </w:rPrChange>
              </w:rPr>
            </w:pPr>
            <w:del w:id="3759" w:author="AbbVie2" w:date="2025-05-13T16:36:00Z">
              <w:r w:rsidRPr="00AD4F25">
                <w:rPr>
                  <w:sz w:val="22"/>
                  <w:szCs w:val="22"/>
                  <w:rPrChange w:id="3760" w:author="AbbVie2" w:date="2025-05-14T10:17:00Z">
                    <w:rPr>
                      <w:sz w:val="22"/>
                      <w:szCs w:val="22"/>
                      <w:lang w:val="en-US"/>
                    </w:rPr>
                  </w:rPrChange>
                </w:rPr>
                <w:delText>Remissão clínica</w:delText>
              </w:r>
            </w:del>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BCBF1E7" w14:textId="0F560FD3" w:rsidR="00953E6E" w:rsidRPr="00AD4F25" w:rsidRDefault="00615769" w:rsidP="002F486F">
            <w:pPr>
              <w:keepNext/>
              <w:spacing w:line="276" w:lineRule="auto"/>
              <w:jc w:val="center"/>
              <w:rPr>
                <w:del w:id="3761" w:author="AbbVie2" w:date="2025-05-13T16:36:00Z"/>
                <w:sz w:val="22"/>
                <w:szCs w:val="22"/>
                <w:rPrChange w:id="3762" w:author="AbbVie2" w:date="2025-05-14T10:17:00Z">
                  <w:rPr>
                    <w:del w:id="3763" w:author="AbbVie2" w:date="2025-05-13T16:36:00Z"/>
                    <w:sz w:val="22"/>
                    <w:szCs w:val="22"/>
                    <w:lang w:val="en-US"/>
                  </w:rPr>
                </w:rPrChange>
              </w:rPr>
            </w:pPr>
            <w:del w:id="3764" w:author="AbbVie2" w:date="2025-05-13T16:36:00Z">
              <w:r w:rsidRPr="00AD4F25">
                <w:rPr>
                  <w:sz w:val="22"/>
                  <w:szCs w:val="22"/>
                  <w:rPrChange w:id="3765" w:author="AbbVie2" w:date="2025-05-14T10:17:00Z">
                    <w:rPr>
                      <w:sz w:val="22"/>
                      <w:szCs w:val="22"/>
                      <w:lang w:val="en-US"/>
                    </w:rPr>
                  </w:rPrChange>
                </w:rPr>
                <w:delText>13/30 (43,3%)</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A0C08CE" w14:textId="372F9500" w:rsidR="00953E6E" w:rsidRPr="00AD4F25" w:rsidRDefault="00615769" w:rsidP="002F486F">
            <w:pPr>
              <w:keepNext/>
              <w:spacing w:line="276" w:lineRule="auto"/>
              <w:jc w:val="center"/>
              <w:rPr>
                <w:del w:id="3766" w:author="AbbVie2" w:date="2025-05-13T16:36:00Z"/>
                <w:sz w:val="22"/>
                <w:szCs w:val="22"/>
                <w:vertAlign w:val="superscript"/>
                <w:rPrChange w:id="3767" w:author="AbbVie2" w:date="2025-05-14T10:17:00Z">
                  <w:rPr>
                    <w:del w:id="3768" w:author="AbbVie2" w:date="2025-05-13T16:36:00Z"/>
                    <w:sz w:val="22"/>
                    <w:szCs w:val="22"/>
                    <w:vertAlign w:val="superscript"/>
                    <w:lang w:val="en-US"/>
                  </w:rPr>
                </w:rPrChange>
              </w:rPr>
            </w:pPr>
            <w:del w:id="3769" w:author="AbbVie2" w:date="2025-05-13T16:36:00Z">
              <w:r w:rsidRPr="00AD4F25">
                <w:rPr>
                  <w:sz w:val="22"/>
                  <w:szCs w:val="22"/>
                  <w:rPrChange w:id="3770" w:author="AbbVie2" w:date="2025-05-14T10:17:00Z">
                    <w:rPr>
                      <w:sz w:val="22"/>
                      <w:szCs w:val="22"/>
                      <w:lang w:val="en-US"/>
                    </w:rPr>
                  </w:rPrChange>
                </w:rPr>
                <w:delText>28/47 (59,6%)</w:delText>
              </w:r>
            </w:del>
          </w:p>
        </w:tc>
      </w:tr>
      <w:tr w:rsidR="00A7162A" w14:paraId="68F9530E" w14:textId="01ECE4EF" w:rsidTr="00140561">
        <w:trPr>
          <w:trHeight w:val="2517"/>
          <w:jc w:val="center"/>
          <w:del w:id="3771" w:author="AbbVie2" w:date="2025-05-13T16:36:00Z"/>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25FD94A" w14:textId="250902D3" w:rsidR="00953E6E" w:rsidRPr="00140561" w:rsidRDefault="00615769" w:rsidP="002F486F">
            <w:pPr>
              <w:pStyle w:val="paragraph"/>
              <w:keepNext/>
              <w:spacing w:before="0" w:beforeAutospacing="0" w:after="0" w:afterAutospacing="0" w:line="276" w:lineRule="auto"/>
              <w:textAlignment w:val="baseline"/>
              <w:rPr>
                <w:del w:id="3772" w:author="AbbVie2" w:date="2025-05-13T16:36:00Z"/>
                <w:rFonts w:ascii="Segoe UI" w:hAnsi="Segoe UI" w:cs="Segoe UI"/>
                <w:sz w:val="22"/>
                <w:szCs w:val="22"/>
                <w:lang w:val="pt-PT"/>
              </w:rPr>
            </w:pPr>
            <w:del w:id="3773" w:author="AbbVie2" w:date="2025-05-13T16:36:00Z">
              <w:r w:rsidRPr="00140561">
                <w:rPr>
                  <w:rStyle w:val="normaltextrun"/>
                  <w:sz w:val="22"/>
                  <w:szCs w:val="22"/>
                  <w:vertAlign w:val="superscript"/>
                  <w:lang w:val="pt-PT"/>
                </w:rPr>
                <w:delText>a </w:delText>
              </w:r>
              <w:r w:rsidR="00813F73" w:rsidRPr="00813F73">
                <w:rPr>
                  <w:rStyle w:val="normaltextrun"/>
                  <w:sz w:val="22"/>
                  <w:szCs w:val="22"/>
                  <w:lang w:val="pt-PT"/>
                </w:rPr>
                <w:delText>Humira 2,4</w:delText>
              </w:r>
              <w:r w:rsidR="00140561" w:rsidRPr="00140561">
                <w:rPr>
                  <w:rStyle w:val="normaltextrun"/>
                  <w:sz w:val="22"/>
                  <w:szCs w:val="22"/>
                  <w:lang w:val="pt-PT"/>
                </w:rPr>
                <w:delText> </w:delText>
              </w:r>
              <w:r w:rsidR="00813F73">
                <w:rPr>
                  <w:rStyle w:val="normaltextrun"/>
                  <w:sz w:val="22"/>
                  <w:szCs w:val="22"/>
                  <w:lang w:val="pt-PT"/>
                </w:rPr>
                <w:delText xml:space="preserve">mg/kg </w:delText>
              </w:r>
              <w:r w:rsidR="00140561" w:rsidRPr="00140561">
                <w:rPr>
                  <w:rStyle w:val="normaltextrun"/>
                  <w:sz w:val="22"/>
                  <w:szCs w:val="22"/>
                  <w:lang w:val="pt-PT"/>
                </w:rPr>
                <w:delText>(</w:delText>
              </w:r>
              <w:r w:rsidR="007916BF">
                <w:rPr>
                  <w:rStyle w:val="normaltextrun"/>
                  <w:sz w:val="22"/>
                  <w:szCs w:val="22"/>
                  <w:lang w:val="pt-PT"/>
                </w:rPr>
                <w:delText>máximo de </w:delText>
              </w:r>
              <w:r w:rsidR="00140561" w:rsidRPr="00140561">
                <w:rPr>
                  <w:rStyle w:val="normaltextrun"/>
                  <w:sz w:val="22"/>
                  <w:szCs w:val="22"/>
                  <w:lang w:val="pt-PT"/>
                </w:rPr>
                <w:delText>160 mg) na Semana 0, p</w:delText>
              </w:r>
              <w:r w:rsidR="007916BF">
                <w:rPr>
                  <w:rStyle w:val="normaltextrun"/>
                  <w:sz w:val="22"/>
                  <w:szCs w:val="22"/>
                  <w:lang w:val="pt-PT"/>
                </w:rPr>
                <w:delText xml:space="preserve">lacebo na Semana 1, e 1,2 mg/kg </w:delText>
              </w:r>
              <w:r w:rsidR="00140561" w:rsidRPr="00140561">
                <w:rPr>
                  <w:rStyle w:val="normaltextrun"/>
                  <w:sz w:val="22"/>
                  <w:szCs w:val="22"/>
                  <w:lang w:val="pt-PT"/>
                </w:rPr>
                <w:delText>(</w:delText>
              </w:r>
              <w:r w:rsidR="007916BF">
                <w:rPr>
                  <w:rStyle w:val="normaltextrun"/>
                  <w:sz w:val="22"/>
                  <w:szCs w:val="22"/>
                  <w:lang w:val="pt-PT"/>
                </w:rPr>
                <w:delText>máximo de </w:delText>
              </w:r>
              <w:r w:rsidR="00140561" w:rsidRPr="00140561">
                <w:rPr>
                  <w:rStyle w:val="normaltextrun"/>
                  <w:sz w:val="22"/>
                  <w:szCs w:val="22"/>
                  <w:lang w:val="pt-PT"/>
                </w:rPr>
                <w:delText>80 mg) na Semana 2</w:delText>
              </w:r>
              <w:r w:rsidR="00140561">
                <w:rPr>
                  <w:rStyle w:val="normaltextrun"/>
                  <w:sz w:val="22"/>
                  <w:szCs w:val="22"/>
                  <w:lang w:val="pt-PT"/>
                </w:rPr>
                <w:delText> </w:delText>
              </w:r>
            </w:del>
          </w:p>
          <w:p w14:paraId="721FCE56" w14:textId="0B1D22F5" w:rsidR="00953E6E" w:rsidRPr="00140561" w:rsidRDefault="00615769" w:rsidP="002F486F">
            <w:pPr>
              <w:pStyle w:val="paragraph"/>
              <w:keepNext/>
              <w:spacing w:before="0" w:beforeAutospacing="0" w:after="0" w:afterAutospacing="0" w:line="276" w:lineRule="auto"/>
              <w:textAlignment w:val="baseline"/>
              <w:rPr>
                <w:del w:id="3774" w:author="AbbVie2" w:date="2025-05-13T16:36:00Z"/>
                <w:rFonts w:ascii="Segoe UI" w:hAnsi="Segoe UI" w:cs="Segoe UI"/>
                <w:sz w:val="22"/>
                <w:szCs w:val="22"/>
                <w:lang w:val="pt-PT"/>
              </w:rPr>
            </w:pPr>
            <w:del w:id="3775" w:author="AbbVie2" w:date="2025-05-13T16:36:00Z">
              <w:r w:rsidRPr="00140561">
                <w:rPr>
                  <w:rStyle w:val="normaltextrun"/>
                  <w:sz w:val="22"/>
                  <w:szCs w:val="22"/>
                  <w:vertAlign w:val="superscript"/>
                  <w:lang w:val="pt-PT"/>
                </w:rPr>
                <w:delText>b </w:delText>
              </w:r>
              <w:r w:rsidR="00813F73" w:rsidRPr="00813F73">
                <w:rPr>
                  <w:rStyle w:val="normaltextrun"/>
                  <w:sz w:val="22"/>
                  <w:szCs w:val="22"/>
                  <w:lang w:val="pt-PT"/>
                </w:rPr>
                <w:delText>Humira 2,4</w:delText>
              </w:r>
              <w:r w:rsidR="00813F73" w:rsidRPr="00140561">
                <w:rPr>
                  <w:rStyle w:val="normaltextrun"/>
                  <w:sz w:val="22"/>
                  <w:szCs w:val="22"/>
                  <w:lang w:val="pt-PT"/>
                </w:rPr>
                <w:delText> </w:delText>
              </w:r>
              <w:r w:rsidR="00813F73">
                <w:rPr>
                  <w:rStyle w:val="normaltextrun"/>
                  <w:sz w:val="22"/>
                  <w:szCs w:val="22"/>
                  <w:lang w:val="pt-PT"/>
                </w:rPr>
                <w:delText xml:space="preserve">mg/kg </w:delText>
              </w:r>
              <w:r w:rsidR="00140561" w:rsidRPr="00140561">
                <w:rPr>
                  <w:rStyle w:val="normaltextrun"/>
                  <w:sz w:val="22"/>
                  <w:szCs w:val="22"/>
                  <w:lang w:val="pt-PT"/>
                </w:rPr>
                <w:delText>(</w:delText>
              </w:r>
              <w:r w:rsidR="007916BF">
                <w:rPr>
                  <w:rStyle w:val="normaltextrun"/>
                  <w:sz w:val="22"/>
                  <w:szCs w:val="22"/>
                  <w:lang w:val="pt-PT"/>
                </w:rPr>
                <w:delText>máximo de </w:delText>
              </w:r>
              <w:r w:rsidR="00140561" w:rsidRPr="00140561">
                <w:rPr>
                  <w:rStyle w:val="normaltextrun"/>
                  <w:sz w:val="22"/>
                  <w:szCs w:val="22"/>
                  <w:lang w:val="pt-PT"/>
                </w:rPr>
                <w:delText>160 mg) na Semana 0 e na Semana 1, e 1,2 mg/kg</w:delText>
              </w:r>
              <w:r w:rsidR="007916BF">
                <w:rPr>
                  <w:rStyle w:val="normaltextrun"/>
                  <w:sz w:val="22"/>
                  <w:szCs w:val="22"/>
                  <w:lang w:val="pt-PT"/>
                </w:rPr>
                <w:delText xml:space="preserve"> </w:delText>
              </w:r>
              <w:r w:rsidR="00140561" w:rsidRPr="00140561">
                <w:rPr>
                  <w:rStyle w:val="normaltextrun"/>
                  <w:sz w:val="22"/>
                  <w:szCs w:val="22"/>
                  <w:lang w:val="pt-PT"/>
                </w:rPr>
                <w:delText>(</w:delText>
              </w:r>
              <w:r w:rsidR="007916BF">
                <w:rPr>
                  <w:rStyle w:val="normaltextrun"/>
                  <w:sz w:val="22"/>
                  <w:szCs w:val="22"/>
                  <w:lang w:val="pt-PT"/>
                </w:rPr>
                <w:delText>máximo de </w:delText>
              </w:r>
              <w:r w:rsidR="00140561" w:rsidRPr="00140561">
                <w:rPr>
                  <w:rStyle w:val="normaltextrun"/>
                  <w:sz w:val="22"/>
                  <w:szCs w:val="22"/>
                  <w:lang w:val="pt-PT"/>
                </w:rPr>
                <w:delText>80 mg) na Semana 2</w:delText>
              </w:r>
              <w:r w:rsidRPr="00140561">
                <w:rPr>
                  <w:rStyle w:val="eop"/>
                  <w:sz w:val="22"/>
                  <w:szCs w:val="22"/>
                  <w:lang w:val="pt-PT"/>
                </w:rPr>
                <w:delText> </w:delText>
              </w:r>
            </w:del>
          </w:p>
          <w:p w14:paraId="493BAD02" w14:textId="625DB451" w:rsidR="00953E6E" w:rsidRPr="00140561" w:rsidRDefault="00615769" w:rsidP="002F486F">
            <w:pPr>
              <w:pStyle w:val="paragraph"/>
              <w:keepNext/>
              <w:spacing w:before="0" w:beforeAutospacing="0" w:after="0" w:afterAutospacing="0" w:line="276" w:lineRule="auto"/>
              <w:textAlignment w:val="baseline"/>
              <w:rPr>
                <w:del w:id="3776" w:author="AbbVie2" w:date="2025-05-13T16:36:00Z"/>
                <w:rFonts w:ascii="Segoe UI" w:hAnsi="Segoe UI" w:cs="Segoe UI"/>
                <w:sz w:val="22"/>
                <w:szCs w:val="22"/>
                <w:lang w:val="pt-PT"/>
              </w:rPr>
            </w:pPr>
            <w:del w:id="3777" w:author="AbbVie2" w:date="2025-05-13T16:36:00Z">
              <w:r w:rsidRPr="00140561">
                <w:rPr>
                  <w:rStyle w:val="normaltextrun"/>
                  <w:rFonts w:cs="Calibri"/>
                  <w:sz w:val="22"/>
                  <w:szCs w:val="22"/>
                  <w:vertAlign w:val="superscript"/>
                  <w:lang w:val="pt-PT"/>
                </w:rPr>
                <w:delText>c</w:delText>
              </w:r>
              <w:r w:rsidR="00140561" w:rsidRPr="00FF4AB1">
                <w:rPr>
                  <w:rStyle w:val="normaltextrun"/>
                  <w:sz w:val="22"/>
                  <w:szCs w:val="22"/>
                  <w:vertAlign w:val="superscript"/>
                  <w:lang w:val="pt-PT"/>
                </w:rPr>
                <w:delText> </w:delText>
              </w:r>
              <w:r w:rsidR="00140561" w:rsidRPr="00140561">
                <w:rPr>
                  <w:rStyle w:val="normaltextrun"/>
                  <w:rFonts w:cs="Calibri"/>
                  <w:sz w:val="22"/>
                  <w:szCs w:val="22"/>
                  <w:lang w:val="pt-PT"/>
                </w:rPr>
                <w:delText xml:space="preserve">Sem incluir a dose de indução </w:delText>
              </w:r>
              <w:r w:rsidR="0035376C">
                <w:rPr>
                  <w:rStyle w:val="normaltextrun"/>
                  <w:rFonts w:cs="Calibri"/>
                  <w:sz w:val="22"/>
                  <w:szCs w:val="22"/>
                  <w:lang w:val="pt-PT"/>
                </w:rPr>
                <w:delText>e</w:delText>
              </w:r>
              <w:r w:rsidR="0035376C" w:rsidRPr="002F486F">
                <w:rPr>
                  <w:rStyle w:val="normaltextrun"/>
                  <w:rFonts w:cs="Calibri"/>
                  <w:lang w:val="pt-PT"/>
                </w:rPr>
                <w:delText>m fa</w:delText>
              </w:r>
              <w:r w:rsidR="0035376C">
                <w:rPr>
                  <w:rStyle w:val="normaltextrun"/>
                  <w:rFonts w:cs="Calibri"/>
                  <w:lang w:val="pt-PT"/>
                </w:rPr>
                <w:delText xml:space="preserve">se </w:delText>
              </w:r>
              <w:r w:rsidR="00140561" w:rsidRPr="00140561">
                <w:rPr>
                  <w:rStyle w:val="normaltextrun"/>
                  <w:rFonts w:cs="Calibri"/>
                  <w:sz w:val="22"/>
                  <w:szCs w:val="22"/>
                  <w:lang w:val="pt-PT"/>
                </w:rPr>
                <w:delText>aberta de 2,4 mg/kg de Humira (máximo</w:delText>
              </w:r>
              <w:r w:rsidR="007916BF">
                <w:rPr>
                  <w:rStyle w:val="normaltextrun"/>
                  <w:rFonts w:cs="Calibri"/>
                  <w:sz w:val="22"/>
                  <w:szCs w:val="22"/>
                  <w:lang w:val="pt-PT"/>
                </w:rPr>
                <w:delText xml:space="preserve"> de </w:delText>
              </w:r>
              <w:r w:rsidR="00140561" w:rsidRPr="00140561">
                <w:rPr>
                  <w:rStyle w:val="normaltextrun"/>
                  <w:rFonts w:cs="Calibri"/>
                  <w:sz w:val="22"/>
                  <w:szCs w:val="22"/>
                  <w:lang w:val="pt-PT"/>
                </w:rPr>
                <w:delText>160 mg) na Semana 0 e na Semana 1, e 1,2 mg/kg</w:delText>
              </w:r>
              <w:r w:rsidR="007916BF">
                <w:rPr>
                  <w:rStyle w:val="normaltextrun"/>
                  <w:rFonts w:cs="Calibri"/>
                  <w:sz w:val="22"/>
                  <w:szCs w:val="22"/>
                  <w:lang w:val="pt-PT"/>
                </w:rPr>
                <w:delText xml:space="preserve"> </w:delText>
              </w:r>
              <w:r w:rsidR="00140561" w:rsidRPr="00140561">
                <w:rPr>
                  <w:rStyle w:val="normaltextrun"/>
                  <w:rFonts w:cs="Calibri"/>
                  <w:sz w:val="22"/>
                  <w:szCs w:val="22"/>
                  <w:lang w:val="pt-PT"/>
                </w:rPr>
                <w:delText>(</w:delText>
              </w:r>
              <w:r w:rsidR="007916BF">
                <w:rPr>
                  <w:rStyle w:val="normaltextrun"/>
                  <w:rFonts w:cs="Calibri"/>
                  <w:sz w:val="22"/>
                  <w:szCs w:val="22"/>
                  <w:lang w:val="pt-PT"/>
                </w:rPr>
                <w:delText>máximo de </w:delText>
              </w:r>
              <w:r w:rsidR="00140561" w:rsidRPr="00140561">
                <w:rPr>
                  <w:rStyle w:val="normaltextrun"/>
                  <w:rFonts w:cs="Calibri"/>
                  <w:sz w:val="22"/>
                  <w:szCs w:val="22"/>
                  <w:lang w:val="pt-PT"/>
                </w:rPr>
                <w:delText>80 mg) na Semana 2</w:delText>
              </w:r>
            </w:del>
          </w:p>
          <w:p w14:paraId="1168F1A2" w14:textId="727649F2" w:rsidR="00953E6E" w:rsidRPr="00174CD0" w:rsidRDefault="00615769" w:rsidP="002F486F">
            <w:pPr>
              <w:pStyle w:val="paragraph"/>
              <w:keepNext/>
              <w:spacing w:before="0" w:beforeAutospacing="0" w:after="0" w:afterAutospacing="0" w:line="276" w:lineRule="auto"/>
              <w:textAlignment w:val="baseline"/>
              <w:rPr>
                <w:del w:id="3778" w:author="AbbVie2" w:date="2025-05-13T16:36:00Z"/>
                <w:rFonts w:ascii="Segoe UI" w:hAnsi="Segoe UI" w:cs="Segoe UI"/>
                <w:sz w:val="22"/>
                <w:szCs w:val="22"/>
                <w:lang w:val="pt-PT"/>
              </w:rPr>
            </w:pPr>
            <w:del w:id="3779" w:author="AbbVie2" w:date="2025-05-13T16:36:00Z">
              <w:r w:rsidRPr="00174CD0">
                <w:rPr>
                  <w:rStyle w:val="normaltextrun"/>
                  <w:rFonts w:cs="Calibri"/>
                  <w:sz w:val="22"/>
                  <w:szCs w:val="22"/>
                  <w:lang w:val="pt-PT"/>
                </w:rPr>
                <w:delText>Nota 1: Ambos os grupos de indução receberam 0,6 mg/kg (</w:delText>
              </w:r>
              <w:r w:rsidR="007916BF">
                <w:rPr>
                  <w:rStyle w:val="normaltextrun"/>
                  <w:rFonts w:cs="Calibri"/>
                  <w:sz w:val="22"/>
                  <w:szCs w:val="22"/>
                  <w:lang w:val="pt-PT"/>
                </w:rPr>
                <w:delText>máximo de </w:delText>
              </w:r>
              <w:r w:rsidRPr="00174CD0">
                <w:rPr>
                  <w:rStyle w:val="normaltextrun"/>
                  <w:rFonts w:cs="Calibri"/>
                  <w:sz w:val="22"/>
                  <w:szCs w:val="22"/>
                  <w:lang w:val="pt-PT"/>
                </w:rPr>
                <w:delText>40 mg) na Semana 4 e na Semana 6</w:delText>
              </w:r>
              <w:r w:rsidRPr="00174CD0">
                <w:rPr>
                  <w:rStyle w:val="eop"/>
                  <w:rFonts w:cs="Calibri"/>
                  <w:sz w:val="22"/>
                  <w:szCs w:val="22"/>
                  <w:lang w:val="pt-PT"/>
                </w:rPr>
                <w:delText> </w:delText>
              </w:r>
            </w:del>
          </w:p>
          <w:p w14:paraId="020A8768" w14:textId="5008F006" w:rsidR="00953E6E" w:rsidRPr="00174CD0" w:rsidRDefault="00615769" w:rsidP="002F486F">
            <w:pPr>
              <w:pStyle w:val="paragraph"/>
              <w:keepNext/>
              <w:spacing w:before="0" w:beforeAutospacing="0" w:after="0" w:afterAutospacing="0" w:line="276" w:lineRule="auto"/>
              <w:textAlignment w:val="baseline"/>
              <w:rPr>
                <w:del w:id="3780" w:author="AbbVie2" w:date="2025-05-13T16:36:00Z"/>
                <w:sz w:val="22"/>
                <w:szCs w:val="22"/>
                <w:lang w:val="pt-PT"/>
              </w:rPr>
            </w:pPr>
            <w:del w:id="3781" w:author="AbbVie2" w:date="2025-05-13T16:36:00Z">
              <w:r w:rsidRPr="00174CD0">
                <w:rPr>
                  <w:rStyle w:val="normaltextrun"/>
                  <w:rFonts w:cs="Calibri"/>
                  <w:sz w:val="22"/>
                  <w:szCs w:val="22"/>
                  <w:lang w:val="pt-PT"/>
                </w:rPr>
                <w:delText xml:space="preserve">Nota 2: </w:delText>
              </w:r>
              <w:r w:rsidR="00174CD0" w:rsidRPr="00174CD0">
                <w:rPr>
                  <w:rStyle w:val="normaltextrun"/>
                  <w:rFonts w:cs="Calibri"/>
                  <w:sz w:val="22"/>
                  <w:szCs w:val="22"/>
                  <w:lang w:val="pt-PT"/>
                </w:rPr>
                <w:delText xml:space="preserve">Considerou-se que os doentes com valores em falta na Semana 8 não </w:delText>
              </w:r>
              <w:r w:rsidR="0035376C">
                <w:rPr>
                  <w:rStyle w:val="normaltextrun"/>
                  <w:rFonts w:cs="Calibri"/>
                  <w:sz w:val="22"/>
                  <w:szCs w:val="22"/>
                  <w:lang w:val="pt-PT"/>
                </w:rPr>
                <w:delText>atingiram</w:delText>
              </w:r>
              <w:r w:rsidR="00174CD0" w:rsidRPr="00174CD0">
                <w:rPr>
                  <w:rStyle w:val="normaltextrun"/>
                  <w:rFonts w:cs="Calibri"/>
                  <w:sz w:val="22"/>
                  <w:szCs w:val="22"/>
                  <w:lang w:val="pt-PT"/>
                </w:rPr>
                <w:delText xml:space="preserve"> o objetivo</w:delText>
              </w:r>
              <w:r w:rsidRPr="00174CD0">
                <w:rPr>
                  <w:rStyle w:val="eop"/>
                  <w:rFonts w:cs="Calibri"/>
                  <w:sz w:val="22"/>
                  <w:szCs w:val="22"/>
                  <w:lang w:val="pt-PT"/>
                </w:rPr>
                <w:delText> </w:delText>
              </w:r>
            </w:del>
          </w:p>
        </w:tc>
      </w:tr>
    </w:tbl>
    <w:p w14:paraId="3FF43BB8" w14:textId="781754A0" w:rsidR="00953E6E" w:rsidRPr="00174CD0" w:rsidRDefault="00953E6E" w:rsidP="00953E6E">
      <w:pPr>
        <w:rPr>
          <w:del w:id="3782" w:author="AbbVie2" w:date="2025-05-13T16:36:00Z"/>
          <w:rStyle w:val="normaltextrun"/>
          <w:sz w:val="22"/>
          <w:szCs w:val="22"/>
          <w:shd w:val="clear" w:color="auto" w:fill="FFFFFF"/>
        </w:rPr>
      </w:pPr>
    </w:p>
    <w:p w14:paraId="17A3E773" w14:textId="6F247F71" w:rsidR="00953E6E" w:rsidRPr="00174CD0" w:rsidRDefault="00615769" w:rsidP="00953E6E">
      <w:pPr>
        <w:rPr>
          <w:del w:id="3783" w:author="AbbVie2" w:date="2025-05-13T16:36:00Z"/>
          <w:sz w:val="22"/>
          <w:szCs w:val="22"/>
        </w:rPr>
      </w:pPr>
      <w:del w:id="3784" w:author="AbbVie2" w:date="2025-05-13T16:36:00Z">
        <w:r w:rsidRPr="00174CD0">
          <w:rPr>
            <w:rStyle w:val="normaltextrun"/>
            <w:sz w:val="22"/>
            <w:szCs w:val="22"/>
            <w:shd w:val="clear" w:color="auto" w:fill="FFFFFF"/>
          </w:rPr>
          <w:delText>Na Semana 52, foram avaliadas a remissão clínica de acor</w:delText>
        </w:r>
        <w:r w:rsidR="0082333B">
          <w:rPr>
            <w:rStyle w:val="normaltextrun"/>
            <w:sz w:val="22"/>
            <w:szCs w:val="22"/>
            <w:shd w:val="clear" w:color="auto" w:fill="FFFFFF"/>
          </w:rPr>
          <w:delText>do com a FMS nos respondedores da</w:delText>
        </w:r>
        <w:r w:rsidRPr="00174CD0">
          <w:rPr>
            <w:rStyle w:val="normaltextrun"/>
            <w:sz w:val="22"/>
            <w:szCs w:val="22"/>
            <w:shd w:val="clear" w:color="auto" w:fill="FFFFFF"/>
          </w:rPr>
          <w:delText xml:space="preserve"> Semana 8, a resposta clínica de acordo com a FMS (definida como uma diminuição na pontuação de Mayo ≥ 3 pontos e ≥ 30% em comparação com os val</w:delText>
        </w:r>
        <w:r w:rsidR="0082333B">
          <w:rPr>
            <w:rStyle w:val="normaltextrun"/>
            <w:sz w:val="22"/>
            <w:szCs w:val="22"/>
            <w:shd w:val="clear" w:color="auto" w:fill="FFFFFF"/>
          </w:rPr>
          <w:delText xml:space="preserve">ores </w:delText>
        </w:r>
        <w:r w:rsidR="0003518D">
          <w:rPr>
            <w:rStyle w:val="normaltextrun"/>
            <w:sz w:val="22"/>
            <w:szCs w:val="22"/>
            <w:shd w:val="clear" w:color="auto" w:fill="FFFFFF"/>
          </w:rPr>
          <w:delText>iniciais</w:delText>
        </w:r>
        <w:r w:rsidR="0082333B">
          <w:rPr>
            <w:rStyle w:val="normaltextrun"/>
            <w:sz w:val="22"/>
            <w:szCs w:val="22"/>
            <w:shd w:val="clear" w:color="auto" w:fill="FFFFFF"/>
          </w:rPr>
          <w:delText>) nos respondedores da</w:delText>
        </w:r>
        <w:r w:rsidRPr="00174CD0">
          <w:rPr>
            <w:rStyle w:val="normaltextrun"/>
            <w:sz w:val="22"/>
            <w:szCs w:val="22"/>
            <w:shd w:val="clear" w:color="auto" w:fill="FFFFFF"/>
          </w:rPr>
          <w:delText xml:space="preserve"> Semana 8, a cicatrização da mucosa (definida como </w:delText>
        </w:r>
        <w:r w:rsidR="00CB07D4">
          <w:rPr>
            <w:rStyle w:val="normaltextrun"/>
            <w:sz w:val="22"/>
            <w:szCs w:val="22"/>
            <w:shd w:val="clear" w:color="auto" w:fill="FFFFFF"/>
          </w:rPr>
          <w:delText>sub</w:delText>
        </w:r>
        <w:r w:rsidRPr="00174CD0">
          <w:rPr>
            <w:rStyle w:val="normaltextrun"/>
            <w:sz w:val="22"/>
            <w:szCs w:val="22"/>
            <w:shd w:val="clear" w:color="auto" w:fill="FFFFFF"/>
          </w:rPr>
          <w:delText xml:space="preserve">pontuação de endoscopia </w:delText>
        </w:r>
        <w:r w:rsidR="0082333B">
          <w:rPr>
            <w:rStyle w:val="normaltextrun"/>
            <w:sz w:val="22"/>
            <w:szCs w:val="22"/>
            <w:shd w:val="clear" w:color="auto" w:fill="FFFFFF"/>
          </w:rPr>
          <w:delText>de Mayo ≤ 1) nos respondedores da</w:delText>
        </w:r>
        <w:r w:rsidRPr="00174CD0">
          <w:rPr>
            <w:rStyle w:val="normaltextrun"/>
            <w:sz w:val="22"/>
            <w:szCs w:val="22"/>
            <w:shd w:val="clear" w:color="auto" w:fill="FFFFFF"/>
          </w:rPr>
          <w:delText xml:space="preserve"> Semana 8, a remissão clínica de acordo com</w:delText>
        </w:r>
        <w:r w:rsidR="0082333B">
          <w:rPr>
            <w:rStyle w:val="normaltextrun"/>
            <w:sz w:val="22"/>
            <w:szCs w:val="22"/>
            <w:shd w:val="clear" w:color="auto" w:fill="FFFFFF"/>
          </w:rPr>
          <w:delText xml:space="preserve"> a FMS nos doentes em remissão da</w:delText>
        </w:r>
        <w:r w:rsidRPr="00174CD0">
          <w:rPr>
            <w:rStyle w:val="normaltextrun"/>
            <w:sz w:val="22"/>
            <w:szCs w:val="22"/>
            <w:shd w:val="clear" w:color="auto" w:fill="FFFFFF"/>
          </w:rPr>
          <w:delText xml:space="preserve"> Semana 8 e a proporção dos indivíduos em remissão livre de corticosteroides de acor</w:delText>
        </w:r>
        <w:r w:rsidR="0082333B">
          <w:rPr>
            <w:rStyle w:val="normaltextrun"/>
            <w:sz w:val="22"/>
            <w:szCs w:val="22"/>
            <w:shd w:val="clear" w:color="auto" w:fill="FFFFFF"/>
          </w:rPr>
          <w:delText>do com a FMS nos respondedores da</w:delText>
        </w:r>
        <w:r w:rsidRPr="00174CD0">
          <w:rPr>
            <w:rStyle w:val="normaltextrun"/>
            <w:sz w:val="22"/>
            <w:szCs w:val="22"/>
            <w:shd w:val="clear" w:color="auto" w:fill="FFFFFF"/>
          </w:rPr>
          <w:delText xml:space="preserve"> Semana 8, em doentes que receberam as doses de manutenção de Humira em dupla ocultação de, no máximo, 40 mg</w:delText>
        </w:r>
        <w:r w:rsidR="00D22E86">
          <w:rPr>
            <w:rStyle w:val="normaltextrun"/>
            <w:sz w:val="22"/>
            <w:szCs w:val="22"/>
            <w:shd w:val="clear" w:color="auto" w:fill="FFFFFF"/>
          </w:rPr>
          <w:delText xml:space="preserve"> em semanas alternadas </w:delText>
        </w:r>
        <w:r w:rsidRPr="00174CD0">
          <w:rPr>
            <w:rStyle w:val="normaltextrun"/>
            <w:sz w:val="22"/>
            <w:szCs w:val="22"/>
            <w:shd w:val="clear" w:color="auto" w:fill="FFFFFF"/>
          </w:rPr>
          <w:delText>(0,6 mg/kg) e de, no máximo, 40 mg</w:delText>
        </w:r>
        <w:r w:rsidR="00D22E86">
          <w:rPr>
            <w:rStyle w:val="normaltextrun"/>
            <w:sz w:val="22"/>
            <w:szCs w:val="22"/>
            <w:shd w:val="clear" w:color="auto" w:fill="FFFFFF"/>
          </w:rPr>
          <w:delText xml:space="preserve"> semanalmente</w:delText>
        </w:r>
        <w:r w:rsidRPr="00174CD0">
          <w:rPr>
            <w:rStyle w:val="normaltextrun"/>
            <w:sz w:val="22"/>
            <w:szCs w:val="22"/>
            <w:shd w:val="clear" w:color="auto" w:fill="FFFFFF"/>
          </w:rPr>
          <w:delText> (0,6 mg/kg)</w:delText>
        </w:r>
        <w:r w:rsidR="00075F60">
          <w:rPr>
            <w:rStyle w:val="normaltextrun"/>
            <w:sz w:val="22"/>
            <w:szCs w:val="22"/>
            <w:shd w:val="clear" w:color="auto" w:fill="FFFFFF"/>
          </w:rPr>
          <w:delText xml:space="preserve"> </w:delText>
        </w:r>
        <w:r w:rsidRPr="00174CD0">
          <w:rPr>
            <w:rStyle w:val="normaltextrun"/>
            <w:sz w:val="22"/>
            <w:szCs w:val="22"/>
            <w:shd w:val="clear" w:color="auto" w:fill="FFFFFF"/>
          </w:rPr>
          <w:delText>(Tabela 27).</w:delText>
        </w:r>
        <w:r w:rsidRPr="00174CD0">
          <w:rPr>
            <w:rStyle w:val="eop"/>
            <w:sz w:val="22"/>
            <w:szCs w:val="22"/>
            <w:shd w:val="clear" w:color="auto" w:fill="FFFFFF"/>
          </w:rPr>
          <w:delText> </w:delText>
        </w:r>
      </w:del>
    </w:p>
    <w:p w14:paraId="05F2E5F2" w14:textId="6639F9C0" w:rsidR="00953E6E" w:rsidRPr="00174CD0" w:rsidRDefault="00953E6E" w:rsidP="00953E6E">
      <w:pPr>
        <w:rPr>
          <w:del w:id="3785" w:author="AbbVie2" w:date="2025-05-13T16:36:00Z"/>
          <w:sz w:val="22"/>
          <w:szCs w:val="22"/>
        </w:rPr>
      </w:pPr>
    </w:p>
    <w:p w14:paraId="526C2D1C" w14:textId="68506A58" w:rsidR="002F486F" w:rsidRPr="0082333B" w:rsidRDefault="00615769" w:rsidP="00B538F3">
      <w:pPr>
        <w:jc w:val="center"/>
        <w:textAlignment w:val="baseline"/>
        <w:rPr>
          <w:del w:id="3786" w:author="AbbVie2" w:date="2025-05-13T16:36:00Z"/>
          <w:sz w:val="22"/>
          <w:szCs w:val="22"/>
          <w:lang w:eastAsia="en-GB"/>
        </w:rPr>
      </w:pPr>
      <w:del w:id="3787" w:author="AbbVie2" w:date="2025-05-13T16:36:00Z">
        <w:r w:rsidRPr="0082333B">
          <w:rPr>
            <w:b/>
            <w:sz w:val="22"/>
            <w:szCs w:val="22"/>
            <w:lang w:eastAsia="en-GB"/>
          </w:rPr>
          <w:delText xml:space="preserve">Tabela 27: Resultados de </w:delText>
        </w:r>
        <w:r>
          <w:rPr>
            <w:b/>
            <w:sz w:val="22"/>
            <w:szCs w:val="22"/>
            <w:lang w:eastAsia="en-GB"/>
          </w:rPr>
          <w:delText>E</w:delText>
        </w:r>
        <w:r w:rsidRPr="0082333B">
          <w:rPr>
            <w:b/>
            <w:sz w:val="22"/>
            <w:szCs w:val="22"/>
            <w:lang w:eastAsia="en-GB"/>
          </w:rPr>
          <w:delText>ficácia à Semana</w:delText>
        </w:r>
        <w:r>
          <w:rPr>
            <w:b/>
            <w:sz w:val="22"/>
            <w:szCs w:val="22"/>
            <w:lang w:eastAsia="en-GB"/>
          </w:rPr>
          <w:delText xml:space="preserve"> 52</w:delText>
        </w:r>
        <w:r w:rsidRPr="0082333B">
          <w:rPr>
            <w:sz w:val="22"/>
            <w:szCs w:val="22"/>
            <w:lang w:eastAsia="en-GB"/>
          </w:rPr>
          <w:delText> </w:delText>
        </w:r>
      </w:del>
    </w:p>
    <w:p w14:paraId="1B0B6DDB" w14:textId="700CA7E7" w:rsidR="00953E6E" w:rsidRPr="0082333B" w:rsidRDefault="00953E6E" w:rsidP="00B538F3">
      <w:pPr>
        <w:jc w:val="center"/>
        <w:textAlignment w:val="baseline"/>
        <w:rPr>
          <w:del w:id="3788" w:author="AbbVie2" w:date="2025-05-13T16:36:00Z"/>
          <w:sz w:val="22"/>
          <w:szCs w:val="22"/>
          <w:lang w:eastAsia="en-GB"/>
        </w:rPr>
      </w:pP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6"/>
        <w:gridCol w:w="2409"/>
        <w:gridCol w:w="2633"/>
      </w:tblGrid>
      <w:tr w:rsidR="00A7162A" w14:paraId="434CBF74" w14:textId="564F5CEE" w:rsidTr="00140561">
        <w:trPr>
          <w:trHeight w:val="912"/>
          <w:jc w:val="center"/>
          <w:del w:id="3789" w:author="AbbVie2" w:date="2025-05-13T16:36:00Z"/>
        </w:trPr>
        <w:tc>
          <w:tcPr>
            <w:tcW w:w="2526" w:type="dxa"/>
            <w:tcBorders>
              <w:top w:val="single" w:sz="6" w:space="0" w:color="auto"/>
              <w:left w:val="single" w:sz="6" w:space="0" w:color="auto"/>
              <w:bottom w:val="single" w:sz="6" w:space="0" w:color="auto"/>
              <w:right w:val="single" w:sz="6" w:space="0" w:color="auto"/>
            </w:tcBorders>
            <w:hideMark/>
          </w:tcPr>
          <w:p w14:paraId="20822681" w14:textId="30924560" w:rsidR="00953E6E" w:rsidRPr="0082333B" w:rsidRDefault="00953E6E" w:rsidP="00B538F3">
            <w:pPr>
              <w:jc w:val="center"/>
              <w:textAlignment w:val="baseline"/>
              <w:rPr>
                <w:del w:id="3790" w:author="AbbVie2" w:date="2025-05-13T16:36:00Z"/>
                <w:sz w:val="22"/>
                <w:szCs w:val="22"/>
                <w:lang w:eastAsia="en-GB"/>
              </w:rPr>
            </w:pPr>
          </w:p>
        </w:tc>
        <w:tc>
          <w:tcPr>
            <w:tcW w:w="2409" w:type="dxa"/>
            <w:tcBorders>
              <w:top w:val="single" w:sz="6" w:space="0" w:color="auto"/>
              <w:left w:val="nil"/>
              <w:bottom w:val="single" w:sz="6" w:space="0" w:color="auto"/>
              <w:right w:val="single" w:sz="6" w:space="0" w:color="auto"/>
            </w:tcBorders>
            <w:vAlign w:val="center"/>
            <w:hideMark/>
          </w:tcPr>
          <w:p w14:paraId="3C0BE254" w14:textId="373630C0" w:rsidR="00953E6E" w:rsidRPr="003A4405" w:rsidRDefault="00615769" w:rsidP="00B538F3">
            <w:pPr>
              <w:jc w:val="center"/>
              <w:textAlignment w:val="baseline"/>
              <w:rPr>
                <w:del w:id="3791" w:author="AbbVie2" w:date="2025-05-13T16:36:00Z"/>
                <w:sz w:val="22"/>
                <w:szCs w:val="22"/>
                <w:lang w:eastAsia="en-GB"/>
              </w:rPr>
            </w:pPr>
            <w:del w:id="3792" w:author="AbbVie2" w:date="2025-05-13T16:36:00Z">
              <w:r w:rsidRPr="003A4405">
                <w:rPr>
                  <w:b/>
                  <w:bCs/>
                  <w:sz w:val="22"/>
                  <w:szCs w:val="22"/>
                  <w:lang w:eastAsia="en-GB"/>
                </w:rPr>
                <w:delText>Humira</w:delText>
              </w:r>
              <w:r w:rsidRPr="003A4405">
                <w:rPr>
                  <w:b/>
                  <w:sz w:val="22"/>
                  <w:szCs w:val="22"/>
                  <w:vertAlign w:val="superscript"/>
                  <w:lang w:eastAsia="en-GB"/>
                </w:rPr>
                <w:delText>a</w:delText>
              </w:r>
              <w:r w:rsidRPr="003A4405">
                <w:rPr>
                  <w:b/>
                  <w:bCs/>
                  <w:sz w:val="22"/>
                  <w:szCs w:val="22"/>
                  <w:lang w:eastAsia="en-GB"/>
                </w:rPr>
                <w:delText> </w:delText>
              </w:r>
              <w:r w:rsidRPr="003A4405">
                <w:rPr>
                  <w:sz w:val="22"/>
                  <w:szCs w:val="22"/>
                  <w:lang w:eastAsia="en-GB"/>
                </w:rPr>
                <w:delText> </w:delText>
              </w:r>
            </w:del>
          </w:p>
          <w:p w14:paraId="2EF68496" w14:textId="3E46B70B" w:rsidR="0082333B" w:rsidRPr="0082333B" w:rsidRDefault="00615769" w:rsidP="00B538F3">
            <w:pPr>
              <w:jc w:val="center"/>
              <w:textAlignment w:val="baseline"/>
              <w:rPr>
                <w:del w:id="3793" w:author="AbbVie2" w:date="2025-05-13T16:36:00Z"/>
                <w:sz w:val="22"/>
                <w:szCs w:val="22"/>
                <w:lang w:eastAsia="en-GB"/>
              </w:rPr>
            </w:pPr>
            <w:del w:id="3794" w:author="AbbVie2" w:date="2025-05-13T16:36:00Z">
              <w:r w:rsidRPr="0082333B">
                <w:rPr>
                  <w:b/>
                  <w:bCs/>
                  <w:sz w:val="22"/>
                  <w:szCs w:val="22"/>
                  <w:lang w:eastAsia="en-GB"/>
                </w:rPr>
                <w:delText>Máximo de 40 mg</w:delText>
              </w:r>
              <w:r w:rsidR="00D22E86">
                <w:rPr>
                  <w:b/>
                  <w:bCs/>
                  <w:sz w:val="22"/>
                  <w:szCs w:val="22"/>
                  <w:lang w:eastAsia="en-GB"/>
                </w:rPr>
                <w:delText xml:space="preserve"> em semanas alternadas</w:delText>
              </w:r>
              <w:r w:rsidRPr="0082333B">
                <w:rPr>
                  <w:sz w:val="22"/>
                  <w:szCs w:val="22"/>
                  <w:lang w:eastAsia="en-GB"/>
                </w:rPr>
                <w:delText> </w:delText>
              </w:r>
            </w:del>
          </w:p>
          <w:p w14:paraId="424940B0" w14:textId="395BFBE2" w:rsidR="00953E6E" w:rsidRPr="0082333B" w:rsidRDefault="00615769" w:rsidP="00B538F3">
            <w:pPr>
              <w:jc w:val="center"/>
              <w:textAlignment w:val="baseline"/>
              <w:rPr>
                <w:del w:id="3795" w:author="AbbVie2" w:date="2025-05-13T16:36:00Z"/>
                <w:sz w:val="22"/>
                <w:szCs w:val="22"/>
                <w:lang w:eastAsia="en-GB"/>
              </w:rPr>
            </w:pPr>
            <w:del w:id="3796" w:author="AbbVie2" w:date="2025-05-13T16:36:00Z">
              <w:r w:rsidRPr="0082333B">
                <w:rPr>
                  <w:sz w:val="22"/>
                  <w:szCs w:val="22"/>
                  <w:lang w:eastAsia="en-GB"/>
                </w:rPr>
                <w:delText>N=31</w:delText>
              </w:r>
            </w:del>
          </w:p>
        </w:tc>
        <w:tc>
          <w:tcPr>
            <w:tcW w:w="2633" w:type="dxa"/>
            <w:tcBorders>
              <w:top w:val="single" w:sz="6" w:space="0" w:color="auto"/>
              <w:left w:val="nil"/>
              <w:bottom w:val="single" w:sz="6" w:space="0" w:color="auto"/>
              <w:right w:val="single" w:sz="6" w:space="0" w:color="auto"/>
            </w:tcBorders>
            <w:vAlign w:val="center"/>
            <w:hideMark/>
          </w:tcPr>
          <w:p w14:paraId="0F4383BF" w14:textId="6E81DF6B" w:rsidR="00953E6E" w:rsidRPr="003A4405" w:rsidRDefault="00615769" w:rsidP="00B538F3">
            <w:pPr>
              <w:jc w:val="center"/>
              <w:textAlignment w:val="baseline"/>
              <w:rPr>
                <w:del w:id="3797" w:author="AbbVie2" w:date="2025-05-13T16:36:00Z"/>
                <w:sz w:val="22"/>
                <w:szCs w:val="22"/>
                <w:lang w:eastAsia="en-GB"/>
              </w:rPr>
            </w:pPr>
            <w:del w:id="3798" w:author="AbbVie2" w:date="2025-05-13T16:36:00Z">
              <w:r w:rsidRPr="003A4405">
                <w:rPr>
                  <w:b/>
                  <w:bCs/>
                  <w:sz w:val="22"/>
                  <w:szCs w:val="22"/>
                  <w:lang w:eastAsia="en-GB"/>
                </w:rPr>
                <w:delText>Humira</w:delText>
              </w:r>
              <w:r w:rsidRPr="003A4405">
                <w:rPr>
                  <w:b/>
                  <w:sz w:val="22"/>
                  <w:szCs w:val="22"/>
                  <w:vertAlign w:val="superscript"/>
                  <w:lang w:eastAsia="en-GB"/>
                </w:rPr>
                <w:delText>b</w:delText>
              </w:r>
              <w:r w:rsidRPr="003A4405">
                <w:rPr>
                  <w:b/>
                  <w:bCs/>
                  <w:sz w:val="22"/>
                  <w:szCs w:val="22"/>
                  <w:lang w:eastAsia="en-GB"/>
                </w:rPr>
                <w:delText> </w:delText>
              </w:r>
              <w:r w:rsidRPr="003A4405">
                <w:rPr>
                  <w:sz w:val="22"/>
                  <w:szCs w:val="22"/>
                  <w:lang w:eastAsia="en-GB"/>
                </w:rPr>
                <w:delText> </w:delText>
              </w:r>
            </w:del>
          </w:p>
          <w:p w14:paraId="2C21E7C4" w14:textId="60E0C015" w:rsidR="00953E6E" w:rsidRPr="003A4405" w:rsidRDefault="00615769" w:rsidP="00B538F3">
            <w:pPr>
              <w:jc w:val="center"/>
              <w:textAlignment w:val="baseline"/>
              <w:rPr>
                <w:del w:id="3799" w:author="AbbVie2" w:date="2025-05-13T16:36:00Z"/>
                <w:sz w:val="22"/>
                <w:szCs w:val="22"/>
                <w:lang w:eastAsia="en-GB"/>
              </w:rPr>
            </w:pPr>
            <w:del w:id="3800" w:author="AbbVie2" w:date="2025-05-13T16:36:00Z">
              <w:r w:rsidRPr="003A4405">
                <w:rPr>
                  <w:b/>
                  <w:bCs/>
                  <w:sz w:val="22"/>
                  <w:szCs w:val="22"/>
                  <w:lang w:eastAsia="en-GB"/>
                </w:rPr>
                <w:delText>Máximo de 40 mg</w:delText>
              </w:r>
              <w:r w:rsidR="00D22E86" w:rsidRPr="003A4405">
                <w:rPr>
                  <w:b/>
                  <w:bCs/>
                  <w:sz w:val="22"/>
                  <w:szCs w:val="22"/>
                  <w:lang w:eastAsia="en-GB"/>
                </w:rPr>
                <w:delText xml:space="preserve"> semanalmente</w:delText>
              </w:r>
              <w:r w:rsidRPr="003A4405">
                <w:rPr>
                  <w:sz w:val="22"/>
                  <w:szCs w:val="22"/>
                  <w:lang w:eastAsia="en-GB"/>
                </w:rPr>
                <w:delText> </w:delText>
              </w:r>
            </w:del>
          </w:p>
          <w:p w14:paraId="2BC51894" w14:textId="11326B69" w:rsidR="00953E6E" w:rsidRPr="003A4405" w:rsidRDefault="00615769" w:rsidP="00B538F3">
            <w:pPr>
              <w:jc w:val="center"/>
              <w:textAlignment w:val="baseline"/>
              <w:rPr>
                <w:del w:id="3801" w:author="AbbVie2" w:date="2025-05-13T16:36:00Z"/>
                <w:sz w:val="22"/>
                <w:szCs w:val="22"/>
                <w:lang w:eastAsia="en-GB"/>
              </w:rPr>
            </w:pPr>
            <w:del w:id="3802" w:author="AbbVie2" w:date="2025-05-13T16:36:00Z">
              <w:r w:rsidRPr="003A4405">
                <w:rPr>
                  <w:sz w:val="22"/>
                  <w:szCs w:val="22"/>
                  <w:lang w:eastAsia="en-GB"/>
                </w:rPr>
                <w:delText>N=31</w:delText>
              </w:r>
            </w:del>
          </w:p>
        </w:tc>
      </w:tr>
      <w:tr w:rsidR="00A7162A" w14:paraId="2EB54A73" w14:textId="7D20BBE8" w:rsidTr="00140561">
        <w:trPr>
          <w:trHeight w:val="570"/>
          <w:jc w:val="center"/>
          <w:del w:id="3803" w:author="AbbVie2" w:date="2025-05-13T16:36:00Z"/>
        </w:trPr>
        <w:tc>
          <w:tcPr>
            <w:tcW w:w="2526" w:type="dxa"/>
            <w:tcBorders>
              <w:top w:val="nil"/>
              <w:left w:val="single" w:sz="6" w:space="0" w:color="auto"/>
              <w:bottom w:val="single" w:sz="6" w:space="0" w:color="auto"/>
              <w:right w:val="single" w:sz="6" w:space="0" w:color="auto"/>
            </w:tcBorders>
            <w:vAlign w:val="center"/>
            <w:hideMark/>
          </w:tcPr>
          <w:p w14:paraId="7259AF3D" w14:textId="314EABD5" w:rsidR="00953E6E" w:rsidRPr="00813F73" w:rsidRDefault="00615769" w:rsidP="00B538F3">
            <w:pPr>
              <w:textAlignment w:val="baseline"/>
              <w:rPr>
                <w:del w:id="3804" w:author="AbbVie2" w:date="2025-05-13T16:36:00Z"/>
                <w:sz w:val="22"/>
                <w:szCs w:val="22"/>
                <w:lang w:eastAsia="en-GB"/>
              </w:rPr>
            </w:pPr>
            <w:del w:id="3805" w:author="AbbVie2" w:date="2025-05-13T16:36:00Z">
              <w:r w:rsidRPr="00813F73">
                <w:rPr>
                  <w:sz w:val="22"/>
                  <w:szCs w:val="22"/>
                  <w:lang w:eastAsia="en-GB"/>
                </w:rPr>
                <w:delText>Remissão clínica nos respondedores PMS da Semana 8 </w:delText>
              </w:r>
            </w:del>
          </w:p>
        </w:tc>
        <w:tc>
          <w:tcPr>
            <w:tcW w:w="2409" w:type="dxa"/>
            <w:tcBorders>
              <w:top w:val="nil"/>
              <w:left w:val="nil"/>
              <w:bottom w:val="single" w:sz="6" w:space="0" w:color="auto"/>
              <w:right w:val="single" w:sz="6" w:space="0" w:color="auto"/>
            </w:tcBorders>
            <w:vAlign w:val="center"/>
            <w:hideMark/>
          </w:tcPr>
          <w:p w14:paraId="75A498CA" w14:textId="6A894359" w:rsidR="00953E6E" w:rsidRPr="0082333B" w:rsidRDefault="00615769" w:rsidP="00B538F3">
            <w:pPr>
              <w:jc w:val="center"/>
              <w:textAlignment w:val="baseline"/>
              <w:rPr>
                <w:del w:id="3806" w:author="AbbVie2" w:date="2025-05-13T16:36:00Z"/>
                <w:sz w:val="22"/>
                <w:szCs w:val="22"/>
                <w:lang w:eastAsia="en-GB"/>
              </w:rPr>
            </w:pPr>
            <w:del w:id="3807" w:author="AbbVie2" w:date="2025-05-13T16:36:00Z">
              <w:r w:rsidRPr="00AD4F25">
                <w:rPr>
                  <w:sz w:val="22"/>
                  <w:szCs w:val="22"/>
                  <w:lang w:eastAsia="en-GB"/>
                  <w:rPrChange w:id="3808" w:author="AbbVie2" w:date="2025-05-14T10:17:00Z">
                    <w:rPr>
                      <w:sz w:val="22"/>
                      <w:szCs w:val="22"/>
                      <w:lang w:val="en-US" w:eastAsia="en-GB"/>
                    </w:rPr>
                  </w:rPrChange>
                </w:rPr>
                <w:delText>9/31 (29,0%)</w:delText>
              </w:r>
              <w:r w:rsidRPr="0082333B">
                <w:rPr>
                  <w:sz w:val="22"/>
                  <w:szCs w:val="22"/>
                  <w:lang w:eastAsia="en-GB"/>
                </w:rPr>
                <w:delText> </w:delText>
              </w:r>
            </w:del>
          </w:p>
        </w:tc>
        <w:tc>
          <w:tcPr>
            <w:tcW w:w="2633" w:type="dxa"/>
            <w:tcBorders>
              <w:top w:val="nil"/>
              <w:left w:val="nil"/>
              <w:bottom w:val="single" w:sz="6" w:space="0" w:color="auto"/>
              <w:right w:val="single" w:sz="6" w:space="0" w:color="auto"/>
            </w:tcBorders>
            <w:vAlign w:val="center"/>
            <w:hideMark/>
          </w:tcPr>
          <w:p w14:paraId="4686714C" w14:textId="2823B698" w:rsidR="00953E6E" w:rsidRPr="0082333B" w:rsidRDefault="00615769" w:rsidP="00B538F3">
            <w:pPr>
              <w:jc w:val="center"/>
              <w:textAlignment w:val="baseline"/>
              <w:rPr>
                <w:del w:id="3809" w:author="AbbVie2" w:date="2025-05-13T16:36:00Z"/>
                <w:sz w:val="22"/>
                <w:szCs w:val="22"/>
                <w:lang w:eastAsia="en-GB"/>
              </w:rPr>
            </w:pPr>
            <w:del w:id="3810" w:author="AbbVie2" w:date="2025-05-13T16:36:00Z">
              <w:r w:rsidRPr="00AD4F25">
                <w:rPr>
                  <w:sz w:val="22"/>
                  <w:szCs w:val="22"/>
                  <w:lang w:eastAsia="en-GB"/>
                  <w:rPrChange w:id="3811" w:author="AbbVie2" w:date="2025-05-14T10:17:00Z">
                    <w:rPr>
                      <w:sz w:val="22"/>
                      <w:szCs w:val="22"/>
                      <w:lang w:val="en-US" w:eastAsia="en-GB"/>
                    </w:rPr>
                  </w:rPrChange>
                </w:rPr>
                <w:delText>14/31 (45</w:delText>
              </w:r>
              <w:r w:rsidR="00813F73" w:rsidRPr="00AD4F25">
                <w:rPr>
                  <w:sz w:val="22"/>
                  <w:szCs w:val="22"/>
                  <w:lang w:eastAsia="en-GB"/>
                  <w:rPrChange w:id="3812" w:author="AbbVie2" w:date="2025-05-14T10:17:00Z">
                    <w:rPr>
                      <w:sz w:val="22"/>
                      <w:szCs w:val="22"/>
                      <w:lang w:val="en-US" w:eastAsia="en-GB"/>
                    </w:rPr>
                  </w:rPrChange>
                </w:rPr>
                <w:delText>,</w:delText>
              </w:r>
              <w:r w:rsidRPr="00AD4F25">
                <w:rPr>
                  <w:sz w:val="22"/>
                  <w:szCs w:val="22"/>
                  <w:lang w:eastAsia="en-GB"/>
                  <w:rPrChange w:id="3813" w:author="AbbVie2" w:date="2025-05-14T10:17:00Z">
                    <w:rPr>
                      <w:sz w:val="22"/>
                      <w:szCs w:val="22"/>
                      <w:lang w:val="en-US" w:eastAsia="en-GB"/>
                    </w:rPr>
                  </w:rPrChange>
                </w:rPr>
                <w:delText>2%)</w:delText>
              </w:r>
            </w:del>
          </w:p>
        </w:tc>
      </w:tr>
      <w:tr w:rsidR="00A7162A" w14:paraId="032D3B76" w14:textId="5320D55C" w:rsidTr="00140561">
        <w:trPr>
          <w:trHeight w:val="555"/>
          <w:jc w:val="center"/>
          <w:del w:id="3814" w:author="AbbVie2" w:date="2025-05-13T16:36:00Z"/>
        </w:trPr>
        <w:tc>
          <w:tcPr>
            <w:tcW w:w="2526" w:type="dxa"/>
            <w:tcBorders>
              <w:top w:val="nil"/>
              <w:left w:val="single" w:sz="6" w:space="0" w:color="auto"/>
              <w:bottom w:val="single" w:sz="6" w:space="0" w:color="auto"/>
              <w:right w:val="single" w:sz="6" w:space="0" w:color="auto"/>
            </w:tcBorders>
            <w:vAlign w:val="center"/>
            <w:hideMark/>
          </w:tcPr>
          <w:p w14:paraId="7BF5EF72" w14:textId="013C433F" w:rsidR="00953E6E" w:rsidRPr="00813F73" w:rsidRDefault="00615769" w:rsidP="00B538F3">
            <w:pPr>
              <w:textAlignment w:val="baseline"/>
              <w:rPr>
                <w:del w:id="3815" w:author="AbbVie2" w:date="2025-05-13T16:36:00Z"/>
                <w:sz w:val="22"/>
                <w:szCs w:val="22"/>
                <w:lang w:eastAsia="en-GB"/>
              </w:rPr>
            </w:pPr>
            <w:del w:id="3816" w:author="AbbVie2" w:date="2025-05-13T16:36:00Z">
              <w:r w:rsidRPr="00813F73">
                <w:rPr>
                  <w:sz w:val="22"/>
                  <w:szCs w:val="22"/>
                  <w:lang w:eastAsia="en-GB"/>
                </w:rPr>
                <w:delText>Resposta clínica nos respondedores PMS da Semana 8 </w:delText>
              </w:r>
            </w:del>
          </w:p>
        </w:tc>
        <w:tc>
          <w:tcPr>
            <w:tcW w:w="2409" w:type="dxa"/>
            <w:tcBorders>
              <w:top w:val="nil"/>
              <w:left w:val="nil"/>
              <w:bottom w:val="single" w:sz="6" w:space="0" w:color="auto"/>
              <w:right w:val="single" w:sz="6" w:space="0" w:color="auto"/>
            </w:tcBorders>
            <w:vAlign w:val="center"/>
            <w:hideMark/>
          </w:tcPr>
          <w:p w14:paraId="24EFE82B" w14:textId="337FA68C" w:rsidR="00953E6E" w:rsidRPr="0082333B" w:rsidRDefault="00615769" w:rsidP="00B538F3">
            <w:pPr>
              <w:jc w:val="center"/>
              <w:textAlignment w:val="baseline"/>
              <w:rPr>
                <w:del w:id="3817" w:author="AbbVie2" w:date="2025-05-13T16:36:00Z"/>
                <w:sz w:val="22"/>
                <w:szCs w:val="22"/>
                <w:lang w:eastAsia="en-GB"/>
              </w:rPr>
            </w:pPr>
            <w:del w:id="3818" w:author="AbbVie2" w:date="2025-05-13T16:36:00Z">
              <w:r w:rsidRPr="00AD4F25">
                <w:rPr>
                  <w:sz w:val="22"/>
                  <w:szCs w:val="22"/>
                  <w:lang w:eastAsia="en-GB"/>
                  <w:rPrChange w:id="3819" w:author="AbbVie2" w:date="2025-05-14T10:17:00Z">
                    <w:rPr>
                      <w:sz w:val="22"/>
                      <w:szCs w:val="22"/>
                      <w:lang w:val="en-US" w:eastAsia="en-GB"/>
                    </w:rPr>
                  </w:rPrChange>
                </w:rPr>
                <w:delText>19/31 (61</w:delText>
              </w:r>
              <w:r w:rsidR="00813F73" w:rsidRPr="00AD4F25">
                <w:rPr>
                  <w:sz w:val="22"/>
                  <w:szCs w:val="22"/>
                  <w:lang w:eastAsia="en-GB"/>
                  <w:rPrChange w:id="3820" w:author="AbbVie2" w:date="2025-05-14T10:17:00Z">
                    <w:rPr>
                      <w:sz w:val="22"/>
                      <w:szCs w:val="22"/>
                      <w:lang w:val="en-US" w:eastAsia="en-GB"/>
                    </w:rPr>
                  </w:rPrChange>
                </w:rPr>
                <w:delText>,</w:delText>
              </w:r>
              <w:r w:rsidRPr="00AD4F25">
                <w:rPr>
                  <w:sz w:val="22"/>
                  <w:szCs w:val="22"/>
                  <w:lang w:eastAsia="en-GB"/>
                  <w:rPrChange w:id="3821" w:author="AbbVie2" w:date="2025-05-14T10:17:00Z">
                    <w:rPr>
                      <w:sz w:val="22"/>
                      <w:szCs w:val="22"/>
                      <w:lang w:val="en-US" w:eastAsia="en-GB"/>
                    </w:rPr>
                  </w:rPrChange>
                </w:rPr>
                <w:delText>3%)</w:delText>
              </w:r>
              <w:r w:rsidRPr="0082333B">
                <w:rPr>
                  <w:sz w:val="22"/>
                  <w:szCs w:val="22"/>
                  <w:lang w:eastAsia="en-GB"/>
                </w:rPr>
                <w:delText> </w:delText>
              </w:r>
            </w:del>
          </w:p>
        </w:tc>
        <w:tc>
          <w:tcPr>
            <w:tcW w:w="2633" w:type="dxa"/>
            <w:tcBorders>
              <w:top w:val="nil"/>
              <w:left w:val="nil"/>
              <w:bottom w:val="single" w:sz="6" w:space="0" w:color="auto"/>
              <w:right w:val="single" w:sz="6" w:space="0" w:color="auto"/>
            </w:tcBorders>
            <w:vAlign w:val="center"/>
            <w:hideMark/>
          </w:tcPr>
          <w:p w14:paraId="22AA87EC" w14:textId="08E1A26D" w:rsidR="00953E6E" w:rsidRPr="0082333B" w:rsidRDefault="00615769" w:rsidP="00B538F3">
            <w:pPr>
              <w:jc w:val="center"/>
              <w:textAlignment w:val="baseline"/>
              <w:rPr>
                <w:del w:id="3822" w:author="AbbVie2" w:date="2025-05-13T16:36:00Z"/>
                <w:sz w:val="22"/>
                <w:szCs w:val="22"/>
                <w:lang w:eastAsia="en-GB"/>
              </w:rPr>
            </w:pPr>
            <w:del w:id="3823" w:author="AbbVie2" w:date="2025-05-13T16:36:00Z">
              <w:r w:rsidRPr="00AD4F25">
                <w:rPr>
                  <w:sz w:val="22"/>
                  <w:szCs w:val="22"/>
                  <w:lang w:eastAsia="en-GB"/>
                  <w:rPrChange w:id="3824" w:author="AbbVie2" w:date="2025-05-14T10:17:00Z">
                    <w:rPr>
                      <w:sz w:val="22"/>
                      <w:szCs w:val="22"/>
                      <w:lang w:val="en-US" w:eastAsia="en-GB"/>
                    </w:rPr>
                  </w:rPrChange>
                </w:rPr>
                <w:delText>21/31 (67</w:delText>
              </w:r>
              <w:r w:rsidR="00813F73" w:rsidRPr="00AD4F25">
                <w:rPr>
                  <w:sz w:val="22"/>
                  <w:szCs w:val="22"/>
                  <w:lang w:eastAsia="en-GB"/>
                  <w:rPrChange w:id="3825" w:author="AbbVie2" w:date="2025-05-14T10:17:00Z">
                    <w:rPr>
                      <w:sz w:val="22"/>
                      <w:szCs w:val="22"/>
                      <w:lang w:val="en-US" w:eastAsia="en-GB"/>
                    </w:rPr>
                  </w:rPrChange>
                </w:rPr>
                <w:delText>,</w:delText>
              </w:r>
              <w:r w:rsidRPr="00AD4F25">
                <w:rPr>
                  <w:sz w:val="22"/>
                  <w:szCs w:val="22"/>
                  <w:lang w:eastAsia="en-GB"/>
                  <w:rPrChange w:id="3826" w:author="AbbVie2" w:date="2025-05-14T10:17:00Z">
                    <w:rPr>
                      <w:sz w:val="22"/>
                      <w:szCs w:val="22"/>
                      <w:lang w:val="en-US" w:eastAsia="en-GB"/>
                    </w:rPr>
                  </w:rPrChange>
                </w:rPr>
                <w:delText>7%)</w:delText>
              </w:r>
              <w:r w:rsidRPr="0082333B">
                <w:rPr>
                  <w:sz w:val="22"/>
                  <w:szCs w:val="22"/>
                  <w:lang w:eastAsia="en-GB"/>
                </w:rPr>
                <w:delText> </w:delText>
              </w:r>
            </w:del>
          </w:p>
        </w:tc>
      </w:tr>
      <w:tr w:rsidR="00A7162A" w14:paraId="5FB639D2" w14:textId="4ACD4A4C" w:rsidTr="00140561">
        <w:trPr>
          <w:jc w:val="center"/>
          <w:del w:id="3827" w:author="AbbVie2" w:date="2025-05-13T16:36:00Z"/>
        </w:trPr>
        <w:tc>
          <w:tcPr>
            <w:tcW w:w="2526" w:type="dxa"/>
            <w:tcBorders>
              <w:top w:val="nil"/>
              <w:left w:val="single" w:sz="6" w:space="0" w:color="auto"/>
              <w:bottom w:val="single" w:sz="6" w:space="0" w:color="auto"/>
              <w:right w:val="single" w:sz="6" w:space="0" w:color="auto"/>
            </w:tcBorders>
            <w:vAlign w:val="center"/>
            <w:hideMark/>
          </w:tcPr>
          <w:p w14:paraId="794EBF5B" w14:textId="58232BCD" w:rsidR="00953E6E" w:rsidRPr="00813F73" w:rsidRDefault="00615769" w:rsidP="00B538F3">
            <w:pPr>
              <w:textAlignment w:val="baseline"/>
              <w:rPr>
                <w:del w:id="3828" w:author="AbbVie2" w:date="2025-05-13T16:36:00Z"/>
                <w:sz w:val="22"/>
                <w:szCs w:val="22"/>
                <w:lang w:eastAsia="en-GB"/>
              </w:rPr>
            </w:pPr>
            <w:del w:id="3829" w:author="AbbVie2" w:date="2025-05-13T16:36:00Z">
              <w:r w:rsidRPr="00813F73">
                <w:rPr>
                  <w:sz w:val="22"/>
                  <w:szCs w:val="22"/>
                  <w:lang w:eastAsia="en-GB"/>
                </w:rPr>
                <w:delText>Cicatrização da mucosa nos respondedores PMS da Semana 8 </w:delText>
              </w:r>
            </w:del>
          </w:p>
        </w:tc>
        <w:tc>
          <w:tcPr>
            <w:tcW w:w="2409" w:type="dxa"/>
            <w:tcBorders>
              <w:top w:val="nil"/>
              <w:left w:val="nil"/>
              <w:bottom w:val="single" w:sz="6" w:space="0" w:color="auto"/>
              <w:right w:val="single" w:sz="6" w:space="0" w:color="auto"/>
            </w:tcBorders>
            <w:vAlign w:val="center"/>
            <w:hideMark/>
          </w:tcPr>
          <w:p w14:paraId="5D100DAE" w14:textId="3E010E09" w:rsidR="00953E6E" w:rsidRPr="00813F73" w:rsidRDefault="00615769" w:rsidP="00B538F3">
            <w:pPr>
              <w:jc w:val="center"/>
              <w:textAlignment w:val="baseline"/>
              <w:rPr>
                <w:del w:id="3830" w:author="AbbVie2" w:date="2025-05-13T16:36:00Z"/>
                <w:sz w:val="22"/>
                <w:szCs w:val="22"/>
                <w:lang w:eastAsia="en-GB"/>
              </w:rPr>
            </w:pPr>
            <w:del w:id="3831" w:author="AbbVie2" w:date="2025-05-13T16:36:00Z">
              <w:r w:rsidRPr="00AD4F25">
                <w:rPr>
                  <w:sz w:val="22"/>
                  <w:szCs w:val="22"/>
                  <w:lang w:eastAsia="en-GB"/>
                  <w:rPrChange w:id="3832" w:author="AbbVie2" w:date="2025-05-14T10:17:00Z">
                    <w:rPr>
                      <w:sz w:val="22"/>
                      <w:szCs w:val="22"/>
                      <w:lang w:val="en-US" w:eastAsia="en-GB"/>
                    </w:rPr>
                  </w:rPrChange>
                </w:rPr>
                <w:delText>12/31 (38</w:delText>
              </w:r>
              <w:r w:rsidR="00813F73" w:rsidRPr="00AD4F25">
                <w:rPr>
                  <w:sz w:val="22"/>
                  <w:szCs w:val="22"/>
                  <w:lang w:eastAsia="en-GB"/>
                  <w:rPrChange w:id="3833" w:author="AbbVie2" w:date="2025-05-14T10:17:00Z">
                    <w:rPr>
                      <w:sz w:val="22"/>
                      <w:szCs w:val="22"/>
                      <w:lang w:val="en-US" w:eastAsia="en-GB"/>
                    </w:rPr>
                  </w:rPrChange>
                </w:rPr>
                <w:delText>,</w:delText>
              </w:r>
              <w:r w:rsidRPr="00AD4F25">
                <w:rPr>
                  <w:sz w:val="22"/>
                  <w:szCs w:val="22"/>
                  <w:lang w:eastAsia="en-GB"/>
                  <w:rPrChange w:id="3834" w:author="AbbVie2" w:date="2025-05-14T10:17:00Z">
                    <w:rPr>
                      <w:sz w:val="22"/>
                      <w:szCs w:val="22"/>
                      <w:lang w:val="en-US" w:eastAsia="en-GB"/>
                    </w:rPr>
                  </w:rPrChange>
                </w:rPr>
                <w:delText>7%)</w:delText>
              </w:r>
              <w:r w:rsidRPr="00813F73">
                <w:rPr>
                  <w:sz w:val="22"/>
                  <w:szCs w:val="22"/>
                  <w:lang w:eastAsia="en-GB"/>
                </w:rPr>
                <w:delText> </w:delText>
              </w:r>
            </w:del>
          </w:p>
        </w:tc>
        <w:tc>
          <w:tcPr>
            <w:tcW w:w="2633" w:type="dxa"/>
            <w:tcBorders>
              <w:top w:val="nil"/>
              <w:left w:val="nil"/>
              <w:bottom w:val="single" w:sz="6" w:space="0" w:color="auto"/>
              <w:right w:val="single" w:sz="6" w:space="0" w:color="auto"/>
            </w:tcBorders>
            <w:vAlign w:val="center"/>
            <w:hideMark/>
          </w:tcPr>
          <w:p w14:paraId="4BE9B449" w14:textId="4578EA9C" w:rsidR="00953E6E" w:rsidRPr="00813F73" w:rsidRDefault="00615769" w:rsidP="00B538F3">
            <w:pPr>
              <w:jc w:val="center"/>
              <w:textAlignment w:val="baseline"/>
              <w:rPr>
                <w:del w:id="3835" w:author="AbbVie2" w:date="2025-05-13T16:36:00Z"/>
                <w:sz w:val="22"/>
                <w:szCs w:val="22"/>
                <w:lang w:eastAsia="en-GB"/>
              </w:rPr>
            </w:pPr>
            <w:del w:id="3836" w:author="AbbVie2" w:date="2025-05-13T16:36:00Z">
              <w:r w:rsidRPr="00AD4F25">
                <w:rPr>
                  <w:sz w:val="22"/>
                  <w:szCs w:val="22"/>
                  <w:lang w:eastAsia="en-GB"/>
                  <w:rPrChange w:id="3837" w:author="AbbVie2" w:date="2025-05-14T10:17:00Z">
                    <w:rPr>
                      <w:sz w:val="22"/>
                      <w:szCs w:val="22"/>
                      <w:lang w:val="en-US" w:eastAsia="en-GB"/>
                    </w:rPr>
                  </w:rPrChange>
                </w:rPr>
                <w:delText>16/31 (51</w:delText>
              </w:r>
              <w:r w:rsidR="00813F73" w:rsidRPr="00AD4F25">
                <w:rPr>
                  <w:sz w:val="22"/>
                  <w:szCs w:val="22"/>
                  <w:lang w:eastAsia="en-GB"/>
                  <w:rPrChange w:id="3838" w:author="AbbVie2" w:date="2025-05-14T10:17:00Z">
                    <w:rPr>
                      <w:sz w:val="22"/>
                      <w:szCs w:val="22"/>
                      <w:lang w:val="en-US" w:eastAsia="en-GB"/>
                    </w:rPr>
                  </w:rPrChange>
                </w:rPr>
                <w:delText>,</w:delText>
              </w:r>
              <w:r w:rsidRPr="00AD4F25">
                <w:rPr>
                  <w:sz w:val="22"/>
                  <w:szCs w:val="22"/>
                  <w:lang w:eastAsia="en-GB"/>
                  <w:rPrChange w:id="3839" w:author="AbbVie2" w:date="2025-05-14T10:17:00Z">
                    <w:rPr>
                      <w:sz w:val="22"/>
                      <w:szCs w:val="22"/>
                      <w:lang w:val="en-US" w:eastAsia="en-GB"/>
                    </w:rPr>
                  </w:rPrChange>
                </w:rPr>
                <w:delText>6%)</w:delText>
              </w:r>
              <w:r w:rsidRPr="00813F73">
                <w:rPr>
                  <w:sz w:val="22"/>
                  <w:szCs w:val="22"/>
                  <w:lang w:eastAsia="en-GB"/>
                </w:rPr>
                <w:delText> </w:delText>
              </w:r>
            </w:del>
          </w:p>
        </w:tc>
      </w:tr>
      <w:tr w:rsidR="00A7162A" w14:paraId="205DA302" w14:textId="3EA305F6" w:rsidTr="00140561">
        <w:trPr>
          <w:jc w:val="center"/>
          <w:del w:id="3840" w:author="AbbVie2" w:date="2025-05-13T16:36:00Z"/>
        </w:trPr>
        <w:tc>
          <w:tcPr>
            <w:tcW w:w="2526" w:type="dxa"/>
            <w:tcBorders>
              <w:top w:val="nil"/>
              <w:left w:val="single" w:sz="6" w:space="0" w:color="auto"/>
              <w:bottom w:val="single" w:sz="6" w:space="0" w:color="auto"/>
              <w:right w:val="single" w:sz="6" w:space="0" w:color="auto"/>
            </w:tcBorders>
            <w:vAlign w:val="center"/>
            <w:hideMark/>
          </w:tcPr>
          <w:p w14:paraId="6CD51D4E" w14:textId="0DFEE29D" w:rsidR="00953E6E" w:rsidRPr="00813F73" w:rsidRDefault="00615769" w:rsidP="00B538F3">
            <w:pPr>
              <w:textAlignment w:val="baseline"/>
              <w:rPr>
                <w:del w:id="3841" w:author="AbbVie2" w:date="2025-05-13T16:36:00Z"/>
                <w:sz w:val="22"/>
                <w:szCs w:val="22"/>
                <w:lang w:eastAsia="en-GB"/>
              </w:rPr>
            </w:pPr>
            <w:del w:id="3842" w:author="AbbVie2" w:date="2025-05-13T16:36:00Z">
              <w:r w:rsidRPr="00813F73">
                <w:rPr>
                  <w:sz w:val="22"/>
                  <w:szCs w:val="22"/>
                  <w:lang w:eastAsia="en-GB"/>
                </w:rPr>
                <w:delText>Remissão clínica nos doentes em remissão PMS da Semana 8 </w:delText>
              </w:r>
            </w:del>
          </w:p>
        </w:tc>
        <w:tc>
          <w:tcPr>
            <w:tcW w:w="2409" w:type="dxa"/>
            <w:tcBorders>
              <w:top w:val="nil"/>
              <w:left w:val="nil"/>
              <w:bottom w:val="single" w:sz="6" w:space="0" w:color="auto"/>
              <w:right w:val="single" w:sz="6" w:space="0" w:color="auto"/>
            </w:tcBorders>
            <w:vAlign w:val="center"/>
            <w:hideMark/>
          </w:tcPr>
          <w:p w14:paraId="46D22861" w14:textId="43574511" w:rsidR="00953E6E" w:rsidRPr="00813F73" w:rsidRDefault="00615769" w:rsidP="00B538F3">
            <w:pPr>
              <w:jc w:val="center"/>
              <w:textAlignment w:val="baseline"/>
              <w:rPr>
                <w:del w:id="3843" w:author="AbbVie2" w:date="2025-05-13T16:36:00Z"/>
                <w:sz w:val="22"/>
                <w:szCs w:val="22"/>
                <w:lang w:eastAsia="en-GB"/>
              </w:rPr>
            </w:pPr>
            <w:del w:id="3844" w:author="AbbVie2" w:date="2025-05-13T16:36:00Z">
              <w:r w:rsidRPr="00AD4F25">
                <w:rPr>
                  <w:sz w:val="22"/>
                  <w:szCs w:val="22"/>
                  <w:lang w:eastAsia="en-GB"/>
                  <w:rPrChange w:id="3845" w:author="AbbVie2" w:date="2025-05-14T10:17:00Z">
                    <w:rPr>
                      <w:sz w:val="22"/>
                      <w:szCs w:val="22"/>
                      <w:lang w:val="en-US" w:eastAsia="en-GB"/>
                    </w:rPr>
                  </w:rPrChange>
                </w:rPr>
                <w:delText>9/21 (42,9%)</w:delText>
              </w:r>
              <w:r w:rsidRPr="00813F73">
                <w:rPr>
                  <w:sz w:val="22"/>
                  <w:szCs w:val="22"/>
                  <w:lang w:eastAsia="en-GB"/>
                </w:rPr>
                <w:delText> </w:delText>
              </w:r>
            </w:del>
          </w:p>
        </w:tc>
        <w:tc>
          <w:tcPr>
            <w:tcW w:w="2633" w:type="dxa"/>
            <w:tcBorders>
              <w:top w:val="nil"/>
              <w:left w:val="nil"/>
              <w:bottom w:val="single" w:sz="6" w:space="0" w:color="auto"/>
              <w:right w:val="single" w:sz="6" w:space="0" w:color="auto"/>
            </w:tcBorders>
            <w:vAlign w:val="center"/>
            <w:hideMark/>
          </w:tcPr>
          <w:p w14:paraId="0763F293" w14:textId="1AF185B4" w:rsidR="00953E6E" w:rsidRPr="00813F73" w:rsidRDefault="00615769" w:rsidP="00B538F3">
            <w:pPr>
              <w:jc w:val="center"/>
              <w:textAlignment w:val="baseline"/>
              <w:rPr>
                <w:del w:id="3846" w:author="AbbVie2" w:date="2025-05-13T16:36:00Z"/>
                <w:sz w:val="22"/>
                <w:szCs w:val="22"/>
                <w:lang w:eastAsia="en-GB"/>
              </w:rPr>
            </w:pPr>
            <w:del w:id="3847" w:author="AbbVie2" w:date="2025-05-13T16:36:00Z">
              <w:r w:rsidRPr="00AD4F25">
                <w:rPr>
                  <w:sz w:val="22"/>
                  <w:szCs w:val="22"/>
                  <w:lang w:eastAsia="en-GB"/>
                  <w:rPrChange w:id="3848" w:author="AbbVie2" w:date="2025-05-14T10:17:00Z">
                    <w:rPr>
                      <w:sz w:val="22"/>
                      <w:szCs w:val="22"/>
                      <w:lang w:val="en-US" w:eastAsia="en-GB"/>
                    </w:rPr>
                  </w:rPrChange>
                </w:rPr>
                <w:delText>10/22 (45</w:delText>
              </w:r>
              <w:r w:rsidR="00813F73" w:rsidRPr="00AD4F25">
                <w:rPr>
                  <w:sz w:val="22"/>
                  <w:szCs w:val="22"/>
                  <w:lang w:eastAsia="en-GB"/>
                  <w:rPrChange w:id="3849" w:author="AbbVie2" w:date="2025-05-14T10:17:00Z">
                    <w:rPr>
                      <w:sz w:val="22"/>
                      <w:szCs w:val="22"/>
                      <w:lang w:val="en-US" w:eastAsia="en-GB"/>
                    </w:rPr>
                  </w:rPrChange>
                </w:rPr>
                <w:delText>,</w:delText>
              </w:r>
              <w:r w:rsidRPr="00AD4F25">
                <w:rPr>
                  <w:sz w:val="22"/>
                  <w:szCs w:val="22"/>
                  <w:lang w:eastAsia="en-GB"/>
                  <w:rPrChange w:id="3850" w:author="AbbVie2" w:date="2025-05-14T10:17:00Z">
                    <w:rPr>
                      <w:sz w:val="22"/>
                      <w:szCs w:val="22"/>
                      <w:lang w:val="en-US" w:eastAsia="en-GB"/>
                    </w:rPr>
                  </w:rPrChange>
                </w:rPr>
                <w:delText>5%)</w:delText>
              </w:r>
              <w:r w:rsidRPr="00813F73">
                <w:rPr>
                  <w:sz w:val="22"/>
                  <w:szCs w:val="22"/>
                  <w:lang w:eastAsia="en-GB"/>
                </w:rPr>
                <w:delText> </w:delText>
              </w:r>
            </w:del>
          </w:p>
        </w:tc>
      </w:tr>
      <w:tr w:rsidR="00A7162A" w14:paraId="3909692A" w14:textId="2C6960F7" w:rsidTr="00140561">
        <w:trPr>
          <w:jc w:val="center"/>
          <w:del w:id="3851" w:author="AbbVie2" w:date="2025-05-13T16:36:00Z"/>
        </w:trPr>
        <w:tc>
          <w:tcPr>
            <w:tcW w:w="2526" w:type="dxa"/>
            <w:tcBorders>
              <w:top w:val="nil"/>
              <w:left w:val="single" w:sz="6" w:space="0" w:color="auto"/>
              <w:bottom w:val="single" w:sz="6" w:space="0" w:color="auto"/>
              <w:right w:val="single" w:sz="6" w:space="0" w:color="auto"/>
            </w:tcBorders>
            <w:vAlign w:val="center"/>
            <w:hideMark/>
          </w:tcPr>
          <w:p w14:paraId="434340A5" w14:textId="1E24BECB" w:rsidR="00953E6E" w:rsidRPr="00813F73" w:rsidRDefault="00615769" w:rsidP="00B538F3">
            <w:pPr>
              <w:textAlignment w:val="baseline"/>
              <w:rPr>
                <w:del w:id="3852" w:author="AbbVie2" w:date="2025-05-13T16:36:00Z"/>
                <w:sz w:val="22"/>
                <w:szCs w:val="22"/>
                <w:lang w:eastAsia="en-GB"/>
              </w:rPr>
            </w:pPr>
            <w:del w:id="3853" w:author="AbbVie2" w:date="2025-05-13T16:36:00Z">
              <w:r w:rsidRPr="00813F73">
                <w:rPr>
                  <w:sz w:val="22"/>
                  <w:szCs w:val="22"/>
                  <w:lang w:eastAsia="en-GB"/>
                </w:rPr>
                <w:delText>Remissão livre de corticosteroides nos respondedores PMS da Semana 8</w:delText>
              </w:r>
              <w:r w:rsidRPr="00813F73">
                <w:rPr>
                  <w:sz w:val="22"/>
                  <w:szCs w:val="22"/>
                  <w:vertAlign w:val="superscript"/>
                  <w:lang w:eastAsia="en-GB"/>
                </w:rPr>
                <w:delText>c</w:delText>
              </w:r>
              <w:r w:rsidRPr="00813F73">
                <w:rPr>
                  <w:sz w:val="22"/>
                  <w:szCs w:val="22"/>
                  <w:lang w:eastAsia="en-GB"/>
                </w:rPr>
                <w:delText> </w:delText>
              </w:r>
            </w:del>
          </w:p>
        </w:tc>
        <w:tc>
          <w:tcPr>
            <w:tcW w:w="2409" w:type="dxa"/>
            <w:tcBorders>
              <w:top w:val="nil"/>
              <w:left w:val="nil"/>
              <w:bottom w:val="single" w:sz="6" w:space="0" w:color="auto"/>
              <w:right w:val="single" w:sz="6" w:space="0" w:color="auto"/>
            </w:tcBorders>
            <w:vAlign w:val="center"/>
            <w:hideMark/>
          </w:tcPr>
          <w:p w14:paraId="0613C745" w14:textId="42C7F0E5" w:rsidR="00953E6E" w:rsidRPr="00813F73" w:rsidRDefault="00615769" w:rsidP="00B538F3">
            <w:pPr>
              <w:jc w:val="center"/>
              <w:textAlignment w:val="baseline"/>
              <w:rPr>
                <w:del w:id="3854" w:author="AbbVie2" w:date="2025-05-13T16:36:00Z"/>
                <w:sz w:val="22"/>
                <w:szCs w:val="22"/>
                <w:lang w:eastAsia="en-GB"/>
              </w:rPr>
            </w:pPr>
            <w:del w:id="3855" w:author="AbbVie2" w:date="2025-05-13T16:36:00Z">
              <w:r w:rsidRPr="00AD4F25">
                <w:rPr>
                  <w:sz w:val="22"/>
                  <w:szCs w:val="22"/>
                  <w:lang w:eastAsia="en-GB"/>
                  <w:rPrChange w:id="3856" w:author="AbbVie2" w:date="2025-05-14T10:17:00Z">
                    <w:rPr>
                      <w:sz w:val="22"/>
                      <w:szCs w:val="22"/>
                      <w:lang w:val="en-US" w:eastAsia="en-GB"/>
                    </w:rPr>
                  </w:rPrChange>
                </w:rPr>
                <w:delText>4/13 (30</w:delText>
              </w:r>
              <w:r w:rsidR="00813F73" w:rsidRPr="00AD4F25">
                <w:rPr>
                  <w:sz w:val="22"/>
                  <w:szCs w:val="22"/>
                  <w:lang w:eastAsia="en-GB"/>
                  <w:rPrChange w:id="3857" w:author="AbbVie2" w:date="2025-05-14T10:17:00Z">
                    <w:rPr>
                      <w:sz w:val="22"/>
                      <w:szCs w:val="22"/>
                      <w:lang w:val="en-US" w:eastAsia="en-GB"/>
                    </w:rPr>
                  </w:rPrChange>
                </w:rPr>
                <w:delText>,</w:delText>
              </w:r>
              <w:r w:rsidRPr="00AD4F25">
                <w:rPr>
                  <w:sz w:val="22"/>
                  <w:szCs w:val="22"/>
                  <w:lang w:eastAsia="en-GB"/>
                  <w:rPrChange w:id="3858" w:author="AbbVie2" w:date="2025-05-14T10:17:00Z">
                    <w:rPr>
                      <w:sz w:val="22"/>
                      <w:szCs w:val="22"/>
                      <w:lang w:val="en-US" w:eastAsia="en-GB"/>
                    </w:rPr>
                  </w:rPrChange>
                </w:rPr>
                <w:delText>8%)</w:delText>
              </w:r>
              <w:r w:rsidRPr="00813F73">
                <w:rPr>
                  <w:sz w:val="22"/>
                  <w:szCs w:val="22"/>
                  <w:lang w:eastAsia="en-GB"/>
                </w:rPr>
                <w:delText> </w:delText>
              </w:r>
            </w:del>
          </w:p>
        </w:tc>
        <w:tc>
          <w:tcPr>
            <w:tcW w:w="2633" w:type="dxa"/>
            <w:tcBorders>
              <w:top w:val="nil"/>
              <w:left w:val="nil"/>
              <w:bottom w:val="single" w:sz="6" w:space="0" w:color="auto"/>
              <w:right w:val="single" w:sz="6" w:space="0" w:color="auto"/>
            </w:tcBorders>
            <w:vAlign w:val="center"/>
            <w:hideMark/>
          </w:tcPr>
          <w:p w14:paraId="3FD066ED" w14:textId="45C1871E" w:rsidR="00953E6E" w:rsidRPr="00813F73" w:rsidRDefault="00615769" w:rsidP="00B538F3">
            <w:pPr>
              <w:jc w:val="center"/>
              <w:textAlignment w:val="baseline"/>
              <w:rPr>
                <w:del w:id="3859" w:author="AbbVie2" w:date="2025-05-13T16:36:00Z"/>
                <w:sz w:val="22"/>
                <w:szCs w:val="22"/>
                <w:lang w:eastAsia="en-GB"/>
              </w:rPr>
            </w:pPr>
            <w:del w:id="3860" w:author="AbbVie2" w:date="2025-05-13T16:36:00Z">
              <w:r w:rsidRPr="00AD4F25">
                <w:rPr>
                  <w:sz w:val="22"/>
                  <w:szCs w:val="22"/>
                  <w:lang w:eastAsia="en-GB"/>
                  <w:rPrChange w:id="3861" w:author="AbbVie2" w:date="2025-05-14T10:17:00Z">
                    <w:rPr>
                      <w:sz w:val="22"/>
                      <w:szCs w:val="22"/>
                      <w:lang w:val="en-US" w:eastAsia="en-GB"/>
                    </w:rPr>
                  </w:rPrChange>
                </w:rPr>
                <w:delText>5/16 (31</w:delText>
              </w:r>
              <w:r w:rsidR="00813F73" w:rsidRPr="00AD4F25">
                <w:rPr>
                  <w:sz w:val="22"/>
                  <w:szCs w:val="22"/>
                  <w:lang w:eastAsia="en-GB"/>
                  <w:rPrChange w:id="3862" w:author="AbbVie2" w:date="2025-05-14T10:17:00Z">
                    <w:rPr>
                      <w:sz w:val="22"/>
                      <w:szCs w:val="22"/>
                      <w:lang w:val="en-US" w:eastAsia="en-GB"/>
                    </w:rPr>
                  </w:rPrChange>
                </w:rPr>
                <w:delText>,</w:delText>
              </w:r>
              <w:r w:rsidRPr="00AD4F25">
                <w:rPr>
                  <w:sz w:val="22"/>
                  <w:szCs w:val="22"/>
                  <w:lang w:eastAsia="en-GB"/>
                  <w:rPrChange w:id="3863" w:author="AbbVie2" w:date="2025-05-14T10:17:00Z">
                    <w:rPr>
                      <w:sz w:val="22"/>
                      <w:szCs w:val="22"/>
                      <w:lang w:val="en-US" w:eastAsia="en-GB"/>
                    </w:rPr>
                  </w:rPrChange>
                </w:rPr>
                <w:delText>3%)</w:delText>
              </w:r>
              <w:r w:rsidRPr="00813F73">
                <w:rPr>
                  <w:sz w:val="22"/>
                  <w:szCs w:val="22"/>
                  <w:lang w:eastAsia="en-GB"/>
                </w:rPr>
                <w:delText> </w:delText>
              </w:r>
            </w:del>
          </w:p>
        </w:tc>
      </w:tr>
      <w:tr w:rsidR="00A7162A" w14:paraId="6CB176A7" w14:textId="5CEE21ED" w:rsidTr="00140561">
        <w:trPr>
          <w:jc w:val="center"/>
          <w:del w:id="3864" w:author="AbbVie2" w:date="2025-05-13T16:36:00Z"/>
        </w:trPr>
        <w:tc>
          <w:tcPr>
            <w:tcW w:w="7568" w:type="dxa"/>
            <w:gridSpan w:val="3"/>
            <w:tcBorders>
              <w:top w:val="nil"/>
              <w:left w:val="single" w:sz="6" w:space="0" w:color="auto"/>
              <w:bottom w:val="single" w:sz="6" w:space="0" w:color="auto"/>
              <w:right w:val="single" w:sz="6" w:space="0" w:color="auto"/>
            </w:tcBorders>
            <w:hideMark/>
          </w:tcPr>
          <w:p w14:paraId="39144CA5" w14:textId="46588FFD" w:rsidR="00953E6E" w:rsidRPr="00813F73" w:rsidRDefault="00615769" w:rsidP="00B538F3">
            <w:pPr>
              <w:textAlignment w:val="baseline"/>
              <w:rPr>
                <w:del w:id="3865" w:author="AbbVie2" w:date="2025-05-13T16:36:00Z"/>
                <w:sz w:val="22"/>
                <w:szCs w:val="22"/>
                <w:lang w:eastAsia="en-GB"/>
              </w:rPr>
            </w:pPr>
            <w:del w:id="3866" w:author="AbbVie2" w:date="2025-05-13T16:36:00Z">
              <w:r w:rsidRPr="00813F73">
                <w:rPr>
                  <w:sz w:val="22"/>
                  <w:szCs w:val="22"/>
                  <w:vertAlign w:val="superscript"/>
                  <w:lang w:eastAsia="en-GB"/>
                </w:rPr>
                <w:delText>a </w:delText>
              </w:r>
              <w:r w:rsidR="00813F73" w:rsidRPr="00813F73">
                <w:rPr>
                  <w:sz w:val="22"/>
                  <w:szCs w:val="22"/>
                  <w:lang w:eastAsia="en-GB"/>
                </w:rPr>
                <w:delText>Humira 0,6 mg/kg (</w:delText>
              </w:r>
              <w:r w:rsidR="007916BF">
                <w:rPr>
                  <w:sz w:val="22"/>
                  <w:szCs w:val="22"/>
                  <w:lang w:eastAsia="en-GB"/>
                </w:rPr>
                <w:delText>máximo de </w:delText>
              </w:r>
              <w:r w:rsidR="00813F73" w:rsidRPr="00813F73">
                <w:rPr>
                  <w:sz w:val="22"/>
                  <w:szCs w:val="22"/>
                  <w:lang w:eastAsia="en-GB"/>
                </w:rPr>
                <w:delText>40 mg) em semanas alternadas</w:delText>
              </w:r>
              <w:r w:rsidRPr="00813F73">
                <w:rPr>
                  <w:sz w:val="22"/>
                  <w:szCs w:val="22"/>
                  <w:lang w:eastAsia="en-GB"/>
                </w:rPr>
                <w:delText> </w:delText>
              </w:r>
            </w:del>
          </w:p>
          <w:p w14:paraId="5ACD2E5B" w14:textId="1D7D3C3E" w:rsidR="00953E6E" w:rsidRPr="00813F73" w:rsidRDefault="00615769" w:rsidP="00B538F3">
            <w:pPr>
              <w:textAlignment w:val="baseline"/>
              <w:rPr>
                <w:del w:id="3867" w:author="AbbVie2" w:date="2025-05-13T16:36:00Z"/>
                <w:sz w:val="22"/>
                <w:szCs w:val="22"/>
                <w:lang w:eastAsia="en-GB"/>
              </w:rPr>
            </w:pPr>
            <w:del w:id="3868" w:author="AbbVie2" w:date="2025-05-13T16:36:00Z">
              <w:r w:rsidRPr="00813F73">
                <w:rPr>
                  <w:sz w:val="22"/>
                  <w:szCs w:val="22"/>
                  <w:vertAlign w:val="superscript"/>
                  <w:lang w:eastAsia="en-GB"/>
                </w:rPr>
                <w:delText>b </w:delText>
              </w:r>
              <w:r w:rsidR="00813F73" w:rsidRPr="00813F73">
                <w:rPr>
                  <w:sz w:val="22"/>
                  <w:szCs w:val="22"/>
                  <w:lang w:eastAsia="en-GB"/>
                </w:rPr>
                <w:delText>Humira 0,6 mg/kg (máximo</w:delText>
              </w:r>
              <w:r w:rsidR="007916BF">
                <w:rPr>
                  <w:sz w:val="22"/>
                  <w:szCs w:val="22"/>
                  <w:lang w:eastAsia="en-GB"/>
                </w:rPr>
                <w:delText xml:space="preserve"> de </w:delText>
              </w:r>
              <w:r w:rsidR="00813F73" w:rsidRPr="00813F73">
                <w:rPr>
                  <w:sz w:val="22"/>
                  <w:szCs w:val="22"/>
                  <w:lang w:eastAsia="en-GB"/>
                </w:rPr>
                <w:delText>40 mg) semanalmente</w:delText>
              </w:r>
              <w:r w:rsidRPr="00813F73">
                <w:rPr>
                  <w:sz w:val="22"/>
                  <w:szCs w:val="22"/>
                  <w:lang w:eastAsia="en-GB"/>
                </w:rPr>
                <w:delText> </w:delText>
              </w:r>
            </w:del>
          </w:p>
          <w:p w14:paraId="0C783FCA" w14:textId="10B2AF19" w:rsidR="00953E6E" w:rsidRPr="00813F73" w:rsidRDefault="00615769" w:rsidP="00B538F3">
            <w:pPr>
              <w:textAlignment w:val="baseline"/>
              <w:rPr>
                <w:del w:id="3869" w:author="AbbVie2" w:date="2025-05-13T16:36:00Z"/>
                <w:sz w:val="22"/>
                <w:szCs w:val="22"/>
                <w:lang w:eastAsia="en-GB"/>
              </w:rPr>
            </w:pPr>
            <w:del w:id="3870" w:author="AbbVie2" w:date="2025-05-13T16:36:00Z">
              <w:r w:rsidRPr="00813F73">
                <w:rPr>
                  <w:sz w:val="22"/>
                  <w:szCs w:val="22"/>
                  <w:vertAlign w:val="superscript"/>
                  <w:lang w:eastAsia="en-GB"/>
                </w:rPr>
                <w:delText>c</w:delText>
              </w:r>
              <w:r w:rsidR="00813F73" w:rsidRPr="00FF4AB1">
                <w:rPr>
                  <w:sz w:val="22"/>
                  <w:szCs w:val="22"/>
                  <w:vertAlign w:val="superscript"/>
                  <w:lang w:eastAsia="en-GB"/>
                </w:rPr>
                <w:delText> </w:delText>
              </w:r>
              <w:r w:rsidR="00813F73" w:rsidRPr="00813F73">
                <w:rPr>
                  <w:sz w:val="22"/>
                  <w:szCs w:val="22"/>
                  <w:lang w:eastAsia="en-GB"/>
                </w:rPr>
                <w:delText>Em doentes a receber corticosteroides concomitantes no início do estudo</w:delText>
              </w:r>
              <w:r w:rsidRPr="00813F73">
                <w:rPr>
                  <w:sz w:val="22"/>
                  <w:szCs w:val="22"/>
                  <w:lang w:eastAsia="en-GB"/>
                </w:rPr>
                <w:delText> </w:delText>
              </w:r>
            </w:del>
          </w:p>
          <w:p w14:paraId="7C33DCFB" w14:textId="2C7D45DE" w:rsidR="00953E6E" w:rsidRPr="00813F73" w:rsidRDefault="00615769" w:rsidP="00B538F3">
            <w:pPr>
              <w:textAlignment w:val="baseline"/>
              <w:rPr>
                <w:del w:id="3871" w:author="AbbVie2" w:date="2025-05-13T16:36:00Z"/>
                <w:sz w:val="22"/>
                <w:szCs w:val="22"/>
                <w:lang w:eastAsia="en-GB"/>
              </w:rPr>
            </w:pPr>
            <w:del w:id="3872" w:author="AbbVie2" w:date="2025-05-13T16:36:00Z">
              <w:r w:rsidRPr="00813F73">
                <w:rPr>
                  <w:sz w:val="22"/>
                  <w:szCs w:val="22"/>
                  <w:lang w:eastAsia="en-GB"/>
                </w:rPr>
                <w:delText xml:space="preserve">Nota: Os doentes com valores em falta na Semana 52 ou que foram aleatorizados para receberem tratamento de reindução ou manutenção foram considerados como não respondedores </w:delText>
              </w:r>
              <w:r w:rsidR="0003518D">
                <w:rPr>
                  <w:sz w:val="22"/>
                  <w:szCs w:val="22"/>
                  <w:lang w:eastAsia="en-GB"/>
                </w:rPr>
                <w:delText>quanto aos</w:delText>
              </w:r>
              <w:r w:rsidRPr="00813F73">
                <w:rPr>
                  <w:sz w:val="22"/>
                  <w:szCs w:val="22"/>
                  <w:lang w:eastAsia="en-GB"/>
                </w:rPr>
                <w:delText xml:space="preserve"> objetivos da Semana 52 </w:delText>
              </w:r>
            </w:del>
          </w:p>
        </w:tc>
      </w:tr>
    </w:tbl>
    <w:p w14:paraId="6F21CD0A" w14:textId="3698577E" w:rsidR="00953E6E" w:rsidRPr="00813F73" w:rsidRDefault="00953E6E" w:rsidP="002F486F">
      <w:pPr>
        <w:keepNext/>
        <w:rPr>
          <w:del w:id="3873" w:author="AbbVie2" w:date="2025-05-13T16:36:00Z"/>
          <w:sz w:val="22"/>
          <w:szCs w:val="22"/>
        </w:rPr>
      </w:pPr>
    </w:p>
    <w:p w14:paraId="7EC3F9E1" w14:textId="4116E32E" w:rsidR="002F486F" w:rsidRPr="00A84A8D" w:rsidRDefault="00615769" w:rsidP="002F486F">
      <w:pPr>
        <w:rPr>
          <w:del w:id="3874" w:author="AbbVie2" w:date="2025-05-13T16:36:00Z"/>
          <w:sz w:val="22"/>
          <w:szCs w:val="22"/>
        </w:rPr>
      </w:pPr>
      <w:del w:id="3875" w:author="AbbVie2" w:date="2025-05-13T16:36:00Z">
        <w:r w:rsidRPr="00A84A8D">
          <w:rPr>
            <w:sz w:val="22"/>
            <w:szCs w:val="22"/>
          </w:rPr>
          <w:delText>Os objetivos exploratórios adicionais de eficácia incluí</w:delText>
        </w:r>
        <w:r>
          <w:rPr>
            <w:sz w:val="22"/>
            <w:szCs w:val="22"/>
          </w:rPr>
          <w:delText>r</w:delText>
        </w:r>
        <w:r w:rsidRPr="00A84A8D">
          <w:rPr>
            <w:sz w:val="22"/>
            <w:szCs w:val="22"/>
          </w:rPr>
          <w:delText xml:space="preserve">am a resposta clínica de acordo com o </w:delText>
        </w:r>
        <w:r>
          <w:rPr>
            <w:sz w:val="22"/>
            <w:szCs w:val="22"/>
          </w:rPr>
          <w:delText>Í</w:delText>
        </w:r>
        <w:r w:rsidRPr="00A84A8D">
          <w:rPr>
            <w:sz w:val="22"/>
            <w:szCs w:val="22"/>
          </w:rPr>
          <w:delText xml:space="preserve">ndice de </w:delText>
        </w:r>
        <w:r>
          <w:rPr>
            <w:sz w:val="22"/>
            <w:szCs w:val="22"/>
          </w:rPr>
          <w:delText>A</w:delText>
        </w:r>
        <w:r w:rsidRPr="00A84A8D">
          <w:rPr>
            <w:sz w:val="22"/>
            <w:szCs w:val="22"/>
          </w:rPr>
          <w:delText xml:space="preserve">tividade de </w:delText>
        </w:r>
        <w:r>
          <w:rPr>
            <w:sz w:val="22"/>
            <w:szCs w:val="22"/>
          </w:rPr>
          <w:delText>C</w:delText>
        </w:r>
        <w:r w:rsidRPr="00A84A8D">
          <w:rPr>
            <w:sz w:val="22"/>
            <w:szCs w:val="22"/>
          </w:rPr>
          <w:delText xml:space="preserve">olite </w:delText>
        </w:r>
        <w:r>
          <w:rPr>
            <w:sz w:val="22"/>
            <w:szCs w:val="22"/>
          </w:rPr>
          <w:delText>U</w:delText>
        </w:r>
        <w:r w:rsidRPr="00A84A8D">
          <w:rPr>
            <w:sz w:val="22"/>
            <w:szCs w:val="22"/>
          </w:rPr>
          <w:delText xml:space="preserve">lcerosa </w:delText>
        </w:r>
        <w:r>
          <w:rPr>
            <w:sz w:val="22"/>
            <w:szCs w:val="22"/>
          </w:rPr>
          <w:delText>P</w:delText>
        </w:r>
        <w:r w:rsidRPr="00A84A8D">
          <w:rPr>
            <w:sz w:val="22"/>
            <w:szCs w:val="22"/>
          </w:rPr>
          <w:delText xml:space="preserve">ediátrica (PUCAI) (definida como uma diminuição do PUCAI ≥ 20 pontos em comparação com os valores </w:delText>
        </w:r>
        <w:r>
          <w:rPr>
            <w:sz w:val="22"/>
            <w:szCs w:val="22"/>
          </w:rPr>
          <w:delText>iniciais</w:delText>
        </w:r>
        <w:r w:rsidRPr="00A84A8D">
          <w:rPr>
            <w:sz w:val="22"/>
            <w:szCs w:val="22"/>
          </w:rPr>
          <w:delText xml:space="preserve">) e a remissão clínica de acordo com o PUCAI (definida como PUCAI &lt; 10) na Semana 8 e na Semana 52 (Tabela 28). </w:delText>
        </w:r>
      </w:del>
    </w:p>
    <w:p w14:paraId="3F5639AE" w14:textId="26162F55" w:rsidR="00953E6E" w:rsidRPr="00A84A8D" w:rsidRDefault="00953E6E" w:rsidP="00953E6E">
      <w:pPr>
        <w:rPr>
          <w:del w:id="3876" w:author="AbbVie2" w:date="2025-05-13T16:36:00Z"/>
          <w:sz w:val="22"/>
          <w:szCs w:val="22"/>
        </w:rPr>
      </w:pPr>
    </w:p>
    <w:tbl>
      <w:tblPr>
        <w:tblW w:w="8262" w:type="dxa"/>
        <w:jc w:val="center"/>
        <w:tblCellMar>
          <w:left w:w="0" w:type="dxa"/>
          <w:right w:w="0" w:type="dxa"/>
        </w:tblCellMar>
        <w:tblLook w:val="04A0" w:firstRow="1" w:lastRow="0" w:firstColumn="1" w:lastColumn="0" w:noHBand="0" w:noVBand="1"/>
      </w:tblPr>
      <w:tblGrid>
        <w:gridCol w:w="2934"/>
        <w:gridCol w:w="2898"/>
        <w:gridCol w:w="2430"/>
      </w:tblGrid>
      <w:tr w:rsidR="00A7162A" w14:paraId="273FF462" w14:textId="59B4045A" w:rsidTr="00140561">
        <w:trPr>
          <w:trHeight w:val="60"/>
          <w:jc w:val="center"/>
          <w:del w:id="3877" w:author="AbbVie2" w:date="2025-05-13T16:36:00Z"/>
        </w:trPr>
        <w:tc>
          <w:tcPr>
            <w:tcW w:w="8262" w:type="dxa"/>
            <w:gridSpan w:val="3"/>
            <w:tcMar>
              <w:top w:w="0" w:type="dxa"/>
              <w:left w:w="108" w:type="dxa"/>
              <w:bottom w:w="0" w:type="dxa"/>
              <w:right w:w="108" w:type="dxa"/>
            </w:tcMar>
            <w:hideMark/>
          </w:tcPr>
          <w:p w14:paraId="69EF954F" w14:textId="36078632" w:rsidR="00953E6E" w:rsidRPr="00A84A8D" w:rsidRDefault="00615769" w:rsidP="00B538F3">
            <w:pPr>
              <w:spacing w:line="276" w:lineRule="auto"/>
              <w:jc w:val="center"/>
              <w:rPr>
                <w:del w:id="3878" w:author="AbbVie2" w:date="2025-05-13T16:36:00Z"/>
                <w:b/>
                <w:bCs/>
                <w:sz w:val="22"/>
                <w:szCs w:val="22"/>
              </w:rPr>
            </w:pPr>
            <w:del w:id="3879" w:author="AbbVie2" w:date="2025-05-13T16:36:00Z">
              <w:r w:rsidRPr="00A84A8D">
                <w:rPr>
                  <w:b/>
                  <w:bCs/>
                  <w:sz w:val="22"/>
                  <w:szCs w:val="22"/>
                </w:rPr>
                <w:delText xml:space="preserve">Tabela 28: Resultados dos </w:delText>
              </w:r>
              <w:r w:rsidR="00B10B70">
                <w:rPr>
                  <w:b/>
                  <w:bCs/>
                  <w:sz w:val="22"/>
                  <w:szCs w:val="22"/>
                </w:rPr>
                <w:delText>O</w:delText>
              </w:r>
              <w:r w:rsidRPr="00A84A8D">
                <w:rPr>
                  <w:b/>
                  <w:bCs/>
                  <w:sz w:val="22"/>
                  <w:szCs w:val="22"/>
                </w:rPr>
                <w:delText xml:space="preserve">bjetivos </w:delText>
              </w:r>
              <w:r w:rsidR="00B10B70">
                <w:rPr>
                  <w:b/>
                  <w:bCs/>
                  <w:sz w:val="22"/>
                  <w:szCs w:val="22"/>
                </w:rPr>
                <w:delText>E</w:delText>
              </w:r>
              <w:r w:rsidRPr="00A84A8D">
                <w:rPr>
                  <w:b/>
                  <w:bCs/>
                  <w:sz w:val="22"/>
                  <w:szCs w:val="22"/>
                </w:rPr>
                <w:delText>xploratórios de acordo com o PUCAI</w:delText>
              </w:r>
            </w:del>
          </w:p>
        </w:tc>
      </w:tr>
      <w:tr w:rsidR="00A7162A" w14:paraId="207BD196" w14:textId="3A528010" w:rsidTr="00140561">
        <w:trPr>
          <w:trHeight w:val="265"/>
          <w:jc w:val="center"/>
          <w:del w:id="3880" w:author="AbbVie2" w:date="2025-05-13T16:36:00Z"/>
        </w:trPr>
        <w:tc>
          <w:tcPr>
            <w:tcW w:w="2934"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5B8F10AB" w14:textId="6A17E8E1" w:rsidR="00953E6E" w:rsidRPr="00A84A8D" w:rsidRDefault="00953E6E" w:rsidP="00B538F3">
            <w:pPr>
              <w:spacing w:line="276" w:lineRule="auto"/>
              <w:rPr>
                <w:del w:id="3881" w:author="AbbVie2" w:date="2025-05-13T16:36:00Z"/>
                <w:sz w:val="22"/>
                <w:szCs w:val="22"/>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7F4B63" w14:textId="11851A66" w:rsidR="00953E6E" w:rsidRPr="00A84A8D" w:rsidRDefault="00615769" w:rsidP="00B538F3">
            <w:pPr>
              <w:spacing w:line="276" w:lineRule="auto"/>
              <w:jc w:val="center"/>
              <w:rPr>
                <w:del w:id="3882" w:author="AbbVie2" w:date="2025-05-13T16:36:00Z"/>
                <w:b/>
                <w:bCs/>
                <w:sz w:val="22"/>
                <w:szCs w:val="22"/>
              </w:rPr>
            </w:pPr>
            <w:del w:id="3883" w:author="AbbVie2" w:date="2025-05-13T16:36:00Z">
              <w:r>
                <w:rPr>
                  <w:b/>
                  <w:bCs/>
                  <w:sz w:val="22"/>
                  <w:szCs w:val="22"/>
                </w:rPr>
                <w:delText>Semana </w:delText>
              </w:r>
              <w:r w:rsidRPr="00A84A8D">
                <w:rPr>
                  <w:b/>
                  <w:bCs/>
                  <w:sz w:val="22"/>
                  <w:szCs w:val="22"/>
                </w:rPr>
                <w:delText>8</w:delText>
              </w:r>
            </w:del>
          </w:p>
        </w:tc>
      </w:tr>
      <w:tr w:rsidR="00A7162A" w14:paraId="4791AED3" w14:textId="2597F484" w:rsidTr="00140561">
        <w:trPr>
          <w:trHeight w:val="1042"/>
          <w:jc w:val="center"/>
          <w:del w:id="3884" w:author="AbbVie2" w:date="2025-05-13T16:36:00Z"/>
        </w:trPr>
        <w:tc>
          <w:tcPr>
            <w:tcW w:w="0" w:type="auto"/>
            <w:vMerge/>
            <w:tcBorders>
              <w:top w:val="single" w:sz="4" w:space="0" w:color="auto"/>
              <w:left w:val="single" w:sz="8" w:space="0" w:color="auto"/>
              <w:bottom w:val="single" w:sz="8" w:space="0" w:color="auto"/>
              <w:right w:val="single" w:sz="4" w:space="0" w:color="auto"/>
            </w:tcBorders>
            <w:vAlign w:val="center"/>
            <w:hideMark/>
          </w:tcPr>
          <w:p w14:paraId="492418F2" w14:textId="0A07CAD2" w:rsidR="00953E6E" w:rsidRPr="00A84A8D" w:rsidRDefault="00953E6E" w:rsidP="00B538F3">
            <w:pPr>
              <w:spacing w:line="276" w:lineRule="auto"/>
              <w:rPr>
                <w:del w:id="3885" w:author="AbbVie2" w:date="2025-05-13T16:36:00Z"/>
                <w:sz w:val="22"/>
                <w:szCs w:val="22"/>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DDD143" w14:textId="4C1E2013" w:rsidR="00953E6E" w:rsidRPr="003A4405" w:rsidRDefault="00615769" w:rsidP="00B538F3">
            <w:pPr>
              <w:spacing w:line="276" w:lineRule="auto"/>
              <w:jc w:val="center"/>
              <w:rPr>
                <w:del w:id="3886" w:author="AbbVie2" w:date="2025-05-13T16:36:00Z"/>
                <w:b/>
                <w:bCs/>
                <w:sz w:val="22"/>
                <w:szCs w:val="22"/>
                <w:vertAlign w:val="superscript"/>
              </w:rPr>
            </w:pPr>
            <w:del w:id="3887" w:author="AbbVie2" w:date="2025-05-13T16:36:00Z">
              <w:r w:rsidRPr="003A4405">
                <w:rPr>
                  <w:b/>
                  <w:bCs/>
                  <w:sz w:val="22"/>
                  <w:szCs w:val="22"/>
                </w:rPr>
                <w:delText>Humira</w:delText>
              </w:r>
              <w:r w:rsidRPr="003A4405">
                <w:rPr>
                  <w:b/>
                  <w:bCs/>
                  <w:sz w:val="22"/>
                  <w:szCs w:val="22"/>
                  <w:vertAlign w:val="superscript"/>
                </w:rPr>
                <w:delText>a</w:delText>
              </w:r>
            </w:del>
          </w:p>
          <w:p w14:paraId="40B1A68C" w14:textId="254DF7AC" w:rsidR="00953E6E" w:rsidRPr="00A84A8D" w:rsidRDefault="00615769" w:rsidP="00B538F3">
            <w:pPr>
              <w:spacing w:line="276" w:lineRule="auto"/>
              <w:jc w:val="center"/>
              <w:rPr>
                <w:del w:id="3888" w:author="AbbVie2" w:date="2025-05-13T16:36:00Z"/>
                <w:b/>
                <w:bCs/>
                <w:sz w:val="22"/>
                <w:szCs w:val="22"/>
              </w:rPr>
            </w:pPr>
            <w:del w:id="3889" w:author="AbbVie2" w:date="2025-05-13T16:36:00Z">
              <w:r w:rsidRPr="00A84A8D">
                <w:rPr>
                  <w:b/>
                  <w:bCs/>
                  <w:sz w:val="22"/>
                  <w:szCs w:val="22"/>
                </w:rPr>
                <w:delText>Máximo de 160 mg na Semana 0 / Placebo na Semana 1</w:delText>
              </w:r>
            </w:del>
          </w:p>
          <w:p w14:paraId="7A4F0CF7" w14:textId="535714A6" w:rsidR="00953E6E" w:rsidRPr="00A84A8D" w:rsidRDefault="00615769" w:rsidP="00B538F3">
            <w:pPr>
              <w:spacing w:line="276" w:lineRule="auto"/>
              <w:jc w:val="center"/>
              <w:rPr>
                <w:del w:id="3890" w:author="AbbVie2" w:date="2025-05-13T16:36:00Z"/>
                <w:sz w:val="22"/>
                <w:szCs w:val="22"/>
              </w:rPr>
            </w:pPr>
            <w:del w:id="3891" w:author="AbbVie2" w:date="2025-05-13T16:36:00Z">
              <w:r w:rsidRPr="00A84A8D">
                <w:rPr>
                  <w:sz w:val="22"/>
                  <w:szCs w:val="22"/>
                </w:rPr>
                <w:delText>N=30</w:delText>
              </w:r>
            </w:del>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B16434" w14:textId="51C7393F" w:rsidR="00953E6E" w:rsidRPr="003A4405" w:rsidRDefault="00615769" w:rsidP="00B538F3">
            <w:pPr>
              <w:spacing w:line="276" w:lineRule="auto"/>
              <w:jc w:val="center"/>
              <w:rPr>
                <w:del w:id="3892" w:author="AbbVie2" w:date="2025-05-13T16:36:00Z"/>
                <w:b/>
                <w:bCs/>
                <w:sz w:val="22"/>
                <w:szCs w:val="22"/>
                <w:vertAlign w:val="superscript"/>
              </w:rPr>
            </w:pPr>
            <w:del w:id="3893" w:author="AbbVie2" w:date="2025-05-13T16:36:00Z">
              <w:r w:rsidRPr="003A4405">
                <w:rPr>
                  <w:b/>
                  <w:bCs/>
                  <w:sz w:val="22"/>
                  <w:szCs w:val="22"/>
                </w:rPr>
                <w:delText>Humira</w:delText>
              </w:r>
              <w:r w:rsidRPr="003A4405">
                <w:rPr>
                  <w:b/>
                  <w:bCs/>
                  <w:sz w:val="22"/>
                  <w:szCs w:val="22"/>
                  <w:vertAlign w:val="superscript"/>
                </w:rPr>
                <w:delText>b,c</w:delText>
              </w:r>
            </w:del>
          </w:p>
          <w:p w14:paraId="415DFE20" w14:textId="15257892" w:rsidR="00953E6E" w:rsidRPr="00A84A8D" w:rsidRDefault="00615769" w:rsidP="00B538F3">
            <w:pPr>
              <w:spacing w:line="276" w:lineRule="auto"/>
              <w:jc w:val="center"/>
              <w:rPr>
                <w:del w:id="3894" w:author="AbbVie2" w:date="2025-05-13T16:36:00Z"/>
                <w:b/>
                <w:bCs/>
                <w:sz w:val="22"/>
                <w:szCs w:val="22"/>
              </w:rPr>
            </w:pPr>
            <w:del w:id="3895" w:author="AbbVie2" w:date="2025-05-13T16:36:00Z">
              <w:r w:rsidRPr="00A84A8D">
                <w:rPr>
                  <w:b/>
                  <w:bCs/>
                  <w:sz w:val="22"/>
                  <w:szCs w:val="22"/>
                </w:rPr>
                <w:delText>Máximo de 160 mg na Semana 0 e Semana 1</w:delText>
              </w:r>
            </w:del>
          </w:p>
          <w:p w14:paraId="4DEAE64B" w14:textId="64AB95A0" w:rsidR="00953E6E" w:rsidRPr="00A84A8D" w:rsidRDefault="00615769" w:rsidP="00B538F3">
            <w:pPr>
              <w:spacing w:line="276" w:lineRule="auto"/>
              <w:jc w:val="center"/>
              <w:rPr>
                <w:del w:id="3896" w:author="AbbVie2" w:date="2025-05-13T16:36:00Z"/>
                <w:sz w:val="22"/>
                <w:szCs w:val="22"/>
              </w:rPr>
            </w:pPr>
            <w:del w:id="3897" w:author="AbbVie2" w:date="2025-05-13T16:36:00Z">
              <w:r w:rsidRPr="00A84A8D">
                <w:rPr>
                  <w:sz w:val="22"/>
                  <w:szCs w:val="22"/>
                </w:rPr>
                <w:delText>N=47</w:delText>
              </w:r>
            </w:del>
          </w:p>
        </w:tc>
      </w:tr>
      <w:tr w:rsidR="00A7162A" w14:paraId="43154DA1" w14:textId="46DCB825" w:rsidTr="00140561">
        <w:trPr>
          <w:trHeight w:val="202"/>
          <w:jc w:val="center"/>
          <w:del w:id="3898" w:author="AbbVie2" w:date="2025-05-13T16:36:00Z"/>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ECBDDA" w14:textId="0BA0C278" w:rsidR="00953E6E" w:rsidRPr="00A84A8D" w:rsidRDefault="00615769" w:rsidP="00B538F3">
            <w:pPr>
              <w:spacing w:line="276" w:lineRule="auto"/>
              <w:rPr>
                <w:del w:id="3899" w:author="AbbVie2" w:date="2025-05-13T16:36:00Z"/>
                <w:sz w:val="22"/>
                <w:szCs w:val="22"/>
              </w:rPr>
            </w:pPr>
            <w:del w:id="3900" w:author="AbbVie2" w:date="2025-05-13T16:36:00Z">
              <w:r w:rsidRPr="00A84A8D">
                <w:rPr>
                  <w:sz w:val="22"/>
                  <w:szCs w:val="22"/>
                </w:rPr>
                <w:delText>Remissão clínica de acordo com o PUCAI</w:delText>
              </w:r>
            </w:del>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273C2EEF" w14:textId="04892372" w:rsidR="00953E6E" w:rsidRPr="00A84A8D" w:rsidRDefault="00615769" w:rsidP="00B538F3">
            <w:pPr>
              <w:spacing w:line="276" w:lineRule="auto"/>
              <w:jc w:val="center"/>
              <w:rPr>
                <w:del w:id="3901" w:author="AbbVie2" w:date="2025-05-13T16:36:00Z"/>
                <w:sz w:val="22"/>
                <w:szCs w:val="22"/>
              </w:rPr>
            </w:pPr>
            <w:del w:id="3902" w:author="AbbVie2" w:date="2025-05-13T16:36:00Z">
              <w:r w:rsidRPr="00A84A8D">
                <w:rPr>
                  <w:sz w:val="22"/>
                  <w:szCs w:val="22"/>
                </w:rPr>
                <w:delText>10/30 (33</w:delText>
              </w:r>
              <w:r w:rsidR="00A84A8D">
                <w:rPr>
                  <w:sz w:val="22"/>
                  <w:szCs w:val="22"/>
                </w:rPr>
                <w:delText>,</w:delText>
              </w:r>
              <w:r w:rsidRPr="00A84A8D">
                <w:rPr>
                  <w:sz w:val="22"/>
                  <w:szCs w:val="22"/>
                </w:rPr>
                <w:delText>3%)</w:delText>
              </w:r>
            </w:del>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4AE15F64" w14:textId="1DF1231C" w:rsidR="00953E6E" w:rsidRPr="00A84A8D" w:rsidRDefault="00615769" w:rsidP="00B538F3">
            <w:pPr>
              <w:spacing w:line="276" w:lineRule="auto"/>
              <w:jc w:val="center"/>
              <w:rPr>
                <w:del w:id="3903" w:author="AbbVie2" w:date="2025-05-13T16:36:00Z"/>
                <w:sz w:val="22"/>
                <w:szCs w:val="22"/>
              </w:rPr>
            </w:pPr>
            <w:del w:id="3904" w:author="AbbVie2" w:date="2025-05-13T16:36:00Z">
              <w:r w:rsidRPr="00A84A8D">
                <w:rPr>
                  <w:sz w:val="22"/>
                  <w:szCs w:val="22"/>
                </w:rPr>
                <w:delText>22/47 (46</w:delText>
              </w:r>
              <w:r w:rsidR="00A84A8D">
                <w:rPr>
                  <w:sz w:val="22"/>
                  <w:szCs w:val="22"/>
                </w:rPr>
                <w:delText>,</w:delText>
              </w:r>
              <w:r w:rsidRPr="00A84A8D">
                <w:rPr>
                  <w:sz w:val="22"/>
                  <w:szCs w:val="22"/>
                </w:rPr>
                <w:delText>8%)</w:delText>
              </w:r>
            </w:del>
          </w:p>
        </w:tc>
      </w:tr>
      <w:tr w:rsidR="00A7162A" w14:paraId="41C0D8FA" w14:textId="15F1ED1A" w:rsidTr="00140561">
        <w:trPr>
          <w:trHeight w:val="238"/>
          <w:jc w:val="center"/>
          <w:del w:id="3905" w:author="AbbVie2" w:date="2025-05-13T16:36: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34FEC36" w14:textId="3216F542" w:rsidR="00953E6E" w:rsidRPr="00A84A8D" w:rsidRDefault="00615769" w:rsidP="00B538F3">
            <w:pPr>
              <w:spacing w:line="276" w:lineRule="auto"/>
              <w:rPr>
                <w:del w:id="3906" w:author="AbbVie2" w:date="2025-05-13T16:36:00Z"/>
                <w:sz w:val="22"/>
                <w:szCs w:val="22"/>
              </w:rPr>
            </w:pPr>
            <w:del w:id="3907" w:author="AbbVie2" w:date="2025-05-13T16:36:00Z">
              <w:r w:rsidRPr="00A84A8D">
                <w:rPr>
                  <w:sz w:val="22"/>
                  <w:szCs w:val="22"/>
                </w:rPr>
                <w:delText>Resposta clínica de acordo com o PUCAI</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4C259B79" w14:textId="42D927CD" w:rsidR="00953E6E" w:rsidRPr="00A84A8D" w:rsidRDefault="00615769" w:rsidP="00B538F3">
            <w:pPr>
              <w:spacing w:line="276" w:lineRule="auto"/>
              <w:jc w:val="center"/>
              <w:rPr>
                <w:del w:id="3908" w:author="AbbVie2" w:date="2025-05-13T16:36:00Z"/>
                <w:sz w:val="22"/>
                <w:szCs w:val="22"/>
              </w:rPr>
            </w:pPr>
            <w:del w:id="3909" w:author="AbbVie2" w:date="2025-05-13T16:36:00Z">
              <w:r w:rsidRPr="00A84A8D">
                <w:rPr>
                  <w:sz w:val="22"/>
                  <w:szCs w:val="22"/>
                </w:rPr>
                <w:delText>15/30 (50</w:delText>
              </w:r>
              <w:r w:rsidR="00A84A8D">
                <w:rPr>
                  <w:sz w:val="22"/>
                  <w:szCs w:val="22"/>
                </w:rPr>
                <w:delText>,</w:delText>
              </w:r>
              <w:r w:rsidRPr="00A84A8D">
                <w:rPr>
                  <w:sz w:val="22"/>
                  <w:szCs w:val="22"/>
                </w:rPr>
                <w:delText>0%)</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59CA5236" w14:textId="078F0CFD" w:rsidR="00953E6E" w:rsidRPr="00A84A8D" w:rsidRDefault="00615769" w:rsidP="00B538F3">
            <w:pPr>
              <w:spacing w:line="276" w:lineRule="auto"/>
              <w:jc w:val="center"/>
              <w:rPr>
                <w:del w:id="3910" w:author="AbbVie2" w:date="2025-05-13T16:36:00Z"/>
                <w:sz w:val="22"/>
                <w:szCs w:val="22"/>
              </w:rPr>
            </w:pPr>
            <w:del w:id="3911" w:author="AbbVie2" w:date="2025-05-13T16:36:00Z">
              <w:r w:rsidRPr="00A84A8D">
                <w:rPr>
                  <w:sz w:val="22"/>
                  <w:szCs w:val="22"/>
                </w:rPr>
                <w:delText>32/47 (68</w:delText>
              </w:r>
              <w:r w:rsidR="00A84A8D">
                <w:rPr>
                  <w:sz w:val="22"/>
                  <w:szCs w:val="22"/>
                </w:rPr>
                <w:delText>,</w:delText>
              </w:r>
              <w:r w:rsidRPr="00A84A8D">
                <w:rPr>
                  <w:sz w:val="22"/>
                  <w:szCs w:val="22"/>
                </w:rPr>
                <w:delText>1%)</w:delText>
              </w:r>
            </w:del>
          </w:p>
        </w:tc>
      </w:tr>
      <w:tr w:rsidR="00A7162A" w14:paraId="4246BCC7" w14:textId="129216E5" w:rsidTr="00140561">
        <w:trPr>
          <w:trHeight w:val="238"/>
          <w:jc w:val="center"/>
          <w:del w:id="3912" w:author="AbbVie2" w:date="2025-05-13T16:36:00Z"/>
        </w:trPr>
        <w:tc>
          <w:tcPr>
            <w:tcW w:w="2934"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1E50D639" w14:textId="7D21B1D8" w:rsidR="00953E6E" w:rsidRPr="00A84A8D" w:rsidRDefault="00953E6E" w:rsidP="00B538F3">
            <w:pPr>
              <w:spacing w:line="276" w:lineRule="auto"/>
              <w:rPr>
                <w:del w:id="3913" w:author="AbbVie2" w:date="2025-05-13T16:36:00Z"/>
                <w:sz w:val="22"/>
                <w:szCs w:val="22"/>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1E3715A9" w14:textId="4D10A4E0" w:rsidR="00953E6E" w:rsidRPr="00A84A8D" w:rsidRDefault="00615769" w:rsidP="00B538F3">
            <w:pPr>
              <w:spacing w:line="276" w:lineRule="auto"/>
              <w:jc w:val="center"/>
              <w:rPr>
                <w:del w:id="3914" w:author="AbbVie2" w:date="2025-05-13T16:36:00Z"/>
                <w:b/>
                <w:bCs/>
                <w:sz w:val="22"/>
                <w:szCs w:val="22"/>
              </w:rPr>
            </w:pPr>
            <w:del w:id="3915" w:author="AbbVie2" w:date="2025-05-13T16:36:00Z">
              <w:r>
                <w:rPr>
                  <w:b/>
                  <w:bCs/>
                  <w:sz w:val="22"/>
                  <w:szCs w:val="22"/>
                </w:rPr>
                <w:delText>Semana </w:delText>
              </w:r>
              <w:r w:rsidRPr="00A84A8D">
                <w:rPr>
                  <w:b/>
                  <w:bCs/>
                  <w:sz w:val="22"/>
                  <w:szCs w:val="22"/>
                </w:rPr>
                <w:delText>52</w:delText>
              </w:r>
            </w:del>
          </w:p>
        </w:tc>
      </w:tr>
      <w:tr w:rsidR="00A7162A" w14:paraId="24E3F144" w14:textId="2D732825" w:rsidTr="00140561">
        <w:trPr>
          <w:trHeight w:val="238"/>
          <w:jc w:val="center"/>
          <w:del w:id="3916" w:author="AbbVie2" w:date="2025-05-13T16:36:00Z"/>
        </w:trPr>
        <w:tc>
          <w:tcPr>
            <w:tcW w:w="0" w:type="auto"/>
            <w:vMerge/>
            <w:tcBorders>
              <w:top w:val="nil"/>
              <w:left w:val="single" w:sz="8" w:space="0" w:color="auto"/>
              <w:bottom w:val="single" w:sz="4" w:space="0" w:color="auto"/>
              <w:right w:val="single" w:sz="8" w:space="0" w:color="auto"/>
            </w:tcBorders>
            <w:vAlign w:val="center"/>
            <w:hideMark/>
          </w:tcPr>
          <w:p w14:paraId="2EC4E39A" w14:textId="098509CA" w:rsidR="00953E6E" w:rsidRPr="00A84A8D" w:rsidRDefault="00953E6E" w:rsidP="00B538F3">
            <w:pPr>
              <w:spacing w:line="276" w:lineRule="auto"/>
              <w:rPr>
                <w:del w:id="3917" w:author="AbbVie2" w:date="2025-05-13T16:36:00Z"/>
                <w:sz w:val="22"/>
                <w:szCs w:val="22"/>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525C6575" w14:textId="601EA433" w:rsidR="00953E6E" w:rsidRPr="003A4405" w:rsidRDefault="00615769" w:rsidP="00B538F3">
            <w:pPr>
              <w:spacing w:line="276" w:lineRule="auto"/>
              <w:jc w:val="center"/>
              <w:rPr>
                <w:del w:id="3918" w:author="AbbVie2" w:date="2025-05-13T16:36:00Z"/>
                <w:b/>
                <w:bCs/>
                <w:sz w:val="22"/>
                <w:szCs w:val="22"/>
                <w:vertAlign w:val="superscript"/>
              </w:rPr>
            </w:pPr>
            <w:del w:id="3919" w:author="AbbVie2" w:date="2025-05-13T16:36:00Z">
              <w:r w:rsidRPr="003A4405">
                <w:rPr>
                  <w:b/>
                  <w:bCs/>
                  <w:sz w:val="22"/>
                  <w:szCs w:val="22"/>
                </w:rPr>
                <w:delText>Humira</w:delText>
              </w:r>
              <w:r w:rsidRPr="003A4405">
                <w:rPr>
                  <w:b/>
                  <w:bCs/>
                  <w:sz w:val="22"/>
                  <w:szCs w:val="22"/>
                  <w:vertAlign w:val="superscript"/>
                </w:rPr>
                <w:delText>d</w:delText>
              </w:r>
            </w:del>
          </w:p>
          <w:p w14:paraId="3DAD2387" w14:textId="7F85899D" w:rsidR="00953E6E" w:rsidRPr="00D22E86" w:rsidRDefault="00615769" w:rsidP="00B538F3">
            <w:pPr>
              <w:spacing w:line="276" w:lineRule="auto"/>
              <w:jc w:val="center"/>
              <w:rPr>
                <w:del w:id="3920" w:author="AbbVie2" w:date="2025-05-13T16:36:00Z"/>
                <w:b/>
                <w:bCs/>
                <w:sz w:val="22"/>
                <w:szCs w:val="22"/>
              </w:rPr>
            </w:pPr>
            <w:del w:id="3921" w:author="AbbVie2" w:date="2025-05-13T16:36:00Z">
              <w:r w:rsidRPr="00D22E86">
                <w:rPr>
                  <w:b/>
                  <w:bCs/>
                  <w:sz w:val="22"/>
                  <w:szCs w:val="22"/>
                </w:rPr>
                <w:delText>Máximo de 40 mg</w:delText>
              </w:r>
              <w:r w:rsidR="00D22E86" w:rsidRPr="00D22E86">
                <w:rPr>
                  <w:b/>
                  <w:bCs/>
                  <w:sz w:val="22"/>
                  <w:szCs w:val="22"/>
                </w:rPr>
                <w:delText xml:space="preserve"> em semanas alternadas</w:delText>
              </w:r>
            </w:del>
          </w:p>
          <w:p w14:paraId="3638CCB5" w14:textId="51DE00D6" w:rsidR="00953E6E" w:rsidRPr="00AD4F25" w:rsidRDefault="00615769" w:rsidP="00B538F3">
            <w:pPr>
              <w:spacing w:line="276" w:lineRule="auto"/>
              <w:jc w:val="center"/>
              <w:rPr>
                <w:del w:id="3922" w:author="AbbVie2" w:date="2025-05-13T16:36:00Z"/>
                <w:sz w:val="22"/>
                <w:szCs w:val="22"/>
                <w:rPrChange w:id="3923" w:author="AbbVie2" w:date="2025-05-14T10:17:00Z">
                  <w:rPr>
                    <w:del w:id="3924" w:author="AbbVie2" w:date="2025-05-13T16:36:00Z"/>
                    <w:sz w:val="22"/>
                    <w:szCs w:val="22"/>
                    <w:lang w:val="en-US"/>
                  </w:rPr>
                </w:rPrChange>
              </w:rPr>
            </w:pPr>
            <w:del w:id="3925" w:author="AbbVie2" w:date="2025-05-13T16:36:00Z">
              <w:r w:rsidRPr="00AD4F25">
                <w:rPr>
                  <w:sz w:val="22"/>
                  <w:szCs w:val="22"/>
                  <w:rPrChange w:id="3926" w:author="AbbVie2" w:date="2025-05-14T10:17:00Z">
                    <w:rPr>
                      <w:sz w:val="22"/>
                      <w:szCs w:val="22"/>
                      <w:lang w:val="en-US"/>
                    </w:rPr>
                  </w:rPrChange>
                </w:rPr>
                <w:delText>N=31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3C120D5A" w14:textId="65277468" w:rsidR="00953E6E" w:rsidRPr="003A4405" w:rsidRDefault="00615769" w:rsidP="00B538F3">
            <w:pPr>
              <w:spacing w:line="276" w:lineRule="auto"/>
              <w:jc w:val="center"/>
              <w:rPr>
                <w:del w:id="3927" w:author="AbbVie2" w:date="2025-05-13T16:36:00Z"/>
                <w:b/>
                <w:bCs/>
                <w:sz w:val="22"/>
                <w:szCs w:val="22"/>
                <w:vertAlign w:val="superscript"/>
              </w:rPr>
            </w:pPr>
            <w:del w:id="3928" w:author="AbbVie2" w:date="2025-05-13T16:36:00Z">
              <w:r w:rsidRPr="003A4405">
                <w:rPr>
                  <w:b/>
                  <w:bCs/>
                  <w:sz w:val="22"/>
                  <w:szCs w:val="22"/>
                </w:rPr>
                <w:delText>Humira</w:delText>
              </w:r>
              <w:r w:rsidRPr="003A4405">
                <w:rPr>
                  <w:b/>
                  <w:bCs/>
                  <w:sz w:val="22"/>
                  <w:szCs w:val="22"/>
                  <w:vertAlign w:val="superscript"/>
                </w:rPr>
                <w:delText>e</w:delText>
              </w:r>
            </w:del>
          </w:p>
          <w:p w14:paraId="1B97081E" w14:textId="6BE82B69" w:rsidR="00953E6E" w:rsidRPr="003A4405" w:rsidRDefault="00615769" w:rsidP="00B538F3">
            <w:pPr>
              <w:spacing w:line="276" w:lineRule="auto"/>
              <w:jc w:val="center"/>
              <w:rPr>
                <w:del w:id="3929" w:author="AbbVie2" w:date="2025-05-13T16:36:00Z"/>
                <w:b/>
                <w:bCs/>
                <w:sz w:val="22"/>
                <w:szCs w:val="22"/>
              </w:rPr>
            </w:pPr>
            <w:del w:id="3930" w:author="AbbVie2" w:date="2025-05-13T16:36:00Z">
              <w:r w:rsidRPr="003A4405">
                <w:rPr>
                  <w:b/>
                  <w:bCs/>
                  <w:sz w:val="22"/>
                  <w:szCs w:val="22"/>
                </w:rPr>
                <w:delText>Máximo de 40 mg</w:delText>
              </w:r>
              <w:r w:rsidR="00D22E86" w:rsidRPr="003A4405">
                <w:rPr>
                  <w:b/>
                  <w:bCs/>
                  <w:sz w:val="22"/>
                  <w:szCs w:val="22"/>
                </w:rPr>
                <w:delText xml:space="preserve"> semanalmente</w:delText>
              </w:r>
            </w:del>
          </w:p>
          <w:p w14:paraId="0C1F3940" w14:textId="6E221B03" w:rsidR="00953E6E" w:rsidRPr="003A4405" w:rsidRDefault="00615769" w:rsidP="00B538F3">
            <w:pPr>
              <w:spacing w:line="276" w:lineRule="auto"/>
              <w:jc w:val="center"/>
              <w:rPr>
                <w:del w:id="3931" w:author="AbbVie2" w:date="2025-05-13T16:36:00Z"/>
                <w:sz w:val="22"/>
                <w:szCs w:val="22"/>
              </w:rPr>
            </w:pPr>
            <w:del w:id="3932" w:author="AbbVie2" w:date="2025-05-13T16:36:00Z">
              <w:r w:rsidRPr="003A4405">
                <w:rPr>
                  <w:sz w:val="22"/>
                  <w:szCs w:val="22"/>
                </w:rPr>
                <w:delText>N=31</w:delText>
              </w:r>
            </w:del>
          </w:p>
        </w:tc>
      </w:tr>
      <w:tr w:rsidR="00A7162A" w14:paraId="3F598D69" w14:textId="1967DF7B" w:rsidTr="00140561">
        <w:trPr>
          <w:trHeight w:val="238"/>
          <w:jc w:val="center"/>
          <w:del w:id="3933" w:author="AbbVie2" w:date="2025-05-13T16:36: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7AB8D33" w14:textId="34415CA9" w:rsidR="00953E6E" w:rsidRPr="00A84A8D" w:rsidRDefault="00615769" w:rsidP="0004619E">
            <w:pPr>
              <w:keepNext/>
              <w:spacing w:line="276" w:lineRule="auto"/>
              <w:rPr>
                <w:del w:id="3934" w:author="AbbVie2" w:date="2025-05-13T16:36:00Z"/>
                <w:sz w:val="22"/>
                <w:szCs w:val="22"/>
              </w:rPr>
            </w:pPr>
            <w:del w:id="3935" w:author="AbbVie2" w:date="2025-05-13T16:36:00Z">
              <w:r w:rsidRPr="00A84A8D">
                <w:rPr>
                  <w:sz w:val="22"/>
                  <w:szCs w:val="22"/>
                </w:rPr>
                <w:delText>Remissão clínica de acordo com o PUCAI nos respondedores PMS da Semana 8</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6B54D303" w14:textId="3C6B017A" w:rsidR="00953E6E" w:rsidRPr="00A84A8D" w:rsidRDefault="00615769" w:rsidP="0004619E">
            <w:pPr>
              <w:keepNext/>
              <w:spacing w:line="276" w:lineRule="auto"/>
              <w:jc w:val="center"/>
              <w:rPr>
                <w:del w:id="3936" w:author="AbbVie2" w:date="2025-05-13T16:36:00Z"/>
                <w:sz w:val="22"/>
                <w:szCs w:val="22"/>
              </w:rPr>
            </w:pPr>
            <w:del w:id="3937" w:author="AbbVie2" w:date="2025-05-13T16:36:00Z">
              <w:r w:rsidRPr="00A84A8D">
                <w:rPr>
                  <w:sz w:val="22"/>
                  <w:szCs w:val="22"/>
                </w:rPr>
                <w:delText>14/31 (45</w:delText>
              </w:r>
              <w:r w:rsidR="00A84A8D">
                <w:rPr>
                  <w:sz w:val="22"/>
                  <w:szCs w:val="22"/>
                </w:rPr>
                <w:delText>,</w:delText>
              </w:r>
              <w:r w:rsidRPr="00A84A8D">
                <w:rPr>
                  <w:sz w:val="22"/>
                  <w:szCs w:val="22"/>
                </w:rPr>
                <w:delText>2%)</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3030131A" w14:textId="3915EE68" w:rsidR="00953E6E" w:rsidRPr="00A84A8D" w:rsidRDefault="00615769" w:rsidP="0004619E">
            <w:pPr>
              <w:keepNext/>
              <w:spacing w:line="276" w:lineRule="auto"/>
              <w:jc w:val="center"/>
              <w:rPr>
                <w:del w:id="3938" w:author="AbbVie2" w:date="2025-05-13T16:36:00Z"/>
                <w:sz w:val="22"/>
                <w:szCs w:val="22"/>
              </w:rPr>
            </w:pPr>
            <w:del w:id="3939" w:author="AbbVie2" w:date="2025-05-13T16:36:00Z">
              <w:r w:rsidRPr="00A84A8D">
                <w:rPr>
                  <w:sz w:val="22"/>
                  <w:szCs w:val="22"/>
                </w:rPr>
                <w:delText>18/31 (58</w:delText>
              </w:r>
              <w:r w:rsidR="00A84A8D">
                <w:rPr>
                  <w:sz w:val="22"/>
                  <w:szCs w:val="22"/>
                </w:rPr>
                <w:delText>,</w:delText>
              </w:r>
              <w:r w:rsidRPr="00A84A8D">
                <w:rPr>
                  <w:sz w:val="22"/>
                  <w:szCs w:val="22"/>
                </w:rPr>
                <w:delText>1%)</w:delText>
              </w:r>
            </w:del>
          </w:p>
        </w:tc>
      </w:tr>
      <w:tr w:rsidR="00A7162A" w14:paraId="177520CB" w14:textId="2D662BB0" w:rsidTr="00140561">
        <w:trPr>
          <w:trHeight w:val="238"/>
          <w:jc w:val="center"/>
          <w:del w:id="3940" w:author="AbbVie2" w:date="2025-05-13T16:36: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992BB20" w14:textId="17014EAF" w:rsidR="00953E6E" w:rsidRPr="00A84A8D" w:rsidRDefault="00615769" w:rsidP="00B538F3">
            <w:pPr>
              <w:spacing w:line="276" w:lineRule="auto"/>
              <w:rPr>
                <w:del w:id="3941" w:author="AbbVie2" w:date="2025-05-13T16:36:00Z"/>
                <w:sz w:val="22"/>
                <w:szCs w:val="22"/>
              </w:rPr>
            </w:pPr>
            <w:del w:id="3942" w:author="AbbVie2" w:date="2025-05-13T16:36:00Z">
              <w:r w:rsidRPr="00A84A8D">
                <w:rPr>
                  <w:sz w:val="22"/>
                  <w:szCs w:val="22"/>
                </w:rPr>
                <w:delText>Resposta clínica de acordo com o PUCAI nos respondedores PMS da Semana 8</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3D21AD7E" w14:textId="247F181C" w:rsidR="00953E6E" w:rsidRPr="00A84A8D" w:rsidRDefault="00615769" w:rsidP="00B538F3">
            <w:pPr>
              <w:spacing w:line="276" w:lineRule="auto"/>
              <w:jc w:val="center"/>
              <w:rPr>
                <w:del w:id="3943" w:author="AbbVie2" w:date="2025-05-13T16:36:00Z"/>
                <w:sz w:val="22"/>
                <w:szCs w:val="22"/>
              </w:rPr>
            </w:pPr>
            <w:del w:id="3944" w:author="AbbVie2" w:date="2025-05-13T16:36:00Z">
              <w:r w:rsidRPr="00A84A8D">
                <w:rPr>
                  <w:sz w:val="22"/>
                  <w:szCs w:val="22"/>
                </w:rPr>
                <w:delText>18/31 (58</w:delText>
              </w:r>
              <w:r w:rsidR="00A84A8D">
                <w:rPr>
                  <w:sz w:val="22"/>
                  <w:szCs w:val="22"/>
                </w:rPr>
                <w:delText>,</w:delText>
              </w:r>
              <w:r w:rsidRPr="00A84A8D">
                <w:rPr>
                  <w:sz w:val="22"/>
                  <w:szCs w:val="22"/>
                </w:rPr>
                <w:delText>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50097FB5" w14:textId="5B7833C0" w:rsidR="00953E6E" w:rsidRPr="00A84A8D" w:rsidRDefault="00615769" w:rsidP="00B538F3">
            <w:pPr>
              <w:spacing w:line="276" w:lineRule="auto"/>
              <w:jc w:val="center"/>
              <w:rPr>
                <w:del w:id="3945" w:author="AbbVie2" w:date="2025-05-13T16:36:00Z"/>
                <w:sz w:val="22"/>
                <w:szCs w:val="22"/>
              </w:rPr>
            </w:pPr>
            <w:del w:id="3946" w:author="AbbVie2" w:date="2025-05-13T16:36:00Z">
              <w:r w:rsidRPr="00A84A8D">
                <w:rPr>
                  <w:sz w:val="22"/>
                  <w:szCs w:val="22"/>
                </w:rPr>
                <w:delText>16/31 (51</w:delText>
              </w:r>
              <w:r w:rsidR="00A84A8D">
                <w:rPr>
                  <w:sz w:val="22"/>
                  <w:szCs w:val="22"/>
                </w:rPr>
                <w:delText>,</w:delText>
              </w:r>
              <w:r w:rsidRPr="00A84A8D">
                <w:rPr>
                  <w:sz w:val="22"/>
                  <w:szCs w:val="22"/>
                </w:rPr>
                <w:delText>6%)</w:delText>
              </w:r>
            </w:del>
          </w:p>
        </w:tc>
      </w:tr>
      <w:tr w:rsidR="00A7162A" w14:paraId="7CC34FF6" w14:textId="23FDFFAE" w:rsidTr="00140561">
        <w:trPr>
          <w:trHeight w:val="533"/>
          <w:jc w:val="center"/>
          <w:del w:id="3947" w:author="AbbVie2" w:date="2025-05-13T16:36:00Z"/>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377BDA7" w14:textId="45D12832" w:rsidR="00953E6E" w:rsidRPr="00A84A8D" w:rsidRDefault="00615769" w:rsidP="00B538F3">
            <w:pPr>
              <w:spacing w:line="276" w:lineRule="auto"/>
              <w:rPr>
                <w:del w:id="3948" w:author="AbbVie2" w:date="2025-05-13T16:36:00Z"/>
                <w:rStyle w:val="eop"/>
                <w:sz w:val="22"/>
                <w:szCs w:val="22"/>
              </w:rPr>
            </w:pPr>
            <w:del w:id="3949" w:author="AbbVie2" w:date="2025-05-13T16:36:00Z">
              <w:r w:rsidRPr="00A84A8D">
                <w:rPr>
                  <w:sz w:val="22"/>
                  <w:szCs w:val="22"/>
                  <w:vertAlign w:val="superscript"/>
                </w:rPr>
                <w:delText>a</w:delText>
              </w:r>
              <w:r w:rsidR="00A84A8D" w:rsidRPr="00A84A8D">
                <w:rPr>
                  <w:sz w:val="22"/>
                  <w:szCs w:val="22"/>
                  <w:vertAlign w:val="superscript"/>
                </w:rPr>
                <w:delText> </w:delText>
              </w:r>
              <w:r w:rsidR="00A84A8D" w:rsidRPr="00A84A8D">
                <w:rPr>
                  <w:sz w:val="22"/>
                  <w:szCs w:val="22"/>
                </w:rPr>
                <w:delText>Humira 2,4 mg/kg (</w:delText>
              </w:r>
              <w:r w:rsidR="007916BF">
                <w:rPr>
                  <w:sz w:val="22"/>
                  <w:szCs w:val="22"/>
                </w:rPr>
                <w:delText>máximo de </w:delText>
              </w:r>
              <w:r w:rsidR="00A84A8D" w:rsidRPr="00A84A8D">
                <w:rPr>
                  <w:sz w:val="22"/>
                  <w:szCs w:val="22"/>
                </w:rPr>
                <w:delText>160 mg) na Semana 0, p</w:delText>
              </w:r>
              <w:r w:rsidR="007916BF">
                <w:rPr>
                  <w:sz w:val="22"/>
                  <w:szCs w:val="22"/>
                </w:rPr>
                <w:delText xml:space="preserve">lacebo na Semana 1, e 1,2 mg/kg </w:delText>
              </w:r>
              <w:r w:rsidR="00A84A8D" w:rsidRPr="00A84A8D">
                <w:rPr>
                  <w:sz w:val="22"/>
                  <w:szCs w:val="22"/>
                </w:rPr>
                <w:delText>(máximo</w:delText>
              </w:r>
              <w:r w:rsidR="007916BF">
                <w:rPr>
                  <w:sz w:val="22"/>
                  <w:szCs w:val="22"/>
                </w:rPr>
                <w:delText xml:space="preserve"> de </w:delText>
              </w:r>
              <w:r w:rsidR="00A84A8D" w:rsidRPr="00A84A8D">
                <w:rPr>
                  <w:sz w:val="22"/>
                  <w:szCs w:val="22"/>
                </w:rPr>
                <w:delText>80 mg) na Semana </w:delText>
              </w:r>
              <w:r w:rsidR="00A84A8D">
                <w:rPr>
                  <w:sz w:val="22"/>
                  <w:szCs w:val="22"/>
                </w:rPr>
                <w:delText>2</w:delText>
              </w:r>
              <w:r w:rsidRPr="00A84A8D">
                <w:rPr>
                  <w:rStyle w:val="eop"/>
                  <w:sz w:val="22"/>
                  <w:szCs w:val="22"/>
                </w:rPr>
                <w:delText> </w:delText>
              </w:r>
            </w:del>
          </w:p>
          <w:p w14:paraId="23B36219" w14:textId="0C5F36E8" w:rsidR="00953E6E" w:rsidRPr="00A84A8D" w:rsidRDefault="00615769" w:rsidP="00B538F3">
            <w:pPr>
              <w:pStyle w:val="paragraph"/>
              <w:spacing w:before="0" w:beforeAutospacing="0" w:after="0" w:afterAutospacing="0" w:line="276" w:lineRule="auto"/>
              <w:textAlignment w:val="baseline"/>
              <w:rPr>
                <w:del w:id="3950" w:author="AbbVie2" w:date="2025-05-13T16:36:00Z"/>
                <w:rStyle w:val="eop"/>
                <w:rFonts w:eastAsia="PMingLiU"/>
                <w:sz w:val="22"/>
                <w:szCs w:val="22"/>
                <w:lang w:val="pt-PT"/>
              </w:rPr>
            </w:pPr>
            <w:del w:id="3951" w:author="AbbVie2" w:date="2025-05-13T16:36:00Z">
              <w:r w:rsidRPr="00A84A8D">
                <w:rPr>
                  <w:sz w:val="22"/>
                  <w:szCs w:val="22"/>
                  <w:vertAlign w:val="superscript"/>
                  <w:lang w:val="pt-PT"/>
                </w:rPr>
                <w:delText>b</w:delText>
              </w:r>
              <w:r w:rsidRPr="00A84A8D">
                <w:rPr>
                  <w:rStyle w:val="normaltextrun"/>
                  <w:sz w:val="22"/>
                  <w:szCs w:val="22"/>
                  <w:vertAlign w:val="superscript"/>
                  <w:lang w:val="pt-PT"/>
                </w:rPr>
                <w:delText> </w:delText>
              </w:r>
              <w:r w:rsidRPr="00A84A8D">
                <w:rPr>
                  <w:rStyle w:val="normaltextrun"/>
                  <w:sz w:val="22"/>
                  <w:szCs w:val="22"/>
                  <w:lang w:val="pt-PT"/>
                </w:rPr>
                <w:delText>Humira 2,4 mg/kg (</w:delText>
              </w:r>
              <w:r w:rsidR="007916BF">
                <w:rPr>
                  <w:rStyle w:val="normaltextrun"/>
                  <w:sz w:val="22"/>
                  <w:szCs w:val="22"/>
                  <w:lang w:val="pt-PT"/>
                </w:rPr>
                <w:delText>máximo de </w:delText>
              </w:r>
              <w:r w:rsidRPr="00A84A8D">
                <w:rPr>
                  <w:rStyle w:val="normaltextrun"/>
                  <w:sz w:val="22"/>
                  <w:szCs w:val="22"/>
                  <w:lang w:val="pt-PT"/>
                </w:rPr>
                <w:delText>160 mg) na Semana 0 e na S</w:delText>
              </w:r>
              <w:r w:rsidR="007916BF">
                <w:rPr>
                  <w:rStyle w:val="normaltextrun"/>
                  <w:sz w:val="22"/>
                  <w:szCs w:val="22"/>
                  <w:lang w:val="pt-PT"/>
                </w:rPr>
                <w:delText>emana 1, e 1,2 mg/kg (máximo de </w:delText>
              </w:r>
              <w:r w:rsidRPr="00A84A8D">
                <w:rPr>
                  <w:rStyle w:val="normaltextrun"/>
                  <w:sz w:val="22"/>
                  <w:szCs w:val="22"/>
                  <w:lang w:val="pt-PT"/>
                </w:rPr>
                <w:delText>80 mg) na Semana 2</w:delText>
              </w:r>
              <w:r w:rsidRPr="00A84A8D">
                <w:rPr>
                  <w:rStyle w:val="eop"/>
                  <w:sz w:val="22"/>
                  <w:szCs w:val="22"/>
                  <w:lang w:val="pt-PT"/>
                </w:rPr>
                <w:delText> </w:delText>
              </w:r>
            </w:del>
          </w:p>
          <w:p w14:paraId="33C715ED" w14:textId="6A537BA2" w:rsidR="00953E6E" w:rsidRPr="00A84A8D" w:rsidRDefault="00615769" w:rsidP="00B538F3">
            <w:pPr>
              <w:pStyle w:val="paragraph"/>
              <w:spacing w:before="0" w:beforeAutospacing="0" w:after="0" w:afterAutospacing="0" w:line="276" w:lineRule="auto"/>
              <w:textAlignment w:val="baseline"/>
              <w:rPr>
                <w:del w:id="3952" w:author="AbbVie2" w:date="2025-05-13T16:36:00Z"/>
                <w:rStyle w:val="normaltextrun"/>
                <w:sz w:val="22"/>
                <w:szCs w:val="22"/>
                <w:lang w:val="pt-PT"/>
              </w:rPr>
            </w:pPr>
            <w:del w:id="3953" w:author="AbbVie2" w:date="2025-05-13T16:36:00Z">
              <w:r w:rsidRPr="00A84A8D">
                <w:rPr>
                  <w:rStyle w:val="normaltextrun"/>
                  <w:rFonts w:cs="Calibri"/>
                  <w:sz w:val="22"/>
                  <w:szCs w:val="22"/>
                  <w:vertAlign w:val="superscript"/>
                  <w:lang w:val="pt-PT"/>
                </w:rPr>
                <w:delText>c</w:delText>
              </w:r>
              <w:r w:rsidR="00A84A8D" w:rsidRPr="00A84A8D">
                <w:rPr>
                  <w:rStyle w:val="normaltextrun"/>
                  <w:sz w:val="22"/>
                  <w:szCs w:val="22"/>
                  <w:vertAlign w:val="superscript"/>
                  <w:lang w:val="pt-PT"/>
                </w:rPr>
                <w:delText> </w:delText>
              </w:r>
              <w:r w:rsidR="00A84A8D" w:rsidRPr="00A84A8D">
                <w:rPr>
                  <w:rStyle w:val="normaltextrun"/>
                  <w:rFonts w:cs="Calibri"/>
                  <w:sz w:val="22"/>
                  <w:szCs w:val="22"/>
                  <w:lang w:val="pt-PT"/>
                </w:rPr>
                <w:delText xml:space="preserve">Sem incluir a dose de indução </w:delText>
              </w:r>
              <w:r w:rsidR="0035376C">
                <w:rPr>
                  <w:rStyle w:val="normaltextrun"/>
                  <w:rFonts w:cs="Calibri"/>
                  <w:sz w:val="22"/>
                  <w:szCs w:val="22"/>
                  <w:lang w:val="pt-PT"/>
                </w:rPr>
                <w:delText xml:space="preserve">em fase </w:delText>
              </w:r>
              <w:r w:rsidR="00A84A8D" w:rsidRPr="00A84A8D">
                <w:rPr>
                  <w:rStyle w:val="normaltextrun"/>
                  <w:rFonts w:cs="Calibri"/>
                  <w:sz w:val="22"/>
                  <w:szCs w:val="22"/>
                  <w:lang w:val="pt-PT"/>
                </w:rPr>
                <w:delText>aberta de 2,4 mg/kg de Humira (</w:delText>
              </w:r>
              <w:r w:rsidR="007916BF">
                <w:rPr>
                  <w:rStyle w:val="normaltextrun"/>
                  <w:rFonts w:cs="Calibri"/>
                  <w:sz w:val="22"/>
                  <w:szCs w:val="22"/>
                  <w:lang w:val="pt-PT"/>
                </w:rPr>
                <w:delText>máximo de </w:delText>
              </w:r>
              <w:r w:rsidR="00A84A8D" w:rsidRPr="00A84A8D">
                <w:rPr>
                  <w:rStyle w:val="normaltextrun"/>
                  <w:rFonts w:cs="Calibri"/>
                  <w:sz w:val="22"/>
                  <w:szCs w:val="22"/>
                  <w:lang w:val="pt-PT"/>
                </w:rPr>
                <w:delText>160 mg) na Semana 0 e na Semana 1, e 1,2 mg/kg (</w:delText>
              </w:r>
              <w:r w:rsidR="007916BF">
                <w:rPr>
                  <w:rStyle w:val="normaltextrun"/>
                  <w:rFonts w:cs="Calibri"/>
                  <w:sz w:val="22"/>
                  <w:szCs w:val="22"/>
                  <w:lang w:val="pt-PT"/>
                </w:rPr>
                <w:delText>máximo de </w:delText>
              </w:r>
              <w:r w:rsidR="00A84A8D" w:rsidRPr="00A84A8D">
                <w:rPr>
                  <w:rStyle w:val="normaltextrun"/>
                  <w:rFonts w:cs="Calibri"/>
                  <w:sz w:val="22"/>
                  <w:szCs w:val="22"/>
                  <w:lang w:val="pt-PT"/>
                </w:rPr>
                <w:delText>80 mg) na Semana 2</w:delText>
              </w:r>
            </w:del>
          </w:p>
          <w:p w14:paraId="77A0EB74" w14:textId="356E3D00" w:rsidR="00953E6E" w:rsidRPr="00A84A8D" w:rsidRDefault="00615769" w:rsidP="00B538F3">
            <w:pPr>
              <w:pStyle w:val="paragraph"/>
              <w:spacing w:before="0" w:beforeAutospacing="0" w:after="0" w:afterAutospacing="0" w:line="276" w:lineRule="auto"/>
              <w:textAlignment w:val="baseline"/>
              <w:rPr>
                <w:del w:id="3954" w:author="AbbVie2" w:date="2025-05-13T16:36:00Z"/>
                <w:sz w:val="22"/>
                <w:szCs w:val="22"/>
                <w:lang w:val="pt-PT" w:eastAsia="en-GB"/>
              </w:rPr>
            </w:pPr>
            <w:del w:id="3955" w:author="AbbVie2" w:date="2025-05-13T16:36:00Z">
              <w:r w:rsidRPr="00A84A8D">
                <w:rPr>
                  <w:rStyle w:val="normaltextrun"/>
                  <w:sz w:val="22"/>
                  <w:szCs w:val="22"/>
                  <w:vertAlign w:val="superscript"/>
                  <w:lang w:val="pt-PT"/>
                </w:rPr>
                <w:delText>d</w:delText>
              </w:r>
              <w:r w:rsidR="00A84A8D">
                <w:rPr>
                  <w:rStyle w:val="normaltextrun"/>
                  <w:sz w:val="22"/>
                  <w:szCs w:val="22"/>
                  <w:vertAlign w:val="superscript"/>
                  <w:lang w:val="pt-PT"/>
                </w:rPr>
                <w:delText> </w:delText>
              </w:r>
              <w:r w:rsidR="00A84A8D" w:rsidRPr="00A84A8D">
                <w:rPr>
                  <w:sz w:val="22"/>
                  <w:szCs w:val="22"/>
                  <w:lang w:val="pt-PT" w:eastAsia="en-GB"/>
                </w:rPr>
                <w:delText>Humira 0,6 mg/kg (</w:delText>
              </w:r>
              <w:r w:rsidR="007916BF">
                <w:rPr>
                  <w:sz w:val="22"/>
                  <w:szCs w:val="22"/>
                  <w:lang w:val="pt-PT" w:eastAsia="en-GB"/>
                </w:rPr>
                <w:delText>máximo de </w:delText>
              </w:r>
              <w:r w:rsidR="00A84A8D" w:rsidRPr="00A84A8D">
                <w:rPr>
                  <w:sz w:val="22"/>
                  <w:szCs w:val="22"/>
                  <w:lang w:val="pt-PT" w:eastAsia="en-GB"/>
                </w:rPr>
                <w:delText>40 mg) em semanas alternadas</w:delText>
              </w:r>
            </w:del>
          </w:p>
          <w:p w14:paraId="7375B07B" w14:textId="0AAA5DCE" w:rsidR="00953E6E" w:rsidRPr="00A84A8D" w:rsidRDefault="00615769" w:rsidP="00B538F3">
            <w:pPr>
              <w:spacing w:line="276" w:lineRule="auto"/>
              <w:rPr>
                <w:del w:id="3956" w:author="AbbVie2" w:date="2025-05-13T16:36:00Z"/>
                <w:sz w:val="22"/>
                <w:szCs w:val="22"/>
                <w:lang w:eastAsia="en-GB"/>
              </w:rPr>
            </w:pPr>
            <w:del w:id="3957" w:author="AbbVie2" w:date="2025-05-13T16:36:00Z">
              <w:r w:rsidRPr="00A84A8D">
                <w:rPr>
                  <w:sz w:val="22"/>
                  <w:szCs w:val="22"/>
                  <w:vertAlign w:val="superscript"/>
                  <w:lang w:eastAsia="en-GB"/>
                </w:rPr>
                <w:delText>e</w:delText>
              </w:r>
              <w:r w:rsidR="00A84A8D">
                <w:rPr>
                  <w:sz w:val="22"/>
                  <w:szCs w:val="22"/>
                  <w:vertAlign w:val="superscript"/>
                  <w:lang w:eastAsia="en-GB"/>
                </w:rPr>
                <w:delText> </w:delText>
              </w:r>
              <w:r w:rsidR="00A84A8D" w:rsidRPr="00A84A8D">
                <w:rPr>
                  <w:sz w:val="22"/>
                  <w:szCs w:val="22"/>
                  <w:lang w:eastAsia="en-GB"/>
                </w:rPr>
                <w:delText>Humira 0,6 mg/kg (</w:delText>
              </w:r>
              <w:r w:rsidR="007916BF">
                <w:rPr>
                  <w:sz w:val="22"/>
                  <w:szCs w:val="22"/>
                  <w:lang w:eastAsia="en-GB"/>
                </w:rPr>
                <w:delText>máximo de </w:delText>
              </w:r>
              <w:r w:rsidR="00A84A8D" w:rsidRPr="00A84A8D">
                <w:rPr>
                  <w:sz w:val="22"/>
                  <w:szCs w:val="22"/>
                  <w:lang w:eastAsia="en-GB"/>
                </w:rPr>
                <w:delText>40 mg) semanalmente</w:delText>
              </w:r>
            </w:del>
          </w:p>
          <w:p w14:paraId="05005BE5" w14:textId="6C37D9EF" w:rsidR="00953E6E" w:rsidRPr="00A84A8D" w:rsidRDefault="00615769" w:rsidP="00B538F3">
            <w:pPr>
              <w:pStyle w:val="paragraph"/>
              <w:spacing w:before="0" w:beforeAutospacing="0" w:after="0" w:afterAutospacing="0" w:line="276" w:lineRule="auto"/>
              <w:textAlignment w:val="baseline"/>
              <w:rPr>
                <w:del w:id="3958" w:author="AbbVie2" w:date="2025-05-13T16:36:00Z"/>
                <w:rFonts w:ascii="Segoe UI" w:hAnsi="Segoe UI" w:cs="Segoe UI"/>
                <w:sz w:val="22"/>
                <w:szCs w:val="22"/>
                <w:lang w:val="pt-PT"/>
              </w:rPr>
            </w:pPr>
            <w:del w:id="3959" w:author="AbbVie2" w:date="2025-05-13T16:36:00Z">
              <w:r w:rsidRPr="00A84A8D">
                <w:rPr>
                  <w:rStyle w:val="normaltextrun"/>
                  <w:rFonts w:cs="Calibri"/>
                  <w:sz w:val="22"/>
                  <w:szCs w:val="22"/>
                  <w:lang w:val="pt-PT"/>
                </w:rPr>
                <w:delText>Nota 1: Ambos os grupos de indução receberam 0,6 mg/kg (máximo</w:delText>
              </w:r>
              <w:r w:rsidR="007916BF">
                <w:rPr>
                  <w:rStyle w:val="normaltextrun"/>
                  <w:rFonts w:cs="Calibri"/>
                  <w:sz w:val="22"/>
                  <w:szCs w:val="22"/>
                  <w:lang w:val="pt-PT"/>
                </w:rPr>
                <w:delText xml:space="preserve"> de </w:delText>
              </w:r>
              <w:r w:rsidRPr="00A84A8D">
                <w:rPr>
                  <w:rStyle w:val="normaltextrun"/>
                  <w:rFonts w:cs="Calibri"/>
                  <w:sz w:val="22"/>
                  <w:szCs w:val="22"/>
                  <w:lang w:val="pt-PT"/>
                </w:rPr>
                <w:delText>40 mg) na Semana 4 e na Semana 6</w:delText>
              </w:r>
              <w:r w:rsidRPr="00A84A8D">
                <w:rPr>
                  <w:rStyle w:val="eop"/>
                  <w:rFonts w:cs="Calibri"/>
                  <w:sz w:val="22"/>
                  <w:szCs w:val="22"/>
                  <w:lang w:val="pt-PT"/>
                </w:rPr>
                <w:delText> </w:delText>
              </w:r>
            </w:del>
          </w:p>
          <w:p w14:paraId="79D20162" w14:textId="4C1FE76C" w:rsidR="00953E6E" w:rsidRPr="00A84A8D" w:rsidRDefault="00615769" w:rsidP="00B538F3">
            <w:pPr>
              <w:pStyle w:val="paragraph"/>
              <w:spacing w:before="0" w:beforeAutospacing="0" w:after="0" w:afterAutospacing="0" w:line="276" w:lineRule="auto"/>
              <w:textAlignment w:val="baseline"/>
              <w:rPr>
                <w:del w:id="3960" w:author="AbbVie2" w:date="2025-05-13T16:36:00Z"/>
                <w:rStyle w:val="eop"/>
                <w:rFonts w:cs="Calibri"/>
                <w:sz w:val="22"/>
                <w:szCs w:val="22"/>
                <w:lang w:val="pt-PT"/>
              </w:rPr>
            </w:pPr>
            <w:del w:id="3961" w:author="AbbVie2" w:date="2025-05-13T16:36:00Z">
              <w:r w:rsidRPr="00A84A8D">
                <w:rPr>
                  <w:rStyle w:val="normaltextrun"/>
                  <w:rFonts w:cs="Calibri"/>
                  <w:sz w:val="22"/>
                  <w:szCs w:val="22"/>
                  <w:lang w:val="pt-PT"/>
                </w:rPr>
                <w:delText xml:space="preserve">Nota 2: Considerou-se que os doentes com valores em falta na Semana 8 não </w:delText>
              </w:r>
              <w:r w:rsidR="0035376C">
                <w:rPr>
                  <w:rStyle w:val="normaltextrun"/>
                  <w:rFonts w:cs="Calibri"/>
                  <w:sz w:val="22"/>
                  <w:szCs w:val="22"/>
                  <w:lang w:val="pt-PT"/>
                </w:rPr>
                <w:delText>atingiram</w:delText>
              </w:r>
              <w:r w:rsidRPr="00A84A8D">
                <w:rPr>
                  <w:rStyle w:val="normaltextrun"/>
                  <w:rFonts w:cs="Calibri"/>
                  <w:sz w:val="22"/>
                  <w:szCs w:val="22"/>
                  <w:lang w:val="pt-PT"/>
                </w:rPr>
                <w:delText xml:space="preserve"> os objetivos</w:delText>
              </w:r>
              <w:r w:rsidRPr="00A84A8D">
                <w:rPr>
                  <w:rStyle w:val="eop"/>
                  <w:rFonts w:cs="Calibri"/>
                  <w:sz w:val="22"/>
                  <w:szCs w:val="22"/>
                  <w:lang w:val="pt-PT"/>
                </w:rPr>
                <w:delText> </w:delText>
              </w:r>
            </w:del>
          </w:p>
          <w:p w14:paraId="088BF85A" w14:textId="6EE6B6C1" w:rsidR="00953E6E" w:rsidRPr="00A84A8D" w:rsidRDefault="00615769" w:rsidP="00B538F3">
            <w:pPr>
              <w:pStyle w:val="paragraph"/>
              <w:spacing w:before="0" w:beforeAutospacing="0" w:after="0" w:afterAutospacing="0" w:line="276" w:lineRule="auto"/>
              <w:textAlignment w:val="baseline"/>
              <w:rPr>
                <w:del w:id="3962" w:author="AbbVie2" w:date="2025-05-13T16:36:00Z"/>
                <w:sz w:val="22"/>
                <w:szCs w:val="22"/>
                <w:lang w:val="pt-PT"/>
              </w:rPr>
            </w:pPr>
            <w:del w:id="3963" w:author="AbbVie2" w:date="2025-05-13T16:36:00Z">
              <w:r w:rsidRPr="00A84A8D">
                <w:rPr>
                  <w:rStyle w:val="eop"/>
                  <w:rFonts w:cs="Calibri"/>
                  <w:sz w:val="22"/>
                  <w:szCs w:val="22"/>
                  <w:lang w:val="pt-PT"/>
                </w:rPr>
                <w:delText xml:space="preserve">Nota 3: </w:delText>
              </w:r>
              <w:r w:rsidRPr="00A84A8D">
                <w:rPr>
                  <w:sz w:val="22"/>
                  <w:szCs w:val="22"/>
                  <w:lang w:val="pt-PT" w:eastAsia="en-GB"/>
                </w:rPr>
                <w:delText xml:space="preserve">Os doentes com valores em falta na Semana 52 ou que foram aleatorizados para receberem tratamento de reindução ou manutenção foram considerados como não respondedores </w:delText>
              </w:r>
              <w:r w:rsidR="00B10B70">
                <w:rPr>
                  <w:sz w:val="22"/>
                  <w:szCs w:val="22"/>
                  <w:lang w:val="pt-PT" w:eastAsia="en-GB"/>
                </w:rPr>
                <w:delText>quanto aos</w:delText>
              </w:r>
              <w:r w:rsidRPr="00A84A8D">
                <w:rPr>
                  <w:sz w:val="22"/>
                  <w:szCs w:val="22"/>
                  <w:lang w:val="pt-PT" w:eastAsia="en-GB"/>
                </w:rPr>
                <w:delText xml:space="preserve"> objetivos da Semana 52</w:delText>
              </w:r>
            </w:del>
          </w:p>
        </w:tc>
      </w:tr>
    </w:tbl>
    <w:p w14:paraId="6BDF8434" w14:textId="62466989" w:rsidR="00B538F3" w:rsidRDefault="00B538F3" w:rsidP="00953E6E">
      <w:pPr>
        <w:rPr>
          <w:del w:id="3964" w:author="AbbVie2" w:date="2025-05-13T16:36:00Z"/>
          <w:sz w:val="22"/>
          <w:szCs w:val="22"/>
        </w:rPr>
      </w:pPr>
    </w:p>
    <w:p w14:paraId="78DFB832" w14:textId="68E7A447" w:rsidR="00953E6E" w:rsidRPr="000C51DF" w:rsidRDefault="00615769" w:rsidP="00953E6E">
      <w:pPr>
        <w:rPr>
          <w:del w:id="3965" w:author="AbbVie2" w:date="2025-05-13T16:36:00Z"/>
          <w:sz w:val="22"/>
          <w:szCs w:val="22"/>
        </w:rPr>
      </w:pPr>
      <w:del w:id="3966" w:author="AbbVie2" w:date="2025-05-13T16:36:00Z">
        <w:r w:rsidRPr="000C51DF">
          <w:rPr>
            <w:sz w:val="22"/>
            <w:szCs w:val="22"/>
          </w:rPr>
          <w:delText>Dos doentes tratados com Humira que receberam tratamento de reindução durante o período de manutenção, 2/6 (33%) obtiveram resposta clínica de acordo com a FMS na Semana 52.</w:delText>
        </w:r>
      </w:del>
    </w:p>
    <w:p w14:paraId="39AA595D" w14:textId="19962BA3" w:rsidR="00953E6E" w:rsidRPr="000C51DF" w:rsidRDefault="00953E6E" w:rsidP="00953E6E">
      <w:pPr>
        <w:rPr>
          <w:del w:id="3967" w:author="AbbVie2" w:date="2025-05-13T16:36:00Z"/>
          <w:sz w:val="22"/>
          <w:szCs w:val="22"/>
        </w:rPr>
      </w:pPr>
    </w:p>
    <w:p w14:paraId="573320B9" w14:textId="02FC8722" w:rsidR="00953E6E" w:rsidRPr="000C51DF" w:rsidRDefault="00615769" w:rsidP="00953E6E">
      <w:pPr>
        <w:keepNext/>
        <w:rPr>
          <w:del w:id="3968" w:author="AbbVie2" w:date="2025-05-13T16:36:00Z"/>
          <w:bCs/>
          <w:i/>
          <w:sz w:val="22"/>
          <w:szCs w:val="22"/>
          <w:u w:val="single"/>
        </w:rPr>
      </w:pPr>
      <w:del w:id="3969" w:author="AbbVie2" w:date="2025-05-13T16:36:00Z">
        <w:r w:rsidRPr="000C51DF">
          <w:rPr>
            <w:bCs/>
            <w:i/>
            <w:sz w:val="22"/>
            <w:szCs w:val="22"/>
            <w:u w:val="single"/>
          </w:rPr>
          <w:delText>Qualidade de vida</w:delText>
        </w:r>
      </w:del>
    </w:p>
    <w:p w14:paraId="5F7B2E2D" w14:textId="2CD8DA20" w:rsidR="00953E6E" w:rsidRPr="000C51DF" w:rsidRDefault="00953E6E" w:rsidP="00953E6E">
      <w:pPr>
        <w:keepNext/>
        <w:rPr>
          <w:del w:id="3970" w:author="AbbVie2" w:date="2025-05-13T16:36:00Z"/>
          <w:bCs/>
          <w:i/>
          <w:sz w:val="22"/>
          <w:szCs w:val="22"/>
          <w:u w:val="single"/>
        </w:rPr>
      </w:pPr>
    </w:p>
    <w:p w14:paraId="13A74D71" w14:textId="353154D3" w:rsidR="002F486F" w:rsidRPr="000C51DF" w:rsidRDefault="00615769" w:rsidP="002F486F">
      <w:pPr>
        <w:keepNext/>
        <w:rPr>
          <w:del w:id="3971" w:author="AbbVie2" w:date="2025-05-13T16:36:00Z"/>
          <w:sz w:val="22"/>
          <w:szCs w:val="22"/>
        </w:rPr>
      </w:pPr>
      <w:del w:id="3972" w:author="AbbVie2" w:date="2025-05-13T16:36:00Z">
        <w:r w:rsidRPr="000C51DF">
          <w:rPr>
            <w:sz w:val="22"/>
            <w:szCs w:val="22"/>
          </w:rPr>
          <w:delText xml:space="preserve">Foram observadas melhorias clinicamente significativas em relação aos valores </w:delText>
        </w:r>
        <w:r>
          <w:rPr>
            <w:sz w:val="22"/>
            <w:szCs w:val="22"/>
          </w:rPr>
          <w:delText>iniciais</w:delText>
        </w:r>
        <w:r w:rsidRPr="000C51DF">
          <w:rPr>
            <w:sz w:val="22"/>
            <w:szCs w:val="22"/>
          </w:rPr>
          <w:delText xml:space="preserve"> no questionário IMPACT III e nas pontuações do questionário </w:delText>
        </w:r>
        <w:r w:rsidRPr="000C51DF">
          <w:rPr>
            <w:i/>
            <w:sz w:val="22"/>
            <w:szCs w:val="22"/>
          </w:rPr>
          <w:delText>Work Productivity and Activity Impairment</w:delText>
        </w:r>
        <w:r w:rsidRPr="000C51DF">
          <w:rPr>
            <w:sz w:val="22"/>
            <w:szCs w:val="22"/>
          </w:rPr>
          <w:delText xml:space="preserve"> (WPAI) </w:delText>
        </w:r>
        <w:r>
          <w:rPr>
            <w:sz w:val="22"/>
            <w:szCs w:val="22"/>
          </w:rPr>
          <w:delText>relativas ao</w:delText>
        </w:r>
        <w:r w:rsidRPr="000C51DF">
          <w:rPr>
            <w:sz w:val="22"/>
            <w:szCs w:val="22"/>
          </w:rPr>
          <w:delText xml:space="preserve"> prestador de cuidados para os grupos tratados com Humira.</w:delText>
        </w:r>
      </w:del>
    </w:p>
    <w:p w14:paraId="14529A68" w14:textId="408FE138" w:rsidR="002F486F" w:rsidRPr="000C51DF" w:rsidRDefault="002F486F" w:rsidP="002F486F">
      <w:pPr>
        <w:keepNext/>
        <w:rPr>
          <w:del w:id="3973" w:author="AbbVie2" w:date="2025-05-13T16:36:00Z"/>
          <w:sz w:val="22"/>
          <w:szCs w:val="22"/>
        </w:rPr>
      </w:pPr>
    </w:p>
    <w:p w14:paraId="3FFA3DA8" w14:textId="47E6F50A" w:rsidR="002F486F" w:rsidRPr="004E38D3" w:rsidRDefault="00615769" w:rsidP="002F486F">
      <w:pPr>
        <w:rPr>
          <w:del w:id="3974" w:author="AbbVie2" w:date="2025-05-13T16:36:00Z"/>
          <w:rFonts w:eastAsiaTheme="minorHAnsi"/>
          <w:sz w:val="22"/>
          <w:szCs w:val="22"/>
          <w:lang w:eastAsia="en-GB"/>
        </w:rPr>
      </w:pPr>
      <w:del w:id="3975" w:author="AbbVie2" w:date="2025-05-13T16:36:00Z">
        <w:r w:rsidRPr="004E38D3">
          <w:rPr>
            <w:sz w:val="22"/>
            <w:szCs w:val="22"/>
          </w:rPr>
          <w:delText xml:space="preserve">Foram observados aumentos clinicamente significativos (melhoria) em relação aos valores </w:delText>
        </w:r>
        <w:r>
          <w:rPr>
            <w:sz w:val="22"/>
            <w:szCs w:val="22"/>
          </w:rPr>
          <w:delText>iniciais na</w:delText>
        </w:r>
        <w:r w:rsidRPr="004E38D3">
          <w:rPr>
            <w:sz w:val="22"/>
            <w:szCs w:val="22"/>
          </w:rPr>
          <w:delText xml:space="preserve"> velocidade de crescimento nos grupos tratados com adalimumab, e foram observados aumentos clinicamente significativos (melhoria) em relação aos valores </w:delText>
        </w:r>
        <w:r>
          <w:rPr>
            <w:sz w:val="22"/>
            <w:szCs w:val="22"/>
          </w:rPr>
          <w:delText>iniciais no</w:delText>
        </w:r>
        <w:r w:rsidRPr="004E38D3">
          <w:rPr>
            <w:sz w:val="22"/>
            <w:szCs w:val="22"/>
          </w:rPr>
          <w:delText xml:space="preserve"> índice de massa corporal em indivíduos a receberem uma dose de manutenção elevada de, no máximo, 40 mg (0,6 mg/kg)</w:delText>
        </w:r>
        <w:r>
          <w:rPr>
            <w:sz w:val="22"/>
            <w:szCs w:val="22"/>
          </w:rPr>
          <w:delText xml:space="preserve"> semanalmente</w:delText>
        </w:r>
        <w:r w:rsidRPr="004E38D3">
          <w:rPr>
            <w:sz w:val="22"/>
            <w:szCs w:val="22"/>
          </w:rPr>
          <w:delText xml:space="preserve">. </w:delText>
        </w:r>
      </w:del>
    </w:p>
    <w:p w14:paraId="7E1C2082" w14:textId="0253518F" w:rsidR="00953E6E" w:rsidRPr="004E38D3" w:rsidRDefault="00953E6E" w:rsidP="00D105CA">
      <w:pPr>
        <w:rPr>
          <w:del w:id="3976" w:author="AbbVie2" w:date="2025-05-13T16:36:00Z"/>
          <w:sz w:val="22"/>
          <w:szCs w:val="22"/>
        </w:rPr>
      </w:pPr>
    </w:p>
    <w:p w14:paraId="18180A33" w14:textId="621635DE" w:rsidR="00D105CA" w:rsidRPr="004D4741" w:rsidRDefault="00615769" w:rsidP="00D105CA">
      <w:pPr>
        <w:rPr>
          <w:del w:id="3977" w:author="AbbVie2" w:date="2025-05-13T16:36:00Z"/>
          <w:i/>
        </w:rPr>
      </w:pPr>
      <w:del w:id="3978" w:author="AbbVie2" w:date="2025-05-13T16:36:00Z">
        <w:r w:rsidRPr="004D4741">
          <w:rPr>
            <w:i/>
            <w:sz w:val="22"/>
            <w:szCs w:val="22"/>
          </w:rPr>
          <w:delText xml:space="preserve">Uveíte </w:delText>
        </w:r>
        <w:r>
          <w:rPr>
            <w:i/>
            <w:sz w:val="22"/>
            <w:szCs w:val="22"/>
          </w:rPr>
          <w:delText>p</w:delText>
        </w:r>
        <w:r w:rsidRPr="004D4741">
          <w:rPr>
            <w:i/>
            <w:sz w:val="22"/>
            <w:szCs w:val="22"/>
          </w:rPr>
          <w:delText>ediátrica</w:delText>
        </w:r>
      </w:del>
    </w:p>
    <w:p w14:paraId="6D4BFA73" w14:textId="091D7598" w:rsidR="00D105CA" w:rsidRDefault="00D105CA" w:rsidP="00D105CA">
      <w:pPr>
        <w:rPr>
          <w:del w:id="3979" w:author="AbbVie2" w:date="2025-05-13T16:36:00Z"/>
        </w:rPr>
      </w:pPr>
    </w:p>
    <w:p w14:paraId="16D40943" w14:textId="2010129C" w:rsidR="00D105CA" w:rsidRDefault="00615769" w:rsidP="00D105CA">
      <w:pPr>
        <w:pStyle w:val="BodyText2"/>
        <w:autoSpaceDE/>
        <w:autoSpaceDN/>
        <w:adjustRightInd/>
        <w:rPr>
          <w:del w:id="3980" w:author="AbbVie2" w:date="2025-05-13T16:36:00Z"/>
          <w:bCs/>
          <w:szCs w:val="20"/>
        </w:rPr>
      </w:pPr>
      <w:del w:id="3981" w:author="AbbVie2" w:date="2025-05-13T16:36:00Z">
        <w:r w:rsidRPr="008912CF">
          <w:rPr>
            <w:szCs w:val="22"/>
          </w:rPr>
          <w:delText>A segurança e eficácia de Humira foram avaliadas</w:delText>
        </w:r>
        <w:r>
          <w:rPr>
            <w:szCs w:val="22"/>
          </w:rPr>
          <w:delText xml:space="preserve"> num </w:delText>
        </w:r>
        <w:r w:rsidRPr="008912CF">
          <w:rPr>
            <w:szCs w:val="22"/>
          </w:rPr>
          <w:delText>estudo</w:delText>
        </w:r>
        <w:r>
          <w:rPr>
            <w:szCs w:val="22"/>
          </w:rPr>
          <w:delText xml:space="preserve"> aleatorizado</w:delText>
        </w:r>
        <w:r w:rsidRPr="008912CF">
          <w:rPr>
            <w:szCs w:val="22"/>
          </w:rPr>
          <w:delText xml:space="preserve">, </w:delText>
        </w:r>
        <w:r>
          <w:rPr>
            <w:szCs w:val="22"/>
          </w:rPr>
          <w:delText xml:space="preserve">controlado, </w:delText>
        </w:r>
        <w:r w:rsidRPr="008912CF">
          <w:rPr>
            <w:szCs w:val="22"/>
          </w:rPr>
          <w:delText xml:space="preserve">em dupla ocultação, </w:delText>
        </w:r>
        <w:r>
          <w:rPr>
            <w:szCs w:val="22"/>
          </w:rPr>
          <w:delText>realizado</w:delText>
        </w:r>
        <w:r w:rsidRPr="008912CF">
          <w:rPr>
            <w:szCs w:val="22"/>
          </w:rPr>
          <w:delText xml:space="preserve"> em </w:delText>
        </w:r>
        <w:r>
          <w:rPr>
            <w:szCs w:val="22"/>
          </w:rPr>
          <w:delText>9</w:delText>
        </w:r>
        <w:r w:rsidRPr="008912CF">
          <w:rPr>
            <w:szCs w:val="22"/>
          </w:rPr>
          <w:delText>0 doentes</w:delText>
        </w:r>
        <w:r>
          <w:rPr>
            <w:szCs w:val="22"/>
          </w:rPr>
          <w:delText xml:space="preserve"> pediátricos </w:delText>
        </w:r>
        <w:r w:rsidRPr="004D4741">
          <w:rPr>
            <w:szCs w:val="22"/>
          </w:rPr>
          <w:delText>com idad</w:delText>
        </w:r>
        <w:r>
          <w:rPr>
            <w:szCs w:val="22"/>
          </w:rPr>
          <w:delText>e</w:delText>
        </w:r>
        <w:r w:rsidRPr="004D4741">
          <w:rPr>
            <w:szCs w:val="22"/>
          </w:rPr>
          <w:delText xml:space="preserve"> </w:delText>
        </w:r>
        <w:r>
          <w:rPr>
            <w:szCs w:val="22"/>
          </w:rPr>
          <w:delText>desde</w:delText>
        </w:r>
        <w:r w:rsidRPr="004D4741">
          <w:rPr>
            <w:bCs/>
            <w:szCs w:val="22"/>
          </w:rPr>
          <w:delText xml:space="preserve"> os</w:delText>
        </w:r>
        <w:r w:rsidRPr="00A70DE6">
          <w:rPr>
            <w:b/>
            <w:bCs/>
            <w:szCs w:val="22"/>
          </w:rPr>
          <w:delText xml:space="preserve"> </w:delText>
        </w:r>
        <w:r w:rsidRPr="00A70DE6">
          <w:rPr>
            <w:szCs w:val="22"/>
          </w:rPr>
          <w:delText>2</w:delText>
        </w:r>
        <w:r>
          <w:rPr>
            <w:szCs w:val="22"/>
          </w:rPr>
          <w:delText> a &lt; </w:delText>
        </w:r>
        <w:r w:rsidRPr="004D4741">
          <w:rPr>
            <w:szCs w:val="22"/>
          </w:rPr>
          <w:delText>1</w:delText>
        </w:r>
        <w:r>
          <w:rPr>
            <w:szCs w:val="22"/>
          </w:rPr>
          <w:delText xml:space="preserve">8 </w:delText>
        </w:r>
        <w:r w:rsidRPr="004D4741">
          <w:rPr>
            <w:szCs w:val="22"/>
          </w:rPr>
          <w:delText>anos</w:delText>
        </w:r>
        <w:r w:rsidRPr="008912CF">
          <w:rPr>
            <w:szCs w:val="22"/>
          </w:rPr>
          <w:delText xml:space="preserve"> com </w:delText>
        </w:r>
        <w:r>
          <w:rPr>
            <w:szCs w:val="22"/>
          </w:rPr>
          <w:delText xml:space="preserve">uveíte não infecciosa, anterior, associada a artrite idiopática juvenil </w:delText>
        </w:r>
        <w:r w:rsidRPr="008912CF">
          <w:rPr>
            <w:szCs w:val="22"/>
          </w:rPr>
          <w:delText>(</w:delText>
        </w:r>
        <w:r>
          <w:rPr>
            <w:szCs w:val="22"/>
          </w:rPr>
          <w:delText>AIJ</w:delText>
        </w:r>
        <w:r w:rsidRPr="008912CF">
          <w:rPr>
            <w:szCs w:val="22"/>
          </w:rPr>
          <w:delText>) ativa</w:delText>
        </w:r>
        <w:r>
          <w:rPr>
            <w:szCs w:val="22"/>
          </w:rPr>
          <w:delText>, que foram refratários durante pelo menos 12 semanas de tratamento com metotrexato.</w:delText>
        </w:r>
        <w:r w:rsidRPr="008912CF">
          <w:rPr>
            <w:szCs w:val="22"/>
          </w:rPr>
          <w:delText xml:space="preserve"> </w:delText>
        </w:r>
        <w:r>
          <w:rPr>
            <w:szCs w:val="22"/>
          </w:rPr>
          <w:delText>O</w:delText>
        </w:r>
        <w:r w:rsidRPr="008912CF">
          <w:rPr>
            <w:szCs w:val="22"/>
          </w:rPr>
          <w:delText xml:space="preserve">s doentes receberam placebo ou </w:delText>
        </w:r>
        <w:r>
          <w:rPr>
            <w:szCs w:val="22"/>
          </w:rPr>
          <w:delText>20 mg de adalimumab (se &lt; 30 kg) ou 40 mg de adalimumab (se </w:delText>
        </w:r>
        <w:r w:rsidRPr="004D4741">
          <w:rPr>
            <w:bCs/>
            <w:szCs w:val="20"/>
          </w:rPr>
          <w:delText>≥</w:delText>
        </w:r>
        <w:r>
          <w:rPr>
            <w:bCs/>
            <w:szCs w:val="20"/>
          </w:rPr>
          <w:delText> 30 kg) em semanas alternadas em associação com a dose inicial de metotrexato.</w:delText>
        </w:r>
      </w:del>
    </w:p>
    <w:p w14:paraId="5F741000" w14:textId="23A6A677" w:rsidR="00D105CA" w:rsidRDefault="00D105CA" w:rsidP="00D105CA">
      <w:pPr>
        <w:pStyle w:val="BodyText2"/>
        <w:autoSpaceDE/>
        <w:autoSpaceDN/>
        <w:adjustRightInd/>
        <w:rPr>
          <w:del w:id="3982" w:author="AbbVie2" w:date="2025-05-13T16:36:00Z"/>
          <w:bCs/>
          <w:szCs w:val="20"/>
        </w:rPr>
      </w:pPr>
    </w:p>
    <w:p w14:paraId="0296C6D7" w14:textId="634AB092" w:rsidR="00D105CA" w:rsidRDefault="00615769" w:rsidP="00D105CA">
      <w:pPr>
        <w:pStyle w:val="BodyText2"/>
        <w:autoSpaceDE/>
        <w:autoSpaceDN/>
        <w:adjustRightInd/>
        <w:rPr>
          <w:del w:id="3983" w:author="AbbVie2" w:date="2025-05-13T16:36:00Z"/>
          <w:szCs w:val="22"/>
        </w:rPr>
      </w:pPr>
      <w:del w:id="3984" w:author="AbbVie2" w:date="2025-05-13T16:36:00Z">
        <w:r>
          <w:rPr>
            <w:szCs w:val="22"/>
          </w:rPr>
          <w:delText>O objetivo primário foi o “tempo até falha do tratamento”. Os critérios determinantes para a falha de tratamento foram o agravamento ou a ausência de melhoria sustentada da inflamação ocular ou melhoria parcial com desenvolvimento de comorbilidades oculares sustentadas ou agravamento das comorbilidades oculares, utilização de medicações concomitantes não permitidas e descontinuação do tratamento durante um longo período de tempo.</w:delText>
        </w:r>
      </w:del>
    </w:p>
    <w:p w14:paraId="6D56DCBA" w14:textId="4364C8D9" w:rsidR="00D105CA" w:rsidRDefault="00D105CA" w:rsidP="00D105CA">
      <w:pPr>
        <w:pStyle w:val="BodyText2"/>
        <w:autoSpaceDE/>
        <w:autoSpaceDN/>
        <w:adjustRightInd/>
        <w:rPr>
          <w:del w:id="3985" w:author="AbbVie2" w:date="2025-05-13T16:36:00Z"/>
          <w:szCs w:val="22"/>
        </w:rPr>
      </w:pPr>
    </w:p>
    <w:p w14:paraId="385EB55F" w14:textId="42EB48CD" w:rsidR="00D105CA" w:rsidRPr="008912CF" w:rsidRDefault="00615769" w:rsidP="00D105CA">
      <w:pPr>
        <w:rPr>
          <w:del w:id="3986" w:author="AbbVie2" w:date="2025-05-13T16:36:00Z"/>
          <w:i/>
          <w:sz w:val="22"/>
          <w:szCs w:val="22"/>
          <w:u w:val="single"/>
        </w:rPr>
      </w:pPr>
      <w:del w:id="3987" w:author="AbbVie2" w:date="2025-05-13T16:36:00Z">
        <w:r w:rsidRPr="008912CF">
          <w:rPr>
            <w:i/>
            <w:sz w:val="22"/>
            <w:szCs w:val="22"/>
            <w:u w:val="single"/>
          </w:rPr>
          <w:delText>Resposta clínica</w:delText>
        </w:r>
      </w:del>
    </w:p>
    <w:p w14:paraId="2460DA5A" w14:textId="5754AB1A" w:rsidR="00D105CA" w:rsidRDefault="00D105CA" w:rsidP="00D105CA">
      <w:pPr>
        <w:pStyle w:val="BodyText2"/>
        <w:autoSpaceDE/>
        <w:autoSpaceDN/>
        <w:adjustRightInd/>
        <w:rPr>
          <w:del w:id="3988" w:author="AbbVie2" w:date="2025-05-13T16:36:00Z"/>
          <w:szCs w:val="22"/>
        </w:rPr>
      </w:pPr>
    </w:p>
    <w:p w14:paraId="32A56432" w14:textId="0ED3671E" w:rsidR="00D105CA" w:rsidRPr="004D4741" w:rsidRDefault="00615769" w:rsidP="00D105CA">
      <w:pPr>
        <w:pStyle w:val="gtcbodytext"/>
        <w:spacing w:before="0" w:after="0" w:line="240" w:lineRule="auto"/>
        <w:rPr>
          <w:del w:id="3989" w:author="AbbVie2" w:date="2025-05-13T16:36:00Z"/>
          <w:rFonts w:eastAsia="PMingLiU"/>
          <w:sz w:val="22"/>
          <w:szCs w:val="22"/>
          <w:lang w:val="pt-PT"/>
        </w:rPr>
      </w:pPr>
      <w:del w:id="3990" w:author="AbbVie2" w:date="2025-05-13T16:36:00Z">
        <w:r>
          <w:rPr>
            <w:rFonts w:eastAsia="PMingLiU"/>
            <w:sz w:val="22"/>
            <w:szCs w:val="22"/>
            <w:lang w:val="pt-PT"/>
          </w:rPr>
          <w:delText>A</w:delText>
        </w:r>
        <w:r w:rsidRPr="004D4741">
          <w:rPr>
            <w:rFonts w:eastAsia="PMingLiU"/>
            <w:sz w:val="22"/>
            <w:szCs w:val="22"/>
            <w:lang w:val="pt-PT"/>
          </w:rPr>
          <w:delText xml:space="preserve">dalimumab reduziu significativamente o tempo até falha do tratamento, em comparação com o placebo (ver Figura </w:delText>
        </w:r>
        <w:r w:rsidR="00421006">
          <w:rPr>
            <w:rFonts w:eastAsia="PMingLiU"/>
            <w:sz w:val="22"/>
            <w:szCs w:val="22"/>
            <w:lang w:val="pt-PT"/>
          </w:rPr>
          <w:delText>2</w:delText>
        </w:r>
        <w:r w:rsidRPr="004D4741">
          <w:rPr>
            <w:rFonts w:eastAsia="PMingLiU"/>
            <w:sz w:val="22"/>
            <w:szCs w:val="22"/>
            <w:lang w:val="pt-PT"/>
          </w:rPr>
          <w:delText xml:space="preserve">, </w:delText>
        </w:r>
        <w:r>
          <w:rPr>
            <w:rFonts w:eastAsia="PMingLiU"/>
            <w:sz w:val="22"/>
            <w:szCs w:val="22"/>
            <w:lang w:val="pt-PT"/>
          </w:rPr>
          <w:delText>p</w:delText>
        </w:r>
        <w:r w:rsidRPr="004D4741">
          <w:rPr>
            <w:rFonts w:eastAsia="PMingLiU"/>
            <w:sz w:val="22"/>
            <w:szCs w:val="22"/>
            <w:lang w:val="pt-PT"/>
          </w:rPr>
          <w:delText xml:space="preserve"> &lt; 0,0001 do teste logarítmico). O tempo </w:delText>
        </w:r>
        <w:r>
          <w:rPr>
            <w:rFonts w:eastAsia="PMingLiU"/>
            <w:sz w:val="22"/>
            <w:szCs w:val="22"/>
            <w:lang w:val="pt-PT"/>
          </w:rPr>
          <w:delText>mediano</w:delText>
        </w:r>
        <w:r w:rsidRPr="004D4741">
          <w:rPr>
            <w:rFonts w:eastAsia="PMingLiU"/>
            <w:sz w:val="22"/>
            <w:szCs w:val="22"/>
            <w:lang w:val="pt-PT"/>
          </w:rPr>
          <w:delText xml:space="preserve"> até falha do tratamento foi 24,1 semanas em indivíduos tratados com placebo, enquanto que o tempo </w:delText>
        </w:r>
        <w:r>
          <w:rPr>
            <w:rFonts w:eastAsia="PMingLiU"/>
            <w:sz w:val="22"/>
            <w:szCs w:val="22"/>
            <w:lang w:val="pt-PT"/>
          </w:rPr>
          <w:delText>mediano</w:delText>
        </w:r>
        <w:r w:rsidRPr="004D4741">
          <w:rPr>
            <w:rFonts w:eastAsia="PMingLiU"/>
            <w:sz w:val="22"/>
            <w:szCs w:val="22"/>
            <w:lang w:val="pt-PT"/>
          </w:rPr>
          <w:delText xml:space="preserve"> até falha do tratamento em indivíduos tratados com adalimumab não foi calculável, uma vez que menos de metade destes indivíduos experimentaram falha do tratamento. </w:delText>
        </w:r>
        <w:r>
          <w:rPr>
            <w:rFonts w:eastAsia="PMingLiU"/>
            <w:sz w:val="22"/>
            <w:szCs w:val="22"/>
            <w:lang w:val="pt-PT"/>
          </w:rPr>
          <w:delText>A</w:delText>
        </w:r>
        <w:r w:rsidRPr="004D4741">
          <w:rPr>
            <w:rFonts w:eastAsia="PMingLiU"/>
            <w:sz w:val="22"/>
            <w:szCs w:val="22"/>
            <w:lang w:val="pt-PT"/>
          </w:rPr>
          <w:delText>dalimumab reduziu significativamente o risco de falha de tratamento em 75% rel</w:delText>
        </w:r>
        <w:r w:rsidRPr="004D4741">
          <w:rPr>
            <w:rFonts w:eastAsia="PMingLiU"/>
            <w:sz w:val="22"/>
            <w:szCs w:val="22"/>
            <w:lang w:val="pt-PT"/>
          </w:rPr>
          <w:delText>ativamente a placebo, conforme demonstrado pela taxa de risco (TR = 0,25 [</w:delText>
        </w:r>
        <w:r>
          <w:rPr>
            <w:rFonts w:eastAsia="PMingLiU"/>
            <w:sz w:val="22"/>
            <w:szCs w:val="22"/>
            <w:lang w:val="pt-PT"/>
          </w:rPr>
          <w:delText xml:space="preserve">IC </w:delText>
        </w:r>
        <w:r w:rsidRPr="004D4741">
          <w:rPr>
            <w:rFonts w:eastAsia="PMingLiU"/>
            <w:sz w:val="22"/>
            <w:szCs w:val="22"/>
            <w:lang w:val="pt-PT"/>
          </w:rPr>
          <w:delText>95%: 0,12; 0,49]).</w:delText>
        </w:r>
      </w:del>
    </w:p>
    <w:p w14:paraId="0E01A02B" w14:textId="5F279A4D" w:rsidR="00D105CA" w:rsidRPr="004D4741" w:rsidRDefault="00D105CA" w:rsidP="00D105CA">
      <w:pPr>
        <w:pStyle w:val="BodyText2"/>
        <w:autoSpaceDE/>
        <w:autoSpaceDN/>
        <w:adjustRightInd/>
        <w:rPr>
          <w:del w:id="3991" w:author="AbbVie2" w:date="2025-05-13T16:36:00Z"/>
          <w:rFonts w:eastAsia="Times New Roman"/>
          <w:sz w:val="24"/>
          <w:szCs w:val="22"/>
        </w:rPr>
      </w:pPr>
    </w:p>
    <w:p w14:paraId="6F6A4877" w14:textId="5F39B00A" w:rsidR="00D105CA" w:rsidRDefault="00615769" w:rsidP="00D105CA">
      <w:pPr>
        <w:keepNext/>
        <w:spacing w:line="300" w:lineRule="auto"/>
        <w:jc w:val="center"/>
        <w:rPr>
          <w:del w:id="3992" w:author="AbbVie2" w:date="2025-05-13T16:36:00Z"/>
          <w:rFonts w:eastAsia="Times New Roman"/>
          <w:b/>
          <w:sz w:val="22"/>
          <w:szCs w:val="22"/>
        </w:rPr>
      </w:pPr>
      <w:del w:id="3993" w:author="AbbVie2" w:date="2025-05-13T16:36:00Z">
        <w:r w:rsidRPr="004D4741">
          <w:rPr>
            <w:rFonts w:eastAsia="Times New Roman"/>
            <w:b/>
            <w:sz w:val="22"/>
            <w:szCs w:val="22"/>
          </w:rPr>
          <w:delText xml:space="preserve">Figura </w:delText>
        </w:r>
        <w:r w:rsidR="00421006">
          <w:rPr>
            <w:rFonts w:eastAsia="Times New Roman"/>
            <w:b/>
            <w:sz w:val="22"/>
            <w:szCs w:val="22"/>
          </w:rPr>
          <w:delText>2</w:delText>
        </w:r>
        <w:r w:rsidRPr="004D4741">
          <w:rPr>
            <w:rFonts w:eastAsia="Times New Roman"/>
            <w:b/>
            <w:sz w:val="22"/>
            <w:szCs w:val="22"/>
          </w:rPr>
          <w:delText xml:space="preserve">: Curvas de Kaplan-Meier </w:delText>
        </w:r>
        <w:r>
          <w:rPr>
            <w:rFonts w:eastAsia="Times New Roman"/>
            <w:b/>
            <w:sz w:val="22"/>
            <w:szCs w:val="22"/>
          </w:rPr>
          <w:delText>resumindo</w:delText>
        </w:r>
        <w:r w:rsidRPr="004D4741">
          <w:rPr>
            <w:rFonts w:eastAsia="Times New Roman"/>
            <w:b/>
            <w:sz w:val="22"/>
            <w:szCs w:val="22"/>
          </w:rPr>
          <w:delText xml:space="preserve"> o tempo até falha do tratamento </w:delText>
        </w:r>
        <w:r>
          <w:rPr>
            <w:rFonts w:eastAsia="Times New Roman"/>
            <w:b/>
            <w:sz w:val="22"/>
            <w:szCs w:val="22"/>
          </w:rPr>
          <w:delText xml:space="preserve">no Estudo da </w:delText>
        </w:r>
        <w:r w:rsidRPr="004D4741">
          <w:rPr>
            <w:rFonts w:eastAsia="Times New Roman"/>
            <w:b/>
            <w:sz w:val="22"/>
            <w:szCs w:val="22"/>
          </w:rPr>
          <w:delText>Uve</w:delText>
        </w:r>
        <w:r>
          <w:rPr>
            <w:rFonts w:eastAsia="Times New Roman"/>
            <w:b/>
            <w:sz w:val="22"/>
            <w:szCs w:val="22"/>
          </w:rPr>
          <w:delText>íte pediátrica</w:delText>
        </w:r>
      </w:del>
    </w:p>
    <w:p w14:paraId="5B6AFBEF" w14:textId="432355FC" w:rsidR="00D105CA" w:rsidRPr="004D4741" w:rsidRDefault="00D105CA" w:rsidP="00D105CA">
      <w:pPr>
        <w:keepNext/>
        <w:spacing w:line="300" w:lineRule="auto"/>
        <w:jc w:val="center"/>
        <w:rPr>
          <w:del w:id="3994" w:author="AbbVie2" w:date="2025-05-13T16:36:00Z"/>
          <w:rFonts w:eastAsia="Times New Roman"/>
          <w:b/>
          <w:sz w:val="22"/>
          <w:szCs w:val="22"/>
        </w:rPr>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A7162A" w14:paraId="78100C9A" w14:textId="1631587E" w:rsidTr="00D105CA">
        <w:trPr>
          <w:cantSplit/>
          <w:trHeight w:val="3806"/>
          <w:del w:id="3995" w:author="AbbVie2" w:date="2025-05-13T16:36:00Z"/>
        </w:trPr>
        <w:tc>
          <w:tcPr>
            <w:tcW w:w="468" w:type="dxa"/>
            <w:textDirection w:val="btLr"/>
            <w:vAlign w:val="bottom"/>
          </w:tcPr>
          <w:p w14:paraId="324FDFA9" w14:textId="37FDA59F" w:rsidR="00D105CA" w:rsidRPr="004D4741" w:rsidRDefault="00615769" w:rsidP="00D105CA">
            <w:pPr>
              <w:keepNext/>
              <w:tabs>
                <w:tab w:val="left" w:pos="562"/>
              </w:tabs>
              <w:suppressAutoHyphens/>
              <w:ind w:left="113" w:right="113"/>
              <w:jc w:val="center"/>
              <w:rPr>
                <w:del w:id="3996" w:author="AbbVie2" w:date="2025-05-13T16:36:00Z"/>
                <w:rFonts w:eastAsia="Times New Roman"/>
                <w:b/>
                <w:sz w:val="22"/>
                <w:szCs w:val="22"/>
              </w:rPr>
            </w:pPr>
            <w:del w:id="3997" w:author="AbbVie2" w:date="2025-05-13T16:36:00Z">
              <w:r w:rsidRPr="004D4741">
                <w:rPr>
                  <w:rFonts w:eastAsia="Times New Roman"/>
                  <w:b/>
                  <w:sz w:val="22"/>
                  <w:szCs w:val="22"/>
                </w:rPr>
                <w:delText>PROBABILIDADE DE FALHA DE TRATAMENTO</w:delText>
              </w:r>
            </w:del>
          </w:p>
        </w:tc>
        <w:tc>
          <w:tcPr>
            <w:tcW w:w="8820" w:type="dxa"/>
            <w:gridSpan w:val="5"/>
            <w:vAlign w:val="bottom"/>
          </w:tcPr>
          <w:p w14:paraId="3D441616" w14:textId="024E7028" w:rsidR="00D105CA" w:rsidRPr="00AD4F25" w:rsidRDefault="00615769" w:rsidP="00D105CA">
            <w:pPr>
              <w:keepNext/>
              <w:tabs>
                <w:tab w:val="left" w:pos="562"/>
              </w:tabs>
              <w:suppressAutoHyphens/>
              <w:rPr>
                <w:del w:id="3998" w:author="AbbVie2" w:date="2025-05-13T16:36:00Z"/>
                <w:rFonts w:eastAsia="Times New Roman"/>
                <w:sz w:val="22"/>
                <w:szCs w:val="22"/>
                <w:rPrChange w:id="3999" w:author="AbbVie2" w:date="2025-05-14T10:17:00Z">
                  <w:rPr>
                    <w:del w:id="4000" w:author="AbbVie2" w:date="2025-05-13T16:36:00Z"/>
                    <w:rFonts w:eastAsia="Times New Roman"/>
                    <w:sz w:val="22"/>
                    <w:szCs w:val="22"/>
                    <w:lang w:val="en-US"/>
                  </w:rPr>
                </w:rPrChange>
              </w:rPr>
            </w:pPr>
            <w:del w:id="4001" w:author="AbbVie2" w:date="2025-05-13T16:36:00Z">
              <w:r>
                <w:rPr>
                  <w:rFonts w:eastAsia="Times New Roman"/>
                  <w:noProof/>
                  <w:sz w:val="22"/>
                  <w:szCs w:val="22"/>
                  <w:lang w:val="en-GB" w:eastAsia="en-GB"/>
                </w:rPr>
                <w:drawing>
                  <wp:inline distT="0" distB="0" distL="0" distR="0" wp14:anchorId="3BDADF5E" wp14:editId="56B7F9A8">
                    <wp:extent cx="5486400" cy="4552950"/>
                    <wp:effectExtent l="0" t="0" r="0" b="0"/>
                    <wp:docPr id="8" name="Picture 73"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Humira PED UV KM Curve REVISED 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del>
          </w:p>
        </w:tc>
      </w:tr>
      <w:tr w:rsidR="00A7162A" w14:paraId="50A237E7" w14:textId="2E2241FB" w:rsidTr="00D105CA">
        <w:trPr>
          <w:del w:id="4002" w:author="AbbVie2" w:date="2025-05-13T16:36:00Z"/>
        </w:trPr>
        <w:tc>
          <w:tcPr>
            <w:tcW w:w="468" w:type="dxa"/>
          </w:tcPr>
          <w:p w14:paraId="1AC05C25" w14:textId="7E1CA8D2" w:rsidR="00D105CA" w:rsidRPr="00AD4F25" w:rsidRDefault="00D105CA" w:rsidP="00D105CA">
            <w:pPr>
              <w:keepNext/>
              <w:tabs>
                <w:tab w:val="left" w:pos="562"/>
              </w:tabs>
              <w:suppressAutoHyphens/>
              <w:rPr>
                <w:del w:id="4003" w:author="AbbVie2" w:date="2025-05-13T16:36:00Z"/>
                <w:rFonts w:eastAsia="Times New Roman"/>
                <w:sz w:val="22"/>
                <w:szCs w:val="22"/>
                <w:rPrChange w:id="4004" w:author="AbbVie2" w:date="2025-05-14T10:17:00Z">
                  <w:rPr>
                    <w:del w:id="4005" w:author="AbbVie2" w:date="2025-05-13T16:36:00Z"/>
                    <w:rFonts w:eastAsia="Times New Roman"/>
                    <w:sz w:val="22"/>
                    <w:szCs w:val="22"/>
                    <w:lang w:val="en-US"/>
                  </w:rPr>
                </w:rPrChange>
              </w:rPr>
            </w:pPr>
          </w:p>
        </w:tc>
        <w:tc>
          <w:tcPr>
            <w:tcW w:w="8820" w:type="dxa"/>
            <w:gridSpan w:val="5"/>
          </w:tcPr>
          <w:p w14:paraId="609BB601" w14:textId="58B836FC" w:rsidR="00D105CA" w:rsidRPr="00AD4F25" w:rsidRDefault="00615769" w:rsidP="00D105CA">
            <w:pPr>
              <w:keepNext/>
              <w:tabs>
                <w:tab w:val="left" w:pos="562"/>
              </w:tabs>
              <w:suppressAutoHyphens/>
              <w:jc w:val="center"/>
              <w:rPr>
                <w:del w:id="4006" w:author="AbbVie2" w:date="2025-05-13T16:36:00Z"/>
                <w:rFonts w:eastAsia="Times New Roman"/>
                <w:b/>
                <w:sz w:val="22"/>
                <w:szCs w:val="22"/>
                <w:rPrChange w:id="4007" w:author="AbbVie2" w:date="2025-05-14T10:17:00Z">
                  <w:rPr>
                    <w:del w:id="4008" w:author="AbbVie2" w:date="2025-05-13T16:36:00Z"/>
                    <w:rFonts w:eastAsia="Times New Roman"/>
                    <w:b/>
                    <w:sz w:val="22"/>
                    <w:szCs w:val="22"/>
                    <w:lang w:val="en-US"/>
                  </w:rPr>
                </w:rPrChange>
              </w:rPr>
            </w:pPr>
            <w:del w:id="4009" w:author="AbbVie2" w:date="2025-05-13T16:36:00Z">
              <w:r w:rsidRPr="00AD4F25">
                <w:rPr>
                  <w:rFonts w:eastAsia="Times New Roman"/>
                  <w:b/>
                  <w:sz w:val="22"/>
                  <w:szCs w:val="22"/>
                  <w:rPrChange w:id="4010" w:author="AbbVie2" w:date="2025-05-14T10:17:00Z">
                    <w:rPr>
                      <w:rFonts w:eastAsia="Times New Roman"/>
                      <w:b/>
                      <w:sz w:val="22"/>
                      <w:szCs w:val="22"/>
                      <w:lang w:val="en-US"/>
                    </w:rPr>
                  </w:rPrChange>
                </w:rPr>
                <w:delText>TEMPO (SEMANAS)</w:delText>
              </w:r>
            </w:del>
          </w:p>
        </w:tc>
      </w:tr>
      <w:tr w:rsidR="00A7162A" w14:paraId="7E8F644B" w14:textId="62E78A55" w:rsidTr="00D105CA">
        <w:trPr>
          <w:del w:id="4011" w:author="AbbVie2" w:date="2025-05-13T16:36:00Z"/>
        </w:trPr>
        <w:tc>
          <w:tcPr>
            <w:tcW w:w="468" w:type="dxa"/>
          </w:tcPr>
          <w:p w14:paraId="7A477633" w14:textId="734A0B41" w:rsidR="00D105CA" w:rsidRPr="00AD4F25" w:rsidRDefault="00D105CA" w:rsidP="00D105CA">
            <w:pPr>
              <w:keepNext/>
              <w:tabs>
                <w:tab w:val="left" w:pos="562"/>
              </w:tabs>
              <w:suppressAutoHyphens/>
              <w:rPr>
                <w:del w:id="4012" w:author="AbbVie2" w:date="2025-05-13T16:36:00Z"/>
                <w:rFonts w:eastAsia="Times New Roman"/>
                <w:sz w:val="22"/>
                <w:szCs w:val="22"/>
                <w:rPrChange w:id="4013" w:author="AbbVie2" w:date="2025-05-14T10:17:00Z">
                  <w:rPr>
                    <w:del w:id="4014" w:author="AbbVie2" w:date="2025-05-13T16:36:00Z"/>
                    <w:rFonts w:eastAsia="Times New Roman"/>
                    <w:sz w:val="22"/>
                    <w:szCs w:val="22"/>
                    <w:lang w:val="en-US"/>
                  </w:rPr>
                </w:rPrChange>
              </w:rPr>
            </w:pPr>
          </w:p>
        </w:tc>
        <w:tc>
          <w:tcPr>
            <w:tcW w:w="3510" w:type="dxa"/>
          </w:tcPr>
          <w:p w14:paraId="228E8834" w14:textId="3D5887F1" w:rsidR="00D105CA" w:rsidRPr="00AD4F25" w:rsidRDefault="00615769" w:rsidP="00D105CA">
            <w:pPr>
              <w:keepNext/>
              <w:tabs>
                <w:tab w:val="left" w:pos="562"/>
              </w:tabs>
              <w:suppressAutoHyphens/>
              <w:rPr>
                <w:del w:id="4015" w:author="AbbVie2" w:date="2025-05-13T16:36:00Z"/>
                <w:rFonts w:eastAsia="Times New Roman"/>
                <w:sz w:val="22"/>
                <w:szCs w:val="22"/>
                <w:rPrChange w:id="4016" w:author="AbbVie2" w:date="2025-05-14T10:17:00Z">
                  <w:rPr>
                    <w:del w:id="4017" w:author="AbbVie2" w:date="2025-05-13T16:36:00Z"/>
                    <w:rFonts w:eastAsia="Times New Roman"/>
                    <w:sz w:val="22"/>
                    <w:szCs w:val="22"/>
                    <w:lang w:val="en-US"/>
                  </w:rPr>
                </w:rPrChange>
              </w:rPr>
            </w:pPr>
            <w:del w:id="4018" w:author="AbbVie2" w:date="2025-05-13T16:36:00Z">
              <w:r w:rsidRPr="00AD4F25">
                <w:rPr>
                  <w:rFonts w:eastAsia="Times New Roman"/>
                  <w:sz w:val="22"/>
                  <w:szCs w:val="22"/>
                  <w:rPrChange w:id="4019" w:author="AbbVie2" w:date="2025-05-14T10:17:00Z">
                    <w:rPr>
                      <w:rFonts w:eastAsia="Times New Roman"/>
                      <w:sz w:val="22"/>
                      <w:szCs w:val="22"/>
                      <w:lang w:val="en-US"/>
                    </w:rPr>
                  </w:rPrChange>
                </w:rPr>
                <w:delText>Tratamento</w:delText>
              </w:r>
            </w:del>
          </w:p>
        </w:tc>
        <w:tc>
          <w:tcPr>
            <w:tcW w:w="1170" w:type="dxa"/>
            <w:vAlign w:val="bottom"/>
          </w:tcPr>
          <w:p w14:paraId="510BE82A" w14:textId="2424B8B5" w:rsidR="00D105CA" w:rsidRPr="00AD4F25" w:rsidRDefault="00615769" w:rsidP="00D105CA">
            <w:pPr>
              <w:keepNext/>
              <w:tabs>
                <w:tab w:val="left" w:pos="562"/>
              </w:tabs>
              <w:suppressAutoHyphens/>
              <w:jc w:val="center"/>
              <w:rPr>
                <w:del w:id="4020" w:author="AbbVie2" w:date="2025-05-13T16:36:00Z"/>
                <w:rFonts w:eastAsia="Times New Roman"/>
                <w:sz w:val="22"/>
                <w:szCs w:val="22"/>
                <w:rPrChange w:id="4021" w:author="AbbVie2" w:date="2025-05-14T10:17:00Z">
                  <w:rPr>
                    <w:del w:id="4022" w:author="AbbVie2" w:date="2025-05-13T16:36:00Z"/>
                    <w:rFonts w:eastAsia="Times New Roman"/>
                    <w:sz w:val="22"/>
                    <w:szCs w:val="22"/>
                    <w:lang w:val="en-US"/>
                  </w:rPr>
                </w:rPrChange>
              </w:rPr>
            </w:pPr>
            <w:del w:id="4023" w:author="AbbVie2" w:date="2025-05-13T16:36:00Z">
              <w:r>
                <w:rPr>
                  <w:rFonts w:eastAsia="Times New Roman"/>
                  <w:noProof/>
                  <w:sz w:val="22"/>
                  <w:szCs w:val="22"/>
                  <w:lang w:val="en-GB" w:eastAsia="en-GB"/>
                </w:rPr>
                <w:drawing>
                  <wp:inline distT="0" distB="0" distL="0" distR="0" wp14:anchorId="6AF17A12" wp14:editId="4CE4EEC9">
                    <wp:extent cx="457200" cy="123825"/>
                    <wp:effectExtent l="0" t="0" r="0" b="9525"/>
                    <wp:docPr id="28" name="Picture 72"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3" descr="Humira PED UV KM Curve 1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del>
          </w:p>
        </w:tc>
        <w:tc>
          <w:tcPr>
            <w:tcW w:w="1350" w:type="dxa"/>
          </w:tcPr>
          <w:p w14:paraId="50D672B7" w14:textId="29D32258" w:rsidR="00D105CA" w:rsidRPr="00AD4F25" w:rsidRDefault="00615769" w:rsidP="00D105CA">
            <w:pPr>
              <w:keepNext/>
              <w:tabs>
                <w:tab w:val="left" w:pos="562"/>
              </w:tabs>
              <w:suppressAutoHyphens/>
              <w:rPr>
                <w:del w:id="4024" w:author="AbbVie2" w:date="2025-05-13T16:36:00Z"/>
                <w:rFonts w:eastAsia="Times New Roman"/>
                <w:sz w:val="22"/>
                <w:szCs w:val="22"/>
                <w:rPrChange w:id="4025" w:author="AbbVie2" w:date="2025-05-14T10:17:00Z">
                  <w:rPr>
                    <w:del w:id="4026" w:author="AbbVie2" w:date="2025-05-13T16:36:00Z"/>
                    <w:rFonts w:eastAsia="Times New Roman"/>
                    <w:sz w:val="22"/>
                    <w:szCs w:val="22"/>
                    <w:lang w:val="en-US"/>
                  </w:rPr>
                </w:rPrChange>
              </w:rPr>
            </w:pPr>
            <w:del w:id="4027" w:author="AbbVie2" w:date="2025-05-13T16:36:00Z">
              <w:r w:rsidRPr="00AD4F25">
                <w:rPr>
                  <w:rFonts w:eastAsia="Times New Roman"/>
                  <w:sz w:val="22"/>
                  <w:szCs w:val="22"/>
                  <w:rPrChange w:id="4028" w:author="AbbVie2" w:date="2025-05-14T10:17:00Z">
                    <w:rPr>
                      <w:rFonts w:eastAsia="Times New Roman"/>
                      <w:sz w:val="22"/>
                      <w:szCs w:val="22"/>
                      <w:lang w:val="en-US"/>
                    </w:rPr>
                  </w:rPrChange>
                </w:rPr>
                <w:delText>Placebo</w:delText>
              </w:r>
            </w:del>
          </w:p>
        </w:tc>
        <w:tc>
          <w:tcPr>
            <w:tcW w:w="900" w:type="dxa"/>
            <w:vAlign w:val="center"/>
          </w:tcPr>
          <w:p w14:paraId="4DFBC00E" w14:textId="32842D47" w:rsidR="00D105CA" w:rsidRPr="00AD4F25" w:rsidRDefault="00615769" w:rsidP="00D105CA">
            <w:pPr>
              <w:keepNext/>
              <w:tabs>
                <w:tab w:val="left" w:pos="562"/>
              </w:tabs>
              <w:suppressAutoHyphens/>
              <w:rPr>
                <w:del w:id="4029" w:author="AbbVie2" w:date="2025-05-13T16:36:00Z"/>
                <w:rFonts w:eastAsia="Times New Roman"/>
                <w:sz w:val="22"/>
                <w:szCs w:val="22"/>
                <w:rPrChange w:id="4030" w:author="AbbVie2" w:date="2025-05-14T10:17:00Z">
                  <w:rPr>
                    <w:del w:id="4031" w:author="AbbVie2" w:date="2025-05-13T16:36:00Z"/>
                    <w:rFonts w:eastAsia="Times New Roman"/>
                    <w:sz w:val="22"/>
                    <w:szCs w:val="22"/>
                    <w:lang w:val="en-US"/>
                  </w:rPr>
                </w:rPrChange>
              </w:rPr>
            </w:pPr>
            <w:del w:id="4032" w:author="AbbVie2" w:date="2025-05-13T16:36:00Z">
              <w:r>
                <w:rPr>
                  <w:rFonts w:eastAsia="Times New Roman"/>
                  <w:noProof/>
                  <w:sz w:val="22"/>
                  <w:szCs w:val="22"/>
                  <w:lang w:val="en-GB" w:eastAsia="en-GB"/>
                </w:rPr>
                <w:drawing>
                  <wp:inline distT="0" distB="0" distL="0" distR="0" wp14:anchorId="05A984BE" wp14:editId="535619D4">
                    <wp:extent cx="457200" cy="85725"/>
                    <wp:effectExtent l="0" t="0" r="0" b="9525"/>
                    <wp:docPr id="29" name="Picture 71"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4" descr="Humira PED UV KM Curve 1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del>
          </w:p>
        </w:tc>
        <w:tc>
          <w:tcPr>
            <w:tcW w:w="1890" w:type="dxa"/>
          </w:tcPr>
          <w:p w14:paraId="4E03B04D" w14:textId="40CBBB91" w:rsidR="00D105CA" w:rsidRPr="00AD4F25" w:rsidRDefault="00615769" w:rsidP="00D105CA">
            <w:pPr>
              <w:keepNext/>
              <w:tabs>
                <w:tab w:val="left" w:pos="562"/>
              </w:tabs>
              <w:suppressAutoHyphens/>
              <w:rPr>
                <w:del w:id="4033" w:author="AbbVie2" w:date="2025-05-13T16:36:00Z"/>
                <w:rFonts w:eastAsia="Times New Roman"/>
                <w:sz w:val="22"/>
                <w:szCs w:val="22"/>
                <w:rPrChange w:id="4034" w:author="AbbVie2" w:date="2025-05-14T10:17:00Z">
                  <w:rPr>
                    <w:del w:id="4035" w:author="AbbVie2" w:date="2025-05-13T16:36:00Z"/>
                    <w:rFonts w:eastAsia="Times New Roman"/>
                    <w:sz w:val="22"/>
                    <w:szCs w:val="22"/>
                    <w:lang w:val="en-US"/>
                  </w:rPr>
                </w:rPrChange>
              </w:rPr>
            </w:pPr>
            <w:del w:id="4036" w:author="AbbVie2" w:date="2025-05-13T16:36:00Z">
              <w:r w:rsidRPr="00AD4F25">
                <w:rPr>
                  <w:rFonts w:eastAsia="Times New Roman"/>
                  <w:sz w:val="22"/>
                  <w:szCs w:val="22"/>
                  <w:rPrChange w:id="4037" w:author="AbbVie2" w:date="2025-05-14T10:17:00Z">
                    <w:rPr>
                      <w:rFonts w:eastAsia="Times New Roman"/>
                      <w:sz w:val="22"/>
                      <w:szCs w:val="22"/>
                      <w:lang w:val="en-US"/>
                    </w:rPr>
                  </w:rPrChange>
                </w:rPr>
                <w:delText>Adalimumab</w:delText>
              </w:r>
            </w:del>
          </w:p>
        </w:tc>
      </w:tr>
      <w:tr w:rsidR="00A7162A" w14:paraId="727F0B03" w14:textId="72ED580A" w:rsidTr="00D105CA">
        <w:trPr>
          <w:del w:id="4038" w:author="AbbVie2" w:date="2025-05-13T16:36:00Z"/>
        </w:trPr>
        <w:tc>
          <w:tcPr>
            <w:tcW w:w="468" w:type="dxa"/>
          </w:tcPr>
          <w:p w14:paraId="5E0787C8" w14:textId="67B2C4DB" w:rsidR="00D105CA" w:rsidRPr="00AD4F25" w:rsidRDefault="00D105CA" w:rsidP="00D105CA">
            <w:pPr>
              <w:tabs>
                <w:tab w:val="left" w:pos="562"/>
              </w:tabs>
              <w:suppressAutoHyphens/>
              <w:rPr>
                <w:del w:id="4039" w:author="AbbVie2" w:date="2025-05-13T16:36:00Z"/>
                <w:rFonts w:eastAsia="Times New Roman"/>
                <w:sz w:val="22"/>
                <w:szCs w:val="22"/>
                <w:rPrChange w:id="4040" w:author="AbbVie2" w:date="2025-05-14T10:17:00Z">
                  <w:rPr>
                    <w:del w:id="4041" w:author="AbbVie2" w:date="2025-05-13T16:36:00Z"/>
                    <w:rFonts w:eastAsia="Times New Roman"/>
                    <w:sz w:val="22"/>
                    <w:szCs w:val="22"/>
                    <w:lang w:val="en-US"/>
                  </w:rPr>
                </w:rPrChange>
              </w:rPr>
            </w:pPr>
          </w:p>
        </w:tc>
        <w:tc>
          <w:tcPr>
            <w:tcW w:w="8820" w:type="dxa"/>
            <w:gridSpan w:val="5"/>
          </w:tcPr>
          <w:p w14:paraId="61F0EB48" w14:textId="655E6FA1" w:rsidR="00D105CA" w:rsidRPr="004D4741" w:rsidRDefault="00615769" w:rsidP="00D105CA">
            <w:pPr>
              <w:tabs>
                <w:tab w:val="left" w:pos="562"/>
              </w:tabs>
              <w:suppressAutoHyphens/>
              <w:rPr>
                <w:del w:id="4042" w:author="AbbVie2" w:date="2025-05-13T16:36:00Z"/>
                <w:rFonts w:eastAsia="Times New Roman"/>
                <w:sz w:val="22"/>
                <w:szCs w:val="22"/>
              </w:rPr>
            </w:pPr>
            <w:del w:id="4043" w:author="AbbVie2" w:date="2025-05-13T16:36:00Z">
              <w:r w:rsidRPr="004D4741">
                <w:rPr>
                  <w:rFonts w:eastAsia="Times New Roman"/>
                  <w:sz w:val="22"/>
                  <w:szCs w:val="22"/>
                </w:rPr>
                <w:delText>Nota: P = Placebo (Número em Risco); H = HUMIRA (Número em Risco).</w:delText>
              </w:r>
            </w:del>
          </w:p>
        </w:tc>
      </w:tr>
    </w:tbl>
    <w:p w14:paraId="0ED65479" w14:textId="16576EB2" w:rsidR="004462A0" w:rsidRPr="008912CF" w:rsidRDefault="004462A0" w:rsidP="004462A0">
      <w:pPr>
        <w:jc w:val="both"/>
        <w:outlineLvl w:val="0"/>
        <w:rPr>
          <w:del w:id="4044" w:author="AbbVie2" w:date="2025-05-13T16:36:00Z"/>
          <w:rFonts w:eastAsia="SimSun"/>
          <w:sz w:val="22"/>
          <w:szCs w:val="22"/>
          <w:lang w:eastAsia="zh-CN"/>
        </w:rPr>
      </w:pPr>
    </w:p>
    <w:p w14:paraId="4F736C77" w14:textId="7D190B1B" w:rsidR="004462A0" w:rsidRPr="008912CF" w:rsidRDefault="00615769" w:rsidP="004462A0">
      <w:pPr>
        <w:rPr>
          <w:del w:id="4045" w:author="AbbVie2" w:date="2025-05-13T16:36:00Z"/>
          <w:b/>
          <w:sz w:val="22"/>
          <w:szCs w:val="22"/>
        </w:rPr>
      </w:pPr>
      <w:del w:id="4046" w:author="AbbVie2" w:date="2025-05-13T16:36:00Z">
        <w:r w:rsidRPr="008912CF">
          <w:rPr>
            <w:b/>
            <w:sz w:val="22"/>
            <w:szCs w:val="22"/>
          </w:rPr>
          <w:delText>5.2</w:delText>
        </w:r>
        <w:r w:rsidRPr="008912CF">
          <w:rPr>
            <w:b/>
            <w:sz w:val="22"/>
            <w:szCs w:val="22"/>
          </w:rPr>
          <w:tab/>
          <w:delText>Propriedades farmacocinéticas</w:delText>
        </w:r>
      </w:del>
    </w:p>
    <w:p w14:paraId="1A14E826" w14:textId="44CBF3EF" w:rsidR="004462A0" w:rsidRPr="008912CF" w:rsidRDefault="004462A0" w:rsidP="004462A0">
      <w:pPr>
        <w:rPr>
          <w:del w:id="4047" w:author="AbbVie2" w:date="2025-05-13T16:36:00Z"/>
          <w:b/>
          <w:sz w:val="22"/>
          <w:szCs w:val="22"/>
        </w:rPr>
      </w:pPr>
    </w:p>
    <w:p w14:paraId="2F1AC842" w14:textId="17B2E2C7" w:rsidR="004462A0" w:rsidRPr="008912CF" w:rsidRDefault="00615769" w:rsidP="004462A0">
      <w:pPr>
        <w:autoSpaceDE w:val="0"/>
        <w:autoSpaceDN w:val="0"/>
        <w:adjustRightInd w:val="0"/>
        <w:rPr>
          <w:del w:id="4048" w:author="AbbVie2" w:date="2025-05-13T16:36:00Z"/>
          <w:sz w:val="22"/>
          <w:szCs w:val="22"/>
          <w:u w:val="single"/>
        </w:rPr>
      </w:pPr>
      <w:del w:id="4049" w:author="AbbVie2" w:date="2025-05-13T16:36:00Z">
        <w:r w:rsidRPr="008912CF">
          <w:rPr>
            <w:sz w:val="22"/>
            <w:szCs w:val="22"/>
            <w:u w:val="single"/>
          </w:rPr>
          <w:delText>Absorção e distribuição</w:delText>
        </w:r>
      </w:del>
    </w:p>
    <w:p w14:paraId="31814646" w14:textId="44B2B619" w:rsidR="004462A0" w:rsidRPr="008912CF" w:rsidRDefault="004462A0" w:rsidP="004462A0">
      <w:pPr>
        <w:autoSpaceDE w:val="0"/>
        <w:autoSpaceDN w:val="0"/>
        <w:adjustRightInd w:val="0"/>
        <w:rPr>
          <w:del w:id="4050" w:author="AbbVie2" w:date="2025-05-13T16:36:00Z"/>
          <w:sz w:val="22"/>
          <w:szCs w:val="22"/>
        </w:rPr>
      </w:pPr>
    </w:p>
    <w:p w14:paraId="4771AB0B" w14:textId="65FDFBF4" w:rsidR="004462A0" w:rsidRPr="008912CF" w:rsidRDefault="00615769" w:rsidP="004462A0">
      <w:pPr>
        <w:autoSpaceDE w:val="0"/>
        <w:autoSpaceDN w:val="0"/>
        <w:adjustRightInd w:val="0"/>
        <w:rPr>
          <w:del w:id="4051" w:author="AbbVie2" w:date="2025-05-13T16:36:00Z"/>
          <w:sz w:val="22"/>
          <w:szCs w:val="22"/>
        </w:rPr>
      </w:pPr>
      <w:del w:id="4052" w:author="AbbVie2" w:date="2025-05-13T16:36:00Z">
        <w:r w:rsidRPr="008912CF">
          <w:rPr>
            <w:sz w:val="22"/>
            <w:szCs w:val="22"/>
          </w:rPr>
          <w:delText>Após a administração de 24 mg/m</w:delText>
        </w:r>
        <w:r w:rsidRPr="008912CF">
          <w:rPr>
            <w:sz w:val="22"/>
            <w:szCs w:val="22"/>
            <w:vertAlign w:val="superscript"/>
          </w:rPr>
          <w:delText>2</w:delText>
        </w:r>
        <w:r w:rsidRPr="008912CF">
          <w:rPr>
            <w:sz w:val="22"/>
            <w:szCs w:val="22"/>
          </w:rPr>
          <w:delText xml:space="preserve"> (máximo de 40 mg) por via subcutânea, em semanas alternadas, em doentes com </w:delText>
        </w:r>
        <w:r w:rsidR="00F21025">
          <w:rPr>
            <w:sz w:val="22"/>
            <w:szCs w:val="22"/>
          </w:rPr>
          <w:delText>artrite idiopática juvenil</w:delText>
        </w:r>
        <w:r w:rsidRPr="008912CF">
          <w:rPr>
            <w:sz w:val="22"/>
            <w:szCs w:val="22"/>
          </w:rPr>
          <w:delText xml:space="preserve"> poliarticular</w:delText>
        </w:r>
        <w:r w:rsidR="00F21025">
          <w:rPr>
            <w:sz w:val="22"/>
            <w:szCs w:val="22"/>
          </w:rPr>
          <w:delText xml:space="preserve"> (AIJ)</w:delText>
        </w:r>
        <w:r w:rsidRPr="008912CF">
          <w:rPr>
            <w:sz w:val="22"/>
            <w:szCs w:val="22"/>
          </w:rPr>
          <w:delText xml:space="preserve"> com idade entre os 4 e os 17 anos, as concentrações séricas médias de adalimumab na região de vale da curva no estado estacionário (valores medidos da Semana 20 à 48) foram de 5,6 </w:delText>
        </w:r>
        <w:r w:rsidRPr="008912CF">
          <w:rPr>
            <w:rFonts w:ascii="Symbol" w:hAnsi="Symbol"/>
            <w:sz w:val="22"/>
            <w:szCs w:val="22"/>
          </w:rPr>
          <w:sym w:font="Symbol" w:char="F0B1"/>
        </w:r>
        <w:r w:rsidRPr="008912CF">
          <w:rPr>
            <w:sz w:val="22"/>
            <w:szCs w:val="22"/>
          </w:rPr>
          <w:delText> 5,6 </w:delText>
        </w:r>
        <w:r w:rsidRPr="008912CF">
          <w:rPr>
            <w:rFonts w:ascii="Symbol" w:hAnsi="Symbol"/>
            <w:sz w:val="22"/>
            <w:szCs w:val="22"/>
          </w:rPr>
          <w:sym w:font="Symbol" w:char="F06D"/>
        </w:r>
        <w:r w:rsidRPr="008912CF">
          <w:rPr>
            <w:sz w:val="22"/>
            <w:szCs w:val="22"/>
          </w:rPr>
          <w:delText>g/ml (102</w:delText>
        </w:r>
        <w:r w:rsidR="009343EF">
          <w:rPr>
            <w:sz w:val="22"/>
            <w:szCs w:val="22"/>
          </w:rPr>
          <w:delText>%</w:delText>
        </w:r>
        <w:r w:rsidRPr="008912CF">
          <w:rPr>
            <w:sz w:val="22"/>
            <w:szCs w:val="22"/>
          </w:rPr>
          <w:delText xml:space="preserve"> CV) com adalimumab sem metot</w:delText>
        </w:r>
        <w:r w:rsidR="00F21025">
          <w:rPr>
            <w:sz w:val="22"/>
            <w:szCs w:val="22"/>
          </w:rPr>
          <w:delText>r</w:delText>
        </w:r>
        <w:r w:rsidRPr="008912CF">
          <w:rPr>
            <w:sz w:val="22"/>
            <w:szCs w:val="22"/>
          </w:rPr>
          <w:delText>exato concomitante e 10,9 </w:delText>
        </w:r>
        <w:r w:rsidRPr="008912CF">
          <w:rPr>
            <w:rFonts w:ascii="Symbol" w:hAnsi="Symbol"/>
            <w:sz w:val="22"/>
            <w:szCs w:val="22"/>
          </w:rPr>
          <w:sym w:font="Symbol" w:char="F0B1"/>
        </w:r>
        <w:r w:rsidRPr="008912CF">
          <w:rPr>
            <w:sz w:val="22"/>
            <w:szCs w:val="22"/>
          </w:rPr>
          <w:delText> 5,2 </w:delText>
        </w:r>
        <w:r w:rsidRPr="008912CF">
          <w:rPr>
            <w:rFonts w:ascii="Symbol" w:hAnsi="Symbol"/>
            <w:sz w:val="22"/>
            <w:szCs w:val="22"/>
          </w:rPr>
          <w:sym w:font="Symbol" w:char="F06D"/>
        </w:r>
        <w:r w:rsidRPr="008912CF">
          <w:rPr>
            <w:sz w:val="22"/>
            <w:szCs w:val="22"/>
          </w:rPr>
          <w:delText>g/ml (47,7</w:delText>
        </w:r>
        <w:r w:rsidR="009343EF">
          <w:rPr>
            <w:sz w:val="22"/>
            <w:szCs w:val="22"/>
          </w:rPr>
          <w:delText>%</w:delText>
        </w:r>
        <w:r w:rsidRPr="008912CF">
          <w:rPr>
            <w:sz w:val="22"/>
            <w:szCs w:val="22"/>
          </w:rPr>
          <w:delText xml:space="preserve"> CV) com metotrexato concomitante.</w:delText>
        </w:r>
      </w:del>
    </w:p>
    <w:p w14:paraId="6EBBA700" w14:textId="5BB7B2E1" w:rsidR="004462A0" w:rsidRPr="008912CF" w:rsidRDefault="004462A0" w:rsidP="004462A0">
      <w:pPr>
        <w:autoSpaceDE w:val="0"/>
        <w:autoSpaceDN w:val="0"/>
        <w:adjustRightInd w:val="0"/>
        <w:rPr>
          <w:del w:id="4053" w:author="AbbVie2" w:date="2025-05-13T16:36:00Z"/>
          <w:sz w:val="22"/>
          <w:szCs w:val="22"/>
        </w:rPr>
      </w:pPr>
    </w:p>
    <w:p w14:paraId="30029B52" w14:textId="3263DE39" w:rsidR="004462A0" w:rsidRPr="008912CF" w:rsidRDefault="00615769" w:rsidP="004462A0">
      <w:pPr>
        <w:autoSpaceDE w:val="0"/>
        <w:autoSpaceDN w:val="0"/>
        <w:adjustRightInd w:val="0"/>
        <w:rPr>
          <w:del w:id="4054" w:author="AbbVie2" w:date="2025-05-13T16:36:00Z"/>
          <w:sz w:val="22"/>
          <w:szCs w:val="22"/>
        </w:rPr>
      </w:pPr>
      <w:del w:id="4055" w:author="AbbVie2" w:date="2025-05-13T16:36:00Z">
        <w:r w:rsidRPr="008912CF">
          <w:rPr>
            <w:sz w:val="22"/>
            <w:szCs w:val="22"/>
          </w:rPr>
          <w:delText xml:space="preserve">Em doentes com AIJ poliarticular com 2 anos </w:delText>
        </w:r>
        <w:r w:rsidR="004D2A92">
          <w:rPr>
            <w:sz w:val="22"/>
            <w:szCs w:val="22"/>
          </w:rPr>
          <w:delText>a</w:delText>
        </w:r>
        <w:r w:rsidR="004D2A92" w:rsidRPr="008912CF">
          <w:rPr>
            <w:sz w:val="22"/>
            <w:szCs w:val="22"/>
          </w:rPr>
          <w:delText xml:space="preserve"> </w:delText>
        </w:r>
        <w:r w:rsidRPr="008912CF">
          <w:rPr>
            <w:sz w:val="22"/>
            <w:szCs w:val="22"/>
          </w:rPr>
          <w:delText>menos de 4 ou com 4 anos de idade e com peso &lt; 15 kg que receberam 24 mg/m</w:delText>
        </w:r>
        <w:r w:rsidRPr="008912CF">
          <w:rPr>
            <w:sz w:val="22"/>
            <w:szCs w:val="22"/>
            <w:vertAlign w:val="superscript"/>
          </w:rPr>
          <w:delText>2</w:delText>
        </w:r>
        <w:r w:rsidRPr="008912CF">
          <w:rPr>
            <w:sz w:val="22"/>
            <w:szCs w:val="22"/>
          </w:rPr>
          <w:delText xml:space="preserve"> de adalimumab, as concentrações séricas médias de adalimumab na região de vale da curva no estado estacionário foram de 6,0 </w:delText>
        </w:r>
        <w:r w:rsidRPr="008912CF">
          <w:rPr>
            <w:rFonts w:ascii="Symbol" w:hAnsi="Symbol"/>
            <w:sz w:val="22"/>
            <w:szCs w:val="22"/>
          </w:rPr>
          <w:sym w:font="Symbol" w:char="F0B1"/>
        </w:r>
        <w:r w:rsidRPr="008912CF">
          <w:rPr>
            <w:sz w:val="22"/>
            <w:szCs w:val="22"/>
          </w:rPr>
          <w:delText xml:space="preserve"> 6,1 </w:delText>
        </w:r>
        <w:r w:rsidRPr="008912CF">
          <w:rPr>
            <w:rFonts w:ascii="Symbol" w:hAnsi="Symbol"/>
            <w:sz w:val="22"/>
            <w:szCs w:val="22"/>
          </w:rPr>
          <w:sym w:font="Symbol" w:char="F06D"/>
        </w:r>
        <w:r w:rsidRPr="008912CF">
          <w:rPr>
            <w:sz w:val="22"/>
            <w:szCs w:val="22"/>
          </w:rPr>
          <w:delText>g/ml (101% CV) com adalimumab sem metot</w:delText>
        </w:r>
        <w:r w:rsidR="00C1288B">
          <w:rPr>
            <w:sz w:val="22"/>
            <w:szCs w:val="22"/>
          </w:rPr>
          <w:delText>r</w:delText>
        </w:r>
        <w:r w:rsidRPr="008912CF">
          <w:rPr>
            <w:sz w:val="22"/>
            <w:szCs w:val="22"/>
          </w:rPr>
          <w:delText xml:space="preserve">exato concomitante e 7,9 </w:delText>
        </w:r>
        <w:r w:rsidRPr="008912CF">
          <w:rPr>
            <w:rFonts w:ascii="Symbol" w:hAnsi="Symbol"/>
            <w:sz w:val="22"/>
            <w:szCs w:val="22"/>
          </w:rPr>
          <w:sym w:font="Symbol" w:char="F0B1"/>
        </w:r>
        <w:r w:rsidRPr="008912CF">
          <w:rPr>
            <w:rFonts w:ascii="Symbol" w:hAnsi="Symbol"/>
            <w:sz w:val="22"/>
            <w:szCs w:val="22"/>
          </w:rPr>
          <w:sym w:font="Symbol" w:char="F020"/>
        </w:r>
        <w:r w:rsidRPr="008912CF">
          <w:rPr>
            <w:rFonts w:ascii="Symbol" w:hAnsi="Symbol"/>
            <w:sz w:val="22"/>
            <w:szCs w:val="22"/>
          </w:rPr>
          <w:sym w:font="Symbol" w:char="F035"/>
        </w:r>
        <w:r w:rsidRPr="008912CF">
          <w:rPr>
            <w:rFonts w:ascii="Symbol" w:hAnsi="Symbol"/>
            <w:sz w:val="22"/>
            <w:szCs w:val="22"/>
          </w:rPr>
          <w:sym w:font="Symbol" w:char="F02C"/>
        </w:r>
        <w:r w:rsidRPr="008912CF">
          <w:rPr>
            <w:rFonts w:ascii="Symbol" w:hAnsi="Symbol"/>
            <w:sz w:val="22"/>
            <w:szCs w:val="22"/>
          </w:rPr>
          <w:sym w:font="Symbol" w:char="F036"/>
        </w:r>
        <w:r w:rsidRPr="008912CF">
          <w:rPr>
            <w:rFonts w:ascii="Symbol" w:hAnsi="Symbol"/>
            <w:sz w:val="22"/>
            <w:szCs w:val="22"/>
          </w:rPr>
          <w:sym w:font="Symbol" w:char="F020"/>
        </w:r>
        <w:r w:rsidRPr="008912CF">
          <w:rPr>
            <w:rFonts w:ascii="Symbol" w:hAnsi="Symbol"/>
            <w:sz w:val="22"/>
            <w:szCs w:val="22"/>
          </w:rPr>
          <w:sym w:font="Symbol" w:char="F06D"/>
        </w:r>
        <w:r w:rsidRPr="008912CF">
          <w:rPr>
            <w:sz w:val="22"/>
            <w:szCs w:val="22"/>
          </w:rPr>
          <w:delText xml:space="preserve">g/ml </w:delText>
        </w:r>
        <w:r w:rsidRPr="008912CF">
          <w:rPr>
            <w:rFonts w:ascii="Symbol" w:hAnsi="Symbol"/>
            <w:sz w:val="22"/>
            <w:szCs w:val="22"/>
          </w:rPr>
          <w:sym w:font="Symbol" w:char="F028"/>
        </w:r>
        <w:r w:rsidRPr="008912CF">
          <w:rPr>
            <w:rFonts w:ascii="Symbol" w:hAnsi="Symbol"/>
            <w:sz w:val="22"/>
            <w:szCs w:val="22"/>
          </w:rPr>
          <w:sym w:font="Symbol" w:char="F037"/>
        </w:r>
        <w:r w:rsidRPr="008912CF">
          <w:rPr>
            <w:rFonts w:ascii="Symbol" w:hAnsi="Symbol"/>
            <w:sz w:val="22"/>
            <w:szCs w:val="22"/>
          </w:rPr>
          <w:sym w:font="Symbol" w:char="F031"/>
        </w:r>
        <w:r w:rsidRPr="008912CF">
          <w:rPr>
            <w:rFonts w:ascii="Symbol" w:hAnsi="Symbol"/>
            <w:sz w:val="22"/>
            <w:szCs w:val="22"/>
          </w:rPr>
          <w:sym w:font="Symbol" w:char="F02C"/>
        </w:r>
        <w:r w:rsidRPr="008912CF">
          <w:rPr>
            <w:rFonts w:ascii="Symbol" w:hAnsi="Symbol"/>
            <w:sz w:val="22"/>
            <w:szCs w:val="22"/>
          </w:rPr>
          <w:sym w:font="Symbol" w:char="F032"/>
        </w:r>
        <w:r w:rsidRPr="008912CF">
          <w:rPr>
            <w:rFonts w:ascii="Symbol" w:hAnsi="Symbol"/>
            <w:sz w:val="22"/>
            <w:szCs w:val="22"/>
          </w:rPr>
          <w:sym w:font="Symbol" w:char="F025"/>
        </w:r>
        <w:r w:rsidRPr="008912CF">
          <w:rPr>
            <w:sz w:val="22"/>
            <w:szCs w:val="22"/>
          </w:rPr>
          <w:delText xml:space="preserve"> CV</w:delText>
        </w:r>
        <w:r w:rsidRPr="008912CF">
          <w:rPr>
            <w:rFonts w:ascii="Symbol" w:hAnsi="Symbol"/>
            <w:sz w:val="22"/>
            <w:szCs w:val="22"/>
          </w:rPr>
          <w:sym w:font="Symbol" w:char="F029"/>
        </w:r>
        <w:r w:rsidRPr="008912CF">
          <w:rPr>
            <w:rFonts w:ascii="Symbol" w:hAnsi="Symbol"/>
            <w:sz w:val="22"/>
            <w:szCs w:val="22"/>
          </w:rPr>
          <w:sym w:font="Symbol" w:char="F020"/>
        </w:r>
        <w:r w:rsidRPr="008912CF">
          <w:rPr>
            <w:sz w:val="22"/>
            <w:szCs w:val="22"/>
          </w:rPr>
          <w:delText>com metotrexato concomitante.</w:delText>
        </w:r>
      </w:del>
    </w:p>
    <w:p w14:paraId="6F0D570D" w14:textId="3C51065A" w:rsidR="004462A0" w:rsidRPr="008912CF" w:rsidRDefault="004462A0" w:rsidP="004462A0">
      <w:pPr>
        <w:autoSpaceDE w:val="0"/>
        <w:autoSpaceDN w:val="0"/>
        <w:adjustRightInd w:val="0"/>
        <w:rPr>
          <w:del w:id="4056" w:author="AbbVie2" w:date="2025-05-13T16:36:00Z"/>
          <w:sz w:val="22"/>
          <w:szCs w:val="22"/>
        </w:rPr>
      </w:pPr>
    </w:p>
    <w:p w14:paraId="6DD18BC0" w14:textId="5ECEE418" w:rsidR="004462A0" w:rsidRPr="008912CF" w:rsidRDefault="00615769" w:rsidP="004462A0">
      <w:pPr>
        <w:autoSpaceDE w:val="0"/>
        <w:autoSpaceDN w:val="0"/>
        <w:adjustRightInd w:val="0"/>
        <w:rPr>
          <w:del w:id="4057" w:author="AbbVie2" w:date="2025-05-13T16:36:00Z"/>
          <w:sz w:val="22"/>
          <w:szCs w:val="22"/>
        </w:rPr>
      </w:pPr>
      <w:del w:id="4058" w:author="AbbVie2" w:date="2025-05-13T16:36:00Z">
        <w:r w:rsidRPr="008912CF">
          <w:rPr>
            <w:sz w:val="22"/>
            <w:szCs w:val="22"/>
          </w:rPr>
          <w:delText>Após a administração de 24 mg/m</w:delText>
        </w:r>
        <w:r w:rsidRPr="008912CF">
          <w:rPr>
            <w:sz w:val="22"/>
            <w:szCs w:val="22"/>
            <w:vertAlign w:val="superscript"/>
          </w:rPr>
          <w:delText>2</w:delText>
        </w:r>
        <w:r w:rsidRPr="008912CF">
          <w:rPr>
            <w:sz w:val="22"/>
            <w:szCs w:val="22"/>
          </w:rPr>
          <w:delText xml:space="preserve"> (máximo de 40 mg) por via subcutânea, em semanas alternadas, em doentes com artrite relacionada com entesite com idade entre os 6 e os 17 anos, as concentrações séricas médias de adalimumab na região de vale da curva no estado estacionário (valores medidos na Semana 24) foram de 8,8 </w:delText>
        </w:r>
        <w:r w:rsidRPr="008912CF">
          <w:rPr>
            <w:rFonts w:ascii="Symbol" w:hAnsi="Symbol"/>
            <w:sz w:val="22"/>
            <w:szCs w:val="22"/>
          </w:rPr>
          <w:sym w:font="Symbol" w:char="F0B1"/>
        </w:r>
        <w:r w:rsidRPr="008912CF">
          <w:rPr>
            <w:sz w:val="22"/>
            <w:szCs w:val="22"/>
          </w:rPr>
          <w:delText xml:space="preserve"> 6,6 </w:delText>
        </w:r>
        <w:r w:rsidRPr="008912CF">
          <w:rPr>
            <w:rFonts w:ascii="Symbol" w:hAnsi="Symbol"/>
            <w:sz w:val="22"/>
            <w:szCs w:val="22"/>
          </w:rPr>
          <w:sym w:font="Symbol" w:char="F06D"/>
        </w:r>
        <w:r w:rsidRPr="008912CF">
          <w:rPr>
            <w:sz w:val="22"/>
            <w:szCs w:val="22"/>
          </w:rPr>
          <w:delText>g/ml  com adalimumab sem metotrexato concomitante e 11</w:delText>
        </w:r>
        <w:r w:rsidR="009343EF">
          <w:rPr>
            <w:sz w:val="22"/>
            <w:szCs w:val="22"/>
          </w:rPr>
          <w:delText>,</w:delText>
        </w:r>
        <w:r w:rsidRPr="008912CF">
          <w:rPr>
            <w:sz w:val="22"/>
            <w:szCs w:val="22"/>
          </w:rPr>
          <w:delText xml:space="preserve">8 </w:delText>
        </w:r>
        <w:r w:rsidRPr="008912CF">
          <w:rPr>
            <w:rFonts w:ascii="Symbol" w:hAnsi="Symbol"/>
            <w:sz w:val="22"/>
            <w:szCs w:val="22"/>
          </w:rPr>
          <w:sym w:font="Symbol" w:char="F0B1"/>
        </w:r>
        <w:r w:rsidRPr="008912CF">
          <w:rPr>
            <w:rFonts w:ascii="Symbol" w:hAnsi="Symbol"/>
            <w:sz w:val="22"/>
            <w:szCs w:val="22"/>
          </w:rPr>
          <w:sym w:font="Symbol" w:char="F020"/>
        </w:r>
        <w:r w:rsidRPr="008912CF">
          <w:rPr>
            <w:rFonts w:ascii="Symbol" w:hAnsi="Symbol"/>
            <w:sz w:val="22"/>
            <w:szCs w:val="22"/>
          </w:rPr>
          <w:sym w:font="Symbol" w:char="F034"/>
        </w:r>
        <w:r w:rsidRPr="008912CF">
          <w:rPr>
            <w:rFonts w:ascii="Symbol" w:hAnsi="Symbol"/>
            <w:sz w:val="22"/>
            <w:szCs w:val="22"/>
          </w:rPr>
          <w:sym w:font="Symbol" w:char="F02C"/>
        </w:r>
        <w:r w:rsidRPr="008912CF">
          <w:rPr>
            <w:rFonts w:ascii="Symbol" w:hAnsi="Symbol"/>
            <w:sz w:val="22"/>
            <w:szCs w:val="22"/>
          </w:rPr>
          <w:sym w:font="Symbol" w:char="F033"/>
        </w:r>
        <w:r w:rsidRPr="008912CF">
          <w:rPr>
            <w:rFonts w:ascii="Symbol" w:hAnsi="Symbol"/>
            <w:sz w:val="22"/>
            <w:szCs w:val="22"/>
          </w:rPr>
          <w:sym w:font="Symbol" w:char="F020"/>
        </w:r>
        <w:r w:rsidRPr="008912CF">
          <w:rPr>
            <w:rFonts w:ascii="Symbol" w:hAnsi="Symbol"/>
            <w:sz w:val="22"/>
            <w:szCs w:val="22"/>
          </w:rPr>
          <w:sym w:font="Symbol" w:char="F06D"/>
        </w:r>
        <w:r w:rsidRPr="008912CF">
          <w:rPr>
            <w:sz w:val="22"/>
            <w:szCs w:val="22"/>
          </w:rPr>
          <w:delText>g/ml com metotrexato concomitante.</w:delText>
        </w:r>
      </w:del>
    </w:p>
    <w:p w14:paraId="1AEB32AC" w14:textId="42115458" w:rsidR="004462A0" w:rsidRDefault="004462A0" w:rsidP="004462A0">
      <w:pPr>
        <w:autoSpaceDE w:val="0"/>
        <w:autoSpaceDN w:val="0"/>
        <w:adjustRightInd w:val="0"/>
        <w:rPr>
          <w:del w:id="4059" w:author="AbbVie2" w:date="2025-05-13T16:36:00Z"/>
          <w:sz w:val="22"/>
          <w:szCs w:val="22"/>
        </w:rPr>
      </w:pPr>
    </w:p>
    <w:p w14:paraId="4C03B5F1" w14:textId="1DB37C38" w:rsidR="009A1276" w:rsidRDefault="00615769" w:rsidP="009A1276">
      <w:pPr>
        <w:rPr>
          <w:del w:id="4060" w:author="AbbVie2" w:date="2025-05-13T16:36:00Z"/>
          <w:sz w:val="22"/>
          <w:szCs w:val="22"/>
        </w:rPr>
      </w:pPr>
      <w:del w:id="4061" w:author="AbbVie2" w:date="2025-05-13T16:36:00Z">
        <w:r w:rsidRPr="008912CF">
          <w:rPr>
            <w:sz w:val="22"/>
            <w:szCs w:val="22"/>
          </w:rPr>
          <w:delText>Após a administração de 0,8 mg/kg (máximo de 40 mg) por via subcutânea, em semanas alternadas, em doentes pediátricos com psoríase crónica em placas, a média ±</w:delText>
        </w:r>
        <w:r w:rsidR="0029007D">
          <w:rPr>
            <w:sz w:val="22"/>
            <w:szCs w:val="22"/>
          </w:rPr>
          <w:delText xml:space="preserve"> </w:delText>
        </w:r>
        <w:r w:rsidRPr="008912CF">
          <w:rPr>
            <w:sz w:val="22"/>
            <w:szCs w:val="22"/>
          </w:rPr>
          <w:delText>DP da concentraç</w:delText>
        </w:r>
        <w:r w:rsidR="004D2A92">
          <w:rPr>
            <w:sz w:val="22"/>
            <w:szCs w:val="22"/>
          </w:rPr>
          <w:delText>ão</w:delText>
        </w:r>
        <w:r w:rsidRPr="008912CF">
          <w:rPr>
            <w:sz w:val="22"/>
            <w:szCs w:val="22"/>
          </w:rPr>
          <w:delText xml:space="preserve"> </w:delText>
        </w:r>
        <w:r w:rsidR="004D2A92">
          <w:rPr>
            <w:sz w:val="22"/>
            <w:szCs w:val="22"/>
          </w:rPr>
          <w:delText xml:space="preserve">de vale </w:delText>
        </w:r>
        <w:r w:rsidRPr="008912CF">
          <w:rPr>
            <w:sz w:val="22"/>
            <w:szCs w:val="22"/>
          </w:rPr>
          <w:delText>de adalimumab foi aproximadamente 7,4 ± 5,8 </w:delText>
        </w:r>
        <w:r w:rsidRPr="008912CF">
          <w:rPr>
            <w:rFonts w:ascii="Symbol" w:hAnsi="Symbol"/>
            <w:sz w:val="22"/>
            <w:szCs w:val="22"/>
          </w:rPr>
          <w:sym w:font="Symbol" w:char="F06D"/>
        </w:r>
        <w:r w:rsidRPr="008912CF">
          <w:rPr>
            <w:sz w:val="22"/>
            <w:szCs w:val="22"/>
          </w:rPr>
          <w:delText>g/ml (79</w:delText>
        </w:r>
        <w:r w:rsidR="009343EF">
          <w:rPr>
            <w:sz w:val="22"/>
            <w:szCs w:val="22"/>
          </w:rPr>
          <w:delText>%</w:delText>
        </w:r>
        <w:r w:rsidRPr="008912CF">
          <w:rPr>
            <w:sz w:val="22"/>
            <w:szCs w:val="22"/>
          </w:rPr>
          <w:delText xml:space="preserve"> CV).</w:delText>
        </w:r>
      </w:del>
    </w:p>
    <w:p w14:paraId="4567C700" w14:textId="09B132BC" w:rsidR="009A1276" w:rsidRDefault="009A1276" w:rsidP="004462A0">
      <w:pPr>
        <w:autoSpaceDE w:val="0"/>
        <w:autoSpaceDN w:val="0"/>
        <w:adjustRightInd w:val="0"/>
        <w:rPr>
          <w:del w:id="4062" w:author="AbbVie2" w:date="2025-05-13T16:36:00Z"/>
          <w:sz w:val="22"/>
          <w:szCs w:val="22"/>
        </w:rPr>
      </w:pPr>
    </w:p>
    <w:p w14:paraId="394A2CC8" w14:textId="2C75867E" w:rsidR="009A1276" w:rsidRDefault="00615769" w:rsidP="009A1276">
      <w:pPr>
        <w:rPr>
          <w:del w:id="4063" w:author="AbbVie2" w:date="2025-05-13T16:36:00Z"/>
          <w:bCs/>
          <w:iCs/>
          <w:sz w:val="22"/>
          <w:szCs w:val="22"/>
        </w:rPr>
      </w:pPr>
      <w:del w:id="4064" w:author="AbbVie2" w:date="2025-05-13T16:36:00Z">
        <w:r w:rsidRPr="00FD1D0F">
          <w:rPr>
            <w:sz w:val="22"/>
            <w:szCs w:val="22"/>
          </w:rPr>
          <w:delText xml:space="preserve">A exposição de adalimumab em doentes adolescentes com HS foi avaliada utilizando modelos farmacocinéticos e de simulação na população, baseados na farmacocinética nas várias indicações em outros doentes pediátricos (psoríase pediátrica, artrite idiopática juvenil, doença de Crohn pediátrica e artrite relacionada com entesite). A dose </w:delText>
        </w:r>
        <w:r w:rsidRPr="00FD1D0F">
          <w:rPr>
            <w:bCs/>
            <w:iCs/>
            <w:sz w:val="22"/>
            <w:szCs w:val="22"/>
          </w:rPr>
          <w:delText>recomendada em adolescentes com hidradenite supurativa é de 40 mg em semanas alternadas. Uma vez que a exposição a adalimum</w:delText>
        </w:r>
        <w:r w:rsidR="000B426B">
          <w:rPr>
            <w:bCs/>
            <w:iCs/>
            <w:sz w:val="22"/>
            <w:szCs w:val="22"/>
          </w:rPr>
          <w:delText>a</w:delText>
        </w:r>
        <w:r w:rsidRPr="00FD1D0F">
          <w:rPr>
            <w:bCs/>
            <w:iCs/>
            <w:sz w:val="22"/>
            <w:szCs w:val="22"/>
          </w:rPr>
          <w:delText>b pode ser afetada pelo peso corporal, adolescentes com grande peso corporal e inadequada resposta, podem beneficiar da dose recomendada para os adultos de 40 mg todas as semanas.</w:delText>
        </w:r>
        <w:r w:rsidRPr="008E6B44">
          <w:rPr>
            <w:bCs/>
            <w:iCs/>
            <w:sz w:val="22"/>
            <w:szCs w:val="22"/>
          </w:rPr>
          <w:delText xml:space="preserve"> </w:delText>
        </w:r>
      </w:del>
    </w:p>
    <w:p w14:paraId="6DA4D011" w14:textId="33B55755" w:rsidR="009A1276" w:rsidRPr="008912CF" w:rsidRDefault="009A1276" w:rsidP="004462A0">
      <w:pPr>
        <w:autoSpaceDE w:val="0"/>
        <w:autoSpaceDN w:val="0"/>
        <w:adjustRightInd w:val="0"/>
        <w:rPr>
          <w:del w:id="4065" w:author="AbbVie2" w:date="2025-05-13T16:36:00Z"/>
          <w:sz w:val="22"/>
          <w:szCs w:val="22"/>
        </w:rPr>
      </w:pPr>
    </w:p>
    <w:p w14:paraId="66CF0D17" w14:textId="55BB9876" w:rsidR="004462A0" w:rsidRPr="008912CF" w:rsidRDefault="00615769" w:rsidP="004462A0">
      <w:pPr>
        <w:autoSpaceDE w:val="0"/>
        <w:autoSpaceDN w:val="0"/>
        <w:adjustRightInd w:val="0"/>
        <w:rPr>
          <w:del w:id="4066" w:author="AbbVie2" w:date="2025-05-13T16:36:00Z"/>
          <w:sz w:val="22"/>
          <w:szCs w:val="22"/>
        </w:rPr>
      </w:pPr>
      <w:del w:id="4067" w:author="AbbVie2" w:date="2025-05-13T16:36:00Z">
        <w:r w:rsidRPr="008912CF">
          <w:rPr>
            <w:sz w:val="22"/>
            <w:szCs w:val="22"/>
          </w:rPr>
          <w:delText>Em doentes pediátricos com DC moderada a grave, a dose de indução de adalimumab em fase aberta foi 160/80</w:delText>
        </w:r>
        <w:r>
          <w:rPr>
            <w:sz w:val="22"/>
            <w:szCs w:val="22"/>
          </w:rPr>
          <w:delText> </w:delText>
        </w:r>
        <w:r w:rsidRPr="008912CF">
          <w:rPr>
            <w:sz w:val="22"/>
            <w:szCs w:val="22"/>
          </w:rPr>
          <w:delText>mg ou 80/40</w:delText>
        </w:r>
        <w:r>
          <w:rPr>
            <w:sz w:val="22"/>
            <w:szCs w:val="22"/>
          </w:rPr>
          <w:delText> </w:delText>
        </w:r>
        <w:r w:rsidRPr="008912CF">
          <w:rPr>
            <w:sz w:val="22"/>
            <w:szCs w:val="22"/>
          </w:rPr>
          <w:delText>mg nas Semanas 0 e 2, respetivamente, dependendo do limiar de peso corporal de 40</w:delText>
        </w:r>
        <w:r>
          <w:rPr>
            <w:sz w:val="22"/>
            <w:szCs w:val="22"/>
          </w:rPr>
          <w:delText> </w:delText>
        </w:r>
        <w:r w:rsidRPr="008912CF">
          <w:rPr>
            <w:sz w:val="22"/>
            <w:szCs w:val="22"/>
          </w:rPr>
          <w:delText xml:space="preserve">kg. Na Semana 4, os doentes foram </w:delText>
        </w:r>
        <w:r w:rsidR="0013275C">
          <w:rPr>
            <w:sz w:val="22"/>
            <w:szCs w:val="22"/>
          </w:rPr>
          <w:delText>aleatorizado</w:delText>
        </w:r>
        <w:r w:rsidRPr="008912CF">
          <w:rPr>
            <w:sz w:val="22"/>
            <w:szCs w:val="22"/>
          </w:rPr>
          <w:delText>s 1:1 para Dose Padrão (40/20</w:delText>
        </w:r>
        <w:r>
          <w:rPr>
            <w:sz w:val="22"/>
            <w:szCs w:val="22"/>
          </w:rPr>
          <w:delText> </w:delText>
        </w:r>
        <w:r w:rsidRPr="008912CF">
          <w:rPr>
            <w:sz w:val="22"/>
            <w:szCs w:val="22"/>
          </w:rPr>
          <w:delText>mg em semanas alternadas) ou Baixa Dose (20/10 mg em semanas alternadas) em grupos de tratamento de manutenção com base no peso corporal. A média (</w:delText>
        </w:r>
        <w:r w:rsidRPr="008912CF">
          <w:rPr>
            <w:rFonts w:eastAsia="Arial Unicode MS"/>
            <w:sz w:val="22"/>
            <w:szCs w:val="22"/>
          </w:rPr>
          <w:delText>±</w:delText>
        </w:r>
        <w:r w:rsidR="0029007D">
          <w:rPr>
            <w:rFonts w:eastAsia="Arial Unicode MS"/>
            <w:sz w:val="22"/>
            <w:szCs w:val="22"/>
          </w:rPr>
          <w:delText xml:space="preserve"> </w:delText>
        </w:r>
        <w:r w:rsidRPr="008912CF">
          <w:rPr>
            <w:rFonts w:eastAsia="Arial Unicode MS"/>
            <w:sz w:val="22"/>
            <w:szCs w:val="22"/>
          </w:rPr>
          <w:delText xml:space="preserve">DP) da concentração sérica </w:delText>
        </w:r>
        <w:r w:rsidR="001729C1">
          <w:rPr>
            <w:rFonts w:eastAsia="Arial Unicode MS"/>
            <w:sz w:val="22"/>
            <w:szCs w:val="22"/>
          </w:rPr>
          <w:delText xml:space="preserve">de vale </w:delText>
        </w:r>
        <w:r w:rsidRPr="008912CF">
          <w:rPr>
            <w:rFonts w:eastAsia="Arial Unicode MS"/>
            <w:sz w:val="22"/>
            <w:szCs w:val="22"/>
          </w:rPr>
          <w:delText xml:space="preserve">de adalimumab atingida na Semana 4 foi </w:delText>
        </w:r>
        <w:r w:rsidRPr="008912CF">
          <w:rPr>
            <w:sz w:val="22"/>
            <w:szCs w:val="22"/>
            <w:lang w:eastAsia="en-GB"/>
          </w:rPr>
          <w:delText>15</w:delText>
        </w:r>
        <w:r w:rsidR="009343EF">
          <w:rPr>
            <w:sz w:val="22"/>
            <w:szCs w:val="22"/>
            <w:lang w:eastAsia="en-GB"/>
          </w:rPr>
          <w:delText>,</w:delText>
        </w:r>
        <w:r w:rsidRPr="008912CF">
          <w:rPr>
            <w:sz w:val="22"/>
            <w:szCs w:val="22"/>
            <w:lang w:eastAsia="en-GB"/>
          </w:rPr>
          <w:delText>7</w:delText>
        </w:r>
        <w:r w:rsidR="0029007D">
          <w:rPr>
            <w:sz w:val="22"/>
            <w:szCs w:val="22"/>
            <w:lang w:eastAsia="en-GB"/>
          </w:rPr>
          <w:delText xml:space="preserve"> </w:delText>
        </w:r>
        <w:r w:rsidRPr="008912CF">
          <w:rPr>
            <w:rFonts w:eastAsia="Arial Unicode MS"/>
            <w:sz w:val="22"/>
            <w:szCs w:val="22"/>
          </w:rPr>
          <w:delText>±</w:delText>
        </w:r>
        <w:r w:rsidR="0029007D">
          <w:rPr>
            <w:rFonts w:eastAsia="Arial Unicode MS"/>
            <w:sz w:val="22"/>
            <w:szCs w:val="22"/>
          </w:rPr>
          <w:delText xml:space="preserve"> </w:delText>
        </w:r>
        <w:r w:rsidRPr="008912CF">
          <w:rPr>
            <w:rFonts w:eastAsia="Arial Unicode MS"/>
            <w:sz w:val="22"/>
            <w:szCs w:val="22"/>
          </w:rPr>
          <w:delText>6</w:delText>
        </w:r>
        <w:r w:rsidR="009343EF">
          <w:rPr>
            <w:rFonts w:eastAsia="Arial Unicode MS"/>
            <w:sz w:val="22"/>
            <w:szCs w:val="22"/>
          </w:rPr>
          <w:delText>,</w:delText>
        </w:r>
        <w:r w:rsidRPr="008912CF">
          <w:rPr>
            <w:rFonts w:eastAsia="Arial Unicode MS"/>
            <w:sz w:val="22"/>
            <w:szCs w:val="22"/>
          </w:rPr>
          <w:delText>6</w:delText>
        </w:r>
        <w:r>
          <w:rPr>
            <w:rFonts w:eastAsia="Arial Unicode MS"/>
            <w:sz w:val="22"/>
            <w:szCs w:val="22"/>
          </w:rPr>
          <w:delText> </w:delText>
        </w:r>
        <w:r w:rsidRPr="008912CF">
          <w:rPr>
            <w:rFonts w:ascii="Symbol" w:hAnsi="Symbol"/>
            <w:sz w:val="22"/>
            <w:szCs w:val="22"/>
          </w:rPr>
          <w:sym w:font="Symbol" w:char="F06D"/>
        </w:r>
        <w:r w:rsidRPr="008912CF">
          <w:rPr>
            <w:sz w:val="22"/>
            <w:szCs w:val="22"/>
          </w:rPr>
          <w:delText xml:space="preserve">g/ml para doentes </w:delText>
        </w:r>
        <w:r w:rsidRPr="008912CF">
          <w:rPr>
            <w:rFonts w:ascii="Symbol" w:hAnsi="Symbol"/>
            <w:sz w:val="22"/>
            <w:szCs w:val="22"/>
          </w:rPr>
          <w:sym w:font="Symbol" w:char="F0B3"/>
        </w:r>
        <w:r w:rsidRPr="008912CF">
          <w:rPr>
            <w:sz w:val="22"/>
            <w:szCs w:val="22"/>
          </w:rPr>
          <w:delText> 40 kg (160/80</w:delText>
        </w:r>
        <w:r>
          <w:rPr>
            <w:sz w:val="22"/>
            <w:szCs w:val="22"/>
          </w:rPr>
          <w:delText> </w:delText>
        </w:r>
        <w:r w:rsidRPr="008912CF">
          <w:rPr>
            <w:sz w:val="22"/>
            <w:szCs w:val="22"/>
          </w:rPr>
          <w:delText xml:space="preserve">mg) e </w:delText>
        </w:r>
        <w:r w:rsidRPr="008912CF">
          <w:rPr>
            <w:sz w:val="22"/>
            <w:szCs w:val="22"/>
            <w:lang w:eastAsia="en-GB"/>
          </w:rPr>
          <w:delText>10</w:delText>
        </w:r>
        <w:r w:rsidR="009343EF">
          <w:rPr>
            <w:sz w:val="22"/>
            <w:szCs w:val="22"/>
            <w:lang w:eastAsia="en-GB"/>
          </w:rPr>
          <w:delText>,</w:delText>
        </w:r>
        <w:r w:rsidRPr="008912CF">
          <w:rPr>
            <w:sz w:val="22"/>
            <w:szCs w:val="22"/>
            <w:lang w:eastAsia="en-GB"/>
          </w:rPr>
          <w:delText>6</w:delText>
        </w:r>
        <w:r w:rsidR="0029007D">
          <w:rPr>
            <w:sz w:val="22"/>
            <w:szCs w:val="22"/>
            <w:lang w:eastAsia="en-GB"/>
          </w:rPr>
          <w:delText xml:space="preserve"> </w:delText>
        </w:r>
        <w:r w:rsidRPr="008912CF">
          <w:rPr>
            <w:rFonts w:eastAsia="Arial Unicode MS"/>
            <w:sz w:val="22"/>
            <w:szCs w:val="22"/>
          </w:rPr>
          <w:delText>±</w:delText>
        </w:r>
        <w:r w:rsidR="0029007D">
          <w:rPr>
            <w:rFonts w:eastAsia="Arial Unicode MS"/>
            <w:sz w:val="22"/>
            <w:szCs w:val="22"/>
          </w:rPr>
          <w:delText xml:space="preserve"> </w:delText>
        </w:r>
        <w:r w:rsidRPr="008912CF">
          <w:rPr>
            <w:rFonts w:eastAsia="Arial Unicode MS"/>
            <w:sz w:val="22"/>
            <w:szCs w:val="22"/>
          </w:rPr>
          <w:delText>6</w:delText>
        </w:r>
        <w:r w:rsidR="009343EF">
          <w:rPr>
            <w:rFonts w:eastAsia="Arial Unicode MS"/>
            <w:sz w:val="22"/>
            <w:szCs w:val="22"/>
          </w:rPr>
          <w:delText>,</w:delText>
        </w:r>
        <w:r w:rsidRPr="008912CF">
          <w:rPr>
            <w:rFonts w:eastAsia="Arial Unicode MS"/>
            <w:sz w:val="22"/>
            <w:szCs w:val="22"/>
          </w:rPr>
          <w:delText>1</w:delText>
        </w:r>
        <w:r>
          <w:rPr>
            <w:rFonts w:eastAsia="Arial Unicode MS"/>
            <w:sz w:val="22"/>
            <w:szCs w:val="22"/>
          </w:rPr>
          <w:delText> </w:delText>
        </w:r>
        <w:r w:rsidRPr="008912CF">
          <w:rPr>
            <w:rFonts w:ascii="Symbol" w:hAnsi="Symbol"/>
            <w:sz w:val="22"/>
            <w:szCs w:val="22"/>
          </w:rPr>
          <w:sym w:font="Symbol" w:char="F06D"/>
        </w:r>
        <w:r w:rsidRPr="008912CF">
          <w:rPr>
            <w:sz w:val="22"/>
            <w:szCs w:val="22"/>
          </w:rPr>
          <w:delText>g/ml para doentes &lt; 40 kg (80/40</w:delText>
        </w:r>
        <w:r>
          <w:rPr>
            <w:sz w:val="22"/>
            <w:szCs w:val="22"/>
          </w:rPr>
          <w:delText> </w:delText>
        </w:r>
        <w:r w:rsidRPr="008912CF">
          <w:rPr>
            <w:sz w:val="22"/>
            <w:szCs w:val="22"/>
          </w:rPr>
          <w:delText>mg).</w:delText>
        </w:r>
      </w:del>
    </w:p>
    <w:p w14:paraId="3036215E" w14:textId="18D4C5E1" w:rsidR="004462A0" w:rsidRPr="008912CF" w:rsidRDefault="004462A0" w:rsidP="004462A0">
      <w:pPr>
        <w:autoSpaceDE w:val="0"/>
        <w:autoSpaceDN w:val="0"/>
        <w:adjustRightInd w:val="0"/>
        <w:rPr>
          <w:del w:id="4068" w:author="AbbVie2" w:date="2025-05-13T16:36:00Z"/>
          <w:sz w:val="22"/>
          <w:szCs w:val="22"/>
        </w:rPr>
      </w:pPr>
    </w:p>
    <w:p w14:paraId="27AAF036" w14:textId="759F4BE3" w:rsidR="004462A0" w:rsidRPr="008912CF" w:rsidRDefault="00615769" w:rsidP="004462A0">
      <w:pPr>
        <w:autoSpaceDE w:val="0"/>
        <w:autoSpaceDN w:val="0"/>
        <w:adjustRightInd w:val="0"/>
        <w:rPr>
          <w:del w:id="4069" w:author="AbbVie2" w:date="2025-05-13T16:36:00Z"/>
          <w:sz w:val="22"/>
          <w:szCs w:val="22"/>
        </w:rPr>
      </w:pPr>
      <w:del w:id="4070" w:author="AbbVie2" w:date="2025-05-13T16:36:00Z">
        <w:r w:rsidRPr="008912CF">
          <w:rPr>
            <w:sz w:val="22"/>
            <w:szCs w:val="22"/>
          </w:rPr>
          <w:delText>Nos doentes que mantiveram a terapêutica randomizada, a média (±</w:delText>
        </w:r>
        <w:r w:rsidR="0029007D">
          <w:rPr>
            <w:sz w:val="22"/>
            <w:szCs w:val="22"/>
          </w:rPr>
          <w:delText xml:space="preserve"> </w:delText>
        </w:r>
        <w:r w:rsidRPr="008912CF">
          <w:rPr>
            <w:sz w:val="22"/>
            <w:szCs w:val="22"/>
          </w:rPr>
          <w:delText xml:space="preserve">DP) das concentrações séricas de </w:delText>
        </w:r>
        <w:r w:rsidR="001729C1">
          <w:rPr>
            <w:sz w:val="22"/>
            <w:szCs w:val="22"/>
          </w:rPr>
          <w:delText xml:space="preserve">vale de </w:delText>
        </w:r>
        <w:r w:rsidRPr="008912CF">
          <w:rPr>
            <w:sz w:val="22"/>
            <w:szCs w:val="22"/>
          </w:rPr>
          <w:delText xml:space="preserve">adalimumab na Semana 52 </w:delText>
        </w:r>
        <w:r w:rsidR="001729C1">
          <w:rPr>
            <w:sz w:val="22"/>
            <w:szCs w:val="22"/>
          </w:rPr>
          <w:delText>foi</w:delText>
        </w:r>
        <w:r w:rsidR="001729C1" w:rsidRPr="008912CF">
          <w:rPr>
            <w:sz w:val="22"/>
            <w:szCs w:val="22"/>
          </w:rPr>
          <w:delText xml:space="preserve"> </w:delText>
        </w:r>
        <w:r w:rsidRPr="008912CF">
          <w:rPr>
            <w:sz w:val="22"/>
            <w:szCs w:val="22"/>
          </w:rPr>
          <w:delText>de 9,5</w:delText>
        </w:r>
        <w:r w:rsidR="0029007D">
          <w:rPr>
            <w:sz w:val="22"/>
            <w:szCs w:val="22"/>
          </w:rPr>
          <w:delText xml:space="preserve"> </w:delText>
        </w:r>
        <w:r w:rsidRPr="008912CF">
          <w:rPr>
            <w:sz w:val="22"/>
            <w:szCs w:val="22"/>
          </w:rPr>
          <w:delText>±</w:delText>
        </w:r>
        <w:r w:rsidR="0029007D">
          <w:rPr>
            <w:sz w:val="22"/>
            <w:szCs w:val="22"/>
          </w:rPr>
          <w:delText xml:space="preserve"> </w:delText>
        </w:r>
        <w:r w:rsidRPr="008912CF">
          <w:rPr>
            <w:sz w:val="22"/>
            <w:szCs w:val="22"/>
          </w:rPr>
          <w:delText>5,6 </w:delText>
        </w:r>
        <w:r w:rsidRPr="008912CF">
          <w:rPr>
            <w:rFonts w:ascii="Symbol" w:hAnsi="Symbol"/>
            <w:sz w:val="22"/>
            <w:szCs w:val="22"/>
          </w:rPr>
          <w:sym w:font="Symbol" w:char="F06D"/>
        </w:r>
        <w:r w:rsidRPr="008912CF">
          <w:rPr>
            <w:sz w:val="22"/>
            <w:szCs w:val="22"/>
          </w:rPr>
          <w:delText>g/ml para o grupo Dose Padrão e 3,5</w:delText>
        </w:r>
        <w:r w:rsidR="0029007D">
          <w:rPr>
            <w:sz w:val="22"/>
            <w:szCs w:val="22"/>
          </w:rPr>
          <w:delText xml:space="preserve"> </w:delText>
        </w:r>
        <w:r w:rsidRPr="008912CF">
          <w:rPr>
            <w:sz w:val="22"/>
            <w:szCs w:val="22"/>
          </w:rPr>
          <w:delText>±</w:delText>
        </w:r>
        <w:r w:rsidR="0029007D">
          <w:rPr>
            <w:sz w:val="22"/>
            <w:szCs w:val="22"/>
          </w:rPr>
          <w:delText xml:space="preserve"> </w:delText>
        </w:r>
        <w:r w:rsidRPr="008912CF">
          <w:rPr>
            <w:sz w:val="22"/>
            <w:szCs w:val="22"/>
          </w:rPr>
          <w:delText>2,2 </w:delText>
        </w:r>
        <w:r w:rsidRPr="008912CF">
          <w:rPr>
            <w:rFonts w:ascii="Symbol" w:hAnsi="Symbol"/>
            <w:sz w:val="22"/>
            <w:szCs w:val="22"/>
          </w:rPr>
          <w:sym w:font="Symbol" w:char="F06D"/>
        </w:r>
        <w:r w:rsidRPr="008912CF">
          <w:rPr>
            <w:sz w:val="22"/>
            <w:szCs w:val="22"/>
          </w:rPr>
          <w:delText xml:space="preserve">g/ml para o grupo de Baixa Dose. As médias das concentrações </w:delText>
        </w:r>
        <w:r w:rsidR="001729C1">
          <w:rPr>
            <w:sz w:val="22"/>
            <w:szCs w:val="22"/>
          </w:rPr>
          <w:delText>de vale</w:delText>
        </w:r>
        <w:r w:rsidR="001729C1" w:rsidRPr="008912CF">
          <w:rPr>
            <w:sz w:val="22"/>
            <w:szCs w:val="22"/>
          </w:rPr>
          <w:delText xml:space="preserve"> </w:delText>
        </w:r>
        <w:r w:rsidRPr="008912CF">
          <w:rPr>
            <w:sz w:val="22"/>
            <w:szCs w:val="22"/>
          </w:rPr>
          <w:delText xml:space="preserve">foram mantidas em doentes que continuaram a receber o tratamento com adalimumab, em semanas alternadas, durante 52 semanas. Nos doentes em que a dose foi alterada do regime </w:delText>
        </w:r>
        <w:r w:rsidR="00F21025">
          <w:rPr>
            <w:sz w:val="22"/>
            <w:szCs w:val="22"/>
          </w:rPr>
          <w:delText xml:space="preserve">de </w:delText>
        </w:r>
        <w:r w:rsidRPr="008912CF">
          <w:rPr>
            <w:sz w:val="22"/>
            <w:szCs w:val="22"/>
          </w:rPr>
          <w:delText xml:space="preserve">semanas alternadas para </w:delText>
        </w:r>
        <w:r w:rsidR="003B4BA6">
          <w:rPr>
            <w:sz w:val="22"/>
            <w:szCs w:val="22"/>
          </w:rPr>
          <w:delText xml:space="preserve">regime </w:delText>
        </w:r>
        <w:r w:rsidRPr="008912CF">
          <w:rPr>
            <w:sz w:val="22"/>
            <w:szCs w:val="22"/>
          </w:rPr>
          <w:delText>semanal, a</w:delText>
        </w:r>
        <w:r w:rsidR="001729C1">
          <w:rPr>
            <w:sz w:val="22"/>
            <w:szCs w:val="22"/>
          </w:rPr>
          <w:delText>s</w:delText>
        </w:r>
        <w:r w:rsidRPr="008912CF">
          <w:rPr>
            <w:sz w:val="22"/>
            <w:szCs w:val="22"/>
          </w:rPr>
          <w:delText xml:space="preserve"> média</w:delText>
        </w:r>
        <w:r w:rsidR="001729C1">
          <w:rPr>
            <w:sz w:val="22"/>
            <w:szCs w:val="22"/>
          </w:rPr>
          <w:delText>s</w:delText>
        </w:r>
        <w:r w:rsidRPr="008912CF">
          <w:rPr>
            <w:sz w:val="22"/>
            <w:szCs w:val="22"/>
          </w:rPr>
          <w:delText xml:space="preserve"> (±</w:delText>
        </w:r>
        <w:r w:rsidR="0029007D">
          <w:rPr>
            <w:sz w:val="22"/>
            <w:szCs w:val="22"/>
          </w:rPr>
          <w:delText xml:space="preserve"> </w:delText>
        </w:r>
        <w:r w:rsidRPr="008912CF">
          <w:rPr>
            <w:sz w:val="22"/>
            <w:szCs w:val="22"/>
          </w:rPr>
          <w:delText>DP) das concentrações séricas de adalimumab na Semana 52 foram 15,3</w:delText>
        </w:r>
        <w:r w:rsidR="0029007D">
          <w:rPr>
            <w:sz w:val="22"/>
            <w:szCs w:val="22"/>
          </w:rPr>
          <w:delText xml:space="preserve"> </w:delText>
        </w:r>
        <w:r w:rsidRPr="008912CF">
          <w:rPr>
            <w:sz w:val="22"/>
            <w:szCs w:val="22"/>
          </w:rPr>
          <w:delText>±</w:delText>
        </w:r>
        <w:r w:rsidR="0029007D">
          <w:rPr>
            <w:sz w:val="22"/>
            <w:szCs w:val="22"/>
          </w:rPr>
          <w:delText xml:space="preserve"> </w:delText>
        </w:r>
        <w:r w:rsidRPr="008912CF">
          <w:rPr>
            <w:sz w:val="22"/>
            <w:szCs w:val="22"/>
          </w:rPr>
          <w:delText>11,4 μg/ml (40/20</w:delText>
        </w:r>
        <w:r>
          <w:rPr>
            <w:sz w:val="22"/>
            <w:szCs w:val="22"/>
          </w:rPr>
          <w:delText> </w:delText>
        </w:r>
        <w:r w:rsidRPr="008912CF">
          <w:rPr>
            <w:sz w:val="22"/>
            <w:szCs w:val="22"/>
          </w:rPr>
          <w:delText>mg, semanalmente) e 6,7</w:delText>
        </w:r>
        <w:r w:rsidR="0029007D">
          <w:rPr>
            <w:sz w:val="22"/>
            <w:szCs w:val="22"/>
          </w:rPr>
          <w:delText xml:space="preserve"> </w:delText>
        </w:r>
        <w:r w:rsidRPr="008912CF">
          <w:rPr>
            <w:sz w:val="22"/>
            <w:szCs w:val="22"/>
          </w:rPr>
          <w:delText>±</w:delText>
        </w:r>
        <w:r w:rsidR="0029007D">
          <w:rPr>
            <w:sz w:val="22"/>
            <w:szCs w:val="22"/>
          </w:rPr>
          <w:delText xml:space="preserve"> </w:delText>
        </w:r>
        <w:r w:rsidRPr="008912CF">
          <w:rPr>
            <w:sz w:val="22"/>
            <w:szCs w:val="22"/>
          </w:rPr>
          <w:delText>3,5</w:delText>
        </w:r>
        <w:r>
          <w:rPr>
            <w:sz w:val="22"/>
            <w:szCs w:val="22"/>
          </w:rPr>
          <w:delText> </w:delText>
        </w:r>
        <w:r w:rsidRPr="008912CF">
          <w:rPr>
            <w:sz w:val="22"/>
            <w:szCs w:val="22"/>
          </w:rPr>
          <w:delText>μg/ml (20/10</w:delText>
        </w:r>
        <w:r>
          <w:rPr>
            <w:sz w:val="22"/>
            <w:szCs w:val="22"/>
          </w:rPr>
          <w:delText> </w:delText>
        </w:r>
        <w:r w:rsidRPr="008912CF">
          <w:rPr>
            <w:sz w:val="22"/>
            <w:szCs w:val="22"/>
          </w:rPr>
          <w:delText>mg, semanalmente).</w:delText>
        </w:r>
      </w:del>
    </w:p>
    <w:p w14:paraId="63CE1205" w14:textId="7B2F2B63" w:rsidR="004462A0" w:rsidRPr="008912CF" w:rsidRDefault="004462A0" w:rsidP="004462A0">
      <w:pPr>
        <w:rPr>
          <w:del w:id="4071" w:author="AbbVie2" w:date="2025-05-13T16:36:00Z"/>
          <w:sz w:val="22"/>
          <w:szCs w:val="22"/>
        </w:rPr>
      </w:pPr>
    </w:p>
    <w:p w14:paraId="739631D0" w14:textId="73E4116B" w:rsidR="004462A0" w:rsidRDefault="00615769" w:rsidP="007B1EB2">
      <w:pPr>
        <w:rPr>
          <w:del w:id="4072" w:author="AbbVie2" w:date="2025-05-13T16:36:00Z"/>
          <w:sz w:val="22"/>
          <w:szCs w:val="22"/>
        </w:rPr>
      </w:pPr>
      <w:del w:id="4073" w:author="AbbVie2" w:date="2025-05-13T16:36:00Z">
        <w:r>
          <w:rPr>
            <w:sz w:val="22"/>
            <w:szCs w:val="22"/>
          </w:rPr>
          <w:delText>A exposição de</w:delText>
        </w:r>
        <w:r w:rsidR="007B1EB2" w:rsidRPr="00CC4B51">
          <w:rPr>
            <w:sz w:val="22"/>
            <w:szCs w:val="22"/>
          </w:rPr>
          <w:delText xml:space="preserve"> adalimumab em doentes </w:delText>
        </w:r>
        <w:r w:rsidR="007B1EB2">
          <w:rPr>
            <w:sz w:val="22"/>
            <w:szCs w:val="22"/>
          </w:rPr>
          <w:delText>pediátricos com uveíte</w:delText>
        </w:r>
        <w:r w:rsidR="007B1EB2" w:rsidRPr="00CC4B51">
          <w:rPr>
            <w:sz w:val="22"/>
            <w:szCs w:val="22"/>
          </w:rPr>
          <w:delText xml:space="preserve"> foi </w:delText>
        </w:r>
        <w:r w:rsidR="007B1EB2">
          <w:rPr>
            <w:sz w:val="22"/>
            <w:szCs w:val="22"/>
          </w:rPr>
          <w:delText>avaliada</w:delText>
        </w:r>
        <w:r w:rsidR="007B1EB2" w:rsidRPr="00CC4B51">
          <w:rPr>
            <w:sz w:val="22"/>
            <w:szCs w:val="22"/>
          </w:rPr>
          <w:delText xml:space="preserve"> utilizando modelos farmacocinéticos e de simulação na população, baseados na farmacocinética nas várias indicações em outros doentes pediátricos (psoríase pediátrica, artrite idiopática juvenil, doença de Crohn pediátrica e artrite relacionada com entesite).</w:delText>
        </w:r>
        <w:r w:rsidR="007B1EB2">
          <w:rPr>
            <w:sz w:val="22"/>
            <w:szCs w:val="22"/>
          </w:rPr>
          <w:delText xml:space="preserve"> Não existem dados clínicos de exposição sobre a utilização de uma dose de carga em crianças &lt; 6 anos de idade. As exposições avaliadas indicam que na ausência de metotrexato, uma dose de carga pode levar a um aumento inicial da exposição sistémica.</w:delText>
        </w:r>
      </w:del>
    </w:p>
    <w:p w14:paraId="6401FD42" w14:textId="0F7D19C1" w:rsidR="007B1EB2" w:rsidRDefault="007B1EB2" w:rsidP="007B1EB2">
      <w:pPr>
        <w:rPr>
          <w:del w:id="4074" w:author="AbbVie2" w:date="2025-05-13T16:36:00Z"/>
          <w:bCs/>
          <w:iCs/>
          <w:sz w:val="22"/>
          <w:szCs w:val="22"/>
        </w:rPr>
      </w:pPr>
    </w:p>
    <w:p w14:paraId="3B5DC131" w14:textId="53478DFE" w:rsidR="004F021E" w:rsidRDefault="00615769" w:rsidP="004F021E">
      <w:pPr>
        <w:rPr>
          <w:del w:id="4075" w:author="AbbVie2" w:date="2025-05-13T16:36:00Z"/>
          <w:bCs/>
          <w:iCs/>
          <w:sz w:val="22"/>
          <w:szCs w:val="22"/>
        </w:rPr>
      </w:pPr>
      <w:del w:id="4076" w:author="AbbVie2" w:date="2025-05-13T16:36:00Z">
        <w:r w:rsidRPr="00AA7352">
          <w:rPr>
            <w:sz w:val="22"/>
            <w:szCs w:val="22"/>
            <w:u w:val="single"/>
          </w:rPr>
          <w:delText>Relação da exposição-resposta na população pediátrica</w:delText>
        </w:r>
      </w:del>
    </w:p>
    <w:p w14:paraId="16C94414" w14:textId="23A137CB" w:rsidR="004F021E" w:rsidRPr="00192FD7" w:rsidRDefault="00615769" w:rsidP="004F021E">
      <w:pPr>
        <w:rPr>
          <w:del w:id="4077" w:author="AbbVie2" w:date="2025-05-13T16:36:00Z"/>
          <w:sz w:val="22"/>
          <w:szCs w:val="22"/>
        </w:rPr>
      </w:pPr>
      <w:del w:id="4078" w:author="AbbVie2" w:date="2025-05-13T16:36:00Z">
        <w:r w:rsidRPr="004F021E">
          <w:rPr>
            <w:bCs/>
            <w:iCs/>
            <w:sz w:val="22"/>
            <w:szCs w:val="22"/>
          </w:rPr>
          <w:delText>Com base nos dados obtidos dos ensaios clínicos efetuados em doentes com AIJ (AIJ poliarticular e ARE), foi estabelecida uma relação da exposição-resposta entre as concentrações  plasmáticas</w:delText>
        </w:r>
        <w:r w:rsidR="00192FD7">
          <w:rPr>
            <w:bCs/>
            <w:iCs/>
            <w:sz w:val="22"/>
            <w:szCs w:val="22"/>
          </w:rPr>
          <w:delText xml:space="preserve"> </w:delText>
        </w:r>
        <w:r w:rsidRPr="004F021E">
          <w:rPr>
            <w:bCs/>
            <w:iCs/>
            <w:sz w:val="22"/>
            <w:szCs w:val="22"/>
          </w:rPr>
          <w:delText>e a resposta PedACR 50. A concentração plasmática aparente de adalimumab que produz metade da pro</w:delText>
        </w:r>
        <w:r w:rsidR="00ED63D8">
          <w:rPr>
            <w:bCs/>
            <w:iCs/>
            <w:sz w:val="22"/>
            <w:szCs w:val="22"/>
          </w:rPr>
          <w:delText>b</w:delText>
        </w:r>
        <w:r w:rsidRPr="004F021E">
          <w:rPr>
            <w:bCs/>
            <w:iCs/>
            <w:sz w:val="22"/>
            <w:szCs w:val="22"/>
          </w:rPr>
          <w:delText xml:space="preserve">abilidade máxima de resposta PedACR 50 (EC50) foi de </w:delText>
        </w:r>
        <w:r w:rsidRPr="00192FD7">
          <w:rPr>
            <w:sz w:val="22"/>
            <w:szCs w:val="22"/>
          </w:rPr>
          <w:delText>3 </w:delText>
        </w:r>
        <w:r w:rsidRPr="00192FD7">
          <w:rPr>
            <w:sz w:val="22"/>
            <w:szCs w:val="22"/>
            <w:lang w:val="en-GB"/>
          </w:rPr>
          <w:delText>μ</w:delText>
        </w:r>
        <w:r w:rsidRPr="00192FD7">
          <w:rPr>
            <w:sz w:val="22"/>
            <w:szCs w:val="22"/>
          </w:rPr>
          <w:delText>g/ml (95% CI: 1</w:delText>
        </w:r>
        <w:r w:rsidRPr="00192FD7">
          <w:rPr>
            <w:sz w:val="22"/>
            <w:szCs w:val="22"/>
          </w:rPr>
          <w:noBreakHyphen/>
          <w:delText>6 </w:delText>
        </w:r>
        <w:r w:rsidRPr="00192FD7">
          <w:rPr>
            <w:sz w:val="22"/>
            <w:szCs w:val="22"/>
            <w:lang w:val="en-GB"/>
          </w:rPr>
          <w:delText>μ</w:delText>
        </w:r>
        <w:r w:rsidRPr="00192FD7">
          <w:rPr>
            <w:sz w:val="22"/>
            <w:szCs w:val="22"/>
          </w:rPr>
          <w:delText>g/ml).</w:delText>
        </w:r>
      </w:del>
    </w:p>
    <w:p w14:paraId="42456D7C" w14:textId="7AE63EB5" w:rsidR="004F021E" w:rsidRPr="00192FD7" w:rsidRDefault="004F021E" w:rsidP="004F021E">
      <w:pPr>
        <w:rPr>
          <w:del w:id="4079" w:author="AbbVie2" w:date="2025-05-13T16:36:00Z"/>
          <w:sz w:val="22"/>
          <w:szCs w:val="22"/>
        </w:rPr>
      </w:pPr>
    </w:p>
    <w:p w14:paraId="7C860D0D" w14:textId="5B9D9A9A" w:rsidR="00192FD7" w:rsidRPr="00192FD7" w:rsidRDefault="00615769" w:rsidP="007B1EB2">
      <w:pPr>
        <w:rPr>
          <w:del w:id="4080" w:author="AbbVie2" w:date="2025-05-13T16:36:00Z"/>
          <w:sz w:val="22"/>
          <w:szCs w:val="22"/>
        </w:rPr>
      </w:pPr>
      <w:del w:id="4081" w:author="AbbVie2" w:date="2025-05-13T16:36:00Z">
        <w:r w:rsidRPr="004F021E">
          <w:rPr>
            <w:bCs/>
            <w:iCs/>
            <w:sz w:val="22"/>
            <w:szCs w:val="22"/>
          </w:rPr>
          <w:delText>As relações de exposição-resposta entre a concentração de adalimumab e a eficácia em doentes pediátricos com psoríase em placas crónica foram estabelecidas em PASI 75 e PGA limpo ou mínimo, respetivamente. PASI 75 e PGA limpo ou mínimo aumentaram com o aumento das concentrações de adalimumab, ambas com um EC50 aparentemente idêntico de aproximadamente 4,5</w:delText>
        </w:r>
        <w:r w:rsidRPr="00192FD7">
          <w:rPr>
            <w:sz w:val="22"/>
            <w:szCs w:val="22"/>
          </w:rPr>
          <w:delText> </w:delText>
        </w:r>
        <w:r w:rsidRPr="00192FD7">
          <w:rPr>
            <w:sz w:val="22"/>
            <w:szCs w:val="22"/>
            <w:lang w:val="en-GB"/>
          </w:rPr>
          <w:delText>μ</w:delText>
        </w:r>
        <w:r w:rsidRPr="00192FD7">
          <w:rPr>
            <w:sz w:val="22"/>
            <w:szCs w:val="22"/>
          </w:rPr>
          <w:delText>g/ml (95% CI 0,4-47,6 e 1,9-10,5, respetivamente</w:delText>
        </w:r>
        <w:r>
          <w:rPr>
            <w:sz w:val="22"/>
            <w:szCs w:val="22"/>
          </w:rPr>
          <w:delText>).</w:delText>
        </w:r>
      </w:del>
    </w:p>
    <w:p w14:paraId="3DAFB837" w14:textId="4840FAE8" w:rsidR="004F021E" w:rsidRDefault="004F021E" w:rsidP="007B1EB2">
      <w:pPr>
        <w:rPr>
          <w:del w:id="4082" w:author="AbbVie2" w:date="2025-05-13T16:36:00Z"/>
          <w:bCs/>
          <w:iCs/>
          <w:sz w:val="22"/>
          <w:szCs w:val="22"/>
        </w:rPr>
      </w:pPr>
    </w:p>
    <w:p w14:paraId="193ADFA3" w14:textId="4984631C" w:rsidR="004462A0" w:rsidRPr="008912CF" w:rsidRDefault="00615769" w:rsidP="004462A0">
      <w:pPr>
        <w:autoSpaceDE w:val="0"/>
        <w:autoSpaceDN w:val="0"/>
        <w:adjustRightInd w:val="0"/>
        <w:rPr>
          <w:del w:id="4083" w:author="AbbVie2" w:date="2025-05-13T16:36:00Z"/>
          <w:sz w:val="22"/>
          <w:szCs w:val="22"/>
          <w:u w:val="single"/>
        </w:rPr>
      </w:pPr>
      <w:del w:id="4084" w:author="AbbVie2" w:date="2025-05-13T16:36:00Z">
        <w:r w:rsidRPr="008912CF">
          <w:rPr>
            <w:sz w:val="22"/>
            <w:szCs w:val="22"/>
            <w:u w:val="single"/>
          </w:rPr>
          <w:delText>Adultos</w:delText>
        </w:r>
      </w:del>
    </w:p>
    <w:p w14:paraId="02A238E6" w14:textId="76DB0C00" w:rsidR="004462A0" w:rsidRPr="008912CF" w:rsidRDefault="004462A0" w:rsidP="004462A0">
      <w:pPr>
        <w:autoSpaceDE w:val="0"/>
        <w:autoSpaceDN w:val="0"/>
        <w:adjustRightInd w:val="0"/>
        <w:rPr>
          <w:del w:id="4085" w:author="AbbVie2" w:date="2025-05-13T16:36:00Z"/>
          <w:sz w:val="22"/>
          <w:szCs w:val="22"/>
        </w:rPr>
      </w:pPr>
    </w:p>
    <w:p w14:paraId="246D8A60" w14:textId="06BE23BE" w:rsidR="004462A0" w:rsidRPr="008912CF" w:rsidRDefault="00615769" w:rsidP="004462A0">
      <w:pPr>
        <w:autoSpaceDE w:val="0"/>
        <w:autoSpaceDN w:val="0"/>
        <w:adjustRightInd w:val="0"/>
        <w:rPr>
          <w:del w:id="4086" w:author="AbbVie2" w:date="2025-05-13T16:36:00Z"/>
          <w:sz w:val="22"/>
          <w:szCs w:val="22"/>
        </w:rPr>
      </w:pPr>
      <w:del w:id="4087" w:author="AbbVie2" w:date="2025-05-13T16:36:00Z">
        <w:r w:rsidRPr="008912CF">
          <w:rPr>
            <w:sz w:val="22"/>
            <w:szCs w:val="22"/>
          </w:rPr>
          <w:delText>Após a administração subcutânea de uma dose única de 40 mg, a absorção e distribuição de adalimumab foram lentas, sendo os picos das concentrações séricas atingidos cerca de 5 dias após a administração. A biodisponibilidade absoluta média de adalimumab foi de 64</w:delText>
        </w:r>
        <w:r w:rsidR="009343EF">
          <w:rPr>
            <w:sz w:val="22"/>
            <w:szCs w:val="22"/>
          </w:rPr>
          <w:delText>%</w:delText>
        </w:r>
        <w:r w:rsidRPr="008912CF">
          <w:rPr>
            <w:sz w:val="22"/>
            <w:szCs w:val="22"/>
          </w:rPr>
          <w:delText>, calculada a partir de três estudos após uma dose subcutânea única de 40 mg. Após a administração de doses intravenosas únicas compreendidas entre 0,25 e 10 mg/kg, as concentrações foram proporcionais à dose. Após doses de 0,5 mg/kg (~ 40 mg) as depurações variaram entre 11 e 15 ml/hora, o volume de distribuição (V</w:delText>
        </w:r>
        <w:r w:rsidRPr="008912CF">
          <w:rPr>
            <w:sz w:val="22"/>
            <w:szCs w:val="22"/>
            <w:vertAlign w:val="subscript"/>
          </w:rPr>
          <w:delText>ss</w:delText>
        </w:r>
        <w:r w:rsidRPr="008912CF">
          <w:rPr>
            <w:sz w:val="22"/>
            <w:szCs w:val="22"/>
          </w:rPr>
          <w:delText>) variou entre 5 e 6 litros e a semi</w:delText>
        </w:r>
        <w:r w:rsidR="00784C05">
          <w:rPr>
            <w:sz w:val="22"/>
            <w:szCs w:val="22"/>
          </w:rPr>
          <w:delText>-</w:delText>
        </w:r>
        <w:r w:rsidRPr="008912CF">
          <w:rPr>
            <w:sz w:val="22"/>
            <w:szCs w:val="22"/>
          </w:rPr>
          <w:delText>vida média da fase terminal foi de aproximadamente duas semanas. As concentrações de adalimumab no líquido sinovial de vários doentes com artrite reumatoid</w:delText>
        </w:r>
        <w:r w:rsidRPr="008912CF">
          <w:rPr>
            <w:sz w:val="22"/>
            <w:szCs w:val="22"/>
          </w:rPr>
          <w:delText>e variaram entre 31-96</w:delText>
        </w:r>
        <w:r w:rsidR="009343EF">
          <w:rPr>
            <w:sz w:val="22"/>
            <w:szCs w:val="22"/>
          </w:rPr>
          <w:delText>%</w:delText>
        </w:r>
        <w:r w:rsidRPr="008912CF">
          <w:rPr>
            <w:sz w:val="22"/>
            <w:szCs w:val="22"/>
          </w:rPr>
          <w:delText xml:space="preserve"> relativamente às concentrações séricas.</w:delText>
        </w:r>
      </w:del>
    </w:p>
    <w:p w14:paraId="19624EE9" w14:textId="476DF136" w:rsidR="004462A0" w:rsidRPr="008912CF" w:rsidRDefault="004462A0" w:rsidP="004462A0">
      <w:pPr>
        <w:autoSpaceDE w:val="0"/>
        <w:autoSpaceDN w:val="0"/>
        <w:adjustRightInd w:val="0"/>
        <w:rPr>
          <w:del w:id="4088" w:author="AbbVie2" w:date="2025-05-13T16:36:00Z"/>
          <w:sz w:val="22"/>
          <w:szCs w:val="22"/>
        </w:rPr>
      </w:pPr>
    </w:p>
    <w:p w14:paraId="6B79F671" w14:textId="63E9C79D" w:rsidR="004462A0" w:rsidRPr="008912CF" w:rsidRDefault="00615769" w:rsidP="004462A0">
      <w:pPr>
        <w:pStyle w:val="BodyText2"/>
        <w:rPr>
          <w:del w:id="4089" w:author="AbbVie2" w:date="2025-05-13T16:36:00Z"/>
          <w:szCs w:val="22"/>
        </w:rPr>
      </w:pPr>
      <w:del w:id="4090" w:author="AbbVie2" w:date="2025-05-13T16:36:00Z">
        <w:r w:rsidRPr="008912CF">
          <w:rPr>
            <w:szCs w:val="22"/>
          </w:rPr>
          <w:delText>Após a administração subcutânea de 40 mg de adalimumab em semanas alternadas em doentes adultos com artrite reumatoide (AR) as concentrações médias de vale em estado de equilíbrio foram de aproximadamente 5 </w:delText>
        </w:r>
        <w:r w:rsidRPr="008912CF">
          <w:rPr>
            <w:rFonts w:ascii="Symbol" w:hAnsi="Symbol"/>
            <w:szCs w:val="22"/>
          </w:rPr>
          <w:sym w:font="Symbol" w:char="F06D"/>
        </w:r>
        <w:r w:rsidRPr="008912CF">
          <w:rPr>
            <w:szCs w:val="22"/>
          </w:rPr>
          <w:delText>g/ml (sem administração concomitante de metotrexato) e de 8 a 9 </w:delText>
        </w:r>
        <w:r w:rsidRPr="008912CF">
          <w:rPr>
            <w:rFonts w:ascii="Symbol" w:hAnsi="Symbol"/>
            <w:szCs w:val="22"/>
          </w:rPr>
          <w:sym w:font="Symbol" w:char="F06D"/>
        </w:r>
        <w:r w:rsidRPr="008912CF">
          <w:rPr>
            <w:szCs w:val="22"/>
          </w:rPr>
          <w:delText>g/ml (com administração concomitante de metotrexato), respetivamente. Os níveis séricos de vale de adalimumab em estado de equilíbrio aumentaram quase proporcionalmente à dose após a administração por via subcutânea de 20, 40 e 80 mg em semanas alternadas e semanalmente.</w:delText>
        </w:r>
      </w:del>
    </w:p>
    <w:p w14:paraId="40F036ED" w14:textId="1A9BBD56" w:rsidR="004462A0" w:rsidRPr="008912CF" w:rsidRDefault="004462A0" w:rsidP="004462A0">
      <w:pPr>
        <w:rPr>
          <w:del w:id="4091" w:author="AbbVie2" w:date="2025-05-13T16:36:00Z"/>
          <w:sz w:val="22"/>
          <w:szCs w:val="22"/>
        </w:rPr>
      </w:pPr>
    </w:p>
    <w:p w14:paraId="5A77EEE6" w14:textId="6BFF4382" w:rsidR="004462A0" w:rsidRDefault="00615769" w:rsidP="004462A0">
      <w:pPr>
        <w:rPr>
          <w:del w:id="4092" w:author="AbbVie2" w:date="2025-05-13T16:36:00Z"/>
          <w:sz w:val="22"/>
          <w:szCs w:val="22"/>
        </w:rPr>
      </w:pPr>
      <w:del w:id="4093" w:author="AbbVie2" w:date="2025-05-13T16:36:00Z">
        <w:r w:rsidRPr="008912CF">
          <w:rPr>
            <w:sz w:val="22"/>
            <w:szCs w:val="22"/>
          </w:rPr>
          <w:delText xml:space="preserve">Em doentes </w:delText>
        </w:r>
        <w:r w:rsidR="004D2A92">
          <w:rPr>
            <w:sz w:val="22"/>
            <w:szCs w:val="22"/>
          </w:rPr>
          <w:delText xml:space="preserve">adultos </w:delText>
        </w:r>
        <w:r w:rsidRPr="008912CF">
          <w:rPr>
            <w:sz w:val="22"/>
            <w:szCs w:val="22"/>
          </w:rPr>
          <w:delText xml:space="preserve">com psoríase em tratamento com adalimumab 40 mg em semanas alternadas, em monoterapia, a </w:delText>
        </w:r>
        <w:r w:rsidR="004D2A92">
          <w:rPr>
            <w:sz w:val="22"/>
            <w:szCs w:val="22"/>
          </w:rPr>
          <w:delText xml:space="preserve">média da </w:delText>
        </w:r>
        <w:r w:rsidRPr="008912CF">
          <w:rPr>
            <w:sz w:val="22"/>
            <w:szCs w:val="22"/>
          </w:rPr>
          <w:delText xml:space="preserve">concentração </w:delText>
        </w:r>
        <w:r w:rsidR="004D2A92">
          <w:rPr>
            <w:sz w:val="22"/>
            <w:szCs w:val="22"/>
          </w:rPr>
          <w:delText>de vale</w:delText>
        </w:r>
        <w:r w:rsidRPr="008912CF">
          <w:rPr>
            <w:sz w:val="22"/>
            <w:szCs w:val="22"/>
          </w:rPr>
          <w:delText xml:space="preserve"> em estado de equilíbrio foi de 5 </w:delText>
        </w:r>
        <w:r w:rsidRPr="008912CF">
          <w:rPr>
            <w:rFonts w:ascii="Symbol" w:hAnsi="Symbol"/>
            <w:sz w:val="22"/>
            <w:szCs w:val="22"/>
          </w:rPr>
          <w:sym w:font="Symbol" w:char="F06D"/>
        </w:r>
        <w:r w:rsidRPr="008912CF">
          <w:rPr>
            <w:sz w:val="22"/>
            <w:szCs w:val="22"/>
          </w:rPr>
          <w:delText>g/ml.</w:delText>
        </w:r>
      </w:del>
    </w:p>
    <w:p w14:paraId="4614CE5D" w14:textId="3ACDD0A2" w:rsidR="00CE6BF2" w:rsidRDefault="00CE6BF2" w:rsidP="004462A0">
      <w:pPr>
        <w:rPr>
          <w:del w:id="4094" w:author="AbbVie2" w:date="2025-05-13T16:36:00Z"/>
          <w:sz w:val="22"/>
          <w:szCs w:val="22"/>
        </w:rPr>
      </w:pPr>
    </w:p>
    <w:p w14:paraId="273D9356" w14:textId="14696557" w:rsidR="00CE6BF2" w:rsidRPr="008912CF" w:rsidRDefault="00615769" w:rsidP="00CE6BF2">
      <w:pPr>
        <w:rPr>
          <w:del w:id="4095" w:author="AbbVie2" w:date="2025-05-13T16:36:00Z"/>
          <w:sz w:val="22"/>
          <w:szCs w:val="22"/>
        </w:rPr>
      </w:pPr>
      <w:del w:id="4096" w:author="AbbVie2" w:date="2025-05-13T16:36:00Z">
        <w:r w:rsidRPr="008912CF">
          <w:rPr>
            <w:sz w:val="22"/>
            <w:szCs w:val="22"/>
          </w:rPr>
          <w:delText xml:space="preserve">Em doentes </w:delText>
        </w:r>
        <w:r>
          <w:rPr>
            <w:sz w:val="22"/>
            <w:szCs w:val="22"/>
          </w:rPr>
          <w:delText xml:space="preserve">adultos </w:delText>
        </w:r>
        <w:r w:rsidRPr="008912CF">
          <w:rPr>
            <w:sz w:val="22"/>
            <w:szCs w:val="22"/>
          </w:rPr>
          <w:delText>com hidradenite supurativa, uma dose de 160 mg de Humira na Semana 0 seguida de 80 mg de Humira na Semana 2 alcanç</w:delText>
        </w:r>
        <w:r w:rsidR="004D2A92">
          <w:rPr>
            <w:sz w:val="22"/>
            <w:szCs w:val="22"/>
          </w:rPr>
          <w:delText>ou</w:delText>
        </w:r>
        <w:r w:rsidRPr="008912CF">
          <w:rPr>
            <w:sz w:val="22"/>
            <w:szCs w:val="22"/>
          </w:rPr>
          <w:delText xml:space="preserve"> uma concentração sérica </w:delText>
        </w:r>
        <w:r w:rsidR="004D2A92">
          <w:rPr>
            <w:sz w:val="22"/>
            <w:szCs w:val="22"/>
          </w:rPr>
          <w:delText xml:space="preserve">de vale </w:delText>
        </w:r>
        <w:r w:rsidRPr="008912CF">
          <w:rPr>
            <w:sz w:val="22"/>
            <w:szCs w:val="22"/>
          </w:rPr>
          <w:delText>de adalimumab de aproximadamente 7 a 8 μg/m</w:delText>
        </w:r>
        <w:r>
          <w:rPr>
            <w:sz w:val="22"/>
            <w:szCs w:val="22"/>
          </w:rPr>
          <w:delText>l</w:delText>
        </w:r>
        <w:r w:rsidRPr="008912CF">
          <w:rPr>
            <w:sz w:val="22"/>
            <w:szCs w:val="22"/>
          </w:rPr>
          <w:delText xml:space="preserve"> na Semana 2 e Semana 4. A média das concentrações séricas de</w:delText>
        </w:r>
        <w:r w:rsidR="004D2A92">
          <w:rPr>
            <w:sz w:val="22"/>
            <w:szCs w:val="22"/>
          </w:rPr>
          <w:delText xml:space="preserve"> vale de</w:delText>
        </w:r>
        <w:r w:rsidRPr="008912CF">
          <w:rPr>
            <w:sz w:val="22"/>
            <w:szCs w:val="22"/>
          </w:rPr>
          <w:delText xml:space="preserve"> adalimumab da Semana 12 à Semana 36 foi aproximadamente 8 a 10 μg/m</w:delText>
        </w:r>
        <w:r>
          <w:rPr>
            <w:sz w:val="22"/>
            <w:szCs w:val="22"/>
          </w:rPr>
          <w:delText>l</w:delText>
        </w:r>
        <w:r w:rsidRPr="008912CF">
          <w:rPr>
            <w:sz w:val="22"/>
            <w:szCs w:val="22"/>
          </w:rPr>
          <w:delText xml:space="preserve"> durante o tratamento de adalimumab 40 mg todas as semanas.</w:delText>
        </w:r>
      </w:del>
    </w:p>
    <w:p w14:paraId="004A2403" w14:textId="2A61670A" w:rsidR="00CE6BF2" w:rsidRPr="008912CF" w:rsidRDefault="00CE6BF2" w:rsidP="004462A0">
      <w:pPr>
        <w:rPr>
          <w:del w:id="4097" w:author="AbbVie2" w:date="2025-05-13T16:36:00Z"/>
          <w:rFonts w:eastAsia="SimSun"/>
          <w:sz w:val="22"/>
          <w:szCs w:val="22"/>
          <w:lang w:eastAsia="zh-CN"/>
        </w:rPr>
      </w:pPr>
    </w:p>
    <w:p w14:paraId="37542B6E" w14:textId="6BAFD5CF" w:rsidR="00954234" w:rsidRPr="008912CF" w:rsidRDefault="00615769" w:rsidP="00954234">
      <w:pPr>
        <w:rPr>
          <w:del w:id="4098" w:author="AbbVie2" w:date="2025-05-13T16:36:00Z"/>
          <w:sz w:val="22"/>
          <w:szCs w:val="22"/>
        </w:rPr>
      </w:pPr>
      <w:del w:id="4099" w:author="AbbVie2" w:date="2025-05-13T16:36:00Z">
        <w:r w:rsidRPr="008912CF">
          <w:rPr>
            <w:sz w:val="22"/>
            <w:szCs w:val="22"/>
          </w:rPr>
          <w:delText xml:space="preserve">Em doentes com doença de Crohn, a dose de carga de 80 mg de Humira na Semana 0 seguida de 40 mg de Humira na Semana 2 atinge uma concentração sérica </w:delText>
        </w:r>
        <w:r w:rsidR="001729C1">
          <w:rPr>
            <w:sz w:val="22"/>
            <w:szCs w:val="22"/>
          </w:rPr>
          <w:delText xml:space="preserve">de vale </w:delText>
        </w:r>
        <w:r w:rsidRPr="008912CF">
          <w:rPr>
            <w:sz w:val="22"/>
            <w:szCs w:val="22"/>
          </w:rPr>
          <w:delText>de adalimumab de aproximadamente 5,5 </w:delText>
        </w:r>
        <w:r w:rsidRPr="008912CF">
          <w:rPr>
            <w:rFonts w:ascii="Symbol" w:hAnsi="Symbol"/>
            <w:sz w:val="22"/>
            <w:szCs w:val="22"/>
          </w:rPr>
          <w:sym w:font="Symbol" w:char="F06D"/>
        </w:r>
        <w:r w:rsidRPr="008912CF">
          <w:rPr>
            <w:sz w:val="22"/>
            <w:szCs w:val="22"/>
          </w:rPr>
          <w:delText xml:space="preserve">g/ml durante o período de indução. Uma dose de carga de 160 mg de Humira na Semana 0 seguida de 80 mg de Humira na Semana 2 alcança uma concentração sérica de </w:delText>
        </w:r>
        <w:r w:rsidR="001729C1">
          <w:rPr>
            <w:sz w:val="22"/>
            <w:szCs w:val="22"/>
          </w:rPr>
          <w:delText xml:space="preserve">vale de </w:delText>
        </w:r>
        <w:r w:rsidRPr="008912CF">
          <w:rPr>
            <w:sz w:val="22"/>
            <w:szCs w:val="22"/>
          </w:rPr>
          <w:delText>adalimumab de aproximadamente 12 </w:delText>
        </w:r>
        <w:r w:rsidRPr="008912CF">
          <w:rPr>
            <w:rFonts w:ascii="Symbol" w:hAnsi="Symbol"/>
            <w:sz w:val="22"/>
            <w:szCs w:val="22"/>
          </w:rPr>
          <w:sym w:font="Symbol" w:char="F06D"/>
        </w:r>
        <w:r w:rsidRPr="008912CF">
          <w:rPr>
            <w:sz w:val="22"/>
            <w:szCs w:val="22"/>
          </w:rPr>
          <w:delText xml:space="preserve">g/ml durante o período de indução. Observaram-se níveis médios </w:delText>
        </w:r>
        <w:r w:rsidR="001729C1">
          <w:rPr>
            <w:sz w:val="22"/>
            <w:szCs w:val="22"/>
          </w:rPr>
          <w:delText xml:space="preserve">de vale </w:delText>
        </w:r>
        <w:r w:rsidRPr="008912CF">
          <w:rPr>
            <w:sz w:val="22"/>
            <w:szCs w:val="22"/>
          </w:rPr>
          <w:delText>em estado de equilíbrio de aproximadamente 7 </w:delText>
        </w:r>
        <w:r w:rsidRPr="008912CF">
          <w:rPr>
            <w:rFonts w:ascii="Symbol" w:hAnsi="Symbol"/>
            <w:sz w:val="22"/>
            <w:szCs w:val="22"/>
          </w:rPr>
          <w:sym w:font="Symbol" w:char="F06D"/>
        </w:r>
        <w:r w:rsidRPr="008912CF">
          <w:rPr>
            <w:sz w:val="22"/>
            <w:szCs w:val="22"/>
          </w:rPr>
          <w:delText>g/ml em doentes com doença de Crohn que receberam uma dose de manutenção de 40 mg de Humira em semanas alternadas.</w:delText>
        </w:r>
      </w:del>
    </w:p>
    <w:p w14:paraId="3312F879" w14:textId="53AA673A" w:rsidR="00954234" w:rsidRDefault="00954234" w:rsidP="00F03C54">
      <w:pPr>
        <w:rPr>
          <w:del w:id="4100" w:author="AbbVie2" w:date="2025-05-13T16:36:00Z"/>
        </w:rPr>
      </w:pPr>
    </w:p>
    <w:p w14:paraId="79D31631" w14:textId="7283B08E" w:rsidR="00421006" w:rsidRPr="005E5DB2" w:rsidRDefault="00615769" w:rsidP="00F03C54">
      <w:pPr>
        <w:rPr>
          <w:del w:id="4101" w:author="AbbVie2" w:date="2025-05-13T16:36:00Z"/>
          <w:sz w:val="22"/>
          <w:szCs w:val="22"/>
        </w:rPr>
      </w:pPr>
      <w:del w:id="4102" w:author="AbbVie2" w:date="2025-05-13T16:36:00Z">
        <w:r w:rsidRPr="005E5DB2">
          <w:rPr>
            <w:sz w:val="22"/>
            <w:szCs w:val="22"/>
          </w:rPr>
          <w:delText>Após a administração subcutânea da dose baseada no peso corporal de 0,6 mg/kg (máximo</w:delText>
        </w:r>
        <w:r w:rsidR="007916BF">
          <w:rPr>
            <w:sz w:val="22"/>
            <w:szCs w:val="22"/>
          </w:rPr>
          <w:delText xml:space="preserve"> de </w:delText>
        </w:r>
        <w:r w:rsidRPr="005E5DB2">
          <w:rPr>
            <w:sz w:val="22"/>
            <w:szCs w:val="22"/>
          </w:rPr>
          <w:delText xml:space="preserve">40 mg) em semanas alternadas a doentes pediátricos com colite ulcerosa, a </w:delText>
        </w:r>
        <w:r w:rsidR="00F4016C" w:rsidRPr="00F4016C">
          <w:rPr>
            <w:sz w:val="22"/>
            <w:szCs w:val="22"/>
          </w:rPr>
          <w:delText xml:space="preserve">média da concentração sérica de adalimumab na região de vale da curva em estado de equilíbrio </w:delText>
        </w:r>
        <w:r w:rsidRPr="005E5DB2">
          <w:rPr>
            <w:sz w:val="22"/>
            <w:szCs w:val="22"/>
          </w:rPr>
          <w:delText>foi de 5,01 ± 3,28 µg/ml na Semana 52.</w:delText>
        </w:r>
        <w:r>
          <w:rPr>
            <w:sz w:val="22"/>
            <w:szCs w:val="22"/>
          </w:rPr>
          <w:delText xml:space="preserve"> </w:delText>
        </w:r>
        <w:r w:rsidRPr="005E5DB2">
          <w:rPr>
            <w:sz w:val="22"/>
            <w:szCs w:val="22"/>
          </w:rPr>
          <w:delText>Para os doentes que receberam 0,6 mg/kg (máximo</w:delText>
        </w:r>
        <w:r w:rsidR="007916BF">
          <w:rPr>
            <w:sz w:val="22"/>
            <w:szCs w:val="22"/>
          </w:rPr>
          <w:delText xml:space="preserve"> de </w:delText>
        </w:r>
        <w:r w:rsidRPr="005E5DB2">
          <w:rPr>
            <w:sz w:val="22"/>
            <w:szCs w:val="22"/>
          </w:rPr>
          <w:delText xml:space="preserve">40 mg) semanalmente, </w:delText>
        </w:r>
        <w:r w:rsidR="00F4016C" w:rsidRPr="00F4016C">
          <w:rPr>
            <w:sz w:val="22"/>
            <w:szCs w:val="22"/>
          </w:rPr>
          <w:delText xml:space="preserve">a média (± DP) da concentração sérica de adalimumab na região de vale da curva em estado de equilíbrio </w:delText>
        </w:r>
        <w:r w:rsidRPr="005E5DB2">
          <w:rPr>
            <w:sz w:val="22"/>
            <w:szCs w:val="22"/>
          </w:rPr>
          <w:delText>foi de 15,7 ± 5,60 μg/ml na Semana 52.</w:delText>
        </w:r>
      </w:del>
    </w:p>
    <w:p w14:paraId="320746A5" w14:textId="41193ED5" w:rsidR="00421006" w:rsidRDefault="00421006" w:rsidP="00F03C54">
      <w:pPr>
        <w:rPr>
          <w:del w:id="4103" w:author="AbbVie2" w:date="2025-05-13T16:36:00Z"/>
        </w:rPr>
      </w:pPr>
    </w:p>
    <w:p w14:paraId="5C2DF0B2" w14:textId="690E986A" w:rsidR="00954234" w:rsidRPr="00F03C54" w:rsidRDefault="00615769" w:rsidP="00954234">
      <w:pPr>
        <w:rPr>
          <w:del w:id="4104" w:author="AbbVie2" w:date="2025-05-13T16:36:00Z"/>
          <w:sz w:val="22"/>
          <w:szCs w:val="22"/>
        </w:rPr>
      </w:pPr>
      <w:del w:id="4105" w:author="AbbVie2" w:date="2025-05-13T16:36:00Z">
        <w:r w:rsidRPr="00F03C54">
          <w:rPr>
            <w:sz w:val="22"/>
            <w:szCs w:val="22"/>
          </w:rPr>
          <w:delText xml:space="preserve">Em doentes adultos com uveíte, </w:delText>
        </w:r>
        <w:r w:rsidR="00784C05">
          <w:rPr>
            <w:sz w:val="22"/>
            <w:szCs w:val="22"/>
          </w:rPr>
          <w:delText>um</w:delText>
        </w:r>
        <w:r w:rsidRPr="00F03C54">
          <w:rPr>
            <w:sz w:val="22"/>
            <w:szCs w:val="22"/>
          </w:rPr>
          <w:delText>a dose de carga de 80 mg de adalimumab na Semana 0</w:delText>
        </w:r>
        <w:r w:rsidR="00784C05">
          <w:rPr>
            <w:sz w:val="22"/>
            <w:szCs w:val="22"/>
          </w:rPr>
          <w:delText>,</w:delText>
        </w:r>
        <w:r w:rsidRPr="00F03C54">
          <w:rPr>
            <w:sz w:val="22"/>
            <w:szCs w:val="22"/>
          </w:rPr>
          <w:delText xml:space="preserve"> seguida de 40 mg de adalimumab em semanas alternadas, com início na </w:delText>
        </w:r>
        <w:r w:rsidR="00784C05">
          <w:rPr>
            <w:sz w:val="22"/>
            <w:szCs w:val="22"/>
          </w:rPr>
          <w:delText>S</w:delText>
        </w:r>
        <w:r w:rsidRPr="00F03C54">
          <w:rPr>
            <w:sz w:val="22"/>
            <w:szCs w:val="22"/>
          </w:rPr>
          <w:delText xml:space="preserve">emana 1, </w:delText>
        </w:r>
        <w:r w:rsidR="00784C05">
          <w:rPr>
            <w:sz w:val="22"/>
            <w:szCs w:val="22"/>
          </w:rPr>
          <w:delText>originou</w:delText>
        </w:r>
        <w:r w:rsidRPr="00F03C54">
          <w:rPr>
            <w:sz w:val="22"/>
            <w:szCs w:val="22"/>
          </w:rPr>
          <w:delText xml:space="preserve"> </w:delText>
        </w:r>
        <w:r w:rsidR="00784C05" w:rsidRPr="00F03C54">
          <w:rPr>
            <w:sz w:val="22"/>
            <w:szCs w:val="22"/>
          </w:rPr>
          <w:delText>concentraç</w:delText>
        </w:r>
        <w:r w:rsidR="00784C05">
          <w:rPr>
            <w:sz w:val="22"/>
            <w:szCs w:val="22"/>
          </w:rPr>
          <w:delText>ões médias</w:delText>
        </w:r>
        <w:r w:rsidR="00784C05" w:rsidRPr="00F03C54">
          <w:rPr>
            <w:sz w:val="22"/>
            <w:szCs w:val="22"/>
          </w:rPr>
          <w:delText xml:space="preserve"> </w:delText>
        </w:r>
        <w:r w:rsidR="00784C05">
          <w:rPr>
            <w:sz w:val="22"/>
            <w:szCs w:val="22"/>
          </w:rPr>
          <w:delText xml:space="preserve">em estado de equilíbrio </w:delText>
        </w:r>
        <w:r w:rsidRPr="00F03C54">
          <w:rPr>
            <w:sz w:val="22"/>
            <w:szCs w:val="22"/>
          </w:rPr>
          <w:delText xml:space="preserve">de aproximadamente 8 a 10 </w:delText>
        </w:r>
        <w:r w:rsidRPr="00B52A81">
          <w:rPr>
            <w:rFonts w:ascii="Symbol" w:hAnsi="Symbol"/>
            <w:sz w:val="22"/>
            <w:szCs w:val="22"/>
          </w:rPr>
          <w:sym w:font="Symbol" w:char="F06D"/>
        </w:r>
        <w:r w:rsidRPr="00B52A81">
          <w:rPr>
            <w:sz w:val="22"/>
            <w:szCs w:val="22"/>
          </w:rPr>
          <w:delText>g/ml.</w:delText>
        </w:r>
      </w:del>
    </w:p>
    <w:p w14:paraId="6977C4D0" w14:textId="6FFA140A" w:rsidR="00954234" w:rsidRDefault="00954234" w:rsidP="00F03C54">
      <w:pPr>
        <w:rPr>
          <w:del w:id="4106" w:author="AbbVie2" w:date="2025-05-13T16:36:00Z"/>
          <w:szCs w:val="22"/>
        </w:rPr>
      </w:pPr>
    </w:p>
    <w:p w14:paraId="32C64BD6" w14:textId="7F050670" w:rsidR="00954234" w:rsidRPr="00B52A81" w:rsidRDefault="00615769" w:rsidP="00954234">
      <w:pPr>
        <w:rPr>
          <w:del w:id="4107" w:author="AbbVie2" w:date="2025-05-13T16:36:00Z"/>
          <w:bCs/>
          <w:iCs/>
          <w:sz w:val="22"/>
          <w:szCs w:val="22"/>
        </w:rPr>
      </w:pPr>
      <w:del w:id="4108" w:author="AbbVie2" w:date="2025-05-13T16:36:00Z">
        <w:r>
          <w:rPr>
            <w:sz w:val="22"/>
            <w:szCs w:val="22"/>
          </w:rPr>
          <w:delText xml:space="preserve">A farmacocinética populacional e a </w:delText>
        </w:r>
        <w:r w:rsidRPr="00CC4B51">
          <w:rPr>
            <w:sz w:val="22"/>
            <w:szCs w:val="22"/>
          </w:rPr>
          <w:delText>model</w:delText>
        </w:r>
        <w:r>
          <w:rPr>
            <w:sz w:val="22"/>
            <w:szCs w:val="22"/>
          </w:rPr>
          <w:delText>ação e simulação</w:delText>
        </w:r>
        <w:r w:rsidRPr="00CC4B51">
          <w:rPr>
            <w:sz w:val="22"/>
            <w:szCs w:val="22"/>
          </w:rPr>
          <w:delText xml:space="preserve"> farmacocinétic</w:delText>
        </w:r>
        <w:r>
          <w:rPr>
            <w:sz w:val="22"/>
            <w:szCs w:val="22"/>
          </w:rPr>
          <w:delText xml:space="preserve">a/farmacodinâmica previram exposição e eficácia comparáveis de </w:delText>
        </w:r>
        <w:r w:rsidRPr="00EA5D73">
          <w:rPr>
            <w:sz w:val="22"/>
            <w:szCs w:val="22"/>
          </w:rPr>
          <w:delText xml:space="preserve">adalimumab em </w:delText>
        </w:r>
        <w:r>
          <w:rPr>
            <w:sz w:val="22"/>
            <w:szCs w:val="22"/>
          </w:rPr>
          <w:delText>doentes</w:delText>
        </w:r>
        <w:r w:rsidRPr="00EA5D73">
          <w:rPr>
            <w:sz w:val="22"/>
            <w:szCs w:val="22"/>
          </w:rPr>
          <w:delText xml:space="preserve"> tratados com 80 mg em </w:delText>
        </w:r>
        <w:r>
          <w:rPr>
            <w:sz w:val="22"/>
            <w:szCs w:val="22"/>
          </w:rPr>
          <w:delText xml:space="preserve">semanas alternadas </w:delText>
        </w:r>
        <w:r w:rsidRPr="00192FD7">
          <w:rPr>
            <w:sz w:val="22"/>
            <w:szCs w:val="22"/>
          </w:rPr>
          <w:delText>comparativamente a 40 mg por semana (incluindo doentes adultos com artrite reumatoide, hidradenite supurativa, colite ulcerosa, doença de Crohn ou psoríase, doentes adolescentes com hidradenite supurativa, e doentes pediátricos ≥ 40 kg com doença de Crohn</w:delText>
        </w:r>
        <w:r w:rsidR="00F4016C">
          <w:rPr>
            <w:sz w:val="22"/>
            <w:szCs w:val="22"/>
          </w:rPr>
          <w:delText xml:space="preserve"> e colite ulcerosa</w:delText>
        </w:r>
        <w:r w:rsidRPr="00192FD7">
          <w:rPr>
            <w:sz w:val="22"/>
            <w:szCs w:val="22"/>
          </w:rPr>
          <w:delText>).</w:delText>
        </w:r>
      </w:del>
    </w:p>
    <w:p w14:paraId="7C581646" w14:textId="7ED4F756" w:rsidR="00954234" w:rsidRPr="00954234" w:rsidRDefault="00954234" w:rsidP="00F03C54">
      <w:pPr>
        <w:rPr>
          <w:del w:id="4109" w:author="AbbVie2" w:date="2025-05-13T16:36:00Z"/>
        </w:rPr>
      </w:pPr>
    </w:p>
    <w:p w14:paraId="5A5B6AD9" w14:textId="6316152D" w:rsidR="004462A0" w:rsidRPr="008912CF" w:rsidRDefault="00615769" w:rsidP="004462A0">
      <w:pPr>
        <w:rPr>
          <w:del w:id="4110" w:author="AbbVie2" w:date="2025-05-13T16:36:00Z"/>
          <w:sz w:val="22"/>
          <w:szCs w:val="22"/>
          <w:u w:val="single"/>
        </w:rPr>
      </w:pPr>
      <w:del w:id="4111" w:author="AbbVie2" w:date="2025-05-13T16:36:00Z">
        <w:r w:rsidRPr="008912CF">
          <w:rPr>
            <w:sz w:val="22"/>
            <w:szCs w:val="22"/>
            <w:u w:val="single"/>
          </w:rPr>
          <w:delText>Eliminação</w:delText>
        </w:r>
      </w:del>
    </w:p>
    <w:p w14:paraId="001EE492" w14:textId="61375908" w:rsidR="004462A0" w:rsidRPr="008912CF" w:rsidRDefault="004462A0" w:rsidP="004462A0">
      <w:pPr>
        <w:rPr>
          <w:del w:id="4112" w:author="AbbVie2" w:date="2025-05-13T16:36:00Z"/>
        </w:rPr>
      </w:pPr>
    </w:p>
    <w:p w14:paraId="3C33716F" w14:textId="7571DAB5" w:rsidR="004462A0" w:rsidRPr="008912CF" w:rsidRDefault="00615769" w:rsidP="004462A0">
      <w:pPr>
        <w:autoSpaceDE w:val="0"/>
        <w:autoSpaceDN w:val="0"/>
        <w:adjustRightInd w:val="0"/>
        <w:rPr>
          <w:del w:id="4113" w:author="AbbVie2" w:date="2025-05-13T16:36:00Z"/>
          <w:sz w:val="22"/>
          <w:szCs w:val="22"/>
        </w:rPr>
      </w:pPr>
      <w:del w:id="4114" w:author="AbbVie2" w:date="2025-05-13T16:36:00Z">
        <w:r w:rsidRPr="008912CF">
          <w:rPr>
            <w:sz w:val="22"/>
            <w:szCs w:val="22"/>
          </w:rPr>
          <w:delText>As análises de farmacocinética da população que incluíram dados relativos a mais de 1300 doentes com AR revelaram uma tendência para uma maior depuração aparente de adalimumab em função do aumento do peso corporal. Após um ajustamento em relação às diferenças de peso, o sexo e a idade pareceram exercer um efeito mínimo sobre a depuração de adalimumab. Verificou-se que os níveis séricos de adalimumab livre (não ligado aos anticorpos anti</w:delText>
        </w:r>
        <w:r w:rsidR="00840424">
          <w:rPr>
            <w:sz w:val="22"/>
            <w:szCs w:val="22"/>
          </w:rPr>
          <w:delText>-</w:delText>
        </w:r>
        <w:r w:rsidRPr="008912CF">
          <w:rPr>
            <w:sz w:val="22"/>
            <w:szCs w:val="22"/>
          </w:rPr>
          <w:delText>adalimumab, AAA) eram mais baixos nos doentes com AAA mensurável.</w:delText>
        </w:r>
      </w:del>
    </w:p>
    <w:p w14:paraId="1C93723D" w14:textId="2BE039AE" w:rsidR="004462A0" w:rsidRPr="008912CF" w:rsidRDefault="004462A0" w:rsidP="004462A0">
      <w:pPr>
        <w:tabs>
          <w:tab w:val="left" w:pos="2304"/>
          <w:tab w:val="left" w:pos="3024"/>
        </w:tabs>
        <w:autoSpaceDE w:val="0"/>
        <w:autoSpaceDN w:val="0"/>
        <w:adjustRightInd w:val="0"/>
        <w:rPr>
          <w:del w:id="4115" w:author="AbbVie2" w:date="2025-05-13T16:36:00Z"/>
          <w:sz w:val="22"/>
          <w:szCs w:val="22"/>
        </w:rPr>
      </w:pPr>
    </w:p>
    <w:p w14:paraId="5F9257E3" w14:textId="4326A288" w:rsidR="004462A0" w:rsidRPr="008912CF" w:rsidRDefault="00615769" w:rsidP="004462A0">
      <w:pPr>
        <w:rPr>
          <w:del w:id="4116" w:author="AbbVie2" w:date="2025-05-13T16:36:00Z"/>
          <w:bCs/>
          <w:iCs/>
          <w:sz w:val="22"/>
          <w:szCs w:val="22"/>
          <w:u w:val="single"/>
        </w:rPr>
      </w:pPr>
      <w:del w:id="4117" w:author="AbbVie2" w:date="2025-05-13T16:36:00Z">
        <w:r w:rsidRPr="008912CF">
          <w:rPr>
            <w:bCs/>
            <w:iCs/>
            <w:sz w:val="22"/>
            <w:szCs w:val="22"/>
            <w:u w:val="single"/>
          </w:rPr>
          <w:delText>Compromisso renal ou hepático</w:delText>
        </w:r>
      </w:del>
    </w:p>
    <w:p w14:paraId="0C42957B" w14:textId="3C362595" w:rsidR="004462A0" w:rsidRPr="008912CF" w:rsidRDefault="004462A0" w:rsidP="004462A0">
      <w:pPr>
        <w:rPr>
          <w:del w:id="4118" w:author="AbbVie2" w:date="2025-05-13T16:36:00Z"/>
          <w:b/>
          <w:iCs/>
          <w:sz w:val="22"/>
          <w:szCs w:val="22"/>
        </w:rPr>
      </w:pPr>
    </w:p>
    <w:p w14:paraId="716D4661" w14:textId="09BE2A0A" w:rsidR="004462A0" w:rsidRPr="008912CF" w:rsidRDefault="00615769" w:rsidP="004462A0">
      <w:pPr>
        <w:rPr>
          <w:del w:id="4119" w:author="AbbVie2" w:date="2025-05-13T16:36:00Z"/>
          <w:sz w:val="22"/>
          <w:szCs w:val="22"/>
        </w:rPr>
      </w:pPr>
      <w:del w:id="4120" w:author="AbbVie2" w:date="2025-05-13T16:36:00Z">
        <w:r w:rsidRPr="008912CF">
          <w:rPr>
            <w:bCs/>
            <w:iCs/>
            <w:sz w:val="22"/>
            <w:szCs w:val="22"/>
          </w:rPr>
          <w:delText>Humira não foi estudado em doentes com função renal ou hepática comprometida.</w:delText>
        </w:r>
      </w:del>
    </w:p>
    <w:p w14:paraId="0831E802" w14:textId="5F5F6692" w:rsidR="004462A0" w:rsidRPr="008912CF" w:rsidRDefault="004462A0" w:rsidP="004462A0">
      <w:pPr>
        <w:tabs>
          <w:tab w:val="left" w:pos="2304"/>
          <w:tab w:val="left" w:pos="3024"/>
        </w:tabs>
        <w:autoSpaceDE w:val="0"/>
        <w:autoSpaceDN w:val="0"/>
        <w:adjustRightInd w:val="0"/>
        <w:rPr>
          <w:del w:id="4121" w:author="AbbVie2" w:date="2025-05-13T16:36:00Z"/>
          <w:sz w:val="22"/>
          <w:szCs w:val="22"/>
        </w:rPr>
      </w:pPr>
    </w:p>
    <w:p w14:paraId="7D9E566F" w14:textId="0BC4ED13" w:rsidR="004462A0" w:rsidRPr="008912CF" w:rsidRDefault="00615769" w:rsidP="004462A0">
      <w:pPr>
        <w:tabs>
          <w:tab w:val="left" w:pos="2304"/>
          <w:tab w:val="left" w:pos="3024"/>
        </w:tabs>
        <w:autoSpaceDE w:val="0"/>
        <w:autoSpaceDN w:val="0"/>
        <w:adjustRightInd w:val="0"/>
        <w:ind w:left="567" w:hanging="567"/>
        <w:rPr>
          <w:del w:id="4122" w:author="AbbVie2" w:date="2025-05-13T16:36:00Z"/>
          <w:sz w:val="22"/>
          <w:szCs w:val="22"/>
        </w:rPr>
      </w:pPr>
      <w:del w:id="4123" w:author="AbbVie2" w:date="2025-05-13T16:36:00Z">
        <w:r w:rsidRPr="008912CF">
          <w:rPr>
            <w:b/>
            <w:sz w:val="22"/>
            <w:szCs w:val="22"/>
          </w:rPr>
          <w:delText>5.3</w:delText>
        </w:r>
        <w:r w:rsidRPr="008912CF">
          <w:rPr>
            <w:b/>
            <w:sz w:val="22"/>
            <w:szCs w:val="22"/>
          </w:rPr>
          <w:tab/>
          <w:delText xml:space="preserve">Dados de segurança pré-clínica </w:delText>
        </w:r>
      </w:del>
    </w:p>
    <w:p w14:paraId="3E66EBFE" w14:textId="1CC79DD0" w:rsidR="004462A0" w:rsidRPr="008912CF" w:rsidRDefault="004462A0" w:rsidP="004462A0">
      <w:pPr>
        <w:pStyle w:val="EndnoteText"/>
        <w:tabs>
          <w:tab w:val="clear" w:pos="567"/>
        </w:tabs>
        <w:rPr>
          <w:del w:id="4124" w:author="AbbVie2" w:date="2025-05-13T16:36:00Z"/>
          <w:szCs w:val="22"/>
        </w:rPr>
      </w:pPr>
    </w:p>
    <w:p w14:paraId="0D7838EE" w14:textId="4B3747E9" w:rsidR="00E7501D" w:rsidRPr="008912CF" w:rsidRDefault="00615769" w:rsidP="00E7501D">
      <w:pPr>
        <w:autoSpaceDE w:val="0"/>
        <w:autoSpaceDN w:val="0"/>
        <w:adjustRightInd w:val="0"/>
        <w:rPr>
          <w:del w:id="4125" w:author="AbbVie2" w:date="2025-05-13T16:36:00Z"/>
          <w:sz w:val="22"/>
          <w:szCs w:val="22"/>
        </w:rPr>
      </w:pPr>
      <w:del w:id="4126" w:author="AbbVie2" w:date="2025-05-13T16:36:00Z">
        <w:r>
          <w:rPr>
            <w:sz w:val="22"/>
            <w:szCs w:val="22"/>
          </w:rPr>
          <w:delText>Os dados não clínicos não revelam riscos</w:delText>
        </w:r>
        <w:r w:rsidRPr="008912CF">
          <w:rPr>
            <w:sz w:val="22"/>
            <w:szCs w:val="22"/>
          </w:rPr>
          <w:delText xml:space="preserve"> especia</w:delText>
        </w:r>
        <w:r>
          <w:rPr>
            <w:sz w:val="22"/>
            <w:szCs w:val="22"/>
          </w:rPr>
          <w:delText>is</w:delText>
        </w:r>
        <w:r w:rsidRPr="008912CF">
          <w:rPr>
            <w:sz w:val="22"/>
            <w:szCs w:val="22"/>
          </w:rPr>
          <w:delText xml:space="preserve"> para o ser humano</w:delText>
        </w:r>
        <w:r>
          <w:rPr>
            <w:sz w:val="22"/>
            <w:szCs w:val="22"/>
          </w:rPr>
          <w:delText>, segundo estudos convencionais de toxicidade de dose única, toxicidade de dose repetida e genotoxicidade</w:delText>
        </w:r>
        <w:r w:rsidRPr="008912CF">
          <w:rPr>
            <w:sz w:val="22"/>
            <w:szCs w:val="22"/>
          </w:rPr>
          <w:delText xml:space="preserve">. </w:delText>
        </w:r>
      </w:del>
    </w:p>
    <w:p w14:paraId="582CCB24" w14:textId="22CE9541" w:rsidR="004462A0" w:rsidRPr="008912CF" w:rsidRDefault="004462A0" w:rsidP="004462A0">
      <w:pPr>
        <w:autoSpaceDE w:val="0"/>
        <w:autoSpaceDN w:val="0"/>
        <w:adjustRightInd w:val="0"/>
        <w:rPr>
          <w:del w:id="4127" w:author="AbbVie2" w:date="2025-05-13T16:36:00Z"/>
          <w:sz w:val="22"/>
          <w:szCs w:val="22"/>
        </w:rPr>
      </w:pPr>
    </w:p>
    <w:p w14:paraId="497A0543" w14:textId="01E8D509" w:rsidR="004462A0" w:rsidRPr="008912CF" w:rsidRDefault="00615769" w:rsidP="004462A0">
      <w:pPr>
        <w:autoSpaceDE w:val="0"/>
        <w:autoSpaceDN w:val="0"/>
        <w:adjustRightInd w:val="0"/>
        <w:rPr>
          <w:del w:id="4128" w:author="AbbVie2" w:date="2025-05-13T16:36:00Z"/>
          <w:b/>
          <w:sz w:val="22"/>
          <w:szCs w:val="22"/>
        </w:rPr>
      </w:pPr>
      <w:del w:id="4129" w:author="AbbVie2" w:date="2025-05-13T16:36:00Z">
        <w:r w:rsidRPr="008912CF">
          <w:rPr>
            <w:sz w:val="22"/>
            <w:szCs w:val="22"/>
          </w:rPr>
          <w:delText>Um estudo de toxicidade do desenvolvimento embrio-fetal/desenvolvimento perinatal, efetuado em macacos cynomolgus com doses de 0,</w:delText>
        </w:r>
        <w:r w:rsidR="00E7501D">
          <w:rPr>
            <w:sz w:val="22"/>
            <w:szCs w:val="22"/>
          </w:rPr>
          <w:delText xml:space="preserve"> </w:delText>
        </w:r>
        <w:r w:rsidRPr="008912CF">
          <w:rPr>
            <w:sz w:val="22"/>
            <w:szCs w:val="22"/>
          </w:rPr>
          <w:delText>30 e 100 mg/kg (9</w:delText>
        </w:r>
        <w:r w:rsidRPr="008912CF">
          <w:rPr>
            <w:sz w:val="22"/>
            <w:szCs w:val="22"/>
          </w:rPr>
          <w:noBreakHyphen/>
          <w:delText>17 macacos/grupo), não revelou qualquer evidência de lesão fetal resultante d</w:delText>
        </w:r>
        <w:r w:rsidR="003A4C51">
          <w:rPr>
            <w:sz w:val="22"/>
            <w:szCs w:val="22"/>
          </w:rPr>
          <w:delText>e</w:delText>
        </w:r>
        <w:r w:rsidRPr="008912CF">
          <w:rPr>
            <w:sz w:val="22"/>
            <w:szCs w:val="22"/>
          </w:rPr>
          <w:delText xml:space="preserve"> adalimumab. Não foram efetuados estudos de carcinogenicidade nem avaliações de rotina da fertilidade e da toxicidade pós-natal de adalimumab devido à ausência de modelos apropriados para um anticorpo com reatividade cruzada limitada ao TNF em roedores e ao desenvolvimento de anticorpos neutraliza</w:delText>
        </w:r>
        <w:r w:rsidR="00E7501D">
          <w:rPr>
            <w:sz w:val="22"/>
            <w:szCs w:val="22"/>
          </w:rPr>
          <w:delText>ntes</w:delText>
        </w:r>
        <w:r w:rsidRPr="008912CF">
          <w:rPr>
            <w:sz w:val="22"/>
            <w:szCs w:val="22"/>
          </w:rPr>
          <w:delText xml:space="preserve"> em roedores. </w:delText>
        </w:r>
      </w:del>
    </w:p>
    <w:p w14:paraId="6928A55E" w14:textId="5C417589" w:rsidR="004462A0" w:rsidRPr="008912CF" w:rsidRDefault="004462A0" w:rsidP="004462A0">
      <w:pPr>
        <w:tabs>
          <w:tab w:val="left" w:pos="2310"/>
        </w:tabs>
        <w:rPr>
          <w:del w:id="4130" w:author="AbbVie2" w:date="2025-05-13T16:36:00Z"/>
          <w:sz w:val="22"/>
          <w:szCs w:val="22"/>
        </w:rPr>
      </w:pPr>
    </w:p>
    <w:p w14:paraId="575CF2AB" w14:textId="5646FC9C" w:rsidR="004462A0" w:rsidRPr="008912CF" w:rsidRDefault="004462A0" w:rsidP="004462A0">
      <w:pPr>
        <w:tabs>
          <w:tab w:val="left" w:pos="2310"/>
        </w:tabs>
        <w:rPr>
          <w:del w:id="4131" w:author="AbbVie2" w:date="2025-05-13T16:36:00Z"/>
          <w:sz w:val="22"/>
          <w:szCs w:val="22"/>
        </w:rPr>
      </w:pPr>
    </w:p>
    <w:p w14:paraId="23D67D10" w14:textId="0411A5B8" w:rsidR="004462A0" w:rsidRPr="008912CF" w:rsidRDefault="00615769" w:rsidP="004462A0">
      <w:pPr>
        <w:ind w:left="567" w:hanging="567"/>
        <w:rPr>
          <w:del w:id="4132" w:author="AbbVie2" w:date="2025-05-13T16:36:00Z"/>
          <w:b/>
          <w:sz w:val="22"/>
          <w:szCs w:val="22"/>
        </w:rPr>
      </w:pPr>
      <w:del w:id="4133" w:author="AbbVie2" w:date="2025-05-13T16:36:00Z">
        <w:r w:rsidRPr="008912CF">
          <w:rPr>
            <w:b/>
            <w:sz w:val="22"/>
            <w:szCs w:val="22"/>
          </w:rPr>
          <w:delText>6.</w:delText>
        </w:r>
        <w:r w:rsidRPr="008912CF">
          <w:rPr>
            <w:b/>
            <w:sz w:val="22"/>
            <w:szCs w:val="22"/>
          </w:rPr>
          <w:tab/>
          <w:delText xml:space="preserve">INFORMAÇÕES FARMACÊUTICAS </w:delText>
        </w:r>
      </w:del>
    </w:p>
    <w:p w14:paraId="76889AB6" w14:textId="340F3B84" w:rsidR="004462A0" w:rsidRPr="008912CF" w:rsidRDefault="004462A0" w:rsidP="004462A0">
      <w:pPr>
        <w:rPr>
          <w:del w:id="4134" w:author="AbbVie2" w:date="2025-05-13T16:36:00Z"/>
          <w:sz w:val="22"/>
          <w:szCs w:val="22"/>
        </w:rPr>
      </w:pPr>
    </w:p>
    <w:p w14:paraId="71A43864" w14:textId="7133B022" w:rsidR="004462A0" w:rsidRPr="008912CF" w:rsidRDefault="00615769" w:rsidP="004462A0">
      <w:pPr>
        <w:ind w:left="567" w:hanging="567"/>
        <w:rPr>
          <w:del w:id="4135" w:author="AbbVie2" w:date="2025-05-13T16:36:00Z"/>
          <w:b/>
          <w:sz w:val="22"/>
          <w:szCs w:val="22"/>
          <w:highlight w:val="yellow"/>
        </w:rPr>
      </w:pPr>
      <w:del w:id="4136" w:author="AbbVie2" w:date="2025-05-13T16:36:00Z">
        <w:r w:rsidRPr="008912CF">
          <w:rPr>
            <w:b/>
            <w:sz w:val="22"/>
            <w:szCs w:val="22"/>
          </w:rPr>
          <w:delText>6.1</w:delText>
        </w:r>
        <w:r w:rsidRPr="008912CF">
          <w:rPr>
            <w:b/>
            <w:sz w:val="22"/>
            <w:szCs w:val="22"/>
          </w:rPr>
          <w:tab/>
          <w:delText xml:space="preserve">Lista dos excipientes </w:delText>
        </w:r>
      </w:del>
    </w:p>
    <w:p w14:paraId="44145355" w14:textId="66F8EB8E" w:rsidR="004462A0" w:rsidRPr="008912CF" w:rsidRDefault="004462A0" w:rsidP="004462A0">
      <w:pPr>
        <w:autoSpaceDE w:val="0"/>
        <w:autoSpaceDN w:val="0"/>
        <w:adjustRightInd w:val="0"/>
        <w:rPr>
          <w:del w:id="4137" w:author="AbbVie2" w:date="2025-05-13T16:36:00Z"/>
          <w:b/>
          <w:sz w:val="22"/>
          <w:szCs w:val="22"/>
        </w:rPr>
      </w:pPr>
    </w:p>
    <w:p w14:paraId="5ACDB939" w14:textId="7E2D06AD" w:rsidR="004462A0" w:rsidRPr="008912CF" w:rsidRDefault="00615769" w:rsidP="004462A0">
      <w:pPr>
        <w:autoSpaceDE w:val="0"/>
        <w:autoSpaceDN w:val="0"/>
        <w:adjustRightInd w:val="0"/>
        <w:rPr>
          <w:del w:id="4138" w:author="AbbVie2" w:date="2025-05-13T16:36:00Z"/>
          <w:sz w:val="22"/>
          <w:szCs w:val="22"/>
        </w:rPr>
      </w:pPr>
      <w:del w:id="4139" w:author="AbbVie2" w:date="2025-05-13T16:36:00Z">
        <w:r w:rsidRPr="008912CF">
          <w:rPr>
            <w:sz w:val="22"/>
            <w:szCs w:val="22"/>
          </w:rPr>
          <w:delText>Manitol</w:delText>
        </w:r>
      </w:del>
    </w:p>
    <w:p w14:paraId="21479547" w14:textId="07B598A5" w:rsidR="004462A0" w:rsidRPr="008912CF" w:rsidRDefault="00615769" w:rsidP="004462A0">
      <w:pPr>
        <w:autoSpaceDE w:val="0"/>
        <w:autoSpaceDN w:val="0"/>
        <w:adjustRightInd w:val="0"/>
        <w:rPr>
          <w:del w:id="4140" w:author="AbbVie2" w:date="2025-05-13T16:36:00Z"/>
          <w:sz w:val="22"/>
          <w:szCs w:val="22"/>
        </w:rPr>
      </w:pPr>
      <w:del w:id="4141" w:author="AbbVie2" w:date="2025-05-13T16:36:00Z">
        <w:r w:rsidRPr="008912CF">
          <w:rPr>
            <w:sz w:val="22"/>
            <w:szCs w:val="22"/>
          </w:rPr>
          <w:delText xml:space="preserve">Ácido cítrico mono-hidratado </w:delText>
        </w:r>
      </w:del>
    </w:p>
    <w:p w14:paraId="523688E7" w14:textId="0F5ECCA3" w:rsidR="004462A0" w:rsidRPr="008912CF" w:rsidRDefault="00615769" w:rsidP="004462A0">
      <w:pPr>
        <w:autoSpaceDE w:val="0"/>
        <w:autoSpaceDN w:val="0"/>
        <w:adjustRightInd w:val="0"/>
        <w:rPr>
          <w:del w:id="4142" w:author="AbbVie2" w:date="2025-05-13T16:36:00Z"/>
          <w:sz w:val="22"/>
          <w:szCs w:val="22"/>
        </w:rPr>
      </w:pPr>
      <w:del w:id="4143" w:author="AbbVie2" w:date="2025-05-13T16:36:00Z">
        <w:r w:rsidRPr="008912CF">
          <w:rPr>
            <w:sz w:val="22"/>
            <w:szCs w:val="22"/>
          </w:rPr>
          <w:delText xml:space="preserve">Citrato de sódio </w:delText>
        </w:r>
      </w:del>
    </w:p>
    <w:p w14:paraId="112EE408" w14:textId="3E3CEF27" w:rsidR="004462A0" w:rsidRPr="008912CF" w:rsidRDefault="00615769" w:rsidP="004462A0">
      <w:pPr>
        <w:autoSpaceDE w:val="0"/>
        <w:autoSpaceDN w:val="0"/>
        <w:adjustRightInd w:val="0"/>
        <w:rPr>
          <w:del w:id="4144" w:author="AbbVie2" w:date="2025-05-13T16:36:00Z"/>
          <w:sz w:val="22"/>
          <w:szCs w:val="22"/>
        </w:rPr>
      </w:pPr>
      <w:del w:id="4145" w:author="AbbVie2" w:date="2025-05-13T16:36:00Z">
        <w:r w:rsidRPr="008912CF">
          <w:rPr>
            <w:sz w:val="22"/>
            <w:szCs w:val="22"/>
          </w:rPr>
          <w:delText>Fosfato monossódico di-hidratado</w:delText>
        </w:r>
      </w:del>
    </w:p>
    <w:p w14:paraId="4EEEBFC7" w14:textId="60CB23B3" w:rsidR="004462A0" w:rsidRPr="008912CF" w:rsidRDefault="00615769" w:rsidP="004462A0">
      <w:pPr>
        <w:autoSpaceDE w:val="0"/>
        <w:autoSpaceDN w:val="0"/>
        <w:adjustRightInd w:val="0"/>
        <w:rPr>
          <w:del w:id="4146" w:author="AbbVie2" w:date="2025-05-13T16:36:00Z"/>
          <w:sz w:val="22"/>
          <w:szCs w:val="22"/>
        </w:rPr>
      </w:pPr>
      <w:del w:id="4147" w:author="AbbVie2" w:date="2025-05-13T16:36:00Z">
        <w:r w:rsidRPr="008912CF">
          <w:rPr>
            <w:sz w:val="22"/>
            <w:szCs w:val="22"/>
          </w:rPr>
          <w:delText xml:space="preserve">Fosfato dissódico di-hidratado </w:delText>
        </w:r>
      </w:del>
    </w:p>
    <w:p w14:paraId="384009F6" w14:textId="765D34CD" w:rsidR="004462A0" w:rsidRPr="008912CF" w:rsidRDefault="00615769" w:rsidP="004462A0">
      <w:pPr>
        <w:autoSpaceDE w:val="0"/>
        <w:autoSpaceDN w:val="0"/>
        <w:adjustRightInd w:val="0"/>
        <w:rPr>
          <w:del w:id="4148" w:author="AbbVie2" w:date="2025-05-13T16:36:00Z"/>
          <w:sz w:val="22"/>
          <w:szCs w:val="22"/>
        </w:rPr>
      </w:pPr>
      <w:del w:id="4149" w:author="AbbVie2" w:date="2025-05-13T16:36:00Z">
        <w:r w:rsidRPr="008912CF">
          <w:rPr>
            <w:sz w:val="22"/>
            <w:szCs w:val="22"/>
          </w:rPr>
          <w:delText xml:space="preserve">Cloreto de sódio </w:delText>
        </w:r>
      </w:del>
    </w:p>
    <w:p w14:paraId="0BCB05F3" w14:textId="022F677F" w:rsidR="004462A0" w:rsidRPr="008912CF" w:rsidRDefault="00615769" w:rsidP="004462A0">
      <w:pPr>
        <w:autoSpaceDE w:val="0"/>
        <w:autoSpaceDN w:val="0"/>
        <w:adjustRightInd w:val="0"/>
        <w:rPr>
          <w:del w:id="4150" w:author="AbbVie2" w:date="2025-05-13T16:36:00Z"/>
          <w:sz w:val="22"/>
          <w:szCs w:val="22"/>
        </w:rPr>
      </w:pPr>
      <w:del w:id="4151" w:author="AbbVie2" w:date="2025-05-13T16:36:00Z">
        <w:r w:rsidRPr="008912CF">
          <w:rPr>
            <w:sz w:val="22"/>
            <w:szCs w:val="22"/>
          </w:rPr>
          <w:delText>Polissorbato 80</w:delText>
        </w:r>
      </w:del>
    </w:p>
    <w:p w14:paraId="06AFFE1E" w14:textId="385A419C" w:rsidR="004462A0" w:rsidRPr="008912CF" w:rsidRDefault="00615769" w:rsidP="004462A0">
      <w:pPr>
        <w:autoSpaceDE w:val="0"/>
        <w:autoSpaceDN w:val="0"/>
        <w:adjustRightInd w:val="0"/>
        <w:rPr>
          <w:del w:id="4152" w:author="AbbVie2" w:date="2025-05-13T16:36:00Z"/>
          <w:sz w:val="22"/>
          <w:szCs w:val="22"/>
        </w:rPr>
      </w:pPr>
      <w:del w:id="4153" w:author="AbbVie2" w:date="2025-05-13T16:36:00Z">
        <w:r w:rsidRPr="008912CF">
          <w:rPr>
            <w:sz w:val="22"/>
            <w:szCs w:val="22"/>
          </w:rPr>
          <w:delText xml:space="preserve">Hidróxido de sódio </w:delText>
        </w:r>
      </w:del>
    </w:p>
    <w:p w14:paraId="28B47946" w14:textId="375DD2A9" w:rsidR="004462A0" w:rsidRPr="008912CF" w:rsidRDefault="00615769" w:rsidP="004462A0">
      <w:pPr>
        <w:autoSpaceDE w:val="0"/>
        <w:autoSpaceDN w:val="0"/>
        <w:adjustRightInd w:val="0"/>
        <w:rPr>
          <w:del w:id="4154" w:author="AbbVie2" w:date="2025-05-13T16:36:00Z"/>
          <w:sz w:val="22"/>
          <w:szCs w:val="22"/>
        </w:rPr>
      </w:pPr>
      <w:del w:id="4155" w:author="AbbVie2" w:date="2025-05-13T16:36:00Z">
        <w:r w:rsidRPr="008912CF">
          <w:rPr>
            <w:sz w:val="22"/>
            <w:szCs w:val="22"/>
          </w:rPr>
          <w:delText xml:space="preserve">Água para preparações injetáveis </w:delText>
        </w:r>
      </w:del>
    </w:p>
    <w:p w14:paraId="2E9D4AFF" w14:textId="25676973" w:rsidR="004462A0" w:rsidRPr="008912CF" w:rsidRDefault="004462A0" w:rsidP="004462A0">
      <w:pPr>
        <w:autoSpaceDE w:val="0"/>
        <w:autoSpaceDN w:val="0"/>
        <w:adjustRightInd w:val="0"/>
        <w:rPr>
          <w:del w:id="4156" w:author="AbbVie2" w:date="2025-05-13T16:36:00Z"/>
          <w:b/>
          <w:sz w:val="22"/>
          <w:szCs w:val="22"/>
        </w:rPr>
      </w:pPr>
    </w:p>
    <w:p w14:paraId="6352E6EF" w14:textId="76405B19" w:rsidR="004462A0" w:rsidRPr="008912CF" w:rsidRDefault="00615769" w:rsidP="004462A0">
      <w:pPr>
        <w:ind w:left="567" w:hanging="567"/>
        <w:rPr>
          <w:del w:id="4157" w:author="AbbVie2" w:date="2025-05-13T16:36:00Z"/>
          <w:sz w:val="22"/>
          <w:szCs w:val="22"/>
        </w:rPr>
      </w:pPr>
      <w:del w:id="4158" w:author="AbbVie2" w:date="2025-05-13T16:36:00Z">
        <w:r w:rsidRPr="008912CF">
          <w:rPr>
            <w:b/>
            <w:sz w:val="22"/>
            <w:szCs w:val="22"/>
          </w:rPr>
          <w:delText>6.2</w:delText>
        </w:r>
        <w:r w:rsidRPr="008912CF">
          <w:rPr>
            <w:b/>
            <w:sz w:val="22"/>
            <w:szCs w:val="22"/>
          </w:rPr>
          <w:tab/>
          <w:delText xml:space="preserve">Incompatibilidades </w:delText>
        </w:r>
      </w:del>
    </w:p>
    <w:p w14:paraId="7E7257E8" w14:textId="1DF3CA77" w:rsidR="004462A0" w:rsidRPr="008912CF" w:rsidRDefault="004462A0" w:rsidP="004462A0">
      <w:pPr>
        <w:rPr>
          <w:del w:id="4159" w:author="AbbVie2" w:date="2025-05-13T16:36:00Z"/>
          <w:sz w:val="22"/>
          <w:szCs w:val="22"/>
        </w:rPr>
      </w:pPr>
    </w:p>
    <w:p w14:paraId="03A34D81" w14:textId="75CE365B" w:rsidR="004462A0" w:rsidRPr="008912CF" w:rsidRDefault="00615769" w:rsidP="004462A0">
      <w:pPr>
        <w:rPr>
          <w:del w:id="4160" w:author="AbbVie2" w:date="2025-05-13T16:36:00Z"/>
          <w:sz w:val="22"/>
          <w:szCs w:val="22"/>
        </w:rPr>
      </w:pPr>
      <w:del w:id="4161" w:author="AbbVie2" w:date="2025-05-13T16:36:00Z">
        <w:r w:rsidRPr="008912CF">
          <w:rPr>
            <w:sz w:val="22"/>
            <w:szCs w:val="22"/>
          </w:rPr>
          <w:delText xml:space="preserve">Na ausência de estudos de compatibilidade, este medicamento não </w:delText>
        </w:r>
        <w:r w:rsidR="00372684">
          <w:rPr>
            <w:sz w:val="22"/>
            <w:szCs w:val="22"/>
          </w:rPr>
          <w:delText>pode</w:delText>
        </w:r>
        <w:r w:rsidR="00372684" w:rsidRPr="008912CF">
          <w:rPr>
            <w:sz w:val="22"/>
            <w:szCs w:val="22"/>
          </w:rPr>
          <w:delText xml:space="preserve"> </w:delText>
        </w:r>
        <w:r w:rsidRPr="008912CF">
          <w:rPr>
            <w:sz w:val="22"/>
            <w:szCs w:val="22"/>
          </w:rPr>
          <w:delText>ser misturado com outros medicamentos.</w:delText>
        </w:r>
      </w:del>
    </w:p>
    <w:p w14:paraId="2AE108D5" w14:textId="03083580" w:rsidR="004462A0" w:rsidRPr="008912CF" w:rsidRDefault="004462A0" w:rsidP="004462A0">
      <w:pPr>
        <w:ind w:left="567" w:hanging="567"/>
        <w:rPr>
          <w:del w:id="4162" w:author="AbbVie2" w:date="2025-05-13T16:36:00Z"/>
          <w:b/>
          <w:sz w:val="22"/>
          <w:szCs w:val="22"/>
        </w:rPr>
      </w:pPr>
    </w:p>
    <w:p w14:paraId="161CAB59" w14:textId="2E521064" w:rsidR="004462A0" w:rsidRPr="008912CF" w:rsidRDefault="00615769" w:rsidP="003D66D7">
      <w:pPr>
        <w:keepNext/>
        <w:ind w:left="567" w:hanging="567"/>
        <w:rPr>
          <w:del w:id="4163" w:author="AbbVie2" w:date="2025-05-13T16:36:00Z"/>
          <w:sz w:val="22"/>
          <w:szCs w:val="22"/>
        </w:rPr>
      </w:pPr>
      <w:del w:id="4164" w:author="AbbVie2" w:date="2025-05-13T16:36:00Z">
        <w:r w:rsidRPr="008912CF">
          <w:rPr>
            <w:b/>
            <w:sz w:val="22"/>
            <w:szCs w:val="22"/>
          </w:rPr>
          <w:delText>6.3</w:delText>
        </w:r>
        <w:r w:rsidRPr="008912CF">
          <w:rPr>
            <w:b/>
            <w:sz w:val="22"/>
            <w:szCs w:val="22"/>
          </w:rPr>
          <w:tab/>
          <w:delText xml:space="preserve">Prazo de validade </w:delText>
        </w:r>
      </w:del>
    </w:p>
    <w:p w14:paraId="64E6323F" w14:textId="1D4B94F0" w:rsidR="004462A0" w:rsidRPr="008912CF" w:rsidRDefault="004462A0" w:rsidP="003D66D7">
      <w:pPr>
        <w:keepNext/>
        <w:rPr>
          <w:del w:id="4165" w:author="AbbVie2" w:date="2025-05-13T16:36:00Z"/>
          <w:sz w:val="22"/>
          <w:szCs w:val="22"/>
        </w:rPr>
      </w:pPr>
    </w:p>
    <w:p w14:paraId="6E228E93" w14:textId="6DB9A0C8" w:rsidR="004462A0" w:rsidRPr="008912CF" w:rsidRDefault="00615769" w:rsidP="003D66D7">
      <w:pPr>
        <w:keepNext/>
        <w:rPr>
          <w:del w:id="4166" w:author="AbbVie2" w:date="2025-05-13T16:36:00Z"/>
          <w:sz w:val="22"/>
          <w:szCs w:val="22"/>
        </w:rPr>
      </w:pPr>
      <w:del w:id="4167" w:author="AbbVie2" w:date="2025-05-13T16:36:00Z">
        <w:r>
          <w:rPr>
            <w:sz w:val="22"/>
            <w:szCs w:val="22"/>
          </w:rPr>
          <w:delText>2 anos</w:delText>
        </w:r>
      </w:del>
    </w:p>
    <w:p w14:paraId="3EC488A0" w14:textId="055A03E2" w:rsidR="004462A0" w:rsidRPr="008912CF" w:rsidRDefault="004462A0" w:rsidP="004462A0">
      <w:pPr>
        <w:rPr>
          <w:del w:id="4168" w:author="AbbVie2" w:date="2025-05-13T16:36:00Z"/>
          <w:sz w:val="22"/>
          <w:szCs w:val="22"/>
        </w:rPr>
      </w:pPr>
    </w:p>
    <w:p w14:paraId="14BA3945" w14:textId="747E4903" w:rsidR="004462A0" w:rsidRPr="008912CF" w:rsidRDefault="00615769" w:rsidP="00F8037C">
      <w:pPr>
        <w:keepNext/>
        <w:jc w:val="both"/>
        <w:rPr>
          <w:del w:id="4169" w:author="AbbVie2" w:date="2025-05-13T16:36:00Z"/>
          <w:sz w:val="22"/>
          <w:szCs w:val="22"/>
        </w:rPr>
      </w:pPr>
      <w:del w:id="4170" w:author="AbbVie2" w:date="2025-05-13T16:36:00Z">
        <w:r w:rsidRPr="008912CF">
          <w:rPr>
            <w:b/>
            <w:sz w:val="22"/>
            <w:szCs w:val="22"/>
          </w:rPr>
          <w:delText>6.4</w:delText>
        </w:r>
        <w:r w:rsidRPr="008912CF">
          <w:rPr>
            <w:b/>
            <w:sz w:val="22"/>
            <w:szCs w:val="22"/>
          </w:rPr>
          <w:tab/>
          <w:delText>Precauções especiais de conservação</w:delText>
        </w:r>
      </w:del>
    </w:p>
    <w:p w14:paraId="4733C90F" w14:textId="2BC3DF31" w:rsidR="004462A0" w:rsidRPr="008912CF" w:rsidRDefault="004462A0" w:rsidP="00F8037C">
      <w:pPr>
        <w:keepNext/>
        <w:rPr>
          <w:del w:id="4171" w:author="AbbVie2" w:date="2025-05-13T16:36:00Z"/>
          <w:sz w:val="22"/>
          <w:szCs w:val="22"/>
        </w:rPr>
      </w:pPr>
    </w:p>
    <w:p w14:paraId="28B518BF" w14:textId="7534DCAA" w:rsidR="004462A0" w:rsidRPr="008912CF" w:rsidRDefault="00615769" w:rsidP="00F8037C">
      <w:pPr>
        <w:keepNext/>
        <w:rPr>
          <w:del w:id="4172" w:author="AbbVie2" w:date="2025-05-13T16:36:00Z"/>
          <w:sz w:val="22"/>
          <w:szCs w:val="22"/>
        </w:rPr>
      </w:pPr>
      <w:del w:id="4173" w:author="AbbVie2" w:date="2025-05-13T16:36:00Z">
        <w:r w:rsidRPr="008912CF">
          <w:rPr>
            <w:sz w:val="22"/>
            <w:szCs w:val="22"/>
          </w:rPr>
          <w:delText xml:space="preserve">Conservar no frigorífico </w:delText>
        </w:r>
        <w:r w:rsidR="00184BF5">
          <w:rPr>
            <w:sz w:val="22"/>
            <w:szCs w:val="22"/>
          </w:rPr>
          <w:delText>(2º</w:delText>
        </w:r>
        <w:r w:rsidR="00AA2EEA">
          <w:rPr>
            <w:sz w:val="22"/>
            <w:szCs w:val="22"/>
          </w:rPr>
          <w:delText xml:space="preserve"> </w:delText>
        </w:r>
        <w:r w:rsidR="00184BF5" w:rsidRPr="008912CF">
          <w:rPr>
            <w:sz w:val="22"/>
            <w:szCs w:val="22"/>
          </w:rPr>
          <w:delText>C</w:delText>
        </w:r>
        <w:r w:rsidR="00184BF5">
          <w:rPr>
            <w:sz w:val="22"/>
            <w:szCs w:val="22"/>
          </w:rPr>
          <w:delText xml:space="preserve"> – </w:delText>
        </w:r>
        <w:r w:rsidR="00184BF5" w:rsidRPr="008912CF">
          <w:rPr>
            <w:sz w:val="22"/>
            <w:szCs w:val="22"/>
          </w:rPr>
          <w:delText>8</w:delText>
        </w:r>
        <w:r w:rsidR="00184BF5">
          <w:rPr>
            <w:sz w:val="22"/>
            <w:szCs w:val="22"/>
          </w:rPr>
          <w:delText>º</w:delText>
        </w:r>
        <w:r w:rsidR="00AA2EEA">
          <w:rPr>
            <w:sz w:val="22"/>
            <w:szCs w:val="22"/>
          </w:rPr>
          <w:delText xml:space="preserve"> </w:delText>
        </w:r>
        <w:r w:rsidR="00184BF5" w:rsidRPr="008912CF">
          <w:rPr>
            <w:sz w:val="22"/>
            <w:szCs w:val="22"/>
          </w:rPr>
          <w:delText>C)</w:delText>
        </w:r>
        <w:r w:rsidRPr="008912CF">
          <w:rPr>
            <w:sz w:val="22"/>
            <w:szCs w:val="22"/>
          </w:rPr>
          <w:delText xml:space="preserve">. Não congelar. Manter o frasco para injetáveis dentro da </w:delText>
        </w:r>
        <w:r w:rsidR="00D93157">
          <w:rPr>
            <w:sz w:val="22"/>
            <w:szCs w:val="22"/>
          </w:rPr>
          <w:delText xml:space="preserve">sua </w:delText>
        </w:r>
        <w:r w:rsidRPr="008912CF">
          <w:rPr>
            <w:sz w:val="22"/>
            <w:szCs w:val="22"/>
          </w:rPr>
          <w:delText>embalagem exterior para proteger da luz.</w:delText>
        </w:r>
      </w:del>
    </w:p>
    <w:p w14:paraId="46831820" w14:textId="0802624B" w:rsidR="004462A0" w:rsidRPr="008912CF" w:rsidRDefault="004462A0" w:rsidP="004462A0">
      <w:pPr>
        <w:rPr>
          <w:del w:id="4174" w:author="AbbVie2" w:date="2025-05-13T16:36:00Z"/>
          <w:sz w:val="22"/>
          <w:szCs w:val="22"/>
        </w:rPr>
      </w:pPr>
    </w:p>
    <w:p w14:paraId="2E415B11" w14:textId="2A12B41F" w:rsidR="004462A0" w:rsidRPr="008912CF" w:rsidRDefault="00615769" w:rsidP="004462A0">
      <w:pPr>
        <w:ind w:left="567" w:hanging="567"/>
        <w:rPr>
          <w:del w:id="4175" w:author="AbbVie2" w:date="2025-05-13T16:36:00Z"/>
          <w:sz w:val="22"/>
          <w:szCs w:val="22"/>
        </w:rPr>
      </w:pPr>
      <w:del w:id="4176" w:author="AbbVie2" w:date="2025-05-13T16:36:00Z">
        <w:r w:rsidRPr="008912CF">
          <w:rPr>
            <w:b/>
            <w:sz w:val="22"/>
            <w:szCs w:val="22"/>
          </w:rPr>
          <w:delText>6.5</w:delText>
        </w:r>
        <w:r w:rsidRPr="008912CF">
          <w:rPr>
            <w:b/>
            <w:sz w:val="22"/>
            <w:szCs w:val="22"/>
          </w:rPr>
          <w:tab/>
          <w:delText xml:space="preserve">Natureza e conteúdo do recipiente </w:delText>
        </w:r>
      </w:del>
    </w:p>
    <w:p w14:paraId="1C4F740B" w14:textId="2A94E341" w:rsidR="004462A0" w:rsidRPr="008912CF" w:rsidRDefault="004462A0" w:rsidP="004462A0">
      <w:pPr>
        <w:rPr>
          <w:del w:id="4177" w:author="AbbVie2" w:date="2025-05-13T16:36:00Z"/>
          <w:sz w:val="22"/>
          <w:szCs w:val="22"/>
        </w:rPr>
      </w:pPr>
    </w:p>
    <w:p w14:paraId="2F238DCF" w14:textId="1DF3CECB" w:rsidR="004462A0" w:rsidRPr="008912CF" w:rsidRDefault="00615769" w:rsidP="004462A0">
      <w:pPr>
        <w:rPr>
          <w:del w:id="4178" w:author="AbbVie2" w:date="2025-05-13T16:36:00Z"/>
          <w:sz w:val="22"/>
          <w:szCs w:val="22"/>
        </w:rPr>
      </w:pPr>
      <w:del w:id="4179" w:author="AbbVie2" w:date="2025-05-13T16:36:00Z">
        <w:r w:rsidRPr="008912CF">
          <w:rPr>
            <w:sz w:val="22"/>
            <w:szCs w:val="22"/>
          </w:rPr>
          <w:delText>Humira 40 mg solução injetável em frasco para injetáveis  para dose única</w:delText>
        </w:r>
        <w:r w:rsidR="00E7501D">
          <w:rPr>
            <w:sz w:val="22"/>
            <w:szCs w:val="22"/>
          </w:rPr>
          <w:delText xml:space="preserve"> </w:delText>
        </w:r>
        <w:r w:rsidR="00E7501D" w:rsidRPr="008912CF">
          <w:rPr>
            <w:sz w:val="22"/>
            <w:szCs w:val="22"/>
          </w:rPr>
          <w:delText>(vidro tipo I)</w:delText>
        </w:r>
        <w:r w:rsidRPr="008912CF">
          <w:rPr>
            <w:sz w:val="22"/>
            <w:szCs w:val="22"/>
          </w:rPr>
          <w:delText xml:space="preserve">, fechado com rolha de borracha, anel protetor de alumínio e selo </w:delText>
        </w:r>
        <w:r w:rsidRPr="008912CF">
          <w:rPr>
            <w:i/>
            <w:iCs/>
            <w:sz w:val="22"/>
            <w:szCs w:val="22"/>
          </w:rPr>
          <w:delText>flip-off</w:delText>
        </w:r>
        <w:r w:rsidRPr="008912CF">
          <w:rPr>
            <w:sz w:val="22"/>
            <w:szCs w:val="22"/>
          </w:rPr>
          <w:delText>.</w:delText>
        </w:r>
      </w:del>
    </w:p>
    <w:p w14:paraId="02040071" w14:textId="2D51021C" w:rsidR="004462A0" w:rsidRPr="008912CF" w:rsidRDefault="004462A0" w:rsidP="004462A0">
      <w:pPr>
        <w:rPr>
          <w:del w:id="4180" w:author="AbbVie2" w:date="2025-05-13T16:36:00Z"/>
          <w:sz w:val="22"/>
          <w:szCs w:val="22"/>
        </w:rPr>
      </w:pPr>
    </w:p>
    <w:p w14:paraId="6E91920A" w14:textId="594650D2" w:rsidR="004462A0" w:rsidRPr="008912CF" w:rsidRDefault="00615769" w:rsidP="004462A0">
      <w:pPr>
        <w:rPr>
          <w:del w:id="4181" w:author="AbbVie2" w:date="2025-05-13T16:36:00Z"/>
          <w:sz w:val="22"/>
          <w:szCs w:val="22"/>
        </w:rPr>
      </w:pPr>
      <w:del w:id="4182" w:author="AbbVie2" w:date="2025-05-13T16:36:00Z">
        <w:r w:rsidRPr="008912CF">
          <w:rPr>
            <w:sz w:val="22"/>
            <w:szCs w:val="22"/>
          </w:rPr>
          <w:delText>1 embalagem com duas caixas contendo cada uma:</w:delText>
        </w:r>
      </w:del>
    </w:p>
    <w:p w14:paraId="619C832B" w14:textId="0FD7CAC3" w:rsidR="004462A0" w:rsidRPr="008912CF" w:rsidRDefault="00615769" w:rsidP="004462A0">
      <w:pPr>
        <w:rPr>
          <w:del w:id="4183" w:author="AbbVie2" w:date="2025-05-13T16:36:00Z"/>
          <w:sz w:val="22"/>
          <w:szCs w:val="22"/>
        </w:rPr>
      </w:pPr>
      <w:del w:id="4184" w:author="AbbVie2" w:date="2025-05-13T16:36:00Z">
        <w:r w:rsidRPr="008912CF">
          <w:rPr>
            <w:sz w:val="22"/>
            <w:szCs w:val="22"/>
          </w:rPr>
          <w:delText>1 frasco para injetáveis (0,8 ml de solução estéril), 1 seringa esterilizada vazia, 1 agulha, 1 adaptador de frasco para injetáveis e 2 compressas embebidas em álcool.</w:delText>
        </w:r>
      </w:del>
    </w:p>
    <w:p w14:paraId="4C60EB00" w14:textId="648A453F" w:rsidR="004462A0" w:rsidRPr="008912CF" w:rsidRDefault="004462A0" w:rsidP="004462A0">
      <w:pPr>
        <w:pStyle w:val="EndnoteText"/>
        <w:tabs>
          <w:tab w:val="clear" w:pos="567"/>
        </w:tabs>
        <w:rPr>
          <w:del w:id="4185" w:author="AbbVie2" w:date="2025-05-13T16:36:00Z"/>
          <w:szCs w:val="22"/>
        </w:rPr>
      </w:pPr>
    </w:p>
    <w:p w14:paraId="3D244BCC" w14:textId="4664CAB4" w:rsidR="004462A0" w:rsidRPr="008912CF" w:rsidRDefault="00615769" w:rsidP="00047604">
      <w:pPr>
        <w:keepNext/>
        <w:ind w:left="567" w:hanging="567"/>
        <w:rPr>
          <w:del w:id="4186" w:author="AbbVie2" w:date="2025-05-13T16:36:00Z"/>
          <w:sz w:val="22"/>
          <w:szCs w:val="22"/>
        </w:rPr>
      </w:pPr>
      <w:del w:id="4187" w:author="AbbVie2" w:date="2025-05-13T16:36:00Z">
        <w:r w:rsidRPr="008912CF">
          <w:rPr>
            <w:b/>
            <w:sz w:val="22"/>
            <w:szCs w:val="22"/>
          </w:rPr>
          <w:delText>6.6</w:delText>
        </w:r>
        <w:r w:rsidRPr="008912CF">
          <w:rPr>
            <w:b/>
            <w:sz w:val="22"/>
            <w:szCs w:val="22"/>
          </w:rPr>
          <w:tab/>
          <w:delText xml:space="preserve">Precauções especiais de eliminação </w:delText>
        </w:r>
      </w:del>
    </w:p>
    <w:p w14:paraId="347CA10F" w14:textId="23C122A6" w:rsidR="004462A0" w:rsidRPr="008912CF" w:rsidRDefault="004462A0" w:rsidP="00047604">
      <w:pPr>
        <w:keepNext/>
        <w:rPr>
          <w:del w:id="4188" w:author="AbbVie2" w:date="2025-05-13T16:36:00Z"/>
          <w:sz w:val="22"/>
          <w:szCs w:val="22"/>
        </w:rPr>
      </w:pPr>
    </w:p>
    <w:p w14:paraId="2C3B8F06" w14:textId="6C3CAB77" w:rsidR="004462A0" w:rsidRPr="008912CF" w:rsidRDefault="00615769" w:rsidP="00047604">
      <w:pPr>
        <w:keepNext/>
        <w:rPr>
          <w:del w:id="4189" w:author="AbbVie2" w:date="2025-05-13T16:36:00Z"/>
          <w:sz w:val="22"/>
          <w:szCs w:val="22"/>
        </w:rPr>
      </w:pPr>
      <w:del w:id="4190" w:author="AbbVie2" w:date="2025-05-13T16:36:00Z">
        <w:r>
          <w:rPr>
            <w:sz w:val="22"/>
            <w:szCs w:val="22"/>
          </w:rPr>
          <w:delText>Qualquer medicamento</w:delText>
        </w:r>
        <w:r w:rsidRPr="008912CF">
          <w:rPr>
            <w:sz w:val="22"/>
            <w:szCs w:val="22"/>
          </w:rPr>
          <w:delText xml:space="preserve"> não utilizado ou resíduos devem ser eliminados de acordo com as exigências locais. </w:delText>
        </w:r>
      </w:del>
    </w:p>
    <w:p w14:paraId="03EA931A" w14:textId="6E8ADD5A" w:rsidR="004462A0" w:rsidRPr="008912CF" w:rsidRDefault="004462A0" w:rsidP="004462A0">
      <w:pPr>
        <w:rPr>
          <w:del w:id="4191" w:author="AbbVie2" w:date="2025-05-13T16:36:00Z"/>
          <w:sz w:val="22"/>
          <w:szCs w:val="22"/>
        </w:rPr>
      </w:pPr>
    </w:p>
    <w:p w14:paraId="591A0F94" w14:textId="605ABFE7" w:rsidR="004462A0" w:rsidRPr="008912CF" w:rsidRDefault="004462A0" w:rsidP="004462A0">
      <w:pPr>
        <w:rPr>
          <w:del w:id="4192" w:author="AbbVie2" w:date="2025-05-13T16:36:00Z"/>
          <w:sz w:val="22"/>
          <w:szCs w:val="22"/>
        </w:rPr>
      </w:pPr>
    </w:p>
    <w:p w14:paraId="57D49760" w14:textId="2FD08514" w:rsidR="004462A0" w:rsidRPr="008912CF" w:rsidRDefault="00615769" w:rsidP="004462A0">
      <w:pPr>
        <w:ind w:left="567" w:hanging="567"/>
        <w:rPr>
          <w:del w:id="4193" w:author="AbbVie2" w:date="2025-05-13T16:36:00Z"/>
          <w:sz w:val="22"/>
          <w:szCs w:val="22"/>
        </w:rPr>
      </w:pPr>
      <w:del w:id="4194" w:author="AbbVie2" w:date="2025-05-13T16:36:00Z">
        <w:r w:rsidRPr="008912CF">
          <w:rPr>
            <w:b/>
            <w:sz w:val="22"/>
            <w:szCs w:val="22"/>
          </w:rPr>
          <w:delText>7.</w:delText>
        </w:r>
        <w:r w:rsidRPr="008912CF">
          <w:rPr>
            <w:b/>
            <w:sz w:val="22"/>
            <w:szCs w:val="22"/>
          </w:rPr>
          <w:tab/>
          <w:delText xml:space="preserve">TITULAR DA AUTORIZAÇÃO DE INTRODUÇÃO NO MERCADO </w:delText>
        </w:r>
      </w:del>
    </w:p>
    <w:p w14:paraId="11C02C53" w14:textId="6D8E22C2" w:rsidR="004462A0" w:rsidRPr="008912CF" w:rsidRDefault="004462A0" w:rsidP="004462A0">
      <w:pPr>
        <w:rPr>
          <w:del w:id="4195" w:author="AbbVie2" w:date="2025-05-13T16:36:00Z"/>
          <w:sz w:val="22"/>
          <w:szCs w:val="22"/>
        </w:rPr>
      </w:pPr>
    </w:p>
    <w:p w14:paraId="14711597" w14:textId="09BA01CB" w:rsidR="003B276F" w:rsidRPr="00140752" w:rsidRDefault="00615769" w:rsidP="003B276F">
      <w:pPr>
        <w:keepNext/>
        <w:rPr>
          <w:del w:id="4196" w:author="AbbVie2" w:date="2025-05-13T16:36:00Z"/>
          <w:sz w:val="22"/>
          <w:szCs w:val="22"/>
          <w:lang w:val="de-DE"/>
        </w:rPr>
      </w:pPr>
      <w:del w:id="4197" w:author="AbbVie2" w:date="2025-05-13T16:36:00Z">
        <w:r w:rsidRPr="00140752">
          <w:rPr>
            <w:sz w:val="22"/>
            <w:szCs w:val="22"/>
            <w:lang w:val="de-DE"/>
          </w:rPr>
          <w:delText>AbbVie Deutschland GmbH &amp; Co. KG</w:delText>
        </w:r>
      </w:del>
    </w:p>
    <w:p w14:paraId="5156067D" w14:textId="13A32515" w:rsidR="003B276F" w:rsidRPr="008D6D3A" w:rsidRDefault="00615769" w:rsidP="003B276F">
      <w:pPr>
        <w:keepNext/>
        <w:rPr>
          <w:del w:id="4198" w:author="AbbVie2" w:date="2025-05-13T16:36:00Z"/>
          <w:sz w:val="22"/>
          <w:szCs w:val="22"/>
          <w:lang w:val="de-CH"/>
        </w:rPr>
      </w:pPr>
      <w:del w:id="4199" w:author="AbbVie2" w:date="2025-05-13T16:36:00Z">
        <w:r w:rsidRPr="008D6D3A">
          <w:rPr>
            <w:sz w:val="22"/>
            <w:szCs w:val="22"/>
            <w:lang w:val="de-CH"/>
          </w:rPr>
          <w:delText>Knollstrasse</w:delText>
        </w:r>
      </w:del>
    </w:p>
    <w:p w14:paraId="6C43D1EF" w14:textId="463A73E6" w:rsidR="003B276F" w:rsidRPr="006649C6" w:rsidRDefault="00615769" w:rsidP="003B276F">
      <w:pPr>
        <w:keepNext/>
        <w:rPr>
          <w:del w:id="4200" w:author="AbbVie2" w:date="2025-05-13T16:36:00Z"/>
          <w:sz w:val="22"/>
          <w:szCs w:val="22"/>
        </w:rPr>
      </w:pPr>
      <w:del w:id="4201" w:author="AbbVie2" w:date="2025-05-13T16:36:00Z">
        <w:r w:rsidRPr="006649C6">
          <w:rPr>
            <w:sz w:val="22"/>
            <w:szCs w:val="22"/>
          </w:rPr>
          <w:delText>67061 Ludwigshafen</w:delText>
        </w:r>
      </w:del>
    </w:p>
    <w:p w14:paraId="00D9A694" w14:textId="1CB598FC" w:rsidR="003B276F" w:rsidRDefault="00615769" w:rsidP="004462A0">
      <w:pPr>
        <w:rPr>
          <w:del w:id="4202" w:author="AbbVie2" w:date="2025-05-13T16:36:00Z"/>
          <w:sz w:val="22"/>
          <w:szCs w:val="22"/>
        </w:rPr>
      </w:pPr>
      <w:del w:id="4203" w:author="AbbVie2" w:date="2025-05-13T16:36:00Z">
        <w:r>
          <w:rPr>
            <w:sz w:val="22"/>
            <w:szCs w:val="22"/>
          </w:rPr>
          <w:delText>Alemanha</w:delText>
        </w:r>
        <w:r w:rsidRPr="008912CF">
          <w:rPr>
            <w:sz w:val="22"/>
            <w:szCs w:val="22"/>
          </w:rPr>
          <w:delText xml:space="preserve"> </w:delText>
        </w:r>
      </w:del>
    </w:p>
    <w:p w14:paraId="38D82CD8" w14:textId="7DBAC7AC" w:rsidR="004462A0" w:rsidRPr="008912CF" w:rsidRDefault="004462A0" w:rsidP="004462A0">
      <w:pPr>
        <w:rPr>
          <w:del w:id="4204" w:author="AbbVie2" w:date="2025-05-13T16:36:00Z"/>
          <w:sz w:val="22"/>
          <w:szCs w:val="22"/>
        </w:rPr>
      </w:pPr>
    </w:p>
    <w:p w14:paraId="583D3355" w14:textId="018B004F" w:rsidR="004462A0" w:rsidRPr="008912CF" w:rsidRDefault="004462A0" w:rsidP="004462A0">
      <w:pPr>
        <w:rPr>
          <w:del w:id="4205" w:author="AbbVie2" w:date="2025-05-13T16:36:00Z"/>
          <w:sz w:val="22"/>
          <w:szCs w:val="22"/>
        </w:rPr>
      </w:pPr>
    </w:p>
    <w:p w14:paraId="3EE73984" w14:textId="6A97494C" w:rsidR="004462A0" w:rsidRPr="008912CF" w:rsidRDefault="00615769" w:rsidP="004462A0">
      <w:pPr>
        <w:keepNext/>
        <w:ind w:left="567" w:hanging="567"/>
        <w:rPr>
          <w:del w:id="4206" w:author="AbbVie2" w:date="2025-05-13T16:36:00Z"/>
          <w:b/>
          <w:sz w:val="22"/>
          <w:szCs w:val="22"/>
        </w:rPr>
      </w:pPr>
      <w:del w:id="4207" w:author="AbbVie2" w:date="2025-05-13T16:36:00Z">
        <w:r w:rsidRPr="008912CF">
          <w:rPr>
            <w:b/>
            <w:sz w:val="22"/>
            <w:szCs w:val="22"/>
          </w:rPr>
          <w:delText>8.</w:delText>
        </w:r>
        <w:r w:rsidRPr="008912CF">
          <w:rPr>
            <w:b/>
            <w:sz w:val="22"/>
            <w:szCs w:val="22"/>
          </w:rPr>
          <w:tab/>
        </w:r>
        <w:r w:rsidRPr="008912CF">
          <w:rPr>
            <w:b/>
            <w:sz w:val="22"/>
            <w:szCs w:val="22"/>
          </w:rPr>
          <w:delText xml:space="preserve">NÚMERO DA AUTORIZAÇÃO DE INTRODUÇÃO NO MERCADO </w:delText>
        </w:r>
      </w:del>
    </w:p>
    <w:p w14:paraId="47965D89" w14:textId="48E3DA5A" w:rsidR="004462A0" w:rsidRPr="008912CF" w:rsidRDefault="004462A0" w:rsidP="004462A0">
      <w:pPr>
        <w:keepNext/>
        <w:rPr>
          <w:del w:id="4208" w:author="AbbVie2" w:date="2025-05-13T16:36:00Z"/>
          <w:sz w:val="22"/>
          <w:szCs w:val="22"/>
        </w:rPr>
      </w:pPr>
    </w:p>
    <w:p w14:paraId="6E8F2FC7" w14:textId="73C21349" w:rsidR="004462A0" w:rsidRPr="008912CF" w:rsidRDefault="00615769" w:rsidP="004462A0">
      <w:pPr>
        <w:keepNext/>
        <w:rPr>
          <w:del w:id="4209" w:author="AbbVie2" w:date="2025-05-13T16:36:00Z"/>
          <w:sz w:val="22"/>
          <w:szCs w:val="22"/>
        </w:rPr>
      </w:pPr>
      <w:del w:id="4210" w:author="AbbVie2" w:date="2025-05-13T16:36:00Z">
        <w:r w:rsidRPr="008912CF">
          <w:rPr>
            <w:sz w:val="22"/>
            <w:szCs w:val="22"/>
          </w:rPr>
          <w:delText>EU/1/03/256/001</w:delText>
        </w:r>
      </w:del>
    </w:p>
    <w:p w14:paraId="0628CB6D" w14:textId="776AD087" w:rsidR="004462A0" w:rsidRPr="008912CF" w:rsidRDefault="004462A0" w:rsidP="004462A0">
      <w:pPr>
        <w:rPr>
          <w:del w:id="4211" w:author="AbbVie2" w:date="2025-05-13T16:36:00Z"/>
          <w:sz w:val="22"/>
          <w:szCs w:val="22"/>
        </w:rPr>
      </w:pPr>
    </w:p>
    <w:p w14:paraId="6610B7E3" w14:textId="57CEB25E" w:rsidR="004462A0" w:rsidRPr="008912CF" w:rsidRDefault="004462A0" w:rsidP="004462A0">
      <w:pPr>
        <w:rPr>
          <w:del w:id="4212" w:author="AbbVie2" w:date="2025-05-13T16:36:00Z"/>
          <w:sz w:val="22"/>
          <w:szCs w:val="22"/>
        </w:rPr>
      </w:pPr>
    </w:p>
    <w:p w14:paraId="2A6B6E83" w14:textId="4EF23082" w:rsidR="004462A0" w:rsidRPr="008912CF" w:rsidRDefault="00615769" w:rsidP="004462A0">
      <w:pPr>
        <w:pStyle w:val="BodyTextIndent2"/>
        <w:rPr>
          <w:del w:id="4213" w:author="AbbVie2" w:date="2025-05-13T16:36:00Z"/>
          <w:szCs w:val="22"/>
        </w:rPr>
      </w:pPr>
      <w:del w:id="4214" w:author="AbbVie2" w:date="2025-05-13T16:36:00Z">
        <w:r w:rsidRPr="008912CF">
          <w:rPr>
            <w:szCs w:val="22"/>
          </w:rPr>
          <w:delText>9.</w:delText>
        </w:r>
        <w:r w:rsidRPr="008912CF">
          <w:rPr>
            <w:szCs w:val="22"/>
          </w:rPr>
          <w:tab/>
          <w:delText xml:space="preserve">DATA DA PRIMEIRA AUTORIZAÇÃO/RENOVAÇÃO DA AUTORIZAÇÃO DE INTRODUÇÃO NO MERCADO </w:delText>
        </w:r>
      </w:del>
    </w:p>
    <w:p w14:paraId="767B5268" w14:textId="3C3BD267" w:rsidR="004462A0" w:rsidRPr="008912CF" w:rsidRDefault="004462A0" w:rsidP="004462A0">
      <w:pPr>
        <w:rPr>
          <w:del w:id="4215" w:author="AbbVie2" w:date="2025-05-13T16:36:00Z"/>
          <w:sz w:val="22"/>
          <w:szCs w:val="22"/>
        </w:rPr>
      </w:pPr>
    </w:p>
    <w:p w14:paraId="7415502C" w14:textId="2009B267" w:rsidR="004462A0" w:rsidRPr="008912CF" w:rsidRDefault="00615769" w:rsidP="004462A0">
      <w:pPr>
        <w:textAlignment w:val="top"/>
        <w:rPr>
          <w:del w:id="4216" w:author="AbbVie2" w:date="2025-05-13T16:36:00Z"/>
          <w:color w:val="888888"/>
          <w:sz w:val="22"/>
          <w:szCs w:val="22"/>
        </w:rPr>
      </w:pPr>
      <w:del w:id="4217" w:author="AbbVie2" w:date="2025-05-13T16:36:00Z">
        <w:r w:rsidRPr="008912CF">
          <w:rPr>
            <w:sz w:val="22"/>
            <w:szCs w:val="22"/>
          </w:rPr>
          <w:delText xml:space="preserve">Data da primeira autorização: 08 </w:delText>
        </w:r>
        <w:r w:rsidR="00E7501D">
          <w:rPr>
            <w:sz w:val="22"/>
            <w:szCs w:val="22"/>
          </w:rPr>
          <w:delText xml:space="preserve">de </w:delText>
        </w:r>
        <w:r w:rsidRPr="008912CF">
          <w:rPr>
            <w:rStyle w:val="hps"/>
            <w:color w:val="000000"/>
            <w:sz w:val="22"/>
            <w:szCs w:val="22"/>
          </w:rPr>
          <w:delText>setembro</w:delText>
        </w:r>
        <w:r w:rsidR="00E7501D">
          <w:rPr>
            <w:rStyle w:val="hps"/>
            <w:color w:val="000000"/>
            <w:sz w:val="22"/>
            <w:szCs w:val="22"/>
          </w:rPr>
          <w:delText xml:space="preserve"> de</w:delText>
        </w:r>
        <w:r w:rsidRPr="008912CF">
          <w:rPr>
            <w:rStyle w:val="hps"/>
            <w:color w:val="000000"/>
            <w:sz w:val="22"/>
            <w:szCs w:val="22"/>
          </w:rPr>
          <w:delText xml:space="preserve"> 2003</w:delText>
        </w:r>
      </w:del>
    </w:p>
    <w:p w14:paraId="70B19381" w14:textId="7168823E" w:rsidR="004462A0" w:rsidRPr="008912CF" w:rsidRDefault="00615769" w:rsidP="004462A0">
      <w:pPr>
        <w:pStyle w:val="IndexHeading"/>
        <w:tabs>
          <w:tab w:val="clear" w:pos="567"/>
        </w:tabs>
        <w:spacing w:line="240" w:lineRule="auto"/>
        <w:ind w:left="567" w:hanging="567"/>
        <w:rPr>
          <w:del w:id="4218" w:author="AbbVie2" w:date="2025-05-13T16:36:00Z"/>
          <w:rFonts w:ascii="Times New Roman" w:hAnsi="Times New Roman"/>
          <w:b w:val="0"/>
          <w:bCs/>
          <w:szCs w:val="22"/>
          <w:lang w:val="pt-PT"/>
        </w:rPr>
      </w:pPr>
      <w:del w:id="4219" w:author="AbbVie2" w:date="2025-05-13T16:36:00Z">
        <w:r w:rsidRPr="008912CF">
          <w:rPr>
            <w:rFonts w:ascii="Times New Roman" w:hAnsi="Times New Roman"/>
            <w:b w:val="0"/>
            <w:szCs w:val="22"/>
            <w:lang w:val="pt-PT"/>
          </w:rPr>
          <w:delText xml:space="preserve">Data da última renovação: 08 </w:delText>
        </w:r>
        <w:r w:rsidR="00E7501D">
          <w:rPr>
            <w:rFonts w:ascii="Times New Roman" w:hAnsi="Times New Roman"/>
            <w:b w:val="0"/>
            <w:szCs w:val="22"/>
            <w:lang w:val="pt-PT"/>
          </w:rPr>
          <w:delText xml:space="preserve">de </w:delText>
        </w:r>
        <w:r w:rsidRPr="008912CF">
          <w:rPr>
            <w:rStyle w:val="hps"/>
            <w:rFonts w:ascii="Times New Roman" w:hAnsi="Times New Roman"/>
            <w:b w:val="0"/>
            <w:color w:val="000000"/>
            <w:szCs w:val="22"/>
            <w:lang w:val="pt-PT"/>
          </w:rPr>
          <w:delText xml:space="preserve">setembro </w:delText>
        </w:r>
        <w:r w:rsidR="00E7501D">
          <w:rPr>
            <w:rStyle w:val="hps"/>
            <w:rFonts w:ascii="Times New Roman" w:hAnsi="Times New Roman"/>
            <w:b w:val="0"/>
            <w:color w:val="000000"/>
            <w:szCs w:val="22"/>
            <w:lang w:val="pt-PT"/>
          </w:rPr>
          <w:delText xml:space="preserve">de </w:delText>
        </w:r>
        <w:r w:rsidRPr="008912CF">
          <w:rPr>
            <w:rStyle w:val="hps"/>
            <w:rFonts w:ascii="Times New Roman" w:hAnsi="Times New Roman"/>
            <w:b w:val="0"/>
            <w:color w:val="000000"/>
            <w:szCs w:val="22"/>
            <w:lang w:val="pt-PT"/>
          </w:rPr>
          <w:delText>2008</w:delText>
        </w:r>
      </w:del>
    </w:p>
    <w:p w14:paraId="6774AEE0" w14:textId="5159676E" w:rsidR="004462A0" w:rsidRPr="00431557" w:rsidRDefault="004462A0" w:rsidP="004462A0">
      <w:pPr>
        <w:pStyle w:val="IndexHeading"/>
        <w:tabs>
          <w:tab w:val="clear" w:pos="567"/>
        </w:tabs>
        <w:spacing w:line="240" w:lineRule="auto"/>
        <w:ind w:left="567" w:hanging="567"/>
        <w:rPr>
          <w:del w:id="4220" w:author="AbbVie2" w:date="2025-05-13T16:36:00Z"/>
          <w:rFonts w:ascii="Times New Roman" w:hAnsi="Times New Roman"/>
          <w:b w:val="0"/>
          <w:bCs/>
          <w:szCs w:val="22"/>
          <w:lang w:val="pt-PT"/>
        </w:rPr>
      </w:pPr>
    </w:p>
    <w:p w14:paraId="0265C0B0" w14:textId="6DE1B7CE" w:rsidR="004462A0" w:rsidRPr="00431557" w:rsidRDefault="004462A0" w:rsidP="004462A0">
      <w:pPr>
        <w:pStyle w:val="IndexHeading"/>
        <w:tabs>
          <w:tab w:val="clear" w:pos="567"/>
        </w:tabs>
        <w:spacing w:line="240" w:lineRule="auto"/>
        <w:ind w:left="567" w:hanging="567"/>
        <w:rPr>
          <w:del w:id="4221" w:author="AbbVie2" w:date="2025-05-13T16:36:00Z"/>
          <w:rFonts w:ascii="Times New Roman" w:hAnsi="Times New Roman"/>
          <w:b w:val="0"/>
          <w:bCs/>
          <w:szCs w:val="22"/>
          <w:lang w:val="pt-PT"/>
        </w:rPr>
      </w:pPr>
    </w:p>
    <w:p w14:paraId="149DD657" w14:textId="705DA419" w:rsidR="004462A0" w:rsidRPr="008912CF" w:rsidRDefault="00615769" w:rsidP="004462A0">
      <w:pPr>
        <w:pStyle w:val="IndexHeading"/>
        <w:tabs>
          <w:tab w:val="clear" w:pos="567"/>
        </w:tabs>
        <w:spacing w:line="240" w:lineRule="auto"/>
        <w:ind w:left="567" w:hanging="567"/>
        <w:rPr>
          <w:del w:id="4222" w:author="AbbVie2" w:date="2025-05-13T16:36:00Z"/>
          <w:rFonts w:ascii="Times New Roman" w:hAnsi="Times New Roman"/>
          <w:bCs/>
          <w:szCs w:val="22"/>
          <w:lang w:val="pt-PT"/>
        </w:rPr>
      </w:pPr>
      <w:del w:id="4223" w:author="AbbVie2" w:date="2025-05-13T16:36:00Z">
        <w:r w:rsidRPr="008912CF">
          <w:rPr>
            <w:rFonts w:ascii="Times New Roman" w:hAnsi="Times New Roman"/>
            <w:bCs/>
            <w:szCs w:val="22"/>
            <w:lang w:val="pt-PT"/>
          </w:rPr>
          <w:delText>10.</w:delText>
        </w:r>
        <w:r w:rsidRPr="008912CF">
          <w:rPr>
            <w:rFonts w:ascii="Times New Roman" w:hAnsi="Times New Roman"/>
            <w:bCs/>
            <w:szCs w:val="22"/>
            <w:lang w:val="pt-PT"/>
          </w:rPr>
          <w:tab/>
          <w:delText>DATA DA REVISÃO DO TEXTO</w:delText>
        </w:r>
      </w:del>
    </w:p>
    <w:p w14:paraId="06347624" w14:textId="536D4F03" w:rsidR="004462A0" w:rsidRPr="00431557" w:rsidRDefault="004462A0" w:rsidP="004462A0">
      <w:pPr>
        <w:rPr>
          <w:del w:id="4224" w:author="AbbVie2" w:date="2025-05-13T16:36:00Z"/>
          <w:sz w:val="22"/>
          <w:szCs w:val="22"/>
        </w:rPr>
      </w:pPr>
    </w:p>
    <w:p w14:paraId="25A505D7" w14:textId="327A5231" w:rsidR="004462A0" w:rsidRPr="008912CF" w:rsidRDefault="00615769" w:rsidP="00412FC8">
      <w:pPr>
        <w:rPr>
          <w:del w:id="4225" w:author="AbbVie2" w:date="2025-05-13T16:39:00Z"/>
          <w:szCs w:val="22"/>
        </w:rPr>
      </w:pPr>
      <w:del w:id="4226" w:author="AbbVie2" w:date="2025-05-13T16:36:00Z">
        <w:r w:rsidRPr="008912CF">
          <w:rPr>
            <w:sz w:val="22"/>
            <w:szCs w:val="22"/>
          </w:rPr>
          <w:delText>Está disponível informação pormenorizada sobre este medicamento no sítio da internet da Agência Europeia de Medicamentos: http://www.ema.europa.eu</w:delText>
        </w:r>
        <w:r w:rsidRPr="008912CF">
          <w:rPr>
            <w:szCs w:val="22"/>
          </w:rPr>
          <w:br w:type="page"/>
        </w:r>
      </w:del>
      <w:del w:id="4227" w:author="AbbVie2" w:date="2025-05-13T16:39:00Z">
        <w:r w:rsidRPr="008912CF">
          <w:rPr>
            <w:b/>
            <w:bCs/>
            <w:szCs w:val="22"/>
          </w:rPr>
          <w:delText>1.</w:delText>
        </w:r>
        <w:r w:rsidRPr="008912CF">
          <w:rPr>
            <w:b/>
            <w:bCs/>
            <w:szCs w:val="22"/>
          </w:rPr>
          <w:tab/>
        </w:r>
        <w:r w:rsidRPr="0024491E">
          <w:rPr>
            <w:b/>
            <w:bCs/>
            <w:sz w:val="22"/>
            <w:szCs w:val="22"/>
          </w:rPr>
          <w:delText>NOME DO MEDICAMENTO</w:delText>
        </w:r>
      </w:del>
    </w:p>
    <w:p w14:paraId="46DDDCE0" w14:textId="19AFF426" w:rsidR="004462A0" w:rsidRPr="008912CF" w:rsidRDefault="004462A0" w:rsidP="00412FC8">
      <w:pPr>
        <w:rPr>
          <w:del w:id="4228" w:author="AbbVie2" w:date="2025-05-13T16:39:00Z"/>
          <w:sz w:val="22"/>
          <w:szCs w:val="22"/>
        </w:rPr>
      </w:pPr>
    </w:p>
    <w:p w14:paraId="486F5A10" w14:textId="4DA3D793" w:rsidR="004462A0" w:rsidRDefault="00615769" w:rsidP="00412FC8">
      <w:pPr>
        <w:rPr>
          <w:del w:id="4229" w:author="AbbVie2" w:date="2025-05-13T16:39:00Z"/>
          <w:sz w:val="22"/>
          <w:szCs w:val="22"/>
        </w:rPr>
      </w:pPr>
      <w:del w:id="4230" w:author="AbbVie2" w:date="2025-05-13T16:39:00Z">
        <w:r w:rsidRPr="008912CF">
          <w:rPr>
            <w:sz w:val="22"/>
            <w:szCs w:val="22"/>
          </w:rPr>
          <w:delText>Humira 40 mg solução injetável em seringa pré-cheia</w:delText>
        </w:r>
      </w:del>
    </w:p>
    <w:p w14:paraId="72DEE5BC" w14:textId="76EB9AB0" w:rsidR="004462A0" w:rsidRPr="008912CF" w:rsidRDefault="00615769" w:rsidP="00412FC8">
      <w:pPr>
        <w:rPr>
          <w:del w:id="4231" w:author="AbbVie2" w:date="2025-05-13T16:39:00Z"/>
          <w:sz w:val="22"/>
          <w:szCs w:val="22"/>
        </w:rPr>
      </w:pPr>
      <w:del w:id="4232" w:author="AbbVie2" w:date="2025-05-13T16:39:00Z">
        <w:r>
          <w:rPr>
            <w:sz w:val="22"/>
            <w:szCs w:val="22"/>
          </w:rPr>
          <w:delText>Humira 40 mg solução injetável em caneta pré-cheia</w:delText>
        </w:r>
      </w:del>
    </w:p>
    <w:p w14:paraId="6C2059E6" w14:textId="479A3930" w:rsidR="004462A0" w:rsidRPr="008912CF" w:rsidRDefault="004462A0" w:rsidP="00412FC8">
      <w:pPr>
        <w:rPr>
          <w:del w:id="4233" w:author="AbbVie2" w:date="2025-05-13T16:39:00Z"/>
          <w:sz w:val="22"/>
          <w:szCs w:val="22"/>
        </w:rPr>
      </w:pPr>
    </w:p>
    <w:p w14:paraId="3025CF75" w14:textId="0290CBF8" w:rsidR="004462A0" w:rsidRPr="008912CF" w:rsidRDefault="004462A0" w:rsidP="00412FC8">
      <w:pPr>
        <w:rPr>
          <w:del w:id="4234" w:author="AbbVie2" w:date="2025-05-13T16:39:00Z"/>
          <w:sz w:val="22"/>
          <w:szCs w:val="22"/>
        </w:rPr>
      </w:pPr>
    </w:p>
    <w:p w14:paraId="35947B92" w14:textId="42517691" w:rsidR="004462A0" w:rsidRPr="008912CF" w:rsidRDefault="00615769">
      <w:pPr>
        <w:rPr>
          <w:del w:id="4235" w:author="AbbVie2" w:date="2025-05-13T16:39:00Z"/>
          <w:sz w:val="22"/>
          <w:szCs w:val="22"/>
        </w:rPr>
        <w:pPrChange w:id="4236" w:author="AbbVie2" w:date="2025-05-13T16:40:00Z">
          <w:pPr>
            <w:ind w:left="567" w:hanging="567"/>
          </w:pPr>
        </w:pPrChange>
      </w:pPr>
      <w:del w:id="4237" w:author="AbbVie2" w:date="2025-05-13T16:39:00Z">
        <w:r w:rsidRPr="008912CF">
          <w:rPr>
            <w:b/>
            <w:sz w:val="22"/>
            <w:szCs w:val="22"/>
          </w:rPr>
          <w:delText>2.</w:delText>
        </w:r>
        <w:r w:rsidRPr="008912CF">
          <w:rPr>
            <w:b/>
            <w:sz w:val="22"/>
            <w:szCs w:val="22"/>
          </w:rPr>
          <w:tab/>
          <w:delText>COMPOSIÇÃO QUALITATIVA E QUANTITATIVA</w:delText>
        </w:r>
      </w:del>
    </w:p>
    <w:p w14:paraId="1C554F22" w14:textId="4A3E6B9D" w:rsidR="004462A0" w:rsidRPr="008912CF" w:rsidRDefault="004462A0" w:rsidP="00412FC8">
      <w:pPr>
        <w:rPr>
          <w:del w:id="4238" w:author="AbbVie2" w:date="2025-05-13T16:39:00Z"/>
          <w:i/>
          <w:sz w:val="22"/>
          <w:szCs w:val="22"/>
        </w:rPr>
      </w:pPr>
    </w:p>
    <w:p w14:paraId="0FC97C95" w14:textId="10CBFB64" w:rsidR="004462A0" w:rsidRPr="005021AB" w:rsidRDefault="00615769" w:rsidP="00412FC8">
      <w:pPr>
        <w:rPr>
          <w:del w:id="4239" w:author="AbbVie2" w:date="2025-05-13T16:39:00Z"/>
          <w:sz w:val="22"/>
          <w:szCs w:val="22"/>
          <w:u w:val="single"/>
        </w:rPr>
      </w:pPr>
      <w:del w:id="4240" w:author="AbbVie2" w:date="2025-05-13T16:39:00Z">
        <w:r w:rsidRPr="005021AB">
          <w:rPr>
            <w:sz w:val="22"/>
            <w:szCs w:val="22"/>
            <w:u w:val="single"/>
          </w:rPr>
          <w:delText>Humira 40 mg solução injetável em seringa pré-cheia</w:delText>
        </w:r>
      </w:del>
    </w:p>
    <w:p w14:paraId="3FBD2091" w14:textId="1C04C985" w:rsidR="004462A0" w:rsidRPr="008912CF" w:rsidRDefault="00615769">
      <w:pPr>
        <w:rPr>
          <w:del w:id="4241" w:author="AbbVie2" w:date="2025-05-13T16:39:00Z"/>
          <w:sz w:val="22"/>
          <w:szCs w:val="22"/>
        </w:rPr>
        <w:pPrChange w:id="4242" w:author="AbbVie2" w:date="2025-05-13T16:40:00Z">
          <w:pPr>
            <w:autoSpaceDE w:val="0"/>
            <w:autoSpaceDN w:val="0"/>
            <w:adjustRightInd w:val="0"/>
          </w:pPr>
        </w:pPrChange>
      </w:pPr>
      <w:del w:id="4243" w:author="AbbVie2" w:date="2025-05-13T16:39:00Z">
        <w:r w:rsidRPr="008912CF">
          <w:rPr>
            <w:sz w:val="22"/>
            <w:szCs w:val="22"/>
          </w:rPr>
          <w:delText>Cada seringa pré-cheia de 0,8 ml para dose única contém 40 mg de adalimumab.</w:delText>
        </w:r>
      </w:del>
    </w:p>
    <w:p w14:paraId="55973C9B" w14:textId="7EB3C4C3" w:rsidR="004462A0" w:rsidRPr="008912CF" w:rsidRDefault="004462A0">
      <w:pPr>
        <w:rPr>
          <w:del w:id="4244" w:author="AbbVie2" w:date="2025-05-13T16:39:00Z"/>
          <w:sz w:val="22"/>
          <w:szCs w:val="22"/>
        </w:rPr>
        <w:pPrChange w:id="4245" w:author="AbbVie2" w:date="2025-05-13T16:40:00Z">
          <w:pPr>
            <w:autoSpaceDE w:val="0"/>
            <w:autoSpaceDN w:val="0"/>
            <w:adjustRightInd w:val="0"/>
          </w:pPr>
        </w:pPrChange>
      </w:pPr>
    </w:p>
    <w:p w14:paraId="25FCEFA9" w14:textId="2980D5AD" w:rsidR="004462A0" w:rsidRPr="005021AB" w:rsidRDefault="00615769">
      <w:pPr>
        <w:rPr>
          <w:del w:id="4246" w:author="AbbVie2" w:date="2025-05-13T16:39:00Z"/>
          <w:sz w:val="22"/>
          <w:szCs w:val="22"/>
          <w:u w:val="single"/>
        </w:rPr>
        <w:pPrChange w:id="4247" w:author="AbbVie2" w:date="2025-05-13T16:40:00Z">
          <w:pPr>
            <w:autoSpaceDE w:val="0"/>
            <w:autoSpaceDN w:val="0"/>
            <w:adjustRightInd w:val="0"/>
          </w:pPr>
        </w:pPrChange>
      </w:pPr>
      <w:del w:id="4248" w:author="AbbVie2" w:date="2025-05-13T16:39:00Z">
        <w:r w:rsidRPr="005021AB">
          <w:rPr>
            <w:sz w:val="22"/>
            <w:szCs w:val="22"/>
            <w:u w:val="single"/>
          </w:rPr>
          <w:delText>Humira 40 mg solução injetável em caneta pré-cheia</w:delText>
        </w:r>
      </w:del>
    </w:p>
    <w:p w14:paraId="7382E8B4" w14:textId="27859DEC" w:rsidR="004462A0" w:rsidRDefault="00615769">
      <w:pPr>
        <w:rPr>
          <w:del w:id="4249" w:author="AbbVie2" w:date="2025-05-13T16:39:00Z"/>
          <w:sz w:val="22"/>
          <w:szCs w:val="22"/>
        </w:rPr>
        <w:pPrChange w:id="4250" w:author="AbbVie2" w:date="2025-05-13T16:40:00Z">
          <w:pPr>
            <w:autoSpaceDE w:val="0"/>
            <w:autoSpaceDN w:val="0"/>
            <w:adjustRightInd w:val="0"/>
          </w:pPr>
        </w:pPrChange>
      </w:pPr>
      <w:del w:id="4251" w:author="AbbVie2" w:date="2025-05-13T16:39:00Z">
        <w:r>
          <w:rPr>
            <w:sz w:val="22"/>
            <w:szCs w:val="22"/>
          </w:rPr>
          <w:delText xml:space="preserve">Cada caneta pré-cheia de 0,8 ml para dose única contém </w:delText>
        </w:r>
        <w:r w:rsidRPr="008912CF">
          <w:rPr>
            <w:sz w:val="22"/>
            <w:szCs w:val="22"/>
          </w:rPr>
          <w:delText>40 mg de adalimumab.</w:delText>
        </w:r>
      </w:del>
    </w:p>
    <w:p w14:paraId="00263815" w14:textId="4C082E97" w:rsidR="004462A0" w:rsidRDefault="004462A0">
      <w:pPr>
        <w:rPr>
          <w:del w:id="4252" w:author="AbbVie2" w:date="2025-05-13T16:39:00Z"/>
          <w:sz w:val="22"/>
          <w:szCs w:val="22"/>
        </w:rPr>
        <w:pPrChange w:id="4253" w:author="AbbVie2" w:date="2025-05-13T16:40:00Z">
          <w:pPr>
            <w:autoSpaceDE w:val="0"/>
            <w:autoSpaceDN w:val="0"/>
            <w:adjustRightInd w:val="0"/>
          </w:pPr>
        </w:pPrChange>
      </w:pPr>
    </w:p>
    <w:p w14:paraId="11E295F8" w14:textId="045F82B7" w:rsidR="00412FC8" w:rsidRPr="008912CF" w:rsidRDefault="00615769">
      <w:pPr>
        <w:rPr>
          <w:del w:id="4254" w:author="AbbVie2" w:date="2025-05-13T16:39:00Z"/>
          <w:sz w:val="22"/>
          <w:szCs w:val="22"/>
        </w:rPr>
        <w:pPrChange w:id="4255" w:author="AbbVie2" w:date="2025-05-13T16:40:00Z">
          <w:pPr>
            <w:autoSpaceDE w:val="0"/>
            <w:autoSpaceDN w:val="0"/>
            <w:adjustRightInd w:val="0"/>
          </w:pPr>
        </w:pPrChange>
      </w:pPr>
      <w:del w:id="4256" w:author="AbbVie2" w:date="2025-05-13T16:39:00Z">
        <w:r w:rsidRPr="008912CF">
          <w:rPr>
            <w:sz w:val="22"/>
            <w:szCs w:val="22"/>
          </w:rPr>
          <w:delText xml:space="preserve">Adalimumab é um anticorpo monoclonal humano recombinante </w:delText>
        </w:r>
        <w:r w:rsidR="00C9385F">
          <w:rPr>
            <w:sz w:val="22"/>
            <w:szCs w:val="22"/>
          </w:rPr>
          <w:delText>produzido</w:delText>
        </w:r>
        <w:r w:rsidRPr="008912CF">
          <w:rPr>
            <w:sz w:val="22"/>
            <w:szCs w:val="22"/>
          </w:rPr>
          <w:delText xml:space="preserve"> em células de Ovário do Hamster Chinês.</w:delText>
        </w:r>
      </w:del>
    </w:p>
    <w:p w14:paraId="65C4BD1A" w14:textId="5F2662F2" w:rsidR="004462A0" w:rsidRPr="008912CF" w:rsidRDefault="004462A0">
      <w:pPr>
        <w:rPr>
          <w:del w:id="4257" w:author="AbbVie2" w:date="2025-05-13T16:39:00Z"/>
          <w:sz w:val="22"/>
          <w:szCs w:val="22"/>
        </w:rPr>
        <w:pPrChange w:id="4258" w:author="AbbVie2" w:date="2025-05-13T16:40:00Z">
          <w:pPr>
            <w:autoSpaceDE w:val="0"/>
            <w:autoSpaceDN w:val="0"/>
            <w:adjustRightInd w:val="0"/>
          </w:pPr>
        </w:pPrChange>
      </w:pPr>
    </w:p>
    <w:p w14:paraId="47978834" w14:textId="7327B21D" w:rsidR="004462A0" w:rsidRPr="008912CF" w:rsidRDefault="00615769" w:rsidP="00412FC8">
      <w:pPr>
        <w:rPr>
          <w:del w:id="4259" w:author="AbbVie2" w:date="2025-05-13T16:39:00Z"/>
          <w:sz w:val="22"/>
          <w:szCs w:val="22"/>
        </w:rPr>
      </w:pPr>
      <w:del w:id="4260" w:author="AbbVie2" w:date="2025-05-13T16:39:00Z">
        <w:r w:rsidRPr="008912CF">
          <w:rPr>
            <w:sz w:val="22"/>
            <w:szCs w:val="22"/>
          </w:rPr>
          <w:delText xml:space="preserve">Lista completa de excipientes, ver secção 6.1. </w:delText>
        </w:r>
      </w:del>
    </w:p>
    <w:p w14:paraId="1B51131A" w14:textId="54E8FDB7" w:rsidR="004462A0" w:rsidRPr="008912CF" w:rsidRDefault="004462A0">
      <w:pPr>
        <w:rPr>
          <w:del w:id="4261" w:author="AbbVie2" w:date="2025-05-13T16:39:00Z"/>
          <w:szCs w:val="22"/>
        </w:rPr>
        <w:pPrChange w:id="4262" w:author="AbbVie2" w:date="2025-05-13T16:40:00Z">
          <w:pPr>
            <w:pStyle w:val="EndnoteText"/>
            <w:tabs>
              <w:tab w:val="clear" w:pos="567"/>
            </w:tabs>
          </w:pPr>
        </w:pPrChange>
      </w:pPr>
    </w:p>
    <w:p w14:paraId="1056889E" w14:textId="095A4700" w:rsidR="004462A0" w:rsidRPr="008912CF" w:rsidRDefault="004462A0" w:rsidP="00412FC8">
      <w:pPr>
        <w:rPr>
          <w:del w:id="4263" w:author="AbbVie2" w:date="2025-05-13T16:39:00Z"/>
          <w:sz w:val="22"/>
          <w:szCs w:val="22"/>
        </w:rPr>
      </w:pPr>
    </w:p>
    <w:p w14:paraId="62C3C367" w14:textId="64B13846" w:rsidR="004462A0" w:rsidRPr="008912CF" w:rsidRDefault="00615769">
      <w:pPr>
        <w:rPr>
          <w:del w:id="4264" w:author="AbbVie2" w:date="2025-05-13T16:39:00Z"/>
          <w:b/>
          <w:caps/>
          <w:sz w:val="22"/>
          <w:szCs w:val="22"/>
          <w:highlight w:val="yellow"/>
        </w:rPr>
        <w:pPrChange w:id="4265" w:author="AbbVie2" w:date="2025-05-13T16:40:00Z">
          <w:pPr>
            <w:ind w:left="567" w:hanging="567"/>
          </w:pPr>
        </w:pPrChange>
      </w:pPr>
      <w:del w:id="4266" w:author="AbbVie2" w:date="2025-05-13T16:39:00Z">
        <w:r w:rsidRPr="008912CF">
          <w:rPr>
            <w:b/>
            <w:sz w:val="22"/>
            <w:szCs w:val="22"/>
          </w:rPr>
          <w:delText>3.</w:delText>
        </w:r>
        <w:r w:rsidRPr="008912CF">
          <w:rPr>
            <w:b/>
            <w:sz w:val="22"/>
            <w:szCs w:val="22"/>
          </w:rPr>
          <w:tab/>
        </w:r>
        <w:r w:rsidRPr="008912CF">
          <w:rPr>
            <w:b/>
            <w:caps/>
            <w:sz w:val="22"/>
            <w:szCs w:val="22"/>
          </w:rPr>
          <w:delText>formA FARMACÊUTICA</w:delText>
        </w:r>
      </w:del>
    </w:p>
    <w:p w14:paraId="0B2C347E" w14:textId="7DC8C73E" w:rsidR="004462A0" w:rsidRPr="008912CF" w:rsidRDefault="004462A0" w:rsidP="00412FC8">
      <w:pPr>
        <w:rPr>
          <w:del w:id="4267" w:author="AbbVie2" w:date="2025-05-13T16:39:00Z"/>
          <w:b/>
          <w:caps/>
          <w:sz w:val="22"/>
          <w:szCs w:val="22"/>
        </w:rPr>
      </w:pPr>
    </w:p>
    <w:p w14:paraId="39E672BB" w14:textId="2D618646" w:rsidR="004462A0" w:rsidRPr="008912CF" w:rsidRDefault="00615769" w:rsidP="00412FC8">
      <w:pPr>
        <w:rPr>
          <w:del w:id="4268" w:author="AbbVie2" w:date="2025-05-13T16:39:00Z"/>
          <w:sz w:val="22"/>
          <w:szCs w:val="22"/>
        </w:rPr>
      </w:pPr>
      <w:del w:id="4269" w:author="AbbVie2" w:date="2025-05-13T16:39:00Z">
        <w:r w:rsidRPr="008912CF">
          <w:rPr>
            <w:sz w:val="22"/>
            <w:szCs w:val="22"/>
          </w:rPr>
          <w:delText>Solução injetável</w:delText>
        </w:r>
        <w:r w:rsidR="00547171">
          <w:rPr>
            <w:sz w:val="22"/>
            <w:szCs w:val="22"/>
          </w:rPr>
          <w:delText>.</w:delText>
        </w:r>
        <w:r w:rsidRPr="008912CF">
          <w:rPr>
            <w:sz w:val="22"/>
            <w:szCs w:val="22"/>
          </w:rPr>
          <w:delText xml:space="preserve"> </w:delText>
        </w:r>
        <w:r w:rsidR="00C9385F">
          <w:rPr>
            <w:sz w:val="22"/>
            <w:szCs w:val="22"/>
          </w:rPr>
          <w:delText>(</w:delText>
        </w:r>
        <w:r w:rsidR="008F48BD">
          <w:rPr>
            <w:sz w:val="22"/>
            <w:szCs w:val="22"/>
          </w:rPr>
          <w:delText>injetável</w:delText>
        </w:r>
        <w:r w:rsidR="00C9385F">
          <w:rPr>
            <w:sz w:val="22"/>
            <w:szCs w:val="22"/>
          </w:rPr>
          <w:delText>)</w:delText>
        </w:r>
      </w:del>
    </w:p>
    <w:p w14:paraId="58CC492C" w14:textId="1168F696" w:rsidR="004462A0" w:rsidRPr="008912CF" w:rsidRDefault="004462A0" w:rsidP="00412FC8">
      <w:pPr>
        <w:rPr>
          <w:del w:id="4270" w:author="AbbVie2" w:date="2025-05-13T16:39:00Z"/>
          <w:sz w:val="22"/>
          <w:szCs w:val="22"/>
        </w:rPr>
      </w:pPr>
    </w:p>
    <w:p w14:paraId="302003A3" w14:textId="63BF8E7A" w:rsidR="004462A0" w:rsidRPr="008912CF" w:rsidRDefault="00615769" w:rsidP="00412FC8">
      <w:pPr>
        <w:rPr>
          <w:del w:id="4271" w:author="AbbVie2" w:date="2025-05-13T16:39:00Z"/>
          <w:sz w:val="22"/>
          <w:szCs w:val="22"/>
        </w:rPr>
      </w:pPr>
      <w:del w:id="4272" w:author="AbbVie2" w:date="2025-05-13T16:39:00Z">
        <w:r w:rsidRPr="008912CF">
          <w:rPr>
            <w:sz w:val="22"/>
            <w:szCs w:val="22"/>
          </w:rPr>
          <w:delText xml:space="preserve">Solução límpida e incolor. </w:delText>
        </w:r>
      </w:del>
    </w:p>
    <w:p w14:paraId="57385835" w14:textId="46C9D635" w:rsidR="004462A0" w:rsidRPr="008912CF" w:rsidRDefault="004462A0">
      <w:pPr>
        <w:rPr>
          <w:del w:id="4273" w:author="AbbVie2" w:date="2025-05-13T16:39:00Z"/>
          <w:szCs w:val="22"/>
        </w:rPr>
        <w:pPrChange w:id="4274" w:author="AbbVie2" w:date="2025-05-13T16:40:00Z">
          <w:pPr>
            <w:pStyle w:val="EndnoteText"/>
            <w:tabs>
              <w:tab w:val="clear" w:pos="567"/>
            </w:tabs>
          </w:pPr>
        </w:pPrChange>
      </w:pPr>
    </w:p>
    <w:p w14:paraId="279CDAD9" w14:textId="482B91B6" w:rsidR="004462A0" w:rsidRPr="008912CF" w:rsidRDefault="004462A0">
      <w:pPr>
        <w:rPr>
          <w:del w:id="4275" w:author="AbbVie2" w:date="2025-05-13T16:39:00Z"/>
          <w:szCs w:val="22"/>
        </w:rPr>
        <w:pPrChange w:id="4276" w:author="AbbVie2" w:date="2025-05-13T16:40:00Z">
          <w:pPr>
            <w:pStyle w:val="EndnoteText"/>
            <w:tabs>
              <w:tab w:val="clear" w:pos="567"/>
            </w:tabs>
          </w:pPr>
        </w:pPrChange>
      </w:pPr>
    </w:p>
    <w:p w14:paraId="47847865" w14:textId="6EC37A24" w:rsidR="004462A0" w:rsidRPr="008912CF" w:rsidRDefault="00615769">
      <w:pPr>
        <w:rPr>
          <w:del w:id="4277" w:author="AbbVie2" w:date="2025-05-13T16:39:00Z"/>
          <w:caps/>
          <w:sz w:val="22"/>
          <w:szCs w:val="22"/>
        </w:rPr>
        <w:pPrChange w:id="4278" w:author="AbbVie2" w:date="2025-05-13T16:40:00Z">
          <w:pPr>
            <w:ind w:left="567" w:hanging="567"/>
          </w:pPr>
        </w:pPrChange>
      </w:pPr>
      <w:del w:id="4279" w:author="AbbVie2" w:date="2025-05-13T16:39:00Z">
        <w:r w:rsidRPr="008912CF">
          <w:rPr>
            <w:b/>
            <w:caps/>
            <w:sz w:val="22"/>
            <w:szCs w:val="22"/>
          </w:rPr>
          <w:delText>4.</w:delText>
        </w:r>
        <w:r w:rsidRPr="008912CF">
          <w:rPr>
            <w:b/>
            <w:caps/>
            <w:sz w:val="22"/>
            <w:szCs w:val="22"/>
          </w:rPr>
          <w:tab/>
          <w:delText xml:space="preserve">INFORMAÇÕES CLÍNICAS </w:delText>
        </w:r>
      </w:del>
    </w:p>
    <w:p w14:paraId="400B920F" w14:textId="5C31B063" w:rsidR="004462A0" w:rsidRPr="008912CF" w:rsidRDefault="004462A0" w:rsidP="00412FC8">
      <w:pPr>
        <w:rPr>
          <w:del w:id="4280" w:author="AbbVie2" w:date="2025-05-13T16:39:00Z"/>
          <w:sz w:val="22"/>
          <w:szCs w:val="22"/>
        </w:rPr>
      </w:pPr>
    </w:p>
    <w:p w14:paraId="16EF1B59" w14:textId="729A6E55" w:rsidR="004462A0" w:rsidRPr="008912CF" w:rsidRDefault="00615769">
      <w:pPr>
        <w:rPr>
          <w:del w:id="4281" w:author="AbbVie2" w:date="2025-05-13T16:39:00Z"/>
          <w:sz w:val="22"/>
          <w:szCs w:val="22"/>
        </w:rPr>
        <w:pPrChange w:id="4282" w:author="AbbVie2" w:date="2025-05-13T16:40:00Z">
          <w:pPr>
            <w:ind w:left="567" w:hanging="567"/>
          </w:pPr>
        </w:pPrChange>
      </w:pPr>
      <w:del w:id="4283" w:author="AbbVie2" w:date="2025-05-13T16:39:00Z">
        <w:r w:rsidRPr="008912CF">
          <w:rPr>
            <w:b/>
            <w:sz w:val="22"/>
            <w:szCs w:val="22"/>
          </w:rPr>
          <w:delText>4.1</w:delText>
        </w:r>
        <w:r w:rsidRPr="008912CF">
          <w:rPr>
            <w:b/>
            <w:sz w:val="22"/>
            <w:szCs w:val="22"/>
          </w:rPr>
          <w:tab/>
        </w:r>
        <w:r w:rsidRPr="008912CF">
          <w:rPr>
            <w:b/>
            <w:sz w:val="22"/>
            <w:szCs w:val="22"/>
          </w:rPr>
          <w:delText>Indicações terapêuticas</w:delText>
        </w:r>
      </w:del>
    </w:p>
    <w:p w14:paraId="6DF8ED43" w14:textId="2987A765" w:rsidR="004462A0" w:rsidRPr="008912CF" w:rsidRDefault="004462A0">
      <w:pPr>
        <w:rPr>
          <w:del w:id="4284" w:author="AbbVie2" w:date="2025-05-13T16:39:00Z"/>
          <w:szCs w:val="22"/>
        </w:rPr>
        <w:pPrChange w:id="4285" w:author="AbbVie2" w:date="2025-05-13T16:40:00Z">
          <w:pPr>
            <w:pStyle w:val="EndnoteText"/>
            <w:tabs>
              <w:tab w:val="clear" w:pos="567"/>
            </w:tabs>
          </w:pPr>
        </w:pPrChange>
      </w:pPr>
    </w:p>
    <w:p w14:paraId="01B30B92" w14:textId="735C0249" w:rsidR="004462A0" w:rsidRPr="008912CF" w:rsidRDefault="00615769">
      <w:pPr>
        <w:rPr>
          <w:del w:id="4286" w:author="AbbVie2" w:date="2025-05-13T16:39:00Z"/>
          <w:szCs w:val="22"/>
        </w:rPr>
        <w:pPrChange w:id="4287" w:author="AbbVie2" w:date="2025-05-13T16:40:00Z">
          <w:pPr>
            <w:pStyle w:val="Heading9"/>
            <w:keepNext w:val="0"/>
          </w:pPr>
        </w:pPrChange>
      </w:pPr>
      <w:del w:id="4288" w:author="AbbVie2" w:date="2025-05-13T16:39:00Z">
        <w:r w:rsidRPr="008912CF">
          <w:rPr>
            <w:szCs w:val="22"/>
          </w:rPr>
          <w:delText>Artrite reumatoide</w:delText>
        </w:r>
      </w:del>
    </w:p>
    <w:p w14:paraId="4CCF86A0" w14:textId="2BD0AD45" w:rsidR="004462A0" w:rsidRPr="008912CF" w:rsidRDefault="004462A0" w:rsidP="00412FC8">
      <w:pPr>
        <w:rPr>
          <w:del w:id="4289" w:author="AbbVie2" w:date="2025-05-13T16:39:00Z"/>
          <w:sz w:val="22"/>
          <w:szCs w:val="22"/>
        </w:rPr>
      </w:pPr>
    </w:p>
    <w:p w14:paraId="506C96DF" w14:textId="778529FF" w:rsidR="004462A0" w:rsidRPr="008912CF" w:rsidRDefault="00615769" w:rsidP="00412FC8">
      <w:pPr>
        <w:rPr>
          <w:del w:id="4290" w:author="AbbVie2" w:date="2025-05-13T16:39:00Z"/>
          <w:sz w:val="22"/>
          <w:szCs w:val="22"/>
        </w:rPr>
      </w:pPr>
      <w:del w:id="4291" w:author="AbbVie2" w:date="2025-05-13T16:39:00Z">
        <w:r w:rsidRPr="008912CF">
          <w:rPr>
            <w:sz w:val="22"/>
            <w:szCs w:val="22"/>
          </w:rPr>
          <w:delText>Humira em associação com metotrexato está indicado:</w:delText>
        </w:r>
      </w:del>
    </w:p>
    <w:p w14:paraId="70E4C552" w14:textId="4AA9098E" w:rsidR="004462A0" w:rsidRPr="008912CF" w:rsidRDefault="004462A0" w:rsidP="00412FC8">
      <w:pPr>
        <w:rPr>
          <w:del w:id="4292" w:author="AbbVie2" w:date="2025-05-13T16:39:00Z"/>
          <w:sz w:val="22"/>
          <w:szCs w:val="22"/>
        </w:rPr>
      </w:pPr>
    </w:p>
    <w:p w14:paraId="1372D29A" w14:textId="5EF69464" w:rsidR="004462A0" w:rsidRPr="008912CF" w:rsidRDefault="00615769">
      <w:pPr>
        <w:rPr>
          <w:del w:id="4293" w:author="AbbVie2" w:date="2025-05-13T16:39:00Z"/>
          <w:sz w:val="22"/>
          <w:szCs w:val="22"/>
        </w:rPr>
        <w:pPrChange w:id="4294" w:author="AbbVie2" w:date="2025-05-13T16:40:00Z">
          <w:pPr>
            <w:numPr>
              <w:numId w:val="66"/>
            </w:numPr>
            <w:tabs>
              <w:tab w:val="num" w:pos="360"/>
              <w:tab w:val="num" w:pos="600"/>
            </w:tabs>
            <w:ind w:left="600" w:hanging="600"/>
          </w:pPr>
        </w:pPrChange>
      </w:pPr>
      <w:del w:id="4295" w:author="AbbVie2" w:date="2025-05-13T16:39:00Z">
        <w:r w:rsidRPr="008912CF">
          <w:rPr>
            <w:sz w:val="22"/>
            <w:szCs w:val="22"/>
          </w:rPr>
          <w:delText>no tratamento da artrite reumatoide ativa moderada a grave em doentes adultos nos casos em que foi demonstrada uma resposta inadequada a medicamentos anti</w:delText>
        </w:r>
        <w:r w:rsidR="00F96DDF">
          <w:rPr>
            <w:sz w:val="22"/>
            <w:szCs w:val="22"/>
          </w:rPr>
          <w:delText>-</w:delText>
        </w:r>
        <w:r w:rsidRPr="008912CF">
          <w:rPr>
            <w:sz w:val="22"/>
            <w:szCs w:val="22"/>
          </w:rPr>
          <w:delText>reumatismais modificadores da doença, incluindo metotrexato.</w:delText>
        </w:r>
      </w:del>
    </w:p>
    <w:p w14:paraId="37062281" w14:textId="20478D76" w:rsidR="004462A0" w:rsidRPr="008912CF" w:rsidRDefault="00615769">
      <w:pPr>
        <w:rPr>
          <w:del w:id="4296" w:author="AbbVie2" w:date="2025-05-13T16:39:00Z"/>
          <w:sz w:val="22"/>
          <w:szCs w:val="22"/>
        </w:rPr>
        <w:pPrChange w:id="4297" w:author="AbbVie2" w:date="2025-05-13T16:40:00Z">
          <w:pPr>
            <w:numPr>
              <w:numId w:val="65"/>
            </w:numPr>
            <w:tabs>
              <w:tab w:val="num" w:pos="360"/>
              <w:tab w:val="num" w:pos="600"/>
            </w:tabs>
            <w:ind w:left="600" w:hanging="600"/>
          </w:pPr>
        </w:pPrChange>
      </w:pPr>
      <w:del w:id="4298" w:author="AbbVie2" w:date="2025-05-13T16:39:00Z">
        <w:r w:rsidRPr="008912CF">
          <w:rPr>
            <w:sz w:val="22"/>
            <w:szCs w:val="22"/>
          </w:rPr>
          <w:delText>no tratamento da artrite reumatoide grave, ativa e progressiva em adultos não previamente tratados com metotrexato.</w:delText>
        </w:r>
      </w:del>
    </w:p>
    <w:p w14:paraId="0166906D" w14:textId="740ABDF5" w:rsidR="004462A0" w:rsidRPr="008912CF" w:rsidRDefault="004462A0" w:rsidP="00412FC8">
      <w:pPr>
        <w:rPr>
          <w:del w:id="4299" w:author="AbbVie2" w:date="2025-05-13T16:39:00Z"/>
          <w:sz w:val="22"/>
          <w:szCs w:val="22"/>
        </w:rPr>
      </w:pPr>
    </w:p>
    <w:p w14:paraId="56BF45BE" w14:textId="00FFC200" w:rsidR="004462A0" w:rsidRPr="008912CF" w:rsidRDefault="00615769">
      <w:pPr>
        <w:rPr>
          <w:del w:id="4300" w:author="AbbVie2" w:date="2025-05-13T16:39:00Z"/>
          <w:szCs w:val="22"/>
        </w:rPr>
        <w:pPrChange w:id="4301" w:author="AbbVie2" w:date="2025-05-13T16:40:00Z">
          <w:pPr>
            <w:pStyle w:val="BodyText2"/>
            <w:autoSpaceDE/>
            <w:autoSpaceDN/>
            <w:adjustRightInd/>
          </w:pPr>
        </w:pPrChange>
      </w:pPr>
      <w:del w:id="4302" w:author="AbbVie2" w:date="2025-05-13T16:39:00Z">
        <w:r w:rsidRPr="008912CF">
          <w:rPr>
            <w:szCs w:val="22"/>
          </w:rPr>
          <w:delText>Humira pode ser administrado em monoterapia em caso de intolerância a metotrexato ou quando o tratamento continuado com metotrexato não é apropriado.</w:delText>
        </w:r>
      </w:del>
    </w:p>
    <w:p w14:paraId="02E360F2" w14:textId="6EC23604" w:rsidR="004462A0" w:rsidRPr="008912CF" w:rsidRDefault="004462A0" w:rsidP="00412FC8">
      <w:pPr>
        <w:rPr>
          <w:del w:id="4303" w:author="AbbVie2" w:date="2025-05-13T16:39:00Z"/>
          <w:sz w:val="22"/>
          <w:szCs w:val="22"/>
        </w:rPr>
      </w:pPr>
    </w:p>
    <w:p w14:paraId="680AD776" w14:textId="133E86BE" w:rsidR="004462A0" w:rsidRPr="008912CF" w:rsidRDefault="00615769">
      <w:pPr>
        <w:rPr>
          <w:del w:id="4304" w:author="AbbVie2" w:date="2025-05-13T16:39:00Z"/>
          <w:szCs w:val="22"/>
        </w:rPr>
        <w:pPrChange w:id="4305" w:author="AbbVie2" w:date="2025-05-13T16:40:00Z">
          <w:pPr>
            <w:pStyle w:val="BodyText2"/>
            <w:autoSpaceDE/>
            <w:autoSpaceDN/>
            <w:adjustRightInd/>
          </w:pPr>
        </w:pPrChange>
      </w:pPr>
      <w:del w:id="4306" w:author="AbbVie2" w:date="2025-05-13T16:39:00Z">
        <w:r w:rsidRPr="008912CF">
          <w:rPr>
            <w:szCs w:val="22"/>
          </w:rPr>
          <w:delText>Humira demonstrou reduzir a taxa de progressão das lesões articulares, avaliada através de radiografia e melhorar a função física, quando administrado em associação com metotrexato.</w:delText>
        </w:r>
      </w:del>
    </w:p>
    <w:p w14:paraId="02F8C8E1" w14:textId="60C3D22E" w:rsidR="004462A0" w:rsidRPr="008912CF" w:rsidRDefault="004462A0">
      <w:pPr>
        <w:rPr>
          <w:del w:id="4307" w:author="AbbVie2" w:date="2025-05-13T16:39:00Z"/>
          <w:szCs w:val="22"/>
          <w:u w:val="single"/>
        </w:rPr>
        <w:pPrChange w:id="4308" w:author="AbbVie2" w:date="2025-05-13T16:40:00Z">
          <w:pPr>
            <w:pStyle w:val="BodyText2"/>
            <w:autoSpaceDE/>
            <w:autoSpaceDN/>
            <w:adjustRightInd/>
          </w:pPr>
        </w:pPrChange>
      </w:pPr>
    </w:p>
    <w:p w14:paraId="1D3EFF49" w14:textId="1CE3B183" w:rsidR="004462A0" w:rsidRPr="008912CF" w:rsidRDefault="00615769">
      <w:pPr>
        <w:rPr>
          <w:del w:id="4309" w:author="AbbVie2" w:date="2025-05-13T16:39:00Z"/>
          <w:szCs w:val="22"/>
        </w:rPr>
        <w:pPrChange w:id="4310" w:author="AbbVie2" w:date="2025-05-13T16:40:00Z">
          <w:pPr>
            <w:pStyle w:val="BodyText2"/>
            <w:autoSpaceDE/>
            <w:autoSpaceDN/>
            <w:adjustRightInd/>
          </w:pPr>
        </w:pPrChange>
      </w:pPr>
      <w:del w:id="4311" w:author="AbbVie2" w:date="2025-05-13T16:39:00Z">
        <w:r w:rsidRPr="008912CF">
          <w:rPr>
            <w:szCs w:val="22"/>
            <w:u w:val="single"/>
          </w:rPr>
          <w:delText>Artrite idiopática juvenil</w:delText>
        </w:r>
      </w:del>
    </w:p>
    <w:p w14:paraId="14D4590F" w14:textId="661DB997" w:rsidR="004462A0" w:rsidRPr="008912CF" w:rsidRDefault="004462A0">
      <w:pPr>
        <w:rPr>
          <w:del w:id="4312" w:author="AbbVie2" w:date="2025-05-13T16:39:00Z"/>
          <w:szCs w:val="22"/>
          <w:u w:val="single"/>
        </w:rPr>
        <w:pPrChange w:id="4313" w:author="AbbVie2" w:date="2025-05-13T16:40:00Z">
          <w:pPr>
            <w:pStyle w:val="BodyText2"/>
            <w:autoSpaceDE/>
            <w:autoSpaceDN/>
            <w:adjustRightInd/>
          </w:pPr>
        </w:pPrChange>
      </w:pPr>
    </w:p>
    <w:p w14:paraId="31694E25" w14:textId="66FC0D99" w:rsidR="004462A0" w:rsidRPr="008912CF" w:rsidRDefault="00615769">
      <w:pPr>
        <w:rPr>
          <w:del w:id="4314" w:author="AbbVie2" w:date="2025-05-13T16:39:00Z"/>
          <w:szCs w:val="22"/>
        </w:rPr>
        <w:pPrChange w:id="4315" w:author="AbbVie2" w:date="2025-05-13T16:40:00Z">
          <w:pPr>
            <w:pStyle w:val="BodyText2"/>
            <w:autoSpaceDE/>
            <w:autoSpaceDN/>
            <w:adjustRightInd/>
          </w:pPr>
        </w:pPrChange>
      </w:pPr>
      <w:del w:id="4316" w:author="AbbVie2" w:date="2025-05-13T16:39:00Z">
        <w:r w:rsidRPr="008912CF">
          <w:rPr>
            <w:i/>
            <w:szCs w:val="22"/>
          </w:rPr>
          <w:delText>Artrite idiopática juvenil poliarticular</w:delText>
        </w:r>
      </w:del>
    </w:p>
    <w:p w14:paraId="2FE7B609" w14:textId="6EA29F70" w:rsidR="004462A0" w:rsidRPr="008912CF" w:rsidRDefault="004462A0">
      <w:pPr>
        <w:rPr>
          <w:del w:id="4317" w:author="AbbVie2" w:date="2025-05-13T16:39:00Z"/>
          <w:szCs w:val="22"/>
        </w:rPr>
        <w:pPrChange w:id="4318" w:author="AbbVie2" w:date="2025-05-13T16:40:00Z">
          <w:pPr>
            <w:pStyle w:val="BodyText2"/>
            <w:autoSpaceDE/>
            <w:autoSpaceDN/>
            <w:adjustRightInd/>
          </w:pPr>
        </w:pPrChange>
      </w:pPr>
    </w:p>
    <w:p w14:paraId="673F53E1" w14:textId="7049C594" w:rsidR="004462A0" w:rsidRPr="008912CF" w:rsidRDefault="00615769">
      <w:pPr>
        <w:rPr>
          <w:del w:id="4319" w:author="AbbVie2" w:date="2025-05-13T16:39:00Z"/>
          <w:szCs w:val="22"/>
        </w:rPr>
        <w:pPrChange w:id="4320" w:author="AbbVie2" w:date="2025-05-13T16:40:00Z">
          <w:pPr>
            <w:pStyle w:val="BodyText2"/>
            <w:autoSpaceDE/>
            <w:autoSpaceDN/>
            <w:adjustRightInd/>
          </w:pPr>
        </w:pPrChange>
      </w:pPr>
      <w:del w:id="4321" w:author="AbbVie2" w:date="2025-05-13T16:39:00Z">
        <w:r w:rsidRPr="008912CF">
          <w:rPr>
            <w:szCs w:val="22"/>
          </w:rPr>
          <w:delText>Humira em associação com metotrexato está indicado no tratamento da artrite idiopática juvenil poliarticular ativa, em doentes a partir dos 2 anos de idade, que tiveram uma resposta inadequada a um ou mais medicamentos anti</w:delText>
        </w:r>
        <w:r w:rsidR="00F96DDF">
          <w:rPr>
            <w:szCs w:val="22"/>
          </w:rPr>
          <w:delText>-</w:delText>
        </w:r>
        <w:r w:rsidRPr="008912CF">
          <w:rPr>
            <w:szCs w:val="22"/>
          </w:rPr>
          <w:delText>reumatismais modificadores da doença (DMARDs). Humira pode ser administrado em monoterapia em caso de intolerância a metotrexato ou quando o tratamento continuado com metotrexato não é apropriado (para a eficácia em monoterapia ver secção 5.1). Humira não foi estudado em doentes com menos de 2 anos.</w:delText>
        </w:r>
      </w:del>
    </w:p>
    <w:p w14:paraId="0381CC10" w14:textId="592DA604" w:rsidR="004462A0" w:rsidRPr="008912CF" w:rsidRDefault="004462A0">
      <w:pPr>
        <w:rPr>
          <w:del w:id="4322" w:author="AbbVie2" w:date="2025-05-13T16:39:00Z"/>
          <w:szCs w:val="22"/>
          <w:u w:val="single"/>
        </w:rPr>
        <w:pPrChange w:id="4323" w:author="AbbVie2" w:date="2025-05-13T16:40:00Z">
          <w:pPr>
            <w:pStyle w:val="BodyText2"/>
            <w:autoSpaceDE/>
            <w:autoSpaceDN/>
            <w:adjustRightInd/>
          </w:pPr>
        </w:pPrChange>
      </w:pPr>
    </w:p>
    <w:p w14:paraId="257E35D1" w14:textId="023297BF" w:rsidR="004462A0" w:rsidRPr="008912CF" w:rsidRDefault="00615769">
      <w:pPr>
        <w:rPr>
          <w:del w:id="4324" w:author="AbbVie2" w:date="2025-05-13T16:39:00Z"/>
          <w:szCs w:val="22"/>
          <w:u w:val="single"/>
        </w:rPr>
        <w:pPrChange w:id="4325" w:author="AbbVie2" w:date="2025-05-13T16:40:00Z">
          <w:pPr>
            <w:pStyle w:val="BodyText2"/>
            <w:keepNext/>
            <w:autoSpaceDE/>
            <w:autoSpaceDN/>
            <w:adjustRightInd/>
          </w:pPr>
        </w:pPrChange>
      </w:pPr>
      <w:del w:id="4326" w:author="AbbVie2" w:date="2025-05-13T16:39:00Z">
        <w:r w:rsidRPr="008912CF">
          <w:rPr>
            <w:i/>
            <w:szCs w:val="22"/>
          </w:rPr>
          <w:delText>Artrite relacionada com entesite</w:delText>
        </w:r>
      </w:del>
    </w:p>
    <w:p w14:paraId="75E348A5" w14:textId="69F436B4" w:rsidR="004462A0" w:rsidRPr="008912CF" w:rsidRDefault="004462A0">
      <w:pPr>
        <w:rPr>
          <w:del w:id="4327" w:author="AbbVie2" w:date="2025-05-13T16:39:00Z"/>
          <w:szCs w:val="22"/>
          <w:u w:val="single"/>
        </w:rPr>
        <w:pPrChange w:id="4328" w:author="AbbVie2" w:date="2025-05-13T16:40:00Z">
          <w:pPr>
            <w:pStyle w:val="BodyText2"/>
            <w:keepNext/>
            <w:autoSpaceDE/>
            <w:autoSpaceDN/>
            <w:adjustRightInd/>
          </w:pPr>
        </w:pPrChange>
      </w:pPr>
    </w:p>
    <w:p w14:paraId="2B66EB36" w14:textId="29C09E7F" w:rsidR="004462A0" w:rsidRPr="008912CF" w:rsidRDefault="00615769">
      <w:pPr>
        <w:rPr>
          <w:del w:id="4329" w:author="AbbVie2" w:date="2025-05-13T16:39:00Z"/>
          <w:szCs w:val="22"/>
        </w:rPr>
        <w:pPrChange w:id="4330" w:author="AbbVie2" w:date="2025-05-13T16:40:00Z">
          <w:pPr>
            <w:pStyle w:val="BodyText2"/>
            <w:keepNext/>
            <w:autoSpaceDE/>
            <w:autoSpaceDN/>
            <w:adjustRightInd/>
          </w:pPr>
        </w:pPrChange>
      </w:pPr>
      <w:del w:id="4331" w:author="AbbVie2" w:date="2025-05-13T16:39:00Z">
        <w:r w:rsidRPr="008912CF">
          <w:rPr>
            <w:szCs w:val="22"/>
          </w:rPr>
          <w:delText>Humira está indicado no tratamento da artrite relacionada com entesite ativa em doentes com 6 anos de idade ou mais, que tiveram uma resposta inadequada ou intolerância à terapêutica convencional (ver secção 5.1).</w:delText>
        </w:r>
      </w:del>
    </w:p>
    <w:p w14:paraId="265A4777" w14:textId="5D8D3923" w:rsidR="004462A0" w:rsidRPr="008912CF" w:rsidRDefault="004462A0">
      <w:pPr>
        <w:rPr>
          <w:del w:id="4332" w:author="AbbVie2" w:date="2025-05-13T16:39:00Z"/>
          <w:szCs w:val="22"/>
          <w:u w:val="single"/>
        </w:rPr>
        <w:pPrChange w:id="4333" w:author="AbbVie2" w:date="2025-05-13T16:40:00Z">
          <w:pPr>
            <w:pStyle w:val="BodyText2"/>
            <w:autoSpaceDE/>
            <w:autoSpaceDN/>
            <w:adjustRightInd/>
          </w:pPr>
        </w:pPrChange>
      </w:pPr>
    </w:p>
    <w:p w14:paraId="707479B1" w14:textId="62F5BBCF" w:rsidR="004462A0" w:rsidRPr="008912CF" w:rsidRDefault="00615769">
      <w:pPr>
        <w:rPr>
          <w:del w:id="4334" w:author="AbbVie2" w:date="2025-05-13T16:39:00Z"/>
          <w:szCs w:val="22"/>
          <w:u w:val="single"/>
        </w:rPr>
        <w:pPrChange w:id="4335" w:author="AbbVie2" w:date="2025-05-13T16:40:00Z">
          <w:pPr>
            <w:pStyle w:val="BodyText2"/>
            <w:autoSpaceDE/>
            <w:autoSpaceDN/>
            <w:adjustRightInd/>
          </w:pPr>
        </w:pPrChange>
      </w:pPr>
      <w:del w:id="4336" w:author="AbbVie2" w:date="2025-05-13T16:39:00Z">
        <w:r w:rsidRPr="008912CF">
          <w:rPr>
            <w:szCs w:val="22"/>
            <w:u w:val="single"/>
          </w:rPr>
          <w:delText>Espondilartrite axial</w:delText>
        </w:r>
      </w:del>
    </w:p>
    <w:p w14:paraId="3F6D76DC" w14:textId="0832EB57" w:rsidR="004462A0" w:rsidRPr="008912CF" w:rsidRDefault="004462A0">
      <w:pPr>
        <w:rPr>
          <w:del w:id="4337" w:author="AbbVie2" w:date="2025-05-13T16:39:00Z"/>
          <w:szCs w:val="22"/>
          <w:u w:val="single"/>
        </w:rPr>
        <w:pPrChange w:id="4338" w:author="AbbVie2" w:date="2025-05-13T16:40:00Z">
          <w:pPr>
            <w:pStyle w:val="BodyText2"/>
            <w:autoSpaceDE/>
            <w:autoSpaceDN/>
            <w:adjustRightInd/>
          </w:pPr>
        </w:pPrChange>
      </w:pPr>
    </w:p>
    <w:p w14:paraId="65759DA0" w14:textId="20D76FFA" w:rsidR="004462A0" w:rsidRPr="008912CF" w:rsidRDefault="00615769">
      <w:pPr>
        <w:rPr>
          <w:del w:id="4339" w:author="AbbVie2" w:date="2025-05-13T16:39:00Z"/>
          <w:szCs w:val="22"/>
        </w:rPr>
        <w:pPrChange w:id="4340" w:author="AbbVie2" w:date="2025-05-13T16:40:00Z">
          <w:pPr>
            <w:pStyle w:val="Heading9"/>
            <w:keepNext w:val="0"/>
          </w:pPr>
        </w:pPrChange>
      </w:pPr>
      <w:del w:id="4341" w:author="AbbVie2" w:date="2025-05-13T16:39:00Z">
        <w:r w:rsidRPr="008912CF">
          <w:rPr>
            <w:i/>
            <w:szCs w:val="22"/>
          </w:rPr>
          <w:delText>Espondilite anquilosante (EA)</w:delText>
        </w:r>
      </w:del>
    </w:p>
    <w:p w14:paraId="6C2CFCCE" w14:textId="03EF9115" w:rsidR="004462A0" w:rsidRPr="008912CF" w:rsidRDefault="004462A0" w:rsidP="00412FC8">
      <w:pPr>
        <w:rPr>
          <w:del w:id="4342" w:author="AbbVie2" w:date="2025-05-13T16:39:00Z"/>
          <w:sz w:val="22"/>
          <w:szCs w:val="22"/>
        </w:rPr>
      </w:pPr>
    </w:p>
    <w:p w14:paraId="14EB6A71" w14:textId="6CB03CAE" w:rsidR="004462A0" w:rsidRPr="008912CF" w:rsidRDefault="00615769" w:rsidP="00412FC8">
      <w:pPr>
        <w:rPr>
          <w:del w:id="4343" w:author="AbbVie2" w:date="2025-05-13T16:39:00Z"/>
          <w:sz w:val="22"/>
          <w:szCs w:val="22"/>
        </w:rPr>
      </w:pPr>
      <w:del w:id="4344" w:author="AbbVie2" w:date="2025-05-13T16:39:00Z">
        <w:r w:rsidRPr="008912CF">
          <w:rPr>
            <w:sz w:val="22"/>
            <w:szCs w:val="22"/>
          </w:rPr>
          <w:delText>Humira está indicado no tratamento da espondilite anquilosante ativa grave em adultos que tiveram uma resposta inadequada à terapêutica convencional.</w:delText>
        </w:r>
      </w:del>
    </w:p>
    <w:p w14:paraId="265F316B" w14:textId="4014C39D" w:rsidR="004462A0" w:rsidRPr="008912CF" w:rsidRDefault="004462A0">
      <w:pPr>
        <w:rPr>
          <w:del w:id="4345" w:author="AbbVie2" w:date="2025-05-13T16:39:00Z"/>
          <w:szCs w:val="22"/>
          <w:u w:val="single"/>
        </w:rPr>
        <w:pPrChange w:id="4346" w:author="AbbVie2" w:date="2025-05-13T16:40:00Z">
          <w:pPr>
            <w:pStyle w:val="BodyText2"/>
            <w:autoSpaceDE/>
            <w:autoSpaceDN/>
            <w:adjustRightInd/>
          </w:pPr>
        </w:pPrChange>
      </w:pPr>
    </w:p>
    <w:p w14:paraId="2CF78A79" w14:textId="0133C3AB" w:rsidR="004462A0" w:rsidRPr="008912CF" w:rsidRDefault="00615769">
      <w:pPr>
        <w:rPr>
          <w:del w:id="4347" w:author="AbbVie2" w:date="2025-05-13T16:39:00Z"/>
          <w:szCs w:val="22"/>
        </w:rPr>
        <w:pPrChange w:id="4348" w:author="AbbVie2" w:date="2025-05-13T16:40:00Z">
          <w:pPr>
            <w:pStyle w:val="BodyText2"/>
            <w:autoSpaceDE/>
            <w:autoSpaceDN/>
            <w:adjustRightInd/>
          </w:pPr>
        </w:pPrChange>
      </w:pPr>
      <w:del w:id="4349" w:author="AbbVie2" w:date="2025-05-13T16:39:00Z">
        <w:r w:rsidRPr="008912CF">
          <w:rPr>
            <w:i/>
            <w:szCs w:val="22"/>
          </w:rPr>
          <w:delText>Espondilartrite axial sem evidência radiográfica de EA</w:delText>
        </w:r>
      </w:del>
    </w:p>
    <w:p w14:paraId="2F880B11" w14:textId="39E62D98" w:rsidR="004462A0" w:rsidRPr="008912CF" w:rsidRDefault="004462A0">
      <w:pPr>
        <w:rPr>
          <w:del w:id="4350" w:author="AbbVie2" w:date="2025-05-13T16:39:00Z"/>
          <w:szCs w:val="22"/>
          <w:u w:val="single"/>
        </w:rPr>
        <w:pPrChange w:id="4351" w:author="AbbVie2" w:date="2025-05-13T16:40:00Z">
          <w:pPr>
            <w:pStyle w:val="BodyText2"/>
            <w:autoSpaceDE/>
            <w:autoSpaceDN/>
            <w:adjustRightInd/>
          </w:pPr>
        </w:pPrChange>
      </w:pPr>
    </w:p>
    <w:p w14:paraId="111D4D1E" w14:textId="6E07E490" w:rsidR="004462A0" w:rsidRPr="008912CF" w:rsidRDefault="00615769">
      <w:pPr>
        <w:rPr>
          <w:del w:id="4352" w:author="AbbVie2" w:date="2025-05-13T16:39:00Z"/>
          <w:szCs w:val="22"/>
        </w:rPr>
        <w:pPrChange w:id="4353" w:author="AbbVie2" w:date="2025-05-13T16:40:00Z">
          <w:pPr>
            <w:pStyle w:val="BodyText2"/>
            <w:autoSpaceDE/>
            <w:autoSpaceDN/>
            <w:adjustRightInd/>
          </w:pPr>
        </w:pPrChange>
      </w:pPr>
      <w:del w:id="4354" w:author="AbbVie2" w:date="2025-05-13T16:39:00Z">
        <w:r w:rsidRPr="008912CF">
          <w:rPr>
            <w:szCs w:val="22"/>
          </w:rPr>
          <w:delText xml:space="preserve">Humira está indicado no tratamento da espondilartrite axial grave sem evidência radiográfica de EA, mas com sinais objetivos de inflamação por PCR elevada e/ou por Ressonância Magnética (MR), </w:delText>
        </w:r>
        <w:r w:rsidR="000C7914">
          <w:rPr>
            <w:szCs w:val="22"/>
          </w:rPr>
          <w:delText xml:space="preserve">em adultos </w:delText>
        </w:r>
        <w:r w:rsidRPr="008912CF">
          <w:rPr>
            <w:szCs w:val="22"/>
          </w:rPr>
          <w:delText>que tiveram uma resposta inadequada, ou que são intolerantes aos medicamentos anti-inflamatórios não esteroides</w:delText>
        </w:r>
        <w:r w:rsidR="00506582">
          <w:rPr>
            <w:szCs w:val="22"/>
          </w:rPr>
          <w:delText xml:space="preserve"> </w:delText>
        </w:r>
        <w:r w:rsidR="00506582" w:rsidRPr="00506582">
          <w:rPr>
            <w:szCs w:val="22"/>
          </w:rPr>
          <w:delText>(AINEs)</w:delText>
        </w:r>
        <w:r w:rsidRPr="008912CF">
          <w:rPr>
            <w:szCs w:val="22"/>
          </w:rPr>
          <w:delText>.</w:delText>
        </w:r>
      </w:del>
    </w:p>
    <w:p w14:paraId="2C242562" w14:textId="3FD86631" w:rsidR="004462A0" w:rsidRPr="008912CF" w:rsidRDefault="004462A0">
      <w:pPr>
        <w:rPr>
          <w:del w:id="4355" w:author="AbbVie2" w:date="2025-05-13T16:39:00Z"/>
        </w:rPr>
        <w:pPrChange w:id="4356" w:author="AbbVie2" w:date="2025-05-13T16:40:00Z">
          <w:pPr>
            <w:pStyle w:val="BodyText2"/>
            <w:autoSpaceDE/>
            <w:autoSpaceDN/>
            <w:adjustRightInd/>
          </w:pPr>
        </w:pPrChange>
      </w:pPr>
    </w:p>
    <w:p w14:paraId="01BADDE6" w14:textId="6FDD3DE7" w:rsidR="004462A0" w:rsidRPr="008912CF" w:rsidRDefault="00615769">
      <w:pPr>
        <w:rPr>
          <w:del w:id="4357" w:author="AbbVie2" w:date="2025-05-13T16:39:00Z"/>
          <w:szCs w:val="22"/>
          <w:u w:val="single"/>
        </w:rPr>
        <w:pPrChange w:id="4358" w:author="AbbVie2" w:date="2025-05-13T16:40:00Z">
          <w:pPr>
            <w:pStyle w:val="BodyText2"/>
            <w:autoSpaceDE/>
            <w:autoSpaceDN/>
            <w:adjustRightInd/>
          </w:pPr>
        </w:pPrChange>
      </w:pPr>
      <w:del w:id="4359" w:author="AbbVie2" w:date="2025-05-13T16:39:00Z">
        <w:r w:rsidRPr="008912CF">
          <w:rPr>
            <w:szCs w:val="22"/>
            <w:u w:val="single"/>
          </w:rPr>
          <w:delText>Artrite psoriática</w:delText>
        </w:r>
      </w:del>
    </w:p>
    <w:p w14:paraId="78DF63FE" w14:textId="159CB00C" w:rsidR="004462A0" w:rsidRPr="008912CF" w:rsidRDefault="004462A0">
      <w:pPr>
        <w:rPr>
          <w:del w:id="4360" w:author="AbbVie2" w:date="2025-05-13T16:39:00Z"/>
          <w:szCs w:val="22"/>
        </w:rPr>
        <w:pPrChange w:id="4361" w:author="AbbVie2" w:date="2025-05-13T16:40:00Z">
          <w:pPr>
            <w:pStyle w:val="BodyText2"/>
            <w:autoSpaceDE/>
            <w:autoSpaceDN/>
            <w:adjustRightInd/>
          </w:pPr>
        </w:pPrChange>
      </w:pPr>
    </w:p>
    <w:p w14:paraId="2D0C0442" w14:textId="236568E4" w:rsidR="004462A0" w:rsidRPr="008912CF" w:rsidRDefault="00615769" w:rsidP="00412FC8">
      <w:pPr>
        <w:rPr>
          <w:del w:id="4362" w:author="AbbVie2" w:date="2025-05-13T16:39:00Z"/>
          <w:sz w:val="22"/>
          <w:szCs w:val="22"/>
        </w:rPr>
      </w:pPr>
      <w:del w:id="4363" w:author="AbbVie2" w:date="2025-05-13T16:39:00Z">
        <w:r w:rsidRPr="008912CF">
          <w:rPr>
            <w:sz w:val="22"/>
            <w:szCs w:val="22"/>
          </w:rPr>
          <w:delText>Humira está indicado no tratamento da artrite psoriática ativa e progressiva em adultos quando a resposta a um tratamento prévio com medicamentos anti</w:delText>
        </w:r>
        <w:r w:rsidR="00F96DDF">
          <w:rPr>
            <w:sz w:val="22"/>
            <w:szCs w:val="22"/>
          </w:rPr>
          <w:delText>-</w:delText>
        </w:r>
        <w:r w:rsidRPr="008912CF">
          <w:rPr>
            <w:sz w:val="22"/>
            <w:szCs w:val="22"/>
          </w:rPr>
          <w:delText>reumatismais modificadores da doença foi inadequada. Humira demonstrou melhorar a função física e reduzir a taxa de progressão das lesões articulares periféricas, avaliada através de radiografia em doentes com subtipos poliarticulares simétricos da doença (ver secção 5.1).</w:delText>
        </w:r>
      </w:del>
    </w:p>
    <w:p w14:paraId="410C21A2" w14:textId="0475BD9C" w:rsidR="004462A0" w:rsidRPr="008912CF" w:rsidRDefault="004462A0" w:rsidP="00412FC8">
      <w:pPr>
        <w:rPr>
          <w:del w:id="4364" w:author="AbbVie2" w:date="2025-05-13T16:39:00Z"/>
        </w:rPr>
      </w:pPr>
    </w:p>
    <w:p w14:paraId="09730C89" w14:textId="43B85A1D" w:rsidR="004462A0" w:rsidRPr="008912CF" w:rsidRDefault="00615769">
      <w:pPr>
        <w:rPr>
          <w:del w:id="4365" w:author="AbbVie2" w:date="2025-05-13T16:39:00Z"/>
          <w:szCs w:val="22"/>
          <w:u w:val="single"/>
        </w:rPr>
        <w:pPrChange w:id="4366" w:author="AbbVie2" w:date="2025-05-13T16:40:00Z">
          <w:pPr>
            <w:pStyle w:val="DefaultText"/>
          </w:pPr>
        </w:pPrChange>
      </w:pPr>
      <w:del w:id="4367" w:author="AbbVie2" w:date="2025-05-13T16:39:00Z">
        <w:r w:rsidRPr="008912CF">
          <w:rPr>
            <w:szCs w:val="22"/>
            <w:u w:val="single"/>
          </w:rPr>
          <w:delText>Psoríase</w:delText>
        </w:r>
      </w:del>
    </w:p>
    <w:p w14:paraId="1DB49E97" w14:textId="1265DA30" w:rsidR="004462A0" w:rsidRPr="008912CF" w:rsidRDefault="004462A0">
      <w:pPr>
        <w:rPr>
          <w:del w:id="4368" w:author="AbbVie2" w:date="2025-05-13T16:39:00Z"/>
          <w:b/>
          <w:szCs w:val="22"/>
        </w:rPr>
        <w:pPrChange w:id="4369" w:author="AbbVie2" w:date="2025-05-13T16:40:00Z">
          <w:pPr>
            <w:pStyle w:val="DefaultText"/>
          </w:pPr>
        </w:pPrChange>
      </w:pPr>
    </w:p>
    <w:p w14:paraId="3534D0E3" w14:textId="2FA77B1F" w:rsidR="004462A0" w:rsidRPr="008912CF" w:rsidRDefault="00615769">
      <w:pPr>
        <w:rPr>
          <w:del w:id="4370" w:author="AbbVie2" w:date="2025-05-13T16:39:00Z"/>
          <w:szCs w:val="22"/>
        </w:rPr>
        <w:pPrChange w:id="4371" w:author="AbbVie2" w:date="2025-05-13T16:40:00Z">
          <w:pPr>
            <w:pStyle w:val="BodyText2"/>
            <w:autoSpaceDE/>
            <w:autoSpaceDN/>
            <w:adjustRightInd/>
          </w:pPr>
        </w:pPrChange>
      </w:pPr>
      <w:del w:id="4372" w:author="AbbVie2" w:date="2025-05-13T16:39:00Z">
        <w:r w:rsidRPr="008912CF">
          <w:rPr>
            <w:szCs w:val="22"/>
          </w:rPr>
          <w:delText>Humira está indicado no tratamento da psoríase crónica em placas, moderada a grave em doentes adultos que são candidatos a terapêutica sistémica.</w:delText>
        </w:r>
      </w:del>
    </w:p>
    <w:p w14:paraId="463E59A0" w14:textId="472B15E6" w:rsidR="004462A0" w:rsidRPr="008912CF" w:rsidRDefault="004462A0">
      <w:pPr>
        <w:rPr>
          <w:del w:id="4373" w:author="AbbVie2" w:date="2025-05-13T16:39:00Z"/>
          <w:szCs w:val="22"/>
        </w:rPr>
        <w:pPrChange w:id="4374" w:author="AbbVie2" w:date="2025-05-13T16:40:00Z">
          <w:pPr>
            <w:pStyle w:val="BodyText2"/>
            <w:autoSpaceDE/>
            <w:autoSpaceDN/>
            <w:adjustRightInd/>
          </w:pPr>
        </w:pPrChange>
      </w:pPr>
    </w:p>
    <w:p w14:paraId="61011BB3" w14:textId="5C53569A" w:rsidR="004462A0" w:rsidRPr="008912CF" w:rsidRDefault="00615769" w:rsidP="00412FC8">
      <w:pPr>
        <w:rPr>
          <w:del w:id="4375" w:author="AbbVie2" w:date="2025-05-13T16:39:00Z"/>
          <w:sz w:val="22"/>
          <w:szCs w:val="22"/>
          <w:u w:val="single"/>
        </w:rPr>
      </w:pPr>
      <w:del w:id="4376" w:author="AbbVie2" w:date="2025-05-13T16:39:00Z">
        <w:r w:rsidRPr="008912CF">
          <w:rPr>
            <w:sz w:val="22"/>
            <w:szCs w:val="22"/>
            <w:u w:val="single"/>
          </w:rPr>
          <w:delText>Psoríase pediátrica em placas</w:delText>
        </w:r>
      </w:del>
    </w:p>
    <w:p w14:paraId="0290944C" w14:textId="042E409E" w:rsidR="004462A0" w:rsidRPr="008912CF" w:rsidRDefault="004462A0" w:rsidP="00412FC8">
      <w:pPr>
        <w:rPr>
          <w:del w:id="4377" w:author="AbbVie2" w:date="2025-05-13T16:39:00Z"/>
          <w:sz w:val="22"/>
          <w:szCs w:val="22"/>
        </w:rPr>
      </w:pPr>
    </w:p>
    <w:p w14:paraId="7F95DB28" w14:textId="14D336F9" w:rsidR="004462A0" w:rsidRPr="008912CF" w:rsidRDefault="00615769">
      <w:pPr>
        <w:rPr>
          <w:del w:id="4378" w:author="AbbVie2" w:date="2025-05-13T16:39:00Z"/>
          <w:szCs w:val="22"/>
        </w:rPr>
        <w:pPrChange w:id="4379" w:author="AbbVie2" w:date="2025-05-13T16:40:00Z">
          <w:pPr>
            <w:pStyle w:val="BodyText2"/>
            <w:autoSpaceDE/>
            <w:autoSpaceDN/>
            <w:adjustRightInd/>
          </w:pPr>
        </w:pPrChange>
      </w:pPr>
      <w:del w:id="4380" w:author="AbbVie2" w:date="2025-05-13T16:39:00Z">
        <w:r w:rsidRPr="008912CF">
          <w:rPr>
            <w:szCs w:val="22"/>
          </w:rPr>
          <w:delText>Humira está indicado no tratamento da psoríase crónica em placas, grave, em crianças e adolescentes a partir dos 4 anos de idade, que não tiveram uma resposta adequada ou quando não são candidatos a tratamento tópico e fototerapias.</w:delText>
        </w:r>
      </w:del>
    </w:p>
    <w:p w14:paraId="33058C8A" w14:textId="05F0AD40" w:rsidR="004462A0" w:rsidRPr="008912CF" w:rsidRDefault="004462A0">
      <w:pPr>
        <w:rPr>
          <w:del w:id="4381" w:author="AbbVie2" w:date="2025-05-13T16:39:00Z"/>
          <w:szCs w:val="22"/>
        </w:rPr>
        <w:pPrChange w:id="4382" w:author="AbbVie2" w:date="2025-05-13T16:40:00Z">
          <w:pPr>
            <w:pStyle w:val="Heading9"/>
          </w:pPr>
        </w:pPrChange>
      </w:pPr>
    </w:p>
    <w:p w14:paraId="76ED500A" w14:textId="2F2A9A05" w:rsidR="004462A0" w:rsidRPr="008912CF" w:rsidRDefault="00615769">
      <w:pPr>
        <w:rPr>
          <w:del w:id="4383" w:author="AbbVie2" w:date="2025-05-13T16:39:00Z"/>
          <w:szCs w:val="22"/>
        </w:rPr>
        <w:pPrChange w:id="4384" w:author="AbbVie2" w:date="2025-05-13T16:40:00Z">
          <w:pPr>
            <w:pStyle w:val="Heading9"/>
          </w:pPr>
        </w:pPrChange>
      </w:pPr>
      <w:del w:id="4385" w:author="AbbVie2" w:date="2025-05-13T16:39:00Z">
        <w:r w:rsidRPr="008912CF">
          <w:rPr>
            <w:szCs w:val="22"/>
          </w:rPr>
          <w:delText>Hidradenite supurativa (HS)</w:delText>
        </w:r>
      </w:del>
    </w:p>
    <w:p w14:paraId="09247B89" w14:textId="10636BE4" w:rsidR="004462A0" w:rsidRPr="008912CF" w:rsidRDefault="004462A0">
      <w:pPr>
        <w:rPr>
          <w:del w:id="4386" w:author="AbbVie2" w:date="2025-05-13T16:39:00Z"/>
          <w:szCs w:val="22"/>
        </w:rPr>
        <w:pPrChange w:id="4387" w:author="AbbVie2" w:date="2025-05-13T16:40:00Z">
          <w:pPr>
            <w:pStyle w:val="Heading9"/>
          </w:pPr>
        </w:pPrChange>
      </w:pPr>
    </w:p>
    <w:p w14:paraId="57A3D976" w14:textId="07D0DA25" w:rsidR="004462A0" w:rsidRPr="008912CF" w:rsidRDefault="00615769">
      <w:pPr>
        <w:rPr>
          <w:del w:id="4388" w:author="AbbVie2" w:date="2025-05-13T16:39:00Z"/>
          <w:szCs w:val="22"/>
        </w:rPr>
        <w:pPrChange w:id="4389" w:author="AbbVie2" w:date="2025-05-13T16:40:00Z">
          <w:pPr>
            <w:pStyle w:val="Heading9"/>
            <w:keepNext w:val="0"/>
          </w:pPr>
        </w:pPrChange>
      </w:pPr>
      <w:del w:id="4390" w:author="AbbVie2" w:date="2025-05-13T16:39:00Z">
        <w:r w:rsidRPr="00FD1D0F">
          <w:rPr>
            <w:szCs w:val="22"/>
          </w:rPr>
          <w:delText>Humira está indicado no tratamento da hidradenite supurativa (hidrosadenite supurativa ou acne inversa) ativa, moderada a grave, em adultos e adolescentes a partir dos 12 anos de idade com uma resposta inadequada à terapêutica sistémica convencional para a HS (ver secções 5.1 e 5.2).</w:delText>
        </w:r>
      </w:del>
    </w:p>
    <w:p w14:paraId="43DA6187" w14:textId="724D5FE8" w:rsidR="004462A0" w:rsidRPr="008912CF" w:rsidRDefault="004462A0" w:rsidP="00412FC8">
      <w:pPr>
        <w:rPr>
          <w:del w:id="4391" w:author="AbbVie2" w:date="2025-05-13T16:39:00Z"/>
        </w:rPr>
      </w:pPr>
    </w:p>
    <w:p w14:paraId="2BDC53D5" w14:textId="4EE4CF48" w:rsidR="004462A0" w:rsidRPr="008912CF" w:rsidRDefault="00615769">
      <w:pPr>
        <w:rPr>
          <w:del w:id="4392" w:author="AbbVie2" w:date="2025-05-13T16:39:00Z"/>
          <w:szCs w:val="22"/>
        </w:rPr>
        <w:pPrChange w:id="4393" w:author="AbbVie2" w:date="2025-05-13T16:40:00Z">
          <w:pPr>
            <w:pStyle w:val="Heading9"/>
            <w:keepNext w:val="0"/>
          </w:pPr>
        </w:pPrChange>
      </w:pPr>
      <w:del w:id="4394" w:author="AbbVie2" w:date="2025-05-13T16:39:00Z">
        <w:r w:rsidRPr="008912CF">
          <w:rPr>
            <w:szCs w:val="22"/>
          </w:rPr>
          <w:delText>Doença de Crohn</w:delText>
        </w:r>
      </w:del>
    </w:p>
    <w:p w14:paraId="3E88D969" w14:textId="3AF0CA09" w:rsidR="004462A0" w:rsidRPr="008912CF" w:rsidRDefault="004462A0" w:rsidP="00412FC8">
      <w:pPr>
        <w:rPr>
          <w:del w:id="4395" w:author="AbbVie2" w:date="2025-05-13T16:39:00Z"/>
          <w:sz w:val="22"/>
          <w:szCs w:val="22"/>
        </w:rPr>
      </w:pPr>
    </w:p>
    <w:p w14:paraId="2309727A" w14:textId="49530F01" w:rsidR="004462A0" w:rsidRPr="008912CF" w:rsidRDefault="00615769">
      <w:pPr>
        <w:rPr>
          <w:del w:id="4396" w:author="AbbVie2" w:date="2025-05-13T16:39:00Z"/>
          <w:szCs w:val="22"/>
        </w:rPr>
        <w:pPrChange w:id="4397" w:author="AbbVie2" w:date="2025-05-13T16:40:00Z">
          <w:pPr>
            <w:pStyle w:val="BodyText2"/>
            <w:autoSpaceDE/>
            <w:autoSpaceDN/>
            <w:adjustRightInd/>
          </w:pPr>
        </w:pPrChange>
      </w:pPr>
      <w:del w:id="4398" w:author="AbbVie2" w:date="2025-05-13T16:39:00Z">
        <w:r w:rsidRPr="008912CF">
          <w:rPr>
            <w:szCs w:val="22"/>
          </w:rPr>
          <w:delText>Humira está indicado no tratamento da doença de Crohn ativa, moderada a grave, em doentes adultos que não responderam mesmo após um ciclo completo e adequado de tratamento com um corticosteroide e/ou imunossupressor; ou que são intolerantes ou têm contraindicações médicas para essas terapêuticas.</w:delText>
        </w:r>
      </w:del>
    </w:p>
    <w:p w14:paraId="3C798A49" w14:textId="12737381" w:rsidR="004462A0" w:rsidRPr="008912CF" w:rsidRDefault="004462A0">
      <w:pPr>
        <w:rPr>
          <w:del w:id="4399" w:author="AbbVie2" w:date="2025-05-13T16:39:00Z"/>
          <w:szCs w:val="22"/>
        </w:rPr>
        <w:pPrChange w:id="4400" w:author="AbbVie2" w:date="2025-05-13T16:40:00Z">
          <w:pPr>
            <w:pStyle w:val="BodyText2"/>
            <w:autoSpaceDE/>
            <w:autoSpaceDN/>
            <w:adjustRightInd/>
          </w:pPr>
        </w:pPrChange>
      </w:pPr>
    </w:p>
    <w:p w14:paraId="1DBAF5CD" w14:textId="3F6D0C44" w:rsidR="004462A0" w:rsidRPr="008912CF" w:rsidRDefault="00615769">
      <w:pPr>
        <w:rPr>
          <w:del w:id="4401" w:author="AbbVie2" w:date="2025-05-13T16:39:00Z"/>
          <w:szCs w:val="22"/>
          <w:u w:val="single"/>
        </w:rPr>
        <w:pPrChange w:id="4402" w:author="AbbVie2" w:date="2025-05-13T16:40:00Z">
          <w:pPr>
            <w:pStyle w:val="BodyText2"/>
            <w:keepNext/>
            <w:autoSpaceDE/>
            <w:autoSpaceDN/>
            <w:adjustRightInd/>
          </w:pPr>
        </w:pPrChange>
      </w:pPr>
      <w:del w:id="4403" w:author="AbbVie2" w:date="2025-05-13T16:39:00Z">
        <w:r w:rsidRPr="008912CF">
          <w:rPr>
            <w:szCs w:val="22"/>
            <w:u w:val="single"/>
          </w:rPr>
          <w:delText>Doença de Crohn pediátrica</w:delText>
        </w:r>
      </w:del>
    </w:p>
    <w:p w14:paraId="287486CD" w14:textId="557C5C80" w:rsidR="004462A0" w:rsidRPr="008912CF" w:rsidRDefault="004462A0">
      <w:pPr>
        <w:rPr>
          <w:del w:id="4404" w:author="AbbVie2" w:date="2025-05-13T16:39:00Z"/>
          <w:szCs w:val="22"/>
        </w:rPr>
        <w:pPrChange w:id="4405" w:author="AbbVie2" w:date="2025-05-13T16:40:00Z">
          <w:pPr>
            <w:pStyle w:val="BodyText2"/>
            <w:keepNext/>
            <w:autoSpaceDE/>
            <w:autoSpaceDN/>
            <w:adjustRightInd/>
          </w:pPr>
        </w:pPrChange>
      </w:pPr>
    </w:p>
    <w:p w14:paraId="19642B56" w14:textId="4C0F41A9" w:rsidR="004462A0" w:rsidRPr="008912CF" w:rsidRDefault="00615769">
      <w:pPr>
        <w:rPr>
          <w:del w:id="4406" w:author="AbbVie2" w:date="2025-05-13T16:39:00Z"/>
          <w:szCs w:val="22"/>
        </w:rPr>
        <w:pPrChange w:id="4407" w:author="AbbVie2" w:date="2025-05-13T16:40:00Z">
          <w:pPr>
            <w:pStyle w:val="BodyText2"/>
            <w:keepNext/>
            <w:autoSpaceDE/>
            <w:autoSpaceDN/>
            <w:adjustRightInd/>
          </w:pPr>
        </w:pPrChange>
      </w:pPr>
      <w:del w:id="4408" w:author="AbbVie2" w:date="2025-05-13T16:39:00Z">
        <w:r w:rsidRPr="008912CF">
          <w:rPr>
            <w:szCs w:val="22"/>
          </w:rPr>
          <w:delText xml:space="preserve">Humira está indicado no tratamento da doença de Crohn ativa moderada a grave em doentes pediátricos (a partir dos 6 anos de idade) que tiveram uma resposta inadequada à terapêutica convencional, incluindo terapêutica de nutrição primária e um corticosteroide e/ou um imunomodulador, ou que apresentam intolerância ou contraindicações a tais terapêuticas. </w:delText>
        </w:r>
      </w:del>
    </w:p>
    <w:p w14:paraId="32DF32F2" w14:textId="0056D926" w:rsidR="004462A0" w:rsidRPr="008912CF" w:rsidRDefault="004462A0">
      <w:pPr>
        <w:rPr>
          <w:del w:id="4409" w:author="AbbVie2" w:date="2025-05-13T16:39:00Z"/>
          <w:szCs w:val="22"/>
        </w:rPr>
        <w:pPrChange w:id="4410" w:author="AbbVie2" w:date="2025-05-13T16:40:00Z">
          <w:pPr>
            <w:pStyle w:val="BodyText2"/>
            <w:autoSpaceDE/>
            <w:autoSpaceDN/>
            <w:adjustRightInd/>
          </w:pPr>
        </w:pPrChange>
      </w:pPr>
    </w:p>
    <w:p w14:paraId="37B24A4D" w14:textId="74C7F239" w:rsidR="004462A0" w:rsidRPr="008912CF" w:rsidRDefault="00615769">
      <w:pPr>
        <w:rPr>
          <w:del w:id="4411" w:author="AbbVie2" w:date="2025-05-13T16:39:00Z"/>
          <w:szCs w:val="22"/>
          <w:u w:val="single"/>
        </w:rPr>
        <w:pPrChange w:id="4412" w:author="AbbVie2" w:date="2025-05-13T16:40:00Z">
          <w:pPr>
            <w:pStyle w:val="BodyText2"/>
            <w:autoSpaceDE/>
            <w:autoSpaceDN/>
            <w:adjustRightInd/>
          </w:pPr>
        </w:pPrChange>
      </w:pPr>
      <w:del w:id="4413" w:author="AbbVie2" w:date="2025-05-13T16:39:00Z">
        <w:r w:rsidRPr="008912CF">
          <w:rPr>
            <w:szCs w:val="22"/>
            <w:u w:val="single"/>
          </w:rPr>
          <w:delText>Colite ulcerosa</w:delText>
        </w:r>
      </w:del>
    </w:p>
    <w:p w14:paraId="4DD94463" w14:textId="35A47582" w:rsidR="004462A0" w:rsidRPr="008912CF" w:rsidRDefault="004462A0">
      <w:pPr>
        <w:rPr>
          <w:del w:id="4414" w:author="AbbVie2" w:date="2025-05-13T16:39:00Z"/>
          <w:szCs w:val="22"/>
        </w:rPr>
        <w:pPrChange w:id="4415" w:author="AbbVie2" w:date="2025-05-13T16:40:00Z">
          <w:pPr>
            <w:pStyle w:val="BodyText2"/>
            <w:autoSpaceDE/>
            <w:autoSpaceDN/>
            <w:adjustRightInd/>
          </w:pPr>
        </w:pPrChange>
      </w:pPr>
    </w:p>
    <w:p w14:paraId="232170B2" w14:textId="38949694" w:rsidR="004462A0" w:rsidRDefault="00615769">
      <w:pPr>
        <w:rPr>
          <w:del w:id="4416" w:author="AbbVie2" w:date="2025-05-13T16:39:00Z"/>
          <w:szCs w:val="22"/>
        </w:rPr>
        <w:pPrChange w:id="4417" w:author="AbbVie2" w:date="2025-05-13T16:40:00Z">
          <w:pPr>
            <w:pStyle w:val="BodyText2"/>
            <w:autoSpaceDE/>
            <w:autoSpaceDN/>
            <w:adjustRightInd/>
          </w:pPr>
        </w:pPrChange>
      </w:pPr>
      <w:del w:id="4418" w:author="AbbVie2" w:date="2025-05-13T16:39:00Z">
        <w:r w:rsidRPr="008912CF">
          <w:rPr>
            <w:szCs w:val="22"/>
          </w:rPr>
          <w:delText xml:space="preserve">Humira está indicado no tratamento da </w:delText>
        </w:r>
        <w:r w:rsidRPr="008912CF">
          <w:rPr>
            <w:szCs w:val="22"/>
            <w:lang w:eastAsia="pt-PT"/>
          </w:rPr>
          <w:delText xml:space="preserve">colite ulcerosa ativa moderada a grave, em doentes adultos que tiveram uma resposta inadequada à terapêutica convencional, incluindo corticosteroides e 6-mercaptopurina (6-MP) ou azatioprina (AZA), ou que são </w:delText>
        </w:r>
        <w:r w:rsidRPr="008912CF">
          <w:rPr>
            <w:szCs w:val="22"/>
          </w:rPr>
          <w:delText>intolerantes ou têm contraindicações médicas para essas terapêuticas.</w:delText>
        </w:r>
      </w:del>
    </w:p>
    <w:p w14:paraId="54ED1143" w14:textId="3761777B" w:rsidR="004462A0" w:rsidRDefault="004462A0">
      <w:pPr>
        <w:rPr>
          <w:del w:id="4419" w:author="AbbVie2" w:date="2025-05-13T16:39:00Z"/>
          <w:szCs w:val="22"/>
        </w:rPr>
        <w:pPrChange w:id="4420" w:author="AbbVie2" w:date="2025-05-13T16:40:00Z">
          <w:pPr>
            <w:pStyle w:val="BodyText2"/>
            <w:autoSpaceDE/>
            <w:autoSpaceDN/>
            <w:adjustRightInd/>
          </w:pPr>
        </w:pPrChange>
      </w:pPr>
    </w:p>
    <w:p w14:paraId="25BC24D0" w14:textId="53D75A1E" w:rsidR="00F4016C" w:rsidRPr="00F4016C" w:rsidRDefault="00615769" w:rsidP="00412FC8">
      <w:pPr>
        <w:rPr>
          <w:del w:id="4421" w:author="AbbVie2" w:date="2025-05-13T16:39:00Z"/>
          <w:sz w:val="22"/>
          <w:szCs w:val="22"/>
          <w:u w:val="single"/>
        </w:rPr>
      </w:pPr>
      <w:del w:id="4422" w:author="AbbVie2" w:date="2025-05-13T16:39:00Z">
        <w:r w:rsidRPr="00F4016C">
          <w:rPr>
            <w:sz w:val="22"/>
            <w:szCs w:val="22"/>
            <w:u w:val="single"/>
          </w:rPr>
          <w:delText>Colite ulcerosa pediátrica</w:delText>
        </w:r>
      </w:del>
    </w:p>
    <w:p w14:paraId="3DDD0180" w14:textId="07A9165B" w:rsidR="00F4016C" w:rsidRPr="00F4016C" w:rsidRDefault="00F4016C" w:rsidP="00412FC8">
      <w:pPr>
        <w:rPr>
          <w:del w:id="4423" w:author="AbbVie2" w:date="2025-05-13T16:39:00Z"/>
          <w:sz w:val="22"/>
          <w:szCs w:val="22"/>
        </w:rPr>
      </w:pPr>
    </w:p>
    <w:p w14:paraId="628F5F58" w14:textId="1BBF6734" w:rsidR="00F4016C" w:rsidRPr="00F4016C" w:rsidRDefault="00615769" w:rsidP="00412FC8">
      <w:pPr>
        <w:rPr>
          <w:del w:id="4424" w:author="AbbVie2" w:date="2025-05-13T16:39:00Z"/>
          <w:sz w:val="22"/>
          <w:szCs w:val="22"/>
        </w:rPr>
      </w:pPr>
      <w:del w:id="4425" w:author="AbbVie2" w:date="2025-05-13T16:39:00Z">
        <w:r w:rsidRPr="00F4016C">
          <w:rPr>
            <w:sz w:val="22"/>
            <w:szCs w:val="22"/>
          </w:rPr>
          <w:delText>Humira está indicado no tratamento da colite ulcerosa ativa moderada a grave em doentes pediátricos</w:delText>
        </w:r>
        <w:r w:rsidR="003A4405">
          <w:rPr>
            <w:sz w:val="22"/>
            <w:szCs w:val="22"/>
          </w:rPr>
          <w:delText xml:space="preserve"> (a partir dos 6 anos de idade)</w:delText>
        </w:r>
        <w:r w:rsidRPr="00F4016C">
          <w:rPr>
            <w:sz w:val="22"/>
            <w:szCs w:val="22"/>
          </w:rPr>
          <w:delText xml:space="preserve"> que tiveram uma resposta inadequada à terapêutica convencional, incluindo corticosteroides e/ou 6</w:delText>
        </w:r>
        <w:r>
          <w:rPr>
            <w:sz w:val="22"/>
            <w:szCs w:val="22"/>
          </w:rPr>
          <w:noBreakHyphen/>
        </w:r>
        <w:r w:rsidRPr="00F4016C">
          <w:rPr>
            <w:sz w:val="22"/>
            <w:szCs w:val="22"/>
          </w:rPr>
          <w:delText>mercaptopurina (6</w:delText>
        </w:r>
        <w:r>
          <w:rPr>
            <w:sz w:val="22"/>
            <w:szCs w:val="22"/>
          </w:rPr>
          <w:noBreakHyphen/>
        </w:r>
        <w:r w:rsidRPr="00F4016C">
          <w:rPr>
            <w:sz w:val="22"/>
            <w:szCs w:val="22"/>
          </w:rPr>
          <w:delText xml:space="preserve">MP) ou azatioprina (AZA), ou que apresentam intolerância ou contraindicações </w:delText>
        </w:r>
        <w:r w:rsidR="00A56D1E">
          <w:rPr>
            <w:sz w:val="22"/>
            <w:szCs w:val="22"/>
          </w:rPr>
          <w:delText xml:space="preserve">médicas </w:delText>
        </w:r>
        <w:r w:rsidRPr="00F4016C">
          <w:rPr>
            <w:sz w:val="22"/>
            <w:szCs w:val="22"/>
          </w:rPr>
          <w:delText>a tais terapêuticas.</w:delText>
        </w:r>
      </w:del>
    </w:p>
    <w:p w14:paraId="314996A0" w14:textId="18E6E40D" w:rsidR="00F4016C" w:rsidRPr="00F4016C" w:rsidRDefault="00F4016C">
      <w:pPr>
        <w:rPr>
          <w:del w:id="4426" w:author="AbbVie2" w:date="2025-05-13T16:39:00Z"/>
          <w:szCs w:val="22"/>
        </w:rPr>
        <w:pPrChange w:id="4427" w:author="AbbVie2" w:date="2025-05-13T16:40:00Z">
          <w:pPr>
            <w:pStyle w:val="BodyText2"/>
            <w:autoSpaceDE/>
            <w:autoSpaceDN/>
            <w:adjustRightInd/>
          </w:pPr>
        </w:pPrChange>
      </w:pPr>
    </w:p>
    <w:p w14:paraId="6F2441ED" w14:textId="3B06CF71" w:rsidR="004462A0" w:rsidRPr="009C739B" w:rsidRDefault="00615769">
      <w:pPr>
        <w:rPr>
          <w:del w:id="4428" w:author="AbbVie2" w:date="2025-05-13T16:39:00Z"/>
          <w:szCs w:val="22"/>
          <w:u w:val="single"/>
        </w:rPr>
        <w:pPrChange w:id="4429" w:author="AbbVie2" w:date="2025-05-13T16:40:00Z">
          <w:pPr>
            <w:pStyle w:val="BodyText2"/>
            <w:autoSpaceDE/>
            <w:autoSpaceDN/>
            <w:adjustRightInd/>
          </w:pPr>
        </w:pPrChange>
      </w:pPr>
      <w:del w:id="4430" w:author="AbbVie2" w:date="2025-05-13T16:39:00Z">
        <w:r w:rsidRPr="009C739B">
          <w:rPr>
            <w:szCs w:val="22"/>
            <w:u w:val="single"/>
          </w:rPr>
          <w:delText>Uveíte</w:delText>
        </w:r>
      </w:del>
    </w:p>
    <w:p w14:paraId="5D021E14" w14:textId="0F50FC31" w:rsidR="004462A0" w:rsidRDefault="004462A0">
      <w:pPr>
        <w:rPr>
          <w:del w:id="4431" w:author="AbbVie2" w:date="2025-05-13T16:39:00Z"/>
          <w:szCs w:val="22"/>
        </w:rPr>
        <w:pPrChange w:id="4432" w:author="AbbVie2" w:date="2025-05-13T16:40:00Z">
          <w:pPr>
            <w:pStyle w:val="BodyText2"/>
            <w:autoSpaceDE/>
            <w:autoSpaceDN/>
            <w:adjustRightInd/>
          </w:pPr>
        </w:pPrChange>
      </w:pPr>
    </w:p>
    <w:p w14:paraId="3548BE35" w14:textId="1FCE0D51" w:rsidR="004462A0" w:rsidRPr="008912CF" w:rsidRDefault="00615769">
      <w:pPr>
        <w:rPr>
          <w:del w:id="4433" w:author="AbbVie2" w:date="2025-05-13T16:39:00Z"/>
          <w:szCs w:val="22"/>
          <w:lang w:eastAsia="pt-PT"/>
        </w:rPr>
        <w:pPrChange w:id="4434" w:author="AbbVie2" w:date="2025-05-13T16:40:00Z">
          <w:pPr>
            <w:pStyle w:val="BodyText2"/>
            <w:autoSpaceDE/>
            <w:autoSpaceDN/>
            <w:adjustRightInd/>
          </w:pPr>
        </w:pPrChange>
      </w:pPr>
      <w:del w:id="4435" w:author="AbbVie2" w:date="2025-05-13T16:39:00Z">
        <w:r>
          <w:rPr>
            <w:szCs w:val="22"/>
          </w:rPr>
          <w:delText xml:space="preserve">Humira está indicado no tratamento da uveíte não infecciosa, intermédia, posterior e panuveíte, em doentes </w:delText>
        </w:r>
        <w:r w:rsidRPr="00D95FF9">
          <w:rPr>
            <w:szCs w:val="22"/>
          </w:rPr>
          <w:delText>adultos</w:delText>
        </w:r>
        <w:r>
          <w:rPr>
            <w:szCs w:val="22"/>
          </w:rPr>
          <w:delText xml:space="preserve"> que tiveram uma resposta inadequada à terapêutica com corticosteroides, em doentes que necessitam de reduzir o uso de corticosteroides ou em que o tratamento com corticosteroides é inapropriado.  </w:delText>
        </w:r>
      </w:del>
    </w:p>
    <w:p w14:paraId="42B5C208" w14:textId="3EE1A2B5" w:rsidR="00CD7207" w:rsidRDefault="00CD7207">
      <w:pPr>
        <w:rPr>
          <w:del w:id="4436" w:author="AbbVie2" w:date="2025-05-13T16:39:00Z"/>
          <w:szCs w:val="22"/>
        </w:rPr>
        <w:pPrChange w:id="4437" w:author="AbbVie2" w:date="2025-05-13T16:40:00Z">
          <w:pPr>
            <w:pStyle w:val="BodyText2"/>
            <w:autoSpaceDE/>
            <w:autoSpaceDN/>
            <w:adjustRightInd/>
          </w:pPr>
        </w:pPrChange>
      </w:pPr>
    </w:p>
    <w:p w14:paraId="51E19162" w14:textId="4F73E4E8" w:rsidR="00CD7207" w:rsidRPr="00034BDE" w:rsidRDefault="00615769" w:rsidP="00412FC8">
      <w:pPr>
        <w:rPr>
          <w:del w:id="4438" w:author="AbbVie2" w:date="2025-05-13T16:39:00Z"/>
          <w:szCs w:val="22"/>
          <w:u w:val="single"/>
        </w:rPr>
      </w:pPr>
      <w:del w:id="4439" w:author="AbbVie2" w:date="2025-05-13T16:39:00Z">
        <w:r w:rsidRPr="00034BDE">
          <w:rPr>
            <w:sz w:val="22"/>
            <w:szCs w:val="22"/>
            <w:u w:val="single"/>
          </w:rPr>
          <w:delText xml:space="preserve">Uveíte </w:delText>
        </w:r>
        <w:r w:rsidR="008A40F5">
          <w:rPr>
            <w:sz w:val="22"/>
            <w:szCs w:val="22"/>
            <w:u w:val="single"/>
          </w:rPr>
          <w:delText>p</w:delText>
        </w:r>
        <w:r w:rsidRPr="00034BDE">
          <w:rPr>
            <w:sz w:val="22"/>
            <w:szCs w:val="22"/>
            <w:u w:val="single"/>
          </w:rPr>
          <w:delText>ediátrica</w:delText>
        </w:r>
      </w:del>
    </w:p>
    <w:p w14:paraId="55934CB1" w14:textId="2C216B87" w:rsidR="00CD7207" w:rsidRDefault="00CD7207" w:rsidP="00412FC8">
      <w:pPr>
        <w:rPr>
          <w:del w:id="4440" w:author="AbbVie2" w:date="2025-05-13T16:39:00Z"/>
          <w:szCs w:val="22"/>
        </w:rPr>
      </w:pPr>
    </w:p>
    <w:p w14:paraId="0EF21851" w14:textId="7933234A" w:rsidR="004462A0" w:rsidRDefault="00615769">
      <w:pPr>
        <w:rPr>
          <w:del w:id="4441" w:author="AbbVie2" w:date="2025-05-13T16:39:00Z"/>
          <w:szCs w:val="22"/>
        </w:rPr>
        <w:pPrChange w:id="4442" w:author="AbbVie2" w:date="2025-05-13T16:40:00Z">
          <w:pPr>
            <w:pStyle w:val="BodyText2"/>
            <w:autoSpaceDE/>
            <w:autoSpaceDN/>
            <w:adjustRightInd/>
          </w:pPr>
        </w:pPrChange>
      </w:pPr>
      <w:del w:id="4443" w:author="AbbVie2" w:date="2025-05-13T16:39:00Z">
        <w:r>
          <w:rPr>
            <w:szCs w:val="22"/>
          </w:rPr>
          <w:delText xml:space="preserve">Humira está indicado no tratamento da uveíte </w:delText>
        </w:r>
        <w:r w:rsidR="00511D10">
          <w:rPr>
            <w:szCs w:val="22"/>
          </w:rPr>
          <w:delText xml:space="preserve">pediátrica não infecciosa, </w:delText>
        </w:r>
        <w:r>
          <w:rPr>
            <w:szCs w:val="22"/>
          </w:rPr>
          <w:delText>anterior</w:delText>
        </w:r>
        <w:r w:rsidR="00511D10">
          <w:rPr>
            <w:szCs w:val="22"/>
          </w:rPr>
          <w:delText>,</w:delText>
        </w:r>
        <w:r>
          <w:rPr>
            <w:szCs w:val="22"/>
          </w:rPr>
          <w:delText xml:space="preserve"> crónica em doentes a partir dos 2 anos de idade que tiveram uma resposta inadequada ou </w:delText>
        </w:r>
        <w:r w:rsidR="00511D10">
          <w:rPr>
            <w:szCs w:val="22"/>
          </w:rPr>
          <w:delText xml:space="preserve">que são intolerantes </w:delText>
        </w:r>
        <w:r>
          <w:rPr>
            <w:szCs w:val="22"/>
          </w:rPr>
          <w:delText xml:space="preserve">à terapêutica convencional, </w:delText>
        </w:r>
        <w:r w:rsidR="00C43D1D">
          <w:rPr>
            <w:szCs w:val="22"/>
          </w:rPr>
          <w:delText xml:space="preserve">ou </w:delText>
        </w:r>
        <w:r>
          <w:rPr>
            <w:szCs w:val="22"/>
          </w:rPr>
          <w:delText xml:space="preserve">em que a terapêutica convencional </w:delText>
        </w:r>
        <w:r w:rsidR="00C43D1D">
          <w:rPr>
            <w:szCs w:val="22"/>
          </w:rPr>
          <w:delText>é inaprop</w:delText>
        </w:r>
        <w:r w:rsidR="004F2F0D">
          <w:rPr>
            <w:szCs w:val="22"/>
          </w:rPr>
          <w:delText>r</w:delText>
        </w:r>
        <w:r w:rsidR="00C43D1D">
          <w:rPr>
            <w:szCs w:val="22"/>
          </w:rPr>
          <w:delText>iada</w:delText>
        </w:r>
        <w:r>
          <w:rPr>
            <w:szCs w:val="22"/>
          </w:rPr>
          <w:delText>.</w:delText>
        </w:r>
      </w:del>
    </w:p>
    <w:p w14:paraId="789B921F" w14:textId="39DDB655" w:rsidR="00CD7207" w:rsidRPr="008912CF" w:rsidRDefault="00CD7207">
      <w:pPr>
        <w:rPr>
          <w:del w:id="4444" w:author="AbbVie2" w:date="2025-05-13T16:39:00Z"/>
          <w:szCs w:val="22"/>
        </w:rPr>
        <w:pPrChange w:id="4445" w:author="AbbVie2" w:date="2025-05-13T16:40:00Z">
          <w:pPr>
            <w:pStyle w:val="BodyText2"/>
            <w:autoSpaceDE/>
            <w:autoSpaceDN/>
            <w:adjustRightInd/>
          </w:pPr>
        </w:pPrChange>
      </w:pPr>
    </w:p>
    <w:p w14:paraId="0341A008" w14:textId="29603A8D" w:rsidR="004462A0" w:rsidRPr="008912CF" w:rsidRDefault="00615769">
      <w:pPr>
        <w:rPr>
          <w:del w:id="4446" w:author="AbbVie2" w:date="2025-05-13T16:39:00Z"/>
          <w:b/>
          <w:bCs/>
          <w:sz w:val="22"/>
          <w:szCs w:val="22"/>
        </w:rPr>
        <w:pPrChange w:id="4447" w:author="AbbVie2" w:date="2025-05-13T16:40:00Z">
          <w:pPr>
            <w:keepNext/>
            <w:ind w:left="567" w:hanging="567"/>
          </w:pPr>
        </w:pPrChange>
      </w:pPr>
      <w:del w:id="4448" w:author="AbbVie2" w:date="2025-05-13T16:39:00Z">
        <w:r w:rsidRPr="008912CF">
          <w:rPr>
            <w:b/>
            <w:bCs/>
            <w:sz w:val="22"/>
            <w:szCs w:val="22"/>
          </w:rPr>
          <w:delText>4.2</w:delText>
        </w:r>
        <w:r w:rsidRPr="008912CF">
          <w:rPr>
            <w:b/>
            <w:bCs/>
            <w:sz w:val="22"/>
            <w:szCs w:val="22"/>
          </w:rPr>
          <w:tab/>
        </w:r>
        <w:r w:rsidRPr="008912CF">
          <w:rPr>
            <w:b/>
            <w:bCs/>
            <w:sz w:val="22"/>
            <w:szCs w:val="22"/>
          </w:rPr>
          <w:delText>Posologia e modo de administração</w:delText>
        </w:r>
      </w:del>
    </w:p>
    <w:p w14:paraId="07A5149F" w14:textId="6BB2F588" w:rsidR="004462A0" w:rsidRPr="008912CF" w:rsidRDefault="004462A0">
      <w:pPr>
        <w:rPr>
          <w:del w:id="4449" w:author="AbbVie2" w:date="2025-05-13T16:39:00Z"/>
          <w:b/>
          <w:sz w:val="22"/>
          <w:szCs w:val="22"/>
        </w:rPr>
        <w:pPrChange w:id="4450" w:author="AbbVie2" w:date="2025-05-13T16:40:00Z">
          <w:pPr>
            <w:keepNext/>
          </w:pPr>
        </w:pPrChange>
      </w:pPr>
    </w:p>
    <w:p w14:paraId="6314D6B4" w14:textId="1A5420CF" w:rsidR="004462A0" w:rsidRPr="008912CF" w:rsidRDefault="00615769">
      <w:pPr>
        <w:rPr>
          <w:del w:id="4451" w:author="AbbVie2" w:date="2025-05-13T16:39:00Z"/>
          <w:szCs w:val="22"/>
        </w:rPr>
        <w:pPrChange w:id="4452" w:author="AbbVie2" w:date="2025-05-13T16:40:00Z">
          <w:pPr>
            <w:pStyle w:val="EndnoteText"/>
            <w:keepNext/>
            <w:tabs>
              <w:tab w:val="clear" w:pos="567"/>
            </w:tabs>
          </w:pPr>
        </w:pPrChange>
      </w:pPr>
      <w:del w:id="4453" w:author="AbbVie2" w:date="2025-05-13T16:39:00Z">
        <w:r w:rsidRPr="008912CF">
          <w:rPr>
            <w:szCs w:val="22"/>
          </w:rPr>
          <w:delText xml:space="preserve">O tratamento com Humira deve ser iniciado e supervisionado por médicos especialistas experientes no diagnóstico e tratamento das patologias para as quais Humira está indicado. </w:delText>
        </w:r>
        <w:r>
          <w:rPr>
            <w:szCs w:val="22"/>
          </w:rPr>
          <w:delText xml:space="preserve">Recomenda-se que os oftalmologistas consultem um destes médicos experientes antes de iniciar o tratamento com Humira (ver secção 4.4). </w:delText>
        </w:r>
        <w:r w:rsidRPr="008912CF">
          <w:rPr>
            <w:szCs w:val="22"/>
          </w:rPr>
          <w:delText xml:space="preserve">Os doentes tratados com Humira devem receber o </w:delText>
        </w:r>
        <w:r w:rsidR="00E02FA8">
          <w:rPr>
            <w:szCs w:val="22"/>
          </w:rPr>
          <w:delText>C</w:delText>
        </w:r>
        <w:r w:rsidRPr="008912CF">
          <w:rPr>
            <w:szCs w:val="22"/>
          </w:rPr>
          <w:delText xml:space="preserve">artão de </w:delText>
        </w:r>
        <w:r w:rsidR="00E02FA8">
          <w:rPr>
            <w:szCs w:val="22"/>
          </w:rPr>
          <w:delText>S</w:delText>
        </w:r>
        <w:r w:rsidRPr="008912CF">
          <w:rPr>
            <w:szCs w:val="22"/>
          </w:rPr>
          <w:delText xml:space="preserve">egurança </w:delText>
        </w:r>
        <w:r w:rsidR="008979D5">
          <w:rPr>
            <w:szCs w:val="22"/>
          </w:rPr>
          <w:delText xml:space="preserve">do </w:delText>
        </w:r>
        <w:r w:rsidR="00E02FA8">
          <w:rPr>
            <w:szCs w:val="22"/>
          </w:rPr>
          <w:delText>D</w:delText>
        </w:r>
        <w:r w:rsidR="008979D5">
          <w:rPr>
            <w:szCs w:val="22"/>
          </w:rPr>
          <w:delText>oente</w:delText>
        </w:r>
        <w:r w:rsidRPr="008912CF">
          <w:rPr>
            <w:szCs w:val="22"/>
          </w:rPr>
          <w:delText>.</w:delText>
        </w:r>
      </w:del>
    </w:p>
    <w:p w14:paraId="317D980A" w14:textId="287B71B4" w:rsidR="004462A0" w:rsidRPr="008912CF" w:rsidRDefault="004462A0">
      <w:pPr>
        <w:rPr>
          <w:del w:id="4454" w:author="AbbVie2" w:date="2025-05-13T16:39:00Z"/>
          <w:szCs w:val="22"/>
        </w:rPr>
        <w:pPrChange w:id="4455" w:author="AbbVie2" w:date="2025-05-13T16:40:00Z">
          <w:pPr>
            <w:pStyle w:val="EndnoteText"/>
            <w:tabs>
              <w:tab w:val="clear" w:pos="567"/>
            </w:tabs>
          </w:pPr>
        </w:pPrChange>
      </w:pPr>
    </w:p>
    <w:p w14:paraId="3A3E8E53" w14:textId="19160D31" w:rsidR="004462A0" w:rsidRPr="008912CF" w:rsidRDefault="00615769">
      <w:pPr>
        <w:rPr>
          <w:del w:id="4456" w:author="AbbVie2" w:date="2025-05-13T16:39:00Z"/>
          <w:szCs w:val="22"/>
        </w:rPr>
        <w:pPrChange w:id="4457" w:author="AbbVie2" w:date="2025-05-13T16:40:00Z">
          <w:pPr>
            <w:pStyle w:val="EndnoteText"/>
            <w:tabs>
              <w:tab w:val="clear" w:pos="567"/>
            </w:tabs>
          </w:pPr>
        </w:pPrChange>
      </w:pPr>
      <w:del w:id="4458" w:author="AbbVie2" w:date="2025-05-13T16:39:00Z">
        <w:r w:rsidRPr="008912CF">
          <w:rPr>
            <w:szCs w:val="22"/>
          </w:rPr>
          <w:delText>Após receberem um treino adequado sobre a técnica de injeção, os doentes podem autoinjetar Humira se o médico assistente achar apropriado e sob acompanhamento médico, conforme necessário.</w:delText>
        </w:r>
      </w:del>
    </w:p>
    <w:p w14:paraId="0CE6E610" w14:textId="7E04C2B3" w:rsidR="004462A0" w:rsidRPr="008912CF" w:rsidRDefault="004462A0" w:rsidP="00412FC8">
      <w:pPr>
        <w:rPr>
          <w:del w:id="4459" w:author="AbbVie2" w:date="2025-05-13T16:39:00Z"/>
          <w:sz w:val="22"/>
          <w:szCs w:val="22"/>
        </w:rPr>
      </w:pPr>
    </w:p>
    <w:p w14:paraId="1114BA79" w14:textId="14AD63FE" w:rsidR="004462A0" w:rsidRPr="008912CF" w:rsidRDefault="00615769" w:rsidP="00412FC8">
      <w:pPr>
        <w:rPr>
          <w:del w:id="4460" w:author="AbbVie2" w:date="2025-05-13T16:39:00Z"/>
          <w:sz w:val="22"/>
          <w:szCs w:val="22"/>
        </w:rPr>
      </w:pPr>
      <w:del w:id="4461" w:author="AbbVie2" w:date="2025-05-13T16:39:00Z">
        <w:r w:rsidRPr="008912CF">
          <w:rPr>
            <w:sz w:val="22"/>
            <w:szCs w:val="22"/>
          </w:rPr>
          <w:delText>Durante o tratamento com Humira, a utilização de outras terapêuticas concomitantes (como por exemplo corticosteroides e/ou agentes imunomoduladores) deverá ser otimizada.</w:delText>
        </w:r>
      </w:del>
    </w:p>
    <w:p w14:paraId="63427272" w14:textId="5AE1D499" w:rsidR="004462A0" w:rsidRPr="008912CF" w:rsidRDefault="004462A0" w:rsidP="00412FC8">
      <w:pPr>
        <w:rPr>
          <w:del w:id="4462" w:author="AbbVie2" w:date="2025-05-13T16:39:00Z"/>
          <w:sz w:val="22"/>
          <w:szCs w:val="22"/>
        </w:rPr>
      </w:pPr>
    </w:p>
    <w:p w14:paraId="072D6BFD" w14:textId="0A14A1E8" w:rsidR="004462A0" w:rsidRPr="008912CF" w:rsidRDefault="00615769" w:rsidP="00412FC8">
      <w:pPr>
        <w:rPr>
          <w:del w:id="4463" w:author="AbbVie2" w:date="2025-05-13T16:39:00Z"/>
          <w:sz w:val="22"/>
          <w:szCs w:val="22"/>
          <w:u w:val="single"/>
        </w:rPr>
      </w:pPr>
      <w:del w:id="4464" w:author="AbbVie2" w:date="2025-05-13T16:39:00Z">
        <w:r w:rsidRPr="008912CF">
          <w:rPr>
            <w:sz w:val="22"/>
            <w:szCs w:val="22"/>
            <w:u w:val="single"/>
          </w:rPr>
          <w:delText>Posologia</w:delText>
        </w:r>
      </w:del>
    </w:p>
    <w:p w14:paraId="749483F3" w14:textId="5493F74E" w:rsidR="004462A0" w:rsidRPr="008912CF" w:rsidRDefault="004462A0" w:rsidP="00412FC8">
      <w:pPr>
        <w:rPr>
          <w:del w:id="4465" w:author="AbbVie2" w:date="2025-05-13T16:39:00Z"/>
          <w:sz w:val="22"/>
          <w:szCs w:val="22"/>
        </w:rPr>
      </w:pPr>
    </w:p>
    <w:p w14:paraId="00970694" w14:textId="05CB037B" w:rsidR="004462A0" w:rsidRPr="008912CF" w:rsidRDefault="00615769">
      <w:pPr>
        <w:rPr>
          <w:del w:id="4466" w:author="AbbVie2" w:date="2025-05-13T16:39:00Z"/>
          <w:szCs w:val="22"/>
          <w:u w:val="single"/>
        </w:rPr>
        <w:pPrChange w:id="4467" w:author="AbbVie2" w:date="2025-05-13T16:40:00Z">
          <w:pPr>
            <w:pStyle w:val="EndnoteText"/>
            <w:tabs>
              <w:tab w:val="clear" w:pos="567"/>
            </w:tabs>
          </w:pPr>
        </w:pPrChange>
      </w:pPr>
      <w:del w:id="4468" w:author="AbbVie2" w:date="2025-05-13T16:39:00Z">
        <w:r w:rsidRPr="008912CF">
          <w:rPr>
            <w:i/>
            <w:szCs w:val="22"/>
          </w:rPr>
          <w:delText>Artrite reumatoide</w:delText>
        </w:r>
      </w:del>
    </w:p>
    <w:p w14:paraId="3CE414A3" w14:textId="58513A48" w:rsidR="004462A0" w:rsidRPr="008912CF" w:rsidRDefault="004462A0" w:rsidP="00412FC8">
      <w:pPr>
        <w:rPr>
          <w:del w:id="4469" w:author="AbbVie2" w:date="2025-05-13T16:39:00Z"/>
          <w:sz w:val="22"/>
          <w:szCs w:val="22"/>
          <w:u w:val="single"/>
        </w:rPr>
      </w:pPr>
    </w:p>
    <w:p w14:paraId="14F885E3" w14:textId="5DB016B4" w:rsidR="004462A0" w:rsidRPr="008912CF" w:rsidRDefault="00615769" w:rsidP="00412FC8">
      <w:pPr>
        <w:rPr>
          <w:del w:id="4470" w:author="AbbVie2" w:date="2025-05-13T16:39:00Z"/>
          <w:sz w:val="22"/>
          <w:szCs w:val="22"/>
        </w:rPr>
      </w:pPr>
      <w:del w:id="4471" w:author="AbbVie2" w:date="2025-05-13T16:39:00Z">
        <w:r w:rsidRPr="008912CF">
          <w:rPr>
            <w:sz w:val="22"/>
            <w:szCs w:val="22"/>
          </w:rPr>
          <w:delText xml:space="preserve">A dose recomendada de Humira em doentes adultos com artrite reumatoide é de 40 mg de adalimumab, administrada em semanas alternadas, em dose única, por injeção subcutânea. </w:delText>
        </w:r>
        <w:r w:rsidR="000C7914">
          <w:rPr>
            <w:sz w:val="22"/>
            <w:szCs w:val="22"/>
          </w:rPr>
          <w:delText>M</w:delText>
        </w:r>
        <w:r w:rsidRPr="008912CF">
          <w:rPr>
            <w:sz w:val="22"/>
            <w:szCs w:val="22"/>
          </w:rPr>
          <w:delText xml:space="preserve">etotrexato deve ser continuado durante o tratamento com Humira. </w:delText>
        </w:r>
      </w:del>
    </w:p>
    <w:p w14:paraId="1D351E26" w14:textId="4763E78F" w:rsidR="004462A0" w:rsidRPr="008912CF" w:rsidRDefault="004462A0" w:rsidP="00412FC8">
      <w:pPr>
        <w:rPr>
          <w:del w:id="4472" w:author="AbbVie2" w:date="2025-05-13T16:39:00Z"/>
          <w:sz w:val="22"/>
          <w:szCs w:val="22"/>
        </w:rPr>
      </w:pPr>
    </w:p>
    <w:p w14:paraId="19D252A0" w14:textId="3C611509" w:rsidR="004462A0" w:rsidRPr="008912CF" w:rsidRDefault="00615769" w:rsidP="00412FC8">
      <w:pPr>
        <w:rPr>
          <w:del w:id="4473" w:author="AbbVie2" w:date="2025-05-13T16:39:00Z"/>
          <w:sz w:val="22"/>
          <w:szCs w:val="22"/>
        </w:rPr>
      </w:pPr>
      <w:del w:id="4474" w:author="AbbVie2" w:date="2025-05-13T16:39:00Z">
        <w:r w:rsidRPr="008912CF">
          <w:rPr>
            <w:sz w:val="22"/>
            <w:szCs w:val="22"/>
          </w:rPr>
          <w:delText>Durante o tratamento com Humira pode manter-se o tratamento com glucocorticoides, salicilatos, medicamentos anti-inflamatórios não esteroides ou analgésicos. Relativamente à associação com medicamentos anti</w:delText>
        </w:r>
        <w:r w:rsidR="00F96DDF">
          <w:rPr>
            <w:sz w:val="22"/>
            <w:szCs w:val="22"/>
          </w:rPr>
          <w:delText>-</w:delText>
        </w:r>
        <w:r w:rsidRPr="008912CF">
          <w:rPr>
            <w:sz w:val="22"/>
            <w:szCs w:val="22"/>
          </w:rPr>
          <w:delText>reumatismais modificadores da doença além d</w:delText>
        </w:r>
        <w:r w:rsidR="000C7914">
          <w:rPr>
            <w:sz w:val="22"/>
            <w:szCs w:val="22"/>
          </w:rPr>
          <w:delText>e</w:delText>
        </w:r>
        <w:r w:rsidRPr="008912CF">
          <w:rPr>
            <w:sz w:val="22"/>
            <w:szCs w:val="22"/>
          </w:rPr>
          <w:delText xml:space="preserve"> metotrexato ver secções 4.4 e 5.1.</w:delText>
        </w:r>
      </w:del>
    </w:p>
    <w:p w14:paraId="34B88E28" w14:textId="7370D754" w:rsidR="004462A0" w:rsidRPr="008912CF" w:rsidRDefault="004462A0" w:rsidP="00412FC8">
      <w:pPr>
        <w:rPr>
          <w:del w:id="4475" w:author="AbbVie2" w:date="2025-05-13T16:39:00Z"/>
          <w:sz w:val="22"/>
          <w:szCs w:val="22"/>
        </w:rPr>
      </w:pPr>
    </w:p>
    <w:p w14:paraId="273259B1" w14:textId="53DA7CDD" w:rsidR="004462A0" w:rsidRPr="008912CF" w:rsidRDefault="00615769" w:rsidP="00412FC8">
      <w:pPr>
        <w:rPr>
          <w:del w:id="4476" w:author="AbbVie2" w:date="2025-05-13T16:39:00Z"/>
          <w:sz w:val="22"/>
          <w:szCs w:val="22"/>
        </w:rPr>
      </w:pPr>
      <w:del w:id="4477" w:author="AbbVie2" w:date="2025-05-13T16:39:00Z">
        <w:r w:rsidRPr="008912CF">
          <w:rPr>
            <w:sz w:val="22"/>
            <w:szCs w:val="22"/>
          </w:rPr>
          <w:delText xml:space="preserve">Em monoterapia, alguns doentes que apresentaram uma resposta diminuída </w:delText>
        </w:r>
        <w:r w:rsidR="00CD2AEF">
          <w:rPr>
            <w:sz w:val="22"/>
            <w:szCs w:val="22"/>
          </w:rPr>
          <w:delText xml:space="preserve">com Humira 40 mg em semanas alternadas </w:delText>
        </w:r>
        <w:r w:rsidRPr="008912CF">
          <w:rPr>
            <w:sz w:val="22"/>
            <w:szCs w:val="22"/>
          </w:rPr>
          <w:delText>podem beneficiar com um aumento na dose até 40 mg de adalimumab semanalmente</w:delText>
        </w:r>
        <w:r w:rsidR="00CD2AEF">
          <w:rPr>
            <w:sz w:val="22"/>
            <w:szCs w:val="22"/>
          </w:rPr>
          <w:delText xml:space="preserve"> ou 80 mg em semanas alternadas</w:delText>
        </w:r>
        <w:r w:rsidRPr="008912CF">
          <w:rPr>
            <w:sz w:val="22"/>
            <w:szCs w:val="22"/>
          </w:rPr>
          <w:delText>.</w:delText>
        </w:r>
      </w:del>
    </w:p>
    <w:p w14:paraId="51A7A7E0" w14:textId="7FF4FBB1" w:rsidR="004462A0" w:rsidRPr="008912CF" w:rsidRDefault="004462A0" w:rsidP="00412FC8">
      <w:pPr>
        <w:rPr>
          <w:del w:id="4478" w:author="AbbVie2" w:date="2025-05-13T16:39:00Z"/>
          <w:sz w:val="22"/>
          <w:szCs w:val="22"/>
        </w:rPr>
      </w:pPr>
    </w:p>
    <w:p w14:paraId="27E02EA4" w14:textId="17FFEFDC" w:rsidR="004462A0" w:rsidRPr="008912CF" w:rsidRDefault="00615769">
      <w:pPr>
        <w:rPr>
          <w:del w:id="4479" w:author="AbbVie2" w:date="2025-05-13T16:39:00Z"/>
          <w:i/>
          <w:szCs w:val="22"/>
          <w:u w:val="single"/>
        </w:rPr>
        <w:pPrChange w:id="4480" w:author="AbbVie2" w:date="2025-05-13T16:40:00Z">
          <w:pPr>
            <w:pStyle w:val="EMEAFigureTitle"/>
            <w:tabs>
              <w:tab w:val="clear" w:pos="562"/>
            </w:tabs>
            <w:suppressAutoHyphens w:val="0"/>
          </w:pPr>
        </w:pPrChange>
      </w:pPr>
      <w:del w:id="4481" w:author="AbbVie2" w:date="2025-05-13T16:39:00Z">
        <w:r w:rsidRPr="008912CF">
          <w:rPr>
            <w:szCs w:val="22"/>
          </w:rPr>
          <w:delText>Os dados disponíveis sugerem que a resposta clínica é geralmente obtida após 12</w:delText>
        </w:r>
        <w:r>
          <w:rPr>
            <w:szCs w:val="22"/>
          </w:rPr>
          <w:delText> </w:delText>
        </w:r>
        <w:r w:rsidRPr="008912CF">
          <w:rPr>
            <w:szCs w:val="22"/>
          </w:rPr>
          <w:delText>semanas de tratamento. A continuação do tratamento deve ser reconsiderada num doente que não responda durante este período de tempo.</w:delText>
        </w:r>
      </w:del>
    </w:p>
    <w:p w14:paraId="5E6A237E" w14:textId="50A1951A" w:rsidR="004462A0" w:rsidRDefault="004462A0">
      <w:pPr>
        <w:rPr>
          <w:del w:id="4482" w:author="AbbVie2" w:date="2025-05-13T16:39:00Z"/>
          <w:szCs w:val="22"/>
        </w:rPr>
        <w:pPrChange w:id="4483" w:author="AbbVie2" w:date="2025-05-13T16:40:00Z">
          <w:pPr>
            <w:pStyle w:val="EMEAFigureTitle"/>
            <w:tabs>
              <w:tab w:val="clear" w:pos="562"/>
            </w:tabs>
            <w:suppressAutoHyphens w:val="0"/>
          </w:pPr>
        </w:pPrChange>
      </w:pPr>
    </w:p>
    <w:p w14:paraId="28E0716A" w14:textId="30636DD5" w:rsidR="00712E4D" w:rsidRDefault="00615769">
      <w:pPr>
        <w:rPr>
          <w:del w:id="4484" w:author="AbbVie2" w:date="2025-05-13T16:39:00Z"/>
          <w:szCs w:val="22"/>
        </w:rPr>
        <w:pPrChange w:id="4485" w:author="AbbVie2" w:date="2025-05-13T16:40:00Z">
          <w:pPr>
            <w:pStyle w:val="BodyText2"/>
            <w:autoSpaceDE/>
            <w:autoSpaceDN/>
            <w:adjustRightInd/>
          </w:pPr>
        </w:pPrChange>
      </w:pPr>
      <w:del w:id="4486" w:author="AbbVie2" w:date="2025-05-13T16:39:00Z">
        <w:r>
          <w:rPr>
            <w:szCs w:val="22"/>
          </w:rPr>
          <w:delText>Humira pode estar disponível em outras dosagens e/ou apresentações dependendo das necessidades de cada doente.</w:delText>
        </w:r>
      </w:del>
    </w:p>
    <w:p w14:paraId="456BC4C7" w14:textId="71795107" w:rsidR="00CD2AEF" w:rsidRPr="008A4736" w:rsidRDefault="00CD2AEF">
      <w:pPr>
        <w:rPr>
          <w:del w:id="4487" w:author="AbbVie2" w:date="2025-05-13T16:39:00Z"/>
          <w:i/>
          <w:szCs w:val="22"/>
          <w:u w:val="single"/>
        </w:rPr>
        <w:pPrChange w:id="4488" w:author="AbbVie2" w:date="2025-05-13T16:40:00Z">
          <w:pPr>
            <w:pStyle w:val="EMEAFigureTitle"/>
            <w:tabs>
              <w:tab w:val="clear" w:pos="562"/>
            </w:tabs>
            <w:suppressAutoHyphens w:val="0"/>
          </w:pPr>
        </w:pPrChange>
      </w:pPr>
    </w:p>
    <w:p w14:paraId="5268D4E4" w14:textId="1C0E123D" w:rsidR="004462A0" w:rsidRPr="008912CF" w:rsidRDefault="00615769">
      <w:pPr>
        <w:rPr>
          <w:del w:id="4489" w:author="AbbVie2" w:date="2025-05-13T16:39:00Z"/>
          <w:i/>
          <w:szCs w:val="22"/>
          <w:u w:val="single"/>
        </w:rPr>
        <w:pPrChange w:id="4490" w:author="AbbVie2" w:date="2025-05-13T16:40:00Z">
          <w:pPr>
            <w:pStyle w:val="EMEAFigureTitle"/>
            <w:keepNext/>
            <w:tabs>
              <w:tab w:val="clear" w:pos="562"/>
            </w:tabs>
            <w:suppressAutoHyphens w:val="0"/>
          </w:pPr>
        </w:pPrChange>
      </w:pPr>
      <w:del w:id="4491" w:author="AbbVie2" w:date="2025-05-13T16:39:00Z">
        <w:r w:rsidRPr="008912CF">
          <w:rPr>
            <w:i/>
            <w:szCs w:val="22"/>
            <w:u w:val="single"/>
          </w:rPr>
          <w:delText>Interrupção de dose</w:delText>
        </w:r>
      </w:del>
    </w:p>
    <w:p w14:paraId="1ABC1D6D" w14:textId="62DE6EBF" w:rsidR="004462A0" w:rsidRPr="008912CF" w:rsidRDefault="004462A0">
      <w:pPr>
        <w:rPr>
          <w:del w:id="4492" w:author="AbbVie2" w:date="2025-05-13T16:39:00Z"/>
          <w:sz w:val="22"/>
          <w:szCs w:val="22"/>
        </w:rPr>
        <w:pPrChange w:id="4493" w:author="AbbVie2" w:date="2025-05-13T16:40:00Z">
          <w:pPr>
            <w:keepNext/>
          </w:pPr>
        </w:pPrChange>
      </w:pPr>
    </w:p>
    <w:p w14:paraId="3DC195F8" w14:textId="0E43EFB9" w:rsidR="004462A0" w:rsidRPr="008912CF" w:rsidRDefault="00615769">
      <w:pPr>
        <w:rPr>
          <w:del w:id="4494" w:author="AbbVie2" w:date="2025-05-13T16:39:00Z"/>
          <w:sz w:val="22"/>
          <w:szCs w:val="22"/>
        </w:rPr>
        <w:pPrChange w:id="4495" w:author="AbbVie2" w:date="2025-05-13T16:40:00Z">
          <w:pPr>
            <w:keepNext/>
          </w:pPr>
        </w:pPrChange>
      </w:pPr>
      <w:del w:id="4496" w:author="AbbVie2" w:date="2025-05-13T16:39:00Z">
        <w:r w:rsidRPr="008912CF">
          <w:rPr>
            <w:sz w:val="22"/>
            <w:szCs w:val="22"/>
          </w:rPr>
          <w:delText>Pode haver necessidade de interromper o tratamento, por exemplo antes de uma cirurgia ou caso se verifique uma infeção grave.</w:delText>
        </w:r>
      </w:del>
    </w:p>
    <w:p w14:paraId="46A32DD9" w14:textId="5F504F44" w:rsidR="004462A0" w:rsidRPr="008912CF" w:rsidRDefault="004462A0" w:rsidP="00412FC8">
      <w:pPr>
        <w:rPr>
          <w:del w:id="4497" w:author="AbbVie2" w:date="2025-05-13T16:39:00Z"/>
          <w:sz w:val="22"/>
          <w:szCs w:val="22"/>
        </w:rPr>
      </w:pPr>
    </w:p>
    <w:p w14:paraId="7D22C71A" w14:textId="5286B252" w:rsidR="004462A0" w:rsidRPr="008912CF" w:rsidRDefault="00615769" w:rsidP="00412FC8">
      <w:pPr>
        <w:rPr>
          <w:del w:id="4498" w:author="AbbVie2" w:date="2025-05-13T16:39:00Z"/>
          <w:sz w:val="22"/>
          <w:szCs w:val="22"/>
        </w:rPr>
      </w:pPr>
      <w:del w:id="4499" w:author="AbbVie2" w:date="2025-05-13T16:39:00Z">
        <w:r w:rsidRPr="008912CF">
          <w:rPr>
            <w:sz w:val="22"/>
            <w:szCs w:val="22"/>
          </w:rPr>
          <w:delText>Dados disponíveis sugerem que a reintrodução de Humira após suspensão por 70</w:delText>
        </w:r>
        <w:r>
          <w:rPr>
            <w:sz w:val="22"/>
            <w:szCs w:val="22"/>
          </w:rPr>
          <w:delText> </w:delText>
        </w:r>
        <w:r w:rsidRPr="008912CF">
          <w:rPr>
            <w:sz w:val="22"/>
            <w:szCs w:val="22"/>
          </w:rPr>
          <w:delText>dias ou mais resultou numa resposta clínica com a mesma magnitude e perfil de segurança similar, tal como antes da interrupção.</w:delText>
        </w:r>
      </w:del>
    </w:p>
    <w:p w14:paraId="3A3D3884" w14:textId="1473CA8F" w:rsidR="004462A0" w:rsidRPr="008912CF" w:rsidRDefault="004462A0" w:rsidP="00412FC8">
      <w:pPr>
        <w:rPr>
          <w:del w:id="4500" w:author="AbbVie2" w:date="2025-05-13T16:39:00Z"/>
          <w:sz w:val="22"/>
          <w:szCs w:val="22"/>
        </w:rPr>
      </w:pPr>
    </w:p>
    <w:p w14:paraId="59ADF465" w14:textId="77787802" w:rsidR="004462A0" w:rsidRPr="008912CF" w:rsidRDefault="00615769">
      <w:pPr>
        <w:rPr>
          <w:del w:id="4501" w:author="AbbVie2" w:date="2025-05-13T16:39:00Z"/>
          <w:i/>
          <w:szCs w:val="22"/>
        </w:rPr>
        <w:pPrChange w:id="4502" w:author="AbbVie2" w:date="2025-05-13T16:40:00Z">
          <w:pPr>
            <w:pStyle w:val="Heading9"/>
            <w:keepNext w:val="0"/>
          </w:pPr>
        </w:pPrChange>
      </w:pPr>
      <w:del w:id="4503" w:author="AbbVie2" w:date="2025-05-13T16:39:00Z">
        <w:r w:rsidRPr="008912CF">
          <w:rPr>
            <w:i/>
            <w:szCs w:val="22"/>
          </w:rPr>
          <w:delText xml:space="preserve">Espondilite anquilosante, espondilartrite axial sem evidência radiográfica de </w:delText>
        </w:r>
        <w:r w:rsidR="00E21713">
          <w:rPr>
            <w:i/>
            <w:szCs w:val="22"/>
          </w:rPr>
          <w:delText>EA</w:delText>
        </w:r>
        <w:r w:rsidRPr="008912CF">
          <w:rPr>
            <w:i/>
            <w:szCs w:val="22"/>
          </w:rPr>
          <w:delText xml:space="preserve"> e artrite psoriática</w:delText>
        </w:r>
      </w:del>
    </w:p>
    <w:p w14:paraId="0185BBBC" w14:textId="63A0D7E4" w:rsidR="004462A0" w:rsidRPr="008912CF" w:rsidRDefault="004462A0" w:rsidP="00412FC8">
      <w:pPr>
        <w:rPr>
          <w:del w:id="4504" w:author="AbbVie2" w:date="2025-05-13T16:39:00Z"/>
          <w:sz w:val="22"/>
          <w:szCs w:val="22"/>
        </w:rPr>
      </w:pPr>
    </w:p>
    <w:p w14:paraId="027FC423" w14:textId="1984E501" w:rsidR="004462A0" w:rsidRPr="008912CF" w:rsidRDefault="00615769" w:rsidP="00412FC8">
      <w:pPr>
        <w:rPr>
          <w:del w:id="4505" w:author="AbbVie2" w:date="2025-05-13T16:39:00Z"/>
          <w:sz w:val="22"/>
          <w:szCs w:val="22"/>
        </w:rPr>
      </w:pPr>
      <w:del w:id="4506" w:author="AbbVie2" w:date="2025-05-13T16:39:00Z">
        <w:r w:rsidRPr="008912CF">
          <w:rPr>
            <w:sz w:val="22"/>
            <w:szCs w:val="22"/>
          </w:rPr>
          <w:delText xml:space="preserve">A dose recomendada de Humira em doentes com espondilite anquilosante, espondilartrite axial sem evidência radiográfica de EA e </w:delText>
        </w:r>
        <w:r w:rsidR="00E21713">
          <w:rPr>
            <w:sz w:val="22"/>
            <w:szCs w:val="22"/>
          </w:rPr>
          <w:delText xml:space="preserve">em doentes com </w:delText>
        </w:r>
        <w:r w:rsidRPr="008912CF">
          <w:rPr>
            <w:sz w:val="22"/>
            <w:szCs w:val="22"/>
          </w:rPr>
          <w:delText>artrite psoriática é de 40 mg de adalimumab administrada em semanas alternadas em dose única, por injeção subcutânea.</w:delText>
        </w:r>
      </w:del>
    </w:p>
    <w:p w14:paraId="7A9425F7" w14:textId="1A520AFE" w:rsidR="004462A0" w:rsidRPr="008912CF" w:rsidRDefault="004462A0" w:rsidP="00412FC8">
      <w:pPr>
        <w:rPr>
          <w:del w:id="4507" w:author="AbbVie2" w:date="2025-05-13T16:39:00Z"/>
          <w:sz w:val="22"/>
          <w:szCs w:val="22"/>
        </w:rPr>
      </w:pPr>
    </w:p>
    <w:p w14:paraId="2081635D" w14:textId="38359E77" w:rsidR="004462A0" w:rsidRPr="008912CF" w:rsidRDefault="00615769">
      <w:pPr>
        <w:rPr>
          <w:del w:id="4508" w:author="AbbVie2" w:date="2025-05-13T16:39:00Z"/>
          <w:szCs w:val="22"/>
        </w:rPr>
        <w:pPrChange w:id="4509" w:author="AbbVie2" w:date="2025-05-13T16:40:00Z">
          <w:pPr>
            <w:pStyle w:val="BodyText2"/>
            <w:autoSpaceDE/>
            <w:autoSpaceDN/>
            <w:adjustRightInd/>
          </w:pPr>
        </w:pPrChange>
      </w:pPr>
      <w:del w:id="4510" w:author="AbbVie2" w:date="2025-05-13T16:39:00Z">
        <w:r w:rsidRPr="008912CF">
          <w:rPr>
            <w:szCs w:val="22"/>
          </w:rPr>
          <w:delText>Os dados disponíveis sugerem que a resposta clínica é geralmente obtida após 12 semanas de tratamento. A continuação do tratamento deve ser reconsiderada num doente que não responda durante este período de tempo.</w:delText>
        </w:r>
      </w:del>
    </w:p>
    <w:p w14:paraId="1ECD9DDC" w14:textId="7C0D0A34" w:rsidR="004462A0" w:rsidRPr="008912CF" w:rsidRDefault="004462A0" w:rsidP="00412FC8">
      <w:pPr>
        <w:rPr>
          <w:del w:id="4511" w:author="AbbVie2" w:date="2025-05-13T16:39:00Z"/>
          <w:sz w:val="22"/>
          <w:szCs w:val="22"/>
        </w:rPr>
      </w:pPr>
    </w:p>
    <w:p w14:paraId="512DC7CE" w14:textId="013467F1" w:rsidR="004462A0" w:rsidRPr="008912CF" w:rsidRDefault="00615769">
      <w:pPr>
        <w:rPr>
          <w:del w:id="4512" w:author="AbbVie2" w:date="2025-05-13T16:39:00Z"/>
          <w:i/>
          <w:szCs w:val="22"/>
        </w:rPr>
        <w:pPrChange w:id="4513" w:author="AbbVie2" w:date="2025-05-13T16:40:00Z">
          <w:pPr>
            <w:pStyle w:val="DefaultText"/>
          </w:pPr>
        </w:pPrChange>
      </w:pPr>
      <w:del w:id="4514" w:author="AbbVie2" w:date="2025-05-13T16:39:00Z">
        <w:r w:rsidRPr="008912CF">
          <w:rPr>
            <w:i/>
            <w:szCs w:val="22"/>
          </w:rPr>
          <w:delText>Psoríase</w:delText>
        </w:r>
      </w:del>
    </w:p>
    <w:p w14:paraId="6456FD3B" w14:textId="5284276C" w:rsidR="004462A0" w:rsidRPr="008912CF" w:rsidRDefault="004462A0">
      <w:pPr>
        <w:rPr>
          <w:del w:id="4515" w:author="AbbVie2" w:date="2025-05-13T16:39:00Z"/>
          <w:szCs w:val="22"/>
        </w:rPr>
        <w:pPrChange w:id="4516" w:author="AbbVie2" w:date="2025-05-13T16:40:00Z">
          <w:pPr>
            <w:pStyle w:val="DefaultText"/>
          </w:pPr>
        </w:pPrChange>
      </w:pPr>
    </w:p>
    <w:p w14:paraId="783DA0A3" w14:textId="368E24E7" w:rsidR="004462A0" w:rsidRPr="008912CF" w:rsidRDefault="00615769" w:rsidP="00412FC8">
      <w:pPr>
        <w:rPr>
          <w:del w:id="4517" w:author="AbbVie2" w:date="2025-05-13T16:39:00Z"/>
          <w:sz w:val="22"/>
          <w:szCs w:val="22"/>
        </w:rPr>
      </w:pPr>
      <w:del w:id="4518" w:author="AbbVie2" w:date="2025-05-13T16:39:00Z">
        <w:r w:rsidRPr="008912CF">
          <w:rPr>
            <w:sz w:val="22"/>
            <w:szCs w:val="22"/>
          </w:rPr>
          <w:delText>A dose inicial recomendada de Humira em doentes adultos é de 80 mg administrada por via subcutânea, seguida de 40 mg em semanas alternadas, uma semana após a dose inicial.</w:delText>
        </w:r>
      </w:del>
    </w:p>
    <w:p w14:paraId="6F48961B" w14:textId="062A8431" w:rsidR="004462A0" w:rsidRPr="008912CF" w:rsidRDefault="004462A0">
      <w:pPr>
        <w:rPr>
          <w:del w:id="4519" w:author="AbbVie2" w:date="2025-05-13T16:39:00Z"/>
          <w:szCs w:val="22"/>
        </w:rPr>
        <w:pPrChange w:id="4520" w:author="AbbVie2" w:date="2025-05-13T16:40:00Z">
          <w:pPr>
            <w:pStyle w:val="EMEANormal"/>
          </w:pPr>
        </w:pPrChange>
      </w:pPr>
    </w:p>
    <w:p w14:paraId="4EB3849E" w14:textId="2460BB3D" w:rsidR="004462A0" w:rsidRPr="008912CF" w:rsidRDefault="00615769" w:rsidP="00412FC8">
      <w:pPr>
        <w:rPr>
          <w:del w:id="4521" w:author="AbbVie2" w:date="2025-05-13T16:39:00Z"/>
          <w:sz w:val="22"/>
          <w:szCs w:val="22"/>
        </w:rPr>
      </w:pPr>
      <w:del w:id="4522" w:author="AbbVie2" w:date="2025-05-13T16:39:00Z">
        <w:r w:rsidRPr="008912CF">
          <w:rPr>
            <w:sz w:val="22"/>
            <w:szCs w:val="22"/>
          </w:rPr>
          <w:delText>Uma terapêutica continuada para além de 16 semanas deve ser cuidadosamente reconsiderada em doentes que não responderam dentro deste período de tempo.</w:delText>
        </w:r>
      </w:del>
    </w:p>
    <w:p w14:paraId="57F37026" w14:textId="2DFBE1E9" w:rsidR="004462A0" w:rsidRPr="008912CF" w:rsidRDefault="004462A0" w:rsidP="00412FC8">
      <w:pPr>
        <w:rPr>
          <w:del w:id="4523" w:author="AbbVie2" w:date="2025-05-13T16:39:00Z"/>
          <w:sz w:val="22"/>
          <w:szCs w:val="22"/>
        </w:rPr>
      </w:pPr>
    </w:p>
    <w:p w14:paraId="312237F9" w14:textId="1FB8B870" w:rsidR="004462A0" w:rsidRPr="008912CF" w:rsidRDefault="00615769" w:rsidP="00412FC8">
      <w:pPr>
        <w:rPr>
          <w:del w:id="4524" w:author="AbbVie2" w:date="2025-05-13T16:39:00Z"/>
          <w:sz w:val="22"/>
          <w:szCs w:val="22"/>
        </w:rPr>
      </w:pPr>
      <w:del w:id="4525" w:author="AbbVie2" w:date="2025-05-13T16:39:00Z">
        <w:r w:rsidRPr="008912CF">
          <w:rPr>
            <w:sz w:val="22"/>
            <w:szCs w:val="22"/>
          </w:rPr>
          <w:delText>Após 16 semanas de tratamento, os doentes que não apresentem uma resposta adequada</w:delText>
        </w:r>
        <w:r w:rsidR="00712E4D">
          <w:rPr>
            <w:sz w:val="22"/>
            <w:szCs w:val="22"/>
          </w:rPr>
          <w:delText xml:space="preserve"> com Humira 40 mg em semanas alternadas</w:delText>
        </w:r>
        <w:r w:rsidRPr="008912CF">
          <w:rPr>
            <w:sz w:val="22"/>
            <w:szCs w:val="22"/>
          </w:rPr>
          <w:delText xml:space="preserve"> podem beneficiar de um aumento da dose para 40</w:delText>
        </w:r>
        <w:r>
          <w:rPr>
            <w:sz w:val="22"/>
            <w:szCs w:val="22"/>
          </w:rPr>
          <w:delText> </w:delText>
        </w:r>
        <w:r w:rsidRPr="008912CF">
          <w:rPr>
            <w:sz w:val="22"/>
            <w:szCs w:val="22"/>
          </w:rPr>
          <w:delText>mg por semana</w:delText>
        </w:r>
        <w:r w:rsidR="00712E4D">
          <w:rPr>
            <w:sz w:val="22"/>
            <w:szCs w:val="22"/>
          </w:rPr>
          <w:delText xml:space="preserve"> ou 80 mg em semanas alternadas</w:delText>
        </w:r>
        <w:r w:rsidRPr="008912CF">
          <w:rPr>
            <w:sz w:val="22"/>
            <w:szCs w:val="22"/>
          </w:rPr>
          <w:delText xml:space="preserve">. Os benefícios e riscos do tratamento continuado com </w:delText>
        </w:r>
        <w:r w:rsidR="007346E8">
          <w:rPr>
            <w:sz w:val="22"/>
            <w:szCs w:val="22"/>
          </w:rPr>
          <w:delText>40 mg semanalmente ou 80 mg em semanas alternadas</w:delText>
        </w:r>
        <w:r w:rsidRPr="008912CF">
          <w:rPr>
            <w:sz w:val="22"/>
            <w:szCs w:val="22"/>
          </w:rPr>
          <w:delText xml:space="preserve"> deverão ser cuidadosamente considerados em doentes com uma </w:delText>
        </w:r>
        <w:r w:rsidRPr="008912CF">
          <w:rPr>
            <w:sz w:val="22"/>
            <w:szCs w:val="22"/>
          </w:rPr>
          <w:delText xml:space="preserve">resposta inadequada após o aumento da dose (ver secção 5.1). Se for obtida uma resposta adequada com </w:delText>
        </w:r>
        <w:r w:rsidR="007346E8">
          <w:rPr>
            <w:sz w:val="22"/>
            <w:szCs w:val="22"/>
          </w:rPr>
          <w:delText xml:space="preserve">40 mg </w:delText>
        </w:r>
        <w:r w:rsidR="00E21713">
          <w:rPr>
            <w:sz w:val="22"/>
            <w:szCs w:val="22"/>
          </w:rPr>
          <w:delText xml:space="preserve">por semana </w:delText>
        </w:r>
        <w:r w:rsidR="007346E8">
          <w:rPr>
            <w:sz w:val="22"/>
            <w:szCs w:val="22"/>
          </w:rPr>
          <w:delText>ou 80 mg em semanas alternadas</w:delText>
        </w:r>
        <w:r w:rsidRPr="008912CF">
          <w:rPr>
            <w:sz w:val="22"/>
            <w:szCs w:val="22"/>
          </w:rPr>
          <w:delText xml:space="preserve"> </w:delText>
        </w:r>
        <w:r w:rsidR="00E21713">
          <w:rPr>
            <w:sz w:val="22"/>
            <w:szCs w:val="22"/>
          </w:rPr>
          <w:delText>a dose</w:delText>
        </w:r>
        <w:r w:rsidR="00E21713" w:rsidRPr="008912CF">
          <w:rPr>
            <w:sz w:val="22"/>
            <w:szCs w:val="22"/>
          </w:rPr>
          <w:delText xml:space="preserve"> </w:delText>
        </w:r>
        <w:r w:rsidRPr="008912CF">
          <w:rPr>
            <w:sz w:val="22"/>
            <w:szCs w:val="22"/>
          </w:rPr>
          <w:delText>pode ser reduzida, subsequentemente, para 40</w:delText>
        </w:r>
        <w:r>
          <w:rPr>
            <w:sz w:val="22"/>
            <w:szCs w:val="22"/>
          </w:rPr>
          <w:delText> </w:delText>
        </w:r>
        <w:r w:rsidRPr="008912CF">
          <w:rPr>
            <w:sz w:val="22"/>
            <w:szCs w:val="22"/>
          </w:rPr>
          <w:delText>mg em semanas alternadas.</w:delText>
        </w:r>
      </w:del>
    </w:p>
    <w:p w14:paraId="08CA20F4" w14:textId="0C886912" w:rsidR="004462A0" w:rsidRDefault="004462A0" w:rsidP="00412FC8">
      <w:pPr>
        <w:rPr>
          <w:del w:id="4526" w:author="AbbVie2" w:date="2025-05-13T16:39:00Z"/>
          <w:sz w:val="22"/>
          <w:szCs w:val="22"/>
        </w:rPr>
      </w:pPr>
    </w:p>
    <w:p w14:paraId="4D5EEDC8" w14:textId="1F150B59" w:rsidR="00712E4D" w:rsidRDefault="00615769">
      <w:pPr>
        <w:rPr>
          <w:del w:id="4527" w:author="AbbVie2" w:date="2025-05-13T16:39:00Z"/>
          <w:szCs w:val="22"/>
        </w:rPr>
        <w:pPrChange w:id="4528" w:author="AbbVie2" w:date="2025-05-13T16:40:00Z">
          <w:pPr>
            <w:pStyle w:val="BodyText2"/>
            <w:autoSpaceDE/>
            <w:autoSpaceDN/>
            <w:adjustRightInd/>
          </w:pPr>
        </w:pPrChange>
      </w:pPr>
      <w:del w:id="4529" w:author="AbbVie2" w:date="2025-05-13T16:39:00Z">
        <w:r>
          <w:rPr>
            <w:szCs w:val="22"/>
          </w:rPr>
          <w:delText>Humira pode estar disponível em outras dosagens e/ou apresentações dependendo das necessidades de cada doente.</w:delText>
        </w:r>
      </w:del>
    </w:p>
    <w:p w14:paraId="4DD4F3E3" w14:textId="056118FF" w:rsidR="00712E4D" w:rsidRPr="008912CF" w:rsidRDefault="00712E4D" w:rsidP="00412FC8">
      <w:pPr>
        <w:rPr>
          <w:del w:id="4530" w:author="AbbVie2" w:date="2025-05-13T16:39:00Z"/>
          <w:sz w:val="22"/>
          <w:szCs w:val="22"/>
        </w:rPr>
      </w:pPr>
    </w:p>
    <w:p w14:paraId="7D9D2A52" w14:textId="5B5FA2C8" w:rsidR="004462A0" w:rsidRPr="008912CF" w:rsidRDefault="00615769" w:rsidP="00412FC8">
      <w:pPr>
        <w:rPr>
          <w:del w:id="4531" w:author="AbbVie2" w:date="2025-05-13T16:39:00Z"/>
          <w:i/>
          <w:sz w:val="22"/>
          <w:szCs w:val="22"/>
        </w:rPr>
      </w:pPr>
      <w:del w:id="4532" w:author="AbbVie2" w:date="2025-05-13T16:39:00Z">
        <w:r w:rsidRPr="008912CF">
          <w:rPr>
            <w:i/>
            <w:sz w:val="22"/>
            <w:szCs w:val="22"/>
          </w:rPr>
          <w:delText>Hidradenite supurativa</w:delText>
        </w:r>
      </w:del>
    </w:p>
    <w:p w14:paraId="116D8A59" w14:textId="7EF4CB83" w:rsidR="004462A0" w:rsidRPr="008912CF" w:rsidRDefault="004462A0" w:rsidP="00412FC8">
      <w:pPr>
        <w:rPr>
          <w:del w:id="4533" w:author="AbbVie2" w:date="2025-05-13T16:39:00Z"/>
          <w:sz w:val="22"/>
          <w:szCs w:val="22"/>
        </w:rPr>
      </w:pPr>
    </w:p>
    <w:p w14:paraId="326123DE" w14:textId="26F88626" w:rsidR="004462A0" w:rsidRPr="008912CF" w:rsidRDefault="00615769" w:rsidP="00412FC8">
      <w:pPr>
        <w:rPr>
          <w:del w:id="4534" w:author="AbbVie2" w:date="2025-05-13T16:39:00Z"/>
          <w:sz w:val="22"/>
          <w:szCs w:val="22"/>
        </w:rPr>
      </w:pPr>
      <w:del w:id="4535" w:author="AbbVie2" w:date="2025-05-13T16:39:00Z">
        <w:r w:rsidRPr="008912CF">
          <w:rPr>
            <w:sz w:val="22"/>
            <w:szCs w:val="22"/>
          </w:rPr>
          <w:delText>A dose inicial recomendada de Humira em doentes adultos com hidradenite supurativa (HS) é de 160 mg no dia 1 (quatro injeções de 40 mg num dia ou duas injeções de 40 mg por dia, em dois dias consecutivos), seguida de 80 mg duas semanas após a dose inicial, no dia 15 (administrada em duas injeções de 40 mg num dia). Duas semanas mais tarde (dia 29) continuar com uma dose de 40 mg todas as semanas</w:delText>
        </w:r>
        <w:r w:rsidR="000821DB">
          <w:rPr>
            <w:sz w:val="22"/>
            <w:szCs w:val="22"/>
          </w:rPr>
          <w:delText xml:space="preserve"> ou 80 mg em semanas alternadas (administrada em duas injeções de 40 mg num dia)</w:delText>
        </w:r>
        <w:r w:rsidRPr="008912CF">
          <w:rPr>
            <w:sz w:val="22"/>
            <w:szCs w:val="22"/>
          </w:rPr>
          <w:delText>. Durante o tratamento com Humira, pode manter-se o tratamento com antibióticos, se necessário. Recomenda-se que o doente use um anti-séptico tópico de lavagem nas lesões de HS, numa base diária, durante o tratamento com Humira.</w:delText>
        </w:r>
      </w:del>
    </w:p>
    <w:p w14:paraId="53A9C394" w14:textId="273F1DEC" w:rsidR="004462A0" w:rsidRPr="008912CF" w:rsidRDefault="004462A0" w:rsidP="00412FC8">
      <w:pPr>
        <w:rPr>
          <w:del w:id="4536" w:author="AbbVie2" w:date="2025-05-13T16:39:00Z"/>
          <w:sz w:val="22"/>
          <w:szCs w:val="22"/>
        </w:rPr>
      </w:pPr>
    </w:p>
    <w:p w14:paraId="32C0ECFE" w14:textId="2D5D94E1" w:rsidR="004462A0" w:rsidRPr="008912CF" w:rsidRDefault="00615769" w:rsidP="00412FC8">
      <w:pPr>
        <w:rPr>
          <w:del w:id="4537" w:author="AbbVie2" w:date="2025-05-13T16:39:00Z"/>
          <w:sz w:val="22"/>
          <w:szCs w:val="22"/>
        </w:rPr>
      </w:pPr>
      <w:del w:id="4538" w:author="AbbVie2" w:date="2025-05-13T16:39:00Z">
        <w:r w:rsidRPr="008912CF">
          <w:rPr>
            <w:sz w:val="22"/>
            <w:szCs w:val="22"/>
          </w:rPr>
          <w:delText xml:space="preserve">Uma terapêutica continuada para além das 12 semanas deve ser cuidadosamente reconsiderada em doentes que não apresentaram melhoria neste período de tempo. </w:delText>
        </w:r>
      </w:del>
    </w:p>
    <w:p w14:paraId="2E509927" w14:textId="7A2558CC" w:rsidR="004462A0" w:rsidRPr="008912CF" w:rsidRDefault="004462A0" w:rsidP="00412FC8">
      <w:pPr>
        <w:rPr>
          <w:del w:id="4539" w:author="AbbVie2" w:date="2025-05-13T16:39:00Z"/>
          <w:sz w:val="22"/>
          <w:szCs w:val="22"/>
        </w:rPr>
      </w:pPr>
    </w:p>
    <w:p w14:paraId="65102E94" w14:textId="1E80034F" w:rsidR="004462A0" w:rsidRPr="008912CF" w:rsidRDefault="00615769" w:rsidP="00412FC8">
      <w:pPr>
        <w:rPr>
          <w:del w:id="4540" w:author="AbbVie2" w:date="2025-05-13T16:39:00Z"/>
          <w:sz w:val="22"/>
          <w:szCs w:val="22"/>
        </w:rPr>
      </w:pPr>
      <w:del w:id="4541" w:author="AbbVie2" w:date="2025-05-13T16:39:00Z">
        <w:r w:rsidRPr="008912CF">
          <w:rPr>
            <w:sz w:val="22"/>
            <w:szCs w:val="22"/>
          </w:rPr>
          <w:delText>Caso haja necessidade de interromper o tratamento, Humira 40</w:delText>
        </w:r>
        <w:r>
          <w:rPr>
            <w:sz w:val="22"/>
            <w:szCs w:val="22"/>
          </w:rPr>
          <w:delText> </w:delText>
        </w:r>
        <w:r w:rsidRPr="008912CF">
          <w:rPr>
            <w:sz w:val="22"/>
            <w:szCs w:val="22"/>
          </w:rPr>
          <w:delText>mg</w:delText>
        </w:r>
        <w:r w:rsidR="008A4736">
          <w:rPr>
            <w:sz w:val="22"/>
            <w:szCs w:val="22"/>
          </w:rPr>
          <w:delText xml:space="preserve"> </w:delText>
        </w:r>
        <w:r w:rsidR="00E21713">
          <w:rPr>
            <w:sz w:val="22"/>
            <w:szCs w:val="22"/>
          </w:rPr>
          <w:delText>por semana</w:delText>
        </w:r>
        <w:r w:rsidR="00E21713" w:rsidRPr="008912CF">
          <w:rPr>
            <w:sz w:val="22"/>
            <w:szCs w:val="22"/>
          </w:rPr>
          <w:delText xml:space="preserve"> </w:delText>
        </w:r>
        <w:r w:rsidR="007C7304">
          <w:rPr>
            <w:sz w:val="22"/>
            <w:szCs w:val="22"/>
          </w:rPr>
          <w:delText xml:space="preserve">ou 80 mg em semanas alternadas </w:delText>
        </w:r>
        <w:r w:rsidRPr="008912CF">
          <w:rPr>
            <w:sz w:val="22"/>
            <w:szCs w:val="22"/>
          </w:rPr>
          <w:delText>pode ser reintroduzido (ver secção 5.1).</w:delText>
        </w:r>
      </w:del>
    </w:p>
    <w:p w14:paraId="38D7D38F" w14:textId="300BB9C1" w:rsidR="004462A0" w:rsidRPr="008912CF" w:rsidRDefault="004462A0" w:rsidP="00412FC8">
      <w:pPr>
        <w:rPr>
          <w:del w:id="4542" w:author="AbbVie2" w:date="2025-05-13T16:39:00Z"/>
          <w:sz w:val="22"/>
          <w:szCs w:val="22"/>
        </w:rPr>
      </w:pPr>
    </w:p>
    <w:p w14:paraId="4ADBEF16" w14:textId="1AE18874" w:rsidR="00E21713" w:rsidRDefault="00615769">
      <w:pPr>
        <w:rPr>
          <w:del w:id="4543" w:author="AbbVie2" w:date="2025-05-13T16:39:00Z"/>
          <w:szCs w:val="22"/>
        </w:rPr>
        <w:pPrChange w:id="4544" w:author="AbbVie2" w:date="2025-05-13T16:40:00Z">
          <w:pPr>
            <w:pStyle w:val="BodyText2"/>
            <w:autoSpaceDE/>
            <w:autoSpaceDN/>
            <w:adjustRightInd/>
          </w:pPr>
        </w:pPrChange>
      </w:pPr>
      <w:del w:id="4545" w:author="AbbVie2" w:date="2025-05-13T16:39:00Z">
        <w:r w:rsidRPr="008912CF">
          <w:rPr>
            <w:szCs w:val="22"/>
          </w:rPr>
          <w:delText>O benefício e risco d</w:delText>
        </w:r>
        <w:r w:rsidR="00142C8C">
          <w:rPr>
            <w:szCs w:val="22"/>
          </w:rPr>
          <w:delText>a</w:delText>
        </w:r>
        <w:r w:rsidRPr="008912CF">
          <w:rPr>
            <w:szCs w:val="22"/>
          </w:rPr>
          <w:delText xml:space="preserve"> continuação do tratamento a longo prazo devem ser avaliados periodicamente </w:delText>
        </w:r>
        <w:r w:rsidR="007C7304" w:rsidRPr="008912CF">
          <w:rPr>
            <w:szCs w:val="22"/>
          </w:rPr>
          <w:delText>(ver secção 5.1).</w:delText>
        </w:r>
        <w:r w:rsidR="000610BF">
          <w:rPr>
            <w:szCs w:val="22"/>
          </w:rPr>
          <w:delText xml:space="preserve"> </w:delText>
        </w:r>
      </w:del>
    </w:p>
    <w:p w14:paraId="72700C89" w14:textId="593C979E" w:rsidR="00E21713" w:rsidRDefault="00E21713">
      <w:pPr>
        <w:rPr>
          <w:del w:id="4546" w:author="AbbVie2" w:date="2025-05-13T16:39:00Z"/>
          <w:szCs w:val="22"/>
        </w:rPr>
        <w:pPrChange w:id="4547" w:author="AbbVie2" w:date="2025-05-13T16:40:00Z">
          <w:pPr>
            <w:pStyle w:val="BodyText2"/>
            <w:autoSpaceDE/>
            <w:autoSpaceDN/>
            <w:adjustRightInd/>
          </w:pPr>
        </w:pPrChange>
      </w:pPr>
    </w:p>
    <w:p w14:paraId="4F9DD30A" w14:textId="57645BFD" w:rsidR="007C7304" w:rsidRDefault="00615769">
      <w:pPr>
        <w:rPr>
          <w:del w:id="4548" w:author="AbbVie2" w:date="2025-05-13T16:39:00Z"/>
          <w:szCs w:val="22"/>
        </w:rPr>
        <w:pPrChange w:id="4549" w:author="AbbVie2" w:date="2025-05-13T16:40:00Z">
          <w:pPr>
            <w:pStyle w:val="BodyText2"/>
            <w:autoSpaceDE/>
            <w:autoSpaceDN/>
            <w:adjustRightInd/>
          </w:pPr>
        </w:pPrChange>
      </w:pPr>
      <w:del w:id="4550" w:author="AbbVie2" w:date="2025-05-13T16:39:00Z">
        <w:r>
          <w:rPr>
            <w:szCs w:val="22"/>
          </w:rPr>
          <w:delText>Humira pode estar disponível em outras dosagens e/ou apresentações dependendo das necessidades de cada doente.</w:delText>
        </w:r>
      </w:del>
    </w:p>
    <w:p w14:paraId="74B5F66E" w14:textId="4029D60C" w:rsidR="007C7304" w:rsidRPr="008912CF" w:rsidRDefault="007C7304" w:rsidP="00412FC8">
      <w:pPr>
        <w:rPr>
          <w:del w:id="4551" w:author="AbbVie2" w:date="2025-05-13T16:39:00Z"/>
          <w:sz w:val="22"/>
          <w:szCs w:val="22"/>
        </w:rPr>
      </w:pPr>
    </w:p>
    <w:p w14:paraId="03BBC4F6" w14:textId="09022247" w:rsidR="004462A0" w:rsidRPr="008912CF" w:rsidRDefault="00615769">
      <w:pPr>
        <w:rPr>
          <w:del w:id="4552" w:author="AbbVie2" w:date="2025-05-13T16:39:00Z"/>
          <w:szCs w:val="22"/>
        </w:rPr>
        <w:pPrChange w:id="4553" w:author="AbbVie2" w:date="2025-05-13T16:40:00Z">
          <w:pPr>
            <w:pStyle w:val="Heading9"/>
          </w:pPr>
        </w:pPrChange>
      </w:pPr>
      <w:del w:id="4554" w:author="AbbVie2" w:date="2025-05-13T16:39:00Z">
        <w:r w:rsidRPr="008912CF">
          <w:rPr>
            <w:i/>
            <w:szCs w:val="22"/>
          </w:rPr>
          <w:delText>Doença de Crohn</w:delText>
        </w:r>
      </w:del>
    </w:p>
    <w:p w14:paraId="557FD387" w14:textId="31E9A1AF" w:rsidR="004462A0" w:rsidRPr="008912CF" w:rsidRDefault="004462A0">
      <w:pPr>
        <w:rPr>
          <w:del w:id="4555" w:author="AbbVie2" w:date="2025-05-13T16:39:00Z"/>
          <w:sz w:val="22"/>
          <w:szCs w:val="22"/>
        </w:rPr>
        <w:pPrChange w:id="4556" w:author="AbbVie2" w:date="2025-05-13T16:40:00Z">
          <w:pPr>
            <w:keepNext/>
          </w:pPr>
        </w:pPrChange>
      </w:pPr>
    </w:p>
    <w:p w14:paraId="23E2CACB" w14:textId="1C36CC88" w:rsidR="004462A0" w:rsidRPr="008912CF" w:rsidRDefault="00615769">
      <w:pPr>
        <w:rPr>
          <w:del w:id="4557" w:author="AbbVie2" w:date="2025-05-13T16:39:00Z"/>
          <w:sz w:val="22"/>
          <w:szCs w:val="22"/>
        </w:rPr>
        <w:pPrChange w:id="4558" w:author="AbbVie2" w:date="2025-05-13T16:40:00Z">
          <w:pPr>
            <w:keepNext/>
          </w:pPr>
        </w:pPrChange>
      </w:pPr>
      <w:del w:id="4559" w:author="AbbVie2" w:date="2025-05-13T16:39:00Z">
        <w:r w:rsidRPr="008912CF">
          <w:rPr>
            <w:sz w:val="22"/>
            <w:szCs w:val="22"/>
          </w:rPr>
          <w:delText>A dose de indução recomendada de Humira em doentes adultos com doença de Crohn ativa moderada a grave é de 80 mg na Semana 0, seguida de 40 mg na Semana 2. No caso de haver necessidade de uma resposta mais rápida à terapêutica, pode ser usada a dose de 160 mg na Semana 0 (</w:delText>
        </w:r>
        <w:r w:rsidR="007C7304">
          <w:rPr>
            <w:sz w:val="22"/>
            <w:szCs w:val="22"/>
          </w:rPr>
          <w:delText xml:space="preserve">administrada </w:delText>
        </w:r>
        <w:r w:rsidRPr="008912CF">
          <w:rPr>
            <w:sz w:val="22"/>
            <w:szCs w:val="22"/>
          </w:rPr>
          <w:delText xml:space="preserve">em quatro injeções </w:delText>
        </w:r>
        <w:r w:rsidR="00142C8C">
          <w:rPr>
            <w:sz w:val="22"/>
            <w:szCs w:val="22"/>
          </w:rPr>
          <w:delText xml:space="preserve">de 40 mg </w:delText>
        </w:r>
        <w:r w:rsidRPr="008912CF">
          <w:rPr>
            <w:sz w:val="22"/>
            <w:szCs w:val="22"/>
          </w:rPr>
          <w:delText xml:space="preserve">num dia ou duas injeções </w:delText>
        </w:r>
        <w:r w:rsidR="00142C8C">
          <w:rPr>
            <w:sz w:val="22"/>
            <w:szCs w:val="22"/>
          </w:rPr>
          <w:delText xml:space="preserve">de 40 mg </w:delText>
        </w:r>
        <w:r w:rsidRPr="008912CF">
          <w:rPr>
            <w:sz w:val="22"/>
            <w:szCs w:val="22"/>
          </w:rPr>
          <w:delText>por dia</w:delText>
        </w:r>
        <w:r w:rsidR="00142C8C">
          <w:rPr>
            <w:sz w:val="22"/>
            <w:szCs w:val="22"/>
          </w:rPr>
          <w:delText>,</w:delText>
        </w:r>
        <w:r w:rsidRPr="008912CF">
          <w:rPr>
            <w:sz w:val="22"/>
            <w:szCs w:val="22"/>
          </w:rPr>
          <w:delText xml:space="preserve"> em dois dias consecutivos), </w:delText>
        </w:r>
        <w:r w:rsidR="00F4016C">
          <w:rPr>
            <w:sz w:val="22"/>
            <w:szCs w:val="22"/>
          </w:rPr>
          <w:delText>seguida d</w:delText>
        </w:r>
        <w:r w:rsidR="00142C8C">
          <w:rPr>
            <w:sz w:val="22"/>
            <w:szCs w:val="22"/>
          </w:rPr>
          <w:delText xml:space="preserve">e </w:delText>
        </w:r>
        <w:r w:rsidRPr="008912CF">
          <w:rPr>
            <w:sz w:val="22"/>
            <w:szCs w:val="22"/>
          </w:rPr>
          <w:delText>80 mg na Semana 2</w:delText>
        </w:r>
        <w:r w:rsidR="007C7304">
          <w:rPr>
            <w:sz w:val="22"/>
            <w:szCs w:val="22"/>
          </w:rPr>
          <w:delText xml:space="preserve"> (administrada em duas injeções de 40 mg num dia)</w:delText>
        </w:r>
        <w:r w:rsidRPr="008912CF">
          <w:rPr>
            <w:sz w:val="22"/>
            <w:szCs w:val="22"/>
          </w:rPr>
          <w:delText>, atendendo que o risco de acontecimentos adversos é maior durante a indução.</w:delText>
        </w:r>
      </w:del>
    </w:p>
    <w:p w14:paraId="4E8AA509" w14:textId="7D514782" w:rsidR="004462A0" w:rsidRPr="008912CF" w:rsidRDefault="004462A0" w:rsidP="00412FC8">
      <w:pPr>
        <w:rPr>
          <w:del w:id="4560" w:author="AbbVie2" w:date="2025-05-13T16:39:00Z"/>
          <w:sz w:val="22"/>
          <w:szCs w:val="22"/>
        </w:rPr>
      </w:pPr>
    </w:p>
    <w:p w14:paraId="37EA3B90" w14:textId="2559B34D" w:rsidR="004462A0" w:rsidRPr="008912CF" w:rsidRDefault="00615769" w:rsidP="00412FC8">
      <w:pPr>
        <w:rPr>
          <w:del w:id="4561" w:author="AbbVie2" w:date="2025-05-13T16:39:00Z"/>
          <w:sz w:val="22"/>
          <w:szCs w:val="22"/>
        </w:rPr>
      </w:pPr>
      <w:del w:id="4562" w:author="AbbVie2" w:date="2025-05-13T16:39:00Z">
        <w:r w:rsidRPr="008912CF">
          <w:rPr>
            <w:sz w:val="22"/>
            <w:szCs w:val="22"/>
          </w:rPr>
          <w:delText>Após o tratamento de indução, a dose recomendada é de 40 mg em semanas alternadas por injeção subcutânea. Se um doente suspender Humira e se houver recorrência dos sinais e sintomas da doença, Humira pode ser readministrado. Existe pouca experiência na readministração para além das 8 semanas após a dose anterior.</w:delText>
        </w:r>
      </w:del>
    </w:p>
    <w:p w14:paraId="2FFBCF5E" w14:textId="7D405D3F" w:rsidR="004462A0" w:rsidRPr="008912CF" w:rsidRDefault="004462A0" w:rsidP="00412FC8">
      <w:pPr>
        <w:rPr>
          <w:del w:id="4563" w:author="AbbVie2" w:date="2025-05-13T16:39:00Z"/>
          <w:sz w:val="22"/>
          <w:szCs w:val="22"/>
        </w:rPr>
      </w:pPr>
    </w:p>
    <w:p w14:paraId="6A4F0AA2" w14:textId="05AB1C0E" w:rsidR="004462A0" w:rsidRPr="008912CF" w:rsidRDefault="00615769" w:rsidP="00412FC8">
      <w:pPr>
        <w:rPr>
          <w:del w:id="4564" w:author="AbbVie2" w:date="2025-05-13T16:39:00Z"/>
          <w:sz w:val="22"/>
          <w:szCs w:val="22"/>
        </w:rPr>
      </w:pPr>
      <w:del w:id="4565" w:author="AbbVie2" w:date="2025-05-13T16:39:00Z">
        <w:r w:rsidRPr="008912CF">
          <w:rPr>
            <w:sz w:val="22"/>
            <w:szCs w:val="22"/>
          </w:rPr>
          <w:delText>Durante o tratamento de manutenção, os corticosteroides podem ser ajustados de acordo com as normas orientadoras da prática clínica.</w:delText>
        </w:r>
      </w:del>
    </w:p>
    <w:p w14:paraId="7557DF9C" w14:textId="105FFCD6" w:rsidR="004462A0" w:rsidRPr="008912CF" w:rsidRDefault="004462A0" w:rsidP="00412FC8">
      <w:pPr>
        <w:rPr>
          <w:del w:id="4566" w:author="AbbVie2" w:date="2025-05-13T16:39:00Z"/>
          <w:sz w:val="22"/>
          <w:szCs w:val="22"/>
        </w:rPr>
      </w:pPr>
    </w:p>
    <w:p w14:paraId="472A600D" w14:textId="09961731" w:rsidR="004462A0" w:rsidRPr="008912CF" w:rsidRDefault="00615769" w:rsidP="00412FC8">
      <w:pPr>
        <w:rPr>
          <w:del w:id="4567" w:author="AbbVie2" w:date="2025-05-13T16:39:00Z"/>
          <w:sz w:val="22"/>
          <w:szCs w:val="22"/>
        </w:rPr>
      </w:pPr>
      <w:del w:id="4568" w:author="AbbVie2" w:date="2025-05-13T16:39:00Z">
        <w:r w:rsidRPr="008912CF">
          <w:rPr>
            <w:sz w:val="22"/>
            <w:szCs w:val="22"/>
          </w:rPr>
          <w:delText>Alguns doentes que apresentaram diminuição na sua resposta terapêutica</w:delText>
        </w:r>
        <w:r w:rsidR="004E18EF">
          <w:rPr>
            <w:sz w:val="22"/>
            <w:szCs w:val="22"/>
          </w:rPr>
          <w:delText xml:space="preserve"> com Humira 40 mg em semanas alternadas</w:delText>
        </w:r>
        <w:r w:rsidRPr="008912CF">
          <w:rPr>
            <w:sz w:val="22"/>
            <w:szCs w:val="22"/>
          </w:rPr>
          <w:delText xml:space="preserve"> podem beneficiar com um aumento da dose para 40 mg de Humira todas as semanas</w:delText>
        </w:r>
        <w:r w:rsidR="004E18EF">
          <w:rPr>
            <w:sz w:val="22"/>
            <w:szCs w:val="22"/>
          </w:rPr>
          <w:delText xml:space="preserve"> ou 80 mg em semanas alternadas</w:delText>
        </w:r>
        <w:r w:rsidRPr="008912CF">
          <w:rPr>
            <w:sz w:val="22"/>
            <w:szCs w:val="22"/>
          </w:rPr>
          <w:delText>.</w:delText>
        </w:r>
      </w:del>
    </w:p>
    <w:p w14:paraId="3FB3C0A5" w14:textId="5E0461B4" w:rsidR="004462A0" w:rsidRPr="008912CF" w:rsidRDefault="004462A0" w:rsidP="00412FC8">
      <w:pPr>
        <w:rPr>
          <w:del w:id="4569" w:author="AbbVie2" w:date="2025-05-13T16:39:00Z"/>
          <w:sz w:val="22"/>
          <w:szCs w:val="22"/>
        </w:rPr>
      </w:pPr>
    </w:p>
    <w:p w14:paraId="6DF23F53" w14:textId="51FD0A4A" w:rsidR="004462A0" w:rsidRPr="008912CF" w:rsidRDefault="00615769">
      <w:pPr>
        <w:rPr>
          <w:del w:id="4570" w:author="AbbVie2" w:date="2025-05-13T16:39:00Z"/>
          <w:szCs w:val="22"/>
        </w:rPr>
        <w:pPrChange w:id="4571" w:author="AbbVie2" w:date="2025-05-13T16:40:00Z">
          <w:pPr>
            <w:pStyle w:val="BodyText2"/>
            <w:autoSpaceDE/>
            <w:autoSpaceDN/>
            <w:adjustRightInd/>
          </w:pPr>
        </w:pPrChange>
      </w:pPr>
      <w:del w:id="4572" w:author="AbbVie2" w:date="2025-05-13T16:39:00Z">
        <w:r w:rsidRPr="008912CF">
          <w:rPr>
            <w:szCs w:val="22"/>
          </w:rPr>
          <w:delText xml:space="preserve">Alguns doentes que não responderam à Semana 4 podem beneficiar com uma terapêutica de manutenção continuada até à Semana 12. Uma terapêutica continuada deve ser cuidadosamente reconsiderada em doentes que não responderam dentro deste período de tempo. </w:delText>
        </w:r>
      </w:del>
    </w:p>
    <w:p w14:paraId="017434A3" w14:textId="7380969E" w:rsidR="004462A0" w:rsidRDefault="004462A0" w:rsidP="00412FC8">
      <w:pPr>
        <w:rPr>
          <w:del w:id="4573" w:author="AbbVie2" w:date="2025-05-13T16:39:00Z"/>
          <w:sz w:val="22"/>
          <w:szCs w:val="22"/>
          <w:u w:val="single"/>
        </w:rPr>
      </w:pPr>
    </w:p>
    <w:p w14:paraId="621410D4" w14:textId="682D19DA" w:rsidR="004E18EF" w:rsidRDefault="00615769">
      <w:pPr>
        <w:rPr>
          <w:del w:id="4574" w:author="AbbVie2" w:date="2025-05-13T16:39:00Z"/>
          <w:szCs w:val="22"/>
        </w:rPr>
        <w:pPrChange w:id="4575" w:author="AbbVie2" w:date="2025-05-13T16:40:00Z">
          <w:pPr>
            <w:pStyle w:val="BodyText2"/>
            <w:autoSpaceDE/>
            <w:autoSpaceDN/>
            <w:adjustRightInd/>
          </w:pPr>
        </w:pPrChange>
      </w:pPr>
      <w:del w:id="4576" w:author="AbbVie2" w:date="2025-05-13T16:39:00Z">
        <w:r>
          <w:rPr>
            <w:szCs w:val="22"/>
          </w:rPr>
          <w:delText xml:space="preserve">Humira </w:delText>
        </w:r>
        <w:r w:rsidR="00CD6D57">
          <w:rPr>
            <w:szCs w:val="22"/>
          </w:rPr>
          <w:delText xml:space="preserve">pode estar </w:delText>
        </w:r>
        <w:r>
          <w:rPr>
            <w:szCs w:val="22"/>
          </w:rPr>
          <w:delText>disponível em outras dosagens e/ou apresentações dependendo das necessidades de cada doente.</w:delText>
        </w:r>
      </w:del>
    </w:p>
    <w:p w14:paraId="36D67706" w14:textId="25459D8F" w:rsidR="004E18EF" w:rsidRPr="008912CF" w:rsidRDefault="004E18EF" w:rsidP="00412FC8">
      <w:pPr>
        <w:rPr>
          <w:del w:id="4577" w:author="AbbVie2" w:date="2025-05-13T16:39:00Z"/>
          <w:sz w:val="22"/>
          <w:szCs w:val="22"/>
          <w:u w:val="single"/>
        </w:rPr>
      </w:pPr>
    </w:p>
    <w:p w14:paraId="5CA0F699" w14:textId="54D793CD" w:rsidR="004462A0" w:rsidRPr="008912CF" w:rsidRDefault="00615769">
      <w:pPr>
        <w:rPr>
          <w:del w:id="4578" w:author="AbbVie2" w:date="2025-05-13T16:39:00Z"/>
          <w:sz w:val="22"/>
          <w:szCs w:val="22"/>
          <w:u w:val="single"/>
        </w:rPr>
        <w:pPrChange w:id="4579" w:author="AbbVie2" w:date="2025-05-13T16:40:00Z">
          <w:pPr>
            <w:keepNext/>
          </w:pPr>
        </w:pPrChange>
      </w:pPr>
      <w:del w:id="4580" w:author="AbbVie2" w:date="2025-05-13T16:39:00Z">
        <w:r w:rsidRPr="008912CF">
          <w:rPr>
            <w:i/>
            <w:sz w:val="22"/>
            <w:szCs w:val="22"/>
          </w:rPr>
          <w:delText>Colite ulcerosa</w:delText>
        </w:r>
      </w:del>
    </w:p>
    <w:p w14:paraId="2621281F" w14:textId="6D4DFF4E" w:rsidR="004462A0" w:rsidRPr="008912CF" w:rsidRDefault="004462A0">
      <w:pPr>
        <w:rPr>
          <w:del w:id="4581" w:author="AbbVie2" w:date="2025-05-13T16:39:00Z"/>
          <w:sz w:val="22"/>
          <w:szCs w:val="22"/>
          <w:u w:val="single"/>
        </w:rPr>
        <w:pPrChange w:id="4582" w:author="AbbVie2" w:date="2025-05-13T16:40:00Z">
          <w:pPr>
            <w:keepNext/>
          </w:pPr>
        </w:pPrChange>
      </w:pPr>
    </w:p>
    <w:p w14:paraId="610CED40" w14:textId="2A76C952" w:rsidR="004462A0" w:rsidRPr="008912CF" w:rsidRDefault="00615769">
      <w:pPr>
        <w:rPr>
          <w:del w:id="4583" w:author="AbbVie2" w:date="2025-05-13T16:39:00Z"/>
          <w:sz w:val="22"/>
          <w:szCs w:val="22"/>
        </w:rPr>
        <w:pPrChange w:id="4584" w:author="AbbVie2" w:date="2025-05-13T16:40:00Z">
          <w:pPr>
            <w:keepNext/>
          </w:pPr>
        </w:pPrChange>
      </w:pPr>
      <w:del w:id="4585" w:author="AbbVie2" w:date="2025-05-13T16:39:00Z">
        <w:r w:rsidRPr="008912CF">
          <w:rPr>
            <w:sz w:val="22"/>
            <w:szCs w:val="22"/>
          </w:rPr>
          <w:delText xml:space="preserve">A dose de indução recomendada de Humira em doentes adultos com </w:delText>
        </w:r>
        <w:r w:rsidRPr="008912CF">
          <w:rPr>
            <w:sz w:val="22"/>
            <w:szCs w:val="22"/>
            <w:lang w:eastAsia="pt-PT"/>
          </w:rPr>
          <w:delText>colite ulcerosa moderada a grave</w:delText>
        </w:r>
        <w:r w:rsidRPr="008912CF">
          <w:rPr>
            <w:sz w:val="22"/>
            <w:szCs w:val="22"/>
          </w:rPr>
          <w:delText xml:space="preserve"> é de 160 mg na Semana 0 (administrada em quatro injeções</w:delText>
        </w:r>
        <w:r w:rsidR="004E18EF">
          <w:rPr>
            <w:sz w:val="22"/>
            <w:szCs w:val="22"/>
          </w:rPr>
          <w:delText xml:space="preserve"> de 40 mg</w:delText>
        </w:r>
        <w:r w:rsidRPr="008912CF">
          <w:rPr>
            <w:sz w:val="22"/>
            <w:szCs w:val="22"/>
          </w:rPr>
          <w:delText xml:space="preserve"> num dia ou duas injeções</w:delText>
        </w:r>
        <w:r w:rsidR="004E18EF">
          <w:rPr>
            <w:sz w:val="22"/>
            <w:szCs w:val="22"/>
          </w:rPr>
          <w:delText xml:space="preserve"> de 40 mg</w:delText>
        </w:r>
        <w:r w:rsidRPr="008912CF">
          <w:rPr>
            <w:sz w:val="22"/>
            <w:szCs w:val="22"/>
          </w:rPr>
          <w:delText xml:space="preserve"> por dia</w:delText>
        </w:r>
        <w:r w:rsidR="00293AA5">
          <w:rPr>
            <w:sz w:val="22"/>
            <w:szCs w:val="22"/>
          </w:rPr>
          <w:delText>,</w:delText>
        </w:r>
        <w:r w:rsidRPr="008912CF">
          <w:rPr>
            <w:sz w:val="22"/>
            <w:szCs w:val="22"/>
          </w:rPr>
          <w:delText xml:space="preserve"> em dois dias consecutivos) e de 80 mg na Semana 2</w:delText>
        </w:r>
        <w:r w:rsidR="004E18EF">
          <w:rPr>
            <w:sz w:val="22"/>
            <w:szCs w:val="22"/>
          </w:rPr>
          <w:delText xml:space="preserve"> (administrada em duas injeções de 40 mg num dia)</w:delText>
        </w:r>
        <w:r w:rsidRPr="008912CF">
          <w:rPr>
            <w:sz w:val="22"/>
            <w:szCs w:val="22"/>
          </w:rPr>
          <w:delText>. Após o tratamento de indução, a dose recomendada é de 40 mg em semanas alternadas por injeção subcutânea.</w:delText>
        </w:r>
      </w:del>
    </w:p>
    <w:p w14:paraId="47F68EBC" w14:textId="2A1621A9" w:rsidR="004462A0" w:rsidRPr="008912CF" w:rsidRDefault="004462A0" w:rsidP="00412FC8">
      <w:pPr>
        <w:rPr>
          <w:del w:id="4586" w:author="AbbVie2" w:date="2025-05-13T16:39:00Z"/>
          <w:sz w:val="22"/>
          <w:szCs w:val="22"/>
        </w:rPr>
      </w:pPr>
    </w:p>
    <w:p w14:paraId="58CE9E02" w14:textId="22C3D874" w:rsidR="004462A0" w:rsidRPr="008912CF" w:rsidRDefault="00615769" w:rsidP="00412FC8">
      <w:pPr>
        <w:rPr>
          <w:del w:id="4587" w:author="AbbVie2" w:date="2025-05-13T16:39:00Z"/>
          <w:sz w:val="22"/>
          <w:szCs w:val="22"/>
        </w:rPr>
      </w:pPr>
      <w:del w:id="4588" w:author="AbbVie2" w:date="2025-05-13T16:39:00Z">
        <w:r w:rsidRPr="008912CF">
          <w:rPr>
            <w:sz w:val="22"/>
            <w:szCs w:val="22"/>
          </w:rPr>
          <w:delText>Durante o tratamento de manutenção, os corticosteroides podem ser ajustados de acordo com as normas orientadoras da prática clínica.</w:delText>
        </w:r>
      </w:del>
    </w:p>
    <w:p w14:paraId="09909928" w14:textId="4E53ABE3" w:rsidR="004462A0" w:rsidRPr="008912CF" w:rsidRDefault="004462A0" w:rsidP="00412FC8">
      <w:pPr>
        <w:rPr>
          <w:del w:id="4589" w:author="AbbVie2" w:date="2025-05-13T16:39:00Z"/>
          <w:sz w:val="22"/>
          <w:szCs w:val="22"/>
        </w:rPr>
      </w:pPr>
    </w:p>
    <w:p w14:paraId="0B5052A0" w14:textId="702DCB5A" w:rsidR="004462A0" w:rsidRPr="008912CF" w:rsidRDefault="00615769" w:rsidP="00412FC8">
      <w:pPr>
        <w:rPr>
          <w:del w:id="4590" w:author="AbbVie2" w:date="2025-05-13T16:39:00Z"/>
          <w:sz w:val="22"/>
          <w:szCs w:val="22"/>
        </w:rPr>
      </w:pPr>
      <w:del w:id="4591" w:author="AbbVie2" w:date="2025-05-13T16:39:00Z">
        <w:r w:rsidRPr="008912CF">
          <w:rPr>
            <w:sz w:val="22"/>
            <w:szCs w:val="22"/>
          </w:rPr>
          <w:delText>Alguns doentes que apresentaram diminuição na sua resposta terapêutica</w:delText>
        </w:r>
        <w:r w:rsidR="004E18EF">
          <w:rPr>
            <w:sz w:val="22"/>
            <w:szCs w:val="22"/>
          </w:rPr>
          <w:delText xml:space="preserve"> com Humira 40 mg em semanas alternadas</w:delText>
        </w:r>
        <w:r w:rsidRPr="008912CF">
          <w:rPr>
            <w:sz w:val="22"/>
            <w:szCs w:val="22"/>
          </w:rPr>
          <w:delText xml:space="preserve"> podem beneficiar com um aumento da dose para 40 mg de Humira todas as semanas</w:delText>
        </w:r>
        <w:r w:rsidR="004E18EF">
          <w:rPr>
            <w:sz w:val="22"/>
            <w:szCs w:val="22"/>
          </w:rPr>
          <w:delText xml:space="preserve"> ou 80 mg em semanas alternadas</w:delText>
        </w:r>
        <w:r w:rsidRPr="008912CF">
          <w:rPr>
            <w:sz w:val="22"/>
            <w:szCs w:val="22"/>
          </w:rPr>
          <w:delText>.</w:delText>
        </w:r>
      </w:del>
    </w:p>
    <w:p w14:paraId="237E755B" w14:textId="27DF298B" w:rsidR="004462A0" w:rsidRPr="008912CF" w:rsidRDefault="004462A0" w:rsidP="00412FC8">
      <w:pPr>
        <w:rPr>
          <w:del w:id="4592" w:author="AbbVie2" w:date="2025-05-13T16:39:00Z"/>
          <w:sz w:val="22"/>
          <w:szCs w:val="22"/>
        </w:rPr>
      </w:pPr>
    </w:p>
    <w:p w14:paraId="4568E47F" w14:textId="5F6B2932" w:rsidR="004462A0" w:rsidRPr="008912CF" w:rsidRDefault="00615769">
      <w:pPr>
        <w:rPr>
          <w:del w:id="4593" w:author="AbbVie2" w:date="2025-05-13T16:39:00Z"/>
        </w:rPr>
        <w:pPrChange w:id="4594" w:author="AbbVie2" w:date="2025-05-13T16:40:00Z">
          <w:pPr>
            <w:autoSpaceDE w:val="0"/>
            <w:autoSpaceDN w:val="0"/>
            <w:adjustRightInd w:val="0"/>
          </w:pPr>
        </w:pPrChange>
      </w:pPr>
      <w:del w:id="4595" w:author="AbbVie2" w:date="2025-05-13T16:39:00Z">
        <w:r w:rsidRPr="008912CF">
          <w:rPr>
            <w:sz w:val="22"/>
            <w:szCs w:val="22"/>
          </w:rPr>
          <w:delText>Os dados disponíveis sugerem que a resposta clínica é geralmente atingida dentro de 2-8 semanas de tratamento. O tratamento com Humira não deve ser continuado em doentes que não responderam dentro deste período de tempo.</w:delText>
        </w:r>
      </w:del>
    </w:p>
    <w:p w14:paraId="6412BE11" w14:textId="2D184279" w:rsidR="004462A0" w:rsidRDefault="004462A0" w:rsidP="00412FC8">
      <w:pPr>
        <w:rPr>
          <w:del w:id="4596" w:author="AbbVie2" w:date="2025-05-13T16:39:00Z"/>
          <w:sz w:val="22"/>
          <w:szCs w:val="22"/>
          <w:u w:val="single"/>
        </w:rPr>
      </w:pPr>
    </w:p>
    <w:p w14:paraId="3E127B87" w14:textId="1DB961AE" w:rsidR="004E18EF" w:rsidRDefault="00615769">
      <w:pPr>
        <w:rPr>
          <w:del w:id="4597" w:author="AbbVie2" w:date="2025-05-13T16:39:00Z"/>
          <w:szCs w:val="22"/>
          <w:u w:val="single"/>
        </w:rPr>
        <w:pPrChange w:id="4598" w:author="AbbVie2" w:date="2025-05-13T16:40:00Z">
          <w:pPr>
            <w:pStyle w:val="BodyText2"/>
            <w:autoSpaceDE/>
            <w:autoSpaceDN/>
            <w:adjustRightInd/>
          </w:pPr>
        </w:pPrChange>
      </w:pPr>
      <w:del w:id="4599" w:author="AbbVie2" w:date="2025-05-13T16:39:00Z">
        <w:r>
          <w:rPr>
            <w:szCs w:val="22"/>
          </w:rPr>
          <w:delText>Humira pode estar disponível em outras dosagens e/ou apresentações dependendo das necessidades de cada doente.</w:delText>
        </w:r>
      </w:del>
    </w:p>
    <w:p w14:paraId="6619AC5A" w14:textId="6BE5136B" w:rsidR="004E18EF" w:rsidRDefault="004E18EF" w:rsidP="00412FC8">
      <w:pPr>
        <w:rPr>
          <w:del w:id="4600" w:author="AbbVie2" w:date="2025-05-13T16:39:00Z"/>
          <w:sz w:val="22"/>
          <w:szCs w:val="22"/>
          <w:u w:val="single"/>
        </w:rPr>
      </w:pPr>
    </w:p>
    <w:p w14:paraId="01F5EF63" w14:textId="46703F1A" w:rsidR="004462A0" w:rsidRPr="008540C3" w:rsidRDefault="00615769" w:rsidP="00412FC8">
      <w:pPr>
        <w:rPr>
          <w:del w:id="4601" w:author="AbbVie2" w:date="2025-05-13T16:39:00Z"/>
          <w:i/>
          <w:sz w:val="22"/>
          <w:szCs w:val="22"/>
        </w:rPr>
      </w:pPr>
      <w:del w:id="4602" w:author="AbbVie2" w:date="2025-05-13T16:39:00Z">
        <w:r w:rsidRPr="008540C3">
          <w:rPr>
            <w:i/>
            <w:sz w:val="22"/>
            <w:szCs w:val="22"/>
          </w:rPr>
          <w:delText>Uveíte</w:delText>
        </w:r>
      </w:del>
    </w:p>
    <w:p w14:paraId="52ED51A6" w14:textId="5B31989E" w:rsidR="004462A0" w:rsidRDefault="004462A0" w:rsidP="00412FC8">
      <w:pPr>
        <w:rPr>
          <w:del w:id="4603" w:author="AbbVie2" w:date="2025-05-13T16:39:00Z"/>
          <w:sz w:val="22"/>
          <w:szCs w:val="22"/>
          <w:u w:val="single"/>
        </w:rPr>
      </w:pPr>
    </w:p>
    <w:p w14:paraId="75623F58" w14:textId="3123235B" w:rsidR="004462A0" w:rsidRPr="009B116D" w:rsidRDefault="00615769" w:rsidP="00412FC8">
      <w:pPr>
        <w:rPr>
          <w:del w:id="4604" w:author="AbbVie2" w:date="2025-05-13T16:39:00Z"/>
          <w:sz w:val="22"/>
          <w:szCs w:val="22"/>
        </w:rPr>
      </w:pPr>
      <w:del w:id="4605" w:author="AbbVie2" w:date="2025-05-13T16:39:00Z">
        <w:r w:rsidRPr="009C739B">
          <w:rPr>
            <w:sz w:val="22"/>
            <w:szCs w:val="22"/>
          </w:rPr>
          <w:delText>A dose inicial recomendada de Humira em doentes adultos com uveíte é de 80</w:delText>
        </w:r>
        <w:r>
          <w:rPr>
            <w:sz w:val="22"/>
            <w:szCs w:val="22"/>
          </w:rPr>
          <w:delText> </w:delText>
        </w:r>
        <w:r w:rsidRPr="009C739B">
          <w:rPr>
            <w:sz w:val="22"/>
            <w:szCs w:val="22"/>
          </w:rPr>
          <w:delText>mg, seguida de 40</w:delText>
        </w:r>
        <w:r>
          <w:rPr>
            <w:sz w:val="22"/>
            <w:szCs w:val="22"/>
          </w:rPr>
          <w:delText> </w:delText>
        </w:r>
        <w:r w:rsidRPr="009C739B">
          <w:rPr>
            <w:sz w:val="22"/>
            <w:szCs w:val="22"/>
          </w:rPr>
          <w:delText>mg administrados em semanas alternadas, uma semana após a dose inicial. A experiência existente, em termos de iniciação do tratamento com Humira em monoterapia, é limitada. O tratamento com Humira pode ser iniciado em associação com corticosteroides e/ou com outros agentes imunomoduladores não biológicos.</w:delText>
        </w:r>
        <w:r w:rsidRPr="009C739B">
          <w:delText xml:space="preserve"> </w:delText>
        </w:r>
        <w:r w:rsidRPr="009C739B">
          <w:rPr>
            <w:sz w:val="22"/>
            <w:szCs w:val="22"/>
          </w:rPr>
          <w:delText>Os corticosteroides concomitantes podem ser reduzidos de acordo com a prática clínica, duas semanas após o início do tratamento com Humira.</w:delText>
        </w:r>
        <w:r w:rsidRPr="00971C6F">
          <w:rPr>
            <w:sz w:val="22"/>
            <w:szCs w:val="22"/>
          </w:rPr>
          <w:delText xml:space="preserve"> </w:delText>
        </w:r>
      </w:del>
    </w:p>
    <w:p w14:paraId="55251558" w14:textId="2C102BE2" w:rsidR="004462A0" w:rsidRPr="003A12AC" w:rsidRDefault="004462A0" w:rsidP="00412FC8">
      <w:pPr>
        <w:rPr>
          <w:del w:id="4606" w:author="AbbVie2" w:date="2025-05-13T16:39:00Z"/>
          <w:sz w:val="22"/>
          <w:szCs w:val="22"/>
          <w:u w:val="single"/>
        </w:rPr>
      </w:pPr>
    </w:p>
    <w:p w14:paraId="0AB0ACE9" w14:textId="60BB22A6" w:rsidR="004462A0" w:rsidRPr="003A12AC" w:rsidRDefault="00615769" w:rsidP="00412FC8">
      <w:pPr>
        <w:rPr>
          <w:del w:id="4607" w:author="AbbVie2" w:date="2025-05-13T16:39:00Z"/>
          <w:sz w:val="22"/>
          <w:szCs w:val="22"/>
        </w:rPr>
      </w:pPr>
      <w:del w:id="4608" w:author="AbbVie2" w:date="2025-05-13T16:39:00Z">
        <w:r w:rsidRPr="009C739B">
          <w:rPr>
            <w:sz w:val="22"/>
            <w:szCs w:val="22"/>
          </w:rPr>
          <w:delText xml:space="preserve">Recomenda-se que o risco benefício do tratamento continuado a longo prazo </w:delText>
        </w:r>
        <w:r w:rsidRPr="00971C6F">
          <w:rPr>
            <w:sz w:val="22"/>
            <w:szCs w:val="22"/>
          </w:rPr>
          <w:delText xml:space="preserve">seja avaliado </w:delText>
        </w:r>
        <w:r w:rsidRPr="009B116D">
          <w:rPr>
            <w:sz w:val="22"/>
            <w:szCs w:val="22"/>
          </w:rPr>
          <w:delText xml:space="preserve">anualmente. </w:delText>
        </w:r>
        <w:r w:rsidRPr="004A6A74">
          <w:rPr>
            <w:sz w:val="22"/>
            <w:szCs w:val="22"/>
          </w:rPr>
          <w:delText>(ver se</w:delText>
        </w:r>
        <w:r w:rsidRPr="00A91345">
          <w:rPr>
            <w:sz w:val="22"/>
            <w:szCs w:val="22"/>
          </w:rPr>
          <w:delText>cção 5.1).</w:delText>
        </w:r>
        <w:r w:rsidRPr="006F7F6A">
          <w:rPr>
            <w:sz w:val="22"/>
            <w:szCs w:val="22"/>
          </w:rPr>
          <w:delText xml:space="preserve"> </w:delText>
        </w:r>
      </w:del>
    </w:p>
    <w:p w14:paraId="36E61540" w14:textId="062D2B86" w:rsidR="004462A0" w:rsidRDefault="004462A0" w:rsidP="00412FC8">
      <w:pPr>
        <w:rPr>
          <w:del w:id="4609" w:author="AbbVie2" w:date="2025-05-13T16:39:00Z"/>
          <w:sz w:val="22"/>
          <w:szCs w:val="22"/>
          <w:u w:val="single"/>
        </w:rPr>
      </w:pPr>
    </w:p>
    <w:p w14:paraId="33CA1157" w14:textId="1D84BCD0" w:rsidR="004E18EF" w:rsidRDefault="00615769">
      <w:pPr>
        <w:rPr>
          <w:del w:id="4610" w:author="AbbVie2" w:date="2025-05-13T16:39:00Z"/>
          <w:szCs w:val="22"/>
          <w:u w:val="single"/>
        </w:rPr>
        <w:pPrChange w:id="4611" w:author="AbbVie2" w:date="2025-05-13T16:40:00Z">
          <w:pPr>
            <w:pStyle w:val="BodyText2"/>
            <w:autoSpaceDE/>
            <w:autoSpaceDN/>
            <w:adjustRightInd/>
          </w:pPr>
        </w:pPrChange>
      </w:pPr>
      <w:del w:id="4612" w:author="AbbVie2" w:date="2025-05-13T16:39:00Z">
        <w:r>
          <w:rPr>
            <w:szCs w:val="22"/>
          </w:rPr>
          <w:delText>Humira pode estar disponível em outras dosagens e/ou apresentações dependendo das necessidades de cada doente.</w:delText>
        </w:r>
      </w:del>
    </w:p>
    <w:p w14:paraId="6A080F51" w14:textId="084C4797" w:rsidR="004E18EF" w:rsidRDefault="004E18EF" w:rsidP="00412FC8">
      <w:pPr>
        <w:rPr>
          <w:del w:id="4613" w:author="AbbVie2" w:date="2025-05-13T16:39:00Z"/>
          <w:sz w:val="22"/>
          <w:szCs w:val="22"/>
          <w:u w:val="single"/>
        </w:rPr>
      </w:pPr>
    </w:p>
    <w:p w14:paraId="52409906" w14:textId="02AA5212" w:rsidR="009B4CD7" w:rsidRDefault="00615769" w:rsidP="00412FC8">
      <w:pPr>
        <w:rPr>
          <w:del w:id="4614" w:author="AbbVie2" w:date="2025-05-13T16:39:00Z"/>
          <w:sz w:val="22"/>
          <w:szCs w:val="22"/>
          <w:u w:val="single"/>
        </w:rPr>
      </w:pPr>
      <w:del w:id="4615" w:author="AbbVie2" w:date="2025-05-13T16:39:00Z">
        <w:r>
          <w:rPr>
            <w:sz w:val="22"/>
            <w:szCs w:val="22"/>
            <w:u w:val="single"/>
          </w:rPr>
          <w:delText>Populações especiais</w:delText>
        </w:r>
      </w:del>
    </w:p>
    <w:p w14:paraId="133B6C06" w14:textId="5B1B4033" w:rsidR="009B4CD7" w:rsidRDefault="009B4CD7" w:rsidP="00412FC8">
      <w:pPr>
        <w:rPr>
          <w:del w:id="4616" w:author="AbbVie2" w:date="2025-05-13T16:39:00Z"/>
          <w:sz w:val="22"/>
          <w:szCs w:val="22"/>
          <w:u w:val="single"/>
        </w:rPr>
      </w:pPr>
    </w:p>
    <w:p w14:paraId="69ABEAC8" w14:textId="6305A366" w:rsidR="004462A0" w:rsidRPr="00F03C54" w:rsidRDefault="00615769" w:rsidP="00412FC8">
      <w:pPr>
        <w:rPr>
          <w:del w:id="4617" w:author="AbbVie2" w:date="2025-05-13T16:39:00Z"/>
          <w:sz w:val="22"/>
          <w:szCs w:val="22"/>
        </w:rPr>
      </w:pPr>
      <w:del w:id="4618" w:author="AbbVie2" w:date="2025-05-13T16:39:00Z">
        <w:r w:rsidRPr="00F03C54">
          <w:rPr>
            <w:sz w:val="22"/>
            <w:szCs w:val="22"/>
          </w:rPr>
          <w:delText>Idosos</w:delText>
        </w:r>
      </w:del>
    </w:p>
    <w:p w14:paraId="035AFB3D" w14:textId="6A5A6FC5" w:rsidR="004462A0" w:rsidRPr="008912CF" w:rsidRDefault="004462A0" w:rsidP="00412FC8">
      <w:pPr>
        <w:rPr>
          <w:del w:id="4619" w:author="AbbVie2" w:date="2025-05-13T16:39:00Z"/>
          <w:sz w:val="22"/>
          <w:szCs w:val="22"/>
          <w:u w:val="single"/>
        </w:rPr>
      </w:pPr>
    </w:p>
    <w:p w14:paraId="5464FAF2" w14:textId="5E4EFABF" w:rsidR="004462A0" w:rsidRPr="008912CF" w:rsidRDefault="00615769">
      <w:pPr>
        <w:rPr>
          <w:del w:id="4620" w:author="AbbVie2" w:date="2025-05-13T16:39:00Z"/>
          <w:i/>
          <w:szCs w:val="22"/>
        </w:rPr>
        <w:pPrChange w:id="4621" w:author="AbbVie2" w:date="2025-05-13T16:40:00Z">
          <w:pPr>
            <w:pStyle w:val="BodyText2"/>
            <w:autoSpaceDE/>
            <w:autoSpaceDN/>
            <w:adjustRightInd/>
          </w:pPr>
        </w:pPrChange>
      </w:pPr>
      <w:del w:id="4622" w:author="AbbVie2" w:date="2025-05-13T16:39:00Z">
        <w:r w:rsidRPr="008912CF">
          <w:rPr>
            <w:szCs w:val="22"/>
          </w:rPr>
          <w:delText>Não é necessário efetuar ajustes posológicos.</w:delText>
        </w:r>
      </w:del>
    </w:p>
    <w:p w14:paraId="40FC0110" w14:textId="16F66049" w:rsidR="004462A0" w:rsidRPr="008912CF" w:rsidRDefault="004462A0">
      <w:pPr>
        <w:rPr>
          <w:del w:id="4623" w:author="AbbVie2" w:date="2025-05-13T16:39:00Z"/>
          <w:szCs w:val="22"/>
        </w:rPr>
        <w:pPrChange w:id="4624" w:author="AbbVie2" w:date="2025-05-13T16:40:00Z">
          <w:pPr>
            <w:pStyle w:val="EMEAHeadingItalic"/>
            <w:tabs>
              <w:tab w:val="clear" w:pos="562"/>
            </w:tabs>
            <w:suppressAutoHyphens w:val="0"/>
            <w:spacing w:before="0" w:after="0"/>
          </w:pPr>
        </w:pPrChange>
      </w:pPr>
    </w:p>
    <w:p w14:paraId="1EC192EA" w14:textId="004FAAB2" w:rsidR="004462A0" w:rsidRPr="00F03C54" w:rsidRDefault="00615769">
      <w:pPr>
        <w:rPr>
          <w:del w:id="4625" w:author="AbbVie2" w:date="2025-05-13T16:39:00Z"/>
          <w:bCs/>
          <w:iCs/>
          <w:sz w:val="22"/>
          <w:szCs w:val="22"/>
        </w:rPr>
        <w:pPrChange w:id="4626" w:author="AbbVie2" w:date="2025-05-13T16:40:00Z">
          <w:pPr>
            <w:keepNext/>
          </w:pPr>
        </w:pPrChange>
      </w:pPr>
      <w:del w:id="4627" w:author="AbbVie2" w:date="2025-05-13T16:39:00Z">
        <w:r w:rsidRPr="00F03C54">
          <w:rPr>
            <w:bCs/>
            <w:iCs/>
            <w:sz w:val="22"/>
            <w:szCs w:val="22"/>
          </w:rPr>
          <w:delText>Compromisso renal e/ou hepático</w:delText>
        </w:r>
      </w:del>
    </w:p>
    <w:p w14:paraId="032DD528" w14:textId="0B540CB7" w:rsidR="004462A0" w:rsidRPr="008912CF" w:rsidRDefault="004462A0">
      <w:pPr>
        <w:rPr>
          <w:del w:id="4628" w:author="AbbVie2" w:date="2025-05-13T16:39:00Z"/>
          <w:b/>
          <w:iCs/>
          <w:sz w:val="22"/>
          <w:szCs w:val="22"/>
        </w:rPr>
        <w:pPrChange w:id="4629" w:author="AbbVie2" w:date="2025-05-13T16:40:00Z">
          <w:pPr>
            <w:keepNext/>
          </w:pPr>
        </w:pPrChange>
      </w:pPr>
    </w:p>
    <w:p w14:paraId="10571136" w14:textId="5249B0C9" w:rsidR="004462A0" w:rsidRPr="008912CF" w:rsidRDefault="00615769">
      <w:pPr>
        <w:rPr>
          <w:del w:id="4630" w:author="AbbVie2" w:date="2025-05-13T16:39:00Z"/>
          <w:bCs/>
          <w:iCs/>
          <w:sz w:val="22"/>
          <w:szCs w:val="22"/>
        </w:rPr>
        <w:pPrChange w:id="4631" w:author="AbbVie2" w:date="2025-05-13T16:40:00Z">
          <w:pPr>
            <w:keepNext/>
          </w:pPr>
        </w:pPrChange>
      </w:pPr>
      <w:del w:id="4632" w:author="AbbVie2" w:date="2025-05-13T16:39:00Z">
        <w:r w:rsidRPr="008912CF">
          <w:rPr>
            <w:bCs/>
            <w:iCs/>
            <w:sz w:val="22"/>
            <w:szCs w:val="22"/>
          </w:rPr>
          <w:delText>Humira não foi estudado nesta população de doentes. Não podem ser feitas recomendações acerca da dose.</w:delText>
        </w:r>
      </w:del>
    </w:p>
    <w:p w14:paraId="773C0880" w14:textId="700FF781" w:rsidR="004462A0" w:rsidRPr="008912CF" w:rsidRDefault="004462A0">
      <w:pPr>
        <w:rPr>
          <w:del w:id="4633" w:author="AbbVie2" w:date="2025-05-13T16:39:00Z"/>
        </w:rPr>
        <w:pPrChange w:id="4634" w:author="AbbVie2" w:date="2025-05-13T16:40:00Z">
          <w:pPr>
            <w:pStyle w:val="EMEANormal"/>
          </w:pPr>
        </w:pPrChange>
      </w:pPr>
    </w:p>
    <w:p w14:paraId="551F1D12" w14:textId="2DA71C7C" w:rsidR="004462A0" w:rsidRPr="00F03C54" w:rsidRDefault="00615769" w:rsidP="00412FC8">
      <w:pPr>
        <w:rPr>
          <w:del w:id="4635" w:author="AbbVie2" w:date="2025-05-13T16:39:00Z"/>
          <w:b/>
          <w:i/>
          <w:sz w:val="22"/>
          <w:szCs w:val="22"/>
        </w:rPr>
      </w:pPr>
      <w:del w:id="4636" w:author="AbbVie2" w:date="2025-05-13T16:39:00Z">
        <w:r w:rsidRPr="00F03C54">
          <w:rPr>
            <w:sz w:val="22"/>
            <w:szCs w:val="22"/>
          </w:rPr>
          <w:delText>População pediátrica</w:delText>
        </w:r>
      </w:del>
    </w:p>
    <w:p w14:paraId="25AB1E12" w14:textId="7EFC8F0B" w:rsidR="004462A0" w:rsidRPr="008912CF" w:rsidRDefault="004462A0" w:rsidP="00412FC8">
      <w:pPr>
        <w:rPr>
          <w:del w:id="4637" w:author="AbbVie2" w:date="2025-05-13T16:39:00Z"/>
          <w:szCs w:val="22"/>
          <w:u w:val="single"/>
        </w:rPr>
      </w:pPr>
    </w:p>
    <w:p w14:paraId="30AD6CE9" w14:textId="776B6560" w:rsidR="004462A0" w:rsidRPr="008912CF" w:rsidRDefault="00615769" w:rsidP="00412FC8">
      <w:pPr>
        <w:rPr>
          <w:del w:id="4638" w:author="AbbVie2" w:date="2025-05-13T16:39:00Z"/>
          <w:sz w:val="22"/>
          <w:szCs w:val="22"/>
        </w:rPr>
      </w:pPr>
      <w:del w:id="4639" w:author="AbbVie2" w:date="2025-05-13T16:39:00Z">
        <w:r w:rsidRPr="008912CF">
          <w:rPr>
            <w:i/>
            <w:sz w:val="22"/>
            <w:szCs w:val="22"/>
          </w:rPr>
          <w:delText>Artrite idiopática juvenil</w:delText>
        </w:r>
      </w:del>
    </w:p>
    <w:p w14:paraId="0837EE5B" w14:textId="6E1D19FF" w:rsidR="004462A0" w:rsidRPr="008912CF" w:rsidRDefault="004462A0" w:rsidP="00412FC8">
      <w:pPr>
        <w:rPr>
          <w:del w:id="4640" w:author="AbbVie2" w:date="2025-05-13T16:39:00Z"/>
          <w:sz w:val="22"/>
          <w:szCs w:val="22"/>
          <w:u w:val="single"/>
        </w:rPr>
      </w:pPr>
    </w:p>
    <w:p w14:paraId="64BFC603" w14:textId="262A1F58" w:rsidR="004462A0" w:rsidRPr="008912CF" w:rsidRDefault="00615769">
      <w:pPr>
        <w:rPr>
          <w:del w:id="4641" w:author="AbbVie2" w:date="2025-05-13T16:39:00Z"/>
          <w:szCs w:val="22"/>
          <w:u w:val="single"/>
        </w:rPr>
        <w:pPrChange w:id="4642" w:author="AbbVie2" w:date="2025-05-13T16:40:00Z">
          <w:pPr>
            <w:pStyle w:val="BodyText2"/>
            <w:autoSpaceDE/>
            <w:autoSpaceDN/>
            <w:adjustRightInd/>
          </w:pPr>
        </w:pPrChange>
      </w:pPr>
      <w:del w:id="4643" w:author="AbbVie2" w:date="2025-05-13T16:39:00Z">
        <w:r w:rsidRPr="008912CF">
          <w:rPr>
            <w:i/>
            <w:szCs w:val="22"/>
            <w:u w:val="single"/>
          </w:rPr>
          <w:delText xml:space="preserve">Artrite idiopática juvenil poliarticular </w:delText>
        </w:r>
        <w:r w:rsidR="00A739D9">
          <w:rPr>
            <w:i/>
            <w:szCs w:val="22"/>
            <w:u w:val="single"/>
          </w:rPr>
          <w:delText xml:space="preserve">a partir </w:delText>
        </w:r>
        <w:r w:rsidRPr="008912CF">
          <w:rPr>
            <w:i/>
            <w:szCs w:val="22"/>
            <w:u w:val="single"/>
          </w:rPr>
          <w:delText>dos 2 anos de idade</w:delText>
        </w:r>
      </w:del>
    </w:p>
    <w:p w14:paraId="2C1C60B2" w14:textId="390149F6" w:rsidR="004462A0" w:rsidRPr="008912CF" w:rsidRDefault="004462A0">
      <w:pPr>
        <w:rPr>
          <w:del w:id="4644" w:author="AbbVie2" w:date="2025-05-13T16:39:00Z"/>
          <w:szCs w:val="22"/>
        </w:rPr>
        <w:pPrChange w:id="4645" w:author="AbbVie2" w:date="2025-05-13T16:40:00Z">
          <w:pPr>
            <w:pStyle w:val="BodyText2"/>
            <w:autoSpaceDE/>
            <w:autoSpaceDN/>
            <w:adjustRightInd/>
          </w:pPr>
        </w:pPrChange>
      </w:pPr>
    </w:p>
    <w:p w14:paraId="57B64CF4" w14:textId="00A840B4" w:rsidR="00A739D9" w:rsidRPr="008912CF" w:rsidRDefault="00615769">
      <w:pPr>
        <w:rPr>
          <w:del w:id="4646" w:author="AbbVie2" w:date="2025-05-13T16:39:00Z"/>
          <w:szCs w:val="22"/>
        </w:rPr>
        <w:pPrChange w:id="4647" w:author="AbbVie2" w:date="2025-05-13T16:40:00Z">
          <w:pPr>
            <w:pStyle w:val="BodyText2"/>
            <w:autoSpaceDE/>
            <w:autoSpaceDN/>
            <w:adjustRightInd/>
          </w:pPr>
        </w:pPrChange>
      </w:pPr>
      <w:del w:id="4648" w:author="AbbVie2" w:date="2025-05-13T16:39:00Z">
        <w:r w:rsidRPr="008912CF">
          <w:rPr>
            <w:szCs w:val="22"/>
          </w:rPr>
          <w:delText xml:space="preserve">A dose recomendada de Humira </w:delText>
        </w:r>
        <w:r w:rsidR="00E876B5">
          <w:rPr>
            <w:szCs w:val="22"/>
          </w:rPr>
          <w:delText xml:space="preserve">em </w:delText>
        </w:r>
        <w:r w:rsidRPr="008912CF">
          <w:rPr>
            <w:szCs w:val="22"/>
          </w:rPr>
          <w:delText xml:space="preserve">doentes com artrite idiopática juvenil poliarticular, </w:delText>
        </w:r>
        <w:r>
          <w:rPr>
            <w:szCs w:val="22"/>
          </w:rPr>
          <w:delText>a partir dos</w:delText>
        </w:r>
        <w:r w:rsidRPr="008912CF">
          <w:rPr>
            <w:szCs w:val="22"/>
          </w:rPr>
          <w:delText xml:space="preserve"> 2</w:delText>
        </w:r>
        <w:r w:rsidR="00F4016C">
          <w:rPr>
            <w:szCs w:val="22"/>
          </w:rPr>
          <w:delText> </w:delText>
        </w:r>
        <w:r w:rsidR="00E21713">
          <w:rPr>
            <w:szCs w:val="22"/>
          </w:rPr>
          <w:delText xml:space="preserve">anos </w:delText>
        </w:r>
        <w:r>
          <w:rPr>
            <w:szCs w:val="22"/>
          </w:rPr>
          <w:delText>de idade</w:delText>
        </w:r>
        <w:r w:rsidRPr="008912CF">
          <w:rPr>
            <w:szCs w:val="22"/>
          </w:rPr>
          <w:delText xml:space="preserve">, é </w:delText>
        </w:r>
        <w:r>
          <w:rPr>
            <w:szCs w:val="22"/>
          </w:rPr>
          <w:delText xml:space="preserve">baseada no peso corporal (Tabela 1). Humira é administrado </w:delText>
        </w:r>
        <w:r w:rsidRPr="008912CF">
          <w:rPr>
            <w:szCs w:val="22"/>
          </w:rPr>
          <w:delText xml:space="preserve">em semanas alternadas, por injeção subcutânea. </w:delText>
        </w:r>
        <w:r>
          <w:rPr>
            <w:szCs w:val="22"/>
          </w:rPr>
          <w:delText xml:space="preserve"> </w:delText>
        </w:r>
      </w:del>
    </w:p>
    <w:p w14:paraId="07B300A4" w14:textId="51C6DEEE" w:rsidR="004462A0" w:rsidRPr="008912CF" w:rsidRDefault="004462A0">
      <w:pPr>
        <w:rPr>
          <w:del w:id="4649" w:author="AbbVie2" w:date="2025-05-13T16:39:00Z"/>
          <w:szCs w:val="22"/>
        </w:rPr>
        <w:pPrChange w:id="4650" w:author="AbbVie2" w:date="2025-05-13T16:40:00Z">
          <w:pPr>
            <w:pStyle w:val="BodyText2"/>
            <w:autoSpaceDE/>
            <w:autoSpaceDN/>
            <w:adjustRightInd/>
          </w:pPr>
        </w:pPrChange>
      </w:pPr>
    </w:p>
    <w:p w14:paraId="792C3871" w14:textId="5F01D094" w:rsidR="00A739D9" w:rsidRPr="008912CF" w:rsidRDefault="00615769">
      <w:pPr>
        <w:rPr>
          <w:del w:id="4651" w:author="AbbVie2" w:date="2025-05-13T16:39:00Z"/>
          <w:b/>
          <w:szCs w:val="22"/>
        </w:rPr>
        <w:pPrChange w:id="4652" w:author="AbbVie2" w:date="2025-05-13T16:40:00Z">
          <w:pPr>
            <w:pStyle w:val="BodyText2"/>
            <w:autoSpaceDE/>
            <w:autoSpaceDN/>
            <w:adjustRightInd/>
            <w:jc w:val="center"/>
          </w:pPr>
        </w:pPrChange>
      </w:pPr>
      <w:del w:id="4653" w:author="AbbVie2" w:date="2025-05-13T16:39:00Z">
        <w:r w:rsidRPr="008912CF">
          <w:rPr>
            <w:b/>
            <w:szCs w:val="22"/>
          </w:rPr>
          <w:delText xml:space="preserve">Tabela 1. Dose de Humira </w:delText>
        </w:r>
        <w:r w:rsidR="00E876B5">
          <w:rPr>
            <w:b/>
            <w:szCs w:val="22"/>
          </w:rPr>
          <w:delText xml:space="preserve">em </w:delText>
        </w:r>
        <w:r w:rsidRPr="008912CF">
          <w:rPr>
            <w:b/>
            <w:szCs w:val="22"/>
          </w:rPr>
          <w:delText xml:space="preserve">Doentes com Artrite Idiopática Juvenil Poliarticular </w:delText>
        </w:r>
      </w:del>
    </w:p>
    <w:p w14:paraId="307E2EFA" w14:textId="63AB98F4" w:rsidR="00A739D9" w:rsidRPr="008912CF" w:rsidRDefault="00A739D9" w:rsidP="00412FC8">
      <w:pPr>
        <w:rPr>
          <w:del w:id="4654" w:author="AbbVie2" w:date="2025-05-13T16:39:00Z"/>
          <w:sz w:val="22"/>
          <w:szCs w:val="22"/>
        </w:rPr>
      </w:pPr>
    </w:p>
    <w:tbl>
      <w:tblPr>
        <w:tblW w:w="6795" w:type="dxa"/>
        <w:jc w:val="center"/>
        <w:tblLayout w:type="fixed"/>
        <w:tblLook w:val="0000" w:firstRow="0" w:lastRow="0" w:firstColumn="0" w:lastColumn="0" w:noHBand="0" w:noVBand="0"/>
      </w:tblPr>
      <w:tblGrid>
        <w:gridCol w:w="3401"/>
        <w:gridCol w:w="3394"/>
      </w:tblGrid>
      <w:tr w:rsidR="00A7162A" w14:paraId="78935036" w14:textId="41BF492A" w:rsidTr="00A22EC4">
        <w:trPr>
          <w:tblHeader/>
          <w:jc w:val="center"/>
          <w:del w:id="4655" w:author="AbbVie2" w:date="2025-05-13T16:39:00Z"/>
        </w:trPr>
        <w:tc>
          <w:tcPr>
            <w:tcW w:w="3401" w:type="dxa"/>
            <w:tcBorders>
              <w:top w:val="single" w:sz="4" w:space="0" w:color="auto"/>
              <w:bottom w:val="single" w:sz="4" w:space="0" w:color="auto"/>
            </w:tcBorders>
          </w:tcPr>
          <w:p w14:paraId="73DD0442" w14:textId="2B14769B" w:rsidR="00A739D9" w:rsidRPr="00AD4F25" w:rsidRDefault="00615769">
            <w:pPr>
              <w:rPr>
                <w:del w:id="4656" w:author="AbbVie2" w:date="2025-05-13T16:39:00Z"/>
                <w:rFonts w:eastAsia="Calibri"/>
                <w:b/>
                <w:sz w:val="22"/>
                <w:szCs w:val="22"/>
                <w:lang w:eastAsia="ja-JP"/>
                <w:rPrChange w:id="4657" w:author="AbbVie2" w:date="2025-05-14T10:17:00Z">
                  <w:rPr>
                    <w:del w:id="4658" w:author="AbbVie2" w:date="2025-05-13T16:39:00Z"/>
                    <w:rFonts w:eastAsia="Calibri"/>
                    <w:b/>
                    <w:sz w:val="22"/>
                    <w:szCs w:val="22"/>
                    <w:lang w:val="en-US" w:eastAsia="ja-JP"/>
                  </w:rPr>
                </w:rPrChange>
              </w:rPr>
              <w:pPrChange w:id="4659" w:author="AbbVie2" w:date="2025-05-13T16:40:00Z">
                <w:pPr>
                  <w:keepNext/>
                  <w:spacing w:before="40" w:after="40" w:line="240" w:lineRule="exact"/>
                  <w:jc w:val="center"/>
                </w:pPr>
              </w:pPrChange>
            </w:pPr>
            <w:del w:id="4660" w:author="AbbVie2" w:date="2025-05-13T16:39:00Z">
              <w:r w:rsidRPr="00AD4F25">
                <w:rPr>
                  <w:rFonts w:eastAsia="Calibri"/>
                  <w:b/>
                  <w:sz w:val="22"/>
                  <w:szCs w:val="22"/>
                  <w:lang w:eastAsia="ja-JP"/>
                  <w:rPrChange w:id="4661" w:author="AbbVie2" w:date="2025-05-14T10:17:00Z">
                    <w:rPr>
                      <w:rFonts w:eastAsia="Calibri"/>
                      <w:b/>
                      <w:sz w:val="22"/>
                      <w:szCs w:val="22"/>
                      <w:lang w:val="en-US" w:eastAsia="ja-JP"/>
                    </w:rPr>
                  </w:rPrChange>
                </w:rPr>
                <w:delText>Peso do Doente</w:delText>
              </w:r>
            </w:del>
          </w:p>
        </w:tc>
        <w:tc>
          <w:tcPr>
            <w:tcW w:w="3394" w:type="dxa"/>
            <w:tcBorders>
              <w:top w:val="single" w:sz="4" w:space="0" w:color="auto"/>
              <w:bottom w:val="single" w:sz="4" w:space="0" w:color="auto"/>
            </w:tcBorders>
          </w:tcPr>
          <w:p w14:paraId="00F95736" w14:textId="2417D7D2" w:rsidR="00A739D9" w:rsidRPr="00AD4F25" w:rsidRDefault="00615769">
            <w:pPr>
              <w:rPr>
                <w:del w:id="4662" w:author="AbbVie2" w:date="2025-05-13T16:39:00Z"/>
                <w:rFonts w:eastAsia="Calibri"/>
                <w:b/>
                <w:sz w:val="22"/>
                <w:szCs w:val="22"/>
                <w:lang w:eastAsia="ja-JP"/>
                <w:rPrChange w:id="4663" w:author="AbbVie2" w:date="2025-05-14T10:17:00Z">
                  <w:rPr>
                    <w:del w:id="4664" w:author="AbbVie2" w:date="2025-05-13T16:39:00Z"/>
                    <w:rFonts w:eastAsia="Calibri"/>
                    <w:b/>
                    <w:sz w:val="22"/>
                    <w:szCs w:val="22"/>
                    <w:lang w:val="en-US" w:eastAsia="ja-JP"/>
                  </w:rPr>
                </w:rPrChange>
              </w:rPr>
              <w:pPrChange w:id="4665" w:author="AbbVie2" w:date="2025-05-13T16:40:00Z">
                <w:pPr>
                  <w:keepNext/>
                  <w:spacing w:before="40" w:after="40" w:line="240" w:lineRule="exact"/>
                  <w:jc w:val="center"/>
                </w:pPr>
              </w:pPrChange>
            </w:pPr>
            <w:del w:id="4666" w:author="AbbVie2" w:date="2025-05-13T16:39:00Z">
              <w:r w:rsidRPr="00AD4F25">
                <w:rPr>
                  <w:rFonts w:eastAsia="Calibri"/>
                  <w:b/>
                  <w:sz w:val="22"/>
                  <w:szCs w:val="22"/>
                  <w:lang w:eastAsia="ja-JP"/>
                  <w:rPrChange w:id="4667" w:author="AbbVie2" w:date="2025-05-14T10:17:00Z">
                    <w:rPr>
                      <w:rFonts w:eastAsia="Calibri"/>
                      <w:b/>
                      <w:sz w:val="22"/>
                      <w:szCs w:val="22"/>
                      <w:lang w:val="en-US" w:eastAsia="ja-JP"/>
                    </w:rPr>
                  </w:rPrChange>
                </w:rPr>
                <w:delText xml:space="preserve">Regime </w:delText>
              </w:r>
              <w:r w:rsidR="00C00E3F" w:rsidRPr="00AD4F25">
                <w:rPr>
                  <w:rFonts w:eastAsia="Calibri"/>
                  <w:b/>
                  <w:sz w:val="22"/>
                  <w:szCs w:val="22"/>
                  <w:lang w:eastAsia="ja-JP"/>
                  <w:rPrChange w:id="4668" w:author="AbbVie2" w:date="2025-05-14T10:17:00Z">
                    <w:rPr>
                      <w:rFonts w:eastAsia="Calibri"/>
                      <w:b/>
                      <w:sz w:val="22"/>
                      <w:szCs w:val="22"/>
                      <w:lang w:val="en-US" w:eastAsia="ja-JP"/>
                    </w:rPr>
                  </w:rPrChange>
                </w:rPr>
                <w:delText xml:space="preserve">Posológico </w:delText>
              </w:r>
            </w:del>
          </w:p>
        </w:tc>
      </w:tr>
      <w:tr w:rsidR="00A7162A" w14:paraId="5D482AF2" w14:textId="5BB37EEA" w:rsidTr="00A22EC4">
        <w:trPr>
          <w:tblHeader/>
          <w:jc w:val="center"/>
          <w:del w:id="4669" w:author="AbbVie2" w:date="2025-05-13T16:39:00Z"/>
        </w:trPr>
        <w:tc>
          <w:tcPr>
            <w:tcW w:w="3401" w:type="dxa"/>
            <w:tcBorders>
              <w:top w:val="single" w:sz="4" w:space="0" w:color="auto"/>
              <w:bottom w:val="single" w:sz="4" w:space="0" w:color="auto"/>
            </w:tcBorders>
          </w:tcPr>
          <w:p w14:paraId="46791E28" w14:textId="7B48C3EA" w:rsidR="00A739D9" w:rsidRPr="00AD4F25" w:rsidRDefault="00615769">
            <w:pPr>
              <w:rPr>
                <w:del w:id="4670" w:author="AbbVie2" w:date="2025-05-13T16:39:00Z"/>
                <w:rFonts w:eastAsia="Calibri"/>
                <w:b/>
                <w:sz w:val="22"/>
                <w:szCs w:val="22"/>
                <w:lang w:eastAsia="ja-JP"/>
                <w:rPrChange w:id="4671" w:author="AbbVie2" w:date="2025-05-14T10:17:00Z">
                  <w:rPr>
                    <w:del w:id="4672" w:author="AbbVie2" w:date="2025-05-13T16:39:00Z"/>
                    <w:rFonts w:eastAsia="Calibri"/>
                    <w:b/>
                    <w:sz w:val="22"/>
                    <w:szCs w:val="22"/>
                    <w:lang w:val="en-US" w:eastAsia="ja-JP"/>
                  </w:rPr>
                </w:rPrChange>
              </w:rPr>
              <w:pPrChange w:id="4673" w:author="AbbVie2" w:date="2025-05-13T16:40:00Z">
                <w:pPr>
                  <w:keepNext/>
                  <w:spacing w:before="40" w:after="40" w:line="240" w:lineRule="exact"/>
                  <w:jc w:val="center"/>
                </w:pPr>
              </w:pPrChange>
            </w:pPr>
            <w:del w:id="4674" w:author="AbbVie2" w:date="2025-05-13T16:39:00Z">
              <w:r w:rsidRPr="00AD4F25">
                <w:rPr>
                  <w:rFonts w:eastAsia="Calibri"/>
                  <w:sz w:val="22"/>
                  <w:szCs w:val="22"/>
                  <w:lang w:eastAsia="ja-JP"/>
                  <w:rPrChange w:id="4675" w:author="AbbVie2" w:date="2025-05-14T10:17:00Z">
                    <w:rPr>
                      <w:rFonts w:eastAsia="Calibri"/>
                      <w:sz w:val="22"/>
                      <w:szCs w:val="22"/>
                      <w:lang w:val="en-US" w:eastAsia="ja-JP"/>
                    </w:rPr>
                  </w:rPrChange>
                </w:rPr>
                <w:delText>10 kg até &lt; 30 kg</w:delText>
              </w:r>
            </w:del>
          </w:p>
        </w:tc>
        <w:tc>
          <w:tcPr>
            <w:tcW w:w="3394" w:type="dxa"/>
            <w:tcBorders>
              <w:top w:val="single" w:sz="4" w:space="0" w:color="auto"/>
              <w:bottom w:val="single" w:sz="4" w:space="0" w:color="auto"/>
            </w:tcBorders>
          </w:tcPr>
          <w:p w14:paraId="2F86B12F" w14:textId="576F1633" w:rsidR="00A739D9" w:rsidRPr="00AD4F25" w:rsidRDefault="00615769">
            <w:pPr>
              <w:rPr>
                <w:del w:id="4676" w:author="AbbVie2" w:date="2025-05-13T16:39:00Z"/>
                <w:rFonts w:eastAsia="Calibri"/>
                <w:b/>
                <w:sz w:val="22"/>
                <w:szCs w:val="22"/>
                <w:lang w:eastAsia="ja-JP"/>
                <w:rPrChange w:id="4677" w:author="AbbVie2" w:date="2025-05-14T10:17:00Z">
                  <w:rPr>
                    <w:del w:id="4678" w:author="AbbVie2" w:date="2025-05-13T16:39:00Z"/>
                    <w:rFonts w:eastAsia="Calibri"/>
                    <w:b/>
                    <w:sz w:val="22"/>
                    <w:szCs w:val="22"/>
                    <w:lang w:val="en-US" w:eastAsia="ja-JP"/>
                  </w:rPr>
                </w:rPrChange>
              </w:rPr>
              <w:pPrChange w:id="4679" w:author="AbbVie2" w:date="2025-05-13T16:40:00Z">
                <w:pPr>
                  <w:keepNext/>
                  <w:spacing w:before="40" w:after="40" w:line="240" w:lineRule="exact"/>
                  <w:jc w:val="center"/>
                </w:pPr>
              </w:pPrChange>
            </w:pPr>
            <w:del w:id="4680" w:author="AbbVie2" w:date="2025-05-13T16:39:00Z">
              <w:r w:rsidRPr="00AD4F25">
                <w:rPr>
                  <w:rFonts w:eastAsia="Calibri"/>
                  <w:sz w:val="22"/>
                  <w:szCs w:val="22"/>
                  <w:lang w:eastAsia="ja-JP"/>
                  <w:rPrChange w:id="4681" w:author="AbbVie2" w:date="2025-05-14T10:17:00Z">
                    <w:rPr>
                      <w:rFonts w:eastAsia="Calibri"/>
                      <w:sz w:val="22"/>
                      <w:szCs w:val="22"/>
                      <w:lang w:val="en-US" w:eastAsia="ja-JP"/>
                    </w:rPr>
                  </w:rPrChange>
                </w:rPr>
                <w:delText>20 mg em semanas alternadas</w:delText>
              </w:r>
            </w:del>
          </w:p>
        </w:tc>
      </w:tr>
      <w:tr w:rsidR="00A7162A" w14:paraId="78B9E24F" w14:textId="52FE12AD" w:rsidTr="00A22EC4">
        <w:trPr>
          <w:tblHeader/>
          <w:jc w:val="center"/>
          <w:del w:id="4682" w:author="AbbVie2" w:date="2025-05-13T16:39:00Z"/>
        </w:trPr>
        <w:tc>
          <w:tcPr>
            <w:tcW w:w="3401" w:type="dxa"/>
            <w:tcBorders>
              <w:top w:val="single" w:sz="4" w:space="0" w:color="auto"/>
              <w:bottom w:val="single" w:sz="4" w:space="0" w:color="auto"/>
            </w:tcBorders>
          </w:tcPr>
          <w:p w14:paraId="34A45BB5" w14:textId="1E0EA8F7" w:rsidR="00A739D9" w:rsidRPr="00AD4F25" w:rsidRDefault="00615769">
            <w:pPr>
              <w:rPr>
                <w:del w:id="4683" w:author="AbbVie2" w:date="2025-05-13T16:39:00Z"/>
                <w:rFonts w:eastAsia="Calibri"/>
                <w:b/>
                <w:sz w:val="22"/>
                <w:szCs w:val="22"/>
                <w:lang w:eastAsia="ja-JP"/>
                <w:rPrChange w:id="4684" w:author="AbbVie2" w:date="2025-05-14T10:17:00Z">
                  <w:rPr>
                    <w:del w:id="4685" w:author="AbbVie2" w:date="2025-05-13T16:39:00Z"/>
                    <w:rFonts w:eastAsia="Calibri"/>
                    <w:b/>
                    <w:sz w:val="22"/>
                    <w:szCs w:val="22"/>
                    <w:lang w:val="en-US" w:eastAsia="ja-JP"/>
                  </w:rPr>
                </w:rPrChange>
              </w:rPr>
              <w:pPrChange w:id="4686" w:author="AbbVie2" w:date="2025-05-13T16:40:00Z">
                <w:pPr>
                  <w:keepNext/>
                  <w:spacing w:before="40" w:after="40" w:line="240" w:lineRule="exact"/>
                  <w:jc w:val="center"/>
                </w:pPr>
              </w:pPrChange>
            </w:pPr>
            <w:del w:id="4687" w:author="AbbVie2" w:date="2025-05-13T16:39:00Z">
              <w:r w:rsidRPr="00AD4F25">
                <w:rPr>
                  <w:rFonts w:eastAsia="Calibri"/>
                  <w:sz w:val="22"/>
                  <w:szCs w:val="22"/>
                  <w:lang w:eastAsia="ja-JP"/>
                  <w:rPrChange w:id="4688" w:author="AbbVie2" w:date="2025-05-14T10:17:00Z">
                    <w:rPr>
                      <w:rFonts w:eastAsia="Calibri"/>
                      <w:sz w:val="22"/>
                      <w:szCs w:val="22"/>
                      <w:lang w:val="en-US" w:eastAsia="ja-JP"/>
                    </w:rPr>
                  </w:rPrChange>
                </w:rPr>
                <w:delText>≥ 30 kg</w:delText>
              </w:r>
            </w:del>
          </w:p>
        </w:tc>
        <w:tc>
          <w:tcPr>
            <w:tcW w:w="3394" w:type="dxa"/>
            <w:tcBorders>
              <w:top w:val="single" w:sz="4" w:space="0" w:color="auto"/>
              <w:bottom w:val="single" w:sz="4" w:space="0" w:color="auto"/>
            </w:tcBorders>
          </w:tcPr>
          <w:p w14:paraId="205F07C5" w14:textId="155402DA" w:rsidR="00A739D9" w:rsidRPr="00AD4F25" w:rsidRDefault="00615769">
            <w:pPr>
              <w:rPr>
                <w:del w:id="4689" w:author="AbbVie2" w:date="2025-05-13T16:39:00Z"/>
                <w:rFonts w:eastAsia="Calibri"/>
                <w:b/>
                <w:sz w:val="22"/>
                <w:szCs w:val="22"/>
                <w:lang w:eastAsia="ja-JP"/>
                <w:rPrChange w:id="4690" w:author="AbbVie2" w:date="2025-05-14T10:17:00Z">
                  <w:rPr>
                    <w:del w:id="4691" w:author="AbbVie2" w:date="2025-05-13T16:39:00Z"/>
                    <w:rFonts w:eastAsia="Calibri"/>
                    <w:b/>
                    <w:sz w:val="22"/>
                    <w:szCs w:val="22"/>
                    <w:lang w:val="en-US" w:eastAsia="ja-JP"/>
                  </w:rPr>
                </w:rPrChange>
              </w:rPr>
              <w:pPrChange w:id="4692" w:author="AbbVie2" w:date="2025-05-13T16:40:00Z">
                <w:pPr>
                  <w:keepNext/>
                  <w:spacing w:before="40" w:after="40" w:line="240" w:lineRule="exact"/>
                  <w:jc w:val="center"/>
                </w:pPr>
              </w:pPrChange>
            </w:pPr>
            <w:del w:id="4693" w:author="AbbVie2" w:date="2025-05-13T16:39:00Z">
              <w:r w:rsidRPr="00AD4F25">
                <w:rPr>
                  <w:rFonts w:eastAsia="Calibri"/>
                  <w:sz w:val="22"/>
                  <w:szCs w:val="22"/>
                  <w:lang w:eastAsia="ja-JP"/>
                  <w:rPrChange w:id="4694" w:author="AbbVie2" w:date="2025-05-14T10:17:00Z">
                    <w:rPr>
                      <w:rFonts w:eastAsia="Calibri"/>
                      <w:sz w:val="22"/>
                      <w:szCs w:val="22"/>
                      <w:lang w:val="en-US" w:eastAsia="ja-JP"/>
                    </w:rPr>
                  </w:rPrChange>
                </w:rPr>
                <w:delText>40 mg em semanas alternadas</w:delText>
              </w:r>
            </w:del>
          </w:p>
        </w:tc>
      </w:tr>
    </w:tbl>
    <w:p w14:paraId="0E2BF76C" w14:textId="781F5A80" w:rsidR="00E21713" w:rsidRDefault="00E21713">
      <w:pPr>
        <w:rPr>
          <w:del w:id="4695" w:author="AbbVie2" w:date="2025-05-13T16:39:00Z"/>
          <w:szCs w:val="22"/>
        </w:rPr>
        <w:pPrChange w:id="4696" w:author="AbbVie2" w:date="2025-05-13T16:40:00Z">
          <w:pPr>
            <w:pStyle w:val="BodyText2"/>
          </w:pPr>
        </w:pPrChange>
      </w:pPr>
    </w:p>
    <w:p w14:paraId="47BFB47D" w14:textId="16F33979" w:rsidR="004462A0" w:rsidRPr="008912CF" w:rsidRDefault="00615769">
      <w:pPr>
        <w:rPr>
          <w:del w:id="4697" w:author="AbbVie2" w:date="2025-05-13T16:39:00Z"/>
          <w:szCs w:val="22"/>
        </w:rPr>
        <w:pPrChange w:id="4698" w:author="AbbVie2" w:date="2025-05-13T16:40:00Z">
          <w:pPr>
            <w:pStyle w:val="BodyText2"/>
          </w:pPr>
        </w:pPrChange>
      </w:pPr>
      <w:del w:id="4699" w:author="AbbVie2" w:date="2025-05-13T16:39:00Z">
        <w:r w:rsidRPr="008912CF">
          <w:rPr>
            <w:szCs w:val="22"/>
          </w:rPr>
          <w:delText>Dados disponíveis sugerem que a resposta clínica é geralmente atingida após 12 semanas de tratamento. Uma terapêutica continuada deve ser cuidadosamente reconsiderada em doentes que não responderam dentro deste período de tempo.</w:delText>
        </w:r>
      </w:del>
    </w:p>
    <w:p w14:paraId="207BF97A" w14:textId="0BF09D9E" w:rsidR="004462A0" w:rsidRPr="008912CF" w:rsidRDefault="004462A0">
      <w:pPr>
        <w:rPr>
          <w:del w:id="4700" w:author="AbbVie2" w:date="2025-05-13T16:39:00Z"/>
          <w:szCs w:val="22"/>
        </w:rPr>
        <w:pPrChange w:id="4701" w:author="AbbVie2" w:date="2025-05-13T16:40:00Z">
          <w:pPr>
            <w:pStyle w:val="BodyText2"/>
          </w:pPr>
        </w:pPrChange>
      </w:pPr>
    </w:p>
    <w:p w14:paraId="4F1E7D89" w14:textId="0620150A" w:rsidR="004462A0" w:rsidRPr="008912CF" w:rsidRDefault="00615769" w:rsidP="00412FC8">
      <w:pPr>
        <w:rPr>
          <w:del w:id="4702" w:author="AbbVie2" w:date="2025-05-13T16:39:00Z"/>
          <w:sz w:val="22"/>
          <w:szCs w:val="22"/>
        </w:rPr>
      </w:pPr>
      <w:del w:id="4703" w:author="AbbVie2" w:date="2025-05-13T16:39:00Z">
        <w:r w:rsidRPr="008912CF">
          <w:rPr>
            <w:sz w:val="22"/>
            <w:szCs w:val="22"/>
          </w:rPr>
          <w:delText>Não existe utilização relevante de Humira em doentes com menos de 2 anos, para esta indicação.</w:delText>
        </w:r>
      </w:del>
    </w:p>
    <w:p w14:paraId="5FC2BDCB" w14:textId="17D3DBAE" w:rsidR="004462A0" w:rsidRDefault="004462A0" w:rsidP="00412FC8">
      <w:pPr>
        <w:rPr>
          <w:del w:id="4704" w:author="AbbVie2" w:date="2025-05-13T16:39:00Z"/>
          <w:sz w:val="22"/>
          <w:szCs w:val="22"/>
        </w:rPr>
      </w:pPr>
    </w:p>
    <w:p w14:paraId="4CF80A75" w14:textId="3D6A89D1" w:rsidR="004E18EF" w:rsidRDefault="00615769">
      <w:pPr>
        <w:rPr>
          <w:del w:id="4705" w:author="AbbVie2" w:date="2025-05-13T16:39:00Z"/>
          <w:szCs w:val="22"/>
        </w:rPr>
        <w:pPrChange w:id="4706" w:author="AbbVie2" w:date="2025-05-13T16:40:00Z">
          <w:pPr>
            <w:pStyle w:val="BodyText2"/>
            <w:autoSpaceDE/>
            <w:autoSpaceDN/>
            <w:adjustRightInd/>
          </w:pPr>
        </w:pPrChange>
      </w:pPr>
      <w:del w:id="4707" w:author="AbbVie2" w:date="2025-05-13T16:39:00Z">
        <w:r>
          <w:rPr>
            <w:szCs w:val="22"/>
          </w:rPr>
          <w:delText>Humira pode estar disponível em outras dosagens e/ou apresentações dependendo das necessidades de cada doente.</w:delText>
        </w:r>
      </w:del>
    </w:p>
    <w:p w14:paraId="62B6120E" w14:textId="3B35E4A1" w:rsidR="004E18EF" w:rsidRPr="008912CF" w:rsidRDefault="004E18EF" w:rsidP="00412FC8">
      <w:pPr>
        <w:rPr>
          <w:del w:id="4708" w:author="AbbVie2" w:date="2025-05-13T16:39:00Z"/>
          <w:sz w:val="22"/>
          <w:szCs w:val="22"/>
        </w:rPr>
      </w:pPr>
    </w:p>
    <w:p w14:paraId="7DDF7DF8" w14:textId="539C487A" w:rsidR="004462A0" w:rsidRPr="008912CF" w:rsidRDefault="00615769" w:rsidP="00412FC8">
      <w:pPr>
        <w:rPr>
          <w:del w:id="4709" w:author="AbbVie2" w:date="2025-05-13T16:39:00Z"/>
          <w:sz w:val="22"/>
          <w:szCs w:val="22"/>
          <w:u w:val="single"/>
        </w:rPr>
      </w:pPr>
      <w:del w:id="4710" w:author="AbbVie2" w:date="2025-05-13T16:39:00Z">
        <w:r w:rsidRPr="008912CF">
          <w:rPr>
            <w:i/>
            <w:sz w:val="22"/>
            <w:szCs w:val="22"/>
            <w:u w:val="single"/>
          </w:rPr>
          <w:delText>Artrite relacionada com entesite</w:delText>
        </w:r>
      </w:del>
    </w:p>
    <w:p w14:paraId="01F09FF7" w14:textId="2D954E95" w:rsidR="004462A0" w:rsidRPr="008912CF" w:rsidRDefault="004462A0" w:rsidP="00412FC8">
      <w:pPr>
        <w:rPr>
          <w:del w:id="4711" w:author="AbbVie2" w:date="2025-05-13T16:39:00Z"/>
          <w:sz w:val="22"/>
          <w:szCs w:val="22"/>
        </w:rPr>
      </w:pPr>
    </w:p>
    <w:p w14:paraId="0735666E" w14:textId="4739E29D" w:rsidR="00620828" w:rsidRDefault="00615769">
      <w:pPr>
        <w:rPr>
          <w:del w:id="4712" w:author="AbbVie2" w:date="2025-05-13T16:39:00Z"/>
          <w:szCs w:val="22"/>
        </w:rPr>
        <w:pPrChange w:id="4713" w:author="AbbVie2" w:date="2025-05-13T16:40:00Z">
          <w:pPr>
            <w:pStyle w:val="BodyText2"/>
            <w:autoSpaceDE/>
            <w:autoSpaceDN/>
            <w:adjustRightInd/>
          </w:pPr>
        </w:pPrChange>
      </w:pPr>
      <w:del w:id="4714" w:author="AbbVie2" w:date="2025-05-13T16:39:00Z">
        <w:r w:rsidRPr="008912CF">
          <w:rPr>
            <w:szCs w:val="22"/>
          </w:rPr>
          <w:delText xml:space="preserve">A dose de Humira recomendada </w:delText>
        </w:r>
        <w:r w:rsidR="00E876B5">
          <w:rPr>
            <w:szCs w:val="22"/>
          </w:rPr>
          <w:delText>em</w:delText>
        </w:r>
        <w:r w:rsidRPr="008912CF">
          <w:rPr>
            <w:szCs w:val="22"/>
          </w:rPr>
          <w:delText xml:space="preserve"> doentes com artrite relacionada com entesite, a partir dos 6 anos de idade, é </w:delText>
        </w:r>
        <w:r>
          <w:rPr>
            <w:szCs w:val="22"/>
          </w:rPr>
          <w:delText>baseada no peso corporal (Tabela 2).</w:delText>
        </w:r>
        <w:r w:rsidR="000610BF">
          <w:rPr>
            <w:szCs w:val="22"/>
          </w:rPr>
          <w:delText xml:space="preserve"> </w:delText>
        </w:r>
        <w:r>
          <w:rPr>
            <w:szCs w:val="22"/>
          </w:rPr>
          <w:delText>Humira é administrado</w:delText>
        </w:r>
        <w:r w:rsidRPr="008912CF">
          <w:rPr>
            <w:szCs w:val="22"/>
          </w:rPr>
          <w:delText xml:space="preserve"> em semanas alternadas, por injeção subcutânea. </w:delText>
        </w:r>
        <w:r w:rsidRPr="00620828">
          <w:rPr>
            <w:szCs w:val="22"/>
          </w:rPr>
          <w:delText xml:space="preserve"> </w:delText>
        </w:r>
      </w:del>
    </w:p>
    <w:p w14:paraId="26A73712" w14:textId="12B78E0F" w:rsidR="00620828" w:rsidRDefault="00620828">
      <w:pPr>
        <w:rPr>
          <w:del w:id="4715" w:author="AbbVie2" w:date="2025-05-13T16:39:00Z"/>
          <w:szCs w:val="22"/>
        </w:rPr>
        <w:pPrChange w:id="4716" w:author="AbbVie2" w:date="2025-05-13T16:40:00Z">
          <w:pPr>
            <w:pStyle w:val="BodyText2"/>
            <w:autoSpaceDE/>
            <w:autoSpaceDN/>
            <w:adjustRightInd/>
          </w:pPr>
        </w:pPrChange>
      </w:pPr>
    </w:p>
    <w:p w14:paraId="77F88558" w14:textId="37E1D78B" w:rsidR="00620828" w:rsidRPr="008912CF" w:rsidRDefault="00615769">
      <w:pPr>
        <w:rPr>
          <w:del w:id="4717" w:author="AbbVie2" w:date="2025-05-13T16:39:00Z"/>
          <w:b/>
          <w:szCs w:val="22"/>
        </w:rPr>
        <w:pPrChange w:id="4718" w:author="AbbVie2" w:date="2025-05-13T16:40:00Z">
          <w:pPr>
            <w:pStyle w:val="BodyText2"/>
            <w:autoSpaceDE/>
            <w:autoSpaceDN/>
            <w:adjustRightInd/>
            <w:jc w:val="center"/>
          </w:pPr>
        </w:pPrChange>
      </w:pPr>
      <w:del w:id="4719" w:author="AbbVie2" w:date="2025-05-13T16:39:00Z">
        <w:r w:rsidRPr="008912CF">
          <w:rPr>
            <w:b/>
            <w:szCs w:val="22"/>
          </w:rPr>
          <w:delText xml:space="preserve">Tabela </w:delText>
        </w:r>
        <w:r>
          <w:rPr>
            <w:b/>
            <w:szCs w:val="22"/>
          </w:rPr>
          <w:delText>2</w:delText>
        </w:r>
        <w:r w:rsidRPr="008912CF">
          <w:rPr>
            <w:b/>
            <w:szCs w:val="22"/>
          </w:rPr>
          <w:delText xml:space="preserve">. Dose de Humira </w:delText>
        </w:r>
        <w:r w:rsidR="00E876B5">
          <w:rPr>
            <w:b/>
            <w:szCs w:val="22"/>
          </w:rPr>
          <w:delText xml:space="preserve">em </w:delText>
        </w:r>
        <w:r w:rsidRPr="008912CF">
          <w:rPr>
            <w:b/>
            <w:szCs w:val="22"/>
          </w:rPr>
          <w:delText xml:space="preserve">Doentes com Artrite </w:delText>
        </w:r>
        <w:r>
          <w:rPr>
            <w:b/>
            <w:szCs w:val="22"/>
          </w:rPr>
          <w:delText>Relacionada com Entesite</w:delText>
        </w:r>
        <w:r w:rsidRPr="008912CF">
          <w:rPr>
            <w:b/>
            <w:szCs w:val="22"/>
          </w:rPr>
          <w:delText xml:space="preserve"> </w:delText>
        </w:r>
      </w:del>
    </w:p>
    <w:p w14:paraId="14206D6E" w14:textId="6E16CDC1" w:rsidR="00620828" w:rsidRPr="008912CF" w:rsidRDefault="00620828" w:rsidP="00412FC8">
      <w:pPr>
        <w:rPr>
          <w:del w:id="4720" w:author="AbbVie2" w:date="2025-05-13T16:39:00Z"/>
          <w:sz w:val="22"/>
          <w:szCs w:val="22"/>
        </w:rPr>
      </w:pPr>
    </w:p>
    <w:tbl>
      <w:tblPr>
        <w:tblW w:w="6795" w:type="dxa"/>
        <w:jc w:val="center"/>
        <w:tblLayout w:type="fixed"/>
        <w:tblLook w:val="0000" w:firstRow="0" w:lastRow="0" w:firstColumn="0" w:lastColumn="0" w:noHBand="0" w:noVBand="0"/>
      </w:tblPr>
      <w:tblGrid>
        <w:gridCol w:w="3401"/>
        <w:gridCol w:w="3394"/>
      </w:tblGrid>
      <w:tr w:rsidR="00A7162A" w14:paraId="3914C8FA" w14:textId="79060253" w:rsidTr="00A22EC4">
        <w:trPr>
          <w:tblHeader/>
          <w:jc w:val="center"/>
          <w:del w:id="4721" w:author="AbbVie2" w:date="2025-05-13T16:39:00Z"/>
        </w:trPr>
        <w:tc>
          <w:tcPr>
            <w:tcW w:w="3401" w:type="dxa"/>
            <w:tcBorders>
              <w:top w:val="single" w:sz="4" w:space="0" w:color="auto"/>
              <w:bottom w:val="single" w:sz="4" w:space="0" w:color="auto"/>
            </w:tcBorders>
          </w:tcPr>
          <w:p w14:paraId="3B12D8C6" w14:textId="67C18705" w:rsidR="00620828" w:rsidRPr="00AD4F25" w:rsidRDefault="00615769">
            <w:pPr>
              <w:rPr>
                <w:del w:id="4722" w:author="AbbVie2" w:date="2025-05-13T16:39:00Z"/>
                <w:rFonts w:eastAsia="Calibri"/>
                <w:b/>
                <w:sz w:val="22"/>
                <w:szCs w:val="22"/>
                <w:lang w:eastAsia="ja-JP"/>
                <w:rPrChange w:id="4723" w:author="AbbVie2" w:date="2025-05-14T10:17:00Z">
                  <w:rPr>
                    <w:del w:id="4724" w:author="AbbVie2" w:date="2025-05-13T16:39:00Z"/>
                    <w:rFonts w:eastAsia="Calibri"/>
                    <w:b/>
                    <w:sz w:val="22"/>
                    <w:szCs w:val="22"/>
                    <w:lang w:val="en-US" w:eastAsia="ja-JP"/>
                  </w:rPr>
                </w:rPrChange>
              </w:rPr>
              <w:pPrChange w:id="4725" w:author="AbbVie2" w:date="2025-05-13T16:40:00Z">
                <w:pPr>
                  <w:keepNext/>
                  <w:spacing w:before="40" w:after="40" w:line="240" w:lineRule="exact"/>
                  <w:jc w:val="center"/>
                </w:pPr>
              </w:pPrChange>
            </w:pPr>
            <w:del w:id="4726" w:author="AbbVie2" w:date="2025-05-13T16:39:00Z">
              <w:r w:rsidRPr="00AD4F25">
                <w:rPr>
                  <w:rFonts w:eastAsia="Calibri"/>
                  <w:b/>
                  <w:sz w:val="22"/>
                  <w:szCs w:val="22"/>
                  <w:lang w:eastAsia="ja-JP"/>
                  <w:rPrChange w:id="4727" w:author="AbbVie2" w:date="2025-05-14T10:17:00Z">
                    <w:rPr>
                      <w:rFonts w:eastAsia="Calibri"/>
                      <w:b/>
                      <w:sz w:val="22"/>
                      <w:szCs w:val="22"/>
                      <w:lang w:val="en-US" w:eastAsia="ja-JP"/>
                    </w:rPr>
                  </w:rPrChange>
                </w:rPr>
                <w:delText>Peso do Doente</w:delText>
              </w:r>
            </w:del>
          </w:p>
        </w:tc>
        <w:tc>
          <w:tcPr>
            <w:tcW w:w="3394" w:type="dxa"/>
            <w:tcBorders>
              <w:top w:val="single" w:sz="4" w:space="0" w:color="auto"/>
              <w:bottom w:val="single" w:sz="4" w:space="0" w:color="auto"/>
            </w:tcBorders>
          </w:tcPr>
          <w:p w14:paraId="5D12E62A" w14:textId="53E7A732" w:rsidR="00620828" w:rsidRPr="00AD4F25" w:rsidRDefault="00615769">
            <w:pPr>
              <w:rPr>
                <w:del w:id="4728" w:author="AbbVie2" w:date="2025-05-13T16:39:00Z"/>
                <w:rFonts w:eastAsia="Calibri"/>
                <w:b/>
                <w:sz w:val="22"/>
                <w:szCs w:val="22"/>
                <w:lang w:eastAsia="ja-JP"/>
                <w:rPrChange w:id="4729" w:author="AbbVie2" w:date="2025-05-14T10:17:00Z">
                  <w:rPr>
                    <w:del w:id="4730" w:author="AbbVie2" w:date="2025-05-13T16:39:00Z"/>
                    <w:rFonts w:eastAsia="Calibri"/>
                    <w:b/>
                    <w:sz w:val="22"/>
                    <w:szCs w:val="22"/>
                    <w:lang w:val="en-US" w:eastAsia="ja-JP"/>
                  </w:rPr>
                </w:rPrChange>
              </w:rPr>
              <w:pPrChange w:id="4731" w:author="AbbVie2" w:date="2025-05-13T16:40:00Z">
                <w:pPr>
                  <w:keepNext/>
                  <w:spacing w:before="40" w:after="40" w:line="240" w:lineRule="exact"/>
                  <w:jc w:val="center"/>
                </w:pPr>
              </w:pPrChange>
            </w:pPr>
            <w:del w:id="4732" w:author="AbbVie2" w:date="2025-05-13T16:39:00Z">
              <w:r w:rsidRPr="00AD4F25">
                <w:rPr>
                  <w:rFonts w:eastAsia="Calibri"/>
                  <w:b/>
                  <w:sz w:val="22"/>
                  <w:szCs w:val="22"/>
                  <w:lang w:eastAsia="ja-JP"/>
                  <w:rPrChange w:id="4733" w:author="AbbVie2" w:date="2025-05-14T10:17:00Z">
                    <w:rPr>
                      <w:rFonts w:eastAsia="Calibri"/>
                      <w:b/>
                      <w:sz w:val="22"/>
                      <w:szCs w:val="22"/>
                      <w:lang w:val="en-US" w:eastAsia="ja-JP"/>
                    </w:rPr>
                  </w:rPrChange>
                </w:rPr>
                <w:delText xml:space="preserve">Regime </w:delText>
              </w:r>
              <w:r w:rsidR="00C00E3F" w:rsidRPr="00AD4F25">
                <w:rPr>
                  <w:rFonts w:eastAsia="Calibri"/>
                  <w:b/>
                  <w:sz w:val="22"/>
                  <w:szCs w:val="22"/>
                  <w:lang w:eastAsia="ja-JP"/>
                  <w:rPrChange w:id="4734" w:author="AbbVie2" w:date="2025-05-14T10:17:00Z">
                    <w:rPr>
                      <w:rFonts w:eastAsia="Calibri"/>
                      <w:b/>
                      <w:sz w:val="22"/>
                      <w:szCs w:val="22"/>
                      <w:lang w:val="en-US" w:eastAsia="ja-JP"/>
                    </w:rPr>
                  </w:rPrChange>
                </w:rPr>
                <w:delText>Posológico</w:delText>
              </w:r>
            </w:del>
          </w:p>
        </w:tc>
      </w:tr>
      <w:tr w:rsidR="00A7162A" w14:paraId="2C26BE5F" w14:textId="760E80E8" w:rsidTr="00A22EC4">
        <w:trPr>
          <w:tblHeader/>
          <w:jc w:val="center"/>
          <w:del w:id="4735" w:author="AbbVie2" w:date="2025-05-13T16:39:00Z"/>
        </w:trPr>
        <w:tc>
          <w:tcPr>
            <w:tcW w:w="3401" w:type="dxa"/>
            <w:tcBorders>
              <w:top w:val="single" w:sz="4" w:space="0" w:color="auto"/>
              <w:bottom w:val="single" w:sz="4" w:space="0" w:color="auto"/>
            </w:tcBorders>
          </w:tcPr>
          <w:p w14:paraId="6D6EF1FD" w14:textId="03C9D8DF" w:rsidR="00620828" w:rsidRPr="00AD4F25" w:rsidRDefault="00615769">
            <w:pPr>
              <w:rPr>
                <w:del w:id="4736" w:author="AbbVie2" w:date="2025-05-13T16:39:00Z"/>
                <w:rFonts w:eastAsia="Calibri"/>
                <w:b/>
                <w:sz w:val="22"/>
                <w:szCs w:val="22"/>
                <w:lang w:eastAsia="ja-JP"/>
                <w:rPrChange w:id="4737" w:author="AbbVie2" w:date="2025-05-14T10:17:00Z">
                  <w:rPr>
                    <w:del w:id="4738" w:author="AbbVie2" w:date="2025-05-13T16:39:00Z"/>
                    <w:rFonts w:eastAsia="Calibri"/>
                    <w:b/>
                    <w:sz w:val="22"/>
                    <w:szCs w:val="22"/>
                    <w:lang w:val="en-US" w:eastAsia="ja-JP"/>
                  </w:rPr>
                </w:rPrChange>
              </w:rPr>
              <w:pPrChange w:id="4739" w:author="AbbVie2" w:date="2025-05-13T16:40:00Z">
                <w:pPr>
                  <w:keepNext/>
                  <w:spacing w:before="40" w:after="40" w:line="240" w:lineRule="exact"/>
                  <w:jc w:val="center"/>
                </w:pPr>
              </w:pPrChange>
            </w:pPr>
            <w:del w:id="4740" w:author="AbbVie2" w:date="2025-05-13T16:39:00Z">
              <w:r w:rsidRPr="00AD4F25">
                <w:rPr>
                  <w:rFonts w:eastAsia="Calibri"/>
                  <w:sz w:val="22"/>
                  <w:szCs w:val="22"/>
                  <w:lang w:eastAsia="ja-JP"/>
                  <w:rPrChange w:id="4741" w:author="AbbVie2" w:date="2025-05-14T10:17:00Z">
                    <w:rPr>
                      <w:rFonts w:eastAsia="Calibri"/>
                      <w:sz w:val="22"/>
                      <w:szCs w:val="22"/>
                      <w:lang w:val="en-US" w:eastAsia="ja-JP"/>
                    </w:rPr>
                  </w:rPrChange>
                </w:rPr>
                <w:delText>15</w:delText>
              </w:r>
              <w:r w:rsidR="00A3305A" w:rsidRPr="00AD4F25">
                <w:rPr>
                  <w:rFonts w:eastAsia="Calibri"/>
                  <w:sz w:val="22"/>
                  <w:szCs w:val="22"/>
                  <w:lang w:eastAsia="ja-JP"/>
                  <w:rPrChange w:id="4742" w:author="AbbVie2" w:date="2025-05-14T10:17:00Z">
                    <w:rPr>
                      <w:rFonts w:eastAsia="Calibri"/>
                      <w:sz w:val="22"/>
                      <w:szCs w:val="22"/>
                      <w:lang w:val="en-US" w:eastAsia="ja-JP"/>
                    </w:rPr>
                  </w:rPrChange>
                </w:rPr>
                <w:delText xml:space="preserve"> kg até</w:delText>
              </w:r>
              <w:r w:rsidRPr="00AD4F25">
                <w:rPr>
                  <w:rFonts w:eastAsia="Calibri"/>
                  <w:sz w:val="22"/>
                  <w:szCs w:val="22"/>
                  <w:lang w:eastAsia="ja-JP"/>
                  <w:rPrChange w:id="4743" w:author="AbbVie2" w:date="2025-05-14T10:17:00Z">
                    <w:rPr>
                      <w:rFonts w:eastAsia="Calibri"/>
                      <w:sz w:val="22"/>
                      <w:szCs w:val="22"/>
                      <w:lang w:val="en-US" w:eastAsia="ja-JP"/>
                    </w:rPr>
                  </w:rPrChange>
                </w:rPr>
                <w:delText xml:space="preserve"> &lt; 30 kg</w:delText>
              </w:r>
            </w:del>
          </w:p>
        </w:tc>
        <w:tc>
          <w:tcPr>
            <w:tcW w:w="3394" w:type="dxa"/>
            <w:tcBorders>
              <w:top w:val="single" w:sz="4" w:space="0" w:color="auto"/>
              <w:bottom w:val="single" w:sz="4" w:space="0" w:color="auto"/>
            </w:tcBorders>
          </w:tcPr>
          <w:p w14:paraId="54466893" w14:textId="2FEB6F03" w:rsidR="00620828" w:rsidRPr="00AD4F25" w:rsidRDefault="00615769">
            <w:pPr>
              <w:rPr>
                <w:del w:id="4744" w:author="AbbVie2" w:date="2025-05-13T16:39:00Z"/>
                <w:rFonts w:eastAsia="Calibri"/>
                <w:b/>
                <w:sz w:val="22"/>
                <w:szCs w:val="22"/>
                <w:lang w:eastAsia="ja-JP"/>
                <w:rPrChange w:id="4745" w:author="AbbVie2" w:date="2025-05-14T10:17:00Z">
                  <w:rPr>
                    <w:del w:id="4746" w:author="AbbVie2" w:date="2025-05-13T16:39:00Z"/>
                    <w:rFonts w:eastAsia="Calibri"/>
                    <w:b/>
                    <w:sz w:val="22"/>
                    <w:szCs w:val="22"/>
                    <w:lang w:val="en-US" w:eastAsia="ja-JP"/>
                  </w:rPr>
                </w:rPrChange>
              </w:rPr>
              <w:pPrChange w:id="4747" w:author="AbbVie2" w:date="2025-05-13T16:40:00Z">
                <w:pPr>
                  <w:keepNext/>
                  <w:spacing w:before="40" w:after="40" w:line="240" w:lineRule="exact"/>
                  <w:jc w:val="center"/>
                </w:pPr>
              </w:pPrChange>
            </w:pPr>
            <w:del w:id="4748" w:author="AbbVie2" w:date="2025-05-13T16:39:00Z">
              <w:r w:rsidRPr="00AD4F25">
                <w:rPr>
                  <w:rFonts w:eastAsia="Calibri"/>
                  <w:sz w:val="22"/>
                  <w:szCs w:val="22"/>
                  <w:lang w:eastAsia="ja-JP"/>
                  <w:rPrChange w:id="4749" w:author="AbbVie2" w:date="2025-05-14T10:17:00Z">
                    <w:rPr>
                      <w:rFonts w:eastAsia="Calibri"/>
                      <w:sz w:val="22"/>
                      <w:szCs w:val="22"/>
                      <w:lang w:val="en-US" w:eastAsia="ja-JP"/>
                    </w:rPr>
                  </w:rPrChange>
                </w:rPr>
                <w:delText>20 mg em semanas alternadas</w:delText>
              </w:r>
            </w:del>
          </w:p>
        </w:tc>
      </w:tr>
      <w:tr w:rsidR="00A7162A" w14:paraId="6F5152FD" w14:textId="24D61A7A" w:rsidTr="00A22EC4">
        <w:trPr>
          <w:tblHeader/>
          <w:jc w:val="center"/>
          <w:del w:id="4750" w:author="AbbVie2" w:date="2025-05-13T16:39:00Z"/>
        </w:trPr>
        <w:tc>
          <w:tcPr>
            <w:tcW w:w="3401" w:type="dxa"/>
            <w:tcBorders>
              <w:top w:val="single" w:sz="4" w:space="0" w:color="auto"/>
              <w:bottom w:val="single" w:sz="4" w:space="0" w:color="auto"/>
            </w:tcBorders>
          </w:tcPr>
          <w:p w14:paraId="65621CB9" w14:textId="76159601" w:rsidR="00620828" w:rsidRPr="00AD4F25" w:rsidRDefault="00615769">
            <w:pPr>
              <w:rPr>
                <w:del w:id="4751" w:author="AbbVie2" w:date="2025-05-13T16:39:00Z"/>
                <w:rFonts w:eastAsia="Calibri"/>
                <w:b/>
                <w:sz w:val="22"/>
                <w:szCs w:val="22"/>
                <w:lang w:eastAsia="ja-JP"/>
                <w:rPrChange w:id="4752" w:author="AbbVie2" w:date="2025-05-14T10:17:00Z">
                  <w:rPr>
                    <w:del w:id="4753" w:author="AbbVie2" w:date="2025-05-13T16:39:00Z"/>
                    <w:rFonts w:eastAsia="Calibri"/>
                    <w:b/>
                    <w:sz w:val="22"/>
                    <w:szCs w:val="22"/>
                    <w:lang w:val="en-US" w:eastAsia="ja-JP"/>
                  </w:rPr>
                </w:rPrChange>
              </w:rPr>
              <w:pPrChange w:id="4754" w:author="AbbVie2" w:date="2025-05-13T16:40:00Z">
                <w:pPr>
                  <w:keepNext/>
                  <w:spacing w:before="40" w:after="40" w:line="240" w:lineRule="exact"/>
                  <w:jc w:val="center"/>
                </w:pPr>
              </w:pPrChange>
            </w:pPr>
            <w:del w:id="4755" w:author="AbbVie2" w:date="2025-05-13T16:39:00Z">
              <w:r w:rsidRPr="00AD4F25">
                <w:rPr>
                  <w:rFonts w:eastAsia="Calibri"/>
                  <w:sz w:val="22"/>
                  <w:szCs w:val="22"/>
                  <w:lang w:eastAsia="ja-JP"/>
                  <w:rPrChange w:id="4756" w:author="AbbVie2" w:date="2025-05-14T10:17:00Z">
                    <w:rPr>
                      <w:rFonts w:eastAsia="Calibri"/>
                      <w:sz w:val="22"/>
                      <w:szCs w:val="22"/>
                      <w:lang w:val="en-US" w:eastAsia="ja-JP"/>
                    </w:rPr>
                  </w:rPrChange>
                </w:rPr>
                <w:delText>≥ 30 kg</w:delText>
              </w:r>
            </w:del>
          </w:p>
        </w:tc>
        <w:tc>
          <w:tcPr>
            <w:tcW w:w="3394" w:type="dxa"/>
            <w:tcBorders>
              <w:top w:val="single" w:sz="4" w:space="0" w:color="auto"/>
              <w:bottom w:val="single" w:sz="4" w:space="0" w:color="auto"/>
            </w:tcBorders>
          </w:tcPr>
          <w:p w14:paraId="7FF4D9B8" w14:textId="72C258D0" w:rsidR="00620828" w:rsidRPr="00AD4F25" w:rsidRDefault="00615769">
            <w:pPr>
              <w:rPr>
                <w:del w:id="4757" w:author="AbbVie2" w:date="2025-05-13T16:39:00Z"/>
                <w:rFonts w:eastAsia="Calibri"/>
                <w:b/>
                <w:sz w:val="22"/>
                <w:szCs w:val="22"/>
                <w:lang w:eastAsia="ja-JP"/>
                <w:rPrChange w:id="4758" w:author="AbbVie2" w:date="2025-05-14T10:17:00Z">
                  <w:rPr>
                    <w:del w:id="4759" w:author="AbbVie2" w:date="2025-05-13T16:39:00Z"/>
                    <w:rFonts w:eastAsia="Calibri"/>
                    <w:b/>
                    <w:sz w:val="22"/>
                    <w:szCs w:val="22"/>
                    <w:lang w:val="en-US" w:eastAsia="ja-JP"/>
                  </w:rPr>
                </w:rPrChange>
              </w:rPr>
              <w:pPrChange w:id="4760" w:author="AbbVie2" w:date="2025-05-13T16:40:00Z">
                <w:pPr>
                  <w:keepNext/>
                  <w:spacing w:before="40" w:after="40" w:line="240" w:lineRule="exact"/>
                  <w:jc w:val="center"/>
                </w:pPr>
              </w:pPrChange>
            </w:pPr>
            <w:del w:id="4761" w:author="AbbVie2" w:date="2025-05-13T16:39:00Z">
              <w:r w:rsidRPr="00AD4F25">
                <w:rPr>
                  <w:rFonts w:eastAsia="Calibri"/>
                  <w:sz w:val="22"/>
                  <w:szCs w:val="22"/>
                  <w:lang w:eastAsia="ja-JP"/>
                  <w:rPrChange w:id="4762" w:author="AbbVie2" w:date="2025-05-14T10:17:00Z">
                    <w:rPr>
                      <w:rFonts w:eastAsia="Calibri"/>
                      <w:sz w:val="22"/>
                      <w:szCs w:val="22"/>
                      <w:lang w:val="en-US" w:eastAsia="ja-JP"/>
                    </w:rPr>
                  </w:rPrChange>
                </w:rPr>
                <w:delText>40 mg em semanas alternadas</w:delText>
              </w:r>
            </w:del>
          </w:p>
        </w:tc>
      </w:tr>
    </w:tbl>
    <w:p w14:paraId="1DE9AA86" w14:textId="44C277FD" w:rsidR="0082669E" w:rsidRDefault="0082669E" w:rsidP="00412FC8">
      <w:pPr>
        <w:rPr>
          <w:del w:id="4763" w:author="AbbVie2" w:date="2025-05-13T16:39:00Z"/>
          <w:sz w:val="22"/>
          <w:szCs w:val="22"/>
        </w:rPr>
      </w:pPr>
    </w:p>
    <w:p w14:paraId="283F9ED6" w14:textId="636F5C3C" w:rsidR="004462A0" w:rsidRPr="008912CF" w:rsidRDefault="00615769" w:rsidP="00412FC8">
      <w:pPr>
        <w:rPr>
          <w:del w:id="4764" w:author="AbbVie2" w:date="2025-05-13T16:39:00Z"/>
          <w:sz w:val="22"/>
          <w:szCs w:val="22"/>
        </w:rPr>
      </w:pPr>
      <w:del w:id="4765" w:author="AbbVie2" w:date="2025-05-13T16:39:00Z">
        <w:r w:rsidRPr="008912CF">
          <w:rPr>
            <w:sz w:val="22"/>
            <w:szCs w:val="22"/>
          </w:rPr>
          <w:delText>Humira não foi estudado em doentes com artrite relacionada com entesite com menos de 6 anos.</w:delText>
        </w:r>
      </w:del>
    </w:p>
    <w:p w14:paraId="2BBD4E83" w14:textId="4232504D" w:rsidR="004462A0" w:rsidRDefault="004462A0" w:rsidP="00412FC8">
      <w:pPr>
        <w:rPr>
          <w:del w:id="4766" w:author="AbbVie2" w:date="2025-05-13T16:39:00Z"/>
          <w:bCs/>
          <w:iCs/>
          <w:sz w:val="22"/>
          <w:szCs w:val="22"/>
        </w:rPr>
      </w:pPr>
    </w:p>
    <w:p w14:paraId="1879B81B" w14:textId="5D53E660" w:rsidR="004E18EF" w:rsidRDefault="00615769">
      <w:pPr>
        <w:rPr>
          <w:del w:id="4767" w:author="AbbVie2" w:date="2025-05-13T16:39:00Z"/>
          <w:bCs/>
          <w:iCs/>
          <w:szCs w:val="22"/>
        </w:rPr>
        <w:pPrChange w:id="4768" w:author="AbbVie2" w:date="2025-05-13T16:40:00Z">
          <w:pPr>
            <w:pStyle w:val="BodyText2"/>
            <w:autoSpaceDE/>
            <w:autoSpaceDN/>
            <w:adjustRightInd/>
          </w:pPr>
        </w:pPrChange>
      </w:pPr>
      <w:del w:id="4769" w:author="AbbVie2" w:date="2025-05-13T16:39:00Z">
        <w:r>
          <w:rPr>
            <w:szCs w:val="22"/>
          </w:rPr>
          <w:delText>Humira pode estar disponível em outras dosagens e/ou apresentações dependendo das necessidades de cada doente.</w:delText>
        </w:r>
      </w:del>
    </w:p>
    <w:p w14:paraId="1098A659" w14:textId="76B9D80C" w:rsidR="004E18EF" w:rsidRPr="008912CF" w:rsidRDefault="004E18EF" w:rsidP="00412FC8">
      <w:pPr>
        <w:rPr>
          <w:del w:id="4770" w:author="AbbVie2" w:date="2025-05-13T16:39:00Z"/>
          <w:bCs/>
          <w:iCs/>
          <w:sz w:val="22"/>
          <w:szCs w:val="22"/>
        </w:rPr>
      </w:pPr>
    </w:p>
    <w:p w14:paraId="4B326332" w14:textId="36DC7219" w:rsidR="00F4016C" w:rsidRPr="008912CF" w:rsidRDefault="00615769" w:rsidP="00412FC8">
      <w:pPr>
        <w:rPr>
          <w:del w:id="4771" w:author="AbbVie2" w:date="2025-05-13T16:39:00Z"/>
          <w:bCs/>
          <w:i/>
          <w:iCs/>
          <w:sz w:val="22"/>
          <w:szCs w:val="22"/>
        </w:rPr>
      </w:pPr>
      <w:del w:id="4772" w:author="AbbVie2" w:date="2025-05-13T16:39:00Z">
        <w:r w:rsidRPr="008912CF">
          <w:rPr>
            <w:bCs/>
            <w:i/>
            <w:iCs/>
            <w:sz w:val="22"/>
            <w:szCs w:val="22"/>
          </w:rPr>
          <w:delText>Artrite psoriática e espondilartrite axial incluindo espondilite anquilosante</w:delText>
        </w:r>
      </w:del>
    </w:p>
    <w:p w14:paraId="67145E36" w14:textId="4211ED44" w:rsidR="00F4016C" w:rsidRPr="008912CF" w:rsidRDefault="00F4016C" w:rsidP="00412FC8">
      <w:pPr>
        <w:rPr>
          <w:del w:id="4773" w:author="AbbVie2" w:date="2025-05-13T16:39:00Z"/>
          <w:bCs/>
          <w:iCs/>
          <w:sz w:val="22"/>
          <w:szCs w:val="22"/>
        </w:rPr>
      </w:pPr>
    </w:p>
    <w:p w14:paraId="136F30C9" w14:textId="482283BB" w:rsidR="00F4016C" w:rsidRPr="008912CF" w:rsidRDefault="00615769" w:rsidP="00412FC8">
      <w:pPr>
        <w:rPr>
          <w:del w:id="4774" w:author="AbbVie2" w:date="2025-05-13T16:39:00Z"/>
          <w:bCs/>
          <w:iCs/>
          <w:sz w:val="22"/>
          <w:szCs w:val="22"/>
        </w:rPr>
      </w:pPr>
      <w:del w:id="4775" w:author="AbbVie2" w:date="2025-05-13T16:39:00Z">
        <w:r w:rsidRPr="008912CF">
          <w:rPr>
            <w:sz w:val="22"/>
            <w:szCs w:val="22"/>
          </w:rPr>
          <w:delText xml:space="preserve">Não existe utilização relevante de Humira na população pediátrica para as indicações </w:delText>
        </w:r>
        <w:r w:rsidRPr="008912CF">
          <w:rPr>
            <w:bCs/>
            <w:iCs/>
            <w:sz w:val="22"/>
            <w:szCs w:val="22"/>
          </w:rPr>
          <w:delText>espondilite anquilosante e artrite psoriática.</w:delText>
        </w:r>
        <w:r w:rsidRPr="008912CF">
          <w:rPr>
            <w:sz w:val="22"/>
            <w:szCs w:val="22"/>
          </w:rPr>
          <w:delText xml:space="preserve"> </w:delText>
        </w:r>
      </w:del>
    </w:p>
    <w:p w14:paraId="2BAF4977" w14:textId="6F2471AD" w:rsidR="00F4016C" w:rsidRPr="008912CF" w:rsidRDefault="00F4016C" w:rsidP="00412FC8">
      <w:pPr>
        <w:rPr>
          <w:del w:id="4776" w:author="AbbVie2" w:date="2025-05-13T16:39:00Z"/>
          <w:bCs/>
          <w:iCs/>
          <w:sz w:val="22"/>
          <w:szCs w:val="22"/>
        </w:rPr>
      </w:pPr>
    </w:p>
    <w:p w14:paraId="7EA227C7" w14:textId="362BDBEC" w:rsidR="004462A0" w:rsidRPr="008912CF" w:rsidRDefault="00615769" w:rsidP="00412FC8">
      <w:pPr>
        <w:rPr>
          <w:del w:id="4777" w:author="AbbVie2" w:date="2025-05-13T16:39:00Z"/>
          <w:sz w:val="22"/>
          <w:szCs w:val="22"/>
        </w:rPr>
      </w:pPr>
      <w:del w:id="4778" w:author="AbbVie2" w:date="2025-05-13T16:39:00Z">
        <w:r w:rsidRPr="008912CF">
          <w:rPr>
            <w:i/>
            <w:sz w:val="22"/>
            <w:szCs w:val="22"/>
          </w:rPr>
          <w:delText>Psoríase pediátrica em placas</w:delText>
        </w:r>
      </w:del>
    </w:p>
    <w:p w14:paraId="2DDCFD6C" w14:textId="4BA0AF6C" w:rsidR="004462A0" w:rsidRPr="008912CF" w:rsidRDefault="004462A0" w:rsidP="00412FC8">
      <w:pPr>
        <w:rPr>
          <w:del w:id="4779" w:author="AbbVie2" w:date="2025-05-13T16:39:00Z"/>
          <w:sz w:val="22"/>
          <w:szCs w:val="22"/>
          <w:u w:val="single"/>
        </w:rPr>
      </w:pPr>
    </w:p>
    <w:p w14:paraId="11F2E317" w14:textId="428BCEE1" w:rsidR="000C4CC9" w:rsidRDefault="00615769">
      <w:pPr>
        <w:rPr>
          <w:del w:id="4780" w:author="AbbVie2" w:date="2025-05-13T16:39:00Z"/>
          <w:szCs w:val="22"/>
        </w:rPr>
        <w:pPrChange w:id="4781" w:author="AbbVie2" w:date="2025-05-13T16:40:00Z">
          <w:pPr>
            <w:pStyle w:val="BodyText2"/>
            <w:autoSpaceDE/>
            <w:autoSpaceDN/>
            <w:adjustRightInd/>
          </w:pPr>
        </w:pPrChange>
      </w:pPr>
      <w:del w:id="4782" w:author="AbbVie2" w:date="2025-05-13T16:39:00Z">
        <w:r w:rsidRPr="008912CF">
          <w:rPr>
            <w:szCs w:val="22"/>
          </w:rPr>
          <w:delText xml:space="preserve">A dose recomendada de Humira </w:delText>
        </w:r>
        <w:r w:rsidR="00E876B5">
          <w:rPr>
            <w:szCs w:val="22"/>
          </w:rPr>
          <w:delText>em</w:delText>
        </w:r>
        <w:r w:rsidR="00620828" w:rsidRPr="00620828">
          <w:rPr>
            <w:szCs w:val="22"/>
          </w:rPr>
          <w:delText xml:space="preserve"> doentes com psoríase em placas, com idades compreendidas entre os 4 e os 17 anos, é baseada no peso corporal (Tabela 3). </w:delText>
        </w:r>
        <w:r>
          <w:rPr>
            <w:szCs w:val="22"/>
          </w:rPr>
          <w:delText>Humira é administrado</w:delText>
        </w:r>
        <w:r w:rsidRPr="008912CF">
          <w:rPr>
            <w:szCs w:val="22"/>
          </w:rPr>
          <w:delText xml:space="preserve"> por injeção subcutânea</w:delText>
        </w:r>
        <w:r>
          <w:rPr>
            <w:szCs w:val="22"/>
          </w:rPr>
          <w:delText xml:space="preserve">. </w:delText>
        </w:r>
      </w:del>
    </w:p>
    <w:p w14:paraId="2DFEAE71" w14:textId="088C59CB" w:rsidR="000C4CC9" w:rsidRDefault="000C4CC9">
      <w:pPr>
        <w:rPr>
          <w:del w:id="4783" w:author="AbbVie2" w:date="2025-05-13T16:39:00Z"/>
          <w:szCs w:val="22"/>
        </w:rPr>
        <w:pPrChange w:id="4784" w:author="AbbVie2" w:date="2025-05-13T16:40:00Z">
          <w:pPr>
            <w:pStyle w:val="BodyText2"/>
            <w:autoSpaceDE/>
            <w:autoSpaceDN/>
            <w:adjustRightInd/>
          </w:pPr>
        </w:pPrChange>
      </w:pPr>
    </w:p>
    <w:p w14:paraId="1E76EAA9" w14:textId="50C7D804" w:rsidR="000C4CC9" w:rsidRPr="008912CF" w:rsidRDefault="00615769">
      <w:pPr>
        <w:rPr>
          <w:del w:id="4785" w:author="AbbVie2" w:date="2025-05-13T16:39:00Z"/>
          <w:b/>
          <w:szCs w:val="22"/>
        </w:rPr>
        <w:pPrChange w:id="4786" w:author="AbbVie2" w:date="2025-05-13T16:40:00Z">
          <w:pPr>
            <w:pStyle w:val="BodyText2"/>
            <w:keepNext/>
            <w:autoSpaceDE/>
            <w:autoSpaceDN/>
            <w:adjustRightInd/>
            <w:jc w:val="center"/>
          </w:pPr>
        </w:pPrChange>
      </w:pPr>
      <w:del w:id="4787" w:author="AbbVie2" w:date="2025-05-13T16:39:00Z">
        <w:r w:rsidRPr="008912CF">
          <w:rPr>
            <w:b/>
            <w:szCs w:val="22"/>
          </w:rPr>
          <w:delText xml:space="preserve">Tabela </w:delText>
        </w:r>
        <w:r>
          <w:rPr>
            <w:b/>
            <w:szCs w:val="22"/>
          </w:rPr>
          <w:delText>3</w:delText>
        </w:r>
        <w:r w:rsidRPr="008912CF">
          <w:rPr>
            <w:b/>
            <w:szCs w:val="22"/>
          </w:rPr>
          <w:delText xml:space="preserve">. Dose de Humira </w:delText>
        </w:r>
        <w:r w:rsidR="00E876B5">
          <w:rPr>
            <w:b/>
            <w:szCs w:val="22"/>
          </w:rPr>
          <w:delText xml:space="preserve">em </w:delText>
        </w:r>
        <w:r w:rsidRPr="008912CF">
          <w:rPr>
            <w:b/>
            <w:szCs w:val="22"/>
          </w:rPr>
          <w:delText xml:space="preserve">Doentes </w:delText>
        </w:r>
        <w:r w:rsidR="00E7252B">
          <w:rPr>
            <w:b/>
            <w:szCs w:val="22"/>
          </w:rPr>
          <w:delText xml:space="preserve">Pediátricos </w:delText>
        </w:r>
        <w:r w:rsidRPr="008912CF">
          <w:rPr>
            <w:b/>
            <w:szCs w:val="22"/>
          </w:rPr>
          <w:delText xml:space="preserve">com </w:delText>
        </w:r>
        <w:r>
          <w:rPr>
            <w:b/>
            <w:szCs w:val="22"/>
          </w:rPr>
          <w:delText>Psoríase em Placas</w:delText>
        </w:r>
        <w:r w:rsidRPr="008912CF">
          <w:rPr>
            <w:b/>
            <w:szCs w:val="22"/>
          </w:rPr>
          <w:delText xml:space="preserve"> </w:delText>
        </w:r>
      </w:del>
    </w:p>
    <w:p w14:paraId="5315256B" w14:textId="1DB70512" w:rsidR="000C4CC9" w:rsidRPr="008912CF" w:rsidRDefault="000C4CC9">
      <w:pPr>
        <w:rPr>
          <w:del w:id="4788" w:author="AbbVie2" w:date="2025-05-13T16:39:00Z"/>
          <w:sz w:val="22"/>
          <w:szCs w:val="22"/>
        </w:rPr>
        <w:pPrChange w:id="4789" w:author="AbbVie2" w:date="2025-05-13T16:40:00Z">
          <w:pPr>
            <w:keepNext/>
          </w:pPr>
        </w:pPrChange>
      </w:pPr>
    </w:p>
    <w:tbl>
      <w:tblPr>
        <w:tblW w:w="6795" w:type="dxa"/>
        <w:jc w:val="center"/>
        <w:tblLayout w:type="fixed"/>
        <w:tblLook w:val="0000" w:firstRow="0" w:lastRow="0" w:firstColumn="0" w:lastColumn="0" w:noHBand="0" w:noVBand="0"/>
      </w:tblPr>
      <w:tblGrid>
        <w:gridCol w:w="3401"/>
        <w:gridCol w:w="3394"/>
      </w:tblGrid>
      <w:tr w:rsidR="00A7162A" w14:paraId="10E4FD5D" w14:textId="17B627DB" w:rsidTr="00A22EC4">
        <w:trPr>
          <w:tblHeader/>
          <w:jc w:val="center"/>
          <w:del w:id="4790" w:author="AbbVie2" w:date="2025-05-13T16:39:00Z"/>
        </w:trPr>
        <w:tc>
          <w:tcPr>
            <w:tcW w:w="3401" w:type="dxa"/>
            <w:tcBorders>
              <w:top w:val="single" w:sz="4" w:space="0" w:color="auto"/>
              <w:bottom w:val="single" w:sz="4" w:space="0" w:color="auto"/>
            </w:tcBorders>
          </w:tcPr>
          <w:p w14:paraId="6D495368" w14:textId="68BCF426" w:rsidR="000C4CC9" w:rsidRPr="00AD4F25" w:rsidRDefault="00615769">
            <w:pPr>
              <w:rPr>
                <w:del w:id="4791" w:author="AbbVie2" w:date="2025-05-13T16:39:00Z"/>
                <w:rFonts w:eastAsia="Calibri"/>
                <w:b/>
                <w:sz w:val="22"/>
                <w:szCs w:val="22"/>
                <w:lang w:eastAsia="ja-JP"/>
                <w:rPrChange w:id="4792" w:author="AbbVie2" w:date="2025-05-14T10:17:00Z">
                  <w:rPr>
                    <w:del w:id="4793" w:author="AbbVie2" w:date="2025-05-13T16:39:00Z"/>
                    <w:rFonts w:eastAsia="Calibri"/>
                    <w:b/>
                    <w:sz w:val="22"/>
                    <w:szCs w:val="22"/>
                    <w:lang w:val="en-US" w:eastAsia="ja-JP"/>
                  </w:rPr>
                </w:rPrChange>
              </w:rPr>
              <w:pPrChange w:id="4794" w:author="AbbVie2" w:date="2025-05-13T16:40:00Z">
                <w:pPr>
                  <w:keepNext/>
                  <w:spacing w:before="40" w:after="40" w:line="240" w:lineRule="exact"/>
                  <w:jc w:val="center"/>
                </w:pPr>
              </w:pPrChange>
            </w:pPr>
            <w:del w:id="4795" w:author="AbbVie2" w:date="2025-05-13T16:39:00Z">
              <w:r w:rsidRPr="00AD4F25">
                <w:rPr>
                  <w:rFonts w:eastAsia="Calibri"/>
                  <w:b/>
                  <w:sz w:val="22"/>
                  <w:szCs w:val="22"/>
                  <w:lang w:eastAsia="ja-JP"/>
                  <w:rPrChange w:id="4796" w:author="AbbVie2" w:date="2025-05-14T10:17:00Z">
                    <w:rPr>
                      <w:rFonts w:eastAsia="Calibri"/>
                      <w:b/>
                      <w:sz w:val="22"/>
                      <w:szCs w:val="22"/>
                      <w:lang w:val="en-US" w:eastAsia="ja-JP"/>
                    </w:rPr>
                  </w:rPrChange>
                </w:rPr>
                <w:delText>Peso do Doente</w:delText>
              </w:r>
            </w:del>
          </w:p>
        </w:tc>
        <w:tc>
          <w:tcPr>
            <w:tcW w:w="3394" w:type="dxa"/>
            <w:tcBorders>
              <w:top w:val="single" w:sz="4" w:space="0" w:color="auto"/>
              <w:bottom w:val="single" w:sz="4" w:space="0" w:color="auto"/>
            </w:tcBorders>
          </w:tcPr>
          <w:p w14:paraId="3111BF4F" w14:textId="75E2C540" w:rsidR="000C4CC9" w:rsidRPr="00AD4F25" w:rsidRDefault="00615769">
            <w:pPr>
              <w:rPr>
                <w:del w:id="4797" w:author="AbbVie2" w:date="2025-05-13T16:39:00Z"/>
                <w:rFonts w:eastAsia="Calibri"/>
                <w:b/>
                <w:sz w:val="22"/>
                <w:szCs w:val="22"/>
                <w:lang w:eastAsia="ja-JP"/>
                <w:rPrChange w:id="4798" w:author="AbbVie2" w:date="2025-05-14T10:17:00Z">
                  <w:rPr>
                    <w:del w:id="4799" w:author="AbbVie2" w:date="2025-05-13T16:39:00Z"/>
                    <w:rFonts w:eastAsia="Calibri"/>
                    <w:b/>
                    <w:sz w:val="22"/>
                    <w:szCs w:val="22"/>
                    <w:lang w:val="en-US" w:eastAsia="ja-JP"/>
                  </w:rPr>
                </w:rPrChange>
              </w:rPr>
              <w:pPrChange w:id="4800" w:author="AbbVie2" w:date="2025-05-13T16:40:00Z">
                <w:pPr>
                  <w:keepNext/>
                  <w:spacing w:before="40" w:after="40" w:line="240" w:lineRule="exact"/>
                  <w:jc w:val="center"/>
                </w:pPr>
              </w:pPrChange>
            </w:pPr>
            <w:del w:id="4801" w:author="AbbVie2" w:date="2025-05-13T16:39:00Z">
              <w:r w:rsidRPr="00AD4F25">
                <w:rPr>
                  <w:rFonts w:eastAsia="Calibri"/>
                  <w:b/>
                  <w:sz w:val="22"/>
                  <w:szCs w:val="22"/>
                  <w:lang w:eastAsia="ja-JP"/>
                  <w:rPrChange w:id="4802" w:author="AbbVie2" w:date="2025-05-14T10:17:00Z">
                    <w:rPr>
                      <w:rFonts w:eastAsia="Calibri"/>
                      <w:b/>
                      <w:sz w:val="22"/>
                      <w:szCs w:val="22"/>
                      <w:lang w:val="en-US" w:eastAsia="ja-JP"/>
                    </w:rPr>
                  </w:rPrChange>
                </w:rPr>
                <w:delText xml:space="preserve">Regime </w:delText>
              </w:r>
              <w:r w:rsidR="00C00E3F" w:rsidRPr="00AD4F25">
                <w:rPr>
                  <w:rFonts w:eastAsia="Calibri"/>
                  <w:b/>
                  <w:sz w:val="22"/>
                  <w:szCs w:val="22"/>
                  <w:lang w:eastAsia="ja-JP"/>
                  <w:rPrChange w:id="4803" w:author="AbbVie2" w:date="2025-05-14T10:17:00Z">
                    <w:rPr>
                      <w:rFonts w:eastAsia="Calibri"/>
                      <w:b/>
                      <w:sz w:val="22"/>
                      <w:szCs w:val="22"/>
                      <w:lang w:val="en-US" w:eastAsia="ja-JP"/>
                    </w:rPr>
                  </w:rPrChange>
                </w:rPr>
                <w:delText xml:space="preserve">Posológico </w:delText>
              </w:r>
            </w:del>
          </w:p>
        </w:tc>
      </w:tr>
      <w:tr w:rsidR="00A7162A" w14:paraId="646BB146" w14:textId="1685B834" w:rsidTr="00A22EC4">
        <w:trPr>
          <w:tblHeader/>
          <w:jc w:val="center"/>
          <w:del w:id="4804" w:author="AbbVie2" w:date="2025-05-13T16:39:00Z"/>
        </w:trPr>
        <w:tc>
          <w:tcPr>
            <w:tcW w:w="3401" w:type="dxa"/>
            <w:tcBorders>
              <w:top w:val="single" w:sz="4" w:space="0" w:color="auto"/>
              <w:bottom w:val="single" w:sz="4" w:space="0" w:color="auto"/>
            </w:tcBorders>
          </w:tcPr>
          <w:p w14:paraId="3BD88D16" w14:textId="4CFE3862" w:rsidR="000C4CC9" w:rsidRPr="00AD4F25" w:rsidRDefault="00615769">
            <w:pPr>
              <w:rPr>
                <w:del w:id="4805" w:author="AbbVie2" w:date="2025-05-13T16:39:00Z"/>
                <w:rFonts w:eastAsia="Calibri"/>
                <w:b/>
                <w:sz w:val="22"/>
                <w:szCs w:val="22"/>
                <w:lang w:eastAsia="ja-JP"/>
                <w:rPrChange w:id="4806" w:author="AbbVie2" w:date="2025-05-14T10:17:00Z">
                  <w:rPr>
                    <w:del w:id="4807" w:author="AbbVie2" w:date="2025-05-13T16:39:00Z"/>
                    <w:rFonts w:eastAsia="Calibri"/>
                    <w:b/>
                    <w:sz w:val="22"/>
                    <w:szCs w:val="22"/>
                    <w:lang w:val="en-US" w:eastAsia="ja-JP"/>
                  </w:rPr>
                </w:rPrChange>
              </w:rPr>
              <w:pPrChange w:id="4808" w:author="AbbVie2" w:date="2025-05-13T16:40:00Z">
                <w:pPr>
                  <w:keepNext/>
                  <w:spacing w:before="40" w:after="40" w:line="240" w:lineRule="exact"/>
                  <w:jc w:val="center"/>
                </w:pPr>
              </w:pPrChange>
            </w:pPr>
            <w:del w:id="4809" w:author="AbbVie2" w:date="2025-05-13T16:39:00Z">
              <w:r w:rsidRPr="00AD4F25">
                <w:rPr>
                  <w:rFonts w:eastAsia="Calibri"/>
                  <w:sz w:val="22"/>
                  <w:szCs w:val="22"/>
                  <w:lang w:eastAsia="ja-JP"/>
                  <w:rPrChange w:id="4810" w:author="AbbVie2" w:date="2025-05-14T10:17:00Z">
                    <w:rPr>
                      <w:rFonts w:eastAsia="Calibri"/>
                      <w:sz w:val="22"/>
                      <w:szCs w:val="22"/>
                      <w:lang w:val="en-US" w:eastAsia="ja-JP"/>
                    </w:rPr>
                  </w:rPrChange>
                </w:rPr>
                <w:delText>15</w:delText>
              </w:r>
              <w:r w:rsidR="00A3305A" w:rsidRPr="00AD4F25">
                <w:rPr>
                  <w:rFonts w:eastAsia="Calibri"/>
                  <w:sz w:val="22"/>
                  <w:szCs w:val="22"/>
                  <w:lang w:eastAsia="ja-JP"/>
                  <w:rPrChange w:id="4811" w:author="AbbVie2" w:date="2025-05-14T10:17:00Z">
                    <w:rPr>
                      <w:rFonts w:eastAsia="Calibri"/>
                      <w:sz w:val="22"/>
                      <w:szCs w:val="22"/>
                      <w:lang w:val="en-US" w:eastAsia="ja-JP"/>
                    </w:rPr>
                  </w:rPrChange>
                </w:rPr>
                <w:delText xml:space="preserve"> kg até</w:delText>
              </w:r>
              <w:r w:rsidRPr="00AD4F25">
                <w:rPr>
                  <w:rFonts w:eastAsia="Calibri"/>
                  <w:sz w:val="22"/>
                  <w:szCs w:val="22"/>
                  <w:lang w:eastAsia="ja-JP"/>
                  <w:rPrChange w:id="4812" w:author="AbbVie2" w:date="2025-05-14T10:17:00Z">
                    <w:rPr>
                      <w:rFonts w:eastAsia="Calibri"/>
                      <w:sz w:val="22"/>
                      <w:szCs w:val="22"/>
                      <w:lang w:val="en-US" w:eastAsia="ja-JP"/>
                    </w:rPr>
                  </w:rPrChange>
                </w:rPr>
                <w:delText xml:space="preserve"> &lt; 30 kg</w:delText>
              </w:r>
            </w:del>
          </w:p>
        </w:tc>
        <w:tc>
          <w:tcPr>
            <w:tcW w:w="3394" w:type="dxa"/>
            <w:tcBorders>
              <w:top w:val="single" w:sz="4" w:space="0" w:color="auto"/>
              <w:bottom w:val="single" w:sz="4" w:space="0" w:color="auto"/>
            </w:tcBorders>
          </w:tcPr>
          <w:p w14:paraId="7DA95696" w14:textId="767C3838" w:rsidR="000C4CC9" w:rsidRPr="00395D60" w:rsidRDefault="00615769">
            <w:pPr>
              <w:rPr>
                <w:del w:id="4813" w:author="AbbVie2" w:date="2025-05-13T16:39:00Z"/>
                <w:rFonts w:eastAsia="Calibri"/>
                <w:b/>
                <w:sz w:val="22"/>
                <w:szCs w:val="22"/>
                <w:lang w:eastAsia="ja-JP"/>
              </w:rPr>
              <w:pPrChange w:id="4814" w:author="AbbVie2" w:date="2025-05-13T16:40:00Z">
                <w:pPr>
                  <w:keepNext/>
                  <w:spacing w:before="40" w:after="40" w:line="240" w:lineRule="exact"/>
                  <w:jc w:val="center"/>
                </w:pPr>
              </w:pPrChange>
            </w:pPr>
            <w:del w:id="4815" w:author="AbbVie2" w:date="2025-05-13T16:39:00Z">
              <w:r w:rsidRPr="00395D60">
                <w:rPr>
                  <w:rFonts w:eastAsia="Calibri"/>
                  <w:sz w:val="22"/>
                  <w:szCs w:val="22"/>
                  <w:lang w:eastAsia="ja-JP"/>
                </w:rPr>
                <w:delText>Dose inicial de 20 mg, seguid</w:delText>
              </w:r>
              <w:r w:rsidR="00112EE3">
                <w:rPr>
                  <w:rFonts w:eastAsia="Calibri"/>
                  <w:sz w:val="22"/>
                  <w:szCs w:val="22"/>
                  <w:lang w:eastAsia="ja-JP"/>
                </w:rPr>
                <w:delText>a</w:delText>
              </w:r>
              <w:r w:rsidRPr="00395D60">
                <w:rPr>
                  <w:rFonts w:eastAsia="Calibri"/>
                  <w:sz w:val="22"/>
                  <w:szCs w:val="22"/>
                  <w:lang w:eastAsia="ja-JP"/>
                </w:rPr>
                <w:delText xml:space="preserve"> de 20</w:delText>
              </w:r>
              <w:r w:rsidR="009343EF">
                <w:rPr>
                  <w:rFonts w:eastAsia="Calibri"/>
                  <w:sz w:val="22"/>
                  <w:szCs w:val="22"/>
                  <w:lang w:eastAsia="ja-JP"/>
                </w:rPr>
                <w:delText xml:space="preserve"> </w:delText>
              </w:r>
              <w:r w:rsidRPr="00395D60">
                <w:rPr>
                  <w:rFonts w:eastAsia="Calibri"/>
                  <w:sz w:val="22"/>
                  <w:szCs w:val="22"/>
                  <w:lang w:eastAsia="ja-JP"/>
                </w:rPr>
                <w:delText>mg em semanas alternadas</w:delText>
              </w:r>
              <w:r>
                <w:rPr>
                  <w:rFonts w:eastAsia="Calibri"/>
                  <w:sz w:val="22"/>
                  <w:szCs w:val="22"/>
                  <w:lang w:eastAsia="ja-JP"/>
                </w:rPr>
                <w:delText xml:space="preserve"> com início uma semana após a dose inicial</w:delText>
              </w:r>
            </w:del>
          </w:p>
        </w:tc>
      </w:tr>
      <w:tr w:rsidR="00A7162A" w14:paraId="40C5E301" w14:textId="35EC1532" w:rsidTr="00A22EC4">
        <w:trPr>
          <w:tblHeader/>
          <w:jc w:val="center"/>
          <w:del w:id="4816" w:author="AbbVie2" w:date="2025-05-13T16:39:00Z"/>
        </w:trPr>
        <w:tc>
          <w:tcPr>
            <w:tcW w:w="3401" w:type="dxa"/>
            <w:tcBorders>
              <w:top w:val="single" w:sz="4" w:space="0" w:color="auto"/>
              <w:bottom w:val="single" w:sz="4" w:space="0" w:color="auto"/>
            </w:tcBorders>
          </w:tcPr>
          <w:p w14:paraId="127CC324" w14:textId="2D8BD502" w:rsidR="000C4CC9" w:rsidRPr="00AD4F25" w:rsidRDefault="00615769">
            <w:pPr>
              <w:rPr>
                <w:del w:id="4817" w:author="AbbVie2" w:date="2025-05-13T16:39:00Z"/>
                <w:rFonts w:eastAsia="Calibri"/>
                <w:b/>
                <w:sz w:val="22"/>
                <w:szCs w:val="22"/>
                <w:lang w:eastAsia="ja-JP"/>
                <w:rPrChange w:id="4818" w:author="AbbVie2" w:date="2025-05-14T10:17:00Z">
                  <w:rPr>
                    <w:del w:id="4819" w:author="AbbVie2" w:date="2025-05-13T16:39:00Z"/>
                    <w:rFonts w:eastAsia="Calibri"/>
                    <w:b/>
                    <w:sz w:val="22"/>
                    <w:szCs w:val="22"/>
                    <w:lang w:val="en-US" w:eastAsia="ja-JP"/>
                  </w:rPr>
                </w:rPrChange>
              </w:rPr>
              <w:pPrChange w:id="4820" w:author="AbbVie2" w:date="2025-05-13T16:40:00Z">
                <w:pPr>
                  <w:keepNext/>
                  <w:spacing w:before="40" w:after="40" w:line="240" w:lineRule="exact"/>
                  <w:jc w:val="center"/>
                </w:pPr>
              </w:pPrChange>
            </w:pPr>
            <w:del w:id="4821" w:author="AbbVie2" w:date="2025-05-13T16:39:00Z">
              <w:r w:rsidRPr="00AD4F25">
                <w:rPr>
                  <w:rFonts w:eastAsia="Calibri"/>
                  <w:sz w:val="22"/>
                  <w:szCs w:val="22"/>
                  <w:lang w:eastAsia="ja-JP"/>
                  <w:rPrChange w:id="4822" w:author="AbbVie2" w:date="2025-05-14T10:17:00Z">
                    <w:rPr>
                      <w:rFonts w:eastAsia="Calibri"/>
                      <w:sz w:val="22"/>
                      <w:szCs w:val="22"/>
                      <w:lang w:val="en-US" w:eastAsia="ja-JP"/>
                    </w:rPr>
                  </w:rPrChange>
                </w:rPr>
                <w:delText>≥ 30 kg</w:delText>
              </w:r>
            </w:del>
          </w:p>
        </w:tc>
        <w:tc>
          <w:tcPr>
            <w:tcW w:w="3394" w:type="dxa"/>
            <w:tcBorders>
              <w:top w:val="single" w:sz="4" w:space="0" w:color="auto"/>
              <w:bottom w:val="single" w:sz="4" w:space="0" w:color="auto"/>
            </w:tcBorders>
          </w:tcPr>
          <w:p w14:paraId="57570774" w14:textId="239F6B82" w:rsidR="000C4CC9" w:rsidRPr="00395D60" w:rsidRDefault="00615769">
            <w:pPr>
              <w:rPr>
                <w:del w:id="4823" w:author="AbbVie2" w:date="2025-05-13T16:39:00Z"/>
                <w:rFonts w:eastAsia="Calibri"/>
                <w:b/>
                <w:sz w:val="22"/>
                <w:szCs w:val="22"/>
                <w:lang w:eastAsia="ja-JP"/>
              </w:rPr>
              <w:pPrChange w:id="4824" w:author="AbbVie2" w:date="2025-05-13T16:40:00Z">
                <w:pPr>
                  <w:keepNext/>
                  <w:spacing w:before="40" w:after="40" w:line="240" w:lineRule="exact"/>
                  <w:jc w:val="center"/>
                </w:pPr>
              </w:pPrChange>
            </w:pPr>
            <w:del w:id="4825" w:author="AbbVie2" w:date="2025-05-13T16:39:00Z">
              <w:r w:rsidRPr="00395D60">
                <w:rPr>
                  <w:rFonts w:eastAsia="Calibri"/>
                  <w:sz w:val="22"/>
                  <w:szCs w:val="22"/>
                  <w:lang w:eastAsia="ja-JP"/>
                </w:rPr>
                <w:delText>Dose inicial de 40 mg, seguid</w:delText>
              </w:r>
              <w:r w:rsidR="00112EE3">
                <w:rPr>
                  <w:rFonts w:eastAsia="Calibri"/>
                  <w:sz w:val="22"/>
                  <w:szCs w:val="22"/>
                  <w:lang w:eastAsia="ja-JP"/>
                </w:rPr>
                <w:delText>a</w:delText>
              </w:r>
              <w:r w:rsidRPr="00395D60">
                <w:rPr>
                  <w:rFonts w:eastAsia="Calibri"/>
                  <w:sz w:val="22"/>
                  <w:szCs w:val="22"/>
                  <w:lang w:eastAsia="ja-JP"/>
                </w:rPr>
                <w:delText xml:space="preserve"> de 40 mg em semanas alternadas</w:delText>
              </w:r>
              <w:r>
                <w:rPr>
                  <w:rFonts w:eastAsia="Calibri"/>
                  <w:sz w:val="22"/>
                  <w:szCs w:val="22"/>
                  <w:lang w:eastAsia="ja-JP"/>
                </w:rPr>
                <w:delText xml:space="preserve"> com início uma semana após a dose inicial</w:delText>
              </w:r>
            </w:del>
          </w:p>
        </w:tc>
      </w:tr>
    </w:tbl>
    <w:p w14:paraId="02A26C7E" w14:textId="3CF5F721" w:rsidR="000C4CC9" w:rsidRDefault="000C4CC9" w:rsidP="00412FC8">
      <w:pPr>
        <w:rPr>
          <w:del w:id="4826" w:author="AbbVie2" w:date="2025-05-13T16:39:00Z"/>
          <w:sz w:val="22"/>
          <w:szCs w:val="22"/>
        </w:rPr>
      </w:pPr>
    </w:p>
    <w:p w14:paraId="2C28CA0F" w14:textId="26E30B8D" w:rsidR="004462A0" w:rsidRPr="008912CF" w:rsidRDefault="00615769" w:rsidP="00412FC8">
      <w:pPr>
        <w:rPr>
          <w:del w:id="4827" w:author="AbbVie2" w:date="2025-05-13T16:39:00Z"/>
          <w:bCs/>
          <w:iCs/>
          <w:sz w:val="22"/>
          <w:szCs w:val="22"/>
        </w:rPr>
      </w:pPr>
      <w:del w:id="4828" w:author="AbbVie2" w:date="2025-05-13T16:39:00Z">
        <w:r w:rsidRPr="008912CF">
          <w:rPr>
            <w:bCs/>
            <w:iCs/>
            <w:sz w:val="22"/>
            <w:szCs w:val="22"/>
          </w:rPr>
          <w:delText>Uma terapêutica continuada para além das 16 semanas deve ser cuidadosamente reconsiderada nos doentes que não apresentarem resposta terapêutica dentro deste período de tempo.</w:delText>
        </w:r>
      </w:del>
    </w:p>
    <w:p w14:paraId="33DC6257" w14:textId="6F3EF749" w:rsidR="004462A0" w:rsidRPr="008912CF" w:rsidRDefault="004462A0" w:rsidP="00412FC8">
      <w:pPr>
        <w:rPr>
          <w:del w:id="4829" w:author="AbbVie2" w:date="2025-05-13T16:39:00Z"/>
          <w:bCs/>
          <w:iCs/>
          <w:sz w:val="22"/>
          <w:szCs w:val="22"/>
        </w:rPr>
      </w:pPr>
    </w:p>
    <w:p w14:paraId="28B579A0" w14:textId="1EA7658F" w:rsidR="004462A0" w:rsidRPr="008912CF" w:rsidRDefault="00615769" w:rsidP="00412FC8">
      <w:pPr>
        <w:rPr>
          <w:del w:id="4830" w:author="AbbVie2" w:date="2025-05-13T16:39:00Z"/>
          <w:sz w:val="22"/>
          <w:szCs w:val="22"/>
        </w:rPr>
      </w:pPr>
      <w:del w:id="4831" w:author="AbbVie2" w:date="2025-05-13T16:39:00Z">
        <w:r w:rsidRPr="008912CF">
          <w:rPr>
            <w:sz w:val="22"/>
            <w:szCs w:val="22"/>
          </w:rPr>
          <w:delText>Se estiver indicado um novo tratamento com Humira devem ser seguidas as recomendações anteriores relativamente à posologia e duração do tratamento.</w:delText>
        </w:r>
      </w:del>
    </w:p>
    <w:p w14:paraId="5507B6AE" w14:textId="16EFE649" w:rsidR="004462A0" w:rsidRPr="008912CF" w:rsidRDefault="004462A0" w:rsidP="00412FC8">
      <w:pPr>
        <w:rPr>
          <w:del w:id="4832" w:author="AbbVie2" w:date="2025-05-13T16:39:00Z"/>
          <w:sz w:val="22"/>
          <w:szCs w:val="22"/>
        </w:rPr>
      </w:pPr>
    </w:p>
    <w:p w14:paraId="23F81CF6" w14:textId="2DB1DA7C" w:rsidR="004462A0" w:rsidRPr="008912CF" w:rsidRDefault="00615769" w:rsidP="00412FC8">
      <w:pPr>
        <w:rPr>
          <w:del w:id="4833" w:author="AbbVie2" w:date="2025-05-13T16:39:00Z"/>
          <w:sz w:val="22"/>
          <w:szCs w:val="22"/>
        </w:rPr>
      </w:pPr>
      <w:del w:id="4834" w:author="AbbVie2" w:date="2025-05-13T16:39:00Z">
        <w:r w:rsidRPr="008912CF">
          <w:rPr>
            <w:sz w:val="22"/>
            <w:szCs w:val="22"/>
          </w:rPr>
          <w:delText>A segurança de Humira, em doentes pediátricos com psoríase em placas foi avaliada em média durante 13 meses.</w:delText>
        </w:r>
      </w:del>
    </w:p>
    <w:p w14:paraId="007BC47D" w14:textId="1B178577" w:rsidR="004462A0" w:rsidRPr="008912CF" w:rsidRDefault="004462A0" w:rsidP="00412FC8">
      <w:pPr>
        <w:rPr>
          <w:del w:id="4835" w:author="AbbVie2" w:date="2025-05-13T16:39:00Z"/>
          <w:sz w:val="22"/>
          <w:szCs w:val="22"/>
        </w:rPr>
      </w:pPr>
    </w:p>
    <w:p w14:paraId="272DAEF4" w14:textId="5CDB121F" w:rsidR="004462A0" w:rsidRPr="008912CF" w:rsidRDefault="00615769" w:rsidP="00412FC8">
      <w:pPr>
        <w:rPr>
          <w:del w:id="4836" w:author="AbbVie2" w:date="2025-05-13T16:39:00Z"/>
          <w:sz w:val="22"/>
          <w:szCs w:val="22"/>
        </w:rPr>
      </w:pPr>
      <w:del w:id="4837" w:author="AbbVie2" w:date="2025-05-13T16:39:00Z">
        <w:r w:rsidRPr="008912CF">
          <w:rPr>
            <w:sz w:val="22"/>
            <w:szCs w:val="22"/>
          </w:rPr>
          <w:delText>Não existe utilização relevante de Humira em crianças com menos de 4 anos, para esta indicação.</w:delText>
        </w:r>
      </w:del>
    </w:p>
    <w:p w14:paraId="1E9D7B52" w14:textId="5B530DE5" w:rsidR="004462A0" w:rsidRDefault="004462A0" w:rsidP="00412FC8">
      <w:pPr>
        <w:rPr>
          <w:del w:id="4838" w:author="AbbVie2" w:date="2025-05-13T16:39:00Z"/>
          <w:sz w:val="22"/>
          <w:szCs w:val="22"/>
        </w:rPr>
      </w:pPr>
    </w:p>
    <w:p w14:paraId="1A90AC01" w14:textId="096AC617" w:rsidR="004E18EF" w:rsidRDefault="00615769">
      <w:pPr>
        <w:rPr>
          <w:del w:id="4839" w:author="AbbVie2" w:date="2025-05-13T16:39:00Z"/>
          <w:szCs w:val="22"/>
        </w:rPr>
        <w:pPrChange w:id="4840" w:author="AbbVie2" w:date="2025-05-13T16:40:00Z">
          <w:pPr>
            <w:pStyle w:val="BodyText2"/>
            <w:autoSpaceDE/>
            <w:autoSpaceDN/>
            <w:adjustRightInd/>
          </w:pPr>
        </w:pPrChange>
      </w:pPr>
      <w:del w:id="4841" w:author="AbbVie2" w:date="2025-05-13T16:39:00Z">
        <w:r>
          <w:rPr>
            <w:szCs w:val="22"/>
          </w:rPr>
          <w:delText>Humira pode estar disponível em outras dosagens e/ou apresentações dependendo das necessidades de cada doente.</w:delText>
        </w:r>
      </w:del>
    </w:p>
    <w:p w14:paraId="3B236ED4" w14:textId="603E0A8A" w:rsidR="004E18EF" w:rsidRPr="008912CF" w:rsidRDefault="004E18EF" w:rsidP="00412FC8">
      <w:pPr>
        <w:rPr>
          <w:del w:id="4842" w:author="AbbVie2" w:date="2025-05-13T16:39:00Z"/>
          <w:sz w:val="22"/>
          <w:szCs w:val="22"/>
        </w:rPr>
      </w:pPr>
    </w:p>
    <w:p w14:paraId="595F8FA5" w14:textId="0BA254E0" w:rsidR="004462A0" w:rsidRPr="00E22CBA" w:rsidRDefault="00615769" w:rsidP="00412FC8">
      <w:pPr>
        <w:rPr>
          <w:del w:id="4843" w:author="AbbVie2" w:date="2025-05-13T16:39:00Z"/>
          <w:bCs/>
          <w:i/>
          <w:iCs/>
          <w:sz w:val="22"/>
          <w:szCs w:val="22"/>
        </w:rPr>
      </w:pPr>
      <w:del w:id="4844" w:author="AbbVie2" w:date="2025-05-13T16:39:00Z">
        <w:r w:rsidRPr="00E22CBA">
          <w:rPr>
            <w:bCs/>
            <w:i/>
            <w:iCs/>
            <w:sz w:val="22"/>
            <w:szCs w:val="22"/>
          </w:rPr>
          <w:delText>Hidradenite supurativa no adolescente (a partir dos 12 anos de idade, com pelo menos 30</w:delText>
        </w:r>
        <w:r w:rsidRPr="00FD1D0F">
          <w:rPr>
            <w:bCs/>
            <w:i/>
            <w:iCs/>
            <w:sz w:val="22"/>
            <w:szCs w:val="22"/>
          </w:rPr>
          <w:delText> </w:delText>
        </w:r>
        <w:r w:rsidR="00AB606B">
          <w:rPr>
            <w:bCs/>
            <w:i/>
            <w:iCs/>
            <w:sz w:val="22"/>
            <w:szCs w:val="22"/>
          </w:rPr>
          <w:delText>k</w:delText>
        </w:r>
        <w:r w:rsidRPr="00E22CBA">
          <w:rPr>
            <w:bCs/>
            <w:i/>
            <w:iCs/>
            <w:sz w:val="22"/>
            <w:szCs w:val="22"/>
          </w:rPr>
          <w:delText>g de peso)</w:delText>
        </w:r>
      </w:del>
    </w:p>
    <w:p w14:paraId="4216A02E" w14:textId="6D9ED4C3" w:rsidR="004462A0" w:rsidRDefault="004462A0" w:rsidP="00412FC8">
      <w:pPr>
        <w:rPr>
          <w:del w:id="4845" w:author="AbbVie2" w:date="2025-05-13T16:39:00Z"/>
          <w:bCs/>
          <w:iCs/>
          <w:sz w:val="22"/>
          <w:szCs w:val="22"/>
        </w:rPr>
      </w:pPr>
    </w:p>
    <w:p w14:paraId="790BEC7C" w14:textId="574827F8" w:rsidR="004462A0" w:rsidRDefault="00615769" w:rsidP="00412FC8">
      <w:pPr>
        <w:rPr>
          <w:del w:id="4846" w:author="AbbVie2" w:date="2025-05-13T16:39:00Z"/>
          <w:bCs/>
          <w:iCs/>
          <w:sz w:val="22"/>
          <w:szCs w:val="22"/>
        </w:rPr>
      </w:pPr>
      <w:del w:id="4847" w:author="AbbVie2" w:date="2025-05-13T16:39:00Z">
        <w:r>
          <w:rPr>
            <w:bCs/>
            <w:iCs/>
            <w:sz w:val="22"/>
            <w:szCs w:val="22"/>
          </w:rPr>
          <w:delText>Não existem estudos clínicos com Humira em doentes adolescentes com hidradenite supurativa. A posologia de Humira nestes doentes foi determinada através de modelos farmacocinéticos e de simulação (ver secção 5.2).</w:delText>
        </w:r>
      </w:del>
    </w:p>
    <w:p w14:paraId="597C40D7" w14:textId="063237B4" w:rsidR="004462A0" w:rsidRDefault="004462A0" w:rsidP="00412FC8">
      <w:pPr>
        <w:rPr>
          <w:del w:id="4848" w:author="AbbVie2" w:date="2025-05-13T16:39:00Z"/>
          <w:bCs/>
          <w:iCs/>
          <w:sz w:val="22"/>
          <w:szCs w:val="22"/>
        </w:rPr>
      </w:pPr>
    </w:p>
    <w:p w14:paraId="0ED0523F" w14:textId="48B9D304" w:rsidR="004462A0" w:rsidRDefault="00615769">
      <w:pPr>
        <w:rPr>
          <w:del w:id="4849" w:author="AbbVie2" w:date="2025-05-13T16:39:00Z"/>
          <w:bCs/>
          <w:iCs/>
          <w:szCs w:val="22"/>
        </w:rPr>
        <w:pPrChange w:id="4850" w:author="AbbVie2" w:date="2025-05-13T16:40:00Z">
          <w:pPr>
            <w:pStyle w:val="BodyText2"/>
            <w:autoSpaceDE/>
            <w:autoSpaceDN/>
            <w:adjustRightInd/>
          </w:pPr>
        </w:pPrChange>
      </w:pPr>
      <w:del w:id="4851" w:author="AbbVie2" w:date="2025-05-13T16:39:00Z">
        <w:r>
          <w:rPr>
            <w:bCs/>
            <w:iCs/>
            <w:szCs w:val="22"/>
          </w:rPr>
          <w:delText>A dose recomendada de Humira é de 80</w:delText>
        </w:r>
        <w:r w:rsidRPr="00FD1D0F">
          <w:rPr>
            <w:bCs/>
            <w:iCs/>
            <w:szCs w:val="22"/>
          </w:rPr>
          <w:delText> </w:delText>
        </w:r>
        <w:r>
          <w:rPr>
            <w:bCs/>
            <w:iCs/>
            <w:szCs w:val="22"/>
          </w:rPr>
          <w:delText>mg na Semana 0</w:delText>
        </w:r>
        <w:r w:rsidR="00AB606B">
          <w:rPr>
            <w:bCs/>
            <w:iCs/>
            <w:szCs w:val="22"/>
          </w:rPr>
          <w:delText>,</w:delText>
        </w:r>
        <w:r>
          <w:rPr>
            <w:bCs/>
            <w:iCs/>
            <w:szCs w:val="22"/>
          </w:rPr>
          <w:delText xml:space="preserve"> seguida de 40</w:delText>
        </w:r>
        <w:r w:rsidRPr="00FD1D0F">
          <w:rPr>
            <w:bCs/>
            <w:iCs/>
            <w:szCs w:val="22"/>
          </w:rPr>
          <w:delText> </w:delText>
        </w:r>
        <w:r>
          <w:rPr>
            <w:bCs/>
            <w:iCs/>
            <w:szCs w:val="22"/>
          </w:rPr>
          <w:delText>mg em semanas alternadas, com início na Semana 1</w:delText>
        </w:r>
        <w:r w:rsidR="00AB606B">
          <w:rPr>
            <w:bCs/>
            <w:iCs/>
            <w:szCs w:val="22"/>
          </w:rPr>
          <w:delText>,</w:delText>
        </w:r>
        <w:r>
          <w:rPr>
            <w:bCs/>
            <w:iCs/>
            <w:szCs w:val="22"/>
          </w:rPr>
          <w:delText xml:space="preserve"> por injeção subcutânea.</w:delText>
        </w:r>
        <w:r w:rsidR="000C4CC9">
          <w:rPr>
            <w:bCs/>
            <w:iCs/>
            <w:szCs w:val="22"/>
          </w:rPr>
          <w:delText xml:space="preserve"> </w:delText>
        </w:r>
      </w:del>
    </w:p>
    <w:p w14:paraId="68F00211" w14:textId="1BE10AC9" w:rsidR="004462A0" w:rsidRDefault="004462A0" w:rsidP="00412FC8">
      <w:pPr>
        <w:rPr>
          <w:del w:id="4852" w:author="AbbVie2" w:date="2025-05-13T16:39:00Z"/>
          <w:bCs/>
          <w:iCs/>
          <w:sz w:val="22"/>
          <w:szCs w:val="22"/>
        </w:rPr>
      </w:pPr>
    </w:p>
    <w:p w14:paraId="5A8C3571" w14:textId="6AC0C570" w:rsidR="004462A0" w:rsidRPr="00210ECC" w:rsidRDefault="00615769" w:rsidP="00412FC8">
      <w:pPr>
        <w:rPr>
          <w:del w:id="4853" w:author="AbbVie2" w:date="2025-05-13T16:39:00Z"/>
          <w:bCs/>
          <w:iCs/>
          <w:sz w:val="22"/>
          <w:szCs w:val="22"/>
        </w:rPr>
      </w:pPr>
      <w:del w:id="4854" w:author="AbbVie2" w:date="2025-05-13T16:39:00Z">
        <w:r w:rsidRPr="00210ECC">
          <w:rPr>
            <w:bCs/>
            <w:iCs/>
            <w:sz w:val="22"/>
            <w:szCs w:val="22"/>
          </w:rPr>
          <w:delText>Em doentes adolescentes que apresentem uma resposta terapêutica inadequada com 40</w:delText>
        </w:r>
        <w:r w:rsidRPr="00FD1D0F">
          <w:rPr>
            <w:bCs/>
            <w:iCs/>
            <w:sz w:val="22"/>
            <w:szCs w:val="22"/>
          </w:rPr>
          <w:delText> </w:delText>
        </w:r>
        <w:r w:rsidRPr="00210ECC">
          <w:rPr>
            <w:bCs/>
            <w:iCs/>
            <w:sz w:val="22"/>
            <w:szCs w:val="22"/>
          </w:rPr>
          <w:delText>mg de Humira em semanas alternadas, deverá considerar-se um aumento da dose para 40</w:delText>
        </w:r>
        <w:r w:rsidRPr="00FD1D0F">
          <w:rPr>
            <w:bCs/>
            <w:iCs/>
            <w:sz w:val="22"/>
            <w:szCs w:val="22"/>
          </w:rPr>
          <w:delText> </w:delText>
        </w:r>
        <w:r w:rsidRPr="00210ECC">
          <w:rPr>
            <w:bCs/>
            <w:iCs/>
            <w:sz w:val="22"/>
            <w:szCs w:val="22"/>
          </w:rPr>
          <w:delText>mg todas as semanas</w:delText>
        </w:r>
        <w:r w:rsidR="009D3E8E">
          <w:rPr>
            <w:bCs/>
            <w:iCs/>
            <w:sz w:val="22"/>
            <w:szCs w:val="22"/>
          </w:rPr>
          <w:delText xml:space="preserve"> ou 80 mg em semanas alternadas</w:delText>
        </w:r>
        <w:r w:rsidRPr="00210ECC">
          <w:rPr>
            <w:bCs/>
            <w:iCs/>
            <w:sz w:val="22"/>
            <w:szCs w:val="22"/>
          </w:rPr>
          <w:delText xml:space="preserve">. </w:delText>
        </w:r>
      </w:del>
    </w:p>
    <w:p w14:paraId="4FEB2623" w14:textId="00635CE4" w:rsidR="004462A0" w:rsidRPr="00210ECC" w:rsidRDefault="004462A0" w:rsidP="00412FC8">
      <w:pPr>
        <w:rPr>
          <w:del w:id="4855" w:author="AbbVie2" w:date="2025-05-13T16:39:00Z"/>
          <w:bCs/>
          <w:iCs/>
          <w:sz w:val="22"/>
          <w:szCs w:val="22"/>
        </w:rPr>
      </w:pPr>
    </w:p>
    <w:p w14:paraId="0B22F0BF" w14:textId="3D500085" w:rsidR="004462A0" w:rsidRPr="00210ECC" w:rsidRDefault="00615769" w:rsidP="00412FC8">
      <w:pPr>
        <w:rPr>
          <w:del w:id="4856" w:author="AbbVie2" w:date="2025-05-13T16:39:00Z"/>
          <w:bCs/>
          <w:iCs/>
          <w:sz w:val="22"/>
          <w:szCs w:val="22"/>
        </w:rPr>
      </w:pPr>
      <w:del w:id="4857" w:author="AbbVie2" w:date="2025-05-13T16:39:00Z">
        <w:r w:rsidRPr="00210ECC">
          <w:rPr>
            <w:bCs/>
            <w:iCs/>
            <w:sz w:val="22"/>
            <w:szCs w:val="22"/>
          </w:rPr>
          <w:delText>Durante o tratamento com Humira, pode manter-se o tratamento com antibióticos, se necessário. Recomenda-se que o doente use um anti-séptico tópico de lavagem nas lesões de HS, numa base diária, durante o tratamento com Humira.</w:delText>
        </w:r>
      </w:del>
    </w:p>
    <w:p w14:paraId="567A95AB" w14:textId="4130B3A0" w:rsidR="004462A0" w:rsidRPr="00210ECC" w:rsidRDefault="004462A0" w:rsidP="00412FC8">
      <w:pPr>
        <w:rPr>
          <w:del w:id="4858" w:author="AbbVie2" w:date="2025-05-13T16:39:00Z"/>
          <w:bCs/>
          <w:iCs/>
          <w:sz w:val="22"/>
          <w:szCs w:val="22"/>
        </w:rPr>
      </w:pPr>
    </w:p>
    <w:p w14:paraId="37CCA97F" w14:textId="711470F9" w:rsidR="004462A0" w:rsidRPr="00210ECC" w:rsidRDefault="00615769" w:rsidP="00412FC8">
      <w:pPr>
        <w:rPr>
          <w:del w:id="4859" w:author="AbbVie2" w:date="2025-05-13T16:39:00Z"/>
          <w:bCs/>
          <w:iCs/>
          <w:sz w:val="22"/>
          <w:szCs w:val="22"/>
        </w:rPr>
      </w:pPr>
      <w:del w:id="4860" w:author="AbbVie2" w:date="2025-05-13T16:39:00Z">
        <w:r w:rsidRPr="00210ECC">
          <w:rPr>
            <w:bCs/>
            <w:iCs/>
            <w:sz w:val="22"/>
            <w:szCs w:val="22"/>
          </w:rPr>
          <w:delText xml:space="preserve">Uma terapêutica continuada </w:delText>
        </w:r>
        <w:r w:rsidR="00AB606B">
          <w:rPr>
            <w:bCs/>
            <w:iCs/>
            <w:sz w:val="22"/>
            <w:szCs w:val="22"/>
          </w:rPr>
          <w:delText xml:space="preserve">para além das 12 semanas </w:delText>
        </w:r>
        <w:r w:rsidRPr="00210ECC">
          <w:rPr>
            <w:bCs/>
            <w:iCs/>
            <w:sz w:val="22"/>
            <w:szCs w:val="22"/>
          </w:rPr>
          <w:delText xml:space="preserve">deve ser cuidadosamente reconsiderada </w:delText>
        </w:r>
        <w:r w:rsidR="00AB606B">
          <w:rPr>
            <w:bCs/>
            <w:iCs/>
            <w:sz w:val="22"/>
            <w:szCs w:val="22"/>
          </w:rPr>
          <w:delText>em</w:delText>
        </w:r>
        <w:r w:rsidRPr="00210ECC">
          <w:rPr>
            <w:bCs/>
            <w:iCs/>
            <w:sz w:val="22"/>
            <w:szCs w:val="22"/>
          </w:rPr>
          <w:delText xml:space="preserve"> doentes que não </w:delText>
        </w:r>
        <w:r w:rsidR="00AB606B">
          <w:rPr>
            <w:bCs/>
            <w:iCs/>
            <w:sz w:val="22"/>
            <w:szCs w:val="22"/>
          </w:rPr>
          <w:delText>apresentaram melhoria neste período de tempo</w:delText>
        </w:r>
        <w:r w:rsidRPr="00210ECC">
          <w:rPr>
            <w:bCs/>
            <w:iCs/>
            <w:sz w:val="22"/>
            <w:szCs w:val="22"/>
          </w:rPr>
          <w:delText>.</w:delText>
        </w:r>
      </w:del>
    </w:p>
    <w:p w14:paraId="418F47F3" w14:textId="383EF5F2" w:rsidR="004462A0" w:rsidRPr="00210ECC" w:rsidRDefault="004462A0" w:rsidP="00412FC8">
      <w:pPr>
        <w:rPr>
          <w:del w:id="4861" w:author="AbbVie2" w:date="2025-05-13T16:39:00Z"/>
          <w:bCs/>
          <w:iCs/>
          <w:sz w:val="22"/>
          <w:szCs w:val="22"/>
        </w:rPr>
      </w:pPr>
    </w:p>
    <w:p w14:paraId="30C814D0" w14:textId="348AB034" w:rsidR="004462A0" w:rsidRPr="00210ECC" w:rsidRDefault="00615769" w:rsidP="00412FC8">
      <w:pPr>
        <w:rPr>
          <w:del w:id="4862" w:author="AbbVie2" w:date="2025-05-13T16:39:00Z"/>
          <w:bCs/>
          <w:iCs/>
          <w:sz w:val="22"/>
          <w:szCs w:val="22"/>
        </w:rPr>
      </w:pPr>
      <w:del w:id="4863" w:author="AbbVie2" w:date="2025-05-13T16:39:00Z">
        <w:r w:rsidRPr="00210ECC">
          <w:rPr>
            <w:bCs/>
            <w:iCs/>
            <w:sz w:val="22"/>
            <w:szCs w:val="22"/>
          </w:rPr>
          <w:delText>Caso haja necessidade de interromper o tratamento, Humira pode ser reintroduzido conforme apropriado.</w:delText>
        </w:r>
      </w:del>
    </w:p>
    <w:p w14:paraId="06D339BF" w14:textId="479679E8" w:rsidR="004462A0" w:rsidRPr="00210ECC" w:rsidRDefault="004462A0" w:rsidP="00412FC8">
      <w:pPr>
        <w:rPr>
          <w:del w:id="4864" w:author="AbbVie2" w:date="2025-05-13T16:39:00Z"/>
          <w:bCs/>
          <w:iCs/>
          <w:sz w:val="22"/>
          <w:szCs w:val="22"/>
        </w:rPr>
      </w:pPr>
    </w:p>
    <w:p w14:paraId="705B011E" w14:textId="42863198" w:rsidR="004462A0" w:rsidRPr="00210ECC" w:rsidRDefault="00615769" w:rsidP="00412FC8">
      <w:pPr>
        <w:rPr>
          <w:del w:id="4865" w:author="AbbVie2" w:date="2025-05-13T16:39:00Z"/>
          <w:bCs/>
          <w:iCs/>
          <w:sz w:val="22"/>
          <w:szCs w:val="22"/>
        </w:rPr>
      </w:pPr>
      <w:del w:id="4866" w:author="AbbVie2" w:date="2025-05-13T16:39:00Z">
        <w:r>
          <w:rPr>
            <w:bCs/>
            <w:iCs/>
            <w:sz w:val="22"/>
            <w:szCs w:val="22"/>
          </w:rPr>
          <w:delText>O</w:delText>
        </w:r>
        <w:r w:rsidRPr="00210ECC">
          <w:rPr>
            <w:bCs/>
            <w:iCs/>
            <w:sz w:val="22"/>
            <w:szCs w:val="22"/>
          </w:rPr>
          <w:delText xml:space="preserve"> benefício</w:delText>
        </w:r>
        <w:r>
          <w:rPr>
            <w:bCs/>
            <w:iCs/>
            <w:sz w:val="22"/>
            <w:szCs w:val="22"/>
          </w:rPr>
          <w:delText xml:space="preserve"> e risco</w:delText>
        </w:r>
        <w:r w:rsidRPr="00210ECC">
          <w:rPr>
            <w:bCs/>
            <w:iCs/>
            <w:sz w:val="22"/>
            <w:szCs w:val="22"/>
          </w:rPr>
          <w:delText xml:space="preserve"> d</w:delText>
        </w:r>
        <w:r>
          <w:rPr>
            <w:bCs/>
            <w:iCs/>
            <w:sz w:val="22"/>
            <w:szCs w:val="22"/>
          </w:rPr>
          <w:delText>a continuação d</w:delText>
        </w:r>
        <w:r w:rsidRPr="00210ECC">
          <w:rPr>
            <w:bCs/>
            <w:iCs/>
            <w:sz w:val="22"/>
            <w:szCs w:val="22"/>
          </w:rPr>
          <w:delText xml:space="preserve">o tratamento a longo prazo </w:delText>
        </w:r>
        <w:r>
          <w:rPr>
            <w:bCs/>
            <w:iCs/>
            <w:sz w:val="22"/>
            <w:szCs w:val="22"/>
          </w:rPr>
          <w:delText>devem ser</w:delText>
        </w:r>
        <w:r w:rsidRPr="00210ECC">
          <w:rPr>
            <w:bCs/>
            <w:iCs/>
            <w:sz w:val="22"/>
            <w:szCs w:val="22"/>
          </w:rPr>
          <w:delText xml:space="preserve"> avaliado</w:delText>
        </w:r>
        <w:r>
          <w:rPr>
            <w:bCs/>
            <w:iCs/>
            <w:sz w:val="22"/>
            <w:szCs w:val="22"/>
          </w:rPr>
          <w:delText>s</w:delText>
        </w:r>
        <w:r w:rsidRPr="00210ECC">
          <w:rPr>
            <w:bCs/>
            <w:iCs/>
            <w:sz w:val="22"/>
            <w:szCs w:val="22"/>
          </w:rPr>
          <w:delText xml:space="preserve"> periodicamente (ver dados em adultos na secção 5.1).</w:delText>
        </w:r>
      </w:del>
    </w:p>
    <w:p w14:paraId="6E46C698" w14:textId="31296E49" w:rsidR="004462A0" w:rsidRPr="00210ECC" w:rsidRDefault="004462A0" w:rsidP="00412FC8">
      <w:pPr>
        <w:rPr>
          <w:del w:id="4867" w:author="AbbVie2" w:date="2025-05-13T16:39:00Z"/>
          <w:bCs/>
          <w:iCs/>
          <w:sz w:val="22"/>
          <w:szCs w:val="22"/>
        </w:rPr>
      </w:pPr>
    </w:p>
    <w:p w14:paraId="2C3DA83C" w14:textId="1E3A0A81" w:rsidR="004462A0" w:rsidRPr="000D5D61" w:rsidRDefault="00615769" w:rsidP="00412FC8">
      <w:pPr>
        <w:rPr>
          <w:del w:id="4868" w:author="AbbVie2" w:date="2025-05-13T16:39:00Z"/>
          <w:sz w:val="22"/>
          <w:szCs w:val="22"/>
        </w:rPr>
      </w:pPr>
      <w:del w:id="4869" w:author="AbbVie2" w:date="2025-05-13T16:39:00Z">
        <w:r w:rsidRPr="00210ECC">
          <w:rPr>
            <w:bCs/>
            <w:iCs/>
            <w:sz w:val="22"/>
            <w:szCs w:val="22"/>
          </w:rPr>
          <w:delText>Não existe utilização relevante de Humira em crianças com menos de 12 anos, para esta indicação</w:delText>
        </w:r>
        <w:r>
          <w:rPr>
            <w:bCs/>
            <w:iCs/>
            <w:sz w:val="22"/>
            <w:szCs w:val="22"/>
          </w:rPr>
          <w:delText>.</w:delText>
        </w:r>
      </w:del>
    </w:p>
    <w:p w14:paraId="546BD8BE" w14:textId="33B1B80D" w:rsidR="004462A0" w:rsidRDefault="004462A0">
      <w:pPr>
        <w:rPr>
          <w:del w:id="4870" w:author="AbbVie2" w:date="2025-05-13T16:39:00Z"/>
          <w:szCs w:val="22"/>
        </w:rPr>
        <w:pPrChange w:id="4871" w:author="AbbVie2" w:date="2025-05-13T16:40:00Z">
          <w:pPr>
            <w:pStyle w:val="BodyText2"/>
          </w:pPr>
        </w:pPrChange>
      </w:pPr>
    </w:p>
    <w:p w14:paraId="4866CDC9" w14:textId="7AFBDC67" w:rsidR="009D3E8E" w:rsidRDefault="00615769">
      <w:pPr>
        <w:rPr>
          <w:del w:id="4872" w:author="AbbVie2" w:date="2025-05-13T16:39:00Z"/>
          <w:bCs/>
          <w:iCs/>
          <w:szCs w:val="22"/>
        </w:rPr>
        <w:pPrChange w:id="4873" w:author="AbbVie2" w:date="2025-05-13T16:40:00Z">
          <w:pPr>
            <w:pStyle w:val="BodyText2"/>
            <w:autoSpaceDE/>
            <w:autoSpaceDN/>
            <w:adjustRightInd/>
          </w:pPr>
        </w:pPrChange>
      </w:pPr>
      <w:del w:id="4874" w:author="AbbVie2" w:date="2025-05-13T16:39:00Z">
        <w:r>
          <w:rPr>
            <w:bCs/>
            <w:iCs/>
            <w:szCs w:val="22"/>
          </w:rPr>
          <w:delText xml:space="preserve">Humira pode estar disponível em </w:delText>
        </w:r>
        <w:r>
          <w:rPr>
            <w:szCs w:val="22"/>
          </w:rPr>
          <w:delText xml:space="preserve">outras dosagens e/ou apresentações dependendo das necessidades de cada doente. </w:delText>
        </w:r>
      </w:del>
    </w:p>
    <w:p w14:paraId="2AF16CEA" w14:textId="2B435541" w:rsidR="009D3E8E" w:rsidRPr="008912CF" w:rsidRDefault="009D3E8E">
      <w:pPr>
        <w:rPr>
          <w:del w:id="4875" w:author="AbbVie2" w:date="2025-05-13T16:39:00Z"/>
          <w:szCs w:val="22"/>
        </w:rPr>
        <w:pPrChange w:id="4876" w:author="AbbVie2" w:date="2025-05-13T16:40:00Z">
          <w:pPr>
            <w:pStyle w:val="BodyText2"/>
          </w:pPr>
        </w:pPrChange>
      </w:pPr>
    </w:p>
    <w:p w14:paraId="0AEC1F22" w14:textId="61A176BF" w:rsidR="004462A0" w:rsidRPr="008912CF" w:rsidRDefault="00615769" w:rsidP="00412FC8">
      <w:pPr>
        <w:rPr>
          <w:del w:id="4877" w:author="AbbVie2" w:date="2025-05-13T16:39:00Z"/>
          <w:sz w:val="22"/>
          <w:szCs w:val="22"/>
        </w:rPr>
      </w:pPr>
      <w:del w:id="4878" w:author="AbbVie2" w:date="2025-05-13T16:39:00Z">
        <w:r w:rsidRPr="008912CF">
          <w:rPr>
            <w:i/>
            <w:sz w:val="22"/>
            <w:szCs w:val="22"/>
          </w:rPr>
          <w:delText>Doença de Crohn pediátrica</w:delText>
        </w:r>
      </w:del>
    </w:p>
    <w:p w14:paraId="1F7311D4" w14:textId="0A557041" w:rsidR="004462A0" w:rsidRPr="008912CF" w:rsidRDefault="004462A0" w:rsidP="00412FC8">
      <w:pPr>
        <w:rPr>
          <w:del w:id="4879" w:author="AbbVie2" w:date="2025-05-13T16:39:00Z"/>
          <w:sz w:val="22"/>
          <w:szCs w:val="22"/>
          <w:u w:val="single"/>
        </w:rPr>
      </w:pPr>
    </w:p>
    <w:p w14:paraId="1C7FA784" w14:textId="5D2BE434" w:rsidR="000C4CC9" w:rsidRDefault="00615769">
      <w:pPr>
        <w:rPr>
          <w:del w:id="4880" w:author="AbbVie2" w:date="2025-05-13T16:39:00Z"/>
          <w:szCs w:val="22"/>
        </w:rPr>
        <w:pPrChange w:id="4881" w:author="AbbVie2" w:date="2025-05-13T16:40:00Z">
          <w:pPr>
            <w:pStyle w:val="BodyText2"/>
            <w:autoSpaceDE/>
            <w:autoSpaceDN/>
            <w:adjustRightInd/>
          </w:pPr>
        </w:pPrChange>
      </w:pPr>
      <w:del w:id="4882" w:author="AbbVie2" w:date="2025-05-13T16:39:00Z">
        <w:r w:rsidRPr="008912CF">
          <w:rPr>
            <w:szCs w:val="22"/>
          </w:rPr>
          <w:delText xml:space="preserve">A dose recomendada de Humira </w:delText>
        </w:r>
        <w:r w:rsidR="00AB606B">
          <w:rPr>
            <w:szCs w:val="22"/>
          </w:rPr>
          <w:delText>em</w:delText>
        </w:r>
        <w:r w:rsidR="00AB606B" w:rsidRPr="008912CF">
          <w:rPr>
            <w:szCs w:val="22"/>
          </w:rPr>
          <w:delText xml:space="preserve"> </w:delText>
        </w:r>
        <w:r w:rsidRPr="008912CF">
          <w:rPr>
            <w:szCs w:val="22"/>
          </w:rPr>
          <w:delText>doentes com doença de Crohn</w:delText>
        </w:r>
        <w:r>
          <w:rPr>
            <w:szCs w:val="22"/>
          </w:rPr>
          <w:delText>,</w:delText>
        </w:r>
        <w:r w:rsidRPr="000550F3">
          <w:rPr>
            <w:szCs w:val="22"/>
          </w:rPr>
          <w:delText xml:space="preserve"> </w:delText>
        </w:r>
        <w:r>
          <w:rPr>
            <w:szCs w:val="22"/>
          </w:rPr>
          <w:delText xml:space="preserve">com idades compreendidas entre os </w:delText>
        </w:r>
        <w:r w:rsidR="00284968">
          <w:rPr>
            <w:szCs w:val="22"/>
          </w:rPr>
          <w:delText>6</w:delText>
        </w:r>
        <w:r>
          <w:rPr>
            <w:szCs w:val="22"/>
          </w:rPr>
          <w:delText xml:space="preserve"> e os 17 anos, </w:delText>
        </w:r>
        <w:r w:rsidRPr="008912CF">
          <w:rPr>
            <w:szCs w:val="22"/>
          </w:rPr>
          <w:delText xml:space="preserve">é </w:delText>
        </w:r>
        <w:r>
          <w:rPr>
            <w:szCs w:val="22"/>
          </w:rPr>
          <w:delText xml:space="preserve">baseada no peso corporal (Tabela 4). Humira é administrado </w:delText>
        </w:r>
        <w:r w:rsidRPr="008912CF">
          <w:rPr>
            <w:szCs w:val="22"/>
          </w:rPr>
          <w:delText xml:space="preserve">por injeção subcutânea. </w:delText>
        </w:r>
      </w:del>
    </w:p>
    <w:p w14:paraId="684A40F4" w14:textId="77DE79C7" w:rsidR="000C4CC9" w:rsidRPr="008912CF" w:rsidRDefault="000C4CC9">
      <w:pPr>
        <w:rPr>
          <w:del w:id="4883" w:author="AbbVie2" w:date="2025-05-13T16:39:00Z"/>
          <w:b/>
          <w:szCs w:val="22"/>
        </w:rPr>
        <w:pPrChange w:id="4884" w:author="AbbVie2" w:date="2025-05-13T16:40:00Z">
          <w:pPr>
            <w:pStyle w:val="BodyText2"/>
            <w:autoSpaceDE/>
            <w:autoSpaceDN/>
            <w:adjustRightInd/>
          </w:pPr>
        </w:pPrChange>
      </w:pPr>
    </w:p>
    <w:p w14:paraId="03AAADDB" w14:textId="777DF852" w:rsidR="000C4CC9" w:rsidRPr="00395D60" w:rsidRDefault="00615769">
      <w:pPr>
        <w:rPr>
          <w:del w:id="4885" w:author="AbbVie2" w:date="2025-05-13T16:39:00Z"/>
          <w:rFonts w:eastAsia="Times New Roman"/>
          <w:b/>
          <w:sz w:val="22"/>
          <w:szCs w:val="22"/>
        </w:rPr>
        <w:pPrChange w:id="4886" w:author="AbbVie2" w:date="2025-05-13T16:40:00Z">
          <w:pPr>
            <w:tabs>
              <w:tab w:val="left" w:pos="562"/>
            </w:tabs>
            <w:suppressAutoHyphens/>
            <w:jc w:val="center"/>
          </w:pPr>
        </w:pPrChange>
      </w:pPr>
      <w:del w:id="4887" w:author="AbbVie2" w:date="2025-05-13T16:39:00Z">
        <w:r w:rsidRPr="00395D60">
          <w:rPr>
            <w:rFonts w:eastAsia="Times New Roman"/>
            <w:b/>
            <w:sz w:val="22"/>
            <w:szCs w:val="22"/>
          </w:rPr>
          <w:delText xml:space="preserve">Tabela 4. Dose de Humira </w:delText>
        </w:r>
        <w:r w:rsidR="00E876B5">
          <w:rPr>
            <w:rFonts w:eastAsia="Times New Roman"/>
            <w:b/>
            <w:sz w:val="22"/>
            <w:szCs w:val="22"/>
          </w:rPr>
          <w:delText xml:space="preserve">em </w:delText>
        </w:r>
        <w:r w:rsidRPr="00395D60">
          <w:rPr>
            <w:rFonts w:eastAsia="Times New Roman"/>
            <w:b/>
            <w:sz w:val="22"/>
            <w:szCs w:val="22"/>
          </w:rPr>
          <w:delText>Doentes</w:delText>
        </w:r>
        <w:r w:rsidR="00E7252B">
          <w:rPr>
            <w:rFonts w:eastAsia="Times New Roman"/>
            <w:b/>
            <w:sz w:val="22"/>
            <w:szCs w:val="22"/>
          </w:rPr>
          <w:delText xml:space="preserve"> Pediátricos</w:delText>
        </w:r>
        <w:r w:rsidRPr="00395D60">
          <w:rPr>
            <w:rFonts w:eastAsia="Times New Roman"/>
            <w:b/>
            <w:sz w:val="22"/>
            <w:szCs w:val="22"/>
          </w:rPr>
          <w:delText xml:space="preserve"> com Doença de Crohn</w:delText>
        </w:r>
      </w:del>
    </w:p>
    <w:p w14:paraId="45DC5C89" w14:textId="36AC48F7" w:rsidR="000C4CC9" w:rsidRPr="00395D60" w:rsidRDefault="000C4CC9">
      <w:pPr>
        <w:rPr>
          <w:del w:id="4888" w:author="AbbVie2" w:date="2025-05-13T16:39:00Z"/>
          <w:rFonts w:eastAsia="Times New Roman"/>
          <w:sz w:val="22"/>
        </w:rPr>
        <w:pPrChange w:id="4889" w:author="AbbVie2" w:date="2025-05-13T16:40:00Z">
          <w:pPr>
            <w:tabs>
              <w:tab w:val="left" w:pos="562"/>
            </w:tabs>
            <w:suppressAutoHyphens/>
          </w:pPr>
        </w:pPrChange>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10"/>
        <w:gridCol w:w="6338"/>
        <w:gridCol w:w="1807"/>
      </w:tblGrid>
      <w:tr w:rsidR="00A7162A" w14:paraId="6A8E6535" w14:textId="2A094271" w:rsidTr="00A22EC4">
        <w:trPr>
          <w:tblHeader/>
          <w:del w:id="4890" w:author="AbbVie2" w:date="2025-05-13T16:39:00Z"/>
        </w:trPr>
        <w:tc>
          <w:tcPr>
            <w:tcW w:w="0" w:type="auto"/>
            <w:tcBorders>
              <w:top w:val="single" w:sz="6" w:space="0" w:color="000000"/>
              <w:left w:val="single" w:sz="6" w:space="0" w:color="000000"/>
              <w:bottom w:val="single" w:sz="6" w:space="0" w:color="000000"/>
              <w:right w:val="single" w:sz="6" w:space="0" w:color="000000"/>
            </w:tcBorders>
            <w:hideMark/>
          </w:tcPr>
          <w:p w14:paraId="31D6D387" w14:textId="61295BBA" w:rsidR="000C4CC9" w:rsidRPr="00AD4F25" w:rsidRDefault="00615769">
            <w:pPr>
              <w:rPr>
                <w:del w:id="4891" w:author="AbbVie2" w:date="2025-05-13T16:39:00Z"/>
                <w:rFonts w:eastAsia="Times New Roman"/>
                <w:sz w:val="22"/>
                <w:rPrChange w:id="4892" w:author="AbbVie2" w:date="2025-05-14T10:17:00Z">
                  <w:rPr>
                    <w:del w:id="4893" w:author="AbbVie2" w:date="2025-05-13T16:39:00Z"/>
                    <w:rFonts w:eastAsia="Times New Roman"/>
                    <w:sz w:val="22"/>
                    <w:lang w:val="en-US"/>
                  </w:rPr>
                </w:rPrChange>
              </w:rPr>
              <w:pPrChange w:id="4894" w:author="AbbVie2" w:date="2025-05-13T16:40:00Z">
                <w:pPr>
                  <w:tabs>
                    <w:tab w:val="left" w:pos="562"/>
                  </w:tabs>
                  <w:suppressAutoHyphens/>
                  <w:jc w:val="center"/>
                </w:pPr>
              </w:pPrChange>
            </w:pPr>
            <w:del w:id="4895" w:author="AbbVie2" w:date="2025-05-13T16:39:00Z">
              <w:r w:rsidRPr="00AD4F25">
                <w:rPr>
                  <w:rFonts w:eastAsia="Times New Roman"/>
                  <w:b/>
                  <w:sz w:val="22"/>
                  <w:rPrChange w:id="4896" w:author="AbbVie2" w:date="2025-05-14T10:17:00Z">
                    <w:rPr>
                      <w:rFonts w:eastAsia="Times New Roman"/>
                      <w:b/>
                      <w:sz w:val="22"/>
                      <w:lang w:val="en-US"/>
                    </w:rPr>
                  </w:rPrChange>
                </w:rPr>
                <w:delText>Peso do Doente</w:delText>
              </w:r>
            </w:del>
          </w:p>
        </w:tc>
        <w:tc>
          <w:tcPr>
            <w:tcW w:w="0" w:type="auto"/>
            <w:tcBorders>
              <w:top w:val="single" w:sz="6" w:space="0" w:color="000000"/>
              <w:left w:val="single" w:sz="6" w:space="0" w:color="000000"/>
              <w:bottom w:val="single" w:sz="6" w:space="0" w:color="000000"/>
              <w:right w:val="single" w:sz="6" w:space="0" w:color="000000"/>
            </w:tcBorders>
            <w:hideMark/>
          </w:tcPr>
          <w:p w14:paraId="197DC121" w14:textId="3CC2C1C5" w:rsidR="000C4CC9" w:rsidRPr="00AD4F25" w:rsidRDefault="00615769">
            <w:pPr>
              <w:rPr>
                <w:del w:id="4897" w:author="AbbVie2" w:date="2025-05-13T16:39:00Z"/>
                <w:rFonts w:eastAsia="Times New Roman"/>
                <w:sz w:val="22"/>
                <w:rPrChange w:id="4898" w:author="AbbVie2" w:date="2025-05-14T10:17:00Z">
                  <w:rPr>
                    <w:del w:id="4899" w:author="AbbVie2" w:date="2025-05-13T16:39:00Z"/>
                    <w:rFonts w:eastAsia="Times New Roman"/>
                    <w:sz w:val="22"/>
                    <w:lang w:val="en-US"/>
                  </w:rPr>
                </w:rPrChange>
              </w:rPr>
              <w:pPrChange w:id="4900" w:author="AbbVie2" w:date="2025-05-13T16:40:00Z">
                <w:pPr>
                  <w:tabs>
                    <w:tab w:val="left" w:pos="562"/>
                  </w:tabs>
                  <w:suppressAutoHyphens/>
                  <w:jc w:val="center"/>
                </w:pPr>
              </w:pPrChange>
            </w:pPr>
            <w:del w:id="4901" w:author="AbbVie2" w:date="2025-05-13T16:39:00Z">
              <w:r w:rsidRPr="00AD4F25">
                <w:rPr>
                  <w:rFonts w:eastAsia="Times New Roman"/>
                  <w:b/>
                  <w:sz w:val="22"/>
                  <w:rPrChange w:id="4902" w:author="AbbVie2" w:date="2025-05-14T10:17:00Z">
                    <w:rPr>
                      <w:rFonts w:eastAsia="Times New Roman"/>
                      <w:b/>
                      <w:sz w:val="22"/>
                      <w:lang w:val="en-US"/>
                    </w:rPr>
                  </w:rPrChange>
                </w:rPr>
                <w:delText>Dose de Indução</w:delText>
              </w:r>
            </w:del>
          </w:p>
        </w:tc>
        <w:tc>
          <w:tcPr>
            <w:tcW w:w="0" w:type="auto"/>
            <w:tcBorders>
              <w:top w:val="single" w:sz="6" w:space="0" w:color="000000"/>
              <w:left w:val="single" w:sz="6" w:space="0" w:color="000000"/>
              <w:bottom w:val="single" w:sz="6" w:space="0" w:color="000000"/>
              <w:right w:val="single" w:sz="6" w:space="0" w:color="000000"/>
            </w:tcBorders>
            <w:hideMark/>
          </w:tcPr>
          <w:p w14:paraId="0866D5B9" w14:textId="41F2BD14" w:rsidR="000C4CC9" w:rsidRDefault="00615769">
            <w:pPr>
              <w:rPr>
                <w:del w:id="4903" w:author="AbbVie2" w:date="2025-05-13T16:39:00Z"/>
                <w:rFonts w:eastAsia="Times New Roman"/>
                <w:b/>
                <w:sz w:val="22"/>
              </w:rPr>
              <w:pPrChange w:id="4904" w:author="AbbVie2" w:date="2025-05-13T16:40:00Z">
                <w:pPr>
                  <w:tabs>
                    <w:tab w:val="left" w:pos="562"/>
                  </w:tabs>
                  <w:suppressAutoHyphens/>
                  <w:jc w:val="center"/>
                </w:pPr>
              </w:pPrChange>
            </w:pPr>
            <w:del w:id="4905" w:author="AbbVie2" w:date="2025-05-13T16:39:00Z">
              <w:r w:rsidRPr="00395D60">
                <w:rPr>
                  <w:rFonts w:eastAsia="Times New Roman"/>
                  <w:b/>
                  <w:sz w:val="22"/>
                </w:rPr>
                <w:delText>Dose de Manutenção com Início na</w:delText>
              </w:r>
            </w:del>
          </w:p>
          <w:p w14:paraId="6C21DFAA" w14:textId="4C7B1CB6" w:rsidR="000C4CC9" w:rsidRPr="00395D60" w:rsidRDefault="00615769">
            <w:pPr>
              <w:rPr>
                <w:del w:id="4906" w:author="AbbVie2" w:date="2025-05-13T16:39:00Z"/>
                <w:rFonts w:eastAsia="Times New Roman"/>
                <w:sz w:val="22"/>
              </w:rPr>
              <w:pPrChange w:id="4907" w:author="AbbVie2" w:date="2025-05-13T16:40:00Z">
                <w:pPr>
                  <w:tabs>
                    <w:tab w:val="left" w:pos="562"/>
                  </w:tabs>
                  <w:suppressAutoHyphens/>
                  <w:jc w:val="center"/>
                </w:pPr>
              </w:pPrChange>
            </w:pPr>
            <w:del w:id="4908" w:author="AbbVie2" w:date="2025-05-13T16:39:00Z">
              <w:r w:rsidRPr="00395D60">
                <w:rPr>
                  <w:rFonts w:eastAsia="Times New Roman"/>
                  <w:b/>
                  <w:sz w:val="22"/>
                </w:rPr>
                <w:delText xml:space="preserve"> Semana 4</w:delText>
              </w:r>
            </w:del>
          </w:p>
        </w:tc>
      </w:tr>
      <w:tr w:rsidR="00A7162A" w14:paraId="023545E2" w14:textId="502FD509" w:rsidTr="00A22EC4">
        <w:trPr>
          <w:del w:id="4909" w:author="AbbVie2" w:date="2025-05-13T16:39:00Z"/>
        </w:trPr>
        <w:tc>
          <w:tcPr>
            <w:tcW w:w="0" w:type="auto"/>
            <w:tcBorders>
              <w:top w:val="single" w:sz="6" w:space="0" w:color="000000"/>
              <w:left w:val="single" w:sz="6" w:space="0" w:color="000000"/>
              <w:bottom w:val="single" w:sz="6" w:space="0" w:color="000000"/>
              <w:right w:val="single" w:sz="6" w:space="0" w:color="000000"/>
            </w:tcBorders>
            <w:hideMark/>
          </w:tcPr>
          <w:p w14:paraId="73CD842F" w14:textId="7411891F" w:rsidR="000C4CC9" w:rsidRPr="00AD4F25" w:rsidRDefault="00615769">
            <w:pPr>
              <w:rPr>
                <w:del w:id="4910" w:author="AbbVie2" w:date="2025-05-13T16:39:00Z"/>
                <w:rFonts w:eastAsia="Times New Roman"/>
                <w:sz w:val="22"/>
                <w:rPrChange w:id="4911" w:author="AbbVie2" w:date="2025-05-14T10:17:00Z">
                  <w:rPr>
                    <w:del w:id="4912" w:author="AbbVie2" w:date="2025-05-13T16:39:00Z"/>
                    <w:rFonts w:eastAsia="Times New Roman"/>
                    <w:sz w:val="22"/>
                    <w:lang w:val="en-US"/>
                  </w:rPr>
                </w:rPrChange>
              </w:rPr>
              <w:pPrChange w:id="4913" w:author="AbbVie2" w:date="2025-05-13T16:40:00Z">
                <w:pPr>
                  <w:tabs>
                    <w:tab w:val="left" w:pos="562"/>
                  </w:tabs>
                  <w:suppressAutoHyphens/>
                  <w:jc w:val="center"/>
                </w:pPr>
              </w:pPrChange>
            </w:pPr>
            <w:del w:id="4914" w:author="AbbVie2" w:date="2025-05-13T16:39:00Z">
              <w:r w:rsidRPr="00AD4F25">
                <w:rPr>
                  <w:rFonts w:eastAsia="Times New Roman"/>
                  <w:sz w:val="22"/>
                  <w:rPrChange w:id="4915" w:author="AbbVie2" w:date="2025-05-14T10:17:00Z">
                    <w:rPr>
                      <w:rFonts w:eastAsia="Times New Roman"/>
                      <w:sz w:val="22"/>
                      <w:lang w:val="en-US"/>
                    </w:rPr>
                  </w:rPrChange>
                </w:rPr>
                <w:delText>&lt; 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2E54E86D" w14:textId="0064B5D7" w:rsidR="000C4CC9" w:rsidRPr="00395D60" w:rsidRDefault="00615769">
            <w:pPr>
              <w:rPr>
                <w:del w:id="4916" w:author="AbbVie2" w:date="2025-05-13T16:39:00Z"/>
                <w:rFonts w:eastAsia="Times New Roman"/>
                <w:sz w:val="22"/>
                <w:szCs w:val="22"/>
              </w:rPr>
              <w:pPrChange w:id="4917" w:author="AbbVie2" w:date="2025-05-13T16:40:00Z">
                <w:pPr>
                  <w:numPr>
                    <w:numId w:val="137"/>
                  </w:numPr>
                  <w:tabs>
                    <w:tab w:val="left" w:pos="562"/>
                  </w:tabs>
                  <w:suppressAutoHyphens/>
                  <w:ind w:left="307" w:hanging="180"/>
                </w:pPr>
              </w:pPrChange>
            </w:pPr>
            <w:del w:id="4918" w:author="AbbVie2" w:date="2025-05-13T16:39:00Z">
              <w:r w:rsidRPr="00395D60">
                <w:rPr>
                  <w:rFonts w:eastAsia="Times New Roman"/>
                  <w:sz w:val="22"/>
                  <w:szCs w:val="22"/>
                </w:rPr>
                <w:delText xml:space="preserve">40 mg </w:delText>
              </w:r>
              <w:r>
                <w:rPr>
                  <w:rFonts w:eastAsia="Times New Roman"/>
                  <w:sz w:val="22"/>
                  <w:szCs w:val="22"/>
                </w:rPr>
                <w:delText xml:space="preserve">na </w:delText>
              </w:r>
              <w:r w:rsidR="009B4CD7">
                <w:rPr>
                  <w:rFonts w:eastAsia="Times New Roman"/>
                  <w:sz w:val="22"/>
                  <w:szCs w:val="22"/>
                </w:rPr>
                <w:delText>s</w:delText>
              </w:r>
              <w:r w:rsidRPr="00395D60">
                <w:rPr>
                  <w:rFonts w:eastAsia="Times New Roman"/>
                  <w:sz w:val="22"/>
                  <w:szCs w:val="22"/>
                </w:rPr>
                <w:delText xml:space="preserve">emana 0 e 20 mg na </w:delText>
              </w:r>
              <w:r w:rsidR="009B4CD7">
                <w:rPr>
                  <w:rFonts w:eastAsia="Times New Roman"/>
                  <w:sz w:val="22"/>
                  <w:szCs w:val="22"/>
                </w:rPr>
                <w:delText>s</w:delText>
              </w:r>
              <w:r w:rsidRPr="00395D60">
                <w:rPr>
                  <w:rFonts w:eastAsia="Times New Roman"/>
                  <w:sz w:val="22"/>
                  <w:szCs w:val="22"/>
                </w:rPr>
                <w:delText>emana 2</w:delText>
              </w:r>
            </w:del>
          </w:p>
          <w:p w14:paraId="0A656010" w14:textId="32A099B3" w:rsidR="000C4CC9" w:rsidRPr="00395D60" w:rsidRDefault="000C4CC9">
            <w:pPr>
              <w:rPr>
                <w:del w:id="4919" w:author="AbbVie2" w:date="2025-05-13T16:39:00Z"/>
                <w:rFonts w:eastAsia="Times New Roman"/>
                <w:sz w:val="22"/>
                <w:szCs w:val="22"/>
              </w:rPr>
              <w:pPrChange w:id="4920" w:author="AbbVie2" w:date="2025-05-13T16:40:00Z">
                <w:pPr>
                  <w:ind w:left="337"/>
                </w:pPr>
              </w:pPrChange>
            </w:pPr>
          </w:p>
          <w:p w14:paraId="6E22FDB5" w14:textId="11B17175" w:rsidR="000C4CC9" w:rsidRPr="00395D60" w:rsidRDefault="00615769" w:rsidP="00412FC8">
            <w:pPr>
              <w:rPr>
                <w:del w:id="4921" w:author="AbbVie2" w:date="2025-05-13T16:39:00Z"/>
                <w:rFonts w:eastAsia="Times New Roman"/>
                <w:sz w:val="22"/>
                <w:szCs w:val="22"/>
              </w:rPr>
            </w:pPr>
            <w:del w:id="4922" w:author="AbbVie2" w:date="2025-05-13T16:39:00Z">
              <w:r w:rsidRPr="00E905A5">
                <w:rPr>
                  <w:sz w:val="22"/>
                  <w:szCs w:val="22"/>
                </w:rPr>
                <w:delText>No caso de haver necessidade de uma resposta mais rápida à terapêutica</w:delText>
              </w:r>
              <w:r w:rsidRPr="00395D60">
                <w:rPr>
                  <w:sz w:val="22"/>
                  <w:szCs w:val="22"/>
                </w:rPr>
                <w:delText xml:space="preserve">, sendo </w:delText>
              </w:r>
              <w:r w:rsidRPr="008912CF">
                <w:rPr>
                  <w:sz w:val="22"/>
                  <w:szCs w:val="22"/>
                </w:rPr>
                <w:delText>que o risco de acontecimentos adversos pode ser superior com o u</w:delText>
              </w:r>
              <w:r>
                <w:rPr>
                  <w:sz w:val="22"/>
                  <w:szCs w:val="22"/>
                </w:rPr>
                <w:delText>so de uma dose de indução maior, pode ser usada a seguinte dose:</w:delText>
              </w:r>
            </w:del>
          </w:p>
          <w:p w14:paraId="4F6BF5EC" w14:textId="0B11D337" w:rsidR="000C4CC9" w:rsidRPr="00395D60" w:rsidRDefault="00615769">
            <w:pPr>
              <w:rPr>
                <w:del w:id="4923" w:author="AbbVie2" w:date="2025-05-13T16:39:00Z"/>
                <w:rFonts w:eastAsia="Times New Roman"/>
                <w:iCs/>
                <w:sz w:val="22"/>
                <w:szCs w:val="22"/>
              </w:rPr>
              <w:pPrChange w:id="4924" w:author="AbbVie2" w:date="2025-05-13T16:40:00Z">
                <w:pPr>
                  <w:numPr>
                    <w:numId w:val="139"/>
                  </w:numPr>
                  <w:tabs>
                    <w:tab w:val="left" w:pos="562"/>
                  </w:tabs>
                  <w:suppressAutoHyphens/>
                  <w:ind w:left="307" w:hanging="180"/>
                </w:pPr>
              </w:pPrChange>
            </w:pPr>
            <w:del w:id="4925" w:author="AbbVie2" w:date="2025-05-13T16:39:00Z">
              <w:r w:rsidRPr="00395D60">
                <w:rPr>
                  <w:rFonts w:eastAsia="Times New Roman"/>
                  <w:sz w:val="22"/>
                  <w:szCs w:val="22"/>
                </w:rPr>
                <w:delText xml:space="preserve">80 mg na </w:delText>
              </w:r>
              <w:r w:rsidR="009B4CD7">
                <w:rPr>
                  <w:rFonts w:eastAsia="Times New Roman"/>
                  <w:sz w:val="22"/>
                  <w:szCs w:val="22"/>
                </w:rPr>
                <w:delText>s</w:delText>
              </w:r>
              <w:r w:rsidRPr="00395D60">
                <w:rPr>
                  <w:rFonts w:eastAsia="Times New Roman"/>
                  <w:sz w:val="22"/>
                  <w:szCs w:val="22"/>
                </w:rPr>
                <w:delText xml:space="preserve">emana 0 e 40 mg na </w:delText>
              </w:r>
              <w:r w:rsidR="009B4CD7">
                <w:rPr>
                  <w:rFonts w:eastAsia="Times New Roman"/>
                  <w:sz w:val="22"/>
                  <w:szCs w:val="22"/>
                </w:rPr>
                <w:delText>s</w:delText>
              </w:r>
              <w:r w:rsidRPr="00395D60">
                <w:rPr>
                  <w:rFonts w:eastAsia="Times New Roman"/>
                  <w:sz w:val="22"/>
                  <w:szCs w:val="22"/>
                </w:rPr>
                <w:delText>emana 2</w:delText>
              </w:r>
            </w:del>
          </w:p>
        </w:tc>
        <w:tc>
          <w:tcPr>
            <w:tcW w:w="0" w:type="auto"/>
            <w:tcBorders>
              <w:top w:val="single" w:sz="6" w:space="0" w:color="000000"/>
              <w:left w:val="single" w:sz="6" w:space="0" w:color="000000"/>
              <w:bottom w:val="single" w:sz="6" w:space="0" w:color="000000"/>
              <w:right w:val="single" w:sz="6" w:space="0" w:color="000000"/>
            </w:tcBorders>
            <w:hideMark/>
          </w:tcPr>
          <w:p w14:paraId="7BC65199" w14:textId="36D62400" w:rsidR="000C4CC9" w:rsidRPr="00AD4F25" w:rsidRDefault="00615769">
            <w:pPr>
              <w:rPr>
                <w:del w:id="4926" w:author="AbbVie2" w:date="2025-05-13T16:39:00Z"/>
                <w:rFonts w:eastAsia="Times New Roman"/>
                <w:sz w:val="22"/>
                <w:rPrChange w:id="4927" w:author="AbbVie2" w:date="2025-05-14T10:17:00Z">
                  <w:rPr>
                    <w:del w:id="4928" w:author="AbbVie2" w:date="2025-05-13T16:39:00Z"/>
                    <w:rFonts w:eastAsia="Times New Roman"/>
                    <w:sz w:val="22"/>
                    <w:lang w:val="en-US"/>
                  </w:rPr>
                </w:rPrChange>
              </w:rPr>
              <w:pPrChange w:id="4929" w:author="AbbVie2" w:date="2025-05-13T16:40:00Z">
                <w:pPr>
                  <w:ind w:left="27"/>
                  <w:jc w:val="center"/>
                </w:pPr>
              </w:pPrChange>
            </w:pPr>
            <w:del w:id="4930" w:author="AbbVie2" w:date="2025-05-13T16:39:00Z">
              <w:r w:rsidRPr="00AD4F25">
                <w:rPr>
                  <w:rFonts w:eastAsia="Times New Roman"/>
                  <w:sz w:val="22"/>
                  <w:rPrChange w:id="4931" w:author="AbbVie2" w:date="2025-05-14T10:17:00Z">
                    <w:rPr>
                      <w:rFonts w:eastAsia="Times New Roman"/>
                      <w:sz w:val="22"/>
                      <w:lang w:val="en-US"/>
                    </w:rPr>
                  </w:rPrChange>
                </w:rPr>
                <w:delText>20 mg em semanas alternadas</w:delText>
              </w:r>
            </w:del>
          </w:p>
        </w:tc>
      </w:tr>
      <w:tr w:rsidR="00A7162A" w14:paraId="39A177A1" w14:textId="021859DD" w:rsidTr="00A22EC4">
        <w:trPr>
          <w:del w:id="4932" w:author="AbbVie2" w:date="2025-05-13T16:39:00Z"/>
        </w:trPr>
        <w:tc>
          <w:tcPr>
            <w:tcW w:w="0" w:type="auto"/>
            <w:tcBorders>
              <w:top w:val="single" w:sz="6" w:space="0" w:color="000000"/>
              <w:left w:val="single" w:sz="6" w:space="0" w:color="000000"/>
              <w:bottom w:val="single" w:sz="6" w:space="0" w:color="000000"/>
              <w:right w:val="single" w:sz="6" w:space="0" w:color="000000"/>
            </w:tcBorders>
            <w:hideMark/>
          </w:tcPr>
          <w:p w14:paraId="50C6A6C6" w14:textId="3F6C1BE0" w:rsidR="000C4CC9" w:rsidRPr="00AD4F25" w:rsidRDefault="00615769">
            <w:pPr>
              <w:rPr>
                <w:del w:id="4933" w:author="AbbVie2" w:date="2025-05-13T16:39:00Z"/>
                <w:rFonts w:eastAsia="Times New Roman"/>
                <w:sz w:val="22"/>
                <w:rPrChange w:id="4934" w:author="AbbVie2" w:date="2025-05-14T10:17:00Z">
                  <w:rPr>
                    <w:del w:id="4935" w:author="AbbVie2" w:date="2025-05-13T16:39:00Z"/>
                    <w:rFonts w:eastAsia="Times New Roman"/>
                    <w:sz w:val="22"/>
                    <w:lang w:val="en-US"/>
                  </w:rPr>
                </w:rPrChange>
              </w:rPr>
              <w:pPrChange w:id="4936" w:author="AbbVie2" w:date="2025-05-13T16:40:00Z">
                <w:pPr>
                  <w:tabs>
                    <w:tab w:val="left" w:pos="562"/>
                  </w:tabs>
                  <w:suppressAutoHyphens/>
                  <w:jc w:val="center"/>
                </w:pPr>
              </w:pPrChange>
            </w:pPr>
            <w:del w:id="4937" w:author="AbbVie2" w:date="2025-05-13T16:39:00Z">
              <w:r w:rsidRPr="00AD4F25">
                <w:rPr>
                  <w:rFonts w:eastAsia="Times New Roman"/>
                  <w:sz w:val="22"/>
                  <w:rPrChange w:id="4938" w:author="AbbVie2" w:date="2025-05-14T10:17:00Z">
                    <w:rPr>
                      <w:rFonts w:eastAsia="Times New Roman"/>
                      <w:sz w:val="22"/>
                      <w:lang w:val="en-US"/>
                    </w:rPr>
                  </w:rPrChange>
                </w:rPr>
                <w:delText>≥ 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6FF8D232" w14:textId="329E7F1E" w:rsidR="000C4CC9" w:rsidRPr="00395D60" w:rsidRDefault="00615769">
            <w:pPr>
              <w:rPr>
                <w:del w:id="4939" w:author="AbbVie2" w:date="2025-05-13T16:39:00Z"/>
                <w:rFonts w:eastAsia="Times New Roman"/>
                <w:sz w:val="22"/>
                <w:szCs w:val="22"/>
              </w:rPr>
              <w:pPrChange w:id="4940" w:author="AbbVie2" w:date="2025-05-13T16:40:00Z">
                <w:pPr>
                  <w:numPr>
                    <w:numId w:val="140"/>
                  </w:numPr>
                  <w:tabs>
                    <w:tab w:val="left" w:pos="562"/>
                  </w:tabs>
                  <w:suppressAutoHyphens/>
                  <w:ind w:left="307" w:hanging="175"/>
                </w:pPr>
              </w:pPrChange>
            </w:pPr>
            <w:del w:id="4941" w:author="AbbVie2" w:date="2025-05-13T16:39:00Z">
              <w:r w:rsidRPr="00395D60">
                <w:rPr>
                  <w:rFonts w:eastAsia="Times New Roman"/>
                  <w:sz w:val="22"/>
                  <w:szCs w:val="22"/>
                </w:rPr>
                <w:delText xml:space="preserve">80 mg na semana 0 e 40 mg na </w:delText>
              </w:r>
              <w:r w:rsidR="009B4CD7">
                <w:rPr>
                  <w:rFonts w:eastAsia="Times New Roman"/>
                  <w:sz w:val="22"/>
                  <w:szCs w:val="22"/>
                </w:rPr>
                <w:delText>s</w:delText>
              </w:r>
              <w:r w:rsidRPr="00395D60">
                <w:rPr>
                  <w:rFonts w:eastAsia="Times New Roman"/>
                  <w:sz w:val="22"/>
                  <w:szCs w:val="22"/>
                </w:rPr>
                <w:delText>emana 2</w:delText>
              </w:r>
            </w:del>
          </w:p>
          <w:p w14:paraId="37A4B7F5" w14:textId="057F73A6" w:rsidR="00AB606B" w:rsidRDefault="00AB606B" w:rsidP="00412FC8">
            <w:pPr>
              <w:rPr>
                <w:del w:id="4942" w:author="AbbVie2" w:date="2025-05-13T16:39:00Z"/>
                <w:sz w:val="22"/>
                <w:szCs w:val="22"/>
              </w:rPr>
            </w:pPr>
          </w:p>
          <w:p w14:paraId="45320C25" w14:textId="2A768326" w:rsidR="000C4CC9" w:rsidRPr="000A1E2A" w:rsidRDefault="00615769" w:rsidP="00412FC8">
            <w:pPr>
              <w:rPr>
                <w:del w:id="4943" w:author="AbbVie2" w:date="2025-05-13T16:39:00Z"/>
                <w:rFonts w:eastAsia="Times New Roman"/>
                <w:sz w:val="22"/>
                <w:szCs w:val="22"/>
              </w:rPr>
            </w:pPr>
            <w:del w:id="4944" w:author="AbbVie2" w:date="2025-05-13T16:39:00Z">
              <w:r w:rsidRPr="000A1E2A">
                <w:rPr>
                  <w:sz w:val="22"/>
                  <w:szCs w:val="22"/>
                </w:rPr>
                <w:delText xml:space="preserve">No caso de haver necessidade de uma resposta mais rápida à terapêutica, sendo </w:delText>
              </w:r>
              <w:r w:rsidRPr="008912CF">
                <w:rPr>
                  <w:sz w:val="22"/>
                  <w:szCs w:val="22"/>
                </w:rPr>
                <w:delText>que o risco de acontecimentos adversos pode ser superior com o u</w:delText>
              </w:r>
              <w:r>
                <w:rPr>
                  <w:sz w:val="22"/>
                  <w:szCs w:val="22"/>
                </w:rPr>
                <w:delText>so de uma dose de indução maior, pode ser usada a seguinte dose:</w:delText>
              </w:r>
            </w:del>
          </w:p>
          <w:p w14:paraId="2C08AEA0" w14:textId="176F6C54" w:rsidR="000C4CC9" w:rsidRPr="00395D60" w:rsidRDefault="00615769">
            <w:pPr>
              <w:rPr>
                <w:del w:id="4945" w:author="AbbVie2" w:date="2025-05-13T16:39:00Z"/>
                <w:rFonts w:eastAsia="Times New Roman"/>
                <w:sz w:val="22"/>
                <w:szCs w:val="22"/>
              </w:rPr>
              <w:pPrChange w:id="4946" w:author="AbbVie2" w:date="2025-05-13T16:40:00Z">
                <w:pPr>
                  <w:numPr>
                    <w:numId w:val="138"/>
                  </w:numPr>
                  <w:tabs>
                    <w:tab w:val="left" w:pos="562"/>
                  </w:tabs>
                  <w:suppressAutoHyphens/>
                  <w:ind w:left="314" w:hanging="187"/>
                </w:pPr>
              </w:pPrChange>
            </w:pPr>
            <w:del w:id="4947" w:author="AbbVie2" w:date="2025-05-13T16:39:00Z">
              <w:r w:rsidRPr="00395D60">
                <w:rPr>
                  <w:rFonts w:eastAsia="Times New Roman"/>
                  <w:sz w:val="22"/>
                  <w:szCs w:val="22"/>
                </w:rPr>
                <w:delText xml:space="preserve">160 mg na </w:delText>
              </w:r>
              <w:r w:rsidR="009B4CD7">
                <w:rPr>
                  <w:rFonts w:eastAsia="Times New Roman"/>
                  <w:sz w:val="22"/>
                  <w:szCs w:val="22"/>
                </w:rPr>
                <w:delText>s</w:delText>
              </w:r>
              <w:r w:rsidRPr="00395D60">
                <w:rPr>
                  <w:rFonts w:eastAsia="Times New Roman"/>
                  <w:sz w:val="22"/>
                  <w:szCs w:val="22"/>
                </w:rPr>
                <w:delText>emana 0 e 80 mg na semana 2</w:delText>
              </w:r>
            </w:del>
          </w:p>
        </w:tc>
        <w:tc>
          <w:tcPr>
            <w:tcW w:w="0" w:type="auto"/>
            <w:tcBorders>
              <w:top w:val="single" w:sz="6" w:space="0" w:color="000000"/>
              <w:left w:val="single" w:sz="6" w:space="0" w:color="000000"/>
              <w:bottom w:val="single" w:sz="6" w:space="0" w:color="000000"/>
              <w:right w:val="single" w:sz="6" w:space="0" w:color="000000"/>
            </w:tcBorders>
            <w:hideMark/>
          </w:tcPr>
          <w:p w14:paraId="641FF907" w14:textId="6E605E8E" w:rsidR="000C4CC9" w:rsidRPr="00AD4F25" w:rsidRDefault="00615769">
            <w:pPr>
              <w:rPr>
                <w:del w:id="4948" w:author="AbbVie2" w:date="2025-05-13T16:39:00Z"/>
                <w:rFonts w:eastAsia="Times New Roman"/>
                <w:sz w:val="22"/>
                <w:rPrChange w:id="4949" w:author="AbbVie2" w:date="2025-05-14T10:17:00Z">
                  <w:rPr>
                    <w:del w:id="4950" w:author="AbbVie2" w:date="2025-05-13T16:39:00Z"/>
                    <w:rFonts w:eastAsia="Times New Roman"/>
                    <w:sz w:val="22"/>
                    <w:lang w:val="en-US"/>
                  </w:rPr>
                </w:rPrChange>
              </w:rPr>
              <w:pPrChange w:id="4951" w:author="AbbVie2" w:date="2025-05-13T16:40:00Z">
                <w:pPr>
                  <w:ind w:left="36"/>
                  <w:jc w:val="center"/>
                </w:pPr>
              </w:pPrChange>
            </w:pPr>
            <w:del w:id="4952" w:author="AbbVie2" w:date="2025-05-13T16:39:00Z">
              <w:r w:rsidRPr="00AD4F25">
                <w:rPr>
                  <w:rFonts w:eastAsia="Times New Roman"/>
                  <w:sz w:val="22"/>
                  <w:rPrChange w:id="4953" w:author="AbbVie2" w:date="2025-05-14T10:17:00Z">
                    <w:rPr>
                      <w:rFonts w:eastAsia="Times New Roman"/>
                      <w:sz w:val="22"/>
                      <w:lang w:val="en-US"/>
                    </w:rPr>
                  </w:rPrChange>
                </w:rPr>
                <w:delText>40 mg em semanas alternadas</w:delText>
              </w:r>
            </w:del>
          </w:p>
        </w:tc>
      </w:tr>
    </w:tbl>
    <w:p w14:paraId="02773F86" w14:textId="7B3C1287" w:rsidR="000C4CC9" w:rsidRPr="00AD4F25" w:rsidRDefault="000C4CC9">
      <w:pPr>
        <w:rPr>
          <w:del w:id="4954" w:author="AbbVie2" w:date="2025-05-13T16:39:00Z"/>
          <w:rFonts w:eastAsia="Times New Roman"/>
          <w:sz w:val="22"/>
          <w:rPrChange w:id="4955" w:author="AbbVie2" w:date="2025-05-14T10:17:00Z">
            <w:rPr>
              <w:del w:id="4956" w:author="AbbVie2" w:date="2025-05-13T16:39:00Z"/>
              <w:rFonts w:eastAsia="Times New Roman"/>
              <w:sz w:val="22"/>
              <w:lang w:val="en-GB"/>
            </w:rPr>
          </w:rPrChange>
        </w:rPr>
        <w:pPrChange w:id="4957" w:author="AbbVie2" w:date="2025-05-13T16:40:00Z">
          <w:pPr>
            <w:keepNext/>
            <w:tabs>
              <w:tab w:val="left" w:pos="562"/>
            </w:tabs>
            <w:suppressAutoHyphens/>
          </w:pPr>
        </w:pPrChange>
      </w:pPr>
    </w:p>
    <w:p w14:paraId="33CC979A" w14:textId="1808B8FD" w:rsidR="000C4CC9" w:rsidRPr="00395D60" w:rsidRDefault="00615769">
      <w:pPr>
        <w:rPr>
          <w:del w:id="4958" w:author="AbbVie2" w:date="2025-05-13T16:39:00Z"/>
          <w:rFonts w:eastAsia="Times New Roman"/>
          <w:sz w:val="22"/>
        </w:rPr>
        <w:pPrChange w:id="4959" w:author="AbbVie2" w:date="2025-05-13T16:40:00Z">
          <w:pPr>
            <w:keepNext/>
            <w:tabs>
              <w:tab w:val="left" w:pos="562"/>
            </w:tabs>
            <w:suppressAutoHyphens/>
          </w:pPr>
        </w:pPrChange>
      </w:pPr>
      <w:del w:id="4960" w:author="AbbVie2" w:date="2025-05-13T16:39:00Z">
        <w:r>
          <w:rPr>
            <w:sz w:val="22"/>
            <w:szCs w:val="22"/>
          </w:rPr>
          <w:delText xml:space="preserve">Os </w:delText>
        </w:r>
        <w:r w:rsidRPr="008912CF">
          <w:rPr>
            <w:sz w:val="22"/>
            <w:szCs w:val="22"/>
          </w:rPr>
          <w:delText>doentes que apresentarem resposta terapêutica insuficiente, podem beneficiar de um aumento da dose</w:delText>
        </w:r>
        <w:r>
          <w:rPr>
            <w:sz w:val="22"/>
            <w:szCs w:val="22"/>
          </w:rPr>
          <w:delText>:</w:delText>
        </w:r>
      </w:del>
    </w:p>
    <w:p w14:paraId="4AE0B0F6" w14:textId="369D2DF5" w:rsidR="000C4CC9" w:rsidRPr="00AD4F25" w:rsidRDefault="00615769">
      <w:pPr>
        <w:rPr>
          <w:del w:id="4961" w:author="AbbVie2" w:date="2025-05-13T16:39:00Z"/>
          <w:rFonts w:eastAsia="Times New Roman"/>
          <w:sz w:val="22"/>
          <w:rPrChange w:id="4962" w:author="AbbVie2" w:date="2025-05-14T10:17:00Z">
            <w:rPr>
              <w:del w:id="4963" w:author="AbbVie2" w:date="2025-05-13T16:39:00Z"/>
              <w:rFonts w:eastAsia="Times New Roman"/>
              <w:sz w:val="22"/>
              <w:lang w:val="en-GB"/>
            </w:rPr>
          </w:rPrChange>
        </w:rPr>
        <w:pPrChange w:id="4964" w:author="AbbVie2" w:date="2025-05-13T16:40:00Z">
          <w:pPr>
            <w:keepNext/>
            <w:numPr>
              <w:numId w:val="138"/>
            </w:numPr>
            <w:tabs>
              <w:tab w:val="left" w:pos="540"/>
            </w:tabs>
            <w:suppressAutoHyphens/>
            <w:ind w:left="540" w:hanging="540"/>
          </w:pPr>
        </w:pPrChange>
      </w:pPr>
      <w:del w:id="4965" w:author="AbbVie2" w:date="2025-05-13T16:39:00Z">
        <w:r w:rsidRPr="00AD4F25">
          <w:rPr>
            <w:rFonts w:eastAsia="Times New Roman"/>
            <w:sz w:val="22"/>
            <w:rPrChange w:id="4966" w:author="AbbVie2" w:date="2025-05-14T10:17:00Z">
              <w:rPr>
                <w:rFonts w:eastAsia="Times New Roman"/>
                <w:sz w:val="22"/>
                <w:lang w:val="en-GB"/>
              </w:rPr>
            </w:rPrChange>
          </w:rPr>
          <w:delText>&lt; 40 kg: 20 mg todas as semanas</w:delText>
        </w:r>
      </w:del>
    </w:p>
    <w:p w14:paraId="28F198D2" w14:textId="7218CF24" w:rsidR="000C4CC9" w:rsidRPr="00AA7352" w:rsidRDefault="00615769">
      <w:pPr>
        <w:rPr>
          <w:del w:id="4967" w:author="AbbVie2" w:date="2025-05-13T16:39:00Z"/>
          <w:rFonts w:eastAsia="Times New Roman"/>
          <w:sz w:val="22"/>
        </w:rPr>
        <w:pPrChange w:id="4968" w:author="AbbVie2" w:date="2025-05-13T16:40:00Z">
          <w:pPr>
            <w:keepNext/>
            <w:numPr>
              <w:numId w:val="138"/>
            </w:numPr>
            <w:tabs>
              <w:tab w:val="left" w:pos="540"/>
            </w:tabs>
            <w:suppressAutoHyphens/>
            <w:ind w:left="540" w:hanging="540"/>
          </w:pPr>
        </w:pPrChange>
      </w:pPr>
      <w:del w:id="4969" w:author="AbbVie2" w:date="2025-05-13T16:39:00Z">
        <w:r w:rsidRPr="00AA7352">
          <w:rPr>
            <w:rFonts w:eastAsia="Times New Roman"/>
            <w:sz w:val="22"/>
          </w:rPr>
          <w:delText>≥ 40 kg: 40 mg todas as semanas</w:delText>
        </w:r>
        <w:r w:rsidR="009D3E8E" w:rsidRPr="00AA7352">
          <w:rPr>
            <w:rFonts w:eastAsia="Times New Roman"/>
            <w:sz w:val="22"/>
          </w:rPr>
          <w:delText xml:space="preserve"> ou 80 mg em semanas alternadas</w:delText>
        </w:r>
      </w:del>
    </w:p>
    <w:p w14:paraId="578086C1" w14:textId="3CCF9762" w:rsidR="004462A0" w:rsidRPr="008912CF" w:rsidRDefault="004462A0" w:rsidP="00412FC8">
      <w:pPr>
        <w:rPr>
          <w:del w:id="4970" w:author="AbbVie2" w:date="2025-05-13T16:39:00Z"/>
          <w:bCs/>
          <w:iCs/>
          <w:sz w:val="22"/>
          <w:szCs w:val="22"/>
        </w:rPr>
      </w:pPr>
    </w:p>
    <w:p w14:paraId="78BE8B7A" w14:textId="6CD6E841" w:rsidR="004462A0" w:rsidRPr="008912CF" w:rsidRDefault="00615769" w:rsidP="00412FC8">
      <w:pPr>
        <w:rPr>
          <w:del w:id="4971" w:author="AbbVie2" w:date="2025-05-13T16:39:00Z"/>
          <w:bCs/>
          <w:iCs/>
          <w:sz w:val="22"/>
          <w:szCs w:val="22"/>
        </w:rPr>
      </w:pPr>
      <w:del w:id="4972" w:author="AbbVie2" w:date="2025-05-13T16:39:00Z">
        <w:r w:rsidRPr="008912CF">
          <w:rPr>
            <w:bCs/>
            <w:iCs/>
            <w:sz w:val="22"/>
            <w:szCs w:val="22"/>
          </w:rPr>
          <w:delText xml:space="preserve">Uma terapêutica continuada deve ser cuidadosamente reconsiderada nos doentes que não responderam até à </w:delText>
        </w:r>
        <w:r w:rsidR="009B4CD7">
          <w:rPr>
            <w:bCs/>
            <w:iCs/>
            <w:sz w:val="22"/>
            <w:szCs w:val="22"/>
          </w:rPr>
          <w:delText>s</w:delText>
        </w:r>
        <w:r w:rsidRPr="008912CF">
          <w:rPr>
            <w:bCs/>
            <w:iCs/>
            <w:sz w:val="22"/>
            <w:szCs w:val="22"/>
          </w:rPr>
          <w:delText>emana 12.</w:delText>
        </w:r>
      </w:del>
    </w:p>
    <w:p w14:paraId="40F9C0B4" w14:textId="0B98FC74" w:rsidR="004462A0" w:rsidRPr="008912CF" w:rsidRDefault="004462A0" w:rsidP="00412FC8">
      <w:pPr>
        <w:rPr>
          <w:del w:id="4973" w:author="AbbVie2" w:date="2025-05-13T16:39:00Z"/>
          <w:bCs/>
          <w:iCs/>
          <w:sz w:val="22"/>
          <w:szCs w:val="22"/>
        </w:rPr>
      </w:pPr>
    </w:p>
    <w:p w14:paraId="48629D1F" w14:textId="7DD87660" w:rsidR="004462A0" w:rsidRPr="008912CF" w:rsidRDefault="00615769" w:rsidP="00412FC8">
      <w:pPr>
        <w:rPr>
          <w:del w:id="4974" w:author="AbbVie2" w:date="2025-05-13T16:39:00Z"/>
          <w:sz w:val="22"/>
          <w:szCs w:val="22"/>
        </w:rPr>
      </w:pPr>
      <w:del w:id="4975" w:author="AbbVie2" w:date="2025-05-13T16:39:00Z">
        <w:r w:rsidRPr="008912CF">
          <w:rPr>
            <w:sz w:val="22"/>
            <w:szCs w:val="22"/>
          </w:rPr>
          <w:delText>Não existe utilização relevante de Humira em crianças com menos de 6 anos, para esta indicação.</w:delText>
        </w:r>
      </w:del>
    </w:p>
    <w:p w14:paraId="0A327F0A" w14:textId="74424B1D" w:rsidR="00CD7207" w:rsidRDefault="00CD7207" w:rsidP="00412FC8">
      <w:pPr>
        <w:rPr>
          <w:del w:id="4976" w:author="AbbVie2" w:date="2025-05-13T16:39:00Z"/>
          <w:bCs/>
          <w:iCs/>
          <w:sz w:val="22"/>
          <w:szCs w:val="22"/>
        </w:rPr>
      </w:pPr>
    </w:p>
    <w:p w14:paraId="4E404EC4" w14:textId="32AFB6DF" w:rsidR="009D3E8E" w:rsidRPr="00CD6D57" w:rsidRDefault="00615769" w:rsidP="00412FC8">
      <w:pPr>
        <w:rPr>
          <w:del w:id="4977" w:author="AbbVie2" w:date="2025-05-13T16:39:00Z"/>
          <w:sz w:val="22"/>
          <w:szCs w:val="22"/>
        </w:rPr>
      </w:pPr>
      <w:del w:id="4978" w:author="AbbVie2" w:date="2025-05-13T16:39:00Z">
        <w:r w:rsidRPr="00CD6D57">
          <w:rPr>
            <w:sz w:val="22"/>
            <w:szCs w:val="22"/>
          </w:rPr>
          <w:delText>Humira pode estar disponível em outras dosagens e/ou apresentações dependendo das necessidades de cada doente.</w:delText>
        </w:r>
      </w:del>
    </w:p>
    <w:p w14:paraId="141A8E85" w14:textId="1A0765ED" w:rsidR="009D3E8E" w:rsidRPr="00CD6D57" w:rsidRDefault="009D3E8E" w:rsidP="00412FC8">
      <w:pPr>
        <w:rPr>
          <w:del w:id="4979" w:author="AbbVie2" w:date="2025-05-13T16:39:00Z"/>
          <w:bCs/>
          <w:iCs/>
          <w:sz w:val="22"/>
          <w:szCs w:val="22"/>
        </w:rPr>
      </w:pPr>
    </w:p>
    <w:p w14:paraId="59DA4B92" w14:textId="6589118E" w:rsidR="00F4016C" w:rsidRPr="00785885" w:rsidRDefault="00615769" w:rsidP="00412FC8">
      <w:pPr>
        <w:rPr>
          <w:del w:id="4980" w:author="AbbVie2" w:date="2025-05-13T16:39:00Z"/>
          <w:b/>
          <w:sz w:val="22"/>
          <w:szCs w:val="22"/>
        </w:rPr>
      </w:pPr>
      <w:del w:id="4981" w:author="AbbVie2" w:date="2025-05-13T16:39:00Z">
        <w:r w:rsidRPr="00785885">
          <w:rPr>
            <w:i/>
            <w:sz w:val="22"/>
            <w:szCs w:val="22"/>
          </w:rPr>
          <w:delText xml:space="preserve">Colite ulcerosa pediátrica </w:delText>
        </w:r>
      </w:del>
    </w:p>
    <w:p w14:paraId="26921647" w14:textId="5673522C" w:rsidR="00F4016C" w:rsidRPr="00785885" w:rsidRDefault="00F4016C" w:rsidP="00412FC8">
      <w:pPr>
        <w:rPr>
          <w:del w:id="4982" w:author="AbbVie2" w:date="2025-05-13T16:39:00Z"/>
          <w:sz w:val="22"/>
          <w:szCs w:val="22"/>
        </w:rPr>
      </w:pPr>
    </w:p>
    <w:p w14:paraId="4D6D6D65" w14:textId="007195DF" w:rsidR="00F4016C" w:rsidRPr="00E3620C" w:rsidRDefault="00615769" w:rsidP="00412FC8">
      <w:pPr>
        <w:rPr>
          <w:del w:id="4983" w:author="AbbVie2" w:date="2025-05-13T16:39:00Z"/>
          <w:sz w:val="22"/>
          <w:szCs w:val="22"/>
        </w:rPr>
      </w:pPr>
      <w:del w:id="4984" w:author="AbbVie2" w:date="2025-05-13T16:39:00Z">
        <w:r w:rsidRPr="00785885">
          <w:rPr>
            <w:sz w:val="22"/>
            <w:szCs w:val="22"/>
          </w:rPr>
          <w:delText xml:space="preserve">A dose recomendada de Humira em doentes com colite ulcerosa, com idades compreendidas entre os 6 e os 17 anos, é baseada no peso corporal (Tabela 5). </w:delText>
        </w:r>
        <w:r w:rsidRPr="00E3620C">
          <w:rPr>
            <w:sz w:val="22"/>
            <w:szCs w:val="22"/>
          </w:rPr>
          <w:delText xml:space="preserve">Humira é administrado por injeção subcutânea. </w:delText>
        </w:r>
      </w:del>
    </w:p>
    <w:p w14:paraId="7A0AA018" w14:textId="208F4123" w:rsidR="00F4016C" w:rsidRPr="00E3620C" w:rsidRDefault="00F4016C" w:rsidP="00412FC8">
      <w:pPr>
        <w:rPr>
          <w:del w:id="4985" w:author="AbbVie2" w:date="2025-05-13T16:39:00Z"/>
          <w:sz w:val="22"/>
          <w:szCs w:val="22"/>
        </w:rPr>
      </w:pPr>
    </w:p>
    <w:p w14:paraId="04ACA1D9" w14:textId="06816BA7" w:rsidR="00F4016C" w:rsidRPr="00997376" w:rsidRDefault="00615769">
      <w:pPr>
        <w:rPr>
          <w:del w:id="4986" w:author="AbbVie2" w:date="2025-05-13T16:39:00Z"/>
          <w:sz w:val="22"/>
          <w:szCs w:val="22"/>
        </w:rPr>
        <w:pPrChange w:id="4987" w:author="AbbVie2" w:date="2025-05-13T16:40:00Z">
          <w:pPr>
            <w:keepNext/>
            <w:jc w:val="center"/>
          </w:pPr>
        </w:pPrChange>
      </w:pPr>
      <w:del w:id="4988" w:author="AbbVie2" w:date="2025-05-13T16:39:00Z">
        <w:r w:rsidRPr="00E3620C">
          <w:rPr>
            <w:b/>
            <w:sz w:val="22"/>
            <w:szCs w:val="22"/>
          </w:rPr>
          <w:delText xml:space="preserve">Tabela 5. </w:delText>
        </w:r>
        <w:r w:rsidRPr="00997376">
          <w:rPr>
            <w:b/>
            <w:sz w:val="22"/>
            <w:szCs w:val="22"/>
          </w:rPr>
          <w:delText xml:space="preserve">Dose de Humira em </w:delText>
        </w:r>
        <w:r w:rsidR="00A56D1E">
          <w:rPr>
            <w:b/>
            <w:sz w:val="22"/>
            <w:szCs w:val="22"/>
          </w:rPr>
          <w:delText>D</w:delText>
        </w:r>
        <w:r w:rsidRPr="00997376">
          <w:rPr>
            <w:b/>
            <w:sz w:val="22"/>
            <w:szCs w:val="22"/>
          </w:rPr>
          <w:delText xml:space="preserve">oentes </w:delText>
        </w:r>
        <w:r w:rsidR="00A56D1E">
          <w:rPr>
            <w:b/>
            <w:sz w:val="22"/>
            <w:szCs w:val="22"/>
          </w:rPr>
          <w:delText>P</w:delText>
        </w:r>
        <w:r w:rsidRPr="00997376">
          <w:rPr>
            <w:b/>
            <w:sz w:val="22"/>
            <w:szCs w:val="22"/>
          </w:rPr>
          <w:delText xml:space="preserve">ediátricos com </w:delText>
        </w:r>
        <w:r w:rsidR="00A56D1E">
          <w:rPr>
            <w:b/>
            <w:sz w:val="22"/>
            <w:szCs w:val="22"/>
          </w:rPr>
          <w:delText>C</w:delText>
        </w:r>
        <w:r w:rsidRPr="00997376">
          <w:rPr>
            <w:b/>
            <w:sz w:val="22"/>
            <w:szCs w:val="22"/>
          </w:rPr>
          <w:delText xml:space="preserve">olite </w:delText>
        </w:r>
        <w:r w:rsidR="00A56D1E">
          <w:rPr>
            <w:b/>
            <w:sz w:val="22"/>
            <w:szCs w:val="22"/>
          </w:rPr>
          <w:delText>U</w:delText>
        </w:r>
        <w:r w:rsidRPr="00997376">
          <w:rPr>
            <w:b/>
            <w:sz w:val="22"/>
            <w:szCs w:val="22"/>
          </w:rPr>
          <w:delText xml:space="preserve">lcerosa </w:delText>
        </w:r>
      </w:del>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4"/>
        <w:gridCol w:w="3322"/>
        <w:gridCol w:w="3158"/>
      </w:tblGrid>
      <w:tr w:rsidR="00A7162A" w14:paraId="2D0D2DBD" w14:textId="7AAFB9FB" w:rsidTr="00F4016C">
        <w:trPr>
          <w:jc w:val="center"/>
          <w:del w:id="4989" w:author="AbbVie2" w:date="2025-05-13T16:39:00Z"/>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DC9AF50" w14:textId="652DA45B" w:rsidR="00F4016C" w:rsidRPr="00AD4F25" w:rsidRDefault="00615769">
            <w:pPr>
              <w:rPr>
                <w:del w:id="4990" w:author="AbbVie2" w:date="2025-05-13T16:39:00Z"/>
                <w:b/>
                <w:sz w:val="22"/>
                <w:szCs w:val="22"/>
                <w:rPrChange w:id="4991" w:author="AbbVie2" w:date="2025-05-14T10:17:00Z">
                  <w:rPr>
                    <w:del w:id="4992" w:author="AbbVie2" w:date="2025-05-13T16:39:00Z"/>
                    <w:b/>
                    <w:sz w:val="22"/>
                    <w:szCs w:val="22"/>
                    <w:lang w:val="en-US"/>
                  </w:rPr>
                </w:rPrChange>
              </w:rPr>
              <w:pPrChange w:id="4993" w:author="AbbVie2" w:date="2025-05-13T16:40:00Z">
                <w:pPr>
                  <w:keepNext/>
                  <w:jc w:val="center"/>
                </w:pPr>
              </w:pPrChange>
            </w:pPr>
            <w:del w:id="4994" w:author="AbbVie2" w:date="2025-05-13T16:39:00Z">
              <w:r w:rsidRPr="00AD4F25">
                <w:rPr>
                  <w:b/>
                  <w:sz w:val="22"/>
                  <w:szCs w:val="22"/>
                  <w:rPrChange w:id="4995" w:author="AbbVie2" w:date="2025-05-14T10:17:00Z">
                    <w:rPr>
                      <w:b/>
                      <w:sz w:val="22"/>
                      <w:szCs w:val="22"/>
                      <w:lang w:val="en-US"/>
                    </w:rPr>
                  </w:rPrChange>
                </w:rPr>
                <w:delText xml:space="preserve">Peso do </w:delText>
              </w:r>
              <w:r w:rsidR="00A56D1E" w:rsidRPr="00AD4F25">
                <w:rPr>
                  <w:b/>
                  <w:sz w:val="22"/>
                  <w:szCs w:val="22"/>
                  <w:rPrChange w:id="4996" w:author="AbbVie2" w:date="2025-05-14T10:17:00Z">
                    <w:rPr>
                      <w:b/>
                      <w:sz w:val="22"/>
                      <w:szCs w:val="22"/>
                      <w:lang w:val="en-US"/>
                    </w:rPr>
                  </w:rPrChange>
                </w:rPr>
                <w:delText>D</w:delText>
              </w:r>
              <w:r w:rsidRPr="00AD4F25">
                <w:rPr>
                  <w:b/>
                  <w:sz w:val="22"/>
                  <w:szCs w:val="22"/>
                  <w:rPrChange w:id="4997" w:author="AbbVie2" w:date="2025-05-14T10:17:00Z">
                    <w:rPr>
                      <w:b/>
                      <w:sz w:val="22"/>
                      <w:szCs w:val="22"/>
                      <w:lang w:val="en-US"/>
                    </w:rPr>
                  </w:rPrChange>
                </w:rPr>
                <w:delText>oente</w:delText>
              </w:r>
            </w:del>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6D5773B7" w14:textId="586CE154" w:rsidR="00F4016C" w:rsidRPr="00AD4F25" w:rsidRDefault="00615769">
            <w:pPr>
              <w:rPr>
                <w:del w:id="4998" w:author="AbbVie2" w:date="2025-05-13T16:39:00Z"/>
                <w:b/>
                <w:sz w:val="22"/>
                <w:szCs w:val="22"/>
                <w:rPrChange w:id="4999" w:author="AbbVie2" w:date="2025-05-14T10:17:00Z">
                  <w:rPr>
                    <w:del w:id="5000" w:author="AbbVie2" w:date="2025-05-13T16:39:00Z"/>
                    <w:b/>
                    <w:sz w:val="22"/>
                    <w:szCs w:val="22"/>
                    <w:lang w:val="en-US"/>
                  </w:rPr>
                </w:rPrChange>
              </w:rPr>
              <w:pPrChange w:id="5001" w:author="AbbVie2" w:date="2025-05-13T16:40:00Z">
                <w:pPr>
                  <w:keepNext/>
                  <w:jc w:val="center"/>
                </w:pPr>
              </w:pPrChange>
            </w:pPr>
            <w:del w:id="5002" w:author="AbbVie2" w:date="2025-05-13T16:39:00Z">
              <w:r w:rsidRPr="00AD4F25">
                <w:rPr>
                  <w:b/>
                  <w:sz w:val="22"/>
                  <w:szCs w:val="22"/>
                  <w:rPrChange w:id="5003" w:author="AbbVie2" w:date="2025-05-14T10:17:00Z">
                    <w:rPr>
                      <w:b/>
                      <w:sz w:val="22"/>
                      <w:szCs w:val="22"/>
                      <w:lang w:val="en-US"/>
                    </w:rPr>
                  </w:rPrChange>
                </w:rPr>
                <w:delText xml:space="preserve">Dose de </w:delText>
              </w:r>
              <w:r w:rsidR="00A56D1E" w:rsidRPr="00AD4F25">
                <w:rPr>
                  <w:b/>
                  <w:sz w:val="22"/>
                  <w:szCs w:val="22"/>
                  <w:rPrChange w:id="5004" w:author="AbbVie2" w:date="2025-05-14T10:17:00Z">
                    <w:rPr>
                      <w:b/>
                      <w:sz w:val="22"/>
                      <w:szCs w:val="22"/>
                      <w:lang w:val="en-US"/>
                    </w:rPr>
                  </w:rPrChange>
                </w:rPr>
                <w:delText>I</w:delText>
              </w:r>
              <w:r w:rsidRPr="00AD4F25">
                <w:rPr>
                  <w:b/>
                  <w:sz w:val="22"/>
                  <w:szCs w:val="22"/>
                  <w:rPrChange w:id="5005" w:author="AbbVie2" w:date="2025-05-14T10:17:00Z">
                    <w:rPr>
                      <w:b/>
                      <w:sz w:val="22"/>
                      <w:szCs w:val="22"/>
                      <w:lang w:val="en-US"/>
                    </w:rPr>
                  </w:rPrChange>
                </w:rPr>
                <w:delText>ndução</w:delText>
              </w:r>
            </w:del>
          </w:p>
        </w:tc>
        <w:tc>
          <w:tcPr>
            <w:tcW w:w="1906" w:type="pct"/>
            <w:tcBorders>
              <w:top w:val="single" w:sz="6" w:space="0" w:color="000000"/>
              <w:left w:val="single" w:sz="6" w:space="0" w:color="000000"/>
              <w:bottom w:val="single" w:sz="6" w:space="0" w:color="000000"/>
              <w:right w:val="single" w:sz="6" w:space="0" w:color="000000"/>
            </w:tcBorders>
            <w:hideMark/>
          </w:tcPr>
          <w:p w14:paraId="4EFF23CC" w14:textId="5E3036B6" w:rsidR="00F4016C" w:rsidRPr="00997376" w:rsidRDefault="00615769">
            <w:pPr>
              <w:rPr>
                <w:del w:id="5006" w:author="AbbVie2" w:date="2025-05-13T16:39:00Z"/>
                <w:b/>
                <w:sz w:val="22"/>
                <w:szCs w:val="22"/>
              </w:rPr>
              <w:pPrChange w:id="5007" w:author="AbbVie2" w:date="2025-05-13T16:40:00Z">
                <w:pPr>
                  <w:keepNext/>
                  <w:jc w:val="center"/>
                </w:pPr>
              </w:pPrChange>
            </w:pPr>
            <w:del w:id="5008" w:author="AbbVie2" w:date="2025-05-13T16:39:00Z">
              <w:r w:rsidRPr="00997376">
                <w:rPr>
                  <w:b/>
                  <w:sz w:val="22"/>
                  <w:szCs w:val="22"/>
                </w:rPr>
                <w:delText xml:space="preserve">Dose de </w:delText>
              </w:r>
              <w:r w:rsidR="00A56D1E">
                <w:rPr>
                  <w:b/>
                  <w:sz w:val="22"/>
                  <w:szCs w:val="22"/>
                </w:rPr>
                <w:delText>M</w:delText>
              </w:r>
              <w:r w:rsidRPr="00997376">
                <w:rPr>
                  <w:b/>
                  <w:sz w:val="22"/>
                  <w:szCs w:val="22"/>
                </w:rPr>
                <w:delText>anutenção</w:delText>
              </w:r>
              <w:r w:rsidRPr="00785885">
                <w:rPr>
                  <w:b/>
                </w:rPr>
                <w:br/>
              </w:r>
              <w:r w:rsidRPr="00997376">
                <w:rPr>
                  <w:b/>
                  <w:sz w:val="22"/>
                  <w:szCs w:val="22"/>
                </w:rPr>
                <w:delText xml:space="preserve">com </w:delText>
              </w:r>
              <w:r w:rsidR="00016166">
                <w:rPr>
                  <w:b/>
                  <w:sz w:val="22"/>
                  <w:szCs w:val="22"/>
                </w:rPr>
                <w:delText>I</w:delText>
              </w:r>
              <w:r w:rsidRPr="00997376">
                <w:rPr>
                  <w:b/>
                  <w:sz w:val="22"/>
                  <w:szCs w:val="22"/>
                </w:rPr>
                <w:delText>nício na Semana 4*</w:delText>
              </w:r>
            </w:del>
          </w:p>
        </w:tc>
      </w:tr>
      <w:tr w:rsidR="00A7162A" w14:paraId="5425D063" w14:textId="673B3BCC" w:rsidTr="00F4016C">
        <w:trPr>
          <w:jc w:val="center"/>
          <w:del w:id="5009" w:author="AbbVie2" w:date="2025-05-13T16:39:00Z"/>
        </w:trPr>
        <w:tc>
          <w:tcPr>
            <w:tcW w:w="0" w:type="auto"/>
            <w:tcBorders>
              <w:top w:val="single" w:sz="6" w:space="0" w:color="000000"/>
              <w:left w:val="single" w:sz="6" w:space="0" w:color="000000"/>
              <w:bottom w:val="single" w:sz="6" w:space="0" w:color="000000"/>
              <w:right w:val="single" w:sz="6" w:space="0" w:color="000000"/>
            </w:tcBorders>
            <w:hideMark/>
          </w:tcPr>
          <w:p w14:paraId="6DA08353" w14:textId="1745A71C" w:rsidR="00F4016C" w:rsidRPr="00AD4F25" w:rsidRDefault="00615769">
            <w:pPr>
              <w:rPr>
                <w:del w:id="5010" w:author="AbbVie2" w:date="2025-05-13T16:39:00Z"/>
                <w:sz w:val="22"/>
                <w:szCs w:val="22"/>
                <w:rPrChange w:id="5011" w:author="AbbVie2" w:date="2025-05-14T10:17:00Z">
                  <w:rPr>
                    <w:del w:id="5012" w:author="AbbVie2" w:date="2025-05-13T16:39:00Z"/>
                    <w:sz w:val="22"/>
                    <w:szCs w:val="22"/>
                    <w:lang w:val="en-US"/>
                  </w:rPr>
                </w:rPrChange>
              </w:rPr>
              <w:pPrChange w:id="5013" w:author="AbbVie2" w:date="2025-05-13T16:40:00Z">
                <w:pPr>
                  <w:keepNext/>
                  <w:jc w:val="center"/>
                </w:pPr>
              </w:pPrChange>
            </w:pPr>
            <w:del w:id="5014" w:author="AbbVie2" w:date="2025-05-13T16:39:00Z">
              <w:r w:rsidRPr="00AD4F25">
                <w:rPr>
                  <w:sz w:val="22"/>
                  <w:szCs w:val="22"/>
                  <w:rPrChange w:id="5015" w:author="AbbVie2" w:date="2025-05-14T10:17:00Z">
                    <w:rPr>
                      <w:sz w:val="22"/>
                      <w:szCs w:val="22"/>
                      <w:lang w:val="en-US"/>
                    </w:rPr>
                  </w:rPrChange>
                </w:rPr>
                <w:delText>&lt; 40 kg</w:delText>
              </w:r>
            </w:del>
          </w:p>
        </w:tc>
        <w:tc>
          <w:tcPr>
            <w:tcW w:w="2005" w:type="pct"/>
            <w:tcBorders>
              <w:top w:val="single" w:sz="6" w:space="0" w:color="000000"/>
              <w:left w:val="single" w:sz="6" w:space="0" w:color="000000"/>
              <w:bottom w:val="single" w:sz="6" w:space="0" w:color="000000"/>
              <w:right w:val="single" w:sz="6" w:space="0" w:color="000000"/>
            </w:tcBorders>
            <w:hideMark/>
          </w:tcPr>
          <w:p w14:paraId="41DAF4EC" w14:textId="593532FB" w:rsidR="00F4016C" w:rsidRPr="00997376" w:rsidRDefault="00615769">
            <w:pPr>
              <w:rPr>
                <w:del w:id="5016" w:author="AbbVie2" w:date="2025-05-13T16:39:00Z"/>
                <w:sz w:val="22"/>
                <w:szCs w:val="22"/>
              </w:rPr>
              <w:pPrChange w:id="5017" w:author="AbbVie2" w:date="2025-05-13T16:40:00Z">
                <w:pPr>
                  <w:keepNext/>
                  <w:numPr>
                    <w:numId w:val="179"/>
                  </w:numPr>
                  <w:ind w:left="360" w:hanging="210"/>
                </w:pPr>
              </w:pPrChange>
            </w:pPr>
            <w:del w:id="5018" w:author="AbbVie2" w:date="2025-05-13T16:39:00Z">
              <w:r w:rsidRPr="00997376">
                <w:rPr>
                  <w:sz w:val="22"/>
                  <w:szCs w:val="22"/>
                </w:rPr>
                <w:delText xml:space="preserve">80 mg na Semana 0 (administrada em duas injeções de 40 mg num dia) </w:delText>
              </w:r>
              <w:r>
                <w:rPr>
                  <w:sz w:val="22"/>
                  <w:szCs w:val="22"/>
                </w:rPr>
                <w:delText>e</w:delText>
              </w:r>
            </w:del>
          </w:p>
          <w:p w14:paraId="07F2DFA0" w14:textId="1BA0D37D" w:rsidR="00F4016C" w:rsidRPr="00997376" w:rsidRDefault="00615769">
            <w:pPr>
              <w:rPr>
                <w:del w:id="5019" w:author="AbbVie2" w:date="2025-05-13T16:39:00Z"/>
                <w:sz w:val="22"/>
                <w:szCs w:val="22"/>
              </w:rPr>
              <w:pPrChange w:id="5020" w:author="AbbVie2" w:date="2025-05-13T16:40:00Z">
                <w:pPr>
                  <w:keepNext/>
                  <w:numPr>
                    <w:numId w:val="179"/>
                  </w:numPr>
                  <w:ind w:left="360" w:hanging="210"/>
                </w:pPr>
              </w:pPrChange>
            </w:pPr>
            <w:del w:id="5021" w:author="AbbVie2" w:date="2025-05-13T16:39:00Z">
              <w:r w:rsidRPr="00997376">
                <w:rPr>
                  <w:sz w:val="22"/>
                  <w:szCs w:val="22"/>
                </w:rPr>
                <w:delText>40 mg na Semana 2 (administrada numa injeção de 40 mg)</w:delText>
              </w:r>
            </w:del>
          </w:p>
        </w:tc>
        <w:tc>
          <w:tcPr>
            <w:tcW w:w="1906" w:type="pct"/>
            <w:tcBorders>
              <w:top w:val="single" w:sz="6" w:space="0" w:color="000000"/>
              <w:left w:val="single" w:sz="6" w:space="0" w:color="000000"/>
              <w:bottom w:val="single" w:sz="6" w:space="0" w:color="000000"/>
              <w:right w:val="single" w:sz="6" w:space="0" w:color="000000"/>
            </w:tcBorders>
            <w:hideMark/>
          </w:tcPr>
          <w:p w14:paraId="0B79A118" w14:textId="7B8CE507" w:rsidR="00F4016C" w:rsidRPr="00997376" w:rsidRDefault="00615769">
            <w:pPr>
              <w:rPr>
                <w:del w:id="5022" w:author="AbbVie2" w:date="2025-05-13T16:39:00Z"/>
                <w:sz w:val="22"/>
                <w:szCs w:val="22"/>
              </w:rPr>
              <w:pPrChange w:id="5023" w:author="AbbVie2" w:date="2025-05-13T16:40:00Z">
                <w:pPr>
                  <w:keepNext/>
                  <w:numPr>
                    <w:numId w:val="179"/>
                  </w:numPr>
                  <w:ind w:left="360" w:hanging="210"/>
                </w:pPr>
              </w:pPrChange>
            </w:pPr>
            <w:del w:id="5024" w:author="AbbVie2" w:date="2025-05-13T16:39:00Z">
              <w:r w:rsidRPr="00AD4F25">
                <w:rPr>
                  <w:sz w:val="22"/>
                  <w:szCs w:val="22"/>
                  <w:rPrChange w:id="5025" w:author="AbbVie2" w:date="2025-05-14T10:17:00Z">
                    <w:rPr>
                      <w:sz w:val="22"/>
                      <w:szCs w:val="22"/>
                      <w:lang w:val="en-US"/>
                    </w:rPr>
                  </w:rPrChange>
                </w:rPr>
                <w:delText>40 mg em semanas alternadas</w:delText>
              </w:r>
            </w:del>
          </w:p>
        </w:tc>
      </w:tr>
      <w:tr w:rsidR="00A7162A" w14:paraId="1C6D0751" w14:textId="4FD74DCE" w:rsidTr="00F4016C">
        <w:trPr>
          <w:jc w:val="center"/>
          <w:del w:id="5026" w:author="AbbVie2" w:date="2025-05-13T16:39:00Z"/>
        </w:trPr>
        <w:tc>
          <w:tcPr>
            <w:tcW w:w="0" w:type="auto"/>
            <w:tcBorders>
              <w:top w:val="single" w:sz="6" w:space="0" w:color="000000"/>
              <w:left w:val="single" w:sz="6" w:space="0" w:color="000000"/>
              <w:bottom w:val="single" w:sz="4" w:space="0" w:color="auto"/>
              <w:right w:val="single" w:sz="6" w:space="0" w:color="000000"/>
            </w:tcBorders>
            <w:hideMark/>
          </w:tcPr>
          <w:p w14:paraId="49B8486C" w14:textId="394B298E" w:rsidR="00F4016C" w:rsidRPr="00997376" w:rsidRDefault="00615769">
            <w:pPr>
              <w:rPr>
                <w:del w:id="5027" w:author="AbbVie2" w:date="2025-05-13T16:39:00Z"/>
                <w:sz w:val="22"/>
                <w:szCs w:val="22"/>
              </w:rPr>
              <w:pPrChange w:id="5028" w:author="AbbVie2" w:date="2025-05-13T16:40:00Z">
                <w:pPr>
                  <w:keepNext/>
                  <w:jc w:val="center"/>
                </w:pPr>
              </w:pPrChange>
            </w:pPr>
            <w:del w:id="5029" w:author="AbbVie2" w:date="2025-05-13T16:39:00Z">
              <w:r w:rsidRPr="00997376">
                <w:rPr>
                  <w:sz w:val="22"/>
                  <w:szCs w:val="22"/>
                </w:rPr>
                <w:delText>≥ 40 kg</w:delText>
              </w:r>
            </w:del>
          </w:p>
        </w:tc>
        <w:tc>
          <w:tcPr>
            <w:tcW w:w="2005" w:type="pct"/>
            <w:tcBorders>
              <w:top w:val="single" w:sz="6" w:space="0" w:color="000000"/>
              <w:left w:val="single" w:sz="6" w:space="0" w:color="000000"/>
              <w:bottom w:val="single" w:sz="4" w:space="0" w:color="auto"/>
              <w:right w:val="single" w:sz="6" w:space="0" w:color="000000"/>
            </w:tcBorders>
            <w:hideMark/>
          </w:tcPr>
          <w:p w14:paraId="3DBF24A3" w14:textId="13E0013E" w:rsidR="00F4016C" w:rsidRPr="00997376" w:rsidRDefault="00615769">
            <w:pPr>
              <w:rPr>
                <w:del w:id="5030" w:author="AbbVie2" w:date="2025-05-13T16:39:00Z"/>
                <w:sz w:val="22"/>
                <w:szCs w:val="22"/>
              </w:rPr>
              <w:pPrChange w:id="5031" w:author="AbbVie2" w:date="2025-05-13T16:40:00Z">
                <w:pPr>
                  <w:keepNext/>
                  <w:numPr>
                    <w:numId w:val="180"/>
                  </w:numPr>
                  <w:ind w:left="360" w:hanging="210"/>
                </w:pPr>
              </w:pPrChange>
            </w:pPr>
            <w:del w:id="5032" w:author="AbbVie2" w:date="2025-05-13T16:39:00Z">
              <w:r w:rsidRPr="00997376">
                <w:rPr>
                  <w:sz w:val="22"/>
                  <w:szCs w:val="22"/>
                </w:rPr>
                <w:delText xml:space="preserve">160 mg na Semana 0 (administrada em quatro injeções de </w:delText>
              </w:r>
              <w:r w:rsidRPr="00997376">
                <w:rPr>
                  <w:sz w:val="22"/>
                  <w:szCs w:val="22"/>
                </w:rPr>
                <w:delText>40 mg num dia ou duas injeções de 40 mg por dia, em dois dias consecutivos) e</w:delText>
              </w:r>
            </w:del>
          </w:p>
          <w:p w14:paraId="68ED4D0A" w14:textId="734CFEC9" w:rsidR="00F4016C" w:rsidRPr="00997376" w:rsidRDefault="00615769">
            <w:pPr>
              <w:rPr>
                <w:del w:id="5033" w:author="AbbVie2" w:date="2025-05-13T16:39:00Z"/>
                <w:sz w:val="22"/>
                <w:szCs w:val="22"/>
              </w:rPr>
              <w:pPrChange w:id="5034" w:author="AbbVie2" w:date="2025-05-13T16:40:00Z">
                <w:pPr>
                  <w:keepNext/>
                  <w:numPr>
                    <w:numId w:val="180"/>
                  </w:numPr>
                  <w:ind w:left="360" w:hanging="210"/>
                </w:pPr>
              </w:pPrChange>
            </w:pPr>
            <w:del w:id="5035" w:author="AbbVie2" w:date="2025-05-13T16:39:00Z">
              <w:r w:rsidRPr="00997376">
                <w:rPr>
                  <w:sz w:val="22"/>
                  <w:szCs w:val="22"/>
                </w:rPr>
                <w:delText>80 mg na Semana 2 (administrada em duas injeções de 40 mg num dia)</w:delText>
              </w:r>
            </w:del>
          </w:p>
        </w:tc>
        <w:tc>
          <w:tcPr>
            <w:tcW w:w="1906" w:type="pct"/>
            <w:tcBorders>
              <w:top w:val="single" w:sz="6" w:space="0" w:color="000000"/>
              <w:left w:val="single" w:sz="6" w:space="0" w:color="000000"/>
              <w:bottom w:val="single" w:sz="4" w:space="0" w:color="auto"/>
              <w:right w:val="single" w:sz="6" w:space="0" w:color="000000"/>
            </w:tcBorders>
            <w:hideMark/>
          </w:tcPr>
          <w:p w14:paraId="72B171F0" w14:textId="38E1F741" w:rsidR="00F4016C" w:rsidRPr="00997376" w:rsidRDefault="00615769">
            <w:pPr>
              <w:rPr>
                <w:del w:id="5036" w:author="AbbVie2" w:date="2025-05-13T16:39:00Z"/>
                <w:sz w:val="22"/>
                <w:szCs w:val="22"/>
              </w:rPr>
              <w:pPrChange w:id="5037" w:author="AbbVie2" w:date="2025-05-13T16:40:00Z">
                <w:pPr>
                  <w:keepNext/>
                  <w:numPr>
                    <w:numId w:val="179"/>
                  </w:numPr>
                  <w:ind w:left="360" w:hanging="210"/>
                </w:pPr>
              </w:pPrChange>
            </w:pPr>
            <w:del w:id="5038" w:author="AbbVie2" w:date="2025-05-13T16:39:00Z">
              <w:r>
                <w:rPr>
                  <w:sz w:val="22"/>
                  <w:szCs w:val="22"/>
                </w:rPr>
                <w:delText>80 </w:delText>
              </w:r>
              <w:r w:rsidRPr="00AD4F25">
                <w:rPr>
                  <w:sz w:val="22"/>
                  <w:szCs w:val="22"/>
                  <w:rPrChange w:id="5039" w:author="AbbVie2" w:date="2025-05-14T10:17:00Z">
                    <w:rPr>
                      <w:sz w:val="22"/>
                      <w:szCs w:val="22"/>
                      <w:lang w:val="en-US"/>
                    </w:rPr>
                  </w:rPrChange>
                </w:rPr>
                <w:delText>mg em semanas alternadas</w:delText>
              </w:r>
            </w:del>
          </w:p>
        </w:tc>
      </w:tr>
      <w:tr w:rsidR="00A7162A" w14:paraId="2B06B4DE" w14:textId="3ED72286" w:rsidTr="00F4016C">
        <w:trPr>
          <w:jc w:val="center"/>
          <w:del w:id="5040" w:author="AbbVie2" w:date="2025-05-13T16:39:00Z"/>
        </w:trPr>
        <w:tc>
          <w:tcPr>
            <w:tcW w:w="5000" w:type="pct"/>
            <w:gridSpan w:val="3"/>
            <w:tcBorders>
              <w:top w:val="single" w:sz="4" w:space="0" w:color="auto"/>
              <w:left w:val="nil"/>
              <w:bottom w:val="nil"/>
              <w:right w:val="nil"/>
            </w:tcBorders>
          </w:tcPr>
          <w:p w14:paraId="1DBE5D1C" w14:textId="36ED0B4C" w:rsidR="00F4016C" w:rsidRPr="00997376" w:rsidRDefault="00615769">
            <w:pPr>
              <w:rPr>
                <w:del w:id="5041" w:author="AbbVie2" w:date="2025-05-13T16:39:00Z"/>
                <w:sz w:val="22"/>
                <w:szCs w:val="22"/>
              </w:rPr>
              <w:pPrChange w:id="5042" w:author="AbbVie2" w:date="2025-05-13T16:40:00Z">
                <w:pPr>
                  <w:keepNext/>
                </w:pPr>
              </w:pPrChange>
            </w:pPr>
            <w:del w:id="5043" w:author="AbbVie2" w:date="2025-05-13T16:39:00Z">
              <w:r w:rsidRPr="00997376">
                <w:rPr>
                  <w:sz w:val="22"/>
                  <w:szCs w:val="22"/>
                  <w:vertAlign w:val="superscript"/>
                </w:rPr>
                <w:delText xml:space="preserve">* </w:delText>
              </w:r>
              <w:r w:rsidRPr="00997376">
                <w:rPr>
                  <w:sz w:val="22"/>
                  <w:szCs w:val="22"/>
                </w:rPr>
                <w:delText>Os doentes pediátricos que completem 18 anos durante o tratamento com Humira devem continuar com a dose de manutenção prescrita.</w:delText>
              </w:r>
            </w:del>
          </w:p>
        </w:tc>
      </w:tr>
    </w:tbl>
    <w:p w14:paraId="3B557D3E" w14:textId="5E544632" w:rsidR="00016166" w:rsidRDefault="00016166" w:rsidP="00412FC8">
      <w:pPr>
        <w:rPr>
          <w:del w:id="5044" w:author="AbbVie2" w:date="2025-05-13T16:39:00Z"/>
          <w:sz w:val="22"/>
          <w:szCs w:val="22"/>
        </w:rPr>
      </w:pPr>
    </w:p>
    <w:p w14:paraId="59B29022" w14:textId="61AB89E7" w:rsidR="00F4016C" w:rsidRPr="00997376" w:rsidRDefault="00615769" w:rsidP="00412FC8">
      <w:pPr>
        <w:rPr>
          <w:del w:id="5045" w:author="AbbVie2" w:date="2025-05-13T16:39:00Z"/>
          <w:sz w:val="22"/>
          <w:szCs w:val="22"/>
        </w:rPr>
      </w:pPr>
      <w:del w:id="5046" w:author="AbbVie2" w:date="2025-05-13T16:39:00Z">
        <w:r w:rsidRPr="00997376">
          <w:rPr>
            <w:sz w:val="22"/>
            <w:szCs w:val="22"/>
          </w:rPr>
          <w:delText xml:space="preserve">Uma terapêutica continuada </w:delText>
        </w:r>
        <w:r w:rsidR="00A56D1E">
          <w:rPr>
            <w:sz w:val="22"/>
            <w:szCs w:val="22"/>
          </w:rPr>
          <w:delText xml:space="preserve">para </w:delText>
        </w:r>
        <w:r w:rsidRPr="00997376">
          <w:rPr>
            <w:sz w:val="22"/>
            <w:szCs w:val="22"/>
          </w:rPr>
          <w:delText>além das 8 semanas deve ser cuidadosamente considerada nos doentes que não apresentem sinais de resposta neste período de tempo.</w:delText>
        </w:r>
      </w:del>
    </w:p>
    <w:p w14:paraId="325055AC" w14:textId="0CD65257" w:rsidR="00F4016C" w:rsidRPr="00997376" w:rsidRDefault="00F4016C" w:rsidP="00412FC8">
      <w:pPr>
        <w:rPr>
          <w:del w:id="5047" w:author="AbbVie2" w:date="2025-05-13T16:39:00Z"/>
          <w:sz w:val="22"/>
          <w:szCs w:val="22"/>
        </w:rPr>
      </w:pPr>
    </w:p>
    <w:p w14:paraId="4EF381D9" w14:textId="42DA9BB5" w:rsidR="00F4016C" w:rsidRPr="00997376" w:rsidRDefault="00615769" w:rsidP="00412FC8">
      <w:pPr>
        <w:rPr>
          <w:del w:id="5048" w:author="AbbVie2" w:date="2025-05-13T16:39:00Z"/>
          <w:sz w:val="22"/>
          <w:szCs w:val="22"/>
        </w:rPr>
      </w:pPr>
      <w:del w:id="5049" w:author="AbbVie2" w:date="2025-05-13T16:39:00Z">
        <w:r w:rsidRPr="00997376">
          <w:rPr>
            <w:sz w:val="22"/>
            <w:szCs w:val="22"/>
          </w:rPr>
          <w:delText>Não existe utilização relevante de Humira em crianças com menos de 6 anos, para esta indicação.</w:delText>
        </w:r>
      </w:del>
    </w:p>
    <w:p w14:paraId="6EC93DEB" w14:textId="579435C9" w:rsidR="00F4016C" w:rsidRPr="00997376" w:rsidRDefault="00F4016C" w:rsidP="00412FC8">
      <w:pPr>
        <w:rPr>
          <w:del w:id="5050" w:author="AbbVie2" w:date="2025-05-13T16:39:00Z"/>
          <w:sz w:val="22"/>
          <w:szCs w:val="22"/>
        </w:rPr>
      </w:pPr>
    </w:p>
    <w:p w14:paraId="39594347" w14:textId="1E3EC3D4" w:rsidR="00F4016C" w:rsidRDefault="00615769" w:rsidP="00412FC8">
      <w:pPr>
        <w:rPr>
          <w:del w:id="5051" w:author="AbbVie2" w:date="2025-05-13T16:39:00Z"/>
          <w:sz w:val="22"/>
          <w:szCs w:val="22"/>
        </w:rPr>
      </w:pPr>
      <w:del w:id="5052" w:author="AbbVie2" w:date="2025-05-13T16:39:00Z">
        <w:r w:rsidRPr="00997376">
          <w:rPr>
            <w:sz w:val="22"/>
            <w:szCs w:val="22"/>
          </w:rPr>
          <w:delText>Humira pode estar disponível em outras dosagens e/ou apresentações dependendo das necessidades de cada doente. </w:delText>
        </w:r>
      </w:del>
    </w:p>
    <w:p w14:paraId="3076CBA4" w14:textId="68EB50EA" w:rsidR="00E3620C" w:rsidRPr="00997376" w:rsidRDefault="00E3620C" w:rsidP="00412FC8">
      <w:pPr>
        <w:rPr>
          <w:del w:id="5053" w:author="AbbVie2" w:date="2025-05-13T16:39:00Z"/>
          <w:sz w:val="22"/>
          <w:szCs w:val="22"/>
        </w:rPr>
      </w:pPr>
    </w:p>
    <w:p w14:paraId="586F2C0B" w14:textId="721BE293" w:rsidR="00CD7207" w:rsidRPr="00CD6D57" w:rsidRDefault="00615769">
      <w:pPr>
        <w:rPr>
          <w:del w:id="5054" w:author="AbbVie2" w:date="2025-05-13T16:39:00Z"/>
          <w:bCs/>
          <w:i/>
          <w:iCs/>
          <w:sz w:val="22"/>
          <w:szCs w:val="22"/>
        </w:rPr>
        <w:pPrChange w:id="5055" w:author="AbbVie2" w:date="2025-05-13T16:40:00Z">
          <w:pPr>
            <w:keepNext/>
          </w:pPr>
        </w:pPrChange>
      </w:pPr>
      <w:del w:id="5056" w:author="AbbVie2" w:date="2025-05-13T16:39:00Z">
        <w:r w:rsidRPr="00CD6D57">
          <w:rPr>
            <w:bCs/>
            <w:i/>
            <w:iCs/>
            <w:sz w:val="22"/>
            <w:szCs w:val="22"/>
          </w:rPr>
          <w:delText xml:space="preserve">Uveíte </w:delText>
        </w:r>
        <w:r w:rsidR="008A40F5">
          <w:rPr>
            <w:bCs/>
            <w:i/>
            <w:iCs/>
            <w:sz w:val="22"/>
            <w:szCs w:val="22"/>
          </w:rPr>
          <w:delText>p</w:delText>
        </w:r>
        <w:r w:rsidRPr="00CD6D57">
          <w:rPr>
            <w:bCs/>
            <w:i/>
            <w:iCs/>
            <w:sz w:val="22"/>
            <w:szCs w:val="22"/>
          </w:rPr>
          <w:delText>ediátrica</w:delText>
        </w:r>
      </w:del>
    </w:p>
    <w:p w14:paraId="3BF97731" w14:textId="32D00BE0" w:rsidR="00CD7207" w:rsidRPr="00CD6D57" w:rsidRDefault="00CD7207">
      <w:pPr>
        <w:rPr>
          <w:del w:id="5057" w:author="AbbVie2" w:date="2025-05-13T16:39:00Z"/>
          <w:bCs/>
          <w:iCs/>
          <w:sz w:val="22"/>
          <w:szCs w:val="22"/>
        </w:rPr>
        <w:pPrChange w:id="5058" w:author="AbbVie2" w:date="2025-05-13T16:40:00Z">
          <w:pPr>
            <w:keepNext/>
          </w:pPr>
        </w:pPrChange>
      </w:pPr>
    </w:p>
    <w:p w14:paraId="6C5E5A6E" w14:textId="25010A76" w:rsidR="004F5A36" w:rsidRPr="008912CF" w:rsidRDefault="00615769">
      <w:pPr>
        <w:rPr>
          <w:del w:id="5059" w:author="AbbVie2" w:date="2025-05-13T16:39:00Z"/>
          <w:b/>
          <w:szCs w:val="22"/>
        </w:rPr>
        <w:pPrChange w:id="5060" w:author="AbbVie2" w:date="2025-05-13T16:40:00Z">
          <w:pPr>
            <w:pStyle w:val="BodyText2"/>
            <w:autoSpaceDE/>
            <w:autoSpaceDN/>
            <w:adjustRightInd/>
          </w:pPr>
        </w:pPrChange>
      </w:pPr>
      <w:del w:id="5061" w:author="AbbVie2" w:date="2025-05-13T16:39:00Z">
        <w:r w:rsidRPr="00CD6D57">
          <w:rPr>
            <w:szCs w:val="22"/>
          </w:rPr>
          <w:delText xml:space="preserve">A dose recomendada de Humira </w:delText>
        </w:r>
        <w:r w:rsidR="00E876B5" w:rsidRPr="00CD6D57">
          <w:rPr>
            <w:szCs w:val="22"/>
          </w:rPr>
          <w:delText xml:space="preserve">em </w:delText>
        </w:r>
        <w:r w:rsidRPr="00CD6D57">
          <w:rPr>
            <w:szCs w:val="22"/>
          </w:rPr>
          <w:delText>doentes com uveíte pediátrica, a partir dos 2 anos de idade, é baseada no peso corporal</w:delText>
        </w:r>
        <w:r>
          <w:rPr>
            <w:szCs w:val="22"/>
          </w:rPr>
          <w:delText xml:space="preserve"> (Tabela </w:delText>
        </w:r>
        <w:r w:rsidR="00E3620C">
          <w:rPr>
            <w:szCs w:val="22"/>
          </w:rPr>
          <w:delText>6</w:delText>
        </w:r>
        <w:r>
          <w:rPr>
            <w:szCs w:val="22"/>
          </w:rPr>
          <w:delText xml:space="preserve">). </w:delText>
        </w:r>
        <w:r w:rsidR="006B04AC">
          <w:rPr>
            <w:szCs w:val="22"/>
          </w:rPr>
          <w:delText>Humira é administrado por injeção subcutânea.</w:delText>
        </w:r>
      </w:del>
    </w:p>
    <w:p w14:paraId="7AC020AC" w14:textId="33FB094A" w:rsidR="004F5A36" w:rsidRDefault="004F5A36" w:rsidP="00412FC8">
      <w:pPr>
        <w:rPr>
          <w:del w:id="5062" w:author="AbbVie2" w:date="2025-05-13T16:39:00Z"/>
          <w:bCs/>
          <w:iCs/>
          <w:sz w:val="22"/>
          <w:szCs w:val="22"/>
        </w:rPr>
      </w:pPr>
    </w:p>
    <w:p w14:paraId="37B26A49" w14:textId="03ADBEB5" w:rsidR="00CD7207" w:rsidRDefault="00615769" w:rsidP="00412FC8">
      <w:pPr>
        <w:rPr>
          <w:del w:id="5063" w:author="AbbVie2" w:date="2025-05-13T16:39:00Z"/>
          <w:bCs/>
          <w:iCs/>
          <w:sz w:val="22"/>
          <w:szCs w:val="22"/>
        </w:rPr>
      </w:pPr>
      <w:del w:id="5064" w:author="AbbVie2" w:date="2025-05-13T16:39:00Z">
        <w:r>
          <w:rPr>
            <w:bCs/>
            <w:iCs/>
            <w:sz w:val="22"/>
            <w:szCs w:val="22"/>
          </w:rPr>
          <w:delText>Na uveíte pediátrica, não existe experiência de utilização de Humira sem tratamento concomitante com metotrexato.</w:delText>
        </w:r>
      </w:del>
    </w:p>
    <w:p w14:paraId="52A4397A" w14:textId="3B79C8E5" w:rsidR="00CD7207" w:rsidRDefault="00CD7207" w:rsidP="00412FC8">
      <w:pPr>
        <w:rPr>
          <w:del w:id="5065" w:author="AbbVie2" w:date="2025-05-13T16:39:00Z"/>
          <w:bCs/>
          <w:iCs/>
          <w:sz w:val="22"/>
          <w:szCs w:val="22"/>
        </w:rPr>
      </w:pPr>
    </w:p>
    <w:p w14:paraId="013DD7B0" w14:textId="6D354EEB" w:rsidR="004F5A36" w:rsidRPr="008912CF" w:rsidRDefault="00615769">
      <w:pPr>
        <w:rPr>
          <w:del w:id="5066" w:author="AbbVie2" w:date="2025-05-13T16:39:00Z"/>
          <w:b/>
          <w:szCs w:val="22"/>
        </w:rPr>
        <w:pPrChange w:id="5067" w:author="AbbVie2" w:date="2025-05-13T16:40:00Z">
          <w:pPr>
            <w:pStyle w:val="BodyText2"/>
            <w:autoSpaceDE/>
            <w:autoSpaceDN/>
            <w:adjustRightInd/>
            <w:jc w:val="center"/>
          </w:pPr>
        </w:pPrChange>
      </w:pPr>
      <w:del w:id="5068" w:author="AbbVie2" w:date="2025-05-13T16:39:00Z">
        <w:r w:rsidRPr="008912CF">
          <w:rPr>
            <w:b/>
            <w:szCs w:val="22"/>
          </w:rPr>
          <w:delText xml:space="preserve">Tabela </w:delText>
        </w:r>
        <w:r w:rsidR="00E3620C">
          <w:rPr>
            <w:b/>
            <w:szCs w:val="22"/>
          </w:rPr>
          <w:delText>6</w:delText>
        </w:r>
        <w:r w:rsidRPr="008912CF">
          <w:rPr>
            <w:b/>
            <w:szCs w:val="22"/>
          </w:rPr>
          <w:delText xml:space="preserve">. Dose de Humira </w:delText>
        </w:r>
        <w:r w:rsidR="00E876B5">
          <w:rPr>
            <w:b/>
            <w:szCs w:val="22"/>
          </w:rPr>
          <w:delText>em</w:delText>
        </w:r>
        <w:r w:rsidRPr="008912CF">
          <w:rPr>
            <w:b/>
            <w:szCs w:val="22"/>
          </w:rPr>
          <w:delText xml:space="preserve"> Doentes</w:delText>
        </w:r>
        <w:r w:rsidR="00E7252B">
          <w:rPr>
            <w:b/>
            <w:szCs w:val="22"/>
          </w:rPr>
          <w:delText xml:space="preserve"> Pediátricos</w:delText>
        </w:r>
        <w:r w:rsidRPr="008912CF">
          <w:rPr>
            <w:b/>
            <w:szCs w:val="22"/>
          </w:rPr>
          <w:delText xml:space="preserve"> com </w:delText>
        </w:r>
        <w:r>
          <w:rPr>
            <w:b/>
            <w:szCs w:val="22"/>
          </w:rPr>
          <w:delText>Uveíte</w:delText>
        </w:r>
      </w:del>
    </w:p>
    <w:p w14:paraId="3C8830A9" w14:textId="31217992" w:rsidR="004F5A36" w:rsidRPr="008912CF" w:rsidRDefault="004F5A36" w:rsidP="00412FC8">
      <w:pPr>
        <w:rPr>
          <w:del w:id="5069" w:author="AbbVie2" w:date="2025-05-13T16:39:00Z"/>
          <w:sz w:val="22"/>
          <w:szCs w:val="22"/>
        </w:rPr>
      </w:pPr>
    </w:p>
    <w:tbl>
      <w:tblPr>
        <w:tblW w:w="6795" w:type="dxa"/>
        <w:jc w:val="center"/>
        <w:tblLayout w:type="fixed"/>
        <w:tblLook w:val="0000" w:firstRow="0" w:lastRow="0" w:firstColumn="0" w:lastColumn="0" w:noHBand="0" w:noVBand="0"/>
      </w:tblPr>
      <w:tblGrid>
        <w:gridCol w:w="3401"/>
        <w:gridCol w:w="3394"/>
      </w:tblGrid>
      <w:tr w:rsidR="00A7162A" w14:paraId="072025F8" w14:textId="147482C5" w:rsidTr="00A22EC4">
        <w:trPr>
          <w:tblHeader/>
          <w:jc w:val="center"/>
          <w:del w:id="5070" w:author="AbbVie2" w:date="2025-05-13T16:39:00Z"/>
        </w:trPr>
        <w:tc>
          <w:tcPr>
            <w:tcW w:w="3401" w:type="dxa"/>
            <w:tcBorders>
              <w:top w:val="single" w:sz="4" w:space="0" w:color="auto"/>
              <w:bottom w:val="single" w:sz="4" w:space="0" w:color="auto"/>
            </w:tcBorders>
          </w:tcPr>
          <w:p w14:paraId="4FBFA64D" w14:textId="2AEECB7D" w:rsidR="004F5A36" w:rsidRPr="00AD4F25" w:rsidRDefault="00615769">
            <w:pPr>
              <w:rPr>
                <w:del w:id="5071" w:author="AbbVie2" w:date="2025-05-13T16:39:00Z"/>
                <w:rFonts w:eastAsia="Calibri"/>
                <w:b/>
                <w:sz w:val="22"/>
                <w:szCs w:val="22"/>
                <w:lang w:eastAsia="ja-JP"/>
                <w:rPrChange w:id="5072" w:author="AbbVie2" w:date="2025-05-14T10:17:00Z">
                  <w:rPr>
                    <w:del w:id="5073" w:author="AbbVie2" w:date="2025-05-13T16:39:00Z"/>
                    <w:rFonts w:eastAsia="Calibri"/>
                    <w:b/>
                    <w:sz w:val="22"/>
                    <w:szCs w:val="22"/>
                    <w:lang w:val="en-US" w:eastAsia="ja-JP"/>
                  </w:rPr>
                </w:rPrChange>
              </w:rPr>
              <w:pPrChange w:id="5074" w:author="AbbVie2" w:date="2025-05-13T16:40:00Z">
                <w:pPr>
                  <w:keepNext/>
                  <w:spacing w:before="40" w:after="40" w:line="240" w:lineRule="exact"/>
                  <w:jc w:val="center"/>
                </w:pPr>
              </w:pPrChange>
            </w:pPr>
            <w:del w:id="5075" w:author="AbbVie2" w:date="2025-05-13T16:39:00Z">
              <w:r w:rsidRPr="00AD4F25">
                <w:rPr>
                  <w:rFonts w:eastAsia="Calibri"/>
                  <w:b/>
                  <w:sz w:val="22"/>
                  <w:szCs w:val="22"/>
                  <w:lang w:eastAsia="ja-JP"/>
                  <w:rPrChange w:id="5076" w:author="AbbVie2" w:date="2025-05-14T10:17:00Z">
                    <w:rPr>
                      <w:rFonts w:eastAsia="Calibri"/>
                      <w:b/>
                      <w:sz w:val="22"/>
                      <w:szCs w:val="22"/>
                      <w:lang w:val="en-US" w:eastAsia="ja-JP"/>
                    </w:rPr>
                  </w:rPrChange>
                </w:rPr>
                <w:delText>Peso do Doente</w:delText>
              </w:r>
            </w:del>
          </w:p>
        </w:tc>
        <w:tc>
          <w:tcPr>
            <w:tcW w:w="3394" w:type="dxa"/>
            <w:tcBorders>
              <w:top w:val="single" w:sz="4" w:space="0" w:color="auto"/>
              <w:bottom w:val="single" w:sz="4" w:space="0" w:color="auto"/>
            </w:tcBorders>
          </w:tcPr>
          <w:p w14:paraId="065BB44A" w14:textId="643305DB" w:rsidR="004F5A36" w:rsidRPr="00AD4F25" w:rsidRDefault="00615769">
            <w:pPr>
              <w:rPr>
                <w:del w:id="5077" w:author="AbbVie2" w:date="2025-05-13T16:39:00Z"/>
                <w:rFonts w:eastAsia="Calibri"/>
                <w:b/>
                <w:sz w:val="22"/>
                <w:szCs w:val="22"/>
                <w:lang w:eastAsia="ja-JP"/>
                <w:rPrChange w:id="5078" w:author="AbbVie2" w:date="2025-05-14T10:17:00Z">
                  <w:rPr>
                    <w:del w:id="5079" w:author="AbbVie2" w:date="2025-05-13T16:39:00Z"/>
                    <w:rFonts w:eastAsia="Calibri"/>
                    <w:b/>
                    <w:sz w:val="22"/>
                    <w:szCs w:val="22"/>
                    <w:lang w:val="en-US" w:eastAsia="ja-JP"/>
                  </w:rPr>
                </w:rPrChange>
              </w:rPr>
              <w:pPrChange w:id="5080" w:author="AbbVie2" w:date="2025-05-13T16:40:00Z">
                <w:pPr>
                  <w:keepNext/>
                  <w:spacing w:before="40" w:after="40" w:line="240" w:lineRule="exact"/>
                  <w:jc w:val="center"/>
                </w:pPr>
              </w:pPrChange>
            </w:pPr>
            <w:del w:id="5081" w:author="AbbVie2" w:date="2025-05-13T16:39:00Z">
              <w:r w:rsidRPr="00AD4F25">
                <w:rPr>
                  <w:rFonts w:eastAsia="Calibri"/>
                  <w:b/>
                  <w:sz w:val="22"/>
                  <w:szCs w:val="22"/>
                  <w:lang w:eastAsia="ja-JP"/>
                  <w:rPrChange w:id="5082" w:author="AbbVie2" w:date="2025-05-14T10:17:00Z">
                    <w:rPr>
                      <w:rFonts w:eastAsia="Calibri"/>
                      <w:b/>
                      <w:sz w:val="22"/>
                      <w:szCs w:val="22"/>
                      <w:lang w:val="en-US" w:eastAsia="ja-JP"/>
                    </w:rPr>
                  </w:rPrChange>
                </w:rPr>
                <w:delText xml:space="preserve">Regime </w:delText>
              </w:r>
              <w:r w:rsidR="00C00E3F" w:rsidRPr="00AD4F25">
                <w:rPr>
                  <w:rFonts w:eastAsia="Calibri"/>
                  <w:b/>
                  <w:sz w:val="22"/>
                  <w:szCs w:val="22"/>
                  <w:lang w:eastAsia="ja-JP"/>
                  <w:rPrChange w:id="5083" w:author="AbbVie2" w:date="2025-05-14T10:17:00Z">
                    <w:rPr>
                      <w:rFonts w:eastAsia="Calibri"/>
                      <w:b/>
                      <w:sz w:val="22"/>
                      <w:szCs w:val="22"/>
                      <w:lang w:val="en-US" w:eastAsia="ja-JP"/>
                    </w:rPr>
                  </w:rPrChange>
                </w:rPr>
                <w:delText xml:space="preserve">Posológico </w:delText>
              </w:r>
            </w:del>
          </w:p>
        </w:tc>
      </w:tr>
      <w:tr w:rsidR="00A7162A" w14:paraId="3276ECC3" w14:textId="6F16463C" w:rsidTr="00A22EC4">
        <w:trPr>
          <w:tblHeader/>
          <w:jc w:val="center"/>
          <w:del w:id="5084" w:author="AbbVie2" w:date="2025-05-13T16:39:00Z"/>
        </w:trPr>
        <w:tc>
          <w:tcPr>
            <w:tcW w:w="3401" w:type="dxa"/>
            <w:tcBorders>
              <w:top w:val="single" w:sz="4" w:space="0" w:color="auto"/>
              <w:bottom w:val="single" w:sz="4" w:space="0" w:color="auto"/>
            </w:tcBorders>
          </w:tcPr>
          <w:p w14:paraId="775D5F93" w14:textId="509CAFAA" w:rsidR="004F5A36" w:rsidRPr="00AD4F25" w:rsidRDefault="00615769">
            <w:pPr>
              <w:rPr>
                <w:del w:id="5085" w:author="AbbVie2" w:date="2025-05-13T16:39:00Z"/>
                <w:rFonts w:eastAsia="Calibri"/>
                <w:b/>
                <w:sz w:val="22"/>
                <w:szCs w:val="22"/>
                <w:lang w:eastAsia="ja-JP"/>
                <w:rPrChange w:id="5086" w:author="AbbVie2" w:date="2025-05-14T10:17:00Z">
                  <w:rPr>
                    <w:del w:id="5087" w:author="AbbVie2" w:date="2025-05-13T16:39:00Z"/>
                    <w:rFonts w:eastAsia="Calibri"/>
                    <w:b/>
                    <w:sz w:val="22"/>
                    <w:szCs w:val="22"/>
                    <w:lang w:val="en-US" w:eastAsia="ja-JP"/>
                  </w:rPr>
                </w:rPrChange>
              </w:rPr>
              <w:pPrChange w:id="5088" w:author="AbbVie2" w:date="2025-05-13T16:40:00Z">
                <w:pPr>
                  <w:keepNext/>
                  <w:spacing w:before="40" w:after="40" w:line="240" w:lineRule="exact"/>
                  <w:jc w:val="center"/>
                </w:pPr>
              </w:pPrChange>
            </w:pPr>
            <w:del w:id="5089" w:author="AbbVie2" w:date="2025-05-13T16:39:00Z">
              <w:r w:rsidRPr="00AD4F25">
                <w:rPr>
                  <w:rFonts w:eastAsia="Calibri"/>
                  <w:sz w:val="22"/>
                  <w:szCs w:val="22"/>
                  <w:lang w:eastAsia="ja-JP"/>
                  <w:rPrChange w:id="5090" w:author="AbbVie2" w:date="2025-05-14T10:17:00Z">
                    <w:rPr>
                      <w:rFonts w:eastAsia="Calibri"/>
                      <w:sz w:val="22"/>
                      <w:szCs w:val="22"/>
                      <w:lang w:val="en-US" w:eastAsia="ja-JP"/>
                    </w:rPr>
                  </w:rPrChange>
                </w:rPr>
                <w:delText>&lt; 30 kg</w:delText>
              </w:r>
            </w:del>
          </w:p>
        </w:tc>
        <w:tc>
          <w:tcPr>
            <w:tcW w:w="3394" w:type="dxa"/>
            <w:tcBorders>
              <w:top w:val="single" w:sz="4" w:space="0" w:color="auto"/>
              <w:bottom w:val="single" w:sz="4" w:space="0" w:color="auto"/>
            </w:tcBorders>
          </w:tcPr>
          <w:p w14:paraId="54288B5A" w14:textId="1727DB57" w:rsidR="004F5A36" w:rsidRPr="00395D60" w:rsidRDefault="00615769">
            <w:pPr>
              <w:rPr>
                <w:del w:id="5091" w:author="AbbVie2" w:date="2025-05-13T16:39:00Z"/>
                <w:rFonts w:eastAsia="Calibri"/>
                <w:b/>
                <w:sz w:val="22"/>
                <w:szCs w:val="22"/>
                <w:lang w:eastAsia="ja-JP"/>
              </w:rPr>
              <w:pPrChange w:id="5092" w:author="AbbVie2" w:date="2025-05-13T16:40:00Z">
                <w:pPr>
                  <w:keepNext/>
                  <w:spacing w:before="40" w:after="40" w:line="240" w:lineRule="exact"/>
                  <w:jc w:val="center"/>
                </w:pPr>
              </w:pPrChange>
            </w:pPr>
            <w:del w:id="5093" w:author="AbbVie2" w:date="2025-05-13T16:39:00Z">
              <w:r w:rsidRPr="00395D60">
                <w:rPr>
                  <w:rFonts w:eastAsia="Calibri"/>
                  <w:sz w:val="22"/>
                  <w:szCs w:val="22"/>
                  <w:lang w:eastAsia="ja-JP"/>
                </w:rPr>
                <w:delText>20 mg em semanas alternadas em associaç</w:delText>
              </w:r>
              <w:r>
                <w:rPr>
                  <w:rFonts w:eastAsia="Calibri"/>
                  <w:sz w:val="22"/>
                  <w:szCs w:val="22"/>
                  <w:lang w:eastAsia="ja-JP"/>
                </w:rPr>
                <w:delText>ão com metotrexato</w:delText>
              </w:r>
            </w:del>
          </w:p>
        </w:tc>
      </w:tr>
      <w:tr w:rsidR="00A7162A" w14:paraId="13A68E23" w14:textId="6567FA3F" w:rsidTr="00A22EC4">
        <w:trPr>
          <w:tblHeader/>
          <w:jc w:val="center"/>
          <w:del w:id="5094" w:author="AbbVie2" w:date="2025-05-13T16:39:00Z"/>
        </w:trPr>
        <w:tc>
          <w:tcPr>
            <w:tcW w:w="3401" w:type="dxa"/>
            <w:tcBorders>
              <w:top w:val="single" w:sz="4" w:space="0" w:color="auto"/>
              <w:bottom w:val="single" w:sz="4" w:space="0" w:color="auto"/>
            </w:tcBorders>
          </w:tcPr>
          <w:p w14:paraId="1765D25A" w14:textId="17B886E5" w:rsidR="004F5A36" w:rsidRPr="00AD4F25" w:rsidRDefault="00615769">
            <w:pPr>
              <w:rPr>
                <w:del w:id="5095" w:author="AbbVie2" w:date="2025-05-13T16:39:00Z"/>
                <w:rFonts w:eastAsia="Calibri"/>
                <w:b/>
                <w:sz w:val="22"/>
                <w:szCs w:val="22"/>
                <w:lang w:eastAsia="ja-JP"/>
                <w:rPrChange w:id="5096" w:author="AbbVie2" w:date="2025-05-14T10:17:00Z">
                  <w:rPr>
                    <w:del w:id="5097" w:author="AbbVie2" w:date="2025-05-13T16:39:00Z"/>
                    <w:rFonts w:eastAsia="Calibri"/>
                    <w:b/>
                    <w:sz w:val="22"/>
                    <w:szCs w:val="22"/>
                    <w:lang w:val="en-US" w:eastAsia="ja-JP"/>
                  </w:rPr>
                </w:rPrChange>
              </w:rPr>
              <w:pPrChange w:id="5098" w:author="AbbVie2" w:date="2025-05-13T16:40:00Z">
                <w:pPr>
                  <w:keepNext/>
                  <w:spacing w:before="40" w:after="40" w:line="240" w:lineRule="exact"/>
                  <w:jc w:val="center"/>
                </w:pPr>
              </w:pPrChange>
            </w:pPr>
            <w:del w:id="5099" w:author="AbbVie2" w:date="2025-05-13T16:39:00Z">
              <w:r w:rsidRPr="00AD4F25">
                <w:rPr>
                  <w:rFonts w:eastAsia="Calibri"/>
                  <w:sz w:val="22"/>
                  <w:szCs w:val="22"/>
                  <w:lang w:eastAsia="ja-JP"/>
                  <w:rPrChange w:id="5100" w:author="AbbVie2" w:date="2025-05-14T10:17:00Z">
                    <w:rPr>
                      <w:rFonts w:eastAsia="Calibri"/>
                      <w:sz w:val="22"/>
                      <w:szCs w:val="22"/>
                      <w:lang w:val="en-US" w:eastAsia="ja-JP"/>
                    </w:rPr>
                  </w:rPrChange>
                </w:rPr>
                <w:delText>≥ 30 kg</w:delText>
              </w:r>
            </w:del>
          </w:p>
        </w:tc>
        <w:tc>
          <w:tcPr>
            <w:tcW w:w="3394" w:type="dxa"/>
            <w:tcBorders>
              <w:top w:val="single" w:sz="4" w:space="0" w:color="auto"/>
              <w:bottom w:val="single" w:sz="4" w:space="0" w:color="auto"/>
            </w:tcBorders>
          </w:tcPr>
          <w:p w14:paraId="3843948C" w14:textId="10FD6DBF" w:rsidR="004F5A36" w:rsidRPr="00395D60" w:rsidRDefault="00615769">
            <w:pPr>
              <w:rPr>
                <w:del w:id="5101" w:author="AbbVie2" w:date="2025-05-13T16:39:00Z"/>
                <w:rFonts w:eastAsia="Calibri"/>
                <w:b/>
                <w:sz w:val="22"/>
                <w:szCs w:val="22"/>
                <w:lang w:eastAsia="ja-JP"/>
              </w:rPr>
              <w:pPrChange w:id="5102" w:author="AbbVie2" w:date="2025-05-13T16:40:00Z">
                <w:pPr>
                  <w:keepNext/>
                  <w:spacing w:before="40" w:after="40" w:line="240" w:lineRule="exact"/>
                  <w:jc w:val="center"/>
                </w:pPr>
              </w:pPrChange>
            </w:pPr>
            <w:del w:id="5103" w:author="AbbVie2" w:date="2025-05-13T16:39:00Z">
              <w:r w:rsidRPr="00395D60">
                <w:rPr>
                  <w:rFonts w:eastAsia="Calibri"/>
                  <w:sz w:val="22"/>
                  <w:szCs w:val="22"/>
                  <w:lang w:eastAsia="ja-JP"/>
                </w:rPr>
                <w:delText>40 mg em semanas alternadas em associaç</w:delText>
              </w:r>
              <w:r>
                <w:rPr>
                  <w:rFonts w:eastAsia="Calibri"/>
                  <w:sz w:val="22"/>
                  <w:szCs w:val="22"/>
                  <w:lang w:eastAsia="ja-JP"/>
                </w:rPr>
                <w:delText>ão com metotrexato</w:delText>
              </w:r>
            </w:del>
          </w:p>
        </w:tc>
      </w:tr>
    </w:tbl>
    <w:p w14:paraId="77A78EEE" w14:textId="60F83620" w:rsidR="004F5A36" w:rsidRDefault="004F5A36" w:rsidP="00412FC8">
      <w:pPr>
        <w:rPr>
          <w:del w:id="5104" w:author="AbbVie2" w:date="2025-05-13T16:39:00Z"/>
          <w:bCs/>
          <w:iCs/>
          <w:sz w:val="22"/>
          <w:szCs w:val="22"/>
        </w:rPr>
      </w:pPr>
    </w:p>
    <w:p w14:paraId="722345D5" w14:textId="13203DF4" w:rsidR="00CD7207" w:rsidRDefault="00615769" w:rsidP="00412FC8">
      <w:pPr>
        <w:rPr>
          <w:del w:id="5105" w:author="AbbVie2" w:date="2025-05-13T16:39:00Z"/>
          <w:sz w:val="22"/>
          <w:szCs w:val="22"/>
        </w:rPr>
      </w:pPr>
      <w:del w:id="5106" w:author="AbbVie2" w:date="2025-05-13T16:39:00Z">
        <w:r>
          <w:rPr>
            <w:bCs/>
            <w:iCs/>
            <w:sz w:val="22"/>
            <w:szCs w:val="22"/>
          </w:rPr>
          <w:delText xml:space="preserve">Quando se inicia o tratamento com Humira, pode ser administrada uma dose </w:delText>
        </w:r>
        <w:r w:rsidRPr="008912CF">
          <w:rPr>
            <w:sz w:val="22"/>
            <w:szCs w:val="22"/>
          </w:rPr>
          <w:delText xml:space="preserve">de carga de </w:delText>
        </w:r>
        <w:r>
          <w:rPr>
            <w:sz w:val="22"/>
            <w:szCs w:val="22"/>
          </w:rPr>
          <w:delText>40</w:delText>
        </w:r>
        <w:r w:rsidRPr="008912CF">
          <w:rPr>
            <w:sz w:val="22"/>
            <w:szCs w:val="22"/>
          </w:rPr>
          <w:delText> mg</w:delText>
        </w:r>
        <w:r w:rsidR="00D40B40" w:rsidRPr="00D40B40">
          <w:rPr>
            <w:sz w:val="22"/>
            <w:szCs w:val="22"/>
          </w:rPr>
          <w:delText xml:space="preserve"> </w:delText>
        </w:r>
        <w:r w:rsidR="00D40B40">
          <w:rPr>
            <w:sz w:val="22"/>
            <w:szCs w:val="22"/>
          </w:rPr>
          <w:delText xml:space="preserve">em doentes &lt; 30 kg ou 80 mg em doentes </w:delText>
        </w:r>
        <w:r w:rsidR="00D40B40" w:rsidRPr="00395D60">
          <w:rPr>
            <w:rFonts w:eastAsia="Calibri"/>
            <w:sz w:val="22"/>
            <w:szCs w:val="22"/>
            <w:lang w:eastAsia="ja-JP"/>
          </w:rPr>
          <w:delText>≥ 30 kg</w:delText>
        </w:r>
        <w:r w:rsidR="00D40B40">
          <w:rPr>
            <w:rFonts w:eastAsia="Calibri"/>
            <w:sz w:val="22"/>
            <w:szCs w:val="22"/>
            <w:lang w:eastAsia="ja-JP"/>
          </w:rPr>
          <w:delText>,</w:delText>
        </w:r>
        <w:r>
          <w:rPr>
            <w:sz w:val="22"/>
            <w:szCs w:val="22"/>
          </w:rPr>
          <w:delText xml:space="preserve"> uma semana antes do início do tratamento de manutenção. Não existem dados clínicos relevantes sobre a utilização de uma dose de carga de Humira em crianças &lt; 6 anos de idade (ver secção 5.2).</w:delText>
        </w:r>
      </w:del>
    </w:p>
    <w:p w14:paraId="4E3AE281" w14:textId="56F56A91" w:rsidR="00CD7207" w:rsidRDefault="00CD7207" w:rsidP="00412FC8">
      <w:pPr>
        <w:rPr>
          <w:del w:id="5107" w:author="AbbVie2" w:date="2025-05-13T16:39:00Z"/>
          <w:sz w:val="22"/>
          <w:szCs w:val="22"/>
        </w:rPr>
      </w:pPr>
    </w:p>
    <w:p w14:paraId="44105EE2" w14:textId="45831EF6" w:rsidR="00CD7207" w:rsidRPr="008912CF" w:rsidRDefault="00615769" w:rsidP="00412FC8">
      <w:pPr>
        <w:rPr>
          <w:del w:id="5108" w:author="AbbVie2" w:date="2025-05-13T16:39:00Z"/>
          <w:sz w:val="22"/>
          <w:szCs w:val="22"/>
        </w:rPr>
      </w:pPr>
      <w:del w:id="5109" w:author="AbbVie2" w:date="2025-05-13T16:39:00Z">
        <w:r w:rsidRPr="008912CF">
          <w:rPr>
            <w:sz w:val="22"/>
            <w:szCs w:val="22"/>
          </w:rPr>
          <w:delText xml:space="preserve">Não existe utilização relevante de Humira em crianças com menos de </w:delText>
        </w:r>
        <w:r>
          <w:rPr>
            <w:sz w:val="22"/>
            <w:szCs w:val="22"/>
          </w:rPr>
          <w:delText>2 </w:delText>
        </w:r>
        <w:r w:rsidRPr="008912CF">
          <w:rPr>
            <w:sz w:val="22"/>
            <w:szCs w:val="22"/>
          </w:rPr>
          <w:delText>anos, para esta indicação.</w:delText>
        </w:r>
      </w:del>
    </w:p>
    <w:p w14:paraId="4314CCC8" w14:textId="52478AEC" w:rsidR="00CD7207" w:rsidRDefault="00CD7207" w:rsidP="00412FC8">
      <w:pPr>
        <w:rPr>
          <w:del w:id="5110" w:author="AbbVie2" w:date="2025-05-13T16:39:00Z"/>
          <w:sz w:val="22"/>
          <w:szCs w:val="22"/>
        </w:rPr>
      </w:pPr>
    </w:p>
    <w:p w14:paraId="1000F5D7" w14:textId="4E574429" w:rsidR="00CD7207" w:rsidRDefault="00615769" w:rsidP="00412FC8">
      <w:pPr>
        <w:rPr>
          <w:del w:id="5111" w:author="AbbVie2" w:date="2025-05-13T16:39:00Z"/>
          <w:bCs/>
          <w:sz w:val="22"/>
          <w:szCs w:val="22"/>
        </w:rPr>
      </w:pPr>
      <w:del w:id="5112" w:author="AbbVie2" w:date="2025-05-13T16:39:00Z">
        <w:r w:rsidRPr="00497512">
          <w:rPr>
            <w:bCs/>
            <w:sz w:val="22"/>
            <w:szCs w:val="22"/>
          </w:rPr>
          <w:delText>Recomenda-se que o risco benefício do tratamento continuado a longo prazo seja avaliado</w:delText>
        </w:r>
        <w:r>
          <w:rPr>
            <w:bCs/>
            <w:sz w:val="22"/>
            <w:szCs w:val="22"/>
          </w:rPr>
          <w:delText xml:space="preserve"> anualmente (ver secção 5.1).</w:delText>
        </w:r>
      </w:del>
    </w:p>
    <w:p w14:paraId="0FE40323" w14:textId="04DEB3F0" w:rsidR="004462A0" w:rsidRDefault="004462A0" w:rsidP="00412FC8">
      <w:pPr>
        <w:rPr>
          <w:del w:id="5113" w:author="AbbVie2" w:date="2025-05-13T16:39:00Z"/>
          <w:bCs/>
          <w:iCs/>
          <w:sz w:val="22"/>
          <w:szCs w:val="22"/>
        </w:rPr>
      </w:pPr>
    </w:p>
    <w:p w14:paraId="39591AE0" w14:textId="3FE29C97" w:rsidR="009D3E8E" w:rsidRDefault="00615769">
      <w:pPr>
        <w:rPr>
          <w:del w:id="5114" w:author="AbbVie2" w:date="2025-05-13T16:39:00Z"/>
          <w:bCs/>
          <w:iCs/>
          <w:szCs w:val="22"/>
        </w:rPr>
        <w:pPrChange w:id="5115" w:author="AbbVie2" w:date="2025-05-13T16:40:00Z">
          <w:pPr>
            <w:pStyle w:val="BodyText2"/>
            <w:autoSpaceDE/>
            <w:autoSpaceDN/>
            <w:adjustRightInd/>
          </w:pPr>
        </w:pPrChange>
      </w:pPr>
      <w:del w:id="5116" w:author="AbbVie2" w:date="2025-05-13T16:39:00Z">
        <w:r>
          <w:rPr>
            <w:szCs w:val="22"/>
          </w:rPr>
          <w:delText xml:space="preserve">Humira pode estar disponível em outras dosagens e/ou apresentações dependendo das necessidades de cada doente.  </w:delText>
        </w:r>
        <w:r w:rsidRPr="008912CF">
          <w:rPr>
            <w:b/>
            <w:szCs w:val="22"/>
          </w:rPr>
          <w:delText xml:space="preserve"> </w:delText>
        </w:r>
      </w:del>
    </w:p>
    <w:p w14:paraId="2A68CFF4" w14:textId="739E3407" w:rsidR="009D3E8E" w:rsidRPr="008912CF" w:rsidRDefault="009D3E8E" w:rsidP="00412FC8">
      <w:pPr>
        <w:rPr>
          <w:del w:id="5117" w:author="AbbVie2" w:date="2025-05-13T16:39:00Z"/>
          <w:bCs/>
          <w:iCs/>
          <w:sz w:val="22"/>
          <w:szCs w:val="22"/>
        </w:rPr>
      </w:pPr>
    </w:p>
    <w:p w14:paraId="11FE8F8C" w14:textId="6555F92B" w:rsidR="004462A0" w:rsidRPr="008912CF" w:rsidRDefault="00615769" w:rsidP="00412FC8">
      <w:pPr>
        <w:rPr>
          <w:del w:id="5118" w:author="AbbVie2" w:date="2025-05-13T16:39:00Z"/>
          <w:bCs/>
          <w:iCs/>
          <w:sz w:val="22"/>
          <w:szCs w:val="22"/>
          <w:u w:val="single"/>
        </w:rPr>
      </w:pPr>
      <w:del w:id="5119" w:author="AbbVie2" w:date="2025-05-13T16:39:00Z">
        <w:r w:rsidRPr="008912CF">
          <w:rPr>
            <w:bCs/>
            <w:iCs/>
            <w:sz w:val="22"/>
            <w:szCs w:val="22"/>
            <w:u w:val="single"/>
          </w:rPr>
          <w:delText>Modo de administração</w:delText>
        </w:r>
      </w:del>
    </w:p>
    <w:p w14:paraId="6DD5A168" w14:textId="2E44D12C" w:rsidR="004462A0" w:rsidRPr="008912CF" w:rsidRDefault="004462A0" w:rsidP="00412FC8">
      <w:pPr>
        <w:rPr>
          <w:del w:id="5120" w:author="AbbVie2" w:date="2025-05-13T16:39:00Z"/>
          <w:bCs/>
          <w:iCs/>
          <w:sz w:val="22"/>
          <w:szCs w:val="22"/>
        </w:rPr>
      </w:pPr>
    </w:p>
    <w:p w14:paraId="379E11C9" w14:textId="61470523" w:rsidR="004462A0" w:rsidRPr="008912CF" w:rsidRDefault="00615769" w:rsidP="00412FC8">
      <w:pPr>
        <w:rPr>
          <w:del w:id="5121" w:author="AbbVie2" w:date="2025-05-13T16:39:00Z"/>
          <w:bCs/>
          <w:iCs/>
          <w:sz w:val="22"/>
          <w:szCs w:val="22"/>
        </w:rPr>
      </w:pPr>
      <w:del w:id="5122" w:author="AbbVie2" w:date="2025-05-13T16:39:00Z">
        <w:r w:rsidRPr="008912CF">
          <w:rPr>
            <w:bCs/>
            <w:iCs/>
            <w:sz w:val="22"/>
            <w:szCs w:val="22"/>
          </w:rPr>
          <w:delText>A administração de Humira faz-se por injeção subcutânea. Instruções completas de utilização estão disponíveis no folheto informativo.</w:delText>
        </w:r>
      </w:del>
    </w:p>
    <w:p w14:paraId="461D215D" w14:textId="7C9D0B1E" w:rsidR="004462A0" w:rsidRPr="008912CF" w:rsidRDefault="004462A0" w:rsidP="00412FC8">
      <w:pPr>
        <w:rPr>
          <w:del w:id="5123" w:author="AbbVie2" w:date="2025-05-13T16:39:00Z"/>
          <w:bCs/>
          <w:iCs/>
          <w:sz w:val="22"/>
          <w:szCs w:val="22"/>
        </w:rPr>
      </w:pPr>
    </w:p>
    <w:p w14:paraId="6695C25A" w14:textId="07A11289" w:rsidR="00D40B40" w:rsidRPr="008912CF" w:rsidRDefault="00615769" w:rsidP="00412FC8">
      <w:pPr>
        <w:rPr>
          <w:del w:id="5124" w:author="AbbVie2" w:date="2025-05-13T16:39:00Z"/>
          <w:sz w:val="22"/>
          <w:szCs w:val="22"/>
        </w:rPr>
      </w:pPr>
      <w:del w:id="5125" w:author="AbbVie2" w:date="2025-05-13T16:39:00Z">
        <w:r>
          <w:rPr>
            <w:sz w:val="22"/>
            <w:szCs w:val="22"/>
          </w:rPr>
          <w:delText>Humira está disponível em outras dosagens e apresentações.</w:delText>
        </w:r>
      </w:del>
    </w:p>
    <w:p w14:paraId="1A4DE12C" w14:textId="4950D5F4" w:rsidR="004462A0" w:rsidRPr="008912CF" w:rsidRDefault="004462A0">
      <w:pPr>
        <w:rPr>
          <w:del w:id="5126" w:author="AbbVie2" w:date="2025-05-13T16:39:00Z"/>
          <w:bCs/>
          <w:iCs/>
          <w:szCs w:val="22"/>
          <w:u w:val="single"/>
        </w:rPr>
        <w:pPrChange w:id="5127" w:author="AbbVie2" w:date="2025-05-13T16:40:00Z">
          <w:pPr>
            <w:pStyle w:val="BodyText2"/>
          </w:pPr>
        </w:pPrChange>
      </w:pPr>
    </w:p>
    <w:p w14:paraId="38C40CBB" w14:textId="7C362BF4" w:rsidR="004462A0" w:rsidRPr="00E7354C" w:rsidRDefault="00615769">
      <w:pPr>
        <w:rPr>
          <w:del w:id="5128" w:author="AbbVie2" w:date="2025-05-13T16:39:00Z"/>
          <w:sz w:val="22"/>
          <w:szCs w:val="22"/>
        </w:rPr>
        <w:pPrChange w:id="5129" w:author="AbbVie2" w:date="2025-05-13T16:40:00Z">
          <w:pPr>
            <w:ind w:left="567" w:hanging="567"/>
          </w:pPr>
        </w:pPrChange>
      </w:pPr>
      <w:del w:id="5130" w:author="AbbVie2" w:date="2025-05-13T16:39:00Z">
        <w:r w:rsidRPr="00E7354C">
          <w:rPr>
            <w:b/>
            <w:sz w:val="22"/>
            <w:szCs w:val="22"/>
          </w:rPr>
          <w:delText>4.3</w:delText>
        </w:r>
        <w:r w:rsidRPr="00E7354C">
          <w:rPr>
            <w:b/>
            <w:sz w:val="22"/>
            <w:szCs w:val="22"/>
          </w:rPr>
          <w:tab/>
          <w:delText xml:space="preserve">Contraindicações </w:delText>
        </w:r>
      </w:del>
    </w:p>
    <w:p w14:paraId="5429412B" w14:textId="45412B0C" w:rsidR="004462A0" w:rsidRPr="008912CF" w:rsidRDefault="004462A0">
      <w:pPr>
        <w:rPr>
          <w:del w:id="5131" w:author="AbbVie2" w:date="2025-05-13T16:39:00Z"/>
          <w:szCs w:val="22"/>
        </w:rPr>
        <w:pPrChange w:id="5132" w:author="AbbVie2" w:date="2025-05-13T16:40:00Z">
          <w:pPr>
            <w:pStyle w:val="EndnoteText"/>
            <w:tabs>
              <w:tab w:val="clear" w:pos="567"/>
            </w:tabs>
          </w:pPr>
        </w:pPrChange>
      </w:pPr>
    </w:p>
    <w:p w14:paraId="4DB5E34A" w14:textId="66E87E5E" w:rsidR="004462A0" w:rsidRPr="008912CF" w:rsidRDefault="00615769" w:rsidP="00412FC8">
      <w:pPr>
        <w:rPr>
          <w:del w:id="5133" w:author="AbbVie2" w:date="2025-05-13T16:39:00Z"/>
          <w:sz w:val="22"/>
          <w:szCs w:val="22"/>
        </w:rPr>
      </w:pPr>
      <w:del w:id="5134" w:author="AbbVie2" w:date="2025-05-13T16:39:00Z">
        <w:r w:rsidRPr="008912CF">
          <w:rPr>
            <w:sz w:val="22"/>
            <w:szCs w:val="22"/>
          </w:rPr>
          <w:delText>Hipersensibilidade à substância ativa ou a qualquer um dos excipientes</w:delText>
        </w:r>
        <w:r w:rsidR="00E21713">
          <w:rPr>
            <w:sz w:val="22"/>
            <w:szCs w:val="22"/>
          </w:rPr>
          <w:delText xml:space="preserve"> mencionados na secção 6.1</w:delText>
        </w:r>
        <w:r w:rsidRPr="008912CF">
          <w:rPr>
            <w:sz w:val="22"/>
            <w:szCs w:val="22"/>
          </w:rPr>
          <w:delText xml:space="preserve">. </w:delText>
        </w:r>
      </w:del>
    </w:p>
    <w:p w14:paraId="55DD7176" w14:textId="0044D11E" w:rsidR="004462A0" w:rsidRPr="008912CF" w:rsidRDefault="004462A0" w:rsidP="00412FC8">
      <w:pPr>
        <w:rPr>
          <w:del w:id="5135" w:author="AbbVie2" w:date="2025-05-13T16:39:00Z"/>
          <w:sz w:val="22"/>
          <w:szCs w:val="22"/>
        </w:rPr>
      </w:pPr>
    </w:p>
    <w:p w14:paraId="2B56A511" w14:textId="6E77F5F0" w:rsidR="004462A0" w:rsidRPr="008912CF" w:rsidRDefault="00615769" w:rsidP="00412FC8">
      <w:pPr>
        <w:rPr>
          <w:del w:id="5136" w:author="AbbVie2" w:date="2025-05-13T16:39:00Z"/>
          <w:sz w:val="22"/>
          <w:szCs w:val="22"/>
        </w:rPr>
      </w:pPr>
      <w:del w:id="5137" w:author="AbbVie2" w:date="2025-05-13T16:39:00Z">
        <w:r w:rsidRPr="008912CF">
          <w:rPr>
            <w:sz w:val="22"/>
            <w:szCs w:val="22"/>
          </w:rPr>
          <w:delText>Tuberculose ativa ou outras infeções graves, nomeadamente, sepsia e infeções oportunistas (ver secção 4.4).</w:delText>
        </w:r>
      </w:del>
    </w:p>
    <w:p w14:paraId="360757EA" w14:textId="0B22E968" w:rsidR="004462A0" w:rsidRPr="008912CF" w:rsidRDefault="004462A0" w:rsidP="00412FC8">
      <w:pPr>
        <w:rPr>
          <w:del w:id="5138" w:author="AbbVie2" w:date="2025-05-13T16:39:00Z"/>
          <w:sz w:val="22"/>
          <w:szCs w:val="22"/>
        </w:rPr>
      </w:pPr>
    </w:p>
    <w:p w14:paraId="52C48492" w14:textId="05478D22" w:rsidR="004462A0" w:rsidRPr="008912CF" w:rsidRDefault="00615769" w:rsidP="00412FC8">
      <w:pPr>
        <w:rPr>
          <w:del w:id="5139" w:author="AbbVie2" w:date="2025-05-13T16:39:00Z"/>
          <w:sz w:val="22"/>
          <w:szCs w:val="22"/>
        </w:rPr>
      </w:pPr>
      <w:del w:id="5140" w:author="AbbVie2" w:date="2025-05-13T16:39:00Z">
        <w:r w:rsidRPr="008912CF">
          <w:rPr>
            <w:sz w:val="22"/>
            <w:szCs w:val="22"/>
          </w:rPr>
          <w:delText>Insuficiência cardíaca moderada a grave (classe III/IV da NYHA) (ver secção 4.4).</w:delText>
        </w:r>
      </w:del>
    </w:p>
    <w:p w14:paraId="581EC9B4" w14:textId="24FDF6E5" w:rsidR="004462A0" w:rsidRPr="008912CF" w:rsidRDefault="004462A0" w:rsidP="00412FC8">
      <w:pPr>
        <w:rPr>
          <w:del w:id="5141" w:author="AbbVie2" w:date="2025-05-13T16:39:00Z"/>
          <w:sz w:val="22"/>
          <w:szCs w:val="22"/>
        </w:rPr>
      </w:pPr>
    </w:p>
    <w:p w14:paraId="302CD11D" w14:textId="1B4B1125" w:rsidR="004462A0" w:rsidRPr="00E7354C" w:rsidRDefault="00615769">
      <w:pPr>
        <w:rPr>
          <w:del w:id="5142" w:author="AbbVie2" w:date="2025-05-13T16:39:00Z"/>
          <w:b/>
          <w:sz w:val="22"/>
          <w:szCs w:val="22"/>
        </w:rPr>
        <w:pPrChange w:id="5143" w:author="AbbVie2" w:date="2025-05-13T16:40:00Z">
          <w:pPr>
            <w:keepNext/>
            <w:ind w:left="567" w:hanging="567"/>
          </w:pPr>
        </w:pPrChange>
      </w:pPr>
      <w:del w:id="5144" w:author="AbbVie2" w:date="2025-05-13T16:39:00Z">
        <w:r w:rsidRPr="00E7354C">
          <w:rPr>
            <w:b/>
            <w:sz w:val="22"/>
            <w:szCs w:val="22"/>
          </w:rPr>
          <w:delText>4.4</w:delText>
        </w:r>
        <w:r w:rsidRPr="00E7354C">
          <w:tab/>
        </w:r>
        <w:r w:rsidRPr="00E7354C">
          <w:rPr>
            <w:b/>
            <w:sz w:val="22"/>
            <w:szCs w:val="22"/>
          </w:rPr>
          <w:delText xml:space="preserve">Advertências e precauções especiais de utilização </w:delText>
        </w:r>
      </w:del>
    </w:p>
    <w:p w14:paraId="425F0D64" w14:textId="29DD80AD" w:rsidR="004462A0" w:rsidRDefault="004462A0">
      <w:pPr>
        <w:rPr>
          <w:del w:id="5145" w:author="AbbVie2" w:date="2025-05-13T16:39:00Z"/>
          <w:sz w:val="22"/>
          <w:szCs w:val="22"/>
        </w:rPr>
        <w:pPrChange w:id="5146" w:author="AbbVie2" w:date="2025-05-13T16:40:00Z">
          <w:pPr>
            <w:keepNext/>
          </w:pPr>
        </w:pPrChange>
      </w:pPr>
    </w:p>
    <w:p w14:paraId="53919696" w14:textId="1AE05B1A" w:rsidR="00D40B40" w:rsidRDefault="00615769">
      <w:pPr>
        <w:rPr>
          <w:del w:id="5147" w:author="AbbVie2" w:date="2025-05-13T16:39:00Z"/>
          <w:sz w:val="22"/>
          <w:szCs w:val="22"/>
          <w:u w:val="single"/>
        </w:rPr>
        <w:pPrChange w:id="5148" w:author="AbbVie2" w:date="2025-05-13T16:40:00Z">
          <w:pPr>
            <w:keepNext/>
          </w:pPr>
        </w:pPrChange>
      </w:pPr>
      <w:del w:id="5149" w:author="AbbVie2" w:date="2025-05-13T16:39:00Z">
        <w:r w:rsidRPr="002339BF">
          <w:rPr>
            <w:sz w:val="22"/>
            <w:szCs w:val="22"/>
            <w:u w:val="single"/>
          </w:rPr>
          <w:delText xml:space="preserve">Rastreabilidade </w:delText>
        </w:r>
      </w:del>
    </w:p>
    <w:p w14:paraId="134AC97E" w14:textId="2C13B75C" w:rsidR="00D40B40" w:rsidRPr="008912CF" w:rsidRDefault="00D40B40">
      <w:pPr>
        <w:rPr>
          <w:del w:id="5150" w:author="AbbVie2" w:date="2025-05-13T16:39:00Z"/>
          <w:sz w:val="22"/>
          <w:szCs w:val="22"/>
        </w:rPr>
        <w:pPrChange w:id="5151" w:author="AbbVie2" w:date="2025-05-13T16:40:00Z">
          <w:pPr>
            <w:keepNext/>
          </w:pPr>
        </w:pPrChange>
      </w:pPr>
    </w:p>
    <w:p w14:paraId="3720A7D0" w14:textId="4A7CCE1C" w:rsidR="004462A0" w:rsidRPr="008912CF" w:rsidRDefault="00615769">
      <w:pPr>
        <w:rPr>
          <w:del w:id="5152" w:author="AbbVie2" w:date="2025-05-13T16:39:00Z"/>
          <w:sz w:val="22"/>
          <w:szCs w:val="22"/>
          <w:u w:val="single"/>
        </w:rPr>
        <w:pPrChange w:id="5153" w:author="AbbVie2" w:date="2025-05-13T16:40:00Z">
          <w:pPr>
            <w:keepNext/>
            <w:tabs>
              <w:tab w:val="left" w:pos="567"/>
            </w:tabs>
            <w:autoSpaceDE w:val="0"/>
            <w:autoSpaceDN w:val="0"/>
            <w:adjustRightInd w:val="0"/>
            <w:outlineLvl w:val="3"/>
          </w:pPr>
        </w:pPrChange>
      </w:pPr>
      <w:del w:id="5154" w:author="AbbVie2" w:date="2025-05-13T16:39:00Z">
        <w:r w:rsidRPr="008912CF">
          <w:rPr>
            <w:sz w:val="22"/>
            <w:szCs w:val="22"/>
          </w:rPr>
          <w:delText xml:space="preserve">De forma a melhorar a rastreabilidade dos medicamentos biológicos, </w:delText>
        </w:r>
        <w:r w:rsidR="00D40B40">
          <w:rPr>
            <w:sz w:val="22"/>
            <w:szCs w:val="22"/>
          </w:rPr>
          <w:delText>o nome</w:delText>
        </w:r>
        <w:r w:rsidRPr="008912CF">
          <w:rPr>
            <w:sz w:val="22"/>
            <w:szCs w:val="22"/>
          </w:rPr>
          <w:delText xml:space="preserve"> e o número de lote do medicamento administrado devem ser registados</w:delText>
        </w:r>
        <w:r w:rsidR="00372684">
          <w:rPr>
            <w:sz w:val="22"/>
            <w:szCs w:val="22"/>
          </w:rPr>
          <w:delText xml:space="preserve"> de forma clara</w:delText>
        </w:r>
        <w:r w:rsidRPr="008912CF">
          <w:rPr>
            <w:sz w:val="22"/>
            <w:szCs w:val="22"/>
          </w:rPr>
          <w:delText xml:space="preserve">. </w:delText>
        </w:r>
      </w:del>
    </w:p>
    <w:p w14:paraId="7AD2A383" w14:textId="30FBEE00" w:rsidR="004462A0" w:rsidRPr="008912CF" w:rsidRDefault="004462A0">
      <w:pPr>
        <w:rPr>
          <w:del w:id="5155" w:author="AbbVie2" w:date="2025-05-13T16:39:00Z"/>
          <w:szCs w:val="22"/>
          <w:u w:val="single"/>
        </w:rPr>
        <w:pPrChange w:id="5156" w:author="AbbVie2" w:date="2025-05-13T16:40:00Z">
          <w:pPr>
            <w:pStyle w:val="Heading4"/>
            <w:keepNext w:val="0"/>
            <w:autoSpaceDE w:val="0"/>
            <w:autoSpaceDN w:val="0"/>
            <w:adjustRightInd w:val="0"/>
            <w:spacing w:line="240" w:lineRule="auto"/>
            <w:jc w:val="left"/>
          </w:pPr>
        </w:pPrChange>
      </w:pPr>
    </w:p>
    <w:p w14:paraId="7DD7C755" w14:textId="5CB466BC" w:rsidR="004462A0" w:rsidRPr="008912CF" w:rsidRDefault="00615769">
      <w:pPr>
        <w:rPr>
          <w:del w:id="5157" w:author="AbbVie2" w:date="2025-05-13T16:39:00Z"/>
          <w:szCs w:val="22"/>
          <w:u w:val="single"/>
        </w:rPr>
        <w:pPrChange w:id="5158" w:author="AbbVie2" w:date="2025-05-13T16:40:00Z">
          <w:pPr>
            <w:pStyle w:val="Heading4"/>
            <w:keepNext w:val="0"/>
            <w:autoSpaceDE w:val="0"/>
            <w:autoSpaceDN w:val="0"/>
            <w:adjustRightInd w:val="0"/>
            <w:spacing w:line="240" w:lineRule="auto"/>
            <w:jc w:val="left"/>
          </w:pPr>
        </w:pPrChange>
      </w:pPr>
      <w:del w:id="5159" w:author="AbbVie2" w:date="2025-05-13T16:39:00Z">
        <w:r w:rsidRPr="008912CF">
          <w:rPr>
            <w:szCs w:val="22"/>
            <w:u w:val="single"/>
          </w:rPr>
          <w:delText xml:space="preserve">Infeções </w:delText>
        </w:r>
      </w:del>
    </w:p>
    <w:p w14:paraId="5A06F3B3" w14:textId="0FD61E1B" w:rsidR="004462A0" w:rsidRPr="008912CF" w:rsidRDefault="004462A0" w:rsidP="00412FC8">
      <w:pPr>
        <w:rPr>
          <w:del w:id="5160" w:author="AbbVie2" w:date="2025-05-13T16:39:00Z"/>
          <w:sz w:val="22"/>
          <w:szCs w:val="22"/>
        </w:rPr>
      </w:pPr>
    </w:p>
    <w:p w14:paraId="57C0028D" w14:textId="5895A340" w:rsidR="004462A0" w:rsidRPr="008912CF" w:rsidRDefault="00615769" w:rsidP="00412FC8">
      <w:pPr>
        <w:rPr>
          <w:del w:id="5161" w:author="AbbVie2" w:date="2025-05-13T16:39:00Z"/>
          <w:sz w:val="22"/>
          <w:szCs w:val="22"/>
        </w:rPr>
      </w:pPr>
      <w:del w:id="5162" w:author="AbbVie2" w:date="2025-05-13T16:39:00Z">
        <w:r w:rsidRPr="008912CF">
          <w:rPr>
            <w:sz w:val="22"/>
            <w:szCs w:val="22"/>
          </w:rPr>
          <w:delText>Doentes tratados com antagonistas</w:delText>
        </w:r>
        <w:r w:rsidRPr="008912CF">
          <w:rPr>
            <w:sz w:val="22"/>
            <w:szCs w:val="22"/>
          </w:rPr>
          <w:noBreakHyphen/>
          <w:delText>TNF são mais suscetíveis a infeções graves. Função pulmonar comprometida pode aumentar o risco de desenvolver infeções. Os doentes devem por isso ser cuidadosamente monitorizados para despiste de infeções, incluindo tuberculose, antes, durante e após o tratamento com Humira. Dado que a eliminação de adalimumab pode levar até quatro meses, a monitorização deve ser continuada durante este período de tempo.</w:delText>
        </w:r>
      </w:del>
    </w:p>
    <w:p w14:paraId="7C2EC3F8" w14:textId="7FA4B858" w:rsidR="004462A0" w:rsidRPr="008912CF" w:rsidRDefault="004462A0">
      <w:pPr>
        <w:rPr>
          <w:del w:id="5163" w:author="AbbVie2" w:date="2025-05-13T16:39:00Z"/>
          <w:sz w:val="22"/>
          <w:szCs w:val="22"/>
        </w:rPr>
        <w:pPrChange w:id="5164" w:author="AbbVie2" w:date="2025-05-13T16:40:00Z">
          <w:pPr>
            <w:autoSpaceDE w:val="0"/>
            <w:autoSpaceDN w:val="0"/>
            <w:adjustRightInd w:val="0"/>
          </w:pPr>
        </w:pPrChange>
      </w:pPr>
    </w:p>
    <w:p w14:paraId="2920FEC0" w14:textId="4C458773" w:rsidR="004462A0" w:rsidRPr="008912CF" w:rsidRDefault="00615769">
      <w:pPr>
        <w:rPr>
          <w:del w:id="5165" w:author="AbbVie2" w:date="2025-05-13T16:39:00Z"/>
          <w:sz w:val="22"/>
          <w:szCs w:val="22"/>
        </w:rPr>
        <w:pPrChange w:id="5166" w:author="AbbVie2" w:date="2025-05-13T16:40:00Z">
          <w:pPr>
            <w:autoSpaceDE w:val="0"/>
            <w:autoSpaceDN w:val="0"/>
            <w:adjustRightInd w:val="0"/>
          </w:pPr>
        </w:pPrChange>
      </w:pPr>
      <w:del w:id="5167" w:author="AbbVie2" w:date="2025-05-13T16:39:00Z">
        <w:r w:rsidRPr="008912CF">
          <w:rPr>
            <w:sz w:val="22"/>
            <w:szCs w:val="22"/>
          </w:rPr>
          <w:delText xml:space="preserve">O tratamento com Humira não deve ser iniciado em doentes com infeções ativas, incluindo infeções crónicas ou localizadas, até que as mesmas estejam controladas. Nos doentes que foram expostos à tuberculose e doentes que viajaram para zonas de alto risco de tuberculose ou micoses endémicas, tais como histoplasmose, </w:delText>
        </w:r>
        <w:r w:rsidRPr="008912CF">
          <w:rPr>
            <w:color w:val="000000"/>
            <w:sz w:val="22"/>
            <w:szCs w:val="22"/>
          </w:rPr>
          <w:delText>coccidioidomicose</w:delText>
        </w:r>
        <w:r w:rsidRPr="008912CF">
          <w:rPr>
            <w:sz w:val="22"/>
            <w:szCs w:val="22"/>
          </w:rPr>
          <w:delText>, ou blastomicose, deverá ser considerado o risco e os benefícios do tratamento com Humira antes de iniciar a terapêutica (</w:delText>
        </w:r>
        <w:r w:rsidRPr="00DF5632">
          <w:rPr>
            <w:iCs/>
            <w:sz w:val="22"/>
            <w:szCs w:val="22"/>
          </w:rPr>
          <w:delText>ver</w:delText>
        </w:r>
        <w:r w:rsidRPr="008912CF">
          <w:rPr>
            <w:i/>
            <w:iCs/>
            <w:sz w:val="22"/>
            <w:szCs w:val="22"/>
          </w:rPr>
          <w:delText xml:space="preserve"> Outras infeções oportunistas</w:delText>
        </w:r>
        <w:r w:rsidRPr="008912CF">
          <w:rPr>
            <w:sz w:val="22"/>
            <w:szCs w:val="22"/>
          </w:rPr>
          <w:delText>).</w:delText>
        </w:r>
      </w:del>
    </w:p>
    <w:p w14:paraId="71D9D6C0" w14:textId="226A130E" w:rsidR="004462A0" w:rsidRPr="008912CF" w:rsidRDefault="004462A0">
      <w:pPr>
        <w:rPr>
          <w:del w:id="5168" w:author="AbbVie2" w:date="2025-05-13T16:39:00Z"/>
          <w:sz w:val="22"/>
          <w:szCs w:val="22"/>
        </w:rPr>
        <w:pPrChange w:id="5169" w:author="AbbVie2" w:date="2025-05-13T16:40:00Z">
          <w:pPr>
            <w:autoSpaceDE w:val="0"/>
            <w:autoSpaceDN w:val="0"/>
            <w:adjustRightInd w:val="0"/>
          </w:pPr>
        </w:pPrChange>
      </w:pPr>
    </w:p>
    <w:p w14:paraId="4D107D22" w14:textId="610099FC" w:rsidR="004462A0" w:rsidRPr="008912CF" w:rsidRDefault="00615769">
      <w:pPr>
        <w:rPr>
          <w:del w:id="5170" w:author="AbbVie2" w:date="2025-05-13T16:39:00Z"/>
          <w:sz w:val="22"/>
          <w:szCs w:val="22"/>
        </w:rPr>
        <w:pPrChange w:id="5171" w:author="AbbVie2" w:date="2025-05-13T16:40:00Z">
          <w:pPr>
            <w:autoSpaceDE w:val="0"/>
            <w:autoSpaceDN w:val="0"/>
            <w:adjustRightInd w:val="0"/>
          </w:pPr>
        </w:pPrChange>
      </w:pPr>
      <w:del w:id="5172" w:author="AbbVie2" w:date="2025-05-13T16:39:00Z">
        <w:r w:rsidRPr="008912CF">
          <w:rPr>
            <w:sz w:val="22"/>
            <w:szCs w:val="22"/>
          </w:rPr>
          <w:delText>Os doentes que desenvolvam uma nova infeção no decurso do tratamento com Humira devem ser cuidadosamente monitorizados e submetidos a uma avaliação completa do diagnóstico. A administração de Humira deve ser interrompida se um doente desenvolver uma nova infeção grave ou sepsia, e deve ser iniciada uma terapêutica antimicrobiana ou antifúngica apropriada até controlo da infeção. Os médicos devem ter precaução quando consideram o uso de Humira em doentes com história de infeção recorrente ou com condições su</w:delText>
        </w:r>
        <w:r w:rsidRPr="008912CF">
          <w:rPr>
            <w:sz w:val="22"/>
            <w:szCs w:val="22"/>
          </w:rPr>
          <w:delText>bjacentes suscetíveis de os predispor a infeções, incluindo o uso concomitante de medicação imunossupressora.</w:delText>
        </w:r>
      </w:del>
    </w:p>
    <w:p w14:paraId="0C9D6516" w14:textId="6F203BE6" w:rsidR="004462A0" w:rsidRPr="008912CF" w:rsidRDefault="004462A0">
      <w:pPr>
        <w:rPr>
          <w:del w:id="5173" w:author="AbbVie2" w:date="2025-05-13T16:39:00Z"/>
          <w:sz w:val="22"/>
          <w:szCs w:val="22"/>
        </w:rPr>
        <w:pPrChange w:id="5174" w:author="AbbVie2" w:date="2025-05-13T16:40:00Z">
          <w:pPr>
            <w:autoSpaceDE w:val="0"/>
            <w:autoSpaceDN w:val="0"/>
            <w:adjustRightInd w:val="0"/>
          </w:pPr>
        </w:pPrChange>
      </w:pPr>
    </w:p>
    <w:p w14:paraId="0D3BA768" w14:textId="171ABBCC" w:rsidR="004462A0" w:rsidRPr="008912CF" w:rsidRDefault="00615769">
      <w:pPr>
        <w:rPr>
          <w:del w:id="5175" w:author="AbbVie2" w:date="2025-05-13T16:39:00Z"/>
          <w:i/>
          <w:iCs/>
          <w:sz w:val="22"/>
          <w:szCs w:val="22"/>
        </w:rPr>
        <w:pPrChange w:id="5176" w:author="AbbVie2" w:date="2025-05-13T16:40:00Z">
          <w:pPr>
            <w:keepNext/>
            <w:autoSpaceDE w:val="0"/>
            <w:autoSpaceDN w:val="0"/>
            <w:adjustRightInd w:val="0"/>
          </w:pPr>
        </w:pPrChange>
      </w:pPr>
      <w:del w:id="5177" w:author="AbbVie2" w:date="2025-05-13T16:39:00Z">
        <w:r w:rsidRPr="008912CF">
          <w:rPr>
            <w:i/>
            <w:iCs/>
            <w:sz w:val="22"/>
            <w:szCs w:val="22"/>
          </w:rPr>
          <w:delText>Infeções graves</w:delText>
        </w:r>
      </w:del>
    </w:p>
    <w:p w14:paraId="4491ECEA" w14:textId="77A33927" w:rsidR="004462A0" w:rsidRPr="008912CF" w:rsidRDefault="004462A0">
      <w:pPr>
        <w:rPr>
          <w:del w:id="5178" w:author="AbbVie2" w:date="2025-05-13T16:39:00Z"/>
          <w:sz w:val="22"/>
          <w:szCs w:val="22"/>
        </w:rPr>
        <w:pPrChange w:id="5179" w:author="AbbVie2" w:date="2025-05-13T16:40:00Z">
          <w:pPr>
            <w:keepNext/>
            <w:autoSpaceDE w:val="0"/>
            <w:autoSpaceDN w:val="0"/>
            <w:adjustRightInd w:val="0"/>
          </w:pPr>
        </w:pPrChange>
      </w:pPr>
    </w:p>
    <w:p w14:paraId="2D3AA653" w14:textId="03B03EEE" w:rsidR="004462A0" w:rsidRPr="008912CF" w:rsidRDefault="00615769">
      <w:pPr>
        <w:rPr>
          <w:del w:id="5180" w:author="AbbVie2" w:date="2025-05-13T16:39:00Z"/>
          <w:sz w:val="22"/>
          <w:szCs w:val="22"/>
        </w:rPr>
        <w:pPrChange w:id="5181" w:author="AbbVie2" w:date="2025-05-13T16:40:00Z">
          <w:pPr>
            <w:keepNext/>
            <w:autoSpaceDE w:val="0"/>
            <w:autoSpaceDN w:val="0"/>
            <w:adjustRightInd w:val="0"/>
          </w:pPr>
        </w:pPrChange>
      </w:pPr>
      <w:del w:id="5182" w:author="AbbVie2" w:date="2025-05-13T16:39:00Z">
        <w:r w:rsidRPr="008912CF">
          <w:rPr>
            <w:sz w:val="22"/>
            <w:szCs w:val="22"/>
          </w:rPr>
          <w:delText xml:space="preserve">Foram notificadas infeções graves, incluindo sepsia, devido a infeções bacterianas, micobacterianas, fúngicas, parasitárias e virais invasivas, ou outras infeções oportunistas tais como listeriose, </w:delText>
        </w:r>
        <w:r w:rsidRPr="008912CF">
          <w:rPr>
            <w:sz w:val="22"/>
            <w:u w:color="0000FF"/>
          </w:rPr>
          <w:delText>legionelose</w:delText>
        </w:r>
        <w:r w:rsidRPr="008912CF">
          <w:rPr>
            <w:sz w:val="22"/>
            <w:szCs w:val="22"/>
          </w:rPr>
          <w:delText xml:space="preserve"> e </w:delText>
        </w:r>
        <w:r w:rsidRPr="008912CF">
          <w:rPr>
            <w:iCs/>
            <w:sz w:val="22"/>
            <w:szCs w:val="22"/>
          </w:rPr>
          <w:delText>pneumocistose</w:delText>
        </w:r>
        <w:r w:rsidRPr="008912CF">
          <w:rPr>
            <w:i/>
            <w:iCs/>
            <w:sz w:val="22"/>
            <w:szCs w:val="22"/>
          </w:rPr>
          <w:delText>,</w:delText>
        </w:r>
        <w:r w:rsidRPr="008912CF">
          <w:rPr>
            <w:sz w:val="22"/>
            <w:szCs w:val="22"/>
          </w:rPr>
          <w:delText xml:space="preserve"> em doentes tratados com Humira.</w:delText>
        </w:r>
      </w:del>
    </w:p>
    <w:p w14:paraId="3E0B8569" w14:textId="1B6AE896" w:rsidR="004462A0" w:rsidRPr="008912CF" w:rsidRDefault="004462A0">
      <w:pPr>
        <w:rPr>
          <w:del w:id="5183" w:author="AbbVie2" w:date="2025-05-13T16:39:00Z"/>
          <w:sz w:val="22"/>
          <w:szCs w:val="22"/>
        </w:rPr>
        <w:pPrChange w:id="5184" w:author="AbbVie2" w:date="2025-05-13T16:40:00Z">
          <w:pPr>
            <w:autoSpaceDE w:val="0"/>
            <w:autoSpaceDN w:val="0"/>
            <w:adjustRightInd w:val="0"/>
          </w:pPr>
        </w:pPrChange>
      </w:pPr>
    </w:p>
    <w:p w14:paraId="5B09DD04" w14:textId="3C275988" w:rsidR="004462A0" w:rsidRPr="008912CF" w:rsidRDefault="00615769">
      <w:pPr>
        <w:rPr>
          <w:del w:id="5185" w:author="AbbVie2" w:date="2025-05-13T16:39:00Z"/>
          <w:sz w:val="22"/>
          <w:szCs w:val="22"/>
        </w:rPr>
        <w:pPrChange w:id="5186" w:author="AbbVie2" w:date="2025-05-13T16:40:00Z">
          <w:pPr>
            <w:autoSpaceDE w:val="0"/>
            <w:autoSpaceDN w:val="0"/>
            <w:adjustRightInd w:val="0"/>
          </w:pPr>
        </w:pPrChange>
      </w:pPr>
      <w:del w:id="5187" w:author="AbbVie2" w:date="2025-05-13T16:39:00Z">
        <w:r w:rsidRPr="008912CF">
          <w:rPr>
            <w:sz w:val="22"/>
            <w:szCs w:val="22"/>
          </w:rPr>
          <w:delText>Outras infeções graves observadas em ensaios clínicos incluem pneumonia, pielonefrite, artrite séptica e septicemia. Foram notificadas hospitalizações ou casos fatais associadas a infeções.</w:delText>
        </w:r>
      </w:del>
    </w:p>
    <w:p w14:paraId="2470D46C" w14:textId="4CA29BEF" w:rsidR="004462A0" w:rsidRPr="008912CF" w:rsidRDefault="004462A0">
      <w:pPr>
        <w:rPr>
          <w:del w:id="5188" w:author="AbbVie2" w:date="2025-05-13T16:39:00Z"/>
          <w:sz w:val="22"/>
          <w:szCs w:val="22"/>
        </w:rPr>
        <w:pPrChange w:id="5189" w:author="AbbVie2" w:date="2025-05-13T16:40:00Z">
          <w:pPr>
            <w:autoSpaceDE w:val="0"/>
            <w:autoSpaceDN w:val="0"/>
            <w:adjustRightInd w:val="0"/>
          </w:pPr>
        </w:pPrChange>
      </w:pPr>
    </w:p>
    <w:p w14:paraId="1791F147" w14:textId="12DFD849" w:rsidR="004462A0" w:rsidRPr="008912CF" w:rsidRDefault="00615769">
      <w:pPr>
        <w:rPr>
          <w:del w:id="5190" w:author="AbbVie2" w:date="2025-05-13T16:39:00Z"/>
          <w:i/>
          <w:iCs/>
          <w:sz w:val="22"/>
          <w:szCs w:val="22"/>
        </w:rPr>
        <w:pPrChange w:id="5191" w:author="AbbVie2" w:date="2025-05-13T16:40:00Z">
          <w:pPr>
            <w:keepNext/>
            <w:autoSpaceDE w:val="0"/>
            <w:autoSpaceDN w:val="0"/>
            <w:adjustRightInd w:val="0"/>
          </w:pPr>
        </w:pPrChange>
      </w:pPr>
      <w:del w:id="5192" w:author="AbbVie2" w:date="2025-05-13T16:39:00Z">
        <w:r w:rsidRPr="008912CF">
          <w:rPr>
            <w:i/>
            <w:iCs/>
            <w:sz w:val="22"/>
            <w:szCs w:val="22"/>
          </w:rPr>
          <w:delText>Tuberculose</w:delText>
        </w:r>
      </w:del>
    </w:p>
    <w:p w14:paraId="54E1F38E" w14:textId="30792477" w:rsidR="004462A0" w:rsidRPr="008912CF" w:rsidRDefault="004462A0">
      <w:pPr>
        <w:rPr>
          <w:del w:id="5193" w:author="AbbVie2" w:date="2025-05-13T16:39:00Z"/>
          <w:sz w:val="22"/>
          <w:szCs w:val="22"/>
        </w:rPr>
        <w:pPrChange w:id="5194" w:author="AbbVie2" w:date="2025-05-13T16:40:00Z">
          <w:pPr>
            <w:keepNext/>
            <w:autoSpaceDE w:val="0"/>
            <w:autoSpaceDN w:val="0"/>
            <w:adjustRightInd w:val="0"/>
          </w:pPr>
        </w:pPrChange>
      </w:pPr>
    </w:p>
    <w:p w14:paraId="7B49625A" w14:textId="777CF6F2" w:rsidR="004462A0" w:rsidRPr="008912CF" w:rsidRDefault="00615769">
      <w:pPr>
        <w:rPr>
          <w:del w:id="5195" w:author="AbbVie2" w:date="2025-05-13T16:39:00Z"/>
          <w:sz w:val="22"/>
          <w:szCs w:val="22"/>
        </w:rPr>
        <w:pPrChange w:id="5196" w:author="AbbVie2" w:date="2025-05-13T16:40:00Z">
          <w:pPr>
            <w:keepNext/>
            <w:autoSpaceDE w:val="0"/>
            <w:autoSpaceDN w:val="0"/>
            <w:adjustRightInd w:val="0"/>
          </w:pPr>
        </w:pPrChange>
      </w:pPr>
      <w:del w:id="5197" w:author="AbbVie2" w:date="2025-05-13T16:39:00Z">
        <w:r w:rsidRPr="008912CF">
          <w:rPr>
            <w:sz w:val="22"/>
            <w:szCs w:val="22"/>
          </w:rPr>
          <w:delText>Foram notificados casos de tuberculose</w:delText>
        </w:r>
        <w:r w:rsidR="008A40F5">
          <w:rPr>
            <w:sz w:val="22"/>
            <w:szCs w:val="22"/>
          </w:rPr>
          <w:delText>,</w:delText>
        </w:r>
        <w:r w:rsidRPr="008912CF">
          <w:rPr>
            <w:sz w:val="22"/>
            <w:szCs w:val="22"/>
          </w:rPr>
          <w:delText xml:space="preserve"> incluindo reativação e novo aparecimento de tuberculose</w:delText>
        </w:r>
        <w:r w:rsidR="008A40F5">
          <w:rPr>
            <w:sz w:val="22"/>
            <w:szCs w:val="22"/>
          </w:rPr>
          <w:delText>,</w:delText>
        </w:r>
        <w:r w:rsidRPr="008912CF">
          <w:rPr>
            <w:sz w:val="22"/>
            <w:szCs w:val="22"/>
          </w:rPr>
          <w:delText xml:space="preserve"> em doentes tratados com Humira. Os casos notificados incluíram tuberculose pulmonar e extrapulmonar (isto é</w:delText>
        </w:r>
        <w:r w:rsidR="0084367E">
          <w:rPr>
            <w:sz w:val="22"/>
            <w:szCs w:val="22"/>
          </w:rPr>
          <w:delText>,</w:delText>
        </w:r>
        <w:r w:rsidRPr="008912CF">
          <w:rPr>
            <w:sz w:val="22"/>
            <w:szCs w:val="22"/>
          </w:rPr>
          <w:delText xml:space="preserve"> disseminada).</w:delText>
        </w:r>
      </w:del>
    </w:p>
    <w:p w14:paraId="494F19BF" w14:textId="101AA9EA" w:rsidR="004462A0" w:rsidRPr="008912CF" w:rsidRDefault="004462A0">
      <w:pPr>
        <w:rPr>
          <w:del w:id="5198" w:author="AbbVie2" w:date="2025-05-13T16:39:00Z"/>
          <w:sz w:val="22"/>
          <w:szCs w:val="22"/>
        </w:rPr>
        <w:pPrChange w:id="5199" w:author="AbbVie2" w:date="2025-05-13T16:40:00Z">
          <w:pPr>
            <w:autoSpaceDE w:val="0"/>
            <w:autoSpaceDN w:val="0"/>
            <w:adjustRightInd w:val="0"/>
          </w:pPr>
        </w:pPrChange>
      </w:pPr>
    </w:p>
    <w:p w14:paraId="7A9B8262" w14:textId="7F0EF868" w:rsidR="004462A0" w:rsidRPr="008912CF" w:rsidRDefault="00615769">
      <w:pPr>
        <w:rPr>
          <w:del w:id="5200" w:author="AbbVie2" w:date="2025-05-13T16:39:00Z"/>
          <w:szCs w:val="22"/>
          <w:u w:val="single"/>
        </w:rPr>
        <w:pPrChange w:id="5201" w:author="AbbVie2" w:date="2025-05-13T16:40:00Z">
          <w:pPr>
            <w:pStyle w:val="BodyText2"/>
          </w:pPr>
        </w:pPrChange>
      </w:pPr>
      <w:del w:id="5202" w:author="AbbVie2" w:date="2025-05-13T16:39:00Z">
        <w:r w:rsidRPr="008912CF">
          <w:rPr>
            <w:szCs w:val="22"/>
          </w:rPr>
          <w:delText>Antes de iniciar a terapêutica com Humira, todos os doentes devem ser avaliados para despiste da presença de infeção por tuberculose</w:delText>
        </w:r>
        <w:r w:rsidR="0084367E">
          <w:rPr>
            <w:szCs w:val="22"/>
          </w:rPr>
          <w:delText>,</w:delText>
        </w:r>
        <w:r w:rsidRPr="008912CF">
          <w:rPr>
            <w:szCs w:val="22"/>
          </w:rPr>
          <w:delText xml:space="preserve"> tanto ativa como inativa (“latente”). Esta avaliação deve incluir uma avaliação clínica detalhada dos doentes com antecedentes da tuberculose ou de uma possível exposição prévia a indivíduos com tuberculose ativa e uma terapêutica imunossupressora prévia e/ou presente. Devem realizar-se exames de despiste apropriados (isto é, teste de tuberculina e radiografia do tórax) em todos os doentes (devem aplicar-se as recomendações locais). A realização e o resultado destes exames são registados no </w:delText>
        </w:r>
        <w:r w:rsidR="00E02FA8">
          <w:rPr>
            <w:szCs w:val="22"/>
          </w:rPr>
          <w:delText>C</w:delText>
        </w:r>
        <w:r w:rsidRPr="008912CF">
          <w:rPr>
            <w:szCs w:val="22"/>
          </w:rPr>
          <w:delText xml:space="preserve">artão de </w:delText>
        </w:r>
        <w:r w:rsidR="00E02FA8">
          <w:rPr>
            <w:szCs w:val="22"/>
          </w:rPr>
          <w:delText>S</w:delText>
        </w:r>
        <w:r w:rsidRPr="008912CF">
          <w:rPr>
            <w:szCs w:val="22"/>
          </w:rPr>
          <w:delText xml:space="preserve">egurança do </w:delText>
        </w:r>
        <w:r w:rsidR="00E02FA8">
          <w:rPr>
            <w:szCs w:val="22"/>
          </w:rPr>
          <w:delText>D</w:delText>
        </w:r>
        <w:r w:rsidRPr="008912CF">
          <w:rPr>
            <w:szCs w:val="22"/>
          </w:rPr>
          <w:delText>oente. O médico prescritor deve ser avisado sobre o risco de resultados falsos negativos nos testes de tuberculina, especialmente nos doentes em estado grave ou imunocomprometidos.</w:delText>
        </w:r>
      </w:del>
    </w:p>
    <w:p w14:paraId="3AE5ED2D" w14:textId="7C5CAA9C" w:rsidR="004462A0" w:rsidRPr="008912CF" w:rsidRDefault="004462A0">
      <w:pPr>
        <w:rPr>
          <w:del w:id="5203" w:author="AbbVie2" w:date="2025-05-13T16:39:00Z"/>
          <w:szCs w:val="22"/>
        </w:rPr>
        <w:pPrChange w:id="5204" w:author="AbbVie2" w:date="2025-05-13T16:40:00Z">
          <w:pPr>
            <w:pStyle w:val="EndnoteText"/>
          </w:pPr>
        </w:pPrChange>
      </w:pPr>
    </w:p>
    <w:p w14:paraId="21C8AFB1" w14:textId="2AC31C0D" w:rsidR="004462A0" w:rsidRPr="008912CF" w:rsidRDefault="00615769">
      <w:pPr>
        <w:rPr>
          <w:del w:id="5205" w:author="AbbVie2" w:date="2025-05-13T16:39:00Z"/>
          <w:szCs w:val="22"/>
        </w:rPr>
        <w:pPrChange w:id="5206" w:author="AbbVie2" w:date="2025-05-13T16:40:00Z">
          <w:pPr>
            <w:pStyle w:val="EndnoteText"/>
          </w:pPr>
        </w:pPrChange>
      </w:pPr>
      <w:del w:id="5207" w:author="AbbVie2" w:date="2025-05-13T16:39:00Z">
        <w:r w:rsidRPr="008912CF">
          <w:rPr>
            <w:szCs w:val="22"/>
          </w:rPr>
          <w:delText>Não se deve iniciar a terapêutica com Humira em caso de diagnóstico de tuberculose ativa (ver secção 4.3).</w:delText>
        </w:r>
        <w:r w:rsidRPr="008912CF">
          <w:rPr>
            <w:i/>
            <w:szCs w:val="22"/>
          </w:rPr>
          <w:delText xml:space="preserve"> </w:delText>
        </w:r>
      </w:del>
    </w:p>
    <w:p w14:paraId="2B08D2B3" w14:textId="1A17EC20" w:rsidR="004462A0" w:rsidRPr="008912CF" w:rsidRDefault="004462A0" w:rsidP="00412FC8">
      <w:pPr>
        <w:rPr>
          <w:del w:id="5208" w:author="AbbVie2" w:date="2025-05-13T16:39:00Z"/>
          <w:sz w:val="22"/>
          <w:szCs w:val="22"/>
        </w:rPr>
      </w:pPr>
    </w:p>
    <w:p w14:paraId="0C87D5C0" w14:textId="0E0994C2" w:rsidR="004462A0" w:rsidRPr="008912CF" w:rsidRDefault="00615769" w:rsidP="00412FC8">
      <w:pPr>
        <w:rPr>
          <w:del w:id="5209" w:author="AbbVie2" w:date="2025-05-13T16:39:00Z"/>
          <w:i/>
          <w:sz w:val="22"/>
          <w:szCs w:val="22"/>
        </w:rPr>
      </w:pPr>
      <w:del w:id="5210" w:author="AbbVie2" w:date="2025-05-13T16:39:00Z">
        <w:r w:rsidRPr="008912CF">
          <w:rPr>
            <w:iCs/>
            <w:sz w:val="22"/>
            <w:szCs w:val="22"/>
          </w:rPr>
          <w:delText>Em todas as</w:delText>
        </w:r>
        <w:r w:rsidRPr="008912CF">
          <w:rPr>
            <w:sz w:val="22"/>
            <w:szCs w:val="22"/>
          </w:rPr>
          <w:delText xml:space="preserve"> situações abaixo descritas, a relação benefício/risco da terapêutica deve ser muito cuidadosamente ponderada.</w:delText>
        </w:r>
      </w:del>
    </w:p>
    <w:p w14:paraId="521FED7B" w14:textId="209C8502" w:rsidR="004462A0" w:rsidRPr="008912CF" w:rsidRDefault="004462A0" w:rsidP="00412FC8">
      <w:pPr>
        <w:rPr>
          <w:del w:id="5211" w:author="AbbVie2" w:date="2025-05-13T16:39:00Z"/>
          <w:sz w:val="22"/>
          <w:szCs w:val="22"/>
        </w:rPr>
      </w:pPr>
    </w:p>
    <w:p w14:paraId="2DE67382" w14:textId="0F71DFFD" w:rsidR="004462A0" w:rsidRPr="008912CF" w:rsidRDefault="00615769" w:rsidP="00412FC8">
      <w:pPr>
        <w:rPr>
          <w:del w:id="5212" w:author="AbbVie2" w:date="2025-05-13T16:39:00Z"/>
          <w:i/>
          <w:sz w:val="22"/>
          <w:szCs w:val="22"/>
        </w:rPr>
      </w:pPr>
      <w:del w:id="5213" w:author="AbbVie2" w:date="2025-05-13T16:39:00Z">
        <w:r w:rsidRPr="008912CF">
          <w:rPr>
            <w:sz w:val="22"/>
            <w:szCs w:val="22"/>
          </w:rPr>
          <w:delText>Em caso de suspeita de tuberculose latente, deve ser consultado um médico com experiência no tratamento da tuberculose</w:delText>
        </w:r>
        <w:r w:rsidRPr="008912CF">
          <w:rPr>
            <w:iCs/>
            <w:sz w:val="22"/>
            <w:szCs w:val="22"/>
          </w:rPr>
          <w:delText xml:space="preserve">. </w:delText>
        </w:r>
      </w:del>
    </w:p>
    <w:p w14:paraId="7CEA044F" w14:textId="1EAA948D" w:rsidR="004462A0" w:rsidRPr="008912CF" w:rsidRDefault="004462A0" w:rsidP="00412FC8">
      <w:pPr>
        <w:rPr>
          <w:del w:id="5214" w:author="AbbVie2" w:date="2025-05-13T16:39:00Z"/>
          <w:color w:val="000000"/>
          <w:sz w:val="22"/>
          <w:szCs w:val="22"/>
        </w:rPr>
      </w:pPr>
    </w:p>
    <w:p w14:paraId="38B452D8" w14:textId="44D9C915" w:rsidR="004462A0" w:rsidRPr="008912CF" w:rsidRDefault="00615769">
      <w:pPr>
        <w:rPr>
          <w:del w:id="5215" w:author="AbbVie2" w:date="2025-05-13T16:39:00Z"/>
          <w:snapToGrid w:val="0"/>
          <w:sz w:val="22"/>
          <w:szCs w:val="22"/>
        </w:rPr>
        <w:pPrChange w:id="5216" w:author="AbbVie2" w:date="2025-05-13T16:40:00Z">
          <w:pPr>
            <w:autoSpaceDE w:val="0"/>
            <w:autoSpaceDN w:val="0"/>
            <w:adjustRightInd w:val="0"/>
          </w:pPr>
        </w:pPrChange>
      </w:pPr>
      <w:del w:id="5217" w:author="AbbVie2" w:date="2025-05-13T16:39:00Z">
        <w:r w:rsidRPr="008912CF">
          <w:rPr>
            <w:sz w:val="22"/>
            <w:szCs w:val="22"/>
          </w:rPr>
          <w:delText xml:space="preserve">Em caso de diagnóstico de tuberculose latente, deve ser iniciada </w:delText>
        </w:r>
        <w:r w:rsidR="00FD757B">
          <w:rPr>
            <w:sz w:val="22"/>
            <w:szCs w:val="22"/>
          </w:rPr>
          <w:delText>terapêutica apropriada de</w:delText>
        </w:r>
        <w:r w:rsidR="00FD757B" w:rsidRPr="008912CF">
          <w:rPr>
            <w:sz w:val="22"/>
            <w:szCs w:val="22"/>
          </w:rPr>
          <w:delText xml:space="preserve"> </w:delText>
        </w:r>
        <w:r w:rsidRPr="008912CF">
          <w:rPr>
            <w:sz w:val="22"/>
            <w:szCs w:val="22"/>
          </w:rPr>
          <w:delText>profilaxia anti</w:delText>
        </w:r>
        <w:r w:rsidR="00FD757B">
          <w:rPr>
            <w:sz w:val="22"/>
            <w:szCs w:val="22"/>
          </w:rPr>
          <w:delText>-</w:delText>
        </w:r>
        <w:r w:rsidRPr="008912CF">
          <w:rPr>
            <w:sz w:val="22"/>
            <w:szCs w:val="22"/>
          </w:rPr>
          <w:delText xml:space="preserve">tuberculose antes do início do tratamento com Humira, e de acordo com as recomendações locais. </w:delText>
        </w:r>
      </w:del>
    </w:p>
    <w:p w14:paraId="78DB03F4" w14:textId="7204055D" w:rsidR="004462A0" w:rsidRPr="008912CF" w:rsidRDefault="004462A0">
      <w:pPr>
        <w:rPr>
          <w:del w:id="5218" w:author="AbbVie2" w:date="2025-05-13T16:39:00Z"/>
          <w:sz w:val="22"/>
          <w:szCs w:val="22"/>
        </w:rPr>
        <w:pPrChange w:id="5219" w:author="AbbVie2" w:date="2025-05-13T16:40:00Z">
          <w:pPr>
            <w:autoSpaceDE w:val="0"/>
            <w:autoSpaceDN w:val="0"/>
            <w:adjustRightInd w:val="0"/>
          </w:pPr>
        </w:pPrChange>
      </w:pPr>
    </w:p>
    <w:p w14:paraId="05339F88" w14:textId="369319C7" w:rsidR="004462A0" w:rsidRPr="008912CF" w:rsidRDefault="00615769">
      <w:pPr>
        <w:rPr>
          <w:del w:id="5220" w:author="AbbVie2" w:date="2025-05-13T16:39:00Z"/>
          <w:sz w:val="22"/>
          <w:szCs w:val="22"/>
        </w:rPr>
        <w:pPrChange w:id="5221" w:author="AbbVie2" w:date="2025-05-13T16:40:00Z">
          <w:pPr>
            <w:autoSpaceDE w:val="0"/>
            <w:autoSpaceDN w:val="0"/>
            <w:adjustRightInd w:val="0"/>
          </w:pPr>
        </w:pPrChange>
      </w:pPr>
      <w:del w:id="5222" w:author="AbbVie2" w:date="2025-05-13T16:39:00Z">
        <w:r w:rsidRPr="008912CF">
          <w:rPr>
            <w:sz w:val="22"/>
            <w:szCs w:val="22"/>
          </w:rPr>
          <w:delText>A utilização de um tratamento de profilaxia da tuberculose deve também ser considerada</w:delText>
        </w:r>
        <w:r w:rsidR="00C50874">
          <w:rPr>
            <w:sz w:val="22"/>
            <w:szCs w:val="22"/>
          </w:rPr>
          <w:delText>, antes do início do tratamento com Humira,</w:delText>
        </w:r>
        <w:r w:rsidRPr="008912CF">
          <w:rPr>
            <w:sz w:val="22"/>
            <w:szCs w:val="22"/>
          </w:rPr>
          <w:delText xml:space="preserve"> em doentes com vários ou significantes fatores de risco de tuberculose apesar de um teste negativo à tuberculose e em doentes com uma história de tuberculose ativa ou latente, </w:delText>
        </w:r>
        <w:r w:rsidR="00C50874">
          <w:rPr>
            <w:sz w:val="22"/>
            <w:szCs w:val="22"/>
          </w:rPr>
          <w:delText>nos quais não pode ser confirmado</w:delText>
        </w:r>
        <w:r w:rsidRPr="008912CF">
          <w:rPr>
            <w:sz w:val="22"/>
            <w:szCs w:val="22"/>
          </w:rPr>
          <w:delText xml:space="preserve"> um adequado</w:delText>
        </w:r>
        <w:r w:rsidR="00C50874">
          <w:rPr>
            <w:sz w:val="22"/>
            <w:szCs w:val="22"/>
          </w:rPr>
          <w:delText xml:space="preserve"> curso de</w:delText>
        </w:r>
        <w:r w:rsidRPr="008912CF">
          <w:rPr>
            <w:sz w:val="22"/>
            <w:szCs w:val="22"/>
          </w:rPr>
          <w:delText xml:space="preserve"> tratamento. </w:delText>
        </w:r>
      </w:del>
    </w:p>
    <w:p w14:paraId="287BC97F" w14:textId="4450B2E5" w:rsidR="004462A0" w:rsidRPr="008912CF" w:rsidRDefault="004462A0">
      <w:pPr>
        <w:rPr>
          <w:del w:id="5223" w:author="AbbVie2" w:date="2025-05-13T16:39:00Z"/>
          <w:sz w:val="22"/>
          <w:szCs w:val="22"/>
        </w:rPr>
        <w:pPrChange w:id="5224" w:author="AbbVie2" w:date="2025-05-13T16:40:00Z">
          <w:pPr>
            <w:autoSpaceDE w:val="0"/>
            <w:autoSpaceDN w:val="0"/>
            <w:adjustRightInd w:val="0"/>
          </w:pPr>
        </w:pPrChange>
      </w:pPr>
    </w:p>
    <w:p w14:paraId="2FEDE39B" w14:textId="01EDB359" w:rsidR="004462A0" w:rsidRPr="008912CF" w:rsidRDefault="00615769">
      <w:pPr>
        <w:rPr>
          <w:del w:id="5225" w:author="AbbVie2" w:date="2025-05-13T16:39:00Z"/>
          <w:sz w:val="22"/>
          <w:szCs w:val="22"/>
        </w:rPr>
        <w:pPrChange w:id="5226" w:author="AbbVie2" w:date="2025-05-13T16:40:00Z">
          <w:pPr>
            <w:autoSpaceDE w:val="0"/>
            <w:autoSpaceDN w:val="0"/>
            <w:adjustRightInd w:val="0"/>
          </w:pPr>
        </w:pPrChange>
      </w:pPr>
      <w:del w:id="5227" w:author="AbbVie2" w:date="2025-05-13T16:39:00Z">
        <w:r w:rsidRPr="008912CF">
          <w:rPr>
            <w:sz w:val="22"/>
            <w:szCs w:val="22"/>
          </w:rPr>
          <w:delText>Apesar do tratamento profilático da tuberculose, ocorreram casos de reativação da tuberculose em doentes tratados com Humira. Alguns doentes em que o tratamento para a tuberculose ativa foi bem sucedido, voltaram a desenvolver tuberculose enquanto foram tratados com Humira.</w:delText>
        </w:r>
      </w:del>
    </w:p>
    <w:p w14:paraId="54417C50" w14:textId="17060ABE" w:rsidR="004462A0" w:rsidRPr="008912CF" w:rsidRDefault="004462A0">
      <w:pPr>
        <w:rPr>
          <w:del w:id="5228" w:author="AbbVie2" w:date="2025-05-13T16:39:00Z"/>
          <w:sz w:val="22"/>
          <w:szCs w:val="22"/>
        </w:rPr>
        <w:pPrChange w:id="5229" w:author="AbbVie2" w:date="2025-05-13T16:40:00Z">
          <w:pPr>
            <w:autoSpaceDE w:val="0"/>
            <w:autoSpaceDN w:val="0"/>
            <w:adjustRightInd w:val="0"/>
          </w:pPr>
        </w:pPrChange>
      </w:pPr>
    </w:p>
    <w:p w14:paraId="6F4ADC15" w14:textId="0D575F85" w:rsidR="004462A0" w:rsidRPr="008912CF" w:rsidRDefault="00615769">
      <w:pPr>
        <w:rPr>
          <w:del w:id="5230" w:author="AbbVie2" w:date="2025-05-13T16:39:00Z"/>
          <w:b/>
          <w:i/>
          <w:sz w:val="22"/>
          <w:szCs w:val="22"/>
        </w:rPr>
        <w:pPrChange w:id="5231" w:author="AbbVie2" w:date="2025-05-13T16:40:00Z">
          <w:pPr>
            <w:autoSpaceDE w:val="0"/>
            <w:autoSpaceDN w:val="0"/>
            <w:adjustRightInd w:val="0"/>
          </w:pPr>
        </w:pPrChange>
      </w:pPr>
      <w:del w:id="5232" w:author="AbbVie2" w:date="2025-05-13T16:39:00Z">
        <w:r w:rsidRPr="008912CF">
          <w:rPr>
            <w:sz w:val="22"/>
            <w:szCs w:val="22"/>
          </w:rPr>
          <w:delText>Os doentes devem ser aconselhados a consultar o médico se ocorrerem sinais/sintomas sugestivos de uma infeção por tuberculose (por ex., tosse persistente, emagrecimento/perda de peso, febre baixa, apatia) durante ou após a terapêutica com Humira.</w:delText>
        </w:r>
        <w:r w:rsidRPr="008912CF">
          <w:rPr>
            <w:b/>
            <w:i/>
            <w:sz w:val="22"/>
            <w:szCs w:val="22"/>
          </w:rPr>
          <w:delText xml:space="preserve"> </w:delText>
        </w:r>
      </w:del>
    </w:p>
    <w:p w14:paraId="25E9F55C" w14:textId="6BF8283D" w:rsidR="004462A0" w:rsidRPr="008912CF" w:rsidRDefault="004462A0">
      <w:pPr>
        <w:rPr>
          <w:del w:id="5233" w:author="AbbVie2" w:date="2025-05-13T16:39:00Z"/>
          <w:sz w:val="22"/>
          <w:szCs w:val="22"/>
        </w:rPr>
        <w:pPrChange w:id="5234" w:author="AbbVie2" w:date="2025-05-13T16:40:00Z">
          <w:pPr>
            <w:autoSpaceDE w:val="0"/>
            <w:autoSpaceDN w:val="0"/>
            <w:adjustRightInd w:val="0"/>
          </w:pPr>
        </w:pPrChange>
      </w:pPr>
    </w:p>
    <w:p w14:paraId="1B769B46" w14:textId="09EF563C" w:rsidR="004462A0" w:rsidRPr="008912CF" w:rsidRDefault="00615769">
      <w:pPr>
        <w:rPr>
          <w:del w:id="5235" w:author="AbbVie2" w:date="2025-05-13T16:39:00Z"/>
          <w:i/>
          <w:iCs/>
          <w:sz w:val="22"/>
          <w:szCs w:val="22"/>
        </w:rPr>
        <w:pPrChange w:id="5236" w:author="AbbVie2" w:date="2025-05-13T16:40:00Z">
          <w:pPr>
            <w:autoSpaceDE w:val="0"/>
            <w:autoSpaceDN w:val="0"/>
            <w:adjustRightInd w:val="0"/>
          </w:pPr>
        </w:pPrChange>
      </w:pPr>
      <w:del w:id="5237" w:author="AbbVie2" w:date="2025-05-13T16:39:00Z">
        <w:r w:rsidRPr="008912CF">
          <w:rPr>
            <w:i/>
            <w:iCs/>
            <w:sz w:val="22"/>
            <w:szCs w:val="22"/>
          </w:rPr>
          <w:delText>Outras infeções oportunistas</w:delText>
        </w:r>
      </w:del>
    </w:p>
    <w:p w14:paraId="302F7F88" w14:textId="3DCBF4E5" w:rsidR="004462A0" w:rsidRPr="008912CF" w:rsidRDefault="004462A0">
      <w:pPr>
        <w:rPr>
          <w:del w:id="5238" w:author="AbbVie2" w:date="2025-05-13T16:39:00Z"/>
          <w:sz w:val="22"/>
          <w:szCs w:val="22"/>
        </w:rPr>
        <w:pPrChange w:id="5239" w:author="AbbVie2" w:date="2025-05-13T16:40:00Z">
          <w:pPr>
            <w:autoSpaceDE w:val="0"/>
            <w:autoSpaceDN w:val="0"/>
            <w:adjustRightInd w:val="0"/>
          </w:pPr>
        </w:pPrChange>
      </w:pPr>
    </w:p>
    <w:p w14:paraId="293C599A" w14:textId="2DF6E986" w:rsidR="004462A0" w:rsidRPr="008912CF" w:rsidRDefault="00615769">
      <w:pPr>
        <w:rPr>
          <w:del w:id="5240" w:author="AbbVie2" w:date="2025-05-13T16:39:00Z"/>
          <w:sz w:val="22"/>
          <w:szCs w:val="22"/>
        </w:rPr>
        <w:pPrChange w:id="5241" w:author="AbbVie2" w:date="2025-05-13T16:40:00Z">
          <w:pPr>
            <w:autoSpaceDE w:val="0"/>
            <w:autoSpaceDN w:val="0"/>
            <w:adjustRightInd w:val="0"/>
          </w:pPr>
        </w:pPrChange>
      </w:pPr>
      <w:del w:id="5242" w:author="AbbVie2" w:date="2025-05-13T16:39:00Z">
        <w:r w:rsidRPr="008912CF">
          <w:rPr>
            <w:sz w:val="22"/>
            <w:szCs w:val="22"/>
          </w:rPr>
          <w:delText>Foram observadas infeções oportunistas, incluindo infeções fúngicas invasivas</w:delText>
        </w:r>
        <w:r w:rsidR="00FD757B">
          <w:rPr>
            <w:sz w:val="22"/>
            <w:szCs w:val="22"/>
          </w:rPr>
          <w:delText>,</w:delText>
        </w:r>
        <w:r w:rsidRPr="008912CF">
          <w:rPr>
            <w:sz w:val="22"/>
            <w:szCs w:val="22"/>
          </w:rPr>
          <w:delText xml:space="preserve"> em doentes tratados com Humira. Estas infeções não foram consistentemente reconhecidas em doentes tratados com antagonistas-TNF, resultando em atrasos no tratamento apropriado, por vezes com consequências fatais.</w:delText>
        </w:r>
      </w:del>
    </w:p>
    <w:p w14:paraId="0B463095" w14:textId="74697ACA" w:rsidR="004462A0" w:rsidRPr="008912CF" w:rsidRDefault="004462A0">
      <w:pPr>
        <w:rPr>
          <w:del w:id="5243" w:author="AbbVie2" w:date="2025-05-13T16:39:00Z"/>
          <w:sz w:val="22"/>
          <w:szCs w:val="22"/>
        </w:rPr>
        <w:pPrChange w:id="5244" w:author="AbbVie2" w:date="2025-05-13T16:40:00Z">
          <w:pPr>
            <w:autoSpaceDE w:val="0"/>
            <w:autoSpaceDN w:val="0"/>
            <w:adjustRightInd w:val="0"/>
          </w:pPr>
        </w:pPrChange>
      </w:pPr>
    </w:p>
    <w:p w14:paraId="1EC26A1F" w14:textId="6102F402" w:rsidR="004462A0" w:rsidRPr="008912CF" w:rsidRDefault="00615769">
      <w:pPr>
        <w:rPr>
          <w:del w:id="5245" w:author="AbbVie2" w:date="2025-05-13T16:39:00Z"/>
          <w:sz w:val="22"/>
          <w:szCs w:val="22"/>
        </w:rPr>
        <w:pPrChange w:id="5246" w:author="AbbVie2" w:date="2025-05-13T16:40:00Z">
          <w:pPr>
            <w:autoSpaceDE w:val="0"/>
            <w:autoSpaceDN w:val="0"/>
            <w:adjustRightInd w:val="0"/>
          </w:pPr>
        </w:pPrChange>
      </w:pPr>
      <w:del w:id="5247" w:author="AbbVie2" w:date="2025-05-13T16:39:00Z">
        <w:r>
          <w:rPr>
            <w:sz w:val="22"/>
            <w:szCs w:val="22"/>
          </w:rPr>
          <w:delText>Em d</w:delText>
        </w:r>
        <w:r w:rsidRPr="008912CF">
          <w:rPr>
            <w:sz w:val="22"/>
            <w:szCs w:val="22"/>
          </w:rPr>
          <w:delText xml:space="preserve">oentes que desenvolvam sinais e sintomas tais como febre, mal estar geral, perda de peso, suores, tosse, dispneia, e/ou infiltração pulmonar ou outras doenças sistémicas graves, com ou sem choque concomitante, deve suspeitar-se de uma infeção fúngica invasiva e a administração de Humira deve ser imediatamente suspensa. O diagnóstico e a administração de uma terapêutica antifúngica empírica nestes doentes devem ser feitos em consulta com um médico especialista </w:delText>
        </w:r>
        <w:r>
          <w:rPr>
            <w:sz w:val="22"/>
            <w:szCs w:val="22"/>
          </w:rPr>
          <w:delText>no tratamento de</w:delText>
        </w:r>
        <w:r w:rsidRPr="008912CF">
          <w:rPr>
            <w:sz w:val="22"/>
            <w:szCs w:val="22"/>
          </w:rPr>
          <w:delText xml:space="preserve"> doentes com infeção fúngica invasiva.</w:delText>
        </w:r>
      </w:del>
    </w:p>
    <w:p w14:paraId="236DDE43" w14:textId="4957CD43" w:rsidR="004462A0" w:rsidRPr="008912CF" w:rsidRDefault="004462A0">
      <w:pPr>
        <w:rPr>
          <w:del w:id="5248" w:author="AbbVie2" w:date="2025-05-13T16:39:00Z"/>
          <w:sz w:val="22"/>
          <w:szCs w:val="22"/>
        </w:rPr>
        <w:pPrChange w:id="5249" w:author="AbbVie2" w:date="2025-05-13T16:40:00Z">
          <w:pPr>
            <w:autoSpaceDE w:val="0"/>
            <w:autoSpaceDN w:val="0"/>
            <w:adjustRightInd w:val="0"/>
          </w:pPr>
        </w:pPrChange>
      </w:pPr>
    </w:p>
    <w:p w14:paraId="48F47041" w14:textId="356589C9" w:rsidR="004462A0" w:rsidRPr="008912CF" w:rsidRDefault="00615769">
      <w:pPr>
        <w:rPr>
          <w:del w:id="5250" w:author="AbbVie2" w:date="2025-05-13T16:39:00Z"/>
          <w:szCs w:val="22"/>
        </w:rPr>
        <w:pPrChange w:id="5251" w:author="AbbVie2" w:date="2025-05-13T16:40:00Z">
          <w:pPr>
            <w:pStyle w:val="Heading9"/>
            <w:autoSpaceDE w:val="0"/>
            <w:autoSpaceDN w:val="0"/>
            <w:adjustRightInd w:val="0"/>
          </w:pPr>
        </w:pPrChange>
      </w:pPr>
      <w:del w:id="5252" w:author="AbbVie2" w:date="2025-05-13T16:39:00Z">
        <w:r w:rsidRPr="008912CF">
          <w:rPr>
            <w:szCs w:val="22"/>
          </w:rPr>
          <w:delText>Reativação da hepatite B</w:delText>
        </w:r>
      </w:del>
    </w:p>
    <w:p w14:paraId="64834521" w14:textId="1363BFBC" w:rsidR="004462A0" w:rsidRPr="008912CF" w:rsidRDefault="004462A0">
      <w:pPr>
        <w:rPr>
          <w:del w:id="5253" w:author="AbbVie2" w:date="2025-05-13T16:39:00Z"/>
          <w:sz w:val="22"/>
          <w:szCs w:val="22"/>
          <w:u w:val="single"/>
        </w:rPr>
        <w:pPrChange w:id="5254" w:author="AbbVie2" w:date="2025-05-13T16:40:00Z">
          <w:pPr>
            <w:keepNext/>
            <w:autoSpaceDE w:val="0"/>
            <w:autoSpaceDN w:val="0"/>
            <w:adjustRightInd w:val="0"/>
          </w:pPr>
        </w:pPrChange>
      </w:pPr>
    </w:p>
    <w:p w14:paraId="1AFFE2D3" w14:textId="19BEB700" w:rsidR="004462A0" w:rsidRPr="008912CF" w:rsidRDefault="00615769">
      <w:pPr>
        <w:rPr>
          <w:del w:id="5255" w:author="AbbVie2" w:date="2025-05-13T16:39:00Z"/>
          <w:szCs w:val="22"/>
        </w:rPr>
        <w:pPrChange w:id="5256" w:author="AbbVie2" w:date="2025-05-13T16:40:00Z">
          <w:pPr>
            <w:pStyle w:val="BodyText2"/>
            <w:keepNext/>
          </w:pPr>
        </w:pPrChange>
      </w:pPr>
      <w:del w:id="5257" w:author="AbbVie2" w:date="2025-05-13T16:39:00Z">
        <w:r w:rsidRPr="008912CF">
          <w:rPr>
            <w:szCs w:val="22"/>
          </w:rPr>
          <w:delText>Ocorreu reativação de hepatite B nos doentes tratados com um antagonista</w:delText>
        </w:r>
        <w:r w:rsidRPr="008912CF">
          <w:rPr>
            <w:szCs w:val="22"/>
          </w:rPr>
          <w:noBreakHyphen/>
          <w:delText>TNF, incluindo Humira</w:delText>
        </w:r>
        <w:r w:rsidR="00C50874">
          <w:rPr>
            <w:szCs w:val="22"/>
          </w:rPr>
          <w:delText>,</w:delText>
        </w:r>
        <w:r w:rsidRPr="008912CF">
          <w:rPr>
            <w:szCs w:val="22"/>
          </w:rPr>
          <w:delText xml:space="preserve"> e que são portadores crónicos d</w:delText>
        </w:r>
        <w:r w:rsidR="00AF502E">
          <w:rPr>
            <w:szCs w:val="22"/>
          </w:rPr>
          <w:delText>este</w:delText>
        </w:r>
        <w:r w:rsidRPr="008912CF">
          <w:rPr>
            <w:szCs w:val="22"/>
          </w:rPr>
          <w:delText xml:space="preserve"> vírus (por ex., antigénio de superfície positivo). Alguns casos foram fatais. Antes do início do tratamento com Humira os doentes devem ser avaliados para uma possível infeção de HBV. Para os doentes com resultado positivo para a infeção da hepatite B, recomenda-se a consulta de um médico com experiência no tratamento da hepatite B. </w:delText>
        </w:r>
      </w:del>
    </w:p>
    <w:p w14:paraId="65AD7857" w14:textId="447F3645" w:rsidR="004462A0" w:rsidRPr="008912CF" w:rsidRDefault="004462A0">
      <w:pPr>
        <w:rPr>
          <w:del w:id="5258" w:author="AbbVie2" w:date="2025-05-13T16:39:00Z"/>
          <w:szCs w:val="22"/>
        </w:rPr>
        <w:pPrChange w:id="5259" w:author="AbbVie2" w:date="2025-05-13T16:40:00Z">
          <w:pPr>
            <w:pStyle w:val="BodyText2"/>
          </w:pPr>
        </w:pPrChange>
      </w:pPr>
    </w:p>
    <w:p w14:paraId="4AEE8A94" w14:textId="66870912" w:rsidR="004462A0" w:rsidRPr="008912CF" w:rsidRDefault="00615769">
      <w:pPr>
        <w:rPr>
          <w:del w:id="5260" w:author="AbbVie2" w:date="2025-05-13T16:39:00Z"/>
          <w:szCs w:val="22"/>
        </w:rPr>
        <w:pPrChange w:id="5261" w:author="AbbVie2" w:date="2025-05-13T16:40:00Z">
          <w:pPr>
            <w:pStyle w:val="BodyText2"/>
          </w:pPr>
        </w:pPrChange>
      </w:pPr>
      <w:del w:id="5262" w:author="AbbVie2" w:date="2025-05-13T16:39:00Z">
        <w:r w:rsidRPr="008912CF">
          <w:rPr>
            <w:szCs w:val="22"/>
          </w:rPr>
          <w:delText>Portadores de HBV que requerem tratamento com Humira devem ser cuidadosamente monitorizados relativamente aos sinais e sintomas de uma infeção HBV ativa durante o tratamento e alguns meses depois de terminada a terapêutica. Não estão disponíveis dados adequados relativos ao tratamento de doentes portadores de HBV, com terapêutica antiviral em associação com antagonistas TNF, na prevenção de reativação de HBV. Em doentes que desenvolvem reativação de HBV, Humira deve ser suspenso e deve ser iniciada uma tera</w:delText>
        </w:r>
        <w:r w:rsidRPr="008912CF">
          <w:rPr>
            <w:szCs w:val="22"/>
          </w:rPr>
          <w:delText>pêutica antiviral eficaz com tratamento de suporte adequado.</w:delText>
        </w:r>
      </w:del>
    </w:p>
    <w:p w14:paraId="3C473BF6" w14:textId="6573D4AC" w:rsidR="004462A0" w:rsidRPr="008912CF" w:rsidRDefault="004462A0">
      <w:pPr>
        <w:rPr>
          <w:del w:id="5263" w:author="AbbVie2" w:date="2025-05-13T16:39:00Z"/>
          <w:sz w:val="22"/>
          <w:szCs w:val="22"/>
        </w:rPr>
        <w:pPrChange w:id="5264" w:author="AbbVie2" w:date="2025-05-13T16:40:00Z">
          <w:pPr>
            <w:autoSpaceDE w:val="0"/>
            <w:autoSpaceDN w:val="0"/>
            <w:adjustRightInd w:val="0"/>
          </w:pPr>
        </w:pPrChange>
      </w:pPr>
    </w:p>
    <w:p w14:paraId="13D4314C" w14:textId="0FD1C23A" w:rsidR="004462A0" w:rsidRPr="008912CF" w:rsidRDefault="00615769">
      <w:pPr>
        <w:rPr>
          <w:del w:id="5265" w:author="AbbVie2" w:date="2025-05-13T16:39:00Z"/>
          <w:sz w:val="22"/>
          <w:szCs w:val="22"/>
          <w:u w:val="single"/>
        </w:rPr>
        <w:pPrChange w:id="5266" w:author="AbbVie2" w:date="2025-05-13T16:40:00Z">
          <w:pPr>
            <w:autoSpaceDE w:val="0"/>
            <w:autoSpaceDN w:val="0"/>
            <w:adjustRightInd w:val="0"/>
          </w:pPr>
        </w:pPrChange>
      </w:pPr>
      <w:del w:id="5267" w:author="AbbVie2" w:date="2025-05-13T16:39:00Z">
        <w:r w:rsidRPr="008912CF">
          <w:rPr>
            <w:sz w:val="22"/>
            <w:szCs w:val="22"/>
            <w:u w:val="single"/>
          </w:rPr>
          <w:delText>Efeitos neurológicos</w:delText>
        </w:r>
      </w:del>
    </w:p>
    <w:p w14:paraId="4E73FDC9" w14:textId="7D14E36A" w:rsidR="004462A0" w:rsidRPr="008912CF" w:rsidRDefault="004462A0">
      <w:pPr>
        <w:rPr>
          <w:del w:id="5268" w:author="AbbVie2" w:date="2025-05-13T16:39:00Z"/>
          <w:sz w:val="22"/>
          <w:szCs w:val="22"/>
          <w:u w:val="single"/>
        </w:rPr>
        <w:pPrChange w:id="5269" w:author="AbbVie2" w:date="2025-05-13T16:40:00Z">
          <w:pPr>
            <w:autoSpaceDE w:val="0"/>
            <w:autoSpaceDN w:val="0"/>
            <w:adjustRightInd w:val="0"/>
          </w:pPr>
        </w:pPrChange>
      </w:pPr>
    </w:p>
    <w:p w14:paraId="52DBE54E" w14:textId="30B1C573" w:rsidR="004462A0" w:rsidRPr="008912CF" w:rsidRDefault="00615769">
      <w:pPr>
        <w:rPr>
          <w:del w:id="5270" w:author="AbbVie2" w:date="2025-05-13T16:39:00Z"/>
          <w:sz w:val="22"/>
          <w:szCs w:val="22"/>
        </w:rPr>
        <w:pPrChange w:id="5271" w:author="AbbVie2" w:date="2025-05-13T16:40:00Z">
          <w:pPr>
            <w:autoSpaceDE w:val="0"/>
            <w:autoSpaceDN w:val="0"/>
            <w:adjustRightInd w:val="0"/>
          </w:pPr>
        </w:pPrChange>
      </w:pPr>
      <w:del w:id="5272" w:author="AbbVie2" w:date="2025-05-13T16:39:00Z">
        <w:r w:rsidRPr="008912CF">
          <w:rPr>
            <w:sz w:val="22"/>
            <w:szCs w:val="22"/>
          </w:rPr>
          <w:delText>Os antagonistas</w:delText>
        </w:r>
        <w:r w:rsidRPr="008912CF">
          <w:rPr>
            <w:sz w:val="22"/>
            <w:szCs w:val="22"/>
          </w:rPr>
          <w:noBreakHyphen/>
          <w:delText>TNF, incluindo Humira, foram associados em casos raros com o reaparecimento ou com a exacerbação de sintomatologia clínica e/ou evidência radiográfica de doença desmielinizante do sistema nervoso central</w:delText>
        </w:r>
        <w:r w:rsidR="00FD757B">
          <w:rPr>
            <w:sz w:val="22"/>
            <w:szCs w:val="22"/>
          </w:rPr>
          <w:delText>,</w:delText>
        </w:r>
        <w:r w:rsidRPr="008912CF">
          <w:rPr>
            <w:sz w:val="22"/>
            <w:szCs w:val="22"/>
          </w:rPr>
          <w:delText xml:space="preserve"> incluindo esclerose múltipla e neurite ótica</w:delText>
        </w:r>
        <w:r w:rsidR="00FD757B">
          <w:rPr>
            <w:sz w:val="22"/>
            <w:szCs w:val="22"/>
          </w:rPr>
          <w:delText>,</w:delText>
        </w:r>
        <w:r w:rsidRPr="008912CF">
          <w:rPr>
            <w:sz w:val="22"/>
            <w:szCs w:val="22"/>
          </w:rPr>
          <w:delText xml:space="preserve"> e doença desmielinizante periférica, incluindo síndrome de Guillain-Barré. O médico prescritor deve ter precaução ao considerar o uso de Humira em doentes com patologias desmielinizantes do sistema nervoso central ou periférico pré-existentes ou de início recente</w:delText>
        </w:r>
        <w:r>
          <w:rPr>
            <w:sz w:val="22"/>
            <w:szCs w:val="22"/>
          </w:rPr>
          <w:delText xml:space="preserve">; </w:delText>
        </w:r>
        <w:r w:rsidRPr="00450998">
          <w:rPr>
            <w:sz w:val="22"/>
            <w:szCs w:val="22"/>
          </w:rPr>
          <w:delText>a descontinuação da terapêutica com Humira deverá ser considerada em doentes que desenvolvam algumas destas patologias. Existe uma associação conhecida entre a uveíte intermédia e as doenças desmielinizantes do sistema nervoso central. A avaliação neurológica deve ser efetuada em doentes que apresentem uveíte intermédia não</w:delText>
        </w:r>
        <w:r>
          <w:rPr>
            <w:sz w:val="22"/>
            <w:szCs w:val="22"/>
          </w:rPr>
          <w:delText xml:space="preserve"> </w:delText>
        </w:r>
        <w:r w:rsidRPr="00450998">
          <w:rPr>
            <w:sz w:val="22"/>
            <w:szCs w:val="22"/>
          </w:rPr>
          <w:delText>infe</w:delText>
        </w:r>
        <w:r>
          <w:rPr>
            <w:sz w:val="22"/>
            <w:szCs w:val="22"/>
          </w:rPr>
          <w:delText>c</w:delText>
        </w:r>
        <w:r w:rsidRPr="00450998">
          <w:rPr>
            <w:sz w:val="22"/>
            <w:szCs w:val="22"/>
          </w:rPr>
          <w:delText>ciosa antes do início do tratamento com Humira e regularmente durante o tratamento</w:delText>
        </w:r>
        <w:r>
          <w:rPr>
            <w:sz w:val="22"/>
            <w:szCs w:val="22"/>
          </w:rPr>
          <w:delText>,</w:delText>
        </w:r>
        <w:r w:rsidRPr="00450998">
          <w:rPr>
            <w:sz w:val="22"/>
            <w:szCs w:val="22"/>
          </w:rPr>
          <w:delText xml:space="preserve"> para avaliação de doenças desmielinizantes do sistema nervoso central pré-existentes ou em desenvolvimento</w:delText>
        </w:r>
        <w:r>
          <w:rPr>
            <w:sz w:val="22"/>
            <w:szCs w:val="22"/>
          </w:rPr>
          <w:delText>.</w:delText>
        </w:r>
        <w:r w:rsidRPr="008912CF">
          <w:rPr>
            <w:sz w:val="22"/>
            <w:szCs w:val="22"/>
          </w:rPr>
          <w:delText xml:space="preserve"> </w:delText>
        </w:r>
      </w:del>
    </w:p>
    <w:p w14:paraId="58F8C0A5" w14:textId="2EF09EE6" w:rsidR="004462A0" w:rsidRPr="008912CF" w:rsidRDefault="004462A0">
      <w:pPr>
        <w:rPr>
          <w:del w:id="5273" w:author="AbbVie2" w:date="2025-05-13T16:39:00Z"/>
          <w:sz w:val="22"/>
          <w:szCs w:val="22"/>
          <w:u w:val="single"/>
        </w:rPr>
        <w:pPrChange w:id="5274" w:author="AbbVie2" w:date="2025-05-13T16:40:00Z">
          <w:pPr>
            <w:autoSpaceDE w:val="0"/>
            <w:autoSpaceDN w:val="0"/>
            <w:adjustRightInd w:val="0"/>
          </w:pPr>
        </w:pPrChange>
      </w:pPr>
    </w:p>
    <w:p w14:paraId="5A035594" w14:textId="63576A30" w:rsidR="004462A0" w:rsidRPr="008912CF" w:rsidRDefault="00615769">
      <w:pPr>
        <w:rPr>
          <w:del w:id="5275" w:author="AbbVie2" w:date="2025-05-13T16:39:00Z"/>
          <w:sz w:val="22"/>
          <w:szCs w:val="22"/>
          <w:u w:val="single"/>
        </w:rPr>
        <w:pPrChange w:id="5276" w:author="AbbVie2" w:date="2025-05-13T16:40:00Z">
          <w:pPr>
            <w:keepNext/>
          </w:pPr>
        </w:pPrChange>
      </w:pPr>
      <w:del w:id="5277" w:author="AbbVie2" w:date="2025-05-13T16:39:00Z">
        <w:r w:rsidRPr="008912CF">
          <w:rPr>
            <w:sz w:val="22"/>
            <w:szCs w:val="22"/>
            <w:u w:val="single"/>
          </w:rPr>
          <w:delText>Reações alérgicas</w:delText>
        </w:r>
      </w:del>
    </w:p>
    <w:p w14:paraId="4CF6EE39" w14:textId="2B91A7CD" w:rsidR="004462A0" w:rsidRPr="008912CF" w:rsidRDefault="004462A0">
      <w:pPr>
        <w:rPr>
          <w:del w:id="5278" w:author="AbbVie2" w:date="2025-05-13T16:39:00Z"/>
          <w:sz w:val="22"/>
          <w:szCs w:val="22"/>
          <w:u w:val="single"/>
        </w:rPr>
        <w:pPrChange w:id="5279" w:author="AbbVie2" w:date="2025-05-13T16:40:00Z">
          <w:pPr>
            <w:keepNext/>
          </w:pPr>
        </w:pPrChange>
      </w:pPr>
    </w:p>
    <w:p w14:paraId="381DEA48" w14:textId="60CA0749" w:rsidR="004462A0" w:rsidRPr="008912CF" w:rsidRDefault="00615769">
      <w:pPr>
        <w:rPr>
          <w:del w:id="5280" w:author="AbbVie2" w:date="2025-05-13T16:39:00Z"/>
          <w:sz w:val="22"/>
          <w:szCs w:val="22"/>
        </w:rPr>
        <w:pPrChange w:id="5281" w:author="AbbVie2" w:date="2025-05-13T16:40:00Z">
          <w:pPr>
            <w:autoSpaceDE w:val="0"/>
            <w:autoSpaceDN w:val="0"/>
            <w:adjustRightInd w:val="0"/>
          </w:pPr>
        </w:pPrChange>
      </w:pPr>
      <w:del w:id="5282" w:author="AbbVie2" w:date="2025-05-13T16:39:00Z">
        <w:r w:rsidRPr="008912CF">
          <w:rPr>
            <w:sz w:val="22"/>
            <w:szCs w:val="22"/>
          </w:rPr>
          <w:delText>No decurso dos ensaios clínicos foram raras as reações alérgicas graves associadas a Humira. No decurso dos ensaios clínicos foram pouco frequentes os casos de reações alérgicas não graves associadas a Humira. Foram notificados casos de reações alérgicas graves, incluindo anafilaxia, associadas à administração de Humira. Caso se verifique uma reação anafilática ou outra reação alérgica grave, deve suspender-se imediatamente a administração de Humira e instituir</w:delText>
        </w:r>
        <w:r w:rsidR="00E21713">
          <w:rPr>
            <w:sz w:val="22"/>
            <w:szCs w:val="22"/>
          </w:rPr>
          <w:delText>-se</w:delText>
        </w:r>
        <w:r w:rsidRPr="008912CF">
          <w:rPr>
            <w:sz w:val="22"/>
            <w:szCs w:val="22"/>
          </w:rPr>
          <w:delText xml:space="preserve"> uma terapêutica apropriada. </w:delText>
        </w:r>
      </w:del>
    </w:p>
    <w:p w14:paraId="6EB1A35F" w14:textId="4186689E" w:rsidR="004462A0" w:rsidRPr="008912CF" w:rsidRDefault="004462A0">
      <w:pPr>
        <w:rPr>
          <w:del w:id="5283" w:author="AbbVie2" w:date="2025-05-13T16:39:00Z"/>
          <w:sz w:val="22"/>
          <w:szCs w:val="22"/>
        </w:rPr>
        <w:pPrChange w:id="5284" w:author="AbbVie2" w:date="2025-05-13T16:40:00Z">
          <w:pPr>
            <w:autoSpaceDE w:val="0"/>
            <w:autoSpaceDN w:val="0"/>
            <w:adjustRightInd w:val="0"/>
          </w:pPr>
        </w:pPrChange>
      </w:pPr>
    </w:p>
    <w:p w14:paraId="2FD55DD6" w14:textId="25A6CC03" w:rsidR="004462A0" w:rsidRPr="008912CF" w:rsidRDefault="00615769">
      <w:pPr>
        <w:rPr>
          <w:del w:id="5285" w:author="AbbVie2" w:date="2025-05-13T16:39:00Z"/>
          <w:sz w:val="22"/>
          <w:szCs w:val="22"/>
          <w:u w:val="single"/>
        </w:rPr>
        <w:pPrChange w:id="5286" w:author="AbbVie2" w:date="2025-05-13T16:40:00Z">
          <w:pPr>
            <w:autoSpaceDE w:val="0"/>
            <w:autoSpaceDN w:val="0"/>
            <w:adjustRightInd w:val="0"/>
          </w:pPr>
        </w:pPrChange>
      </w:pPr>
      <w:del w:id="5287" w:author="AbbVie2" w:date="2025-05-13T16:39:00Z">
        <w:r w:rsidRPr="008912CF">
          <w:rPr>
            <w:sz w:val="22"/>
            <w:szCs w:val="22"/>
            <w:u w:val="single"/>
          </w:rPr>
          <w:delText>Imunossupressão</w:delText>
        </w:r>
      </w:del>
    </w:p>
    <w:p w14:paraId="277DAAFE" w14:textId="0AED4A83" w:rsidR="004462A0" w:rsidRPr="008912CF" w:rsidRDefault="004462A0">
      <w:pPr>
        <w:rPr>
          <w:del w:id="5288" w:author="AbbVie2" w:date="2025-05-13T16:39:00Z"/>
          <w:sz w:val="22"/>
          <w:szCs w:val="22"/>
          <w:u w:val="single"/>
        </w:rPr>
        <w:pPrChange w:id="5289" w:author="AbbVie2" w:date="2025-05-13T16:40:00Z">
          <w:pPr>
            <w:autoSpaceDE w:val="0"/>
            <w:autoSpaceDN w:val="0"/>
            <w:adjustRightInd w:val="0"/>
          </w:pPr>
        </w:pPrChange>
      </w:pPr>
    </w:p>
    <w:p w14:paraId="1B159A5B" w14:textId="6FED05EC" w:rsidR="004462A0" w:rsidRPr="008912CF" w:rsidRDefault="00615769" w:rsidP="00412FC8">
      <w:pPr>
        <w:rPr>
          <w:del w:id="5290" w:author="AbbVie2" w:date="2025-05-13T16:39:00Z"/>
          <w:sz w:val="22"/>
          <w:szCs w:val="22"/>
        </w:rPr>
      </w:pPr>
      <w:del w:id="5291" w:author="AbbVie2" w:date="2025-05-13T16:39:00Z">
        <w:r w:rsidRPr="008912CF">
          <w:rPr>
            <w:sz w:val="22"/>
            <w:szCs w:val="22"/>
          </w:rPr>
          <w:delText>Num estudo realizado em 64 doentes com artrite reumatoide tratados com Humira, não se observou qualquer evidência de redução da hipersensibilidade de tipo tardio, redução dos níveis de imunoglobulina ou alteração do número de linfócitos efetores T, B, células NK, monócitos/macrófagos e neutrófilos.</w:delText>
        </w:r>
      </w:del>
    </w:p>
    <w:p w14:paraId="26CF64DC" w14:textId="73092B30" w:rsidR="004462A0" w:rsidRPr="008912CF" w:rsidRDefault="004462A0">
      <w:pPr>
        <w:rPr>
          <w:del w:id="5292" w:author="AbbVie2" w:date="2025-05-13T16:39:00Z"/>
          <w:szCs w:val="22"/>
        </w:rPr>
        <w:pPrChange w:id="5293" w:author="AbbVie2" w:date="2025-05-13T16:40:00Z">
          <w:pPr>
            <w:pStyle w:val="EMEAHeadingUnderline"/>
            <w:spacing w:before="0" w:after="0"/>
          </w:pPr>
        </w:pPrChange>
      </w:pPr>
    </w:p>
    <w:p w14:paraId="7D5D108E" w14:textId="7B3845E8" w:rsidR="004462A0" w:rsidRPr="008912CF" w:rsidRDefault="00615769">
      <w:pPr>
        <w:rPr>
          <w:del w:id="5294" w:author="AbbVie2" w:date="2025-05-13T16:39:00Z"/>
          <w:szCs w:val="22"/>
        </w:rPr>
        <w:pPrChange w:id="5295" w:author="AbbVie2" w:date="2025-05-13T16:40:00Z">
          <w:pPr>
            <w:pStyle w:val="EMEAHeadingUnderline"/>
            <w:spacing w:before="0" w:after="0"/>
          </w:pPr>
        </w:pPrChange>
      </w:pPr>
      <w:del w:id="5296" w:author="AbbVie2" w:date="2025-05-13T16:39:00Z">
        <w:r>
          <w:rPr>
            <w:szCs w:val="22"/>
          </w:rPr>
          <w:delText>Neoplasias e d</w:delText>
        </w:r>
        <w:r w:rsidRPr="008912CF">
          <w:rPr>
            <w:szCs w:val="22"/>
          </w:rPr>
          <w:delText>oenças linfoproliferativas</w:delText>
        </w:r>
      </w:del>
    </w:p>
    <w:p w14:paraId="7651001C" w14:textId="38DEDA48" w:rsidR="004462A0" w:rsidRPr="008912CF" w:rsidRDefault="004462A0" w:rsidP="00412FC8">
      <w:pPr>
        <w:rPr>
          <w:del w:id="5297" w:author="AbbVie2" w:date="2025-05-13T16:39:00Z"/>
          <w:sz w:val="22"/>
          <w:szCs w:val="22"/>
        </w:rPr>
      </w:pPr>
    </w:p>
    <w:p w14:paraId="1C7E1B00" w14:textId="0FDEBDE5" w:rsidR="004462A0" w:rsidRPr="008912CF" w:rsidRDefault="00615769" w:rsidP="00412FC8">
      <w:pPr>
        <w:rPr>
          <w:del w:id="5298" w:author="AbbVie2" w:date="2025-05-13T16:39:00Z"/>
          <w:sz w:val="22"/>
          <w:szCs w:val="22"/>
        </w:rPr>
      </w:pPr>
      <w:del w:id="5299" w:author="AbbVie2" w:date="2025-05-13T16:39:00Z">
        <w:r w:rsidRPr="008912CF">
          <w:rPr>
            <w:sz w:val="22"/>
            <w:szCs w:val="22"/>
          </w:rPr>
          <w:delText>Em partes controladas de ensaios clínicos de antagonistas</w:delText>
        </w:r>
        <w:r w:rsidRPr="008912CF">
          <w:rPr>
            <w:sz w:val="22"/>
            <w:szCs w:val="22"/>
          </w:rPr>
          <w:noBreakHyphen/>
          <w:delText>TNF, foram observados mais casos de neoplasias incluindo linfomas em doentes tratados com antagonistas</w:delText>
        </w:r>
        <w:r w:rsidRPr="008912CF">
          <w:rPr>
            <w:sz w:val="22"/>
            <w:szCs w:val="22"/>
          </w:rPr>
          <w:noBreakHyphen/>
          <w:delText>TNF do que em doentes controlo. Contudo, a ocorrência foi rara. Após comercialização, foram notificados casos de leucemia em doentes tratados com um antagonista</w:delText>
        </w:r>
        <w:r w:rsidRPr="008912CF">
          <w:rPr>
            <w:sz w:val="22"/>
            <w:szCs w:val="22"/>
          </w:rPr>
          <w:noBreakHyphen/>
          <w:delText>TNF. Há um risco aumentado de linfoma e leucemia em doentes com artrite reumatoide com doença inflamatória de longa data e muito ativa, o que complica a estimativa do risco. De acordo com o conhecimento atual, não pode ser excluído o possível risc</w:delText>
        </w:r>
        <w:r w:rsidRPr="008912CF">
          <w:rPr>
            <w:sz w:val="22"/>
            <w:szCs w:val="22"/>
          </w:rPr>
          <w:delText>o de desenvolvimento de linfomas, leucemias e outras neoplasias em doentes tratados com um antagonista</w:delText>
        </w:r>
        <w:r w:rsidRPr="008912CF">
          <w:rPr>
            <w:sz w:val="22"/>
            <w:szCs w:val="22"/>
          </w:rPr>
          <w:noBreakHyphen/>
          <w:delText>TNF.</w:delText>
        </w:r>
      </w:del>
    </w:p>
    <w:p w14:paraId="2CDE86F9" w14:textId="6F27A4C0" w:rsidR="004462A0" w:rsidRPr="008912CF" w:rsidRDefault="004462A0" w:rsidP="00412FC8">
      <w:pPr>
        <w:rPr>
          <w:del w:id="5300" w:author="AbbVie2" w:date="2025-05-13T16:39:00Z"/>
          <w:sz w:val="22"/>
          <w:szCs w:val="22"/>
        </w:rPr>
      </w:pPr>
    </w:p>
    <w:p w14:paraId="6FECCC3B" w14:textId="211BCFAF" w:rsidR="004462A0" w:rsidRPr="008912CF" w:rsidRDefault="00615769" w:rsidP="00412FC8">
      <w:pPr>
        <w:rPr>
          <w:del w:id="5301" w:author="AbbVie2" w:date="2025-05-13T16:39:00Z"/>
          <w:sz w:val="22"/>
          <w:szCs w:val="22"/>
        </w:rPr>
      </w:pPr>
      <w:del w:id="5302" w:author="AbbVie2" w:date="2025-05-13T16:39:00Z">
        <w:r w:rsidRPr="008912CF">
          <w:rPr>
            <w:sz w:val="22"/>
            <w:szCs w:val="22"/>
          </w:rPr>
          <w:delText>No período pós-comercialização, foram notificadas neoplasias malignas, algumas fatais, em crianças, adolescentes e jovens adultos (até 22 anos de idade) tratados com antagonistas</w:delText>
        </w:r>
        <w:r w:rsidRPr="008912CF">
          <w:rPr>
            <w:sz w:val="22"/>
            <w:szCs w:val="22"/>
          </w:rPr>
          <w:noBreakHyphen/>
          <w:delText>TNF, incluindo adalimumab (início de terapia com idade ≤ 18 anos). Aproximadamente metade dos casos foram linfomas. Os outros casos representaram uma variedade de diferentes neoplasias e incluíram neoplasias raras, habitualmente associadas com imunossupressão. Não pode ser excluído o risco de desenvolvimento de neoplasias em crianças e adolescentes tratados com antagonistas</w:delText>
        </w:r>
        <w:r w:rsidRPr="008912CF">
          <w:rPr>
            <w:sz w:val="22"/>
            <w:szCs w:val="22"/>
          </w:rPr>
          <w:noBreakHyphen/>
          <w:delText>TNF.</w:delText>
        </w:r>
      </w:del>
    </w:p>
    <w:p w14:paraId="6A63E21A" w14:textId="42FB3149" w:rsidR="004462A0" w:rsidRPr="008912CF" w:rsidRDefault="004462A0" w:rsidP="00412FC8">
      <w:pPr>
        <w:rPr>
          <w:del w:id="5303" w:author="AbbVie2" w:date="2025-05-13T16:39:00Z"/>
          <w:sz w:val="22"/>
          <w:szCs w:val="22"/>
        </w:rPr>
      </w:pPr>
    </w:p>
    <w:p w14:paraId="14E5E43A" w14:textId="57C95D0A" w:rsidR="004462A0" w:rsidRPr="008912CF" w:rsidRDefault="00615769" w:rsidP="00412FC8">
      <w:pPr>
        <w:rPr>
          <w:del w:id="5304" w:author="AbbVie2" w:date="2025-05-13T16:39:00Z"/>
          <w:sz w:val="22"/>
          <w:szCs w:val="22"/>
        </w:rPr>
      </w:pPr>
      <w:del w:id="5305" w:author="AbbVie2" w:date="2025-05-13T16:39:00Z">
        <w:r w:rsidRPr="008912CF">
          <w:rPr>
            <w:sz w:val="22"/>
            <w:szCs w:val="22"/>
          </w:rPr>
          <w:delText>Após a comercialização, foram notificados casos raros de linfoma hepatoesplénico de linfócitos T em doentes tratados com adalimumab. Este tipo raro de linfoma de linfócitos T tem uma progressão muito agressiva e geralmente fatal. Alguns destes linfomas hepatoesplénicos de linfócitos T com Humira ocorreram em doentes adultos jovens com terapêutica concomitante com azatioprina ou 6-mercaptopurina, utilizados para a doença inflamatória intestinal. O risco potencial com a associação de azatioprina ou 6-mercapto</w:delText>
        </w:r>
        <w:r w:rsidRPr="008912CF">
          <w:rPr>
            <w:sz w:val="22"/>
            <w:szCs w:val="22"/>
          </w:rPr>
          <w:delText xml:space="preserve">purina e Humira deve ser cuidadosamente considerado. O risco de desenvolvimento de linfoma hepatoesplénico de </w:delText>
        </w:r>
        <w:r w:rsidR="00D47117">
          <w:rPr>
            <w:sz w:val="22"/>
            <w:szCs w:val="22"/>
          </w:rPr>
          <w:delText>células</w:delText>
        </w:r>
        <w:r w:rsidR="00D47117" w:rsidRPr="008912CF">
          <w:rPr>
            <w:sz w:val="22"/>
            <w:szCs w:val="22"/>
          </w:rPr>
          <w:delText xml:space="preserve"> </w:delText>
        </w:r>
        <w:r w:rsidRPr="008912CF">
          <w:rPr>
            <w:sz w:val="22"/>
            <w:szCs w:val="22"/>
          </w:rPr>
          <w:delText>T em doentes que recebam tratamento com Humira não pode ser excluído (ver secção 4.8).</w:delText>
        </w:r>
      </w:del>
    </w:p>
    <w:p w14:paraId="5271444F" w14:textId="63032DDC" w:rsidR="004462A0" w:rsidRPr="008912CF" w:rsidRDefault="004462A0" w:rsidP="00412FC8">
      <w:pPr>
        <w:rPr>
          <w:del w:id="5306" w:author="AbbVie2" w:date="2025-05-13T16:39:00Z"/>
          <w:sz w:val="22"/>
          <w:szCs w:val="22"/>
        </w:rPr>
      </w:pPr>
    </w:p>
    <w:p w14:paraId="5E56703A" w14:textId="7255DBA9" w:rsidR="004462A0" w:rsidRPr="008912CF" w:rsidRDefault="00615769" w:rsidP="00412FC8">
      <w:pPr>
        <w:rPr>
          <w:del w:id="5307" w:author="AbbVie2" w:date="2025-05-13T16:39:00Z"/>
          <w:sz w:val="22"/>
          <w:szCs w:val="22"/>
        </w:rPr>
      </w:pPr>
      <w:del w:id="5308" w:author="AbbVie2" w:date="2025-05-13T16:39:00Z">
        <w:r w:rsidRPr="008912CF">
          <w:rPr>
            <w:sz w:val="22"/>
            <w:szCs w:val="22"/>
          </w:rPr>
          <w:delText>Não foram efetuados estudos em doentes com história de neoplasias ou nos quais o tratamento com Humira</w:delText>
        </w:r>
        <w:r w:rsidR="00D47117">
          <w:rPr>
            <w:sz w:val="22"/>
            <w:szCs w:val="22"/>
          </w:rPr>
          <w:delText xml:space="preserve"> foi continuado</w:delText>
        </w:r>
        <w:r w:rsidRPr="008912CF">
          <w:rPr>
            <w:sz w:val="22"/>
            <w:szCs w:val="22"/>
          </w:rPr>
          <w:delText xml:space="preserve"> após o desenvolvimento de neoplasias. Deste modo</w:delText>
        </w:r>
        <w:r w:rsidR="00D47117">
          <w:rPr>
            <w:sz w:val="22"/>
            <w:szCs w:val="22"/>
          </w:rPr>
          <w:delText>,</w:delText>
        </w:r>
        <w:r w:rsidRPr="008912CF">
          <w:rPr>
            <w:sz w:val="22"/>
            <w:szCs w:val="22"/>
          </w:rPr>
          <w:delText xml:space="preserve"> deve-se </w:delText>
        </w:r>
        <w:r w:rsidR="00D47117">
          <w:rPr>
            <w:sz w:val="22"/>
            <w:szCs w:val="22"/>
          </w:rPr>
          <w:delText>exercer</w:delText>
        </w:r>
        <w:r w:rsidRPr="008912CF">
          <w:rPr>
            <w:sz w:val="22"/>
            <w:szCs w:val="22"/>
          </w:rPr>
          <w:delText xml:space="preserve"> precaução adicional ao considerar o tratamento com Humira nestes doentes (ver secção 4.8).</w:delText>
        </w:r>
      </w:del>
    </w:p>
    <w:p w14:paraId="351C3FA1" w14:textId="62D8D3E9" w:rsidR="004462A0" w:rsidRPr="008912CF" w:rsidRDefault="004462A0" w:rsidP="00412FC8">
      <w:pPr>
        <w:rPr>
          <w:del w:id="5309" w:author="AbbVie2" w:date="2025-05-13T16:39:00Z"/>
          <w:sz w:val="22"/>
          <w:szCs w:val="22"/>
        </w:rPr>
      </w:pPr>
    </w:p>
    <w:p w14:paraId="17C1E62C" w14:textId="3D1D9DE5" w:rsidR="004462A0" w:rsidRPr="008912CF" w:rsidRDefault="00615769">
      <w:pPr>
        <w:rPr>
          <w:del w:id="5310" w:author="AbbVie2" w:date="2025-05-13T16:39:00Z"/>
          <w:sz w:val="22"/>
          <w:szCs w:val="22"/>
        </w:rPr>
        <w:pPrChange w:id="5311" w:author="AbbVie2" w:date="2025-05-13T16:40:00Z">
          <w:pPr>
            <w:autoSpaceDE w:val="0"/>
            <w:autoSpaceDN w:val="0"/>
            <w:adjustRightInd w:val="0"/>
          </w:pPr>
        </w:pPrChange>
      </w:pPr>
      <w:del w:id="5312" w:author="AbbVie2" w:date="2025-05-13T16:39:00Z">
        <w:r w:rsidRPr="008912CF">
          <w:rPr>
            <w:sz w:val="22"/>
            <w:szCs w:val="22"/>
          </w:rPr>
          <w:delText>Todos os doentes, e em particular os doentes com história clínica de terapêutica imunossupressora prolongada ou nos doentes com psoríase com uma história de tratamento por PUVA, devem ser avaliados relativamente a neoplasias cutâneas não melanomas, antes e durante o tratamento com Humira. Melanoma e carcinoma das células de Merkel foram também notificad</w:delText>
        </w:r>
        <w:r w:rsidR="00D47117">
          <w:rPr>
            <w:sz w:val="22"/>
            <w:szCs w:val="22"/>
          </w:rPr>
          <w:delText>o</w:delText>
        </w:r>
        <w:r w:rsidRPr="008912CF">
          <w:rPr>
            <w:sz w:val="22"/>
            <w:szCs w:val="22"/>
          </w:rPr>
          <w:delText>s em doentes tratados com antagonistas-TNF</w:delText>
        </w:r>
        <w:r w:rsidR="00D47117">
          <w:rPr>
            <w:sz w:val="22"/>
            <w:szCs w:val="22"/>
          </w:rPr>
          <w:delText>,</w:delText>
        </w:r>
        <w:r w:rsidRPr="008912CF">
          <w:rPr>
            <w:sz w:val="22"/>
            <w:szCs w:val="22"/>
          </w:rPr>
          <w:delText xml:space="preserve"> incluindo adalimumab (ver secção 4.8).</w:delText>
        </w:r>
      </w:del>
    </w:p>
    <w:p w14:paraId="04A7E1EE" w14:textId="343F360E" w:rsidR="004462A0" w:rsidRPr="008912CF" w:rsidRDefault="004462A0">
      <w:pPr>
        <w:rPr>
          <w:del w:id="5313" w:author="AbbVie2" w:date="2025-05-13T16:39:00Z"/>
          <w:sz w:val="22"/>
          <w:szCs w:val="22"/>
          <w:u w:val="single"/>
        </w:rPr>
        <w:pPrChange w:id="5314" w:author="AbbVie2" w:date="2025-05-13T16:40:00Z">
          <w:pPr>
            <w:autoSpaceDE w:val="0"/>
            <w:autoSpaceDN w:val="0"/>
            <w:adjustRightInd w:val="0"/>
          </w:pPr>
        </w:pPrChange>
      </w:pPr>
    </w:p>
    <w:p w14:paraId="379326ED" w14:textId="3E4579FF" w:rsidR="004462A0" w:rsidRPr="008912CF" w:rsidRDefault="00615769">
      <w:pPr>
        <w:rPr>
          <w:del w:id="5315" w:author="AbbVie2" w:date="2025-05-13T16:39:00Z"/>
          <w:szCs w:val="22"/>
        </w:rPr>
        <w:pPrChange w:id="5316" w:author="AbbVie2" w:date="2025-05-13T16:40:00Z">
          <w:pPr>
            <w:pStyle w:val="BodyText2"/>
          </w:pPr>
        </w:pPrChange>
      </w:pPr>
      <w:del w:id="5317" w:author="AbbVie2" w:date="2025-05-13T16:39:00Z">
        <w:r w:rsidRPr="008912CF">
          <w:rPr>
            <w:szCs w:val="22"/>
          </w:rPr>
          <w:delText xml:space="preserve">Num ensaio clínico exploratório realizado para avaliar o uso de um outro antagonista-TNF, infliximab, em doentes com doença pulmonar </w:delText>
        </w:r>
        <w:r w:rsidR="00D47117" w:rsidRPr="008912CF">
          <w:rPr>
            <w:szCs w:val="22"/>
          </w:rPr>
          <w:delText xml:space="preserve">obstrutiva </w:delText>
        </w:r>
        <w:r w:rsidRPr="008912CF">
          <w:rPr>
            <w:szCs w:val="22"/>
          </w:rPr>
          <w:delText>crónica (DPO</w:delText>
        </w:r>
        <w:r w:rsidR="00D47117">
          <w:rPr>
            <w:szCs w:val="22"/>
          </w:rPr>
          <w:delText>C</w:delText>
        </w:r>
        <w:r w:rsidRPr="008912CF">
          <w:rPr>
            <w:szCs w:val="22"/>
          </w:rPr>
          <w:delText>) moderada a grave, foram notificadas mais doenças malignas, principalmente nos pulmões ou cabeça e pescoço, no grupo de doentes tratados com infliximab do que no grupo controlo de doentes. Todos os doentes tinham antecedentes de tabagismo intenso. Assim, devem ser tomadas precauções quando for usado um anti-TNF em doentes com DPO</w:delText>
        </w:r>
        <w:r w:rsidR="00D47117">
          <w:rPr>
            <w:szCs w:val="22"/>
          </w:rPr>
          <w:delText>C</w:delText>
        </w:r>
        <w:r w:rsidRPr="008912CF">
          <w:rPr>
            <w:szCs w:val="22"/>
          </w:rPr>
          <w:delText>, bem como em doentes com risco aumentado de doenças malignas devido a tabagismo intenso.</w:delText>
        </w:r>
      </w:del>
    </w:p>
    <w:p w14:paraId="2349262B" w14:textId="0A660D6C" w:rsidR="004462A0" w:rsidRPr="008912CF" w:rsidRDefault="004462A0">
      <w:pPr>
        <w:rPr>
          <w:del w:id="5318" w:author="AbbVie2" w:date="2025-05-13T16:39:00Z"/>
          <w:sz w:val="22"/>
          <w:szCs w:val="22"/>
          <w:lang w:eastAsia="pt-PT"/>
        </w:rPr>
        <w:pPrChange w:id="5319" w:author="AbbVie2" w:date="2025-05-13T16:40:00Z">
          <w:pPr>
            <w:autoSpaceDE w:val="0"/>
            <w:autoSpaceDN w:val="0"/>
            <w:adjustRightInd w:val="0"/>
          </w:pPr>
        </w:pPrChange>
      </w:pPr>
    </w:p>
    <w:p w14:paraId="484A11D1" w14:textId="77C3154F" w:rsidR="004462A0" w:rsidRPr="008912CF" w:rsidRDefault="00615769">
      <w:pPr>
        <w:rPr>
          <w:del w:id="5320" w:author="AbbVie2" w:date="2025-05-13T16:39:00Z"/>
          <w:sz w:val="22"/>
          <w:szCs w:val="22"/>
          <w:lang w:eastAsia="pt-PT"/>
        </w:rPr>
        <w:pPrChange w:id="5321" w:author="AbbVie2" w:date="2025-05-13T16:40:00Z">
          <w:pPr>
            <w:autoSpaceDE w:val="0"/>
            <w:autoSpaceDN w:val="0"/>
            <w:adjustRightInd w:val="0"/>
          </w:pPr>
        </w:pPrChange>
      </w:pPr>
      <w:del w:id="5322" w:author="AbbVie2" w:date="2025-05-13T16:39:00Z">
        <w:r w:rsidRPr="008912CF">
          <w:rPr>
            <w:sz w:val="22"/>
            <w:szCs w:val="22"/>
            <w:lang w:eastAsia="pt-PT"/>
          </w:rPr>
          <w:delText xml:space="preserve">De acordo com os dados atuais, desconhece-se se o tratamento com </w:delText>
        </w:r>
        <w:r w:rsidRPr="008912CF">
          <w:rPr>
            <w:sz w:val="22"/>
            <w:szCs w:val="22"/>
          </w:rPr>
          <w:delText>adalimumab</w:delText>
        </w:r>
        <w:r w:rsidRPr="008912CF">
          <w:rPr>
            <w:sz w:val="22"/>
            <w:szCs w:val="22"/>
            <w:lang w:eastAsia="pt-PT"/>
          </w:rPr>
          <w:delText xml:space="preserve"> influencia o risco de desenvolvimento de displasia ou carcinoma do cólon</w:delText>
        </w:r>
        <w:r w:rsidRPr="008912CF">
          <w:rPr>
            <w:sz w:val="22"/>
            <w:szCs w:val="22"/>
          </w:rPr>
          <w:delText xml:space="preserve">. Todos os doentes com colite ulcerosa com risco aumentado de displasia ou carcinoma do cólon (por exemplo, doentes com colite ulcerosa </w:delText>
        </w:r>
        <w:r w:rsidRPr="008912CF">
          <w:rPr>
            <w:sz w:val="22"/>
            <w:szCs w:val="22"/>
            <w:lang w:eastAsia="pt-PT"/>
          </w:rPr>
          <w:delText>de duração prolongada ou colangite esclerosante primária), ou doentes com antecedentes de displasia ou carcinoma do cólon devem ser rastreados quanto à existência de displasia em intervalos regulares antes da terapêutica e durante a doença. Esta avaliação deve incluir colonoscopia e biopsias, de acordo com as recomendações locais.</w:delText>
        </w:r>
      </w:del>
    </w:p>
    <w:p w14:paraId="5C9A62BB" w14:textId="121580AC" w:rsidR="004462A0" w:rsidRPr="008912CF" w:rsidRDefault="004462A0" w:rsidP="00412FC8">
      <w:pPr>
        <w:rPr>
          <w:del w:id="5323" w:author="AbbVie2" w:date="2025-05-13T16:39:00Z"/>
        </w:rPr>
      </w:pPr>
    </w:p>
    <w:p w14:paraId="29CA77AD" w14:textId="40BCA174" w:rsidR="004462A0" w:rsidRPr="008912CF" w:rsidRDefault="00615769">
      <w:pPr>
        <w:rPr>
          <w:del w:id="5324" w:author="AbbVie2" w:date="2025-05-13T16:39:00Z"/>
          <w:sz w:val="22"/>
          <w:szCs w:val="22"/>
          <w:u w:val="single"/>
        </w:rPr>
        <w:pPrChange w:id="5325" w:author="AbbVie2" w:date="2025-05-13T16:40:00Z">
          <w:pPr>
            <w:keepNext/>
            <w:autoSpaceDE w:val="0"/>
            <w:autoSpaceDN w:val="0"/>
            <w:adjustRightInd w:val="0"/>
          </w:pPr>
        </w:pPrChange>
      </w:pPr>
      <w:del w:id="5326" w:author="AbbVie2" w:date="2025-05-13T16:39:00Z">
        <w:r w:rsidRPr="008912CF">
          <w:rPr>
            <w:sz w:val="22"/>
            <w:szCs w:val="22"/>
            <w:u w:val="single"/>
          </w:rPr>
          <w:delText>Reações hematológicas</w:delText>
        </w:r>
      </w:del>
    </w:p>
    <w:p w14:paraId="575DF639" w14:textId="1F8AB2D6" w:rsidR="004462A0" w:rsidRPr="008912CF" w:rsidRDefault="004462A0">
      <w:pPr>
        <w:rPr>
          <w:del w:id="5327" w:author="AbbVie2" w:date="2025-05-13T16:39:00Z"/>
          <w:sz w:val="22"/>
          <w:szCs w:val="22"/>
          <w:u w:val="single"/>
        </w:rPr>
        <w:pPrChange w:id="5328" w:author="AbbVie2" w:date="2025-05-13T16:40:00Z">
          <w:pPr>
            <w:keepNext/>
            <w:autoSpaceDE w:val="0"/>
            <w:autoSpaceDN w:val="0"/>
            <w:adjustRightInd w:val="0"/>
          </w:pPr>
        </w:pPrChange>
      </w:pPr>
    </w:p>
    <w:p w14:paraId="4ABBC265" w14:textId="00D63FE1" w:rsidR="004462A0" w:rsidRPr="008912CF" w:rsidRDefault="00615769">
      <w:pPr>
        <w:rPr>
          <w:del w:id="5329" w:author="AbbVie2" w:date="2025-05-13T16:39:00Z"/>
          <w:szCs w:val="22"/>
        </w:rPr>
        <w:pPrChange w:id="5330" w:author="AbbVie2" w:date="2025-05-13T16:40:00Z">
          <w:pPr>
            <w:pStyle w:val="BodyText2"/>
            <w:keepNext/>
          </w:pPr>
        </w:pPrChange>
      </w:pPr>
      <w:del w:id="5331" w:author="AbbVie2" w:date="2025-05-13T16:39:00Z">
        <w:r w:rsidRPr="008912CF">
          <w:rPr>
            <w:szCs w:val="22"/>
          </w:rPr>
          <w:delText>Foram notificados casos raros de pancitopenia incluindo anemia aplástica com antagonistas TNF. Acontecimentos adversos do sistema hematológico incluindo citopenia clinicamente significativa (p.e. trombocitopenia, leucopenia) foram notificados com Humira. Todos os doentes devem ser aconselhados a consultar de imediato o médico caso desenvolvam sinais e sintomas sugestivos de discrasias sanguíneas (p.e. febre persistente, equimose, hemorragia, palidez) durante a terapêutica com Humira. A descontinuação da ter</w:delText>
        </w:r>
        <w:r w:rsidRPr="008912CF">
          <w:rPr>
            <w:szCs w:val="22"/>
          </w:rPr>
          <w:delText xml:space="preserve">apêutica com Humira deverá ser considerada em doentes com anomalias hematológicas significativas confirmadas. </w:delText>
        </w:r>
      </w:del>
    </w:p>
    <w:p w14:paraId="201D86CB" w14:textId="365D545C" w:rsidR="004462A0" w:rsidRPr="008912CF" w:rsidRDefault="004462A0" w:rsidP="00412FC8">
      <w:pPr>
        <w:rPr>
          <w:del w:id="5332" w:author="AbbVie2" w:date="2025-05-13T16:39:00Z"/>
          <w:sz w:val="22"/>
          <w:szCs w:val="22"/>
        </w:rPr>
      </w:pPr>
    </w:p>
    <w:p w14:paraId="27C8D504" w14:textId="286C878F" w:rsidR="004462A0" w:rsidRPr="008912CF" w:rsidRDefault="00615769">
      <w:pPr>
        <w:rPr>
          <w:del w:id="5333" w:author="AbbVie2" w:date="2025-05-13T16:39:00Z"/>
          <w:sz w:val="22"/>
          <w:szCs w:val="22"/>
          <w:u w:val="single"/>
        </w:rPr>
        <w:pPrChange w:id="5334" w:author="AbbVie2" w:date="2025-05-13T16:40:00Z">
          <w:pPr>
            <w:autoSpaceDE w:val="0"/>
            <w:autoSpaceDN w:val="0"/>
            <w:adjustRightInd w:val="0"/>
          </w:pPr>
        </w:pPrChange>
      </w:pPr>
      <w:del w:id="5335" w:author="AbbVie2" w:date="2025-05-13T16:39:00Z">
        <w:r w:rsidRPr="008912CF">
          <w:rPr>
            <w:sz w:val="22"/>
            <w:szCs w:val="22"/>
            <w:u w:val="single"/>
          </w:rPr>
          <w:delText>Vacinação</w:delText>
        </w:r>
      </w:del>
    </w:p>
    <w:p w14:paraId="5EA0C7ED" w14:textId="66993783" w:rsidR="004462A0" w:rsidRPr="008912CF" w:rsidRDefault="004462A0">
      <w:pPr>
        <w:rPr>
          <w:del w:id="5336" w:author="AbbVie2" w:date="2025-05-13T16:39:00Z"/>
          <w:sz w:val="22"/>
          <w:szCs w:val="22"/>
          <w:u w:val="single"/>
        </w:rPr>
        <w:pPrChange w:id="5337" w:author="AbbVie2" w:date="2025-05-13T16:40:00Z">
          <w:pPr>
            <w:autoSpaceDE w:val="0"/>
            <w:autoSpaceDN w:val="0"/>
            <w:adjustRightInd w:val="0"/>
          </w:pPr>
        </w:pPrChange>
      </w:pPr>
    </w:p>
    <w:p w14:paraId="5922C841" w14:textId="23D59FBE" w:rsidR="004462A0" w:rsidRPr="008912CF" w:rsidRDefault="00615769">
      <w:pPr>
        <w:rPr>
          <w:del w:id="5338" w:author="AbbVie2" w:date="2025-05-13T16:39:00Z"/>
          <w:sz w:val="22"/>
          <w:szCs w:val="22"/>
        </w:rPr>
        <w:pPrChange w:id="5339" w:author="AbbVie2" w:date="2025-05-13T16:40:00Z">
          <w:pPr>
            <w:autoSpaceDE w:val="0"/>
            <w:autoSpaceDN w:val="0"/>
            <w:adjustRightInd w:val="0"/>
          </w:pPr>
        </w:pPrChange>
      </w:pPr>
      <w:del w:id="5340" w:author="AbbVie2" w:date="2025-05-13T16:39:00Z">
        <w:r w:rsidRPr="008912CF">
          <w:rPr>
            <w:sz w:val="22"/>
            <w:szCs w:val="22"/>
          </w:rPr>
          <w:delText>Num estudo clínico realizado em 226 doentes adultos com artrite reumatoide tratados com adalimumab ou placebo, foram observadas respostas imunitárias similares na vacinação com a vacina pneumocócica polissacarídica polivalente 23 e com a vacina trivalente contra o vírus da gripe. Não existem dados disponíveis sobre a transmissão secundária de infeção por vacinas vivas em doentes tratados com Humira</w:delText>
        </w:r>
        <w:r w:rsidR="00134325">
          <w:rPr>
            <w:sz w:val="22"/>
            <w:szCs w:val="22"/>
          </w:rPr>
          <w:delText>.</w:delText>
        </w:r>
      </w:del>
    </w:p>
    <w:p w14:paraId="26695ACE" w14:textId="555DF14C" w:rsidR="004462A0" w:rsidRPr="008912CF" w:rsidRDefault="004462A0">
      <w:pPr>
        <w:rPr>
          <w:del w:id="5341" w:author="AbbVie2" w:date="2025-05-13T16:39:00Z"/>
          <w:szCs w:val="22"/>
        </w:rPr>
        <w:pPrChange w:id="5342" w:author="AbbVie2" w:date="2025-05-13T16:40:00Z">
          <w:pPr>
            <w:pStyle w:val="BodyText2"/>
          </w:pPr>
        </w:pPrChange>
      </w:pPr>
    </w:p>
    <w:p w14:paraId="32CD479C" w14:textId="3F3A41DC" w:rsidR="004462A0" w:rsidRPr="008912CF" w:rsidRDefault="00615769">
      <w:pPr>
        <w:rPr>
          <w:del w:id="5343" w:author="AbbVie2" w:date="2025-05-13T16:39:00Z"/>
          <w:szCs w:val="22"/>
        </w:rPr>
        <w:pPrChange w:id="5344" w:author="AbbVie2" w:date="2025-05-13T16:40:00Z">
          <w:pPr>
            <w:pStyle w:val="BodyText2"/>
          </w:pPr>
        </w:pPrChange>
      </w:pPr>
      <w:del w:id="5345" w:author="AbbVie2" w:date="2025-05-13T16:39:00Z">
        <w:r w:rsidRPr="008912CF">
          <w:rPr>
            <w:szCs w:val="22"/>
          </w:rPr>
          <w:delText>Recomenda-se que, se possível, nos doentes pediátricos, antes de iniciar o tratamento com Humira sejam atualizadas as vacinas, de acordo com o atual Programa Nacional de Vacinação.</w:delText>
        </w:r>
      </w:del>
    </w:p>
    <w:p w14:paraId="0840FD0C" w14:textId="38FD7C40" w:rsidR="004462A0" w:rsidRPr="008912CF" w:rsidRDefault="004462A0">
      <w:pPr>
        <w:rPr>
          <w:del w:id="5346" w:author="AbbVie2" w:date="2025-05-13T16:39:00Z"/>
          <w:szCs w:val="22"/>
        </w:rPr>
        <w:pPrChange w:id="5347" w:author="AbbVie2" w:date="2025-05-13T16:40:00Z">
          <w:pPr>
            <w:pStyle w:val="BodyText2"/>
          </w:pPr>
        </w:pPrChange>
      </w:pPr>
    </w:p>
    <w:p w14:paraId="403872E0" w14:textId="260EDDEE" w:rsidR="004462A0" w:rsidRPr="008912CF" w:rsidRDefault="00615769">
      <w:pPr>
        <w:rPr>
          <w:del w:id="5348" w:author="AbbVie2" w:date="2025-05-13T16:39:00Z"/>
        </w:rPr>
        <w:pPrChange w:id="5349" w:author="AbbVie2" w:date="2025-05-13T16:40:00Z">
          <w:pPr>
            <w:pStyle w:val="BodyText2"/>
          </w:pPr>
        </w:pPrChange>
      </w:pPr>
      <w:del w:id="5350" w:author="AbbVie2" w:date="2025-05-13T16:39:00Z">
        <w:r w:rsidRPr="008912CF">
          <w:delText xml:space="preserve">Doentes tratados com Humira podem receber vacinas concomitantes, exceto vacinas vivas. Não se recomenda a administração de vacinas vivas </w:delText>
        </w:r>
        <w:r w:rsidR="00180B6A" w:rsidRPr="00180B6A">
          <w:delText>(</w:delText>
        </w:r>
        <w:r w:rsidR="00AD0004">
          <w:delText>p.ex.,</w:delText>
        </w:r>
        <w:r w:rsidR="00180B6A" w:rsidRPr="00180B6A">
          <w:delText xml:space="preserve"> vacina da BCG)</w:delText>
        </w:r>
        <w:r w:rsidR="00180B6A">
          <w:delText xml:space="preserve"> </w:delText>
        </w:r>
        <w:r w:rsidRPr="008912CF">
          <w:delText>a crianças com exposição intrauterina a adalimumab durante 5 meses após a última injeção de adalimumab da mãe durante a gravidez.</w:delText>
        </w:r>
      </w:del>
    </w:p>
    <w:p w14:paraId="509BDA15" w14:textId="2364CB94" w:rsidR="004462A0" w:rsidRPr="008912CF" w:rsidRDefault="004462A0">
      <w:pPr>
        <w:rPr>
          <w:del w:id="5351" w:author="AbbVie2" w:date="2025-05-13T16:39:00Z"/>
          <w:sz w:val="22"/>
          <w:szCs w:val="22"/>
        </w:rPr>
        <w:pPrChange w:id="5352" w:author="AbbVie2" w:date="2025-05-13T16:40:00Z">
          <w:pPr>
            <w:autoSpaceDE w:val="0"/>
            <w:autoSpaceDN w:val="0"/>
            <w:adjustRightInd w:val="0"/>
          </w:pPr>
        </w:pPrChange>
      </w:pPr>
    </w:p>
    <w:p w14:paraId="060A4840" w14:textId="50AB13D8" w:rsidR="004462A0" w:rsidRPr="008912CF" w:rsidRDefault="00615769">
      <w:pPr>
        <w:rPr>
          <w:del w:id="5353" w:author="AbbVie2" w:date="2025-05-13T16:39:00Z"/>
          <w:sz w:val="22"/>
          <w:szCs w:val="22"/>
          <w:u w:val="single"/>
        </w:rPr>
        <w:pPrChange w:id="5354" w:author="AbbVie2" w:date="2025-05-13T16:40:00Z">
          <w:pPr>
            <w:autoSpaceDE w:val="0"/>
            <w:autoSpaceDN w:val="0"/>
            <w:adjustRightInd w:val="0"/>
          </w:pPr>
        </w:pPrChange>
      </w:pPr>
      <w:del w:id="5355" w:author="AbbVie2" w:date="2025-05-13T16:39:00Z">
        <w:r w:rsidRPr="008912CF">
          <w:rPr>
            <w:sz w:val="22"/>
            <w:szCs w:val="22"/>
            <w:u w:val="single"/>
          </w:rPr>
          <w:delText xml:space="preserve">Insuficiência cardíaca congestiva </w:delText>
        </w:r>
      </w:del>
    </w:p>
    <w:p w14:paraId="538272F3" w14:textId="4E253197" w:rsidR="004462A0" w:rsidRPr="008912CF" w:rsidRDefault="004462A0">
      <w:pPr>
        <w:rPr>
          <w:del w:id="5356" w:author="AbbVie2" w:date="2025-05-13T16:39:00Z"/>
          <w:sz w:val="22"/>
          <w:szCs w:val="22"/>
          <w:u w:val="single"/>
        </w:rPr>
        <w:pPrChange w:id="5357" w:author="AbbVie2" w:date="2025-05-13T16:40:00Z">
          <w:pPr>
            <w:autoSpaceDE w:val="0"/>
            <w:autoSpaceDN w:val="0"/>
            <w:adjustRightInd w:val="0"/>
          </w:pPr>
        </w:pPrChange>
      </w:pPr>
    </w:p>
    <w:p w14:paraId="4E80BADB" w14:textId="26E8ED3B" w:rsidR="004462A0" w:rsidRPr="008912CF" w:rsidRDefault="00615769">
      <w:pPr>
        <w:rPr>
          <w:del w:id="5358" w:author="AbbVie2" w:date="2025-05-13T16:39:00Z"/>
          <w:i/>
          <w:sz w:val="22"/>
          <w:szCs w:val="22"/>
        </w:rPr>
        <w:pPrChange w:id="5359" w:author="AbbVie2" w:date="2025-05-13T16:40:00Z">
          <w:pPr>
            <w:autoSpaceDE w:val="0"/>
            <w:autoSpaceDN w:val="0"/>
            <w:adjustRightInd w:val="0"/>
          </w:pPr>
        </w:pPrChange>
      </w:pPr>
      <w:del w:id="5360" w:author="AbbVie2" w:date="2025-05-13T16:39:00Z">
        <w:r w:rsidRPr="008912CF">
          <w:rPr>
            <w:sz w:val="22"/>
            <w:szCs w:val="22"/>
          </w:rPr>
          <w:delText>Num ensaio clínico realizado com outro antagonista</w:delText>
        </w:r>
        <w:r w:rsidRPr="008912CF">
          <w:rPr>
            <w:sz w:val="22"/>
            <w:szCs w:val="22"/>
          </w:rPr>
          <w:noBreakHyphen/>
          <w:delText xml:space="preserve">TNF observou-se agravamento da insuficiência cardíaca congestiva e aumento da mortalidade por insuficiência cardíaca congestiva. Foram </w:delText>
        </w:r>
        <w:r w:rsidR="002B1836">
          <w:rPr>
            <w:sz w:val="22"/>
            <w:szCs w:val="22"/>
          </w:rPr>
          <w:delText xml:space="preserve">também </w:delText>
        </w:r>
        <w:r w:rsidRPr="008912CF">
          <w:rPr>
            <w:sz w:val="22"/>
            <w:szCs w:val="22"/>
          </w:rPr>
          <w:delText xml:space="preserve">notificados casos de agravamento de insuficiência cardíaca congestiva em doentes tratados com Humira. Humira deve ser utilizado com precaução em doentes com insuficiência cardíaca ligeira (classe I/II da NYHA). Humira está contraindicado na insuficiência cardíaca moderada a grave (ver secção 4.3). O tratamento com Humira deve ser interrompido em doentes que desenvolvam novos sintomas ou agravamento dos sintomas de insuficiência cardíaca congestiva. </w:delText>
        </w:r>
      </w:del>
    </w:p>
    <w:p w14:paraId="3B8D3096" w14:textId="50E1BA50" w:rsidR="004462A0" w:rsidRPr="008912CF" w:rsidRDefault="004462A0">
      <w:pPr>
        <w:rPr>
          <w:del w:id="5361" w:author="AbbVie2" w:date="2025-05-13T16:39:00Z"/>
          <w:szCs w:val="22"/>
        </w:rPr>
        <w:pPrChange w:id="5362" w:author="AbbVie2" w:date="2025-05-13T16:40:00Z">
          <w:pPr>
            <w:pStyle w:val="EndnoteText"/>
            <w:tabs>
              <w:tab w:val="clear" w:pos="567"/>
            </w:tabs>
          </w:pPr>
        </w:pPrChange>
      </w:pPr>
    </w:p>
    <w:p w14:paraId="328DB9D8" w14:textId="1115F120" w:rsidR="004462A0" w:rsidRPr="008912CF" w:rsidRDefault="00615769">
      <w:pPr>
        <w:rPr>
          <w:del w:id="5363" w:author="AbbVie2" w:date="2025-05-13T16:39:00Z"/>
          <w:sz w:val="22"/>
          <w:szCs w:val="22"/>
          <w:u w:val="single"/>
        </w:rPr>
        <w:pPrChange w:id="5364" w:author="AbbVie2" w:date="2025-05-13T16:40:00Z">
          <w:pPr>
            <w:keepNext/>
          </w:pPr>
        </w:pPrChange>
      </w:pPr>
      <w:del w:id="5365" w:author="AbbVie2" w:date="2025-05-13T16:39:00Z">
        <w:r w:rsidRPr="008912CF">
          <w:rPr>
            <w:sz w:val="22"/>
            <w:szCs w:val="22"/>
            <w:u w:val="single"/>
          </w:rPr>
          <w:delText xml:space="preserve">Processos autoimunes </w:delText>
        </w:r>
      </w:del>
    </w:p>
    <w:p w14:paraId="021F54A9" w14:textId="11D023C8" w:rsidR="004462A0" w:rsidRPr="008912CF" w:rsidRDefault="004462A0">
      <w:pPr>
        <w:rPr>
          <w:del w:id="5366" w:author="AbbVie2" w:date="2025-05-13T16:39:00Z"/>
          <w:i/>
          <w:sz w:val="22"/>
          <w:szCs w:val="22"/>
          <w:u w:val="single"/>
        </w:rPr>
        <w:pPrChange w:id="5367" w:author="AbbVie2" w:date="2025-05-13T16:40:00Z">
          <w:pPr>
            <w:keepNext/>
          </w:pPr>
        </w:pPrChange>
      </w:pPr>
    </w:p>
    <w:p w14:paraId="06FF8BEC" w14:textId="7C52C841" w:rsidR="004462A0" w:rsidRPr="008912CF" w:rsidRDefault="00615769">
      <w:pPr>
        <w:rPr>
          <w:del w:id="5368" w:author="AbbVie2" w:date="2025-05-13T16:39:00Z"/>
          <w:i/>
          <w:sz w:val="22"/>
          <w:szCs w:val="22"/>
        </w:rPr>
        <w:pPrChange w:id="5369" w:author="AbbVie2" w:date="2025-05-13T16:40:00Z">
          <w:pPr>
            <w:keepNext/>
          </w:pPr>
        </w:pPrChange>
      </w:pPr>
      <w:del w:id="5370" w:author="AbbVie2" w:date="2025-05-13T16:39:00Z">
        <w:r w:rsidRPr="008912CF">
          <w:rPr>
            <w:sz w:val="22"/>
            <w:szCs w:val="22"/>
          </w:rPr>
          <w:delText>O tratamento com Humira pode dar origem à formação de anticorpos autoimunes. Desconhece-se o impacto do tratamento a longo prazo com Humira no desenvolvimento de doenças autoimunes. Não deve ser administrado tratamento adicional com Humira se um doente apresentar sintomas sugestivos de uma síndrome do tipo lúpus e se for positivo para anticorpos contra a dupla cadeia de DNA, após o tratamento com Humira (ver secção 4.8).</w:delText>
        </w:r>
      </w:del>
    </w:p>
    <w:p w14:paraId="14A79CE1" w14:textId="0ED95E67" w:rsidR="004462A0" w:rsidRPr="008912CF" w:rsidRDefault="004462A0" w:rsidP="00412FC8">
      <w:pPr>
        <w:rPr>
          <w:del w:id="5371" w:author="AbbVie2" w:date="2025-05-13T16:39:00Z"/>
          <w:i/>
          <w:sz w:val="22"/>
          <w:szCs w:val="22"/>
        </w:rPr>
      </w:pPr>
    </w:p>
    <w:p w14:paraId="7D3A1A6C" w14:textId="62343BCB" w:rsidR="004462A0" w:rsidRPr="008912CF" w:rsidRDefault="00615769">
      <w:pPr>
        <w:rPr>
          <w:del w:id="5372" w:author="AbbVie2" w:date="2025-05-13T16:39:00Z"/>
          <w:szCs w:val="22"/>
        </w:rPr>
        <w:pPrChange w:id="5373" w:author="AbbVie2" w:date="2025-05-13T16:40:00Z">
          <w:pPr>
            <w:pStyle w:val="Heading9"/>
          </w:pPr>
        </w:pPrChange>
      </w:pPr>
      <w:del w:id="5374" w:author="AbbVie2" w:date="2025-05-13T16:39:00Z">
        <w:r w:rsidRPr="008912CF">
          <w:rPr>
            <w:szCs w:val="22"/>
          </w:rPr>
          <w:delText xml:space="preserve">Administração concomitante de </w:delText>
        </w:r>
        <w:r w:rsidR="002B1836" w:rsidRPr="008912CF">
          <w:rPr>
            <w:szCs w:val="22"/>
          </w:rPr>
          <w:delText xml:space="preserve">DMARDS </w:delText>
        </w:r>
        <w:r w:rsidRPr="008912CF">
          <w:rPr>
            <w:szCs w:val="22"/>
          </w:rPr>
          <w:delText>biológicos ou antagonistas</w:delText>
        </w:r>
        <w:r w:rsidRPr="008912CF">
          <w:rPr>
            <w:szCs w:val="22"/>
          </w:rPr>
          <w:noBreakHyphen/>
          <w:delText>TNF</w:delText>
        </w:r>
      </w:del>
    </w:p>
    <w:p w14:paraId="3914A91E" w14:textId="08E6D3C2" w:rsidR="004462A0" w:rsidRPr="008912CF" w:rsidRDefault="004462A0" w:rsidP="00412FC8">
      <w:pPr>
        <w:rPr>
          <w:del w:id="5375" w:author="AbbVie2" w:date="2025-05-13T16:39:00Z"/>
          <w:iCs/>
          <w:sz w:val="22"/>
          <w:szCs w:val="22"/>
        </w:rPr>
      </w:pPr>
    </w:p>
    <w:p w14:paraId="68A8BA24" w14:textId="20A9EC8C" w:rsidR="004462A0" w:rsidRPr="008912CF" w:rsidRDefault="00615769" w:rsidP="00412FC8">
      <w:pPr>
        <w:rPr>
          <w:del w:id="5376" w:author="AbbVie2" w:date="2025-05-13T16:39:00Z"/>
          <w:i/>
          <w:sz w:val="22"/>
          <w:szCs w:val="22"/>
        </w:rPr>
      </w:pPr>
      <w:del w:id="5377" w:author="AbbVie2" w:date="2025-05-13T16:39:00Z">
        <w:r w:rsidRPr="008912CF">
          <w:rPr>
            <w:iCs/>
            <w:sz w:val="22"/>
            <w:szCs w:val="22"/>
          </w:rPr>
          <w:delText>Em ensaios clínicos realizados com a administração concomitante de ana</w:delText>
        </w:r>
        <w:r w:rsidR="002B1836">
          <w:rPr>
            <w:iCs/>
            <w:sz w:val="22"/>
            <w:szCs w:val="22"/>
          </w:rPr>
          <w:delText>c</w:delText>
        </w:r>
        <w:r w:rsidRPr="008912CF">
          <w:rPr>
            <w:iCs/>
            <w:sz w:val="22"/>
            <w:szCs w:val="22"/>
          </w:rPr>
          <w:delText>inra e outro antagonista-TNF, etanercept, observaram-se infeções graves sem benefício clínico adicional relativamente à utilização de etanercept isoladamente. Devido à natureza dos acontecimentos adversos observados com a associação terapêutica de etanercept e ana</w:delText>
        </w:r>
        <w:r w:rsidR="002B1836">
          <w:rPr>
            <w:iCs/>
            <w:sz w:val="22"/>
            <w:szCs w:val="22"/>
          </w:rPr>
          <w:delText>c</w:delText>
        </w:r>
        <w:r w:rsidRPr="008912CF">
          <w:rPr>
            <w:iCs/>
            <w:sz w:val="22"/>
            <w:szCs w:val="22"/>
          </w:rPr>
          <w:delText xml:space="preserve">inra, a associação de </w:delText>
        </w:r>
        <w:r w:rsidR="002B1836">
          <w:rPr>
            <w:iCs/>
            <w:sz w:val="22"/>
            <w:szCs w:val="22"/>
          </w:rPr>
          <w:delText>anacinra</w:delText>
        </w:r>
        <w:r w:rsidR="002B1836" w:rsidRPr="008912CF">
          <w:rPr>
            <w:iCs/>
            <w:sz w:val="22"/>
            <w:szCs w:val="22"/>
          </w:rPr>
          <w:delText xml:space="preserve"> </w:delText>
        </w:r>
        <w:r w:rsidRPr="008912CF">
          <w:rPr>
            <w:iCs/>
            <w:sz w:val="22"/>
            <w:szCs w:val="22"/>
          </w:rPr>
          <w:delText>e outro antagonista</w:delText>
        </w:r>
        <w:r w:rsidRPr="008912CF">
          <w:rPr>
            <w:iCs/>
            <w:sz w:val="22"/>
            <w:szCs w:val="22"/>
          </w:rPr>
          <w:noBreakHyphen/>
          <w:delText>TNF pode também resultar em toxicidades semelhantes. Por conseguinte, não se recomenda a associação de adalimumab e ana</w:delText>
        </w:r>
        <w:r w:rsidR="002B1836">
          <w:rPr>
            <w:iCs/>
            <w:sz w:val="22"/>
            <w:szCs w:val="22"/>
          </w:rPr>
          <w:delText>c</w:delText>
        </w:r>
        <w:r w:rsidRPr="008912CF">
          <w:rPr>
            <w:iCs/>
            <w:sz w:val="22"/>
            <w:szCs w:val="22"/>
          </w:rPr>
          <w:delText xml:space="preserve">inra </w:delText>
        </w:r>
        <w:r w:rsidRPr="008912CF">
          <w:rPr>
            <w:sz w:val="22"/>
            <w:szCs w:val="22"/>
          </w:rPr>
          <w:delText>(ver secção 4.5)</w:delText>
        </w:r>
        <w:r w:rsidRPr="008912CF">
          <w:rPr>
            <w:iCs/>
            <w:sz w:val="22"/>
            <w:szCs w:val="22"/>
          </w:rPr>
          <w:delText xml:space="preserve">. </w:delText>
        </w:r>
      </w:del>
    </w:p>
    <w:p w14:paraId="2BF9D38B" w14:textId="31E4854F" w:rsidR="004462A0" w:rsidRPr="008912CF" w:rsidRDefault="004462A0">
      <w:pPr>
        <w:rPr>
          <w:del w:id="5378" w:author="AbbVie2" w:date="2025-05-13T16:39:00Z"/>
          <w:highlight w:val="yellow"/>
        </w:rPr>
        <w:pPrChange w:id="5379" w:author="AbbVie2" w:date="2025-05-13T16:40:00Z">
          <w:pPr>
            <w:pStyle w:val="Heading9"/>
            <w:keepNext w:val="0"/>
          </w:pPr>
        </w:pPrChange>
      </w:pPr>
    </w:p>
    <w:p w14:paraId="2A353485" w14:textId="2CF35BBB" w:rsidR="004462A0" w:rsidRPr="008912CF" w:rsidRDefault="00615769">
      <w:pPr>
        <w:rPr>
          <w:del w:id="5380" w:author="AbbVie2" w:date="2025-05-13T16:39:00Z"/>
          <w:szCs w:val="22"/>
          <w:highlight w:val="yellow"/>
        </w:rPr>
        <w:pPrChange w:id="5381" w:author="AbbVie2" w:date="2025-05-13T16:40:00Z">
          <w:pPr>
            <w:pStyle w:val="EMEANormal"/>
          </w:pPr>
        </w:pPrChange>
      </w:pPr>
      <w:del w:id="5382" w:author="AbbVie2" w:date="2025-05-13T16:39:00Z">
        <w:r w:rsidRPr="008912CF">
          <w:rPr>
            <w:szCs w:val="22"/>
          </w:rPr>
          <w:delText xml:space="preserve">Não se recomenda a administração concomitante de adalimumab com outros </w:delText>
        </w:r>
        <w:r w:rsidR="002B1836" w:rsidRPr="008912CF">
          <w:rPr>
            <w:szCs w:val="22"/>
          </w:rPr>
          <w:delText xml:space="preserve">DMARDS </w:delText>
        </w:r>
        <w:r w:rsidRPr="008912CF">
          <w:rPr>
            <w:szCs w:val="22"/>
          </w:rPr>
          <w:delText>biológicos (p.ex., ana</w:delText>
        </w:r>
        <w:r w:rsidR="002B1836">
          <w:rPr>
            <w:szCs w:val="22"/>
          </w:rPr>
          <w:delText>c</w:delText>
        </w:r>
        <w:r w:rsidRPr="008912CF">
          <w:rPr>
            <w:szCs w:val="22"/>
          </w:rPr>
          <w:delText>inra e abatacept) ou outros antagonistas-TNF, devido ao possível risco acrescido de infeções, incluindo infeções graves e outras potenciais interações farmacológicas (</w:delText>
        </w:r>
        <w:r w:rsidR="00F7235D">
          <w:rPr>
            <w:szCs w:val="22"/>
          </w:rPr>
          <w:delText>v</w:delText>
        </w:r>
        <w:r w:rsidRPr="008912CF">
          <w:rPr>
            <w:szCs w:val="22"/>
          </w:rPr>
          <w:delText>er secção 4.5).</w:delText>
        </w:r>
      </w:del>
    </w:p>
    <w:p w14:paraId="562C8E8F" w14:textId="0F12DBE5" w:rsidR="004462A0" w:rsidRPr="008912CF" w:rsidRDefault="004462A0" w:rsidP="00412FC8">
      <w:pPr>
        <w:rPr>
          <w:del w:id="5383" w:author="AbbVie2" w:date="2025-05-13T16:39:00Z"/>
          <w:i/>
          <w:sz w:val="22"/>
          <w:szCs w:val="22"/>
        </w:rPr>
      </w:pPr>
    </w:p>
    <w:p w14:paraId="0665DF4A" w14:textId="1C63F7E4" w:rsidR="004462A0" w:rsidRPr="008912CF" w:rsidRDefault="00615769">
      <w:pPr>
        <w:rPr>
          <w:del w:id="5384" w:author="AbbVie2" w:date="2025-05-13T16:39:00Z"/>
          <w:iCs/>
          <w:szCs w:val="22"/>
        </w:rPr>
        <w:pPrChange w:id="5385" w:author="AbbVie2" w:date="2025-05-13T16:40:00Z">
          <w:pPr>
            <w:pStyle w:val="Heading9"/>
          </w:pPr>
        </w:pPrChange>
      </w:pPr>
      <w:del w:id="5386" w:author="AbbVie2" w:date="2025-05-13T16:39:00Z">
        <w:r w:rsidRPr="008912CF">
          <w:rPr>
            <w:iCs/>
            <w:szCs w:val="22"/>
          </w:rPr>
          <w:delText>Cirurgia</w:delText>
        </w:r>
      </w:del>
    </w:p>
    <w:p w14:paraId="0D33DD79" w14:textId="4229A25F" w:rsidR="004462A0" w:rsidRPr="008912CF" w:rsidRDefault="004462A0">
      <w:pPr>
        <w:rPr>
          <w:del w:id="5387" w:author="AbbVie2" w:date="2025-05-13T16:39:00Z"/>
          <w:iCs/>
          <w:sz w:val="22"/>
          <w:szCs w:val="22"/>
        </w:rPr>
        <w:pPrChange w:id="5388" w:author="AbbVie2" w:date="2025-05-13T16:40:00Z">
          <w:pPr>
            <w:keepNext/>
          </w:pPr>
        </w:pPrChange>
      </w:pPr>
    </w:p>
    <w:p w14:paraId="19C4184B" w14:textId="3D118E80" w:rsidR="004462A0" w:rsidRPr="008912CF" w:rsidRDefault="00615769">
      <w:pPr>
        <w:rPr>
          <w:del w:id="5389" w:author="AbbVie2" w:date="2025-05-13T16:39:00Z"/>
          <w:iCs/>
          <w:sz w:val="22"/>
          <w:szCs w:val="22"/>
        </w:rPr>
        <w:pPrChange w:id="5390" w:author="AbbVie2" w:date="2025-05-13T16:40:00Z">
          <w:pPr>
            <w:keepNext/>
          </w:pPr>
        </w:pPrChange>
      </w:pPr>
      <w:del w:id="5391" w:author="AbbVie2" w:date="2025-05-13T16:39:00Z">
        <w:r w:rsidRPr="008912CF">
          <w:rPr>
            <w:iCs/>
            <w:sz w:val="22"/>
            <w:szCs w:val="22"/>
          </w:rPr>
          <w:delText>A experiência existente, em termos de segurança de intervenções cirúrgicas em doentes tratados com Humira, é limitada. A semi</w:delText>
        </w:r>
        <w:r w:rsidR="00784C05">
          <w:rPr>
            <w:iCs/>
            <w:sz w:val="22"/>
            <w:szCs w:val="22"/>
          </w:rPr>
          <w:delText>-</w:delText>
        </w:r>
        <w:r w:rsidRPr="008912CF">
          <w:rPr>
            <w:iCs/>
            <w:sz w:val="22"/>
            <w:szCs w:val="22"/>
          </w:rPr>
          <w:delText xml:space="preserve">vida longa de adalimumab deve ser tida em consideração se for planeada uma intervenção cirúrgica. </w:delText>
        </w:r>
        <w:r w:rsidR="00F7235D">
          <w:rPr>
            <w:iCs/>
            <w:sz w:val="22"/>
            <w:szCs w:val="22"/>
          </w:rPr>
          <w:delText>Um</w:delText>
        </w:r>
        <w:r w:rsidRPr="008912CF">
          <w:rPr>
            <w:iCs/>
            <w:sz w:val="22"/>
            <w:szCs w:val="22"/>
          </w:rPr>
          <w:delText xml:space="preserve"> doente que requeira cirurgia durante o tratamento com Humira deve ser cuidadosamente monitorizado para infeções, e devem ser tomadas ações apropriadas. A experiência que existe, em termos de segurança em doentes submetidos a artroplastia durante o tratamento com Humira, é limitada.</w:delText>
        </w:r>
      </w:del>
    </w:p>
    <w:p w14:paraId="12E4A49B" w14:textId="65949C04" w:rsidR="004462A0" w:rsidRPr="008912CF" w:rsidRDefault="004462A0" w:rsidP="00412FC8">
      <w:pPr>
        <w:rPr>
          <w:del w:id="5392" w:author="AbbVie2" w:date="2025-05-13T16:39:00Z"/>
          <w:sz w:val="22"/>
          <w:szCs w:val="22"/>
        </w:rPr>
      </w:pPr>
    </w:p>
    <w:p w14:paraId="688B79FD" w14:textId="4BCD4792" w:rsidR="004462A0" w:rsidRPr="008912CF" w:rsidRDefault="00615769">
      <w:pPr>
        <w:rPr>
          <w:del w:id="5393" w:author="AbbVie2" w:date="2025-05-13T16:39:00Z"/>
          <w:szCs w:val="22"/>
          <w:u w:val="single"/>
        </w:rPr>
        <w:pPrChange w:id="5394" w:author="AbbVie2" w:date="2025-05-13T16:40:00Z">
          <w:pPr>
            <w:pStyle w:val="EMEAFigureTitle"/>
            <w:tabs>
              <w:tab w:val="clear" w:pos="562"/>
            </w:tabs>
            <w:suppressAutoHyphens w:val="0"/>
          </w:pPr>
        </w:pPrChange>
      </w:pPr>
      <w:del w:id="5395" w:author="AbbVie2" w:date="2025-05-13T16:39:00Z">
        <w:r w:rsidRPr="008912CF">
          <w:rPr>
            <w:szCs w:val="22"/>
            <w:u w:val="single"/>
          </w:rPr>
          <w:delText>Obstrução do intestino delgado</w:delText>
        </w:r>
      </w:del>
    </w:p>
    <w:p w14:paraId="49D3DB24" w14:textId="1D3F9504" w:rsidR="004462A0" w:rsidRPr="008912CF" w:rsidRDefault="004462A0">
      <w:pPr>
        <w:rPr>
          <w:del w:id="5396" w:author="AbbVie2" w:date="2025-05-13T16:39:00Z"/>
          <w:szCs w:val="22"/>
        </w:rPr>
        <w:pPrChange w:id="5397" w:author="AbbVie2" w:date="2025-05-13T16:40:00Z">
          <w:pPr>
            <w:pStyle w:val="EndnoteText"/>
            <w:tabs>
              <w:tab w:val="clear" w:pos="567"/>
            </w:tabs>
          </w:pPr>
        </w:pPrChange>
      </w:pPr>
    </w:p>
    <w:p w14:paraId="5F8AD40F" w14:textId="0F981314" w:rsidR="004462A0" w:rsidRPr="008912CF" w:rsidRDefault="00615769" w:rsidP="00412FC8">
      <w:pPr>
        <w:rPr>
          <w:del w:id="5398" w:author="AbbVie2" w:date="2025-05-13T16:39:00Z"/>
          <w:sz w:val="22"/>
          <w:szCs w:val="22"/>
        </w:rPr>
      </w:pPr>
      <w:del w:id="5399" w:author="AbbVie2" w:date="2025-05-13T16:39:00Z">
        <w:r w:rsidRPr="008912CF">
          <w:rPr>
            <w:sz w:val="22"/>
            <w:szCs w:val="22"/>
          </w:rPr>
          <w:delText>Uma falha na resposta ao tratamento da doença de Crohn pode indicar a presença de estenose fibrótica</w:delText>
        </w:r>
        <w:r w:rsidR="00F7235D">
          <w:rPr>
            <w:sz w:val="22"/>
            <w:szCs w:val="22"/>
          </w:rPr>
          <w:delText>,</w:delText>
        </w:r>
        <w:r w:rsidRPr="008912CF">
          <w:rPr>
            <w:sz w:val="22"/>
            <w:szCs w:val="22"/>
          </w:rPr>
          <w:delText xml:space="preserve"> a qual pode requerer tratamento cirúrgico. Os dados disponíveis sugerem que Humira não agrava nem provoca estenoses.</w:delText>
        </w:r>
      </w:del>
    </w:p>
    <w:p w14:paraId="6BF63770" w14:textId="5820AD26" w:rsidR="004462A0" w:rsidRPr="008912CF" w:rsidRDefault="004462A0" w:rsidP="00412FC8">
      <w:pPr>
        <w:rPr>
          <w:del w:id="5400" w:author="AbbVie2" w:date="2025-05-13T16:39:00Z"/>
          <w:i/>
          <w:sz w:val="22"/>
          <w:szCs w:val="22"/>
        </w:rPr>
      </w:pPr>
    </w:p>
    <w:p w14:paraId="5FB9A46B" w14:textId="14EDAABD" w:rsidR="004462A0" w:rsidRPr="008912CF" w:rsidRDefault="00615769" w:rsidP="00412FC8">
      <w:pPr>
        <w:rPr>
          <w:del w:id="5401" w:author="AbbVie2" w:date="2025-05-13T16:39:00Z"/>
          <w:sz w:val="22"/>
          <w:szCs w:val="22"/>
          <w:u w:val="single"/>
        </w:rPr>
      </w:pPr>
      <w:del w:id="5402" w:author="AbbVie2" w:date="2025-05-13T16:39:00Z">
        <w:r w:rsidRPr="008912CF">
          <w:rPr>
            <w:sz w:val="22"/>
            <w:szCs w:val="22"/>
            <w:u w:val="single"/>
          </w:rPr>
          <w:delText>Idosos</w:delText>
        </w:r>
      </w:del>
    </w:p>
    <w:p w14:paraId="6FE589E4" w14:textId="7CBBD0D3" w:rsidR="004462A0" w:rsidRPr="008912CF" w:rsidRDefault="004462A0" w:rsidP="00412FC8">
      <w:pPr>
        <w:rPr>
          <w:del w:id="5403" w:author="AbbVie2" w:date="2025-05-13T16:39:00Z"/>
          <w:sz w:val="22"/>
          <w:szCs w:val="22"/>
        </w:rPr>
      </w:pPr>
    </w:p>
    <w:p w14:paraId="53E7D4AE" w14:textId="2270AB2A" w:rsidR="004462A0" w:rsidRPr="008912CF" w:rsidRDefault="00615769" w:rsidP="00412FC8">
      <w:pPr>
        <w:rPr>
          <w:del w:id="5404" w:author="AbbVie2" w:date="2025-05-13T16:39:00Z"/>
          <w:i/>
          <w:sz w:val="22"/>
          <w:szCs w:val="22"/>
        </w:rPr>
      </w:pPr>
      <w:del w:id="5405" w:author="AbbVie2" w:date="2025-05-13T16:39:00Z">
        <w:r w:rsidRPr="008912CF">
          <w:rPr>
            <w:sz w:val="22"/>
            <w:szCs w:val="22"/>
          </w:rPr>
          <w:delText>A frequência de infeções graves em doentes tratados com Humira com mais de 65 anos de idade (</w:delText>
        </w:r>
        <w:r>
          <w:rPr>
            <w:sz w:val="22"/>
            <w:szCs w:val="22"/>
          </w:rPr>
          <w:delText>3,7</w:delText>
        </w:r>
        <w:r w:rsidR="009343EF">
          <w:rPr>
            <w:sz w:val="22"/>
            <w:szCs w:val="22"/>
          </w:rPr>
          <w:delText>%</w:delText>
        </w:r>
        <w:r w:rsidRPr="008912CF">
          <w:rPr>
            <w:sz w:val="22"/>
            <w:szCs w:val="22"/>
          </w:rPr>
          <w:delText>) foi superior à de doentes com idade inferior a 65 anos (</w:delText>
        </w:r>
        <w:r>
          <w:rPr>
            <w:sz w:val="22"/>
            <w:szCs w:val="22"/>
          </w:rPr>
          <w:delText>1,5</w:delText>
        </w:r>
        <w:r w:rsidR="009343EF">
          <w:rPr>
            <w:sz w:val="22"/>
            <w:szCs w:val="22"/>
          </w:rPr>
          <w:delText>%</w:delText>
        </w:r>
        <w:r w:rsidRPr="008912CF">
          <w:rPr>
            <w:sz w:val="22"/>
            <w:szCs w:val="22"/>
          </w:rPr>
          <w:delText>). Algumas foram fatais. No tratamento em idosos deve-se ter particular atenção ao risco de infeções.</w:delText>
        </w:r>
      </w:del>
    </w:p>
    <w:p w14:paraId="7FD703EE" w14:textId="576340A6" w:rsidR="004462A0" w:rsidRPr="008912CF" w:rsidRDefault="004462A0" w:rsidP="00412FC8">
      <w:pPr>
        <w:rPr>
          <w:del w:id="5406" w:author="AbbVie2" w:date="2025-05-13T16:39:00Z"/>
          <w:iCs/>
          <w:sz w:val="22"/>
          <w:szCs w:val="22"/>
          <w:u w:val="single"/>
        </w:rPr>
      </w:pPr>
    </w:p>
    <w:p w14:paraId="76BEB0CD" w14:textId="370B7288" w:rsidR="004462A0" w:rsidRPr="008912CF" w:rsidRDefault="00615769">
      <w:pPr>
        <w:rPr>
          <w:del w:id="5407" w:author="AbbVie2" w:date="2025-05-13T16:39:00Z"/>
          <w:iCs/>
          <w:sz w:val="22"/>
          <w:szCs w:val="22"/>
          <w:u w:val="single"/>
        </w:rPr>
        <w:pPrChange w:id="5408" w:author="AbbVie2" w:date="2025-05-13T16:40:00Z">
          <w:pPr>
            <w:keepNext/>
          </w:pPr>
        </w:pPrChange>
      </w:pPr>
      <w:del w:id="5409" w:author="AbbVie2" w:date="2025-05-13T16:39:00Z">
        <w:r w:rsidRPr="008912CF">
          <w:rPr>
            <w:iCs/>
            <w:sz w:val="22"/>
            <w:szCs w:val="22"/>
            <w:u w:val="single"/>
          </w:rPr>
          <w:delText>População pediátrica</w:delText>
        </w:r>
      </w:del>
    </w:p>
    <w:p w14:paraId="0C91A5AE" w14:textId="4D35AEC3" w:rsidR="004462A0" w:rsidRPr="008912CF" w:rsidRDefault="004462A0">
      <w:pPr>
        <w:rPr>
          <w:del w:id="5410" w:author="AbbVie2" w:date="2025-05-13T16:39:00Z"/>
          <w:i/>
          <w:sz w:val="22"/>
          <w:szCs w:val="22"/>
        </w:rPr>
        <w:pPrChange w:id="5411" w:author="AbbVie2" w:date="2025-05-13T16:40:00Z">
          <w:pPr>
            <w:keepNext/>
          </w:pPr>
        </w:pPrChange>
      </w:pPr>
    </w:p>
    <w:p w14:paraId="4A8DCBC4" w14:textId="49E25674" w:rsidR="004462A0" w:rsidRPr="008912CF" w:rsidRDefault="00615769">
      <w:pPr>
        <w:rPr>
          <w:del w:id="5412" w:author="AbbVie2" w:date="2025-05-13T16:39:00Z"/>
          <w:iCs/>
          <w:sz w:val="22"/>
          <w:szCs w:val="22"/>
        </w:rPr>
        <w:pPrChange w:id="5413" w:author="AbbVie2" w:date="2025-05-13T16:40:00Z">
          <w:pPr>
            <w:keepNext/>
          </w:pPr>
        </w:pPrChange>
      </w:pPr>
      <w:del w:id="5414" w:author="AbbVie2" w:date="2025-05-13T16:39:00Z">
        <w:r w:rsidRPr="008912CF">
          <w:rPr>
            <w:iCs/>
            <w:sz w:val="22"/>
            <w:szCs w:val="22"/>
          </w:rPr>
          <w:delText>Ver Vacinação.</w:delText>
        </w:r>
      </w:del>
    </w:p>
    <w:p w14:paraId="3CCF09F3" w14:textId="0B1B7796" w:rsidR="004462A0" w:rsidRPr="008912CF" w:rsidRDefault="004462A0" w:rsidP="00412FC8">
      <w:pPr>
        <w:rPr>
          <w:del w:id="5415" w:author="AbbVie2" w:date="2025-05-13T16:39:00Z"/>
          <w:i/>
          <w:sz w:val="22"/>
          <w:szCs w:val="22"/>
        </w:rPr>
      </w:pPr>
    </w:p>
    <w:p w14:paraId="6DBD90C2" w14:textId="6959AF03" w:rsidR="00D40B40" w:rsidRPr="00F03C54" w:rsidRDefault="00615769">
      <w:pPr>
        <w:rPr>
          <w:del w:id="5416" w:author="AbbVie2" w:date="2025-05-13T16:39:00Z"/>
          <w:sz w:val="22"/>
          <w:szCs w:val="22"/>
          <w:u w:val="single"/>
        </w:rPr>
        <w:pPrChange w:id="5417" w:author="AbbVie2" w:date="2025-05-13T16:40:00Z">
          <w:pPr>
            <w:autoSpaceDE w:val="0"/>
            <w:autoSpaceDN w:val="0"/>
            <w:adjustRightInd w:val="0"/>
            <w:ind w:left="567" w:hanging="567"/>
          </w:pPr>
        </w:pPrChange>
      </w:pPr>
      <w:del w:id="5418" w:author="AbbVie2" w:date="2025-05-13T16:39:00Z">
        <w:r w:rsidRPr="00F03C54">
          <w:rPr>
            <w:sz w:val="22"/>
            <w:szCs w:val="22"/>
            <w:u w:val="single"/>
          </w:rPr>
          <w:delText>Excipientes</w:delText>
        </w:r>
        <w:r w:rsidR="00E3326B" w:rsidRPr="00F03C54">
          <w:rPr>
            <w:sz w:val="22"/>
            <w:szCs w:val="22"/>
            <w:u w:val="single"/>
          </w:rPr>
          <w:delText xml:space="preserve"> com efeito conhecido</w:delText>
        </w:r>
      </w:del>
    </w:p>
    <w:p w14:paraId="1C674862" w14:textId="309BF5CF" w:rsidR="00D40B40" w:rsidRDefault="00D40B40">
      <w:pPr>
        <w:rPr>
          <w:del w:id="5419" w:author="AbbVie2" w:date="2025-05-13T16:39:00Z"/>
          <w:sz w:val="22"/>
          <w:szCs w:val="22"/>
        </w:rPr>
        <w:pPrChange w:id="5420" w:author="AbbVie2" w:date="2025-05-13T16:40:00Z">
          <w:pPr>
            <w:autoSpaceDE w:val="0"/>
            <w:autoSpaceDN w:val="0"/>
            <w:adjustRightInd w:val="0"/>
            <w:ind w:left="567" w:hanging="567"/>
          </w:pPr>
        </w:pPrChange>
      </w:pPr>
    </w:p>
    <w:p w14:paraId="41508C47" w14:textId="7AB78611" w:rsidR="00D40B40" w:rsidRPr="008912CF" w:rsidRDefault="00615769" w:rsidP="00412FC8">
      <w:pPr>
        <w:rPr>
          <w:del w:id="5421" w:author="AbbVie2" w:date="2025-05-13T16:39:00Z"/>
          <w:iCs/>
          <w:sz w:val="22"/>
          <w:szCs w:val="22"/>
        </w:rPr>
      </w:pPr>
      <w:del w:id="5422" w:author="AbbVie2" w:date="2025-05-13T16:39:00Z">
        <w:r>
          <w:rPr>
            <w:iCs/>
            <w:sz w:val="22"/>
            <w:szCs w:val="22"/>
          </w:rPr>
          <w:delText>Este medicamento contém menos d</w:delText>
        </w:r>
        <w:r w:rsidR="00390D91">
          <w:rPr>
            <w:iCs/>
            <w:sz w:val="22"/>
            <w:szCs w:val="22"/>
          </w:rPr>
          <w:delText>o que</w:delText>
        </w:r>
        <w:r>
          <w:rPr>
            <w:iCs/>
            <w:sz w:val="22"/>
            <w:szCs w:val="22"/>
          </w:rPr>
          <w:delText xml:space="preserve"> 1 mmol (23 mg) </w:delText>
        </w:r>
        <w:r w:rsidR="00390D91">
          <w:rPr>
            <w:iCs/>
            <w:sz w:val="22"/>
            <w:szCs w:val="22"/>
          </w:rPr>
          <w:delText xml:space="preserve">de sódio </w:delText>
        </w:r>
        <w:r>
          <w:rPr>
            <w:iCs/>
            <w:sz w:val="22"/>
            <w:szCs w:val="22"/>
          </w:rPr>
          <w:delText xml:space="preserve">por dose de 0,8 ml, </w:delText>
        </w:r>
        <w:r w:rsidR="00390D91">
          <w:rPr>
            <w:iCs/>
            <w:sz w:val="22"/>
            <w:szCs w:val="22"/>
          </w:rPr>
          <w:delText xml:space="preserve">ou seja, é </w:delText>
        </w:r>
        <w:r>
          <w:rPr>
            <w:iCs/>
            <w:sz w:val="22"/>
            <w:szCs w:val="22"/>
          </w:rPr>
          <w:delText>praticamente “isento de sódio”.</w:delText>
        </w:r>
      </w:del>
    </w:p>
    <w:p w14:paraId="4A224DDE" w14:textId="6D9F36B4" w:rsidR="00D40B40" w:rsidRPr="00F03C54" w:rsidRDefault="00D40B40">
      <w:pPr>
        <w:rPr>
          <w:del w:id="5423" w:author="AbbVie2" w:date="2025-05-13T16:39:00Z"/>
          <w:sz w:val="22"/>
          <w:szCs w:val="22"/>
        </w:rPr>
        <w:pPrChange w:id="5424" w:author="AbbVie2" w:date="2025-05-13T16:40:00Z">
          <w:pPr>
            <w:autoSpaceDE w:val="0"/>
            <w:autoSpaceDN w:val="0"/>
            <w:adjustRightInd w:val="0"/>
            <w:ind w:left="567" w:hanging="567"/>
          </w:pPr>
        </w:pPrChange>
      </w:pPr>
    </w:p>
    <w:p w14:paraId="211221D4" w14:textId="7485D01A" w:rsidR="004462A0" w:rsidRPr="008912CF" w:rsidRDefault="00615769">
      <w:pPr>
        <w:rPr>
          <w:del w:id="5425" w:author="AbbVie2" w:date="2025-05-13T16:39:00Z"/>
          <w:b/>
          <w:sz w:val="22"/>
          <w:szCs w:val="22"/>
          <w:highlight w:val="yellow"/>
        </w:rPr>
        <w:pPrChange w:id="5426" w:author="AbbVie2" w:date="2025-05-13T16:40:00Z">
          <w:pPr>
            <w:keepNext/>
            <w:autoSpaceDE w:val="0"/>
            <w:autoSpaceDN w:val="0"/>
            <w:adjustRightInd w:val="0"/>
            <w:ind w:left="567" w:hanging="567"/>
          </w:pPr>
        </w:pPrChange>
      </w:pPr>
      <w:del w:id="5427" w:author="AbbVie2" w:date="2025-05-13T16:39:00Z">
        <w:r w:rsidRPr="008912CF">
          <w:rPr>
            <w:b/>
            <w:sz w:val="22"/>
            <w:szCs w:val="22"/>
          </w:rPr>
          <w:delText>4.5</w:delText>
        </w:r>
        <w:r w:rsidRPr="008912CF">
          <w:rPr>
            <w:sz w:val="22"/>
            <w:szCs w:val="22"/>
          </w:rPr>
          <w:tab/>
        </w:r>
        <w:r w:rsidRPr="008912CF">
          <w:rPr>
            <w:b/>
            <w:sz w:val="22"/>
            <w:szCs w:val="22"/>
          </w:rPr>
          <w:delText xml:space="preserve">Interações medicamentosas e outras formas de interação </w:delText>
        </w:r>
      </w:del>
    </w:p>
    <w:p w14:paraId="4FA8963C" w14:textId="4C8D6D55" w:rsidR="004462A0" w:rsidRPr="008912CF" w:rsidRDefault="004462A0">
      <w:pPr>
        <w:rPr>
          <w:del w:id="5428" w:author="AbbVie2" w:date="2025-05-13T16:39:00Z"/>
          <w:szCs w:val="22"/>
        </w:rPr>
        <w:pPrChange w:id="5429" w:author="AbbVie2" w:date="2025-05-13T16:40:00Z">
          <w:pPr>
            <w:pStyle w:val="EndnoteText"/>
            <w:keepNext/>
            <w:tabs>
              <w:tab w:val="clear" w:pos="567"/>
            </w:tabs>
          </w:pPr>
        </w:pPrChange>
      </w:pPr>
    </w:p>
    <w:p w14:paraId="11985BEF" w14:textId="1E791450" w:rsidR="004462A0" w:rsidRPr="008912CF" w:rsidRDefault="00615769">
      <w:pPr>
        <w:rPr>
          <w:del w:id="5430" w:author="AbbVie2" w:date="2025-05-13T16:39:00Z"/>
          <w:sz w:val="22"/>
          <w:szCs w:val="22"/>
        </w:rPr>
        <w:pPrChange w:id="5431" w:author="AbbVie2" w:date="2025-05-13T16:40:00Z">
          <w:pPr>
            <w:keepNext/>
            <w:autoSpaceDE w:val="0"/>
            <w:autoSpaceDN w:val="0"/>
            <w:adjustRightInd w:val="0"/>
          </w:pPr>
        </w:pPrChange>
      </w:pPr>
      <w:del w:id="5432" w:author="AbbVie2" w:date="2025-05-13T16:39:00Z">
        <w:r w:rsidRPr="008912CF">
          <w:rPr>
            <w:sz w:val="22"/>
            <w:szCs w:val="22"/>
          </w:rPr>
          <w:delText xml:space="preserve">Humira foi estudado em doentes com artrite reumatoide, artrite idiopática juvenil poliarticular e artrite psoriática, tratados com Humira em monoterapia, e em doentes submetidos a um tratamento concomitante com metotrexato. A formação de anticorpos foi </w:delText>
        </w:r>
        <w:r w:rsidR="001D79C6">
          <w:rPr>
            <w:sz w:val="22"/>
            <w:szCs w:val="22"/>
          </w:rPr>
          <w:delText>inferior</w:delText>
        </w:r>
        <w:r w:rsidRPr="008912CF">
          <w:rPr>
            <w:sz w:val="22"/>
            <w:szCs w:val="22"/>
          </w:rPr>
          <w:delText xml:space="preserve"> quando Humira foi administrado com metotrexato relativamente ao uso em monoterapia. A administração de Humira sem metotrexato resultou numa formação aumentada de anticorpos, depuração aumentada e eficácia reduzida d</w:delText>
        </w:r>
        <w:r w:rsidR="003A4C51">
          <w:rPr>
            <w:sz w:val="22"/>
            <w:szCs w:val="22"/>
          </w:rPr>
          <w:delText>e</w:delText>
        </w:r>
        <w:r w:rsidRPr="008912CF">
          <w:rPr>
            <w:sz w:val="22"/>
            <w:szCs w:val="22"/>
          </w:rPr>
          <w:delText xml:space="preserve"> adalimumab (ver secção 5.1). </w:delText>
        </w:r>
      </w:del>
    </w:p>
    <w:p w14:paraId="1D0B9507" w14:textId="260D138F" w:rsidR="004462A0" w:rsidRPr="008912CF" w:rsidRDefault="004462A0">
      <w:pPr>
        <w:rPr>
          <w:del w:id="5433" w:author="AbbVie2" w:date="2025-05-13T16:39:00Z"/>
          <w:iCs/>
          <w:szCs w:val="22"/>
        </w:rPr>
        <w:pPrChange w:id="5434" w:author="AbbVie2" w:date="2025-05-13T16:40:00Z">
          <w:pPr>
            <w:pStyle w:val="Heading9"/>
            <w:keepNext w:val="0"/>
          </w:pPr>
        </w:pPrChange>
      </w:pPr>
    </w:p>
    <w:p w14:paraId="6060DFAB" w14:textId="3AD078F7" w:rsidR="004462A0" w:rsidRPr="008912CF" w:rsidRDefault="00615769">
      <w:pPr>
        <w:rPr>
          <w:del w:id="5435" w:author="AbbVie2" w:date="2025-05-13T16:39:00Z"/>
          <w:szCs w:val="22"/>
        </w:rPr>
        <w:pPrChange w:id="5436" w:author="AbbVie2" w:date="2025-05-13T16:40:00Z">
          <w:pPr>
            <w:pStyle w:val="Heading9"/>
            <w:keepNext w:val="0"/>
          </w:pPr>
        </w:pPrChange>
      </w:pPr>
      <w:del w:id="5437" w:author="AbbVie2" w:date="2025-05-13T16:39:00Z">
        <w:r w:rsidRPr="008912CF">
          <w:rPr>
            <w:iCs/>
            <w:szCs w:val="22"/>
          </w:rPr>
          <w:delText>Não se recomenda a associação de Humira e ana</w:delText>
        </w:r>
        <w:r w:rsidR="00F7235D">
          <w:rPr>
            <w:iCs/>
            <w:szCs w:val="22"/>
          </w:rPr>
          <w:delText>c</w:delText>
        </w:r>
        <w:r w:rsidRPr="008912CF">
          <w:rPr>
            <w:iCs/>
            <w:szCs w:val="22"/>
          </w:rPr>
          <w:delText xml:space="preserve">inra </w:delText>
        </w:r>
        <w:r w:rsidRPr="008912CF">
          <w:rPr>
            <w:szCs w:val="22"/>
          </w:rPr>
          <w:delText xml:space="preserve">(ver secção 4.4 “Administração concomitante de </w:delText>
        </w:r>
        <w:r w:rsidR="002B1836" w:rsidRPr="008912CF">
          <w:rPr>
            <w:szCs w:val="22"/>
          </w:rPr>
          <w:delText xml:space="preserve">DMARDS </w:delText>
        </w:r>
        <w:r w:rsidRPr="008912CF">
          <w:rPr>
            <w:szCs w:val="22"/>
          </w:rPr>
          <w:delText>biológicos ou antagonistas</w:delText>
        </w:r>
        <w:r w:rsidRPr="008912CF">
          <w:rPr>
            <w:szCs w:val="22"/>
          </w:rPr>
          <w:noBreakHyphen/>
          <w:delText>TNF”).</w:delText>
        </w:r>
      </w:del>
    </w:p>
    <w:p w14:paraId="7F7190D0" w14:textId="6ABD7F75" w:rsidR="004462A0" w:rsidRPr="008912CF" w:rsidRDefault="004462A0">
      <w:pPr>
        <w:rPr>
          <w:del w:id="5438" w:author="AbbVie2" w:date="2025-05-13T16:39:00Z"/>
          <w:iCs/>
          <w:szCs w:val="22"/>
        </w:rPr>
        <w:pPrChange w:id="5439" w:author="AbbVie2" w:date="2025-05-13T16:40:00Z">
          <w:pPr>
            <w:pStyle w:val="Heading9"/>
            <w:keepNext w:val="0"/>
          </w:pPr>
        </w:pPrChange>
      </w:pPr>
    </w:p>
    <w:p w14:paraId="42CD78C5" w14:textId="69A888AF" w:rsidR="004462A0" w:rsidRPr="008912CF" w:rsidRDefault="00615769">
      <w:pPr>
        <w:rPr>
          <w:del w:id="5440" w:author="AbbVie2" w:date="2025-05-13T16:39:00Z"/>
          <w:sz w:val="22"/>
          <w:szCs w:val="22"/>
        </w:rPr>
        <w:pPrChange w:id="5441" w:author="AbbVie2" w:date="2025-05-13T16:40:00Z">
          <w:pPr>
            <w:autoSpaceDE w:val="0"/>
            <w:autoSpaceDN w:val="0"/>
            <w:adjustRightInd w:val="0"/>
          </w:pPr>
        </w:pPrChange>
      </w:pPr>
      <w:del w:id="5442" w:author="AbbVie2" w:date="2025-05-13T16:39:00Z">
        <w:r w:rsidRPr="008912CF">
          <w:rPr>
            <w:iCs/>
            <w:sz w:val="22"/>
            <w:szCs w:val="22"/>
          </w:rPr>
          <w:delText xml:space="preserve">Não se recomenda a associação de Humira e </w:delText>
        </w:r>
        <w:r w:rsidRPr="008912CF">
          <w:rPr>
            <w:sz w:val="22"/>
            <w:szCs w:val="22"/>
          </w:rPr>
          <w:delText xml:space="preserve">abatacept (ver secção 4.4 “Administração concomitante de </w:delText>
        </w:r>
        <w:r w:rsidR="002B1836" w:rsidRPr="008912CF">
          <w:rPr>
            <w:sz w:val="22"/>
            <w:szCs w:val="22"/>
          </w:rPr>
          <w:delText>DMAR</w:delText>
        </w:r>
        <w:r w:rsidR="002B1836">
          <w:rPr>
            <w:sz w:val="22"/>
            <w:szCs w:val="22"/>
          </w:rPr>
          <w:delText>D</w:delText>
        </w:r>
        <w:r w:rsidR="002B1836" w:rsidRPr="008912CF">
          <w:rPr>
            <w:sz w:val="22"/>
            <w:szCs w:val="22"/>
          </w:rPr>
          <w:delText xml:space="preserve">S </w:delText>
        </w:r>
        <w:r w:rsidRPr="008912CF">
          <w:rPr>
            <w:sz w:val="22"/>
            <w:szCs w:val="22"/>
          </w:rPr>
          <w:delText>biológicos ou antagonistas</w:delText>
        </w:r>
        <w:r w:rsidRPr="008912CF">
          <w:rPr>
            <w:sz w:val="22"/>
            <w:szCs w:val="22"/>
          </w:rPr>
          <w:noBreakHyphen/>
          <w:delText>TNF”).</w:delText>
        </w:r>
      </w:del>
    </w:p>
    <w:p w14:paraId="5F9EE51F" w14:textId="01908036" w:rsidR="004462A0" w:rsidRPr="008912CF" w:rsidRDefault="004462A0">
      <w:pPr>
        <w:rPr>
          <w:del w:id="5443" w:author="AbbVie2" w:date="2025-05-13T16:39:00Z"/>
          <w:szCs w:val="22"/>
        </w:rPr>
        <w:pPrChange w:id="5444" w:author="AbbVie2" w:date="2025-05-13T16:40:00Z">
          <w:pPr>
            <w:pStyle w:val="EndnoteText"/>
            <w:tabs>
              <w:tab w:val="clear" w:pos="567"/>
            </w:tabs>
            <w:autoSpaceDE w:val="0"/>
            <w:autoSpaceDN w:val="0"/>
            <w:adjustRightInd w:val="0"/>
          </w:pPr>
        </w:pPrChange>
      </w:pPr>
    </w:p>
    <w:p w14:paraId="6DC8C202" w14:textId="73132E1A" w:rsidR="004462A0" w:rsidRPr="008912CF" w:rsidRDefault="00615769">
      <w:pPr>
        <w:rPr>
          <w:del w:id="5445" w:author="AbbVie2" w:date="2025-05-13T16:39:00Z"/>
          <w:b/>
          <w:sz w:val="22"/>
          <w:szCs w:val="22"/>
        </w:rPr>
        <w:pPrChange w:id="5446" w:author="AbbVie2" w:date="2025-05-13T16:40:00Z">
          <w:pPr>
            <w:keepNext/>
            <w:autoSpaceDE w:val="0"/>
            <w:autoSpaceDN w:val="0"/>
            <w:adjustRightInd w:val="0"/>
            <w:ind w:left="567" w:hanging="567"/>
          </w:pPr>
        </w:pPrChange>
      </w:pPr>
      <w:del w:id="5447" w:author="AbbVie2" w:date="2025-05-13T16:39:00Z">
        <w:r w:rsidRPr="008912CF">
          <w:rPr>
            <w:b/>
            <w:bCs/>
            <w:sz w:val="22"/>
            <w:szCs w:val="22"/>
          </w:rPr>
          <w:delText>4.6</w:delText>
        </w:r>
        <w:r w:rsidRPr="008912CF">
          <w:rPr>
            <w:b/>
            <w:bCs/>
            <w:sz w:val="22"/>
            <w:szCs w:val="22"/>
          </w:rPr>
          <w:tab/>
          <w:delText>Fertilidade, gravidez e aleitamento</w:delText>
        </w:r>
      </w:del>
    </w:p>
    <w:p w14:paraId="49C7A835" w14:textId="41DC8D26" w:rsidR="004462A0" w:rsidRPr="008912CF" w:rsidRDefault="004462A0">
      <w:pPr>
        <w:rPr>
          <w:del w:id="5448" w:author="AbbVie2" w:date="2025-05-13T16:39:00Z"/>
          <w:sz w:val="22"/>
          <w:szCs w:val="22"/>
        </w:rPr>
        <w:pPrChange w:id="5449" w:author="AbbVie2" w:date="2025-05-13T16:40:00Z">
          <w:pPr>
            <w:keepNext/>
            <w:autoSpaceDE w:val="0"/>
            <w:autoSpaceDN w:val="0"/>
            <w:adjustRightInd w:val="0"/>
          </w:pPr>
        </w:pPrChange>
      </w:pPr>
    </w:p>
    <w:p w14:paraId="0B8CDF3C" w14:textId="6F96B64D" w:rsidR="004462A0" w:rsidRPr="008912CF" w:rsidRDefault="00615769">
      <w:pPr>
        <w:rPr>
          <w:del w:id="5450" w:author="AbbVie2" w:date="2025-05-13T16:39:00Z"/>
          <w:sz w:val="22"/>
          <w:szCs w:val="22"/>
          <w:u w:val="single"/>
        </w:rPr>
        <w:pPrChange w:id="5451" w:author="AbbVie2" w:date="2025-05-13T16:40:00Z">
          <w:pPr>
            <w:keepNext/>
          </w:pPr>
        </w:pPrChange>
      </w:pPr>
      <w:del w:id="5452" w:author="AbbVie2" w:date="2025-05-13T16:39:00Z">
        <w:r w:rsidRPr="008912CF">
          <w:rPr>
            <w:sz w:val="22"/>
            <w:szCs w:val="22"/>
            <w:u w:val="single"/>
          </w:rPr>
          <w:delText>Mulheres em idade fértil</w:delText>
        </w:r>
      </w:del>
    </w:p>
    <w:p w14:paraId="365CBC71" w14:textId="03DC8B8E" w:rsidR="004462A0" w:rsidRPr="008912CF" w:rsidRDefault="004462A0" w:rsidP="00412FC8">
      <w:pPr>
        <w:rPr>
          <w:del w:id="5453" w:author="AbbVie2" w:date="2025-05-13T16:39:00Z"/>
          <w:b/>
          <w:i/>
          <w:sz w:val="22"/>
          <w:szCs w:val="22"/>
        </w:rPr>
      </w:pPr>
    </w:p>
    <w:p w14:paraId="1EB60502" w14:textId="35C3B3C6" w:rsidR="004462A0" w:rsidRPr="008912CF" w:rsidRDefault="00615769" w:rsidP="00412FC8">
      <w:pPr>
        <w:rPr>
          <w:del w:id="5454" w:author="AbbVie2" w:date="2025-05-13T16:39:00Z"/>
          <w:b/>
          <w:i/>
          <w:sz w:val="22"/>
          <w:szCs w:val="22"/>
        </w:rPr>
      </w:pPr>
      <w:del w:id="5455" w:author="AbbVie2" w:date="2025-05-13T16:39:00Z">
        <w:r w:rsidRPr="008912CF">
          <w:rPr>
            <w:sz w:val="22"/>
            <w:szCs w:val="22"/>
          </w:rPr>
          <w:delText xml:space="preserve">As mulheres em idade fértil </w:delText>
        </w:r>
        <w:r w:rsidR="00180B6A" w:rsidRPr="00814394">
          <w:rPr>
            <w:sz w:val="22"/>
            <w:szCs w:val="22"/>
          </w:rPr>
          <w:delText xml:space="preserve">devem considerar a </w:delText>
        </w:r>
        <w:r w:rsidR="00180B6A">
          <w:rPr>
            <w:sz w:val="22"/>
            <w:szCs w:val="22"/>
          </w:rPr>
          <w:delText>utilização de</w:delText>
        </w:r>
        <w:r w:rsidRPr="008912CF">
          <w:rPr>
            <w:sz w:val="22"/>
            <w:szCs w:val="22"/>
          </w:rPr>
          <w:delText xml:space="preserve"> um método contracetivo adequado para evitar a gravidez e continuar a utilizá-lo durante pelo menos cinco meses após o último tratamento com Humira.</w:delText>
        </w:r>
      </w:del>
    </w:p>
    <w:p w14:paraId="47EADBEB" w14:textId="2FD48C8C" w:rsidR="004462A0" w:rsidRPr="008912CF" w:rsidRDefault="004462A0">
      <w:pPr>
        <w:rPr>
          <w:del w:id="5456" w:author="AbbVie2" w:date="2025-05-13T16:39:00Z"/>
          <w:sz w:val="22"/>
          <w:szCs w:val="22"/>
          <w:u w:val="single"/>
        </w:rPr>
        <w:pPrChange w:id="5457" w:author="AbbVie2" w:date="2025-05-13T16:40:00Z">
          <w:pPr>
            <w:autoSpaceDE w:val="0"/>
            <w:autoSpaceDN w:val="0"/>
            <w:adjustRightInd w:val="0"/>
          </w:pPr>
        </w:pPrChange>
      </w:pPr>
    </w:p>
    <w:p w14:paraId="18039712" w14:textId="683EBF2C" w:rsidR="004462A0" w:rsidRPr="008912CF" w:rsidRDefault="00615769">
      <w:pPr>
        <w:rPr>
          <w:del w:id="5458" w:author="AbbVie2" w:date="2025-05-13T16:39:00Z"/>
          <w:sz w:val="22"/>
          <w:szCs w:val="22"/>
          <w:u w:val="single"/>
        </w:rPr>
        <w:pPrChange w:id="5459" w:author="AbbVie2" w:date="2025-05-13T16:40:00Z">
          <w:pPr>
            <w:autoSpaceDE w:val="0"/>
            <w:autoSpaceDN w:val="0"/>
            <w:adjustRightInd w:val="0"/>
          </w:pPr>
        </w:pPrChange>
      </w:pPr>
      <w:del w:id="5460" w:author="AbbVie2" w:date="2025-05-13T16:39:00Z">
        <w:r w:rsidRPr="008912CF">
          <w:rPr>
            <w:sz w:val="22"/>
            <w:szCs w:val="22"/>
            <w:u w:val="single"/>
          </w:rPr>
          <w:delText>Gravidez</w:delText>
        </w:r>
      </w:del>
    </w:p>
    <w:p w14:paraId="5CC75911" w14:textId="4A38EF46" w:rsidR="004462A0" w:rsidRPr="008912CF" w:rsidRDefault="004462A0">
      <w:pPr>
        <w:rPr>
          <w:del w:id="5461" w:author="AbbVie2" w:date="2025-05-13T16:39:00Z"/>
          <w:sz w:val="22"/>
          <w:szCs w:val="22"/>
        </w:rPr>
        <w:pPrChange w:id="5462" w:author="AbbVie2" w:date="2025-05-13T16:40:00Z">
          <w:pPr>
            <w:autoSpaceDE w:val="0"/>
            <w:autoSpaceDN w:val="0"/>
            <w:adjustRightInd w:val="0"/>
          </w:pPr>
        </w:pPrChange>
      </w:pPr>
    </w:p>
    <w:p w14:paraId="66B0BE9C" w14:textId="4604C238" w:rsidR="00180B6A" w:rsidRDefault="00615769">
      <w:pPr>
        <w:rPr>
          <w:del w:id="5463" w:author="AbbVie2" w:date="2025-05-13T16:39:00Z"/>
          <w:sz w:val="22"/>
          <w:szCs w:val="22"/>
        </w:rPr>
        <w:pPrChange w:id="5464" w:author="AbbVie2" w:date="2025-05-13T16:40:00Z">
          <w:pPr>
            <w:autoSpaceDE w:val="0"/>
            <w:autoSpaceDN w:val="0"/>
            <w:adjustRightInd w:val="0"/>
          </w:pPr>
        </w:pPrChange>
      </w:pPr>
      <w:del w:id="5465" w:author="AbbVie2" w:date="2025-05-13T16:39:00Z">
        <w:r w:rsidRPr="0037510D">
          <w:rPr>
            <w:sz w:val="22"/>
            <w:szCs w:val="22"/>
          </w:rPr>
          <w:delText>Um grande número de g</w:delText>
        </w:r>
        <w:r>
          <w:rPr>
            <w:sz w:val="22"/>
            <w:szCs w:val="22"/>
          </w:rPr>
          <w:delText xml:space="preserve">ravidezes </w:delText>
        </w:r>
        <w:r w:rsidRPr="0037510D">
          <w:rPr>
            <w:sz w:val="22"/>
            <w:szCs w:val="22"/>
          </w:rPr>
          <w:delText>(aproximadamente 2</w:delText>
        </w:r>
        <w:r>
          <w:rPr>
            <w:sz w:val="22"/>
            <w:szCs w:val="22"/>
          </w:rPr>
          <w:delText>.</w:delText>
        </w:r>
        <w:r w:rsidRPr="0037510D">
          <w:rPr>
            <w:sz w:val="22"/>
            <w:szCs w:val="22"/>
          </w:rPr>
          <w:delText>100)</w:delText>
        </w:r>
        <w:r>
          <w:rPr>
            <w:sz w:val="22"/>
            <w:szCs w:val="22"/>
          </w:rPr>
          <w:delText xml:space="preserve"> recolhidas de forma prospetiva, em que ocorreu exposição</w:delText>
        </w:r>
        <w:r w:rsidRPr="0037510D">
          <w:rPr>
            <w:sz w:val="22"/>
            <w:szCs w:val="22"/>
          </w:rPr>
          <w:delText xml:space="preserve"> a adalimumab</w:delText>
        </w:r>
        <w:r>
          <w:rPr>
            <w:sz w:val="22"/>
            <w:szCs w:val="22"/>
          </w:rPr>
          <w:delText>, resultando em</w:delText>
        </w:r>
        <w:r w:rsidRPr="0037510D">
          <w:rPr>
            <w:sz w:val="22"/>
            <w:szCs w:val="22"/>
          </w:rPr>
          <w:delText xml:space="preserve"> na</w:delText>
        </w:r>
        <w:r>
          <w:rPr>
            <w:sz w:val="22"/>
            <w:szCs w:val="22"/>
          </w:rPr>
          <w:delText xml:space="preserve">dos </w:delText>
        </w:r>
        <w:r w:rsidRPr="0037510D">
          <w:rPr>
            <w:sz w:val="22"/>
            <w:szCs w:val="22"/>
          </w:rPr>
          <w:delText>vivos com desfecho conhecido</w:delText>
        </w:r>
        <w:r>
          <w:rPr>
            <w:sz w:val="22"/>
            <w:szCs w:val="22"/>
          </w:rPr>
          <w:delText xml:space="preserve"> e </w:delText>
        </w:r>
        <w:r w:rsidRPr="0037510D">
          <w:rPr>
            <w:sz w:val="22"/>
            <w:szCs w:val="22"/>
          </w:rPr>
          <w:delText>incluindo mais de 1.500</w:delText>
        </w:r>
        <w:r>
          <w:rPr>
            <w:sz w:val="22"/>
            <w:szCs w:val="22"/>
          </w:rPr>
          <w:delText xml:space="preserve"> com</w:delText>
        </w:r>
        <w:r w:rsidRPr="0037510D">
          <w:rPr>
            <w:sz w:val="22"/>
            <w:szCs w:val="22"/>
          </w:rPr>
          <w:delText xml:space="preserve"> expos</w:delText>
        </w:r>
        <w:r>
          <w:rPr>
            <w:sz w:val="22"/>
            <w:szCs w:val="22"/>
          </w:rPr>
          <w:delText>ição</w:delText>
        </w:r>
        <w:r w:rsidRPr="0037510D">
          <w:rPr>
            <w:sz w:val="22"/>
            <w:szCs w:val="22"/>
          </w:rPr>
          <w:delText xml:space="preserve"> durante o primeiro trimestre, não indica um aumento na taxa de malformaç</w:delText>
        </w:r>
        <w:r>
          <w:rPr>
            <w:sz w:val="22"/>
            <w:szCs w:val="22"/>
          </w:rPr>
          <w:delText>ões</w:delText>
        </w:r>
        <w:r w:rsidRPr="0037510D">
          <w:rPr>
            <w:sz w:val="22"/>
            <w:szCs w:val="22"/>
          </w:rPr>
          <w:delText xml:space="preserve"> no recém-nascido.</w:delText>
        </w:r>
      </w:del>
    </w:p>
    <w:p w14:paraId="258D53EB" w14:textId="3F9BA839" w:rsidR="006B5F73" w:rsidRDefault="006B5F73">
      <w:pPr>
        <w:rPr>
          <w:del w:id="5466" w:author="AbbVie2" w:date="2025-05-13T16:39:00Z"/>
          <w:sz w:val="22"/>
          <w:szCs w:val="22"/>
        </w:rPr>
        <w:pPrChange w:id="5467" w:author="AbbVie2" w:date="2025-05-13T16:40:00Z">
          <w:pPr>
            <w:autoSpaceDE w:val="0"/>
            <w:autoSpaceDN w:val="0"/>
            <w:adjustRightInd w:val="0"/>
          </w:pPr>
        </w:pPrChange>
      </w:pPr>
    </w:p>
    <w:p w14:paraId="39D931C4" w14:textId="7334A90F" w:rsidR="004462A0" w:rsidRPr="008912CF" w:rsidRDefault="00615769">
      <w:pPr>
        <w:rPr>
          <w:del w:id="5468" w:author="AbbVie2" w:date="2025-05-13T16:39:00Z"/>
          <w:i/>
          <w:sz w:val="22"/>
          <w:szCs w:val="22"/>
        </w:rPr>
        <w:pPrChange w:id="5469" w:author="AbbVie2" w:date="2025-05-13T16:40:00Z">
          <w:pPr>
            <w:autoSpaceDE w:val="0"/>
            <w:autoSpaceDN w:val="0"/>
            <w:adjustRightInd w:val="0"/>
          </w:pPr>
        </w:pPrChange>
      </w:pPr>
      <w:del w:id="5470" w:author="AbbVie2" w:date="2025-05-13T16:39:00Z">
        <w:r>
          <w:rPr>
            <w:sz w:val="22"/>
            <w:szCs w:val="22"/>
          </w:rPr>
          <w:delText>Num</w:delText>
        </w:r>
        <w:r w:rsidR="00A96FFD">
          <w:rPr>
            <w:sz w:val="22"/>
            <w:szCs w:val="22"/>
          </w:rPr>
          <w:delText>a</w:delText>
        </w:r>
        <w:r>
          <w:rPr>
            <w:sz w:val="22"/>
            <w:szCs w:val="22"/>
          </w:rPr>
          <w:delText xml:space="preserve"> c</w:delText>
        </w:r>
        <w:r w:rsidRPr="00BE516A">
          <w:rPr>
            <w:sz w:val="22"/>
            <w:szCs w:val="22"/>
          </w:rPr>
          <w:delText>oorte</w:delText>
        </w:r>
        <w:r>
          <w:rPr>
            <w:sz w:val="22"/>
            <w:szCs w:val="22"/>
          </w:rPr>
          <w:delText xml:space="preserve"> prospetiv</w:delText>
        </w:r>
        <w:r w:rsidR="00A96FFD">
          <w:rPr>
            <w:sz w:val="22"/>
            <w:szCs w:val="22"/>
          </w:rPr>
          <w:delText>a</w:delText>
        </w:r>
        <w:r>
          <w:rPr>
            <w:sz w:val="22"/>
            <w:szCs w:val="22"/>
          </w:rPr>
          <w:delText xml:space="preserve">, foram incluídas </w:delText>
        </w:r>
        <w:r w:rsidRPr="00BE516A">
          <w:rPr>
            <w:sz w:val="22"/>
            <w:szCs w:val="22"/>
          </w:rPr>
          <w:delText>257 mulheres com artrite reumatoide (AR) ou doença de Crohn (DC) tratadas com adalimumab</w:delText>
        </w:r>
        <w:r w:rsidR="00954BBE">
          <w:rPr>
            <w:sz w:val="22"/>
            <w:szCs w:val="22"/>
          </w:rPr>
          <w:delText>,</w:delText>
        </w:r>
        <w:r w:rsidRPr="00BE516A">
          <w:rPr>
            <w:sz w:val="22"/>
            <w:szCs w:val="22"/>
          </w:rPr>
          <w:delText xml:space="preserve"> pelo menos durante o primeiro trimestre</w:delText>
        </w:r>
        <w:r w:rsidR="00954BBE">
          <w:rPr>
            <w:sz w:val="22"/>
            <w:szCs w:val="22"/>
          </w:rPr>
          <w:delText>,</w:delText>
        </w:r>
        <w:r w:rsidRPr="00BE516A">
          <w:rPr>
            <w:sz w:val="22"/>
            <w:szCs w:val="22"/>
          </w:rPr>
          <w:delText xml:space="preserve"> e 120 mulheres com AR ou DC não tratadas com adalimumab</w:delText>
        </w:r>
        <w:r>
          <w:rPr>
            <w:sz w:val="22"/>
            <w:szCs w:val="22"/>
          </w:rPr>
          <w:delText xml:space="preserve">. </w:delText>
        </w:r>
        <w:r w:rsidRPr="005E3DFC">
          <w:rPr>
            <w:sz w:val="22"/>
            <w:szCs w:val="22"/>
          </w:rPr>
          <w:delText xml:space="preserve">O </w:delText>
        </w:r>
        <w:r w:rsidR="00A96FFD">
          <w:rPr>
            <w:sz w:val="22"/>
            <w:szCs w:val="22"/>
          </w:rPr>
          <w:delText>objetivo</w:delText>
        </w:r>
        <w:r w:rsidRPr="005E3DFC">
          <w:rPr>
            <w:sz w:val="22"/>
            <w:szCs w:val="22"/>
          </w:rPr>
          <w:delText xml:space="preserve"> primário foi a prevalência de </w:delText>
        </w:r>
        <w:r w:rsidR="00F06203">
          <w:rPr>
            <w:sz w:val="22"/>
            <w:szCs w:val="22"/>
          </w:rPr>
          <w:delText>malformações</w:delText>
        </w:r>
        <w:r w:rsidRPr="005E3DFC">
          <w:rPr>
            <w:sz w:val="22"/>
            <w:szCs w:val="22"/>
          </w:rPr>
          <w:delText xml:space="preserve"> </w:delText>
        </w:r>
        <w:r w:rsidR="00F06203">
          <w:rPr>
            <w:sz w:val="22"/>
            <w:szCs w:val="22"/>
          </w:rPr>
          <w:delText>congénitas</w:delText>
        </w:r>
        <w:r w:rsidR="00020595">
          <w:rPr>
            <w:sz w:val="22"/>
            <w:szCs w:val="22"/>
          </w:rPr>
          <w:delText xml:space="preserve"> </w:delText>
        </w:r>
        <w:r w:rsidR="00A96FFD" w:rsidRPr="00954BBE">
          <w:rPr>
            <w:i/>
            <w:sz w:val="22"/>
            <w:szCs w:val="22"/>
          </w:rPr>
          <w:delText>major</w:delText>
        </w:r>
        <w:r w:rsidR="00A96FFD">
          <w:rPr>
            <w:sz w:val="22"/>
            <w:szCs w:val="22"/>
          </w:rPr>
          <w:delText xml:space="preserve"> </w:delText>
        </w:r>
        <w:r w:rsidR="00020595">
          <w:rPr>
            <w:sz w:val="22"/>
            <w:szCs w:val="22"/>
          </w:rPr>
          <w:delText>à nascença</w:delText>
        </w:r>
        <w:r w:rsidRPr="005E3DFC">
          <w:rPr>
            <w:sz w:val="22"/>
            <w:szCs w:val="22"/>
          </w:rPr>
          <w:delText xml:space="preserve">. A taxa de gravidezes que terminaram com pelo menos um </w:delText>
        </w:r>
        <w:r w:rsidR="00A96FFD">
          <w:rPr>
            <w:sz w:val="22"/>
            <w:szCs w:val="22"/>
          </w:rPr>
          <w:delText>nado</w:delText>
        </w:r>
        <w:r w:rsidRPr="005E3DFC">
          <w:rPr>
            <w:sz w:val="22"/>
            <w:szCs w:val="22"/>
          </w:rPr>
          <w:delText xml:space="preserve"> vivo com um</w:delText>
        </w:r>
        <w:r w:rsidR="00020595">
          <w:rPr>
            <w:sz w:val="22"/>
            <w:szCs w:val="22"/>
          </w:rPr>
          <w:delText>a malformação</w:delText>
        </w:r>
        <w:r w:rsidRPr="005E3DFC">
          <w:rPr>
            <w:sz w:val="22"/>
            <w:szCs w:val="22"/>
          </w:rPr>
          <w:delText xml:space="preserve"> cong</w:delText>
        </w:r>
        <w:r>
          <w:rPr>
            <w:sz w:val="22"/>
            <w:szCs w:val="22"/>
          </w:rPr>
          <w:delText>é</w:delText>
        </w:r>
        <w:r w:rsidRPr="005E3DFC">
          <w:rPr>
            <w:sz w:val="22"/>
            <w:szCs w:val="22"/>
          </w:rPr>
          <w:delText>nit</w:delText>
        </w:r>
        <w:r w:rsidR="00020595">
          <w:rPr>
            <w:sz w:val="22"/>
            <w:szCs w:val="22"/>
          </w:rPr>
          <w:delText>a</w:delText>
        </w:r>
        <w:r w:rsidR="00A96FFD">
          <w:rPr>
            <w:sz w:val="22"/>
            <w:szCs w:val="22"/>
          </w:rPr>
          <w:delText xml:space="preserve"> </w:delText>
        </w:r>
        <w:r w:rsidR="00A96FFD" w:rsidRPr="00954BBE">
          <w:rPr>
            <w:i/>
            <w:sz w:val="22"/>
            <w:szCs w:val="22"/>
          </w:rPr>
          <w:delText>major</w:delText>
        </w:r>
        <w:r w:rsidRPr="005E3DFC">
          <w:rPr>
            <w:sz w:val="22"/>
            <w:szCs w:val="22"/>
          </w:rPr>
          <w:delText xml:space="preserve"> foi de 6/69 (8,7%) nas mulheres </w:delText>
        </w:r>
        <w:r w:rsidR="00A96FFD" w:rsidRPr="005E3DFC">
          <w:rPr>
            <w:sz w:val="22"/>
            <w:szCs w:val="22"/>
          </w:rPr>
          <w:delText xml:space="preserve">com AR </w:delText>
        </w:r>
        <w:r w:rsidRPr="005E3DFC">
          <w:rPr>
            <w:sz w:val="22"/>
            <w:szCs w:val="22"/>
          </w:rPr>
          <w:delText xml:space="preserve">tratadas com adalimumab e 5/74 (6,8%) nas mulheres </w:delText>
        </w:r>
        <w:r w:rsidR="00A96FFD" w:rsidRPr="005E3DFC">
          <w:rPr>
            <w:sz w:val="22"/>
            <w:szCs w:val="22"/>
          </w:rPr>
          <w:delText xml:space="preserve">com AR </w:delText>
        </w:r>
        <w:r w:rsidRPr="005E3DFC">
          <w:rPr>
            <w:sz w:val="22"/>
            <w:szCs w:val="22"/>
          </w:rPr>
          <w:delText>não tratadas (</w:delText>
        </w:r>
        <w:r w:rsidR="00954BBE" w:rsidRPr="00954BBE">
          <w:rPr>
            <w:i/>
            <w:sz w:val="22"/>
            <w:szCs w:val="22"/>
          </w:rPr>
          <w:delText>odds ratio</w:delText>
        </w:r>
        <w:r w:rsidR="00954BBE">
          <w:rPr>
            <w:sz w:val="22"/>
            <w:szCs w:val="22"/>
          </w:rPr>
          <w:delText xml:space="preserve"> (</w:delText>
        </w:r>
        <w:r>
          <w:rPr>
            <w:sz w:val="22"/>
            <w:szCs w:val="22"/>
          </w:rPr>
          <w:delText>OR</w:delText>
        </w:r>
        <w:r w:rsidR="00954BBE">
          <w:rPr>
            <w:sz w:val="22"/>
            <w:szCs w:val="22"/>
          </w:rPr>
          <w:delText>)</w:delText>
        </w:r>
        <w:r>
          <w:rPr>
            <w:sz w:val="22"/>
            <w:szCs w:val="22"/>
          </w:rPr>
          <w:delText xml:space="preserve"> </w:delText>
        </w:r>
        <w:r w:rsidRPr="005E3DFC">
          <w:rPr>
            <w:sz w:val="22"/>
            <w:szCs w:val="22"/>
          </w:rPr>
          <w:delText>não ajustada</w:delText>
        </w:r>
        <w:r w:rsidR="00A96FFD">
          <w:rPr>
            <w:sz w:val="22"/>
            <w:szCs w:val="22"/>
          </w:rPr>
          <w:delText>:</w:delText>
        </w:r>
        <w:r w:rsidRPr="005E3DFC">
          <w:rPr>
            <w:sz w:val="22"/>
            <w:szCs w:val="22"/>
          </w:rPr>
          <w:delText xml:space="preserve"> 1,31, IC 95% 0,38-4,52) e 16/152 (10,5%) nas m</w:delText>
        </w:r>
        <w:r>
          <w:rPr>
            <w:sz w:val="22"/>
            <w:szCs w:val="22"/>
          </w:rPr>
          <w:delText xml:space="preserve">ulheres </w:delText>
        </w:r>
        <w:r w:rsidR="00A96FFD" w:rsidRPr="005E3DFC">
          <w:rPr>
            <w:sz w:val="22"/>
            <w:szCs w:val="22"/>
          </w:rPr>
          <w:delText xml:space="preserve">com </w:delText>
        </w:r>
        <w:r w:rsidR="00A96FFD">
          <w:rPr>
            <w:sz w:val="22"/>
            <w:szCs w:val="22"/>
          </w:rPr>
          <w:delText>DC</w:delText>
        </w:r>
        <w:r w:rsidR="00A96FFD" w:rsidRPr="005E3DFC">
          <w:rPr>
            <w:sz w:val="22"/>
            <w:szCs w:val="22"/>
          </w:rPr>
          <w:delText xml:space="preserve"> </w:delText>
        </w:r>
        <w:r>
          <w:rPr>
            <w:sz w:val="22"/>
            <w:szCs w:val="22"/>
          </w:rPr>
          <w:delText>tratadas com adalimumab</w:delText>
        </w:r>
        <w:r w:rsidRPr="005E3DFC">
          <w:rPr>
            <w:sz w:val="22"/>
            <w:szCs w:val="22"/>
          </w:rPr>
          <w:delText xml:space="preserve"> e 3/32 (9,4%) nas mulheres </w:delText>
        </w:r>
        <w:r w:rsidR="00A96FFD" w:rsidRPr="005E3DFC">
          <w:rPr>
            <w:sz w:val="22"/>
            <w:szCs w:val="22"/>
          </w:rPr>
          <w:delText xml:space="preserve">com DC </w:delText>
        </w:r>
        <w:r w:rsidRPr="005E3DFC">
          <w:rPr>
            <w:sz w:val="22"/>
            <w:szCs w:val="22"/>
          </w:rPr>
          <w:delText>não tratadas (OR não ajustada</w:delText>
        </w:r>
        <w:r w:rsidR="00A96FFD">
          <w:rPr>
            <w:sz w:val="22"/>
            <w:szCs w:val="22"/>
          </w:rPr>
          <w:delText>:</w:delText>
        </w:r>
        <w:r w:rsidRPr="005E3DFC">
          <w:rPr>
            <w:sz w:val="22"/>
            <w:szCs w:val="22"/>
          </w:rPr>
          <w:delText xml:space="preserve"> 1,14, IC 95% 0,31-4,16).</w:delText>
        </w:r>
        <w:r>
          <w:rPr>
            <w:sz w:val="22"/>
            <w:szCs w:val="22"/>
          </w:rPr>
          <w:delText xml:space="preserve"> A OR ajustada </w:delText>
        </w:r>
        <w:r w:rsidRPr="005E3DFC">
          <w:rPr>
            <w:sz w:val="22"/>
            <w:szCs w:val="22"/>
          </w:rPr>
          <w:delText>(</w:delText>
        </w:r>
        <w:r w:rsidR="00A96FFD">
          <w:rPr>
            <w:sz w:val="22"/>
            <w:szCs w:val="22"/>
          </w:rPr>
          <w:delText>contabilizando as</w:delText>
        </w:r>
        <w:r w:rsidRPr="005E3DFC">
          <w:rPr>
            <w:sz w:val="22"/>
            <w:szCs w:val="22"/>
          </w:rPr>
          <w:delText xml:space="preserve"> diferenças </w:delText>
        </w:r>
        <w:r w:rsidR="00020595">
          <w:rPr>
            <w:sz w:val="22"/>
            <w:szCs w:val="22"/>
          </w:rPr>
          <w:delText>na avaliação basal)</w:delText>
        </w:r>
        <w:r w:rsidRPr="005E3DFC">
          <w:rPr>
            <w:sz w:val="22"/>
            <w:szCs w:val="22"/>
          </w:rPr>
          <w:delText xml:space="preserve"> foi de 1,10 (IC 95% 0,45-2,73) com </w:delText>
        </w:r>
        <w:r>
          <w:rPr>
            <w:sz w:val="22"/>
            <w:szCs w:val="22"/>
          </w:rPr>
          <w:delText>AR e DC</w:delText>
        </w:r>
        <w:r w:rsidRPr="005E3DFC">
          <w:rPr>
            <w:sz w:val="22"/>
            <w:szCs w:val="22"/>
          </w:rPr>
          <w:delText xml:space="preserve"> combinad</w:delText>
        </w:r>
        <w:r>
          <w:rPr>
            <w:sz w:val="22"/>
            <w:szCs w:val="22"/>
          </w:rPr>
          <w:delText>a</w:delText>
        </w:r>
        <w:r w:rsidRPr="005E3DFC">
          <w:rPr>
            <w:sz w:val="22"/>
            <w:szCs w:val="22"/>
          </w:rPr>
          <w:delText xml:space="preserve">s. Não houve diferenças </w:delText>
        </w:r>
        <w:r w:rsidR="00A96FFD">
          <w:rPr>
            <w:sz w:val="22"/>
            <w:szCs w:val="22"/>
          </w:rPr>
          <w:delText>significativas</w:delText>
        </w:r>
        <w:r w:rsidRPr="005E3DFC">
          <w:rPr>
            <w:sz w:val="22"/>
            <w:szCs w:val="22"/>
          </w:rPr>
          <w:delText xml:space="preserve"> entre as mulheres tratadas com adalimumab e não tratadas nos </w:delText>
        </w:r>
        <w:r w:rsidR="00A96FFD">
          <w:rPr>
            <w:sz w:val="22"/>
            <w:szCs w:val="22"/>
          </w:rPr>
          <w:delText>parâmetros</w:delText>
        </w:r>
        <w:r w:rsidRPr="005E3DFC">
          <w:rPr>
            <w:sz w:val="22"/>
            <w:szCs w:val="22"/>
          </w:rPr>
          <w:delText xml:space="preserve"> secundários</w:delText>
        </w:r>
        <w:r>
          <w:rPr>
            <w:sz w:val="22"/>
            <w:szCs w:val="22"/>
          </w:rPr>
          <w:delText xml:space="preserve"> de a</w:delText>
        </w:r>
        <w:r w:rsidRPr="005E3DFC">
          <w:rPr>
            <w:sz w:val="22"/>
            <w:szCs w:val="22"/>
          </w:rPr>
          <w:delText xml:space="preserve">bortos espontâneos, </w:delText>
        </w:r>
        <w:r w:rsidR="00F06203">
          <w:rPr>
            <w:sz w:val="22"/>
            <w:szCs w:val="22"/>
          </w:rPr>
          <w:delText>malformações</w:delText>
        </w:r>
        <w:r w:rsidRPr="005E3DFC">
          <w:rPr>
            <w:sz w:val="22"/>
            <w:szCs w:val="22"/>
          </w:rPr>
          <w:delText xml:space="preserve"> </w:delText>
        </w:r>
        <w:r w:rsidR="00F06203">
          <w:rPr>
            <w:sz w:val="22"/>
            <w:szCs w:val="22"/>
          </w:rPr>
          <w:delText>congénitas</w:delText>
        </w:r>
        <w:r w:rsidRPr="005E3DFC">
          <w:rPr>
            <w:sz w:val="22"/>
            <w:szCs w:val="22"/>
          </w:rPr>
          <w:delText xml:space="preserve"> menores, parto</w:delText>
        </w:r>
        <w:r w:rsidR="00954BBE">
          <w:rPr>
            <w:sz w:val="22"/>
            <w:szCs w:val="22"/>
          </w:rPr>
          <w:delText>s</w:delText>
        </w:r>
        <w:r w:rsidRPr="005E3DFC">
          <w:rPr>
            <w:sz w:val="22"/>
            <w:szCs w:val="22"/>
          </w:rPr>
          <w:delText xml:space="preserve"> prematuro</w:delText>
        </w:r>
        <w:r w:rsidR="00954BBE">
          <w:rPr>
            <w:sz w:val="22"/>
            <w:szCs w:val="22"/>
          </w:rPr>
          <w:delText>s</w:delText>
        </w:r>
        <w:r w:rsidRPr="005E3DFC">
          <w:rPr>
            <w:sz w:val="22"/>
            <w:szCs w:val="22"/>
          </w:rPr>
          <w:delText xml:space="preserve">, tamanho </w:delText>
        </w:r>
        <w:r>
          <w:rPr>
            <w:sz w:val="22"/>
            <w:szCs w:val="22"/>
          </w:rPr>
          <w:delText>à nascença</w:delText>
        </w:r>
        <w:r w:rsidRPr="005E3DFC">
          <w:rPr>
            <w:sz w:val="22"/>
            <w:szCs w:val="22"/>
          </w:rPr>
          <w:delText xml:space="preserve"> e infeções graves ou oportunistas e n</w:delText>
        </w:r>
        <w:r>
          <w:rPr>
            <w:sz w:val="22"/>
            <w:szCs w:val="22"/>
          </w:rPr>
          <w:delText xml:space="preserve">ão foi </w:delText>
        </w:r>
        <w:r w:rsidR="00762634">
          <w:rPr>
            <w:sz w:val="22"/>
            <w:szCs w:val="22"/>
          </w:rPr>
          <w:delText>notific</w:delText>
        </w:r>
        <w:r>
          <w:rPr>
            <w:sz w:val="22"/>
            <w:szCs w:val="22"/>
          </w:rPr>
          <w:delText>ado qualquer nado</w:delText>
        </w:r>
        <w:r w:rsidR="00A96FFD">
          <w:rPr>
            <w:sz w:val="22"/>
            <w:szCs w:val="22"/>
          </w:rPr>
          <w:delText xml:space="preserve"> </w:delText>
        </w:r>
        <w:r>
          <w:rPr>
            <w:sz w:val="22"/>
            <w:szCs w:val="22"/>
          </w:rPr>
          <w:delText xml:space="preserve">morto ou </w:delText>
        </w:r>
        <w:r w:rsidRPr="005E3DFC">
          <w:rPr>
            <w:sz w:val="22"/>
            <w:szCs w:val="22"/>
          </w:rPr>
          <w:delText>neoplasia</w:delText>
        </w:r>
        <w:r>
          <w:rPr>
            <w:sz w:val="22"/>
            <w:szCs w:val="22"/>
          </w:rPr>
          <w:delText xml:space="preserve"> </w:delText>
        </w:r>
        <w:r w:rsidRPr="005E3DFC">
          <w:rPr>
            <w:sz w:val="22"/>
            <w:szCs w:val="22"/>
          </w:rPr>
          <w:delText xml:space="preserve">maligna. A interpretação dos dados </w:delText>
        </w:r>
        <w:r w:rsidR="00954BBE">
          <w:rPr>
            <w:sz w:val="22"/>
            <w:szCs w:val="22"/>
          </w:rPr>
          <w:delText>deve ser cuidadosamente avaliada</w:delText>
        </w:r>
        <w:r w:rsidRPr="005E3DFC">
          <w:rPr>
            <w:sz w:val="22"/>
            <w:szCs w:val="22"/>
          </w:rPr>
          <w:delText xml:space="preserve"> devido às limitações metodológicas do estudo, incluindo o pequeno tamanho da amostra e o desenho não </w:delText>
        </w:r>
        <w:r w:rsidR="00A96FFD">
          <w:rPr>
            <w:sz w:val="22"/>
            <w:szCs w:val="22"/>
          </w:rPr>
          <w:delText>aleatorizado</w:delText>
        </w:r>
        <w:r w:rsidRPr="005E3DFC">
          <w:rPr>
            <w:sz w:val="22"/>
            <w:szCs w:val="22"/>
          </w:rPr>
          <w:delText>.</w:delText>
        </w:r>
      </w:del>
    </w:p>
    <w:p w14:paraId="5C570C69" w14:textId="46468961" w:rsidR="004462A0" w:rsidRPr="008912CF" w:rsidRDefault="004462A0">
      <w:pPr>
        <w:rPr>
          <w:del w:id="5471" w:author="AbbVie2" w:date="2025-05-13T16:39:00Z"/>
          <w:sz w:val="22"/>
          <w:szCs w:val="22"/>
        </w:rPr>
        <w:pPrChange w:id="5472" w:author="AbbVie2" w:date="2025-05-13T16:40:00Z">
          <w:pPr>
            <w:autoSpaceDE w:val="0"/>
            <w:autoSpaceDN w:val="0"/>
            <w:adjustRightInd w:val="0"/>
          </w:pPr>
        </w:pPrChange>
      </w:pPr>
    </w:p>
    <w:p w14:paraId="1283FAAE" w14:textId="7A586EA9" w:rsidR="004462A0" w:rsidRPr="008912CF" w:rsidRDefault="00615769">
      <w:pPr>
        <w:rPr>
          <w:del w:id="5473" w:author="AbbVie2" w:date="2025-05-13T16:39:00Z"/>
          <w:sz w:val="22"/>
          <w:szCs w:val="22"/>
        </w:rPr>
        <w:pPrChange w:id="5474" w:author="AbbVie2" w:date="2025-05-13T16:40:00Z">
          <w:pPr>
            <w:autoSpaceDE w:val="0"/>
            <w:autoSpaceDN w:val="0"/>
            <w:adjustRightInd w:val="0"/>
          </w:pPr>
        </w:pPrChange>
      </w:pPr>
      <w:del w:id="5475" w:author="AbbVie2" w:date="2025-05-13T16:39:00Z">
        <w:r w:rsidRPr="008912CF">
          <w:rPr>
            <w:sz w:val="22"/>
            <w:szCs w:val="22"/>
          </w:rPr>
          <w:delText>Um estudo de toxicidade do desenvolvimento efetuado em macacos não revelou quaisquer sinais de toxicidade materna, embriotoxicidade ou teratogenicidade. Não se dispõe de dados pré-clínicos sobre a toxicidade pós-natal de adalimumab (ver secção 5.3).</w:delText>
        </w:r>
      </w:del>
    </w:p>
    <w:p w14:paraId="6C349337" w14:textId="2D9A4AF2" w:rsidR="004462A0" w:rsidRPr="008912CF" w:rsidRDefault="004462A0">
      <w:pPr>
        <w:rPr>
          <w:del w:id="5476" w:author="AbbVie2" w:date="2025-05-13T16:39:00Z"/>
          <w:sz w:val="22"/>
          <w:szCs w:val="22"/>
        </w:rPr>
        <w:pPrChange w:id="5477" w:author="AbbVie2" w:date="2025-05-13T16:40:00Z">
          <w:pPr>
            <w:autoSpaceDE w:val="0"/>
            <w:autoSpaceDN w:val="0"/>
            <w:adjustRightInd w:val="0"/>
          </w:pPr>
        </w:pPrChange>
      </w:pPr>
    </w:p>
    <w:p w14:paraId="3800930D" w14:textId="110514D7" w:rsidR="004462A0" w:rsidRDefault="00615769">
      <w:pPr>
        <w:rPr>
          <w:del w:id="5478" w:author="AbbVie2" w:date="2025-05-13T16:39:00Z"/>
          <w:sz w:val="22"/>
          <w:szCs w:val="22"/>
        </w:rPr>
        <w:pPrChange w:id="5479" w:author="AbbVie2" w:date="2025-05-13T16:40:00Z">
          <w:pPr>
            <w:autoSpaceDE w:val="0"/>
            <w:autoSpaceDN w:val="0"/>
            <w:adjustRightInd w:val="0"/>
          </w:pPr>
        </w:pPrChange>
      </w:pPr>
      <w:del w:id="5480" w:author="AbbVie2" w:date="2025-05-13T16:39:00Z">
        <w:r w:rsidRPr="008912CF">
          <w:rPr>
            <w:sz w:val="22"/>
            <w:szCs w:val="22"/>
          </w:rPr>
          <w:delText>Devido à sua inibição de TNF</w:delText>
        </w:r>
        <w:r w:rsidRPr="008912CF">
          <w:rPr>
            <w:rFonts w:ascii="Symbol" w:hAnsi="Symbol"/>
            <w:sz w:val="22"/>
            <w:szCs w:val="22"/>
          </w:rPr>
          <w:sym w:font="Symbol" w:char="F061"/>
        </w:r>
        <w:r w:rsidRPr="008912CF">
          <w:rPr>
            <w:sz w:val="22"/>
            <w:szCs w:val="22"/>
          </w:rPr>
          <w:delText xml:space="preserve">, a administração de adalimumab durante a gravidez pode afetar as respostas imunitárias normais no recém-nascido. </w:delText>
        </w:r>
        <w:r w:rsidR="000D10C2">
          <w:rPr>
            <w:sz w:val="22"/>
            <w:szCs w:val="22"/>
          </w:rPr>
          <w:delText>Adalimumab</w:delText>
        </w:r>
        <w:r w:rsidR="000D10C2" w:rsidRPr="00C55814">
          <w:rPr>
            <w:sz w:val="22"/>
            <w:szCs w:val="22"/>
          </w:rPr>
          <w:delText xml:space="preserve"> </w:delText>
        </w:r>
        <w:r w:rsidR="00A96FFD" w:rsidRPr="00C55814">
          <w:rPr>
            <w:sz w:val="22"/>
            <w:szCs w:val="22"/>
          </w:rPr>
          <w:delText xml:space="preserve">apenas </w:delText>
        </w:r>
        <w:r w:rsidR="000D10C2" w:rsidRPr="00C55814">
          <w:rPr>
            <w:sz w:val="22"/>
            <w:szCs w:val="22"/>
          </w:rPr>
          <w:delText>deve ser utilizado na gravidez se</w:delText>
        </w:r>
        <w:r w:rsidR="000D10C2">
          <w:rPr>
            <w:sz w:val="22"/>
            <w:szCs w:val="22"/>
          </w:rPr>
          <w:delText xml:space="preserve"> </w:delText>
        </w:r>
        <w:r w:rsidR="00A96FFD">
          <w:rPr>
            <w:sz w:val="22"/>
            <w:szCs w:val="22"/>
          </w:rPr>
          <w:delText>estritamente</w:delText>
        </w:r>
        <w:r w:rsidR="000D10C2" w:rsidRPr="00C55814">
          <w:rPr>
            <w:sz w:val="22"/>
            <w:szCs w:val="22"/>
          </w:rPr>
          <w:delText xml:space="preserve"> necessário.</w:delText>
        </w:r>
        <w:r w:rsidRPr="008912CF">
          <w:rPr>
            <w:sz w:val="22"/>
            <w:szCs w:val="22"/>
          </w:rPr>
          <w:delText xml:space="preserve"> </w:delText>
        </w:r>
      </w:del>
    </w:p>
    <w:p w14:paraId="09162D1F" w14:textId="0AFD45B0" w:rsidR="00E00787" w:rsidRPr="008912CF" w:rsidRDefault="00E00787">
      <w:pPr>
        <w:rPr>
          <w:del w:id="5481" w:author="AbbVie2" w:date="2025-05-13T16:39:00Z"/>
          <w:sz w:val="22"/>
          <w:szCs w:val="22"/>
        </w:rPr>
        <w:pPrChange w:id="5482" w:author="AbbVie2" w:date="2025-05-13T16:40:00Z">
          <w:pPr>
            <w:autoSpaceDE w:val="0"/>
            <w:autoSpaceDN w:val="0"/>
            <w:adjustRightInd w:val="0"/>
          </w:pPr>
        </w:pPrChange>
      </w:pPr>
    </w:p>
    <w:p w14:paraId="32CDB81C" w14:textId="1A6EA8AE" w:rsidR="004462A0" w:rsidRPr="008912CF" w:rsidRDefault="00615769" w:rsidP="00412FC8">
      <w:pPr>
        <w:rPr>
          <w:del w:id="5483" w:author="AbbVie2" w:date="2025-05-13T16:39:00Z"/>
          <w:sz w:val="22"/>
          <w:szCs w:val="22"/>
        </w:rPr>
      </w:pPr>
      <w:del w:id="5484" w:author="AbbVie2" w:date="2025-05-13T16:39:00Z">
        <w:r>
          <w:rPr>
            <w:sz w:val="22"/>
            <w:szCs w:val="22"/>
          </w:rPr>
          <w:delText>A</w:delText>
        </w:r>
        <w:r w:rsidRPr="008912CF">
          <w:rPr>
            <w:sz w:val="22"/>
            <w:szCs w:val="22"/>
          </w:rPr>
          <w:delText xml:space="preserve">dalimumab pode atravessar a placenta para o soro das crianças nascidas de mulheres tratadas com adalimumab durante a gravidez. Por conseguinte, estas crianças podem ter um risco aumentado de infeção. Não se recomenda a administração de vacinas vivas </w:delText>
        </w:r>
        <w:r w:rsidR="000D10C2" w:rsidRPr="00970280">
          <w:rPr>
            <w:sz w:val="22"/>
            <w:szCs w:val="22"/>
          </w:rPr>
          <w:delText>(</w:delText>
        </w:r>
        <w:r w:rsidR="00AD0004">
          <w:rPr>
            <w:sz w:val="22"/>
            <w:szCs w:val="22"/>
          </w:rPr>
          <w:delText xml:space="preserve">p.ex., </w:delText>
        </w:r>
        <w:r w:rsidR="000D10C2" w:rsidRPr="00970280">
          <w:rPr>
            <w:sz w:val="22"/>
            <w:szCs w:val="22"/>
          </w:rPr>
          <w:delText xml:space="preserve">vacina da BCG) </w:delText>
        </w:r>
        <w:r w:rsidR="00390D91">
          <w:rPr>
            <w:sz w:val="22"/>
            <w:szCs w:val="22"/>
          </w:rPr>
          <w:delText>a</w:delText>
        </w:r>
        <w:r w:rsidR="00390D91" w:rsidRPr="008912CF">
          <w:rPr>
            <w:sz w:val="22"/>
            <w:szCs w:val="22"/>
          </w:rPr>
          <w:delText xml:space="preserve"> </w:delText>
        </w:r>
        <w:r w:rsidRPr="008912CF">
          <w:rPr>
            <w:sz w:val="22"/>
            <w:szCs w:val="22"/>
          </w:rPr>
          <w:delText>crianças com exposição intrauterina a adalimumab durante 5 meses após a última injeção de adalimumab da mãe durante a gravidez.</w:delText>
        </w:r>
      </w:del>
    </w:p>
    <w:p w14:paraId="191CC658" w14:textId="2249CEC4" w:rsidR="004462A0" w:rsidRPr="008912CF" w:rsidRDefault="004462A0" w:rsidP="00412FC8">
      <w:pPr>
        <w:rPr>
          <w:del w:id="5485" w:author="AbbVie2" w:date="2025-05-13T16:39:00Z"/>
          <w:sz w:val="22"/>
          <w:szCs w:val="22"/>
        </w:rPr>
      </w:pPr>
    </w:p>
    <w:p w14:paraId="7FF1CBF9" w14:textId="52F62EF3" w:rsidR="004462A0" w:rsidRPr="008912CF" w:rsidRDefault="00615769">
      <w:pPr>
        <w:rPr>
          <w:del w:id="5486" w:author="AbbVie2" w:date="2025-05-13T16:39:00Z"/>
          <w:sz w:val="22"/>
          <w:szCs w:val="22"/>
          <w:u w:val="single"/>
        </w:rPr>
        <w:pPrChange w:id="5487" w:author="AbbVie2" w:date="2025-05-13T16:40:00Z">
          <w:pPr>
            <w:keepNext/>
          </w:pPr>
        </w:pPrChange>
      </w:pPr>
      <w:del w:id="5488" w:author="AbbVie2" w:date="2025-05-13T16:39:00Z">
        <w:r w:rsidRPr="008912CF">
          <w:rPr>
            <w:sz w:val="22"/>
            <w:szCs w:val="22"/>
            <w:u w:val="single"/>
          </w:rPr>
          <w:delText>Amamentação</w:delText>
        </w:r>
      </w:del>
    </w:p>
    <w:p w14:paraId="7A2AFD86" w14:textId="4974153D" w:rsidR="004462A0" w:rsidRPr="008912CF" w:rsidRDefault="004462A0">
      <w:pPr>
        <w:rPr>
          <w:del w:id="5489" w:author="AbbVie2" w:date="2025-05-13T16:39:00Z"/>
          <w:sz w:val="22"/>
          <w:szCs w:val="22"/>
        </w:rPr>
        <w:pPrChange w:id="5490" w:author="AbbVie2" w:date="2025-05-13T16:40:00Z">
          <w:pPr>
            <w:keepNext/>
            <w:autoSpaceDE w:val="0"/>
            <w:autoSpaceDN w:val="0"/>
            <w:adjustRightInd w:val="0"/>
          </w:pPr>
        </w:pPrChange>
      </w:pPr>
    </w:p>
    <w:p w14:paraId="5E4CF770" w14:textId="5D31E040" w:rsidR="004462A0" w:rsidRPr="008912CF" w:rsidRDefault="00615769" w:rsidP="00412FC8">
      <w:pPr>
        <w:rPr>
          <w:del w:id="5491" w:author="AbbVie2" w:date="2025-05-13T16:39:00Z"/>
          <w:i/>
          <w:sz w:val="22"/>
          <w:szCs w:val="22"/>
        </w:rPr>
      </w:pPr>
      <w:del w:id="5492" w:author="AbbVie2" w:date="2025-05-13T16:39:00Z">
        <w:r w:rsidRPr="00970280">
          <w:rPr>
            <w:sz w:val="22"/>
            <w:szCs w:val="22"/>
          </w:rPr>
          <w:delText>Informaç</w:delText>
        </w:r>
        <w:r w:rsidR="00A96FFD">
          <w:rPr>
            <w:sz w:val="22"/>
            <w:szCs w:val="22"/>
          </w:rPr>
          <w:delText>ão</w:delText>
        </w:r>
        <w:r w:rsidRPr="00970280">
          <w:rPr>
            <w:sz w:val="22"/>
            <w:szCs w:val="22"/>
          </w:rPr>
          <w:delText xml:space="preserve"> limitada </w:delText>
        </w:r>
        <w:r w:rsidR="00A96FFD" w:rsidRPr="00970280">
          <w:rPr>
            <w:sz w:val="22"/>
            <w:szCs w:val="22"/>
          </w:rPr>
          <w:delText xml:space="preserve">publicada </w:delText>
        </w:r>
        <w:r w:rsidR="00A96FFD">
          <w:rPr>
            <w:sz w:val="22"/>
            <w:szCs w:val="22"/>
          </w:rPr>
          <w:delText>n</w:delText>
        </w:r>
        <w:r w:rsidRPr="00970280">
          <w:rPr>
            <w:sz w:val="22"/>
            <w:szCs w:val="22"/>
          </w:rPr>
          <w:delText>a literatura indica que adalimumab é excretado no leite materno em concentrações muito baixas</w:delText>
        </w:r>
        <w:r w:rsidR="001409A7">
          <w:rPr>
            <w:sz w:val="22"/>
            <w:szCs w:val="22"/>
          </w:rPr>
          <w:delText>,</w:delText>
        </w:r>
        <w:r w:rsidRPr="00970280">
          <w:rPr>
            <w:sz w:val="22"/>
            <w:szCs w:val="22"/>
          </w:rPr>
          <w:delText xml:space="preserve"> com a presença de adalimumab no leite humano em concentrações de 0,1% a 1% do nível sérico materno.</w:delText>
        </w:r>
        <w:r>
          <w:rPr>
            <w:sz w:val="22"/>
            <w:szCs w:val="22"/>
          </w:rPr>
          <w:delText xml:space="preserve"> </w:delText>
        </w:r>
        <w:r w:rsidR="00A96FFD">
          <w:rPr>
            <w:sz w:val="22"/>
            <w:szCs w:val="22"/>
          </w:rPr>
          <w:delText>Quando a</w:delText>
        </w:r>
        <w:r w:rsidRPr="00970280">
          <w:rPr>
            <w:sz w:val="22"/>
            <w:szCs w:val="22"/>
          </w:rPr>
          <w:delText>dministradas oralmente, as imunoglobulina</w:delText>
        </w:r>
        <w:r w:rsidR="00A96FFD">
          <w:rPr>
            <w:sz w:val="22"/>
            <w:szCs w:val="22"/>
          </w:rPr>
          <w:delText>s</w:delText>
        </w:r>
        <w:r>
          <w:rPr>
            <w:sz w:val="22"/>
            <w:szCs w:val="22"/>
          </w:rPr>
          <w:delText xml:space="preserve"> G</w:delText>
        </w:r>
        <w:r w:rsidRPr="00970280">
          <w:rPr>
            <w:sz w:val="22"/>
            <w:szCs w:val="22"/>
          </w:rPr>
          <w:delText xml:space="preserve"> sofrem proteólise intestinal e apresentam baixa biodisponibilidade. N</w:delText>
        </w:r>
        <w:r>
          <w:rPr>
            <w:sz w:val="22"/>
            <w:szCs w:val="22"/>
          </w:rPr>
          <w:delText xml:space="preserve">ão é </w:delText>
        </w:r>
        <w:r w:rsidR="00020595">
          <w:rPr>
            <w:sz w:val="22"/>
            <w:szCs w:val="22"/>
          </w:rPr>
          <w:delText>esperado</w:delText>
        </w:r>
        <w:r>
          <w:rPr>
            <w:sz w:val="22"/>
            <w:szCs w:val="22"/>
          </w:rPr>
          <w:delText xml:space="preserve"> qualquer </w:delText>
        </w:r>
        <w:r w:rsidRPr="00970280">
          <w:rPr>
            <w:sz w:val="22"/>
            <w:szCs w:val="22"/>
          </w:rPr>
          <w:delText>efeito nos recém-nascidos/lactentes amamentados</w:delText>
        </w:r>
        <w:r>
          <w:rPr>
            <w:sz w:val="22"/>
            <w:szCs w:val="22"/>
          </w:rPr>
          <w:delText>.</w:delText>
        </w:r>
        <w:r w:rsidRPr="00970280">
          <w:rPr>
            <w:sz w:val="22"/>
            <w:szCs w:val="22"/>
          </w:rPr>
          <w:delText xml:space="preserve"> Consequentemente, Humira pode ser usado durante a amamentação.</w:delText>
        </w:r>
      </w:del>
    </w:p>
    <w:p w14:paraId="49BD63F8" w14:textId="5D74E3F8" w:rsidR="004462A0" w:rsidRPr="008912CF" w:rsidRDefault="004462A0" w:rsidP="00412FC8">
      <w:pPr>
        <w:rPr>
          <w:del w:id="5493" w:author="AbbVie2" w:date="2025-05-13T16:39:00Z"/>
          <w:sz w:val="22"/>
          <w:szCs w:val="22"/>
        </w:rPr>
      </w:pPr>
    </w:p>
    <w:p w14:paraId="01B10A99" w14:textId="7563EF60" w:rsidR="004462A0" w:rsidRPr="008912CF" w:rsidRDefault="00615769" w:rsidP="00412FC8">
      <w:pPr>
        <w:rPr>
          <w:del w:id="5494" w:author="AbbVie2" w:date="2025-05-13T16:39:00Z"/>
          <w:sz w:val="22"/>
          <w:szCs w:val="22"/>
          <w:u w:val="single"/>
        </w:rPr>
      </w:pPr>
      <w:del w:id="5495" w:author="AbbVie2" w:date="2025-05-13T16:39:00Z">
        <w:r w:rsidRPr="008912CF">
          <w:rPr>
            <w:sz w:val="22"/>
            <w:szCs w:val="22"/>
            <w:u w:val="single"/>
          </w:rPr>
          <w:delText>Fertilidade</w:delText>
        </w:r>
      </w:del>
    </w:p>
    <w:p w14:paraId="7FF03977" w14:textId="15E33C26" w:rsidR="004462A0" w:rsidRPr="008912CF" w:rsidRDefault="004462A0" w:rsidP="00412FC8">
      <w:pPr>
        <w:rPr>
          <w:del w:id="5496" w:author="AbbVie2" w:date="2025-05-13T16:39:00Z"/>
          <w:sz w:val="22"/>
          <w:szCs w:val="22"/>
        </w:rPr>
      </w:pPr>
    </w:p>
    <w:p w14:paraId="3DD978AD" w14:textId="2EF9A5EA" w:rsidR="004462A0" w:rsidRPr="008912CF" w:rsidRDefault="00615769" w:rsidP="00412FC8">
      <w:pPr>
        <w:rPr>
          <w:del w:id="5497" w:author="AbbVie2" w:date="2025-05-13T16:39:00Z"/>
          <w:sz w:val="22"/>
          <w:szCs w:val="22"/>
        </w:rPr>
      </w:pPr>
      <w:del w:id="5498" w:author="AbbVie2" w:date="2025-05-13T16:39:00Z">
        <w:r w:rsidRPr="008912CF">
          <w:rPr>
            <w:sz w:val="22"/>
            <w:szCs w:val="22"/>
          </w:rPr>
          <w:delText>N</w:delText>
        </w:r>
        <w:r w:rsidR="001409A7">
          <w:rPr>
            <w:sz w:val="22"/>
            <w:szCs w:val="22"/>
          </w:rPr>
          <w:delText>ã</w:delText>
        </w:r>
        <w:r w:rsidRPr="008912CF">
          <w:rPr>
            <w:sz w:val="22"/>
            <w:szCs w:val="22"/>
          </w:rPr>
          <w:delText>o se dispõe de dados pré-clínicos sobre os efeitos de adalimumab na fertilidade.</w:delText>
        </w:r>
      </w:del>
    </w:p>
    <w:p w14:paraId="5AF76BB9" w14:textId="3A5EE0F1" w:rsidR="004462A0" w:rsidRPr="008912CF" w:rsidRDefault="004462A0" w:rsidP="00412FC8">
      <w:pPr>
        <w:rPr>
          <w:del w:id="5499" w:author="AbbVie2" w:date="2025-05-13T16:39:00Z"/>
          <w:b/>
          <w:i/>
          <w:sz w:val="22"/>
          <w:szCs w:val="22"/>
        </w:rPr>
      </w:pPr>
    </w:p>
    <w:p w14:paraId="60EC811B" w14:textId="41397FD1" w:rsidR="004462A0" w:rsidRPr="00E7354C" w:rsidRDefault="00615769">
      <w:pPr>
        <w:rPr>
          <w:del w:id="5500" w:author="AbbVie2" w:date="2025-05-13T16:39:00Z"/>
          <w:sz w:val="22"/>
          <w:szCs w:val="22"/>
        </w:rPr>
        <w:pPrChange w:id="5501" w:author="AbbVie2" w:date="2025-05-13T16:40:00Z">
          <w:pPr>
            <w:ind w:left="567" w:hanging="567"/>
          </w:pPr>
        </w:pPrChange>
      </w:pPr>
      <w:del w:id="5502" w:author="AbbVie2" w:date="2025-05-13T16:39:00Z">
        <w:r w:rsidRPr="00E7354C">
          <w:rPr>
            <w:b/>
            <w:sz w:val="22"/>
            <w:szCs w:val="22"/>
          </w:rPr>
          <w:delText>4.7</w:delText>
        </w:r>
        <w:r w:rsidRPr="00E7354C">
          <w:rPr>
            <w:b/>
            <w:sz w:val="22"/>
            <w:szCs w:val="22"/>
          </w:rPr>
          <w:tab/>
          <w:delText xml:space="preserve">Efeitos sobre a capacidade de conduzir ou utilizar máquinas </w:delText>
        </w:r>
      </w:del>
    </w:p>
    <w:p w14:paraId="6C21CE09" w14:textId="55E95CA0" w:rsidR="004462A0" w:rsidRPr="008912CF" w:rsidRDefault="004462A0">
      <w:pPr>
        <w:rPr>
          <w:del w:id="5503" w:author="AbbVie2" w:date="2025-05-13T16:39:00Z"/>
          <w:szCs w:val="22"/>
        </w:rPr>
        <w:pPrChange w:id="5504" w:author="AbbVie2" w:date="2025-05-13T16:40:00Z">
          <w:pPr>
            <w:pStyle w:val="EndnoteText"/>
            <w:tabs>
              <w:tab w:val="clear" w:pos="567"/>
            </w:tabs>
          </w:pPr>
        </w:pPrChange>
      </w:pPr>
    </w:p>
    <w:p w14:paraId="67EA1851" w14:textId="46F6DB17" w:rsidR="004462A0" w:rsidRPr="008912CF" w:rsidRDefault="00615769" w:rsidP="00412FC8">
      <w:pPr>
        <w:rPr>
          <w:del w:id="5505" w:author="AbbVie2" w:date="2025-05-13T16:39:00Z"/>
          <w:bCs/>
          <w:sz w:val="22"/>
          <w:szCs w:val="22"/>
        </w:rPr>
      </w:pPr>
      <w:del w:id="5506" w:author="AbbVie2" w:date="2025-05-13T16:39:00Z">
        <w:r w:rsidRPr="008912CF">
          <w:rPr>
            <w:bCs/>
            <w:sz w:val="22"/>
            <w:szCs w:val="22"/>
          </w:rPr>
          <w:delText>Humira pode ter uma pequena influência na capacidade de conduzir e utilizar máquinas. Após a administração de Humira podem ocorrer vertigens e alterações da acuidade visual (ver secção 4.8).</w:delText>
        </w:r>
      </w:del>
    </w:p>
    <w:p w14:paraId="1AB3CEBE" w14:textId="073FDBB9" w:rsidR="004462A0" w:rsidRPr="008912CF" w:rsidRDefault="004462A0" w:rsidP="00412FC8">
      <w:pPr>
        <w:rPr>
          <w:del w:id="5507" w:author="AbbVie2" w:date="2025-05-13T16:39:00Z"/>
          <w:bCs/>
          <w:sz w:val="22"/>
          <w:szCs w:val="22"/>
        </w:rPr>
      </w:pPr>
    </w:p>
    <w:p w14:paraId="7F0F1767" w14:textId="3406765E" w:rsidR="004462A0" w:rsidRPr="00E7354C" w:rsidRDefault="00615769">
      <w:pPr>
        <w:rPr>
          <w:del w:id="5508" w:author="AbbVie2" w:date="2025-05-13T16:39:00Z"/>
          <w:b/>
          <w:sz w:val="22"/>
          <w:szCs w:val="22"/>
        </w:rPr>
        <w:pPrChange w:id="5509" w:author="AbbVie2" w:date="2025-05-13T16:40:00Z">
          <w:pPr>
            <w:ind w:left="567" w:hanging="567"/>
          </w:pPr>
        </w:pPrChange>
      </w:pPr>
      <w:del w:id="5510" w:author="AbbVie2" w:date="2025-05-13T16:39:00Z">
        <w:r w:rsidRPr="00E7354C">
          <w:rPr>
            <w:b/>
            <w:sz w:val="22"/>
            <w:szCs w:val="22"/>
          </w:rPr>
          <w:delText>4.8</w:delText>
        </w:r>
        <w:r w:rsidRPr="00E7354C">
          <w:rPr>
            <w:b/>
            <w:sz w:val="22"/>
            <w:szCs w:val="22"/>
          </w:rPr>
          <w:tab/>
          <w:delText xml:space="preserve">Efeitos indesejáveis </w:delText>
        </w:r>
      </w:del>
    </w:p>
    <w:p w14:paraId="0101B618" w14:textId="76F7C4FE" w:rsidR="004462A0" w:rsidRPr="008912CF" w:rsidRDefault="004462A0" w:rsidP="00412FC8">
      <w:pPr>
        <w:rPr>
          <w:del w:id="5511" w:author="AbbVie2" w:date="2025-05-13T16:39:00Z"/>
          <w:bCs/>
          <w:sz w:val="22"/>
          <w:szCs w:val="22"/>
          <w:u w:val="single"/>
        </w:rPr>
      </w:pPr>
    </w:p>
    <w:p w14:paraId="39B36AF2" w14:textId="213A6ECA" w:rsidR="004462A0" w:rsidRPr="008912CF" w:rsidRDefault="00615769">
      <w:pPr>
        <w:rPr>
          <w:del w:id="5512" w:author="AbbVie2" w:date="2025-05-13T16:39:00Z"/>
          <w:sz w:val="22"/>
          <w:szCs w:val="22"/>
          <w:u w:val="single"/>
        </w:rPr>
        <w:pPrChange w:id="5513" w:author="AbbVie2" w:date="2025-05-13T16:40:00Z">
          <w:pPr>
            <w:autoSpaceDE w:val="0"/>
            <w:autoSpaceDN w:val="0"/>
            <w:adjustRightInd w:val="0"/>
          </w:pPr>
        </w:pPrChange>
      </w:pPr>
      <w:del w:id="5514" w:author="AbbVie2" w:date="2025-05-13T16:39:00Z">
        <w:r w:rsidRPr="008912CF">
          <w:rPr>
            <w:sz w:val="22"/>
            <w:szCs w:val="22"/>
            <w:u w:val="single"/>
          </w:rPr>
          <w:delText>Resumo do perfil de segurança</w:delText>
        </w:r>
      </w:del>
    </w:p>
    <w:p w14:paraId="331A908C" w14:textId="59B910F3" w:rsidR="004462A0" w:rsidRPr="008912CF" w:rsidRDefault="004462A0">
      <w:pPr>
        <w:rPr>
          <w:del w:id="5515" w:author="AbbVie2" w:date="2025-05-13T16:39:00Z"/>
          <w:sz w:val="22"/>
          <w:szCs w:val="22"/>
        </w:rPr>
        <w:pPrChange w:id="5516" w:author="AbbVie2" w:date="2025-05-13T16:40:00Z">
          <w:pPr>
            <w:autoSpaceDE w:val="0"/>
            <w:autoSpaceDN w:val="0"/>
            <w:adjustRightInd w:val="0"/>
          </w:pPr>
        </w:pPrChange>
      </w:pPr>
    </w:p>
    <w:p w14:paraId="1D280681" w14:textId="0C8EB346" w:rsidR="004462A0" w:rsidRPr="008912CF" w:rsidRDefault="00615769">
      <w:pPr>
        <w:rPr>
          <w:del w:id="5517" w:author="AbbVie2" w:date="2025-05-13T16:39:00Z"/>
          <w:sz w:val="22"/>
          <w:szCs w:val="22"/>
        </w:rPr>
        <w:pPrChange w:id="5518" w:author="AbbVie2" w:date="2025-05-13T16:40:00Z">
          <w:pPr>
            <w:autoSpaceDE w:val="0"/>
            <w:autoSpaceDN w:val="0"/>
            <w:adjustRightInd w:val="0"/>
          </w:pPr>
        </w:pPrChange>
      </w:pPr>
      <w:del w:id="5519" w:author="AbbVie2" w:date="2025-05-13T16:39:00Z">
        <w:r w:rsidRPr="008912CF">
          <w:rPr>
            <w:sz w:val="22"/>
            <w:szCs w:val="22"/>
          </w:rPr>
          <w:delText xml:space="preserve">Humira foi estudado em </w:delText>
        </w:r>
        <w:r>
          <w:rPr>
            <w:sz w:val="22"/>
            <w:szCs w:val="22"/>
          </w:rPr>
          <w:delText>9.506 </w:delText>
        </w:r>
        <w:r w:rsidRPr="008912CF">
          <w:rPr>
            <w:sz w:val="22"/>
            <w:szCs w:val="22"/>
          </w:rPr>
          <w:delText>doentes no âmbito de ensaios principais controlados e de fase aberta até 60 meses ou mais. Estes ensaios incluíram doentes com artrite reumatoide de curta evolução e com doença de evolução prolongada</w:delText>
        </w:r>
        <w:r w:rsidR="00390D91">
          <w:rPr>
            <w:sz w:val="22"/>
            <w:szCs w:val="22"/>
          </w:rPr>
          <w:delText>,</w:delText>
        </w:r>
        <w:r w:rsidRPr="008912CF">
          <w:rPr>
            <w:sz w:val="22"/>
            <w:szCs w:val="22"/>
          </w:rPr>
          <w:delText xml:space="preserve"> artrite idiopática juvenil (artrite idiopática juvenil poliarticular e artrite relacionada com entesite), bem como doentes com espondilartrite axial (espondilite anquilosante e espondilartrite axial sem evidência radiográfica de EA), artrite psoriática, doença de Crohn, colite ulcerosa, psoríase</w:delText>
        </w:r>
        <w:r>
          <w:rPr>
            <w:sz w:val="22"/>
            <w:szCs w:val="22"/>
          </w:rPr>
          <w:delText xml:space="preserve">, </w:delText>
        </w:r>
        <w:r w:rsidRPr="008912CF">
          <w:rPr>
            <w:sz w:val="22"/>
            <w:szCs w:val="22"/>
          </w:rPr>
          <w:delText>hidradenite supurativa</w:delText>
        </w:r>
        <w:r>
          <w:rPr>
            <w:sz w:val="22"/>
            <w:szCs w:val="22"/>
          </w:rPr>
          <w:delText xml:space="preserve"> e uveíte</w:delText>
        </w:r>
        <w:r w:rsidRPr="008912CF">
          <w:rPr>
            <w:sz w:val="22"/>
            <w:szCs w:val="22"/>
          </w:rPr>
          <w:delText xml:space="preserve">. Os estudos principais controlados envolveram </w:delText>
        </w:r>
        <w:r>
          <w:rPr>
            <w:sz w:val="22"/>
            <w:szCs w:val="22"/>
          </w:rPr>
          <w:delText>6.089 </w:delText>
        </w:r>
        <w:r w:rsidRPr="008912CF">
          <w:rPr>
            <w:sz w:val="22"/>
            <w:szCs w:val="22"/>
          </w:rPr>
          <w:delText xml:space="preserve">doentes que receberam Humira e </w:delText>
        </w:r>
        <w:r>
          <w:rPr>
            <w:sz w:val="22"/>
            <w:szCs w:val="22"/>
          </w:rPr>
          <w:delText>3.801 </w:delText>
        </w:r>
        <w:r w:rsidRPr="008912CF">
          <w:rPr>
            <w:sz w:val="22"/>
            <w:szCs w:val="22"/>
          </w:rPr>
          <w:delText xml:space="preserve">doentes que receberam placebo ou comparador ativo durante o período controlado. </w:delText>
        </w:r>
      </w:del>
    </w:p>
    <w:p w14:paraId="238E4CD2" w14:textId="5980313C" w:rsidR="004462A0" w:rsidRPr="008912CF" w:rsidRDefault="004462A0">
      <w:pPr>
        <w:rPr>
          <w:del w:id="5520" w:author="AbbVie2" w:date="2025-05-13T16:39:00Z"/>
          <w:sz w:val="22"/>
          <w:szCs w:val="22"/>
        </w:rPr>
        <w:pPrChange w:id="5521" w:author="AbbVie2" w:date="2025-05-13T16:40:00Z">
          <w:pPr>
            <w:autoSpaceDE w:val="0"/>
            <w:autoSpaceDN w:val="0"/>
            <w:adjustRightInd w:val="0"/>
          </w:pPr>
        </w:pPrChange>
      </w:pPr>
    </w:p>
    <w:p w14:paraId="2525D27B" w14:textId="30317F86" w:rsidR="004462A0" w:rsidRPr="008912CF" w:rsidRDefault="00615769">
      <w:pPr>
        <w:rPr>
          <w:del w:id="5522" w:author="AbbVie2" w:date="2025-05-13T16:39:00Z"/>
          <w:b/>
          <w:sz w:val="22"/>
          <w:szCs w:val="22"/>
        </w:rPr>
        <w:pPrChange w:id="5523" w:author="AbbVie2" w:date="2025-05-13T16:40:00Z">
          <w:pPr>
            <w:autoSpaceDE w:val="0"/>
            <w:autoSpaceDN w:val="0"/>
            <w:adjustRightInd w:val="0"/>
          </w:pPr>
        </w:pPrChange>
      </w:pPr>
      <w:del w:id="5524" w:author="AbbVie2" w:date="2025-05-13T16:39:00Z">
        <w:r w:rsidRPr="008912CF">
          <w:rPr>
            <w:sz w:val="22"/>
            <w:szCs w:val="22"/>
          </w:rPr>
          <w:delText>A percentagem de doentes que suspendeu o tratamento devido a acontecimentos adversos durante a fase controlada</w:delText>
        </w:r>
        <w:r w:rsidR="001D79C6">
          <w:rPr>
            <w:sz w:val="22"/>
            <w:szCs w:val="22"/>
          </w:rPr>
          <w:delText>,</w:delText>
        </w:r>
        <w:r w:rsidRPr="008912CF">
          <w:rPr>
            <w:sz w:val="22"/>
            <w:szCs w:val="22"/>
          </w:rPr>
          <w:delText xml:space="preserve"> de dupla ocultação, dos </w:delText>
        </w:r>
        <w:r w:rsidR="001D79C6" w:rsidRPr="008912CF">
          <w:rPr>
            <w:sz w:val="22"/>
            <w:szCs w:val="22"/>
          </w:rPr>
          <w:delText xml:space="preserve">estudos </w:delText>
        </w:r>
        <w:r w:rsidRPr="008912CF">
          <w:rPr>
            <w:sz w:val="22"/>
            <w:szCs w:val="22"/>
          </w:rPr>
          <w:delText xml:space="preserve">principais foi de </w:delText>
        </w:r>
        <w:r>
          <w:rPr>
            <w:sz w:val="22"/>
            <w:szCs w:val="22"/>
          </w:rPr>
          <w:delText>5,9</w:delText>
        </w:r>
        <w:r w:rsidRPr="008912CF">
          <w:rPr>
            <w:sz w:val="22"/>
            <w:szCs w:val="22"/>
          </w:rPr>
          <w:delText>% nos doentes tratados com Humira e de 5,4</w:delText>
        </w:r>
        <w:r w:rsidR="009343EF">
          <w:rPr>
            <w:sz w:val="22"/>
            <w:szCs w:val="22"/>
          </w:rPr>
          <w:delText>%</w:delText>
        </w:r>
        <w:r w:rsidRPr="008912CF">
          <w:rPr>
            <w:sz w:val="22"/>
            <w:szCs w:val="22"/>
          </w:rPr>
          <w:delText xml:space="preserve"> nos doentes tratados com controlo.</w:delText>
        </w:r>
      </w:del>
    </w:p>
    <w:p w14:paraId="37088962" w14:textId="75F5FA83" w:rsidR="004462A0" w:rsidRPr="008912CF" w:rsidRDefault="004462A0">
      <w:pPr>
        <w:rPr>
          <w:del w:id="5525" w:author="AbbVie2" w:date="2025-05-13T16:39:00Z"/>
          <w:sz w:val="22"/>
          <w:szCs w:val="22"/>
        </w:rPr>
        <w:pPrChange w:id="5526" w:author="AbbVie2" w:date="2025-05-13T16:40:00Z">
          <w:pPr>
            <w:autoSpaceDE w:val="0"/>
            <w:autoSpaceDN w:val="0"/>
            <w:adjustRightInd w:val="0"/>
          </w:pPr>
        </w:pPrChange>
      </w:pPr>
    </w:p>
    <w:p w14:paraId="5D8B4021" w14:textId="19C92CE6" w:rsidR="004462A0" w:rsidRPr="008912CF" w:rsidRDefault="00615769">
      <w:pPr>
        <w:rPr>
          <w:del w:id="5527" w:author="AbbVie2" w:date="2025-05-13T16:39:00Z"/>
          <w:sz w:val="22"/>
          <w:szCs w:val="22"/>
        </w:rPr>
        <w:pPrChange w:id="5528" w:author="AbbVie2" w:date="2025-05-13T16:40:00Z">
          <w:pPr>
            <w:autoSpaceDE w:val="0"/>
            <w:autoSpaceDN w:val="0"/>
            <w:adjustRightInd w:val="0"/>
          </w:pPr>
        </w:pPrChange>
      </w:pPr>
      <w:del w:id="5529" w:author="AbbVie2" w:date="2025-05-13T16:39:00Z">
        <w:r w:rsidRPr="00450998">
          <w:rPr>
            <w:sz w:val="22"/>
            <w:szCs w:val="22"/>
          </w:rPr>
          <w:delText xml:space="preserve">As reações adversas mais frequentemente notificadas são infeções (tais como nasofaringite, infeção do trato respiratório superior e sinusite), </w:delText>
        </w:r>
        <w:r w:rsidRPr="008912CF">
          <w:rPr>
            <w:sz w:val="22"/>
            <w:szCs w:val="22"/>
          </w:rPr>
          <w:delText>reações no local da injeção (eritema, prurido, hemorragia, dor ou edema), cefaleias e dor musculoesquelética.</w:delText>
        </w:r>
      </w:del>
    </w:p>
    <w:p w14:paraId="42280F6D" w14:textId="55CC22C2" w:rsidR="004462A0" w:rsidRPr="008912CF" w:rsidRDefault="004462A0">
      <w:pPr>
        <w:rPr>
          <w:del w:id="5530" w:author="AbbVie2" w:date="2025-05-13T16:39:00Z"/>
          <w:sz w:val="22"/>
          <w:szCs w:val="22"/>
        </w:rPr>
        <w:pPrChange w:id="5531" w:author="AbbVie2" w:date="2025-05-13T16:40:00Z">
          <w:pPr>
            <w:autoSpaceDE w:val="0"/>
            <w:autoSpaceDN w:val="0"/>
            <w:adjustRightInd w:val="0"/>
          </w:pPr>
        </w:pPrChange>
      </w:pPr>
    </w:p>
    <w:p w14:paraId="15E48F7C" w14:textId="7AE47031" w:rsidR="004462A0" w:rsidRPr="008912CF" w:rsidRDefault="00615769">
      <w:pPr>
        <w:rPr>
          <w:del w:id="5532" w:author="AbbVie2" w:date="2025-05-13T16:39:00Z"/>
          <w:sz w:val="22"/>
          <w:szCs w:val="22"/>
        </w:rPr>
        <w:pPrChange w:id="5533" w:author="AbbVie2" w:date="2025-05-13T16:40:00Z">
          <w:pPr>
            <w:autoSpaceDE w:val="0"/>
            <w:autoSpaceDN w:val="0"/>
            <w:adjustRightInd w:val="0"/>
          </w:pPr>
        </w:pPrChange>
      </w:pPr>
      <w:del w:id="5534" w:author="AbbVie2" w:date="2025-05-13T16:39:00Z">
        <w:r w:rsidRPr="008912CF">
          <w:rPr>
            <w:sz w:val="22"/>
            <w:szCs w:val="22"/>
          </w:rPr>
          <w:delText xml:space="preserve">Foram notificadas reações adversas graves com Humira. </w:delText>
        </w:r>
        <w:r w:rsidR="001D79C6">
          <w:rPr>
            <w:sz w:val="22"/>
            <w:szCs w:val="22"/>
          </w:rPr>
          <w:delText>Os a</w:delText>
        </w:r>
        <w:r w:rsidRPr="008912CF">
          <w:rPr>
            <w:sz w:val="22"/>
            <w:szCs w:val="22"/>
          </w:rPr>
          <w:delText>ntagonistas</w:delText>
        </w:r>
        <w:r w:rsidRPr="008912CF">
          <w:rPr>
            <w:sz w:val="22"/>
            <w:szCs w:val="22"/>
          </w:rPr>
          <w:noBreakHyphen/>
          <w:delText>TNF, tais como Humira, atuam no sistema imunitário e a sua utilização pode afetar os mecanismos de defesa contra infeções e cancro. Durante o tratamento com Humira, foram também notificadas infeções fatais e potencialmente fatais (incluindo sepsia, infeções oportunistas e TB), reativação de HBV e várias neoplasias (incluindo leucemia, linfoma e HSTCL).</w:delText>
        </w:r>
      </w:del>
    </w:p>
    <w:p w14:paraId="7C613513" w14:textId="28B111BF" w:rsidR="004462A0" w:rsidRPr="008912CF" w:rsidRDefault="004462A0">
      <w:pPr>
        <w:rPr>
          <w:del w:id="5535" w:author="AbbVie2" w:date="2025-05-13T16:39:00Z"/>
          <w:sz w:val="22"/>
          <w:szCs w:val="22"/>
        </w:rPr>
        <w:pPrChange w:id="5536" w:author="AbbVie2" w:date="2025-05-13T16:40:00Z">
          <w:pPr>
            <w:autoSpaceDE w:val="0"/>
            <w:autoSpaceDN w:val="0"/>
            <w:adjustRightInd w:val="0"/>
          </w:pPr>
        </w:pPrChange>
      </w:pPr>
    </w:p>
    <w:p w14:paraId="383E2079" w14:textId="79403850" w:rsidR="004462A0" w:rsidRPr="008912CF" w:rsidRDefault="00615769">
      <w:pPr>
        <w:rPr>
          <w:del w:id="5537" w:author="AbbVie2" w:date="2025-05-13T16:39:00Z"/>
          <w:sz w:val="22"/>
          <w:szCs w:val="22"/>
        </w:rPr>
        <w:pPrChange w:id="5538" w:author="AbbVie2" w:date="2025-05-13T16:40:00Z">
          <w:pPr>
            <w:autoSpaceDE w:val="0"/>
            <w:autoSpaceDN w:val="0"/>
            <w:adjustRightInd w:val="0"/>
          </w:pPr>
        </w:pPrChange>
      </w:pPr>
      <w:del w:id="5539" w:author="AbbVie2" w:date="2025-05-13T16:39:00Z">
        <w:r w:rsidRPr="008912CF">
          <w:rPr>
            <w:sz w:val="22"/>
            <w:szCs w:val="22"/>
          </w:rPr>
          <w:delText>Foram também notificadas reações graves hematológicas, neurológicas e autoimunes, incluindo casos raros de pancitopenia, anemia aplástica, perturbações desmielinizantes do sistema nervoso central e periférico, lúpus, doenças tipo lúpus e síndrome de Stevens-Johnson.</w:delText>
        </w:r>
      </w:del>
    </w:p>
    <w:p w14:paraId="4270A47D" w14:textId="2FBD4FDF" w:rsidR="004462A0" w:rsidRPr="008912CF" w:rsidRDefault="004462A0" w:rsidP="00412FC8">
      <w:pPr>
        <w:rPr>
          <w:del w:id="5540" w:author="AbbVie2" w:date="2025-05-13T16:39:00Z"/>
          <w:sz w:val="22"/>
          <w:szCs w:val="22"/>
        </w:rPr>
      </w:pPr>
    </w:p>
    <w:p w14:paraId="766323C7" w14:textId="0760CB03" w:rsidR="004462A0" w:rsidRPr="008912CF" w:rsidRDefault="00615769">
      <w:pPr>
        <w:rPr>
          <w:del w:id="5541" w:author="AbbVie2" w:date="2025-05-13T16:39:00Z"/>
          <w:iCs/>
          <w:szCs w:val="22"/>
        </w:rPr>
        <w:pPrChange w:id="5542" w:author="AbbVie2" w:date="2025-05-13T16:40:00Z">
          <w:pPr>
            <w:pStyle w:val="Heading9"/>
            <w:keepNext w:val="0"/>
          </w:pPr>
        </w:pPrChange>
      </w:pPr>
      <w:del w:id="5543" w:author="AbbVie2" w:date="2025-05-13T16:39:00Z">
        <w:r w:rsidRPr="008912CF">
          <w:rPr>
            <w:iCs/>
            <w:szCs w:val="22"/>
          </w:rPr>
          <w:delText>População pediátrica</w:delText>
        </w:r>
      </w:del>
    </w:p>
    <w:p w14:paraId="5460775D" w14:textId="2758E139" w:rsidR="004462A0" w:rsidRPr="008912CF" w:rsidRDefault="004462A0" w:rsidP="00412FC8">
      <w:pPr>
        <w:rPr>
          <w:del w:id="5544" w:author="AbbVie2" w:date="2025-05-13T16:39:00Z"/>
          <w:sz w:val="22"/>
          <w:szCs w:val="22"/>
        </w:rPr>
      </w:pPr>
    </w:p>
    <w:p w14:paraId="13CFFE2F" w14:textId="7C57DB0F" w:rsidR="004462A0" w:rsidRPr="008912CF" w:rsidRDefault="00615769" w:rsidP="00412FC8">
      <w:pPr>
        <w:rPr>
          <w:del w:id="5545" w:author="AbbVie2" w:date="2025-05-13T16:39:00Z"/>
          <w:sz w:val="22"/>
          <w:szCs w:val="22"/>
        </w:rPr>
      </w:pPr>
      <w:del w:id="5546" w:author="AbbVie2" w:date="2025-05-13T16:39:00Z">
        <w:r w:rsidRPr="008912CF">
          <w:rPr>
            <w:sz w:val="22"/>
            <w:szCs w:val="22"/>
          </w:rPr>
          <w:delText>Em geral, os acontecimentos adversos em doentes pediátricos foram semelhantes em frequência e tipo aos observados em doentes adultos.</w:delText>
        </w:r>
      </w:del>
    </w:p>
    <w:p w14:paraId="2D570AEC" w14:textId="517BD3AC" w:rsidR="004462A0" w:rsidRPr="008912CF" w:rsidRDefault="004462A0" w:rsidP="00412FC8">
      <w:pPr>
        <w:rPr>
          <w:del w:id="5547" w:author="AbbVie2" w:date="2025-05-13T16:39:00Z"/>
          <w:sz w:val="22"/>
          <w:szCs w:val="22"/>
        </w:rPr>
      </w:pPr>
    </w:p>
    <w:p w14:paraId="7F4ABBE6" w14:textId="05A78F6A" w:rsidR="004462A0" w:rsidRPr="008912CF" w:rsidRDefault="00615769">
      <w:pPr>
        <w:rPr>
          <w:del w:id="5548" w:author="AbbVie2" w:date="2025-05-13T16:39:00Z"/>
          <w:sz w:val="22"/>
          <w:szCs w:val="22"/>
        </w:rPr>
        <w:pPrChange w:id="5549" w:author="AbbVie2" w:date="2025-05-13T16:40:00Z">
          <w:pPr>
            <w:keepNext/>
          </w:pPr>
        </w:pPrChange>
      </w:pPr>
      <w:del w:id="5550" w:author="AbbVie2" w:date="2025-05-13T16:39:00Z">
        <w:r w:rsidRPr="008912CF">
          <w:rPr>
            <w:sz w:val="22"/>
            <w:szCs w:val="22"/>
            <w:u w:val="single"/>
          </w:rPr>
          <w:delText>Tabela de reações adversas</w:delText>
        </w:r>
      </w:del>
    </w:p>
    <w:p w14:paraId="71176149" w14:textId="08358E3B" w:rsidR="004462A0" w:rsidRPr="008912CF" w:rsidRDefault="004462A0">
      <w:pPr>
        <w:rPr>
          <w:del w:id="5551" w:author="AbbVie2" w:date="2025-05-13T16:39:00Z"/>
          <w:sz w:val="22"/>
          <w:szCs w:val="22"/>
        </w:rPr>
        <w:pPrChange w:id="5552" w:author="AbbVie2" w:date="2025-05-13T16:40:00Z">
          <w:pPr>
            <w:keepNext/>
          </w:pPr>
        </w:pPrChange>
      </w:pPr>
    </w:p>
    <w:p w14:paraId="28FC1BBE" w14:textId="48E9F02B" w:rsidR="004462A0" w:rsidRPr="008912CF" w:rsidRDefault="00615769">
      <w:pPr>
        <w:rPr>
          <w:del w:id="5553" w:author="AbbVie2" w:date="2025-05-13T16:39:00Z"/>
          <w:sz w:val="22"/>
          <w:szCs w:val="22"/>
        </w:rPr>
        <w:pPrChange w:id="5554" w:author="AbbVie2" w:date="2025-05-13T16:40:00Z">
          <w:pPr>
            <w:keepNext/>
          </w:pPr>
        </w:pPrChange>
      </w:pPr>
      <w:del w:id="5555" w:author="AbbVie2" w:date="2025-05-13T16:39:00Z">
        <w:r w:rsidRPr="008912CF">
          <w:rPr>
            <w:sz w:val="22"/>
            <w:szCs w:val="22"/>
            <w:lang w:eastAsia="pt-PT"/>
          </w:rPr>
          <w:delText>A</w:delText>
        </w:r>
        <w:r w:rsidRPr="008912CF">
          <w:rPr>
            <w:sz w:val="23"/>
            <w:szCs w:val="23"/>
            <w:lang w:eastAsia="pt-PT"/>
          </w:rPr>
          <w:delText>s reações adversas, baseadas na experiência em ensaios clínicos e na experiência pós-comercialização</w:delText>
        </w:r>
        <w:r w:rsidR="00026992">
          <w:rPr>
            <w:sz w:val="23"/>
            <w:szCs w:val="23"/>
            <w:lang w:eastAsia="pt-PT"/>
          </w:rPr>
          <w:delText>,</w:delText>
        </w:r>
        <w:r w:rsidRPr="008912CF">
          <w:rPr>
            <w:sz w:val="23"/>
            <w:szCs w:val="23"/>
            <w:lang w:eastAsia="pt-PT"/>
          </w:rPr>
          <w:delText xml:space="preserve"> </w:delText>
        </w:r>
        <w:r w:rsidRPr="008912CF">
          <w:rPr>
            <w:sz w:val="22"/>
            <w:szCs w:val="22"/>
          </w:rPr>
          <w:delText>são indicadas por classes de sistemas de órgãos e frequência</w:delText>
        </w:r>
        <w:r w:rsidRPr="008912CF">
          <w:rPr>
            <w:sz w:val="23"/>
            <w:szCs w:val="23"/>
            <w:lang w:eastAsia="pt-PT"/>
          </w:rPr>
          <w:delText xml:space="preserve"> na </w:delText>
        </w:r>
        <w:r w:rsidRPr="008912CF">
          <w:rPr>
            <w:sz w:val="22"/>
            <w:szCs w:val="22"/>
            <w:lang w:eastAsia="pt-PT"/>
          </w:rPr>
          <w:delText xml:space="preserve">Tabela </w:delText>
        </w:r>
        <w:r w:rsidR="00E3620C">
          <w:rPr>
            <w:sz w:val="22"/>
            <w:szCs w:val="22"/>
            <w:lang w:eastAsia="pt-PT"/>
          </w:rPr>
          <w:delText>7</w:delText>
        </w:r>
        <w:r w:rsidRPr="008912CF">
          <w:rPr>
            <w:sz w:val="22"/>
            <w:szCs w:val="22"/>
            <w:lang w:eastAsia="pt-PT"/>
          </w:rPr>
          <w:delText xml:space="preserve"> abaixo:</w:delText>
        </w:r>
        <w:r w:rsidRPr="008912CF">
          <w:rPr>
            <w:sz w:val="22"/>
            <w:szCs w:val="22"/>
          </w:rPr>
          <w:delText xml:space="preserve"> muito frequentes (</w:delText>
        </w:r>
        <w:r w:rsidR="0090687D" w:rsidRPr="008912CF">
          <w:rPr>
            <w:sz w:val="22"/>
            <w:szCs w:val="22"/>
          </w:rPr>
          <w:delText>≥</w:delText>
        </w:r>
        <w:r w:rsidRPr="008912CF">
          <w:rPr>
            <w:sz w:val="22"/>
            <w:szCs w:val="22"/>
          </w:rPr>
          <w:delText>1/10); frequentes (</w:delText>
        </w:r>
        <w:r w:rsidR="0090687D" w:rsidRPr="008912CF">
          <w:rPr>
            <w:sz w:val="22"/>
            <w:szCs w:val="22"/>
          </w:rPr>
          <w:delText>≥</w:delText>
        </w:r>
        <w:r w:rsidRPr="008912CF">
          <w:rPr>
            <w:sz w:val="22"/>
            <w:szCs w:val="22"/>
          </w:rPr>
          <w:delText>1/100</w:delText>
        </w:r>
        <w:r w:rsidR="0090687D">
          <w:rPr>
            <w:sz w:val="22"/>
            <w:szCs w:val="22"/>
          </w:rPr>
          <w:delText>,</w:delText>
        </w:r>
        <w:r w:rsidRPr="008912CF">
          <w:rPr>
            <w:sz w:val="22"/>
            <w:szCs w:val="22"/>
          </w:rPr>
          <w:delText xml:space="preserve"> </w:delText>
        </w:r>
        <w:r w:rsidRPr="008912CF">
          <w:rPr>
            <w:rFonts w:ascii="Symbol" w:hAnsi="Symbol"/>
            <w:sz w:val="22"/>
            <w:szCs w:val="22"/>
          </w:rPr>
          <w:sym w:font="Symbol" w:char="F03C"/>
        </w:r>
        <w:r w:rsidRPr="008912CF">
          <w:rPr>
            <w:sz w:val="22"/>
            <w:szCs w:val="22"/>
          </w:rPr>
          <w:delText>1/10); pouco frequentes (</w:delText>
        </w:r>
        <w:r w:rsidR="0090687D" w:rsidRPr="008912CF">
          <w:rPr>
            <w:sz w:val="22"/>
            <w:szCs w:val="22"/>
          </w:rPr>
          <w:delText>≥</w:delText>
        </w:r>
        <w:r w:rsidRPr="008912CF">
          <w:rPr>
            <w:sz w:val="22"/>
            <w:szCs w:val="22"/>
          </w:rPr>
          <w:delText>1/1.000</w:delText>
        </w:r>
        <w:r w:rsidR="0090687D">
          <w:rPr>
            <w:sz w:val="22"/>
            <w:szCs w:val="22"/>
          </w:rPr>
          <w:delText>,</w:delText>
        </w:r>
        <w:r w:rsidRPr="008912CF">
          <w:rPr>
            <w:sz w:val="22"/>
            <w:szCs w:val="22"/>
          </w:rPr>
          <w:delText xml:space="preserve"> </w:delText>
        </w:r>
        <w:r w:rsidR="0090687D">
          <w:rPr>
            <w:rFonts w:ascii="Symbol" w:hAnsi="Symbol"/>
            <w:sz w:val="22"/>
            <w:szCs w:val="22"/>
          </w:rPr>
          <w:sym w:font="Symbol" w:char="F03C"/>
        </w:r>
        <w:r w:rsidRPr="008912CF">
          <w:rPr>
            <w:sz w:val="22"/>
            <w:szCs w:val="22"/>
          </w:rPr>
          <w:delText>1/100); raros (</w:delText>
        </w:r>
        <w:r w:rsidR="0090687D" w:rsidRPr="008912CF">
          <w:rPr>
            <w:sz w:val="22"/>
            <w:szCs w:val="22"/>
          </w:rPr>
          <w:delText>≥</w:delText>
        </w:r>
        <w:r w:rsidRPr="008912CF">
          <w:rPr>
            <w:sz w:val="22"/>
            <w:szCs w:val="22"/>
          </w:rPr>
          <w:delText>1/10.000</w:delText>
        </w:r>
        <w:r w:rsidR="0090687D">
          <w:rPr>
            <w:sz w:val="22"/>
            <w:szCs w:val="22"/>
          </w:rPr>
          <w:delText>,</w:delText>
        </w:r>
        <w:r w:rsidRPr="008912CF">
          <w:rPr>
            <w:sz w:val="22"/>
            <w:szCs w:val="22"/>
          </w:rPr>
          <w:delText xml:space="preserve"> &lt;1/1.000) e desconhecido (não pode ser calculad</w:delText>
        </w:r>
        <w:r w:rsidR="0090687D">
          <w:rPr>
            <w:sz w:val="22"/>
            <w:szCs w:val="22"/>
          </w:rPr>
          <w:delText>o</w:delText>
        </w:r>
        <w:r w:rsidRPr="008912CF">
          <w:rPr>
            <w:sz w:val="22"/>
            <w:szCs w:val="22"/>
          </w:rPr>
          <w:delText xml:space="preserve"> a partir dos dados disponíveis). Os efeitos indesejáveis são apresentados por ordem decrescente de gravidade dentro de cada classe de frequência. Foi incluída a frequência mais elevada observada nas várias indicações. Caso estejam disponíveis informações adicionais nas secções 4.3, 4.4 e 4.8 aparece um asterisco (*) na coluna das CSO.</w:delText>
        </w:r>
      </w:del>
    </w:p>
    <w:p w14:paraId="6AC102FD" w14:textId="51AF7697" w:rsidR="004462A0" w:rsidRPr="008912CF" w:rsidRDefault="004462A0" w:rsidP="00412FC8">
      <w:pPr>
        <w:rPr>
          <w:del w:id="5556" w:author="AbbVie2" w:date="2025-05-13T16:39:00Z"/>
          <w:sz w:val="22"/>
          <w:szCs w:val="22"/>
        </w:rPr>
      </w:pPr>
    </w:p>
    <w:p w14:paraId="099CA23E" w14:textId="7AF077B9" w:rsidR="004462A0" w:rsidRPr="008912CF" w:rsidRDefault="00615769">
      <w:pPr>
        <w:rPr>
          <w:del w:id="5557" w:author="AbbVie2" w:date="2025-05-13T16:39:00Z"/>
          <w:b/>
          <w:sz w:val="22"/>
          <w:szCs w:val="22"/>
        </w:rPr>
        <w:pPrChange w:id="5558" w:author="AbbVie2" w:date="2025-05-13T16:40:00Z">
          <w:pPr>
            <w:keepNext/>
            <w:tabs>
              <w:tab w:val="left" w:pos="1080"/>
            </w:tabs>
            <w:jc w:val="center"/>
          </w:pPr>
        </w:pPrChange>
      </w:pPr>
      <w:del w:id="5559" w:author="AbbVie2" w:date="2025-05-13T16:39:00Z">
        <w:r w:rsidRPr="008912CF">
          <w:rPr>
            <w:b/>
            <w:sz w:val="22"/>
            <w:szCs w:val="22"/>
          </w:rPr>
          <w:delText xml:space="preserve">Tabela </w:delText>
        </w:r>
        <w:r w:rsidR="00E3620C">
          <w:rPr>
            <w:b/>
            <w:sz w:val="22"/>
            <w:szCs w:val="22"/>
          </w:rPr>
          <w:delText>7</w:delText>
        </w:r>
      </w:del>
    </w:p>
    <w:p w14:paraId="5908E170" w14:textId="59BBCC46" w:rsidR="004462A0" w:rsidRPr="008912CF" w:rsidRDefault="00615769">
      <w:pPr>
        <w:rPr>
          <w:del w:id="5560" w:author="AbbVie2" w:date="2025-05-13T16:39:00Z"/>
          <w:b/>
          <w:sz w:val="22"/>
          <w:szCs w:val="22"/>
        </w:rPr>
        <w:pPrChange w:id="5561" w:author="AbbVie2" w:date="2025-05-13T16:40:00Z">
          <w:pPr>
            <w:keepNext/>
            <w:tabs>
              <w:tab w:val="left" w:pos="1080"/>
            </w:tabs>
            <w:jc w:val="center"/>
          </w:pPr>
        </w:pPrChange>
      </w:pPr>
      <w:del w:id="5562" w:author="AbbVie2" w:date="2025-05-13T16:39:00Z">
        <w:r w:rsidRPr="008912CF">
          <w:rPr>
            <w:b/>
            <w:sz w:val="22"/>
            <w:szCs w:val="22"/>
          </w:rPr>
          <w:delText>Efeitos indesejáveis</w:delText>
        </w:r>
      </w:del>
    </w:p>
    <w:p w14:paraId="44BD7960" w14:textId="14987692" w:rsidR="004462A0" w:rsidRPr="008912CF" w:rsidRDefault="004462A0">
      <w:pPr>
        <w:rPr>
          <w:del w:id="5563" w:author="AbbVie2" w:date="2025-05-13T16:39:00Z"/>
          <w:b/>
          <w:sz w:val="22"/>
          <w:szCs w:val="22"/>
        </w:rPr>
        <w:pPrChange w:id="5564" w:author="AbbVie2" w:date="2025-05-13T16:40:00Z">
          <w:pPr>
            <w:keepNext/>
            <w:jc w:val="center"/>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1996"/>
        <w:gridCol w:w="4346"/>
      </w:tblGrid>
      <w:tr w:rsidR="00A7162A" w14:paraId="3B80DB37" w14:textId="36165AB1" w:rsidTr="00F675CF">
        <w:trPr>
          <w:tblHeader/>
          <w:del w:id="5565" w:author="AbbVie2" w:date="2025-05-13T16:39:00Z"/>
        </w:trPr>
        <w:tc>
          <w:tcPr>
            <w:tcW w:w="2514" w:type="dxa"/>
          </w:tcPr>
          <w:p w14:paraId="33E64319" w14:textId="6DF03143" w:rsidR="004462A0" w:rsidRPr="008912CF" w:rsidRDefault="00615769">
            <w:pPr>
              <w:rPr>
                <w:del w:id="5566" w:author="AbbVie2" w:date="2025-05-13T16:39:00Z"/>
                <w:b/>
              </w:rPr>
              <w:pPrChange w:id="5567" w:author="AbbVie2" w:date="2025-05-13T16:40:00Z">
                <w:pPr>
                  <w:keepNext/>
                  <w:widowControl w:val="0"/>
                  <w:spacing w:before="120" w:after="120"/>
                  <w:jc w:val="center"/>
                </w:pPr>
              </w:pPrChange>
            </w:pPr>
            <w:del w:id="5568" w:author="AbbVie2" w:date="2025-05-13T16:39:00Z">
              <w:r w:rsidRPr="008912CF">
                <w:rPr>
                  <w:b/>
                  <w:bCs/>
                  <w:sz w:val="22"/>
                  <w:szCs w:val="22"/>
                </w:rPr>
                <w:delText>Classes de sistema</w:delText>
              </w:r>
              <w:r w:rsidR="00D9472B">
                <w:rPr>
                  <w:b/>
                  <w:bCs/>
                  <w:sz w:val="22"/>
                  <w:szCs w:val="22"/>
                </w:rPr>
                <w:delText>s</w:delText>
              </w:r>
              <w:r w:rsidRPr="008912CF">
                <w:rPr>
                  <w:b/>
                  <w:bCs/>
                  <w:sz w:val="22"/>
                  <w:szCs w:val="22"/>
                </w:rPr>
                <w:delText xml:space="preserve"> de órgãos</w:delText>
              </w:r>
            </w:del>
          </w:p>
        </w:tc>
        <w:tc>
          <w:tcPr>
            <w:tcW w:w="1996" w:type="dxa"/>
          </w:tcPr>
          <w:p w14:paraId="23A8ED27" w14:textId="12C860EF" w:rsidR="004462A0" w:rsidRPr="008912CF" w:rsidRDefault="00615769">
            <w:pPr>
              <w:rPr>
                <w:del w:id="5569" w:author="AbbVie2" w:date="2025-05-13T16:39:00Z"/>
                <w:b/>
              </w:rPr>
              <w:pPrChange w:id="5570" w:author="AbbVie2" w:date="2025-05-13T16:40:00Z">
                <w:pPr>
                  <w:keepNext/>
                  <w:widowControl w:val="0"/>
                  <w:spacing w:before="120" w:after="120"/>
                  <w:jc w:val="center"/>
                </w:pPr>
              </w:pPrChange>
            </w:pPr>
            <w:del w:id="5571" w:author="AbbVie2" w:date="2025-05-13T16:39:00Z">
              <w:r w:rsidRPr="008912CF">
                <w:rPr>
                  <w:b/>
                  <w:bCs/>
                  <w:sz w:val="22"/>
                  <w:szCs w:val="22"/>
                </w:rPr>
                <w:delText>Frequência</w:delText>
              </w:r>
            </w:del>
          </w:p>
        </w:tc>
        <w:tc>
          <w:tcPr>
            <w:tcW w:w="4346" w:type="dxa"/>
          </w:tcPr>
          <w:p w14:paraId="229EA732" w14:textId="7DAECDB3" w:rsidR="004462A0" w:rsidRPr="008912CF" w:rsidRDefault="00615769">
            <w:pPr>
              <w:rPr>
                <w:del w:id="5572" w:author="AbbVie2" w:date="2025-05-13T16:39:00Z"/>
                <w:b/>
              </w:rPr>
              <w:pPrChange w:id="5573" w:author="AbbVie2" w:date="2025-05-13T16:40:00Z">
                <w:pPr>
                  <w:keepNext/>
                  <w:widowControl w:val="0"/>
                  <w:spacing w:before="120" w:after="120"/>
                  <w:jc w:val="center"/>
                </w:pPr>
              </w:pPrChange>
            </w:pPr>
            <w:del w:id="5574" w:author="AbbVie2" w:date="2025-05-13T16:39:00Z">
              <w:r w:rsidRPr="008912CF">
                <w:rPr>
                  <w:b/>
                  <w:bCs/>
                  <w:sz w:val="22"/>
                  <w:szCs w:val="22"/>
                </w:rPr>
                <w:delText>Reações adversas</w:delText>
              </w:r>
            </w:del>
          </w:p>
        </w:tc>
      </w:tr>
      <w:tr w:rsidR="00A7162A" w14:paraId="5D579153" w14:textId="64B8C408" w:rsidTr="00F675CF">
        <w:trPr>
          <w:del w:id="5575" w:author="AbbVie2" w:date="2025-05-13T16:39:00Z"/>
        </w:trPr>
        <w:tc>
          <w:tcPr>
            <w:tcW w:w="2514" w:type="dxa"/>
            <w:vMerge w:val="restart"/>
          </w:tcPr>
          <w:p w14:paraId="5966B3B5" w14:textId="6DB8CB18" w:rsidR="004462A0" w:rsidRPr="008912CF" w:rsidRDefault="00615769">
            <w:pPr>
              <w:rPr>
                <w:del w:id="5576" w:author="AbbVie2" w:date="2025-05-13T16:39:00Z"/>
                <w:szCs w:val="22"/>
              </w:rPr>
              <w:pPrChange w:id="5577" w:author="AbbVie2" w:date="2025-05-13T16:40:00Z">
                <w:pPr>
                  <w:pStyle w:val="EMEANormal"/>
                  <w:widowControl w:val="0"/>
                </w:pPr>
              </w:pPrChange>
            </w:pPr>
            <w:del w:id="5578" w:author="AbbVie2" w:date="2025-05-13T16:39:00Z">
              <w:r w:rsidRPr="008912CF">
                <w:rPr>
                  <w:szCs w:val="22"/>
                </w:rPr>
                <w:delText>Infeções e infestações *</w:delText>
              </w:r>
            </w:del>
          </w:p>
          <w:p w14:paraId="540901B7" w14:textId="655447E2" w:rsidR="004462A0" w:rsidRPr="008912CF" w:rsidRDefault="004462A0">
            <w:pPr>
              <w:rPr>
                <w:del w:id="5579" w:author="AbbVie2" w:date="2025-05-13T16:39:00Z"/>
              </w:rPr>
              <w:pPrChange w:id="5580" w:author="AbbVie2" w:date="2025-05-13T16:40:00Z">
                <w:pPr>
                  <w:widowControl w:val="0"/>
                  <w:jc w:val="center"/>
                </w:pPr>
              </w:pPrChange>
            </w:pPr>
          </w:p>
        </w:tc>
        <w:tc>
          <w:tcPr>
            <w:tcW w:w="1996" w:type="dxa"/>
            <w:tcBorders>
              <w:bottom w:val="nil"/>
            </w:tcBorders>
          </w:tcPr>
          <w:p w14:paraId="7893B6F3" w14:textId="30312C71" w:rsidR="004462A0" w:rsidRPr="008912CF" w:rsidRDefault="00615769">
            <w:pPr>
              <w:rPr>
                <w:del w:id="5581" w:author="AbbVie2" w:date="2025-05-13T16:39:00Z"/>
                <w:szCs w:val="22"/>
              </w:rPr>
              <w:pPrChange w:id="5582" w:author="AbbVie2" w:date="2025-05-13T16:40:00Z">
                <w:pPr>
                  <w:pStyle w:val="EMEANormal"/>
                  <w:widowControl w:val="0"/>
                </w:pPr>
              </w:pPrChange>
            </w:pPr>
            <w:del w:id="5583" w:author="AbbVie2" w:date="2025-05-13T16:39:00Z">
              <w:r w:rsidRPr="008912CF">
                <w:rPr>
                  <w:szCs w:val="22"/>
                </w:rPr>
                <w:delText>Muito frequentes</w:delText>
              </w:r>
            </w:del>
          </w:p>
        </w:tc>
        <w:tc>
          <w:tcPr>
            <w:tcW w:w="4346" w:type="dxa"/>
            <w:tcBorders>
              <w:bottom w:val="nil"/>
            </w:tcBorders>
          </w:tcPr>
          <w:p w14:paraId="55DE7094" w14:textId="3B290025" w:rsidR="004462A0" w:rsidRPr="008912CF" w:rsidRDefault="00615769">
            <w:pPr>
              <w:rPr>
                <w:del w:id="5584" w:author="AbbVie2" w:date="2025-05-13T16:39:00Z"/>
                <w:szCs w:val="22"/>
              </w:rPr>
              <w:pPrChange w:id="5585" w:author="AbbVie2" w:date="2025-05-13T16:40:00Z">
                <w:pPr>
                  <w:pStyle w:val="EMEANormal"/>
                </w:pPr>
              </w:pPrChange>
            </w:pPr>
            <w:del w:id="5586" w:author="AbbVie2" w:date="2025-05-13T16:39:00Z">
              <w:r>
                <w:rPr>
                  <w:szCs w:val="22"/>
                </w:rPr>
                <w:delText>I</w:delText>
              </w:r>
              <w:r w:rsidRPr="008912CF">
                <w:rPr>
                  <w:szCs w:val="22"/>
                </w:rPr>
                <w:delText>nfeções do trato respiratório (incluindo infeção do trato respiratório superior e inferior, pneumonia, sinusite, faringite, nasofaringite e pneumonia a herpes viral)</w:delText>
              </w:r>
            </w:del>
          </w:p>
          <w:p w14:paraId="5191B19C" w14:textId="2EF76A60" w:rsidR="004462A0" w:rsidRPr="008912CF" w:rsidRDefault="004462A0">
            <w:pPr>
              <w:rPr>
                <w:del w:id="5587" w:author="AbbVie2" w:date="2025-05-13T16:39:00Z"/>
                <w:szCs w:val="22"/>
              </w:rPr>
              <w:pPrChange w:id="5588" w:author="AbbVie2" w:date="2025-05-13T16:40:00Z">
                <w:pPr>
                  <w:pStyle w:val="EMEANormal"/>
                </w:pPr>
              </w:pPrChange>
            </w:pPr>
          </w:p>
        </w:tc>
      </w:tr>
      <w:tr w:rsidR="00A7162A" w14:paraId="0FCD8142" w14:textId="286A9C22" w:rsidTr="00F675CF">
        <w:trPr>
          <w:del w:id="5589" w:author="AbbVie2" w:date="2025-05-13T16:39:00Z"/>
        </w:trPr>
        <w:tc>
          <w:tcPr>
            <w:tcW w:w="2514" w:type="dxa"/>
            <w:vMerge/>
          </w:tcPr>
          <w:p w14:paraId="036F0D53" w14:textId="1F455AF9" w:rsidR="004462A0" w:rsidRPr="008912CF" w:rsidRDefault="004462A0">
            <w:pPr>
              <w:rPr>
                <w:del w:id="5590" w:author="AbbVie2" w:date="2025-05-13T16:39:00Z"/>
                <w:b/>
              </w:rPr>
              <w:pPrChange w:id="5591" w:author="AbbVie2" w:date="2025-05-13T16:40:00Z">
                <w:pPr>
                  <w:widowControl w:val="0"/>
                  <w:jc w:val="center"/>
                </w:pPr>
              </w:pPrChange>
            </w:pPr>
          </w:p>
        </w:tc>
        <w:tc>
          <w:tcPr>
            <w:tcW w:w="1996" w:type="dxa"/>
            <w:tcBorders>
              <w:top w:val="nil"/>
            </w:tcBorders>
          </w:tcPr>
          <w:p w14:paraId="565ED968" w14:textId="51C72B92" w:rsidR="004462A0" w:rsidRPr="008912CF" w:rsidRDefault="00615769">
            <w:pPr>
              <w:rPr>
                <w:del w:id="5592" w:author="AbbVie2" w:date="2025-05-13T16:39:00Z"/>
                <w:szCs w:val="22"/>
              </w:rPr>
              <w:pPrChange w:id="5593" w:author="AbbVie2" w:date="2025-05-13T16:40:00Z">
                <w:pPr>
                  <w:pStyle w:val="EMEANormal"/>
                  <w:widowControl w:val="0"/>
                </w:pPr>
              </w:pPrChange>
            </w:pPr>
            <w:del w:id="5594" w:author="AbbVie2" w:date="2025-05-13T16:39:00Z">
              <w:r w:rsidRPr="008912CF">
                <w:rPr>
                  <w:szCs w:val="22"/>
                </w:rPr>
                <w:delText>Frequentes</w:delText>
              </w:r>
            </w:del>
          </w:p>
        </w:tc>
        <w:tc>
          <w:tcPr>
            <w:tcW w:w="4346" w:type="dxa"/>
            <w:tcBorders>
              <w:top w:val="nil"/>
            </w:tcBorders>
          </w:tcPr>
          <w:p w14:paraId="0FC743B9" w14:textId="28A6A316" w:rsidR="004462A0" w:rsidRPr="008912CF" w:rsidRDefault="00615769">
            <w:pPr>
              <w:rPr>
                <w:del w:id="5595" w:author="AbbVie2" w:date="2025-05-13T16:39:00Z"/>
                <w:szCs w:val="22"/>
              </w:rPr>
              <w:pPrChange w:id="5596" w:author="AbbVie2" w:date="2025-05-13T16:40:00Z">
                <w:pPr>
                  <w:pStyle w:val="EMEANormal"/>
                </w:pPr>
              </w:pPrChange>
            </w:pPr>
            <w:del w:id="5597" w:author="AbbVie2" w:date="2025-05-13T16:39:00Z">
              <w:r>
                <w:rPr>
                  <w:szCs w:val="22"/>
                </w:rPr>
                <w:delText>I</w:delText>
              </w:r>
              <w:r w:rsidRPr="008912CF">
                <w:rPr>
                  <w:szCs w:val="22"/>
                </w:rPr>
                <w:delText>nfeções sistémicas (incluindo sepsia, candidíase e influenza),</w:delText>
              </w:r>
            </w:del>
          </w:p>
          <w:p w14:paraId="6A7DDAFC" w14:textId="5F87D929" w:rsidR="004462A0" w:rsidRPr="008912CF" w:rsidRDefault="00615769">
            <w:pPr>
              <w:rPr>
                <w:del w:id="5598" w:author="AbbVie2" w:date="2025-05-13T16:39:00Z"/>
                <w:szCs w:val="22"/>
              </w:rPr>
              <w:pPrChange w:id="5599" w:author="AbbVie2" w:date="2025-05-13T16:40:00Z">
                <w:pPr>
                  <w:pStyle w:val="EMEANormal"/>
                </w:pPr>
              </w:pPrChange>
            </w:pPr>
            <w:del w:id="5600" w:author="AbbVie2" w:date="2025-05-13T16:39:00Z">
              <w:r w:rsidRPr="008912CF">
                <w:rPr>
                  <w:szCs w:val="22"/>
                </w:rPr>
                <w:delText>infeções intestinais (incluindo gastroenterite viral),</w:delText>
              </w:r>
            </w:del>
          </w:p>
          <w:p w14:paraId="7946DA06" w14:textId="7656E854" w:rsidR="004462A0" w:rsidRPr="008912CF" w:rsidRDefault="00615769">
            <w:pPr>
              <w:rPr>
                <w:del w:id="5601" w:author="AbbVie2" w:date="2025-05-13T16:39:00Z"/>
                <w:szCs w:val="22"/>
              </w:rPr>
              <w:pPrChange w:id="5602" w:author="AbbVie2" w:date="2025-05-13T16:40:00Z">
                <w:pPr>
                  <w:pStyle w:val="EMEANormal"/>
                </w:pPr>
              </w:pPrChange>
            </w:pPr>
            <w:del w:id="5603" w:author="AbbVie2" w:date="2025-05-13T16:39:00Z">
              <w:r w:rsidRPr="008912CF">
                <w:rPr>
                  <w:szCs w:val="22"/>
                </w:rPr>
                <w:delText xml:space="preserve">infeções da pele e tecidos moles (incluindo paroníquia, celulite, impetigo, fasciite necrosante e herpes zoster), </w:delText>
              </w:r>
            </w:del>
          </w:p>
          <w:p w14:paraId="2E270846" w14:textId="69FA1913" w:rsidR="004462A0" w:rsidRPr="008912CF" w:rsidRDefault="00615769">
            <w:pPr>
              <w:rPr>
                <w:del w:id="5604" w:author="AbbVie2" w:date="2025-05-13T16:39:00Z"/>
                <w:szCs w:val="22"/>
              </w:rPr>
              <w:pPrChange w:id="5605" w:author="AbbVie2" w:date="2025-05-13T16:40:00Z">
                <w:pPr>
                  <w:pStyle w:val="EMEANormal"/>
                </w:pPr>
              </w:pPrChange>
            </w:pPr>
            <w:del w:id="5606" w:author="AbbVie2" w:date="2025-05-13T16:39:00Z">
              <w:r w:rsidRPr="008912CF">
                <w:rPr>
                  <w:szCs w:val="22"/>
                </w:rPr>
                <w:delText xml:space="preserve">infeções auriculares, </w:delText>
              </w:r>
            </w:del>
          </w:p>
          <w:p w14:paraId="2A753515" w14:textId="4646883F" w:rsidR="004462A0" w:rsidRPr="008912CF" w:rsidRDefault="00615769">
            <w:pPr>
              <w:rPr>
                <w:del w:id="5607" w:author="AbbVie2" w:date="2025-05-13T16:39:00Z"/>
                <w:szCs w:val="22"/>
              </w:rPr>
              <w:pPrChange w:id="5608" w:author="AbbVie2" w:date="2025-05-13T16:40:00Z">
                <w:pPr>
                  <w:pStyle w:val="EMEANormal"/>
                </w:pPr>
              </w:pPrChange>
            </w:pPr>
            <w:del w:id="5609" w:author="AbbVie2" w:date="2025-05-13T16:39:00Z">
              <w:r w:rsidRPr="008912CF">
                <w:rPr>
                  <w:szCs w:val="22"/>
                </w:rPr>
                <w:delText>infeções orais (incluindo herpes simplex, herpes oral e infeções odontológicas),</w:delText>
              </w:r>
            </w:del>
          </w:p>
          <w:p w14:paraId="6D821D53" w14:textId="77F82765" w:rsidR="004462A0" w:rsidRPr="008912CF" w:rsidRDefault="00615769">
            <w:pPr>
              <w:rPr>
                <w:del w:id="5610" w:author="AbbVie2" w:date="2025-05-13T16:39:00Z"/>
                <w:szCs w:val="22"/>
              </w:rPr>
              <w:pPrChange w:id="5611" w:author="AbbVie2" w:date="2025-05-13T16:40:00Z">
                <w:pPr>
                  <w:pStyle w:val="EMEANormal"/>
                </w:pPr>
              </w:pPrChange>
            </w:pPr>
            <w:del w:id="5612" w:author="AbbVie2" w:date="2025-05-13T16:39:00Z">
              <w:r w:rsidRPr="008912CF">
                <w:rPr>
                  <w:szCs w:val="22"/>
                </w:rPr>
                <w:delText>infeções no sistema reprodutor (incluindo infeção micótica vulvovaginal),</w:delText>
              </w:r>
            </w:del>
          </w:p>
          <w:p w14:paraId="33ABE9EC" w14:textId="21939640" w:rsidR="004462A0" w:rsidRPr="008912CF" w:rsidRDefault="00615769">
            <w:pPr>
              <w:rPr>
                <w:del w:id="5613" w:author="AbbVie2" w:date="2025-05-13T16:39:00Z"/>
                <w:szCs w:val="22"/>
              </w:rPr>
              <w:pPrChange w:id="5614" w:author="AbbVie2" w:date="2025-05-13T16:40:00Z">
                <w:pPr>
                  <w:pStyle w:val="EMEANormal"/>
                </w:pPr>
              </w:pPrChange>
            </w:pPr>
            <w:del w:id="5615" w:author="AbbVie2" w:date="2025-05-13T16:39:00Z">
              <w:r w:rsidRPr="008912CF">
                <w:rPr>
                  <w:szCs w:val="22"/>
                </w:rPr>
                <w:delText>infeções do trato urinário (incluindo pielonefrite),</w:delText>
              </w:r>
            </w:del>
          </w:p>
          <w:p w14:paraId="6539C472" w14:textId="0068DBE4" w:rsidR="004462A0" w:rsidRPr="008912CF" w:rsidRDefault="00615769">
            <w:pPr>
              <w:rPr>
                <w:del w:id="5616" w:author="AbbVie2" w:date="2025-05-13T16:39:00Z"/>
                <w:szCs w:val="22"/>
              </w:rPr>
              <w:pPrChange w:id="5617" w:author="AbbVie2" w:date="2025-05-13T16:40:00Z">
                <w:pPr>
                  <w:pStyle w:val="EMEANormal"/>
                </w:pPr>
              </w:pPrChange>
            </w:pPr>
            <w:del w:id="5618" w:author="AbbVie2" w:date="2025-05-13T16:39:00Z">
              <w:r w:rsidRPr="008912CF">
                <w:rPr>
                  <w:szCs w:val="22"/>
                </w:rPr>
                <w:delText xml:space="preserve">infeções fúngicas, </w:delText>
              </w:r>
            </w:del>
          </w:p>
          <w:p w14:paraId="74322EB7" w14:textId="0ECE9544" w:rsidR="004462A0" w:rsidRDefault="00615769">
            <w:pPr>
              <w:rPr>
                <w:del w:id="5619" w:author="AbbVie2" w:date="2025-05-13T16:39:00Z"/>
                <w:szCs w:val="22"/>
              </w:rPr>
              <w:pPrChange w:id="5620" w:author="AbbVie2" w:date="2025-05-13T16:40:00Z">
                <w:pPr>
                  <w:pStyle w:val="EMEANormal"/>
                </w:pPr>
              </w:pPrChange>
            </w:pPr>
            <w:del w:id="5621" w:author="AbbVie2" w:date="2025-05-13T16:39:00Z">
              <w:r w:rsidRPr="008912CF">
                <w:rPr>
                  <w:szCs w:val="22"/>
                </w:rPr>
                <w:delText>infeções articulares</w:delText>
              </w:r>
            </w:del>
          </w:p>
          <w:p w14:paraId="44371280" w14:textId="26410BB3" w:rsidR="00390D91" w:rsidRPr="008912CF" w:rsidRDefault="00390D91">
            <w:pPr>
              <w:rPr>
                <w:del w:id="5622" w:author="AbbVie2" w:date="2025-05-13T16:39:00Z"/>
                <w:szCs w:val="22"/>
              </w:rPr>
              <w:pPrChange w:id="5623" w:author="AbbVie2" w:date="2025-05-13T16:40:00Z">
                <w:pPr>
                  <w:pStyle w:val="EMEANormal"/>
                </w:pPr>
              </w:pPrChange>
            </w:pPr>
          </w:p>
        </w:tc>
      </w:tr>
      <w:tr w:rsidR="00A7162A" w14:paraId="6A8B53BA" w14:textId="46437F34" w:rsidTr="00F675CF">
        <w:trPr>
          <w:del w:id="5624" w:author="AbbVie2" w:date="2025-05-13T16:39:00Z"/>
        </w:trPr>
        <w:tc>
          <w:tcPr>
            <w:tcW w:w="2514" w:type="dxa"/>
            <w:vMerge/>
          </w:tcPr>
          <w:p w14:paraId="59E482C3" w14:textId="1CF4907B" w:rsidR="004462A0" w:rsidRPr="008912CF" w:rsidRDefault="004462A0">
            <w:pPr>
              <w:rPr>
                <w:del w:id="5625" w:author="AbbVie2" w:date="2025-05-13T16:39:00Z"/>
                <w:b/>
              </w:rPr>
              <w:pPrChange w:id="5626" w:author="AbbVie2" w:date="2025-05-13T16:40:00Z">
                <w:pPr>
                  <w:widowControl w:val="0"/>
                  <w:jc w:val="center"/>
                </w:pPr>
              </w:pPrChange>
            </w:pPr>
          </w:p>
        </w:tc>
        <w:tc>
          <w:tcPr>
            <w:tcW w:w="1996" w:type="dxa"/>
            <w:tcBorders>
              <w:bottom w:val="nil"/>
            </w:tcBorders>
          </w:tcPr>
          <w:p w14:paraId="2E795F1D" w14:textId="51E83C5B" w:rsidR="004462A0" w:rsidRPr="008912CF" w:rsidRDefault="00615769">
            <w:pPr>
              <w:rPr>
                <w:del w:id="5627" w:author="AbbVie2" w:date="2025-05-13T16:39:00Z"/>
                <w:szCs w:val="22"/>
              </w:rPr>
              <w:pPrChange w:id="5628" w:author="AbbVie2" w:date="2025-05-13T16:40:00Z">
                <w:pPr>
                  <w:pStyle w:val="EMEANormal"/>
                  <w:widowControl w:val="0"/>
                </w:pPr>
              </w:pPrChange>
            </w:pPr>
            <w:del w:id="5629" w:author="AbbVie2" w:date="2025-05-13T16:39:00Z">
              <w:r w:rsidRPr="008912CF">
                <w:rPr>
                  <w:szCs w:val="22"/>
                </w:rPr>
                <w:delText>Pouco frequentes</w:delText>
              </w:r>
            </w:del>
          </w:p>
        </w:tc>
        <w:tc>
          <w:tcPr>
            <w:tcW w:w="4346" w:type="dxa"/>
            <w:tcBorders>
              <w:bottom w:val="nil"/>
            </w:tcBorders>
          </w:tcPr>
          <w:p w14:paraId="0142A113" w14:textId="61BF6445" w:rsidR="004462A0" w:rsidRPr="008912CF" w:rsidRDefault="00615769">
            <w:pPr>
              <w:rPr>
                <w:del w:id="5630" w:author="AbbVie2" w:date="2025-05-13T16:39:00Z"/>
                <w:szCs w:val="22"/>
              </w:rPr>
              <w:pPrChange w:id="5631" w:author="AbbVie2" w:date="2025-05-13T16:40:00Z">
                <w:pPr>
                  <w:pStyle w:val="EMEANormal"/>
                  <w:widowControl w:val="0"/>
                </w:pPr>
              </w:pPrChange>
            </w:pPr>
            <w:del w:id="5632" w:author="AbbVie2" w:date="2025-05-13T16:39:00Z">
              <w:r>
                <w:rPr>
                  <w:szCs w:val="22"/>
                </w:rPr>
                <w:delText>I</w:delText>
              </w:r>
              <w:r w:rsidRPr="008912CF">
                <w:rPr>
                  <w:szCs w:val="22"/>
                </w:rPr>
                <w:delText>nfeções neurológicas (incluindo meningite viral),</w:delText>
              </w:r>
            </w:del>
          </w:p>
          <w:p w14:paraId="7429F897" w14:textId="0D5F583D" w:rsidR="004462A0" w:rsidRPr="008912CF" w:rsidRDefault="00615769">
            <w:pPr>
              <w:rPr>
                <w:del w:id="5633" w:author="AbbVie2" w:date="2025-05-13T16:39:00Z"/>
                <w:szCs w:val="22"/>
              </w:rPr>
              <w:pPrChange w:id="5634" w:author="AbbVie2" w:date="2025-05-13T16:40:00Z">
                <w:pPr>
                  <w:pStyle w:val="EMEANormal"/>
                  <w:widowControl w:val="0"/>
                </w:pPr>
              </w:pPrChange>
            </w:pPr>
            <w:del w:id="5635" w:author="AbbVie2" w:date="2025-05-13T16:39:00Z">
              <w:r w:rsidRPr="008912CF">
                <w:rPr>
                  <w:szCs w:val="22"/>
                </w:rPr>
                <w:delText xml:space="preserve">infeções oportunistas e tuberculose (incluindo coccidioidomicose, histoplasmose e infeção a complexo mycobacterium avium), </w:delText>
              </w:r>
            </w:del>
          </w:p>
          <w:p w14:paraId="0932BCE2" w14:textId="3D61FFE9" w:rsidR="004462A0" w:rsidRPr="008912CF" w:rsidRDefault="00615769">
            <w:pPr>
              <w:rPr>
                <w:del w:id="5636" w:author="AbbVie2" w:date="2025-05-13T16:39:00Z"/>
                <w:szCs w:val="22"/>
              </w:rPr>
              <w:pPrChange w:id="5637" w:author="AbbVie2" w:date="2025-05-13T16:40:00Z">
                <w:pPr>
                  <w:pStyle w:val="EMEANormal"/>
                  <w:widowControl w:val="0"/>
                </w:pPr>
              </w:pPrChange>
            </w:pPr>
            <w:del w:id="5638" w:author="AbbVie2" w:date="2025-05-13T16:39:00Z">
              <w:r w:rsidRPr="008912CF">
                <w:rPr>
                  <w:szCs w:val="22"/>
                </w:rPr>
                <w:delText>infeções bacterianas,</w:delText>
              </w:r>
            </w:del>
          </w:p>
          <w:p w14:paraId="7A84EB10" w14:textId="5F192DF7" w:rsidR="004462A0" w:rsidRPr="008912CF" w:rsidRDefault="00615769">
            <w:pPr>
              <w:rPr>
                <w:del w:id="5639" w:author="AbbVie2" w:date="2025-05-13T16:39:00Z"/>
                <w:szCs w:val="22"/>
              </w:rPr>
              <w:pPrChange w:id="5640" w:author="AbbVie2" w:date="2025-05-13T16:40:00Z">
                <w:pPr>
                  <w:pStyle w:val="EMEANormal"/>
                  <w:widowControl w:val="0"/>
                </w:pPr>
              </w:pPrChange>
            </w:pPr>
            <w:del w:id="5641" w:author="AbbVie2" w:date="2025-05-13T16:39:00Z">
              <w:r w:rsidRPr="008912CF">
                <w:rPr>
                  <w:szCs w:val="22"/>
                </w:rPr>
                <w:delText xml:space="preserve">infeções oculares, </w:delText>
              </w:r>
            </w:del>
          </w:p>
          <w:p w14:paraId="583AB128" w14:textId="435D7E86" w:rsidR="004462A0" w:rsidRDefault="00615769">
            <w:pPr>
              <w:rPr>
                <w:del w:id="5642" w:author="AbbVie2" w:date="2025-05-13T16:39:00Z"/>
                <w:szCs w:val="22"/>
                <w:vertAlign w:val="superscript"/>
              </w:rPr>
              <w:pPrChange w:id="5643" w:author="AbbVie2" w:date="2025-05-13T16:40:00Z">
                <w:pPr>
                  <w:pStyle w:val="EMEANormal"/>
                  <w:widowControl w:val="0"/>
                </w:pPr>
              </w:pPrChange>
            </w:pPr>
            <w:del w:id="5644" w:author="AbbVie2" w:date="2025-05-13T16:39:00Z">
              <w:r w:rsidRPr="008912CF">
                <w:rPr>
                  <w:szCs w:val="22"/>
                </w:rPr>
                <w:delText>diverticulite</w:delText>
              </w:r>
              <w:r w:rsidRPr="008912CF">
                <w:rPr>
                  <w:szCs w:val="22"/>
                  <w:vertAlign w:val="superscript"/>
                </w:rPr>
                <w:delText>1)</w:delText>
              </w:r>
            </w:del>
          </w:p>
          <w:p w14:paraId="5EAB3E8B" w14:textId="74CBB74A" w:rsidR="00390D91" w:rsidRPr="008912CF" w:rsidRDefault="00390D91">
            <w:pPr>
              <w:rPr>
                <w:del w:id="5645" w:author="AbbVie2" w:date="2025-05-13T16:39:00Z"/>
                <w:szCs w:val="22"/>
                <w:vertAlign w:val="superscript"/>
              </w:rPr>
              <w:pPrChange w:id="5646" w:author="AbbVie2" w:date="2025-05-13T16:40:00Z">
                <w:pPr>
                  <w:pStyle w:val="EMEANormal"/>
                  <w:widowControl w:val="0"/>
                </w:pPr>
              </w:pPrChange>
            </w:pPr>
          </w:p>
        </w:tc>
      </w:tr>
      <w:tr w:rsidR="00A7162A" w14:paraId="47DBEF41" w14:textId="39214449" w:rsidTr="00F675CF">
        <w:trPr>
          <w:del w:id="5647" w:author="AbbVie2" w:date="2025-05-13T16:39:00Z"/>
        </w:trPr>
        <w:tc>
          <w:tcPr>
            <w:tcW w:w="2514" w:type="dxa"/>
            <w:vMerge w:val="restart"/>
          </w:tcPr>
          <w:p w14:paraId="7E1802B9" w14:textId="1EE9BCD3" w:rsidR="004462A0" w:rsidRPr="008912CF" w:rsidRDefault="00615769">
            <w:pPr>
              <w:rPr>
                <w:del w:id="5648" w:author="AbbVie2" w:date="2025-05-13T16:39:00Z"/>
                <w:b/>
              </w:rPr>
              <w:pPrChange w:id="5649" w:author="AbbVie2" w:date="2025-05-13T16:40:00Z">
                <w:pPr>
                  <w:widowControl w:val="0"/>
                </w:pPr>
              </w:pPrChange>
            </w:pPr>
            <w:del w:id="5650" w:author="AbbVie2" w:date="2025-05-13T16:39:00Z">
              <w:r w:rsidRPr="008912CF">
                <w:rPr>
                  <w:sz w:val="22"/>
                  <w:szCs w:val="22"/>
                </w:rPr>
                <w:delText>Neoplasias benignas, malignas e não especificadas (incluindo quistos e pólipos)*</w:delText>
              </w:r>
            </w:del>
          </w:p>
        </w:tc>
        <w:tc>
          <w:tcPr>
            <w:tcW w:w="1996" w:type="dxa"/>
            <w:tcBorders>
              <w:bottom w:val="nil"/>
            </w:tcBorders>
          </w:tcPr>
          <w:p w14:paraId="7A2D7295" w14:textId="2C1D5652" w:rsidR="004462A0" w:rsidRPr="008912CF" w:rsidRDefault="00615769">
            <w:pPr>
              <w:rPr>
                <w:del w:id="5651" w:author="AbbVie2" w:date="2025-05-13T16:39:00Z"/>
                <w:szCs w:val="22"/>
              </w:rPr>
              <w:pPrChange w:id="5652" w:author="AbbVie2" w:date="2025-05-13T16:40:00Z">
                <w:pPr>
                  <w:pStyle w:val="EMEANormal"/>
                  <w:widowControl w:val="0"/>
                </w:pPr>
              </w:pPrChange>
            </w:pPr>
            <w:del w:id="5653" w:author="AbbVie2" w:date="2025-05-13T16:39:00Z">
              <w:r w:rsidRPr="008912CF">
                <w:rPr>
                  <w:szCs w:val="22"/>
                </w:rPr>
                <w:delText xml:space="preserve">Frequentes </w:delText>
              </w:r>
            </w:del>
          </w:p>
        </w:tc>
        <w:tc>
          <w:tcPr>
            <w:tcW w:w="4346" w:type="dxa"/>
            <w:tcBorders>
              <w:bottom w:val="nil"/>
            </w:tcBorders>
          </w:tcPr>
          <w:p w14:paraId="3C91B63D" w14:textId="650FAC34" w:rsidR="004462A0" w:rsidRPr="008912CF" w:rsidRDefault="00615769">
            <w:pPr>
              <w:rPr>
                <w:del w:id="5654" w:author="AbbVie2" w:date="2025-05-13T16:39:00Z"/>
                <w:szCs w:val="22"/>
              </w:rPr>
              <w:pPrChange w:id="5655" w:author="AbbVie2" w:date="2025-05-13T16:40:00Z">
                <w:pPr>
                  <w:pStyle w:val="EMEANormal"/>
                  <w:widowControl w:val="0"/>
                </w:pPr>
              </w:pPrChange>
            </w:pPr>
            <w:del w:id="5656" w:author="AbbVie2" w:date="2025-05-13T16:39:00Z">
              <w:r>
                <w:rPr>
                  <w:szCs w:val="22"/>
                </w:rPr>
                <w:delText>C</w:delText>
              </w:r>
              <w:r w:rsidRPr="008912CF">
                <w:rPr>
                  <w:szCs w:val="22"/>
                </w:rPr>
                <w:delText>ancro de pele excluindo melanoma (incluindo carcinoma basocelular e carcinoma de células escamosas),</w:delText>
              </w:r>
            </w:del>
          </w:p>
          <w:p w14:paraId="3D092298" w14:textId="44ABB0AE" w:rsidR="004462A0" w:rsidRPr="008912CF" w:rsidRDefault="00615769">
            <w:pPr>
              <w:rPr>
                <w:del w:id="5657" w:author="AbbVie2" w:date="2025-05-13T16:39:00Z"/>
                <w:szCs w:val="22"/>
              </w:rPr>
              <w:pPrChange w:id="5658" w:author="AbbVie2" w:date="2025-05-13T16:40:00Z">
                <w:pPr>
                  <w:pStyle w:val="EMEANormal"/>
                  <w:widowControl w:val="0"/>
                </w:pPr>
              </w:pPrChange>
            </w:pPr>
            <w:del w:id="5659" w:author="AbbVie2" w:date="2025-05-13T16:39:00Z">
              <w:r w:rsidRPr="008912CF">
                <w:rPr>
                  <w:szCs w:val="22"/>
                </w:rPr>
                <w:delText>neoplasias benignas</w:delText>
              </w:r>
            </w:del>
          </w:p>
          <w:p w14:paraId="2280F24B" w14:textId="09A5CFCB" w:rsidR="004462A0" w:rsidRPr="008912CF" w:rsidRDefault="004462A0">
            <w:pPr>
              <w:rPr>
                <w:del w:id="5660" w:author="AbbVie2" w:date="2025-05-13T16:39:00Z"/>
                <w:szCs w:val="22"/>
              </w:rPr>
              <w:pPrChange w:id="5661" w:author="AbbVie2" w:date="2025-05-13T16:40:00Z">
                <w:pPr>
                  <w:pStyle w:val="EMEANormal"/>
                  <w:widowControl w:val="0"/>
                </w:pPr>
              </w:pPrChange>
            </w:pPr>
          </w:p>
        </w:tc>
      </w:tr>
      <w:tr w:rsidR="00A7162A" w14:paraId="27E6AF95" w14:textId="49BCDC19" w:rsidTr="00F675CF">
        <w:trPr>
          <w:del w:id="5662" w:author="AbbVie2" w:date="2025-05-13T16:39:00Z"/>
        </w:trPr>
        <w:tc>
          <w:tcPr>
            <w:tcW w:w="2514" w:type="dxa"/>
            <w:vMerge/>
          </w:tcPr>
          <w:p w14:paraId="5B765971" w14:textId="4C457E6F" w:rsidR="004462A0" w:rsidRPr="008912CF" w:rsidRDefault="004462A0">
            <w:pPr>
              <w:rPr>
                <w:del w:id="5663" w:author="AbbVie2" w:date="2025-05-13T16:39:00Z"/>
                <w:b/>
              </w:rPr>
              <w:pPrChange w:id="5664" w:author="AbbVie2" w:date="2025-05-13T16:40:00Z">
                <w:pPr>
                  <w:widowControl w:val="0"/>
                  <w:jc w:val="center"/>
                </w:pPr>
              </w:pPrChange>
            </w:pPr>
          </w:p>
        </w:tc>
        <w:tc>
          <w:tcPr>
            <w:tcW w:w="1996" w:type="dxa"/>
            <w:tcBorders>
              <w:top w:val="nil"/>
              <w:bottom w:val="nil"/>
            </w:tcBorders>
          </w:tcPr>
          <w:p w14:paraId="6652332B" w14:textId="07991901" w:rsidR="004462A0" w:rsidRPr="008912CF" w:rsidRDefault="00615769">
            <w:pPr>
              <w:rPr>
                <w:del w:id="5665" w:author="AbbVie2" w:date="2025-05-13T16:39:00Z"/>
                <w:szCs w:val="22"/>
              </w:rPr>
              <w:pPrChange w:id="5666" w:author="AbbVie2" w:date="2025-05-13T16:40:00Z">
                <w:pPr>
                  <w:pStyle w:val="EMEANormal"/>
                  <w:widowControl w:val="0"/>
                </w:pPr>
              </w:pPrChange>
            </w:pPr>
            <w:del w:id="5667" w:author="AbbVie2" w:date="2025-05-13T16:39:00Z">
              <w:r w:rsidRPr="008912CF">
                <w:rPr>
                  <w:szCs w:val="22"/>
                </w:rPr>
                <w:delText>Pouco frequentes</w:delText>
              </w:r>
            </w:del>
          </w:p>
          <w:p w14:paraId="7A81E0C5" w14:textId="1760E39A" w:rsidR="004462A0" w:rsidRPr="008912CF" w:rsidRDefault="004462A0">
            <w:pPr>
              <w:rPr>
                <w:del w:id="5668" w:author="AbbVie2" w:date="2025-05-13T16:39:00Z"/>
                <w:szCs w:val="22"/>
              </w:rPr>
              <w:pPrChange w:id="5669" w:author="AbbVie2" w:date="2025-05-13T16:40:00Z">
                <w:pPr>
                  <w:pStyle w:val="EMEANormal"/>
                  <w:widowControl w:val="0"/>
                </w:pPr>
              </w:pPrChange>
            </w:pPr>
          </w:p>
        </w:tc>
        <w:tc>
          <w:tcPr>
            <w:tcW w:w="4346" w:type="dxa"/>
            <w:tcBorders>
              <w:top w:val="nil"/>
              <w:bottom w:val="nil"/>
            </w:tcBorders>
          </w:tcPr>
          <w:p w14:paraId="6398D1D6" w14:textId="0627DF77" w:rsidR="004462A0" w:rsidRPr="008912CF" w:rsidRDefault="00615769">
            <w:pPr>
              <w:rPr>
                <w:del w:id="5670" w:author="AbbVie2" w:date="2025-05-13T16:39:00Z"/>
                <w:szCs w:val="22"/>
              </w:rPr>
              <w:pPrChange w:id="5671" w:author="AbbVie2" w:date="2025-05-13T16:40:00Z">
                <w:pPr>
                  <w:pStyle w:val="EMEANormal"/>
                </w:pPr>
              </w:pPrChange>
            </w:pPr>
            <w:del w:id="5672" w:author="AbbVie2" w:date="2025-05-13T16:39:00Z">
              <w:r>
                <w:rPr>
                  <w:szCs w:val="22"/>
                </w:rPr>
                <w:delText>L</w:delText>
              </w:r>
              <w:r w:rsidRPr="008912CF">
                <w:rPr>
                  <w:szCs w:val="22"/>
                </w:rPr>
                <w:delText>infoma**,</w:delText>
              </w:r>
            </w:del>
          </w:p>
          <w:p w14:paraId="78B6EAB6" w14:textId="052FC448" w:rsidR="004462A0" w:rsidRPr="008912CF" w:rsidRDefault="00615769">
            <w:pPr>
              <w:rPr>
                <w:del w:id="5673" w:author="AbbVie2" w:date="2025-05-13T16:39:00Z"/>
                <w:szCs w:val="22"/>
              </w:rPr>
              <w:pPrChange w:id="5674" w:author="AbbVie2" w:date="2025-05-13T16:40:00Z">
                <w:pPr>
                  <w:pStyle w:val="EMEANormal"/>
                </w:pPr>
              </w:pPrChange>
            </w:pPr>
            <w:del w:id="5675" w:author="AbbVie2" w:date="2025-05-13T16:39:00Z">
              <w:r w:rsidRPr="008912CF">
                <w:rPr>
                  <w:szCs w:val="22"/>
                </w:rPr>
                <w:delText>neoplasias dos órgãos sólidos (incluindo cancro da mama, neoplasias do pulmão e tiroide),</w:delText>
              </w:r>
            </w:del>
          </w:p>
          <w:p w14:paraId="1C573E82" w14:textId="7F3CFEDE" w:rsidR="004462A0" w:rsidRPr="008912CF" w:rsidRDefault="00615769">
            <w:pPr>
              <w:rPr>
                <w:del w:id="5676" w:author="AbbVie2" w:date="2025-05-13T16:39:00Z"/>
                <w:szCs w:val="22"/>
              </w:rPr>
              <w:pPrChange w:id="5677" w:author="AbbVie2" w:date="2025-05-13T16:40:00Z">
                <w:pPr>
                  <w:pStyle w:val="EMEANormal"/>
                </w:pPr>
              </w:pPrChange>
            </w:pPr>
            <w:del w:id="5678" w:author="AbbVie2" w:date="2025-05-13T16:39:00Z">
              <w:r w:rsidRPr="008912CF">
                <w:rPr>
                  <w:szCs w:val="22"/>
                </w:rPr>
                <w:delText>melanoma**</w:delText>
              </w:r>
            </w:del>
          </w:p>
          <w:p w14:paraId="5A05B467" w14:textId="620A8C7F" w:rsidR="004462A0" w:rsidRPr="008912CF" w:rsidRDefault="004462A0">
            <w:pPr>
              <w:rPr>
                <w:del w:id="5679" w:author="AbbVie2" w:date="2025-05-13T16:39:00Z"/>
                <w:szCs w:val="22"/>
              </w:rPr>
              <w:pPrChange w:id="5680" w:author="AbbVie2" w:date="2025-05-13T16:40:00Z">
                <w:pPr>
                  <w:pStyle w:val="EMEANormal"/>
                </w:pPr>
              </w:pPrChange>
            </w:pPr>
          </w:p>
        </w:tc>
      </w:tr>
      <w:tr w:rsidR="00A7162A" w14:paraId="7E64ED34" w14:textId="59903EE3" w:rsidTr="00F675CF">
        <w:trPr>
          <w:trHeight w:val="227"/>
          <w:del w:id="5681" w:author="AbbVie2" w:date="2025-05-13T16:39:00Z"/>
        </w:trPr>
        <w:tc>
          <w:tcPr>
            <w:tcW w:w="2514" w:type="dxa"/>
            <w:vMerge/>
          </w:tcPr>
          <w:p w14:paraId="57EAAAA3" w14:textId="6D547D80" w:rsidR="004462A0" w:rsidRPr="008912CF" w:rsidRDefault="004462A0">
            <w:pPr>
              <w:rPr>
                <w:del w:id="5682" w:author="AbbVie2" w:date="2025-05-13T16:39:00Z"/>
                <w:b/>
              </w:rPr>
              <w:pPrChange w:id="5683" w:author="AbbVie2" w:date="2025-05-13T16:40:00Z">
                <w:pPr>
                  <w:widowControl w:val="0"/>
                  <w:jc w:val="center"/>
                </w:pPr>
              </w:pPrChange>
            </w:pPr>
          </w:p>
        </w:tc>
        <w:tc>
          <w:tcPr>
            <w:tcW w:w="1996" w:type="dxa"/>
            <w:tcBorders>
              <w:top w:val="nil"/>
              <w:bottom w:val="nil"/>
            </w:tcBorders>
          </w:tcPr>
          <w:p w14:paraId="60A1224E" w14:textId="362C3312" w:rsidR="004462A0" w:rsidRPr="008912CF" w:rsidRDefault="00615769">
            <w:pPr>
              <w:rPr>
                <w:del w:id="5684" w:author="AbbVie2" w:date="2025-05-13T16:39:00Z"/>
                <w:szCs w:val="22"/>
              </w:rPr>
              <w:pPrChange w:id="5685" w:author="AbbVie2" w:date="2025-05-13T16:40:00Z">
                <w:pPr>
                  <w:pStyle w:val="EMEANormal"/>
                  <w:widowControl w:val="0"/>
                </w:pPr>
              </w:pPrChange>
            </w:pPr>
            <w:del w:id="5686" w:author="AbbVie2" w:date="2025-05-13T16:39:00Z">
              <w:r w:rsidRPr="008912CF">
                <w:rPr>
                  <w:szCs w:val="22"/>
                </w:rPr>
                <w:delText>Raros</w:delText>
              </w:r>
            </w:del>
          </w:p>
        </w:tc>
        <w:tc>
          <w:tcPr>
            <w:tcW w:w="4346" w:type="dxa"/>
            <w:tcBorders>
              <w:top w:val="nil"/>
              <w:bottom w:val="nil"/>
            </w:tcBorders>
          </w:tcPr>
          <w:p w14:paraId="20ADE42D" w14:textId="114A4B60" w:rsidR="004462A0" w:rsidRDefault="00615769">
            <w:pPr>
              <w:rPr>
                <w:del w:id="5687" w:author="AbbVie2" w:date="2025-05-13T16:39:00Z"/>
                <w:szCs w:val="22"/>
                <w:vertAlign w:val="superscript"/>
              </w:rPr>
              <w:pPrChange w:id="5688" w:author="AbbVie2" w:date="2025-05-13T16:40:00Z">
                <w:pPr>
                  <w:pStyle w:val="EMEANormal"/>
                </w:pPr>
              </w:pPrChange>
            </w:pPr>
            <w:del w:id="5689" w:author="AbbVie2" w:date="2025-05-13T16:39:00Z">
              <w:r>
                <w:rPr>
                  <w:szCs w:val="22"/>
                </w:rPr>
                <w:delText>L</w:delText>
              </w:r>
              <w:r w:rsidRPr="008912CF">
                <w:rPr>
                  <w:szCs w:val="22"/>
                </w:rPr>
                <w:delText>eucemia</w:delText>
              </w:r>
              <w:r w:rsidRPr="008912CF">
                <w:rPr>
                  <w:szCs w:val="22"/>
                  <w:vertAlign w:val="superscript"/>
                </w:rPr>
                <w:delText>1)</w:delText>
              </w:r>
            </w:del>
          </w:p>
          <w:p w14:paraId="4A176405" w14:textId="6A3A4C5B" w:rsidR="00390D91" w:rsidRPr="008912CF" w:rsidRDefault="00390D91">
            <w:pPr>
              <w:rPr>
                <w:del w:id="5690" w:author="AbbVie2" w:date="2025-05-13T16:39:00Z"/>
                <w:szCs w:val="22"/>
              </w:rPr>
              <w:pPrChange w:id="5691" w:author="AbbVie2" w:date="2025-05-13T16:40:00Z">
                <w:pPr>
                  <w:pStyle w:val="EMEANormal"/>
                </w:pPr>
              </w:pPrChange>
            </w:pPr>
          </w:p>
        </w:tc>
      </w:tr>
      <w:tr w:rsidR="00A7162A" w14:paraId="19CC2AE1" w14:textId="660476A3" w:rsidTr="00F675CF">
        <w:trPr>
          <w:del w:id="5692" w:author="AbbVie2" w:date="2025-05-13T16:39:00Z"/>
        </w:trPr>
        <w:tc>
          <w:tcPr>
            <w:tcW w:w="2514" w:type="dxa"/>
            <w:vMerge/>
          </w:tcPr>
          <w:p w14:paraId="00ECD87C" w14:textId="0DC95FA9" w:rsidR="004462A0" w:rsidRPr="008912CF" w:rsidRDefault="004462A0">
            <w:pPr>
              <w:rPr>
                <w:del w:id="5693" w:author="AbbVie2" w:date="2025-05-13T16:39:00Z"/>
                <w:b/>
              </w:rPr>
              <w:pPrChange w:id="5694" w:author="AbbVie2" w:date="2025-05-13T16:40:00Z">
                <w:pPr>
                  <w:widowControl w:val="0"/>
                  <w:jc w:val="center"/>
                </w:pPr>
              </w:pPrChange>
            </w:pPr>
          </w:p>
        </w:tc>
        <w:tc>
          <w:tcPr>
            <w:tcW w:w="1996" w:type="dxa"/>
            <w:tcBorders>
              <w:top w:val="nil"/>
            </w:tcBorders>
          </w:tcPr>
          <w:p w14:paraId="1939B270" w14:textId="7F263EE4" w:rsidR="004462A0" w:rsidRPr="008912CF" w:rsidRDefault="00615769">
            <w:pPr>
              <w:rPr>
                <w:del w:id="5695" w:author="AbbVie2" w:date="2025-05-13T16:39:00Z"/>
                <w:szCs w:val="22"/>
              </w:rPr>
              <w:pPrChange w:id="5696" w:author="AbbVie2" w:date="2025-05-13T16:40:00Z">
                <w:pPr>
                  <w:pStyle w:val="EMEANormal"/>
                  <w:widowControl w:val="0"/>
                </w:pPr>
              </w:pPrChange>
            </w:pPr>
            <w:del w:id="5697" w:author="AbbVie2" w:date="2025-05-13T16:39:00Z">
              <w:r w:rsidRPr="008912CF">
                <w:rPr>
                  <w:szCs w:val="22"/>
                </w:rPr>
                <w:delText>Desconhecido</w:delText>
              </w:r>
            </w:del>
          </w:p>
        </w:tc>
        <w:tc>
          <w:tcPr>
            <w:tcW w:w="4346" w:type="dxa"/>
            <w:tcBorders>
              <w:top w:val="nil"/>
            </w:tcBorders>
          </w:tcPr>
          <w:p w14:paraId="557F3EAA" w14:textId="2655E3E7" w:rsidR="004462A0" w:rsidRPr="008912CF" w:rsidRDefault="00615769">
            <w:pPr>
              <w:rPr>
                <w:del w:id="5698" w:author="AbbVie2" w:date="2025-05-13T16:39:00Z"/>
                <w:szCs w:val="22"/>
              </w:rPr>
              <w:pPrChange w:id="5699" w:author="AbbVie2" w:date="2025-05-13T16:40:00Z">
                <w:pPr>
                  <w:pStyle w:val="EMEANormal"/>
                </w:pPr>
              </w:pPrChange>
            </w:pPr>
            <w:del w:id="5700" w:author="AbbVie2" w:date="2025-05-13T16:39:00Z">
              <w:r>
                <w:rPr>
                  <w:szCs w:val="22"/>
                </w:rPr>
                <w:delText>L</w:delText>
              </w:r>
              <w:r w:rsidRPr="008912CF">
                <w:rPr>
                  <w:szCs w:val="22"/>
                </w:rPr>
                <w:delText>infoma hepatoesplén</w:delText>
              </w:r>
              <w:r w:rsidR="00390D91">
                <w:rPr>
                  <w:szCs w:val="22"/>
                </w:rPr>
                <w:delText>i</w:delText>
              </w:r>
              <w:r w:rsidRPr="008912CF">
                <w:rPr>
                  <w:szCs w:val="22"/>
                </w:rPr>
                <w:delText>co de células T</w:delText>
              </w:r>
              <w:r w:rsidRPr="008912CF">
                <w:rPr>
                  <w:szCs w:val="22"/>
                  <w:vertAlign w:val="superscript"/>
                </w:rPr>
                <w:delText>1)</w:delText>
              </w:r>
              <w:r w:rsidRPr="008912CF">
                <w:rPr>
                  <w:szCs w:val="22"/>
                </w:rPr>
                <w:delText>,</w:delText>
              </w:r>
            </w:del>
          </w:p>
          <w:p w14:paraId="0D93EC25" w14:textId="1038FF17" w:rsidR="004462A0" w:rsidRPr="00381888" w:rsidRDefault="00615769">
            <w:pPr>
              <w:rPr>
                <w:del w:id="5701" w:author="AbbVie2" w:date="2025-05-13T16:39:00Z"/>
                <w:szCs w:val="22"/>
              </w:rPr>
              <w:pPrChange w:id="5702" w:author="AbbVie2" w:date="2025-05-13T16:40:00Z">
                <w:pPr>
                  <w:pStyle w:val="EMEANormal"/>
                </w:pPr>
              </w:pPrChange>
            </w:pPr>
            <w:del w:id="5703" w:author="AbbVie2" w:date="2025-05-13T16:39:00Z">
              <w:r w:rsidRPr="008912CF">
                <w:rPr>
                  <w:szCs w:val="22"/>
                </w:rPr>
                <w:delText>carcinoma das células de Merkel (carcinoma neuroendócrino da pele)</w:delText>
              </w:r>
              <w:r w:rsidRPr="008912CF">
                <w:rPr>
                  <w:szCs w:val="22"/>
                  <w:vertAlign w:val="superscript"/>
                </w:rPr>
                <w:delText>1)</w:delText>
              </w:r>
              <w:r w:rsidR="00D57D99">
                <w:rPr>
                  <w:szCs w:val="22"/>
                </w:rPr>
                <w:delText>, sarcoma de Kaposi</w:delText>
              </w:r>
            </w:del>
          </w:p>
          <w:p w14:paraId="7ED70448" w14:textId="759EBEA3" w:rsidR="004462A0" w:rsidRPr="008912CF" w:rsidRDefault="004462A0">
            <w:pPr>
              <w:rPr>
                <w:del w:id="5704" w:author="AbbVie2" w:date="2025-05-13T16:39:00Z"/>
                <w:szCs w:val="22"/>
              </w:rPr>
              <w:pPrChange w:id="5705" w:author="AbbVie2" w:date="2025-05-13T16:40:00Z">
                <w:pPr>
                  <w:pStyle w:val="EMEANormal"/>
                </w:pPr>
              </w:pPrChange>
            </w:pPr>
          </w:p>
        </w:tc>
      </w:tr>
      <w:tr w:rsidR="00A7162A" w14:paraId="208EF9FB" w14:textId="03A5502C" w:rsidTr="00F675CF">
        <w:trPr>
          <w:del w:id="5706" w:author="AbbVie2" w:date="2025-05-13T16:39:00Z"/>
        </w:trPr>
        <w:tc>
          <w:tcPr>
            <w:tcW w:w="2514" w:type="dxa"/>
            <w:vMerge w:val="restart"/>
          </w:tcPr>
          <w:p w14:paraId="4895C2CB" w14:textId="5DFE6130" w:rsidR="004462A0" w:rsidRPr="008912CF" w:rsidRDefault="00615769">
            <w:pPr>
              <w:rPr>
                <w:del w:id="5707" w:author="AbbVie2" w:date="2025-05-13T16:39:00Z"/>
                <w:b/>
              </w:rPr>
              <w:pPrChange w:id="5708" w:author="AbbVie2" w:date="2025-05-13T16:40:00Z">
                <w:pPr>
                  <w:widowControl w:val="0"/>
                </w:pPr>
              </w:pPrChange>
            </w:pPr>
            <w:del w:id="5709" w:author="AbbVie2" w:date="2025-05-13T16:39:00Z">
              <w:r w:rsidRPr="008912CF">
                <w:rPr>
                  <w:sz w:val="22"/>
                  <w:szCs w:val="22"/>
                </w:rPr>
                <w:delText>Doenças do sangue e do sistema linfático *</w:delText>
              </w:r>
            </w:del>
          </w:p>
        </w:tc>
        <w:tc>
          <w:tcPr>
            <w:tcW w:w="1996" w:type="dxa"/>
            <w:tcBorders>
              <w:bottom w:val="nil"/>
            </w:tcBorders>
          </w:tcPr>
          <w:p w14:paraId="345EC368" w14:textId="68692EA6" w:rsidR="004462A0" w:rsidRPr="008912CF" w:rsidRDefault="00615769">
            <w:pPr>
              <w:rPr>
                <w:del w:id="5710" w:author="AbbVie2" w:date="2025-05-13T16:39:00Z"/>
                <w:szCs w:val="22"/>
              </w:rPr>
              <w:pPrChange w:id="5711" w:author="AbbVie2" w:date="2025-05-13T16:40:00Z">
                <w:pPr>
                  <w:pStyle w:val="EMEANormal"/>
                  <w:widowControl w:val="0"/>
                  <w:jc w:val="both"/>
                </w:pPr>
              </w:pPrChange>
            </w:pPr>
            <w:del w:id="5712" w:author="AbbVie2" w:date="2025-05-13T16:39:00Z">
              <w:r w:rsidRPr="008912CF">
                <w:rPr>
                  <w:szCs w:val="22"/>
                </w:rPr>
                <w:delText>Muito frequentes</w:delText>
              </w:r>
            </w:del>
          </w:p>
        </w:tc>
        <w:tc>
          <w:tcPr>
            <w:tcW w:w="4346" w:type="dxa"/>
            <w:tcBorders>
              <w:bottom w:val="nil"/>
            </w:tcBorders>
          </w:tcPr>
          <w:p w14:paraId="327B4892" w14:textId="2539E58A" w:rsidR="004462A0" w:rsidRPr="008912CF" w:rsidRDefault="00615769">
            <w:pPr>
              <w:rPr>
                <w:del w:id="5713" w:author="AbbVie2" w:date="2025-05-13T16:39:00Z"/>
              </w:rPr>
              <w:pPrChange w:id="5714" w:author="AbbVie2" w:date="2025-05-13T16:40:00Z">
                <w:pPr>
                  <w:widowControl w:val="0"/>
                </w:pPr>
              </w:pPrChange>
            </w:pPr>
            <w:del w:id="5715" w:author="AbbVie2" w:date="2025-05-13T16:39:00Z">
              <w:r>
                <w:rPr>
                  <w:sz w:val="22"/>
                  <w:szCs w:val="22"/>
                </w:rPr>
                <w:delText>L</w:delText>
              </w:r>
              <w:r w:rsidRPr="008912CF">
                <w:rPr>
                  <w:sz w:val="22"/>
                  <w:szCs w:val="22"/>
                </w:rPr>
                <w:delText xml:space="preserve">eucopenia (incluindo neutropenia e agranulocitose), </w:delText>
              </w:r>
            </w:del>
          </w:p>
          <w:p w14:paraId="3E9BD012" w14:textId="3F7DAD58" w:rsidR="004462A0" w:rsidRPr="008912CF" w:rsidRDefault="00615769">
            <w:pPr>
              <w:rPr>
                <w:del w:id="5716" w:author="AbbVie2" w:date="2025-05-13T16:39:00Z"/>
              </w:rPr>
              <w:pPrChange w:id="5717" w:author="AbbVie2" w:date="2025-05-13T16:40:00Z">
                <w:pPr>
                  <w:widowControl w:val="0"/>
                </w:pPr>
              </w:pPrChange>
            </w:pPr>
            <w:del w:id="5718" w:author="AbbVie2" w:date="2025-05-13T16:39:00Z">
              <w:r w:rsidRPr="008912CF">
                <w:rPr>
                  <w:sz w:val="22"/>
                  <w:szCs w:val="22"/>
                </w:rPr>
                <w:delText xml:space="preserve">anemia </w:delText>
              </w:r>
            </w:del>
          </w:p>
          <w:p w14:paraId="7A8A23DE" w14:textId="536FD0AD" w:rsidR="004462A0" w:rsidRPr="008912CF" w:rsidRDefault="004462A0">
            <w:pPr>
              <w:rPr>
                <w:del w:id="5719" w:author="AbbVie2" w:date="2025-05-13T16:39:00Z"/>
                <w:b/>
              </w:rPr>
              <w:pPrChange w:id="5720" w:author="AbbVie2" w:date="2025-05-13T16:40:00Z">
                <w:pPr>
                  <w:widowControl w:val="0"/>
                </w:pPr>
              </w:pPrChange>
            </w:pPr>
          </w:p>
        </w:tc>
      </w:tr>
      <w:tr w:rsidR="00A7162A" w14:paraId="22728290" w14:textId="58E90369" w:rsidTr="00F675CF">
        <w:trPr>
          <w:del w:id="5721" w:author="AbbVie2" w:date="2025-05-13T16:39:00Z"/>
        </w:trPr>
        <w:tc>
          <w:tcPr>
            <w:tcW w:w="2514" w:type="dxa"/>
            <w:vMerge/>
          </w:tcPr>
          <w:p w14:paraId="2818CF40" w14:textId="78015ADC" w:rsidR="004462A0" w:rsidRPr="008912CF" w:rsidRDefault="004462A0">
            <w:pPr>
              <w:rPr>
                <w:del w:id="5722" w:author="AbbVie2" w:date="2025-05-13T16:39:00Z"/>
                <w:b/>
              </w:rPr>
              <w:pPrChange w:id="5723" w:author="AbbVie2" w:date="2025-05-13T16:40:00Z">
                <w:pPr>
                  <w:widowControl w:val="0"/>
                  <w:jc w:val="center"/>
                </w:pPr>
              </w:pPrChange>
            </w:pPr>
          </w:p>
        </w:tc>
        <w:tc>
          <w:tcPr>
            <w:tcW w:w="1996" w:type="dxa"/>
            <w:tcBorders>
              <w:top w:val="nil"/>
              <w:bottom w:val="nil"/>
            </w:tcBorders>
          </w:tcPr>
          <w:p w14:paraId="5AD3A583" w14:textId="28422B8C" w:rsidR="004462A0" w:rsidRPr="008912CF" w:rsidRDefault="00615769">
            <w:pPr>
              <w:rPr>
                <w:del w:id="5724" w:author="AbbVie2" w:date="2025-05-13T16:39:00Z"/>
                <w:szCs w:val="22"/>
              </w:rPr>
              <w:pPrChange w:id="5725" w:author="AbbVie2" w:date="2025-05-13T16:40:00Z">
                <w:pPr>
                  <w:pStyle w:val="EMEANormal"/>
                  <w:widowControl w:val="0"/>
                  <w:jc w:val="both"/>
                </w:pPr>
              </w:pPrChange>
            </w:pPr>
            <w:del w:id="5726" w:author="AbbVie2" w:date="2025-05-13T16:39:00Z">
              <w:r w:rsidRPr="008912CF">
                <w:rPr>
                  <w:szCs w:val="22"/>
                </w:rPr>
                <w:delText>Frequentes</w:delText>
              </w:r>
            </w:del>
          </w:p>
        </w:tc>
        <w:tc>
          <w:tcPr>
            <w:tcW w:w="4346" w:type="dxa"/>
            <w:tcBorders>
              <w:top w:val="nil"/>
              <w:bottom w:val="nil"/>
            </w:tcBorders>
          </w:tcPr>
          <w:p w14:paraId="04817593" w14:textId="5962D266" w:rsidR="004462A0" w:rsidRPr="008912CF" w:rsidRDefault="00615769">
            <w:pPr>
              <w:rPr>
                <w:del w:id="5727" w:author="AbbVie2" w:date="2025-05-13T16:39:00Z"/>
              </w:rPr>
              <w:pPrChange w:id="5728" w:author="AbbVie2" w:date="2025-05-13T16:40:00Z">
                <w:pPr>
                  <w:widowControl w:val="0"/>
                </w:pPr>
              </w:pPrChange>
            </w:pPr>
            <w:del w:id="5729" w:author="AbbVie2" w:date="2025-05-13T16:39:00Z">
              <w:r>
                <w:rPr>
                  <w:sz w:val="22"/>
                  <w:szCs w:val="22"/>
                </w:rPr>
                <w:delText>L</w:delText>
              </w:r>
              <w:r w:rsidRPr="008912CF">
                <w:rPr>
                  <w:sz w:val="22"/>
                  <w:szCs w:val="22"/>
                </w:rPr>
                <w:delText>eucocitose,</w:delText>
              </w:r>
            </w:del>
          </w:p>
          <w:p w14:paraId="758839DA" w14:textId="76953683" w:rsidR="004462A0" w:rsidRPr="008912CF" w:rsidRDefault="00615769">
            <w:pPr>
              <w:rPr>
                <w:del w:id="5730" w:author="AbbVie2" w:date="2025-05-13T16:39:00Z"/>
              </w:rPr>
              <w:pPrChange w:id="5731" w:author="AbbVie2" w:date="2025-05-13T16:40:00Z">
                <w:pPr>
                  <w:widowControl w:val="0"/>
                </w:pPr>
              </w:pPrChange>
            </w:pPr>
            <w:del w:id="5732" w:author="AbbVie2" w:date="2025-05-13T16:39:00Z">
              <w:r w:rsidRPr="008912CF">
                <w:rPr>
                  <w:sz w:val="22"/>
                  <w:szCs w:val="22"/>
                </w:rPr>
                <w:delText>trombocitopenia</w:delText>
              </w:r>
            </w:del>
          </w:p>
          <w:p w14:paraId="06205BE8" w14:textId="55592B8F" w:rsidR="004462A0" w:rsidRPr="008912CF" w:rsidRDefault="004462A0">
            <w:pPr>
              <w:rPr>
                <w:del w:id="5733" w:author="AbbVie2" w:date="2025-05-13T16:39:00Z"/>
              </w:rPr>
              <w:pPrChange w:id="5734" w:author="AbbVie2" w:date="2025-05-13T16:40:00Z">
                <w:pPr>
                  <w:widowControl w:val="0"/>
                </w:pPr>
              </w:pPrChange>
            </w:pPr>
          </w:p>
        </w:tc>
      </w:tr>
      <w:tr w:rsidR="00A7162A" w14:paraId="44C2A869" w14:textId="7BAE8C72" w:rsidTr="00F675CF">
        <w:trPr>
          <w:del w:id="5735" w:author="AbbVie2" w:date="2025-05-13T16:39:00Z"/>
        </w:trPr>
        <w:tc>
          <w:tcPr>
            <w:tcW w:w="2514" w:type="dxa"/>
            <w:vMerge/>
            <w:tcBorders>
              <w:bottom w:val="nil"/>
            </w:tcBorders>
          </w:tcPr>
          <w:p w14:paraId="1E079965" w14:textId="7E34B3A6" w:rsidR="004462A0" w:rsidRPr="008912CF" w:rsidRDefault="004462A0">
            <w:pPr>
              <w:rPr>
                <w:del w:id="5736" w:author="AbbVie2" w:date="2025-05-13T16:39:00Z"/>
                <w:b/>
              </w:rPr>
              <w:pPrChange w:id="5737" w:author="AbbVie2" w:date="2025-05-13T16:40:00Z">
                <w:pPr>
                  <w:widowControl w:val="0"/>
                  <w:jc w:val="center"/>
                </w:pPr>
              </w:pPrChange>
            </w:pPr>
          </w:p>
        </w:tc>
        <w:tc>
          <w:tcPr>
            <w:tcW w:w="1996" w:type="dxa"/>
            <w:tcBorders>
              <w:top w:val="nil"/>
              <w:bottom w:val="nil"/>
            </w:tcBorders>
          </w:tcPr>
          <w:p w14:paraId="24946B52" w14:textId="23653B14" w:rsidR="004462A0" w:rsidRPr="008912CF" w:rsidRDefault="00615769">
            <w:pPr>
              <w:rPr>
                <w:del w:id="5738" w:author="AbbVie2" w:date="2025-05-13T16:39:00Z"/>
                <w:szCs w:val="22"/>
              </w:rPr>
              <w:pPrChange w:id="5739" w:author="AbbVie2" w:date="2025-05-13T16:40:00Z">
                <w:pPr>
                  <w:pStyle w:val="EMEANormal"/>
                  <w:widowControl w:val="0"/>
                  <w:jc w:val="both"/>
                </w:pPr>
              </w:pPrChange>
            </w:pPr>
            <w:del w:id="5740" w:author="AbbVie2" w:date="2025-05-13T16:39:00Z">
              <w:r w:rsidRPr="008912CF">
                <w:rPr>
                  <w:szCs w:val="22"/>
                </w:rPr>
                <w:delText>Pouco frequentes</w:delText>
              </w:r>
            </w:del>
          </w:p>
          <w:p w14:paraId="6CE5E208" w14:textId="7D983E6F" w:rsidR="004462A0" w:rsidRPr="008912CF" w:rsidRDefault="004462A0">
            <w:pPr>
              <w:rPr>
                <w:del w:id="5741" w:author="AbbVie2" w:date="2025-05-13T16:39:00Z"/>
                <w:szCs w:val="22"/>
              </w:rPr>
              <w:pPrChange w:id="5742" w:author="AbbVie2" w:date="2025-05-13T16:40:00Z">
                <w:pPr>
                  <w:pStyle w:val="EMEANormal"/>
                  <w:widowControl w:val="0"/>
                  <w:jc w:val="both"/>
                </w:pPr>
              </w:pPrChange>
            </w:pPr>
          </w:p>
        </w:tc>
        <w:tc>
          <w:tcPr>
            <w:tcW w:w="4346" w:type="dxa"/>
            <w:tcBorders>
              <w:top w:val="nil"/>
              <w:bottom w:val="nil"/>
            </w:tcBorders>
          </w:tcPr>
          <w:p w14:paraId="4A1D446B" w14:textId="5D692345" w:rsidR="004462A0" w:rsidRPr="008912CF" w:rsidRDefault="00615769">
            <w:pPr>
              <w:rPr>
                <w:del w:id="5743" w:author="AbbVie2" w:date="2025-05-13T16:39:00Z"/>
              </w:rPr>
              <w:pPrChange w:id="5744" w:author="AbbVie2" w:date="2025-05-13T16:40:00Z">
                <w:pPr>
                  <w:widowControl w:val="0"/>
                </w:pPr>
              </w:pPrChange>
            </w:pPr>
            <w:del w:id="5745" w:author="AbbVie2" w:date="2025-05-13T16:39:00Z">
              <w:r>
                <w:rPr>
                  <w:sz w:val="22"/>
                  <w:szCs w:val="22"/>
                </w:rPr>
                <w:delText>P</w:delText>
              </w:r>
              <w:r w:rsidRPr="008912CF">
                <w:rPr>
                  <w:sz w:val="22"/>
                  <w:szCs w:val="22"/>
                </w:rPr>
                <w:delText>úrpura trombocitop</w:delText>
              </w:r>
              <w:r w:rsidR="00771456">
                <w:rPr>
                  <w:sz w:val="22"/>
                  <w:szCs w:val="22"/>
                </w:rPr>
                <w:delText>é</w:delText>
              </w:r>
              <w:r w:rsidRPr="008912CF">
                <w:rPr>
                  <w:sz w:val="22"/>
                  <w:szCs w:val="22"/>
                </w:rPr>
                <w:delText>nica idiopática</w:delText>
              </w:r>
            </w:del>
          </w:p>
          <w:p w14:paraId="5FD68BEB" w14:textId="257B0654" w:rsidR="004462A0" w:rsidRPr="008912CF" w:rsidRDefault="004462A0">
            <w:pPr>
              <w:rPr>
                <w:del w:id="5746" w:author="AbbVie2" w:date="2025-05-13T16:39:00Z"/>
              </w:rPr>
              <w:pPrChange w:id="5747" w:author="AbbVie2" w:date="2025-05-13T16:40:00Z">
                <w:pPr>
                  <w:widowControl w:val="0"/>
                </w:pPr>
              </w:pPrChange>
            </w:pPr>
          </w:p>
        </w:tc>
      </w:tr>
      <w:tr w:rsidR="00A7162A" w14:paraId="7B1D89C6" w14:textId="23DC9D09" w:rsidTr="00F675CF">
        <w:trPr>
          <w:del w:id="5748" w:author="AbbVie2" w:date="2025-05-13T16:39:00Z"/>
        </w:trPr>
        <w:tc>
          <w:tcPr>
            <w:tcW w:w="2514" w:type="dxa"/>
            <w:tcBorders>
              <w:top w:val="nil"/>
            </w:tcBorders>
          </w:tcPr>
          <w:p w14:paraId="7AC3AF83" w14:textId="724ED9A3" w:rsidR="004462A0" w:rsidRPr="008912CF" w:rsidRDefault="004462A0">
            <w:pPr>
              <w:rPr>
                <w:del w:id="5749" w:author="AbbVie2" w:date="2025-05-13T16:39:00Z"/>
                <w:b/>
              </w:rPr>
              <w:pPrChange w:id="5750" w:author="AbbVie2" w:date="2025-05-13T16:40:00Z">
                <w:pPr>
                  <w:widowControl w:val="0"/>
                  <w:jc w:val="center"/>
                </w:pPr>
              </w:pPrChange>
            </w:pPr>
          </w:p>
        </w:tc>
        <w:tc>
          <w:tcPr>
            <w:tcW w:w="1996" w:type="dxa"/>
            <w:tcBorders>
              <w:top w:val="nil"/>
            </w:tcBorders>
          </w:tcPr>
          <w:p w14:paraId="40313FF5" w14:textId="61126ADC" w:rsidR="004462A0" w:rsidRPr="008912CF" w:rsidRDefault="00615769">
            <w:pPr>
              <w:rPr>
                <w:del w:id="5751" w:author="AbbVie2" w:date="2025-05-13T16:39:00Z"/>
                <w:szCs w:val="22"/>
              </w:rPr>
              <w:pPrChange w:id="5752" w:author="AbbVie2" w:date="2025-05-13T16:40:00Z">
                <w:pPr>
                  <w:pStyle w:val="EMEANormal"/>
                  <w:widowControl w:val="0"/>
                  <w:jc w:val="both"/>
                </w:pPr>
              </w:pPrChange>
            </w:pPr>
            <w:del w:id="5753" w:author="AbbVie2" w:date="2025-05-13T16:39:00Z">
              <w:r w:rsidRPr="008912CF">
                <w:rPr>
                  <w:szCs w:val="22"/>
                </w:rPr>
                <w:delText>Raros</w:delText>
              </w:r>
            </w:del>
          </w:p>
        </w:tc>
        <w:tc>
          <w:tcPr>
            <w:tcW w:w="4346" w:type="dxa"/>
            <w:tcBorders>
              <w:top w:val="nil"/>
            </w:tcBorders>
          </w:tcPr>
          <w:p w14:paraId="3C6F6E26" w14:textId="0B5F31CB" w:rsidR="004462A0" w:rsidRDefault="00615769">
            <w:pPr>
              <w:rPr>
                <w:del w:id="5754" w:author="AbbVie2" w:date="2025-05-13T16:39:00Z"/>
                <w:sz w:val="22"/>
                <w:szCs w:val="22"/>
              </w:rPr>
              <w:pPrChange w:id="5755" w:author="AbbVie2" w:date="2025-05-13T16:40:00Z">
                <w:pPr>
                  <w:widowControl w:val="0"/>
                </w:pPr>
              </w:pPrChange>
            </w:pPr>
            <w:del w:id="5756" w:author="AbbVie2" w:date="2025-05-13T16:39:00Z">
              <w:r>
                <w:rPr>
                  <w:sz w:val="22"/>
                  <w:szCs w:val="22"/>
                </w:rPr>
                <w:delText>P</w:delText>
              </w:r>
              <w:r w:rsidRPr="008912CF">
                <w:rPr>
                  <w:sz w:val="22"/>
                  <w:szCs w:val="22"/>
                </w:rPr>
                <w:delText>ancitopenia</w:delText>
              </w:r>
            </w:del>
          </w:p>
          <w:p w14:paraId="19E180F9" w14:textId="5E05E986" w:rsidR="00390D91" w:rsidRPr="008912CF" w:rsidRDefault="00390D91">
            <w:pPr>
              <w:rPr>
                <w:del w:id="5757" w:author="AbbVie2" w:date="2025-05-13T16:39:00Z"/>
              </w:rPr>
              <w:pPrChange w:id="5758" w:author="AbbVie2" w:date="2025-05-13T16:40:00Z">
                <w:pPr>
                  <w:widowControl w:val="0"/>
                </w:pPr>
              </w:pPrChange>
            </w:pPr>
          </w:p>
        </w:tc>
      </w:tr>
      <w:tr w:rsidR="00A7162A" w14:paraId="32F2117F" w14:textId="2FB9F910" w:rsidTr="00F675CF">
        <w:trPr>
          <w:del w:id="5759" w:author="AbbVie2" w:date="2025-05-13T16:39:00Z"/>
        </w:trPr>
        <w:tc>
          <w:tcPr>
            <w:tcW w:w="2514" w:type="dxa"/>
            <w:vMerge w:val="restart"/>
          </w:tcPr>
          <w:p w14:paraId="373B6F69" w14:textId="3517196A" w:rsidR="004462A0" w:rsidRPr="008912CF" w:rsidRDefault="00615769">
            <w:pPr>
              <w:rPr>
                <w:del w:id="5760" w:author="AbbVie2" w:date="2025-05-13T16:39:00Z"/>
                <w:szCs w:val="22"/>
              </w:rPr>
              <w:pPrChange w:id="5761" w:author="AbbVie2" w:date="2025-05-13T16:40:00Z">
                <w:pPr>
                  <w:pStyle w:val="EndnoteText"/>
                  <w:widowControl w:val="0"/>
                </w:pPr>
              </w:pPrChange>
            </w:pPr>
            <w:del w:id="5762" w:author="AbbVie2" w:date="2025-05-13T16:39:00Z">
              <w:r w:rsidRPr="008912CF">
                <w:rPr>
                  <w:szCs w:val="22"/>
                </w:rPr>
                <w:delText>Doenças do sistema imunitário *</w:delText>
              </w:r>
            </w:del>
          </w:p>
        </w:tc>
        <w:tc>
          <w:tcPr>
            <w:tcW w:w="1996" w:type="dxa"/>
            <w:tcBorders>
              <w:bottom w:val="nil"/>
            </w:tcBorders>
          </w:tcPr>
          <w:p w14:paraId="7E2DD9FF" w14:textId="1BAE1925" w:rsidR="004462A0" w:rsidRPr="008912CF" w:rsidRDefault="00615769">
            <w:pPr>
              <w:rPr>
                <w:del w:id="5763" w:author="AbbVie2" w:date="2025-05-13T16:39:00Z"/>
                <w:szCs w:val="22"/>
              </w:rPr>
              <w:pPrChange w:id="5764" w:author="AbbVie2" w:date="2025-05-13T16:40:00Z">
                <w:pPr>
                  <w:pStyle w:val="EndnoteText"/>
                  <w:widowControl w:val="0"/>
                </w:pPr>
              </w:pPrChange>
            </w:pPr>
            <w:del w:id="5765" w:author="AbbVie2" w:date="2025-05-13T16:39:00Z">
              <w:r w:rsidRPr="008912CF">
                <w:rPr>
                  <w:szCs w:val="22"/>
                </w:rPr>
                <w:delText>Frequentes</w:delText>
              </w:r>
            </w:del>
          </w:p>
          <w:p w14:paraId="4010F716" w14:textId="01076441" w:rsidR="004462A0" w:rsidRPr="008912CF" w:rsidRDefault="004462A0">
            <w:pPr>
              <w:rPr>
                <w:del w:id="5766" w:author="AbbVie2" w:date="2025-05-13T16:39:00Z"/>
                <w:szCs w:val="22"/>
              </w:rPr>
              <w:pPrChange w:id="5767" w:author="AbbVie2" w:date="2025-05-13T16:40:00Z">
                <w:pPr>
                  <w:pStyle w:val="EndnoteText"/>
                  <w:widowControl w:val="0"/>
                </w:pPr>
              </w:pPrChange>
            </w:pPr>
          </w:p>
        </w:tc>
        <w:tc>
          <w:tcPr>
            <w:tcW w:w="4346" w:type="dxa"/>
            <w:tcBorders>
              <w:bottom w:val="nil"/>
            </w:tcBorders>
          </w:tcPr>
          <w:p w14:paraId="65E3CCC0" w14:textId="128ECEE6" w:rsidR="004462A0" w:rsidRPr="008912CF" w:rsidRDefault="00615769">
            <w:pPr>
              <w:rPr>
                <w:del w:id="5768" w:author="AbbVie2" w:date="2025-05-13T16:39:00Z"/>
                <w:szCs w:val="22"/>
              </w:rPr>
              <w:pPrChange w:id="5769" w:author="AbbVie2" w:date="2025-05-13T16:40:00Z">
                <w:pPr>
                  <w:pStyle w:val="EMEANormal"/>
                </w:pPr>
              </w:pPrChange>
            </w:pPr>
            <w:del w:id="5770" w:author="AbbVie2" w:date="2025-05-13T16:39:00Z">
              <w:r>
                <w:rPr>
                  <w:szCs w:val="22"/>
                </w:rPr>
                <w:delText>H</w:delText>
              </w:r>
              <w:r w:rsidRPr="008912CF">
                <w:rPr>
                  <w:szCs w:val="22"/>
                </w:rPr>
                <w:delText>ipersensibilidade,</w:delText>
              </w:r>
            </w:del>
          </w:p>
          <w:p w14:paraId="6F32BFB5" w14:textId="2DCCB163" w:rsidR="004462A0" w:rsidRDefault="00615769" w:rsidP="00412FC8">
            <w:pPr>
              <w:rPr>
                <w:del w:id="5771" w:author="AbbVie2" w:date="2025-05-13T16:39:00Z"/>
                <w:sz w:val="22"/>
                <w:szCs w:val="22"/>
              </w:rPr>
            </w:pPr>
            <w:del w:id="5772" w:author="AbbVie2" w:date="2025-05-13T16:39:00Z">
              <w:r w:rsidRPr="008912CF">
                <w:rPr>
                  <w:sz w:val="22"/>
                  <w:szCs w:val="22"/>
                </w:rPr>
                <w:delText>alergias (incluindo alergia sazonal)</w:delText>
              </w:r>
            </w:del>
          </w:p>
          <w:p w14:paraId="08F17A6B" w14:textId="20BDE2FE" w:rsidR="003E3AA9" w:rsidRPr="008912CF" w:rsidRDefault="003E3AA9" w:rsidP="00412FC8">
            <w:pPr>
              <w:rPr>
                <w:del w:id="5773" w:author="AbbVie2" w:date="2025-05-13T16:39:00Z"/>
              </w:rPr>
            </w:pPr>
          </w:p>
        </w:tc>
      </w:tr>
      <w:tr w:rsidR="00A7162A" w14:paraId="62C6254C" w14:textId="3BA81ADF" w:rsidTr="00F675CF">
        <w:trPr>
          <w:del w:id="5774" w:author="AbbVie2" w:date="2025-05-13T16:39:00Z"/>
        </w:trPr>
        <w:tc>
          <w:tcPr>
            <w:tcW w:w="2514" w:type="dxa"/>
            <w:vMerge/>
          </w:tcPr>
          <w:p w14:paraId="0B95F893" w14:textId="0C94A149" w:rsidR="004462A0" w:rsidRPr="008912CF" w:rsidRDefault="004462A0">
            <w:pPr>
              <w:rPr>
                <w:del w:id="5775" w:author="AbbVie2" w:date="2025-05-13T16:39:00Z"/>
                <w:szCs w:val="22"/>
              </w:rPr>
              <w:pPrChange w:id="5776" w:author="AbbVie2" w:date="2025-05-13T16:40:00Z">
                <w:pPr>
                  <w:pStyle w:val="EndnoteText"/>
                  <w:widowControl w:val="0"/>
                </w:pPr>
              </w:pPrChange>
            </w:pPr>
          </w:p>
        </w:tc>
        <w:tc>
          <w:tcPr>
            <w:tcW w:w="1996" w:type="dxa"/>
            <w:tcBorders>
              <w:top w:val="nil"/>
              <w:bottom w:val="nil"/>
            </w:tcBorders>
          </w:tcPr>
          <w:p w14:paraId="136DE52A" w14:textId="3174C242" w:rsidR="004462A0" w:rsidRPr="008912CF" w:rsidRDefault="00615769" w:rsidP="00412FC8">
            <w:pPr>
              <w:rPr>
                <w:del w:id="5777" w:author="AbbVie2" w:date="2025-05-13T16:39:00Z"/>
              </w:rPr>
            </w:pPr>
            <w:del w:id="5778" w:author="AbbVie2" w:date="2025-05-13T16:39:00Z">
              <w:r w:rsidRPr="008912CF">
                <w:rPr>
                  <w:szCs w:val="22"/>
                </w:rPr>
                <w:delText>Pouco frequentes</w:delText>
              </w:r>
            </w:del>
          </w:p>
        </w:tc>
        <w:tc>
          <w:tcPr>
            <w:tcW w:w="4346" w:type="dxa"/>
            <w:tcBorders>
              <w:top w:val="nil"/>
              <w:bottom w:val="nil"/>
            </w:tcBorders>
          </w:tcPr>
          <w:p w14:paraId="79FD33DA" w14:textId="505ED72B" w:rsidR="004462A0" w:rsidRPr="00DF5632" w:rsidRDefault="00615769">
            <w:pPr>
              <w:rPr>
                <w:del w:id="5779" w:author="AbbVie2" w:date="2025-05-13T16:39:00Z"/>
              </w:rPr>
              <w:pPrChange w:id="5780" w:author="AbbVie2" w:date="2025-05-13T16:40:00Z">
                <w:pPr>
                  <w:pStyle w:val="EMEANormal"/>
                </w:pPr>
              </w:pPrChange>
            </w:pPr>
            <w:del w:id="5781" w:author="AbbVie2" w:date="2025-05-13T16:39:00Z">
              <w:r>
                <w:delText>S</w:delText>
              </w:r>
              <w:r w:rsidRPr="008912CF">
                <w:delText>arcoidose</w:delText>
              </w:r>
              <w:r w:rsidRPr="008912CF">
                <w:rPr>
                  <w:vertAlign w:val="superscript"/>
                </w:rPr>
                <w:delText>1)</w:delText>
              </w:r>
              <w:r w:rsidR="0090687D">
                <w:delText>,</w:delText>
              </w:r>
            </w:del>
          </w:p>
          <w:p w14:paraId="01BB29DC" w14:textId="55831967" w:rsidR="004462A0" w:rsidRPr="008912CF" w:rsidRDefault="00615769">
            <w:pPr>
              <w:rPr>
                <w:del w:id="5782" w:author="AbbVie2" w:date="2025-05-13T16:39:00Z"/>
                <w:szCs w:val="22"/>
              </w:rPr>
              <w:pPrChange w:id="5783" w:author="AbbVie2" w:date="2025-05-13T16:40:00Z">
                <w:pPr>
                  <w:pStyle w:val="EMEANormal"/>
                </w:pPr>
              </w:pPrChange>
            </w:pPr>
            <w:del w:id="5784" w:author="AbbVie2" w:date="2025-05-13T16:39:00Z">
              <w:r w:rsidRPr="008912CF">
                <w:rPr>
                  <w:szCs w:val="22"/>
                </w:rPr>
                <w:delText>vasculite</w:delText>
              </w:r>
            </w:del>
          </w:p>
          <w:p w14:paraId="0441938C" w14:textId="21725EB5" w:rsidR="004462A0" w:rsidRPr="008912CF" w:rsidRDefault="004462A0">
            <w:pPr>
              <w:rPr>
                <w:del w:id="5785" w:author="AbbVie2" w:date="2025-05-13T16:39:00Z"/>
                <w:szCs w:val="22"/>
              </w:rPr>
              <w:pPrChange w:id="5786" w:author="AbbVie2" w:date="2025-05-13T16:40:00Z">
                <w:pPr>
                  <w:pStyle w:val="EMEANormal"/>
                </w:pPr>
              </w:pPrChange>
            </w:pPr>
          </w:p>
        </w:tc>
      </w:tr>
      <w:tr w:rsidR="00A7162A" w14:paraId="7AC415FA" w14:textId="3468AFF2" w:rsidTr="00F675CF">
        <w:trPr>
          <w:del w:id="5787" w:author="AbbVie2" w:date="2025-05-13T16:39:00Z"/>
        </w:trPr>
        <w:tc>
          <w:tcPr>
            <w:tcW w:w="2514" w:type="dxa"/>
            <w:vMerge/>
          </w:tcPr>
          <w:p w14:paraId="6691B15C" w14:textId="3B1BC40A" w:rsidR="004462A0" w:rsidRPr="008912CF" w:rsidRDefault="004462A0">
            <w:pPr>
              <w:rPr>
                <w:del w:id="5788" w:author="AbbVie2" w:date="2025-05-13T16:39:00Z"/>
                <w:szCs w:val="22"/>
              </w:rPr>
              <w:pPrChange w:id="5789" w:author="AbbVie2" w:date="2025-05-13T16:40:00Z">
                <w:pPr>
                  <w:pStyle w:val="EndnoteText"/>
                  <w:widowControl w:val="0"/>
                </w:pPr>
              </w:pPrChange>
            </w:pPr>
          </w:p>
        </w:tc>
        <w:tc>
          <w:tcPr>
            <w:tcW w:w="1996" w:type="dxa"/>
            <w:tcBorders>
              <w:top w:val="nil"/>
            </w:tcBorders>
          </w:tcPr>
          <w:p w14:paraId="7E4E0264" w14:textId="33A4DCCC" w:rsidR="004462A0" w:rsidRPr="008912CF" w:rsidRDefault="00615769" w:rsidP="00412FC8">
            <w:pPr>
              <w:rPr>
                <w:del w:id="5790" w:author="AbbVie2" w:date="2025-05-13T16:39:00Z"/>
              </w:rPr>
            </w:pPr>
            <w:del w:id="5791" w:author="AbbVie2" w:date="2025-05-13T16:39:00Z">
              <w:r w:rsidRPr="008912CF">
                <w:rPr>
                  <w:szCs w:val="22"/>
                </w:rPr>
                <w:delText>Raros</w:delText>
              </w:r>
            </w:del>
          </w:p>
        </w:tc>
        <w:tc>
          <w:tcPr>
            <w:tcW w:w="4346" w:type="dxa"/>
            <w:tcBorders>
              <w:top w:val="nil"/>
            </w:tcBorders>
          </w:tcPr>
          <w:p w14:paraId="11BEACB8" w14:textId="4B9F1EB8" w:rsidR="004462A0" w:rsidRPr="008912CF" w:rsidRDefault="00615769">
            <w:pPr>
              <w:rPr>
                <w:del w:id="5792" w:author="AbbVie2" w:date="2025-05-13T16:39:00Z"/>
                <w:vertAlign w:val="superscript"/>
              </w:rPr>
              <w:pPrChange w:id="5793" w:author="AbbVie2" w:date="2025-05-13T16:40:00Z">
                <w:pPr>
                  <w:pStyle w:val="EMEANormal"/>
                </w:pPr>
              </w:pPrChange>
            </w:pPr>
            <w:del w:id="5794" w:author="AbbVie2" w:date="2025-05-13T16:39:00Z">
              <w:r>
                <w:delText>A</w:delText>
              </w:r>
              <w:r w:rsidRPr="008912CF">
                <w:delText>nafilaxia</w:delText>
              </w:r>
              <w:r w:rsidRPr="008912CF">
                <w:rPr>
                  <w:vertAlign w:val="superscript"/>
                </w:rPr>
                <w:delText>1)</w:delText>
              </w:r>
            </w:del>
          </w:p>
          <w:p w14:paraId="5AF4C205" w14:textId="326A55C2" w:rsidR="004462A0" w:rsidRPr="008912CF" w:rsidRDefault="004462A0">
            <w:pPr>
              <w:rPr>
                <w:del w:id="5795" w:author="AbbVie2" w:date="2025-05-13T16:39:00Z"/>
                <w:szCs w:val="22"/>
              </w:rPr>
              <w:pPrChange w:id="5796" w:author="AbbVie2" w:date="2025-05-13T16:40:00Z">
                <w:pPr>
                  <w:pStyle w:val="EMEANormal"/>
                </w:pPr>
              </w:pPrChange>
            </w:pPr>
          </w:p>
        </w:tc>
      </w:tr>
      <w:tr w:rsidR="00A7162A" w14:paraId="4F2FF1D6" w14:textId="6EDC92DD" w:rsidTr="00F675CF">
        <w:trPr>
          <w:del w:id="5797" w:author="AbbVie2" w:date="2025-05-13T16:39:00Z"/>
        </w:trPr>
        <w:tc>
          <w:tcPr>
            <w:tcW w:w="2514" w:type="dxa"/>
            <w:vMerge w:val="restart"/>
          </w:tcPr>
          <w:p w14:paraId="4F8C01B2" w14:textId="444F6955" w:rsidR="004462A0" w:rsidRPr="008912CF" w:rsidRDefault="00615769">
            <w:pPr>
              <w:rPr>
                <w:del w:id="5798" w:author="AbbVie2" w:date="2025-05-13T16:39:00Z"/>
                <w:szCs w:val="22"/>
              </w:rPr>
              <w:pPrChange w:id="5799" w:author="AbbVie2" w:date="2025-05-13T16:40:00Z">
                <w:pPr>
                  <w:pStyle w:val="EMEANormal"/>
                  <w:widowControl w:val="0"/>
                  <w:spacing w:before="60"/>
                </w:pPr>
              </w:pPrChange>
            </w:pPr>
            <w:del w:id="5800" w:author="AbbVie2" w:date="2025-05-13T16:39:00Z">
              <w:r w:rsidRPr="008912CF">
                <w:rPr>
                  <w:szCs w:val="22"/>
                </w:rPr>
                <w:delText>Doenças do metabolismo e da nutrição</w:delText>
              </w:r>
            </w:del>
          </w:p>
        </w:tc>
        <w:tc>
          <w:tcPr>
            <w:tcW w:w="1996" w:type="dxa"/>
            <w:tcBorders>
              <w:bottom w:val="nil"/>
            </w:tcBorders>
          </w:tcPr>
          <w:p w14:paraId="4929D677" w14:textId="58D5BC2E" w:rsidR="004462A0" w:rsidRPr="008912CF" w:rsidRDefault="00615769">
            <w:pPr>
              <w:rPr>
                <w:del w:id="5801" w:author="AbbVie2" w:date="2025-05-13T16:39:00Z"/>
                <w:szCs w:val="22"/>
              </w:rPr>
              <w:pPrChange w:id="5802" w:author="AbbVie2" w:date="2025-05-13T16:40:00Z">
                <w:pPr>
                  <w:pStyle w:val="EMEANormal"/>
                  <w:widowControl w:val="0"/>
                </w:pPr>
              </w:pPrChange>
            </w:pPr>
            <w:del w:id="5803" w:author="AbbVie2" w:date="2025-05-13T16:39:00Z">
              <w:r w:rsidRPr="008912CF">
                <w:rPr>
                  <w:szCs w:val="22"/>
                </w:rPr>
                <w:delText xml:space="preserve">Muito frequentes </w:delText>
              </w:r>
            </w:del>
          </w:p>
        </w:tc>
        <w:tc>
          <w:tcPr>
            <w:tcW w:w="4346" w:type="dxa"/>
            <w:tcBorders>
              <w:bottom w:val="nil"/>
            </w:tcBorders>
          </w:tcPr>
          <w:p w14:paraId="65157409" w14:textId="2F643A32" w:rsidR="004462A0" w:rsidRPr="008912CF" w:rsidRDefault="00615769">
            <w:pPr>
              <w:rPr>
                <w:del w:id="5804" w:author="AbbVie2" w:date="2025-05-13T16:39:00Z"/>
                <w:szCs w:val="22"/>
              </w:rPr>
              <w:pPrChange w:id="5805" w:author="AbbVie2" w:date="2025-05-13T16:40:00Z">
                <w:pPr>
                  <w:pStyle w:val="EMEANormal"/>
                  <w:widowControl w:val="0"/>
                </w:pPr>
              </w:pPrChange>
            </w:pPr>
            <w:del w:id="5806" w:author="AbbVie2" w:date="2025-05-13T16:39:00Z">
              <w:r>
                <w:rPr>
                  <w:szCs w:val="22"/>
                </w:rPr>
                <w:delText>A</w:delText>
              </w:r>
              <w:r w:rsidRPr="008912CF">
                <w:rPr>
                  <w:szCs w:val="22"/>
                </w:rPr>
                <w:delText>umento dos lípidos</w:delText>
              </w:r>
            </w:del>
          </w:p>
          <w:p w14:paraId="03117130" w14:textId="33195B9E" w:rsidR="004462A0" w:rsidRPr="008912CF" w:rsidRDefault="004462A0">
            <w:pPr>
              <w:rPr>
                <w:del w:id="5807" w:author="AbbVie2" w:date="2025-05-13T16:39:00Z"/>
                <w:szCs w:val="22"/>
              </w:rPr>
              <w:pPrChange w:id="5808" w:author="AbbVie2" w:date="2025-05-13T16:40:00Z">
                <w:pPr>
                  <w:pStyle w:val="EMEANormal"/>
                  <w:widowControl w:val="0"/>
                </w:pPr>
              </w:pPrChange>
            </w:pPr>
          </w:p>
        </w:tc>
      </w:tr>
      <w:tr w:rsidR="00A7162A" w14:paraId="1D8A17F4" w14:textId="0C48A9CE" w:rsidTr="00F675CF">
        <w:trPr>
          <w:del w:id="5809" w:author="AbbVie2" w:date="2025-05-13T16:39:00Z"/>
        </w:trPr>
        <w:tc>
          <w:tcPr>
            <w:tcW w:w="2514" w:type="dxa"/>
            <w:vMerge/>
          </w:tcPr>
          <w:p w14:paraId="7D5D8FCF" w14:textId="1EFB19A7" w:rsidR="004462A0" w:rsidRPr="008912CF" w:rsidRDefault="004462A0">
            <w:pPr>
              <w:rPr>
                <w:del w:id="5810" w:author="AbbVie2" w:date="2025-05-13T16:39:00Z"/>
                <w:szCs w:val="22"/>
              </w:rPr>
              <w:pPrChange w:id="5811" w:author="AbbVie2" w:date="2025-05-13T16:40:00Z">
                <w:pPr>
                  <w:pStyle w:val="EMEANormal"/>
                  <w:widowControl w:val="0"/>
                  <w:spacing w:before="60"/>
                </w:pPr>
              </w:pPrChange>
            </w:pPr>
          </w:p>
        </w:tc>
        <w:tc>
          <w:tcPr>
            <w:tcW w:w="1996" w:type="dxa"/>
            <w:tcBorders>
              <w:top w:val="nil"/>
            </w:tcBorders>
          </w:tcPr>
          <w:p w14:paraId="0962ECB7" w14:textId="71BB9989" w:rsidR="004462A0" w:rsidRPr="008912CF" w:rsidRDefault="00615769">
            <w:pPr>
              <w:rPr>
                <w:del w:id="5812" w:author="AbbVie2" w:date="2025-05-13T16:39:00Z"/>
                <w:szCs w:val="22"/>
              </w:rPr>
              <w:pPrChange w:id="5813" w:author="AbbVie2" w:date="2025-05-13T16:40:00Z">
                <w:pPr>
                  <w:pStyle w:val="EMEANormal"/>
                  <w:widowControl w:val="0"/>
                </w:pPr>
              </w:pPrChange>
            </w:pPr>
            <w:del w:id="5814" w:author="AbbVie2" w:date="2025-05-13T16:39:00Z">
              <w:r w:rsidRPr="008912CF">
                <w:rPr>
                  <w:szCs w:val="22"/>
                </w:rPr>
                <w:delText>Frequentes</w:delText>
              </w:r>
            </w:del>
          </w:p>
          <w:p w14:paraId="331FED57" w14:textId="44FE0FC9" w:rsidR="004462A0" w:rsidRPr="008912CF" w:rsidRDefault="004462A0">
            <w:pPr>
              <w:rPr>
                <w:del w:id="5815" w:author="AbbVie2" w:date="2025-05-13T16:39:00Z"/>
                <w:szCs w:val="22"/>
              </w:rPr>
              <w:pPrChange w:id="5816" w:author="AbbVie2" w:date="2025-05-13T16:40:00Z">
                <w:pPr>
                  <w:pStyle w:val="EMEANormal"/>
                  <w:widowControl w:val="0"/>
                </w:pPr>
              </w:pPrChange>
            </w:pPr>
          </w:p>
          <w:p w14:paraId="6AE0F9AB" w14:textId="61B064F7" w:rsidR="004462A0" w:rsidRPr="008912CF" w:rsidRDefault="004462A0">
            <w:pPr>
              <w:rPr>
                <w:del w:id="5817" w:author="AbbVie2" w:date="2025-05-13T16:39:00Z"/>
                <w:szCs w:val="22"/>
              </w:rPr>
              <w:pPrChange w:id="5818" w:author="AbbVie2" w:date="2025-05-13T16:40:00Z">
                <w:pPr>
                  <w:pStyle w:val="EMEANormal"/>
                  <w:widowControl w:val="0"/>
                </w:pPr>
              </w:pPrChange>
            </w:pPr>
          </w:p>
          <w:p w14:paraId="53D717DF" w14:textId="471E347E" w:rsidR="004462A0" w:rsidRPr="008912CF" w:rsidRDefault="004462A0">
            <w:pPr>
              <w:rPr>
                <w:del w:id="5819" w:author="AbbVie2" w:date="2025-05-13T16:39:00Z"/>
                <w:szCs w:val="22"/>
              </w:rPr>
              <w:pPrChange w:id="5820" w:author="AbbVie2" w:date="2025-05-13T16:40:00Z">
                <w:pPr>
                  <w:pStyle w:val="EMEANormal"/>
                  <w:widowControl w:val="0"/>
                </w:pPr>
              </w:pPrChange>
            </w:pPr>
          </w:p>
          <w:p w14:paraId="7DBB9E80" w14:textId="6CD09AAA" w:rsidR="004462A0" w:rsidRPr="008912CF" w:rsidRDefault="004462A0">
            <w:pPr>
              <w:rPr>
                <w:del w:id="5821" w:author="AbbVie2" w:date="2025-05-13T16:39:00Z"/>
                <w:szCs w:val="22"/>
              </w:rPr>
              <w:pPrChange w:id="5822" w:author="AbbVie2" w:date="2025-05-13T16:40:00Z">
                <w:pPr>
                  <w:pStyle w:val="EMEANormal"/>
                  <w:widowControl w:val="0"/>
                </w:pPr>
              </w:pPrChange>
            </w:pPr>
          </w:p>
          <w:p w14:paraId="21BC8232" w14:textId="19CA643F" w:rsidR="004462A0" w:rsidRPr="008912CF" w:rsidRDefault="004462A0">
            <w:pPr>
              <w:rPr>
                <w:del w:id="5823" w:author="AbbVie2" w:date="2025-05-13T16:39:00Z"/>
                <w:szCs w:val="22"/>
              </w:rPr>
              <w:pPrChange w:id="5824" w:author="AbbVie2" w:date="2025-05-13T16:40:00Z">
                <w:pPr>
                  <w:pStyle w:val="EMEANormal"/>
                  <w:widowControl w:val="0"/>
                </w:pPr>
              </w:pPrChange>
            </w:pPr>
          </w:p>
          <w:p w14:paraId="57DB8F01" w14:textId="04747B5D" w:rsidR="004462A0" w:rsidRPr="008912CF" w:rsidRDefault="004462A0">
            <w:pPr>
              <w:rPr>
                <w:del w:id="5825" w:author="AbbVie2" w:date="2025-05-13T16:39:00Z"/>
                <w:szCs w:val="22"/>
              </w:rPr>
              <w:pPrChange w:id="5826" w:author="AbbVie2" w:date="2025-05-13T16:40:00Z">
                <w:pPr>
                  <w:pStyle w:val="EMEANormal"/>
                  <w:widowControl w:val="0"/>
                </w:pPr>
              </w:pPrChange>
            </w:pPr>
          </w:p>
        </w:tc>
        <w:tc>
          <w:tcPr>
            <w:tcW w:w="4346" w:type="dxa"/>
            <w:tcBorders>
              <w:top w:val="nil"/>
            </w:tcBorders>
          </w:tcPr>
          <w:p w14:paraId="1D0A0736" w14:textId="7F0FC586" w:rsidR="004462A0" w:rsidRPr="008912CF" w:rsidRDefault="00615769">
            <w:pPr>
              <w:rPr>
                <w:del w:id="5827" w:author="AbbVie2" w:date="2025-05-13T16:39:00Z"/>
                <w:szCs w:val="22"/>
              </w:rPr>
              <w:pPrChange w:id="5828" w:author="AbbVie2" w:date="2025-05-13T16:40:00Z">
                <w:pPr>
                  <w:pStyle w:val="EMEANormal"/>
                  <w:widowControl w:val="0"/>
                </w:pPr>
              </w:pPrChange>
            </w:pPr>
            <w:del w:id="5829" w:author="AbbVie2" w:date="2025-05-13T16:39:00Z">
              <w:r>
                <w:rPr>
                  <w:szCs w:val="22"/>
                </w:rPr>
                <w:delText>H</w:delText>
              </w:r>
              <w:r w:rsidRPr="008912CF">
                <w:rPr>
                  <w:szCs w:val="22"/>
                </w:rPr>
                <w:delText xml:space="preserve">ipocaliemia, </w:delText>
              </w:r>
            </w:del>
          </w:p>
          <w:p w14:paraId="24C36109" w14:textId="41C4236F" w:rsidR="004462A0" w:rsidRPr="008912CF" w:rsidRDefault="00615769">
            <w:pPr>
              <w:rPr>
                <w:del w:id="5830" w:author="AbbVie2" w:date="2025-05-13T16:39:00Z"/>
                <w:szCs w:val="22"/>
              </w:rPr>
              <w:pPrChange w:id="5831" w:author="AbbVie2" w:date="2025-05-13T16:40:00Z">
                <w:pPr>
                  <w:pStyle w:val="EMEANormal"/>
                  <w:widowControl w:val="0"/>
                </w:pPr>
              </w:pPrChange>
            </w:pPr>
            <w:del w:id="5832" w:author="AbbVie2" w:date="2025-05-13T16:39:00Z">
              <w:r w:rsidRPr="008912CF">
                <w:rPr>
                  <w:szCs w:val="22"/>
                </w:rPr>
                <w:delText>aumento do ácido úrico,</w:delText>
              </w:r>
            </w:del>
          </w:p>
          <w:p w14:paraId="766E5582" w14:textId="64DC2ED9" w:rsidR="004462A0" w:rsidRPr="008912CF" w:rsidRDefault="00615769">
            <w:pPr>
              <w:rPr>
                <w:del w:id="5833" w:author="AbbVie2" w:date="2025-05-13T16:39:00Z"/>
                <w:szCs w:val="22"/>
              </w:rPr>
              <w:pPrChange w:id="5834" w:author="AbbVie2" w:date="2025-05-13T16:40:00Z">
                <w:pPr>
                  <w:pStyle w:val="EMEANormal"/>
                  <w:widowControl w:val="0"/>
                </w:pPr>
              </w:pPrChange>
            </w:pPr>
            <w:del w:id="5835" w:author="AbbVie2" w:date="2025-05-13T16:39:00Z">
              <w:r w:rsidRPr="008912CF">
                <w:rPr>
                  <w:szCs w:val="22"/>
                </w:rPr>
                <w:delText xml:space="preserve">nível de sódio anormal, </w:delText>
              </w:r>
            </w:del>
          </w:p>
          <w:p w14:paraId="01D341C2" w14:textId="4A2C1C79" w:rsidR="004462A0" w:rsidRPr="008912CF" w:rsidRDefault="00615769">
            <w:pPr>
              <w:rPr>
                <w:del w:id="5836" w:author="AbbVie2" w:date="2025-05-13T16:39:00Z"/>
                <w:szCs w:val="22"/>
              </w:rPr>
              <w:pPrChange w:id="5837" w:author="AbbVie2" w:date="2025-05-13T16:40:00Z">
                <w:pPr>
                  <w:pStyle w:val="EMEANormal"/>
                  <w:widowControl w:val="0"/>
                </w:pPr>
              </w:pPrChange>
            </w:pPr>
            <w:del w:id="5838" w:author="AbbVie2" w:date="2025-05-13T16:39:00Z">
              <w:r w:rsidRPr="008912CF">
                <w:rPr>
                  <w:szCs w:val="22"/>
                </w:rPr>
                <w:delText>hipocalcemia,</w:delText>
              </w:r>
            </w:del>
          </w:p>
          <w:p w14:paraId="208E67C0" w14:textId="3E19A482" w:rsidR="004462A0" w:rsidRPr="008912CF" w:rsidRDefault="00615769">
            <w:pPr>
              <w:rPr>
                <w:del w:id="5839" w:author="AbbVie2" w:date="2025-05-13T16:39:00Z"/>
                <w:szCs w:val="22"/>
              </w:rPr>
              <w:pPrChange w:id="5840" w:author="AbbVie2" w:date="2025-05-13T16:40:00Z">
                <w:pPr>
                  <w:pStyle w:val="EMEANormal"/>
                  <w:widowControl w:val="0"/>
                </w:pPr>
              </w:pPrChange>
            </w:pPr>
            <w:del w:id="5841" w:author="AbbVie2" w:date="2025-05-13T16:39:00Z">
              <w:r w:rsidRPr="008912CF">
                <w:rPr>
                  <w:szCs w:val="22"/>
                </w:rPr>
                <w:delText>hiperglicemia,</w:delText>
              </w:r>
            </w:del>
          </w:p>
          <w:p w14:paraId="122EF40B" w14:textId="4ED5C085" w:rsidR="004462A0" w:rsidRPr="008912CF" w:rsidRDefault="00615769">
            <w:pPr>
              <w:rPr>
                <w:del w:id="5842" w:author="AbbVie2" w:date="2025-05-13T16:39:00Z"/>
                <w:szCs w:val="22"/>
              </w:rPr>
              <w:pPrChange w:id="5843" w:author="AbbVie2" w:date="2025-05-13T16:40:00Z">
                <w:pPr>
                  <w:pStyle w:val="EMEANormal"/>
                  <w:widowControl w:val="0"/>
                </w:pPr>
              </w:pPrChange>
            </w:pPr>
            <w:del w:id="5844" w:author="AbbVie2" w:date="2025-05-13T16:39:00Z">
              <w:r w:rsidRPr="008912CF">
                <w:rPr>
                  <w:szCs w:val="22"/>
                </w:rPr>
                <w:delText>hipofosfatemia,</w:delText>
              </w:r>
            </w:del>
          </w:p>
          <w:p w14:paraId="2E54F275" w14:textId="488FB495" w:rsidR="004462A0" w:rsidRDefault="00615769">
            <w:pPr>
              <w:rPr>
                <w:del w:id="5845" w:author="AbbVie2" w:date="2025-05-13T16:39:00Z"/>
                <w:szCs w:val="22"/>
              </w:rPr>
              <w:pPrChange w:id="5846" w:author="AbbVie2" w:date="2025-05-13T16:40:00Z">
                <w:pPr>
                  <w:pStyle w:val="EMEANormal"/>
                </w:pPr>
              </w:pPrChange>
            </w:pPr>
            <w:del w:id="5847" w:author="AbbVie2" w:date="2025-05-13T16:39:00Z">
              <w:r w:rsidRPr="008912CF">
                <w:rPr>
                  <w:szCs w:val="22"/>
                </w:rPr>
                <w:delText>desidratação</w:delText>
              </w:r>
            </w:del>
          </w:p>
          <w:p w14:paraId="0BE64FA5" w14:textId="4C0F915E" w:rsidR="00390D91" w:rsidRPr="008912CF" w:rsidRDefault="00390D91">
            <w:pPr>
              <w:rPr>
                <w:del w:id="5848" w:author="AbbVie2" w:date="2025-05-13T16:39:00Z"/>
                <w:szCs w:val="22"/>
              </w:rPr>
              <w:pPrChange w:id="5849" w:author="AbbVie2" w:date="2025-05-13T16:40:00Z">
                <w:pPr>
                  <w:pStyle w:val="EMEANormal"/>
                </w:pPr>
              </w:pPrChange>
            </w:pPr>
          </w:p>
        </w:tc>
      </w:tr>
      <w:tr w:rsidR="00A7162A" w14:paraId="1015513F" w14:textId="7A475FF3" w:rsidTr="00F675CF">
        <w:trPr>
          <w:del w:id="5850" w:author="AbbVie2" w:date="2025-05-13T16:39:00Z"/>
        </w:trPr>
        <w:tc>
          <w:tcPr>
            <w:tcW w:w="2514" w:type="dxa"/>
          </w:tcPr>
          <w:p w14:paraId="55C5A928" w14:textId="518A53D2" w:rsidR="004462A0" w:rsidRPr="008912CF" w:rsidRDefault="00615769">
            <w:pPr>
              <w:rPr>
                <w:del w:id="5851" w:author="AbbVie2" w:date="2025-05-13T16:39:00Z"/>
                <w:szCs w:val="22"/>
              </w:rPr>
              <w:pPrChange w:id="5852" w:author="AbbVie2" w:date="2025-05-13T16:40:00Z">
                <w:pPr>
                  <w:pStyle w:val="EMEANormal"/>
                  <w:widowControl w:val="0"/>
                  <w:spacing w:before="60"/>
                </w:pPr>
              </w:pPrChange>
            </w:pPr>
            <w:del w:id="5853" w:author="AbbVie2" w:date="2025-05-13T16:39:00Z">
              <w:r w:rsidRPr="008912CF">
                <w:rPr>
                  <w:szCs w:val="22"/>
                </w:rPr>
                <w:delText>Perturbações do foro psiquiátrico</w:delText>
              </w:r>
            </w:del>
          </w:p>
        </w:tc>
        <w:tc>
          <w:tcPr>
            <w:tcW w:w="1996" w:type="dxa"/>
          </w:tcPr>
          <w:p w14:paraId="1AF7423E" w14:textId="22562059" w:rsidR="004462A0" w:rsidRPr="008912CF" w:rsidRDefault="00615769">
            <w:pPr>
              <w:rPr>
                <w:del w:id="5854" w:author="AbbVie2" w:date="2025-05-13T16:39:00Z"/>
                <w:szCs w:val="22"/>
              </w:rPr>
              <w:pPrChange w:id="5855" w:author="AbbVie2" w:date="2025-05-13T16:40:00Z">
                <w:pPr>
                  <w:pStyle w:val="EMEANormal"/>
                  <w:widowControl w:val="0"/>
                </w:pPr>
              </w:pPrChange>
            </w:pPr>
            <w:del w:id="5856" w:author="AbbVie2" w:date="2025-05-13T16:39:00Z">
              <w:r w:rsidRPr="008912CF">
                <w:rPr>
                  <w:szCs w:val="22"/>
                </w:rPr>
                <w:delText>Frequentes</w:delText>
              </w:r>
            </w:del>
          </w:p>
        </w:tc>
        <w:tc>
          <w:tcPr>
            <w:tcW w:w="4346" w:type="dxa"/>
          </w:tcPr>
          <w:p w14:paraId="1AB50EC8" w14:textId="6B4FA302" w:rsidR="004462A0" w:rsidRPr="008912CF" w:rsidRDefault="00615769">
            <w:pPr>
              <w:rPr>
                <w:del w:id="5857" w:author="AbbVie2" w:date="2025-05-13T16:39:00Z"/>
                <w:szCs w:val="22"/>
              </w:rPr>
              <w:pPrChange w:id="5858" w:author="AbbVie2" w:date="2025-05-13T16:40:00Z">
                <w:pPr>
                  <w:pStyle w:val="EMEANormal"/>
                  <w:widowControl w:val="0"/>
                </w:pPr>
              </w:pPrChange>
            </w:pPr>
            <w:del w:id="5859" w:author="AbbVie2" w:date="2025-05-13T16:39:00Z">
              <w:r>
                <w:rPr>
                  <w:szCs w:val="22"/>
                </w:rPr>
                <w:delText>A</w:delText>
              </w:r>
              <w:r w:rsidRPr="008912CF">
                <w:rPr>
                  <w:szCs w:val="22"/>
                </w:rPr>
                <w:delText xml:space="preserve">lterações de humor (incluindo depressão), ansiedade, </w:delText>
              </w:r>
            </w:del>
          </w:p>
          <w:p w14:paraId="2F04C25C" w14:textId="1039C9A9" w:rsidR="004462A0" w:rsidRPr="008912CF" w:rsidRDefault="00615769">
            <w:pPr>
              <w:rPr>
                <w:del w:id="5860" w:author="AbbVie2" w:date="2025-05-13T16:39:00Z"/>
                <w:szCs w:val="22"/>
              </w:rPr>
              <w:pPrChange w:id="5861" w:author="AbbVie2" w:date="2025-05-13T16:40:00Z">
                <w:pPr>
                  <w:pStyle w:val="EMEANormal"/>
                  <w:widowControl w:val="0"/>
                </w:pPr>
              </w:pPrChange>
            </w:pPr>
            <w:del w:id="5862" w:author="AbbVie2" w:date="2025-05-13T16:39:00Z">
              <w:r w:rsidRPr="008912CF">
                <w:rPr>
                  <w:szCs w:val="22"/>
                </w:rPr>
                <w:delText>insónia</w:delText>
              </w:r>
            </w:del>
          </w:p>
          <w:p w14:paraId="64A103A2" w14:textId="13FA0967" w:rsidR="004462A0" w:rsidRPr="008912CF" w:rsidRDefault="004462A0">
            <w:pPr>
              <w:rPr>
                <w:del w:id="5863" w:author="AbbVie2" w:date="2025-05-13T16:39:00Z"/>
                <w:szCs w:val="22"/>
              </w:rPr>
              <w:pPrChange w:id="5864" w:author="AbbVie2" w:date="2025-05-13T16:40:00Z">
                <w:pPr>
                  <w:pStyle w:val="EMEANormal"/>
                  <w:widowControl w:val="0"/>
                </w:pPr>
              </w:pPrChange>
            </w:pPr>
          </w:p>
        </w:tc>
      </w:tr>
      <w:tr w:rsidR="00A7162A" w14:paraId="116B9EF8" w14:textId="43C48B59" w:rsidTr="00F675CF">
        <w:trPr>
          <w:del w:id="5865" w:author="AbbVie2" w:date="2025-05-13T16:39:00Z"/>
        </w:trPr>
        <w:tc>
          <w:tcPr>
            <w:tcW w:w="2514" w:type="dxa"/>
            <w:vMerge w:val="restart"/>
          </w:tcPr>
          <w:p w14:paraId="1CDA86E0" w14:textId="634C5843" w:rsidR="004462A0" w:rsidRPr="008912CF" w:rsidRDefault="00615769">
            <w:pPr>
              <w:rPr>
                <w:del w:id="5866" w:author="AbbVie2" w:date="2025-05-13T16:39:00Z"/>
                <w:szCs w:val="22"/>
              </w:rPr>
              <w:pPrChange w:id="5867" w:author="AbbVie2" w:date="2025-05-13T16:40:00Z">
                <w:pPr>
                  <w:pStyle w:val="EMEANormal"/>
                  <w:widowControl w:val="0"/>
                  <w:spacing w:before="60"/>
                </w:pPr>
              </w:pPrChange>
            </w:pPr>
            <w:del w:id="5868" w:author="AbbVie2" w:date="2025-05-13T16:39:00Z">
              <w:r w:rsidRPr="008912CF">
                <w:rPr>
                  <w:szCs w:val="22"/>
                </w:rPr>
                <w:delText>Doenças do sistema nervoso *</w:delText>
              </w:r>
            </w:del>
          </w:p>
        </w:tc>
        <w:tc>
          <w:tcPr>
            <w:tcW w:w="1996" w:type="dxa"/>
            <w:tcBorders>
              <w:bottom w:val="nil"/>
            </w:tcBorders>
          </w:tcPr>
          <w:p w14:paraId="06750091" w14:textId="57F4168A" w:rsidR="004462A0" w:rsidRPr="008912CF" w:rsidRDefault="00615769">
            <w:pPr>
              <w:rPr>
                <w:del w:id="5869" w:author="AbbVie2" w:date="2025-05-13T16:39:00Z"/>
                <w:szCs w:val="22"/>
              </w:rPr>
              <w:pPrChange w:id="5870" w:author="AbbVie2" w:date="2025-05-13T16:40:00Z">
                <w:pPr>
                  <w:pStyle w:val="EMEANormal"/>
                  <w:widowControl w:val="0"/>
                </w:pPr>
              </w:pPrChange>
            </w:pPr>
            <w:del w:id="5871" w:author="AbbVie2" w:date="2025-05-13T16:39:00Z">
              <w:r w:rsidRPr="008912CF">
                <w:rPr>
                  <w:szCs w:val="22"/>
                </w:rPr>
                <w:delText xml:space="preserve">Muito frequentes </w:delText>
              </w:r>
            </w:del>
          </w:p>
        </w:tc>
        <w:tc>
          <w:tcPr>
            <w:tcW w:w="4346" w:type="dxa"/>
            <w:tcBorders>
              <w:bottom w:val="nil"/>
            </w:tcBorders>
          </w:tcPr>
          <w:p w14:paraId="51A36F33" w14:textId="79503CA3" w:rsidR="004462A0" w:rsidRPr="008912CF" w:rsidRDefault="00615769">
            <w:pPr>
              <w:rPr>
                <w:del w:id="5872" w:author="AbbVie2" w:date="2025-05-13T16:39:00Z"/>
                <w:szCs w:val="22"/>
              </w:rPr>
              <w:pPrChange w:id="5873" w:author="AbbVie2" w:date="2025-05-13T16:40:00Z">
                <w:pPr>
                  <w:pStyle w:val="EMEANormal"/>
                  <w:widowControl w:val="0"/>
                </w:pPr>
              </w:pPrChange>
            </w:pPr>
            <w:del w:id="5874" w:author="AbbVie2" w:date="2025-05-13T16:39:00Z">
              <w:r>
                <w:rPr>
                  <w:szCs w:val="22"/>
                </w:rPr>
                <w:delText>C</w:delText>
              </w:r>
              <w:r w:rsidRPr="008912CF">
                <w:rPr>
                  <w:szCs w:val="22"/>
                </w:rPr>
                <w:delText>efaleias</w:delText>
              </w:r>
            </w:del>
          </w:p>
          <w:p w14:paraId="05EDDE08" w14:textId="1633294F" w:rsidR="004462A0" w:rsidRPr="008912CF" w:rsidRDefault="004462A0">
            <w:pPr>
              <w:rPr>
                <w:del w:id="5875" w:author="AbbVie2" w:date="2025-05-13T16:39:00Z"/>
                <w:szCs w:val="22"/>
              </w:rPr>
              <w:pPrChange w:id="5876" w:author="AbbVie2" w:date="2025-05-13T16:40:00Z">
                <w:pPr>
                  <w:pStyle w:val="EMEANormal"/>
                  <w:widowControl w:val="0"/>
                </w:pPr>
              </w:pPrChange>
            </w:pPr>
          </w:p>
        </w:tc>
      </w:tr>
      <w:tr w:rsidR="00A7162A" w14:paraId="43BE2FB3" w14:textId="641E0909" w:rsidTr="00F675CF">
        <w:trPr>
          <w:del w:id="5877" w:author="AbbVie2" w:date="2025-05-13T16:39:00Z"/>
        </w:trPr>
        <w:tc>
          <w:tcPr>
            <w:tcW w:w="2514" w:type="dxa"/>
            <w:vMerge/>
          </w:tcPr>
          <w:p w14:paraId="68BE3D33" w14:textId="6622B264" w:rsidR="004462A0" w:rsidRPr="008912CF" w:rsidRDefault="004462A0">
            <w:pPr>
              <w:rPr>
                <w:del w:id="5878" w:author="AbbVie2" w:date="2025-05-13T16:39:00Z"/>
                <w:szCs w:val="22"/>
              </w:rPr>
              <w:pPrChange w:id="5879" w:author="AbbVie2" w:date="2025-05-13T16:40:00Z">
                <w:pPr>
                  <w:pStyle w:val="EMEANormal"/>
                  <w:widowControl w:val="0"/>
                  <w:spacing w:before="60"/>
                </w:pPr>
              </w:pPrChange>
            </w:pPr>
          </w:p>
        </w:tc>
        <w:tc>
          <w:tcPr>
            <w:tcW w:w="1996" w:type="dxa"/>
            <w:tcBorders>
              <w:top w:val="nil"/>
              <w:bottom w:val="nil"/>
            </w:tcBorders>
          </w:tcPr>
          <w:p w14:paraId="653EB4B4" w14:textId="360B5BB8" w:rsidR="004462A0" w:rsidRPr="008912CF" w:rsidRDefault="00615769">
            <w:pPr>
              <w:rPr>
                <w:del w:id="5880" w:author="AbbVie2" w:date="2025-05-13T16:39:00Z"/>
                <w:szCs w:val="22"/>
              </w:rPr>
              <w:pPrChange w:id="5881" w:author="AbbVie2" w:date="2025-05-13T16:40:00Z">
                <w:pPr>
                  <w:pStyle w:val="EMEANormal"/>
                  <w:widowControl w:val="0"/>
                </w:pPr>
              </w:pPrChange>
            </w:pPr>
            <w:del w:id="5882" w:author="AbbVie2" w:date="2025-05-13T16:39:00Z">
              <w:r w:rsidRPr="008912CF">
                <w:rPr>
                  <w:szCs w:val="22"/>
                </w:rPr>
                <w:delText>Frequentes</w:delText>
              </w:r>
            </w:del>
          </w:p>
          <w:p w14:paraId="31A73BCD" w14:textId="6CCA802D" w:rsidR="004462A0" w:rsidRPr="008912CF" w:rsidRDefault="004462A0">
            <w:pPr>
              <w:rPr>
                <w:del w:id="5883" w:author="AbbVie2" w:date="2025-05-13T16:39:00Z"/>
                <w:szCs w:val="22"/>
              </w:rPr>
              <w:pPrChange w:id="5884" w:author="AbbVie2" w:date="2025-05-13T16:40:00Z">
                <w:pPr>
                  <w:pStyle w:val="EMEANormal"/>
                  <w:widowControl w:val="0"/>
                </w:pPr>
              </w:pPrChange>
            </w:pPr>
          </w:p>
        </w:tc>
        <w:tc>
          <w:tcPr>
            <w:tcW w:w="4346" w:type="dxa"/>
            <w:tcBorders>
              <w:top w:val="nil"/>
              <w:bottom w:val="nil"/>
            </w:tcBorders>
          </w:tcPr>
          <w:p w14:paraId="77ADFC37" w14:textId="462748CF" w:rsidR="004462A0" w:rsidRPr="008912CF" w:rsidRDefault="00615769">
            <w:pPr>
              <w:rPr>
                <w:del w:id="5885" w:author="AbbVie2" w:date="2025-05-13T16:39:00Z"/>
                <w:szCs w:val="22"/>
              </w:rPr>
              <w:pPrChange w:id="5886" w:author="AbbVie2" w:date="2025-05-13T16:40:00Z">
                <w:pPr>
                  <w:pStyle w:val="EMEANormal"/>
                  <w:widowControl w:val="0"/>
                </w:pPr>
              </w:pPrChange>
            </w:pPr>
            <w:del w:id="5887" w:author="AbbVie2" w:date="2025-05-13T16:39:00Z">
              <w:r>
                <w:rPr>
                  <w:szCs w:val="22"/>
                </w:rPr>
                <w:delText>P</w:delText>
              </w:r>
              <w:r w:rsidRPr="008912CF">
                <w:rPr>
                  <w:szCs w:val="22"/>
                </w:rPr>
                <w:delText>arestesias (incluindo hipo</w:delText>
              </w:r>
              <w:r w:rsidR="00D9472B">
                <w:rPr>
                  <w:szCs w:val="22"/>
                </w:rPr>
                <w:delText>e</w:delText>
              </w:r>
              <w:r w:rsidRPr="008912CF">
                <w:rPr>
                  <w:szCs w:val="22"/>
                </w:rPr>
                <w:delText>stesia),</w:delText>
              </w:r>
            </w:del>
          </w:p>
          <w:p w14:paraId="68B1B487" w14:textId="49B060F6" w:rsidR="004462A0" w:rsidRPr="008912CF" w:rsidRDefault="00615769">
            <w:pPr>
              <w:rPr>
                <w:del w:id="5888" w:author="AbbVie2" w:date="2025-05-13T16:39:00Z"/>
                <w:szCs w:val="22"/>
              </w:rPr>
              <w:pPrChange w:id="5889" w:author="AbbVie2" w:date="2025-05-13T16:40:00Z">
                <w:pPr>
                  <w:pStyle w:val="EMEANormal"/>
                  <w:widowControl w:val="0"/>
                </w:pPr>
              </w:pPrChange>
            </w:pPr>
            <w:del w:id="5890" w:author="AbbVie2" w:date="2025-05-13T16:39:00Z">
              <w:r w:rsidRPr="008912CF">
                <w:rPr>
                  <w:szCs w:val="22"/>
                </w:rPr>
                <w:delText>enxaqueca,</w:delText>
              </w:r>
            </w:del>
          </w:p>
          <w:p w14:paraId="04678446" w14:textId="0EDAA73E" w:rsidR="004462A0" w:rsidRPr="008912CF" w:rsidRDefault="00615769">
            <w:pPr>
              <w:rPr>
                <w:del w:id="5891" w:author="AbbVie2" w:date="2025-05-13T16:39:00Z"/>
                <w:szCs w:val="22"/>
              </w:rPr>
              <w:pPrChange w:id="5892" w:author="AbbVie2" w:date="2025-05-13T16:40:00Z">
                <w:pPr>
                  <w:pStyle w:val="EMEANormal"/>
                </w:pPr>
              </w:pPrChange>
            </w:pPr>
            <w:del w:id="5893" w:author="AbbVie2" w:date="2025-05-13T16:39:00Z">
              <w:r w:rsidRPr="008912CF">
                <w:rPr>
                  <w:szCs w:val="22"/>
                </w:rPr>
                <w:delText>compressão da raiz nervosa</w:delText>
              </w:r>
            </w:del>
          </w:p>
          <w:p w14:paraId="124A341E" w14:textId="754E9E5B" w:rsidR="004462A0" w:rsidRPr="008912CF" w:rsidRDefault="004462A0">
            <w:pPr>
              <w:rPr>
                <w:del w:id="5894" w:author="AbbVie2" w:date="2025-05-13T16:39:00Z"/>
                <w:szCs w:val="22"/>
              </w:rPr>
              <w:pPrChange w:id="5895" w:author="AbbVie2" w:date="2025-05-13T16:40:00Z">
                <w:pPr>
                  <w:pStyle w:val="EMEANormal"/>
                </w:pPr>
              </w:pPrChange>
            </w:pPr>
          </w:p>
        </w:tc>
      </w:tr>
      <w:tr w:rsidR="00A7162A" w14:paraId="4C7E21C7" w14:textId="18BC3BCA" w:rsidTr="00F675CF">
        <w:trPr>
          <w:del w:id="5896" w:author="AbbVie2" w:date="2025-05-13T16:39:00Z"/>
        </w:trPr>
        <w:tc>
          <w:tcPr>
            <w:tcW w:w="2514" w:type="dxa"/>
            <w:vMerge/>
          </w:tcPr>
          <w:p w14:paraId="7238C6D5" w14:textId="6F4D8166" w:rsidR="004462A0" w:rsidRPr="008912CF" w:rsidRDefault="004462A0">
            <w:pPr>
              <w:rPr>
                <w:del w:id="5897" w:author="AbbVie2" w:date="2025-05-13T16:39:00Z"/>
                <w:b/>
              </w:rPr>
              <w:pPrChange w:id="5898" w:author="AbbVie2" w:date="2025-05-13T16:40:00Z">
                <w:pPr>
                  <w:widowControl w:val="0"/>
                  <w:spacing w:before="60"/>
                  <w:jc w:val="center"/>
                </w:pPr>
              </w:pPrChange>
            </w:pPr>
          </w:p>
        </w:tc>
        <w:tc>
          <w:tcPr>
            <w:tcW w:w="1996" w:type="dxa"/>
            <w:tcBorders>
              <w:top w:val="nil"/>
              <w:bottom w:val="nil"/>
            </w:tcBorders>
          </w:tcPr>
          <w:p w14:paraId="0730CD4C" w14:textId="7E53D172" w:rsidR="004462A0" w:rsidRPr="008912CF" w:rsidRDefault="00615769">
            <w:pPr>
              <w:rPr>
                <w:del w:id="5899" w:author="AbbVie2" w:date="2025-05-13T16:39:00Z"/>
                <w:szCs w:val="22"/>
              </w:rPr>
              <w:pPrChange w:id="5900" w:author="AbbVie2" w:date="2025-05-13T16:40:00Z">
                <w:pPr>
                  <w:pStyle w:val="EMEANormal"/>
                  <w:widowControl w:val="0"/>
                </w:pPr>
              </w:pPrChange>
            </w:pPr>
            <w:del w:id="5901" w:author="AbbVie2" w:date="2025-05-13T16:39:00Z">
              <w:r w:rsidRPr="008912CF">
                <w:rPr>
                  <w:szCs w:val="22"/>
                </w:rPr>
                <w:delText>Pouco frequentes</w:delText>
              </w:r>
            </w:del>
          </w:p>
          <w:p w14:paraId="76409015" w14:textId="70970D07" w:rsidR="004462A0" w:rsidRPr="008912CF" w:rsidRDefault="004462A0">
            <w:pPr>
              <w:rPr>
                <w:del w:id="5902" w:author="AbbVie2" w:date="2025-05-13T16:39:00Z"/>
                <w:szCs w:val="22"/>
              </w:rPr>
              <w:pPrChange w:id="5903" w:author="AbbVie2" w:date="2025-05-13T16:40:00Z">
                <w:pPr>
                  <w:pStyle w:val="EMEANormal"/>
                  <w:widowControl w:val="0"/>
                </w:pPr>
              </w:pPrChange>
            </w:pPr>
          </w:p>
        </w:tc>
        <w:tc>
          <w:tcPr>
            <w:tcW w:w="4346" w:type="dxa"/>
            <w:tcBorders>
              <w:top w:val="nil"/>
              <w:bottom w:val="nil"/>
            </w:tcBorders>
          </w:tcPr>
          <w:p w14:paraId="25E46DAA" w14:textId="0FC6AC88" w:rsidR="004462A0" w:rsidRPr="008912CF" w:rsidRDefault="00615769">
            <w:pPr>
              <w:rPr>
                <w:del w:id="5904" w:author="AbbVie2" w:date="2025-05-13T16:39:00Z"/>
                <w:szCs w:val="22"/>
              </w:rPr>
              <w:pPrChange w:id="5905" w:author="AbbVie2" w:date="2025-05-13T16:40:00Z">
                <w:pPr>
                  <w:pStyle w:val="EMEANormal"/>
                  <w:widowControl w:val="0"/>
                </w:pPr>
              </w:pPrChange>
            </w:pPr>
            <w:del w:id="5906" w:author="AbbVie2" w:date="2025-05-13T16:39:00Z">
              <w:r>
                <w:rPr>
                  <w:szCs w:val="22"/>
                </w:rPr>
                <w:delText>A</w:delText>
              </w:r>
              <w:r w:rsidRPr="008912CF">
                <w:rPr>
                  <w:szCs w:val="22"/>
                </w:rPr>
                <w:delText>cidente vascular</w:delText>
              </w:r>
              <w:r w:rsidR="003E3AA9">
                <w:rPr>
                  <w:szCs w:val="22"/>
                </w:rPr>
                <w:delText xml:space="preserve"> cerebral</w:delText>
              </w:r>
              <w:r w:rsidRPr="008912CF">
                <w:rPr>
                  <w:szCs w:val="22"/>
                  <w:vertAlign w:val="superscript"/>
                </w:rPr>
                <w:delText>1)</w:delText>
              </w:r>
            </w:del>
          </w:p>
          <w:p w14:paraId="474FEC4C" w14:textId="4631DC99" w:rsidR="004462A0" w:rsidRPr="008912CF" w:rsidRDefault="00615769">
            <w:pPr>
              <w:rPr>
                <w:del w:id="5907" w:author="AbbVie2" w:date="2025-05-13T16:39:00Z"/>
                <w:szCs w:val="22"/>
              </w:rPr>
              <w:pPrChange w:id="5908" w:author="AbbVie2" w:date="2025-05-13T16:40:00Z">
                <w:pPr>
                  <w:pStyle w:val="EMEANormal"/>
                  <w:widowControl w:val="0"/>
                </w:pPr>
              </w:pPrChange>
            </w:pPr>
            <w:del w:id="5909" w:author="AbbVie2" w:date="2025-05-13T16:39:00Z">
              <w:r w:rsidRPr="008912CF">
                <w:rPr>
                  <w:szCs w:val="22"/>
                </w:rPr>
                <w:delText xml:space="preserve">tremor </w:delText>
              </w:r>
            </w:del>
          </w:p>
          <w:p w14:paraId="6028FBC5" w14:textId="55E4D72A" w:rsidR="004462A0" w:rsidRPr="008912CF" w:rsidRDefault="00615769">
            <w:pPr>
              <w:rPr>
                <w:del w:id="5910" w:author="AbbVie2" w:date="2025-05-13T16:39:00Z"/>
                <w:szCs w:val="22"/>
              </w:rPr>
              <w:pPrChange w:id="5911" w:author="AbbVie2" w:date="2025-05-13T16:40:00Z">
                <w:pPr>
                  <w:pStyle w:val="EMEANormal"/>
                  <w:widowControl w:val="0"/>
                </w:pPr>
              </w:pPrChange>
            </w:pPr>
            <w:del w:id="5912" w:author="AbbVie2" w:date="2025-05-13T16:39:00Z">
              <w:r w:rsidRPr="008912CF">
                <w:rPr>
                  <w:szCs w:val="22"/>
                </w:rPr>
                <w:delText>neuropatia</w:delText>
              </w:r>
            </w:del>
          </w:p>
          <w:p w14:paraId="1F4F9E71" w14:textId="471F5993" w:rsidR="004462A0" w:rsidRPr="008912CF" w:rsidRDefault="004462A0">
            <w:pPr>
              <w:rPr>
                <w:del w:id="5913" w:author="AbbVie2" w:date="2025-05-13T16:39:00Z"/>
                <w:szCs w:val="22"/>
              </w:rPr>
              <w:pPrChange w:id="5914" w:author="AbbVie2" w:date="2025-05-13T16:40:00Z">
                <w:pPr>
                  <w:pStyle w:val="EMEANormal"/>
                  <w:widowControl w:val="0"/>
                </w:pPr>
              </w:pPrChange>
            </w:pPr>
          </w:p>
        </w:tc>
      </w:tr>
      <w:tr w:rsidR="00A7162A" w14:paraId="370E0C70" w14:textId="39528131" w:rsidTr="00F675CF">
        <w:trPr>
          <w:del w:id="5915" w:author="AbbVie2" w:date="2025-05-13T16:39:00Z"/>
        </w:trPr>
        <w:tc>
          <w:tcPr>
            <w:tcW w:w="2514" w:type="dxa"/>
            <w:vMerge/>
          </w:tcPr>
          <w:p w14:paraId="1DE2A922" w14:textId="084E70A1" w:rsidR="004462A0" w:rsidRPr="008912CF" w:rsidRDefault="004462A0">
            <w:pPr>
              <w:rPr>
                <w:del w:id="5916" w:author="AbbVie2" w:date="2025-05-13T16:39:00Z"/>
                <w:b/>
              </w:rPr>
              <w:pPrChange w:id="5917" w:author="AbbVie2" w:date="2025-05-13T16:40:00Z">
                <w:pPr>
                  <w:widowControl w:val="0"/>
                  <w:spacing w:before="60"/>
                  <w:jc w:val="center"/>
                </w:pPr>
              </w:pPrChange>
            </w:pPr>
          </w:p>
        </w:tc>
        <w:tc>
          <w:tcPr>
            <w:tcW w:w="1996" w:type="dxa"/>
            <w:tcBorders>
              <w:top w:val="nil"/>
            </w:tcBorders>
          </w:tcPr>
          <w:p w14:paraId="1B7F4F07" w14:textId="6D63E9D0" w:rsidR="004462A0" w:rsidRPr="008912CF" w:rsidRDefault="00615769">
            <w:pPr>
              <w:rPr>
                <w:del w:id="5918" w:author="AbbVie2" w:date="2025-05-13T16:39:00Z"/>
                <w:szCs w:val="22"/>
              </w:rPr>
              <w:pPrChange w:id="5919" w:author="AbbVie2" w:date="2025-05-13T16:40:00Z">
                <w:pPr>
                  <w:pStyle w:val="EMEANormal"/>
                  <w:widowControl w:val="0"/>
                </w:pPr>
              </w:pPrChange>
            </w:pPr>
            <w:del w:id="5920" w:author="AbbVie2" w:date="2025-05-13T16:39:00Z">
              <w:r w:rsidRPr="008912CF">
                <w:rPr>
                  <w:szCs w:val="22"/>
                </w:rPr>
                <w:delText>Raros</w:delText>
              </w:r>
            </w:del>
          </w:p>
          <w:p w14:paraId="7E077291" w14:textId="2D0DCA9F" w:rsidR="004462A0" w:rsidRPr="008912CF" w:rsidRDefault="004462A0">
            <w:pPr>
              <w:rPr>
                <w:del w:id="5921" w:author="AbbVie2" w:date="2025-05-13T16:39:00Z"/>
                <w:szCs w:val="22"/>
              </w:rPr>
              <w:pPrChange w:id="5922" w:author="AbbVie2" w:date="2025-05-13T16:40:00Z">
                <w:pPr>
                  <w:pStyle w:val="EMEANormal"/>
                  <w:widowControl w:val="0"/>
                </w:pPr>
              </w:pPrChange>
            </w:pPr>
          </w:p>
        </w:tc>
        <w:tc>
          <w:tcPr>
            <w:tcW w:w="4346" w:type="dxa"/>
            <w:tcBorders>
              <w:top w:val="nil"/>
            </w:tcBorders>
          </w:tcPr>
          <w:p w14:paraId="7EC31943" w14:textId="23EC28B2" w:rsidR="004462A0" w:rsidRPr="008912CF" w:rsidRDefault="00615769">
            <w:pPr>
              <w:rPr>
                <w:del w:id="5923" w:author="AbbVie2" w:date="2025-05-13T16:39:00Z"/>
                <w:szCs w:val="22"/>
              </w:rPr>
              <w:pPrChange w:id="5924" w:author="AbbVie2" w:date="2025-05-13T16:40:00Z">
                <w:pPr>
                  <w:pStyle w:val="EMEANormal"/>
                  <w:widowControl w:val="0"/>
                </w:pPr>
              </w:pPrChange>
            </w:pPr>
            <w:del w:id="5925" w:author="AbbVie2" w:date="2025-05-13T16:39:00Z">
              <w:r>
                <w:rPr>
                  <w:szCs w:val="22"/>
                </w:rPr>
                <w:delText>E</w:delText>
              </w:r>
              <w:r w:rsidRPr="008912CF">
                <w:rPr>
                  <w:szCs w:val="22"/>
                </w:rPr>
                <w:delText>sclerose múltipla,</w:delText>
              </w:r>
            </w:del>
          </w:p>
          <w:p w14:paraId="1DAD1175" w14:textId="4D6061A0" w:rsidR="004462A0" w:rsidRPr="008912CF" w:rsidRDefault="00615769">
            <w:pPr>
              <w:rPr>
                <w:del w:id="5926" w:author="AbbVie2" w:date="2025-05-13T16:39:00Z"/>
                <w:szCs w:val="22"/>
                <w:vertAlign w:val="superscript"/>
              </w:rPr>
              <w:pPrChange w:id="5927" w:author="AbbVie2" w:date="2025-05-13T16:40:00Z">
                <w:pPr>
                  <w:pStyle w:val="EMEANormal"/>
                  <w:widowControl w:val="0"/>
                </w:pPr>
              </w:pPrChange>
            </w:pPr>
            <w:del w:id="5928" w:author="AbbVie2" w:date="2025-05-13T16:39:00Z">
              <w:r w:rsidRPr="008912CF">
                <w:rPr>
                  <w:szCs w:val="22"/>
                </w:rPr>
                <w:delText>perturbações desmielinizantes (p. ex. neurite ótica, síndrome de Guillain-Barré)</w:delText>
              </w:r>
              <w:r w:rsidRPr="008912CF">
                <w:rPr>
                  <w:szCs w:val="22"/>
                  <w:vertAlign w:val="superscript"/>
                </w:rPr>
                <w:delText>1)</w:delText>
              </w:r>
            </w:del>
          </w:p>
          <w:p w14:paraId="1383818F" w14:textId="058E25F3" w:rsidR="004462A0" w:rsidRPr="008912CF" w:rsidRDefault="004462A0">
            <w:pPr>
              <w:rPr>
                <w:del w:id="5929" w:author="AbbVie2" w:date="2025-05-13T16:39:00Z"/>
                <w:szCs w:val="22"/>
              </w:rPr>
              <w:pPrChange w:id="5930" w:author="AbbVie2" w:date="2025-05-13T16:40:00Z">
                <w:pPr>
                  <w:pStyle w:val="EMEANormal"/>
                  <w:widowControl w:val="0"/>
                </w:pPr>
              </w:pPrChange>
            </w:pPr>
          </w:p>
        </w:tc>
      </w:tr>
      <w:tr w:rsidR="00A7162A" w14:paraId="1601A4CE" w14:textId="561B8E14" w:rsidTr="00F675CF">
        <w:trPr>
          <w:del w:id="5931" w:author="AbbVie2" w:date="2025-05-13T16:39:00Z"/>
        </w:trPr>
        <w:tc>
          <w:tcPr>
            <w:tcW w:w="2514" w:type="dxa"/>
            <w:vMerge w:val="restart"/>
          </w:tcPr>
          <w:p w14:paraId="30FFF516" w14:textId="1A414134" w:rsidR="004462A0" w:rsidRPr="008912CF" w:rsidRDefault="00615769">
            <w:pPr>
              <w:rPr>
                <w:del w:id="5932" w:author="AbbVie2" w:date="2025-05-13T16:39:00Z"/>
                <w:szCs w:val="22"/>
              </w:rPr>
              <w:pPrChange w:id="5933" w:author="AbbVie2" w:date="2025-05-13T16:40:00Z">
                <w:pPr>
                  <w:pStyle w:val="EMEANormal"/>
                  <w:widowControl w:val="0"/>
                  <w:spacing w:before="60"/>
                </w:pPr>
              </w:pPrChange>
            </w:pPr>
            <w:del w:id="5934" w:author="AbbVie2" w:date="2025-05-13T16:39:00Z">
              <w:r w:rsidRPr="008912CF">
                <w:rPr>
                  <w:szCs w:val="22"/>
                </w:rPr>
                <w:delText>Afeções oculares</w:delText>
              </w:r>
            </w:del>
          </w:p>
        </w:tc>
        <w:tc>
          <w:tcPr>
            <w:tcW w:w="1996" w:type="dxa"/>
            <w:tcBorders>
              <w:bottom w:val="nil"/>
            </w:tcBorders>
          </w:tcPr>
          <w:p w14:paraId="666A2302" w14:textId="45123B7A" w:rsidR="004462A0" w:rsidRPr="008912CF" w:rsidRDefault="00615769">
            <w:pPr>
              <w:rPr>
                <w:del w:id="5935" w:author="AbbVie2" w:date="2025-05-13T16:39:00Z"/>
                <w:szCs w:val="22"/>
              </w:rPr>
              <w:pPrChange w:id="5936" w:author="AbbVie2" w:date="2025-05-13T16:40:00Z">
                <w:pPr>
                  <w:pStyle w:val="EMEANormal"/>
                  <w:widowControl w:val="0"/>
                  <w:spacing w:before="60"/>
                </w:pPr>
              </w:pPrChange>
            </w:pPr>
            <w:del w:id="5937" w:author="AbbVie2" w:date="2025-05-13T16:39:00Z">
              <w:r w:rsidRPr="008912CF">
                <w:rPr>
                  <w:szCs w:val="22"/>
                </w:rPr>
                <w:delText>Frequentes</w:delText>
              </w:r>
            </w:del>
          </w:p>
          <w:p w14:paraId="10CDF1A6" w14:textId="67808B9D" w:rsidR="004462A0" w:rsidRPr="008912CF" w:rsidRDefault="004462A0">
            <w:pPr>
              <w:rPr>
                <w:del w:id="5938" w:author="AbbVie2" w:date="2025-05-13T16:39:00Z"/>
                <w:szCs w:val="22"/>
              </w:rPr>
              <w:pPrChange w:id="5939" w:author="AbbVie2" w:date="2025-05-13T16:40:00Z">
                <w:pPr>
                  <w:pStyle w:val="EMEANormal"/>
                  <w:widowControl w:val="0"/>
                  <w:spacing w:before="60"/>
                </w:pPr>
              </w:pPrChange>
            </w:pPr>
          </w:p>
        </w:tc>
        <w:tc>
          <w:tcPr>
            <w:tcW w:w="4346" w:type="dxa"/>
            <w:tcBorders>
              <w:bottom w:val="nil"/>
            </w:tcBorders>
          </w:tcPr>
          <w:p w14:paraId="47BC32B0" w14:textId="69D3EA65" w:rsidR="004462A0" w:rsidRPr="008912CF" w:rsidRDefault="00615769">
            <w:pPr>
              <w:rPr>
                <w:del w:id="5940" w:author="AbbVie2" w:date="2025-05-13T16:39:00Z"/>
                <w:szCs w:val="22"/>
              </w:rPr>
              <w:pPrChange w:id="5941" w:author="AbbVie2" w:date="2025-05-13T16:40:00Z">
                <w:pPr>
                  <w:pStyle w:val="EMEANormal"/>
                  <w:widowControl w:val="0"/>
                  <w:spacing w:before="60"/>
                </w:pPr>
              </w:pPrChange>
            </w:pPr>
            <w:del w:id="5942" w:author="AbbVie2" w:date="2025-05-13T16:39:00Z">
              <w:r>
                <w:rPr>
                  <w:szCs w:val="22"/>
                </w:rPr>
                <w:delText>A</w:delText>
              </w:r>
              <w:r w:rsidRPr="008912CF">
                <w:rPr>
                  <w:szCs w:val="22"/>
                </w:rPr>
                <w:delText>lterações da visão,</w:delText>
              </w:r>
            </w:del>
          </w:p>
          <w:p w14:paraId="19F16B6C" w14:textId="3F4B1CE3" w:rsidR="004462A0" w:rsidRPr="008912CF" w:rsidRDefault="00615769">
            <w:pPr>
              <w:rPr>
                <w:del w:id="5943" w:author="AbbVie2" w:date="2025-05-13T16:39:00Z"/>
                <w:szCs w:val="22"/>
              </w:rPr>
              <w:pPrChange w:id="5944" w:author="AbbVie2" w:date="2025-05-13T16:40:00Z">
                <w:pPr>
                  <w:pStyle w:val="EMEAFigureTitle"/>
                  <w:tabs>
                    <w:tab w:val="clear" w:pos="562"/>
                  </w:tabs>
                  <w:suppressAutoHyphens w:val="0"/>
                </w:pPr>
              </w:pPrChange>
            </w:pPr>
            <w:del w:id="5945" w:author="AbbVie2" w:date="2025-05-13T16:39:00Z">
              <w:r w:rsidRPr="008912CF">
                <w:rPr>
                  <w:szCs w:val="22"/>
                </w:rPr>
                <w:delText>conjuntivite,</w:delText>
              </w:r>
            </w:del>
          </w:p>
          <w:p w14:paraId="5DB2CDC6" w14:textId="773FD776" w:rsidR="004462A0" w:rsidRPr="008912CF" w:rsidRDefault="00615769">
            <w:pPr>
              <w:rPr>
                <w:del w:id="5946" w:author="AbbVie2" w:date="2025-05-13T16:39:00Z"/>
              </w:rPr>
              <w:pPrChange w:id="5947" w:author="AbbVie2" w:date="2025-05-13T16:40:00Z">
                <w:pPr>
                  <w:pStyle w:val="EMEANormal"/>
                </w:pPr>
              </w:pPrChange>
            </w:pPr>
            <w:del w:id="5948" w:author="AbbVie2" w:date="2025-05-13T16:39:00Z">
              <w:r w:rsidRPr="008912CF">
                <w:delText>blefarite,</w:delText>
              </w:r>
            </w:del>
          </w:p>
          <w:p w14:paraId="2F8CFFF8" w14:textId="2B806EF3" w:rsidR="004462A0" w:rsidRPr="008912CF" w:rsidRDefault="00615769">
            <w:pPr>
              <w:rPr>
                <w:del w:id="5949" w:author="AbbVie2" w:date="2025-05-13T16:39:00Z"/>
              </w:rPr>
              <w:pPrChange w:id="5950" w:author="AbbVie2" w:date="2025-05-13T16:40:00Z">
                <w:pPr>
                  <w:pStyle w:val="EMEANormal"/>
                </w:pPr>
              </w:pPrChange>
            </w:pPr>
            <w:del w:id="5951" w:author="AbbVie2" w:date="2025-05-13T16:39:00Z">
              <w:r w:rsidRPr="008912CF">
                <w:delText>inchaço dos olhos</w:delText>
              </w:r>
            </w:del>
          </w:p>
          <w:p w14:paraId="4F449B2B" w14:textId="792D3372" w:rsidR="004462A0" w:rsidRPr="008912CF" w:rsidRDefault="004462A0">
            <w:pPr>
              <w:rPr>
                <w:del w:id="5952" w:author="AbbVie2" w:date="2025-05-13T16:39:00Z"/>
              </w:rPr>
              <w:pPrChange w:id="5953" w:author="AbbVie2" w:date="2025-05-13T16:40:00Z">
                <w:pPr>
                  <w:pStyle w:val="EMEANormal"/>
                </w:pPr>
              </w:pPrChange>
            </w:pPr>
          </w:p>
        </w:tc>
      </w:tr>
      <w:tr w:rsidR="00A7162A" w14:paraId="639AAD55" w14:textId="4B251BEF" w:rsidTr="0004619E">
        <w:trPr>
          <w:del w:id="5954" w:author="AbbVie2" w:date="2025-05-13T16:39:00Z"/>
        </w:trPr>
        <w:tc>
          <w:tcPr>
            <w:tcW w:w="2514" w:type="dxa"/>
            <w:vMerge/>
          </w:tcPr>
          <w:p w14:paraId="581C20B1" w14:textId="7A26843B" w:rsidR="004462A0" w:rsidRPr="008912CF" w:rsidRDefault="004462A0">
            <w:pPr>
              <w:rPr>
                <w:del w:id="5955" w:author="AbbVie2" w:date="2025-05-13T16:39:00Z"/>
                <w:b/>
              </w:rPr>
              <w:pPrChange w:id="5956" w:author="AbbVie2" w:date="2025-05-13T16:40:00Z">
                <w:pPr>
                  <w:widowControl w:val="0"/>
                  <w:spacing w:before="60"/>
                  <w:jc w:val="center"/>
                </w:pPr>
              </w:pPrChange>
            </w:pPr>
          </w:p>
        </w:tc>
        <w:tc>
          <w:tcPr>
            <w:tcW w:w="1996" w:type="dxa"/>
            <w:tcBorders>
              <w:top w:val="nil"/>
              <w:bottom w:val="single" w:sz="4" w:space="0" w:color="auto"/>
            </w:tcBorders>
          </w:tcPr>
          <w:p w14:paraId="4A1F066F" w14:textId="03BE5D3E" w:rsidR="004462A0" w:rsidRPr="008912CF" w:rsidRDefault="00615769">
            <w:pPr>
              <w:rPr>
                <w:del w:id="5957" w:author="AbbVie2" w:date="2025-05-13T16:39:00Z"/>
                <w:szCs w:val="22"/>
              </w:rPr>
              <w:pPrChange w:id="5958" w:author="AbbVie2" w:date="2025-05-13T16:40:00Z">
                <w:pPr>
                  <w:pStyle w:val="EMEANormal"/>
                  <w:widowControl w:val="0"/>
                </w:pPr>
              </w:pPrChange>
            </w:pPr>
            <w:del w:id="5959" w:author="AbbVie2" w:date="2025-05-13T16:39:00Z">
              <w:r w:rsidRPr="008912CF">
                <w:rPr>
                  <w:szCs w:val="22"/>
                </w:rPr>
                <w:delText>Pouco frequentes</w:delText>
              </w:r>
            </w:del>
          </w:p>
        </w:tc>
        <w:tc>
          <w:tcPr>
            <w:tcW w:w="4346" w:type="dxa"/>
            <w:tcBorders>
              <w:top w:val="nil"/>
              <w:bottom w:val="single" w:sz="4" w:space="0" w:color="auto"/>
            </w:tcBorders>
          </w:tcPr>
          <w:p w14:paraId="2346ABE3" w14:textId="4C88589E" w:rsidR="004462A0" w:rsidRPr="008912CF" w:rsidRDefault="00615769">
            <w:pPr>
              <w:rPr>
                <w:del w:id="5960" w:author="AbbVie2" w:date="2025-05-13T16:39:00Z"/>
                <w:szCs w:val="22"/>
              </w:rPr>
              <w:pPrChange w:id="5961" w:author="AbbVie2" w:date="2025-05-13T16:40:00Z">
                <w:pPr>
                  <w:pStyle w:val="EMEANormal"/>
                  <w:widowControl w:val="0"/>
                </w:pPr>
              </w:pPrChange>
            </w:pPr>
            <w:del w:id="5962" w:author="AbbVie2" w:date="2025-05-13T16:39:00Z">
              <w:r>
                <w:rPr>
                  <w:szCs w:val="22"/>
                </w:rPr>
                <w:delText>D</w:delText>
              </w:r>
              <w:r w:rsidRPr="008912CF">
                <w:rPr>
                  <w:szCs w:val="22"/>
                </w:rPr>
                <w:delText>iplopia</w:delText>
              </w:r>
            </w:del>
          </w:p>
          <w:p w14:paraId="693CFBF4" w14:textId="25BC7D71" w:rsidR="004462A0" w:rsidRPr="008912CF" w:rsidRDefault="004462A0">
            <w:pPr>
              <w:rPr>
                <w:del w:id="5963" w:author="AbbVie2" w:date="2025-05-13T16:39:00Z"/>
                <w:szCs w:val="22"/>
              </w:rPr>
              <w:pPrChange w:id="5964" w:author="AbbVie2" w:date="2025-05-13T16:40:00Z">
                <w:pPr>
                  <w:pStyle w:val="EMEANormal"/>
                  <w:widowControl w:val="0"/>
                </w:pPr>
              </w:pPrChange>
            </w:pPr>
          </w:p>
        </w:tc>
      </w:tr>
      <w:tr w:rsidR="00A7162A" w14:paraId="2C01DE44" w14:textId="2921B872" w:rsidTr="0004619E">
        <w:trPr>
          <w:del w:id="5965" w:author="AbbVie2" w:date="2025-05-13T16:39:00Z"/>
        </w:trPr>
        <w:tc>
          <w:tcPr>
            <w:tcW w:w="2514" w:type="dxa"/>
            <w:vMerge w:val="restart"/>
          </w:tcPr>
          <w:p w14:paraId="3FF89316" w14:textId="4262DAED" w:rsidR="004462A0" w:rsidRPr="008912CF" w:rsidRDefault="00615769">
            <w:pPr>
              <w:rPr>
                <w:del w:id="5966" w:author="AbbVie2" w:date="2025-05-13T16:39:00Z"/>
                <w:szCs w:val="22"/>
              </w:rPr>
              <w:pPrChange w:id="5967" w:author="AbbVie2" w:date="2025-05-13T16:40:00Z">
                <w:pPr>
                  <w:pStyle w:val="EMEANormal"/>
                </w:pPr>
              </w:pPrChange>
            </w:pPr>
            <w:del w:id="5968" w:author="AbbVie2" w:date="2025-05-13T16:39:00Z">
              <w:r w:rsidRPr="008912CF">
                <w:rPr>
                  <w:szCs w:val="22"/>
                </w:rPr>
                <w:delText>Afeções do ouvido e do labirinto</w:delText>
              </w:r>
            </w:del>
          </w:p>
          <w:p w14:paraId="3E2F7A79" w14:textId="657589A4" w:rsidR="004462A0" w:rsidRPr="008912CF" w:rsidRDefault="004462A0">
            <w:pPr>
              <w:rPr>
                <w:del w:id="5969" w:author="AbbVie2" w:date="2025-05-13T16:39:00Z"/>
                <w:szCs w:val="22"/>
              </w:rPr>
              <w:pPrChange w:id="5970" w:author="AbbVie2" w:date="2025-05-13T16:40:00Z">
                <w:pPr>
                  <w:pStyle w:val="EMEANormal"/>
                  <w:widowControl w:val="0"/>
                </w:pPr>
              </w:pPrChange>
            </w:pPr>
          </w:p>
        </w:tc>
        <w:tc>
          <w:tcPr>
            <w:tcW w:w="1996" w:type="dxa"/>
            <w:tcBorders>
              <w:bottom w:val="single" w:sz="4" w:space="0" w:color="auto"/>
            </w:tcBorders>
          </w:tcPr>
          <w:p w14:paraId="3E7A58BC" w14:textId="2F5C017F" w:rsidR="004462A0" w:rsidRPr="008912CF" w:rsidRDefault="00615769">
            <w:pPr>
              <w:rPr>
                <w:del w:id="5971" w:author="AbbVie2" w:date="2025-05-13T16:39:00Z"/>
                <w:szCs w:val="22"/>
              </w:rPr>
              <w:pPrChange w:id="5972" w:author="AbbVie2" w:date="2025-05-13T16:40:00Z">
                <w:pPr>
                  <w:pStyle w:val="EMEANormal"/>
                  <w:widowControl w:val="0"/>
                </w:pPr>
              </w:pPrChange>
            </w:pPr>
            <w:del w:id="5973" w:author="AbbVie2" w:date="2025-05-13T16:39:00Z">
              <w:r w:rsidRPr="008912CF">
                <w:rPr>
                  <w:szCs w:val="22"/>
                </w:rPr>
                <w:delText>Frequentes</w:delText>
              </w:r>
            </w:del>
          </w:p>
        </w:tc>
        <w:tc>
          <w:tcPr>
            <w:tcW w:w="4346" w:type="dxa"/>
            <w:tcBorders>
              <w:bottom w:val="single" w:sz="4" w:space="0" w:color="auto"/>
            </w:tcBorders>
          </w:tcPr>
          <w:p w14:paraId="76AB09E6" w14:textId="24788221" w:rsidR="004462A0" w:rsidRPr="008912CF" w:rsidRDefault="00615769">
            <w:pPr>
              <w:rPr>
                <w:del w:id="5974" w:author="AbbVie2" w:date="2025-05-13T16:39:00Z"/>
                <w:szCs w:val="22"/>
              </w:rPr>
              <w:pPrChange w:id="5975" w:author="AbbVie2" w:date="2025-05-13T16:40:00Z">
                <w:pPr>
                  <w:pStyle w:val="EMEANormal"/>
                  <w:widowControl w:val="0"/>
                </w:pPr>
              </w:pPrChange>
            </w:pPr>
            <w:del w:id="5976" w:author="AbbVie2" w:date="2025-05-13T16:39:00Z">
              <w:r>
                <w:rPr>
                  <w:szCs w:val="22"/>
                </w:rPr>
                <w:delText>V</w:delText>
              </w:r>
              <w:r w:rsidRPr="008912CF">
                <w:rPr>
                  <w:szCs w:val="22"/>
                </w:rPr>
                <w:delText>ertigem</w:delText>
              </w:r>
            </w:del>
          </w:p>
          <w:p w14:paraId="1AA7A216" w14:textId="3E24E994" w:rsidR="004462A0" w:rsidRPr="008912CF" w:rsidRDefault="004462A0">
            <w:pPr>
              <w:rPr>
                <w:del w:id="5977" w:author="AbbVie2" w:date="2025-05-13T16:39:00Z"/>
                <w:szCs w:val="22"/>
              </w:rPr>
              <w:pPrChange w:id="5978" w:author="AbbVie2" w:date="2025-05-13T16:40:00Z">
                <w:pPr>
                  <w:pStyle w:val="EMEANormal"/>
                  <w:widowControl w:val="0"/>
                </w:pPr>
              </w:pPrChange>
            </w:pPr>
          </w:p>
        </w:tc>
      </w:tr>
      <w:tr w:rsidR="00A7162A" w14:paraId="401E4754" w14:textId="6CE446E1" w:rsidTr="0004619E">
        <w:trPr>
          <w:del w:id="5979" w:author="AbbVie2" w:date="2025-05-13T16:39:00Z"/>
        </w:trPr>
        <w:tc>
          <w:tcPr>
            <w:tcW w:w="2514" w:type="dxa"/>
            <w:vMerge/>
          </w:tcPr>
          <w:p w14:paraId="5EB899FD" w14:textId="0DADB38D" w:rsidR="004462A0" w:rsidRPr="008912CF" w:rsidRDefault="004462A0">
            <w:pPr>
              <w:rPr>
                <w:del w:id="5980" w:author="AbbVie2" w:date="2025-05-13T16:39:00Z"/>
                <w:b/>
              </w:rPr>
              <w:pPrChange w:id="5981" w:author="AbbVie2" w:date="2025-05-13T16:40:00Z">
                <w:pPr>
                  <w:widowControl w:val="0"/>
                  <w:jc w:val="center"/>
                </w:pPr>
              </w:pPrChange>
            </w:pPr>
          </w:p>
        </w:tc>
        <w:tc>
          <w:tcPr>
            <w:tcW w:w="1996" w:type="dxa"/>
            <w:tcBorders>
              <w:top w:val="single" w:sz="4" w:space="0" w:color="auto"/>
            </w:tcBorders>
          </w:tcPr>
          <w:p w14:paraId="6AF85D18" w14:textId="038932AB" w:rsidR="004462A0" w:rsidRPr="008912CF" w:rsidRDefault="00615769">
            <w:pPr>
              <w:rPr>
                <w:del w:id="5982" w:author="AbbVie2" w:date="2025-05-13T16:39:00Z"/>
                <w:szCs w:val="22"/>
              </w:rPr>
              <w:pPrChange w:id="5983" w:author="AbbVie2" w:date="2025-05-13T16:40:00Z">
                <w:pPr>
                  <w:pStyle w:val="EMEANormal"/>
                  <w:widowControl w:val="0"/>
                </w:pPr>
              </w:pPrChange>
            </w:pPr>
            <w:del w:id="5984" w:author="AbbVie2" w:date="2025-05-13T16:39:00Z">
              <w:r w:rsidRPr="008912CF">
                <w:rPr>
                  <w:szCs w:val="22"/>
                </w:rPr>
                <w:delText>Pouco frequentes</w:delText>
              </w:r>
            </w:del>
          </w:p>
          <w:p w14:paraId="551847EC" w14:textId="4169828B" w:rsidR="004462A0" w:rsidRPr="008912CF" w:rsidRDefault="004462A0">
            <w:pPr>
              <w:rPr>
                <w:del w:id="5985" w:author="AbbVie2" w:date="2025-05-13T16:39:00Z"/>
                <w:szCs w:val="22"/>
              </w:rPr>
              <w:pPrChange w:id="5986" w:author="AbbVie2" w:date="2025-05-13T16:40:00Z">
                <w:pPr>
                  <w:pStyle w:val="EMEANormal"/>
                  <w:widowControl w:val="0"/>
                </w:pPr>
              </w:pPrChange>
            </w:pPr>
          </w:p>
        </w:tc>
        <w:tc>
          <w:tcPr>
            <w:tcW w:w="4346" w:type="dxa"/>
            <w:tcBorders>
              <w:top w:val="single" w:sz="4" w:space="0" w:color="auto"/>
            </w:tcBorders>
          </w:tcPr>
          <w:p w14:paraId="1F8BF949" w14:textId="1223E4F9" w:rsidR="004462A0" w:rsidRPr="008912CF" w:rsidRDefault="00615769">
            <w:pPr>
              <w:rPr>
                <w:del w:id="5987" w:author="AbbVie2" w:date="2025-05-13T16:39:00Z"/>
                <w:szCs w:val="22"/>
              </w:rPr>
              <w:pPrChange w:id="5988" w:author="AbbVie2" w:date="2025-05-13T16:40:00Z">
                <w:pPr>
                  <w:pStyle w:val="EMEANormal"/>
                  <w:widowControl w:val="0"/>
                </w:pPr>
              </w:pPrChange>
            </w:pPr>
            <w:del w:id="5989" w:author="AbbVie2" w:date="2025-05-13T16:39:00Z">
              <w:r>
                <w:rPr>
                  <w:szCs w:val="22"/>
                </w:rPr>
                <w:delText>S</w:delText>
              </w:r>
              <w:r w:rsidRPr="008912CF">
                <w:rPr>
                  <w:szCs w:val="22"/>
                </w:rPr>
                <w:delText xml:space="preserve">urdez, </w:delText>
              </w:r>
            </w:del>
          </w:p>
          <w:p w14:paraId="57E7231C" w14:textId="459CD779" w:rsidR="004462A0" w:rsidRPr="008912CF" w:rsidRDefault="00615769">
            <w:pPr>
              <w:rPr>
                <w:del w:id="5990" w:author="AbbVie2" w:date="2025-05-13T16:39:00Z"/>
                <w:szCs w:val="22"/>
              </w:rPr>
              <w:pPrChange w:id="5991" w:author="AbbVie2" w:date="2025-05-13T16:40:00Z">
                <w:pPr>
                  <w:pStyle w:val="EMEANormal"/>
                  <w:widowControl w:val="0"/>
                </w:pPr>
              </w:pPrChange>
            </w:pPr>
            <w:del w:id="5992" w:author="AbbVie2" w:date="2025-05-13T16:39:00Z">
              <w:r w:rsidRPr="008912CF">
                <w:rPr>
                  <w:szCs w:val="22"/>
                </w:rPr>
                <w:delText>zumbido</w:delText>
              </w:r>
            </w:del>
          </w:p>
          <w:p w14:paraId="593ACED9" w14:textId="2D032662" w:rsidR="004462A0" w:rsidRPr="008912CF" w:rsidRDefault="004462A0">
            <w:pPr>
              <w:rPr>
                <w:del w:id="5993" w:author="AbbVie2" w:date="2025-05-13T16:39:00Z"/>
                <w:szCs w:val="22"/>
              </w:rPr>
              <w:pPrChange w:id="5994" w:author="AbbVie2" w:date="2025-05-13T16:40:00Z">
                <w:pPr>
                  <w:pStyle w:val="EMEANormal"/>
                  <w:widowControl w:val="0"/>
                </w:pPr>
              </w:pPrChange>
            </w:pPr>
          </w:p>
        </w:tc>
      </w:tr>
      <w:tr w:rsidR="00A7162A" w14:paraId="4C601BF1" w14:textId="31B9B09A" w:rsidTr="00F675CF">
        <w:trPr>
          <w:del w:id="5995" w:author="AbbVie2" w:date="2025-05-13T16:39:00Z"/>
        </w:trPr>
        <w:tc>
          <w:tcPr>
            <w:tcW w:w="2514" w:type="dxa"/>
            <w:vMerge w:val="restart"/>
          </w:tcPr>
          <w:p w14:paraId="64A33BF4" w14:textId="293137D6" w:rsidR="004462A0" w:rsidRPr="008912CF" w:rsidRDefault="00615769">
            <w:pPr>
              <w:rPr>
                <w:del w:id="5996" w:author="AbbVie2" w:date="2025-05-13T16:39:00Z"/>
                <w:szCs w:val="22"/>
              </w:rPr>
              <w:pPrChange w:id="5997" w:author="AbbVie2" w:date="2025-05-13T16:40:00Z">
                <w:pPr>
                  <w:pStyle w:val="EMEANormal"/>
                  <w:widowControl w:val="0"/>
                </w:pPr>
              </w:pPrChange>
            </w:pPr>
            <w:del w:id="5998" w:author="AbbVie2" w:date="2025-05-13T16:39:00Z">
              <w:r w:rsidRPr="008912CF">
                <w:rPr>
                  <w:szCs w:val="22"/>
                </w:rPr>
                <w:delText xml:space="preserve">Cardiopatias * </w:delText>
              </w:r>
            </w:del>
          </w:p>
        </w:tc>
        <w:tc>
          <w:tcPr>
            <w:tcW w:w="1996" w:type="dxa"/>
            <w:tcBorders>
              <w:bottom w:val="nil"/>
            </w:tcBorders>
          </w:tcPr>
          <w:p w14:paraId="653FE2B2" w14:textId="59FAA64B" w:rsidR="004462A0" w:rsidRPr="008912CF" w:rsidRDefault="00615769">
            <w:pPr>
              <w:rPr>
                <w:del w:id="5999" w:author="AbbVie2" w:date="2025-05-13T16:39:00Z"/>
                <w:szCs w:val="22"/>
              </w:rPr>
              <w:pPrChange w:id="6000" w:author="AbbVie2" w:date="2025-05-13T16:40:00Z">
                <w:pPr>
                  <w:pStyle w:val="EMEANormal"/>
                  <w:widowControl w:val="0"/>
                </w:pPr>
              </w:pPrChange>
            </w:pPr>
            <w:del w:id="6001" w:author="AbbVie2" w:date="2025-05-13T16:39:00Z">
              <w:r w:rsidRPr="008912CF">
                <w:rPr>
                  <w:szCs w:val="22"/>
                </w:rPr>
                <w:delText>Frequentes</w:delText>
              </w:r>
            </w:del>
          </w:p>
        </w:tc>
        <w:tc>
          <w:tcPr>
            <w:tcW w:w="4346" w:type="dxa"/>
            <w:tcBorders>
              <w:bottom w:val="nil"/>
            </w:tcBorders>
          </w:tcPr>
          <w:p w14:paraId="5EE8A572" w14:textId="0D0533A8" w:rsidR="004462A0" w:rsidRPr="008912CF" w:rsidRDefault="00615769">
            <w:pPr>
              <w:rPr>
                <w:del w:id="6002" w:author="AbbVie2" w:date="2025-05-13T16:39:00Z"/>
                <w:szCs w:val="22"/>
              </w:rPr>
              <w:pPrChange w:id="6003" w:author="AbbVie2" w:date="2025-05-13T16:40:00Z">
                <w:pPr>
                  <w:pStyle w:val="EMEANormal"/>
                  <w:widowControl w:val="0"/>
                </w:pPr>
              </w:pPrChange>
            </w:pPr>
            <w:del w:id="6004" w:author="AbbVie2" w:date="2025-05-13T16:39:00Z">
              <w:r>
                <w:rPr>
                  <w:szCs w:val="22"/>
                </w:rPr>
                <w:delText>T</w:delText>
              </w:r>
              <w:r w:rsidRPr="008912CF">
                <w:rPr>
                  <w:szCs w:val="22"/>
                </w:rPr>
                <w:delText>aquicardia</w:delText>
              </w:r>
            </w:del>
          </w:p>
          <w:p w14:paraId="1E1FFE01" w14:textId="1B9B5933" w:rsidR="004462A0" w:rsidRPr="008912CF" w:rsidRDefault="004462A0">
            <w:pPr>
              <w:rPr>
                <w:del w:id="6005" w:author="AbbVie2" w:date="2025-05-13T16:39:00Z"/>
                <w:szCs w:val="22"/>
              </w:rPr>
              <w:pPrChange w:id="6006" w:author="AbbVie2" w:date="2025-05-13T16:40:00Z">
                <w:pPr>
                  <w:pStyle w:val="EMEANormal"/>
                  <w:widowControl w:val="0"/>
                </w:pPr>
              </w:pPrChange>
            </w:pPr>
          </w:p>
        </w:tc>
      </w:tr>
      <w:tr w:rsidR="00A7162A" w14:paraId="393C8527" w14:textId="087963CB" w:rsidTr="00F675CF">
        <w:trPr>
          <w:del w:id="6007" w:author="AbbVie2" w:date="2025-05-13T16:39:00Z"/>
        </w:trPr>
        <w:tc>
          <w:tcPr>
            <w:tcW w:w="2514" w:type="dxa"/>
            <w:vMerge/>
          </w:tcPr>
          <w:p w14:paraId="1E1CD381" w14:textId="3BB8CAD4" w:rsidR="004462A0" w:rsidRPr="008912CF" w:rsidRDefault="004462A0">
            <w:pPr>
              <w:rPr>
                <w:del w:id="6008" w:author="AbbVie2" w:date="2025-05-13T16:39:00Z"/>
                <w:szCs w:val="22"/>
              </w:rPr>
              <w:pPrChange w:id="6009" w:author="AbbVie2" w:date="2025-05-13T16:40:00Z">
                <w:pPr>
                  <w:pStyle w:val="EMEANormal"/>
                  <w:widowControl w:val="0"/>
                </w:pPr>
              </w:pPrChange>
            </w:pPr>
          </w:p>
        </w:tc>
        <w:tc>
          <w:tcPr>
            <w:tcW w:w="1996" w:type="dxa"/>
            <w:tcBorders>
              <w:top w:val="nil"/>
              <w:bottom w:val="nil"/>
            </w:tcBorders>
          </w:tcPr>
          <w:p w14:paraId="52EAC55E" w14:textId="20186E5B" w:rsidR="004462A0" w:rsidRPr="008912CF" w:rsidRDefault="00615769">
            <w:pPr>
              <w:rPr>
                <w:del w:id="6010" w:author="AbbVie2" w:date="2025-05-13T16:39:00Z"/>
                <w:szCs w:val="22"/>
              </w:rPr>
              <w:pPrChange w:id="6011" w:author="AbbVie2" w:date="2025-05-13T16:40:00Z">
                <w:pPr>
                  <w:pStyle w:val="EMEANormal"/>
                  <w:widowControl w:val="0"/>
                </w:pPr>
              </w:pPrChange>
            </w:pPr>
            <w:del w:id="6012" w:author="AbbVie2" w:date="2025-05-13T16:39:00Z">
              <w:r w:rsidRPr="008912CF">
                <w:rPr>
                  <w:szCs w:val="22"/>
                </w:rPr>
                <w:delText>Pouco frequentes</w:delText>
              </w:r>
            </w:del>
          </w:p>
          <w:p w14:paraId="13A28842" w14:textId="644E5539" w:rsidR="004462A0" w:rsidRPr="008912CF" w:rsidRDefault="004462A0">
            <w:pPr>
              <w:rPr>
                <w:del w:id="6013" w:author="AbbVie2" w:date="2025-05-13T16:39:00Z"/>
                <w:szCs w:val="22"/>
              </w:rPr>
              <w:pPrChange w:id="6014" w:author="AbbVie2" w:date="2025-05-13T16:40:00Z">
                <w:pPr>
                  <w:pStyle w:val="EMEANormal"/>
                  <w:widowControl w:val="0"/>
                </w:pPr>
              </w:pPrChange>
            </w:pPr>
          </w:p>
        </w:tc>
        <w:tc>
          <w:tcPr>
            <w:tcW w:w="4346" w:type="dxa"/>
            <w:tcBorders>
              <w:top w:val="nil"/>
              <w:bottom w:val="nil"/>
            </w:tcBorders>
          </w:tcPr>
          <w:p w14:paraId="5D520F09" w14:textId="5681BD0F" w:rsidR="004462A0" w:rsidRPr="008912CF" w:rsidRDefault="00615769">
            <w:pPr>
              <w:rPr>
                <w:del w:id="6015" w:author="AbbVie2" w:date="2025-05-13T16:39:00Z"/>
                <w:szCs w:val="22"/>
              </w:rPr>
              <w:pPrChange w:id="6016" w:author="AbbVie2" w:date="2025-05-13T16:40:00Z">
                <w:pPr>
                  <w:pStyle w:val="EMEANormal"/>
                  <w:widowControl w:val="0"/>
                </w:pPr>
              </w:pPrChange>
            </w:pPr>
            <w:del w:id="6017" w:author="AbbVie2" w:date="2025-05-13T16:39:00Z">
              <w:r>
                <w:rPr>
                  <w:szCs w:val="22"/>
                </w:rPr>
                <w:delText>E</w:delText>
              </w:r>
              <w:r w:rsidRPr="008912CF">
                <w:rPr>
                  <w:szCs w:val="22"/>
                </w:rPr>
                <w:delText>nfarte do miocárdio</w:delText>
              </w:r>
              <w:r w:rsidRPr="008912CF">
                <w:rPr>
                  <w:szCs w:val="22"/>
                  <w:vertAlign w:val="superscript"/>
                </w:rPr>
                <w:delText>1)</w:delText>
              </w:r>
              <w:r w:rsidRPr="008912CF">
                <w:rPr>
                  <w:szCs w:val="22"/>
                </w:rPr>
                <w:delText>,</w:delText>
              </w:r>
            </w:del>
          </w:p>
          <w:p w14:paraId="3017BBEA" w14:textId="64DB809D" w:rsidR="004462A0" w:rsidRPr="008912CF" w:rsidRDefault="00615769">
            <w:pPr>
              <w:rPr>
                <w:del w:id="6018" w:author="AbbVie2" w:date="2025-05-13T16:39:00Z"/>
                <w:szCs w:val="22"/>
              </w:rPr>
              <w:pPrChange w:id="6019" w:author="AbbVie2" w:date="2025-05-13T16:40:00Z">
                <w:pPr>
                  <w:pStyle w:val="EMEANormal"/>
                  <w:widowControl w:val="0"/>
                </w:pPr>
              </w:pPrChange>
            </w:pPr>
            <w:del w:id="6020" w:author="AbbVie2" w:date="2025-05-13T16:39:00Z">
              <w:r w:rsidRPr="008912CF">
                <w:rPr>
                  <w:szCs w:val="22"/>
                </w:rPr>
                <w:delText>arritmia,</w:delText>
              </w:r>
            </w:del>
          </w:p>
          <w:p w14:paraId="1990CC36" w14:textId="3F6951A6" w:rsidR="004462A0" w:rsidRPr="008912CF" w:rsidRDefault="00615769">
            <w:pPr>
              <w:rPr>
                <w:del w:id="6021" w:author="AbbVie2" w:date="2025-05-13T16:39:00Z"/>
                <w:szCs w:val="22"/>
              </w:rPr>
              <w:pPrChange w:id="6022" w:author="AbbVie2" w:date="2025-05-13T16:40:00Z">
                <w:pPr>
                  <w:pStyle w:val="EMEANormal"/>
                  <w:widowControl w:val="0"/>
                </w:pPr>
              </w:pPrChange>
            </w:pPr>
            <w:del w:id="6023" w:author="AbbVie2" w:date="2025-05-13T16:39:00Z">
              <w:r w:rsidRPr="008912CF">
                <w:rPr>
                  <w:szCs w:val="22"/>
                </w:rPr>
                <w:delText>insuficiência cardíaca congestiva</w:delText>
              </w:r>
            </w:del>
          </w:p>
          <w:p w14:paraId="62F7030A" w14:textId="466E171C" w:rsidR="004462A0" w:rsidRPr="008912CF" w:rsidRDefault="004462A0">
            <w:pPr>
              <w:rPr>
                <w:del w:id="6024" w:author="AbbVie2" w:date="2025-05-13T16:39:00Z"/>
                <w:szCs w:val="22"/>
              </w:rPr>
              <w:pPrChange w:id="6025" w:author="AbbVie2" w:date="2025-05-13T16:40:00Z">
                <w:pPr>
                  <w:pStyle w:val="EMEANormal"/>
                  <w:widowControl w:val="0"/>
                </w:pPr>
              </w:pPrChange>
            </w:pPr>
          </w:p>
        </w:tc>
      </w:tr>
      <w:tr w:rsidR="00A7162A" w14:paraId="76671333" w14:textId="17D35DE9" w:rsidTr="00F675CF">
        <w:trPr>
          <w:del w:id="6026" w:author="AbbVie2" w:date="2025-05-13T16:39:00Z"/>
        </w:trPr>
        <w:tc>
          <w:tcPr>
            <w:tcW w:w="2514" w:type="dxa"/>
            <w:vMerge/>
          </w:tcPr>
          <w:p w14:paraId="61CCFFEF" w14:textId="33F61553" w:rsidR="004462A0" w:rsidRPr="008912CF" w:rsidRDefault="004462A0">
            <w:pPr>
              <w:rPr>
                <w:del w:id="6027" w:author="AbbVie2" w:date="2025-05-13T16:39:00Z"/>
                <w:b/>
              </w:rPr>
              <w:pPrChange w:id="6028" w:author="AbbVie2" w:date="2025-05-13T16:40:00Z">
                <w:pPr>
                  <w:widowControl w:val="0"/>
                  <w:jc w:val="center"/>
                </w:pPr>
              </w:pPrChange>
            </w:pPr>
          </w:p>
        </w:tc>
        <w:tc>
          <w:tcPr>
            <w:tcW w:w="1996" w:type="dxa"/>
            <w:tcBorders>
              <w:top w:val="nil"/>
            </w:tcBorders>
          </w:tcPr>
          <w:p w14:paraId="10835AB4" w14:textId="56AE1DF0" w:rsidR="004462A0" w:rsidRPr="008912CF" w:rsidRDefault="00615769">
            <w:pPr>
              <w:rPr>
                <w:del w:id="6029" w:author="AbbVie2" w:date="2025-05-13T16:39:00Z"/>
                <w:szCs w:val="22"/>
              </w:rPr>
              <w:pPrChange w:id="6030" w:author="AbbVie2" w:date="2025-05-13T16:40:00Z">
                <w:pPr>
                  <w:pStyle w:val="EMEANormal"/>
                  <w:widowControl w:val="0"/>
                </w:pPr>
              </w:pPrChange>
            </w:pPr>
            <w:del w:id="6031" w:author="AbbVie2" w:date="2025-05-13T16:39:00Z">
              <w:r w:rsidRPr="008912CF">
                <w:rPr>
                  <w:szCs w:val="22"/>
                </w:rPr>
                <w:delText>Raros</w:delText>
              </w:r>
            </w:del>
          </w:p>
        </w:tc>
        <w:tc>
          <w:tcPr>
            <w:tcW w:w="4346" w:type="dxa"/>
            <w:tcBorders>
              <w:top w:val="nil"/>
            </w:tcBorders>
          </w:tcPr>
          <w:p w14:paraId="1A3B6DEE" w14:textId="62E5B958" w:rsidR="004462A0" w:rsidRPr="008912CF" w:rsidRDefault="00615769">
            <w:pPr>
              <w:rPr>
                <w:del w:id="6032" w:author="AbbVie2" w:date="2025-05-13T16:39:00Z"/>
                <w:szCs w:val="22"/>
              </w:rPr>
              <w:pPrChange w:id="6033" w:author="AbbVie2" w:date="2025-05-13T16:40:00Z">
                <w:pPr>
                  <w:pStyle w:val="EMEANormal"/>
                  <w:widowControl w:val="0"/>
                </w:pPr>
              </w:pPrChange>
            </w:pPr>
            <w:del w:id="6034" w:author="AbbVie2" w:date="2025-05-13T16:39:00Z">
              <w:r>
                <w:rPr>
                  <w:szCs w:val="22"/>
                </w:rPr>
                <w:delText>P</w:delText>
              </w:r>
              <w:r w:rsidRPr="008912CF">
                <w:rPr>
                  <w:szCs w:val="22"/>
                </w:rPr>
                <w:delText>aragem cardíaca</w:delText>
              </w:r>
            </w:del>
          </w:p>
          <w:p w14:paraId="74F50253" w14:textId="22043E36" w:rsidR="004462A0" w:rsidRPr="008912CF" w:rsidRDefault="004462A0">
            <w:pPr>
              <w:rPr>
                <w:del w:id="6035" w:author="AbbVie2" w:date="2025-05-13T16:39:00Z"/>
                <w:szCs w:val="22"/>
              </w:rPr>
              <w:pPrChange w:id="6036" w:author="AbbVie2" w:date="2025-05-13T16:40:00Z">
                <w:pPr>
                  <w:pStyle w:val="EMEANormal"/>
                  <w:widowControl w:val="0"/>
                </w:pPr>
              </w:pPrChange>
            </w:pPr>
          </w:p>
        </w:tc>
      </w:tr>
      <w:tr w:rsidR="00A7162A" w14:paraId="20C52D09" w14:textId="41F48A14" w:rsidTr="00F675CF">
        <w:trPr>
          <w:del w:id="6037" w:author="AbbVie2" w:date="2025-05-13T16:39:00Z"/>
        </w:trPr>
        <w:tc>
          <w:tcPr>
            <w:tcW w:w="2514" w:type="dxa"/>
            <w:vMerge w:val="restart"/>
          </w:tcPr>
          <w:p w14:paraId="6B587ED7" w14:textId="2F8EAC06" w:rsidR="004462A0" w:rsidRPr="008912CF" w:rsidRDefault="00615769">
            <w:pPr>
              <w:rPr>
                <w:del w:id="6038" w:author="AbbVie2" w:date="2025-05-13T16:39:00Z"/>
                <w:szCs w:val="22"/>
              </w:rPr>
              <w:pPrChange w:id="6039" w:author="AbbVie2" w:date="2025-05-13T16:40:00Z">
                <w:pPr>
                  <w:pStyle w:val="EMEANormal"/>
                  <w:widowControl w:val="0"/>
                </w:pPr>
              </w:pPrChange>
            </w:pPr>
            <w:del w:id="6040" w:author="AbbVie2" w:date="2025-05-13T16:39:00Z">
              <w:r w:rsidRPr="008912CF">
                <w:rPr>
                  <w:szCs w:val="22"/>
                </w:rPr>
                <w:delText>Vasculopatias</w:delText>
              </w:r>
            </w:del>
          </w:p>
        </w:tc>
        <w:tc>
          <w:tcPr>
            <w:tcW w:w="1996" w:type="dxa"/>
            <w:tcBorders>
              <w:bottom w:val="nil"/>
            </w:tcBorders>
          </w:tcPr>
          <w:p w14:paraId="3D06ECED" w14:textId="75EA0763" w:rsidR="004462A0" w:rsidRPr="008912CF" w:rsidRDefault="00615769">
            <w:pPr>
              <w:rPr>
                <w:del w:id="6041" w:author="AbbVie2" w:date="2025-05-13T16:39:00Z"/>
                <w:szCs w:val="22"/>
              </w:rPr>
              <w:pPrChange w:id="6042" w:author="AbbVie2" w:date="2025-05-13T16:40:00Z">
                <w:pPr>
                  <w:pStyle w:val="EMEANormal"/>
                  <w:widowControl w:val="0"/>
                </w:pPr>
              </w:pPrChange>
            </w:pPr>
            <w:del w:id="6043" w:author="AbbVie2" w:date="2025-05-13T16:39:00Z">
              <w:r w:rsidRPr="008912CF">
                <w:rPr>
                  <w:szCs w:val="22"/>
                </w:rPr>
                <w:delText>Frequentes</w:delText>
              </w:r>
            </w:del>
          </w:p>
          <w:p w14:paraId="4DBC0C73" w14:textId="2E2A593A" w:rsidR="004462A0" w:rsidRPr="008912CF" w:rsidRDefault="004462A0">
            <w:pPr>
              <w:rPr>
                <w:del w:id="6044" w:author="AbbVie2" w:date="2025-05-13T16:39:00Z"/>
                <w:szCs w:val="22"/>
              </w:rPr>
              <w:pPrChange w:id="6045" w:author="AbbVie2" w:date="2025-05-13T16:40:00Z">
                <w:pPr>
                  <w:pStyle w:val="EMEANormal"/>
                  <w:widowControl w:val="0"/>
                </w:pPr>
              </w:pPrChange>
            </w:pPr>
          </w:p>
        </w:tc>
        <w:tc>
          <w:tcPr>
            <w:tcW w:w="4346" w:type="dxa"/>
            <w:tcBorders>
              <w:bottom w:val="nil"/>
            </w:tcBorders>
          </w:tcPr>
          <w:p w14:paraId="42367523" w14:textId="0408EDD7" w:rsidR="004462A0" w:rsidRPr="008912CF" w:rsidRDefault="00615769">
            <w:pPr>
              <w:rPr>
                <w:del w:id="6046" w:author="AbbVie2" w:date="2025-05-13T16:39:00Z"/>
                <w:szCs w:val="22"/>
              </w:rPr>
              <w:pPrChange w:id="6047" w:author="AbbVie2" w:date="2025-05-13T16:40:00Z">
                <w:pPr>
                  <w:pStyle w:val="EMEANormal"/>
                  <w:widowControl w:val="0"/>
                </w:pPr>
              </w:pPrChange>
            </w:pPr>
            <w:del w:id="6048" w:author="AbbVie2" w:date="2025-05-13T16:39:00Z">
              <w:r>
                <w:rPr>
                  <w:szCs w:val="22"/>
                </w:rPr>
                <w:delText>H</w:delText>
              </w:r>
              <w:r w:rsidRPr="008912CF">
                <w:rPr>
                  <w:szCs w:val="22"/>
                </w:rPr>
                <w:delText xml:space="preserve">ipertensão, </w:delText>
              </w:r>
            </w:del>
          </w:p>
          <w:p w14:paraId="3E38A5FE" w14:textId="3C76A11A" w:rsidR="004462A0" w:rsidRPr="008912CF" w:rsidRDefault="00615769">
            <w:pPr>
              <w:rPr>
                <w:del w:id="6049" w:author="AbbVie2" w:date="2025-05-13T16:39:00Z"/>
                <w:szCs w:val="22"/>
              </w:rPr>
              <w:pPrChange w:id="6050" w:author="AbbVie2" w:date="2025-05-13T16:40:00Z">
                <w:pPr>
                  <w:pStyle w:val="EMEANormal"/>
                  <w:widowControl w:val="0"/>
                </w:pPr>
              </w:pPrChange>
            </w:pPr>
            <w:del w:id="6051" w:author="AbbVie2" w:date="2025-05-13T16:39:00Z">
              <w:r w:rsidRPr="008912CF">
                <w:rPr>
                  <w:szCs w:val="22"/>
                </w:rPr>
                <w:delText>vasodilatação,</w:delText>
              </w:r>
            </w:del>
          </w:p>
          <w:p w14:paraId="1E44D8CB" w14:textId="167D913E" w:rsidR="004462A0" w:rsidRDefault="00615769">
            <w:pPr>
              <w:rPr>
                <w:del w:id="6052" w:author="AbbVie2" w:date="2025-05-13T16:39:00Z"/>
                <w:szCs w:val="22"/>
              </w:rPr>
              <w:pPrChange w:id="6053" w:author="AbbVie2" w:date="2025-05-13T16:40:00Z">
                <w:pPr>
                  <w:pStyle w:val="EMEANormal"/>
                  <w:widowControl w:val="0"/>
                </w:pPr>
              </w:pPrChange>
            </w:pPr>
            <w:del w:id="6054" w:author="AbbVie2" w:date="2025-05-13T16:39:00Z">
              <w:r w:rsidRPr="008912CF">
                <w:rPr>
                  <w:szCs w:val="22"/>
                </w:rPr>
                <w:delText>hematoma</w:delText>
              </w:r>
            </w:del>
          </w:p>
          <w:p w14:paraId="523D9D37" w14:textId="6A39AED1" w:rsidR="003E3AA9" w:rsidRPr="008912CF" w:rsidRDefault="003E3AA9">
            <w:pPr>
              <w:rPr>
                <w:del w:id="6055" w:author="AbbVie2" w:date="2025-05-13T16:39:00Z"/>
                <w:szCs w:val="22"/>
              </w:rPr>
              <w:pPrChange w:id="6056" w:author="AbbVie2" w:date="2025-05-13T16:40:00Z">
                <w:pPr>
                  <w:pStyle w:val="EMEANormal"/>
                  <w:widowControl w:val="0"/>
                </w:pPr>
              </w:pPrChange>
            </w:pPr>
          </w:p>
        </w:tc>
      </w:tr>
      <w:tr w:rsidR="00A7162A" w14:paraId="11C49AE2" w14:textId="721E0BB2" w:rsidTr="00F675CF">
        <w:trPr>
          <w:del w:id="6057" w:author="AbbVie2" w:date="2025-05-13T16:39:00Z"/>
        </w:trPr>
        <w:tc>
          <w:tcPr>
            <w:tcW w:w="2514" w:type="dxa"/>
            <w:vMerge/>
          </w:tcPr>
          <w:p w14:paraId="475D74E1" w14:textId="5D61E84C" w:rsidR="004462A0" w:rsidRPr="008912CF" w:rsidRDefault="004462A0">
            <w:pPr>
              <w:rPr>
                <w:del w:id="6058" w:author="AbbVie2" w:date="2025-05-13T16:39:00Z"/>
                <w:szCs w:val="22"/>
              </w:rPr>
              <w:pPrChange w:id="6059" w:author="AbbVie2" w:date="2025-05-13T16:40:00Z">
                <w:pPr>
                  <w:pStyle w:val="EMEANormal"/>
                  <w:widowControl w:val="0"/>
                </w:pPr>
              </w:pPrChange>
            </w:pPr>
          </w:p>
        </w:tc>
        <w:tc>
          <w:tcPr>
            <w:tcW w:w="1996" w:type="dxa"/>
            <w:tcBorders>
              <w:top w:val="nil"/>
            </w:tcBorders>
          </w:tcPr>
          <w:p w14:paraId="6759C7EF" w14:textId="3F40D184" w:rsidR="004462A0" w:rsidRPr="008912CF" w:rsidRDefault="00615769">
            <w:pPr>
              <w:rPr>
                <w:del w:id="6060" w:author="AbbVie2" w:date="2025-05-13T16:39:00Z"/>
                <w:szCs w:val="22"/>
              </w:rPr>
              <w:pPrChange w:id="6061" w:author="AbbVie2" w:date="2025-05-13T16:40:00Z">
                <w:pPr>
                  <w:pStyle w:val="EMEANormal"/>
                  <w:widowControl w:val="0"/>
                </w:pPr>
              </w:pPrChange>
            </w:pPr>
            <w:del w:id="6062" w:author="AbbVie2" w:date="2025-05-13T16:39:00Z">
              <w:r w:rsidRPr="008912CF">
                <w:rPr>
                  <w:szCs w:val="22"/>
                </w:rPr>
                <w:delText>Pouco frequentes</w:delText>
              </w:r>
            </w:del>
          </w:p>
        </w:tc>
        <w:tc>
          <w:tcPr>
            <w:tcW w:w="4346" w:type="dxa"/>
            <w:tcBorders>
              <w:top w:val="nil"/>
            </w:tcBorders>
          </w:tcPr>
          <w:p w14:paraId="7A5800C0" w14:textId="508FA77C" w:rsidR="004462A0" w:rsidRPr="008912CF" w:rsidRDefault="00615769">
            <w:pPr>
              <w:rPr>
                <w:del w:id="6063" w:author="AbbVie2" w:date="2025-05-13T16:39:00Z"/>
                <w:szCs w:val="22"/>
              </w:rPr>
              <w:pPrChange w:id="6064" w:author="AbbVie2" w:date="2025-05-13T16:40:00Z">
                <w:pPr>
                  <w:pStyle w:val="EMEANormal"/>
                </w:pPr>
              </w:pPrChange>
            </w:pPr>
            <w:del w:id="6065" w:author="AbbVie2" w:date="2025-05-13T16:39:00Z">
              <w:r>
                <w:rPr>
                  <w:szCs w:val="22"/>
                </w:rPr>
                <w:delText>A</w:delText>
              </w:r>
              <w:r w:rsidRPr="008912CF">
                <w:rPr>
                  <w:szCs w:val="22"/>
                </w:rPr>
                <w:delText>neurisma da aorta,</w:delText>
              </w:r>
            </w:del>
          </w:p>
          <w:p w14:paraId="1D21B94B" w14:textId="07988FED" w:rsidR="004462A0" w:rsidRPr="008912CF" w:rsidRDefault="00615769">
            <w:pPr>
              <w:rPr>
                <w:del w:id="6066" w:author="AbbVie2" w:date="2025-05-13T16:39:00Z"/>
                <w:szCs w:val="22"/>
              </w:rPr>
              <w:pPrChange w:id="6067" w:author="AbbVie2" w:date="2025-05-13T16:40:00Z">
                <w:pPr>
                  <w:pStyle w:val="EMEANormal"/>
                </w:pPr>
              </w:pPrChange>
            </w:pPr>
            <w:del w:id="6068" w:author="AbbVie2" w:date="2025-05-13T16:39:00Z">
              <w:r w:rsidRPr="008912CF">
                <w:rPr>
                  <w:szCs w:val="22"/>
                </w:rPr>
                <w:delText>oclusão vascular arterial,</w:delText>
              </w:r>
            </w:del>
          </w:p>
          <w:p w14:paraId="31CE2952" w14:textId="6CF57D87" w:rsidR="004462A0" w:rsidRPr="008912CF" w:rsidRDefault="00615769">
            <w:pPr>
              <w:rPr>
                <w:del w:id="6069" w:author="AbbVie2" w:date="2025-05-13T16:39:00Z"/>
                <w:szCs w:val="22"/>
              </w:rPr>
              <w:pPrChange w:id="6070" w:author="AbbVie2" w:date="2025-05-13T16:40:00Z">
                <w:pPr>
                  <w:pStyle w:val="EMEANormal"/>
                </w:pPr>
              </w:pPrChange>
            </w:pPr>
            <w:del w:id="6071" w:author="AbbVie2" w:date="2025-05-13T16:39:00Z">
              <w:r w:rsidRPr="008912CF">
                <w:rPr>
                  <w:szCs w:val="22"/>
                </w:rPr>
                <w:delText xml:space="preserve">tromboflebite </w:delText>
              </w:r>
            </w:del>
          </w:p>
          <w:p w14:paraId="4D13F5AC" w14:textId="20DDA560" w:rsidR="004462A0" w:rsidRPr="008912CF" w:rsidRDefault="004462A0">
            <w:pPr>
              <w:rPr>
                <w:del w:id="6072" w:author="AbbVie2" w:date="2025-05-13T16:39:00Z"/>
                <w:szCs w:val="22"/>
              </w:rPr>
              <w:pPrChange w:id="6073" w:author="AbbVie2" w:date="2025-05-13T16:40:00Z">
                <w:pPr>
                  <w:pStyle w:val="EMEANormal"/>
                </w:pPr>
              </w:pPrChange>
            </w:pPr>
          </w:p>
        </w:tc>
      </w:tr>
      <w:tr w:rsidR="00A7162A" w14:paraId="76780F02" w14:textId="251A0094" w:rsidTr="00F675CF">
        <w:trPr>
          <w:del w:id="6074" w:author="AbbVie2" w:date="2025-05-13T16:39:00Z"/>
        </w:trPr>
        <w:tc>
          <w:tcPr>
            <w:tcW w:w="2514" w:type="dxa"/>
            <w:vMerge w:val="restart"/>
          </w:tcPr>
          <w:p w14:paraId="3E7689F2" w14:textId="54EFC232" w:rsidR="004462A0" w:rsidRPr="008912CF" w:rsidRDefault="00615769">
            <w:pPr>
              <w:rPr>
                <w:del w:id="6075" w:author="AbbVie2" w:date="2025-05-13T16:39:00Z"/>
                <w:szCs w:val="22"/>
              </w:rPr>
              <w:pPrChange w:id="6076" w:author="AbbVie2" w:date="2025-05-13T16:40:00Z">
                <w:pPr>
                  <w:pStyle w:val="EMEANormal"/>
                  <w:widowControl w:val="0"/>
                </w:pPr>
              </w:pPrChange>
            </w:pPr>
            <w:del w:id="6077" w:author="AbbVie2" w:date="2025-05-13T16:39:00Z">
              <w:r w:rsidRPr="008912CF">
                <w:rPr>
                  <w:szCs w:val="22"/>
                </w:rPr>
                <w:delText>Doenças respiratórias, torácicas e do mediastino *</w:delText>
              </w:r>
            </w:del>
          </w:p>
        </w:tc>
        <w:tc>
          <w:tcPr>
            <w:tcW w:w="1996" w:type="dxa"/>
            <w:tcBorders>
              <w:bottom w:val="nil"/>
            </w:tcBorders>
          </w:tcPr>
          <w:p w14:paraId="6496EB71" w14:textId="687E5093" w:rsidR="004462A0" w:rsidRPr="008912CF" w:rsidRDefault="00615769">
            <w:pPr>
              <w:rPr>
                <w:del w:id="6078" w:author="AbbVie2" w:date="2025-05-13T16:39:00Z"/>
                <w:szCs w:val="22"/>
              </w:rPr>
              <w:pPrChange w:id="6079" w:author="AbbVie2" w:date="2025-05-13T16:40:00Z">
                <w:pPr>
                  <w:pStyle w:val="EMEANormal"/>
                  <w:widowControl w:val="0"/>
                </w:pPr>
              </w:pPrChange>
            </w:pPr>
            <w:del w:id="6080" w:author="AbbVie2" w:date="2025-05-13T16:39:00Z">
              <w:r w:rsidRPr="008912CF">
                <w:rPr>
                  <w:szCs w:val="22"/>
                </w:rPr>
                <w:delText>Frequentes</w:delText>
              </w:r>
            </w:del>
          </w:p>
          <w:p w14:paraId="0CD348C9" w14:textId="50E603E6" w:rsidR="004462A0" w:rsidRPr="008912CF" w:rsidRDefault="004462A0">
            <w:pPr>
              <w:rPr>
                <w:del w:id="6081" w:author="AbbVie2" w:date="2025-05-13T16:39:00Z"/>
                <w:szCs w:val="22"/>
              </w:rPr>
              <w:pPrChange w:id="6082" w:author="AbbVie2" w:date="2025-05-13T16:40:00Z">
                <w:pPr>
                  <w:pStyle w:val="EMEANormal"/>
                  <w:widowControl w:val="0"/>
                </w:pPr>
              </w:pPrChange>
            </w:pPr>
          </w:p>
        </w:tc>
        <w:tc>
          <w:tcPr>
            <w:tcW w:w="4346" w:type="dxa"/>
            <w:tcBorders>
              <w:bottom w:val="nil"/>
            </w:tcBorders>
          </w:tcPr>
          <w:p w14:paraId="209C0EBA" w14:textId="0277644E" w:rsidR="004462A0" w:rsidRPr="008912CF" w:rsidRDefault="00615769">
            <w:pPr>
              <w:rPr>
                <w:del w:id="6083" w:author="AbbVie2" w:date="2025-05-13T16:39:00Z"/>
                <w:szCs w:val="22"/>
              </w:rPr>
              <w:pPrChange w:id="6084" w:author="AbbVie2" w:date="2025-05-13T16:40:00Z">
                <w:pPr>
                  <w:pStyle w:val="EMEANormal"/>
                  <w:widowControl w:val="0"/>
                </w:pPr>
              </w:pPrChange>
            </w:pPr>
            <w:del w:id="6085" w:author="AbbVie2" w:date="2025-05-13T16:39:00Z">
              <w:r>
                <w:rPr>
                  <w:szCs w:val="22"/>
                </w:rPr>
                <w:delText>A</w:delText>
              </w:r>
              <w:r w:rsidRPr="008912CF">
                <w:rPr>
                  <w:szCs w:val="22"/>
                </w:rPr>
                <w:delText xml:space="preserve">sma, </w:delText>
              </w:r>
            </w:del>
          </w:p>
          <w:p w14:paraId="1DEDC8E5" w14:textId="4100E71C" w:rsidR="004462A0" w:rsidRPr="008912CF" w:rsidRDefault="00615769">
            <w:pPr>
              <w:rPr>
                <w:del w:id="6086" w:author="AbbVie2" w:date="2025-05-13T16:39:00Z"/>
                <w:szCs w:val="22"/>
              </w:rPr>
              <w:pPrChange w:id="6087" w:author="AbbVie2" w:date="2025-05-13T16:40:00Z">
                <w:pPr>
                  <w:pStyle w:val="EMEANormal"/>
                  <w:widowControl w:val="0"/>
                </w:pPr>
              </w:pPrChange>
            </w:pPr>
            <w:del w:id="6088" w:author="AbbVie2" w:date="2025-05-13T16:39:00Z">
              <w:r w:rsidRPr="008912CF">
                <w:rPr>
                  <w:szCs w:val="22"/>
                </w:rPr>
                <w:delText>dispneia,</w:delText>
              </w:r>
            </w:del>
          </w:p>
          <w:p w14:paraId="4640AC11" w14:textId="04F0C3A5" w:rsidR="004462A0" w:rsidRDefault="00615769">
            <w:pPr>
              <w:rPr>
                <w:del w:id="6089" w:author="AbbVie2" w:date="2025-05-13T16:39:00Z"/>
                <w:szCs w:val="22"/>
              </w:rPr>
              <w:pPrChange w:id="6090" w:author="AbbVie2" w:date="2025-05-13T16:40:00Z">
                <w:pPr>
                  <w:pStyle w:val="EMEANormal"/>
                  <w:widowControl w:val="0"/>
                </w:pPr>
              </w:pPrChange>
            </w:pPr>
            <w:del w:id="6091" w:author="AbbVie2" w:date="2025-05-13T16:39:00Z">
              <w:r w:rsidRPr="008912CF">
                <w:rPr>
                  <w:szCs w:val="22"/>
                </w:rPr>
                <w:delText>tosse</w:delText>
              </w:r>
            </w:del>
          </w:p>
          <w:p w14:paraId="3A15EED4" w14:textId="238E4C83" w:rsidR="003E3AA9" w:rsidRPr="008912CF" w:rsidRDefault="003E3AA9">
            <w:pPr>
              <w:rPr>
                <w:del w:id="6092" w:author="AbbVie2" w:date="2025-05-13T16:39:00Z"/>
                <w:szCs w:val="22"/>
              </w:rPr>
              <w:pPrChange w:id="6093" w:author="AbbVie2" w:date="2025-05-13T16:40:00Z">
                <w:pPr>
                  <w:pStyle w:val="EMEANormal"/>
                  <w:widowControl w:val="0"/>
                </w:pPr>
              </w:pPrChange>
            </w:pPr>
          </w:p>
        </w:tc>
      </w:tr>
      <w:tr w:rsidR="00A7162A" w14:paraId="3822481B" w14:textId="4683E92D" w:rsidTr="00F675CF">
        <w:trPr>
          <w:del w:id="6094" w:author="AbbVie2" w:date="2025-05-13T16:39:00Z"/>
        </w:trPr>
        <w:tc>
          <w:tcPr>
            <w:tcW w:w="2514" w:type="dxa"/>
            <w:vMerge/>
          </w:tcPr>
          <w:p w14:paraId="76E4B151" w14:textId="7194F013" w:rsidR="004462A0" w:rsidRPr="008912CF" w:rsidRDefault="004462A0">
            <w:pPr>
              <w:rPr>
                <w:del w:id="6095" w:author="AbbVie2" w:date="2025-05-13T16:39:00Z"/>
                <w:b/>
              </w:rPr>
              <w:pPrChange w:id="6096" w:author="AbbVie2" w:date="2025-05-13T16:40:00Z">
                <w:pPr>
                  <w:widowControl w:val="0"/>
                  <w:jc w:val="center"/>
                </w:pPr>
              </w:pPrChange>
            </w:pPr>
          </w:p>
        </w:tc>
        <w:tc>
          <w:tcPr>
            <w:tcW w:w="1996" w:type="dxa"/>
            <w:tcBorders>
              <w:top w:val="nil"/>
              <w:bottom w:val="nil"/>
            </w:tcBorders>
          </w:tcPr>
          <w:p w14:paraId="3E73585A" w14:textId="7BBC12E7" w:rsidR="004462A0" w:rsidRPr="008912CF" w:rsidRDefault="00615769">
            <w:pPr>
              <w:rPr>
                <w:del w:id="6097" w:author="AbbVie2" w:date="2025-05-13T16:39:00Z"/>
                <w:szCs w:val="22"/>
              </w:rPr>
              <w:pPrChange w:id="6098" w:author="AbbVie2" w:date="2025-05-13T16:40:00Z">
                <w:pPr>
                  <w:pStyle w:val="EMEANormal"/>
                  <w:widowControl w:val="0"/>
                </w:pPr>
              </w:pPrChange>
            </w:pPr>
            <w:del w:id="6099" w:author="AbbVie2" w:date="2025-05-13T16:39:00Z">
              <w:r w:rsidRPr="008912CF">
                <w:rPr>
                  <w:szCs w:val="22"/>
                </w:rPr>
                <w:delText>Pouco frequentes</w:delText>
              </w:r>
            </w:del>
          </w:p>
          <w:p w14:paraId="6A114C22" w14:textId="792E1A08" w:rsidR="004462A0" w:rsidRPr="008912CF" w:rsidRDefault="004462A0">
            <w:pPr>
              <w:rPr>
                <w:del w:id="6100" w:author="AbbVie2" w:date="2025-05-13T16:39:00Z"/>
                <w:szCs w:val="22"/>
              </w:rPr>
              <w:pPrChange w:id="6101" w:author="AbbVie2" w:date="2025-05-13T16:40:00Z">
                <w:pPr>
                  <w:pStyle w:val="EMEANormal"/>
                  <w:widowControl w:val="0"/>
                </w:pPr>
              </w:pPrChange>
            </w:pPr>
          </w:p>
        </w:tc>
        <w:tc>
          <w:tcPr>
            <w:tcW w:w="4346" w:type="dxa"/>
            <w:tcBorders>
              <w:top w:val="nil"/>
              <w:bottom w:val="nil"/>
            </w:tcBorders>
          </w:tcPr>
          <w:p w14:paraId="34A2B395" w14:textId="3A33E5D6" w:rsidR="004462A0" w:rsidRPr="008912CF" w:rsidRDefault="00615769">
            <w:pPr>
              <w:rPr>
                <w:del w:id="6102" w:author="AbbVie2" w:date="2025-05-13T16:39:00Z"/>
                <w:szCs w:val="22"/>
              </w:rPr>
              <w:pPrChange w:id="6103" w:author="AbbVie2" w:date="2025-05-13T16:40:00Z">
                <w:pPr>
                  <w:pStyle w:val="EMEANormal"/>
                  <w:widowControl w:val="0"/>
                </w:pPr>
              </w:pPrChange>
            </w:pPr>
            <w:del w:id="6104" w:author="AbbVie2" w:date="2025-05-13T16:39:00Z">
              <w:r>
                <w:rPr>
                  <w:szCs w:val="22"/>
                </w:rPr>
                <w:delText>E</w:delText>
              </w:r>
              <w:r w:rsidRPr="008912CF">
                <w:rPr>
                  <w:szCs w:val="22"/>
                </w:rPr>
                <w:delText>mboli</w:delText>
              </w:r>
              <w:r w:rsidR="003E3AA9">
                <w:rPr>
                  <w:szCs w:val="22"/>
                </w:rPr>
                <w:delText>a</w:delText>
              </w:r>
              <w:r w:rsidRPr="008912CF">
                <w:rPr>
                  <w:szCs w:val="22"/>
                </w:rPr>
                <w:delText xml:space="preserve"> pulmonar</w:delText>
              </w:r>
              <w:r w:rsidRPr="008912CF">
                <w:rPr>
                  <w:szCs w:val="22"/>
                  <w:vertAlign w:val="superscript"/>
                </w:rPr>
                <w:delText>1)</w:delText>
              </w:r>
              <w:r w:rsidRPr="008912CF">
                <w:rPr>
                  <w:szCs w:val="22"/>
                </w:rPr>
                <w:delText>,</w:delText>
              </w:r>
            </w:del>
          </w:p>
          <w:p w14:paraId="60D01EF0" w14:textId="02295D2F" w:rsidR="004462A0" w:rsidRPr="008912CF" w:rsidRDefault="00615769">
            <w:pPr>
              <w:rPr>
                <w:del w:id="6105" w:author="AbbVie2" w:date="2025-05-13T16:39:00Z"/>
                <w:szCs w:val="22"/>
              </w:rPr>
              <w:pPrChange w:id="6106" w:author="AbbVie2" w:date="2025-05-13T16:40:00Z">
                <w:pPr>
                  <w:pStyle w:val="EMEANormal"/>
                  <w:widowControl w:val="0"/>
                </w:pPr>
              </w:pPrChange>
            </w:pPr>
            <w:del w:id="6107" w:author="AbbVie2" w:date="2025-05-13T16:39:00Z">
              <w:r w:rsidRPr="008912CF">
                <w:rPr>
                  <w:szCs w:val="22"/>
                </w:rPr>
                <w:delText xml:space="preserve">doença pulmonar intersticial, </w:delText>
              </w:r>
            </w:del>
          </w:p>
          <w:p w14:paraId="2B3FC5CA" w14:textId="703E93E5" w:rsidR="004462A0" w:rsidRPr="008912CF" w:rsidRDefault="00615769">
            <w:pPr>
              <w:rPr>
                <w:del w:id="6108" w:author="AbbVie2" w:date="2025-05-13T16:39:00Z"/>
                <w:szCs w:val="22"/>
              </w:rPr>
              <w:pPrChange w:id="6109" w:author="AbbVie2" w:date="2025-05-13T16:40:00Z">
                <w:pPr>
                  <w:pStyle w:val="EMEANormal"/>
                  <w:widowControl w:val="0"/>
                </w:pPr>
              </w:pPrChange>
            </w:pPr>
            <w:del w:id="6110" w:author="AbbVie2" w:date="2025-05-13T16:39:00Z">
              <w:r w:rsidRPr="008912CF">
                <w:rPr>
                  <w:szCs w:val="22"/>
                </w:rPr>
                <w:delText xml:space="preserve">doença pulmonar </w:delText>
              </w:r>
              <w:r w:rsidR="00D9472B" w:rsidRPr="008912CF">
                <w:rPr>
                  <w:szCs w:val="22"/>
                </w:rPr>
                <w:delText xml:space="preserve">obstrutiva </w:delText>
              </w:r>
              <w:r w:rsidRPr="008912CF">
                <w:rPr>
                  <w:szCs w:val="22"/>
                </w:rPr>
                <w:delText xml:space="preserve">crónica, </w:delText>
              </w:r>
            </w:del>
          </w:p>
          <w:p w14:paraId="48939FBD" w14:textId="02E961C8" w:rsidR="004462A0" w:rsidRPr="008912CF" w:rsidRDefault="00615769">
            <w:pPr>
              <w:rPr>
                <w:del w:id="6111" w:author="AbbVie2" w:date="2025-05-13T16:39:00Z"/>
                <w:szCs w:val="22"/>
              </w:rPr>
              <w:pPrChange w:id="6112" w:author="AbbVie2" w:date="2025-05-13T16:40:00Z">
                <w:pPr>
                  <w:pStyle w:val="EMEANormal"/>
                  <w:widowControl w:val="0"/>
                </w:pPr>
              </w:pPrChange>
            </w:pPr>
            <w:del w:id="6113" w:author="AbbVie2" w:date="2025-05-13T16:39:00Z">
              <w:r w:rsidRPr="008912CF">
                <w:rPr>
                  <w:szCs w:val="22"/>
                </w:rPr>
                <w:delText>pneumonite,</w:delText>
              </w:r>
            </w:del>
          </w:p>
          <w:p w14:paraId="6263E8D4" w14:textId="27760731" w:rsidR="004462A0" w:rsidRDefault="00615769">
            <w:pPr>
              <w:rPr>
                <w:del w:id="6114" w:author="AbbVie2" w:date="2025-05-13T16:39:00Z"/>
                <w:szCs w:val="22"/>
              </w:rPr>
              <w:pPrChange w:id="6115" w:author="AbbVie2" w:date="2025-05-13T16:40:00Z">
                <w:pPr>
                  <w:pStyle w:val="EMEANormal"/>
                  <w:widowControl w:val="0"/>
                </w:pPr>
              </w:pPrChange>
            </w:pPr>
            <w:del w:id="6116" w:author="AbbVie2" w:date="2025-05-13T16:39:00Z">
              <w:r w:rsidRPr="008912CF">
                <w:rPr>
                  <w:szCs w:val="22"/>
                </w:rPr>
                <w:delText>derrame pleural</w:delText>
              </w:r>
              <w:r w:rsidRPr="008912CF">
                <w:rPr>
                  <w:szCs w:val="22"/>
                  <w:vertAlign w:val="superscript"/>
                </w:rPr>
                <w:delText>1)</w:delText>
              </w:r>
            </w:del>
          </w:p>
          <w:p w14:paraId="2DE7FEAF" w14:textId="75FEAEC6" w:rsidR="003E3AA9" w:rsidRPr="003E3AA9" w:rsidRDefault="003E3AA9">
            <w:pPr>
              <w:rPr>
                <w:del w:id="6117" w:author="AbbVie2" w:date="2025-05-13T16:39:00Z"/>
                <w:szCs w:val="22"/>
              </w:rPr>
              <w:pPrChange w:id="6118" w:author="AbbVie2" w:date="2025-05-13T16:40:00Z">
                <w:pPr>
                  <w:pStyle w:val="EMEANormal"/>
                  <w:widowControl w:val="0"/>
                </w:pPr>
              </w:pPrChange>
            </w:pPr>
          </w:p>
        </w:tc>
      </w:tr>
      <w:tr w:rsidR="00A7162A" w14:paraId="6A9834BF" w14:textId="477C9690" w:rsidTr="00F675CF">
        <w:trPr>
          <w:del w:id="6119" w:author="AbbVie2" w:date="2025-05-13T16:39:00Z"/>
        </w:trPr>
        <w:tc>
          <w:tcPr>
            <w:tcW w:w="2514" w:type="dxa"/>
            <w:vMerge/>
          </w:tcPr>
          <w:p w14:paraId="1635070F" w14:textId="4D9537F1" w:rsidR="004462A0" w:rsidRPr="008912CF" w:rsidRDefault="004462A0">
            <w:pPr>
              <w:rPr>
                <w:del w:id="6120" w:author="AbbVie2" w:date="2025-05-13T16:39:00Z"/>
                <w:b/>
              </w:rPr>
              <w:pPrChange w:id="6121" w:author="AbbVie2" w:date="2025-05-13T16:40:00Z">
                <w:pPr>
                  <w:widowControl w:val="0"/>
                  <w:jc w:val="center"/>
                </w:pPr>
              </w:pPrChange>
            </w:pPr>
          </w:p>
        </w:tc>
        <w:tc>
          <w:tcPr>
            <w:tcW w:w="1996" w:type="dxa"/>
            <w:tcBorders>
              <w:top w:val="nil"/>
            </w:tcBorders>
          </w:tcPr>
          <w:p w14:paraId="0B5C765C" w14:textId="5DBD1337" w:rsidR="004462A0" w:rsidRPr="008912CF" w:rsidRDefault="00615769">
            <w:pPr>
              <w:rPr>
                <w:del w:id="6122" w:author="AbbVie2" w:date="2025-05-13T16:39:00Z"/>
                <w:szCs w:val="22"/>
              </w:rPr>
              <w:pPrChange w:id="6123" w:author="AbbVie2" w:date="2025-05-13T16:40:00Z">
                <w:pPr>
                  <w:pStyle w:val="EMEANormal"/>
                  <w:widowControl w:val="0"/>
                </w:pPr>
              </w:pPrChange>
            </w:pPr>
            <w:del w:id="6124" w:author="AbbVie2" w:date="2025-05-13T16:39:00Z">
              <w:r w:rsidRPr="008912CF">
                <w:rPr>
                  <w:szCs w:val="22"/>
                </w:rPr>
                <w:delText>Raros</w:delText>
              </w:r>
            </w:del>
          </w:p>
        </w:tc>
        <w:tc>
          <w:tcPr>
            <w:tcW w:w="4346" w:type="dxa"/>
            <w:tcBorders>
              <w:top w:val="nil"/>
            </w:tcBorders>
          </w:tcPr>
          <w:p w14:paraId="75356BD4" w14:textId="66ACC766" w:rsidR="004462A0" w:rsidRPr="008912CF" w:rsidRDefault="00615769">
            <w:pPr>
              <w:rPr>
                <w:del w:id="6125" w:author="AbbVie2" w:date="2025-05-13T16:39:00Z"/>
                <w:szCs w:val="22"/>
                <w:vertAlign w:val="superscript"/>
              </w:rPr>
              <w:pPrChange w:id="6126" w:author="AbbVie2" w:date="2025-05-13T16:40:00Z">
                <w:pPr>
                  <w:pStyle w:val="EMEANormal"/>
                  <w:widowControl w:val="0"/>
                </w:pPr>
              </w:pPrChange>
            </w:pPr>
            <w:del w:id="6127" w:author="AbbVie2" w:date="2025-05-13T16:39:00Z">
              <w:r>
                <w:rPr>
                  <w:szCs w:val="22"/>
                </w:rPr>
                <w:delText>F</w:delText>
              </w:r>
              <w:r w:rsidRPr="008912CF">
                <w:rPr>
                  <w:szCs w:val="22"/>
                </w:rPr>
                <w:delText>ibrose pulmonar</w:delText>
              </w:r>
              <w:r w:rsidRPr="008912CF">
                <w:rPr>
                  <w:szCs w:val="22"/>
                  <w:vertAlign w:val="superscript"/>
                </w:rPr>
                <w:delText>1)</w:delText>
              </w:r>
            </w:del>
          </w:p>
          <w:p w14:paraId="1D769E00" w14:textId="0D6A70F8" w:rsidR="004462A0" w:rsidRPr="008912CF" w:rsidRDefault="004462A0">
            <w:pPr>
              <w:rPr>
                <w:del w:id="6128" w:author="AbbVie2" w:date="2025-05-13T16:39:00Z"/>
                <w:szCs w:val="22"/>
              </w:rPr>
              <w:pPrChange w:id="6129" w:author="AbbVie2" w:date="2025-05-13T16:40:00Z">
                <w:pPr>
                  <w:pStyle w:val="EMEANormal"/>
                  <w:widowControl w:val="0"/>
                </w:pPr>
              </w:pPrChange>
            </w:pPr>
          </w:p>
        </w:tc>
      </w:tr>
      <w:tr w:rsidR="00A7162A" w14:paraId="2602A5E2" w14:textId="6F3BE9BC" w:rsidTr="00F675CF">
        <w:trPr>
          <w:del w:id="6130" w:author="AbbVie2" w:date="2025-05-13T16:39:00Z"/>
        </w:trPr>
        <w:tc>
          <w:tcPr>
            <w:tcW w:w="2514" w:type="dxa"/>
            <w:vMerge w:val="restart"/>
          </w:tcPr>
          <w:p w14:paraId="6C2C7FEA" w14:textId="16142164" w:rsidR="004462A0" w:rsidRPr="008912CF" w:rsidRDefault="00615769">
            <w:pPr>
              <w:rPr>
                <w:del w:id="6131" w:author="AbbVie2" w:date="2025-05-13T16:39:00Z"/>
                <w:szCs w:val="22"/>
              </w:rPr>
              <w:pPrChange w:id="6132" w:author="AbbVie2" w:date="2025-05-13T16:40:00Z">
                <w:pPr>
                  <w:pStyle w:val="EMEANormal"/>
                  <w:widowControl w:val="0"/>
                </w:pPr>
              </w:pPrChange>
            </w:pPr>
            <w:del w:id="6133" w:author="AbbVie2" w:date="2025-05-13T16:39:00Z">
              <w:r w:rsidRPr="008912CF">
                <w:rPr>
                  <w:szCs w:val="22"/>
                </w:rPr>
                <w:delText>Doenças gastrointestinais</w:delText>
              </w:r>
            </w:del>
          </w:p>
        </w:tc>
        <w:tc>
          <w:tcPr>
            <w:tcW w:w="1996" w:type="dxa"/>
            <w:tcBorders>
              <w:bottom w:val="nil"/>
            </w:tcBorders>
          </w:tcPr>
          <w:p w14:paraId="02342FDE" w14:textId="609E952C" w:rsidR="004462A0" w:rsidRPr="008912CF" w:rsidRDefault="00615769">
            <w:pPr>
              <w:rPr>
                <w:del w:id="6134" w:author="AbbVie2" w:date="2025-05-13T16:39:00Z"/>
                <w:szCs w:val="22"/>
              </w:rPr>
              <w:pPrChange w:id="6135" w:author="AbbVie2" w:date="2025-05-13T16:40:00Z">
                <w:pPr>
                  <w:pStyle w:val="EMEANormal"/>
                  <w:widowControl w:val="0"/>
                </w:pPr>
              </w:pPrChange>
            </w:pPr>
            <w:del w:id="6136" w:author="AbbVie2" w:date="2025-05-13T16:39:00Z">
              <w:r w:rsidRPr="008912CF">
                <w:rPr>
                  <w:szCs w:val="22"/>
                </w:rPr>
                <w:delText xml:space="preserve">Muito frequentes </w:delText>
              </w:r>
            </w:del>
          </w:p>
        </w:tc>
        <w:tc>
          <w:tcPr>
            <w:tcW w:w="4346" w:type="dxa"/>
            <w:tcBorders>
              <w:bottom w:val="nil"/>
            </w:tcBorders>
          </w:tcPr>
          <w:p w14:paraId="271D14DE" w14:textId="0130E729" w:rsidR="004462A0" w:rsidRPr="008912CF" w:rsidRDefault="00615769">
            <w:pPr>
              <w:rPr>
                <w:del w:id="6137" w:author="AbbVie2" w:date="2025-05-13T16:39:00Z"/>
                <w:szCs w:val="22"/>
              </w:rPr>
              <w:pPrChange w:id="6138" w:author="AbbVie2" w:date="2025-05-13T16:40:00Z">
                <w:pPr>
                  <w:pStyle w:val="EMEANormal"/>
                  <w:widowControl w:val="0"/>
                </w:pPr>
              </w:pPrChange>
            </w:pPr>
            <w:del w:id="6139" w:author="AbbVie2" w:date="2025-05-13T16:39:00Z">
              <w:r>
                <w:rPr>
                  <w:szCs w:val="22"/>
                </w:rPr>
                <w:delText>D</w:delText>
              </w:r>
              <w:r w:rsidRPr="008912CF">
                <w:rPr>
                  <w:szCs w:val="22"/>
                </w:rPr>
                <w:delText xml:space="preserve">or abdominal, </w:delText>
              </w:r>
            </w:del>
          </w:p>
          <w:p w14:paraId="21B64B7D" w14:textId="1DCBFE05" w:rsidR="004462A0" w:rsidRPr="008912CF" w:rsidRDefault="00615769">
            <w:pPr>
              <w:rPr>
                <w:del w:id="6140" w:author="AbbVie2" w:date="2025-05-13T16:39:00Z"/>
                <w:szCs w:val="22"/>
              </w:rPr>
              <w:pPrChange w:id="6141" w:author="AbbVie2" w:date="2025-05-13T16:40:00Z">
                <w:pPr>
                  <w:pStyle w:val="EMEANormal"/>
                  <w:widowControl w:val="0"/>
                </w:pPr>
              </w:pPrChange>
            </w:pPr>
            <w:del w:id="6142" w:author="AbbVie2" w:date="2025-05-13T16:39:00Z">
              <w:r w:rsidRPr="008912CF">
                <w:rPr>
                  <w:szCs w:val="22"/>
                </w:rPr>
                <w:delText>náuseas e vómitos</w:delText>
              </w:r>
            </w:del>
          </w:p>
          <w:p w14:paraId="697AC5C9" w14:textId="35DCB5EC" w:rsidR="004462A0" w:rsidRPr="008912CF" w:rsidRDefault="004462A0">
            <w:pPr>
              <w:rPr>
                <w:del w:id="6143" w:author="AbbVie2" w:date="2025-05-13T16:39:00Z"/>
                <w:szCs w:val="22"/>
              </w:rPr>
              <w:pPrChange w:id="6144" w:author="AbbVie2" w:date="2025-05-13T16:40:00Z">
                <w:pPr>
                  <w:pStyle w:val="EMEANormal"/>
                  <w:widowControl w:val="0"/>
                </w:pPr>
              </w:pPrChange>
            </w:pPr>
          </w:p>
        </w:tc>
      </w:tr>
      <w:tr w:rsidR="00A7162A" w14:paraId="6FC6FEE6" w14:textId="528ED05D" w:rsidTr="00F675CF">
        <w:trPr>
          <w:del w:id="6145" w:author="AbbVie2" w:date="2025-05-13T16:39:00Z"/>
        </w:trPr>
        <w:tc>
          <w:tcPr>
            <w:tcW w:w="2514" w:type="dxa"/>
            <w:vMerge/>
          </w:tcPr>
          <w:p w14:paraId="4EA29E3A" w14:textId="6882CAAE" w:rsidR="004462A0" w:rsidRPr="008912CF" w:rsidRDefault="004462A0">
            <w:pPr>
              <w:rPr>
                <w:del w:id="6146" w:author="AbbVie2" w:date="2025-05-13T16:39:00Z"/>
                <w:b/>
              </w:rPr>
              <w:pPrChange w:id="6147" w:author="AbbVie2" w:date="2025-05-13T16:40:00Z">
                <w:pPr>
                  <w:widowControl w:val="0"/>
                  <w:jc w:val="center"/>
                </w:pPr>
              </w:pPrChange>
            </w:pPr>
          </w:p>
        </w:tc>
        <w:tc>
          <w:tcPr>
            <w:tcW w:w="1996" w:type="dxa"/>
            <w:tcBorders>
              <w:top w:val="nil"/>
              <w:bottom w:val="nil"/>
            </w:tcBorders>
          </w:tcPr>
          <w:p w14:paraId="4F9CE9B7" w14:textId="14AEE654" w:rsidR="004462A0" w:rsidRPr="008912CF" w:rsidRDefault="00615769">
            <w:pPr>
              <w:rPr>
                <w:del w:id="6148" w:author="AbbVie2" w:date="2025-05-13T16:39:00Z"/>
                <w:szCs w:val="22"/>
              </w:rPr>
              <w:pPrChange w:id="6149" w:author="AbbVie2" w:date="2025-05-13T16:40:00Z">
                <w:pPr>
                  <w:pStyle w:val="EMEANormal"/>
                  <w:widowControl w:val="0"/>
                </w:pPr>
              </w:pPrChange>
            </w:pPr>
            <w:del w:id="6150" w:author="AbbVie2" w:date="2025-05-13T16:39:00Z">
              <w:r w:rsidRPr="008912CF">
                <w:rPr>
                  <w:szCs w:val="22"/>
                </w:rPr>
                <w:delText>Frequentes</w:delText>
              </w:r>
            </w:del>
          </w:p>
          <w:p w14:paraId="51BEF8BB" w14:textId="14C6D0CD" w:rsidR="004462A0" w:rsidRPr="008912CF" w:rsidRDefault="004462A0">
            <w:pPr>
              <w:rPr>
                <w:del w:id="6151" w:author="AbbVie2" w:date="2025-05-13T16:39:00Z"/>
                <w:szCs w:val="22"/>
              </w:rPr>
              <w:pPrChange w:id="6152" w:author="AbbVie2" w:date="2025-05-13T16:40:00Z">
                <w:pPr>
                  <w:pStyle w:val="EMEANormal"/>
                  <w:widowControl w:val="0"/>
                </w:pPr>
              </w:pPrChange>
            </w:pPr>
          </w:p>
        </w:tc>
        <w:tc>
          <w:tcPr>
            <w:tcW w:w="4346" w:type="dxa"/>
            <w:tcBorders>
              <w:top w:val="nil"/>
              <w:bottom w:val="nil"/>
            </w:tcBorders>
          </w:tcPr>
          <w:p w14:paraId="26590350" w14:textId="4889D018" w:rsidR="004462A0" w:rsidRPr="008912CF" w:rsidRDefault="00615769">
            <w:pPr>
              <w:rPr>
                <w:del w:id="6153" w:author="AbbVie2" w:date="2025-05-13T16:39:00Z"/>
                <w:szCs w:val="22"/>
              </w:rPr>
              <w:pPrChange w:id="6154" w:author="AbbVie2" w:date="2025-05-13T16:40:00Z">
                <w:pPr>
                  <w:pStyle w:val="EMEANormal"/>
                  <w:widowControl w:val="0"/>
                </w:pPr>
              </w:pPrChange>
            </w:pPr>
            <w:del w:id="6155" w:author="AbbVie2" w:date="2025-05-13T16:39:00Z">
              <w:r>
                <w:rPr>
                  <w:szCs w:val="22"/>
                </w:rPr>
                <w:delText>H</w:delText>
              </w:r>
              <w:r w:rsidRPr="008912CF">
                <w:rPr>
                  <w:szCs w:val="22"/>
                </w:rPr>
                <w:delText xml:space="preserve">emorragia gastrointestinal, </w:delText>
              </w:r>
            </w:del>
          </w:p>
          <w:p w14:paraId="3FE0E4B0" w14:textId="465B5C22" w:rsidR="004462A0" w:rsidRPr="008912CF" w:rsidRDefault="00615769">
            <w:pPr>
              <w:rPr>
                <w:del w:id="6156" w:author="AbbVie2" w:date="2025-05-13T16:39:00Z"/>
                <w:szCs w:val="22"/>
              </w:rPr>
              <w:pPrChange w:id="6157" w:author="AbbVie2" w:date="2025-05-13T16:40:00Z">
                <w:pPr>
                  <w:pStyle w:val="EMEANormal"/>
                  <w:widowControl w:val="0"/>
                </w:pPr>
              </w:pPrChange>
            </w:pPr>
            <w:del w:id="6158" w:author="AbbVie2" w:date="2025-05-13T16:39:00Z">
              <w:r w:rsidRPr="008912CF">
                <w:rPr>
                  <w:szCs w:val="22"/>
                </w:rPr>
                <w:delText xml:space="preserve">dispepsia, </w:delText>
              </w:r>
            </w:del>
          </w:p>
          <w:p w14:paraId="31B1F880" w14:textId="72066E9F" w:rsidR="004462A0" w:rsidRPr="008912CF" w:rsidRDefault="00615769">
            <w:pPr>
              <w:rPr>
                <w:del w:id="6159" w:author="AbbVie2" w:date="2025-05-13T16:39:00Z"/>
                <w:szCs w:val="22"/>
              </w:rPr>
              <w:pPrChange w:id="6160" w:author="AbbVie2" w:date="2025-05-13T16:40:00Z">
                <w:pPr>
                  <w:pStyle w:val="EMEANormal"/>
                  <w:widowControl w:val="0"/>
                </w:pPr>
              </w:pPrChange>
            </w:pPr>
            <w:del w:id="6161" w:author="AbbVie2" w:date="2025-05-13T16:39:00Z">
              <w:r w:rsidRPr="008912CF">
                <w:rPr>
                  <w:szCs w:val="22"/>
                </w:rPr>
                <w:delText>doença de refluxo gastroesofágico,</w:delText>
              </w:r>
            </w:del>
          </w:p>
          <w:p w14:paraId="139701B2" w14:textId="4571EE23" w:rsidR="004462A0" w:rsidRPr="008912CF" w:rsidRDefault="00615769">
            <w:pPr>
              <w:rPr>
                <w:del w:id="6162" w:author="AbbVie2" w:date="2025-05-13T16:39:00Z"/>
                <w:szCs w:val="22"/>
              </w:rPr>
              <w:pPrChange w:id="6163" w:author="AbbVie2" w:date="2025-05-13T16:40:00Z">
                <w:pPr>
                  <w:pStyle w:val="EMEANormal"/>
                  <w:widowControl w:val="0"/>
                </w:pPr>
              </w:pPrChange>
            </w:pPr>
            <w:del w:id="6164" w:author="AbbVie2" w:date="2025-05-13T16:39:00Z">
              <w:r w:rsidRPr="008912CF">
                <w:rPr>
                  <w:szCs w:val="22"/>
                </w:rPr>
                <w:delText>síndrome de sicca</w:delText>
              </w:r>
            </w:del>
          </w:p>
          <w:p w14:paraId="2328D02C" w14:textId="3EC97B5F" w:rsidR="004462A0" w:rsidRPr="008912CF" w:rsidRDefault="004462A0">
            <w:pPr>
              <w:rPr>
                <w:del w:id="6165" w:author="AbbVie2" w:date="2025-05-13T16:39:00Z"/>
                <w:szCs w:val="22"/>
              </w:rPr>
              <w:pPrChange w:id="6166" w:author="AbbVie2" w:date="2025-05-13T16:40:00Z">
                <w:pPr>
                  <w:pStyle w:val="EMEANormal"/>
                  <w:widowControl w:val="0"/>
                </w:pPr>
              </w:pPrChange>
            </w:pPr>
          </w:p>
        </w:tc>
      </w:tr>
      <w:tr w:rsidR="00A7162A" w14:paraId="7C565B9E" w14:textId="4D0090CB" w:rsidTr="00F675CF">
        <w:trPr>
          <w:del w:id="6167" w:author="AbbVie2" w:date="2025-05-13T16:39:00Z"/>
        </w:trPr>
        <w:tc>
          <w:tcPr>
            <w:tcW w:w="2514" w:type="dxa"/>
            <w:vMerge/>
          </w:tcPr>
          <w:p w14:paraId="402DB25E" w14:textId="4BDC6C5B" w:rsidR="004462A0" w:rsidRPr="008912CF" w:rsidRDefault="004462A0">
            <w:pPr>
              <w:rPr>
                <w:del w:id="6168" w:author="AbbVie2" w:date="2025-05-13T16:39:00Z"/>
                <w:b/>
              </w:rPr>
              <w:pPrChange w:id="6169" w:author="AbbVie2" w:date="2025-05-13T16:40:00Z">
                <w:pPr>
                  <w:widowControl w:val="0"/>
                  <w:jc w:val="center"/>
                </w:pPr>
              </w:pPrChange>
            </w:pPr>
          </w:p>
        </w:tc>
        <w:tc>
          <w:tcPr>
            <w:tcW w:w="1996" w:type="dxa"/>
            <w:tcBorders>
              <w:top w:val="nil"/>
              <w:bottom w:val="nil"/>
            </w:tcBorders>
          </w:tcPr>
          <w:p w14:paraId="3420A0E2" w14:textId="4325742A" w:rsidR="004462A0" w:rsidRPr="008912CF" w:rsidRDefault="00615769">
            <w:pPr>
              <w:rPr>
                <w:del w:id="6170" w:author="AbbVie2" w:date="2025-05-13T16:39:00Z"/>
                <w:szCs w:val="22"/>
              </w:rPr>
              <w:pPrChange w:id="6171" w:author="AbbVie2" w:date="2025-05-13T16:40:00Z">
                <w:pPr>
                  <w:pStyle w:val="EMEANormal"/>
                  <w:widowControl w:val="0"/>
                </w:pPr>
              </w:pPrChange>
            </w:pPr>
            <w:del w:id="6172" w:author="AbbVie2" w:date="2025-05-13T16:39:00Z">
              <w:r w:rsidRPr="008912CF">
                <w:rPr>
                  <w:szCs w:val="22"/>
                </w:rPr>
                <w:delText>Pouco frequentes</w:delText>
              </w:r>
            </w:del>
          </w:p>
        </w:tc>
        <w:tc>
          <w:tcPr>
            <w:tcW w:w="4346" w:type="dxa"/>
            <w:tcBorders>
              <w:top w:val="nil"/>
              <w:bottom w:val="nil"/>
            </w:tcBorders>
          </w:tcPr>
          <w:p w14:paraId="62C8C4AF" w14:textId="28C9C4BE" w:rsidR="004462A0" w:rsidRPr="008912CF" w:rsidRDefault="00615769">
            <w:pPr>
              <w:rPr>
                <w:del w:id="6173" w:author="AbbVie2" w:date="2025-05-13T16:39:00Z"/>
                <w:szCs w:val="22"/>
              </w:rPr>
              <w:pPrChange w:id="6174" w:author="AbbVie2" w:date="2025-05-13T16:40:00Z">
                <w:pPr>
                  <w:pStyle w:val="EMEANormal"/>
                  <w:widowControl w:val="0"/>
                </w:pPr>
              </w:pPrChange>
            </w:pPr>
            <w:del w:id="6175" w:author="AbbVie2" w:date="2025-05-13T16:39:00Z">
              <w:r>
                <w:rPr>
                  <w:szCs w:val="22"/>
                </w:rPr>
                <w:delText>P</w:delText>
              </w:r>
              <w:r w:rsidRPr="008912CF">
                <w:rPr>
                  <w:szCs w:val="22"/>
                </w:rPr>
                <w:delText xml:space="preserve">ancreatite, </w:delText>
              </w:r>
            </w:del>
          </w:p>
          <w:p w14:paraId="4B2E4B76" w14:textId="4FFAC64E" w:rsidR="004462A0" w:rsidRPr="008912CF" w:rsidRDefault="00615769">
            <w:pPr>
              <w:rPr>
                <w:del w:id="6176" w:author="AbbVie2" w:date="2025-05-13T16:39:00Z"/>
                <w:szCs w:val="22"/>
              </w:rPr>
              <w:pPrChange w:id="6177" w:author="AbbVie2" w:date="2025-05-13T16:40:00Z">
                <w:pPr>
                  <w:pStyle w:val="EMEANormal"/>
                  <w:widowControl w:val="0"/>
                </w:pPr>
              </w:pPrChange>
            </w:pPr>
            <w:del w:id="6178" w:author="AbbVie2" w:date="2025-05-13T16:39:00Z">
              <w:r w:rsidRPr="008912CF">
                <w:rPr>
                  <w:szCs w:val="22"/>
                </w:rPr>
                <w:delText>disfagia,</w:delText>
              </w:r>
            </w:del>
          </w:p>
          <w:p w14:paraId="4A11B832" w14:textId="4472C6A7" w:rsidR="004462A0" w:rsidRPr="008912CF" w:rsidRDefault="00615769">
            <w:pPr>
              <w:rPr>
                <w:del w:id="6179" w:author="AbbVie2" w:date="2025-05-13T16:39:00Z"/>
                <w:szCs w:val="22"/>
              </w:rPr>
              <w:pPrChange w:id="6180" w:author="AbbVie2" w:date="2025-05-13T16:40:00Z">
                <w:pPr>
                  <w:pStyle w:val="EMEANormal"/>
                  <w:widowControl w:val="0"/>
                </w:pPr>
              </w:pPrChange>
            </w:pPr>
            <w:del w:id="6181" w:author="AbbVie2" w:date="2025-05-13T16:39:00Z">
              <w:r w:rsidRPr="008912CF">
                <w:rPr>
                  <w:szCs w:val="22"/>
                </w:rPr>
                <w:delText>edema da face</w:delText>
              </w:r>
            </w:del>
          </w:p>
          <w:p w14:paraId="24D43733" w14:textId="023BD900" w:rsidR="004462A0" w:rsidRPr="008912CF" w:rsidRDefault="004462A0">
            <w:pPr>
              <w:rPr>
                <w:del w:id="6182" w:author="AbbVie2" w:date="2025-05-13T16:39:00Z"/>
                <w:szCs w:val="22"/>
              </w:rPr>
              <w:pPrChange w:id="6183" w:author="AbbVie2" w:date="2025-05-13T16:40:00Z">
                <w:pPr>
                  <w:pStyle w:val="EMEANormal"/>
                  <w:widowControl w:val="0"/>
                </w:pPr>
              </w:pPrChange>
            </w:pPr>
          </w:p>
        </w:tc>
      </w:tr>
      <w:tr w:rsidR="00A7162A" w14:paraId="1325E760" w14:textId="68851E5C" w:rsidTr="00F675CF">
        <w:trPr>
          <w:del w:id="6184" w:author="AbbVie2" w:date="2025-05-13T16:39:00Z"/>
        </w:trPr>
        <w:tc>
          <w:tcPr>
            <w:tcW w:w="2514" w:type="dxa"/>
            <w:vMerge/>
          </w:tcPr>
          <w:p w14:paraId="1805B02A" w14:textId="29BF93A4" w:rsidR="004462A0" w:rsidRPr="008912CF" w:rsidRDefault="004462A0">
            <w:pPr>
              <w:rPr>
                <w:del w:id="6185" w:author="AbbVie2" w:date="2025-05-13T16:39:00Z"/>
                <w:b/>
              </w:rPr>
              <w:pPrChange w:id="6186" w:author="AbbVie2" w:date="2025-05-13T16:40:00Z">
                <w:pPr>
                  <w:widowControl w:val="0"/>
                  <w:spacing w:before="60"/>
                  <w:jc w:val="center"/>
                </w:pPr>
              </w:pPrChange>
            </w:pPr>
          </w:p>
        </w:tc>
        <w:tc>
          <w:tcPr>
            <w:tcW w:w="1996" w:type="dxa"/>
            <w:tcBorders>
              <w:top w:val="nil"/>
            </w:tcBorders>
          </w:tcPr>
          <w:p w14:paraId="2D440729" w14:textId="67E674C9" w:rsidR="004462A0" w:rsidRPr="008912CF" w:rsidRDefault="00615769">
            <w:pPr>
              <w:rPr>
                <w:del w:id="6187" w:author="AbbVie2" w:date="2025-05-13T16:39:00Z"/>
                <w:szCs w:val="22"/>
              </w:rPr>
              <w:pPrChange w:id="6188" w:author="AbbVie2" w:date="2025-05-13T16:40:00Z">
                <w:pPr>
                  <w:pStyle w:val="EMEANormal"/>
                  <w:widowControl w:val="0"/>
                </w:pPr>
              </w:pPrChange>
            </w:pPr>
            <w:del w:id="6189" w:author="AbbVie2" w:date="2025-05-13T16:39:00Z">
              <w:r w:rsidRPr="008912CF">
                <w:rPr>
                  <w:szCs w:val="22"/>
                </w:rPr>
                <w:delText>Raros</w:delText>
              </w:r>
            </w:del>
          </w:p>
        </w:tc>
        <w:tc>
          <w:tcPr>
            <w:tcW w:w="4346" w:type="dxa"/>
            <w:tcBorders>
              <w:top w:val="nil"/>
            </w:tcBorders>
          </w:tcPr>
          <w:p w14:paraId="25D389CF" w14:textId="311B9C21" w:rsidR="004462A0" w:rsidRPr="008912CF" w:rsidRDefault="00615769">
            <w:pPr>
              <w:rPr>
                <w:del w:id="6190" w:author="AbbVie2" w:date="2025-05-13T16:39:00Z"/>
                <w:szCs w:val="22"/>
                <w:vertAlign w:val="superscript"/>
              </w:rPr>
              <w:pPrChange w:id="6191" w:author="AbbVie2" w:date="2025-05-13T16:40:00Z">
                <w:pPr>
                  <w:pStyle w:val="EMEANormal"/>
                  <w:widowControl w:val="0"/>
                </w:pPr>
              </w:pPrChange>
            </w:pPr>
            <w:del w:id="6192" w:author="AbbVie2" w:date="2025-05-13T16:39:00Z">
              <w:r>
                <w:rPr>
                  <w:szCs w:val="22"/>
                </w:rPr>
                <w:delText>P</w:delText>
              </w:r>
              <w:r w:rsidRPr="008912CF">
                <w:rPr>
                  <w:szCs w:val="22"/>
                </w:rPr>
                <w:delText>erfuração intestinal</w:delText>
              </w:r>
              <w:r w:rsidRPr="008912CF">
                <w:rPr>
                  <w:szCs w:val="22"/>
                  <w:vertAlign w:val="superscript"/>
                </w:rPr>
                <w:delText>1)</w:delText>
              </w:r>
            </w:del>
          </w:p>
          <w:p w14:paraId="3F5AA2D7" w14:textId="0B41707D" w:rsidR="004462A0" w:rsidRPr="008912CF" w:rsidRDefault="004462A0">
            <w:pPr>
              <w:rPr>
                <w:del w:id="6193" w:author="AbbVie2" w:date="2025-05-13T16:39:00Z"/>
                <w:szCs w:val="22"/>
              </w:rPr>
              <w:pPrChange w:id="6194" w:author="AbbVie2" w:date="2025-05-13T16:40:00Z">
                <w:pPr>
                  <w:pStyle w:val="EMEANormal"/>
                  <w:widowControl w:val="0"/>
                </w:pPr>
              </w:pPrChange>
            </w:pPr>
          </w:p>
        </w:tc>
      </w:tr>
      <w:tr w:rsidR="00A7162A" w14:paraId="00DB2AC1" w14:textId="52BFEA64" w:rsidTr="00F675CF">
        <w:trPr>
          <w:del w:id="6195" w:author="AbbVie2" w:date="2025-05-13T16:39:00Z"/>
        </w:trPr>
        <w:tc>
          <w:tcPr>
            <w:tcW w:w="2514" w:type="dxa"/>
            <w:vMerge w:val="restart"/>
          </w:tcPr>
          <w:p w14:paraId="302A1C7A" w14:textId="24977EDF" w:rsidR="004462A0" w:rsidRPr="008912CF" w:rsidRDefault="00615769">
            <w:pPr>
              <w:rPr>
                <w:del w:id="6196" w:author="AbbVie2" w:date="2025-05-13T16:39:00Z"/>
                <w:szCs w:val="22"/>
              </w:rPr>
              <w:pPrChange w:id="6197" w:author="AbbVie2" w:date="2025-05-13T16:40:00Z">
                <w:pPr>
                  <w:pStyle w:val="EMEANormal"/>
                  <w:widowControl w:val="0"/>
                </w:pPr>
              </w:pPrChange>
            </w:pPr>
            <w:del w:id="6198" w:author="AbbVie2" w:date="2025-05-13T16:39:00Z">
              <w:r w:rsidRPr="008912CF">
                <w:rPr>
                  <w:szCs w:val="22"/>
                </w:rPr>
                <w:delText>Afeções hepatobiliares *</w:delText>
              </w:r>
            </w:del>
          </w:p>
        </w:tc>
        <w:tc>
          <w:tcPr>
            <w:tcW w:w="1996" w:type="dxa"/>
            <w:tcBorders>
              <w:bottom w:val="nil"/>
            </w:tcBorders>
          </w:tcPr>
          <w:p w14:paraId="5A933C8D" w14:textId="6BE9F770" w:rsidR="004462A0" w:rsidRPr="008912CF" w:rsidRDefault="00615769">
            <w:pPr>
              <w:rPr>
                <w:del w:id="6199" w:author="AbbVie2" w:date="2025-05-13T16:39:00Z"/>
                <w:szCs w:val="22"/>
              </w:rPr>
              <w:pPrChange w:id="6200" w:author="AbbVie2" w:date="2025-05-13T16:40:00Z">
                <w:pPr>
                  <w:pStyle w:val="EMEANormal"/>
                  <w:widowControl w:val="0"/>
                </w:pPr>
              </w:pPrChange>
            </w:pPr>
            <w:del w:id="6201" w:author="AbbVie2" w:date="2025-05-13T16:39:00Z">
              <w:r w:rsidRPr="008912CF">
                <w:rPr>
                  <w:szCs w:val="22"/>
                </w:rPr>
                <w:delText>Muito frequentes</w:delText>
              </w:r>
            </w:del>
          </w:p>
        </w:tc>
        <w:tc>
          <w:tcPr>
            <w:tcW w:w="4346" w:type="dxa"/>
            <w:tcBorders>
              <w:bottom w:val="nil"/>
            </w:tcBorders>
          </w:tcPr>
          <w:p w14:paraId="5D86CAF5" w14:textId="4078E870" w:rsidR="004462A0" w:rsidRPr="008912CF" w:rsidRDefault="00615769">
            <w:pPr>
              <w:rPr>
                <w:del w:id="6202" w:author="AbbVie2" w:date="2025-05-13T16:39:00Z"/>
                <w:szCs w:val="22"/>
              </w:rPr>
              <w:pPrChange w:id="6203" w:author="AbbVie2" w:date="2025-05-13T16:40:00Z">
                <w:pPr>
                  <w:pStyle w:val="EMEANormal"/>
                  <w:widowControl w:val="0"/>
                </w:pPr>
              </w:pPrChange>
            </w:pPr>
            <w:del w:id="6204" w:author="AbbVie2" w:date="2025-05-13T16:39:00Z">
              <w:r>
                <w:rPr>
                  <w:szCs w:val="22"/>
                </w:rPr>
                <w:delText>A</w:delText>
              </w:r>
              <w:r w:rsidRPr="008912CF">
                <w:rPr>
                  <w:szCs w:val="22"/>
                </w:rPr>
                <w:delText>umento de enzimas hepáticas</w:delText>
              </w:r>
            </w:del>
          </w:p>
          <w:p w14:paraId="1724FBC3" w14:textId="7979DA7D" w:rsidR="004462A0" w:rsidRPr="008912CF" w:rsidRDefault="004462A0">
            <w:pPr>
              <w:rPr>
                <w:del w:id="6205" w:author="AbbVie2" w:date="2025-05-13T16:39:00Z"/>
                <w:szCs w:val="22"/>
              </w:rPr>
              <w:pPrChange w:id="6206" w:author="AbbVie2" w:date="2025-05-13T16:40:00Z">
                <w:pPr>
                  <w:pStyle w:val="EMEANormal"/>
                  <w:widowControl w:val="0"/>
                </w:pPr>
              </w:pPrChange>
            </w:pPr>
          </w:p>
        </w:tc>
      </w:tr>
      <w:tr w:rsidR="00A7162A" w14:paraId="0DEB48AF" w14:textId="4498BB50" w:rsidTr="0004619E">
        <w:trPr>
          <w:del w:id="6207" w:author="AbbVie2" w:date="2025-05-13T16:39:00Z"/>
        </w:trPr>
        <w:tc>
          <w:tcPr>
            <w:tcW w:w="2514" w:type="dxa"/>
            <w:vMerge/>
          </w:tcPr>
          <w:p w14:paraId="7303E974" w14:textId="278FD745" w:rsidR="004462A0" w:rsidRPr="008912CF" w:rsidRDefault="004462A0">
            <w:pPr>
              <w:rPr>
                <w:del w:id="6208" w:author="AbbVie2" w:date="2025-05-13T16:39:00Z"/>
                <w:szCs w:val="22"/>
              </w:rPr>
              <w:pPrChange w:id="6209" w:author="AbbVie2" w:date="2025-05-13T16:40:00Z">
                <w:pPr>
                  <w:pStyle w:val="EMEANormal"/>
                  <w:widowControl w:val="0"/>
                </w:pPr>
              </w:pPrChange>
            </w:pPr>
          </w:p>
        </w:tc>
        <w:tc>
          <w:tcPr>
            <w:tcW w:w="1996" w:type="dxa"/>
            <w:tcBorders>
              <w:top w:val="nil"/>
              <w:bottom w:val="nil"/>
            </w:tcBorders>
          </w:tcPr>
          <w:p w14:paraId="782001F2" w14:textId="0C250EF3" w:rsidR="004462A0" w:rsidRPr="008912CF" w:rsidRDefault="00615769">
            <w:pPr>
              <w:rPr>
                <w:del w:id="6210" w:author="AbbVie2" w:date="2025-05-13T16:39:00Z"/>
                <w:szCs w:val="22"/>
              </w:rPr>
              <w:pPrChange w:id="6211" w:author="AbbVie2" w:date="2025-05-13T16:40:00Z">
                <w:pPr>
                  <w:pStyle w:val="EMEANormal"/>
                  <w:widowControl w:val="0"/>
                </w:pPr>
              </w:pPrChange>
            </w:pPr>
            <w:del w:id="6212" w:author="AbbVie2" w:date="2025-05-13T16:39:00Z">
              <w:r w:rsidRPr="008912CF">
                <w:rPr>
                  <w:szCs w:val="22"/>
                </w:rPr>
                <w:delText>Pouco frequentes</w:delText>
              </w:r>
            </w:del>
          </w:p>
          <w:p w14:paraId="7EF7A190" w14:textId="04BB4A03" w:rsidR="004462A0" w:rsidRPr="008912CF" w:rsidRDefault="004462A0">
            <w:pPr>
              <w:rPr>
                <w:del w:id="6213" w:author="AbbVie2" w:date="2025-05-13T16:39:00Z"/>
                <w:szCs w:val="22"/>
              </w:rPr>
              <w:pPrChange w:id="6214" w:author="AbbVie2" w:date="2025-05-13T16:40:00Z">
                <w:pPr>
                  <w:pStyle w:val="EMEANormal"/>
                  <w:widowControl w:val="0"/>
                </w:pPr>
              </w:pPrChange>
            </w:pPr>
          </w:p>
        </w:tc>
        <w:tc>
          <w:tcPr>
            <w:tcW w:w="4346" w:type="dxa"/>
            <w:tcBorders>
              <w:top w:val="nil"/>
              <w:bottom w:val="nil"/>
            </w:tcBorders>
          </w:tcPr>
          <w:p w14:paraId="7CFE0CDE" w14:textId="35E01298" w:rsidR="004462A0" w:rsidRPr="008912CF" w:rsidRDefault="00615769">
            <w:pPr>
              <w:rPr>
                <w:del w:id="6215" w:author="AbbVie2" w:date="2025-05-13T16:39:00Z"/>
                <w:szCs w:val="22"/>
              </w:rPr>
              <w:pPrChange w:id="6216" w:author="AbbVie2" w:date="2025-05-13T16:40:00Z">
                <w:pPr>
                  <w:autoSpaceDE w:val="0"/>
                  <w:autoSpaceDN w:val="0"/>
                  <w:adjustRightInd w:val="0"/>
                </w:pPr>
              </w:pPrChange>
            </w:pPr>
            <w:del w:id="6217" w:author="AbbVie2" w:date="2025-05-13T16:39:00Z">
              <w:r>
                <w:rPr>
                  <w:szCs w:val="22"/>
                </w:rPr>
                <w:delText>C</w:delText>
              </w:r>
              <w:r w:rsidRPr="008912CF">
                <w:rPr>
                  <w:szCs w:val="22"/>
                </w:rPr>
                <w:delText>olecistite e colelitíase,</w:delText>
              </w:r>
            </w:del>
          </w:p>
          <w:p w14:paraId="39408EB8" w14:textId="657E39E4" w:rsidR="004462A0" w:rsidRPr="008912CF" w:rsidRDefault="00615769">
            <w:pPr>
              <w:rPr>
                <w:del w:id="6218" w:author="AbbVie2" w:date="2025-05-13T16:39:00Z"/>
              </w:rPr>
              <w:pPrChange w:id="6219" w:author="AbbVie2" w:date="2025-05-13T16:40:00Z">
                <w:pPr>
                  <w:autoSpaceDE w:val="0"/>
                  <w:autoSpaceDN w:val="0"/>
                  <w:adjustRightInd w:val="0"/>
                </w:pPr>
              </w:pPrChange>
            </w:pPr>
            <w:del w:id="6220" w:author="AbbVie2" w:date="2025-05-13T16:39:00Z">
              <w:r w:rsidRPr="008912CF">
                <w:rPr>
                  <w:sz w:val="22"/>
                  <w:szCs w:val="22"/>
                </w:rPr>
                <w:delText>esteatose hepática,</w:delText>
              </w:r>
            </w:del>
          </w:p>
          <w:p w14:paraId="7CAFFC3C" w14:textId="60F67945" w:rsidR="004462A0" w:rsidRPr="008912CF" w:rsidRDefault="00615769">
            <w:pPr>
              <w:rPr>
                <w:del w:id="6221" w:author="AbbVie2" w:date="2025-05-13T16:39:00Z"/>
              </w:rPr>
              <w:pPrChange w:id="6222" w:author="AbbVie2" w:date="2025-05-13T16:40:00Z">
                <w:pPr>
                  <w:autoSpaceDE w:val="0"/>
                  <w:autoSpaceDN w:val="0"/>
                  <w:adjustRightInd w:val="0"/>
                </w:pPr>
              </w:pPrChange>
            </w:pPr>
            <w:del w:id="6223" w:author="AbbVie2" w:date="2025-05-13T16:39:00Z">
              <w:r w:rsidRPr="008912CF">
                <w:rPr>
                  <w:sz w:val="22"/>
                  <w:szCs w:val="22"/>
                </w:rPr>
                <w:delText>aumento de bilirrubina</w:delText>
              </w:r>
            </w:del>
          </w:p>
          <w:p w14:paraId="066C905F" w14:textId="6A972CA6" w:rsidR="004462A0" w:rsidRPr="008912CF" w:rsidRDefault="004462A0">
            <w:pPr>
              <w:rPr>
                <w:del w:id="6224" w:author="AbbVie2" w:date="2025-05-13T16:39:00Z"/>
              </w:rPr>
              <w:pPrChange w:id="6225" w:author="AbbVie2" w:date="2025-05-13T16:40:00Z">
                <w:pPr>
                  <w:autoSpaceDE w:val="0"/>
                  <w:autoSpaceDN w:val="0"/>
                  <w:adjustRightInd w:val="0"/>
                </w:pPr>
              </w:pPrChange>
            </w:pPr>
          </w:p>
        </w:tc>
      </w:tr>
      <w:tr w:rsidR="00A7162A" w14:paraId="0BDC4522" w14:textId="108CA127" w:rsidTr="0004619E">
        <w:trPr>
          <w:del w:id="6226" w:author="AbbVie2" w:date="2025-05-13T16:39:00Z"/>
        </w:trPr>
        <w:tc>
          <w:tcPr>
            <w:tcW w:w="2514" w:type="dxa"/>
            <w:vMerge/>
          </w:tcPr>
          <w:p w14:paraId="16500F95" w14:textId="3256D231" w:rsidR="004462A0" w:rsidRPr="008912CF" w:rsidRDefault="004462A0">
            <w:pPr>
              <w:rPr>
                <w:del w:id="6227" w:author="AbbVie2" w:date="2025-05-13T16:39:00Z"/>
                <w:szCs w:val="22"/>
              </w:rPr>
              <w:pPrChange w:id="6228" w:author="AbbVie2" w:date="2025-05-13T16:40:00Z">
                <w:pPr>
                  <w:pStyle w:val="EMEANormal"/>
                  <w:widowControl w:val="0"/>
                </w:pPr>
              </w:pPrChange>
            </w:pPr>
          </w:p>
        </w:tc>
        <w:tc>
          <w:tcPr>
            <w:tcW w:w="1996" w:type="dxa"/>
            <w:tcBorders>
              <w:top w:val="nil"/>
              <w:bottom w:val="single" w:sz="4" w:space="0" w:color="auto"/>
            </w:tcBorders>
          </w:tcPr>
          <w:p w14:paraId="18728ED7" w14:textId="3B865050" w:rsidR="004462A0" w:rsidRPr="008912CF" w:rsidRDefault="00615769">
            <w:pPr>
              <w:rPr>
                <w:del w:id="6229" w:author="AbbVie2" w:date="2025-05-13T16:39:00Z"/>
                <w:szCs w:val="22"/>
              </w:rPr>
              <w:pPrChange w:id="6230" w:author="AbbVie2" w:date="2025-05-13T16:40:00Z">
                <w:pPr>
                  <w:pStyle w:val="EMEANormal"/>
                  <w:widowControl w:val="0"/>
                </w:pPr>
              </w:pPrChange>
            </w:pPr>
            <w:del w:id="6231" w:author="AbbVie2" w:date="2025-05-13T16:39:00Z">
              <w:r w:rsidRPr="008912CF">
                <w:rPr>
                  <w:szCs w:val="22"/>
                </w:rPr>
                <w:delText>Raros</w:delText>
              </w:r>
            </w:del>
          </w:p>
        </w:tc>
        <w:tc>
          <w:tcPr>
            <w:tcW w:w="4346" w:type="dxa"/>
            <w:tcBorders>
              <w:top w:val="nil"/>
              <w:bottom w:val="single" w:sz="4" w:space="0" w:color="auto"/>
            </w:tcBorders>
          </w:tcPr>
          <w:p w14:paraId="7DDE7B0F" w14:textId="3C8BAC84" w:rsidR="004462A0" w:rsidRPr="008912CF" w:rsidRDefault="00615769">
            <w:pPr>
              <w:rPr>
                <w:del w:id="6232" w:author="AbbVie2" w:date="2025-05-13T16:39:00Z"/>
              </w:rPr>
              <w:pPrChange w:id="6233" w:author="AbbVie2" w:date="2025-05-13T16:40:00Z">
                <w:pPr>
                  <w:autoSpaceDE w:val="0"/>
                  <w:autoSpaceDN w:val="0"/>
                  <w:adjustRightInd w:val="0"/>
                </w:pPr>
              </w:pPrChange>
            </w:pPr>
            <w:del w:id="6234" w:author="AbbVie2" w:date="2025-05-13T16:39:00Z">
              <w:r>
                <w:rPr>
                  <w:sz w:val="22"/>
                  <w:szCs w:val="22"/>
                </w:rPr>
                <w:delText>H</w:delText>
              </w:r>
              <w:r w:rsidRPr="008912CF">
                <w:rPr>
                  <w:sz w:val="22"/>
                  <w:szCs w:val="22"/>
                </w:rPr>
                <w:delText>epatite,</w:delText>
              </w:r>
            </w:del>
          </w:p>
          <w:p w14:paraId="5B23EE0D" w14:textId="1DFA1C70" w:rsidR="004462A0" w:rsidRPr="008912CF" w:rsidRDefault="00615769">
            <w:pPr>
              <w:rPr>
                <w:del w:id="6235" w:author="AbbVie2" w:date="2025-05-13T16:39:00Z"/>
              </w:rPr>
              <w:pPrChange w:id="6236" w:author="AbbVie2" w:date="2025-05-13T16:40:00Z">
                <w:pPr>
                  <w:autoSpaceDE w:val="0"/>
                  <w:autoSpaceDN w:val="0"/>
                  <w:adjustRightInd w:val="0"/>
                </w:pPr>
              </w:pPrChange>
            </w:pPr>
            <w:del w:id="6237" w:author="AbbVie2" w:date="2025-05-13T16:39:00Z">
              <w:r w:rsidRPr="008912CF">
                <w:rPr>
                  <w:sz w:val="22"/>
                  <w:szCs w:val="22"/>
                </w:rPr>
                <w:delText>reativação da hepatite B</w:delText>
              </w:r>
              <w:r w:rsidRPr="008912CF">
                <w:rPr>
                  <w:sz w:val="22"/>
                  <w:szCs w:val="22"/>
                  <w:vertAlign w:val="superscript"/>
                </w:rPr>
                <w:delText>1)</w:delText>
              </w:r>
              <w:r w:rsidRPr="008912CF">
                <w:rPr>
                  <w:sz w:val="22"/>
                  <w:szCs w:val="22"/>
                </w:rPr>
                <w:delText>,</w:delText>
              </w:r>
            </w:del>
          </w:p>
          <w:p w14:paraId="0C704F74" w14:textId="57697035" w:rsidR="004462A0" w:rsidRPr="008912CF" w:rsidRDefault="00615769">
            <w:pPr>
              <w:rPr>
                <w:del w:id="6238" w:author="AbbVie2" w:date="2025-05-13T16:39:00Z"/>
                <w:szCs w:val="22"/>
                <w:vertAlign w:val="superscript"/>
              </w:rPr>
              <w:pPrChange w:id="6239" w:author="AbbVie2" w:date="2025-05-13T16:40:00Z">
                <w:pPr>
                  <w:pStyle w:val="EMEANormal"/>
                  <w:widowControl w:val="0"/>
                </w:pPr>
              </w:pPrChange>
            </w:pPr>
            <w:del w:id="6240" w:author="AbbVie2" w:date="2025-05-13T16:39:00Z">
              <w:r w:rsidRPr="008912CF">
                <w:delText>hepatite autoimune</w:delText>
              </w:r>
              <w:r w:rsidRPr="008912CF">
                <w:rPr>
                  <w:vertAlign w:val="superscript"/>
                </w:rPr>
                <w:delText>1)</w:delText>
              </w:r>
            </w:del>
          </w:p>
          <w:p w14:paraId="4BA4C9BD" w14:textId="0302769A" w:rsidR="004462A0" w:rsidRPr="008912CF" w:rsidRDefault="004462A0">
            <w:pPr>
              <w:rPr>
                <w:del w:id="6241" w:author="AbbVie2" w:date="2025-05-13T16:39:00Z"/>
              </w:rPr>
              <w:pPrChange w:id="6242" w:author="AbbVie2" w:date="2025-05-13T16:40:00Z">
                <w:pPr>
                  <w:autoSpaceDE w:val="0"/>
                  <w:autoSpaceDN w:val="0"/>
                  <w:adjustRightInd w:val="0"/>
                </w:pPr>
              </w:pPrChange>
            </w:pPr>
          </w:p>
        </w:tc>
      </w:tr>
      <w:tr w:rsidR="00A7162A" w14:paraId="4A384D75" w14:textId="3F08CF4B" w:rsidTr="0004619E">
        <w:trPr>
          <w:del w:id="6243" w:author="AbbVie2" w:date="2025-05-13T16:39:00Z"/>
        </w:trPr>
        <w:tc>
          <w:tcPr>
            <w:tcW w:w="2514" w:type="dxa"/>
            <w:vMerge/>
          </w:tcPr>
          <w:p w14:paraId="1C54EB4A" w14:textId="7E0F1947" w:rsidR="004462A0" w:rsidRPr="008912CF" w:rsidRDefault="004462A0">
            <w:pPr>
              <w:rPr>
                <w:del w:id="6244" w:author="AbbVie2" w:date="2025-05-13T16:39:00Z"/>
                <w:szCs w:val="22"/>
              </w:rPr>
              <w:pPrChange w:id="6245" w:author="AbbVie2" w:date="2025-05-13T16:40:00Z">
                <w:pPr>
                  <w:pStyle w:val="EMEANormal"/>
                  <w:widowControl w:val="0"/>
                </w:pPr>
              </w:pPrChange>
            </w:pPr>
          </w:p>
        </w:tc>
        <w:tc>
          <w:tcPr>
            <w:tcW w:w="1996" w:type="dxa"/>
            <w:tcBorders>
              <w:top w:val="single" w:sz="4" w:space="0" w:color="auto"/>
            </w:tcBorders>
          </w:tcPr>
          <w:p w14:paraId="00D349BB" w14:textId="39A17386" w:rsidR="004462A0" w:rsidRPr="008912CF" w:rsidRDefault="00615769">
            <w:pPr>
              <w:rPr>
                <w:del w:id="6246" w:author="AbbVie2" w:date="2025-05-13T16:39:00Z"/>
                <w:szCs w:val="22"/>
              </w:rPr>
              <w:pPrChange w:id="6247" w:author="AbbVie2" w:date="2025-05-13T16:40:00Z">
                <w:pPr>
                  <w:pStyle w:val="EMEANormal"/>
                  <w:widowControl w:val="0"/>
                </w:pPr>
              </w:pPrChange>
            </w:pPr>
            <w:del w:id="6248" w:author="AbbVie2" w:date="2025-05-13T16:39:00Z">
              <w:r w:rsidRPr="008912CF">
                <w:rPr>
                  <w:szCs w:val="22"/>
                </w:rPr>
                <w:delText>Desconhecido</w:delText>
              </w:r>
            </w:del>
          </w:p>
        </w:tc>
        <w:tc>
          <w:tcPr>
            <w:tcW w:w="4346" w:type="dxa"/>
            <w:tcBorders>
              <w:top w:val="single" w:sz="4" w:space="0" w:color="auto"/>
            </w:tcBorders>
          </w:tcPr>
          <w:p w14:paraId="44C0483A" w14:textId="414BBD4C" w:rsidR="004462A0" w:rsidRPr="008912CF" w:rsidRDefault="00615769">
            <w:pPr>
              <w:rPr>
                <w:del w:id="6249" w:author="AbbVie2" w:date="2025-05-13T16:39:00Z"/>
                <w:vertAlign w:val="superscript"/>
              </w:rPr>
              <w:pPrChange w:id="6250" w:author="AbbVie2" w:date="2025-05-13T16:40:00Z">
                <w:pPr>
                  <w:autoSpaceDE w:val="0"/>
                  <w:autoSpaceDN w:val="0"/>
                  <w:adjustRightInd w:val="0"/>
                </w:pPr>
              </w:pPrChange>
            </w:pPr>
            <w:del w:id="6251" w:author="AbbVie2" w:date="2025-05-13T16:39:00Z">
              <w:r>
                <w:rPr>
                  <w:sz w:val="22"/>
                  <w:szCs w:val="22"/>
                </w:rPr>
                <w:delText>I</w:delText>
              </w:r>
              <w:r w:rsidRPr="008912CF">
                <w:rPr>
                  <w:sz w:val="22"/>
                  <w:szCs w:val="22"/>
                </w:rPr>
                <w:delText>nsuficiência hepática</w:delText>
              </w:r>
              <w:r w:rsidRPr="008912CF">
                <w:rPr>
                  <w:sz w:val="22"/>
                  <w:szCs w:val="22"/>
                  <w:vertAlign w:val="superscript"/>
                </w:rPr>
                <w:delText>1)</w:delText>
              </w:r>
            </w:del>
          </w:p>
          <w:p w14:paraId="1F9FA2E1" w14:textId="11A9ED7F" w:rsidR="004462A0" w:rsidRPr="008912CF" w:rsidRDefault="004462A0">
            <w:pPr>
              <w:rPr>
                <w:del w:id="6252" w:author="AbbVie2" w:date="2025-05-13T16:39:00Z"/>
              </w:rPr>
              <w:pPrChange w:id="6253" w:author="AbbVie2" w:date="2025-05-13T16:40:00Z">
                <w:pPr>
                  <w:autoSpaceDE w:val="0"/>
                  <w:autoSpaceDN w:val="0"/>
                  <w:adjustRightInd w:val="0"/>
                </w:pPr>
              </w:pPrChange>
            </w:pPr>
          </w:p>
        </w:tc>
      </w:tr>
      <w:tr w:rsidR="00A7162A" w14:paraId="72E19685" w14:textId="19A612F4" w:rsidTr="00F675CF">
        <w:trPr>
          <w:del w:id="6254" w:author="AbbVie2" w:date="2025-05-13T16:39:00Z"/>
        </w:trPr>
        <w:tc>
          <w:tcPr>
            <w:tcW w:w="2514" w:type="dxa"/>
            <w:vMerge w:val="restart"/>
          </w:tcPr>
          <w:p w14:paraId="6D00526D" w14:textId="755706E7" w:rsidR="004462A0" w:rsidRPr="008912CF" w:rsidRDefault="00615769">
            <w:pPr>
              <w:rPr>
                <w:del w:id="6255" w:author="AbbVie2" w:date="2025-05-13T16:39:00Z"/>
                <w:szCs w:val="22"/>
              </w:rPr>
              <w:pPrChange w:id="6256" w:author="AbbVie2" w:date="2025-05-13T16:40:00Z">
                <w:pPr>
                  <w:pStyle w:val="EMEANormal"/>
                  <w:widowControl w:val="0"/>
                </w:pPr>
              </w:pPrChange>
            </w:pPr>
            <w:del w:id="6257" w:author="AbbVie2" w:date="2025-05-13T16:39:00Z">
              <w:r w:rsidRPr="008912CF">
                <w:rPr>
                  <w:szCs w:val="22"/>
                </w:rPr>
                <w:delText>Afeções dos tecidos cutâneos e subcutâneos</w:delText>
              </w:r>
            </w:del>
          </w:p>
        </w:tc>
        <w:tc>
          <w:tcPr>
            <w:tcW w:w="1996" w:type="dxa"/>
            <w:tcBorders>
              <w:bottom w:val="nil"/>
            </w:tcBorders>
          </w:tcPr>
          <w:p w14:paraId="40670008" w14:textId="679952BF" w:rsidR="004462A0" w:rsidRPr="008912CF" w:rsidRDefault="00615769">
            <w:pPr>
              <w:rPr>
                <w:del w:id="6258" w:author="AbbVie2" w:date="2025-05-13T16:39:00Z"/>
                <w:szCs w:val="22"/>
              </w:rPr>
              <w:pPrChange w:id="6259" w:author="AbbVie2" w:date="2025-05-13T16:40:00Z">
                <w:pPr>
                  <w:pStyle w:val="EMEANormal"/>
                  <w:widowControl w:val="0"/>
                </w:pPr>
              </w:pPrChange>
            </w:pPr>
            <w:del w:id="6260" w:author="AbbVie2" w:date="2025-05-13T16:39:00Z">
              <w:r w:rsidRPr="008912CF">
                <w:rPr>
                  <w:szCs w:val="22"/>
                </w:rPr>
                <w:delText xml:space="preserve">Muito frequentes </w:delText>
              </w:r>
            </w:del>
          </w:p>
        </w:tc>
        <w:tc>
          <w:tcPr>
            <w:tcW w:w="4346" w:type="dxa"/>
            <w:tcBorders>
              <w:bottom w:val="nil"/>
            </w:tcBorders>
          </w:tcPr>
          <w:p w14:paraId="4A79040E" w14:textId="64B96BF2" w:rsidR="004462A0" w:rsidRPr="008912CF" w:rsidRDefault="00615769">
            <w:pPr>
              <w:rPr>
                <w:del w:id="6261" w:author="AbbVie2" w:date="2025-05-13T16:39:00Z"/>
                <w:szCs w:val="22"/>
              </w:rPr>
              <w:pPrChange w:id="6262" w:author="AbbVie2" w:date="2025-05-13T16:40:00Z">
                <w:pPr>
                  <w:pStyle w:val="EMEANormal"/>
                  <w:widowControl w:val="0"/>
                </w:pPr>
              </w:pPrChange>
            </w:pPr>
            <w:del w:id="6263" w:author="AbbVie2" w:date="2025-05-13T16:39:00Z">
              <w:r>
                <w:rPr>
                  <w:szCs w:val="22"/>
                </w:rPr>
                <w:delText>E</w:delText>
              </w:r>
              <w:r w:rsidRPr="008912CF">
                <w:rPr>
                  <w:szCs w:val="22"/>
                </w:rPr>
                <w:delText>rupção cutânea (incluindo erupção esfoliativa)</w:delText>
              </w:r>
            </w:del>
          </w:p>
          <w:p w14:paraId="1F9D5C10" w14:textId="386F1C86" w:rsidR="004462A0" w:rsidRPr="008912CF" w:rsidRDefault="004462A0">
            <w:pPr>
              <w:rPr>
                <w:del w:id="6264" w:author="AbbVie2" w:date="2025-05-13T16:39:00Z"/>
                <w:szCs w:val="22"/>
              </w:rPr>
              <w:pPrChange w:id="6265" w:author="AbbVie2" w:date="2025-05-13T16:40:00Z">
                <w:pPr>
                  <w:pStyle w:val="EMEANormal"/>
                  <w:widowControl w:val="0"/>
                </w:pPr>
              </w:pPrChange>
            </w:pPr>
          </w:p>
        </w:tc>
      </w:tr>
      <w:tr w:rsidR="00A7162A" w14:paraId="4F52AF82" w14:textId="668B333D" w:rsidTr="00F675CF">
        <w:trPr>
          <w:del w:id="6266" w:author="AbbVie2" w:date="2025-05-13T16:39:00Z"/>
        </w:trPr>
        <w:tc>
          <w:tcPr>
            <w:tcW w:w="2514" w:type="dxa"/>
            <w:vMerge/>
          </w:tcPr>
          <w:p w14:paraId="53585BCF" w14:textId="1331DF0E" w:rsidR="004462A0" w:rsidRPr="008912CF" w:rsidRDefault="004462A0">
            <w:pPr>
              <w:rPr>
                <w:del w:id="6267" w:author="AbbVie2" w:date="2025-05-13T16:39:00Z"/>
                <w:b/>
              </w:rPr>
              <w:pPrChange w:id="6268" w:author="AbbVie2" w:date="2025-05-13T16:40:00Z">
                <w:pPr>
                  <w:widowControl w:val="0"/>
                  <w:jc w:val="center"/>
                </w:pPr>
              </w:pPrChange>
            </w:pPr>
          </w:p>
        </w:tc>
        <w:tc>
          <w:tcPr>
            <w:tcW w:w="1996" w:type="dxa"/>
            <w:tcBorders>
              <w:top w:val="nil"/>
              <w:bottom w:val="nil"/>
            </w:tcBorders>
          </w:tcPr>
          <w:p w14:paraId="7FC6F8D3" w14:textId="65A703B7" w:rsidR="004462A0" w:rsidRPr="008912CF" w:rsidRDefault="00615769">
            <w:pPr>
              <w:rPr>
                <w:del w:id="6269" w:author="AbbVie2" w:date="2025-05-13T16:39:00Z"/>
                <w:szCs w:val="22"/>
              </w:rPr>
              <w:pPrChange w:id="6270" w:author="AbbVie2" w:date="2025-05-13T16:40:00Z">
                <w:pPr>
                  <w:pStyle w:val="EMEANormal"/>
                  <w:widowControl w:val="0"/>
                </w:pPr>
              </w:pPrChange>
            </w:pPr>
            <w:del w:id="6271" w:author="AbbVie2" w:date="2025-05-13T16:39:00Z">
              <w:r w:rsidRPr="008912CF">
                <w:rPr>
                  <w:szCs w:val="22"/>
                </w:rPr>
                <w:delText>Frequentes</w:delText>
              </w:r>
            </w:del>
          </w:p>
          <w:p w14:paraId="0F44B4AF" w14:textId="53468016" w:rsidR="004462A0" w:rsidRPr="008912CF" w:rsidRDefault="004462A0">
            <w:pPr>
              <w:rPr>
                <w:del w:id="6272" w:author="AbbVie2" w:date="2025-05-13T16:39:00Z"/>
                <w:szCs w:val="22"/>
              </w:rPr>
              <w:pPrChange w:id="6273" w:author="AbbVie2" w:date="2025-05-13T16:40:00Z">
                <w:pPr>
                  <w:pStyle w:val="EMEANormal"/>
                  <w:widowControl w:val="0"/>
                </w:pPr>
              </w:pPrChange>
            </w:pPr>
          </w:p>
        </w:tc>
        <w:tc>
          <w:tcPr>
            <w:tcW w:w="4346" w:type="dxa"/>
            <w:tcBorders>
              <w:top w:val="nil"/>
              <w:bottom w:val="nil"/>
            </w:tcBorders>
          </w:tcPr>
          <w:p w14:paraId="59D46521" w14:textId="3CF14F32" w:rsidR="004462A0" w:rsidRPr="008912CF" w:rsidRDefault="00615769">
            <w:pPr>
              <w:rPr>
                <w:del w:id="6274" w:author="AbbVie2" w:date="2025-05-13T16:39:00Z"/>
                <w:szCs w:val="22"/>
              </w:rPr>
              <w:pPrChange w:id="6275" w:author="AbbVie2" w:date="2025-05-13T16:40:00Z">
                <w:pPr>
                  <w:pStyle w:val="EMEANormal"/>
                  <w:widowControl w:val="0"/>
                </w:pPr>
              </w:pPrChange>
            </w:pPr>
            <w:del w:id="6276" w:author="AbbVie2" w:date="2025-05-13T16:39:00Z">
              <w:r>
                <w:rPr>
                  <w:szCs w:val="22"/>
                </w:rPr>
                <w:delText>I</w:delText>
              </w:r>
              <w:r w:rsidRPr="008912CF">
                <w:rPr>
                  <w:szCs w:val="22"/>
                </w:rPr>
                <w:delText xml:space="preserve">nício </w:delText>
              </w:r>
              <w:r w:rsidRPr="008912CF">
                <w:delText>ou</w:delText>
              </w:r>
              <w:r w:rsidRPr="008912CF">
                <w:rPr>
                  <w:szCs w:val="22"/>
                </w:rPr>
                <w:delText xml:space="preserve"> agravamento da psoríase (incluindo psoríase pustular palmoplantar)</w:delText>
              </w:r>
              <w:r w:rsidRPr="008912CF">
                <w:rPr>
                  <w:szCs w:val="22"/>
                  <w:vertAlign w:val="superscript"/>
                </w:rPr>
                <w:delText>1)</w:delText>
              </w:r>
              <w:r w:rsidRPr="008912CF">
                <w:rPr>
                  <w:szCs w:val="22"/>
                </w:rPr>
                <w:delText>,</w:delText>
              </w:r>
            </w:del>
          </w:p>
          <w:p w14:paraId="44388EBC" w14:textId="65E3D2B5" w:rsidR="004462A0" w:rsidRPr="008912CF" w:rsidRDefault="00615769">
            <w:pPr>
              <w:rPr>
                <w:del w:id="6277" w:author="AbbVie2" w:date="2025-05-13T16:39:00Z"/>
                <w:szCs w:val="22"/>
              </w:rPr>
              <w:pPrChange w:id="6278" w:author="AbbVie2" w:date="2025-05-13T16:40:00Z">
                <w:pPr>
                  <w:pStyle w:val="EMEANormal"/>
                  <w:widowControl w:val="0"/>
                </w:pPr>
              </w:pPrChange>
            </w:pPr>
            <w:del w:id="6279" w:author="AbbVie2" w:date="2025-05-13T16:39:00Z">
              <w:r w:rsidRPr="008912CF">
                <w:rPr>
                  <w:szCs w:val="22"/>
                </w:rPr>
                <w:delText>urticária,</w:delText>
              </w:r>
            </w:del>
          </w:p>
          <w:p w14:paraId="48C8A3C7" w14:textId="4D262F3A" w:rsidR="004462A0" w:rsidRPr="008912CF" w:rsidRDefault="00615769">
            <w:pPr>
              <w:rPr>
                <w:del w:id="6280" w:author="AbbVie2" w:date="2025-05-13T16:39:00Z"/>
                <w:szCs w:val="22"/>
              </w:rPr>
              <w:pPrChange w:id="6281" w:author="AbbVie2" w:date="2025-05-13T16:40:00Z">
                <w:pPr>
                  <w:pStyle w:val="EMEANormal"/>
                  <w:widowControl w:val="0"/>
                </w:pPr>
              </w:pPrChange>
            </w:pPr>
            <w:del w:id="6282" w:author="AbbVie2" w:date="2025-05-13T16:39:00Z">
              <w:r w:rsidRPr="008912CF">
                <w:rPr>
                  <w:szCs w:val="22"/>
                </w:rPr>
                <w:delText xml:space="preserve">equimoses (incluindo púrpura), </w:delText>
              </w:r>
            </w:del>
          </w:p>
          <w:p w14:paraId="543FEF32" w14:textId="7ACAB2B1" w:rsidR="004462A0" w:rsidRPr="008912CF" w:rsidRDefault="00615769">
            <w:pPr>
              <w:rPr>
                <w:del w:id="6283" w:author="AbbVie2" w:date="2025-05-13T16:39:00Z"/>
                <w:szCs w:val="22"/>
              </w:rPr>
              <w:pPrChange w:id="6284" w:author="AbbVie2" w:date="2025-05-13T16:40:00Z">
                <w:pPr>
                  <w:pStyle w:val="EMEANormal"/>
                  <w:widowControl w:val="0"/>
                </w:pPr>
              </w:pPrChange>
            </w:pPr>
            <w:del w:id="6285" w:author="AbbVie2" w:date="2025-05-13T16:39:00Z">
              <w:r w:rsidRPr="008912CF">
                <w:rPr>
                  <w:szCs w:val="22"/>
                </w:rPr>
                <w:delText>dermatite (incluindo eczema),</w:delText>
              </w:r>
            </w:del>
          </w:p>
          <w:p w14:paraId="33C82C34" w14:textId="302C766D" w:rsidR="004462A0" w:rsidRPr="008912CF" w:rsidRDefault="00615769">
            <w:pPr>
              <w:rPr>
                <w:del w:id="6286" w:author="AbbVie2" w:date="2025-05-13T16:39:00Z"/>
                <w:szCs w:val="22"/>
              </w:rPr>
              <w:pPrChange w:id="6287" w:author="AbbVie2" w:date="2025-05-13T16:40:00Z">
                <w:pPr>
                  <w:pStyle w:val="EMEANormal"/>
                  <w:widowControl w:val="0"/>
                </w:pPr>
              </w:pPrChange>
            </w:pPr>
            <w:del w:id="6288" w:author="AbbVie2" w:date="2025-05-13T16:39:00Z">
              <w:r w:rsidRPr="008912CF">
                <w:rPr>
                  <w:szCs w:val="22"/>
                </w:rPr>
                <w:delText xml:space="preserve">onicoclase, </w:delText>
              </w:r>
            </w:del>
          </w:p>
          <w:p w14:paraId="215494F8" w14:textId="77654E20" w:rsidR="004462A0" w:rsidRPr="008912CF" w:rsidRDefault="00615769">
            <w:pPr>
              <w:rPr>
                <w:del w:id="6289" w:author="AbbVie2" w:date="2025-05-13T16:39:00Z"/>
                <w:szCs w:val="22"/>
              </w:rPr>
              <w:pPrChange w:id="6290" w:author="AbbVie2" w:date="2025-05-13T16:40:00Z">
                <w:pPr>
                  <w:pStyle w:val="EMEANormal"/>
                  <w:widowControl w:val="0"/>
                </w:pPr>
              </w:pPrChange>
            </w:pPr>
            <w:del w:id="6291" w:author="AbbVie2" w:date="2025-05-13T16:39:00Z">
              <w:r w:rsidRPr="008912CF">
                <w:rPr>
                  <w:szCs w:val="22"/>
                </w:rPr>
                <w:delText>hiperidrose,</w:delText>
              </w:r>
            </w:del>
          </w:p>
          <w:p w14:paraId="44E3ABE9" w14:textId="6E13B33F" w:rsidR="004462A0" w:rsidRPr="008912CF" w:rsidRDefault="00615769">
            <w:pPr>
              <w:rPr>
                <w:del w:id="6292" w:author="AbbVie2" w:date="2025-05-13T16:39:00Z"/>
                <w:szCs w:val="22"/>
              </w:rPr>
              <w:pPrChange w:id="6293" w:author="AbbVie2" w:date="2025-05-13T16:40:00Z">
                <w:pPr>
                  <w:pStyle w:val="EMEANormal"/>
                  <w:widowControl w:val="0"/>
                </w:pPr>
              </w:pPrChange>
            </w:pPr>
            <w:del w:id="6294" w:author="AbbVie2" w:date="2025-05-13T16:39:00Z">
              <w:r w:rsidRPr="008912CF">
                <w:rPr>
                  <w:szCs w:val="22"/>
                </w:rPr>
                <w:delText>alop</w:delText>
              </w:r>
              <w:r w:rsidR="00D9472B">
                <w:rPr>
                  <w:szCs w:val="22"/>
                </w:rPr>
                <w:delText>e</w:delText>
              </w:r>
              <w:r w:rsidRPr="008912CF">
                <w:rPr>
                  <w:szCs w:val="22"/>
                </w:rPr>
                <w:delText>cia</w:delText>
              </w:r>
              <w:r w:rsidRPr="008912CF">
                <w:rPr>
                  <w:szCs w:val="22"/>
                  <w:vertAlign w:val="superscript"/>
                </w:rPr>
                <w:delText>1)</w:delText>
              </w:r>
              <w:r w:rsidRPr="008912CF">
                <w:rPr>
                  <w:szCs w:val="22"/>
                </w:rPr>
                <w:delText>,</w:delText>
              </w:r>
            </w:del>
          </w:p>
          <w:p w14:paraId="6D46DDDD" w14:textId="4B068E69" w:rsidR="004462A0" w:rsidRPr="008912CF" w:rsidRDefault="00615769">
            <w:pPr>
              <w:rPr>
                <w:del w:id="6295" w:author="AbbVie2" w:date="2025-05-13T16:39:00Z"/>
                <w:szCs w:val="22"/>
              </w:rPr>
              <w:pPrChange w:id="6296" w:author="AbbVie2" w:date="2025-05-13T16:40:00Z">
                <w:pPr>
                  <w:pStyle w:val="EMEANormal"/>
                  <w:widowControl w:val="0"/>
                </w:pPr>
              </w:pPrChange>
            </w:pPr>
            <w:del w:id="6297" w:author="AbbVie2" w:date="2025-05-13T16:39:00Z">
              <w:r w:rsidRPr="008912CF">
                <w:rPr>
                  <w:szCs w:val="22"/>
                </w:rPr>
                <w:delText>prurido</w:delText>
              </w:r>
            </w:del>
          </w:p>
          <w:p w14:paraId="52BA476B" w14:textId="55923F17" w:rsidR="004462A0" w:rsidRPr="008912CF" w:rsidRDefault="004462A0">
            <w:pPr>
              <w:rPr>
                <w:del w:id="6298" w:author="AbbVie2" w:date="2025-05-13T16:39:00Z"/>
                <w:szCs w:val="22"/>
              </w:rPr>
              <w:pPrChange w:id="6299" w:author="AbbVie2" w:date="2025-05-13T16:40:00Z">
                <w:pPr>
                  <w:pStyle w:val="EMEANormal"/>
                  <w:widowControl w:val="0"/>
                </w:pPr>
              </w:pPrChange>
            </w:pPr>
          </w:p>
        </w:tc>
      </w:tr>
      <w:tr w:rsidR="00A7162A" w14:paraId="58123761" w14:textId="46A6E2B6" w:rsidTr="00F675CF">
        <w:trPr>
          <w:del w:id="6300" w:author="AbbVie2" w:date="2025-05-13T16:39:00Z"/>
        </w:trPr>
        <w:tc>
          <w:tcPr>
            <w:tcW w:w="2514" w:type="dxa"/>
            <w:vMerge/>
          </w:tcPr>
          <w:p w14:paraId="3223EDB0" w14:textId="05399BDB" w:rsidR="004462A0" w:rsidRPr="008912CF" w:rsidRDefault="004462A0">
            <w:pPr>
              <w:rPr>
                <w:del w:id="6301" w:author="AbbVie2" w:date="2025-05-13T16:39:00Z"/>
                <w:b/>
              </w:rPr>
              <w:pPrChange w:id="6302" w:author="AbbVie2" w:date="2025-05-13T16:40:00Z">
                <w:pPr>
                  <w:widowControl w:val="0"/>
                  <w:jc w:val="center"/>
                </w:pPr>
              </w:pPrChange>
            </w:pPr>
          </w:p>
        </w:tc>
        <w:tc>
          <w:tcPr>
            <w:tcW w:w="1996" w:type="dxa"/>
            <w:tcBorders>
              <w:top w:val="nil"/>
              <w:bottom w:val="nil"/>
            </w:tcBorders>
          </w:tcPr>
          <w:p w14:paraId="27623C26" w14:textId="04132288" w:rsidR="004462A0" w:rsidRPr="008912CF" w:rsidRDefault="00615769">
            <w:pPr>
              <w:rPr>
                <w:del w:id="6303" w:author="AbbVie2" w:date="2025-05-13T16:39:00Z"/>
                <w:szCs w:val="22"/>
              </w:rPr>
              <w:pPrChange w:id="6304" w:author="AbbVie2" w:date="2025-05-13T16:40:00Z">
                <w:pPr>
                  <w:pStyle w:val="EMEANormal"/>
                  <w:widowControl w:val="0"/>
                </w:pPr>
              </w:pPrChange>
            </w:pPr>
            <w:del w:id="6305" w:author="AbbVie2" w:date="2025-05-13T16:39:00Z">
              <w:r w:rsidRPr="008912CF">
                <w:rPr>
                  <w:szCs w:val="22"/>
                </w:rPr>
                <w:delText>Pouco frequentes</w:delText>
              </w:r>
            </w:del>
          </w:p>
          <w:p w14:paraId="7EAA5505" w14:textId="6D206271" w:rsidR="004462A0" w:rsidRPr="008912CF" w:rsidRDefault="004462A0">
            <w:pPr>
              <w:rPr>
                <w:del w:id="6306" w:author="AbbVie2" w:date="2025-05-13T16:39:00Z"/>
                <w:szCs w:val="22"/>
              </w:rPr>
              <w:pPrChange w:id="6307" w:author="AbbVie2" w:date="2025-05-13T16:40:00Z">
                <w:pPr>
                  <w:pStyle w:val="EMEANormal"/>
                  <w:widowControl w:val="0"/>
                </w:pPr>
              </w:pPrChange>
            </w:pPr>
          </w:p>
        </w:tc>
        <w:tc>
          <w:tcPr>
            <w:tcW w:w="4346" w:type="dxa"/>
            <w:tcBorders>
              <w:top w:val="nil"/>
              <w:bottom w:val="nil"/>
            </w:tcBorders>
          </w:tcPr>
          <w:p w14:paraId="678C8B23" w14:textId="2739F45B" w:rsidR="004462A0" w:rsidRPr="008912CF" w:rsidRDefault="00615769">
            <w:pPr>
              <w:rPr>
                <w:del w:id="6308" w:author="AbbVie2" w:date="2025-05-13T16:39:00Z"/>
                <w:szCs w:val="22"/>
              </w:rPr>
              <w:pPrChange w:id="6309" w:author="AbbVie2" w:date="2025-05-13T16:40:00Z">
                <w:pPr>
                  <w:pStyle w:val="EMEANormal"/>
                  <w:widowControl w:val="0"/>
                </w:pPr>
              </w:pPrChange>
            </w:pPr>
            <w:del w:id="6310" w:author="AbbVie2" w:date="2025-05-13T16:39:00Z">
              <w:r>
                <w:rPr>
                  <w:szCs w:val="22"/>
                </w:rPr>
                <w:delText>S</w:delText>
              </w:r>
              <w:r w:rsidRPr="008912CF">
                <w:rPr>
                  <w:szCs w:val="22"/>
                </w:rPr>
                <w:delText>uores noturnos,</w:delText>
              </w:r>
            </w:del>
          </w:p>
          <w:p w14:paraId="15C2B454" w14:textId="031D31C4" w:rsidR="004462A0" w:rsidRPr="008912CF" w:rsidRDefault="00615769">
            <w:pPr>
              <w:rPr>
                <w:del w:id="6311" w:author="AbbVie2" w:date="2025-05-13T16:39:00Z"/>
                <w:szCs w:val="22"/>
              </w:rPr>
              <w:pPrChange w:id="6312" w:author="AbbVie2" w:date="2025-05-13T16:40:00Z">
                <w:pPr>
                  <w:pStyle w:val="EMEANormal"/>
                  <w:widowControl w:val="0"/>
                </w:pPr>
              </w:pPrChange>
            </w:pPr>
            <w:del w:id="6313" w:author="AbbVie2" w:date="2025-05-13T16:39:00Z">
              <w:r w:rsidRPr="008912CF">
                <w:rPr>
                  <w:szCs w:val="22"/>
                </w:rPr>
                <w:delText>escara</w:delText>
              </w:r>
            </w:del>
          </w:p>
          <w:p w14:paraId="698CC298" w14:textId="120AE2AE" w:rsidR="004462A0" w:rsidRPr="008912CF" w:rsidRDefault="004462A0">
            <w:pPr>
              <w:rPr>
                <w:del w:id="6314" w:author="AbbVie2" w:date="2025-05-13T16:39:00Z"/>
                <w:szCs w:val="22"/>
              </w:rPr>
              <w:pPrChange w:id="6315" w:author="AbbVie2" w:date="2025-05-13T16:40:00Z">
                <w:pPr>
                  <w:pStyle w:val="EMEANormal"/>
                  <w:widowControl w:val="0"/>
                </w:pPr>
              </w:pPrChange>
            </w:pPr>
          </w:p>
        </w:tc>
      </w:tr>
      <w:tr w:rsidR="00A7162A" w14:paraId="7308A8D2" w14:textId="233A698A" w:rsidTr="00F675CF">
        <w:trPr>
          <w:trHeight w:val="1212"/>
          <w:del w:id="6316" w:author="AbbVie2" w:date="2025-05-13T16:39:00Z"/>
        </w:trPr>
        <w:tc>
          <w:tcPr>
            <w:tcW w:w="2514" w:type="dxa"/>
            <w:vMerge/>
          </w:tcPr>
          <w:p w14:paraId="4DE36F3C" w14:textId="0B544520" w:rsidR="004462A0" w:rsidRPr="008912CF" w:rsidRDefault="004462A0">
            <w:pPr>
              <w:rPr>
                <w:del w:id="6317" w:author="AbbVie2" w:date="2025-05-13T16:39:00Z"/>
                <w:b/>
              </w:rPr>
              <w:pPrChange w:id="6318" w:author="AbbVie2" w:date="2025-05-13T16:40:00Z">
                <w:pPr>
                  <w:widowControl w:val="0"/>
                  <w:jc w:val="center"/>
                </w:pPr>
              </w:pPrChange>
            </w:pPr>
          </w:p>
        </w:tc>
        <w:tc>
          <w:tcPr>
            <w:tcW w:w="1996" w:type="dxa"/>
            <w:tcBorders>
              <w:top w:val="nil"/>
            </w:tcBorders>
          </w:tcPr>
          <w:p w14:paraId="292F3953" w14:textId="1F8690F3" w:rsidR="004462A0" w:rsidRPr="008912CF" w:rsidRDefault="00615769">
            <w:pPr>
              <w:rPr>
                <w:del w:id="6319" w:author="AbbVie2" w:date="2025-05-13T16:39:00Z"/>
                <w:szCs w:val="22"/>
              </w:rPr>
              <w:pPrChange w:id="6320" w:author="AbbVie2" w:date="2025-05-13T16:40:00Z">
                <w:pPr>
                  <w:pStyle w:val="EMEANormal"/>
                  <w:widowControl w:val="0"/>
                </w:pPr>
              </w:pPrChange>
            </w:pPr>
            <w:del w:id="6321" w:author="AbbVie2" w:date="2025-05-13T16:39:00Z">
              <w:r w:rsidRPr="008912CF">
                <w:rPr>
                  <w:szCs w:val="22"/>
                </w:rPr>
                <w:delText>Raros</w:delText>
              </w:r>
            </w:del>
          </w:p>
          <w:p w14:paraId="13B6E78B" w14:textId="0873739A" w:rsidR="004462A0" w:rsidRPr="008912CF" w:rsidRDefault="004462A0">
            <w:pPr>
              <w:rPr>
                <w:del w:id="6322" w:author="AbbVie2" w:date="2025-05-13T16:39:00Z"/>
                <w:szCs w:val="22"/>
              </w:rPr>
              <w:pPrChange w:id="6323" w:author="AbbVie2" w:date="2025-05-13T16:40:00Z">
                <w:pPr>
                  <w:pStyle w:val="EMEANormal"/>
                  <w:widowControl w:val="0"/>
                </w:pPr>
              </w:pPrChange>
            </w:pPr>
          </w:p>
          <w:p w14:paraId="6ADD706C" w14:textId="50268CB2" w:rsidR="004462A0" w:rsidRPr="008912CF" w:rsidRDefault="004462A0">
            <w:pPr>
              <w:rPr>
                <w:del w:id="6324" w:author="AbbVie2" w:date="2025-05-13T16:39:00Z"/>
                <w:szCs w:val="22"/>
              </w:rPr>
              <w:pPrChange w:id="6325" w:author="AbbVie2" w:date="2025-05-13T16:40:00Z">
                <w:pPr>
                  <w:pStyle w:val="EMEANormal"/>
                  <w:widowControl w:val="0"/>
                </w:pPr>
              </w:pPrChange>
            </w:pPr>
          </w:p>
          <w:p w14:paraId="4C2ED087" w14:textId="71F079E1" w:rsidR="004462A0" w:rsidRPr="008912CF" w:rsidRDefault="004462A0">
            <w:pPr>
              <w:rPr>
                <w:del w:id="6326" w:author="AbbVie2" w:date="2025-05-13T16:39:00Z"/>
                <w:szCs w:val="22"/>
              </w:rPr>
              <w:pPrChange w:id="6327" w:author="AbbVie2" w:date="2025-05-13T16:40:00Z">
                <w:pPr>
                  <w:pStyle w:val="EMEANormal"/>
                  <w:widowControl w:val="0"/>
                </w:pPr>
              </w:pPrChange>
            </w:pPr>
          </w:p>
          <w:p w14:paraId="3B029719" w14:textId="31809830" w:rsidR="004462A0" w:rsidRPr="008912CF" w:rsidRDefault="004462A0">
            <w:pPr>
              <w:rPr>
                <w:del w:id="6328" w:author="AbbVie2" w:date="2025-05-13T16:39:00Z"/>
                <w:szCs w:val="22"/>
              </w:rPr>
              <w:pPrChange w:id="6329" w:author="AbbVie2" w:date="2025-05-13T16:40:00Z">
                <w:pPr>
                  <w:pStyle w:val="EMEANormal"/>
                  <w:widowControl w:val="0"/>
                </w:pPr>
              </w:pPrChange>
            </w:pPr>
          </w:p>
          <w:p w14:paraId="6D6B5B91" w14:textId="2D5B2F32" w:rsidR="00093745" w:rsidRDefault="00093745">
            <w:pPr>
              <w:rPr>
                <w:del w:id="6330" w:author="AbbVie2" w:date="2025-05-13T16:39:00Z"/>
                <w:szCs w:val="22"/>
              </w:rPr>
              <w:pPrChange w:id="6331" w:author="AbbVie2" w:date="2025-05-13T16:40:00Z">
                <w:pPr>
                  <w:pStyle w:val="EMEANormal"/>
                  <w:widowControl w:val="0"/>
                </w:pPr>
              </w:pPrChange>
            </w:pPr>
          </w:p>
          <w:p w14:paraId="4AA4C070" w14:textId="7669EFEB" w:rsidR="004462A0" w:rsidRPr="008912CF" w:rsidRDefault="00615769">
            <w:pPr>
              <w:rPr>
                <w:del w:id="6332" w:author="AbbVie2" w:date="2025-05-13T16:39:00Z"/>
                <w:szCs w:val="22"/>
              </w:rPr>
              <w:pPrChange w:id="6333" w:author="AbbVie2" w:date="2025-05-13T16:40:00Z">
                <w:pPr>
                  <w:pStyle w:val="EMEANormal"/>
                  <w:widowControl w:val="0"/>
                </w:pPr>
              </w:pPrChange>
            </w:pPr>
            <w:del w:id="6334" w:author="AbbVie2" w:date="2025-05-13T16:39:00Z">
              <w:r w:rsidRPr="008912CF">
                <w:rPr>
                  <w:szCs w:val="22"/>
                </w:rPr>
                <w:delText>Desconhecido</w:delText>
              </w:r>
            </w:del>
          </w:p>
          <w:p w14:paraId="2D775EC8" w14:textId="59260DA5" w:rsidR="004462A0" w:rsidRPr="008912CF" w:rsidRDefault="004462A0">
            <w:pPr>
              <w:rPr>
                <w:del w:id="6335" w:author="AbbVie2" w:date="2025-05-13T16:39:00Z"/>
                <w:szCs w:val="22"/>
              </w:rPr>
              <w:pPrChange w:id="6336" w:author="AbbVie2" w:date="2025-05-13T16:40:00Z">
                <w:pPr>
                  <w:pStyle w:val="EMEANormal"/>
                  <w:widowControl w:val="0"/>
                </w:pPr>
              </w:pPrChange>
            </w:pPr>
          </w:p>
        </w:tc>
        <w:tc>
          <w:tcPr>
            <w:tcW w:w="4346" w:type="dxa"/>
            <w:tcBorders>
              <w:top w:val="nil"/>
            </w:tcBorders>
          </w:tcPr>
          <w:p w14:paraId="577BED2E" w14:textId="70A26A42" w:rsidR="004462A0" w:rsidRPr="008912CF" w:rsidRDefault="00615769">
            <w:pPr>
              <w:rPr>
                <w:del w:id="6337" w:author="AbbVie2" w:date="2025-05-13T16:39:00Z"/>
                <w:szCs w:val="22"/>
              </w:rPr>
              <w:pPrChange w:id="6338" w:author="AbbVie2" w:date="2025-05-13T16:40:00Z">
                <w:pPr>
                  <w:pStyle w:val="EMEANormal"/>
                  <w:widowControl w:val="0"/>
                </w:pPr>
              </w:pPrChange>
            </w:pPr>
            <w:del w:id="6339" w:author="AbbVie2" w:date="2025-05-13T16:39:00Z">
              <w:r>
                <w:rPr>
                  <w:szCs w:val="22"/>
                </w:rPr>
                <w:delText>E</w:delText>
              </w:r>
              <w:r w:rsidRPr="008912CF">
                <w:rPr>
                  <w:szCs w:val="22"/>
                </w:rPr>
                <w:delText>ritema multiforme</w:delText>
              </w:r>
              <w:r w:rsidRPr="008912CF">
                <w:rPr>
                  <w:szCs w:val="22"/>
                  <w:vertAlign w:val="superscript"/>
                </w:rPr>
                <w:delText>1)</w:delText>
              </w:r>
              <w:r w:rsidRPr="008912CF">
                <w:rPr>
                  <w:szCs w:val="22"/>
                </w:rPr>
                <w:delText>,</w:delText>
              </w:r>
            </w:del>
          </w:p>
          <w:p w14:paraId="4846E556" w14:textId="044A59BB" w:rsidR="004462A0" w:rsidRPr="008912CF" w:rsidRDefault="00615769">
            <w:pPr>
              <w:rPr>
                <w:del w:id="6340" w:author="AbbVie2" w:date="2025-05-13T16:39:00Z"/>
                <w:szCs w:val="22"/>
              </w:rPr>
              <w:pPrChange w:id="6341" w:author="AbbVie2" w:date="2025-05-13T16:40:00Z">
                <w:pPr>
                  <w:pStyle w:val="EMEANormal"/>
                  <w:widowControl w:val="0"/>
                </w:pPr>
              </w:pPrChange>
            </w:pPr>
            <w:del w:id="6342" w:author="AbbVie2" w:date="2025-05-13T16:39:00Z">
              <w:r w:rsidRPr="008912CF">
                <w:rPr>
                  <w:szCs w:val="22"/>
                </w:rPr>
                <w:delText>síndrome de Stevens-Johnson</w:delText>
              </w:r>
              <w:r w:rsidRPr="008912CF">
                <w:rPr>
                  <w:szCs w:val="22"/>
                  <w:vertAlign w:val="superscript"/>
                </w:rPr>
                <w:delText>1)</w:delText>
              </w:r>
              <w:r w:rsidRPr="008912CF">
                <w:rPr>
                  <w:szCs w:val="22"/>
                </w:rPr>
                <w:delText>,</w:delText>
              </w:r>
            </w:del>
          </w:p>
          <w:p w14:paraId="62D8F619" w14:textId="06BCE4C3" w:rsidR="004462A0" w:rsidRPr="008912CF" w:rsidRDefault="00615769">
            <w:pPr>
              <w:rPr>
                <w:del w:id="6343" w:author="AbbVie2" w:date="2025-05-13T16:39:00Z"/>
                <w:szCs w:val="22"/>
              </w:rPr>
              <w:pPrChange w:id="6344" w:author="AbbVie2" w:date="2025-05-13T16:40:00Z">
                <w:pPr>
                  <w:pStyle w:val="EMEANormal"/>
                  <w:widowControl w:val="0"/>
                </w:pPr>
              </w:pPrChange>
            </w:pPr>
            <w:del w:id="6345" w:author="AbbVie2" w:date="2025-05-13T16:39:00Z">
              <w:r w:rsidRPr="008912CF">
                <w:rPr>
                  <w:szCs w:val="22"/>
                </w:rPr>
                <w:delText>angioedema</w:delText>
              </w:r>
              <w:r w:rsidRPr="008912CF">
                <w:rPr>
                  <w:szCs w:val="22"/>
                  <w:vertAlign w:val="superscript"/>
                </w:rPr>
                <w:delText>1)</w:delText>
              </w:r>
              <w:r w:rsidRPr="008912CF">
                <w:rPr>
                  <w:szCs w:val="22"/>
                </w:rPr>
                <w:delText>,</w:delText>
              </w:r>
            </w:del>
          </w:p>
          <w:p w14:paraId="3865FF77" w14:textId="185C6C0B" w:rsidR="004462A0" w:rsidRPr="00DF5632" w:rsidRDefault="00615769">
            <w:pPr>
              <w:rPr>
                <w:del w:id="6346" w:author="AbbVie2" w:date="2025-05-13T16:39:00Z"/>
                <w:szCs w:val="22"/>
              </w:rPr>
              <w:pPrChange w:id="6347" w:author="AbbVie2" w:date="2025-05-13T16:40:00Z">
                <w:pPr>
                  <w:pStyle w:val="EMEANormal"/>
                  <w:widowControl w:val="0"/>
                </w:pPr>
              </w:pPrChange>
            </w:pPr>
            <w:del w:id="6348" w:author="AbbVie2" w:date="2025-05-13T16:39:00Z">
              <w:r w:rsidRPr="008912CF">
                <w:rPr>
                  <w:szCs w:val="22"/>
                </w:rPr>
                <w:delText>vasculite cutânea</w:delText>
              </w:r>
              <w:r w:rsidRPr="008912CF">
                <w:rPr>
                  <w:szCs w:val="22"/>
                  <w:vertAlign w:val="superscript"/>
                </w:rPr>
                <w:delText>1)</w:delText>
              </w:r>
              <w:r w:rsidR="00FD51F4">
                <w:rPr>
                  <w:szCs w:val="22"/>
                </w:rPr>
                <w:delText>,</w:delText>
              </w:r>
            </w:del>
          </w:p>
          <w:p w14:paraId="3C063EAA" w14:textId="4A91CBF9" w:rsidR="004462A0" w:rsidRDefault="00615769">
            <w:pPr>
              <w:rPr>
                <w:del w:id="6349" w:author="AbbVie2" w:date="2025-05-13T16:39:00Z"/>
                <w:szCs w:val="22"/>
              </w:rPr>
              <w:pPrChange w:id="6350" w:author="AbbVie2" w:date="2025-05-13T16:40:00Z">
                <w:pPr>
                  <w:pStyle w:val="EMEANormal"/>
                  <w:widowControl w:val="0"/>
                </w:pPr>
              </w:pPrChange>
            </w:pPr>
            <w:del w:id="6351" w:author="AbbVie2" w:date="2025-05-13T16:39:00Z">
              <w:r>
                <w:rPr>
                  <w:szCs w:val="22"/>
                </w:rPr>
                <w:delText>reação cutânea liquen</w:delText>
              </w:r>
              <w:r w:rsidR="00E9064D">
                <w:rPr>
                  <w:szCs w:val="22"/>
                </w:rPr>
                <w:delText>o</w:delText>
              </w:r>
              <w:r>
                <w:rPr>
                  <w:szCs w:val="22"/>
                </w:rPr>
                <w:delText>ide</w:delText>
              </w:r>
              <w:r w:rsidRPr="008912CF">
                <w:rPr>
                  <w:szCs w:val="22"/>
                  <w:vertAlign w:val="superscript"/>
                </w:rPr>
                <w:delText>1)</w:delText>
              </w:r>
            </w:del>
          </w:p>
          <w:p w14:paraId="569ECFB5" w14:textId="564AF55C" w:rsidR="00093745" w:rsidRPr="008912CF" w:rsidRDefault="00093745">
            <w:pPr>
              <w:rPr>
                <w:del w:id="6352" w:author="AbbVie2" w:date="2025-05-13T16:39:00Z"/>
                <w:szCs w:val="22"/>
              </w:rPr>
              <w:pPrChange w:id="6353" w:author="AbbVie2" w:date="2025-05-13T16:40:00Z">
                <w:pPr>
                  <w:pStyle w:val="EMEANormal"/>
                  <w:widowControl w:val="0"/>
                </w:pPr>
              </w:pPrChange>
            </w:pPr>
          </w:p>
          <w:p w14:paraId="25932554" w14:textId="5201CC27" w:rsidR="004462A0" w:rsidRPr="008912CF" w:rsidRDefault="00615769">
            <w:pPr>
              <w:rPr>
                <w:del w:id="6354" w:author="AbbVie2" w:date="2025-05-13T16:39:00Z"/>
                <w:szCs w:val="22"/>
                <w:vertAlign w:val="superscript"/>
              </w:rPr>
              <w:pPrChange w:id="6355" w:author="AbbVie2" w:date="2025-05-13T16:40:00Z">
                <w:pPr>
                  <w:pStyle w:val="EMEANormal"/>
                  <w:widowControl w:val="0"/>
                </w:pPr>
              </w:pPrChange>
            </w:pPr>
            <w:del w:id="6356" w:author="AbbVie2" w:date="2025-05-13T16:39:00Z">
              <w:r>
                <w:rPr>
                  <w:szCs w:val="22"/>
                </w:rPr>
                <w:delText>A</w:delText>
              </w:r>
              <w:r w:rsidRPr="008912CF">
                <w:rPr>
                  <w:szCs w:val="22"/>
                </w:rPr>
                <w:delText>gravamento dos sintomas de dermatomiosite</w:delText>
              </w:r>
              <w:r w:rsidRPr="008912CF">
                <w:rPr>
                  <w:szCs w:val="22"/>
                  <w:vertAlign w:val="superscript"/>
                </w:rPr>
                <w:delText>1)</w:delText>
              </w:r>
            </w:del>
          </w:p>
          <w:p w14:paraId="190BC170" w14:textId="2A01D44D" w:rsidR="004462A0" w:rsidRPr="008912CF" w:rsidRDefault="004462A0">
            <w:pPr>
              <w:rPr>
                <w:del w:id="6357" w:author="AbbVie2" w:date="2025-05-13T16:39:00Z"/>
                <w:szCs w:val="22"/>
              </w:rPr>
              <w:pPrChange w:id="6358" w:author="AbbVie2" w:date="2025-05-13T16:40:00Z">
                <w:pPr>
                  <w:pStyle w:val="EMEANormal"/>
                  <w:widowControl w:val="0"/>
                </w:pPr>
              </w:pPrChange>
            </w:pPr>
          </w:p>
        </w:tc>
      </w:tr>
      <w:tr w:rsidR="00A7162A" w14:paraId="1021888A" w14:textId="69F5E42C" w:rsidTr="00F675CF">
        <w:trPr>
          <w:del w:id="6359" w:author="AbbVie2" w:date="2025-05-13T16:39:00Z"/>
        </w:trPr>
        <w:tc>
          <w:tcPr>
            <w:tcW w:w="2514" w:type="dxa"/>
            <w:vMerge w:val="restart"/>
          </w:tcPr>
          <w:p w14:paraId="2E4176E7" w14:textId="09D822AD" w:rsidR="004462A0" w:rsidRPr="008912CF" w:rsidRDefault="00615769">
            <w:pPr>
              <w:rPr>
                <w:del w:id="6360" w:author="AbbVie2" w:date="2025-05-13T16:39:00Z"/>
                <w:szCs w:val="22"/>
              </w:rPr>
              <w:pPrChange w:id="6361" w:author="AbbVie2" w:date="2025-05-13T16:40:00Z">
                <w:pPr>
                  <w:pStyle w:val="EMEANormal"/>
                  <w:keepNext/>
                  <w:widowControl w:val="0"/>
                </w:pPr>
              </w:pPrChange>
            </w:pPr>
            <w:del w:id="6362" w:author="AbbVie2" w:date="2025-05-13T16:39:00Z">
              <w:r w:rsidRPr="008912CF">
                <w:rPr>
                  <w:szCs w:val="22"/>
                </w:rPr>
                <w:delText>Afeções musculoesqueléticas e dos tecidos conjuntivos</w:delText>
              </w:r>
            </w:del>
          </w:p>
        </w:tc>
        <w:tc>
          <w:tcPr>
            <w:tcW w:w="1996" w:type="dxa"/>
            <w:tcBorders>
              <w:bottom w:val="nil"/>
            </w:tcBorders>
          </w:tcPr>
          <w:p w14:paraId="207B4413" w14:textId="5D3B18FF" w:rsidR="004462A0" w:rsidRPr="008912CF" w:rsidRDefault="00615769">
            <w:pPr>
              <w:rPr>
                <w:del w:id="6363" w:author="AbbVie2" w:date="2025-05-13T16:39:00Z"/>
                <w:szCs w:val="22"/>
              </w:rPr>
              <w:pPrChange w:id="6364" w:author="AbbVie2" w:date="2025-05-13T16:40:00Z">
                <w:pPr>
                  <w:pStyle w:val="EMEANormal"/>
                  <w:keepNext/>
                  <w:widowControl w:val="0"/>
                </w:pPr>
              </w:pPrChange>
            </w:pPr>
            <w:del w:id="6365" w:author="AbbVie2" w:date="2025-05-13T16:39:00Z">
              <w:r w:rsidRPr="008912CF">
                <w:rPr>
                  <w:szCs w:val="22"/>
                </w:rPr>
                <w:delText xml:space="preserve">Muito frequentes </w:delText>
              </w:r>
            </w:del>
          </w:p>
        </w:tc>
        <w:tc>
          <w:tcPr>
            <w:tcW w:w="4346" w:type="dxa"/>
            <w:tcBorders>
              <w:bottom w:val="nil"/>
            </w:tcBorders>
          </w:tcPr>
          <w:p w14:paraId="33EF63AC" w14:textId="3A2C6AB3" w:rsidR="004462A0" w:rsidRPr="008912CF" w:rsidRDefault="00615769">
            <w:pPr>
              <w:rPr>
                <w:del w:id="6366" w:author="AbbVie2" w:date="2025-05-13T16:39:00Z"/>
                <w:szCs w:val="22"/>
              </w:rPr>
              <w:pPrChange w:id="6367" w:author="AbbVie2" w:date="2025-05-13T16:40:00Z">
                <w:pPr>
                  <w:pStyle w:val="EMEANormal"/>
                  <w:keepNext/>
                  <w:widowControl w:val="0"/>
                </w:pPr>
              </w:pPrChange>
            </w:pPr>
            <w:del w:id="6368" w:author="AbbVie2" w:date="2025-05-13T16:39:00Z">
              <w:r>
                <w:rPr>
                  <w:szCs w:val="22"/>
                </w:rPr>
                <w:delText>D</w:delText>
              </w:r>
              <w:r w:rsidRPr="008912CF">
                <w:rPr>
                  <w:szCs w:val="22"/>
                </w:rPr>
                <w:delText>or musculoesquelética</w:delText>
              </w:r>
            </w:del>
          </w:p>
          <w:p w14:paraId="01CF7E00" w14:textId="55063396" w:rsidR="004462A0" w:rsidRPr="008912CF" w:rsidRDefault="004462A0">
            <w:pPr>
              <w:rPr>
                <w:del w:id="6369" w:author="AbbVie2" w:date="2025-05-13T16:39:00Z"/>
                <w:szCs w:val="22"/>
              </w:rPr>
              <w:pPrChange w:id="6370" w:author="AbbVie2" w:date="2025-05-13T16:40:00Z">
                <w:pPr>
                  <w:pStyle w:val="EMEANormal"/>
                  <w:keepNext/>
                  <w:widowControl w:val="0"/>
                </w:pPr>
              </w:pPrChange>
            </w:pPr>
          </w:p>
        </w:tc>
      </w:tr>
      <w:tr w:rsidR="00A7162A" w14:paraId="27902349" w14:textId="49185906" w:rsidTr="00F675CF">
        <w:trPr>
          <w:del w:id="6371" w:author="AbbVie2" w:date="2025-05-13T16:39:00Z"/>
        </w:trPr>
        <w:tc>
          <w:tcPr>
            <w:tcW w:w="2514" w:type="dxa"/>
            <w:vMerge/>
          </w:tcPr>
          <w:p w14:paraId="717FD4FF" w14:textId="193F4E4B" w:rsidR="004462A0" w:rsidRPr="008912CF" w:rsidRDefault="004462A0">
            <w:pPr>
              <w:rPr>
                <w:del w:id="6372" w:author="AbbVie2" w:date="2025-05-13T16:39:00Z"/>
                <w:szCs w:val="22"/>
              </w:rPr>
              <w:pPrChange w:id="6373" w:author="AbbVie2" w:date="2025-05-13T16:40:00Z">
                <w:pPr>
                  <w:pStyle w:val="EMEANormal"/>
                  <w:keepNext/>
                  <w:widowControl w:val="0"/>
                </w:pPr>
              </w:pPrChange>
            </w:pPr>
          </w:p>
        </w:tc>
        <w:tc>
          <w:tcPr>
            <w:tcW w:w="1996" w:type="dxa"/>
            <w:tcBorders>
              <w:top w:val="nil"/>
              <w:bottom w:val="nil"/>
            </w:tcBorders>
          </w:tcPr>
          <w:p w14:paraId="501B3AB0" w14:textId="4390E430" w:rsidR="004462A0" w:rsidRPr="008912CF" w:rsidRDefault="00615769">
            <w:pPr>
              <w:rPr>
                <w:del w:id="6374" w:author="AbbVie2" w:date="2025-05-13T16:39:00Z"/>
                <w:szCs w:val="22"/>
              </w:rPr>
              <w:pPrChange w:id="6375" w:author="AbbVie2" w:date="2025-05-13T16:40:00Z">
                <w:pPr>
                  <w:pStyle w:val="EMEANormal"/>
                  <w:keepNext/>
                  <w:widowControl w:val="0"/>
                </w:pPr>
              </w:pPrChange>
            </w:pPr>
            <w:del w:id="6376" w:author="AbbVie2" w:date="2025-05-13T16:39:00Z">
              <w:r w:rsidRPr="008912CF">
                <w:rPr>
                  <w:szCs w:val="22"/>
                </w:rPr>
                <w:delText>Frequentes</w:delText>
              </w:r>
            </w:del>
          </w:p>
        </w:tc>
        <w:tc>
          <w:tcPr>
            <w:tcW w:w="4346" w:type="dxa"/>
            <w:tcBorders>
              <w:top w:val="nil"/>
              <w:bottom w:val="nil"/>
            </w:tcBorders>
          </w:tcPr>
          <w:p w14:paraId="3FA75C1C" w14:textId="31C415C6" w:rsidR="004462A0" w:rsidRPr="008912CF" w:rsidRDefault="00615769">
            <w:pPr>
              <w:rPr>
                <w:del w:id="6377" w:author="AbbVie2" w:date="2025-05-13T16:39:00Z"/>
                <w:szCs w:val="22"/>
              </w:rPr>
              <w:pPrChange w:id="6378" w:author="AbbVie2" w:date="2025-05-13T16:40:00Z">
                <w:pPr>
                  <w:pStyle w:val="EMEANormal"/>
                  <w:keepNext/>
                  <w:widowControl w:val="0"/>
                </w:pPr>
              </w:pPrChange>
            </w:pPr>
            <w:del w:id="6379" w:author="AbbVie2" w:date="2025-05-13T16:39:00Z">
              <w:r>
                <w:rPr>
                  <w:szCs w:val="22"/>
                </w:rPr>
                <w:delText>E</w:delText>
              </w:r>
              <w:r w:rsidRPr="008912CF">
                <w:rPr>
                  <w:szCs w:val="22"/>
                </w:rPr>
                <w:delText>spasmo muscular (incluindo nível sérico de creatinafosfoquinase aumentado)</w:delText>
              </w:r>
            </w:del>
          </w:p>
          <w:p w14:paraId="128586C6" w14:textId="4A841B4E" w:rsidR="004462A0" w:rsidRPr="008912CF" w:rsidRDefault="004462A0">
            <w:pPr>
              <w:rPr>
                <w:del w:id="6380" w:author="AbbVie2" w:date="2025-05-13T16:39:00Z"/>
                <w:szCs w:val="22"/>
              </w:rPr>
              <w:pPrChange w:id="6381" w:author="AbbVie2" w:date="2025-05-13T16:40:00Z">
                <w:pPr>
                  <w:pStyle w:val="EMEANormal"/>
                  <w:keepNext/>
                  <w:widowControl w:val="0"/>
                </w:pPr>
              </w:pPrChange>
            </w:pPr>
          </w:p>
        </w:tc>
      </w:tr>
      <w:tr w:rsidR="00A7162A" w14:paraId="66110FCB" w14:textId="491319EC" w:rsidTr="00F675CF">
        <w:trPr>
          <w:del w:id="6382" w:author="AbbVie2" w:date="2025-05-13T16:39:00Z"/>
        </w:trPr>
        <w:tc>
          <w:tcPr>
            <w:tcW w:w="2514" w:type="dxa"/>
            <w:vMerge/>
            <w:tcBorders>
              <w:bottom w:val="nil"/>
            </w:tcBorders>
          </w:tcPr>
          <w:p w14:paraId="5FA67AB0" w14:textId="461C2547" w:rsidR="004462A0" w:rsidRPr="008912CF" w:rsidRDefault="004462A0">
            <w:pPr>
              <w:rPr>
                <w:del w:id="6383" w:author="AbbVie2" w:date="2025-05-13T16:39:00Z"/>
                <w:b/>
              </w:rPr>
              <w:pPrChange w:id="6384" w:author="AbbVie2" w:date="2025-05-13T16:40:00Z">
                <w:pPr>
                  <w:keepNext/>
                  <w:widowControl w:val="0"/>
                  <w:jc w:val="center"/>
                </w:pPr>
              </w:pPrChange>
            </w:pPr>
          </w:p>
        </w:tc>
        <w:tc>
          <w:tcPr>
            <w:tcW w:w="1996" w:type="dxa"/>
            <w:tcBorders>
              <w:top w:val="nil"/>
              <w:bottom w:val="nil"/>
            </w:tcBorders>
          </w:tcPr>
          <w:p w14:paraId="10BDA39B" w14:textId="5ED08112" w:rsidR="004462A0" w:rsidRPr="008912CF" w:rsidRDefault="00615769">
            <w:pPr>
              <w:rPr>
                <w:del w:id="6385" w:author="AbbVie2" w:date="2025-05-13T16:39:00Z"/>
                <w:szCs w:val="22"/>
              </w:rPr>
              <w:pPrChange w:id="6386" w:author="AbbVie2" w:date="2025-05-13T16:40:00Z">
                <w:pPr>
                  <w:pStyle w:val="EMEANormal"/>
                  <w:keepNext/>
                  <w:widowControl w:val="0"/>
                </w:pPr>
              </w:pPrChange>
            </w:pPr>
            <w:del w:id="6387" w:author="AbbVie2" w:date="2025-05-13T16:39:00Z">
              <w:r w:rsidRPr="008912CF">
                <w:rPr>
                  <w:szCs w:val="22"/>
                </w:rPr>
                <w:delText>Pouco frequentes</w:delText>
              </w:r>
            </w:del>
          </w:p>
          <w:p w14:paraId="563A39D7" w14:textId="7FF488B2" w:rsidR="004462A0" w:rsidRPr="008912CF" w:rsidRDefault="004462A0">
            <w:pPr>
              <w:rPr>
                <w:del w:id="6388" w:author="AbbVie2" w:date="2025-05-13T16:39:00Z"/>
                <w:szCs w:val="22"/>
              </w:rPr>
              <w:pPrChange w:id="6389" w:author="AbbVie2" w:date="2025-05-13T16:40:00Z">
                <w:pPr>
                  <w:pStyle w:val="EMEANormal"/>
                  <w:keepNext/>
                  <w:widowControl w:val="0"/>
                </w:pPr>
              </w:pPrChange>
            </w:pPr>
          </w:p>
          <w:p w14:paraId="12C9C05B" w14:textId="632D09DA" w:rsidR="004462A0" w:rsidRPr="008912CF" w:rsidRDefault="004462A0">
            <w:pPr>
              <w:rPr>
                <w:del w:id="6390" w:author="AbbVie2" w:date="2025-05-13T16:39:00Z"/>
                <w:szCs w:val="22"/>
              </w:rPr>
              <w:pPrChange w:id="6391" w:author="AbbVie2" w:date="2025-05-13T16:40:00Z">
                <w:pPr>
                  <w:pStyle w:val="EMEANormal"/>
                  <w:keepNext/>
                  <w:widowControl w:val="0"/>
                </w:pPr>
              </w:pPrChange>
            </w:pPr>
          </w:p>
        </w:tc>
        <w:tc>
          <w:tcPr>
            <w:tcW w:w="4346" w:type="dxa"/>
            <w:tcBorders>
              <w:top w:val="nil"/>
              <w:bottom w:val="nil"/>
            </w:tcBorders>
          </w:tcPr>
          <w:p w14:paraId="60E50EF7" w14:textId="34840621" w:rsidR="004462A0" w:rsidRPr="008912CF" w:rsidRDefault="00615769">
            <w:pPr>
              <w:rPr>
                <w:del w:id="6392" w:author="AbbVie2" w:date="2025-05-13T16:39:00Z"/>
                <w:szCs w:val="22"/>
              </w:rPr>
              <w:pPrChange w:id="6393" w:author="AbbVie2" w:date="2025-05-13T16:40:00Z">
                <w:pPr>
                  <w:pStyle w:val="EMEANormal"/>
                  <w:keepNext/>
                </w:pPr>
              </w:pPrChange>
            </w:pPr>
            <w:del w:id="6394" w:author="AbbVie2" w:date="2025-05-13T16:39:00Z">
              <w:r>
                <w:rPr>
                  <w:szCs w:val="22"/>
                </w:rPr>
                <w:delText>R</w:delText>
              </w:r>
              <w:r w:rsidRPr="008912CF">
                <w:rPr>
                  <w:szCs w:val="22"/>
                </w:rPr>
                <w:delText>abdomiólise,</w:delText>
              </w:r>
            </w:del>
          </w:p>
          <w:p w14:paraId="4E7C0481" w14:textId="4396E348" w:rsidR="004462A0" w:rsidRPr="008912CF" w:rsidRDefault="00615769">
            <w:pPr>
              <w:rPr>
                <w:del w:id="6395" w:author="AbbVie2" w:date="2025-05-13T16:39:00Z"/>
                <w:szCs w:val="22"/>
              </w:rPr>
              <w:pPrChange w:id="6396" w:author="AbbVie2" w:date="2025-05-13T16:40:00Z">
                <w:pPr>
                  <w:pStyle w:val="EMEANormal"/>
                  <w:keepNext/>
                  <w:widowControl w:val="0"/>
                </w:pPr>
              </w:pPrChange>
            </w:pPr>
            <w:del w:id="6397" w:author="AbbVie2" w:date="2025-05-13T16:39:00Z">
              <w:r w:rsidRPr="008912CF">
                <w:rPr>
                  <w:szCs w:val="22"/>
                </w:rPr>
                <w:delText>lúpus eritematoso sistémico</w:delText>
              </w:r>
            </w:del>
          </w:p>
          <w:p w14:paraId="06C59C7D" w14:textId="0E9A1B39" w:rsidR="004462A0" w:rsidRPr="008912CF" w:rsidRDefault="004462A0">
            <w:pPr>
              <w:rPr>
                <w:del w:id="6398" w:author="AbbVie2" w:date="2025-05-13T16:39:00Z"/>
                <w:szCs w:val="22"/>
              </w:rPr>
              <w:pPrChange w:id="6399" w:author="AbbVie2" w:date="2025-05-13T16:40:00Z">
                <w:pPr>
                  <w:pStyle w:val="EMEANormal"/>
                  <w:keepNext/>
                  <w:widowControl w:val="0"/>
                </w:pPr>
              </w:pPrChange>
            </w:pPr>
          </w:p>
        </w:tc>
      </w:tr>
      <w:tr w:rsidR="00A7162A" w14:paraId="3D47018E" w14:textId="31A8EF74" w:rsidTr="00F675CF">
        <w:trPr>
          <w:del w:id="6400" w:author="AbbVie2" w:date="2025-05-13T16:39:00Z"/>
        </w:trPr>
        <w:tc>
          <w:tcPr>
            <w:tcW w:w="2514" w:type="dxa"/>
            <w:tcBorders>
              <w:top w:val="nil"/>
            </w:tcBorders>
          </w:tcPr>
          <w:p w14:paraId="3797DB47" w14:textId="7CD63FC2" w:rsidR="004462A0" w:rsidRPr="008912CF" w:rsidRDefault="004462A0">
            <w:pPr>
              <w:rPr>
                <w:del w:id="6401" w:author="AbbVie2" w:date="2025-05-13T16:39:00Z"/>
                <w:b/>
              </w:rPr>
              <w:pPrChange w:id="6402" w:author="AbbVie2" w:date="2025-05-13T16:40:00Z">
                <w:pPr>
                  <w:keepNext/>
                  <w:widowControl w:val="0"/>
                  <w:jc w:val="center"/>
                </w:pPr>
              </w:pPrChange>
            </w:pPr>
          </w:p>
        </w:tc>
        <w:tc>
          <w:tcPr>
            <w:tcW w:w="1996" w:type="dxa"/>
            <w:tcBorders>
              <w:top w:val="nil"/>
            </w:tcBorders>
          </w:tcPr>
          <w:p w14:paraId="57C40849" w14:textId="68437810" w:rsidR="004462A0" w:rsidRPr="008912CF" w:rsidRDefault="00615769">
            <w:pPr>
              <w:rPr>
                <w:del w:id="6403" w:author="AbbVie2" w:date="2025-05-13T16:39:00Z"/>
                <w:szCs w:val="22"/>
              </w:rPr>
              <w:pPrChange w:id="6404" w:author="AbbVie2" w:date="2025-05-13T16:40:00Z">
                <w:pPr>
                  <w:pStyle w:val="EMEANormal"/>
                  <w:keepNext/>
                  <w:widowControl w:val="0"/>
                </w:pPr>
              </w:pPrChange>
            </w:pPr>
            <w:del w:id="6405" w:author="AbbVie2" w:date="2025-05-13T16:39:00Z">
              <w:r w:rsidRPr="008912CF">
                <w:rPr>
                  <w:szCs w:val="22"/>
                </w:rPr>
                <w:delText>Raros</w:delText>
              </w:r>
            </w:del>
          </w:p>
          <w:p w14:paraId="167EBC07" w14:textId="7F61DFAA" w:rsidR="004462A0" w:rsidRPr="008912CF" w:rsidRDefault="004462A0">
            <w:pPr>
              <w:rPr>
                <w:del w:id="6406" w:author="AbbVie2" w:date="2025-05-13T16:39:00Z"/>
                <w:szCs w:val="22"/>
              </w:rPr>
              <w:pPrChange w:id="6407" w:author="AbbVie2" w:date="2025-05-13T16:40:00Z">
                <w:pPr>
                  <w:pStyle w:val="EMEANormal"/>
                  <w:keepNext/>
                  <w:widowControl w:val="0"/>
                </w:pPr>
              </w:pPrChange>
            </w:pPr>
          </w:p>
        </w:tc>
        <w:tc>
          <w:tcPr>
            <w:tcW w:w="4346" w:type="dxa"/>
            <w:tcBorders>
              <w:top w:val="nil"/>
            </w:tcBorders>
          </w:tcPr>
          <w:p w14:paraId="1700146A" w14:textId="20D9FD6A" w:rsidR="004462A0" w:rsidRPr="008912CF" w:rsidRDefault="00615769">
            <w:pPr>
              <w:rPr>
                <w:del w:id="6408" w:author="AbbVie2" w:date="2025-05-13T16:39:00Z"/>
                <w:szCs w:val="22"/>
                <w:vertAlign w:val="superscript"/>
              </w:rPr>
              <w:pPrChange w:id="6409" w:author="AbbVie2" w:date="2025-05-13T16:40:00Z">
                <w:pPr>
                  <w:pStyle w:val="EMEANormal"/>
                  <w:keepNext/>
                  <w:widowControl w:val="0"/>
                </w:pPr>
              </w:pPrChange>
            </w:pPr>
            <w:del w:id="6410" w:author="AbbVie2" w:date="2025-05-13T16:39:00Z">
              <w:r>
                <w:rPr>
                  <w:szCs w:val="22"/>
                </w:rPr>
                <w:delText>S</w:delText>
              </w:r>
              <w:r w:rsidRPr="008912CF">
                <w:rPr>
                  <w:szCs w:val="22"/>
                </w:rPr>
                <w:delText>índrome tipo lúpus</w:delText>
              </w:r>
              <w:r w:rsidRPr="008912CF">
                <w:rPr>
                  <w:szCs w:val="22"/>
                  <w:vertAlign w:val="superscript"/>
                </w:rPr>
                <w:delText>1)</w:delText>
              </w:r>
            </w:del>
          </w:p>
          <w:p w14:paraId="791BDF00" w14:textId="65DB85CD" w:rsidR="004462A0" w:rsidRPr="008912CF" w:rsidRDefault="004462A0">
            <w:pPr>
              <w:rPr>
                <w:del w:id="6411" w:author="AbbVie2" w:date="2025-05-13T16:39:00Z"/>
                <w:szCs w:val="22"/>
              </w:rPr>
              <w:pPrChange w:id="6412" w:author="AbbVie2" w:date="2025-05-13T16:40:00Z">
                <w:pPr>
                  <w:pStyle w:val="EMEANormal"/>
                  <w:keepNext/>
                </w:pPr>
              </w:pPrChange>
            </w:pPr>
          </w:p>
        </w:tc>
      </w:tr>
      <w:tr w:rsidR="00A7162A" w14:paraId="407C6085" w14:textId="6376A5AE" w:rsidTr="00F675CF">
        <w:trPr>
          <w:del w:id="6413" w:author="AbbVie2" w:date="2025-05-13T16:39:00Z"/>
        </w:trPr>
        <w:tc>
          <w:tcPr>
            <w:tcW w:w="2514" w:type="dxa"/>
            <w:vMerge w:val="restart"/>
          </w:tcPr>
          <w:p w14:paraId="6813767B" w14:textId="714AED02" w:rsidR="004462A0" w:rsidRPr="008912CF" w:rsidRDefault="00615769">
            <w:pPr>
              <w:rPr>
                <w:del w:id="6414" w:author="AbbVie2" w:date="2025-05-13T16:39:00Z"/>
                <w:szCs w:val="22"/>
              </w:rPr>
              <w:pPrChange w:id="6415" w:author="AbbVie2" w:date="2025-05-13T16:40:00Z">
                <w:pPr>
                  <w:pStyle w:val="EMEANormal"/>
                  <w:widowControl w:val="0"/>
                </w:pPr>
              </w:pPrChange>
            </w:pPr>
            <w:del w:id="6416" w:author="AbbVie2" w:date="2025-05-13T16:39:00Z">
              <w:r w:rsidRPr="008912CF">
                <w:rPr>
                  <w:szCs w:val="22"/>
                </w:rPr>
                <w:delText>Doenças renais e urinárias</w:delText>
              </w:r>
            </w:del>
          </w:p>
        </w:tc>
        <w:tc>
          <w:tcPr>
            <w:tcW w:w="1996" w:type="dxa"/>
            <w:tcBorders>
              <w:bottom w:val="nil"/>
            </w:tcBorders>
          </w:tcPr>
          <w:p w14:paraId="4DB53AFA" w14:textId="7EC13CB9" w:rsidR="004462A0" w:rsidRPr="008912CF" w:rsidRDefault="00615769">
            <w:pPr>
              <w:rPr>
                <w:del w:id="6417" w:author="AbbVie2" w:date="2025-05-13T16:39:00Z"/>
                <w:szCs w:val="22"/>
              </w:rPr>
              <w:pPrChange w:id="6418" w:author="AbbVie2" w:date="2025-05-13T16:40:00Z">
                <w:pPr>
                  <w:pStyle w:val="EMEANormal"/>
                  <w:widowControl w:val="0"/>
                </w:pPr>
              </w:pPrChange>
            </w:pPr>
            <w:del w:id="6419" w:author="AbbVie2" w:date="2025-05-13T16:39:00Z">
              <w:r w:rsidRPr="008912CF">
                <w:rPr>
                  <w:szCs w:val="22"/>
                </w:rPr>
                <w:delText>Frequentes</w:delText>
              </w:r>
            </w:del>
          </w:p>
          <w:p w14:paraId="3CA4710C" w14:textId="564387BB" w:rsidR="004462A0" w:rsidRPr="008912CF" w:rsidRDefault="004462A0">
            <w:pPr>
              <w:rPr>
                <w:del w:id="6420" w:author="AbbVie2" w:date="2025-05-13T16:39:00Z"/>
                <w:szCs w:val="22"/>
              </w:rPr>
              <w:pPrChange w:id="6421" w:author="AbbVie2" w:date="2025-05-13T16:40:00Z">
                <w:pPr>
                  <w:pStyle w:val="EMEANormal"/>
                  <w:widowControl w:val="0"/>
                </w:pPr>
              </w:pPrChange>
            </w:pPr>
          </w:p>
        </w:tc>
        <w:tc>
          <w:tcPr>
            <w:tcW w:w="4346" w:type="dxa"/>
            <w:tcBorders>
              <w:bottom w:val="nil"/>
            </w:tcBorders>
          </w:tcPr>
          <w:p w14:paraId="0B91A63D" w14:textId="6A0E68DE" w:rsidR="004462A0" w:rsidRPr="008912CF" w:rsidRDefault="00615769">
            <w:pPr>
              <w:rPr>
                <w:del w:id="6422" w:author="AbbVie2" w:date="2025-05-13T16:39:00Z"/>
                <w:szCs w:val="22"/>
              </w:rPr>
              <w:pPrChange w:id="6423" w:author="AbbVie2" w:date="2025-05-13T16:40:00Z">
                <w:pPr>
                  <w:pStyle w:val="EMEANormal"/>
                  <w:widowControl w:val="0"/>
                </w:pPr>
              </w:pPrChange>
            </w:pPr>
            <w:del w:id="6424" w:author="AbbVie2" w:date="2025-05-13T16:39:00Z">
              <w:r>
                <w:rPr>
                  <w:szCs w:val="22"/>
                </w:rPr>
                <w:delText>C</w:delText>
              </w:r>
              <w:r w:rsidRPr="008912CF">
                <w:rPr>
                  <w:szCs w:val="22"/>
                </w:rPr>
                <w:delText>ompromisso renal,</w:delText>
              </w:r>
            </w:del>
          </w:p>
          <w:p w14:paraId="6DA33392" w14:textId="54662FD4" w:rsidR="004462A0" w:rsidRPr="008912CF" w:rsidRDefault="00615769">
            <w:pPr>
              <w:rPr>
                <w:del w:id="6425" w:author="AbbVie2" w:date="2025-05-13T16:39:00Z"/>
                <w:szCs w:val="22"/>
              </w:rPr>
              <w:pPrChange w:id="6426" w:author="AbbVie2" w:date="2025-05-13T16:40:00Z">
                <w:pPr>
                  <w:pStyle w:val="EMEANormal"/>
                  <w:widowControl w:val="0"/>
                </w:pPr>
              </w:pPrChange>
            </w:pPr>
            <w:del w:id="6427" w:author="AbbVie2" w:date="2025-05-13T16:39:00Z">
              <w:r w:rsidRPr="008912CF">
                <w:rPr>
                  <w:szCs w:val="22"/>
                </w:rPr>
                <w:delText>hematúria</w:delText>
              </w:r>
            </w:del>
          </w:p>
          <w:p w14:paraId="28FE57D5" w14:textId="6F45CA81" w:rsidR="004462A0" w:rsidRPr="008912CF" w:rsidRDefault="004462A0">
            <w:pPr>
              <w:rPr>
                <w:del w:id="6428" w:author="AbbVie2" w:date="2025-05-13T16:39:00Z"/>
                <w:szCs w:val="22"/>
              </w:rPr>
              <w:pPrChange w:id="6429" w:author="AbbVie2" w:date="2025-05-13T16:40:00Z">
                <w:pPr>
                  <w:pStyle w:val="EMEANormal"/>
                  <w:widowControl w:val="0"/>
                </w:pPr>
              </w:pPrChange>
            </w:pPr>
          </w:p>
        </w:tc>
      </w:tr>
      <w:tr w:rsidR="00A7162A" w14:paraId="15199E5E" w14:textId="10F2A9F2" w:rsidTr="00F675CF">
        <w:trPr>
          <w:del w:id="6430" w:author="AbbVie2" w:date="2025-05-13T16:39:00Z"/>
        </w:trPr>
        <w:tc>
          <w:tcPr>
            <w:tcW w:w="2514" w:type="dxa"/>
            <w:vMerge/>
          </w:tcPr>
          <w:p w14:paraId="7E8F957F" w14:textId="59BEF6ED" w:rsidR="004462A0" w:rsidRPr="008912CF" w:rsidRDefault="004462A0">
            <w:pPr>
              <w:rPr>
                <w:del w:id="6431" w:author="AbbVie2" w:date="2025-05-13T16:39:00Z"/>
                <w:b/>
              </w:rPr>
              <w:pPrChange w:id="6432" w:author="AbbVie2" w:date="2025-05-13T16:40:00Z">
                <w:pPr>
                  <w:widowControl w:val="0"/>
                  <w:jc w:val="center"/>
                </w:pPr>
              </w:pPrChange>
            </w:pPr>
          </w:p>
        </w:tc>
        <w:tc>
          <w:tcPr>
            <w:tcW w:w="1996" w:type="dxa"/>
            <w:tcBorders>
              <w:top w:val="nil"/>
            </w:tcBorders>
          </w:tcPr>
          <w:p w14:paraId="65671867" w14:textId="26A4D1C8" w:rsidR="004462A0" w:rsidRPr="008912CF" w:rsidRDefault="00615769">
            <w:pPr>
              <w:rPr>
                <w:del w:id="6433" w:author="AbbVie2" w:date="2025-05-13T16:39:00Z"/>
                <w:szCs w:val="22"/>
              </w:rPr>
              <w:pPrChange w:id="6434" w:author="AbbVie2" w:date="2025-05-13T16:40:00Z">
                <w:pPr>
                  <w:pStyle w:val="EMEANormal"/>
                  <w:widowControl w:val="0"/>
                </w:pPr>
              </w:pPrChange>
            </w:pPr>
            <w:del w:id="6435" w:author="AbbVie2" w:date="2025-05-13T16:39:00Z">
              <w:r w:rsidRPr="008912CF">
                <w:rPr>
                  <w:szCs w:val="22"/>
                </w:rPr>
                <w:delText>Pouco frequentes</w:delText>
              </w:r>
            </w:del>
          </w:p>
        </w:tc>
        <w:tc>
          <w:tcPr>
            <w:tcW w:w="4346" w:type="dxa"/>
            <w:tcBorders>
              <w:top w:val="nil"/>
            </w:tcBorders>
          </w:tcPr>
          <w:p w14:paraId="3F201D95" w14:textId="3C95D7FB" w:rsidR="004462A0" w:rsidRPr="008912CF" w:rsidRDefault="00615769">
            <w:pPr>
              <w:rPr>
                <w:del w:id="6436" w:author="AbbVie2" w:date="2025-05-13T16:39:00Z"/>
                <w:szCs w:val="22"/>
              </w:rPr>
              <w:pPrChange w:id="6437" w:author="AbbVie2" w:date="2025-05-13T16:40:00Z">
                <w:pPr>
                  <w:pStyle w:val="EMEANormal"/>
                  <w:widowControl w:val="0"/>
                </w:pPr>
              </w:pPrChange>
            </w:pPr>
            <w:del w:id="6438" w:author="AbbVie2" w:date="2025-05-13T16:39:00Z">
              <w:r>
                <w:rPr>
                  <w:szCs w:val="22"/>
                </w:rPr>
                <w:delText>N</w:delText>
              </w:r>
              <w:r w:rsidRPr="008912CF">
                <w:rPr>
                  <w:szCs w:val="22"/>
                </w:rPr>
                <w:delText>octúria</w:delText>
              </w:r>
            </w:del>
          </w:p>
          <w:p w14:paraId="4E1BA1C3" w14:textId="5B8B7ACB" w:rsidR="004462A0" w:rsidRPr="008912CF" w:rsidRDefault="004462A0">
            <w:pPr>
              <w:rPr>
                <w:del w:id="6439" w:author="AbbVie2" w:date="2025-05-13T16:39:00Z"/>
                <w:szCs w:val="22"/>
              </w:rPr>
              <w:pPrChange w:id="6440" w:author="AbbVie2" w:date="2025-05-13T16:40:00Z">
                <w:pPr>
                  <w:pStyle w:val="EMEANormal"/>
                  <w:widowControl w:val="0"/>
                </w:pPr>
              </w:pPrChange>
            </w:pPr>
          </w:p>
        </w:tc>
      </w:tr>
      <w:tr w:rsidR="00A7162A" w14:paraId="52E68213" w14:textId="7490963A" w:rsidTr="00F675CF">
        <w:trPr>
          <w:del w:id="6441" w:author="AbbVie2" w:date="2025-05-13T16:39:00Z"/>
        </w:trPr>
        <w:tc>
          <w:tcPr>
            <w:tcW w:w="2514" w:type="dxa"/>
          </w:tcPr>
          <w:p w14:paraId="12DD3E8A" w14:textId="4E84A6DC" w:rsidR="004462A0" w:rsidRPr="008912CF" w:rsidRDefault="00615769">
            <w:pPr>
              <w:rPr>
                <w:del w:id="6442" w:author="AbbVie2" w:date="2025-05-13T16:39:00Z"/>
                <w:szCs w:val="22"/>
              </w:rPr>
              <w:pPrChange w:id="6443" w:author="AbbVie2" w:date="2025-05-13T16:40:00Z">
                <w:pPr>
                  <w:pStyle w:val="EMEANormal"/>
                  <w:widowControl w:val="0"/>
                </w:pPr>
              </w:pPrChange>
            </w:pPr>
            <w:del w:id="6444" w:author="AbbVie2" w:date="2025-05-13T16:39:00Z">
              <w:r w:rsidRPr="008912CF">
                <w:rPr>
                  <w:szCs w:val="22"/>
                </w:rPr>
                <w:delText>Doenças dos órgãos genitais e da mama</w:delText>
              </w:r>
            </w:del>
          </w:p>
        </w:tc>
        <w:tc>
          <w:tcPr>
            <w:tcW w:w="1996" w:type="dxa"/>
          </w:tcPr>
          <w:p w14:paraId="4CB4E50F" w14:textId="370D8790" w:rsidR="004462A0" w:rsidRPr="008912CF" w:rsidRDefault="00615769">
            <w:pPr>
              <w:rPr>
                <w:del w:id="6445" w:author="AbbVie2" w:date="2025-05-13T16:39:00Z"/>
                <w:szCs w:val="22"/>
              </w:rPr>
              <w:pPrChange w:id="6446" w:author="AbbVie2" w:date="2025-05-13T16:40:00Z">
                <w:pPr>
                  <w:pStyle w:val="EMEANormal"/>
                  <w:widowControl w:val="0"/>
                </w:pPr>
              </w:pPrChange>
            </w:pPr>
            <w:del w:id="6447" w:author="AbbVie2" w:date="2025-05-13T16:39:00Z">
              <w:r w:rsidRPr="008912CF">
                <w:rPr>
                  <w:szCs w:val="22"/>
                </w:rPr>
                <w:delText>Pouco frequentes</w:delText>
              </w:r>
            </w:del>
          </w:p>
        </w:tc>
        <w:tc>
          <w:tcPr>
            <w:tcW w:w="4346" w:type="dxa"/>
          </w:tcPr>
          <w:p w14:paraId="52C461BD" w14:textId="419E64DF" w:rsidR="004462A0" w:rsidRPr="008912CF" w:rsidRDefault="00615769">
            <w:pPr>
              <w:rPr>
                <w:del w:id="6448" w:author="AbbVie2" w:date="2025-05-13T16:39:00Z"/>
                <w:szCs w:val="22"/>
              </w:rPr>
              <w:pPrChange w:id="6449" w:author="AbbVie2" w:date="2025-05-13T16:40:00Z">
                <w:pPr>
                  <w:pStyle w:val="EMEANormal"/>
                  <w:widowControl w:val="0"/>
                </w:pPr>
              </w:pPrChange>
            </w:pPr>
            <w:del w:id="6450" w:author="AbbVie2" w:date="2025-05-13T16:39:00Z">
              <w:r>
                <w:rPr>
                  <w:szCs w:val="22"/>
                </w:rPr>
                <w:delText>D</w:delText>
              </w:r>
              <w:r w:rsidRPr="008912CF">
                <w:rPr>
                  <w:szCs w:val="22"/>
                </w:rPr>
                <w:delText>isfunção erétil</w:delText>
              </w:r>
            </w:del>
          </w:p>
        </w:tc>
      </w:tr>
      <w:tr w:rsidR="00A7162A" w14:paraId="3871C3B5" w14:textId="59C3C095" w:rsidTr="0004619E">
        <w:trPr>
          <w:del w:id="6451" w:author="AbbVie2" w:date="2025-05-13T16:39:00Z"/>
        </w:trPr>
        <w:tc>
          <w:tcPr>
            <w:tcW w:w="2514" w:type="dxa"/>
            <w:vMerge w:val="restart"/>
          </w:tcPr>
          <w:p w14:paraId="7018FAC0" w14:textId="58AD804F" w:rsidR="004462A0" w:rsidRPr="008912CF" w:rsidRDefault="00615769">
            <w:pPr>
              <w:rPr>
                <w:del w:id="6452" w:author="AbbVie2" w:date="2025-05-13T16:39:00Z"/>
                <w:szCs w:val="22"/>
              </w:rPr>
              <w:pPrChange w:id="6453" w:author="AbbVie2" w:date="2025-05-13T16:40:00Z">
                <w:pPr>
                  <w:pStyle w:val="EMEANormal"/>
                  <w:widowControl w:val="0"/>
                </w:pPr>
              </w:pPrChange>
            </w:pPr>
            <w:del w:id="6454" w:author="AbbVie2" w:date="2025-05-13T16:39:00Z">
              <w:r w:rsidRPr="008912CF">
                <w:rPr>
                  <w:szCs w:val="22"/>
                </w:rPr>
                <w:delText>Perturbações gerais e alterações no local de administração *</w:delText>
              </w:r>
            </w:del>
          </w:p>
        </w:tc>
        <w:tc>
          <w:tcPr>
            <w:tcW w:w="1996" w:type="dxa"/>
            <w:tcBorders>
              <w:bottom w:val="nil"/>
            </w:tcBorders>
          </w:tcPr>
          <w:p w14:paraId="09588E84" w14:textId="59345ECA" w:rsidR="004462A0" w:rsidRPr="008912CF" w:rsidRDefault="00615769">
            <w:pPr>
              <w:rPr>
                <w:del w:id="6455" w:author="AbbVie2" w:date="2025-05-13T16:39:00Z"/>
                <w:szCs w:val="22"/>
              </w:rPr>
              <w:pPrChange w:id="6456" w:author="AbbVie2" w:date="2025-05-13T16:40:00Z">
                <w:pPr>
                  <w:pStyle w:val="EMEANormal"/>
                  <w:widowControl w:val="0"/>
                </w:pPr>
              </w:pPrChange>
            </w:pPr>
            <w:del w:id="6457" w:author="AbbVie2" w:date="2025-05-13T16:39:00Z">
              <w:r w:rsidRPr="008912CF">
                <w:rPr>
                  <w:szCs w:val="22"/>
                </w:rPr>
                <w:delText xml:space="preserve">Muito frequentes </w:delText>
              </w:r>
            </w:del>
          </w:p>
        </w:tc>
        <w:tc>
          <w:tcPr>
            <w:tcW w:w="4346" w:type="dxa"/>
            <w:tcBorders>
              <w:bottom w:val="nil"/>
            </w:tcBorders>
          </w:tcPr>
          <w:p w14:paraId="25600DAF" w14:textId="6CFF4A4D" w:rsidR="004462A0" w:rsidRPr="008912CF" w:rsidRDefault="00615769">
            <w:pPr>
              <w:rPr>
                <w:del w:id="6458" w:author="AbbVie2" w:date="2025-05-13T16:39:00Z"/>
                <w:szCs w:val="22"/>
              </w:rPr>
              <w:pPrChange w:id="6459" w:author="AbbVie2" w:date="2025-05-13T16:40:00Z">
                <w:pPr>
                  <w:pStyle w:val="EMEANormal"/>
                  <w:widowControl w:val="0"/>
                </w:pPr>
              </w:pPrChange>
            </w:pPr>
            <w:del w:id="6460" w:author="AbbVie2" w:date="2025-05-13T16:39:00Z">
              <w:r>
                <w:rPr>
                  <w:szCs w:val="22"/>
                </w:rPr>
                <w:delText>R</w:delText>
              </w:r>
              <w:r w:rsidRPr="008912CF">
                <w:rPr>
                  <w:szCs w:val="22"/>
                </w:rPr>
                <w:delText>eação no local da injeção (incluindo eritema no local de injeção)</w:delText>
              </w:r>
            </w:del>
          </w:p>
          <w:p w14:paraId="70F9C119" w14:textId="18D26044" w:rsidR="004462A0" w:rsidRPr="008912CF" w:rsidRDefault="004462A0">
            <w:pPr>
              <w:rPr>
                <w:del w:id="6461" w:author="AbbVie2" w:date="2025-05-13T16:39:00Z"/>
                <w:szCs w:val="22"/>
              </w:rPr>
              <w:pPrChange w:id="6462" w:author="AbbVie2" w:date="2025-05-13T16:40:00Z">
                <w:pPr>
                  <w:pStyle w:val="EMEANormal"/>
                  <w:widowControl w:val="0"/>
                </w:pPr>
              </w:pPrChange>
            </w:pPr>
          </w:p>
        </w:tc>
      </w:tr>
      <w:tr w:rsidR="00A7162A" w14:paraId="10BAAB76" w14:textId="4BA2E9C1" w:rsidTr="0004619E">
        <w:trPr>
          <w:del w:id="6463" w:author="AbbVie2" w:date="2025-05-13T16:39:00Z"/>
        </w:trPr>
        <w:tc>
          <w:tcPr>
            <w:tcW w:w="2514" w:type="dxa"/>
            <w:vMerge/>
          </w:tcPr>
          <w:p w14:paraId="7F6DD8AE" w14:textId="45BFF097" w:rsidR="004462A0" w:rsidRPr="008912CF" w:rsidRDefault="004462A0">
            <w:pPr>
              <w:rPr>
                <w:del w:id="6464" w:author="AbbVie2" w:date="2025-05-13T16:39:00Z"/>
                <w:b/>
              </w:rPr>
              <w:pPrChange w:id="6465" w:author="AbbVie2" w:date="2025-05-13T16:40:00Z">
                <w:pPr>
                  <w:widowControl w:val="0"/>
                  <w:jc w:val="center"/>
                </w:pPr>
              </w:pPrChange>
            </w:pPr>
          </w:p>
        </w:tc>
        <w:tc>
          <w:tcPr>
            <w:tcW w:w="1996" w:type="dxa"/>
            <w:tcBorders>
              <w:top w:val="nil"/>
              <w:bottom w:val="single" w:sz="4" w:space="0" w:color="auto"/>
            </w:tcBorders>
          </w:tcPr>
          <w:p w14:paraId="341E9AED" w14:textId="43DEF6C4" w:rsidR="004462A0" w:rsidRPr="008912CF" w:rsidRDefault="00615769">
            <w:pPr>
              <w:rPr>
                <w:del w:id="6466" w:author="AbbVie2" w:date="2025-05-13T16:39:00Z"/>
                <w:szCs w:val="22"/>
              </w:rPr>
              <w:pPrChange w:id="6467" w:author="AbbVie2" w:date="2025-05-13T16:40:00Z">
                <w:pPr>
                  <w:pStyle w:val="EMEANormal"/>
                  <w:widowControl w:val="0"/>
                </w:pPr>
              </w:pPrChange>
            </w:pPr>
            <w:del w:id="6468" w:author="AbbVie2" w:date="2025-05-13T16:39:00Z">
              <w:r w:rsidRPr="008912CF">
                <w:rPr>
                  <w:szCs w:val="22"/>
                </w:rPr>
                <w:delText>Frequentes</w:delText>
              </w:r>
            </w:del>
          </w:p>
          <w:p w14:paraId="152A3890" w14:textId="5BAD988A" w:rsidR="004462A0" w:rsidRPr="008912CF" w:rsidRDefault="004462A0">
            <w:pPr>
              <w:rPr>
                <w:del w:id="6469" w:author="AbbVie2" w:date="2025-05-13T16:39:00Z"/>
                <w:szCs w:val="22"/>
              </w:rPr>
              <w:pPrChange w:id="6470" w:author="AbbVie2" w:date="2025-05-13T16:40:00Z">
                <w:pPr>
                  <w:pStyle w:val="EMEANormal"/>
                  <w:widowControl w:val="0"/>
                </w:pPr>
              </w:pPrChange>
            </w:pPr>
          </w:p>
        </w:tc>
        <w:tc>
          <w:tcPr>
            <w:tcW w:w="4346" w:type="dxa"/>
            <w:tcBorders>
              <w:top w:val="nil"/>
              <w:bottom w:val="single" w:sz="4" w:space="0" w:color="auto"/>
            </w:tcBorders>
          </w:tcPr>
          <w:p w14:paraId="0FC8A436" w14:textId="02990AE0" w:rsidR="004462A0" w:rsidRPr="008912CF" w:rsidRDefault="00615769">
            <w:pPr>
              <w:rPr>
                <w:del w:id="6471" w:author="AbbVie2" w:date="2025-05-13T16:39:00Z"/>
                <w:szCs w:val="22"/>
              </w:rPr>
              <w:pPrChange w:id="6472" w:author="AbbVie2" w:date="2025-05-13T16:40:00Z">
                <w:pPr>
                  <w:pStyle w:val="EMEANormal"/>
                  <w:widowControl w:val="0"/>
                </w:pPr>
              </w:pPrChange>
            </w:pPr>
            <w:del w:id="6473" w:author="AbbVie2" w:date="2025-05-13T16:39:00Z">
              <w:r>
                <w:rPr>
                  <w:szCs w:val="22"/>
                </w:rPr>
                <w:delText>D</w:delText>
              </w:r>
              <w:r w:rsidRPr="008912CF">
                <w:rPr>
                  <w:szCs w:val="22"/>
                </w:rPr>
                <w:delText>or torácica,</w:delText>
              </w:r>
            </w:del>
          </w:p>
          <w:p w14:paraId="1F50726D" w14:textId="54741852" w:rsidR="004462A0" w:rsidRPr="008912CF" w:rsidRDefault="00615769">
            <w:pPr>
              <w:rPr>
                <w:del w:id="6474" w:author="AbbVie2" w:date="2025-05-13T16:39:00Z"/>
                <w:szCs w:val="22"/>
              </w:rPr>
              <w:pPrChange w:id="6475" w:author="AbbVie2" w:date="2025-05-13T16:40:00Z">
                <w:pPr>
                  <w:pStyle w:val="EMEANormal"/>
                  <w:widowControl w:val="0"/>
                </w:pPr>
              </w:pPrChange>
            </w:pPr>
            <w:del w:id="6476" w:author="AbbVie2" w:date="2025-05-13T16:39:00Z">
              <w:r w:rsidRPr="008912CF">
                <w:rPr>
                  <w:szCs w:val="22"/>
                </w:rPr>
                <w:delText>edema,</w:delText>
              </w:r>
            </w:del>
          </w:p>
          <w:p w14:paraId="6C428C06" w14:textId="0B2DFABC" w:rsidR="004462A0" w:rsidRPr="008912CF" w:rsidRDefault="00615769">
            <w:pPr>
              <w:rPr>
                <w:del w:id="6477" w:author="AbbVie2" w:date="2025-05-13T16:39:00Z"/>
                <w:szCs w:val="22"/>
              </w:rPr>
              <w:pPrChange w:id="6478" w:author="AbbVie2" w:date="2025-05-13T16:40:00Z">
                <w:pPr>
                  <w:pStyle w:val="EMEANormal"/>
                  <w:widowControl w:val="0"/>
                </w:pPr>
              </w:pPrChange>
            </w:pPr>
            <w:del w:id="6479" w:author="AbbVie2" w:date="2025-05-13T16:39:00Z">
              <w:r w:rsidRPr="008912CF">
                <w:rPr>
                  <w:szCs w:val="22"/>
                </w:rPr>
                <w:delText>febre</w:delText>
              </w:r>
              <w:r w:rsidRPr="008912CF">
                <w:rPr>
                  <w:szCs w:val="22"/>
                  <w:vertAlign w:val="superscript"/>
                </w:rPr>
                <w:delText>1)</w:delText>
              </w:r>
            </w:del>
          </w:p>
          <w:p w14:paraId="5002A682" w14:textId="7DF8C4CD" w:rsidR="004462A0" w:rsidRPr="008912CF" w:rsidRDefault="004462A0">
            <w:pPr>
              <w:rPr>
                <w:del w:id="6480" w:author="AbbVie2" w:date="2025-05-13T16:39:00Z"/>
                <w:szCs w:val="22"/>
              </w:rPr>
              <w:pPrChange w:id="6481" w:author="AbbVie2" w:date="2025-05-13T16:40:00Z">
                <w:pPr>
                  <w:pStyle w:val="EMEANormal"/>
                  <w:widowControl w:val="0"/>
                </w:pPr>
              </w:pPrChange>
            </w:pPr>
          </w:p>
        </w:tc>
      </w:tr>
      <w:tr w:rsidR="00A7162A" w14:paraId="3D30BBA7" w14:textId="7C31931C" w:rsidTr="0004619E">
        <w:trPr>
          <w:del w:id="6482" w:author="AbbVie2" w:date="2025-05-13T16:39:00Z"/>
        </w:trPr>
        <w:tc>
          <w:tcPr>
            <w:tcW w:w="2514" w:type="dxa"/>
            <w:vMerge/>
          </w:tcPr>
          <w:p w14:paraId="6450865C" w14:textId="43EE5F90" w:rsidR="004462A0" w:rsidRPr="008912CF" w:rsidRDefault="004462A0">
            <w:pPr>
              <w:rPr>
                <w:del w:id="6483" w:author="AbbVie2" w:date="2025-05-13T16:39:00Z"/>
                <w:b/>
              </w:rPr>
              <w:pPrChange w:id="6484" w:author="AbbVie2" w:date="2025-05-13T16:40:00Z">
                <w:pPr>
                  <w:widowControl w:val="0"/>
                  <w:jc w:val="center"/>
                </w:pPr>
              </w:pPrChange>
            </w:pPr>
          </w:p>
        </w:tc>
        <w:tc>
          <w:tcPr>
            <w:tcW w:w="1996" w:type="dxa"/>
            <w:tcBorders>
              <w:top w:val="single" w:sz="4" w:space="0" w:color="auto"/>
            </w:tcBorders>
          </w:tcPr>
          <w:p w14:paraId="003F75FB" w14:textId="4739CB12" w:rsidR="004462A0" w:rsidRPr="008912CF" w:rsidRDefault="00615769">
            <w:pPr>
              <w:rPr>
                <w:del w:id="6485" w:author="AbbVie2" w:date="2025-05-13T16:39:00Z"/>
                <w:szCs w:val="22"/>
              </w:rPr>
              <w:pPrChange w:id="6486" w:author="AbbVie2" w:date="2025-05-13T16:40:00Z">
                <w:pPr>
                  <w:pStyle w:val="EMEANormal"/>
                  <w:widowControl w:val="0"/>
                </w:pPr>
              </w:pPrChange>
            </w:pPr>
            <w:del w:id="6487" w:author="AbbVie2" w:date="2025-05-13T16:39:00Z">
              <w:r w:rsidRPr="008912CF">
                <w:rPr>
                  <w:szCs w:val="22"/>
                </w:rPr>
                <w:delText>Pouco frequentes</w:delText>
              </w:r>
            </w:del>
          </w:p>
        </w:tc>
        <w:tc>
          <w:tcPr>
            <w:tcW w:w="4346" w:type="dxa"/>
            <w:tcBorders>
              <w:top w:val="single" w:sz="4" w:space="0" w:color="auto"/>
            </w:tcBorders>
          </w:tcPr>
          <w:p w14:paraId="1D9DC9A5" w14:textId="00C06F1F" w:rsidR="004462A0" w:rsidRPr="008912CF" w:rsidRDefault="00615769">
            <w:pPr>
              <w:rPr>
                <w:del w:id="6488" w:author="AbbVie2" w:date="2025-05-13T16:39:00Z"/>
                <w:szCs w:val="22"/>
              </w:rPr>
              <w:pPrChange w:id="6489" w:author="AbbVie2" w:date="2025-05-13T16:40:00Z">
                <w:pPr>
                  <w:pStyle w:val="EMEANormal"/>
                  <w:widowControl w:val="0"/>
                </w:pPr>
              </w:pPrChange>
            </w:pPr>
            <w:del w:id="6490" w:author="AbbVie2" w:date="2025-05-13T16:39:00Z">
              <w:r>
                <w:rPr>
                  <w:szCs w:val="22"/>
                </w:rPr>
                <w:delText>I</w:delText>
              </w:r>
              <w:r w:rsidRPr="008912CF">
                <w:rPr>
                  <w:szCs w:val="22"/>
                </w:rPr>
                <w:delText>nflamação</w:delText>
              </w:r>
            </w:del>
          </w:p>
          <w:p w14:paraId="494D7FE8" w14:textId="7173A298" w:rsidR="004462A0" w:rsidRPr="008912CF" w:rsidRDefault="004462A0">
            <w:pPr>
              <w:rPr>
                <w:del w:id="6491" w:author="AbbVie2" w:date="2025-05-13T16:39:00Z"/>
                <w:szCs w:val="22"/>
              </w:rPr>
              <w:pPrChange w:id="6492" w:author="AbbVie2" w:date="2025-05-13T16:40:00Z">
                <w:pPr>
                  <w:pStyle w:val="EMEANormal"/>
                  <w:widowControl w:val="0"/>
                </w:pPr>
              </w:pPrChange>
            </w:pPr>
          </w:p>
        </w:tc>
      </w:tr>
      <w:tr w:rsidR="00A7162A" w14:paraId="09904691" w14:textId="56B5D7DF" w:rsidTr="000036F0">
        <w:trPr>
          <w:trHeight w:val="1875"/>
          <w:del w:id="6493" w:author="AbbVie2" w:date="2025-05-13T16:39:00Z"/>
        </w:trPr>
        <w:tc>
          <w:tcPr>
            <w:tcW w:w="2514" w:type="dxa"/>
            <w:vMerge w:val="restart"/>
          </w:tcPr>
          <w:p w14:paraId="119BBD61" w14:textId="43BEB1B6" w:rsidR="000036F0" w:rsidRPr="008912CF" w:rsidRDefault="00615769">
            <w:pPr>
              <w:rPr>
                <w:del w:id="6494" w:author="AbbVie2" w:date="2025-05-13T16:39:00Z"/>
                <w:szCs w:val="22"/>
              </w:rPr>
              <w:pPrChange w:id="6495" w:author="AbbVie2" w:date="2025-05-13T16:40:00Z">
                <w:pPr>
                  <w:pStyle w:val="EMEANormal"/>
                  <w:widowControl w:val="0"/>
                </w:pPr>
              </w:pPrChange>
            </w:pPr>
            <w:del w:id="6496" w:author="AbbVie2" w:date="2025-05-13T16:39:00Z">
              <w:r w:rsidRPr="008912CF">
                <w:rPr>
                  <w:szCs w:val="22"/>
                </w:rPr>
                <w:delText>Exames complementares de diagnóstico*</w:delText>
              </w:r>
            </w:del>
          </w:p>
        </w:tc>
        <w:tc>
          <w:tcPr>
            <w:tcW w:w="1996" w:type="dxa"/>
            <w:tcBorders>
              <w:bottom w:val="nil"/>
            </w:tcBorders>
          </w:tcPr>
          <w:p w14:paraId="1EBCDF33" w14:textId="78798581" w:rsidR="000036F0" w:rsidRPr="008912CF" w:rsidRDefault="00615769">
            <w:pPr>
              <w:rPr>
                <w:del w:id="6497" w:author="AbbVie2" w:date="2025-05-13T16:39:00Z"/>
                <w:szCs w:val="22"/>
              </w:rPr>
              <w:pPrChange w:id="6498" w:author="AbbVie2" w:date="2025-05-13T16:40:00Z">
                <w:pPr>
                  <w:pStyle w:val="EMEANormal"/>
                  <w:widowControl w:val="0"/>
                </w:pPr>
              </w:pPrChange>
            </w:pPr>
            <w:del w:id="6499" w:author="AbbVie2" w:date="2025-05-13T16:39:00Z">
              <w:r w:rsidRPr="008912CF">
                <w:rPr>
                  <w:szCs w:val="22"/>
                </w:rPr>
                <w:delText>Frequentes</w:delText>
              </w:r>
            </w:del>
          </w:p>
        </w:tc>
        <w:tc>
          <w:tcPr>
            <w:tcW w:w="4346" w:type="dxa"/>
            <w:tcBorders>
              <w:bottom w:val="nil"/>
            </w:tcBorders>
          </w:tcPr>
          <w:p w14:paraId="4ECB5A67" w14:textId="0F6341CE" w:rsidR="000036F0" w:rsidRPr="008912CF" w:rsidRDefault="00615769">
            <w:pPr>
              <w:rPr>
                <w:del w:id="6500" w:author="AbbVie2" w:date="2025-05-13T16:39:00Z"/>
                <w:szCs w:val="22"/>
              </w:rPr>
              <w:pPrChange w:id="6501" w:author="AbbVie2" w:date="2025-05-13T16:40:00Z">
                <w:pPr>
                  <w:pStyle w:val="EMEANormal"/>
                  <w:widowControl w:val="0"/>
                </w:pPr>
              </w:pPrChange>
            </w:pPr>
            <w:del w:id="6502" w:author="AbbVie2" w:date="2025-05-13T16:39:00Z">
              <w:r>
                <w:rPr>
                  <w:szCs w:val="22"/>
                </w:rPr>
                <w:delText>A</w:delText>
              </w:r>
              <w:r w:rsidRPr="008912CF">
                <w:rPr>
                  <w:szCs w:val="22"/>
                </w:rPr>
                <w:delText xml:space="preserve">lterações da coagulação e hemorragia (incluindo </w:delText>
              </w:r>
              <w:r>
                <w:rPr>
                  <w:szCs w:val="22"/>
                </w:rPr>
                <w:delText xml:space="preserve">prolongamento do </w:delText>
              </w:r>
              <w:r w:rsidRPr="008912CF">
                <w:rPr>
                  <w:szCs w:val="22"/>
                </w:rPr>
                <w:delText>tempo de tromboplastina parcial ativada),</w:delText>
              </w:r>
            </w:del>
          </w:p>
          <w:p w14:paraId="6A580811" w14:textId="4CDFDD98" w:rsidR="000036F0" w:rsidRPr="008912CF" w:rsidRDefault="00615769">
            <w:pPr>
              <w:rPr>
                <w:del w:id="6503" w:author="AbbVie2" w:date="2025-05-13T16:39:00Z"/>
                <w:szCs w:val="22"/>
              </w:rPr>
              <w:pPrChange w:id="6504" w:author="AbbVie2" w:date="2025-05-13T16:40:00Z">
                <w:pPr>
                  <w:pStyle w:val="EMEANormal"/>
                  <w:widowControl w:val="0"/>
                </w:pPr>
              </w:pPrChange>
            </w:pPr>
            <w:del w:id="6505" w:author="AbbVie2" w:date="2025-05-13T16:39:00Z">
              <w:r w:rsidRPr="008912CF">
                <w:rPr>
                  <w:szCs w:val="22"/>
                </w:rPr>
                <w:delText xml:space="preserve">teste positivo de autoanticorpos (incluindo anticorpos contra a dupla cadeia de DNA), </w:delText>
              </w:r>
            </w:del>
          </w:p>
          <w:p w14:paraId="4E3A6E88" w14:textId="76AFE251" w:rsidR="000036F0" w:rsidRPr="008912CF" w:rsidRDefault="00615769">
            <w:pPr>
              <w:rPr>
                <w:del w:id="6506" w:author="AbbVie2" w:date="2025-05-13T16:39:00Z"/>
                <w:szCs w:val="22"/>
              </w:rPr>
              <w:pPrChange w:id="6507" w:author="AbbVie2" w:date="2025-05-13T16:40:00Z">
                <w:pPr>
                  <w:pStyle w:val="EMEANormal"/>
                  <w:widowControl w:val="0"/>
                </w:pPr>
              </w:pPrChange>
            </w:pPr>
            <w:del w:id="6508" w:author="AbbVie2" w:date="2025-05-13T16:39:00Z">
              <w:r w:rsidRPr="008912CF">
                <w:rPr>
                  <w:szCs w:val="22"/>
                </w:rPr>
                <w:delText xml:space="preserve">nível </w:delText>
              </w:r>
              <w:r>
                <w:rPr>
                  <w:szCs w:val="22"/>
                </w:rPr>
                <w:delText xml:space="preserve">sérico </w:delText>
              </w:r>
              <w:r w:rsidRPr="008912CF">
                <w:rPr>
                  <w:szCs w:val="22"/>
                </w:rPr>
                <w:delText>de de</w:delText>
              </w:r>
              <w:r>
                <w:rPr>
                  <w:szCs w:val="22"/>
                </w:rPr>
                <w:delText>s</w:delText>
              </w:r>
              <w:r w:rsidRPr="008912CF">
                <w:rPr>
                  <w:szCs w:val="22"/>
                </w:rPr>
                <w:delText>idrogenase láctica aumentado</w:delText>
              </w:r>
            </w:del>
          </w:p>
          <w:p w14:paraId="32AF4900" w14:textId="548A3F93" w:rsidR="000036F0" w:rsidRPr="008912CF" w:rsidRDefault="000036F0">
            <w:pPr>
              <w:rPr>
                <w:del w:id="6509" w:author="AbbVie2" w:date="2025-05-13T16:39:00Z"/>
                <w:szCs w:val="22"/>
              </w:rPr>
              <w:pPrChange w:id="6510" w:author="AbbVie2" w:date="2025-05-13T16:40:00Z">
                <w:pPr>
                  <w:pStyle w:val="EMEANormal"/>
                  <w:widowControl w:val="0"/>
                </w:pPr>
              </w:pPrChange>
            </w:pPr>
          </w:p>
        </w:tc>
      </w:tr>
      <w:tr w:rsidR="00A7162A" w14:paraId="17A56241" w14:textId="7E90AE72" w:rsidTr="000036F0">
        <w:trPr>
          <w:trHeight w:val="150"/>
          <w:del w:id="6511" w:author="AbbVie2" w:date="2025-05-13T16:39:00Z"/>
        </w:trPr>
        <w:tc>
          <w:tcPr>
            <w:tcW w:w="2514" w:type="dxa"/>
            <w:vMerge/>
          </w:tcPr>
          <w:p w14:paraId="7EEFD9AD" w14:textId="19276E51" w:rsidR="00790398" w:rsidRPr="008912CF" w:rsidRDefault="00790398">
            <w:pPr>
              <w:rPr>
                <w:del w:id="6512" w:author="AbbVie2" w:date="2025-05-13T16:39:00Z"/>
                <w:szCs w:val="22"/>
              </w:rPr>
              <w:pPrChange w:id="6513" w:author="AbbVie2" w:date="2025-05-13T16:40:00Z">
                <w:pPr>
                  <w:pStyle w:val="EMEANormal"/>
                  <w:widowControl w:val="0"/>
                </w:pPr>
              </w:pPrChange>
            </w:pPr>
          </w:p>
        </w:tc>
        <w:tc>
          <w:tcPr>
            <w:tcW w:w="1996" w:type="dxa"/>
            <w:tcBorders>
              <w:top w:val="nil"/>
            </w:tcBorders>
          </w:tcPr>
          <w:p w14:paraId="527EBA1B" w14:textId="103E95F0" w:rsidR="00790398" w:rsidRPr="008912CF" w:rsidRDefault="00615769">
            <w:pPr>
              <w:rPr>
                <w:del w:id="6514" w:author="AbbVie2" w:date="2025-05-13T16:39:00Z"/>
                <w:szCs w:val="22"/>
              </w:rPr>
              <w:pPrChange w:id="6515" w:author="AbbVie2" w:date="2025-05-13T16:40:00Z">
                <w:pPr>
                  <w:pStyle w:val="EMEANormal"/>
                  <w:widowControl w:val="0"/>
                </w:pPr>
              </w:pPrChange>
            </w:pPr>
            <w:del w:id="6516" w:author="AbbVie2" w:date="2025-05-13T16:39:00Z">
              <w:r>
                <w:rPr>
                  <w:szCs w:val="22"/>
                </w:rPr>
                <w:delText>Desconhecido</w:delText>
              </w:r>
            </w:del>
          </w:p>
        </w:tc>
        <w:tc>
          <w:tcPr>
            <w:tcW w:w="4346" w:type="dxa"/>
            <w:tcBorders>
              <w:top w:val="nil"/>
            </w:tcBorders>
          </w:tcPr>
          <w:p w14:paraId="62B68C2D" w14:textId="26783AC5" w:rsidR="00790398" w:rsidRDefault="00615769">
            <w:pPr>
              <w:rPr>
                <w:del w:id="6517" w:author="AbbVie2" w:date="2025-05-13T16:39:00Z"/>
                <w:szCs w:val="22"/>
                <w:vertAlign w:val="superscript"/>
              </w:rPr>
              <w:pPrChange w:id="6518" w:author="AbbVie2" w:date="2025-05-13T16:40:00Z">
                <w:pPr>
                  <w:pStyle w:val="EMEANormal"/>
                  <w:widowControl w:val="0"/>
                </w:pPr>
              </w:pPrChange>
            </w:pPr>
            <w:del w:id="6519" w:author="AbbVie2" w:date="2025-05-13T16:39:00Z">
              <w:r>
                <w:rPr>
                  <w:szCs w:val="22"/>
                </w:rPr>
                <w:delText>Aumento de peso</w:delText>
              </w:r>
              <w:r w:rsidRPr="000036F0">
                <w:rPr>
                  <w:szCs w:val="22"/>
                  <w:vertAlign w:val="superscript"/>
                </w:rPr>
                <w:delText>2)</w:delText>
              </w:r>
            </w:del>
          </w:p>
          <w:p w14:paraId="102C898B" w14:textId="6D736258" w:rsidR="00790398" w:rsidRDefault="00790398">
            <w:pPr>
              <w:rPr>
                <w:del w:id="6520" w:author="AbbVie2" w:date="2025-05-13T16:39:00Z"/>
                <w:szCs w:val="22"/>
              </w:rPr>
              <w:pPrChange w:id="6521" w:author="AbbVie2" w:date="2025-05-13T16:40:00Z">
                <w:pPr>
                  <w:pStyle w:val="EMEANormal"/>
                  <w:widowControl w:val="0"/>
                </w:pPr>
              </w:pPrChange>
            </w:pPr>
          </w:p>
        </w:tc>
      </w:tr>
      <w:tr w:rsidR="00A7162A" w14:paraId="3E4F41C7" w14:textId="5EDB55FA" w:rsidTr="00F675CF">
        <w:trPr>
          <w:del w:id="6522" w:author="AbbVie2" w:date="2025-05-13T16:39:00Z"/>
        </w:trPr>
        <w:tc>
          <w:tcPr>
            <w:tcW w:w="2514" w:type="dxa"/>
          </w:tcPr>
          <w:p w14:paraId="3EB71967" w14:textId="6BD799D2" w:rsidR="00790398" w:rsidRPr="008912CF" w:rsidRDefault="00615769">
            <w:pPr>
              <w:rPr>
                <w:del w:id="6523" w:author="AbbVie2" w:date="2025-05-13T16:39:00Z"/>
                <w:szCs w:val="22"/>
              </w:rPr>
              <w:pPrChange w:id="6524" w:author="AbbVie2" w:date="2025-05-13T16:40:00Z">
                <w:pPr>
                  <w:pStyle w:val="EMEANormal"/>
                  <w:widowControl w:val="0"/>
                </w:pPr>
              </w:pPrChange>
            </w:pPr>
            <w:del w:id="6525" w:author="AbbVie2" w:date="2025-05-13T16:39:00Z">
              <w:r w:rsidRPr="008912CF">
                <w:rPr>
                  <w:szCs w:val="22"/>
                </w:rPr>
                <w:delText xml:space="preserve">Complicações de intervenções relacionadas com lesões e intoxicações </w:delText>
              </w:r>
            </w:del>
          </w:p>
        </w:tc>
        <w:tc>
          <w:tcPr>
            <w:tcW w:w="1996" w:type="dxa"/>
          </w:tcPr>
          <w:p w14:paraId="11564A54" w14:textId="0E7C8430" w:rsidR="00790398" w:rsidRPr="008912CF" w:rsidRDefault="00615769">
            <w:pPr>
              <w:rPr>
                <w:del w:id="6526" w:author="AbbVie2" w:date="2025-05-13T16:39:00Z"/>
                <w:szCs w:val="22"/>
              </w:rPr>
              <w:pPrChange w:id="6527" w:author="AbbVie2" w:date="2025-05-13T16:40:00Z">
                <w:pPr>
                  <w:pStyle w:val="EMEANormal"/>
                  <w:widowControl w:val="0"/>
                </w:pPr>
              </w:pPrChange>
            </w:pPr>
            <w:del w:id="6528" w:author="AbbVie2" w:date="2025-05-13T16:39:00Z">
              <w:r w:rsidRPr="008912CF">
                <w:rPr>
                  <w:szCs w:val="22"/>
                </w:rPr>
                <w:delText>Frequentes</w:delText>
              </w:r>
            </w:del>
          </w:p>
        </w:tc>
        <w:tc>
          <w:tcPr>
            <w:tcW w:w="4346" w:type="dxa"/>
          </w:tcPr>
          <w:p w14:paraId="366E3E0D" w14:textId="53076C87" w:rsidR="00790398" w:rsidRPr="008912CF" w:rsidRDefault="00615769">
            <w:pPr>
              <w:rPr>
                <w:del w:id="6529" w:author="AbbVie2" w:date="2025-05-13T16:39:00Z"/>
                <w:szCs w:val="22"/>
              </w:rPr>
              <w:pPrChange w:id="6530" w:author="AbbVie2" w:date="2025-05-13T16:40:00Z">
                <w:pPr>
                  <w:pStyle w:val="EMEANormal"/>
                  <w:widowControl w:val="0"/>
                </w:pPr>
              </w:pPrChange>
            </w:pPr>
            <w:del w:id="6531" w:author="AbbVie2" w:date="2025-05-13T16:39:00Z">
              <w:r>
                <w:rPr>
                  <w:szCs w:val="22"/>
                </w:rPr>
                <w:delText>A</w:delText>
              </w:r>
              <w:r w:rsidRPr="008912CF">
                <w:rPr>
                  <w:szCs w:val="22"/>
                </w:rPr>
                <w:delText xml:space="preserve">lteração de cicatrização </w:delText>
              </w:r>
            </w:del>
          </w:p>
        </w:tc>
      </w:tr>
    </w:tbl>
    <w:p w14:paraId="019B4CF5" w14:textId="1F7E36FB" w:rsidR="004462A0" w:rsidRPr="008912CF" w:rsidRDefault="004462A0" w:rsidP="00412FC8">
      <w:pPr>
        <w:rPr>
          <w:del w:id="6532" w:author="AbbVie2" w:date="2025-05-13T16:39:00Z"/>
          <w:sz w:val="22"/>
          <w:szCs w:val="22"/>
        </w:rPr>
      </w:pPr>
    </w:p>
    <w:p w14:paraId="3DE4086E" w14:textId="2A31ADCE" w:rsidR="004462A0" w:rsidRPr="008912CF" w:rsidRDefault="00615769" w:rsidP="00412FC8">
      <w:pPr>
        <w:rPr>
          <w:del w:id="6533" w:author="AbbVie2" w:date="2025-05-13T16:39:00Z"/>
          <w:sz w:val="22"/>
          <w:szCs w:val="22"/>
        </w:rPr>
      </w:pPr>
      <w:del w:id="6534" w:author="AbbVie2" w:date="2025-05-13T16:39:00Z">
        <w:r w:rsidRPr="008912CF">
          <w:rPr>
            <w:sz w:val="22"/>
            <w:szCs w:val="22"/>
          </w:rPr>
          <w:delText>* está disponível informação adicional nas secções 4.3, 4.4 e 4.8</w:delText>
        </w:r>
      </w:del>
    </w:p>
    <w:p w14:paraId="70242AFE" w14:textId="549193DE" w:rsidR="004462A0" w:rsidRPr="008912CF" w:rsidRDefault="00615769">
      <w:pPr>
        <w:rPr>
          <w:del w:id="6535" w:author="AbbVie2" w:date="2025-05-13T16:39:00Z"/>
          <w:szCs w:val="22"/>
        </w:rPr>
        <w:pPrChange w:id="6536" w:author="AbbVie2" w:date="2025-05-13T16:40:00Z">
          <w:pPr>
            <w:pStyle w:val="EMEAHeadingUnderline"/>
            <w:spacing w:before="0" w:after="0"/>
          </w:pPr>
        </w:pPrChange>
      </w:pPr>
      <w:del w:id="6537" w:author="AbbVie2" w:date="2025-05-13T16:39:00Z">
        <w:r w:rsidRPr="008912CF">
          <w:rPr>
            <w:szCs w:val="22"/>
          </w:rPr>
          <w:delText xml:space="preserve">** incluindo estudos de extensão de fase aberta </w:delText>
        </w:r>
      </w:del>
    </w:p>
    <w:p w14:paraId="36923F12" w14:textId="17765CD0" w:rsidR="004462A0" w:rsidRPr="008912CF" w:rsidRDefault="00615769" w:rsidP="00412FC8">
      <w:pPr>
        <w:rPr>
          <w:del w:id="6538" w:author="AbbVie2" w:date="2025-05-13T16:39:00Z"/>
          <w:sz w:val="22"/>
          <w:szCs w:val="22"/>
        </w:rPr>
      </w:pPr>
      <w:del w:id="6539" w:author="AbbVie2" w:date="2025-05-13T16:39:00Z">
        <w:r w:rsidRPr="008912CF">
          <w:rPr>
            <w:sz w:val="22"/>
            <w:szCs w:val="22"/>
            <w:vertAlign w:val="superscript"/>
          </w:rPr>
          <w:delText>1)</w:delText>
        </w:r>
        <w:r w:rsidRPr="008912CF">
          <w:rPr>
            <w:sz w:val="22"/>
            <w:szCs w:val="22"/>
          </w:rPr>
          <w:delText xml:space="preserve"> incluindo dados de notificações espontâneas</w:delText>
        </w:r>
      </w:del>
    </w:p>
    <w:p w14:paraId="238A657D" w14:textId="78BB279E" w:rsidR="004462A0" w:rsidRPr="00FB75CB" w:rsidRDefault="00615769" w:rsidP="00412FC8">
      <w:pPr>
        <w:rPr>
          <w:del w:id="6540" w:author="AbbVie2" w:date="2025-05-13T16:39:00Z"/>
          <w:sz w:val="22"/>
          <w:szCs w:val="22"/>
          <w:lang w:val="x-none"/>
        </w:rPr>
      </w:pPr>
      <w:del w:id="6541" w:author="AbbVie2" w:date="2025-05-13T16:39:00Z">
        <w:r w:rsidRPr="000036F0">
          <w:rPr>
            <w:sz w:val="22"/>
            <w:szCs w:val="22"/>
            <w:vertAlign w:val="superscript"/>
          </w:rPr>
          <w:delText xml:space="preserve">2) </w:delText>
        </w:r>
        <w:r w:rsidRPr="000036F0">
          <w:rPr>
            <w:sz w:val="22"/>
            <w:szCs w:val="22"/>
          </w:rPr>
          <w:delText>A alteração média de peso em relação à avaliação inicial para o adalimumab variou entre 0,3 kg e 1,0 kg nas indicações para adultos, em comparação com (negativo) -0,4 kg a 0,4 kg para o placebo,</w:delText>
        </w:r>
        <w:r>
          <w:rPr>
            <w:sz w:val="22"/>
            <w:szCs w:val="22"/>
          </w:rPr>
          <w:delText xml:space="preserve"> </w:delText>
        </w:r>
        <w:r w:rsidRPr="000036F0">
          <w:rPr>
            <w:sz w:val="22"/>
            <w:szCs w:val="22"/>
          </w:rPr>
          <w:delText>durante um período de tratamento de 4-6 meses. Foi também observado um aumento de peso de 5-6 kg</w:delText>
        </w:r>
        <w:r>
          <w:rPr>
            <w:sz w:val="22"/>
            <w:szCs w:val="22"/>
          </w:rPr>
          <w:delText xml:space="preserve"> </w:delText>
        </w:r>
        <w:r w:rsidRPr="000036F0">
          <w:rPr>
            <w:sz w:val="22"/>
            <w:szCs w:val="22"/>
          </w:rPr>
          <w:delText>em estudos de extensão a longo prazo com exposições médias de aproximadamente 1-2 anos sem</w:delText>
        </w:r>
        <w:r>
          <w:rPr>
            <w:sz w:val="22"/>
            <w:szCs w:val="22"/>
          </w:rPr>
          <w:delText xml:space="preserve"> </w:delText>
        </w:r>
        <w:r w:rsidRPr="000036F0">
          <w:rPr>
            <w:sz w:val="22"/>
            <w:szCs w:val="22"/>
          </w:rPr>
          <w:delText>grupo de controlo, particularmente em doentes com doença de Crohn e colite ulcerosa. O mecanismo subjacente a este efeito não é c</w:delText>
        </w:r>
        <w:r w:rsidRPr="000036F0">
          <w:rPr>
            <w:sz w:val="22"/>
            <w:szCs w:val="22"/>
          </w:rPr>
          <w:delText>laro, mas pode estar associado ao efeito anti-inflamatório do</w:delText>
        </w:r>
        <w:r>
          <w:rPr>
            <w:sz w:val="22"/>
            <w:szCs w:val="22"/>
          </w:rPr>
          <w:delText xml:space="preserve"> </w:delText>
        </w:r>
        <w:r w:rsidRPr="000036F0">
          <w:rPr>
            <w:sz w:val="22"/>
            <w:szCs w:val="22"/>
          </w:rPr>
          <w:delText>adalimumab.</w:delText>
        </w:r>
      </w:del>
    </w:p>
    <w:p w14:paraId="0F643EFC" w14:textId="3EEBCC03" w:rsidR="00FB75CB" w:rsidRPr="008912CF" w:rsidRDefault="00FB75CB" w:rsidP="00412FC8">
      <w:pPr>
        <w:rPr>
          <w:del w:id="6542" w:author="AbbVie2" w:date="2025-05-13T16:39:00Z"/>
          <w:b/>
          <w:sz w:val="22"/>
          <w:szCs w:val="22"/>
        </w:rPr>
      </w:pPr>
    </w:p>
    <w:p w14:paraId="13D10378" w14:textId="1A9EB208" w:rsidR="004462A0" w:rsidRPr="008912CF" w:rsidRDefault="00615769" w:rsidP="00412FC8">
      <w:pPr>
        <w:rPr>
          <w:del w:id="6543" w:author="AbbVie2" w:date="2025-05-13T16:39:00Z"/>
          <w:sz w:val="22"/>
          <w:szCs w:val="22"/>
          <w:u w:val="single"/>
        </w:rPr>
      </w:pPr>
      <w:del w:id="6544" w:author="AbbVie2" w:date="2025-05-13T16:39:00Z">
        <w:r w:rsidRPr="008912CF">
          <w:rPr>
            <w:sz w:val="22"/>
            <w:szCs w:val="22"/>
            <w:u w:val="single"/>
          </w:rPr>
          <w:delText>Hidradenite supurativa</w:delText>
        </w:r>
      </w:del>
    </w:p>
    <w:p w14:paraId="547ED5BB" w14:textId="55208E95" w:rsidR="004462A0" w:rsidRPr="008912CF" w:rsidRDefault="004462A0" w:rsidP="00412FC8">
      <w:pPr>
        <w:rPr>
          <w:del w:id="6545" w:author="AbbVie2" w:date="2025-05-13T16:39:00Z"/>
          <w:b/>
          <w:sz w:val="22"/>
          <w:szCs w:val="22"/>
        </w:rPr>
      </w:pPr>
    </w:p>
    <w:p w14:paraId="20DA372F" w14:textId="3A3B18A6" w:rsidR="004462A0" w:rsidRPr="008912CF" w:rsidRDefault="00615769" w:rsidP="00412FC8">
      <w:pPr>
        <w:rPr>
          <w:del w:id="6546" w:author="AbbVie2" w:date="2025-05-13T16:39:00Z"/>
          <w:sz w:val="22"/>
          <w:szCs w:val="22"/>
        </w:rPr>
      </w:pPr>
      <w:del w:id="6547" w:author="AbbVie2" w:date="2025-05-13T16:39:00Z">
        <w:r w:rsidRPr="008912CF">
          <w:rPr>
            <w:sz w:val="22"/>
            <w:szCs w:val="22"/>
          </w:rPr>
          <w:delText>O perfil de segurança em doentes com HS tratados com Humira semanalmente foi consistente com o perfil de segurança conhecido de Humira.</w:delText>
        </w:r>
      </w:del>
    </w:p>
    <w:p w14:paraId="6E83CE27" w14:textId="082D6BDA" w:rsidR="004462A0" w:rsidRDefault="004462A0" w:rsidP="00412FC8">
      <w:pPr>
        <w:rPr>
          <w:del w:id="6548" w:author="AbbVie2" w:date="2025-05-13T16:39:00Z"/>
          <w:sz w:val="22"/>
          <w:szCs w:val="22"/>
        </w:rPr>
      </w:pPr>
    </w:p>
    <w:p w14:paraId="5188A454" w14:textId="0248BE1D" w:rsidR="004462A0" w:rsidRPr="009C739B" w:rsidRDefault="00615769">
      <w:pPr>
        <w:rPr>
          <w:del w:id="6549" w:author="AbbVie2" w:date="2025-05-13T16:39:00Z"/>
          <w:sz w:val="22"/>
          <w:szCs w:val="22"/>
          <w:u w:val="single"/>
        </w:rPr>
        <w:pPrChange w:id="6550" w:author="AbbVie2" w:date="2025-05-13T16:40:00Z">
          <w:pPr>
            <w:keepNext/>
          </w:pPr>
        </w:pPrChange>
      </w:pPr>
      <w:del w:id="6551" w:author="AbbVie2" w:date="2025-05-13T16:39:00Z">
        <w:r w:rsidRPr="009C739B">
          <w:rPr>
            <w:sz w:val="22"/>
            <w:szCs w:val="22"/>
            <w:u w:val="single"/>
          </w:rPr>
          <w:delText>Uveíte</w:delText>
        </w:r>
      </w:del>
    </w:p>
    <w:p w14:paraId="02151598" w14:textId="3BB20D4A" w:rsidR="004462A0" w:rsidRDefault="004462A0">
      <w:pPr>
        <w:rPr>
          <w:del w:id="6552" w:author="AbbVie2" w:date="2025-05-13T16:39:00Z"/>
          <w:sz w:val="22"/>
          <w:szCs w:val="22"/>
        </w:rPr>
        <w:pPrChange w:id="6553" w:author="AbbVie2" w:date="2025-05-13T16:40:00Z">
          <w:pPr>
            <w:keepNext/>
          </w:pPr>
        </w:pPrChange>
      </w:pPr>
    </w:p>
    <w:p w14:paraId="7DEA0AFB" w14:textId="28B03456" w:rsidR="004462A0" w:rsidRDefault="00615769">
      <w:pPr>
        <w:rPr>
          <w:del w:id="6554" w:author="AbbVie2" w:date="2025-05-13T16:39:00Z"/>
          <w:sz w:val="22"/>
          <w:szCs w:val="22"/>
        </w:rPr>
        <w:pPrChange w:id="6555" w:author="AbbVie2" w:date="2025-05-13T16:40:00Z">
          <w:pPr>
            <w:keepNext/>
          </w:pPr>
        </w:pPrChange>
      </w:pPr>
      <w:del w:id="6556" w:author="AbbVie2" w:date="2025-05-13T16:39:00Z">
        <w:r>
          <w:rPr>
            <w:sz w:val="22"/>
            <w:szCs w:val="22"/>
          </w:rPr>
          <w:delText>O perfil de segurança em doentes com uveíte tratados com Humira em semanas alternadas foi consistente com o perfil de segurança conhecido d</w:delText>
        </w:r>
        <w:r w:rsidR="003A4C51">
          <w:rPr>
            <w:sz w:val="22"/>
            <w:szCs w:val="22"/>
          </w:rPr>
          <w:delText>e</w:delText>
        </w:r>
        <w:r>
          <w:rPr>
            <w:sz w:val="22"/>
            <w:szCs w:val="22"/>
          </w:rPr>
          <w:delText xml:space="preserve"> Humira.</w:delText>
        </w:r>
      </w:del>
    </w:p>
    <w:p w14:paraId="16B44A2E" w14:textId="0AD48CEE" w:rsidR="004462A0" w:rsidRPr="008912CF" w:rsidRDefault="004462A0" w:rsidP="00412FC8">
      <w:pPr>
        <w:rPr>
          <w:del w:id="6557" w:author="AbbVie2" w:date="2025-05-13T16:39:00Z"/>
          <w:sz w:val="22"/>
          <w:szCs w:val="22"/>
        </w:rPr>
      </w:pPr>
    </w:p>
    <w:p w14:paraId="1D8E8F05" w14:textId="096142C7" w:rsidR="004462A0" w:rsidRPr="008912CF" w:rsidRDefault="00615769" w:rsidP="00412FC8">
      <w:pPr>
        <w:rPr>
          <w:del w:id="6558" w:author="AbbVie2" w:date="2025-05-13T16:39:00Z"/>
          <w:bCs/>
          <w:sz w:val="22"/>
          <w:szCs w:val="22"/>
        </w:rPr>
      </w:pPr>
      <w:del w:id="6559" w:author="AbbVie2" w:date="2025-05-13T16:39:00Z">
        <w:r w:rsidRPr="008912CF">
          <w:rPr>
            <w:bCs/>
            <w:sz w:val="22"/>
            <w:szCs w:val="22"/>
            <w:u w:val="single"/>
          </w:rPr>
          <w:delText>Descrição de reações adversas selecionadas</w:delText>
        </w:r>
      </w:del>
    </w:p>
    <w:p w14:paraId="01117129" w14:textId="734B8277" w:rsidR="004462A0" w:rsidRPr="008912CF" w:rsidRDefault="004462A0" w:rsidP="00412FC8">
      <w:pPr>
        <w:rPr>
          <w:del w:id="6560" w:author="AbbVie2" w:date="2025-05-13T16:39:00Z"/>
          <w:b/>
          <w:sz w:val="22"/>
          <w:szCs w:val="22"/>
        </w:rPr>
      </w:pPr>
    </w:p>
    <w:p w14:paraId="152EEA2B" w14:textId="1498A97E" w:rsidR="004462A0" w:rsidRPr="008912CF" w:rsidRDefault="00615769">
      <w:pPr>
        <w:rPr>
          <w:del w:id="6561" w:author="AbbVie2" w:date="2025-05-13T16:39:00Z"/>
          <w:sz w:val="22"/>
          <w:szCs w:val="22"/>
          <w:u w:val="single"/>
        </w:rPr>
        <w:pPrChange w:id="6562" w:author="AbbVie2" w:date="2025-05-13T16:40:00Z">
          <w:pPr>
            <w:autoSpaceDE w:val="0"/>
            <w:autoSpaceDN w:val="0"/>
            <w:adjustRightInd w:val="0"/>
          </w:pPr>
        </w:pPrChange>
      </w:pPr>
      <w:del w:id="6563" w:author="AbbVie2" w:date="2025-05-13T16:39:00Z">
        <w:r w:rsidRPr="008912CF">
          <w:rPr>
            <w:i/>
            <w:sz w:val="22"/>
            <w:szCs w:val="22"/>
          </w:rPr>
          <w:delText>Reações no local da injeção</w:delText>
        </w:r>
        <w:r w:rsidRPr="008912CF">
          <w:rPr>
            <w:sz w:val="22"/>
            <w:szCs w:val="22"/>
          </w:rPr>
          <w:delText xml:space="preserve"> </w:delText>
        </w:r>
      </w:del>
    </w:p>
    <w:p w14:paraId="43DA36E8" w14:textId="3FAAFE98" w:rsidR="004462A0" w:rsidRPr="008912CF" w:rsidRDefault="004462A0">
      <w:pPr>
        <w:rPr>
          <w:del w:id="6564" w:author="AbbVie2" w:date="2025-05-13T16:39:00Z"/>
          <w:sz w:val="22"/>
          <w:szCs w:val="22"/>
          <w:u w:val="single"/>
        </w:rPr>
        <w:pPrChange w:id="6565" w:author="AbbVie2" w:date="2025-05-13T16:40:00Z">
          <w:pPr>
            <w:autoSpaceDE w:val="0"/>
            <w:autoSpaceDN w:val="0"/>
            <w:adjustRightInd w:val="0"/>
          </w:pPr>
        </w:pPrChange>
      </w:pPr>
    </w:p>
    <w:p w14:paraId="25794BF8" w14:textId="3E56429A" w:rsidR="004462A0" w:rsidRPr="008912CF" w:rsidRDefault="00615769" w:rsidP="00412FC8">
      <w:pPr>
        <w:rPr>
          <w:del w:id="6566" w:author="AbbVie2" w:date="2025-05-13T16:39:00Z"/>
          <w:sz w:val="22"/>
          <w:szCs w:val="22"/>
        </w:rPr>
      </w:pPr>
      <w:del w:id="6567" w:author="AbbVie2" w:date="2025-05-13T16:39:00Z">
        <w:r w:rsidRPr="008912CF">
          <w:rPr>
            <w:sz w:val="22"/>
            <w:szCs w:val="22"/>
          </w:rPr>
          <w:delText>Nos principais ensaios controlados em adultos e crianças, 12,9</w:delText>
        </w:r>
        <w:r w:rsidR="009343EF">
          <w:rPr>
            <w:sz w:val="22"/>
            <w:szCs w:val="22"/>
          </w:rPr>
          <w:delText>%</w:delText>
        </w:r>
        <w:r w:rsidRPr="008912CF">
          <w:rPr>
            <w:sz w:val="22"/>
            <w:szCs w:val="22"/>
          </w:rPr>
          <w:delText xml:space="preserve"> dos doentes tratados com Humira desenvolveram reações no local da injeção (eritema e/ou prurido, hemorragia, dor ou edema), em relação a </w:delText>
        </w:r>
        <w:r>
          <w:rPr>
            <w:sz w:val="22"/>
            <w:szCs w:val="22"/>
          </w:rPr>
          <w:delText>7,2</w:delText>
        </w:r>
        <w:r w:rsidR="009343EF">
          <w:rPr>
            <w:sz w:val="22"/>
            <w:szCs w:val="22"/>
          </w:rPr>
          <w:delText>%</w:delText>
        </w:r>
        <w:r w:rsidRPr="008912CF">
          <w:rPr>
            <w:sz w:val="22"/>
            <w:szCs w:val="22"/>
          </w:rPr>
          <w:delText xml:space="preserve"> dos doentes que receberam placebo ou controlo ativo. As reações no local da injeção de uma forma geral não justificaram a suspensão do medicamento.</w:delText>
        </w:r>
      </w:del>
    </w:p>
    <w:p w14:paraId="3964379F" w14:textId="0E45E5B1" w:rsidR="004462A0" w:rsidRPr="008912CF" w:rsidRDefault="004462A0">
      <w:pPr>
        <w:rPr>
          <w:del w:id="6568" w:author="AbbVie2" w:date="2025-05-13T16:39:00Z"/>
          <w:sz w:val="22"/>
          <w:szCs w:val="22"/>
        </w:rPr>
        <w:pPrChange w:id="6569" w:author="AbbVie2" w:date="2025-05-13T16:40:00Z">
          <w:pPr>
            <w:autoSpaceDE w:val="0"/>
            <w:autoSpaceDN w:val="0"/>
            <w:adjustRightInd w:val="0"/>
          </w:pPr>
        </w:pPrChange>
      </w:pPr>
    </w:p>
    <w:p w14:paraId="54B69006" w14:textId="54F204D9" w:rsidR="004462A0" w:rsidRPr="008912CF" w:rsidRDefault="00615769">
      <w:pPr>
        <w:rPr>
          <w:del w:id="6570" w:author="AbbVie2" w:date="2025-05-13T16:39:00Z"/>
          <w:sz w:val="22"/>
          <w:szCs w:val="22"/>
        </w:rPr>
        <w:pPrChange w:id="6571" w:author="AbbVie2" w:date="2025-05-13T16:40:00Z">
          <w:pPr>
            <w:autoSpaceDE w:val="0"/>
            <w:autoSpaceDN w:val="0"/>
            <w:adjustRightInd w:val="0"/>
          </w:pPr>
        </w:pPrChange>
      </w:pPr>
      <w:del w:id="6572" w:author="AbbVie2" w:date="2025-05-13T16:39:00Z">
        <w:r w:rsidRPr="008912CF">
          <w:rPr>
            <w:i/>
            <w:sz w:val="22"/>
            <w:szCs w:val="22"/>
          </w:rPr>
          <w:delText>Infeções</w:delText>
        </w:r>
        <w:r w:rsidRPr="008912CF">
          <w:rPr>
            <w:sz w:val="22"/>
            <w:szCs w:val="22"/>
          </w:rPr>
          <w:delText xml:space="preserve"> </w:delText>
        </w:r>
      </w:del>
    </w:p>
    <w:p w14:paraId="7AC01808" w14:textId="63B0DA76" w:rsidR="004462A0" w:rsidRPr="008912CF" w:rsidRDefault="004462A0">
      <w:pPr>
        <w:rPr>
          <w:del w:id="6573" w:author="AbbVie2" w:date="2025-05-13T16:39:00Z"/>
          <w:sz w:val="22"/>
          <w:szCs w:val="22"/>
        </w:rPr>
        <w:pPrChange w:id="6574" w:author="AbbVie2" w:date="2025-05-13T16:40:00Z">
          <w:pPr>
            <w:autoSpaceDE w:val="0"/>
            <w:autoSpaceDN w:val="0"/>
            <w:adjustRightInd w:val="0"/>
          </w:pPr>
        </w:pPrChange>
      </w:pPr>
    </w:p>
    <w:p w14:paraId="3666F3A7" w14:textId="4CD60DC6" w:rsidR="004462A0" w:rsidRPr="008912CF" w:rsidRDefault="00615769" w:rsidP="00412FC8">
      <w:pPr>
        <w:rPr>
          <w:del w:id="6575" w:author="AbbVie2" w:date="2025-05-13T16:39:00Z"/>
          <w:sz w:val="22"/>
          <w:szCs w:val="22"/>
        </w:rPr>
      </w:pPr>
      <w:del w:id="6576" w:author="AbbVie2" w:date="2025-05-13T16:39:00Z">
        <w:r w:rsidRPr="008912CF">
          <w:rPr>
            <w:sz w:val="22"/>
            <w:szCs w:val="22"/>
          </w:rPr>
          <w:delText>Nos principais ensaios controlados em adultos e crianças, a taxa de infeções foi de 1,51 por doentes/ano nos doentes tratados com Humira e de 1,46 por doentes/ano nos doentes tratados com placebo e controlo ativo. As infeções consisti</w:delText>
        </w:r>
        <w:r w:rsidR="000A3565">
          <w:rPr>
            <w:sz w:val="22"/>
            <w:szCs w:val="22"/>
          </w:rPr>
          <w:delText>r</w:delText>
        </w:r>
        <w:r w:rsidRPr="008912CF">
          <w:rPr>
            <w:sz w:val="22"/>
            <w:szCs w:val="22"/>
          </w:rPr>
          <w:delText xml:space="preserve">am principalmente em nasofaringite, infeções do </w:delText>
        </w:r>
        <w:r w:rsidR="000A3565">
          <w:rPr>
            <w:sz w:val="22"/>
            <w:szCs w:val="22"/>
          </w:rPr>
          <w:delText>trato</w:delText>
        </w:r>
        <w:r w:rsidR="000A3565" w:rsidRPr="008912CF">
          <w:rPr>
            <w:sz w:val="22"/>
            <w:szCs w:val="22"/>
          </w:rPr>
          <w:delText xml:space="preserve"> </w:delText>
        </w:r>
        <w:r w:rsidRPr="008912CF">
          <w:rPr>
            <w:sz w:val="22"/>
            <w:szCs w:val="22"/>
          </w:rPr>
          <w:delText>respiratório superior e sinusite. A maioria dos doentes prosseguiu o tratamento com Humira após resolução da infeção.</w:delText>
        </w:r>
      </w:del>
    </w:p>
    <w:p w14:paraId="269E142D" w14:textId="4ADB3B79" w:rsidR="004462A0" w:rsidRPr="008912CF" w:rsidRDefault="004462A0" w:rsidP="00412FC8">
      <w:pPr>
        <w:rPr>
          <w:del w:id="6577" w:author="AbbVie2" w:date="2025-05-13T16:39:00Z"/>
          <w:sz w:val="22"/>
          <w:szCs w:val="22"/>
        </w:rPr>
      </w:pPr>
    </w:p>
    <w:p w14:paraId="1978D944" w14:textId="3331135D" w:rsidR="004462A0" w:rsidRPr="008912CF" w:rsidRDefault="00615769" w:rsidP="00412FC8">
      <w:pPr>
        <w:rPr>
          <w:del w:id="6578" w:author="AbbVie2" w:date="2025-05-13T16:39:00Z"/>
          <w:sz w:val="22"/>
          <w:szCs w:val="22"/>
        </w:rPr>
      </w:pPr>
      <w:del w:id="6579" w:author="AbbVie2" w:date="2025-05-13T16:39:00Z">
        <w:r w:rsidRPr="008912CF">
          <w:rPr>
            <w:sz w:val="22"/>
            <w:szCs w:val="22"/>
          </w:rPr>
          <w:delText>A incidência de infeções graves foi de 0,04 por doentes/ano nos doentes tratados com Humira e de 0,03 por doentes/ano nos doentes tratados com placebo e controlo ativo.</w:delText>
        </w:r>
      </w:del>
    </w:p>
    <w:p w14:paraId="4C33D427" w14:textId="7CC09486" w:rsidR="004462A0" w:rsidRPr="008912CF" w:rsidRDefault="004462A0">
      <w:pPr>
        <w:rPr>
          <w:del w:id="6580" w:author="AbbVie2" w:date="2025-05-13T16:39:00Z"/>
          <w:szCs w:val="22"/>
        </w:rPr>
        <w:pPrChange w:id="6581" w:author="AbbVie2" w:date="2025-05-13T16:40:00Z">
          <w:pPr>
            <w:pStyle w:val="EndnoteText"/>
            <w:tabs>
              <w:tab w:val="clear" w:pos="567"/>
            </w:tabs>
          </w:pPr>
        </w:pPrChange>
      </w:pPr>
    </w:p>
    <w:p w14:paraId="7B5EBCD2" w14:textId="0186C572" w:rsidR="004462A0" w:rsidRPr="008912CF" w:rsidRDefault="00615769" w:rsidP="00412FC8">
      <w:pPr>
        <w:rPr>
          <w:del w:id="6582" w:author="AbbVie2" w:date="2025-05-13T16:39:00Z"/>
          <w:sz w:val="22"/>
          <w:szCs w:val="22"/>
        </w:rPr>
      </w:pPr>
      <w:del w:id="6583" w:author="AbbVie2" w:date="2025-05-13T16:39:00Z">
        <w:r w:rsidRPr="008912CF">
          <w:rPr>
            <w:sz w:val="22"/>
            <w:szCs w:val="22"/>
          </w:rPr>
          <w:delText>Em estudos controlados e de fase aberta com Humira</w:delText>
        </w:r>
        <w:r w:rsidR="001D3CF2">
          <w:rPr>
            <w:sz w:val="22"/>
            <w:szCs w:val="22"/>
          </w:rPr>
          <w:delText>,</w:delText>
        </w:r>
        <w:r w:rsidR="001D3CF2" w:rsidRPr="001D3CF2">
          <w:rPr>
            <w:sz w:val="22"/>
            <w:szCs w:val="22"/>
          </w:rPr>
          <w:delText xml:space="preserve"> </w:delText>
        </w:r>
        <w:r w:rsidR="001D3CF2">
          <w:rPr>
            <w:sz w:val="22"/>
            <w:szCs w:val="22"/>
          </w:rPr>
          <w:delText>em adultos e crianças,</w:delText>
        </w:r>
        <w:r w:rsidRPr="008912CF">
          <w:rPr>
            <w:sz w:val="22"/>
            <w:szCs w:val="22"/>
          </w:rPr>
          <w:delText xml:space="preserve"> foram notificadas infeções graves (incluindo infeções fatais, as quais ocorreram raramente), que incluíram casos de tuberculose (incluindo localizações miliares e extra</w:delText>
        </w:r>
        <w:r w:rsidR="000A3565">
          <w:rPr>
            <w:sz w:val="22"/>
            <w:szCs w:val="22"/>
          </w:rPr>
          <w:delText>-</w:delText>
        </w:r>
        <w:r w:rsidRPr="008912CF">
          <w:rPr>
            <w:sz w:val="22"/>
            <w:szCs w:val="22"/>
          </w:rPr>
          <w:delText>pulmonares) e infeções oportunistas invasivas (p.e. histoplasmose disseminada ou extra</w:delText>
        </w:r>
        <w:r w:rsidR="000A3565">
          <w:rPr>
            <w:sz w:val="22"/>
            <w:szCs w:val="22"/>
          </w:rPr>
          <w:delText>-</w:delText>
        </w:r>
        <w:r w:rsidRPr="008912CF">
          <w:rPr>
            <w:sz w:val="22"/>
            <w:szCs w:val="22"/>
          </w:rPr>
          <w:delText>pulmonar, blastomicose, coccidio</w:delText>
        </w:r>
        <w:r w:rsidR="00390D91">
          <w:rPr>
            <w:sz w:val="22"/>
            <w:szCs w:val="22"/>
          </w:rPr>
          <w:delText>i</w:delText>
        </w:r>
        <w:r w:rsidRPr="008912CF">
          <w:rPr>
            <w:sz w:val="22"/>
            <w:szCs w:val="22"/>
          </w:rPr>
          <w:delText xml:space="preserve">domicose, </w:delText>
        </w:r>
        <w:r w:rsidRPr="008912CF">
          <w:rPr>
            <w:iCs/>
            <w:sz w:val="22"/>
            <w:szCs w:val="22"/>
          </w:rPr>
          <w:delText>pneumocistose</w:delText>
        </w:r>
        <w:r w:rsidRPr="008912CF">
          <w:rPr>
            <w:sz w:val="22"/>
            <w:szCs w:val="22"/>
          </w:rPr>
          <w:delText xml:space="preserve">, candidíase, aspergilose e listeriose). A maioria dos casos de tuberculose ocorreu nos primeiros oito meses após o início do tratamento e pode refletir um agravamento de doença latente. </w:delText>
        </w:r>
      </w:del>
    </w:p>
    <w:p w14:paraId="7C7ED0A0" w14:textId="2A5154CC" w:rsidR="004462A0" w:rsidRPr="008912CF" w:rsidRDefault="004462A0">
      <w:pPr>
        <w:rPr>
          <w:del w:id="6584" w:author="AbbVie2" w:date="2025-05-13T16:39:00Z"/>
          <w:szCs w:val="22"/>
        </w:rPr>
        <w:pPrChange w:id="6585" w:author="AbbVie2" w:date="2025-05-13T16:40:00Z">
          <w:pPr>
            <w:pStyle w:val="EMEAHeadingUnderline"/>
            <w:spacing w:before="0" w:after="0"/>
          </w:pPr>
        </w:pPrChange>
      </w:pPr>
    </w:p>
    <w:p w14:paraId="28169292" w14:textId="59795FD3" w:rsidR="004462A0" w:rsidRPr="008912CF" w:rsidRDefault="00615769">
      <w:pPr>
        <w:rPr>
          <w:del w:id="6586" w:author="AbbVie2" w:date="2025-05-13T16:39:00Z"/>
          <w:szCs w:val="22"/>
        </w:rPr>
        <w:pPrChange w:id="6587" w:author="AbbVie2" w:date="2025-05-13T16:40:00Z">
          <w:pPr>
            <w:pStyle w:val="EMEAHeadingUnderline"/>
            <w:spacing w:before="0" w:after="0"/>
          </w:pPr>
        </w:pPrChange>
      </w:pPr>
      <w:del w:id="6588" w:author="AbbVie2" w:date="2025-05-13T16:39:00Z">
        <w:r w:rsidRPr="008912CF">
          <w:rPr>
            <w:i/>
            <w:szCs w:val="22"/>
          </w:rPr>
          <w:delText>Neoplasias e doenças linfoproliferativas</w:delText>
        </w:r>
      </w:del>
    </w:p>
    <w:p w14:paraId="0501BC0A" w14:textId="205E0B6A" w:rsidR="004462A0" w:rsidRPr="008912CF" w:rsidRDefault="004462A0">
      <w:pPr>
        <w:rPr>
          <w:del w:id="6589" w:author="AbbVie2" w:date="2025-05-13T16:39:00Z"/>
          <w:sz w:val="22"/>
          <w:szCs w:val="22"/>
          <w:u w:val="single"/>
        </w:rPr>
        <w:pPrChange w:id="6590" w:author="AbbVie2" w:date="2025-05-13T16:40:00Z">
          <w:pPr>
            <w:autoSpaceDE w:val="0"/>
            <w:autoSpaceDN w:val="0"/>
            <w:adjustRightInd w:val="0"/>
          </w:pPr>
        </w:pPrChange>
      </w:pPr>
    </w:p>
    <w:p w14:paraId="2E978CAC" w14:textId="42C78E78" w:rsidR="004462A0" w:rsidRPr="008912CF" w:rsidRDefault="00615769">
      <w:pPr>
        <w:rPr>
          <w:del w:id="6591" w:author="AbbVie2" w:date="2025-05-13T16:39:00Z"/>
          <w:szCs w:val="22"/>
        </w:rPr>
        <w:pPrChange w:id="6592" w:author="AbbVie2" w:date="2025-05-13T16:40:00Z">
          <w:pPr>
            <w:pStyle w:val="BodyText2"/>
          </w:pPr>
        </w:pPrChange>
      </w:pPr>
      <w:del w:id="6593" w:author="AbbVie2" w:date="2025-05-13T16:39:00Z">
        <w:r w:rsidRPr="008912CF">
          <w:rPr>
            <w:szCs w:val="22"/>
          </w:rPr>
          <w:delText xml:space="preserve">Não se observaram neoplasias em 249 doentes pediátricos com </w:delText>
        </w:r>
        <w:r w:rsidR="000A3565">
          <w:rPr>
            <w:szCs w:val="22"/>
          </w:rPr>
          <w:delText xml:space="preserve">uma </w:delText>
        </w:r>
        <w:r w:rsidRPr="008912CF">
          <w:rPr>
            <w:szCs w:val="22"/>
          </w:rPr>
          <w:delText>exposição de 655,6 doentes/ano durante ensaios clínicos de Humira em doentes com artrite idiopática juvenil (artrite idiopática juvenil poliarticular e artrite relacionada com entesite).</w:delText>
        </w:r>
        <w:r w:rsidRPr="008912CF">
          <w:delText xml:space="preserve"> Adicionalmente, não se observaram neoplasias em 192 doentes pediátricos com uma exposição de 498,1 doentes/ano durante ensaios clínicos de Humira em doentes pediátricos com doença de Crohn. Não se observaram neoplasias em 77 doentes pediátricos com uma exposição de 80</w:delText>
        </w:r>
        <w:r w:rsidR="000A3565">
          <w:delText>,0</w:delText>
        </w:r>
        <w:r w:rsidRPr="008912CF">
          <w:delText xml:space="preserve"> doentes/ano durante um ensaio clínico de Humira em doentes pediátricos com psoríase crónica em placas.</w:delText>
        </w:r>
        <w:r w:rsidR="00CD7207">
          <w:delText xml:space="preserve"> </w:delText>
        </w:r>
        <w:r w:rsidR="00E3620C" w:rsidRPr="00E3620C">
          <w:delText>Não se observaram neoplasias em 93 doentes pediátricos com uma exposição de 65,3 doentes/ano durante um ensaio clínico de Humira em doentes pediátricos com colite ulcerosa.</w:delText>
        </w:r>
        <w:r w:rsidR="00E3620C">
          <w:delText> </w:delText>
        </w:r>
        <w:r w:rsidR="00CD7207" w:rsidRPr="008912CF">
          <w:delText xml:space="preserve">Não se observaram neoplasias em </w:delText>
        </w:r>
        <w:r w:rsidR="00CD7207">
          <w:delText>60</w:delText>
        </w:r>
        <w:r w:rsidR="00CD7207" w:rsidRPr="008912CF">
          <w:delText xml:space="preserve"> doentes pediátricos com uma exposição de </w:delText>
        </w:r>
        <w:r w:rsidR="00CD7207">
          <w:delText>58,4</w:delText>
        </w:r>
        <w:r w:rsidR="00CD7207" w:rsidRPr="008912CF">
          <w:delText xml:space="preserve"> doentes/ano durante um ensaio clínico de Humira em doentes pediátricos com </w:delText>
        </w:r>
        <w:r w:rsidR="00CD7207">
          <w:delText>uveíte.</w:delText>
        </w:r>
      </w:del>
    </w:p>
    <w:p w14:paraId="06FC6F71" w14:textId="7CB173BF" w:rsidR="004462A0" w:rsidRPr="008912CF" w:rsidRDefault="004462A0">
      <w:pPr>
        <w:rPr>
          <w:del w:id="6594" w:author="AbbVie2" w:date="2025-05-13T16:39:00Z"/>
          <w:sz w:val="22"/>
          <w:szCs w:val="22"/>
          <w:u w:val="single"/>
        </w:rPr>
        <w:pPrChange w:id="6595" w:author="AbbVie2" w:date="2025-05-13T16:40:00Z">
          <w:pPr>
            <w:autoSpaceDE w:val="0"/>
            <w:autoSpaceDN w:val="0"/>
            <w:adjustRightInd w:val="0"/>
          </w:pPr>
        </w:pPrChange>
      </w:pPr>
    </w:p>
    <w:p w14:paraId="1D4BE412" w14:textId="2ABCE185" w:rsidR="004462A0" w:rsidRPr="008912CF" w:rsidRDefault="00615769">
      <w:pPr>
        <w:rPr>
          <w:del w:id="6596" w:author="AbbVie2" w:date="2025-05-13T16:39:00Z"/>
          <w:sz w:val="22"/>
          <w:szCs w:val="22"/>
        </w:rPr>
        <w:pPrChange w:id="6597" w:author="AbbVie2" w:date="2025-05-13T16:40:00Z">
          <w:pPr>
            <w:autoSpaceDE w:val="0"/>
            <w:autoSpaceDN w:val="0"/>
            <w:adjustRightInd w:val="0"/>
          </w:pPr>
        </w:pPrChange>
      </w:pPr>
      <w:del w:id="6598" w:author="AbbVie2" w:date="2025-05-13T16:39:00Z">
        <w:r w:rsidRPr="008912CF">
          <w:rPr>
            <w:sz w:val="22"/>
            <w:szCs w:val="22"/>
          </w:rPr>
          <w:delText xml:space="preserve">Durante a parte controlada dos principais ensaios clínicos </w:delText>
        </w:r>
        <w:r w:rsidR="00390D91" w:rsidRPr="008912CF">
          <w:rPr>
            <w:sz w:val="22"/>
            <w:szCs w:val="22"/>
          </w:rPr>
          <w:delText xml:space="preserve">com Humira </w:delText>
        </w:r>
        <w:r w:rsidRPr="008912CF">
          <w:rPr>
            <w:sz w:val="22"/>
            <w:szCs w:val="22"/>
          </w:rPr>
          <w:delText>em adultos com pelo menos 12 semanas de duração, em doentes com artrite reumatoide ativa moderada a grave, espondilite anquilosante, espondilartrite axial sem evidência radiográfica de EA, artrite psoriática, psoríase, hidradenite supurativa, doença de Crohn</w:delText>
        </w:r>
        <w:r>
          <w:rPr>
            <w:sz w:val="22"/>
            <w:szCs w:val="22"/>
          </w:rPr>
          <w:delText xml:space="preserve">, </w:delText>
        </w:r>
        <w:r w:rsidRPr="008912CF">
          <w:rPr>
            <w:sz w:val="22"/>
            <w:szCs w:val="22"/>
          </w:rPr>
          <w:delText>colite ulcerosa</w:delText>
        </w:r>
        <w:r>
          <w:rPr>
            <w:sz w:val="22"/>
            <w:szCs w:val="22"/>
          </w:rPr>
          <w:delText xml:space="preserve"> e uveíte</w:delText>
        </w:r>
        <w:r w:rsidRPr="008912CF">
          <w:rPr>
            <w:sz w:val="22"/>
            <w:szCs w:val="22"/>
          </w:rPr>
          <w:delText>, foram observadas neoplasias, para além de linfomas e neoplasias cutâneas não melanomas</w:delText>
        </w:r>
        <w:r w:rsidR="000A3565">
          <w:rPr>
            <w:sz w:val="22"/>
            <w:szCs w:val="22"/>
          </w:rPr>
          <w:delText>,</w:delText>
        </w:r>
        <w:r w:rsidRPr="008912CF">
          <w:rPr>
            <w:sz w:val="22"/>
            <w:szCs w:val="22"/>
          </w:rPr>
          <w:delText xml:space="preserve"> numa taxa (intervalo de confiança 95</w:delText>
        </w:r>
        <w:r w:rsidR="009343EF">
          <w:rPr>
            <w:sz w:val="22"/>
            <w:szCs w:val="22"/>
          </w:rPr>
          <w:delText>%</w:delText>
        </w:r>
        <w:r w:rsidRPr="008912CF">
          <w:rPr>
            <w:sz w:val="22"/>
            <w:szCs w:val="22"/>
          </w:rPr>
          <w:delText xml:space="preserve">) de </w:delText>
        </w:r>
        <w:r>
          <w:rPr>
            <w:sz w:val="22"/>
            <w:szCs w:val="22"/>
          </w:rPr>
          <w:delText>6,8 (4,4</w:delText>
        </w:r>
        <w:r w:rsidR="000A3565">
          <w:rPr>
            <w:sz w:val="22"/>
            <w:szCs w:val="22"/>
          </w:rPr>
          <w:delText>;</w:delText>
        </w:r>
        <w:r>
          <w:rPr>
            <w:sz w:val="22"/>
            <w:szCs w:val="22"/>
          </w:rPr>
          <w:delText xml:space="preserve"> 10,5)</w:delText>
        </w:r>
        <w:r w:rsidRPr="008912CF">
          <w:rPr>
            <w:sz w:val="22"/>
            <w:szCs w:val="22"/>
          </w:rPr>
          <w:delText xml:space="preserve"> por 1.000 doentes/ano entre os </w:delText>
        </w:r>
        <w:r>
          <w:rPr>
            <w:sz w:val="22"/>
            <w:szCs w:val="22"/>
          </w:rPr>
          <w:delText>5.291</w:delText>
        </w:r>
        <w:r w:rsidRPr="008912CF">
          <w:rPr>
            <w:sz w:val="22"/>
            <w:szCs w:val="22"/>
          </w:rPr>
          <w:delText xml:space="preserve"> doentes tratados com Humira </w:delText>
        </w:r>
        <w:r w:rsidR="000A3565">
          <w:rPr>
            <w:i/>
            <w:sz w:val="22"/>
            <w:szCs w:val="22"/>
          </w:rPr>
          <w:delText xml:space="preserve">versus </w:delText>
        </w:r>
        <w:r w:rsidRPr="008912CF">
          <w:rPr>
            <w:sz w:val="22"/>
            <w:szCs w:val="22"/>
          </w:rPr>
          <w:delText xml:space="preserve">uma taxa de </w:delText>
        </w:r>
        <w:r>
          <w:rPr>
            <w:sz w:val="22"/>
            <w:szCs w:val="22"/>
          </w:rPr>
          <w:delText>6,3 (3,4</w:delText>
        </w:r>
        <w:r w:rsidR="000A3565">
          <w:rPr>
            <w:sz w:val="22"/>
            <w:szCs w:val="22"/>
          </w:rPr>
          <w:delText>;</w:delText>
        </w:r>
        <w:r>
          <w:rPr>
            <w:sz w:val="22"/>
            <w:szCs w:val="22"/>
          </w:rPr>
          <w:delText xml:space="preserve"> 11,8)</w:delText>
        </w:r>
        <w:r w:rsidRPr="008912CF">
          <w:rPr>
            <w:sz w:val="22"/>
            <w:szCs w:val="22"/>
          </w:rPr>
          <w:delText xml:space="preserve"> por 1.000 doentes/ano entre os </w:delText>
        </w:r>
        <w:r>
          <w:rPr>
            <w:sz w:val="22"/>
            <w:szCs w:val="22"/>
          </w:rPr>
          <w:delText>3.444</w:delText>
        </w:r>
        <w:r w:rsidRPr="008912CF">
          <w:rPr>
            <w:sz w:val="22"/>
            <w:szCs w:val="22"/>
          </w:rPr>
          <w:delText xml:space="preserve"> doentes tratados com controlo (a duração </w:delText>
        </w:r>
        <w:r w:rsidR="000A3565">
          <w:rPr>
            <w:sz w:val="22"/>
            <w:szCs w:val="22"/>
          </w:rPr>
          <w:delText>mediana</w:delText>
        </w:r>
        <w:r w:rsidRPr="008912CF">
          <w:rPr>
            <w:sz w:val="22"/>
            <w:szCs w:val="22"/>
          </w:rPr>
          <w:delText xml:space="preserve"> de tratamento foi</w:delText>
        </w:r>
        <w:r w:rsidR="000A3565">
          <w:rPr>
            <w:sz w:val="22"/>
            <w:szCs w:val="22"/>
          </w:rPr>
          <w:delText xml:space="preserve"> de</w:delText>
        </w:r>
        <w:r w:rsidRPr="008912CF">
          <w:rPr>
            <w:sz w:val="22"/>
            <w:szCs w:val="22"/>
          </w:rPr>
          <w:delText xml:space="preserve"> 4,0 meses para Humira e </w:delText>
        </w:r>
        <w:r>
          <w:rPr>
            <w:sz w:val="22"/>
            <w:szCs w:val="22"/>
          </w:rPr>
          <w:delText>3,8</w:delText>
        </w:r>
        <w:r w:rsidRPr="008912CF">
          <w:rPr>
            <w:sz w:val="22"/>
            <w:szCs w:val="22"/>
          </w:rPr>
          <w:delText xml:space="preserve"> meses para os doentes do grupo controlo). A taxa (intervalo de confiança 95</w:delText>
        </w:r>
        <w:r w:rsidR="009343EF">
          <w:rPr>
            <w:sz w:val="22"/>
            <w:szCs w:val="22"/>
          </w:rPr>
          <w:delText>%</w:delText>
        </w:r>
        <w:r w:rsidRPr="008912CF">
          <w:rPr>
            <w:sz w:val="22"/>
            <w:szCs w:val="22"/>
          </w:rPr>
          <w:delText xml:space="preserve">) observada de neoplasias cutâneas não melanomas foi de </w:delText>
        </w:r>
        <w:r>
          <w:rPr>
            <w:sz w:val="22"/>
            <w:szCs w:val="22"/>
          </w:rPr>
          <w:delText>8,8 (6,0</w:delText>
        </w:r>
        <w:r w:rsidR="000A3565">
          <w:rPr>
            <w:sz w:val="22"/>
            <w:szCs w:val="22"/>
          </w:rPr>
          <w:delText>;</w:delText>
        </w:r>
        <w:r>
          <w:rPr>
            <w:sz w:val="22"/>
            <w:szCs w:val="22"/>
          </w:rPr>
          <w:delText xml:space="preserve"> 13,0)</w:delText>
        </w:r>
        <w:r w:rsidRPr="008912CF">
          <w:rPr>
            <w:sz w:val="22"/>
            <w:szCs w:val="22"/>
          </w:rPr>
          <w:delText xml:space="preserve"> por 1.000 doentes/ano em doentes tratados com Humira e </w:delText>
        </w:r>
        <w:r>
          <w:rPr>
            <w:sz w:val="22"/>
            <w:szCs w:val="22"/>
          </w:rPr>
          <w:delText>3,2 (1,3</w:delText>
        </w:r>
        <w:r w:rsidR="000A3565">
          <w:rPr>
            <w:sz w:val="22"/>
            <w:szCs w:val="22"/>
          </w:rPr>
          <w:delText>;</w:delText>
        </w:r>
        <w:r>
          <w:rPr>
            <w:sz w:val="22"/>
            <w:szCs w:val="22"/>
          </w:rPr>
          <w:delText xml:space="preserve"> 7,6)</w:delText>
        </w:r>
        <w:r w:rsidRPr="008912CF">
          <w:rPr>
            <w:sz w:val="22"/>
            <w:szCs w:val="22"/>
          </w:rPr>
          <w:delText xml:space="preserve"> por 1.000 doentes/ano em doentes controlo. Destas neoplasias cutâneas, ocorreram carcinomas </w:delText>
        </w:r>
        <w:r w:rsidR="000A3565">
          <w:rPr>
            <w:sz w:val="22"/>
            <w:szCs w:val="22"/>
          </w:rPr>
          <w:delText>de células escamosas</w:delText>
        </w:r>
        <w:r w:rsidRPr="008912CF">
          <w:rPr>
            <w:sz w:val="22"/>
            <w:szCs w:val="22"/>
          </w:rPr>
          <w:delText xml:space="preserve"> numa taxa (intervalo de confiança 95</w:delText>
        </w:r>
        <w:r w:rsidR="009343EF">
          <w:rPr>
            <w:sz w:val="22"/>
            <w:szCs w:val="22"/>
          </w:rPr>
          <w:delText>%</w:delText>
        </w:r>
        <w:r w:rsidRPr="008912CF">
          <w:rPr>
            <w:sz w:val="22"/>
            <w:szCs w:val="22"/>
          </w:rPr>
          <w:delText xml:space="preserve">) de </w:delText>
        </w:r>
        <w:r>
          <w:rPr>
            <w:sz w:val="22"/>
            <w:szCs w:val="22"/>
          </w:rPr>
          <w:delText>2,7 (1,4</w:delText>
        </w:r>
        <w:r w:rsidR="000A3565">
          <w:rPr>
            <w:sz w:val="22"/>
            <w:szCs w:val="22"/>
          </w:rPr>
          <w:delText>;</w:delText>
        </w:r>
        <w:r>
          <w:rPr>
            <w:sz w:val="22"/>
            <w:szCs w:val="22"/>
          </w:rPr>
          <w:delText xml:space="preserve"> 5,4)</w:delText>
        </w:r>
        <w:r w:rsidRPr="008912CF">
          <w:rPr>
            <w:sz w:val="22"/>
            <w:szCs w:val="22"/>
          </w:rPr>
          <w:delText xml:space="preserve"> por 1.000 doentes/ano em doentes tratados com Humira e </w:delText>
        </w:r>
        <w:r>
          <w:rPr>
            <w:sz w:val="22"/>
            <w:szCs w:val="22"/>
          </w:rPr>
          <w:delText>0,6 (0,1</w:delText>
        </w:r>
        <w:r w:rsidR="000A3565">
          <w:rPr>
            <w:sz w:val="22"/>
            <w:szCs w:val="22"/>
          </w:rPr>
          <w:delText>;</w:delText>
        </w:r>
        <w:r>
          <w:rPr>
            <w:sz w:val="22"/>
            <w:szCs w:val="22"/>
          </w:rPr>
          <w:delText xml:space="preserve"> 4,5)</w:delText>
        </w:r>
        <w:r w:rsidRPr="008912CF">
          <w:rPr>
            <w:sz w:val="22"/>
            <w:szCs w:val="22"/>
          </w:rPr>
          <w:delText xml:space="preserve"> por 1.000 doentes/ano em doentes controlo. A taxa (intervalo de confiança 95</w:delText>
        </w:r>
        <w:r w:rsidR="009343EF">
          <w:rPr>
            <w:sz w:val="22"/>
            <w:szCs w:val="22"/>
          </w:rPr>
          <w:delText>%</w:delText>
        </w:r>
        <w:r w:rsidRPr="008912CF">
          <w:rPr>
            <w:sz w:val="22"/>
            <w:szCs w:val="22"/>
          </w:rPr>
          <w:delText xml:space="preserve">) de linfomas foi </w:delText>
        </w:r>
        <w:r w:rsidR="000A3565">
          <w:rPr>
            <w:sz w:val="22"/>
            <w:szCs w:val="22"/>
          </w:rPr>
          <w:delText xml:space="preserve">de </w:delText>
        </w:r>
        <w:r w:rsidRPr="008912CF">
          <w:rPr>
            <w:sz w:val="22"/>
            <w:szCs w:val="22"/>
          </w:rPr>
          <w:delText>0,7 (</w:delText>
        </w:r>
        <w:r>
          <w:rPr>
            <w:sz w:val="22"/>
            <w:szCs w:val="22"/>
          </w:rPr>
          <w:delText>0,2</w:delText>
        </w:r>
        <w:r w:rsidR="000A3565">
          <w:rPr>
            <w:sz w:val="22"/>
            <w:szCs w:val="22"/>
          </w:rPr>
          <w:delText>;</w:delText>
        </w:r>
        <w:r>
          <w:rPr>
            <w:sz w:val="22"/>
            <w:szCs w:val="22"/>
          </w:rPr>
          <w:delText xml:space="preserve"> 2,7</w:delText>
        </w:r>
        <w:r w:rsidRPr="008912CF">
          <w:rPr>
            <w:sz w:val="22"/>
            <w:szCs w:val="22"/>
          </w:rPr>
          <w:delText xml:space="preserve">) por 1.000 doentes/ano em doentes tratados com Humira e </w:delText>
        </w:r>
        <w:r>
          <w:rPr>
            <w:sz w:val="22"/>
            <w:szCs w:val="22"/>
          </w:rPr>
          <w:delText>0,6 (0,1</w:delText>
        </w:r>
        <w:r w:rsidR="000A3565">
          <w:rPr>
            <w:sz w:val="22"/>
            <w:szCs w:val="22"/>
          </w:rPr>
          <w:delText>;</w:delText>
        </w:r>
        <w:r>
          <w:rPr>
            <w:sz w:val="22"/>
            <w:szCs w:val="22"/>
          </w:rPr>
          <w:delText xml:space="preserve"> 4,5)</w:delText>
        </w:r>
        <w:r w:rsidRPr="008912CF">
          <w:rPr>
            <w:sz w:val="22"/>
            <w:szCs w:val="22"/>
          </w:rPr>
          <w:delText xml:space="preserve"> por 1.000 doentes/ano em doentes controlo.</w:delText>
        </w:r>
      </w:del>
    </w:p>
    <w:p w14:paraId="03794BDA" w14:textId="2B2471C0" w:rsidR="004462A0" w:rsidRPr="008912CF" w:rsidRDefault="004462A0">
      <w:pPr>
        <w:rPr>
          <w:del w:id="6599" w:author="AbbVie2" w:date="2025-05-13T16:39:00Z"/>
          <w:sz w:val="22"/>
          <w:szCs w:val="22"/>
        </w:rPr>
        <w:pPrChange w:id="6600" w:author="AbbVie2" w:date="2025-05-13T16:40:00Z">
          <w:pPr>
            <w:autoSpaceDE w:val="0"/>
            <w:autoSpaceDN w:val="0"/>
            <w:adjustRightInd w:val="0"/>
          </w:pPr>
        </w:pPrChange>
      </w:pPr>
    </w:p>
    <w:p w14:paraId="5F5F9E58" w14:textId="5BD2A349" w:rsidR="004462A0" w:rsidRPr="008912CF" w:rsidRDefault="00615769">
      <w:pPr>
        <w:rPr>
          <w:del w:id="6601" w:author="AbbVie2" w:date="2025-05-13T16:39:00Z"/>
          <w:sz w:val="22"/>
          <w:szCs w:val="22"/>
        </w:rPr>
        <w:pPrChange w:id="6602" w:author="AbbVie2" w:date="2025-05-13T16:40:00Z">
          <w:pPr>
            <w:autoSpaceDE w:val="0"/>
            <w:autoSpaceDN w:val="0"/>
            <w:adjustRightInd w:val="0"/>
          </w:pPr>
        </w:pPrChange>
      </w:pPr>
      <w:del w:id="6603" w:author="AbbVie2" w:date="2025-05-13T16:39:00Z">
        <w:r w:rsidRPr="008912CF">
          <w:rPr>
            <w:sz w:val="22"/>
            <w:szCs w:val="22"/>
          </w:rPr>
          <w:delText xml:space="preserve">Quando associados estes ensaios controlados com os estudos de extensão de fase aberta a decorrerem e completados, com uma </w:delText>
        </w:r>
        <w:r w:rsidR="00BF7825">
          <w:rPr>
            <w:sz w:val="22"/>
            <w:szCs w:val="22"/>
          </w:rPr>
          <w:delText>mediana</w:delText>
        </w:r>
        <w:r w:rsidR="00BF7825" w:rsidRPr="008912CF">
          <w:rPr>
            <w:sz w:val="22"/>
            <w:szCs w:val="22"/>
          </w:rPr>
          <w:delText xml:space="preserve"> </w:delText>
        </w:r>
        <w:r w:rsidRPr="008912CF">
          <w:rPr>
            <w:sz w:val="22"/>
            <w:szCs w:val="22"/>
          </w:rPr>
          <w:delText xml:space="preserve">de duração de aproximadamente </w:delText>
        </w:r>
        <w:r>
          <w:rPr>
            <w:sz w:val="22"/>
            <w:szCs w:val="22"/>
          </w:rPr>
          <w:delText>3,3</w:delText>
        </w:r>
        <w:r w:rsidRPr="008912CF">
          <w:rPr>
            <w:sz w:val="22"/>
            <w:szCs w:val="22"/>
          </w:rPr>
          <w:delText xml:space="preserve"> anos</w:delText>
        </w:r>
        <w:r w:rsidR="00BF7825">
          <w:rPr>
            <w:sz w:val="22"/>
            <w:szCs w:val="22"/>
          </w:rPr>
          <w:delText>,</w:delText>
        </w:r>
        <w:r w:rsidRPr="008912CF">
          <w:rPr>
            <w:sz w:val="22"/>
            <w:szCs w:val="22"/>
          </w:rPr>
          <w:delText xml:space="preserve"> incluindo </w:delText>
        </w:r>
        <w:r>
          <w:rPr>
            <w:sz w:val="22"/>
            <w:szCs w:val="22"/>
          </w:rPr>
          <w:delText>6.427</w:delText>
        </w:r>
        <w:r w:rsidRPr="008912CF">
          <w:rPr>
            <w:sz w:val="22"/>
            <w:szCs w:val="22"/>
          </w:rPr>
          <w:delText xml:space="preserve"> doentes e mais de </w:delText>
        </w:r>
        <w:r>
          <w:rPr>
            <w:sz w:val="22"/>
            <w:szCs w:val="22"/>
          </w:rPr>
          <w:delText>26.439 </w:delText>
        </w:r>
        <w:r w:rsidRPr="008912CF">
          <w:rPr>
            <w:sz w:val="22"/>
            <w:szCs w:val="22"/>
          </w:rPr>
          <w:delText xml:space="preserve">doentes/ano de terapêutica, a taxa observada de neoplasias, para além de linfomas e neoplasias cutâneas não melanomas é de aproximadamente 8,5 por 1.000 doentes/ano. A taxa observada de neoplasias cutâneas não melanomas é de aproximadamente </w:delText>
        </w:r>
        <w:r>
          <w:rPr>
            <w:sz w:val="22"/>
            <w:szCs w:val="22"/>
          </w:rPr>
          <w:delText>9,6</w:delText>
        </w:r>
        <w:r w:rsidRPr="008912CF">
          <w:rPr>
            <w:sz w:val="22"/>
            <w:szCs w:val="22"/>
          </w:rPr>
          <w:delText xml:space="preserve"> por 1.000 doentes/ano, e a taxa observada de linfomas é de aproximadamente 1,3 por 1.000 doentes/ano.</w:delText>
        </w:r>
      </w:del>
    </w:p>
    <w:p w14:paraId="724A7FFD" w14:textId="3ACEFD8A" w:rsidR="004462A0" w:rsidRPr="008912CF" w:rsidRDefault="004462A0">
      <w:pPr>
        <w:rPr>
          <w:del w:id="6604" w:author="AbbVie2" w:date="2025-05-13T16:39:00Z"/>
          <w:sz w:val="22"/>
          <w:szCs w:val="22"/>
        </w:rPr>
        <w:pPrChange w:id="6605" w:author="AbbVie2" w:date="2025-05-13T16:40:00Z">
          <w:pPr>
            <w:autoSpaceDE w:val="0"/>
            <w:autoSpaceDN w:val="0"/>
            <w:adjustRightInd w:val="0"/>
          </w:pPr>
        </w:pPrChange>
      </w:pPr>
    </w:p>
    <w:p w14:paraId="2F1D0DF0" w14:textId="3D3A7242" w:rsidR="004462A0" w:rsidRPr="008912CF" w:rsidRDefault="00615769">
      <w:pPr>
        <w:rPr>
          <w:del w:id="6606" w:author="AbbVie2" w:date="2025-05-13T16:39:00Z"/>
          <w:sz w:val="22"/>
          <w:szCs w:val="22"/>
        </w:rPr>
        <w:pPrChange w:id="6607" w:author="AbbVie2" w:date="2025-05-13T16:40:00Z">
          <w:pPr>
            <w:autoSpaceDE w:val="0"/>
            <w:autoSpaceDN w:val="0"/>
            <w:adjustRightInd w:val="0"/>
          </w:pPr>
        </w:pPrChange>
      </w:pPr>
      <w:del w:id="6608" w:author="AbbVie2" w:date="2025-05-13T16:39:00Z">
        <w:r w:rsidRPr="008912CF">
          <w:rPr>
            <w:sz w:val="22"/>
            <w:szCs w:val="22"/>
          </w:rPr>
          <w:delText>Na experiência pós</w:delText>
        </w:r>
        <w:r w:rsidR="00BF7825">
          <w:rPr>
            <w:sz w:val="22"/>
            <w:szCs w:val="22"/>
          </w:rPr>
          <w:delText>-</w:delText>
        </w:r>
        <w:r w:rsidRPr="008912CF">
          <w:rPr>
            <w:sz w:val="22"/>
            <w:szCs w:val="22"/>
          </w:rPr>
          <w:delText xml:space="preserve">comercialização desde janeiro de 2003 a dezembro de 2010, predominantemente em doentes com artrite reumatoide, a taxa </w:delText>
        </w:r>
        <w:r>
          <w:rPr>
            <w:sz w:val="22"/>
            <w:szCs w:val="22"/>
          </w:rPr>
          <w:delText>de notificação espontânea</w:delText>
        </w:r>
        <w:r w:rsidRPr="008912CF">
          <w:rPr>
            <w:sz w:val="22"/>
            <w:szCs w:val="22"/>
          </w:rPr>
          <w:delText xml:space="preserve"> de neoplasias é de aproximadamente 2,7 por 1.000 doentes/ano de tratamento. As taxas </w:delText>
        </w:r>
        <w:r>
          <w:rPr>
            <w:sz w:val="22"/>
            <w:szCs w:val="22"/>
          </w:rPr>
          <w:delText>de notificação espontânea</w:delText>
        </w:r>
        <w:r w:rsidRPr="008912CF">
          <w:rPr>
            <w:sz w:val="22"/>
            <w:szCs w:val="22"/>
          </w:rPr>
          <w:delText xml:space="preserve"> de neoplasias cutâneas não melanomas e linfomas são de aproximadamente 0,2 e 0,3 por 1</w:delText>
        </w:r>
        <w:r w:rsidR="00BF7825">
          <w:rPr>
            <w:sz w:val="22"/>
            <w:szCs w:val="22"/>
          </w:rPr>
          <w:delText>.</w:delText>
        </w:r>
        <w:r w:rsidRPr="008912CF">
          <w:rPr>
            <w:sz w:val="22"/>
            <w:szCs w:val="22"/>
          </w:rPr>
          <w:delText>000 doentes/ano de tratamento, respetivamente (ver secção 4.4).</w:delText>
        </w:r>
      </w:del>
    </w:p>
    <w:p w14:paraId="08AC81F0" w14:textId="063E2679" w:rsidR="004462A0" w:rsidRPr="008912CF" w:rsidRDefault="004462A0">
      <w:pPr>
        <w:rPr>
          <w:del w:id="6609" w:author="AbbVie2" w:date="2025-05-13T16:39:00Z"/>
          <w:sz w:val="22"/>
          <w:szCs w:val="22"/>
        </w:rPr>
        <w:pPrChange w:id="6610" w:author="AbbVie2" w:date="2025-05-13T16:40:00Z">
          <w:pPr>
            <w:pStyle w:val="Default"/>
          </w:pPr>
        </w:pPrChange>
      </w:pPr>
    </w:p>
    <w:p w14:paraId="5D018E2E" w14:textId="25B8C7F0" w:rsidR="004462A0" w:rsidRPr="008912CF" w:rsidRDefault="00615769">
      <w:pPr>
        <w:rPr>
          <w:del w:id="6611" w:author="AbbVie2" w:date="2025-05-13T16:39:00Z"/>
          <w:sz w:val="22"/>
          <w:szCs w:val="22"/>
        </w:rPr>
        <w:pPrChange w:id="6612" w:author="AbbVie2" w:date="2025-05-13T16:40:00Z">
          <w:pPr>
            <w:pStyle w:val="Default"/>
          </w:pPr>
        </w:pPrChange>
      </w:pPr>
      <w:del w:id="6613" w:author="AbbVie2" w:date="2025-05-13T16:39:00Z">
        <w:r w:rsidRPr="008912CF">
          <w:rPr>
            <w:sz w:val="22"/>
            <w:szCs w:val="22"/>
          </w:rPr>
          <w:delText>Foram notificados em fase de pós</w:delText>
        </w:r>
        <w:r w:rsidR="00BF7825">
          <w:rPr>
            <w:sz w:val="22"/>
            <w:szCs w:val="22"/>
          </w:rPr>
          <w:delText>-</w:delText>
        </w:r>
        <w:r w:rsidRPr="008912CF">
          <w:rPr>
            <w:sz w:val="22"/>
            <w:szCs w:val="22"/>
          </w:rPr>
          <w:delText xml:space="preserve">comercialização casos raros de linfoma hepatoesplénico de </w:delText>
        </w:r>
        <w:r w:rsidR="00BF7825">
          <w:rPr>
            <w:sz w:val="22"/>
            <w:szCs w:val="22"/>
          </w:rPr>
          <w:delText>células</w:delText>
        </w:r>
        <w:r w:rsidR="00BF7825" w:rsidRPr="008912CF">
          <w:rPr>
            <w:sz w:val="22"/>
            <w:szCs w:val="22"/>
          </w:rPr>
          <w:delText xml:space="preserve"> </w:delText>
        </w:r>
        <w:r w:rsidRPr="008912CF">
          <w:rPr>
            <w:sz w:val="22"/>
            <w:szCs w:val="22"/>
          </w:rPr>
          <w:delText>T em doentes tratados com adalimumab (ver secção 4.4).</w:delText>
        </w:r>
      </w:del>
    </w:p>
    <w:p w14:paraId="1FB86B2E" w14:textId="3CDAFE81" w:rsidR="004462A0" w:rsidRPr="008912CF" w:rsidRDefault="004462A0">
      <w:pPr>
        <w:rPr>
          <w:del w:id="6614" w:author="AbbVie2" w:date="2025-05-13T16:39:00Z"/>
          <w:sz w:val="22"/>
          <w:szCs w:val="22"/>
        </w:rPr>
        <w:pPrChange w:id="6615" w:author="AbbVie2" w:date="2025-05-13T16:40:00Z">
          <w:pPr>
            <w:autoSpaceDE w:val="0"/>
            <w:autoSpaceDN w:val="0"/>
            <w:adjustRightInd w:val="0"/>
          </w:pPr>
        </w:pPrChange>
      </w:pPr>
    </w:p>
    <w:p w14:paraId="00F48FD8" w14:textId="3568C073" w:rsidR="004462A0" w:rsidRPr="008912CF" w:rsidRDefault="00615769">
      <w:pPr>
        <w:rPr>
          <w:del w:id="6616" w:author="AbbVie2" w:date="2025-05-13T16:39:00Z"/>
          <w:sz w:val="22"/>
          <w:szCs w:val="22"/>
          <w:u w:val="single"/>
        </w:rPr>
        <w:pPrChange w:id="6617" w:author="AbbVie2" w:date="2025-05-13T16:40:00Z">
          <w:pPr>
            <w:keepNext/>
            <w:autoSpaceDE w:val="0"/>
            <w:autoSpaceDN w:val="0"/>
            <w:adjustRightInd w:val="0"/>
          </w:pPr>
        </w:pPrChange>
      </w:pPr>
      <w:del w:id="6618" w:author="AbbVie2" w:date="2025-05-13T16:39:00Z">
        <w:r w:rsidRPr="008912CF">
          <w:rPr>
            <w:i/>
            <w:sz w:val="22"/>
            <w:szCs w:val="22"/>
          </w:rPr>
          <w:delText>Autoanticorpos</w:delText>
        </w:r>
      </w:del>
    </w:p>
    <w:p w14:paraId="413EF390" w14:textId="0EABCFDA" w:rsidR="004462A0" w:rsidRPr="008912CF" w:rsidRDefault="004462A0">
      <w:pPr>
        <w:rPr>
          <w:del w:id="6619" w:author="AbbVie2" w:date="2025-05-13T16:39:00Z"/>
          <w:sz w:val="22"/>
          <w:szCs w:val="22"/>
        </w:rPr>
        <w:pPrChange w:id="6620" w:author="AbbVie2" w:date="2025-05-13T16:40:00Z">
          <w:pPr>
            <w:keepNext/>
            <w:autoSpaceDE w:val="0"/>
            <w:autoSpaceDN w:val="0"/>
            <w:adjustRightInd w:val="0"/>
          </w:pPr>
        </w:pPrChange>
      </w:pPr>
    </w:p>
    <w:p w14:paraId="2712A798" w14:textId="05165E3F" w:rsidR="004462A0" w:rsidRPr="008912CF" w:rsidRDefault="00615769">
      <w:pPr>
        <w:rPr>
          <w:del w:id="6621" w:author="AbbVie2" w:date="2025-05-13T16:39:00Z"/>
          <w:sz w:val="22"/>
          <w:szCs w:val="22"/>
        </w:rPr>
        <w:pPrChange w:id="6622" w:author="AbbVie2" w:date="2025-05-13T16:40:00Z">
          <w:pPr>
            <w:keepNext/>
            <w:autoSpaceDE w:val="0"/>
            <w:autoSpaceDN w:val="0"/>
            <w:adjustRightInd w:val="0"/>
          </w:pPr>
        </w:pPrChange>
      </w:pPr>
      <w:del w:id="6623" w:author="AbbVie2" w:date="2025-05-13T16:39:00Z">
        <w:r w:rsidRPr="008912CF">
          <w:rPr>
            <w:sz w:val="22"/>
            <w:szCs w:val="22"/>
          </w:rPr>
          <w:delText xml:space="preserve">Foram </w:delText>
        </w:r>
        <w:r w:rsidR="00B5581D">
          <w:rPr>
            <w:sz w:val="22"/>
            <w:szCs w:val="22"/>
          </w:rPr>
          <w:delText>analisadas</w:delText>
        </w:r>
        <w:r w:rsidR="00B5581D" w:rsidRPr="008912CF">
          <w:rPr>
            <w:sz w:val="22"/>
            <w:szCs w:val="22"/>
          </w:rPr>
          <w:delText xml:space="preserve"> </w:delText>
        </w:r>
        <w:r w:rsidRPr="008912CF">
          <w:rPr>
            <w:sz w:val="22"/>
            <w:szCs w:val="22"/>
          </w:rPr>
          <w:delText>amostras de soro dos doentes em múltiplos pontos temporais para pesquisa de autoanticorpos nos estudos I-V na artrite reumatoide. Nestes ensaios, 11,9</w:delText>
        </w:r>
        <w:r w:rsidR="009343EF">
          <w:rPr>
            <w:sz w:val="22"/>
            <w:szCs w:val="22"/>
          </w:rPr>
          <w:delText>%</w:delText>
        </w:r>
        <w:r w:rsidRPr="008912CF">
          <w:rPr>
            <w:sz w:val="22"/>
            <w:szCs w:val="22"/>
          </w:rPr>
          <w:delText xml:space="preserve"> dos doentes tratados com Humira e 8,1</w:delText>
        </w:r>
        <w:r w:rsidR="009343EF">
          <w:rPr>
            <w:sz w:val="22"/>
            <w:szCs w:val="22"/>
          </w:rPr>
          <w:delText>%</w:delText>
        </w:r>
        <w:r w:rsidRPr="008912CF">
          <w:rPr>
            <w:sz w:val="22"/>
            <w:szCs w:val="22"/>
          </w:rPr>
          <w:delText xml:space="preserve"> dos doentes tratados com placebo e controlo ativo, cujos títulos de anticorpos antinucleares eram negativos no início do estudo, apresentavam títulos positivos na Semana 24. Dois dos 3.441 doentes tratados com Humira nos estudos </w:delText>
        </w:r>
        <w:r w:rsidR="00B5581D">
          <w:rPr>
            <w:sz w:val="22"/>
            <w:szCs w:val="22"/>
          </w:rPr>
          <w:delText>na</w:delText>
        </w:r>
        <w:r w:rsidR="00B5581D" w:rsidRPr="008912CF">
          <w:rPr>
            <w:sz w:val="22"/>
            <w:szCs w:val="22"/>
          </w:rPr>
          <w:delText xml:space="preserve"> </w:delText>
        </w:r>
        <w:r w:rsidRPr="008912CF">
          <w:rPr>
            <w:sz w:val="22"/>
            <w:szCs w:val="22"/>
          </w:rPr>
          <w:delText xml:space="preserve">artrite reumatoide e artrite psoriática desenvolveram, pela primeira vez, sinais clínicos sugestivos de uma síndrome tipo lúpus. O estado dos doentes melhorou após a suspensão da terapêutica. Nenhum doente desenvolveu nefrite lúpica ou sintomas a nível do sistema nervoso central. </w:delText>
        </w:r>
      </w:del>
    </w:p>
    <w:p w14:paraId="11B42DB7" w14:textId="462A42A5" w:rsidR="004462A0" w:rsidRPr="008912CF" w:rsidRDefault="004462A0">
      <w:pPr>
        <w:rPr>
          <w:del w:id="6624" w:author="AbbVie2" w:date="2025-05-13T16:39:00Z"/>
          <w:sz w:val="22"/>
          <w:szCs w:val="22"/>
        </w:rPr>
        <w:pPrChange w:id="6625" w:author="AbbVie2" w:date="2025-05-13T16:40:00Z">
          <w:pPr>
            <w:ind w:left="567" w:hanging="567"/>
          </w:pPr>
        </w:pPrChange>
      </w:pPr>
    </w:p>
    <w:p w14:paraId="484A817F" w14:textId="120C1289" w:rsidR="004462A0" w:rsidRPr="008912CF" w:rsidRDefault="00615769">
      <w:pPr>
        <w:rPr>
          <w:del w:id="6626" w:author="AbbVie2" w:date="2025-05-13T16:39:00Z"/>
          <w:sz w:val="22"/>
          <w:szCs w:val="22"/>
        </w:rPr>
        <w:pPrChange w:id="6627" w:author="AbbVie2" w:date="2025-05-13T16:40:00Z">
          <w:pPr>
            <w:ind w:left="567" w:hanging="567"/>
          </w:pPr>
        </w:pPrChange>
      </w:pPr>
      <w:del w:id="6628" w:author="AbbVie2" w:date="2025-05-13T16:39:00Z">
        <w:r w:rsidRPr="008912CF">
          <w:rPr>
            <w:i/>
            <w:sz w:val="22"/>
            <w:szCs w:val="22"/>
          </w:rPr>
          <w:delText>Efeitos hepatobiliares</w:delText>
        </w:r>
        <w:r w:rsidRPr="008912CF">
          <w:rPr>
            <w:sz w:val="22"/>
            <w:szCs w:val="22"/>
          </w:rPr>
          <w:delText xml:space="preserve"> </w:delText>
        </w:r>
      </w:del>
    </w:p>
    <w:p w14:paraId="6D56D1EE" w14:textId="742FC89D" w:rsidR="004462A0" w:rsidRPr="008912CF" w:rsidRDefault="004462A0" w:rsidP="00412FC8">
      <w:pPr>
        <w:rPr>
          <w:del w:id="6629" w:author="AbbVie2" w:date="2025-05-13T16:39:00Z"/>
          <w:i/>
          <w:iCs/>
          <w:sz w:val="22"/>
          <w:szCs w:val="22"/>
        </w:rPr>
      </w:pPr>
    </w:p>
    <w:p w14:paraId="36C08DC6" w14:textId="2BC219B8" w:rsidR="004462A0" w:rsidRPr="008912CF" w:rsidRDefault="00615769">
      <w:pPr>
        <w:rPr>
          <w:del w:id="6630" w:author="AbbVie2" w:date="2025-05-13T16:39:00Z"/>
          <w:szCs w:val="22"/>
        </w:rPr>
        <w:pPrChange w:id="6631" w:author="AbbVie2" w:date="2025-05-13T16:40:00Z">
          <w:pPr>
            <w:pStyle w:val="BodyText2"/>
            <w:autoSpaceDE/>
            <w:autoSpaceDN/>
            <w:adjustRightInd/>
          </w:pPr>
        </w:pPrChange>
      </w:pPr>
      <w:del w:id="6632" w:author="AbbVie2" w:date="2025-05-13T16:39:00Z">
        <w:r w:rsidRPr="008912CF">
          <w:rPr>
            <w:szCs w:val="22"/>
          </w:rPr>
          <w:delText>Nos ensaios clínicos de Fase 3 controlados de Humira, em doentes com artrite reumatoide (AR) e artrite psoriática, com um período de controlo compreendido entre 4 a 104 semanas, os aumentos de ALT ≥ 3 LNS ocorreram em 3,7</w:delText>
        </w:r>
        <w:r w:rsidR="009343EF">
          <w:rPr>
            <w:szCs w:val="22"/>
          </w:rPr>
          <w:delText>%</w:delText>
        </w:r>
        <w:r w:rsidRPr="008912CF">
          <w:rPr>
            <w:szCs w:val="22"/>
          </w:rPr>
          <w:delText xml:space="preserve"> dos doentes tratados com Humira e em 1,6</w:delText>
        </w:r>
        <w:r w:rsidR="009343EF">
          <w:rPr>
            <w:szCs w:val="22"/>
          </w:rPr>
          <w:delText>%</w:delText>
        </w:r>
        <w:r w:rsidRPr="008912CF">
          <w:rPr>
            <w:szCs w:val="22"/>
          </w:rPr>
          <w:delText xml:space="preserve"> dos doentes tratados com controlo. </w:delText>
        </w:r>
      </w:del>
    </w:p>
    <w:p w14:paraId="140BB794" w14:textId="50617505" w:rsidR="004462A0" w:rsidRPr="008912CF" w:rsidRDefault="004462A0">
      <w:pPr>
        <w:rPr>
          <w:del w:id="6633" w:author="AbbVie2" w:date="2025-05-13T16:39:00Z"/>
          <w:szCs w:val="22"/>
        </w:rPr>
        <w:pPrChange w:id="6634" w:author="AbbVie2" w:date="2025-05-13T16:40:00Z">
          <w:pPr>
            <w:pStyle w:val="BodyText2"/>
            <w:autoSpaceDE/>
            <w:autoSpaceDN/>
            <w:adjustRightInd/>
          </w:pPr>
        </w:pPrChange>
      </w:pPr>
    </w:p>
    <w:p w14:paraId="208E69A8" w14:textId="36A87D8A" w:rsidR="004462A0" w:rsidRPr="008912CF" w:rsidRDefault="00615769">
      <w:pPr>
        <w:rPr>
          <w:del w:id="6635" w:author="AbbVie2" w:date="2025-05-13T16:39:00Z"/>
          <w:szCs w:val="22"/>
        </w:rPr>
        <w:pPrChange w:id="6636" w:author="AbbVie2" w:date="2025-05-13T16:40:00Z">
          <w:pPr>
            <w:pStyle w:val="BodyText2"/>
          </w:pPr>
        </w:pPrChange>
      </w:pPr>
      <w:del w:id="6637" w:author="AbbVie2" w:date="2025-05-13T16:39:00Z">
        <w:r w:rsidRPr="008912CF">
          <w:rPr>
            <w:szCs w:val="22"/>
          </w:rPr>
          <w:delText>Nos ensaios clínicos de Fase 3 de Humira, em doentes com artrite idiopática juvenil</w:delText>
        </w:r>
        <w:r w:rsidR="00B5581D">
          <w:rPr>
            <w:szCs w:val="22"/>
          </w:rPr>
          <w:delText xml:space="preserve"> poliarticular</w:delText>
        </w:r>
        <w:r w:rsidRPr="008912CF">
          <w:rPr>
            <w:szCs w:val="22"/>
          </w:rPr>
          <w:delText>, dos 4 aos 17 anos de idade e com artrite relacionada com entesite, dos 6 aos 17 anos de idade, os aumentos de ALT ≥ 3 LNS ocorreram em 6,1% dos doentes tratados com Humira e em 1,3% dos doentes tratados com controlo. Os aumentos de ALT ocorreram na sua maioria em associação com metotrexato. Nos ensaios clínicos de Fase 3 de Humira, não se registaram casos de aumentos de ALT</w:delText>
        </w:r>
        <w:r w:rsidR="00B5581D">
          <w:rPr>
            <w:szCs w:val="22"/>
          </w:rPr>
          <w:delText xml:space="preserve"> </w:delText>
        </w:r>
        <w:r w:rsidRPr="008912CF">
          <w:rPr>
            <w:szCs w:val="22"/>
          </w:rPr>
          <w:delText>≥ 3 LNS em doentes com artrite idiopática juvenil poliarticular, com idades compreendidas entre os 2 e os 4 anos</w:delText>
        </w:r>
        <w:r w:rsidR="00B5581D">
          <w:rPr>
            <w:szCs w:val="22"/>
          </w:rPr>
          <w:delText>.</w:delText>
        </w:r>
      </w:del>
    </w:p>
    <w:p w14:paraId="1278110D" w14:textId="78E4E80D" w:rsidR="004462A0" w:rsidRPr="008912CF" w:rsidRDefault="004462A0">
      <w:pPr>
        <w:rPr>
          <w:del w:id="6638" w:author="AbbVie2" w:date="2025-05-13T16:39:00Z"/>
          <w:szCs w:val="22"/>
        </w:rPr>
        <w:pPrChange w:id="6639" w:author="AbbVie2" w:date="2025-05-13T16:40:00Z">
          <w:pPr>
            <w:pStyle w:val="BodyText2"/>
            <w:autoSpaceDE/>
            <w:autoSpaceDN/>
            <w:adjustRightInd/>
          </w:pPr>
        </w:pPrChange>
      </w:pPr>
    </w:p>
    <w:p w14:paraId="2332C9FC" w14:textId="08BA0BF6" w:rsidR="004462A0" w:rsidRPr="008912CF" w:rsidRDefault="00615769" w:rsidP="00412FC8">
      <w:pPr>
        <w:rPr>
          <w:del w:id="6640" w:author="AbbVie2" w:date="2025-05-13T16:39:00Z"/>
          <w:sz w:val="20"/>
          <w:szCs w:val="22"/>
        </w:rPr>
      </w:pPr>
      <w:del w:id="6641" w:author="AbbVie2" w:date="2025-05-13T16:39:00Z">
        <w:r w:rsidRPr="008912CF">
          <w:rPr>
            <w:sz w:val="22"/>
            <w:szCs w:val="22"/>
          </w:rPr>
          <w:delText>Nos ensaios clínicos de Fase 3 controlados de Humira, em doentes com</w:delText>
        </w:r>
        <w:r w:rsidRPr="008912CF">
          <w:rPr>
            <w:i/>
            <w:iCs/>
            <w:sz w:val="20"/>
            <w:szCs w:val="22"/>
          </w:rPr>
          <w:delText xml:space="preserve"> </w:delText>
        </w:r>
        <w:r w:rsidRPr="008912CF">
          <w:rPr>
            <w:iCs/>
            <w:sz w:val="22"/>
            <w:szCs w:val="22"/>
          </w:rPr>
          <w:delText>doença de Crohn e colite ulcerosa</w:delText>
        </w:r>
        <w:r w:rsidRPr="008912CF">
          <w:rPr>
            <w:iCs/>
            <w:sz w:val="20"/>
            <w:szCs w:val="22"/>
          </w:rPr>
          <w:delText>,</w:delText>
        </w:r>
        <w:r w:rsidRPr="008912CF">
          <w:rPr>
            <w:sz w:val="22"/>
            <w:szCs w:val="22"/>
          </w:rPr>
          <w:delText xml:space="preserve"> com um período de controlo compreendido entre 4 a 52 semanas, os aumentos de ALT </w:delText>
        </w:r>
        <w:r w:rsidRPr="008912CF">
          <w:rPr>
            <w:sz w:val="22"/>
          </w:rPr>
          <w:delText>≥ 3 LNS ocorreram em 0,9</w:delText>
        </w:r>
        <w:r w:rsidR="009343EF">
          <w:rPr>
            <w:sz w:val="22"/>
          </w:rPr>
          <w:delText>%</w:delText>
        </w:r>
        <w:r w:rsidRPr="008912CF">
          <w:rPr>
            <w:sz w:val="22"/>
          </w:rPr>
          <w:delText xml:space="preserve"> dos doentes tratados com Humira e em 0,9</w:delText>
        </w:r>
        <w:r w:rsidR="009343EF">
          <w:rPr>
            <w:sz w:val="22"/>
          </w:rPr>
          <w:delText>%</w:delText>
        </w:r>
        <w:r w:rsidRPr="008912CF">
          <w:rPr>
            <w:sz w:val="22"/>
          </w:rPr>
          <w:delText xml:space="preserve"> dos doentes tratados com controlo</w:delText>
        </w:r>
        <w:r w:rsidRPr="008912CF">
          <w:rPr>
            <w:sz w:val="20"/>
            <w:szCs w:val="22"/>
          </w:rPr>
          <w:delText>.</w:delText>
        </w:r>
      </w:del>
    </w:p>
    <w:p w14:paraId="6E7B8D1B" w14:textId="64699F34" w:rsidR="004462A0" w:rsidRPr="008912CF" w:rsidRDefault="004462A0" w:rsidP="00412FC8">
      <w:pPr>
        <w:rPr>
          <w:del w:id="6642" w:author="AbbVie2" w:date="2025-05-13T16:39:00Z"/>
          <w:sz w:val="22"/>
          <w:szCs w:val="22"/>
        </w:rPr>
      </w:pPr>
    </w:p>
    <w:p w14:paraId="14E1265E" w14:textId="3A21AB9A" w:rsidR="004462A0" w:rsidRPr="008912CF" w:rsidRDefault="00615769" w:rsidP="00412FC8">
      <w:pPr>
        <w:rPr>
          <w:del w:id="6643" w:author="AbbVie2" w:date="2025-05-13T16:39:00Z"/>
          <w:sz w:val="22"/>
          <w:szCs w:val="22"/>
        </w:rPr>
      </w:pPr>
      <w:del w:id="6644" w:author="AbbVie2" w:date="2025-05-13T16:39:00Z">
        <w:r w:rsidRPr="008912CF">
          <w:rPr>
            <w:sz w:val="22"/>
            <w:szCs w:val="22"/>
          </w:rPr>
          <w:delText>No ensaio clínico de Fase 3 de Humira, em doentes com</w:delText>
        </w:r>
        <w:r w:rsidRPr="008912CF">
          <w:rPr>
            <w:i/>
            <w:iCs/>
            <w:sz w:val="22"/>
            <w:szCs w:val="22"/>
          </w:rPr>
          <w:delText xml:space="preserve"> </w:delText>
        </w:r>
        <w:r w:rsidRPr="008912CF">
          <w:rPr>
            <w:iCs/>
            <w:sz w:val="22"/>
            <w:szCs w:val="22"/>
          </w:rPr>
          <w:delText xml:space="preserve">doença de Crohn pediátrica, que avaliou a eficácia e segurança de dois regimes posológicos </w:delText>
        </w:r>
        <w:r w:rsidRPr="008912CF">
          <w:rPr>
            <w:sz w:val="22"/>
            <w:szCs w:val="22"/>
          </w:rPr>
          <w:delText>de manutenção e indução ajustados ao peso corporal</w:delText>
        </w:r>
        <w:r w:rsidRPr="008912CF">
          <w:rPr>
            <w:iCs/>
            <w:sz w:val="22"/>
            <w:szCs w:val="22"/>
          </w:rPr>
          <w:delText xml:space="preserve"> durante 52 semanas de tratamento,</w:delText>
        </w:r>
        <w:r w:rsidRPr="008912CF">
          <w:rPr>
            <w:sz w:val="22"/>
            <w:szCs w:val="22"/>
          </w:rPr>
          <w:delText xml:space="preserve"> os aumentos de ALT ≥ 3 LNS ocorreram em 2,6</w:delText>
        </w:r>
        <w:r w:rsidR="009343EF">
          <w:rPr>
            <w:sz w:val="22"/>
            <w:szCs w:val="22"/>
          </w:rPr>
          <w:delText>%</w:delText>
        </w:r>
        <w:r w:rsidRPr="008912CF">
          <w:rPr>
            <w:sz w:val="22"/>
            <w:szCs w:val="22"/>
          </w:rPr>
          <w:delText xml:space="preserve"> (5/192) dos doentes</w:delText>
        </w:r>
        <w:r w:rsidR="0098579F">
          <w:rPr>
            <w:sz w:val="22"/>
            <w:szCs w:val="22"/>
          </w:rPr>
          <w:delText>,</w:delText>
        </w:r>
        <w:r w:rsidRPr="008912CF">
          <w:rPr>
            <w:sz w:val="22"/>
            <w:szCs w:val="22"/>
          </w:rPr>
          <w:delText xml:space="preserve"> </w:delText>
        </w:r>
        <w:r w:rsidR="0098579F">
          <w:rPr>
            <w:sz w:val="22"/>
            <w:szCs w:val="22"/>
          </w:rPr>
          <w:delText>dos</w:delText>
        </w:r>
        <w:r w:rsidRPr="008912CF">
          <w:rPr>
            <w:sz w:val="22"/>
            <w:szCs w:val="22"/>
          </w:rPr>
          <w:delText xml:space="preserve"> quais 4 receberam medicação imunossupressora concomitante no início do tratamento.</w:delText>
        </w:r>
      </w:del>
    </w:p>
    <w:p w14:paraId="1C89AACF" w14:textId="38C10392" w:rsidR="004462A0" w:rsidRPr="008912CF" w:rsidRDefault="004462A0" w:rsidP="00412FC8">
      <w:pPr>
        <w:rPr>
          <w:del w:id="6645" w:author="AbbVie2" w:date="2025-05-13T16:39:00Z"/>
          <w:sz w:val="22"/>
          <w:szCs w:val="22"/>
        </w:rPr>
      </w:pPr>
    </w:p>
    <w:p w14:paraId="686A85B0" w14:textId="2DC0AC59" w:rsidR="004462A0" w:rsidRPr="008912CF" w:rsidRDefault="00615769" w:rsidP="00412FC8">
      <w:pPr>
        <w:rPr>
          <w:del w:id="6646" w:author="AbbVie2" w:date="2025-05-13T16:39:00Z"/>
          <w:sz w:val="22"/>
          <w:szCs w:val="22"/>
        </w:rPr>
      </w:pPr>
      <w:del w:id="6647" w:author="AbbVie2" w:date="2025-05-13T16:39:00Z">
        <w:r w:rsidRPr="008912CF">
          <w:rPr>
            <w:sz w:val="22"/>
            <w:szCs w:val="22"/>
          </w:rPr>
          <w:delText>Nos ensaios clínicos controlados de Fase 3 de Humira, em doentes com</w:delText>
        </w:r>
        <w:r w:rsidRPr="008912CF">
          <w:rPr>
            <w:i/>
            <w:iCs/>
            <w:sz w:val="22"/>
            <w:szCs w:val="22"/>
          </w:rPr>
          <w:delText xml:space="preserve"> </w:delText>
        </w:r>
        <w:r w:rsidRPr="008912CF">
          <w:rPr>
            <w:iCs/>
            <w:sz w:val="22"/>
            <w:szCs w:val="22"/>
          </w:rPr>
          <w:delText>psoríase em placas,</w:delText>
        </w:r>
        <w:r w:rsidRPr="008912CF">
          <w:rPr>
            <w:sz w:val="22"/>
            <w:szCs w:val="22"/>
          </w:rPr>
          <w:delText xml:space="preserve"> com um período de controlo compreendido entre 12 a 24 semanas, os aumentos de ALT ≥ 3 LNS ocorreram em 1,8</w:delText>
        </w:r>
        <w:r w:rsidR="009343EF">
          <w:rPr>
            <w:sz w:val="22"/>
            <w:szCs w:val="22"/>
          </w:rPr>
          <w:delText>%</w:delText>
        </w:r>
        <w:r w:rsidRPr="008912CF">
          <w:rPr>
            <w:sz w:val="22"/>
            <w:szCs w:val="22"/>
          </w:rPr>
          <w:delText xml:space="preserve"> dos doentes tratados com Humira e em 1,8</w:delText>
        </w:r>
        <w:r w:rsidR="009343EF">
          <w:rPr>
            <w:sz w:val="22"/>
            <w:szCs w:val="22"/>
          </w:rPr>
          <w:delText>%</w:delText>
        </w:r>
        <w:r w:rsidRPr="008912CF">
          <w:rPr>
            <w:sz w:val="22"/>
            <w:szCs w:val="22"/>
          </w:rPr>
          <w:delText xml:space="preserve"> dos doentes tratados com controlo.</w:delText>
        </w:r>
      </w:del>
    </w:p>
    <w:p w14:paraId="59979D82" w14:textId="53A09086" w:rsidR="004462A0" w:rsidRPr="008912CF" w:rsidRDefault="004462A0" w:rsidP="00412FC8">
      <w:pPr>
        <w:rPr>
          <w:del w:id="6648" w:author="AbbVie2" w:date="2025-05-13T16:39:00Z"/>
          <w:sz w:val="22"/>
          <w:szCs w:val="22"/>
        </w:rPr>
      </w:pPr>
    </w:p>
    <w:p w14:paraId="288265A3" w14:textId="6AA10970" w:rsidR="004462A0" w:rsidRPr="008912CF" w:rsidRDefault="00615769" w:rsidP="00412FC8">
      <w:pPr>
        <w:rPr>
          <w:del w:id="6649" w:author="AbbVie2" w:date="2025-05-13T16:39:00Z"/>
          <w:sz w:val="22"/>
          <w:szCs w:val="22"/>
        </w:rPr>
      </w:pPr>
      <w:del w:id="6650" w:author="AbbVie2" w:date="2025-05-13T16:39:00Z">
        <w:r w:rsidRPr="008912CF">
          <w:rPr>
            <w:sz w:val="22"/>
            <w:szCs w:val="22"/>
          </w:rPr>
          <w:delText>Nos ensaios clínicos de Fase 3 de Humira</w:delText>
        </w:r>
        <w:r w:rsidR="00A4692F">
          <w:rPr>
            <w:sz w:val="22"/>
            <w:szCs w:val="22"/>
          </w:rPr>
          <w:delText>,</w:delText>
        </w:r>
        <w:r w:rsidRPr="008912CF">
          <w:rPr>
            <w:sz w:val="22"/>
            <w:szCs w:val="22"/>
          </w:rPr>
          <w:delText xml:space="preserve"> em doentes pediátricos com psoríase em placas, não se registaram aumentos de ALT</w:delText>
        </w:r>
        <w:r w:rsidR="00A4692F">
          <w:rPr>
            <w:sz w:val="22"/>
            <w:szCs w:val="22"/>
          </w:rPr>
          <w:delText xml:space="preserve"> </w:delText>
        </w:r>
        <w:r w:rsidRPr="008912CF">
          <w:rPr>
            <w:sz w:val="22"/>
            <w:szCs w:val="22"/>
          </w:rPr>
          <w:delText>≥ 3 LNS.</w:delText>
        </w:r>
      </w:del>
    </w:p>
    <w:p w14:paraId="2D81D6CA" w14:textId="3EF3F098" w:rsidR="004462A0" w:rsidRPr="008912CF" w:rsidRDefault="004462A0" w:rsidP="00412FC8">
      <w:pPr>
        <w:rPr>
          <w:del w:id="6651" w:author="AbbVie2" w:date="2025-05-13T16:39:00Z"/>
          <w:sz w:val="22"/>
          <w:szCs w:val="22"/>
        </w:rPr>
      </w:pPr>
    </w:p>
    <w:p w14:paraId="6919BC2D" w14:textId="33DF77F4" w:rsidR="004462A0" w:rsidRPr="008912CF" w:rsidRDefault="00615769" w:rsidP="00412FC8">
      <w:pPr>
        <w:rPr>
          <w:del w:id="6652" w:author="AbbVie2" w:date="2025-05-13T16:39:00Z"/>
          <w:sz w:val="22"/>
          <w:szCs w:val="22"/>
        </w:rPr>
      </w:pPr>
      <w:del w:id="6653" w:author="AbbVie2" w:date="2025-05-13T16:39:00Z">
        <w:r w:rsidRPr="008912CF">
          <w:rPr>
            <w:sz w:val="22"/>
            <w:szCs w:val="22"/>
          </w:rPr>
          <w:delText>Nos ensaios clínicos controlados de Humira (doses iniciais de 160 mg na Semana 0 e 80 mg na Semana 2, seguid</w:delText>
        </w:r>
        <w:r>
          <w:rPr>
            <w:sz w:val="22"/>
            <w:szCs w:val="22"/>
          </w:rPr>
          <w:delText>a</w:delText>
        </w:r>
        <w:r w:rsidRPr="008912CF">
          <w:rPr>
            <w:sz w:val="22"/>
            <w:szCs w:val="22"/>
          </w:rPr>
          <w:delText xml:space="preserve"> de 40 mg por semana a partir da Semana 4), em doentes com hidradenite supurativa, com um período de controlo compreendido entre 12 e 16 semanas, os aumentos de ALT ≥ 3 LN</w:delText>
        </w:r>
        <w:r w:rsidR="00FC7E81">
          <w:rPr>
            <w:sz w:val="22"/>
            <w:szCs w:val="22"/>
          </w:rPr>
          <w:delText>S</w:delText>
        </w:r>
        <w:r w:rsidRPr="008912CF">
          <w:rPr>
            <w:sz w:val="22"/>
            <w:szCs w:val="22"/>
          </w:rPr>
          <w:delText xml:space="preserve"> ocorreram em 0,3</w:delText>
        </w:r>
        <w:r w:rsidR="009343EF">
          <w:rPr>
            <w:sz w:val="22"/>
            <w:szCs w:val="22"/>
          </w:rPr>
          <w:delText>%</w:delText>
        </w:r>
        <w:r w:rsidRPr="008912CF">
          <w:rPr>
            <w:sz w:val="22"/>
            <w:szCs w:val="22"/>
          </w:rPr>
          <w:delText xml:space="preserve"> dos doentes tratados com Humira e em 0,6</w:delText>
        </w:r>
        <w:r w:rsidR="009343EF">
          <w:rPr>
            <w:sz w:val="22"/>
            <w:szCs w:val="22"/>
          </w:rPr>
          <w:delText>%</w:delText>
        </w:r>
        <w:r w:rsidRPr="008912CF">
          <w:rPr>
            <w:sz w:val="22"/>
            <w:szCs w:val="22"/>
          </w:rPr>
          <w:delText xml:space="preserve"> dos doentes tratados com controlo.</w:delText>
        </w:r>
      </w:del>
    </w:p>
    <w:p w14:paraId="1B54FE6A" w14:textId="1F098E41" w:rsidR="004462A0" w:rsidRDefault="004462A0" w:rsidP="00412FC8">
      <w:pPr>
        <w:rPr>
          <w:del w:id="6654" w:author="AbbVie2" w:date="2025-05-13T16:39:00Z"/>
          <w:sz w:val="22"/>
          <w:szCs w:val="22"/>
        </w:rPr>
      </w:pPr>
    </w:p>
    <w:p w14:paraId="26B0E9D9" w14:textId="083AD117" w:rsidR="004462A0" w:rsidRDefault="00615769" w:rsidP="00412FC8">
      <w:pPr>
        <w:rPr>
          <w:del w:id="6655" w:author="AbbVie2" w:date="2025-05-13T16:39:00Z"/>
          <w:sz w:val="22"/>
          <w:szCs w:val="22"/>
        </w:rPr>
      </w:pPr>
      <w:del w:id="6656" w:author="AbbVie2" w:date="2025-05-13T16:39:00Z">
        <w:r w:rsidRPr="00185B88">
          <w:rPr>
            <w:sz w:val="22"/>
            <w:szCs w:val="22"/>
          </w:rPr>
          <w:delText xml:space="preserve">Nos ensaios clínicos controlados de Humira (doses iniciais de </w:delText>
        </w:r>
        <w:r>
          <w:rPr>
            <w:sz w:val="22"/>
            <w:szCs w:val="22"/>
          </w:rPr>
          <w:delText>8</w:delText>
        </w:r>
        <w:r w:rsidRPr="00185B88">
          <w:rPr>
            <w:sz w:val="22"/>
            <w:szCs w:val="22"/>
          </w:rPr>
          <w:delText>0 mg na Semana 0</w:delText>
        </w:r>
        <w:r>
          <w:rPr>
            <w:sz w:val="22"/>
            <w:szCs w:val="22"/>
          </w:rPr>
          <w:delText>,</w:delText>
        </w:r>
        <w:r w:rsidRPr="00185B88">
          <w:rPr>
            <w:sz w:val="22"/>
            <w:szCs w:val="22"/>
          </w:rPr>
          <w:delText xml:space="preserve"> seguid</w:delText>
        </w:r>
        <w:r>
          <w:rPr>
            <w:sz w:val="22"/>
            <w:szCs w:val="22"/>
          </w:rPr>
          <w:delText>a</w:delText>
        </w:r>
        <w:r w:rsidRPr="00185B88">
          <w:rPr>
            <w:sz w:val="22"/>
            <w:szCs w:val="22"/>
          </w:rPr>
          <w:delText xml:space="preserve"> de 40 mg </w:delText>
        </w:r>
        <w:r>
          <w:rPr>
            <w:sz w:val="22"/>
            <w:szCs w:val="22"/>
          </w:rPr>
          <w:delText xml:space="preserve">em semanas alternadas </w:delText>
        </w:r>
        <w:r w:rsidRPr="00185B88">
          <w:rPr>
            <w:sz w:val="22"/>
            <w:szCs w:val="22"/>
          </w:rPr>
          <w:delText xml:space="preserve">a partir da Semana </w:delText>
        </w:r>
        <w:r>
          <w:rPr>
            <w:sz w:val="22"/>
            <w:szCs w:val="22"/>
          </w:rPr>
          <w:delText>1</w:delText>
        </w:r>
        <w:r w:rsidRPr="00185B88">
          <w:rPr>
            <w:sz w:val="22"/>
            <w:szCs w:val="22"/>
          </w:rPr>
          <w:delText xml:space="preserve">), em doentes </w:delText>
        </w:r>
        <w:r w:rsidR="00A22EC4">
          <w:rPr>
            <w:sz w:val="22"/>
            <w:szCs w:val="22"/>
          </w:rPr>
          <w:delText xml:space="preserve">adultos </w:delText>
        </w:r>
        <w:r w:rsidRPr="00185B88">
          <w:rPr>
            <w:sz w:val="22"/>
            <w:szCs w:val="22"/>
          </w:rPr>
          <w:delText>com</w:delText>
        </w:r>
        <w:r>
          <w:rPr>
            <w:sz w:val="22"/>
            <w:szCs w:val="22"/>
          </w:rPr>
          <w:delText xml:space="preserve"> uveíte, </w:delText>
        </w:r>
        <w:r w:rsidR="00A4692F">
          <w:rPr>
            <w:sz w:val="22"/>
            <w:szCs w:val="22"/>
          </w:rPr>
          <w:delText xml:space="preserve">até </w:delText>
        </w:r>
        <w:r>
          <w:rPr>
            <w:sz w:val="22"/>
            <w:szCs w:val="22"/>
          </w:rPr>
          <w:delText xml:space="preserve">80 semanas, com uma exposição </w:delText>
        </w:r>
        <w:r w:rsidR="00A4692F">
          <w:rPr>
            <w:sz w:val="22"/>
            <w:szCs w:val="22"/>
          </w:rPr>
          <w:delText xml:space="preserve">mediana </w:delText>
        </w:r>
        <w:r>
          <w:rPr>
            <w:sz w:val="22"/>
            <w:szCs w:val="22"/>
          </w:rPr>
          <w:delText>de 166,5 dias e 105,0 dias em doentes tratados com Humira e doentes tratados com controlo, respetivamente, os aumentos de ALT </w:delText>
        </w:r>
        <w:r w:rsidRPr="005955F5">
          <w:rPr>
            <w:sz w:val="22"/>
            <w:szCs w:val="22"/>
          </w:rPr>
          <w:delText>≥</w:delText>
        </w:r>
        <w:r>
          <w:rPr>
            <w:sz w:val="22"/>
            <w:szCs w:val="22"/>
          </w:rPr>
          <w:delText> </w:delText>
        </w:r>
        <w:r w:rsidRPr="005955F5">
          <w:rPr>
            <w:sz w:val="22"/>
            <w:szCs w:val="22"/>
          </w:rPr>
          <w:delText>3 LNS</w:delText>
        </w:r>
        <w:r>
          <w:rPr>
            <w:sz w:val="22"/>
            <w:szCs w:val="22"/>
          </w:rPr>
          <w:delText xml:space="preserve"> ocorreram em 2,4</w:delText>
        </w:r>
        <w:r w:rsidR="009343EF">
          <w:rPr>
            <w:sz w:val="22"/>
            <w:szCs w:val="22"/>
          </w:rPr>
          <w:delText>%</w:delText>
        </w:r>
        <w:r>
          <w:rPr>
            <w:sz w:val="22"/>
            <w:szCs w:val="22"/>
          </w:rPr>
          <w:delText xml:space="preserve"> dos doentes tratados com Humira e em 2,4</w:delText>
        </w:r>
        <w:r w:rsidR="009343EF">
          <w:rPr>
            <w:sz w:val="22"/>
            <w:szCs w:val="22"/>
          </w:rPr>
          <w:delText>%</w:delText>
        </w:r>
        <w:r>
          <w:rPr>
            <w:sz w:val="22"/>
            <w:szCs w:val="22"/>
          </w:rPr>
          <w:delText xml:space="preserve"> dos doentes tratados com controlo.</w:delText>
        </w:r>
      </w:del>
    </w:p>
    <w:p w14:paraId="6C07EC4B" w14:textId="537423FD" w:rsidR="004462A0" w:rsidRDefault="004462A0" w:rsidP="00412FC8">
      <w:pPr>
        <w:rPr>
          <w:del w:id="6657" w:author="AbbVie2" w:date="2025-05-13T16:39:00Z"/>
          <w:sz w:val="22"/>
          <w:szCs w:val="22"/>
        </w:rPr>
      </w:pPr>
    </w:p>
    <w:p w14:paraId="0700D782" w14:textId="43D4042E" w:rsidR="00E3620C" w:rsidRDefault="00615769" w:rsidP="00412FC8">
      <w:pPr>
        <w:rPr>
          <w:del w:id="6658" w:author="AbbVie2" w:date="2025-05-13T16:39:00Z"/>
          <w:sz w:val="22"/>
          <w:szCs w:val="22"/>
        </w:rPr>
      </w:pPr>
      <w:del w:id="6659" w:author="AbbVie2" w:date="2025-05-13T16:39:00Z">
        <w:r w:rsidRPr="00E3620C">
          <w:rPr>
            <w:sz w:val="22"/>
            <w:szCs w:val="22"/>
          </w:rPr>
          <w:delText>No ensaio clínico controlado de Fase 3 de Humira, em doentes com colite ulcerosa pediátrica (N=93), que avaliou a eficácia e segurança de uma dose de manutenção de 0,6 mg/kg (</w:delText>
        </w:r>
        <w:r w:rsidR="007916BF">
          <w:rPr>
            <w:sz w:val="22"/>
            <w:szCs w:val="22"/>
          </w:rPr>
          <w:delText>máximo de </w:delText>
        </w:r>
        <w:r w:rsidRPr="00E3620C">
          <w:rPr>
            <w:sz w:val="22"/>
            <w:szCs w:val="22"/>
          </w:rPr>
          <w:delText>40 mg) em semanas alternadas (N=31) e de uma dose de manutenção de 0,6 mg/kg (máximo</w:delText>
        </w:r>
        <w:r w:rsidR="007916BF">
          <w:rPr>
            <w:sz w:val="22"/>
            <w:szCs w:val="22"/>
          </w:rPr>
          <w:delText xml:space="preserve"> de </w:delText>
        </w:r>
        <w:r w:rsidRPr="00E3620C">
          <w:rPr>
            <w:sz w:val="22"/>
            <w:szCs w:val="22"/>
          </w:rPr>
          <w:delText>40 mg) semanalmente (N=32), após uma dose de indução ajustada ao peso corporal de 2,4 mg/kg (</w:delText>
        </w:r>
        <w:r w:rsidR="007916BF">
          <w:rPr>
            <w:sz w:val="22"/>
            <w:szCs w:val="22"/>
          </w:rPr>
          <w:delText>máximo de</w:delText>
        </w:r>
        <w:r w:rsidRPr="00E3620C">
          <w:rPr>
            <w:sz w:val="22"/>
            <w:szCs w:val="22"/>
          </w:rPr>
          <w:delText> 160 mg) na Semana 0 e na Semana 1, e de 1,2 mg/kg (</w:delText>
        </w:r>
        <w:r w:rsidR="007916BF">
          <w:rPr>
            <w:sz w:val="22"/>
            <w:szCs w:val="22"/>
          </w:rPr>
          <w:delText>máximo de</w:delText>
        </w:r>
        <w:r w:rsidRPr="00E3620C">
          <w:rPr>
            <w:sz w:val="22"/>
            <w:szCs w:val="22"/>
          </w:rPr>
          <w:delText> 80 mg) na Semana 2 (N=63), ou uma dose de indução de 2,4 mg/kg (</w:delText>
        </w:r>
        <w:r w:rsidR="007916BF">
          <w:rPr>
            <w:sz w:val="22"/>
            <w:szCs w:val="22"/>
          </w:rPr>
          <w:delText>máximo de</w:delText>
        </w:r>
        <w:r w:rsidRPr="00E3620C">
          <w:rPr>
            <w:sz w:val="22"/>
            <w:szCs w:val="22"/>
          </w:rPr>
          <w:delText> 160 mg) na Semana 0, placebo na Semana 1, e 1,2 mg/kg (</w:delText>
        </w:r>
        <w:r w:rsidR="007916BF">
          <w:rPr>
            <w:sz w:val="22"/>
            <w:szCs w:val="22"/>
          </w:rPr>
          <w:delText>máximo de</w:delText>
        </w:r>
        <w:r w:rsidRPr="00E3620C">
          <w:rPr>
            <w:sz w:val="22"/>
            <w:szCs w:val="22"/>
          </w:rPr>
          <w:delText> 80 mg) na Semana 2 (N=30), os aumentos de ALT ≥ 3 LNS ocorreram em 1,1% (1/93) dos doentes.</w:delText>
        </w:r>
      </w:del>
    </w:p>
    <w:p w14:paraId="46585D2F" w14:textId="37B13D91" w:rsidR="00E3620C" w:rsidRPr="008912CF" w:rsidRDefault="00E3620C" w:rsidP="00412FC8">
      <w:pPr>
        <w:rPr>
          <w:del w:id="6660" w:author="AbbVie2" w:date="2025-05-13T16:39:00Z"/>
          <w:sz w:val="22"/>
          <w:szCs w:val="22"/>
        </w:rPr>
      </w:pPr>
    </w:p>
    <w:p w14:paraId="46FBAE70" w14:textId="1DF1F3AE" w:rsidR="004462A0" w:rsidRPr="008912CF" w:rsidRDefault="00615769" w:rsidP="00412FC8">
      <w:pPr>
        <w:rPr>
          <w:del w:id="6661" w:author="AbbVie2" w:date="2025-05-13T16:39:00Z"/>
          <w:sz w:val="22"/>
          <w:szCs w:val="22"/>
        </w:rPr>
      </w:pPr>
      <w:del w:id="6662" w:author="AbbVie2" w:date="2025-05-13T16:39:00Z">
        <w:r w:rsidRPr="008912CF">
          <w:rPr>
            <w:sz w:val="22"/>
            <w:szCs w:val="22"/>
          </w:rPr>
          <w:delText>Nos ensaios clínicos, em todas as indicações, os doentes com ALT aumentada estavam assintomáticos</w:delText>
        </w:r>
        <w:r w:rsidR="00A4692F">
          <w:rPr>
            <w:sz w:val="22"/>
            <w:szCs w:val="22"/>
          </w:rPr>
          <w:delText>,</w:delText>
        </w:r>
        <w:r w:rsidRPr="008912CF">
          <w:rPr>
            <w:sz w:val="22"/>
            <w:szCs w:val="22"/>
          </w:rPr>
          <w:delText xml:space="preserve"> e na maioria dos casos os aumentos foram transitórios e resolvidos com a continuação do tratamento. Contudo, foram também notificadas, em fase de pós</w:delText>
        </w:r>
        <w:r w:rsidR="00A4692F">
          <w:rPr>
            <w:sz w:val="22"/>
            <w:szCs w:val="22"/>
          </w:rPr>
          <w:delText>-</w:delText>
        </w:r>
        <w:r w:rsidRPr="008912CF">
          <w:rPr>
            <w:sz w:val="22"/>
            <w:szCs w:val="22"/>
          </w:rPr>
          <w:delText>comercialização, insuficiência hepática e afeções hepáticas menos graves</w:delText>
        </w:r>
        <w:r w:rsidR="00A4692F">
          <w:rPr>
            <w:sz w:val="22"/>
            <w:szCs w:val="22"/>
          </w:rPr>
          <w:delText>,</w:delText>
        </w:r>
        <w:r w:rsidRPr="008912CF">
          <w:rPr>
            <w:sz w:val="22"/>
            <w:szCs w:val="22"/>
          </w:rPr>
          <w:delText xml:space="preserve"> que podem preceder a insuficiência hepática, tal como hepatite, incluindo hepatite autoimune, em doentes tratados com adalimumab.</w:delText>
        </w:r>
      </w:del>
    </w:p>
    <w:p w14:paraId="405FDAC6" w14:textId="661E21D7" w:rsidR="004462A0" w:rsidRPr="008912CF" w:rsidRDefault="004462A0">
      <w:pPr>
        <w:rPr>
          <w:del w:id="6663" w:author="AbbVie2" w:date="2025-05-13T16:39:00Z"/>
          <w:szCs w:val="22"/>
          <w:u w:val="single"/>
        </w:rPr>
        <w:pPrChange w:id="6664" w:author="AbbVie2" w:date="2025-05-13T16:40:00Z">
          <w:pPr>
            <w:pStyle w:val="EMEANormal"/>
          </w:pPr>
        </w:pPrChange>
      </w:pPr>
    </w:p>
    <w:p w14:paraId="3858C0D6" w14:textId="39D580A7" w:rsidR="004462A0" w:rsidRPr="008912CF" w:rsidRDefault="00615769">
      <w:pPr>
        <w:rPr>
          <w:del w:id="6665" w:author="AbbVie2" w:date="2025-05-13T16:39:00Z"/>
          <w:szCs w:val="22"/>
          <w:u w:val="single"/>
        </w:rPr>
        <w:pPrChange w:id="6666" w:author="AbbVie2" w:date="2025-05-13T16:40:00Z">
          <w:pPr>
            <w:pStyle w:val="EMEANormal"/>
          </w:pPr>
        </w:pPrChange>
      </w:pPr>
      <w:del w:id="6667" w:author="AbbVie2" w:date="2025-05-13T16:39:00Z">
        <w:r w:rsidRPr="008912CF">
          <w:rPr>
            <w:szCs w:val="22"/>
            <w:u w:val="single"/>
          </w:rPr>
          <w:delText>Administração concomitante com azatioprina/6-mercaptopurina</w:delText>
        </w:r>
      </w:del>
    </w:p>
    <w:p w14:paraId="3FEAA297" w14:textId="4EB54695" w:rsidR="004462A0" w:rsidRPr="008912CF" w:rsidRDefault="004462A0">
      <w:pPr>
        <w:rPr>
          <w:del w:id="6668" w:author="AbbVie2" w:date="2025-05-13T16:39:00Z"/>
          <w:iCs/>
          <w:szCs w:val="22"/>
        </w:rPr>
        <w:pPrChange w:id="6669" w:author="AbbVie2" w:date="2025-05-13T16:40:00Z">
          <w:pPr>
            <w:pStyle w:val="EMEANormal"/>
          </w:pPr>
        </w:pPrChange>
      </w:pPr>
    </w:p>
    <w:p w14:paraId="276C5452" w14:textId="411F47FB" w:rsidR="004462A0" w:rsidRPr="008912CF" w:rsidRDefault="00615769" w:rsidP="00412FC8">
      <w:pPr>
        <w:rPr>
          <w:del w:id="6670" w:author="AbbVie2" w:date="2025-05-13T16:39:00Z"/>
          <w:sz w:val="22"/>
          <w:szCs w:val="22"/>
        </w:rPr>
      </w:pPr>
      <w:del w:id="6671" w:author="AbbVie2" w:date="2025-05-13T16:39:00Z">
        <w:r w:rsidRPr="008912CF">
          <w:rPr>
            <w:sz w:val="22"/>
            <w:szCs w:val="22"/>
          </w:rPr>
          <w:delText>Em ensaios realizados em adultos com doença de Crohn, com administração concomitante de Humira e azatioprina/6-mercaptopurina, foram observados acontecimentos adversos com uma maior incidência de neoplasias e infeções graves, quando comparados com a utilização de Humira isoladamente.</w:delText>
        </w:r>
      </w:del>
    </w:p>
    <w:p w14:paraId="01EBA2FD" w14:textId="68195128" w:rsidR="004462A0" w:rsidRPr="008912CF" w:rsidRDefault="004462A0" w:rsidP="00412FC8">
      <w:pPr>
        <w:rPr>
          <w:del w:id="6672" w:author="AbbVie2" w:date="2025-05-13T16:39:00Z"/>
        </w:rPr>
      </w:pPr>
    </w:p>
    <w:p w14:paraId="47D8652E" w14:textId="1B715F80" w:rsidR="004462A0" w:rsidRPr="008912CF" w:rsidRDefault="00615769">
      <w:pPr>
        <w:rPr>
          <w:del w:id="6673" w:author="AbbVie2" w:date="2025-05-13T16:39:00Z"/>
          <w:sz w:val="22"/>
          <w:szCs w:val="22"/>
          <w:u w:val="single"/>
        </w:rPr>
        <w:pPrChange w:id="6674" w:author="AbbVie2" w:date="2025-05-13T16:40:00Z">
          <w:pPr>
            <w:keepNext/>
            <w:suppressAutoHyphens/>
          </w:pPr>
        </w:pPrChange>
      </w:pPr>
      <w:del w:id="6675" w:author="AbbVie2" w:date="2025-05-13T16:39:00Z">
        <w:r w:rsidRPr="008912CF">
          <w:rPr>
            <w:sz w:val="22"/>
            <w:szCs w:val="22"/>
            <w:u w:val="single"/>
          </w:rPr>
          <w:delText>Notificação de suspeitas de reações adversas</w:delText>
        </w:r>
      </w:del>
    </w:p>
    <w:p w14:paraId="53AE6210" w14:textId="67697EAD" w:rsidR="004462A0" w:rsidRPr="008912CF" w:rsidRDefault="004462A0">
      <w:pPr>
        <w:rPr>
          <w:del w:id="6676" w:author="AbbVie2" w:date="2025-05-13T16:39:00Z"/>
          <w:sz w:val="22"/>
          <w:szCs w:val="22"/>
        </w:rPr>
        <w:pPrChange w:id="6677" w:author="AbbVie2" w:date="2025-05-13T16:40:00Z">
          <w:pPr>
            <w:keepNext/>
            <w:suppressAutoHyphens/>
          </w:pPr>
        </w:pPrChange>
      </w:pPr>
    </w:p>
    <w:p w14:paraId="63F4F42D" w14:textId="69627496" w:rsidR="004462A0" w:rsidRPr="008912CF" w:rsidRDefault="00615769">
      <w:pPr>
        <w:rPr>
          <w:del w:id="6678" w:author="AbbVie2" w:date="2025-05-13T16:39:00Z"/>
        </w:rPr>
        <w:pPrChange w:id="6679" w:author="AbbVie2" w:date="2025-05-13T16:40:00Z">
          <w:pPr>
            <w:keepNext/>
          </w:pPr>
        </w:pPrChange>
      </w:pPr>
      <w:del w:id="6680" w:author="AbbVie2" w:date="2025-05-13T16:39:00Z">
        <w:r w:rsidRPr="008912CF">
          <w:rPr>
            <w:sz w:val="22"/>
            <w:szCs w:val="22"/>
          </w:rPr>
          <w:delText>A notificação de suspeitas de reações adversas após a autorização do medicamento é importante</w:delText>
        </w:r>
        <w:r w:rsidR="00A4692F">
          <w:rPr>
            <w:sz w:val="22"/>
            <w:szCs w:val="22"/>
          </w:rPr>
          <w:delText>, uma vez que</w:delText>
        </w:r>
        <w:r w:rsidRPr="008912CF">
          <w:rPr>
            <w:sz w:val="22"/>
            <w:szCs w:val="22"/>
          </w:rPr>
          <w:delText xml:space="preserve"> permite uma monitorização contínua da relação benefício</w:delText>
        </w:r>
        <w:r w:rsidR="00A4692F">
          <w:rPr>
            <w:sz w:val="22"/>
            <w:szCs w:val="22"/>
          </w:rPr>
          <w:delText>-</w:delText>
        </w:r>
        <w:r w:rsidRPr="008912CF">
          <w:rPr>
            <w:sz w:val="22"/>
            <w:szCs w:val="22"/>
          </w:rPr>
          <w:delText xml:space="preserve">risco do medicamento. Pede-se aos profissionais de saúde que notifiquem quaisquer suspeitas de reações adversas através </w:delText>
        </w:r>
        <w:r w:rsidRPr="008912CF">
          <w:rPr>
            <w:sz w:val="22"/>
            <w:szCs w:val="22"/>
            <w:highlight w:val="lightGray"/>
          </w:rPr>
          <w:delText xml:space="preserve">do sistema nacional de notificação mencionado no </w:delText>
        </w:r>
        <w:r>
          <w:fldChar w:fldCharType="begin"/>
        </w:r>
        <w:r>
          <w:delInstrText>HYPERLINK "http://www.ema.europa.eu/docs/en_GB/document_library/Template_or_form/2013/03/WC500139752.doc"</w:delInstrText>
        </w:r>
        <w:r>
          <w:fldChar w:fldCharType="separate"/>
        </w:r>
        <w:r w:rsidRPr="008912CF">
          <w:rPr>
            <w:rStyle w:val="Hyperlink"/>
            <w:sz w:val="22"/>
            <w:szCs w:val="22"/>
            <w:highlight w:val="lightGray"/>
          </w:rPr>
          <w:delText>Apêndice V</w:delText>
        </w:r>
        <w:r>
          <w:fldChar w:fldCharType="end"/>
        </w:r>
        <w:r w:rsidRPr="008912CF">
          <w:rPr>
            <w:sz w:val="22"/>
            <w:szCs w:val="22"/>
            <w:highlight w:val="lightGray"/>
          </w:rPr>
          <w:delText>.</w:delText>
        </w:r>
      </w:del>
    </w:p>
    <w:p w14:paraId="47483F8F" w14:textId="011F9209" w:rsidR="004462A0" w:rsidRPr="008912CF" w:rsidRDefault="004462A0" w:rsidP="00412FC8">
      <w:pPr>
        <w:rPr>
          <w:del w:id="6681" w:author="AbbVie2" w:date="2025-05-13T16:39:00Z"/>
        </w:rPr>
      </w:pPr>
    </w:p>
    <w:p w14:paraId="39BB294A" w14:textId="2423A91D" w:rsidR="004462A0" w:rsidRPr="008912CF" w:rsidRDefault="00615769">
      <w:pPr>
        <w:rPr>
          <w:del w:id="6682" w:author="AbbVie2" w:date="2025-05-13T16:39:00Z"/>
          <w:sz w:val="22"/>
          <w:szCs w:val="22"/>
        </w:rPr>
        <w:pPrChange w:id="6683" w:author="AbbVie2" w:date="2025-05-13T16:40:00Z">
          <w:pPr>
            <w:ind w:left="567" w:hanging="567"/>
          </w:pPr>
        </w:pPrChange>
      </w:pPr>
      <w:del w:id="6684" w:author="AbbVie2" w:date="2025-05-13T16:39:00Z">
        <w:r w:rsidRPr="008912CF">
          <w:rPr>
            <w:b/>
            <w:sz w:val="22"/>
            <w:szCs w:val="22"/>
          </w:rPr>
          <w:delText>4.9</w:delText>
        </w:r>
        <w:r w:rsidRPr="008912CF">
          <w:rPr>
            <w:b/>
            <w:sz w:val="22"/>
            <w:szCs w:val="22"/>
          </w:rPr>
          <w:tab/>
          <w:delText xml:space="preserve">Sobredosagem </w:delText>
        </w:r>
      </w:del>
    </w:p>
    <w:p w14:paraId="5C2BDBA4" w14:textId="071B7E51" w:rsidR="004462A0" w:rsidRPr="008912CF" w:rsidRDefault="004462A0" w:rsidP="00412FC8">
      <w:pPr>
        <w:rPr>
          <w:del w:id="6685" w:author="AbbVie2" w:date="2025-05-13T16:39:00Z"/>
          <w:sz w:val="22"/>
          <w:szCs w:val="22"/>
        </w:rPr>
      </w:pPr>
    </w:p>
    <w:p w14:paraId="199601AA" w14:textId="02DEEAD3" w:rsidR="004462A0" w:rsidRPr="008912CF" w:rsidRDefault="00615769" w:rsidP="00412FC8">
      <w:pPr>
        <w:rPr>
          <w:del w:id="6686" w:author="AbbVie2" w:date="2025-05-13T16:39:00Z"/>
          <w:sz w:val="22"/>
          <w:szCs w:val="22"/>
        </w:rPr>
      </w:pPr>
      <w:del w:id="6687" w:author="AbbVie2" w:date="2025-05-13T16:39:00Z">
        <w:r w:rsidRPr="008912CF">
          <w:rPr>
            <w:sz w:val="22"/>
            <w:szCs w:val="22"/>
          </w:rPr>
          <w:delText>No decurso dos ensaios clínicos não se observou toxicidade limitativa das doses. O nível posológico mais alto avaliado correspondeu a doses intravenosas múltiplas de 10 mg/kg, que é aproximadamente 15 vezes a dose recomendada.</w:delText>
        </w:r>
      </w:del>
    </w:p>
    <w:p w14:paraId="2ACA9D7E" w14:textId="3CE364B0" w:rsidR="004462A0" w:rsidRPr="008912CF" w:rsidRDefault="004462A0" w:rsidP="00412FC8">
      <w:pPr>
        <w:rPr>
          <w:del w:id="6688" w:author="AbbVie2" w:date="2025-05-13T16:39:00Z"/>
          <w:sz w:val="22"/>
          <w:szCs w:val="22"/>
        </w:rPr>
      </w:pPr>
    </w:p>
    <w:p w14:paraId="3A08B03C" w14:textId="7A9A8B14" w:rsidR="004462A0" w:rsidRPr="008912CF" w:rsidRDefault="004462A0" w:rsidP="00412FC8">
      <w:pPr>
        <w:rPr>
          <w:del w:id="6689" w:author="AbbVie2" w:date="2025-05-13T16:39:00Z"/>
          <w:sz w:val="22"/>
          <w:szCs w:val="22"/>
        </w:rPr>
      </w:pPr>
    </w:p>
    <w:p w14:paraId="7A5DAFE1" w14:textId="5FDE5D6D" w:rsidR="004462A0" w:rsidRPr="008912CF" w:rsidRDefault="00615769">
      <w:pPr>
        <w:rPr>
          <w:del w:id="6690" w:author="AbbVie2" w:date="2025-05-13T16:39:00Z"/>
          <w:sz w:val="22"/>
          <w:szCs w:val="22"/>
        </w:rPr>
        <w:pPrChange w:id="6691" w:author="AbbVie2" w:date="2025-05-13T16:40:00Z">
          <w:pPr>
            <w:keepNext/>
            <w:ind w:left="567" w:hanging="567"/>
          </w:pPr>
        </w:pPrChange>
      </w:pPr>
      <w:del w:id="6692" w:author="AbbVie2" w:date="2025-05-13T16:39:00Z">
        <w:r w:rsidRPr="008912CF">
          <w:rPr>
            <w:b/>
            <w:sz w:val="22"/>
            <w:szCs w:val="22"/>
          </w:rPr>
          <w:delText>5.</w:delText>
        </w:r>
        <w:r w:rsidRPr="008912CF">
          <w:rPr>
            <w:b/>
            <w:sz w:val="22"/>
            <w:szCs w:val="22"/>
          </w:rPr>
          <w:tab/>
          <w:delText xml:space="preserve">PROPRIEDADES FARMACOLÓGICAS </w:delText>
        </w:r>
      </w:del>
    </w:p>
    <w:p w14:paraId="773152E1" w14:textId="70B30D7D" w:rsidR="004462A0" w:rsidRPr="008912CF" w:rsidRDefault="004462A0">
      <w:pPr>
        <w:rPr>
          <w:del w:id="6693" w:author="AbbVie2" w:date="2025-05-13T16:39:00Z"/>
          <w:b/>
          <w:sz w:val="22"/>
          <w:szCs w:val="22"/>
        </w:rPr>
        <w:pPrChange w:id="6694" w:author="AbbVie2" w:date="2025-05-13T16:40:00Z">
          <w:pPr>
            <w:keepNext/>
          </w:pPr>
        </w:pPrChange>
      </w:pPr>
    </w:p>
    <w:p w14:paraId="3A458397" w14:textId="0A9E882B" w:rsidR="004462A0" w:rsidRPr="008912CF" w:rsidRDefault="00615769">
      <w:pPr>
        <w:rPr>
          <w:del w:id="6695" w:author="AbbVie2" w:date="2025-05-13T16:39:00Z"/>
          <w:sz w:val="22"/>
          <w:szCs w:val="22"/>
        </w:rPr>
        <w:pPrChange w:id="6696" w:author="AbbVie2" w:date="2025-05-13T16:40:00Z">
          <w:pPr>
            <w:keepNext/>
            <w:ind w:left="567" w:hanging="567"/>
          </w:pPr>
        </w:pPrChange>
      </w:pPr>
      <w:del w:id="6697" w:author="AbbVie2" w:date="2025-05-13T16:39:00Z">
        <w:r w:rsidRPr="008912CF">
          <w:rPr>
            <w:b/>
            <w:sz w:val="22"/>
            <w:szCs w:val="22"/>
          </w:rPr>
          <w:delText xml:space="preserve">5.1 </w:delText>
        </w:r>
        <w:r w:rsidRPr="008912CF">
          <w:rPr>
            <w:b/>
            <w:sz w:val="22"/>
            <w:szCs w:val="22"/>
          </w:rPr>
          <w:tab/>
          <w:delText xml:space="preserve">Propriedades farmacodinâmicas </w:delText>
        </w:r>
      </w:del>
    </w:p>
    <w:p w14:paraId="17D60975" w14:textId="7EDA7EA2" w:rsidR="004462A0" w:rsidRPr="008912CF" w:rsidRDefault="004462A0">
      <w:pPr>
        <w:rPr>
          <w:del w:id="6698" w:author="AbbVie2" w:date="2025-05-13T16:39:00Z"/>
          <w:sz w:val="22"/>
          <w:szCs w:val="22"/>
        </w:rPr>
        <w:pPrChange w:id="6699" w:author="AbbVie2" w:date="2025-05-13T16:40:00Z">
          <w:pPr>
            <w:keepNext/>
          </w:pPr>
        </w:pPrChange>
      </w:pPr>
    </w:p>
    <w:p w14:paraId="09357991" w14:textId="6929F5AD" w:rsidR="004462A0" w:rsidRPr="008912CF" w:rsidRDefault="00615769">
      <w:pPr>
        <w:rPr>
          <w:del w:id="6700" w:author="AbbVie2" w:date="2025-05-13T16:39:00Z"/>
          <w:sz w:val="22"/>
          <w:szCs w:val="22"/>
        </w:rPr>
        <w:pPrChange w:id="6701" w:author="AbbVie2" w:date="2025-05-13T16:40:00Z">
          <w:pPr>
            <w:keepNext/>
          </w:pPr>
        </w:pPrChange>
      </w:pPr>
      <w:del w:id="6702" w:author="AbbVie2" w:date="2025-05-13T16:39:00Z">
        <w:r w:rsidRPr="008912CF">
          <w:rPr>
            <w:sz w:val="22"/>
            <w:szCs w:val="22"/>
          </w:rPr>
          <w:delText>Grupo farmacoterapêutico: Imunossupressores, Inibidores do Fator de Necrose Tumoral alfa (TNF-α). Código ATC: L04AB04</w:delText>
        </w:r>
      </w:del>
    </w:p>
    <w:p w14:paraId="63855BA8" w14:textId="09C2EDD4" w:rsidR="004462A0" w:rsidRPr="008912CF" w:rsidRDefault="004462A0" w:rsidP="00412FC8">
      <w:pPr>
        <w:rPr>
          <w:del w:id="6703" w:author="AbbVie2" w:date="2025-05-13T16:39:00Z"/>
          <w:sz w:val="22"/>
          <w:szCs w:val="22"/>
        </w:rPr>
      </w:pPr>
    </w:p>
    <w:p w14:paraId="0E1A2DC7" w14:textId="7B80D068" w:rsidR="004462A0" w:rsidRPr="008912CF" w:rsidRDefault="00615769" w:rsidP="00412FC8">
      <w:pPr>
        <w:rPr>
          <w:del w:id="6704" w:author="AbbVie2" w:date="2025-05-13T16:39:00Z"/>
          <w:sz w:val="22"/>
          <w:szCs w:val="22"/>
          <w:u w:val="single"/>
        </w:rPr>
      </w:pPr>
      <w:del w:id="6705" w:author="AbbVie2" w:date="2025-05-13T16:39:00Z">
        <w:r w:rsidRPr="008912CF">
          <w:rPr>
            <w:sz w:val="22"/>
            <w:szCs w:val="22"/>
            <w:u w:val="single"/>
          </w:rPr>
          <w:delText xml:space="preserve">Mecanismo de ação </w:delText>
        </w:r>
      </w:del>
    </w:p>
    <w:p w14:paraId="1D5AD46E" w14:textId="17C81940" w:rsidR="004462A0" w:rsidRPr="008912CF" w:rsidRDefault="004462A0" w:rsidP="00412FC8">
      <w:pPr>
        <w:rPr>
          <w:del w:id="6706" w:author="AbbVie2" w:date="2025-05-13T16:39:00Z"/>
          <w:sz w:val="22"/>
          <w:szCs w:val="22"/>
        </w:rPr>
      </w:pPr>
    </w:p>
    <w:p w14:paraId="40944F16" w14:textId="4E49FA31" w:rsidR="004462A0" w:rsidRPr="008912CF" w:rsidRDefault="00615769" w:rsidP="00412FC8">
      <w:pPr>
        <w:rPr>
          <w:del w:id="6707" w:author="AbbVie2" w:date="2025-05-13T16:39:00Z"/>
          <w:sz w:val="22"/>
          <w:szCs w:val="22"/>
        </w:rPr>
      </w:pPr>
      <w:del w:id="6708" w:author="AbbVie2" w:date="2025-05-13T16:39:00Z">
        <w:r w:rsidRPr="008912CF">
          <w:rPr>
            <w:sz w:val="22"/>
            <w:szCs w:val="22"/>
          </w:rPr>
          <w:delText xml:space="preserve">Adalimumab liga-se especificamente ao TNF e neutraliza a função biológica do TNF bloqueando a sua interação com os recetores TNF p55 e p75 da superfície celular. </w:delText>
        </w:r>
      </w:del>
    </w:p>
    <w:p w14:paraId="14AAD1A4" w14:textId="071000F2" w:rsidR="004462A0" w:rsidRPr="008912CF" w:rsidRDefault="004462A0" w:rsidP="00412FC8">
      <w:pPr>
        <w:rPr>
          <w:del w:id="6709" w:author="AbbVie2" w:date="2025-05-13T16:39:00Z"/>
          <w:sz w:val="22"/>
          <w:szCs w:val="22"/>
        </w:rPr>
      </w:pPr>
    </w:p>
    <w:p w14:paraId="78394177" w14:textId="0DBFFA4F" w:rsidR="004462A0" w:rsidRPr="008912CF" w:rsidRDefault="00615769" w:rsidP="00412FC8">
      <w:pPr>
        <w:rPr>
          <w:del w:id="6710" w:author="AbbVie2" w:date="2025-05-13T16:39:00Z"/>
          <w:sz w:val="22"/>
          <w:szCs w:val="22"/>
        </w:rPr>
      </w:pPr>
      <w:del w:id="6711" w:author="AbbVie2" w:date="2025-05-13T16:39:00Z">
        <w:r w:rsidRPr="008912CF">
          <w:rPr>
            <w:sz w:val="22"/>
            <w:szCs w:val="22"/>
          </w:rPr>
          <w:delText>Adalimumab modula também as respostas biológicas induzidas ou reguladas pelo TNF, incluindo as alterações dos níveis das moléculas de adesão responsáveis pela migração leucocitária (ELAM-1, VCAM-1 e ICAM-1 com uma CI</w:delText>
        </w:r>
        <w:r w:rsidRPr="008912CF">
          <w:rPr>
            <w:sz w:val="22"/>
            <w:szCs w:val="22"/>
            <w:vertAlign w:val="subscript"/>
          </w:rPr>
          <w:delText>50</w:delText>
        </w:r>
        <w:r w:rsidRPr="008912CF">
          <w:rPr>
            <w:sz w:val="22"/>
            <w:szCs w:val="22"/>
          </w:rPr>
          <w:delText xml:space="preserve"> de 0,1</w:delText>
        </w:r>
        <w:r w:rsidRPr="008912CF">
          <w:rPr>
            <w:sz w:val="22"/>
            <w:szCs w:val="22"/>
          </w:rPr>
          <w:noBreakHyphen/>
          <w:delText xml:space="preserve">0,2 nM). </w:delText>
        </w:r>
      </w:del>
    </w:p>
    <w:p w14:paraId="4791579C" w14:textId="18F25B34" w:rsidR="004462A0" w:rsidRPr="008912CF" w:rsidRDefault="004462A0" w:rsidP="00412FC8">
      <w:pPr>
        <w:rPr>
          <w:del w:id="6712" w:author="AbbVie2" w:date="2025-05-13T16:39:00Z"/>
          <w:sz w:val="22"/>
          <w:szCs w:val="22"/>
        </w:rPr>
      </w:pPr>
    </w:p>
    <w:p w14:paraId="2DDACC5F" w14:textId="672BC4A0" w:rsidR="004462A0" w:rsidRPr="008912CF" w:rsidRDefault="00615769">
      <w:pPr>
        <w:rPr>
          <w:del w:id="6713" w:author="AbbVie2" w:date="2025-05-13T16:39:00Z"/>
          <w:sz w:val="22"/>
          <w:szCs w:val="22"/>
          <w:u w:val="single"/>
        </w:rPr>
        <w:pPrChange w:id="6714" w:author="AbbVie2" w:date="2025-05-13T16:40:00Z">
          <w:pPr>
            <w:autoSpaceDE w:val="0"/>
            <w:autoSpaceDN w:val="0"/>
            <w:adjustRightInd w:val="0"/>
          </w:pPr>
        </w:pPrChange>
      </w:pPr>
      <w:del w:id="6715" w:author="AbbVie2" w:date="2025-05-13T16:39:00Z">
        <w:r w:rsidRPr="008912CF">
          <w:rPr>
            <w:sz w:val="22"/>
            <w:szCs w:val="22"/>
            <w:u w:val="single"/>
          </w:rPr>
          <w:delText xml:space="preserve">Efeitos farmacodinâmicos </w:delText>
        </w:r>
      </w:del>
    </w:p>
    <w:p w14:paraId="3DDF240A" w14:textId="15231DD9" w:rsidR="004462A0" w:rsidRPr="008912CF" w:rsidRDefault="004462A0">
      <w:pPr>
        <w:rPr>
          <w:del w:id="6716" w:author="AbbVie2" w:date="2025-05-13T16:39:00Z"/>
          <w:sz w:val="22"/>
          <w:szCs w:val="22"/>
          <w:u w:val="single"/>
        </w:rPr>
        <w:pPrChange w:id="6717" w:author="AbbVie2" w:date="2025-05-13T16:40:00Z">
          <w:pPr>
            <w:autoSpaceDE w:val="0"/>
            <w:autoSpaceDN w:val="0"/>
            <w:adjustRightInd w:val="0"/>
          </w:pPr>
        </w:pPrChange>
      </w:pPr>
    </w:p>
    <w:p w14:paraId="34767112" w14:textId="08068EA4" w:rsidR="004462A0" w:rsidRPr="008912CF" w:rsidRDefault="00615769" w:rsidP="00412FC8">
      <w:pPr>
        <w:rPr>
          <w:del w:id="6718" w:author="AbbVie2" w:date="2025-05-13T16:39:00Z"/>
          <w:sz w:val="22"/>
          <w:szCs w:val="22"/>
        </w:rPr>
      </w:pPr>
      <w:del w:id="6719" w:author="AbbVie2" w:date="2025-05-13T16:39:00Z">
        <w:r w:rsidRPr="008912CF">
          <w:rPr>
            <w:sz w:val="22"/>
            <w:szCs w:val="22"/>
          </w:rPr>
          <w:delText>Após o tratamento com Humira em doentes com artrite reumatoide observou-se uma rápida descida dos níveis de marcadores de inflamação de fase aguda (proteína C reativa (PCR) e velocidade de sedimentação eritrocitária (VS)) e das cito</w:delText>
        </w:r>
        <w:r w:rsidR="005D2ECC">
          <w:rPr>
            <w:sz w:val="22"/>
            <w:szCs w:val="22"/>
          </w:rPr>
          <w:delText>c</w:delText>
        </w:r>
        <w:r w:rsidRPr="008912CF">
          <w:rPr>
            <w:sz w:val="22"/>
            <w:szCs w:val="22"/>
          </w:rPr>
          <w:delText>inas séricas (IL</w:delText>
        </w:r>
        <w:r w:rsidRPr="008912CF">
          <w:rPr>
            <w:sz w:val="22"/>
            <w:szCs w:val="22"/>
          </w:rPr>
          <w:noBreakHyphen/>
        </w:r>
        <w:r w:rsidRPr="008912CF">
          <w:rPr>
            <w:sz w:val="22"/>
            <w:szCs w:val="22"/>
          </w:rPr>
          <w:delText xml:space="preserve">6) relativamente aos valores basais. Na sequência da administração de Humira verificou-se igualmente descida dos níveis séricos das metaloproteinases da matriz (MMP-1 e MMP-3) que produzem remodelação </w:delText>
        </w:r>
        <w:r w:rsidR="005D2ECC">
          <w:rPr>
            <w:sz w:val="22"/>
            <w:szCs w:val="22"/>
          </w:rPr>
          <w:delText>tecidular</w:delText>
        </w:r>
        <w:r w:rsidR="005D2ECC" w:rsidRPr="008912CF">
          <w:rPr>
            <w:sz w:val="22"/>
            <w:szCs w:val="22"/>
          </w:rPr>
          <w:delText xml:space="preserve"> </w:delText>
        </w:r>
        <w:r w:rsidRPr="008912CF">
          <w:rPr>
            <w:sz w:val="22"/>
            <w:szCs w:val="22"/>
          </w:rPr>
          <w:delText xml:space="preserve">responsável pela destruição da cartilagem. Nos doentes tratados com Humira observa-se geralmente melhoria dos sinais hematológicos de inflamação crónica. </w:delText>
        </w:r>
      </w:del>
    </w:p>
    <w:p w14:paraId="3EDC866C" w14:textId="7E9ADB41" w:rsidR="004462A0" w:rsidRPr="008912CF" w:rsidRDefault="004462A0">
      <w:pPr>
        <w:rPr>
          <w:del w:id="6720" w:author="AbbVie2" w:date="2025-05-13T16:39:00Z"/>
          <w:szCs w:val="22"/>
        </w:rPr>
        <w:pPrChange w:id="6721" w:author="AbbVie2" w:date="2025-05-13T16:40:00Z">
          <w:pPr>
            <w:pStyle w:val="BodyText2"/>
            <w:autoSpaceDE/>
            <w:autoSpaceDN/>
            <w:adjustRightInd/>
          </w:pPr>
        </w:pPrChange>
      </w:pPr>
    </w:p>
    <w:p w14:paraId="2D1DB0A2" w14:textId="01EC0C35" w:rsidR="004462A0" w:rsidRPr="008912CF" w:rsidRDefault="00615769">
      <w:pPr>
        <w:rPr>
          <w:del w:id="6722" w:author="AbbVie2" w:date="2025-05-13T16:39:00Z"/>
          <w:szCs w:val="22"/>
        </w:rPr>
        <w:pPrChange w:id="6723" w:author="AbbVie2" w:date="2025-05-13T16:40:00Z">
          <w:pPr>
            <w:pStyle w:val="BodyText2"/>
            <w:autoSpaceDE/>
            <w:autoSpaceDN/>
            <w:adjustRightInd/>
          </w:pPr>
        </w:pPrChange>
      </w:pPr>
      <w:del w:id="6724" w:author="AbbVie2" w:date="2025-05-13T16:39:00Z">
        <w:r w:rsidRPr="008912CF">
          <w:rPr>
            <w:szCs w:val="22"/>
          </w:rPr>
          <w:delText>Em doentes com artrite idiopática juvenil poliarticular, doença de Crohn, colite ulcerosa e hidradenite supurativa, foi também observada uma diminuição rápida nos níveis de PCR após tratamento com Humira. Em doentes com doença de Crohn foi observada uma redução do número de células expressando marcadores inflamatórios no cólon</w:delText>
        </w:r>
        <w:r w:rsidR="005D2ECC">
          <w:rPr>
            <w:szCs w:val="22"/>
          </w:rPr>
          <w:delText>,</w:delText>
        </w:r>
        <w:r w:rsidRPr="008912CF">
          <w:rPr>
            <w:szCs w:val="22"/>
          </w:rPr>
          <w:delText xml:space="preserve"> incluindo uma redução significativa da expressão de TNFα. Estudos endoscópicos da mucosa intestinal mostraram evidência de cicatrização da mucosa, em doentes tratados com adalimumab.</w:delText>
        </w:r>
      </w:del>
    </w:p>
    <w:p w14:paraId="670DF0B2" w14:textId="579CFD5B" w:rsidR="004462A0" w:rsidRPr="008912CF" w:rsidRDefault="004462A0" w:rsidP="00412FC8">
      <w:pPr>
        <w:rPr>
          <w:del w:id="6725" w:author="AbbVie2" w:date="2025-05-13T16:39:00Z"/>
          <w:sz w:val="22"/>
          <w:szCs w:val="22"/>
        </w:rPr>
      </w:pPr>
    </w:p>
    <w:p w14:paraId="1CD7BF32" w14:textId="59C8A89F" w:rsidR="004462A0" w:rsidRPr="008912CF" w:rsidRDefault="00615769">
      <w:pPr>
        <w:rPr>
          <w:del w:id="6726" w:author="AbbVie2" w:date="2025-05-13T16:39:00Z"/>
          <w:sz w:val="22"/>
          <w:szCs w:val="22"/>
          <w:u w:val="single"/>
        </w:rPr>
        <w:pPrChange w:id="6727" w:author="AbbVie2" w:date="2025-05-13T16:40:00Z">
          <w:pPr>
            <w:keepNext/>
          </w:pPr>
        </w:pPrChange>
      </w:pPr>
      <w:del w:id="6728" w:author="AbbVie2" w:date="2025-05-13T16:39:00Z">
        <w:r w:rsidRPr="008912CF">
          <w:rPr>
            <w:sz w:val="22"/>
            <w:szCs w:val="22"/>
            <w:u w:val="single"/>
          </w:rPr>
          <w:delText xml:space="preserve">Eficácia e segurança clínicas </w:delText>
        </w:r>
      </w:del>
    </w:p>
    <w:p w14:paraId="1BCEB589" w14:textId="01F9B66E" w:rsidR="004462A0" w:rsidRPr="008912CF" w:rsidRDefault="004462A0">
      <w:pPr>
        <w:rPr>
          <w:del w:id="6729" w:author="AbbVie2" w:date="2025-05-13T16:39:00Z"/>
          <w:sz w:val="22"/>
          <w:szCs w:val="22"/>
          <w:u w:val="single"/>
        </w:rPr>
        <w:pPrChange w:id="6730" w:author="AbbVie2" w:date="2025-05-13T16:40:00Z">
          <w:pPr>
            <w:keepNext/>
          </w:pPr>
        </w:pPrChange>
      </w:pPr>
    </w:p>
    <w:p w14:paraId="64171079" w14:textId="7AE36196" w:rsidR="004462A0" w:rsidRPr="008912CF" w:rsidRDefault="00615769">
      <w:pPr>
        <w:rPr>
          <w:del w:id="6731" w:author="AbbVie2" w:date="2025-05-13T16:39:00Z"/>
          <w:sz w:val="22"/>
          <w:szCs w:val="22"/>
        </w:rPr>
        <w:pPrChange w:id="6732" w:author="AbbVie2" w:date="2025-05-13T16:40:00Z">
          <w:pPr>
            <w:keepNext/>
          </w:pPr>
        </w:pPrChange>
      </w:pPr>
      <w:del w:id="6733" w:author="AbbVie2" w:date="2025-05-13T16:39:00Z">
        <w:r w:rsidRPr="008912CF">
          <w:rPr>
            <w:i/>
            <w:sz w:val="22"/>
            <w:szCs w:val="22"/>
          </w:rPr>
          <w:delText>Artrite reumatoide</w:delText>
        </w:r>
      </w:del>
    </w:p>
    <w:p w14:paraId="63DFEBA4" w14:textId="0023A0D8" w:rsidR="004462A0" w:rsidRPr="008912CF" w:rsidRDefault="004462A0">
      <w:pPr>
        <w:rPr>
          <w:del w:id="6734" w:author="AbbVie2" w:date="2025-05-13T16:39:00Z"/>
          <w:sz w:val="22"/>
          <w:szCs w:val="22"/>
          <w:u w:val="single"/>
        </w:rPr>
        <w:pPrChange w:id="6735" w:author="AbbVie2" w:date="2025-05-13T16:40:00Z">
          <w:pPr>
            <w:keepNext/>
          </w:pPr>
        </w:pPrChange>
      </w:pPr>
    </w:p>
    <w:p w14:paraId="205FCBD2" w14:textId="3EC5D520" w:rsidR="004462A0" w:rsidRPr="008912CF" w:rsidRDefault="00615769">
      <w:pPr>
        <w:rPr>
          <w:del w:id="6736" w:author="AbbVie2" w:date="2025-05-13T16:39:00Z"/>
          <w:sz w:val="22"/>
          <w:szCs w:val="22"/>
        </w:rPr>
        <w:pPrChange w:id="6737" w:author="AbbVie2" w:date="2025-05-13T16:40:00Z">
          <w:pPr>
            <w:keepNext/>
          </w:pPr>
        </w:pPrChange>
      </w:pPr>
      <w:del w:id="6738" w:author="AbbVie2" w:date="2025-05-13T16:39:00Z">
        <w:r w:rsidRPr="008912CF">
          <w:rPr>
            <w:sz w:val="22"/>
            <w:szCs w:val="22"/>
          </w:rPr>
          <w:delText>Humira foi avaliado em mais de 3.000 doentes com artrite reumatoide que participaram em todos os ensaios clínicos. A eficácia e segurança de Humira foram avaliadas em cinco estudos aleat</w:delText>
        </w:r>
        <w:r w:rsidR="005D2ECC">
          <w:rPr>
            <w:sz w:val="22"/>
            <w:szCs w:val="22"/>
          </w:rPr>
          <w:delText>orizados</w:delText>
        </w:r>
        <w:r w:rsidRPr="008912CF">
          <w:rPr>
            <w:sz w:val="22"/>
            <w:szCs w:val="22"/>
          </w:rPr>
          <w:delText>, com dupla ocultação, bem controlados. Alguns doentes foram tratados durante um período até 120 meses.</w:delText>
        </w:r>
      </w:del>
    </w:p>
    <w:p w14:paraId="161AF795" w14:textId="468E0005" w:rsidR="004462A0" w:rsidRPr="008912CF" w:rsidRDefault="004462A0" w:rsidP="00412FC8">
      <w:pPr>
        <w:rPr>
          <w:del w:id="6739" w:author="AbbVie2" w:date="2025-05-13T16:39:00Z"/>
          <w:sz w:val="22"/>
          <w:szCs w:val="22"/>
        </w:rPr>
      </w:pPr>
    </w:p>
    <w:p w14:paraId="2398BCC3" w14:textId="4BCFAC74" w:rsidR="004462A0" w:rsidRPr="008912CF" w:rsidRDefault="00615769" w:rsidP="00412FC8">
      <w:pPr>
        <w:rPr>
          <w:del w:id="6740" w:author="AbbVie2" w:date="2025-05-13T16:39:00Z"/>
          <w:sz w:val="22"/>
          <w:szCs w:val="22"/>
        </w:rPr>
      </w:pPr>
      <w:del w:id="6741" w:author="AbbVie2" w:date="2025-05-13T16:39:00Z">
        <w:r w:rsidRPr="008912CF">
          <w:rPr>
            <w:sz w:val="22"/>
            <w:szCs w:val="22"/>
          </w:rPr>
          <w:delText xml:space="preserve">O estudo AR I avaliou 271 doentes com artrite reumatoide ativa moderada a grave, com idade </w:delText>
        </w:r>
        <w:r w:rsidRPr="008912CF">
          <w:rPr>
            <w:rFonts w:ascii="Symbol" w:hAnsi="Symbol"/>
            <w:sz w:val="22"/>
            <w:szCs w:val="22"/>
          </w:rPr>
          <w:sym w:font="Symbol" w:char="F0B3"/>
        </w:r>
        <w:r w:rsidRPr="008912CF">
          <w:rPr>
            <w:sz w:val="22"/>
            <w:szCs w:val="22"/>
          </w:rPr>
          <w:delText> 18 anos, em que uma terapêutica com pelo menos um medicamento anti</w:delText>
        </w:r>
        <w:r w:rsidR="00F96DDF">
          <w:rPr>
            <w:sz w:val="22"/>
            <w:szCs w:val="22"/>
          </w:rPr>
          <w:delText>-</w:delText>
        </w:r>
        <w:r w:rsidRPr="008912CF">
          <w:rPr>
            <w:sz w:val="22"/>
            <w:szCs w:val="22"/>
          </w:rPr>
          <w:delText xml:space="preserve">reumático modificador da doença não foi bem sucedida, em que a eficácia de metotrexato em doses semanais de 12,5 a 25 mg (10 mg em caso de intolerância a metotrexato) foi insuficiente e em que a dose semanal de metotrexato de 10 a 25 mg permaneceu constante. Foram administradas doses de 20, 40 ou 80 mg de Humira ou placebo em semanas alternadas durante 24 semanas. </w:delText>
        </w:r>
      </w:del>
    </w:p>
    <w:p w14:paraId="358E5012" w14:textId="7917C0AB" w:rsidR="004462A0" w:rsidRPr="008912CF" w:rsidRDefault="004462A0" w:rsidP="00412FC8">
      <w:pPr>
        <w:rPr>
          <w:del w:id="6742" w:author="AbbVie2" w:date="2025-05-13T16:39:00Z"/>
          <w:sz w:val="22"/>
          <w:szCs w:val="22"/>
        </w:rPr>
      </w:pPr>
    </w:p>
    <w:p w14:paraId="2FA2841A" w14:textId="74B8C201" w:rsidR="004462A0" w:rsidRPr="008912CF" w:rsidRDefault="00615769" w:rsidP="00412FC8">
      <w:pPr>
        <w:rPr>
          <w:del w:id="6743" w:author="AbbVie2" w:date="2025-05-13T16:39:00Z"/>
          <w:i/>
          <w:sz w:val="22"/>
          <w:szCs w:val="22"/>
        </w:rPr>
      </w:pPr>
      <w:del w:id="6744" w:author="AbbVie2" w:date="2025-05-13T16:39:00Z">
        <w:r w:rsidRPr="008912CF">
          <w:rPr>
            <w:sz w:val="22"/>
            <w:szCs w:val="22"/>
          </w:rPr>
          <w:delText xml:space="preserve">O estudo AR II avaliou 544 doentes com artrite reumatoide ativa moderada a grave com idade </w:delText>
        </w:r>
        <w:r w:rsidRPr="008912CF">
          <w:rPr>
            <w:rFonts w:ascii="Symbol" w:hAnsi="Symbol"/>
            <w:sz w:val="22"/>
            <w:szCs w:val="22"/>
          </w:rPr>
          <w:sym w:font="Symbol" w:char="F0B3"/>
        </w:r>
        <w:r w:rsidRPr="008912CF">
          <w:rPr>
            <w:sz w:val="22"/>
            <w:szCs w:val="22"/>
          </w:rPr>
          <w:delText> 18 anos e em que uma terapêutica com pelo menos um medicamento anti</w:delText>
        </w:r>
        <w:r w:rsidR="00F96DDF">
          <w:rPr>
            <w:sz w:val="22"/>
            <w:szCs w:val="22"/>
          </w:rPr>
          <w:delText>-</w:delText>
        </w:r>
        <w:r w:rsidRPr="008912CF">
          <w:rPr>
            <w:sz w:val="22"/>
            <w:szCs w:val="22"/>
          </w:rPr>
          <w:delText>reumático modificador da doença não foi bem sucedida. Foram administradas doses de 20 ou 40 mg de Humira por injeção subcutânea em semanas alternadas, com placebo em semanas alternadas ou semanalmente durante 26 semanas; o placebo foi administrado todas as semanas durante idêntico período. Não foi permitida a utilização de quaisquer outros medicamentos anti</w:delText>
        </w:r>
        <w:r w:rsidR="00F96DDF">
          <w:rPr>
            <w:sz w:val="22"/>
            <w:szCs w:val="22"/>
          </w:rPr>
          <w:delText>-</w:delText>
        </w:r>
        <w:r w:rsidRPr="008912CF">
          <w:rPr>
            <w:sz w:val="22"/>
            <w:szCs w:val="22"/>
          </w:rPr>
          <w:delText>reumatismais modificadores da doença.</w:delText>
        </w:r>
      </w:del>
    </w:p>
    <w:p w14:paraId="08B2B0D1" w14:textId="6EF79D1E" w:rsidR="004462A0" w:rsidRPr="008912CF" w:rsidRDefault="004462A0">
      <w:pPr>
        <w:rPr>
          <w:del w:id="6745" w:author="AbbVie2" w:date="2025-05-13T16:39:00Z"/>
          <w:szCs w:val="22"/>
        </w:rPr>
        <w:pPrChange w:id="6746" w:author="AbbVie2" w:date="2025-05-13T16:40:00Z">
          <w:pPr>
            <w:pStyle w:val="EndnoteText"/>
          </w:pPr>
        </w:pPrChange>
      </w:pPr>
    </w:p>
    <w:p w14:paraId="4A35ED75" w14:textId="6AB360AF" w:rsidR="004462A0" w:rsidRPr="008912CF" w:rsidRDefault="00615769" w:rsidP="00412FC8">
      <w:pPr>
        <w:rPr>
          <w:del w:id="6747" w:author="AbbVie2" w:date="2025-05-13T16:39:00Z"/>
          <w:sz w:val="22"/>
          <w:szCs w:val="22"/>
        </w:rPr>
      </w:pPr>
      <w:del w:id="6748" w:author="AbbVie2" w:date="2025-05-13T16:39:00Z">
        <w:r w:rsidRPr="008912CF">
          <w:rPr>
            <w:sz w:val="22"/>
            <w:szCs w:val="22"/>
          </w:rPr>
          <w:delText xml:space="preserve">O estudo AR III avaliou 619 doentes com artrite reumatoide ativa moderada a grave, com idade </w:delText>
        </w:r>
        <w:r w:rsidRPr="008912CF">
          <w:rPr>
            <w:rFonts w:ascii="Symbol" w:hAnsi="Symbol"/>
            <w:sz w:val="22"/>
            <w:szCs w:val="22"/>
          </w:rPr>
          <w:sym w:font="Symbol" w:char="F0B3"/>
        </w:r>
        <w:r w:rsidRPr="008912CF">
          <w:rPr>
            <w:sz w:val="22"/>
            <w:szCs w:val="22"/>
          </w:rPr>
          <w:delText xml:space="preserve"> 18 anos, e que tiveram uma resposta não eficaz a metotrexato nas doses de 12,5 a 25 mg, ou que tinham sido intolerantes a 10 mg de metotrexato administrado semanalmente. Participaram neste estudo três grupos. O primeiro grupo recebeu injeções semanais de placebo durante 52 semanas. O segundo grupo recebeu semanalmente 20 mg de Humira durante 52 semanas. O terceiro grupo recebeu 40 mg de Humira em semanas alternadas com injeções de placebo </w:delText>
        </w:r>
        <w:r w:rsidR="005D2ECC">
          <w:rPr>
            <w:sz w:val="22"/>
            <w:szCs w:val="22"/>
          </w:rPr>
          <w:delText>nas restantes seman</w:delText>
        </w:r>
        <w:r w:rsidR="00390D91">
          <w:rPr>
            <w:sz w:val="22"/>
            <w:szCs w:val="22"/>
          </w:rPr>
          <w:delText>a</w:delText>
        </w:r>
        <w:r w:rsidR="005D2ECC">
          <w:rPr>
            <w:sz w:val="22"/>
            <w:szCs w:val="22"/>
          </w:rPr>
          <w:delText>s</w:delText>
        </w:r>
        <w:r w:rsidRPr="008912CF">
          <w:rPr>
            <w:sz w:val="22"/>
            <w:szCs w:val="22"/>
          </w:rPr>
          <w:delText>.</w:delText>
        </w:r>
        <w:r w:rsidR="005D2ECC">
          <w:rPr>
            <w:sz w:val="22"/>
            <w:szCs w:val="22"/>
          </w:rPr>
          <w:delText xml:space="preserve"> </w:delText>
        </w:r>
        <w:r w:rsidRPr="008912CF">
          <w:rPr>
            <w:sz w:val="22"/>
            <w:szCs w:val="22"/>
          </w:rPr>
          <w:delText>Após completarem as primeiras 52 semanas, 45</w:delText>
        </w:r>
        <w:r w:rsidRPr="008912CF">
          <w:rPr>
            <w:sz w:val="22"/>
            <w:szCs w:val="22"/>
          </w:rPr>
          <w:delText>7 doentes foram incluídos numa extensão de fase aberta aos quais foram administrados 40 mg de Humira/MTX em semanas alternadas até 10 anos.</w:delText>
        </w:r>
      </w:del>
    </w:p>
    <w:p w14:paraId="11E38FCD" w14:textId="7E9112F4" w:rsidR="005D2ECC" w:rsidRDefault="005D2ECC" w:rsidP="00412FC8">
      <w:pPr>
        <w:rPr>
          <w:del w:id="6749" w:author="AbbVie2" w:date="2025-05-13T16:39:00Z"/>
          <w:sz w:val="22"/>
          <w:szCs w:val="22"/>
        </w:rPr>
      </w:pPr>
    </w:p>
    <w:p w14:paraId="62106D55" w14:textId="3D2F54E6" w:rsidR="004462A0" w:rsidRPr="008912CF" w:rsidRDefault="00615769" w:rsidP="00412FC8">
      <w:pPr>
        <w:rPr>
          <w:del w:id="6750" w:author="AbbVie2" w:date="2025-05-13T16:39:00Z"/>
          <w:sz w:val="22"/>
          <w:szCs w:val="22"/>
        </w:rPr>
      </w:pPr>
      <w:del w:id="6751" w:author="AbbVie2" w:date="2025-05-13T16:39:00Z">
        <w:r w:rsidRPr="008912CF">
          <w:rPr>
            <w:sz w:val="22"/>
            <w:szCs w:val="22"/>
          </w:rPr>
          <w:delText xml:space="preserve">O estudo AR IV avaliou principalmente a segurança em 636 doentes com artrite reumatoide ativa moderada a grave com idade </w:delText>
        </w:r>
        <w:r w:rsidRPr="008912CF">
          <w:rPr>
            <w:rFonts w:ascii="Symbol" w:hAnsi="Symbol"/>
            <w:sz w:val="22"/>
            <w:szCs w:val="22"/>
          </w:rPr>
          <w:sym w:font="Symbol" w:char="F0B3"/>
        </w:r>
        <w:r w:rsidRPr="008912CF">
          <w:rPr>
            <w:sz w:val="22"/>
            <w:szCs w:val="22"/>
          </w:rPr>
          <w:delText> 18 anos. Este estudo permitia a inclusão de doentes sem terapêutica prévia com medicamentos anti</w:delText>
        </w:r>
        <w:r w:rsidR="00F96DDF">
          <w:rPr>
            <w:sz w:val="22"/>
            <w:szCs w:val="22"/>
          </w:rPr>
          <w:delText>-</w:delText>
        </w:r>
        <w:r w:rsidRPr="008912CF">
          <w:rPr>
            <w:sz w:val="22"/>
            <w:szCs w:val="22"/>
          </w:rPr>
          <w:delText>reumatismais modificadores da doença ou que continuaram o tratamento reumatológico pr</w:delText>
        </w:r>
        <w:r w:rsidR="003A732E">
          <w:rPr>
            <w:sz w:val="22"/>
            <w:szCs w:val="22"/>
          </w:rPr>
          <w:delText>é-</w:delText>
        </w:r>
        <w:r w:rsidRPr="008912CF">
          <w:rPr>
            <w:sz w:val="22"/>
            <w:szCs w:val="22"/>
          </w:rPr>
          <w:delText>existente desde que o mesmo se tivesse mantido estável durante um período mínimo de 28 dias. Estes tratamentos incluíram metotrexato, leflunomid</w:delText>
        </w:r>
        <w:r w:rsidR="00082F0B">
          <w:rPr>
            <w:sz w:val="22"/>
            <w:szCs w:val="22"/>
          </w:rPr>
          <w:delText>a</w:delText>
        </w:r>
        <w:r w:rsidRPr="008912CF">
          <w:rPr>
            <w:sz w:val="22"/>
            <w:szCs w:val="22"/>
          </w:rPr>
          <w:delText>, hidroxicloroquina, sulfassalazina e/ou sais de ouro. Os doentes foram aleatorizados para tratamento com 40 mg de Humira ou placebo em semanas alternadas durante 24 semanas.</w:delText>
        </w:r>
      </w:del>
    </w:p>
    <w:p w14:paraId="2B3F491F" w14:textId="5BD8DE16" w:rsidR="004462A0" w:rsidRPr="008912CF" w:rsidRDefault="004462A0" w:rsidP="00412FC8">
      <w:pPr>
        <w:rPr>
          <w:del w:id="6752" w:author="AbbVie2" w:date="2025-05-13T16:39:00Z"/>
          <w:sz w:val="22"/>
          <w:szCs w:val="22"/>
        </w:rPr>
      </w:pPr>
    </w:p>
    <w:p w14:paraId="35E4EBAD" w14:textId="0D6357FB" w:rsidR="004462A0" w:rsidRPr="008912CF" w:rsidRDefault="00615769" w:rsidP="00412FC8">
      <w:pPr>
        <w:rPr>
          <w:del w:id="6753" w:author="AbbVie2" w:date="2025-05-13T16:39:00Z"/>
          <w:sz w:val="22"/>
          <w:szCs w:val="22"/>
        </w:rPr>
      </w:pPr>
      <w:del w:id="6754" w:author="AbbVie2" w:date="2025-05-13T16:39:00Z">
        <w:r w:rsidRPr="008912CF">
          <w:rPr>
            <w:sz w:val="22"/>
            <w:szCs w:val="22"/>
          </w:rPr>
          <w:delText>O estudo AR V avaliou 799 doentes adultos com artrite reumatoide precoce ativa moderada a grave</w:delText>
        </w:r>
        <w:r w:rsidR="005D2ECC">
          <w:rPr>
            <w:sz w:val="22"/>
            <w:szCs w:val="22"/>
          </w:rPr>
          <w:delText>,</w:delText>
        </w:r>
        <w:r w:rsidRPr="008912CF">
          <w:rPr>
            <w:sz w:val="22"/>
            <w:szCs w:val="22"/>
          </w:rPr>
          <w:delText xml:space="preserve"> </w:delText>
        </w:r>
        <w:r w:rsidR="005D2ECC" w:rsidRPr="008912CF">
          <w:rPr>
            <w:sz w:val="22"/>
            <w:szCs w:val="22"/>
          </w:rPr>
          <w:delText xml:space="preserve">não tratados previamente com metotrexato </w:delText>
        </w:r>
        <w:r w:rsidRPr="008912CF">
          <w:rPr>
            <w:sz w:val="22"/>
            <w:szCs w:val="22"/>
          </w:rPr>
          <w:delText>(doença com uma duração média inferior a 9 meses). Este estudo avaliou</w:delText>
        </w:r>
        <w:r w:rsidR="005D2ECC">
          <w:rPr>
            <w:sz w:val="22"/>
            <w:szCs w:val="22"/>
          </w:rPr>
          <w:delText>,</w:delText>
        </w:r>
        <w:r w:rsidRPr="008912CF">
          <w:rPr>
            <w:sz w:val="22"/>
            <w:szCs w:val="22"/>
          </w:rPr>
          <w:delText xml:space="preserve"> em 104 semanas, a eficácia da associação terapêutica Humira 40 mg em semanas alternadas/metotrexato, Humira 40 mg em semanas alternadas em monoterapia e metotrexato em monoterapia na redução de sinais e sintomas e na redução da taxa de progressão da lesão das articulações em doentes com artrite reumatoide.</w:delText>
        </w:r>
        <w:r>
          <w:rPr>
            <w:sz w:val="22"/>
            <w:szCs w:val="22"/>
          </w:rPr>
          <w:delText xml:space="preserve"> </w:delText>
        </w:r>
        <w:r w:rsidRPr="00CE5ECF">
          <w:rPr>
            <w:sz w:val="22"/>
            <w:szCs w:val="22"/>
          </w:rPr>
          <w:delText xml:space="preserve">Após a conclusão das primeiras 104 semanas, 497 doentes foram incluídos numa extensão de </w:delText>
        </w:r>
        <w:r w:rsidRPr="00CE5ECF">
          <w:rPr>
            <w:sz w:val="22"/>
            <w:szCs w:val="22"/>
          </w:rPr>
          <w:delText>fase aberta aos quais foram administrados 40</w:delText>
        </w:r>
        <w:r>
          <w:rPr>
            <w:sz w:val="22"/>
            <w:szCs w:val="22"/>
          </w:rPr>
          <w:delText> </w:delText>
        </w:r>
        <w:r w:rsidRPr="00CE5ECF">
          <w:rPr>
            <w:sz w:val="22"/>
            <w:szCs w:val="22"/>
          </w:rPr>
          <w:delText>mg de Humira em semanas alternadas até 10 anos.</w:delText>
        </w:r>
      </w:del>
    </w:p>
    <w:p w14:paraId="2A321547" w14:textId="3732DEB3" w:rsidR="004462A0" w:rsidRPr="008912CF" w:rsidRDefault="004462A0" w:rsidP="00412FC8">
      <w:pPr>
        <w:rPr>
          <w:del w:id="6755" w:author="AbbVie2" w:date="2025-05-13T16:39:00Z"/>
          <w:sz w:val="22"/>
          <w:szCs w:val="22"/>
        </w:rPr>
      </w:pPr>
    </w:p>
    <w:p w14:paraId="5E671EEE" w14:textId="2181E24C" w:rsidR="004462A0" w:rsidRPr="008912CF" w:rsidRDefault="00615769" w:rsidP="00412FC8">
      <w:pPr>
        <w:rPr>
          <w:del w:id="6756" w:author="AbbVie2" w:date="2025-05-13T16:39:00Z"/>
          <w:sz w:val="22"/>
          <w:szCs w:val="22"/>
        </w:rPr>
      </w:pPr>
      <w:del w:id="6757" w:author="AbbVie2" w:date="2025-05-13T16:39:00Z">
        <w:r w:rsidRPr="008912CF">
          <w:rPr>
            <w:sz w:val="22"/>
            <w:szCs w:val="22"/>
          </w:rPr>
          <w:delText xml:space="preserve">O </w:delText>
        </w:r>
        <w:r w:rsidR="00F96DDF">
          <w:rPr>
            <w:sz w:val="22"/>
            <w:szCs w:val="22"/>
          </w:rPr>
          <w:delText>objetivo</w:delText>
        </w:r>
        <w:r w:rsidRPr="008912CF">
          <w:rPr>
            <w:sz w:val="22"/>
            <w:szCs w:val="22"/>
          </w:rPr>
          <w:delText xml:space="preserve"> primário dos estudos AR I, II e III e o </w:delText>
        </w:r>
        <w:r w:rsidR="00F96DDF">
          <w:rPr>
            <w:sz w:val="22"/>
            <w:szCs w:val="22"/>
          </w:rPr>
          <w:delText>objetivo</w:delText>
        </w:r>
        <w:r w:rsidRPr="008912CF">
          <w:rPr>
            <w:sz w:val="22"/>
            <w:szCs w:val="22"/>
          </w:rPr>
          <w:delText xml:space="preserve"> secundário do estudo AR IV consistiam na percentagem de doentes que atingia uma resposta ACR 20 na Semana 24 ou 26. O </w:delText>
        </w:r>
        <w:r w:rsidR="00F96DDF">
          <w:rPr>
            <w:sz w:val="22"/>
            <w:szCs w:val="22"/>
          </w:rPr>
          <w:delText xml:space="preserve">objetivo </w:delText>
        </w:r>
        <w:r w:rsidRPr="008912CF">
          <w:rPr>
            <w:sz w:val="22"/>
            <w:szCs w:val="22"/>
          </w:rPr>
          <w:delText xml:space="preserve">primário do </w:delText>
        </w:r>
        <w:r w:rsidR="00974A0A">
          <w:rPr>
            <w:sz w:val="22"/>
            <w:szCs w:val="22"/>
          </w:rPr>
          <w:delText>e</w:delText>
        </w:r>
        <w:r w:rsidRPr="008912CF">
          <w:rPr>
            <w:sz w:val="22"/>
            <w:szCs w:val="22"/>
          </w:rPr>
          <w:delText xml:space="preserve">studo AR V consistiu na percentagem de doentes que atingia uma resposta ACR 50 na Semana 52. Os estudos AR III e V tinham um </w:delText>
        </w:r>
        <w:r w:rsidR="00F96DDF">
          <w:rPr>
            <w:sz w:val="22"/>
            <w:szCs w:val="22"/>
          </w:rPr>
          <w:delText>objetivo</w:delText>
        </w:r>
        <w:r w:rsidRPr="008912CF">
          <w:rPr>
            <w:sz w:val="22"/>
            <w:szCs w:val="22"/>
          </w:rPr>
          <w:delText xml:space="preserve"> primário adicional na </w:delText>
        </w:r>
        <w:r w:rsidR="005D2ECC">
          <w:rPr>
            <w:sz w:val="22"/>
            <w:szCs w:val="22"/>
          </w:rPr>
          <w:delText>S</w:delText>
        </w:r>
        <w:r w:rsidRPr="008912CF">
          <w:rPr>
            <w:sz w:val="22"/>
            <w:szCs w:val="22"/>
          </w:rPr>
          <w:delText xml:space="preserve">emana 52, nomeadamente atraso na progressão da doença (avaliado por radiografia). O estudo AR III tinha também um </w:delText>
        </w:r>
        <w:r w:rsidR="00F96DDF">
          <w:rPr>
            <w:sz w:val="22"/>
            <w:szCs w:val="22"/>
          </w:rPr>
          <w:delText>objetivo</w:delText>
        </w:r>
        <w:r w:rsidRPr="008912CF">
          <w:rPr>
            <w:sz w:val="22"/>
            <w:szCs w:val="22"/>
          </w:rPr>
          <w:delText xml:space="preserve"> de alterações na qualidade de vida.</w:delText>
        </w:r>
      </w:del>
    </w:p>
    <w:p w14:paraId="351A7E02" w14:textId="0ED3344F" w:rsidR="004462A0" w:rsidRPr="008912CF" w:rsidRDefault="004462A0" w:rsidP="00412FC8">
      <w:pPr>
        <w:rPr>
          <w:del w:id="6758" w:author="AbbVie2" w:date="2025-05-13T16:39:00Z"/>
          <w:sz w:val="22"/>
          <w:szCs w:val="22"/>
        </w:rPr>
      </w:pPr>
    </w:p>
    <w:p w14:paraId="5460DBA2" w14:textId="2999D9C0" w:rsidR="004462A0" w:rsidRPr="008912CF" w:rsidRDefault="00615769">
      <w:pPr>
        <w:rPr>
          <w:del w:id="6759" w:author="AbbVie2" w:date="2025-05-13T16:39:00Z"/>
          <w:szCs w:val="22"/>
          <w:u w:val="single"/>
        </w:rPr>
        <w:pPrChange w:id="6760" w:author="AbbVie2" w:date="2025-05-13T16:40:00Z">
          <w:pPr>
            <w:pStyle w:val="Heading7"/>
            <w:spacing w:line="240" w:lineRule="auto"/>
            <w:jc w:val="left"/>
          </w:pPr>
        </w:pPrChange>
      </w:pPr>
      <w:del w:id="6761" w:author="AbbVie2" w:date="2025-05-13T16:39:00Z">
        <w:r w:rsidRPr="008912CF">
          <w:rPr>
            <w:szCs w:val="22"/>
            <w:u w:val="single"/>
          </w:rPr>
          <w:delText xml:space="preserve">Resposta ACR </w:delText>
        </w:r>
      </w:del>
    </w:p>
    <w:p w14:paraId="22D6A594" w14:textId="0E43689B" w:rsidR="004462A0" w:rsidRPr="008912CF" w:rsidRDefault="004462A0" w:rsidP="00412FC8">
      <w:pPr>
        <w:rPr>
          <w:del w:id="6762" w:author="AbbVie2" w:date="2025-05-13T16:39:00Z"/>
          <w:b/>
          <w:sz w:val="22"/>
          <w:szCs w:val="22"/>
        </w:rPr>
      </w:pPr>
    </w:p>
    <w:p w14:paraId="1F9ADC6F" w14:textId="4B28A3EF" w:rsidR="004462A0" w:rsidRPr="008912CF" w:rsidRDefault="00615769" w:rsidP="00412FC8">
      <w:pPr>
        <w:rPr>
          <w:del w:id="6763" w:author="AbbVie2" w:date="2025-05-13T16:39:00Z"/>
          <w:sz w:val="22"/>
          <w:szCs w:val="22"/>
        </w:rPr>
      </w:pPr>
      <w:del w:id="6764" w:author="AbbVie2" w:date="2025-05-13T16:39:00Z">
        <w:r w:rsidRPr="008912CF">
          <w:rPr>
            <w:sz w:val="22"/>
            <w:szCs w:val="22"/>
          </w:rPr>
          <w:delText xml:space="preserve">A percentagem de doentes tratados com Humira que atingiram respostas ACR 20, 50 e 70 foi consistente em todos os estudos AR I, II e III. Na Tabela </w:delText>
        </w:r>
        <w:r w:rsidR="00E3620C">
          <w:rPr>
            <w:sz w:val="22"/>
            <w:szCs w:val="22"/>
          </w:rPr>
          <w:delText>8</w:delText>
        </w:r>
        <w:r w:rsidRPr="008912CF">
          <w:rPr>
            <w:sz w:val="22"/>
            <w:szCs w:val="22"/>
          </w:rPr>
          <w:delText xml:space="preserve">, apresenta-se um resumo dos resultados obtidos com a dose de 40 mg administrada em semanas alternadas. </w:delText>
        </w:r>
      </w:del>
    </w:p>
    <w:p w14:paraId="1307549C" w14:textId="7125F7D7" w:rsidR="004462A0" w:rsidRPr="008912CF" w:rsidRDefault="004462A0" w:rsidP="00412FC8">
      <w:pPr>
        <w:rPr>
          <w:del w:id="6765" w:author="AbbVie2" w:date="2025-05-13T16:39:00Z"/>
          <w:sz w:val="22"/>
          <w:szCs w:val="22"/>
        </w:rPr>
      </w:pPr>
    </w:p>
    <w:tbl>
      <w:tblPr>
        <w:tblW w:w="9124" w:type="dxa"/>
        <w:tblInd w:w="98" w:type="dxa"/>
        <w:tblLayout w:type="fixed"/>
        <w:tblCellMar>
          <w:left w:w="0" w:type="dxa"/>
          <w:right w:w="0" w:type="dxa"/>
        </w:tblCellMar>
        <w:tblLook w:val="0000" w:firstRow="0" w:lastRow="0" w:firstColumn="0" w:lastColumn="0" w:noHBand="0" w:noVBand="0"/>
      </w:tblPr>
      <w:tblGrid>
        <w:gridCol w:w="1069"/>
        <w:gridCol w:w="1393"/>
        <w:gridCol w:w="1417"/>
        <w:gridCol w:w="1071"/>
        <w:gridCol w:w="1197"/>
        <w:gridCol w:w="1418"/>
        <w:gridCol w:w="1559"/>
      </w:tblGrid>
      <w:tr w:rsidR="00A7162A" w14:paraId="12000576" w14:textId="4A4D129F" w:rsidTr="00F675CF">
        <w:trPr>
          <w:del w:id="6766" w:author="AbbVie2" w:date="2025-05-13T16:39:00Z"/>
        </w:trPr>
        <w:tc>
          <w:tcPr>
            <w:tcW w:w="9124" w:type="dxa"/>
            <w:gridSpan w:val="7"/>
          </w:tcPr>
          <w:p w14:paraId="1B45A6B0" w14:textId="6B97EFAE" w:rsidR="004462A0" w:rsidRPr="008912CF" w:rsidRDefault="00615769">
            <w:pPr>
              <w:rPr>
                <w:del w:id="6767" w:author="AbbVie2" w:date="2025-05-13T16:39:00Z"/>
                <w:b/>
                <w:sz w:val="22"/>
                <w:szCs w:val="22"/>
              </w:rPr>
              <w:pPrChange w:id="6768" w:author="AbbVie2" w:date="2025-05-13T16:40:00Z">
                <w:pPr>
                  <w:pStyle w:val="Corpodetexto1"/>
                  <w:keepNext/>
                  <w:tabs>
                    <w:tab w:val="clear" w:pos="1152"/>
                    <w:tab w:val="clear" w:pos="1872"/>
                  </w:tabs>
                  <w:spacing w:after="0" w:line="240" w:lineRule="auto"/>
                  <w:ind w:left="0"/>
                  <w:jc w:val="center"/>
                </w:pPr>
              </w:pPrChange>
            </w:pPr>
            <w:del w:id="6769" w:author="AbbVie2" w:date="2025-05-13T16:39:00Z">
              <w:r w:rsidRPr="008912CF">
                <w:rPr>
                  <w:b/>
                  <w:sz w:val="22"/>
                  <w:szCs w:val="22"/>
                </w:rPr>
                <w:delText xml:space="preserve">Tabela </w:delText>
              </w:r>
              <w:r w:rsidR="00E3620C">
                <w:rPr>
                  <w:b/>
                  <w:sz w:val="22"/>
                  <w:szCs w:val="22"/>
                </w:rPr>
                <w:delText>8</w:delText>
              </w:r>
            </w:del>
          </w:p>
          <w:p w14:paraId="5A186263" w14:textId="3788B42D" w:rsidR="004462A0" w:rsidRPr="008912CF" w:rsidRDefault="00615769">
            <w:pPr>
              <w:rPr>
                <w:del w:id="6770" w:author="AbbVie2" w:date="2025-05-13T16:39:00Z"/>
                <w:b/>
                <w:sz w:val="22"/>
                <w:szCs w:val="22"/>
              </w:rPr>
              <w:pPrChange w:id="6771" w:author="AbbVie2" w:date="2025-05-13T16:40:00Z">
                <w:pPr>
                  <w:pStyle w:val="Corpodetexto1"/>
                  <w:keepNext/>
                  <w:tabs>
                    <w:tab w:val="clear" w:pos="1152"/>
                    <w:tab w:val="clear" w:pos="1872"/>
                  </w:tabs>
                  <w:spacing w:after="0" w:line="240" w:lineRule="auto"/>
                  <w:ind w:left="0"/>
                  <w:jc w:val="center"/>
                </w:pPr>
              </w:pPrChange>
            </w:pPr>
            <w:del w:id="6772" w:author="AbbVie2" w:date="2025-05-13T16:39:00Z">
              <w:r w:rsidRPr="008912CF">
                <w:rPr>
                  <w:b/>
                  <w:sz w:val="22"/>
                  <w:szCs w:val="22"/>
                </w:rPr>
                <w:delText>Respostas ACR nos Ensaios Controlados com Placebo</w:delText>
              </w:r>
            </w:del>
          </w:p>
          <w:p w14:paraId="74834F7F" w14:textId="2AE2074B" w:rsidR="004462A0" w:rsidRPr="008912CF" w:rsidRDefault="00615769">
            <w:pPr>
              <w:rPr>
                <w:del w:id="6773" w:author="AbbVie2" w:date="2025-05-13T16:39:00Z"/>
                <w:b/>
                <w:sz w:val="22"/>
                <w:szCs w:val="22"/>
              </w:rPr>
              <w:pPrChange w:id="6774" w:author="AbbVie2" w:date="2025-05-13T16:40:00Z">
                <w:pPr>
                  <w:pStyle w:val="Corpodetexto1"/>
                  <w:keepNext/>
                  <w:tabs>
                    <w:tab w:val="clear" w:pos="1152"/>
                    <w:tab w:val="clear" w:pos="1872"/>
                  </w:tabs>
                  <w:spacing w:after="0" w:line="240" w:lineRule="auto"/>
                  <w:ind w:left="0"/>
                  <w:jc w:val="center"/>
                </w:pPr>
              </w:pPrChange>
            </w:pPr>
            <w:del w:id="6775" w:author="AbbVie2" w:date="2025-05-13T16:39:00Z">
              <w:r w:rsidRPr="008912CF">
                <w:rPr>
                  <w:b/>
                  <w:sz w:val="22"/>
                  <w:szCs w:val="22"/>
                </w:rPr>
                <w:delText>(Percentagem de Doentes)</w:delText>
              </w:r>
            </w:del>
          </w:p>
          <w:p w14:paraId="6C8DABAD" w14:textId="3C3EA502" w:rsidR="004462A0" w:rsidRPr="008912CF" w:rsidRDefault="004462A0">
            <w:pPr>
              <w:rPr>
                <w:del w:id="6776" w:author="AbbVie2" w:date="2025-05-13T16:39:00Z"/>
                <w:b/>
                <w:sz w:val="22"/>
                <w:szCs w:val="22"/>
              </w:rPr>
              <w:pPrChange w:id="6777" w:author="AbbVie2" w:date="2025-05-13T16:40:00Z">
                <w:pPr>
                  <w:pStyle w:val="Corpodetexto1"/>
                  <w:keepNext/>
                  <w:tabs>
                    <w:tab w:val="clear" w:pos="1152"/>
                    <w:tab w:val="clear" w:pos="1872"/>
                  </w:tabs>
                  <w:spacing w:after="0" w:line="240" w:lineRule="auto"/>
                  <w:ind w:left="0"/>
                  <w:jc w:val="center"/>
                </w:pPr>
              </w:pPrChange>
            </w:pPr>
          </w:p>
        </w:tc>
      </w:tr>
      <w:tr w:rsidR="00A7162A" w14:paraId="0FA3FAD5" w14:textId="56002BE9" w:rsidTr="00F675CF">
        <w:trPr>
          <w:cantSplit/>
          <w:del w:id="6778" w:author="AbbVie2" w:date="2025-05-13T16:39:00Z"/>
        </w:trPr>
        <w:tc>
          <w:tcPr>
            <w:tcW w:w="1069" w:type="dxa"/>
            <w:tcBorders>
              <w:top w:val="single" w:sz="6" w:space="0" w:color="auto"/>
              <w:right w:val="single" w:sz="6" w:space="0" w:color="auto"/>
            </w:tcBorders>
          </w:tcPr>
          <w:p w14:paraId="25DE2BDA" w14:textId="12C9CDF1" w:rsidR="004462A0" w:rsidRPr="008912CF" w:rsidRDefault="00615769">
            <w:pPr>
              <w:rPr>
                <w:del w:id="6779" w:author="AbbVie2" w:date="2025-05-13T16:39:00Z"/>
                <w:sz w:val="22"/>
                <w:szCs w:val="22"/>
              </w:rPr>
              <w:pPrChange w:id="6780" w:author="AbbVie2" w:date="2025-05-13T16:40:00Z">
                <w:pPr>
                  <w:pStyle w:val="In-texttable"/>
                  <w:spacing w:line="240" w:lineRule="auto"/>
                </w:pPr>
              </w:pPrChange>
            </w:pPr>
            <w:del w:id="6781" w:author="AbbVie2" w:date="2025-05-13T16:39:00Z">
              <w:r w:rsidRPr="008912CF">
                <w:rPr>
                  <w:sz w:val="22"/>
                  <w:szCs w:val="22"/>
                </w:rPr>
                <w:delText xml:space="preserve">Resposta </w:delText>
              </w:r>
            </w:del>
          </w:p>
        </w:tc>
        <w:tc>
          <w:tcPr>
            <w:tcW w:w="2810" w:type="dxa"/>
            <w:gridSpan w:val="2"/>
            <w:tcBorders>
              <w:top w:val="single" w:sz="6" w:space="0" w:color="auto"/>
              <w:left w:val="single" w:sz="6" w:space="0" w:color="auto"/>
              <w:bottom w:val="single" w:sz="6" w:space="0" w:color="auto"/>
              <w:right w:val="single" w:sz="6" w:space="0" w:color="auto"/>
            </w:tcBorders>
          </w:tcPr>
          <w:p w14:paraId="57451592" w14:textId="1F7B9B37" w:rsidR="004462A0" w:rsidRPr="008912CF" w:rsidRDefault="00615769">
            <w:pPr>
              <w:rPr>
                <w:del w:id="6782" w:author="AbbVie2" w:date="2025-05-13T16:39:00Z"/>
                <w:sz w:val="22"/>
                <w:szCs w:val="22"/>
              </w:rPr>
              <w:pPrChange w:id="6783" w:author="AbbVie2" w:date="2025-05-13T16:40:00Z">
                <w:pPr>
                  <w:pStyle w:val="In-texttable"/>
                  <w:spacing w:line="240" w:lineRule="auto"/>
                  <w:jc w:val="center"/>
                </w:pPr>
              </w:pPrChange>
            </w:pPr>
            <w:del w:id="6784" w:author="AbbVie2" w:date="2025-05-13T16:39:00Z">
              <w:r w:rsidRPr="008912CF">
                <w:rPr>
                  <w:sz w:val="22"/>
                  <w:szCs w:val="22"/>
                </w:rPr>
                <w:delText>Estudo AR I</w:delText>
              </w:r>
              <w:r w:rsidRPr="008912CF">
                <w:rPr>
                  <w:sz w:val="22"/>
                  <w:szCs w:val="22"/>
                  <w:vertAlign w:val="superscript"/>
                </w:rPr>
                <w:delText>a</w:delText>
              </w:r>
              <w:r w:rsidRPr="008912CF">
                <w:rPr>
                  <w:sz w:val="22"/>
                  <w:szCs w:val="22"/>
                </w:rPr>
                <w:delText>**</w:delText>
              </w:r>
            </w:del>
          </w:p>
        </w:tc>
        <w:tc>
          <w:tcPr>
            <w:tcW w:w="2268" w:type="dxa"/>
            <w:gridSpan w:val="2"/>
            <w:tcBorders>
              <w:top w:val="single" w:sz="6" w:space="0" w:color="auto"/>
              <w:left w:val="single" w:sz="6" w:space="0" w:color="auto"/>
              <w:bottom w:val="single" w:sz="6" w:space="0" w:color="auto"/>
              <w:right w:val="single" w:sz="6" w:space="0" w:color="auto"/>
            </w:tcBorders>
          </w:tcPr>
          <w:p w14:paraId="105977E8" w14:textId="10C7F61C" w:rsidR="004462A0" w:rsidRPr="008912CF" w:rsidRDefault="00615769">
            <w:pPr>
              <w:rPr>
                <w:del w:id="6785" w:author="AbbVie2" w:date="2025-05-13T16:39:00Z"/>
                <w:sz w:val="22"/>
                <w:szCs w:val="22"/>
              </w:rPr>
              <w:pPrChange w:id="6786" w:author="AbbVie2" w:date="2025-05-13T16:40:00Z">
                <w:pPr>
                  <w:pStyle w:val="In-texttable"/>
                  <w:spacing w:line="240" w:lineRule="auto"/>
                  <w:jc w:val="center"/>
                </w:pPr>
              </w:pPrChange>
            </w:pPr>
            <w:del w:id="6787" w:author="AbbVie2" w:date="2025-05-13T16:39:00Z">
              <w:r w:rsidRPr="008912CF">
                <w:rPr>
                  <w:sz w:val="22"/>
                  <w:szCs w:val="22"/>
                </w:rPr>
                <w:delText>Estudo AR II</w:delText>
              </w:r>
              <w:r w:rsidRPr="008912CF">
                <w:rPr>
                  <w:sz w:val="22"/>
                  <w:szCs w:val="22"/>
                  <w:vertAlign w:val="superscript"/>
                </w:rPr>
                <w:delText>a</w:delText>
              </w:r>
              <w:r w:rsidRPr="008912CF">
                <w:rPr>
                  <w:sz w:val="22"/>
                  <w:szCs w:val="22"/>
                </w:rPr>
                <w:delText>**</w:delText>
              </w:r>
            </w:del>
          </w:p>
        </w:tc>
        <w:tc>
          <w:tcPr>
            <w:tcW w:w="2977" w:type="dxa"/>
            <w:gridSpan w:val="2"/>
            <w:tcBorders>
              <w:top w:val="single" w:sz="6" w:space="0" w:color="auto"/>
              <w:left w:val="single" w:sz="6" w:space="0" w:color="auto"/>
              <w:bottom w:val="single" w:sz="6" w:space="0" w:color="auto"/>
            </w:tcBorders>
          </w:tcPr>
          <w:p w14:paraId="5359A80B" w14:textId="70159BD9" w:rsidR="004462A0" w:rsidRPr="008912CF" w:rsidRDefault="00615769">
            <w:pPr>
              <w:rPr>
                <w:del w:id="6788" w:author="AbbVie2" w:date="2025-05-13T16:39:00Z"/>
                <w:sz w:val="22"/>
                <w:szCs w:val="22"/>
              </w:rPr>
              <w:pPrChange w:id="6789" w:author="AbbVie2" w:date="2025-05-13T16:40:00Z">
                <w:pPr>
                  <w:pStyle w:val="In-texttable"/>
                  <w:spacing w:line="240" w:lineRule="auto"/>
                  <w:jc w:val="center"/>
                </w:pPr>
              </w:pPrChange>
            </w:pPr>
            <w:del w:id="6790" w:author="AbbVie2" w:date="2025-05-13T16:39:00Z">
              <w:r w:rsidRPr="008912CF">
                <w:rPr>
                  <w:sz w:val="22"/>
                  <w:szCs w:val="22"/>
                </w:rPr>
                <w:delText>Estudo AR III</w:delText>
              </w:r>
              <w:r w:rsidRPr="008912CF">
                <w:rPr>
                  <w:sz w:val="22"/>
                  <w:szCs w:val="22"/>
                  <w:vertAlign w:val="superscript"/>
                </w:rPr>
                <w:delText>a</w:delText>
              </w:r>
              <w:r w:rsidRPr="008912CF">
                <w:rPr>
                  <w:sz w:val="22"/>
                  <w:szCs w:val="22"/>
                </w:rPr>
                <w:delText>**</w:delText>
              </w:r>
            </w:del>
          </w:p>
          <w:p w14:paraId="319080A5" w14:textId="0808D5D6" w:rsidR="004462A0" w:rsidRPr="008912CF" w:rsidRDefault="004462A0">
            <w:pPr>
              <w:rPr>
                <w:del w:id="6791" w:author="AbbVie2" w:date="2025-05-13T16:39:00Z"/>
                <w:sz w:val="22"/>
                <w:szCs w:val="22"/>
              </w:rPr>
              <w:pPrChange w:id="6792" w:author="AbbVie2" w:date="2025-05-13T16:40:00Z">
                <w:pPr>
                  <w:pStyle w:val="In-texttable"/>
                  <w:spacing w:line="240" w:lineRule="auto"/>
                  <w:jc w:val="center"/>
                </w:pPr>
              </w:pPrChange>
            </w:pPr>
          </w:p>
        </w:tc>
      </w:tr>
      <w:tr w:rsidR="00A7162A" w14:paraId="674DEC3B" w14:textId="6B0BA8D7" w:rsidTr="00F675CF">
        <w:trPr>
          <w:cantSplit/>
          <w:del w:id="6793" w:author="AbbVie2" w:date="2025-05-13T16:39:00Z"/>
        </w:trPr>
        <w:tc>
          <w:tcPr>
            <w:tcW w:w="1069" w:type="dxa"/>
            <w:tcBorders>
              <w:bottom w:val="single" w:sz="6" w:space="0" w:color="auto"/>
              <w:right w:val="single" w:sz="6" w:space="0" w:color="auto"/>
            </w:tcBorders>
          </w:tcPr>
          <w:p w14:paraId="20DA7C65" w14:textId="5FA17A2F" w:rsidR="004462A0" w:rsidRPr="008912CF" w:rsidRDefault="004462A0">
            <w:pPr>
              <w:rPr>
                <w:del w:id="6794" w:author="AbbVie2" w:date="2025-05-13T16:39:00Z"/>
                <w:sz w:val="22"/>
                <w:szCs w:val="22"/>
              </w:rPr>
              <w:pPrChange w:id="6795" w:author="AbbVie2" w:date="2025-05-13T16:40:00Z">
                <w:pPr>
                  <w:pStyle w:val="In-texttable"/>
                  <w:spacing w:line="240" w:lineRule="auto"/>
                </w:pPr>
              </w:pPrChange>
            </w:pPr>
          </w:p>
        </w:tc>
        <w:tc>
          <w:tcPr>
            <w:tcW w:w="1393" w:type="dxa"/>
            <w:tcBorders>
              <w:top w:val="single" w:sz="6" w:space="0" w:color="auto"/>
              <w:left w:val="single" w:sz="6" w:space="0" w:color="auto"/>
              <w:bottom w:val="single" w:sz="6" w:space="0" w:color="auto"/>
            </w:tcBorders>
          </w:tcPr>
          <w:p w14:paraId="78E2FF50" w14:textId="0093FA77" w:rsidR="004462A0" w:rsidRPr="008912CF" w:rsidRDefault="00615769">
            <w:pPr>
              <w:rPr>
                <w:del w:id="6796" w:author="AbbVie2" w:date="2025-05-13T16:39:00Z"/>
                <w:sz w:val="22"/>
                <w:szCs w:val="22"/>
              </w:rPr>
              <w:pPrChange w:id="6797" w:author="AbbVie2" w:date="2025-05-13T16:40:00Z">
                <w:pPr>
                  <w:pStyle w:val="In-texttable"/>
                  <w:spacing w:line="240" w:lineRule="auto"/>
                  <w:jc w:val="center"/>
                </w:pPr>
              </w:pPrChange>
            </w:pPr>
            <w:del w:id="6798" w:author="AbbVie2" w:date="2025-05-13T16:39:00Z">
              <w:r w:rsidRPr="008912CF">
                <w:rPr>
                  <w:sz w:val="22"/>
                  <w:szCs w:val="22"/>
                </w:rPr>
                <w:delText>Placebo/MTX</w:delText>
              </w:r>
              <w:r w:rsidRPr="008912CF">
                <w:rPr>
                  <w:sz w:val="22"/>
                  <w:szCs w:val="22"/>
                  <w:vertAlign w:val="superscript"/>
                </w:rPr>
                <w:delText>c</w:delText>
              </w:r>
            </w:del>
          </w:p>
          <w:p w14:paraId="37698AFC" w14:textId="5065F99E" w:rsidR="004462A0" w:rsidRPr="008912CF" w:rsidRDefault="00615769">
            <w:pPr>
              <w:rPr>
                <w:del w:id="6799" w:author="AbbVie2" w:date="2025-05-13T16:39:00Z"/>
                <w:sz w:val="22"/>
                <w:szCs w:val="22"/>
              </w:rPr>
              <w:pPrChange w:id="6800" w:author="AbbVie2" w:date="2025-05-13T16:40:00Z">
                <w:pPr>
                  <w:pStyle w:val="In-texttable"/>
                  <w:spacing w:line="240" w:lineRule="auto"/>
                  <w:jc w:val="center"/>
                </w:pPr>
              </w:pPrChange>
            </w:pPr>
            <w:del w:id="6801" w:author="AbbVie2" w:date="2025-05-13T16:39:00Z">
              <w:r>
                <w:rPr>
                  <w:sz w:val="22"/>
                  <w:szCs w:val="22"/>
                </w:rPr>
                <w:delText>n</w:delText>
              </w:r>
              <w:r w:rsidRPr="008912CF">
                <w:rPr>
                  <w:sz w:val="22"/>
                  <w:szCs w:val="22"/>
                </w:rPr>
                <w:delText> = 60</w:delText>
              </w:r>
            </w:del>
          </w:p>
        </w:tc>
        <w:tc>
          <w:tcPr>
            <w:tcW w:w="1417" w:type="dxa"/>
            <w:tcBorders>
              <w:top w:val="single" w:sz="6" w:space="0" w:color="auto"/>
              <w:bottom w:val="single" w:sz="6" w:space="0" w:color="auto"/>
              <w:right w:val="single" w:sz="6" w:space="0" w:color="auto"/>
            </w:tcBorders>
          </w:tcPr>
          <w:p w14:paraId="6705C72D" w14:textId="67D40DFB" w:rsidR="004462A0" w:rsidRPr="008912CF" w:rsidRDefault="00615769">
            <w:pPr>
              <w:rPr>
                <w:del w:id="6802" w:author="AbbVie2" w:date="2025-05-13T16:39:00Z"/>
                <w:sz w:val="22"/>
                <w:szCs w:val="22"/>
              </w:rPr>
              <w:pPrChange w:id="6803" w:author="AbbVie2" w:date="2025-05-13T16:40:00Z">
                <w:pPr>
                  <w:pStyle w:val="In-texttable"/>
                  <w:spacing w:line="240" w:lineRule="auto"/>
                  <w:jc w:val="center"/>
                </w:pPr>
              </w:pPrChange>
            </w:pPr>
            <w:del w:id="6804" w:author="AbbVie2" w:date="2025-05-13T16:39:00Z">
              <w:r w:rsidRPr="008912CF">
                <w:rPr>
                  <w:sz w:val="22"/>
                  <w:szCs w:val="22"/>
                </w:rPr>
                <w:delText>Humira</w:delText>
              </w:r>
              <w:r w:rsidRPr="008912CF">
                <w:rPr>
                  <w:sz w:val="22"/>
                  <w:szCs w:val="22"/>
                  <w:vertAlign w:val="superscript"/>
                </w:rPr>
                <w:delText>b</w:delText>
              </w:r>
              <w:r w:rsidRPr="008912CF">
                <w:rPr>
                  <w:sz w:val="22"/>
                  <w:szCs w:val="22"/>
                </w:rPr>
                <w:delText>/MTX</w:delText>
              </w:r>
              <w:r w:rsidRPr="008912CF">
                <w:rPr>
                  <w:sz w:val="22"/>
                  <w:szCs w:val="22"/>
                  <w:vertAlign w:val="superscript"/>
                </w:rPr>
                <w:delText>c</w:delText>
              </w:r>
            </w:del>
          </w:p>
          <w:p w14:paraId="63B6FD2F" w14:textId="40DEFF72" w:rsidR="004462A0" w:rsidRPr="008912CF" w:rsidRDefault="00615769">
            <w:pPr>
              <w:rPr>
                <w:del w:id="6805" w:author="AbbVie2" w:date="2025-05-13T16:39:00Z"/>
                <w:sz w:val="22"/>
                <w:szCs w:val="22"/>
              </w:rPr>
              <w:pPrChange w:id="6806" w:author="AbbVie2" w:date="2025-05-13T16:40:00Z">
                <w:pPr>
                  <w:pStyle w:val="In-texttable"/>
                  <w:spacing w:line="240" w:lineRule="auto"/>
                  <w:jc w:val="center"/>
                </w:pPr>
              </w:pPrChange>
            </w:pPr>
            <w:del w:id="6807" w:author="AbbVie2" w:date="2025-05-13T16:39:00Z">
              <w:r w:rsidRPr="008912CF">
                <w:rPr>
                  <w:sz w:val="22"/>
                  <w:szCs w:val="22"/>
                </w:rPr>
                <w:delText>n = 63</w:delText>
              </w:r>
            </w:del>
          </w:p>
        </w:tc>
        <w:tc>
          <w:tcPr>
            <w:tcW w:w="1071" w:type="dxa"/>
            <w:tcBorders>
              <w:top w:val="single" w:sz="6" w:space="0" w:color="auto"/>
              <w:left w:val="single" w:sz="6" w:space="0" w:color="auto"/>
              <w:bottom w:val="single" w:sz="6" w:space="0" w:color="auto"/>
            </w:tcBorders>
          </w:tcPr>
          <w:p w14:paraId="7E1BED3B" w14:textId="38D238E6" w:rsidR="004462A0" w:rsidRPr="008912CF" w:rsidRDefault="00615769">
            <w:pPr>
              <w:rPr>
                <w:del w:id="6808" w:author="AbbVie2" w:date="2025-05-13T16:39:00Z"/>
                <w:sz w:val="22"/>
                <w:szCs w:val="22"/>
              </w:rPr>
              <w:pPrChange w:id="6809" w:author="AbbVie2" w:date="2025-05-13T16:40:00Z">
                <w:pPr>
                  <w:pStyle w:val="In-texttable"/>
                  <w:spacing w:line="240" w:lineRule="auto"/>
                  <w:jc w:val="center"/>
                </w:pPr>
              </w:pPrChange>
            </w:pPr>
            <w:del w:id="6810" w:author="AbbVie2" w:date="2025-05-13T16:39:00Z">
              <w:r w:rsidRPr="008912CF">
                <w:rPr>
                  <w:sz w:val="22"/>
                  <w:szCs w:val="22"/>
                </w:rPr>
                <w:delText>Placebo</w:delText>
              </w:r>
            </w:del>
          </w:p>
          <w:p w14:paraId="1068E5A0" w14:textId="17CCCF7B" w:rsidR="004462A0" w:rsidRPr="008912CF" w:rsidRDefault="00615769">
            <w:pPr>
              <w:rPr>
                <w:del w:id="6811" w:author="AbbVie2" w:date="2025-05-13T16:39:00Z"/>
                <w:sz w:val="22"/>
                <w:szCs w:val="22"/>
              </w:rPr>
              <w:pPrChange w:id="6812" w:author="AbbVie2" w:date="2025-05-13T16:40:00Z">
                <w:pPr>
                  <w:pStyle w:val="In-texttable"/>
                  <w:spacing w:line="240" w:lineRule="auto"/>
                  <w:jc w:val="center"/>
                </w:pPr>
              </w:pPrChange>
            </w:pPr>
            <w:del w:id="6813" w:author="AbbVie2" w:date="2025-05-13T16:39:00Z">
              <w:r w:rsidRPr="008912CF">
                <w:rPr>
                  <w:sz w:val="22"/>
                  <w:szCs w:val="22"/>
                </w:rPr>
                <w:delText>n = 110</w:delText>
              </w:r>
            </w:del>
          </w:p>
        </w:tc>
        <w:tc>
          <w:tcPr>
            <w:tcW w:w="1197" w:type="dxa"/>
            <w:tcBorders>
              <w:top w:val="single" w:sz="6" w:space="0" w:color="auto"/>
              <w:bottom w:val="single" w:sz="6" w:space="0" w:color="auto"/>
              <w:right w:val="single" w:sz="6" w:space="0" w:color="auto"/>
            </w:tcBorders>
          </w:tcPr>
          <w:p w14:paraId="233DE1E6" w14:textId="3F69CAF3" w:rsidR="004462A0" w:rsidRPr="008912CF" w:rsidRDefault="00615769">
            <w:pPr>
              <w:rPr>
                <w:del w:id="6814" w:author="AbbVie2" w:date="2025-05-13T16:39:00Z"/>
                <w:sz w:val="22"/>
                <w:szCs w:val="22"/>
              </w:rPr>
              <w:pPrChange w:id="6815" w:author="AbbVie2" w:date="2025-05-13T16:40:00Z">
                <w:pPr>
                  <w:pStyle w:val="In-texttable"/>
                  <w:spacing w:line="240" w:lineRule="auto"/>
                  <w:jc w:val="center"/>
                </w:pPr>
              </w:pPrChange>
            </w:pPr>
            <w:del w:id="6816" w:author="AbbVie2" w:date="2025-05-13T16:39:00Z">
              <w:r w:rsidRPr="008912CF">
                <w:rPr>
                  <w:sz w:val="22"/>
                  <w:szCs w:val="22"/>
                </w:rPr>
                <w:delText>Humira</w:delText>
              </w:r>
              <w:r w:rsidRPr="008912CF">
                <w:rPr>
                  <w:sz w:val="22"/>
                  <w:szCs w:val="22"/>
                  <w:vertAlign w:val="superscript"/>
                </w:rPr>
                <w:delText>b</w:delText>
              </w:r>
            </w:del>
          </w:p>
          <w:p w14:paraId="181005EE" w14:textId="635AFFEF" w:rsidR="004462A0" w:rsidRPr="008912CF" w:rsidRDefault="00615769">
            <w:pPr>
              <w:rPr>
                <w:del w:id="6817" w:author="AbbVie2" w:date="2025-05-13T16:39:00Z"/>
                <w:sz w:val="22"/>
                <w:szCs w:val="22"/>
              </w:rPr>
              <w:pPrChange w:id="6818" w:author="AbbVie2" w:date="2025-05-13T16:40:00Z">
                <w:pPr>
                  <w:pStyle w:val="In-texttable"/>
                  <w:spacing w:line="240" w:lineRule="auto"/>
                  <w:jc w:val="center"/>
                </w:pPr>
              </w:pPrChange>
            </w:pPr>
            <w:del w:id="6819" w:author="AbbVie2" w:date="2025-05-13T16:39:00Z">
              <w:r w:rsidRPr="008912CF">
                <w:rPr>
                  <w:sz w:val="22"/>
                  <w:szCs w:val="22"/>
                </w:rPr>
                <w:delText>n = 113</w:delText>
              </w:r>
            </w:del>
          </w:p>
        </w:tc>
        <w:tc>
          <w:tcPr>
            <w:tcW w:w="1418" w:type="dxa"/>
            <w:tcBorders>
              <w:top w:val="single" w:sz="6" w:space="0" w:color="auto"/>
              <w:left w:val="single" w:sz="6" w:space="0" w:color="auto"/>
              <w:bottom w:val="single" w:sz="6" w:space="0" w:color="auto"/>
            </w:tcBorders>
          </w:tcPr>
          <w:p w14:paraId="39C038FA" w14:textId="0BE3F1FE" w:rsidR="004462A0" w:rsidRPr="008912CF" w:rsidRDefault="00615769">
            <w:pPr>
              <w:rPr>
                <w:del w:id="6820" w:author="AbbVie2" w:date="2025-05-13T16:39:00Z"/>
                <w:sz w:val="22"/>
                <w:szCs w:val="22"/>
              </w:rPr>
              <w:pPrChange w:id="6821" w:author="AbbVie2" w:date="2025-05-13T16:40:00Z">
                <w:pPr>
                  <w:pStyle w:val="In-texttable"/>
                  <w:spacing w:line="240" w:lineRule="auto"/>
                  <w:jc w:val="center"/>
                </w:pPr>
              </w:pPrChange>
            </w:pPr>
            <w:del w:id="6822" w:author="AbbVie2" w:date="2025-05-13T16:39:00Z">
              <w:r w:rsidRPr="008912CF">
                <w:rPr>
                  <w:sz w:val="22"/>
                  <w:szCs w:val="22"/>
                </w:rPr>
                <w:delText>Placebo/MTX</w:delText>
              </w:r>
              <w:r w:rsidRPr="008912CF">
                <w:rPr>
                  <w:sz w:val="22"/>
                  <w:szCs w:val="22"/>
                  <w:vertAlign w:val="superscript"/>
                </w:rPr>
                <w:delText>c</w:delText>
              </w:r>
            </w:del>
          </w:p>
          <w:p w14:paraId="1E56AD88" w14:textId="74AAF953" w:rsidR="004462A0" w:rsidRPr="008912CF" w:rsidRDefault="00615769">
            <w:pPr>
              <w:rPr>
                <w:del w:id="6823" w:author="AbbVie2" w:date="2025-05-13T16:39:00Z"/>
                <w:sz w:val="22"/>
                <w:szCs w:val="22"/>
              </w:rPr>
              <w:pPrChange w:id="6824" w:author="AbbVie2" w:date="2025-05-13T16:40:00Z">
                <w:pPr>
                  <w:pStyle w:val="In-texttable"/>
                  <w:spacing w:line="240" w:lineRule="auto"/>
                  <w:jc w:val="center"/>
                </w:pPr>
              </w:pPrChange>
            </w:pPr>
            <w:del w:id="6825" w:author="AbbVie2" w:date="2025-05-13T16:39:00Z">
              <w:r w:rsidRPr="008912CF">
                <w:rPr>
                  <w:sz w:val="22"/>
                  <w:szCs w:val="22"/>
                </w:rPr>
                <w:delText>n = 200</w:delText>
              </w:r>
            </w:del>
          </w:p>
        </w:tc>
        <w:tc>
          <w:tcPr>
            <w:tcW w:w="1559" w:type="dxa"/>
            <w:tcBorders>
              <w:top w:val="single" w:sz="6" w:space="0" w:color="auto"/>
              <w:bottom w:val="single" w:sz="6" w:space="0" w:color="auto"/>
            </w:tcBorders>
          </w:tcPr>
          <w:p w14:paraId="7E4C04A8" w14:textId="05145C3E" w:rsidR="004462A0" w:rsidRPr="008912CF" w:rsidRDefault="00615769">
            <w:pPr>
              <w:rPr>
                <w:del w:id="6826" w:author="AbbVie2" w:date="2025-05-13T16:39:00Z"/>
                <w:sz w:val="22"/>
                <w:szCs w:val="22"/>
              </w:rPr>
              <w:pPrChange w:id="6827" w:author="AbbVie2" w:date="2025-05-13T16:40:00Z">
                <w:pPr>
                  <w:pStyle w:val="In-texttable"/>
                  <w:spacing w:line="240" w:lineRule="auto"/>
                  <w:jc w:val="center"/>
                </w:pPr>
              </w:pPrChange>
            </w:pPr>
            <w:del w:id="6828" w:author="AbbVie2" w:date="2025-05-13T16:39:00Z">
              <w:r w:rsidRPr="008912CF">
                <w:rPr>
                  <w:sz w:val="22"/>
                  <w:szCs w:val="22"/>
                </w:rPr>
                <w:delText>Humira</w:delText>
              </w:r>
              <w:r w:rsidRPr="008912CF">
                <w:rPr>
                  <w:sz w:val="22"/>
                  <w:szCs w:val="22"/>
                  <w:vertAlign w:val="superscript"/>
                </w:rPr>
                <w:delText>b</w:delText>
              </w:r>
              <w:r w:rsidRPr="008912CF">
                <w:rPr>
                  <w:sz w:val="22"/>
                  <w:szCs w:val="22"/>
                </w:rPr>
                <w:delText>/MTX</w:delText>
              </w:r>
              <w:r w:rsidRPr="008912CF">
                <w:rPr>
                  <w:sz w:val="22"/>
                  <w:szCs w:val="22"/>
                  <w:vertAlign w:val="superscript"/>
                </w:rPr>
                <w:delText>c</w:delText>
              </w:r>
            </w:del>
          </w:p>
          <w:p w14:paraId="455BA175" w14:textId="246252B5" w:rsidR="004462A0" w:rsidRPr="008912CF" w:rsidRDefault="00615769">
            <w:pPr>
              <w:rPr>
                <w:del w:id="6829" w:author="AbbVie2" w:date="2025-05-13T16:39:00Z"/>
                <w:sz w:val="22"/>
                <w:szCs w:val="22"/>
              </w:rPr>
              <w:pPrChange w:id="6830" w:author="AbbVie2" w:date="2025-05-13T16:40:00Z">
                <w:pPr>
                  <w:pStyle w:val="In-texttable"/>
                  <w:spacing w:line="240" w:lineRule="auto"/>
                  <w:jc w:val="center"/>
                </w:pPr>
              </w:pPrChange>
            </w:pPr>
            <w:del w:id="6831" w:author="AbbVie2" w:date="2025-05-13T16:39:00Z">
              <w:r>
                <w:rPr>
                  <w:sz w:val="22"/>
                  <w:szCs w:val="22"/>
                </w:rPr>
                <w:delText>n</w:delText>
              </w:r>
              <w:r w:rsidRPr="008912CF">
                <w:rPr>
                  <w:sz w:val="22"/>
                  <w:szCs w:val="22"/>
                </w:rPr>
                <w:delText> = 207</w:delText>
              </w:r>
            </w:del>
          </w:p>
        </w:tc>
      </w:tr>
      <w:tr w:rsidR="00A7162A" w14:paraId="467BBFDD" w14:textId="30AB3D81" w:rsidTr="00F675CF">
        <w:trPr>
          <w:cantSplit/>
          <w:del w:id="6832" w:author="AbbVie2" w:date="2025-05-13T16:39:00Z"/>
        </w:trPr>
        <w:tc>
          <w:tcPr>
            <w:tcW w:w="1069" w:type="dxa"/>
            <w:tcBorders>
              <w:right w:val="single" w:sz="6" w:space="0" w:color="auto"/>
            </w:tcBorders>
          </w:tcPr>
          <w:p w14:paraId="336C6E66" w14:textId="2FAEAC54" w:rsidR="004462A0" w:rsidRPr="008912CF" w:rsidRDefault="00615769">
            <w:pPr>
              <w:rPr>
                <w:del w:id="6833" w:author="AbbVie2" w:date="2025-05-13T16:39:00Z"/>
                <w:sz w:val="22"/>
                <w:szCs w:val="22"/>
              </w:rPr>
              <w:pPrChange w:id="6834" w:author="AbbVie2" w:date="2025-05-13T16:40:00Z">
                <w:pPr>
                  <w:pStyle w:val="In-texttable"/>
                  <w:tabs>
                    <w:tab w:val="left" w:pos="144"/>
                  </w:tabs>
                  <w:spacing w:line="240" w:lineRule="auto"/>
                </w:pPr>
              </w:pPrChange>
            </w:pPr>
            <w:del w:id="6835" w:author="AbbVie2" w:date="2025-05-13T16:39:00Z">
              <w:r w:rsidRPr="008912CF">
                <w:rPr>
                  <w:sz w:val="22"/>
                  <w:szCs w:val="22"/>
                </w:rPr>
                <w:delText>ACR 20</w:delText>
              </w:r>
            </w:del>
          </w:p>
        </w:tc>
        <w:tc>
          <w:tcPr>
            <w:tcW w:w="1393" w:type="dxa"/>
            <w:tcBorders>
              <w:left w:val="single" w:sz="6" w:space="0" w:color="auto"/>
            </w:tcBorders>
          </w:tcPr>
          <w:p w14:paraId="61D40629" w14:textId="5B15D50D" w:rsidR="004462A0" w:rsidRPr="008912CF" w:rsidRDefault="004462A0">
            <w:pPr>
              <w:rPr>
                <w:del w:id="6836" w:author="AbbVie2" w:date="2025-05-13T16:39:00Z"/>
                <w:sz w:val="22"/>
                <w:szCs w:val="22"/>
              </w:rPr>
              <w:pPrChange w:id="6837" w:author="AbbVie2" w:date="2025-05-13T16:40:00Z">
                <w:pPr>
                  <w:pStyle w:val="In-texttable"/>
                  <w:spacing w:line="240" w:lineRule="auto"/>
                  <w:jc w:val="center"/>
                </w:pPr>
              </w:pPrChange>
            </w:pPr>
          </w:p>
        </w:tc>
        <w:tc>
          <w:tcPr>
            <w:tcW w:w="1417" w:type="dxa"/>
            <w:tcBorders>
              <w:right w:val="single" w:sz="6" w:space="0" w:color="auto"/>
            </w:tcBorders>
          </w:tcPr>
          <w:p w14:paraId="1DFD3B32" w14:textId="6F9B38F3" w:rsidR="004462A0" w:rsidRPr="008912CF" w:rsidRDefault="004462A0">
            <w:pPr>
              <w:rPr>
                <w:del w:id="6838" w:author="AbbVie2" w:date="2025-05-13T16:39:00Z"/>
                <w:sz w:val="22"/>
                <w:szCs w:val="22"/>
              </w:rPr>
              <w:pPrChange w:id="6839" w:author="AbbVie2" w:date="2025-05-13T16:40:00Z">
                <w:pPr>
                  <w:pStyle w:val="In-texttable"/>
                  <w:spacing w:line="240" w:lineRule="auto"/>
                  <w:jc w:val="center"/>
                </w:pPr>
              </w:pPrChange>
            </w:pPr>
          </w:p>
        </w:tc>
        <w:tc>
          <w:tcPr>
            <w:tcW w:w="1071" w:type="dxa"/>
            <w:tcBorders>
              <w:left w:val="single" w:sz="6" w:space="0" w:color="auto"/>
            </w:tcBorders>
          </w:tcPr>
          <w:p w14:paraId="16D4C103" w14:textId="30E4AB54" w:rsidR="004462A0" w:rsidRPr="008912CF" w:rsidRDefault="004462A0">
            <w:pPr>
              <w:rPr>
                <w:del w:id="6840" w:author="AbbVie2" w:date="2025-05-13T16:39:00Z"/>
                <w:sz w:val="22"/>
                <w:szCs w:val="22"/>
              </w:rPr>
              <w:pPrChange w:id="6841" w:author="AbbVie2" w:date="2025-05-13T16:40:00Z">
                <w:pPr>
                  <w:pStyle w:val="In-texttable"/>
                  <w:spacing w:line="240" w:lineRule="auto"/>
                  <w:jc w:val="center"/>
                </w:pPr>
              </w:pPrChange>
            </w:pPr>
          </w:p>
        </w:tc>
        <w:tc>
          <w:tcPr>
            <w:tcW w:w="1197" w:type="dxa"/>
            <w:tcBorders>
              <w:right w:val="single" w:sz="6" w:space="0" w:color="auto"/>
            </w:tcBorders>
          </w:tcPr>
          <w:p w14:paraId="7AFD4D61" w14:textId="4F8D8277" w:rsidR="004462A0" w:rsidRPr="008912CF" w:rsidRDefault="004462A0">
            <w:pPr>
              <w:rPr>
                <w:del w:id="6842" w:author="AbbVie2" w:date="2025-05-13T16:39:00Z"/>
                <w:sz w:val="22"/>
                <w:szCs w:val="22"/>
              </w:rPr>
              <w:pPrChange w:id="6843" w:author="AbbVie2" w:date="2025-05-13T16:40:00Z">
                <w:pPr>
                  <w:pStyle w:val="In-texttable"/>
                  <w:spacing w:line="240" w:lineRule="auto"/>
                  <w:jc w:val="center"/>
                </w:pPr>
              </w:pPrChange>
            </w:pPr>
          </w:p>
        </w:tc>
        <w:tc>
          <w:tcPr>
            <w:tcW w:w="1418" w:type="dxa"/>
            <w:tcBorders>
              <w:top w:val="single" w:sz="6" w:space="0" w:color="auto"/>
              <w:left w:val="single" w:sz="6" w:space="0" w:color="auto"/>
            </w:tcBorders>
          </w:tcPr>
          <w:p w14:paraId="628E7267" w14:textId="02D2FDFB" w:rsidR="004462A0" w:rsidRPr="008912CF" w:rsidRDefault="004462A0">
            <w:pPr>
              <w:rPr>
                <w:del w:id="6844" w:author="AbbVie2" w:date="2025-05-13T16:39:00Z"/>
                <w:sz w:val="22"/>
                <w:szCs w:val="22"/>
              </w:rPr>
              <w:pPrChange w:id="6845" w:author="AbbVie2" w:date="2025-05-13T16:40:00Z">
                <w:pPr>
                  <w:pStyle w:val="In-texttable"/>
                  <w:spacing w:line="240" w:lineRule="auto"/>
                  <w:jc w:val="center"/>
                </w:pPr>
              </w:pPrChange>
            </w:pPr>
          </w:p>
        </w:tc>
        <w:tc>
          <w:tcPr>
            <w:tcW w:w="1559" w:type="dxa"/>
            <w:tcBorders>
              <w:top w:val="single" w:sz="6" w:space="0" w:color="auto"/>
            </w:tcBorders>
          </w:tcPr>
          <w:p w14:paraId="0DC7D67A" w14:textId="73662520" w:rsidR="004462A0" w:rsidRPr="008912CF" w:rsidRDefault="004462A0">
            <w:pPr>
              <w:rPr>
                <w:del w:id="6846" w:author="AbbVie2" w:date="2025-05-13T16:39:00Z"/>
                <w:sz w:val="22"/>
                <w:szCs w:val="22"/>
              </w:rPr>
              <w:pPrChange w:id="6847" w:author="AbbVie2" w:date="2025-05-13T16:40:00Z">
                <w:pPr>
                  <w:pStyle w:val="In-texttable"/>
                  <w:spacing w:line="240" w:lineRule="auto"/>
                  <w:jc w:val="center"/>
                </w:pPr>
              </w:pPrChange>
            </w:pPr>
          </w:p>
        </w:tc>
      </w:tr>
      <w:tr w:rsidR="00A7162A" w14:paraId="27F53317" w14:textId="7C4A2DBC" w:rsidTr="00F675CF">
        <w:trPr>
          <w:cantSplit/>
          <w:del w:id="6848" w:author="AbbVie2" w:date="2025-05-13T16:39:00Z"/>
        </w:trPr>
        <w:tc>
          <w:tcPr>
            <w:tcW w:w="1069" w:type="dxa"/>
            <w:tcBorders>
              <w:right w:val="single" w:sz="6" w:space="0" w:color="auto"/>
            </w:tcBorders>
          </w:tcPr>
          <w:p w14:paraId="147C6E4F" w14:textId="624AE482" w:rsidR="004462A0" w:rsidRPr="008912CF" w:rsidRDefault="00615769">
            <w:pPr>
              <w:rPr>
                <w:del w:id="6849" w:author="AbbVie2" w:date="2025-05-13T16:39:00Z"/>
                <w:sz w:val="22"/>
                <w:szCs w:val="22"/>
              </w:rPr>
              <w:pPrChange w:id="6850" w:author="AbbVie2" w:date="2025-05-13T16:40:00Z">
                <w:pPr>
                  <w:pStyle w:val="In-texttable"/>
                  <w:tabs>
                    <w:tab w:val="left" w:pos="144"/>
                  </w:tabs>
                  <w:spacing w:line="240" w:lineRule="auto"/>
                </w:pPr>
              </w:pPrChange>
            </w:pPr>
            <w:del w:id="6851" w:author="AbbVie2" w:date="2025-05-13T16:39:00Z">
              <w:r w:rsidRPr="008912CF">
                <w:rPr>
                  <w:sz w:val="22"/>
                  <w:szCs w:val="22"/>
                </w:rPr>
                <w:tab/>
                <w:delText>6 meses</w:delText>
              </w:r>
            </w:del>
          </w:p>
        </w:tc>
        <w:tc>
          <w:tcPr>
            <w:tcW w:w="1393" w:type="dxa"/>
            <w:tcBorders>
              <w:left w:val="single" w:sz="6" w:space="0" w:color="auto"/>
            </w:tcBorders>
          </w:tcPr>
          <w:p w14:paraId="04A08B32" w14:textId="5DC26D14" w:rsidR="004462A0" w:rsidRPr="008912CF" w:rsidRDefault="00615769">
            <w:pPr>
              <w:rPr>
                <w:del w:id="6852" w:author="AbbVie2" w:date="2025-05-13T16:39:00Z"/>
                <w:sz w:val="22"/>
                <w:szCs w:val="22"/>
              </w:rPr>
              <w:pPrChange w:id="6853" w:author="AbbVie2" w:date="2025-05-13T16:40:00Z">
                <w:pPr>
                  <w:pStyle w:val="In-texttable"/>
                  <w:tabs>
                    <w:tab w:val="decimal" w:pos="259"/>
                  </w:tabs>
                  <w:spacing w:line="240" w:lineRule="auto"/>
                  <w:jc w:val="center"/>
                </w:pPr>
              </w:pPrChange>
            </w:pPr>
            <w:del w:id="6854" w:author="AbbVie2" w:date="2025-05-13T16:39:00Z">
              <w:r w:rsidRPr="008912CF">
                <w:rPr>
                  <w:sz w:val="22"/>
                  <w:szCs w:val="22"/>
                </w:rPr>
                <w:delText>13,3</w:delText>
              </w:r>
              <w:r w:rsidR="009343EF">
                <w:rPr>
                  <w:sz w:val="22"/>
                  <w:szCs w:val="22"/>
                </w:rPr>
                <w:delText>%</w:delText>
              </w:r>
            </w:del>
          </w:p>
        </w:tc>
        <w:tc>
          <w:tcPr>
            <w:tcW w:w="1417" w:type="dxa"/>
            <w:tcBorders>
              <w:right w:val="single" w:sz="6" w:space="0" w:color="auto"/>
            </w:tcBorders>
          </w:tcPr>
          <w:p w14:paraId="1E089D03" w14:textId="00E30641" w:rsidR="004462A0" w:rsidRPr="008912CF" w:rsidRDefault="00615769">
            <w:pPr>
              <w:rPr>
                <w:del w:id="6855" w:author="AbbVie2" w:date="2025-05-13T16:39:00Z"/>
                <w:sz w:val="22"/>
                <w:szCs w:val="22"/>
              </w:rPr>
              <w:pPrChange w:id="6856" w:author="AbbVie2" w:date="2025-05-13T16:40:00Z">
                <w:pPr>
                  <w:pStyle w:val="In-texttable"/>
                  <w:tabs>
                    <w:tab w:val="decimal" w:pos="250"/>
                  </w:tabs>
                  <w:spacing w:line="240" w:lineRule="auto"/>
                  <w:jc w:val="center"/>
                </w:pPr>
              </w:pPrChange>
            </w:pPr>
            <w:del w:id="6857" w:author="AbbVie2" w:date="2025-05-13T16:39:00Z">
              <w:r w:rsidRPr="008912CF">
                <w:rPr>
                  <w:sz w:val="22"/>
                  <w:szCs w:val="22"/>
                </w:rPr>
                <w:delText>65,1</w:delText>
              </w:r>
              <w:r w:rsidR="009343EF">
                <w:rPr>
                  <w:sz w:val="22"/>
                  <w:szCs w:val="22"/>
                </w:rPr>
                <w:delText>%</w:delText>
              </w:r>
            </w:del>
          </w:p>
        </w:tc>
        <w:tc>
          <w:tcPr>
            <w:tcW w:w="1071" w:type="dxa"/>
            <w:tcBorders>
              <w:left w:val="single" w:sz="6" w:space="0" w:color="auto"/>
            </w:tcBorders>
          </w:tcPr>
          <w:p w14:paraId="4B7C3722" w14:textId="3AEA573E" w:rsidR="004462A0" w:rsidRPr="008912CF" w:rsidRDefault="00615769">
            <w:pPr>
              <w:rPr>
                <w:del w:id="6858" w:author="AbbVie2" w:date="2025-05-13T16:39:00Z"/>
                <w:sz w:val="22"/>
                <w:szCs w:val="22"/>
              </w:rPr>
              <w:pPrChange w:id="6859" w:author="AbbVie2" w:date="2025-05-13T16:40:00Z">
                <w:pPr>
                  <w:pStyle w:val="In-texttable"/>
                  <w:spacing w:line="240" w:lineRule="auto"/>
                  <w:jc w:val="center"/>
                </w:pPr>
              </w:pPrChange>
            </w:pPr>
            <w:del w:id="6860" w:author="AbbVie2" w:date="2025-05-13T16:39:00Z">
              <w:r w:rsidRPr="008912CF">
                <w:rPr>
                  <w:sz w:val="22"/>
                  <w:szCs w:val="22"/>
                </w:rPr>
                <w:delText>19,1</w:delText>
              </w:r>
              <w:r w:rsidR="009343EF">
                <w:rPr>
                  <w:sz w:val="22"/>
                  <w:szCs w:val="22"/>
                </w:rPr>
                <w:delText>%</w:delText>
              </w:r>
            </w:del>
          </w:p>
        </w:tc>
        <w:tc>
          <w:tcPr>
            <w:tcW w:w="1197" w:type="dxa"/>
            <w:tcBorders>
              <w:right w:val="single" w:sz="6" w:space="0" w:color="auto"/>
            </w:tcBorders>
          </w:tcPr>
          <w:p w14:paraId="775BF248" w14:textId="5F68D494" w:rsidR="004462A0" w:rsidRPr="008912CF" w:rsidRDefault="00615769">
            <w:pPr>
              <w:rPr>
                <w:del w:id="6861" w:author="AbbVie2" w:date="2025-05-13T16:39:00Z"/>
                <w:sz w:val="22"/>
                <w:szCs w:val="22"/>
              </w:rPr>
              <w:pPrChange w:id="6862" w:author="AbbVie2" w:date="2025-05-13T16:40:00Z">
                <w:pPr>
                  <w:pStyle w:val="In-texttable"/>
                  <w:tabs>
                    <w:tab w:val="decimal" w:pos="205"/>
                  </w:tabs>
                  <w:spacing w:line="240" w:lineRule="auto"/>
                  <w:jc w:val="center"/>
                </w:pPr>
              </w:pPrChange>
            </w:pPr>
            <w:del w:id="6863" w:author="AbbVie2" w:date="2025-05-13T16:39:00Z">
              <w:r w:rsidRPr="008912CF">
                <w:rPr>
                  <w:sz w:val="22"/>
                  <w:szCs w:val="22"/>
                </w:rPr>
                <w:delText>46,0</w:delText>
              </w:r>
              <w:r w:rsidR="009343EF">
                <w:rPr>
                  <w:sz w:val="22"/>
                  <w:szCs w:val="22"/>
                </w:rPr>
                <w:delText>%</w:delText>
              </w:r>
            </w:del>
          </w:p>
        </w:tc>
        <w:tc>
          <w:tcPr>
            <w:tcW w:w="1418" w:type="dxa"/>
            <w:tcBorders>
              <w:left w:val="single" w:sz="6" w:space="0" w:color="auto"/>
            </w:tcBorders>
          </w:tcPr>
          <w:p w14:paraId="1D6AB9AE" w14:textId="6832A0AF" w:rsidR="004462A0" w:rsidRPr="008912CF" w:rsidRDefault="00615769">
            <w:pPr>
              <w:rPr>
                <w:del w:id="6864" w:author="AbbVie2" w:date="2025-05-13T16:39:00Z"/>
                <w:sz w:val="22"/>
                <w:szCs w:val="22"/>
              </w:rPr>
              <w:pPrChange w:id="6865" w:author="AbbVie2" w:date="2025-05-13T16:40:00Z">
                <w:pPr>
                  <w:pStyle w:val="In-texttable"/>
                  <w:tabs>
                    <w:tab w:val="decimal" w:pos="144"/>
                  </w:tabs>
                  <w:spacing w:line="240" w:lineRule="auto"/>
                  <w:jc w:val="center"/>
                </w:pPr>
              </w:pPrChange>
            </w:pPr>
            <w:del w:id="6866" w:author="AbbVie2" w:date="2025-05-13T16:39:00Z">
              <w:r w:rsidRPr="008912CF">
                <w:rPr>
                  <w:sz w:val="22"/>
                  <w:szCs w:val="22"/>
                </w:rPr>
                <w:delText>29,5</w:delText>
              </w:r>
              <w:r w:rsidR="009343EF">
                <w:rPr>
                  <w:sz w:val="22"/>
                  <w:szCs w:val="22"/>
                </w:rPr>
                <w:delText>%</w:delText>
              </w:r>
            </w:del>
          </w:p>
        </w:tc>
        <w:tc>
          <w:tcPr>
            <w:tcW w:w="1559" w:type="dxa"/>
          </w:tcPr>
          <w:p w14:paraId="22621610" w14:textId="48F1B8C5" w:rsidR="004462A0" w:rsidRPr="008912CF" w:rsidRDefault="00615769">
            <w:pPr>
              <w:rPr>
                <w:del w:id="6867" w:author="AbbVie2" w:date="2025-05-13T16:39:00Z"/>
                <w:sz w:val="22"/>
                <w:szCs w:val="22"/>
              </w:rPr>
              <w:pPrChange w:id="6868" w:author="AbbVie2" w:date="2025-05-13T16:40:00Z">
                <w:pPr>
                  <w:pStyle w:val="In-texttable"/>
                  <w:tabs>
                    <w:tab w:val="decimal" w:pos="95"/>
                  </w:tabs>
                  <w:spacing w:line="240" w:lineRule="auto"/>
                  <w:jc w:val="center"/>
                </w:pPr>
              </w:pPrChange>
            </w:pPr>
            <w:del w:id="6869" w:author="AbbVie2" w:date="2025-05-13T16:39:00Z">
              <w:r w:rsidRPr="008912CF">
                <w:rPr>
                  <w:sz w:val="22"/>
                  <w:szCs w:val="22"/>
                </w:rPr>
                <w:delText>63,3</w:delText>
              </w:r>
              <w:r w:rsidR="009343EF">
                <w:rPr>
                  <w:sz w:val="22"/>
                  <w:szCs w:val="22"/>
                </w:rPr>
                <w:delText>%</w:delText>
              </w:r>
            </w:del>
          </w:p>
        </w:tc>
      </w:tr>
      <w:tr w:rsidR="00A7162A" w14:paraId="26764ADA" w14:textId="23F7AFA9" w:rsidTr="00F675CF">
        <w:trPr>
          <w:cantSplit/>
          <w:del w:id="6870" w:author="AbbVie2" w:date="2025-05-13T16:39:00Z"/>
        </w:trPr>
        <w:tc>
          <w:tcPr>
            <w:tcW w:w="1069" w:type="dxa"/>
            <w:tcBorders>
              <w:right w:val="single" w:sz="6" w:space="0" w:color="auto"/>
            </w:tcBorders>
          </w:tcPr>
          <w:p w14:paraId="04B5B394" w14:textId="041E79B7" w:rsidR="004462A0" w:rsidRPr="008912CF" w:rsidRDefault="00615769">
            <w:pPr>
              <w:rPr>
                <w:del w:id="6871" w:author="AbbVie2" w:date="2025-05-13T16:39:00Z"/>
                <w:sz w:val="22"/>
                <w:szCs w:val="22"/>
              </w:rPr>
              <w:pPrChange w:id="6872" w:author="AbbVie2" w:date="2025-05-13T16:40:00Z">
                <w:pPr>
                  <w:pStyle w:val="In-texttable"/>
                  <w:tabs>
                    <w:tab w:val="left" w:pos="144"/>
                  </w:tabs>
                  <w:spacing w:line="240" w:lineRule="auto"/>
                </w:pPr>
              </w:pPrChange>
            </w:pPr>
            <w:del w:id="6873" w:author="AbbVie2" w:date="2025-05-13T16:39:00Z">
              <w:r w:rsidRPr="008912CF">
                <w:rPr>
                  <w:sz w:val="22"/>
                  <w:szCs w:val="22"/>
                </w:rPr>
                <w:tab/>
                <w:delText>12 meses</w:delText>
              </w:r>
            </w:del>
          </w:p>
        </w:tc>
        <w:tc>
          <w:tcPr>
            <w:tcW w:w="1393" w:type="dxa"/>
            <w:tcBorders>
              <w:left w:val="single" w:sz="6" w:space="0" w:color="auto"/>
            </w:tcBorders>
          </w:tcPr>
          <w:p w14:paraId="49B6ED69" w14:textId="6D7045E4" w:rsidR="004462A0" w:rsidRPr="008912CF" w:rsidRDefault="00615769">
            <w:pPr>
              <w:rPr>
                <w:del w:id="6874" w:author="AbbVie2" w:date="2025-05-13T16:39:00Z"/>
                <w:sz w:val="22"/>
                <w:szCs w:val="22"/>
              </w:rPr>
              <w:pPrChange w:id="6875" w:author="AbbVie2" w:date="2025-05-13T16:40:00Z">
                <w:pPr>
                  <w:pStyle w:val="In-texttable"/>
                  <w:tabs>
                    <w:tab w:val="decimal" w:pos="259"/>
                  </w:tabs>
                  <w:spacing w:line="240" w:lineRule="auto"/>
                  <w:jc w:val="center"/>
                </w:pPr>
              </w:pPrChange>
            </w:pPr>
            <w:del w:id="6876" w:author="AbbVie2" w:date="2025-05-13T16:39:00Z">
              <w:r w:rsidRPr="008912CF">
                <w:rPr>
                  <w:sz w:val="22"/>
                  <w:szCs w:val="22"/>
                </w:rPr>
                <w:delText>NA</w:delText>
              </w:r>
            </w:del>
          </w:p>
        </w:tc>
        <w:tc>
          <w:tcPr>
            <w:tcW w:w="1417" w:type="dxa"/>
            <w:tcBorders>
              <w:right w:val="single" w:sz="6" w:space="0" w:color="auto"/>
            </w:tcBorders>
          </w:tcPr>
          <w:p w14:paraId="09BEBB47" w14:textId="464AF4FF" w:rsidR="004462A0" w:rsidRPr="008912CF" w:rsidRDefault="00615769">
            <w:pPr>
              <w:rPr>
                <w:del w:id="6877" w:author="AbbVie2" w:date="2025-05-13T16:39:00Z"/>
                <w:sz w:val="22"/>
                <w:szCs w:val="22"/>
              </w:rPr>
              <w:pPrChange w:id="6878" w:author="AbbVie2" w:date="2025-05-13T16:40:00Z">
                <w:pPr>
                  <w:pStyle w:val="In-texttable"/>
                  <w:tabs>
                    <w:tab w:val="decimal" w:pos="250"/>
                  </w:tabs>
                  <w:spacing w:line="240" w:lineRule="auto"/>
                  <w:jc w:val="center"/>
                </w:pPr>
              </w:pPrChange>
            </w:pPr>
            <w:del w:id="6879" w:author="AbbVie2" w:date="2025-05-13T16:39:00Z">
              <w:r w:rsidRPr="008912CF">
                <w:rPr>
                  <w:sz w:val="22"/>
                  <w:szCs w:val="22"/>
                </w:rPr>
                <w:delText>NA</w:delText>
              </w:r>
            </w:del>
          </w:p>
        </w:tc>
        <w:tc>
          <w:tcPr>
            <w:tcW w:w="1071" w:type="dxa"/>
            <w:tcBorders>
              <w:left w:val="single" w:sz="6" w:space="0" w:color="auto"/>
            </w:tcBorders>
          </w:tcPr>
          <w:p w14:paraId="75233602" w14:textId="237124D9" w:rsidR="004462A0" w:rsidRPr="008912CF" w:rsidRDefault="00615769">
            <w:pPr>
              <w:rPr>
                <w:del w:id="6880" w:author="AbbVie2" w:date="2025-05-13T16:39:00Z"/>
                <w:sz w:val="22"/>
                <w:szCs w:val="22"/>
              </w:rPr>
              <w:pPrChange w:id="6881" w:author="AbbVie2" w:date="2025-05-13T16:40:00Z">
                <w:pPr>
                  <w:pStyle w:val="In-texttable"/>
                  <w:spacing w:line="240" w:lineRule="auto"/>
                  <w:jc w:val="center"/>
                </w:pPr>
              </w:pPrChange>
            </w:pPr>
            <w:del w:id="6882" w:author="AbbVie2" w:date="2025-05-13T16:39:00Z">
              <w:r w:rsidRPr="008912CF">
                <w:rPr>
                  <w:sz w:val="22"/>
                  <w:szCs w:val="22"/>
                </w:rPr>
                <w:delText>NA</w:delText>
              </w:r>
            </w:del>
          </w:p>
        </w:tc>
        <w:tc>
          <w:tcPr>
            <w:tcW w:w="1197" w:type="dxa"/>
            <w:tcBorders>
              <w:right w:val="single" w:sz="6" w:space="0" w:color="auto"/>
            </w:tcBorders>
          </w:tcPr>
          <w:p w14:paraId="62DBD2CD" w14:textId="6C2A773C" w:rsidR="004462A0" w:rsidRPr="008912CF" w:rsidRDefault="00615769">
            <w:pPr>
              <w:rPr>
                <w:del w:id="6883" w:author="AbbVie2" w:date="2025-05-13T16:39:00Z"/>
                <w:sz w:val="22"/>
                <w:szCs w:val="22"/>
              </w:rPr>
              <w:pPrChange w:id="6884" w:author="AbbVie2" w:date="2025-05-13T16:40:00Z">
                <w:pPr>
                  <w:pStyle w:val="In-texttable"/>
                  <w:tabs>
                    <w:tab w:val="decimal" w:pos="205"/>
                  </w:tabs>
                  <w:spacing w:line="240" w:lineRule="auto"/>
                  <w:jc w:val="center"/>
                </w:pPr>
              </w:pPrChange>
            </w:pPr>
            <w:del w:id="6885" w:author="AbbVie2" w:date="2025-05-13T16:39:00Z">
              <w:r w:rsidRPr="008912CF">
                <w:rPr>
                  <w:sz w:val="22"/>
                  <w:szCs w:val="22"/>
                </w:rPr>
                <w:delText>NA</w:delText>
              </w:r>
            </w:del>
          </w:p>
        </w:tc>
        <w:tc>
          <w:tcPr>
            <w:tcW w:w="1418" w:type="dxa"/>
            <w:tcBorders>
              <w:left w:val="single" w:sz="6" w:space="0" w:color="auto"/>
            </w:tcBorders>
          </w:tcPr>
          <w:p w14:paraId="2632E7DA" w14:textId="02C0BFB8" w:rsidR="004462A0" w:rsidRPr="008912CF" w:rsidRDefault="00615769">
            <w:pPr>
              <w:rPr>
                <w:del w:id="6886" w:author="AbbVie2" w:date="2025-05-13T16:39:00Z"/>
                <w:sz w:val="22"/>
                <w:szCs w:val="22"/>
              </w:rPr>
              <w:pPrChange w:id="6887" w:author="AbbVie2" w:date="2025-05-13T16:40:00Z">
                <w:pPr>
                  <w:pStyle w:val="In-texttable"/>
                  <w:tabs>
                    <w:tab w:val="decimal" w:pos="144"/>
                  </w:tabs>
                  <w:spacing w:line="240" w:lineRule="auto"/>
                  <w:jc w:val="center"/>
                </w:pPr>
              </w:pPrChange>
            </w:pPr>
            <w:del w:id="6888" w:author="AbbVie2" w:date="2025-05-13T16:39:00Z">
              <w:r w:rsidRPr="008912CF">
                <w:rPr>
                  <w:sz w:val="22"/>
                  <w:szCs w:val="22"/>
                </w:rPr>
                <w:delText>24,0</w:delText>
              </w:r>
              <w:r w:rsidR="009343EF">
                <w:rPr>
                  <w:sz w:val="22"/>
                  <w:szCs w:val="22"/>
                </w:rPr>
                <w:delText>%</w:delText>
              </w:r>
            </w:del>
          </w:p>
        </w:tc>
        <w:tc>
          <w:tcPr>
            <w:tcW w:w="1559" w:type="dxa"/>
          </w:tcPr>
          <w:p w14:paraId="09F566D2" w14:textId="7DAE54C9" w:rsidR="004462A0" w:rsidRPr="008912CF" w:rsidRDefault="00615769">
            <w:pPr>
              <w:rPr>
                <w:del w:id="6889" w:author="AbbVie2" w:date="2025-05-13T16:39:00Z"/>
                <w:sz w:val="22"/>
                <w:szCs w:val="22"/>
              </w:rPr>
              <w:pPrChange w:id="6890" w:author="AbbVie2" w:date="2025-05-13T16:40:00Z">
                <w:pPr>
                  <w:pStyle w:val="In-texttable"/>
                  <w:tabs>
                    <w:tab w:val="decimal" w:pos="95"/>
                  </w:tabs>
                  <w:spacing w:line="240" w:lineRule="auto"/>
                  <w:jc w:val="center"/>
                </w:pPr>
              </w:pPrChange>
            </w:pPr>
            <w:del w:id="6891" w:author="AbbVie2" w:date="2025-05-13T16:39:00Z">
              <w:r w:rsidRPr="008912CF">
                <w:rPr>
                  <w:sz w:val="22"/>
                  <w:szCs w:val="22"/>
                </w:rPr>
                <w:delText>58,9</w:delText>
              </w:r>
              <w:r w:rsidR="009343EF">
                <w:rPr>
                  <w:sz w:val="22"/>
                  <w:szCs w:val="22"/>
                </w:rPr>
                <w:delText>%</w:delText>
              </w:r>
            </w:del>
          </w:p>
        </w:tc>
      </w:tr>
      <w:tr w:rsidR="00A7162A" w14:paraId="3F8FF660" w14:textId="3F095C39" w:rsidTr="00F675CF">
        <w:trPr>
          <w:cantSplit/>
          <w:del w:id="6892" w:author="AbbVie2" w:date="2025-05-13T16:39:00Z"/>
        </w:trPr>
        <w:tc>
          <w:tcPr>
            <w:tcW w:w="1069" w:type="dxa"/>
            <w:tcBorders>
              <w:right w:val="single" w:sz="6" w:space="0" w:color="auto"/>
            </w:tcBorders>
          </w:tcPr>
          <w:p w14:paraId="23224864" w14:textId="4CF75359" w:rsidR="004462A0" w:rsidRPr="008912CF" w:rsidRDefault="00615769">
            <w:pPr>
              <w:rPr>
                <w:del w:id="6893" w:author="AbbVie2" w:date="2025-05-13T16:39:00Z"/>
                <w:sz w:val="22"/>
                <w:szCs w:val="22"/>
              </w:rPr>
              <w:pPrChange w:id="6894" w:author="AbbVie2" w:date="2025-05-13T16:40:00Z">
                <w:pPr>
                  <w:pStyle w:val="In-texttable"/>
                  <w:tabs>
                    <w:tab w:val="left" w:pos="144"/>
                  </w:tabs>
                  <w:spacing w:line="240" w:lineRule="auto"/>
                </w:pPr>
              </w:pPrChange>
            </w:pPr>
            <w:del w:id="6895" w:author="AbbVie2" w:date="2025-05-13T16:39:00Z">
              <w:r w:rsidRPr="008912CF">
                <w:rPr>
                  <w:sz w:val="22"/>
                  <w:szCs w:val="22"/>
                </w:rPr>
                <w:delText>ACR 50</w:delText>
              </w:r>
            </w:del>
          </w:p>
        </w:tc>
        <w:tc>
          <w:tcPr>
            <w:tcW w:w="1393" w:type="dxa"/>
            <w:tcBorders>
              <w:left w:val="single" w:sz="6" w:space="0" w:color="auto"/>
            </w:tcBorders>
          </w:tcPr>
          <w:p w14:paraId="753FEAD5" w14:textId="47455F43" w:rsidR="004462A0" w:rsidRPr="008912CF" w:rsidRDefault="004462A0">
            <w:pPr>
              <w:rPr>
                <w:del w:id="6896" w:author="AbbVie2" w:date="2025-05-13T16:39:00Z"/>
                <w:sz w:val="22"/>
                <w:szCs w:val="22"/>
              </w:rPr>
              <w:pPrChange w:id="6897" w:author="AbbVie2" w:date="2025-05-13T16:40:00Z">
                <w:pPr>
                  <w:pStyle w:val="In-texttable"/>
                  <w:tabs>
                    <w:tab w:val="decimal" w:pos="259"/>
                  </w:tabs>
                  <w:spacing w:line="240" w:lineRule="auto"/>
                  <w:jc w:val="center"/>
                </w:pPr>
              </w:pPrChange>
            </w:pPr>
          </w:p>
        </w:tc>
        <w:tc>
          <w:tcPr>
            <w:tcW w:w="1417" w:type="dxa"/>
            <w:tcBorders>
              <w:right w:val="single" w:sz="6" w:space="0" w:color="auto"/>
            </w:tcBorders>
          </w:tcPr>
          <w:p w14:paraId="3020EAA9" w14:textId="4B6476B0" w:rsidR="004462A0" w:rsidRPr="008912CF" w:rsidRDefault="004462A0">
            <w:pPr>
              <w:rPr>
                <w:del w:id="6898" w:author="AbbVie2" w:date="2025-05-13T16:39:00Z"/>
                <w:sz w:val="22"/>
                <w:szCs w:val="22"/>
              </w:rPr>
              <w:pPrChange w:id="6899" w:author="AbbVie2" w:date="2025-05-13T16:40:00Z">
                <w:pPr>
                  <w:pStyle w:val="In-texttable"/>
                  <w:tabs>
                    <w:tab w:val="decimal" w:pos="250"/>
                  </w:tabs>
                  <w:spacing w:line="240" w:lineRule="auto"/>
                  <w:jc w:val="center"/>
                </w:pPr>
              </w:pPrChange>
            </w:pPr>
          </w:p>
        </w:tc>
        <w:tc>
          <w:tcPr>
            <w:tcW w:w="1071" w:type="dxa"/>
            <w:tcBorders>
              <w:left w:val="single" w:sz="6" w:space="0" w:color="auto"/>
            </w:tcBorders>
          </w:tcPr>
          <w:p w14:paraId="79D723D7" w14:textId="682A269C" w:rsidR="004462A0" w:rsidRPr="008912CF" w:rsidRDefault="004462A0">
            <w:pPr>
              <w:rPr>
                <w:del w:id="6900" w:author="AbbVie2" w:date="2025-05-13T16:39:00Z"/>
                <w:sz w:val="22"/>
                <w:szCs w:val="22"/>
              </w:rPr>
              <w:pPrChange w:id="6901" w:author="AbbVie2" w:date="2025-05-13T16:40:00Z">
                <w:pPr>
                  <w:pStyle w:val="In-texttable"/>
                  <w:spacing w:line="240" w:lineRule="auto"/>
                  <w:jc w:val="center"/>
                </w:pPr>
              </w:pPrChange>
            </w:pPr>
          </w:p>
        </w:tc>
        <w:tc>
          <w:tcPr>
            <w:tcW w:w="1197" w:type="dxa"/>
            <w:tcBorders>
              <w:right w:val="single" w:sz="6" w:space="0" w:color="auto"/>
            </w:tcBorders>
          </w:tcPr>
          <w:p w14:paraId="4D86F620" w14:textId="3418255C" w:rsidR="004462A0" w:rsidRPr="008912CF" w:rsidRDefault="004462A0">
            <w:pPr>
              <w:rPr>
                <w:del w:id="6902" w:author="AbbVie2" w:date="2025-05-13T16:39:00Z"/>
                <w:sz w:val="22"/>
                <w:szCs w:val="22"/>
              </w:rPr>
              <w:pPrChange w:id="6903" w:author="AbbVie2" w:date="2025-05-13T16:40:00Z">
                <w:pPr>
                  <w:pStyle w:val="In-texttable"/>
                  <w:tabs>
                    <w:tab w:val="decimal" w:pos="205"/>
                  </w:tabs>
                  <w:spacing w:line="240" w:lineRule="auto"/>
                  <w:jc w:val="center"/>
                </w:pPr>
              </w:pPrChange>
            </w:pPr>
          </w:p>
        </w:tc>
        <w:tc>
          <w:tcPr>
            <w:tcW w:w="1418" w:type="dxa"/>
            <w:tcBorders>
              <w:left w:val="single" w:sz="6" w:space="0" w:color="auto"/>
            </w:tcBorders>
          </w:tcPr>
          <w:p w14:paraId="4D9D0FC0" w14:textId="1D5E0979" w:rsidR="004462A0" w:rsidRPr="008912CF" w:rsidRDefault="004462A0">
            <w:pPr>
              <w:rPr>
                <w:del w:id="6904" w:author="AbbVie2" w:date="2025-05-13T16:39:00Z"/>
                <w:sz w:val="22"/>
                <w:szCs w:val="22"/>
              </w:rPr>
              <w:pPrChange w:id="6905" w:author="AbbVie2" w:date="2025-05-13T16:40:00Z">
                <w:pPr>
                  <w:pStyle w:val="In-texttable"/>
                  <w:tabs>
                    <w:tab w:val="decimal" w:pos="144"/>
                  </w:tabs>
                  <w:spacing w:line="240" w:lineRule="auto"/>
                  <w:jc w:val="center"/>
                </w:pPr>
              </w:pPrChange>
            </w:pPr>
          </w:p>
        </w:tc>
        <w:tc>
          <w:tcPr>
            <w:tcW w:w="1559" w:type="dxa"/>
          </w:tcPr>
          <w:p w14:paraId="1D7228B2" w14:textId="3B9E32A3" w:rsidR="004462A0" w:rsidRPr="008912CF" w:rsidRDefault="004462A0">
            <w:pPr>
              <w:rPr>
                <w:del w:id="6906" w:author="AbbVie2" w:date="2025-05-13T16:39:00Z"/>
                <w:sz w:val="22"/>
                <w:szCs w:val="22"/>
              </w:rPr>
              <w:pPrChange w:id="6907" w:author="AbbVie2" w:date="2025-05-13T16:40:00Z">
                <w:pPr>
                  <w:pStyle w:val="In-texttable"/>
                  <w:tabs>
                    <w:tab w:val="decimal" w:pos="95"/>
                  </w:tabs>
                  <w:spacing w:line="240" w:lineRule="auto"/>
                  <w:jc w:val="center"/>
                </w:pPr>
              </w:pPrChange>
            </w:pPr>
          </w:p>
        </w:tc>
      </w:tr>
      <w:tr w:rsidR="00A7162A" w14:paraId="7C2D00ED" w14:textId="581EF0AB" w:rsidTr="00F675CF">
        <w:trPr>
          <w:cantSplit/>
          <w:del w:id="6908" w:author="AbbVie2" w:date="2025-05-13T16:39:00Z"/>
        </w:trPr>
        <w:tc>
          <w:tcPr>
            <w:tcW w:w="1069" w:type="dxa"/>
            <w:tcBorders>
              <w:right w:val="single" w:sz="6" w:space="0" w:color="auto"/>
            </w:tcBorders>
          </w:tcPr>
          <w:p w14:paraId="10EBA62E" w14:textId="2BB0A943" w:rsidR="004462A0" w:rsidRPr="008912CF" w:rsidRDefault="00615769">
            <w:pPr>
              <w:rPr>
                <w:del w:id="6909" w:author="AbbVie2" w:date="2025-05-13T16:39:00Z"/>
                <w:sz w:val="22"/>
                <w:szCs w:val="22"/>
              </w:rPr>
              <w:pPrChange w:id="6910" w:author="AbbVie2" w:date="2025-05-13T16:40:00Z">
                <w:pPr>
                  <w:pStyle w:val="In-texttable"/>
                  <w:tabs>
                    <w:tab w:val="left" w:pos="144"/>
                  </w:tabs>
                  <w:spacing w:line="240" w:lineRule="auto"/>
                </w:pPr>
              </w:pPrChange>
            </w:pPr>
            <w:del w:id="6911" w:author="AbbVie2" w:date="2025-05-13T16:39:00Z">
              <w:r w:rsidRPr="008912CF">
                <w:rPr>
                  <w:sz w:val="22"/>
                  <w:szCs w:val="22"/>
                </w:rPr>
                <w:tab/>
                <w:delText>6 meses</w:delText>
              </w:r>
            </w:del>
          </w:p>
        </w:tc>
        <w:tc>
          <w:tcPr>
            <w:tcW w:w="1393" w:type="dxa"/>
            <w:tcBorders>
              <w:left w:val="single" w:sz="6" w:space="0" w:color="auto"/>
            </w:tcBorders>
          </w:tcPr>
          <w:p w14:paraId="3B52FC5E" w14:textId="6E973EF9" w:rsidR="004462A0" w:rsidRPr="008912CF" w:rsidRDefault="00615769">
            <w:pPr>
              <w:rPr>
                <w:del w:id="6912" w:author="AbbVie2" w:date="2025-05-13T16:39:00Z"/>
                <w:sz w:val="22"/>
                <w:szCs w:val="22"/>
              </w:rPr>
              <w:pPrChange w:id="6913" w:author="AbbVie2" w:date="2025-05-13T16:40:00Z">
                <w:pPr>
                  <w:pStyle w:val="In-texttable"/>
                  <w:tabs>
                    <w:tab w:val="decimal" w:pos="259"/>
                  </w:tabs>
                  <w:spacing w:line="240" w:lineRule="auto"/>
                  <w:jc w:val="center"/>
                </w:pPr>
              </w:pPrChange>
            </w:pPr>
            <w:del w:id="6914" w:author="AbbVie2" w:date="2025-05-13T16:39:00Z">
              <w:r w:rsidRPr="008912CF">
                <w:rPr>
                  <w:sz w:val="22"/>
                  <w:szCs w:val="22"/>
                </w:rPr>
                <w:delText>6,7</w:delText>
              </w:r>
              <w:r w:rsidR="009343EF">
                <w:rPr>
                  <w:sz w:val="22"/>
                  <w:szCs w:val="22"/>
                </w:rPr>
                <w:delText>%</w:delText>
              </w:r>
            </w:del>
          </w:p>
        </w:tc>
        <w:tc>
          <w:tcPr>
            <w:tcW w:w="1417" w:type="dxa"/>
            <w:tcBorders>
              <w:right w:val="single" w:sz="6" w:space="0" w:color="auto"/>
            </w:tcBorders>
          </w:tcPr>
          <w:p w14:paraId="79A86AD3" w14:textId="155E024E" w:rsidR="004462A0" w:rsidRPr="008912CF" w:rsidRDefault="00615769">
            <w:pPr>
              <w:rPr>
                <w:del w:id="6915" w:author="AbbVie2" w:date="2025-05-13T16:39:00Z"/>
                <w:sz w:val="22"/>
                <w:szCs w:val="22"/>
              </w:rPr>
              <w:pPrChange w:id="6916" w:author="AbbVie2" w:date="2025-05-13T16:40:00Z">
                <w:pPr>
                  <w:pStyle w:val="In-texttable"/>
                  <w:tabs>
                    <w:tab w:val="decimal" w:pos="250"/>
                  </w:tabs>
                  <w:spacing w:line="240" w:lineRule="auto"/>
                  <w:jc w:val="center"/>
                </w:pPr>
              </w:pPrChange>
            </w:pPr>
            <w:del w:id="6917" w:author="AbbVie2" w:date="2025-05-13T16:39:00Z">
              <w:r w:rsidRPr="008912CF">
                <w:rPr>
                  <w:sz w:val="22"/>
                  <w:szCs w:val="22"/>
                </w:rPr>
                <w:delText>52,4</w:delText>
              </w:r>
              <w:r w:rsidR="009343EF">
                <w:rPr>
                  <w:sz w:val="22"/>
                  <w:szCs w:val="22"/>
                </w:rPr>
                <w:delText>%</w:delText>
              </w:r>
            </w:del>
          </w:p>
        </w:tc>
        <w:tc>
          <w:tcPr>
            <w:tcW w:w="1071" w:type="dxa"/>
            <w:tcBorders>
              <w:left w:val="single" w:sz="6" w:space="0" w:color="auto"/>
            </w:tcBorders>
          </w:tcPr>
          <w:p w14:paraId="4D172832" w14:textId="15EC5D8C" w:rsidR="004462A0" w:rsidRPr="008912CF" w:rsidRDefault="00615769">
            <w:pPr>
              <w:rPr>
                <w:del w:id="6918" w:author="AbbVie2" w:date="2025-05-13T16:39:00Z"/>
                <w:sz w:val="22"/>
                <w:szCs w:val="22"/>
              </w:rPr>
              <w:pPrChange w:id="6919" w:author="AbbVie2" w:date="2025-05-13T16:40:00Z">
                <w:pPr>
                  <w:pStyle w:val="In-texttable"/>
                  <w:spacing w:line="240" w:lineRule="auto"/>
                  <w:jc w:val="center"/>
                </w:pPr>
              </w:pPrChange>
            </w:pPr>
            <w:del w:id="6920" w:author="AbbVie2" w:date="2025-05-13T16:39:00Z">
              <w:r w:rsidRPr="008912CF">
                <w:rPr>
                  <w:sz w:val="22"/>
                  <w:szCs w:val="22"/>
                </w:rPr>
                <w:delText>8,2</w:delText>
              </w:r>
              <w:r w:rsidR="009343EF">
                <w:rPr>
                  <w:sz w:val="22"/>
                  <w:szCs w:val="22"/>
                </w:rPr>
                <w:delText>%</w:delText>
              </w:r>
            </w:del>
          </w:p>
        </w:tc>
        <w:tc>
          <w:tcPr>
            <w:tcW w:w="1197" w:type="dxa"/>
            <w:tcBorders>
              <w:right w:val="single" w:sz="6" w:space="0" w:color="auto"/>
            </w:tcBorders>
          </w:tcPr>
          <w:p w14:paraId="0C6DF6A3" w14:textId="37A48211" w:rsidR="004462A0" w:rsidRPr="008912CF" w:rsidRDefault="00615769">
            <w:pPr>
              <w:rPr>
                <w:del w:id="6921" w:author="AbbVie2" w:date="2025-05-13T16:39:00Z"/>
                <w:sz w:val="22"/>
                <w:szCs w:val="22"/>
              </w:rPr>
              <w:pPrChange w:id="6922" w:author="AbbVie2" w:date="2025-05-13T16:40:00Z">
                <w:pPr>
                  <w:pStyle w:val="In-texttable"/>
                  <w:tabs>
                    <w:tab w:val="decimal" w:pos="205"/>
                  </w:tabs>
                  <w:spacing w:line="240" w:lineRule="auto"/>
                  <w:jc w:val="center"/>
                </w:pPr>
              </w:pPrChange>
            </w:pPr>
            <w:del w:id="6923" w:author="AbbVie2" w:date="2025-05-13T16:39:00Z">
              <w:r w:rsidRPr="008912CF">
                <w:rPr>
                  <w:sz w:val="22"/>
                  <w:szCs w:val="22"/>
                </w:rPr>
                <w:delText>22,1</w:delText>
              </w:r>
              <w:r w:rsidR="009343EF">
                <w:rPr>
                  <w:sz w:val="22"/>
                  <w:szCs w:val="22"/>
                </w:rPr>
                <w:delText>%</w:delText>
              </w:r>
            </w:del>
          </w:p>
        </w:tc>
        <w:tc>
          <w:tcPr>
            <w:tcW w:w="1418" w:type="dxa"/>
            <w:tcBorders>
              <w:left w:val="single" w:sz="6" w:space="0" w:color="auto"/>
            </w:tcBorders>
          </w:tcPr>
          <w:p w14:paraId="719B70FA" w14:textId="4C4CA654" w:rsidR="004462A0" w:rsidRPr="008912CF" w:rsidRDefault="00615769">
            <w:pPr>
              <w:rPr>
                <w:del w:id="6924" w:author="AbbVie2" w:date="2025-05-13T16:39:00Z"/>
                <w:sz w:val="22"/>
                <w:szCs w:val="22"/>
              </w:rPr>
              <w:pPrChange w:id="6925" w:author="AbbVie2" w:date="2025-05-13T16:40:00Z">
                <w:pPr>
                  <w:pStyle w:val="In-texttable"/>
                  <w:tabs>
                    <w:tab w:val="decimal" w:pos="144"/>
                  </w:tabs>
                  <w:spacing w:line="240" w:lineRule="auto"/>
                  <w:jc w:val="center"/>
                </w:pPr>
              </w:pPrChange>
            </w:pPr>
            <w:del w:id="6926" w:author="AbbVie2" w:date="2025-05-13T16:39:00Z">
              <w:r w:rsidRPr="008912CF">
                <w:rPr>
                  <w:sz w:val="22"/>
                  <w:szCs w:val="22"/>
                </w:rPr>
                <w:delText>9,5</w:delText>
              </w:r>
              <w:r w:rsidR="009343EF">
                <w:rPr>
                  <w:sz w:val="22"/>
                  <w:szCs w:val="22"/>
                </w:rPr>
                <w:delText>%</w:delText>
              </w:r>
            </w:del>
          </w:p>
        </w:tc>
        <w:tc>
          <w:tcPr>
            <w:tcW w:w="1559" w:type="dxa"/>
          </w:tcPr>
          <w:p w14:paraId="734A15A3" w14:textId="6BB69FD7" w:rsidR="004462A0" w:rsidRPr="008912CF" w:rsidRDefault="00615769">
            <w:pPr>
              <w:rPr>
                <w:del w:id="6927" w:author="AbbVie2" w:date="2025-05-13T16:39:00Z"/>
                <w:sz w:val="22"/>
                <w:szCs w:val="22"/>
              </w:rPr>
              <w:pPrChange w:id="6928" w:author="AbbVie2" w:date="2025-05-13T16:40:00Z">
                <w:pPr>
                  <w:pStyle w:val="In-texttable"/>
                  <w:tabs>
                    <w:tab w:val="decimal" w:pos="95"/>
                  </w:tabs>
                  <w:spacing w:line="240" w:lineRule="auto"/>
                  <w:jc w:val="center"/>
                </w:pPr>
              </w:pPrChange>
            </w:pPr>
            <w:del w:id="6929" w:author="AbbVie2" w:date="2025-05-13T16:39:00Z">
              <w:r w:rsidRPr="008912CF">
                <w:rPr>
                  <w:sz w:val="22"/>
                  <w:szCs w:val="22"/>
                </w:rPr>
                <w:delText>39,1</w:delText>
              </w:r>
              <w:r w:rsidR="009343EF">
                <w:rPr>
                  <w:sz w:val="22"/>
                  <w:szCs w:val="22"/>
                </w:rPr>
                <w:delText>%</w:delText>
              </w:r>
            </w:del>
          </w:p>
        </w:tc>
      </w:tr>
      <w:tr w:rsidR="00A7162A" w14:paraId="1923B148" w14:textId="3010838D" w:rsidTr="00F675CF">
        <w:trPr>
          <w:cantSplit/>
          <w:del w:id="6930" w:author="AbbVie2" w:date="2025-05-13T16:39:00Z"/>
        </w:trPr>
        <w:tc>
          <w:tcPr>
            <w:tcW w:w="1069" w:type="dxa"/>
            <w:tcBorders>
              <w:right w:val="single" w:sz="6" w:space="0" w:color="auto"/>
            </w:tcBorders>
          </w:tcPr>
          <w:p w14:paraId="658987E5" w14:textId="4596544C" w:rsidR="004462A0" w:rsidRPr="008912CF" w:rsidRDefault="00615769">
            <w:pPr>
              <w:rPr>
                <w:del w:id="6931" w:author="AbbVie2" w:date="2025-05-13T16:39:00Z"/>
                <w:sz w:val="22"/>
                <w:szCs w:val="22"/>
              </w:rPr>
              <w:pPrChange w:id="6932" w:author="AbbVie2" w:date="2025-05-13T16:40:00Z">
                <w:pPr>
                  <w:pStyle w:val="In-texttable"/>
                  <w:tabs>
                    <w:tab w:val="left" w:pos="144"/>
                  </w:tabs>
                  <w:spacing w:line="240" w:lineRule="auto"/>
                </w:pPr>
              </w:pPrChange>
            </w:pPr>
            <w:del w:id="6933" w:author="AbbVie2" w:date="2025-05-13T16:39:00Z">
              <w:r w:rsidRPr="008912CF">
                <w:rPr>
                  <w:sz w:val="22"/>
                  <w:szCs w:val="22"/>
                </w:rPr>
                <w:tab/>
                <w:delText>12 meses</w:delText>
              </w:r>
            </w:del>
          </w:p>
        </w:tc>
        <w:tc>
          <w:tcPr>
            <w:tcW w:w="1393" w:type="dxa"/>
            <w:tcBorders>
              <w:left w:val="single" w:sz="6" w:space="0" w:color="auto"/>
            </w:tcBorders>
          </w:tcPr>
          <w:p w14:paraId="682F4982" w14:textId="58311D00" w:rsidR="004462A0" w:rsidRPr="008912CF" w:rsidRDefault="00615769">
            <w:pPr>
              <w:rPr>
                <w:del w:id="6934" w:author="AbbVie2" w:date="2025-05-13T16:39:00Z"/>
                <w:sz w:val="22"/>
                <w:szCs w:val="22"/>
              </w:rPr>
              <w:pPrChange w:id="6935" w:author="AbbVie2" w:date="2025-05-13T16:40:00Z">
                <w:pPr>
                  <w:pStyle w:val="In-texttable"/>
                  <w:tabs>
                    <w:tab w:val="decimal" w:pos="259"/>
                  </w:tabs>
                  <w:spacing w:line="240" w:lineRule="auto"/>
                  <w:jc w:val="center"/>
                </w:pPr>
              </w:pPrChange>
            </w:pPr>
            <w:del w:id="6936" w:author="AbbVie2" w:date="2025-05-13T16:39:00Z">
              <w:r w:rsidRPr="008912CF">
                <w:rPr>
                  <w:sz w:val="22"/>
                  <w:szCs w:val="22"/>
                </w:rPr>
                <w:delText>NA</w:delText>
              </w:r>
            </w:del>
          </w:p>
        </w:tc>
        <w:tc>
          <w:tcPr>
            <w:tcW w:w="1417" w:type="dxa"/>
            <w:tcBorders>
              <w:right w:val="single" w:sz="6" w:space="0" w:color="auto"/>
            </w:tcBorders>
          </w:tcPr>
          <w:p w14:paraId="792400F3" w14:textId="79F86FEE" w:rsidR="004462A0" w:rsidRPr="008912CF" w:rsidRDefault="00615769">
            <w:pPr>
              <w:rPr>
                <w:del w:id="6937" w:author="AbbVie2" w:date="2025-05-13T16:39:00Z"/>
                <w:sz w:val="22"/>
                <w:szCs w:val="22"/>
              </w:rPr>
              <w:pPrChange w:id="6938" w:author="AbbVie2" w:date="2025-05-13T16:40:00Z">
                <w:pPr>
                  <w:pStyle w:val="In-texttable"/>
                  <w:tabs>
                    <w:tab w:val="decimal" w:pos="250"/>
                  </w:tabs>
                  <w:spacing w:line="240" w:lineRule="auto"/>
                  <w:jc w:val="center"/>
                </w:pPr>
              </w:pPrChange>
            </w:pPr>
            <w:del w:id="6939" w:author="AbbVie2" w:date="2025-05-13T16:39:00Z">
              <w:r w:rsidRPr="008912CF">
                <w:rPr>
                  <w:sz w:val="22"/>
                  <w:szCs w:val="22"/>
                </w:rPr>
                <w:delText>NA</w:delText>
              </w:r>
            </w:del>
          </w:p>
        </w:tc>
        <w:tc>
          <w:tcPr>
            <w:tcW w:w="1071" w:type="dxa"/>
            <w:tcBorders>
              <w:left w:val="single" w:sz="6" w:space="0" w:color="auto"/>
            </w:tcBorders>
          </w:tcPr>
          <w:p w14:paraId="75456CB9" w14:textId="3490AED1" w:rsidR="004462A0" w:rsidRPr="008912CF" w:rsidRDefault="00615769">
            <w:pPr>
              <w:rPr>
                <w:del w:id="6940" w:author="AbbVie2" w:date="2025-05-13T16:39:00Z"/>
                <w:sz w:val="22"/>
                <w:szCs w:val="22"/>
              </w:rPr>
              <w:pPrChange w:id="6941" w:author="AbbVie2" w:date="2025-05-13T16:40:00Z">
                <w:pPr>
                  <w:pStyle w:val="In-texttable"/>
                  <w:spacing w:line="240" w:lineRule="auto"/>
                  <w:jc w:val="center"/>
                </w:pPr>
              </w:pPrChange>
            </w:pPr>
            <w:del w:id="6942" w:author="AbbVie2" w:date="2025-05-13T16:39:00Z">
              <w:r w:rsidRPr="008912CF">
                <w:rPr>
                  <w:sz w:val="22"/>
                  <w:szCs w:val="22"/>
                </w:rPr>
                <w:delText>NA</w:delText>
              </w:r>
            </w:del>
          </w:p>
        </w:tc>
        <w:tc>
          <w:tcPr>
            <w:tcW w:w="1197" w:type="dxa"/>
            <w:tcBorders>
              <w:right w:val="single" w:sz="6" w:space="0" w:color="auto"/>
            </w:tcBorders>
          </w:tcPr>
          <w:p w14:paraId="0368FE8E" w14:textId="6D7332BB" w:rsidR="004462A0" w:rsidRPr="008912CF" w:rsidRDefault="00615769">
            <w:pPr>
              <w:rPr>
                <w:del w:id="6943" w:author="AbbVie2" w:date="2025-05-13T16:39:00Z"/>
                <w:sz w:val="22"/>
                <w:szCs w:val="22"/>
              </w:rPr>
              <w:pPrChange w:id="6944" w:author="AbbVie2" w:date="2025-05-13T16:40:00Z">
                <w:pPr>
                  <w:pStyle w:val="In-texttable"/>
                  <w:tabs>
                    <w:tab w:val="decimal" w:pos="205"/>
                  </w:tabs>
                  <w:spacing w:line="240" w:lineRule="auto"/>
                  <w:jc w:val="center"/>
                </w:pPr>
              </w:pPrChange>
            </w:pPr>
            <w:del w:id="6945" w:author="AbbVie2" w:date="2025-05-13T16:39:00Z">
              <w:r w:rsidRPr="008912CF">
                <w:rPr>
                  <w:sz w:val="22"/>
                  <w:szCs w:val="22"/>
                </w:rPr>
                <w:delText>NA</w:delText>
              </w:r>
            </w:del>
          </w:p>
        </w:tc>
        <w:tc>
          <w:tcPr>
            <w:tcW w:w="1418" w:type="dxa"/>
            <w:tcBorders>
              <w:left w:val="single" w:sz="6" w:space="0" w:color="auto"/>
            </w:tcBorders>
          </w:tcPr>
          <w:p w14:paraId="6DFA3F1C" w14:textId="1C2937A1" w:rsidR="004462A0" w:rsidRPr="008912CF" w:rsidRDefault="00615769">
            <w:pPr>
              <w:rPr>
                <w:del w:id="6946" w:author="AbbVie2" w:date="2025-05-13T16:39:00Z"/>
                <w:sz w:val="22"/>
                <w:szCs w:val="22"/>
              </w:rPr>
              <w:pPrChange w:id="6947" w:author="AbbVie2" w:date="2025-05-13T16:40:00Z">
                <w:pPr>
                  <w:pStyle w:val="In-texttable"/>
                  <w:tabs>
                    <w:tab w:val="decimal" w:pos="144"/>
                  </w:tabs>
                  <w:spacing w:line="240" w:lineRule="auto"/>
                  <w:jc w:val="center"/>
                </w:pPr>
              </w:pPrChange>
            </w:pPr>
            <w:del w:id="6948" w:author="AbbVie2" w:date="2025-05-13T16:39:00Z">
              <w:r w:rsidRPr="008912CF">
                <w:rPr>
                  <w:sz w:val="22"/>
                  <w:szCs w:val="22"/>
                </w:rPr>
                <w:delText>9,5</w:delText>
              </w:r>
              <w:r w:rsidR="009343EF">
                <w:rPr>
                  <w:sz w:val="22"/>
                  <w:szCs w:val="22"/>
                </w:rPr>
                <w:delText>%</w:delText>
              </w:r>
            </w:del>
          </w:p>
        </w:tc>
        <w:tc>
          <w:tcPr>
            <w:tcW w:w="1559" w:type="dxa"/>
          </w:tcPr>
          <w:p w14:paraId="345417D9" w14:textId="0EB77BAE" w:rsidR="004462A0" w:rsidRPr="008912CF" w:rsidRDefault="00615769">
            <w:pPr>
              <w:rPr>
                <w:del w:id="6949" w:author="AbbVie2" w:date="2025-05-13T16:39:00Z"/>
                <w:sz w:val="22"/>
                <w:szCs w:val="22"/>
              </w:rPr>
              <w:pPrChange w:id="6950" w:author="AbbVie2" w:date="2025-05-13T16:40:00Z">
                <w:pPr>
                  <w:pStyle w:val="In-texttable"/>
                  <w:tabs>
                    <w:tab w:val="decimal" w:pos="95"/>
                  </w:tabs>
                  <w:spacing w:line="240" w:lineRule="auto"/>
                  <w:jc w:val="center"/>
                </w:pPr>
              </w:pPrChange>
            </w:pPr>
            <w:del w:id="6951" w:author="AbbVie2" w:date="2025-05-13T16:39:00Z">
              <w:r w:rsidRPr="008912CF">
                <w:rPr>
                  <w:sz w:val="22"/>
                  <w:szCs w:val="22"/>
                </w:rPr>
                <w:delText>41,5</w:delText>
              </w:r>
              <w:r w:rsidR="009343EF">
                <w:rPr>
                  <w:sz w:val="22"/>
                  <w:szCs w:val="22"/>
                </w:rPr>
                <w:delText>%</w:delText>
              </w:r>
            </w:del>
          </w:p>
        </w:tc>
      </w:tr>
      <w:tr w:rsidR="00A7162A" w14:paraId="1A53203E" w14:textId="460B5044" w:rsidTr="00F675CF">
        <w:trPr>
          <w:cantSplit/>
          <w:del w:id="6952" w:author="AbbVie2" w:date="2025-05-13T16:39:00Z"/>
        </w:trPr>
        <w:tc>
          <w:tcPr>
            <w:tcW w:w="1069" w:type="dxa"/>
            <w:tcBorders>
              <w:right w:val="single" w:sz="6" w:space="0" w:color="auto"/>
            </w:tcBorders>
          </w:tcPr>
          <w:p w14:paraId="0954DBA5" w14:textId="5F1BB79B" w:rsidR="004462A0" w:rsidRPr="008912CF" w:rsidRDefault="00615769">
            <w:pPr>
              <w:rPr>
                <w:del w:id="6953" w:author="AbbVie2" w:date="2025-05-13T16:39:00Z"/>
                <w:sz w:val="22"/>
                <w:szCs w:val="22"/>
              </w:rPr>
              <w:pPrChange w:id="6954" w:author="AbbVie2" w:date="2025-05-13T16:40:00Z">
                <w:pPr>
                  <w:pStyle w:val="In-texttable"/>
                  <w:tabs>
                    <w:tab w:val="left" w:pos="144"/>
                  </w:tabs>
                  <w:spacing w:line="240" w:lineRule="auto"/>
                </w:pPr>
              </w:pPrChange>
            </w:pPr>
            <w:del w:id="6955" w:author="AbbVie2" w:date="2025-05-13T16:39:00Z">
              <w:r>
                <w:rPr>
                  <w:noProof/>
                  <w:lang w:val="en-GB" w:eastAsia="en-GB"/>
                </w:rPr>
                <mc:AlternateContent>
                  <mc:Choice Requires="wps">
                    <w:drawing>
                      <wp:anchor distT="0" distB="0" distL="114300" distR="114300" simplePos="0" relativeHeight="251660288" behindDoc="0" locked="0" layoutInCell="0" allowOverlap="1" wp14:anchorId="2929CBAF" wp14:editId="4377C11B">
                        <wp:simplePos x="0" y="0"/>
                        <wp:positionH relativeFrom="column">
                          <wp:posOffset>-4972050</wp:posOffset>
                        </wp:positionH>
                        <wp:positionV relativeFrom="paragraph">
                          <wp:posOffset>38735</wp:posOffset>
                        </wp:positionV>
                        <wp:extent cx="3543300" cy="342900"/>
                        <wp:effectExtent l="0" t="2540" r="4445"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06F612" w14:textId="77777777" w:rsidR="000036F0" w:rsidRDefault="00615769" w:rsidP="004462A0">
                                    <w:del w:id="6956" w:author="AbbVie2" w:date="2025-05-13T16:39:00Z">
                                      <w:r w:rsidRPr="00E06CAF">
                                        <w:rPr>
                                          <w:rFonts w:cs="Arial"/>
                                          <w:sz w:val="18"/>
                                          <w:szCs w:val="18"/>
                                        </w:rPr>
                                        <w:delText>n</w:delText>
                                      </w:r>
                                    </w:del>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929CBAF" id="Text Box 69" o:spid="_x0000_s1029" type="#_x0000_t202" style="position:absolute;margin-left:-391.5pt;margin-top:3.05pt;width:279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" o:allowincell="f" stroked="f">
                        <v:textbox>
                          <w:txbxContent>
                            <w:p w14:paraId="1706F612" w14:textId="77777777" w:rsidR="000036F0" w:rsidRDefault="00615769" w:rsidP="004462A0">
                              <w:del w:id="6957" w:author="AbbVie2" w:date="2025-05-13T16:39:00Z">
                                <w:r w:rsidRPr="00E06CAF">
                                  <w:rPr>
                                    <w:rFonts w:cs="Arial"/>
                                    <w:sz w:val="18"/>
                                    <w:szCs w:val="18"/>
                                  </w:rPr>
                                  <w:delText>n</w:delText>
                                </w:r>
                              </w:del>
                            </w:p>
                          </w:txbxContent>
                        </v:textbox>
                      </v:shape>
                    </w:pict>
                  </mc:Fallback>
                </mc:AlternateContent>
              </w:r>
              <w:r w:rsidRPr="008912CF">
                <w:rPr>
                  <w:sz w:val="22"/>
                  <w:szCs w:val="22"/>
                </w:rPr>
                <w:delText>ACR 70</w:delText>
              </w:r>
            </w:del>
          </w:p>
        </w:tc>
        <w:tc>
          <w:tcPr>
            <w:tcW w:w="1393" w:type="dxa"/>
            <w:tcBorders>
              <w:left w:val="single" w:sz="6" w:space="0" w:color="auto"/>
            </w:tcBorders>
          </w:tcPr>
          <w:p w14:paraId="177AFD2B" w14:textId="455FA5C7" w:rsidR="004462A0" w:rsidRPr="008912CF" w:rsidRDefault="004462A0">
            <w:pPr>
              <w:rPr>
                <w:del w:id="6958" w:author="AbbVie2" w:date="2025-05-13T16:39:00Z"/>
                <w:sz w:val="22"/>
                <w:szCs w:val="22"/>
              </w:rPr>
              <w:pPrChange w:id="6959" w:author="AbbVie2" w:date="2025-05-13T16:40:00Z">
                <w:pPr>
                  <w:pStyle w:val="In-texttable"/>
                  <w:tabs>
                    <w:tab w:val="decimal" w:pos="259"/>
                  </w:tabs>
                  <w:spacing w:line="240" w:lineRule="auto"/>
                  <w:jc w:val="center"/>
                </w:pPr>
              </w:pPrChange>
            </w:pPr>
          </w:p>
        </w:tc>
        <w:tc>
          <w:tcPr>
            <w:tcW w:w="1417" w:type="dxa"/>
            <w:tcBorders>
              <w:right w:val="single" w:sz="6" w:space="0" w:color="auto"/>
            </w:tcBorders>
          </w:tcPr>
          <w:p w14:paraId="644F253F" w14:textId="01678F6D" w:rsidR="004462A0" w:rsidRPr="008912CF" w:rsidRDefault="004462A0">
            <w:pPr>
              <w:rPr>
                <w:del w:id="6960" w:author="AbbVie2" w:date="2025-05-13T16:39:00Z"/>
                <w:sz w:val="22"/>
                <w:szCs w:val="22"/>
              </w:rPr>
              <w:pPrChange w:id="6961" w:author="AbbVie2" w:date="2025-05-13T16:40:00Z">
                <w:pPr>
                  <w:pStyle w:val="In-texttable"/>
                  <w:tabs>
                    <w:tab w:val="decimal" w:pos="250"/>
                  </w:tabs>
                  <w:spacing w:line="240" w:lineRule="auto"/>
                  <w:jc w:val="center"/>
                </w:pPr>
              </w:pPrChange>
            </w:pPr>
          </w:p>
        </w:tc>
        <w:tc>
          <w:tcPr>
            <w:tcW w:w="1071" w:type="dxa"/>
            <w:tcBorders>
              <w:left w:val="single" w:sz="6" w:space="0" w:color="auto"/>
            </w:tcBorders>
          </w:tcPr>
          <w:p w14:paraId="4B54DECB" w14:textId="7CF5EAB0" w:rsidR="004462A0" w:rsidRPr="008912CF" w:rsidRDefault="004462A0">
            <w:pPr>
              <w:rPr>
                <w:del w:id="6962" w:author="AbbVie2" w:date="2025-05-13T16:39:00Z"/>
                <w:sz w:val="22"/>
                <w:szCs w:val="22"/>
              </w:rPr>
              <w:pPrChange w:id="6963" w:author="AbbVie2" w:date="2025-05-13T16:40:00Z">
                <w:pPr>
                  <w:pStyle w:val="In-texttable"/>
                  <w:spacing w:line="240" w:lineRule="auto"/>
                  <w:jc w:val="center"/>
                </w:pPr>
              </w:pPrChange>
            </w:pPr>
          </w:p>
        </w:tc>
        <w:tc>
          <w:tcPr>
            <w:tcW w:w="1197" w:type="dxa"/>
            <w:tcBorders>
              <w:right w:val="single" w:sz="6" w:space="0" w:color="auto"/>
            </w:tcBorders>
          </w:tcPr>
          <w:p w14:paraId="11F3E3B9" w14:textId="01395495" w:rsidR="004462A0" w:rsidRPr="008912CF" w:rsidRDefault="004462A0">
            <w:pPr>
              <w:rPr>
                <w:del w:id="6964" w:author="AbbVie2" w:date="2025-05-13T16:39:00Z"/>
                <w:sz w:val="22"/>
                <w:szCs w:val="22"/>
              </w:rPr>
              <w:pPrChange w:id="6965" w:author="AbbVie2" w:date="2025-05-13T16:40:00Z">
                <w:pPr>
                  <w:pStyle w:val="In-texttable"/>
                  <w:tabs>
                    <w:tab w:val="decimal" w:pos="205"/>
                  </w:tabs>
                  <w:spacing w:line="240" w:lineRule="auto"/>
                  <w:jc w:val="center"/>
                </w:pPr>
              </w:pPrChange>
            </w:pPr>
          </w:p>
        </w:tc>
        <w:tc>
          <w:tcPr>
            <w:tcW w:w="1418" w:type="dxa"/>
            <w:tcBorders>
              <w:left w:val="single" w:sz="6" w:space="0" w:color="auto"/>
            </w:tcBorders>
          </w:tcPr>
          <w:p w14:paraId="5473D8BE" w14:textId="0F6E93B3" w:rsidR="004462A0" w:rsidRPr="008912CF" w:rsidRDefault="004462A0">
            <w:pPr>
              <w:rPr>
                <w:del w:id="6966" w:author="AbbVie2" w:date="2025-05-13T16:39:00Z"/>
                <w:sz w:val="22"/>
                <w:szCs w:val="22"/>
              </w:rPr>
              <w:pPrChange w:id="6967" w:author="AbbVie2" w:date="2025-05-13T16:40:00Z">
                <w:pPr>
                  <w:pStyle w:val="In-texttable"/>
                  <w:tabs>
                    <w:tab w:val="decimal" w:pos="144"/>
                  </w:tabs>
                  <w:spacing w:line="240" w:lineRule="auto"/>
                  <w:jc w:val="center"/>
                </w:pPr>
              </w:pPrChange>
            </w:pPr>
          </w:p>
        </w:tc>
        <w:tc>
          <w:tcPr>
            <w:tcW w:w="1559" w:type="dxa"/>
          </w:tcPr>
          <w:p w14:paraId="7B4ED520" w14:textId="2024FD04" w:rsidR="004462A0" w:rsidRPr="008912CF" w:rsidRDefault="004462A0">
            <w:pPr>
              <w:rPr>
                <w:del w:id="6968" w:author="AbbVie2" w:date="2025-05-13T16:39:00Z"/>
                <w:sz w:val="22"/>
                <w:szCs w:val="22"/>
              </w:rPr>
              <w:pPrChange w:id="6969" w:author="AbbVie2" w:date="2025-05-13T16:40:00Z">
                <w:pPr>
                  <w:pStyle w:val="In-texttable"/>
                  <w:tabs>
                    <w:tab w:val="decimal" w:pos="95"/>
                  </w:tabs>
                  <w:spacing w:line="240" w:lineRule="auto"/>
                  <w:jc w:val="center"/>
                </w:pPr>
              </w:pPrChange>
            </w:pPr>
          </w:p>
        </w:tc>
      </w:tr>
      <w:tr w:rsidR="00A7162A" w14:paraId="30284B20" w14:textId="2D789D92" w:rsidTr="00F675CF">
        <w:trPr>
          <w:cantSplit/>
          <w:del w:id="6970" w:author="AbbVie2" w:date="2025-05-13T16:39:00Z"/>
        </w:trPr>
        <w:tc>
          <w:tcPr>
            <w:tcW w:w="1069" w:type="dxa"/>
            <w:tcBorders>
              <w:right w:val="single" w:sz="6" w:space="0" w:color="auto"/>
            </w:tcBorders>
          </w:tcPr>
          <w:p w14:paraId="0208A87E" w14:textId="67B2FF45" w:rsidR="004462A0" w:rsidRPr="008912CF" w:rsidRDefault="00615769">
            <w:pPr>
              <w:rPr>
                <w:del w:id="6971" w:author="AbbVie2" w:date="2025-05-13T16:39:00Z"/>
                <w:sz w:val="22"/>
                <w:szCs w:val="22"/>
              </w:rPr>
              <w:pPrChange w:id="6972" w:author="AbbVie2" w:date="2025-05-13T16:40:00Z">
                <w:pPr>
                  <w:pStyle w:val="In-texttable"/>
                  <w:tabs>
                    <w:tab w:val="left" w:pos="144"/>
                  </w:tabs>
                  <w:spacing w:line="240" w:lineRule="auto"/>
                </w:pPr>
              </w:pPrChange>
            </w:pPr>
            <w:del w:id="6973" w:author="AbbVie2" w:date="2025-05-13T16:39:00Z">
              <w:r w:rsidRPr="008912CF">
                <w:rPr>
                  <w:sz w:val="22"/>
                  <w:szCs w:val="22"/>
                </w:rPr>
                <w:tab/>
                <w:delText>6 meses</w:delText>
              </w:r>
            </w:del>
          </w:p>
        </w:tc>
        <w:tc>
          <w:tcPr>
            <w:tcW w:w="1393" w:type="dxa"/>
            <w:tcBorders>
              <w:left w:val="single" w:sz="6" w:space="0" w:color="auto"/>
            </w:tcBorders>
          </w:tcPr>
          <w:p w14:paraId="2134A592" w14:textId="2DDE5FDB" w:rsidR="004462A0" w:rsidRPr="008912CF" w:rsidRDefault="00615769">
            <w:pPr>
              <w:rPr>
                <w:del w:id="6974" w:author="AbbVie2" w:date="2025-05-13T16:39:00Z"/>
                <w:sz w:val="22"/>
                <w:szCs w:val="22"/>
              </w:rPr>
              <w:pPrChange w:id="6975" w:author="AbbVie2" w:date="2025-05-13T16:40:00Z">
                <w:pPr>
                  <w:pStyle w:val="In-texttable"/>
                  <w:tabs>
                    <w:tab w:val="decimal" w:pos="259"/>
                  </w:tabs>
                  <w:spacing w:line="240" w:lineRule="auto"/>
                  <w:jc w:val="center"/>
                </w:pPr>
              </w:pPrChange>
            </w:pPr>
            <w:del w:id="6976" w:author="AbbVie2" w:date="2025-05-13T16:39:00Z">
              <w:r w:rsidRPr="008912CF">
                <w:rPr>
                  <w:sz w:val="22"/>
                  <w:szCs w:val="22"/>
                </w:rPr>
                <w:delText>3,3</w:delText>
              </w:r>
              <w:r w:rsidR="009343EF">
                <w:rPr>
                  <w:sz w:val="22"/>
                  <w:szCs w:val="22"/>
                </w:rPr>
                <w:delText>%</w:delText>
              </w:r>
            </w:del>
          </w:p>
        </w:tc>
        <w:tc>
          <w:tcPr>
            <w:tcW w:w="1417" w:type="dxa"/>
            <w:tcBorders>
              <w:right w:val="single" w:sz="6" w:space="0" w:color="auto"/>
            </w:tcBorders>
          </w:tcPr>
          <w:p w14:paraId="7BC08391" w14:textId="3859A4F7" w:rsidR="004462A0" w:rsidRPr="008912CF" w:rsidRDefault="00615769">
            <w:pPr>
              <w:rPr>
                <w:del w:id="6977" w:author="AbbVie2" w:date="2025-05-13T16:39:00Z"/>
                <w:sz w:val="22"/>
                <w:szCs w:val="22"/>
              </w:rPr>
              <w:pPrChange w:id="6978" w:author="AbbVie2" w:date="2025-05-13T16:40:00Z">
                <w:pPr>
                  <w:pStyle w:val="In-texttable"/>
                  <w:tabs>
                    <w:tab w:val="decimal" w:pos="250"/>
                  </w:tabs>
                  <w:spacing w:line="240" w:lineRule="auto"/>
                  <w:jc w:val="center"/>
                </w:pPr>
              </w:pPrChange>
            </w:pPr>
            <w:del w:id="6979" w:author="AbbVie2" w:date="2025-05-13T16:39:00Z">
              <w:r w:rsidRPr="008912CF">
                <w:rPr>
                  <w:sz w:val="22"/>
                  <w:szCs w:val="22"/>
                </w:rPr>
                <w:delText>23,8</w:delText>
              </w:r>
              <w:r w:rsidR="009343EF">
                <w:rPr>
                  <w:sz w:val="22"/>
                  <w:szCs w:val="22"/>
                </w:rPr>
                <w:delText>%</w:delText>
              </w:r>
            </w:del>
          </w:p>
        </w:tc>
        <w:tc>
          <w:tcPr>
            <w:tcW w:w="1071" w:type="dxa"/>
            <w:tcBorders>
              <w:left w:val="single" w:sz="6" w:space="0" w:color="auto"/>
            </w:tcBorders>
          </w:tcPr>
          <w:p w14:paraId="238444FE" w14:textId="04828989" w:rsidR="004462A0" w:rsidRPr="008912CF" w:rsidRDefault="00615769">
            <w:pPr>
              <w:rPr>
                <w:del w:id="6980" w:author="AbbVie2" w:date="2025-05-13T16:39:00Z"/>
                <w:sz w:val="22"/>
                <w:szCs w:val="22"/>
              </w:rPr>
              <w:pPrChange w:id="6981" w:author="AbbVie2" w:date="2025-05-13T16:40:00Z">
                <w:pPr>
                  <w:pStyle w:val="In-texttable"/>
                  <w:spacing w:line="240" w:lineRule="auto"/>
                  <w:jc w:val="center"/>
                </w:pPr>
              </w:pPrChange>
            </w:pPr>
            <w:del w:id="6982" w:author="AbbVie2" w:date="2025-05-13T16:39:00Z">
              <w:r w:rsidRPr="008912CF">
                <w:rPr>
                  <w:sz w:val="22"/>
                  <w:szCs w:val="22"/>
                </w:rPr>
                <w:delText>1,8</w:delText>
              </w:r>
              <w:r w:rsidR="009343EF">
                <w:rPr>
                  <w:sz w:val="22"/>
                  <w:szCs w:val="22"/>
                </w:rPr>
                <w:delText>%</w:delText>
              </w:r>
            </w:del>
          </w:p>
        </w:tc>
        <w:tc>
          <w:tcPr>
            <w:tcW w:w="1197" w:type="dxa"/>
            <w:tcBorders>
              <w:right w:val="single" w:sz="6" w:space="0" w:color="auto"/>
            </w:tcBorders>
          </w:tcPr>
          <w:p w14:paraId="24578CBB" w14:textId="28F8D773" w:rsidR="004462A0" w:rsidRPr="008912CF" w:rsidRDefault="00615769">
            <w:pPr>
              <w:rPr>
                <w:del w:id="6983" w:author="AbbVie2" w:date="2025-05-13T16:39:00Z"/>
                <w:sz w:val="22"/>
                <w:szCs w:val="22"/>
              </w:rPr>
              <w:pPrChange w:id="6984" w:author="AbbVie2" w:date="2025-05-13T16:40:00Z">
                <w:pPr>
                  <w:pStyle w:val="In-texttable"/>
                  <w:tabs>
                    <w:tab w:val="decimal" w:pos="205"/>
                  </w:tabs>
                  <w:spacing w:line="240" w:lineRule="auto"/>
                  <w:jc w:val="center"/>
                </w:pPr>
              </w:pPrChange>
            </w:pPr>
            <w:del w:id="6985" w:author="AbbVie2" w:date="2025-05-13T16:39:00Z">
              <w:r w:rsidRPr="008912CF">
                <w:rPr>
                  <w:sz w:val="22"/>
                  <w:szCs w:val="22"/>
                </w:rPr>
                <w:delText>12,4</w:delText>
              </w:r>
              <w:r w:rsidR="009343EF">
                <w:rPr>
                  <w:sz w:val="22"/>
                  <w:szCs w:val="22"/>
                </w:rPr>
                <w:delText>%</w:delText>
              </w:r>
            </w:del>
          </w:p>
        </w:tc>
        <w:tc>
          <w:tcPr>
            <w:tcW w:w="1418" w:type="dxa"/>
            <w:tcBorders>
              <w:left w:val="single" w:sz="6" w:space="0" w:color="auto"/>
            </w:tcBorders>
          </w:tcPr>
          <w:p w14:paraId="4DBEAE36" w14:textId="0B1D3093" w:rsidR="004462A0" w:rsidRPr="008912CF" w:rsidRDefault="00615769">
            <w:pPr>
              <w:rPr>
                <w:del w:id="6986" w:author="AbbVie2" w:date="2025-05-13T16:39:00Z"/>
                <w:sz w:val="22"/>
                <w:szCs w:val="22"/>
              </w:rPr>
              <w:pPrChange w:id="6987" w:author="AbbVie2" w:date="2025-05-13T16:40:00Z">
                <w:pPr>
                  <w:pStyle w:val="In-texttable"/>
                  <w:tabs>
                    <w:tab w:val="decimal" w:pos="144"/>
                  </w:tabs>
                  <w:spacing w:line="240" w:lineRule="auto"/>
                  <w:jc w:val="center"/>
                </w:pPr>
              </w:pPrChange>
            </w:pPr>
            <w:del w:id="6988" w:author="AbbVie2" w:date="2025-05-13T16:39:00Z">
              <w:r w:rsidRPr="008912CF">
                <w:rPr>
                  <w:sz w:val="22"/>
                  <w:szCs w:val="22"/>
                </w:rPr>
                <w:delText>2,5</w:delText>
              </w:r>
              <w:r w:rsidR="009343EF">
                <w:rPr>
                  <w:sz w:val="22"/>
                  <w:szCs w:val="22"/>
                </w:rPr>
                <w:delText>%</w:delText>
              </w:r>
            </w:del>
          </w:p>
        </w:tc>
        <w:tc>
          <w:tcPr>
            <w:tcW w:w="1559" w:type="dxa"/>
          </w:tcPr>
          <w:p w14:paraId="272E2403" w14:textId="0825CEBB" w:rsidR="004462A0" w:rsidRPr="008912CF" w:rsidRDefault="00615769">
            <w:pPr>
              <w:rPr>
                <w:del w:id="6989" w:author="AbbVie2" w:date="2025-05-13T16:39:00Z"/>
                <w:sz w:val="22"/>
                <w:szCs w:val="22"/>
              </w:rPr>
              <w:pPrChange w:id="6990" w:author="AbbVie2" w:date="2025-05-13T16:40:00Z">
                <w:pPr>
                  <w:pStyle w:val="In-texttable"/>
                  <w:tabs>
                    <w:tab w:val="decimal" w:pos="95"/>
                  </w:tabs>
                  <w:spacing w:line="240" w:lineRule="auto"/>
                  <w:jc w:val="center"/>
                </w:pPr>
              </w:pPrChange>
            </w:pPr>
            <w:del w:id="6991" w:author="AbbVie2" w:date="2025-05-13T16:39:00Z">
              <w:r w:rsidRPr="008912CF">
                <w:rPr>
                  <w:sz w:val="22"/>
                  <w:szCs w:val="22"/>
                </w:rPr>
                <w:delText>20,8</w:delText>
              </w:r>
              <w:r w:rsidR="009343EF">
                <w:rPr>
                  <w:sz w:val="22"/>
                  <w:szCs w:val="22"/>
                </w:rPr>
                <w:delText>%</w:delText>
              </w:r>
            </w:del>
          </w:p>
        </w:tc>
      </w:tr>
      <w:tr w:rsidR="00A7162A" w14:paraId="1C5D52F0" w14:textId="2CFC0D42" w:rsidTr="00F675CF">
        <w:trPr>
          <w:cantSplit/>
          <w:del w:id="6992" w:author="AbbVie2" w:date="2025-05-13T16:39:00Z"/>
        </w:trPr>
        <w:tc>
          <w:tcPr>
            <w:tcW w:w="1069" w:type="dxa"/>
            <w:tcBorders>
              <w:bottom w:val="single" w:sz="6" w:space="0" w:color="auto"/>
              <w:right w:val="single" w:sz="6" w:space="0" w:color="auto"/>
            </w:tcBorders>
          </w:tcPr>
          <w:p w14:paraId="14D6E1C5" w14:textId="01B0D8A8" w:rsidR="004462A0" w:rsidRPr="008912CF" w:rsidRDefault="00615769">
            <w:pPr>
              <w:rPr>
                <w:del w:id="6993" w:author="AbbVie2" w:date="2025-05-13T16:39:00Z"/>
                <w:sz w:val="22"/>
                <w:szCs w:val="22"/>
              </w:rPr>
              <w:pPrChange w:id="6994" w:author="AbbVie2" w:date="2025-05-13T16:40:00Z">
                <w:pPr>
                  <w:pStyle w:val="In-texttable"/>
                  <w:tabs>
                    <w:tab w:val="left" w:pos="144"/>
                  </w:tabs>
                  <w:spacing w:line="240" w:lineRule="auto"/>
                </w:pPr>
              </w:pPrChange>
            </w:pPr>
            <w:del w:id="6995" w:author="AbbVie2" w:date="2025-05-13T16:39:00Z">
              <w:r w:rsidRPr="008912CF">
                <w:rPr>
                  <w:sz w:val="22"/>
                  <w:szCs w:val="22"/>
                </w:rPr>
                <w:tab/>
                <w:delText>12 meses</w:delText>
              </w:r>
            </w:del>
          </w:p>
        </w:tc>
        <w:tc>
          <w:tcPr>
            <w:tcW w:w="1393" w:type="dxa"/>
            <w:tcBorders>
              <w:left w:val="single" w:sz="6" w:space="0" w:color="auto"/>
              <w:bottom w:val="single" w:sz="6" w:space="0" w:color="auto"/>
            </w:tcBorders>
          </w:tcPr>
          <w:p w14:paraId="129FFF90" w14:textId="1FD3A32A" w:rsidR="004462A0" w:rsidRPr="008912CF" w:rsidRDefault="00615769">
            <w:pPr>
              <w:rPr>
                <w:del w:id="6996" w:author="AbbVie2" w:date="2025-05-13T16:39:00Z"/>
                <w:sz w:val="22"/>
                <w:szCs w:val="22"/>
              </w:rPr>
              <w:pPrChange w:id="6997" w:author="AbbVie2" w:date="2025-05-13T16:40:00Z">
                <w:pPr>
                  <w:pStyle w:val="In-texttable"/>
                  <w:tabs>
                    <w:tab w:val="decimal" w:pos="259"/>
                  </w:tabs>
                  <w:spacing w:line="240" w:lineRule="auto"/>
                  <w:jc w:val="center"/>
                </w:pPr>
              </w:pPrChange>
            </w:pPr>
            <w:del w:id="6998" w:author="AbbVie2" w:date="2025-05-13T16:39:00Z">
              <w:r w:rsidRPr="008912CF">
                <w:rPr>
                  <w:sz w:val="22"/>
                  <w:szCs w:val="22"/>
                </w:rPr>
                <w:delText>NA</w:delText>
              </w:r>
            </w:del>
          </w:p>
        </w:tc>
        <w:tc>
          <w:tcPr>
            <w:tcW w:w="1417" w:type="dxa"/>
            <w:tcBorders>
              <w:bottom w:val="single" w:sz="6" w:space="0" w:color="auto"/>
              <w:right w:val="single" w:sz="6" w:space="0" w:color="auto"/>
            </w:tcBorders>
          </w:tcPr>
          <w:p w14:paraId="1F1BE53F" w14:textId="20728EDD" w:rsidR="004462A0" w:rsidRPr="008912CF" w:rsidRDefault="00615769">
            <w:pPr>
              <w:rPr>
                <w:del w:id="6999" w:author="AbbVie2" w:date="2025-05-13T16:39:00Z"/>
                <w:sz w:val="22"/>
                <w:szCs w:val="22"/>
              </w:rPr>
              <w:pPrChange w:id="7000" w:author="AbbVie2" w:date="2025-05-13T16:40:00Z">
                <w:pPr>
                  <w:pStyle w:val="In-texttable"/>
                  <w:tabs>
                    <w:tab w:val="decimal" w:pos="250"/>
                  </w:tabs>
                  <w:spacing w:line="240" w:lineRule="auto"/>
                  <w:jc w:val="center"/>
                </w:pPr>
              </w:pPrChange>
            </w:pPr>
            <w:del w:id="7001" w:author="AbbVie2" w:date="2025-05-13T16:39:00Z">
              <w:r w:rsidRPr="008912CF">
                <w:rPr>
                  <w:sz w:val="22"/>
                  <w:szCs w:val="22"/>
                </w:rPr>
                <w:delText>NA</w:delText>
              </w:r>
            </w:del>
          </w:p>
        </w:tc>
        <w:tc>
          <w:tcPr>
            <w:tcW w:w="1071" w:type="dxa"/>
            <w:tcBorders>
              <w:left w:val="single" w:sz="6" w:space="0" w:color="auto"/>
              <w:bottom w:val="single" w:sz="6" w:space="0" w:color="auto"/>
            </w:tcBorders>
          </w:tcPr>
          <w:p w14:paraId="0C3662A1" w14:textId="46C4B3B3" w:rsidR="004462A0" w:rsidRPr="008912CF" w:rsidRDefault="00615769">
            <w:pPr>
              <w:rPr>
                <w:del w:id="7002" w:author="AbbVie2" w:date="2025-05-13T16:39:00Z"/>
                <w:sz w:val="22"/>
                <w:szCs w:val="22"/>
              </w:rPr>
              <w:pPrChange w:id="7003" w:author="AbbVie2" w:date="2025-05-13T16:40:00Z">
                <w:pPr>
                  <w:pStyle w:val="In-texttable"/>
                  <w:spacing w:line="240" w:lineRule="auto"/>
                  <w:jc w:val="center"/>
                </w:pPr>
              </w:pPrChange>
            </w:pPr>
            <w:del w:id="7004" w:author="AbbVie2" w:date="2025-05-13T16:39:00Z">
              <w:r w:rsidRPr="008912CF">
                <w:rPr>
                  <w:sz w:val="22"/>
                  <w:szCs w:val="22"/>
                </w:rPr>
                <w:delText>NA</w:delText>
              </w:r>
            </w:del>
          </w:p>
        </w:tc>
        <w:tc>
          <w:tcPr>
            <w:tcW w:w="1197" w:type="dxa"/>
            <w:tcBorders>
              <w:bottom w:val="single" w:sz="6" w:space="0" w:color="auto"/>
              <w:right w:val="single" w:sz="6" w:space="0" w:color="auto"/>
            </w:tcBorders>
          </w:tcPr>
          <w:p w14:paraId="1D726B92" w14:textId="347FFD40" w:rsidR="004462A0" w:rsidRPr="008912CF" w:rsidRDefault="00615769">
            <w:pPr>
              <w:rPr>
                <w:del w:id="7005" w:author="AbbVie2" w:date="2025-05-13T16:39:00Z"/>
                <w:sz w:val="22"/>
                <w:szCs w:val="22"/>
              </w:rPr>
              <w:pPrChange w:id="7006" w:author="AbbVie2" w:date="2025-05-13T16:40:00Z">
                <w:pPr>
                  <w:pStyle w:val="In-texttable"/>
                  <w:tabs>
                    <w:tab w:val="decimal" w:pos="205"/>
                  </w:tabs>
                  <w:spacing w:line="240" w:lineRule="auto"/>
                  <w:jc w:val="center"/>
                </w:pPr>
              </w:pPrChange>
            </w:pPr>
            <w:del w:id="7007" w:author="AbbVie2" w:date="2025-05-13T16:39:00Z">
              <w:r w:rsidRPr="008912CF">
                <w:rPr>
                  <w:sz w:val="22"/>
                  <w:szCs w:val="22"/>
                </w:rPr>
                <w:delText>NA</w:delText>
              </w:r>
            </w:del>
          </w:p>
        </w:tc>
        <w:tc>
          <w:tcPr>
            <w:tcW w:w="1418" w:type="dxa"/>
            <w:tcBorders>
              <w:left w:val="single" w:sz="6" w:space="0" w:color="auto"/>
              <w:bottom w:val="single" w:sz="6" w:space="0" w:color="auto"/>
            </w:tcBorders>
          </w:tcPr>
          <w:p w14:paraId="4995728A" w14:textId="2DD694C0" w:rsidR="004462A0" w:rsidRPr="008912CF" w:rsidRDefault="00615769">
            <w:pPr>
              <w:rPr>
                <w:del w:id="7008" w:author="AbbVie2" w:date="2025-05-13T16:39:00Z"/>
                <w:sz w:val="22"/>
                <w:szCs w:val="22"/>
              </w:rPr>
              <w:pPrChange w:id="7009" w:author="AbbVie2" w:date="2025-05-13T16:40:00Z">
                <w:pPr>
                  <w:pStyle w:val="In-texttable"/>
                  <w:tabs>
                    <w:tab w:val="decimal" w:pos="144"/>
                  </w:tabs>
                  <w:spacing w:line="240" w:lineRule="auto"/>
                  <w:jc w:val="center"/>
                </w:pPr>
              </w:pPrChange>
            </w:pPr>
            <w:del w:id="7010" w:author="AbbVie2" w:date="2025-05-13T16:39:00Z">
              <w:r w:rsidRPr="008912CF">
                <w:rPr>
                  <w:sz w:val="22"/>
                  <w:szCs w:val="22"/>
                </w:rPr>
                <w:delText>4,5</w:delText>
              </w:r>
              <w:r w:rsidR="009343EF">
                <w:rPr>
                  <w:sz w:val="22"/>
                  <w:szCs w:val="22"/>
                </w:rPr>
                <w:delText>%</w:delText>
              </w:r>
            </w:del>
          </w:p>
        </w:tc>
        <w:tc>
          <w:tcPr>
            <w:tcW w:w="1559" w:type="dxa"/>
            <w:tcBorders>
              <w:bottom w:val="single" w:sz="6" w:space="0" w:color="auto"/>
            </w:tcBorders>
          </w:tcPr>
          <w:p w14:paraId="0558024F" w14:textId="2D583BD4" w:rsidR="004462A0" w:rsidRPr="008912CF" w:rsidRDefault="00615769">
            <w:pPr>
              <w:rPr>
                <w:del w:id="7011" w:author="AbbVie2" w:date="2025-05-13T16:39:00Z"/>
                <w:sz w:val="22"/>
                <w:szCs w:val="22"/>
              </w:rPr>
              <w:pPrChange w:id="7012" w:author="AbbVie2" w:date="2025-05-13T16:40:00Z">
                <w:pPr>
                  <w:pStyle w:val="In-texttable"/>
                  <w:tabs>
                    <w:tab w:val="decimal" w:pos="95"/>
                  </w:tabs>
                  <w:spacing w:line="240" w:lineRule="auto"/>
                  <w:jc w:val="center"/>
                </w:pPr>
              </w:pPrChange>
            </w:pPr>
            <w:del w:id="7013" w:author="AbbVie2" w:date="2025-05-13T16:39:00Z">
              <w:r w:rsidRPr="008912CF">
                <w:rPr>
                  <w:sz w:val="22"/>
                  <w:szCs w:val="22"/>
                </w:rPr>
                <w:delText>23,2</w:delText>
              </w:r>
              <w:r w:rsidR="009343EF">
                <w:rPr>
                  <w:sz w:val="22"/>
                  <w:szCs w:val="22"/>
                </w:rPr>
                <w:delText>%</w:delText>
              </w:r>
            </w:del>
          </w:p>
        </w:tc>
      </w:tr>
      <w:tr w:rsidR="00A7162A" w14:paraId="180C9B3D" w14:textId="7372A00B" w:rsidTr="00F675CF">
        <w:trPr>
          <w:cantSplit/>
          <w:del w:id="7014" w:author="AbbVie2" w:date="2025-05-13T16:39:00Z"/>
        </w:trPr>
        <w:tc>
          <w:tcPr>
            <w:tcW w:w="9124" w:type="dxa"/>
            <w:gridSpan w:val="7"/>
          </w:tcPr>
          <w:p w14:paraId="43438A8B" w14:textId="370B1742" w:rsidR="004462A0" w:rsidRPr="008912CF" w:rsidRDefault="00615769">
            <w:pPr>
              <w:rPr>
                <w:del w:id="7015" w:author="AbbVie2" w:date="2025-05-13T16:39:00Z"/>
                <w:sz w:val="22"/>
                <w:szCs w:val="22"/>
              </w:rPr>
              <w:pPrChange w:id="7016" w:author="AbbVie2" w:date="2025-05-13T16:40:00Z">
                <w:pPr>
                  <w:pStyle w:val="In-textfootnote"/>
                  <w:spacing w:before="0" w:line="240" w:lineRule="auto"/>
                  <w:ind w:left="144" w:hanging="144"/>
                </w:pPr>
              </w:pPrChange>
            </w:pPr>
            <w:del w:id="7017" w:author="AbbVie2" w:date="2025-05-13T16:39:00Z">
              <w:r w:rsidRPr="008912CF">
                <w:rPr>
                  <w:sz w:val="22"/>
                  <w:szCs w:val="22"/>
                  <w:vertAlign w:val="superscript"/>
                </w:rPr>
                <w:delText>a</w:delText>
              </w:r>
              <w:r w:rsidRPr="008912CF">
                <w:rPr>
                  <w:sz w:val="22"/>
                  <w:szCs w:val="22"/>
                </w:rPr>
                <w:tab/>
              </w:r>
              <w:r w:rsidRPr="008912CF">
                <w:rPr>
                  <w:sz w:val="22"/>
                  <w:szCs w:val="22"/>
                </w:rPr>
                <w:delText xml:space="preserve">Estudo AR I na semana 24, Estudo AR II na semana 26 e Estudo AR III nas semanas 24 e 52 </w:delText>
              </w:r>
            </w:del>
          </w:p>
          <w:p w14:paraId="1126C9AB" w14:textId="39D35166" w:rsidR="004462A0" w:rsidRPr="008912CF" w:rsidRDefault="00615769">
            <w:pPr>
              <w:rPr>
                <w:del w:id="7018" w:author="AbbVie2" w:date="2025-05-13T16:39:00Z"/>
                <w:sz w:val="22"/>
                <w:szCs w:val="22"/>
              </w:rPr>
              <w:pPrChange w:id="7019" w:author="AbbVie2" w:date="2025-05-13T16:40:00Z">
                <w:pPr>
                  <w:pStyle w:val="In-textfootnote"/>
                  <w:spacing w:before="0" w:line="240" w:lineRule="auto"/>
                  <w:ind w:left="144" w:hanging="144"/>
                </w:pPr>
              </w:pPrChange>
            </w:pPr>
            <w:del w:id="7020" w:author="AbbVie2" w:date="2025-05-13T16:39:00Z">
              <w:r w:rsidRPr="008912CF">
                <w:rPr>
                  <w:sz w:val="22"/>
                  <w:szCs w:val="22"/>
                  <w:vertAlign w:val="superscript"/>
                </w:rPr>
                <w:delText>b</w:delText>
              </w:r>
              <w:r w:rsidRPr="008912CF">
                <w:rPr>
                  <w:sz w:val="22"/>
                  <w:szCs w:val="22"/>
                </w:rPr>
                <w:tab/>
                <w:delText xml:space="preserve">40 mg de Humira administrados em semanas alternadas </w:delText>
              </w:r>
            </w:del>
          </w:p>
          <w:p w14:paraId="1813706D" w14:textId="6E35BCE1" w:rsidR="004462A0" w:rsidRPr="008912CF" w:rsidRDefault="00615769">
            <w:pPr>
              <w:rPr>
                <w:del w:id="7021" w:author="AbbVie2" w:date="2025-05-13T16:39:00Z"/>
                <w:sz w:val="22"/>
                <w:szCs w:val="22"/>
              </w:rPr>
              <w:pPrChange w:id="7022" w:author="AbbVie2" w:date="2025-05-13T16:40:00Z">
                <w:pPr>
                  <w:pStyle w:val="In-textfootnote"/>
                  <w:spacing w:before="0" w:line="240" w:lineRule="auto"/>
                  <w:ind w:left="144" w:hanging="144"/>
                </w:pPr>
              </w:pPrChange>
            </w:pPr>
            <w:del w:id="7023" w:author="AbbVie2" w:date="2025-05-13T16:39:00Z">
              <w:r w:rsidRPr="008912CF">
                <w:rPr>
                  <w:sz w:val="22"/>
                  <w:szCs w:val="22"/>
                  <w:vertAlign w:val="superscript"/>
                </w:rPr>
                <w:delText>c</w:delText>
              </w:r>
              <w:r w:rsidRPr="008912CF">
                <w:rPr>
                  <w:sz w:val="22"/>
                  <w:szCs w:val="22"/>
                </w:rPr>
                <w:delText xml:space="preserve"> MTX =metotrexato</w:delText>
              </w:r>
            </w:del>
          </w:p>
          <w:p w14:paraId="3CCCCE21" w14:textId="4F0E5228" w:rsidR="004462A0" w:rsidRPr="008912CF" w:rsidRDefault="00615769">
            <w:pPr>
              <w:rPr>
                <w:del w:id="7024" w:author="AbbVie2" w:date="2025-05-13T16:39:00Z"/>
                <w:sz w:val="22"/>
                <w:szCs w:val="22"/>
              </w:rPr>
              <w:pPrChange w:id="7025" w:author="AbbVie2" w:date="2025-05-13T16:40:00Z">
                <w:pPr>
                  <w:pStyle w:val="In-textfootnote"/>
                  <w:spacing w:before="0" w:line="240" w:lineRule="auto"/>
                  <w:ind w:left="144" w:hanging="144"/>
                </w:pPr>
              </w:pPrChange>
            </w:pPr>
            <w:del w:id="7026" w:author="AbbVie2" w:date="2025-05-13T16:39:00Z">
              <w:r w:rsidRPr="008912CF">
                <w:rPr>
                  <w:sz w:val="22"/>
                  <w:szCs w:val="22"/>
                </w:rPr>
                <w:delText xml:space="preserve">**p &lt; 0,01, Humira </w:delText>
              </w:r>
              <w:r w:rsidRPr="008912CF">
                <w:rPr>
                  <w:i/>
                  <w:iCs/>
                  <w:sz w:val="22"/>
                  <w:szCs w:val="22"/>
                </w:rPr>
                <w:delText xml:space="preserve">versus </w:delText>
              </w:r>
              <w:r w:rsidRPr="008912CF">
                <w:rPr>
                  <w:sz w:val="22"/>
                  <w:szCs w:val="22"/>
                </w:rPr>
                <w:delText>placebo</w:delText>
              </w:r>
            </w:del>
          </w:p>
        </w:tc>
      </w:tr>
    </w:tbl>
    <w:p w14:paraId="36AC1F12" w14:textId="0F72CC32" w:rsidR="004462A0" w:rsidRPr="008912CF" w:rsidRDefault="004462A0">
      <w:pPr>
        <w:rPr>
          <w:del w:id="7027" w:author="AbbVie2" w:date="2025-05-13T16:39:00Z"/>
          <w:szCs w:val="22"/>
        </w:rPr>
        <w:pPrChange w:id="7028" w:author="AbbVie2" w:date="2025-05-13T16:40:00Z">
          <w:pPr>
            <w:pStyle w:val="EndnoteText"/>
          </w:pPr>
        </w:pPrChange>
      </w:pPr>
    </w:p>
    <w:p w14:paraId="0430B9F4" w14:textId="2836410F" w:rsidR="004462A0" w:rsidRPr="008912CF" w:rsidRDefault="00615769" w:rsidP="00412FC8">
      <w:pPr>
        <w:rPr>
          <w:del w:id="7029" w:author="AbbVie2" w:date="2025-05-13T16:39:00Z"/>
          <w:sz w:val="22"/>
          <w:szCs w:val="22"/>
        </w:rPr>
      </w:pPr>
      <w:del w:id="7030" w:author="AbbVie2" w:date="2025-05-13T16:39:00Z">
        <w:r w:rsidRPr="008912CF">
          <w:rPr>
            <w:sz w:val="22"/>
            <w:szCs w:val="22"/>
          </w:rPr>
          <w:delText xml:space="preserve">Nos estudos AR I-IV, todos os componentes individuais dos critérios de resposta ACR (número de articulações com edema e hipersensibilidade, avaliação pelo médico e pelo doente da atividade da doença e da dor, pontuação do índice de incapacidade (HAQ) e valores PCR (mg/dl)) registaram melhoria nas semanas 24 ou 26 relativamente ao placebo. No </w:delText>
        </w:r>
        <w:r w:rsidR="00F96DDF">
          <w:rPr>
            <w:sz w:val="22"/>
            <w:szCs w:val="22"/>
          </w:rPr>
          <w:delText>e</w:delText>
        </w:r>
        <w:r w:rsidRPr="008912CF">
          <w:rPr>
            <w:sz w:val="22"/>
            <w:szCs w:val="22"/>
          </w:rPr>
          <w:delText xml:space="preserve">studo AR III, estas melhorias mantiveram-se durante 52 semanas. </w:delText>
        </w:r>
      </w:del>
    </w:p>
    <w:p w14:paraId="5C5A72E5" w14:textId="446AA61B" w:rsidR="004462A0" w:rsidRPr="008912CF" w:rsidRDefault="004462A0" w:rsidP="00412FC8">
      <w:pPr>
        <w:rPr>
          <w:del w:id="7031" w:author="AbbVie2" w:date="2025-05-13T16:39:00Z"/>
          <w:highlight w:val="yellow"/>
        </w:rPr>
      </w:pPr>
    </w:p>
    <w:p w14:paraId="14F6B04F" w14:textId="78781016" w:rsidR="004462A0" w:rsidRPr="008912CF" w:rsidRDefault="00615769" w:rsidP="00412FC8">
      <w:pPr>
        <w:rPr>
          <w:del w:id="7032" w:author="AbbVie2" w:date="2025-05-13T16:39:00Z"/>
          <w:highlight w:val="yellow"/>
        </w:rPr>
      </w:pPr>
      <w:del w:id="7033" w:author="AbbVie2" w:date="2025-05-13T16:39:00Z">
        <w:r w:rsidRPr="008912CF">
          <w:rPr>
            <w:sz w:val="22"/>
            <w:szCs w:val="22"/>
          </w:rPr>
          <w:delText>Na extensão de fase aberta do estudo AR III, a maioria dos doentes</w:delText>
        </w:r>
        <w:r w:rsidRPr="008912CF">
          <w:delText xml:space="preserve"> </w:delText>
        </w:r>
        <w:r w:rsidRPr="008912CF">
          <w:rPr>
            <w:sz w:val="22"/>
            <w:szCs w:val="22"/>
          </w:rPr>
          <w:delText xml:space="preserve">que foram respondedores ACR mantiveram a resposta quando acompanhados até 10 anos. Dos 207 doentes que foram </w:delText>
        </w:r>
        <w:r w:rsidR="0013275C">
          <w:rPr>
            <w:sz w:val="22"/>
            <w:szCs w:val="22"/>
          </w:rPr>
          <w:delText>aleatorizado</w:delText>
        </w:r>
        <w:r w:rsidRPr="008912CF">
          <w:rPr>
            <w:sz w:val="22"/>
            <w:szCs w:val="22"/>
          </w:rPr>
          <w:delText>s com Humira 40 mg em semanas alternadas, 114 doentes continuaram com Humira 40</w:delText>
        </w:r>
        <w:r>
          <w:rPr>
            <w:sz w:val="22"/>
            <w:szCs w:val="22"/>
          </w:rPr>
          <w:delText> </w:delText>
        </w:r>
        <w:r w:rsidRPr="008912CF">
          <w:rPr>
            <w:sz w:val="22"/>
            <w:szCs w:val="22"/>
          </w:rPr>
          <w:delText>mg, em semanas alternadas, durante 5 anos. Entre estes, 86 doentes (75,4</w:delText>
        </w:r>
        <w:r w:rsidR="009343EF">
          <w:rPr>
            <w:sz w:val="22"/>
            <w:szCs w:val="22"/>
          </w:rPr>
          <w:delText>%</w:delText>
        </w:r>
        <w:r w:rsidRPr="008912CF">
          <w:rPr>
            <w:sz w:val="22"/>
            <w:szCs w:val="22"/>
          </w:rPr>
          <w:delText>) obtiveram uma resposta ACR 20; 72 doentes (63,2</w:delText>
        </w:r>
        <w:r w:rsidR="009343EF">
          <w:rPr>
            <w:sz w:val="22"/>
            <w:szCs w:val="22"/>
          </w:rPr>
          <w:delText>%</w:delText>
        </w:r>
        <w:r w:rsidRPr="008912CF">
          <w:rPr>
            <w:sz w:val="22"/>
            <w:szCs w:val="22"/>
          </w:rPr>
          <w:delText>) obtiveram uma resposta ACR 50; e 41 doentes (36</w:delText>
        </w:r>
        <w:r w:rsidR="009343EF">
          <w:rPr>
            <w:sz w:val="22"/>
            <w:szCs w:val="22"/>
          </w:rPr>
          <w:delText>%</w:delText>
        </w:r>
        <w:r w:rsidRPr="008912CF">
          <w:rPr>
            <w:sz w:val="22"/>
            <w:szCs w:val="22"/>
          </w:rPr>
          <w:delText>) obtiveram uma resposta ACR 70. Dos 207 doentes, 81 doentes continuaram com Humira 40</w:delText>
        </w:r>
        <w:r>
          <w:rPr>
            <w:sz w:val="22"/>
            <w:szCs w:val="22"/>
          </w:rPr>
          <w:delText> </w:delText>
        </w:r>
        <w:r w:rsidRPr="008912CF">
          <w:rPr>
            <w:sz w:val="22"/>
            <w:szCs w:val="22"/>
          </w:rPr>
          <w:delText xml:space="preserve">mg, em semanas alternadas, durante 10 anos. Entre </w:delText>
        </w:r>
        <w:r w:rsidRPr="008912CF">
          <w:rPr>
            <w:sz w:val="22"/>
            <w:szCs w:val="22"/>
          </w:rPr>
          <w:delText>estes, 64 doentes (79</w:delText>
        </w:r>
        <w:r w:rsidR="00F96DDF">
          <w:rPr>
            <w:sz w:val="22"/>
            <w:szCs w:val="22"/>
          </w:rPr>
          <w:delText>,0</w:delText>
        </w:r>
        <w:r w:rsidR="009343EF">
          <w:rPr>
            <w:sz w:val="22"/>
            <w:szCs w:val="22"/>
          </w:rPr>
          <w:delText>%</w:delText>
        </w:r>
        <w:r w:rsidRPr="008912CF">
          <w:rPr>
            <w:sz w:val="22"/>
            <w:szCs w:val="22"/>
          </w:rPr>
          <w:delText>) obtiveram uma resposta ACR 20; 56 doentes (69,1</w:delText>
        </w:r>
        <w:r w:rsidR="009343EF">
          <w:rPr>
            <w:sz w:val="22"/>
            <w:szCs w:val="22"/>
          </w:rPr>
          <w:delText>%</w:delText>
        </w:r>
        <w:r w:rsidRPr="008912CF">
          <w:rPr>
            <w:sz w:val="22"/>
            <w:szCs w:val="22"/>
          </w:rPr>
          <w:delText>) obtiveram uma resposta ACR 50; e 43 doentes (53,1</w:delText>
        </w:r>
        <w:r w:rsidR="009343EF">
          <w:rPr>
            <w:sz w:val="22"/>
            <w:szCs w:val="22"/>
          </w:rPr>
          <w:delText>%</w:delText>
        </w:r>
        <w:r w:rsidRPr="008912CF">
          <w:rPr>
            <w:sz w:val="22"/>
            <w:szCs w:val="22"/>
          </w:rPr>
          <w:delText>) obtiveram uma resposta ACR 70.</w:delText>
        </w:r>
      </w:del>
    </w:p>
    <w:p w14:paraId="56D67681" w14:textId="310E0472" w:rsidR="004462A0" w:rsidRPr="008912CF" w:rsidRDefault="004462A0" w:rsidP="00412FC8">
      <w:pPr>
        <w:rPr>
          <w:del w:id="7034" w:author="AbbVie2" w:date="2025-05-13T16:39:00Z"/>
          <w:sz w:val="22"/>
          <w:szCs w:val="22"/>
        </w:rPr>
      </w:pPr>
    </w:p>
    <w:p w14:paraId="7C8D085A" w14:textId="3ADC3A89" w:rsidR="004462A0" w:rsidRPr="008912CF" w:rsidRDefault="00615769" w:rsidP="00412FC8">
      <w:pPr>
        <w:rPr>
          <w:del w:id="7035" w:author="AbbVie2" w:date="2025-05-13T16:39:00Z"/>
          <w:sz w:val="22"/>
          <w:szCs w:val="22"/>
        </w:rPr>
      </w:pPr>
      <w:del w:id="7036" w:author="AbbVie2" w:date="2025-05-13T16:39:00Z">
        <w:r w:rsidRPr="008912CF">
          <w:rPr>
            <w:sz w:val="22"/>
            <w:szCs w:val="22"/>
          </w:rPr>
          <w:delText>No estudo AR IV, a resposta ACR 20 dos doentes tratados com Humira em associação com cuidados padrão foi superior à registada nos doentes tratados com placebo em associação com cuidados padrão, sendo a diferença estatisticamente significativa (p &lt; 0,001).</w:delText>
        </w:r>
      </w:del>
    </w:p>
    <w:p w14:paraId="49866E90" w14:textId="2DBE5C16" w:rsidR="004462A0" w:rsidRPr="008912CF" w:rsidRDefault="004462A0">
      <w:pPr>
        <w:rPr>
          <w:del w:id="7037" w:author="AbbVie2" w:date="2025-05-13T16:39:00Z"/>
          <w:sz w:val="22"/>
          <w:szCs w:val="22"/>
        </w:rPr>
        <w:pPrChange w:id="7038" w:author="AbbVie2" w:date="2025-05-13T16:40:00Z">
          <w:pPr>
            <w:pStyle w:val="Corpodetexto1"/>
            <w:tabs>
              <w:tab w:val="clear" w:pos="1152"/>
              <w:tab w:val="clear" w:pos="1872"/>
            </w:tabs>
            <w:spacing w:after="0" w:line="240" w:lineRule="auto"/>
            <w:ind w:left="0"/>
            <w:jc w:val="left"/>
          </w:pPr>
        </w:pPrChange>
      </w:pPr>
    </w:p>
    <w:p w14:paraId="454C6C8B" w14:textId="459C95DE" w:rsidR="004462A0" w:rsidRPr="008912CF" w:rsidRDefault="00615769">
      <w:pPr>
        <w:rPr>
          <w:del w:id="7039" w:author="AbbVie2" w:date="2025-05-13T16:39:00Z"/>
          <w:szCs w:val="22"/>
        </w:rPr>
        <w:pPrChange w:id="7040" w:author="AbbVie2" w:date="2025-05-13T16:40:00Z">
          <w:pPr>
            <w:pStyle w:val="BodyText2"/>
            <w:autoSpaceDE/>
            <w:autoSpaceDN/>
            <w:adjustRightInd/>
          </w:pPr>
        </w:pPrChange>
      </w:pPr>
      <w:del w:id="7041" w:author="AbbVie2" w:date="2025-05-13T16:39:00Z">
        <w:r w:rsidRPr="008912CF">
          <w:rPr>
            <w:szCs w:val="22"/>
          </w:rPr>
          <w:delText xml:space="preserve">Nos estudos AR I-IV, os doentes tratados com Humira atingiram logo após uma a duas semanas a seguir ao início do tratamento respostas ACR 20 e 50 estatisticamente significativas </w:delText>
        </w:r>
        <w:r w:rsidR="00096E24">
          <w:rPr>
            <w:szCs w:val="22"/>
          </w:rPr>
          <w:delText>em relação</w:delText>
        </w:r>
        <w:r w:rsidR="00096E24" w:rsidRPr="008912CF">
          <w:rPr>
            <w:szCs w:val="22"/>
          </w:rPr>
          <w:delText xml:space="preserve"> </w:delText>
        </w:r>
        <w:r w:rsidRPr="008912CF">
          <w:rPr>
            <w:szCs w:val="22"/>
          </w:rPr>
          <w:delText>ao placebo.</w:delText>
        </w:r>
      </w:del>
    </w:p>
    <w:p w14:paraId="1FECEF5C" w14:textId="232E3EAA" w:rsidR="004462A0" w:rsidRPr="008912CF" w:rsidRDefault="004462A0" w:rsidP="00412FC8">
      <w:pPr>
        <w:rPr>
          <w:del w:id="7042" w:author="AbbVie2" w:date="2025-05-13T16:39:00Z"/>
          <w:sz w:val="22"/>
          <w:szCs w:val="22"/>
        </w:rPr>
      </w:pPr>
    </w:p>
    <w:p w14:paraId="5FA74E3F" w14:textId="11D82DB1" w:rsidR="004462A0" w:rsidRPr="008912CF" w:rsidRDefault="00615769" w:rsidP="00412FC8">
      <w:pPr>
        <w:rPr>
          <w:del w:id="7043" w:author="AbbVie2" w:date="2025-05-13T16:39:00Z"/>
          <w:sz w:val="22"/>
          <w:szCs w:val="22"/>
        </w:rPr>
      </w:pPr>
      <w:del w:id="7044" w:author="AbbVie2" w:date="2025-05-13T16:39:00Z">
        <w:r w:rsidRPr="008912CF">
          <w:rPr>
            <w:sz w:val="22"/>
            <w:szCs w:val="22"/>
          </w:rPr>
          <w:delText xml:space="preserve">No estudo AR V em doentes com artrite reumatoide precoce não tratados previamente com metotrexato, a associação terapêutica Humira e metotrexato originou respostas ACR mais rápidas e significativamente superiores do que metotrexato e Humira em monoterapia na Semana 52, sendo as respostas mantidas até à Semana 104 (ver Tabela </w:delText>
        </w:r>
        <w:r w:rsidR="00E3620C">
          <w:rPr>
            <w:sz w:val="22"/>
            <w:szCs w:val="22"/>
          </w:rPr>
          <w:delText>9</w:delText>
        </w:r>
        <w:r w:rsidRPr="008912CF">
          <w:rPr>
            <w:sz w:val="22"/>
            <w:szCs w:val="22"/>
          </w:rPr>
          <w:delText>).</w:delText>
        </w:r>
      </w:del>
    </w:p>
    <w:p w14:paraId="3071BF13" w14:textId="2D5DA7C2" w:rsidR="004462A0" w:rsidRPr="008912CF" w:rsidRDefault="004462A0">
      <w:pPr>
        <w:rPr>
          <w:del w:id="7045" w:author="AbbVie2" w:date="2025-05-13T16:39:00Z"/>
        </w:rPr>
        <w:pPrChange w:id="7046" w:author="AbbVie2" w:date="2025-05-13T16:40:00Z">
          <w:pPr>
            <w:keepNext/>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1718"/>
        <w:gridCol w:w="1320"/>
        <w:gridCol w:w="1238"/>
        <w:gridCol w:w="1658"/>
        <w:gridCol w:w="1100"/>
        <w:gridCol w:w="1173"/>
        <w:gridCol w:w="1210"/>
        <w:gridCol w:w="12"/>
      </w:tblGrid>
      <w:tr w:rsidR="00A7162A" w14:paraId="2ACA324F" w14:textId="66A591AC" w:rsidTr="00F675CF">
        <w:trPr>
          <w:gridBefore w:val="1"/>
          <w:wBefore w:w="6" w:type="dxa"/>
          <w:cantSplit/>
          <w:jc w:val="center"/>
          <w:del w:id="7047" w:author="AbbVie2" w:date="2025-05-13T16:39:00Z"/>
        </w:trPr>
        <w:tc>
          <w:tcPr>
            <w:tcW w:w="9429" w:type="dxa"/>
            <w:gridSpan w:val="8"/>
            <w:tcBorders>
              <w:top w:val="nil"/>
              <w:left w:val="nil"/>
              <w:bottom w:val="nil"/>
              <w:right w:val="nil"/>
            </w:tcBorders>
            <w:vAlign w:val="center"/>
          </w:tcPr>
          <w:p w14:paraId="16BBFCDE" w14:textId="3D294A56" w:rsidR="004462A0" w:rsidRPr="008912CF" w:rsidRDefault="00615769">
            <w:pPr>
              <w:rPr>
                <w:del w:id="7048" w:author="AbbVie2" w:date="2025-05-13T16:39:00Z"/>
                <w:b/>
                <w:bCs/>
              </w:rPr>
              <w:pPrChange w:id="7049" w:author="AbbVie2" w:date="2025-05-13T16:40:00Z">
                <w:pPr>
                  <w:pStyle w:val="BodyText"/>
                  <w:keepNext/>
                  <w:tabs>
                    <w:tab w:val="left" w:pos="3600"/>
                    <w:tab w:val="center" w:pos="5760"/>
                  </w:tabs>
                  <w:jc w:val="center"/>
                </w:pPr>
              </w:pPrChange>
            </w:pPr>
            <w:del w:id="7050" w:author="AbbVie2" w:date="2025-05-13T16:39:00Z">
              <w:r w:rsidRPr="008912CF">
                <w:rPr>
                  <w:b/>
                  <w:bCs/>
                  <w:sz w:val="22"/>
                  <w:szCs w:val="22"/>
                </w:rPr>
                <w:delText xml:space="preserve">Tabela </w:delText>
              </w:r>
              <w:r w:rsidR="00E3620C">
                <w:rPr>
                  <w:b/>
                  <w:bCs/>
                  <w:sz w:val="22"/>
                  <w:szCs w:val="22"/>
                </w:rPr>
                <w:delText>9</w:delText>
              </w:r>
            </w:del>
          </w:p>
          <w:p w14:paraId="44E096A2" w14:textId="7D2892ED" w:rsidR="004462A0" w:rsidRPr="008912CF" w:rsidRDefault="00615769">
            <w:pPr>
              <w:rPr>
                <w:del w:id="7051" w:author="AbbVie2" w:date="2025-05-13T16:39:00Z"/>
                <w:b/>
                <w:bCs/>
              </w:rPr>
              <w:pPrChange w:id="7052" w:author="AbbVie2" w:date="2025-05-13T16:40:00Z">
                <w:pPr>
                  <w:pStyle w:val="BodyText"/>
                  <w:keepNext/>
                  <w:tabs>
                    <w:tab w:val="left" w:pos="3600"/>
                    <w:tab w:val="center" w:pos="5760"/>
                  </w:tabs>
                  <w:jc w:val="center"/>
                </w:pPr>
              </w:pPrChange>
            </w:pPr>
            <w:del w:id="7053" w:author="AbbVie2" w:date="2025-05-13T16:39:00Z">
              <w:r w:rsidRPr="008912CF">
                <w:rPr>
                  <w:b/>
                  <w:bCs/>
                  <w:sz w:val="22"/>
                  <w:szCs w:val="22"/>
                </w:rPr>
                <w:delText>Respostas ACR no Estudo AR V</w:delText>
              </w:r>
            </w:del>
          </w:p>
          <w:p w14:paraId="76FF915A" w14:textId="6635DFA2" w:rsidR="004462A0" w:rsidRPr="008912CF" w:rsidRDefault="00615769">
            <w:pPr>
              <w:rPr>
                <w:del w:id="7054" w:author="AbbVie2" w:date="2025-05-13T16:39:00Z"/>
                <w:bCs/>
                <w:i/>
                <w:caps/>
              </w:rPr>
              <w:pPrChange w:id="7055" w:author="AbbVie2" w:date="2025-05-13T16:40:00Z">
                <w:pPr>
                  <w:pStyle w:val="BodyText"/>
                  <w:keepNext/>
                  <w:tabs>
                    <w:tab w:val="left" w:pos="3600"/>
                    <w:tab w:val="center" w:pos="5760"/>
                  </w:tabs>
                  <w:jc w:val="center"/>
                </w:pPr>
              </w:pPrChange>
            </w:pPr>
            <w:del w:id="7056" w:author="AbbVie2" w:date="2025-05-13T16:39:00Z">
              <w:r w:rsidRPr="008912CF">
                <w:rPr>
                  <w:b/>
                  <w:bCs/>
                  <w:sz w:val="22"/>
                  <w:szCs w:val="22"/>
                </w:rPr>
                <w:delText>(percentagem de doentes</w:delText>
              </w:r>
              <w:r w:rsidRPr="008912CF">
                <w:rPr>
                  <w:b/>
                  <w:bCs/>
                  <w:caps/>
                  <w:sz w:val="22"/>
                  <w:szCs w:val="22"/>
                </w:rPr>
                <w:delText>)</w:delText>
              </w:r>
            </w:del>
          </w:p>
          <w:p w14:paraId="457814FE" w14:textId="3BD14735" w:rsidR="004462A0" w:rsidRPr="008912CF" w:rsidRDefault="004462A0">
            <w:pPr>
              <w:rPr>
                <w:del w:id="7057" w:author="AbbVie2" w:date="2025-05-13T16:39:00Z"/>
                <w:bCs/>
                <w:i/>
              </w:rPr>
              <w:pPrChange w:id="7058" w:author="AbbVie2" w:date="2025-05-13T16:40:00Z">
                <w:pPr>
                  <w:pStyle w:val="BodyText"/>
                  <w:keepNext/>
                  <w:tabs>
                    <w:tab w:val="left" w:pos="3600"/>
                    <w:tab w:val="center" w:pos="5760"/>
                  </w:tabs>
                  <w:jc w:val="center"/>
                </w:pPr>
              </w:pPrChange>
            </w:pPr>
          </w:p>
        </w:tc>
      </w:tr>
      <w:tr w:rsidR="00A7162A" w14:paraId="028075AF" w14:textId="49981B02" w:rsidTr="00F675CF">
        <w:trPr>
          <w:gridAfter w:val="1"/>
          <w:wAfter w:w="12" w:type="dxa"/>
          <w:cantSplit/>
          <w:jc w:val="center"/>
          <w:del w:id="7059" w:author="AbbVie2" w:date="2025-05-13T16:39:00Z"/>
        </w:trPr>
        <w:tc>
          <w:tcPr>
            <w:tcW w:w="1724" w:type="dxa"/>
            <w:gridSpan w:val="2"/>
            <w:vAlign w:val="center"/>
          </w:tcPr>
          <w:p w14:paraId="29F8D8F7" w14:textId="3754B62B" w:rsidR="004462A0" w:rsidRPr="008912CF" w:rsidRDefault="00615769">
            <w:pPr>
              <w:rPr>
                <w:del w:id="7060" w:author="AbbVie2" w:date="2025-05-13T16:39:00Z"/>
                <w:b/>
                <w:bCs/>
              </w:rPr>
              <w:pPrChange w:id="7061" w:author="AbbVie2" w:date="2025-05-13T16:40:00Z">
                <w:pPr>
                  <w:keepNext/>
                </w:pPr>
              </w:pPrChange>
            </w:pPr>
            <w:del w:id="7062" w:author="AbbVie2" w:date="2025-05-13T16:39:00Z">
              <w:r w:rsidRPr="008912CF">
                <w:rPr>
                  <w:b/>
                  <w:bCs/>
                  <w:sz w:val="22"/>
                  <w:szCs w:val="22"/>
                </w:rPr>
                <w:delText>Resposta</w:delText>
              </w:r>
            </w:del>
          </w:p>
        </w:tc>
        <w:tc>
          <w:tcPr>
            <w:tcW w:w="1320" w:type="dxa"/>
            <w:vAlign w:val="center"/>
          </w:tcPr>
          <w:p w14:paraId="4AA85485" w14:textId="14DB9D44" w:rsidR="004462A0" w:rsidRPr="008912CF" w:rsidRDefault="00615769">
            <w:pPr>
              <w:rPr>
                <w:del w:id="7063" w:author="AbbVie2" w:date="2025-05-13T16:39:00Z"/>
                <w:b/>
                <w:bCs/>
              </w:rPr>
              <w:pPrChange w:id="7064" w:author="AbbVie2" w:date="2025-05-13T16:40:00Z">
                <w:pPr>
                  <w:keepNext/>
                  <w:jc w:val="center"/>
                </w:pPr>
              </w:pPrChange>
            </w:pPr>
            <w:del w:id="7065" w:author="AbbVie2" w:date="2025-05-13T16:39:00Z">
              <w:r w:rsidRPr="008912CF">
                <w:rPr>
                  <w:b/>
                  <w:bCs/>
                  <w:sz w:val="22"/>
                  <w:szCs w:val="22"/>
                </w:rPr>
                <w:delText>MTX</w:delText>
              </w:r>
            </w:del>
          </w:p>
          <w:p w14:paraId="36BF5586" w14:textId="7F3A87E1" w:rsidR="004462A0" w:rsidRPr="008912CF" w:rsidRDefault="00615769">
            <w:pPr>
              <w:rPr>
                <w:del w:id="7066" w:author="AbbVie2" w:date="2025-05-13T16:39:00Z"/>
                <w:b/>
                <w:bCs/>
                <w:szCs w:val="22"/>
              </w:rPr>
              <w:pPrChange w:id="7067" w:author="AbbVie2" w:date="2025-05-13T16:40:00Z">
                <w:pPr>
                  <w:pStyle w:val="EndnoteText"/>
                  <w:keepNext/>
                  <w:jc w:val="center"/>
                </w:pPr>
              </w:pPrChange>
            </w:pPr>
            <w:del w:id="7068" w:author="AbbVie2" w:date="2025-05-13T16:39:00Z">
              <w:r w:rsidRPr="008912CF">
                <w:rPr>
                  <w:b/>
                  <w:bCs/>
                  <w:szCs w:val="22"/>
                </w:rPr>
                <w:delText>n = 257</w:delText>
              </w:r>
            </w:del>
          </w:p>
        </w:tc>
        <w:tc>
          <w:tcPr>
            <w:tcW w:w="1238" w:type="dxa"/>
            <w:vAlign w:val="center"/>
          </w:tcPr>
          <w:p w14:paraId="6540BC09" w14:textId="3C8DF956" w:rsidR="004462A0" w:rsidRPr="008912CF" w:rsidRDefault="00615769">
            <w:pPr>
              <w:rPr>
                <w:del w:id="7069" w:author="AbbVie2" w:date="2025-05-13T16:39:00Z"/>
                <w:b/>
                <w:bCs/>
              </w:rPr>
              <w:pPrChange w:id="7070" w:author="AbbVie2" w:date="2025-05-13T16:40:00Z">
                <w:pPr>
                  <w:keepNext/>
                  <w:jc w:val="center"/>
                </w:pPr>
              </w:pPrChange>
            </w:pPr>
            <w:del w:id="7071" w:author="AbbVie2" w:date="2025-05-13T16:39:00Z">
              <w:r w:rsidRPr="008912CF">
                <w:rPr>
                  <w:b/>
                  <w:bCs/>
                  <w:sz w:val="22"/>
                  <w:szCs w:val="22"/>
                </w:rPr>
                <w:delText>Humira</w:delText>
              </w:r>
            </w:del>
          </w:p>
          <w:p w14:paraId="7F7A949C" w14:textId="7FD16AE5" w:rsidR="004462A0" w:rsidRPr="008912CF" w:rsidRDefault="00615769">
            <w:pPr>
              <w:rPr>
                <w:del w:id="7072" w:author="AbbVie2" w:date="2025-05-13T16:39:00Z"/>
                <w:b/>
                <w:bCs/>
              </w:rPr>
              <w:pPrChange w:id="7073" w:author="AbbVie2" w:date="2025-05-13T16:40:00Z">
                <w:pPr>
                  <w:keepNext/>
                  <w:jc w:val="center"/>
                </w:pPr>
              </w:pPrChange>
            </w:pPr>
            <w:del w:id="7074" w:author="AbbVie2" w:date="2025-05-13T16:39:00Z">
              <w:r>
                <w:rPr>
                  <w:b/>
                  <w:bCs/>
                  <w:sz w:val="22"/>
                  <w:szCs w:val="22"/>
                </w:rPr>
                <w:delText>n</w:delText>
              </w:r>
              <w:r w:rsidRPr="008912CF">
                <w:rPr>
                  <w:b/>
                  <w:bCs/>
                  <w:sz w:val="22"/>
                  <w:szCs w:val="22"/>
                </w:rPr>
                <w:delText> = 274</w:delText>
              </w:r>
            </w:del>
          </w:p>
        </w:tc>
        <w:tc>
          <w:tcPr>
            <w:tcW w:w="1658" w:type="dxa"/>
            <w:vAlign w:val="center"/>
          </w:tcPr>
          <w:p w14:paraId="1CA421BB" w14:textId="0EDB119D" w:rsidR="004462A0" w:rsidRPr="008912CF" w:rsidRDefault="00615769">
            <w:pPr>
              <w:rPr>
                <w:del w:id="7075" w:author="AbbVie2" w:date="2025-05-13T16:39:00Z"/>
                <w:b/>
                <w:bCs/>
              </w:rPr>
              <w:pPrChange w:id="7076" w:author="AbbVie2" w:date="2025-05-13T16:40:00Z">
                <w:pPr>
                  <w:keepNext/>
                  <w:jc w:val="center"/>
                </w:pPr>
              </w:pPrChange>
            </w:pPr>
            <w:del w:id="7077" w:author="AbbVie2" w:date="2025-05-13T16:39:00Z">
              <w:r w:rsidRPr="008912CF">
                <w:rPr>
                  <w:b/>
                  <w:bCs/>
                  <w:sz w:val="22"/>
                  <w:szCs w:val="22"/>
                </w:rPr>
                <w:delText>Humira/MTX</w:delText>
              </w:r>
            </w:del>
          </w:p>
          <w:p w14:paraId="5FAEBC8D" w14:textId="6C7B7DDF" w:rsidR="004462A0" w:rsidRPr="008912CF" w:rsidRDefault="00615769">
            <w:pPr>
              <w:rPr>
                <w:del w:id="7078" w:author="AbbVie2" w:date="2025-05-13T16:39:00Z"/>
                <w:b/>
                <w:bCs/>
              </w:rPr>
              <w:pPrChange w:id="7079" w:author="AbbVie2" w:date="2025-05-13T16:40:00Z">
                <w:pPr>
                  <w:keepNext/>
                  <w:jc w:val="center"/>
                </w:pPr>
              </w:pPrChange>
            </w:pPr>
            <w:del w:id="7080" w:author="AbbVie2" w:date="2025-05-13T16:39:00Z">
              <w:r w:rsidRPr="008912CF">
                <w:rPr>
                  <w:b/>
                  <w:bCs/>
                  <w:sz w:val="22"/>
                  <w:szCs w:val="22"/>
                </w:rPr>
                <w:delText>n = 268</w:delText>
              </w:r>
            </w:del>
          </w:p>
        </w:tc>
        <w:tc>
          <w:tcPr>
            <w:tcW w:w="1100" w:type="dxa"/>
            <w:vAlign w:val="center"/>
          </w:tcPr>
          <w:p w14:paraId="4D846136" w14:textId="404FC627" w:rsidR="004462A0" w:rsidRPr="008912CF" w:rsidRDefault="00615769">
            <w:pPr>
              <w:rPr>
                <w:del w:id="7081" w:author="AbbVie2" w:date="2025-05-13T16:39:00Z"/>
                <w:b/>
                <w:bCs/>
                <w:szCs w:val="22"/>
              </w:rPr>
              <w:pPrChange w:id="7082" w:author="AbbVie2" w:date="2025-05-13T16:40:00Z">
                <w:pPr>
                  <w:pStyle w:val="EndnoteText"/>
                  <w:keepNext/>
                  <w:jc w:val="center"/>
                </w:pPr>
              </w:pPrChange>
            </w:pPr>
            <w:del w:id="7083" w:author="AbbVie2" w:date="2025-05-13T16:39:00Z">
              <w:r w:rsidRPr="008912CF">
                <w:rPr>
                  <w:b/>
                  <w:bCs/>
                  <w:szCs w:val="22"/>
                </w:rPr>
                <w:delText>valor</w:delText>
              </w:r>
              <w:r w:rsidR="004D006C">
                <w:rPr>
                  <w:b/>
                  <w:bCs/>
                  <w:szCs w:val="22"/>
                </w:rPr>
                <w:delText>-p</w:delText>
              </w:r>
              <w:r w:rsidRPr="008912CF">
                <w:rPr>
                  <w:b/>
                  <w:bCs/>
                  <w:szCs w:val="22"/>
                  <w:vertAlign w:val="superscript"/>
                </w:rPr>
                <w:delText>a</w:delText>
              </w:r>
            </w:del>
          </w:p>
        </w:tc>
        <w:tc>
          <w:tcPr>
            <w:tcW w:w="1173" w:type="dxa"/>
            <w:vAlign w:val="center"/>
          </w:tcPr>
          <w:p w14:paraId="6A923559" w14:textId="1F8C0C03" w:rsidR="004462A0" w:rsidRPr="008912CF" w:rsidRDefault="00615769">
            <w:pPr>
              <w:rPr>
                <w:del w:id="7084" w:author="AbbVie2" w:date="2025-05-13T16:39:00Z"/>
                <w:b/>
                <w:bCs/>
              </w:rPr>
              <w:pPrChange w:id="7085" w:author="AbbVie2" w:date="2025-05-13T16:40:00Z">
                <w:pPr>
                  <w:keepNext/>
                  <w:jc w:val="center"/>
                </w:pPr>
              </w:pPrChange>
            </w:pPr>
            <w:del w:id="7086" w:author="AbbVie2" w:date="2025-05-13T16:39:00Z">
              <w:r w:rsidRPr="008912CF">
                <w:rPr>
                  <w:b/>
                  <w:bCs/>
                  <w:sz w:val="22"/>
                  <w:szCs w:val="22"/>
                </w:rPr>
                <w:delText>valor</w:delText>
              </w:r>
              <w:r w:rsidR="004D006C">
                <w:rPr>
                  <w:b/>
                  <w:bCs/>
                  <w:sz w:val="22"/>
                  <w:szCs w:val="22"/>
                </w:rPr>
                <w:delText>-p</w:delText>
              </w:r>
              <w:r w:rsidRPr="008912CF">
                <w:rPr>
                  <w:b/>
                  <w:bCs/>
                  <w:sz w:val="22"/>
                  <w:szCs w:val="22"/>
                  <w:vertAlign w:val="superscript"/>
                </w:rPr>
                <w:delText>b</w:delText>
              </w:r>
            </w:del>
          </w:p>
        </w:tc>
        <w:tc>
          <w:tcPr>
            <w:tcW w:w="1210" w:type="dxa"/>
            <w:vAlign w:val="center"/>
          </w:tcPr>
          <w:p w14:paraId="06158448" w14:textId="04158B92" w:rsidR="004462A0" w:rsidRPr="008912CF" w:rsidRDefault="00615769">
            <w:pPr>
              <w:rPr>
                <w:del w:id="7087" w:author="AbbVie2" w:date="2025-05-13T16:39:00Z"/>
              </w:rPr>
              <w:pPrChange w:id="7088" w:author="AbbVie2" w:date="2025-05-13T16:40:00Z">
                <w:pPr>
                  <w:keepNext/>
                  <w:jc w:val="center"/>
                </w:pPr>
              </w:pPrChange>
            </w:pPr>
            <w:del w:id="7089" w:author="AbbVie2" w:date="2025-05-13T16:39:00Z">
              <w:r w:rsidRPr="008912CF">
                <w:rPr>
                  <w:b/>
                  <w:bCs/>
                  <w:sz w:val="22"/>
                  <w:szCs w:val="22"/>
                </w:rPr>
                <w:delText>valor</w:delText>
              </w:r>
              <w:r w:rsidR="004D006C">
                <w:rPr>
                  <w:b/>
                  <w:bCs/>
                  <w:sz w:val="22"/>
                  <w:szCs w:val="22"/>
                </w:rPr>
                <w:delText>-p</w:delText>
              </w:r>
              <w:r w:rsidRPr="008912CF">
                <w:rPr>
                  <w:b/>
                  <w:bCs/>
                  <w:sz w:val="22"/>
                  <w:szCs w:val="22"/>
                  <w:vertAlign w:val="superscript"/>
                </w:rPr>
                <w:delText>c</w:delText>
              </w:r>
            </w:del>
          </w:p>
        </w:tc>
      </w:tr>
      <w:tr w:rsidR="00A7162A" w14:paraId="64860A8E" w14:textId="4392DBD3" w:rsidTr="00F675CF">
        <w:trPr>
          <w:gridAfter w:val="1"/>
          <w:wAfter w:w="12" w:type="dxa"/>
          <w:cantSplit/>
          <w:jc w:val="center"/>
          <w:del w:id="7090" w:author="AbbVie2" w:date="2025-05-13T16:39:00Z"/>
        </w:trPr>
        <w:tc>
          <w:tcPr>
            <w:tcW w:w="1724" w:type="dxa"/>
            <w:gridSpan w:val="2"/>
          </w:tcPr>
          <w:p w14:paraId="152F5E8B" w14:textId="1BA1B095" w:rsidR="004462A0" w:rsidRPr="008912CF" w:rsidRDefault="00615769">
            <w:pPr>
              <w:rPr>
                <w:del w:id="7091" w:author="AbbVie2" w:date="2025-05-13T16:39:00Z"/>
              </w:rPr>
              <w:pPrChange w:id="7092" w:author="AbbVie2" w:date="2025-05-13T16:40:00Z">
                <w:pPr>
                  <w:keepNext/>
                </w:pPr>
              </w:pPrChange>
            </w:pPr>
            <w:del w:id="7093" w:author="AbbVie2" w:date="2025-05-13T16:39:00Z">
              <w:r w:rsidRPr="008912CF">
                <w:rPr>
                  <w:sz w:val="22"/>
                  <w:szCs w:val="22"/>
                </w:rPr>
                <w:delText>ACR 20</w:delText>
              </w:r>
            </w:del>
          </w:p>
        </w:tc>
        <w:tc>
          <w:tcPr>
            <w:tcW w:w="1320" w:type="dxa"/>
          </w:tcPr>
          <w:p w14:paraId="554AB52B" w14:textId="25001188" w:rsidR="004462A0" w:rsidRPr="008912CF" w:rsidRDefault="004462A0">
            <w:pPr>
              <w:rPr>
                <w:del w:id="7094" w:author="AbbVie2" w:date="2025-05-13T16:39:00Z"/>
              </w:rPr>
              <w:pPrChange w:id="7095" w:author="AbbVie2" w:date="2025-05-13T16:40:00Z">
                <w:pPr>
                  <w:keepNext/>
                  <w:jc w:val="center"/>
                </w:pPr>
              </w:pPrChange>
            </w:pPr>
          </w:p>
        </w:tc>
        <w:tc>
          <w:tcPr>
            <w:tcW w:w="1238" w:type="dxa"/>
          </w:tcPr>
          <w:p w14:paraId="2E1505B8" w14:textId="0EAD5A3D" w:rsidR="004462A0" w:rsidRPr="008912CF" w:rsidRDefault="004462A0">
            <w:pPr>
              <w:rPr>
                <w:del w:id="7096" w:author="AbbVie2" w:date="2025-05-13T16:39:00Z"/>
              </w:rPr>
              <w:pPrChange w:id="7097" w:author="AbbVie2" w:date="2025-05-13T16:40:00Z">
                <w:pPr>
                  <w:keepNext/>
                  <w:jc w:val="center"/>
                </w:pPr>
              </w:pPrChange>
            </w:pPr>
          </w:p>
        </w:tc>
        <w:tc>
          <w:tcPr>
            <w:tcW w:w="1658" w:type="dxa"/>
          </w:tcPr>
          <w:p w14:paraId="7789282D" w14:textId="2B6B82BE" w:rsidR="004462A0" w:rsidRPr="008912CF" w:rsidRDefault="004462A0">
            <w:pPr>
              <w:rPr>
                <w:del w:id="7098" w:author="AbbVie2" w:date="2025-05-13T16:39:00Z"/>
              </w:rPr>
              <w:pPrChange w:id="7099" w:author="AbbVie2" w:date="2025-05-13T16:40:00Z">
                <w:pPr>
                  <w:keepNext/>
                  <w:jc w:val="center"/>
                </w:pPr>
              </w:pPrChange>
            </w:pPr>
          </w:p>
        </w:tc>
        <w:tc>
          <w:tcPr>
            <w:tcW w:w="1100" w:type="dxa"/>
          </w:tcPr>
          <w:p w14:paraId="63D7395C" w14:textId="56838FC9" w:rsidR="004462A0" w:rsidRPr="008912CF" w:rsidRDefault="004462A0">
            <w:pPr>
              <w:rPr>
                <w:del w:id="7100" w:author="AbbVie2" w:date="2025-05-13T16:39:00Z"/>
              </w:rPr>
              <w:pPrChange w:id="7101" w:author="AbbVie2" w:date="2025-05-13T16:40:00Z">
                <w:pPr>
                  <w:keepNext/>
                  <w:jc w:val="center"/>
                </w:pPr>
              </w:pPrChange>
            </w:pPr>
          </w:p>
        </w:tc>
        <w:tc>
          <w:tcPr>
            <w:tcW w:w="1173" w:type="dxa"/>
          </w:tcPr>
          <w:p w14:paraId="52C077BB" w14:textId="102FE6EB" w:rsidR="004462A0" w:rsidRPr="008912CF" w:rsidRDefault="004462A0">
            <w:pPr>
              <w:rPr>
                <w:del w:id="7102" w:author="AbbVie2" w:date="2025-05-13T16:39:00Z"/>
              </w:rPr>
              <w:pPrChange w:id="7103" w:author="AbbVie2" w:date="2025-05-13T16:40:00Z">
                <w:pPr>
                  <w:keepNext/>
                  <w:jc w:val="center"/>
                </w:pPr>
              </w:pPrChange>
            </w:pPr>
          </w:p>
        </w:tc>
        <w:tc>
          <w:tcPr>
            <w:tcW w:w="1210" w:type="dxa"/>
          </w:tcPr>
          <w:p w14:paraId="3CBE1DB2" w14:textId="18BA7122" w:rsidR="004462A0" w:rsidRPr="008912CF" w:rsidRDefault="004462A0">
            <w:pPr>
              <w:rPr>
                <w:del w:id="7104" w:author="AbbVie2" w:date="2025-05-13T16:39:00Z"/>
              </w:rPr>
              <w:pPrChange w:id="7105" w:author="AbbVie2" w:date="2025-05-13T16:40:00Z">
                <w:pPr>
                  <w:keepNext/>
                  <w:jc w:val="center"/>
                </w:pPr>
              </w:pPrChange>
            </w:pPr>
          </w:p>
        </w:tc>
      </w:tr>
      <w:tr w:rsidR="00A7162A" w14:paraId="3CC625D5" w14:textId="38C9AD4D" w:rsidTr="00F675CF">
        <w:trPr>
          <w:gridAfter w:val="1"/>
          <w:wAfter w:w="12" w:type="dxa"/>
          <w:cantSplit/>
          <w:jc w:val="center"/>
          <w:del w:id="7106" w:author="AbbVie2" w:date="2025-05-13T16:39:00Z"/>
        </w:trPr>
        <w:tc>
          <w:tcPr>
            <w:tcW w:w="1724" w:type="dxa"/>
            <w:gridSpan w:val="2"/>
          </w:tcPr>
          <w:p w14:paraId="054FE213" w14:textId="7361DAF3" w:rsidR="004462A0" w:rsidRPr="008912CF" w:rsidRDefault="00615769">
            <w:pPr>
              <w:rPr>
                <w:del w:id="7107" w:author="AbbVie2" w:date="2025-05-13T16:39:00Z"/>
              </w:rPr>
              <w:pPrChange w:id="7108" w:author="AbbVie2" w:date="2025-05-13T16:40:00Z">
                <w:pPr>
                  <w:keepNext/>
                </w:pPr>
              </w:pPrChange>
            </w:pPr>
            <w:del w:id="7109" w:author="AbbVie2" w:date="2025-05-13T16:39:00Z">
              <w:r w:rsidRPr="008912CF">
                <w:rPr>
                  <w:sz w:val="22"/>
                  <w:szCs w:val="22"/>
                </w:rPr>
                <w:delText xml:space="preserve">     Semana 52</w:delText>
              </w:r>
            </w:del>
          </w:p>
        </w:tc>
        <w:tc>
          <w:tcPr>
            <w:tcW w:w="1320" w:type="dxa"/>
          </w:tcPr>
          <w:p w14:paraId="64A0A960" w14:textId="35E61F4A" w:rsidR="004462A0" w:rsidRPr="008912CF" w:rsidRDefault="00615769">
            <w:pPr>
              <w:rPr>
                <w:del w:id="7110" w:author="AbbVie2" w:date="2025-05-13T16:39:00Z"/>
              </w:rPr>
              <w:pPrChange w:id="7111" w:author="AbbVie2" w:date="2025-05-13T16:40:00Z">
                <w:pPr>
                  <w:keepNext/>
                  <w:jc w:val="center"/>
                </w:pPr>
              </w:pPrChange>
            </w:pPr>
            <w:del w:id="7112" w:author="AbbVie2" w:date="2025-05-13T16:39:00Z">
              <w:r w:rsidRPr="008912CF">
                <w:rPr>
                  <w:sz w:val="22"/>
                  <w:szCs w:val="22"/>
                </w:rPr>
                <w:delText>62,6</w:delText>
              </w:r>
              <w:r w:rsidR="009343EF">
                <w:rPr>
                  <w:sz w:val="22"/>
                  <w:szCs w:val="22"/>
                </w:rPr>
                <w:delText>%</w:delText>
              </w:r>
            </w:del>
          </w:p>
        </w:tc>
        <w:tc>
          <w:tcPr>
            <w:tcW w:w="1238" w:type="dxa"/>
          </w:tcPr>
          <w:p w14:paraId="028EA3BE" w14:textId="7F9703F0" w:rsidR="004462A0" w:rsidRPr="008912CF" w:rsidRDefault="00615769">
            <w:pPr>
              <w:rPr>
                <w:del w:id="7113" w:author="AbbVie2" w:date="2025-05-13T16:39:00Z"/>
              </w:rPr>
              <w:pPrChange w:id="7114" w:author="AbbVie2" w:date="2025-05-13T16:40:00Z">
                <w:pPr>
                  <w:keepNext/>
                  <w:jc w:val="center"/>
                </w:pPr>
              </w:pPrChange>
            </w:pPr>
            <w:del w:id="7115" w:author="AbbVie2" w:date="2025-05-13T16:39:00Z">
              <w:r w:rsidRPr="008912CF">
                <w:rPr>
                  <w:sz w:val="22"/>
                  <w:szCs w:val="22"/>
                </w:rPr>
                <w:delText>54,4</w:delText>
              </w:r>
              <w:r w:rsidR="009343EF">
                <w:rPr>
                  <w:sz w:val="22"/>
                  <w:szCs w:val="22"/>
                </w:rPr>
                <w:delText>%</w:delText>
              </w:r>
            </w:del>
          </w:p>
        </w:tc>
        <w:tc>
          <w:tcPr>
            <w:tcW w:w="1658" w:type="dxa"/>
          </w:tcPr>
          <w:p w14:paraId="352C57A9" w14:textId="1DB1ED68" w:rsidR="004462A0" w:rsidRPr="008912CF" w:rsidRDefault="00615769">
            <w:pPr>
              <w:rPr>
                <w:del w:id="7116" w:author="AbbVie2" w:date="2025-05-13T16:39:00Z"/>
              </w:rPr>
              <w:pPrChange w:id="7117" w:author="AbbVie2" w:date="2025-05-13T16:40:00Z">
                <w:pPr>
                  <w:keepNext/>
                  <w:jc w:val="center"/>
                </w:pPr>
              </w:pPrChange>
            </w:pPr>
            <w:del w:id="7118" w:author="AbbVie2" w:date="2025-05-13T16:39:00Z">
              <w:r w:rsidRPr="008912CF">
                <w:rPr>
                  <w:sz w:val="22"/>
                  <w:szCs w:val="22"/>
                </w:rPr>
                <w:delText>72,8</w:delText>
              </w:r>
              <w:r w:rsidR="009343EF">
                <w:rPr>
                  <w:sz w:val="22"/>
                  <w:szCs w:val="22"/>
                </w:rPr>
                <w:delText>%</w:delText>
              </w:r>
            </w:del>
          </w:p>
        </w:tc>
        <w:tc>
          <w:tcPr>
            <w:tcW w:w="1100" w:type="dxa"/>
          </w:tcPr>
          <w:p w14:paraId="012BCB9D" w14:textId="27CB050C" w:rsidR="004462A0" w:rsidRPr="008912CF" w:rsidRDefault="00615769">
            <w:pPr>
              <w:rPr>
                <w:del w:id="7119" w:author="AbbVie2" w:date="2025-05-13T16:39:00Z"/>
              </w:rPr>
              <w:pPrChange w:id="7120" w:author="AbbVie2" w:date="2025-05-13T16:40:00Z">
                <w:pPr>
                  <w:keepNext/>
                  <w:jc w:val="center"/>
                </w:pPr>
              </w:pPrChange>
            </w:pPr>
            <w:del w:id="7121" w:author="AbbVie2" w:date="2025-05-13T16:39:00Z">
              <w:r w:rsidRPr="008912CF">
                <w:rPr>
                  <w:sz w:val="22"/>
                  <w:szCs w:val="22"/>
                </w:rPr>
                <w:delText>0,013</w:delText>
              </w:r>
            </w:del>
          </w:p>
        </w:tc>
        <w:tc>
          <w:tcPr>
            <w:tcW w:w="1173" w:type="dxa"/>
          </w:tcPr>
          <w:p w14:paraId="082EE8A8" w14:textId="736B6783" w:rsidR="004462A0" w:rsidRPr="008912CF" w:rsidRDefault="00615769">
            <w:pPr>
              <w:rPr>
                <w:del w:id="7122" w:author="AbbVie2" w:date="2025-05-13T16:39:00Z"/>
              </w:rPr>
              <w:pPrChange w:id="7123" w:author="AbbVie2" w:date="2025-05-13T16:40:00Z">
                <w:pPr>
                  <w:keepNext/>
                  <w:jc w:val="center"/>
                </w:pPr>
              </w:pPrChange>
            </w:pPr>
            <w:del w:id="7124" w:author="AbbVie2" w:date="2025-05-13T16:39:00Z">
              <w:r w:rsidRPr="008912CF">
                <w:rPr>
                  <w:sz w:val="22"/>
                  <w:szCs w:val="22"/>
                </w:rPr>
                <w:delText>&lt; 0,001</w:delText>
              </w:r>
            </w:del>
          </w:p>
        </w:tc>
        <w:tc>
          <w:tcPr>
            <w:tcW w:w="1210" w:type="dxa"/>
          </w:tcPr>
          <w:p w14:paraId="0AA0255D" w14:textId="11E5D283" w:rsidR="004462A0" w:rsidRPr="008912CF" w:rsidRDefault="00615769">
            <w:pPr>
              <w:rPr>
                <w:del w:id="7125" w:author="AbbVie2" w:date="2025-05-13T16:39:00Z"/>
              </w:rPr>
              <w:pPrChange w:id="7126" w:author="AbbVie2" w:date="2025-05-13T16:40:00Z">
                <w:pPr>
                  <w:keepNext/>
                  <w:jc w:val="center"/>
                </w:pPr>
              </w:pPrChange>
            </w:pPr>
            <w:del w:id="7127" w:author="AbbVie2" w:date="2025-05-13T16:39:00Z">
              <w:r w:rsidRPr="008912CF">
                <w:rPr>
                  <w:sz w:val="22"/>
                  <w:szCs w:val="22"/>
                </w:rPr>
                <w:delText>0,043</w:delText>
              </w:r>
            </w:del>
          </w:p>
        </w:tc>
      </w:tr>
      <w:tr w:rsidR="00A7162A" w14:paraId="7EA3EA3A" w14:textId="4463B7F6" w:rsidTr="00F675CF">
        <w:trPr>
          <w:gridAfter w:val="1"/>
          <w:wAfter w:w="12" w:type="dxa"/>
          <w:cantSplit/>
          <w:jc w:val="center"/>
          <w:del w:id="7128" w:author="AbbVie2" w:date="2025-05-13T16:39:00Z"/>
        </w:trPr>
        <w:tc>
          <w:tcPr>
            <w:tcW w:w="1724" w:type="dxa"/>
            <w:gridSpan w:val="2"/>
          </w:tcPr>
          <w:p w14:paraId="18A631B0" w14:textId="21839573" w:rsidR="004462A0" w:rsidRPr="008912CF" w:rsidRDefault="00615769">
            <w:pPr>
              <w:rPr>
                <w:del w:id="7129" w:author="AbbVie2" w:date="2025-05-13T16:39:00Z"/>
              </w:rPr>
              <w:pPrChange w:id="7130" w:author="AbbVie2" w:date="2025-05-13T16:40:00Z">
                <w:pPr>
                  <w:keepNext/>
                </w:pPr>
              </w:pPrChange>
            </w:pPr>
            <w:del w:id="7131" w:author="AbbVie2" w:date="2025-05-13T16:39:00Z">
              <w:r w:rsidRPr="008912CF">
                <w:rPr>
                  <w:sz w:val="22"/>
                  <w:szCs w:val="22"/>
                </w:rPr>
                <w:delText xml:space="preserve">     Semana 104</w:delText>
              </w:r>
            </w:del>
          </w:p>
        </w:tc>
        <w:tc>
          <w:tcPr>
            <w:tcW w:w="1320" w:type="dxa"/>
          </w:tcPr>
          <w:p w14:paraId="3ACCEBE1" w14:textId="2B485BF8" w:rsidR="004462A0" w:rsidRPr="008912CF" w:rsidRDefault="00615769">
            <w:pPr>
              <w:rPr>
                <w:del w:id="7132" w:author="AbbVie2" w:date="2025-05-13T16:39:00Z"/>
              </w:rPr>
              <w:pPrChange w:id="7133" w:author="AbbVie2" w:date="2025-05-13T16:40:00Z">
                <w:pPr>
                  <w:keepNext/>
                  <w:jc w:val="center"/>
                </w:pPr>
              </w:pPrChange>
            </w:pPr>
            <w:del w:id="7134" w:author="AbbVie2" w:date="2025-05-13T16:39:00Z">
              <w:r w:rsidRPr="008912CF">
                <w:rPr>
                  <w:sz w:val="22"/>
                  <w:szCs w:val="22"/>
                </w:rPr>
                <w:delText>56,0</w:delText>
              </w:r>
              <w:r w:rsidR="009343EF">
                <w:rPr>
                  <w:sz w:val="22"/>
                  <w:szCs w:val="22"/>
                </w:rPr>
                <w:delText>%</w:delText>
              </w:r>
            </w:del>
          </w:p>
        </w:tc>
        <w:tc>
          <w:tcPr>
            <w:tcW w:w="1238" w:type="dxa"/>
          </w:tcPr>
          <w:p w14:paraId="6281E064" w14:textId="33E9B3B4" w:rsidR="004462A0" w:rsidRPr="008912CF" w:rsidRDefault="00615769">
            <w:pPr>
              <w:rPr>
                <w:del w:id="7135" w:author="AbbVie2" w:date="2025-05-13T16:39:00Z"/>
              </w:rPr>
              <w:pPrChange w:id="7136" w:author="AbbVie2" w:date="2025-05-13T16:40:00Z">
                <w:pPr>
                  <w:keepNext/>
                  <w:jc w:val="center"/>
                </w:pPr>
              </w:pPrChange>
            </w:pPr>
            <w:del w:id="7137" w:author="AbbVie2" w:date="2025-05-13T16:39:00Z">
              <w:r w:rsidRPr="008912CF">
                <w:rPr>
                  <w:sz w:val="22"/>
                  <w:szCs w:val="22"/>
                </w:rPr>
                <w:delText>49,3</w:delText>
              </w:r>
              <w:r w:rsidR="009343EF">
                <w:rPr>
                  <w:sz w:val="22"/>
                  <w:szCs w:val="22"/>
                </w:rPr>
                <w:delText>%</w:delText>
              </w:r>
            </w:del>
          </w:p>
        </w:tc>
        <w:tc>
          <w:tcPr>
            <w:tcW w:w="1658" w:type="dxa"/>
          </w:tcPr>
          <w:p w14:paraId="2B8A4B60" w14:textId="5DBFDE16" w:rsidR="004462A0" w:rsidRPr="008912CF" w:rsidRDefault="00615769">
            <w:pPr>
              <w:rPr>
                <w:del w:id="7138" w:author="AbbVie2" w:date="2025-05-13T16:39:00Z"/>
              </w:rPr>
              <w:pPrChange w:id="7139" w:author="AbbVie2" w:date="2025-05-13T16:40:00Z">
                <w:pPr>
                  <w:keepNext/>
                  <w:jc w:val="center"/>
                </w:pPr>
              </w:pPrChange>
            </w:pPr>
            <w:del w:id="7140" w:author="AbbVie2" w:date="2025-05-13T16:39:00Z">
              <w:r w:rsidRPr="008912CF">
                <w:rPr>
                  <w:sz w:val="22"/>
                  <w:szCs w:val="22"/>
                </w:rPr>
                <w:delText>69,4</w:delText>
              </w:r>
              <w:r w:rsidR="009343EF">
                <w:rPr>
                  <w:sz w:val="22"/>
                  <w:szCs w:val="22"/>
                </w:rPr>
                <w:delText>%</w:delText>
              </w:r>
            </w:del>
          </w:p>
        </w:tc>
        <w:tc>
          <w:tcPr>
            <w:tcW w:w="1100" w:type="dxa"/>
          </w:tcPr>
          <w:p w14:paraId="737A5CB1" w14:textId="3E240D3C" w:rsidR="004462A0" w:rsidRPr="008912CF" w:rsidRDefault="00615769">
            <w:pPr>
              <w:rPr>
                <w:del w:id="7141" w:author="AbbVie2" w:date="2025-05-13T16:39:00Z"/>
              </w:rPr>
              <w:pPrChange w:id="7142" w:author="AbbVie2" w:date="2025-05-13T16:40:00Z">
                <w:pPr>
                  <w:keepNext/>
                  <w:jc w:val="center"/>
                </w:pPr>
              </w:pPrChange>
            </w:pPr>
            <w:del w:id="7143" w:author="AbbVie2" w:date="2025-05-13T16:39:00Z">
              <w:r w:rsidRPr="008912CF">
                <w:rPr>
                  <w:sz w:val="22"/>
                  <w:szCs w:val="22"/>
                </w:rPr>
                <w:delText>0,002</w:delText>
              </w:r>
            </w:del>
          </w:p>
        </w:tc>
        <w:tc>
          <w:tcPr>
            <w:tcW w:w="1173" w:type="dxa"/>
          </w:tcPr>
          <w:p w14:paraId="3842E2B2" w14:textId="4B7B0829" w:rsidR="004462A0" w:rsidRPr="008912CF" w:rsidRDefault="00615769">
            <w:pPr>
              <w:rPr>
                <w:del w:id="7144" w:author="AbbVie2" w:date="2025-05-13T16:39:00Z"/>
              </w:rPr>
              <w:pPrChange w:id="7145" w:author="AbbVie2" w:date="2025-05-13T16:40:00Z">
                <w:pPr>
                  <w:keepNext/>
                  <w:jc w:val="center"/>
                </w:pPr>
              </w:pPrChange>
            </w:pPr>
            <w:del w:id="7146" w:author="AbbVie2" w:date="2025-05-13T16:39:00Z">
              <w:r w:rsidRPr="008912CF">
                <w:rPr>
                  <w:sz w:val="22"/>
                  <w:szCs w:val="22"/>
                </w:rPr>
                <w:delText>&lt; 0,001</w:delText>
              </w:r>
            </w:del>
          </w:p>
        </w:tc>
        <w:tc>
          <w:tcPr>
            <w:tcW w:w="1210" w:type="dxa"/>
          </w:tcPr>
          <w:p w14:paraId="78FF8BD2" w14:textId="5594B154" w:rsidR="004462A0" w:rsidRPr="008912CF" w:rsidRDefault="00615769">
            <w:pPr>
              <w:rPr>
                <w:del w:id="7147" w:author="AbbVie2" w:date="2025-05-13T16:39:00Z"/>
              </w:rPr>
              <w:pPrChange w:id="7148" w:author="AbbVie2" w:date="2025-05-13T16:40:00Z">
                <w:pPr>
                  <w:keepNext/>
                  <w:jc w:val="center"/>
                </w:pPr>
              </w:pPrChange>
            </w:pPr>
            <w:del w:id="7149" w:author="AbbVie2" w:date="2025-05-13T16:39:00Z">
              <w:r w:rsidRPr="008912CF">
                <w:rPr>
                  <w:sz w:val="22"/>
                  <w:szCs w:val="22"/>
                </w:rPr>
                <w:delText>0,140</w:delText>
              </w:r>
            </w:del>
          </w:p>
        </w:tc>
      </w:tr>
      <w:tr w:rsidR="00A7162A" w14:paraId="3A29355C" w14:textId="10FC9BF4" w:rsidTr="00F675CF">
        <w:trPr>
          <w:gridAfter w:val="1"/>
          <w:wAfter w:w="12" w:type="dxa"/>
          <w:cantSplit/>
          <w:jc w:val="center"/>
          <w:del w:id="7150" w:author="AbbVie2" w:date="2025-05-13T16:39:00Z"/>
        </w:trPr>
        <w:tc>
          <w:tcPr>
            <w:tcW w:w="1724" w:type="dxa"/>
            <w:gridSpan w:val="2"/>
          </w:tcPr>
          <w:p w14:paraId="715DA57C" w14:textId="3507A032" w:rsidR="004462A0" w:rsidRPr="008912CF" w:rsidRDefault="00615769">
            <w:pPr>
              <w:rPr>
                <w:del w:id="7151" w:author="AbbVie2" w:date="2025-05-13T16:39:00Z"/>
              </w:rPr>
              <w:pPrChange w:id="7152" w:author="AbbVie2" w:date="2025-05-13T16:40:00Z">
                <w:pPr>
                  <w:keepNext/>
                </w:pPr>
              </w:pPrChange>
            </w:pPr>
            <w:del w:id="7153" w:author="AbbVie2" w:date="2025-05-13T16:39:00Z">
              <w:r w:rsidRPr="008912CF">
                <w:rPr>
                  <w:sz w:val="22"/>
                  <w:szCs w:val="22"/>
                </w:rPr>
                <w:delText>ACR 50</w:delText>
              </w:r>
            </w:del>
          </w:p>
        </w:tc>
        <w:tc>
          <w:tcPr>
            <w:tcW w:w="1320" w:type="dxa"/>
          </w:tcPr>
          <w:p w14:paraId="30A26DF9" w14:textId="009977C8" w:rsidR="004462A0" w:rsidRPr="008912CF" w:rsidRDefault="004462A0">
            <w:pPr>
              <w:rPr>
                <w:del w:id="7154" w:author="AbbVie2" w:date="2025-05-13T16:39:00Z"/>
              </w:rPr>
              <w:pPrChange w:id="7155" w:author="AbbVie2" w:date="2025-05-13T16:40:00Z">
                <w:pPr>
                  <w:keepNext/>
                  <w:jc w:val="center"/>
                </w:pPr>
              </w:pPrChange>
            </w:pPr>
          </w:p>
        </w:tc>
        <w:tc>
          <w:tcPr>
            <w:tcW w:w="1238" w:type="dxa"/>
          </w:tcPr>
          <w:p w14:paraId="6261C0E6" w14:textId="1A94F06D" w:rsidR="004462A0" w:rsidRPr="008912CF" w:rsidRDefault="004462A0">
            <w:pPr>
              <w:rPr>
                <w:del w:id="7156" w:author="AbbVie2" w:date="2025-05-13T16:39:00Z"/>
              </w:rPr>
              <w:pPrChange w:id="7157" w:author="AbbVie2" w:date="2025-05-13T16:40:00Z">
                <w:pPr>
                  <w:keepNext/>
                  <w:jc w:val="center"/>
                </w:pPr>
              </w:pPrChange>
            </w:pPr>
          </w:p>
        </w:tc>
        <w:tc>
          <w:tcPr>
            <w:tcW w:w="1658" w:type="dxa"/>
          </w:tcPr>
          <w:p w14:paraId="5B32106B" w14:textId="5ED844FD" w:rsidR="004462A0" w:rsidRPr="008912CF" w:rsidRDefault="004462A0">
            <w:pPr>
              <w:rPr>
                <w:del w:id="7158" w:author="AbbVie2" w:date="2025-05-13T16:39:00Z"/>
              </w:rPr>
              <w:pPrChange w:id="7159" w:author="AbbVie2" w:date="2025-05-13T16:40:00Z">
                <w:pPr>
                  <w:keepNext/>
                  <w:jc w:val="center"/>
                </w:pPr>
              </w:pPrChange>
            </w:pPr>
          </w:p>
        </w:tc>
        <w:tc>
          <w:tcPr>
            <w:tcW w:w="1100" w:type="dxa"/>
          </w:tcPr>
          <w:p w14:paraId="2AACC30C" w14:textId="29DB7684" w:rsidR="004462A0" w:rsidRPr="008912CF" w:rsidRDefault="004462A0">
            <w:pPr>
              <w:rPr>
                <w:del w:id="7160" w:author="AbbVie2" w:date="2025-05-13T16:39:00Z"/>
              </w:rPr>
              <w:pPrChange w:id="7161" w:author="AbbVie2" w:date="2025-05-13T16:40:00Z">
                <w:pPr>
                  <w:keepNext/>
                  <w:jc w:val="center"/>
                </w:pPr>
              </w:pPrChange>
            </w:pPr>
          </w:p>
        </w:tc>
        <w:tc>
          <w:tcPr>
            <w:tcW w:w="1173" w:type="dxa"/>
          </w:tcPr>
          <w:p w14:paraId="40C36599" w14:textId="635E6497" w:rsidR="004462A0" w:rsidRPr="008912CF" w:rsidRDefault="004462A0">
            <w:pPr>
              <w:rPr>
                <w:del w:id="7162" w:author="AbbVie2" w:date="2025-05-13T16:39:00Z"/>
              </w:rPr>
              <w:pPrChange w:id="7163" w:author="AbbVie2" w:date="2025-05-13T16:40:00Z">
                <w:pPr>
                  <w:keepNext/>
                  <w:jc w:val="center"/>
                </w:pPr>
              </w:pPrChange>
            </w:pPr>
          </w:p>
        </w:tc>
        <w:tc>
          <w:tcPr>
            <w:tcW w:w="1210" w:type="dxa"/>
          </w:tcPr>
          <w:p w14:paraId="231D67F0" w14:textId="3745EF5D" w:rsidR="004462A0" w:rsidRPr="008912CF" w:rsidRDefault="004462A0">
            <w:pPr>
              <w:rPr>
                <w:del w:id="7164" w:author="AbbVie2" w:date="2025-05-13T16:39:00Z"/>
              </w:rPr>
              <w:pPrChange w:id="7165" w:author="AbbVie2" w:date="2025-05-13T16:40:00Z">
                <w:pPr>
                  <w:keepNext/>
                  <w:jc w:val="center"/>
                </w:pPr>
              </w:pPrChange>
            </w:pPr>
          </w:p>
        </w:tc>
      </w:tr>
      <w:tr w:rsidR="00A7162A" w14:paraId="0BC288D3" w14:textId="10707B6B" w:rsidTr="00F675CF">
        <w:trPr>
          <w:gridAfter w:val="1"/>
          <w:wAfter w:w="12" w:type="dxa"/>
          <w:cantSplit/>
          <w:jc w:val="center"/>
          <w:del w:id="7166" w:author="AbbVie2" w:date="2025-05-13T16:39:00Z"/>
        </w:trPr>
        <w:tc>
          <w:tcPr>
            <w:tcW w:w="1724" w:type="dxa"/>
            <w:gridSpan w:val="2"/>
          </w:tcPr>
          <w:p w14:paraId="59F0D5B9" w14:textId="46B3ED7C" w:rsidR="004462A0" w:rsidRPr="008912CF" w:rsidRDefault="00615769">
            <w:pPr>
              <w:rPr>
                <w:del w:id="7167" w:author="AbbVie2" w:date="2025-05-13T16:39:00Z"/>
              </w:rPr>
              <w:pPrChange w:id="7168" w:author="AbbVie2" w:date="2025-05-13T16:40:00Z">
                <w:pPr>
                  <w:keepNext/>
                </w:pPr>
              </w:pPrChange>
            </w:pPr>
            <w:del w:id="7169" w:author="AbbVie2" w:date="2025-05-13T16:39:00Z">
              <w:r w:rsidRPr="008912CF">
                <w:rPr>
                  <w:sz w:val="22"/>
                  <w:szCs w:val="22"/>
                </w:rPr>
                <w:delText xml:space="preserve">     Semana 52</w:delText>
              </w:r>
            </w:del>
          </w:p>
        </w:tc>
        <w:tc>
          <w:tcPr>
            <w:tcW w:w="1320" w:type="dxa"/>
          </w:tcPr>
          <w:p w14:paraId="0744091B" w14:textId="23661B20" w:rsidR="004462A0" w:rsidRPr="008912CF" w:rsidRDefault="00615769">
            <w:pPr>
              <w:rPr>
                <w:del w:id="7170" w:author="AbbVie2" w:date="2025-05-13T16:39:00Z"/>
              </w:rPr>
              <w:pPrChange w:id="7171" w:author="AbbVie2" w:date="2025-05-13T16:40:00Z">
                <w:pPr>
                  <w:keepNext/>
                  <w:jc w:val="center"/>
                </w:pPr>
              </w:pPrChange>
            </w:pPr>
            <w:del w:id="7172" w:author="AbbVie2" w:date="2025-05-13T16:39:00Z">
              <w:r w:rsidRPr="008912CF">
                <w:rPr>
                  <w:sz w:val="22"/>
                  <w:szCs w:val="22"/>
                </w:rPr>
                <w:delText>45,9</w:delText>
              </w:r>
              <w:r w:rsidR="009343EF">
                <w:rPr>
                  <w:sz w:val="22"/>
                  <w:szCs w:val="22"/>
                </w:rPr>
                <w:delText>%</w:delText>
              </w:r>
            </w:del>
          </w:p>
        </w:tc>
        <w:tc>
          <w:tcPr>
            <w:tcW w:w="1238" w:type="dxa"/>
          </w:tcPr>
          <w:p w14:paraId="581DFDB1" w14:textId="4004D146" w:rsidR="004462A0" w:rsidRPr="008912CF" w:rsidRDefault="00615769">
            <w:pPr>
              <w:rPr>
                <w:del w:id="7173" w:author="AbbVie2" w:date="2025-05-13T16:39:00Z"/>
              </w:rPr>
              <w:pPrChange w:id="7174" w:author="AbbVie2" w:date="2025-05-13T16:40:00Z">
                <w:pPr>
                  <w:keepNext/>
                  <w:jc w:val="center"/>
                </w:pPr>
              </w:pPrChange>
            </w:pPr>
            <w:del w:id="7175" w:author="AbbVie2" w:date="2025-05-13T16:39:00Z">
              <w:r w:rsidRPr="008912CF">
                <w:rPr>
                  <w:sz w:val="22"/>
                  <w:szCs w:val="22"/>
                </w:rPr>
                <w:delText>41,2</w:delText>
              </w:r>
              <w:r w:rsidR="009343EF">
                <w:rPr>
                  <w:sz w:val="22"/>
                  <w:szCs w:val="22"/>
                </w:rPr>
                <w:delText>%</w:delText>
              </w:r>
            </w:del>
          </w:p>
        </w:tc>
        <w:tc>
          <w:tcPr>
            <w:tcW w:w="1658" w:type="dxa"/>
          </w:tcPr>
          <w:p w14:paraId="119A4193" w14:textId="4372BAEE" w:rsidR="004462A0" w:rsidRPr="008912CF" w:rsidRDefault="00615769">
            <w:pPr>
              <w:rPr>
                <w:del w:id="7176" w:author="AbbVie2" w:date="2025-05-13T16:39:00Z"/>
              </w:rPr>
              <w:pPrChange w:id="7177" w:author="AbbVie2" w:date="2025-05-13T16:40:00Z">
                <w:pPr>
                  <w:keepNext/>
                  <w:jc w:val="center"/>
                </w:pPr>
              </w:pPrChange>
            </w:pPr>
            <w:del w:id="7178" w:author="AbbVie2" w:date="2025-05-13T16:39:00Z">
              <w:r w:rsidRPr="008912CF">
                <w:rPr>
                  <w:sz w:val="22"/>
                  <w:szCs w:val="22"/>
                </w:rPr>
                <w:delText>61,6</w:delText>
              </w:r>
              <w:r w:rsidR="009343EF">
                <w:rPr>
                  <w:sz w:val="22"/>
                  <w:szCs w:val="22"/>
                </w:rPr>
                <w:delText>%</w:delText>
              </w:r>
            </w:del>
          </w:p>
        </w:tc>
        <w:tc>
          <w:tcPr>
            <w:tcW w:w="1100" w:type="dxa"/>
          </w:tcPr>
          <w:p w14:paraId="65D268CF" w14:textId="1CF5C250" w:rsidR="004462A0" w:rsidRPr="008912CF" w:rsidRDefault="00615769">
            <w:pPr>
              <w:rPr>
                <w:del w:id="7179" w:author="AbbVie2" w:date="2025-05-13T16:39:00Z"/>
              </w:rPr>
              <w:pPrChange w:id="7180" w:author="AbbVie2" w:date="2025-05-13T16:40:00Z">
                <w:pPr>
                  <w:keepNext/>
                  <w:jc w:val="center"/>
                </w:pPr>
              </w:pPrChange>
            </w:pPr>
            <w:del w:id="7181" w:author="AbbVie2" w:date="2025-05-13T16:39:00Z">
              <w:r w:rsidRPr="008912CF">
                <w:rPr>
                  <w:sz w:val="22"/>
                  <w:szCs w:val="22"/>
                </w:rPr>
                <w:delText>&lt; 0,001</w:delText>
              </w:r>
            </w:del>
          </w:p>
        </w:tc>
        <w:tc>
          <w:tcPr>
            <w:tcW w:w="1173" w:type="dxa"/>
          </w:tcPr>
          <w:p w14:paraId="540BC72E" w14:textId="0979D586" w:rsidR="004462A0" w:rsidRPr="008912CF" w:rsidRDefault="00615769">
            <w:pPr>
              <w:rPr>
                <w:del w:id="7182" w:author="AbbVie2" w:date="2025-05-13T16:39:00Z"/>
              </w:rPr>
              <w:pPrChange w:id="7183" w:author="AbbVie2" w:date="2025-05-13T16:40:00Z">
                <w:pPr>
                  <w:keepNext/>
                  <w:jc w:val="center"/>
                </w:pPr>
              </w:pPrChange>
            </w:pPr>
            <w:del w:id="7184" w:author="AbbVie2" w:date="2025-05-13T16:39:00Z">
              <w:r w:rsidRPr="008912CF">
                <w:rPr>
                  <w:sz w:val="22"/>
                  <w:szCs w:val="22"/>
                </w:rPr>
                <w:delText>&lt; 0,001</w:delText>
              </w:r>
            </w:del>
          </w:p>
        </w:tc>
        <w:tc>
          <w:tcPr>
            <w:tcW w:w="1210" w:type="dxa"/>
          </w:tcPr>
          <w:p w14:paraId="62E524D2" w14:textId="2055A38F" w:rsidR="004462A0" w:rsidRPr="008912CF" w:rsidRDefault="00615769">
            <w:pPr>
              <w:rPr>
                <w:del w:id="7185" w:author="AbbVie2" w:date="2025-05-13T16:39:00Z"/>
              </w:rPr>
              <w:pPrChange w:id="7186" w:author="AbbVie2" w:date="2025-05-13T16:40:00Z">
                <w:pPr>
                  <w:keepNext/>
                  <w:jc w:val="center"/>
                </w:pPr>
              </w:pPrChange>
            </w:pPr>
            <w:del w:id="7187" w:author="AbbVie2" w:date="2025-05-13T16:39:00Z">
              <w:r w:rsidRPr="008912CF">
                <w:rPr>
                  <w:sz w:val="22"/>
                  <w:szCs w:val="22"/>
                </w:rPr>
                <w:delText>0,317</w:delText>
              </w:r>
            </w:del>
          </w:p>
        </w:tc>
      </w:tr>
      <w:tr w:rsidR="00A7162A" w14:paraId="69F57392" w14:textId="66B68B08" w:rsidTr="00F675CF">
        <w:trPr>
          <w:gridAfter w:val="1"/>
          <w:wAfter w:w="12" w:type="dxa"/>
          <w:cantSplit/>
          <w:jc w:val="center"/>
          <w:del w:id="7188" w:author="AbbVie2" w:date="2025-05-13T16:39:00Z"/>
        </w:trPr>
        <w:tc>
          <w:tcPr>
            <w:tcW w:w="1724" w:type="dxa"/>
            <w:gridSpan w:val="2"/>
          </w:tcPr>
          <w:p w14:paraId="4107B5C8" w14:textId="74189E65" w:rsidR="004462A0" w:rsidRPr="008912CF" w:rsidRDefault="00615769">
            <w:pPr>
              <w:rPr>
                <w:del w:id="7189" w:author="AbbVie2" w:date="2025-05-13T16:39:00Z"/>
              </w:rPr>
              <w:pPrChange w:id="7190" w:author="AbbVie2" w:date="2025-05-13T16:40:00Z">
                <w:pPr>
                  <w:keepNext/>
                </w:pPr>
              </w:pPrChange>
            </w:pPr>
            <w:del w:id="7191" w:author="AbbVie2" w:date="2025-05-13T16:39:00Z">
              <w:r w:rsidRPr="008912CF">
                <w:rPr>
                  <w:sz w:val="22"/>
                  <w:szCs w:val="22"/>
                </w:rPr>
                <w:delText xml:space="preserve">     Semana 104</w:delText>
              </w:r>
            </w:del>
          </w:p>
        </w:tc>
        <w:tc>
          <w:tcPr>
            <w:tcW w:w="1320" w:type="dxa"/>
          </w:tcPr>
          <w:p w14:paraId="5FD59D29" w14:textId="6FF2CB2A" w:rsidR="004462A0" w:rsidRPr="008912CF" w:rsidRDefault="00615769">
            <w:pPr>
              <w:rPr>
                <w:del w:id="7192" w:author="AbbVie2" w:date="2025-05-13T16:39:00Z"/>
              </w:rPr>
              <w:pPrChange w:id="7193" w:author="AbbVie2" w:date="2025-05-13T16:40:00Z">
                <w:pPr>
                  <w:keepNext/>
                  <w:jc w:val="center"/>
                </w:pPr>
              </w:pPrChange>
            </w:pPr>
            <w:del w:id="7194" w:author="AbbVie2" w:date="2025-05-13T16:39:00Z">
              <w:r w:rsidRPr="008912CF">
                <w:rPr>
                  <w:sz w:val="22"/>
                  <w:szCs w:val="22"/>
                </w:rPr>
                <w:delText>42,8</w:delText>
              </w:r>
              <w:r w:rsidR="009343EF">
                <w:rPr>
                  <w:sz w:val="22"/>
                  <w:szCs w:val="22"/>
                </w:rPr>
                <w:delText>%</w:delText>
              </w:r>
            </w:del>
          </w:p>
        </w:tc>
        <w:tc>
          <w:tcPr>
            <w:tcW w:w="1238" w:type="dxa"/>
          </w:tcPr>
          <w:p w14:paraId="20FB1021" w14:textId="7B9D73DF" w:rsidR="004462A0" w:rsidRPr="008912CF" w:rsidRDefault="00615769">
            <w:pPr>
              <w:rPr>
                <w:del w:id="7195" w:author="AbbVie2" w:date="2025-05-13T16:39:00Z"/>
              </w:rPr>
              <w:pPrChange w:id="7196" w:author="AbbVie2" w:date="2025-05-13T16:40:00Z">
                <w:pPr>
                  <w:keepNext/>
                  <w:jc w:val="center"/>
                </w:pPr>
              </w:pPrChange>
            </w:pPr>
            <w:del w:id="7197" w:author="AbbVie2" w:date="2025-05-13T16:39:00Z">
              <w:r w:rsidRPr="008912CF">
                <w:rPr>
                  <w:sz w:val="22"/>
                  <w:szCs w:val="22"/>
                </w:rPr>
                <w:delText>36,9</w:delText>
              </w:r>
              <w:r w:rsidR="009343EF">
                <w:rPr>
                  <w:sz w:val="22"/>
                  <w:szCs w:val="22"/>
                </w:rPr>
                <w:delText>%</w:delText>
              </w:r>
            </w:del>
          </w:p>
        </w:tc>
        <w:tc>
          <w:tcPr>
            <w:tcW w:w="1658" w:type="dxa"/>
          </w:tcPr>
          <w:p w14:paraId="5AA67A7C" w14:textId="5623F4F4" w:rsidR="004462A0" w:rsidRPr="008912CF" w:rsidRDefault="00615769">
            <w:pPr>
              <w:rPr>
                <w:del w:id="7198" w:author="AbbVie2" w:date="2025-05-13T16:39:00Z"/>
              </w:rPr>
              <w:pPrChange w:id="7199" w:author="AbbVie2" w:date="2025-05-13T16:40:00Z">
                <w:pPr>
                  <w:keepNext/>
                  <w:jc w:val="center"/>
                </w:pPr>
              </w:pPrChange>
            </w:pPr>
            <w:del w:id="7200" w:author="AbbVie2" w:date="2025-05-13T16:39:00Z">
              <w:r w:rsidRPr="008912CF">
                <w:rPr>
                  <w:sz w:val="22"/>
                  <w:szCs w:val="22"/>
                </w:rPr>
                <w:delText>59,0</w:delText>
              </w:r>
              <w:r w:rsidR="009343EF">
                <w:rPr>
                  <w:sz w:val="22"/>
                  <w:szCs w:val="22"/>
                </w:rPr>
                <w:delText>%</w:delText>
              </w:r>
            </w:del>
          </w:p>
        </w:tc>
        <w:tc>
          <w:tcPr>
            <w:tcW w:w="1100" w:type="dxa"/>
          </w:tcPr>
          <w:p w14:paraId="3FB5BF3D" w14:textId="0E243437" w:rsidR="004462A0" w:rsidRPr="008912CF" w:rsidRDefault="00615769">
            <w:pPr>
              <w:rPr>
                <w:del w:id="7201" w:author="AbbVie2" w:date="2025-05-13T16:39:00Z"/>
              </w:rPr>
              <w:pPrChange w:id="7202" w:author="AbbVie2" w:date="2025-05-13T16:40:00Z">
                <w:pPr>
                  <w:keepNext/>
                  <w:jc w:val="center"/>
                </w:pPr>
              </w:pPrChange>
            </w:pPr>
            <w:del w:id="7203" w:author="AbbVie2" w:date="2025-05-13T16:39:00Z">
              <w:r w:rsidRPr="008912CF">
                <w:rPr>
                  <w:sz w:val="22"/>
                  <w:szCs w:val="22"/>
                </w:rPr>
                <w:delText>&lt; 0,001</w:delText>
              </w:r>
            </w:del>
          </w:p>
        </w:tc>
        <w:tc>
          <w:tcPr>
            <w:tcW w:w="1173" w:type="dxa"/>
          </w:tcPr>
          <w:p w14:paraId="3A7658FC" w14:textId="31EE5189" w:rsidR="004462A0" w:rsidRPr="008912CF" w:rsidRDefault="00615769">
            <w:pPr>
              <w:rPr>
                <w:del w:id="7204" w:author="AbbVie2" w:date="2025-05-13T16:39:00Z"/>
              </w:rPr>
              <w:pPrChange w:id="7205" w:author="AbbVie2" w:date="2025-05-13T16:40:00Z">
                <w:pPr>
                  <w:keepNext/>
                  <w:jc w:val="center"/>
                </w:pPr>
              </w:pPrChange>
            </w:pPr>
            <w:del w:id="7206" w:author="AbbVie2" w:date="2025-05-13T16:39:00Z">
              <w:r w:rsidRPr="008912CF">
                <w:rPr>
                  <w:sz w:val="22"/>
                  <w:szCs w:val="22"/>
                </w:rPr>
                <w:delText>&lt; 0,001</w:delText>
              </w:r>
            </w:del>
          </w:p>
        </w:tc>
        <w:tc>
          <w:tcPr>
            <w:tcW w:w="1210" w:type="dxa"/>
          </w:tcPr>
          <w:p w14:paraId="69407C82" w14:textId="7C1FB02C" w:rsidR="004462A0" w:rsidRPr="008912CF" w:rsidRDefault="00615769">
            <w:pPr>
              <w:rPr>
                <w:del w:id="7207" w:author="AbbVie2" w:date="2025-05-13T16:39:00Z"/>
              </w:rPr>
              <w:pPrChange w:id="7208" w:author="AbbVie2" w:date="2025-05-13T16:40:00Z">
                <w:pPr>
                  <w:keepNext/>
                  <w:jc w:val="center"/>
                </w:pPr>
              </w:pPrChange>
            </w:pPr>
            <w:del w:id="7209" w:author="AbbVie2" w:date="2025-05-13T16:39:00Z">
              <w:r w:rsidRPr="008912CF">
                <w:rPr>
                  <w:sz w:val="22"/>
                  <w:szCs w:val="22"/>
                </w:rPr>
                <w:delText>0,162</w:delText>
              </w:r>
            </w:del>
          </w:p>
        </w:tc>
      </w:tr>
      <w:tr w:rsidR="00A7162A" w14:paraId="6ACDE02D" w14:textId="4F2893FA" w:rsidTr="00F675CF">
        <w:trPr>
          <w:gridAfter w:val="1"/>
          <w:wAfter w:w="12" w:type="dxa"/>
          <w:cantSplit/>
          <w:jc w:val="center"/>
          <w:del w:id="7210" w:author="AbbVie2" w:date="2025-05-13T16:39:00Z"/>
        </w:trPr>
        <w:tc>
          <w:tcPr>
            <w:tcW w:w="1724" w:type="dxa"/>
            <w:gridSpan w:val="2"/>
          </w:tcPr>
          <w:p w14:paraId="085F9AE8" w14:textId="27F78247" w:rsidR="004462A0" w:rsidRPr="008912CF" w:rsidRDefault="00615769">
            <w:pPr>
              <w:rPr>
                <w:del w:id="7211" w:author="AbbVie2" w:date="2025-05-13T16:39:00Z"/>
              </w:rPr>
              <w:pPrChange w:id="7212" w:author="AbbVie2" w:date="2025-05-13T16:40:00Z">
                <w:pPr>
                  <w:keepNext/>
                </w:pPr>
              </w:pPrChange>
            </w:pPr>
            <w:del w:id="7213" w:author="AbbVie2" w:date="2025-05-13T16:39:00Z">
              <w:r w:rsidRPr="008912CF">
                <w:rPr>
                  <w:sz w:val="22"/>
                  <w:szCs w:val="22"/>
                </w:rPr>
                <w:delText>ACR 70</w:delText>
              </w:r>
            </w:del>
          </w:p>
        </w:tc>
        <w:tc>
          <w:tcPr>
            <w:tcW w:w="1320" w:type="dxa"/>
          </w:tcPr>
          <w:p w14:paraId="56C67B37" w14:textId="5D4DB622" w:rsidR="004462A0" w:rsidRPr="008912CF" w:rsidRDefault="004462A0">
            <w:pPr>
              <w:rPr>
                <w:del w:id="7214" w:author="AbbVie2" w:date="2025-05-13T16:39:00Z"/>
              </w:rPr>
              <w:pPrChange w:id="7215" w:author="AbbVie2" w:date="2025-05-13T16:40:00Z">
                <w:pPr>
                  <w:keepNext/>
                  <w:jc w:val="center"/>
                </w:pPr>
              </w:pPrChange>
            </w:pPr>
          </w:p>
        </w:tc>
        <w:tc>
          <w:tcPr>
            <w:tcW w:w="1238" w:type="dxa"/>
          </w:tcPr>
          <w:p w14:paraId="1771CB05" w14:textId="0951161D" w:rsidR="004462A0" w:rsidRPr="008912CF" w:rsidRDefault="004462A0">
            <w:pPr>
              <w:rPr>
                <w:del w:id="7216" w:author="AbbVie2" w:date="2025-05-13T16:39:00Z"/>
              </w:rPr>
              <w:pPrChange w:id="7217" w:author="AbbVie2" w:date="2025-05-13T16:40:00Z">
                <w:pPr>
                  <w:keepNext/>
                  <w:jc w:val="center"/>
                </w:pPr>
              </w:pPrChange>
            </w:pPr>
          </w:p>
        </w:tc>
        <w:tc>
          <w:tcPr>
            <w:tcW w:w="1658" w:type="dxa"/>
          </w:tcPr>
          <w:p w14:paraId="038630B9" w14:textId="06CA0F42" w:rsidR="004462A0" w:rsidRPr="008912CF" w:rsidRDefault="004462A0">
            <w:pPr>
              <w:rPr>
                <w:del w:id="7218" w:author="AbbVie2" w:date="2025-05-13T16:39:00Z"/>
              </w:rPr>
              <w:pPrChange w:id="7219" w:author="AbbVie2" w:date="2025-05-13T16:40:00Z">
                <w:pPr>
                  <w:keepNext/>
                  <w:jc w:val="center"/>
                </w:pPr>
              </w:pPrChange>
            </w:pPr>
          </w:p>
        </w:tc>
        <w:tc>
          <w:tcPr>
            <w:tcW w:w="1100" w:type="dxa"/>
          </w:tcPr>
          <w:p w14:paraId="4E07DBA2" w14:textId="10B81DB6" w:rsidR="004462A0" w:rsidRPr="008912CF" w:rsidRDefault="004462A0">
            <w:pPr>
              <w:rPr>
                <w:del w:id="7220" w:author="AbbVie2" w:date="2025-05-13T16:39:00Z"/>
              </w:rPr>
              <w:pPrChange w:id="7221" w:author="AbbVie2" w:date="2025-05-13T16:40:00Z">
                <w:pPr>
                  <w:keepNext/>
                  <w:jc w:val="center"/>
                </w:pPr>
              </w:pPrChange>
            </w:pPr>
          </w:p>
        </w:tc>
        <w:tc>
          <w:tcPr>
            <w:tcW w:w="1173" w:type="dxa"/>
          </w:tcPr>
          <w:p w14:paraId="1E81B90F" w14:textId="02589494" w:rsidR="004462A0" w:rsidRPr="008912CF" w:rsidRDefault="004462A0">
            <w:pPr>
              <w:rPr>
                <w:del w:id="7222" w:author="AbbVie2" w:date="2025-05-13T16:39:00Z"/>
              </w:rPr>
              <w:pPrChange w:id="7223" w:author="AbbVie2" w:date="2025-05-13T16:40:00Z">
                <w:pPr>
                  <w:keepNext/>
                  <w:jc w:val="center"/>
                </w:pPr>
              </w:pPrChange>
            </w:pPr>
          </w:p>
        </w:tc>
        <w:tc>
          <w:tcPr>
            <w:tcW w:w="1210" w:type="dxa"/>
          </w:tcPr>
          <w:p w14:paraId="71A53ACE" w14:textId="1B48B3DB" w:rsidR="004462A0" w:rsidRPr="008912CF" w:rsidRDefault="004462A0">
            <w:pPr>
              <w:rPr>
                <w:del w:id="7224" w:author="AbbVie2" w:date="2025-05-13T16:39:00Z"/>
              </w:rPr>
              <w:pPrChange w:id="7225" w:author="AbbVie2" w:date="2025-05-13T16:40:00Z">
                <w:pPr>
                  <w:keepNext/>
                  <w:jc w:val="center"/>
                </w:pPr>
              </w:pPrChange>
            </w:pPr>
          </w:p>
        </w:tc>
      </w:tr>
      <w:tr w:rsidR="00A7162A" w14:paraId="4F5E301C" w14:textId="61C49356" w:rsidTr="00F675CF">
        <w:trPr>
          <w:gridAfter w:val="1"/>
          <w:wAfter w:w="12" w:type="dxa"/>
          <w:cantSplit/>
          <w:trHeight w:val="70"/>
          <w:jc w:val="center"/>
          <w:del w:id="7226" w:author="AbbVie2" w:date="2025-05-13T16:39:00Z"/>
        </w:trPr>
        <w:tc>
          <w:tcPr>
            <w:tcW w:w="1724" w:type="dxa"/>
            <w:gridSpan w:val="2"/>
          </w:tcPr>
          <w:p w14:paraId="771E1B8D" w14:textId="405E75A6" w:rsidR="004462A0" w:rsidRPr="008912CF" w:rsidRDefault="00615769">
            <w:pPr>
              <w:rPr>
                <w:del w:id="7227" w:author="AbbVie2" w:date="2025-05-13T16:39:00Z"/>
              </w:rPr>
              <w:pPrChange w:id="7228" w:author="AbbVie2" w:date="2025-05-13T16:40:00Z">
                <w:pPr>
                  <w:keepNext/>
                </w:pPr>
              </w:pPrChange>
            </w:pPr>
            <w:del w:id="7229" w:author="AbbVie2" w:date="2025-05-13T16:39:00Z">
              <w:r w:rsidRPr="008912CF">
                <w:rPr>
                  <w:sz w:val="22"/>
                  <w:szCs w:val="22"/>
                </w:rPr>
                <w:delText xml:space="preserve">     Semana 52</w:delText>
              </w:r>
            </w:del>
          </w:p>
        </w:tc>
        <w:tc>
          <w:tcPr>
            <w:tcW w:w="1320" w:type="dxa"/>
          </w:tcPr>
          <w:p w14:paraId="5913DE24" w14:textId="51142FB4" w:rsidR="004462A0" w:rsidRPr="008912CF" w:rsidRDefault="00615769">
            <w:pPr>
              <w:rPr>
                <w:del w:id="7230" w:author="AbbVie2" w:date="2025-05-13T16:39:00Z"/>
              </w:rPr>
              <w:pPrChange w:id="7231" w:author="AbbVie2" w:date="2025-05-13T16:40:00Z">
                <w:pPr>
                  <w:keepNext/>
                  <w:jc w:val="center"/>
                </w:pPr>
              </w:pPrChange>
            </w:pPr>
            <w:del w:id="7232" w:author="AbbVie2" w:date="2025-05-13T16:39:00Z">
              <w:r w:rsidRPr="008912CF">
                <w:rPr>
                  <w:sz w:val="22"/>
                  <w:szCs w:val="22"/>
                </w:rPr>
                <w:delText>27,2</w:delText>
              </w:r>
              <w:r w:rsidR="009343EF">
                <w:rPr>
                  <w:sz w:val="22"/>
                  <w:szCs w:val="22"/>
                </w:rPr>
                <w:delText>%</w:delText>
              </w:r>
            </w:del>
          </w:p>
        </w:tc>
        <w:tc>
          <w:tcPr>
            <w:tcW w:w="1238" w:type="dxa"/>
          </w:tcPr>
          <w:p w14:paraId="6A3DF6E6" w14:textId="0B87F07C" w:rsidR="004462A0" w:rsidRPr="008912CF" w:rsidRDefault="00615769">
            <w:pPr>
              <w:rPr>
                <w:del w:id="7233" w:author="AbbVie2" w:date="2025-05-13T16:39:00Z"/>
              </w:rPr>
              <w:pPrChange w:id="7234" w:author="AbbVie2" w:date="2025-05-13T16:40:00Z">
                <w:pPr>
                  <w:keepNext/>
                  <w:jc w:val="center"/>
                </w:pPr>
              </w:pPrChange>
            </w:pPr>
            <w:del w:id="7235" w:author="AbbVie2" w:date="2025-05-13T16:39:00Z">
              <w:r w:rsidRPr="008912CF">
                <w:rPr>
                  <w:sz w:val="22"/>
                  <w:szCs w:val="22"/>
                </w:rPr>
                <w:delText>25,9</w:delText>
              </w:r>
              <w:r w:rsidR="009343EF">
                <w:rPr>
                  <w:sz w:val="22"/>
                  <w:szCs w:val="22"/>
                </w:rPr>
                <w:delText>%</w:delText>
              </w:r>
            </w:del>
          </w:p>
        </w:tc>
        <w:tc>
          <w:tcPr>
            <w:tcW w:w="1658" w:type="dxa"/>
          </w:tcPr>
          <w:p w14:paraId="6635BE01" w14:textId="2AA36CE2" w:rsidR="004462A0" w:rsidRPr="008912CF" w:rsidRDefault="00615769">
            <w:pPr>
              <w:rPr>
                <w:del w:id="7236" w:author="AbbVie2" w:date="2025-05-13T16:39:00Z"/>
              </w:rPr>
              <w:pPrChange w:id="7237" w:author="AbbVie2" w:date="2025-05-13T16:40:00Z">
                <w:pPr>
                  <w:keepNext/>
                  <w:jc w:val="center"/>
                </w:pPr>
              </w:pPrChange>
            </w:pPr>
            <w:del w:id="7238" w:author="AbbVie2" w:date="2025-05-13T16:39:00Z">
              <w:r w:rsidRPr="008912CF">
                <w:rPr>
                  <w:sz w:val="22"/>
                  <w:szCs w:val="22"/>
                </w:rPr>
                <w:delText>45,5</w:delText>
              </w:r>
              <w:r w:rsidR="009343EF">
                <w:rPr>
                  <w:sz w:val="22"/>
                  <w:szCs w:val="22"/>
                </w:rPr>
                <w:delText>%</w:delText>
              </w:r>
            </w:del>
          </w:p>
        </w:tc>
        <w:tc>
          <w:tcPr>
            <w:tcW w:w="1100" w:type="dxa"/>
          </w:tcPr>
          <w:p w14:paraId="36C70E25" w14:textId="1A9F4CEE" w:rsidR="004462A0" w:rsidRPr="008912CF" w:rsidRDefault="00615769">
            <w:pPr>
              <w:rPr>
                <w:del w:id="7239" w:author="AbbVie2" w:date="2025-05-13T16:39:00Z"/>
              </w:rPr>
              <w:pPrChange w:id="7240" w:author="AbbVie2" w:date="2025-05-13T16:40:00Z">
                <w:pPr>
                  <w:keepNext/>
                  <w:jc w:val="center"/>
                </w:pPr>
              </w:pPrChange>
            </w:pPr>
            <w:del w:id="7241" w:author="AbbVie2" w:date="2025-05-13T16:39:00Z">
              <w:r w:rsidRPr="008912CF">
                <w:rPr>
                  <w:sz w:val="22"/>
                  <w:szCs w:val="22"/>
                </w:rPr>
                <w:delText>&lt; 0,001</w:delText>
              </w:r>
            </w:del>
          </w:p>
        </w:tc>
        <w:tc>
          <w:tcPr>
            <w:tcW w:w="1173" w:type="dxa"/>
          </w:tcPr>
          <w:p w14:paraId="0D767CDB" w14:textId="6234C189" w:rsidR="004462A0" w:rsidRPr="008912CF" w:rsidRDefault="00615769">
            <w:pPr>
              <w:rPr>
                <w:del w:id="7242" w:author="AbbVie2" w:date="2025-05-13T16:39:00Z"/>
              </w:rPr>
              <w:pPrChange w:id="7243" w:author="AbbVie2" w:date="2025-05-13T16:40:00Z">
                <w:pPr>
                  <w:keepNext/>
                  <w:jc w:val="center"/>
                </w:pPr>
              </w:pPrChange>
            </w:pPr>
            <w:del w:id="7244" w:author="AbbVie2" w:date="2025-05-13T16:39:00Z">
              <w:r w:rsidRPr="008912CF">
                <w:rPr>
                  <w:sz w:val="22"/>
                  <w:szCs w:val="22"/>
                </w:rPr>
                <w:delText>&lt; 0,001</w:delText>
              </w:r>
            </w:del>
          </w:p>
        </w:tc>
        <w:tc>
          <w:tcPr>
            <w:tcW w:w="1210" w:type="dxa"/>
          </w:tcPr>
          <w:p w14:paraId="15A0A81D" w14:textId="7A3F1990" w:rsidR="004462A0" w:rsidRPr="008912CF" w:rsidRDefault="00615769">
            <w:pPr>
              <w:rPr>
                <w:del w:id="7245" w:author="AbbVie2" w:date="2025-05-13T16:39:00Z"/>
              </w:rPr>
              <w:pPrChange w:id="7246" w:author="AbbVie2" w:date="2025-05-13T16:40:00Z">
                <w:pPr>
                  <w:keepNext/>
                  <w:jc w:val="center"/>
                </w:pPr>
              </w:pPrChange>
            </w:pPr>
            <w:del w:id="7247" w:author="AbbVie2" w:date="2025-05-13T16:39:00Z">
              <w:r w:rsidRPr="008912CF">
                <w:rPr>
                  <w:sz w:val="22"/>
                  <w:szCs w:val="22"/>
                </w:rPr>
                <w:delText>0,656</w:delText>
              </w:r>
            </w:del>
          </w:p>
        </w:tc>
      </w:tr>
      <w:tr w:rsidR="00A7162A" w14:paraId="3B378093" w14:textId="6F8EDEA6" w:rsidTr="00F675CF">
        <w:trPr>
          <w:gridAfter w:val="1"/>
          <w:wAfter w:w="12" w:type="dxa"/>
          <w:cantSplit/>
          <w:jc w:val="center"/>
          <w:del w:id="7248" w:author="AbbVie2" w:date="2025-05-13T16:39:00Z"/>
        </w:trPr>
        <w:tc>
          <w:tcPr>
            <w:tcW w:w="1724" w:type="dxa"/>
            <w:gridSpan w:val="2"/>
          </w:tcPr>
          <w:p w14:paraId="6B687843" w14:textId="567889BF" w:rsidR="004462A0" w:rsidRPr="008912CF" w:rsidRDefault="00615769">
            <w:pPr>
              <w:rPr>
                <w:del w:id="7249" w:author="AbbVie2" w:date="2025-05-13T16:39:00Z"/>
              </w:rPr>
              <w:pPrChange w:id="7250" w:author="AbbVie2" w:date="2025-05-13T16:40:00Z">
                <w:pPr>
                  <w:keepNext/>
                </w:pPr>
              </w:pPrChange>
            </w:pPr>
            <w:del w:id="7251" w:author="AbbVie2" w:date="2025-05-13T16:39:00Z">
              <w:r w:rsidRPr="008912CF">
                <w:rPr>
                  <w:sz w:val="22"/>
                  <w:szCs w:val="22"/>
                </w:rPr>
                <w:delText xml:space="preserve">     Semana 104</w:delText>
              </w:r>
            </w:del>
          </w:p>
        </w:tc>
        <w:tc>
          <w:tcPr>
            <w:tcW w:w="1320" w:type="dxa"/>
          </w:tcPr>
          <w:p w14:paraId="21DA973B" w14:textId="59054F45" w:rsidR="004462A0" w:rsidRPr="008912CF" w:rsidRDefault="00615769">
            <w:pPr>
              <w:rPr>
                <w:del w:id="7252" w:author="AbbVie2" w:date="2025-05-13T16:39:00Z"/>
              </w:rPr>
              <w:pPrChange w:id="7253" w:author="AbbVie2" w:date="2025-05-13T16:40:00Z">
                <w:pPr>
                  <w:keepNext/>
                  <w:jc w:val="center"/>
                </w:pPr>
              </w:pPrChange>
            </w:pPr>
            <w:del w:id="7254" w:author="AbbVie2" w:date="2025-05-13T16:39:00Z">
              <w:r w:rsidRPr="008912CF">
                <w:rPr>
                  <w:sz w:val="22"/>
                  <w:szCs w:val="22"/>
                </w:rPr>
                <w:delText>28,4</w:delText>
              </w:r>
              <w:r w:rsidR="009343EF">
                <w:rPr>
                  <w:sz w:val="22"/>
                  <w:szCs w:val="22"/>
                </w:rPr>
                <w:delText>%</w:delText>
              </w:r>
            </w:del>
          </w:p>
        </w:tc>
        <w:tc>
          <w:tcPr>
            <w:tcW w:w="1238" w:type="dxa"/>
          </w:tcPr>
          <w:p w14:paraId="59E873B2" w14:textId="644AB934" w:rsidR="004462A0" w:rsidRPr="008912CF" w:rsidRDefault="00615769">
            <w:pPr>
              <w:rPr>
                <w:del w:id="7255" w:author="AbbVie2" w:date="2025-05-13T16:39:00Z"/>
              </w:rPr>
              <w:pPrChange w:id="7256" w:author="AbbVie2" w:date="2025-05-13T16:40:00Z">
                <w:pPr>
                  <w:keepNext/>
                  <w:jc w:val="center"/>
                </w:pPr>
              </w:pPrChange>
            </w:pPr>
            <w:del w:id="7257" w:author="AbbVie2" w:date="2025-05-13T16:39:00Z">
              <w:r w:rsidRPr="008912CF">
                <w:rPr>
                  <w:sz w:val="22"/>
                  <w:szCs w:val="22"/>
                </w:rPr>
                <w:delText>28,1</w:delText>
              </w:r>
              <w:r w:rsidR="009343EF">
                <w:rPr>
                  <w:sz w:val="22"/>
                  <w:szCs w:val="22"/>
                </w:rPr>
                <w:delText>%</w:delText>
              </w:r>
            </w:del>
          </w:p>
        </w:tc>
        <w:tc>
          <w:tcPr>
            <w:tcW w:w="1658" w:type="dxa"/>
          </w:tcPr>
          <w:p w14:paraId="45AB5585" w14:textId="2BAF3286" w:rsidR="004462A0" w:rsidRPr="008912CF" w:rsidRDefault="00615769">
            <w:pPr>
              <w:rPr>
                <w:del w:id="7258" w:author="AbbVie2" w:date="2025-05-13T16:39:00Z"/>
              </w:rPr>
              <w:pPrChange w:id="7259" w:author="AbbVie2" w:date="2025-05-13T16:40:00Z">
                <w:pPr>
                  <w:keepNext/>
                  <w:jc w:val="center"/>
                </w:pPr>
              </w:pPrChange>
            </w:pPr>
            <w:del w:id="7260" w:author="AbbVie2" w:date="2025-05-13T16:39:00Z">
              <w:r w:rsidRPr="008912CF">
                <w:rPr>
                  <w:sz w:val="22"/>
                  <w:szCs w:val="22"/>
                </w:rPr>
                <w:delText>46,6</w:delText>
              </w:r>
              <w:r w:rsidR="009343EF">
                <w:rPr>
                  <w:sz w:val="22"/>
                  <w:szCs w:val="22"/>
                </w:rPr>
                <w:delText>%</w:delText>
              </w:r>
            </w:del>
          </w:p>
        </w:tc>
        <w:tc>
          <w:tcPr>
            <w:tcW w:w="1100" w:type="dxa"/>
          </w:tcPr>
          <w:p w14:paraId="58FCB1B2" w14:textId="4C0036B2" w:rsidR="004462A0" w:rsidRPr="008912CF" w:rsidRDefault="00615769">
            <w:pPr>
              <w:rPr>
                <w:del w:id="7261" w:author="AbbVie2" w:date="2025-05-13T16:39:00Z"/>
              </w:rPr>
              <w:pPrChange w:id="7262" w:author="AbbVie2" w:date="2025-05-13T16:40:00Z">
                <w:pPr>
                  <w:keepNext/>
                  <w:jc w:val="center"/>
                </w:pPr>
              </w:pPrChange>
            </w:pPr>
            <w:del w:id="7263" w:author="AbbVie2" w:date="2025-05-13T16:39:00Z">
              <w:r w:rsidRPr="008912CF">
                <w:rPr>
                  <w:sz w:val="22"/>
                  <w:szCs w:val="22"/>
                </w:rPr>
                <w:delText>&lt; 0,001</w:delText>
              </w:r>
            </w:del>
          </w:p>
        </w:tc>
        <w:tc>
          <w:tcPr>
            <w:tcW w:w="1173" w:type="dxa"/>
          </w:tcPr>
          <w:p w14:paraId="7139E675" w14:textId="73E9C039" w:rsidR="004462A0" w:rsidRPr="008912CF" w:rsidRDefault="00615769">
            <w:pPr>
              <w:rPr>
                <w:del w:id="7264" w:author="AbbVie2" w:date="2025-05-13T16:39:00Z"/>
              </w:rPr>
              <w:pPrChange w:id="7265" w:author="AbbVie2" w:date="2025-05-13T16:40:00Z">
                <w:pPr>
                  <w:keepNext/>
                  <w:jc w:val="center"/>
                </w:pPr>
              </w:pPrChange>
            </w:pPr>
            <w:del w:id="7266" w:author="AbbVie2" w:date="2025-05-13T16:39:00Z">
              <w:r w:rsidRPr="008912CF">
                <w:rPr>
                  <w:sz w:val="22"/>
                  <w:szCs w:val="22"/>
                </w:rPr>
                <w:delText>&lt; 0,001</w:delText>
              </w:r>
            </w:del>
          </w:p>
        </w:tc>
        <w:tc>
          <w:tcPr>
            <w:tcW w:w="1210" w:type="dxa"/>
          </w:tcPr>
          <w:p w14:paraId="554B0CD1" w14:textId="7822F145" w:rsidR="004462A0" w:rsidRPr="008912CF" w:rsidRDefault="00615769">
            <w:pPr>
              <w:rPr>
                <w:del w:id="7267" w:author="AbbVie2" w:date="2025-05-13T16:39:00Z"/>
              </w:rPr>
              <w:pPrChange w:id="7268" w:author="AbbVie2" w:date="2025-05-13T16:40:00Z">
                <w:pPr>
                  <w:keepNext/>
                  <w:jc w:val="center"/>
                </w:pPr>
              </w:pPrChange>
            </w:pPr>
            <w:del w:id="7269" w:author="AbbVie2" w:date="2025-05-13T16:39:00Z">
              <w:r w:rsidRPr="008912CF">
                <w:rPr>
                  <w:sz w:val="22"/>
                  <w:szCs w:val="22"/>
                </w:rPr>
                <w:delText>0,864</w:delText>
              </w:r>
            </w:del>
          </w:p>
        </w:tc>
      </w:tr>
      <w:tr w:rsidR="00A7162A" w14:paraId="0E793E4B" w14:textId="28B58812" w:rsidTr="00F675CF">
        <w:trPr>
          <w:gridBefore w:val="1"/>
          <w:wBefore w:w="6" w:type="dxa"/>
          <w:cantSplit/>
          <w:jc w:val="center"/>
          <w:del w:id="7270" w:author="AbbVie2" w:date="2025-05-13T16:39:00Z"/>
        </w:trPr>
        <w:tc>
          <w:tcPr>
            <w:tcW w:w="9429" w:type="dxa"/>
            <w:gridSpan w:val="8"/>
          </w:tcPr>
          <w:p w14:paraId="5B4C484A" w14:textId="521BBF3F" w:rsidR="004462A0" w:rsidRPr="008912CF" w:rsidRDefault="00615769">
            <w:pPr>
              <w:rPr>
                <w:del w:id="7271" w:author="AbbVie2" w:date="2025-05-13T16:39:00Z"/>
              </w:rPr>
              <w:pPrChange w:id="7272" w:author="AbbVie2" w:date="2025-05-13T16:40:00Z">
                <w:pPr>
                  <w:keepNext/>
                  <w:tabs>
                    <w:tab w:val="left" w:pos="330"/>
                    <w:tab w:val="left" w:pos="10728"/>
                  </w:tabs>
                  <w:ind w:left="360" w:hanging="360"/>
                </w:pPr>
              </w:pPrChange>
            </w:pPr>
            <w:del w:id="7273" w:author="AbbVie2" w:date="2025-05-13T16:39:00Z">
              <w:r w:rsidRPr="008912CF">
                <w:rPr>
                  <w:sz w:val="22"/>
                  <w:szCs w:val="22"/>
                  <w:vertAlign w:val="superscript"/>
                </w:rPr>
                <w:delText>a</w:delText>
              </w:r>
              <w:r w:rsidRPr="008912CF">
                <w:rPr>
                  <w:sz w:val="22"/>
                  <w:szCs w:val="22"/>
                </w:rPr>
                <w:tab/>
              </w:r>
              <w:r w:rsidRPr="008912CF">
                <w:rPr>
                  <w:sz w:val="22"/>
                  <w:szCs w:val="22"/>
                </w:rPr>
                <w:delText>valores-p comparativos emparelhados de metotrexato em monoterapia e da associação terapêutica Humira/metotrexato usando o teste de Mann-Whitney U.</w:delText>
              </w:r>
            </w:del>
          </w:p>
          <w:p w14:paraId="187E2443" w14:textId="27CE87A3" w:rsidR="004462A0" w:rsidRPr="008912CF" w:rsidRDefault="00615769">
            <w:pPr>
              <w:rPr>
                <w:del w:id="7274" w:author="AbbVie2" w:date="2025-05-13T16:39:00Z"/>
                <w:szCs w:val="22"/>
              </w:rPr>
              <w:pPrChange w:id="7275" w:author="AbbVie2" w:date="2025-05-13T16:40:00Z">
                <w:pPr>
                  <w:pStyle w:val="BodyTextIndent"/>
                  <w:keepNext/>
                  <w:ind w:left="330" w:hanging="330"/>
                </w:pPr>
              </w:pPrChange>
            </w:pPr>
            <w:del w:id="7276" w:author="AbbVie2" w:date="2025-05-13T16:39:00Z">
              <w:r w:rsidRPr="008912CF">
                <w:rPr>
                  <w:szCs w:val="22"/>
                  <w:vertAlign w:val="superscript"/>
                </w:rPr>
                <w:delText>b</w:delText>
              </w:r>
              <w:r w:rsidRPr="008912CF">
                <w:rPr>
                  <w:szCs w:val="22"/>
                </w:rPr>
                <w:tab/>
                <w:delText xml:space="preserve">valores-p </w:delText>
              </w:r>
              <w:r w:rsidRPr="008912CF">
                <w:rPr>
                  <w:bCs/>
                  <w:szCs w:val="22"/>
                </w:rPr>
                <w:delText xml:space="preserve">comparativos emparelhados de Humira em </w:delText>
              </w:r>
              <w:r w:rsidRPr="008912CF">
                <w:rPr>
                  <w:szCs w:val="22"/>
                </w:rPr>
                <w:delText>monoterapia e da associação terapêutica Humira/metotrexato usando o teste de Mann-Whitney U.</w:delText>
              </w:r>
            </w:del>
          </w:p>
          <w:p w14:paraId="3A41EEF7" w14:textId="3A068F55" w:rsidR="004462A0" w:rsidRPr="008912CF" w:rsidRDefault="00615769">
            <w:pPr>
              <w:rPr>
                <w:del w:id="7277" w:author="AbbVie2" w:date="2025-05-13T16:39:00Z"/>
                <w:szCs w:val="22"/>
              </w:rPr>
              <w:pPrChange w:id="7278" w:author="AbbVie2" w:date="2025-05-13T16:40:00Z">
                <w:pPr>
                  <w:pStyle w:val="BodyTextIndent"/>
                  <w:keepNext/>
                  <w:ind w:left="330" w:hanging="330"/>
                </w:pPr>
              </w:pPrChange>
            </w:pPr>
            <w:del w:id="7279" w:author="AbbVie2" w:date="2025-05-13T16:39:00Z">
              <w:r w:rsidRPr="008912CF">
                <w:rPr>
                  <w:szCs w:val="22"/>
                  <w:vertAlign w:val="superscript"/>
                </w:rPr>
                <w:delText>c</w:delText>
              </w:r>
              <w:r w:rsidRPr="008912CF">
                <w:rPr>
                  <w:szCs w:val="22"/>
                </w:rPr>
                <w:delText xml:space="preserve">  </w:delText>
              </w:r>
              <w:r w:rsidR="003B2051">
                <w:rPr>
                  <w:szCs w:val="22"/>
                </w:rPr>
                <w:delText xml:space="preserve">   </w:delText>
              </w:r>
              <w:r w:rsidRPr="008912CF">
                <w:rPr>
                  <w:szCs w:val="22"/>
                </w:rPr>
                <w:delText xml:space="preserve">valores-p </w:delText>
              </w:r>
              <w:r w:rsidRPr="008912CF">
                <w:rPr>
                  <w:bCs/>
                  <w:szCs w:val="22"/>
                </w:rPr>
                <w:delText>comparativos emparelhados de Humira e metotrexato em monoterapia</w:delText>
              </w:r>
              <w:r w:rsidRPr="008912CF">
                <w:rPr>
                  <w:szCs w:val="22"/>
                </w:rPr>
                <w:delText xml:space="preserve"> usando o teste de Mann-Whitney U.</w:delText>
              </w:r>
            </w:del>
          </w:p>
        </w:tc>
      </w:tr>
    </w:tbl>
    <w:p w14:paraId="5C577E70" w14:textId="5731EC5C" w:rsidR="004462A0" w:rsidRDefault="004462A0" w:rsidP="00412FC8">
      <w:pPr>
        <w:rPr>
          <w:del w:id="7280" w:author="AbbVie2" w:date="2025-05-13T16:39:00Z"/>
          <w:sz w:val="22"/>
          <w:szCs w:val="22"/>
        </w:rPr>
      </w:pPr>
    </w:p>
    <w:p w14:paraId="239A7B8F" w14:textId="1162729B" w:rsidR="004462A0" w:rsidRPr="00CE5ECF" w:rsidRDefault="00615769" w:rsidP="00412FC8">
      <w:pPr>
        <w:rPr>
          <w:del w:id="7281" w:author="AbbVie2" w:date="2025-05-13T16:39:00Z"/>
          <w:sz w:val="22"/>
          <w:szCs w:val="22"/>
        </w:rPr>
      </w:pPr>
      <w:del w:id="7282" w:author="AbbVie2" w:date="2025-05-13T16:39:00Z">
        <w:r>
          <w:rPr>
            <w:sz w:val="22"/>
            <w:szCs w:val="22"/>
          </w:rPr>
          <w:delText xml:space="preserve">Na extensão de fase aberta do estudo AR V, as percentagens de resposta </w:delText>
        </w:r>
        <w:r w:rsidRPr="008912CF">
          <w:rPr>
            <w:sz w:val="22"/>
            <w:szCs w:val="22"/>
          </w:rPr>
          <w:delText xml:space="preserve">ACR </w:delText>
        </w:r>
        <w:r>
          <w:rPr>
            <w:sz w:val="22"/>
            <w:szCs w:val="22"/>
          </w:rPr>
          <w:delText>foram mantidas</w:delText>
        </w:r>
        <w:r w:rsidRPr="008912CF">
          <w:rPr>
            <w:sz w:val="22"/>
            <w:szCs w:val="22"/>
          </w:rPr>
          <w:delText xml:space="preserve"> quando acompanhados até 10 anos.</w:delText>
        </w:r>
        <w:r>
          <w:rPr>
            <w:sz w:val="22"/>
            <w:szCs w:val="22"/>
          </w:rPr>
          <w:delText xml:space="preserve"> </w:delText>
        </w:r>
        <w:r w:rsidRPr="008912CF">
          <w:rPr>
            <w:sz w:val="22"/>
            <w:szCs w:val="22"/>
          </w:rPr>
          <w:delText xml:space="preserve">Dos </w:delText>
        </w:r>
        <w:r>
          <w:rPr>
            <w:sz w:val="22"/>
            <w:szCs w:val="22"/>
          </w:rPr>
          <w:delText>542</w:delText>
        </w:r>
        <w:r w:rsidRPr="008912CF">
          <w:rPr>
            <w:sz w:val="22"/>
            <w:szCs w:val="22"/>
          </w:rPr>
          <w:delText xml:space="preserve"> doentes que foram </w:delText>
        </w:r>
        <w:r>
          <w:rPr>
            <w:sz w:val="22"/>
            <w:szCs w:val="22"/>
          </w:rPr>
          <w:delText xml:space="preserve">aleatorizados </w:delText>
        </w:r>
        <w:r w:rsidR="004D006C">
          <w:rPr>
            <w:sz w:val="22"/>
            <w:szCs w:val="22"/>
          </w:rPr>
          <w:delText>para</w:delText>
        </w:r>
        <w:r w:rsidR="004D006C" w:rsidRPr="008912CF">
          <w:rPr>
            <w:sz w:val="22"/>
            <w:szCs w:val="22"/>
          </w:rPr>
          <w:delText xml:space="preserve"> </w:delText>
        </w:r>
        <w:r w:rsidRPr="008912CF">
          <w:rPr>
            <w:sz w:val="22"/>
            <w:szCs w:val="22"/>
          </w:rPr>
          <w:delText>Humira 40 mg em semanas alternadas, 1</w:delText>
        </w:r>
        <w:r>
          <w:rPr>
            <w:sz w:val="22"/>
            <w:szCs w:val="22"/>
          </w:rPr>
          <w:delText>70</w:delText>
        </w:r>
        <w:r w:rsidRPr="008912CF">
          <w:rPr>
            <w:sz w:val="22"/>
            <w:szCs w:val="22"/>
          </w:rPr>
          <w:delText xml:space="preserve"> doentes continuaram com Humira 40</w:delText>
        </w:r>
        <w:r>
          <w:rPr>
            <w:sz w:val="22"/>
            <w:szCs w:val="22"/>
          </w:rPr>
          <w:delText> </w:delText>
        </w:r>
        <w:r w:rsidRPr="008912CF">
          <w:rPr>
            <w:sz w:val="22"/>
            <w:szCs w:val="22"/>
          </w:rPr>
          <w:delText xml:space="preserve">mg em semanas alternadas durante </w:delText>
        </w:r>
        <w:r>
          <w:rPr>
            <w:sz w:val="22"/>
            <w:szCs w:val="22"/>
          </w:rPr>
          <w:delText>10</w:delText>
        </w:r>
        <w:r w:rsidRPr="008912CF">
          <w:rPr>
            <w:sz w:val="22"/>
            <w:szCs w:val="22"/>
          </w:rPr>
          <w:delText xml:space="preserve"> anos. E</w:delText>
        </w:r>
        <w:r>
          <w:rPr>
            <w:sz w:val="22"/>
            <w:szCs w:val="22"/>
          </w:rPr>
          <w:delText>ntre estes</w:delText>
        </w:r>
        <w:r w:rsidRPr="008912CF">
          <w:rPr>
            <w:sz w:val="22"/>
            <w:szCs w:val="22"/>
          </w:rPr>
          <w:delText xml:space="preserve">, </w:delText>
        </w:r>
        <w:r>
          <w:rPr>
            <w:sz w:val="22"/>
            <w:szCs w:val="22"/>
          </w:rPr>
          <w:delText>154</w:delText>
        </w:r>
        <w:r w:rsidRPr="008912CF">
          <w:rPr>
            <w:sz w:val="22"/>
            <w:szCs w:val="22"/>
          </w:rPr>
          <w:delText xml:space="preserve"> doentes (</w:delText>
        </w:r>
        <w:r>
          <w:rPr>
            <w:sz w:val="22"/>
            <w:szCs w:val="22"/>
          </w:rPr>
          <w:delText>90,6</w:delText>
        </w:r>
        <w:r w:rsidR="009343EF">
          <w:rPr>
            <w:sz w:val="22"/>
            <w:szCs w:val="22"/>
          </w:rPr>
          <w:delText>%</w:delText>
        </w:r>
        <w:r w:rsidRPr="008912CF">
          <w:rPr>
            <w:sz w:val="22"/>
            <w:szCs w:val="22"/>
          </w:rPr>
          <w:delText xml:space="preserve">) </w:delText>
        </w:r>
        <w:r>
          <w:rPr>
            <w:sz w:val="22"/>
            <w:szCs w:val="22"/>
          </w:rPr>
          <w:delText xml:space="preserve">atingiram </w:delText>
        </w:r>
        <w:r w:rsidRPr="008912CF">
          <w:rPr>
            <w:sz w:val="22"/>
            <w:szCs w:val="22"/>
          </w:rPr>
          <w:delText>resposta</w:delText>
        </w:r>
        <w:r>
          <w:rPr>
            <w:sz w:val="22"/>
            <w:szCs w:val="22"/>
          </w:rPr>
          <w:delText>s</w:delText>
        </w:r>
        <w:r w:rsidRPr="008912CF">
          <w:rPr>
            <w:sz w:val="22"/>
            <w:szCs w:val="22"/>
          </w:rPr>
          <w:delText xml:space="preserve"> ACR 20; </w:delText>
        </w:r>
        <w:r>
          <w:rPr>
            <w:sz w:val="22"/>
            <w:szCs w:val="22"/>
          </w:rPr>
          <w:delText>127</w:delText>
        </w:r>
        <w:r w:rsidRPr="008912CF">
          <w:rPr>
            <w:sz w:val="22"/>
            <w:szCs w:val="22"/>
          </w:rPr>
          <w:delText xml:space="preserve"> doentes (</w:delText>
        </w:r>
        <w:r>
          <w:rPr>
            <w:sz w:val="22"/>
            <w:szCs w:val="22"/>
          </w:rPr>
          <w:delText>74</w:delText>
        </w:r>
        <w:r w:rsidRPr="008912CF">
          <w:rPr>
            <w:sz w:val="22"/>
            <w:szCs w:val="22"/>
          </w:rPr>
          <w:delText>,</w:delText>
        </w:r>
        <w:r>
          <w:rPr>
            <w:sz w:val="22"/>
            <w:szCs w:val="22"/>
          </w:rPr>
          <w:delText>7</w:delText>
        </w:r>
        <w:r w:rsidR="009343EF">
          <w:rPr>
            <w:sz w:val="22"/>
            <w:szCs w:val="22"/>
          </w:rPr>
          <w:delText>%</w:delText>
        </w:r>
        <w:r w:rsidRPr="008912CF">
          <w:rPr>
            <w:sz w:val="22"/>
            <w:szCs w:val="22"/>
          </w:rPr>
          <w:delText xml:space="preserve">) </w:delText>
        </w:r>
        <w:r>
          <w:rPr>
            <w:sz w:val="22"/>
            <w:szCs w:val="22"/>
          </w:rPr>
          <w:delText xml:space="preserve">atingiram  </w:delText>
        </w:r>
        <w:r w:rsidRPr="008912CF">
          <w:rPr>
            <w:sz w:val="22"/>
            <w:szCs w:val="22"/>
          </w:rPr>
          <w:delText>resposta</w:delText>
        </w:r>
        <w:r>
          <w:rPr>
            <w:sz w:val="22"/>
            <w:szCs w:val="22"/>
          </w:rPr>
          <w:delText>s</w:delText>
        </w:r>
        <w:r w:rsidRPr="008912CF">
          <w:rPr>
            <w:sz w:val="22"/>
            <w:szCs w:val="22"/>
          </w:rPr>
          <w:delText xml:space="preserve"> ACR 50; e </w:delText>
        </w:r>
        <w:r>
          <w:rPr>
            <w:sz w:val="22"/>
            <w:szCs w:val="22"/>
          </w:rPr>
          <w:delText>102</w:delText>
        </w:r>
        <w:r w:rsidRPr="008912CF">
          <w:rPr>
            <w:sz w:val="22"/>
            <w:szCs w:val="22"/>
          </w:rPr>
          <w:delText xml:space="preserve"> doentes (</w:delText>
        </w:r>
        <w:r>
          <w:rPr>
            <w:sz w:val="22"/>
            <w:szCs w:val="22"/>
          </w:rPr>
          <w:delText>60,0</w:delText>
        </w:r>
        <w:r w:rsidRPr="008912CF">
          <w:rPr>
            <w:sz w:val="22"/>
            <w:szCs w:val="22"/>
          </w:rPr>
          <w:delText xml:space="preserve">%) </w:delText>
        </w:r>
        <w:r>
          <w:rPr>
            <w:sz w:val="22"/>
            <w:szCs w:val="22"/>
          </w:rPr>
          <w:delText xml:space="preserve">atingiram </w:delText>
        </w:r>
        <w:r w:rsidRPr="008912CF">
          <w:rPr>
            <w:sz w:val="22"/>
            <w:szCs w:val="22"/>
          </w:rPr>
          <w:delText>resposta</w:delText>
        </w:r>
        <w:r>
          <w:rPr>
            <w:sz w:val="22"/>
            <w:szCs w:val="22"/>
          </w:rPr>
          <w:delText>s</w:delText>
        </w:r>
        <w:r w:rsidRPr="008912CF">
          <w:rPr>
            <w:sz w:val="22"/>
            <w:szCs w:val="22"/>
          </w:rPr>
          <w:delText xml:space="preserve"> ACR 70</w:delText>
        </w:r>
        <w:r w:rsidRPr="00CE5ECF">
          <w:rPr>
            <w:sz w:val="22"/>
            <w:szCs w:val="22"/>
          </w:rPr>
          <w:delText>.</w:delText>
        </w:r>
      </w:del>
    </w:p>
    <w:p w14:paraId="7882F3DD" w14:textId="08D35FBB" w:rsidR="004462A0" w:rsidRPr="008912CF" w:rsidRDefault="004462A0" w:rsidP="00412FC8">
      <w:pPr>
        <w:rPr>
          <w:del w:id="7283" w:author="AbbVie2" w:date="2025-05-13T16:39:00Z"/>
          <w:sz w:val="22"/>
          <w:szCs w:val="22"/>
        </w:rPr>
      </w:pPr>
    </w:p>
    <w:p w14:paraId="52D25A19" w14:textId="3E9A7D21" w:rsidR="004462A0" w:rsidRDefault="00615769" w:rsidP="00412FC8">
      <w:pPr>
        <w:rPr>
          <w:del w:id="7284" w:author="AbbVie2" w:date="2025-05-13T16:39:00Z"/>
          <w:sz w:val="22"/>
          <w:szCs w:val="22"/>
        </w:rPr>
      </w:pPr>
      <w:del w:id="7285" w:author="AbbVie2" w:date="2025-05-13T16:39:00Z">
        <w:r w:rsidRPr="008912CF">
          <w:rPr>
            <w:sz w:val="22"/>
            <w:szCs w:val="22"/>
          </w:rPr>
          <w:delText>Na Semana 52, 42,9</w:delText>
        </w:r>
        <w:r w:rsidR="009343EF">
          <w:rPr>
            <w:sz w:val="22"/>
            <w:szCs w:val="22"/>
          </w:rPr>
          <w:delText>%</w:delText>
        </w:r>
        <w:r w:rsidRPr="008912CF">
          <w:rPr>
            <w:sz w:val="22"/>
            <w:szCs w:val="22"/>
          </w:rPr>
          <w:delText xml:space="preserve"> dos doentes tratados com a associação terapêutica Humira/metotrexato atingiram remissão clínica (DAS 28</w:delText>
        </w:r>
        <w:r>
          <w:rPr>
            <w:sz w:val="22"/>
            <w:szCs w:val="22"/>
          </w:rPr>
          <w:delText xml:space="preserve"> (PCR)</w:delText>
        </w:r>
        <w:r w:rsidRPr="008912CF">
          <w:rPr>
            <w:sz w:val="22"/>
            <w:szCs w:val="22"/>
          </w:rPr>
          <w:delText> &lt; 2</w:delText>
        </w:r>
        <w:r>
          <w:rPr>
            <w:sz w:val="22"/>
            <w:szCs w:val="22"/>
          </w:rPr>
          <w:delText>,</w:delText>
        </w:r>
        <w:r w:rsidRPr="008912CF">
          <w:rPr>
            <w:sz w:val="22"/>
            <w:szCs w:val="22"/>
          </w:rPr>
          <w:delText>6) comparativamente com 20,6</w:delText>
        </w:r>
        <w:r w:rsidR="009343EF">
          <w:rPr>
            <w:sz w:val="22"/>
            <w:szCs w:val="22"/>
          </w:rPr>
          <w:delText>%</w:delText>
        </w:r>
        <w:r w:rsidRPr="008912CF">
          <w:rPr>
            <w:sz w:val="22"/>
            <w:szCs w:val="22"/>
          </w:rPr>
          <w:delText xml:space="preserve"> dos doentes tratados com metotrexato em monoterapia e 23,4</w:delText>
        </w:r>
        <w:r w:rsidR="009343EF">
          <w:rPr>
            <w:sz w:val="22"/>
            <w:szCs w:val="22"/>
          </w:rPr>
          <w:delText>%</w:delText>
        </w:r>
        <w:r w:rsidRPr="008912CF">
          <w:rPr>
            <w:sz w:val="22"/>
            <w:szCs w:val="22"/>
          </w:rPr>
          <w:delText xml:space="preserve"> dos doentes tratados com Humira em monoterapia. Em doentes recentemente diagnosticados com artrite reumatoide moderada a grave, a associação terapêutica Humira/metotrexato foi clinicamente e estatisticamente superior </w:delText>
        </w:r>
        <w:r w:rsidR="004D006C">
          <w:rPr>
            <w:sz w:val="22"/>
            <w:szCs w:val="22"/>
          </w:rPr>
          <w:delText>a</w:delText>
        </w:r>
        <w:r w:rsidRPr="008912CF">
          <w:rPr>
            <w:sz w:val="22"/>
            <w:szCs w:val="22"/>
          </w:rPr>
          <w:delText xml:space="preserve"> metotrexato (p &lt; 0,001) e </w:delText>
        </w:r>
        <w:r w:rsidR="004D006C">
          <w:rPr>
            <w:sz w:val="22"/>
            <w:szCs w:val="22"/>
          </w:rPr>
          <w:delText xml:space="preserve">a </w:delText>
        </w:r>
        <w:r w:rsidRPr="008912CF">
          <w:rPr>
            <w:sz w:val="22"/>
            <w:szCs w:val="22"/>
          </w:rPr>
          <w:delText xml:space="preserve">Humira em monoterapia (p &lt; 0,001) </w:delText>
        </w:r>
        <w:r w:rsidR="004D006C">
          <w:rPr>
            <w:sz w:val="22"/>
            <w:szCs w:val="22"/>
          </w:rPr>
          <w:delText>na</w:delText>
        </w:r>
        <w:r w:rsidRPr="008912CF">
          <w:rPr>
            <w:sz w:val="22"/>
            <w:szCs w:val="22"/>
          </w:rPr>
          <w:delText xml:space="preserve"> redução </w:delText>
        </w:r>
        <w:r w:rsidR="00096E24">
          <w:rPr>
            <w:sz w:val="22"/>
            <w:szCs w:val="22"/>
          </w:rPr>
          <w:delText>da</w:delText>
        </w:r>
        <w:r w:rsidRPr="008912CF">
          <w:rPr>
            <w:sz w:val="22"/>
            <w:szCs w:val="22"/>
          </w:rPr>
          <w:delText xml:space="preserve"> atividade d</w:delText>
        </w:r>
        <w:r w:rsidRPr="008912CF">
          <w:rPr>
            <w:sz w:val="22"/>
            <w:szCs w:val="22"/>
          </w:rPr>
          <w:delText>a doença. A resposta foi similar nos dois braços de monoterapia (p = 0,447).</w:delText>
        </w:r>
        <w:r>
          <w:rPr>
            <w:sz w:val="22"/>
            <w:szCs w:val="22"/>
          </w:rPr>
          <w:delText xml:space="preserve"> Dos 342 doentes incluídos na extensão de fase aberta do estudo, originalmente aleatorizados com Humira em monoterapia ou associação terapêutica Humira/metotrexato, 171 doentes completaram 10 anos de tratamento com Humira. Entre estes, 109 doentes (63,7%) apresentaram remissão aos 10 anos.</w:delText>
        </w:r>
      </w:del>
    </w:p>
    <w:p w14:paraId="6AD751D0" w14:textId="47BF3653" w:rsidR="004462A0" w:rsidRPr="008912CF" w:rsidRDefault="004462A0" w:rsidP="00412FC8">
      <w:pPr>
        <w:rPr>
          <w:del w:id="7286" w:author="AbbVie2" w:date="2025-05-13T16:39:00Z"/>
          <w:sz w:val="22"/>
          <w:szCs w:val="22"/>
        </w:rPr>
      </w:pPr>
    </w:p>
    <w:p w14:paraId="616A8582" w14:textId="00A1D125" w:rsidR="004462A0" w:rsidRPr="008912CF" w:rsidRDefault="00615769">
      <w:pPr>
        <w:rPr>
          <w:del w:id="7287" w:author="AbbVie2" w:date="2025-05-13T16:39:00Z"/>
          <w:szCs w:val="22"/>
        </w:rPr>
        <w:pPrChange w:id="7288" w:author="AbbVie2" w:date="2025-05-13T16:40:00Z">
          <w:pPr>
            <w:pStyle w:val="Heading9"/>
            <w:keepNext w:val="0"/>
          </w:pPr>
        </w:pPrChange>
      </w:pPr>
      <w:del w:id="7289" w:author="AbbVie2" w:date="2025-05-13T16:39:00Z">
        <w:r w:rsidRPr="008912CF">
          <w:rPr>
            <w:i/>
            <w:szCs w:val="22"/>
          </w:rPr>
          <w:delText>Resposta radiológica</w:delText>
        </w:r>
      </w:del>
    </w:p>
    <w:p w14:paraId="4E90AA43" w14:textId="5AE127CB" w:rsidR="004462A0" w:rsidRPr="008912CF" w:rsidRDefault="004462A0" w:rsidP="00412FC8">
      <w:pPr>
        <w:rPr>
          <w:del w:id="7290" w:author="AbbVie2" w:date="2025-05-13T16:39:00Z"/>
          <w:sz w:val="22"/>
          <w:szCs w:val="22"/>
        </w:rPr>
      </w:pPr>
    </w:p>
    <w:p w14:paraId="1EE0A49C" w14:textId="4B6FC0BB" w:rsidR="004462A0" w:rsidRPr="008912CF" w:rsidRDefault="00615769" w:rsidP="00412FC8">
      <w:pPr>
        <w:rPr>
          <w:del w:id="7291" w:author="AbbVie2" w:date="2025-05-13T16:39:00Z"/>
          <w:sz w:val="22"/>
          <w:szCs w:val="22"/>
        </w:rPr>
      </w:pPr>
      <w:del w:id="7292" w:author="AbbVie2" w:date="2025-05-13T16:39:00Z">
        <w:r w:rsidRPr="008912CF">
          <w:rPr>
            <w:sz w:val="22"/>
            <w:szCs w:val="22"/>
          </w:rPr>
          <w:delText>No estudo AR III, em que os doentes tratados com Humira tinham uma duração média de artrite reumatoide de aproximadamente 11 anos, a lesão estrutural articular foi avaliada radiologicamente e expressa como alteração na Escala Total de Sharp (TSS) modificada e respetivos componentes, escala de erosão e escala do estreitamento do espaço articular. Doentes tratados com Humira/metotrexato demonstraram uma progressão radiológica significativamente menor do que os doentes tratados apenas com metotrexato aos 6 e 1</w:delText>
        </w:r>
        <w:r w:rsidRPr="008912CF">
          <w:rPr>
            <w:sz w:val="22"/>
            <w:szCs w:val="22"/>
          </w:rPr>
          <w:delText xml:space="preserve">2 meses (ver Tabela </w:delText>
        </w:r>
        <w:r w:rsidR="00E3620C">
          <w:rPr>
            <w:sz w:val="22"/>
            <w:szCs w:val="22"/>
          </w:rPr>
          <w:delText>10</w:delText>
        </w:r>
        <w:r w:rsidRPr="008912CF">
          <w:rPr>
            <w:sz w:val="22"/>
            <w:szCs w:val="22"/>
          </w:rPr>
          <w:delText xml:space="preserve">). </w:delText>
        </w:r>
      </w:del>
    </w:p>
    <w:p w14:paraId="2B17A71A" w14:textId="1941B129" w:rsidR="004462A0" w:rsidRPr="008912CF" w:rsidRDefault="004462A0" w:rsidP="00412FC8">
      <w:pPr>
        <w:rPr>
          <w:del w:id="7293" w:author="AbbVie2" w:date="2025-05-13T16:39:00Z"/>
          <w:sz w:val="22"/>
          <w:szCs w:val="22"/>
        </w:rPr>
      </w:pPr>
    </w:p>
    <w:p w14:paraId="45724D49" w14:textId="749BBEAC" w:rsidR="004462A0" w:rsidRPr="008912CF" w:rsidRDefault="00615769" w:rsidP="00412FC8">
      <w:pPr>
        <w:rPr>
          <w:del w:id="7294" w:author="AbbVie2" w:date="2025-05-13T16:39:00Z"/>
          <w:sz w:val="22"/>
          <w:szCs w:val="22"/>
        </w:rPr>
      </w:pPr>
      <w:del w:id="7295" w:author="AbbVie2" w:date="2025-05-13T16:39:00Z">
        <w:r w:rsidRPr="008912CF">
          <w:rPr>
            <w:sz w:val="22"/>
            <w:szCs w:val="22"/>
          </w:rPr>
          <w:delText xml:space="preserve">Na extensão de fase aberta do </w:delText>
        </w:r>
        <w:r w:rsidR="00F96DDF">
          <w:rPr>
            <w:sz w:val="22"/>
            <w:szCs w:val="22"/>
          </w:rPr>
          <w:delText>e</w:delText>
        </w:r>
        <w:r w:rsidRPr="008912CF">
          <w:rPr>
            <w:sz w:val="22"/>
            <w:szCs w:val="22"/>
          </w:rPr>
          <w:delText>studo AR III</w:delText>
        </w:r>
        <w:r w:rsidR="00FB0C02">
          <w:rPr>
            <w:sz w:val="22"/>
            <w:szCs w:val="22"/>
          </w:rPr>
          <w:delText>,</w:delText>
        </w:r>
        <w:r w:rsidRPr="008912CF">
          <w:rPr>
            <w:sz w:val="22"/>
            <w:szCs w:val="22"/>
          </w:rPr>
          <w:delText xml:space="preserve"> a redução da taxa de progressão da lesão estrutural  manteve-se por 8 e 10 anos num subgrupo de doentes. Aos 8 anos, 81 dos 207 doentes originalmente tratados com 40 mg de Humira em semanas alternadas foram avaliados radiologicamente. Entre estes, 48 doentes não mostraram progressão da lesão estrutural</w:delText>
        </w:r>
        <w:r w:rsidR="00FB0C02">
          <w:rPr>
            <w:sz w:val="22"/>
            <w:szCs w:val="22"/>
          </w:rPr>
          <w:delText>,</w:delText>
        </w:r>
        <w:r w:rsidRPr="008912CF">
          <w:rPr>
            <w:sz w:val="22"/>
            <w:szCs w:val="22"/>
          </w:rPr>
          <w:delText xml:space="preserve"> definida por uma alteração desde o início do estudo de 0,5 ou menos na mTSS. Aos 10 anos, 79 dos 207 doentes inicialmente tratados com Humira 40</w:delText>
        </w:r>
        <w:r>
          <w:rPr>
            <w:sz w:val="22"/>
            <w:szCs w:val="22"/>
          </w:rPr>
          <w:delText> </w:delText>
        </w:r>
        <w:r w:rsidRPr="008912CF">
          <w:rPr>
            <w:sz w:val="22"/>
            <w:szCs w:val="22"/>
          </w:rPr>
          <w:delText>mg em semanas alternadas foram avaliados radiologicamente. En</w:delText>
        </w:r>
        <w:r w:rsidRPr="008912CF">
          <w:rPr>
            <w:sz w:val="22"/>
            <w:szCs w:val="22"/>
          </w:rPr>
          <w:delText>tre estes, 40 doentes não apresentaram progressão da lesão estrutural, definida por uma alteração desde o início do estudo de 0,5 ou menos na mTSS.</w:delText>
        </w:r>
      </w:del>
    </w:p>
    <w:p w14:paraId="4D0BD63D" w14:textId="15EEC5F2" w:rsidR="004462A0" w:rsidRPr="008912CF" w:rsidRDefault="004462A0">
      <w:pPr>
        <w:rPr>
          <w:del w:id="7296" w:author="AbbVie2" w:date="2025-05-13T16:39:00Z"/>
        </w:rPr>
        <w:pPrChange w:id="7297" w:author="AbbVie2" w:date="2025-05-13T16:40:00Z">
          <w:pPr>
            <w:keepNext/>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430"/>
        <w:gridCol w:w="1790"/>
        <w:gridCol w:w="2000"/>
        <w:gridCol w:w="1548"/>
      </w:tblGrid>
      <w:tr w:rsidR="00A7162A" w14:paraId="025CD1CC" w14:textId="77433CEA" w:rsidTr="00F675CF">
        <w:trPr>
          <w:cantSplit/>
          <w:del w:id="7298" w:author="AbbVie2" w:date="2025-05-13T16:39:00Z"/>
        </w:trPr>
        <w:tc>
          <w:tcPr>
            <w:tcW w:w="8856" w:type="dxa"/>
            <w:gridSpan w:val="5"/>
            <w:tcBorders>
              <w:top w:val="nil"/>
              <w:left w:val="nil"/>
              <w:right w:val="nil"/>
            </w:tcBorders>
          </w:tcPr>
          <w:p w14:paraId="5A26D181" w14:textId="0E42F2AF" w:rsidR="004462A0" w:rsidRPr="008912CF" w:rsidRDefault="00615769">
            <w:pPr>
              <w:rPr>
                <w:del w:id="7299" w:author="AbbVie2" w:date="2025-05-13T16:39:00Z"/>
                <w:b/>
                <w:bCs/>
              </w:rPr>
              <w:pPrChange w:id="7300" w:author="AbbVie2" w:date="2025-05-13T16:40:00Z">
                <w:pPr>
                  <w:pStyle w:val="Heading9"/>
                  <w:jc w:val="center"/>
                </w:pPr>
              </w:pPrChange>
            </w:pPr>
            <w:del w:id="7301" w:author="AbbVie2" w:date="2025-05-13T16:39:00Z">
              <w:r w:rsidRPr="008912CF">
                <w:rPr>
                  <w:b/>
                  <w:bCs/>
                  <w:szCs w:val="22"/>
                </w:rPr>
                <w:delText xml:space="preserve">Tabela </w:delText>
              </w:r>
              <w:r w:rsidR="00E3620C">
                <w:rPr>
                  <w:b/>
                  <w:bCs/>
                  <w:szCs w:val="22"/>
                </w:rPr>
                <w:delText>10</w:delText>
              </w:r>
            </w:del>
          </w:p>
          <w:p w14:paraId="1E40188F" w14:textId="6C0E05BB" w:rsidR="004462A0" w:rsidRPr="008912CF" w:rsidRDefault="00615769">
            <w:pPr>
              <w:rPr>
                <w:del w:id="7302" w:author="AbbVie2" w:date="2025-05-13T16:39:00Z"/>
                <w:b/>
                <w:bCs/>
                <w:highlight w:val="cyan"/>
              </w:rPr>
              <w:pPrChange w:id="7303" w:author="AbbVie2" w:date="2025-05-13T16:40:00Z">
                <w:pPr>
                  <w:pStyle w:val="Heading9"/>
                  <w:jc w:val="center"/>
                </w:pPr>
              </w:pPrChange>
            </w:pPr>
            <w:del w:id="7304" w:author="AbbVie2" w:date="2025-05-13T16:39:00Z">
              <w:r w:rsidRPr="008912CF">
                <w:rPr>
                  <w:b/>
                  <w:bCs/>
                  <w:szCs w:val="22"/>
                </w:rPr>
                <w:delText>Alteração Média Radiológica durante 12 meses no Estudo AR III</w:delText>
              </w:r>
            </w:del>
          </w:p>
          <w:p w14:paraId="1BFADF7F" w14:textId="70FEBA70" w:rsidR="004462A0" w:rsidRPr="008912CF" w:rsidRDefault="004462A0">
            <w:pPr>
              <w:rPr>
                <w:del w:id="7305" w:author="AbbVie2" w:date="2025-05-13T16:39:00Z"/>
                <w:b/>
                <w:bCs/>
                <w:highlight w:val="red"/>
              </w:rPr>
              <w:pPrChange w:id="7306" w:author="AbbVie2" w:date="2025-05-13T16:40:00Z">
                <w:pPr>
                  <w:keepNext/>
                  <w:jc w:val="center"/>
                </w:pPr>
              </w:pPrChange>
            </w:pPr>
          </w:p>
        </w:tc>
      </w:tr>
      <w:tr w:rsidR="00A7162A" w14:paraId="225025C3" w14:textId="73473FE8" w:rsidTr="00F675CF">
        <w:trPr>
          <w:del w:id="7307" w:author="AbbVie2" w:date="2025-05-13T16:39:00Z"/>
        </w:trPr>
        <w:tc>
          <w:tcPr>
            <w:tcW w:w="2088" w:type="dxa"/>
          </w:tcPr>
          <w:p w14:paraId="3DE93D9A" w14:textId="6984E24E" w:rsidR="004462A0" w:rsidRPr="008912CF" w:rsidRDefault="004462A0">
            <w:pPr>
              <w:rPr>
                <w:del w:id="7308" w:author="AbbVie2" w:date="2025-05-13T16:39:00Z"/>
              </w:rPr>
              <w:pPrChange w:id="7309" w:author="AbbVie2" w:date="2025-05-13T16:40:00Z">
                <w:pPr>
                  <w:keepNext/>
                  <w:jc w:val="center"/>
                </w:pPr>
              </w:pPrChange>
            </w:pPr>
          </w:p>
        </w:tc>
        <w:tc>
          <w:tcPr>
            <w:tcW w:w="1430" w:type="dxa"/>
          </w:tcPr>
          <w:p w14:paraId="37ED0328" w14:textId="2A781AB6" w:rsidR="004462A0" w:rsidRPr="008912CF" w:rsidRDefault="00615769">
            <w:pPr>
              <w:rPr>
                <w:del w:id="7310" w:author="AbbVie2" w:date="2025-05-13T16:39:00Z"/>
              </w:rPr>
              <w:pPrChange w:id="7311" w:author="AbbVie2" w:date="2025-05-13T16:40:00Z">
                <w:pPr>
                  <w:keepNext/>
                </w:pPr>
              </w:pPrChange>
            </w:pPr>
            <w:del w:id="7312" w:author="AbbVie2" w:date="2025-05-13T16:39:00Z">
              <w:r w:rsidRPr="008912CF">
                <w:rPr>
                  <w:sz w:val="22"/>
                  <w:szCs w:val="22"/>
                </w:rPr>
                <w:delText>Placebo/</w:delText>
              </w:r>
            </w:del>
          </w:p>
          <w:p w14:paraId="1A9EE795" w14:textId="724F0500" w:rsidR="004462A0" w:rsidRPr="008912CF" w:rsidRDefault="00615769">
            <w:pPr>
              <w:rPr>
                <w:del w:id="7313" w:author="AbbVie2" w:date="2025-05-13T16:39:00Z"/>
                <w:vertAlign w:val="superscript"/>
              </w:rPr>
              <w:pPrChange w:id="7314" w:author="AbbVie2" w:date="2025-05-13T16:40:00Z">
                <w:pPr>
                  <w:keepNext/>
                </w:pPr>
              </w:pPrChange>
            </w:pPr>
            <w:del w:id="7315" w:author="AbbVie2" w:date="2025-05-13T16:39:00Z">
              <w:r w:rsidRPr="008912CF">
                <w:rPr>
                  <w:sz w:val="22"/>
                  <w:szCs w:val="22"/>
                </w:rPr>
                <w:delText>MTX</w:delText>
              </w:r>
              <w:r w:rsidRPr="008912CF">
                <w:rPr>
                  <w:sz w:val="22"/>
                  <w:szCs w:val="22"/>
                  <w:vertAlign w:val="superscript"/>
                </w:rPr>
                <w:delText>a</w:delText>
              </w:r>
            </w:del>
          </w:p>
        </w:tc>
        <w:tc>
          <w:tcPr>
            <w:tcW w:w="1790" w:type="dxa"/>
          </w:tcPr>
          <w:p w14:paraId="5D26EEA2" w14:textId="2E58ABEA" w:rsidR="004462A0" w:rsidRPr="008912CF" w:rsidRDefault="00615769">
            <w:pPr>
              <w:rPr>
                <w:del w:id="7316" w:author="AbbVie2" w:date="2025-05-13T16:39:00Z"/>
              </w:rPr>
              <w:pPrChange w:id="7317" w:author="AbbVie2" w:date="2025-05-13T16:40:00Z">
                <w:pPr>
                  <w:keepNext/>
                  <w:jc w:val="center"/>
                </w:pPr>
              </w:pPrChange>
            </w:pPr>
            <w:del w:id="7318" w:author="AbbVie2" w:date="2025-05-13T16:39:00Z">
              <w:r w:rsidRPr="008912CF">
                <w:rPr>
                  <w:sz w:val="22"/>
                  <w:szCs w:val="22"/>
                </w:rPr>
                <w:delText>Humira/MTX</w:delText>
              </w:r>
            </w:del>
          </w:p>
          <w:p w14:paraId="399D9CD6" w14:textId="027471F4" w:rsidR="004462A0" w:rsidRPr="008912CF" w:rsidRDefault="00615769">
            <w:pPr>
              <w:rPr>
                <w:del w:id="7319" w:author="AbbVie2" w:date="2025-05-13T16:39:00Z"/>
              </w:rPr>
              <w:pPrChange w:id="7320" w:author="AbbVie2" w:date="2025-05-13T16:40:00Z">
                <w:pPr>
                  <w:keepNext/>
                  <w:jc w:val="center"/>
                </w:pPr>
              </w:pPrChange>
            </w:pPr>
            <w:del w:id="7321" w:author="AbbVie2" w:date="2025-05-13T16:39:00Z">
              <w:r w:rsidRPr="008912CF">
                <w:rPr>
                  <w:sz w:val="22"/>
                  <w:szCs w:val="22"/>
                </w:rPr>
                <w:delText>40 mg em semanas alternadas</w:delText>
              </w:r>
            </w:del>
          </w:p>
        </w:tc>
        <w:tc>
          <w:tcPr>
            <w:tcW w:w="2000" w:type="dxa"/>
          </w:tcPr>
          <w:p w14:paraId="6E968B5E" w14:textId="4D8CDF96" w:rsidR="004462A0" w:rsidRPr="008912CF" w:rsidRDefault="00615769">
            <w:pPr>
              <w:rPr>
                <w:del w:id="7322" w:author="AbbVie2" w:date="2025-05-13T16:39:00Z"/>
              </w:rPr>
              <w:pPrChange w:id="7323" w:author="AbbVie2" w:date="2025-05-13T16:40:00Z">
                <w:pPr>
                  <w:keepNext/>
                  <w:jc w:val="center"/>
                </w:pPr>
              </w:pPrChange>
            </w:pPr>
            <w:del w:id="7324" w:author="AbbVie2" w:date="2025-05-13T16:39:00Z">
              <w:r w:rsidRPr="008912CF">
                <w:rPr>
                  <w:sz w:val="22"/>
                  <w:szCs w:val="22"/>
                </w:rPr>
                <w:delText>Placebo/MTX-Humira/MTX (95% Intervalo de confiança</w:delText>
              </w:r>
              <w:r w:rsidRPr="008912CF">
                <w:rPr>
                  <w:sz w:val="22"/>
                  <w:szCs w:val="22"/>
                  <w:vertAlign w:val="superscript"/>
                </w:rPr>
                <w:delText>b</w:delText>
              </w:r>
              <w:r w:rsidRPr="008912CF">
                <w:rPr>
                  <w:sz w:val="22"/>
                  <w:szCs w:val="22"/>
                </w:rPr>
                <w:delText>)</w:delText>
              </w:r>
            </w:del>
          </w:p>
        </w:tc>
        <w:tc>
          <w:tcPr>
            <w:tcW w:w="1548" w:type="dxa"/>
          </w:tcPr>
          <w:p w14:paraId="206D75E2" w14:textId="42EF5972" w:rsidR="004462A0" w:rsidRPr="008912CF" w:rsidRDefault="00615769">
            <w:pPr>
              <w:rPr>
                <w:del w:id="7325" w:author="AbbVie2" w:date="2025-05-13T16:39:00Z"/>
              </w:rPr>
              <w:pPrChange w:id="7326" w:author="AbbVie2" w:date="2025-05-13T16:40:00Z">
                <w:pPr>
                  <w:keepNext/>
                  <w:jc w:val="center"/>
                </w:pPr>
              </w:pPrChange>
            </w:pPr>
            <w:del w:id="7327" w:author="AbbVie2" w:date="2025-05-13T16:39:00Z">
              <w:r w:rsidRPr="008912CF">
                <w:rPr>
                  <w:sz w:val="22"/>
                  <w:szCs w:val="22"/>
                </w:rPr>
                <w:delText>valor</w:delText>
              </w:r>
              <w:r w:rsidR="004D006C">
                <w:rPr>
                  <w:sz w:val="22"/>
                  <w:szCs w:val="22"/>
                </w:rPr>
                <w:delText>-p</w:delText>
              </w:r>
            </w:del>
          </w:p>
        </w:tc>
      </w:tr>
      <w:tr w:rsidR="00A7162A" w14:paraId="31F3FA56" w14:textId="69BC13C2" w:rsidTr="00F675CF">
        <w:trPr>
          <w:del w:id="7328" w:author="AbbVie2" w:date="2025-05-13T16:39:00Z"/>
        </w:trPr>
        <w:tc>
          <w:tcPr>
            <w:tcW w:w="2088" w:type="dxa"/>
          </w:tcPr>
          <w:p w14:paraId="77C56854" w14:textId="2BB82341" w:rsidR="004462A0" w:rsidRPr="008912CF" w:rsidRDefault="00615769">
            <w:pPr>
              <w:rPr>
                <w:del w:id="7329" w:author="AbbVie2" w:date="2025-05-13T16:39:00Z"/>
              </w:rPr>
              <w:pPrChange w:id="7330" w:author="AbbVie2" w:date="2025-05-13T16:40:00Z">
                <w:pPr>
                  <w:keepNext/>
                  <w:jc w:val="center"/>
                </w:pPr>
              </w:pPrChange>
            </w:pPr>
            <w:del w:id="7331" w:author="AbbVie2" w:date="2025-05-13T16:39:00Z">
              <w:r w:rsidRPr="008912CF">
                <w:rPr>
                  <w:sz w:val="22"/>
                  <w:szCs w:val="22"/>
                </w:rPr>
                <w:delText>Escala Total de Sharp</w:delText>
              </w:r>
            </w:del>
          </w:p>
        </w:tc>
        <w:tc>
          <w:tcPr>
            <w:tcW w:w="1430" w:type="dxa"/>
          </w:tcPr>
          <w:p w14:paraId="6B404B16" w14:textId="2A28635D" w:rsidR="004462A0" w:rsidRPr="008912CF" w:rsidRDefault="00615769">
            <w:pPr>
              <w:rPr>
                <w:del w:id="7332" w:author="AbbVie2" w:date="2025-05-13T16:39:00Z"/>
              </w:rPr>
              <w:pPrChange w:id="7333" w:author="AbbVie2" w:date="2025-05-13T16:40:00Z">
                <w:pPr>
                  <w:keepNext/>
                  <w:jc w:val="center"/>
                </w:pPr>
              </w:pPrChange>
            </w:pPr>
            <w:del w:id="7334" w:author="AbbVie2" w:date="2025-05-13T16:39:00Z">
              <w:r w:rsidRPr="008912CF">
                <w:rPr>
                  <w:sz w:val="22"/>
                  <w:szCs w:val="22"/>
                </w:rPr>
                <w:delText>2,7</w:delText>
              </w:r>
            </w:del>
          </w:p>
        </w:tc>
        <w:tc>
          <w:tcPr>
            <w:tcW w:w="1790" w:type="dxa"/>
          </w:tcPr>
          <w:p w14:paraId="1C8D6C7A" w14:textId="344EF9A3" w:rsidR="004462A0" w:rsidRPr="008912CF" w:rsidRDefault="00615769">
            <w:pPr>
              <w:rPr>
                <w:del w:id="7335" w:author="AbbVie2" w:date="2025-05-13T16:39:00Z"/>
              </w:rPr>
              <w:pPrChange w:id="7336" w:author="AbbVie2" w:date="2025-05-13T16:40:00Z">
                <w:pPr>
                  <w:keepNext/>
                  <w:jc w:val="center"/>
                </w:pPr>
              </w:pPrChange>
            </w:pPr>
            <w:del w:id="7337" w:author="AbbVie2" w:date="2025-05-13T16:39:00Z">
              <w:r w:rsidRPr="008912CF">
                <w:rPr>
                  <w:sz w:val="22"/>
                  <w:szCs w:val="22"/>
                </w:rPr>
                <w:delText>0,1</w:delText>
              </w:r>
            </w:del>
          </w:p>
        </w:tc>
        <w:tc>
          <w:tcPr>
            <w:tcW w:w="2000" w:type="dxa"/>
          </w:tcPr>
          <w:p w14:paraId="788743EE" w14:textId="24007908" w:rsidR="004462A0" w:rsidRPr="008912CF" w:rsidRDefault="00615769">
            <w:pPr>
              <w:rPr>
                <w:del w:id="7338" w:author="AbbVie2" w:date="2025-05-13T16:39:00Z"/>
              </w:rPr>
              <w:pPrChange w:id="7339" w:author="AbbVie2" w:date="2025-05-13T16:40:00Z">
                <w:pPr>
                  <w:keepNext/>
                  <w:jc w:val="center"/>
                </w:pPr>
              </w:pPrChange>
            </w:pPr>
            <w:del w:id="7340" w:author="AbbVie2" w:date="2025-05-13T16:39:00Z">
              <w:r w:rsidRPr="008912CF">
                <w:rPr>
                  <w:sz w:val="22"/>
                  <w:szCs w:val="22"/>
                </w:rPr>
                <w:delText xml:space="preserve">2,6 (1,4, 3,8) </w:delText>
              </w:r>
            </w:del>
          </w:p>
        </w:tc>
        <w:tc>
          <w:tcPr>
            <w:tcW w:w="1548" w:type="dxa"/>
          </w:tcPr>
          <w:p w14:paraId="784609D4" w14:textId="4F938758" w:rsidR="004462A0" w:rsidRPr="008912CF" w:rsidRDefault="00615769">
            <w:pPr>
              <w:rPr>
                <w:del w:id="7341" w:author="AbbVie2" w:date="2025-05-13T16:39:00Z"/>
                <w:vertAlign w:val="superscript"/>
              </w:rPr>
              <w:pPrChange w:id="7342" w:author="AbbVie2" w:date="2025-05-13T16:40:00Z">
                <w:pPr>
                  <w:keepNext/>
                  <w:jc w:val="center"/>
                </w:pPr>
              </w:pPrChange>
            </w:pPr>
            <w:del w:id="7343" w:author="AbbVie2" w:date="2025-05-13T16:39:00Z">
              <w:r w:rsidRPr="008912CF">
                <w:rPr>
                  <w:sz w:val="22"/>
                  <w:szCs w:val="22"/>
                </w:rPr>
                <w:delText>&lt; 0,001</w:delText>
              </w:r>
              <w:r w:rsidRPr="008912CF">
                <w:rPr>
                  <w:sz w:val="22"/>
                  <w:szCs w:val="22"/>
                  <w:vertAlign w:val="superscript"/>
                </w:rPr>
                <w:delText>c</w:delText>
              </w:r>
            </w:del>
          </w:p>
        </w:tc>
      </w:tr>
      <w:tr w:rsidR="00A7162A" w14:paraId="25DD4A49" w14:textId="7215359F" w:rsidTr="00F675CF">
        <w:trPr>
          <w:del w:id="7344" w:author="AbbVie2" w:date="2025-05-13T16:39:00Z"/>
        </w:trPr>
        <w:tc>
          <w:tcPr>
            <w:tcW w:w="2088" w:type="dxa"/>
          </w:tcPr>
          <w:p w14:paraId="77D77381" w14:textId="3F74EBEF" w:rsidR="004462A0" w:rsidRPr="008912CF" w:rsidRDefault="00615769">
            <w:pPr>
              <w:rPr>
                <w:del w:id="7345" w:author="AbbVie2" w:date="2025-05-13T16:39:00Z"/>
              </w:rPr>
              <w:pPrChange w:id="7346" w:author="AbbVie2" w:date="2025-05-13T16:40:00Z">
                <w:pPr>
                  <w:keepNext/>
                  <w:jc w:val="center"/>
                </w:pPr>
              </w:pPrChange>
            </w:pPr>
            <w:del w:id="7347" w:author="AbbVie2" w:date="2025-05-13T16:39:00Z">
              <w:r w:rsidRPr="008912CF">
                <w:rPr>
                  <w:sz w:val="22"/>
                  <w:szCs w:val="22"/>
                </w:rPr>
                <w:delText>Escala de Erosão</w:delText>
              </w:r>
            </w:del>
          </w:p>
        </w:tc>
        <w:tc>
          <w:tcPr>
            <w:tcW w:w="1430" w:type="dxa"/>
          </w:tcPr>
          <w:p w14:paraId="1F7719E5" w14:textId="2BD7AD66" w:rsidR="004462A0" w:rsidRPr="008912CF" w:rsidRDefault="00615769">
            <w:pPr>
              <w:rPr>
                <w:del w:id="7348" w:author="AbbVie2" w:date="2025-05-13T16:39:00Z"/>
              </w:rPr>
              <w:pPrChange w:id="7349" w:author="AbbVie2" w:date="2025-05-13T16:40:00Z">
                <w:pPr>
                  <w:keepNext/>
                  <w:jc w:val="center"/>
                </w:pPr>
              </w:pPrChange>
            </w:pPr>
            <w:del w:id="7350" w:author="AbbVie2" w:date="2025-05-13T16:39:00Z">
              <w:r w:rsidRPr="008912CF">
                <w:rPr>
                  <w:sz w:val="22"/>
                  <w:szCs w:val="22"/>
                </w:rPr>
                <w:delText>1,6</w:delText>
              </w:r>
            </w:del>
          </w:p>
        </w:tc>
        <w:tc>
          <w:tcPr>
            <w:tcW w:w="1790" w:type="dxa"/>
          </w:tcPr>
          <w:p w14:paraId="37292DC0" w14:textId="5BCE0E80" w:rsidR="004462A0" w:rsidRPr="008912CF" w:rsidRDefault="00615769">
            <w:pPr>
              <w:rPr>
                <w:del w:id="7351" w:author="AbbVie2" w:date="2025-05-13T16:39:00Z"/>
              </w:rPr>
              <w:pPrChange w:id="7352" w:author="AbbVie2" w:date="2025-05-13T16:40:00Z">
                <w:pPr>
                  <w:keepNext/>
                  <w:jc w:val="center"/>
                </w:pPr>
              </w:pPrChange>
            </w:pPr>
            <w:del w:id="7353" w:author="AbbVie2" w:date="2025-05-13T16:39:00Z">
              <w:r w:rsidRPr="008912CF">
                <w:rPr>
                  <w:sz w:val="22"/>
                  <w:szCs w:val="22"/>
                </w:rPr>
                <w:delText>0,0</w:delText>
              </w:r>
            </w:del>
          </w:p>
        </w:tc>
        <w:tc>
          <w:tcPr>
            <w:tcW w:w="2000" w:type="dxa"/>
          </w:tcPr>
          <w:p w14:paraId="41CCE422" w14:textId="5F2B3458" w:rsidR="004462A0" w:rsidRPr="008912CF" w:rsidRDefault="00615769">
            <w:pPr>
              <w:rPr>
                <w:del w:id="7354" w:author="AbbVie2" w:date="2025-05-13T16:39:00Z"/>
              </w:rPr>
              <w:pPrChange w:id="7355" w:author="AbbVie2" w:date="2025-05-13T16:40:00Z">
                <w:pPr>
                  <w:keepNext/>
                  <w:jc w:val="center"/>
                </w:pPr>
              </w:pPrChange>
            </w:pPr>
            <w:del w:id="7356" w:author="AbbVie2" w:date="2025-05-13T16:39:00Z">
              <w:r w:rsidRPr="008912CF">
                <w:rPr>
                  <w:sz w:val="22"/>
                  <w:szCs w:val="22"/>
                </w:rPr>
                <w:delText>1,6 (0,9, 2,2)</w:delText>
              </w:r>
            </w:del>
          </w:p>
        </w:tc>
        <w:tc>
          <w:tcPr>
            <w:tcW w:w="1548" w:type="dxa"/>
          </w:tcPr>
          <w:p w14:paraId="6C58CDD5" w14:textId="3CB11F94" w:rsidR="004462A0" w:rsidRPr="008912CF" w:rsidRDefault="00615769">
            <w:pPr>
              <w:rPr>
                <w:del w:id="7357" w:author="AbbVie2" w:date="2025-05-13T16:39:00Z"/>
              </w:rPr>
              <w:pPrChange w:id="7358" w:author="AbbVie2" w:date="2025-05-13T16:40:00Z">
                <w:pPr>
                  <w:keepNext/>
                  <w:jc w:val="center"/>
                </w:pPr>
              </w:pPrChange>
            </w:pPr>
            <w:del w:id="7359" w:author="AbbVie2" w:date="2025-05-13T16:39:00Z">
              <w:r w:rsidRPr="008912CF">
                <w:rPr>
                  <w:sz w:val="22"/>
                  <w:szCs w:val="22"/>
                </w:rPr>
                <w:delText>&lt; 0,001</w:delText>
              </w:r>
            </w:del>
          </w:p>
        </w:tc>
      </w:tr>
      <w:tr w:rsidR="00A7162A" w14:paraId="7C207494" w14:textId="315E4D7A" w:rsidTr="00F675CF">
        <w:trPr>
          <w:del w:id="7360" w:author="AbbVie2" w:date="2025-05-13T16:39:00Z"/>
        </w:trPr>
        <w:tc>
          <w:tcPr>
            <w:tcW w:w="2088" w:type="dxa"/>
          </w:tcPr>
          <w:p w14:paraId="35778732" w14:textId="1A3BD8B5" w:rsidR="004462A0" w:rsidRPr="008912CF" w:rsidRDefault="00615769">
            <w:pPr>
              <w:rPr>
                <w:del w:id="7361" w:author="AbbVie2" w:date="2025-05-13T16:39:00Z"/>
              </w:rPr>
              <w:pPrChange w:id="7362" w:author="AbbVie2" w:date="2025-05-13T16:40:00Z">
                <w:pPr>
                  <w:keepNext/>
                  <w:jc w:val="center"/>
                </w:pPr>
              </w:pPrChange>
            </w:pPr>
            <w:del w:id="7363" w:author="AbbVie2" w:date="2025-05-13T16:39:00Z">
              <w:r w:rsidRPr="008912CF">
                <w:rPr>
                  <w:sz w:val="22"/>
                  <w:szCs w:val="22"/>
                </w:rPr>
                <w:delText>Escala de JSN</w:delText>
              </w:r>
              <w:r w:rsidRPr="008912CF">
                <w:rPr>
                  <w:sz w:val="22"/>
                  <w:szCs w:val="22"/>
                  <w:vertAlign w:val="superscript"/>
                </w:rPr>
                <w:delText>d</w:delText>
              </w:r>
              <w:r w:rsidRPr="008912CF">
                <w:rPr>
                  <w:sz w:val="22"/>
                  <w:szCs w:val="22"/>
                </w:rPr>
                <w:delText xml:space="preserve"> </w:delText>
              </w:r>
            </w:del>
          </w:p>
        </w:tc>
        <w:tc>
          <w:tcPr>
            <w:tcW w:w="1430" w:type="dxa"/>
          </w:tcPr>
          <w:p w14:paraId="458A573D" w14:textId="519BC4DF" w:rsidR="004462A0" w:rsidRPr="008912CF" w:rsidRDefault="00615769">
            <w:pPr>
              <w:rPr>
                <w:del w:id="7364" w:author="AbbVie2" w:date="2025-05-13T16:39:00Z"/>
              </w:rPr>
              <w:pPrChange w:id="7365" w:author="AbbVie2" w:date="2025-05-13T16:40:00Z">
                <w:pPr>
                  <w:keepNext/>
                  <w:jc w:val="center"/>
                </w:pPr>
              </w:pPrChange>
            </w:pPr>
            <w:del w:id="7366" w:author="AbbVie2" w:date="2025-05-13T16:39:00Z">
              <w:r w:rsidRPr="008912CF">
                <w:rPr>
                  <w:sz w:val="22"/>
                  <w:szCs w:val="22"/>
                </w:rPr>
                <w:delText>1,0</w:delText>
              </w:r>
            </w:del>
          </w:p>
        </w:tc>
        <w:tc>
          <w:tcPr>
            <w:tcW w:w="1790" w:type="dxa"/>
          </w:tcPr>
          <w:p w14:paraId="6741A356" w14:textId="29D2A0D3" w:rsidR="004462A0" w:rsidRPr="008912CF" w:rsidRDefault="00615769">
            <w:pPr>
              <w:rPr>
                <w:del w:id="7367" w:author="AbbVie2" w:date="2025-05-13T16:39:00Z"/>
              </w:rPr>
              <w:pPrChange w:id="7368" w:author="AbbVie2" w:date="2025-05-13T16:40:00Z">
                <w:pPr>
                  <w:keepNext/>
                  <w:jc w:val="center"/>
                </w:pPr>
              </w:pPrChange>
            </w:pPr>
            <w:del w:id="7369" w:author="AbbVie2" w:date="2025-05-13T16:39:00Z">
              <w:r w:rsidRPr="008912CF">
                <w:rPr>
                  <w:sz w:val="22"/>
                  <w:szCs w:val="22"/>
                </w:rPr>
                <w:delText>0,1</w:delText>
              </w:r>
            </w:del>
          </w:p>
        </w:tc>
        <w:tc>
          <w:tcPr>
            <w:tcW w:w="2000" w:type="dxa"/>
          </w:tcPr>
          <w:p w14:paraId="5C2414D3" w14:textId="46C87749" w:rsidR="004462A0" w:rsidRPr="008912CF" w:rsidRDefault="00615769">
            <w:pPr>
              <w:rPr>
                <w:del w:id="7370" w:author="AbbVie2" w:date="2025-05-13T16:39:00Z"/>
              </w:rPr>
              <w:pPrChange w:id="7371" w:author="AbbVie2" w:date="2025-05-13T16:40:00Z">
                <w:pPr>
                  <w:keepNext/>
                  <w:jc w:val="center"/>
                </w:pPr>
              </w:pPrChange>
            </w:pPr>
            <w:del w:id="7372" w:author="AbbVie2" w:date="2025-05-13T16:39:00Z">
              <w:r w:rsidRPr="008912CF">
                <w:rPr>
                  <w:sz w:val="22"/>
                  <w:szCs w:val="22"/>
                </w:rPr>
                <w:delText>0,9 (0,3, 1,4)</w:delText>
              </w:r>
            </w:del>
          </w:p>
        </w:tc>
        <w:tc>
          <w:tcPr>
            <w:tcW w:w="1548" w:type="dxa"/>
          </w:tcPr>
          <w:p w14:paraId="6F3FC2C8" w14:textId="594E7152" w:rsidR="004462A0" w:rsidRPr="008912CF" w:rsidRDefault="00615769">
            <w:pPr>
              <w:rPr>
                <w:del w:id="7373" w:author="AbbVie2" w:date="2025-05-13T16:39:00Z"/>
              </w:rPr>
              <w:pPrChange w:id="7374" w:author="AbbVie2" w:date="2025-05-13T16:40:00Z">
                <w:pPr>
                  <w:keepNext/>
                  <w:jc w:val="center"/>
                </w:pPr>
              </w:pPrChange>
            </w:pPr>
            <w:del w:id="7375" w:author="AbbVie2" w:date="2025-05-13T16:39:00Z">
              <w:r w:rsidRPr="008912CF">
                <w:rPr>
                  <w:sz w:val="22"/>
                  <w:szCs w:val="22"/>
                </w:rPr>
                <w:delText xml:space="preserve">  0,002</w:delText>
              </w:r>
            </w:del>
          </w:p>
        </w:tc>
      </w:tr>
    </w:tbl>
    <w:p w14:paraId="042550C6" w14:textId="797994CE" w:rsidR="004462A0" w:rsidRPr="008912CF" w:rsidRDefault="00615769">
      <w:pPr>
        <w:rPr>
          <w:del w:id="7376" w:author="AbbVie2" w:date="2025-05-13T16:39:00Z"/>
          <w:sz w:val="22"/>
          <w:szCs w:val="22"/>
        </w:rPr>
        <w:pPrChange w:id="7377" w:author="AbbVie2" w:date="2025-05-13T16:40:00Z">
          <w:pPr>
            <w:pStyle w:val="In-textfootnote"/>
            <w:spacing w:line="240" w:lineRule="auto"/>
          </w:pPr>
        </w:pPrChange>
      </w:pPr>
      <w:del w:id="7378" w:author="AbbVie2" w:date="2025-05-13T16:39:00Z">
        <w:r w:rsidRPr="008912CF">
          <w:rPr>
            <w:b/>
            <w:bCs/>
            <w:sz w:val="22"/>
            <w:szCs w:val="22"/>
            <w:vertAlign w:val="superscript"/>
          </w:rPr>
          <w:delText xml:space="preserve">a </w:delText>
        </w:r>
        <w:r w:rsidRPr="008912CF">
          <w:rPr>
            <w:sz w:val="22"/>
            <w:szCs w:val="22"/>
          </w:rPr>
          <w:delText>Metotrexato</w:delText>
        </w:r>
      </w:del>
    </w:p>
    <w:p w14:paraId="26986AE9" w14:textId="7DFDC9D7" w:rsidR="004462A0" w:rsidRPr="008912CF" w:rsidRDefault="00615769">
      <w:pPr>
        <w:rPr>
          <w:del w:id="7379" w:author="AbbVie2" w:date="2025-05-13T16:39:00Z"/>
          <w:sz w:val="22"/>
          <w:szCs w:val="22"/>
        </w:rPr>
        <w:pPrChange w:id="7380" w:author="AbbVie2" w:date="2025-05-13T16:40:00Z">
          <w:pPr>
            <w:pStyle w:val="In-textfootnote"/>
            <w:spacing w:line="240" w:lineRule="auto"/>
          </w:pPr>
        </w:pPrChange>
      </w:pPr>
      <w:del w:id="7381" w:author="AbbVie2" w:date="2025-05-13T16:39:00Z">
        <w:r w:rsidRPr="008912CF">
          <w:rPr>
            <w:sz w:val="22"/>
            <w:szCs w:val="22"/>
            <w:vertAlign w:val="superscript"/>
          </w:rPr>
          <w:delText xml:space="preserve">b </w:delText>
        </w:r>
        <w:r w:rsidRPr="008912CF">
          <w:rPr>
            <w:sz w:val="22"/>
            <w:szCs w:val="22"/>
          </w:rPr>
          <w:delText>Intervalo de confiança de 95</w:delText>
        </w:r>
        <w:r w:rsidR="009343EF">
          <w:rPr>
            <w:sz w:val="22"/>
            <w:szCs w:val="22"/>
          </w:rPr>
          <w:delText>%</w:delText>
        </w:r>
        <w:r w:rsidRPr="008912CF">
          <w:rPr>
            <w:sz w:val="22"/>
            <w:szCs w:val="22"/>
          </w:rPr>
          <w:delText xml:space="preserve"> para as diferenças nas alterações das escalas entre metotrexato e Humira. </w:delText>
        </w:r>
      </w:del>
    </w:p>
    <w:p w14:paraId="404A4237" w14:textId="5BD628A3" w:rsidR="004462A0" w:rsidRPr="008912CF" w:rsidRDefault="00615769">
      <w:pPr>
        <w:rPr>
          <w:del w:id="7382" w:author="AbbVie2" w:date="2025-05-13T16:39:00Z"/>
          <w:sz w:val="22"/>
          <w:szCs w:val="22"/>
        </w:rPr>
        <w:pPrChange w:id="7383" w:author="AbbVie2" w:date="2025-05-13T16:40:00Z">
          <w:pPr>
            <w:pStyle w:val="In-textfootnote"/>
            <w:spacing w:line="240" w:lineRule="auto"/>
          </w:pPr>
        </w:pPrChange>
      </w:pPr>
      <w:del w:id="7384" w:author="AbbVie2" w:date="2025-05-13T16:39:00Z">
        <w:r w:rsidRPr="008912CF">
          <w:rPr>
            <w:sz w:val="22"/>
            <w:szCs w:val="22"/>
            <w:vertAlign w:val="superscript"/>
          </w:rPr>
          <w:delText xml:space="preserve">c </w:delText>
        </w:r>
        <w:r w:rsidRPr="008912CF">
          <w:rPr>
            <w:sz w:val="22"/>
            <w:szCs w:val="22"/>
          </w:rPr>
          <w:delText>Com base em análise estatística</w:delText>
        </w:r>
      </w:del>
    </w:p>
    <w:p w14:paraId="7BDAFC16" w14:textId="51A72101" w:rsidR="004462A0" w:rsidRPr="008912CF" w:rsidRDefault="00615769">
      <w:pPr>
        <w:rPr>
          <w:del w:id="7385" w:author="AbbVie2" w:date="2025-05-13T16:39:00Z"/>
          <w:sz w:val="22"/>
          <w:szCs w:val="22"/>
          <w:highlight w:val="yellow"/>
        </w:rPr>
        <w:pPrChange w:id="7386" w:author="AbbVie2" w:date="2025-05-13T16:40:00Z">
          <w:pPr>
            <w:keepNext/>
          </w:pPr>
        </w:pPrChange>
      </w:pPr>
      <w:del w:id="7387" w:author="AbbVie2" w:date="2025-05-13T16:39:00Z">
        <w:r w:rsidRPr="008912CF">
          <w:rPr>
            <w:sz w:val="22"/>
            <w:szCs w:val="22"/>
            <w:vertAlign w:val="superscript"/>
          </w:rPr>
          <w:delText>d</w:delText>
        </w:r>
        <w:r w:rsidRPr="008912CF">
          <w:rPr>
            <w:sz w:val="22"/>
            <w:szCs w:val="22"/>
          </w:rPr>
          <w:delText xml:space="preserve"> Estreitamento do Espaço Articular</w:delText>
        </w:r>
      </w:del>
    </w:p>
    <w:p w14:paraId="1B05DC78" w14:textId="13A9F962" w:rsidR="004462A0" w:rsidRPr="008912CF" w:rsidRDefault="004462A0">
      <w:pPr>
        <w:rPr>
          <w:del w:id="7388" w:author="AbbVie2" w:date="2025-05-13T16:39:00Z"/>
          <w:szCs w:val="22"/>
          <w:u w:val="single"/>
        </w:rPr>
        <w:pPrChange w:id="7389" w:author="AbbVie2" w:date="2025-05-13T16:40:00Z">
          <w:pPr>
            <w:pStyle w:val="Heading7"/>
            <w:keepNext w:val="0"/>
            <w:spacing w:line="240" w:lineRule="auto"/>
            <w:jc w:val="left"/>
          </w:pPr>
        </w:pPrChange>
      </w:pPr>
    </w:p>
    <w:p w14:paraId="4AE7A077" w14:textId="25330DDA" w:rsidR="004462A0" w:rsidRPr="008912CF" w:rsidRDefault="00615769" w:rsidP="00412FC8">
      <w:pPr>
        <w:rPr>
          <w:del w:id="7390" w:author="AbbVie2" w:date="2025-05-13T16:39:00Z"/>
          <w:sz w:val="22"/>
          <w:szCs w:val="22"/>
        </w:rPr>
      </w:pPr>
      <w:del w:id="7391" w:author="AbbVie2" w:date="2025-05-13T16:39:00Z">
        <w:r w:rsidRPr="008912CF">
          <w:rPr>
            <w:sz w:val="22"/>
            <w:szCs w:val="22"/>
          </w:rPr>
          <w:delText xml:space="preserve">No estudo AR V, a lesão estrutural articular foi avaliada radiologicamente e expressa como alteração na Escala Total de Sharp modificada (ver Tabela </w:delText>
        </w:r>
        <w:r w:rsidR="00A22EC4">
          <w:rPr>
            <w:sz w:val="22"/>
            <w:szCs w:val="22"/>
          </w:rPr>
          <w:delText>1</w:delText>
        </w:r>
        <w:r w:rsidR="00E3620C">
          <w:rPr>
            <w:sz w:val="22"/>
            <w:szCs w:val="22"/>
          </w:rPr>
          <w:delText>1</w:delText>
        </w:r>
        <w:r w:rsidRPr="008912CF">
          <w:rPr>
            <w:sz w:val="22"/>
            <w:szCs w:val="22"/>
          </w:rPr>
          <w:delText>).</w:delText>
        </w:r>
      </w:del>
    </w:p>
    <w:p w14:paraId="3303C9E7" w14:textId="32A71A98" w:rsidR="004462A0" w:rsidRPr="008912CF" w:rsidRDefault="004462A0" w:rsidP="00412FC8">
      <w:pPr>
        <w:rPr>
          <w:del w:id="7392" w:author="AbbVie2" w:date="2025-05-13T16:39:00Z"/>
          <w:sz w:val="22"/>
          <w:szCs w:val="22"/>
        </w:rPr>
      </w:pPr>
    </w:p>
    <w:tbl>
      <w:tblPr>
        <w:tblW w:w="8910" w:type="dxa"/>
        <w:tblInd w:w="108" w:type="dxa"/>
        <w:tblLayout w:type="fixed"/>
        <w:tblLook w:val="0000" w:firstRow="0" w:lastRow="0" w:firstColumn="0" w:lastColumn="0" w:noHBand="0" w:noVBand="0"/>
      </w:tblPr>
      <w:tblGrid>
        <w:gridCol w:w="1430"/>
        <w:gridCol w:w="1540"/>
        <w:gridCol w:w="1430"/>
        <w:gridCol w:w="1600"/>
        <w:gridCol w:w="930"/>
        <w:gridCol w:w="990"/>
        <w:gridCol w:w="990"/>
      </w:tblGrid>
      <w:tr w:rsidR="00A7162A" w14:paraId="20A68DEF" w14:textId="38A9C354" w:rsidTr="00F675CF">
        <w:trPr>
          <w:cantSplit/>
          <w:del w:id="7393" w:author="AbbVie2" w:date="2025-05-13T16:39:00Z"/>
        </w:trPr>
        <w:tc>
          <w:tcPr>
            <w:tcW w:w="8910" w:type="dxa"/>
            <w:gridSpan w:val="7"/>
            <w:tcBorders>
              <w:bottom w:val="single" w:sz="4" w:space="0" w:color="auto"/>
            </w:tcBorders>
          </w:tcPr>
          <w:p w14:paraId="33656023" w14:textId="2345A583" w:rsidR="004462A0" w:rsidRPr="008912CF" w:rsidRDefault="00615769">
            <w:pPr>
              <w:rPr>
                <w:del w:id="7394" w:author="AbbVie2" w:date="2025-05-13T16:39:00Z"/>
                <w:b/>
                <w:bCs/>
              </w:rPr>
              <w:pPrChange w:id="7395" w:author="AbbVie2" w:date="2025-05-13T16:40:00Z">
                <w:pPr>
                  <w:pStyle w:val="Heading9"/>
                  <w:jc w:val="center"/>
                </w:pPr>
              </w:pPrChange>
            </w:pPr>
            <w:del w:id="7396" w:author="AbbVie2" w:date="2025-05-13T16:39:00Z">
              <w:r w:rsidRPr="008912CF">
                <w:rPr>
                  <w:b/>
                  <w:bCs/>
                  <w:szCs w:val="22"/>
                </w:rPr>
                <w:delText xml:space="preserve">Tabela </w:delText>
              </w:r>
              <w:r w:rsidR="00A22EC4">
                <w:rPr>
                  <w:b/>
                  <w:bCs/>
                  <w:szCs w:val="22"/>
                </w:rPr>
                <w:delText>1</w:delText>
              </w:r>
              <w:r w:rsidR="00E3620C">
                <w:rPr>
                  <w:b/>
                  <w:bCs/>
                  <w:szCs w:val="22"/>
                </w:rPr>
                <w:delText>1</w:delText>
              </w:r>
            </w:del>
          </w:p>
          <w:p w14:paraId="5325E18D" w14:textId="10A56A32" w:rsidR="004462A0" w:rsidRPr="008912CF" w:rsidRDefault="00615769">
            <w:pPr>
              <w:rPr>
                <w:del w:id="7397" w:author="AbbVie2" w:date="2025-05-13T16:39:00Z"/>
                <w:b/>
                <w:bCs/>
                <w:highlight w:val="cyan"/>
              </w:rPr>
              <w:pPrChange w:id="7398" w:author="AbbVie2" w:date="2025-05-13T16:40:00Z">
                <w:pPr>
                  <w:pStyle w:val="Heading9"/>
                  <w:jc w:val="center"/>
                </w:pPr>
              </w:pPrChange>
            </w:pPr>
            <w:del w:id="7399" w:author="AbbVie2" w:date="2025-05-13T16:39:00Z">
              <w:r w:rsidRPr="008912CF">
                <w:rPr>
                  <w:b/>
                  <w:bCs/>
                  <w:szCs w:val="22"/>
                </w:rPr>
                <w:delText xml:space="preserve">Alteração Média Radiológica </w:delText>
              </w:r>
              <w:r w:rsidR="00FB0C02">
                <w:rPr>
                  <w:b/>
                  <w:bCs/>
                  <w:szCs w:val="22"/>
                </w:rPr>
                <w:delText>à</w:delText>
              </w:r>
              <w:r w:rsidRPr="008912CF">
                <w:rPr>
                  <w:b/>
                  <w:bCs/>
                  <w:szCs w:val="22"/>
                </w:rPr>
                <w:delText xml:space="preserve"> Semana 52 no Estudo AR V</w:delText>
              </w:r>
            </w:del>
          </w:p>
          <w:p w14:paraId="6F4AB8F5" w14:textId="34E7B8D0" w:rsidR="004462A0" w:rsidRPr="008912CF" w:rsidRDefault="004462A0">
            <w:pPr>
              <w:rPr>
                <w:del w:id="7400" w:author="AbbVie2" w:date="2025-05-13T16:39:00Z"/>
              </w:rPr>
              <w:pPrChange w:id="7401" w:author="AbbVie2" w:date="2025-05-13T16:40:00Z">
                <w:pPr>
                  <w:keepNext/>
                </w:pPr>
              </w:pPrChange>
            </w:pPr>
          </w:p>
        </w:tc>
      </w:tr>
      <w:tr w:rsidR="00A7162A" w14:paraId="56C65586" w14:textId="5E95B833" w:rsidTr="00F675CF">
        <w:trPr>
          <w:del w:id="7402" w:author="AbbVie2" w:date="2025-05-13T16:39:00Z"/>
        </w:trPr>
        <w:tc>
          <w:tcPr>
            <w:tcW w:w="1430" w:type="dxa"/>
            <w:tcBorders>
              <w:top w:val="single" w:sz="4" w:space="0" w:color="auto"/>
              <w:left w:val="single" w:sz="4" w:space="0" w:color="auto"/>
              <w:bottom w:val="single" w:sz="4" w:space="0" w:color="auto"/>
              <w:right w:val="single" w:sz="4" w:space="0" w:color="auto"/>
            </w:tcBorders>
            <w:vAlign w:val="center"/>
          </w:tcPr>
          <w:p w14:paraId="309FD847" w14:textId="63B73718" w:rsidR="004462A0" w:rsidRPr="008912CF" w:rsidRDefault="004462A0">
            <w:pPr>
              <w:rPr>
                <w:del w:id="7403" w:author="AbbVie2" w:date="2025-05-13T16:39:00Z"/>
              </w:rPr>
              <w:pPrChange w:id="7404" w:author="AbbVie2" w:date="2025-05-13T16:40:00Z">
                <w:pPr>
                  <w:keepNext/>
                </w:pPr>
              </w:pPrChange>
            </w:pPr>
          </w:p>
        </w:tc>
        <w:tc>
          <w:tcPr>
            <w:tcW w:w="1540" w:type="dxa"/>
            <w:tcBorders>
              <w:top w:val="single" w:sz="4" w:space="0" w:color="auto"/>
              <w:left w:val="single" w:sz="4" w:space="0" w:color="auto"/>
              <w:bottom w:val="single" w:sz="4" w:space="0" w:color="auto"/>
              <w:right w:val="single" w:sz="4" w:space="0" w:color="auto"/>
            </w:tcBorders>
            <w:vAlign w:val="center"/>
          </w:tcPr>
          <w:p w14:paraId="7F38D615" w14:textId="7A9F000C" w:rsidR="004462A0" w:rsidRPr="008912CF" w:rsidRDefault="00615769">
            <w:pPr>
              <w:rPr>
                <w:del w:id="7405" w:author="AbbVie2" w:date="2025-05-13T16:39:00Z"/>
              </w:rPr>
              <w:pPrChange w:id="7406" w:author="AbbVie2" w:date="2025-05-13T16:40:00Z">
                <w:pPr>
                  <w:keepNext/>
                  <w:jc w:val="center"/>
                </w:pPr>
              </w:pPrChange>
            </w:pPr>
            <w:del w:id="7407" w:author="AbbVie2" w:date="2025-05-13T16:39:00Z">
              <w:r w:rsidRPr="008912CF">
                <w:rPr>
                  <w:sz w:val="22"/>
                  <w:szCs w:val="22"/>
                </w:rPr>
                <w:delText>MTX</w:delText>
              </w:r>
            </w:del>
          </w:p>
          <w:p w14:paraId="4279EFF8" w14:textId="49349DFE" w:rsidR="004462A0" w:rsidRPr="008912CF" w:rsidRDefault="00615769">
            <w:pPr>
              <w:rPr>
                <w:del w:id="7408" w:author="AbbVie2" w:date="2025-05-13T16:39:00Z"/>
              </w:rPr>
              <w:pPrChange w:id="7409" w:author="AbbVie2" w:date="2025-05-13T16:40:00Z">
                <w:pPr>
                  <w:keepNext/>
                  <w:jc w:val="center"/>
                </w:pPr>
              </w:pPrChange>
            </w:pPr>
            <w:del w:id="7410" w:author="AbbVie2" w:date="2025-05-13T16:39:00Z">
              <w:r w:rsidRPr="008912CF">
                <w:rPr>
                  <w:sz w:val="22"/>
                  <w:szCs w:val="22"/>
                </w:rPr>
                <w:delText>n = 257</w:delText>
              </w:r>
            </w:del>
          </w:p>
          <w:p w14:paraId="5AF7DF2C" w14:textId="02A97883" w:rsidR="004462A0" w:rsidRPr="008912CF" w:rsidRDefault="00615769">
            <w:pPr>
              <w:rPr>
                <w:del w:id="7411" w:author="AbbVie2" w:date="2025-05-13T16:39:00Z"/>
              </w:rPr>
              <w:pPrChange w:id="7412" w:author="AbbVie2" w:date="2025-05-13T16:40:00Z">
                <w:pPr>
                  <w:keepNext/>
                  <w:jc w:val="center"/>
                </w:pPr>
              </w:pPrChange>
            </w:pPr>
            <w:del w:id="7413" w:author="AbbVie2" w:date="2025-05-13T16:39:00Z">
              <w:r w:rsidRPr="008912CF">
                <w:rPr>
                  <w:sz w:val="22"/>
                  <w:szCs w:val="22"/>
                </w:rPr>
                <w:delText>(95% intervalo de confiança)</w:delText>
              </w:r>
            </w:del>
          </w:p>
        </w:tc>
        <w:tc>
          <w:tcPr>
            <w:tcW w:w="1430" w:type="dxa"/>
            <w:tcBorders>
              <w:top w:val="single" w:sz="4" w:space="0" w:color="auto"/>
              <w:left w:val="single" w:sz="4" w:space="0" w:color="auto"/>
              <w:bottom w:val="single" w:sz="4" w:space="0" w:color="auto"/>
              <w:right w:val="single" w:sz="4" w:space="0" w:color="auto"/>
            </w:tcBorders>
            <w:vAlign w:val="center"/>
          </w:tcPr>
          <w:p w14:paraId="72399244" w14:textId="7C0890E4" w:rsidR="004462A0" w:rsidRPr="008912CF" w:rsidRDefault="00615769">
            <w:pPr>
              <w:rPr>
                <w:del w:id="7414" w:author="AbbVie2" w:date="2025-05-13T16:39:00Z"/>
              </w:rPr>
              <w:pPrChange w:id="7415" w:author="AbbVie2" w:date="2025-05-13T16:40:00Z">
                <w:pPr>
                  <w:keepNext/>
                  <w:jc w:val="center"/>
                </w:pPr>
              </w:pPrChange>
            </w:pPr>
            <w:del w:id="7416" w:author="AbbVie2" w:date="2025-05-13T16:39:00Z">
              <w:r w:rsidRPr="008912CF">
                <w:rPr>
                  <w:sz w:val="22"/>
                  <w:szCs w:val="22"/>
                </w:rPr>
                <w:delText>Humira</w:delText>
              </w:r>
            </w:del>
          </w:p>
          <w:p w14:paraId="25AD4180" w14:textId="1EAD49E6" w:rsidR="004462A0" w:rsidRPr="008912CF" w:rsidRDefault="00615769">
            <w:pPr>
              <w:rPr>
                <w:del w:id="7417" w:author="AbbVie2" w:date="2025-05-13T16:39:00Z"/>
                <w:szCs w:val="22"/>
              </w:rPr>
              <w:pPrChange w:id="7418" w:author="AbbVie2" w:date="2025-05-13T16:40:00Z">
                <w:pPr>
                  <w:pStyle w:val="EMEAFigureTitle"/>
                  <w:keepNext/>
                  <w:jc w:val="center"/>
                </w:pPr>
              </w:pPrChange>
            </w:pPr>
            <w:del w:id="7419" w:author="AbbVie2" w:date="2025-05-13T16:39:00Z">
              <w:r w:rsidRPr="008912CF">
                <w:rPr>
                  <w:szCs w:val="22"/>
                </w:rPr>
                <w:delText>n = 274</w:delText>
              </w:r>
            </w:del>
          </w:p>
          <w:p w14:paraId="02B69CA7" w14:textId="7B4049A3" w:rsidR="004462A0" w:rsidRPr="008912CF" w:rsidRDefault="00615769">
            <w:pPr>
              <w:rPr>
                <w:del w:id="7420" w:author="AbbVie2" w:date="2025-05-13T16:39:00Z"/>
              </w:rPr>
              <w:pPrChange w:id="7421" w:author="AbbVie2" w:date="2025-05-13T16:40:00Z">
                <w:pPr>
                  <w:keepNext/>
                  <w:jc w:val="center"/>
                </w:pPr>
              </w:pPrChange>
            </w:pPr>
            <w:del w:id="7422" w:author="AbbVie2" w:date="2025-05-13T16:39:00Z">
              <w:r w:rsidRPr="008912CF">
                <w:rPr>
                  <w:sz w:val="22"/>
                  <w:szCs w:val="22"/>
                </w:rPr>
                <w:delText>(95% intervalo de confiança)</w:delText>
              </w:r>
            </w:del>
          </w:p>
        </w:tc>
        <w:tc>
          <w:tcPr>
            <w:tcW w:w="1600" w:type="dxa"/>
            <w:tcBorders>
              <w:top w:val="single" w:sz="4" w:space="0" w:color="auto"/>
              <w:left w:val="single" w:sz="4" w:space="0" w:color="auto"/>
              <w:bottom w:val="single" w:sz="4" w:space="0" w:color="auto"/>
              <w:right w:val="single" w:sz="4" w:space="0" w:color="auto"/>
            </w:tcBorders>
            <w:vAlign w:val="center"/>
          </w:tcPr>
          <w:p w14:paraId="32A45B48" w14:textId="3A24AEE4" w:rsidR="004462A0" w:rsidRPr="008912CF" w:rsidRDefault="00615769">
            <w:pPr>
              <w:rPr>
                <w:del w:id="7423" w:author="AbbVie2" w:date="2025-05-13T16:39:00Z"/>
              </w:rPr>
              <w:pPrChange w:id="7424" w:author="AbbVie2" w:date="2025-05-13T16:40:00Z">
                <w:pPr>
                  <w:keepNext/>
                  <w:jc w:val="center"/>
                </w:pPr>
              </w:pPrChange>
            </w:pPr>
            <w:del w:id="7425" w:author="AbbVie2" w:date="2025-05-13T16:39:00Z">
              <w:r w:rsidRPr="008912CF">
                <w:rPr>
                  <w:sz w:val="22"/>
                  <w:szCs w:val="22"/>
                </w:rPr>
                <w:delText>Humira/MTX</w:delText>
              </w:r>
            </w:del>
          </w:p>
          <w:p w14:paraId="664E9DDE" w14:textId="03CD7B85" w:rsidR="004462A0" w:rsidRPr="008912CF" w:rsidRDefault="00615769">
            <w:pPr>
              <w:rPr>
                <w:del w:id="7426" w:author="AbbVie2" w:date="2025-05-13T16:39:00Z"/>
                <w:szCs w:val="22"/>
              </w:rPr>
              <w:pPrChange w:id="7427" w:author="AbbVie2" w:date="2025-05-13T16:40:00Z">
                <w:pPr>
                  <w:pStyle w:val="EMEAFigureTitle"/>
                  <w:keepNext/>
                  <w:jc w:val="center"/>
                </w:pPr>
              </w:pPrChange>
            </w:pPr>
            <w:del w:id="7428" w:author="AbbVie2" w:date="2025-05-13T16:39:00Z">
              <w:r w:rsidRPr="008912CF">
                <w:rPr>
                  <w:szCs w:val="22"/>
                </w:rPr>
                <w:delText>n = 268</w:delText>
              </w:r>
            </w:del>
          </w:p>
          <w:p w14:paraId="710B2DC7" w14:textId="43B705EB" w:rsidR="004462A0" w:rsidRPr="008912CF" w:rsidRDefault="00615769">
            <w:pPr>
              <w:rPr>
                <w:del w:id="7429" w:author="AbbVie2" w:date="2025-05-13T16:39:00Z"/>
                <w:szCs w:val="22"/>
              </w:rPr>
              <w:pPrChange w:id="7430" w:author="AbbVie2" w:date="2025-05-13T16:40:00Z">
                <w:pPr>
                  <w:pStyle w:val="EMEANormal"/>
                  <w:keepNext/>
                  <w:jc w:val="center"/>
                </w:pPr>
              </w:pPrChange>
            </w:pPr>
            <w:del w:id="7431" w:author="AbbVie2" w:date="2025-05-13T16:39:00Z">
              <w:r w:rsidRPr="008912CF">
                <w:rPr>
                  <w:szCs w:val="22"/>
                </w:rPr>
                <w:delText>(95% intervalo de confiança)</w:delText>
              </w:r>
            </w:del>
          </w:p>
        </w:tc>
        <w:tc>
          <w:tcPr>
            <w:tcW w:w="930" w:type="dxa"/>
            <w:tcBorders>
              <w:top w:val="single" w:sz="4" w:space="0" w:color="auto"/>
              <w:left w:val="single" w:sz="4" w:space="0" w:color="auto"/>
              <w:bottom w:val="single" w:sz="4" w:space="0" w:color="auto"/>
              <w:right w:val="single" w:sz="4" w:space="0" w:color="auto"/>
            </w:tcBorders>
            <w:vAlign w:val="center"/>
          </w:tcPr>
          <w:p w14:paraId="54E82D38" w14:textId="1588FD84" w:rsidR="004462A0" w:rsidRPr="008912CF" w:rsidRDefault="00615769">
            <w:pPr>
              <w:rPr>
                <w:del w:id="7432" w:author="AbbVie2" w:date="2025-05-13T16:39:00Z"/>
                <w:szCs w:val="22"/>
              </w:rPr>
              <w:pPrChange w:id="7433" w:author="AbbVie2" w:date="2025-05-13T16:40:00Z">
                <w:pPr>
                  <w:pStyle w:val="EMEANormal"/>
                  <w:keepNext/>
                  <w:jc w:val="center"/>
                </w:pPr>
              </w:pPrChange>
            </w:pPr>
            <w:del w:id="7434" w:author="AbbVie2" w:date="2025-05-13T16:39:00Z">
              <w:r w:rsidRPr="008912CF">
                <w:rPr>
                  <w:szCs w:val="22"/>
                </w:rPr>
                <w:delText>valor</w:delText>
              </w:r>
              <w:r w:rsidR="004D006C">
                <w:rPr>
                  <w:szCs w:val="22"/>
                </w:rPr>
                <w:delText>-p</w:delText>
              </w:r>
              <w:r w:rsidRPr="008912CF">
                <w:rPr>
                  <w:szCs w:val="22"/>
                  <w:vertAlign w:val="superscript"/>
                </w:rPr>
                <w:delText>a</w:delText>
              </w:r>
            </w:del>
          </w:p>
        </w:tc>
        <w:tc>
          <w:tcPr>
            <w:tcW w:w="990" w:type="dxa"/>
            <w:tcBorders>
              <w:top w:val="single" w:sz="4" w:space="0" w:color="auto"/>
              <w:left w:val="single" w:sz="4" w:space="0" w:color="auto"/>
              <w:bottom w:val="single" w:sz="4" w:space="0" w:color="auto"/>
              <w:right w:val="single" w:sz="4" w:space="0" w:color="auto"/>
            </w:tcBorders>
            <w:vAlign w:val="center"/>
          </w:tcPr>
          <w:p w14:paraId="6A1B95FB" w14:textId="0EEBA360" w:rsidR="004462A0" w:rsidRPr="008912CF" w:rsidRDefault="00615769">
            <w:pPr>
              <w:rPr>
                <w:del w:id="7435" w:author="AbbVie2" w:date="2025-05-13T16:39:00Z"/>
              </w:rPr>
              <w:pPrChange w:id="7436" w:author="AbbVie2" w:date="2025-05-13T16:40:00Z">
                <w:pPr>
                  <w:keepNext/>
                  <w:jc w:val="center"/>
                </w:pPr>
              </w:pPrChange>
            </w:pPr>
            <w:del w:id="7437" w:author="AbbVie2" w:date="2025-05-13T16:39:00Z">
              <w:r w:rsidRPr="008912CF">
                <w:rPr>
                  <w:sz w:val="22"/>
                  <w:szCs w:val="22"/>
                </w:rPr>
                <w:delText>valor</w:delText>
              </w:r>
              <w:r w:rsidR="004D006C">
                <w:rPr>
                  <w:sz w:val="22"/>
                  <w:szCs w:val="22"/>
                </w:rPr>
                <w:delText>-p</w:delText>
              </w:r>
              <w:r w:rsidRPr="008912CF">
                <w:rPr>
                  <w:sz w:val="22"/>
                  <w:szCs w:val="22"/>
                  <w:vertAlign w:val="superscript"/>
                </w:rPr>
                <w:delText>b</w:delText>
              </w:r>
            </w:del>
          </w:p>
        </w:tc>
        <w:tc>
          <w:tcPr>
            <w:tcW w:w="990" w:type="dxa"/>
            <w:tcBorders>
              <w:top w:val="single" w:sz="4" w:space="0" w:color="auto"/>
              <w:left w:val="single" w:sz="4" w:space="0" w:color="auto"/>
              <w:bottom w:val="single" w:sz="4" w:space="0" w:color="auto"/>
              <w:right w:val="single" w:sz="4" w:space="0" w:color="auto"/>
            </w:tcBorders>
            <w:vAlign w:val="center"/>
          </w:tcPr>
          <w:p w14:paraId="3F55B9D1" w14:textId="5CCDCF47" w:rsidR="004462A0" w:rsidRPr="008912CF" w:rsidRDefault="00615769">
            <w:pPr>
              <w:rPr>
                <w:del w:id="7438" w:author="AbbVie2" w:date="2025-05-13T16:39:00Z"/>
              </w:rPr>
              <w:pPrChange w:id="7439" w:author="AbbVie2" w:date="2025-05-13T16:40:00Z">
                <w:pPr>
                  <w:keepNext/>
                  <w:jc w:val="center"/>
                </w:pPr>
              </w:pPrChange>
            </w:pPr>
            <w:del w:id="7440" w:author="AbbVie2" w:date="2025-05-13T16:39:00Z">
              <w:r w:rsidRPr="008912CF">
                <w:rPr>
                  <w:sz w:val="22"/>
                  <w:szCs w:val="22"/>
                </w:rPr>
                <w:delText>valor</w:delText>
              </w:r>
              <w:r w:rsidR="004D006C">
                <w:rPr>
                  <w:sz w:val="22"/>
                  <w:szCs w:val="22"/>
                </w:rPr>
                <w:delText>-p</w:delText>
              </w:r>
              <w:r w:rsidRPr="008912CF">
                <w:rPr>
                  <w:sz w:val="22"/>
                  <w:szCs w:val="22"/>
                  <w:vertAlign w:val="superscript"/>
                </w:rPr>
                <w:delText>c</w:delText>
              </w:r>
            </w:del>
          </w:p>
        </w:tc>
      </w:tr>
      <w:tr w:rsidR="00A7162A" w14:paraId="7C2B39E2" w14:textId="5CEC794D" w:rsidTr="00F675CF">
        <w:trPr>
          <w:del w:id="7441" w:author="AbbVie2" w:date="2025-05-13T16:39:00Z"/>
        </w:trPr>
        <w:tc>
          <w:tcPr>
            <w:tcW w:w="1430" w:type="dxa"/>
            <w:tcBorders>
              <w:top w:val="single" w:sz="4" w:space="0" w:color="auto"/>
              <w:left w:val="single" w:sz="4" w:space="0" w:color="auto"/>
              <w:bottom w:val="single" w:sz="4" w:space="0" w:color="auto"/>
              <w:right w:val="single" w:sz="4" w:space="0" w:color="auto"/>
            </w:tcBorders>
          </w:tcPr>
          <w:p w14:paraId="11CBE447" w14:textId="11699D07" w:rsidR="004462A0" w:rsidRPr="008912CF" w:rsidRDefault="00615769">
            <w:pPr>
              <w:rPr>
                <w:del w:id="7442" w:author="AbbVie2" w:date="2025-05-13T16:39:00Z"/>
                <w:szCs w:val="22"/>
              </w:rPr>
              <w:pPrChange w:id="7443" w:author="AbbVie2" w:date="2025-05-13T16:40:00Z">
                <w:pPr>
                  <w:pStyle w:val="EMEAFigureTitle"/>
                  <w:keepNext/>
                  <w:jc w:val="center"/>
                </w:pPr>
              </w:pPrChange>
            </w:pPr>
            <w:del w:id="7444" w:author="AbbVie2" w:date="2025-05-13T16:39:00Z">
              <w:r w:rsidRPr="008912CF">
                <w:rPr>
                  <w:szCs w:val="22"/>
                </w:rPr>
                <w:delText xml:space="preserve">Escala Total de Sharp </w:delText>
              </w:r>
            </w:del>
          </w:p>
        </w:tc>
        <w:tc>
          <w:tcPr>
            <w:tcW w:w="1540" w:type="dxa"/>
            <w:tcBorders>
              <w:top w:val="single" w:sz="4" w:space="0" w:color="auto"/>
              <w:left w:val="single" w:sz="4" w:space="0" w:color="auto"/>
              <w:bottom w:val="single" w:sz="4" w:space="0" w:color="auto"/>
              <w:right w:val="single" w:sz="4" w:space="0" w:color="auto"/>
            </w:tcBorders>
          </w:tcPr>
          <w:p w14:paraId="56012F2A" w14:textId="454FA939" w:rsidR="004462A0" w:rsidRPr="008912CF" w:rsidRDefault="00615769">
            <w:pPr>
              <w:rPr>
                <w:del w:id="7445" w:author="AbbVie2" w:date="2025-05-13T16:39:00Z"/>
              </w:rPr>
              <w:pPrChange w:id="7446" w:author="AbbVie2" w:date="2025-05-13T16:40:00Z">
                <w:pPr>
                  <w:keepNext/>
                  <w:jc w:val="center"/>
                </w:pPr>
              </w:pPrChange>
            </w:pPr>
            <w:del w:id="7447" w:author="AbbVie2" w:date="2025-05-13T16:39:00Z">
              <w:r w:rsidRPr="008912CF">
                <w:rPr>
                  <w:sz w:val="22"/>
                  <w:szCs w:val="22"/>
                </w:rPr>
                <w:delText>5,7 (4,2-7,3)</w:delText>
              </w:r>
            </w:del>
          </w:p>
        </w:tc>
        <w:tc>
          <w:tcPr>
            <w:tcW w:w="1430" w:type="dxa"/>
            <w:tcBorders>
              <w:top w:val="single" w:sz="4" w:space="0" w:color="auto"/>
              <w:left w:val="single" w:sz="4" w:space="0" w:color="auto"/>
              <w:bottom w:val="single" w:sz="4" w:space="0" w:color="auto"/>
              <w:right w:val="single" w:sz="4" w:space="0" w:color="auto"/>
            </w:tcBorders>
          </w:tcPr>
          <w:p w14:paraId="067B4104" w14:textId="734EB7AA" w:rsidR="004462A0" w:rsidRPr="008912CF" w:rsidRDefault="00615769">
            <w:pPr>
              <w:rPr>
                <w:del w:id="7448" w:author="AbbVie2" w:date="2025-05-13T16:39:00Z"/>
                <w:szCs w:val="22"/>
              </w:rPr>
              <w:pPrChange w:id="7449" w:author="AbbVie2" w:date="2025-05-13T16:40:00Z">
                <w:pPr>
                  <w:pStyle w:val="EndnoteText"/>
                  <w:keepNext/>
                  <w:jc w:val="center"/>
                </w:pPr>
              </w:pPrChange>
            </w:pPr>
            <w:del w:id="7450" w:author="AbbVie2" w:date="2025-05-13T16:39:00Z">
              <w:r w:rsidRPr="008912CF">
                <w:rPr>
                  <w:szCs w:val="22"/>
                </w:rPr>
                <w:delText>3,0 (1,7-4,3)</w:delText>
              </w:r>
            </w:del>
          </w:p>
        </w:tc>
        <w:tc>
          <w:tcPr>
            <w:tcW w:w="1600" w:type="dxa"/>
            <w:tcBorders>
              <w:top w:val="single" w:sz="4" w:space="0" w:color="auto"/>
              <w:left w:val="single" w:sz="4" w:space="0" w:color="auto"/>
              <w:bottom w:val="single" w:sz="4" w:space="0" w:color="auto"/>
              <w:right w:val="single" w:sz="4" w:space="0" w:color="auto"/>
            </w:tcBorders>
          </w:tcPr>
          <w:p w14:paraId="4179F95D" w14:textId="5A3033F6" w:rsidR="004462A0" w:rsidRPr="008912CF" w:rsidRDefault="00615769">
            <w:pPr>
              <w:rPr>
                <w:del w:id="7451" w:author="AbbVie2" w:date="2025-05-13T16:39:00Z"/>
                <w:szCs w:val="22"/>
              </w:rPr>
              <w:pPrChange w:id="7452" w:author="AbbVie2" w:date="2025-05-13T16:40:00Z">
                <w:pPr>
                  <w:pStyle w:val="EndnoteText"/>
                  <w:keepNext/>
                  <w:jc w:val="center"/>
                </w:pPr>
              </w:pPrChange>
            </w:pPr>
            <w:del w:id="7453" w:author="AbbVie2" w:date="2025-05-13T16:39:00Z">
              <w:r w:rsidRPr="008912CF">
                <w:rPr>
                  <w:szCs w:val="22"/>
                </w:rPr>
                <w:delText>1,3 (0,5-2,1)</w:delText>
              </w:r>
            </w:del>
          </w:p>
        </w:tc>
        <w:tc>
          <w:tcPr>
            <w:tcW w:w="930" w:type="dxa"/>
            <w:tcBorders>
              <w:top w:val="single" w:sz="4" w:space="0" w:color="auto"/>
              <w:left w:val="single" w:sz="4" w:space="0" w:color="auto"/>
              <w:bottom w:val="single" w:sz="4" w:space="0" w:color="auto"/>
              <w:right w:val="single" w:sz="4" w:space="0" w:color="auto"/>
            </w:tcBorders>
          </w:tcPr>
          <w:p w14:paraId="7F60467D" w14:textId="526B0ACB" w:rsidR="004462A0" w:rsidRPr="008912CF" w:rsidRDefault="00615769">
            <w:pPr>
              <w:rPr>
                <w:del w:id="7454" w:author="AbbVie2" w:date="2025-05-13T16:39:00Z"/>
                <w:szCs w:val="22"/>
              </w:rPr>
              <w:pPrChange w:id="7455" w:author="AbbVie2" w:date="2025-05-13T16:40:00Z">
                <w:pPr>
                  <w:pStyle w:val="EndnoteText"/>
                  <w:keepNext/>
                  <w:jc w:val="center"/>
                </w:pPr>
              </w:pPrChange>
            </w:pPr>
            <w:del w:id="7456" w:author="AbbVie2" w:date="2025-05-13T16:39:00Z">
              <w:r w:rsidRPr="008912CF">
                <w:rPr>
                  <w:szCs w:val="22"/>
                </w:rPr>
                <w:delText>&lt; 0,001</w:delText>
              </w:r>
            </w:del>
          </w:p>
        </w:tc>
        <w:tc>
          <w:tcPr>
            <w:tcW w:w="990" w:type="dxa"/>
            <w:tcBorders>
              <w:top w:val="single" w:sz="4" w:space="0" w:color="auto"/>
              <w:left w:val="single" w:sz="4" w:space="0" w:color="auto"/>
              <w:bottom w:val="single" w:sz="4" w:space="0" w:color="auto"/>
              <w:right w:val="single" w:sz="4" w:space="0" w:color="auto"/>
            </w:tcBorders>
          </w:tcPr>
          <w:p w14:paraId="2B7D2438" w14:textId="1849D9E2" w:rsidR="004462A0" w:rsidRPr="008912CF" w:rsidRDefault="00615769">
            <w:pPr>
              <w:rPr>
                <w:del w:id="7457" w:author="AbbVie2" w:date="2025-05-13T16:39:00Z"/>
              </w:rPr>
              <w:pPrChange w:id="7458" w:author="AbbVie2" w:date="2025-05-13T16:40:00Z">
                <w:pPr>
                  <w:keepNext/>
                  <w:jc w:val="center"/>
                </w:pPr>
              </w:pPrChange>
            </w:pPr>
            <w:del w:id="7459" w:author="AbbVie2" w:date="2025-05-13T16:39:00Z">
              <w:r w:rsidRPr="008912CF">
                <w:rPr>
                  <w:sz w:val="22"/>
                  <w:szCs w:val="22"/>
                </w:rPr>
                <w:delText>0,0020</w:delText>
              </w:r>
            </w:del>
          </w:p>
        </w:tc>
        <w:tc>
          <w:tcPr>
            <w:tcW w:w="990" w:type="dxa"/>
            <w:tcBorders>
              <w:top w:val="single" w:sz="4" w:space="0" w:color="auto"/>
              <w:left w:val="single" w:sz="4" w:space="0" w:color="auto"/>
              <w:bottom w:val="single" w:sz="4" w:space="0" w:color="auto"/>
              <w:right w:val="single" w:sz="4" w:space="0" w:color="auto"/>
            </w:tcBorders>
          </w:tcPr>
          <w:p w14:paraId="7AE34717" w14:textId="642E3D24" w:rsidR="004462A0" w:rsidRPr="008912CF" w:rsidRDefault="00615769">
            <w:pPr>
              <w:rPr>
                <w:del w:id="7460" w:author="AbbVie2" w:date="2025-05-13T16:39:00Z"/>
              </w:rPr>
              <w:pPrChange w:id="7461" w:author="AbbVie2" w:date="2025-05-13T16:40:00Z">
                <w:pPr>
                  <w:keepNext/>
                  <w:jc w:val="center"/>
                </w:pPr>
              </w:pPrChange>
            </w:pPr>
            <w:del w:id="7462" w:author="AbbVie2" w:date="2025-05-13T16:39:00Z">
              <w:r w:rsidRPr="008912CF">
                <w:rPr>
                  <w:sz w:val="22"/>
                  <w:szCs w:val="22"/>
                </w:rPr>
                <w:delText>&lt; 0,001</w:delText>
              </w:r>
            </w:del>
          </w:p>
        </w:tc>
      </w:tr>
      <w:tr w:rsidR="00A7162A" w14:paraId="20532123" w14:textId="167289CE" w:rsidTr="00F675CF">
        <w:trPr>
          <w:del w:id="7463" w:author="AbbVie2" w:date="2025-05-13T16:39:00Z"/>
        </w:trPr>
        <w:tc>
          <w:tcPr>
            <w:tcW w:w="1430" w:type="dxa"/>
            <w:tcBorders>
              <w:top w:val="single" w:sz="4" w:space="0" w:color="auto"/>
              <w:left w:val="single" w:sz="4" w:space="0" w:color="auto"/>
              <w:bottom w:val="single" w:sz="4" w:space="0" w:color="auto"/>
              <w:right w:val="single" w:sz="4" w:space="0" w:color="auto"/>
            </w:tcBorders>
          </w:tcPr>
          <w:p w14:paraId="21588F1C" w14:textId="634F9A04" w:rsidR="004462A0" w:rsidRPr="008912CF" w:rsidRDefault="00615769">
            <w:pPr>
              <w:rPr>
                <w:del w:id="7464" w:author="AbbVie2" w:date="2025-05-13T16:39:00Z"/>
              </w:rPr>
              <w:pPrChange w:id="7465" w:author="AbbVie2" w:date="2025-05-13T16:40:00Z">
                <w:pPr>
                  <w:keepNext/>
                  <w:jc w:val="center"/>
                </w:pPr>
              </w:pPrChange>
            </w:pPr>
            <w:del w:id="7466" w:author="AbbVie2" w:date="2025-05-13T16:39:00Z">
              <w:r w:rsidRPr="008912CF">
                <w:rPr>
                  <w:sz w:val="22"/>
                  <w:szCs w:val="22"/>
                </w:rPr>
                <w:delText>Escala de Erosão</w:delText>
              </w:r>
            </w:del>
          </w:p>
        </w:tc>
        <w:tc>
          <w:tcPr>
            <w:tcW w:w="1540" w:type="dxa"/>
            <w:tcBorders>
              <w:top w:val="single" w:sz="4" w:space="0" w:color="auto"/>
              <w:left w:val="single" w:sz="4" w:space="0" w:color="auto"/>
              <w:bottom w:val="single" w:sz="4" w:space="0" w:color="auto"/>
              <w:right w:val="single" w:sz="4" w:space="0" w:color="auto"/>
            </w:tcBorders>
          </w:tcPr>
          <w:p w14:paraId="5D76F053" w14:textId="17CAC009" w:rsidR="004462A0" w:rsidRPr="008912CF" w:rsidRDefault="00615769">
            <w:pPr>
              <w:rPr>
                <w:del w:id="7467" w:author="AbbVie2" w:date="2025-05-13T16:39:00Z"/>
              </w:rPr>
              <w:pPrChange w:id="7468" w:author="AbbVie2" w:date="2025-05-13T16:40:00Z">
                <w:pPr>
                  <w:keepNext/>
                  <w:jc w:val="center"/>
                </w:pPr>
              </w:pPrChange>
            </w:pPr>
            <w:del w:id="7469" w:author="AbbVie2" w:date="2025-05-13T16:39:00Z">
              <w:r w:rsidRPr="008912CF">
                <w:rPr>
                  <w:sz w:val="22"/>
                  <w:szCs w:val="22"/>
                </w:rPr>
                <w:delText>3,7 (2,7-4,7)</w:delText>
              </w:r>
            </w:del>
          </w:p>
        </w:tc>
        <w:tc>
          <w:tcPr>
            <w:tcW w:w="1430" w:type="dxa"/>
            <w:tcBorders>
              <w:top w:val="single" w:sz="4" w:space="0" w:color="auto"/>
              <w:left w:val="single" w:sz="4" w:space="0" w:color="auto"/>
              <w:bottom w:val="single" w:sz="4" w:space="0" w:color="auto"/>
              <w:right w:val="single" w:sz="4" w:space="0" w:color="auto"/>
            </w:tcBorders>
          </w:tcPr>
          <w:p w14:paraId="36EE811C" w14:textId="2289923C" w:rsidR="004462A0" w:rsidRPr="008912CF" w:rsidRDefault="00615769">
            <w:pPr>
              <w:rPr>
                <w:del w:id="7470" w:author="AbbVie2" w:date="2025-05-13T16:39:00Z"/>
              </w:rPr>
              <w:pPrChange w:id="7471" w:author="AbbVie2" w:date="2025-05-13T16:40:00Z">
                <w:pPr>
                  <w:keepNext/>
                  <w:jc w:val="center"/>
                </w:pPr>
              </w:pPrChange>
            </w:pPr>
            <w:del w:id="7472" w:author="AbbVie2" w:date="2025-05-13T16:39:00Z">
              <w:r w:rsidRPr="008912CF">
                <w:rPr>
                  <w:sz w:val="22"/>
                  <w:szCs w:val="22"/>
                </w:rPr>
                <w:delText>1,7 (1,0-2,4)</w:delText>
              </w:r>
            </w:del>
          </w:p>
        </w:tc>
        <w:tc>
          <w:tcPr>
            <w:tcW w:w="1600" w:type="dxa"/>
            <w:tcBorders>
              <w:top w:val="single" w:sz="4" w:space="0" w:color="auto"/>
              <w:left w:val="single" w:sz="4" w:space="0" w:color="auto"/>
              <w:bottom w:val="single" w:sz="4" w:space="0" w:color="auto"/>
              <w:right w:val="single" w:sz="4" w:space="0" w:color="auto"/>
            </w:tcBorders>
          </w:tcPr>
          <w:p w14:paraId="76DBEAA8" w14:textId="48AFEB38" w:rsidR="004462A0" w:rsidRPr="008912CF" w:rsidRDefault="00615769">
            <w:pPr>
              <w:rPr>
                <w:del w:id="7473" w:author="AbbVie2" w:date="2025-05-13T16:39:00Z"/>
              </w:rPr>
              <w:pPrChange w:id="7474" w:author="AbbVie2" w:date="2025-05-13T16:40:00Z">
                <w:pPr>
                  <w:keepNext/>
                  <w:jc w:val="center"/>
                </w:pPr>
              </w:pPrChange>
            </w:pPr>
            <w:del w:id="7475" w:author="AbbVie2" w:date="2025-05-13T16:39:00Z">
              <w:r w:rsidRPr="008912CF">
                <w:rPr>
                  <w:sz w:val="22"/>
                  <w:szCs w:val="22"/>
                </w:rPr>
                <w:delText>0,8 (0,4-1,2)</w:delText>
              </w:r>
            </w:del>
          </w:p>
        </w:tc>
        <w:tc>
          <w:tcPr>
            <w:tcW w:w="930" w:type="dxa"/>
            <w:tcBorders>
              <w:top w:val="single" w:sz="4" w:space="0" w:color="auto"/>
              <w:left w:val="single" w:sz="4" w:space="0" w:color="auto"/>
              <w:bottom w:val="single" w:sz="4" w:space="0" w:color="auto"/>
              <w:right w:val="single" w:sz="4" w:space="0" w:color="auto"/>
            </w:tcBorders>
          </w:tcPr>
          <w:p w14:paraId="6DC626EA" w14:textId="625E5192" w:rsidR="004462A0" w:rsidRPr="008912CF" w:rsidRDefault="00615769">
            <w:pPr>
              <w:rPr>
                <w:del w:id="7476" w:author="AbbVie2" w:date="2025-05-13T16:39:00Z"/>
              </w:rPr>
              <w:pPrChange w:id="7477" w:author="AbbVie2" w:date="2025-05-13T16:40:00Z">
                <w:pPr>
                  <w:keepNext/>
                  <w:jc w:val="center"/>
                </w:pPr>
              </w:pPrChange>
            </w:pPr>
            <w:del w:id="7478" w:author="AbbVie2" w:date="2025-05-13T16:39:00Z">
              <w:r w:rsidRPr="008912CF">
                <w:rPr>
                  <w:sz w:val="22"/>
                  <w:szCs w:val="22"/>
                </w:rPr>
                <w:delText>&lt; 0,001</w:delText>
              </w:r>
            </w:del>
          </w:p>
        </w:tc>
        <w:tc>
          <w:tcPr>
            <w:tcW w:w="990" w:type="dxa"/>
            <w:tcBorders>
              <w:top w:val="single" w:sz="4" w:space="0" w:color="auto"/>
              <w:left w:val="single" w:sz="4" w:space="0" w:color="auto"/>
              <w:bottom w:val="single" w:sz="4" w:space="0" w:color="auto"/>
              <w:right w:val="single" w:sz="4" w:space="0" w:color="auto"/>
            </w:tcBorders>
          </w:tcPr>
          <w:p w14:paraId="65CFD0D2" w14:textId="6C95E526" w:rsidR="004462A0" w:rsidRPr="008912CF" w:rsidRDefault="00615769">
            <w:pPr>
              <w:rPr>
                <w:del w:id="7479" w:author="AbbVie2" w:date="2025-05-13T16:39:00Z"/>
              </w:rPr>
              <w:pPrChange w:id="7480" w:author="AbbVie2" w:date="2025-05-13T16:40:00Z">
                <w:pPr>
                  <w:keepNext/>
                  <w:jc w:val="center"/>
                </w:pPr>
              </w:pPrChange>
            </w:pPr>
            <w:del w:id="7481" w:author="AbbVie2" w:date="2025-05-13T16:39:00Z">
              <w:r w:rsidRPr="008912CF">
                <w:rPr>
                  <w:sz w:val="22"/>
                  <w:szCs w:val="22"/>
                </w:rPr>
                <w:delText>0,0082</w:delText>
              </w:r>
            </w:del>
          </w:p>
        </w:tc>
        <w:tc>
          <w:tcPr>
            <w:tcW w:w="990" w:type="dxa"/>
            <w:tcBorders>
              <w:top w:val="single" w:sz="4" w:space="0" w:color="auto"/>
              <w:left w:val="single" w:sz="4" w:space="0" w:color="auto"/>
              <w:bottom w:val="single" w:sz="4" w:space="0" w:color="auto"/>
              <w:right w:val="single" w:sz="4" w:space="0" w:color="auto"/>
            </w:tcBorders>
          </w:tcPr>
          <w:p w14:paraId="708B0531" w14:textId="7A11C2FE" w:rsidR="004462A0" w:rsidRPr="008912CF" w:rsidRDefault="00615769">
            <w:pPr>
              <w:rPr>
                <w:del w:id="7482" w:author="AbbVie2" w:date="2025-05-13T16:39:00Z"/>
              </w:rPr>
              <w:pPrChange w:id="7483" w:author="AbbVie2" w:date="2025-05-13T16:40:00Z">
                <w:pPr>
                  <w:keepNext/>
                  <w:jc w:val="center"/>
                </w:pPr>
              </w:pPrChange>
            </w:pPr>
            <w:del w:id="7484" w:author="AbbVie2" w:date="2025-05-13T16:39:00Z">
              <w:r w:rsidRPr="008912CF">
                <w:rPr>
                  <w:sz w:val="22"/>
                  <w:szCs w:val="22"/>
                </w:rPr>
                <w:delText>&lt; 0,001</w:delText>
              </w:r>
            </w:del>
          </w:p>
        </w:tc>
      </w:tr>
      <w:tr w:rsidR="00A7162A" w14:paraId="6DA722B6" w14:textId="574386A3" w:rsidTr="00F675CF">
        <w:trPr>
          <w:del w:id="7485" w:author="AbbVie2" w:date="2025-05-13T16:39:00Z"/>
        </w:trPr>
        <w:tc>
          <w:tcPr>
            <w:tcW w:w="1430" w:type="dxa"/>
            <w:tcBorders>
              <w:top w:val="single" w:sz="4" w:space="0" w:color="auto"/>
              <w:left w:val="single" w:sz="4" w:space="0" w:color="auto"/>
              <w:bottom w:val="single" w:sz="4" w:space="0" w:color="auto"/>
              <w:right w:val="single" w:sz="4" w:space="0" w:color="auto"/>
            </w:tcBorders>
          </w:tcPr>
          <w:p w14:paraId="302B0AC4" w14:textId="58915F63" w:rsidR="004462A0" w:rsidRPr="008912CF" w:rsidRDefault="00615769">
            <w:pPr>
              <w:rPr>
                <w:del w:id="7486" w:author="AbbVie2" w:date="2025-05-13T16:39:00Z"/>
              </w:rPr>
              <w:pPrChange w:id="7487" w:author="AbbVie2" w:date="2025-05-13T16:40:00Z">
                <w:pPr>
                  <w:keepNext/>
                  <w:jc w:val="center"/>
                </w:pPr>
              </w:pPrChange>
            </w:pPr>
            <w:del w:id="7488" w:author="AbbVie2" w:date="2025-05-13T16:39:00Z">
              <w:r w:rsidRPr="008912CF">
                <w:rPr>
                  <w:sz w:val="22"/>
                  <w:szCs w:val="22"/>
                </w:rPr>
                <w:delText xml:space="preserve">Escala de JSN </w:delText>
              </w:r>
            </w:del>
          </w:p>
        </w:tc>
        <w:tc>
          <w:tcPr>
            <w:tcW w:w="1540" w:type="dxa"/>
            <w:tcBorders>
              <w:top w:val="single" w:sz="4" w:space="0" w:color="auto"/>
              <w:left w:val="single" w:sz="4" w:space="0" w:color="auto"/>
              <w:bottom w:val="single" w:sz="4" w:space="0" w:color="auto"/>
              <w:right w:val="single" w:sz="4" w:space="0" w:color="auto"/>
            </w:tcBorders>
          </w:tcPr>
          <w:p w14:paraId="7E48CCE1" w14:textId="50BF8062" w:rsidR="004462A0" w:rsidRPr="008912CF" w:rsidRDefault="00615769">
            <w:pPr>
              <w:rPr>
                <w:del w:id="7489" w:author="AbbVie2" w:date="2025-05-13T16:39:00Z"/>
              </w:rPr>
              <w:pPrChange w:id="7490" w:author="AbbVie2" w:date="2025-05-13T16:40:00Z">
                <w:pPr>
                  <w:keepNext/>
                  <w:jc w:val="center"/>
                </w:pPr>
              </w:pPrChange>
            </w:pPr>
            <w:del w:id="7491" w:author="AbbVie2" w:date="2025-05-13T16:39:00Z">
              <w:r w:rsidRPr="008912CF">
                <w:rPr>
                  <w:sz w:val="22"/>
                  <w:szCs w:val="22"/>
                </w:rPr>
                <w:delText>2,0 (1,2-2,8)</w:delText>
              </w:r>
            </w:del>
          </w:p>
        </w:tc>
        <w:tc>
          <w:tcPr>
            <w:tcW w:w="1430" w:type="dxa"/>
            <w:tcBorders>
              <w:top w:val="single" w:sz="4" w:space="0" w:color="auto"/>
              <w:left w:val="single" w:sz="4" w:space="0" w:color="auto"/>
              <w:bottom w:val="single" w:sz="4" w:space="0" w:color="auto"/>
              <w:right w:val="single" w:sz="4" w:space="0" w:color="auto"/>
            </w:tcBorders>
          </w:tcPr>
          <w:p w14:paraId="49E8BF1C" w14:textId="53F97295" w:rsidR="004462A0" w:rsidRPr="008912CF" w:rsidRDefault="00615769">
            <w:pPr>
              <w:rPr>
                <w:del w:id="7492" w:author="AbbVie2" w:date="2025-05-13T16:39:00Z"/>
              </w:rPr>
              <w:pPrChange w:id="7493" w:author="AbbVie2" w:date="2025-05-13T16:40:00Z">
                <w:pPr>
                  <w:keepNext/>
                  <w:jc w:val="center"/>
                </w:pPr>
              </w:pPrChange>
            </w:pPr>
            <w:del w:id="7494" w:author="AbbVie2" w:date="2025-05-13T16:39:00Z">
              <w:r w:rsidRPr="008912CF">
                <w:rPr>
                  <w:sz w:val="22"/>
                  <w:szCs w:val="22"/>
                </w:rPr>
                <w:delText>1,3 (0,5-2,1)</w:delText>
              </w:r>
            </w:del>
          </w:p>
        </w:tc>
        <w:tc>
          <w:tcPr>
            <w:tcW w:w="1600" w:type="dxa"/>
            <w:tcBorders>
              <w:top w:val="single" w:sz="4" w:space="0" w:color="auto"/>
              <w:left w:val="single" w:sz="4" w:space="0" w:color="auto"/>
              <w:bottom w:val="single" w:sz="4" w:space="0" w:color="auto"/>
              <w:right w:val="single" w:sz="4" w:space="0" w:color="auto"/>
            </w:tcBorders>
          </w:tcPr>
          <w:p w14:paraId="00F87A41" w14:textId="0D01FD91" w:rsidR="004462A0" w:rsidRPr="008912CF" w:rsidRDefault="00615769">
            <w:pPr>
              <w:rPr>
                <w:del w:id="7495" w:author="AbbVie2" w:date="2025-05-13T16:39:00Z"/>
              </w:rPr>
              <w:pPrChange w:id="7496" w:author="AbbVie2" w:date="2025-05-13T16:40:00Z">
                <w:pPr>
                  <w:keepNext/>
                  <w:jc w:val="center"/>
                </w:pPr>
              </w:pPrChange>
            </w:pPr>
            <w:del w:id="7497" w:author="AbbVie2" w:date="2025-05-13T16:39:00Z">
              <w:r w:rsidRPr="008912CF">
                <w:rPr>
                  <w:sz w:val="22"/>
                  <w:szCs w:val="22"/>
                </w:rPr>
                <w:delText>0,5 (0-1,0)</w:delText>
              </w:r>
            </w:del>
          </w:p>
        </w:tc>
        <w:tc>
          <w:tcPr>
            <w:tcW w:w="930" w:type="dxa"/>
            <w:tcBorders>
              <w:top w:val="single" w:sz="4" w:space="0" w:color="auto"/>
              <w:left w:val="single" w:sz="4" w:space="0" w:color="auto"/>
              <w:bottom w:val="single" w:sz="4" w:space="0" w:color="auto"/>
              <w:right w:val="single" w:sz="4" w:space="0" w:color="auto"/>
            </w:tcBorders>
          </w:tcPr>
          <w:p w14:paraId="5776C45D" w14:textId="0518DB25" w:rsidR="004462A0" w:rsidRPr="008912CF" w:rsidRDefault="00615769">
            <w:pPr>
              <w:rPr>
                <w:del w:id="7498" w:author="AbbVie2" w:date="2025-05-13T16:39:00Z"/>
              </w:rPr>
              <w:pPrChange w:id="7499" w:author="AbbVie2" w:date="2025-05-13T16:40:00Z">
                <w:pPr>
                  <w:keepNext/>
                  <w:jc w:val="center"/>
                </w:pPr>
              </w:pPrChange>
            </w:pPr>
            <w:del w:id="7500" w:author="AbbVie2" w:date="2025-05-13T16:39:00Z">
              <w:r w:rsidRPr="008912CF">
                <w:rPr>
                  <w:sz w:val="22"/>
                  <w:szCs w:val="22"/>
                </w:rPr>
                <w:delText>&lt; 0,001</w:delText>
              </w:r>
            </w:del>
          </w:p>
        </w:tc>
        <w:tc>
          <w:tcPr>
            <w:tcW w:w="990" w:type="dxa"/>
            <w:tcBorders>
              <w:top w:val="single" w:sz="4" w:space="0" w:color="auto"/>
              <w:left w:val="single" w:sz="4" w:space="0" w:color="auto"/>
              <w:bottom w:val="single" w:sz="4" w:space="0" w:color="auto"/>
              <w:right w:val="single" w:sz="4" w:space="0" w:color="auto"/>
            </w:tcBorders>
          </w:tcPr>
          <w:p w14:paraId="0257F8D6" w14:textId="64D2E691" w:rsidR="004462A0" w:rsidRPr="008912CF" w:rsidRDefault="00615769">
            <w:pPr>
              <w:rPr>
                <w:del w:id="7501" w:author="AbbVie2" w:date="2025-05-13T16:39:00Z"/>
              </w:rPr>
              <w:pPrChange w:id="7502" w:author="AbbVie2" w:date="2025-05-13T16:40:00Z">
                <w:pPr>
                  <w:keepNext/>
                  <w:jc w:val="center"/>
                </w:pPr>
              </w:pPrChange>
            </w:pPr>
            <w:del w:id="7503" w:author="AbbVie2" w:date="2025-05-13T16:39:00Z">
              <w:r w:rsidRPr="008912CF">
                <w:rPr>
                  <w:sz w:val="22"/>
                  <w:szCs w:val="22"/>
                </w:rPr>
                <w:delText>0,0037</w:delText>
              </w:r>
            </w:del>
          </w:p>
        </w:tc>
        <w:tc>
          <w:tcPr>
            <w:tcW w:w="990" w:type="dxa"/>
            <w:tcBorders>
              <w:top w:val="single" w:sz="4" w:space="0" w:color="auto"/>
              <w:left w:val="single" w:sz="4" w:space="0" w:color="auto"/>
              <w:bottom w:val="single" w:sz="4" w:space="0" w:color="auto"/>
              <w:right w:val="single" w:sz="4" w:space="0" w:color="auto"/>
            </w:tcBorders>
          </w:tcPr>
          <w:p w14:paraId="03F1C88B" w14:textId="1459E219" w:rsidR="004462A0" w:rsidRPr="008912CF" w:rsidRDefault="00615769">
            <w:pPr>
              <w:rPr>
                <w:del w:id="7504" w:author="AbbVie2" w:date="2025-05-13T16:39:00Z"/>
              </w:rPr>
              <w:pPrChange w:id="7505" w:author="AbbVie2" w:date="2025-05-13T16:40:00Z">
                <w:pPr>
                  <w:keepNext/>
                  <w:jc w:val="center"/>
                </w:pPr>
              </w:pPrChange>
            </w:pPr>
            <w:del w:id="7506" w:author="AbbVie2" w:date="2025-05-13T16:39:00Z">
              <w:r w:rsidRPr="008912CF">
                <w:rPr>
                  <w:sz w:val="22"/>
                  <w:szCs w:val="22"/>
                </w:rPr>
                <w:delText>0,151</w:delText>
              </w:r>
            </w:del>
          </w:p>
        </w:tc>
      </w:tr>
    </w:tbl>
    <w:p w14:paraId="3FEB8303" w14:textId="599EF260" w:rsidR="004462A0" w:rsidRPr="008912CF" w:rsidRDefault="00615769">
      <w:pPr>
        <w:rPr>
          <w:del w:id="7507" w:author="AbbVie2" w:date="2025-05-13T16:39:00Z"/>
          <w:sz w:val="22"/>
          <w:szCs w:val="22"/>
        </w:rPr>
        <w:pPrChange w:id="7508" w:author="AbbVie2" w:date="2025-05-13T16:40:00Z">
          <w:pPr>
            <w:keepNext/>
            <w:tabs>
              <w:tab w:val="left" w:pos="330"/>
              <w:tab w:val="left" w:pos="10728"/>
            </w:tabs>
            <w:ind w:left="360" w:hanging="360"/>
          </w:pPr>
        </w:pPrChange>
      </w:pPr>
      <w:del w:id="7509" w:author="AbbVie2" w:date="2025-05-13T16:39:00Z">
        <w:r w:rsidRPr="008912CF">
          <w:rPr>
            <w:sz w:val="22"/>
            <w:szCs w:val="22"/>
            <w:vertAlign w:val="superscript"/>
          </w:rPr>
          <w:delText>a</w:delText>
        </w:r>
        <w:r w:rsidRPr="008912CF">
          <w:rPr>
            <w:sz w:val="22"/>
            <w:szCs w:val="22"/>
          </w:rPr>
          <w:tab/>
        </w:r>
        <w:r w:rsidRPr="008912CF">
          <w:rPr>
            <w:sz w:val="22"/>
            <w:szCs w:val="22"/>
          </w:rPr>
          <w:delText>valores-p comparativos emparelhados de metotrexato em monoterapia e da associação terapêutica Humira/metotrexato usando o teste de Mann-Whitney U.</w:delText>
        </w:r>
      </w:del>
    </w:p>
    <w:p w14:paraId="490DF22A" w14:textId="782AE854" w:rsidR="004462A0" w:rsidRPr="008912CF" w:rsidRDefault="00615769">
      <w:pPr>
        <w:rPr>
          <w:del w:id="7510" w:author="AbbVie2" w:date="2025-05-13T16:39:00Z"/>
          <w:szCs w:val="22"/>
        </w:rPr>
        <w:pPrChange w:id="7511" w:author="AbbVie2" w:date="2025-05-13T16:40:00Z">
          <w:pPr>
            <w:pStyle w:val="BodyTextIndent"/>
            <w:keepNext/>
            <w:ind w:left="329" w:hanging="329"/>
          </w:pPr>
        </w:pPrChange>
      </w:pPr>
      <w:del w:id="7512" w:author="AbbVie2" w:date="2025-05-13T16:39:00Z">
        <w:r w:rsidRPr="008912CF">
          <w:rPr>
            <w:szCs w:val="22"/>
            <w:vertAlign w:val="superscript"/>
          </w:rPr>
          <w:delText>b</w:delText>
        </w:r>
        <w:r w:rsidRPr="008912CF">
          <w:rPr>
            <w:szCs w:val="22"/>
          </w:rPr>
          <w:tab/>
          <w:delText xml:space="preserve">valores-p </w:delText>
        </w:r>
        <w:r w:rsidRPr="008912CF">
          <w:rPr>
            <w:bCs/>
            <w:szCs w:val="22"/>
          </w:rPr>
          <w:delText xml:space="preserve">comparativos emparelhados de Humira em </w:delText>
        </w:r>
        <w:r w:rsidRPr="008912CF">
          <w:rPr>
            <w:szCs w:val="22"/>
          </w:rPr>
          <w:delText>monoterapia e da associação terapêutica Humira/metotrexato usando o teste de Mann-Whitney U.</w:delText>
        </w:r>
      </w:del>
    </w:p>
    <w:p w14:paraId="37101A90" w14:textId="73F4D8D3" w:rsidR="004462A0" w:rsidRPr="008912CF" w:rsidRDefault="00615769">
      <w:pPr>
        <w:rPr>
          <w:del w:id="7513" w:author="AbbVie2" w:date="2025-05-13T16:39:00Z"/>
          <w:bCs/>
          <w:sz w:val="22"/>
          <w:szCs w:val="22"/>
        </w:rPr>
        <w:pPrChange w:id="7514" w:author="AbbVie2" w:date="2025-05-13T16:40:00Z">
          <w:pPr>
            <w:keepNext/>
            <w:ind w:left="329" w:hanging="329"/>
          </w:pPr>
        </w:pPrChange>
      </w:pPr>
      <w:del w:id="7515" w:author="AbbVie2" w:date="2025-05-13T16:39:00Z">
        <w:r w:rsidRPr="008912CF">
          <w:rPr>
            <w:bCs/>
            <w:sz w:val="22"/>
            <w:szCs w:val="22"/>
            <w:vertAlign w:val="superscript"/>
          </w:rPr>
          <w:delText>c</w:delText>
        </w:r>
        <w:r w:rsidRPr="008912CF">
          <w:rPr>
            <w:bCs/>
            <w:sz w:val="22"/>
            <w:szCs w:val="22"/>
          </w:rPr>
          <w:tab/>
          <w:delText>valores-p comparativos emparelhados de Humira e metotrexato em monoterapia usando o teste de Mann-Whitney U.</w:delText>
        </w:r>
      </w:del>
    </w:p>
    <w:p w14:paraId="7FD7CFF7" w14:textId="132EF956" w:rsidR="004462A0" w:rsidRPr="008912CF" w:rsidRDefault="004462A0" w:rsidP="00412FC8">
      <w:pPr>
        <w:rPr>
          <w:del w:id="7516" w:author="AbbVie2" w:date="2025-05-13T16:39:00Z"/>
          <w:b/>
          <w:sz w:val="22"/>
          <w:szCs w:val="22"/>
        </w:rPr>
      </w:pPr>
    </w:p>
    <w:p w14:paraId="155225C7" w14:textId="05D4A6C8" w:rsidR="004462A0" w:rsidRDefault="00615769" w:rsidP="00412FC8">
      <w:pPr>
        <w:rPr>
          <w:del w:id="7517" w:author="AbbVie2" w:date="2025-05-13T16:39:00Z"/>
          <w:sz w:val="22"/>
          <w:szCs w:val="22"/>
        </w:rPr>
      </w:pPr>
      <w:del w:id="7518" w:author="AbbVie2" w:date="2025-05-13T16:39:00Z">
        <w:r w:rsidRPr="008912CF">
          <w:rPr>
            <w:sz w:val="22"/>
            <w:szCs w:val="22"/>
          </w:rPr>
          <w:delText>Após 52 e 104 semanas de tratamento, a percentagem de doentes sem progressão (alteração desde o início do estudo na Escala Total de Sharp modificada ≤ 0,5) foi significativamente superior na associação terapêutica Humira/metotrexato (63,8</w:delText>
        </w:r>
        <w:r w:rsidR="009343EF">
          <w:rPr>
            <w:sz w:val="22"/>
            <w:szCs w:val="22"/>
          </w:rPr>
          <w:delText>%</w:delText>
        </w:r>
        <w:r w:rsidRPr="008912CF">
          <w:rPr>
            <w:sz w:val="22"/>
            <w:szCs w:val="22"/>
          </w:rPr>
          <w:delText xml:space="preserve"> e 61,2</w:delText>
        </w:r>
        <w:r w:rsidR="009343EF">
          <w:rPr>
            <w:sz w:val="22"/>
            <w:szCs w:val="22"/>
          </w:rPr>
          <w:delText>%</w:delText>
        </w:r>
        <w:r w:rsidRPr="008912CF">
          <w:rPr>
            <w:sz w:val="22"/>
            <w:szCs w:val="22"/>
          </w:rPr>
          <w:delText xml:space="preserve"> respetivamente) comparada com metotrexato em monoterapia (37,4</w:delText>
        </w:r>
        <w:r w:rsidR="009343EF">
          <w:rPr>
            <w:sz w:val="22"/>
            <w:szCs w:val="22"/>
          </w:rPr>
          <w:delText>%</w:delText>
        </w:r>
        <w:r w:rsidRPr="008912CF">
          <w:rPr>
            <w:sz w:val="22"/>
            <w:szCs w:val="22"/>
          </w:rPr>
          <w:delText xml:space="preserve"> e 33,5</w:delText>
        </w:r>
        <w:r w:rsidR="009343EF">
          <w:rPr>
            <w:sz w:val="22"/>
            <w:szCs w:val="22"/>
          </w:rPr>
          <w:delText>%</w:delText>
        </w:r>
        <w:r w:rsidRPr="008912CF">
          <w:rPr>
            <w:sz w:val="22"/>
            <w:szCs w:val="22"/>
          </w:rPr>
          <w:delText xml:space="preserve"> respetivamente, p &lt; 0,001) e com Humira em monoterapia (50,7</w:delText>
        </w:r>
        <w:r w:rsidR="009343EF">
          <w:rPr>
            <w:sz w:val="22"/>
            <w:szCs w:val="22"/>
          </w:rPr>
          <w:delText>%</w:delText>
        </w:r>
        <w:r w:rsidRPr="008912CF">
          <w:rPr>
            <w:sz w:val="22"/>
            <w:szCs w:val="22"/>
          </w:rPr>
          <w:delText>, p &lt; 0,002 e 44,5</w:delText>
        </w:r>
        <w:r w:rsidR="009343EF">
          <w:rPr>
            <w:sz w:val="22"/>
            <w:szCs w:val="22"/>
          </w:rPr>
          <w:delText>%</w:delText>
        </w:r>
        <w:r w:rsidRPr="008912CF">
          <w:rPr>
            <w:sz w:val="22"/>
            <w:szCs w:val="22"/>
          </w:rPr>
          <w:delText>, p &lt; 0,001 respetivamente).</w:delText>
        </w:r>
      </w:del>
    </w:p>
    <w:p w14:paraId="0B7FFE44" w14:textId="4A0EF689" w:rsidR="004462A0" w:rsidRDefault="004462A0" w:rsidP="00412FC8">
      <w:pPr>
        <w:rPr>
          <w:del w:id="7519" w:author="AbbVie2" w:date="2025-05-13T16:39:00Z"/>
          <w:sz w:val="22"/>
          <w:szCs w:val="22"/>
        </w:rPr>
      </w:pPr>
    </w:p>
    <w:p w14:paraId="484A284E" w14:textId="6449D0BE" w:rsidR="004462A0" w:rsidRPr="008912CF" w:rsidRDefault="00615769" w:rsidP="00412FC8">
      <w:pPr>
        <w:rPr>
          <w:del w:id="7520" w:author="AbbVie2" w:date="2025-05-13T16:39:00Z"/>
          <w:sz w:val="22"/>
          <w:szCs w:val="22"/>
        </w:rPr>
      </w:pPr>
      <w:del w:id="7521" w:author="AbbVie2" w:date="2025-05-13T16:39:00Z">
        <w:r>
          <w:rPr>
            <w:sz w:val="22"/>
            <w:szCs w:val="22"/>
          </w:rPr>
          <w:delText>Na extensão de fase aberta do estudo AR V, a alteração média desde o início do estudo ao Ano 10 na Escala Total de Sharp modificada foi de 10,8</w:delText>
        </w:r>
        <w:r w:rsidR="00B479D1">
          <w:rPr>
            <w:sz w:val="22"/>
            <w:szCs w:val="22"/>
          </w:rPr>
          <w:delText>,</w:delText>
        </w:r>
        <w:r>
          <w:rPr>
            <w:sz w:val="22"/>
            <w:szCs w:val="22"/>
          </w:rPr>
          <w:delText xml:space="preserve"> 9,2 e 3,9 em doentes originalmente aleatorizados com metotrexato em monoterapia, Humira em monoterapia e associação terapêutica Humira/metotrexato, respetivamente. As proporções correspondentes de doentes sem progressão radiológica foram 31,3%, 23,7% e 36,7% respetivamente. </w:delText>
        </w:r>
      </w:del>
    </w:p>
    <w:p w14:paraId="5FF91B9D" w14:textId="0A4B0E28" w:rsidR="004462A0" w:rsidRPr="008912CF" w:rsidRDefault="00615769" w:rsidP="00412FC8">
      <w:pPr>
        <w:rPr>
          <w:del w:id="7522" w:author="AbbVie2" w:date="2025-05-13T16:39:00Z"/>
          <w:sz w:val="22"/>
          <w:szCs w:val="22"/>
        </w:rPr>
      </w:pPr>
      <w:del w:id="7523" w:author="AbbVie2" w:date="2025-05-13T16:39:00Z">
        <w:r>
          <w:rPr>
            <w:sz w:val="22"/>
            <w:szCs w:val="22"/>
          </w:rPr>
          <w:delText xml:space="preserve"> </w:delText>
        </w:r>
      </w:del>
    </w:p>
    <w:p w14:paraId="72A549B9" w14:textId="26EC8D62" w:rsidR="004462A0" w:rsidRPr="008912CF" w:rsidRDefault="00615769">
      <w:pPr>
        <w:rPr>
          <w:del w:id="7524" w:author="AbbVie2" w:date="2025-05-13T16:39:00Z"/>
          <w:szCs w:val="22"/>
          <w:u w:val="single"/>
        </w:rPr>
        <w:pPrChange w:id="7525" w:author="AbbVie2" w:date="2025-05-13T16:40:00Z">
          <w:pPr>
            <w:pStyle w:val="Heading7"/>
            <w:keepNext w:val="0"/>
            <w:spacing w:line="240" w:lineRule="auto"/>
            <w:jc w:val="left"/>
          </w:pPr>
        </w:pPrChange>
      </w:pPr>
      <w:del w:id="7526" w:author="AbbVie2" w:date="2025-05-13T16:39:00Z">
        <w:r w:rsidRPr="008912CF">
          <w:rPr>
            <w:szCs w:val="22"/>
            <w:u w:val="single"/>
          </w:rPr>
          <w:delText>Qualidade de vida e função física</w:delText>
        </w:r>
      </w:del>
    </w:p>
    <w:p w14:paraId="4A0A296E" w14:textId="5BF8BA59" w:rsidR="004462A0" w:rsidRPr="008912CF" w:rsidRDefault="004462A0" w:rsidP="00412FC8">
      <w:pPr>
        <w:rPr>
          <w:del w:id="7527" w:author="AbbVie2" w:date="2025-05-13T16:39:00Z"/>
          <w:sz w:val="22"/>
          <w:szCs w:val="22"/>
        </w:rPr>
      </w:pPr>
    </w:p>
    <w:p w14:paraId="02E4381B" w14:textId="776C6DC3" w:rsidR="004462A0" w:rsidRPr="008912CF" w:rsidRDefault="00615769" w:rsidP="00412FC8">
      <w:pPr>
        <w:rPr>
          <w:del w:id="7528" w:author="AbbVie2" w:date="2025-05-13T16:39:00Z"/>
          <w:sz w:val="22"/>
          <w:szCs w:val="22"/>
        </w:rPr>
      </w:pPr>
      <w:del w:id="7529" w:author="AbbVie2" w:date="2025-05-13T16:39:00Z">
        <w:r w:rsidRPr="008912CF">
          <w:rPr>
            <w:sz w:val="22"/>
            <w:szCs w:val="22"/>
          </w:rPr>
          <w:delText xml:space="preserve">A qualidade de vida relacionada com a saúde e a função física foram avaliadas utilizando o índice de incapacidade do Questionário de Avaliação da Saúde (HAQ - </w:delText>
        </w:r>
        <w:r w:rsidRPr="008912CF">
          <w:rPr>
            <w:i/>
            <w:sz w:val="22"/>
            <w:szCs w:val="22"/>
          </w:rPr>
          <w:delText>Health Assessment Questionnaire</w:delText>
        </w:r>
        <w:r w:rsidRPr="008912CF">
          <w:rPr>
            <w:sz w:val="22"/>
            <w:szCs w:val="22"/>
          </w:rPr>
          <w:delText xml:space="preserve">) nos quatro ensaios originais bem controlados e adequados; no </w:delText>
        </w:r>
        <w:r w:rsidR="00F96DDF">
          <w:rPr>
            <w:sz w:val="22"/>
            <w:szCs w:val="22"/>
          </w:rPr>
          <w:delText>e</w:delText>
        </w:r>
        <w:r w:rsidRPr="008912CF">
          <w:rPr>
            <w:sz w:val="22"/>
            <w:szCs w:val="22"/>
          </w:rPr>
          <w:delText xml:space="preserve">studo AR III, este índice correspondeu a um </w:delText>
        </w:r>
        <w:r w:rsidR="00F96DDF">
          <w:rPr>
            <w:sz w:val="22"/>
            <w:szCs w:val="22"/>
          </w:rPr>
          <w:delText>objetivo</w:delText>
        </w:r>
        <w:r w:rsidRPr="008912CF">
          <w:rPr>
            <w:sz w:val="22"/>
            <w:szCs w:val="22"/>
          </w:rPr>
          <w:delText xml:space="preserve"> primário pré-especificado na Semana 52. Todas as doses/regimes posológicos de Humira utilizados nos quatro estudos associaram-se a melhorias do índice de incapacidade do HAQ desde o início do estudo até ao Mês 6, superiores às registadas com placebo, sendo a diferença estatisticamente significativa; no </w:delText>
        </w:r>
        <w:r w:rsidR="00F96DDF">
          <w:rPr>
            <w:sz w:val="22"/>
            <w:szCs w:val="22"/>
          </w:rPr>
          <w:delText>e</w:delText>
        </w:r>
        <w:r w:rsidRPr="008912CF">
          <w:rPr>
            <w:sz w:val="22"/>
            <w:szCs w:val="22"/>
          </w:rPr>
          <w:delText>studo AR III, foram comprovadas as mesmas melhorias na Sema</w:delText>
        </w:r>
        <w:r w:rsidRPr="008912CF">
          <w:rPr>
            <w:sz w:val="22"/>
            <w:szCs w:val="22"/>
          </w:rPr>
          <w:delText xml:space="preserve">na 52. Os resultados do </w:delText>
        </w:r>
        <w:r w:rsidRPr="008912CF">
          <w:rPr>
            <w:i/>
            <w:iCs/>
            <w:sz w:val="22"/>
            <w:szCs w:val="22"/>
          </w:rPr>
          <w:delText xml:space="preserve">Short Form Health Survey </w:delText>
        </w:r>
        <w:r w:rsidRPr="008912CF">
          <w:rPr>
            <w:sz w:val="22"/>
            <w:szCs w:val="22"/>
          </w:rPr>
          <w:delText>(SF 36) relativos a todas as doses/regimes posológicos de Humira nos quatro estudos confirmam esta informação, sendo as diferenças nas pontuações do resumo dos componentes físicos (PCS) bem como nas pontuações atribuídas à dor e domínio da vitalidade estatisticamente significativas com a dose de 40 mg administrada em semanas alternadas. Observou-se uma redução estatisticamente significativa da fadiga, determinada com base numa avaliação funcional das pontuaçõ</w:delText>
        </w:r>
        <w:r w:rsidRPr="008912CF">
          <w:rPr>
            <w:sz w:val="22"/>
            <w:szCs w:val="22"/>
          </w:rPr>
          <w:delText>es atribuídas à terapêutica da doença crónica (FACIT) nos três estudos em que este parâmetro foi avaliado (estudos AR I, III, IV).</w:delText>
        </w:r>
      </w:del>
    </w:p>
    <w:p w14:paraId="084920CE" w14:textId="15BBD80A" w:rsidR="004462A0" w:rsidRPr="008912CF" w:rsidRDefault="004462A0" w:rsidP="00412FC8">
      <w:pPr>
        <w:rPr>
          <w:del w:id="7530" w:author="AbbVie2" w:date="2025-05-13T16:39:00Z"/>
          <w:sz w:val="22"/>
          <w:szCs w:val="22"/>
        </w:rPr>
      </w:pPr>
    </w:p>
    <w:p w14:paraId="787C2CC4" w14:textId="5BEE799C" w:rsidR="004462A0" w:rsidRPr="008912CF" w:rsidRDefault="00615769" w:rsidP="00412FC8">
      <w:pPr>
        <w:rPr>
          <w:del w:id="7531" w:author="AbbVie2" w:date="2025-05-13T16:39:00Z"/>
          <w:sz w:val="22"/>
          <w:szCs w:val="22"/>
        </w:rPr>
      </w:pPr>
      <w:del w:id="7532" w:author="AbbVie2" w:date="2025-05-13T16:39:00Z">
        <w:r w:rsidRPr="008912CF">
          <w:rPr>
            <w:sz w:val="22"/>
            <w:szCs w:val="22"/>
          </w:rPr>
          <w:delText xml:space="preserve">No estudo AR III, a maioria dos doentes que atingiram a melhoria na função física e </w:delText>
        </w:r>
        <w:r w:rsidR="009663C2">
          <w:rPr>
            <w:sz w:val="22"/>
            <w:szCs w:val="22"/>
          </w:rPr>
          <w:delText xml:space="preserve">que continuaram o </w:delText>
        </w:r>
        <w:r w:rsidRPr="008912CF">
          <w:rPr>
            <w:sz w:val="22"/>
            <w:szCs w:val="22"/>
          </w:rPr>
          <w:delText xml:space="preserve">tratamento mantiveram </w:delText>
        </w:r>
        <w:r w:rsidR="009663C2">
          <w:rPr>
            <w:sz w:val="22"/>
            <w:szCs w:val="22"/>
          </w:rPr>
          <w:delText xml:space="preserve">a </w:delText>
        </w:r>
        <w:r w:rsidRPr="008912CF">
          <w:rPr>
            <w:sz w:val="22"/>
            <w:szCs w:val="22"/>
          </w:rPr>
          <w:delText xml:space="preserve">melhoria durante a Semana 520 (120 meses) </w:delText>
        </w:r>
        <w:r w:rsidR="00096E24">
          <w:rPr>
            <w:sz w:val="22"/>
            <w:szCs w:val="22"/>
          </w:rPr>
          <w:delText>d</w:delText>
        </w:r>
        <w:r w:rsidRPr="008912CF">
          <w:rPr>
            <w:sz w:val="22"/>
            <w:szCs w:val="22"/>
          </w:rPr>
          <w:delText>o tratamento de fase aberta. A melhoria da qualidade de vida foi avaliada até à Semana 156 (36 meses) e a melhoria foi mantida durante este período de tempo.</w:delText>
        </w:r>
      </w:del>
    </w:p>
    <w:p w14:paraId="4ECE594C" w14:textId="66BC3A86" w:rsidR="004462A0" w:rsidRPr="008912CF" w:rsidRDefault="004462A0">
      <w:pPr>
        <w:rPr>
          <w:del w:id="7533" w:author="AbbVie2" w:date="2025-05-13T16:39:00Z"/>
          <w:sz w:val="22"/>
          <w:szCs w:val="22"/>
          <w:u w:val="single"/>
        </w:rPr>
        <w:pPrChange w:id="7534" w:author="AbbVie2" w:date="2025-05-13T16:40:00Z">
          <w:pPr>
            <w:tabs>
              <w:tab w:val="left" w:pos="1294"/>
            </w:tabs>
            <w:autoSpaceDE w:val="0"/>
            <w:autoSpaceDN w:val="0"/>
            <w:adjustRightInd w:val="0"/>
          </w:pPr>
        </w:pPrChange>
      </w:pPr>
    </w:p>
    <w:p w14:paraId="5D449E23" w14:textId="444F1732" w:rsidR="004462A0" w:rsidRPr="008912CF" w:rsidRDefault="00615769">
      <w:pPr>
        <w:rPr>
          <w:del w:id="7535" w:author="AbbVie2" w:date="2025-05-13T16:39:00Z"/>
          <w:szCs w:val="22"/>
        </w:rPr>
        <w:pPrChange w:id="7536" w:author="AbbVie2" w:date="2025-05-13T16:40:00Z">
          <w:pPr>
            <w:pStyle w:val="BodyText2"/>
            <w:tabs>
              <w:tab w:val="left" w:pos="1294"/>
            </w:tabs>
          </w:pPr>
        </w:pPrChange>
      </w:pPr>
      <w:del w:id="7537" w:author="AbbVie2" w:date="2025-05-13T16:39:00Z">
        <w:r w:rsidRPr="008912CF">
          <w:rPr>
            <w:szCs w:val="22"/>
          </w:rPr>
          <w:delText xml:space="preserve">No estudo AR V, a associação terapêutica Humira/metotrexato demonstrou uma melhoria </w:delText>
        </w:r>
        <w:r w:rsidR="009663C2">
          <w:rPr>
            <w:szCs w:val="22"/>
          </w:rPr>
          <w:delText xml:space="preserve">superior </w:delText>
        </w:r>
        <w:r w:rsidRPr="008912CF">
          <w:rPr>
            <w:szCs w:val="22"/>
          </w:rPr>
          <w:delText>no índice de incapacidade HAQ e no componente físico do SF 36 (p &lt; 0,001) comparativamente com</w:delText>
        </w:r>
        <w:r w:rsidRPr="008912CF">
          <w:rPr>
            <w:szCs w:val="22"/>
            <w:u w:val="single"/>
          </w:rPr>
          <w:delText xml:space="preserve"> </w:delText>
        </w:r>
        <w:r w:rsidRPr="008912CF">
          <w:rPr>
            <w:szCs w:val="22"/>
          </w:rPr>
          <w:delText>metotrexato e Humira em monoterapia na Semana 52, a qua</w:delText>
        </w:r>
        <w:r w:rsidR="009663C2">
          <w:rPr>
            <w:szCs w:val="22"/>
          </w:rPr>
          <w:delText>l</w:delText>
        </w:r>
        <w:r w:rsidRPr="008912CF">
          <w:rPr>
            <w:szCs w:val="22"/>
          </w:rPr>
          <w:delText xml:space="preserve"> fo</w:delText>
        </w:r>
        <w:r w:rsidR="009663C2">
          <w:rPr>
            <w:szCs w:val="22"/>
          </w:rPr>
          <w:delText>i</w:delText>
        </w:r>
        <w:r w:rsidRPr="008912CF">
          <w:rPr>
            <w:szCs w:val="22"/>
          </w:rPr>
          <w:delText xml:space="preserve"> mantida durante a Semana 104.</w:delText>
        </w:r>
        <w:r>
          <w:rPr>
            <w:szCs w:val="22"/>
          </w:rPr>
          <w:delText xml:space="preserve"> Entre os 250 doentes que completaram a extensão de fase aberta do estudo, as </w:delText>
        </w:r>
        <w:r w:rsidRPr="0085738C">
          <w:rPr>
            <w:szCs w:val="22"/>
          </w:rPr>
          <w:delText>melhorias na função física foram mantidas</w:delText>
        </w:r>
        <w:r>
          <w:rPr>
            <w:szCs w:val="22"/>
          </w:rPr>
          <w:delText xml:space="preserve"> ao longo dos </w:delText>
        </w:r>
        <w:r w:rsidRPr="0085738C">
          <w:rPr>
            <w:szCs w:val="22"/>
          </w:rPr>
          <w:delText>10 anos de tratamento</w:delText>
        </w:r>
        <w:r>
          <w:rPr>
            <w:szCs w:val="22"/>
          </w:rPr>
          <w:delText>.</w:delText>
        </w:r>
      </w:del>
    </w:p>
    <w:p w14:paraId="2C738347" w14:textId="2939BBEC" w:rsidR="004462A0" w:rsidRPr="008912CF" w:rsidRDefault="004462A0" w:rsidP="00412FC8">
      <w:pPr>
        <w:rPr>
          <w:del w:id="7538" w:author="AbbVie2" w:date="2025-05-13T16:39:00Z"/>
        </w:rPr>
      </w:pPr>
    </w:p>
    <w:p w14:paraId="667FF71C" w14:textId="22C40EA6" w:rsidR="004462A0" w:rsidRPr="008912CF" w:rsidRDefault="00615769">
      <w:pPr>
        <w:rPr>
          <w:del w:id="7539" w:author="AbbVie2" w:date="2025-05-13T16:39:00Z"/>
          <w:sz w:val="22"/>
          <w:szCs w:val="22"/>
        </w:rPr>
        <w:pPrChange w:id="7540" w:author="AbbVie2" w:date="2025-05-13T16:40:00Z">
          <w:pPr>
            <w:keepNext/>
          </w:pPr>
        </w:pPrChange>
      </w:pPr>
      <w:del w:id="7541" w:author="AbbVie2" w:date="2025-05-13T16:39:00Z">
        <w:r w:rsidRPr="008912CF">
          <w:rPr>
            <w:i/>
            <w:sz w:val="22"/>
            <w:szCs w:val="22"/>
          </w:rPr>
          <w:delText>Espondilartrite axial</w:delText>
        </w:r>
      </w:del>
    </w:p>
    <w:p w14:paraId="5637CF7A" w14:textId="5672CABF" w:rsidR="004462A0" w:rsidRPr="008912CF" w:rsidRDefault="004462A0">
      <w:pPr>
        <w:rPr>
          <w:del w:id="7542" w:author="AbbVie2" w:date="2025-05-13T16:39:00Z"/>
          <w:sz w:val="22"/>
          <w:szCs w:val="22"/>
        </w:rPr>
        <w:pPrChange w:id="7543" w:author="AbbVie2" w:date="2025-05-13T16:40:00Z">
          <w:pPr>
            <w:keepNext/>
          </w:pPr>
        </w:pPrChange>
      </w:pPr>
    </w:p>
    <w:p w14:paraId="361F6126" w14:textId="7A7282CB" w:rsidR="004462A0" w:rsidRPr="008912CF" w:rsidRDefault="00615769">
      <w:pPr>
        <w:rPr>
          <w:del w:id="7544" w:author="AbbVie2" w:date="2025-05-13T16:39:00Z"/>
          <w:sz w:val="22"/>
          <w:szCs w:val="22"/>
          <w:u w:val="single"/>
        </w:rPr>
        <w:pPrChange w:id="7545" w:author="AbbVie2" w:date="2025-05-13T16:40:00Z">
          <w:pPr>
            <w:keepNext/>
          </w:pPr>
        </w:pPrChange>
      </w:pPr>
      <w:del w:id="7546" w:author="AbbVie2" w:date="2025-05-13T16:39:00Z">
        <w:r w:rsidRPr="008912CF">
          <w:rPr>
            <w:i/>
            <w:sz w:val="22"/>
            <w:szCs w:val="22"/>
            <w:u w:val="single"/>
          </w:rPr>
          <w:delText>Espondilite anquilosante (EA)</w:delText>
        </w:r>
      </w:del>
    </w:p>
    <w:p w14:paraId="6CDEC2DF" w14:textId="1610A5BA" w:rsidR="004462A0" w:rsidRPr="008912CF" w:rsidRDefault="004462A0">
      <w:pPr>
        <w:rPr>
          <w:del w:id="7547" w:author="AbbVie2" w:date="2025-05-13T16:39:00Z"/>
          <w:sz w:val="22"/>
          <w:szCs w:val="22"/>
          <w:u w:val="single"/>
        </w:rPr>
        <w:pPrChange w:id="7548" w:author="AbbVie2" w:date="2025-05-13T16:40:00Z">
          <w:pPr>
            <w:keepNext/>
          </w:pPr>
        </w:pPrChange>
      </w:pPr>
    </w:p>
    <w:p w14:paraId="38E6DD92" w14:textId="59A71846" w:rsidR="004462A0" w:rsidRPr="008912CF" w:rsidRDefault="00615769">
      <w:pPr>
        <w:rPr>
          <w:del w:id="7549" w:author="AbbVie2" w:date="2025-05-13T16:39:00Z"/>
          <w:sz w:val="22"/>
          <w:szCs w:val="22"/>
        </w:rPr>
        <w:pPrChange w:id="7550" w:author="AbbVie2" w:date="2025-05-13T16:40:00Z">
          <w:pPr>
            <w:keepNext/>
          </w:pPr>
        </w:pPrChange>
      </w:pPr>
      <w:del w:id="7551" w:author="AbbVie2" w:date="2025-05-13T16:39:00Z">
        <w:r w:rsidRPr="008912CF">
          <w:rPr>
            <w:sz w:val="22"/>
            <w:szCs w:val="22"/>
          </w:rPr>
          <w:delText xml:space="preserve">Humira 40 mg em semanas alternadas foi avaliado em dois estudos </w:delText>
        </w:r>
        <w:r w:rsidR="00B542C8">
          <w:rPr>
            <w:sz w:val="22"/>
            <w:szCs w:val="22"/>
          </w:rPr>
          <w:delText>aleatorizados</w:delText>
        </w:r>
        <w:r w:rsidRPr="008912CF">
          <w:rPr>
            <w:sz w:val="22"/>
            <w:szCs w:val="22"/>
          </w:rPr>
          <w:delText>, em dupla ocultação, controlados com placebo durante 24 semanas em 393 doentes com espondilite anquilosante (EA) ativa (valor médio basa</w:delText>
        </w:r>
        <w:r w:rsidR="00B542C8">
          <w:rPr>
            <w:sz w:val="22"/>
            <w:szCs w:val="22"/>
          </w:rPr>
          <w:delText>l</w:delText>
        </w:r>
        <w:r w:rsidRPr="008912CF">
          <w:rPr>
            <w:sz w:val="22"/>
            <w:szCs w:val="22"/>
          </w:rPr>
          <w:delText xml:space="preserve"> da atividade da doença [</w:delText>
        </w:r>
        <w:r w:rsidRPr="008912CF">
          <w:rPr>
            <w:i/>
            <w:sz w:val="22"/>
            <w:szCs w:val="22"/>
          </w:rPr>
          <w:delText>Bath Ankylosing Spondylitis Disease Activity Index</w:delText>
        </w:r>
        <w:r w:rsidRPr="008912CF">
          <w:rPr>
            <w:sz w:val="22"/>
            <w:szCs w:val="22"/>
          </w:rPr>
          <w:delText xml:space="preserve"> (BASDAI)] </w:delText>
        </w:r>
        <w:r w:rsidR="00B542C8">
          <w:rPr>
            <w:sz w:val="22"/>
            <w:szCs w:val="22"/>
          </w:rPr>
          <w:delText>era de</w:delText>
        </w:r>
        <w:r w:rsidR="00B542C8" w:rsidRPr="008912CF">
          <w:rPr>
            <w:sz w:val="22"/>
            <w:szCs w:val="22"/>
          </w:rPr>
          <w:delText xml:space="preserve"> </w:delText>
        </w:r>
        <w:r w:rsidRPr="008912CF">
          <w:rPr>
            <w:sz w:val="22"/>
            <w:szCs w:val="22"/>
          </w:rPr>
          <w:delText>6,3 em todos os grupos) que apresentaram uma resposta inadequada à terapêutica convencional. Setenta e nove doentes (20,1</w:delText>
        </w:r>
        <w:r w:rsidR="009343EF">
          <w:rPr>
            <w:sz w:val="22"/>
            <w:szCs w:val="22"/>
          </w:rPr>
          <w:delText>%</w:delText>
        </w:r>
        <w:r w:rsidRPr="008912CF">
          <w:rPr>
            <w:sz w:val="22"/>
            <w:szCs w:val="22"/>
          </w:rPr>
          <w:delText>) foram tratados concomitantemente com medicamentos anti</w:delText>
        </w:r>
        <w:r w:rsidR="00F96DDF">
          <w:rPr>
            <w:sz w:val="22"/>
            <w:szCs w:val="22"/>
          </w:rPr>
          <w:delText>-</w:delText>
        </w:r>
        <w:r w:rsidRPr="008912CF">
          <w:rPr>
            <w:sz w:val="22"/>
            <w:szCs w:val="22"/>
          </w:rPr>
          <w:delText>reumatismais modificadores da doença e 37 doentes (9,4</w:delText>
        </w:r>
        <w:r w:rsidR="009343EF">
          <w:rPr>
            <w:sz w:val="22"/>
            <w:szCs w:val="22"/>
          </w:rPr>
          <w:delText>%</w:delText>
        </w:r>
        <w:r w:rsidRPr="008912CF">
          <w:rPr>
            <w:sz w:val="22"/>
            <w:szCs w:val="22"/>
          </w:rPr>
          <w:delText>) com glucocorticoides. Após o período de dupla ocultação, seguiu-se um período de fase aberta durante o qual os doentes receberam Humira 40 mg por via subcutânea, em semanas alternadas, por mais 28 semanas. Os doentes (n = 215, 54,7</w:delText>
        </w:r>
        <w:r w:rsidR="009343EF">
          <w:rPr>
            <w:sz w:val="22"/>
            <w:szCs w:val="22"/>
          </w:rPr>
          <w:delText>%</w:delText>
        </w:r>
        <w:r w:rsidRPr="008912CF">
          <w:rPr>
            <w:sz w:val="22"/>
            <w:szCs w:val="22"/>
          </w:rPr>
          <w:delText xml:space="preserve">) que não atingiram ASAS 20 nas Semanas 12, ou 16 ou 20 receberam 40 mg de adalimumab por via subcutânea em semanas alternadas em resgate precoce de fase aberta e foram considerados subsequentemente como não respondedores na análise estatística de dupla ocultação. </w:delText>
        </w:r>
      </w:del>
    </w:p>
    <w:p w14:paraId="0BCF0DEC" w14:textId="7A5B0DB1" w:rsidR="004462A0" w:rsidRPr="008912CF" w:rsidRDefault="004462A0">
      <w:pPr>
        <w:rPr>
          <w:del w:id="7552" w:author="AbbVie2" w:date="2025-05-13T16:39:00Z"/>
          <w:szCs w:val="22"/>
        </w:rPr>
        <w:pPrChange w:id="7553" w:author="AbbVie2" w:date="2025-05-13T16:40:00Z">
          <w:pPr>
            <w:pStyle w:val="EMEANormal"/>
          </w:pPr>
        </w:pPrChange>
      </w:pPr>
    </w:p>
    <w:p w14:paraId="2155CF15" w14:textId="3EADF212" w:rsidR="004462A0" w:rsidRPr="008912CF" w:rsidRDefault="00615769">
      <w:pPr>
        <w:rPr>
          <w:del w:id="7554" w:author="AbbVie2" w:date="2025-05-13T16:39:00Z"/>
          <w:b/>
          <w:bCs/>
          <w:szCs w:val="22"/>
        </w:rPr>
        <w:pPrChange w:id="7555" w:author="AbbVie2" w:date="2025-05-13T16:40:00Z">
          <w:pPr>
            <w:pStyle w:val="EMEANormal"/>
          </w:pPr>
        </w:pPrChange>
      </w:pPr>
      <w:del w:id="7556" w:author="AbbVie2" w:date="2025-05-13T16:39:00Z">
        <w:r w:rsidRPr="008912CF">
          <w:rPr>
            <w:szCs w:val="22"/>
          </w:rPr>
          <w:delText>No estudo mais amplo EA I, envolvendo 315 doentes, os resultados mostraram uma melhoria estatisticamente significativa dos sinais e sintomas d</w:delText>
        </w:r>
        <w:r w:rsidR="00B542C8">
          <w:rPr>
            <w:szCs w:val="22"/>
          </w:rPr>
          <w:delText>e</w:delText>
        </w:r>
        <w:r w:rsidRPr="008912CF">
          <w:rPr>
            <w:szCs w:val="22"/>
          </w:rPr>
          <w:delText xml:space="preserve"> espondilite anquilosante em doentes tratados com Humira comparativamente com os doentes tratados com placebo. Observou-se uma primeira resposta significativa na Semana 2</w:delText>
        </w:r>
        <w:r w:rsidR="00B542C8">
          <w:rPr>
            <w:szCs w:val="22"/>
          </w:rPr>
          <w:delText>,</w:delText>
        </w:r>
        <w:r w:rsidRPr="008912CF">
          <w:rPr>
            <w:szCs w:val="22"/>
          </w:rPr>
          <w:delText xml:space="preserve"> que se manteve durante as 24 semanas (Tabela </w:delText>
        </w:r>
        <w:r w:rsidR="00A22EC4">
          <w:rPr>
            <w:szCs w:val="22"/>
          </w:rPr>
          <w:delText>1</w:delText>
        </w:r>
        <w:r w:rsidR="00E3620C">
          <w:rPr>
            <w:szCs w:val="22"/>
          </w:rPr>
          <w:delText>2</w:delText>
        </w:r>
        <w:r w:rsidRPr="008912CF">
          <w:rPr>
            <w:szCs w:val="22"/>
          </w:rPr>
          <w:delText xml:space="preserve">). </w:delText>
        </w:r>
      </w:del>
    </w:p>
    <w:p w14:paraId="73F622E1" w14:textId="322C5FE7" w:rsidR="004462A0" w:rsidRPr="008912CF" w:rsidRDefault="004462A0">
      <w:pPr>
        <w:rPr>
          <w:del w:id="7557" w:author="AbbVie2" w:date="2025-05-13T16:39:00Z"/>
          <w:b/>
          <w:bCs/>
          <w:szCs w:val="22"/>
        </w:rPr>
        <w:pPrChange w:id="7558" w:author="AbbVie2" w:date="2025-05-13T16:40:00Z">
          <w:pPr>
            <w:pStyle w:val="EMEANormal"/>
            <w:jc w:val="center"/>
          </w:pPr>
        </w:pPrChange>
      </w:pPr>
    </w:p>
    <w:p w14:paraId="44A5122A" w14:textId="4A687810" w:rsidR="004462A0" w:rsidRPr="008912CF" w:rsidRDefault="00615769">
      <w:pPr>
        <w:rPr>
          <w:del w:id="7559" w:author="AbbVie2" w:date="2025-05-13T16:39:00Z"/>
          <w:b/>
          <w:bCs/>
          <w:szCs w:val="22"/>
        </w:rPr>
        <w:pPrChange w:id="7560" w:author="AbbVie2" w:date="2025-05-13T16:40:00Z">
          <w:pPr>
            <w:pStyle w:val="EMEANormal"/>
            <w:keepNext/>
            <w:jc w:val="center"/>
          </w:pPr>
        </w:pPrChange>
      </w:pPr>
      <w:del w:id="7561" w:author="AbbVie2" w:date="2025-05-13T16:39:00Z">
        <w:r w:rsidRPr="008912CF">
          <w:rPr>
            <w:b/>
            <w:bCs/>
            <w:szCs w:val="22"/>
          </w:rPr>
          <w:delText xml:space="preserve">Tabela </w:delText>
        </w:r>
        <w:r w:rsidR="00A22EC4">
          <w:rPr>
            <w:b/>
            <w:bCs/>
            <w:szCs w:val="22"/>
          </w:rPr>
          <w:delText>1</w:delText>
        </w:r>
        <w:r w:rsidR="00E3620C">
          <w:rPr>
            <w:b/>
            <w:bCs/>
            <w:szCs w:val="22"/>
          </w:rPr>
          <w:delText>2</w:delText>
        </w:r>
      </w:del>
    </w:p>
    <w:p w14:paraId="0BB6BBFD" w14:textId="45B98995" w:rsidR="004462A0" w:rsidRPr="008912CF" w:rsidRDefault="00615769">
      <w:pPr>
        <w:rPr>
          <w:del w:id="7562" w:author="AbbVie2" w:date="2025-05-13T16:39:00Z"/>
          <w:b/>
          <w:bCs/>
          <w:szCs w:val="22"/>
        </w:rPr>
        <w:pPrChange w:id="7563" w:author="AbbVie2" w:date="2025-05-13T16:40:00Z">
          <w:pPr>
            <w:pStyle w:val="EMEANormal"/>
            <w:keepNext/>
            <w:jc w:val="center"/>
          </w:pPr>
        </w:pPrChange>
      </w:pPr>
      <w:del w:id="7564" w:author="AbbVie2" w:date="2025-05-13T16:39:00Z">
        <w:r w:rsidRPr="008912CF">
          <w:rPr>
            <w:b/>
            <w:bCs/>
            <w:szCs w:val="22"/>
          </w:rPr>
          <w:delText>Resultados de Eficácia num Estudo Controlado com Placebo na Espondilite Anquilosante -Estudo I</w:delText>
        </w:r>
      </w:del>
    </w:p>
    <w:p w14:paraId="7C568D82" w14:textId="222506FD" w:rsidR="004462A0" w:rsidRPr="008912CF" w:rsidRDefault="00615769">
      <w:pPr>
        <w:rPr>
          <w:del w:id="7565" w:author="AbbVie2" w:date="2025-05-13T16:39:00Z"/>
          <w:b/>
          <w:bCs/>
          <w:szCs w:val="22"/>
        </w:rPr>
        <w:pPrChange w:id="7566" w:author="AbbVie2" w:date="2025-05-13T16:40:00Z">
          <w:pPr>
            <w:pStyle w:val="EMEANormal"/>
            <w:keepNext/>
            <w:jc w:val="center"/>
          </w:pPr>
        </w:pPrChange>
      </w:pPr>
      <w:del w:id="7567" w:author="AbbVie2" w:date="2025-05-13T16:39:00Z">
        <w:r w:rsidRPr="008912CF">
          <w:rPr>
            <w:b/>
            <w:bCs/>
            <w:szCs w:val="22"/>
          </w:rPr>
          <w:delText>Redução de Sinais e Sintomas</w:delText>
        </w:r>
      </w:del>
    </w:p>
    <w:p w14:paraId="1F7FA1B3" w14:textId="0189DB93" w:rsidR="004462A0" w:rsidRPr="008912CF" w:rsidRDefault="004462A0">
      <w:pPr>
        <w:rPr>
          <w:del w:id="7568" w:author="AbbVie2" w:date="2025-05-13T16:39:00Z"/>
          <w:szCs w:val="22"/>
        </w:rPr>
        <w:pPrChange w:id="7569" w:author="AbbVie2" w:date="2025-05-13T16:40:00Z">
          <w:pPr>
            <w:pStyle w:val="EMEANormal"/>
            <w:keepNext/>
          </w:pPr>
        </w:pPrChange>
      </w:pPr>
    </w:p>
    <w:tbl>
      <w:tblPr>
        <w:tblW w:w="7150" w:type="dxa"/>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50"/>
        <w:gridCol w:w="2090"/>
        <w:gridCol w:w="2310"/>
      </w:tblGrid>
      <w:tr w:rsidR="00A7162A" w14:paraId="6B740D2B" w14:textId="0ECB9E9F" w:rsidTr="00F675CF">
        <w:trPr>
          <w:del w:id="7570" w:author="AbbVie2" w:date="2025-05-13T16:39:00Z"/>
        </w:trPr>
        <w:tc>
          <w:tcPr>
            <w:tcW w:w="2750" w:type="dxa"/>
          </w:tcPr>
          <w:p w14:paraId="7E6B1209" w14:textId="7F73ACFC" w:rsidR="004462A0" w:rsidRPr="008912CF" w:rsidRDefault="00615769">
            <w:pPr>
              <w:rPr>
                <w:del w:id="7571" w:author="AbbVie2" w:date="2025-05-13T16:39:00Z"/>
                <w:b/>
                <w:bCs/>
              </w:rPr>
              <w:pPrChange w:id="7572" w:author="AbbVie2" w:date="2025-05-13T16:40:00Z">
                <w:pPr>
                  <w:keepNext/>
                </w:pPr>
              </w:pPrChange>
            </w:pPr>
            <w:del w:id="7573" w:author="AbbVie2" w:date="2025-05-13T16:39:00Z">
              <w:r w:rsidRPr="008912CF">
                <w:rPr>
                  <w:b/>
                  <w:bCs/>
                  <w:sz w:val="22"/>
                  <w:szCs w:val="22"/>
                </w:rPr>
                <w:delText>Resposta</w:delText>
              </w:r>
            </w:del>
          </w:p>
        </w:tc>
        <w:tc>
          <w:tcPr>
            <w:tcW w:w="2090" w:type="dxa"/>
          </w:tcPr>
          <w:p w14:paraId="6C9FE472" w14:textId="51F72369" w:rsidR="004462A0" w:rsidRPr="008912CF" w:rsidRDefault="00615769">
            <w:pPr>
              <w:rPr>
                <w:del w:id="7574" w:author="AbbVie2" w:date="2025-05-13T16:39:00Z"/>
                <w:b/>
                <w:bCs/>
              </w:rPr>
              <w:pPrChange w:id="7575" w:author="AbbVie2" w:date="2025-05-13T16:40:00Z">
                <w:pPr>
                  <w:keepNext/>
                  <w:jc w:val="center"/>
                </w:pPr>
              </w:pPrChange>
            </w:pPr>
            <w:del w:id="7576" w:author="AbbVie2" w:date="2025-05-13T16:39:00Z">
              <w:r w:rsidRPr="008912CF">
                <w:rPr>
                  <w:b/>
                  <w:bCs/>
                  <w:sz w:val="22"/>
                  <w:szCs w:val="22"/>
                </w:rPr>
                <w:delText>Placebo</w:delText>
              </w:r>
            </w:del>
          </w:p>
          <w:p w14:paraId="4D0BC8F2" w14:textId="20DEC259" w:rsidR="004462A0" w:rsidRPr="008912CF" w:rsidRDefault="00615769">
            <w:pPr>
              <w:rPr>
                <w:del w:id="7577" w:author="AbbVie2" w:date="2025-05-13T16:39:00Z"/>
                <w:b/>
                <w:bCs/>
              </w:rPr>
              <w:pPrChange w:id="7578" w:author="AbbVie2" w:date="2025-05-13T16:40:00Z">
                <w:pPr>
                  <w:keepNext/>
                  <w:jc w:val="center"/>
                </w:pPr>
              </w:pPrChange>
            </w:pPr>
            <w:del w:id="7579" w:author="AbbVie2" w:date="2025-05-13T16:39:00Z">
              <w:r w:rsidRPr="008912CF">
                <w:rPr>
                  <w:b/>
                  <w:bCs/>
                  <w:sz w:val="22"/>
                  <w:szCs w:val="22"/>
                </w:rPr>
                <w:delText>N = 107</w:delText>
              </w:r>
            </w:del>
          </w:p>
        </w:tc>
        <w:tc>
          <w:tcPr>
            <w:tcW w:w="2310" w:type="dxa"/>
          </w:tcPr>
          <w:p w14:paraId="5828DC88" w14:textId="56BDA3D7" w:rsidR="004462A0" w:rsidRPr="008912CF" w:rsidRDefault="00615769">
            <w:pPr>
              <w:rPr>
                <w:del w:id="7580" w:author="AbbVie2" w:date="2025-05-13T16:39:00Z"/>
                <w:b/>
                <w:bCs/>
              </w:rPr>
              <w:pPrChange w:id="7581" w:author="AbbVie2" w:date="2025-05-13T16:40:00Z">
                <w:pPr>
                  <w:keepNext/>
                  <w:jc w:val="center"/>
                </w:pPr>
              </w:pPrChange>
            </w:pPr>
            <w:del w:id="7582" w:author="AbbVie2" w:date="2025-05-13T16:39:00Z">
              <w:r w:rsidRPr="008912CF">
                <w:rPr>
                  <w:b/>
                  <w:bCs/>
                  <w:sz w:val="22"/>
                  <w:szCs w:val="22"/>
                </w:rPr>
                <w:delText>Humira</w:delText>
              </w:r>
            </w:del>
          </w:p>
          <w:p w14:paraId="32A12779" w14:textId="64C2588A" w:rsidR="004462A0" w:rsidRPr="008912CF" w:rsidRDefault="00615769">
            <w:pPr>
              <w:rPr>
                <w:del w:id="7583" w:author="AbbVie2" w:date="2025-05-13T16:39:00Z"/>
                <w:b/>
                <w:bCs/>
              </w:rPr>
              <w:pPrChange w:id="7584" w:author="AbbVie2" w:date="2025-05-13T16:40:00Z">
                <w:pPr>
                  <w:keepNext/>
                  <w:jc w:val="center"/>
                </w:pPr>
              </w:pPrChange>
            </w:pPr>
            <w:del w:id="7585" w:author="AbbVie2" w:date="2025-05-13T16:39:00Z">
              <w:r w:rsidRPr="008912CF">
                <w:rPr>
                  <w:b/>
                  <w:bCs/>
                  <w:sz w:val="22"/>
                  <w:szCs w:val="22"/>
                </w:rPr>
                <w:delText>N = 208</w:delText>
              </w:r>
            </w:del>
          </w:p>
        </w:tc>
      </w:tr>
      <w:tr w:rsidR="00A7162A" w14:paraId="1A64570D" w14:textId="26ADA941" w:rsidTr="00F675CF">
        <w:trPr>
          <w:del w:id="7586" w:author="AbbVie2" w:date="2025-05-13T16:39:00Z"/>
        </w:trPr>
        <w:tc>
          <w:tcPr>
            <w:tcW w:w="2750" w:type="dxa"/>
          </w:tcPr>
          <w:p w14:paraId="5E2A1E02" w14:textId="7F8D0DE6" w:rsidR="004462A0" w:rsidRPr="008912CF" w:rsidRDefault="00615769">
            <w:pPr>
              <w:rPr>
                <w:del w:id="7587" w:author="AbbVie2" w:date="2025-05-13T16:39:00Z"/>
              </w:rPr>
              <w:pPrChange w:id="7588" w:author="AbbVie2" w:date="2025-05-13T16:40:00Z">
                <w:pPr>
                  <w:keepNext/>
                </w:pPr>
              </w:pPrChange>
            </w:pPr>
            <w:del w:id="7589" w:author="AbbVie2" w:date="2025-05-13T16:39:00Z">
              <w:r w:rsidRPr="008912CF">
                <w:rPr>
                  <w:sz w:val="22"/>
                  <w:szCs w:val="22"/>
                </w:rPr>
                <w:delText>ASAS</w:delText>
              </w:r>
              <w:r w:rsidRPr="008912CF">
                <w:rPr>
                  <w:sz w:val="22"/>
                  <w:szCs w:val="22"/>
                  <w:vertAlign w:val="superscript"/>
                </w:rPr>
                <w:delText>a</w:delText>
              </w:r>
              <w:r w:rsidRPr="008912CF">
                <w:rPr>
                  <w:sz w:val="22"/>
                  <w:szCs w:val="22"/>
                </w:rPr>
                <w:delText xml:space="preserve"> 20</w:delText>
              </w:r>
            </w:del>
          </w:p>
        </w:tc>
        <w:tc>
          <w:tcPr>
            <w:tcW w:w="2090" w:type="dxa"/>
          </w:tcPr>
          <w:p w14:paraId="10CE2871" w14:textId="615B2F42" w:rsidR="004462A0" w:rsidRPr="008912CF" w:rsidRDefault="004462A0">
            <w:pPr>
              <w:rPr>
                <w:del w:id="7590" w:author="AbbVie2" w:date="2025-05-13T16:39:00Z"/>
              </w:rPr>
              <w:pPrChange w:id="7591" w:author="AbbVie2" w:date="2025-05-13T16:40:00Z">
                <w:pPr>
                  <w:keepNext/>
                  <w:jc w:val="center"/>
                </w:pPr>
              </w:pPrChange>
            </w:pPr>
          </w:p>
        </w:tc>
        <w:tc>
          <w:tcPr>
            <w:tcW w:w="2310" w:type="dxa"/>
          </w:tcPr>
          <w:p w14:paraId="4FF2383D" w14:textId="0230D6D0" w:rsidR="004462A0" w:rsidRPr="008912CF" w:rsidRDefault="004462A0">
            <w:pPr>
              <w:rPr>
                <w:del w:id="7592" w:author="AbbVie2" w:date="2025-05-13T16:39:00Z"/>
              </w:rPr>
              <w:pPrChange w:id="7593" w:author="AbbVie2" w:date="2025-05-13T16:40:00Z">
                <w:pPr>
                  <w:keepNext/>
                  <w:jc w:val="center"/>
                </w:pPr>
              </w:pPrChange>
            </w:pPr>
          </w:p>
        </w:tc>
      </w:tr>
      <w:tr w:rsidR="00A7162A" w14:paraId="27A44BDE" w14:textId="60632F3A" w:rsidTr="00F675CF">
        <w:trPr>
          <w:del w:id="7594" w:author="AbbVie2" w:date="2025-05-13T16:39:00Z"/>
        </w:trPr>
        <w:tc>
          <w:tcPr>
            <w:tcW w:w="2750" w:type="dxa"/>
          </w:tcPr>
          <w:p w14:paraId="166C4DDD" w14:textId="7460BEE7" w:rsidR="004462A0" w:rsidRPr="008912CF" w:rsidRDefault="00615769">
            <w:pPr>
              <w:rPr>
                <w:del w:id="7595" w:author="AbbVie2" w:date="2025-05-13T16:39:00Z"/>
              </w:rPr>
              <w:pPrChange w:id="7596" w:author="AbbVie2" w:date="2025-05-13T16:40:00Z">
                <w:pPr>
                  <w:keepNext/>
                </w:pPr>
              </w:pPrChange>
            </w:pPr>
            <w:del w:id="7597" w:author="AbbVie2" w:date="2025-05-13T16:39:00Z">
              <w:r w:rsidRPr="008912CF">
                <w:rPr>
                  <w:sz w:val="22"/>
                  <w:szCs w:val="22"/>
                </w:rPr>
                <w:delText xml:space="preserve">             Semana 2</w:delText>
              </w:r>
            </w:del>
          </w:p>
        </w:tc>
        <w:tc>
          <w:tcPr>
            <w:tcW w:w="2090" w:type="dxa"/>
          </w:tcPr>
          <w:p w14:paraId="53F3DD58" w14:textId="6E1FC105" w:rsidR="004462A0" w:rsidRPr="008912CF" w:rsidRDefault="00615769">
            <w:pPr>
              <w:rPr>
                <w:del w:id="7598" w:author="AbbVie2" w:date="2025-05-13T16:39:00Z"/>
              </w:rPr>
              <w:pPrChange w:id="7599" w:author="AbbVie2" w:date="2025-05-13T16:40:00Z">
                <w:pPr>
                  <w:keepNext/>
                  <w:jc w:val="center"/>
                </w:pPr>
              </w:pPrChange>
            </w:pPr>
            <w:del w:id="7600" w:author="AbbVie2" w:date="2025-05-13T16:39:00Z">
              <w:r w:rsidRPr="008912CF">
                <w:rPr>
                  <w:sz w:val="22"/>
                  <w:szCs w:val="22"/>
                </w:rPr>
                <w:delText>16</w:delText>
              </w:r>
              <w:r w:rsidR="009343EF">
                <w:rPr>
                  <w:sz w:val="22"/>
                  <w:szCs w:val="22"/>
                </w:rPr>
                <w:delText>%</w:delText>
              </w:r>
            </w:del>
          </w:p>
        </w:tc>
        <w:tc>
          <w:tcPr>
            <w:tcW w:w="2310" w:type="dxa"/>
          </w:tcPr>
          <w:p w14:paraId="4D7F4C70" w14:textId="7190F064" w:rsidR="004462A0" w:rsidRPr="008912CF" w:rsidRDefault="00615769">
            <w:pPr>
              <w:rPr>
                <w:del w:id="7601" w:author="AbbVie2" w:date="2025-05-13T16:39:00Z"/>
              </w:rPr>
              <w:pPrChange w:id="7602" w:author="AbbVie2" w:date="2025-05-13T16:40:00Z">
                <w:pPr>
                  <w:keepNext/>
                  <w:jc w:val="center"/>
                </w:pPr>
              </w:pPrChange>
            </w:pPr>
            <w:del w:id="7603" w:author="AbbVie2" w:date="2025-05-13T16:39:00Z">
              <w:r w:rsidRPr="008912CF">
                <w:rPr>
                  <w:sz w:val="22"/>
                  <w:szCs w:val="22"/>
                </w:rPr>
                <w:delText>42</w:delText>
              </w:r>
              <w:r w:rsidR="009343EF">
                <w:rPr>
                  <w:sz w:val="22"/>
                  <w:szCs w:val="22"/>
                </w:rPr>
                <w:delText>%</w:delText>
              </w:r>
              <w:r w:rsidRPr="008912CF">
                <w:rPr>
                  <w:sz w:val="22"/>
                  <w:szCs w:val="22"/>
                </w:rPr>
                <w:delText>***</w:delText>
              </w:r>
            </w:del>
          </w:p>
        </w:tc>
      </w:tr>
      <w:tr w:rsidR="00A7162A" w14:paraId="6AC96B97" w14:textId="5F085776" w:rsidTr="00F675CF">
        <w:trPr>
          <w:del w:id="7604" w:author="AbbVie2" w:date="2025-05-13T16:39:00Z"/>
        </w:trPr>
        <w:tc>
          <w:tcPr>
            <w:tcW w:w="2750" w:type="dxa"/>
          </w:tcPr>
          <w:p w14:paraId="64FF3BB1" w14:textId="1EF4AF98" w:rsidR="004462A0" w:rsidRPr="008912CF" w:rsidRDefault="00615769">
            <w:pPr>
              <w:rPr>
                <w:del w:id="7605" w:author="AbbVie2" w:date="2025-05-13T16:39:00Z"/>
              </w:rPr>
              <w:pPrChange w:id="7606" w:author="AbbVie2" w:date="2025-05-13T16:40:00Z">
                <w:pPr>
                  <w:keepNext/>
                  <w:ind w:left="720"/>
                </w:pPr>
              </w:pPrChange>
            </w:pPr>
            <w:del w:id="7607" w:author="AbbVie2" w:date="2025-05-13T16:39:00Z">
              <w:r w:rsidRPr="008912CF">
                <w:rPr>
                  <w:sz w:val="22"/>
                  <w:szCs w:val="22"/>
                </w:rPr>
                <w:delText>Semana 12</w:delText>
              </w:r>
            </w:del>
          </w:p>
        </w:tc>
        <w:tc>
          <w:tcPr>
            <w:tcW w:w="2090" w:type="dxa"/>
          </w:tcPr>
          <w:p w14:paraId="2EA1F069" w14:textId="6F524EE9" w:rsidR="004462A0" w:rsidRPr="008912CF" w:rsidRDefault="00615769">
            <w:pPr>
              <w:rPr>
                <w:del w:id="7608" w:author="AbbVie2" w:date="2025-05-13T16:39:00Z"/>
              </w:rPr>
              <w:pPrChange w:id="7609" w:author="AbbVie2" w:date="2025-05-13T16:40:00Z">
                <w:pPr>
                  <w:keepNext/>
                  <w:jc w:val="center"/>
                </w:pPr>
              </w:pPrChange>
            </w:pPr>
            <w:del w:id="7610" w:author="AbbVie2" w:date="2025-05-13T16:39:00Z">
              <w:r w:rsidRPr="008912CF">
                <w:rPr>
                  <w:sz w:val="22"/>
                  <w:szCs w:val="22"/>
                </w:rPr>
                <w:delText>21</w:delText>
              </w:r>
              <w:r w:rsidR="009343EF">
                <w:rPr>
                  <w:sz w:val="22"/>
                  <w:szCs w:val="22"/>
                </w:rPr>
                <w:delText>%</w:delText>
              </w:r>
            </w:del>
          </w:p>
        </w:tc>
        <w:tc>
          <w:tcPr>
            <w:tcW w:w="2310" w:type="dxa"/>
          </w:tcPr>
          <w:p w14:paraId="1590B055" w14:textId="38A64DED" w:rsidR="004462A0" w:rsidRPr="008912CF" w:rsidRDefault="00615769">
            <w:pPr>
              <w:rPr>
                <w:del w:id="7611" w:author="AbbVie2" w:date="2025-05-13T16:39:00Z"/>
              </w:rPr>
              <w:pPrChange w:id="7612" w:author="AbbVie2" w:date="2025-05-13T16:40:00Z">
                <w:pPr>
                  <w:keepNext/>
                  <w:jc w:val="center"/>
                </w:pPr>
              </w:pPrChange>
            </w:pPr>
            <w:del w:id="7613" w:author="AbbVie2" w:date="2025-05-13T16:39:00Z">
              <w:r w:rsidRPr="008912CF">
                <w:rPr>
                  <w:sz w:val="22"/>
                  <w:szCs w:val="22"/>
                </w:rPr>
                <w:delText>58</w:delText>
              </w:r>
              <w:r w:rsidR="009343EF">
                <w:rPr>
                  <w:sz w:val="22"/>
                  <w:szCs w:val="22"/>
                </w:rPr>
                <w:delText>%</w:delText>
              </w:r>
              <w:r w:rsidRPr="008912CF">
                <w:rPr>
                  <w:sz w:val="22"/>
                  <w:szCs w:val="22"/>
                </w:rPr>
                <w:delText>***</w:delText>
              </w:r>
            </w:del>
          </w:p>
        </w:tc>
      </w:tr>
      <w:tr w:rsidR="00A7162A" w14:paraId="779EC756" w14:textId="05EEAA9E" w:rsidTr="00F675CF">
        <w:trPr>
          <w:del w:id="7614" w:author="AbbVie2" w:date="2025-05-13T16:39:00Z"/>
        </w:trPr>
        <w:tc>
          <w:tcPr>
            <w:tcW w:w="2750" w:type="dxa"/>
          </w:tcPr>
          <w:p w14:paraId="4C318155" w14:textId="2C8CE48C" w:rsidR="004462A0" w:rsidRPr="008912CF" w:rsidRDefault="00615769">
            <w:pPr>
              <w:rPr>
                <w:del w:id="7615" w:author="AbbVie2" w:date="2025-05-13T16:39:00Z"/>
              </w:rPr>
              <w:pPrChange w:id="7616" w:author="AbbVie2" w:date="2025-05-13T16:40:00Z">
                <w:pPr>
                  <w:keepNext/>
                  <w:ind w:left="720"/>
                </w:pPr>
              </w:pPrChange>
            </w:pPr>
            <w:del w:id="7617" w:author="AbbVie2" w:date="2025-05-13T16:39:00Z">
              <w:r w:rsidRPr="008912CF">
                <w:rPr>
                  <w:sz w:val="22"/>
                  <w:szCs w:val="22"/>
                </w:rPr>
                <w:delText>Semana 24</w:delText>
              </w:r>
            </w:del>
          </w:p>
        </w:tc>
        <w:tc>
          <w:tcPr>
            <w:tcW w:w="2090" w:type="dxa"/>
          </w:tcPr>
          <w:p w14:paraId="223B6EED" w14:textId="79D88589" w:rsidR="004462A0" w:rsidRPr="008912CF" w:rsidRDefault="00615769">
            <w:pPr>
              <w:rPr>
                <w:del w:id="7618" w:author="AbbVie2" w:date="2025-05-13T16:39:00Z"/>
              </w:rPr>
              <w:pPrChange w:id="7619" w:author="AbbVie2" w:date="2025-05-13T16:40:00Z">
                <w:pPr>
                  <w:keepNext/>
                  <w:jc w:val="center"/>
                </w:pPr>
              </w:pPrChange>
            </w:pPr>
            <w:del w:id="7620" w:author="AbbVie2" w:date="2025-05-13T16:39:00Z">
              <w:r w:rsidRPr="008912CF">
                <w:rPr>
                  <w:sz w:val="22"/>
                  <w:szCs w:val="22"/>
                </w:rPr>
                <w:delText>19</w:delText>
              </w:r>
              <w:r w:rsidR="009343EF">
                <w:rPr>
                  <w:sz w:val="22"/>
                  <w:szCs w:val="22"/>
                </w:rPr>
                <w:delText>%</w:delText>
              </w:r>
            </w:del>
          </w:p>
        </w:tc>
        <w:tc>
          <w:tcPr>
            <w:tcW w:w="2310" w:type="dxa"/>
          </w:tcPr>
          <w:p w14:paraId="5D1B33CA" w14:textId="6421F631" w:rsidR="004462A0" w:rsidRPr="008912CF" w:rsidRDefault="00615769">
            <w:pPr>
              <w:rPr>
                <w:del w:id="7621" w:author="AbbVie2" w:date="2025-05-13T16:39:00Z"/>
              </w:rPr>
              <w:pPrChange w:id="7622" w:author="AbbVie2" w:date="2025-05-13T16:40:00Z">
                <w:pPr>
                  <w:keepNext/>
                  <w:jc w:val="center"/>
                </w:pPr>
              </w:pPrChange>
            </w:pPr>
            <w:del w:id="7623" w:author="AbbVie2" w:date="2025-05-13T16:39:00Z">
              <w:r w:rsidRPr="008912CF">
                <w:rPr>
                  <w:sz w:val="22"/>
                  <w:szCs w:val="22"/>
                </w:rPr>
                <w:delText>51</w:delText>
              </w:r>
              <w:r w:rsidR="009343EF">
                <w:rPr>
                  <w:sz w:val="22"/>
                  <w:szCs w:val="22"/>
                </w:rPr>
                <w:delText>%</w:delText>
              </w:r>
              <w:r w:rsidRPr="008912CF">
                <w:rPr>
                  <w:sz w:val="22"/>
                  <w:szCs w:val="22"/>
                </w:rPr>
                <w:delText>***</w:delText>
              </w:r>
            </w:del>
          </w:p>
        </w:tc>
      </w:tr>
      <w:tr w:rsidR="00A7162A" w14:paraId="4B0ECB54" w14:textId="21F97627" w:rsidTr="00F675CF">
        <w:trPr>
          <w:del w:id="7624" w:author="AbbVie2" w:date="2025-05-13T16:39:00Z"/>
        </w:trPr>
        <w:tc>
          <w:tcPr>
            <w:tcW w:w="2750" w:type="dxa"/>
          </w:tcPr>
          <w:p w14:paraId="21523138" w14:textId="10905148" w:rsidR="004462A0" w:rsidRPr="008912CF" w:rsidRDefault="00615769">
            <w:pPr>
              <w:rPr>
                <w:del w:id="7625" w:author="AbbVie2" w:date="2025-05-13T16:39:00Z"/>
              </w:rPr>
              <w:pPrChange w:id="7626" w:author="AbbVie2" w:date="2025-05-13T16:40:00Z">
                <w:pPr>
                  <w:keepNext/>
                </w:pPr>
              </w:pPrChange>
            </w:pPr>
            <w:del w:id="7627" w:author="AbbVie2" w:date="2025-05-13T16:39:00Z">
              <w:r w:rsidRPr="008912CF">
                <w:rPr>
                  <w:sz w:val="22"/>
                  <w:szCs w:val="22"/>
                </w:rPr>
                <w:delText>ASAS 50</w:delText>
              </w:r>
            </w:del>
          </w:p>
        </w:tc>
        <w:tc>
          <w:tcPr>
            <w:tcW w:w="2090" w:type="dxa"/>
          </w:tcPr>
          <w:p w14:paraId="6936F84C" w14:textId="0B8AF2CD" w:rsidR="004462A0" w:rsidRPr="008912CF" w:rsidRDefault="004462A0">
            <w:pPr>
              <w:rPr>
                <w:del w:id="7628" w:author="AbbVie2" w:date="2025-05-13T16:39:00Z"/>
              </w:rPr>
              <w:pPrChange w:id="7629" w:author="AbbVie2" w:date="2025-05-13T16:40:00Z">
                <w:pPr>
                  <w:keepNext/>
                  <w:jc w:val="center"/>
                </w:pPr>
              </w:pPrChange>
            </w:pPr>
          </w:p>
        </w:tc>
        <w:tc>
          <w:tcPr>
            <w:tcW w:w="2310" w:type="dxa"/>
          </w:tcPr>
          <w:p w14:paraId="7CE07C55" w14:textId="6C916C6D" w:rsidR="004462A0" w:rsidRPr="008912CF" w:rsidRDefault="004462A0">
            <w:pPr>
              <w:rPr>
                <w:del w:id="7630" w:author="AbbVie2" w:date="2025-05-13T16:39:00Z"/>
              </w:rPr>
              <w:pPrChange w:id="7631" w:author="AbbVie2" w:date="2025-05-13T16:40:00Z">
                <w:pPr>
                  <w:keepNext/>
                  <w:jc w:val="center"/>
                </w:pPr>
              </w:pPrChange>
            </w:pPr>
          </w:p>
        </w:tc>
      </w:tr>
      <w:tr w:rsidR="00A7162A" w14:paraId="4993791D" w14:textId="2AF15687" w:rsidTr="00F675CF">
        <w:trPr>
          <w:del w:id="7632" w:author="AbbVie2" w:date="2025-05-13T16:39:00Z"/>
        </w:trPr>
        <w:tc>
          <w:tcPr>
            <w:tcW w:w="2750" w:type="dxa"/>
          </w:tcPr>
          <w:p w14:paraId="119B3880" w14:textId="18E67DEC" w:rsidR="004462A0" w:rsidRPr="008912CF" w:rsidRDefault="00615769">
            <w:pPr>
              <w:rPr>
                <w:del w:id="7633" w:author="AbbVie2" w:date="2025-05-13T16:39:00Z"/>
                <w:szCs w:val="22"/>
              </w:rPr>
              <w:pPrChange w:id="7634" w:author="AbbVie2" w:date="2025-05-13T16:40:00Z">
                <w:pPr>
                  <w:pStyle w:val="EMEAFigureTitle"/>
                  <w:keepNext/>
                </w:pPr>
              </w:pPrChange>
            </w:pPr>
            <w:del w:id="7635" w:author="AbbVie2" w:date="2025-05-13T16:39:00Z">
              <w:r w:rsidRPr="008912CF">
                <w:rPr>
                  <w:szCs w:val="22"/>
                </w:rPr>
                <w:delText xml:space="preserve">             Semana 2</w:delText>
              </w:r>
            </w:del>
          </w:p>
        </w:tc>
        <w:tc>
          <w:tcPr>
            <w:tcW w:w="2090" w:type="dxa"/>
          </w:tcPr>
          <w:p w14:paraId="0AD337F5" w14:textId="4D388DD5" w:rsidR="004462A0" w:rsidRPr="008912CF" w:rsidRDefault="00615769">
            <w:pPr>
              <w:rPr>
                <w:del w:id="7636" w:author="AbbVie2" w:date="2025-05-13T16:39:00Z"/>
              </w:rPr>
              <w:pPrChange w:id="7637" w:author="AbbVie2" w:date="2025-05-13T16:40:00Z">
                <w:pPr>
                  <w:keepNext/>
                  <w:jc w:val="center"/>
                </w:pPr>
              </w:pPrChange>
            </w:pPr>
            <w:del w:id="7638" w:author="AbbVie2" w:date="2025-05-13T16:39:00Z">
              <w:r w:rsidRPr="008912CF">
                <w:rPr>
                  <w:sz w:val="22"/>
                  <w:szCs w:val="22"/>
                </w:rPr>
                <w:delText>3</w:delText>
              </w:r>
              <w:r w:rsidR="009343EF">
                <w:rPr>
                  <w:sz w:val="22"/>
                  <w:szCs w:val="22"/>
                </w:rPr>
                <w:delText>%</w:delText>
              </w:r>
            </w:del>
          </w:p>
        </w:tc>
        <w:tc>
          <w:tcPr>
            <w:tcW w:w="2310" w:type="dxa"/>
          </w:tcPr>
          <w:p w14:paraId="641660FB" w14:textId="2D2CCE41" w:rsidR="004462A0" w:rsidRPr="008912CF" w:rsidRDefault="00615769">
            <w:pPr>
              <w:rPr>
                <w:del w:id="7639" w:author="AbbVie2" w:date="2025-05-13T16:39:00Z"/>
              </w:rPr>
              <w:pPrChange w:id="7640" w:author="AbbVie2" w:date="2025-05-13T16:40:00Z">
                <w:pPr>
                  <w:keepNext/>
                  <w:jc w:val="center"/>
                </w:pPr>
              </w:pPrChange>
            </w:pPr>
            <w:del w:id="7641" w:author="AbbVie2" w:date="2025-05-13T16:39:00Z">
              <w:r w:rsidRPr="008912CF">
                <w:rPr>
                  <w:sz w:val="22"/>
                  <w:szCs w:val="22"/>
                </w:rPr>
                <w:delText>16</w:delText>
              </w:r>
              <w:r w:rsidR="009343EF">
                <w:rPr>
                  <w:sz w:val="22"/>
                  <w:szCs w:val="22"/>
                </w:rPr>
                <w:delText>%</w:delText>
              </w:r>
              <w:r w:rsidRPr="008912CF">
                <w:rPr>
                  <w:sz w:val="22"/>
                  <w:szCs w:val="22"/>
                </w:rPr>
                <w:delText>***</w:delText>
              </w:r>
            </w:del>
          </w:p>
        </w:tc>
      </w:tr>
      <w:tr w:rsidR="00A7162A" w14:paraId="35408D91" w14:textId="7A742A70" w:rsidTr="00F675CF">
        <w:trPr>
          <w:del w:id="7642" w:author="AbbVie2" w:date="2025-05-13T16:39:00Z"/>
        </w:trPr>
        <w:tc>
          <w:tcPr>
            <w:tcW w:w="2750" w:type="dxa"/>
          </w:tcPr>
          <w:p w14:paraId="399A3802" w14:textId="68938E68" w:rsidR="004462A0" w:rsidRPr="008912CF" w:rsidRDefault="00615769">
            <w:pPr>
              <w:rPr>
                <w:del w:id="7643" w:author="AbbVie2" w:date="2025-05-13T16:39:00Z"/>
              </w:rPr>
              <w:pPrChange w:id="7644" w:author="AbbVie2" w:date="2025-05-13T16:40:00Z">
                <w:pPr>
                  <w:keepNext/>
                  <w:ind w:left="720"/>
                </w:pPr>
              </w:pPrChange>
            </w:pPr>
            <w:del w:id="7645" w:author="AbbVie2" w:date="2025-05-13T16:39:00Z">
              <w:r w:rsidRPr="008912CF">
                <w:rPr>
                  <w:sz w:val="22"/>
                  <w:szCs w:val="22"/>
                </w:rPr>
                <w:delText>Semana 12</w:delText>
              </w:r>
            </w:del>
          </w:p>
        </w:tc>
        <w:tc>
          <w:tcPr>
            <w:tcW w:w="2090" w:type="dxa"/>
          </w:tcPr>
          <w:p w14:paraId="6C6382D6" w14:textId="39DB801A" w:rsidR="004462A0" w:rsidRPr="008912CF" w:rsidRDefault="00615769">
            <w:pPr>
              <w:rPr>
                <w:del w:id="7646" w:author="AbbVie2" w:date="2025-05-13T16:39:00Z"/>
              </w:rPr>
              <w:pPrChange w:id="7647" w:author="AbbVie2" w:date="2025-05-13T16:40:00Z">
                <w:pPr>
                  <w:keepNext/>
                  <w:jc w:val="center"/>
                </w:pPr>
              </w:pPrChange>
            </w:pPr>
            <w:del w:id="7648" w:author="AbbVie2" w:date="2025-05-13T16:39:00Z">
              <w:r w:rsidRPr="008912CF">
                <w:rPr>
                  <w:sz w:val="22"/>
                  <w:szCs w:val="22"/>
                </w:rPr>
                <w:delText>10</w:delText>
              </w:r>
              <w:r w:rsidR="009343EF">
                <w:rPr>
                  <w:sz w:val="22"/>
                  <w:szCs w:val="22"/>
                </w:rPr>
                <w:delText>%</w:delText>
              </w:r>
            </w:del>
          </w:p>
        </w:tc>
        <w:tc>
          <w:tcPr>
            <w:tcW w:w="2310" w:type="dxa"/>
          </w:tcPr>
          <w:p w14:paraId="409F2AFA" w14:textId="47E01436" w:rsidR="004462A0" w:rsidRPr="008912CF" w:rsidRDefault="00615769">
            <w:pPr>
              <w:rPr>
                <w:del w:id="7649" w:author="AbbVie2" w:date="2025-05-13T16:39:00Z"/>
              </w:rPr>
              <w:pPrChange w:id="7650" w:author="AbbVie2" w:date="2025-05-13T16:40:00Z">
                <w:pPr>
                  <w:keepNext/>
                  <w:jc w:val="center"/>
                </w:pPr>
              </w:pPrChange>
            </w:pPr>
            <w:del w:id="7651" w:author="AbbVie2" w:date="2025-05-13T16:39:00Z">
              <w:r w:rsidRPr="008912CF">
                <w:rPr>
                  <w:sz w:val="22"/>
                  <w:szCs w:val="22"/>
                </w:rPr>
                <w:delText>38</w:delText>
              </w:r>
              <w:r w:rsidR="009343EF">
                <w:rPr>
                  <w:sz w:val="22"/>
                  <w:szCs w:val="22"/>
                </w:rPr>
                <w:delText>%</w:delText>
              </w:r>
              <w:r w:rsidRPr="008912CF">
                <w:rPr>
                  <w:sz w:val="22"/>
                  <w:szCs w:val="22"/>
                </w:rPr>
                <w:delText>***</w:delText>
              </w:r>
            </w:del>
          </w:p>
        </w:tc>
      </w:tr>
      <w:tr w:rsidR="00A7162A" w14:paraId="53F4D494" w14:textId="5B6410B8" w:rsidTr="00F675CF">
        <w:trPr>
          <w:del w:id="7652" w:author="AbbVie2" w:date="2025-05-13T16:39:00Z"/>
        </w:trPr>
        <w:tc>
          <w:tcPr>
            <w:tcW w:w="2750" w:type="dxa"/>
          </w:tcPr>
          <w:p w14:paraId="0883B7DD" w14:textId="1F6618E3" w:rsidR="004462A0" w:rsidRPr="008912CF" w:rsidRDefault="00615769">
            <w:pPr>
              <w:rPr>
                <w:del w:id="7653" w:author="AbbVie2" w:date="2025-05-13T16:39:00Z"/>
              </w:rPr>
              <w:pPrChange w:id="7654" w:author="AbbVie2" w:date="2025-05-13T16:40:00Z">
                <w:pPr>
                  <w:keepNext/>
                  <w:ind w:left="720"/>
                </w:pPr>
              </w:pPrChange>
            </w:pPr>
            <w:del w:id="7655" w:author="AbbVie2" w:date="2025-05-13T16:39:00Z">
              <w:r w:rsidRPr="008912CF">
                <w:rPr>
                  <w:sz w:val="22"/>
                  <w:szCs w:val="22"/>
                </w:rPr>
                <w:delText>Semana 24</w:delText>
              </w:r>
            </w:del>
          </w:p>
        </w:tc>
        <w:tc>
          <w:tcPr>
            <w:tcW w:w="2090" w:type="dxa"/>
          </w:tcPr>
          <w:p w14:paraId="40315800" w14:textId="0D4D4348" w:rsidR="004462A0" w:rsidRPr="008912CF" w:rsidRDefault="00615769">
            <w:pPr>
              <w:rPr>
                <w:del w:id="7656" w:author="AbbVie2" w:date="2025-05-13T16:39:00Z"/>
              </w:rPr>
              <w:pPrChange w:id="7657" w:author="AbbVie2" w:date="2025-05-13T16:40:00Z">
                <w:pPr>
                  <w:keepNext/>
                  <w:jc w:val="center"/>
                </w:pPr>
              </w:pPrChange>
            </w:pPr>
            <w:del w:id="7658" w:author="AbbVie2" w:date="2025-05-13T16:39:00Z">
              <w:r w:rsidRPr="008912CF">
                <w:rPr>
                  <w:sz w:val="22"/>
                  <w:szCs w:val="22"/>
                </w:rPr>
                <w:delText>11</w:delText>
              </w:r>
              <w:r w:rsidR="009343EF">
                <w:rPr>
                  <w:sz w:val="22"/>
                  <w:szCs w:val="22"/>
                </w:rPr>
                <w:delText>%</w:delText>
              </w:r>
            </w:del>
          </w:p>
        </w:tc>
        <w:tc>
          <w:tcPr>
            <w:tcW w:w="2310" w:type="dxa"/>
          </w:tcPr>
          <w:p w14:paraId="4009D31D" w14:textId="1D3A29D8" w:rsidR="004462A0" w:rsidRPr="008912CF" w:rsidRDefault="00615769">
            <w:pPr>
              <w:rPr>
                <w:del w:id="7659" w:author="AbbVie2" w:date="2025-05-13T16:39:00Z"/>
              </w:rPr>
              <w:pPrChange w:id="7660" w:author="AbbVie2" w:date="2025-05-13T16:40:00Z">
                <w:pPr>
                  <w:keepNext/>
                  <w:jc w:val="center"/>
                </w:pPr>
              </w:pPrChange>
            </w:pPr>
            <w:del w:id="7661" w:author="AbbVie2" w:date="2025-05-13T16:39:00Z">
              <w:r w:rsidRPr="008912CF">
                <w:rPr>
                  <w:sz w:val="22"/>
                  <w:szCs w:val="22"/>
                </w:rPr>
                <w:delText>35</w:delText>
              </w:r>
              <w:r w:rsidR="009343EF">
                <w:rPr>
                  <w:sz w:val="22"/>
                  <w:szCs w:val="22"/>
                </w:rPr>
                <w:delText>%</w:delText>
              </w:r>
              <w:r w:rsidRPr="008912CF">
                <w:rPr>
                  <w:sz w:val="22"/>
                  <w:szCs w:val="22"/>
                </w:rPr>
                <w:delText>***</w:delText>
              </w:r>
            </w:del>
          </w:p>
        </w:tc>
      </w:tr>
      <w:tr w:rsidR="00A7162A" w14:paraId="627C6E54" w14:textId="762732DB" w:rsidTr="00F675CF">
        <w:trPr>
          <w:del w:id="7662" w:author="AbbVie2" w:date="2025-05-13T16:39:00Z"/>
        </w:trPr>
        <w:tc>
          <w:tcPr>
            <w:tcW w:w="2750" w:type="dxa"/>
          </w:tcPr>
          <w:p w14:paraId="728C11D2" w14:textId="0BCE6546" w:rsidR="004462A0" w:rsidRPr="008912CF" w:rsidRDefault="00615769">
            <w:pPr>
              <w:rPr>
                <w:del w:id="7663" w:author="AbbVie2" w:date="2025-05-13T16:39:00Z"/>
              </w:rPr>
              <w:pPrChange w:id="7664" w:author="AbbVie2" w:date="2025-05-13T16:40:00Z">
                <w:pPr>
                  <w:keepNext/>
                </w:pPr>
              </w:pPrChange>
            </w:pPr>
            <w:del w:id="7665" w:author="AbbVie2" w:date="2025-05-13T16:39:00Z">
              <w:r w:rsidRPr="008912CF">
                <w:rPr>
                  <w:sz w:val="22"/>
                  <w:szCs w:val="22"/>
                </w:rPr>
                <w:delText>ASAS 70</w:delText>
              </w:r>
            </w:del>
          </w:p>
        </w:tc>
        <w:tc>
          <w:tcPr>
            <w:tcW w:w="2090" w:type="dxa"/>
          </w:tcPr>
          <w:p w14:paraId="0294A040" w14:textId="080FE415" w:rsidR="004462A0" w:rsidRPr="008912CF" w:rsidRDefault="004462A0">
            <w:pPr>
              <w:rPr>
                <w:del w:id="7666" w:author="AbbVie2" w:date="2025-05-13T16:39:00Z"/>
              </w:rPr>
              <w:pPrChange w:id="7667" w:author="AbbVie2" w:date="2025-05-13T16:40:00Z">
                <w:pPr>
                  <w:keepNext/>
                  <w:jc w:val="center"/>
                </w:pPr>
              </w:pPrChange>
            </w:pPr>
          </w:p>
        </w:tc>
        <w:tc>
          <w:tcPr>
            <w:tcW w:w="2310" w:type="dxa"/>
          </w:tcPr>
          <w:p w14:paraId="1AD46D93" w14:textId="64ADAF33" w:rsidR="004462A0" w:rsidRPr="008912CF" w:rsidRDefault="004462A0">
            <w:pPr>
              <w:rPr>
                <w:del w:id="7668" w:author="AbbVie2" w:date="2025-05-13T16:39:00Z"/>
              </w:rPr>
              <w:pPrChange w:id="7669" w:author="AbbVie2" w:date="2025-05-13T16:40:00Z">
                <w:pPr>
                  <w:keepNext/>
                  <w:jc w:val="center"/>
                </w:pPr>
              </w:pPrChange>
            </w:pPr>
          </w:p>
        </w:tc>
      </w:tr>
      <w:tr w:rsidR="00A7162A" w14:paraId="2A8177E5" w14:textId="023CA2AD" w:rsidTr="00F675CF">
        <w:trPr>
          <w:del w:id="7670" w:author="AbbVie2" w:date="2025-05-13T16:39:00Z"/>
        </w:trPr>
        <w:tc>
          <w:tcPr>
            <w:tcW w:w="2750" w:type="dxa"/>
          </w:tcPr>
          <w:p w14:paraId="5AA179C3" w14:textId="4A687AE1" w:rsidR="004462A0" w:rsidRPr="008912CF" w:rsidRDefault="00615769">
            <w:pPr>
              <w:rPr>
                <w:del w:id="7671" w:author="AbbVie2" w:date="2025-05-13T16:39:00Z"/>
              </w:rPr>
              <w:pPrChange w:id="7672" w:author="AbbVie2" w:date="2025-05-13T16:40:00Z">
                <w:pPr>
                  <w:keepNext/>
                </w:pPr>
              </w:pPrChange>
            </w:pPr>
            <w:del w:id="7673" w:author="AbbVie2" w:date="2025-05-13T16:39:00Z">
              <w:r w:rsidRPr="008912CF">
                <w:rPr>
                  <w:sz w:val="22"/>
                  <w:szCs w:val="22"/>
                </w:rPr>
                <w:delText xml:space="preserve">             Semana 2</w:delText>
              </w:r>
            </w:del>
          </w:p>
        </w:tc>
        <w:tc>
          <w:tcPr>
            <w:tcW w:w="2090" w:type="dxa"/>
          </w:tcPr>
          <w:p w14:paraId="7FC9013B" w14:textId="0A07346A" w:rsidR="004462A0" w:rsidRPr="008912CF" w:rsidRDefault="00615769">
            <w:pPr>
              <w:rPr>
                <w:del w:id="7674" w:author="AbbVie2" w:date="2025-05-13T16:39:00Z"/>
              </w:rPr>
              <w:pPrChange w:id="7675" w:author="AbbVie2" w:date="2025-05-13T16:40:00Z">
                <w:pPr>
                  <w:keepNext/>
                  <w:jc w:val="center"/>
                </w:pPr>
              </w:pPrChange>
            </w:pPr>
            <w:del w:id="7676" w:author="AbbVie2" w:date="2025-05-13T16:39:00Z">
              <w:r w:rsidRPr="008912CF">
                <w:rPr>
                  <w:sz w:val="22"/>
                  <w:szCs w:val="22"/>
                </w:rPr>
                <w:delText>0</w:delText>
              </w:r>
              <w:r w:rsidR="009343EF">
                <w:rPr>
                  <w:sz w:val="22"/>
                  <w:szCs w:val="22"/>
                </w:rPr>
                <w:delText>%</w:delText>
              </w:r>
            </w:del>
          </w:p>
        </w:tc>
        <w:tc>
          <w:tcPr>
            <w:tcW w:w="2310" w:type="dxa"/>
          </w:tcPr>
          <w:p w14:paraId="5D413B01" w14:textId="337DF56A" w:rsidR="004462A0" w:rsidRPr="008912CF" w:rsidRDefault="00615769">
            <w:pPr>
              <w:rPr>
                <w:del w:id="7677" w:author="AbbVie2" w:date="2025-05-13T16:39:00Z"/>
              </w:rPr>
              <w:pPrChange w:id="7678" w:author="AbbVie2" w:date="2025-05-13T16:40:00Z">
                <w:pPr>
                  <w:keepNext/>
                  <w:jc w:val="center"/>
                </w:pPr>
              </w:pPrChange>
            </w:pPr>
            <w:del w:id="7679" w:author="AbbVie2" w:date="2025-05-13T16:39:00Z">
              <w:r w:rsidRPr="008912CF">
                <w:rPr>
                  <w:sz w:val="22"/>
                  <w:szCs w:val="22"/>
                </w:rPr>
                <w:delText>7</w:delText>
              </w:r>
              <w:r w:rsidR="009343EF">
                <w:rPr>
                  <w:sz w:val="22"/>
                  <w:szCs w:val="22"/>
                </w:rPr>
                <w:delText>%</w:delText>
              </w:r>
              <w:r w:rsidRPr="008912CF">
                <w:rPr>
                  <w:sz w:val="22"/>
                  <w:szCs w:val="22"/>
                </w:rPr>
                <w:delText>**</w:delText>
              </w:r>
            </w:del>
          </w:p>
        </w:tc>
      </w:tr>
      <w:tr w:rsidR="00A7162A" w14:paraId="491F9AF4" w14:textId="0F9E63E1" w:rsidTr="00F675CF">
        <w:trPr>
          <w:del w:id="7680" w:author="AbbVie2" w:date="2025-05-13T16:39:00Z"/>
        </w:trPr>
        <w:tc>
          <w:tcPr>
            <w:tcW w:w="2750" w:type="dxa"/>
          </w:tcPr>
          <w:p w14:paraId="43E16090" w14:textId="1984E7D5" w:rsidR="004462A0" w:rsidRPr="008912CF" w:rsidRDefault="00615769">
            <w:pPr>
              <w:rPr>
                <w:del w:id="7681" w:author="AbbVie2" w:date="2025-05-13T16:39:00Z"/>
              </w:rPr>
              <w:pPrChange w:id="7682" w:author="AbbVie2" w:date="2025-05-13T16:40:00Z">
                <w:pPr>
                  <w:keepNext/>
                  <w:ind w:left="720"/>
                </w:pPr>
              </w:pPrChange>
            </w:pPr>
            <w:del w:id="7683" w:author="AbbVie2" w:date="2025-05-13T16:39:00Z">
              <w:r w:rsidRPr="008912CF">
                <w:rPr>
                  <w:sz w:val="22"/>
                  <w:szCs w:val="22"/>
                </w:rPr>
                <w:delText>Semana 12</w:delText>
              </w:r>
            </w:del>
          </w:p>
        </w:tc>
        <w:tc>
          <w:tcPr>
            <w:tcW w:w="2090" w:type="dxa"/>
          </w:tcPr>
          <w:p w14:paraId="38423C05" w14:textId="16F2E63B" w:rsidR="004462A0" w:rsidRPr="008912CF" w:rsidRDefault="00615769">
            <w:pPr>
              <w:rPr>
                <w:del w:id="7684" w:author="AbbVie2" w:date="2025-05-13T16:39:00Z"/>
              </w:rPr>
              <w:pPrChange w:id="7685" w:author="AbbVie2" w:date="2025-05-13T16:40:00Z">
                <w:pPr>
                  <w:keepNext/>
                  <w:jc w:val="center"/>
                </w:pPr>
              </w:pPrChange>
            </w:pPr>
            <w:del w:id="7686" w:author="AbbVie2" w:date="2025-05-13T16:39:00Z">
              <w:r w:rsidRPr="008912CF">
                <w:rPr>
                  <w:sz w:val="22"/>
                  <w:szCs w:val="22"/>
                </w:rPr>
                <w:delText>5</w:delText>
              </w:r>
              <w:r w:rsidR="009343EF">
                <w:rPr>
                  <w:sz w:val="22"/>
                  <w:szCs w:val="22"/>
                </w:rPr>
                <w:delText>%</w:delText>
              </w:r>
            </w:del>
          </w:p>
        </w:tc>
        <w:tc>
          <w:tcPr>
            <w:tcW w:w="2310" w:type="dxa"/>
          </w:tcPr>
          <w:p w14:paraId="60055F23" w14:textId="6241C138" w:rsidR="004462A0" w:rsidRPr="008912CF" w:rsidRDefault="00615769">
            <w:pPr>
              <w:rPr>
                <w:del w:id="7687" w:author="AbbVie2" w:date="2025-05-13T16:39:00Z"/>
              </w:rPr>
              <w:pPrChange w:id="7688" w:author="AbbVie2" w:date="2025-05-13T16:40:00Z">
                <w:pPr>
                  <w:keepNext/>
                  <w:jc w:val="center"/>
                </w:pPr>
              </w:pPrChange>
            </w:pPr>
            <w:del w:id="7689" w:author="AbbVie2" w:date="2025-05-13T16:39:00Z">
              <w:r w:rsidRPr="008912CF">
                <w:rPr>
                  <w:sz w:val="22"/>
                  <w:szCs w:val="22"/>
                </w:rPr>
                <w:delText>23</w:delText>
              </w:r>
              <w:r w:rsidR="009343EF">
                <w:rPr>
                  <w:sz w:val="22"/>
                  <w:szCs w:val="22"/>
                </w:rPr>
                <w:delText>%</w:delText>
              </w:r>
              <w:r w:rsidRPr="008912CF">
                <w:rPr>
                  <w:sz w:val="22"/>
                  <w:szCs w:val="22"/>
                </w:rPr>
                <w:delText>***</w:delText>
              </w:r>
            </w:del>
          </w:p>
        </w:tc>
      </w:tr>
      <w:tr w:rsidR="00A7162A" w14:paraId="5E71B4AD" w14:textId="7F1F2558" w:rsidTr="00F675CF">
        <w:trPr>
          <w:del w:id="7690" w:author="AbbVie2" w:date="2025-05-13T16:39:00Z"/>
        </w:trPr>
        <w:tc>
          <w:tcPr>
            <w:tcW w:w="2750" w:type="dxa"/>
          </w:tcPr>
          <w:p w14:paraId="5C88694A" w14:textId="6D74D317" w:rsidR="004462A0" w:rsidRPr="008912CF" w:rsidRDefault="00615769">
            <w:pPr>
              <w:rPr>
                <w:del w:id="7691" w:author="AbbVie2" w:date="2025-05-13T16:39:00Z"/>
              </w:rPr>
              <w:pPrChange w:id="7692" w:author="AbbVie2" w:date="2025-05-13T16:40:00Z">
                <w:pPr>
                  <w:keepNext/>
                  <w:ind w:left="720"/>
                </w:pPr>
              </w:pPrChange>
            </w:pPr>
            <w:del w:id="7693" w:author="AbbVie2" w:date="2025-05-13T16:39:00Z">
              <w:r w:rsidRPr="008912CF">
                <w:rPr>
                  <w:sz w:val="22"/>
                  <w:szCs w:val="22"/>
                </w:rPr>
                <w:delText>Semana 24</w:delText>
              </w:r>
            </w:del>
          </w:p>
        </w:tc>
        <w:tc>
          <w:tcPr>
            <w:tcW w:w="2090" w:type="dxa"/>
          </w:tcPr>
          <w:p w14:paraId="783C363D" w14:textId="553534AA" w:rsidR="004462A0" w:rsidRPr="008912CF" w:rsidRDefault="00615769">
            <w:pPr>
              <w:rPr>
                <w:del w:id="7694" w:author="AbbVie2" w:date="2025-05-13T16:39:00Z"/>
              </w:rPr>
              <w:pPrChange w:id="7695" w:author="AbbVie2" w:date="2025-05-13T16:40:00Z">
                <w:pPr>
                  <w:keepNext/>
                  <w:jc w:val="center"/>
                </w:pPr>
              </w:pPrChange>
            </w:pPr>
            <w:del w:id="7696" w:author="AbbVie2" w:date="2025-05-13T16:39:00Z">
              <w:r w:rsidRPr="008912CF">
                <w:rPr>
                  <w:sz w:val="22"/>
                  <w:szCs w:val="22"/>
                </w:rPr>
                <w:delText>8</w:delText>
              </w:r>
              <w:r w:rsidR="009343EF">
                <w:rPr>
                  <w:sz w:val="22"/>
                  <w:szCs w:val="22"/>
                </w:rPr>
                <w:delText>%</w:delText>
              </w:r>
            </w:del>
          </w:p>
        </w:tc>
        <w:tc>
          <w:tcPr>
            <w:tcW w:w="2310" w:type="dxa"/>
          </w:tcPr>
          <w:p w14:paraId="38F9B3C1" w14:textId="6010C9EB" w:rsidR="004462A0" w:rsidRPr="008912CF" w:rsidRDefault="00615769">
            <w:pPr>
              <w:rPr>
                <w:del w:id="7697" w:author="AbbVie2" w:date="2025-05-13T16:39:00Z"/>
              </w:rPr>
              <w:pPrChange w:id="7698" w:author="AbbVie2" w:date="2025-05-13T16:40:00Z">
                <w:pPr>
                  <w:keepNext/>
                  <w:jc w:val="center"/>
                </w:pPr>
              </w:pPrChange>
            </w:pPr>
            <w:del w:id="7699" w:author="AbbVie2" w:date="2025-05-13T16:39:00Z">
              <w:r w:rsidRPr="008912CF">
                <w:rPr>
                  <w:sz w:val="22"/>
                  <w:szCs w:val="22"/>
                </w:rPr>
                <w:delText>24</w:delText>
              </w:r>
              <w:r w:rsidR="009343EF">
                <w:rPr>
                  <w:sz w:val="22"/>
                  <w:szCs w:val="22"/>
                </w:rPr>
                <w:delText>%</w:delText>
              </w:r>
              <w:r w:rsidRPr="008912CF">
                <w:rPr>
                  <w:sz w:val="22"/>
                  <w:szCs w:val="22"/>
                </w:rPr>
                <w:delText>***</w:delText>
              </w:r>
            </w:del>
          </w:p>
        </w:tc>
      </w:tr>
      <w:tr w:rsidR="00A7162A" w14:paraId="19A23A59" w14:textId="5AB61C4D" w:rsidTr="00F675CF">
        <w:trPr>
          <w:del w:id="7700" w:author="AbbVie2" w:date="2025-05-13T16:39:00Z"/>
        </w:trPr>
        <w:tc>
          <w:tcPr>
            <w:tcW w:w="2750" w:type="dxa"/>
          </w:tcPr>
          <w:p w14:paraId="4B2D2837" w14:textId="174F1B53" w:rsidR="004462A0" w:rsidRPr="008912CF" w:rsidRDefault="00615769">
            <w:pPr>
              <w:rPr>
                <w:del w:id="7701" w:author="AbbVie2" w:date="2025-05-13T16:39:00Z"/>
              </w:rPr>
              <w:pPrChange w:id="7702" w:author="AbbVie2" w:date="2025-05-13T16:40:00Z">
                <w:pPr>
                  <w:keepNext/>
                </w:pPr>
              </w:pPrChange>
            </w:pPr>
            <w:del w:id="7703" w:author="AbbVie2" w:date="2025-05-13T16:39:00Z">
              <w:r w:rsidRPr="008912CF">
                <w:rPr>
                  <w:sz w:val="22"/>
                  <w:szCs w:val="22"/>
                </w:rPr>
                <w:delText>BASDAI</w:delText>
              </w:r>
              <w:r w:rsidRPr="008912CF">
                <w:rPr>
                  <w:sz w:val="22"/>
                  <w:szCs w:val="22"/>
                  <w:vertAlign w:val="superscript"/>
                </w:rPr>
                <w:delText>b</w:delText>
              </w:r>
              <w:r w:rsidRPr="008912CF">
                <w:rPr>
                  <w:sz w:val="22"/>
                  <w:szCs w:val="22"/>
                </w:rPr>
                <w:delText xml:space="preserve"> 50 </w:delText>
              </w:r>
            </w:del>
          </w:p>
        </w:tc>
        <w:tc>
          <w:tcPr>
            <w:tcW w:w="2090" w:type="dxa"/>
          </w:tcPr>
          <w:p w14:paraId="1E6C97E1" w14:textId="50D7F819" w:rsidR="004462A0" w:rsidRPr="008912CF" w:rsidRDefault="004462A0">
            <w:pPr>
              <w:rPr>
                <w:del w:id="7704" w:author="AbbVie2" w:date="2025-05-13T16:39:00Z"/>
              </w:rPr>
              <w:pPrChange w:id="7705" w:author="AbbVie2" w:date="2025-05-13T16:40:00Z">
                <w:pPr>
                  <w:keepNext/>
                  <w:jc w:val="center"/>
                </w:pPr>
              </w:pPrChange>
            </w:pPr>
          </w:p>
        </w:tc>
        <w:tc>
          <w:tcPr>
            <w:tcW w:w="2310" w:type="dxa"/>
          </w:tcPr>
          <w:p w14:paraId="470B5AAB" w14:textId="0855B2B9" w:rsidR="004462A0" w:rsidRPr="008912CF" w:rsidRDefault="004462A0">
            <w:pPr>
              <w:rPr>
                <w:del w:id="7706" w:author="AbbVie2" w:date="2025-05-13T16:39:00Z"/>
              </w:rPr>
              <w:pPrChange w:id="7707" w:author="AbbVie2" w:date="2025-05-13T16:40:00Z">
                <w:pPr>
                  <w:keepNext/>
                  <w:jc w:val="center"/>
                </w:pPr>
              </w:pPrChange>
            </w:pPr>
          </w:p>
        </w:tc>
      </w:tr>
      <w:tr w:rsidR="00A7162A" w14:paraId="4FCE9353" w14:textId="7C6EA071" w:rsidTr="00F675CF">
        <w:trPr>
          <w:del w:id="7708" w:author="AbbVie2" w:date="2025-05-13T16:39:00Z"/>
        </w:trPr>
        <w:tc>
          <w:tcPr>
            <w:tcW w:w="2750" w:type="dxa"/>
          </w:tcPr>
          <w:p w14:paraId="7FA53534" w14:textId="23BD9514" w:rsidR="004462A0" w:rsidRPr="008912CF" w:rsidRDefault="00615769">
            <w:pPr>
              <w:rPr>
                <w:del w:id="7709" w:author="AbbVie2" w:date="2025-05-13T16:39:00Z"/>
              </w:rPr>
              <w:pPrChange w:id="7710" w:author="AbbVie2" w:date="2025-05-13T16:40:00Z">
                <w:pPr>
                  <w:keepNext/>
                </w:pPr>
              </w:pPrChange>
            </w:pPr>
            <w:del w:id="7711" w:author="AbbVie2" w:date="2025-05-13T16:39:00Z">
              <w:r w:rsidRPr="008912CF">
                <w:rPr>
                  <w:sz w:val="22"/>
                  <w:szCs w:val="22"/>
                </w:rPr>
                <w:delText xml:space="preserve">             Semana 2</w:delText>
              </w:r>
            </w:del>
          </w:p>
        </w:tc>
        <w:tc>
          <w:tcPr>
            <w:tcW w:w="2090" w:type="dxa"/>
          </w:tcPr>
          <w:p w14:paraId="7FF71A07" w14:textId="207F1300" w:rsidR="004462A0" w:rsidRPr="008912CF" w:rsidRDefault="00615769">
            <w:pPr>
              <w:rPr>
                <w:del w:id="7712" w:author="AbbVie2" w:date="2025-05-13T16:39:00Z"/>
              </w:rPr>
              <w:pPrChange w:id="7713" w:author="AbbVie2" w:date="2025-05-13T16:40:00Z">
                <w:pPr>
                  <w:keepNext/>
                  <w:jc w:val="center"/>
                </w:pPr>
              </w:pPrChange>
            </w:pPr>
            <w:del w:id="7714" w:author="AbbVie2" w:date="2025-05-13T16:39:00Z">
              <w:r w:rsidRPr="008912CF">
                <w:rPr>
                  <w:sz w:val="22"/>
                  <w:szCs w:val="22"/>
                </w:rPr>
                <w:delText>4</w:delText>
              </w:r>
              <w:r w:rsidR="009343EF">
                <w:rPr>
                  <w:sz w:val="22"/>
                  <w:szCs w:val="22"/>
                </w:rPr>
                <w:delText>%</w:delText>
              </w:r>
            </w:del>
          </w:p>
        </w:tc>
        <w:tc>
          <w:tcPr>
            <w:tcW w:w="2310" w:type="dxa"/>
          </w:tcPr>
          <w:p w14:paraId="45AE6E69" w14:textId="0EF587FD" w:rsidR="004462A0" w:rsidRPr="008912CF" w:rsidRDefault="00615769">
            <w:pPr>
              <w:rPr>
                <w:del w:id="7715" w:author="AbbVie2" w:date="2025-05-13T16:39:00Z"/>
              </w:rPr>
              <w:pPrChange w:id="7716" w:author="AbbVie2" w:date="2025-05-13T16:40:00Z">
                <w:pPr>
                  <w:keepNext/>
                  <w:jc w:val="center"/>
                </w:pPr>
              </w:pPrChange>
            </w:pPr>
            <w:del w:id="7717" w:author="AbbVie2" w:date="2025-05-13T16:39:00Z">
              <w:r w:rsidRPr="008912CF">
                <w:rPr>
                  <w:sz w:val="22"/>
                  <w:szCs w:val="22"/>
                </w:rPr>
                <w:delText>20</w:delText>
              </w:r>
              <w:r w:rsidR="009343EF">
                <w:rPr>
                  <w:sz w:val="22"/>
                  <w:szCs w:val="22"/>
                </w:rPr>
                <w:delText>%</w:delText>
              </w:r>
              <w:r w:rsidRPr="008912CF">
                <w:rPr>
                  <w:sz w:val="22"/>
                  <w:szCs w:val="22"/>
                </w:rPr>
                <w:delText>***</w:delText>
              </w:r>
            </w:del>
          </w:p>
        </w:tc>
      </w:tr>
      <w:tr w:rsidR="00A7162A" w14:paraId="09596D99" w14:textId="77ADCA11" w:rsidTr="00F675CF">
        <w:trPr>
          <w:del w:id="7718" w:author="AbbVie2" w:date="2025-05-13T16:39:00Z"/>
        </w:trPr>
        <w:tc>
          <w:tcPr>
            <w:tcW w:w="2750" w:type="dxa"/>
          </w:tcPr>
          <w:p w14:paraId="42F6C78C" w14:textId="22BD0132" w:rsidR="004462A0" w:rsidRPr="008912CF" w:rsidRDefault="00615769">
            <w:pPr>
              <w:rPr>
                <w:del w:id="7719" w:author="AbbVie2" w:date="2025-05-13T16:39:00Z"/>
              </w:rPr>
              <w:pPrChange w:id="7720" w:author="AbbVie2" w:date="2025-05-13T16:40:00Z">
                <w:pPr>
                  <w:keepNext/>
                  <w:ind w:left="720"/>
                </w:pPr>
              </w:pPrChange>
            </w:pPr>
            <w:del w:id="7721" w:author="AbbVie2" w:date="2025-05-13T16:39:00Z">
              <w:r w:rsidRPr="008912CF">
                <w:rPr>
                  <w:sz w:val="22"/>
                  <w:szCs w:val="22"/>
                </w:rPr>
                <w:delText xml:space="preserve">Semana 12 </w:delText>
              </w:r>
            </w:del>
          </w:p>
        </w:tc>
        <w:tc>
          <w:tcPr>
            <w:tcW w:w="2090" w:type="dxa"/>
          </w:tcPr>
          <w:p w14:paraId="10520B05" w14:textId="6F68D892" w:rsidR="004462A0" w:rsidRPr="008912CF" w:rsidRDefault="00615769">
            <w:pPr>
              <w:rPr>
                <w:del w:id="7722" w:author="AbbVie2" w:date="2025-05-13T16:39:00Z"/>
              </w:rPr>
              <w:pPrChange w:id="7723" w:author="AbbVie2" w:date="2025-05-13T16:40:00Z">
                <w:pPr>
                  <w:keepNext/>
                  <w:jc w:val="center"/>
                </w:pPr>
              </w:pPrChange>
            </w:pPr>
            <w:del w:id="7724" w:author="AbbVie2" w:date="2025-05-13T16:39:00Z">
              <w:r w:rsidRPr="008912CF">
                <w:rPr>
                  <w:sz w:val="22"/>
                  <w:szCs w:val="22"/>
                </w:rPr>
                <w:delText>16</w:delText>
              </w:r>
              <w:r w:rsidR="009343EF">
                <w:rPr>
                  <w:sz w:val="22"/>
                  <w:szCs w:val="22"/>
                </w:rPr>
                <w:delText>%</w:delText>
              </w:r>
            </w:del>
          </w:p>
        </w:tc>
        <w:tc>
          <w:tcPr>
            <w:tcW w:w="2310" w:type="dxa"/>
          </w:tcPr>
          <w:p w14:paraId="367D8B65" w14:textId="4AE61483" w:rsidR="004462A0" w:rsidRPr="008912CF" w:rsidRDefault="00615769">
            <w:pPr>
              <w:rPr>
                <w:del w:id="7725" w:author="AbbVie2" w:date="2025-05-13T16:39:00Z"/>
              </w:rPr>
              <w:pPrChange w:id="7726" w:author="AbbVie2" w:date="2025-05-13T16:40:00Z">
                <w:pPr>
                  <w:keepNext/>
                  <w:jc w:val="center"/>
                </w:pPr>
              </w:pPrChange>
            </w:pPr>
            <w:del w:id="7727" w:author="AbbVie2" w:date="2025-05-13T16:39:00Z">
              <w:r w:rsidRPr="008912CF">
                <w:rPr>
                  <w:sz w:val="22"/>
                  <w:szCs w:val="22"/>
                </w:rPr>
                <w:delText>45</w:delText>
              </w:r>
              <w:r w:rsidR="009343EF">
                <w:rPr>
                  <w:sz w:val="22"/>
                  <w:szCs w:val="22"/>
                </w:rPr>
                <w:delText>%</w:delText>
              </w:r>
              <w:r w:rsidRPr="008912CF">
                <w:rPr>
                  <w:sz w:val="22"/>
                  <w:szCs w:val="22"/>
                </w:rPr>
                <w:delText>***</w:delText>
              </w:r>
            </w:del>
          </w:p>
        </w:tc>
      </w:tr>
      <w:tr w:rsidR="00A7162A" w14:paraId="6739663E" w14:textId="6CB3E807" w:rsidTr="00F675CF">
        <w:trPr>
          <w:del w:id="7728" w:author="AbbVie2" w:date="2025-05-13T16:39:00Z"/>
        </w:trPr>
        <w:tc>
          <w:tcPr>
            <w:tcW w:w="2750" w:type="dxa"/>
          </w:tcPr>
          <w:p w14:paraId="46CE3A22" w14:textId="37B4CCB7" w:rsidR="004462A0" w:rsidRPr="008912CF" w:rsidRDefault="00615769">
            <w:pPr>
              <w:rPr>
                <w:del w:id="7729" w:author="AbbVie2" w:date="2025-05-13T16:39:00Z"/>
              </w:rPr>
              <w:pPrChange w:id="7730" w:author="AbbVie2" w:date="2025-05-13T16:40:00Z">
                <w:pPr>
                  <w:keepNext/>
                  <w:ind w:left="720"/>
                </w:pPr>
              </w:pPrChange>
            </w:pPr>
            <w:del w:id="7731" w:author="AbbVie2" w:date="2025-05-13T16:39:00Z">
              <w:r w:rsidRPr="008912CF">
                <w:rPr>
                  <w:sz w:val="22"/>
                  <w:szCs w:val="22"/>
                </w:rPr>
                <w:delText xml:space="preserve">Semana 24 </w:delText>
              </w:r>
            </w:del>
          </w:p>
        </w:tc>
        <w:tc>
          <w:tcPr>
            <w:tcW w:w="2090" w:type="dxa"/>
          </w:tcPr>
          <w:p w14:paraId="709902FD" w14:textId="7548128D" w:rsidR="004462A0" w:rsidRPr="008912CF" w:rsidRDefault="00615769">
            <w:pPr>
              <w:rPr>
                <w:del w:id="7732" w:author="AbbVie2" w:date="2025-05-13T16:39:00Z"/>
              </w:rPr>
              <w:pPrChange w:id="7733" w:author="AbbVie2" w:date="2025-05-13T16:40:00Z">
                <w:pPr>
                  <w:keepNext/>
                  <w:jc w:val="center"/>
                </w:pPr>
              </w:pPrChange>
            </w:pPr>
            <w:del w:id="7734" w:author="AbbVie2" w:date="2025-05-13T16:39:00Z">
              <w:r w:rsidRPr="008912CF">
                <w:rPr>
                  <w:sz w:val="22"/>
                  <w:szCs w:val="22"/>
                </w:rPr>
                <w:delText>15</w:delText>
              </w:r>
              <w:r w:rsidR="009343EF">
                <w:rPr>
                  <w:sz w:val="22"/>
                  <w:szCs w:val="22"/>
                </w:rPr>
                <w:delText>%</w:delText>
              </w:r>
            </w:del>
          </w:p>
        </w:tc>
        <w:tc>
          <w:tcPr>
            <w:tcW w:w="2310" w:type="dxa"/>
          </w:tcPr>
          <w:p w14:paraId="39149F8B" w14:textId="6409F2C9" w:rsidR="004462A0" w:rsidRPr="008912CF" w:rsidRDefault="00615769">
            <w:pPr>
              <w:rPr>
                <w:del w:id="7735" w:author="AbbVie2" w:date="2025-05-13T16:39:00Z"/>
              </w:rPr>
              <w:pPrChange w:id="7736" w:author="AbbVie2" w:date="2025-05-13T16:40:00Z">
                <w:pPr>
                  <w:keepNext/>
                  <w:jc w:val="center"/>
                </w:pPr>
              </w:pPrChange>
            </w:pPr>
            <w:del w:id="7737" w:author="AbbVie2" w:date="2025-05-13T16:39:00Z">
              <w:r w:rsidRPr="008912CF">
                <w:rPr>
                  <w:sz w:val="22"/>
                  <w:szCs w:val="22"/>
                </w:rPr>
                <w:delText>42</w:delText>
              </w:r>
              <w:r w:rsidR="009343EF">
                <w:rPr>
                  <w:sz w:val="22"/>
                  <w:szCs w:val="22"/>
                </w:rPr>
                <w:delText>%</w:delText>
              </w:r>
              <w:r w:rsidRPr="008912CF">
                <w:rPr>
                  <w:sz w:val="22"/>
                  <w:szCs w:val="22"/>
                </w:rPr>
                <w:delText>***</w:delText>
              </w:r>
            </w:del>
          </w:p>
        </w:tc>
      </w:tr>
    </w:tbl>
    <w:p w14:paraId="2014550E" w14:textId="60977EA8" w:rsidR="004462A0" w:rsidRPr="008912CF" w:rsidRDefault="00615769">
      <w:pPr>
        <w:rPr>
          <w:del w:id="7738" w:author="AbbVie2" w:date="2025-05-13T16:39:00Z"/>
          <w:szCs w:val="22"/>
        </w:rPr>
        <w:pPrChange w:id="7739" w:author="AbbVie2" w:date="2025-05-13T16:40:00Z">
          <w:pPr>
            <w:pStyle w:val="DefaultText"/>
            <w:keepNext/>
            <w:ind w:left="990"/>
          </w:pPr>
        </w:pPrChange>
      </w:pPr>
      <w:del w:id="7740" w:author="AbbVie2" w:date="2025-05-13T16:39:00Z">
        <w:r w:rsidRPr="008912CF">
          <w:rPr>
            <w:szCs w:val="22"/>
          </w:rPr>
          <w:delText>***,** Estatisticamente significativ</w:delText>
        </w:r>
        <w:r w:rsidR="00B542C8">
          <w:rPr>
            <w:szCs w:val="22"/>
          </w:rPr>
          <w:delText>o</w:delText>
        </w:r>
        <w:r w:rsidRPr="008912CF">
          <w:rPr>
            <w:szCs w:val="22"/>
          </w:rPr>
          <w:delText xml:space="preserve"> p &lt; 0,001, &lt; 0,01 para todas as comparações entre Humira e placebo nas Semanas 2, 12 e 24</w:delText>
        </w:r>
      </w:del>
    </w:p>
    <w:p w14:paraId="470FCF94" w14:textId="75538C0D" w:rsidR="004462A0" w:rsidRPr="008912CF" w:rsidRDefault="00615769">
      <w:pPr>
        <w:rPr>
          <w:del w:id="7741" w:author="AbbVie2" w:date="2025-05-13T16:39:00Z"/>
          <w:sz w:val="22"/>
          <w:szCs w:val="22"/>
        </w:rPr>
        <w:pPrChange w:id="7742" w:author="AbbVie2" w:date="2025-05-13T16:40:00Z">
          <w:pPr>
            <w:keepNext/>
            <w:autoSpaceDE w:val="0"/>
            <w:autoSpaceDN w:val="0"/>
            <w:adjustRightInd w:val="0"/>
            <w:ind w:left="990"/>
          </w:pPr>
        </w:pPrChange>
      </w:pPr>
      <w:del w:id="7743" w:author="AbbVie2" w:date="2025-05-13T16:39:00Z">
        <w:r w:rsidRPr="008912CF">
          <w:rPr>
            <w:color w:val="000000"/>
            <w:sz w:val="22"/>
            <w:szCs w:val="22"/>
            <w:vertAlign w:val="superscript"/>
          </w:rPr>
          <w:delText>a</w:delText>
        </w:r>
        <w:r w:rsidRPr="008912CF">
          <w:rPr>
            <w:color w:val="000000"/>
            <w:sz w:val="22"/>
            <w:szCs w:val="22"/>
          </w:rPr>
          <w:delText xml:space="preserve"> Avaliação da Espondilite Anquilosante</w:delText>
        </w:r>
      </w:del>
    </w:p>
    <w:p w14:paraId="449B4445" w14:textId="4FF59268" w:rsidR="004462A0" w:rsidRPr="008912CF" w:rsidRDefault="00615769">
      <w:pPr>
        <w:rPr>
          <w:del w:id="7744" w:author="AbbVie2" w:date="2025-05-13T16:39:00Z"/>
          <w:szCs w:val="22"/>
        </w:rPr>
        <w:pPrChange w:id="7745" w:author="AbbVie2" w:date="2025-05-13T16:40:00Z">
          <w:pPr>
            <w:pStyle w:val="EMEANormal"/>
            <w:keepNext/>
            <w:ind w:left="990"/>
          </w:pPr>
        </w:pPrChange>
      </w:pPr>
      <w:del w:id="7746" w:author="AbbVie2" w:date="2025-05-13T16:39:00Z">
        <w:r w:rsidRPr="008912CF">
          <w:rPr>
            <w:color w:val="000000"/>
            <w:szCs w:val="22"/>
            <w:vertAlign w:val="superscript"/>
          </w:rPr>
          <w:delText>b</w:delText>
        </w:r>
        <w:r w:rsidRPr="008912CF">
          <w:rPr>
            <w:color w:val="000000"/>
            <w:szCs w:val="22"/>
          </w:rPr>
          <w:delText xml:space="preserve"> </w:delText>
        </w:r>
        <w:r w:rsidRPr="008912CF">
          <w:rPr>
            <w:i/>
            <w:szCs w:val="22"/>
          </w:rPr>
          <w:delText>Bath Ankylosing Spondylitis Disease Activity Index</w:delText>
        </w:r>
      </w:del>
    </w:p>
    <w:p w14:paraId="1396ED4D" w14:textId="1AFE6EC2" w:rsidR="004462A0" w:rsidRPr="008912CF" w:rsidRDefault="004462A0">
      <w:pPr>
        <w:rPr>
          <w:del w:id="7747" w:author="AbbVie2" w:date="2025-05-13T16:39:00Z"/>
          <w:szCs w:val="22"/>
        </w:rPr>
        <w:pPrChange w:id="7748" w:author="AbbVie2" w:date="2025-05-13T16:40:00Z">
          <w:pPr>
            <w:pStyle w:val="EMEANormal"/>
            <w:keepNext/>
          </w:pPr>
        </w:pPrChange>
      </w:pPr>
    </w:p>
    <w:p w14:paraId="201A5B79" w14:textId="43696BEB" w:rsidR="004462A0" w:rsidRPr="008912CF" w:rsidRDefault="00615769">
      <w:pPr>
        <w:rPr>
          <w:del w:id="7749" w:author="AbbVie2" w:date="2025-05-13T16:39:00Z"/>
          <w:szCs w:val="22"/>
        </w:rPr>
        <w:pPrChange w:id="7750" w:author="AbbVie2" w:date="2025-05-13T16:40:00Z">
          <w:pPr>
            <w:pStyle w:val="EMEANormal"/>
          </w:pPr>
        </w:pPrChange>
      </w:pPr>
      <w:del w:id="7751" w:author="AbbVie2" w:date="2025-05-13T16:39:00Z">
        <w:r w:rsidRPr="008912CF">
          <w:rPr>
            <w:szCs w:val="22"/>
          </w:rPr>
          <w:delText>Os doentes tratados com Humira apresentaram uma melhoria significativamente superior na Semana 12</w:delText>
        </w:r>
        <w:r w:rsidR="00B542C8">
          <w:rPr>
            <w:szCs w:val="22"/>
          </w:rPr>
          <w:delText>,</w:delText>
        </w:r>
        <w:r w:rsidRPr="008912CF">
          <w:rPr>
            <w:szCs w:val="22"/>
          </w:rPr>
          <w:delText xml:space="preserve"> a qual foi mantida até à Semana 24, no SF36 e no Questionário de Qualidade de Vida da Espondilite Anquilosante (ASQoL).</w:delText>
        </w:r>
      </w:del>
    </w:p>
    <w:p w14:paraId="2E33E2C9" w14:textId="3E5E021E" w:rsidR="004462A0" w:rsidRPr="008912CF" w:rsidRDefault="004462A0">
      <w:pPr>
        <w:rPr>
          <w:del w:id="7752" w:author="AbbVie2" w:date="2025-05-13T16:39:00Z"/>
          <w:szCs w:val="22"/>
        </w:rPr>
        <w:pPrChange w:id="7753" w:author="AbbVie2" w:date="2025-05-13T16:40:00Z">
          <w:pPr>
            <w:pStyle w:val="EMEANormal"/>
          </w:pPr>
        </w:pPrChange>
      </w:pPr>
    </w:p>
    <w:p w14:paraId="17900AD8" w14:textId="5298C26F" w:rsidR="004462A0" w:rsidRPr="008912CF" w:rsidRDefault="00615769">
      <w:pPr>
        <w:rPr>
          <w:del w:id="7754" w:author="AbbVie2" w:date="2025-05-13T16:39:00Z"/>
          <w:szCs w:val="22"/>
        </w:rPr>
        <w:pPrChange w:id="7755" w:author="AbbVie2" w:date="2025-05-13T16:40:00Z">
          <w:pPr>
            <w:pStyle w:val="BodyText2"/>
            <w:autoSpaceDE/>
            <w:autoSpaceDN/>
            <w:adjustRightInd/>
          </w:pPr>
        </w:pPrChange>
      </w:pPr>
      <w:del w:id="7756" w:author="AbbVie2" w:date="2025-05-13T16:39:00Z">
        <w:r w:rsidRPr="008912CF">
          <w:rPr>
            <w:szCs w:val="22"/>
          </w:rPr>
          <w:delText>Observaram-se resultados similares (nem todos estatisticamente significativos) n</w:delText>
        </w:r>
        <w:r w:rsidR="00B542C8">
          <w:rPr>
            <w:szCs w:val="22"/>
          </w:rPr>
          <w:delText>o</w:delText>
        </w:r>
        <w:r w:rsidRPr="008912CF">
          <w:rPr>
            <w:szCs w:val="22"/>
          </w:rPr>
          <w:delText xml:space="preserve"> estudo aleat</w:delText>
        </w:r>
        <w:r w:rsidR="00B542C8">
          <w:rPr>
            <w:szCs w:val="22"/>
          </w:rPr>
          <w:delText>orizado</w:delText>
        </w:r>
        <w:r w:rsidRPr="008912CF">
          <w:rPr>
            <w:szCs w:val="22"/>
          </w:rPr>
          <w:delText xml:space="preserve"> mais pequeno, em dupla ocultação, controlado com placebo, EA II envolvendo 82 doentes adultos com espondilite anquilosante ativa.</w:delText>
        </w:r>
      </w:del>
    </w:p>
    <w:p w14:paraId="0BFCC16F" w14:textId="4967FC75" w:rsidR="004462A0" w:rsidRPr="008912CF" w:rsidRDefault="004462A0">
      <w:pPr>
        <w:rPr>
          <w:del w:id="7757" w:author="AbbVie2" w:date="2025-05-13T16:39:00Z"/>
          <w:color w:val="000000"/>
          <w:szCs w:val="22"/>
        </w:rPr>
        <w:pPrChange w:id="7758" w:author="AbbVie2" w:date="2025-05-13T16:40:00Z">
          <w:pPr>
            <w:pStyle w:val="BodyText2"/>
            <w:autoSpaceDE/>
            <w:autoSpaceDN/>
            <w:adjustRightInd/>
          </w:pPr>
        </w:pPrChange>
      </w:pPr>
    </w:p>
    <w:p w14:paraId="7A95854E" w14:textId="63A294AA" w:rsidR="004462A0" w:rsidRPr="008912CF" w:rsidRDefault="00615769">
      <w:pPr>
        <w:rPr>
          <w:del w:id="7759" w:author="AbbVie2" w:date="2025-05-13T16:39:00Z"/>
          <w:color w:val="000000"/>
          <w:szCs w:val="22"/>
          <w:u w:val="single"/>
        </w:rPr>
        <w:pPrChange w:id="7760" w:author="AbbVie2" w:date="2025-05-13T16:40:00Z">
          <w:pPr>
            <w:pStyle w:val="BodyText2"/>
            <w:autoSpaceDE/>
            <w:autoSpaceDN/>
            <w:adjustRightInd/>
          </w:pPr>
        </w:pPrChange>
      </w:pPr>
      <w:del w:id="7761" w:author="AbbVie2" w:date="2025-05-13T16:39:00Z">
        <w:r w:rsidRPr="008912CF">
          <w:rPr>
            <w:i/>
            <w:color w:val="000000"/>
            <w:szCs w:val="22"/>
            <w:u w:val="single"/>
          </w:rPr>
          <w:delText>Espondilartrite axial sem evidência radiográfica de EA</w:delText>
        </w:r>
      </w:del>
    </w:p>
    <w:p w14:paraId="5527F433" w14:textId="6F2E2B73" w:rsidR="004462A0" w:rsidRPr="008912CF" w:rsidRDefault="004462A0">
      <w:pPr>
        <w:rPr>
          <w:del w:id="7762" w:author="AbbVie2" w:date="2025-05-13T16:39:00Z"/>
          <w:u w:val="single"/>
        </w:rPr>
        <w:pPrChange w:id="7763" w:author="AbbVie2" w:date="2025-05-13T16:40:00Z">
          <w:pPr>
            <w:pStyle w:val="EMEANormal"/>
          </w:pPr>
        </w:pPrChange>
      </w:pPr>
    </w:p>
    <w:p w14:paraId="78D033E5" w14:textId="25F9ED33" w:rsidR="00FA7AF2" w:rsidRDefault="00615769">
      <w:pPr>
        <w:rPr>
          <w:del w:id="7764" w:author="AbbVie2" w:date="2025-05-13T16:39:00Z"/>
          <w:szCs w:val="22"/>
        </w:rPr>
        <w:pPrChange w:id="7765" w:author="AbbVie2" w:date="2025-05-13T16:40:00Z">
          <w:pPr>
            <w:pStyle w:val="EMEANormal"/>
          </w:pPr>
        </w:pPrChange>
      </w:pPr>
      <w:del w:id="7766" w:author="AbbVie2" w:date="2025-05-13T16:39:00Z">
        <w:r w:rsidRPr="00A44E27">
          <w:rPr>
            <w:szCs w:val="22"/>
          </w:rPr>
          <w:delText xml:space="preserve">A segurança e eficácia de Humira foram avaliadas em </w:delText>
        </w:r>
        <w:r>
          <w:rPr>
            <w:szCs w:val="22"/>
          </w:rPr>
          <w:delText xml:space="preserve">dois </w:delText>
        </w:r>
        <w:r w:rsidRPr="00A44E27">
          <w:rPr>
            <w:szCs w:val="22"/>
          </w:rPr>
          <w:delText xml:space="preserve">estudos </w:delText>
        </w:r>
        <w:r w:rsidR="009011E6">
          <w:rPr>
            <w:szCs w:val="22"/>
          </w:rPr>
          <w:delText>aleatorizados</w:delText>
        </w:r>
        <w:r w:rsidRPr="00A44E27">
          <w:rPr>
            <w:szCs w:val="22"/>
          </w:rPr>
          <w:delText xml:space="preserve">, </w:delText>
        </w:r>
        <w:r w:rsidR="008C04F1">
          <w:rPr>
            <w:szCs w:val="22"/>
          </w:rPr>
          <w:delText>em</w:delText>
        </w:r>
        <w:r w:rsidRPr="00A44E27">
          <w:rPr>
            <w:szCs w:val="22"/>
          </w:rPr>
          <w:delText xml:space="preserve"> dupla ocultação</w:delText>
        </w:r>
        <w:r w:rsidR="009011E6">
          <w:rPr>
            <w:szCs w:val="22"/>
          </w:rPr>
          <w:delText xml:space="preserve"> controlados com placebo</w:delText>
        </w:r>
        <w:r w:rsidRPr="00A44E27">
          <w:rPr>
            <w:szCs w:val="22"/>
          </w:rPr>
          <w:delText>, em doentes com</w:delText>
        </w:r>
        <w:r w:rsidR="00AB3E6A">
          <w:delText xml:space="preserve"> </w:delText>
        </w:r>
        <w:r w:rsidRPr="008912CF">
          <w:delText xml:space="preserve">espondilartrite axial </w:delText>
        </w:r>
        <w:r w:rsidR="00EE357A">
          <w:delText>sem evidência radiográfica de EA</w:delText>
        </w:r>
        <w:r>
          <w:delText xml:space="preserve"> (</w:delText>
        </w:r>
        <w:r w:rsidRPr="00A44E27">
          <w:rPr>
            <w:szCs w:val="22"/>
          </w:rPr>
          <w:delText>EAx</w:delText>
        </w:r>
        <w:r w:rsidR="00EE357A">
          <w:rPr>
            <w:szCs w:val="22"/>
          </w:rPr>
          <w:delText>-</w:delText>
        </w:r>
        <w:r w:rsidRPr="00A44E27">
          <w:rPr>
            <w:szCs w:val="22"/>
          </w:rPr>
          <w:delText>n</w:delText>
        </w:r>
        <w:r w:rsidR="00EE357A">
          <w:rPr>
            <w:szCs w:val="22"/>
          </w:rPr>
          <w:delText>r</w:delText>
        </w:r>
        <w:r w:rsidR="00C630FB">
          <w:rPr>
            <w:szCs w:val="22"/>
          </w:rPr>
          <w:delText xml:space="preserve">). O estudo </w:delText>
        </w:r>
        <w:r w:rsidR="00A347AC">
          <w:rPr>
            <w:szCs w:val="22"/>
          </w:rPr>
          <w:delText xml:space="preserve">I </w:delText>
        </w:r>
        <w:r w:rsidR="00C630FB">
          <w:rPr>
            <w:szCs w:val="22"/>
          </w:rPr>
          <w:delText>na EAx</w:delText>
        </w:r>
        <w:r w:rsidR="00EE357A">
          <w:rPr>
            <w:szCs w:val="22"/>
          </w:rPr>
          <w:delText xml:space="preserve">-nr </w:delText>
        </w:r>
        <w:r w:rsidR="00C630FB">
          <w:rPr>
            <w:szCs w:val="22"/>
          </w:rPr>
          <w:delText xml:space="preserve">avaliou doentes com </w:delText>
        </w:r>
        <w:r w:rsidR="00EE357A" w:rsidRPr="003D0FAD">
          <w:rPr>
            <w:szCs w:val="22"/>
          </w:rPr>
          <w:delText>EAx</w:delText>
        </w:r>
        <w:r w:rsidR="00EE357A">
          <w:rPr>
            <w:szCs w:val="22"/>
          </w:rPr>
          <w:delText>-</w:delText>
        </w:r>
        <w:r w:rsidR="00EE357A" w:rsidRPr="003D0FAD">
          <w:rPr>
            <w:szCs w:val="22"/>
          </w:rPr>
          <w:delText>n</w:delText>
        </w:r>
        <w:r w:rsidR="00EE357A">
          <w:rPr>
            <w:szCs w:val="22"/>
          </w:rPr>
          <w:delText>r</w:delText>
        </w:r>
        <w:r w:rsidR="00C630FB">
          <w:rPr>
            <w:szCs w:val="22"/>
          </w:rPr>
          <w:delText xml:space="preserve"> ativa. O estudo</w:delText>
        </w:r>
        <w:r w:rsidR="00CC150F">
          <w:rPr>
            <w:szCs w:val="22"/>
          </w:rPr>
          <w:delText xml:space="preserve"> II</w:delText>
        </w:r>
        <w:r w:rsidR="00C630FB">
          <w:rPr>
            <w:szCs w:val="22"/>
          </w:rPr>
          <w:delText xml:space="preserve"> na </w:delText>
        </w:r>
        <w:r w:rsidR="00EE357A" w:rsidRPr="003D0FAD">
          <w:rPr>
            <w:szCs w:val="22"/>
          </w:rPr>
          <w:delText>EAx</w:delText>
        </w:r>
        <w:r w:rsidR="00EE357A">
          <w:rPr>
            <w:szCs w:val="22"/>
          </w:rPr>
          <w:delText>-</w:delText>
        </w:r>
        <w:r w:rsidR="00EE357A" w:rsidRPr="003D0FAD">
          <w:rPr>
            <w:szCs w:val="22"/>
          </w:rPr>
          <w:delText>n</w:delText>
        </w:r>
        <w:r w:rsidR="00EE357A">
          <w:rPr>
            <w:szCs w:val="22"/>
          </w:rPr>
          <w:delText>r</w:delText>
        </w:r>
        <w:r w:rsidR="007F0A96">
          <w:rPr>
            <w:szCs w:val="22"/>
          </w:rPr>
          <w:delText xml:space="preserve"> </w:delText>
        </w:r>
        <w:r w:rsidR="00C630FB">
          <w:rPr>
            <w:szCs w:val="22"/>
          </w:rPr>
          <w:delText xml:space="preserve">consistiu num estudo </w:delText>
        </w:r>
        <w:r w:rsidR="008A25FC">
          <w:rPr>
            <w:szCs w:val="22"/>
          </w:rPr>
          <w:delText xml:space="preserve">de descontinuação do tratamento em doentes com </w:delText>
        </w:r>
        <w:r w:rsidR="00EE357A" w:rsidRPr="003D0FAD">
          <w:rPr>
            <w:szCs w:val="22"/>
          </w:rPr>
          <w:delText>EAx</w:delText>
        </w:r>
        <w:r w:rsidR="00EE357A">
          <w:rPr>
            <w:szCs w:val="22"/>
          </w:rPr>
          <w:delText>-</w:delText>
        </w:r>
        <w:r w:rsidR="00EE357A" w:rsidRPr="003D0FAD">
          <w:rPr>
            <w:szCs w:val="22"/>
          </w:rPr>
          <w:delText>n</w:delText>
        </w:r>
        <w:r w:rsidR="00EE357A">
          <w:rPr>
            <w:szCs w:val="22"/>
          </w:rPr>
          <w:delText>r</w:delText>
        </w:r>
        <w:r w:rsidR="008A25FC">
          <w:rPr>
            <w:szCs w:val="22"/>
          </w:rPr>
          <w:delText xml:space="preserve"> ativa que atingiram remissão durante a fase aberta do tratamento com Humira.</w:delText>
        </w:r>
      </w:del>
    </w:p>
    <w:p w14:paraId="6663E38E" w14:textId="000D9160" w:rsidR="008A25FC" w:rsidRDefault="008A25FC">
      <w:pPr>
        <w:rPr>
          <w:del w:id="7767" w:author="AbbVie2" w:date="2025-05-13T16:39:00Z"/>
          <w:szCs w:val="22"/>
        </w:rPr>
        <w:pPrChange w:id="7768" w:author="AbbVie2" w:date="2025-05-13T16:40:00Z">
          <w:pPr>
            <w:pStyle w:val="EMEANormal"/>
          </w:pPr>
        </w:pPrChange>
      </w:pPr>
    </w:p>
    <w:p w14:paraId="211DB919" w14:textId="76822D8A" w:rsidR="008A25FC" w:rsidRPr="00C12FF2" w:rsidRDefault="00615769">
      <w:pPr>
        <w:rPr>
          <w:del w:id="7769" w:author="AbbVie2" w:date="2025-05-13T16:39:00Z"/>
        </w:rPr>
        <w:pPrChange w:id="7770" w:author="AbbVie2" w:date="2025-05-13T16:40:00Z">
          <w:pPr>
            <w:pStyle w:val="EMEANormal"/>
          </w:pPr>
        </w:pPrChange>
      </w:pPr>
      <w:del w:id="7771" w:author="AbbVie2" w:date="2025-05-13T16:39:00Z">
        <w:r>
          <w:rPr>
            <w:szCs w:val="22"/>
          </w:rPr>
          <w:delText>Estudo</w:delText>
        </w:r>
        <w:r w:rsidR="007F0A96">
          <w:rPr>
            <w:szCs w:val="22"/>
          </w:rPr>
          <w:delText xml:space="preserve"> </w:delText>
        </w:r>
        <w:r w:rsidR="00CC150F">
          <w:rPr>
            <w:szCs w:val="22"/>
          </w:rPr>
          <w:delText xml:space="preserve">I </w:delText>
        </w:r>
        <w:r>
          <w:rPr>
            <w:szCs w:val="22"/>
          </w:rPr>
          <w:delText xml:space="preserve">na </w:delText>
        </w:r>
        <w:r w:rsidR="00090620" w:rsidRPr="003D0FAD">
          <w:rPr>
            <w:szCs w:val="22"/>
          </w:rPr>
          <w:delText>EAx</w:delText>
        </w:r>
        <w:r w:rsidR="00090620">
          <w:rPr>
            <w:szCs w:val="22"/>
          </w:rPr>
          <w:delText>-</w:delText>
        </w:r>
        <w:r w:rsidR="00090620" w:rsidRPr="003D0FAD">
          <w:rPr>
            <w:szCs w:val="22"/>
          </w:rPr>
          <w:delText>n</w:delText>
        </w:r>
        <w:r w:rsidR="00090620">
          <w:rPr>
            <w:szCs w:val="22"/>
          </w:rPr>
          <w:delText>r</w:delText>
        </w:r>
      </w:del>
    </w:p>
    <w:p w14:paraId="0C52A6E3" w14:textId="7B1A0A1B" w:rsidR="00FA7AF2" w:rsidRDefault="00FA7AF2">
      <w:pPr>
        <w:rPr>
          <w:del w:id="7772" w:author="AbbVie2" w:date="2025-05-13T16:39:00Z"/>
        </w:rPr>
        <w:pPrChange w:id="7773" w:author="AbbVie2" w:date="2025-05-13T16:40:00Z">
          <w:pPr>
            <w:pStyle w:val="EMEANormal"/>
          </w:pPr>
        </w:pPrChange>
      </w:pPr>
    </w:p>
    <w:p w14:paraId="59D90BC9" w14:textId="7ACF3EB9" w:rsidR="004462A0" w:rsidRPr="008912CF" w:rsidRDefault="00615769">
      <w:pPr>
        <w:rPr>
          <w:del w:id="7774" w:author="AbbVie2" w:date="2025-05-13T16:39:00Z"/>
        </w:rPr>
        <w:pPrChange w:id="7775" w:author="AbbVie2" w:date="2025-05-13T16:40:00Z">
          <w:pPr>
            <w:pStyle w:val="EMEANormal"/>
          </w:pPr>
        </w:pPrChange>
      </w:pPr>
      <w:del w:id="7776" w:author="AbbVie2" w:date="2025-05-13T16:39:00Z">
        <w:r>
          <w:delText>No Estudo</w:delText>
        </w:r>
        <w:r w:rsidR="00CC150F">
          <w:delText xml:space="preserve"> I</w:delText>
        </w:r>
        <w:r>
          <w:delText xml:space="preserve"> </w:delText>
        </w:r>
        <w:r>
          <w:rPr>
            <w:szCs w:val="22"/>
          </w:rPr>
          <w:delText xml:space="preserve">na </w:delText>
        </w:r>
        <w:r w:rsidR="00090620" w:rsidRPr="003D0FAD">
          <w:rPr>
            <w:szCs w:val="22"/>
          </w:rPr>
          <w:delText>EAx</w:delText>
        </w:r>
        <w:r w:rsidR="00090620">
          <w:rPr>
            <w:szCs w:val="22"/>
          </w:rPr>
          <w:delText>-</w:delText>
        </w:r>
        <w:r w:rsidR="00090620" w:rsidRPr="003D0FAD">
          <w:rPr>
            <w:szCs w:val="22"/>
          </w:rPr>
          <w:delText>n</w:delText>
        </w:r>
        <w:r w:rsidR="00090620">
          <w:rPr>
            <w:szCs w:val="22"/>
          </w:rPr>
          <w:delText>r</w:delText>
        </w:r>
        <w:r>
          <w:rPr>
            <w:szCs w:val="22"/>
          </w:rPr>
          <w:delText xml:space="preserve">, </w:delText>
        </w:r>
        <w:r w:rsidRPr="008912CF">
          <w:delText xml:space="preserve">Humira 40 mg em semanas alternadas foi avaliado num estudo </w:delText>
        </w:r>
        <w:r w:rsidR="0013275C">
          <w:delText>aleatorizado</w:delText>
        </w:r>
        <w:r w:rsidRPr="008912CF">
          <w:delText xml:space="preserve">, em dupla ocultação, controlado com placebo, durante 12 semanas em </w:delText>
        </w:r>
        <w:r w:rsidR="006F025B">
          <w:delText xml:space="preserve">185 </w:delText>
        </w:r>
        <w:r w:rsidRPr="008912CF">
          <w:delText xml:space="preserve">doentes com </w:delText>
        </w:r>
        <w:r w:rsidR="00090620" w:rsidRPr="003D0FAD">
          <w:rPr>
            <w:szCs w:val="22"/>
          </w:rPr>
          <w:delText>EAx</w:delText>
        </w:r>
        <w:r w:rsidR="00090620">
          <w:rPr>
            <w:szCs w:val="22"/>
          </w:rPr>
          <w:delText>-</w:delText>
        </w:r>
        <w:r w:rsidR="00090620" w:rsidRPr="003D0FAD">
          <w:rPr>
            <w:szCs w:val="22"/>
          </w:rPr>
          <w:delText>n</w:delText>
        </w:r>
        <w:r w:rsidR="00090620">
          <w:rPr>
            <w:szCs w:val="22"/>
          </w:rPr>
          <w:delText>r</w:delText>
        </w:r>
        <w:r w:rsidR="006F025B">
          <w:rPr>
            <w:szCs w:val="22"/>
          </w:rPr>
          <w:delText xml:space="preserve"> ativa</w:delText>
        </w:r>
        <w:r w:rsidRPr="008912CF">
          <w:delText xml:space="preserve"> (os valores médios basais da atividade da doença </w:delText>
        </w:r>
        <w:r w:rsidRPr="008912CF">
          <w:rPr>
            <w:rFonts w:ascii="Symbol" w:hAnsi="Symbol"/>
          </w:rPr>
          <w:sym w:font="Symbol" w:char="F05B"/>
        </w:r>
        <w:r w:rsidRPr="008912CF">
          <w:rPr>
            <w:i/>
          </w:rPr>
          <w:delText>Bath Ankylosing Spondylitis Disease Activity Index</w:delText>
        </w:r>
        <w:r w:rsidRPr="008912CF">
          <w:delText xml:space="preserve"> (BASDAI)</w:delText>
        </w:r>
        <w:r w:rsidRPr="008912CF">
          <w:rPr>
            <w:rFonts w:ascii="Symbol" w:hAnsi="Symbol"/>
          </w:rPr>
          <w:sym w:font="Symbol" w:char="F05D"/>
        </w:r>
        <w:r w:rsidRPr="008912CF">
          <w:delText xml:space="preserve"> </w:delText>
        </w:r>
        <w:r w:rsidR="00504ADB">
          <w:delText>eram de</w:delText>
        </w:r>
        <w:r w:rsidRPr="008912CF">
          <w:delText xml:space="preserve"> 6,4 nos doentes tratados com Humira e 6,5 nos doentes que receberam placebo), que tiveram uma resposta inadequada, ou uma intolerância a </w:delText>
        </w:r>
        <w:r w:rsidRPr="008912CF">
          <w:rPr>
            <w:rFonts w:ascii="Arial" w:hAnsi="Arial" w:cs="Arial"/>
          </w:rPr>
          <w:delText>≥</w:delText>
        </w:r>
        <w:r w:rsidRPr="008912CF">
          <w:delText xml:space="preserve"> 1 AINEs, ou uma contraindicação aos AINEs.</w:delText>
        </w:r>
      </w:del>
    </w:p>
    <w:p w14:paraId="76A5F622" w14:textId="7BA62BDA" w:rsidR="004462A0" w:rsidRPr="008912CF" w:rsidRDefault="004462A0">
      <w:pPr>
        <w:rPr>
          <w:del w:id="7777" w:author="AbbVie2" w:date="2025-05-13T16:39:00Z"/>
        </w:rPr>
        <w:pPrChange w:id="7778" w:author="AbbVie2" w:date="2025-05-13T16:40:00Z">
          <w:pPr>
            <w:pStyle w:val="EMEANormal"/>
          </w:pPr>
        </w:pPrChange>
      </w:pPr>
    </w:p>
    <w:p w14:paraId="57E06791" w14:textId="16582A8B" w:rsidR="004462A0" w:rsidRPr="008912CF" w:rsidRDefault="00615769">
      <w:pPr>
        <w:rPr>
          <w:del w:id="7779" w:author="AbbVie2" w:date="2025-05-13T16:39:00Z"/>
          <w:szCs w:val="22"/>
        </w:rPr>
        <w:pPrChange w:id="7780" w:author="AbbVie2" w:date="2025-05-13T16:40:00Z">
          <w:pPr>
            <w:pStyle w:val="EMEANormal"/>
          </w:pPr>
        </w:pPrChange>
      </w:pPr>
      <w:del w:id="7781" w:author="AbbVie2" w:date="2025-05-13T16:39:00Z">
        <w:r w:rsidRPr="008912CF">
          <w:delText>Trinta e três doentes (18</w:delText>
        </w:r>
        <w:r w:rsidR="009343EF">
          <w:delText>%</w:delText>
        </w:r>
        <w:r w:rsidRPr="008912CF">
          <w:delText>) foram tratados concomitantemente com medicamentos anti</w:delText>
        </w:r>
        <w:r w:rsidR="00F96DDF">
          <w:delText>-</w:delText>
        </w:r>
        <w:r w:rsidRPr="008912CF">
          <w:delText>reumatismais modificadores da doença e 146 (79</w:delText>
        </w:r>
        <w:r w:rsidR="009343EF">
          <w:delText>%</w:delText>
        </w:r>
        <w:r w:rsidRPr="008912CF">
          <w:delText>) com AINEs aquando da avaliação basal. Após o período de dupla</w:delText>
        </w:r>
        <w:r w:rsidR="00965800">
          <w:delText xml:space="preserve"> </w:delText>
        </w:r>
        <w:r w:rsidRPr="008912CF">
          <w:delText>ocultação, seguiu-se um período de fase aberta durante o qual os doentes receberam Humira 40 mg por via subcutânea, em semanas alternadas, por mais 144 semanas. Os resultados na semana 12 mostraram uma melhoria estatisticamente significativa dos sinais e sintomas d</w:delText>
        </w:r>
        <w:r w:rsidR="00965800">
          <w:delText>e</w:delText>
        </w:r>
        <w:r w:rsidRPr="008912CF">
          <w:delText xml:space="preserve"> </w:delText>
        </w:r>
        <w:r w:rsidR="00090620" w:rsidRPr="003D0FAD">
          <w:rPr>
            <w:szCs w:val="22"/>
          </w:rPr>
          <w:delText>EAx</w:delText>
        </w:r>
        <w:r w:rsidR="00090620">
          <w:rPr>
            <w:szCs w:val="22"/>
          </w:rPr>
          <w:delText>-</w:delText>
        </w:r>
        <w:r w:rsidR="00090620" w:rsidRPr="003D0FAD">
          <w:rPr>
            <w:szCs w:val="22"/>
          </w:rPr>
          <w:delText>n</w:delText>
        </w:r>
        <w:r w:rsidR="00090620">
          <w:rPr>
            <w:szCs w:val="22"/>
          </w:rPr>
          <w:delText>r</w:delText>
        </w:r>
        <w:r w:rsidR="00474252">
          <w:rPr>
            <w:szCs w:val="22"/>
          </w:rPr>
          <w:delText xml:space="preserve"> </w:delText>
        </w:r>
        <w:r w:rsidRPr="008912CF">
          <w:delText xml:space="preserve">ativa em doentes tratados com Humira, comparativamente com doentes tratados com placebo (Tabela </w:delText>
        </w:r>
        <w:r w:rsidR="00A22EC4">
          <w:delText>1</w:delText>
        </w:r>
        <w:r w:rsidR="00E3620C">
          <w:delText>3</w:delText>
        </w:r>
        <w:r w:rsidRPr="008912CF">
          <w:delText xml:space="preserve">).  </w:delText>
        </w:r>
      </w:del>
    </w:p>
    <w:p w14:paraId="56F21132" w14:textId="4F64CA45" w:rsidR="004462A0" w:rsidRPr="00342BDA" w:rsidRDefault="004462A0">
      <w:pPr>
        <w:rPr>
          <w:del w:id="7782" w:author="AbbVie2" w:date="2025-05-13T16:39:00Z"/>
          <w:bCs/>
          <w:szCs w:val="22"/>
        </w:rPr>
        <w:pPrChange w:id="7783" w:author="AbbVie2" w:date="2025-05-13T16:40:00Z">
          <w:pPr>
            <w:pStyle w:val="EMEANormal"/>
            <w:jc w:val="center"/>
          </w:pPr>
        </w:pPrChange>
      </w:pPr>
    </w:p>
    <w:p w14:paraId="1F8A9E1B" w14:textId="2D03BF76" w:rsidR="004462A0" w:rsidRPr="00342BDA" w:rsidRDefault="00615769">
      <w:pPr>
        <w:rPr>
          <w:del w:id="7784" w:author="AbbVie2" w:date="2025-05-13T16:39:00Z"/>
          <w:bCs/>
          <w:szCs w:val="22"/>
        </w:rPr>
        <w:pPrChange w:id="7785" w:author="AbbVie2" w:date="2025-05-13T16:40:00Z">
          <w:pPr>
            <w:pStyle w:val="EMEANormal"/>
            <w:keepNext/>
            <w:jc w:val="center"/>
          </w:pPr>
        </w:pPrChange>
      </w:pPr>
      <w:del w:id="7786" w:author="AbbVie2" w:date="2025-05-13T16:39:00Z">
        <w:r w:rsidRPr="008912CF">
          <w:rPr>
            <w:b/>
            <w:bCs/>
            <w:szCs w:val="22"/>
          </w:rPr>
          <w:delText xml:space="preserve">Tabela </w:delText>
        </w:r>
        <w:r w:rsidR="00A22EC4">
          <w:rPr>
            <w:b/>
            <w:bCs/>
            <w:szCs w:val="22"/>
          </w:rPr>
          <w:delText>1</w:delText>
        </w:r>
        <w:r w:rsidR="00E3620C">
          <w:rPr>
            <w:b/>
            <w:bCs/>
            <w:szCs w:val="22"/>
          </w:rPr>
          <w:delText>3</w:delText>
        </w:r>
      </w:del>
    </w:p>
    <w:p w14:paraId="23E03DB7" w14:textId="4EE5DF59" w:rsidR="004462A0" w:rsidRPr="00342BDA" w:rsidRDefault="00615769">
      <w:pPr>
        <w:rPr>
          <w:del w:id="7787" w:author="AbbVie2" w:date="2025-05-13T16:39:00Z"/>
          <w:bCs/>
          <w:szCs w:val="22"/>
        </w:rPr>
        <w:pPrChange w:id="7788" w:author="AbbVie2" w:date="2025-05-13T16:40:00Z">
          <w:pPr>
            <w:pStyle w:val="EMEANormal"/>
            <w:keepNext/>
            <w:jc w:val="center"/>
          </w:pPr>
        </w:pPrChange>
      </w:pPr>
      <w:del w:id="7789" w:author="AbbVie2" w:date="2025-05-13T16:39:00Z">
        <w:r w:rsidRPr="008912CF">
          <w:rPr>
            <w:b/>
            <w:bCs/>
            <w:szCs w:val="22"/>
          </w:rPr>
          <w:delText>Resultados de Eficácia n</w:delText>
        </w:r>
        <w:r w:rsidR="00474252">
          <w:rPr>
            <w:b/>
            <w:bCs/>
            <w:szCs w:val="22"/>
          </w:rPr>
          <w:delText>o</w:delText>
        </w:r>
        <w:r w:rsidRPr="008912CF">
          <w:rPr>
            <w:b/>
            <w:bCs/>
            <w:szCs w:val="22"/>
          </w:rPr>
          <w:delText xml:space="preserve"> Estudo </w:delText>
        </w:r>
        <w:r w:rsidR="00CC150F">
          <w:rPr>
            <w:b/>
            <w:bCs/>
            <w:szCs w:val="22"/>
          </w:rPr>
          <w:delText xml:space="preserve">I </w:delText>
        </w:r>
        <w:r w:rsidRPr="008912CF">
          <w:rPr>
            <w:b/>
            <w:bCs/>
            <w:szCs w:val="22"/>
          </w:rPr>
          <w:delText xml:space="preserve">Controlado com Placebo na </w:delText>
        </w:r>
        <w:r w:rsidR="00474252" w:rsidRPr="00A44E27">
          <w:rPr>
            <w:b/>
            <w:szCs w:val="22"/>
          </w:rPr>
          <w:delText>EAx</w:delText>
        </w:r>
        <w:r w:rsidR="00C76546">
          <w:rPr>
            <w:b/>
            <w:szCs w:val="22"/>
          </w:rPr>
          <w:delText>-nr</w:delText>
        </w:r>
      </w:del>
    </w:p>
    <w:p w14:paraId="6CAC4907" w14:textId="63B625FB" w:rsidR="004462A0" w:rsidRPr="00342BDA" w:rsidRDefault="004462A0">
      <w:pPr>
        <w:rPr>
          <w:del w:id="7790" w:author="AbbVie2" w:date="2025-05-13T16:39:00Z"/>
          <w:bCs/>
          <w:szCs w:val="22"/>
        </w:rPr>
        <w:pPrChange w:id="7791" w:author="AbbVie2" w:date="2025-05-13T16:40:00Z">
          <w:pPr>
            <w:pStyle w:val="EMEANormal"/>
            <w:keepNext/>
            <w:jc w:val="center"/>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05"/>
        <w:gridCol w:w="1312"/>
        <w:gridCol w:w="1394"/>
      </w:tblGrid>
      <w:tr w:rsidR="00A7162A" w14:paraId="58C4328C" w14:textId="69AC2985" w:rsidTr="00F675CF">
        <w:trPr>
          <w:jc w:val="center"/>
          <w:del w:id="7792" w:author="AbbVie2" w:date="2025-05-13T16:39:00Z"/>
        </w:trPr>
        <w:tc>
          <w:tcPr>
            <w:tcW w:w="0" w:type="auto"/>
            <w:tcBorders>
              <w:top w:val="single" w:sz="4" w:space="0" w:color="auto"/>
              <w:left w:val="single" w:sz="4" w:space="0" w:color="auto"/>
              <w:bottom w:val="single" w:sz="4" w:space="0" w:color="auto"/>
              <w:right w:val="single" w:sz="4" w:space="0" w:color="auto"/>
            </w:tcBorders>
          </w:tcPr>
          <w:p w14:paraId="287A908C" w14:textId="5D1569AA" w:rsidR="004462A0" w:rsidRPr="008912CF" w:rsidRDefault="00615769">
            <w:pPr>
              <w:rPr>
                <w:del w:id="7793" w:author="AbbVie2" w:date="2025-05-13T16:39:00Z"/>
                <w:b/>
                <w:bCs/>
                <w:sz w:val="22"/>
                <w:szCs w:val="22"/>
              </w:rPr>
              <w:pPrChange w:id="7794" w:author="AbbVie2" w:date="2025-05-13T16:40:00Z">
                <w:pPr>
                  <w:keepNext/>
                </w:pPr>
              </w:pPrChange>
            </w:pPr>
            <w:del w:id="7795" w:author="AbbVie2" w:date="2025-05-13T16:39:00Z">
              <w:r w:rsidRPr="008912CF">
                <w:rPr>
                  <w:b/>
                  <w:bCs/>
                  <w:sz w:val="22"/>
                  <w:szCs w:val="22"/>
                </w:rPr>
                <w:delText>Dupla-Ocultação</w:delText>
              </w:r>
            </w:del>
          </w:p>
          <w:p w14:paraId="01082035" w14:textId="6396B8AD" w:rsidR="004462A0" w:rsidRPr="008912CF" w:rsidRDefault="00615769">
            <w:pPr>
              <w:rPr>
                <w:del w:id="7796" w:author="AbbVie2" w:date="2025-05-13T16:39:00Z"/>
                <w:b/>
                <w:bCs/>
                <w:sz w:val="22"/>
                <w:szCs w:val="22"/>
              </w:rPr>
              <w:pPrChange w:id="7797" w:author="AbbVie2" w:date="2025-05-13T16:40:00Z">
                <w:pPr>
                  <w:keepNext/>
                </w:pPr>
              </w:pPrChange>
            </w:pPr>
            <w:del w:id="7798" w:author="AbbVie2" w:date="2025-05-13T16:39:00Z">
              <w:r w:rsidRPr="008912CF">
                <w:rPr>
                  <w:b/>
                  <w:bCs/>
                  <w:sz w:val="22"/>
                  <w:szCs w:val="22"/>
                </w:rPr>
                <w:delText>Resposta na Semana 12</w:delText>
              </w:r>
            </w:del>
          </w:p>
        </w:tc>
        <w:tc>
          <w:tcPr>
            <w:tcW w:w="0" w:type="auto"/>
            <w:tcBorders>
              <w:top w:val="single" w:sz="4" w:space="0" w:color="auto"/>
              <w:left w:val="single" w:sz="4" w:space="0" w:color="auto"/>
              <w:bottom w:val="single" w:sz="4" w:space="0" w:color="auto"/>
              <w:right w:val="single" w:sz="4" w:space="0" w:color="auto"/>
            </w:tcBorders>
          </w:tcPr>
          <w:p w14:paraId="2FC84076" w14:textId="79C9AC5B" w:rsidR="004462A0" w:rsidRPr="008912CF" w:rsidRDefault="00615769">
            <w:pPr>
              <w:rPr>
                <w:del w:id="7799" w:author="AbbVie2" w:date="2025-05-13T16:39:00Z"/>
                <w:b/>
                <w:bCs/>
                <w:sz w:val="22"/>
                <w:szCs w:val="22"/>
              </w:rPr>
              <w:pPrChange w:id="7800" w:author="AbbVie2" w:date="2025-05-13T16:40:00Z">
                <w:pPr>
                  <w:keepNext/>
                  <w:jc w:val="center"/>
                </w:pPr>
              </w:pPrChange>
            </w:pPr>
            <w:del w:id="7801" w:author="AbbVie2" w:date="2025-05-13T16:39:00Z">
              <w:r w:rsidRPr="008912CF">
                <w:rPr>
                  <w:b/>
                  <w:bCs/>
                  <w:sz w:val="22"/>
                  <w:szCs w:val="22"/>
                </w:rPr>
                <w:delText>Placebo</w:delText>
              </w:r>
            </w:del>
          </w:p>
          <w:p w14:paraId="305DB2FB" w14:textId="3D3C16AE" w:rsidR="004462A0" w:rsidRPr="008912CF" w:rsidRDefault="00615769">
            <w:pPr>
              <w:rPr>
                <w:del w:id="7802" w:author="AbbVie2" w:date="2025-05-13T16:39:00Z"/>
                <w:b/>
                <w:bCs/>
                <w:sz w:val="22"/>
                <w:szCs w:val="22"/>
              </w:rPr>
              <w:pPrChange w:id="7803" w:author="AbbVie2" w:date="2025-05-13T16:40:00Z">
                <w:pPr>
                  <w:keepNext/>
                  <w:jc w:val="center"/>
                </w:pPr>
              </w:pPrChange>
            </w:pPr>
            <w:del w:id="7804" w:author="AbbVie2" w:date="2025-05-13T16:39:00Z">
              <w:r w:rsidRPr="008912CF">
                <w:rPr>
                  <w:b/>
                  <w:bCs/>
                  <w:sz w:val="22"/>
                  <w:szCs w:val="22"/>
                </w:rPr>
                <w:delText>N=94</w:delText>
              </w:r>
            </w:del>
          </w:p>
        </w:tc>
        <w:tc>
          <w:tcPr>
            <w:tcW w:w="0" w:type="auto"/>
            <w:tcBorders>
              <w:top w:val="single" w:sz="4" w:space="0" w:color="auto"/>
              <w:left w:val="single" w:sz="4" w:space="0" w:color="auto"/>
              <w:bottom w:val="single" w:sz="4" w:space="0" w:color="auto"/>
              <w:right w:val="single" w:sz="4" w:space="0" w:color="auto"/>
            </w:tcBorders>
          </w:tcPr>
          <w:p w14:paraId="15A80A6F" w14:textId="17C3DACE" w:rsidR="004462A0" w:rsidRPr="008912CF" w:rsidRDefault="00615769">
            <w:pPr>
              <w:rPr>
                <w:del w:id="7805" w:author="AbbVie2" w:date="2025-05-13T16:39:00Z"/>
                <w:b/>
                <w:bCs/>
                <w:sz w:val="22"/>
                <w:szCs w:val="22"/>
              </w:rPr>
              <w:pPrChange w:id="7806" w:author="AbbVie2" w:date="2025-05-13T16:40:00Z">
                <w:pPr>
                  <w:keepNext/>
                  <w:jc w:val="center"/>
                </w:pPr>
              </w:pPrChange>
            </w:pPr>
            <w:del w:id="7807" w:author="AbbVie2" w:date="2025-05-13T16:39:00Z">
              <w:r w:rsidRPr="008912CF">
                <w:rPr>
                  <w:b/>
                  <w:bCs/>
                  <w:sz w:val="22"/>
                  <w:szCs w:val="22"/>
                </w:rPr>
                <w:delText>Humira</w:delText>
              </w:r>
            </w:del>
          </w:p>
          <w:p w14:paraId="6AA50BD7" w14:textId="5ACC4627" w:rsidR="004462A0" w:rsidRPr="008912CF" w:rsidRDefault="00615769">
            <w:pPr>
              <w:rPr>
                <w:del w:id="7808" w:author="AbbVie2" w:date="2025-05-13T16:39:00Z"/>
                <w:b/>
                <w:bCs/>
                <w:sz w:val="22"/>
                <w:szCs w:val="22"/>
              </w:rPr>
              <w:pPrChange w:id="7809" w:author="AbbVie2" w:date="2025-05-13T16:40:00Z">
                <w:pPr>
                  <w:keepNext/>
                  <w:jc w:val="center"/>
                </w:pPr>
              </w:pPrChange>
            </w:pPr>
            <w:del w:id="7810" w:author="AbbVie2" w:date="2025-05-13T16:39:00Z">
              <w:r w:rsidRPr="008912CF">
                <w:rPr>
                  <w:b/>
                  <w:bCs/>
                  <w:sz w:val="22"/>
                  <w:szCs w:val="22"/>
                </w:rPr>
                <w:delText>N=91</w:delText>
              </w:r>
            </w:del>
          </w:p>
        </w:tc>
      </w:tr>
      <w:tr w:rsidR="00A7162A" w14:paraId="1D9D8B09" w14:textId="114EB3AF" w:rsidTr="00F675CF">
        <w:trPr>
          <w:jc w:val="center"/>
          <w:del w:id="7811" w:author="AbbVie2" w:date="2025-05-13T16:39:00Z"/>
        </w:trPr>
        <w:tc>
          <w:tcPr>
            <w:tcW w:w="0" w:type="auto"/>
            <w:tcBorders>
              <w:top w:val="single" w:sz="4" w:space="0" w:color="auto"/>
              <w:left w:val="single" w:sz="4" w:space="0" w:color="auto"/>
              <w:bottom w:val="single" w:sz="4" w:space="0" w:color="auto"/>
              <w:right w:val="single" w:sz="4" w:space="0" w:color="auto"/>
            </w:tcBorders>
          </w:tcPr>
          <w:p w14:paraId="79D41B8B" w14:textId="21C61633" w:rsidR="004462A0" w:rsidRPr="008912CF" w:rsidRDefault="00615769">
            <w:pPr>
              <w:rPr>
                <w:del w:id="7812" w:author="AbbVie2" w:date="2025-05-13T16:39:00Z"/>
                <w:bCs/>
                <w:sz w:val="22"/>
                <w:szCs w:val="22"/>
              </w:rPr>
              <w:pPrChange w:id="7813" w:author="AbbVie2" w:date="2025-05-13T16:40:00Z">
                <w:pPr>
                  <w:keepNext/>
                </w:pPr>
              </w:pPrChange>
            </w:pPr>
            <w:del w:id="7814" w:author="AbbVie2" w:date="2025-05-13T16:39:00Z">
              <w:r w:rsidRPr="008912CF">
                <w:rPr>
                  <w:bCs/>
                  <w:sz w:val="22"/>
                  <w:szCs w:val="22"/>
                </w:rPr>
                <w:delText>ASAS</w:delText>
              </w:r>
              <w:r w:rsidRPr="008912CF">
                <w:rPr>
                  <w:bCs/>
                  <w:sz w:val="22"/>
                  <w:szCs w:val="22"/>
                  <w:vertAlign w:val="superscript"/>
                </w:rPr>
                <w:delText>a</w:delText>
              </w:r>
              <w:r w:rsidRPr="008912CF">
                <w:rPr>
                  <w:bCs/>
                  <w:sz w:val="22"/>
                  <w:szCs w:val="22"/>
                </w:rPr>
                <w:delText xml:space="preserve"> 40</w:delText>
              </w:r>
            </w:del>
          </w:p>
        </w:tc>
        <w:tc>
          <w:tcPr>
            <w:tcW w:w="0" w:type="auto"/>
            <w:tcBorders>
              <w:top w:val="single" w:sz="4" w:space="0" w:color="auto"/>
              <w:left w:val="single" w:sz="4" w:space="0" w:color="auto"/>
              <w:bottom w:val="single" w:sz="4" w:space="0" w:color="auto"/>
              <w:right w:val="single" w:sz="4" w:space="0" w:color="auto"/>
            </w:tcBorders>
          </w:tcPr>
          <w:p w14:paraId="593198E8" w14:textId="236E743A" w:rsidR="004462A0" w:rsidRPr="008912CF" w:rsidRDefault="00615769">
            <w:pPr>
              <w:rPr>
                <w:del w:id="7815" w:author="AbbVie2" w:date="2025-05-13T16:39:00Z"/>
                <w:bCs/>
                <w:sz w:val="22"/>
                <w:szCs w:val="22"/>
              </w:rPr>
              <w:pPrChange w:id="7816" w:author="AbbVie2" w:date="2025-05-13T16:40:00Z">
                <w:pPr>
                  <w:keepNext/>
                  <w:jc w:val="center"/>
                </w:pPr>
              </w:pPrChange>
            </w:pPr>
            <w:del w:id="7817" w:author="AbbVie2" w:date="2025-05-13T16:39:00Z">
              <w:r w:rsidRPr="008912CF">
                <w:rPr>
                  <w:bCs/>
                  <w:sz w:val="22"/>
                  <w:szCs w:val="22"/>
                </w:rPr>
                <w:delText>15%</w:delText>
              </w:r>
            </w:del>
          </w:p>
        </w:tc>
        <w:tc>
          <w:tcPr>
            <w:tcW w:w="0" w:type="auto"/>
            <w:tcBorders>
              <w:top w:val="single" w:sz="4" w:space="0" w:color="auto"/>
              <w:left w:val="single" w:sz="4" w:space="0" w:color="auto"/>
              <w:bottom w:val="single" w:sz="4" w:space="0" w:color="auto"/>
              <w:right w:val="single" w:sz="4" w:space="0" w:color="auto"/>
            </w:tcBorders>
          </w:tcPr>
          <w:p w14:paraId="5EC3EE65" w14:textId="0AE51476" w:rsidR="004462A0" w:rsidRPr="008912CF" w:rsidRDefault="00615769">
            <w:pPr>
              <w:rPr>
                <w:del w:id="7818" w:author="AbbVie2" w:date="2025-05-13T16:39:00Z"/>
                <w:bCs/>
                <w:sz w:val="22"/>
                <w:szCs w:val="22"/>
              </w:rPr>
              <w:pPrChange w:id="7819" w:author="AbbVie2" w:date="2025-05-13T16:40:00Z">
                <w:pPr>
                  <w:keepNext/>
                  <w:jc w:val="center"/>
                </w:pPr>
              </w:pPrChange>
            </w:pPr>
            <w:del w:id="7820" w:author="AbbVie2" w:date="2025-05-13T16:39:00Z">
              <w:r w:rsidRPr="008912CF">
                <w:rPr>
                  <w:bCs/>
                  <w:sz w:val="22"/>
                  <w:szCs w:val="22"/>
                </w:rPr>
                <w:delText>36%***</w:delText>
              </w:r>
            </w:del>
          </w:p>
        </w:tc>
      </w:tr>
      <w:tr w:rsidR="00A7162A" w14:paraId="7366A163" w14:textId="0637D759" w:rsidTr="00F675CF">
        <w:trPr>
          <w:jc w:val="center"/>
          <w:del w:id="7821" w:author="AbbVie2" w:date="2025-05-13T16:39:00Z"/>
        </w:trPr>
        <w:tc>
          <w:tcPr>
            <w:tcW w:w="0" w:type="auto"/>
            <w:tcBorders>
              <w:top w:val="single" w:sz="4" w:space="0" w:color="auto"/>
              <w:left w:val="single" w:sz="4" w:space="0" w:color="auto"/>
              <w:bottom w:val="single" w:sz="4" w:space="0" w:color="auto"/>
              <w:right w:val="single" w:sz="4" w:space="0" w:color="auto"/>
            </w:tcBorders>
          </w:tcPr>
          <w:p w14:paraId="3FEB92CA" w14:textId="7E01C081" w:rsidR="004462A0" w:rsidRPr="008912CF" w:rsidRDefault="00615769">
            <w:pPr>
              <w:rPr>
                <w:del w:id="7822" w:author="AbbVie2" w:date="2025-05-13T16:39:00Z"/>
                <w:bCs/>
                <w:sz w:val="22"/>
                <w:szCs w:val="22"/>
              </w:rPr>
              <w:pPrChange w:id="7823" w:author="AbbVie2" w:date="2025-05-13T16:40:00Z">
                <w:pPr>
                  <w:keepNext/>
                </w:pPr>
              </w:pPrChange>
            </w:pPr>
            <w:del w:id="7824" w:author="AbbVie2" w:date="2025-05-13T16:39:00Z">
              <w:r w:rsidRPr="008912CF">
                <w:rPr>
                  <w:bCs/>
                  <w:sz w:val="22"/>
                  <w:szCs w:val="22"/>
                </w:rPr>
                <w:delText>ASAS 20</w:delText>
              </w:r>
            </w:del>
          </w:p>
        </w:tc>
        <w:tc>
          <w:tcPr>
            <w:tcW w:w="0" w:type="auto"/>
            <w:tcBorders>
              <w:top w:val="single" w:sz="4" w:space="0" w:color="auto"/>
              <w:left w:val="single" w:sz="4" w:space="0" w:color="auto"/>
              <w:bottom w:val="single" w:sz="4" w:space="0" w:color="auto"/>
              <w:right w:val="single" w:sz="4" w:space="0" w:color="auto"/>
            </w:tcBorders>
          </w:tcPr>
          <w:p w14:paraId="4B6B23E7" w14:textId="394D4460" w:rsidR="004462A0" w:rsidRPr="008912CF" w:rsidRDefault="00615769">
            <w:pPr>
              <w:rPr>
                <w:del w:id="7825" w:author="AbbVie2" w:date="2025-05-13T16:39:00Z"/>
                <w:bCs/>
                <w:sz w:val="22"/>
                <w:szCs w:val="22"/>
              </w:rPr>
              <w:pPrChange w:id="7826" w:author="AbbVie2" w:date="2025-05-13T16:40:00Z">
                <w:pPr>
                  <w:keepNext/>
                  <w:jc w:val="center"/>
                </w:pPr>
              </w:pPrChange>
            </w:pPr>
            <w:del w:id="7827" w:author="AbbVie2" w:date="2025-05-13T16:39:00Z">
              <w:r w:rsidRPr="008912CF">
                <w:rPr>
                  <w:bCs/>
                  <w:sz w:val="22"/>
                  <w:szCs w:val="22"/>
                </w:rPr>
                <w:delText>31%</w:delText>
              </w:r>
            </w:del>
          </w:p>
        </w:tc>
        <w:tc>
          <w:tcPr>
            <w:tcW w:w="0" w:type="auto"/>
            <w:tcBorders>
              <w:top w:val="single" w:sz="4" w:space="0" w:color="auto"/>
              <w:left w:val="single" w:sz="4" w:space="0" w:color="auto"/>
              <w:bottom w:val="single" w:sz="4" w:space="0" w:color="auto"/>
              <w:right w:val="single" w:sz="4" w:space="0" w:color="auto"/>
            </w:tcBorders>
          </w:tcPr>
          <w:p w14:paraId="684D2A8F" w14:textId="405B361D" w:rsidR="004462A0" w:rsidRPr="008912CF" w:rsidRDefault="00615769">
            <w:pPr>
              <w:rPr>
                <w:del w:id="7828" w:author="AbbVie2" w:date="2025-05-13T16:39:00Z"/>
                <w:bCs/>
                <w:sz w:val="22"/>
                <w:szCs w:val="22"/>
              </w:rPr>
              <w:pPrChange w:id="7829" w:author="AbbVie2" w:date="2025-05-13T16:40:00Z">
                <w:pPr>
                  <w:keepNext/>
                  <w:jc w:val="center"/>
                </w:pPr>
              </w:pPrChange>
            </w:pPr>
            <w:del w:id="7830" w:author="AbbVie2" w:date="2025-05-13T16:39:00Z">
              <w:r w:rsidRPr="008912CF">
                <w:rPr>
                  <w:bCs/>
                  <w:sz w:val="22"/>
                  <w:szCs w:val="22"/>
                </w:rPr>
                <w:delText>52%**</w:delText>
              </w:r>
            </w:del>
          </w:p>
        </w:tc>
      </w:tr>
      <w:tr w:rsidR="00A7162A" w14:paraId="3CEA7DBD" w14:textId="6DF62F6D" w:rsidTr="00F675CF">
        <w:trPr>
          <w:jc w:val="center"/>
          <w:del w:id="7831" w:author="AbbVie2" w:date="2025-05-13T16:39:00Z"/>
        </w:trPr>
        <w:tc>
          <w:tcPr>
            <w:tcW w:w="0" w:type="auto"/>
            <w:tcBorders>
              <w:top w:val="single" w:sz="4" w:space="0" w:color="auto"/>
              <w:left w:val="single" w:sz="4" w:space="0" w:color="auto"/>
              <w:bottom w:val="single" w:sz="4" w:space="0" w:color="auto"/>
              <w:right w:val="single" w:sz="4" w:space="0" w:color="auto"/>
            </w:tcBorders>
          </w:tcPr>
          <w:p w14:paraId="434A5351" w14:textId="53B28014" w:rsidR="004462A0" w:rsidRPr="008912CF" w:rsidRDefault="00615769">
            <w:pPr>
              <w:rPr>
                <w:del w:id="7832" w:author="AbbVie2" w:date="2025-05-13T16:39:00Z"/>
                <w:bCs/>
                <w:sz w:val="22"/>
                <w:szCs w:val="22"/>
              </w:rPr>
              <w:pPrChange w:id="7833" w:author="AbbVie2" w:date="2025-05-13T16:40:00Z">
                <w:pPr>
                  <w:keepNext/>
                </w:pPr>
              </w:pPrChange>
            </w:pPr>
            <w:del w:id="7834" w:author="AbbVie2" w:date="2025-05-13T16:39:00Z">
              <w:r w:rsidRPr="008912CF">
                <w:rPr>
                  <w:bCs/>
                  <w:sz w:val="22"/>
                  <w:szCs w:val="22"/>
                </w:rPr>
                <w:delText>ASAS 5/6</w:delText>
              </w:r>
            </w:del>
          </w:p>
        </w:tc>
        <w:tc>
          <w:tcPr>
            <w:tcW w:w="0" w:type="auto"/>
            <w:tcBorders>
              <w:top w:val="single" w:sz="4" w:space="0" w:color="auto"/>
              <w:left w:val="single" w:sz="4" w:space="0" w:color="auto"/>
              <w:bottom w:val="single" w:sz="4" w:space="0" w:color="auto"/>
              <w:right w:val="single" w:sz="4" w:space="0" w:color="auto"/>
            </w:tcBorders>
          </w:tcPr>
          <w:p w14:paraId="156B2A1D" w14:textId="4D2A4A64" w:rsidR="004462A0" w:rsidRPr="008912CF" w:rsidRDefault="00615769">
            <w:pPr>
              <w:rPr>
                <w:del w:id="7835" w:author="AbbVie2" w:date="2025-05-13T16:39:00Z"/>
                <w:bCs/>
                <w:sz w:val="22"/>
                <w:szCs w:val="22"/>
              </w:rPr>
              <w:pPrChange w:id="7836" w:author="AbbVie2" w:date="2025-05-13T16:40:00Z">
                <w:pPr>
                  <w:keepNext/>
                  <w:jc w:val="center"/>
                </w:pPr>
              </w:pPrChange>
            </w:pPr>
            <w:del w:id="7837" w:author="AbbVie2" w:date="2025-05-13T16:39:00Z">
              <w:r w:rsidRPr="008912CF">
                <w:rPr>
                  <w:bCs/>
                  <w:sz w:val="22"/>
                  <w:szCs w:val="22"/>
                </w:rPr>
                <w:delText>6%</w:delText>
              </w:r>
            </w:del>
          </w:p>
        </w:tc>
        <w:tc>
          <w:tcPr>
            <w:tcW w:w="0" w:type="auto"/>
            <w:tcBorders>
              <w:top w:val="single" w:sz="4" w:space="0" w:color="auto"/>
              <w:left w:val="single" w:sz="4" w:space="0" w:color="auto"/>
              <w:bottom w:val="single" w:sz="4" w:space="0" w:color="auto"/>
              <w:right w:val="single" w:sz="4" w:space="0" w:color="auto"/>
            </w:tcBorders>
          </w:tcPr>
          <w:p w14:paraId="4B3B4C4A" w14:textId="18FE46FE" w:rsidR="004462A0" w:rsidRPr="008912CF" w:rsidRDefault="00615769">
            <w:pPr>
              <w:rPr>
                <w:del w:id="7838" w:author="AbbVie2" w:date="2025-05-13T16:39:00Z"/>
                <w:bCs/>
                <w:sz w:val="22"/>
                <w:szCs w:val="22"/>
              </w:rPr>
              <w:pPrChange w:id="7839" w:author="AbbVie2" w:date="2025-05-13T16:40:00Z">
                <w:pPr>
                  <w:keepNext/>
                  <w:jc w:val="center"/>
                </w:pPr>
              </w:pPrChange>
            </w:pPr>
            <w:del w:id="7840" w:author="AbbVie2" w:date="2025-05-13T16:39:00Z">
              <w:r w:rsidRPr="008912CF">
                <w:rPr>
                  <w:bCs/>
                  <w:sz w:val="22"/>
                  <w:szCs w:val="22"/>
                </w:rPr>
                <w:delText>31%***</w:delText>
              </w:r>
            </w:del>
          </w:p>
        </w:tc>
      </w:tr>
      <w:tr w:rsidR="00A7162A" w14:paraId="58675EEF" w14:textId="4AFDE6CB" w:rsidTr="00F675CF">
        <w:trPr>
          <w:jc w:val="center"/>
          <w:del w:id="7841" w:author="AbbVie2" w:date="2025-05-13T16:39:00Z"/>
        </w:trPr>
        <w:tc>
          <w:tcPr>
            <w:tcW w:w="0" w:type="auto"/>
            <w:tcBorders>
              <w:top w:val="single" w:sz="4" w:space="0" w:color="auto"/>
              <w:left w:val="single" w:sz="4" w:space="0" w:color="auto"/>
              <w:bottom w:val="single" w:sz="4" w:space="0" w:color="auto"/>
              <w:right w:val="single" w:sz="4" w:space="0" w:color="auto"/>
            </w:tcBorders>
          </w:tcPr>
          <w:p w14:paraId="0AE680BF" w14:textId="2D23820D" w:rsidR="004462A0" w:rsidRPr="008912CF" w:rsidRDefault="00615769">
            <w:pPr>
              <w:rPr>
                <w:del w:id="7842" w:author="AbbVie2" w:date="2025-05-13T16:39:00Z"/>
                <w:bCs/>
                <w:sz w:val="22"/>
                <w:szCs w:val="22"/>
              </w:rPr>
              <w:pPrChange w:id="7843" w:author="AbbVie2" w:date="2025-05-13T16:40:00Z">
                <w:pPr>
                  <w:keepNext/>
                </w:pPr>
              </w:pPrChange>
            </w:pPr>
            <w:del w:id="7844" w:author="AbbVie2" w:date="2025-05-13T16:39:00Z">
              <w:r w:rsidRPr="008912CF">
                <w:rPr>
                  <w:bCs/>
                  <w:sz w:val="22"/>
                  <w:szCs w:val="22"/>
                </w:rPr>
                <w:delText>ASAS R</w:delText>
              </w:r>
              <w:r w:rsidRPr="008912CF">
                <w:rPr>
                  <w:sz w:val="22"/>
                  <w:szCs w:val="22"/>
                </w:rPr>
                <w:delText>emissão Parcial</w:delText>
              </w:r>
            </w:del>
          </w:p>
        </w:tc>
        <w:tc>
          <w:tcPr>
            <w:tcW w:w="0" w:type="auto"/>
            <w:tcBorders>
              <w:top w:val="single" w:sz="4" w:space="0" w:color="auto"/>
              <w:left w:val="single" w:sz="4" w:space="0" w:color="auto"/>
              <w:bottom w:val="single" w:sz="4" w:space="0" w:color="auto"/>
              <w:right w:val="single" w:sz="4" w:space="0" w:color="auto"/>
            </w:tcBorders>
          </w:tcPr>
          <w:p w14:paraId="47E5E4FF" w14:textId="45B72A3A" w:rsidR="004462A0" w:rsidRPr="008912CF" w:rsidRDefault="00615769">
            <w:pPr>
              <w:rPr>
                <w:del w:id="7845" w:author="AbbVie2" w:date="2025-05-13T16:39:00Z"/>
                <w:bCs/>
                <w:sz w:val="22"/>
                <w:szCs w:val="22"/>
              </w:rPr>
              <w:pPrChange w:id="7846" w:author="AbbVie2" w:date="2025-05-13T16:40:00Z">
                <w:pPr>
                  <w:keepNext/>
                  <w:jc w:val="center"/>
                </w:pPr>
              </w:pPrChange>
            </w:pPr>
            <w:del w:id="7847" w:author="AbbVie2" w:date="2025-05-13T16:39:00Z">
              <w:r w:rsidRPr="008912CF">
                <w:rPr>
                  <w:bCs/>
                  <w:sz w:val="22"/>
                  <w:szCs w:val="22"/>
                </w:rPr>
                <w:delText>5%</w:delText>
              </w:r>
            </w:del>
          </w:p>
        </w:tc>
        <w:tc>
          <w:tcPr>
            <w:tcW w:w="0" w:type="auto"/>
            <w:tcBorders>
              <w:top w:val="single" w:sz="4" w:space="0" w:color="auto"/>
              <w:left w:val="single" w:sz="4" w:space="0" w:color="auto"/>
              <w:bottom w:val="single" w:sz="4" w:space="0" w:color="auto"/>
              <w:right w:val="single" w:sz="4" w:space="0" w:color="auto"/>
            </w:tcBorders>
          </w:tcPr>
          <w:p w14:paraId="598EDAA9" w14:textId="73FCF989" w:rsidR="004462A0" w:rsidRPr="008912CF" w:rsidRDefault="00615769">
            <w:pPr>
              <w:rPr>
                <w:del w:id="7848" w:author="AbbVie2" w:date="2025-05-13T16:39:00Z"/>
                <w:bCs/>
                <w:sz w:val="22"/>
                <w:szCs w:val="22"/>
              </w:rPr>
              <w:pPrChange w:id="7849" w:author="AbbVie2" w:date="2025-05-13T16:40:00Z">
                <w:pPr>
                  <w:keepNext/>
                  <w:jc w:val="center"/>
                </w:pPr>
              </w:pPrChange>
            </w:pPr>
            <w:del w:id="7850" w:author="AbbVie2" w:date="2025-05-13T16:39:00Z">
              <w:r w:rsidRPr="008912CF">
                <w:rPr>
                  <w:bCs/>
                  <w:sz w:val="22"/>
                  <w:szCs w:val="22"/>
                </w:rPr>
                <w:delText xml:space="preserve">  16%*</w:delText>
              </w:r>
            </w:del>
          </w:p>
        </w:tc>
      </w:tr>
      <w:tr w:rsidR="00A7162A" w14:paraId="6F06D534" w14:textId="47022B56" w:rsidTr="00F675CF">
        <w:trPr>
          <w:jc w:val="center"/>
          <w:del w:id="7851" w:author="AbbVie2" w:date="2025-05-13T16:39:00Z"/>
        </w:trPr>
        <w:tc>
          <w:tcPr>
            <w:tcW w:w="0" w:type="auto"/>
            <w:tcBorders>
              <w:top w:val="single" w:sz="4" w:space="0" w:color="auto"/>
              <w:left w:val="single" w:sz="4" w:space="0" w:color="auto"/>
              <w:bottom w:val="single" w:sz="4" w:space="0" w:color="auto"/>
              <w:right w:val="single" w:sz="4" w:space="0" w:color="auto"/>
            </w:tcBorders>
          </w:tcPr>
          <w:p w14:paraId="10B1D2FD" w14:textId="576B4FF6" w:rsidR="004462A0" w:rsidRPr="008912CF" w:rsidRDefault="00615769">
            <w:pPr>
              <w:rPr>
                <w:del w:id="7852" w:author="AbbVie2" w:date="2025-05-13T16:39:00Z"/>
                <w:bCs/>
                <w:sz w:val="22"/>
                <w:szCs w:val="22"/>
              </w:rPr>
              <w:pPrChange w:id="7853" w:author="AbbVie2" w:date="2025-05-13T16:40:00Z">
                <w:pPr>
                  <w:keepNext/>
                </w:pPr>
              </w:pPrChange>
            </w:pPr>
            <w:del w:id="7854" w:author="AbbVie2" w:date="2025-05-13T16:39:00Z">
              <w:r w:rsidRPr="008912CF">
                <w:rPr>
                  <w:bCs/>
                  <w:sz w:val="22"/>
                  <w:szCs w:val="22"/>
                </w:rPr>
                <w:delText>BASDAI</w:delText>
              </w:r>
              <w:r w:rsidRPr="008912CF">
                <w:rPr>
                  <w:bCs/>
                  <w:sz w:val="22"/>
                  <w:szCs w:val="22"/>
                  <w:vertAlign w:val="superscript"/>
                </w:rPr>
                <w:delText>b</w:delText>
              </w:r>
              <w:r w:rsidRPr="008912CF">
                <w:rPr>
                  <w:bCs/>
                  <w:sz w:val="22"/>
                  <w:szCs w:val="22"/>
                </w:rPr>
                <w:delText xml:space="preserve"> 50</w:delText>
              </w:r>
            </w:del>
          </w:p>
        </w:tc>
        <w:tc>
          <w:tcPr>
            <w:tcW w:w="0" w:type="auto"/>
            <w:tcBorders>
              <w:top w:val="single" w:sz="4" w:space="0" w:color="auto"/>
              <w:left w:val="single" w:sz="4" w:space="0" w:color="auto"/>
              <w:bottom w:val="single" w:sz="4" w:space="0" w:color="auto"/>
              <w:right w:val="single" w:sz="4" w:space="0" w:color="auto"/>
            </w:tcBorders>
          </w:tcPr>
          <w:p w14:paraId="10F7F76C" w14:textId="2DF021C0" w:rsidR="004462A0" w:rsidRPr="008912CF" w:rsidRDefault="00615769">
            <w:pPr>
              <w:rPr>
                <w:del w:id="7855" w:author="AbbVie2" w:date="2025-05-13T16:39:00Z"/>
                <w:bCs/>
                <w:sz w:val="22"/>
                <w:szCs w:val="22"/>
              </w:rPr>
              <w:pPrChange w:id="7856" w:author="AbbVie2" w:date="2025-05-13T16:40:00Z">
                <w:pPr>
                  <w:keepNext/>
                  <w:jc w:val="center"/>
                </w:pPr>
              </w:pPrChange>
            </w:pPr>
            <w:del w:id="7857" w:author="AbbVie2" w:date="2025-05-13T16:39:00Z">
              <w:r w:rsidRPr="008912CF">
                <w:rPr>
                  <w:bCs/>
                  <w:sz w:val="22"/>
                  <w:szCs w:val="22"/>
                </w:rPr>
                <w:delText xml:space="preserve">    15%</w:delText>
              </w:r>
            </w:del>
          </w:p>
        </w:tc>
        <w:tc>
          <w:tcPr>
            <w:tcW w:w="0" w:type="auto"/>
            <w:tcBorders>
              <w:top w:val="single" w:sz="4" w:space="0" w:color="auto"/>
              <w:left w:val="single" w:sz="4" w:space="0" w:color="auto"/>
              <w:bottom w:val="single" w:sz="4" w:space="0" w:color="auto"/>
              <w:right w:val="single" w:sz="4" w:space="0" w:color="auto"/>
            </w:tcBorders>
          </w:tcPr>
          <w:p w14:paraId="13DBB6F7" w14:textId="1E6FEDCA" w:rsidR="004462A0" w:rsidRPr="008912CF" w:rsidRDefault="00615769">
            <w:pPr>
              <w:rPr>
                <w:del w:id="7858" w:author="AbbVie2" w:date="2025-05-13T16:39:00Z"/>
                <w:bCs/>
                <w:sz w:val="22"/>
                <w:szCs w:val="22"/>
              </w:rPr>
              <w:pPrChange w:id="7859" w:author="AbbVie2" w:date="2025-05-13T16:40:00Z">
                <w:pPr>
                  <w:keepNext/>
                  <w:jc w:val="center"/>
                </w:pPr>
              </w:pPrChange>
            </w:pPr>
            <w:del w:id="7860" w:author="AbbVie2" w:date="2025-05-13T16:39:00Z">
              <w:r w:rsidRPr="008912CF">
                <w:rPr>
                  <w:bCs/>
                  <w:sz w:val="22"/>
                  <w:szCs w:val="22"/>
                </w:rPr>
                <w:delText xml:space="preserve">   35%**</w:delText>
              </w:r>
            </w:del>
          </w:p>
        </w:tc>
      </w:tr>
      <w:tr w:rsidR="00A7162A" w14:paraId="1A60659F" w14:textId="0A46D30D" w:rsidTr="00F675CF">
        <w:trPr>
          <w:jc w:val="center"/>
          <w:del w:id="7861" w:author="AbbVie2" w:date="2025-05-13T16:39:00Z"/>
        </w:trPr>
        <w:tc>
          <w:tcPr>
            <w:tcW w:w="0" w:type="auto"/>
            <w:tcBorders>
              <w:top w:val="single" w:sz="4" w:space="0" w:color="auto"/>
              <w:left w:val="single" w:sz="4" w:space="0" w:color="auto"/>
              <w:bottom w:val="single" w:sz="4" w:space="0" w:color="auto"/>
              <w:right w:val="single" w:sz="4" w:space="0" w:color="auto"/>
            </w:tcBorders>
          </w:tcPr>
          <w:p w14:paraId="742E23EC" w14:textId="40D9F9D6" w:rsidR="004462A0" w:rsidRPr="008912CF" w:rsidRDefault="00615769">
            <w:pPr>
              <w:rPr>
                <w:del w:id="7862" w:author="AbbVie2" w:date="2025-05-13T16:39:00Z"/>
                <w:bCs/>
                <w:sz w:val="22"/>
                <w:szCs w:val="22"/>
              </w:rPr>
              <w:pPrChange w:id="7863" w:author="AbbVie2" w:date="2025-05-13T16:40:00Z">
                <w:pPr>
                  <w:keepNext/>
                </w:pPr>
              </w:pPrChange>
            </w:pPr>
            <w:del w:id="7864" w:author="AbbVie2" w:date="2025-05-13T16:39:00Z">
              <w:r w:rsidRPr="008912CF">
                <w:rPr>
                  <w:sz w:val="22"/>
                  <w:szCs w:val="22"/>
                </w:rPr>
                <w:delText>ASDAS</w:delText>
              </w:r>
              <w:r w:rsidRPr="008912CF">
                <w:rPr>
                  <w:sz w:val="22"/>
                  <w:szCs w:val="22"/>
                  <w:vertAlign w:val="superscript"/>
                </w:rPr>
                <w:delText>c,d,e</w:delText>
              </w:r>
            </w:del>
          </w:p>
        </w:tc>
        <w:tc>
          <w:tcPr>
            <w:tcW w:w="0" w:type="auto"/>
            <w:tcBorders>
              <w:top w:val="single" w:sz="4" w:space="0" w:color="auto"/>
              <w:left w:val="single" w:sz="4" w:space="0" w:color="auto"/>
              <w:bottom w:val="single" w:sz="4" w:space="0" w:color="auto"/>
              <w:right w:val="single" w:sz="4" w:space="0" w:color="auto"/>
            </w:tcBorders>
          </w:tcPr>
          <w:p w14:paraId="292514A4" w14:textId="46BCE9DE" w:rsidR="004462A0" w:rsidRPr="008912CF" w:rsidRDefault="00615769">
            <w:pPr>
              <w:rPr>
                <w:del w:id="7865" w:author="AbbVie2" w:date="2025-05-13T16:39:00Z"/>
                <w:bCs/>
                <w:sz w:val="22"/>
                <w:szCs w:val="22"/>
              </w:rPr>
              <w:pPrChange w:id="7866" w:author="AbbVie2" w:date="2025-05-13T16:40:00Z">
                <w:pPr>
                  <w:keepNext/>
                  <w:jc w:val="center"/>
                </w:pPr>
              </w:pPrChange>
            </w:pPr>
            <w:del w:id="7867" w:author="AbbVie2" w:date="2025-05-13T16:39:00Z">
              <w:r w:rsidRPr="008912CF">
                <w:rPr>
                  <w:sz w:val="22"/>
                  <w:szCs w:val="22"/>
                </w:rPr>
                <w:delText>-0,3</w:delText>
              </w:r>
            </w:del>
          </w:p>
        </w:tc>
        <w:tc>
          <w:tcPr>
            <w:tcW w:w="0" w:type="auto"/>
            <w:tcBorders>
              <w:top w:val="single" w:sz="4" w:space="0" w:color="auto"/>
              <w:left w:val="single" w:sz="4" w:space="0" w:color="auto"/>
              <w:bottom w:val="single" w:sz="4" w:space="0" w:color="auto"/>
              <w:right w:val="single" w:sz="4" w:space="0" w:color="auto"/>
            </w:tcBorders>
          </w:tcPr>
          <w:p w14:paraId="0E958D74" w14:textId="2B70324F" w:rsidR="004462A0" w:rsidRPr="008912CF" w:rsidRDefault="00615769">
            <w:pPr>
              <w:rPr>
                <w:del w:id="7868" w:author="AbbVie2" w:date="2025-05-13T16:39:00Z"/>
                <w:bCs/>
                <w:sz w:val="22"/>
                <w:szCs w:val="22"/>
              </w:rPr>
              <w:pPrChange w:id="7869" w:author="AbbVie2" w:date="2025-05-13T16:40:00Z">
                <w:pPr>
                  <w:keepNext/>
                  <w:jc w:val="center"/>
                </w:pPr>
              </w:pPrChange>
            </w:pPr>
            <w:del w:id="7870" w:author="AbbVie2" w:date="2025-05-13T16:39:00Z">
              <w:r w:rsidRPr="008912CF">
                <w:rPr>
                  <w:sz w:val="22"/>
                  <w:szCs w:val="22"/>
                </w:rPr>
                <w:delText>-1,0***</w:delText>
              </w:r>
            </w:del>
          </w:p>
        </w:tc>
      </w:tr>
      <w:tr w:rsidR="00A7162A" w14:paraId="4E3855F9" w14:textId="1C16E429" w:rsidTr="00F675CF">
        <w:trPr>
          <w:jc w:val="center"/>
          <w:del w:id="7871" w:author="AbbVie2" w:date="2025-05-13T16:39:00Z"/>
        </w:trPr>
        <w:tc>
          <w:tcPr>
            <w:tcW w:w="0" w:type="auto"/>
            <w:tcBorders>
              <w:top w:val="single" w:sz="4" w:space="0" w:color="auto"/>
              <w:left w:val="single" w:sz="4" w:space="0" w:color="auto"/>
              <w:bottom w:val="single" w:sz="4" w:space="0" w:color="auto"/>
              <w:right w:val="single" w:sz="4" w:space="0" w:color="auto"/>
            </w:tcBorders>
          </w:tcPr>
          <w:p w14:paraId="7F274D5D" w14:textId="6242A828" w:rsidR="004462A0" w:rsidRPr="008912CF" w:rsidRDefault="00615769">
            <w:pPr>
              <w:rPr>
                <w:del w:id="7872" w:author="AbbVie2" w:date="2025-05-13T16:39:00Z"/>
                <w:bCs/>
                <w:sz w:val="22"/>
                <w:szCs w:val="22"/>
              </w:rPr>
              <w:pPrChange w:id="7873" w:author="AbbVie2" w:date="2025-05-13T16:40:00Z">
                <w:pPr>
                  <w:keepNext/>
                </w:pPr>
              </w:pPrChange>
            </w:pPr>
            <w:del w:id="7874" w:author="AbbVie2" w:date="2025-05-13T16:39:00Z">
              <w:r w:rsidRPr="008912CF">
                <w:rPr>
                  <w:sz w:val="22"/>
                  <w:szCs w:val="22"/>
                </w:rPr>
                <w:delText>ASDAS Doença Inativa</w:delText>
              </w:r>
            </w:del>
          </w:p>
        </w:tc>
        <w:tc>
          <w:tcPr>
            <w:tcW w:w="0" w:type="auto"/>
            <w:tcBorders>
              <w:top w:val="single" w:sz="4" w:space="0" w:color="auto"/>
              <w:left w:val="single" w:sz="4" w:space="0" w:color="auto"/>
              <w:bottom w:val="single" w:sz="4" w:space="0" w:color="auto"/>
              <w:right w:val="single" w:sz="4" w:space="0" w:color="auto"/>
            </w:tcBorders>
          </w:tcPr>
          <w:p w14:paraId="21CFE95D" w14:textId="75861E76" w:rsidR="004462A0" w:rsidRPr="008912CF" w:rsidRDefault="00615769">
            <w:pPr>
              <w:rPr>
                <w:del w:id="7875" w:author="AbbVie2" w:date="2025-05-13T16:39:00Z"/>
                <w:bCs/>
                <w:sz w:val="22"/>
                <w:szCs w:val="22"/>
              </w:rPr>
              <w:pPrChange w:id="7876" w:author="AbbVie2" w:date="2025-05-13T16:40:00Z">
                <w:pPr>
                  <w:keepNext/>
                  <w:jc w:val="center"/>
                </w:pPr>
              </w:pPrChange>
            </w:pPr>
            <w:del w:id="7877" w:author="AbbVie2" w:date="2025-05-13T16:39:00Z">
              <w:r w:rsidRPr="008912CF">
                <w:rPr>
                  <w:sz w:val="22"/>
                  <w:szCs w:val="22"/>
                </w:rPr>
                <w:delText>4%</w:delText>
              </w:r>
            </w:del>
          </w:p>
        </w:tc>
        <w:tc>
          <w:tcPr>
            <w:tcW w:w="0" w:type="auto"/>
            <w:tcBorders>
              <w:top w:val="single" w:sz="4" w:space="0" w:color="auto"/>
              <w:left w:val="single" w:sz="4" w:space="0" w:color="auto"/>
              <w:bottom w:val="single" w:sz="4" w:space="0" w:color="auto"/>
              <w:right w:val="single" w:sz="4" w:space="0" w:color="auto"/>
            </w:tcBorders>
          </w:tcPr>
          <w:p w14:paraId="403862F0" w14:textId="2BE5706E" w:rsidR="004462A0" w:rsidRPr="008912CF" w:rsidRDefault="00615769">
            <w:pPr>
              <w:rPr>
                <w:del w:id="7878" w:author="AbbVie2" w:date="2025-05-13T16:39:00Z"/>
                <w:bCs/>
                <w:sz w:val="22"/>
                <w:szCs w:val="22"/>
              </w:rPr>
              <w:pPrChange w:id="7879" w:author="AbbVie2" w:date="2025-05-13T16:40:00Z">
                <w:pPr>
                  <w:keepNext/>
                  <w:jc w:val="center"/>
                </w:pPr>
              </w:pPrChange>
            </w:pPr>
            <w:del w:id="7880" w:author="AbbVie2" w:date="2025-05-13T16:39:00Z">
              <w:r w:rsidRPr="008912CF">
                <w:rPr>
                  <w:sz w:val="22"/>
                  <w:szCs w:val="22"/>
                </w:rPr>
                <w:delText>24%***</w:delText>
              </w:r>
            </w:del>
          </w:p>
        </w:tc>
      </w:tr>
      <w:tr w:rsidR="00A7162A" w14:paraId="754719B9" w14:textId="2858F788" w:rsidTr="00F675CF">
        <w:trPr>
          <w:jc w:val="center"/>
          <w:del w:id="7881" w:author="AbbVie2" w:date="2025-05-13T16:39:00Z"/>
        </w:trPr>
        <w:tc>
          <w:tcPr>
            <w:tcW w:w="0" w:type="auto"/>
            <w:tcBorders>
              <w:top w:val="single" w:sz="4" w:space="0" w:color="auto"/>
              <w:left w:val="single" w:sz="4" w:space="0" w:color="auto"/>
              <w:bottom w:val="single" w:sz="4" w:space="0" w:color="auto"/>
              <w:right w:val="single" w:sz="4" w:space="0" w:color="auto"/>
            </w:tcBorders>
          </w:tcPr>
          <w:p w14:paraId="6247018E" w14:textId="7A46D58F" w:rsidR="004462A0" w:rsidRPr="008912CF" w:rsidRDefault="00615769">
            <w:pPr>
              <w:rPr>
                <w:del w:id="7882" w:author="AbbVie2" w:date="2025-05-13T16:39:00Z"/>
                <w:sz w:val="22"/>
                <w:szCs w:val="22"/>
              </w:rPr>
              <w:pPrChange w:id="7883" w:author="AbbVie2" w:date="2025-05-13T16:40:00Z">
                <w:pPr>
                  <w:keepNext/>
                </w:pPr>
              </w:pPrChange>
            </w:pPr>
            <w:del w:id="7884" w:author="AbbVie2" w:date="2025-05-13T16:39:00Z">
              <w:r w:rsidRPr="008912CF">
                <w:rPr>
                  <w:sz w:val="22"/>
                  <w:szCs w:val="22"/>
                </w:rPr>
                <w:delText>PCR-as</w:delText>
              </w:r>
              <w:r w:rsidRPr="008912CF">
                <w:rPr>
                  <w:sz w:val="22"/>
                  <w:szCs w:val="22"/>
                  <w:vertAlign w:val="superscript"/>
                </w:rPr>
                <w:delText>d,f,g</w:delText>
              </w:r>
            </w:del>
          </w:p>
        </w:tc>
        <w:tc>
          <w:tcPr>
            <w:tcW w:w="0" w:type="auto"/>
            <w:tcBorders>
              <w:top w:val="single" w:sz="4" w:space="0" w:color="auto"/>
              <w:left w:val="single" w:sz="4" w:space="0" w:color="auto"/>
              <w:bottom w:val="single" w:sz="4" w:space="0" w:color="auto"/>
              <w:right w:val="single" w:sz="4" w:space="0" w:color="auto"/>
            </w:tcBorders>
          </w:tcPr>
          <w:p w14:paraId="59138518" w14:textId="49E986F3" w:rsidR="004462A0" w:rsidRPr="008912CF" w:rsidRDefault="00615769">
            <w:pPr>
              <w:rPr>
                <w:del w:id="7885" w:author="AbbVie2" w:date="2025-05-13T16:39:00Z"/>
                <w:sz w:val="22"/>
                <w:szCs w:val="22"/>
              </w:rPr>
              <w:pPrChange w:id="7886" w:author="AbbVie2" w:date="2025-05-13T16:40:00Z">
                <w:pPr>
                  <w:keepNext/>
                  <w:jc w:val="center"/>
                </w:pPr>
              </w:pPrChange>
            </w:pPr>
            <w:del w:id="7887" w:author="AbbVie2" w:date="2025-05-13T16:39:00Z">
              <w:r w:rsidRPr="008912CF">
                <w:rPr>
                  <w:sz w:val="22"/>
                  <w:szCs w:val="22"/>
                </w:rPr>
                <w:delText>-0,3</w:delText>
              </w:r>
            </w:del>
          </w:p>
        </w:tc>
        <w:tc>
          <w:tcPr>
            <w:tcW w:w="0" w:type="auto"/>
            <w:tcBorders>
              <w:top w:val="single" w:sz="4" w:space="0" w:color="auto"/>
              <w:left w:val="single" w:sz="4" w:space="0" w:color="auto"/>
              <w:bottom w:val="single" w:sz="4" w:space="0" w:color="auto"/>
              <w:right w:val="single" w:sz="4" w:space="0" w:color="auto"/>
            </w:tcBorders>
          </w:tcPr>
          <w:p w14:paraId="5CE5C1C2" w14:textId="342C7388" w:rsidR="004462A0" w:rsidRPr="008912CF" w:rsidRDefault="00615769">
            <w:pPr>
              <w:rPr>
                <w:del w:id="7888" w:author="AbbVie2" w:date="2025-05-13T16:39:00Z"/>
                <w:sz w:val="22"/>
                <w:szCs w:val="22"/>
              </w:rPr>
              <w:pPrChange w:id="7889" w:author="AbbVie2" w:date="2025-05-13T16:40:00Z">
                <w:pPr>
                  <w:keepNext/>
                  <w:jc w:val="center"/>
                </w:pPr>
              </w:pPrChange>
            </w:pPr>
            <w:del w:id="7890" w:author="AbbVie2" w:date="2025-05-13T16:39:00Z">
              <w:r w:rsidRPr="008912CF">
                <w:rPr>
                  <w:sz w:val="22"/>
                  <w:szCs w:val="22"/>
                </w:rPr>
                <w:delText>-4,7***</w:delText>
              </w:r>
            </w:del>
          </w:p>
        </w:tc>
      </w:tr>
      <w:tr w:rsidR="00A7162A" w14:paraId="78912886" w14:textId="2EBB18E9" w:rsidTr="00F675CF">
        <w:trPr>
          <w:jc w:val="center"/>
          <w:del w:id="7891" w:author="AbbVie2" w:date="2025-05-13T16:39:00Z"/>
        </w:trPr>
        <w:tc>
          <w:tcPr>
            <w:tcW w:w="0" w:type="auto"/>
            <w:tcBorders>
              <w:top w:val="single" w:sz="4" w:space="0" w:color="auto"/>
              <w:left w:val="single" w:sz="4" w:space="0" w:color="auto"/>
              <w:bottom w:val="single" w:sz="4" w:space="0" w:color="auto"/>
              <w:right w:val="single" w:sz="4" w:space="0" w:color="auto"/>
            </w:tcBorders>
          </w:tcPr>
          <w:p w14:paraId="43B2BDC6" w14:textId="33FFE8A9" w:rsidR="004462A0" w:rsidRPr="008912CF" w:rsidRDefault="00615769">
            <w:pPr>
              <w:rPr>
                <w:del w:id="7892" w:author="AbbVie2" w:date="2025-05-13T16:39:00Z"/>
                <w:sz w:val="22"/>
                <w:szCs w:val="22"/>
              </w:rPr>
              <w:pPrChange w:id="7893" w:author="AbbVie2" w:date="2025-05-13T16:40:00Z">
                <w:pPr>
                  <w:keepNext/>
                </w:pPr>
              </w:pPrChange>
            </w:pPr>
            <w:del w:id="7894" w:author="AbbVie2" w:date="2025-05-13T16:39:00Z">
              <w:r w:rsidRPr="008912CF">
                <w:rPr>
                  <w:sz w:val="22"/>
                  <w:szCs w:val="22"/>
                </w:rPr>
                <w:delText>SPARCC</w:delText>
              </w:r>
              <w:r w:rsidRPr="008912CF">
                <w:rPr>
                  <w:sz w:val="22"/>
                  <w:szCs w:val="22"/>
                  <w:vertAlign w:val="superscript"/>
                </w:rPr>
                <w:delText>h</w:delText>
              </w:r>
              <w:r w:rsidRPr="008912CF">
                <w:rPr>
                  <w:sz w:val="22"/>
                  <w:szCs w:val="22"/>
                </w:rPr>
                <w:delText xml:space="preserve"> </w:delText>
              </w:r>
              <w:r w:rsidR="00090620">
                <w:rPr>
                  <w:sz w:val="22"/>
                  <w:szCs w:val="22"/>
                </w:rPr>
                <w:delText>RMN</w:delText>
              </w:r>
              <w:r w:rsidR="00090620" w:rsidRPr="008912CF">
                <w:rPr>
                  <w:sz w:val="22"/>
                  <w:szCs w:val="22"/>
                </w:rPr>
                <w:delText xml:space="preserve"> </w:delText>
              </w:r>
              <w:r w:rsidRPr="008912CF">
                <w:rPr>
                  <w:sz w:val="22"/>
                  <w:szCs w:val="22"/>
                </w:rPr>
                <w:delText>Articulações sacroíliacas</w:delText>
              </w:r>
              <w:r w:rsidRPr="008912CF">
                <w:rPr>
                  <w:sz w:val="22"/>
                  <w:szCs w:val="22"/>
                  <w:vertAlign w:val="superscript"/>
                </w:rPr>
                <w:delText>d,i</w:delText>
              </w:r>
            </w:del>
          </w:p>
        </w:tc>
        <w:tc>
          <w:tcPr>
            <w:tcW w:w="0" w:type="auto"/>
            <w:tcBorders>
              <w:top w:val="single" w:sz="4" w:space="0" w:color="auto"/>
              <w:left w:val="single" w:sz="4" w:space="0" w:color="auto"/>
              <w:bottom w:val="single" w:sz="4" w:space="0" w:color="auto"/>
              <w:right w:val="single" w:sz="4" w:space="0" w:color="auto"/>
            </w:tcBorders>
          </w:tcPr>
          <w:p w14:paraId="3B27409A" w14:textId="7BC35CE1" w:rsidR="004462A0" w:rsidRPr="008912CF" w:rsidRDefault="00615769">
            <w:pPr>
              <w:rPr>
                <w:del w:id="7895" w:author="AbbVie2" w:date="2025-05-13T16:39:00Z"/>
                <w:sz w:val="22"/>
                <w:szCs w:val="22"/>
              </w:rPr>
              <w:pPrChange w:id="7896" w:author="AbbVie2" w:date="2025-05-13T16:40:00Z">
                <w:pPr>
                  <w:keepNext/>
                  <w:jc w:val="center"/>
                </w:pPr>
              </w:pPrChange>
            </w:pPr>
            <w:del w:id="7897" w:author="AbbVie2" w:date="2025-05-13T16:39:00Z">
              <w:r w:rsidRPr="008912CF">
                <w:rPr>
                  <w:sz w:val="22"/>
                  <w:szCs w:val="22"/>
                </w:rPr>
                <w:delText>-0,6</w:delText>
              </w:r>
            </w:del>
          </w:p>
        </w:tc>
        <w:tc>
          <w:tcPr>
            <w:tcW w:w="0" w:type="auto"/>
            <w:tcBorders>
              <w:top w:val="single" w:sz="4" w:space="0" w:color="auto"/>
              <w:left w:val="single" w:sz="4" w:space="0" w:color="auto"/>
              <w:bottom w:val="single" w:sz="4" w:space="0" w:color="auto"/>
              <w:right w:val="single" w:sz="4" w:space="0" w:color="auto"/>
            </w:tcBorders>
          </w:tcPr>
          <w:p w14:paraId="6BE62E75" w14:textId="7763121F" w:rsidR="004462A0" w:rsidRPr="008912CF" w:rsidRDefault="00615769">
            <w:pPr>
              <w:rPr>
                <w:del w:id="7898" w:author="AbbVie2" w:date="2025-05-13T16:39:00Z"/>
                <w:sz w:val="22"/>
                <w:szCs w:val="22"/>
              </w:rPr>
              <w:pPrChange w:id="7899" w:author="AbbVie2" w:date="2025-05-13T16:40:00Z">
                <w:pPr>
                  <w:keepNext/>
                  <w:jc w:val="center"/>
                </w:pPr>
              </w:pPrChange>
            </w:pPr>
            <w:del w:id="7900" w:author="AbbVie2" w:date="2025-05-13T16:39:00Z">
              <w:r w:rsidRPr="008912CF">
                <w:rPr>
                  <w:sz w:val="22"/>
                  <w:szCs w:val="22"/>
                </w:rPr>
                <w:delText>-3,2**</w:delText>
              </w:r>
            </w:del>
          </w:p>
        </w:tc>
      </w:tr>
      <w:tr w:rsidR="00A7162A" w14:paraId="6FDFE835" w14:textId="2C1609E5" w:rsidTr="00F675CF">
        <w:trPr>
          <w:jc w:val="center"/>
          <w:del w:id="7901" w:author="AbbVie2" w:date="2025-05-13T16:39:00Z"/>
        </w:trPr>
        <w:tc>
          <w:tcPr>
            <w:tcW w:w="0" w:type="auto"/>
            <w:tcBorders>
              <w:top w:val="single" w:sz="4" w:space="0" w:color="auto"/>
              <w:left w:val="single" w:sz="4" w:space="0" w:color="auto"/>
              <w:bottom w:val="single" w:sz="4" w:space="0" w:color="auto"/>
              <w:right w:val="single" w:sz="4" w:space="0" w:color="auto"/>
            </w:tcBorders>
          </w:tcPr>
          <w:p w14:paraId="73CC9DC7" w14:textId="7E694E12" w:rsidR="004462A0" w:rsidRPr="008912CF" w:rsidRDefault="00615769">
            <w:pPr>
              <w:rPr>
                <w:del w:id="7902" w:author="AbbVie2" w:date="2025-05-13T16:39:00Z"/>
                <w:sz w:val="22"/>
                <w:szCs w:val="22"/>
              </w:rPr>
              <w:pPrChange w:id="7903" w:author="AbbVie2" w:date="2025-05-13T16:40:00Z">
                <w:pPr>
                  <w:keepNext/>
                </w:pPr>
              </w:pPrChange>
            </w:pPr>
            <w:del w:id="7904" w:author="AbbVie2" w:date="2025-05-13T16:39:00Z">
              <w:r w:rsidRPr="008912CF">
                <w:rPr>
                  <w:sz w:val="22"/>
                  <w:szCs w:val="22"/>
                </w:rPr>
                <w:delText xml:space="preserve">SPARCC </w:delText>
              </w:r>
              <w:r w:rsidR="00090620">
                <w:rPr>
                  <w:sz w:val="22"/>
                  <w:szCs w:val="22"/>
                </w:rPr>
                <w:delText xml:space="preserve">RMN </w:delText>
              </w:r>
              <w:r w:rsidRPr="008912CF">
                <w:rPr>
                  <w:sz w:val="22"/>
                  <w:szCs w:val="22"/>
                </w:rPr>
                <w:delText>Coluna Vertebral</w:delText>
              </w:r>
              <w:r w:rsidRPr="008912CF">
                <w:rPr>
                  <w:sz w:val="22"/>
                  <w:szCs w:val="22"/>
                  <w:vertAlign w:val="superscript"/>
                </w:rPr>
                <w:delText>d,j</w:delText>
              </w:r>
            </w:del>
          </w:p>
        </w:tc>
        <w:tc>
          <w:tcPr>
            <w:tcW w:w="0" w:type="auto"/>
            <w:tcBorders>
              <w:top w:val="single" w:sz="4" w:space="0" w:color="auto"/>
              <w:left w:val="single" w:sz="4" w:space="0" w:color="auto"/>
              <w:bottom w:val="single" w:sz="4" w:space="0" w:color="auto"/>
              <w:right w:val="single" w:sz="4" w:space="0" w:color="auto"/>
            </w:tcBorders>
          </w:tcPr>
          <w:p w14:paraId="0BCDDA4D" w14:textId="722BF9C5" w:rsidR="004462A0" w:rsidRPr="008912CF" w:rsidRDefault="00615769">
            <w:pPr>
              <w:rPr>
                <w:del w:id="7905" w:author="AbbVie2" w:date="2025-05-13T16:39:00Z"/>
                <w:sz w:val="22"/>
                <w:szCs w:val="22"/>
              </w:rPr>
              <w:pPrChange w:id="7906" w:author="AbbVie2" w:date="2025-05-13T16:40:00Z">
                <w:pPr>
                  <w:keepNext/>
                  <w:jc w:val="center"/>
                </w:pPr>
              </w:pPrChange>
            </w:pPr>
            <w:del w:id="7907" w:author="AbbVie2" w:date="2025-05-13T16:39:00Z">
              <w:r w:rsidRPr="008912CF">
                <w:rPr>
                  <w:sz w:val="22"/>
                  <w:szCs w:val="22"/>
                </w:rPr>
                <w:delText>-0,2</w:delText>
              </w:r>
            </w:del>
          </w:p>
        </w:tc>
        <w:tc>
          <w:tcPr>
            <w:tcW w:w="0" w:type="auto"/>
            <w:tcBorders>
              <w:top w:val="single" w:sz="4" w:space="0" w:color="auto"/>
              <w:left w:val="single" w:sz="4" w:space="0" w:color="auto"/>
              <w:bottom w:val="single" w:sz="4" w:space="0" w:color="auto"/>
              <w:right w:val="single" w:sz="4" w:space="0" w:color="auto"/>
            </w:tcBorders>
          </w:tcPr>
          <w:p w14:paraId="733C6AF3" w14:textId="29E75E36" w:rsidR="004462A0" w:rsidRPr="008912CF" w:rsidRDefault="00615769">
            <w:pPr>
              <w:rPr>
                <w:del w:id="7908" w:author="AbbVie2" w:date="2025-05-13T16:39:00Z"/>
                <w:sz w:val="22"/>
                <w:szCs w:val="22"/>
              </w:rPr>
              <w:pPrChange w:id="7909" w:author="AbbVie2" w:date="2025-05-13T16:40:00Z">
                <w:pPr>
                  <w:keepNext/>
                  <w:jc w:val="center"/>
                </w:pPr>
              </w:pPrChange>
            </w:pPr>
            <w:del w:id="7910" w:author="AbbVie2" w:date="2025-05-13T16:39:00Z">
              <w:r w:rsidRPr="008912CF">
                <w:rPr>
                  <w:sz w:val="22"/>
                  <w:szCs w:val="22"/>
                </w:rPr>
                <w:delText>-1,8**</w:delText>
              </w:r>
            </w:del>
          </w:p>
        </w:tc>
      </w:tr>
      <w:tr w:rsidR="00A7162A" w14:paraId="396344B8" w14:textId="6472A16F" w:rsidTr="00F675CF">
        <w:trPr>
          <w:jc w:val="center"/>
          <w:del w:id="7911" w:author="AbbVie2" w:date="2025-05-13T16:39:00Z"/>
        </w:trPr>
        <w:tc>
          <w:tcPr>
            <w:tcW w:w="0" w:type="auto"/>
            <w:gridSpan w:val="3"/>
            <w:tcBorders>
              <w:left w:val="nil"/>
              <w:bottom w:val="nil"/>
              <w:right w:val="nil"/>
            </w:tcBorders>
          </w:tcPr>
          <w:p w14:paraId="7BDC23E0" w14:textId="2FC2ADB3" w:rsidR="004462A0" w:rsidRPr="00AD4F25" w:rsidRDefault="00615769">
            <w:pPr>
              <w:rPr>
                <w:del w:id="7912" w:author="AbbVie2" w:date="2025-05-13T16:39:00Z"/>
                <w:sz w:val="22"/>
                <w:szCs w:val="22"/>
                <w:rPrChange w:id="7913" w:author="AbbVie2" w:date="2025-05-14T10:17:00Z">
                  <w:rPr>
                    <w:del w:id="7914" w:author="AbbVie2" w:date="2025-05-13T16:39:00Z"/>
                    <w:sz w:val="22"/>
                    <w:szCs w:val="22"/>
                    <w:lang w:val="en-US"/>
                  </w:rPr>
                </w:rPrChange>
              </w:rPr>
              <w:pPrChange w:id="7915" w:author="AbbVie2" w:date="2025-05-13T16:40:00Z">
                <w:pPr>
                  <w:keepNext/>
                  <w:autoSpaceDE w:val="0"/>
                  <w:autoSpaceDN w:val="0"/>
                  <w:adjustRightInd w:val="0"/>
                </w:pPr>
              </w:pPrChange>
            </w:pPr>
            <w:del w:id="7916" w:author="AbbVie2" w:date="2025-05-13T16:39:00Z">
              <w:r w:rsidRPr="00AD4F25">
                <w:rPr>
                  <w:sz w:val="22"/>
                  <w:szCs w:val="22"/>
                  <w:vertAlign w:val="superscript"/>
                  <w:rPrChange w:id="7917" w:author="AbbVie2" w:date="2025-05-14T10:17:00Z">
                    <w:rPr>
                      <w:sz w:val="22"/>
                      <w:szCs w:val="22"/>
                      <w:vertAlign w:val="superscript"/>
                      <w:lang w:val="en-US"/>
                    </w:rPr>
                  </w:rPrChange>
                </w:rPr>
                <w:delText>a</w:delText>
              </w:r>
              <w:r w:rsidRPr="00AD4F25">
                <w:rPr>
                  <w:sz w:val="22"/>
                  <w:szCs w:val="22"/>
                  <w:rPrChange w:id="7918" w:author="AbbVie2" w:date="2025-05-14T10:17:00Z">
                    <w:rPr>
                      <w:sz w:val="22"/>
                      <w:szCs w:val="22"/>
                      <w:lang w:val="en-US"/>
                    </w:rPr>
                  </w:rPrChange>
                </w:rPr>
                <w:delText xml:space="preserve"> ASAS = </w:delText>
              </w:r>
              <w:r w:rsidRPr="00AD4F25">
                <w:rPr>
                  <w:i/>
                  <w:sz w:val="22"/>
                  <w:szCs w:val="22"/>
                  <w:rPrChange w:id="7919" w:author="AbbVie2" w:date="2025-05-14T10:17:00Z">
                    <w:rPr>
                      <w:i/>
                      <w:sz w:val="22"/>
                      <w:szCs w:val="22"/>
                      <w:lang w:val="en-US"/>
                    </w:rPr>
                  </w:rPrChange>
                </w:rPr>
                <w:delText>Assessment of Spondylo</w:delText>
              </w:r>
              <w:r w:rsidR="002A3BA6" w:rsidRPr="00AD4F25">
                <w:rPr>
                  <w:i/>
                  <w:sz w:val="22"/>
                  <w:szCs w:val="22"/>
                  <w:rPrChange w:id="7920" w:author="AbbVie2" w:date="2025-05-14T10:17:00Z">
                    <w:rPr>
                      <w:i/>
                      <w:sz w:val="22"/>
                      <w:szCs w:val="22"/>
                      <w:lang w:val="en-US"/>
                    </w:rPr>
                  </w:rPrChange>
                </w:rPr>
                <w:delText>A</w:delText>
              </w:r>
              <w:r w:rsidRPr="00AD4F25">
                <w:rPr>
                  <w:i/>
                  <w:sz w:val="22"/>
                  <w:szCs w:val="22"/>
                  <w:rPrChange w:id="7921" w:author="AbbVie2" w:date="2025-05-14T10:17:00Z">
                    <w:rPr>
                      <w:i/>
                      <w:sz w:val="22"/>
                      <w:szCs w:val="22"/>
                      <w:lang w:val="en-US"/>
                    </w:rPr>
                  </w:rPrChange>
                </w:rPr>
                <w:delText xml:space="preserve">rthritis </w:delText>
              </w:r>
              <w:r w:rsidR="002A3BA6" w:rsidRPr="00AD4F25">
                <w:rPr>
                  <w:i/>
                  <w:sz w:val="22"/>
                  <w:szCs w:val="22"/>
                  <w:rPrChange w:id="7922" w:author="AbbVie2" w:date="2025-05-14T10:17:00Z">
                    <w:rPr>
                      <w:i/>
                      <w:sz w:val="22"/>
                      <w:szCs w:val="22"/>
                      <w:lang w:val="en-US"/>
                    </w:rPr>
                  </w:rPrChange>
                </w:rPr>
                <w:delText>i</w:delText>
              </w:r>
              <w:r w:rsidRPr="00AD4F25">
                <w:rPr>
                  <w:i/>
                  <w:sz w:val="22"/>
                  <w:szCs w:val="22"/>
                  <w:rPrChange w:id="7923" w:author="AbbVie2" w:date="2025-05-14T10:17:00Z">
                    <w:rPr>
                      <w:i/>
                      <w:sz w:val="22"/>
                      <w:szCs w:val="22"/>
                      <w:lang w:val="en-US"/>
                    </w:rPr>
                  </w:rPrChange>
                </w:rPr>
                <w:delText>nternational Society</w:delText>
              </w:r>
              <w:r w:rsidRPr="00AD4F25">
                <w:rPr>
                  <w:sz w:val="22"/>
                  <w:szCs w:val="22"/>
                  <w:rPrChange w:id="7924" w:author="AbbVie2" w:date="2025-05-14T10:17:00Z">
                    <w:rPr>
                      <w:sz w:val="22"/>
                      <w:szCs w:val="22"/>
                      <w:lang w:val="en-US"/>
                    </w:rPr>
                  </w:rPrChange>
                </w:rPr>
                <w:delText xml:space="preserve"> </w:delText>
              </w:r>
            </w:del>
          </w:p>
          <w:p w14:paraId="4759347F" w14:textId="0A47F7D5" w:rsidR="004462A0" w:rsidRPr="009C739B" w:rsidRDefault="00615769">
            <w:pPr>
              <w:rPr>
                <w:del w:id="7925" w:author="AbbVie2" w:date="2025-05-13T16:39:00Z"/>
                <w:i/>
                <w:szCs w:val="22"/>
              </w:rPr>
              <w:pPrChange w:id="7926" w:author="AbbVie2" w:date="2025-05-13T16:40:00Z">
                <w:pPr>
                  <w:pStyle w:val="EMEANormal"/>
                  <w:keepNext/>
                  <w:ind w:left="20"/>
                </w:pPr>
              </w:pPrChange>
            </w:pPr>
            <w:del w:id="7927" w:author="AbbVie2" w:date="2025-05-13T16:39:00Z">
              <w:r w:rsidRPr="009C739B">
                <w:rPr>
                  <w:szCs w:val="22"/>
                  <w:vertAlign w:val="superscript"/>
                </w:rPr>
                <w:delText>b</w:delText>
              </w:r>
              <w:r w:rsidRPr="009C739B">
                <w:rPr>
                  <w:szCs w:val="22"/>
                </w:rPr>
                <w:delText xml:space="preserve"> </w:delText>
              </w:r>
              <w:r w:rsidRPr="009C739B">
                <w:rPr>
                  <w:i/>
                  <w:szCs w:val="22"/>
                </w:rPr>
                <w:delText>Bath Ankylosing Spondylitis Disease Activity Index</w:delText>
              </w:r>
            </w:del>
          </w:p>
          <w:p w14:paraId="443FCA2C" w14:textId="7DA735E8" w:rsidR="004462A0" w:rsidRPr="009C739B" w:rsidRDefault="00615769">
            <w:pPr>
              <w:rPr>
                <w:del w:id="7928" w:author="AbbVie2" w:date="2025-05-13T16:39:00Z"/>
                <w:szCs w:val="22"/>
                <w:vertAlign w:val="superscript"/>
              </w:rPr>
              <w:pPrChange w:id="7929" w:author="AbbVie2" w:date="2025-05-13T16:40:00Z">
                <w:pPr>
                  <w:pStyle w:val="EMEANormal"/>
                  <w:ind w:left="20"/>
                </w:pPr>
              </w:pPrChange>
            </w:pPr>
            <w:del w:id="7930" w:author="AbbVie2" w:date="2025-05-13T16:39:00Z">
              <w:r w:rsidRPr="009C739B">
                <w:rPr>
                  <w:szCs w:val="22"/>
                  <w:vertAlign w:val="superscript"/>
                </w:rPr>
                <w:delText>c</w:delText>
              </w:r>
              <w:r w:rsidRPr="009C739B">
                <w:rPr>
                  <w:szCs w:val="22"/>
                </w:rPr>
                <w:delText xml:space="preserve"> A</w:delText>
              </w:r>
              <w:r w:rsidRPr="009C739B">
                <w:rPr>
                  <w:i/>
                  <w:szCs w:val="22"/>
                </w:rPr>
                <w:delText>nkylosing Spondylitis Disease Activity Scor</w:delText>
              </w:r>
              <w:r w:rsidRPr="009C739B">
                <w:rPr>
                  <w:szCs w:val="22"/>
                </w:rPr>
                <w:delText>e</w:delText>
              </w:r>
            </w:del>
          </w:p>
          <w:p w14:paraId="5E3BD240" w14:textId="1A67912D" w:rsidR="004462A0" w:rsidRPr="008912CF" w:rsidRDefault="00615769">
            <w:pPr>
              <w:rPr>
                <w:del w:id="7931" w:author="AbbVie2" w:date="2025-05-13T16:39:00Z"/>
                <w:szCs w:val="22"/>
              </w:rPr>
              <w:pPrChange w:id="7932" w:author="AbbVie2" w:date="2025-05-13T16:40:00Z">
                <w:pPr>
                  <w:pStyle w:val="EMEANormal"/>
                  <w:ind w:left="20"/>
                </w:pPr>
              </w:pPrChange>
            </w:pPr>
            <w:del w:id="7933" w:author="AbbVie2" w:date="2025-05-13T16:39:00Z">
              <w:r w:rsidRPr="008912CF">
                <w:rPr>
                  <w:szCs w:val="22"/>
                  <w:vertAlign w:val="superscript"/>
                </w:rPr>
                <w:delText>d</w:delText>
              </w:r>
              <w:r w:rsidRPr="008912CF">
                <w:rPr>
                  <w:szCs w:val="22"/>
                </w:rPr>
                <w:delText xml:space="preserve"> </w:delText>
              </w:r>
              <w:r w:rsidR="00965800">
                <w:rPr>
                  <w:szCs w:val="22"/>
                </w:rPr>
                <w:delText>alteração média relativamente</w:delText>
              </w:r>
              <w:r w:rsidRPr="008912CF">
                <w:rPr>
                  <w:szCs w:val="22"/>
                </w:rPr>
                <w:delText xml:space="preserve"> </w:delText>
              </w:r>
              <w:r w:rsidR="00965800">
                <w:rPr>
                  <w:szCs w:val="22"/>
                </w:rPr>
                <w:delText>à</w:delText>
              </w:r>
              <w:r w:rsidRPr="008912CF">
                <w:rPr>
                  <w:szCs w:val="22"/>
                </w:rPr>
                <w:delText xml:space="preserve"> avaliação inicial</w:delText>
              </w:r>
            </w:del>
          </w:p>
          <w:p w14:paraId="37FDBA0A" w14:textId="3F838E83" w:rsidR="004462A0" w:rsidRPr="008912CF" w:rsidRDefault="00615769">
            <w:pPr>
              <w:rPr>
                <w:del w:id="7934" w:author="AbbVie2" w:date="2025-05-13T16:39:00Z"/>
                <w:szCs w:val="22"/>
              </w:rPr>
              <w:pPrChange w:id="7935" w:author="AbbVie2" w:date="2025-05-13T16:40:00Z">
                <w:pPr>
                  <w:pStyle w:val="EMEANormal"/>
                  <w:ind w:left="20"/>
                </w:pPr>
              </w:pPrChange>
            </w:pPr>
            <w:del w:id="7936" w:author="AbbVie2" w:date="2025-05-13T16:39:00Z">
              <w:r w:rsidRPr="008912CF">
                <w:rPr>
                  <w:szCs w:val="22"/>
                  <w:vertAlign w:val="superscript"/>
                </w:rPr>
                <w:delText>e</w:delText>
              </w:r>
              <w:r w:rsidRPr="008912CF">
                <w:rPr>
                  <w:szCs w:val="22"/>
                </w:rPr>
                <w:delText xml:space="preserve"> n=91 placebo e n=87 Humira</w:delText>
              </w:r>
            </w:del>
          </w:p>
          <w:p w14:paraId="1BD6F4D7" w14:textId="2A73E42E" w:rsidR="004462A0" w:rsidRPr="008912CF" w:rsidRDefault="00615769">
            <w:pPr>
              <w:rPr>
                <w:del w:id="7937" w:author="AbbVie2" w:date="2025-05-13T16:39:00Z"/>
                <w:szCs w:val="22"/>
              </w:rPr>
              <w:pPrChange w:id="7938" w:author="AbbVie2" w:date="2025-05-13T16:40:00Z">
                <w:pPr>
                  <w:pStyle w:val="EMEANormal"/>
                  <w:ind w:left="20"/>
                </w:pPr>
              </w:pPrChange>
            </w:pPr>
            <w:del w:id="7939" w:author="AbbVie2" w:date="2025-05-13T16:39:00Z">
              <w:r w:rsidRPr="008912CF">
                <w:rPr>
                  <w:szCs w:val="22"/>
                  <w:vertAlign w:val="superscript"/>
                </w:rPr>
                <w:delText>f</w:delText>
              </w:r>
              <w:r w:rsidRPr="008912CF">
                <w:rPr>
                  <w:szCs w:val="22"/>
                </w:rPr>
                <w:delText xml:space="preserve"> Proteína C Reativa de alta sensibilidade (mg/</w:delText>
              </w:r>
              <w:r w:rsidR="00965800">
                <w:rPr>
                  <w:szCs w:val="22"/>
                </w:rPr>
                <w:delText>l</w:delText>
              </w:r>
              <w:r w:rsidRPr="008912CF">
                <w:rPr>
                  <w:szCs w:val="22"/>
                </w:rPr>
                <w:delText>)</w:delText>
              </w:r>
            </w:del>
          </w:p>
          <w:p w14:paraId="207BA277" w14:textId="3BD536AA" w:rsidR="004462A0" w:rsidRPr="008912CF" w:rsidRDefault="00615769">
            <w:pPr>
              <w:rPr>
                <w:del w:id="7940" w:author="AbbVie2" w:date="2025-05-13T16:39:00Z"/>
                <w:szCs w:val="22"/>
              </w:rPr>
              <w:pPrChange w:id="7941" w:author="AbbVie2" w:date="2025-05-13T16:40:00Z">
                <w:pPr>
                  <w:pStyle w:val="EMEANormal"/>
                  <w:ind w:left="20"/>
                </w:pPr>
              </w:pPrChange>
            </w:pPr>
            <w:del w:id="7942" w:author="AbbVie2" w:date="2025-05-13T16:39:00Z">
              <w:r w:rsidRPr="008912CF">
                <w:rPr>
                  <w:szCs w:val="22"/>
                  <w:vertAlign w:val="superscript"/>
                </w:rPr>
                <w:delText>g</w:delText>
              </w:r>
              <w:r w:rsidRPr="008912CF">
                <w:rPr>
                  <w:szCs w:val="22"/>
                </w:rPr>
                <w:delText xml:space="preserve"> n=73 placebo e n=70 Humira</w:delText>
              </w:r>
            </w:del>
          </w:p>
          <w:p w14:paraId="42147836" w14:textId="4CF514EA" w:rsidR="004462A0" w:rsidRPr="009C739B" w:rsidRDefault="00615769">
            <w:pPr>
              <w:rPr>
                <w:del w:id="7943" w:author="AbbVie2" w:date="2025-05-13T16:39:00Z"/>
                <w:szCs w:val="22"/>
              </w:rPr>
              <w:pPrChange w:id="7944" w:author="AbbVie2" w:date="2025-05-13T16:40:00Z">
                <w:pPr>
                  <w:pStyle w:val="EMEANormal"/>
                  <w:ind w:left="20"/>
                </w:pPr>
              </w:pPrChange>
            </w:pPr>
            <w:del w:id="7945" w:author="AbbVie2" w:date="2025-05-13T16:39:00Z">
              <w:r w:rsidRPr="009C739B">
                <w:rPr>
                  <w:szCs w:val="22"/>
                  <w:vertAlign w:val="superscript"/>
                </w:rPr>
                <w:delText>h</w:delText>
              </w:r>
              <w:r w:rsidRPr="009C739B">
                <w:rPr>
                  <w:szCs w:val="22"/>
                </w:rPr>
                <w:delText xml:space="preserve"> </w:delText>
              </w:r>
              <w:r w:rsidRPr="009C739B">
                <w:rPr>
                  <w:i/>
                  <w:szCs w:val="22"/>
                </w:rPr>
                <w:delText>Spondyloarthritis Research Consortium of Canada</w:delText>
              </w:r>
            </w:del>
          </w:p>
          <w:p w14:paraId="26548650" w14:textId="36F4DE28" w:rsidR="004462A0" w:rsidRPr="008912CF" w:rsidRDefault="00615769">
            <w:pPr>
              <w:rPr>
                <w:del w:id="7946" w:author="AbbVie2" w:date="2025-05-13T16:39:00Z"/>
                <w:szCs w:val="22"/>
              </w:rPr>
              <w:pPrChange w:id="7947" w:author="AbbVie2" w:date="2025-05-13T16:40:00Z">
                <w:pPr>
                  <w:pStyle w:val="EMEANormal"/>
                  <w:ind w:left="20"/>
                </w:pPr>
              </w:pPrChange>
            </w:pPr>
            <w:del w:id="7948" w:author="AbbVie2" w:date="2025-05-13T16:39:00Z">
              <w:r w:rsidRPr="008912CF">
                <w:rPr>
                  <w:szCs w:val="22"/>
                  <w:vertAlign w:val="superscript"/>
                </w:rPr>
                <w:delText>i</w:delText>
              </w:r>
              <w:r w:rsidRPr="008912CF">
                <w:rPr>
                  <w:szCs w:val="22"/>
                </w:rPr>
                <w:delText xml:space="preserve"> n=84 placebo e Humira</w:delText>
              </w:r>
            </w:del>
          </w:p>
          <w:p w14:paraId="13B1649C" w14:textId="2D3295E7" w:rsidR="004462A0" w:rsidRPr="008912CF" w:rsidRDefault="00615769">
            <w:pPr>
              <w:rPr>
                <w:del w:id="7949" w:author="AbbVie2" w:date="2025-05-13T16:39:00Z"/>
                <w:szCs w:val="22"/>
              </w:rPr>
              <w:pPrChange w:id="7950" w:author="AbbVie2" w:date="2025-05-13T16:40:00Z">
                <w:pPr>
                  <w:pStyle w:val="EMEANormal"/>
                  <w:ind w:left="20"/>
                </w:pPr>
              </w:pPrChange>
            </w:pPr>
            <w:del w:id="7951" w:author="AbbVie2" w:date="2025-05-13T16:39:00Z">
              <w:r w:rsidRPr="008912CF">
                <w:rPr>
                  <w:szCs w:val="22"/>
                  <w:vertAlign w:val="superscript"/>
                </w:rPr>
                <w:delText>j</w:delText>
              </w:r>
              <w:r w:rsidRPr="008912CF">
                <w:rPr>
                  <w:szCs w:val="22"/>
                </w:rPr>
                <w:delText xml:space="preserve"> n=82 placebo e n=85 Humira</w:delText>
              </w:r>
            </w:del>
          </w:p>
          <w:p w14:paraId="176D7B55" w14:textId="5272B318" w:rsidR="004462A0" w:rsidRPr="008912CF" w:rsidRDefault="00615769">
            <w:pPr>
              <w:rPr>
                <w:del w:id="7952" w:author="AbbVie2" w:date="2025-05-13T16:39:00Z"/>
                <w:szCs w:val="22"/>
              </w:rPr>
              <w:pPrChange w:id="7953" w:author="AbbVie2" w:date="2025-05-13T16:40:00Z">
                <w:pPr>
                  <w:pStyle w:val="EMEANormal"/>
                  <w:keepNext/>
                  <w:ind w:left="20"/>
                </w:pPr>
              </w:pPrChange>
            </w:pPr>
            <w:del w:id="7954" w:author="AbbVie2" w:date="2025-05-13T16:39:00Z">
              <w:r w:rsidRPr="008912CF">
                <w:rPr>
                  <w:szCs w:val="22"/>
                </w:rPr>
                <w:delText>***, **, * Estatisticamente significativ</w:delText>
              </w:r>
              <w:r w:rsidR="00965800">
                <w:rPr>
                  <w:szCs w:val="22"/>
                </w:rPr>
                <w:delText>o</w:delText>
              </w:r>
              <w:r w:rsidRPr="008912CF">
                <w:rPr>
                  <w:szCs w:val="22"/>
                </w:rPr>
                <w:delText xml:space="preserve"> p &lt; 0,001, &lt; 0,01, e &lt; 0,05, respetivamente, para</w:delText>
              </w:r>
            </w:del>
          </w:p>
          <w:p w14:paraId="5E212A5E" w14:textId="589EF039" w:rsidR="004462A0" w:rsidRPr="008912CF" w:rsidRDefault="00615769">
            <w:pPr>
              <w:rPr>
                <w:del w:id="7955" w:author="AbbVie2" w:date="2025-05-13T16:39:00Z"/>
                <w:szCs w:val="22"/>
              </w:rPr>
              <w:pPrChange w:id="7956" w:author="AbbVie2" w:date="2025-05-13T16:40:00Z">
                <w:pPr>
                  <w:pStyle w:val="EMEANormal"/>
                  <w:keepNext/>
                  <w:ind w:left="20"/>
                </w:pPr>
              </w:pPrChange>
            </w:pPr>
            <w:del w:id="7957" w:author="AbbVie2" w:date="2025-05-13T16:39:00Z">
              <w:r w:rsidRPr="008912CF">
                <w:rPr>
                  <w:szCs w:val="22"/>
                </w:rPr>
                <w:delText xml:space="preserve">todas as comparações entre Humira e placebo </w:delText>
              </w:r>
            </w:del>
          </w:p>
        </w:tc>
      </w:tr>
    </w:tbl>
    <w:p w14:paraId="30502840" w14:textId="1CA7FA4A" w:rsidR="004462A0" w:rsidRPr="008912CF" w:rsidRDefault="004462A0">
      <w:pPr>
        <w:rPr>
          <w:del w:id="7958" w:author="AbbVie2" w:date="2025-05-13T16:39:00Z"/>
          <w:szCs w:val="22"/>
        </w:rPr>
        <w:pPrChange w:id="7959" w:author="AbbVie2" w:date="2025-05-13T16:40:00Z">
          <w:pPr>
            <w:pStyle w:val="EMEANormal"/>
          </w:pPr>
        </w:pPrChange>
      </w:pPr>
    </w:p>
    <w:p w14:paraId="0E24FE30" w14:textId="27349C77" w:rsidR="004462A0" w:rsidRPr="008912CF" w:rsidRDefault="00615769">
      <w:pPr>
        <w:rPr>
          <w:del w:id="7960" w:author="AbbVie2" w:date="2025-05-13T16:39:00Z"/>
          <w:szCs w:val="22"/>
        </w:rPr>
        <w:pPrChange w:id="7961" w:author="AbbVie2" w:date="2025-05-13T16:40:00Z">
          <w:pPr>
            <w:pStyle w:val="EMEANormal"/>
          </w:pPr>
        </w:pPrChange>
      </w:pPr>
      <w:del w:id="7962" w:author="AbbVie2" w:date="2025-05-13T16:39:00Z">
        <w:r>
          <w:rPr>
            <w:szCs w:val="22"/>
          </w:rPr>
          <w:delText>Na</w:delText>
        </w:r>
        <w:r w:rsidRPr="008912CF">
          <w:rPr>
            <w:szCs w:val="22"/>
          </w:rPr>
          <w:delText xml:space="preserve"> extensão de fase aberta, a melhoria nos sinais e sintomas foi mantida em doentes em tratamento com Humira até à Semana 156.</w:delText>
        </w:r>
      </w:del>
    </w:p>
    <w:p w14:paraId="3C38303C" w14:textId="28633E86" w:rsidR="004462A0" w:rsidRPr="008912CF" w:rsidRDefault="004462A0">
      <w:pPr>
        <w:rPr>
          <w:del w:id="7963" w:author="AbbVie2" w:date="2025-05-13T16:39:00Z"/>
          <w:szCs w:val="22"/>
        </w:rPr>
        <w:pPrChange w:id="7964" w:author="AbbVie2" w:date="2025-05-13T16:40:00Z">
          <w:pPr>
            <w:pStyle w:val="EMEANormal"/>
          </w:pPr>
        </w:pPrChange>
      </w:pPr>
    </w:p>
    <w:p w14:paraId="529F3B7F" w14:textId="13B5BFAB" w:rsidR="004462A0" w:rsidRPr="008912CF" w:rsidRDefault="00615769">
      <w:pPr>
        <w:rPr>
          <w:del w:id="7965" w:author="AbbVie2" w:date="2025-05-13T16:39:00Z"/>
          <w:szCs w:val="22"/>
        </w:rPr>
        <w:pPrChange w:id="7966" w:author="AbbVie2" w:date="2025-05-13T16:40:00Z">
          <w:pPr>
            <w:pStyle w:val="EMEANormal"/>
          </w:pPr>
        </w:pPrChange>
      </w:pPr>
      <w:del w:id="7967" w:author="AbbVie2" w:date="2025-05-13T16:39:00Z">
        <w:r w:rsidRPr="008912CF">
          <w:rPr>
            <w:szCs w:val="22"/>
          </w:rPr>
          <w:delText>Inibição da inflamação</w:delText>
        </w:r>
      </w:del>
    </w:p>
    <w:p w14:paraId="41BA5ED6" w14:textId="3E86B5B3" w:rsidR="004462A0" w:rsidRPr="008912CF" w:rsidRDefault="004462A0">
      <w:pPr>
        <w:rPr>
          <w:del w:id="7968" w:author="AbbVie2" w:date="2025-05-13T16:39:00Z"/>
          <w:szCs w:val="22"/>
        </w:rPr>
        <w:pPrChange w:id="7969" w:author="AbbVie2" w:date="2025-05-13T16:40:00Z">
          <w:pPr>
            <w:pStyle w:val="EMEANormal"/>
          </w:pPr>
        </w:pPrChange>
      </w:pPr>
    </w:p>
    <w:p w14:paraId="25D52092" w14:textId="734EC33D" w:rsidR="004462A0" w:rsidRPr="008912CF" w:rsidRDefault="00615769">
      <w:pPr>
        <w:rPr>
          <w:del w:id="7970" w:author="AbbVie2" w:date="2025-05-13T16:39:00Z"/>
          <w:szCs w:val="22"/>
        </w:rPr>
        <w:pPrChange w:id="7971" w:author="AbbVie2" w:date="2025-05-13T16:40:00Z">
          <w:pPr>
            <w:pStyle w:val="EMEANormal"/>
          </w:pPr>
        </w:pPrChange>
      </w:pPr>
      <w:del w:id="7972" w:author="AbbVie2" w:date="2025-05-13T16:39:00Z">
        <w:r>
          <w:rPr>
            <w:szCs w:val="22"/>
          </w:rPr>
          <w:delText>A m</w:delText>
        </w:r>
        <w:r w:rsidRPr="008912CF">
          <w:rPr>
            <w:szCs w:val="22"/>
          </w:rPr>
          <w:delText>elhoria significativa dos sinais da inflamação avaliados p</w:delText>
        </w:r>
        <w:r>
          <w:rPr>
            <w:szCs w:val="22"/>
          </w:rPr>
          <w:delText>or</w:delText>
        </w:r>
        <w:r w:rsidRPr="008912CF">
          <w:rPr>
            <w:szCs w:val="22"/>
          </w:rPr>
          <w:delText xml:space="preserve"> PCR-as e ressonância magnética das duas articulações sacroilíacas e da coluna vertebral</w:delText>
        </w:r>
        <w:r>
          <w:rPr>
            <w:szCs w:val="22"/>
          </w:rPr>
          <w:delText xml:space="preserve"> foi </w:delText>
        </w:r>
        <w:r w:rsidRPr="008912CF">
          <w:rPr>
            <w:szCs w:val="22"/>
          </w:rPr>
          <w:delText xml:space="preserve">mantida em doentes tratados com Humira até à Semana 156 e Semana 104, respetivamente. </w:delText>
        </w:r>
      </w:del>
    </w:p>
    <w:p w14:paraId="7C4F38EF" w14:textId="2FA4F79E" w:rsidR="004462A0" w:rsidRPr="008912CF" w:rsidRDefault="004462A0">
      <w:pPr>
        <w:rPr>
          <w:del w:id="7973" w:author="AbbVie2" w:date="2025-05-13T16:39:00Z"/>
          <w:szCs w:val="22"/>
        </w:rPr>
        <w:pPrChange w:id="7974" w:author="AbbVie2" w:date="2025-05-13T16:40:00Z">
          <w:pPr>
            <w:pStyle w:val="EMEANormal"/>
          </w:pPr>
        </w:pPrChange>
      </w:pPr>
    </w:p>
    <w:p w14:paraId="06481600" w14:textId="5F516F50" w:rsidR="004462A0" w:rsidRPr="008912CF" w:rsidRDefault="00615769">
      <w:pPr>
        <w:rPr>
          <w:del w:id="7975" w:author="AbbVie2" w:date="2025-05-13T16:39:00Z"/>
          <w:szCs w:val="22"/>
        </w:rPr>
        <w:pPrChange w:id="7976" w:author="AbbVie2" w:date="2025-05-13T16:40:00Z">
          <w:pPr>
            <w:pStyle w:val="EMEANormal"/>
            <w:keepNext/>
          </w:pPr>
        </w:pPrChange>
      </w:pPr>
      <w:del w:id="7977" w:author="AbbVie2" w:date="2025-05-13T16:39:00Z">
        <w:r w:rsidRPr="008912CF">
          <w:rPr>
            <w:szCs w:val="22"/>
          </w:rPr>
          <w:delText>Qualidade de vida e função física</w:delText>
        </w:r>
      </w:del>
    </w:p>
    <w:p w14:paraId="1680A424" w14:textId="52283F55" w:rsidR="004462A0" w:rsidRPr="008912CF" w:rsidRDefault="004462A0">
      <w:pPr>
        <w:rPr>
          <w:del w:id="7978" w:author="AbbVie2" w:date="2025-05-13T16:39:00Z"/>
        </w:rPr>
        <w:pPrChange w:id="7979" w:author="AbbVie2" w:date="2025-05-13T16:40:00Z">
          <w:pPr>
            <w:pStyle w:val="EMEANormal"/>
            <w:keepNext/>
          </w:pPr>
        </w:pPrChange>
      </w:pPr>
    </w:p>
    <w:p w14:paraId="6025BE03" w14:textId="428C9C6B" w:rsidR="004462A0" w:rsidRPr="008912CF" w:rsidRDefault="00615769">
      <w:pPr>
        <w:rPr>
          <w:del w:id="7980" w:author="AbbVie2" w:date="2025-05-13T16:39:00Z"/>
        </w:rPr>
        <w:pPrChange w:id="7981" w:author="AbbVie2" w:date="2025-05-13T16:40:00Z">
          <w:pPr>
            <w:pStyle w:val="EMEANormal"/>
            <w:keepNext/>
          </w:pPr>
        </w:pPrChange>
      </w:pPr>
      <w:del w:id="7982" w:author="AbbVie2" w:date="2025-05-13T16:39:00Z">
        <w:r w:rsidRPr="008912CF">
          <w:delText>A qualidade de vida relacionada com a saúde e a função física foram avaliadas utilizando os questionários HAQ-S e SF-36. Humira demonstrou uma melhoria estatisticamente significativa na pontuação total do HAQ-S e na Pontuação do Componente Físico (PC</w:delText>
        </w:r>
        <w:r w:rsidR="00965800">
          <w:delText>S</w:delText>
        </w:r>
        <w:r w:rsidRPr="008912CF">
          <w:delText xml:space="preserve">) do SF-36, desde a avaliação inicial até à </w:delText>
        </w:r>
        <w:r w:rsidR="009E086D">
          <w:delText>S</w:delText>
        </w:r>
        <w:r w:rsidRPr="008912CF">
          <w:delText xml:space="preserve">emana 12 comparativamente com placebo. A melhoria na qualidade de vida relacionada com </w:delText>
        </w:r>
        <w:r w:rsidR="009E086D">
          <w:delText xml:space="preserve">a </w:delText>
        </w:r>
        <w:r w:rsidRPr="008912CF">
          <w:delText xml:space="preserve">saúde e função física foi mantida durante </w:delText>
        </w:r>
        <w:r w:rsidR="00965800">
          <w:delText>a</w:delText>
        </w:r>
        <w:r w:rsidRPr="008912CF">
          <w:delText xml:space="preserve"> extensão de fase aberta até à Semana 156.</w:delText>
        </w:r>
      </w:del>
    </w:p>
    <w:p w14:paraId="22F75720" w14:textId="27598233" w:rsidR="004462A0" w:rsidRDefault="004462A0">
      <w:pPr>
        <w:rPr>
          <w:del w:id="7983" w:author="AbbVie2" w:date="2025-05-13T16:39:00Z"/>
          <w:szCs w:val="20"/>
        </w:rPr>
        <w:pPrChange w:id="7984" w:author="AbbVie2" w:date="2025-05-13T16:40:00Z">
          <w:pPr>
            <w:pStyle w:val="BodyText2"/>
            <w:autoSpaceDE/>
            <w:autoSpaceDN/>
            <w:adjustRightInd/>
          </w:pPr>
        </w:pPrChange>
      </w:pPr>
    </w:p>
    <w:p w14:paraId="05D63EE5" w14:textId="07140405" w:rsidR="00E95471" w:rsidRPr="00331062" w:rsidRDefault="00615769">
      <w:pPr>
        <w:rPr>
          <w:del w:id="7985" w:author="AbbVie2" w:date="2025-05-13T16:39:00Z"/>
        </w:rPr>
        <w:pPrChange w:id="7986" w:author="AbbVie2" w:date="2025-05-13T16:40:00Z">
          <w:pPr>
            <w:pStyle w:val="EMEANormal"/>
          </w:pPr>
        </w:pPrChange>
      </w:pPr>
      <w:del w:id="7987" w:author="AbbVie2" w:date="2025-05-13T16:39:00Z">
        <w:r>
          <w:rPr>
            <w:szCs w:val="22"/>
          </w:rPr>
          <w:delText>Estudo</w:delText>
        </w:r>
        <w:r w:rsidR="00CC150F">
          <w:rPr>
            <w:szCs w:val="22"/>
          </w:rPr>
          <w:delText xml:space="preserve"> II</w:delText>
        </w:r>
        <w:r>
          <w:rPr>
            <w:szCs w:val="22"/>
          </w:rPr>
          <w:delText xml:space="preserve"> na </w:delText>
        </w:r>
        <w:r w:rsidR="00090620" w:rsidRPr="003D0FAD">
          <w:rPr>
            <w:szCs w:val="22"/>
          </w:rPr>
          <w:delText>EAx</w:delText>
        </w:r>
        <w:r w:rsidR="00090620">
          <w:rPr>
            <w:szCs w:val="22"/>
          </w:rPr>
          <w:delText>-</w:delText>
        </w:r>
        <w:r w:rsidR="00090620" w:rsidRPr="003D0FAD">
          <w:rPr>
            <w:szCs w:val="22"/>
          </w:rPr>
          <w:delText>n</w:delText>
        </w:r>
        <w:r w:rsidR="00090620">
          <w:rPr>
            <w:szCs w:val="22"/>
          </w:rPr>
          <w:delText>r</w:delText>
        </w:r>
      </w:del>
    </w:p>
    <w:p w14:paraId="0737899F" w14:textId="25EAF30F" w:rsidR="007F0A96" w:rsidRDefault="007F0A96">
      <w:pPr>
        <w:rPr>
          <w:del w:id="7988" w:author="AbbVie2" w:date="2025-05-13T16:39:00Z"/>
          <w:szCs w:val="20"/>
        </w:rPr>
        <w:pPrChange w:id="7989" w:author="AbbVie2" w:date="2025-05-13T16:40:00Z">
          <w:pPr>
            <w:pStyle w:val="BodyText2"/>
            <w:autoSpaceDE/>
            <w:autoSpaceDN/>
            <w:adjustRightInd/>
          </w:pPr>
        </w:pPrChange>
      </w:pPr>
    </w:p>
    <w:p w14:paraId="78A7559A" w14:textId="294ABDAE" w:rsidR="0006032A" w:rsidRDefault="00615769">
      <w:pPr>
        <w:rPr>
          <w:del w:id="7990" w:author="AbbVie2" w:date="2025-05-13T16:39:00Z"/>
          <w:szCs w:val="22"/>
        </w:rPr>
        <w:pPrChange w:id="7991" w:author="AbbVie2" w:date="2025-05-13T16:40:00Z">
          <w:pPr>
            <w:pStyle w:val="BodyText2"/>
            <w:autoSpaceDE/>
            <w:autoSpaceDN/>
            <w:adjustRightInd/>
          </w:pPr>
        </w:pPrChange>
      </w:pPr>
      <w:del w:id="7992" w:author="AbbVie2" w:date="2025-05-13T16:39:00Z">
        <w:r w:rsidRPr="002A3BA6">
          <w:rPr>
            <w:szCs w:val="20"/>
          </w:rPr>
          <w:delText xml:space="preserve">673 doentes com </w:delText>
        </w:r>
        <w:r w:rsidR="00090620" w:rsidRPr="003D0FAD">
          <w:rPr>
            <w:szCs w:val="22"/>
          </w:rPr>
          <w:delText>EAx</w:delText>
        </w:r>
        <w:r w:rsidR="00090620">
          <w:rPr>
            <w:szCs w:val="22"/>
          </w:rPr>
          <w:delText>-</w:delText>
        </w:r>
        <w:r w:rsidR="00090620" w:rsidRPr="003D0FAD">
          <w:rPr>
            <w:szCs w:val="22"/>
          </w:rPr>
          <w:delText>n</w:delText>
        </w:r>
        <w:r w:rsidR="00090620">
          <w:rPr>
            <w:szCs w:val="22"/>
          </w:rPr>
          <w:delText>r</w:delText>
        </w:r>
        <w:r w:rsidRPr="002A3BA6">
          <w:rPr>
            <w:szCs w:val="22"/>
          </w:rPr>
          <w:delText xml:space="preserve"> ativa (</w:delText>
        </w:r>
        <w:r w:rsidR="009B1F68">
          <w:delText xml:space="preserve">o valor médio </w:delText>
        </w:r>
        <w:r w:rsidR="00090620">
          <w:delText>inicial</w:delText>
        </w:r>
        <w:r w:rsidR="009B1F68" w:rsidRPr="009B1F68">
          <w:delText xml:space="preserve"> da atividade da doença </w:delText>
        </w:r>
        <w:r w:rsidR="00421B10" w:rsidRPr="008912CF">
          <w:rPr>
            <w:rFonts w:ascii="Symbol" w:hAnsi="Symbol"/>
          </w:rPr>
          <w:sym w:font="Symbol" w:char="F05B"/>
        </w:r>
        <w:r w:rsidR="00421B10" w:rsidRPr="008912CF">
          <w:delText>BASDAI</w:delText>
        </w:r>
        <w:r w:rsidR="00421B10" w:rsidRPr="008912CF">
          <w:rPr>
            <w:rFonts w:ascii="Symbol" w:hAnsi="Symbol"/>
          </w:rPr>
          <w:sym w:font="Symbol" w:char="F05D"/>
        </w:r>
        <w:r w:rsidR="00421B10" w:rsidRPr="008912CF">
          <w:delText xml:space="preserve"> </w:delText>
        </w:r>
        <w:r w:rsidR="00965800">
          <w:delText>era de</w:delText>
        </w:r>
        <w:r w:rsidR="00421B10" w:rsidRPr="008912CF">
          <w:delText xml:space="preserve"> </w:delText>
        </w:r>
        <w:r w:rsidR="00421B10">
          <w:delText xml:space="preserve">7,0) </w:delText>
        </w:r>
        <w:r w:rsidR="00421B10" w:rsidRPr="008912CF">
          <w:delText>que tiveram uma resposta inadequada</w:delText>
        </w:r>
        <w:r w:rsidR="00421B10">
          <w:delText xml:space="preserve"> a </w:delText>
        </w:r>
        <w:r w:rsidR="00421B10" w:rsidRPr="00F8563F">
          <w:rPr>
            <w:rFonts w:ascii="Symbol" w:hAnsi="Symbol"/>
            <w:szCs w:val="22"/>
          </w:rPr>
          <w:sym w:font="Symbol" w:char="F0B3"/>
        </w:r>
        <w:r w:rsidR="00421B10" w:rsidRPr="002A3BA6">
          <w:rPr>
            <w:szCs w:val="22"/>
          </w:rPr>
          <w:delText> 2</w:delText>
        </w:r>
        <w:r w:rsidR="00421B10">
          <w:rPr>
            <w:szCs w:val="22"/>
          </w:rPr>
          <w:delText xml:space="preserve"> </w:delText>
        </w:r>
        <w:r w:rsidR="00421B10" w:rsidRPr="008912CF">
          <w:delText>AINEs, ou uma intolerância o</w:delText>
        </w:r>
        <w:r w:rsidR="00421B10">
          <w:delText xml:space="preserve">u uma contraindicação aos AINEs, </w:delText>
        </w:r>
        <w:r w:rsidR="009B1F68">
          <w:delText xml:space="preserve">foram incluídos </w:delText>
        </w:r>
        <w:r w:rsidR="00421B10" w:rsidRPr="008912CF">
          <w:delText>n</w:delText>
        </w:r>
        <w:r w:rsidR="007440D7">
          <w:rPr>
            <w:szCs w:val="22"/>
          </w:rPr>
          <w:delText>o período</w:delText>
        </w:r>
        <w:r w:rsidR="00421B10">
          <w:delText xml:space="preserve"> de fase aberta</w:delText>
        </w:r>
        <w:r>
          <w:delText xml:space="preserve"> do Estudo </w:delText>
        </w:r>
        <w:r w:rsidR="00CC150F">
          <w:delText xml:space="preserve">II </w:delText>
        </w:r>
        <w:r>
          <w:delText xml:space="preserve">na </w:delText>
        </w:r>
        <w:r w:rsidRPr="00331062">
          <w:rPr>
            <w:szCs w:val="22"/>
          </w:rPr>
          <w:delText>EAx</w:delText>
        </w:r>
        <w:r w:rsidR="00090620">
          <w:rPr>
            <w:szCs w:val="22"/>
          </w:rPr>
          <w:delText>-nr</w:delText>
        </w:r>
        <w:r>
          <w:rPr>
            <w:szCs w:val="22"/>
          </w:rPr>
          <w:delText xml:space="preserve">, </w:delText>
        </w:r>
        <w:r w:rsidR="00965800">
          <w:rPr>
            <w:szCs w:val="22"/>
          </w:rPr>
          <w:delText xml:space="preserve">durante o qual </w:delText>
        </w:r>
        <w:r>
          <w:rPr>
            <w:szCs w:val="22"/>
          </w:rPr>
          <w:delText xml:space="preserve">receberam Humira 40 mg em semanas alternadas durante 28 semanas. Estes doentes apresentaram também uma evidência objetiva de inflamação nas articulações </w:delText>
        </w:r>
        <w:r w:rsidRPr="008912CF">
          <w:rPr>
            <w:szCs w:val="22"/>
          </w:rPr>
          <w:delText xml:space="preserve">sacroilíacas </w:delText>
        </w:r>
        <w:r w:rsidR="009B1F68">
          <w:rPr>
            <w:szCs w:val="22"/>
          </w:rPr>
          <w:delText>ou</w:delText>
        </w:r>
        <w:r w:rsidRPr="008912CF">
          <w:rPr>
            <w:szCs w:val="22"/>
          </w:rPr>
          <w:delText xml:space="preserve"> da coluna vertebral</w:delText>
        </w:r>
        <w:r w:rsidR="009A6D22">
          <w:rPr>
            <w:szCs w:val="22"/>
          </w:rPr>
          <w:delText xml:space="preserve"> por</w:delText>
        </w:r>
        <w:r w:rsidR="009A6D22" w:rsidRPr="008912CF">
          <w:rPr>
            <w:szCs w:val="22"/>
          </w:rPr>
          <w:delText xml:space="preserve"> Ressonância Magnética (</w:delText>
        </w:r>
        <w:r w:rsidR="009A6D22">
          <w:rPr>
            <w:szCs w:val="22"/>
          </w:rPr>
          <w:delText>RM</w:delText>
        </w:r>
        <w:r w:rsidR="007440D7">
          <w:rPr>
            <w:szCs w:val="22"/>
          </w:rPr>
          <w:delText>N</w:delText>
        </w:r>
        <w:r w:rsidR="009A6D22">
          <w:rPr>
            <w:szCs w:val="22"/>
          </w:rPr>
          <w:delText>) ou</w:delText>
        </w:r>
        <w:r w:rsidR="009A6D22" w:rsidRPr="008912CF">
          <w:rPr>
            <w:szCs w:val="22"/>
          </w:rPr>
          <w:delText xml:space="preserve"> PCR</w:delText>
        </w:r>
        <w:r w:rsidR="00864A2F">
          <w:rPr>
            <w:szCs w:val="22"/>
          </w:rPr>
          <w:delText>-as</w:delText>
        </w:r>
        <w:r w:rsidR="009A6D22" w:rsidRPr="008912CF">
          <w:rPr>
            <w:szCs w:val="22"/>
          </w:rPr>
          <w:delText xml:space="preserve"> elevada</w:delText>
        </w:r>
        <w:r w:rsidR="009A6D22">
          <w:rPr>
            <w:szCs w:val="22"/>
          </w:rPr>
          <w:delText xml:space="preserve">. Os doentes que </w:delText>
        </w:r>
        <w:r w:rsidR="0031096F">
          <w:rPr>
            <w:szCs w:val="22"/>
          </w:rPr>
          <w:delText xml:space="preserve">alcançaram uma remissão sustentada durante pelo menos 12 semanas (N=305) (ASDAS &lt;1,3 </w:delText>
        </w:r>
        <w:r w:rsidR="007440D7">
          <w:rPr>
            <w:szCs w:val="22"/>
          </w:rPr>
          <w:delText>às</w:delText>
        </w:r>
        <w:r w:rsidR="0031096F">
          <w:rPr>
            <w:szCs w:val="22"/>
          </w:rPr>
          <w:delText xml:space="preserve"> Semanas 16, 20, 24 e 28) durante o período de fase aberta foram então </w:delText>
        </w:r>
        <w:r w:rsidR="007440D7">
          <w:rPr>
            <w:szCs w:val="22"/>
          </w:rPr>
          <w:delText>aleatorizados</w:delText>
        </w:r>
        <w:r w:rsidR="0031096F">
          <w:rPr>
            <w:szCs w:val="22"/>
          </w:rPr>
          <w:delText xml:space="preserve"> </w:delText>
        </w:r>
        <w:r w:rsidR="00A05EE3">
          <w:rPr>
            <w:szCs w:val="22"/>
          </w:rPr>
          <w:delText xml:space="preserve">para continuarem o tratamento com Humira 40 mg em semanas alternadas (N=152) ou </w:delText>
        </w:r>
        <w:r w:rsidR="007440D7">
          <w:rPr>
            <w:szCs w:val="22"/>
          </w:rPr>
          <w:delText xml:space="preserve">receberem </w:delText>
        </w:r>
        <w:r w:rsidR="00A05EE3">
          <w:rPr>
            <w:szCs w:val="22"/>
          </w:rPr>
          <w:delText xml:space="preserve">placebo (N=153) durante </w:delText>
        </w:r>
        <w:r w:rsidR="007440D7">
          <w:rPr>
            <w:szCs w:val="22"/>
          </w:rPr>
          <w:delText xml:space="preserve">um período adicional de </w:delText>
        </w:r>
        <w:r w:rsidR="00A05EE3">
          <w:rPr>
            <w:szCs w:val="22"/>
          </w:rPr>
          <w:delText xml:space="preserve">40 semanas </w:delText>
        </w:r>
        <w:r w:rsidR="007440D7">
          <w:rPr>
            <w:szCs w:val="22"/>
          </w:rPr>
          <w:delText xml:space="preserve">em dupla-ocultação controlado com placebo, </w:delText>
        </w:r>
        <w:r w:rsidR="00A05EE3">
          <w:rPr>
            <w:szCs w:val="22"/>
          </w:rPr>
          <w:delText xml:space="preserve">(duração total do estudo 68 semanas). Os indivíduos que </w:delText>
        </w:r>
        <w:r w:rsidR="004D7257">
          <w:rPr>
            <w:szCs w:val="22"/>
          </w:rPr>
          <w:delText>tiveram um agravamento durante o período em dupla-ocultação receberam Humira 40 mg em semanas alternadas, como terapêutica de emergência, durante pe</w:delText>
        </w:r>
        <w:r w:rsidR="004F7F3A">
          <w:rPr>
            <w:szCs w:val="22"/>
          </w:rPr>
          <w:delText>l</w:delText>
        </w:r>
        <w:r w:rsidR="004D7257">
          <w:rPr>
            <w:szCs w:val="22"/>
          </w:rPr>
          <w:delText>o menos 12 semanas.</w:delText>
        </w:r>
        <w:r w:rsidR="00A05EE3">
          <w:rPr>
            <w:szCs w:val="22"/>
          </w:rPr>
          <w:delText xml:space="preserve"> </w:delText>
        </w:r>
      </w:del>
    </w:p>
    <w:p w14:paraId="468BE1AB" w14:textId="335B85A4" w:rsidR="004D7257" w:rsidRDefault="004D7257">
      <w:pPr>
        <w:rPr>
          <w:del w:id="7993" w:author="AbbVie2" w:date="2025-05-13T16:39:00Z"/>
          <w:szCs w:val="22"/>
        </w:rPr>
        <w:pPrChange w:id="7994" w:author="AbbVie2" w:date="2025-05-13T16:40:00Z">
          <w:pPr>
            <w:pStyle w:val="BodyText2"/>
            <w:autoSpaceDE/>
            <w:autoSpaceDN/>
            <w:adjustRightInd/>
          </w:pPr>
        </w:pPrChange>
      </w:pPr>
    </w:p>
    <w:p w14:paraId="7F5D262C" w14:textId="366D08D3" w:rsidR="00421B10" w:rsidRDefault="00615769">
      <w:pPr>
        <w:rPr>
          <w:del w:id="7995" w:author="AbbVie2" w:date="2025-05-13T16:39:00Z"/>
        </w:rPr>
        <w:pPrChange w:id="7996" w:author="AbbVie2" w:date="2025-05-13T16:40:00Z">
          <w:pPr>
            <w:pStyle w:val="BodyText2"/>
            <w:autoSpaceDE/>
            <w:autoSpaceDN/>
            <w:adjustRightInd/>
          </w:pPr>
        </w:pPrChange>
      </w:pPr>
      <w:del w:id="7997" w:author="AbbVie2" w:date="2025-05-13T16:39:00Z">
        <w:r>
          <w:rPr>
            <w:szCs w:val="22"/>
          </w:rPr>
          <w:delText>O objetivo primário de eficácia foi a proporção de doentes sem agravamento à Semana 6</w:delText>
        </w:r>
        <w:r w:rsidR="007440D7">
          <w:rPr>
            <w:szCs w:val="22"/>
          </w:rPr>
          <w:delText>8</w:delText>
        </w:r>
        <w:r>
          <w:rPr>
            <w:szCs w:val="22"/>
          </w:rPr>
          <w:delText xml:space="preserve"> do estudo. O agravamento foi definido como ASDAS </w:delText>
        </w:r>
        <w:r>
          <w:delText xml:space="preserve">≥ 2,1 em duas visitas consecutivas com quatro semanas de intervalo. </w:delText>
        </w:r>
        <w:r w:rsidR="00FD6D0F">
          <w:delText xml:space="preserve">Uma maior proporção de doentes tratados com Humira não </w:delText>
        </w:r>
        <w:r w:rsidR="007440D7">
          <w:delText>apresent</w:delText>
        </w:r>
        <w:r w:rsidR="008C04F1">
          <w:delText>ou</w:delText>
        </w:r>
        <w:r w:rsidR="007440D7">
          <w:delText xml:space="preserve"> </w:delText>
        </w:r>
        <w:r w:rsidR="00FD6D0F">
          <w:delText>agravamento da doença durante o período em dupla-ocultação, quando comparados com os doentes que receberam placebo (70,4% vs. 47,1%, p&lt;0,001) (Figura 1).</w:delText>
        </w:r>
      </w:del>
    </w:p>
    <w:p w14:paraId="338E6A02" w14:textId="0FF859C0" w:rsidR="00FD6D0F" w:rsidRDefault="00FD6D0F">
      <w:pPr>
        <w:rPr>
          <w:del w:id="7998" w:author="AbbVie2" w:date="2025-05-13T16:39:00Z"/>
        </w:rPr>
        <w:pPrChange w:id="7999" w:author="AbbVie2" w:date="2025-05-13T16:40:00Z">
          <w:pPr>
            <w:pStyle w:val="BodyText2"/>
            <w:autoSpaceDE/>
            <w:autoSpaceDN/>
            <w:adjustRightInd/>
          </w:pPr>
        </w:pPrChange>
      </w:pPr>
    </w:p>
    <w:p w14:paraId="7985AAA9" w14:textId="70B097A2" w:rsidR="00FD6D0F" w:rsidRPr="00A44E27" w:rsidRDefault="00615769">
      <w:pPr>
        <w:rPr>
          <w:del w:id="8000" w:author="AbbVie2" w:date="2025-05-13T16:39:00Z"/>
          <w:b/>
          <w:sz w:val="22"/>
          <w:szCs w:val="22"/>
        </w:rPr>
        <w:pPrChange w:id="8001" w:author="AbbVie2" w:date="2025-05-13T16:40:00Z">
          <w:pPr>
            <w:keepNext/>
            <w:tabs>
              <w:tab w:val="left" w:pos="562"/>
            </w:tabs>
            <w:suppressAutoHyphens/>
            <w:jc w:val="center"/>
          </w:pPr>
        </w:pPrChange>
      </w:pPr>
      <w:del w:id="8002" w:author="AbbVie2" w:date="2025-05-13T16:39:00Z">
        <w:r w:rsidRPr="00A44E27">
          <w:rPr>
            <w:rFonts w:eastAsia="Times New Roman"/>
            <w:b/>
            <w:sz w:val="22"/>
            <w:szCs w:val="20"/>
          </w:rPr>
          <w:delText xml:space="preserve">Figura 1: </w:delText>
        </w:r>
        <w:r w:rsidR="00CF3A74" w:rsidRPr="004D010F">
          <w:rPr>
            <w:b/>
            <w:sz w:val="22"/>
            <w:szCs w:val="22"/>
          </w:rPr>
          <w:delText xml:space="preserve">Curvas de Kaplan-Meier resumindo o Tempo </w:delText>
        </w:r>
        <w:r w:rsidR="005C6FE0">
          <w:rPr>
            <w:b/>
            <w:sz w:val="22"/>
            <w:szCs w:val="22"/>
          </w:rPr>
          <w:delText>até</w:delText>
        </w:r>
        <w:r w:rsidR="00CF3A74" w:rsidRPr="004D010F">
          <w:rPr>
            <w:b/>
            <w:sz w:val="22"/>
            <w:szCs w:val="22"/>
          </w:rPr>
          <w:delText xml:space="preserve"> </w:delText>
        </w:r>
        <w:r w:rsidR="00090620">
          <w:rPr>
            <w:b/>
            <w:sz w:val="22"/>
            <w:szCs w:val="22"/>
          </w:rPr>
          <w:delText>recidiva</w:delText>
        </w:r>
        <w:r w:rsidR="00DC593C">
          <w:rPr>
            <w:b/>
            <w:sz w:val="22"/>
            <w:szCs w:val="22"/>
          </w:rPr>
          <w:delText xml:space="preserve"> </w:delText>
        </w:r>
        <w:r w:rsidR="00CF3A74">
          <w:rPr>
            <w:b/>
            <w:sz w:val="22"/>
            <w:szCs w:val="22"/>
          </w:rPr>
          <w:delText>no Estudo</w:delText>
        </w:r>
        <w:r w:rsidR="00CC150F">
          <w:rPr>
            <w:b/>
            <w:sz w:val="22"/>
            <w:szCs w:val="22"/>
          </w:rPr>
          <w:delText xml:space="preserve"> II</w:delText>
        </w:r>
        <w:r w:rsidR="00CF3A74">
          <w:rPr>
            <w:b/>
            <w:sz w:val="22"/>
            <w:szCs w:val="22"/>
          </w:rPr>
          <w:delText xml:space="preserve"> </w:delText>
        </w:r>
        <w:r w:rsidR="00CF3A74" w:rsidRPr="00A44E27">
          <w:rPr>
            <w:b/>
            <w:sz w:val="22"/>
            <w:szCs w:val="22"/>
          </w:rPr>
          <w:delText>na EAx</w:delText>
        </w:r>
        <w:r w:rsidR="00C97EA8">
          <w:rPr>
            <w:b/>
            <w:sz w:val="22"/>
            <w:szCs w:val="22"/>
          </w:rPr>
          <w:delText>-nr</w:delText>
        </w:r>
      </w:del>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362"/>
      </w:tblGrid>
      <w:tr w:rsidR="00A7162A" w14:paraId="395C53DA" w14:textId="7853A264" w:rsidTr="00DF5632">
        <w:trPr>
          <w:cantSplit/>
          <w:trHeight w:val="1134"/>
          <w:del w:id="8003" w:author="AbbVie2" w:date="2025-05-13T16:39:00Z"/>
        </w:trPr>
        <w:tc>
          <w:tcPr>
            <w:tcW w:w="709" w:type="dxa"/>
            <w:textDirection w:val="btLr"/>
            <w:vAlign w:val="center"/>
          </w:tcPr>
          <w:p w14:paraId="17F110BB" w14:textId="44D70BDC" w:rsidR="00FD6D0F" w:rsidRPr="00A44E27" w:rsidRDefault="00615769">
            <w:pPr>
              <w:rPr>
                <w:del w:id="8004" w:author="AbbVie2" w:date="2025-05-13T16:39:00Z"/>
                <w:rFonts w:eastAsia="Times New Roman"/>
                <w:sz w:val="20"/>
                <w:lang w:val="pt-PT" w:eastAsia="en-GB"/>
              </w:rPr>
              <w:pPrChange w:id="8005" w:author="AbbVie2" w:date="2025-05-13T16:40:00Z">
                <w:pPr>
                  <w:ind w:left="113" w:right="113"/>
                  <w:jc w:val="center"/>
                </w:pPr>
              </w:pPrChange>
            </w:pPr>
            <w:del w:id="8006" w:author="AbbVie2" w:date="2025-05-13T16:39:00Z">
              <w:r w:rsidRPr="00CD6D57">
                <w:rPr>
                  <w:rFonts w:eastAsia="Times New Roman"/>
                  <w:sz w:val="20"/>
                  <w:lang w:val="pt-PT" w:eastAsia="en-GB"/>
                </w:rPr>
                <w:delText xml:space="preserve">                   </w:delText>
              </w:r>
              <w:r w:rsidR="00DC593C" w:rsidRPr="00CD6D57">
                <w:rPr>
                  <w:rFonts w:eastAsia="Times New Roman"/>
                  <w:sz w:val="20"/>
                  <w:lang w:val="pt-PT" w:eastAsia="en-GB"/>
                </w:rPr>
                <w:delText xml:space="preserve">PROBABILIDADE DE </w:delText>
              </w:r>
              <w:r w:rsidR="00DC593C">
                <w:rPr>
                  <w:rFonts w:eastAsia="Times New Roman"/>
                  <w:sz w:val="20"/>
                  <w:lang w:val="pt-PT" w:eastAsia="en-GB"/>
                </w:rPr>
                <w:delText>NÃO TER AGRAVAMENTO</w:delText>
              </w:r>
            </w:del>
          </w:p>
        </w:tc>
        <w:tc>
          <w:tcPr>
            <w:tcW w:w="8362" w:type="dxa"/>
          </w:tcPr>
          <w:p w14:paraId="161B88D0" w14:textId="2D0D7524" w:rsidR="00FD6D0F" w:rsidRPr="00AD4F25" w:rsidRDefault="00615769" w:rsidP="00412FC8">
            <w:pPr>
              <w:rPr>
                <w:del w:id="8007" w:author="AbbVie2" w:date="2025-05-13T16:39:00Z"/>
                <w:rFonts w:eastAsia="Times New Roman"/>
                <w:sz w:val="20"/>
                <w:lang w:val="pt-PT" w:eastAsia="en-GB"/>
                <w:rPrChange w:id="8008" w:author="AbbVie2" w:date="2025-05-14T10:17:00Z">
                  <w:rPr>
                    <w:del w:id="8009" w:author="AbbVie2" w:date="2025-05-13T16:39:00Z"/>
                    <w:rFonts w:eastAsia="Times New Roman"/>
                    <w:sz w:val="20"/>
                    <w:lang w:eastAsia="en-GB"/>
                  </w:rPr>
                </w:rPrChange>
              </w:rPr>
            </w:pPr>
            <w:del w:id="8010" w:author="AbbVie2" w:date="2025-05-13T16:39:00Z">
              <w:r w:rsidRPr="00FD6D0F">
                <w:rPr>
                  <w:rFonts w:eastAsia="Times New Roman"/>
                  <w:noProof/>
                  <w:sz w:val="20"/>
                  <w:lang w:eastAsia="en-GB"/>
                </w:rPr>
                <w:drawing>
                  <wp:inline distT="0" distB="0" distL="0" distR="0" wp14:anchorId="6437FC0D" wp14:editId="7ED7D997">
                    <wp:extent cx="5616000" cy="3006000"/>
                    <wp:effectExtent l="0" t="0" r="3810" b="444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m13375_flare_km_db_f.14.2__1.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16000" cy="3006000"/>
                            </a:xfrm>
                            <a:prstGeom prst="rect">
                              <a:avLst/>
                            </a:prstGeom>
                          </pic:spPr>
                        </pic:pic>
                      </a:graphicData>
                    </a:graphic>
                  </wp:inline>
                </w:drawing>
              </w:r>
            </w:del>
          </w:p>
        </w:tc>
      </w:tr>
      <w:tr w:rsidR="00A7162A" w14:paraId="45B20178" w14:textId="7360F2BE" w:rsidTr="00DF5632">
        <w:trPr>
          <w:del w:id="8011" w:author="AbbVie2" w:date="2025-05-13T16:39:00Z"/>
        </w:trPr>
        <w:tc>
          <w:tcPr>
            <w:tcW w:w="709" w:type="dxa"/>
          </w:tcPr>
          <w:p w14:paraId="2609A631" w14:textId="3B89DEFF" w:rsidR="00FD6D0F" w:rsidRPr="00AD4F25" w:rsidRDefault="00FD6D0F" w:rsidP="00412FC8">
            <w:pPr>
              <w:rPr>
                <w:del w:id="8012" w:author="AbbVie2" w:date="2025-05-13T16:39:00Z"/>
                <w:rFonts w:eastAsia="Times New Roman"/>
                <w:sz w:val="20"/>
                <w:lang w:val="pt-PT" w:eastAsia="en-GB"/>
                <w:rPrChange w:id="8013" w:author="AbbVie2" w:date="2025-05-14T10:17:00Z">
                  <w:rPr>
                    <w:del w:id="8014" w:author="AbbVie2" w:date="2025-05-13T16:39:00Z"/>
                    <w:rFonts w:eastAsia="Times New Roman"/>
                    <w:sz w:val="20"/>
                    <w:lang w:eastAsia="en-GB"/>
                  </w:rPr>
                </w:rPrChange>
              </w:rPr>
            </w:pPr>
          </w:p>
        </w:tc>
        <w:tc>
          <w:tcPr>
            <w:tcW w:w="8362" w:type="dxa"/>
            <w:vAlign w:val="center"/>
          </w:tcPr>
          <w:p w14:paraId="5B397107" w14:textId="23684D0F" w:rsidR="00FD6D0F" w:rsidRPr="00AD4F25" w:rsidRDefault="00615769">
            <w:pPr>
              <w:rPr>
                <w:del w:id="8015" w:author="AbbVie2" w:date="2025-05-13T16:39:00Z"/>
                <w:rFonts w:eastAsia="Times New Roman"/>
                <w:sz w:val="20"/>
                <w:lang w:val="pt-PT" w:eastAsia="en-GB"/>
                <w:rPrChange w:id="8016" w:author="AbbVie2" w:date="2025-05-14T10:17:00Z">
                  <w:rPr>
                    <w:del w:id="8017" w:author="AbbVie2" w:date="2025-05-13T16:39:00Z"/>
                    <w:rFonts w:eastAsia="Times New Roman"/>
                    <w:sz w:val="20"/>
                    <w:lang w:eastAsia="en-GB"/>
                  </w:rPr>
                </w:rPrChange>
              </w:rPr>
              <w:pPrChange w:id="8018" w:author="AbbVie2" w:date="2025-05-13T16:40:00Z">
                <w:pPr>
                  <w:jc w:val="center"/>
                </w:pPr>
              </w:pPrChange>
            </w:pPr>
            <w:del w:id="8019" w:author="AbbVie2" w:date="2025-05-13T16:39:00Z">
              <w:r w:rsidRPr="00BE62F9">
                <w:rPr>
                  <w:rFonts w:eastAsia="Times New Roman"/>
                  <w:sz w:val="20"/>
                  <w:lang w:val="pt-PT" w:eastAsia="en-GB"/>
                </w:rPr>
                <w:delText>T</w:delText>
              </w:r>
              <w:r w:rsidR="00DC593C" w:rsidRPr="00BE62F9">
                <w:rPr>
                  <w:rFonts w:eastAsia="Times New Roman"/>
                  <w:sz w:val="20"/>
                  <w:lang w:val="pt-PT" w:eastAsia="en-GB"/>
                </w:rPr>
                <w:delText>EMPO</w:delText>
              </w:r>
              <w:r w:rsidRPr="00BE62F9">
                <w:rPr>
                  <w:rFonts w:eastAsia="Times New Roman"/>
                  <w:sz w:val="20"/>
                  <w:lang w:val="pt-PT" w:eastAsia="en-GB"/>
                </w:rPr>
                <w:delText xml:space="preserve"> (</w:delText>
              </w:r>
              <w:r w:rsidR="00DC593C" w:rsidRPr="00BE62F9">
                <w:rPr>
                  <w:rFonts w:eastAsia="Times New Roman"/>
                  <w:sz w:val="20"/>
                  <w:lang w:val="pt-PT" w:eastAsia="en-GB"/>
                </w:rPr>
                <w:delText>SEMANAS</w:delText>
              </w:r>
              <w:r w:rsidRPr="00BE62F9">
                <w:rPr>
                  <w:rFonts w:eastAsia="Times New Roman"/>
                  <w:sz w:val="20"/>
                  <w:lang w:val="pt-PT" w:eastAsia="en-GB"/>
                </w:rPr>
                <w:delText>)</w:delText>
              </w:r>
            </w:del>
          </w:p>
        </w:tc>
      </w:tr>
      <w:tr w:rsidR="00A7162A" w14:paraId="6B0FC243" w14:textId="00620FFB" w:rsidTr="00DF5632">
        <w:trPr>
          <w:del w:id="8020" w:author="AbbVie2" w:date="2025-05-13T16:39:00Z"/>
        </w:trPr>
        <w:tc>
          <w:tcPr>
            <w:tcW w:w="9071" w:type="dxa"/>
            <w:gridSpan w:val="2"/>
          </w:tcPr>
          <w:p w14:paraId="58EF2FF5" w14:textId="0D1BD90A" w:rsidR="00FD6D0F" w:rsidRPr="00AD4F25" w:rsidRDefault="00615769" w:rsidP="00412FC8">
            <w:pPr>
              <w:rPr>
                <w:del w:id="8021" w:author="AbbVie2" w:date="2025-05-13T16:39:00Z"/>
                <w:rFonts w:eastAsia="Times New Roman"/>
                <w:sz w:val="20"/>
                <w:lang w:val="pt-PT" w:eastAsia="en-GB"/>
                <w:rPrChange w:id="8022" w:author="AbbVie2" w:date="2025-05-14T10:17:00Z">
                  <w:rPr>
                    <w:del w:id="8023" w:author="AbbVie2" w:date="2025-05-13T16:39:00Z"/>
                    <w:rFonts w:eastAsia="Times New Roman"/>
                    <w:sz w:val="20"/>
                    <w:lang w:eastAsia="en-GB"/>
                  </w:rPr>
                </w:rPrChange>
              </w:rPr>
            </w:pPr>
            <w:del w:id="8024" w:author="AbbVie2" w:date="2025-05-13T16:39:00Z">
              <w:r w:rsidRPr="00BE62F9">
                <w:rPr>
                  <w:rFonts w:eastAsia="Times New Roman"/>
                  <w:sz w:val="20"/>
                  <w:lang w:val="pt-PT" w:eastAsia="en-GB"/>
                </w:rPr>
                <w:delText xml:space="preserve">                                  </w:delText>
              </w:r>
              <w:r w:rsidR="00DC593C" w:rsidRPr="00BE62F9">
                <w:rPr>
                  <w:rFonts w:eastAsia="Times New Roman"/>
                  <w:sz w:val="20"/>
                  <w:lang w:val="pt-PT" w:eastAsia="en-GB"/>
                </w:rPr>
                <w:delText>Tr</w:delText>
              </w:r>
              <w:r w:rsidRPr="00BE62F9">
                <w:rPr>
                  <w:rFonts w:eastAsia="Times New Roman"/>
                  <w:sz w:val="20"/>
                  <w:lang w:val="pt-PT" w:eastAsia="en-GB"/>
                </w:rPr>
                <w:delText>at</w:delText>
              </w:r>
              <w:r w:rsidR="00DC593C" w:rsidRPr="00BE62F9">
                <w:rPr>
                  <w:rFonts w:eastAsia="Times New Roman"/>
                  <w:sz w:val="20"/>
                  <w:lang w:val="pt-PT" w:eastAsia="en-GB"/>
                </w:rPr>
                <w:delText>a</w:delText>
              </w:r>
              <w:r w:rsidRPr="00BE62F9">
                <w:rPr>
                  <w:rFonts w:eastAsia="Times New Roman"/>
                  <w:sz w:val="20"/>
                  <w:lang w:val="pt-PT" w:eastAsia="en-GB"/>
                </w:rPr>
                <w:delText>ment</w:delText>
              </w:r>
              <w:r w:rsidR="00DC593C" w:rsidRPr="00BE62F9">
                <w:rPr>
                  <w:rFonts w:eastAsia="Times New Roman"/>
                  <w:sz w:val="20"/>
                  <w:lang w:val="pt-PT" w:eastAsia="en-GB"/>
                </w:rPr>
                <w:delText>o</w:delText>
              </w:r>
              <w:r w:rsidRPr="00BE62F9">
                <w:rPr>
                  <w:rFonts w:eastAsia="Times New Roman"/>
                  <w:sz w:val="20"/>
                  <w:lang w:val="pt-PT" w:eastAsia="en-GB"/>
                </w:rPr>
                <w:delText xml:space="preserve">      </w:delText>
              </w:r>
              <w:r w:rsidRPr="00BE62F9">
                <w:rPr>
                  <w:rFonts w:eastAsia="Times New Roman"/>
                  <w:noProof/>
                  <w:sz w:val="20"/>
                  <w:lang w:val="pt-PT" w:eastAsia="en-GB"/>
                </w:rPr>
                <w:delText xml:space="preserve"> </w:delText>
              </w:r>
              <w:r w:rsidRPr="00FD6D0F">
                <w:rPr>
                  <w:rFonts w:eastAsia="Times New Roman"/>
                  <w:noProof/>
                  <w:sz w:val="20"/>
                  <w:lang w:eastAsia="en-GB"/>
                </w:rPr>
                <mc:AlternateContent>
                  <mc:Choice Requires="wps">
                    <w:drawing>
                      <wp:inline distT="0" distB="0" distL="0" distR="0" wp14:anchorId="2F68C8D5" wp14:editId="61ED66FF">
                        <wp:extent cx="381000" cy="0"/>
                        <wp:effectExtent l="0" t="19050" r="0" b="19050"/>
                        <wp:docPr id="17" name="Straight Connector 17"/>
                        <wp:cNvGraphicFramePr/>
                        <a:graphic xmlns:a="http://schemas.openxmlformats.org/drawingml/2006/main">
                          <a:graphicData uri="http://schemas.microsoft.com/office/word/2010/wordprocessingShape">
                            <wps:wsp>
                              <wps:cNvCnPr/>
                              <wps:spPr>
                                <a:xfrm>
                                  <a:off x="0" y="0"/>
                                  <a:ext cx="381000" cy="0"/>
                                </a:xfrm>
                                <a:prstGeom prst="line">
                                  <a:avLst/>
                                </a:prstGeom>
                                <a:noFill/>
                                <a:ln w="28575">
                                  <a:solidFill>
                                    <a:sysClr val="windowText" lastClr="000000">
                                      <a:lumMod val="65000"/>
                                      <a:lumOff val="35000"/>
                                    </a:sysClr>
                                  </a:solidFill>
                                  <a:prstDash val="sysDot"/>
                                </a:ln>
                                <a:effectLst/>
                              </wps:spPr>
                              <wps:bodyPr/>
                            </wps:wsp>
                          </a:graphicData>
                        </a:graphic>
                      </wp:inline>
                    </w:drawing>
                  </mc:Choice>
                  <mc:Fallback>
                    <w:pict>
                      <v:line id="Straight Connector 17" o:spid="_x0000_i1029" style="mso-left-percent:-10001;mso-position-horizontal-relative:char;mso-position-vertical-relative:line;mso-top-percent:-10001;mso-wrap-style:square;visibility:visible" from="0,0" to="30pt,0" strokecolor="#595959" strokeweight="2.25pt">
                        <v:stroke dashstyle="1 1"/>
                        <w10:anchorlock/>
                      </v:line>
                    </w:pict>
                  </mc:Fallback>
                </mc:AlternateContent>
              </w:r>
              <w:r w:rsidRPr="00BE62F9">
                <w:rPr>
                  <w:rFonts w:eastAsia="Times New Roman"/>
                  <w:noProof/>
                  <w:sz w:val="20"/>
                  <w:lang w:val="pt-PT" w:eastAsia="en-GB"/>
                </w:rPr>
                <w:delText xml:space="preserve"> </w:delText>
              </w:r>
              <w:r w:rsidRPr="00BE62F9">
                <w:rPr>
                  <w:rFonts w:eastAsia="Times New Roman"/>
                  <w:sz w:val="20"/>
                  <w:lang w:val="pt-PT" w:eastAsia="en-GB"/>
                </w:rPr>
                <w:delText xml:space="preserve">Placebo     </w:delText>
              </w:r>
              <w:r w:rsidRPr="00FD6D0F">
                <w:rPr>
                  <w:rFonts w:eastAsia="Times New Roman"/>
                  <w:noProof/>
                  <w:sz w:val="20"/>
                  <w:lang w:eastAsia="en-GB"/>
                </w:rPr>
                <mc:AlternateContent>
                  <mc:Choice Requires="wps">
                    <w:drawing>
                      <wp:inline distT="0" distB="0" distL="0" distR="0" wp14:anchorId="6B9539BF" wp14:editId="56D550EB">
                        <wp:extent cx="401320" cy="0"/>
                        <wp:effectExtent l="0" t="0" r="17780" b="19050"/>
                        <wp:docPr id="19" name="Straight Connector 19"/>
                        <wp:cNvGraphicFramePr/>
                        <a:graphic xmlns:a="http://schemas.openxmlformats.org/drawingml/2006/main">
                          <a:graphicData uri="http://schemas.microsoft.com/office/word/2010/wordprocessingShape">
                            <wps:wsp>
                              <wps:cNvCnPr/>
                              <wps:spPr>
                                <a:xfrm>
                                  <a:off x="0" y="0"/>
                                  <a:ext cx="401320" cy="0"/>
                                </a:xfrm>
                                <a:prstGeom prst="line">
                                  <a:avLst/>
                                </a:prstGeom>
                                <a:noFill/>
                                <a:ln w="19050">
                                  <a:solidFill>
                                    <a:sysClr val="windowText" lastClr="000000">
                                      <a:lumMod val="75000"/>
                                      <a:lumOff val="25000"/>
                                    </a:sysClr>
                                  </a:solidFill>
                                  <a:prstDash val="solid"/>
                                </a:ln>
                                <a:effectLst/>
                              </wps:spPr>
                              <wps:bodyPr/>
                            </wps:wsp>
                          </a:graphicData>
                        </a:graphic>
                      </wp:inline>
                    </w:drawing>
                  </mc:Choice>
                  <mc:Fallback>
                    <w:pict>
                      <v:line id="Straight Connector 19" o:spid="_x0000_i1030" style="mso-left-percent:-10001;mso-position-horizontal-relative:char;mso-position-vertical-relative:line;mso-top-percent:-10001;mso-wrap-style:square;visibility:visible" from="0,0" to="31.6pt,0" strokecolor="#404040" strokeweight="1.5pt">
                        <w10:anchorlock/>
                      </v:line>
                    </w:pict>
                  </mc:Fallback>
                </mc:AlternateContent>
              </w:r>
              <w:r w:rsidRPr="00BE62F9">
                <w:rPr>
                  <w:rFonts w:eastAsia="Times New Roman"/>
                  <w:sz w:val="20"/>
                  <w:lang w:val="pt-PT" w:eastAsia="en-GB"/>
                </w:rPr>
                <w:delText xml:space="preserve"> Humira     ∆ Cens</w:delText>
              </w:r>
              <w:r w:rsidR="002B761E" w:rsidRPr="00BE62F9">
                <w:rPr>
                  <w:rFonts w:eastAsia="Times New Roman"/>
                  <w:sz w:val="20"/>
                  <w:lang w:val="pt-PT" w:eastAsia="en-GB"/>
                </w:rPr>
                <w:delText>urado</w:delText>
              </w:r>
            </w:del>
          </w:p>
        </w:tc>
      </w:tr>
    </w:tbl>
    <w:p w14:paraId="569C72A2" w14:textId="4D0BC9C4" w:rsidR="00FD6D0F" w:rsidRDefault="00FD6D0F">
      <w:pPr>
        <w:rPr>
          <w:del w:id="8025" w:author="AbbVie2" w:date="2025-05-13T16:39:00Z"/>
        </w:rPr>
        <w:pPrChange w:id="8026" w:author="AbbVie2" w:date="2025-05-13T16:40:00Z">
          <w:pPr>
            <w:pStyle w:val="BodyText2"/>
            <w:autoSpaceDE/>
            <w:autoSpaceDN/>
            <w:adjustRightInd/>
          </w:pPr>
        </w:pPrChange>
      </w:pPr>
    </w:p>
    <w:p w14:paraId="4AE69914" w14:textId="0E2A9993" w:rsidR="00FD6D0F" w:rsidRDefault="00615769">
      <w:pPr>
        <w:rPr>
          <w:del w:id="8027" w:author="AbbVie2" w:date="2025-05-13T16:39:00Z"/>
        </w:rPr>
        <w:pPrChange w:id="8028" w:author="AbbVie2" w:date="2025-05-13T16:40:00Z">
          <w:pPr>
            <w:pStyle w:val="BodyText2"/>
            <w:autoSpaceDE/>
            <w:autoSpaceDN/>
            <w:adjustRightInd/>
          </w:pPr>
        </w:pPrChange>
      </w:pPr>
      <w:del w:id="8029" w:author="AbbVie2" w:date="2025-05-13T16:39:00Z">
        <w:r>
          <w:delText>Nota: P = Placebo (Número em Risco (</w:delText>
        </w:r>
        <w:r w:rsidR="00090620">
          <w:delText>recidiva</w:delText>
        </w:r>
        <w:r>
          <w:delText>)</w:delText>
        </w:r>
        <w:r w:rsidR="00965800">
          <w:delText>)</w:delText>
        </w:r>
        <w:r>
          <w:delText>; A = HUMIRA (Número em Risco (</w:delText>
        </w:r>
        <w:r w:rsidR="00090620">
          <w:delText>recidiva</w:delText>
        </w:r>
        <w:r>
          <w:delText>)).</w:delText>
        </w:r>
      </w:del>
    </w:p>
    <w:p w14:paraId="0B8B6125" w14:textId="135263D0" w:rsidR="00FD6D0F" w:rsidRDefault="00FD6D0F">
      <w:pPr>
        <w:rPr>
          <w:del w:id="8030" w:author="AbbVie2" w:date="2025-05-13T16:39:00Z"/>
        </w:rPr>
        <w:pPrChange w:id="8031" w:author="AbbVie2" w:date="2025-05-13T16:40:00Z">
          <w:pPr>
            <w:pStyle w:val="BodyText2"/>
            <w:autoSpaceDE/>
            <w:autoSpaceDN/>
            <w:adjustRightInd/>
          </w:pPr>
        </w:pPrChange>
      </w:pPr>
    </w:p>
    <w:p w14:paraId="7D1A89DA" w14:textId="465A4081" w:rsidR="00E27CD2" w:rsidRDefault="00615769">
      <w:pPr>
        <w:rPr>
          <w:del w:id="8032" w:author="AbbVie2" w:date="2025-05-13T16:39:00Z"/>
        </w:rPr>
        <w:pPrChange w:id="8033" w:author="AbbVie2" w:date="2025-05-13T16:40:00Z">
          <w:pPr>
            <w:pStyle w:val="BodyText2"/>
            <w:autoSpaceDE/>
            <w:autoSpaceDN/>
            <w:adjustRightInd/>
          </w:pPr>
        </w:pPrChange>
      </w:pPr>
      <w:del w:id="8034" w:author="AbbVie2" w:date="2025-05-13T16:39:00Z">
        <w:r>
          <w:delText xml:space="preserve">Entre os 68 doentes que apresentaram </w:delText>
        </w:r>
        <w:r w:rsidR="00090620">
          <w:delText xml:space="preserve">recidiva </w:delText>
        </w:r>
        <w:r>
          <w:delText xml:space="preserve">no grupo alocado </w:delText>
        </w:r>
        <w:r w:rsidR="004F7F3A">
          <w:delText>para</w:delText>
        </w:r>
        <w:r>
          <w:delText xml:space="preserve"> descontinuação do tratamento, 65 completaram as 12 semanas de tratamento de emergência com Humira, dos quais 37 (56,9%) recuperaram a remissão (ASDAS &lt; 1,3) após 12 semanas do reinício d</w:delText>
        </w:r>
        <w:r w:rsidR="00C842A9">
          <w:delText>o</w:delText>
        </w:r>
        <w:r>
          <w:delText xml:space="preserve"> tratamento em fase aberta.</w:delText>
        </w:r>
      </w:del>
    </w:p>
    <w:p w14:paraId="7E275FFC" w14:textId="0F69656A" w:rsidR="00E27CD2" w:rsidRDefault="00E27CD2">
      <w:pPr>
        <w:rPr>
          <w:del w:id="8035" w:author="AbbVie2" w:date="2025-05-13T16:39:00Z"/>
        </w:rPr>
        <w:pPrChange w:id="8036" w:author="AbbVie2" w:date="2025-05-13T16:40:00Z">
          <w:pPr>
            <w:pStyle w:val="BodyText2"/>
            <w:autoSpaceDE/>
            <w:autoSpaceDN/>
            <w:adjustRightInd/>
          </w:pPr>
        </w:pPrChange>
      </w:pPr>
    </w:p>
    <w:p w14:paraId="479A470C" w14:textId="3C299BD6" w:rsidR="00FD6D0F" w:rsidRPr="002A3BA6" w:rsidRDefault="00615769">
      <w:pPr>
        <w:rPr>
          <w:del w:id="8037" w:author="AbbVie2" w:date="2025-05-13T16:39:00Z"/>
        </w:rPr>
        <w:pPrChange w:id="8038" w:author="AbbVie2" w:date="2025-05-13T16:40:00Z">
          <w:pPr>
            <w:pStyle w:val="BodyText2"/>
            <w:autoSpaceDE/>
            <w:autoSpaceDN/>
            <w:adjustRightInd/>
          </w:pPr>
        </w:pPrChange>
      </w:pPr>
      <w:del w:id="8039" w:author="AbbVie2" w:date="2025-05-13T16:39:00Z">
        <w:r>
          <w:delText>À</w:delText>
        </w:r>
        <w:r w:rsidR="00E27CD2">
          <w:delText xml:space="preserve"> Semana 68, os doentes que receberam </w:delText>
        </w:r>
        <w:r w:rsidR="00D02F83">
          <w:delText xml:space="preserve">tratamento contínuo com Humira </w:delText>
        </w:r>
        <w:r>
          <w:delText>apresentaram</w:delText>
        </w:r>
        <w:r w:rsidR="00D02F83">
          <w:delText xml:space="preserve"> uma melhoria </w:delText>
        </w:r>
        <w:r>
          <w:delText xml:space="preserve">superior </w:delText>
        </w:r>
        <w:r w:rsidR="00D02F83">
          <w:delText xml:space="preserve">dos sinais e sintomas da </w:delText>
        </w:r>
        <w:r w:rsidR="00D02F83" w:rsidRPr="00331062">
          <w:rPr>
            <w:szCs w:val="22"/>
          </w:rPr>
          <w:delText>EAx não-radiográfica</w:delText>
        </w:r>
        <w:r w:rsidR="00D02F83" w:rsidRPr="00DF02FD">
          <w:rPr>
            <w:szCs w:val="22"/>
          </w:rPr>
          <w:delText xml:space="preserve"> ativa </w:delText>
        </w:r>
        <w:r w:rsidR="00090620">
          <w:delText xml:space="preserve">estatisticamente significativa </w:delText>
        </w:r>
        <w:r w:rsidR="00D02F83">
          <w:delText>comparativamente com os doentes alocados à descontinuação do tratamento durante o período em dupla-ocultação do estudo (Tabela 1</w:delText>
        </w:r>
        <w:r w:rsidR="00E3620C">
          <w:delText>4</w:delText>
        </w:r>
        <w:r w:rsidR="00D02F83">
          <w:delText>).</w:delText>
        </w:r>
        <w:r w:rsidR="00E27CD2">
          <w:delText xml:space="preserve"> </w:delText>
        </w:r>
      </w:del>
    </w:p>
    <w:p w14:paraId="04A484FC" w14:textId="234C472C" w:rsidR="00E95471" w:rsidRPr="00B067C6" w:rsidRDefault="00E95471">
      <w:pPr>
        <w:rPr>
          <w:del w:id="8040" w:author="AbbVie2" w:date="2025-05-13T16:39:00Z"/>
          <w:szCs w:val="20"/>
        </w:rPr>
        <w:pPrChange w:id="8041" w:author="AbbVie2" w:date="2025-05-13T16:40:00Z">
          <w:pPr>
            <w:pStyle w:val="BodyText2"/>
            <w:autoSpaceDE/>
            <w:autoSpaceDN/>
            <w:adjustRightInd/>
          </w:pPr>
        </w:pPrChange>
      </w:pPr>
    </w:p>
    <w:p w14:paraId="368E610F" w14:textId="03526A94" w:rsidR="00D02F83" w:rsidRPr="00342BDA" w:rsidRDefault="00615769">
      <w:pPr>
        <w:rPr>
          <w:del w:id="8042" w:author="AbbVie2" w:date="2025-05-13T16:39:00Z"/>
          <w:rFonts w:eastAsia="Times New Roman"/>
          <w:sz w:val="22"/>
          <w:szCs w:val="20"/>
        </w:rPr>
        <w:pPrChange w:id="8043" w:author="AbbVie2" w:date="2025-05-13T16:40:00Z">
          <w:pPr>
            <w:keepNext/>
            <w:tabs>
              <w:tab w:val="left" w:pos="562"/>
            </w:tabs>
            <w:suppressAutoHyphens/>
            <w:ind w:left="720"/>
            <w:jc w:val="center"/>
          </w:pPr>
        </w:pPrChange>
      </w:pPr>
      <w:del w:id="8044" w:author="AbbVie2" w:date="2025-05-13T16:39:00Z">
        <w:r w:rsidRPr="00A44E27">
          <w:rPr>
            <w:rFonts w:eastAsia="Times New Roman"/>
            <w:b/>
            <w:sz w:val="22"/>
            <w:szCs w:val="20"/>
          </w:rPr>
          <w:delText>Tabela 1</w:delText>
        </w:r>
        <w:r w:rsidR="00E3620C">
          <w:rPr>
            <w:rFonts w:eastAsia="Times New Roman"/>
            <w:b/>
            <w:sz w:val="22"/>
            <w:szCs w:val="20"/>
          </w:rPr>
          <w:delText>4</w:delText>
        </w:r>
      </w:del>
    </w:p>
    <w:p w14:paraId="0F2E480E" w14:textId="23A8B2D5" w:rsidR="00D02F83" w:rsidRPr="00342BDA" w:rsidRDefault="00615769">
      <w:pPr>
        <w:rPr>
          <w:del w:id="8045" w:author="AbbVie2" w:date="2025-05-13T16:39:00Z"/>
          <w:rFonts w:eastAsia="Times New Roman"/>
          <w:sz w:val="22"/>
          <w:szCs w:val="20"/>
        </w:rPr>
        <w:pPrChange w:id="8046" w:author="AbbVie2" w:date="2025-05-13T16:40:00Z">
          <w:pPr>
            <w:keepNext/>
            <w:tabs>
              <w:tab w:val="left" w:pos="562"/>
            </w:tabs>
            <w:suppressAutoHyphens/>
            <w:ind w:left="720"/>
            <w:jc w:val="center"/>
          </w:pPr>
        </w:pPrChange>
      </w:pPr>
      <w:del w:id="8047" w:author="AbbVie2" w:date="2025-05-13T16:39:00Z">
        <w:r w:rsidRPr="00A44E27">
          <w:rPr>
            <w:rFonts w:eastAsia="Times New Roman"/>
            <w:b/>
            <w:sz w:val="22"/>
            <w:szCs w:val="20"/>
          </w:rPr>
          <w:delText xml:space="preserve">Resultados de Eficácia </w:delText>
        </w:r>
        <w:r w:rsidR="00864A2F" w:rsidRPr="00A44E27">
          <w:rPr>
            <w:rFonts w:eastAsia="Times New Roman"/>
            <w:b/>
            <w:sz w:val="22"/>
            <w:szCs w:val="20"/>
          </w:rPr>
          <w:delText xml:space="preserve">no </w:delText>
        </w:r>
        <w:r w:rsidR="00C842A9">
          <w:rPr>
            <w:rFonts w:eastAsia="Times New Roman"/>
            <w:b/>
            <w:sz w:val="22"/>
            <w:szCs w:val="20"/>
          </w:rPr>
          <w:delText xml:space="preserve">Período </w:delText>
        </w:r>
        <w:r w:rsidR="00C842A9" w:rsidRPr="00450A03">
          <w:rPr>
            <w:rFonts w:eastAsia="Times New Roman"/>
            <w:b/>
            <w:sz w:val="22"/>
            <w:szCs w:val="20"/>
          </w:rPr>
          <w:delText>Controlado com Placebo</w:delText>
        </w:r>
        <w:r w:rsidR="00C842A9" w:rsidRPr="00C842A9">
          <w:rPr>
            <w:rFonts w:eastAsia="Times New Roman"/>
            <w:b/>
            <w:sz w:val="22"/>
            <w:szCs w:val="20"/>
          </w:rPr>
          <w:delText xml:space="preserve"> </w:delText>
        </w:r>
        <w:r w:rsidR="00C842A9">
          <w:rPr>
            <w:rFonts w:eastAsia="Times New Roman"/>
            <w:b/>
            <w:sz w:val="22"/>
            <w:szCs w:val="20"/>
          </w:rPr>
          <w:delText xml:space="preserve">do </w:delText>
        </w:r>
        <w:r w:rsidR="00864A2F" w:rsidRPr="00A44E27">
          <w:rPr>
            <w:rFonts w:eastAsia="Times New Roman"/>
            <w:b/>
            <w:sz w:val="22"/>
            <w:szCs w:val="20"/>
          </w:rPr>
          <w:delText xml:space="preserve">Estudo </w:delText>
        </w:r>
        <w:r w:rsidR="00CC150F">
          <w:rPr>
            <w:rFonts w:eastAsia="Times New Roman"/>
            <w:b/>
            <w:sz w:val="22"/>
            <w:szCs w:val="20"/>
          </w:rPr>
          <w:delText xml:space="preserve">II </w:delText>
        </w:r>
        <w:r w:rsidR="00C842A9">
          <w:rPr>
            <w:rFonts w:eastAsia="Times New Roman"/>
            <w:b/>
            <w:sz w:val="22"/>
            <w:szCs w:val="20"/>
          </w:rPr>
          <w:delText>na EAx</w:delText>
        </w:r>
        <w:r w:rsidR="00C97EA8">
          <w:rPr>
            <w:rFonts w:eastAsia="Times New Roman"/>
            <w:b/>
            <w:sz w:val="22"/>
            <w:szCs w:val="20"/>
          </w:rPr>
          <w:delText>-nr</w:delText>
        </w:r>
      </w:del>
    </w:p>
    <w:p w14:paraId="7D8EFF20" w14:textId="19E16328" w:rsidR="00D02F83" w:rsidRPr="00342BDA" w:rsidRDefault="00D02F83">
      <w:pPr>
        <w:rPr>
          <w:del w:id="8048" w:author="AbbVie2" w:date="2025-05-13T16:39:00Z"/>
          <w:rFonts w:eastAsia="Times New Roman"/>
          <w:sz w:val="22"/>
          <w:szCs w:val="20"/>
        </w:rPr>
        <w:pPrChange w:id="8049" w:author="AbbVie2" w:date="2025-05-13T16:40:00Z">
          <w:pPr>
            <w:keepNext/>
            <w:tabs>
              <w:tab w:val="left" w:pos="562"/>
            </w:tabs>
            <w:suppressAutoHyphens/>
            <w:ind w:left="720"/>
          </w:pPr>
        </w:pPrChang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58"/>
        <w:gridCol w:w="1682"/>
        <w:gridCol w:w="1821"/>
      </w:tblGrid>
      <w:tr w:rsidR="00A7162A" w14:paraId="461855DB" w14:textId="2A6D7DF2" w:rsidTr="00D67AEC">
        <w:trPr>
          <w:jc w:val="center"/>
          <w:del w:id="8050" w:author="AbbVie2" w:date="2025-05-13T16:39:00Z"/>
        </w:trPr>
        <w:tc>
          <w:tcPr>
            <w:tcW w:w="3067" w:type="pct"/>
          </w:tcPr>
          <w:p w14:paraId="71DE57BF" w14:textId="2EA1B70D" w:rsidR="00D02F83" w:rsidRPr="00A44E27" w:rsidRDefault="00615769">
            <w:pPr>
              <w:rPr>
                <w:del w:id="8051" w:author="AbbVie2" w:date="2025-05-13T16:39:00Z"/>
                <w:rFonts w:eastAsia="Times New Roman"/>
                <w:b/>
                <w:bCs/>
                <w:sz w:val="22"/>
              </w:rPr>
              <w:pPrChange w:id="8052" w:author="AbbVie2" w:date="2025-05-13T16:40:00Z">
                <w:pPr>
                  <w:keepNext/>
                  <w:tabs>
                    <w:tab w:val="left" w:pos="562"/>
                  </w:tabs>
                  <w:suppressAutoHyphens/>
                </w:pPr>
              </w:pPrChange>
            </w:pPr>
            <w:del w:id="8053" w:author="AbbVie2" w:date="2025-05-13T16:39:00Z">
              <w:r w:rsidRPr="00A44E27">
                <w:rPr>
                  <w:rFonts w:eastAsia="Times New Roman"/>
                  <w:b/>
                  <w:bCs/>
                  <w:sz w:val="22"/>
                </w:rPr>
                <w:delText>D</w:delText>
              </w:r>
              <w:r w:rsidR="00864A2F" w:rsidRPr="00A44E27">
                <w:rPr>
                  <w:rFonts w:eastAsia="Times New Roman"/>
                  <w:b/>
                  <w:bCs/>
                  <w:sz w:val="22"/>
                </w:rPr>
                <w:delText>upla-Ocultação</w:delText>
              </w:r>
            </w:del>
          </w:p>
          <w:p w14:paraId="79D93497" w14:textId="47674A7A" w:rsidR="00D02F83" w:rsidRPr="00A44E27" w:rsidRDefault="00615769">
            <w:pPr>
              <w:rPr>
                <w:del w:id="8054" w:author="AbbVie2" w:date="2025-05-13T16:39:00Z"/>
                <w:rFonts w:eastAsia="Times New Roman"/>
                <w:b/>
                <w:bCs/>
                <w:sz w:val="22"/>
              </w:rPr>
              <w:pPrChange w:id="8055" w:author="AbbVie2" w:date="2025-05-13T16:40:00Z">
                <w:pPr>
                  <w:keepNext/>
                  <w:tabs>
                    <w:tab w:val="left" w:pos="562"/>
                  </w:tabs>
                  <w:suppressAutoHyphens/>
                </w:pPr>
              </w:pPrChange>
            </w:pPr>
            <w:del w:id="8056" w:author="AbbVie2" w:date="2025-05-13T16:39:00Z">
              <w:r w:rsidRPr="00A44E27">
                <w:rPr>
                  <w:rFonts w:eastAsia="Times New Roman"/>
                  <w:b/>
                  <w:bCs/>
                  <w:sz w:val="22"/>
                </w:rPr>
                <w:delText>Respo</w:delText>
              </w:r>
              <w:r w:rsidR="00864A2F" w:rsidRPr="00A44E27">
                <w:rPr>
                  <w:rFonts w:eastAsia="Times New Roman"/>
                  <w:b/>
                  <w:bCs/>
                  <w:sz w:val="22"/>
                </w:rPr>
                <w:delText xml:space="preserve">sta </w:delText>
              </w:r>
              <w:r w:rsidR="00A0236A">
                <w:rPr>
                  <w:rFonts w:eastAsia="Times New Roman"/>
                  <w:b/>
                  <w:bCs/>
                  <w:sz w:val="22"/>
                </w:rPr>
                <w:delText>à</w:delText>
              </w:r>
              <w:r w:rsidR="00864A2F" w:rsidRPr="00A44E27">
                <w:rPr>
                  <w:rFonts w:eastAsia="Times New Roman"/>
                  <w:b/>
                  <w:bCs/>
                  <w:sz w:val="22"/>
                </w:rPr>
                <w:delText xml:space="preserve"> Semana </w:delText>
              </w:r>
              <w:r w:rsidRPr="00A44E27">
                <w:rPr>
                  <w:rFonts w:eastAsia="Times New Roman"/>
                  <w:b/>
                  <w:bCs/>
                  <w:sz w:val="22"/>
                </w:rPr>
                <w:delText>68</w:delText>
              </w:r>
            </w:del>
          </w:p>
        </w:tc>
        <w:tc>
          <w:tcPr>
            <w:tcW w:w="928" w:type="pct"/>
          </w:tcPr>
          <w:p w14:paraId="1CC38EF3" w14:textId="1EF52A5E" w:rsidR="00D02F83" w:rsidRPr="00A0236A" w:rsidRDefault="00615769">
            <w:pPr>
              <w:rPr>
                <w:del w:id="8057" w:author="AbbVie2" w:date="2025-05-13T16:39:00Z"/>
                <w:rFonts w:eastAsia="Times New Roman"/>
                <w:b/>
                <w:bCs/>
                <w:sz w:val="20"/>
                <w:szCs w:val="20"/>
                <w:lang w:val="fr-FR"/>
              </w:rPr>
              <w:pPrChange w:id="8058" w:author="AbbVie2" w:date="2025-05-13T16:40:00Z">
                <w:pPr>
                  <w:keepNext/>
                  <w:tabs>
                    <w:tab w:val="left" w:pos="562"/>
                  </w:tabs>
                  <w:suppressAutoHyphens/>
                  <w:jc w:val="center"/>
                </w:pPr>
              </w:pPrChange>
            </w:pPr>
            <w:del w:id="8059" w:author="AbbVie2" w:date="2025-05-13T16:39:00Z">
              <w:r w:rsidRPr="00A0236A">
                <w:rPr>
                  <w:rFonts w:eastAsia="Times New Roman"/>
                  <w:b/>
                  <w:bCs/>
                  <w:sz w:val="20"/>
                  <w:szCs w:val="20"/>
                  <w:lang w:val="fr-FR"/>
                </w:rPr>
                <w:delText>Placebo</w:delText>
              </w:r>
            </w:del>
          </w:p>
          <w:p w14:paraId="154FD121" w14:textId="13975AE5" w:rsidR="00D02F83" w:rsidRPr="00A0236A" w:rsidRDefault="00615769">
            <w:pPr>
              <w:rPr>
                <w:del w:id="8060" w:author="AbbVie2" w:date="2025-05-13T16:39:00Z"/>
                <w:rFonts w:eastAsia="Times New Roman"/>
                <w:b/>
                <w:bCs/>
                <w:sz w:val="20"/>
                <w:szCs w:val="20"/>
                <w:lang w:val="fr-FR"/>
              </w:rPr>
              <w:pPrChange w:id="8061" w:author="AbbVie2" w:date="2025-05-13T16:40:00Z">
                <w:pPr>
                  <w:keepNext/>
                  <w:tabs>
                    <w:tab w:val="left" w:pos="562"/>
                  </w:tabs>
                  <w:suppressAutoHyphens/>
                  <w:jc w:val="center"/>
                </w:pPr>
              </w:pPrChange>
            </w:pPr>
            <w:del w:id="8062" w:author="AbbVie2" w:date="2025-05-13T16:39:00Z">
              <w:r w:rsidRPr="00A0236A">
                <w:rPr>
                  <w:rFonts w:eastAsia="Times New Roman"/>
                  <w:b/>
                  <w:bCs/>
                  <w:sz w:val="20"/>
                  <w:szCs w:val="20"/>
                  <w:lang w:val="fr-FR"/>
                </w:rPr>
                <w:delText>N=153</w:delText>
              </w:r>
            </w:del>
          </w:p>
        </w:tc>
        <w:tc>
          <w:tcPr>
            <w:tcW w:w="1005" w:type="pct"/>
          </w:tcPr>
          <w:p w14:paraId="32169217" w14:textId="39CFFEAB" w:rsidR="00D02F83" w:rsidRPr="00A0236A" w:rsidRDefault="00615769">
            <w:pPr>
              <w:rPr>
                <w:del w:id="8063" w:author="AbbVie2" w:date="2025-05-13T16:39:00Z"/>
                <w:rFonts w:eastAsia="Times New Roman"/>
                <w:b/>
                <w:bCs/>
                <w:sz w:val="20"/>
                <w:szCs w:val="20"/>
                <w:lang w:val="fr-FR"/>
              </w:rPr>
              <w:pPrChange w:id="8064" w:author="AbbVie2" w:date="2025-05-13T16:40:00Z">
                <w:pPr>
                  <w:keepNext/>
                  <w:tabs>
                    <w:tab w:val="left" w:pos="562"/>
                  </w:tabs>
                  <w:suppressAutoHyphens/>
                  <w:jc w:val="center"/>
                </w:pPr>
              </w:pPrChange>
            </w:pPr>
            <w:del w:id="8065" w:author="AbbVie2" w:date="2025-05-13T16:39:00Z">
              <w:r w:rsidRPr="00A0236A">
                <w:rPr>
                  <w:rFonts w:eastAsia="Times New Roman"/>
                  <w:b/>
                  <w:bCs/>
                  <w:sz w:val="20"/>
                  <w:szCs w:val="20"/>
                  <w:lang w:val="fr-FR"/>
                </w:rPr>
                <w:delText>Humira</w:delText>
              </w:r>
            </w:del>
          </w:p>
          <w:p w14:paraId="26EF518D" w14:textId="1F2D5DA0" w:rsidR="00D02F83" w:rsidRPr="00A0236A" w:rsidRDefault="00615769">
            <w:pPr>
              <w:rPr>
                <w:del w:id="8066" w:author="AbbVie2" w:date="2025-05-13T16:39:00Z"/>
                <w:rFonts w:eastAsia="Times New Roman"/>
                <w:b/>
                <w:bCs/>
                <w:sz w:val="20"/>
                <w:szCs w:val="20"/>
                <w:lang w:val="fr-FR"/>
              </w:rPr>
              <w:pPrChange w:id="8067" w:author="AbbVie2" w:date="2025-05-13T16:40:00Z">
                <w:pPr>
                  <w:keepNext/>
                  <w:tabs>
                    <w:tab w:val="left" w:pos="562"/>
                  </w:tabs>
                  <w:suppressAutoHyphens/>
                  <w:jc w:val="center"/>
                </w:pPr>
              </w:pPrChange>
            </w:pPr>
            <w:del w:id="8068" w:author="AbbVie2" w:date="2025-05-13T16:39:00Z">
              <w:r w:rsidRPr="00AD4F25">
                <w:rPr>
                  <w:rFonts w:eastAsia="Times New Roman"/>
                  <w:b/>
                  <w:bCs/>
                  <w:sz w:val="20"/>
                  <w:szCs w:val="20"/>
                  <w:rPrChange w:id="8069" w:author="AbbVie2" w:date="2025-05-14T10:17:00Z">
                    <w:rPr>
                      <w:rFonts w:eastAsia="Times New Roman"/>
                      <w:b/>
                      <w:bCs/>
                      <w:sz w:val="20"/>
                      <w:szCs w:val="20"/>
                      <w:lang w:val="en-GB"/>
                    </w:rPr>
                  </w:rPrChange>
                </w:rPr>
                <w:delText>N=152</w:delText>
              </w:r>
            </w:del>
          </w:p>
        </w:tc>
      </w:tr>
      <w:tr w:rsidR="00A7162A" w14:paraId="6B734518" w14:textId="61339359" w:rsidTr="00D67AEC">
        <w:trPr>
          <w:jc w:val="center"/>
          <w:del w:id="8070" w:author="AbbVie2" w:date="2025-05-13T16:39:00Z"/>
        </w:trPr>
        <w:tc>
          <w:tcPr>
            <w:tcW w:w="3067" w:type="pct"/>
          </w:tcPr>
          <w:p w14:paraId="2EA27EE9" w14:textId="683C8A95" w:rsidR="00D02F83" w:rsidRPr="00AD4F25" w:rsidRDefault="00615769">
            <w:pPr>
              <w:rPr>
                <w:del w:id="8071" w:author="AbbVie2" w:date="2025-05-13T16:39:00Z"/>
                <w:rFonts w:eastAsia="Times New Roman"/>
                <w:sz w:val="22"/>
                <w:rPrChange w:id="8072" w:author="AbbVie2" w:date="2025-05-14T10:17:00Z">
                  <w:rPr>
                    <w:del w:id="8073" w:author="AbbVie2" w:date="2025-05-13T16:39:00Z"/>
                    <w:rFonts w:eastAsia="Times New Roman"/>
                    <w:sz w:val="22"/>
                    <w:lang w:val="en-GB"/>
                  </w:rPr>
                </w:rPrChange>
              </w:rPr>
              <w:pPrChange w:id="8074" w:author="AbbVie2" w:date="2025-05-13T16:40:00Z">
                <w:pPr>
                  <w:keepNext/>
                  <w:tabs>
                    <w:tab w:val="left" w:pos="562"/>
                  </w:tabs>
                  <w:suppressAutoHyphens/>
                </w:pPr>
              </w:pPrChange>
            </w:pPr>
            <w:del w:id="8075" w:author="AbbVie2" w:date="2025-05-13T16:39:00Z">
              <w:r w:rsidRPr="00AD4F25">
                <w:rPr>
                  <w:rFonts w:eastAsia="Times New Roman"/>
                  <w:sz w:val="22"/>
                  <w:rPrChange w:id="8076" w:author="AbbVie2" w:date="2025-05-14T10:17:00Z">
                    <w:rPr>
                      <w:rFonts w:eastAsia="Times New Roman"/>
                      <w:sz w:val="22"/>
                      <w:lang w:val="en-GB"/>
                    </w:rPr>
                  </w:rPrChange>
                </w:rPr>
                <w:delText>ASAS</w:delText>
              </w:r>
              <w:r w:rsidRPr="00AD4F25">
                <w:rPr>
                  <w:rFonts w:eastAsia="Times New Roman"/>
                  <w:sz w:val="22"/>
                  <w:vertAlign w:val="superscript"/>
                  <w:rPrChange w:id="8077" w:author="AbbVie2" w:date="2025-05-14T10:17:00Z">
                    <w:rPr>
                      <w:rFonts w:eastAsia="Times New Roman"/>
                      <w:sz w:val="22"/>
                      <w:vertAlign w:val="superscript"/>
                      <w:lang w:val="en-GB"/>
                    </w:rPr>
                  </w:rPrChange>
                </w:rPr>
                <w:delText>a,b</w:delText>
              </w:r>
              <w:r w:rsidRPr="00AD4F25">
                <w:rPr>
                  <w:rFonts w:eastAsia="Times New Roman"/>
                  <w:sz w:val="22"/>
                  <w:rPrChange w:id="8078" w:author="AbbVie2" w:date="2025-05-14T10:17:00Z">
                    <w:rPr>
                      <w:rFonts w:eastAsia="Times New Roman"/>
                      <w:sz w:val="22"/>
                      <w:lang w:val="en-GB"/>
                    </w:rPr>
                  </w:rPrChange>
                </w:rPr>
                <w:delText xml:space="preserve"> 20</w:delText>
              </w:r>
            </w:del>
          </w:p>
        </w:tc>
        <w:tc>
          <w:tcPr>
            <w:tcW w:w="928" w:type="pct"/>
          </w:tcPr>
          <w:p w14:paraId="2AEB8E02" w14:textId="315A93AB" w:rsidR="00D02F83" w:rsidRPr="00AD4F25" w:rsidRDefault="00615769">
            <w:pPr>
              <w:rPr>
                <w:del w:id="8079" w:author="AbbVie2" w:date="2025-05-13T16:39:00Z"/>
                <w:rFonts w:eastAsia="Times New Roman"/>
                <w:sz w:val="22"/>
                <w:rPrChange w:id="8080" w:author="AbbVie2" w:date="2025-05-14T10:17:00Z">
                  <w:rPr>
                    <w:del w:id="8081" w:author="AbbVie2" w:date="2025-05-13T16:39:00Z"/>
                    <w:rFonts w:eastAsia="Times New Roman"/>
                    <w:sz w:val="22"/>
                    <w:lang w:val="en-GB"/>
                  </w:rPr>
                </w:rPrChange>
              </w:rPr>
              <w:pPrChange w:id="8082" w:author="AbbVie2" w:date="2025-05-13T16:40:00Z">
                <w:pPr>
                  <w:keepNext/>
                  <w:tabs>
                    <w:tab w:val="left" w:pos="562"/>
                  </w:tabs>
                  <w:suppressAutoHyphens/>
                  <w:jc w:val="center"/>
                </w:pPr>
              </w:pPrChange>
            </w:pPr>
            <w:del w:id="8083" w:author="AbbVie2" w:date="2025-05-13T16:39:00Z">
              <w:r w:rsidRPr="00AD4F25">
                <w:rPr>
                  <w:rFonts w:eastAsia="Times New Roman"/>
                  <w:sz w:val="22"/>
                  <w:rPrChange w:id="8084" w:author="AbbVie2" w:date="2025-05-14T10:17:00Z">
                    <w:rPr>
                      <w:rFonts w:eastAsia="Times New Roman"/>
                      <w:sz w:val="22"/>
                      <w:lang w:val="en-GB"/>
                    </w:rPr>
                  </w:rPrChange>
                </w:rPr>
                <w:delText>47</w:delText>
              </w:r>
              <w:r w:rsidR="00864A2F" w:rsidRPr="00AD4F25">
                <w:rPr>
                  <w:rFonts w:eastAsia="Times New Roman"/>
                  <w:sz w:val="22"/>
                  <w:rPrChange w:id="8085" w:author="AbbVie2" w:date="2025-05-14T10:17:00Z">
                    <w:rPr>
                      <w:rFonts w:eastAsia="Times New Roman"/>
                      <w:sz w:val="22"/>
                      <w:lang w:val="en-GB"/>
                    </w:rPr>
                  </w:rPrChange>
                </w:rPr>
                <w:delText>,</w:delText>
              </w:r>
              <w:r w:rsidRPr="00AD4F25">
                <w:rPr>
                  <w:rFonts w:eastAsia="Times New Roman"/>
                  <w:sz w:val="22"/>
                  <w:rPrChange w:id="8086" w:author="AbbVie2" w:date="2025-05-14T10:17:00Z">
                    <w:rPr>
                      <w:rFonts w:eastAsia="Times New Roman"/>
                      <w:sz w:val="22"/>
                      <w:lang w:val="en-GB"/>
                    </w:rPr>
                  </w:rPrChange>
                </w:rPr>
                <w:delText>1%</w:delText>
              </w:r>
            </w:del>
          </w:p>
        </w:tc>
        <w:tc>
          <w:tcPr>
            <w:tcW w:w="1005" w:type="pct"/>
          </w:tcPr>
          <w:p w14:paraId="29B3A2A4" w14:textId="74FE774C" w:rsidR="00D02F83" w:rsidRPr="00AD4F25" w:rsidRDefault="00615769">
            <w:pPr>
              <w:rPr>
                <w:del w:id="8087" w:author="AbbVie2" w:date="2025-05-13T16:39:00Z"/>
                <w:rFonts w:eastAsia="Times New Roman"/>
                <w:sz w:val="22"/>
                <w:rPrChange w:id="8088" w:author="AbbVie2" w:date="2025-05-14T10:17:00Z">
                  <w:rPr>
                    <w:del w:id="8089" w:author="AbbVie2" w:date="2025-05-13T16:39:00Z"/>
                    <w:rFonts w:eastAsia="Times New Roman"/>
                    <w:sz w:val="22"/>
                    <w:lang w:val="en-GB"/>
                  </w:rPr>
                </w:rPrChange>
              </w:rPr>
              <w:pPrChange w:id="8090" w:author="AbbVie2" w:date="2025-05-13T16:40:00Z">
                <w:pPr>
                  <w:keepNext/>
                  <w:tabs>
                    <w:tab w:val="left" w:pos="562"/>
                  </w:tabs>
                  <w:suppressAutoHyphens/>
                  <w:jc w:val="center"/>
                </w:pPr>
              </w:pPrChange>
            </w:pPr>
            <w:del w:id="8091" w:author="AbbVie2" w:date="2025-05-13T16:39:00Z">
              <w:r w:rsidRPr="00AD4F25">
                <w:rPr>
                  <w:rFonts w:eastAsia="Times New Roman"/>
                  <w:sz w:val="22"/>
                  <w:rPrChange w:id="8092" w:author="AbbVie2" w:date="2025-05-14T10:17:00Z">
                    <w:rPr>
                      <w:rFonts w:eastAsia="Times New Roman"/>
                      <w:sz w:val="22"/>
                      <w:lang w:val="en-GB"/>
                    </w:rPr>
                  </w:rPrChange>
                </w:rPr>
                <w:delText>70</w:delText>
              </w:r>
              <w:r w:rsidR="00864A2F" w:rsidRPr="00AD4F25">
                <w:rPr>
                  <w:rFonts w:eastAsia="Times New Roman"/>
                  <w:sz w:val="22"/>
                  <w:rPrChange w:id="8093" w:author="AbbVie2" w:date="2025-05-14T10:17:00Z">
                    <w:rPr>
                      <w:rFonts w:eastAsia="Times New Roman"/>
                      <w:sz w:val="22"/>
                      <w:lang w:val="en-GB"/>
                    </w:rPr>
                  </w:rPrChange>
                </w:rPr>
                <w:delText>,</w:delText>
              </w:r>
              <w:r w:rsidRPr="00AD4F25">
                <w:rPr>
                  <w:rFonts w:eastAsia="Times New Roman"/>
                  <w:sz w:val="22"/>
                  <w:rPrChange w:id="8094" w:author="AbbVie2" w:date="2025-05-14T10:17:00Z">
                    <w:rPr>
                      <w:rFonts w:eastAsia="Times New Roman"/>
                      <w:sz w:val="22"/>
                      <w:lang w:val="en-GB"/>
                    </w:rPr>
                  </w:rPrChange>
                </w:rPr>
                <w:delText>4%***</w:delText>
              </w:r>
            </w:del>
          </w:p>
        </w:tc>
      </w:tr>
      <w:tr w:rsidR="00A7162A" w14:paraId="06D9FF82" w14:textId="49F78744" w:rsidTr="00D67AEC">
        <w:trPr>
          <w:jc w:val="center"/>
          <w:del w:id="8095" w:author="AbbVie2" w:date="2025-05-13T16:39:00Z"/>
        </w:trPr>
        <w:tc>
          <w:tcPr>
            <w:tcW w:w="3067" w:type="pct"/>
          </w:tcPr>
          <w:p w14:paraId="402E898D" w14:textId="12D68F76" w:rsidR="00D02F83" w:rsidRPr="00AD4F25" w:rsidRDefault="00615769">
            <w:pPr>
              <w:rPr>
                <w:del w:id="8096" w:author="AbbVie2" w:date="2025-05-13T16:39:00Z"/>
                <w:rFonts w:eastAsia="Times New Roman"/>
                <w:sz w:val="22"/>
                <w:rPrChange w:id="8097" w:author="AbbVie2" w:date="2025-05-14T10:17:00Z">
                  <w:rPr>
                    <w:del w:id="8098" w:author="AbbVie2" w:date="2025-05-13T16:39:00Z"/>
                    <w:rFonts w:eastAsia="Times New Roman"/>
                    <w:sz w:val="22"/>
                    <w:lang w:val="en-GB"/>
                  </w:rPr>
                </w:rPrChange>
              </w:rPr>
              <w:pPrChange w:id="8099" w:author="AbbVie2" w:date="2025-05-13T16:40:00Z">
                <w:pPr>
                  <w:keepNext/>
                  <w:tabs>
                    <w:tab w:val="left" w:pos="562"/>
                  </w:tabs>
                  <w:suppressAutoHyphens/>
                </w:pPr>
              </w:pPrChange>
            </w:pPr>
            <w:del w:id="8100" w:author="AbbVie2" w:date="2025-05-13T16:39:00Z">
              <w:r w:rsidRPr="00AD4F25">
                <w:rPr>
                  <w:rFonts w:eastAsia="Times New Roman"/>
                  <w:sz w:val="22"/>
                  <w:rPrChange w:id="8101" w:author="AbbVie2" w:date="2025-05-14T10:17:00Z">
                    <w:rPr>
                      <w:rFonts w:eastAsia="Times New Roman"/>
                      <w:sz w:val="22"/>
                      <w:lang w:val="en-GB"/>
                    </w:rPr>
                  </w:rPrChange>
                </w:rPr>
                <w:delText>ASAS</w:delText>
              </w:r>
              <w:r w:rsidRPr="00AD4F25">
                <w:rPr>
                  <w:rFonts w:eastAsia="Times New Roman"/>
                  <w:sz w:val="22"/>
                  <w:vertAlign w:val="superscript"/>
                  <w:rPrChange w:id="8102" w:author="AbbVie2" w:date="2025-05-14T10:17:00Z">
                    <w:rPr>
                      <w:rFonts w:eastAsia="Times New Roman"/>
                      <w:sz w:val="22"/>
                      <w:vertAlign w:val="superscript"/>
                      <w:lang w:val="en-GB"/>
                    </w:rPr>
                  </w:rPrChange>
                </w:rPr>
                <w:delText>a,b</w:delText>
              </w:r>
              <w:r w:rsidRPr="00AD4F25">
                <w:rPr>
                  <w:rFonts w:eastAsia="Times New Roman"/>
                  <w:sz w:val="22"/>
                  <w:rPrChange w:id="8103" w:author="AbbVie2" w:date="2025-05-14T10:17:00Z">
                    <w:rPr>
                      <w:rFonts w:eastAsia="Times New Roman"/>
                      <w:sz w:val="22"/>
                      <w:lang w:val="en-GB"/>
                    </w:rPr>
                  </w:rPrChange>
                </w:rPr>
                <w:delText xml:space="preserve"> 40</w:delText>
              </w:r>
            </w:del>
          </w:p>
        </w:tc>
        <w:tc>
          <w:tcPr>
            <w:tcW w:w="928" w:type="pct"/>
          </w:tcPr>
          <w:p w14:paraId="545FCC59" w14:textId="0A6B2805" w:rsidR="00D02F83" w:rsidRPr="00AD4F25" w:rsidRDefault="00615769">
            <w:pPr>
              <w:rPr>
                <w:del w:id="8104" w:author="AbbVie2" w:date="2025-05-13T16:39:00Z"/>
                <w:rFonts w:eastAsia="Times New Roman"/>
                <w:sz w:val="22"/>
                <w:rPrChange w:id="8105" w:author="AbbVie2" w:date="2025-05-14T10:17:00Z">
                  <w:rPr>
                    <w:del w:id="8106" w:author="AbbVie2" w:date="2025-05-13T16:39:00Z"/>
                    <w:rFonts w:eastAsia="Times New Roman"/>
                    <w:sz w:val="22"/>
                    <w:lang w:val="en-GB"/>
                  </w:rPr>
                </w:rPrChange>
              </w:rPr>
              <w:pPrChange w:id="8107" w:author="AbbVie2" w:date="2025-05-13T16:40:00Z">
                <w:pPr>
                  <w:keepNext/>
                  <w:tabs>
                    <w:tab w:val="left" w:pos="562"/>
                  </w:tabs>
                  <w:suppressAutoHyphens/>
                  <w:jc w:val="center"/>
                </w:pPr>
              </w:pPrChange>
            </w:pPr>
            <w:del w:id="8108" w:author="AbbVie2" w:date="2025-05-13T16:39:00Z">
              <w:r w:rsidRPr="00AD4F25">
                <w:rPr>
                  <w:rFonts w:eastAsia="Times New Roman"/>
                  <w:sz w:val="22"/>
                  <w:rPrChange w:id="8109" w:author="AbbVie2" w:date="2025-05-14T10:17:00Z">
                    <w:rPr>
                      <w:rFonts w:eastAsia="Times New Roman"/>
                      <w:sz w:val="22"/>
                      <w:lang w:val="en-GB"/>
                    </w:rPr>
                  </w:rPrChange>
                </w:rPr>
                <w:delText>45</w:delText>
              </w:r>
              <w:r w:rsidR="00864A2F" w:rsidRPr="00AD4F25">
                <w:rPr>
                  <w:rFonts w:eastAsia="Times New Roman"/>
                  <w:sz w:val="22"/>
                  <w:rPrChange w:id="8110" w:author="AbbVie2" w:date="2025-05-14T10:17:00Z">
                    <w:rPr>
                      <w:rFonts w:eastAsia="Times New Roman"/>
                      <w:sz w:val="22"/>
                      <w:lang w:val="en-GB"/>
                    </w:rPr>
                  </w:rPrChange>
                </w:rPr>
                <w:delText>,</w:delText>
              </w:r>
              <w:r w:rsidRPr="00AD4F25">
                <w:rPr>
                  <w:rFonts w:eastAsia="Times New Roman"/>
                  <w:sz w:val="22"/>
                  <w:rPrChange w:id="8111" w:author="AbbVie2" w:date="2025-05-14T10:17:00Z">
                    <w:rPr>
                      <w:rFonts w:eastAsia="Times New Roman"/>
                      <w:sz w:val="22"/>
                      <w:lang w:val="en-GB"/>
                    </w:rPr>
                  </w:rPrChange>
                </w:rPr>
                <w:delText>8%</w:delText>
              </w:r>
            </w:del>
          </w:p>
        </w:tc>
        <w:tc>
          <w:tcPr>
            <w:tcW w:w="1005" w:type="pct"/>
          </w:tcPr>
          <w:p w14:paraId="7A2F6246" w14:textId="503630B6" w:rsidR="00D02F83" w:rsidRPr="00AD4F25" w:rsidRDefault="00615769">
            <w:pPr>
              <w:rPr>
                <w:del w:id="8112" w:author="AbbVie2" w:date="2025-05-13T16:39:00Z"/>
                <w:rFonts w:eastAsia="Times New Roman"/>
                <w:sz w:val="22"/>
                <w:rPrChange w:id="8113" w:author="AbbVie2" w:date="2025-05-14T10:17:00Z">
                  <w:rPr>
                    <w:del w:id="8114" w:author="AbbVie2" w:date="2025-05-13T16:39:00Z"/>
                    <w:rFonts w:eastAsia="Times New Roman"/>
                    <w:sz w:val="22"/>
                    <w:lang w:val="en-GB"/>
                  </w:rPr>
                </w:rPrChange>
              </w:rPr>
              <w:pPrChange w:id="8115" w:author="AbbVie2" w:date="2025-05-13T16:40:00Z">
                <w:pPr>
                  <w:keepNext/>
                  <w:tabs>
                    <w:tab w:val="left" w:pos="562"/>
                  </w:tabs>
                  <w:suppressAutoHyphens/>
                  <w:jc w:val="center"/>
                </w:pPr>
              </w:pPrChange>
            </w:pPr>
            <w:del w:id="8116" w:author="AbbVie2" w:date="2025-05-13T16:39:00Z">
              <w:r w:rsidRPr="00AD4F25">
                <w:rPr>
                  <w:rFonts w:eastAsia="Times New Roman"/>
                  <w:sz w:val="22"/>
                  <w:rPrChange w:id="8117" w:author="AbbVie2" w:date="2025-05-14T10:17:00Z">
                    <w:rPr>
                      <w:rFonts w:eastAsia="Times New Roman"/>
                      <w:sz w:val="22"/>
                      <w:lang w:val="en-GB"/>
                    </w:rPr>
                  </w:rPrChange>
                </w:rPr>
                <w:delText>65</w:delText>
              </w:r>
              <w:r w:rsidR="00864A2F" w:rsidRPr="00AD4F25">
                <w:rPr>
                  <w:rFonts w:eastAsia="Times New Roman"/>
                  <w:sz w:val="22"/>
                  <w:rPrChange w:id="8118" w:author="AbbVie2" w:date="2025-05-14T10:17:00Z">
                    <w:rPr>
                      <w:rFonts w:eastAsia="Times New Roman"/>
                      <w:sz w:val="22"/>
                      <w:lang w:val="en-GB"/>
                    </w:rPr>
                  </w:rPrChange>
                </w:rPr>
                <w:delText>,</w:delText>
              </w:r>
              <w:r w:rsidRPr="00AD4F25">
                <w:rPr>
                  <w:rFonts w:eastAsia="Times New Roman"/>
                  <w:sz w:val="22"/>
                  <w:rPrChange w:id="8119" w:author="AbbVie2" w:date="2025-05-14T10:17:00Z">
                    <w:rPr>
                      <w:rFonts w:eastAsia="Times New Roman"/>
                      <w:sz w:val="22"/>
                      <w:lang w:val="en-GB"/>
                    </w:rPr>
                  </w:rPrChange>
                </w:rPr>
                <w:delText>8%***</w:delText>
              </w:r>
            </w:del>
          </w:p>
        </w:tc>
      </w:tr>
      <w:tr w:rsidR="00A7162A" w14:paraId="1A213358" w14:textId="5004DD08" w:rsidTr="00D67AEC">
        <w:trPr>
          <w:jc w:val="center"/>
          <w:del w:id="8120" w:author="AbbVie2" w:date="2025-05-13T16:39:00Z"/>
        </w:trPr>
        <w:tc>
          <w:tcPr>
            <w:tcW w:w="3067" w:type="pct"/>
          </w:tcPr>
          <w:p w14:paraId="742BDD3D" w14:textId="6473D5AC" w:rsidR="00D02F83" w:rsidRPr="00AD4F25" w:rsidRDefault="00615769">
            <w:pPr>
              <w:rPr>
                <w:del w:id="8121" w:author="AbbVie2" w:date="2025-05-13T16:39:00Z"/>
                <w:rFonts w:eastAsia="Times New Roman"/>
                <w:sz w:val="22"/>
                <w:rPrChange w:id="8122" w:author="AbbVie2" w:date="2025-05-14T10:17:00Z">
                  <w:rPr>
                    <w:del w:id="8123" w:author="AbbVie2" w:date="2025-05-13T16:39:00Z"/>
                    <w:rFonts w:eastAsia="Times New Roman"/>
                    <w:sz w:val="22"/>
                    <w:lang w:val="en-GB"/>
                  </w:rPr>
                </w:rPrChange>
              </w:rPr>
              <w:pPrChange w:id="8124" w:author="AbbVie2" w:date="2025-05-13T16:40:00Z">
                <w:pPr>
                  <w:keepNext/>
                  <w:tabs>
                    <w:tab w:val="left" w:pos="562"/>
                  </w:tabs>
                  <w:suppressAutoHyphens/>
                </w:pPr>
              </w:pPrChange>
            </w:pPr>
            <w:del w:id="8125" w:author="AbbVie2" w:date="2025-05-13T16:39:00Z">
              <w:r w:rsidRPr="00AD4F25">
                <w:rPr>
                  <w:rFonts w:eastAsia="Times New Roman"/>
                  <w:sz w:val="22"/>
                  <w:rPrChange w:id="8126" w:author="AbbVie2" w:date="2025-05-14T10:17:00Z">
                    <w:rPr>
                      <w:rFonts w:eastAsia="Times New Roman"/>
                      <w:sz w:val="22"/>
                      <w:lang w:val="en-GB"/>
                    </w:rPr>
                  </w:rPrChange>
                </w:rPr>
                <w:delText>ASAS</w:delText>
              </w:r>
              <w:r w:rsidRPr="00AD4F25">
                <w:rPr>
                  <w:rFonts w:eastAsia="Times New Roman"/>
                  <w:sz w:val="22"/>
                  <w:vertAlign w:val="superscript"/>
                  <w:rPrChange w:id="8127" w:author="AbbVie2" w:date="2025-05-14T10:17:00Z">
                    <w:rPr>
                      <w:rFonts w:eastAsia="Times New Roman"/>
                      <w:sz w:val="22"/>
                      <w:vertAlign w:val="superscript"/>
                      <w:lang w:val="en-GB"/>
                    </w:rPr>
                  </w:rPrChange>
                </w:rPr>
                <w:delText>a</w:delText>
              </w:r>
              <w:r w:rsidRPr="00AD4F25">
                <w:rPr>
                  <w:rFonts w:eastAsia="Times New Roman"/>
                  <w:sz w:val="22"/>
                  <w:rPrChange w:id="8128" w:author="AbbVie2" w:date="2025-05-14T10:17:00Z">
                    <w:rPr>
                      <w:rFonts w:eastAsia="Times New Roman"/>
                      <w:sz w:val="22"/>
                      <w:lang w:val="en-GB"/>
                    </w:rPr>
                  </w:rPrChange>
                </w:rPr>
                <w:delText xml:space="preserve"> </w:delText>
              </w:r>
              <w:r w:rsidR="00864A2F" w:rsidRPr="00AD4F25">
                <w:rPr>
                  <w:rFonts w:eastAsia="Times New Roman"/>
                  <w:sz w:val="22"/>
                  <w:rPrChange w:id="8129" w:author="AbbVie2" w:date="2025-05-14T10:17:00Z">
                    <w:rPr>
                      <w:rFonts w:eastAsia="Times New Roman"/>
                      <w:sz w:val="22"/>
                      <w:lang w:val="en-GB"/>
                    </w:rPr>
                  </w:rPrChange>
                </w:rPr>
                <w:delText>Remissão Parcial</w:delText>
              </w:r>
            </w:del>
          </w:p>
        </w:tc>
        <w:tc>
          <w:tcPr>
            <w:tcW w:w="928" w:type="pct"/>
          </w:tcPr>
          <w:p w14:paraId="51D36425" w14:textId="0147E4F6" w:rsidR="00D02F83" w:rsidRPr="00AD4F25" w:rsidRDefault="00615769">
            <w:pPr>
              <w:rPr>
                <w:del w:id="8130" w:author="AbbVie2" w:date="2025-05-13T16:39:00Z"/>
                <w:rFonts w:eastAsia="Times New Roman"/>
                <w:sz w:val="22"/>
                <w:rPrChange w:id="8131" w:author="AbbVie2" w:date="2025-05-14T10:17:00Z">
                  <w:rPr>
                    <w:del w:id="8132" w:author="AbbVie2" w:date="2025-05-13T16:39:00Z"/>
                    <w:rFonts w:eastAsia="Times New Roman"/>
                    <w:sz w:val="22"/>
                    <w:lang w:val="en-GB"/>
                  </w:rPr>
                </w:rPrChange>
              </w:rPr>
              <w:pPrChange w:id="8133" w:author="AbbVie2" w:date="2025-05-13T16:40:00Z">
                <w:pPr>
                  <w:keepNext/>
                  <w:tabs>
                    <w:tab w:val="left" w:pos="562"/>
                  </w:tabs>
                  <w:suppressAutoHyphens/>
                  <w:jc w:val="center"/>
                </w:pPr>
              </w:pPrChange>
            </w:pPr>
            <w:del w:id="8134" w:author="AbbVie2" w:date="2025-05-13T16:39:00Z">
              <w:r w:rsidRPr="00AD4F25">
                <w:rPr>
                  <w:rFonts w:eastAsia="Times New Roman"/>
                  <w:sz w:val="22"/>
                  <w:rPrChange w:id="8135" w:author="AbbVie2" w:date="2025-05-14T10:17:00Z">
                    <w:rPr>
                      <w:rFonts w:eastAsia="Times New Roman"/>
                      <w:sz w:val="22"/>
                      <w:lang w:val="en-GB"/>
                    </w:rPr>
                  </w:rPrChange>
                </w:rPr>
                <w:delText>26,8%</w:delText>
              </w:r>
            </w:del>
          </w:p>
        </w:tc>
        <w:tc>
          <w:tcPr>
            <w:tcW w:w="1005" w:type="pct"/>
          </w:tcPr>
          <w:p w14:paraId="35B5CA5D" w14:textId="057E0EA7" w:rsidR="00D02F83" w:rsidRPr="00AD4F25" w:rsidRDefault="00615769">
            <w:pPr>
              <w:rPr>
                <w:del w:id="8136" w:author="AbbVie2" w:date="2025-05-13T16:39:00Z"/>
                <w:rFonts w:eastAsia="Times New Roman"/>
                <w:sz w:val="22"/>
                <w:rPrChange w:id="8137" w:author="AbbVie2" w:date="2025-05-14T10:17:00Z">
                  <w:rPr>
                    <w:del w:id="8138" w:author="AbbVie2" w:date="2025-05-13T16:39:00Z"/>
                    <w:rFonts w:eastAsia="Times New Roman"/>
                    <w:sz w:val="22"/>
                    <w:lang w:val="en-GB"/>
                  </w:rPr>
                </w:rPrChange>
              </w:rPr>
              <w:pPrChange w:id="8139" w:author="AbbVie2" w:date="2025-05-13T16:40:00Z">
                <w:pPr>
                  <w:keepNext/>
                  <w:tabs>
                    <w:tab w:val="left" w:pos="562"/>
                  </w:tabs>
                  <w:suppressAutoHyphens/>
                  <w:jc w:val="center"/>
                </w:pPr>
              </w:pPrChange>
            </w:pPr>
            <w:del w:id="8140" w:author="AbbVie2" w:date="2025-05-13T16:39:00Z">
              <w:r w:rsidRPr="00AD4F25">
                <w:rPr>
                  <w:rFonts w:eastAsia="Times New Roman"/>
                  <w:sz w:val="22"/>
                  <w:rPrChange w:id="8141" w:author="AbbVie2" w:date="2025-05-14T10:17:00Z">
                    <w:rPr>
                      <w:rFonts w:eastAsia="Times New Roman"/>
                      <w:sz w:val="22"/>
                      <w:lang w:val="en-GB"/>
                    </w:rPr>
                  </w:rPrChange>
                </w:rPr>
                <w:delText>42</w:delText>
              </w:r>
              <w:r w:rsidR="00864A2F" w:rsidRPr="00AD4F25">
                <w:rPr>
                  <w:rFonts w:eastAsia="Times New Roman"/>
                  <w:sz w:val="22"/>
                  <w:rPrChange w:id="8142" w:author="AbbVie2" w:date="2025-05-14T10:17:00Z">
                    <w:rPr>
                      <w:rFonts w:eastAsia="Times New Roman"/>
                      <w:sz w:val="22"/>
                      <w:lang w:val="en-GB"/>
                    </w:rPr>
                  </w:rPrChange>
                </w:rPr>
                <w:delText>,</w:delText>
              </w:r>
              <w:r w:rsidRPr="00AD4F25">
                <w:rPr>
                  <w:rFonts w:eastAsia="Times New Roman"/>
                  <w:sz w:val="22"/>
                  <w:rPrChange w:id="8143" w:author="AbbVie2" w:date="2025-05-14T10:17:00Z">
                    <w:rPr>
                      <w:rFonts w:eastAsia="Times New Roman"/>
                      <w:sz w:val="22"/>
                      <w:lang w:val="en-GB"/>
                    </w:rPr>
                  </w:rPrChange>
                </w:rPr>
                <w:delText>1%**</w:delText>
              </w:r>
            </w:del>
          </w:p>
        </w:tc>
      </w:tr>
      <w:tr w:rsidR="00A7162A" w14:paraId="3CACF354" w14:textId="54D6403A" w:rsidTr="00D67AEC">
        <w:trPr>
          <w:jc w:val="center"/>
          <w:del w:id="8144" w:author="AbbVie2" w:date="2025-05-13T16:39:00Z"/>
        </w:trPr>
        <w:tc>
          <w:tcPr>
            <w:tcW w:w="3067" w:type="pct"/>
          </w:tcPr>
          <w:p w14:paraId="06BB7D7B" w14:textId="7D86C72A" w:rsidR="00D02F83" w:rsidRPr="00AD4F25" w:rsidRDefault="00615769">
            <w:pPr>
              <w:rPr>
                <w:del w:id="8145" w:author="AbbVie2" w:date="2025-05-13T16:39:00Z"/>
                <w:rFonts w:eastAsia="Times New Roman"/>
                <w:sz w:val="22"/>
                <w:rPrChange w:id="8146" w:author="AbbVie2" w:date="2025-05-14T10:17:00Z">
                  <w:rPr>
                    <w:del w:id="8147" w:author="AbbVie2" w:date="2025-05-13T16:39:00Z"/>
                    <w:rFonts w:eastAsia="Times New Roman"/>
                    <w:sz w:val="22"/>
                    <w:lang w:val="en-GB"/>
                  </w:rPr>
                </w:rPrChange>
              </w:rPr>
              <w:pPrChange w:id="8148" w:author="AbbVie2" w:date="2025-05-13T16:40:00Z">
                <w:pPr>
                  <w:keepNext/>
                  <w:tabs>
                    <w:tab w:val="left" w:pos="562"/>
                  </w:tabs>
                  <w:suppressAutoHyphens/>
                </w:pPr>
              </w:pPrChange>
            </w:pPr>
            <w:del w:id="8149" w:author="AbbVie2" w:date="2025-05-13T16:39:00Z">
              <w:r w:rsidRPr="00AD4F25">
                <w:rPr>
                  <w:rFonts w:eastAsia="Times New Roman"/>
                  <w:sz w:val="22"/>
                  <w:rPrChange w:id="8150" w:author="AbbVie2" w:date="2025-05-14T10:17:00Z">
                    <w:rPr>
                      <w:rFonts w:eastAsia="Times New Roman"/>
                      <w:sz w:val="22"/>
                      <w:lang w:val="en-GB"/>
                    </w:rPr>
                  </w:rPrChange>
                </w:rPr>
                <w:delText>ASDAS</w:delText>
              </w:r>
              <w:r w:rsidRPr="00AD4F25">
                <w:rPr>
                  <w:rFonts w:eastAsia="Times New Roman"/>
                  <w:sz w:val="22"/>
                  <w:vertAlign w:val="superscript"/>
                  <w:rPrChange w:id="8151" w:author="AbbVie2" w:date="2025-05-14T10:17:00Z">
                    <w:rPr>
                      <w:rFonts w:eastAsia="Times New Roman"/>
                      <w:sz w:val="22"/>
                      <w:vertAlign w:val="superscript"/>
                      <w:lang w:val="en-GB"/>
                    </w:rPr>
                  </w:rPrChange>
                </w:rPr>
                <w:delText>c</w:delText>
              </w:r>
              <w:r w:rsidRPr="00AD4F25">
                <w:rPr>
                  <w:rFonts w:eastAsia="Times New Roman"/>
                  <w:sz w:val="22"/>
                  <w:rPrChange w:id="8152" w:author="AbbVie2" w:date="2025-05-14T10:17:00Z">
                    <w:rPr>
                      <w:rFonts w:eastAsia="Times New Roman"/>
                      <w:sz w:val="22"/>
                      <w:lang w:val="en-GB"/>
                    </w:rPr>
                  </w:rPrChange>
                </w:rPr>
                <w:delText xml:space="preserve"> </w:delText>
              </w:r>
              <w:r w:rsidR="00864A2F" w:rsidRPr="00AD4F25">
                <w:rPr>
                  <w:rFonts w:eastAsia="Times New Roman"/>
                  <w:sz w:val="22"/>
                  <w:rPrChange w:id="8153" w:author="AbbVie2" w:date="2025-05-14T10:17:00Z">
                    <w:rPr>
                      <w:rFonts w:eastAsia="Times New Roman"/>
                      <w:sz w:val="22"/>
                      <w:lang w:val="en-GB"/>
                    </w:rPr>
                  </w:rPrChange>
                </w:rPr>
                <w:delText>Doença Inativa</w:delText>
              </w:r>
            </w:del>
          </w:p>
        </w:tc>
        <w:tc>
          <w:tcPr>
            <w:tcW w:w="928" w:type="pct"/>
          </w:tcPr>
          <w:p w14:paraId="61C9883C" w14:textId="6C58BA67" w:rsidR="00D02F83" w:rsidRPr="00AD4F25" w:rsidRDefault="00615769">
            <w:pPr>
              <w:rPr>
                <w:del w:id="8154" w:author="AbbVie2" w:date="2025-05-13T16:39:00Z"/>
                <w:rFonts w:eastAsia="Times New Roman"/>
                <w:sz w:val="22"/>
                <w:rPrChange w:id="8155" w:author="AbbVie2" w:date="2025-05-14T10:17:00Z">
                  <w:rPr>
                    <w:del w:id="8156" w:author="AbbVie2" w:date="2025-05-13T16:39:00Z"/>
                    <w:rFonts w:eastAsia="Times New Roman"/>
                    <w:sz w:val="22"/>
                    <w:lang w:val="en-GB"/>
                  </w:rPr>
                </w:rPrChange>
              </w:rPr>
              <w:pPrChange w:id="8157" w:author="AbbVie2" w:date="2025-05-13T16:40:00Z">
                <w:pPr>
                  <w:keepNext/>
                  <w:tabs>
                    <w:tab w:val="left" w:pos="562"/>
                  </w:tabs>
                  <w:suppressAutoHyphens/>
                  <w:jc w:val="center"/>
                </w:pPr>
              </w:pPrChange>
            </w:pPr>
            <w:del w:id="8158" w:author="AbbVie2" w:date="2025-05-13T16:39:00Z">
              <w:r w:rsidRPr="00AD4F25">
                <w:rPr>
                  <w:rFonts w:eastAsia="Times New Roman"/>
                  <w:sz w:val="22"/>
                  <w:rPrChange w:id="8159" w:author="AbbVie2" w:date="2025-05-14T10:17:00Z">
                    <w:rPr>
                      <w:rFonts w:eastAsia="Times New Roman"/>
                      <w:sz w:val="22"/>
                      <w:lang w:val="en-GB"/>
                    </w:rPr>
                  </w:rPrChange>
                </w:rPr>
                <w:delText>33</w:delText>
              </w:r>
              <w:r w:rsidR="00864A2F" w:rsidRPr="00AD4F25">
                <w:rPr>
                  <w:rFonts w:eastAsia="Times New Roman"/>
                  <w:sz w:val="22"/>
                  <w:rPrChange w:id="8160" w:author="AbbVie2" w:date="2025-05-14T10:17:00Z">
                    <w:rPr>
                      <w:rFonts w:eastAsia="Times New Roman"/>
                      <w:sz w:val="22"/>
                      <w:lang w:val="en-GB"/>
                    </w:rPr>
                  </w:rPrChange>
                </w:rPr>
                <w:delText>,</w:delText>
              </w:r>
              <w:r w:rsidRPr="00AD4F25">
                <w:rPr>
                  <w:rFonts w:eastAsia="Times New Roman"/>
                  <w:sz w:val="22"/>
                  <w:rPrChange w:id="8161" w:author="AbbVie2" w:date="2025-05-14T10:17:00Z">
                    <w:rPr>
                      <w:rFonts w:eastAsia="Times New Roman"/>
                      <w:sz w:val="22"/>
                      <w:lang w:val="en-GB"/>
                    </w:rPr>
                  </w:rPrChange>
                </w:rPr>
                <w:delText>3%</w:delText>
              </w:r>
            </w:del>
          </w:p>
        </w:tc>
        <w:tc>
          <w:tcPr>
            <w:tcW w:w="1005" w:type="pct"/>
          </w:tcPr>
          <w:p w14:paraId="0B7C5A9D" w14:textId="1900F57B" w:rsidR="00D02F83" w:rsidRPr="00AD4F25" w:rsidRDefault="00615769">
            <w:pPr>
              <w:rPr>
                <w:del w:id="8162" w:author="AbbVie2" w:date="2025-05-13T16:39:00Z"/>
                <w:rFonts w:eastAsia="Times New Roman"/>
                <w:sz w:val="22"/>
                <w:rPrChange w:id="8163" w:author="AbbVie2" w:date="2025-05-14T10:17:00Z">
                  <w:rPr>
                    <w:del w:id="8164" w:author="AbbVie2" w:date="2025-05-13T16:39:00Z"/>
                    <w:rFonts w:eastAsia="Times New Roman"/>
                    <w:sz w:val="22"/>
                    <w:lang w:val="en-GB"/>
                  </w:rPr>
                </w:rPrChange>
              </w:rPr>
              <w:pPrChange w:id="8165" w:author="AbbVie2" w:date="2025-05-13T16:40:00Z">
                <w:pPr>
                  <w:keepNext/>
                  <w:tabs>
                    <w:tab w:val="left" w:pos="562"/>
                  </w:tabs>
                  <w:suppressAutoHyphens/>
                  <w:jc w:val="center"/>
                </w:pPr>
              </w:pPrChange>
            </w:pPr>
            <w:del w:id="8166" w:author="AbbVie2" w:date="2025-05-13T16:39:00Z">
              <w:r w:rsidRPr="00AD4F25">
                <w:rPr>
                  <w:rFonts w:eastAsia="Times New Roman"/>
                  <w:sz w:val="22"/>
                  <w:rPrChange w:id="8167" w:author="AbbVie2" w:date="2025-05-14T10:17:00Z">
                    <w:rPr>
                      <w:rFonts w:eastAsia="Times New Roman"/>
                      <w:sz w:val="22"/>
                      <w:lang w:val="en-GB"/>
                    </w:rPr>
                  </w:rPrChange>
                </w:rPr>
                <w:delText>57</w:delText>
              </w:r>
              <w:r w:rsidR="00864A2F" w:rsidRPr="00AD4F25">
                <w:rPr>
                  <w:rFonts w:eastAsia="Times New Roman"/>
                  <w:sz w:val="22"/>
                  <w:rPrChange w:id="8168" w:author="AbbVie2" w:date="2025-05-14T10:17:00Z">
                    <w:rPr>
                      <w:rFonts w:eastAsia="Times New Roman"/>
                      <w:sz w:val="22"/>
                      <w:lang w:val="en-GB"/>
                    </w:rPr>
                  </w:rPrChange>
                </w:rPr>
                <w:delText>,</w:delText>
              </w:r>
              <w:r w:rsidRPr="00AD4F25">
                <w:rPr>
                  <w:rFonts w:eastAsia="Times New Roman"/>
                  <w:sz w:val="22"/>
                  <w:rPrChange w:id="8169" w:author="AbbVie2" w:date="2025-05-14T10:17:00Z">
                    <w:rPr>
                      <w:rFonts w:eastAsia="Times New Roman"/>
                      <w:sz w:val="22"/>
                      <w:lang w:val="en-GB"/>
                    </w:rPr>
                  </w:rPrChange>
                </w:rPr>
                <w:delText>2%***</w:delText>
              </w:r>
            </w:del>
          </w:p>
        </w:tc>
      </w:tr>
      <w:tr w:rsidR="00A7162A" w14:paraId="31B6A93A" w14:textId="1413B164" w:rsidTr="00D67AEC">
        <w:trPr>
          <w:jc w:val="center"/>
          <w:del w:id="8170" w:author="AbbVie2" w:date="2025-05-13T16:39:00Z"/>
        </w:trPr>
        <w:tc>
          <w:tcPr>
            <w:tcW w:w="3067" w:type="pct"/>
          </w:tcPr>
          <w:p w14:paraId="51FFC37E" w14:textId="4EF76BB6" w:rsidR="00D02F83" w:rsidRPr="00AD4F25" w:rsidRDefault="00615769">
            <w:pPr>
              <w:rPr>
                <w:del w:id="8171" w:author="AbbVie2" w:date="2025-05-13T16:39:00Z"/>
                <w:rFonts w:eastAsia="Times New Roman"/>
                <w:sz w:val="22"/>
                <w:rPrChange w:id="8172" w:author="AbbVie2" w:date="2025-05-14T10:17:00Z">
                  <w:rPr>
                    <w:del w:id="8173" w:author="AbbVie2" w:date="2025-05-13T16:39:00Z"/>
                    <w:rFonts w:eastAsia="Times New Roman"/>
                    <w:sz w:val="22"/>
                    <w:lang w:val="en-GB"/>
                  </w:rPr>
                </w:rPrChange>
              </w:rPr>
              <w:pPrChange w:id="8174" w:author="AbbVie2" w:date="2025-05-13T16:40:00Z">
                <w:pPr>
                  <w:keepNext/>
                  <w:tabs>
                    <w:tab w:val="left" w:pos="562"/>
                  </w:tabs>
                  <w:suppressAutoHyphens/>
                </w:pPr>
              </w:pPrChange>
            </w:pPr>
            <w:del w:id="8175" w:author="AbbVie2" w:date="2025-05-13T16:39:00Z">
              <w:r w:rsidRPr="00AD4F25">
                <w:rPr>
                  <w:rFonts w:eastAsia="Times New Roman"/>
                  <w:sz w:val="22"/>
                  <w:rPrChange w:id="8176" w:author="AbbVie2" w:date="2025-05-14T10:17:00Z">
                    <w:rPr>
                      <w:rFonts w:eastAsia="Times New Roman"/>
                      <w:sz w:val="22"/>
                      <w:lang w:val="en-GB"/>
                    </w:rPr>
                  </w:rPrChange>
                </w:rPr>
                <w:delText>Agravamento Parcial</w:delText>
              </w:r>
              <w:r w:rsidRPr="00AD4F25">
                <w:rPr>
                  <w:rFonts w:eastAsia="Times New Roman"/>
                  <w:sz w:val="22"/>
                  <w:szCs w:val="22"/>
                  <w:vertAlign w:val="superscript"/>
                  <w:rPrChange w:id="8177" w:author="AbbVie2" w:date="2025-05-14T10:17:00Z">
                    <w:rPr>
                      <w:rFonts w:eastAsia="Times New Roman"/>
                      <w:sz w:val="22"/>
                      <w:szCs w:val="22"/>
                      <w:vertAlign w:val="superscript"/>
                      <w:lang w:val="en-GB"/>
                    </w:rPr>
                  </w:rPrChange>
                </w:rPr>
                <w:delText>d</w:delText>
              </w:r>
            </w:del>
          </w:p>
        </w:tc>
        <w:tc>
          <w:tcPr>
            <w:tcW w:w="928" w:type="pct"/>
          </w:tcPr>
          <w:p w14:paraId="5BFB9AC7" w14:textId="66838D8E" w:rsidR="00D02F83" w:rsidRPr="00AD4F25" w:rsidRDefault="00615769">
            <w:pPr>
              <w:rPr>
                <w:del w:id="8178" w:author="AbbVie2" w:date="2025-05-13T16:39:00Z"/>
                <w:rFonts w:eastAsia="Times New Roman"/>
                <w:sz w:val="22"/>
                <w:rPrChange w:id="8179" w:author="AbbVie2" w:date="2025-05-14T10:17:00Z">
                  <w:rPr>
                    <w:del w:id="8180" w:author="AbbVie2" w:date="2025-05-13T16:39:00Z"/>
                    <w:rFonts w:eastAsia="Times New Roman"/>
                    <w:sz w:val="22"/>
                    <w:lang w:val="en-GB"/>
                  </w:rPr>
                </w:rPrChange>
              </w:rPr>
              <w:pPrChange w:id="8181" w:author="AbbVie2" w:date="2025-05-13T16:40:00Z">
                <w:pPr>
                  <w:keepNext/>
                  <w:tabs>
                    <w:tab w:val="left" w:pos="562"/>
                  </w:tabs>
                  <w:suppressAutoHyphens/>
                  <w:jc w:val="center"/>
                </w:pPr>
              </w:pPrChange>
            </w:pPr>
            <w:del w:id="8182" w:author="AbbVie2" w:date="2025-05-13T16:39:00Z">
              <w:r w:rsidRPr="00AD4F25">
                <w:rPr>
                  <w:rFonts w:eastAsia="Times New Roman"/>
                  <w:sz w:val="22"/>
                  <w:rPrChange w:id="8183" w:author="AbbVie2" w:date="2025-05-14T10:17:00Z">
                    <w:rPr>
                      <w:rFonts w:eastAsia="Times New Roman"/>
                      <w:sz w:val="22"/>
                      <w:lang w:val="en-GB"/>
                    </w:rPr>
                  </w:rPrChange>
                </w:rPr>
                <w:delText>64</w:delText>
              </w:r>
              <w:r w:rsidR="00864A2F" w:rsidRPr="00AD4F25">
                <w:rPr>
                  <w:rFonts w:eastAsia="Times New Roman"/>
                  <w:sz w:val="22"/>
                  <w:rPrChange w:id="8184" w:author="AbbVie2" w:date="2025-05-14T10:17:00Z">
                    <w:rPr>
                      <w:rFonts w:eastAsia="Times New Roman"/>
                      <w:sz w:val="22"/>
                      <w:lang w:val="en-GB"/>
                    </w:rPr>
                  </w:rPrChange>
                </w:rPr>
                <w:delText>,</w:delText>
              </w:r>
              <w:r w:rsidRPr="00AD4F25">
                <w:rPr>
                  <w:rFonts w:eastAsia="Times New Roman"/>
                  <w:sz w:val="22"/>
                  <w:rPrChange w:id="8185" w:author="AbbVie2" w:date="2025-05-14T10:17:00Z">
                    <w:rPr>
                      <w:rFonts w:eastAsia="Times New Roman"/>
                      <w:sz w:val="22"/>
                      <w:lang w:val="en-GB"/>
                    </w:rPr>
                  </w:rPrChange>
                </w:rPr>
                <w:delText>1%</w:delText>
              </w:r>
            </w:del>
          </w:p>
        </w:tc>
        <w:tc>
          <w:tcPr>
            <w:tcW w:w="1005" w:type="pct"/>
          </w:tcPr>
          <w:p w14:paraId="5E6DB49C" w14:textId="3619BA7A" w:rsidR="00D02F83" w:rsidRPr="00AD4F25" w:rsidRDefault="00615769">
            <w:pPr>
              <w:rPr>
                <w:del w:id="8186" w:author="AbbVie2" w:date="2025-05-13T16:39:00Z"/>
                <w:rFonts w:eastAsia="Times New Roman"/>
                <w:sz w:val="22"/>
                <w:rPrChange w:id="8187" w:author="AbbVie2" w:date="2025-05-14T10:17:00Z">
                  <w:rPr>
                    <w:del w:id="8188" w:author="AbbVie2" w:date="2025-05-13T16:39:00Z"/>
                    <w:rFonts w:eastAsia="Times New Roman"/>
                    <w:sz w:val="22"/>
                    <w:lang w:val="en-GB"/>
                  </w:rPr>
                </w:rPrChange>
              </w:rPr>
              <w:pPrChange w:id="8189" w:author="AbbVie2" w:date="2025-05-13T16:40:00Z">
                <w:pPr>
                  <w:keepNext/>
                  <w:tabs>
                    <w:tab w:val="left" w:pos="562"/>
                  </w:tabs>
                  <w:suppressAutoHyphens/>
                  <w:jc w:val="center"/>
                </w:pPr>
              </w:pPrChange>
            </w:pPr>
            <w:del w:id="8190" w:author="AbbVie2" w:date="2025-05-13T16:39:00Z">
              <w:r w:rsidRPr="00AD4F25">
                <w:rPr>
                  <w:rFonts w:eastAsia="Times New Roman"/>
                  <w:sz w:val="22"/>
                  <w:rPrChange w:id="8191" w:author="AbbVie2" w:date="2025-05-14T10:17:00Z">
                    <w:rPr>
                      <w:rFonts w:eastAsia="Times New Roman"/>
                      <w:sz w:val="22"/>
                      <w:lang w:val="en-GB"/>
                    </w:rPr>
                  </w:rPrChange>
                </w:rPr>
                <w:delText>40</w:delText>
              </w:r>
              <w:r w:rsidR="00864A2F" w:rsidRPr="00AD4F25">
                <w:rPr>
                  <w:rFonts w:eastAsia="Times New Roman"/>
                  <w:sz w:val="22"/>
                  <w:rPrChange w:id="8192" w:author="AbbVie2" w:date="2025-05-14T10:17:00Z">
                    <w:rPr>
                      <w:rFonts w:eastAsia="Times New Roman"/>
                      <w:sz w:val="22"/>
                      <w:lang w:val="en-GB"/>
                    </w:rPr>
                  </w:rPrChange>
                </w:rPr>
                <w:delText>,</w:delText>
              </w:r>
              <w:r w:rsidRPr="00AD4F25">
                <w:rPr>
                  <w:rFonts w:eastAsia="Times New Roman"/>
                  <w:sz w:val="22"/>
                  <w:rPrChange w:id="8193" w:author="AbbVie2" w:date="2025-05-14T10:17:00Z">
                    <w:rPr>
                      <w:rFonts w:eastAsia="Times New Roman"/>
                      <w:sz w:val="22"/>
                      <w:lang w:val="en-GB"/>
                    </w:rPr>
                  </w:rPrChange>
                </w:rPr>
                <w:delText>8%***</w:delText>
              </w:r>
            </w:del>
          </w:p>
        </w:tc>
      </w:tr>
      <w:tr w:rsidR="00A7162A" w14:paraId="66194920" w14:textId="3CA26E44" w:rsidTr="00D67AEC">
        <w:trPr>
          <w:jc w:val="center"/>
          <w:del w:id="8194" w:author="AbbVie2" w:date="2025-05-13T16:39:00Z"/>
        </w:trPr>
        <w:tc>
          <w:tcPr>
            <w:tcW w:w="5000" w:type="pct"/>
            <w:gridSpan w:val="3"/>
            <w:tcBorders>
              <w:left w:val="nil"/>
              <w:bottom w:val="nil"/>
              <w:right w:val="nil"/>
            </w:tcBorders>
          </w:tcPr>
          <w:p w14:paraId="4786E6C5" w14:textId="6E47C297" w:rsidR="00D02F83" w:rsidRPr="00AD4F25" w:rsidRDefault="00615769">
            <w:pPr>
              <w:rPr>
                <w:del w:id="8195" w:author="AbbVie2" w:date="2025-05-13T16:39:00Z"/>
                <w:rFonts w:eastAsia="Times New Roman"/>
                <w:i/>
                <w:sz w:val="22"/>
                <w:szCs w:val="22"/>
                <w:rPrChange w:id="8196" w:author="AbbVie2" w:date="2025-05-14T10:17:00Z">
                  <w:rPr>
                    <w:del w:id="8197" w:author="AbbVie2" w:date="2025-05-13T16:39:00Z"/>
                    <w:rFonts w:eastAsia="Times New Roman"/>
                    <w:i/>
                    <w:sz w:val="22"/>
                    <w:szCs w:val="22"/>
                    <w:lang w:val="en-GB"/>
                  </w:rPr>
                </w:rPrChange>
              </w:rPr>
              <w:pPrChange w:id="8198" w:author="AbbVie2" w:date="2025-05-13T16:40:00Z">
                <w:pPr>
                  <w:keepNext/>
                  <w:autoSpaceDE w:val="0"/>
                  <w:autoSpaceDN w:val="0"/>
                  <w:adjustRightInd w:val="0"/>
                </w:pPr>
              </w:pPrChange>
            </w:pPr>
            <w:del w:id="8199" w:author="AbbVie2" w:date="2025-05-13T16:39:00Z">
              <w:r w:rsidRPr="00AD4F25">
                <w:rPr>
                  <w:rFonts w:eastAsia="Times New Roman"/>
                  <w:sz w:val="22"/>
                  <w:szCs w:val="22"/>
                  <w:vertAlign w:val="superscript"/>
                  <w:rPrChange w:id="8200" w:author="AbbVie2" w:date="2025-05-14T10:17:00Z">
                    <w:rPr>
                      <w:rFonts w:eastAsia="Times New Roman"/>
                      <w:sz w:val="22"/>
                      <w:szCs w:val="22"/>
                      <w:vertAlign w:val="superscript"/>
                      <w:lang w:val="en-GB"/>
                    </w:rPr>
                  </w:rPrChange>
                </w:rPr>
                <w:delText>a</w:delText>
              </w:r>
              <w:r w:rsidRPr="00AD4F25">
                <w:rPr>
                  <w:rFonts w:eastAsia="Times New Roman"/>
                  <w:sz w:val="22"/>
                  <w:szCs w:val="22"/>
                  <w:rPrChange w:id="8201" w:author="AbbVie2" w:date="2025-05-14T10:17:00Z">
                    <w:rPr>
                      <w:rFonts w:eastAsia="Times New Roman"/>
                      <w:sz w:val="22"/>
                      <w:szCs w:val="22"/>
                      <w:lang w:val="en-GB"/>
                    </w:rPr>
                  </w:rPrChange>
                </w:rPr>
                <w:delText xml:space="preserve"> </w:delText>
              </w:r>
              <w:r w:rsidRPr="00AD4F25">
                <w:rPr>
                  <w:rFonts w:eastAsia="Times New Roman"/>
                  <w:i/>
                  <w:sz w:val="22"/>
                  <w:szCs w:val="22"/>
                  <w:rPrChange w:id="8202" w:author="AbbVie2" w:date="2025-05-14T10:17:00Z">
                    <w:rPr>
                      <w:rFonts w:eastAsia="Times New Roman"/>
                      <w:i/>
                      <w:sz w:val="22"/>
                      <w:szCs w:val="22"/>
                      <w:lang w:val="en-GB"/>
                    </w:rPr>
                  </w:rPrChange>
                </w:rPr>
                <w:delText>Assessment of SpondyloArthritis international Society</w:delText>
              </w:r>
            </w:del>
          </w:p>
          <w:p w14:paraId="1D4FDF19" w14:textId="397508C3" w:rsidR="00D02F83" w:rsidRPr="00A44E27" w:rsidRDefault="00615769">
            <w:pPr>
              <w:rPr>
                <w:del w:id="8203" w:author="AbbVie2" w:date="2025-05-13T16:39:00Z"/>
                <w:rFonts w:eastAsia="Times New Roman"/>
                <w:sz w:val="22"/>
                <w:szCs w:val="22"/>
                <w:vertAlign w:val="superscript"/>
              </w:rPr>
              <w:pPrChange w:id="8204" w:author="AbbVie2" w:date="2025-05-13T16:40:00Z">
                <w:pPr>
                  <w:keepNext/>
                  <w:tabs>
                    <w:tab w:val="left" w:pos="562"/>
                  </w:tabs>
                  <w:suppressAutoHyphens/>
                  <w:ind w:left="20"/>
                </w:pPr>
              </w:pPrChange>
            </w:pPr>
            <w:del w:id="8205" w:author="AbbVie2" w:date="2025-05-13T16:39:00Z">
              <w:r w:rsidRPr="00A44E27">
                <w:rPr>
                  <w:rFonts w:eastAsia="Times New Roman"/>
                  <w:sz w:val="22"/>
                  <w:szCs w:val="22"/>
                  <w:vertAlign w:val="superscript"/>
                </w:rPr>
                <w:delText>b</w:delText>
              </w:r>
              <w:r w:rsidRPr="00A44E27">
                <w:rPr>
                  <w:rFonts w:eastAsia="Times New Roman"/>
                  <w:sz w:val="22"/>
                  <w:szCs w:val="22"/>
                </w:rPr>
                <w:delText xml:space="preserve"> </w:delText>
              </w:r>
              <w:r w:rsidR="00836794" w:rsidRPr="00A44E27">
                <w:rPr>
                  <w:rFonts w:eastAsia="Times New Roman"/>
                  <w:sz w:val="22"/>
                  <w:szCs w:val="22"/>
                </w:rPr>
                <w:delText xml:space="preserve">A avaliação inicial é definida como </w:delText>
              </w:r>
              <w:r w:rsidR="00836794">
                <w:rPr>
                  <w:rFonts w:eastAsia="Times New Roman"/>
                  <w:sz w:val="22"/>
                  <w:szCs w:val="22"/>
                </w:rPr>
                <w:delText xml:space="preserve">a </w:delText>
              </w:r>
              <w:r w:rsidR="00836794" w:rsidRPr="00A44E27">
                <w:rPr>
                  <w:rFonts w:eastAsia="Times New Roman"/>
                  <w:sz w:val="22"/>
                  <w:szCs w:val="22"/>
                </w:rPr>
                <w:delText>avaliação inicial em fase aberta quando o</w:delText>
              </w:r>
              <w:r w:rsidR="00A0236A">
                <w:rPr>
                  <w:rFonts w:eastAsia="Times New Roman"/>
                  <w:sz w:val="22"/>
                  <w:szCs w:val="22"/>
                </w:rPr>
                <w:delText>s</w:delText>
              </w:r>
              <w:r w:rsidR="00836794" w:rsidRPr="00A44E27">
                <w:rPr>
                  <w:rFonts w:eastAsia="Times New Roman"/>
                  <w:sz w:val="22"/>
                  <w:szCs w:val="22"/>
                </w:rPr>
                <w:delText xml:space="preserve"> doente</w:delText>
              </w:r>
              <w:r w:rsidR="00A0236A">
                <w:rPr>
                  <w:rFonts w:eastAsia="Times New Roman"/>
                  <w:sz w:val="22"/>
                  <w:szCs w:val="22"/>
                </w:rPr>
                <w:delText>s</w:delText>
              </w:r>
              <w:r w:rsidR="00836794" w:rsidRPr="00A44E27">
                <w:rPr>
                  <w:rFonts w:eastAsia="Times New Roman"/>
                  <w:sz w:val="22"/>
                  <w:szCs w:val="22"/>
                </w:rPr>
                <w:delText xml:space="preserve"> t</w:delText>
              </w:r>
              <w:r w:rsidR="00A0236A">
                <w:rPr>
                  <w:rFonts w:eastAsia="Times New Roman"/>
                  <w:sz w:val="22"/>
                  <w:szCs w:val="22"/>
                </w:rPr>
                <w:delText>ê</w:delText>
              </w:r>
              <w:r w:rsidR="00836794" w:rsidRPr="00A44E27">
                <w:rPr>
                  <w:rFonts w:eastAsia="Times New Roman"/>
                  <w:sz w:val="22"/>
                  <w:szCs w:val="22"/>
                </w:rPr>
                <w:delText>m doença ativa</w:delText>
              </w:r>
              <w:r w:rsidR="00836794">
                <w:rPr>
                  <w:rFonts w:eastAsia="Times New Roman"/>
                  <w:sz w:val="22"/>
                  <w:szCs w:val="22"/>
                </w:rPr>
                <w:delText>.</w:delText>
              </w:r>
            </w:del>
          </w:p>
          <w:p w14:paraId="1C2E7928" w14:textId="43981912" w:rsidR="00D02F83" w:rsidRPr="00AD4F25" w:rsidRDefault="00615769">
            <w:pPr>
              <w:rPr>
                <w:del w:id="8206" w:author="AbbVie2" w:date="2025-05-13T16:39:00Z"/>
                <w:rFonts w:eastAsia="Times New Roman"/>
                <w:sz w:val="22"/>
                <w:szCs w:val="22"/>
                <w:vertAlign w:val="superscript"/>
                <w:rPrChange w:id="8207" w:author="AbbVie2" w:date="2025-05-14T10:17:00Z">
                  <w:rPr>
                    <w:del w:id="8208" w:author="AbbVie2" w:date="2025-05-13T16:39:00Z"/>
                    <w:rFonts w:eastAsia="Times New Roman"/>
                    <w:sz w:val="22"/>
                    <w:szCs w:val="22"/>
                    <w:vertAlign w:val="superscript"/>
                    <w:lang w:val="en-GB"/>
                  </w:rPr>
                </w:rPrChange>
              </w:rPr>
              <w:pPrChange w:id="8209" w:author="AbbVie2" w:date="2025-05-13T16:40:00Z">
                <w:pPr>
                  <w:keepNext/>
                  <w:tabs>
                    <w:tab w:val="left" w:pos="562"/>
                  </w:tabs>
                  <w:suppressAutoHyphens/>
                  <w:ind w:left="20"/>
                </w:pPr>
              </w:pPrChange>
            </w:pPr>
            <w:del w:id="8210" w:author="AbbVie2" w:date="2025-05-13T16:39:00Z">
              <w:r w:rsidRPr="00AD4F25">
                <w:rPr>
                  <w:rFonts w:eastAsia="Times New Roman"/>
                  <w:sz w:val="22"/>
                  <w:szCs w:val="22"/>
                  <w:vertAlign w:val="superscript"/>
                  <w:rPrChange w:id="8211" w:author="AbbVie2" w:date="2025-05-14T10:17:00Z">
                    <w:rPr>
                      <w:rFonts w:eastAsia="Times New Roman"/>
                      <w:sz w:val="22"/>
                      <w:szCs w:val="22"/>
                      <w:vertAlign w:val="superscript"/>
                      <w:lang w:val="en-GB"/>
                    </w:rPr>
                  </w:rPrChange>
                </w:rPr>
                <w:delText>c</w:delText>
              </w:r>
              <w:r w:rsidRPr="00AD4F25">
                <w:rPr>
                  <w:rFonts w:eastAsia="Times New Roman"/>
                  <w:sz w:val="22"/>
                  <w:szCs w:val="22"/>
                  <w:rPrChange w:id="8212" w:author="AbbVie2" w:date="2025-05-14T10:17:00Z">
                    <w:rPr>
                      <w:rFonts w:eastAsia="Times New Roman"/>
                      <w:sz w:val="22"/>
                      <w:szCs w:val="22"/>
                      <w:lang w:val="en-GB"/>
                    </w:rPr>
                  </w:rPrChange>
                </w:rPr>
                <w:delText xml:space="preserve"> </w:delText>
              </w:r>
              <w:r w:rsidRPr="00AD4F25">
                <w:rPr>
                  <w:rFonts w:eastAsia="Times New Roman"/>
                  <w:i/>
                  <w:sz w:val="22"/>
                  <w:szCs w:val="22"/>
                  <w:rPrChange w:id="8213" w:author="AbbVie2" w:date="2025-05-14T10:17:00Z">
                    <w:rPr>
                      <w:rFonts w:eastAsia="Times New Roman"/>
                      <w:i/>
                      <w:sz w:val="22"/>
                      <w:szCs w:val="22"/>
                      <w:lang w:val="en-GB"/>
                    </w:rPr>
                  </w:rPrChange>
                </w:rPr>
                <w:delText>Ankylosing Spondylitis Disease Activity Score</w:delText>
              </w:r>
            </w:del>
          </w:p>
          <w:p w14:paraId="3DEABA6A" w14:textId="60758787" w:rsidR="00D02F83" w:rsidRPr="00A44E27" w:rsidRDefault="00615769">
            <w:pPr>
              <w:rPr>
                <w:del w:id="8214" w:author="AbbVie2" w:date="2025-05-13T16:39:00Z"/>
                <w:rFonts w:eastAsia="Times New Roman"/>
                <w:sz w:val="22"/>
                <w:szCs w:val="22"/>
              </w:rPr>
              <w:pPrChange w:id="8215" w:author="AbbVie2" w:date="2025-05-13T16:40:00Z">
                <w:pPr>
                  <w:keepNext/>
                  <w:autoSpaceDE w:val="0"/>
                  <w:autoSpaceDN w:val="0"/>
                  <w:adjustRightInd w:val="0"/>
                </w:pPr>
              </w:pPrChange>
            </w:pPr>
            <w:del w:id="8216" w:author="AbbVie2" w:date="2025-05-13T16:39:00Z">
              <w:r w:rsidRPr="00A44E27">
                <w:rPr>
                  <w:rFonts w:eastAsia="Times New Roman"/>
                  <w:sz w:val="22"/>
                  <w:szCs w:val="22"/>
                  <w:vertAlign w:val="superscript"/>
                </w:rPr>
                <w:delText>d</w:delText>
              </w:r>
              <w:r w:rsidRPr="00A44E27">
                <w:rPr>
                  <w:rFonts w:eastAsia="Times New Roman"/>
                  <w:sz w:val="22"/>
                  <w:szCs w:val="22"/>
                </w:rPr>
                <w:delText xml:space="preserve"> </w:delText>
              </w:r>
              <w:r w:rsidR="00836794" w:rsidRPr="00A44E27">
                <w:rPr>
                  <w:rFonts w:eastAsia="Times New Roman"/>
                  <w:sz w:val="22"/>
                  <w:szCs w:val="22"/>
                </w:rPr>
                <w:delText xml:space="preserve">O agravamento parcial é definido </w:delText>
              </w:r>
              <w:r w:rsidR="00A0236A">
                <w:rPr>
                  <w:rFonts w:eastAsia="Times New Roman"/>
                  <w:sz w:val="22"/>
                  <w:szCs w:val="22"/>
                </w:rPr>
                <w:delText>como</w:delText>
              </w:r>
              <w:r w:rsidR="00836794" w:rsidRPr="00A44E27">
                <w:rPr>
                  <w:rFonts w:eastAsia="Times New Roman"/>
                  <w:sz w:val="22"/>
                  <w:szCs w:val="22"/>
                </w:rPr>
                <w:delText xml:space="preserve"> </w:delText>
              </w:r>
              <w:r w:rsidRPr="00A44E27">
                <w:rPr>
                  <w:rFonts w:eastAsiaTheme="minorHAnsi"/>
                  <w:sz w:val="22"/>
                  <w:szCs w:val="22"/>
                </w:rPr>
                <w:delText>ASDAS ≥ 1</w:delText>
              </w:r>
              <w:r w:rsidR="00836794" w:rsidRPr="00A44E27">
                <w:rPr>
                  <w:rFonts w:eastAsiaTheme="minorHAnsi"/>
                  <w:sz w:val="22"/>
                  <w:szCs w:val="22"/>
                </w:rPr>
                <w:delText>,</w:delText>
              </w:r>
              <w:r w:rsidRPr="00A44E27">
                <w:rPr>
                  <w:rFonts w:eastAsiaTheme="minorHAnsi"/>
                  <w:sz w:val="22"/>
                  <w:szCs w:val="22"/>
                </w:rPr>
                <w:delText xml:space="preserve">3 </w:delText>
              </w:r>
              <w:r w:rsidR="00836794">
                <w:rPr>
                  <w:rFonts w:eastAsiaTheme="minorHAnsi"/>
                  <w:sz w:val="22"/>
                  <w:szCs w:val="22"/>
                </w:rPr>
                <w:delText>mas</w:delText>
              </w:r>
              <w:r w:rsidRPr="00A44E27">
                <w:rPr>
                  <w:rFonts w:eastAsiaTheme="minorHAnsi"/>
                  <w:sz w:val="22"/>
                  <w:szCs w:val="22"/>
                </w:rPr>
                <w:delText xml:space="preserve"> &lt; 2</w:delText>
              </w:r>
              <w:r w:rsidR="00836794">
                <w:rPr>
                  <w:rFonts w:eastAsiaTheme="minorHAnsi"/>
                  <w:sz w:val="22"/>
                  <w:szCs w:val="22"/>
                </w:rPr>
                <w:delText>,</w:delText>
              </w:r>
              <w:r w:rsidRPr="00A44E27">
                <w:rPr>
                  <w:rFonts w:eastAsiaTheme="minorHAnsi"/>
                  <w:sz w:val="22"/>
                  <w:szCs w:val="22"/>
                </w:rPr>
                <w:delText xml:space="preserve">1 </w:delText>
              </w:r>
              <w:r w:rsidR="00836794">
                <w:rPr>
                  <w:rFonts w:eastAsiaTheme="minorHAnsi"/>
                  <w:sz w:val="22"/>
                  <w:szCs w:val="22"/>
                </w:rPr>
                <w:delText>em 2 visitas consecutivas</w:delText>
              </w:r>
              <w:r w:rsidRPr="00A44E27">
                <w:rPr>
                  <w:rFonts w:eastAsiaTheme="minorHAnsi"/>
                  <w:sz w:val="22"/>
                  <w:szCs w:val="22"/>
                </w:rPr>
                <w:delText>.</w:delText>
              </w:r>
            </w:del>
          </w:p>
          <w:p w14:paraId="70FE47E6" w14:textId="2114F908" w:rsidR="00D02F83" w:rsidRPr="00A44E27" w:rsidRDefault="00615769">
            <w:pPr>
              <w:rPr>
                <w:del w:id="8217" w:author="AbbVie2" w:date="2025-05-13T16:39:00Z"/>
                <w:rFonts w:eastAsia="Times New Roman"/>
              </w:rPr>
              <w:pPrChange w:id="8218" w:author="AbbVie2" w:date="2025-05-13T16:40:00Z">
                <w:pPr>
                  <w:pStyle w:val="EMEANormal"/>
                  <w:keepNext/>
                  <w:ind w:left="20"/>
                </w:pPr>
              </w:pPrChange>
            </w:pPr>
            <w:del w:id="8219" w:author="AbbVie2" w:date="2025-05-13T16:39:00Z">
              <w:r w:rsidRPr="00A44E27">
                <w:rPr>
                  <w:rFonts w:eastAsia="Times New Roman"/>
                  <w:szCs w:val="22"/>
                </w:rPr>
                <w:delText>***, **</w:delText>
              </w:r>
              <w:r w:rsidR="00836794" w:rsidRPr="00A44E27">
                <w:rPr>
                  <w:rFonts w:eastAsia="Times New Roman"/>
                  <w:szCs w:val="22"/>
                </w:rPr>
                <w:delText xml:space="preserve">Estatisticamente significativo </w:delText>
              </w:r>
              <w:r w:rsidRPr="00A44E27">
                <w:rPr>
                  <w:rFonts w:eastAsia="Times New Roman"/>
                  <w:szCs w:val="22"/>
                </w:rPr>
                <w:delText>p &lt; 0</w:delText>
              </w:r>
              <w:r w:rsidR="00836794" w:rsidRPr="00A44E27">
                <w:rPr>
                  <w:rFonts w:eastAsia="Times New Roman"/>
                  <w:szCs w:val="22"/>
                </w:rPr>
                <w:delText>,</w:delText>
              </w:r>
              <w:r w:rsidRPr="00A44E27">
                <w:rPr>
                  <w:rFonts w:eastAsia="Times New Roman"/>
                  <w:szCs w:val="22"/>
                </w:rPr>
                <w:delText xml:space="preserve">001 </w:delText>
              </w:r>
              <w:r w:rsidR="00836794" w:rsidRPr="00A44E27">
                <w:rPr>
                  <w:rFonts w:eastAsia="Times New Roman"/>
                  <w:szCs w:val="22"/>
                </w:rPr>
                <w:delText>e</w:delText>
              </w:r>
              <w:r w:rsidRPr="00A44E27">
                <w:rPr>
                  <w:rFonts w:eastAsia="Times New Roman"/>
                  <w:szCs w:val="22"/>
                </w:rPr>
                <w:delText xml:space="preserve"> &lt; 0</w:delText>
              </w:r>
              <w:r w:rsidR="00836794" w:rsidRPr="00A44E27">
                <w:rPr>
                  <w:rFonts w:eastAsia="Times New Roman"/>
                  <w:szCs w:val="22"/>
                </w:rPr>
                <w:delText>,</w:delText>
              </w:r>
              <w:r w:rsidRPr="00A44E27">
                <w:rPr>
                  <w:rFonts w:eastAsia="Times New Roman"/>
                  <w:szCs w:val="22"/>
                </w:rPr>
                <w:delText xml:space="preserve">01, </w:delText>
              </w:r>
              <w:r w:rsidR="00836794" w:rsidRPr="008912CF">
                <w:rPr>
                  <w:szCs w:val="22"/>
                </w:rPr>
                <w:delText>respetivamente, para</w:delText>
              </w:r>
              <w:r w:rsidR="00836794">
                <w:rPr>
                  <w:szCs w:val="22"/>
                </w:rPr>
                <w:delText xml:space="preserve"> </w:delText>
              </w:r>
              <w:r w:rsidR="00836794" w:rsidRPr="008912CF">
                <w:rPr>
                  <w:szCs w:val="22"/>
                </w:rPr>
                <w:delText>todas as comparações entre Humira e placebo</w:delText>
              </w:r>
              <w:r w:rsidRPr="00A44E27">
                <w:rPr>
                  <w:rFonts w:eastAsia="Times New Roman"/>
                  <w:szCs w:val="22"/>
                </w:rPr>
                <w:delText>.</w:delText>
              </w:r>
            </w:del>
          </w:p>
        </w:tc>
      </w:tr>
    </w:tbl>
    <w:p w14:paraId="73173327" w14:textId="3E6CEFAF" w:rsidR="007F0A96" w:rsidRPr="00CC150F" w:rsidRDefault="007F0A96">
      <w:pPr>
        <w:rPr>
          <w:del w:id="8220" w:author="AbbVie2" w:date="2025-05-13T16:39:00Z"/>
          <w:szCs w:val="20"/>
        </w:rPr>
        <w:pPrChange w:id="8221" w:author="AbbVie2" w:date="2025-05-13T16:40:00Z">
          <w:pPr>
            <w:pStyle w:val="BodyText2"/>
            <w:autoSpaceDE/>
            <w:autoSpaceDN/>
            <w:adjustRightInd/>
          </w:pPr>
        </w:pPrChange>
      </w:pPr>
    </w:p>
    <w:p w14:paraId="5C1259E6" w14:textId="05A2879D" w:rsidR="004462A0" w:rsidRPr="008912CF" w:rsidRDefault="00615769" w:rsidP="00412FC8">
      <w:pPr>
        <w:rPr>
          <w:del w:id="8222" w:author="AbbVie2" w:date="2025-05-13T16:39:00Z"/>
          <w:sz w:val="22"/>
          <w:szCs w:val="22"/>
          <w:u w:val="single"/>
        </w:rPr>
      </w:pPr>
      <w:del w:id="8223" w:author="AbbVie2" w:date="2025-05-13T16:39:00Z">
        <w:r w:rsidRPr="008912CF">
          <w:rPr>
            <w:i/>
            <w:sz w:val="22"/>
            <w:szCs w:val="22"/>
          </w:rPr>
          <w:delText>Artrite psoriática</w:delText>
        </w:r>
      </w:del>
    </w:p>
    <w:p w14:paraId="470FBAC6" w14:textId="473958B1" w:rsidR="004462A0" w:rsidRPr="008912CF" w:rsidRDefault="004462A0">
      <w:pPr>
        <w:rPr>
          <w:del w:id="8224" w:author="AbbVie2" w:date="2025-05-13T16:39:00Z"/>
          <w:szCs w:val="22"/>
        </w:rPr>
        <w:pPrChange w:id="8225" w:author="AbbVie2" w:date="2025-05-13T16:40:00Z">
          <w:pPr>
            <w:pStyle w:val="EMEAHeadingUnderline"/>
            <w:tabs>
              <w:tab w:val="clear" w:pos="562"/>
            </w:tabs>
            <w:suppressAutoHyphens w:val="0"/>
            <w:spacing w:before="0" w:after="0"/>
          </w:pPr>
        </w:pPrChange>
      </w:pPr>
    </w:p>
    <w:p w14:paraId="417D1F30" w14:textId="388D12F6" w:rsidR="004462A0" w:rsidRPr="008912CF" w:rsidRDefault="00615769">
      <w:pPr>
        <w:rPr>
          <w:del w:id="8226" w:author="AbbVie2" w:date="2025-05-13T16:39:00Z"/>
        </w:rPr>
        <w:pPrChange w:id="8227" w:author="AbbVie2" w:date="2025-05-13T16:40:00Z">
          <w:pPr>
            <w:pStyle w:val="EMEAHeadingUnderline"/>
            <w:tabs>
              <w:tab w:val="clear" w:pos="562"/>
            </w:tabs>
            <w:suppressAutoHyphens w:val="0"/>
            <w:spacing w:before="0" w:after="0"/>
          </w:pPr>
        </w:pPrChange>
      </w:pPr>
      <w:del w:id="8228" w:author="AbbVie2" w:date="2025-05-13T16:39:00Z">
        <w:r w:rsidRPr="008912CF">
          <w:delText>Humira 40 mg em semanas alternadas foi estudado em doentes com artrite psoriática ativa moderada a grave em dois estudos controlados com placebo</w:delText>
        </w:r>
        <w:r w:rsidR="009E086D">
          <w:delText>,</w:delText>
        </w:r>
        <w:r w:rsidRPr="008912CF">
          <w:delText xml:space="preserve"> estudos APs I e II. No estudo APs I com 24 semanas de duração, foram tratados 313 doentes adultos que apresentaram uma resposta inadequada a uma terapêutica anti-inflamatória não esteroide e destes, aproximadamente 50</w:delText>
        </w:r>
        <w:r w:rsidR="009343EF">
          <w:delText>%</w:delText>
        </w:r>
        <w:r w:rsidRPr="008912CF">
          <w:delText xml:space="preserve"> </w:delText>
        </w:r>
        <w:r w:rsidR="00C41293">
          <w:delText xml:space="preserve">estavam a receber </w:delText>
        </w:r>
        <w:r w:rsidRPr="008912CF">
          <w:delText>metotrexato. No estudo APs II com 12 semanas de duração, foram tratados 100 doentes que apresentaram uma resposta inadequada a uma terapêutica com DMARD. Após conclusão dos dois estudos, Humira 40 mg foi administrado em semanas alternadas em 383 doentes envolvidos num estudo de extensão de fase aberta.</w:delText>
        </w:r>
      </w:del>
    </w:p>
    <w:p w14:paraId="7822456F" w14:textId="171D4781" w:rsidR="004462A0" w:rsidRPr="008912CF" w:rsidRDefault="004462A0" w:rsidP="00412FC8">
      <w:pPr>
        <w:rPr>
          <w:del w:id="8229" w:author="AbbVie2" w:date="2025-05-13T16:39:00Z"/>
          <w:sz w:val="22"/>
          <w:szCs w:val="20"/>
        </w:rPr>
      </w:pPr>
    </w:p>
    <w:p w14:paraId="55CE9AB9" w14:textId="73969F4D" w:rsidR="004462A0" w:rsidRPr="008912CF" w:rsidRDefault="00615769" w:rsidP="00412FC8">
      <w:pPr>
        <w:rPr>
          <w:del w:id="8230" w:author="AbbVie2" w:date="2025-05-13T16:39:00Z"/>
          <w:sz w:val="22"/>
          <w:szCs w:val="22"/>
        </w:rPr>
      </w:pPr>
      <w:del w:id="8231" w:author="AbbVie2" w:date="2025-05-13T16:39:00Z">
        <w:r w:rsidRPr="008912CF">
          <w:rPr>
            <w:sz w:val="22"/>
            <w:szCs w:val="22"/>
          </w:rPr>
          <w:delText xml:space="preserve">Não há evidência suficiente da eficácia de Humira em doentes com artropatia psoriática de tipo espondilite anquilosante devido ao pequeno número de doentes estudados. </w:delText>
        </w:r>
      </w:del>
    </w:p>
    <w:p w14:paraId="72129E85" w14:textId="746A3AAA" w:rsidR="004462A0" w:rsidRPr="008912CF" w:rsidRDefault="004462A0" w:rsidP="00412FC8">
      <w:pPr>
        <w:rPr>
          <w:del w:id="8232" w:author="AbbVie2" w:date="2025-05-13T16:39:00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1"/>
      </w:tblGrid>
      <w:tr w:rsidR="00A7162A" w14:paraId="26A59EBD" w14:textId="0D851F26" w:rsidTr="00F675CF">
        <w:trPr>
          <w:jc w:val="center"/>
          <w:del w:id="8233" w:author="AbbVie2" w:date="2025-05-13T16:39:00Z"/>
        </w:trPr>
        <w:tc>
          <w:tcPr>
            <w:tcW w:w="9211" w:type="dxa"/>
            <w:tcBorders>
              <w:top w:val="nil"/>
              <w:left w:val="nil"/>
              <w:bottom w:val="nil"/>
              <w:right w:val="nil"/>
            </w:tcBorders>
            <w:vAlign w:val="center"/>
          </w:tcPr>
          <w:p w14:paraId="4F58430F" w14:textId="6D61092F" w:rsidR="004462A0" w:rsidRPr="008912CF" w:rsidRDefault="00615769">
            <w:pPr>
              <w:rPr>
                <w:del w:id="8234" w:author="AbbVie2" w:date="2025-05-13T16:39:00Z"/>
                <w:b/>
                <w:bCs/>
                <w:szCs w:val="22"/>
              </w:rPr>
              <w:pPrChange w:id="8235" w:author="AbbVie2" w:date="2025-05-13T16:40:00Z">
                <w:pPr>
                  <w:pStyle w:val="EMEANormal"/>
                  <w:jc w:val="center"/>
                </w:pPr>
              </w:pPrChange>
            </w:pPr>
            <w:del w:id="8236" w:author="AbbVie2" w:date="2025-05-13T16:39:00Z">
              <w:r w:rsidRPr="008912CF">
                <w:rPr>
                  <w:b/>
                  <w:bCs/>
                  <w:szCs w:val="22"/>
                </w:rPr>
                <w:delText xml:space="preserve">Tabela </w:delText>
              </w:r>
              <w:r w:rsidR="00A22EC4">
                <w:rPr>
                  <w:b/>
                  <w:bCs/>
                  <w:szCs w:val="22"/>
                </w:rPr>
                <w:delText>1</w:delText>
              </w:r>
              <w:r w:rsidR="00E3620C">
                <w:rPr>
                  <w:b/>
                  <w:bCs/>
                  <w:szCs w:val="22"/>
                </w:rPr>
                <w:delText>5</w:delText>
              </w:r>
            </w:del>
          </w:p>
          <w:p w14:paraId="08118246" w14:textId="22E592DC" w:rsidR="004462A0" w:rsidRPr="008912CF" w:rsidRDefault="00615769">
            <w:pPr>
              <w:rPr>
                <w:del w:id="8237" w:author="AbbVie2" w:date="2025-05-13T16:39:00Z"/>
                <w:b/>
                <w:bCs/>
                <w:szCs w:val="22"/>
              </w:rPr>
              <w:pPrChange w:id="8238" w:author="AbbVie2" w:date="2025-05-13T16:40:00Z">
                <w:pPr>
                  <w:pStyle w:val="EMEANormal"/>
                  <w:jc w:val="center"/>
                </w:pPr>
              </w:pPrChange>
            </w:pPr>
            <w:del w:id="8239" w:author="AbbVie2" w:date="2025-05-13T16:39:00Z">
              <w:r w:rsidRPr="008912CF">
                <w:rPr>
                  <w:b/>
                  <w:bCs/>
                  <w:szCs w:val="22"/>
                </w:rPr>
                <w:delText>Respostas ACR nos Ensaios controlados com Placebo em doentes com Artrite Psoriática</w:delText>
              </w:r>
            </w:del>
          </w:p>
          <w:p w14:paraId="22BF7985" w14:textId="171B4DD2" w:rsidR="004462A0" w:rsidRPr="008912CF" w:rsidRDefault="00615769">
            <w:pPr>
              <w:rPr>
                <w:del w:id="8240" w:author="AbbVie2" w:date="2025-05-13T16:39:00Z"/>
                <w:b/>
                <w:bCs/>
                <w:szCs w:val="22"/>
              </w:rPr>
              <w:pPrChange w:id="8241" w:author="AbbVie2" w:date="2025-05-13T16:40:00Z">
                <w:pPr>
                  <w:pStyle w:val="EMEANormal"/>
                  <w:jc w:val="center"/>
                </w:pPr>
              </w:pPrChange>
            </w:pPr>
            <w:del w:id="8242" w:author="AbbVie2" w:date="2025-05-13T16:39:00Z">
              <w:r w:rsidRPr="008912CF">
                <w:rPr>
                  <w:b/>
                  <w:bCs/>
                  <w:szCs w:val="22"/>
                </w:rPr>
                <w:delText>(Percentagem de doentes)</w:delText>
              </w:r>
            </w:del>
          </w:p>
        </w:tc>
      </w:tr>
    </w:tbl>
    <w:p w14:paraId="3AC76DB6" w14:textId="4708AE93" w:rsidR="004462A0" w:rsidRPr="008912CF" w:rsidRDefault="004462A0">
      <w:pPr>
        <w:rPr>
          <w:del w:id="8243" w:author="AbbVie2" w:date="2025-05-13T16:39:00Z"/>
          <w:szCs w:val="22"/>
        </w:rPr>
        <w:pPrChange w:id="8244" w:author="AbbVie2" w:date="2025-05-13T16:40:00Z">
          <w:pPr>
            <w:pStyle w:val="EMEANormal"/>
            <w:ind w:left="2160"/>
            <w:jc w:val="center"/>
          </w:pPr>
        </w:pPrChange>
      </w:pPr>
    </w:p>
    <w:tbl>
      <w:tblPr>
        <w:tblW w:w="7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
        <w:gridCol w:w="1757"/>
        <w:gridCol w:w="1325"/>
        <w:gridCol w:w="1316"/>
        <w:gridCol w:w="1343"/>
        <w:gridCol w:w="1297"/>
        <w:gridCol w:w="19"/>
      </w:tblGrid>
      <w:tr w:rsidR="00A7162A" w14:paraId="42B75705" w14:textId="549D0440" w:rsidTr="00F675CF">
        <w:trPr>
          <w:jc w:val="center"/>
          <w:del w:id="8245" w:author="AbbVie2" w:date="2025-05-13T16:39:00Z"/>
        </w:trPr>
        <w:tc>
          <w:tcPr>
            <w:tcW w:w="1770" w:type="dxa"/>
            <w:gridSpan w:val="2"/>
            <w:vAlign w:val="center"/>
          </w:tcPr>
          <w:p w14:paraId="0FC8A9AD" w14:textId="331E18F7" w:rsidR="004462A0" w:rsidRPr="008912CF" w:rsidRDefault="004462A0">
            <w:pPr>
              <w:rPr>
                <w:del w:id="8246" w:author="AbbVie2" w:date="2025-05-13T16:39:00Z"/>
                <w:szCs w:val="22"/>
              </w:rPr>
              <w:pPrChange w:id="8247" w:author="AbbVie2" w:date="2025-05-13T16:40:00Z">
                <w:pPr>
                  <w:pStyle w:val="EMEANormal"/>
                  <w:jc w:val="center"/>
                </w:pPr>
              </w:pPrChange>
            </w:pPr>
          </w:p>
        </w:tc>
        <w:tc>
          <w:tcPr>
            <w:tcW w:w="2641" w:type="dxa"/>
            <w:gridSpan w:val="2"/>
            <w:vAlign w:val="center"/>
          </w:tcPr>
          <w:p w14:paraId="2021FB0F" w14:textId="2533160A" w:rsidR="004462A0" w:rsidRPr="008912CF" w:rsidRDefault="00615769">
            <w:pPr>
              <w:rPr>
                <w:del w:id="8248" w:author="AbbVie2" w:date="2025-05-13T16:39:00Z"/>
                <w:szCs w:val="22"/>
              </w:rPr>
              <w:pPrChange w:id="8249" w:author="AbbVie2" w:date="2025-05-13T16:40:00Z">
                <w:pPr>
                  <w:pStyle w:val="EMEANormal"/>
                  <w:jc w:val="center"/>
                </w:pPr>
              </w:pPrChange>
            </w:pPr>
            <w:del w:id="8250" w:author="AbbVie2" w:date="2025-05-13T16:39:00Z">
              <w:r w:rsidRPr="008912CF">
                <w:rPr>
                  <w:szCs w:val="22"/>
                </w:rPr>
                <w:delText>Estudo APs I</w:delText>
              </w:r>
            </w:del>
          </w:p>
        </w:tc>
        <w:tc>
          <w:tcPr>
            <w:tcW w:w="2659" w:type="dxa"/>
            <w:gridSpan w:val="3"/>
          </w:tcPr>
          <w:p w14:paraId="52A9448A" w14:textId="667293CD" w:rsidR="004462A0" w:rsidRPr="008912CF" w:rsidRDefault="00615769">
            <w:pPr>
              <w:rPr>
                <w:del w:id="8251" w:author="AbbVie2" w:date="2025-05-13T16:39:00Z"/>
                <w:szCs w:val="22"/>
              </w:rPr>
              <w:pPrChange w:id="8252" w:author="AbbVie2" w:date="2025-05-13T16:40:00Z">
                <w:pPr>
                  <w:pStyle w:val="EMEANormal"/>
                  <w:jc w:val="center"/>
                </w:pPr>
              </w:pPrChange>
            </w:pPr>
            <w:del w:id="8253" w:author="AbbVie2" w:date="2025-05-13T16:39:00Z">
              <w:r w:rsidRPr="008912CF">
                <w:rPr>
                  <w:szCs w:val="22"/>
                </w:rPr>
                <w:delText>Estudo APs II</w:delText>
              </w:r>
            </w:del>
          </w:p>
        </w:tc>
      </w:tr>
      <w:tr w:rsidR="00A7162A" w14:paraId="1099998E" w14:textId="53AAB2F6" w:rsidTr="00F675CF">
        <w:trPr>
          <w:jc w:val="center"/>
          <w:del w:id="8254" w:author="AbbVie2" w:date="2025-05-13T16:39:00Z"/>
        </w:trPr>
        <w:tc>
          <w:tcPr>
            <w:tcW w:w="1770" w:type="dxa"/>
            <w:gridSpan w:val="2"/>
            <w:vAlign w:val="center"/>
          </w:tcPr>
          <w:p w14:paraId="0E924272" w14:textId="1FFCC0BA" w:rsidR="004462A0" w:rsidRPr="008912CF" w:rsidRDefault="00615769">
            <w:pPr>
              <w:rPr>
                <w:del w:id="8255" w:author="AbbVie2" w:date="2025-05-13T16:39:00Z"/>
                <w:szCs w:val="22"/>
              </w:rPr>
              <w:pPrChange w:id="8256" w:author="AbbVie2" w:date="2025-05-13T16:40:00Z">
                <w:pPr>
                  <w:pStyle w:val="EMEANormal"/>
                  <w:jc w:val="center"/>
                </w:pPr>
              </w:pPrChange>
            </w:pPr>
            <w:del w:id="8257" w:author="AbbVie2" w:date="2025-05-13T16:39:00Z">
              <w:r w:rsidRPr="008912CF">
                <w:rPr>
                  <w:szCs w:val="22"/>
                </w:rPr>
                <w:delText>Resposta</w:delText>
              </w:r>
            </w:del>
          </w:p>
        </w:tc>
        <w:tc>
          <w:tcPr>
            <w:tcW w:w="1325" w:type="dxa"/>
            <w:vAlign w:val="center"/>
          </w:tcPr>
          <w:p w14:paraId="1C0BCAE9" w14:textId="7685DCE1" w:rsidR="004462A0" w:rsidRPr="008912CF" w:rsidRDefault="00615769">
            <w:pPr>
              <w:rPr>
                <w:del w:id="8258" w:author="AbbVie2" w:date="2025-05-13T16:39:00Z"/>
                <w:szCs w:val="22"/>
              </w:rPr>
              <w:pPrChange w:id="8259" w:author="AbbVie2" w:date="2025-05-13T16:40:00Z">
                <w:pPr>
                  <w:pStyle w:val="EMEANormal"/>
                  <w:jc w:val="center"/>
                </w:pPr>
              </w:pPrChange>
            </w:pPr>
            <w:del w:id="8260" w:author="AbbVie2" w:date="2025-05-13T16:39:00Z">
              <w:r w:rsidRPr="008912CF">
                <w:rPr>
                  <w:szCs w:val="22"/>
                </w:rPr>
                <w:delText>Placebo</w:delText>
              </w:r>
            </w:del>
          </w:p>
          <w:p w14:paraId="0B7408AA" w14:textId="721DF79B" w:rsidR="004462A0" w:rsidRPr="008912CF" w:rsidRDefault="00615769">
            <w:pPr>
              <w:rPr>
                <w:del w:id="8261" w:author="AbbVie2" w:date="2025-05-13T16:39:00Z"/>
                <w:szCs w:val="22"/>
              </w:rPr>
              <w:pPrChange w:id="8262" w:author="AbbVie2" w:date="2025-05-13T16:40:00Z">
                <w:pPr>
                  <w:pStyle w:val="EMEANormal"/>
                  <w:jc w:val="center"/>
                </w:pPr>
              </w:pPrChange>
            </w:pPr>
            <w:del w:id="8263" w:author="AbbVie2" w:date="2025-05-13T16:39:00Z">
              <w:r w:rsidRPr="008912CF">
                <w:rPr>
                  <w:szCs w:val="22"/>
                </w:rPr>
                <w:delText>N = 162</w:delText>
              </w:r>
            </w:del>
          </w:p>
        </w:tc>
        <w:tc>
          <w:tcPr>
            <w:tcW w:w="1316" w:type="dxa"/>
            <w:tcBorders>
              <w:right w:val="nil"/>
            </w:tcBorders>
            <w:vAlign w:val="center"/>
          </w:tcPr>
          <w:p w14:paraId="7D7D2830" w14:textId="58EA1E5E" w:rsidR="004462A0" w:rsidRPr="008912CF" w:rsidRDefault="00615769">
            <w:pPr>
              <w:rPr>
                <w:del w:id="8264" w:author="AbbVie2" w:date="2025-05-13T16:39:00Z"/>
                <w:szCs w:val="22"/>
              </w:rPr>
              <w:pPrChange w:id="8265" w:author="AbbVie2" w:date="2025-05-13T16:40:00Z">
                <w:pPr>
                  <w:pStyle w:val="EMEANormal"/>
                  <w:jc w:val="center"/>
                </w:pPr>
              </w:pPrChange>
            </w:pPr>
            <w:del w:id="8266" w:author="AbbVie2" w:date="2025-05-13T16:39:00Z">
              <w:r w:rsidRPr="008912CF">
                <w:rPr>
                  <w:szCs w:val="22"/>
                </w:rPr>
                <w:delText>Humira</w:delText>
              </w:r>
            </w:del>
          </w:p>
          <w:p w14:paraId="457BAFC0" w14:textId="01022A56" w:rsidR="004462A0" w:rsidRPr="008912CF" w:rsidRDefault="00615769">
            <w:pPr>
              <w:rPr>
                <w:del w:id="8267" w:author="AbbVie2" w:date="2025-05-13T16:39:00Z"/>
                <w:szCs w:val="22"/>
              </w:rPr>
              <w:pPrChange w:id="8268" w:author="AbbVie2" w:date="2025-05-13T16:40:00Z">
                <w:pPr>
                  <w:pStyle w:val="EMEANormal"/>
                  <w:jc w:val="center"/>
                </w:pPr>
              </w:pPrChange>
            </w:pPr>
            <w:del w:id="8269" w:author="AbbVie2" w:date="2025-05-13T16:39:00Z">
              <w:r w:rsidRPr="008912CF">
                <w:rPr>
                  <w:szCs w:val="22"/>
                </w:rPr>
                <w:delText>N = 151</w:delText>
              </w:r>
            </w:del>
          </w:p>
        </w:tc>
        <w:tc>
          <w:tcPr>
            <w:tcW w:w="1343" w:type="dxa"/>
          </w:tcPr>
          <w:p w14:paraId="35122B66" w14:textId="7675FEA8" w:rsidR="004462A0" w:rsidRPr="008912CF" w:rsidRDefault="00615769">
            <w:pPr>
              <w:rPr>
                <w:del w:id="8270" w:author="AbbVie2" w:date="2025-05-13T16:39:00Z"/>
                <w:szCs w:val="22"/>
              </w:rPr>
              <w:pPrChange w:id="8271" w:author="AbbVie2" w:date="2025-05-13T16:40:00Z">
                <w:pPr>
                  <w:pStyle w:val="EMEANormal"/>
                  <w:jc w:val="center"/>
                </w:pPr>
              </w:pPrChange>
            </w:pPr>
            <w:del w:id="8272" w:author="AbbVie2" w:date="2025-05-13T16:39:00Z">
              <w:r w:rsidRPr="008912CF">
                <w:rPr>
                  <w:szCs w:val="22"/>
                </w:rPr>
                <w:delText>Placebo</w:delText>
              </w:r>
            </w:del>
          </w:p>
          <w:p w14:paraId="1517A8F2" w14:textId="41C44E07" w:rsidR="004462A0" w:rsidRPr="008912CF" w:rsidRDefault="00615769">
            <w:pPr>
              <w:rPr>
                <w:del w:id="8273" w:author="AbbVie2" w:date="2025-05-13T16:39:00Z"/>
                <w:szCs w:val="22"/>
              </w:rPr>
              <w:pPrChange w:id="8274" w:author="AbbVie2" w:date="2025-05-13T16:40:00Z">
                <w:pPr>
                  <w:pStyle w:val="EMEANormal"/>
                  <w:jc w:val="center"/>
                </w:pPr>
              </w:pPrChange>
            </w:pPr>
            <w:del w:id="8275" w:author="AbbVie2" w:date="2025-05-13T16:39:00Z">
              <w:r w:rsidRPr="008912CF">
                <w:rPr>
                  <w:szCs w:val="22"/>
                </w:rPr>
                <w:delText>N = 49</w:delText>
              </w:r>
            </w:del>
          </w:p>
        </w:tc>
        <w:tc>
          <w:tcPr>
            <w:tcW w:w="1316" w:type="dxa"/>
            <w:gridSpan w:val="2"/>
          </w:tcPr>
          <w:p w14:paraId="47B90AEE" w14:textId="40D57ADA" w:rsidR="004462A0" w:rsidRPr="008912CF" w:rsidRDefault="00615769">
            <w:pPr>
              <w:rPr>
                <w:del w:id="8276" w:author="AbbVie2" w:date="2025-05-13T16:39:00Z"/>
                <w:szCs w:val="22"/>
              </w:rPr>
              <w:pPrChange w:id="8277" w:author="AbbVie2" w:date="2025-05-13T16:40:00Z">
                <w:pPr>
                  <w:pStyle w:val="EMEANormal"/>
                  <w:jc w:val="center"/>
                </w:pPr>
              </w:pPrChange>
            </w:pPr>
            <w:del w:id="8278" w:author="AbbVie2" w:date="2025-05-13T16:39:00Z">
              <w:r w:rsidRPr="008912CF">
                <w:rPr>
                  <w:szCs w:val="22"/>
                </w:rPr>
                <w:delText>Humira</w:delText>
              </w:r>
            </w:del>
          </w:p>
          <w:p w14:paraId="20E51D16" w14:textId="468E1439" w:rsidR="004462A0" w:rsidRPr="008912CF" w:rsidRDefault="00615769">
            <w:pPr>
              <w:rPr>
                <w:del w:id="8279" w:author="AbbVie2" w:date="2025-05-13T16:39:00Z"/>
                <w:szCs w:val="22"/>
              </w:rPr>
              <w:pPrChange w:id="8280" w:author="AbbVie2" w:date="2025-05-13T16:40:00Z">
                <w:pPr>
                  <w:pStyle w:val="EMEANormal"/>
                  <w:jc w:val="center"/>
                </w:pPr>
              </w:pPrChange>
            </w:pPr>
            <w:del w:id="8281" w:author="AbbVie2" w:date="2025-05-13T16:39:00Z">
              <w:r w:rsidRPr="008912CF">
                <w:rPr>
                  <w:szCs w:val="22"/>
                </w:rPr>
                <w:delText>N = 51</w:delText>
              </w:r>
            </w:del>
          </w:p>
        </w:tc>
      </w:tr>
      <w:tr w:rsidR="00A7162A" w14:paraId="31D24F62" w14:textId="54761933" w:rsidTr="00F675CF">
        <w:trPr>
          <w:jc w:val="center"/>
          <w:del w:id="8282" w:author="AbbVie2" w:date="2025-05-13T16:39:00Z"/>
        </w:trPr>
        <w:tc>
          <w:tcPr>
            <w:tcW w:w="1770" w:type="dxa"/>
            <w:gridSpan w:val="2"/>
            <w:tcBorders>
              <w:bottom w:val="nil"/>
            </w:tcBorders>
          </w:tcPr>
          <w:p w14:paraId="6FA497C7" w14:textId="61F1BD99" w:rsidR="004462A0" w:rsidRPr="008912CF" w:rsidRDefault="00615769">
            <w:pPr>
              <w:rPr>
                <w:del w:id="8283" w:author="AbbVie2" w:date="2025-05-13T16:39:00Z"/>
                <w:szCs w:val="22"/>
              </w:rPr>
              <w:pPrChange w:id="8284" w:author="AbbVie2" w:date="2025-05-13T16:40:00Z">
                <w:pPr>
                  <w:pStyle w:val="EMEANormal"/>
                </w:pPr>
              </w:pPrChange>
            </w:pPr>
            <w:del w:id="8285" w:author="AbbVie2" w:date="2025-05-13T16:39:00Z">
              <w:r w:rsidRPr="008912CF">
                <w:rPr>
                  <w:szCs w:val="22"/>
                </w:rPr>
                <w:delText>ACR 20</w:delText>
              </w:r>
            </w:del>
          </w:p>
        </w:tc>
        <w:tc>
          <w:tcPr>
            <w:tcW w:w="1325" w:type="dxa"/>
            <w:tcBorders>
              <w:bottom w:val="nil"/>
            </w:tcBorders>
          </w:tcPr>
          <w:p w14:paraId="185F9A2B" w14:textId="12037286" w:rsidR="004462A0" w:rsidRPr="008912CF" w:rsidRDefault="004462A0">
            <w:pPr>
              <w:rPr>
                <w:del w:id="8286" w:author="AbbVie2" w:date="2025-05-13T16:39:00Z"/>
                <w:szCs w:val="22"/>
              </w:rPr>
              <w:pPrChange w:id="8287" w:author="AbbVie2" w:date="2025-05-13T16:40:00Z">
                <w:pPr>
                  <w:pStyle w:val="EMEANormal"/>
                  <w:jc w:val="center"/>
                </w:pPr>
              </w:pPrChange>
            </w:pPr>
          </w:p>
        </w:tc>
        <w:tc>
          <w:tcPr>
            <w:tcW w:w="1316" w:type="dxa"/>
            <w:tcBorders>
              <w:bottom w:val="nil"/>
              <w:right w:val="nil"/>
            </w:tcBorders>
          </w:tcPr>
          <w:p w14:paraId="26AA1440" w14:textId="294D2D49" w:rsidR="004462A0" w:rsidRPr="008912CF" w:rsidRDefault="004462A0">
            <w:pPr>
              <w:rPr>
                <w:del w:id="8288" w:author="AbbVie2" w:date="2025-05-13T16:39:00Z"/>
                <w:szCs w:val="22"/>
              </w:rPr>
              <w:pPrChange w:id="8289" w:author="AbbVie2" w:date="2025-05-13T16:40:00Z">
                <w:pPr>
                  <w:pStyle w:val="EMEANormal"/>
                  <w:jc w:val="center"/>
                </w:pPr>
              </w:pPrChange>
            </w:pPr>
          </w:p>
        </w:tc>
        <w:tc>
          <w:tcPr>
            <w:tcW w:w="1343" w:type="dxa"/>
            <w:tcBorders>
              <w:bottom w:val="nil"/>
            </w:tcBorders>
          </w:tcPr>
          <w:p w14:paraId="65D7B0AB" w14:textId="10CF229D" w:rsidR="004462A0" w:rsidRPr="008912CF" w:rsidRDefault="004462A0">
            <w:pPr>
              <w:rPr>
                <w:del w:id="8290" w:author="AbbVie2" w:date="2025-05-13T16:39:00Z"/>
                <w:szCs w:val="22"/>
              </w:rPr>
              <w:pPrChange w:id="8291" w:author="AbbVie2" w:date="2025-05-13T16:40:00Z">
                <w:pPr>
                  <w:pStyle w:val="EMEANormal"/>
                  <w:jc w:val="center"/>
                </w:pPr>
              </w:pPrChange>
            </w:pPr>
          </w:p>
        </w:tc>
        <w:tc>
          <w:tcPr>
            <w:tcW w:w="1316" w:type="dxa"/>
            <w:gridSpan w:val="2"/>
            <w:tcBorders>
              <w:bottom w:val="nil"/>
            </w:tcBorders>
          </w:tcPr>
          <w:p w14:paraId="1EA16CA9" w14:textId="756F9362" w:rsidR="004462A0" w:rsidRPr="008912CF" w:rsidRDefault="004462A0">
            <w:pPr>
              <w:rPr>
                <w:del w:id="8292" w:author="AbbVie2" w:date="2025-05-13T16:39:00Z"/>
                <w:szCs w:val="22"/>
              </w:rPr>
              <w:pPrChange w:id="8293" w:author="AbbVie2" w:date="2025-05-13T16:40:00Z">
                <w:pPr>
                  <w:pStyle w:val="EMEANormal"/>
                  <w:jc w:val="center"/>
                </w:pPr>
              </w:pPrChange>
            </w:pPr>
          </w:p>
        </w:tc>
      </w:tr>
      <w:tr w:rsidR="00A7162A" w14:paraId="1C1519E5" w14:textId="4BD95876" w:rsidTr="00F675CF">
        <w:trPr>
          <w:jc w:val="center"/>
          <w:del w:id="8294" w:author="AbbVie2" w:date="2025-05-13T16:39:00Z"/>
        </w:trPr>
        <w:tc>
          <w:tcPr>
            <w:tcW w:w="1770" w:type="dxa"/>
            <w:gridSpan w:val="2"/>
            <w:tcBorders>
              <w:top w:val="nil"/>
              <w:bottom w:val="nil"/>
            </w:tcBorders>
          </w:tcPr>
          <w:p w14:paraId="6C3C4115" w14:textId="27E4A6FD" w:rsidR="004462A0" w:rsidRPr="008912CF" w:rsidRDefault="00615769">
            <w:pPr>
              <w:rPr>
                <w:del w:id="8295" w:author="AbbVie2" w:date="2025-05-13T16:39:00Z"/>
                <w:szCs w:val="22"/>
              </w:rPr>
              <w:pPrChange w:id="8296" w:author="AbbVie2" w:date="2025-05-13T16:40:00Z">
                <w:pPr>
                  <w:pStyle w:val="EMEANormal"/>
                  <w:jc w:val="center"/>
                </w:pPr>
              </w:pPrChange>
            </w:pPr>
            <w:del w:id="8297" w:author="AbbVie2" w:date="2025-05-13T16:39:00Z">
              <w:r w:rsidRPr="008912CF">
                <w:rPr>
                  <w:szCs w:val="22"/>
                </w:rPr>
                <w:delText>Semana 12</w:delText>
              </w:r>
            </w:del>
          </w:p>
        </w:tc>
        <w:tc>
          <w:tcPr>
            <w:tcW w:w="1325" w:type="dxa"/>
            <w:tcBorders>
              <w:top w:val="nil"/>
              <w:bottom w:val="nil"/>
            </w:tcBorders>
          </w:tcPr>
          <w:p w14:paraId="5E99C4B4" w14:textId="28DB8E18" w:rsidR="004462A0" w:rsidRPr="008912CF" w:rsidRDefault="00615769">
            <w:pPr>
              <w:rPr>
                <w:del w:id="8298" w:author="AbbVie2" w:date="2025-05-13T16:39:00Z"/>
                <w:szCs w:val="22"/>
              </w:rPr>
              <w:pPrChange w:id="8299" w:author="AbbVie2" w:date="2025-05-13T16:40:00Z">
                <w:pPr>
                  <w:pStyle w:val="EMEANormal"/>
                  <w:jc w:val="center"/>
                </w:pPr>
              </w:pPrChange>
            </w:pPr>
            <w:del w:id="8300" w:author="AbbVie2" w:date="2025-05-13T16:39:00Z">
              <w:r w:rsidRPr="008912CF">
                <w:rPr>
                  <w:szCs w:val="22"/>
                </w:rPr>
                <w:delText>14</w:delText>
              </w:r>
              <w:r w:rsidR="009343EF">
                <w:rPr>
                  <w:szCs w:val="22"/>
                </w:rPr>
                <w:delText>%</w:delText>
              </w:r>
            </w:del>
          </w:p>
        </w:tc>
        <w:tc>
          <w:tcPr>
            <w:tcW w:w="1316" w:type="dxa"/>
            <w:tcBorders>
              <w:top w:val="nil"/>
              <w:bottom w:val="nil"/>
              <w:right w:val="nil"/>
            </w:tcBorders>
          </w:tcPr>
          <w:p w14:paraId="4C1C13D1" w14:textId="67E27AE5" w:rsidR="004462A0" w:rsidRPr="008912CF" w:rsidRDefault="00615769">
            <w:pPr>
              <w:rPr>
                <w:del w:id="8301" w:author="AbbVie2" w:date="2025-05-13T16:39:00Z"/>
                <w:szCs w:val="22"/>
              </w:rPr>
              <w:pPrChange w:id="8302" w:author="AbbVie2" w:date="2025-05-13T16:40:00Z">
                <w:pPr>
                  <w:pStyle w:val="EMEANormal"/>
                  <w:jc w:val="center"/>
                </w:pPr>
              </w:pPrChange>
            </w:pPr>
            <w:del w:id="8303" w:author="AbbVie2" w:date="2025-05-13T16:39:00Z">
              <w:r w:rsidRPr="008912CF">
                <w:rPr>
                  <w:szCs w:val="22"/>
                </w:rPr>
                <w:delText>58%</w:delText>
              </w:r>
              <w:r w:rsidRPr="008912CF">
                <w:rPr>
                  <w:szCs w:val="22"/>
                  <w:vertAlign w:val="superscript"/>
                </w:rPr>
                <w:delText>***</w:delText>
              </w:r>
            </w:del>
          </w:p>
        </w:tc>
        <w:tc>
          <w:tcPr>
            <w:tcW w:w="1343" w:type="dxa"/>
            <w:tcBorders>
              <w:top w:val="nil"/>
              <w:bottom w:val="nil"/>
            </w:tcBorders>
          </w:tcPr>
          <w:p w14:paraId="6C311E60" w14:textId="4795E0A5" w:rsidR="004462A0" w:rsidRPr="008912CF" w:rsidRDefault="00615769">
            <w:pPr>
              <w:rPr>
                <w:del w:id="8304" w:author="AbbVie2" w:date="2025-05-13T16:39:00Z"/>
                <w:szCs w:val="22"/>
              </w:rPr>
              <w:pPrChange w:id="8305" w:author="AbbVie2" w:date="2025-05-13T16:40:00Z">
                <w:pPr>
                  <w:pStyle w:val="EMEANormal"/>
                  <w:jc w:val="center"/>
                </w:pPr>
              </w:pPrChange>
            </w:pPr>
            <w:del w:id="8306" w:author="AbbVie2" w:date="2025-05-13T16:39:00Z">
              <w:r w:rsidRPr="008912CF">
                <w:rPr>
                  <w:szCs w:val="22"/>
                </w:rPr>
                <w:delText>16%</w:delText>
              </w:r>
            </w:del>
          </w:p>
        </w:tc>
        <w:tc>
          <w:tcPr>
            <w:tcW w:w="1316" w:type="dxa"/>
            <w:gridSpan w:val="2"/>
            <w:tcBorders>
              <w:top w:val="nil"/>
              <w:bottom w:val="nil"/>
            </w:tcBorders>
          </w:tcPr>
          <w:p w14:paraId="336746D5" w14:textId="4ECA8EE9" w:rsidR="004462A0" w:rsidRPr="008912CF" w:rsidRDefault="00615769">
            <w:pPr>
              <w:rPr>
                <w:del w:id="8307" w:author="AbbVie2" w:date="2025-05-13T16:39:00Z"/>
                <w:szCs w:val="22"/>
              </w:rPr>
              <w:pPrChange w:id="8308" w:author="AbbVie2" w:date="2025-05-13T16:40:00Z">
                <w:pPr>
                  <w:pStyle w:val="EMEANormal"/>
                  <w:jc w:val="center"/>
                </w:pPr>
              </w:pPrChange>
            </w:pPr>
            <w:del w:id="8309" w:author="AbbVie2" w:date="2025-05-13T16:39:00Z">
              <w:r w:rsidRPr="008912CF">
                <w:rPr>
                  <w:szCs w:val="22"/>
                </w:rPr>
                <w:delText>39%</w:delText>
              </w:r>
              <w:r w:rsidRPr="008912CF">
                <w:rPr>
                  <w:szCs w:val="22"/>
                  <w:vertAlign w:val="superscript"/>
                </w:rPr>
                <w:delText>*</w:delText>
              </w:r>
            </w:del>
          </w:p>
        </w:tc>
      </w:tr>
      <w:tr w:rsidR="00A7162A" w14:paraId="6186E473" w14:textId="0263AA5E" w:rsidTr="00F675CF">
        <w:trPr>
          <w:jc w:val="center"/>
          <w:del w:id="8310" w:author="AbbVie2" w:date="2025-05-13T16:39:00Z"/>
        </w:trPr>
        <w:tc>
          <w:tcPr>
            <w:tcW w:w="1770" w:type="dxa"/>
            <w:gridSpan w:val="2"/>
            <w:tcBorders>
              <w:top w:val="nil"/>
              <w:bottom w:val="nil"/>
            </w:tcBorders>
          </w:tcPr>
          <w:p w14:paraId="708F28BA" w14:textId="2860F930" w:rsidR="004462A0" w:rsidRPr="008912CF" w:rsidRDefault="00615769">
            <w:pPr>
              <w:rPr>
                <w:del w:id="8311" w:author="AbbVie2" w:date="2025-05-13T16:39:00Z"/>
                <w:szCs w:val="22"/>
              </w:rPr>
              <w:pPrChange w:id="8312" w:author="AbbVie2" w:date="2025-05-13T16:40:00Z">
                <w:pPr>
                  <w:pStyle w:val="EMEANormal"/>
                  <w:jc w:val="center"/>
                </w:pPr>
              </w:pPrChange>
            </w:pPr>
            <w:del w:id="8313" w:author="AbbVie2" w:date="2025-05-13T16:39:00Z">
              <w:r w:rsidRPr="008912CF">
                <w:rPr>
                  <w:szCs w:val="22"/>
                </w:rPr>
                <w:delText>Semana 24</w:delText>
              </w:r>
            </w:del>
          </w:p>
        </w:tc>
        <w:tc>
          <w:tcPr>
            <w:tcW w:w="1325" w:type="dxa"/>
            <w:tcBorders>
              <w:top w:val="nil"/>
              <w:bottom w:val="nil"/>
            </w:tcBorders>
          </w:tcPr>
          <w:p w14:paraId="3F1A4CCC" w14:textId="7ABE1AB5" w:rsidR="004462A0" w:rsidRPr="008912CF" w:rsidRDefault="00615769">
            <w:pPr>
              <w:rPr>
                <w:del w:id="8314" w:author="AbbVie2" w:date="2025-05-13T16:39:00Z"/>
                <w:szCs w:val="22"/>
              </w:rPr>
              <w:pPrChange w:id="8315" w:author="AbbVie2" w:date="2025-05-13T16:40:00Z">
                <w:pPr>
                  <w:pStyle w:val="EMEANormal"/>
                  <w:jc w:val="center"/>
                </w:pPr>
              </w:pPrChange>
            </w:pPr>
            <w:del w:id="8316" w:author="AbbVie2" w:date="2025-05-13T16:39:00Z">
              <w:r w:rsidRPr="008912CF">
                <w:rPr>
                  <w:szCs w:val="22"/>
                </w:rPr>
                <w:delText>15%</w:delText>
              </w:r>
            </w:del>
          </w:p>
        </w:tc>
        <w:tc>
          <w:tcPr>
            <w:tcW w:w="1316" w:type="dxa"/>
            <w:tcBorders>
              <w:top w:val="nil"/>
              <w:bottom w:val="nil"/>
              <w:right w:val="nil"/>
            </w:tcBorders>
          </w:tcPr>
          <w:p w14:paraId="6F01173B" w14:textId="624E2F43" w:rsidR="004462A0" w:rsidRPr="008912CF" w:rsidRDefault="00615769">
            <w:pPr>
              <w:rPr>
                <w:del w:id="8317" w:author="AbbVie2" w:date="2025-05-13T16:39:00Z"/>
                <w:szCs w:val="22"/>
              </w:rPr>
              <w:pPrChange w:id="8318" w:author="AbbVie2" w:date="2025-05-13T16:40:00Z">
                <w:pPr>
                  <w:pStyle w:val="EMEANormal"/>
                  <w:jc w:val="center"/>
                </w:pPr>
              </w:pPrChange>
            </w:pPr>
            <w:del w:id="8319" w:author="AbbVie2" w:date="2025-05-13T16:39:00Z">
              <w:r w:rsidRPr="008912CF">
                <w:rPr>
                  <w:szCs w:val="22"/>
                </w:rPr>
                <w:delText>57%</w:delText>
              </w:r>
              <w:r w:rsidRPr="008912CF">
                <w:rPr>
                  <w:szCs w:val="22"/>
                  <w:vertAlign w:val="superscript"/>
                </w:rPr>
                <w:delText>***</w:delText>
              </w:r>
            </w:del>
          </w:p>
        </w:tc>
        <w:tc>
          <w:tcPr>
            <w:tcW w:w="1343" w:type="dxa"/>
            <w:tcBorders>
              <w:top w:val="nil"/>
              <w:bottom w:val="nil"/>
            </w:tcBorders>
          </w:tcPr>
          <w:p w14:paraId="17E52C92" w14:textId="529462E6" w:rsidR="004462A0" w:rsidRPr="008912CF" w:rsidRDefault="00615769">
            <w:pPr>
              <w:rPr>
                <w:del w:id="8320" w:author="AbbVie2" w:date="2025-05-13T16:39:00Z"/>
                <w:szCs w:val="22"/>
              </w:rPr>
              <w:pPrChange w:id="8321" w:author="AbbVie2" w:date="2025-05-13T16:40:00Z">
                <w:pPr>
                  <w:pStyle w:val="EMEANormal"/>
                  <w:jc w:val="center"/>
                </w:pPr>
              </w:pPrChange>
            </w:pPr>
            <w:del w:id="8322" w:author="AbbVie2" w:date="2025-05-13T16:39:00Z">
              <w:r w:rsidRPr="008912CF">
                <w:rPr>
                  <w:szCs w:val="22"/>
                </w:rPr>
                <w:delText>N/A</w:delText>
              </w:r>
            </w:del>
          </w:p>
        </w:tc>
        <w:tc>
          <w:tcPr>
            <w:tcW w:w="1316" w:type="dxa"/>
            <w:gridSpan w:val="2"/>
            <w:tcBorders>
              <w:top w:val="nil"/>
              <w:bottom w:val="nil"/>
            </w:tcBorders>
          </w:tcPr>
          <w:p w14:paraId="4DEB9383" w14:textId="01F3D5F4" w:rsidR="004462A0" w:rsidRPr="008912CF" w:rsidRDefault="00615769">
            <w:pPr>
              <w:rPr>
                <w:del w:id="8323" w:author="AbbVie2" w:date="2025-05-13T16:39:00Z"/>
                <w:szCs w:val="22"/>
              </w:rPr>
              <w:pPrChange w:id="8324" w:author="AbbVie2" w:date="2025-05-13T16:40:00Z">
                <w:pPr>
                  <w:pStyle w:val="EMEANormal"/>
                  <w:jc w:val="center"/>
                </w:pPr>
              </w:pPrChange>
            </w:pPr>
            <w:del w:id="8325" w:author="AbbVie2" w:date="2025-05-13T16:39:00Z">
              <w:r w:rsidRPr="008912CF">
                <w:rPr>
                  <w:szCs w:val="22"/>
                </w:rPr>
                <w:delText>N/A</w:delText>
              </w:r>
            </w:del>
          </w:p>
        </w:tc>
      </w:tr>
      <w:tr w:rsidR="00A7162A" w14:paraId="104EC929" w14:textId="1C37F333" w:rsidTr="00F675CF">
        <w:trPr>
          <w:jc w:val="center"/>
          <w:del w:id="8326" w:author="AbbVie2" w:date="2025-05-13T16:39:00Z"/>
        </w:trPr>
        <w:tc>
          <w:tcPr>
            <w:tcW w:w="1770" w:type="dxa"/>
            <w:gridSpan w:val="2"/>
            <w:tcBorders>
              <w:top w:val="nil"/>
              <w:bottom w:val="nil"/>
            </w:tcBorders>
          </w:tcPr>
          <w:p w14:paraId="0EF70425" w14:textId="359B62C6" w:rsidR="004462A0" w:rsidRPr="008912CF" w:rsidRDefault="00615769">
            <w:pPr>
              <w:rPr>
                <w:del w:id="8327" w:author="AbbVie2" w:date="2025-05-13T16:39:00Z"/>
                <w:szCs w:val="22"/>
              </w:rPr>
              <w:pPrChange w:id="8328" w:author="AbbVie2" w:date="2025-05-13T16:40:00Z">
                <w:pPr>
                  <w:pStyle w:val="EMEANormal"/>
                </w:pPr>
              </w:pPrChange>
            </w:pPr>
            <w:del w:id="8329" w:author="AbbVie2" w:date="2025-05-13T16:39:00Z">
              <w:r w:rsidRPr="008912CF">
                <w:rPr>
                  <w:szCs w:val="22"/>
                </w:rPr>
                <w:delText>ACR 50</w:delText>
              </w:r>
            </w:del>
          </w:p>
        </w:tc>
        <w:tc>
          <w:tcPr>
            <w:tcW w:w="1325" w:type="dxa"/>
            <w:tcBorders>
              <w:top w:val="nil"/>
              <w:bottom w:val="nil"/>
            </w:tcBorders>
          </w:tcPr>
          <w:p w14:paraId="3566B64A" w14:textId="25291DAC" w:rsidR="004462A0" w:rsidRPr="008912CF" w:rsidRDefault="004462A0">
            <w:pPr>
              <w:rPr>
                <w:del w:id="8330" w:author="AbbVie2" w:date="2025-05-13T16:39:00Z"/>
                <w:szCs w:val="22"/>
              </w:rPr>
              <w:pPrChange w:id="8331" w:author="AbbVie2" w:date="2025-05-13T16:40:00Z">
                <w:pPr>
                  <w:pStyle w:val="EMEANormal"/>
                  <w:jc w:val="center"/>
                </w:pPr>
              </w:pPrChange>
            </w:pPr>
          </w:p>
        </w:tc>
        <w:tc>
          <w:tcPr>
            <w:tcW w:w="1316" w:type="dxa"/>
            <w:tcBorders>
              <w:top w:val="nil"/>
              <w:bottom w:val="nil"/>
              <w:right w:val="nil"/>
            </w:tcBorders>
          </w:tcPr>
          <w:p w14:paraId="406C0D39" w14:textId="35641DDC" w:rsidR="004462A0" w:rsidRPr="008912CF" w:rsidRDefault="004462A0">
            <w:pPr>
              <w:rPr>
                <w:del w:id="8332" w:author="AbbVie2" w:date="2025-05-13T16:39:00Z"/>
                <w:szCs w:val="22"/>
              </w:rPr>
              <w:pPrChange w:id="8333" w:author="AbbVie2" w:date="2025-05-13T16:40:00Z">
                <w:pPr>
                  <w:pStyle w:val="EMEANormal"/>
                  <w:jc w:val="center"/>
                </w:pPr>
              </w:pPrChange>
            </w:pPr>
          </w:p>
        </w:tc>
        <w:tc>
          <w:tcPr>
            <w:tcW w:w="1343" w:type="dxa"/>
            <w:tcBorders>
              <w:top w:val="nil"/>
              <w:bottom w:val="nil"/>
            </w:tcBorders>
          </w:tcPr>
          <w:p w14:paraId="0C442378" w14:textId="5CDA5A9C" w:rsidR="004462A0" w:rsidRPr="008912CF" w:rsidRDefault="004462A0">
            <w:pPr>
              <w:rPr>
                <w:del w:id="8334" w:author="AbbVie2" w:date="2025-05-13T16:39:00Z"/>
                <w:szCs w:val="22"/>
              </w:rPr>
              <w:pPrChange w:id="8335" w:author="AbbVie2" w:date="2025-05-13T16:40:00Z">
                <w:pPr>
                  <w:pStyle w:val="EMEANormal"/>
                  <w:jc w:val="center"/>
                </w:pPr>
              </w:pPrChange>
            </w:pPr>
          </w:p>
        </w:tc>
        <w:tc>
          <w:tcPr>
            <w:tcW w:w="1316" w:type="dxa"/>
            <w:gridSpan w:val="2"/>
            <w:tcBorders>
              <w:top w:val="nil"/>
              <w:bottom w:val="nil"/>
            </w:tcBorders>
          </w:tcPr>
          <w:p w14:paraId="2D116B51" w14:textId="3FD2FCC5" w:rsidR="004462A0" w:rsidRPr="008912CF" w:rsidRDefault="004462A0">
            <w:pPr>
              <w:rPr>
                <w:del w:id="8336" w:author="AbbVie2" w:date="2025-05-13T16:39:00Z"/>
                <w:szCs w:val="22"/>
              </w:rPr>
              <w:pPrChange w:id="8337" w:author="AbbVie2" w:date="2025-05-13T16:40:00Z">
                <w:pPr>
                  <w:pStyle w:val="EMEANormal"/>
                  <w:jc w:val="center"/>
                </w:pPr>
              </w:pPrChange>
            </w:pPr>
          </w:p>
        </w:tc>
      </w:tr>
      <w:tr w:rsidR="00A7162A" w14:paraId="5C266380" w14:textId="39F5C40B" w:rsidTr="00F675CF">
        <w:trPr>
          <w:jc w:val="center"/>
          <w:del w:id="8338" w:author="AbbVie2" w:date="2025-05-13T16:39:00Z"/>
        </w:trPr>
        <w:tc>
          <w:tcPr>
            <w:tcW w:w="1770" w:type="dxa"/>
            <w:gridSpan w:val="2"/>
            <w:tcBorders>
              <w:top w:val="nil"/>
              <w:bottom w:val="nil"/>
            </w:tcBorders>
          </w:tcPr>
          <w:p w14:paraId="3987EF5B" w14:textId="3DBB2E29" w:rsidR="004462A0" w:rsidRPr="008912CF" w:rsidRDefault="00615769">
            <w:pPr>
              <w:rPr>
                <w:del w:id="8339" w:author="AbbVie2" w:date="2025-05-13T16:39:00Z"/>
                <w:szCs w:val="22"/>
              </w:rPr>
              <w:pPrChange w:id="8340" w:author="AbbVie2" w:date="2025-05-13T16:40:00Z">
                <w:pPr>
                  <w:pStyle w:val="EMEANormal"/>
                  <w:jc w:val="center"/>
                </w:pPr>
              </w:pPrChange>
            </w:pPr>
            <w:del w:id="8341" w:author="AbbVie2" w:date="2025-05-13T16:39:00Z">
              <w:r w:rsidRPr="008912CF">
                <w:rPr>
                  <w:szCs w:val="22"/>
                </w:rPr>
                <w:delText>Semana 12</w:delText>
              </w:r>
            </w:del>
          </w:p>
        </w:tc>
        <w:tc>
          <w:tcPr>
            <w:tcW w:w="1325" w:type="dxa"/>
            <w:tcBorders>
              <w:top w:val="nil"/>
              <w:bottom w:val="nil"/>
            </w:tcBorders>
          </w:tcPr>
          <w:p w14:paraId="2EF63826" w14:textId="3C09D4FB" w:rsidR="004462A0" w:rsidRPr="008912CF" w:rsidRDefault="00615769">
            <w:pPr>
              <w:rPr>
                <w:del w:id="8342" w:author="AbbVie2" w:date="2025-05-13T16:39:00Z"/>
                <w:szCs w:val="22"/>
              </w:rPr>
              <w:pPrChange w:id="8343" w:author="AbbVie2" w:date="2025-05-13T16:40:00Z">
                <w:pPr>
                  <w:pStyle w:val="EMEANormal"/>
                  <w:jc w:val="center"/>
                </w:pPr>
              </w:pPrChange>
            </w:pPr>
            <w:del w:id="8344" w:author="AbbVie2" w:date="2025-05-13T16:39:00Z">
              <w:r w:rsidRPr="008912CF">
                <w:rPr>
                  <w:szCs w:val="22"/>
                </w:rPr>
                <w:delText>4%</w:delText>
              </w:r>
            </w:del>
          </w:p>
        </w:tc>
        <w:tc>
          <w:tcPr>
            <w:tcW w:w="1316" w:type="dxa"/>
            <w:tcBorders>
              <w:top w:val="nil"/>
              <w:bottom w:val="nil"/>
              <w:right w:val="nil"/>
            </w:tcBorders>
          </w:tcPr>
          <w:p w14:paraId="36D4C539" w14:textId="4689D4F1" w:rsidR="004462A0" w:rsidRPr="008912CF" w:rsidRDefault="00615769">
            <w:pPr>
              <w:rPr>
                <w:del w:id="8345" w:author="AbbVie2" w:date="2025-05-13T16:39:00Z"/>
                <w:szCs w:val="22"/>
              </w:rPr>
              <w:pPrChange w:id="8346" w:author="AbbVie2" w:date="2025-05-13T16:40:00Z">
                <w:pPr>
                  <w:pStyle w:val="EMEANormal"/>
                  <w:jc w:val="center"/>
                </w:pPr>
              </w:pPrChange>
            </w:pPr>
            <w:del w:id="8347" w:author="AbbVie2" w:date="2025-05-13T16:39:00Z">
              <w:r w:rsidRPr="008912CF">
                <w:rPr>
                  <w:szCs w:val="22"/>
                </w:rPr>
                <w:delText>36%</w:delText>
              </w:r>
              <w:r w:rsidRPr="008912CF">
                <w:rPr>
                  <w:szCs w:val="22"/>
                  <w:vertAlign w:val="superscript"/>
                </w:rPr>
                <w:delText>***</w:delText>
              </w:r>
            </w:del>
          </w:p>
        </w:tc>
        <w:tc>
          <w:tcPr>
            <w:tcW w:w="1343" w:type="dxa"/>
            <w:tcBorders>
              <w:top w:val="nil"/>
              <w:bottom w:val="nil"/>
            </w:tcBorders>
          </w:tcPr>
          <w:p w14:paraId="1B9EF71F" w14:textId="0DF517E7" w:rsidR="004462A0" w:rsidRPr="008912CF" w:rsidRDefault="00615769">
            <w:pPr>
              <w:rPr>
                <w:del w:id="8348" w:author="AbbVie2" w:date="2025-05-13T16:39:00Z"/>
                <w:szCs w:val="22"/>
              </w:rPr>
              <w:pPrChange w:id="8349" w:author="AbbVie2" w:date="2025-05-13T16:40:00Z">
                <w:pPr>
                  <w:pStyle w:val="EMEANormal"/>
                  <w:jc w:val="center"/>
                </w:pPr>
              </w:pPrChange>
            </w:pPr>
            <w:del w:id="8350" w:author="AbbVie2" w:date="2025-05-13T16:39:00Z">
              <w:r w:rsidRPr="008912CF">
                <w:rPr>
                  <w:szCs w:val="22"/>
                </w:rPr>
                <w:delText>2%</w:delText>
              </w:r>
            </w:del>
          </w:p>
        </w:tc>
        <w:tc>
          <w:tcPr>
            <w:tcW w:w="1316" w:type="dxa"/>
            <w:gridSpan w:val="2"/>
            <w:tcBorders>
              <w:top w:val="nil"/>
              <w:bottom w:val="nil"/>
            </w:tcBorders>
          </w:tcPr>
          <w:p w14:paraId="3C7B2AD1" w14:textId="3FF1CA96" w:rsidR="004462A0" w:rsidRPr="008912CF" w:rsidRDefault="00615769">
            <w:pPr>
              <w:rPr>
                <w:del w:id="8351" w:author="AbbVie2" w:date="2025-05-13T16:39:00Z"/>
                <w:szCs w:val="22"/>
              </w:rPr>
              <w:pPrChange w:id="8352" w:author="AbbVie2" w:date="2025-05-13T16:40:00Z">
                <w:pPr>
                  <w:pStyle w:val="EMEANormal"/>
                  <w:jc w:val="center"/>
                </w:pPr>
              </w:pPrChange>
            </w:pPr>
            <w:del w:id="8353" w:author="AbbVie2" w:date="2025-05-13T16:39:00Z">
              <w:r w:rsidRPr="008912CF">
                <w:rPr>
                  <w:szCs w:val="22"/>
                </w:rPr>
                <w:delText>25%</w:delText>
              </w:r>
              <w:r w:rsidRPr="008912CF">
                <w:rPr>
                  <w:szCs w:val="22"/>
                  <w:vertAlign w:val="superscript"/>
                </w:rPr>
                <w:delText>***</w:delText>
              </w:r>
            </w:del>
          </w:p>
        </w:tc>
      </w:tr>
      <w:tr w:rsidR="00A7162A" w14:paraId="3D7C2B3A" w14:textId="6D9505E0" w:rsidTr="00F675CF">
        <w:trPr>
          <w:jc w:val="center"/>
          <w:del w:id="8354" w:author="AbbVie2" w:date="2025-05-13T16:39:00Z"/>
        </w:trPr>
        <w:tc>
          <w:tcPr>
            <w:tcW w:w="1770" w:type="dxa"/>
            <w:gridSpan w:val="2"/>
            <w:tcBorders>
              <w:top w:val="nil"/>
              <w:bottom w:val="nil"/>
            </w:tcBorders>
          </w:tcPr>
          <w:p w14:paraId="47C3FB98" w14:textId="461E289A" w:rsidR="004462A0" w:rsidRPr="008912CF" w:rsidRDefault="00615769">
            <w:pPr>
              <w:rPr>
                <w:del w:id="8355" w:author="AbbVie2" w:date="2025-05-13T16:39:00Z"/>
                <w:szCs w:val="22"/>
              </w:rPr>
              <w:pPrChange w:id="8356" w:author="AbbVie2" w:date="2025-05-13T16:40:00Z">
                <w:pPr>
                  <w:pStyle w:val="EMEANormal"/>
                  <w:jc w:val="center"/>
                </w:pPr>
              </w:pPrChange>
            </w:pPr>
            <w:del w:id="8357" w:author="AbbVie2" w:date="2025-05-13T16:39:00Z">
              <w:r w:rsidRPr="008912CF">
                <w:rPr>
                  <w:szCs w:val="22"/>
                </w:rPr>
                <w:delText>Semana 24</w:delText>
              </w:r>
            </w:del>
          </w:p>
        </w:tc>
        <w:tc>
          <w:tcPr>
            <w:tcW w:w="1325" w:type="dxa"/>
            <w:tcBorders>
              <w:top w:val="nil"/>
              <w:bottom w:val="nil"/>
            </w:tcBorders>
          </w:tcPr>
          <w:p w14:paraId="4497C4BE" w14:textId="7864519E" w:rsidR="004462A0" w:rsidRPr="008912CF" w:rsidRDefault="00615769">
            <w:pPr>
              <w:rPr>
                <w:del w:id="8358" w:author="AbbVie2" w:date="2025-05-13T16:39:00Z"/>
                <w:szCs w:val="22"/>
              </w:rPr>
              <w:pPrChange w:id="8359" w:author="AbbVie2" w:date="2025-05-13T16:40:00Z">
                <w:pPr>
                  <w:pStyle w:val="EMEANormal"/>
                  <w:jc w:val="center"/>
                </w:pPr>
              </w:pPrChange>
            </w:pPr>
            <w:del w:id="8360" w:author="AbbVie2" w:date="2025-05-13T16:39:00Z">
              <w:r w:rsidRPr="008912CF">
                <w:rPr>
                  <w:szCs w:val="22"/>
                </w:rPr>
                <w:delText>6%</w:delText>
              </w:r>
            </w:del>
          </w:p>
        </w:tc>
        <w:tc>
          <w:tcPr>
            <w:tcW w:w="1316" w:type="dxa"/>
            <w:tcBorders>
              <w:top w:val="nil"/>
              <w:bottom w:val="nil"/>
              <w:right w:val="nil"/>
            </w:tcBorders>
          </w:tcPr>
          <w:p w14:paraId="0D6394A7" w14:textId="5E13DA2D" w:rsidR="004462A0" w:rsidRPr="008912CF" w:rsidRDefault="00615769">
            <w:pPr>
              <w:rPr>
                <w:del w:id="8361" w:author="AbbVie2" w:date="2025-05-13T16:39:00Z"/>
                <w:szCs w:val="22"/>
              </w:rPr>
              <w:pPrChange w:id="8362" w:author="AbbVie2" w:date="2025-05-13T16:40:00Z">
                <w:pPr>
                  <w:pStyle w:val="EMEANormal"/>
                  <w:jc w:val="center"/>
                </w:pPr>
              </w:pPrChange>
            </w:pPr>
            <w:del w:id="8363" w:author="AbbVie2" w:date="2025-05-13T16:39:00Z">
              <w:r w:rsidRPr="008912CF">
                <w:rPr>
                  <w:szCs w:val="22"/>
                </w:rPr>
                <w:delText>39%</w:delText>
              </w:r>
              <w:r w:rsidRPr="008912CF">
                <w:rPr>
                  <w:szCs w:val="22"/>
                  <w:vertAlign w:val="superscript"/>
                </w:rPr>
                <w:delText>***</w:delText>
              </w:r>
            </w:del>
          </w:p>
        </w:tc>
        <w:tc>
          <w:tcPr>
            <w:tcW w:w="1343" w:type="dxa"/>
            <w:tcBorders>
              <w:top w:val="nil"/>
              <w:bottom w:val="nil"/>
            </w:tcBorders>
          </w:tcPr>
          <w:p w14:paraId="404A8629" w14:textId="072D4F63" w:rsidR="004462A0" w:rsidRPr="008912CF" w:rsidRDefault="00615769">
            <w:pPr>
              <w:rPr>
                <w:del w:id="8364" w:author="AbbVie2" w:date="2025-05-13T16:39:00Z"/>
                <w:szCs w:val="22"/>
              </w:rPr>
              <w:pPrChange w:id="8365" w:author="AbbVie2" w:date="2025-05-13T16:40:00Z">
                <w:pPr>
                  <w:pStyle w:val="EMEANormal"/>
                  <w:jc w:val="center"/>
                </w:pPr>
              </w:pPrChange>
            </w:pPr>
            <w:del w:id="8366" w:author="AbbVie2" w:date="2025-05-13T16:39:00Z">
              <w:r w:rsidRPr="008912CF">
                <w:rPr>
                  <w:szCs w:val="22"/>
                </w:rPr>
                <w:delText>N/A</w:delText>
              </w:r>
            </w:del>
          </w:p>
        </w:tc>
        <w:tc>
          <w:tcPr>
            <w:tcW w:w="1316" w:type="dxa"/>
            <w:gridSpan w:val="2"/>
            <w:tcBorders>
              <w:top w:val="nil"/>
              <w:bottom w:val="nil"/>
            </w:tcBorders>
          </w:tcPr>
          <w:p w14:paraId="0609B547" w14:textId="1104509B" w:rsidR="004462A0" w:rsidRPr="008912CF" w:rsidRDefault="00615769">
            <w:pPr>
              <w:rPr>
                <w:del w:id="8367" w:author="AbbVie2" w:date="2025-05-13T16:39:00Z"/>
                <w:szCs w:val="22"/>
              </w:rPr>
              <w:pPrChange w:id="8368" w:author="AbbVie2" w:date="2025-05-13T16:40:00Z">
                <w:pPr>
                  <w:pStyle w:val="EMEANormal"/>
                  <w:jc w:val="center"/>
                </w:pPr>
              </w:pPrChange>
            </w:pPr>
            <w:del w:id="8369" w:author="AbbVie2" w:date="2025-05-13T16:39:00Z">
              <w:r w:rsidRPr="008912CF">
                <w:rPr>
                  <w:szCs w:val="22"/>
                </w:rPr>
                <w:delText>N/A</w:delText>
              </w:r>
            </w:del>
          </w:p>
        </w:tc>
      </w:tr>
      <w:tr w:rsidR="00A7162A" w14:paraId="3C045E23" w14:textId="22637F68" w:rsidTr="00F675CF">
        <w:trPr>
          <w:jc w:val="center"/>
          <w:del w:id="8370" w:author="AbbVie2" w:date="2025-05-13T16:39:00Z"/>
        </w:trPr>
        <w:tc>
          <w:tcPr>
            <w:tcW w:w="1770" w:type="dxa"/>
            <w:gridSpan w:val="2"/>
            <w:tcBorders>
              <w:top w:val="nil"/>
              <w:bottom w:val="nil"/>
            </w:tcBorders>
          </w:tcPr>
          <w:p w14:paraId="5F932004" w14:textId="2AD8E109" w:rsidR="004462A0" w:rsidRPr="008912CF" w:rsidRDefault="00615769">
            <w:pPr>
              <w:rPr>
                <w:del w:id="8371" w:author="AbbVie2" w:date="2025-05-13T16:39:00Z"/>
                <w:szCs w:val="22"/>
              </w:rPr>
              <w:pPrChange w:id="8372" w:author="AbbVie2" w:date="2025-05-13T16:40:00Z">
                <w:pPr>
                  <w:pStyle w:val="EMEANormal"/>
                </w:pPr>
              </w:pPrChange>
            </w:pPr>
            <w:del w:id="8373" w:author="AbbVie2" w:date="2025-05-13T16:39:00Z">
              <w:r w:rsidRPr="008912CF">
                <w:rPr>
                  <w:szCs w:val="22"/>
                </w:rPr>
                <w:delText>ACR 70</w:delText>
              </w:r>
            </w:del>
          </w:p>
        </w:tc>
        <w:tc>
          <w:tcPr>
            <w:tcW w:w="1325" w:type="dxa"/>
            <w:tcBorders>
              <w:top w:val="nil"/>
              <w:bottom w:val="nil"/>
            </w:tcBorders>
          </w:tcPr>
          <w:p w14:paraId="2A403264" w14:textId="5D3DCE2A" w:rsidR="004462A0" w:rsidRPr="008912CF" w:rsidRDefault="004462A0">
            <w:pPr>
              <w:rPr>
                <w:del w:id="8374" w:author="AbbVie2" w:date="2025-05-13T16:39:00Z"/>
                <w:szCs w:val="22"/>
              </w:rPr>
              <w:pPrChange w:id="8375" w:author="AbbVie2" w:date="2025-05-13T16:40:00Z">
                <w:pPr>
                  <w:pStyle w:val="EMEANormal"/>
                  <w:jc w:val="center"/>
                </w:pPr>
              </w:pPrChange>
            </w:pPr>
          </w:p>
        </w:tc>
        <w:tc>
          <w:tcPr>
            <w:tcW w:w="1316" w:type="dxa"/>
            <w:tcBorders>
              <w:top w:val="nil"/>
              <w:bottom w:val="nil"/>
              <w:right w:val="nil"/>
            </w:tcBorders>
          </w:tcPr>
          <w:p w14:paraId="7BD9E03F" w14:textId="271B0E6E" w:rsidR="004462A0" w:rsidRPr="008912CF" w:rsidRDefault="004462A0">
            <w:pPr>
              <w:rPr>
                <w:del w:id="8376" w:author="AbbVie2" w:date="2025-05-13T16:39:00Z"/>
                <w:szCs w:val="22"/>
              </w:rPr>
              <w:pPrChange w:id="8377" w:author="AbbVie2" w:date="2025-05-13T16:40:00Z">
                <w:pPr>
                  <w:pStyle w:val="EMEANormal"/>
                  <w:jc w:val="center"/>
                </w:pPr>
              </w:pPrChange>
            </w:pPr>
          </w:p>
        </w:tc>
        <w:tc>
          <w:tcPr>
            <w:tcW w:w="1343" w:type="dxa"/>
            <w:tcBorders>
              <w:top w:val="nil"/>
              <w:bottom w:val="nil"/>
            </w:tcBorders>
          </w:tcPr>
          <w:p w14:paraId="707CBA62" w14:textId="54055E63" w:rsidR="004462A0" w:rsidRPr="008912CF" w:rsidRDefault="004462A0">
            <w:pPr>
              <w:rPr>
                <w:del w:id="8378" w:author="AbbVie2" w:date="2025-05-13T16:39:00Z"/>
                <w:szCs w:val="22"/>
              </w:rPr>
              <w:pPrChange w:id="8379" w:author="AbbVie2" w:date="2025-05-13T16:40:00Z">
                <w:pPr>
                  <w:pStyle w:val="EMEANormal"/>
                  <w:jc w:val="center"/>
                </w:pPr>
              </w:pPrChange>
            </w:pPr>
          </w:p>
        </w:tc>
        <w:tc>
          <w:tcPr>
            <w:tcW w:w="1316" w:type="dxa"/>
            <w:gridSpan w:val="2"/>
            <w:tcBorders>
              <w:top w:val="nil"/>
              <w:bottom w:val="nil"/>
            </w:tcBorders>
          </w:tcPr>
          <w:p w14:paraId="7C073836" w14:textId="6D02E04B" w:rsidR="004462A0" w:rsidRPr="008912CF" w:rsidRDefault="004462A0">
            <w:pPr>
              <w:rPr>
                <w:del w:id="8380" w:author="AbbVie2" w:date="2025-05-13T16:39:00Z"/>
                <w:szCs w:val="22"/>
              </w:rPr>
              <w:pPrChange w:id="8381" w:author="AbbVie2" w:date="2025-05-13T16:40:00Z">
                <w:pPr>
                  <w:pStyle w:val="EMEANormal"/>
                  <w:jc w:val="center"/>
                </w:pPr>
              </w:pPrChange>
            </w:pPr>
          </w:p>
        </w:tc>
      </w:tr>
      <w:tr w:rsidR="00A7162A" w14:paraId="647BB235" w14:textId="1FEF2C8E" w:rsidTr="00F675CF">
        <w:trPr>
          <w:jc w:val="center"/>
          <w:del w:id="8382" w:author="AbbVie2" w:date="2025-05-13T16:39:00Z"/>
        </w:trPr>
        <w:tc>
          <w:tcPr>
            <w:tcW w:w="1770" w:type="dxa"/>
            <w:gridSpan w:val="2"/>
            <w:tcBorders>
              <w:top w:val="nil"/>
              <w:bottom w:val="nil"/>
            </w:tcBorders>
          </w:tcPr>
          <w:p w14:paraId="0E9C3B8F" w14:textId="5CCFF4C0" w:rsidR="004462A0" w:rsidRPr="008912CF" w:rsidRDefault="00615769">
            <w:pPr>
              <w:rPr>
                <w:del w:id="8383" w:author="AbbVie2" w:date="2025-05-13T16:39:00Z"/>
                <w:szCs w:val="22"/>
              </w:rPr>
              <w:pPrChange w:id="8384" w:author="AbbVie2" w:date="2025-05-13T16:40:00Z">
                <w:pPr>
                  <w:pStyle w:val="EMEANormal"/>
                  <w:jc w:val="center"/>
                </w:pPr>
              </w:pPrChange>
            </w:pPr>
            <w:del w:id="8385" w:author="AbbVie2" w:date="2025-05-13T16:39:00Z">
              <w:r w:rsidRPr="008912CF">
                <w:rPr>
                  <w:szCs w:val="22"/>
                </w:rPr>
                <w:delText>Semana 12</w:delText>
              </w:r>
            </w:del>
          </w:p>
        </w:tc>
        <w:tc>
          <w:tcPr>
            <w:tcW w:w="1325" w:type="dxa"/>
            <w:tcBorders>
              <w:top w:val="nil"/>
              <w:bottom w:val="nil"/>
            </w:tcBorders>
          </w:tcPr>
          <w:p w14:paraId="1AA5A46F" w14:textId="1C886406" w:rsidR="004462A0" w:rsidRPr="008912CF" w:rsidRDefault="00615769">
            <w:pPr>
              <w:rPr>
                <w:del w:id="8386" w:author="AbbVie2" w:date="2025-05-13T16:39:00Z"/>
                <w:szCs w:val="22"/>
              </w:rPr>
              <w:pPrChange w:id="8387" w:author="AbbVie2" w:date="2025-05-13T16:40:00Z">
                <w:pPr>
                  <w:pStyle w:val="EMEANormal"/>
                  <w:jc w:val="center"/>
                </w:pPr>
              </w:pPrChange>
            </w:pPr>
            <w:del w:id="8388" w:author="AbbVie2" w:date="2025-05-13T16:39:00Z">
              <w:r w:rsidRPr="008912CF">
                <w:rPr>
                  <w:szCs w:val="22"/>
                </w:rPr>
                <w:delText>1%</w:delText>
              </w:r>
            </w:del>
          </w:p>
        </w:tc>
        <w:tc>
          <w:tcPr>
            <w:tcW w:w="1316" w:type="dxa"/>
            <w:tcBorders>
              <w:top w:val="nil"/>
              <w:bottom w:val="nil"/>
              <w:right w:val="nil"/>
            </w:tcBorders>
          </w:tcPr>
          <w:p w14:paraId="5FA1F4BD" w14:textId="70CE36FB" w:rsidR="004462A0" w:rsidRPr="008912CF" w:rsidRDefault="00615769">
            <w:pPr>
              <w:rPr>
                <w:del w:id="8389" w:author="AbbVie2" w:date="2025-05-13T16:39:00Z"/>
                <w:szCs w:val="22"/>
              </w:rPr>
              <w:pPrChange w:id="8390" w:author="AbbVie2" w:date="2025-05-13T16:40:00Z">
                <w:pPr>
                  <w:pStyle w:val="EMEANormal"/>
                  <w:jc w:val="center"/>
                </w:pPr>
              </w:pPrChange>
            </w:pPr>
            <w:del w:id="8391" w:author="AbbVie2" w:date="2025-05-13T16:39:00Z">
              <w:r w:rsidRPr="008912CF">
                <w:rPr>
                  <w:szCs w:val="22"/>
                </w:rPr>
                <w:delText>20%</w:delText>
              </w:r>
              <w:r w:rsidRPr="008912CF">
                <w:rPr>
                  <w:szCs w:val="22"/>
                  <w:vertAlign w:val="superscript"/>
                </w:rPr>
                <w:delText>***</w:delText>
              </w:r>
            </w:del>
          </w:p>
        </w:tc>
        <w:tc>
          <w:tcPr>
            <w:tcW w:w="1343" w:type="dxa"/>
            <w:tcBorders>
              <w:top w:val="nil"/>
              <w:bottom w:val="nil"/>
            </w:tcBorders>
          </w:tcPr>
          <w:p w14:paraId="6336DC43" w14:textId="18DDFEC9" w:rsidR="004462A0" w:rsidRPr="008912CF" w:rsidRDefault="00615769">
            <w:pPr>
              <w:rPr>
                <w:del w:id="8392" w:author="AbbVie2" w:date="2025-05-13T16:39:00Z"/>
                <w:szCs w:val="22"/>
              </w:rPr>
              <w:pPrChange w:id="8393" w:author="AbbVie2" w:date="2025-05-13T16:40:00Z">
                <w:pPr>
                  <w:pStyle w:val="EMEANormal"/>
                  <w:jc w:val="center"/>
                </w:pPr>
              </w:pPrChange>
            </w:pPr>
            <w:del w:id="8394" w:author="AbbVie2" w:date="2025-05-13T16:39:00Z">
              <w:r w:rsidRPr="008912CF">
                <w:rPr>
                  <w:szCs w:val="22"/>
                </w:rPr>
                <w:delText>0%</w:delText>
              </w:r>
            </w:del>
          </w:p>
        </w:tc>
        <w:tc>
          <w:tcPr>
            <w:tcW w:w="1316" w:type="dxa"/>
            <w:gridSpan w:val="2"/>
            <w:tcBorders>
              <w:top w:val="nil"/>
              <w:bottom w:val="nil"/>
            </w:tcBorders>
          </w:tcPr>
          <w:p w14:paraId="4AACDBDE" w14:textId="48D49F46" w:rsidR="004462A0" w:rsidRPr="008912CF" w:rsidRDefault="00615769">
            <w:pPr>
              <w:rPr>
                <w:del w:id="8395" w:author="AbbVie2" w:date="2025-05-13T16:39:00Z"/>
                <w:szCs w:val="22"/>
              </w:rPr>
              <w:pPrChange w:id="8396" w:author="AbbVie2" w:date="2025-05-13T16:40:00Z">
                <w:pPr>
                  <w:pStyle w:val="EMEANormal"/>
                  <w:jc w:val="center"/>
                </w:pPr>
              </w:pPrChange>
            </w:pPr>
            <w:del w:id="8397" w:author="AbbVie2" w:date="2025-05-13T16:39:00Z">
              <w:r w:rsidRPr="008912CF">
                <w:rPr>
                  <w:szCs w:val="22"/>
                </w:rPr>
                <w:delText>14%</w:delText>
              </w:r>
              <w:r w:rsidRPr="008912CF">
                <w:rPr>
                  <w:szCs w:val="22"/>
                  <w:vertAlign w:val="superscript"/>
                </w:rPr>
                <w:delText xml:space="preserve"> *</w:delText>
              </w:r>
            </w:del>
          </w:p>
        </w:tc>
      </w:tr>
      <w:tr w:rsidR="00A7162A" w14:paraId="00E8D330" w14:textId="6DF4EA6E" w:rsidTr="00F675CF">
        <w:trPr>
          <w:jc w:val="center"/>
          <w:del w:id="8398" w:author="AbbVie2" w:date="2025-05-13T16:39:00Z"/>
        </w:trPr>
        <w:tc>
          <w:tcPr>
            <w:tcW w:w="1770" w:type="dxa"/>
            <w:gridSpan w:val="2"/>
            <w:tcBorders>
              <w:top w:val="nil"/>
            </w:tcBorders>
          </w:tcPr>
          <w:p w14:paraId="78707DEE" w14:textId="7C8D0B5E" w:rsidR="004462A0" w:rsidRPr="008912CF" w:rsidRDefault="00615769">
            <w:pPr>
              <w:rPr>
                <w:del w:id="8399" w:author="AbbVie2" w:date="2025-05-13T16:39:00Z"/>
                <w:szCs w:val="22"/>
              </w:rPr>
              <w:pPrChange w:id="8400" w:author="AbbVie2" w:date="2025-05-13T16:40:00Z">
                <w:pPr>
                  <w:pStyle w:val="EMEANormal"/>
                  <w:jc w:val="center"/>
                </w:pPr>
              </w:pPrChange>
            </w:pPr>
            <w:del w:id="8401" w:author="AbbVie2" w:date="2025-05-13T16:39:00Z">
              <w:r w:rsidRPr="008912CF">
                <w:rPr>
                  <w:szCs w:val="22"/>
                </w:rPr>
                <w:delText>Semana 24</w:delText>
              </w:r>
            </w:del>
          </w:p>
        </w:tc>
        <w:tc>
          <w:tcPr>
            <w:tcW w:w="1325" w:type="dxa"/>
            <w:tcBorders>
              <w:top w:val="nil"/>
            </w:tcBorders>
          </w:tcPr>
          <w:p w14:paraId="0E9C1C22" w14:textId="1A87CA11" w:rsidR="004462A0" w:rsidRPr="008912CF" w:rsidRDefault="00615769">
            <w:pPr>
              <w:rPr>
                <w:del w:id="8402" w:author="AbbVie2" w:date="2025-05-13T16:39:00Z"/>
                <w:szCs w:val="22"/>
              </w:rPr>
              <w:pPrChange w:id="8403" w:author="AbbVie2" w:date="2025-05-13T16:40:00Z">
                <w:pPr>
                  <w:pStyle w:val="EMEANormal"/>
                  <w:jc w:val="center"/>
                </w:pPr>
              </w:pPrChange>
            </w:pPr>
            <w:del w:id="8404" w:author="AbbVie2" w:date="2025-05-13T16:39:00Z">
              <w:r w:rsidRPr="008912CF">
                <w:rPr>
                  <w:szCs w:val="22"/>
                </w:rPr>
                <w:delText>1%</w:delText>
              </w:r>
            </w:del>
          </w:p>
        </w:tc>
        <w:tc>
          <w:tcPr>
            <w:tcW w:w="1316" w:type="dxa"/>
            <w:tcBorders>
              <w:top w:val="nil"/>
              <w:right w:val="nil"/>
            </w:tcBorders>
          </w:tcPr>
          <w:p w14:paraId="15F003D2" w14:textId="7C19714D" w:rsidR="004462A0" w:rsidRPr="008912CF" w:rsidRDefault="00615769">
            <w:pPr>
              <w:rPr>
                <w:del w:id="8405" w:author="AbbVie2" w:date="2025-05-13T16:39:00Z"/>
                <w:szCs w:val="22"/>
              </w:rPr>
              <w:pPrChange w:id="8406" w:author="AbbVie2" w:date="2025-05-13T16:40:00Z">
                <w:pPr>
                  <w:pStyle w:val="EMEANormal"/>
                  <w:jc w:val="center"/>
                </w:pPr>
              </w:pPrChange>
            </w:pPr>
            <w:del w:id="8407" w:author="AbbVie2" w:date="2025-05-13T16:39:00Z">
              <w:r w:rsidRPr="008912CF">
                <w:rPr>
                  <w:szCs w:val="22"/>
                </w:rPr>
                <w:delText>23%</w:delText>
              </w:r>
              <w:r w:rsidRPr="008912CF">
                <w:rPr>
                  <w:szCs w:val="22"/>
                  <w:vertAlign w:val="superscript"/>
                </w:rPr>
                <w:delText>***</w:delText>
              </w:r>
            </w:del>
          </w:p>
        </w:tc>
        <w:tc>
          <w:tcPr>
            <w:tcW w:w="1343" w:type="dxa"/>
            <w:tcBorders>
              <w:top w:val="nil"/>
            </w:tcBorders>
          </w:tcPr>
          <w:p w14:paraId="33CF3CFF" w14:textId="1CAD0FFC" w:rsidR="004462A0" w:rsidRPr="008912CF" w:rsidRDefault="00615769">
            <w:pPr>
              <w:rPr>
                <w:del w:id="8408" w:author="AbbVie2" w:date="2025-05-13T16:39:00Z"/>
                <w:szCs w:val="22"/>
              </w:rPr>
              <w:pPrChange w:id="8409" w:author="AbbVie2" w:date="2025-05-13T16:40:00Z">
                <w:pPr>
                  <w:pStyle w:val="EMEANormal"/>
                  <w:jc w:val="center"/>
                </w:pPr>
              </w:pPrChange>
            </w:pPr>
            <w:del w:id="8410" w:author="AbbVie2" w:date="2025-05-13T16:39:00Z">
              <w:r w:rsidRPr="008912CF">
                <w:rPr>
                  <w:szCs w:val="22"/>
                </w:rPr>
                <w:delText>N/A</w:delText>
              </w:r>
            </w:del>
          </w:p>
        </w:tc>
        <w:tc>
          <w:tcPr>
            <w:tcW w:w="1316" w:type="dxa"/>
            <w:gridSpan w:val="2"/>
            <w:tcBorders>
              <w:top w:val="nil"/>
            </w:tcBorders>
          </w:tcPr>
          <w:p w14:paraId="3063D4D6" w14:textId="7425ECA8" w:rsidR="004462A0" w:rsidRPr="008912CF" w:rsidRDefault="00615769">
            <w:pPr>
              <w:rPr>
                <w:del w:id="8411" w:author="AbbVie2" w:date="2025-05-13T16:39:00Z"/>
                <w:szCs w:val="22"/>
              </w:rPr>
              <w:pPrChange w:id="8412" w:author="AbbVie2" w:date="2025-05-13T16:40:00Z">
                <w:pPr>
                  <w:pStyle w:val="EMEANormal"/>
                  <w:jc w:val="center"/>
                </w:pPr>
              </w:pPrChange>
            </w:pPr>
            <w:del w:id="8413" w:author="AbbVie2" w:date="2025-05-13T16:39:00Z">
              <w:r w:rsidRPr="008912CF">
                <w:rPr>
                  <w:szCs w:val="22"/>
                </w:rPr>
                <w:delText>N/A</w:delText>
              </w:r>
            </w:del>
          </w:p>
        </w:tc>
      </w:tr>
      <w:tr w:rsidR="00A7162A" w14:paraId="7DA0ADA6" w14:textId="24E91D75" w:rsidTr="00F675CF">
        <w:trPr>
          <w:gridBefore w:val="1"/>
          <w:gridAfter w:val="1"/>
          <w:wBefore w:w="13" w:type="dxa"/>
          <w:wAfter w:w="19" w:type="dxa"/>
          <w:jc w:val="center"/>
          <w:del w:id="8414" w:author="AbbVie2" w:date="2025-05-13T16:39:00Z"/>
        </w:trPr>
        <w:tc>
          <w:tcPr>
            <w:tcW w:w="7038" w:type="dxa"/>
            <w:gridSpan w:val="5"/>
            <w:tcBorders>
              <w:top w:val="nil"/>
              <w:left w:val="nil"/>
              <w:bottom w:val="nil"/>
              <w:right w:val="nil"/>
            </w:tcBorders>
          </w:tcPr>
          <w:p w14:paraId="7EFA89D0" w14:textId="0F7E772F" w:rsidR="004462A0" w:rsidRPr="008912CF" w:rsidRDefault="00615769">
            <w:pPr>
              <w:rPr>
                <w:del w:id="8415" w:author="AbbVie2" w:date="2025-05-13T16:39:00Z"/>
                <w:szCs w:val="22"/>
              </w:rPr>
              <w:pPrChange w:id="8416" w:author="AbbVie2" w:date="2025-05-13T16:40:00Z">
                <w:pPr>
                  <w:pStyle w:val="EMEANormal"/>
                </w:pPr>
              </w:pPrChange>
            </w:pPr>
            <w:del w:id="8417" w:author="AbbVie2" w:date="2025-05-13T16:39:00Z">
              <w:r w:rsidRPr="008912CF">
                <w:rPr>
                  <w:szCs w:val="22"/>
                </w:rPr>
                <w:delText>***</w:delText>
              </w:r>
              <w:r w:rsidRPr="008912CF">
                <w:rPr>
                  <w:szCs w:val="22"/>
                </w:rPr>
                <w:tab/>
                <w:delText>p &lt; 0,001 para todas as comparações entre Humira e placebo</w:delText>
              </w:r>
            </w:del>
          </w:p>
          <w:p w14:paraId="6C85E54D" w14:textId="303E0CAE" w:rsidR="004462A0" w:rsidRPr="008912CF" w:rsidRDefault="00615769">
            <w:pPr>
              <w:rPr>
                <w:del w:id="8418" w:author="AbbVie2" w:date="2025-05-13T16:39:00Z"/>
                <w:szCs w:val="22"/>
              </w:rPr>
              <w:pPrChange w:id="8419" w:author="AbbVie2" w:date="2025-05-13T16:40:00Z">
                <w:pPr>
                  <w:pStyle w:val="EMEANormal"/>
                </w:pPr>
              </w:pPrChange>
            </w:pPr>
            <w:del w:id="8420" w:author="AbbVie2" w:date="2025-05-13T16:39:00Z">
              <w:r w:rsidRPr="008912CF">
                <w:rPr>
                  <w:szCs w:val="22"/>
                </w:rPr>
                <w:delText>*</w:delText>
              </w:r>
              <w:r w:rsidRPr="008912CF">
                <w:rPr>
                  <w:szCs w:val="22"/>
                </w:rPr>
                <w:tab/>
              </w:r>
              <w:r w:rsidRPr="008912CF">
                <w:rPr>
                  <w:szCs w:val="22"/>
                </w:rPr>
                <w:delText>p &lt; 0,05 para todas as comparações entre Humira e placebo</w:delText>
              </w:r>
            </w:del>
          </w:p>
          <w:p w14:paraId="67BAA033" w14:textId="62BDC2DA" w:rsidR="004462A0" w:rsidRPr="008912CF" w:rsidRDefault="00615769">
            <w:pPr>
              <w:rPr>
                <w:del w:id="8421" w:author="AbbVie2" w:date="2025-05-13T16:39:00Z"/>
                <w:szCs w:val="22"/>
              </w:rPr>
              <w:pPrChange w:id="8422" w:author="AbbVie2" w:date="2025-05-13T16:40:00Z">
                <w:pPr>
                  <w:pStyle w:val="EMEANormal"/>
                </w:pPr>
              </w:pPrChange>
            </w:pPr>
            <w:del w:id="8423" w:author="AbbVie2" w:date="2025-05-13T16:39:00Z">
              <w:r w:rsidRPr="008912CF">
                <w:rPr>
                  <w:szCs w:val="22"/>
                </w:rPr>
                <w:delText>N/A não aplicável</w:delText>
              </w:r>
            </w:del>
          </w:p>
        </w:tc>
      </w:tr>
    </w:tbl>
    <w:p w14:paraId="1832B371" w14:textId="1E1BD970" w:rsidR="004462A0" w:rsidRPr="008912CF" w:rsidRDefault="004462A0">
      <w:pPr>
        <w:rPr>
          <w:del w:id="8424" w:author="AbbVie2" w:date="2025-05-13T16:39:00Z"/>
          <w:szCs w:val="22"/>
        </w:rPr>
        <w:pPrChange w:id="8425" w:author="AbbVie2" w:date="2025-05-13T16:40:00Z">
          <w:pPr>
            <w:pStyle w:val="EMEANormal"/>
          </w:pPr>
        </w:pPrChange>
      </w:pPr>
    </w:p>
    <w:p w14:paraId="6C1AAC85" w14:textId="16F3320B" w:rsidR="004462A0" w:rsidRPr="008912CF" w:rsidRDefault="00615769">
      <w:pPr>
        <w:rPr>
          <w:del w:id="8426" w:author="AbbVie2" w:date="2025-05-13T16:39:00Z"/>
          <w:color w:val="000000"/>
          <w:szCs w:val="22"/>
        </w:rPr>
        <w:pPrChange w:id="8427" w:author="AbbVie2" w:date="2025-05-13T16:40:00Z">
          <w:pPr>
            <w:pStyle w:val="EMEANormal"/>
          </w:pPr>
        </w:pPrChange>
      </w:pPr>
      <w:del w:id="8428" w:author="AbbVie2" w:date="2025-05-13T16:39:00Z">
        <w:r w:rsidRPr="008912CF">
          <w:rPr>
            <w:color w:val="000000"/>
            <w:szCs w:val="22"/>
          </w:rPr>
          <w:delText>A</w:delText>
        </w:r>
        <w:r w:rsidR="00C41293">
          <w:rPr>
            <w:color w:val="000000"/>
            <w:szCs w:val="22"/>
          </w:rPr>
          <w:delText>s</w:delText>
        </w:r>
        <w:r w:rsidRPr="008912CF">
          <w:rPr>
            <w:color w:val="000000"/>
            <w:szCs w:val="22"/>
          </w:rPr>
          <w:delText xml:space="preserve"> resposta</w:delText>
        </w:r>
        <w:r w:rsidR="00C41293">
          <w:rPr>
            <w:color w:val="000000"/>
            <w:szCs w:val="22"/>
          </w:rPr>
          <w:delText>s</w:delText>
        </w:r>
        <w:r w:rsidRPr="008912CF">
          <w:rPr>
            <w:color w:val="000000"/>
            <w:szCs w:val="22"/>
          </w:rPr>
          <w:delText xml:space="preserve"> ACR no </w:delText>
        </w:r>
        <w:r w:rsidR="009E086D">
          <w:rPr>
            <w:color w:val="000000"/>
            <w:szCs w:val="22"/>
          </w:rPr>
          <w:delText>e</w:delText>
        </w:r>
        <w:r w:rsidRPr="008912CF">
          <w:rPr>
            <w:color w:val="000000"/>
            <w:szCs w:val="22"/>
          </w:rPr>
          <w:delText>studo APs I fo</w:delText>
        </w:r>
        <w:r w:rsidR="00C41293">
          <w:rPr>
            <w:color w:val="000000"/>
            <w:szCs w:val="22"/>
          </w:rPr>
          <w:delText>ram</w:delText>
        </w:r>
        <w:r w:rsidRPr="008912CF">
          <w:rPr>
            <w:color w:val="000000"/>
            <w:szCs w:val="22"/>
          </w:rPr>
          <w:delText xml:space="preserve"> similar</w:delText>
        </w:r>
        <w:r w:rsidR="00C41293">
          <w:rPr>
            <w:color w:val="000000"/>
            <w:szCs w:val="22"/>
          </w:rPr>
          <w:delText>es</w:delText>
        </w:r>
        <w:r w:rsidRPr="008912CF">
          <w:rPr>
            <w:color w:val="000000"/>
            <w:szCs w:val="22"/>
          </w:rPr>
          <w:delText xml:space="preserve"> com e sem terapêutica concomitante de metotrexato.</w:delText>
        </w:r>
      </w:del>
    </w:p>
    <w:p w14:paraId="56596C8A" w14:textId="71F6ED24" w:rsidR="004462A0" w:rsidRPr="008912CF" w:rsidRDefault="00615769">
      <w:pPr>
        <w:rPr>
          <w:del w:id="8429" w:author="AbbVie2" w:date="2025-05-13T16:39:00Z"/>
          <w:szCs w:val="22"/>
        </w:rPr>
        <w:pPrChange w:id="8430" w:author="AbbVie2" w:date="2025-05-13T16:40:00Z">
          <w:pPr>
            <w:pStyle w:val="EMEANormal"/>
          </w:pPr>
        </w:pPrChange>
      </w:pPr>
      <w:del w:id="8431" w:author="AbbVie2" w:date="2025-05-13T16:39:00Z">
        <w:r w:rsidRPr="008912CF">
          <w:rPr>
            <w:szCs w:val="22"/>
          </w:rPr>
          <w:delText>As respostas ACR foram mantidas no estudo de extensão de fase aberta por mais 136 semanas.</w:delText>
        </w:r>
      </w:del>
    </w:p>
    <w:p w14:paraId="3FA5DEA6" w14:textId="28F46AF3" w:rsidR="004462A0" w:rsidRPr="008912CF" w:rsidRDefault="004462A0">
      <w:pPr>
        <w:rPr>
          <w:del w:id="8432" w:author="AbbVie2" w:date="2025-05-13T16:39:00Z"/>
          <w:szCs w:val="22"/>
        </w:rPr>
        <w:pPrChange w:id="8433" w:author="AbbVie2" w:date="2025-05-13T16:40:00Z">
          <w:pPr>
            <w:pStyle w:val="EMEANormal"/>
          </w:pPr>
        </w:pPrChange>
      </w:pPr>
    </w:p>
    <w:p w14:paraId="595B4B16" w14:textId="3057A951" w:rsidR="004462A0" w:rsidRPr="008912CF" w:rsidRDefault="00615769">
      <w:pPr>
        <w:rPr>
          <w:del w:id="8434" w:author="AbbVie2" w:date="2025-05-13T16:39:00Z"/>
          <w:szCs w:val="22"/>
        </w:rPr>
        <w:pPrChange w:id="8435" w:author="AbbVie2" w:date="2025-05-13T16:40:00Z">
          <w:pPr>
            <w:pStyle w:val="EMEANormal"/>
          </w:pPr>
        </w:pPrChange>
      </w:pPr>
      <w:del w:id="8436" w:author="AbbVie2" w:date="2025-05-13T16:39:00Z">
        <w:r w:rsidRPr="008912CF">
          <w:rPr>
            <w:szCs w:val="22"/>
          </w:rPr>
          <w:delText xml:space="preserve">Nos estudos na artrite psoriática foram avaliadas as alterações radiográficas. Obtiveram-se radiografias das mãos, punhos e pés na avaliação basal e na Semana 24, durante a fase de dupla ocultação quando os doentes receberam Humira ou placebo e na Semana 48 quando todos os doentes </w:delText>
        </w:r>
        <w:r w:rsidR="00C41293">
          <w:rPr>
            <w:szCs w:val="22"/>
          </w:rPr>
          <w:delText>estavam a receber</w:delText>
        </w:r>
        <w:r w:rsidRPr="008912CF">
          <w:rPr>
            <w:szCs w:val="22"/>
          </w:rPr>
          <w:delText xml:space="preserve"> Humira</w:delText>
        </w:r>
        <w:r w:rsidR="00C41293">
          <w:rPr>
            <w:szCs w:val="22"/>
          </w:rPr>
          <w:delText xml:space="preserve"> em fase aberta</w:delText>
        </w:r>
        <w:r w:rsidRPr="008912CF">
          <w:rPr>
            <w:szCs w:val="22"/>
          </w:rPr>
          <w:delText xml:space="preserve">. Foi utilizada a </w:delText>
        </w:r>
        <w:r w:rsidR="009E086D">
          <w:rPr>
            <w:szCs w:val="22"/>
          </w:rPr>
          <w:delText>E</w:delText>
        </w:r>
        <w:r w:rsidRPr="008912CF">
          <w:rPr>
            <w:szCs w:val="22"/>
          </w:rPr>
          <w:delText xml:space="preserve">scala </w:delText>
        </w:r>
        <w:r w:rsidR="009E086D">
          <w:rPr>
            <w:szCs w:val="22"/>
          </w:rPr>
          <w:delText>T</w:delText>
        </w:r>
        <w:r w:rsidRPr="008912CF">
          <w:rPr>
            <w:szCs w:val="22"/>
          </w:rPr>
          <w:delText>otal de Sharp modificada (mTSS), que incluiu articulações interfalângicas distais (não idêntica à TSS utilizada na artrite reumatoide).</w:delText>
        </w:r>
      </w:del>
    </w:p>
    <w:p w14:paraId="1E5C8175" w14:textId="2E0742DF" w:rsidR="004462A0" w:rsidRPr="008912CF" w:rsidRDefault="004462A0">
      <w:pPr>
        <w:rPr>
          <w:del w:id="8437" w:author="AbbVie2" w:date="2025-05-13T16:39:00Z"/>
          <w:szCs w:val="22"/>
        </w:rPr>
        <w:pPrChange w:id="8438" w:author="AbbVie2" w:date="2025-05-13T16:40:00Z">
          <w:pPr>
            <w:pStyle w:val="EMEANormal"/>
          </w:pPr>
        </w:pPrChange>
      </w:pPr>
    </w:p>
    <w:p w14:paraId="5DDF1FA6" w14:textId="213693B8" w:rsidR="004462A0" w:rsidRPr="008912CF" w:rsidRDefault="00615769">
      <w:pPr>
        <w:rPr>
          <w:del w:id="8439" w:author="AbbVie2" w:date="2025-05-13T16:39:00Z"/>
          <w:szCs w:val="22"/>
        </w:rPr>
        <w:pPrChange w:id="8440" w:author="AbbVie2" w:date="2025-05-13T16:40:00Z">
          <w:pPr>
            <w:pStyle w:val="EMEANormal"/>
          </w:pPr>
        </w:pPrChange>
      </w:pPr>
      <w:del w:id="8441" w:author="AbbVie2" w:date="2025-05-13T16:39:00Z">
        <w:r w:rsidRPr="008912CF">
          <w:rPr>
            <w:szCs w:val="22"/>
          </w:rPr>
          <w:delText xml:space="preserve">O tratamento com Humira reduziu a taxa de progressão das lesões articulares periféricas, quando comparado com o tratamento com placebo, medido pela alteração </w:delText>
        </w:r>
        <w:r w:rsidR="00C41293">
          <w:rPr>
            <w:szCs w:val="22"/>
          </w:rPr>
          <w:delText>na</w:delText>
        </w:r>
        <w:r w:rsidRPr="008912CF">
          <w:rPr>
            <w:szCs w:val="22"/>
          </w:rPr>
          <w:delText xml:space="preserve"> mTSS </w:delText>
        </w:r>
        <w:r w:rsidR="00C41293">
          <w:rPr>
            <w:szCs w:val="22"/>
          </w:rPr>
          <w:delText xml:space="preserve">relativamente à avaliação inicial </w:delText>
        </w:r>
        <w:r w:rsidRPr="008912CF">
          <w:rPr>
            <w:szCs w:val="22"/>
          </w:rPr>
          <w:delText>(média ± DP) de 0,8 ± 2,5 no grupo placebo (à Semana 24) comparativamente a 0,0 ± 1,9</w:delText>
        </w:r>
        <w:r w:rsidR="009E086D">
          <w:rPr>
            <w:szCs w:val="22"/>
          </w:rPr>
          <w:delText xml:space="preserve"> </w:delText>
        </w:r>
        <w:r w:rsidRPr="008912CF">
          <w:rPr>
            <w:szCs w:val="22"/>
          </w:rPr>
          <w:delText>(p &lt; 0,001) no grupo Humira (à Semana 48).</w:delText>
        </w:r>
      </w:del>
    </w:p>
    <w:p w14:paraId="53CDFB58" w14:textId="45CDB855" w:rsidR="004462A0" w:rsidRPr="008912CF" w:rsidRDefault="004462A0">
      <w:pPr>
        <w:rPr>
          <w:del w:id="8442" w:author="AbbVie2" w:date="2025-05-13T16:39:00Z"/>
          <w:szCs w:val="22"/>
        </w:rPr>
        <w:pPrChange w:id="8443" w:author="AbbVie2" w:date="2025-05-13T16:40:00Z">
          <w:pPr>
            <w:pStyle w:val="EMEANormal"/>
          </w:pPr>
        </w:pPrChange>
      </w:pPr>
    </w:p>
    <w:p w14:paraId="20304938" w14:textId="4714F98A" w:rsidR="004462A0" w:rsidRPr="008912CF" w:rsidRDefault="00615769">
      <w:pPr>
        <w:rPr>
          <w:del w:id="8444" w:author="AbbVie2" w:date="2025-05-13T16:39:00Z"/>
          <w:szCs w:val="22"/>
        </w:rPr>
        <w:pPrChange w:id="8445" w:author="AbbVie2" w:date="2025-05-13T16:40:00Z">
          <w:pPr>
            <w:pStyle w:val="EMEANormal"/>
          </w:pPr>
        </w:pPrChange>
      </w:pPr>
      <w:del w:id="8446" w:author="AbbVie2" w:date="2025-05-13T16:39:00Z">
        <w:r w:rsidRPr="008912CF">
          <w:rPr>
            <w:szCs w:val="22"/>
          </w:rPr>
          <w:delText>Nos doentes tratados com Humira sem progressão radiográfica desde a avaliação basal à Semana 48 (n = 102), 84</w:delText>
        </w:r>
        <w:r w:rsidR="009343EF">
          <w:rPr>
            <w:szCs w:val="22"/>
          </w:rPr>
          <w:delText>%</w:delText>
        </w:r>
        <w:r w:rsidRPr="008912CF">
          <w:rPr>
            <w:szCs w:val="22"/>
          </w:rPr>
          <w:delText xml:space="preserve"> continuaram a mostrar </w:delText>
        </w:r>
        <w:r w:rsidR="00C41293">
          <w:rPr>
            <w:szCs w:val="22"/>
          </w:rPr>
          <w:delText>ausência de</w:delText>
        </w:r>
        <w:r w:rsidR="00C41293" w:rsidRPr="008912CF">
          <w:rPr>
            <w:szCs w:val="22"/>
          </w:rPr>
          <w:delText xml:space="preserve"> </w:delText>
        </w:r>
        <w:r w:rsidRPr="008912CF">
          <w:rPr>
            <w:szCs w:val="22"/>
          </w:rPr>
          <w:delText>progressão radiográfica durante 144 semanas de tratamento.</w:delText>
        </w:r>
      </w:del>
    </w:p>
    <w:p w14:paraId="7775B28C" w14:textId="0AB61088" w:rsidR="004462A0" w:rsidRPr="008912CF" w:rsidRDefault="004462A0">
      <w:pPr>
        <w:rPr>
          <w:del w:id="8447" w:author="AbbVie2" w:date="2025-05-13T16:39:00Z"/>
          <w:szCs w:val="22"/>
        </w:rPr>
        <w:pPrChange w:id="8448" w:author="AbbVie2" w:date="2025-05-13T16:40:00Z">
          <w:pPr>
            <w:pStyle w:val="EMEANormal"/>
          </w:pPr>
        </w:pPrChange>
      </w:pPr>
    </w:p>
    <w:p w14:paraId="794F9074" w14:textId="4D4B984A" w:rsidR="004462A0" w:rsidRPr="008912CF" w:rsidRDefault="00615769">
      <w:pPr>
        <w:rPr>
          <w:del w:id="8449" w:author="AbbVie2" w:date="2025-05-13T16:39:00Z"/>
          <w:szCs w:val="22"/>
        </w:rPr>
        <w:pPrChange w:id="8450" w:author="AbbVie2" w:date="2025-05-13T16:40:00Z">
          <w:pPr>
            <w:pStyle w:val="EMEANormal"/>
          </w:pPr>
        </w:pPrChange>
      </w:pPr>
      <w:del w:id="8451" w:author="AbbVie2" w:date="2025-05-13T16:39:00Z">
        <w:r w:rsidRPr="008912CF">
          <w:rPr>
            <w:szCs w:val="22"/>
          </w:rPr>
          <w:delText xml:space="preserve">Os doentes tratados com Humira demonstraram uma melhoria estatisticamente significativa na função física avaliada por HAQ e por </w:delText>
        </w:r>
        <w:r w:rsidRPr="008912CF">
          <w:rPr>
            <w:i/>
            <w:szCs w:val="22"/>
          </w:rPr>
          <w:delText>Short Form Health Survey</w:delText>
        </w:r>
        <w:r w:rsidRPr="008912CF">
          <w:rPr>
            <w:szCs w:val="22"/>
          </w:rPr>
          <w:delText xml:space="preserve"> (SF 36) comparativamente ao placebo à Semana 24. A melhoria da função física continuou durante a extensão de fase aberta até à Semana 136.</w:delText>
        </w:r>
      </w:del>
    </w:p>
    <w:p w14:paraId="7C65AC0C" w14:textId="681E3A1A" w:rsidR="004462A0" w:rsidRPr="008912CF" w:rsidRDefault="004462A0" w:rsidP="00412FC8">
      <w:pPr>
        <w:rPr>
          <w:del w:id="8452" w:author="AbbVie2" w:date="2025-05-13T16:39:00Z"/>
          <w:sz w:val="22"/>
          <w:szCs w:val="22"/>
          <w:u w:val="single"/>
        </w:rPr>
      </w:pPr>
    </w:p>
    <w:p w14:paraId="63863694" w14:textId="28383E42" w:rsidR="004462A0" w:rsidRPr="008912CF" w:rsidRDefault="00615769">
      <w:pPr>
        <w:rPr>
          <w:del w:id="8453" w:author="AbbVie2" w:date="2025-05-13T16:39:00Z"/>
          <w:szCs w:val="22"/>
        </w:rPr>
        <w:pPrChange w:id="8454" w:author="AbbVie2" w:date="2025-05-13T16:40:00Z">
          <w:pPr>
            <w:pStyle w:val="Heading9"/>
            <w:keepNext w:val="0"/>
          </w:pPr>
        </w:pPrChange>
      </w:pPr>
      <w:del w:id="8455" w:author="AbbVie2" w:date="2025-05-13T16:39:00Z">
        <w:r w:rsidRPr="008912CF">
          <w:rPr>
            <w:i/>
            <w:szCs w:val="22"/>
          </w:rPr>
          <w:delText>Psoríase</w:delText>
        </w:r>
        <w:r w:rsidRPr="008912CF">
          <w:rPr>
            <w:szCs w:val="22"/>
          </w:rPr>
          <w:delText xml:space="preserve"> </w:delText>
        </w:r>
      </w:del>
    </w:p>
    <w:p w14:paraId="2EE8AD19" w14:textId="10B92A58" w:rsidR="004462A0" w:rsidRPr="008912CF" w:rsidRDefault="004462A0" w:rsidP="00412FC8">
      <w:pPr>
        <w:rPr>
          <w:del w:id="8456" w:author="AbbVie2" w:date="2025-05-13T16:39:00Z"/>
          <w:sz w:val="22"/>
          <w:szCs w:val="22"/>
          <w:u w:val="single"/>
        </w:rPr>
      </w:pPr>
    </w:p>
    <w:p w14:paraId="2F45700D" w14:textId="663881FD" w:rsidR="004462A0" w:rsidRPr="008912CF" w:rsidRDefault="00615769" w:rsidP="00412FC8">
      <w:pPr>
        <w:rPr>
          <w:del w:id="8457" w:author="AbbVie2" w:date="2025-05-13T16:39:00Z"/>
          <w:sz w:val="22"/>
          <w:szCs w:val="22"/>
        </w:rPr>
      </w:pPr>
      <w:del w:id="8458" w:author="AbbVie2" w:date="2025-05-13T16:39:00Z">
        <w:r w:rsidRPr="008912CF">
          <w:rPr>
            <w:sz w:val="22"/>
            <w:szCs w:val="22"/>
          </w:rPr>
          <w:delText xml:space="preserve">A segurança e eficácia de Humira foram avaliadas em estudos </w:delText>
        </w:r>
        <w:r w:rsidR="0013275C">
          <w:rPr>
            <w:sz w:val="22"/>
            <w:szCs w:val="22"/>
          </w:rPr>
          <w:delText>aleatorizado</w:delText>
        </w:r>
        <w:r w:rsidRPr="008912CF">
          <w:rPr>
            <w:sz w:val="22"/>
            <w:szCs w:val="22"/>
          </w:rPr>
          <w:delText>s, com dupla ocultação, em doentes adultos com psoríase crónica em placas (BSA </w:delText>
        </w:r>
        <w:r w:rsidRPr="008912CF">
          <w:rPr>
            <w:rFonts w:ascii="Symbol" w:hAnsi="Symbol"/>
            <w:sz w:val="22"/>
            <w:szCs w:val="22"/>
          </w:rPr>
          <w:sym w:font="Symbol" w:char="F0B3"/>
        </w:r>
        <w:r w:rsidRPr="008912CF">
          <w:rPr>
            <w:sz w:val="22"/>
            <w:szCs w:val="22"/>
          </w:rPr>
          <w:delText xml:space="preserve"> 10% e </w:delText>
        </w:r>
        <w:r w:rsidRPr="008912CF">
          <w:rPr>
            <w:i/>
            <w:sz w:val="22"/>
            <w:szCs w:val="22"/>
          </w:rPr>
          <w:delText>Psoriasis Area and Severity Index</w:delText>
        </w:r>
        <w:r w:rsidRPr="008912CF">
          <w:rPr>
            <w:sz w:val="22"/>
            <w:szCs w:val="22"/>
          </w:rPr>
          <w:delText xml:space="preserve"> (PASI) </w:delText>
        </w:r>
        <w:r w:rsidRPr="008912CF">
          <w:rPr>
            <w:rFonts w:ascii="Symbol" w:hAnsi="Symbol"/>
            <w:sz w:val="22"/>
            <w:szCs w:val="22"/>
          </w:rPr>
          <w:sym w:font="Symbol" w:char="F0B3"/>
        </w:r>
        <w:r w:rsidRPr="008912CF">
          <w:rPr>
            <w:sz w:val="22"/>
            <w:szCs w:val="22"/>
          </w:rPr>
          <w:delText xml:space="preserve"> 12 ou </w:delText>
        </w:r>
        <w:r w:rsidRPr="008912CF">
          <w:rPr>
            <w:rFonts w:ascii="Symbol" w:hAnsi="Symbol"/>
            <w:sz w:val="22"/>
            <w:szCs w:val="22"/>
          </w:rPr>
          <w:sym w:font="Symbol" w:char="F0B3"/>
        </w:r>
        <w:r w:rsidRPr="008912CF">
          <w:rPr>
            <w:sz w:val="22"/>
            <w:szCs w:val="22"/>
          </w:rPr>
          <w:delText xml:space="preserve"> 10), que </w:delText>
        </w:r>
        <w:r w:rsidR="005049F7">
          <w:rPr>
            <w:sz w:val="22"/>
            <w:szCs w:val="22"/>
          </w:rPr>
          <w:delText>e</w:delText>
        </w:r>
        <w:r w:rsidRPr="008912CF">
          <w:rPr>
            <w:sz w:val="22"/>
            <w:szCs w:val="22"/>
          </w:rPr>
          <w:delText>ram candidatos a uma terapêutica sistémica ou fototerapia. 73</w:delText>
        </w:r>
        <w:r w:rsidR="009343EF">
          <w:rPr>
            <w:sz w:val="22"/>
            <w:szCs w:val="22"/>
          </w:rPr>
          <w:delText>%</w:delText>
        </w:r>
        <w:r w:rsidRPr="008912CF">
          <w:rPr>
            <w:sz w:val="22"/>
            <w:szCs w:val="22"/>
          </w:rPr>
          <w:delText xml:space="preserve"> dos doentes envolvidos nos estudos I e II da Psoríase receberam previamente terapêutica sistémica ou fototerapia. A segurança e eficácia de Humira foram também avaliadas num estudo </w:delText>
        </w:r>
        <w:r w:rsidR="0013275C">
          <w:rPr>
            <w:sz w:val="22"/>
            <w:szCs w:val="22"/>
          </w:rPr>
          <w:delText>aleatorizado</w:delText>
        </w:r>
        <w:r w:rsidRPr="008912CF">
          <w:rPr>
            <w:sz w:val="22"/>
            <w:szCs w:val="22"/>
          </w:rPr>
          <w:delText xml:space="preserve"> em dupla ocultação (Estudo III na Psoríase) em doentes adultos com psoríase crónica em placas moderada a grave </w:delText>
        </w:r>
        <w:r w:rsidR="00331F8A">
          <w:rPr>
            <w:sz w:val="22"/>
            <w:szCs w:val="22"/>
          </w:rPr>
          <w:delText>e</w:delText>
        </w:r>
        <w:r w:rsidRPr="008912CF">
          <w:rPr>
            <w:sz w:val="22"/>
            <w:szCs w:val="22"/>
          </w:rPr>
          <w:delText xml:space="preserve"> psoríase palmar e/ou plantar concomitante, que </w:delText>
        </w:r>
        <w:r w:rsidR="00331F8A">
          <w:rPr>
            <w:sz w:val="22"/>
            <w:szCs w:val="22"/>
          </w:rPr>
          <w:delText>e</w:delText>
        </w:r>
        <w:r w:rsidRPr="008912CF">
          <w:rPr>
            <w:sz w:val="22"/>
            <w:szCs w:val="22"/>
          </w:rPr>
          <w:delText xml:space="preserve">ram candidatos a uma terapêutica sistémica. </w:delText>
        </w:r>
      </w:del>
    </w:p>
    <w:p w14:paraId="15E85FA4" w14:textId="20DFC4A5" w:rsidR="004462A0" w:rsidRPr="008912CF" w:rsidRDefault="004462A0">
      <w:pPr>
        <w:rPr>
          <w:del w:id="8459" w:author="AbbVie2" w:date="2025-05-13T16:39:00Z"/>
          <w:szCs w:val="22"/>
        </w:rPr>
        <w:pPrChange w:id="8460" w:author="AbbVie2" w:date="2025-05-13T16:40:00Z">
          <w:pPr>
            <w:pStyle w:val="EndnoteText"/>
          </w:pPr>
        </w:pPrChange>
      </w:pPr>
    </w:p>
    <w:p w14:paraId="0EA9E3E8" w14:textId="48F6E486" w:rsidR="004462A0" w:rsidRPr="008912CF" w:rsidRDefault="00615769" w:rsidP="00412FC8">
      <w:pPr>
        <w:rPr>
          <w:del w:id="8461" w:author="AbbVie2" w:date="2025-05-13T16:39:00Z"/>
          <w:sz w:val="22"/>
          <w:szCs w:val="22"/>
        </w:rPr>
      </w:pPr>
      <w:del w:id="8462" w:author="AbbVie2" w:date="2025-05-13T16:39:00Z">
        <w:r w:rsidRPr="008912CF">
          <w:rPr>
            <w:sz w:val="22"/>
            <w:szCs w:val="22"/>
          </w:rPr>
          <w:delText>O estudo I na Psoríase (REVEAL) avaliou 1.212 doentes em três períodos de tratamento. No período A, os doentes receberam placebo ou Humira numa dose inicial de 80 mg seguida de 40 mg em semanas alternadas, uma semana após a dose inicial. Os doentes que atingiram pelo menos uma resposta PASI 75 (melhoria de pelo menos 75</w:delText>
        </w:r>
        <w:r w:rsidR="009343EF">
          <w:rPr>
            <w:sz w:val="22"/>
            <w:szCs w:val="22"/>
          </w:rPr>
          <w:delText>%</w:delText>
        </w:r>
        <w:r w:rsidRPr="008912CF">
          <w:rPr>
            <w:sz w:val="22"/>
            <w:szCs w:val="22"/>
          </w:rPr>
          <w:delText xml:space="preserve"> no PASI em relação à avaliação basal), após 16 semanas de terapêutica, entraram no período B e receberam 40 mg de Humira em fase aberta, em semanas alternadas. Os doentes que mantiveram uma resposta </w:delText>
        </w:r>
        <w:r w:rsidRPr="008912CF">
          <w:rPr>
            <w:rFonts w:ascii="Symbol" w:hAnsi="Symbol"/>
            <w:sz w:val="22"/>
            <w:szCs w:val="22"/>
          </w:rPr>
          <w:sym w:font="Symbol" w:char="F0B3"/>
        </w:r>
        <w:r w:rsidRPr="008912CF">
          <w:rPr>
            <w:sz w:val="22"/>
            <w:szCs w:val="22"/>
          </w:rPr>
          <w:delText xml:space="preserve"> PASI 75 à Semana 33 e </w:delText>
        </w:r>
        <w:r w:rsidR="005049F7">
          <w:rPr>
            <w:sz w:val="22"/>
            <w:szCs w:val="22"/>
          </w:rPr>
          <w:delText>tinham sido</w:delText>
        </w:r>
        <w:r w:rsidR="005049F7" w:rsidRPr="008912CF">
          <w:rPr>
            <w:sz w:val="22"/>
            <w:szCs w:val="22"/>
          </w:rPr>
          <w:delText xml:space="preserve"> </w:delText>
        </w:r>
        <w:r w:rsidRPr="008912CF">
          <w:rPr>
            <w:sz w:val="22"/>
            <w:szCs w:val="22"/>
          </w:rPr>
          <w:delText xml:space="preserve">originalmente </w:delText>
        </w:r>
        <w:r w:rsidR="0013275C">
          <w:rPr>
            <w:sz w:val="22"/>
            <w:szCs w:val="22"/>
          </w:rPr>
          <w:delText>aleatorizado</w:delText>
        </w:r>
        <w:r w:rsidRPr="008912CF">
          <w:rPr>
            <w:sz w:val="22"/>
            <w:szCs w:val="22"/>
          </w:rPr>
          <w:delText xml:space="preserve">s para uma terapêutica ativa no Período A, foram de novo </w:delText>
        </w:r>
        <w:r w:rsidR="0013275C">
          <w:rPr>
            <w:sz w:val="22"/>
            <w:szCs w:val="22"/>
          </w:rPr>
          <w:delText>aleatorizado</w:delText>
        </w:r>
        <w:r w:rsidRPr="008912CF">
          <w:rPr>
            <w:sz w:val="22"/>
            <w:szCs w:val="22"/>
          </w:rPr>
          <w:delText xml:space="preserve">s no período C para receberem 40 mg de Humira em semanas alternadas ou placebo, por um período adicional de 19 semanas. Em todos os grupos de tratamento, a pontuação basal média PASI foi 18,9 e o </w:delText>
        </w:r>
        <w:r w:rsidRPr="008912CF">
          <w:rPr>
            <w:i/>
            <w:sz w:val="22"/>
            <w:szCs w:val="22"/>
          </w:rPr>
          <w:delText>Physician’s Global Assessment</w:delText>
        </w:r>
        <w:r w:rsidRPr="008912CF">
          <w:rPr>
            <w:sz w:val="22"/>
            <w:szCs w:val="22"/>
          </w:rPr>
          <w:delText xml:space="preserve"> (PGA) foi classificado entre “moderada” (53</w:delText>
        </w:r>
        <w:r w:rsidR="009343EF">
          <w:rPr>
            <w:sz w:val="22"/>
            <w:szCs w:val="22"/>
          </w:rPr>
          <w:delText>%</w:delText>
        </w:r>
        <w:r w:rsidRPr="008912CF">
          <w:rPr>
            <w:sz w:val="22"/>
            <w:szCs w:val="22"/>
          </w:rPr>
          <w:delText xml:space="preserve"> dos doentes incluídos) a “grave” (41</w:delText>
        </w:r>
        <w:r w:rsidR="009343EF">
          <w:rPr>
            <w:sz w:val="22"/>
            <w:szCs w:val="22"/>
          </w:rPr>
          <w:delText>%</w:delText>
        </w:r>
        <w:r w:rsidRPr="008912CF">
          <w:rPr>
            <w:sz w:val="22"/>
            <w:szCs w:val="22"/>
          </w:rPr>
          <w:delText>) a “muito grave” (6</w:delText>
        </w:r>
        <w:r w:rsidR="009343EF">
          <w:rPr>
            <w:sz w:val="22"/>
            <w:szCs w:val="22"/>
          </w:rPr>
          <w:delText>%</w:delText>
        </w:r>
        <w:r w:rsidRPr="008912CF">
          <w:rPr>
            <w:sz w:val="22"/>
            <w:szCs w:val="22"/>
          </w:rPr>
          <w:delText>).</w:delText>
        </w:r>
      </w:del>
    </w:p>
    <w:p w14:paraId="26990024" w14:textId="42A9C3A5" w:rsidR="004462A0" w:rsidRPr="008912CF" w:rsidRDefault="004462A0" w:rsidP="00412FC8">
      <w:pPr>
        <w:rPr>
          <w:del w:id="8463" w:author="AbbVie2" w:date="2025-05-13T16:39:00Z"/>
          <w:sz w:val="22"/>
          <w:szCs w:val="22"/>
        </w:rPr>
      </w:pPr>
    </w:p>
    <w:p w14:paraId="56A73C25" w14:textId="4CC456C8" w:rsidR="004462A0" w:rsidRPr="008912CF" w:rsidRDefault="00615769">
      <w:pPr>
        <w:rPr>
          <w:del w:id="8464" w:author="AbbVie2" w:date="2025-05-13T16:39:00Z"/>
          <w:sz w:val="22"/>
          <w:szCs w:val="22"/>
        </w:rPr>
        <w:pPrChange w:id="8465" w:author="AbbVie2" w:date="2025-05-13T16:40:00Z">
          <w:pPr>
            <w:autoSpaceDE w:val="0"/>
            <w:autoSpaceDN w:val="0"/>
            <w:adjustRightInd w:val="0"/>
          </w:pPr>
        </w:pPrChange>
      </w:pPr>
      <w:del w:id="8466" w:author="AbbVie2" w:date="2025-05-13T16:39:00Z">
        <w:r w:rsidRPr="008912CF">
          <w:rPr>
            <w:sz w:val="22"/>
            <w:szCs w:val="22"/>
          </w:rPr>
          <w:delText xml:space="preserve">O estudo II na Psoríase (CHAMPION) comparou a eficácia e segurança de Humira versus metotrexato e placebo em 271 doentes. Os doentes receberam placebo, numa dose inicial de 7,5 mg de MTX com um aumento de dose </w:delText>
        </w:r>
        <w:r w:rsidR="005049F7">
          <w:rPr>
            <w:sz w:val="22"/>
            <w:szCs w:val="22"/>
          </w:rPr>
          <w:delText xml:space="preserve">até </w:delText>
        </w:r>
        <w:r w:rsidRPr="008912CF">
          <w:rPr>
            <w:sz w:val="22"/>
            <w:szCs w:val="22"/>
          </w:rPr>
          <w:delText xml:space="preserve">à Semana 12, com uma dose máxima de 25 mg ou uma dose inicial de 80 mg de Humira seguida de 40 mg em semanas alternadas (uma semana após a dose inicial), durante 16 semanas. Não existem dados disponíveis sobre a comparação de Humira e MTX para além de 16 semanas de terapêutica. Os doentes tratados com MTX que atingiram uma resposta </w:delText>
        </w:r>
        <w:r w:rsidRPr="008912CF">
          <w:rPr>
            <w:rFonts w:ascii="Symbol" w:hAnsi="Symbol"/>
            <w:sz w:val="22"/>
            <w:szCs w:val="22"/>
          </w:rPr>
          <w:sym w:font="Symbol" w:char="F0B3"/>
        </w:r>
        <w:r w:rsidRPr="008912CF">
          <w:rPr>
            <w:sz w:val="22"/>
            <w:szCs w:val="22"/>
          </w:rPr>
          <w:delText xml:space="preserve"> PASI 50 na Semana 8 e/ou 12, não receberam mais aumentos de dose. Em todos os grupos de tratamento, a pontuação basal média </w:delText>
        </w:r>
        <w:r w:rsidRPr="008912CF">
          <w:rPr>
            <w:caps/>
            <w:sz w:val="22"/>
            <w:szCs w:val="22"/>
          </w:rPr>
          <w:delText>Pasi</w:delText>
        </w:r>
        <w:r w:rsidRPr="008912CF">
          <w:rPr>
            <w:sz w:val="22"/>
            <w:szCs w:val="22"/>
          </w:rPr>
          <w:delText xml:space="preserve"> foi 19,7 e o PGA foi classificado entre “ligeira” (&lt;1</w:delText>
        </w:r>
        <w:r w:rsidR="009343EF">
          <w:rPr>
            <w:sz w:val="22"/>
            <w:szCs w:val="22"/>
          </w:rPr>
          <w:delText>%</w:delText>
        </w:r>
        <w:r w:rsidRPr="008912CF">
          <w:rPr>
            <w:sz w:val="22"/>
            <w:szCs w:val="22"/>
          </w:rPr>
          <w:delText>) a “moderada” (48</w:delText>
        </w:r>
        <w:r w:rsidR="009343EF">
          <w:rPr>
            <w:sz w:val="22"/>
            <w:szCs w:val="22"/>
          </w:rPr>
          <w:delText>%</w:delText>
        </w:r>
        <w:r w:rsidRPr="008912CF">
          <w:rPr>
            <w:sz w:val="22"/>
            <w:szCs w:val="22"/>
          </w:rPr>
          <w:delText>) a “grave” (46</w:delText>
        </w:r>
        <w:r w:rsidR="009343EF">
          <w:rPr>
            <w:sz w:val="22"/>
            <w:szCs w:val="22"/>
          </w:rPr>
          <w:delText>%</w:delText>
        </w:r>
        <w:r w:rsidRPr="008912CF">
          <w:rPr>
            <w:sz w:val="22"/>
            <w:szCs w:val="22"/>
          </w:rPr>
          <w:delText>) a “muito grave” (6</w:delText>
        </w:r>
        <w:r w:rsidR="009343EF">
          <w:rPr>
            <w:sz w:val="22"/>
            <w:szCs w:val="22"/>
          </w:rPr>
          <w:delText>%</w:delText>
        </w:r>
        <w:r w:rsidRPr="008912CF">
          <w:rPr>
            <w:sz w:val="22"/>
            <w:szCs w:val="22"/>
          </w:rPr>
          <w:delText>).</w:delText>
        </w:r>
      </w:del>
    </w:p>
    <w:p w14:paraId="68BB33D3" w14:textId="23422554" w:rsidR="004462A0" w:rsidRPr="008912CF" w:rsidRDefault="004462A0">
      <w:pPr>
        <w:rPr>
          <w:del w:id="8467" w:author="AbbVie2" w:date="2025-05-13T16:39:00Z"/>
          <w:sz w:val="22"/>
          <w:szCs w:val="22"/>
        </w:rPr>
        <w:pPrChange w:id="8468" w:author="AbbVie2" w:date="2025-05-13T16:40:00Z">
          <w:pPr>
            <w:autoSpaceDE w:val="0"/>
            <w:autoSpaceDN w:val="0"/>
            <w:adjustRightInd w:val="0"/>
          </w:pPr>
        </w:pPrChange>
      </w:pPr>
    </w:p>
    <w:p w14:paraId="70C0246E" w14:textId="55194131" w:rsidR="004462A0" w:rsidRPr="008912CF" w:rsidRDefault="00615769">
      <w:pPr>
        <w:rPr>
          <w:del w:id="8469" w:author="AbbVie2" w:date="2025-05-13T16:39:00Z"/>
          <w:sz w:val="22"/>
          <w:szCs w:val="22"/>
        </w:rPr>
        <w:pPrChange w:id="8470" w:author="AbbVie2" w:date="2025-05-13T16:40:00Z">
          <w:pPr>
            <w:autoSpaceDE w:val="0"/>
            <w:autoSpaceDN w:val="0"/>
            <w:adjustRightInd w:val="0"/>
          </w:pPr>
        </w:pPrChange>
      </w:pPr>
      <w:del w:id="8471" w:author="AbbVie2" w:date="2025-05-13T16:39:00Z">
        <w:r w:rsidRPr="008912CF">
          <w:rPr>
            <w:sz w:val="22"/>
            <w:szCs w:val="22"/>
          </w:rPr>
          <w:delText>Os doentes que participaram em todos os estudos de Fase 2 e Fase 3 na psoríase foram elegíveis para inclusão num ensaio de extensão de fase aberta, no qual Humira foi administrado durante, pelo menos, 108 semanas adicionais.</w:delText>
        </w:r>
      </w:del>
    </w:p>
    <w:p w14:paraId="164276B1" w14:textId="44E6DE73" w:rsidR="004462A0" w:rsidRPr="008912CF" w:rsidRDefault="004462A0">
      <w:pPr>
        <w:rPr>
          <w:del w:id="8472" w:author="AbbVie2" w:date="2025-05-13T16:39:00Z"/>
          <w:iCs/>
          <w:sz w:val="22"/>
          <w:szCs w:val="22"/>
        </w:rPr>
        <w:pPrChange w:id="8473" w:author="AbbVie2" w:date="2025-05-13T16:40:00Z">
          <w:pPr>
            <w:autoSpaceDE w:val="0"/>
            <w:autoSpaceDN w:val="0"/>
            <w:adjustRightInd w:val="0"/>
          </w:pPr>
        </w:pPrChange>
      </w:pPr>
    </w:p>
    <w:p w14:paraId="0ED018FB" w14:textId="4BBB02F0" w:rsidR="004462A0" w:rsidRPr="008912CF" w:rsidRDefault="00615769">
      <w:pPr>
        <w:rPr>
          <w:del w:id="8474" w:author="AbbVie2" w:date="2025-05-13T16:39:00Z"/>
          <w:sz w:val="22"/>
          <w:szCs w:val="22"/>
        </w:rPr>
        <w:pPrChange w:id="8475" w:author="AbbVie2" w:date="2025-05-13T16:40:00Z">
          <w:pPr>
            <w:autoSpaceDE w:val="0"/>
            <w:autoSpaceDN w:val="0"/>
            <w:adjustRightInd w:val="0"/>
          </w:pPr>
        </w:pPrChange>
      </w:pPr>
      <w:del w:id="8476" w:author="AbbVie2" w:date="2025-05-13T16:39:00Z">
        <w:r w:rsidRPr="008912CF">
          <w:rPr>
            <w:iCs/>
            <w:sz w:val="22"/>
            <w:szCs w:val="22"/>
          </w:rPr>
          <w:delText xml:space="preserve">Nos estudos I e II na Psoríase, o objetivo primário foi a percentagem de doentes que atingiram uma resposta PASI 75, desde a avaliação basal, à Semana 16 </w:delText>
        </w:r>
        <w:r w:rsidRPr="008912CF">
          <w:rPr>
            <w:sz w:val="22"/>
            <w:szCs w:val="22"/>
          </w:rPr>
          <w:delText xml:space="preserve">(ver Tabelas </w:delText>
        </w:r>
        <w:r w:rsidR="00A22EC4">
          <w:rPr>
            <w:sz w:val="22"/>
            <w:szCs w:val="22"/>
          </w:rPr>
          <w:delText>1</w:delText>
        </w:r>
        <w:r w:rsidR="00B925B3">
          <w:rPr>
            <w:sz w:val="22"/>
            <w:szCs w:val="22"/>
          </w:rPr>
          <w:delText>6</w:delText>
        </w:r>
        <w:r w:rsidRPr="008912CF">
          <w:rPr>
            <w:sz w:val="22"/>
            <w:szCs w:val="22"/>
          </w:rPr>
          <w:delText xml:space="preserve"> e </w:delText>
        </w:r>
        <w:r w:rsidR="00A22EC4">
          <w:rPr>
            <w:sz w:val="22"/>
            <w:szCs w:val="22"/>
          </w:rPr>
          <w:delText>1</w:delText>
        </w:r>
        <w:r w:rsidR="00B925B3">
          <w:rPr>
            <w:sz w:val="22"/>
            <w:szCs w:val="22"/>
          </w:rPr>
          <w:delText>7</w:delText>
        </w:r>
        <w:r w:rsidRPr="008912CF">
          <w:rPr>
            <w:sz w:val="22"/>
            <w:szCs w:val="22"/>
          </w:rPr>
          <w:delText>).</w:delText>
        </w:r>
      </w:del>
    </w:p>
    <w:p w14:paraId="605AFCE5" w14:textId="606C7E49" w:rsidR="004462A0" w:rsidRPr="008912CF" w:rsidRDefault="004462A0" w:rsidP="00412FC8">
      <w:pPr>
        <w:rPr>
          <w:del w:id="8477" w:author="AbbVie2" w:date="2025-05-13T16:39:00Z"/>
          <w:sz w:val="22"/>
          <w:szCs w:val="22"/>
        </w:rPr>
      </w:pPr>
    </w:p>
    <w:tbl>
      <w:tblPr>
        <w:tblpPr w:leftFromText="141" w:rightFromText="141" w:vertAnchor="text" w:tblpXSpec="center" w:tblpY="1"/>
        <w:tblOverlap w:val="never"/>
        <w:tblW w:w="6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A7162A" w14:paraId="51260D26" w14:textId="2F56B954" w:rsidTr="00DF5632">
        <w:trPr>
          <w:cantSplit/>
          <w:del w:id="8478" w:author="AbbVie2" w:date="2025-05-13T16:39:00Z"/>
        </w:trPr>
        <w:tc>
          <w:tcPr>
            <w:tcW w:w="6949" w:type="dxa"/>
            <w:gridSpan w:val="3"/>
            <w:tcBorders>
              <w:top w:val="nil"/>
              <w:left w:val="nil"/>
              <w:right w:val="nil"/>
            </w:tcBorders>
          </w:tcPr>
          <w:p w14:paraId="1DA4C15F" w14:textId="2A729BAF" w:rsidR="004462A0" w:rsidRPr="008912CF" w:rsidRDefault="00615769">
            <w:pPr>
              <w:rPr>
                <w:del w:id="8479" w:author="AbbVie2" w:date="2025-05-13T16:39:00Z"/>
                <w:b/>
                <w:szCs w:val="22"/>
              </w:rPr>
              <w:pPrChange w:id="8480" w:author="AbbVie2" w:date="2025-05-13T16:40:00Z">
                <w:pPr>
                  <w:pStyle w:val="DefaultText"/>
                  <w:keepNext/>
                  <w:framePr w:hSpace="141" w:wrap="around" w:vAnchor="text" w:hAnchor="text" w:xAlign="center" w:y="1"/>
                  <w:suppressOverlap/>
                  <w:jc w:val="center"/>
                </w:pPr>
              </w:pPrChange>
            </w:pPr>
            <w:del w:id="8481" w:author="AbbVie2" w:date="2025-05-13T16:39:00Z">
              <w:r w:rsidRPr="008912CF">
                <w:rPr>
                  <w:b/>
                  <w:szCs w:val="22"/>
                </w:rPr>
                <w:delText xml:space="preserve">Tabela </w:delText>
              </w:r>
              <w:r w:rsidR="00A22EC4">
                <w:rPr>
                  <w:b/>
                  <w:szCs w:val="22"/>
                </w:rPr>
                <w:delText>1</w:delText>
              </w:r>
              <w:r w:rsidR="00B925B3">
                <w:rPr>
                  <w:b/>
                  <w:szCs w:val="22"/>
                </w:rPr>
                <w:delText>6</w:delText>
              </w:r>
            </w:del>
          </w:p>
          <w:p w14:paraId="549B2DBB" w14:textId="5A3DB1AC" w:rsidR="004462A0" w:rsidRPr="008912CF" w:rsidRDefault="00615769">
            <w:pPr>
              <w:rPr>
                <w:del w:id="8482" w:author="AbbVie2" w:date="2025-05-13T16:39:00Z"/>
                <w:b/>
                <w:szCs w:val="22"/>
              </w:rPr>
              <w:pPrChange w:id="8483" w:author="AbbVie2" w:date="2025-05-13T16:40:00Z">
                <w:pPr>
                  <w:pStyle w:val="DefaultText"/>
                  <w:keepNext/>
                  <w:framePr w:hSpace="141" w:wrap="around" w:vAnchor="text" w:hAnchor="text" w:xAlign="center" w:y="1"/>
                  <w:suppressOverlap/>
                  <w:jc w:val="center"/>
                </w:pPr>
              </w:pPrChange>
            </w:pPr>
            <w:del w:id="8484" w:author="AbbVie2" w:date="2025-05-13T16:39:00Z">
              <w:r w:rsidRPr="008912CF">
                <w:rPr>
                  <w:b/>
                  <w:szCs w:val="22"/>
                </w:rPr>
                <w:delText>Estudo I na Psoríase (REVEAL)</w:delText>
              </w:r>
            </w:del>
          </w:p>
          <w:p w14:paraId="60363F11" w14:textId="762EDAA9" w:rsidR="004462A0" w:rsidRPr="008912CF" w:rsidRDefault="00615769">
            <w:pPr>
              <w:rPr>
                <w:del w:id="8485" w:author="AbbVie2" w:date="2025-05-13T16:39:00Z"/>
                <w:b/>
                <w:szCs w:val="22"/>
              </w:rPr>
              <w:pPrChange w:id="8486" w:author="AbbVie2" w:date="2025-05-13T16:40:00Z">
                <w:pPr>
                  <w:pStyle w:val="DefaultText"/>
                  <w:keepNext/>
                  <w:framePr w:hSpace="141" w:wrap="around" w:vAnchor="text" w:hAnchor="text" w:xAlign="center" w:y="1"/>
                  <w:suppressOverlap/>
                  <w:jc w:val="center"/>
                </w:pPr>
              </w:pPrChange>
            </w:pPr>
            <w:del w:id="8487" w:author="AbbVie2" w:date="2025-05-13T16:39:00Z">
              <w:r w:rsidRPr="008912CF">
                <w:rPr>
                  <w:b/>
                  <w:szCs w:val="22"/>
                </w:rPr>
                <w:delText>Resultados de Eficácia à</w:delText>
              </w:r>
              <w:r w:rsidR="005049F7">
                <w:rPr>
                  <w:b/>
                  <w:szCs w:val="22"/>
                </w:rPr>
                <w:delText xml:space="preserve"> Semana</w:delText>
              </w:r>
              <w:r w:rsidRPr="008912CF">
                <w:rPr>
                  <w:b/>
                  <w:szCs w:val="22"/>
                </w:rPr>
                <w:delText xml:space="preserve"> 16</w:delText>
              </w:r>
            </w:del>
          </w:p>
          <w:p w14:paraId="1C1E4ABE" w14:textId="7E87806C" w:rsidR="004462A0" w:rsidRPr="008912CF" w:rsidRDefault="004462A0">
            <w:pPr>
              <w:rPr>
                <w:del w:id="8488" w:author="AbbVie2" w:date="2025-05-13T16:39:00Z"/>
                <w:b/>
                <w:szCs w:val="22"/>
                <w:u w:val="single"/>
              </w:rPr>
              <w:pPrChange w:id="8489" w:author="AbbVie2" w:date="2025-05-13T16:40:00Z">
                <w:pPr>
                  <w:pStyle w:val="DefaultText"/>
                  <w:keepNext/>
                  <w:framePr w:hSpace="141" w:wrap="around" w:vAnchor="text" w:hAnchor="text" w:xAlign="center" w:y="1"/>
                  <w:suppressOverlap/>
                  <w:jc w:val="center"/>
                </w:pPr>
              </w:pPrChange>
            </w:pPr>
          </w:p>
        </w:tc>
      </w:tr>
      <w:tr w:rsidR="00A7162A" w14:paraId="672DBA90" w14:textId="048744D4" w:rsidTr="00DF5632">
        <w:trPr>
          <w:cantSplit/>
          <w:del w:id="8490" w:author="AbbVie2" w:date="2025-05-13T16:39:00Z"/>
        </w:trPr>
        <w:tc>
          <w:tcPr>
            <w:tcW w:w="2977" w:type="dxa"/>
            <w:vAlign w:val="center"/>
          </w:tcPr>
          <w:p w14:paraId="3BD35880" w14:textId="2D109C5D" w:rsidR="004462A0" w:rsidRPr="008912CF" w:rsidRDefault="004462A0">
            <w:pPr>
              <w:rPr>
                <w:del w:id="8491" w:author="AbbVie2" w:date="2025-05-13T16:39:00Z"/>
                <w:b/>
                <w:szCs w:val="22"/>
              </w:rPr>
              <w:pPrChange w:id="8492" w:author="AbbVie2" w:date="2025-05-13T16:40:00Z">
                <w:pPr>
                  <w:pStyle w:val="DefaultText"/>
                  <w:keepNext/>
                  <w:framePr w:hSpace="141" w:wrap="around" w:vAnchor="text" w:hAnchor="text" w:xAlign="center" w:y="1"/>
                  <w:suppressOverlap/>
                </w:pPr>
              </w:pPrChange>
            </w:pPr>
          </w:p>
        </w:tc>
        <w:tc>
          <w:tcPr>
            <w:tcW w:w="1620" w:type="dxa"/>
            <w:vAlign w:val="center"/>
          </w:tcPr>
          <w:p w14:paraId="35F6FD58" w14:textId="76DDED71" w:rsidR="004462A0" w:rsidRPr="008912CF" w:rsidRDefault="00615769">
            <w:pPr>
              <w:rPr>
                <w:del w:id="8493" w:author="AbbVie2" w:date="2025-05-13T16:39:00Z"/>
                <w:b/>
                <w:szCs w:val="22"/>
              </w:rPr>
              <w:pPrChange w:id="8494" w:author="AbbVie2" w:date="2025-05-13T16:40:00Z">
                <w:pPr>
                  <w:pStyle w:val="DefaultText"/>
                  <w:keepNext/>
                  <w:framePr w:hSpace="141" w:wrap="around" w:vAnchor="text" w:hAnchor="text" w:xAlign="center" w:y="1"/>
                  <w:suppressOverlap/>
                  <w:jc w:val="center"/>
                </w:pPr>
              </w:pPrChange>
            </w:pPr>
            <w:del w:id="8495" w:author="AbbVie2" w:date="2025-05-13T16:39:00Z">
              <w:r w:rsidRPr="008912CF">
                <w:rPr>
                  <w:b/>
                  <w:szCs w:val="22"/>
                </w:rPr>
                <w:delText>Placebo</w:delText>
              </w:r>
            </w:del>
          </w:p>
          <w:p w14:paraId="5F61E073" w14:textId="62F0D6A8" w:rsidR="004462A0" w:rsidRPr="008912CF" w:rsidRDefault="00615769">
            <w:pPr>
              <w:rPr>
                <w:del w:id="8496" w:author="AbbVie2" w:date="2025-05-13T16:39:00Z"/>
                <w:b/>
                <w:szCs w:val="22"/>
              </w:rPr>
              <w:pPrChange w:id="8497" w:author="AbbVie2" w:date="2025-05-13T16:40:00Z">
                <w:pPr>
                  <w:pStyle w:val="DefaultText"/>
                  <w:keepNext/>
                  <w:framePr w:hSpace="141" w:wrap="around" w:vAnchor="text" w:hAnchor="text" w:xAlign="center" w:y="1"/>
                  <w:suppressOverlap/>
                  <w:jc w:val="center"/>
                </w:pPr>
              </w:pPrChange>
            </w:pPr>
            <w:del w:id="8498" w:author="AbbVie2" w:date="2025-05-13T16:39:00Z">
              <w:r w:rsidRPr="008912CF">
                <w:rPr>
                  <w:b/>
                  <w:szCs w:val="22"/>
                </w:rPr>
                <w:delText>N=398</w:delText>
              </w:r>
            </w:del>
          </w:p>
          <w:p w14:paraId="48EC808E" w14:textId="44ECC5B1" w:rsidR="004462A0" w:rsidRPr="008912CF" w:rsidRDefault="00615769">
            <w:pPr>
              <w:rPr>
                <w:del w:id="8499" w:author="AbbVie2" w:date="2025-05-13T16:39:00Z"/>
                <w:b/>
                <w:szCs w:val="22"/>
              </w:rPr>
              <w:pPrChange w:id="8500" w:author="AbbVie2" w:date="2025-05-13T16:40:00Z">
                <w:pPr>
                  <w:pStyle w:val="DefaultText"/>
                  <w:keepNext/>
                  <w:framePr w:hSpace="141" w:wrap="around" w:vAnchor="text" w:hAnchor="text" w:xAlign="center" w:y="1"/>
                  <w:suppressOverlap/>
                  <w:jc w:val="center"/>
                </w:pPr>
              </w:pPrChange>
            </w:pPr>
            <w:del w:id="8501" w:author="AbbVie2" w:date="2025-05-13T16:39:00Z">
              <w:r w:rsidRPr="008912CF">
                <w:rPr>
                  <w:b/>
                  <w:szCs w:val="22"/>
                </w:rPr>
                <w:delText>n (%)</w:delText>
              </w:r>
            </w:del>
          </w:p>
        </w:tc>
        <w:tc>
          <w:tcPr>
            <w:tcW w:w="2352" w:type="dxa"/>
            <w:vAlign w:val="center"/>
          </w:tcPr>
          <w:p w14:paraId="340CAD31" w14:textId="46873280" w:rsidR="004462A0" w:rsidRPr="008912CF" w:rsidRDefault="00615769">
            <w:pPr>
              <w:rPr>
                <w:del w:id="8502" w:author="AbbVie2" w:date="2025-05-13T16:39:00Z"/>
                <w:b/>
                <w:szCs w:val="22"/>
              </w:rPr>
              <w:pPrChange w:id="8503" w:author="AbbVie2" w:date="2025-05-13T16:40:00Z">
                <w:pPr>
                  <w:pStyle w:val="DefaultText"/>
                  <w:keepNext/>
                  <w:framePr w:hSpace="141" w:wrap="around" w:vAnchor="text" w:hAnchor="text" w:xAlign="center" w:y="1"/>
                  <w:suppressOverlap/>
                  <w:jc w:val="center"/>
                </w:pPr>
              </w:pPrChange>
            </w:pPr>
            <w:del w:id="8504" w:author="AbbVie2" w:date="2025-05-13T16:39:00Z">
              <w:r w:rsidRPr="008912CF">
                <w:rPr>
                  <w:b/>
                  <w:szCs w:val="22"/>
                </w:rPr>
                <w:delText>Humira 40</w:delText>
              </w:r>
              <w:r>
                <w:rPr>
                  <w:b/>
                  <w:szCs w:val="22"/>
                </w:rPr>
                <w:delText> </w:delText>
              </w:r>
              <w:r w:rsidRPr="008912CF">
                <w:rPr>
                  <w:b/>
                  <w:szCs w:val="22"/>
                </w:rPr>
                <w:delText>mg em semanas alternadas</w:delText>
              </w:r>
            </w:del>
          </w:p>
          <w:p w14:paraId="655CEFF7" w14:textId="36E88F2A" w:rsidR="004462A0" w:rsidRPr="008912CF" w:rsidRDefault="00615769">
            <w:pPr>
              <w:rPr>
                <w:del w:id="8505" w:author="AbbVie2" w:date="2025-05-13T16:39:00Z"/>
                <w:b/>
                <w:szCs w:val="22"/>
              </w:rPr>
              <w:pPrChange w:id="8506" w:author="AbbVie2" w:date="2025-05-13T16:40:00Z">
                <w:pPr>
                  <w:pStyle w:val="DefaultText"/>
                  <w:keepNext/>
                  <w:framePr w:hSpace="141" w:wrap="around" w:vAnchor="text" w:hAnchor="text" w:xAlign="center" w:y="1"/>
                  <w:suppressOverlap/>
                  <w:jc w:val="center"/>
                </w:pPr>
              </w:pPrChange>
            </w:pPr>
            <w:del w:id="8507" w:author="AbbVie2" w:date="2025-05-13T16:39:00Z">
              <w:r w:rsidRPr="008912CF">
                <w:rPr>
                  <w:b/>
                  <w:szCs w:val="22"/>
                </w:rPr>
                <w:delText>N=814</w:delText>
              </w:r>
            </w:del>
          </w:p>
          <w:p w14:paraId="396EB54A" w14:textId="457DC1F9" w:rsidR="004462A0" w:rsidRPr="008912CF" w:rsidRDefault="00615769">
            <w:pPr>
              <w:rPr>
                <w:del w:id="8508" w:author="AbbVie2" w:date="2025-05-13T16:39:00Z"/>
                <w:b/>
                <w:szCs w:val="22"/>
              </w:rPr>
              <w:pPrChange w:id="8509" w:author="AbbVie2" w:date="2025-05-13T16:40:00Z">
                <w:pPr>
                  <w:pStyle w:val="DefaultText"/>
                  <w:keepNext/>
                  <w:framePr w:hSpace="141" w:wrap="around" w:vAnchor="text" w:hAnchor="text" w:xAlign="center" w:y="1"/>
                  <w:suppressOverlap/>
                  <w:jc w:val="center"/>
                </w:pPr>
              </w:pPrChange>
            </w:pPr>
            <w:del w:id="8510" w:author="AbbVie2" w:date="2025-05-13T16:39:00Z">
              <w:r w:rsidRPr="008912CF">
                <w:rPr>
                  <w:b/>
                  <w:szCs w:val="22"/>
                </w:rPr>
                <w:delText>n (%)</w:delText>
              </w:r>
            </w:del>
          </w:p>
        </w:tc>
      </w:tr>
      <w:tr w:rsidR="00A7162A" w14:paraId="38E71B46" w14:textId="38413E24" w:rsidTr="00DF5632">
        <w:trPr>
          <w:cantSplit/>
          <w:del w:id="8511" w:author="AbbVie2" w:date="2025-05-13T16:39:00Z"/>
        </w:trPr>
        <w:tc>
          <w:tcPr>
            <w:tcW w:w="2977" w:type="dxa"/>
          </w:tcPr>
          <w:p w14:paraId="605B089E" w14:textId="43C61093" w:rsidR="004462A0" w:rsidRPr="008912CF" w:rsidRDefault="00615769">
            <w:pPr>
              <w:rPr>
                <w:del w:id="8512" w:author="AbbVie2" w:date="2025-05-13T16:39:00Z"/>
                <w:b/>
                <w:szCs w:val="22"/>
              </w:rPr>
              <w:pPrChange w:id="8513" w:author="AbbVie2" w:date="2025-05-13T16:40:00Z">
                <w:pPr>
                  <w:pStyle w:val="DefaultText"/>
                  <w:keepNext/>
                  <w:framePr w:hSpace="141" w:wrap="around" w:vAnchor="text" w:hAnchor="text" w:xAlign="center" w:y="1"/>
                  <w:suppressOverlap/>
                </w:pPr>
              </w:pPrChange>
            </w:pPr>
            <w:del w:id="8514" w:author="AbbVie2" w:date="2025-05-13T16:39:00Z">
              <w:r w:rsidRPr="008912CF">
                <w:rPr>
                  <w:b/>
                  <w:szCs w:val="22"/>
                </w:rPr>
                <w:delText xml:space="preserve">    </w:delText>
              </w:r>
              <w:r w:rsidRPr="008912CF">
                <w:rPr>
                  <w:rFonts w:ascii="Symbol" w:hAnsi="Symbol"/>
                  <w:b/>
                  <w:szCs w:val="22"/>
                </w:rPr>
                <w:sym w:font="Symbol" w:char="F0B3"/>
              </w:r>
              <w:r w:rsidR="00601734">
                <w:rPr>
                  <w:rFonts w:ascii="Symbol" w:hAnsi="Symbol"/>
                  <w:b/>
                  <w:szCs w:val="22"/>
                </w:rPr>
                <w:sym w:font="Symbol" w:char="F020"/>
              </w:r>
              <w:r w:rsidRPr="008912CF">
                <w:rPr>
                  <w:b/>
                  <w:szCs w:val="22"/>
                </w:rPr>
                <w:delText>PASI 75</w:delText>
              </w:r>
              <w:r w:rsidRPr="008912CF">
                <w:rPr>
                  <w:b/>
                  <w:szCs w:val="22"/>
                  <w:vertAlign w:val="superscript"/>
                </w:rPr>
                <w:delText>a</w:delText>
              </w:r>
            </w:del>
          </w:p>
        </w:tc>
        <w:tc>
          <w:tcPr>
            <w:tcW w:w="1620" w:type="dxa"/>
          </w:tcPr>
          <w:p w14:paraId="1F667B3A" w14:textId="032A1855" w:rsidR="004462A0" w:rsidRPr="008912CF" w:rsidRDefault="00615769">
            <w:pPr>
              <w:rPr>
                <w:del w:id="8515" w:author="AbbVie2" w:date="2025-05-13T16:39:00Z"/>
                <w:szCs w:val="22"/>
              </w:rPr>
              <w:pPrChange w:id="8516" w:author="AbbVie2" w:date="2025-05-13T16:40:00Z">
                <w:pPr>
                  <w:pStyle w:val="DefaultText"/>
                  <w:keepNext/>
                  <w:framePr w:hSpace="141" w:wrap="around" w:vAnchor="text" w:hAnchor="text" w:xAlign="center" w:y="1"/>
                  <w:suppressOverlap/>
                  <w:jc w:val="center"/>
                </w:pPr>
              </w:pPrChange>
            </w:pPr>
            <w:del w:id="8517" w:author="AbbVie2" w:date="2025-05-13T16:39:00Z">
              <w:r w:rsidRPr="008912CF">
                <w:rPr>
                  <w:szCs w:val="22"/>
                </w:rPr>
                <w:delText>26 (6,5)</w:delText>
              </w:r>
            </w:del>
          </w:p>
        </w:tc>
        <w:tc>
          <w:tcPr>
            <w:tcW w:w="2352" w:type="dxa"/>
          </w:tcPr>
          <w:p w14:paraId="39923424" w14:textId="71C89D23" w:rsidR="004462A0" w:rsidRPr="008912CF" w:rsidRDefault="00615769">
            <w:pPr>
              <w:rPr>
                <w:del w:id="8518" w:author="AbbVie2" w:date="2025-05-13T16:39:00Z"/>
                <w:szCs w:val="22"/>
              </w:rPr>
              <w:pPrChange w:id="8519" w:author="AbbVie2" w:date="2025-05-13T16:40:00Z">
                <w:pPr>
                  <w:pStyle w:val="DefaultText"/>
                  <w:keepNext/>
                  <w:framePr w:hSpace="141" w:wrap="around" w:vAnchor="text" w:hAnchor="text" w:xAlign="center" w:y="1"/>
                  <w:suppressOverlap/>
                  <w:jc w:val="center"/>
                </w:pPr>
              </w:pPrChange>
            </w:pPr>
            <w:del w:id="8520" w:author="AbbVie2" w:date="2025-05-13T16:39:00Z">
              <w:r w:rsidRPr="008912CF">
                <w:rPr>
                  <w:szCs w:val="22"/>
                </w:rPr>
                <w:delText>578 (70,9)</w:delText>
              </w:r>
              <w:r w:rsidRPr="008912CF">
                <w:rPr>
                  <w:szCs w:val="22"/>
                  <w:vertAlign w:val="superscript"/>
                </w:rPr>
                <w:delText>b</w:delText>
              </w:r>
            </w:del>
          </w:p>
        </w:tc>
      </w:tr>
      <w:tr w:rsidR="00A7162A" w14:paraId="4ADE8DEA" w14:textId="1EB6A5FD" w:rsidTr="00DF5632">
        <w:trPr>
          <w:cantSplit/>
          <w:trHeight w:val="70"/>
          <w:del w:id="8521" w:author="AbbVie2" w:date="2025-05-13T16:39:00Z"/>
        </w:trPr>
        <w:tc>
          <w:tcPr>
            <w:tcW w:w="2977" w:type="dxa"/>
          </w:tcPr>
          <w:p w14:paraId="150E303D" w14:textId="3BA2D876" w:rsidR="004462A0" w:rsidRPr="008912CF" w:rsidRDefault="00615769">
            <w:pPr>
              <w:rPr>
                <w:del w:id="8522" w:author="AbbVie2" w:date="2025-05-13T16:39:00Z"/>
                <w:b/>
                <w:szCs w:val="22"/>
              </w:rPr>
              <w:pPrChange w:id="8523" w:author="AbbVie2" w:date="2025-05-13T16:40:00Z">
                <w:pPr>
                  <w:pStyle w:val="DefaultText"/>
                  <w:keepNext/>
                  <w:framePr w:hSpace="141" w:wrap="around" w:vAnchor="text" w:hAnchor="text" w:xAlign="center" w:y="1"/>
                  <w:suppressOverlap/>
                </w:pPr>
              </w:pPrChange>
            </w:pPr>
            <w:del w:id="8524" w:author="AbbVie2" w:date="2025-05-13T16:39:00Z">
              <w:r w:rsidRPr="008912CF">
                <w:rPr>
                  <w:b/>
                  <w:szCs w:val="22"/>
                </w:rPr>
                <w:delText xml:space="preserve">    PASI 100</w:delText>
              </w:r>
            </w:del>
          </w:p>
        </w:tc>
        <w:tc>
          <w:tcPr>
            <w:tcW w:w="1620" w:type="dxa"/>
          </w:tcPr>
          <w:p w14:paraId="5C5D4589" w14:textId="30644134" w:rsidR="004462A0" w:rsidRPr="008912CF" w:rsidRDefault="00615769">
            <w:pPr>
              <w:rPr>
                <w:del w:id="8525" w:author="AbbVie2" w:date="2025-05-13T16:39:00Z"/>
                <w:szCs w:val="22"/>
              </w:rPr>
              <w:pPrChange w:id="8526" w:author="AbbVie2" w:date="2025-05-13T16:40:00Z">
                <w:pPr>
                  <w:pStyle w:val="DefaultText"/>
                  <w:keepNext/>
                  <w:framePr w:hSpace="141" w:wrap="around" w:vAnchor="text" w:hAnchor="text" w:xAlign="center" w:y="1"/>
                  <w:suppressOverlap/>
                  <w:jc w:val="center"/>
                </w:pPr>
              </w:pPrChange>
            </w:pPr>
            <w:del w:id="8527" w:author="AbbVie2" w:date="2025-05-13T16:39:00Z">
              <w:r w:rsidRPr="008912CF">
                <w:rPr>
                  <w:szCs w:val="22"/>
                </w:rPr>
                <w:delText>3 (0,8)</w:delText>
              </w:r>
            </w:del>
          </w:p>
        </w:tc>
        <w:tc>
          <w:tcPr>
            <w:tcW w:w="2352" w:type="dxa"/>
          </w:tcPr>
          <w:p w14:paraId="01418D83" w14:textId="6A1E1273" w:rsidR="004462A0" w:rsidRPr="008912CF" w:rsidRDefault="00615769">
            <w:pPr>
              <w:rPr>
                <w:del w:id="8528" w:author="AbbVie2" w:date="2025-05-13T16:39:00Z"/>
                <w:szCs w:val="22"/>
              </w:rPr>
              <w:pPrChange w:id="8529" w:author="AbbVie2" w:date="2025-05-13T16:40:00Z">
                <w:pPr>
                  <w:pStyle w:val="DefaultText"/>
                  <w:keepNext/>
                  <w:framePr w:hSpace="141" w:wrap="around" w:vAnchor="text" w:hAnchor="text" w:xAlign="center" w:y="1"/>
                  <w:suppressOverlap/>
                  <w:jc w:val="center"/>
                </w:pPr>
              </w:pPrChange>
            </w:pPr>
            <w:del w:id="8530" w:author="AbbVie2" w:date="2025-05-13T16:39:00Z">
              <w:r w:rsidRPr="008912CF">
                <w:rPr>
                  <w:szCs w:val="22"/>
                </w:rPr>
                <w:delText>163 (20,0)</w:delText>
              </w:r>
              <w:r w:rsidRPr="008912CF">
                <w:rPr>
                  <w:szCs w:val="22"/>
                  <w:vertAlign w:val="superscript"/>
                </w:rPr>
                <w:delText>b</w:delText>
              </w:r>
            </w:del>
          </w:p>
        </w:tc>
      </w:tr>
      <w:tr w:rsidR="00A7162A" w14:paraId="08A2BC1D" w14:textId="21924210" w:rsidTr="00DF5632">
        <w:trPr>
          <w:cantSplit/>
          <w:del w:id="8531" w:author="AbbVie2" w:date="2025-05-13T16:39:00Z"/>
        </w:trPr>
        <w:tc>
          <w:tcPr>
            <w:tcW w:w="2977" w:type="dxa"/>
          </w:tcPr>
          <w:p w14:paraId="56F7341B" w14:textId="0EFDF954" w:rsidR="004462A0" w:rsidRPr="008912CF" w:rsidRDefault="00615769">
            <w:pPr>
              <w:rPr>
                <w:del w:id="8532" w:author="AbbVie2" w:date="2025-05-13T16:39:00Z"/>
                <w:b/>
                <w:szCs w:val="22"/>
              </w:rPr>
              <w:pPrChange w:id="8533" w:author="AbbVie2" w:date="2025-05-13T16:40:00Z">
                <w:pPr>
                  <w:pStyle w:val="DefaultText"/>
                  <w:keepNext/>
                  <w:framePr w:hSpace="141" w:wrap="around" w:vAnchor="text" w:hAnchor="text" w:xAlign="center" w:y="1"/>
                  <w:suppressOverlap/>
                </w:pPr>
              </w:pPrChange>
            </w:pPr>
            <w:del w:id="8534" w:author="AbbVie2" w:date="2025-05-13T16:39:00Z">
              <w:r w:rsidRPr="008912CF">
                <w:rPr>
                  <w:b/>
                  <w:szCs w:val="22"/>
                </w:rPr>
                <w:delText xml:space="preserve">    PGA: Limp</w:delText>
              </w:r>
              <w:r w:rsidR="005049F7">
                <w:rPr>
                  <w:b/>
                  <w:szCs w:val="22"/>
                </w:rPr>
                <w:delText>a</w:delText>
              </w:r>
              <w:r w:rsidRPr="008912CF">
                <w:rPr>
                  <w:b/>
                  <w:szCs w:val="22"/>
                </w:rPr>
                <w:delText>/</w:delText>
              </w:r>
              <w:r w:rsidR="00E57BBD">
                <w:rPr>
                  <w:b/>
                  <w:szCs w:val="22"/>
                </w:rPr>
                <w:delText>quase limpa</w:delText>
              </w:r>
            </w:del>
          </w:p>
        </w:tc>
        <w:tc>
          <w:tcPr>
            <w:tcW w:w="1620" w:type="dxa"/>
          </w:tcPr>
          <w:p w14:paraId="6496DCE7" w14:textId="436451B4" w:rsidR="004462A0" w:rsidRPr="008912CF" w:rsidRDefault="00615769">
            <w:pPr>
              <w:rPr>
                <w:del w:id="8535" w:author="AbbVie2" w:date="2025-05-13T16:39:00Z"/>
                <w:szCs w:val="22"/>
              </w:rPr>
              <w:pPrChange w:id="8536" w:author="AbbVie2" w:date="2025-05-13T16:40:00Z">
                <w:pPr>
                  <w:pStyle w:val="DefaultText"/>
                  <w:keepNext/>
                  <w:framePr w:hSpace="141" w:wrap="around" w:vAnchor="text" w:hAnchor="text" w:xAlign="center" w:y="1"/>
                  <w:suppressOverlap/>
                  <w:jc w:val="center"/>
                </w:pPr>
              </w:pPrChange>
            </w:pPr>
            <w:del w:id="8537" w:author="AbbVie2" w:date="2025-05-13T16:39:00Z">
              <w:r w:rsidRPr="008912CF">
                <w:rPr>
                  <w:szCs w:val="22"/>
                </w:rPr>
                <w:delText>17 (4,3)</w:delText>
              </w:r>
            </w:del>
          </w:p>
        </w:tc>
        <w:tc>
          <w:tcPr>
            <w:tcW w:w="2352" w:type="dxa"/>
          </w:tcPr>
          <w:p w14:paraId="0AA575BE" w14:textId="118B2189" w:rsidR="004462A0" w:rsidRPr="008912CF" w:rsidRDefault="00615769">
            <w:pPr>
              <w:rPr>
                <w:del w:id="8538" w:author="AbbVie2" w:date="2025-05-13T16:39:00Z"/>
                <w:szCs w:val="22"/>
              </w:rPr>
              <w:pPrChange w:id="8539" w:author="AbbVie2" w:date="2025-05-13T16:40:00Z">
                <w:pPr>
                  <w:pStyle w:val="DefaultText"/>
                  <w:keepNext/>
                  <w:framePr w:hSpace="141" w:wrap="around" w:vAnchor="text" w:hAnchor="text" w:xAlign="center" w:y="1"/>
                  <w:suppressOverlap/>
                  <w:jc w:val="center"/>
                </w:pPr>
              </w:pPrChange>
            </w:pPr>
            <w:del w:id="8540" w:author="AbbVie2" w:date="2025-05-13T16:39:00Z">
              <w:r w:rsidRPr="008912CF">
                <w:rPr>
                  <w:szCs w:val="22"/>
                </w:rPr>
                <w:delText>506 (62,2)</w:delText>
              </w:r>
              <w:r w:rsidRPr="008912CF">
                <w:rPr>
                  <w:szCs w:val="22"/>
                  <w:vertAlign w:val="superscript"/>
                </w:rPr>
                <w:delText>b</w:delText>
              </w:r>
            </w:del>
          </w:p>
        </w:tc>
      </w:tr>
      <w:tr w:rsidR="00A7162A" w14:paraId="1C87B6A4" w14:textId="4E53E6C0" w:rsidTr="00DF5632">
        <w:trPr>
          <w:cantSplit/>
          <w:del w:id="8541" w:author="AbbVie2" w:date="2025-05-13T16:39:00Z"/>
        </w:trPr>
        <w:tc>
          <w:tcPr>
            <w:tcW w:w="6949" w:type="dxa"/>
            <w:gridSpan w:val="3"/>
          </w:tcPr>
          <w:p w14:paraId="66175FF4" w14:textId="39F39765" w:rsidR="004462A0" w:rsidRPr="008912CF" w:rsidRDefault="00615769">
            <w:pPr>
              <w:rPr>
                <w:del w:id="8542" w:author="AbbVie2" w:date="2025-05-13T16:39:00Z"/>
                <w:szCs w:val="22"/>
              </w:rPr>
              <w:pPrChange w:id="8543" w:author="AbbVie2" w:date="2025-05-13T16:40:00Z">
                <w:pPr>
                  <w:pStyle w:val="DefaultText"/>
                  <w:keepNext/>
                  <w:framePr w:hSpace="141" w:wrap="around" w:vAnchor="text" w:hAnchor="text" w:xAlign="center" w:y="1"/>
                  <w:suppressOverlap/>
                </w:pPr>
              </w:pPrChange>
            </w:pPr>
            <w:del w:id="8544" w:author="AbbVie2" w:date="2025-05-13T16:39:00Z">
              <w:r w:rsidRPr="008912CF">
                <w:rPr>
                  <w:szCs w:val="22"/>
                  <w:vertAlign w:val="superscript"/>
                </w:rPr>
                <w:delText>a</w:delText>
              </w:r>
              <w:r w:rsidRPr="008912CF">
                <w:rPr>
                  <w:szCs w:val="22"/>
                </w:rPr>
                <w:delText xml:space="preserve"> Percentagem de doentes que atingiram uma resposta PASI75  calculada como uma taxa ajustada</w:delText>
              </w:r>
            </w:del>
          </w:p>
          <w:p w14:paraId="29C8EF0E" w14:textId="67980710" w:rsidR="004462A0" w:rsidRPr="008912CF" w:rsidRDefault="00615769">
            <w:pPr>
              <w:rPr>
                <w:del w:id="8545" w:author="AbbVie2" w:date="2025-05-13T16:39:00Z"/>
                <w:szCs w:val="22"/>
              </w:rPr>
              <w:pPrChange w:id="8546" w:author="AbbVie2" w:date="2025-05-13T16:40:00Z">
                <w:pPr>
                  <w:pStyle w:val="DefaultText"/>
                  <w:keepNext/>
                  <w:framePr w:hSpace="141" w:wrap="around" w:vAnchor="text" w:hAnchor="text" w:xAlign="center" w:y="1"/>
                  <w:suppressOverlap/>
                </w:pPr>
              </w:pPrChange>
            </w:pPr>
            <w:del w:id="8547" w:author="AbbVie2" w:date="2025-05-13T16:39:00Z">
              <w:r w:rsidRPr="008912CF">
                <w:rPr>
                  <w:szCs w:val="22"/>
                  <w:vertAlign w:val="superscript"/>
                </w:rPr>
                <w:delText>b</w:delText>
              </w:r>
              <w:r w:rsidRPr="008912CF">
                <w:rPr>
                  <w:szCs w:val="22"/>
                </w:rPr>
                <w:delText xml:space="preserve"> p&lt;0,001, Humira vs. Placebo</w:delText>
              </w:r>
            </w:del>
          </w:p>
        </w:tc>
      </w:tr>
    </w:tbl>
    <w:p w14:paraId="1D768128" w14:textId="30FA11FF" w:rsidR="004462A0" w:rsidRPr="008912CF" w:rsidRDefault="00615769" w:rsidP="00412FC8">
      <w:pPr>
        <w:rPr>
          <w:del w:id="8548" w:author="AbbVie2" w:date="2025-05-13T16:39:00Z"/>
        </w:rPr>
      </w:pPr>
      <w:del w:id="8549" w:author="AbbVie2" w:date="2025-05-13T16:39:00Z">
        <w:r>
          <w:br w:type="textWrapping" w:clear="all"/>
        </w:r>
      </w:del>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9"/>
        <w:gridCol w:w="1668"/>
        <w:gridCol w:w="1347"/>
        <w:gridCol w:w="2392"/>
      </w:tblGrid>
      <w:tr w:rsidR="00A7162A" w14:paraId="617DCCE1" w14:textId="46F466E5" w:rsidTr="00F675CF">
        <w:trPr>
          <w:cantSplit/>
          <w:jc w:val="center"/>
          <w:del w:id="8550" w:author="AbbVie2" w:date="2025-05-13T16:39:00Z"/>
        </w:trPr>
        <w:tc>
          <w:tcPr>
            <w:tcW w:w="7046" w:type="dxa"/>
            <w:gridSpan w:val="4"/>
            <w:tcBorders>
              <w:top w:val="nil"/>
              <w:left w:val="nil"/>
              <w:right w:val="nil"/>
            </w:tcBorders>
          </w:tcPr>
          <w:p w14:paraId="66458B42" w14:textId="0ED1FC7B" w:rsidR="004462A0" w:rsidRPr="008912CF" w:rsidRDefault="00615769">
            <w:pPr>
              <w:rPr>
                <w:del w:id="8551" w:author="AbbVie2" w:date="2025-05-13T16:39:00Z"/>
                <w:b/>
                <w:szCs w:val="22"/>
              </w:rPr>
              <w:pPrChange w:id="8552" w:author="AbbVie2" w:date="2025-05-13T16:40:00Z">
                <w:pPr>
                  <w:pStyle w:val="DefaultText"/>
                  <w:keepNext/>
                  <w:jc w:val="center"/>
                </w:pPr>
              </w:pPrChange>
            </w:pPr>
            <w:del w:id="8553" w:author="AbbVie2" w:date="2025-05-13T16:39:00Z">
              <w:r w:rsidRPr="008912CF">
                <w:rPr>
                  <w:b/>
                  <w:szCs w:val="22"/>
                </w:rPr>
                <w:delText xml:space="preserve">Tabela </w:delText>
              </w:r>
              <w:r w:rsidR="00A22EC4">
                <w:rPr>
                  <w:b/>
                  <w:szCs w:val="22"/>
                </w:rPr>
                <w:delText>1</w:delText>
              </w:r>
              <w:r w:rsidR="00B925B3">
                <w:rPr>
                  <w:b/>
                  <w:szCs w:val="22"/>
                </w:rPr>
                <w:delText>7</w:delText>
              </w:r>
            </w:del>
          </w:p>
          <w:p w14:paraId="14FC57DE" w14:textId="40DDBDA3" w:rsidR="004462A0" w:rsidRPr="008912CF" w:rsidRDefault="00615769">
            <w:pPr>
              <w:rPr>
                <w:del w:id="8554" w:author="AbbVie2" w:date="2025-05-13T16:39:00Z"/>
                <w:b/>
                <w:szCs w:val="22"/>
              </w:rPr>
              <w:pPrChange w:id="8555" w:author="AbbVie2" w:date="2025-05-13T16:40:00Z">
                <w:pPr>
                  <w:pStyle w:val="DefaultText"/>
                  <w:keepNext/>
                  <w:jc w:val="center"/>
                </w:pPr>
              </w:pPrChange>
            </w:pPr>
            <w:del w:id="8556" w:author="AbbVie2" w:date="2025-05-13T16:39:00Z">
              <w:r w:rsidRPr="008912CF">
                <w:rPr>
                  <w:b/>
                  <w:szCs w:val="22"/>
                </w:rPr>
                <w:delText>Estudo II na Psoríase (CHAMPION)</w:delText>
              </w:r>
            </w:del>
          </w:p>
          <w:p w14:paraId="2FC3A0EA" w14:textId="1DA9CD50" w:rsidR="004462A0" w:rsidRPr="008912CF" w:rsidRDefault="00615769">
            <w:pPr>
              <w:rPr>
                <w:del w:id="8557" w:author="AbbVie2" w:date="2025-05-13T16:39:00Z"/>
                <w:b/>
                <w:szCs w:val="22"/>
              </w:rPr>
              <w:pPrChange w:id="8558" w:author="AbbVie2" w:date="2025-05-13T16:40:00Z">
                <w:pPr>
                  <w:pStyle w:val="DefaultText"/>
                  <w:keepNext/>
                  <w:jc w:val="center"/>
                </w:pPr>
              </w:pPrChange>
            </w:pPr>
            <w:del w:id="8559" w:author="AbbVie2" w:date="2025-05-13T16:39:00Z">
              <w:r w:rsidRPr="008912CF">
                <w:rPr>
                  <w:b/>
                  <w:szCs w:val="22"/>
                </w:rPr>
                <w:delText xml:space="preserve">Resultados de Eficácia </w:delText>
              </w:r>
              <w:r w:rsidR="005049F7">
                <w:rPr>
                  <w:b/>
                  <w:szCs w:val="22"/>
                </w:rPr>
                <w:delText>à Semana</w:delText>
              </w:r>
              <w:r w:rsidRPr="008912CF">
                <w:rPr>
                  <w:b/>
                  <w:szCs w:val="22"/>
                </w:rPr>
                <w:delText xml:space="preserve"> 16</w:delText>
              </w:r>
            </w:del>
          </w:p>
          <w:p w14:paraId="7F00EC7F" w14:textId="3B22F3EC" w:rsidR="004462A0" w:rsidRPr="008912CF" w:rsidRDefault="00615769">
            <w:pPr>
              <w:rPr>
                <w:del w:id="8560" w:author="AbbVie2" w:date="2025-05-13T16:39:00Z"/>
                <w:szCs w:val="22"/>
                <w:u w:val="single"/>
              </w:rPr>
              <w:pPrChange w:id="8561" w:author="AbbVie2" w:date="2025-05-13T16:40:00Z">
                <w:pPr>
                  <w:pStyle w:val="DefaultText"/>
                  <w:keepNext/>
                  <w:jc w:val="center"/>
                </w:pPr>
              </w:pPrChange>
            </w:pPr>
            <w:del w:id="8562" w:author="AbbVie2" w:date="2025-05-13T16:39:00Z">
              <w:r w:rsidRPr="008912CF">
                <w:rPr>
                  <w:b/>
                  <w:szCs w:val="22"/>
                </w:rPr>
                <w:delText xml:space="preserve"> </w:delText>
              </w:r>
            </w:del>
          </w:p>
        </w:tc>
      </w:tr>
      <w:tr w:rsidR="00A7162A" w14:paraId="4051481A" w14:textId="7AFFE3EB" w:rsidTr="00F675CF">
        <w:trPr>
          <w:cantSplit/>
          <w:jc w:val="center"/>
          <w:del w:id="8563" w:author="AbbVie2" w:date="2025-05-13T16:39:00Z"/>
        </w:trPr>
        <w:tc>
          <w:tcPr>
            <w:tcW w:w="1639" w:type="dxa"/>
          </w:tcPr>
          <w:p w14:paraId="3229C09C" w14:textId="291C47F1" w:rsidR="004462A0" w:rsidRPr="008912CF" w:rsidRDefault="004462A0">
            <w:pPr>
              <w:rPr>
                <w:del w:id="8564" w:author="AbbVie2" w:date="2025-05-13T16:39:00Z"/>
                <w:b/>
                <w:szCs w:val="22"/>
              </w:rPr>
              <w:pPrChange w:id="8565" w:author="AbbVie2" w:date="2025-05-13T16:40:00Z">
                <w:pPr>
                  <w:pStyle w:val="DefaultText"/>
                  <w:keepNext/>
                  <w:jc w:val="center"/>
                </w:pPr>
              </w:pPrChange>
            </w:pPr>
          </w:p>
        </w:tc>
        <w:tc>
          <w:tcPr>
            <w:tcW w:w="1668" w:type="dxa"/>
            <w:vAlign w:val="center"/>
          </w:tcPr>
          <w:p w14:paraId="06CEF798" w14:textId="60CC8C65" w:rsidR="004462A0" w:rsidRPr="008912CF" w:rsidRDefault="00615769">
            <w:pPr>
              <w:rPr>
                <w:del w:id="8566" w:author="AbbVie2" w:date="2025-05-13T16:39:00Z"/>
                <w:b/>
                <w:szCs w:val="22"/>
              </w:rPr>
              <w:pPrChange w:id="8567" w:author="AbbVie2" w:date="2025-05-13T16:40:00Z">
                <w:pPr>
                  <w:pStyle w:val="DefaultText"/>
                  <w:keepNext/>
                  <w:jc w:val="center"/>
                </w:pPr>
              </w:pPrChange>
            </w:pPr>
            <w:del w:id="8568" w:author="AbbVie2" w:date="2025-05-13T16:39:00Z">
              <w:r w:rsidRPr="008912CF">
                <w:rPr>
                  <w:b/>
                  <w:szCs w:val="22"/>
                </w:rPr>
                <w:delText>Placebo</w:delText>
              </w:r>
            </w:del>
          </w:p>
          <w:p w14:paraId="4CFD2A4E" w14:textId="175880A9" w:rsidR="004462A0" w:rsidRPr="008912CF" w:rsidRDefault="00615769">
            <w:pPr>
              <w:rPr>
                <w:del w:id="8569" w:author="AbbVie2" w:date="2025-05-13T16:39:00Z"/>
                <w:b/>
                <w:szCs w:val="22"/>
              </w:rPr>
              <w:pPrChange w:id="8570" w:author="AbbVie2" w:date="2025-05-13T16:40:00Z">
                <w:pPr>
                  <w:pStyle w:val="DefaultText"/>
                  <w:keepNext/>
                  <w:jc w:val="center"/>
                </w:pPr>
              </w:pPrChange>
            </w:pPr>
            <w:del w:id="8571" w:author="AbbVie2" w:date="2025-05-13T16:39:00Z">
              <w:r w:rsidRPr="008912CF">
                <w:rPr>
                  <w:b/>
                  <w:szCs w:val="22"/>
                </w:rPr>
                <w:delText>N=53</w:delText>
              </w:r>
            </w:del>
          </w:p>
          <w:p w14:paraId="274CD2FF" w14:textId="4C3478C3" w:rsidR="004462A0" w:rsidRPr="008912CF" w:rsidRDefault="00615769">
            <w:pPr>
              <w:rPr>
                <w:del w:id="8572" w:author="AbbVie2" w:date="2025-05-13T16:39:00Z"/>
                <w:b/>
                <w:szCs w:val="22"/>
              </w:rPr>
              <w:pPrChange w:id="8573" w:author="AbbVie2" w:date="2025-05-13T16:40:00Z">
                <w:pPr>
                  <w:pStyle w:val="DefaultText"/>
                  <w:keepNext/>
                  <w:jc w:val="center"/>
                </w:pPr>
              </w:pPrChange>
            </w:pPr>
            <w:del w:id="8574" w:author="AbbVie2" w:date="2025-05-13T16:39:00Z">
              <w:r w:rsidRPr="008912CF">
                <w:rPr>
                  <w:b/>
                  <w:szCs w:val="22"/>
                </w:rPr>
                <w:delText>n (%)</w:delText>
              </w:r>
            </w:del>
          </w:p>
        </w:tc>
        <w:tc>
          <w:tcPr>
            <w:tcW w:w="1347" w:type="dxa"/>
            <w:vAlign w:val="center"/>
          </w:tcPr>
          <w:p w14:paraId="49474040" w14:textId="54E80439" w:rsidR="004462A0" w:rsidRPr="008912CF" w:rsidRDefault="00615769">
            <w:pPr>
              <w:rPr>
                <w:del w:id="8575" w:author="AbbVie2" w:date="2025-05-13T16:39:00Z"/>
                <w:b/>
                <w:szCs w:val="22"/>
              </w:rPr>
              <w:pPrChange w:id="8576" w:author="AbbVie2" w:date="2025-05-13T16:40:00Z">
                <w:pPr>
                  <w:pStyle w:val="DefaultText"/>
                  <w:keepNext/>
                  <w:jc w:val="center"/>
                </w:pPr>
              </w:pPrChange>
            </w:pPr>
            <w:del w:id="8577" w:author="AbbVie2" w:date="2025-05-13T16:39:00Z">
              <w:r w:rsidRPr="008912CF">
                <w:rPr>
                  <w:b/>
                  <w:szCs w:val="22"/>
                </w:rPr>
                <w:delText>MTX</w:delText>
              </w:r>
            </w:del>
          </w:p>
          <w:p w14:paraId="4D78B941" w14:textId="11037758" w:rsidR="004462A0" w:rsidRPr="008912CF" w:rsidRDefault="00615769">
            <w:pPr>
              <w:rPr>
                <w:del w:id="8578" w:author="AbbVie2" w:date="2025-05-13T16:39:00Z"/>
                <w:b/>
                <w:szCs w:val="22"/>
              </w:rPr>
              <w:pPrChange w:id="8579" w:author="AbbVie2" w:date="2025-05-13T16:40:00Z">
                <w:pPr>
                  <w:pStyle w:val="DefaultText"/>
                  <w:keepNext/>
                  <w:jc w:val="center"/>
                </w:pPr>
              </w:pPrChange>
            </w:pPr>
            <w:del w:id="8580" w:author="AbbVie2" w:date="2025-05-13T16:39:00Z">
              <w:r w:rsidRPr="008912CF">
                <w:rPr>
                  <w:b/>
                  <w:szCs w:val="22"/>
                </w:rPr>
                <w:delText>N=110</w:delText>
              </w:r>
            </w:del>
          </w:p>
          <w:p w14:paraId="2B67E2EF" w14:textId="29913CA2" w:rsidR="004462A0" w:rsidRPr="008912CF" w:rsidRDefault="00615769">
            <w:pPr>
              <w:rPr>
                <w:del w:id="8581" w:author="AbbVie2" w:date="2025-05-13T16:39:00Z"/>
                <w:b/>
                <w:szCs w:val="22"/>
              </w:rPr>
              <w:pPrChange w:id="8582" w:author="AbbVie2" w:date="2025-05-13T16:40:00Z">
                <w:pPr>
                  <w:pStyle w:val="DefaultText"/>
                  <w:keepNext/>
                  <w:jc w:val="center"/>
                </w:pPr>
              </w:pPrChange>
            </w:pPr>
            <w:del w:id="8583" w:author="AbbVie2" w:date="2025-05-13T16:39:00Z">
              <w:r>
                <w:rPr>
                  <w:b/>
                  <w:szCs w:val="22"/>
                </w:rPr>
                <w:delText>n</w:delText>
              </w:r>
              <w:r w:rsidRPr="008912CF">
                <w:rPr>
                  <w:b/>
                  <w:szCs w:val="22"/>
                </w:rPr>
                <w:delText xml:space="preserve"> (%)</w:delText>
              </w:r>
            </w:del>
          </w:p>
        </w:tc>
        <w:tc>
          <w:tcPr>
            <w:tcW w:w="2392" w:type="dxa"/>
            <w:vAlign w:val="center"/>
          </w:tcPr>
          <w:p w14:paraId="4B79A904" w14:textId="417180E5" w:rsidR="004462A0" w:rsidRPr="008912CF" w:rsidRDefault="00615769">
            <w:pPr>
              <w:rPr>
                <w:del w:id="8584" w:author="AbbVie2" w:date="2025-05-13T16:39:00Z"/>
                <w:b/>
                <w:szCs w:val="22"/>
              </w:rPr>
              <w:pPrChange w:id="8585" w:author="AbbVie2" w:date="2025-05-13T16:40:00Z">
                <w:pPr>
                  <w:pStyle w:val="DefaultText"/>
                  <w:keepNext/>
                  <w:jc w:val="center"/>
                </w:pPr>
              </w:pPrChange>
            </w:pPr>
            <w:del w:id="8586" w:author="AbbVie2" w:date="2025-05-13T16:39:00Z">
              <w:r w:rsidRPr="008912CF">
                <w:rPr>
                  <w:b/>
                  <w:szCs w:val="22"/>
                </w:rPr>
                <w:delText>Humira 40</w:delText>
              </w:r>
              <w:r>
                <w:rPr>
                  <w:b/>
                  <w:szCs w:val="22"/>
                </w:rPr>
                <w:delText> </w:delText>
              </w:r>
              <w:r w:rsidRPr="008912CF">
                <w:rPr>
                  <w:b/>
                  <w:szCs w:val="22"/>
                </w:rPr>
                <w:delText>mg em semanas alternadas</w:delText>
              </w:r>
            </w:del>
          </w:p>
          <w:p w14:paraId="1555CF27" w14:textId="2B666A1A" w:rsidR="004462A0" w:rsidRPr="008912CF" w:rsidRDefault="00615769">
            <w:pPr>
              <w:rPr>
                <w:del w:id="8587" w:author="AbbVie2" w:date="2025-05-13T16:39:00Z"/>
                <w:b/>
                <w:szCs w:val="22"/>
              </w:rPr>
              <w:pPrChange w:id="8588" w:author="AbbVie2" w:date="2025-05-13T16:40:00Z">
                <w:pPr>
                  <w:pStyle w:val="DefaultText"/>
                  <w:keepNext/>
                  <w:jc w:val="center"/>
                </w:pPr>
              </w:pPrChange>
            </w:pPr>
            <w:del w:id="8589" w:author="AbbVie2" w:date="2025-05-13T16:39:00Z">
              <w:r w:rsidRPr="008912CF">
                <w:rPr>
                  <w:b/>
                  <w:szCs w:val="22"/>
                </w:rPr>
                <w:delText>N=108</w:delText>
              </w:r>
            </w:del>
          </w:p>
          <w:p w14:paraId="17F8D6B3" w14:textId="31328AB4" w:rsidR="004462A0" w:rsidRPr="008912CF" w:rsidRDefault="00615769">
            <w:pPr>
              <w:rPr>
                <w:del w:id="8590" w:author="AbbVie2" w:date="2025-05-13T16:39:00Z"/>
                <w:b/>
                <w:szCs w:val="22"/>
              </w:rPr>
              <w:pPrChange w:id="8591" w:author="AbbVie2" w:date="2025-05-13T16:40:00Z">
                <w:pPr>
                  <w:pStyle w:val="DefaultText"/>
                  <w:keepNext/>
                  <w:jc w:val="center"/>
                </w:pPr>
              </w:pPrChange>
            </w:pPr>
            <w:del w:id="8592" w:author="AbbVie2" w:date="2025-05-13T16:39:00Z">
              <w:r w:rsidRPr="008912CF">
                <w:rPr>
                  <w:b/>
                  <w:szCs w:val="22"/>
                </w:rPr>
                <w:delText>n (%)</w:delText>
              </w:r>
            </w:del>
          </w:p>
        </w:tc>
      </w:tr>
      <w:tr w:rsidR="00A7162A" w14:paraId="7AC1A7F0" w14:textId="2660A572" w:rsidTr="00F675CF">
        <w:trPr>
          <w:cantSplit/>
          <w:jc w:val="center"/>
          <w:del w:id="8593" w:author="AbbVie2" w:date="2025-05-13T16:39:00Z"/>
        </w:trPr>
        <w:tc>
          <w:tcPr>
            <w:tcW w:w="1639" w:type="dxa"/>
          </w:tcPr>
          <w:p w14:paraId="0947D455" w14:textId="0C8F012F" w:rsidR="004462A0" w:rsidRPr="008912CF" w:rsidRDefault="00615769">
            <w:pPr>
              <w:rPr>
                <w:del w:id="8594" w:author="AbbVie2" w:date="2025-05-13T16:39:00Z"/>
                <w:b/>
                <w:szCs w:val="22"/>
              </w:rPr>
              <w:pPrChange w:id="8595" w:author="AbbVie2" w:date="2025-05-13T16:40:00Z">
                <w:pPr>
                  <w:pStyle w:val="DefaultText"/>
                  <w:keepNext/>
                </w:pPr>
              </w:pPrChange>
            </w:pPr>
            <w:del w:id="8596" w:author="AbbVie2" w:date="2025-05-13T16:39:00Z">
              <w:r w:rsidRPr="008912CF">
                <w:rPr>
                  <w:b/>
                  <w:szCs w:val="22"/>
                </w:rPr>
                <w:delText xml:space="preserve">    </w:delText>
              </w:r>
              <w:r w:rsidRPr="008912CF">
                <w:rPr>
                  <w:rFonts w:ascii="Symbol" w:hAnsi="Symbol"/>
                  <w:b/>
                  <w:szCs w:val="22"/>
                </w:rPr>
                <w:sym w:font="Symbol" w:char="F0B3"/>
              </w:r>
              <w:r w:rsidR="00601734">
                <w:rPr>
                  <w:rFonts w:ascii="Symbol" w:hAnsi="Symbol"/>
                  <w:b/>
                  <w:szCs w:val="22"/>
                </w:rPr>
                <w:sym w:font="Symbol" w:char="F020"/>
              </w:r>
              <w:r w:rsidRPr="008912CF">
                <w:rPr>
                  <w:b/>
                  <w:szCs w:val="22"/>
                </w:rPr>
                <w:delText>PASI 75</w:delText>
              </w:r>
            </w:del>
          </w:p>
        </w:tc>
        <w:tc>
          <w:tcPr>
            <w:tcW w:w="1668" w:type="dxa"/>
          </w:tcPr>
          <w:p w14:paraId="23A96DEA" w14:textId="11F65A53" w:rsidR="004462A0" w:rsidRPr="008912CF" w:rsidRDefault="00615769">
            <w:pPr>
              <w:rPr>
                <w:del w:id="8597" w:author="AbbVie2" w:date="2025-05-13T16:39:00Z"/>
                <w:szCs w:val="22"/>
              </w:rPr>
              <w:pPrChange w:id="8598" w:author="AbbVie2" w:date="2025-05-13T16:40:00Z">
                <w:pPr>
                  <w:pStyle w:val="DefaultText"/>
                  <w:keepNext/>
                  <w:jc w:val="center"/>
                </w:pPr>
              </w:pPrChange>
            </w:pPr>
            <w:del w:id="8599" w:author="AbbVie2" w:date="2025-05-13T16:39:00Z">
              <w:r w:rsidRPr="008912CF">
                <w:rPr>
                  <w:szCs w:val="22"/>
                </w:rPr>
                <w:delText>10 (18,9)</w:delText>
              </w:r>
            </w:del>
          </w:p>
        </w:tc>
        <w:tc>
          <w:tcPr>
            <w:tcW w:w="1347" w:type="dxa"/>
          </w:tcPr>
          <w:p w14:paraId="35EA63DA" w14:textId="5003CB66" w:rsidR="004462A0" w:rsidRPr="008912CF" w:rsidRDefault="00615769">
            <w:pPr>
              <w:rPr>
                <w:del w:id="8600" w:author="AbbVie2" w:date="2025-05-13T16:39:00Z"/>
                <w:szCs w:val="22"/>
              </w:rPr>
              <w:pPrChange w:id="8601" w:author="AbbVie2" w:date="2025-05-13T16:40:00Z">
                <w:pPr>
                  <w:pStyle w:val="DefaultText"/>
                  <w:keepNext/>
                  <w:jc w:val="center"/>
                </w:pPr>
              </w:pPrChange>
            </w:pPr>
            <w:del w:id="8602" w:author="AbbVie2" w:date="2025-05-13T16:39:00Z">
              <w:r w:rsidRPr="008912CF">
                <w:rPr>
                  <w:szCs w:val="22"/>
                </w:rPr>
                <w:delText>39 (35,5)</w:delText>
              </w:r>
            </w:del>
          </w:p>
        </w:tc>
        <w:tc>
          <w:tcPr>
            <w:tcW w:w="2392" w:type="dxa"/>
          </w:tcPr>
          <w:p w14:paraId="7C0584B9" w14:textId="7EABF847" w:rsidR="004462A0" w:rsidRPr="008912CF" w:rsidRDefault="00615769">
            <w:pPr>
              <w:rPr>
                <w:del w:id="8603" w:author="AbbVie2" w:date="2025-05-13T16:39:00Z"/>
                <w:szCs w:val="22"/>
              </w:rPr>
              <w:pPrChange w:id="8604" w:author="AbbVie2" w:date="2025-05-13T16:40:00Z">
                <w:pPr>
                  <w:pStyle w:val="DefaultText"/>
                  <w:keepNext/>
                  <w:jc w:val="center"/>
                </w:pPr>
              </w:pPrChange>
            </w:pPr>
            <w:del w:id="8605" w:author="AbbVie2" w:date="2025-05-13T16:39:00Z">
              <w:r w:rsidRPr="008912CF">
                <w:rPr>
                  <w:szCs w:val="22"/>
                </w:rPr>
                <w:delText>86 (79,6)</w:delText>
              </w:r>
              <w:r w:rsidRPr="008912CF">
                <w:rPr>
                  <w:szCs w:val="22"/>
                  <w:vertAlign w:val="superscript"/>
                </w:rPr>
                <w:delText xml:space="preserve"> a, b</w:delText>
              </w:r>
            </w:del>
          </w:p>
        </w:tc>
      </w:tr>
      <w:tr w:rsidR="00A7162A" w14:paraId="1E0BEFE0" w14:textId="009825B0" w:rsidTr="00F675CF">
        <w:trPr>
          <w:cantSplit/>
          <w:jc w:val="center"/>
          <w:del w:id="8606" w:author="AbbVie2" w:date="2025-05-13T16:39:00Z"/>
        </w:trPr>
        <w:tc>
          <w:tcPr>
            <w:tcW w:w="1639" w:type="dxa"/>
          </w:tcPr>
          <w:p w14:paraId="72549067" w14:textId="780FA9BD" w:rsidR="004462A0" w:rsidRPr="008912CF" w:rsidRDefault="00615769">
            <w:pPr>
              <w:rPr>
                <w:del w:id="8607" w:author="AbbVie2" w:date="2025-05-13T16:39:00Z"/>
                <w:b/>
                <w:szCs w:val="22"/>
              </w:rPr>
              <w:pPrChange w:id="8608" w:author="AbbVie2" w:date="2025-05-13T16:40:00Z">
                <w:pPr>
                  <w:pStyle w:val="DefaultText"/>
                  <w:keepNext/>
                </w:pPr>
              </w:pPrChange>
            </w:pPr>
            <w:del w:id="8609" w:author="AbbVie2" w:date="2025-05-13T16:39:00Z">
              <w:r w:rsidRPr="008912CF">
                <w:rPr>
                  <w:b/>
                  <w:szCs w:val="22"/>
                </w:rPr>
                <w:delText xml:space="preserve">    PASI 100</w:delText>
              </w:r>
            </w:del>
          </w:p>
        </w:tc>
        <w:tc>
          <w:tcPr>
            <w:tcW w:w="1668" w:type="dxa"/>
          </w:tcPr>
          <w:p w14:paraId="3134C71D" w14:textId="03CCC94C" w:rsidR="004462A0" w:rsidRPr="008912CF" w:rsidRDefault="00615769">
            <w:pPr>
              <w:rPr>
                <w:del w:id="8610" w:author="AbbVie2" w:date="2025-05-13T16:39:00Z"/>
                <w:szCs w:val="22"/>
              </w:rPr>
              <w:pPrChange w:id="8611" w:author="AbbVie2" w:date="2025-05-13T16:40:00Z">
                <w:pPr>
                  <w:pStyle w:val="DefaultText"/>
                  <w:keepNext/>
                  <w:jc w:val="center"/>
                </w:pPr>
              </w:pPrChange>
            </w:pPr>
            <w:del w:id="8612" w:author="AbbVie2" w:date="2025-05-13T16:39:00Z">
              <w:r w:rsidRPr="008912CF">
                <w:rPr>
                  <w:szCs w:val="22"/>
                </w:rPr>
                <w:delText>1 (1,9)</w:delText>
              </w:r>
            </w:del>
          </w:p>
        </w:tc>
        <w:tc>
          <w:tcPr>
            <w:tcW w:w="1347" w:type="dxa"/>
          </w:tcPr>
          <w:p w14:paraId="50C77B93" w14:textId="2B2C955D" w:rsidR="004462A0" w:rsidRPr="008912CF" w:rsidRDefault="00615769">
            <w:pPr>
              <w:rPr>
                <w:del w:id="8613" w:author="AbbVie2" w:date="2025-05-13T16:39:00Z"/>
                <w:szCs w:val="22"/>
              </w:rPr>
              <w:pPrChange w:id="8614" w:author="AbbVie2" w:date="2025-05-13T16:40:00Z">
                <w:pPr>
                  <w:pStyle w:val="DefaultText"/>
                  <w:keepNext/>
                  <w:jc w:val="center"/>
                </w:pPr>
              </w:pPrChange>
            </w:pPr>
            <w:del w:id="8615" w:author="AbbVie2" w:date="2025-05-13T16:39:00Z">
              <w:r w:rsidRPr="008912CF">
                <w:rPr>
                  <w:szCs w:val="22"/>
                </w:rPr>
                <w:delText>8 (7,3)</w:delText>
              </w:r>
            </w:del>
          </w:p>
        </w:tc>
        <w:tc>
          <w:tcPr>
            <w:tcW w:w="2392" w:type="dxa"/>
          </w:tcPr>
          <w:p w14:paraId="0FDCA0A7" w14:textId="04DF2B98" w:rsidR="004462A0" w:rsidRPr="008912CF" w:rsidRDefault="00615769">
            <w:pPr>
              <w:rPr>
                <w:del w:id="8616" w:author="AbbVie2" w:date="2025-05-13T16:39:00Z"/>
                <w:szCs w:val="22"/>
              </w:rPr>
              <w:pPrChange w:id="8617" w:author="AbbVie2" w:date="2025-05-13T16:40:00Z">
                <w:pPr>
                  <w:pStyle w:val="DefaultText"/>
                  <w:keepNext/>
                  <w:jc w:val="center"/>
                </w:pPr>
              </w:pPrChange>
            </w:pPr>
            <w:del w:id="8618" w:author="AbbVie2" w:date="2025-05-13T16:39:00Z">
              <w:r w:rsidRPr="008912CF">
                <w:rPr>
                  <w:szCs w:val="22"/>
                </w:rPr>
                <w:delText>18 (16,7)</w:delText>
              </w:r>
              <w:r w:rsidRPr="008912CF">
                <w:rPr>
                  <w:szCs w:val="22"/>
                  <w:vertAlign w:val="superscript"/>
                </w:rPr>
                <w:delText xml:space="preserve"> c, d</w:delText>
              </w:r>
            </w:del>
          </w:p>
        </w:tc>
      </w:tr>
      <w:tr w:rsidR="00A7162A" w14:paraId="1085E034" w14:textId="2F83F125" w:rsidTr="00F675CF">
        <w:trPr>
          <w:cantSplit/>
          <w:jc w:val="center"/>
          <w:del w:id="8619" w:author="AbbVie2" w:date="2025-05-13T16:39:00Z"/>
        </w:trPr>
        <w:tc>
          <w:tcPr>
            <w:tcW w:w="1639" w:type="dxa"/>
          </w:tcPr>
          <w:p w14:paraId="4AFE299C" w14:textId="6E059118" w:rsidR="004462A0" w:rsidRPr="008912CF" w:rsidRDefault="00615769">
            <w:pPr>
              <w:rPr>
                <w:del w:id="8620" w:author="AbbVie2" w:date="2025-05-13T16:39:00Z"/>
                <w:b/>
                <w:szCs w:val="22"/>
              </w:rPr>
              <w:pPrChange w:id="8621" w:author="AbbVie2" w:date="2025-05-13T16:40:00Z">
                <w:pPr>
                  <w:pStyle w:val="DefaultText"/>
                  <w:keepNext/>
                </w:pPr>
              </w:pPrChange>
            </w:pPr>
            <w:del w:id="8622" w:author="AbbVie2" w:date="2025-05-13T16:39:00Z">
              <w:r w:rsidRPr="008912CF">
                <w:rPr>
                  <w:b/>
                  <w:szCs w:val="22"/>
                </w:rPr>
                <w:delText xml:space="preserve">    PGA: Limp</w:delText>
              </w:r>
              <w:r w:rsidR="005049F7">
                <w:rPr>
                  <w:b/>
                  <w:szCs w:val="22"/>
                </w:rPr>
                <w:delText>a</w:delText>
              </w:r>
              <w:r w:rsidRPr="008912CF">
                <w:rPr>
                  <w:b/>
                  <w:szCs w:val="22"/>
                </w:rPr>
                <w:delText>/</w:delText>
              </w:r>
              <w:r w:rsidR="00E57BBD">
                <w:rPr>
                  <w:b/>
                  <w:szCs w:val="22"/>
                </w:rPr>
                <w:delText>quase limpa</w:delText>
              </w:r>
            </w:del>
          </w:p>
        </w:tc>
        <w:tc>
          <w:tcPr>
            <w:tcW w:w="1668" w:type="dxa"/>
          </w:tcPr>
          <w:p w14:paraId="138F1938" w14:textId="11450250" w:rsidR="004462A0" w:rsidRPr="008912CF" w:rsidRDefault="00615769">
            <w:pPr>
              <w:rPr>
                <w:del w:id="8623" w:author="AbbVie2" w:date="2025-05-13T16:39:00Z"/>
                <w:szCs w:val="22"/>
              </w:rPr>
              <w:pPrChange w:id="8624" w:author="AbbVie2" w:date="2025-05-13T16:40:00Z">
                <w:pPr>
                  <w:pStyle w:val="DefaultText"/>
                  <w:keepNext/>
                  <w:jc w:val="center"/>
                </w:pPr>
              </w:pPrChange>
            </w:pPr>
            <w:del w:id="8625" w:author="AbbVie2" w:date="2025-05-13T16:39:00Z">
              <w:r w:rsidRPr="008912CF">
                <w:rPr>
                  <w:szCs w:val="22"/>
                </w:rPr>
                <w:delText>6 (11,3)</w:delText>
              </w:r>
            </w:del>
          </w:p>
        </w:tc>
        <w:tc>
          <w:tcPr>
            <w:tcW w:w="1347" w:type="dxa"/>
          </w:tcPr>
          <w:p w14:paraId="73C7411F" w14:textId="1F1E0812" w:rsidR="004462A0" w:rsidRPr="008912CF" w:rsidRDefault="00615769">
            <w:pPr>
              <w:rPr>
                <w:del w:id="8626" w:author="AbbVie2" w:date="2025-05-13T16:39:00Z"/>
                <w:szCs w:val="22"/>
              </w:rPr>
              <w:pPrChange w:id="8627" w:author="AbbVie2" w:date="2025-05-13T16:40:00Z">
                <w:pPr>
                  <w:pStyle w:val="DefaultText"/>
                  <w:keepNext/>
                  <w:jc w:val="center"/>
                </w:pPr>
              </w:pPrChange>
            </w:pPr>
            <w:del w:id="8628" w:author="AbbVie2" w:date="2025-05-13T16:39:00Z">
              <w:r w:rsidRPr="008912CF">
                <w:rPr>
                  <w:szCs w:val="22"/>
                </w:rPr>
                <w:delText>33 (30,0)</w:delText>
              </w:r>
            </w:del>
          </w:p>
        </w:tc>
        <w:tc>
          <w:tcPr>
            <w:tcW w:w="2392" w:type="dxa"/>
          </w:tcPr>
          <w:p w14:paraId="3E1A42EA" w14:textId="222639CB" w:rsidR="004462A0" w:rsidRPr="008912CF" w:rsidRDefault="00615769">
            <w:pPr>
              <w:rPr>
                <w:del w:id="8629" w:author="AbbVie2" w:date="2025-05-13T16:39:00Z"/>
                <w:szCs w:val="22"/>
              </w:rPr>
              <w:pPrChange w:id="8630" w:author="AbbVie2" w:date="2025-05-13T16:40:00Z">
                <w:pPr>
                  <w:pStyle w:val="DefaultText"/>
                  <w:keepNext/>
                  <w:jc w:val="center"/>
                </w:pPr>
              </w:pPrChange>
            </w:pPr>
            <w:del w:id="8631" w:author="AbbVie2" w:date="2025-05-13T16:39:00Z">
              <w:r w:rsidRPr="008912CF">
                <w:rPr>
                  <w:szCs w:val="22"/>
                </w:rPr>
                <w:delText>79 (73,1)</w:delText>
              </w:r>
              <w:r w:rsidRPr="008912CF">
                <w:rPr>
                  <w:szCs w:val="22"/>
                  <w:vertAlign w:val="superscript"/>
                </w:rPr>
                <w:delText xml:space="preserve"> a, b</w:delText>
              </w:r>
            </w:del>
          </w:p>
        </w:tc>
      </w:tr>
      <w:tr w:rsidR="00A7162A" w14:paraId="07634377" w14:textId="75ED072E" w:rsidTr="00F675CF">
        <w:trPr>
          <w:cantSplit/>
          <w:jc w:val="center"/>
          <w:del w:id="8632" w:author="AbbVie2" w:date="2025-05-13T16:39:00Z"/>
        </w:trPr>
        <w:tc>
          <w:tcPr>
            <w:tcW w:w="7046" w:type="dxa"/>
            <w:gridSpan w:val="4"/>
          </w:tcPr>
          <w:p w14:paraId="7AF6F285" w14:textId="5198D70E" w:rsidR="004462A0" w:rsidRPr="008912CF" w:rsidRDefault="00615769">
            <w:pPr>
              <w:rPr>
                <w:del w:id="8633" w:author="AbbVie2" w:date="2025-05-13T16:39:00Z"/>
                <w:szCs w:val="22"/>
              </w:rPr>
              <w:pPrChange w:id="8634" w:author="AbbVie2" w:date="2025-05-13T16:40:00Z">
                <w:pPr>
                  <w:pStyle w:val="DefaultText"/>
                  <w:keepNext/>
                </w:pPr>
              </w:pPrChange>
            </w:pPr>
            <w:del w:id="8635" w:author="AbbVie2" w:date="2025-05-13T16:39:00Z">
              <w:r w:rsidRPr="008912CF">
                <w:rPr>
                  <w:szCs w:val="22"/>
                  <w:vertAlign w:val="superscript"/>
                </w:rPr>
                <w:delText>a</w:delText>
              </w:r>
              <w:r w:rsidRPr="008912CF">
                <w:rPr>
                  <w:szCs w:val="22"/>
                </w:rPr>
                <w:delText xml:space="preserve"> p&lt;0,001 Humira vs. placebo</w:delText>
              </w:r>
            </w:del>
          </w:p>
          <w:p w14:paraId="6EC2CB07" w14:textId="32541DB6" w:rsidR="004462A0" w:rsidRPr="008912CF" w:rsidRDefault="00615769">
            <w:pPr>
              <w:rPr>
                <w:del w:id="8636" w:author="AbbVie2" w:date="2025-05-13T16:39:00Z"/>
                <w:szCs w:val="22"/>
              </w:rPr>
              <w:pPrChange w:id="8637" w:author="AbbVie2" w:date="2025-05-13T16:40:00Z">
                <w:pPr>
                  <w:pStyle w:val="DefaultText"/>
                  <w:keepNext/>
                </w:pPr>
              </w:pPrChange>
            </w:pPr>
            <w:del w:id="8638" w:author="AbbVie2" w:date="2025-05-13T16:39:00Z">
              <w:r w:rsidRPr="008912CF">
                <w:rPr>
                  <w:szCs w:val="22"/>
                  <w:vertAlign w:val="superscript"/>
                </w:rPr>
                <w:delText>b</w:delText>
              </w:r>
              <w:r w:rsidRPr="008912CF">
                <w:rPr>
                  <w:szCs w:val="22"/>
                </w:rPr>
                <w:delText xml:space="preserve"> p&lt;0,001 Humira vs. metotrexato</w:delText>
              </w:r>
            </w:del>
          </w:p>
          <w:p w14:paraId="41F3CF58" w14:textId="1FC39644" w:rsidR="004462A0" w:rsidRPr="008912CF" w:rsidRDefault="00615769">
            <w:pPr>
              <w:rPr>
                <w:del w:id="8639" w:author="AbbVie2" w:date="2025-05-13T16:39:00Z"/>
                <w:szCs w:val="22"/>
              </w:rPr>
              <w:pPrChange w:id="8640" w:author="AbbVie2" w:date="2025-05-13T16:40:00Z">
                <w:pPr>
                  <w:pStyle w:val="DefaultText"/>
                  <w:keepNext/>
                </w:pPr>
              </w:pPrChange>
            </w:pPr>
            <w:del w:id="8641" w:author="AbbVie2" w:date="2025-05-13T16:39:00Z">
              <w:r w:rsidRPr="008912CF">
                <w:rPr>
                  <w:szCs w:val="22"/>
                  <w:vertAlign w:val="superscript"/>
                </w:rPr>
                <w:delText>c</w:delText>
              </w:r>
              <w:r w:rsidRPr="008912CF">
                <w:rPr>
                  <w:szCs w:val="22"/>
                </w:rPr>
                <w:delText xml:space="preserve"> p&lt;0,01 Humira vs. placebo</w:delText>
              </w:r>
            </w:del>
          </w:p>
          <w:p w14:paraId="416629ED" w14:textId="1D558C1D" w:rsidR="004462A0" w:rsidRPr="008912CF" w:rsidRDefault="00615769">
            <w:pPr>
              <w:rPr>
                <w:del w:id="8642" w:author="AbbVie2" w:date="2025-05-13T16:39:00Z"/>
                <w:szCs w:val="22"/>
              </w:rPr>
              <w:pPrChange w:id="8643" w:author="AbbVie2" w:date="2025-05-13T16:40:00Z">
                <w:pPr>
                  <w:pStyle w:val="DefaultText"/>
                  <w:keepNext/>
                </w:pPr>
              </w:pPrChange>
            </w:pPr>
            <w:del w:id="8644" w:author="AbbVie2" w:date="2025-05-13T16:39:00Z">
              <w:r w:rsidRPr="008912CF">
                <w:rPr>
                  <w:szCs w:val="22"/>
                  <w:vertAlign w:val="superscript"/>
                </w:rPr>
                <w:delText>d</w:delText>
              </w:r>
              <w:r w:rsidRPr="008912CF">
                <w:rPr>
                  <w:szCs w:val="22"/>
                </w:rPr>
                <w:delText xml:space="preserve"> p&lt;0,05 Humira vs. Metotrexato</w:delText>
              </w:r>
            </w:del>
          </w:p>
        </w:tc>
      </w:tr>
    </w:tbl>
    <w:p w14:paraId="061FE1F5" w14:textId="213956F7" w:rsidR="004462A0" w:rsidRPr="008912CF" w:rsidRDefault="004462A0" w:rsidP="00412FC8">
      <w:pPr>
        <w:rPr>
          <w:del w:id="8645" w:author="AbbVie2" w:date="2025-05-13T16:39:00Z"/>
          <w:b/>
          <w:bCs/>
          <w:sz w:val="22"/>
          <w:szCs w:val="22"/>
        </w:rPr>
      </w:pPr>
    </w:p>
    <w:p w14:paraId="102C308D" w14:textId="08651A6E" w:rsidR="004462A0" w:rsidRPr="008912CF" w:rsidRDefault="00615769" w:rsidP="00412FC8">
      <w:pPr>
        <w:rPr>
          <w:del w:id="8646" w:author="AbbVie2" w:date="2025-05-13T16:39:00Z"/>
          <w:sz w:val="22"/>
          <w:szCs w:val="22"/>
        </w:rPr>
      </w:pPr>
      <w:del w:id="8647" w:author="AbbVie2" w:date="2025-05-13T16:39:00Z">
        <w:r w:rsidRPr="008912CF">
          <w:rPr>
            <w:sz w:val="22"/>
            <w:szCs w:val="22"/>
          </w:rPr>
          <w:delText xml:space="preserve">No Estudo I na </w:delText>
        </w:r>
        <w:r w:rsidRPr="008912CF">
          <w:rPr>
            <w:iCs/>
            <w:sz w:val="22"/>
            <w:szCs w:val="22"/>
          </w:rPr>
          <w:delText>Psoríase</w:delText>
        </w:r>
        <w:r w:rsidRPr="008912CF">
          <w:rPr>
            <w:sz w:val="22"/>
            <w:szCs w:val="22"/>
          </w:rPr>
          <w:delText>, 28</w:delText>
        </w:r>
        <w:r w:rsidR="009343EF">
          <w:rPr>
            <w:sz w:val="22"/>
            <w:szCs w:val="22"/>
          </w:rPr>
          <w:delText>%</w:delText>
        </w:r>
        <w:r w:rsidRPr="008912CF">
          <w:rPr>
            <w:sz w:val="22"/>
            <w:szCs w:val="22"/>
          </w:rPr>
          <w:delText xml:space="preserve"> dos doentes que tiveram resposta PASI 75 e que foram de novo </w:delText>
        </w:r>
        <w:r w:rsidR="0013275C">
          <w:rPr>
            <w:sz w:val="22"/>
            <w:szCs w:val="22"/>
          </w:rPr>
          <w:delText>aleatorizado</w:delText>
        </w:r>
        <w:r w:rsidRPr="008912CF">
          <w:rPr>
            <w:sz w:val="22"/>
            <w:szCs w:val="22"/>
          </w:rPr>
          <w:delText xml:space="preserve">s </w:delText>
        </w:r>
        <w:r w:rsidR="00547396">
          <w:rPr>
            <w:sz w:val="22"/>
            <w:szCs w:val="22"/>
          </w:rPr>
          <w:delText>para</w:delText>
        </w:r>
        <w:r w:rsidR="00547396" w:rsidRPr="008912CF">
          <w:rPr>
            <w:sz w:val="22"/>
            <w:szCs w:val="22"/>
          </w:rPr>
          <w:delText xml:space="preserve"> </w:delText>
        </w:r>
        <w:r w:rsidRPr="008912CF">
          <w:rPr>
            <w:sz w:val="22"/>
            <w:szCs w:val="22"/>
          </w:rPr>
          <w:delText>placebo à Semana 33, comparativamente a 5</w:delText>
        </w:r>
        <w:r w:rsidR="009343EF">
          <w:rPr>
            <w:sz w:val="22"/>
            <w:szCs w:val="22"/>
          </w:rPr>
          <w:delText>%</w:delText>
        </w:r>
        <w:r w:rsidRPr="008912CF">
          <w:rPr>
            <w:sz w:val="22"/>
            <w:szCs w:val="22"/>
          </w:rPr>
          <w:delText xml:space="preserve"> dos que continuaram Humira, p &lt; 0,001, atingiram “perda de resposta adequada”</w:delText>
        </w:r>
        <w:r w:rsidRPr="008912CF">
          <w:rPr>
            <w:iCs/>
            <w:sz w:val="22"/>
            <w:szCs w:val="22"/>
          </w:rPr>
          <w:delText xml:space="preserve"> (pontuação PASI após a Semana 33 e ou antes da Semana 52 que resultou numa resposta &lt; PASI 50 em relação à avaliação basal, com um mínimo de 6-pontos de aumento na pontuação PASI em relação à Semana 33)</w:delText>
        </w:r>
        <w:r w:rsidRPr="008912CF">
          <w:rPr>
            <w:sz w:val="22"/>
            <w:szCs w:val="22"/>
          </w:rPr>
          <w:delText xml:space="preserve">. Dos doentes que não tiveram uma resposta adequada após a nova </w:delText>
        </w:r>
        <w:r w:rsidR="00547396">
          <w:rPr>
            <w:sz w:val="22"/>
            <w:szCs w:val="22"/>
          </w:rPr>
          <w:delText>aleator</w:delText>
        </w:r>
        <w:r w:rsidRPr="008912CF">
          <w:rPr>
            <w:sz w:val="22"/>
            <w:szCs w:val="22"/>
          </w:rPr>
          <w:delText xml:space="preserve">ização </w:delText>
        </w:r>
        <w:r w:rsidR="00547396">
          <w:rPr>
            <w:sz w:val="22"/>
            <w:szCs w:val="22"/>
          </w:rPr>
          <w:delText>para</w:delText>
        </w:r>
        <w:r w:rsidR="00547396" w:rsidRPr="008912CF">
          <w:rPr>
            <w:sz w:val="22"/>
            <w:szCs w:val="22"/>
          </w:rPr>
          <w:delText xml:space="preserve"> </w:delText>
        </w:r>
        <w:r w:rsidRPr="008912CF">
          <w:rPr>
            <w:sz w:val="22"/>
            <w:szCs w:val="22"/>
          </w:rPr>
          <w:delText xml:space="preserve">placebo e que depois foram </w:delText>
        </w:r>
        <w:r w:rsidR="00547396">
          <w:rPr>
            <w:sz w:val="22"/>
            <w:szCs w:val="22"/>
          </w:rPr>
          <w:delText>integrados</w:delText>
        </w:r>
        <w:r w:rsidR="00547396" w:rsidRPr="008912CF">
          <w:rPr>
            <w:sz w:val="22"/>
            <w:szCs w:val="22"/>
          </w:rPr>
          <w:delText xml:space="preserve"> </w:delText>
        </w:r>
        <w:r w:rsidRPr="008912CF">
          <w:rPr>
            <w:sz w:val="22"/>
            <w:szCs w:val="22"/>
          </w:rPr>
          <w:delText>em ensaios de extensão de fase aberta, 38</w:delText>
        </w:r>
        <w:r w:rsidR="009343EF">
          <w:rPr>
            <w:sz w:val="22"/>
            <w:szCs w:val="22"/>
          </w:rPr>
          <w:delText>%</w:delText>
        </w:r>
        <w:r w:rsidRPr="008912CF">
          <w:rPr>
            <w:sz w:val="22"/>
            <w:szCs w:val="22"/>
          </w:rPr>
          <w:delText xml:space="preserve"> (25/66) e 55</w:delText>
        </w:r>
        <w:r w:rsidR="009343EF">
          <w:rPr>
            <w:sz w:val="22"/>
            <w:szCs w:val="22"/>
          </w:rPr>
          <w:delText>%</w:delText>
        </w:r>
        <w:r w:rsidRPr="008912CF">
          <w:rPr>
            <w:sz w:val="22"/>
            <w:szCs w:val="22"/>
          </w:rPr>
          <w:delText xml:space="preserve"> (36/66) recuperaram resposta PASI 75 após 12 e 24 sem</w:delText>
        </w:r>
        <w:r w:rsidRPr="008912CF">
          <w:rPr>
            <w:sz w:val="22"/>
            <w:szCs w:val="22"/>
          </w:rPr>
          <w:delText>anas do novo tratamento, respetivamente.</w:delText>
        </w:r>
      </w:del>
    </w:p>
    <w:p w14:paraId="0A4F3BB6" w14:textId="29B3AFD3" w:rsidR="004462A0" w:rsidRPr="008912CF" w:rsidRDefault="004462A0" w:rsidP="00412FC8">
      <w:pPr>
        <w:rPr>
          <w:del w:id="8648" w:author="AbbVie2" w:date="2025-05-13T16:39:00Z"/>
          <w:sz w:val="22"/>
          <w:szCs w:val="22"/>
        </w:rPr>
      </w:pPr>
    </w:p>
    <w:p w14:paraId="1CB26839" w14:textId="63657C26" w:rsidR="004462A0" w:rsidRPr="008912CF" w:rsidRDefault="00615769" w:rsidP="00412FC8">
      <w:pPr>
        <w:rPr>
          <w:del w:id="8649" w:author="AbbVie2" w:date="2025-05-13T16:39:00Z"/>
          <w:sz w:val="22"/>
          <w:szCs w:val="22"/>
        </w:rPr>
      </w:pPr>
      <w:del w:id="8650" w:author="AbbVie2" w:date="2025-05-13T16:39:00Z">
        <w:r w:rsidRPr="008912CF">
          <w:rPr>
            <w:sz w:val="22"/>
            <w:szCs w:val="22"/>
          </w:rPr>
          <w:delText xml:space="preserve">Um total de 233 doentes que tiveram uma resposta PASI 75 à </w:delText>
        </w:r>
        <w:r w:rsidR="00547396">
          <w:rPr>
            <w:sz w:val="22"/>
            <w:szCs w:val="22"/>
          </w:rPr>
          <w:delText>S</w:delText>
        </w:r>
        <w:r w:rsidRPr="008912CF">
          <w:rPr>
            <w:sz w:val="22"/>
            <w:szCs w:val="22"/>
          </w:rPr>
          <w:delText xml:space="preserve">emana 16 e à </w:delText>
        </w:r>
        <w:r w:rsidR="00547396">
          <w:rPr>
            <w:sz w:val="22"/>
            <w:szCs w:val="22"/>
          </w:rPr>
          <w:delText>S</w:delText>
        </w:r>
        <w:r w:rsidRPr="008912CF">
          <w:rPr>
            <w:sz w:val="22"/>
            <w:szCs w:val="22"/>
          </w:rPr>
          <w:delText>emana 33 receberam tratamento contínuo com Humira no Estudo I na Psoríase, durante 52 semanas, e continuaram com Humira no ensaio de extensão de fase aberta. A taxa de resposta PASI 75 e PGA “limp</w:delText>
        </w:r>
        <w:r w:rsidR="00E57BBD">
          <w:rPr>
            <w:sz w:val="22"/>
            <w:szCs w:val="22"/>
          </w:rPr>
          <w:delText>a</w:delText>
        </w:r>
        <w:r w:rsidRPr="008912CF">
          <w:rPr>
            <w:sz w:val="22"/>
            <w:szCs w:val="22"/>
          </w:rPr>
          <w:delText>” ou “</w:delText>
        </w:r>
        <w:r w:rsidR="00E57BBD">
          <w:rPr>
            <w:sz w:val="22"/>
            <w:szCs w:val="22"/>
          </w:rPr>
          <w:delText>quase limpa</w:delText>
        </w:r>
        <w:r w:rsidRPr="008912CF">
          <w:rPr>
            <w:sz w:val="22"/>
            <w:szCs w:val="22"/>
          </w:rPr>
          <w:delText>” nestes doentes foi de 74,7</w:delText>
        </w:r>
        <w:r w:rsidR="009343EF">
          <w:rPr>
            <w:sz w:val="22"/>
            <w:szCs w:val="22"/>
          </w:rPr>
          <w:delText>%</w:delText>
        </w:r>
        <w:r w:rsidRPr="008912CF">
          <w:rPr>
            <w:sz w:val="22"/>
            <w:szCs w:val="22"/>
          </w:rPr>
          <w:delText xml:space="preserve"> e 59,0</w:delText>
        </w:r>
        <w:r w:rsidR="009343EF">
          <w:rPr>
            <w:sz w:val="22"/>
            <w:szCs w:val="22"/>
          </w:rPr>
          <w:delText>%</w:delText>
        </w:r>
        <w:r w:rsidRPr="008912CF">
          <w:rPr>
            <w:sz w:val="22"/>
            <w:szCs w:val="22"/>
          </w:rPr>
          <w:delText xml:space="preserve"> respetivamente, após um tratamento adicional de 108 semanas em fase aberta (total de 160 semanas). Numa análise em que todos os doentes que abandonaram o estudo, devido a acontecimentos adversos ou por falta de eficácia, ou </w:delText>
        </w:r>
        <w:r w:rsidR="00547396">
          <w:rPr>
            <w:sz w:val="22"/>
            <w:szCs w:val="22"/>
          </w:rPr>
          <w:delText>que tiveram</w:delText>
        </w:r>
        <w:r w:rsidR="00547396" w:rsidRPr="008912CF">
          <w:rPr>
            <w:sz w:val="22"/>
            <w:szCs w:val="22"/>
          </w:rPr>
          <w:delText xml:space="preserve"> </w:delText>
        </w:r>
        <w:r w:rsidRPr="008912CF">
          <w:rPr>
            <w:sz w:val="22"/>
            <w:szCs w:val="22"/>
          </w:rPr>
          <w:delText>escalonam</w:delText>
        </w:r>
        <w:r w:rsidRPr="008912CF">
          <w:rPr>
            <w:sz w:val="22"/>
            <w:szCs w:val="22"/>
          </w:rPr>
          <w:delText>ento de dose, foram considerados não-respondedores, as taxas de resposta PASI 75 e PGA “limp</w:delText>
        </w:r>
        <w:r w:rsidR="00547396">
          <w:rPr>
            <w:sz w:val="22"/>
            <w:szCs w:val="22"/>
          </w:rPr>
          <w:delText>a</w:delText>
        </w:r>
        <w:r w:rsidRPr="008912CF">
          <w:rPr>
            <w:sz w:val="22"/>
            <w:szCs w:val="22"/>
          </w:rPr>
          <w:delText>” ou “</w:delText>
        </w:r>
        <w:r w:rsidR="00E57BBD">
          <w:rPr>
            <w:sz w:val="22"/>
            <w:szCs w:val="22"/>
          </w:rPr>
          <w:delText>quase limpa</w:delText>
        </w:r>
        <w:r w:rsidRPr="008912CF">
          <w:rPr>
            <w:sz w:val="22"/>
            <w:szCs w:val="22"/>
          </w:rPr>
          <w:delText>” nestes doentes foram de 69,6% e 55,7% respetivamente, após um tratamento adicional de 108 semanas em fase aberta (total de 160 semanas).</w:delText>
        </w:r>
      </w:del>
    </w:p>
    <w:p w14:paraId="0355018B" w14:textId="4758A74E" w:rsidR="004462A0" w:rsidRPr="008912CF" w:rsidRDefault="004462A0" w:rsidP="00412FC8">
      <w:pPr>
        <w:rPr>
          <w:del w:id="8651" w:author="AbbVie2" w:date="2025-05-13T16:39:00Z"/>
          <w:sz w:val="22"/>
          <w:szCs w:val="22"/>
        </w:rPr>
      </w:pPr>
    </w:p>
    <w:p w14:paraId="6F28D2C3" w14:textId="05FD7572" w:rsidR="004462A0" w:rsidRPr="008912CF" w:rsidRDefault="00615769" w:rsidP="00412FC8">
      <w:pPr>
        <w:rPr>
          <w:del w:id="8652" w:author="AbbVie2" w:date="2025-05-13T16:39:00Z"/>
          <w:sz w:val="22"/>
          <w:szCs w:val="22"/>
        </w:rPr>
      </w:pPr>
      <w:del w:id="8653" w:author="AbbVie2" w:date="2025-05-13T16:39:00Z">
        <w:r w:rsidRPr="008912CF">
          <w:rPr>
            <w:sz w:val="22"/>
            <w:szCs w:val="22"/>
          </w:rPr>
          <w:delText xml:space="preserve">Um total de 347 doentes respondedores estáveis participaram numa avaliação da suspensão do tratamento e novo tratamento, no estudo de extensão de fase aberta. Durante o período de suspensão, os sintomas da psoríase reaparecem, com um tempo </w:delText>
        </w:r>
        <w:r w:rsidR="00547396">
          <w:rPr>
            <w:sz w:val="22"/>
            <w:szCs w:val="22"/>
          </w:rPr>
          <w:delText>mediano</w:delText>
        </w:r>
        <w:r w:rsidR="00547396" w:rsidRPr="008912CF">
          <w:rPr>
            <w:sz w:val="22"/>
            <w:szCs w:val="22"/>
          </w:rPr>
          <w:delText xml:space="preserve"> </w:delText>
        </w:r>
        <w:r w:rsidRPr="008912CF">
          <w:rPr>
            <w:sz w:val="22"/>
            <w:szCs w:val="22"/>
          </w:rPr>
          <w:delText>de recidiva (diminuição para um PGA "moderad</w:delText>
        </w:r>
        <w:r w:rsidR="00601734">
          <w:rPr>
            <w:sz w:val="22"/>
            <w:szCs w:val="22"/>
          </w:rPr>
          <w:delText>a</w:delText>
        </w:r>
        <w:r w:rsidRPr="008912CF">
          <w:rPr>
            <w:sz w:val="22"/>
            <w:szCs w:val="22"/>
          </w:rPr>
          <w:delText xml:space="preserve">" ou “pior”) de aproximadamente 5 meses. Nenhum destes doentes apresentaram efeito </w:delText>
        </w:r>
        <w:r w:rsidRPr="008912CF">
          <w:rPr>
            <w:i/>
            <w:sz w:val="22"/>
            <w:szCs w:val="22"/>
          </w:rPr>
          <w:delText>rebound</w:delText>
        </w:r>
        <w:r w:rsidRPr="008912CF">
          <w:rPr>
            <w:sz w:val="22"/>
            <w:szCs w:val="22"/>
          </w:rPr>
          <w:delText xml:space="preserve"> durante o período de suspensão. Um total de 76,5% (218/285) dos doentes que entraram no período de novo tratamento apresentaram uma resposta de PGA "limp</w:delText>
        </w:r>
        <w:r w:rsidR="00547396">
          <w:rPr>
            <w:sz w:val="22"/>
            <w:szCs w:val="22"/>
          </w:rPr>
          <w:delText>a</w:delText>
        </w:r>
        <w:r w:rsidRPr="008912CF">
          <w:rPr>
            <w:sz w:val="22"/>
            <w:szCs w:val="22"/>
          </w:rPr>
          <w:delText>" ou "</w:delText>
        </w:r>
        <w:r w:rsidR="00E57BBD">
          <w:rPr>
            <w:sz w:val="22"/>
            <w:szCs w:val="22"/>
          </w:rPr>
          <w:delText>quase limpa</w:delText>
        </w:r>
        <w:r w:rsidRPr="008912CF">
          <w:rPr>
            <w:sz w:val="22"/>
            <w:szCs w:val="22"/>
          </w:rPr>
          <w:delText xml:space="preserve">", após 16 semanas de novo tratamento, independentemente de recidiva durante a suspensão (69,1% [123/178] e 88,8% [95/107], para doentes que tiveram ou não recidiva durante o período de suspensão, </w:delText>
        </w:r>
        <w:r w:rsidRPr="008912CF">
          <w:rPr>
            <w:sz w:val="22"/>
            <w:szCs w:val="22"/>
          </w:rPr>
          <w:delText>respetivamente). Durante o novo tratamento, foi observado um perfil de segurança semelhante ao observado antes da suspensão.</w:delText>
        </w:r>
      </w:del>
    </w:p>
    <w:p w14:paraId="0C2A7590" w14:textId="678F5BCC" w:rsidR="004462A0" w:rsidRPr="008912CF" w:rsidRDefault="004462A0">
      <w:pPr>
        <w:rPr>
          <w:del w:id="8654" w:author="AbbVie2" w:date="2025-05-13T16:39:00Z"/>
          <w:sz w:val="22"/>
          <w:szCs w:val="22"/>
        </w:rPr>
        <w:pPrChange w:id="8655" w:author="AbbVie2" w:date="2025-05-13T16:40:00Z">
          <w:pPr>
            <w:autoSpaceDE w:val="0"/>
            <w:autoSpaceDN w:val="0"/>
            <w:adjustRightInd w:val="0"/>
          </w:pPr>
        </w:pPrChange>
      </w:pPr>
    </w:p>
    <w:p w14:paraId="53ECBCF3" w14:textId="7CEBA1DE" w:rsidR="004462A0" w:rsidRPr="008912CF" w:rsidRDefault="00615769" w:rsidP="00412FC8">
      <w:pPr>
        <w:rPr>
          <w:del w:id="8656" w:author="AbbVie2" w:date="2025-05-13T16:39:00Z"/>
          <w:sz w:val="22"/>
          <w:szCs w:val="22"/>
        </w:rPr>
      </w:pPr>
      <w:del w:id="8657" w:author="AbbVie2" w:date="2025-05-13T16:39:00Z">
        <w:r w:rsidRPr="008912CF">
          <w:rPr>
            <w:sz w:val="22"/>
            <w:szCs w:val="22"/>
          </w:rPr>
          <w:delText xml:space="preserve">Foram demonstradas melhorias significativas </w:delText>
        </w:r>
        <w:r w:rsidR="00547396">
          <w:rPr>
            <w:sz w:val="22"/>
            <w:szCs w:val="22"/>
          </w:rPr>
          <w:delText>à</w:delText>
        </w:r>
        <w:r w:rsidR="00547396" w:rsidRPr="008912CF">
          <w:rPr>
            <w:sz w:val="22"/>
            <w:szCs w:val="22"/>
          </w:rPr>
          <w:delText xml:space="preserve"> </w:delText>
        </w:r>
        <w:r w:rsidRPr="008912CF">
          <w:rPr>
            <w:sz w:val="22"/>
            <w:szCs w:val="22"/>
          </w:rPr>
          <w:delText>semana 16 em relação à avaliação basal comparativamente com placebo (Estudos I e II) e MTX (Estudo II), no DLQI (</w:delText>
        </w:r>
        <w:r w:rsidRPr="008912CF">
          <w:rPr>
            <w:i/>
            <w:sz w:val="22"/>
            <w:szCs w:val="22"/>
          </w:rPr>
          <w:delText>Dermatology Life Quality Index)</w:delText>
        </w:r>
        <w:r w:rsidRPr="008912CF">
          <w:rPr>
            <w:sz w:val="22"/>
            <w:szCs w:val="22"/>
          </w:rPr>
          <w:delText>. No Estudo I, foram também demonstradas melhorias nas pontuações das componentes física e mental do SF-36, comparativamente com placebo.</w:delText>
        </w:r>
      </w:del>
    </w:p>
    <w:p w14:paraId="3C19937D" w14:textId="76ADBD0D" w:rsidR="004462A0" w:rsidRPr="008912CF" w:rsidRDefault="004462A0">
      <w:pPr>
        <w:rPr>
          <w:del w:id="8658" w:author="AbbVie2" w:date="2025-05-13T16:39:00Z"/>
          <w:szCs w:val="22"/>
        </w:rPr>
        <w:pPrChange w:id="8659" w:author="AbbVie2" w:date="2025-05-13T16:40:00Z">
          <w:pPr>
            <w:pStyle w:val="EMEANormal"/>
          </w:pPr>
        </w:pPrChange>
      </w:pPr>
    </w:p>
    <w:p w14:paraId="3C3BFAC0" w14:textId="67BF6B00" w:rsidR="004462A0" w:rsidRPr="008912CF" w:rsidRDefault="00615769">
      <w:pPr>
        <w:rPr>
          <w:del w:id="8660" w:author="AbbVie2" w:date="2025-05-13T16:39:00Z"/>
          <w:szCs w:val="22"/>
        </w:rPr>
        <w:pPrChange w:id="8661" w:author="AbbVie2" w:date="2025-05-13T16:40:00Z">
          <w:pPr>
            <w:pStyle w:val="EMEANormal"/>
          </w:pPr>
        </w:pPrChange>
      </w:pPr>
      <w:del w:id="8662" w:author="AbbVie2" w:date="2025-05-13T16:39:00Z">
        <w:r w:rsidRPr="008912CF">
          <w:rPr>
            <w:szCs w:val="22"/>
          </w:rPr>
          <w:delText>Num estudo de extensão de fase aberta, em doentes em que houve escalonamento da dose de 40 mg em semanas alternadas para 40 mg todas as semanas, devido a uma resposta PASI inferior a 50</w:delText>
        </w:r>
        <w:r w:rsidR="009343EF">
          <w:rPr>
            <w:szCs w:val="22"/>
          </w:rPr>
          <w:delText>%</w:delText>
        </w:r>
        <w:r w:rsidRPr="008912CF">
          <w:rPr>
            <w:szCs w:val="22"/>
          </w:rPr>
          <w:delText>, 26,4</w:delText>
        </w:r>
        <w:r w:rsidR="009343EF">
          <w:rPr>
            <w:szCs w:val="22"/>
          </w:rPr>
          <w:delText>%</w:delText>
        </w:r>
        <w:r w:rsidRPr="008912CF">
          <w:rPr>
            <w:szCs w:val="22"/>
          </w:rPr>
          <w:delText xml:space="preserve"> (92/349) e 37,8</w:delText>
        </w:r>
        <w:r w:rsidR="009343EF">
          <w:rPr>
            <w:szCs w:val="22"/>
          </w:rPr>
          <w:delText>%</w:delText>
        </w:r>
        <w:r w:rsidRPr="008912CF">
          <w:rPr>
            <w:szCs w:val="22"/>
          </w:rPr>
          <w:delText xml:space="preserve"> (132/349) dos doentes alcançaram uma resposta PASI 75 às semanas 12 e 24</w:delText>
        </w:r>
        <w:r w:rsidR="00547396">
          <w:rPr>
            <w:szCs w:val="22"/>
          </w:rPr>
          <w:delText>,</w:delText>
        </w:r>
        <w:r w:rsidRPr="008912CF">
          <w:rPr>
            <w:szCs w:val="22"/>
          </w:rPr>
          <w:delText xml:space="preserve"> respetivamente.</w:delText>
        </w:r>
      </w:del>
    </w:p>
    <w:p w14:paraId="640F7782" w14:textId="3578D1F1" w:rsidR="004462A0" w:rsidRPr="008912CF" w:rsidRDefault="004462A0">
      <w:pPr>
        <w:rPr>
          <w:del w:id="8663" w:author="AbbVie2" w:date="2025-05-13T16:39:00Z"/>
          <w:szCs w:val="22"/>
        </w:rPr>
        <w:pPrChange w:id="8664" w:author="AbbVie2" w:date="2025-05-13T16:40:00Z">
          <w:pPr>
            <w:pStyle w:val="EMEANormal"/>
          </w:pPr>
        </w:pPrChange>
      </w:pPr>
    </w:p>
    <w:p w14:paraId="40689550" w14:textId="33A421B6" w:rsidR="004462A0" w:rsidRPr="008912CF" w:rsidRDefault="00615769">
      <w:pPr>
        <w:rPr>
          <w:del w:id="8665" w:author="AbbVie2" w:date="2025-05-13T16:39:00Z"/>
          <w:szCs w:val="22"/>
        </w:rPr>
        <w:pPrChange w:id="8666" w:author="AbbVie2" w:date="2025-05-13T16:40:00Z">
          <w:pPr>
            <w:pStyle w:val="EMEANormal"/>
          </w:pPr>
        </w:pPrChange>
      </w:pPr>
      <w:del w:id="8667" w:author="AbbVie2" w:date="2025-05-13T16:39:00Z">
        <w:r w:rsidRPr="008912CF">
          <w:rPr>
            <w:szCs w:val="22"/>
          </w:rPr>
          <w:delText xml:space="preserve">O Estudo III na Psoríase (REACH) comparou a eficácia e segurança de Humira </w:delText>
        </w:r>
        <w:r w:rsidRPr="008912CF">
          <w:rPr>
            <w:i/>
            <w:szCs w:val="22"/>
          </w:rPr>
          <w:delText>versus</w:delText>
        </w:r>
        <w:r w:rsidRPr="008912CF">
          <w:rPr>
            <w:szCs w:val="22"/>
          </w:rPr>
          <w:delText xml:space="preserve"> placebo em 72 doentes com psoríase crónica em placas moderada a grave e psoríase palmar e/ou plantar. Os doentes receberam Humira numa dose inicial de 80 mg, seguid</w:delText>
        </w:r>
        <w:r>
          <w:rPr>
            <w:szCs w:val="22"/>
          </w:rPr>
          <w:delText>a</w:delText>
        </w:r>
        <w:r w:rsidRPr="008912CF">
          <w:rPr>
            <w:szCs w:val="22"/>
          </w:rPr>
          <w:delText xml:space="preserve"> de 4</w:delText>
        </w:r>
        <w:r>
          <w:rPr>
            <w:szCs w:val="22"/>
          </w:rPr>
          <w:delText>0</w:delText>
        </w:r>
        <w:r w:rsidRPr="008912CF">
          <w:rPr>
            <w:szCs w:val="22"/>
          </w:rPr>
          <w:delText>  mg em semanas alternadas (uma semana após a dose inicial) ou placebo, durante 16 semanas. Na semana 16, os doentes que receberam Humira apresentaram uma resposta de PGA “limp</w:delText>
        </w:r>
        <w:r w:rsidR="00E57BBD">
          <w:rPr>
            <w:szCs w:val="22"/>
          </w:rPr>
          <w:delText>a</w:delText>
        </w:r>
        <w:r w:rsidRPr="008912CF">
          <w:rPr>
            <w:szCs w:val="22"/>
          </w:rPr>
          <w:delText>” ou “quase limp</w:delText>
        </w:r>
        <w:r w:rsidR="00E57BBD">
          <w:rPr>
            <w:szCs w:val="22"/>
          </w:rPr>
          <w:delText>a</w:delText>
        </w:r>
        <w:r w:rsidRPr="008912CF">
          <w:rPr>
            <w:szCs w:val="22"/>
          </w:rPr>
          <w:delText>” nas mãos e/ou pés numa proporção superior, estatisticamente significativa, quando comparado com os doentes que receberam placebo (30,6</w:delText>
        </w:r>
        <w:r w:rsidR="009343EF">
          <w:rPr>
            <w:szCs w:val="22"/>
          </w:rPr>
          <w:delText>%</w:delText>
        </w:r>
        <w:r w:rsidRPr="008912CF">
          <w:rPr>
            <w:szCs w:val="22"/>
          </w:rPr>
          <w:delText xml:space="preserve"> versus 4,3</w:delText>
        </w:r>
        <w:r w:rsidR="009343EF">
          <w:rPr>
            <w:szCs w:val="22"/>
          </w:rPr>
          <w:delText>%</w:delText>
        </w:r>
        <w:r w:rsidRPr="008912CF">
          <w:rPr>
            <w:szCs w:val="22"/>
          </w:rPr>
          <w:delText>, respetivamente [</w:delText>
        </w:r>
        <w:r w:rsidR="00092159">
          <w:rPr>
            <w:szCs w:val="22"/>
          </w:rPr>
          <w:delText>p</w:delText>
        </w:r>
        <w:r w:rsidRPr="008912CF">
          <w:rPr>
            <w:szCs w:val="22"/>
          </w:rPr>
          <w:delText>=0,014]).</w:delText>
        </w:r>
      </w:del>
    </w:p>
    <w:p w14:paraId="0734E4CC" w14:textId="3AAE1637" w:rsidR="004462A0" w:rsidRDefault="004462A0" w:rsidP="00412FC8">
      <w:pPr>
        <w:rPr>
          <w:del w:id="8668" w:author="AbbVie2" w:date="2025-05-13T16:39:00Z"/>
          <w:sz w:val="22"/>
          <w:szCs w:val="22"/>
          <w:u w:val="single"/>
        </w:rPr>
      </w:pPr>
    </w:p>
    <w:p w14:paraId="133A2B92" w14:textId="213FB663" w:rsidR="004462A0" w:rsidRPr="00102FC8" w:rsidRDefault="00615769">
      <w:pPr>
        <w:rPr>
          <w:del w:id="8669" w:author="AbbVie2" w:date="2025-05-13T16:39:00Z"/>
          <w:sz w:val="22"/>
          <w:szCs w:val="22"/>
        </w:rPr>
        <w:pPrChange w:id="8670" w:author="AbbVie2" w:date="2025-05-13T16:40:00Z">
          <w:pPr>
            <w:autoSpaceDE w:val="0"/>
            <w:autoSpaceDN w:val="0"/>
            <w:adjustRightInd w:val="0"/>
          </w:pPr>
        </w:pPrChange>
      </w:pPr>
      <w:del w:id="8671" w:author="AbbVie2" w:date="2025-05-13T16:39:00Z">
        <w:r w:rsidRPr="00C8133C">
          <w:rPr>
            <w:sz w:val="22"/>
            <w:szCs w:val="22"/>
          </w:rPr>
          <w:delText>O Estudo IV na Psor</w:delText>
        </w:r>
        <w:r w:rsidR="008F2FAC">
          <w:rPr>
            <w:sz w:val="22"/>
            <w:szCs w:val="22"/>
          </w:rPr>
          <w:delText>í</w:delText>
        </w:r>
        <w:r w:rsidRPr="00C8133C">
          <w:rPr>
            <w:sz w:val="22"/>
            <w:szCs w:val="22"/>
          </w:rPr>
          <w:delText xml:space="preserve">ase comparou a eficácia e segurança de Humira </w:delText>
        </w:r>
        <w:r w:rsidRPr="00C8133C">
          <w:rPr>
            <w:i/>
            <w:sz w:val="22"/>
            <w:szCs w:val="22"/>
          </w:rPr>
          <w:delText>versus</w:delText>
        </w:r>
        <w:r w:rsidRPr="00C8133C">
          <w:rPr>
            <w:sz w:val="22"/>
            <w:szCs w:val="22"/>
          </w:rPr>
          <w:delText xml:space="preserve"> placebo em 217 doentes adultos com psoríase ungueal moderada a grave. Os doentes receberam Humira numa dose inicial de 80</w:delText>
        </w:r>
        <w:r>
          <w:rPr>
            <w:sz w:val="22"/>
            <w:szCs w:val="22"/>
          </w:rPr>
          <w:delText> </w:delText>
        </w:r>
        <w:r w:rsidRPr="00C8133C">
          <w:rPr>
            <w:sz w:val="22"/>
            <w:szCs w:val="22"/>
          </w:rPr>
          <w:delText>mg, seguida de 40</w:delText>
        </w:r>
        <w:r>
          <w:rPr>
            <w:sz w:val="22"/>
            <w:szCs w:val="22"/>
          </w:rPr>
          <w:delText> </w:delText>
        </w:r>
        <w:r w:rsidRPr="00C8133C">
          <w:rPr>
            <w:sz w:val="22"/>
            <w:szCs w:val="22"/>
          </w:rPr>
          <w:delText xml:space="preserve"> mg em semanas alternadas (uma semana após a dose inicial) ou placebo, durante 26 semanas, seguid</w:delText>
        </w:r>
        <w:r w:rsidR="008F2FAC">
          <w:rPr>
            <w:sz w:val="22"/>
            <w:szCs w:val="22"/>
          </w:rPr>
          <w:delText>o</w:delText>
        </w:r>
        <w:r w:rsidRPr="00C8133C">
          <w:rPr>
            <w:sz w:val="22"/>
            <w:szCs w:val="22"/>
          </w:rPr>
          <w:delText xml:space="preserve"> de um tratamento em fase aberta com Humira durante mais 26 semanas. </w:delText>
        </w:r>
        <w:r w:rsidRPr="00102FC8">
          <w:rPr>
            <w:sz w:val="22"/>
            <w:szCs w:val="22"/>
            <w:lang w:eastAsia="zh-CN"/>
          </w:rPr>
          <w:delText>As avaliações da psoríase ungueal inclu</w:delText>
        </w:r>
        <w:r w:rsidR="008F2FAC">
          <w:rPr>
            <w:sz w:val="22"/>
            <w:szCs w:val="22"/>
            <w:lang w:eastAsia="zh-CN"/>
          </w:rPr>
          <w:delText>í</w:delText>
        </w:r>
        <w:r w:rsidRPr="00102FC8">
          <w:rPr>
            <w:sz w:val="22"/>
            <w:szCs w:val="22"/>
            <w:lang w:eastAsia="zh-CN"/>
          </w:rPr>
          <w:delText xml:space="preserve">ram o Índice de </w:delText>
        </w:r>
        <w:r>
          <w:rPr>
            <w:sz w:val="22"/>
            <w:szCs w:val="22"/>
            <w:lang w:eastAsia="zh-CN"/>
          </w:rPr>
          <w:delText>Gravidade</w:delText>
        </w:r>
        <w:r w:rsidRPr="00102FC8">
          <w:rPr>
            <w:sz w:val="22"/>
            <w:szCs w:val="22"/>
            <w:lang w:eastAsia="zh-CN"/>
          </w:rPr>
          <w:delText xml:space="preserve"> da Psoríase Ungueal</w:delText>
        </w:r>
        <w:r w:rsidR="008F2FAC">
          <w:rPr>
            <w:sz w:val="22"/>
            <w:szCs w:val="22"/>
            <w:lang w:eastAsia="zh-CN"/>
          </w:rPr>
          <w:delText xml:space="preserve"> modificado</w:delText>
        </w:r>
        <w:r w:rsidRPr="00102FC8">
          <w:rPr>
            <w:sz w:val="22"/>
            <w:szCs w:val="22"/>
            <w:lang w:eastAsia="zh-CN"/>
          </w:rPr>
          <w:delText xml:space="preserve"> (mNAPSI), </w:delText>
        </w:r>
        <w:r w:rsidRPr="00102FC8">
          <w:rPr>
            <w:sz w:val="22"/>
            <w:szCs w:val="22"/>
          </w:rPr>
          <w:delText xml:space="preserve">a Avaliação Global dos Médicos da Psoríase Ungueal (PGA-F) e o Índice de </w:delText>
        </w:r>
        <w:r>
          <w:rPr>
            <w:sz w:val="22"/>
            <w:szCs w:val="22"/>
          </w:rPr>
          <w:delText>Gravidade</w:delText>
        </w:r>
        <w:r w:rsidRPr="00102FC8">
          <w:rPr>
            <w:sz w:val="22"/>
            <w:szCs w:val="22"/>
          </w:rPr>
          <w:delText xml:space="preserve"> da Psoríase Ungueal (NAPSI) (ver Tabela </w:delText>
        </w:r>
        <w:r w:rsidR="00A22EC4">
          <w:rPr>
            <w:sz w:val="22"/>
            <w:szCs w:val="22"/>
          </w:rPr>
          <w:delText>1</w:delText>
        </w:r>
        <w:r w:rsidR="00492E45">
          <w:rPr>
            <w:sz w:val="22"/>
            <w:szCs w:val="22"/>
          </w:rPr>
          <w:delText>8</w:delText>
        </w:r>
        <w:r w:rsidRPr="00102FC8">
          <w:rPr>
            <w:sz w:val="22"/>
            <w:szCs w:val="22"/>
          </w:rPr>
          <w:delText>). Humira demonstrou um benefício de tratamento em doentes com psoríase ungueal com diferentes graus de envolvimento cutâneo (BSA</w:delText>
        </w:r>
        <w:r>
          <w:rPr>
            <w:sz w:val="22"/>
            <w:szCs w:val="22"/>
          </w:rPr>
          <w:delText> </w:delText>
        </w:r>
        <w:r w:rsidRPr="00C8133C">
          <w:rPr>
            <w:sz w:val="22"/>
            <w:szCs w:val="22"/>
          </w:rPr>
          <w:delText>≥</w:delText>
        </w:r>
        <w:r>
          <w:rPr>
            <w:sz w:val="22"/>
            <w:szCs w:val="22"/>
          </w:rPr>
          <w:delText> </w:delText>
        </w:r>
        <w:r w:rsidRPr="00C8133C">
          <w:rPr>
            <w:sz w:val="22"/>
            <w:szCs w:val="22"/>
          </w:rPr>
          <w:delText>10</w:delText>
        </w:r>
        <w:r w:rsidR="009343EF">
          <w:rPr>
            <w:sz w:val="22"/>
            <w:szCs w:val="22"/>
          </w:rPr>
          <w:delText>%</w:delText>
        </w:r>
        <w:r w:rsidRPr="00C8133C">
          <w:rPr>
            <w:sz w:val="22"/>
            <w:szCs w:val="22"/>
          </w:rPr>
          <w:delText xml:space="preserve"> </w:delText>
        </w:r>
        <w:r w:rsidRPr="00464189">
          <w:rPr>
            <w:sz w:val="22"/>
            <w:szCs w:val="22"/>
          </w:rPr>
          <w:delText>(60</w:delText>
        </w:r>
        <w:r w:rsidR="009343EF">
          <w:rPr>
            <w:sz w:val="22"/>
            <w:szCs w:val="22"/>
          </w:rPr>
          <w:delText>%</w:delText>
        </w:r>
        <w:r w:rsidRPr="00464189">
          <w:rPr>
            <w:sz w:val="22"/>
            <w:szCs w:val="22"/>
          </w:rPr>
          <w:delText xml:space="preserve"> dos doentes) </w:delText>
        </w:r>
        <w:r w:rsidRPr="00C8133C">
          <w:rPr>
            <w:sz w:val="22"/>
            <w:szCs w:val="22"/>
          </w:rPr>
          <w:delText>e BSA</w:delText>
        </w:r>
        <w:r>
          <w:rPr>
            <w:sz w:val="22"/>
            <w:szCs w:val="22"/>
          </w:rPr>
          <w:delText> </w:delText>
        </w:r>
        <w:r w:rsidRPr="00C8133C">
          <w:rPr>
            <w:sz w:val="22"/>
            <w:szCs w:val="22"/>
          </w:rPr>
          <w:delText>&lt;</w:delText>
        </w:r>
        <w:r>
          <w:rPr>
            <w:sz w:val="22"/>
            <w:szCs w:val="22"/>
          </w:rPr>
          <w:delText> </w:delText>
        </w:r>
        <w:r w:rsidRPr="00C8133C">
          <w:rPr>
            <w:sz w:val="22"/>
            <w:szCs w:val="22"/>
          </w:rPr>
          <w:delText>10</w:delText>
        </w:r>
        <w:r w:rsidR="009343EF">
          <w:rPr>
            <w:sz w:val="22"/>
            <w:szCs w:val="22"/>
          </w:rPr>
          <w:delText>%</w:delText>
        </w:r>
        <w:r w:rsidRPr="00C8133C">
          <w:rPr>
            <w:sz w:val="22"/>
            <w:szCs w:val="22"/>
          </w:rPr>
          <w:delText xml:space="preserve"> e ≥</w:delText>
        </w:r>
        <w:r>
          <w:rPr>
            <w:sz w:val="22"/>
            <w:szCs w:val="22"/>
          </w:rPr>
          <w:delText> </w:delText>
        </w:r>
        <w:r w:rsidRPr="00C8133C">
          <w:rPr>
            <w:sz w:val="22"/>
            <w:szCs w:val="22"/>
          </w:rPr>
          <w:delText>5%</w:delText>
        </w:r>
        <w:r>
          <w:rPr>
            <w:sz w:val="22"/>
            <w:szCs w:val="22"/>
          </w:rPr>
          <w:delText xml:space="preserve"> (4</w:delText>
        </w:r>
        <w:r w:rsidRPr="00464189">
          <w:rPr>
            <w:sz w:val="22"/>
            <w:szCs w:val="22"/>
          </w:rPr>
          <w:delText>0</w:delText>
        </w:r>
        <w:r w:rsidR="009343EF">
          <w:rPr>
            <w:sz w:val="22"/>
            <w:szCs w:val="22"/>
          </w:rPr>
          <w:delText>%</w:delText>
        </w:r>
        <w:r w:rsidRPr="00464189">
          <w:rPr>
            <w:sz w:val="22"/>
            <w:szCs w:val="22"/>
          </w:rPr>
          <w:delText xml:space="preserve"> dos doentes)</w:delText>
        </w:r>
        <w:r w:rsidRPr="00C8133C">
          <w:rPr>
            <w:sz w:val="22"/>
            <w:szCs w:val="22"/>
          </w:rPr>
          <w:delText xml:space="preserve">).    </w:delText>
        </w:r>
      </w:del>
    </w:p>
    <w:p w14:paraId="39A64220" w14:textId="2444B036" w:rsidR="004462A0" w:rsidRDefault="004462A0" w:rsidP="00412FC8">
      <w:pPr>
        <w:rPr>
          <w:del w:id="8672" w:author="AbbVie2" w:date="2025-05-13T16:39:00Z"/>
        </w:rPr>
      </w:pPr>
    </w:p>
    <w:p w14:paraId="3A43A768" w14:textId="4F626480" w:rsidR="004462A0" w:rsidRPr="00612E98" w:rsidRDefault="00615769">
      <w:pPr>
        <w:rPr>
          <w:del w:id="8673" w:author="AbbVie2" w:date="2025-05-13T16:39:00Z"/>
          <w:rFonts w:eastAsia="Times New Roman"/>
          <w:b/>
          <w:sz w:val="22"/>
          <w:szCs w:val="22"/>
        </w:rPr>
        <w:pPrChange w:id="8674" w:author="AbbVie2" w:date="2025-05-13T16:40:00Z">
          <w:pPr>
            <w:keepNext/>
            <w:tabs>
              <w:tab w:val="center" w:pos="4536"/>
              <w:tab w:val="left" w:pos="5475"/>
            </w:tabs>
          </w:pPr>
        </w:pPrChange>
      </w:pPr>
      <w:del w:id="8675" w:author="AbbVie2" w:date="2025-05-13T16:39:00Z">
        <w:r w:rsidRPr="005C49DA">
          <w:rPr>
            <w:rFonts w:eastAsia="Times New Roman"/>
            <w:b/>
            <w:sz w:val="22"/>
            <w:szCs w:val="22"/>
          </w:rPr>
          <w:tab/>
        </w:r>
        <w:r w:rsidRPr="00612E98">
          <w:rPr>
            <w:rFonts w:eastAsia="Times New Roman"/>
            <w:b/>
            <w:sz w:val="22"/>
            <w:szCs w:val="22"/>
          </w:rPr>
          <w:delText xml:space="preserve">Tabela </w:delText>
        </w:r>
        <w:r w:rsidR="00A22EC4">
          <w:rPr>
            <w:rFonts w:eastAsia="Times New Roman"/>
            <w:b/>
            <w:sz w:val="22"/>
            <w:szCs w:val="22"/>
          </w:rPr>
          <w:delText>1</w:delText>
        </w:r>
        <w:r w:rsidR="00B925B3">
          <w:rPr>
            <w:rFonts w:eastAsia="Times New Roman"/>
            <w:b/>
            <w:sz w:val="22"/>
            <w:szCs w:val="22"/>
          </w:rPr>
          <w:delText>8</w:delText>
        </w:r>
        <w:r w:rsidRPr="00612E98">
          <w:rPr>
            <w:rFonts w:eastAsia="Times New Roman"/>
            <w:b/>
            <w:sz w:val="22"/>
            <w:szCs w:val="22"/>
          </w:rPr>
          <w:tab/>
        </w:r>
      </w:del>
    </w:p>
    <w:p w14:paraId="507A1C31" w14:textId="5EDF6A8A" w:rsidR="004462A0" w:rsidRPr="00612E98" w:rsidRDefault="00615769">
      <w:pPr>
        <w:rPr>
          <w:del w:id="8676" w:author="AbbVie2" w:date="2025-05-13T16:39:00Z"/>
          <w:rFonts w:eastAsia="Times New Roman"/>
          <w:b/>
          <w:bCs/>
          <w:sz w:val="22"/>
          <w:szCs w:val="22"/>
        </w:rPr>
        <w:pPrChange w:id="8677" w:author="AbbVie2" w:date="2025-05-13T16:40:00Z">
          <w:pPr>
            <w:jc w:val="center"/>
          </w:pPr>
        </w:pPrChange>
      </w:pPr>
      <w:del w:id="8678" w:author="AbbVie2" w:date="2025-05-13T16:39:00Z">
        <w:r w:rsidRPr="008912CF">
          <w:rPr>
            <w:b/>
            <w:sz w:val="22"/>
            <w:szCs w:val="22"/>
          </w:rPr>
          <w:delText xml:space="preserve">Estudo </w:delText>
        </w:r>
        <w:r>
          <w:rPr>
            <w:b/>
            <w:sz w:val="22"/>
            <w:szCs w:val="22"/>
          </w:rPr>
          <w:delText>IV na Psoríase</w:delText>
        </w:r>
        <w:r w:rsidRPr="008912CF">
          <w:rPr>
            <w:b/>
            <w:sz w:val="22"/>
            <w:szCs w:val="22"/>
          </w:rPr>
          <w:delText xml:space="preserve"> Resultados de </w:delText>
        </w:r>
        <w:r>
          <w:rPr>
            <w:b/>
            <w:sz w:val="22"/>
            <w:szCs w:val="22"/>
          </w:rPr>
          <w:delText>E</w:delText>
        </w:r>
        <w:r w:rsidRPr="008912CF">
          <w:rPr>
            <w:b/>
            <w:sz w:val="22"/>
            <w:szCs w:val="22"/>
          </w:rPr>
          <w:delText xml:space="preserve">ficácia às </w:delText>
        </w:r>
        <w:r w:rsidR="008F2FAC">
          <w:rPr>
            <w:b/>
            <w:sz w:val="22"/>
            <w:szCs w:val="22"/>
          </w:rPr>
          <w:delText xml:space="preserve">Semanas </w:delText>
        </w:r>
        <w:r w:rsidRPr="008912CF">
          <w:rPr>
            <w:b/>
            <w:sz w:val="22"/>
            <w:szCs w:val="22"/>
          </w:rPr>
          <w:delText>1</w:delText>
        </w:r>
        <w:r>
          <w:rPr>
            <w:b/>
            <w:sz w:val="22"/>
            <w:szCs w:val="22"/>
          </w:rPr>
          <w:delText>6, 26 e 52</w:delText>
        </w:r>
      </w:del>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080"/>
        <w:gridCol w:w="1260"/>
        <w:gridCol w:w="990"/>
        <w:gridCol w:w="1260"/>
        <w:gridCol w:w="2014"/>
      </w:tblGrid>
      <w:tr w:rsidR="00A7162A" w14:paraId="2A96AA65" w14:textId="4C4EEDA9" w:rsidTr="00F675CF">
        <w:trPr>
          <w:del w:id="8679" w:author="AbbVie2" w:date="2025-05-13T16:39:00Z"/>
        </w:trPr>
        <w:tc>
          <w:tcPr>
            <w:tcW w:w="2718" w:type="dxa"/>
            <w:vMerge w:val="restart"/>
          </w:tcPr>
          <w:p w14:paraId="779874B7" w14:textId="796ED514" w:rsidR="004462A0" w:rsidRPr="00AD4F25" w:rsidRDefault="00615769" w:rsidP="00412FC8">
            <w:pPr>
              <w:rPr>
                <w:del w:id="8680" w:author="AbbVie2" w:date="2025-05-13T16:39:00Z"/>
                <w:rFonts w:eastAsia="Times New Roman"/>
                <w:sz w:val="22"/>
                <w:szCs w:val="22"/>
                <w:rPrChange w:id="8681" w:author="AbbVie2" w:date="2025-05-14T10:17:00Z">
                  <w:rPr>
                    <w:del w:id="8682" w:author="AbbVie2" w:date="2025-05-13T16:39:00Z"/>
                    <w:rFonts w:eastAsia="Times New Roman"/>
                    <w:sz w:val="22"/>
                    <w:szCs w:val="22"/>
                    <w:lang w:val="en-US"/>
                  </w:rPr>
                </w:rPrChange>
              </w:rPr>
            </w:pPr>
            <w:del w:id="8683" w:author="AbbVie2" w:date="2025-05-13T16:39:00Z">
              <w:r w:rsidRPr="00AD4F25">
                <w:rPr>
                  <w:rFonts w:eastAsia="Times New Roman"/>
                  <w:sz w:val="22"/>
                  <w:szCs w:val="22"/>
                  <w:rPrChange w:id="8684" w:author="AbbVie2" w:date="2025-05-14T10:17:00Z">
                    <w:rPr>
                      <w:rFonts w:eastAsia="Times New Roman"/>
                      <w:sz w:val="22"/>
                      <w:szCs w:val="22"/>
                      <w:lang w:val="en-US"/>
                    </w:rPr>
                  </w:rPrChange>
                </w:rPr>
                <w:delText>Objetivo</w:delText>
              </w:r>
            </w:del>
          </w:p>
        </w:tc>
        <w:tc>
          <w:tcPr>
            <w:tcW w:w="2340" w:type="dxa"/>
            <w:gridSpan w:val="2"/>
          </w:tcPr>
          <w:p w14:paraId="2EC2866B" w14:textId="0FDC35CA" w:rsidR="004462A0" w:rsidRPr="00AD4F25" w:rsidRDefault="00615769">
            <w:pPr>
              <w:rPr>
                <w:del w:id="8685" w:author="AbbVie2" w:date="2025-05-13T16:39:00Z"/>
                <w:rFonts w:eastAsia="Times New Roman"/>
                <w:sz w:val="22"/>
                <w:szCs w:val="22"/>
                <w:rPrChange w:id="8686" w:author="AbbVie2" w:date="2025-05-14T10:17:00Z">
                  <w:rPr>
                    <w:del w:id="8687" w:author="AbbVie2" w:date="2025-05-13T16:39:00Z"/>
                    <w:rFonts w:eastAsia="Times New Roman"/>
                    <w:sz w:val="22"/>
                    <w:szCs w:val="22"/>
                    <w:lang w:val="en-US"/>
                  </w:rPr>
                </w:rPrChange>
              </w:rPr>
              <w:pPrChange w:id="8688" w:author="AbbVie2" w:date="2025-05-13T16:40:00Z">
                <w:pPr>
                  <w:jc w:val="center"/>
                </w:pPr>
              </w:pPrChange>
            </w:pPr>
            <w:del w:id="8689" w:author="AbbVie2" w:date="2025-05-13T16:39:00Z">
              <w:r w:rsidRPr="00AD4F25">
                <w:rPr>
                  <w:rFonts w:eastAsia="Times New Roman"/>
                  <w:sz w:val="22"/>
                  <w:szCs w:val="22"/>
                  <w:rPrChange w:id="8690" w:author="AbbVie2" w:date="2025-05-14T10:17:00Z">
                    <w:rPr>
                      <w:rFonts w:eastAsia="Times New Roman"/>
                      <w:sz w:val="22"/>
                      <w:szCs w:val="22"/>
                      <w:lang w:val="en-US"/>
                    </w:rPr>
                  </w:rPrChange>
                </w:rPr>
                <w:delText>Semana 16</w:delText>
              </w:r>
            </w:del>
          </w:p>
          <w:p w14:paraId="77AB8D1C" w14:textId="6B58CD56" w:rsidR="004462A0" w:rsidRPr="00AD4F25" w:rsidRDefault="00615769">
            <w:pPr>
              <w:rPr>
                <w:del w:id="8691" w:author="AbbVie2" w:date="2025-05-13T16:39:00Z"/>
                <w:rFonts w:eastAsia="Times New Roman"/>
                <w:sz w:val="22"/>
                <w:szCs w:val="22"/>
                <w:rPrChange w:id="8692" w:author="AbbVie2" w:date="2025-05-14T10:17:00Z">
                  <w:rPr>
                    <w:del w:id="8693" w:author="AbbVie2" w:date="2025-05-13T16:39:00Z"/>
                    <w:rFonts w:eastAsia="Times New Roman"/>
                    <w:sz w:val="22"/>
                    <w:szCs w:val="22"/>
                    <w:lang w:val="en-US"/>
                  </w:rPr>
                </w:rPrChange>
              </w:rPr>
              <w:pPrChange w:id="8694" w:author="AbbVie2" w:date="2025-05-13T16:40:00Z">
                <w:pPr>
                  <w:jc w:val="center"/>
                </w:pPr>
              </w:pPrChange>
            </w:pPr>
            <w:del w:id="8695" w:author="AbbVie2" w:date="2025-05-13T16:39:00Z">
              <w:r w:rsidRPr="00AD4F25">
                <w:rPr>
                  <w:rFonts w:eastAsia="Times New Roman"/>
                  <w:sz w:val="22"/>
                  <w:szCs w:val="22"/>
                  <w:rPrChange w:id="8696" w:author="AbbVie2" w:date="2025-05-14T10:17:00Z">
                    <w:rPr>
                      <w:rFonts w:eastAsia="Times New Roman"/>
                      <w:sz w:val="22"/>
                      <w:szCs w:val="22"/>
                      <w:lang w:val="en-US"/>
                    </w:rPr>
                  </w:rPrChange>
                </w:rPr>
                <w:delText>Controlado por Placebo</w:delText>
              </w:r>
            </w:del>
          </w:p>
        </w:tc>
        <w:tc>
          <w:tcPr>
            <w:tcW w:w="2250" w:type="dxa"/>
            <w:gridSpan w:val="2"/>
          </w:tcPr>
          <w:p w14:paraId="0B516E00" w14:textId="3A36071D" w:rsidR="004462A0" w:rsidRPr="00AD4F25" w:rsidRDefault="00615769">
            <w:pPr>
              <w:rPr>
                <w:del w:id="8697" w:author="AbbVie2" w:date="2025-05-13T16:39:00Z"/>
                <w:rFonts w:eastAsia="Times New Roman"/>
                <w:sz w:val="22"/>
                <w:szCs w:val="22"/>
                <w:rPrChange w:id="8698" w:author="AbbVie2" w:date="2025-05-14T10:17:00Z">
                  <w:rPr>
                    <w:del w:id="8699" w:author="AbbVie2" w:date="2025-05-13T16:39:00Z"/>
                    <w:rFonts w:eastAsia="Times New Roman"/>
                    <w:sz w:val="22"/>
                    <w:szCs w:val="22"/>
                    <w:lang w:val="en-US"/>
                  </w:rPr>
                </w:rPrChange>
              </w:rPr>
              <w:pPrChange w:id="8700" w:author="AbbVie2" w:date="2025-05-13T16:40:00Z">
                <w:pPr>
                  <w:jc w:val="center"/>
                </w:pPr>
              </w:pPrChange>
            </w:pPr>
            <w:del w:id="8701" w:author="AbbVie2" w:date="2025-05-13T16:39:00Z">
              <w:r w:rsidRPr="00AD4F25">
                <w:rPr>
                  <w:rFonts w:eastAsia="Times New Roman"/>
                  <w:sz w:val="22"/>
                  <w:szCs w:val="22"/>
                  <w:rPrChange w:id="8702" w:author="AbbVie2" w:date="2025-05-14T10:17:00Z">
                    <w:rPr>
                      <w:rFonts w:eastAsia="Times New Roman"/>
                      <w:sz w:val="22"/>
                      <w:szCs w:val="22"/>
                      <w:lang w:val="en-US"/>
                    </w:rPr>
                  </w:rPrChange>
                </w:rPr>
                <w:delText>Semana 26</w:delText>
              </w:r>
            </w:del>
          </w:p>
          <w:p w14:paraId="4DF5AF2B" w14:textId="4CFE2D53" w:rsidR="004462A0" w:rsidRPr="00AD4F25" w:rsidRDefault="00615769">
            <w:pPr>
              <w:rPr>
                <w:del w:id="8703" w:author="AbbVie2" w:date="2025-05-13T16:39:00Z"/>
                <w:rFonts w:eastAsia="Times New Roman"/>
                <w:sz w:val="22"/>
                <w:szCs w:val="22"/>
                <w:rPrChange w:id="8704" w:author="AbbVie2" w:date="2025-05-14T10:17:00Z">
                  <w:rPr>
                    <w:del w:id="8705" w:author="AbbVie2" w:date="2025-05-13T16:39:00Z"/>
                    <w:rFonts w:eastAsia="Times New Roman"/>
                    <w:sz w:val="22"/>
                    <w:szCs w:val="22"/>
                    <w:lang w:val="en-US"/>
                  </w:rPr>
                </w:rPrChange>
              </w:rPr>
              <w:pPrChange w:id="8706" w:author="AbbVie2" w:date="2025-05-13T16:40:00Z">
                <w:pPr>
                  <w:jc w:val="center"/>
                </w:pPr>
              </w:pPrChange>
            </w:pPr>
            <w:del w:id="8707" w:author="AbbVie2" w:date="2025-05-13T16:39:00Z">
              <w:r w:rsidRPr="00AD4F25">
                <w:rPr>
                  <w:rFonts w:eastAsia="Times New Roman"/>
                  <w:sz w:val="22"/>
                  <w:szCs w:val="22"/>
                  <w:rPrChange w:id="8708" w:author="AbbVie2" w:date="2025-05-14T10:17:00Z">
                    <w:rPr>
                      <w:rFonts w:eastAsia="Times New Roman"/>
                      <w:sz w:val="22"/>
                      <w:szCs w:val="22"/>
                      <w:lang w:val="en-US"/>
                    </w:rPr>
                  </w:rPrChange>
                </w:rPr>
                <w:delText>Controlado por Placebo</w:delText>
              </w:r>
            </w:del>
          </w:p>
        </w:tc>
        <w:tc>
          <w:tcPr>
            <w:tcW w:w="2014" w:type="dxa"/>
          </w:tcPr>
          <w:p w14:paraId="654DF529" w14:textId="4B24E70E" w:rsidR="004462A0" w:rsidRPr="00AD4F25" w:rsidRDefault="00615769">
            <w:pPr>
              <w:rPr>
                <w:del w:id="8709" w:author="AbbVie2" w:date="2025-05-13T16:39:00Z"/>
                <w:rFonts w:eastAsia="Times New Roman"/>
                <w:sz w:val="22"/>
                <w:szCs w:val="22"/>
                <w:rPrChange w:id="8710" w:author="AbbVie2" w:date="2025-05-14T10:17:00Z">
                  <w:rPr>
                    <w:del w:id="8711" w:author="AbbVie2" w:date="2025-05-13T16:39:00Z"/>
                    <w:rFonts w:eastAsia="Times New Roman"/>
                    <w:sz w:val="22"/>
                    <w:szCs w:val="22"/>
                    <w:lang w:val="en-US"/>
                  </w:rPr>
                </w:rPrChange>
              </w:rPr>
              <w:pPrChange w:id="8712" w:author="AbbVie2" w:date="2025-05-13T16:40:00Z">
                <w:pPr>
                  <w:jc w:val="center"/>
                </w:pPr>
              </w:pPrChange>
            </w:pPr>
            <w:del w:id="8713" w:author="AbbVie2" w:date="2025-05-13T16:39:00Z">
              <w:r w:rsidRPr="00AD4F25">
                <w:rPr>
                  <w:rFonts w:eastAsia="Times New Roman"/>
                  <w:sz w:val="22"/>
                  <w:szCs w:val="22"/>
                  <w:rPrChange w:id="8714" w:author="AbbVie2" w:date="2025-05-14T10:17:00Z">
                    <w:rPr>
                      <w:rFonts w:eastAsia="Times New Roman"/>
                      <w:sz w:val="22"/>
                      <w:szCs w:val="22"/>
                      <w:lang w:val="en-US"/>
                    </w:rPr>
                  </w:rPrChange>
                </w:rPr>
                <w:delText>Semana 52</w:delText>
              </w:r>
            </w:del>
          </w:p>
          <w:p w14:paraId="7AC31F5A" w14:textId="4002F3C7" w:rsidR="004462A0" w:rsidRPr="00AD4F25" w:rsidRDefault="00615769">
            <w:pPr>
              <w:rPr>
                <w:del w:id="8715" w:author="AbbVie2" w:date="2025-05-13T16:39:00Z"/>
                <w:rFonts w:eastAsia="Times New Roman"/>
                <w:sz w:val="22"/>
                <w:szCs w:val="22"/>
                <w:rPrChange w:id="8716" w:author="AbbVie2" w:date="2025-05-14T10:17:00Z">
                  <w:rPr>
                    <w:del w:id="8717" w:author="AbbVie2" w:date="2025-05-13T16:39:00Z"/>
                    <w:rFonts w:eastAsia="Times New Roman"/>
                    <w:sz w:val="22"/>
                    <w:szCs w:val="22"/>
                    <w:lang w:val="en-US"/>
                  </w:rPr>
                </w:rPrChange>
              </w:rPr>
              <w:pPrChange w:id="8718" w:author="AbbVie2" w:date="2025-05-13T16:40:00Z">
                <w:pPr>
                  <w:jc w:val="center"/>
                </w:pPr>
              </w:pPrChange>
            </w:pPr>
            <w:del w:id="8719" w:author="AbbVie2" w:date="2025-05-13T16:39:00Z">
              <w:r w:rsidRPr="00AD4F25">
                <w:rPr>
                  <w:rFonts w:eastAsia="Times New Roman"/>
                  <w:sz w:val="22"/>
                  <w:szCs w:val="22"/>
                  <w:rPrChange w:id="8720" w:author="AbbVie2" w:date="2025-05-14T10:17:00Z">
                    <w:rPr>
                      <w:rFonts w:eastAsia="Times New Roman"/>
                      <w:sz w:val="22"/>
                      <w:szCs w:val="22"/>
                      <w:lang w:val="en-US"/>
                    </w:rPr>
                  </w:rPrChange>
                </w:rPr>
                <w:delText>Fase aberta</w:delText>
              </w:r>
            </w:del>
          </w:p>
        </w:tc>
      </w:tr>
      <w:tr w:rsidR="00A7162A" w14:paraId="6ABDE341" w14:textId="15B8718E" w:rsidTr="00F675CF">
        <w:trPr>
          <w:del w:id="8721" w:author="AbbVie2" w:date="2025-05-13T16:39:00Z"/>
        </w:trPr>
        <w:tc>
          <w:tcPr>
            <w:tcW w:w="2718" w:type="dxa"/>
            <w:vMerge/>
          </w:tcPr>
          <w:p w14:paraId="7113B157" w14:textId="0B005A78" w:rsidR="004462A0" w:rsidRPr="00AD4F25" w:rsidRDefault="004462A0" w:rsidP="00412FC8">
            <w:pPr>
              <w:rPr>
                <w:del w:id="8722" w:author="AbbVie2" w:date="2025-05-13T16:39:00Z"/>
                <w:rFonts w:eastAsia="Times New Roman"/>
                <w:sz w:val="22"/>
                <w:szCs w:val="22"/>
                <w:rPrChange w:id="8723" w:author="AbbVie2" w:date="2025-05-14T10:17:00Z">
                  <w:rPr>
                    <w:del w:id="8724" w:author="AbbVie2" w:date="2025-05-13T16:39:00Z"/>
                    <w:rFonts w:eastAsia="Times New Roman"/>
                    <w:sz w:val="22"/>
                    <w:szCs w:val="22"/>
                    <w:lang w:val="en-US"/>
                  </w:rPr>
                </w:rPrChange>
              </w:rPr>
            </w:pPr>
          </w:p>
        </w:tc>
        <w:tc>
          <w:tcPr>
            <w:tcW w:w="1080" w:type="dxa"/>
          </w:tcPr>
          <w:p w14:paraId="1B874FD8" w14:textId="0DEDAC77" w:rsidR="004462A0" w:rsidRPr="00AD4F25" w:rsidRDefault="00615769">
            <w:pPr>
              <w:rPr>
                <w:del w:id="8725" w:author="AbbVie2" w:date="2025-05-13T16:39:00Z"/>
                <w:rFonts w:eastAsia="Times New Roman"/>
                <w:sz w:val="22"/>
                <w:szCs w:val="22"/>
                <w:rPrChange w:id="8726" w:author="AbbVie2" w:date="2025-05-14T10:17:00Z">
                  <w:rPr>
                    <w:del w:id="8727" w:author="AbbVie2" w:date="2025-05-13T16:39:00Z"/>
                    <w:rFonts w:eastAsia="Times New Roman"/>
                    <w:sz w:val="22"/>
                    <w:szCs w:val="22"/>
                    <w:lang w:val="en-US"/>
                  </w:rPr>
                </w:rPrChange>
              </w:rPr>
              <w:pPrChange w:id="8728" w:author="AbbVie2" w:date="2025-05-13T16:40:00Z">
                <w:pPr>
                  <w:jc w:val="center"/>
                </w:pPr>
              </w:pPrChange>
            </w:pPr>
            <w:del w:id="8729" w:author="AbbVie2" w:date="2025-05-13T16:39:00Z">
              <w:r w:rsidRPr="00AD4F25">
                <w:rPr>
                  <w:rFonts w:eastAsia="Times New Roman"/>
                  <w:sz w:val="22"/>
                  <w:szCs w:val="2"/>
                  <w:rPrChange w:id="8730" w:author="AbbVie2" w:date="2025-05-14T10:17:00Z">
                    <w:rPr>
                      <w:rFonts w:eastAsia="Times New Roman"/>
                      <w:sz w:val="22"/>
                      <w:szCs w:val="2"/>
                      <w:lang w:val="en-US"/>
                    </w:rPr>
                  </w:rPrChange>
                </w:rPr>
                <w:delText>Placebo</w:delText>
              </w:r>
              <w:r w:rsidRPr="00AD4F25">
                <w:rPr>
                  <w:rFonts w:eastAsia="Times New Roman"/>
                  <w:sz w:val="22"/>
                  <w:szCs w:val="2"/>
                  <w:rPrChange w:id="8731" w:author="AbbVie2" w:date="2025-05-14T10:17:00Z">
                    <w:rPr>
                      <w:rFonts w:eastAsia="Times New Roman"/>
                      <w:sz w:val="22"/>
                      <w:szCs w:val="2"/>
                      <w:lang w:val="en-US"/>
                    </w:rPr>
                  </w:rPrChange>
                </w:rPr>
                <w:br/>
                <w:delText>N=108</w:delText>
              </w:r>
            </w:del>
          </w:p>
        </w:tc>
        <w:tc>
          <w:tcPr>
            <w:tcW w:w="1260" w:type="dxa"/>
          </w:tcPr>
          <w:p w14:paraId="310EC10D" w14:textId="3AF2EF50" w:rsidR="004462A0" w:rsidRPr="00B427DD" w:rsidRDefault="00615769">
            <w:pPr>
              <w:rPr>
                <w:del w:id="8732" w:author="AbbVie2" w:date="2025-05-13T16:39:00Z"/>
                <w:rFonts w:eastAsia="Times New Roman"/>
                <w:sz w:val="22"/>
              </w:rPr>
              <w:pPrChange w:id="8733" w:author="AbbVie2" w:date="2025-05-13T16:40:00Z">
                <w:pPr>
                  <w:suppressAutoHyphens/>
                  <w:overflowPunct w:val="0"/>
                  <w:autoSpaceDE w:val="0"/>
                  <w:autoSpaceDN w:val="0"/>
                  <w:adjustRightInd w:val="0"/>
                  <w:jc w:val="center"/>
                  <w:textAlignment w:val="baseline"/>
                </w:pPr>
              </w:pPrChange>
            </w:pPr>
            <w:del w:id="8734" w:author="AbbVie2" w:date="2025-05-13T16:39:00Z">
              <w:r w:rsidRPr="00B427DD">
                <w:rPr>
                  <w:rFonts w:eastAsia="Times New Roman"/>
                  <w:sz w:val="22"/>
                </w:rPr>
                <w:delText>Humira</w:delText>
              </w:r>
            </w:del>
          </w:p>
          <w:p w14:paraId="1E10D050" w14:textId="14FC2DAF" w:rsidR="004462A0" w:rsidRPr="00B427DD" w:rsidRDefault="00615769">
            <w:pPr>
              <w:rPr>
                <w:del w:id="8735" w:author="AbbVie2" w:date="2025-05-13T16:39:00Z"/>
                <w:rFonts w:eastAsia="Times New Roman"/>
                <w:sz w:val="22"/>
                <w:szCs w:val="22"/>
              </w:rPr>
              <w:pPrChange w:id="8736" w:author="AbbVie2" w:date="2025-05-13T16:40:00Z">
                <w:pPr>
                  <w:jc w:val="center"/>
                </w:pPr>
              </w:pPrChange>
            </w:pPr>
            <w:del w:id="8737" w:author="AbbVie2" w:date="2025-05-13T16:39:00Z">
              <w:r w:rsidRPr="00B427DD">
                <w:rPr>
                  <w:rFonts w:eastAsia="Times New Roman"/>
                  <w:sz w:val="22"/>
                  <w:szCs w:val="2"/>
                </w:rPr>
                <w:delText>40 mg em semanas alternadas N=109</w:delText>
              </w:r>
            </w:del>
          </w:p>
        </w:tc>
        <w:tc>
          <w:tcPr>
            <w:tcW w:w="990" w:type="dxa"/>
          </w:tcPr>
          <w:p w14:paraId="06145692" w14:textId="789C3DC6" w:rsidR="004462A0" w:rsidRPr="00AD4F25" w:rsidRDefault="00615769">
            <w:pPr>
              <w:rPr>
                <w:del w:id="8738" w:author="AbbVie2" w:date="2025-05-13T16:39:00Z"/>
                <w:rFonts w:eastAsia="Times New Roman"/>
                <w:sz w:val="22"/>
                <w:szCs w:val="22"/>
                <w:rPrChange w:id="8739" w:author="AbbVie2" w:date="2025-05-14T10:17:00Z">
                  <w:rPr>
                    <w:del w:id="8740" w:author="AbbVie2" w:date="2025-05-13T16:39:00Z"/>
                    <w:rFonts w:eastAsia="Times New Roman"/>
                    <w:sz w:val="22"/>
                    <w:szCs w:val="22"/>
                    <w:lang w:val="en-US"/>
                  </w:rPr>
                </w:rPrChange>
              </w:rPr>
              <w:pPrChange w:id="8741" w:author="AbbVie2" w:date="2025-05-13T16:40:00Z">
                <w:pPr>
                  <w:jc w:val="center"/>
                </w:pPr>
              </w:pPrChange>
            </w:pPr>
            <w:del w:id="8742" w:author="AbbVie2" w:date="2025-05-13T16:39:00Z">
              <w:r w:rsidRPr="00AD4F25">
                <w:rPr>
                  <w:rFonts w:eastAsia="Times New Roman"/>
                  <w:sz w:val="22"/>
                  <w:szCs w:val="2"/>
                  <w:rPrChange w:id="8743" w:author="AbbVie2" w:date="2025-05-14T10:17:00Z">
                    <w:rPr>
                      <w:rFonts w:eastAsia="Times New Roman"/>
                      <w:sz w:val="22"/>
                      <w:szCs w:val="2"/>
                      <w:lang w:val="en-US"/>
                    </w:rPr>
                  </w:rPrChange>
                </w:rPr>
                <w:delText>Placebo</w:delText>
              </w:r>
              <w:r w:rsidRPr="00AD4F25">
                <w:rPr>
                  <w:rFonts w:eastAsia="Times New Roman"/>
                  <w:sz w:val="22"/>
                  <w:szCs w:val="2"/>
                  <w:rPrChange w:id="8744" w:author="AbbVie2" w:date="2025-05-14T10:17:00Z">
                    <w:rPr>
                      <w:rFonts w:eastAsia="Times New Roman"/>
                      <w:sz w:val="22"/>
                      <w:szCs w:val="2"/>
                      <w:lang w:val="en-US"/>
                    </w:rPr>
                  </w:rPrChange>
                </w:rPr>
                <w:br/>
                <w:delText>N=108</w:delText>
              </w:r>
            </w:del>
          </w:p>
        </w:tc>
        <w:tc>
          <w:tcPr>
            <w:tcW w:w="1260" w:type="dxa"/>
          </w:tcPr>
          <w:p w14:paraId="5549D9C8" w14:textId="5A993016" w:rsidR="004462A0" w:rsidRPr="00B427DD" w:rsidRDefault="00615769">
            <w:pPr>
              <w:rPr>
                <w:del w:id="8745" w:author="AbbVie2" w:date="2025-05-13T16:39:00Z"/>
                <w:rFonts w:eastAsia="Times New Roman"/>
                <w:sz w:val="22"/>
              </w:rPr>
              <w:pPrChange w:id="8746" w:author="AbbVie2" w:date="2025-05-13T16:40:00Z">
                <w:pPr>
                  <w:suppressAutoHyphens/>
                  <w:overflowPunct w:val="0"/>
                  <w:autoSpaceDE w:val="0"/>
                  <w:autoSpaceDN w:val="0"/>
                  <w:adjustRightInd w:val="0"/>
                  <w:jc w:val="center"/>
                  <w:textAlignment w:val="baseline"/>
                </w:pPr>
              </w:pPrChange>
            </w:pPr>
            <w:del w:id="8747" w:author="AbbVie2" w:date="2025-05-13T16:39:00Z">
              <w:r w:rsidRPr="00B427DD">
                <w:rPr>
                  <w:rFonts w:eastAsia="Times New Roman"/>
                  <w:sz w:val="22"/>
                </w:rPr>
                <w:delText>Humira</w:delText>
              </w:r>
            </w:del>
          </w:p>
          <w:p w14:paraId="0D34B715" w14:textId="5FA0C529" w:rsidR="004462A0" w:rsidRPr="00B427DD" w:rsidRDefault="00615769">
            <w:pPr>
              <w:rPr>
                <w:del w:id="8748" w:author="AbbVie2" w:date="2025-05-13T16:39:00Z"/>
                <w:rFonts w:eastAsia="Times New Roman"/>
                <w:sz w:val="22"/>
                <w:szCs w:val="22"/>
              </w:rPr>
              <w:pPrChange w:id="8749" w:author="AbbVie2" w:date="2025-05-13T16:40:00Z">
                <w:pPr>
                  <w:jc w:val="center"/>
                </w:pPr>
              </w:pPrChange>
            </w:pPr>
            <w:del w:id="8750" w:author="AbbVie2" w:date="2025-05-13T16:39:00Z">
              <w:r w:rsidRPr="00B427DD">
                <w:rPr>
                  <w:rFonts w:eastAsia="Times New Roman"/>
                  <w:sz w:val="22"/>
                  <w:szCs w:val="2"/>
                </w:rPr>
                <w:delText xml:space="preserve">40 mg em semanas alternadas  </w:delText>
              </w:r>
              <w:r w:rsidRPr="00B427DD">
                <w:rPr>
                  <w:rFonts w:eastAsia="Times New Roman"/>
                  <w:sz w:val="22"/>
                  <w:szCs w:val="2"/>
                </w:rPr>
                <w:br/>
                <w:delText>N=109</w:delText>
              </w:r>
            </w:del>
          </w:p>
        </w:tc>
        <w:tc>
          <w:tcPr>
            <w:tcW w:w="2014" w:type="dxa"/>
          </w:tcPr>
          <w:p w14:paraId="3A6069E9" w14:textId="0996559D" w:rsidR="004462A0" w:rsidRPr="00B427DD" w:rsidRDefault="00615769">
            <w:pPr>
              <w:rPr>
                <w:del w:id="8751" w:author="AbbVie2" w:date="2025-05-13T16:39:00Z"/>
                <w:rFonts w:eastAsia="Times New Roman"/>
                <w:sz w:val="22"/>
              </w:rPr>
              <w:pPrChange w:id="8752" w:author="AbbVie2" w:date="2025-05-13T16:40:00Z">
                <w:pPr>
                  <w:suppressAutoHyphens/>
                  <w:overflowPunct w:val="0"/>
                  <w:autoSpaceDE w:val="0"/>
                  <w:autoSpaceDN w:val="0"/>
                  <w:adjustRightInd w:val="0"/>
                  <w:jc w:val="center"/>
                  <w:textAlignment w:val="baseline"/>
                </w:pPr>
              </w:pPrChange>
            </w:pPr>
            <w:del w:id="8753" w:author="AbbVie2" w:date="2025-05-13T16:39:00Z">
              <w:r w:rsidRPr="00B427DD">
                <w:rPr>
                  <w:rFonts w:eastAsia="Times New Roman"/>
                  <w:sz w:val="22"/>
                </w:rPr>
                <w:delText>Humira</w:delText>
              </w:r>
            </w:del>
          </w:p>
          <w:p w14:paraId="1FCBDBD9" w14:textId="44DAB758" w:rsidR="004462A0" w:rsidRPr="00B427DD" w:rsidRDefault="00615769">
            <w:pPr>
              <w:rPr>
                <w:del w:id="8754" w:author="AbbVie2" w:date="2025-05-13T16:39:00Z"/>
                <w:rFonts w:eastAsia="Times New Roman"/>
                <w:sz w:val="22"/>
                <w:szCs w:val="22"/>
              </w:rPr>
              <w:pPrChange w:id="8755" w:author="AbbVie2" w:date="2025-05-13T16:40:00Z">
                <w:pPr>
                  <w:jc w:val="center"/>
                </w:pPr>
              </w:pPrChange>
            </w:pPr>
            <w:del w:id="8756" w:author="AbbVie2" w:date="2025-05-13T16:39:00Z">
              <w:r w:rsidRPr="00B427DD">
                <w:rPr>
                  <w:rFonts w:eastAsia="Times New Roman"/>
                  <w:sz w:val="22"/>
                  <w:szCs w:val="2"/>
                </w:rPr>
                <w:delText xml:space="preserve">40 mg em semanas alternadas </w:delText>
              </w:r>
              <w:r w:rsidRPr="00B427DD">
                <w:rPr>
                  <w:rFonts w:eastAsia="Times New Roman"/>
                  <w:sz w:val="22"/>
                  <w:szCs w:val="2"/>
                </w:rPr>
                <w:br/>
                <w:delText>N=80</w:delText>
              </w:r>
            </w:del>
          </w:p>
        </w:tc>
      </w:tr>
      <w:tr w:rsidR="00A7162A" w14:paraId="5859DC34" w14:textId="787BF89D" w:rsidTr="00F675CF">
        <w:trPr>
          <w:del w:id="8757" w:author="AbbVie2" w:date="2025-05-13T16:39:00Z"/>
        </w:trPr>
        <w:tc>
          <w:tcPr>
            <w:tcW w:w="2718" w:type="dxa"/>
          </w:tcPr>
          <w:p w14:paraId="11C42323" w14:textId="0A825881" w:rsidR="004462A0" w:rsidRPr="00AD4F25" w:rsidRDefault="00615769" w:rsidP="00412FC8">
            <w:pPr>
              <w:rPr>
                <w:del w:id="8758" w:author="AbbVie2" w:date="2025-05-13T16:39:00Z"/>
                <w:rFonts w:eastAsia="Times New Roman"/>
                <w:sz w:val="22"/>
                <w:szCs w:val="22"/>
                <w:rPrChange w:id="8759" w:author="AbbVie2" w:date="2025-05-14T10:17:00Z">
                  <w:rPr>
                    <w:del w:id="8760" w:author="AbbVie2" w:date="2025-05-13T16:39:00Z"/>
                    <w:rFonts w:eastAsia="Times New Roman"/>
                    <w:sz w:val="22"/>
                    <w:szCs w:val="22"/>
                    <w:lang w:val="en-US"/>
                  </w:rPr>
                </w:rPrChange>
              </w:rPr>
            </w:pPr>
            <w:del w:id="8761" w:author="AbbVie2" w:date="2025-05-13T16:39:00Z">
              <w:r w:rsidRPr="00AD4F25">
                <w:rPr>
                  <w:rFonts w:eastAsia="Times New Roman"/>
                  <w:sz w:val="22"/>
                  <w:szCs w:val="2"/>
                  <w:rPrChange w:id="8762" w:author="AbbVie2" w:date="2025-05-14T10:17:00Z">
                    <w:rPr>
                      <w:rFonts w:eastAsia="Times New Roman"/>
                      <w:sz w:val="22"/>
                      <w:szCs w:val="2"/>
                      <w:lang w:val="en-US"/>
                    </w:rPr>
                  </w:rPrChange>
                </w:rPr>
                <w:delText>≥ mNAPSI 75 (%)</w:delText>
              </w:r>
            </w:del>
          </w:p>
        </w:tc>
        <w:tc>
          <w:tcPr>
            <w:tcW w:w="1080" w:type="dxa"/>
          </w:tcPr>
          <w:p w14:paraId="2C84A61F" w14:textId="1A7648C4" w:rsidR="004462A0" w:rsidRPr="00AD4F25" w:rsidRDefault="00615769">
            <w:pPr>
              <w:rPr>
                <w:del w:id="8763" w:author="AbbVie2" w:date="2025-05-13T16:39:00Z"/>
                <w:rFonts w:eastAsia="Times New Roman"/>
                <w:sz w:val="22"/>
                <w:szCs w:val="22"/>
                <w:rPrChange w:id="8764" w:author="AbbVie2" w:date="2025-05-14T10:17:00Z">
                  <w:rPr>
                    <w:del w:id="8765" w:author="AbbVie2" w:date="2025-05-13T16:39:00Z"/>
                    <w:rFonts w:eastAsia="Times New Roman"/>
                    <w:sz w:val="22"/>
                    <w:szCs w:val="22"/>
                    <w:lang w:val="en-US"/>
                  </w:rPr>
                </w:rPrChange>
              </w:rPr>
              <w:pPrChange w:id="8766" w:author="AbbVie2" w:date="2025-05-13T16:40:00Z">
                <w:pPr>
                  <w:jc w:val="center"/>
                </w:pPr>
              </w:pPrChange>
            </w:pPr>
            <w:del w:id="8767" w:author="AbbVie2" w:date="2025-05-13T16:39:00Z">
              <w:r w:rsidRPr="00AD4F25">
                <w:rPr>
                  <w:rFonts w:eastAsia="Times New Roman"/>
                  <w:sz w:val="22"/>
                  <w:szCs w:val="22"/>
                  <w:rPrChange w:id="8768" w:author="AbbVie2" w:date="2025-05-14T10:17:00Z">
                    <w:rPr>
                      <w:rFonts w:eastAsia="Times New Roman"/>
                      <w:sz w:val="22"/>
                      <w:szCs w:val="22"/>
                      <w:lang w:val="en-US"/>
                    </w:rPr>
                  </w:rPrChange>
                </w:rPr>
                <w:delText>2,9</w:delText>
              </w:r>
            </w:del>
          </w:p>
        </w:tc>
        <w:tc>
          <w:tcPr>
            <w:tcW w:w="1260" w:type="dxa"/>
          </w:tcPr>
          <w:p w14:paraId="77E5B3C6" w14:textId="64338FBB" w:rsidR="004462A0" w:rsidRPr="00AD4F25" w:rsidRDefault="00615769">
            <w:pPr>
              <w:rPr>
                <w:del w:id="8769" w:author="AbbVie2" w:date="2025-05-13T16:39:00Z"/>
                <w:rFonts w:eastAsia="Times New Roman"/>
                <w:sz w:val="22"/>
                <w:szCs w:val="22"/>
                <w:rPrChange w:id="8770" w:author="AbbVie2" w:date="2025-05-14T10:17:00Z">
                  <w:rPr>
                    <w:del w:id="8771" w:author="AbbVie2" w:date="2025-05-13T16:39:00Z"/>
                    <w:rFonts w:eastAsia="Times New Roman"/>
                    <w:sz w:val="22"/>
                    <w:szCs w:val="22"/>
                    <w:lang w:val="en-US"/>
                  </w:rPr>
                </w:rPrChange>
              </w:rPr>
              <w:pPrChange w:id="8772" w:author="AbbVie2" w:date="2025-05-13T16:40:00Z">
                <w:pPr>
                  <w:jc w:val="center"/>
                </w:pPr>
              </w:pPrChange>
            </w:pPr>
            <w:del w:id="8773" w:author="AbbVie2" w:date="2025-05-13T16:39:00Z">
              <w:r w:rsidRPr="00AD4F25">
                <w:rPr>
                  <w:rFonts w:eastAsia="Times New Roman"/>
                  <w:sz w:val="22"/>
                  <w:szCs w:val="22"/>
                  <w:rPrChange w:id="8774" w:author="AbbVie2" w:date="2025-05-14T10:17:00Z">
                    <w:rPr>
                      <w:rFonts w:eastAsia="Times New Roman"/>
                      <w:sz w:val="22"/>
                      <w:szCs w:val="22"/>
                      <w:lang w:val="en-US"/>
                    </w:rPr>
                  </w:rPrChange>
                </w:rPr>
                <w:delText>26,0</w:delText>
              </w:r>
              <w:r w:rsidRPr="00AD4F25">
                <w:rPr>
                  <w:rFonts w:eastAsia="Times New Roman"/>
                  <w:sz w:val="22"/>
                  <w:szCs w:val="22"/>
                  <w:vertAlign w:val="superscript"/>
                  <w:rPrChange w:id="8775" w:author="AbbVie2" w:date="2025-05-14T10:17:00Z">
                    <w:rPr>
                      <w:rFonts w:eastAsia="Times New Roman"/>
                      <w:sz w:val="22"/>
                      <w:szCs w:val="22"/>
                      <w:vertAlign w:val="superscript"/>
                      <w:lang w:val="en-US"/>
                    </w:rPr>
                  </w:rPrChange>
                </w:rPr>
                <w:delText>a</w:delText>
              </w:r>
            </w:del>
          </w:p>
        </w:tc>
        <w:tc>
          <w:tcPr>
            <w:tcW w:w="990" w:type="dxa"/>
          </w:tcPr>
          <w:p w14:paraId="422E9BD4" w14:textId="4AAB7EF1" w:rsidR="004462A0" w:rsidRPr="00AD4F25" w:rsidRDefault="00615769">
            <w:pPr>
              <w:rPr>
                <w:del w:id="8776" w:author="AbbVie2" w:date="2025-05-13T16:39:00Z"/>
                <w:rFonts w:eastAsia="Times New Roman"/>
                <w:sz w:val="22"/>
                <w:szCs w:val="22"/>
                <w:rPrChange w:id="8777" w:author="AbbVie2" w:date="2025-05-14T10:17:00Z">
                  <w:rPr>
                    <w:del w:id="8778" w:author="AbbVie2" w:date="2025-05-13T16:39:00Z"/>
                    <w:rFonts w:eastAsia="Times New Roman"/>
                    <w:sz w:val="22"/>
                    <w:szCs w:val="22"/>
                    <w:lang w:val="en-US"/>
                  </w:rPr>
                </w:rPrChange>
              </w:rPr>
              <w:pPrChange w:id="8779" w:author="AbbVie2" w:date="2025-05-13T16:40:00Z">
                <w:pPr>
                  <w:keepNext/>
                  <w:tabs>
                    <w:tab w:val="left" w:pos="562"/>
                  </w:tabs>
                  <w:suppressAutoHyphens/>
                  <w:jc w:val="center"/>
                </w:pPr>
              </w:pPrChange>
            </w:pPr>
            <w:del w:id="8780" w:author="AbbVie2" w:date="2025-05-13T16:39:00Z">
              <w:r w:rsidRPr="00AD4F25">
                <w:rPr>
                  <w:rFonts w:eastAsia="Times New Roman"/>
                  <w:sz w:val="22"/>
                  <w:szCs w:val="22"/>
                  <w:rPrChange w:id="8781" w:author="AbbVie2" w:date="2025-05-14T10:17:00Z">
                    <w:rPr>
                      <w:rFonts w:eastAsia="Times New Roman"/>
                      <w:sz w:val="22"/>
                      <w:szCs w:val="22"/>
                      <w:lang w:val="en-US"/>
                    </w:rPr>
                  </w:rPrChange>
                </w:rPr>
                <w:delText>3,4</w:delText>
              </w:r>
            </w:del>
          </w:p>
        </w:tc>
        <w:tc>
          <w:tcPr>
            <w:tcW w:w="1260" w:type="dxa"/>
          </w:tcPr>
          <w:p w14:paraId="111CF93F" w14:textId="4645ADE0" w:rsidR="004462A0" w:rsidRPr="00AD4F25" w:rsidRDefault="00615769">
            <w:pPr>
              <w:rPr>
                <w:del w:id="8782" w:author="AbbVie2" w:date="2025-05-13T16:39:00Z"/>
                <w:rFonts w:eastAsia="Times New Roman"/>
                <w:sz w:val="22"/>
                <w:szCs w:val="22"/>
                <w:rPrChange w:id="8783" w:author="AbbVie2" w:date="2025-05-14T10:17:00Z">
                  <w:rPr>
                    <w:del w:id="8784" w:author="AbbVie2" w:date="2025-05-13T16:39:00Z"/>
                    <w:rFonts w:eastAsia="Times New Roman"/>
                    <w:sz w:val="22"/>
                    <w:szCs w:val="22"/>
                    <w:lang w:val="en-US"/>
                  </w:rPr>
                </w:rPrChange>
              </w:rPr>
              <w:pPrChange w:id="8785" w:author="AbbVie2" w:date="2025-05-13T16:40:00Z">
                <w:pPr>
                  <w:keepNext/>
                  <w:tabs>
                    <w:tab w:val="left" w:pos="562"/>
                  </w:tabs>
                  <w:suppressAutoHyphens/>
                  <w:jc w:val="center"/>
                </w:pPr>
              </w:pPrChange>
            </w:pPr>
            <w:del w:id="8786" w:author="AbbVie2" w:date="2025-05-13T16:39:00Z">
              <w:r w:rsidRPr="00AD4F25">
                <w:rPr>
                  <w:rFonts w:eastAsia="Times New Roman"/>
                  <w:sz w:val="22"/>
                  <w:szCs w:val="22"/>
                  <w:rPrChange w:id="8787" w:author="AbbVie2" w:date="2025-05-14T10:17:00Z">
                    <w:rPr>
                      <w:rFonts w:eastAsia="Times New Roman"/>
                      <w:sz w:val="22"/>
                      <w:szCs w:val="22"/>
                      <w:lang w:val="en-US"/>
                    </w:rPr>
                  </w:rPrChange>
                </w:rPr>
                <w:delText>46,6</w:delText>
              </w:r>
              <w:r w:rsidRPr="00AD4F25">
                <w:rPr>
                  <w:rFonts w:eastAsia="Times New Roman"/>
                  <w:sz w:val="22"/>
                  <w:szCs w:val="22"/>
                  <w:vertAlign w:val="superscript"/>
                  <w:rPrChange w:id="8788" w:author="AbbVie2" w:date="2025-05-14T10:17:00Z">
                    <w:rPr>
                      <w:rFonts w:eastAsia="Times New Roman"/>
                      <w:sz w:val="22"/>
                      <w:szCs w:val="22"/>
                      <w:vertAlign w:val="superscript"/>
                      <w:lang w:val="en-US"/>
                    </w:rPr>
                  </w:rPrChange>
                </w:rPr>
                <w:delText>a</w:delText>
              </w:r>
            </w:del>
          </w:p>
        </w:tc>
        <w:tc>
          <w:tcPr>
            <w:tcW w:w="2014" w:type="dxa"/>
          </w:tcPr>
          <w:p w14:paraId="1F92A893" w14:textId="2CCE1157" w:rsidR="004462A0" w:rsidRPr="00AD4F25" w:rsidRDefault="00615769">
            <w:pPr>
              <w:rPr>
                <w:del w:id="8789" w:author="AbbVie2" w:date="2025-05-13T16:39:00Z"/>
                <w:rFonts w:eastAsia="Times New Roman"/>
                <w:sz w:val="22"/>
                <w:szCs w:val="22"/>
                <w:rPrChange w:id="8790" w:author="AbbVie2" w:date="2025-05-14T10:17:00Z">
                  <w:rPr>
                    <w:del w:id="8791" w:author="AbbVie2" w:date="2025-05-13T16:39:00Z"/>
                    <w:rFonts w:eastAsia="Times New Roman"/>
                    <w:sz w:val="22"/>
                    <w:szCs w:val="22"/>
                    <w:lang w:val="en-US"/>
                  </w:rPr>
                </w:rPrChange>
              </w:rPr>
              <w:pPrChange w:id="8792" w:author="AbbVie2" w:date="2025-05-13T16:40:00Z">
                <w:pPr>
                  <w:jc w:val="center"/>
                </w:pPr>
              </w:pPrChange>
            </w:pPr>
            <w:del w:id="8793" w:author="AbbVie2" w:date="2025-05-13T16:39:00Z">
              <w:r w:rsidRPr="00AD4F25">
                <w:rPr>
                  <w:rFonts w:eastAsia="Times New Roman"/>
                  <w:sz w:val="22"/>
                  <w:szCs w:val="22"/>
                  <w:rPrChange w:id="8794" w:author="AbbVie2" w:date="2025-05-14T10:17:00Z">
                    <w:rPr>
                      <w:rFonts w:eastAsia="Times New Roman"/>
                      <w:sz w:val="22"/>
                      <w:szCs w:val="22"/>
                      <w:lang w:val="en-US"/>
                    </w:rPr>
                  </w:rPrChange>
                </w:rPr>
                <w:delText>65,0</w:delText>
              </w:r>
            </w:del>
          </w:p>
        </w:tc>
      </w:tr>
      <w:tr w:rsidR="00A7162A" w14:paraId="60A2E8DF" w14:textId="0AE4B656" w:rsidTr="00F675CF">
        <w:trPr>
          <w:del w:id="8795" w:author="AbbVie2" w:date="2025-05-13T16:39:00Z"/>
        </w:trPr>
        <w:tc>
          <w:tcPr>
            <w:tcW w:w="2718" w:type="dxa"/>
          </w:tcPr>
          <w:p w14:paraId="0A6197B4" w14:textId="0DD40D2A" w:rsidR="004462A0" w:rsidRPr="00612E98" w:rsidRDefault="00615769" w:rsidP="00412FC8">
            <w:pPr>
              <w:rPr>
                <w:del w:id="8796" w:author="AbbVie2" w:date="2025-05-13T16:39:00Z"/>
                <w:rFonts w:eastAsia="Times New Roman"/>
                <w:sz w:val="22"/>
                <w:szCs w:val="22"/>
              </w:rPr>
            </w:pPr>
            <w:del w:id="8797" w:author="AbbVie2" w:date="2025-05-13T16:39:00Z">
              <w:r w:rsidRPr="00612E98">
                <w:rPr>
                  <w:rFonts w:eastAsia="Times New Roman"/>
                  <w:sz w:val="22"/>
                  <w:szCs w:val="22"/>
                </w:rPr>
                <w:delText>PGA-F limp</w:delText>
              </w:r>
              <w:r w:rsidR="008F2FAC">
                <w:rPr>
                  <w:rFonts w:eastAsia="Times New Roman"/>
                  <w:sz w:val="22"/>
                  <w:szCs w:val="22"/>
                </w:rPr>
                <w:delText>a</w:delText>
              </w:r>
              <w:r w:rsidRPr="00612E98">
                <w:rPr>
                  <w:rFonts w:eastAsia="Times New Roman"/>
                  <w:sz w:val="22"/>
                  <w:szCs w:val="22"/>
                </w:rPr>
                <w:delText>/</w:delText>
              </w:r>
              <w:r w:rsidR="008F2FAC">
                <w:rPr>
                  <w:rFonts w:eastAsia="Times New Roman"/>
                  <w:sz w:val="22"/>
                  <w:szCs w:val="22"/>
                </w:rPr>
                <w:delText>quase limpa</w:delText>
              </w:r>
              <w:r w:rsidRPr="00612E98">
                <w:rPr>
                  <w:rFonts w:eastAsia="Times New Roman"/>
                  <w:sz w:val="22"/>
                  <w:szCs w:val="22"/>
                </w:rPr>
                <w:delText xml:space="preserve"> e melhoria </w:delText>
              </w:r>
              <w:r w:rsidR="008F2FAC" w:rsidRPr="00612E98">
                <w:rPr>
                  <w:rFonts w:eastAsia="Times New Roman"/>
                  <w:sz w:val="22"/>
                  <w:szCs w:val="22"/>
                </w:rPr>
                <w:delText xml:space="preserve">≥2 </w:delText>
              </w:r>
              <w:r w:rsidR="008F2FAC">
                <w:rPr>
                  <w:rFonts w:eastAsia="Times New Roman"/>
                  <w:sz w:val="22"/>
                  <w:szCs w:val="22"/>
                </w:rPr>
                <w:delText xml:space="preserve">graus </w:delText>
              </w:r>
              <w:r w:rsidRPr="00612E98">
                <w:rPr>
                  <w:rFonts w:eastAsia="Times New Roman"/>
                  <w:sz w:val="22"/>
                  <w:szCs w:val="22"/>
                </w:rPr>
                <w:delText>(%)</w:delText>
              </w:r>
            </w:del>
          </w:p>
        </w:tc>
        <w:tc>
          <w:tcPr>
            <w:tcW w:w="1080" w:type="dxa"/>
          </w:tcPr>
          <w:p w14:paraId="5D057B94" w14:textId="50AADC5F" w:rsidR="004462A0" w:rsidRPr="00AD4F25" w:rsidRDefault="00615769">
            <w:pPr>
              <w:rPr>
                <w:del w:id="8798" w:author="AbbVie2" w:date="2025-05-13T16:39:00Z"/>
                <w:rFonts w:eastAsia="Times New Roman"/>
                <w:sz w:val="22"/>
                <w:szCs w:val="22"/>
                <w:rPrChange w:id="8799" w:author="AbbVie2" w:date="2025-05-14T10:17:00Z">
                  <w:rPr>
                    <w:del w:id="8800" w:author="AbbVie2" w:date="2025-05-13T16:39:00Z"/>
                    <w:rFonts w:eastAsia="Times New Roman"/>
                    <w:sz w:val="22"/>
                    <w:szCs w:val="22"/>
                    <w:lang w:val="en-US"/>
                  </w:rPr>
                </w:rPrChange>
              </w:rPr>
              <w:pPrChange w:id="8801" w:author="AbbVie2" w:date="2025-05-13T16:40:00Z">
                <w:pPr>
                  <w:jc w:val="center"/>
                </w:pPr>
              </w:pPrChange>
            </w:pPr>
            <w:del w:id="8802" w:author="AbbVie2" w:date="2025-05-13T16:39:00Z">
              <w:r w:rsidRPr="00AD4F25">
                <w:rPr>
                  <w:rFonts w:eastAsia="Times New Roman"/>
                  <w:sz w:val="22"/>
                  <w:szCs w:val="22"/>
                  <w:rPrChange w:id="8803" w:author="AbbVie2" w:date="2025-05-14T10:17:00Z">
                    <w:rPr>
                      <w:rFonts w:eastAsia="Times New Roman"/>
                      <w:sz w:val="22"/>
                      <w:szCs w:val="22"/>
                      <w:lang w:val="en-US"/>
                    </w:rPr>
                  </w:rPrChange>
                </w:rPr>
                <w:delText>2,9</w:delText>
              </w:r>
            </w:del>
          </w:p>
        </w:tc>
        <w:tc>
          <w:tcPr>
            <w:tcW w:w="1260" w:type="dxa"/>
          </w:tcPr>
          <w:p w14:paraId="3662B688" w14:textId="7F58FF7D" w:rsidR="004462A0" w:rsidRPr="00AD4F25" w:rsidRDefault="00615769">
            <w:pPr>
              <w:rPr>
                <w:del w:id="8804" w:author="AbbVie2" w:date="2025-05-13T16:39:00Z"/>
                <w:rFonts w:eastAsia="Times New Roman"/>
                <w:sz w:val="22"/>
                <w:szCs w:val="22"/>
                <w:rPrChange w:id="8805" w:author="AbbVie2" w:date="2025-05-14T10:17:00Z">
                  <w:rPr>
                    <w:del w:id="8806" w:author="AbbVie2" w:date="2025-05-13T16:39:00Z"/>
                    <w:rFonts w:eastAsia="Times New Roman"/>
                    <w:sz w:val="22"/>
                    <w:szCs w:val="22"/>
                    <w:lang w:val="en-US"/>
                  </w:rPr>
                </w:rPrChange>
              </w:rPr>
              <w:pPrChange w:id="8807" w:author="AbbVie2" w:date="2025-05-13T16:40:00Z">
                <w:pPr>
                  <w:jc w:val="center"/>
                </w:pPr>
              </w:pPrChange>
            </w:pPr>
            <w:del w:id="8808" w:author="AbbVie2" w:date="2025-05-13T16:39:00Z">
              <w:r w:rsidRPr="00AD4F25">
                <w:rPr>
                  <w:rFonts w:eastAsia="Times New Roman"/>
                  <w:sz w:val="22"/>
                  <w:szCs w:val="22"/>
                  <w:rPrChange w:id="8809" w:author="AbbVie2" w:date="2025-05-14T10:17:00Z">
                    <w:rPr>
                      <w:rFonts w:eastAsia="Times New Roman"/>
                      <w:sz w:val="22"/>
                      <w:szCs w:val="22"/>
                      <w:lang w:val="en-US"/>
                    </w:rPr>
                  </w:rPrChange>
                </w:rPr>
                <w:delText>29,7</w:delText>
              </w:r>
              <w:r w:rsidRPr="00AD4F25">
                <w:rPr>
                  <w:rFonts w:eastAsia="Times New Roman"/>
                  <w:sz w:val="22"/>
                  <w:szCs w:val="22"/>
                  <w:vertAlign w:val="superscript"/>
                  <w:rPrChange w:id="8810" w:author="AbbVie2" w:date="2025-05-14T10:17:00Z">
                    <w:rPr>
                      <w:rFonts w:eastAsia="Times New Roman"/>
                      <w:sz w:val="22"/>
                      <w:szCs w:val="22"/>
                      <w:vertAlign w:val="superscript"/>
                      <w:lang w:val="en-US"/>
                    </w:rPr>
                  </w:rPrChange>
                </w:rPr>
                <w:delText>a</w:delText>
              </w:r>
            </w:del>
          </w:p>
        </w:tc>
        <w:tc>
          <w:tcPr>
            <w:tcW w:w="990" w:type="dxa"/>
          </w:tcPr>
          <w:p w14:paraId="04014A1D" w14:textId="4C6F5A33" w:rsidR="004462A0" w:rsidRPr="00AD4F25" w:rsidRDefault="00615769">
            <w:pPr>
              <w:rPr>
                <w:del w:id="8811" w:author="AbbVie2" w:date="2025-05-13T16:39:00Z"/>
                <w:rFonts w:eastAsia="Times New Roman"/>
                <w:sz w:val="22"/>
                <w:szCs w:val="22"/>
                <w:rPrChange w:id="8812" w:author="AbbVie2" w:date="2025-05-14T10:17:00Z">
                  <w:rPr>
                    <w:del w:id="8813" w:author="AbbVie2" w:date="2025-05-13T16:39:00Z"/>
                    <w:rFonts w:eastAsia="Times New Roman"/>
                    <w:sz w:val="22"/>
                    <w:szCs w:val="22"/>
                    <w:lang w:val="en-US"/>
                  </w:rPr>
                </w:rPrChange>
              </w:rPr>
              <w:pPrChange w:id="8814" w:author="AbbVie2" w:date="2025-05-13T16:40:00Z">
                <w:pPr>
                  <w:keepNext/>
                  <w:tabs>
                    <w:tab w:val="left" w:pos="562"/>
                  </w:tabs>
                  <w:suppressAutoHyphens/>
                  <w:jc w:val="center"/>
                </w:pPr>
              </w:pPrChange>
            </w:pPr>
            <w:del w:id="8815" w:author="AbbVie2" w:date="2025-05-13T16:39:00Z">
              <w:r w:rsidRPr="00AD4F25">
                <w:rPr>
                  <w:rFonts w:eastAsia="Times New Roman"/>
                  <w:sz w:val="22"/>
                  <w:szCs w:val="22"/>
                  <w:rPrChange w:id="8816" w:author="AbbVie2" w:date="2025-05-14T10:17:00Z">
                    <w:rPr>
                      <w:rFonts w:eastAsia="Times New Roman"/>
                      <w:sz w:val="22"/>
                      <w:szCs w:val="22"/>
                      <w:lang w:val="en-US"/>
                    </w:rPr>
                  </w:rPrChange>
                </w:rPr>
                <w:delText>6,9</w:delText>
              </w:r>
            </w:del>
          </w:p>
        </w:tc>
        <w:tc>
          <w:tcPr>
            <w:tcW w:w="1260" w:type="dxa"/>
          </w:tcPr>
          <w:p w14:paraId="4084F1AF" w14:textId="602F3E43" w:rsidR="004462A0" w:rsidRPr="00AD4F25" w:rsidRDefault="00615769">
            <w:pPr>
              <w:rPr>
                <w:del w:id="8817" w:author="AbbVie2" w:date="2025-05-13T16:39:00Z"/>
                <w:rFonts w:eastAsia="Times New Roman"/>
                <w:sz w:val="22"/>
                <w:szCs w:val="22"/>
                <w:rPrChange w:id="8818" w:author="AbbVie2" w:date="2025-05-14T10:17:00Z">
                  <w:rPr>
                    <w:del w:id="8819" w:author="AbbVie2" w:date="2025-05-13T16:39:00Z"/>
                    <w:rFonts w:eastAsia="Times New Roman"/>
                    <w:sz w:val="22"/>
                    <w:szCs w:val="22"/>
                    <w:lang w:val="en-US"/>
                  </w:rPr>
                </w:rPrChange>
              </w:rPr>
              <w:pPrChange w:id="8820" w:author="AbbVie2" w:date="2025-05-13T16:40:00Z">
                <w:pPr>
                  <w:keepNext/>
                  <w:tabs>
                    <w:tab w:val="left" w:pos="562"/>
                  </w:tabs>
                  <w:suppressAutoHyphens/>
                  <w:jc w:val="center"/>
                </w:pPr>
              </w:pPrChange>
            </w:pPr>
            <w:del w:id="8821" w:author="AbbVie2" w:date="2025-05-13T16:39:00Z">
              <w:r w:rsidRPr="00AD4F25">
                <w:rPr>
                  <w:rFonts w:eastAsia="Times New Roman"/>
                  <w:sz w:val="22"/>
                  <w:szCs w:val="22"/>
                  <w:rPrChange w:id="8822" w:author="AbbVie2" w:date="2025-05-14T10:17:00Z">
                    <w:rPr>
                      <w:rFonts w:eastAsia="Times New Roman"/>
                      <w:sz w:val="22"/>
                      <w:szCs w:val="22"/>
                      <w:lang w:val="en-US"/>
                    </w:rPr>
                  </w:rPrChange>
                </w:rPr>
                <w:delText>48,9</w:delText>
              </w:r>
              <w:r w:rsidRPr="00AD4F25">
                <w:rPr>
                  <w:rFonts w:eastAsia="Times New Roman"/>
                  <w:sz w:val="22"/>
                  <w:szCs w:val="22"/>
                  <w:vertAlign w:val="superscript"/>
                  <w:rPrChange w:id="8823" w:author="AbbVie2" w:date="2025-05-14T10:17:00Z">
                    <w:rPr>
                      <w:rFonts w:eastAsia="Times New Roman"/>
                      <w:sz w:val="22"/>
                      <w:szCs w:val="22"/>
                      <w:vertAlign w:val="superscript"/>
                      <w:lang w:val="en-US"/>
                    </w:rPr>
                  </w:rPrChange>
                </w:rPr>
                <w:delText>a</w:delText>
              </w:r>
            </w:del>
          </w:p>
        </w:tc>
        <w:tc>
          <w:tcPr>
            <w:tcW w:w="2014" w:type="dxa"/>
          </w:tcPr>
          <w:p w14:paraId="4738946D" w14:textId="61B57F62" w:rsidR="004462A0" w:rsidRPr="00AD4F25" w:rsidRDefault="00615769">
            <w:pPr>
              <w:rPr>
                <w:del w:id="8824" w:author="AbbVie2" w:date="2025-05-13T16:39:00Z"/>
                <w:rFonts w:eastAsia="Times New Roman"/>
                <w:sz w:val="22"/>
                <w:szCs w:val="22"/>
                <w:rPrChange w:id="8825" w:author="AbbVie2" w:date="2025-05-14T10:17:00Z">
                  <w:rPr>
                    <w:del w:id="8826" w:author="AbbVie2" w:date="2025-05-13T16:39:00Z"/>
                    <w:rFonts w:eastAsia="Times New Roman"/>
                    <w:sz w:val="22"/>
                    <w:szCs w:val="22"/>
                    <w:lang w:val="en-US"/>
                  </w:rPr>
                </w:rPrChange>
              </w:rPr>
              <w:pPrChange w:id="8827" w:author="AbbVie2" w:date="2025-05-13T16:40:00Z">
                <w:pPr>
                  <w:jc w:val="center"/>
                </w:pPr>
              </w:pPrChange>
            </w:pPr>
            <w:del w:id="8828" w:author="AbbVie2" w:date="2025-05-13T16:39:00Z">
              <w:r w:rsidRPr="00AD4F25">
                <w:rPr>
                  <w:rFonts w:eastAsia="Times New Roman"/>
                  <w:sz w:val="22"/>
                  <w:szCs w:val="22"/>
                  <w:rPrChange w:id="8829" w:author="AbbVie2" w:date="2025-05-14T10:17:00Z">
                    <w:rPr>
                      <w:rFonts w:eastAsia="Times New Roman"/>
                      <w:sz w:val="22"/>
                      <w:szCs w:val="22"/>
                      <w:lang w:val="en-US"/>
                    </w:rPr>
                  </w:rPrChange>
                </w:rPr>
                <w:delText>61,3</w:delText>
              </w:r>
            </w:del>
          </w:p>
        </w:tc>
      </w:tr>
      <w:tr w:rsidR="00A7162A" w14:paraId="60CB776F" w14:textId="3BE10D33" w:rsidTr="00F675CF">
        <w:trPr>
          <w:del w:id="8830" w:author="AbbVie2" w:date="2025-05-13T16:39:00Z"/>
        </w:trPr>
        <w:tc>
          <w:tcPr>
            <w:tcW w:w="2718" w:type="dxa"/>
          </w:tcPr>
          <w:p w14:paraId="64CC9398" w14:textId="1FB06D70" w:rsidR="004462A0" w:rsidRPr="00475D7E" w:rsidRDefault="00615769" w:rsidP="00412FC8">
            <w:pPr>
              <w:rPr>
                <w:del w:id="8831" w:author="AbbVie2" w:date="2025-05-13T16:39:00Z"/>
                <w:rFonts w:eastAsia="Times New Roman"/>
                <w:sz w:val="22"/>
                <w:szCs w:val="22"/>
              </w:rPr>
            </w:pPr>
            <w:del w:id="8832" w:author="AbbVie2" w:date="2025-05-13T16:39:00Z">
              <w:r>
                <w:rPr>
                  <w:rFonts w:eastAsia="Times New Roman"/>
                  <w:sz w:val="22"/>
                  <w:szCs w:val="22"/>
                </w:rPr>
                <w:delText>Alteração</w:delText>
              </w:r>
              <w:r w:rsidRPr="00475D7E">
                <w:rPr>
                  <w:rFonts w:eastAsia="Times New Roman"/>
                  <w:sz w:val="22"/>
                  <w:szCs w:val="22"/>
                </w:rPr>
                <w:delText xml:space="preserve"> percentual na </w:delText>
              </w:r>
              <w:r>
                <w:rPr>
                  <w:rFonts w:eastAsia="Times New Roman"/>
                  <w:sz w:val="22"/>
                  <w:szCs w:val="22"/>
                </w:rPr>
                <w:delText xml:space="preserve">Avaliação Ungueal Total </w:delText>
              </w:r>
              <w:r w:rsidRPr="00475D7E">
                <w:rPr>
                  <w:rFonts w:eastAsia="Times New Roman"/>
                  <w:sz w:val="22"/>
                  <w:szCs w:val="22"/>
                </w:rPr>
                <w:delText xml:space="preserve"> NAPSI (%)</w:delText>
              </w:r>
            </w:del>
          </w:p>
        </w:tc>
        <w:tc>
          <w:tcPr>
            <w:tcW w:w="1080" w:type="dxa"/>
          </w:tcPr>
          <w:p w14:paraId="17470D3B" w14:textId="45228DCA" w:rsidR="004462A0" w:rsidRPr="00AD4F25" w:rsidRDefault="00615769">
            <w:pPr>
              <w:rPr>
                <w:del w:id="8833" w:author="AbbVie2" w:date="2025-05-13T16:39:00Z"/>
                <w:rFonts w:eastAsia="Times New Roman"/>
                <w:sz w:val="22"/>
                <w:szCs w:val="22"/>
                <w:rPrChange w:id="8834" w:author="AbbVie2" w:date="2025-05-14T10:17:00Z">
                  <w:rPr>
                    <w:del w:id="8835" w:author="AbbVie2" w:date="2025-05-13T16:39:00Z"/>
                    <w:rFonts w:eastAsia="Times New Roman"/>
                    <w:sz w:val="22"/>
                    <w:szCs w:val="22"/>
                    <w:lang w:val="en-US"/>
                  </w:rPr>
                </w:rPrChange>
              </w:rPr>
              <w:pPrChange w:id="8836" w:author="AbbVie2" w:date="2025-05-13T16:40:00Z">
                <w:pPr>
                  <w:jc w:val="center"/>
                </w:pPr>
              </w:pPrChange>
            </w:pPr>
            <w:del w:id="8837" w:author="AbbVie2" w:date="2025-05-13T16:39:00Z">
              <w:r w:rsidRPr="00AD4F25">
                <w:rPr>
                  <w:rFonts w:eastAsia="Times New Roman"/>
                  <w:sz w:val="22"/>
                  <w:szCs w:val="22"/>
                  <w:rPrChange w:id="8838" w:author="AbbVie2" w:date="2025-05-14T10:17:00Z">
                    <w:rPr>
                      <w:rFonts w:eastAsia="Times New Roman"/>
                      <w:sz w:val="22"/>
                      <w:szCs w:val="22"/>
                      <w:lang w:val="en-US"/>
                    </w:rPr>
                  </w:rPrChange>
                </w:rPr>
                <w:delText>-7,8</w:delText>
              </w:r>
            </w:del>
          </w:p>
        </w:tc>
        <w:tc>
          <w:tcPr>
            <w:tcW w:w="1260" w:type="dxa"/>
          </w:tcPr>
          <w:p w14:paraId="1BD35033" w14:textId="3AB20FC9" w:rsidR="004462A0" w:rsidRPr="00AD4F25" w:rsidRDefault="00615769">
            <w:pPr>
              <w:rPr>
                <w:del w:id="8839" w:author="AbbVie2" w:date="2025-05-13T16:39:00Z"/>
                <w:rFonts w:eastAsia="Times New Roman"/>
                <w:sz w:val="22"/>
                <w:szCs w:val="22"/>
                <w:rPrChange w:id="8840" w:author="AbbVie2" w:date="2025-05-14T10:17:00Z">
                  <w:rPr>
                    <w:del w:id="8841" w:author="AbbVie2" w:date="2025-05-13T16:39:00Z"/>
                    <w:rFonts w:eastAsia="Times New Roman"/>
                    <w:sz w:val="22"/>
                    <w:szCs w:val="22"/>
                    <w:lang w:val="en-US"/>
                  </w:rPr>
                </w:rPrChange>
              </w:rPr>
              <w:pPrChange w:id="8842" w:author="AbbVie2" w:date="2025-05-13T16:40:00Z">
                <w:pPr>
                  <w:jc w:val="center"/>
                </w:pPr>
              </w:pPrChange>
            </w:pPr>
            <w:del w:id="8843" w:author="AbbVie2" w:date="2025-05-13T16:39:00Z">
              <w:r w:rsidRPr="00AD4F25">
                <w:rPr>
                  <w:rFonts w:eastAsia="Times New Roman"/>
                  <w:sz w:val="22"/>
                  <w:szCs w:val="22"/>
                  <w:rPrChange w:id="8844" w:author="AbbVie2" w:date="2025-05-14T10:17:00Z">
                    <w:rPr>
                      <w:rFonts w:eastAsia="Times New Roman"/>
                      <w:sz w:val="22"/>
                      <w:szCs w:val="22"/>
                      <w:lang w:val="en-US"/>
                    </w:rPr>
                  </w:rPrChange>
                </w:rPr>
                <w:delText>-44,2</w:delText>
              </w:r>
              <w:r w:rsidRPr="00AD4F25">
                <w:rPr>
                  <w:rFonts w:eastAsia="Times New Roman"/>
                  <w:sz w:val="22"/>
                  <w:szCs w:val="22"/>
                  <w:vertAlign w:val="superscript"/>
                  <w:rPrChange w:id="8845" w:author="AbbVie2" w:date="2025-05-14T10:17:00Z">
                    <w:rPr>
                      <w:rFonts w:eastAsia="Times New Roman"/>
                      <w:sz w:val="22"/>
                      <w:szCs w:val="22"/>
                      <w:vertAlign w:val="superscript"/>
                      <w:lang w:val="en-US"/>
                    </w:rPr>
                  </w:rPrChange>
                </w:rPr>
                <w:delText xml:space="preserve"> a</w:delText>
              </w:r>
            </w:del>
          </w:p>
        </w:tc>
        <w:tc>
          <w:tcPr>
            <w:tcW w:w="990" w:type="dxa"/>
          </w:tcPr>
          <w:p w14:paraId="14B87E1C" w14:textId="4F371749" w:rsidR="004462A0" w:rsidRPr="00AD4F25" w:rsidRDefault="00615769">
            <w:pPr>
              <w:rPr>
                <w:del w:id="8846" w:author="AbbVie2" w:date="2025-05-13T16:39:00Z"/>
                <w:rFonts w:eastAsia="Times New Roman"/>
                <w:sz w:val="22"/>
                <w:szCs w:val="22"/>
                <w:rPrChange w:id="8847" w:author="AbbVie2" w:date="2025-05-14T10:17:00Z">
                  <w:rPr>
                    <w:del w:id="8848" w:author="AbbVie2" w:date="2025-05-13T16:39:00Z"/>
                    <w:rFonts w:eastAsia="Times New Roman"/>
                    <w:sz w:val="22"/>
                    <w:szCs w:val="22"/>
                    <w:lang w:val="en-US"/>
                  </w:rPr>
                </w:rPrChange>
              </w:rPr>
              <w:pPrChange w:id="8849" w:author="AbbVie2" w:date="2025-05-13T16:40:00Z">
                <w:pPr>
                  <w:keepNext/>
                  <w:tabs>
                    <w:tab w:val="left" w:pos="562"/>
                  </w:tabs>
                  <w:suppressAutoHyphens/>
                  <w:jc w:val="center"/>
                </w:pPr>
              </w:pPrChange>
            </w:pPr>
            <w:del w:id="8850" w:author="AbbVie2" w:date="2025-05-13T16:39:00Z">
              <w:r w:rsidRPr="00AD4F25">
                <w:rPr>
                  <w:rFonts w:eastAsia="Times New Roman"/>
                  <w:sz w:val="22"/>
                  <w:szCs w:val="22"/>
                  <w:rPrChange w:id="8851" w:author="AbbVie2" w:date="2025-05-14T10:17:00Z">
                    <w:rPr>
                      <w:rFonts w:eastAsia="Times New Roman"/>
                      <w:sz w:val="22"/>
                      <w:szCs w:val="22"/>
                      <w:lang w:val="en-US"/>
                    </w:rPr>
                  </w:rPrChange>
                </w:rPr>
                <w:delText>-11,5</w:delText>
              </w:r>
            </w:del>
          </w:p>
        </w:tc>
        <w:tc>
          <w:tcPr>
            <w:tcW w:w="1260" w:type="dxa"/>
          </w:tcPr>
          <w:p w14:paraId="04CAB9E3" w14:textId="616F29B7" w:rsidR="004462A0" w:rsidRPr="00AD4F25" w:rsidRDefault="00615769">
            <w:pPr>
              <w:rPr>
                <w:del w:id="8852" w:author="AbbVie2" w:date="2025-05-13T16:39:00Z"/>
                <w:rFonts w:eastAsia="Times New Roman"/>
                <w:sz w:val="22"/>
                <w:szCs w:val="22"/>
                <w:rPrChange w:id="8853" w:author="AbbVie2" w:date="2025-05-14T10:17:00Z">
                  <w:rPr>
                    <w:del w:id="8854" w:author="AbbVie2" w:date="2025-05-13T16:39:00Z"/>
                    <w:rFonts w:eastAsia="Times New Roman"/>
                    <w:sz w:val="22"/>
                    <w:szCs w:val="22"/>
                    <w:lang w:val="en-US"/>
                  </w:rPr>
                </w:rPrChange>
              </w:rPr>
              <w:pPrChange w:id="8855" w:author="AbbVie2" w:date="2025-05-13T16:40:00Z">
                <w:pPr>
                  <w:keepNext/>
                  <w:tabs>
                    <w:tab w:val="left" w:pos="562"/>
                  </w:tabs>
                  <w:suppressAutoHyphens/>
                  <w:jc w:val="center"/>
                </w:pPr>
              </w:pPrChange>
            </w:pPr>
            <w:del w:id="8856" w:author="AbbVie2" w:date="2025-05-13T16:39:00Z">
              <w:r w:rsidRPr="00AD4F25">
                <w:rPr>
                  <w:rFonts w:eastAsia="Times New Roman"/>
                  <w:sz w:val="22"/>
                  <w:szCs w:val="22"/>
                  <w:rPrChange w:id="8857" w:author="AbbVie2" w:date="2025-05-14T10:17:00Z">
                    <w:rPr>
                      <w:rFonts w:eastAsia="Times New Roman"/>
                      <w:sz w:val="22"/>
                      <w:szCs w:val="22"/>
                      <w:lang w:val="en-US"/>
                    </w:rPr>
                  </w:rPrChange>
                </w:rPr>
                <w:delText>-56,2</w:delText>
              </w:r>
              <w:r w:rsidRPr="00AD4F25">
                <w:rPr>
                  <w:rFonts w:eastAsia="Times New Roman"/>
                  <w:sz w:val="22"/>
                  <w:szCs w:val="22"/>
                  <w:vertAlign w:val="superscript"/>
                  <w:rPrChange w:id="8858" w:author="AbbVie2" w:date="2025-05-14T10:17:00Z">
                    <w:rPr>
                      <w:rFonts w:eastAsia="Times New Roman"/>
                      <w:sz w:val="22"/>
                      <w:szCs w:val="22"/>
                      <w:vertAlign w:val="superscript"/>
                      <w:lang w:val="en-US"/>
                    </w:rPr>
                  </w:rPrChange>
                </w:rPr>
                <w:delText>a</w:delText>
              </w:r>
            </w:del>
          </w:p>
        </w:tc>
        <w:tc>
          <w:tcPr>
            <w:tcW w:w="2014" w:type="dxa"/>
          </w:tcPr>
          <w:p w14:paraId="7049F867" w14:textId="718FFCC5" w:rsidR="004462A0" w:rsidRPr="00AD4F25" w:rsidRDefault="00615769">
            <w:pPr>
              <w:rPr>
                <w:del w:id="8859" w:author="AbbVie2" w:date="2025-05-13T16:39:00Z"/>
                <w:rFonts w:eastAsia="Times New Roman"/>
                <w:sz w:val="22"/>
                <w:szCs w:val="22"/>
                <w:rPrChange w:id="8860" w:author="AbbVie2" w:date="2025-05-14T10:17:00Z">
                  <w:rPr>
                    <w:del w:id="8861" w:author="AbbVie2" w:date="2025-05-13T16:39:00Z"/>
                    <w:rFonts w:eastAsia="Times New Roman"/>
                    <w:sz w:val="22"/>
                    <w:szCs w:val="22"/>
                    <w:lang w:val="en-US"/>
                  </w:rPr>
                </w:rPrChange>
              </w:rPr>
              <w:pPrChange w:id="8862" w:author="AbbVie2" w:date="2025-05-13T16:40:00Z">
                <w:pPr>
                  <w:jc w:val="center"/>
                </w:pPr>
              </w:pPrChange>
            </w:pPr>
            <w:del w:id="8863" w:author="AbbVie2" w:date="2025-05-13T16:39:00Z">
              <w:r w:rsidRPr="00AD4F25">
                <w:rPr>
                  <w:rFonts w:eastAsia="Times New Roman"/>
                  <w:sz w:val="22"/>
                  <w:szCs w:val="22"/>
                  <w:rPrChange w:id="8864" w:author="AbbVie2" w:date="2025-05-14T10:17:00Z">
                    <w:rPr>
                      <w:rFonts w:eastAsia="Times New Roman"/>
                      <w:sz w:val="22"/>
                      <w:szCs w:val="22"/>
                      <w:lang w:val="en-US"/>
                    </w:rPr>
                  </w:rPrChange>
                </w:rPr>
                <w:delText>-72,2</w:delText>
              </w:r>
            </w:del>
          </w:p>
        </w:tc>
      </w:tr>
      <w:tr w:rsidR="00A7162A" w14:paraId="57FCF333" w14:textId="4E14813D" w:rsidTr="00F675CF">
        <w:trPr>
          <w:del w:id="8865" w:author="AbbVie2" w:date="2025-05-13T16:39:00Z"/>
        </w:trPr>
        <w:tc>
          <w:tcPr>
            <w:tcW w:w="9322" w:type="dxa"/>
            <w:gridSpan w:val="6"/>
          </w:tcPr>
          <w:p w14:paraId="78B1CC71" w14:textId="3ACFB9B7" w:rsidR="004462A0" w:rsidRPr="00612E98" w:rsidRDefault="00615769" w:rsidP="00412FC8">
            <w:pPr>
              <w:rPr>
                <w:del w:id="8866" w:author="AbbVie2" w:date="2025-05-13T16:39:00Z"/>
                <w:rFonts w:eastAsia="Times New Roman"/>
                <w:sz w:val="22"/>
                <w:szCs w:val="22"/>
              </w:rPr>
            </w:pPr>
            <w:del w:id="8867" w:author="AbbVie2" w:date="2025-05-13T16:39:00Z">
              <w:r w:rsidRPr="00612E98">
                <w:rPr>
                  <w:rFonts w:eastAsia="Times New Roman"/>
                  <w:sz w:val="22"/>
                  <w:szCs w:val="22"/>
                  <w:vertAlign w:val="superscript"/>
                </w:rPr>
                <w:delText>a</w:delText>
              </w:r>
              <w:r w:rsidRPr="00612E98">
                <w:rPr>
                  <w:rFonts w:eastAsia="Times New Roman"/>
                  <w:sz w:val="22"/>
                  <w:szCs w:val="22"/>
                </w:rPr>
                <w:delText xml:space="preserve"> p&lt;0</w:delText>
              </w:r>
              <w:r>
                <w:rPr>
                  <w:rFonts w:eastAsia="Times New Roman"/>
                  <w:sz w:val="22"/>
                  <w:szCs w:val="22"/>
                </w:rPr>
                <w:delText>,</w:delText>
              </w:r>
              <w:r w:rsidRPr="00612E98">
                <w:rPr>
                  <w:rFonts w:eastAsia="Times New Roman"/>
                  <w:sz w:val="22"/>
                  <w:szCs w:val="22"/>
                </w:rPr>
                <w:delText xml:space="preserve">001, Humira </w:delText>
              </w:r>
              <w:r w:rsidRPr="00612E98">
                <w:rPr>
                  <w:rFonts w:eastAsia="Times New Roman"/>
                  <w:i/>
                  <w:sz w:val="22"/>
                  <w:szCs w:val="22"/>
                </w:rPr>
                <w:delText>vs.</w:delText>
              </w:r>
              <w:r w:rsidRPr="00612E98">
                <w:rPr>
                  <w:rFonts w:eastAsia="Times New Roman"/>
                  <w:sz w:val="22"/>
                  <w:szCs w:val="22"/>
                </w:rPr>
                <w:delText xml:space="preserve"> placebo </w:delText>
              </w:r>
            </w:del>
          </w:p>
        </w:tc>
      </w:tr>
    </w:tbl>
    <w:p w14:paraId="1E0AD7F3" w14:textId="03AEE040" w:rsidR="004462A0" w:rsidRPr="00612E98" w:rsidRDefault="004462A0" w:rsidP="00412FC8">
      <w:pPr>
        <w:rPr>
          <w:del w:id="8868" w:author="AbbVie2" w:date="2025-05-13T16:39:00Z"/>
          <w:rFonts w:eastAsia="Times New Roman"/>
          <w:sz w:val="22"/>
          <w:szCs w:val="22"/>
        </w:rPr>
      </w:pPr>
    </w:p>
    <w:p w14:paraId="210B58C0" w14:textId="39FBF6B7" w:rsidR="004462A0" w:rsidRPr="00CB25CC" w:rsidRDefault="00615769">
      <w:pPr>
        <w:rPr>
          <w:del w:id="8869" w:author="AbbVie2" w:date="2025-05-13T16:39:00Z"/>
          <w:rFonts w:eastAsia="Times New Roman"/>
          <w:sz w:val="22"/>
          <w:szCs w:val="22"/>
        </w:rPr>
        <w:pPrChange w:id="8870" w:author="AbbVie2" w:date="2025-05-13T16:40:00Z">
          <w:pPr>
            <w:tabs>
              <w:tab w:val="left" w:pos="562"/>
            </w:tabs>
            <w:suppressAutoHyphens/>
          </w:pPr>
        </w:pPrChange>
      </w:pPr>
      <w:del w:id="8871" w:author="AbbVie2" w:date="2025-05-13T16:39:00Z">
        <w:r w:rsidRPr="00CB25CC">
          <w:rPr>
            <w:rFonts w:eastAsia="Times New Roman"/>
            <w:sz w:val="22"/>
            <w:szCs w:val="22"/>
          </w:rPr>
          <w:delText>Os doentes tratados com Humira revelaram melho</w:delText>
        </w:r>
        <w:r>
          <w:rPr>
            <w:rFonts w:eastAsia="Times New Roman"/>
            <w:sz w:val="22"/>
            <w:szCs w:val="22"/>
          </w:rPr>
          <w:delText>ri</w:delText>
        </w:r>
        <w:r w:rsidRPr="00CB25CC">
          <w:rPr>
            <w:rFonts w:eastAsia="Times New Roman"/>
            <w:sz w:val="22"/>
            <w:szCs w:val="22"/>
          </w:rPr>
          <w:delText>as estatisticamente significativas</w:delText>
        </w:r>
        <w:r>
          <w:rPr>
            <w:rFonts w:eastAsia="Times New Roman"/>
            <w:sz w:val="22"/>
            <w:szCs w:val="22"/>
          </w:rPr>
          <w:delText xml:space="preserve"> à Semana 26 comparativamente com placebo</w:delText>
        </w:r>
        <w:r w:rsidR="008F2FAC">
          <w:rPr>
            <w:rFonts w:eastAsia="Times New Roman"/>
            <w:sz w:val="22"/>
            <w:szCs w:val="22"/>
          </w:rPr>
          <w:delText xml:space="preserve"> no</w:delText>
        </w:r>
        <w:r w:rsidRPr="008912CF">
          <w:rPr>
            <w:sz w:val="22"/>
            <w:szCs w:val="22"/>
          </w:rPr>
          <w:delText xml:space="preserve"> </w:delText>
        </w:r>
        <w:r w:rsidRPr="008912CF">
          <w:rPr>
            <w:i/>
            <w:sz w:val="22"/>
            <w:szCs w:val="22"/>
          </w:rPr>
          <w:delText xml:space="preserve">Dermatology Life Quality Index </w:delText>
        </w:r>
        <w:r w:rsidRPr="008912CF">
          <w:rPr>
            <w:sz w:val="22"/>
            <w:szCs w:val="22"/>
          </w:rPr>
          <w:delText>(DLQI</w:delText>
        </w:r>
        <w:r>
          <w:rPr>
            <w:sz w:val="22"/>
            <w:szCs w:val="22"/>
          </w:rPr>
          <w:delText>)</w:delText>
        </w:r>
        <w:r w:rsidRPr="00CB25CC">
          <w:rPr>
            <w:rFonts w:eastAsia="Times New Roman"/>
            <w:sz w:val="22"/>
            <w:szCs w:val="22"/>
          </w:rPr>
          <w:delText xml:space="preserve">. </w:delText>
        </w:r>
      </w:del>
    </w:p>
    <w:p w14:paraId="4B587E90" w14:textId="12349B42" w:rsidR="004462A0" w:rsidRPr="008912CF" w:rsidRDefault="004462A0" w:rsidP="00412FC8">
      <w:pPr>
        <w:rPr>
          <w:del w:id="8872" w:author="AbbVie2" w:date="2025-05-13T16:39:00Z"/>
          <w:sz w:val="22"/>
          <w:szCs w:val="22"/>
          <w:u w:val="single"/>
        </w:rPr>
      </w:pPr>
    </w:p>
    <w:p w14:paraId="1CFC38BA" w14:textId="12600E7D" w:rsidR="004462A0" w:rsidRPr="008912CF" w:rsidRDefault="00615769" w:rsidP="00412FC8">
      <w:pPr>
        <w:rPr>
          <w:del w:id="8873" w:author="AbbVie2" w:date="2025-05-13T16:39:00Z"/>
          <w:i/>
          <w:sz w:val="22"/>
          <w:szCs w:val="22"/>
        </w:rPr>
      </w:pPr>
      <w:del w:id="8874" w:author="AbbVie2" w:date="2025-05-13T16:39:00Z">
        <w:r w:rsidRPr="008912CF">
          <w:rPr>
            <w:i/>
            <w:sz w:val="22"/>
            <w:szCs w:val="22"/>
          </w:rPr>
          <w:delText>Hidradenite supurativa</w:delText>
        </w:r>
      </w:del>
    </w:p>
    <w:p w14:paraId="1318E5F4" w14:textId="0A1898AC" w:rsidR="004462A0" w:rsidRPr="008912CF" w:rsidRDefault="004462A0" w:rsidP="00412FC8">
      <w:pPr>
        <w:rPr>
          <w:del w:id="8875" w:author="AbbVie2" w:date="2025-05-13T16:39:00Z"/>
          <w:sz w:val="22"/>
          <w:szCs w:val="22"/>
          <w:u w:val="single"/>
        </w:rPr>
      </w:pPr>
    </w:p>
    <w:p w14:paraId="3D3A85D3" w14:textId="7A404C18" w:rsidR="004462A0" w:rsidRPr="008912CF" w:rsidRDefault="00615769" w:rsidP="00412FC8">
      <w:pPr>
        <w:rPr>
          <w:del w:id="8876" w:author="AbbVie2" w:date="2025-05-13T16:39:00Z"/>
          <w:sz w:val="22"/>
          <w:szCs w:val="20"/>
        </w:rPr>
      </w:pPr>
      <w:del w:id="8877" w:author="AbbVie2" w:date="2025-05-13T16:39:00Z">
        <w:r w:rsidRPr="008912CF">
          <w:rPr>
            <w:sz w:val="22"/>
            <w:szCs w:val="20"/>
          </w:rPr>
          <w:delText xml:space="preserve">A segurança e eficácia de Humira foram avaliadas em estudos </w:delText>
        </w:r>
        <w:r w:rsidR="0013275C">
          <w:rPr>
            <w:sz w:val="22"/>
            <w:szCs w:val="20"/>
          </w:rPr>
          <w:delText>aleatorizado</w:delText>
        </w:r>
        <w:r w:rsidRPr="008912CF">
          <w:rPr>
            <w:sz w:val="22"/>
            <w:szCs w:val="20"/>
          </w:rPr>
          <w:delText>s, em dupla ocultação, controlados por placebo e num estudo de extensão de fase aberta, em doentes adultos com hidradenite supurativa (HS) moderada a grave, que eram intolerantes, contraindicados ou com uma resposta inadequada a pelo menos 3 meses de antibioterapia sistémica</w:delText>
        </w:r>
        <w:r w:rsidR="009E086D">
          <w:rPr>
            <w:sz w:val="22"/>
            <w:szCs w:val="20"/>
          </w:rPr>
          <w:delText>.</w:delText>
        </w:r>
        <w:r w:rsidRPr="008912CF">
          <w:rPr>
            <w:sz w:val="22"/>
            <w:szCs w:val="20"/>
          </w:rPr>
          <w:delText xml:space="preserve"> Os doentes nos estudos HS-I e HS-II tinham doença em estadio de Hurley II ou III, com pelo menos 3 abcessos ou nódulos inflamatórios.</w:delText>
        </w:r>
      </w:del>
    </w:p>
    <w:p w14:paraId="092CD4BC" w14:textId="0FB41CCC" w:rsidR="004462A0" w:rsidRPr="008912CF" w:rsidRDefault="004462A0" w:rsidP="00412FC8">
      <w:pPr>
        <w:rPr>
          <w:del w:id="8878" w:author="AbbVie2" w:date="2025-05-13T16:39:00Z"/>
          <w:sz w:val="22"/>
          <w:szCs w:val="20"/>
        </w:rPr>
      </w:pPr>
    </w:p>
    <w:p w14:paraId="17E9E50D" w14:textId="7B49CEDD" w:rsidR="004462A0" w:rsidRPr="008912CF" w:rsidRDefault="00615769" w:rsidP="00412FC8">
      <w:pPr>
        <w:rPr>
          <w:del w:id="8879" w:author="AbbVie2" w:date="2025-05-13T16:39:00Z"/>
          <w:sz w:val="22"/>
          <w:szCs w:val="20"/>
        </w:rPr>
      </w:pPr>
      <w:del w:id="8880" w:author="AbbVie2" w:date="2025-05-13T16:39:00Z">
        <w:r w:rsidRPr="008912CF">
          <w:rPr>
            <w:sz w:val="22"/>
            <w:szCs w:val="20"/>
          </w:rPr>
          <w:delText>No estudo HS-I (PIONEER I) foram avaliados 307 doentes em 2 períodos de tratamento. No período A, os doentes receberam placebo ou Humira, numa dose inicial de 160 mg na Semana 0, 80</w:delText>
        </w:r>
        <w:r>
          <w:rPr>
            <w:sz w:val="22"/>
            <w:szCs w:val="20"/>
          </w:rPr>
          <w:delText> </w:delText>
        </w:r>
        <w:r w:rsidRPr="008912CF">
          <w:rPr>
            <w:sz w:val="22"/>
            <w:szCs w:val="20"/>
          </w:rPr>
          <w:delText>mg na Semana 2 e 40 mg por semana, da semana 4 à semana 11. O uso concomitante de antibióticos não foi permitido durante o estudo. Após 12 semanas de tratamento, os doentes que receberam Humira no Período A foram re-</w:delText>
        </w:r>
        <w:r w:rsidR="0013275C">
          <w:rPr>
            <w:sz w:val="22"/>
            <w:szCs w:val="20"/>
          </w:rPr>
          <w:delText>aleatorizado</w:delText>
        </w:r>
        <w:r w:rsidRPr="008912CF">
          <w:rPr>
            <w:sz w:val="22"/>
            <w:szCs w:val="20"/>
          </w:rPr>
          <w:delText xml:space="preserve">s no Período B para 1 de 3 grupos de tratamento (Humira 40 mg todas as semanas, Humira 40 mg em semanas alternadas, ou placebo da Semana 12 à Semana 35). Os doentes que foram </w:delText>
        </w:r>
        <w:r w:rsidR="0013275C">
          <w:rPr>
            <w:sz w:val="22"/>
            <w:szCs w:val="20"/>
          </w:rPr>
          <w:delText>aleatorizado</w:delText>
        </w:r>
        <w:r w:rsidRPr="008912CF">
          <w:rPr>
            <w:sz w:val="22"/>
            <w:szCs w:val="20"/>
          </w:rPr>
          <w:delText>s para placebo no Período A, receberam Humira 40 mg todas as semanas no período B.</w:delText>
        </w:r>
      </w:del>
    </w:p>
    <w:p w14:paraId="0304D268" w14:textId="599200A0" w:rsidR="004462A0" w:rsidRPr="008912CF" w:rsidRDefault="004462A0" w:rsidP="00412FC8">
      <w:pPr>
        <w:rPr>
          <w:del w:id="8881" w:author="AbbVie2" w:date="2025-05-13T16:39:00Z"/>
          <w:sz w:val="22"/>
          <w:szCs w:val="20"/>
        </w:rPr>
      </w:pPr>
    </w:p>
    <w:p w14:paraId="6B089979" w14:textId="7D953877" w:rsidR="004462A0" w:rsidRPr="008912CF" w:rsidRDefault="00615769" w:rsidP="00412FC8">
      <w:pPr>
        <w:rPr>
          <w:del w:id="8882" w:author="AbbVie2" w:date="2025-05-13T16:39:00Z"/>
          <w:sz w:val="22"/>
          <w:szCs w:val="20"/>
        </w:rPr>
      </w:pPr>
      <w:del w:id="8883" w:author="AbbVie2" w:date="2025-05-13T16:39:00Z">
        <w:r w:rsidRPr="008912CF">
          <w:rPr>
            <w:sz w:val="22"/>
            <w:szCs w:val="20"/>
          </w:rPr>
          <w:delText>No estudo HS-II (PIONEER II) foram avaliados 326 doentes em 2 períodos de tratamento. No Período A, os doentes receberam placebo ou Humira numa dose inicial de 160 mg na Semana 0 e 80 mg na Semana 2 e 40 mg por semana, da Semana 4 à Semana 11. 19,3% dos doentes continuaram antibioterapia oral durante o estudo. Após 12 semanas de tratamento, os doentes que receberam Humira no Período A foram re-</w:delText>
        </w:r>
        <w:r w:rsidR="0013275C">
          <w:rPr>
            <w:sz w:val="22"/>
            <w:szCs w:val="20"/>
          </w:rPr>
          <w:delText>aleatorizado</w:delText>
        </w:r>
        <w:r w:rsidR="0082206C">
          <w:rPr>
            <w:sz w:val="22"/>
            <w:szCs w:val="20"/>
          </w:rPr>
          <w:delText>s</w:delText>
        </w:r>
        <w:r w:rsidRPr="008912CF">
          <w:rPr>
            <w:sz w:val="22"/>
            <w:szCs w:val="20"/>
          </w:rPr>
          <w:delText xml:space="preserve"> no Período B para 1 de 3 grupos de tratamento (Humira 40 mg todas as semanas, Humira 40 mg em semanas alternadas, ou placebo da Semana 12 à Semana 35). Os doentes que foram </w:delText>
        </w:r>
        <w:r w:rsidR="0013275C">
          <w:rPr>
            <w:sz w:val="22"/>
            <w:szCs w:val="20"/>
          </w:rPr>
          <w:delText>aleatorizado</w:delText>
        </w:r>
        <w:r w:rsidRPr="008912CF">
          <w:rPr>
            <w:sz w:val="22"/>
            <w:szCs w:val="20"/>
          </w:rPr>
          <w:delText>s para placebo no Período A, receberam placebo no período B.</w:delText>
        </w:r>
      </w:del>
    </w:p>
    <w:p w14:paraId="43F4B1EB" w14:textId="60A4257D" w:rsidR="004462A0" w:rsidRPr="008912CF" w:rsidRDefault="004462A0" w:rsidP="00412FC8">
      <w:pPr>
        <w:rPr>
          <w:del w:id="8884" w:author="AbbVie2" w:date="2025-05-13T16:39:00Z"/>
          <w:sz w:val="22"/>
          <w:szCs w:val="22"/>
          <w:u w:val="single"/>
        </w:rPr>
      </w:pPr>
    </w:p>
    <w:p w14:paraId="1D5A51A0" w14:textId="56844ED1" w:rsidR="004462A0" w:rsidRPr="008912CF" w:rsidRDefault="00615769" w:rsidP="00412FC8">
      <w:pPr>
        <w:rPr>
          <w:del w:id="8885" w:author="AbbVie2" w:date="2025-05-13T16:39:00Z"/>
          <w:sz w:val="22"/>
          <w:szCs w:val="20"/>
        </w:rPr>
      </w:pPr>
      <w:del w:id="8886" w:author="AbbVie2" w:date="2025-05-13T16:39:00Z">
        <w:r w:rsidRPr="008912CF">
          <w:rPr>
            <w:sz w:val="22"/>
            <w:szCs w:val="20"/>
          </w:rPr>
          <w:delText>Os doentes que participaram nos estudos HS-I e HS-II foram elegíveis para participação num estudo de extensão de fase aberta, no qual Humira 40</w:delText>
        </w:r>
        <w:r>
          <w:rPr>
            <w:sz w:val="22"/>
            <w:szCs w:val="20"/>
          </w:rPr>
          <w:delText> </w:delText>
        </w:r>
        <w:r w:rsidRPr="008912CF">
          <w:rPr>
            <w:sz w:val="22"/>
            <w:szCs w:val="20"/>
          </w:rPr>
          <w:delText xml:space="preserve">mg foi administrado todas as semanas. </w:delText>
        </w:r>
        <w:r w:rsidR="00E45662">
          <w:rPr>
            <w:sz w:val="22"/>
            <w:szCs w:val="22"/>
          </w:rPr>
          <w:delText>A exposição média em toda a população de adalimumab foi de 762 dias.</w:delText>
        </w:r>
        <w:r w:rsidR="00317803">
          <w:rPr>
            <w:sz w:val="22"/>
            <w:szCs w:val="22"/>
          </w:rPr>
          <w:delText xml:space="preserve"> </w:delText>
        </w:r>
        <w:r w:rsidRPr="008912CF">
          <w:rPr>
            <w:sz w:val="22"/>
            <w:szCs w:val="20"/>
          </w:rPr>
          <w:delText>Nos três estudos, os doentes usaram anti-séptico tópico de lavagem diária.</w:delText>
        </w:r>
      </w:del>
    </w:p>
    <w:p w14:paraId="2CFA2504" w14:textId="2CD08596" w:rsidR="004462A0" w:rsidRPr="008912CF" w:rsidRDefault="004462A0" w:rsidP="00412FC8">
      <w:pPr>
        <w:rPr>
          <w:del w:id="8887" w:author="AbbVie2" w:date="2025-05-13T16:39:00Z"/>
          <w:sz w:val="22"/>
          <w:szCs w:val="22"/>
          <w:u w:val="single"/>
        </w:rPr>
      </w:pPr>
    </w:p>
    <w:p w14:paraId="136AE5A5" w14:textId="129B3C31" w:rsidR="004462A0" w:rsidRPr="008912CF" w:rsidRDefault="00615769" w:rsidP="00412FC8">
      <w:pPr>
        <w:rPr>
          <w:del w:id="8888" w:author="AbbVie2" w:date="2025-05-13T16:39:00Z"/>
          <w:i/>
          <w:sz w:val="22"/>
          <w:szCs w:val="22"/>
          <w:u w:val="single"/>
        </w:rPr>
      </w:pPr>
      <w:del w:id="8889" w:author="AbbVie2" w:date="2025-05-13T16:39:00Z">
        <w:r w:rsidRPr="008912CF">
          <w:rPr>
            <w:i/>
            <w:sz w:val="22"/>
            <w:szCs w:val="22"/>
            <w:u w:val="single"/>
          </w:rPr>
          <w:delText>Resposta clínica</w:delText>
        </w:r>
      </w:del>
    </w:p>
    <w:p w14:paraId="06F8A098" w14:textId="6860DEC4" w:rsidR="004462A0" w:rsidRPr="008912CF" w:rsidRDefault="004462A0" w:rsidP="00412FC8">
      <w:pPr>
        <w:rPr>
          <w:del w:id="8890" w:author="AbbVie2" w:date="2025-05-13T16:39:00Z"/>
          <w:sz w:val="22"/>
          <w:szCs w:val="22"/>
          <w:u w:val="single"/>
        </w:rPr>
      </w:pPr>
    </w:p>
    <w:p w14:paraId="0B359CCC" w14:textId="77EA8956" w:rsidR="004462A0" w:rsidRPr="008912CF" w:rsidRDefault="00615769" w:rsidP="00412FC8">
      <w:pPr>
        <w:rPr>
          <w:del w:id="8891" w:author="AbbVie2" w:date="2025-05-13T16:39:00Z"/>
          <w:sz w:val="22"/>
          <w:szCs w:val="20"/>
        </w:rPr>
      </w:pPr>
      <w:del w:id="8892" w:author="AbbVie2" w:date="2025-05-13T16:39:00Z">
        <w:r w:rsidRPr="008912CF">
          <w:rPr>
            <w:sz w:val="22"/>
            <w:szCs w:val="20"/>
          </w:rPr>
          <w:delText>A redução de lesões inflamatórias e prevenção do agravamento de abcessos e fístulas drenantes foram avaliadas utilizando o índice</w:delText>
        </w:r>
        <w:r w:rsidRPr="008912CF">
          <w:rPr>
            <w:i/>
            <w:sz w:val="22"/>
            <w:szCs w:val="20"/>
          </w:rPr>
          <w:delText xml:space="preserve"> Hidradenitis Suppurativa Clinical Response</w:delText>
        </w:r>
        <w:r w:rsidRPr="008912CF">
          <w:rPr>
            <w:sz w:val="22"/>
            <w:szCs w:val="20"/>
          </w:rPr>
          <w:delText xml:space="preserve"> (HiSCR; pelo menos 50% de redução na contagem do número total </w:delText>
        </w:r>
        <w:r w:rsidR="009E086D">
          <w:rPr>
            <w:sz w:val="22"/>
            <w:szCs w:val="20"/>
          </w:rPr>
          <w:delText>de</w:delText>
        </w:r>
        <w:r w:rsidR="009E086D" w:rsidRPr="008912CF">
          <w:rPr>
            <w:sz w:val="22"/>
            <w:szCs w:val="20"/>
          </w:rPr>
          <w:delText xml:space="preserve"> </w:delText>
        </w:r>
        <w:r w:rsidRPr="008912CF">
          <w:rPr>
            <w:sz w:val="22"/>
            <w:szCs w:val="20"/>
          </w:rPr>
          <w:delText xml:space="preserve">abcessos e nódulos inflamatórios, sem aumento na contagem de abcessos e sem aumento de fístulas drenantes, relativamente ao valor inicial). A redução da dor na pele, relacionada com HS, foi avaliada utilizando uma escala numérica - </w:delText>
        </w:r>
        <w:r w:rsidRPr="00DF5632">
          <w:rPr>
            <w:i/>
            <w:sz w:val="22"/>
            <w:szCs w:val="20"/>
          </w:rPr>
          <w:delText>Numeric Rating Scale</w:delText>
        </w:r>
        <w:r w:rsidR="009E086D">
          <w:rPr>
            <w:sz w:val="22"/>
            <w:szCs w:val="20"/>
          </w:rPr>
          <w:delText>,</w:delText>
        </w:r>
        <w:r w:rsidRPr="008912CF">
          <w:rPr>
            <w:sz w:val="22"/>
            <w:szCs w:val="20"/>
          </w:rPr>
          <w:delText xml:space="preserve"> em doentes que participaram no estudo com uma pontuação inicial de 3 ou mais, numa escala de 11 pontos.</w:delText>
        </w:r>
      </w:del>
    </w:p>
    <w:p w14:paraId="22CCECB8" w14:textId="7BA3A272" w:rsidR="004462A0" w:rsidRPr="008912CF" w:rsidRDefault="004462A0" w:rsidP="00412FC8">
      <w:pPr>
        <w:rPr>
          <w:del w:id="8893" w:author="AbbVie2" w:date="2025-05-13T16:39:00Z"/>
          <w:sz w:val="22"/>
          <w:szCs w:val="20"/>
        </w:rPr>
      </w:pPr>
    </w:p>
    <w:p w14:paraId="2AA20192" w14:textId="6B70294B" w:rsidR="004462A0" w:rsidRPr="008912CF" w:rsidRDefault="00615769" w:rsidP="00412FC8">
      <w:pPr>
        <w:rPr>
          <w:del w:id="8894" w:author="AbbVie2" w:date="2025-05-13T16:39:00Z"/>
          <w:sz w:val="22"/>
          <w:szCs w:val="20"/>
        </w:rPr>
      </w:pPr>
      <w:del w:id="8895" w:author="AbbVie2" w:date="2025-05-13T16:39:00Z">
        <w:r w:rsidRPr="008912CF">
          <w:rPr>
            <w:sz w:val="22"/>
            <w:szCs w:val="20"/>
          </w:rPr>
          <w:delText xml:space="preserve">Na Semana 12, uma percentagem significativamente superior de doentes tratados com Humira </w:delText>
        </w:r>
        <w:r w:rsidRPr="00DF5632">
          <w:rPr>
            <w:i/>
            <w:sz w:val="22"/>
            <w:szCs w:val="20"/>
          </w:rPr>
          <w:delText>versus</w:delText>
        </w:r>
        <w:r w:rsidRPr="008912CF">
          <w:rPr>
            <w:sz w:val="22"/>
            <w:szCs w:val="20"/>
          </w:rPr>
          <w:delText xml:space="preserve"> placebo alcançaram o HiSCR. Na semana 12, no Estudo HS-II, uma percentagem significativamente superior de doentes apresentaram uma diminuição clinicamente relevante da dor na pele, relacionada com HS (ver Tabela </w:delText>
        </w:r>
        <w:r w:rsidR="00B925B3">
          <w:rPr>
            <w:sz w:val="22"/>
            <w:szCs w:val="20"/>
          </w:rPr>
          <w:delText>19</w:delText>
        </w:r>
        <w:r w:rsidRPr="008912CF">
          <w:rPr>
            <w:sz w:val="22"/>
            <w:szCs w:val="20"/>
          </w:rPr>
          <w:delText>). Os doentes tratados com Humira apresentaram uma redução significativa do risco de agravamento da doença, durante as primeiras 12 semanas de tratamento.</w:delText>
        </w:r>
      </w:del>
    </w:p>
    <w:p w14:paraId="242316C2" w14:textId="48ED25F8" w:rsidR="004462A0" w:rsidRPr="008912CF" w:rsidRDefault="004462A0" w:rsidP="00412FC8">
      <w:pPr>
        <w:rPr>
          <w:del w:id="8896" w:author="AbbVie2" w:date="2025-05-13T16:39:00Z"/>
          <w:sz w:val="22"/>
          <w:szCs w:val="22"/>
          <w:u w:val="single"/>
        </w:rPr>
      </w:pPr>
    </w:p>
    <w:p w14:paraId="712CC659" w14:textId="2A53A28D" w:rsidR="004462A0" w:rsidRPr="008912CF" w:rsidRDefault="00615769">
      <w:pPr>
        <w:rPr>
          <w:del w:id="8897" w:author="AbbVie2" w:date="2025-05-13T16:39:00Z"/>
          <w:sz w:val="22"/>
          <w:szCs w:val="22"/>
        </w:rPr>
        <w:pPrChange w:id="8898" w:author="AbbVie2" w:date="2025-05-13T16:40:00Z">
          <w:pPr>
            <w:keepNext/>
            <w:jc w:val="center"/>
          </w:pPr>
        </w:pPrChange>
      </w:pPr>
      <w:del w:id="8899" w:author="AbbVie2" w:date="2025-05-13T16:39:00Z">
        <w:r w:rsidRPr="008912CF">
          <w:rPr>
            <w:b/>
            <w:sz w:val="22"/>
            <w:szCs w:val="22"/>
          </w:rPr>
          <w:delText xml:space="preserve">Tabela </w:delText>
        </w:r>
        <w:r w:rsidR="00B925B3">
          <w:rPr>
            <w:b/>
            <w:sz w:val="22"/>
            <w:szCs w:val="22"/>
          </w:rPr>
          <w:delText>19</w:delText>
        </w:r>
        <w:r w:rsidRPr="008912CF">
          <w:rPr>
            <w:b/>
            <w:sz w:val="22"/>
            <w:szCs w:val="22"/>
          </w:rPr>
          <w:delText>: Resultados de eficácia à</w:delText>
        </w:r>
        <w:r w:rsidR="0082206C">
          <w:rPr>
            <w:b/>
            <w:sz w:val="22"/>
            <w:szCs w:val="22"/>
          </w:rPr>
          <w:delText xml:space="preserve"> Semana</w:delText>
        </w:r>
        <w:r w:rsidRPr="008912CF">
          <w:rPr>
            <w:b/>
            <w:sz w:val="22"/>
            <w:szCs w:val="22"/>
          </w:rPr>
          <w:delText xml:space="preserve"> 12, Estudos HS I e II</w:delText>
        </w:r>
      </w:del>
    </w:p>
    <w:p w14:paraId="5DC2352C" w14:textId="658FBDAF" w:rsidR="004462A0" w:rsidRPr="008912CF" w:rsidRDefault="004462A0">
      <w:pPr>
        <w:rPr>
          <w:del w:id="8900" w:author="AbbVie2" w:date="2025-05-13T16:39:00Z"/>
          <w:sz w:val="22"/>
          <w:szCs w:val="22"/>
          <w:u w:val="single"/>
        </w:rPr>
        <w:pPrChange w:id="8901" w:author="AbbVie2" w:date="2025-05-13T16:40:00Z">
          <w:pPr>
            <w:keepNext/>
          </w:pPr>
        </w:pPrChange>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A7162A" w14:paraId="3AF34B0D" w14:textId="6401A6C4" w:rsidTr="00F675CF">
        <w:trPr>
          <w:jc w:val="center"/>
          <w:del w:id="8902" w:author="AbbVie2" w:date="2025-05-13T16:39:00Z"/>
        </w:trPr>
        <w:tc>
          <w:tcPr>
            <w:tcW w:w="2847" w:type="dxa"/>
            <w:vMerge w:val="restart"/>
            <w:tcMar>
              <w:top w:w="0" w:type="dxa"/>
              <w:left w:w="115" w:type="dxa"/>
              <w:bottom w:w="0" w:type="dxa"/>
              <w:right w:w="115" w:type="dxa"/>
            </w:tcMar>
            <w:vAlign w:val="bottom"/>
          </w:tcPr>
          <w:p w14:paraId="7E7EC819" w14:textId="566CC0D5" w:rsidR="004462A0" w:rsidRPr="008912CF" w:rsidRDefault="004462A0">
            <w:pPr>
              <w:rPr>
                <w:del w:id="8903" w:author="AbbVie2" w:date="2025-05-13T16:39:00Z"/>
                <w:b/>
                <w:color w:val="000000"/>
                <w:sz w:val="22"/>
              </w:rPr>
              <w:pPrChange w:id="8904" w:author="AbbVie2" w:date="2025-05-13T16:40:00Z">
                <w:pPr>
                  <w:keepNext/>
                  <w:widowControl w:val="0"/>
                  <w:tabs>
                    <w:tab w:val="left" w:pos="562"/>
                    <w:tab w:val="left" w:pos="4120"/>
                  </w:tabs>
                  <w:suppressAutoHyphens/>
                </w:pPr>
              </w:pPrChange>
            </w:pPr>
          </w:p>
        </w:tc>
        <w:tc>
          <w:tcPr>
            <w:tcW w:w="3186" w:type="dxa"/>
            <w:gridSpan w:val="2"/>
            <w:tcMar>
              <w:top w:w="0" w:type="dxa"/>
              <w:left w:w="115" w:type="dxa"/>
              <w:bottom w:w="0" w:type="dxa"/>
              <w:right w:w="115" w:type="dxa"/>
            </w:tcMar>
            <w:vAlign w:val="bottom"/>
          </w:tcPr>
          <w:p w14:paraId="60CF7598" w14:textId="079F25A7" w:rsidR="004462A0" w:rsidRPr="008912CF" w:rsidRDefault="00615769">
            <w:pPr>
              <w:rPr>
                <w:del w:id="8905" w:author="AbbVie2" w:date="2025-05-13T16:39:00Z"/>
                <w:b/>
                <w:bCs/>
                <w:color w:val="000000"/>
                <w:sz w:val="22"/>
              </w:rPr>
              <w:pPrChange w:id="8906" w:author="AbbVie2" w:date="2025-05-13T16:40:00Z">
                <w:pPr>
                  <w:keepNext/>
                  <w:widowControl w:val="0"/>
                  <w:tabs>
                    <w:tab w:val="left" w:pos="562"/>
                    <w:tab w:val="left" w:pos="4120"/>
                  </w:tabs>
                  <w:suppressAutoHyphens/>
                  <w:jc w:val="center"/>
                </w:pPr>
              </w:pPrChange>
            </w:pPr>
            <w:del w:id="8907" w:author="AbbVie2" w:date="2025-05-13T16:39:00Z">
              <w:r w:rsidRPr="008912CF">
                <w:rPr>
                  <w:b/>
                  <w:bCs/>
                  <w:color w:val="000000"/>
                  <w:sz w:val="22"/>
                </w:rPr>
                <w:delText>HS Estudo I</w:delText>
              </w:r>
            </w:del>
          </w:p>
        </w:tc>
        <w:tc>
          <w:tcPr>
            <w:tcW w:w="3260" w:type="dxa"/>
            <w:gridSpan w:val="2"/>
            <w:tcMar>
              <w:top w:w="0" w:type="dxa"/>
              <w:left w:w="115" w:type="dxa"/>
              <w:bottom w:w="0" w:type="dxa"/>
              <w:right w:w="115" w:type="dxa"/>
            </w:tcMar>
            <w:vAlign w:val="bottom"/>
          </w:tcPr>
          <w:p w14:paraId="11DF34A5" w14:textId="283A6A02" w:rsidR="004462A0" w:rsidRPr="008912CF" w:rsidRDefault="00615769">
            <w:pPr>
              <w:rPr>
                <w:del w:id="8908" w:author="AbbVie2" w:date="2025-05-13T16:39:00Z"/>
                <w:b/>
                <w:bCs/>
                <w:color w:val="000000"/>
                <w:sz w:val="22"/>
              </w:rPr>
              <w:pPrChange w:id="8909" w:author="AbbVie2" w:date="2025-05-13T16:40:00Z">
                <w:pPr>
                  <w:keepNext/>
                  <w:widowControl w:val="0"/>
                  <w:tabs>
                    <w:tab w:val="left" w:pos="562"/>
                    <w:tab w:val="left" w:pos="4120"/>
                  </w:tabs>
                  <w:suppressAutoHyphens/>
                  <w:jc w:val="center"/>
                </w:pPr>
              </w:pPrChange>
            </w:pPr>
            <w:del w:id="8910" w:author="AbbVie2" w:date="2025-05-13T16:39:00Z">
              <w:r w:rsidRPr="008912CF">
                <w:rPr>
                  <w:b/>
                  <w:bCs/>
                  <w:color w:val="000000"/>
                  <w:sz w:val="22"/>
                </w:rPr>
                <w:delText>HS Estudo II</w:delText>
              </w:r>
            </w:del>
          </w:p>
        </w:tc>
      </w:tr>
      <w:tr w:rsidR="00A7162A" w14:paraId="40B68875" w14:textId="777CFF71" w:rsidTr="00F675CF">
        <w:trPr>
          <w:jc w:val="center"/>
          <w:del w:id="8911" w:author="AbbVie2" w:date="2025-05-13T16:39:00Z"/>
        </w:trPr>
        <w:tc>
          <w:tcPr>
            <w:tcW w:w="2847" w:type="dxa"/>
            <w:vMerge/>
            <w:tcMar>
              <w:top w:w="0" w:type="dxa"/>
              <w:left w:w="115" w:type="dxa"/>
              <w:bottom w:w="0" w:type="dxa"/>
              <w:right w:w="115" w:type="dxa"/>
            </w:tcMar>
            <w:vAlign w:val="center"/>
            <w:hideMark/>
          </w:tcPr>
          <w:p w14:paraId="2292F28A" w14:textId="2E679774" w:rsidR="004462A0" w:rsidRPr="008912CF" w:rsidRDefault="004462A0">
            <w:pPr>
              <w:rPr>
                <w:del w:id="8912" w:author="AbbVie2" w:date="2025-05-13T16:39:00Z"/>
                <w:color w:val="000000"/>
                <w:sz w:val="22"/>
              </w:rPr>
              <w:pPrChange w:id="8913" w:author="AbbVie2" w:date="2025-05-13T16:40:00Z">
                <w:pPr>
                  <w:keepNext/>
                  <w:widowControl w:val="0"/>
                  <w:tabs>
                    <w:tab w:val="left" w:pos="562"/>
                    <w:tab w:val="left" w:pos="4120"/>
                  </w:tabs>
                  <w:suppressAutoHyphens/>
                </w:pPr>
              </w:pPrChange>
            </w:pPr>
          </w:p>
        </w:tc>
        <w:tc>
          <w:tcPr>
            <w:tcW w:w="1440" w:type="dxa"/>
            <w:tcMar>
              <w:top w:w="0" w:type="dxa"/>
              <w:left w:w="115" w:type="dxa"/>
              <w:bottom w:w="0" w:type="dxa"/>
              <w:right w:w="115" w:type="dxa"/>
            </w:tcMar>
            <w:vAlign w:val="bottom"/>
            <w:hideMark/>
          </w:tcPr>
          <w:p w14:paraId="7A6F502D" w14:textId="02424992" w:rsidR="004462A0" w:rsidRPr="008912CF" w:rsidRDefault="00615769">
            <w:pPr>
              <w:rPr>
                <w:del w:id="8914" w:author="AbbVie2" w:date="2025-05-13T16:39:00Z"/>
                <w:color w:val="000000"/>
                <w:sz w:val="22"/>
              </w:rPr>
              <w:pPrChange w:id="8915" w:author="AbbVie2" w:date="2025-05-13T16:40:00Z">
                <w:pPr>
                  <w:keepNext/>
                  <w:widowControl w:val="0"/>
                  <w:tabs>
                    <w:tab w:val="left" w:pos="562"/>
                    <w:tab w:val="left" w:pos="4120"/>
                  </w:tabs>
                  <w:suppressAutoHyphens/>
                  <w:jc w:val="center"/>
                </w:pPr>
              </w:pPrChange>
            </w:pPr>
            <w:del w:id="8916" w:author="AbbVie2" w:date="2025-05-13T16:39:00Z">
              <w:r w:rsidRPr="008912CF">
                <w:rPr>
                  <w:b/>
                  <w:bCs/>
                  <w:color w:val="000000"/>
                  <w:sz w:val="22"/>
                </w:rPr>
                <w:delText>Placebo</w:delText>
              </w:r>
            </w:del>
          </w:p>
        </w:tc>
        <w:tc>
          <w:tcPr>
            <w:tcW w:w="1746" w:type="dxa"/>
            <w:tcMar>
              <w:top w:w="0" w:type="dxa"/>
              <w:left w:w="115" w:type="dxa"/>
              <w:bottom w:w="0" w:type="dxa"/>
              <w:right w:w="115" w:type="dxa"/>
            </w:tcMar>
            <w:vAlign w:val="bottom"/>
            <w:hideMark/>
          </w:tcPr>
          <w:p w14:paraId="1B63C975" w14:textId="44A7397E" w:rsidR="004462A0" w:rsidRPr="008912CF" w:rsidRDefault="00615769">
            <w:pPr>
              <w:rPr>
                <w:del w:id="8917" w:author="AbbVie2" w:date="2025-05-13T16:39:00Z"/>
                <w:b/>
                <w:bCs/>
                <w:color w:val="000000"/>
                <w:sz w:val="22"/>
              </w:rPr>
              <w:pPrChange w:id="8918" w:author="AbbVie2" w:date="2025-05-13T16:40:00Z">
                <w:pPr>
                  <w:keepNext/>
                  <w:widowControl w:val="0"/>
                  <w:tabs>
                    <w:tab w:val="left" w:pos="562"/>
                    <w:tab w:val="left" w:pos="4120"/>
                  </w:tabs>
                  <w:suppressAutoHyphens/>
                  <w:jc w:val="center"/>
                </w:pPr>
              </w:pPrChange>
            </w:pPr>
            <w:del w:id="8919" w:author="AbbVie2" w:date="2025-05-13T16:39:00Z">
              <w:r w:rsidRPr="008912CF">
                <w:rPr>
                  <w:b/>
                  <w:bCs/>
                  <w:color w:val="000000"/>
                  <w:sz w:val="22"/>
                </w:rPr>
                <w:delText>Humira 40 mg Semanalmente</w:delText>
              </w:r>
            </w:del>
          </w:p>
        </w:tc>
        <w:tc>
          <w:tcPr>
            <w:tcW w:w="1404" w:type="dxa"/>
            <w:tcMar>
              <w:top w:w="0" w:type="dxa"/>
              <w:left w:w="115" w:type="dxa"/>
              <w:bottom w:w="0" w:type="dxa"/>
              <w:right w:w="115" w:type="dxa"/>
            </w:tcMar>
            <w:vAlign w:val="bottom"/>
            <w:hideMark/>
          </w:tcPr>
          <w:p w14:paraId="5E3451C3" w14:textId="0C920272" w:rsidR="004462A0" w:rsidRPr="008912CF" w:rsidRDefault="00615769">
            <w:pPr>
              <w:rPr>
                <w:del w:id="8920" w:author="AbbVie2" w:date="2025-05-13T16:39:00Z"/>
                <w:b/>
                <w:bCs/>
                <w:color w:val="000000"/>
                <w:sz w:val="22"/>
              </w:rPr>
              <w:pPrChange w:id="8921" w:author="AbbVie2" w:date="2025-05-13T16:40:00Z">
                <w:pPr>
                  <w:keepNext/>
                  <w:widowControl w:val="0"/>
                  <w:tabs>
                    <w:tab w:val="left" w:pos="562"/>
                    <w:tab w:val="left" w:pos="4120"/>
                  </w:tabs>
                  <w:suppressAutoHyphens/>
                  <w:jc w:val="center"/>
                </w:pPr>
              </w:pPrChange>
            </w:pPr>
            <w:del w:id="8922" w:author="AbbVie2" w:date="2025-05-13T16:39:00Z">
              <w:r w:rsidRPr="008912CF">
                <w:rPr>
                  <w:b/>
                  <w:bCs/>
                  <w:color w:val="000000"/>
                  <w:sz w:val="22"/>
                </w:rPr>
                <w:delText xml:space="preserve">Placebo </w:delText>
              </w:r>
            </w:del>
          </w:p>
        </w:tc>
        <w:tc>
          <w:tcPr>
            <w:tcW w:w="1856" w:type="dxa"/>
            <w:tcMar>
              <w:top w:w="0" w:type="dxa"/>
              <w:left w:w="115" w:type="dxa"/>
              <w:bottom w:w="0" w:type="dxa"/>
              <w:right w:w="115" w:type="dxa"/>
            </w:tcMar>
            <w:vAlign w:val="bottom"/>
            <w:hideMark/>
          </w:tcPr>
          <w:p w14:paraId="183191E4" w14:textId="0AE7BE52" w:rsidR="004462A0" w:rsidRPr="008912CF" w:rsidRDefault="00615769">
            <w:pPr>
              <w:rPr>
                <w:del w:id="8923" w:author="AbbVie2" w:date="2025-05-13T16:39:00Z"/>
                <w:b/>
                <w:bCs/>
                <w:color w:val="000000"/>
                <w:sz w:val="22"/>
              </w:rPr>
              <w:pPrChange w:id="8924" w:author="AbbVie2" w:date="2025-05-13T16:40:00Z">
                <w:pPr>
                  <w:keepNext/>
                  <w:widowControl w:val="0"/>
                  <w:tabs>
                    <w:tab w:val="left" w:pos="562"/>
                    <w:tab w:val="left" w:pos="4120"/>
                  </w:tabs>
                  <w:suppressAutoHyphens/>
                  <w:jc w:val="center"/>
                </w:pPr>
              </w:pPrChange>
            </w:pPr>
            <w:del w:id="8925" w:author="AbbVie2" w:date="2025-05-13T16:39:00Z">
              <w:r w:rsidRPr="008912CF">
                <w:rPr>
                  <w:b/>
                  <w:bCs/>
                  <w:color w:val="000000"/>
                  <w:sz w:val="22"/>
                </w:rPr>
                <w:delText>Humira 40 mg Semanalmente</w:delText>
              </w:r>
            </w:del>
          </w:p>
        </w:tc>
      </w:tr>
      <w:tr w:rsidR="00A7162A" w14:paraId="4D9843B2" w14:textId="729D83C7" w:rsidTr="00F675CF">
        <w:trPr>
          <w:trHeight w:val="755"/>
          <w:jc w:val="center"/>
          <w:del w:id="8926" w:author="AbbVie2" w:date="2025-05-13T16:39:00Z"/>
        </w:trPr>
        <w:tc>
          <w:tcPr>
            <w:tcW w:w="2847" w:type="dxa"/>
            <w:tcMar>
              <w:top w:w="0" w:type="dxa"/>
              <w:left w:w="115" w:type="dxa"/>
              <w:bottom w:w="0" w:type="dxa"/>
              <w:right w:w="115" w:type="dxa"/>
            </w:tcMar>
            <w:vAlign w:val="center"/>
            <w:hideMark/>
          </w:tcPr>
          <w:p w14:paraId="359DC5EC" w14:textId="006FD74A" w:rsidR="004462A0" w:rsidRPr="008912CF" w:rsidRDefault="00615769">
            <w:pPr>
              <w:rPr>
                <w:del w:id="8927" w:author="AbbVie2" w:date="2025-05-13T16:39:00Z"/>
                <w:color w:val="000000"/>
                <w:sz w:val="22"/>
              </w:rPr>
              <w:pPrChange w:id="8928" w:author="AbbVie2" w:date="2025-05-13T16:40:00Z">
                <w:pPr>
                  <w:keepNext/>
                  <w:widowControl w:val="0"/>
                  <w:tabs>
                    <w:tab w:val="left" w:pos="562"/>
                    <w:tab w:val="left" w:pos="4120"/>
                  </w:tabs>
                  <w:suppressAutoHyphens/>
                </w:pPr>
              </w:pPrChange>
            </w:pPr>
            <w:del w:id="8929" w:author="AbbVie2" w:date="2025-05-13T16:39:00Z">
              <w:r w:rsidRPr="008912CF">
                <w:rPr>
                  <w:color w:val="000000"/>
                  <w:sz w:val="22"/>
                </w:rPr>
                <w:delText>Hidradenite Supurativa Resposta Clinica (HiSCR)</w:delText>
              </w:r>
              <w:r w:rsidRPr="008912CF">
                <w:rPr>
                  <w:color w:val="000000"/>
                  <w:sz w:val="22"/>
                  <w:vertAlign w:val="superscript"/>
                </w:rPr>
                <w:delText>a</w:delText>
              </w:r>
              <w:r w:rsidRPr="008912CF">
                <w:rPr>
                  <w:color w:val="000000"/>
                  <w:sz w:val="22"/>
                </w:rPr>
                <w:delText xml:space="preserve"> </w:delText>
              </w:r>
            </w:del>
          </w:p>
          <w:p w14:paraId="00BECB46" w14:textId="5DA2E6EE" w:rsidR="004462A0" w:rsidRPr="008912CF" w:rsidRDefault="004462A0">
            <w:pPr>
              <w:rPr>
                <w:del w:id="8930" w:author="AbbVie2" w:date="2025-05-13T16:39:00Z"/>
                <w:color w:val="000000"/>
                <w:sz w:val="22"/>
              </w:rPr>
              <w:pPrChange w:id="8931" w:author="AbbVie2" w:date="2025-05-13T16:40:00Z">
                <w:pPr>
                  <w:keepNext/>
                  <w:widowControl w:val="0"/>
                  <w:tabs>
                    <w:tab w:val="left" w:pos="562"/>
                    <w:tab w:val="left" w:pos="4120"/>
                  </w:tabs>
                  <w:suppressAutoHyphens/>
                </w:pPr>
              </w:pPrChange>
            </w:pPr>
          </w:p>
        </w:tc>
        <w:tc>
          <w:tcPr>
            <w:tcW w:w="1440" w:type="dxa"/>
            <w:tcMar>
              <w:top w:w="0" w:type="dxa"/>
              <w:left w:w="115" w:type="dxa"/>
              <w:bottom w:w="0" w:type="dxa"/>
              <w:right w:w="115" w:type="dxa"/>
            </w:tcMar>
            <w:hideMark/>
          </w:tcPr>
          <w:p w14:paraId="3288FC6B" w14:textId="0F59F6DF" w:rsidR="004462A0" w:rsidRPr="008912CF" w:rsidRDefault="00615769">
            <w:pPr>
              <w:rPr>
                <w:del w:id="8932" w:author="AbbVie2" w:date="2025-05-13T16:39:00Z"/>
                <w:color w:val="000000"/>
                <w:sz w:val="22"/>
              </w:rPr>
              <w:pPrChange w:id="8933" w:author="AbbVie2" w:date="2025-05-13T16:40:00Z">
                <w:pPr>
                  <w:keepNext/>
                  <w:widowControl w:val="0"/>
                  <w:tabs>
                    <w:tab w:val="left" w:pos="562"/>
                    <w:tab w:val="left" w:pos="4120"/>
                  </w:tabs>
                  <w:suppressAutoHyphens/>
                  <w:jc w:val="center"/>
                </w:pPr>
              </w:pPrChange>
            </w:pPr>
            <w:del w:id="8934" w:author="AbbVie2" w:date="2025-05-13T16:39:00Z">
              <w:r w:rsidRPr="008912CF">
                <w:rPr>
                  <w:color w:val="000000"/>
                  <w:sz w:val="22"/>
                </w:rPr>
                <w:delText>N = 154</w:delText>
              </w:r>
            </w:del>
          </w:p>
          <w:p w14:paraId="4C48735B" w14:textId="5721473C" w:rsidR="004462A0" w:rsidRPr="008912CF" w:rsidRDefault="00615769">
            <w:pPr>
              <w:rPr>
                <w:del w:id="8935" w:author="AbbVie2" w:date="2025-05-13T16:39:00Z"/>
                <w:color w:val="000000"/>
                <w:sz w:val="22"/>
              </w:rPr>
              <w:pPrChange w:id="8936" w:author="AbbVie2" w:date="2025-05-13T16:40:00Z">
                <w:pPr>
                  <w:keepNext/>
                  <w:widowControl w:val="0"/>
                  <w:tabs>
                    <w:tab w:val="left" w:pos="562"/>
                    <w:tab w:val="left" w:pos="4120"/>
                  </w:tabs>
                  <w:suppressAutoHyphens/>
                  <w:jc w:val="center"/>
                </w:pPr>
              </w:pPrChange>
            </w:pPr>
            <w:del w:id="8937" w:author="AbbVie2" w:date="2025-05-13T16:39:00Z">
              <w:r w:rsidRPr="008912CF">
                <w:rPr>
                  <w:color w:val="000000"/>
                  <w:sz w:val="22"/>
                </w:rPr>
                <w:delText>40 (26,0%)</w:delText>
              </w:r>
            </w:del>
          </w:p>
        </w:tc>
        <w:tc>
          <w:tcPr>
            <w:tcW w:w="1746" w:type="dxa"/>
            <w:tcMar>
              <w:top w:w="0" w:type="dxa"/>
              <w:left w:w="115" w:type="dxa"/>
              <w:bottom w:w="0" w:type="dxa"/>
              <w:right w:w="115" w:type="dxa"/>
            </w:tcMar>
            <w:hideMark/>
          </w:tcPr>
          <w:p w14:paraId="127E5147" w14:textId="247B8E06" w:rsidR="004462A0" w:rsidRPr="008912CF" w:rsidRDefault="00615769">
            <w:pPr>
              <w:rPr>
                <w:del w:id="8938" w:author="AbbVie2" w:date="2025-05-13T16:39:00Z"/>
                <w:color w:val="000000"/>
                <w:sz w:val="22"/>
              </w:rPr>
              <w:pPrChange w:id="8939" w:author="AbbVie2" w:date="2025-05-13T16:40:00Z">
                <w:pPr>
                  <w:keepNext/>
                  <w:widowControl w:val="0"/>
                  <w:tabs>
                    <w:tab w:val="left" w:pos="562"/>
                    <w:tab w:val="left" w:pos="4120"/>
                  </w:tabs>
                  <w:suppressAutoHyphens/>
                  <w:jc w:val="center"/>
                </w:pPr>
              </w:pPrChange>
            </w:pPr>
            <w:del w:id="8940" w:author="AbbVie2" w:date="2025-05-13T16:39:00Z">
              <w:r w:rsidRPr="008912CF">
                <w:rPr>
                  <w:color w:val="000000"/>
                  <w:sz w:val="22"/>
                </w:rPr>
                <w:delText>N = 153</w:delText>
              </w:r>
            </w:del>
          </w:p>
          <w:p w14:paraId="1300B91C" w14:textId="1D8555C5" w:rsidR="004462A0" w:rsidRPr="008912CF" w:rsidRDefault="00615769">
            <w:pPr>
              <w:rPr>
                <w:del w:id="8941" w:author="AbbVie2" w:date="2025-05-13T16:39:00Z"/>
                <w:color w:val="000000"/>
                <w:sz w:val="22"/>
              </w:rPr>
              <w:pPrChange w:id="8942" w:author="AbbVie2" w:date="2025-05-13T16:40:00Z">
                <w:pPr>
                  <w:keepNext/>
                  <w:widowControl w:val="0"/>
                  <w:tabs>
                    <w:tab w:val="left" w:pos="562"/>
                    <w:tab w:val="left" w:pos="4120"/>
                  </w:tabs>
                  <w:suppressAutoHyphens/>
                  <w:jc w:val="center"/>
                </w:pPr>
              </w:pPrChange>
            </w:pPr>
            <w:del w:id="8943" w:author="AbbVie2" w:date="2025-05-13T16:39:00Z">
              <w:r w:rsidRPr="008912CF">
                <w:rPr>
                  <w:color w:val="000000"/>
                  <w:sz w:val="22"/>
                </w:rPr>
                <w:delText xml:space="preserve">64 (41,8%) </w:delText>
              </w:r>
              <w:r w:rsidRPr="008912CF">
                <w:rPr>
                  <w:color w:val="000000"/>
                  <w:sz w:val="22"/>
                  <w:vertAlign w:val="superscript"/>
                </w:rPr>
                <w:delText>*</w:delText>
              </w:r>
            </w:del>
          </w:p>
        </w:tc>
        <w:tc>
          <w:tcPr>
            <w:tcW w:w="1404" w:type="dxa"/>
            <w:tcMar>
              <w:top w:w="0" w:type="dxa"/>
              <w:left w:w="115" w:type="dxa"/>
              <w:bottom w:w="0" w:type="dxa"/>
              <w:right w:w="115" w:type="dxa"/>
            </w:tcMar>
          </w:tcPr>
          <w:p w14:paraId="1DCA1003" w14:textId="494B6723" w:rsidR="004462A0" w:rsidRPr="008912CF" w:rsidRDefault="00615769">
            <w:pPr>
              <w:rPr>
                <w:del w:id="8944" w:author="AbbVie2" w:date="2025-05-13T16:39:00Z"/>
                <w:color w:val="000000"/>
                <w:sz w:val="22"/>
              </w:rPr>
              <w:pPrChange w:id="8945" w:author="AbbVie2" w:date="2025-05-13T16:40:00Z">
                <w:pPr>
                  <w:keepNext/>
                  <w:widowControl w:val="0"/>
                  <w:tabs>
                    <w:tab w:val="left" w:pos="562"/>
                    <w:tab w:val="left" w:pos="4120"/>
                  </w:tabs>
                  <w:suppressAutoHyphens/>
                  <w:jc w:val="center"/>
                </w:pPr>
              </w:pPrChange>
            </w:pPr>
            <w:del w:id="8946" w:author="AbbVie2" w:date="2025-05-13T16:39:00Z">
              <w:r w:rsidRPr="008912CF">
                <w:rPr>
                  <w:color w:val="000000"/>
                  <w:sz w:val="22"/>
                </w:rPr>
                <w:delText>N=163</w:delText>
              </w:r>
            </w:del>
          </w:p>
          <w:p w14:paraId="6BD4F657" w14:textId="3246FBF4" w:rsidR="004462A0" w:rsidRPr="008912CF" w:rsidRDefault="00615769">
            <w:pPr>
              <w:rPr>
                <w:del w:id="8947" w:author="AbbVie2" w:date="2025-05-13T16:39:00Z"/>
                <w:color w:val="000000"/>
                <w:sz w:val="22"/>
              </w:rPr>
              <w:pPrChange w:id="8948" w:author="AbbVie2" w:date="2025-05-13T16:40:00Z">
                <w:pPr>
                  <w:keepNext/>
                  <w:widowControl w:val="0"/>
                  <w:tabs>
                    <w:tab w:val="left" w:pos="562"/>
                    <w:tab w:val="left" w:pos="4120"/>
                  </w:tabs>
                  <w:suppressAutoHyphens/>
                  <w:jc w:val="center"/>
                </w:pPr>
              </w:pPrChange>
            </w:pPr>
            <w:del w:id="8949" w:author="AbbVie2" w:date="2025-05-13T16:39:00Z">
              <w:r w:rsidRPr="008912CF">
                <w:rPr>
                  <w:color w:val="000000"/>
                  <w:sz w:val="22"/>
                </w:rPr>
                <w:delText>45 (27,6%)</w:delText>
              </w:r>
            </w:del>
          </w:p>
        </w:tc>
        <w:tc>
          <w:tcPr>
            <w:tcW w:w="1856" w:type="dxa"/>
            <w:tcMar>
              <w:top w:w="0" w:type="dxa"/>
              <w:left w:w="115" w:type="dxa"/>
              <w:bottom w:w="0" w:type="dxa"/>
              <w:right w:w="115" w:type="dxa"/>
            </w:tcMar>
          </w:tcPr>
          <w:p w14:paraId="63FB4ABC" w14:textId="7890CD13" w:rsidR="004462A0" w:rsidRPr="008912CF" w:rsidRDefault="00615769">
            <w:pPr>
              <w:rPr>
                <w:del w:id="8950" w:author="AbbVie2" w:date="2025-05-13T16:39:00Z"/>
                <w:color w:val="000000"/>
                <w:sz w:val="22"/>
              </w:rPr>
              <w:pPrChange w:id="8951" w:author="AbbVie2" w:date="2025-05-13T16:40:00Z">
                <w:pPr>
                  <w:keepNext/>
                  <w:widowControl w:val="0"/>
                  <w:tabs>
                    <w:tab w:val="left" w:pos="562"/>
                    <w:tab w:val="left" w:pos="4120"/>
                  </w:tabs>
                  <w:suppressAutoHyphens/>
                  <w:jc w:val="center"/>
                </w:pPr>
              </w:pPrChange>
            </w:pPr>
            <w:del w:id="8952" w:author="AbbVie2" w:date="2025-05-13T16:39:00Z">
              <w:r w:rsidRPr="008912CF">
                <w:rPr>
                  <w:color w:val="000000"/>
                  <w:sz w:val="22"/>
                </w:rPr>
                <w:delText>N=163</w:delText>
              </w:r>
            </w:del>
          </w:p>
          <w:p w14:paraId="3A6EF420" w14:textId="38A6D09A" w:rsidR="004462A0" w:rsidRPr="008912CF" w:rsidRDefault="00615769">
            <w:pPr>
              <w:rPr>
                <w:del w:id="8953" w:author="AbbVie2" w:date="2025-05-13T16:39:00Z"/>
                <w:color w:val="000000"/>
                <w:sz w:val="22"/>
              </w:rPr>
              <w:pPrChange w:id="8954" w:author="AbbVie2" w:date="2025-05-13T16:40:00Z">
                <w:pPr>
                  <w:keepNext/>
                  <w:widowControl w:val="0"/>
                  <w:tabs>
                    <w:tab w:val="left" w:pos="562"/>
                    <w:tab w:val="left" w:pos="4120"/>
                  </w:tabs>
                  <w:suppressAutoHyphens/>
                  <w:jc w:val="center"/>
                </w:pPr>
              </w:pPrChange>
            </w:pPr>
            <w:del w:id="8955" w:author="AbbVie2" w:date="2025-05-13T16:39:00Z">
              <w:r w:rsidRPr="008912CF">
                <w:rPr>
                  <w:color w:val="000000"/>
                  <w:sz w:val="22"/>
                </w:rPr>
                <w:delText xml:space="preserve">96 (58,9%) </w:delText>
              </w:r>
              <w:r w:rsidRPr="008912CF">
                <w:rPr>
                  <w:color w:val="000000"/>
                  <w:sz w:val="22"/>
                  <w:vertAlign w:val="superscript"/>
                </w:rPr>
                <w:delText>***</w:delText>
              </w:r>
            </w:del>
          </w:p>
        </w:tc>
      </w:tr>
      <w:tr w:rsidR="00A7162A" w14:paraId="221E8BE1" w14:textId="02B303D4" w:rsidTr="00F675CF">
        <w:trPr>
          <w:jc w:val="center"/>
          <w:del w:id="8956" w:author="AbbVie2" w:date="2025-05-13T16:39:00Z"/>
        </w:trPr>
        <w:tc>
          <w:tcPr>
            <w:tcW w:w="2847" w:type="dxa"/>
            <w:tcMar>
              <w:top w:w="0" w:type="dxa"/>
              <w:left w:w="115" w:type="dxa"/>
              <w:bottom w:w="0" w:type="dxa"/>
              <w:right w:w="115" w:type="dxa"/>
            </w:tcMar>
            <w:vAlign w:val="center"/>
            <w:hideMark/>
          </w:tcPr>
          <w:p w14:paraId="6569D5DC" w14:textId="3E0F887D" w:rsidR="004462A0" w:rsidRPr="008912CF" w:rsidRDefault="00615769">
            <w:pPr>
              <w:rPr>
                <w:del w:id="8957" w:author="AbbVie2" w:date="2025-05-13T16:39:00Z"/>
                <w:color w:val="000000"/>
                <w:sz w:val="22"/>
              </w:rPr>
              <w:pPrChange w:id="8958" w:author="AbbVie2" w:date="2025-05-13T16:40:00Z">
                <w:pPr>
                  <w:keepNext/>
                  <w:widowControl w:val="0"/>
                  <w:tabs>
                    <w:tab w:val="left" w:pos="562"/>
                    <w:tab w:val="left" w:pos="4120"/>
                  </w:tabs>
                  <w:suppressAutoHyphens/>
                </w:pPr>
              </w:pPrChange>
            </w:pPr>
            <w:del w:id="8959" w:author="AbbVie2" w:date="2025-05-13T16:39:00Z">
              <w:r w:rsidRPr="008912CF">
                <w:rPr>
                  <w:color w:val="000000"/>
                  <w:sz w:val="22"/>
                </w:rPr>
                <w:delText>≥30% Redução da dor na pele</w:delText>
              </w:r>
              <w:r w:rsidRPr="008912CF">
                <w:rPr>
                  <w:color w:val="000000"/>
                  <w:sz w:val="22"/>
                  <w:vertAlign w:val="superscript"/>
                </w:rPr>
                <w:delText>b</w:delText>
              </w:r>
            </w:del>
          </w:p>
        </w:tc>
        <w:tc>
          <w:tcPr>
            <w:tcW w:w="1440" w:type="dxa"/>
            <w:tcMar>
              <w:top w:w="0" w:type="dxa"/>
              <w:left w:w="115" w:type="dxa"/>
              <w:bottom w:w="0" w:type="dxa"/>
              <w:right w:w="115" w:type="dxa"/>
            </w:tcMar>
            <w:hideMark/>
          </w:tcPr>
          <w:p w14:paraId="283E3CBA" w14:textId="4FB48D02" w:rsidR="004462A0" w:rsidRPr="008912CF" w:rsidRDefault="00615769">
            <w:pPr>
              <w:rPr>
                <w:del w:id="8960" w:author="AbbVie2" w:date="2025-05-13T16:39:00Z"/>
                <w:color w:val="000000"/>
                <w:sz w:val="22"/>
              </w:rPr>
              <w:pPrChange w:id="8961" w:author="AbbVie2" w:date="2025-05-13T16:40:00Z">
                <w:pPr>
                  <w:keepNext/>
                  <w:widowControl w:val="0"/>
                  <w:tabs>
                    <w:tab w:val="left" w:pos="562"/>
                    <w:tab w:val="left" w:pos="4120"/>
                  </w:tabs>
                  <w:suppressAutoHyphens/>
                  <w:jc w:val="center"/>
                </w:pPr>
              </w:pPrChange>
            </w:pPr>
            <w:del w:id="8962" w:author="AbbVie2" w:date="2025-05-13T16:39:00Z">
              <w:r w:rsidRPr="008912CF">
                <w:rPr>
                  <w:color w:val="000000"/>
                  <w:sz w:val="22"/>
                </w:rPr>
                <w:delText>N = 109</w:delText>
              </w:r>
            </w:del>
          </w:p>
          <w:p w14:paraId="76AC834F" w14:textId="75DF158D" w:rsidR="004462A0" w:rsidRPr="008912CF" w:rsidRDefault="00615769">
            <w:pPr>
              <w:rPr>
                <w:del w:id="8963" w:author="AbbVie2" w:date="2025-05-13T16:39:00Z"/>
                <w:color w:val="000000"/>
                <w:sz w:val="22"/>
              </w:rPr>
              <w:pPrChange w:id="8964" w:author="AbbVie2" w:date="2025-05-13T16:40:00Z">
                <w:pPr>
                  <w:keepNext/>
                  <w:widowControl w:val="0"/>
                  <w:tabs>
                    <w:tab w:val="left" w:pos="562"/>
                    <w:tab w:val="left" w:pos="4120"/>
                  </w:tabs>
                  <w:suppressAutoHyphens/>
                  <w:jc w:val="center"/>
                </w:pPr>
              </w:pPrChange>
            </w:pPr>
            <w:del w:id="8965" w:author="AbbVie2" w:date="2025-05-13T16:39:00Z">
              <w:r w:rsidRPr="008912CF">
                <w:rPr>
                  <w:color w:val="000000"/>
                  <w:sz w:val="22"/>
                </w:rPr>
                <w:delText>27 (24,8%)</w:delText>
              </w:r>
            </w:del>
          </w:p>
        </w:tc>
        <w:tc>
          <w:tcPr>
            <w:tcW w:w="1746" w:type="dxa"/>
            <w:tcMar>
              <w:top w:w="0" w:type="dxa"/>
              <w:left w:w="115" w:type="dxa"/>
              <w:bottom w:w="0" w:type="dxa"/>
              <w:right w:w="115" w:type="dxa"/>
            </w:tcMar>
            <w:hideMark/>
          </w:tcPr>
          <w:p w14:paraId="53366270" w14:textId="71E657C6" w:rsidR="004462A0" w:rsidRPr="008912CF" w:rsidRDefault="00615769">
            <w:pPr>
              <w:rPr>
                <w:del w:id="8966" w:author="AbbVie2" w:date="2025-05-13T16:39:00Z"/>
                <w:color w:val="000000"/>
                <w:sz w:val="22"/>
              </w:rPr>
              <w:pPrChange w:id="8967" w:author="AbbVie2" w:date="2025-05-13T16:40:00Z">
                <w:pPr>
                  <w:keepNext/>
                  <w:widowControl w:val="0"/>
                  <w:tabs>
                    <w:tab w:val="left" w:pos="562"/>
                    <w:tab w:val="left" w:pos="4120"/>
                  </w:tabs>
                  <w:suppressAutoHyphens/>
                  <w:jc w:val="center"/>
                </w:pPr>
              </w:pPrChange>
            </w:pPr>
            <w:del w:id="8968" w:author="AbbVie2" w:date="2025-05-13T16:39:00Z">
              <w:r w:rsidRPr="008912CF">
                <w:rPr>
                  <w:color w:val="000000"/>
                  <w:sz w:val="22"/>
                </w:rPr>
                <w:delText>N = 122</w:delText>
              </w:r>
            </w:del>
          </w:p>
          <w:p w14:paraId="686B3C86" w14:textId="2FB4C8A0" w:rsidR="004462A0" w:rsidRPr="008912CF" w:rsidRDefault="00615769">
            <w:pPr>
              <w:rPr>
                <w:del w:id="8969" w:author="AbbVie2" w:date="2025-05-13T16:39:00Z"/>
                <w:color w:val="000000"/>
                <w:sz w:val="22"/>
              </w:rPr>
              <w:pPrChange w:id="8970" w:author="AbbVie2" w:date="2025-05-13T16:40:00Z">
                <w:pPr>
                  <w:keepNext/>
                  <w:widowControl w:val="0"/>
                  <w:tabs>
                    <w:tab w:val="left" w:pos="562"/>
                    <w:tab w:val="left" w:pos="4120"/>
                  </w:tabs>
                  <w:suppressAutoHyphens/>
                  <w:jc w:val="center"/>
                </w:pPr>
              </w:pPrChange>
            </w:pPr>
            <w:del w:id="8971" w:author="AbbVie2" w:date="2025-05-13T16:39:00Z">
              <w:r w:rsidRPr="008912CF">
                <w:rPr>
                  <w:color w:val="000000"/>
                  <w:sz w:val="22"/>
                </w:rPr>
                <w:delText>34 (27,9%)</w:delText>
              </w:r>
            </w:del>
          </w:p>
        </w:tc>
        <w:tc>
          <w:tcPr>
            <w:tcW w:w="1404" w:type="dxa"/>
            <w:tcMar>
              <w:top w:w="0" w:type="dxa"/>
              <w:left w:w="115" w:type="dxa"/>
              <w:bottom w:w="0" w:type="dxa"/>
              <w:right w:w="115" w:type="dxa"/>
            </w:tcMar>
          </w:tcPr>
          <w:p w14:paraId="74FDD8B6" w14:textId="12A02E5D" w:rsidR="004462A0" w:rsidRPr="008912CF" w:rsidRDefault="00615769">
            <w:pPr>
              <w:rPr>
                <w:del w:id="8972" w:author="AbbVie2" w:date="2025-05-13T16:39:00Z"/>
                <w:color w:val="000000"/>
                <w:sz w:val="22"/>
              </w:rPr>
              <w:pPrChange w:id="8973" w:author="AbbVie2" w:date="2025-05-13T16:40:00Z">
                <w:pPr>
                  <w:keepNext/>
                  <w:widowControl w:val="0"/>
                  <w:tabs>
                    <w:tab w:val="left" w:pos="562"/>
                    <w:tab w:val="left" w:pos="4120"/>
                  </w:tabs>
                  <w:suppressAutoHyphens/>
                  <w:jc w:val="center"/>
                </w:pPr>
              </w:pPrChange>
            </w:pPr>
            <w:del w:id="8974" w:author="AbbVie2" w:date="2025-05-13T16:39:00Z">
              <w:r w:rsidRPr="008912CF">
                <w:rPr>
                  <w:color w:val="000000"/>
                  <w:sz w:val="22"/>
                </w:rPr>
                <w:delText>N=111</w:delText>
              </w:r>
            </w:del>
          </w:p>
          <w:p w14:paraId="496FBDDF" w14:textId="1D2E7FD0" w:rsidR="004462A0" w:rsidRPr="008912CF" w:rsidRDefault="00615769">
            <w:pPr>
              <w:rPr>
                <w:del w:id="8975" w:author="AbbVie2" w:date="2025-05-13T16:39:00Z"/>
                <w:color w:val="000000"/>
                <w:sz w:val="22"/>
              </w:rPr>
              <w:pPrChange w:id="8976" w:author="AbbVie2" w:date="2025-05-13T16:40:00Z">
                <w:pPr>
                  <w:keepNext/>
                  <w:widowControl w:val="0"/>
                  <w:tabs>
                    <w:tab w:val="left" w:pos="562"/>
                    <w:tab w:val="left" w:pos="4120"/>
                  </w:tabs>
                  <w:suppressAutoHyphens/>
                  <w:jc w:val="center"/>
                </w:pPr>
              </w:pPrChange>
            </w:pPr>
            <w:del w:id="8977" w:author="AbbVie2" w:date="2025-05-13T16:39:00Z">
              <w:r w:rsidRPr="008912CF">
                <w:rPr>
                  <w:color w:val="000000"/>
                  <w:sz w:val="22"/>
                </w:rPr>
                <w:delText>23 (20,7%)</w:delText>
              </w:r>
            </w:del>
          </w:p>
        </w:tc>
        <w:tc>
          <w:tcPr>
            <w:tcW w:w="1856" w:type="dxa"/>
            <w:tcMar>
              <w:top w:w="0" w:type="dxa"/>
              <w:left w:w="115" w:type="dxa"/>
              <w:bottom w:w="0" w:type="dxa"/>
              <w:right w:w="115" w:type="dxa"/>
            </w:tcMar>
          </w:tcPr>
          <w:p w14:paraId="5ED3E24F" w14:textId="7F64FCE0" w:rsidR="004462A0" w:rsidRPr="008912CF" w:rsidRDefault="00615769">
            <w:pPr>
              <w:rPr>
                <w:del w:id="8978" w:author="AbbVie2" w:date="2025-05-13T16:39:00Z"/>
                <w:color w:val="000000"/>
                <w:sz w:val="22"/>
              </w:rPr>
              <w:pPrChange w:id="8979" w:author="AbbVie2" w:date="2025-05-13T16:40:00Z">
                <w:pPr>
                  <w:keepNext/>
                  <w:widowControl w:val="0"/>
                  <w:tabs>
                    <w:tab w:val="left" w:pos="562"/>
                    <w:tab w:val="left" w:pos="4120"/>
                  </w:tabs>
                  <w:suppressAutoHyphens/>
                  <w:jc w:val="center"/>
                </w:pPr>
              </w:pPrChange>
            </w:pPr>
            <w:del w:id="8980" w:author="AbbVie2" w:date="2025-05-13T16:39:00Z">
              <w:r w:rsidRPr="008912CF">
                <w:rPr>
                  <w:color w:val="000000"/>
                  <w:sz w:val="22"/>
                </w:rPr>
                <w:delText>N=105</w:delText>
              </w:r>
            </w:del>
          </w:p>
          <w:p w14:paraId="019DE9CA" w14:textId="13000456" w:rsidR="004462A0" w:rsidRPr="008912CF" w:rsidRDefault="00615769">
            <w:pPr>
              <w:rPr>
                <w:del w:id="8981" w:author="AbbVie2" w:date="2025-05-13T16:39:00Z"/>
                <w:color w:val="000000"/>
                <w:sz w:val="22"/>
              </w:rPr>
              <w:pPrChange w:id="8982" w:author="AbbVie2" w:date="2025-05-13T16:40:00Z">
                <w:pPr>
                  <w:keepNext/>
                  <w:widowControl w:val="0"/>
                  <w:tabs>
                    <w:tab w:val="left" w:pos="562"/>
                    <w:tab w:val="left" w:pos="4120"/>
                  </w:tabs>
                  <w:suppressAutoHyphens/>
                  <w:jc w:val="center"/>
                </w:pPr>
              </w:pPrChange>
            </w:pPr>
            <w:del w:id="8983" w:author="AbbVie2" w:date="2025-05-13T16:39:00Z">
              <w:r w:rsidRPr="008912CF">
                <w:rPr>
                  <w:color w:val="000000"/>
                  <w:sz w:val="22"/>
                </w:rPr>
                <w:delText xml:space="preserve">48 (45,7%) </w:delText>
              </w:r>
              <w:r w:rsidRPr="008912CF">
                <w:rPr>
                  <w:color w:val="000000"/>
                  <w:sz w:val="22"/>
                  <w:vertAlign w:val="superscript"/>
                </w:rPr>
                <w:delText>***</w:delText>
              </w:r>
            </w:del>
          </w:p>
        </w:tc>
      </w:tr>
      <w:tr w:rsidR="00A7162A" w14:paraId="7EC54900" w14:textId="74764D05" w:rsidTr="00F675CF">
        <w:trPr>
          <w:trHeight w:val="1417"/>
          <w:jc w:val="center"/>
          <w:del w:id="8984" w:author="AbbVie2" w:date="2025-05-13T16:39:00Z"/>
        </w:trPr>
        <w:tc>
          <w:tcPr>
            <w:tcW w:w="9293" w:type="dxa"/>
            <w:gridSpan w:val="5"/>
            <w:tcMar>
              <w:top w:w="0" w:type="dxa"/>
              <w:left w:w="115" w:type="dxa"/>
              <w:bottom w:w="0" w:type="dxa"/>
              <w:right w:w="115" w:type="dxa"/>
            </w:tcMar>
            <w:vAlign w:val="center"/>
          </w:tcPr>
          <w:p w14:paraId="08E8F1A3" w14:textId="00011468" w:rsidR="004462A0" w:rsidRPr="008912CF" w:rsidRDefault="00615769">
            <w:pPr>
              <w:rPr>
                <w:del w:id="8985" w:author="AbbVie2" w:date="2025-05-13T16:39:00Z"/>
                <w:color w:val="000000"/>
                <w:sz w:val="22"/>
              </w:rPr>
              <w:pPrChange w:id="8986" w:author="AbbVie2" w:date="2025-05-13T16:40:00Z">
                <w:pPr>
                  <w:keepNext/>
                  <w:widowControl w:val="0"/>
                  <w:tabs>
                    <w:tab w:val="left" w:pos="562"/>
                    <w:tab w:val="left" w:pos="4120"/>
                  </w:tabs>
                  <w:suppressAutoHyphens/>
                  <w:ind w:left="360"/>
                </w:pPr>
              </w:pPrChange>
            </w:pPr>
            <w:del w:id="8987" w:author="AbbVie2" w:date="2025-05-13T16:39:00Z">
              <w:r w:rsidRPr="008912CF">
                <w:rPr>
                  <w:color w:val="000000"/>
                  <w:sz w:val="22"/>
                </w:rPr>
                <w:delText xml:space="preserve">* </w:delText>
              </w:r>
              <w:r w:rsidR="00092159">
                <w:rPr>
                  <w:i/>
                  <w:color w:val="000000"/>
                  <w:sz w:val="22"/>
                </w:rPr>
                <w:delText>p</w:delText>
              </w:r>
              <w:r w:rsidRPr="008912CF">
                <w:rPr>
                  <w:color w:val="000000"/>
                  <w:sz w:val="22"/>
                </w:rPr>
                <w:delText xml:space="preserve"> &lt; 0,05, ***</w:delText>
              </w:r>
              <w:r w:rsidR="00092159">
                <w:rPr>
                  <w:i/>
                  <w:color w:val="000000"/>
                  <w:sz w:val="22"/>
                </w:rPr>
                <w:delText>p</w:delText>
              </w:r>
              <w:r w:rsidRPr="008912CF">
                <w:rPr>
                  <w:i/>
                  <w:color w:val="000000"/>
                  <w:sz w:val="22"/>
                </w:rPr>
                <w:delText xml:space="preserve"> </w:delText>
              </w:r>
              <w:r w:rsidRPr="008912CF">
                <w:rPr>
                  <w:color w:val="000000"/>
                  <w:sz w:val="22"/>
                </w:rPr>
                <w:delText xml:space="preserve">&lt; 0,001, Humira </w:delText>
              </w:r>
              <w:r w:rsidRPr="00DF5632">
                <w:rPr>
                  <w:i/>
                  <w:color w:val="000000"/>
                  <w:sz w:val="22"/>
                </w:rPr>
                <w:delText>versus</w:delText>
              </w:r>
              <w:r w:rsidRPr="008912CF">
                <w:rPr>
                  <w:color w:val="000000"/>
                  <w:sz w:val="22"/>
                </w:rPr>
                <w:delText xml:space="preserve"> placebo </w:delText>
              </w:r>
            </w:del>
          </w:p>
          <w:p w14:paraId="6B8AB059" w14:textId="493B4428" w:rsidR="004462A0" w:rsidRPr="008912CF" w:rsidRDefault="00615769">
            <w:pPr>
              <w:rPr>
                <w:del w:id="8988" w:author="AbbVie2" w:date="2025-05-13T16:39:00Z"/>
                <w:color w:val="000000"/>
                <w:sz w:val="22"/>
              </w:rPr>
              <w:pPrChange w:id="8989" w:author="AbbVie2" w:date="2025-05-13T16:40:00Z">
                <w:pPr>
                  <w:keepNext/>
                  <w:keepLines/>
                  <w:widowControl w:val="0"/>
                  <w:numPr>
                    <w:numId w:val="106"/>
                  </w:numPr>
                  <w:tabs>
                    <w:tab w:val="left" w:pos="562"/>
                    <w:tab w:val="left" w:pos="4120"/>
                  </w:tabs>
                  <w:suppressAutoHyphens/>
                  <w:spacing w:line="240" w:lineRule="exact"/>
                  <w:ind w:left="720" w:hanging="720"/>
                </w:pPr>
              </w:pPrChange>
            </w:pPr>
            <w:del w:id="8990" w:author="AbbVie2" w:date="2025-05-13T16:39:00Z">
              <w:r w:rsidRPr="008912CF">
                <w:rPr>
                  <w:color w:val="000000"/>
                  <w:sz w:val="22"/>
                </w:rPr>
                <w:delText xml:space="preserve">Em todos os doentes </w:delText>
              </w:r>
              <w:r w:rsidR="0013275C">
                <w:rPr>
                  <w:color w:val="000000"/>
                  <w:sz w:val="22"/>
                </w:rPr>
                <w:delText>aleatorizado</w:delText>
              </w:r>
              <w:r w:rsidRPr="008912CF">
                <w:rPr>
                  <w:color w:val="000000"/>
                  <w:sz w:val="22"/>
                </w:rPr>
                <w:delText>s.</w:delText>
              </w:r>
            </w:del>
          </w:p>
          <w:p w14:paraId="429C3C62" w14:textId="39E72B56" w:rsidR="004462A0" w:rsidRPr="008912CF" w:rsidRDefault="00615769">
            <w:pPr>
              <w:rPr>
                <w:del w:id="8991" w:author="AbbVie2" w:date="2025-05-13T16:39:00Z"/>
                <w:color w:val="000000"/>
                <w:sz w:val="22"/>
              </w:rPr>
              <w:pPrChange w:id="8992" w:author="AbbVie2" w:date="2025-05-13T16:40:00Z">
                <w:pPr>
                  <w:keepNext/>
                  <w:keepLines/>
                  <w:widowControl w:val="0"/>
                  <w:numPr>
                    <w:numId w:val="106"/>
                  </w:numPr>
                  <w:tabs>
                    <w:tab w:val="left" w:pos="562"/>
                    <w:tab w:val="left" w:pos="4120"/>
                  </w:tabs>
                  <w:suppressAutoHyphens/>
                  <w:spacing w:line="240" w:lineRule="exact"/>
                  <w:ind w:left="563" w:hanging="563"/>
                </w:pPr>
              </w:pPrChange>
            </w:pPr>
            <w:del w:id="8993" w:author="AbbVie2" w:date="2025-05-13T16:39:00Z">
              <w:r w:rsidRPr="008912CF">
                <w:rPr>
                  <w:rFonts w:eastAsia="Calibri"/>
                  <w:color w:val="000000"/>
                  <w:sz w:val="22"/>
                  <w:szCs w:val="22"/>
                </w:rPr>
                <w:delText xml:space="preserve">Entre os doentes com a avaliação inicial da dor da pele, relacionada com HS ≥ 3, baseado na escala numérica - </w:delText>
              </w:r>
              <w:r w:rsidRPr="008912CF">
                <w:rPr>
                  <w:rFonts w:eastAsia="Calibri"/>
                  <w:i/>
                  <w:color w:val="000000"/>
                  <w:sz w:val="22"/>
                  <w:szCs w:val="22"/>
                </w:rPr>
                <w:delText>Numeric Rating Scale</w:delText>
              </w:r>
              <w:r w:rsidRPr="008912CF">
                <w:rPr>
                  <w:rFonts w:eastAsia="Calibri"/>
                  <w:color w:val="000000"/>
                  <w:sz w:val="22"/>
                  <w:szCs w:val="22"/>
                </w:rPr>
                <w:delText xml:space="preserve"> 0-10; 0 = sem dor na pele, 10 = dor muito intensa e acentuada na pele </w:delText>
              </w:r>
            </w:del>
          </w:p>
        </w:tc>
      </w:tr>
    </w:tbl>
    <w:p w14:paraId="718E7730" w14:textId="79759D4B" w:rsidR="004462A0" w:rsidRPr="008912CF" w:rsidRDefault="004462A0" w:rsidP="00412FC8">
      <w:pPr>
        <w:rPr>
          <w:del w:id="8994" w:author="AbbVie2" w:date="2025-05-13T16:39:00Z"/>
          <w:sz w:val="22"/>
          <w:szCs w:val="22"/>
          <w:u w:val="single"/>
        </w:rPr>
      </w:pPr>
    </w:p>
    <w:p w14:paraId="017F65C0" w14:textId="232B92A3" w:rsidR="004462A0" w:rsidRPr="008912CF" w:rsidRDefault="00615769" w:rsidP="00412FC8">
      <w:pPr>
        <w:rPr>
          <w:del w:id="8995" w:author="AbbVie2" w:date="2025-05-13T16:39:00Z"/>
          <w:sz w:val="22"/>
          <w:szCs w:val="20"/>
        </w:rPr>
      </w:pPr>
      <w:del w:id="8996" w:author="AbbVie2" w:date="2025-05-13T16:39:00Z">
        <w:r w:rsidRPr="008912CF">
          <w:rPr>
            <w:sz w:val="22"/>
            <w:szCs w:val="20"/>
          </w:rPr>
          <w:delText>O tratamento com Humira 40</w:delText>
        </w:r>
        <w:r>
          <w:rPr>
            <w:sz w:val="22"/>
            <w:szCs w:val="20"/>
          </w:rPr>
          <w:delText> </w:delText>
        </w:r>
        <w:r w:rsidRPr="008912CF">
          <w:rPr>
            <w:sz w:val="22"/>
            <w:szCs w:val="20"/>
          </w:rPr>
          <w:delText>mg todas as semanas, reduziu significativamente o risco de agravamento de abcessos e fístulas drenantes. Nos Estudos HS-I e HS-II, nas primeiras 12 semanas, aproximadamente o dobro da percentagem de doentes do grupo d</w:delText>
        </w:r>
        <w:r w:rsidR="0082206C">
          <w:rPr>
            <w:sz w:val="22"/>
            <w:szCs w:val="20"/>
          </w:rPr>
          <w:delText>e</w:delText>
        </w:r>
        <w:r w:rsidRPr="008912CF">
          <w:rPr>
            <w:sz w:val="22"/>
            <w:szCs w:val="20"/>
          </w:rPr>
          <w:delText xml:space="preserve"> placebo em comparação com os do grupo Humira, apresentaram agravamento de abcessos (23,0</w:delText>
        </w:r>
        <w:r w:rsidR="009343EF">
          <w:rPr>
            <w:sz w:val="22"/>
            <w:szCs w:val="20"/>
          </w:rPr>
          <w:delText>%</w:delText>
        </w:r>
        <w:r w:rsidRPr="008912CF">
          <w:rPr>
            <w:sz w:val="22"/>
            <w:szCs w:val="20"/>
          </w:rPr>
          <w:delText xml:space="preserve"> vs 11,4</w:delText>
        </w:r>
        <w:r w:rsidR="009343EF">
          <w:rPr>
            <w:sz w:val="22"/>
            <w:szCs w:val="20"/>
          </w:rPr>
          <w:delText>%</w:delText>
        </w:r>
        <w:r w:rsidRPr="008912CF">
          <w:rPr>
            <w:sz w:val="22"/>
            <w:szCs w:val="20"/>
          </w:rPr>
          <w:delText>, respetivamente) e de fístulas drenantes (30,0</w:delText>
        </w:r>
        <w:r w:rsidR="009343EF">
          <w:rPr>
            <w:sz w:val="22"/>
            <w:szCs w:val="20"/>
          </w:rPr>
          <w:delText>%</w:delText>
        </w:r>
        <w:r w:rsidRPr="008912CF">
          <w:rPr>
            <w:sz w:val="22"/>
            <w:szCs w:val="20"/>
          </w:rPr>
          <w:delText xml:space="preserve"> vs 13,9</w:delText>
        </w:r>
        <w:r w:rsidR="009343EF">
          <w:rPr>
            <w:sz w:val="22"/>
            <w:szCs w:val="20"/>
          </w:rPr>
          <w:delText>%</w:delText>
        </w:r>
        <w:r w:rsidRPr="008912CF">
          <w:rPr>
            <w:sz w:val="22"/>
            <w:szCs w:val="20"/>
          </w:rPr>
          <w:delText xml:space="preserve">, respetivamente). </w:delText>
        </w:r>
      </w:del>
    </w:p>
    <w:p w14:paraId="0F6F2D3A" w14:textId="59A543A4" w:rsidR="004462A0" w:rsidRPr="008912CF" w:rsidRDefault="004462A0" w:rsidP="00412FC8">
      <w:pPr>
        <w:rPr>
          <w:del w:id="8997" w:author="AbbVie2" w:date="2025-05-13T16:39:00Z"/>
          <w:sz w:val="22"/>
          <w:szCs w:val="20"/>
        </w:rPr>
      </w:pPr>
    </w:p>
    <w:p w14:paraId="3726BF92" w14:textId="224FE07F" w:rsidR="004462A0" w:rsidRPr="008912CF" w:rsidRDefault="00615769" w:rsidP="00412FC8">
      <w:pPr>
        <w:rPr>
          <w:del w:id="8998" w:author="AbbVie2" w:date="2025-05-13T16:39:00Z"/>
          <w:sz w:val="22"/>
          <w:szCs w:val="20"/>
        </w:rPr>
      </w:pPr>
      <w:del w:id="8999" w:author="AbbVie2" w:date="2025-05-13T16:39:00Z">
        <w:r w:rsidRPr="008912CF">
          <w:rPr>
            <w:sz w:val="22"/>
            <w:szCs w:val="20"/>
          </w:rPr>
          <w:delText xml:space="preserve">Observaram-se melhorias significativas </w:delText>
        </w:r>
        <w:r w:rsidR="0082206C">
          <w:rPr>
            <w:sz w:val="22"/>
            <w:szCs w:val="20"/>
          </w:rPr>
          <w:delText xml:space="preserve">relativamente ao valor inicial </w:delText>
        </w:r>
        <w:r w:rsidRPr="008912CF">
          <w:rPr>
            <w:sz w:val="22"/>
            <w:szCs w:val="20"/>
          </w:rPr>
          <w:delText xml:space="preserve">no grupo Humira, comparativamente ao placebo, à Semana 12, na qualidade de vida relacionada com a saúde da pele, avaliada pelo </w:delText>
        </w:r>
        <w:r w:rsidRPr="008912CF">
          <w:rPr>
            <w:i/>
            <w:sz w:val="22"/>
            <w:szCs w:val="20"/>
          </w:rPr>
          <w:delText xml:space="preserve">Dermatology Life Quality Index </w:delText>
        </w:r>
        <w:r w:rsidRPr="008912CF">
          <w:rPr>
            <w:sz w:val="22"/>
            <w:szCs w:val="20"/>
          </w:rPr>
          <w:delText xml:space="preserve">(DLQI; Estudos HS-I e HS-II), na satisfação global do doente com o tratamento, avaliado pelo </w:delText>
        </w:r>
        <w:r w:rsidRPr="008912CF">
          <w:rPr>
            <w:i/>
            <w:sz w:val="22"/>
            <w:szCs w:val="20"/>
          </w:rPr>
          <w:delText>Treatment Satisfaction Questionnaire</w:delText>
        </w:r>
        <w:r w:rsidRPr="008912CF">
          <w:rPr>
            <w:sz w:val="22"/>
            <w:szCs w:val="20"/>
          </w:rPr>
          <w:delText xml:space="preserve"> (QSTM; Estudos HS-I e HS-II), e na saúde física, avaliada pela pontuação do SF-36 (Estudo HS-I). </w:delText>
        </w:r>
      </w:del>
    </w:p>
    <w:p w14:paraId="64901D8A" w14:textId="6D641F48" w:rsidR="004462A0" w:rsidRPr="008912CF" w:rsidRDefault="004462A0" w:rsidP="00412FC8">
      <w:pPr>
        <w:rPr>
          <w:del w:id="9000" w:author="AbbVie2" w:date="2025-05-13T16:39:00Z"/>
          <w:sz w:val="22"/>
          <w:szCs w:val="20"/>
        </w:rPr>
      </w:pPr>
    </w:p>
    <w:p w14:paraId="07CA2309" w14:textId="722EE62E" w:rsidR="004462A0" w:rsidRPr="008912CF" w:rsidRDefault="00615769" w:rsidP="00412FC8">
      <w:pPr>
        <w:rPr>
          <w:del w:id="9001" w:author="AbbVie2" w:date="2025-05-13T16:39:00Z"/>
          <w:sz w:val="22"/>
          <w:szCs w:val="20"/>
        </w:rPr>
      </w:pPr>
      <w:del w:id="9002" w:author="AbbVie2" w:date="2025-05-13T16:39:00Z">
        <w:r>
          <w:rPr>
            <w:sz w:val="22"/>
            <w:szCs w:val="20"/>
          </w:rPr>
          <w:delText>No</w:delText>
        </w:r>
        <w:r w:rsidRPr="008912CF">
          <w:rPr>
            <w:sz w:val="22"/>
            <w:szCs w:val="20"/>
          </w:rPr>
          <w:delText xml:space="preserve">s doentes que apresentaram pelo menos uma resposta parcial à Semana 12, </w:delText>
        </w:r>
        <w:r w:rsidR="00212B10">
          <w:rPr>
            <w:sz w:val="22"/>
            <w:szCs w:val="20"/>
          </w:rPr>
          <w:delText>com</w:delText>
        </w:r>
        <w:r w:rsidRPr="008912CF">
          <w:rPr>
            <w:sz w:val="22"/>
            <w:szCs w:val="20"/>
          </w:rPr>
          <w:delText xml:space="preserve"> Humira 40 mg todas as semanas, a taxa de HiSCR à semana 36 foi superior nos doentes que continuaram com Humira semanal, comparativamente com os doentes nos quais a frequência de administração foi reduzida para semanas alternadas, ou nos quais o tratamento foi suspenso (ver Tabela </w:delText>
        </w:r>
        <w:r w:rsidR="00A22EC4">
          <w:rPr>
            <w:sz w:val="22"/>
            <w:szCs w:val="20"/>
          </w:rPr>
          <w:delText>2</w:delText>
        </w:r>
        <w:r w:rsidR="00B925B3">
          <w:rPr>
            <w:sz w:val="22"/>
            <w:szCs w:val="20"/>
          </w:rPr>
          <w:delText>0</w:delText>
        </w:r>
        <w:r w:rsidRPr="008912CF">
          <w:rPr>
            <w:sz w:val="22"/>
            <w:szCs w:val="20"/>
          </w:rPr>
          <w:delText>).</w:delText>
        </w:r>
      </w:del>
    </w:p>
    <w:p w14:paraId="70AEB2F5" w14:textId="0C4178FC" w:rsidR="004462A0" w:rsidRPr="008912CF" w:rsidRDefault="004462A0" w:rsidP="00412FC8">
      <w:pPr>
        <w:rPr>
          <w:del w:id="9003" w:author="AbbVie2" w:date="2025-05-13T16:39:00Z"/>
          <w:sz w:val="22"/>
          <w:szCs w:val="22"/>
          <w:u w:val="single"/>
        </w:rPr>
      </w:pPr>
    </w:p>
    <w:p w14:paraId="79146506" w14:textId="543C94F2" w:rsidR="004462A0" w:rsidRPr="008912CF" w:rsidRDefault="00615769">
      <w:pPr>
        <w:rPr>
          <w:del w:id="9004" w:author="AbbVie2" w:date="2025-05-13T16:39:00Z"/>
          <w:b/>
          <w:sz w:val="22"/>
          <w:szCs w:val="22"/>
        </w:rPr>
        <w:pPrChange w:id="9005" w:author="AbbVie2" w:date="2025-05-13T16:40:00Z">
          <w:pPr>
            <w:keepNext/>
            <w:jc w:val="center"/>
          </w:pPr>
        </w:pPrChange>
      </w:pPr>
      <w:del w:id="9006" w:author="AbbVie2" w:date="2025-05-13T16:39:00Z">
        <w:r w:rsidRPr="008912CF">
          <w:rPr>
            <w:b/>
            <w:sz w:val="22"/>
            <w:szCs w:val="22"/>
          </w:rPr>
          <w:delText xml:space="preserve">Tabela </w:delText>
        </w:r>
        <w:r w:rsidR="00A22EC4">
          <w:rPr>
            <w:b/>
            <w:sz w:val="22"/>
            <w:szCs w:val="22"/>
          </w:rPr>
          <w:delText>2</w:delText>
        </w:r>
        <w:r w:rsidR="00B925B3">
          <w:rPr>
            <w:b/>
            <w:sz w:val="22"/>
            <w:szCs w:val="22"/>
          </w:rPr>
          <w:delText>0</w:delText>
        </w:r>
        <w:r w:rsidRPr="008912CF">
          <w:rPr>
            <w:b/>
            <w:sz w:val="22"/>
            <w:szCs w:val="22"/>
          </w:rPr>
          <w:delText>:</w:delText>
        </w:r>
        <w:r w:rsidRPr="008912CF">
          <w:rPr>
            <w:b/>
            <w:sz w:val="22"/>
            <w:szCs w:val="22"/>
          </w:rPr>
          <w:tab/>
          <w:delText xml:space="preserve">Re-alocação de tratamento de Humira </w:delText>
        </w:r>
        <w:r w:rsidR="009E086D">
          <w:rPr>
            <w:b/>
            <w:sz w:val="22"/>
            <w:szCs w:val="22"/>
          </w:rPr>
          <w:delText>s</w:delText>
        </w:r>
        <w:r w:rsidRPr="008912CF">
          <w:rPr>
            <w:b/>
            <w:sz w:val="22"/>
            <w:szCs w:val="22"/>
          </w:rPr>
          <w:delText>emanal à Semana 12 - Percentagem de doentes</w:delText>
        </w:r>
        <w:r w:rsidR="009E086D" w:rsidRPr="00DF5632">
          <w:rPr>
            <w:b/>
            <w:sz w:val="22"/>
            <w:szCs w:val="22"/>
            <w:vertAlign w:val="superscript"/>
          </w:rPr>
          <w:delText>a</w:delText>
        </w:r>
        <w:r w:rsidRPr="008912CF">
          <w:rPr>
            <w:b/>
            <w:sz w:val="22"/>
            <w:szCs w:val="22"/>
          </w:rPr>
          <w:delText xml:space="preserve"> que alcançaram HiSCR</w:delText>
        </w:r>
        <w:r w:rsidRPr="008912CF">
          <w:rPr>
            <w:b/>
            <w:sz w:val="22"/>
            <w:szCs w:val="22"/>
            <w:vertAlign w:val="superscript"/>
          </w:rPr>
          <w:delText>b</w:delText>
        </w:r>
        <w:r w:rsidRPr="008912CF">
          <w:rPr>
            <w:b/>
            <w:sz w:val="22"/>
            <w:szCs w:val="22"/>
          </w:rPr>
          <w:delText xml:space="preserve"> às Semanas 24 e 36</w:delText>
        </w:r>
      </w:del>
    </w:p>
    <w:p w14:paraId="1E74997B" w14:textId="332AF529" w:rsidR="004462A0" w:rsidRPr="008912CF" w:rsidRDefault="004462A0">
      <w:pPr>
        <w:rPr>
          <w:del w:id="9007" w:author="AbbVie2" w:date="2025-05-13T16:39:00Z"/>
          <w:sz w:val="22"/>
          <w:szCs w:val="22"/>
          <w:u w:val="single"/>
        </w:rPr>
        <w:pPrChange w:id="9008" w:author="AbbVie2" w:date="2025-05-13T16:40:00Z">
          <w:pPr>
            <w:keepNext/>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1980"/>
        <w:gridCol w:w="1980"/>
        <w:gridCol w:w="1855"/>
      </w:tblGrid>
      <w:tr w:rsidR="00A7162A" w14:paraId="68766805" w14:textId="1E8D7595" w:rsidTr="00F675CF">
        <w:trPr>
          <w:tblHeader/>
          <w:jc w:val="center"/>
          <w:del w:id="9009" w:author="AbbVie2" w:date="2025-05-13T16:39:00Z"/>
        </w:trPr>
        <w:tc>
          <w:tcPr>
            <w:tcW w:w="1437" w:type="dxa"/>
            <w:vAlign w:val="bottom"/>
          </w:tcPr>
          <w:p w14:paraId="7A30D8B9" w14:textId="120BF94B" w:rsidR="004462A0" w:rsidRPr="008912CF" w:rsidRDefault="004462A0">
            <w:pPr>
              <w:rPr>
                <w:del w:id="9010" w:author="AbbVie2" w:date="2025-05-13T16:39:00Z"/>
                <w:rFonts w:eastAsia="Calibri"/>
                <w:b/>
                <w:sz w:val="22"/>
                <w:szCs w:val="22"/>
                <w:lang w:eastAsia="ja-JP"/>
              </w:rPr>
              <w:pPrChange w:id="9011" w:author="AbbVie2" w:date="2025-05-13T16:40:00Z">
                <w:pPr>
                  <w:keepNext/>
                  <w:spacing w:before="40" w:after="40" w:line="240" w:lineRule="exact"/>
                </w:pPr>
              </w:pPrChange>
            </w:pPr>
          </w:p>
        </w:tc>
        <w:tc>
          <w:tcPr>
            <w:tcW w:w="1980" w:type="dxa"/>
            <w:vAlign w:val="bottom"/>
          </w:tcPr>
          <w:p w14:paraId="3EF737A1" w14:textId="4AAA90E3" w:rsidR="004462A0" w:rsidRPr="008912CF" w:rsidRDefault="00615769">
            <w:pPr>
              <w:rPr>
                <w:del w:id="9012" w:author="AbbVie2" w:date="2025-05-13T16:39:00Z"/>
                <w:rFonts w:eastAsia="Calibri"/>
                <w:b/>
                <w:sz w:val="22"/>
                <w:szCs w:val="22"/>
                <w:lang w:eastAsia="ja-JP"/>
              </w:rPr>
              <w:pPrChange w:id="9013" w:author="AbbVie2" w:date="2025-05-13T16:40:00Z">
                <w:pPr>
                  <w:keepNext/>
                  <w:spacing w:before="40" w:after="40" w:line="240" w:lineRule="exact"/>
                  <w:jc w:val="center"/>
                </w:pPr>
              </w:pPrChange>
            </w:pPr>
            <w:del w:id="9014" w:author="AbbVie2" w:date="2025-05-13T16:39:00Z">
              <w:r w:rsidRPr="008912CF">
                <w:rPr>
                  <w:rFonts w:eastAsia="Calibri"/>
                  <w:b/>
                  <w:sz w:val="22"/>
                  <w:szCs w:val="22"/>
                  <w:lang w:eastAsia="ja-JP"/>
                </w:rPr>
                <w:delText>Placebo</w:delText>
              </w:r>
            </w:del>
          </w:p>
          <w:p w14:paraId="2D1DF03C" w14:textId="0BF9B5FE" w:rsidR="004462A0" w:rsidRPr="008912CF" w:rsidRDefault="00615769">
            <w:pPr>
              <w:rPr>
                <w:del w:id="9015" w:author="AbbVie2" w:date="2025-05-13T16:39:00Z"/>
                <w:rFonts w:eastAsia="Calibri"/>
                <w:b/>
                <w:sz w:val="22"/>
                <w:szCs w:val="22"/>
                <w:lang w:eastAsia="ja-JP"/>
              </w:rPr>
              <w:pPrChange w:id="9016" w:author="AbbVie2" w:date="2025-05-13T16:40:00Z">
                <w:pPr>
                  <w:keepNext/>
                  <w:spacing w:before="40" w:after="40" w:line="240" w:lineRule="exact"/>
                  <w:jc w:val="center"/>
                </w:pPr>
              </w:pPrChange>
            </w:pPr>
            <w:del w:id="9017" w:author="AbbVie2" w:date="2025-05-13T16:39:00Z">
              <w:r w:rsidRPr="008912CF">
                <w:rPr>
                  <w:rFonts w:eastAsia="Calibri"/>
                  <w:b/>
                  <w:sz w:val="22"/>
                  <w:szCs w:val="22"/>
                  <w:lang w:eastAsia="ja-JP"/>
                </w:rPr>
                <w:delText>(suspensão de tratamento)</w:delText>
              </w:r>
            </w:del>
          </w:p>
          <w:p w14:paraId="7095F1FB" w14:textId="5236CBAE" w:rsidR="004462A0" w:rsidRPr="008912CF" w:rsidRDefault="00615769">
            <w:pPr>
              <w:rPr>
                <w:del w:id="9018" w:author="AbbVie2" w:date="2025-05-13T16:39:00Z"/>
                <w:rFonts w:eastAsia="Calibri"/>
                <w:b/>
                <w:sz w:val="22"/>
                <w:szCs w:val="22"/>
                <w:lang w:eastAsia="ja-JP"/>
              </w:rPr>
              <w:pPrChange w:id="9019" w:author="AbbVie2" w:date="2025-05-13T16:40:00Z">
                <w:pPr>
                  <w:keepNext/>
                  <w:spacing w:before="40" w:after="40" w:line="240" w:lineRule="exact"/>
                  <w:jc w:val="center"/>
                </w:pPr>
              </w:pPrChange>
            </w:pPr>
            <w:del w:id="9020" w:author="AbbVie2" w:date="2025-05-13T16:39:00Z">
              <w:r w:rsidRPr="008912CF">
                <w:rPr>
                  <w:rFonts w:eastAsia="Calibri"/>
                  <w:b/>
                  <w:sz w:val="22"/>
                  <w:szCs w:val="22"/>
                  <w:lang w:eastAsia="ja-JP"/>
                </w:rPr>
                <w:delText>N = 73</w:delText>
              </w:r>
            </w:del>
          </w:p>
        </w:tc>
        <w:tc>
          <w:tcPr>
            <w:tcW w:w="1980" w:type="dxa"/>
            <w:vAlign w:val="bottom"/>
          </w:tcPr>
          <w:p w14:paraId="43710F43" w14:textId="367032F2" w:rsidR="004462A0" w:rsidRPr="008912CF" w:rsidRDefault="00615769">
            <w:pPr>
              <w:rPr>
                <w:del w:id="9021" w:author="AbbVie2" w:date="2025-05-13T16:39:00Z"/>
                <w:rFonts w:eastAsia="Calibri"/>
                <w:b/>
                <w:sz w:val="22"/>
                <w:szCs w:val="22"/>
                <w:lang w:eastAsia="ja-JP"/>
              </w:rPr>
              <w:pPrChange w:id="9022" w:author="AbbVie2" w:date="2025-05-13T16:40:00Z">
                <w:pPr>
                  <w:keepNext/>
                  <w:spacing w:before="40" w:after="40" w:line="240" w:lineRule="exact"/>
                  <w:jc w:val="center"/>
                </w:pPr>
              </w:pPrChange>
            </w:pPr>
            <w:del w:id="9023" w:author="AbbVie2" w:date="2025-05-13T16:39:00Z">
              <w:r w:rsidRPr="008912CF">
                <w:rPr>
                  <w:rFonts w:eastAsia="Calibri"/>
                  <w:b/>
                  <w:sz w:val="22"/>
                  <w:szCs w:val="22"/>
                  <w:lang w:eastAsia="ja-JP"/>
                </w:rPr>
                <w:delText>Humira 40 mg</w:delText>
              </w:r>
              <w:r w:rsidRPr="008912CF">
                <w:rPr>
                  <w:rFonts w:eastAsia="Calibri"/>
                  <w:b/>
                  <w:sz w:val="22"/>
                  <w:szCs w:val="22"/>
                  <w:lang w:eastAsia="ja-JP"/>
                </w:rPr>
                <w:br/>
                <w:delText>em semanas alternadas</w:delText>
              </w:r>
            </w:del>
          </w:p>
          <w:p w14:paraId="63635887" w14:textId="264254F2" w:rsidR="004462A0" w:rsidRPr="008912CF" w:rsidRDefault="00615769">
            <w:pPr>
              <w:rPr>
                <w:del w:id="9024" w:author="AbbVie2" w:date="2025-05-13T16:39:00Z"/>
                <w:rFonts w:eastAsia="Calibri"/>
                <w:b/>
                <w:sz w:val="22"/>
                <w:szCs w:val="22"/>
                <w:lang w:eastAsia="ja-JP"/>
              </w:rPr>
              <w:pPrChange w:id="9025" w:author="AbbVie2" w:date="2025-05-13T16:40:00Z">
                <w:pPr>
                  <w:keepNext/>
                  <w:spacing w:before="40" w:after="40" w:line="240" w:lineRule="exact"/>
                  <w:jc w:val="center"/>
                </w:pPr>
              </w:pPrChange>
            </w:pPr>
            <w:del w:id="9026" w:author="AbbVie2" w:date="2025-05-13T16:39:00Z">
              <w:r w:rsidRPr="008912CF">
                <w:rPr>
                  <w:rFonts w:eastAsia="Calibri"/>
                  <w:b/>
                  <w:sz w:val="22"/>
                  <w:szCs w:val="22"/>
                  <w:lang w:eastAsia="ja-JP"/>
                </w:rPr>
                <w:delText>N = 70</w:delText>
              </w:r>
            </w:del>
          </w:p>
        </w:tc>
        <w:tc>
          <w:tcPr>
            <w:tcW w:w="1855" w:type="dxa"/>
            <w:vAlign w:val="bottom"/>
          </w:tcPr>
          <w:p w14:paraId="75480F0D" w14:textId="6F25F74F" w:rsidR="004462A0" w:rsidRPr="008912CF" w:rsidRDefault="00615769">
            <w:pPr>
              <w:rPr>
                <w:del w:id="9027" w:author="AbbVie2" w:date="2025-05-13T16:39:00Z"/>
                <w:rFonts w:eastAsia="Calibri"/>
                <w:b/>
                <w:sz w:val="22"/>
                <w:szCs w:val="22"/>
                <w:lang w:eastAsia="ja-JP"/>
              </w:rPr>
              <w:pPrChange w:id="9028" w:author="AbbVie2" w:date="2025-05-13T16:40:00Z">
                <w:pPr>
                  <w:keepNext/>
                  <w:spacing w:before="40" w:after="40" w:line="240" w:lineRule="exact"/>
                  <w:jc w:val="center"/>
                </w:pPr>
              </w:pPrChange>
            </w:pPr>
            <w:del w:id="9029" w:author="AbbVie2" w:date="2025-05-13T16:39:00Z">
              <w:r w:rsidRPr="008912CF">
                <w:rPr>
                  <w:rFonts w:eastAsia="Calibri"/>
                  <w:b/>
                  <w:sz w:val="22"/>
                  <w:szCs w:val="22"/>
                  <w:lang w:eastAsia="ja-JP"/>
                </w:rPr>
                <w:delText>Humira 40 mg</w:delText>
              </w:r>
              <w:r w:rsidRPr="008912CF">
                <w:rPr>
                  <w:rFonts w:eastAsia="Calibri"/>
                  <w:b/>
                  <w:sz w:val="22"/>
                  <w:szCs w:val="22"/>
                  <w:lang w:eastAsia="ja-JP"/>
                </w:rPr>
                <w:br/>
                <w:delText>todas as semanas</w:delText>
              </w:r>
              <w:r w:rsidRPr="008912CF">
                <w:rPr>
                  <w:rFonts w:eastAsia="Calibri"/>
                  <w:b/>
                  <w:sz w:val="22"/>
                  <w:szCs w:val="22"/>
                  <w:lang w:eastAsia="ja-JP"/>
                </w:rPr>
                <w:br/>
                <w:delText>N = 70</w:delText>
              </w:r>
            </w:del>
          </w:p>
        </w:tc>
      </w:tr>
      <w:tr w:rsidR="00A7162A" w14:paraId="6BB891A0" w14:textId="6EDDB48F" w:rsidTr="00F675CF">
        <w:trPr>
          <w:jc w:val="center"/>
          <w:del w:id="9030" w:author="AbbVie2" w:date="2025-05-13T16:39:00Z"/>
        </w:trPr>
        <w:tc>
          <w:tcPr>
            <w:tcW w:w="1437" w:type="dxa"/>
          </w:tcPr>
          <w:p w14:paraId="2181833A" w14:textId="62172B71" w:rsidR="004462A0" w:rsidRPr="008912CF" w:rsidRDefault="00615769">
            <w:pPr>
              <w:rPr>
                <w:del w:id="9031" w:author="AbbVie2" w:date="2025-05-13T16:39:00Z"/>
                <w:rFonts w:eastAsia="Calibri"/>
                <w:sz w:val="22"/>
                <w:szCs w:val="22"/>
                <w:lang w:eastAsia="ja-JP"/>
              </w:rPr>
              <w:pPrChange w:id="9032" w:author="AbbVie2" w:date="2025-05-13T16:40:00Z">
                <w:pPr>
                  <w:keepNext/>
                  <w:spacing w:before="40" w:after="40" w:line="240" w:lineRule="exact"/>
                </w:pPr>
              </w:pPrChange>
            </w:pPr>
            <w:del w:id="9033" w:author="AbbVie2" w:date="2025-05-13T16:39:00Z">
              <w:r w:rsidRPr="008912CF">
                <w:rPr>
                  <w:rFonts w:eastAsia="Calibri"/>
                  <w:sz w:val="22"/>
                  <w:szCs w:val="22"/>
                  <w:lang w:eastAsia="ja-JP"/>
                </w:rPr>
                <w:delText>Semana 24</w:delText>
              </w:r>
            </w:del>
          </w:p>
        </w:tc>
        <w:tc>
          <w:tcPr>
            <w:tcW w:w="1980" w:type="dxa"/>
          </w:tcPr>
          <w:p w14:paraId="009401C5" w14:textId="19CAAC03" w:rsidR="004462A0" w:rsidRPr="008912CF" w:rsidRDefault="00615769">
            <w:pPr>
              <w:rPr>
                <w:del w:id="9034" w:author="AbbVie2" w:date="2025-05-13T16:39:00Z"/>
                <w:rFonts w:eastAsia="Calibri"/>
                <w:sz w:val="22"/>
                <w:szCs w:val="22"/>
                <w:lang w:eastAsia="ja-JP"/>
              </w:rPr>
              <w:pPrChange w:id="9035" w:author="AbbVie2" w:date="2025-05-13T16:40:00Z">
                <w:pPr>
                  <w:keepNext/>
                  <w:spacing w:before="40" w:after="40" w:line="240" w:lineRule="exact"/>
                  <w:jc w:val="center"/>
                </w:pPr>
              </w:pPrChange>
            </w:pPr>
            <w:del w:id="9036" w:author="AbbVie2" w:date="2025-05-13T16:39:00Z">
              <w:r w:rsidRPr="008912CF">
                <w:rPr>
                  <w:rFonts w:eastAsia="Calibri"/>
                  <w:sz w:val="22"/>
                  <w:szCs w:val="22"/>
                  <w:lang w:eastAsia="ja-JP"/>
                </w:rPr>
                <w:delText>24 (32,9%)</w:delText>
              </w:r>
            </w:del>
          </w:p>
        </w:tc>
        <w:tc>
          <w:tcPr>
            <w:tcW w:w="1980" w:type="dxa"/>
          </w:tcPr>
          <w:p w14:paraId="491490CC" w14:textId="1AF78054" w:rsidR="004462A0" w:rsidRPr="008912CF" w:rsidRDefault="00615769">
            <w:pPr>
              <w:rPr>
                <w:del w:id="9037" w:author="AbbVie2" w:date="2025-05-13T16:39:00Z"/>
                <w:rFonts w:eastAsia="Calibri"/>
                <w:sz w:val="22"/>
                <w:szCs w:val="22"/>
                <w:lang w:eastAsia="ja-JP"/>
              </w:rPr>
              <w:pPrChange w:id="9038" w:author="AbbVie2" w:date="2025-05-13T16:40:00Z">
                <w:pPr>
                  <w:keepNext/>
                  <w:spacing w:before="40" w:after="40" w:line="240" w:lineRule="exact"/>
                  <w:jc w:val="center"/>
                </w:pPr>
              </w:pPrChange>
            </w:pPr>
            <w:del w:id="9039" w:author="AbbVie2" w:date="2025-05-13T16:39:00Z">
              <w:r w:rsidRPr="008912CF">
                <w:rPr>
                  <w:rFonts w:eastAsia="Calibri"/>
                  <w:sz w:val="22"/>
                  <w:szCs w:val="22"/>
                  <w:lang w:eastAsia="ja-JP"/>
                </w:rPr>
                <w:delText>36 (51,4%)</w:delText>
              </w:r>
            </w:del>
          </w:p>
        </w:tc>
        <w:tc>
          <w:tcPr>
            <w:tcW w:w="1855" w:type="dxa"/>
          </w:tcPr>
          <w:p w14:paraId="3503BEB9" w14:textId="1C61CC0C" w:rsidR="004462A0" w:rsidRPr="008912CF" w:rsidRDefault="00615769">
            <w:pPr>
              <w:rPr>
                <w:del w:id="9040" w:author="AbbVie2" w:date="2025-05-13T16:39:00Z"/>
                <w:rFonts w:eastAsia="Calibri"/>
                <w:sz w:val="22"/>
                <w:szCs w:val="22"/>
                <w:lang w:eastAsia="ja-JP"/>
              </w:rPr>
              <w:pPrChange w:id="9041" w:author="AbbVie2" w:date="2025-05-13T16:40:00Z">
                <w:pPr>
                  <w:keepNext/>
                  <w:spacing w:before="40" w:after="40" w:line="240" w:lineRule="exact"/>
                  <w:jc w:val="center"/>
                </w:pPr>
              </w:pPrChange>
            </w:pPr>
            <w:del w:id="9042" w:author="AbbVie2" w:date="2025-05-13T16:39:00Z">
              <w:r w:rsidRPr="008912CF">
                <w:rPr>
                  <w:rFonts w:eastAsia="Calibri"/>
                  <w:sz w:val="22"/>
                  <w:szCs w:val="22"/>
                  <w:lang w:eastAsia="ja-JP"/>
                </w:rPr>
                <w:delText>40 (57,1%)</w:delText>
              </w:r>
            </w:del>
          </w:p>
        </w:tc>
      </w:tr>
      <w:tr w:rsidR="00A7162A" w14:paraId="3D94A552" w14:textId="56E2110D" w:rsidTr="00F675CF">
        <w:trPr>
          <w:jc w:val="center"/>
          <w:del w:id="9043" w:author="AbbVie2" w:date="2025-05-13T16:39:00Z"/>
        </w:trPr>
        <w:tc>
          <w:tcPr>
            <w:tcW w:w="1437" w:type="dxa"/>
          </w:tcPr>
          <w:p w14:paraId="22B79FD6" w14:textId="174F65D2" w:rsidR="004462A0" w:rsidRPr="008912CF" w:rsidRDefault="00615769">
            <w:pPr>
              <w:rPr>
                <w:del w:id="9044" w:author="AbbVie2" w:date="2025-05-13T16:39:00Z"/>
                <w:rFonts w:eastAsia="Calibri"/>
                <w:sz w:val="22"/>
                <w:szCs w:val="22"/>
                <w:lang w:eastAsia="ja-JP"/>
              </w:rPr>
              <w:pPrChange w:id="9045" w:author="AbbVie2" w:date="2025-05-13T16:40:00Z">
                <w:pPr>
                  <w:keepNext/>
                  <w:spacing w:before="40" w:after="40" w:line="240" w:lineRule="exact"/>
                </w:pPr>
              </w:pPrChange>
            </w:pPr>
            <w:del w:id="9046" w:author="AbbVie2" w:date="2025-05-13T16:39:00Z">
              <w:r w:rsidRPr="008912CF">
                <w:rPr>
                  <w:rFonts w:eastAsia="Calibri"/>
                  <w:sz w:val="22"/>
                  <w:szCs w:val="22"/>
                  <w:lang w:eastAsia="ja-JP"/>
                </w:rPr>
                <w:delText>Semana 36</w:delText>
              </w:r>
            </w:del>
          </w:p>
        </w:tc>
        <w:tc>
          <w:tcPr>
            <w:tcW w:w="1980" w:type="dxa"/>
          </w:tcPr>
          <w:p w14:paraId="797BA031" w14:textId="4E09422D" w:rsidR="004462A0" w:rsidRPr="008912CF" w:rsidRDefault="00615769">
            <w:pPr>
              <w:rPr>
                <w:del w:id="9047" w:author="AbbVie2" w:date="2025-05-13T16:39:00Z"/>
                <w:rFonts w:eastAsia="Calibri"/>
                <w:sz w:val="22"/>
                <w:szCs w:val="22"/>
                <w:lang w:eastAsia="ja-JP"/>
              </w:rPr>
              <w:pPrChange w:id="9048" w:author="AbbVie2" w:date="2025-05-13T16:40:00Z">
                <w:pPr>
                  <w:keepNext/>
                  <w:spacing w:before="40" w:after="40" w:line="240" w:lineRule="exact"/>
                  <w:jc w:val="center"/>
                </w:pPr>
              </w:pPrChange>
            </w:pPr>
            <w:del w:id="9049" w:author="AbbVie2" w:date="2025-05-13T16:39:00Z">
              <w:r w:rsidRPr="008912CF">
                <w:rPr>
                  <w:rFonts w:eastAsia="Calibri"/>
                  <w:sz w:val="22"/>
                  <w:szCs w:val="22"/>
                  <w:lang w:eastAsia="ja-JP"/>
                </w:rPr>
                <w:delText>22 (30,1%)</w:delText>
              </w:r>
            </w:del>
          </w:p>
        </w:tc>
        <w:tc>
          <w:tcPr>
            <w:tcW w:w="1980" w:type="dxa"/>
          </w:tcPr>
          <w:p w14:paraId="16BD74A2" w14:textId="3502D31E" w:rsidR="004462A0" w:rsidRPr="008912CF" w:rsidRDefault="00615769">
            <w:pPr>
              <w:rPr>
                <w:del w:id="9050" w:author="AbbVie2" w:date="2025-05-13T16:39:00Z"/>
                <w:rFonts w:eastAsia="Calibri"/>
                <w:sz w:val="22"/>
                <w:szCs w:val="22"/>
                <w:lang w:eastAsia="ja-JP"/>
              </w:rPr>
              <w:pPrChange w:id="9051" w:author="AbbVie2" w:date="2025-05-13T16:40:00Z">
                <w:pPr>
                  <w:keepNext/>
                  <w:spacing w:before="40" w:after="40" w:line="240" w:lineRule="exact"/>
                  <w:jc w:val="center"/>
                </w:pPr>
              </w:pPrChange>
            </w:pPr>
            <w:del w:id="9052" w:author="AbbVie2" w:date="2025-05-13T16:39:00Z">
              <w:r w:rsidRPr="008912CF">
                <w:rPr>
                  <w:rFonts w:eastAsia="Calibri"/>
                  <w:sz w:val="22"/>
                  <w:szCs w:val="22"/>
                  <w:lang w:eastAsia="ja-JP"/>
                </w:rPr>
                <w:delText>28 (40,0%)</w:delText>
              </w:r>
            </w:del>
          </w:p>
        </w:tc>
        <w:tc>
          <w:tcPr>
            <w:tcW w:w="1855" w:type="dxa"/>
          </w:tcPr>
          <w:p w14:paraId="7D303600" w14:textId="220C8F4C" w:rsidR="004462A0" w:rsidRPr="008912CF" w:rsidRDefault="00615769">
            <w:pPr>
              <w:rPr>
                <w:del w:id="9053" w:author="AbbVie2" w:date="2025-05-13T16:39:00Z"/>
                <w:rFonts w:eastAsia="Calibri"/>
                <w:sz w:val="22"/>
                <w:szCs w:val="22"/>
                <w:lang w:eastAsia="ja-JP"/>
              </w:rPr>
              <w:pPrChange w:id="9054" w:author="AbbVie2" w:date="2025-05-13T16:40:00Z">
                <w:pPr>
                  <w:keepNext/>
                  <w:spacing w:before="40" w:after="40" w:line="240" w:lineRule="exact"/>
                  <w:jc w:val="center"/>
                </w:pPr>
              </w:pPrChange>
            </w:pPr>
            <w:del w:id="9055" w:author="AbbVie2" w:date="2025-05-13T16:39:00Z">
              <w:r w:rsidRPr="008912CF">
                <w:rPr>
                  <w:rFonts w:eastAsia="Calibri"/>
                  <w:sz w:val="22"/>
                  <w:szCs w:val="22"/>
                  <w:lang w:eastAsia="ja-JP"/>
                </w:rPr>
                <w:delText>39 (55,7%)</w:delText>
              </w:r>
            </w:del>
          </w:p>
        </w:tc>
      </w:tr>
      <w:tr w:rsidR="00A7162A" w14:paraId="6F18EF9C" w14:textId="56BBFED4" w:rsidTr="00F675CF">
        <w:trPr>
          <w:jc w:val="center"/>
          <w:del w:id="9056" w:author="AbbVie2" w:date="2025-05-13T16:39:00Z"/>
        </w:trPr>
        <w:tc>
          <w:tcPr>
            <w:tcW w:w="7252" w:type="dxa"/>
            <w:gridSpan w:val="4"/>
          </w:tcPr>
          <w:p w14:paraId="0A97166E" w14:textId="72BF2DFA" w:rsidR="004462A0" w:rsidRDefault="00615769">
            <w:pPr>
              <w:rPr>
                <w:del w:id="9057" w:author="AbbVie2" w:date="2025-05-13T16:39:00Z"/>
                <w:color w:val="000000"/>
                <w:sz w:val="22"/>
              </w:rPr>
              <w:pPrChange w:id="9058" w:author="AbbVie2" w:date="2025-05-13T16:40:00Z">
                <w:pPr>
                  <w:keepNext/>
                  <w:keepLines/>
                  <w:widowControl w:val="0"/>
                  <w:numPr>
                    <w:numId w:val="105"/>
                  </w:numPr>
                  <w:tabs>
                    <w:tab w:val="left" w:pos="562"/>
                    <w:tab w:val="left" w:pos="4120"/>
                  </w:tabs>
                  <w:suppressAutoHyphens/>
                  <w:spacing w:line="240" w:lineRule="exact"/>
                  <w:ind w:left="720" w:hanging="720"/>
                </w:pPr>
              </w:pPrChange>
            </w:pPr>
            <w:del w:id="9059" w:author="AbbVie2" w:date="2025-05-13T16:39:00Z">
              <w:r w:rsidRPr="000D69E9">
                <w:rPr>
                  <w:color w:val="000000"/>
                  <w:sz w:val="22"/>
                </w:rPr>
                <w:delText>Doentes com pelo menos uma resposta parcial a Humira 40 mg todas as</w:delText>
              </w:r>
            </w:del>
          </w:p>
          <w:p w14:paraId="6144330E" w14:textId="471BA20D" w:rsidR="004462A0" w:rsidRPr="000D69E9" w:rsidRDefault="00615769">
            <w:pPr>
              <w:rPr>
                <w:del w:id="9060" w:author="AbbVie2" w:date="2025-05-13T16:39:00Z"/>
                <w:color w:val="000000"/>
                <w:sz w:val="22"/>
              </w:rPr>
              <w:pPrChange w:id="9061" w:author="AbbVie2" w:date="2025-05-13T16:40:00Z">
                <w:pPr>
                  <w:keepNext/>
                  <w:keepLines/>
                  <w:widowControl w:val="0"/>
                  <w:tabs>
                    <w:tab w:val="left" w:pos="562"/>
                    <w:tab w:val="left" w:pos="4120"/>
                  </w:tabs>
                  <w:suppressAutoHyphens/>
                  <w:spacing w:line="240" w:lineRule="exact"/>
                  <w:ind w:left="543"/>
                </w:pPr>
              </w:pPrChange>
            </w:pPr>
            <w:del w:id="9062" w:author="AbbVie2" w:date="2025-05-13T16:39:00Z">
              <w:r w:rsidRPr="000D69E9">
                <w:rPr>
                  <w:color w:val="000000"/>
                  <w:sz w:val="22"/>
                </w:rPr>
                <w:delText>semanas, após 12 semanas de tratamento</w:delText>
              </w:r>
            </w:del>
          </w:p>
          <w:p w14:paraId="106789AA" w14:textId="1495ED44" w:rsidR="004462A0" w:rsidRPr="008912CF" w:rsidRDefault="00615769">
            <w:pPr>
              <w:rPr>
                <w:del w:id="9063" w:author="AbbVie2" w:date="2025-05-13T16:39:00Z"/>
                <w:rFonts w:eastAsia="MS Mincho"/>
                <w:sz w:val="22"/>
                <w:szCs w:val="22"/>
                <w:lang w:eastAsia="ja-JP"/>
              </w:rPr>
              <w:pPrChange w:id="9064" w:author="AbbVie2" w:date="2025-05-13T16:40:00Z">
                <w:pPr>
                  <w:keepNext/>
                  <w:keepLines/>
                  <w:widowControl w:val="0"/>
                  <w:numPr>
                    <w:numId w:val="105"/>
                  </w:numPr>
                  <w:tabs>
                    <w:tab w:val="left" w:pos="562"/>
                    <w:tab w:val="left" w:pos="4120"/>
                  </w:tabs>
                  <w:suppressAutoHyphens/>
                  <w:spacing w:line="240" w:lineRule="exact"/>
                  <w:ind w:left="543" w:hanging="543"/>
                </w:pPr>
              </w:pPrChange>
            </w:pPr>
            <w:del w:id="9065" w:author="AbbVie2" w:date="2025-05-13T16:39:00Z">
              <w:r w:rsidRPr="000D69E9">
                <w:rPr>
                  <w:color w:val="000000"/>
                  <w:sz w:val="22"/>
                </w:rPr>
                <w:delText>Aos doentes que apresentaram perda de resposta ou sem melhoria (de</w:delText>
              </w:r>
              <w:r w:rsidRPr="008912CF">
                <w:rPr>
                  <w:rFonts w:eastAsia="MS Mincho"/>
                  <w:sz w:val="22"/>
                  <w:szCs w:val="22"/>
                  <w:lang w:eastAsia="ja-JP"/>
                </w:rPr>
                <w:delText xml:space="preserve"> acordo com os critérios específicos do protocolo) foi solicitada a descontinuação dos estudos e foram considerados como não respondedores.</w:delText>
              </w:r>
            </w:del>
          </w:p>
        </w:tc>
      </w:tr>
    </w:tbl>
    <w:p w14:paraId="2AAD1DFF" w14:textId="052BDC8B" w:rsidR="004462A0" w:rsidRPr="008912CF" w:rsidRDefault="004462A0" w:rsidP="00412FC8">
      <w:pPr>
        <w:rPr>
          <w:del w:id="9066" w:author="AbbVie2" w:date="2025-05-13T16:39:00Z"/>
          <w:sz w:val="22"/>
          <w:szCs w:val="22"/>
          <w:u w:val="single"/>
        </w:rPr>
      </w:pPr>
    </w:p>
    <w:p w14:paraId="4E648FE2" w14:textId="0767C429" w:rsidR="004462A0" w:rsidRPr="008912CF" w:rsidRDefault="00615769" w:rsidP="00412FC8">
      <w:pPr>
        <w:rPr>
          <w:del w:id="9067" w:author="AbbVie2" w:date="2025-05-13T16:39:00Z"/>
          <w:sz w:val="22"/>
          <w:szCs w:val="22"/>
        </w:rPr>
      </w:pPr>
      <w:del w:id="9068" w:author="AbbVie2" w:date="2025-05-13T16:39:00Z">
        <w:r w:rsidRPr="008912CF">
          <w:rPr>
            <w:sz w:val="22"/>
            <w:szCs w:val="22"/>
          </w:rPr>
          <w:delText xml:space="preserve">Entre os doentes que foram pelo menos respondedores parciais </w:delText>
        </w:r>
        <w:r w:rsidR="0082206C">
          <w:rPr>
            <w:sz w:val="22"/>
            <w:szCs w:val="22"/>
          </w:rPr>
          <w:delText>à</w:delText>
        </w:r>
        <w:r w:rsidR="0082206C" w:rsidRPr="008912CF">
          <w:rPr>
            <w:sz w:val="22"/>
            <w:szCs w:val="22"/>
          </w:rPr>
          <w:delText xml:space="preserve"> </w:delText>
        </w:r>
        <w:r w:rsidRPr="008912CF">
          <w:rPr>
            <w:sz w:val="22"/>
            <w:szCs w:val="22"/>
          </w:rPr>
          <w:delText xml:space="preserve">Semana 12, e que receberam o tratamento com Humira todas as semanas, em contínuo, a taxa HiSCR na </w:delText>
        </w:r>
        <w:r w:rsidR="00317803">
          <w:rPr>
            <w:sz w:val="22"/>
            <w:szCs w:val="22"/>
          </w:rPr>
          <w:delText>S</w:delText>
        </w:r>
        <w:r w:rsidRPr="008912CF">
          <w:rPr>
            <w:sz w:val="22"/>
            <w:szCs w:val="22"/>
          </w:rPr>
          <w:delText xml:space="preserve">emana 48 foi de </w:delText>
        </w:r>
        <w:r w:rsidR="00E45662">
          <w:rPr>
            <w:sz w:val="22"/>
            <w:szCs w:val="22"/>
          </w:rPr>
          <w:delText xml:space="preserve">68,3% e na </w:delText>
        </w:r>
        <w:r w:rsidR="009E086D">
          <w:rPr>
            <w:sz w:val="22"/>
            <w:szCs w:val="22"/>
          </w:rPr>
          <w:delText>S</w:delText>
        </w:r>
        <w:r w:rsidR="00E45662">
          <w:rPr>
            <w:sz w:val="22"/>
            <w:szCs w:val="22"/>
          </w:rPr>
          <w:delText>emana 96 foi de 65,1%</w:delText>
        </w:r>
        <w:r w:rsidR="00E45662" w:rsidRPr="008912CF">
          <w:rPr>
            <w:sz w:val="22"/>
            <w:szCs w:val="22"/>
          </w:rPr>
          <w:delText>.</w:delText>
        </w:r>
        <w:r w:rsidR="00E45662">
          <w:rPr>
            <w:sz w:val="22"/>
            <w:szCs w:val="22"/>
          </w:rPr>
          <w:delText xml:space="preserve"> O tratamento a longo prazo com Humira 40 mg todas as </w:delText>
        </w:r>
        <w:r w:rsidR="009E086D">
          <w:rPr>
            <w:sz w:val="22"/>
            <w:szCs w:val="22"/>
          </w:rPr>
          <w:delText>s</w:delText>
        </w:r>
        <w:r w:rsidR="00E45662">
          <w:rPr>
            <w:sz w:val="22"/>
            <w:szCs w:val="22"/>
          </w:rPr>
          <w:delText xml:space="preserve">emanas durante 96 semanas </w:delText>
        </w:r>
        <w:r w:rsidR="00E45662" w:rsidRPr="008912CF">
          <w:rPr>
            <w:sz w:val="22"/>
            <w:szCs w:val="22"/>
          </w:rPr>
          <w:delText>não revel</w:delText>
        </w:r>
        <w:r w:rsidR="00E45662">
          <w:rPr>
            <w:sz w:val="22"/>
            <w:szCs w:val="22"/>
          </w:rPr>
          <w:delText>ou</w:delText>
        </w:r>
        <w:r w:rsidR="00E45662" w:rsidRPr="008912CF">
          <w:rPr>
            <w:sz w:val="22"/>
            <w:szCs w:val="22"/>
          </w:rPr>
          <w:delText xml:space="preserve"> quaisquer novas informações de segurança.</w:delText>
        </w:r>
      </w:del>
    </w:p>
    <w:p w14:paraId="02F0BF8D" w14:textId="32DD204D" w:rsidR="004462A0" w:rsidRPr="008912CF" w:rsidRDefault="004462A0" w:rsidP="00412FC8">
      <w:pPr>
        <w:rPr>
          <w:del w:id="9069" w:author="AbbVie2" w:date="2025-05-13T16:39:00Z"/>
          <w:sz w:val="22"/>
          <w:szCs w:val="22"/>
        </w:rPr>
      </w:pPr>
    </w:p>
    <w:p w14:paraId="68F12DA8" w14:textId="4261169C" w:rsidR="004462A0" w:rsidRPr="008912CF" w:rsidRDefault="00615769" w:rsidP="00412FC8">
      <w:pPr>
        <w:rPr>
          <w:del w:id="9070" w:author="AbbVie2" w:date="2025-05-13T16:39:00Z"/>
          <w:sz w:val="22"/>
          <w:szCs w:val="22"/>
        </w:rPr>
      </w:pPr>
      <w:del w:id="9071" w:author="AbbVie2" w:date="2025-05-13T16:39:00Z">
        <w:r w:rsidRPr="008912CF">
          <w:rPr>
            <w:sz w:val="22"/>
            <w:szCs w:val="22"/>
          </w:rPr>
          <w:delText>Nos Estudos HS-I e HS-II, nos doentes cujo tratamento com Humira foi supenso na semana 12, a taxa de HiSCR, 12 semanas após a re-introdução de Humira 40</w:delText>
        </w:r>
        <w:r>
          <w:rPr>
            <w:sz w:val="22"/>
            <w:szCs w:val="22"/>
          </w:rPr>
          <w:delText> </w:delText>
        </w:r>
        <w:r w:rsidRPr="008912CF">
          <w:rPr>
            <w:sz w:val="22"/>
            <w:szCs w:val="22"/>
          </w:rPr>
          <w:delText>mg semanal, voltou a atingir níveis semelhantes aos observados antes da suspensão (56,0</w:delText>
        </w:r>
        <w:r w:rsidR="009343EF">
          <w:rPr>
            <w:sz w:val="22"/>
            <w:szCs w:val="22"/>
          </w:rPr>
          <w:delText>%</w:delText>
        </w:r>
        <w:r w:rsidRPr="008912CF">
          <w:rPr>
            <w:sz w:val="22"/>
            <w:szCs w:val="22"/>
          </w:rPr>
          <w:delText>).</w:delText>
        </w:r>
      </w:del>
    </w:p>
    <w:p w14:paraId="07717109" w14:textId="21AD2FBF" w:rsidR="004462A0" w:rsidRPr="008912CF" w:rsidRDefault="004462A0" w:rsidP="00412FC8">
      <w:pPr>
        <w:rPr>
          <w:del w:id="9072" w:author="AbbVie2" w:date="2025-05-13T16:39:00Z"/>
          <w:sz w:val="22"/>
          <w:szCs w:val="22"/>
          <w:u w:val="single"/>
          <w:lang w:eastAsia="zh-TW"/>
        </w:rPr>
      </w:pPr>
    </w:p>
    <w:p w14:paraId="260A1913" w14:textId="7C1D3D85" w:rsidR="004462A0" w:rsidRPr="008912CF" w:rsidRDefault="00615769" w:rsidP="00412FC8">
      <w:pPr>
        <w:rPr>
          <w:del w:id="9073" w:author="AbbVie2" w:date="2025-05-13T16:39:00Z"/>
          <w:sz w:val="22"/>
          <w:szCs w:val="22"/>
          <w:u w:val="single"/>
        </w:rPr>
      </w:pPr>
      <w:del w:id="9074" w:author="AbbVie2" w:date="2025-05-13T16:39:00Z">
        <w:r w:rsidRPr="008912CF">
          <w:rPr>
            <w:i/>
            <w:sz w:val="22"/>
            <w:szCs w:val="22"/>
          </w:rPr>
          <w:delText>Doença de Crohn</w:delText>
        </w:r>
      </w:del>
    </w:p>
    <w:p w14:paraId="6C70A738" w14:textId="08CE0670" w:rsidR="004462A0" w:rsidRPr="008912CF" w:rsidRDefault="004462A0">
      <w:pPr>
        <w:rPr>
          <w:del w:id="9075" w:author="AbbVie2" w:date="2025-05-13T16:39:00Z"/>
          <w:sz w:val="22"/>
          <w:szCs w:val="22"/>
        </w:rPr>
        <w:pPrChange w:id="9076" w:author="AbbVie2" w:date="2025-05-13T16:40:00Z">
          <w:pPr>
            <w:jc w:val="both"/>
          </w:pPr>
        </w:pPrChange>
      </w:pPr>
    </w:p>
    <w:p w14:paraId="38CC0DD3" w14:textId="5BF2399E" w:rsidR="004462A0" w:rsidRPr="008912CF" w:rsidRDefault="00615769">
      <w:pPr>
        <w:rPr>
          <w:del w:id="9077" w:author="AbbVie2" w:date="2025-05-13T16:39:00Z"/>
          <w:szCs w:val="22"/>
        </w:rPr>
        <w:pPrChange w:id="9078" w:author="AbbVie2" w:date="2025-05-13T16:40:00Z">
          <w:pPr>
            <w:pStyle w:val="BodyText2"/>
            <w:autoSpaceDE/>
            <w:autoSpaceDN/>
            <w:adjustRightInd/>
          </w:pPr>
        </w:pPrChange>
      </w:pPr>
      <w:del w:id="9079" w:author="AbbVie2" w:date="2025-05-13T16:39:00Z">
        <w:r w:rsidRPr="008912CF">
          <w:rPr>
            <w:szCs w:val="22"/>
          </w:rPr>
          <w:delText>A segurança e eficácia de Humira foram avaliadas em mais de 1.500 doentes com doença de Crohn (DC) ativa moderada a grave (</w:delText>
        </w:r>
        <w:r w:rsidRPr="008912CF">
          <w:rPr>
            <w:i/>
            <w:szCs w:val="22"/>
          </w:rPr>
          <w:delText>Crohn’s Disease Activity Index</w:delText>
        </w:r>
        <w:r w:rsidRPr="008912CF">
          <w:rPr>
            <w:szCs w:val="22"/>
          </w:rPr>
          <w:delText xml:space="preserve"> (CDAI) </w:delText>
        </w:r>
        <w:r w:rsidRPr="008912CF">
          <w:rPr>
            <w:rFonts w:ascii="Symbol" w:hAnsi="Symbol"/>
            <w:szCs w:val="22"/>
          </w:rPr>
          <w:sym w:font="Symbol" w:char="F0B3"/>
        </w:r>
        <w:r w:rsidRPr="008912CF">
          <w:rPr>
            <w:szCs w:val="22"/>
          </w:rPr>
          <w:delText xml:space="preserve"> 220 e </w:delText>
        </w:r>
        <w:r w:rsidRPr="008912CF">
          <w:rPr>
            <w:rFonts w:ascii="Symbol" w:hAnsi="Symbol"/>
            <w:szCs w:val="22"/>
          </w:rPr>
          <w:sym w:font="Symbol" w:char="F0A3"/>
        </w:r>
        <w:r w:rsidRPr="008912CF">
          <w:rPr>
            <w:szCs w:val="22"/>
          </w:rPr>
          <w:delText xml:space="preserve"> 450) em estudos </w:delText>
        </w:r>
        <w:r w:rsidR="0013275C">
          <w:rPr>
            <w:szCs w:val="22"/>
          </w:rPr>
          <w:delText>aleatorizado</w:delText>
        </w:r>
        <w:r w:rsidRPr="008912CF">
          <w:rPr>
            <w:szCs w:val="22"/>
          </w:rPr>
          <w:delText>s, em dupla ocultação, controlados com placebo. Foi permitida a utilização concomitante de doses estáveis de aminosalicilatos, corticosteroides, e/ou agentes imunomoduladores e 80</w:delText>
        </w:r>
        <w:r w:rsidR="009343EF">
          <w:rPr>
            <w:szCs w:val="22"/>
          </w:rPr>
          <w:delText>%</w:delText>
        </w:r>
        <w:r w:rsidRPr="008912CF">
          <w:rPr>
            <w:szCs w:val="22"/>
          </w:rPr>
          <w:delText xml:space="preserve"> dos doentes continuaram a receber pelo menos um destes medicamentos.</w:delText>
        </w:r>
      </w:del>
    </w:p>
    <w:p w14:paraId="073B2282" w14:textId="769938A3" w:rsidR="004462A0" w:rsidRPr="008912CF" w:rsidRDefault="004462A0">
      <w:pPr>
        <w:rPr>
          <w:del w:id="9080" w:author="AbbVie2" w:date="2025-05-13T16:39:00Z"/>
          <w:sz w:val="22"/>
          <w:szCs w:val="22"/>
        </w:rPr>
        <w:pPrChange w:id="9081" w:author="AbbVie2" w:date="2025-05-13T16:40:00Z">
          <w:pPr>
            <w:jc w:val="both"/>
          </w:pPr>
        </w:pPrChange>
      </w:pPr>
    </w:p>
    <w:p w14:paraId="02A79A51" w14:textId="2DFBF473" w:rsidR="004462A0" w:rsidRPr="008912CF" w:rsidRDefault="00615769">
      <w:pPr>
        <w:rPr>
          <w:del w:id="9082" w:author="AbbVie2" w:date="2025-05-13T16:39:00Z"/>
          <w:szCs w:val="22"/>
        </w:rPr>
        <w:pPrChange w:id="9083" w:author="AbbVie2" w:date="2025-05-13T16:40:00Z">
          <w:pPr>
            <w:pStyle w:val="BodyText2"/>
            <w:autoSpaceDE/>
            <w:autoSpaceDN/>
            <w:adjustRightInd/>
          </w:pPr>
        </w:pPrChange>
      </w:pPr>
      <w:del w:id="9084" w:author="AbbVie2" w:date="2025-05-13T16:39:00Z">
        <w:r w:rsidRPr="008912CF">
          <w:rPr>
            <w:szCs w:val="22"/>
          </w:rPr>
          <w:delText>A indução da remissão clínica (definida como CDAI &lt; 150) foi avaliada em dois estudos, Estudo DC I (CLASSIC I) e Estudo DC II (GAIN). No Estudo DC I</w:delText>
        </w:r>
        <w:r w:rsidR="00FD7DDE">
          <w:rPr>
            <w:szCs w:val="22"/>
          </w:rPr>
          <w:delText>,</w:delText>
        </w:r>
        <w:r w:rsidRPr="008912CF">
          <w:rPr>
            <w:szCs w:val="22"/>
          </w:rPr>
          <w:delText xml:space="preserve"> 299 doentes não tratados previamente com antagonistas-TNF foram </w:delText>
        </w:r>
        <w:r w:rsidR="0013275C">
          <w:rPr>
            <w:szCs w:val="22"/>
          </w:rPr>
          <w:delText>aleatorizado</w:delText>
        </w:r>
        <w:r w:rsidRPr="008912CF">
          <w:rPr>
            <w:szCs w:val="22"/>
          </w:rPr>
          <w:delText>s para um dos quatro grupos de tratamento; placebo nas Semanas 0 e 2, 160 mg de Humira na Semana 0 e 80 mg na Semana 2, 80 mg na Semana 0 e 40 mg na Semana 2, e 40 mg na Semana 0 e 20 mg na Semana 2. No Estudo DC II</w:delText>
        </w:r>
        <w:r w:rsidR="00FD7DDE">
          <w:rPr>
            <w:szCs w:val="22"/>
          </w:rPr>
          <w:delText>,</w:delText>
        </w:r>
        <w:r w:rsidRPr="008912CF">
          <w:rPr>
            <w:szCs w:val="22"/>
          </w:rPr>
          <w:delText xml:space="preserve"> 325 doentes que </w:delText>
        </w:r>
        <w:r w:rsidR="007507AB">
          <w:rPr>
            <w:szCs w:val="22"/>
          </w:rPr>
          <w:delText xml:space="preserve">deixaram de </w:delText>
        </w:r>
        <w:r w:rsidRPr="008912CF">
          <w:rPr>
            <w:szCs w:val="22"/>
          </w:rPr>
          <w:delText xml:space="preserve">responder ou foram intolerantes a infliximab foram </w:delText>
        </w:r>
        <w:r w:rsidR="0013275C">
          <w:rPr>
            <w:szCs w:val="22"/>
          </w:rPr>
          <w:delText>aleatorizado</w:delText>
        </w:r>
        <w:r w:rsidRPr="008912CF">
          <w:rPr>
            <w:szCs w:val="22"/>
          </w:rPr>
          <w:delText>s para receber ou 160 mg de Humira na Semana 0 e 80 mg na Semana 2 ou placebo nas Semanas 0 e 2. Foram excluídos do estudo os não respondedores primários e estes doentes não foram avaliados.</w:delText>
        </w:r>
      </w:del>
    </w:p>
    <w:p w14:paraId="72D7B4AB" w14:textId="35DDA46A" w:rsidR="004462A0" w:rsidRPr="008912CF" w:rsidRDefault="004462A0">
      <w:pPr>
        <w:rPr>
          <w:del w:id="9085" w:author="AbbVie2" w:date="2025-05-13T16:39:00Z"/>
          <w:sz w:val="22"/>
          <w:szCs w:val="22"/>
        </w:rPr>
        <w:pPrChange w:id="9086" w:author="AbbVie2" w:date="2025-05-13T16:40:00Z">
          <w:pPr>
            <w:jc w:val="both"/>
          </w:pPr>
        </w:pPrChange>
      </w:pPr>
    </w:p>
    <w:p w14:paraId="583AFA82" w14:textId="6A3372DA" w:rsidR="004462A0" w:rsidRPr="008912CF" w:rsidRDefault="00615769">
      <w:pPr>
        <w:rPr>
          <w:del w:id="9087" w:author="AbbVie2" w:date="2025-05-13T16:39:00Z"/>
          <w:szCs w:val="22"/>
        </w:rPr>
        <w:pPrChange w:id="9088" w:author="AbbVie2" w:date="2025-05-13T16:40:00Z">
          <w:pPr>
            <w:pStyle w:val="EMEANormal"/>
          </w:pPr>
        </w:pPrChange>
      </w:pPr>
      <w:del w:id="9089" w:author="AbbVie2" w:date="2025-05-13T16:39:00Z">
        <w:r w:rsidRPr="008912CF">
          <w:rPr>
            <w:szCs w:val="22"/>
          </w:rPr>
          <w:delText>A manutenção da remissão clínica foi avaliada no estudo DC III (CHARM). No Estudo DC III</w:delText>
        </w:r>
        <w:r w:rsidR="007507AB">
          <w:rPr>
            <w:szCs w:val="22"/>
          </w:rPr>
          <w:delText>,</w:delText>
        </w:r>
        <w:r w:rsidRPr="008912CF">
          <w:rPr>
            <w:szCs w:val="22"/>
          </w:rPr>
          <w:delText xml:space="preserve"> 854 doentes receberam </w:delText>
        </w:r>
        <w:r w:rsidR="007507AB" w:rsidRPr="008912CF">
          <w:rPr>
            <w:szCs w:val="22"/>
          </w:rPr>
          <w:delText xml:space="preserve">em fase aberta </w:delText>
        </w:r>
        <w:r w:rsidRPr="008912CF">
          <w:rPr>
            <w:szCs w:val="22"/>
          </w:rPr>
          <w:delText xml:space="preserve">80 mg na Semana 0 e 40 mg na Semana 2. Na Semana 4, os doentes foram </w:delText>
        </w:r>
        <w:r w:rsidR="0013275C">
          <w:rPr>
            <w:szCs w:val="22"/>
          </w:rPr>
          <w:delText>aleatorizado</w:delText>
        </w:r>
        <w:r w:rsidRPr="008912CF">
          <w:rPr>
            <w:szCs w:val="22"/>
          </w:rPr>
          <w:delText xml:space="preserve">s para 40 mg em </w:delText>
        </w:r>
        <w:r w:rsidR="007507AB">
          <w:rPr>
            <w:szCs w:val="22"/>
          </w:rPr>
          <w:delText>s</w:delText>
        </w:r>
        <w:r w:rsidRPr="008912CF">
          <w:rPr>
            <w:szCs w:val="22"/>
          </w:rPr>
          <w:delText xml:space="preserve">emanas alternadas, 40 mg todas as </w:delText>
        </w:r>
        <w:r w:rsidR="007507AB">
          <w:rPr>
            <w:szCs w:val="22"/>
          </w:rPr>
          <w:delText>s</w:delText>
        </w:r>
        <w:r w:rsidRPr="008912CF">
          <w:rPr>
            <w:szCs w:val="22"/>
          </w:rPr>
          <w:delText xml:space="preserve">emanas, ou placebo com uma duração total de 56 </w:delText>
        </w:r>
        <w:r w:rsidR="007507AB">
          <w:rPr>
            <w:szCs w:val="22"/>
          </w:rPr>
          <w:delText>s</w:delText>
        </w:r>
        <w:r w:rsidRPr="008912CF">
          <w:rPr>
            <w:szCs w:val="22"/>
          </w:rPr>
          <w:delText>emanas. Doentes em resposta clínica (diminuição de CDAI </w:delText>
        </w:r>
        <w:r w:rsidRPr="008912CF">
          <w:rPr>
            <w:rFonts w:ascii="Symbol" w:hAnsi="Symbol"/>
            <w:szCs w:val="22"/>
          </w:rPr>
          <w:sym w:font="Symbol" w:char="F0B3"/>
        </w:r>
        <w:r w:rsidRPr="008912CF">
          <w:rPr>
            <w:szCs w:val="22"/>
          </w:rPr>
          <w:delText xml:space="preserve"> 70) na </w:delText>
        </w:r>
        <w:r w:rsidR="00FD7DDE">
          <w:rPr>
            <w:szCs w:val="22"/>
          </w:rPr>
          <w:delText>S</w:delText>
        </w:r>
        <w:r w:rsidRPr="008912CF">
          <w:rPr>
            <w:szCs w:val="22"/>
          </w:rPr>
          <w:delText>emana 4 foram estratificados e analisados separadamente dos que não responderam clinicamente na Semana 4. A redução de corticosteroides foi permitida após a Semana 8.</w:delText>
        </w:r>
      </w:del>
    </w:p>
    <w:p w14:paraId="69A93DD7" w14:textId="52C9F494" w:rsidR="004462A0" w:rsidRPr="008912CF" w:rsidRDefault="004462A0">
      <w:pPr>
        <w:rPr>
          <w:del w:id="9090" w:author="AbbVie2" w:date="2025-05-13T16:39:00Z"/>
          <w:szCs w:val="22"/>
        </w:rPr>
        <w:pPrChange w:id="9091" w:author="AbbVie2" w:date="2025-05-13T16:40:00Z">
          <w:pPr>
            <w:pStyle w:val="EMEANormal"/>
          </w:pPr>
        </w:pPrChange>
      </w:pPr>
    </w:p>
    <w:p w14:paraId="1CB66189" w14:textId="7D66537F" w:rsidR="004462A0" w:rsidRDefault="00615769">
      <w:pPr>
        <w:rPr>
          <w:del w:id="9092" w:author="AbbVie2" w:date="2025-05-13T16:39:00Z"/>
          <w:sz w:val="22"/>
          <w:szCs w:val="22"/>
        </w:rPr>
        <w:pPrChange w:id="9093" w:author="AbbVie2" w:date="2025-05-13T16:40:00Z">
          <w:pPr>
            <w:jc w:val="both"/>
          </w:pPr>
        </w:pPrChange>
      </w:pPr>
      <w:del w:id="9094" w:author="AbbVie2" w:date="2025-05-13T16:39:00Z">
        <w:r w:rsidRPr="008912CF">
          <w:rPr>
            <w:sz w:val="22"/>
            <w:szCs w:val="22"/>
          </w:rPr>
          <w:delText xml:space="preserve">As taxas de indução de remissão e de resposta </w:delText>
        </w:r>
        <w:r w:rsidR="00FD7DDE" w:rsidRPr="008912CF">
          <w:rPr>
            <w:sz w:val="22"/>
            <w:szCs w:val="22"/>
          </w:rPr>
          <w:delText>dos estudos D</w:delText>
        </w:r>
        <w:r w:rsidR="00FD7DDE">
          <w:rPr>
            <w:sz w:val="22"/>
            <w:szCs w:val="22"/>
          </w:rPr>
          <w:delText>C</w:delText>
        </w:r>
        <w:r w:rsidR="00FD7DDE" w:rsidRPr="008912CF">
          <w:rPr>
            <w:sz w:val="22"/>
            <w:szCs w:val="22"/>
          </w:rPr>
          <w:delText xml:space="preserve"> I e D</w:delText>
        </w:r>
        <w:r w:rsidR="00FD7DDE">
          <w:rPr>
            <w:sz w:val="22"/>
            <w:szCs w:val="22"/>
          </w:rPr>
          <w:delText>C</w:delText>
        </w:r>
        <w:r w:rsidR="00FD7DDE" w:rsidRPr="008912CF">
          <w:rPr>
            <w:sz w:val="22"/>
            <w:szCs w:val="22"/>
          </w:rPr>
          <w:delText xml:space="preserve"> II </w:delText>
        </w:r>
        <w:r w:rsidRPr="008912CF">
          <w:rPr>
            <w:sz w:val="22"/>
            <w:szCs w:val="22"/>
          </w:rPr>
          <w:delText xml:space="preserve">são apresentadas na Tabela </w:delText>
        </w:r>
        <w:r w:rsidR="00A22EC4">
          <w:rPr>
            <w:sz w:val="22"/>
            <w:szCs w:val="22"/>
          </w:rPr>
          <w:delText>2</w:delText>
        </w:r>
        <w:r w:rsidR="00B925B3">
          <w:rPr>
            <w:sz w:val="22"/>
            <w:szCs w:val="22"/>
          </w:rPr>
          <w:delText>1</w:delText>
        </w:r>
        <w:r w:rsidRPr="008912CF">
          <w:rPr>
            <w:sz w:val="22"/>
            <w:szCs w:val="22"/>
          </w:rPr>
          <w:delText>.</w:delText>
        </w:r>
      </w:del>
    </w:p>
    <w:p w14:paraId="1BC884FC" w14:textId="599E1EC7" w:rsidR="00FD7DDE" w:rsidRPr="008912CF" w:rsidRDefault="00FD7DDE">
      <w:pPr>
        <w:rPr>
          <w:del w:id="9095" w:author="AbbVie2" w:date="2025-05-13T16:39:00Z"/>
          <w:sz w:val="22"/>
          <w:szCs w:val="22"/>
        </w:rPr>
        <w:pPrChange w:id="9096" w:author="AbbVie2" w:date="2025-05-13T16:40:00Z">
          <w:pPr>
            <w:jc w:val="both"/>
          </w:pPr>
        </w:pPrChange>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7"/>
        <w:gridCol w:w="1201"/>
        <w:gridCol w:w="1255"/>
        <w:gridCol w:w="1176"/>
        <w:gridCol w:w="1409"/>
        <w:gridCol w:w="1840"/>
      </w:tblGrid>
      <w:tr w:rsidR="00A7162A" w14:paraId="0A426351" w14:textId="2C828DC1" w:rsidTr="00F675CF">
        <w:trPr>
          <w:cantSplit/>
          <w:del w:id="9097" w:author="AbbVie2" w:date="2025-05-13T16:39:00Z"/>
        </w:trPr>
        <w:tc>
          <w:tcPr>
            <w:tcW w:w="9238" w:type="dxa"/>
            <w:gridSpan w:val="6"/>
            <w:tcBorders>
              <w:top w:val="nil"/>
              <w:left w:val="nil"/>
              <w:right w:val="nil"/>
            </w:tcBorders>
          </w:tcPr>
          <w:p w14:paraId="76A28492" w14:textId="2ED1FB7F" w:rsidR="004462A0" w:rsidRPr="008912CF" w:rsidRDefault="00615769">
            <w:pPr>
              <w:rPr>
                <w:del w:id="9098" w:author="AbbVie2" w:date="2025-05-13T16:39:00Z"/>
                <w:b/>
                <w:bCs/>
                <w:sz w:val="22"/>
                <w:szCs w:val="22"/>
              </w:rPr>
              <w:pPrChange w:id="9099" w:author="AbbVie2" w:date="2025-05-13T16:40:00Z">
                <w:pPr>
                  <w:pStyle w:val="TableText"/>
                  <w:spacing w:line="240" w:lineRule="auto"/>
                  <w:jc w:val="center"/>
                </w:pPr>
              </w:pPrChange>
            </w:pPr>
            <w:del w:id="9100" w:author="AbbVie2" w:date="2025-05-13T16:39:00Z">
              <w:r w:rsidRPr="008912CF">
                <w:br w:type="page"/>
              </w:r>
              <w:r w:rsidRPr="008912CF">
                <w:rPr>
                  <w:szCs w:val="22"/>
                </w:rPr>
                <w:br w:type="page"/>
              </w:r>
              <w:r w:rsidRPr="008912CF">
                <w:rPr>
                  <w:b/>
                  <w:bCs/>
                  <w:sz w:val="22"/>
                  <w:szCs w:val="22"/>
                </w:rPr>
                <w:delText xml:space="preserve">Tabela </w:delText>
              </w:r>
              <w:r w:rsidR="00A22EC4">
                <w:rPr>
                  <w:b/>
                  <w:bCs/>
                  <w:sz w:val="22"/>
                  <w:szCs w:val="22"/>
                </w:rPr>
                <w:delText>2</w:delText>
              </w:r>
              <w:r w:rsidR="00B925B3">
                <w:rPr>
                  <w:b/>
                  <w:bCs/>
                  <w:sz w:val="22"/>
                  <w:szCs w:val="22"/>
                </w:rPr>
                <w:delText>1</w:delText>
              </w:r>
            </w:del>
          </w:p>
          <w:p w14:paraId="53C4CAC0" w14:textId="3CEA548E" w:rsidR="004462A0" w:rsidRPr="008912CF" w:rsidRDefault="00615769">
            <w:pPr>
              <w:rPr>
                <w:del w:id="9101" w:author="AbbVie2" w:date="2025-05-13T16:39:00Z"/>
                <w:b/>
                <w:bCs/>
                <w:sz w:val="22"/>
                <w:szCs w:val="22"/>
              </w:rPr>
              <w:pPrChange w:id="9102" w:author="AbbVie2" w:date="2025-05-13T16:40:00Z">
                <w:pPr>
                  <w:pStyle w:val="TableText"/>
                  <w:spacing w:line="240" w:lineRule="auto"/>
                  <w:jc w:val="center"/>
                </w:pPr>
              </w:pPrChange>
            </w:pPr>
            <w:del w:id="9103" w:author="AbbVie2" w:date="2025-05-13T16:39:00Z">
              <w:r w:rsidRPr="008912CF">
                <w:rPr>
                  <w:b/>
                  <w:bCs/>
                  <w:sz w:val="22"/>
                  <w:szCs w:val="22"/>
                </w:rPr>
                <w:delText>Indução da remissão e resposta clínica</w:delText>
              </w:r>
            </w:del>
          </w:p>
          <w:p w14:paraId="3FA30F60" w14:textId="0920E47C" w:rsidR="004462A0" w:rsidRPr="008912CF" w:rsidRDefault="00615769">
            <w:pPr>
              <w:rPr>
                <w:del w:id="9104" w:author="AbbVie2" w:date="2025-05-13T16:39:00Z"/>
                <w:b/>
                <w:bCs/>
                <w:sz w:val="22"/>
                <w:szCs w:val="22"/>
              </w:rPr>
              <w:pPrChange w:id="9105" w:author="AbbVie2" w:date="2025-05-13T16:40:00Z">
                <w:pPr>
                  <w:pStyle w:val="TableText"/>
                  <w:spacing w:line="240" w:lineRule="auto"/>
                  <w:jc w:val="center"/>
                </w:pPr>
              </w:pPrChange>
            </w:pPr>
            <w:del w:id="9106" w:author="AbbVie2" w:date="2025-05-13T16:39:00Z">
              <w:r w:rsidRPr="008912CF">
                <w:rPr>
                  <w:b/>
                  <w:bCs/>
                  <w:sz w:val="22"/>
                  <w:szCs w:val="22"/>
                </w:rPr>
                <w:delText>(Percentagem de Doentes)</w:delText>
              </w:r>
            </w:del>
          </w:p>
          <w:p w14:paraId="6D91B7BB" w14:textId="4DEA31BA" w:rsidR="004462A0" w:rsidRPr="008912CF" w:rsidRDefault="004462A0">
            <w:pPr>
              <w:rPr>
                <w:del w:id="9107" w:author="AbbVie2" w:date="2025-05-13T16:39:00Z"/>
                <w:b/>
                <w:bCs/>
                <w:sz w:val="22"/>
                <w:szCs w:val="22"/>
              </w:rPr>
              <w:pPrChange w:id="9108" w:author="AbbVie2" w:date="2025-05-13T16:40:00Z">
                <w:pPr>
                  <w:pStyle w:val="TableText"/>
                  <w:spacing w:line="240" w:lineRule="auto"/>
                  <w:jc w:val="center"/>
                </w:pPr>
              </w:pPrChange>
            </w:pPr>
          </w:p>
        </w:tc>
      </w:tr>
      <w:tr w:rsidR="00A7162A" w14:paraId="75B24C9D" w14:textId="529ADCA5" w:rsidTr="00F675CF">
        <w:trPr>
          <w:cantSplit/>
          <w:del w:id="9109" w:author="AbbVie2" w:date="2025-05-13T16:39:00Z"/>
        </w:trPr>
        <w:tc>
          <w:tcPr>
            <w:tcW w:w="2357" w:type="dxa"/>
          </w:tcPr>
          <w:p w14:paraId="2FE8E0EF" w14:textId="2784EF25" w:rsidR="004462A0" w:rsidRPr="008912CF" w:rsidRDefault="004462A0">
            <w:pPr>
              <w:rPr>
                <w:del w:id="9110" w:author="AbbVie2" w:date="2025-05-13T16:39:00Z"/>
                <w:b/>
                <w:bCs/>
                <w:sz w:val="22"/>
                <w:szCs w:val="22"/>
              </w:rPr>
              <w:pPrChange w:id="9111" w:author="AbbVie2" w:date="2025-05-13T16:40:00Z">
                <w:pPr>
                  <w:pStyle w:val="TableText"/>
                  <w:spacing w:line="240" w:lineRule="auto"/>
                </w:pPr>
              </w:pPrChange>
            </w:pPr>
          </w:p>
        </w:tc>
        <w:tc>
          <w:tcPr>
            <w:tcW w:w="3632" w:type="dxa"/>
            <w:gridSpan w:val="3"/>
          </w:tcPr>
          <w:p w14:paraId="140A07BE" w14:textId="257D9786" w:rsidR="004462A0" w:rsidRPr="008912CF" w:rsidRDefault="00615769">
            <w:pPr>
              <w:rPr>
                <w:del w:id="9112" w:author="AbbVie2" w:date="2025-05-13T16:39:00Z"/>
                <w:b/>
                <w:bCs/>
                <w:sz w:val="22"/>
                <w:szCs w:val="22"/>
              </w:rPr>
              <w:pPrChange w:id="9113" w:author="AbbVie2" w:date="2025-05-13T16:40:00Z">
                <w:pPr>
                  <w:pStyle w:val="TableText"/>
                  <w:spacing w:line="240" w:lineRule="auto"/>
                </w:pPr>
              </w:pPrChange>
            </w:pPr>
            <w:del w:id="9114" w:author="AbbVie2" w:date="2025-05-13T16:39:00Z">
              <w:r w:rsidRPr="008912CF">
                <w:rPr>
                  <w:b/>
                  <w:bCs/>
                  <w:sz w:val="22"/>
                  <w:szCs w:val="22"/>
                </w:rPr>
                <w:delText>Estudo DC I: Doentes não tratados previamente com Infliximab</w:delText>
              </w:r>
            </w:del>
          </w:p>
        </w:tc>
        <w:tc>
          <w:tcPr>
            <w:tcW w:w="3249" w:type="dxa"/>
            <w:gridSpan w:val="2"/>
          </w:tcPr>
          <w:p w14:paraId="5FD7D279" w14:textId="099FCD7D" w:rsidR="004462A0" w:rsidRPr="008912CF" w:rsidRDefault="00615769">
            <w:pPr>
              <w:rPr>
                <w:del w:id="9115" w:author="AbbVie2" w:date="2025-05-13T16:39:00Z"/>
                <w:b/>
                <w:bCs/>
                <w:sz w:val="22"/>
                <w:szCs w:val="22"/>
              </w:rPr>
              <w:pPrChange w:id="9116" w:author="AbbVie2" w:date="2025-05-13T16:40:00Z">
                <w:pPr>
                  <w:pStyle w:val="TableText"/>
                  <w:spacing w:line="240" w:lineRule="auto"/>
                </w:pPr>
              </w:pPrChange>
            </w:pPr>
            <w:del w:id="9117" w:author="AbbVie2" w:date="2025-05-13T16:39:00Z">
              <w:r w:rsidRPr="008912CF">
                <w:rPr>
                  <w:b/>
                  <w:bCs/>
                  <w:sz w:val="22"/>
                  <w:szCs w:val="22"/>
                </w:rPr>
                <w:delText>Estudo DC II: Doentes tratados</w:delText>
              </w:r>
              <w:r w:rsidR="001E16B7">
                <w:rPr>
                  <w:b/>
                  <w:bCs/>
                  <w:sz w:val="22"/>
                  <w:szCs w:val="22"/>
                </w:rPr>
                <w:delText xml:space="preserve"> previamente</w:delText>
              </w:r>
              <w:r w:rsidRPr="008912CF">
                <w:rPr>
                  <w:b/>
                  <w:bCs/>
                  <w:sz w:val="22"/>
                  <w:szCs w:val="22"/>
                </w:rPr>
                <w:delText xml:space="preserve"> com Infliximab</w:delText>
              </w:r>
            </w:del>
          </w:p>
        </w:tc>
      </w:tr>
      <w:tr w:rsidR="00A7162A" w14:paraId="5358F8B0" w14:textId="5E8F7757" w:rsidTr="00F675CF">
        <w:trPr>
          <w:cantSplit/>
          <w:del w:id="9118" w:author="AbbVie2" w:date="2025-05-13T16:39:00Z"/>
        </w:trPr>
        <w:tc>
          <w:tcPr>
            <w:tcW w:w="2357" w:type="dxa"/>
          </w:tcPr>
          <w:p w14:paraId="54320903" w14:textId="1A0F948A" w:rsidR="004462A0" w:rsidRPr="008912CF" w:rsidRDefault="004462A0">
            <w:pPr>
              <w:rPr>
                <w:del w:id="9119" w:author="AbbVie2" w:date="2025-05-13T16:39:00Z"/>
                <w:b/>
                <w:bCs/>
                <w:sz w:val="22"/>
                <w:szCs w:val="22"/>
              </w:rPr>
              <w:pPrChange w:id="9120" w:author="AbbVie2" w:date="2025-05-13T16:40:00Z">
                <w:pPr>
                  <w:pStyle w:val="TableText"/>
                  <w:spacing w:line="240" w:lineRule="auto"/>
                  <w:jc w:val="center"/>
                </w:pPr>
              </w:pPrChange>
            </w:pPr>
          </w:p>
        </w:tc>
        <w:tc>
          <w:tcPr>
            <w:tcW w:w="1201" w:type="dxa"/>
          </w:tcPr>
          <w:p w14:paraId="1E909A2C" w14:textId="4DBF1C9E" w:rsidR="004462A0" w:rsidRPr="008912CF" w:rsidRDefault="00615769">
            <w:pPr>
              <w:rPr>
                <w:del w:id="9121" w:author="AbbVie2" w:date="2025-05-13T16:39:00Z"/>
                <w:b/>
                <w:bCs/>
                <w:sz w:val="22"/>
                <w:szCs w:val="22"/>
              </w:rPr>
              <w:pPrChange w:id="9122" w:author="AbbVie2" w:date="2025-05-13T16:40:00Z">
                <w:pPr>
                  <w:pStyle w:val="TableText"/>
                  <w:spacing w:line="240" w:lineRule="auto"/>
                  <w:jc w:val="center"/>
                </w:pPr>
              </w:pPrChange>
            </w:pPr>
            <w:del w:id="9123" w:author="AbbVie2" w:date="2025-05-13T16:39:00Z">
              <w:r w:rsidRPr="008912CF">
                <w:rPr>
                  <w:b/>
                  <w:bCs/>
                  <w:sz w:val="22"/>
                  <w:szCs w:val="22"/>
                </w:rPr>
                <w:delText>Placebo</w:delText>
              </w:r>
            </w:del>
          </w:p>
          <w:p w14:paraId="2C775AE9" w14:textId="6C6E2230" w:rsidR="004462A0" w:rsidRPr="008912CF" w:rsidRDefault="00615769">
            <w:pPr>
              <w:rPr>
                <w:del w:id="9124" w:author="AbbVie2" w:date="2025-05-13T16:39:00Z"/>
                <w:b/>
                <w:bCs/>
                <w:sz w:val="22"/>
                <w:szCs w:val="22"/>
              </w:rPr>
              <w:pPrChange w:id="9125" w:author="AbbVie2" w:date="2025-05-13T16:40:00Z">
                <w:pPr>
                  <w:pStyle w:val="TableText"/>
                  <w:spacing w:line="240" w:lineRule="auto"/>
                  <w:jc w:val="center"/>
                </w:pPr>
              </w:pPrChange>
            </w:pPr>
            <w:del w:id="9126" w:author="AbbVie2" w:date="2025-05-13T16:39:00Z">
              <w:r w:rsidRPr="008912CF">
                <w:rPr>
                  <w:b/>
                  <w:bCs/>
                  <w:sz w:val="22"/>
                  <w:szCs w:val="22"/>
                </w:rPr>
                <w:delText>N =74</w:delText>
              </w:r>
            </w:del>
          </w:p>
        </w:tc>
        <w:tc>
          <w:tcPr>
            <w:tcW w:w="1255" w:type="dxa"/>
          </w:tcPr>
          <w:p w14:paraId="79E756B6" w14:textId="3F84EDA3" w:rsidR="004462A0" w:rsidRPr="008912CF" w:rsidRDefault="00615769">
            <w:pPr>
              <w:rPr>
                <w:del w:id="9127" w:author="AbbVie2" w:date="2025-05-13T16:39:00Z"/>
                <w:b/>
                <w:bCs/>
                <w:sz w:val="22"/>
                <w:szCs w:val="22"/>
              </w:rPr>
              <w:pPrChange w:id="9128" w:author="AbbVie2" w:date="2025-05-13T16:40:00Z">
                <w:pPr>
                  <w:pStyle w:val="TableText"/>
                  <w:spacing w:line="240" w:lineRule="auto"/>
                  <w:jc w:val="center"/>
                </w:pPr>
              </w:pPrChange>
            </w:pPr>
            <w:del w:id="9129" w:author="AbbVie2" w:date="2025-05-13T16:39:00Z">
              <w:r w:rsidRPr="008912CF">
                <w:rPr>
                  <w:b/>
                  <w:bCs/>
                  <w:sz w:val="22"/>
                  <w:szCs w:val="22"/>
                </w:rPr>
                <w:delText>Humira</w:delText>
              </w:r>
            </w:del>
          </w:p>
          <w:p w14:paraId="3AF67B8E" w14:textId="54EDF118" w:rsidR="004462A0" w:rsidRPr="008912CF" w:rsidRDefault="00615769">
            <w:pPr>
              <w:rPr>
                <w:del w:id="9130" w:author="AbbVie2" w:date="2025-05-13T16:39:00Z"/>
                <w:b/>
                <w:bCs/>
                <w:sz w:val="22"/>
                <w:szCs w:val="22"/>
              </w:rPr>
              <w:pPrChange w:id="9131" w:author="AbbVie2" w:date="2025-05-13T16:40:00Z">
                <w:pPr>
                  <w:pStyle w:val="TableText"/>
                  <w:spacing w:line="240" w:lineRule="auto"/>
                  <w:jc w:val="center"/>
                </w:pPr>
              </w:pPrChange>
            </w:pPr>
            <w:del w:id="9132" w:author="AbbVie2" w:date="2025-05-13T16:39:00Z">
              <w:r w:rsidRPr="008912CF">
                <w:rPr>
                  <w:b/>
                  <w:bCs/>
                  <w:sz w:val="22"/>
                  <w:szCs w:val="22"/>
                </w:rPr>
                <w:delText>80/40 mg</w:delText>
              </w:r>
            </w:del>
          </w:p>
          <w:p w14:paraId="1CEEBEBF" w14:textId="0B39B1F1" w:rsidR="004462A0" w:rsidRPr="008912CF" w:rsidRDefault="00615769">
            <w:pPr>
              <w:rPr>
                <w:del w:id="9133" w:author="AbbVie2" w:date="2025-05-13T16:39:00Z"/>
                <w:b/>
                <w:bCs/>
                <w:sz w:val="22"/>
                <w:szCs w:val="22"/>
              </w:rPr>
              <w:pPrChange w:id="9134" w:author="AbbVie2" w:date="2025-05-13T16:40:00Z">
                <w:pPr>
                  <w:pStyle w:val="TableText"/>
                  <w:spacing w:line="240" w:lineRule="auto"/>
                  <w:jc w:val="center"/>
                </w:pPr>
              </w:pPrChange>
            </w:pPr>
            <w:del w:id="9135" w:author="AbbVie2" w:date="2025-05-13T16:39:00Z">
              <w:r w:rsidRPr="008912CF">
                <w:rPr>
                  <w:b/>
                  <w:bCs/>
                  <w:sz w:val="22"/>
                  <w:szCs w:val="22"/>
                </w:rPr>
                <w:delText>N =75</w:delText>
              </w:r>
            </w:del>
          </w:p>
        </w:tc>
        <w:tc>
          <w:tcPr>
            <w:tcW w:w="1176" w:type="dxa"/>
          </w:tcPr>
          <w:p w14:paraId="0E1855CB" w14:textId="32895B8D" w:rsidR="004462A0" w:rsidRPr="008912CF" w:rsidRDefault="00615769">
            <w:pPr>
              <w:rPr>
                <w:del w:id="9136" w:author="AbbVie2" w:date="2025-05-13T16:39:00Z"/>
                <w:b/>
                <w:bCs/>
                <w:sz w:val="22"/>
                <w:szCs w:val="22"/>
              </w:rPr>
              <w:pPrChange w:id="9137" w:author="AbbVie2" w:date="2025-05-13T16:40:00Z">
                <w:pPr>
                  <w:pStyle w:val="TableText"/>
                  <w:spacing w:line="240" w:lineRule="auto"/>
                  <w:jc w:val="center"/>
                </w:pPr>
              </w:pPrChange>
            </w:pPr>
            <w:del w:id="9138" w:author="AbbVie2" w:date="2025-05-13T16:39:00Z">
              <w:r w:rsidRPr="008912CF">
                <w:rPr>
                  <w:b/>
                  <w:bCs/>
                  <w:sz w:val="22"/>
                  <w:szCs w:val="22"/>
                </w:rPr>
                <w:delText xml:space="preserve">Humira </w:delText>
              </w:r>
            </w:del>
          </w:p>
          <w:p w14:paraId="56A00D42" w14:textId="7B7D4752" w:rsidR="004462A0" w:rsidRPr="008912CF" w:rsidRDefault="00615769">
            <w:pPr>
              <w:rPr>
                <w:del w:id="9139" w:author="AbbVie2" w:date="2025-05-13T16:39:00Z"/>
                <w:b/>
                <w:bCs/>
                <w:sz w:val="22"/>
                <w:szCs w:val="22"/>
              </w:rPr>
              <w:pPrChange w:id="9140" w:author="AbbVie2" w:date="2025-05-13T16:40:00Z">
                <w:pPr>
                  <w:pStyle w:val="TableText"/>
                  <w:spacing w:line="240" w:lineRule="auto"/>
                  <w:jc w:val="center"/>
                </w:pPr>
              </w:pPrChange>
            </w:pPr>
            <w:del w:id="9141" w:author="AbbVie2" w:date="2025-05-13T16:39:00Z">
              <w:r w:rsidRPr="008912CF">
                <w:rPr>
                  <w:b/>
                  <w:bCs/>
                  <w:sz w:val="22"/>
                  <w:szCs w:val="22"/>
                </w:rPr>
                <w:delText>160/80 mg N =76</w:delText>
              </w:r>
            </w:del>
          </w:p>
        </w:tc>
        <w:tc>
          <w:tcPr>
            <w:tcW w:w="1409" w:type="dxa"/>
          </w:tcPr>
          <w:p w14:paraId="552985E0" w14:textId="1D06685E" w:rsidR="004462A0" w:rsidRPr="008912CF" w:rsidRDefault="00615769">
            <w:pPr>
              <w:rPr>
                <w:del w:id="9142" w:author="AbbVie2" w:date="2025-05-13T16:39:00Z"/>
                <w:b/>
                <w:bCs/>
                <w:sz w:val="22"/>
                <w:szCs w:val="22"/>
              </w:rPr>
              <w:pPrChange w:id="9143" w:author="AbbVie2" w:date="2025-05-13T16:40:00Z">
                <w:pPr>
                  <w:pStyle w:val="TableText"/>
                  <w:spacing w:line="240" w:lineRule="auto"/>
                  <w:jc w:val="center"/>
                </w:pPr>
              </w:pPrChange>
            </w:pPr>
            <w:del w:id="9144" w:author="AbbVie2" w:date="2025-05-13T16:39:00Z">
              <w:r w:rsidRPr="008912CF">
                <w:rPr>
                  <w:b/>
                  <w:bCs/>
                  <w:sz w:val="22"/>
                  <w:szCs w:val="22"/>
                </w:rPr>
                <w:delText>Placebo</w:delText>
              </w:r>
            </w:del>
          </w:p>
          <w:p w14:paraId="3501C79B" w14:textId="0F39E29D" w:rsidR="004462A0" w:rsidRPr="008912CF" w:rsidRDefault="00615769">
            <w:pPr>
              <w:rPr>
                <w:del w:id="9145" w:author="AbbVie2" w:date="2025-05-13T16:39:00Z"/>
                <w:b/>
                <w:bCs/>
                <w:sz w:val="22"/>
                <w:szCs w:val="22"/>
              </w:rPr>
              <w:pPrChange w:id="9146" w:author="AbbVie2" w:date="2025-05-13T16:40:00Z">
                <w:pPr>
                  <w:pStyle w:val="TableText"/>
                  <w:spacing w:line="240" w:lineRule="auto"/>
                  <w:jc w:val="center"/>
                </w:pPr>
              </w:pPrChange>
            </w:pPr>
            <w:del w:id="9147" w:author="AbbVie2" w:date="2025-05-13T16:39:00Z">
              <w:r w:rsidRPr="008912CF">
                <w:rPr>
                  <w:b/>
                  <w:bCs/>
                  <w:sz w:val="22"/>
                  <w:szCs w:val="22"/>
                </w:rPr>
                <w:delText>N =166</w:delText>
              </w:r>
            </w:del>
          </w:p>
        </w:tc>
        <w:tc>
          <w:tcPr>
            <w:tcW w:w="1840" w:type="dxa"/>
          </w:tcPr>
          <w:p w14:paraId="205347FF" w14:textId="261258B0" w:rsidR="004462A0" w:rsidRPr="008912CF" w:rsidRDefault="00615769">
            <w:pPr>
              <w:rPr>
                <w:del w:id="9148" w:author="AbbVie2" w:date="2025-05-13T16:39:00Z"/>
                <w:b/>
                <w:bCs/>
                <w:sz w:val="22"/>
                <w:szCs w:val="22"/>
              </w:rPr>
              <w:pPrChange w:id="9149" w:author="AbbVie2" w:date="2025-05-13T16:40:00Z">
                <w:pPr>
                  <w:pStyle w:val="TableText"/>
                  <w:spacing w:line="240" w:lineRule="auto"/>
                  <w:jc w:val="center"/>
                </w:pPr>
              </w:pPrChange>
            </w:pPr>
            <w:del w:id="9150" w:author="AbbVie2" w:date="2025-05-13T16:39:00Z">
              <w:r w:rsidRPr="008912CF">
                <w:rPr>
                  <w:b/>
                  <w:bCs/>
                  <w:sz w:val="22"/>
                  <w:szCs w:val="22"/>
                </w:rPr>
                <w:delText xml:space="preserve">Humira </w:delText>
              </w:r>
            </w:del>
          </w:p>
          <w:p w14:paraId="35FDCE70" w14:textId="5D79C7ED" w:rsidR="004462A0" w:rsidRPr="008912CF" w:rsidRDefault="00615769">
            <w:pPr>
              <w:rPr>
                <w:del w:id="9151" w:author="AbbVie2" w:date="2025-05-13T16:39:00Z"/>
                <w:b/>
                <w:bCs/>
                <w:sz w:val="22"/>
                <w:szCs w:val="22"/>
              </w:rPr>
              <w:pPrChange w:id="9152" w:author="AbbVie2" w:date="2025-05-13T16:40:00Z">
                <w:pPr>
                  <w:pStyle w:val="TableText"/>
                  <w:spacing w:line="240" w:lineRule="auto"/>
                  <w:jc w:val="center"/>
                </w:pPr>
              </w:pPrChange>
            </w:pPr>
            <w:del w:id="9153" w:author="AbbVie2" w:date="2025-05-13T16:39:00Z">
              <w:r w:rsidRPr="008912CF">
                <w:rPr>
                  <w:b/>
                  <w:bCs/>
                  <w:sz w:val="22"/>
                  <w:szCs w:val="22"/>
                </w:rPr>
                <w:delText>160/80 mg</w:delText>
              </w:r>
            </w:del>
          </w:p>
          <w:p w14:paraId="64E57F7E" w14:textId="72CA864F" w:rsidR="004462A0" w:rsidRPr="008912CF" w:rsidRDefault="00615769">
            <w:pPr>
              <w:rPr>
                <w:del w:id="9154" w:author="AbbVie2" w:date="2025-05-13T16:39:00Z"/>
                <w:b/>
                <w:bCs/>
                <w:sz w:val="22"/>
                <w:szCs w:val="22"/>
              </w:rPr>
              <w:pPrChange w:id="9155" w:author="AbbVie2" w:date="2025-05-13T16:40:00Z">
                <w:pPr>
                  <w:pStyle w:val="TableText"/>
                  <w:spacing w:line="240" w:lineRule="auto"/>
                  <w:jc w:val="center"/>
                </w:pPr>
              </w:pPrChange>
            </w:pPr>
            <w:del w:id="9156" w:author="AbbVie2" w:date="2025-05-13T16:39:00Z">
              <w:r w:rsidRPr="008912CF">
                <w:rPr>
                  <w:b/>
                  <w:bCs/>
                  <w:sz w:val="22"/>
                  <w:szCs w:val="22"/>
                </w:rPr>
                <w:delText>N =159</w:delText>
              </w:r>
            </w:del>
          </w:p>
        </w:tc>
      </w:tr>
      <w:tr w:rsidR="00A7162A" w14:paraId="19BBF487" w14:textId="08302225" w:rsidTr="00F675CF">
        <w:trPr>
          <w:cantSplit/>
          <w:del w:id="9157" w:author="AbbVie2" w:date="2025-05-13T16:39:00Z"/>
        </w:trPr>
        <w:tc>
          <w:tcPr>
            <w:tcW w:w="2357" w:type="dxa"/>
            <w:vAlign w:val="bottom"/>
          </w:tcPr>
          <w:p w14:paraId="174951B4" w14:textId="3D3852C7" w:rsidR="004462A0" w:rsidRPr="008912CF" w:rsidRDefault="00615769">
            <w:pPr>
              <w:rPr>
                <w:del w:id="9158" w:author="AbbVie2" w:date="2025-05-13T16:39:00Z"/>
                <w:sz w:val="22"/>
                <w:szCs w:val="22"/>
              </w:rPr>
              <w:pPrChange w:id="9159" w:author="AbbVie2" w:date="2025-05-13T16:40:00Z">
                <w:pPr>
                  <w:pStyle w:val="TableText"/>
                  <w:spacing w:line="240" w:lineRule="auto"/>
                </w:pPr>
              </w:pPrChange>
            </w:pPr>
            <w:del w:id="9160" w:author="AbbVie2" w:date="2025-05-13T16:39:00Z">
              <w:r w:rsidRPr="008912CF">
                <w:rPr>
                  <w:sz w:val="22"/>
                  <w:szCs w:val="22"/>
                </w:rPr>
                <w:delText>Semana 4</w:delText>
              </w:r>
            </w:del>
          </w:p>
        </w:tc>
        <w:tc>
          <w:tcPr>
            <w:tcW w:w="1201" w:type="dxa"/>
            <w:vAlign w:val="bottom"/>
          </w:tcPr>
          <w:p w14:paraId="72D03117" w14:textId="34CC6B32" w:rsidR="004462A0" w:rsidRPr="008912CF" w:rsidRDefault="004462A0">
            <w:pPr>
              <w:rPr>
                <w:del w:id="9161" w:author="AbbVie2" w:date="2025-05-13T16:39:00Z"/>
                <w:sz w:val="22"/>
                <w:szCs w:val="22"/>
              </w:rPr>
              <w:pPrChange w:id="9162" w:author="AbbVie2" w:date="2025-05-13T16:40:00Z">
                <w:pPr>
                  <w:pStyle w:val="TableText"/>
                  <w:spacing w:line="240" w:lineRule="auto"/>
                </w:pPr>
              </w:pPrChange>
            </w:pPr>
          </w:p>
        </w:tc>
        <w:tc>
          <w:tcPr>
            <w:tcW w:w="1255" w:type="dxa"/>
            <w:vAlign w:val="bottom"/>
          </w:tcPr>
          <w:p w14:paraId="37F8433B" w14:textId="21391AE8" w:rsidR="004462A0" w:rsidRPr="008912CF" w:rsidRDefault="004462A0">
            <w:pPr>
              <w:rPr>
                <w:del w:id="9163" w:author="AbbVie2" w:date="2025-05-13T16:39:00Z"/>
                <w:sz w:val="22"/>
                <w:szCs w:val="22"/>
              </w:rPr>
              <w:pPrChange w:id="9164" w:author="AbbVie2" w:date="2025-05-13T16:40:00Z">
                <w:pPr>
                  <w:pStyle w:val="TableText"/>
                  <w:spacing w:line="240" w:lineRule="auto"/>
                </w:pPr>
              </w:pPrChange>
            </w:pPr>
          </w:p>
        </w:tc>
        <w:tc>
          <w:tcPr>
            <w:tcW w:w="1176" w:type="dxa"/>
            <w:vAlign w:val="bottom"/>
          </w:tcPr>
          <w:p w14:paraId="4A37FC49" w14:textId="26CA0389" w:rsidR="004462A0" w:rsidRPr="008912CF" w:rsidRDefault="004462A0">
            <w:pPr>
              <w:rPr>
                <w:del w:id="9165" w:author="AbbVie2" w:date="2025-05-13T16:39:00Z"/>
                <w:sz w:val="22"/>
                <w:szCs w:val="22"/>
              </w:rPr>
              <w:pPrChange w:id="9166" w:author="AbbVie2" w:date="2025-05-13T16:40:00Z">
                <w:pPr>
                  <w:pStyle w:val="TableText"/>
                  <w:spacing w:line="240" w:lineRule="auto"/>
                </w:pPr>
              </w:pPrChange>
            </w:pPr>
          </w:p>
        </w:tc>
        <w:tc>
          <w:tcPr>
            <w:tcW w:w="1409" w:type="dxa"/>
            <w:vAlign w:val="bottom"/>
          </w:tcPr>
          <w:p w14:paraId="60D64BCB" w14:textId="2EF65CA9" w:rsidR="004462A0" w:rsidRPr="008912CF" w:rsidRDefault="004462A0">
            <w:pPr>
              <w:rPr>
                <w:del w:id="9167" w:author="AbbVie2" w:date="2025-05-13T16:39:00Z"/>
                <w:sz w:val="22"/>
                <w:szCs w:val="22"/>
              </w:rPr>
              <w:pPrChange w:id="9168" w:author="AbbVie2" w:date="2025-05-13T16:40:00Z">
                <w:pPr>
                  <w:pStyle w:val="TableText"/>
                  <w:spacing w:line="240" w:lineRule="auto"/>
                </w:pPr>
              </w:pPrChange>
            </w:pPr>
          </w:p>
        </w:tc>
        <w:tc>
          <w:tcPr>
            <w:tcW w:w="1840" w:type="dxa"/>
            <w:vAlign w:val="bottom"/>
          </w:tcPr>
          <w:p w14:paraId="18268B55" w14:textId="3C4D9A95" w:rsidR="004462A0" w:rsidRPr="008912CF" w:rsidRDefault="004462A0">
            <w:pPr>
              <w:rPr>
                <w:del w:id="9169" w:author="AbbVie2" w:date="2025-05-13T16:39:00Z"/>
                <w:sz w:val="22"/>
                <w:szCs w:val="22"/>
              </w:rPr>
              <w:pPrChange w:id="9170" w:author="AbbVie2" w:date="2025-05-13T16:40:00Z">
                <w:pPr>
                  <w:pStyle w:val="TableText"/>
                  <w:spacing w:line="240" w:lineRule="auto"/>
                </w:pPr>
              </w:pPrChange>
            </w:pPr>
          </w:p>
        </w:tc>
      </w:tr>
      <w:tr w:rsidR="00A7162A" w14:paraId="70F18091" w14:textId="08B77FB1" w:rsidTr="00F675CF">
        <w:trPr>
          <w:cantSplit/>
          <w:del w:id="9171" w:author="AbbVie2" w:date="2025-05-13T16:39:00Z"/>
        </w:trPr>
        <w:tc>
          <w:tcPr>
            <w:tcW w:w="2357" w:type="dxa"/>
            <w:vAlign w:val="bottom"/>
          </w:tcPr>
          <w:p w14:paraId="5AA09ECE" w14:textId="7B39BD6B" w:rsidR="004462A0" w:rsidRPr="008912CF" w:rsidRDefault="00615769">
            <w:pPr>
              <w:rPr>
                <w:del w:id="9172" w:author="AbbVie2" w:date="2025-05-13T16:39:00Z"/>
                <w:sz w:val="22"/>
                <w:szCs w:val="22"/>
              </w:rPr>
              <w:pPrChange w:id="9173" w:author="AbbVie2" w:date="2025-05-13T16:40:00Z">
                <w:pPr>
                  <w:pStyle w:val="TableText"/>
                  <w:spacing w:line="240" w:lineRule="auto"/>
                </w:pPr>
              </w:pPrChange>
            </w:pPr>
            <w:del w:id="9174" w:author="AbbVie2" w:date="2025-05-13T16:39:00Z">
              <w:r w:rsidRPr="008912CF">
                <w:rPr>
                  <w:sz w:val="22"/>
                  <w:szCs w:val="22"/>
                </w:rPr>
                <w:delText>Remissão clínica</w:delText>
              </w:r>
            </w:del>
          </w:p>
        </w:tc>
        <w:tc>
          <w:tcPr>
            <w:tcW w:w="1201" w:type="dxa"/>
            <w:vAlign w:val="bottom"/>
          </w:tcPr>
          <w:p w14:paraId="5EF934C7" w14:textId="2F8C21D5" w:rsidR="004462A0" w:rsidRPr="008912CF" w:rsidRDefault="00615769">
            <w:pPr>
              <w:rPr>
                <w:del w:id="9175" w:author="AbbVie2" w:date="2025-05-13T16:39:00Z"/>
                <w:sz w:val="22"/>
                <w:szCs w:val="22"/>
              </w:rPr>
              <w:pPrChange w:id="9176" w:author="AbbVie2" w:date="2025-05-13T16:40:00Z">
                <w:pPr>
                  <w:pStyle w:val="TableText"/>
                  <w:spacing w:line="240" w:lineRule="auto"/>
                  <w:jc w:val="center"/>
                </w:pPr>
              </w:pPrChange>
            </w:pPr>
            <w:del w:id="9177" w:author="AbbVie2" w:date="2025-05-13T16:39:00Z">
              <w:r w:rsidRPr="008912CF">
                <w:rPr>
                  <w:sz w:val="22"/>
                  <w:szCs w:val="22"/>
                </w:rPr>
                <w:delText>12</w:delText>
              </w:r>
              <w:r w:rsidR="009343EF">
                <w:rPr>
                  <w:sz w:val="22"/>
                  <w:szCs w:val="22"/>
                </w:rPr>
                <w:delText>%</w:delText>
              </w:r>
            </w:del>
          </w:p>
        </w:tc>
        <w:tc>
          <w:tcPr>
            <w:tcW w:w="1255" w:type="dxa"/>
            <w:vAlign w:val="bottom"/>
          </w:tcPr>
          <w:p w14:paraId="196A9E5F" w14:textId="20F34F1B" w:rsidR="004462A0" w:rsidRPr="008912CF" w:rsidRDefault="00615769">
            <w:pPr>
              <w:rPr>
                <w:del w:id="9178" w:author="AbbVie2" w:date="2025-05-13T16:39:00Z"/>
                <w:bCs/>
                <w:iCs/>
                <w:sz w:val="22"/>
                <w:szCs w:val="22"/>
              </w:rPr>
              <w:pPrChange w:id="9179" w:author="AbbVie2" w:date="2025-05-13T16:40:00Z">
                <w:pPr>
                  <w:pStyle w:val="TableText"/>
                  <w:spacing w:line="240" w:lineRule="auto"/>
                  <w:jc w:val="center"/>
                </w:pPr>
              </w:pPrChange>
            </w:pPr>
            <w:del w:id="9180" w:author="AbbVie2" w:date="2025-05-13T16:39:00Z">
              <w:r w:rsidRPr="008912CF">
                <w:rPr>
                  <w:bCs/>
                  <w:iCs/>
                  <w:sz w:val="22"/>
                  <w:szCs w:val="22"/>
                </w:rPr>
                <w:delText>24</w:delText>
              </w:r>
              <w:r w:rsidR="009343EF">
                <w:rPr>
                  <w:bCs/>
                  <w:iCs/>
                  <w:sz w:val="22"/>
                  <w:szCs w:val="22"/>
                </w:rPr>
                <w:delText>%</w:delText>
              </w:r>
            </w:del>
          </w:p>
        </w:tc>
        <w:tc>
          <w:tcPr>
            <w:tcW w:w="1176" w:type="dxa"/>
            <w:vAlign w:val="bottom"/>
          </w:tcPr>
          <w:p w14:paraId="2A4A6174" w14:textId="23AC25EC" w:rsidR="004462A0" w:rsidRPr="008912CF" w:rsidRDefault="00615769">
            <w:pPr>
              <w:rPr>
                <w:del w:id="9181" w:author="AbbVie2" w:date="2025-05-13T16:39:00Z"/>
                <w:bCs/>
                <w:iCs/>
                <w:sz w:val="22"/>
                <w:szCs w:val="22"/>
              </w:rPr>
              <w:pPrChange w:id="9182" w:author="AbbVie2" w:date="2025-05-13T16:40:00Z">
                <w:pPr>
                  <w:pStyle w:val="TableText"/>
                  <w:spacing w:line="240" w:lineRule="auto"/>
                  <w:jc w:val="center"/>
                </w:pPr>
              </w:pPrChange>
            </w:pPr>
            <w:del w:id="9183" w:author="AbbVie2" w:date="2025-05-13T16:39:00Z">
              <w:r w:rsidRPr="008912CF">
                <w:rPr>
                  <w:sz w:val="22"/>
                  <w:szCs w:val="22"/>
                </w:rPr>
                <w:delText>36</w:delText>
              </w:r>
              <w:r w:rsidR="009343EF">
                <w:rPr>
                  <w:sz w:val="22"/>
                  <w:szCs w:val="22"/>
                </w:rPr>
                <w:delText>%</w:delText>
              </w:r>
              <w:r w:rsidRPr="008912CF">
                <w:rPr>
                  <w:sz w:val="22"/>
                  <w:szCs w:val="22"/>
                  <w:vertAlign w:val="superscript"/>
                </w:rPr>
                <w:delText>*</w:delText>
              </w:r>
            </w:del>
          </w:p>
        </w:tc>
        <w:tc>
          <w:tcPr>
            <w:tcW w:w="1409" w:type="dxa"/>
            <w:vAlign w:val="bottom"/>
          </w:tcPr>
          <w:p w14:paraId="028968CD" w14:textId="1AE606A1" w:rsidR="004462A0" w:rsidRPr="008912CF" w:rsidRDefault="00615769">
            <w:pPr>
              <w:rPr>
                <w:del w:id="9184" w:author="AbbVie2" w:date="2025-05-13T16:39:00Z"/>
                <w:sz w:val="22"/>
                <w:szCs w:val="22"/>
              </w:rPr>
              <w:pPrChange w:id="9185" w:author="AbbVie2" w:date="2025-05-13T16:40:00Z">
                <w:pPr>
                  <w:pStyle w:val="TableText"/>
                  <w:spacing w:line="240" w:lineRule="auto"/>
                  <w:jc w:val="center"/>
                </w:pPr>
              </w:pPrChange>
            </w:pPr>
            <w:del w:id="9186" w:author="AbbVie2" w:date="2025-05-13T16:39:00Z">
              <w:r w:rsidRPr="008912CF">
                <w:rPr>
                  <w:sz w:val="22"/>
                  <w:szCs w:val="22"/>
                </w:rPr>
                <w:delText>7</w:delText>
              </w:r>
              <w:r w:rsidR="009343EF">
                <w:rPr>
                  <w:sz w:val="22"/>
                  <w:szCs w:val="22"/>
                </w:rPr>
                <w:delText>%</w:delText>
              </w:r>
            </w:del>
          </w:p>
        </w:tc>
        <w:tc>
          <w:tcPr>
            <w:tcW w:w="1840" w:type="dxa"/>
            <w:vAlign w:val="bottom"/>
          </w:tcPr>
          <w:p w14:paraId="6C8622CA" w14:textId="5E5547FC" w:rsidR="004462A0" w:rsidRPr="008912CF" w:rsidRDefault="00615769">
            <w:pPr>
              <w:rPr>
                <w:del w:id="9187" w:author="AbbVie2" w:date="2025-05-13T16:39:00Z"/>
                <w:sz w:val="22"/>
                <w:szCs w:val="22"/>
              </w:rPr>
              <w:pPrChange w:id="9188" w:author="AbbVie2" w:date="2025-05-13T16:40:00Z">
                <w:pPr>
                  <w:pStyle w:val="TableText"/>
                  <w:spacing w:line="240" w:lineRule="auto"/>
                  <w:jc w:val="center"/>
                </w:pPr>
              </w:pPrChange>
            </w:pPr>
            <w:del w:id="9189" w:author="AbbVie2" w:date="2025-05-13T16:39:00Z">
              <w:r w:rsidRPr="008912CF">
                <w:rPr>
                  <w:sz w:val="22"/>
                  <w:szCs w:val="22"/>
                </w:rPr>
                <w:delText>21</w:delText>
              </w:r>
              <w:r w:rsidR="009343EF">
                <w:rPr>
                  <w:sz w:val="22"/>
                  <w:szCs w:val="22"/>
                </w:rPr>
                <w:delText>%</w:delText>
              </w:r>
              <w:r w:rsidRPr="008912CF">
                <w:rPr>
                  <w:sz w:val="22"/>
                  <w:szCs w:val="22"/>
                  <w:vertAlign w:val="superscript"/>
                </w:rPr>
                <w:delText>*</w:delText>
              </w:r>
            </w:del>
          </w:p>
        </w:tc>
      </w:tr>
      <w:tr w:rsidR="00A7162A" w14:paraId="0491723E" w14:textId="69CC05E3" w:rsidTr="00F675CF">
        <w:trPr>
          <w:cantSplit/>
          <w:del w:id="9190" w:author="AbbVie2" w:date="2025-05-13T16:39:00Z"/>
        </w:trPr>
        <w:tc>
          <w:tcPr>
            <w:tcW w:w="2357" w:type="dxa"/>
          </w:tcPr>
          <w:p w14:paraId="7BDE1BB4" w14:textId="5E4E3D99" w:rsidR="004462A0" w:rsidRPr="008912CF" w:rsidRDefault="00615769">
            <w:pPr>
              <w:rPr>
                <w:del w:id="9191" w:author="AbbVie2" w:date="2025-05-13T16:39:00Z"/>
                <w:sz w:val="22"/>
                <w:szCs w:val="22"/>
              </w:rPr>
              <w:pPrChange w:id="9192" w:author="AbbVie2" w:date="2025-05-13T16:40:00Z">
                <w:pPr>
                  <w:pStyle w:val="TableText"/>
                  <w:spacing w:line="240" w:lineRule="auto"/>
                </w:pPr>
              </w:pPrChange>
            </w:pPr>
            <w:del w:id="9193" w:author="AbbVie2" w:date="2025-05-13T16:39:00Z">
              <w:r w:rsidRPr="008912CF">
                <w:rPr>
                  <w:sz w:val="22"/>
                  <w:szCs w:val="22"/>
                </w:rPr>
                <w:delText>Resposta clínica (CR-100)</w:delText>
              </w:r>
            </w:del>
          </w:p>
        </w:tc>
        <w:tc>
          <w:tcPr>
            <w:tcW w:w="1201" w:type="dxa"/>
          </w:tcPr>
          <w:p w14:paraId="12D9D14A" w14:textId="2DC80CEF" w:rsidR="004462A0" w:rsidRPr="008912CF" w:rsidRDefault="00615769">
            <w:pPr>
              <w:rPr>
                <w:del w:id="9194" w:author="AbbVie2" w:date="2025-05-13T16:39:00Z"/>
                <w:sz w:val="22"/>
                <w:szCs w:val="22"/>
              </w:rPr>
              <w:pPrChange w:id="9195" w:author="AbbVie2" w:date="2025-05-13T16:40:00Z">
                <w:pPr>
                  <w:pStyle w:val="TableText"/>
                  <w:spacing w:line="240" w:lineRule="auto"/>
                  <w:jc w:val="center"/>
                </w:pPr>
              </w:pPrChange>
            </w:pPr>
            <w:del w:id="9196" w:author="AbbVie2" w:date="2025-05-13T16:39:00Z">
              <w:r w:rsidRPr="008912CF">
                <w:rPr>
                  <w:sz w:val="22"/>
                  <w:szCs w:val="22"/>
                </w:rPr>
                <w:delText>24</w:delText>
              </w:r>
              <w:r w:rsidR="009343EF">
                <w:rPr>
                  <w:sz w:val="22"/>
                  <w:szCs w:val="22"/>
                </w:rPr>
                <w:delText>%</w:delText>
              </w:r>
            </w:del>
          </w:p>
        </w:tc>
        <w:tc>
          <w:tcPr>
            <w:tcW w:w="1255" w:type="dxa"/>
          </w:tcPr>
          <w:p w14:paraId="493EB1F7" w14:textId="7FEBB45E" w:rsidR="004462A0" w:rsidRPr="008912CF" w:rsidRDefault="00615769">
            <w:pPr>
              <w:rPr>
                <w:del w:id="9197" w:author="AbbVie2" w:date="2025-05-13T16:39:00Z"/>
                <w:sz w:val="22"/>
                <w:szCs w:val="22"/>
              </w:rPr>
              <w:pPrChange w:id="9198" w:author="AbbVie2" w:date="2025-05-13T16:40:00Z">
                <w:pPr>
                  <w:pStyle w:val="TableText"/>
                  <w:spacing w:line="240" w:lineRule="auto"/>
                  <w:jc w:val="center"/>
                </w:pPr>
              </w:pPrChange>
            </w:pPr>
            <w:del w:id="9199" w:author="AbbVie2" w:date="2025-05-13T16:39:00Z">
              <w:r w:rsidRPr="008912CF">
                <w:rPr>
                  <w:sz w:val="22"/>
                  <w:szCs w:val="22"/>
                </w:rPr>
                <w:delText>37</w:delText>
              </w:r>
              <w:r w:rsidR="009343EF">
                <w:rPr>
                  <w:sz w:val="22"/>
                  <w:szCs w:val="22"/>
                </w:rPr>
                <w:delText>%</w:delText>
              </w:r>
            </w:del>
          </w:p>
        </w:tc>
        <w:tc>
          <w:tcPr>
            <w:tcW w:w="1176" w:type="dxa"/>
          </w:tcPr>
          <w:p w14:paraId="053E1F69" w14:textId="161A182D" w:rsidR="004462A0" w:rsidRPr="008912CF" w:rsidRDefault="00615769">
            <w:pPr>
              <w:rPr>
                <w:del w:id="9200" w:author="AbbVie2" w:date="2025-05-13T16:39:00Z"/>
                <w:sz w:val="22"/>
                <w:szCs w:val="22"/>
              </w:rPr>
              <w:pPrChange w:id="9201" w:author="AbbVie2" w:date="2025-05-13T16:40:00Z">
                <w:pPr>
                  <w:pStyle w:val="TableText"/>
                  <w:spacing w:line="240" w:lineRule="auto"/>
                  <w:jc w:val="center"/>
                </w:pPr>
              </w:pPrChange>
            </w:pPr>
            <w:del w:id="9202" w:author="AbbVie2" w:date="2025-05-13T16:39:00Z">
              <w:r w:rsidRPr="008912CF">
                <w:rPr>
                  <w:sz w:val="22"/>
                  <w:szCs w:val="22"/>
                </w:rPr>
                <w:delText>49</w:delText>
              </w:r>
              <w:r w:rsidR="009343EF">
                <w:rPr>
                  <w:sz w:val="22"/>
                  <w:szCs w:val="22"/>
                </w:rPr>
                <w:delText>%</w:delText>
              </w:r>
              <w:r w:rsidRPr="008912CF">
                <w:rPr>
                  <w:sz w:val="22"/>
                  <w:szCs w:val="22"/>
                  <w:vertAlign w:val="superscript"/>
                </w:rPr>
                <w:delText>**</w:delText>
              </w:r>
            </w:del>
          </w:p>
        </w:tc>
        <w:tc>
          <w:tcPr>
            <w:tcW w:w="1409" w:type="dxa"/>
          </w:tcPr>
          <w:p w14:paraId="3B47A7FB" w14:textId="0249CC50" w:rsidR="004462A0" w:rsidRPr="008912CF" w:rsidRDefault="00615769">
            <w:pPr>
              <w:rPr>
                <w:del w:id="9203" w:author="AbbVie2" w:date="2025-05-13T16:39:00Z"/>
                <w:sz w:val="22"/>
                <w:szCs w:val="22"/>
              </w:rPr>
              <w:pPrChange w:id="9204" w:author="AbbVie2" w:date="2025-05-13T16:40:00Z">
                <w:pPr>
                  <w:pStyle w:val="TableText"/>
                  <w:spacing w:line="240" w:lineRule="auto"/>
                  <w:jc w:val="center"/>
                </w:pPr>
              </w:pPrChange>
            </w:pPr>
            <w:del w:id="9205" w:author="AbbVie2" w:date="2025-05-13T16:39:00Z">
              <w:r w:rsidRPr="008912CF">
                <w:rPr>
                  <w:sz w:val="22"/>
                  <w:szCs w:val="22"/>
                </w:rPr>
                <w:delText>25</w:delText>
              </w:r>
              <w:r w:rsidR="009343EF">
                <w:rPr>
                  <w:sz w:val="22"/>
                  <w:szCs w:val="22"/>
                </w:rPr>
                <w:delText>%</w:delText>
              </w:r>
            </w:del>
          </w:p>
        </w:tc>
        <w:tc>
          <w:tcPr>
            <w:tcW w:w="1840" w:type="dxa"/>
          </w:tcPr>
          <w:p w14:paraId="470421CC" w14:textId="1694E96F" w:rsidR="004462A0" w:rsidRPr="008912CF" w:rsidRDefault="00615769">
            <w:pPr>
              <w:rPr>
                <w:del w:id="9206" w:author="AbbVie2" w:date="2025-05-13T16:39:00Z"/>
                <w:sz w:val="22"/>
                <w:szCs w:val="22"/>
              </w:rPr>
              <w:pPrChange w:id="9207" w:author="AbbVie2" w:date="2025-05-13T16:40:00Z">
                <w:pPr>
                  <w:pStyle w:val="TableText"/>
                  <w:spacing w:line="240" w:lineRule="auto"/>
                  <w:jc w:val="center"/>
                </w:pPr>
              </w:pPrChange>
            </w:pPr>
            <w:del w:id="9208" w:author="AbbVie2" w:date="2025-05-13T16:39:00Z">
              <w:r w:rsidRPr="008912CF">
                <w:rPr>
                  <w:sz w:val="22"/>
                  <w:szCs w:val="22"/>
                </w:rPr>
                <w:delText>38</w:delText>
              </w:r>
              <w:r w:rsidR="009343EF">
                <w:rPr>
                  <w:sz w:val="22"/>
                  <w:szCs w:val="22"/>
                </w:rPr>
                <w:delText>%</w:delText>
              </w:r>
              <w:r w:rsidRPr="008912CF">
                <w:rPr>
                  <w:sz w:val="22"/>
                  <w:szCs w:val="22"/>
                  <w:vertAlign w:val="superscript"/>
                </w:rPr>
                <w:delText>**</w:delText>
              </w:r>
            </w:del>
          </w:p>
        </w:tc>
      </w:tr>
      <w:tr w:rsidR="00A7162A" w14:paraId="720D13D6" w14:textId="76DEEBD3" w:rsidTr="00F675CF">
        <w:trPr>
          <w:cantSplit/>
          <w:del w:id="9209" w:author="AbbVie2" w:date="2025-05-13T16:39:00Z"/>
        </w:trPr>
        <w:tc>
          <w:tcPr>
            <w:tcW w:w="9238" w:type="dxa"/>
            <w:gridSpan w:val="6"/>
            <w:tcBorders>
              <w:left w:val="nil"/>
              <w:bottom w:val="nil"/>
              <w:right w:val="nil"/>
            </w:tcBorders>
          </w:tcPr>
          <w:p w14:paraId="5AD873E9" w14:textId="5EE10DAC" w:rsidR="004462A0" w:rsidRPr="008912CF" w:rsidRDefault="00615769">
            <w:pPr>
              <w:rPr>
                <w:del w:id="9210" w:author="AbbVie2" w:date="2025-05-13T16:39:00Z"/>
                <w:sz w:val="22"/>
                <w:szCs w:val="22"/>
              </w:rPr>
              <w:pPrChange w:id="9211" w:author="AbbVie2" w:date="2025-05-13T16:40:00Z">
                <w:pPr>
                  <w:pStyle w:val="TableText"/>
                  <w:spacing w:line="240" w:lineRule="auto"/>
                </w:pPr>
              </w:pPrChange>
            </w:pPr>
            <w:del w:id="9212" w:author="AbbVie2" w:date="2025-05-13T16:39:00Z">
              <w:r w:rsidRPr="008912CF">
                <w:rPr>
                  <w:sz w:val="22"/>
                  <w:szCs w:val="22"/>
                </w:rPr>
                <w:delText xml:space="preserve">Todos os valores-p são comparativos emparelhados entre Humira </w:delText>
              </w:r>
              <w:r w:rsidRPr="008912CF">
                <w:rPr>
                  <w:i/>
                  <w:iCs/>
                  <w:sz w:val="22"/>
                  <w:szCs w:val="22"/>
                </w:rPr>
                <w:delText>versus</w:delText>
              </w:r>
              <w:r w:rsidRPr="008912CF">
                <w:rPr>
                  <w:sz w:val="22"/>
                  <w:szCs w:val="22"/>
                </w:rPr>
                <w:delText xml:space="preserve"> placebo</w:delText>
              </w:r>
            </w:del>
          </w:p>
          <w:p w14:paraId="3CE3A51C" w14:textId="08E765E3" w:rsidR="004462A0" w:rsidRPr="008912CF" w:rsidRDefault="00615769">
            <w:pPr>
              <w:rPr>
                <w:del w:id="9213" w:author="AbbVie2" w:date="2025-05-13T16:39:00Z"/>
                <w:sz w:val="22"/>
                <w:szCs w:val="22"/>
              </w:rPr>
              <w:pPrChange w:id="9214" w:author="AbbVie2" w:date="2025-05-13T16:40:00Z">
                <w:pPr>
                  <w:pStyle w:val="TableText"/>
                  <w:spacing w:line="240" w:lineRule="auto"/>
                </w:pPr>
              </w:pPrChange>
            </w:pPr>
            <w:del w:id="9215" w:author="AbbVie2" w:date="2025-05-13T16:39:00Z">
              <w:r w:rsidRPr="008912CF">
                <w:rPr>
                  <w:sz w:val="22"/>
                  <w:szCs w:val="22"/>
                  <w:vertAlign w:val="superscript"/>
                </w:rPr>
                <w:delText>*</w:delText>
              </w:r>
              <w:r w:rsidRPr="008912CF">
                <w:rPr>
                  <w:sz w:val="22"/>
                  <w:szCs w:val="22"/>
                </w:rPr>
                <w:tab/>
                <w:delText>p &lt; 0,001</w:delText>
              </w:r>
            </w:del>
          </w:p>
          <w:p w14:paraId="0441F97E" w14:textId="4DC41824" w:rsidR="004462A0" w:rsidRPr="008912CF" w:rsidRDefault="00615769">
            <w:pPr>
              <w:rPr>
                <w:del w:id="9216" w:author="AbbVie2" w:date="2025-05-13T16:39:00Z"/>
                <w:sz w:val="22"/>
                <w:szCs w:val="22"/>
              </w:rPr>
              <w:pPrChange w:id="9217" w:author="AbbVie2" w:date="2025-05-13T16:40:00Z">
                <w:pPr>
                  <w:pStyle w:val="TableText"/>
                  <w:spacing w:line="240" w:lineRule="auto"/>
                </w:pPr>
              </w:pPrChange>
            </w:pPr>
            <w:del w:id="9218" w:author="AbbVie2" w:date="2025-05-13T16:39:00Z">
              <w:r w:rsidRPr="008912CF">
                <w:rPr>
                  <w:sz w:val="22"/>
                  <w:szCs w:val="22"/>
                  <w:vertAlign w:val="superscript"/>
                </w:rPr>
                <w:delText>**</w:delText>
              </w:r>
              <w:r w:rsidRPr="008912CF">
                <w:rPr>
                  <w:sz w:val="22"/>
                  <w:szCs w:val="22"/>
                </w:rPr>
                <w:tab/>
                <w:delText>p &lt; 0,01</w:delText>
              </w:r>
            </w:del>
          </w:p>
        </w:tc>
      </w:tr>
    </w:tbl>
    <w:p w14:paraId="7ABEFA5D" w14:textId="6109FA2E" w:rsidR="004462A0" w:rsidRPr="008912CF" w:rsidRDefault="004462A0">
      <w:pPr>
        <w:rPr>
          <w:del w:id="9219" w:author="AbbVie2" w:date="2025-05-13T16:39:00Z"/>
          <w:szCs w:val="22"/>
        </w:rPr>
        <w:pPrChange w:id="9220" w:author="AbbVie2" w:date="2025-05-13T16:40:00Z">
          <w:pPr>
            <w:pStyle w:val="EMEANormal"/>
            <w:keepNext/>
          </w:pPr>
        </w:pPrChange>
      </w:pPr>
    </w:p>
    <w:p w14:paraId="0B97CB48" w14:textId="514F12E4" w:rsidR="004462A0" w:rsidRPr="008912CF" w:rsidRDefault="00615769">
      <w:pPr>
        <w:rPr>
          <w:del w:id="9221" w:author="AbbVie2" w:date="2025-05-13T16:39:00Z"/>
          <w:szCs w:val="22"/>
        </w:rPr>
        <w:pPrChange w:id="9222" w:author="AbbVie2" w:date="2025-05-13T16:40:00Z">
          <w:pPr>
            <w:pStyle w:val="EMEANormal"/>
          </w:pPr>
        </w:pPrChange>
      </w:pPr>
      <w:del w:id="9223" w:author="AbbVie2" w:date="2025-05-13T16:39:00Z">
        <w:r w:rsidRPr="008912CF">
          <w:rPr>
            <w:szCs w:val="22"/>
          </w:rPr>
          <w:delText xml:space="preserve">Foram observadas taxas de remissão similares para 160/80 mg e 80/40 mg em dose de indução na </w:delText>
        </w:r>
        <w:r w:rsidR="00164875">
          <w:rPr>
            <w:szCs w:val="22"/>
          </w:rPr>
          <w:delText>S</w:delText>
        </w:r>
        <w:r w:rsidRPr="008912CF">
          <w:rPr>
            <w:szCs w:val="22"/>
          </w:rPr>
          <w:delText>emana 8 e os acontecimentos adversos foram mais frequentemente observados no grupo 160/80 mg.</w:delText>
        </w:r>
      </w:del>
    </w:p>
    <w:p w14:paraId="595E489F" w14:textId="61948CF1" w:rsidR="004462A0" w:rsidRPr="008912CF" w:rsidRDefault="004462A0">
      <w:pPr>
        <w:rPr>
          <w:del w:id="9224" w:author="AbbVie2" w:date="2025-05-13T16:39:00Z"/>
          <w:szCs w:val="22"/>
        </w:rPr>
        <w:pPrChange w:id="9225" w:author="AbbVie2" w:date="2025-05-13T16:40:00Z">
          <w:pPr>
            <w:pStyle w:val="EMEANormal"/>
          </w:pPr>
        </w:pPrChange>
      </w:pPr>
    </w:p>
    <w:p w14:paraId="1114CFD6" w14:textId="7DA9BA4F" w:rsidR="004462A0" w:rsidRPr="008912CF" w:rsidRDefault="00615769">
      <w:pPr>
        <w:rPr>
          <w:del w:id="9226" w:author="AbbVie2" w:date="2025-05-13T16:39:00Z"/>
          <w:szCs w:val="22"/>
        </w:rPr>
        <w:pPrChange w:id="9227" w:author="AbbVie2" w:date="2025-05-13T16:40:00Z">
          <w:pPr>
            <w:pStyle w:val="EMEANormal"/>
          </w:pPr>
        </w:pPrChange>
      </w:pPr>
      <w:del w:id="9228" w:author="AbbVie2" w:date="2025-05-13T16:39:00Z">
        <w:r w:rsidRPr="008912CF">
          <w:rPr>
            <w:szCs w:val="22"/>
          </w:rPr>
          <w:delText>No Estudo DC III, na Semana 4, 58</w:delText>
        </w:r>
        <w:r w:rsidR="009343EF">
          <w:rPr>
            <w:szCs w:val="22"/>
          </w:rPr>
          <w:delText>%</w:delText>
        </w:r>
        <w:r w:rsidRPr="008912CF">
          <w:rPr>
            <w:szCs w:val="22"/>
          </w:rPr>
          <w:delText xml:space="preserve"> (499/854) dos doentes apresentaram resposta clínica e foram avaliados na análise primária. Dos doentes com resposta clínica na Semana 4, 48</w:delText>
        </w:r>
        <w:r w:rsidR="009343EF">
          <w:rPr>
            <w:szCs w:val="22"/>
          </w:rPr>
          <w:delText>%</w:delText>
        </w:r>
        <w:r w:rsidRPr="008912CF">
          <w:rPr>
            <w:szCs w:val="22"/>
          </w:rPr>
          <w:delText xml:space="preserve"> foram previamente expostos a outros antagonistas-TNF. As taxas de manutenção da remissão e de resposta são apresentadas na Tabela </w:delText>
        </w:r>
        <w:r w:rsidR="00B52A81">
          <w:rPr>
            <w:szCs w:val="22"/>
          </w:rPr>
          <w:delText>2</w:delText>
        </w:r>
        <w:r w:rsidR="00B925B3">
          <w:rPr>
            <w:szCs w:val="22"/>
          </w:rPr>
          <w:delText>2</w:delText>
        </w:r>
        <w:r w:rsidRPr="008912CF">
          <w:rPr>
            <w:szCs w:val="22"/>
          </w:rPr>
          <w:delText>. Os resultados de remissão clínica permaneceram relativamente constantes independentemente de uma exposição prévia a antagonistas de TNF.</w:delText>
        </w:r>
      </w:del>
    </w:p>
    <w:p w14:paraId="6675F093" w14:textId="735D73FD" w:rsidR="004462A0" w:rsidRPr="008912CF" w:rsidRDefault="004462A0">
      <w:pPr>
        <w:rPr>
          <w:del w:id="9229" w:author="AbbVie2" w:date="2025-05-13T16:39:00Z"/>
          <w:szCs w:val="22"/>
        </w:rPr>
        <w:pPrChange w:id="9230" w:author="AbbVie2" w:date="2025-05-13T16:40:00Z">
          <w:pPr>
            <w:pStyle w:val="EMEANormal"/>
          </w:pPr>
        </w:pPrChange>
      </w:pPr>
    </w:p>
    <w:p w14:paraId="559B1B35" w14:textId="31C167E2" w:rsidR="004462A0" w:rsidRPr="008912CF" w:rsidRDefault="00615769">
      <w:pPr>
        <w:rPr>
          <w:del w:id="9231" w:author="AbbVie2" w:date="2025-05-13T16:39:00Z"/>
          <w:szCs w:val="22"/>
        </w:rPr>
        <w:pPrChange w:id="9232" w:author="AbbVie2" w:date="2025-05-13T16:40:00Z">
          <w:pPr>
            <w:pStyle w:val="EMEANormal"/>
          </w:pPr>
        </w:pPrChange>
      </w:pPr>
      <w:del w:id="9233" w:author="AbbVie2" w:date="2025-05-13T16:39:00Z">
        <w:r w:rsidRPr="008912CF">
          <w:rPr>
            <w:szCs w:val="22"/>
          </w:rPr>
          <w:delText>As cirurgias e as hospitalizações relacionadas com a doença foram, do ponto de vista estatístico, significativamente reduzidas com adalimumab quando comparadas com placebo, na Semana 56.</w:delText>
        </w:r>
      </w:del>
    </w:p>
    <w:p w14:paraId="3A6F97FF" w14:textId="63BB20FE" w:rsidR="004462A0" w:rsidRPr="008912CF" w:rsidRDefault="004462A0">
      <w:pPr>
        <w:rPr>
          <w:del w:id="9234" w:author="AbbVie2" w:date="2025-05-13T16:39:00Z"/>
          <w:szCs w:val="22"/>
        </w:rPr>
        <w:pPrChange w:id="9235" w:author="AbbVie2" w:date="2025-05-13T16:40:00Z">
          <w:pPr>
            <w:pStyle w:val="EMEANormal"/>
            <w:keepNext/>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34"/>
        <w:gridCol w:w="1628"/>
        <w:gridCol w:w="1984"/>
        <w:gridCol w:w="1825"/>
      </w:tblGrid>
      <w:tr w:rsidR="00A7162A" w14:paraId="11D935F6" w14:textId="71705886" w:rsidTr="00F675CF">
        <w:trPr>
          <w:cantSplit/>
          <w:del w:id="9236" w:author="AbbVie2" w:date="2025-05-13T16:39:00Z"/>
        </w:trPr>
        <w:tc>
          <w:tcPr>
            <w:tcW w:w="9287" w:type="dxa"/>
            <w:gridSpan w:val="4"/>
            <w:tcBorders>
              <w:top w:val="nil"/>
              <w:left w:val="nil"/>
              <w:right w:val="nil"/>
            </w:tcBorders>
          </w:tcPr>
          <w:p w14:paraId="6626E002" w14:textId="1974ECDC" w:rsidR="004462A0" w:rsidRPr="008912CF" w:rsidRDefault="00615769">
            <w:pPr>
              <w:rPr>
                <w:del w:id="9237" w:author="AbbVie2" w:date="2025-05-13T16:39:00Z"/>
                <w:b/>
                <w:bCs/>
                <w:sz w:val="22"/>
                <w:szCs w:val="22"/>
              </w:rPr>
              <w:pPrChange w:id="9238" w:author="AbbVie2" w:date="2025-05-13T16:40:00Z">
                <w:pPr>
                  <w:pStyle w:val="TableText"/>
                  <w:spacing w:line="240" w:lineRule="auto"/>
                  <w:jc w:val="center"/>
                </w:pPr>
              </w:pPrChange>
            </w:pPr>
            <w:del w:id="9239" w:author="AbbVie2" w:date="2025-05-13T16:39:00Z">
              <w:r w:rsidRPr="008912CF">
                <w:rPr>
                  <w:b/>
                  <w:bCs/>
                  <w:sz w:val="22"/>
                  <w:szCs w:val="22"/>
                </w:rPr>
                <w:delText xml:space="preserve">Tabela </w:delText>
              </w:r>
              <w:r w:rsidR="00B52A81">
                <w:rPr>
                  <w:b/>
                  <w:bCs/>
                  <w:sz w:val="22"/>
                  <w:szCs w:val="22"/>
                </w:rPr>
                <w:delText>2</w:delText>
              </w:r>
              <w:r w:rsidR="00B925B3">
                <w:rPr>
                  <w:b/>
                  <w:bCs/>
                  <w:sz w:val="22"/>
                  <w:szCs w:val="22"/>
                </w:rPr>
                <w:delText>2</w:delText>
              </w:r>
            </w:del>
          </w:p>
          <w:p w14:paraId="7C6CACC7" w14:textId="39FADA2D" w:rsidR="004462A0" w:rsidRPr="008912CF" w:rsidRDefault="00615769">
            <w:pPr>
              <w:rPr>
                <w:del w:id="9240" w:author="AbbVie2" w:date="2025-05-13T16:39:00Z"/>
                <w:b/>
                <w:bCs/>
                <w:sz w:val="22"/>
                <w:szCs w:val="22"/>
              </w:rPr>
              <w:pPrChange w:id="9241" w:author="AbbVie2" w:date="2025-05-13T16:40:00Z">
                <w:pPr>
                  <w:pStyle w:val="TableText"/>
                  <w:spacing w:line="240" w:lineRule="auto"/>
                  <w:jc w:val="center"/>
                </w:pPr>
              </w:pPrChange>
            </w:pPr>
            <w:del w:id="9242" w:author="AbbVie2" w:date="2025-05-13T16:39:00Z">
              <w:r w:rsidRPr="008912CF">
                <w:rPr>
                  <w:b/>
                  <w:bCs/>
                  <w:sz w:val="22"/>
                  <w:szCs w:val="22"/>
                </w:rPr>
                <w:delText>Manutenção da Remissão e Resposta Clínica</w:delText>
              </w:r>
              <w:r w:rsidR="002B24DC">
                <w:rPr>
                  <w:b/>
                  <w:bCs/>
                  <w:sz w:val="22"/>
                  <w:szCs w:val="22"/>
                </w:rPr>
                <w:delText>s</w:delText>
              </w:r>
            </w:del>
          </w:p>
          <w:p w14:paraId="702D3864" w14:textId="3705B7FE" w:rsidR="004462A0" w:rsidRPr="008912CF" w:rsidRDefault="00615769">
            <w:pPr>
              <w:rPr>
                <w:del w:id="9243" w:author="AbbVie2" w:date="2025-05-13T16:39:00Z"/>
                <w:b/>
                <w:bCs/>
                <w:sz w:val="22"/>
                <w:szCs w:val="22"/>
              </w:rPr>
              <w:pPrChange w:id="9244" w:author="AbbVie2" w:date="2025-05-13T16:40:00Z">
                <w:pPr>
                  <w:pStyle w:val="TableText"/>
                  <w:spacing w:line="240" w:lineRule="auto"/>
                  <w:jc w:val="center"/>
                </w:pPr>
              </w:pPrChange>
            </w:pPr>
            <w:del w:id="9245" w:author="AbbVie2" w:date="2025-05-13T16:39:00Z">
              <w:r w:rsidRPr="008912CF">
                <w:rPr>
                  <w:b/>
                  <w:bCs/>
                  <w:sz w:val="22"/>
                  <w:szCs w:val="22"/>
                </w:rPr>
                <w:delText>(Percentagem de Doentes)</w:delText>
              </w:r>
            </w:del>
          </w:p>
        </w:tc>
      </w:tr>
      <w:tr w:rsidR="00A7162A" w14:paraId="1DB94C74" w14:textId="06B8C8D9" w:rsidTr="00F675CF">
        <w:trPr>
          <w:del w:id="9246" w:author="AbbVie2" w:date="2025-05-13T16:39:00Z"/>
        </w:trPr>
        <w:tc>
          <w:tcPr>
            <w:tcW w:w="3749" w:type="dxa"/>
          </w:tcPr>
          <w:p w14:paraId="54F7EBEB" w14:textId="7E00F0EE" w:rsidR="004462A0" w:rsidRPr="008912CF" w:rsidRDefault="004462A0">
            <w:pPr>
              <w:rPr>
                <w:del w:id="9247" w:author="AbbVie2" w:date="2025-05-13T16:39:00Z"/>
                <w:b/>
                <w:bCs/>
                <w:sz w:val="22"/>
                <w:szCs w:val="22"/>
              </w:rPr>
              <w:pPrChange w:id="9248" w:author="AbbVie2" w:date="2025-05-13T16:40:00Z">
                <w:pPr>
                  <w:pStyle w:val="TableText"/>
                  <w:spacing w:line="240" w:lineRule="auto"/>
                </w:pPr>
              </w:pPrChange>
            </w:pPr>
          </w:p>
        </w:tc>
        <w:tc>
          <w:tcPr>
            <w:tcW w:w="1659" w:type="dxa"/>
          </w:tcPr>
          <w:p w14:paraId="46227023" w14:textId="6535FAEB" w:rsidR="004462A0" w:rsidRPr="008912CF" w:rsidRDefault="00615769">
            <w:pPr>
              <w:rPr>
                <w:del w:id="9249" w:author="AbbVie2" w:date="2025-05-13T16:39:00Z"/>
                <w:b/>
                <w:bCs/>
                <w:sz w:val="22"/>
                <w:szCs w:val="22"/>
              </w:rPr>
              <w:pPrChange w:id="9250" w:author="AbbVie2" w:date="2025-05-13T16:40:00Z">
                <w:pPr>
                  <w:pStyle w:val="TableText"/>
                  <w:spacing w:line="240" w:lineRule="auto"/>
                  <w:jc w:val="center"/>
                </w:pPr>
              </w:pPrChange>
            </w:pPr>
            <w:del w:id="9251" w:author="AbbVie2" w:date="2025-05-13T16:39:00Z">
              <w:r w:rsidRPr="008912CF">
                <w:rPr>
                  <w:b/>
                  <w:bCs/>
                  <w:sz w:val="22"/>
                  <w:szCs w:val="22"/>
                </w:rPr>
                <w:delText>Placebo</w:delText>
              </w:r>
            </w:del>
          </w:p>
        </w:tc>
        <w:tc>
          <w:tcPr>
            <w:tcW w:w="2020" w:type="dxa"/>
          </w:tcPr>
          <w:p w14:paraId="3234B96B" w14:textId="7523FEDD" w:rsidR="004462A0" w:rsidRPr="008912CF" w:rsidRDefault="00615769">
            <w:pPr>
              <w:rPr>
                <w:del w:id="9252" w:author="AbbVie2" w:date="2025-05-13T16:39:00Z"/>
                <w:b/>
                <w:bCs/>
                <w:sz w:val="22"/>
                <w:szCs w:val="22"/>
              </w:rPr>
              <w:pPrChange w:id="9253" w:author="AbbVie2" w:date="2025-05-13T16:40:00Z">
                <w:pPr>
                  <w:pStyle w:val="TableText"/>
                  <w:spacing w:line="240" w:lineRule="auto"/>
                  <w:jc w:val="center"/>
                </w:pPr>
              </w:pPrChange>
            </w:pPr>
            <w:del w:id="9254" w:author="AbbVie2" w:date="2025-05-13T16:39:00Z">
              <w:r w:rsidRPr="008912CF">
                <w:rPr>
                  <w:b/>
                  <w:bCs/>
                  <w:sz w:val="22"/>
                  <w:szCs w:val="22"/>
                </w:rPr>
                <w:delText>40 mg Humira</w:delText>
              </w:r>
              <w:r w:rsidRPr="008912CF">
                <w:rPr>
                  <w:b/>
                  <w:bCs/>
                  <w:sz w:val="22"/>
                  <w:szCs w:val="22"/>
                </w:rPr>
                <w:br/>
                <w:delText>em semanas alternadas</w:delText>
              </w:r>
            </w:del>
          </w:p>
        </w:tc>
        <w:tc>
          <w:tcPr>
            <w:tcW w:w="1859" w:type="dxa"/>
          </w:tcPr>
          <w:p w14:paraId="2BBA1B62" w14:textId="60004DE2" w:rsidR="004462A0" w:rsidRPr="008912CF" w:rsidRDefault="00615769">
            <w:pPr>
              <w:rPr>
                <w:del w:id="9255" w:author="AbbVie2" w:date="2025-05-13T16:39:00Z"/>
                <w:b/>
                <w:bCs/>
                <w:sz w:val="22"/>
                <w:szCs w:val="22"/>
              </w:rPr>
              <w:pPrChange w:id="9256" w:author="AbbVie2" w:date="2025-05-13T16:40:00Z">
                <w:pPr>
                  <w:pStyle w:val="TableText"/>
                  <w:spacing w:line="240" w:lineRule="auto"/>
                  <w:jc w:val="center"/>
                </w:pPr>
              </w:pPrChange>
            </w:pPr>
            <w:del w:id="9257" w:author="AbbVie2" w:date="2025-05-13T16:39:00Z">
              <w:r w:rsidRPr="008912CF">
                <w:rPr>
                  <w:b/>
                  <w:bCs/>
                  <w:sz w:val="22"/>
                  <w:szCs w:val="22"/>
                </w:rPr>
                <w:delText>40 mg Humira</w:delText>
              </w:r>
              <w:r w:rsidRPr="008912CF">
                <w:rPr>
                  <w:b/>
                  <w:bCs/>
                  <w:sz w:val="22"/>
                  <w:szCs w:val="22"/>
                </w:rPr>
                <w:br/>
                <w:delText>todas as semanas</w:delText>
              </w:r>
            </w:del>
          </w:p>
        </w:tc>
      </w:tr>
      <w:tr w:rsidR="00A7162A" w14:paraId="0CCA0097" w14:textId="50F4B53B" w:rsidTr="00F675CF">
        <w:trPr>
          <w:del w:id="9258" w:author="AbbVie2" w:date="2025-05-13T16:39:00Z"/>
        </w:trPr>
        <w:tc>
          <w:tcPr>
            <w:tcW w:w="3749" w:type="dxa"/>
          </w:tcPr>
          <w:p w14:paraId="68B6CD6A" w14:textId="1BBE266F" w:rsidR="004462A0" w:rsidRPr="008912CF" w:rsidRDefault="00615769">
            <w:pPr>
              <w:rPr>
                <w:del w:id="9259" w:author="AbbVie2" w:date="2025-05-13T16:39:00Z"/>
                <w:b/>
                <w:bCs/>
                <w:sz w:val="22"/>
                <w:szCs w:val="22"/>
              </w:rPr>
              <w:pPrChange w:id="9260" w:author="AbbVie2" w:date="2025-05-13T16:40:00Z">
                <w:pPr>
                  <w:pStyle w:val="TableText"/>
                  <w:spacing w:line="240" w:lineRule="auto"/>
                </w:pPr>
              </w:pPrChange>
            </w:pPr>
            <w:del w:id="9261" w:author="AbbVie2" w:date="2025-05-13T16:39:00Z">
              <w:r w:rsidRPr="008912CF">
                <w:rPr>
                  <w:b/>
                  <w:bCs/>
                  <w:sz w:val="22"/>
                  <w:szCs w:val="22"/>
                </w:rPr>
                <w:delText>Semana 26</w:delText>
              </w:r>
            </w:del>
          </w:p>
        </w:tc>
        <w:tc>
          <w:tcPr>
            <w:tcW w:w="1659" w:type="dxa"/>
          </w:tcPr>
          <w:p w14:paraId="47F33C17" w14:textId="55F8E80E" w:rsidR="004462A0" w:rsidRPr="008912CF" w:rsidRDefault="00615769">
            <w:pPr>
              <w:rPr>
                <w:del w:id="9262" w:author="AbbVie2" w:date="2025-05-13T16:39:00Z"/>
                <w:b/>
                <w:bCs/>
                <w:sz w:val="22"/>
                <w:szCs w:val="22"/>
              </w:rPr>
              <w:pPrChange w:id="9263" w:author="AbbVie2" w:date="2025-05-13T16:40:00Z">
                <w:pPr>
                  <w:pStyle w:val="TableText"/>
                  <w:spacing w:line="240" w:lineRule="auto"/>
                  <w:jc w:val="center"/>
                </w:pPr>
              </w:pPrChange>
            </w:pPr>
            <w:del w:id="9264" w:author="AbbVie2" w:date="2025-05-13T16:39:00Z">
              <w:r w:rsidRPr="008912CF">
                <w:rPr>
                  <w:b/>
                  <w:bCs/>
                  <w:sz w:val="22"/>
                  <w:szCs w:val="22"/>
                </w:rPr>
                <w:delText>N =170</w:delText>
              </w:r>
            </w:del>
          </w:p>
        </w:tc>
        <w:tc>
          <w:tcPr>
            <w:tcW w:w="2020" w:type="dxa"/>
          </w:tcPr>
          <w:p w14:paraId="59551D5D" w14:textId="041ADDF2" w:rsidR="004462A0" w:rsidRPr="008912CF" w:rsidRDefault="00615769">
            <w:pPr>
              <w:rPr>
                <w:del w:id="9265" w:author="AbbVie2" w:date="2025-05-13T16:39:00Z"/>
                <w:b/>
                <w:bCs/>
                <w:sz w:val="22"/>
                <w:szCs w:val="22"/>
              </w:rPr>
              <w:pPrChange w:id="9266" w:author="AbbVie2" w:date="2025-05-13T16:40:00Z">
                <w:pPr>
                  <w:pStyle w:val="TableText"/>
                  <w:spacing w:line="240" w:lineRule="auto"/>
                  <w:jc w:val="center"/>
                </w:pPr>
              </w:pPrChange>
            </w:pPr>
            <w:del w:id="9267" w:author="AbbVie2" w:date="2025-05-13T16:39:00Z">
              <w:r w:rsidRPr="008912CF">
                <w:rPr>
                  <w:b/>
                  <w:bCs/>
                  <w:sz w:val="22"/>
                  <w:szCs w:val="22"/>
                </w:rPr>
                <w:delText>N =172</w:delText>
              </w:r>
            </w:del>
          </w:p>
        </w:tc>
        <w:tc>
          <w:tcPr>
            <w:tcW w:w="1859" w:type="dxa"/>
          </w:tcPr>
          <w:p w14:paraId="31545EEA" w14:textId="30CD59A4" w:rsidR="004462A0" w:rsidRPr="008912CF" w:rsidRDefault="00615769">
            <w:pPr>
              <w:rPr>
                <w:del w:id="9268" w:author="AbbVie2" w:date="2025-05-13T16:39:00Z"/>
                <w:b/>
                <w:bCs/>
                <w:sz w:val="22"/>
                <w:szCs w:val="22"/>
              </w:rPr>
              <w:pPrChange w:id="9269" w:author="AbbVie2" w:date="2025-05-13T16:40:00Z">
                <w:pPr>
                  <w:pStyle w:val="TableText"/>
                  <w:spacing w:line="240" w:lineRule="auto"/>
                  <w:jc w:val="center"/>
                </w:pPr>
              </w:pPrChange>
            </w:pPr>
            <w:del w:id="9270" w:author="AbbVie2" w:date="2025-05-13T16:39:00Z">
              <w:r w:rsidRPr="008912CF">
                <w:rPr>
                  <w:b/>
                  <w:bCs/>
                  <w:sz w:val="22"/>
                  <w:szCs w:val="22"/>
                </w:rPr>
                <w:delText>N =157</w:delText>
              </w:r>
            </w:del>
          </w:p>
        </w:tc>
      </w:tr>
      <w:tr w:rsidR="00A7162A" w14:paraId="469C3334" w14:textId="5FCD373F" w:rsidTr="00F675CF">
        <w:trPr>
          <w:del w:id="9271" w:author="AbbVie2" w:date="2025-05-13T16:39:00Z"/>
        </w:trPr>
        <w:tc>
          <w:tcPr>
            <w:tcW w:w="3749" w:type="dxa"/>
          </w:tcPr>
          <w:p w14:paraId="3C856291" w14:textId="6DF66520" w:rsidR="004462A0" w:rsidRPr="008912CF" w:rsidRDefault="00615769">
            <w:pPr>
              <w:rPr>
                <w:del w:id="9272" w:author="AbbVie2" w:date="2025-05-13T16:39:00Z"/>
                <w:sz w:val="22"/>
                <w:szCs w:val="22"/>
              </w:rPr>
              <w:pPrChange w:id="9273" w:author="AbbVie2" w:date="2025-05-13T16:40:00Z">
                <w:pPr>
                  <w:pStyle w:val="TableText"/>
                  <w:spacing w:line="240" w:lineRule="auto"/>
                </w:pPr>
              </w:pPrChange>
            </w:pPr>
            <w:del w:id="9274" w:author="AbbVie2" w:date="2025-05-13T16:39:00Z">
              <w:r w:rsidRPr="008912CF">
                <w:rPr>
                  <w:sz w:val="22"/>
                  <w:szCs w:val="22"/>
                </w:rPr>
                <w:delText>Remissão clínica</w:delText>
              </w:r>
            </w:del>
          </w:p>
        </w:tc>
        <w:tc>
          <w:tcPr>
            <w:tcW w:w="1659" w:type="dxa"/>
          </w:tcPr>
          <w:p w14:paraId="642339FA" w14:textId="2EAC041D" w:rsidR="004462A0" w:rsidRPr="008912CF" w:rsidRDefault="00615769">
            <w:pPr>
              <w:rPr>
                <w:del w:id="9275" w:author="AbbVie2" w:date="2025-05-13T16:39:00Z"/>
                <w:sz w:val="22"/>
                <w:szCs w:val="22"/>
              </w:rPr>
              <w:pPrChange w:id="9276" w:author="AbbVie2" w:date="2025-05-13T16:40:00Z">
                <w:pPr>
                  <w:pStyle w:val="TableText"/>
                  <w:spacing w:line="240" w:lineRule="auto"/>
                  <w:jc w:val="center"/>
                </w:pPr>
              </w:pPrChange>
            </w:pPr>
            <w:del w:id="9277" w:author="AbbVie2" w:date="2025-05-13T16:39:00Z">
              <w:r w:rsidRPr="008912CF">
                <w:rPr>
                  <w:sz w:val="22"/>
                  <w:szCs w:val="22"/>
                </w:rPr>
                <w:delText>17%</w:delText>
              </w:r>
            </w:del>
          </w:p>
        </w:tc>
        <w:tc>
          <w:tcPr>
            <w:tcW w:w="2020" w:type="dxa"/>
          </w:tcPr>
          <w:p w14:paraId="36741BD7" w14:textId="1903D983" w:rsidR="004462A0" w:rsidRPr="008912CF" w:rsidRDefault="00615769">
            <w:pPr>
              <w:rPr>
                <w:del w:id="9278" w:author="AbbVie2" w:date="2025-05-13T16:39:00Z"/>
                <w:sz w:val="22"/>
                <w:szCs w:val="22"/>
              </w:rPr>
              <w:pPrChange w:id="9279" w:author="AbbVie2" w:date="2025-05-13T16:40:00Z">
                <w:pPr>
                  <w:pStyle w:val="TableText"/>
                  <w:spacing w:line="240" w:lineRule="auto"/>
                  <w:jc w:val="center"/>
                </w:pPr>
              </w:pPrChange>
            </w:pPr>
            <w:del w:id="9280" w:author="AbbVie2" w:date="2025-05-13T16:39:00Z">
              <w:r w:rsidRPr="008912CF">
                <w:rPr>
                  <w:sz w:val="22"/>
                  <w:szCs w:val="22"/>
                </w:rPr>
                <w:delText>40%*</w:delText>
              </w:r>
            </w:del>
          </w:p>
        </w:tc>
        <w:tc>
          <w:tcPr>
            <w:tcW w:w="1859" w:type="dxa"/>
          </w:tcPr>
          <w:p w14:paraId="1F5CCFCA" w14:textId="2858554D" w:rsidR="004462A0" w:rsidRPr="008912CF" w:rsidRDefault="00615769">
            <w:pPr>
              <w:rPr>
                <w:del w:id="9281" w:author="AbbVie2" w:date="2025-05-13T16:39:00Z"/>
                <w:sz w:val="22"/>
                <w:szCs w:val="22"/>
              </w:rPr>
              <w:pPrChange w:id="9282" w:author="AbbVie2" w:date="2025-05-13T16:40:00Z">
                <w:pPr>
                  <w:pStyle w:val="TableText"/>
                  <w:spacing w:line="240" w:lineRule="auto"/>
                  <w:jc w:val="center"/>
                </w:pPr>
              </w:pPrChange>
            </w:pPr>
            <w:del w:id="9283" w:author="AbbVie2" w:date="2025-05-13T16:39:00Z">
              <w:r w:rsidRPr="008912CF">
                <w:rPr>
                  <w:sz w:val="22"/>
                  <w:szCs w:val="22"/>
                </w:rPr>
                <w:delText>47%*</w:delText>
              </w:r>
            </w:del>
          </w:p>
        </w:tc>
      </w:tr>
      <w:tr w:rsidR="00A7162A" w14:paraId="3D1A268C" w14:textId="5CBCDC30" w:rsidTr="00F675CF">
        <w:trPr>
          <w:del w:id="9284" w:author="AbbVie2" w:date="2025-05-13T16:39:00Z"/>
        </w:trPr>
        <w:tc>
          <w:tcPr>
            <w:tcW w:w="3749" w:type="dxa"/>
          </w:tcPr>
          <w:p w14:paraId="71651BEB" w14:textId="093445FB" w:rsidR="004462A0" w:rsidRPr="008912CF" w:rsidRDefault="00615769">
            <w:pPr>
              <w:rPr>
                <w:del w:id="9285" w:author="AbbVie2" w:date="2025-05-13T16:39:00Z"/>
                <w:sz w:val="22"/>
                <w:szCs w:val="22"/>
              </w:rPr>
              <w:pPrChange w:id="9286" w:author="AbbVie2" w:date="2025-05-13T16:40:00Z">
                <w:pPr>
                  <w:pStyle w:val="TableText"/>
                  <w:spacing w:line="240" w:lineRule="auto"/>
                </w:pPr>
              </w:pPrChange>
            </w:pPr>
            <w:del w:id="9287" w:author="AbbVie2" w:date="2025-05-13T16:39:00Z">
              <w:r w:rsidRPr="008912CF">
                <w:rPr>
                  <w:sz w:val="22"/>
                  <w:szCs w:val="22"/>
                </w:rPr>
                <w:delText>Resposta clínica (CR-100)</w:delText>
              </w:r>
            </w:del>
          </w:p>
        </w:tc>
        <w:tc>
          <w:tcPr>
            <w:tcW w:w="1659" w:type="dxa"/>
          </w:tcPr>
          <w:p w14:paraId="4EECF1E5" w14:textId="3FE0E6B9" w:rsidR="004462A0" w:rsidRPr="008912CF" w:rsidRDefault="00615769">
            <w:pPr>
              <w:rPr>
                <w:del w:id="9288" w:author="AbbVie2" w:date="2025-05-13T16:39:00Z"/>
                <w:sz w:val="22"/>
                <w:szCs w:val="22"/>
              </w:rPr>
              <w:pPrChange w:id="9289" w:author="AbbVie2" w:date="2025-05-13T16:40:00Z">
                <w:pPr>
                  <w:pStyle w:val="TableText"/>
                  <w:spacing w:line="240" w:lineRule="auto"/>
                  <w:jc w:val="center"/>
                </w:pPr>
              </w:pPrChange>
            </w:pPr>
            <w:del w:id="9290" w:author="AbbVie2" w:date="2025-05-13T16:39:00Z">
              <w:r w:rsidRPr="008912CF">
                <w:rPr>
                  <w:sz w:val="22"/>
                  <w:szCs w:val="22"/>
                </w:rPr>
                <w:delText>27%</w:delText>
              </w:r>
            </w:del>
          </w:p>
        </w:tc>
        <w:tc>
          <w:tcPr>
            <w:tcW w:w="2020" w:type="dxa"/>
          </w:tcPr>
          <w:p w14:paraId="7308AAD7" w14:textId="492BE49A" w:rsidR="004462A0" w:rsidRPr="008912CF" w:rsidRDefault="00615769">
            <w:pPr>
              <w:rPr>
                <w:del w:id="9291" w:author="AbbVie2" w:date="2025-05-13T16:39:00Z"/>
                <w:sz w:val="22"/>
                <w:szCs w:val="22"/>
              </w:rPr>
              <w:pPrChange w:id="9292" w:author="AbbVie2" w:date="2025-05-13T16:40:00Z">
                <w:pPr>
                  <w:pStyle w:val="TableText"/>
                  <w:spacing w:line="240" w:lineRule="auto"/>
                  <w:jc w:val="center"/>
                </w:pPr>
              </w:pPrChange>
            </w:pPr>
            <w:del w:id="9293" w:author="AbbVie2" w:date="2025-05-13T16:39:00Z">
              <w:r w:rsidRPr="008912CF">
                <w:rPr>
                  <w:sz w:val="22"/>
                  <w:szCs w:val="22"/>
                </w:rPr>
                <w:delText>52%*</w:delText>
              </w:r>
            </w:del>
          </w:p>
        </w:tc>
        <w:tc>
          <w:tcPr>
            <w:tcW w:w="1859" w:type="dxa"/>
          </w:tcPr>
          <w:p w14:paraId="2E8EF357" w14:textId="42D411D4" w:rsidR="004462A0" w:rsidRPr="008912CF" w:rsidRDefault="00615769">
            <w:pPr>
              <w:rPr>
                <w:del w:id="9294" w:author="AbbVie2" w:date="2025-05-13T16:39:00Z"/>
                <w:sz w:val="22"/>
                <w:szCs w:val="22"/>
              </w:rPr>
              <w:pPrChange w:id="9295" w:author="AbbVie2" w:date="2025-05-13T16:40:00Z">
                <w:pPr>
                  <w:pStyle w:val="TableText"/>
                  <w:spacing w:line="240" w:lineRule="auto"/>
                  <w:jc w:val="center"/>
                </w:pPr>
              </w:pPrChange>
            </w:pPr>
            <w:del w:id="9296" w:author="AbbVie2" w:date="2025-05-13T16:39:00Z">
              <w:r w:rsidRPr="008912CF">
                <w:rPr>
                  <w:sz w:val="22"/>
                  <w:szCs w:val="22"/>
                </w:rPr>
                <w:delText>52%*</w:delText>
              </w:r>
            </w:del>
          </w:p>
        </w:tc>
      </w:tr>
      <w:tr w:rsidR="00A7162A" w14:paraId="3C776169" w14:textId="14559401" w:rsidTr="00F675CF">
        <w:trPr>
          <w:del w:id="9297" w:author="AbbVie2" w:date="2025-05-13T16:39:00Z"/>
        </w:trPr>
        <w:tc>
          <w:tcPr>
            <w:tcW w:w="3749" w:type="dxa"/>
          </w:tcPr>
          <w:p w14:paraId="2F45AFD0" w14:textId="3D9D9B15" w:rsidR="004462A0" w:rsidRPr="008912CF" w:rsidRDefault="00615769">
            <w:pPr>
              <w:rPr>
                <w:del w:id="9298" w:author="AbbVie2" w:date="2025-05-13T16:39:00Z"/>
                <w:sz w:val="22"/>
                <w:szCs w:val="22"/>
              </w:rPr>
              <w:pPrChange w:id="9299" w:author="AbbVie2" w:date="2025-05-13T16:40:00Z">
                <w:pPr>
                  <w:pStyle w:val="TableText"/>
                  <w:spacing w:line="240" w:lineRule="auto"/>
                  <w:ind w:left="360"/>
                </w:pPr>
              </w:pPrChange>
            </w:pPr>
            <w:del w:id="9300" w:author="AbbVie2" w:date="2025-05-13T16:39:00Z">
              <w:r w:rsidRPr="008912CF">
                <w:rPr>
                  <w:sz w:val="22"/>
                  <w:szCs w:val="22"/>
                </w:rPr>
                <w:delText>Doentes em remissão sem tratamento com esteroides em &gt;=90 dias</w:delText>
              </w:r>
              <w:r w:rsidRPr="008912CF">
                <w:rPr>
                  <w:sz w:val="22"/>
                  <w:szCs w:val="22"/>
                  <w:vertAlign w:val="superscript"/>
                </w:rPr>
                <w:delText>a</w:delText>
              </w:r>
            </w:del>
          </w:p>
        </w:tc>
        <w:tc>
          <w:tcPr>
            <w:tcW w:w="1659" w:type="dxa"/>
          </w:tcPr>
          <w:p w14:paraId="1F768812" w14:textId="2EC87C5B" w:rsidR="004462A0" w:rsidRPr="008912CF" w:rsidRDefault="00615769">
            <w:pPr>
              <w:rPr>
                <w:del w:id="9301" w:author="AbbVie2" w:date="2025-05-13T16:39:00Z"/>
                <w:sz w:val="22"/>
                <w:szCs w:val="22"/>
              </w:rPr>
              <w:pPrChange w:id="9302" w:author="AbbVie2" w:date="2025-05-13T16:40:00Z">
                <w:pPr>
                  <w:pStyle w:val="TableText"/>
                  <w:spacing w:line="240" w:lineRule="auto"/>
                  <w:jc w:val="center"/>
                </w:pPr>
              </w:pPrChange>
            </w:pPr>
            <w:del w:id="9303" w:author="AbbVie2" w:date="2025-05-13T16:39:00Z">
              <w:r w:rsidRPr="008912CF">
                <w:rPr>
                  <w:sz w:val="22"/>
                  <w:szCs w:val="22"/>
                </w:rPr>
                <w:delText>3% (2/66)</w:delText>
              </w:r>
            </w:del>
          </w:p>
        </w:tc>
        <w:tc>
          <w:tcPr>
            <w:tcW w:w="2020" w:type="dxa"/>
          </w:tcPr>
          <w:p w14:paraId="214ED549" w14:textId="242EBC9C" w:rsidR="004462A0" w:rsidRPr="008912CF" w:rsidRDefault="00615769">
            <w:pPr>
              <w:rPr>
                <w:del w:id="9304" w:author="AbbVie2" w:date="2025-05-13T16:39:00Z"/>
                <w:sz w:val="22"/>
                <w:szCs w:val="22"/>
              </w:rPr>
              <w:pPrChange w:id="9305" w:author="AbbVie2" w:date="2025-05-13T16:40:00Z">
                <w:pPr>
                  <w:pStyle w:val="TableText"/>
                  <w:spacing w:line="240" w:lineRule="auto"/>
                  <w:jc w:val="center"/>
                </w:pPr>
              </w:pPrChange>
            </w:pPr>
            <w:del w:id="9306" w:author="AbbVie2" w:date="2025-05-13T16:39:00Z">
              <w:r w:rsidRPr="008912CF">
                <w:rPr>
                  <w:sz w:val="22"/>
                  <w:szCs w:val="22"/>
                </w:rPr>
                <w:delText>19% (11/58)**</w:delText>
              </w:r>
            </w:del>
          </w:p>
        </w:tc>
        <w:tc>
          <w:tcPr>
            <w:tcW w:w="1859" w:type="dxa"/>
          </w:tcPr>
          <w:p w14:paraId="68591494" w14:textId="022D0641" w:rsidR="004462A0" w:rsidRPr="008912CF" w:rsidRDefault="00615769">
            <w:pPr>
              <w:rPr>
                <w:del w:id="9307" w:author="AbbVie2" w:date="2025-05-13T16:39:00Z"/>
                <w:sz w:val="22"/>
                <w:szCs w:val="22"/>
              </w:rPr>
              <w:pPrChange w:id="9308" w:author="AbbVie2" w:date="2025-05-13T16:40:00Z">
                <w:pPr>
                  <w:pStyle w:val="TableText"/>
                  <w:spacing w:line="240" w:lineRule="auto"/>
                  <w:jc w:val="center"/>
                </w:pPr>
              </w:pPrChange>
            </w:pPr>
            <w:del w:id="9309" w:author="AbbVie2" w:date="2025-05-13T16:39:00Z">
              <w:r w:rsidRPr="008912CF">
                <w:rPr>
                  <w:sz w:val="22"/>
                  <w:szCs w:val="22"/>
                </w:rPr>
                <w:delText>15% (11/74)**</w:delText>
              </w:r>
            </w:del>
          </w:p>
        </w:tc>
      </w:tr>
      <w:tr w:rsidR="00A7162A" w14:paraId="7DEAD546" w14:textId="0E9E62A0" w:rsidTr="00F675CF">
        <w:trPr>
          <w:del w:id="9310" w:author="AbbVie2" w:date="2025-05-13T16:39:00Z"/>
        </w:trPr>
        <w:tc>
          <w:tcPr>
            <w:tcW w:w="3749" w:type="dxa"/>
          </w:tcPr>
          <w:p w14:paraId="4AE0C559" w14:textId="67F6501D" w:rsidR="004462A0" w:rsidRPr="008912CF" w:rsidRDefault="00615769">
            <w:pPr>
              <w:rPr>
                <w:del w:id="9311" w:author="AbbVie2" w:date="2025-05-13T16:39:00Z"/>
                <w:b/>
                <w:bCs/>
                <w:sz w:val="22"/>
                <w:szCs w:val="22"/>
              </w:rPr>
              <w:pPrChange w:id="9312" w:author="AbbVie2" w:date="2025-05-13T16:40:00Z">
                <w:pPr>
                  <w:pStyle w:val="TableText"/>
                  <w:spacing w:line="240" w:lineRule="auto"/>
                </w:pPr>
              </w:pPrChange>
            </w:pPr>
            <w:del w:id="9313" w:author="AbbVie2" w:date="2025-05-13T16:39:00Z">
              <w:r w:rsidRPr="008912CF">
                <w:rPr>
                  <w:b/>
                  <w:bCs/>
                  <w:sz w:val="22"/>
                  <w:szCs w:val="22"/>
                </w:rPr>
                <w:delText>Semana 56</w:delText>
              </w:r>
            </w:del>
          </w:p>
        </w:tc>
        <w:tc>
          <w:tcPr>
            <w:tcW w:w="1659" w:type="dxa"/>
          </w:tcPr>
          <w:p w14:paraId="2BFFB6C2" w14:textId="2D11EB4D" w:rsidR="004462A0" w:rsidRPr="008912CF" w:rsidRDefault="00615769">
            <w:pPr>
              <w:rPr>
                <w:del w:id="9314" w:author="AbbVie2" w:date="2025-05-13T16:39:00Z"/>
                <w:b/>
                <w:bCs/>
                <w:sz w:val="22"/>
                <w:szCs w:val="22"/>
              </w:rPr>
              <w:pPrChange w:id="9315" w:author="AbbVie2" w:date="2025-05-13T16:40:00Z">
                <w:pPr>
                  <w:pStyle w:val="TableText"/>
                  <w:spacing w:line="240" w:lineRule="auto"/>
                  <w:jc w:val="center"/>
                </w:pPr>
              </w:pPrChange>
            </w:pPr>
            <w:del w:id="9316" w:author="AbbVie2" w:date="2025-05-13T16:39:00Z">
              <w:r w:rsidRPr="008912CF">
                <w:rPr>
                  <w:b/>
                  <w:bCs/>
                  <w:sz w:val="22"/>
                  <w:szCs w:val="22"/>
                </w:rPr>
                <w:delText>N =170</w:delText>
              </w:r>
            </w:del>
          </w:p>
        </w:tc>
        <w:tc>
          <w:tcPr>
            <w:tcW w:w="2020" w:type="dxa"/>
          </w:tcPr>
          <w:p w14:paraId="0C12F8A3" w14:textId="7F4E30A7" w:rsidR="004462A0" w:rsidRPr="008912CF" w:rsidRDefault="00615769">
            <w:pPr>
              <w:rPr>
                <w:del w:id="9317" w:author="AbbVie2" w:date="2025-05-13T16:39:00Z"/>
                <w:b/>
                <w:bCs/>
                <w:sz w:val="22"/>
                <w:szCs w:val="22"/>
              </w:rPr>
              <w:pPrChange w:id="9318" w:author="AbbVie2" w:date="2025-05-13T16:40:00Z">
                <w:pPr>
                  <w:pStyle w:val="TableText"/>
                  <w:spacing w:line="240" w:lineRule="auto"/>
                  <w:jc w:val="center"/>
                </w:pPr>
              </w:pPrChange>
            </w:pPr>
            <w:del w:id="9319" w:author="AbbVie2" w:date="2025-05-13T16:39:00Z">
              <w:r w:rsidRPr="008912CF">
                <w:rPr>
                  <w:b/>
                  <w:bCs/>
                  <w:sz w:val="22"/>
                  <w:szCs w:val="22"/>
                </w:rPr>
                <w:delText>N =172</w:delText>
              </w:r>
            </w:del>
          </w:p>
        </w:tc>
        <w:tc>
          <w:tcPr>
            <w:tcW w:w="1859" w:type="dxa"/>
          </w:tcPr>
          <w:p w14:paraId="4ED9359E" w14:textId="18E46FB6" w:rsidR="004462A0" w:rsidRPr="008912CF" w:rsidRDefault="00615769">
            <w:pPr>
              <w:rPr>
                <w:del w:id="9320" w:author="AbbVie2" w:date="2025-05-13T16:39:00Z"/>
                <w:b/>
                <w:bCs/>
                <w:sz w:val="22"/>
                <w:szCs w:val="22"/>
              </w:rPr>
              <w:pPrChange w:id="9321" w:author="AbbVie2" w:date="2025-05-13T16:40:00Z">
                <w:pPr>
                  <w:pStyle w:val="TableText"/>
                  <w:spacing w:line="240" w:lineRule="auto"/>
                  <w:jc w:val="center"/>
                </w:pPr>
              </w:pPrChange>
            </w:pPr>
            <w:del w:id="9322" w:author="AbbVie2" w:date="2025-05-13T16:39:00Z">
              <w:r w:rsidRPr="008912CF">
                <w:rPr>
                  <w:b/>
                  <w:bCs/>
                  <w:sz w:val="22"/>
                  <w:szCs w:val="22"/>
                </w:rPr>
                <w:delText>N =157</w:delText>
              </w:r>
            </w:del>
          </w:p>
        </w:tc>
      </w:tr>
      <w:tr w:rsidR="00A7162A" w14:paraId="26BB9B33" w14:textId="5BF231DF" w:rsidTr="00F675CF">
        <w:trPr>
          <w:del w:id="9323" w:author="AbbVie2" w:date="2025-05-13T16:39:00Z"/>
        </w:trPr>
        <w:tc>
          <w:tcPr>
            <w:tcW w:w="3749" w:type="dxa"/>
          </w:tcPr>
          <w:p w14:paraId="3504C755" w14:textId="70F08412" w:rsidR="004462A0" w:rsidRPr="008912CF" w:rsidRDefault="00615769">
            <w:pPr>
              <w:rPr>
                <w:del w:id="9324" w:author="AbbVie2" w:date="2025-05-13T16:39:00Z"/>
                <w:sz w:val="22"/>
                <w:szCs w:val="22"/>
              </w:rPr>
              <w:pPrChange w:id="9325" w:author="AbbVie2" w:date="2025-05-13T16:40:00Z">
                <w:pPr>
                  <w:pStyle w:val="TableText"/>
                  <w:spacing w:line="240" w:lineRule="auto"/>
                </w:pPr>
              </w:pPrChange>
            </w:pPr>
            <w:del w:id="9326" w:author="AbbVie2" w:date="2025-05-13T16:39:00Z">
              <w:r w:rsidRPr="008912CF">
                <w:rPr>
                  <w:sz w:val="22"/>
                  <w:szCs w:val="22"/>
                </w:rPr>
                <w:delText>Remissão clínica</w:delText>
              </w:r>
            </w:del>
          </w:p>
        </w:tc>
        <w:tc>
          <w:tcPr>
            <w:tcW w:w="1659" w:type="dxa"/>
          </w:tcPr>
          <w:p w14:paraId="135FC6BF" w14:textId="7C1C3538" w:rsidR="004462A0" w:rsidRPr="008912CF" w:rsidRDefault="00615769">
            <w:pPr>
              <w:rPr>
                <w:del w:id="9327" w:author="AbbVie2" w:date="2025-05-13T16:39:00Z"/>
                <w:sz w:val="22"/>
                <w:szCs w:val="22"/>
              </w:rPr>
              <w:pPrChange w:id="9328" w:author="AbbVie2" w:date="2025-05-13T16:40:00Z">
                <w:pPr>
                  <w:pStyle w:val="TableText"/>
                  <w:spacing w:line="240" w:lineRule="auto"/>
                  <w:jc w:val="center"/>
                </w:pPr>
              </w:pPrChange>
            </w:pPr>
            <w:del w:id="9329" w:author="AbbVie2" w:date="2025-05-13T16:39:00Z">
              <w:r w:rsidRPr="008912CF">
                <w:rPr>
                  <w:sz w:val="22"/>
                  <w:szCs w:val="22"/>
                </w:rPr>
                <w:delText>12%</w:delText>
              </w:r>
            </w:del>
          </w:p>
        </w:tc>
        <w:tc>
          <w:tcPr>
            <w:tcW w:w="2020" w:type="dxa"/>
          </w:tcPr>
          <w:p w14:paraId="5C585012" w14:textId="6DE36ABE" w:rsidR="004462A0" w:rsidRPr="008912CF" w:rsidRDefault="00615769">
            <w:pPr>
              <w:rPr>
                <w:del w:id="9330" w:author="AbbVie2" w:date="2025-05-13T16:39:00Z"/>
                <w:sz w:val="22"/>
                <w:szCs w:val="22"/>
              </w:rPr>
              <w:pPrChange w:id="9331" w:author="AbbVie2" w:date="2025-05-13T16:40:00Z">
                <w:pPr>
                  <w:pStyle w:val="TableText"/>
                  <w:spacing w:line="240" w:lineRule="auto"/>
                  <w:jc w:val="center"/>
                </w:pPr>
              </w:pPrChange>
            </w:pPr>
            <w:del w:id="9332" w:author="AbbVie2" w:date="2025-05-13T16:39:00Z">
              <w:r w:rsidRPr="008912CF">
                <w:rPr>
                  <w:sz w:val="22"/>
                  <w:szCs w:val="22"/>
                </w:rPr>
                <w:delText>36%*</w:delText>
              </w:r>
            </w:del>
          </w:p>
        </w:tc>
        <w:tc>
          <w:tcPr>
            <w:tcW w:w="1859" w:type="dxa"/>
          </w:tcPr>
          <w:p w14:paraId="4304B5B4" w14:textId="5F5506C9" w:rsidR="004462A0" w:rsidRPr="008912CF" w:rsidRDefault="00615769">
            <w:pPr>
              <w:rPr>
                <w:del w:id="9333" w:author="AbbVie2" w:date="2025-05-13T16:39:00Z"/>
                <w:sz w:val="22"/>
                <w:szCs w:val="22"/>
              </w:rPr>
              <w:pPrChange w:id="9334" w:author="AbbVie2" w:date="2025-05-13T16:40:00Z">
                <w:pPr>
                  <w:pStyle w:val="TableText"/>
                  <w:spacing w:line="240" w:lineRule="auto"/>
                  <w:jc w:val="center"/>
                </w:pPr>
              </w:pPrChange>
            </w:pPr>
            <w:del w:id="9335" w:author="AbbVie2" w:date="2025-05-13T16:39:00Z">
              <w:r w:rsidRPr="008912CF">
                <w:rPr>
                  <w:sz w:val="22"/>
                  <w:szCs w:val="22"/>
                </w:rPr>
                <w:delText>41%*</w:delText>
              </w:r>
            </w:del>
          </w:p>
        </w:tc>
      </w:tr>
      <w:tr w:rsidR="00A7162A" w14:paraId="021FD1EE" w14:textId="3E1857FC" w:rsidTr="00F675CF">
        <w:trPr>
          <w:del w:id="9336" w:author="AbbVie2" w:date="2025-05-13T16:39:00Z"/>
        </w:trPr>
        <w:tc>
          <w:tcPr>
            <w:tcW w:w="3749" w:type="dxa"/>
          </w:tcPr>
          <w:p w14:paraId="063DC115" w14:textId="6A384989" w:rsidR="004462A0" w:rsidRPr="008912CF" w:rsidRDefault="00615769">
            <w:pPr>
              <w:rPr>
                <w:del w:id="9337" w:author="AbbVie2" w:date="2025-05-13T16:39:00Z"/>
                <w:sz w:val="22"/>
                <w:szCs w:val="22"/>
              </w:rPr>
              <w:pPrChange w:id="9338" w:author="AbbVie2" w:date="2025-05-13T16:40:00Z">
                <w:pPr>
                  <w:pStyle w:val="TableText"/>
                  <w:spacing w:line="240" w:lineRule="auto"/>
                </w:pPr>
              </w:pPrChange>
            </w:pPr>
            <w:del w:id="9339" w:author="AbbVie2" w:date="2025-05-13T16:39:00Z">
              <w:r w:rsidRPr="008912CF">
                <w:rPr>
                  <w:sz w:val="22"/>
                  <w:szCs w:val="22"/>
                </w:rPr>
                <w:delText>Resposta clínica (CR-100)</w:delText>
              </w:r>
            </w:del>
          </w:p>
        </w:tc>
        <w:tc>
          <w:tcPr>
            <w:tcW w:w="1659" w:type="dxa"/>
          </w:tcPr>
          <w:p w14:paraId="0A24F609" w14:textId="5684378C" w:rsidR="004462A0" w:rsidRPr="008912CF" w:rsidRDefault="00615769">
            <w:pPr>
              <w:rPr>
                <w:del w:id="9340" w:author="AbbVie2" w:date="2025-05-13T16:39:00Z"/>
                <w:sz w:val="22"/>
                <w:szCs w:val="22"/>
              </w:rPr>
              <w:pPrChange w:id="9341" w:author="AbbVie2" w:date="2025-05-13T16:40:00Z">
                <w:pPr>
                  <w:pStyle w:val="TableText"/>
                  <w:spacing w:line="240" w:lineRule="auto"/>
                  <w:jc w:val="center"/>
                </w:pPr>
              </w:pPrChange>
            </w:pPr>
            <w:del w:id="9342" w:author="AbbVie2" w:date="2025-05-13T16:39:00Z">
              <w:r w:rsidRPr="008912CF">
                <w:rPr>
                  <w:sz w:val="22"/>
                  <w:szCs w:val="22"/>
                </w:rPr>
                <w:delText>17%</w:delText>
              </w:r>
            </w:del>
          </w:p>
        </w:tc>
        <w:tc>
          <w:tcPr>
            <w:tcW w:w="2020" w:type="dxa"/>
          </w:tcPr>
          <w:p w14:paraId="46FF5B9C" w14:textId="1341EA70" w:rsidR="004462A0" w:rsidRPr="008912CF" w:rsidRDefault="00615769">
            <w:pPr>
              <w:rPr>
                <w:del w:id="9343" w:author="AbbVie2" w:date="2025-05-13T16:39:00Z"/>
                <w:sz w:val="22"/>
                <w:szCs w:val="22"/>
              </w:rPr>
              <w:pPrChange w:id="9344" w:author="AbbVie2" w:date="2025-05-13T16:40:00Z">
                <w:pPr>
                  <w:pStyle w:val="TableText"/>
                  <w:spacing w:line="240" w:lineRule="auto"/>
                  <w:jc w:val="center"/>
                </w:pPr>
              </w:pPrChange>
            </w:pPr>
            <w:del w:id="9345" w:author="AbbVie2" w:date="2025-05-13T16:39:00Z">
              <w:r w:rsidRPr="008912CF">
                <w:rPr>
                  <w:sz w:val="22"/>
                  <w:szCs w:val="22"/>
                </w:rPr>
                <w:delText>41%*</w:delText>
              </w:r>
            </w:del>
          </w:p>
        </w:tc>
        <w:tc>
          <w:tcPr>
            <w:tcW w:w="1859" w:type="dxa"/>
          </w:tcPr>
          <w:p w14:paraId="4D6A4D2F" w14:textId="35F2C911" w:rsidR="004462A0" w:rsidRPr="008912CF" w:rsidRDefault="00615769">
            <w:pPr>
              <w:rPr>
                <w:del w:id="9346" w:author="AbbVie2" w:date="2025-05-13T16:39:00Z"/>
                <w:sz w:val="22"/>
                <w:szCs w:val="22"/>
              </w:rPr>
              <w:pPrChange w:id="9347" w:author="AbbVie2" w:date="2025-05-13T16:40:00Z">
                <w:pPr>
                  <w:pStyle w:val="TableText"/>
                  <w:spacing w:line="240" w:lineRule="auto"/>
                  <w:jc w:val="center"/>
                </w:pPr>
              </w:pPrChange>
            </w:pPr>
            <w:del w:id="9348" w:author="AbbVie2" w:date="2025-05-13T16:39:00Z">
              <w:r w:rsidRPr="008912CF">
                <w:rPr>
                  <w:sz w:val="22"/>
                  <w:szCs w:val="22"/>
                </w:rPr>
                <w:delText>48%*</w:delText>
              </w:r>
            </w:del>
          </w:p>
        </w:tc>
      </w:tr>
      <w:tr w:rsidR="00A7162A" w14:paraId="79676A0A" w14:textId="03A9ABEC" w:rsidTr="00F675CF">
        <w:trPr>
          <w:del w:id="9349" w:author="AbbVie2" w:date="2025-05-13T16:39:00Z"/>
        </w:trPr>
        <w:tc>
          <w:tcPr>
            <w:tcW w:w="3749" w:type="dxa"/>
          </w:tcPr>
          <w:p w14:paraId="19C54060" w14:textId="3ED6DF2D" w:rsidR="004462A0" w:rsidRPr="008912CF" w:rsidRDefault="00615769">
            <w:pPr>
              <w:rPr>
                <w:del w:id="9350" w:author="AbbVie2" w:date="2025-05-13T16:39:00Z"/>
                <w:sz w:val="22"/>
                <w:szCs w:val="22"/>
              </w:rPr>
              <w:pPrChange w:id="9351" w:author="AbbVie2" w:date="2025-05-13T16:40:00Z">
                <w:pPr>
                  <w:pStyle w:val="TableText"/>
                  <w:spacing w:line="240" w:lineRule="auto"/>
                  <w:ind w:left="360"/>
                </w:pPr>
              </w:pPrChange>
            </w:pPr>
            <w:del w:id="9352" w:author="AbbVie2" w:date="2025-05-13T16:39:00Z">
              <w:r w:rsidRPr="008912CF">
                <w:rPr>
                  <w:sz w:val="22"/>
                  <w:szCs w:val="22"/>
                </w:rPr>
                <w:delText>Doentes em remissão sem tratamento com esteroides em &gt;=90 dias</w:delText>
              </w:r>
              <w:r w:rsidRPr="008912CF">
                <w:rPr>
                  <w:sz w:val="22"/>
                  <w:szCs w:val="22"/>
                  <w:vertAlign w:val="superscript"/>
                </w:rPr>
                <w:delText>a</w:delText>
              </w:r>
            </w:del>
          </w:p>
        </w:tc>
        <w:tc>
          <w:tcPr>
            <w:tcW w:w="1659" w:type="dxa"/>
          </w:tcPr>
          <w:p w14:paraId="3F435D19" w14:textId="33CF9579" w:rsidR="004462A0" w:rsidRPr="008912CF" w:rsidRDefault="00615769">
            <w:pPr>
              <w:rPr>
                <w:del w:id="9353" w:author="AbbVie2" w:date="2025-05-13T16:39:00Z"/>
                <w:sz w:val="22"/>
                <w:szCs w:val="22"/>
              </w:rPr>
              <w:pPrChange w:id="9354" w:author="AbbVie2" w:date="2025-05-13T16:40:00Z">
                <w:pPr>
                  <w:pStyle w:val="TableText"/>
                  <w:spacing w:line="240" w:lineRule="auto"/>
                  <w:jc w:val="center"/>
                </w:pPr>
              </w:pPrChange>
            </w:pPr>
            <w:del w:id="9355" w:author="AbbVie2" w:date="2025-05-13T16:39:00Z">
              <w:r w:rsidRPr="008912CF">
                <w:rPr>
                  <w:sz w:val="22"/>
                  <w:szCs w:val="22"/>
                </w:rPr>
                <w:delText>5% (3/66)</w:delText>
              </w:r>
            </w:del>
          </w:p>
        </w:tc>
        <w:tc>
          <w:tcPr>
            <w:tcW w:w="2020" w:type="dxa"/>
          </w:tcPr>
          <w:p w14:paraId="165757BC" w14:textId="27699E44" w:rsidR="004462A0" w:rsidRPr="008912CF" w:rsidRDefault="00615769">
            <w:pPr>
              <w:rPr>
                <w:del w:id="9356" w:author="AbbVie2" w:date="2025-05-13T16:39:00Z"/>
                <w:sz w:val="22"/>
                <w:szCs w:val="22"/>
              </w:rPr>
              <w:pPrChange w:id="9357" w:author="AbbVie2" w:date="2025-05-13T16:40:00Z">
                <w:pPr>
                  <w:pStyle w:val="TableText"/>
                  <w:spacing w:line="240" w:lineRule="auto"/>
                  <w:jc w:val="center"/>
                </w:pPr>
              </w:pPrChange>
            </w:pPr>
            <w:del w:id="9358" w:author="AbbVie2" w:date="2025-05-13T16:39:00Z">
              <w:r w:rsidRPr="008912CF">
                <w:rPr>
                  <w:sz w:val="22"/>
                  <w:szCs w:val="22"/>
                </w:rPr>
                <w:delText>29% (17/58)*</w:delText>
              </w:r>
            </w:del>
          </w:p>
        </w:tc>
        <w:tc>
          <w:tcPr>
            <w:tcW w:w="1859" w:type="dxa"/>
          </w:tcPr>
          <w:p w14:paraId="2FCD7DFF" w14:textId="2BAC14E0" w:rsidR="004462A0" w:rsidRPr="008912CF" w:rsidRDefault="00615769">
            <w:pPr>
              <w:rPr>
                <w:del w:id="9359" w:author="AbbVie2" w:date="2025-05-13T16:39:00Z"/>
                <w:sz w:val="22"/>
                <w:szCs w:val="22"/>
              </w:rPr>
              <w:pPrChange w:id="9360" w:author="AbbVie2" w:date="2025-05-13T16:40:00Z">
                <w:pPr>
                  <w:pStyle w:val="TableText"/>
                  <w:spacing w:line="240" w:lineRule="auto"/>
                  <w:jc w:val="center"/>
                </w:pPr>
              </w:pPrChange>
            </w:pPr>
            <w:del w:id="9361" w:author="AbbVie2" w:date="2025-05-13T16:39:00Z">
              <w:r w:rsidRPr="008912CF">
                <w:rPr>
                  <w:sz w:val="22"/>
                  <w:szCs w:val="22"/>
                </w:rPr>
                <w:delText>20% (15/74)**</w:delText>
              </w:r>
            </w:del>
          </w:p>
        </w:tc>
      </w:tr>
      <w:tr w:rsidR="00A7162A" w14:paraId="66814349" w14:textId="5CCD15BF" w:rsidTr="00F675CF">
        <w:trPr>
          <w:cantSplit/>
          <w:del w:id="9362" w:author="AbbVie2" w:date="2025-05-13T16:39:00Z"/>
        </w:trPr>
        <w:tc>
          <w:tcPr>
            <w:tcW w:w="9287" w:type="dxa"/>
            <w:gridSpan w:val="4"/>
            <w:tcBorders>
              <w:left w:val="nil"/>
              <w:right w:val="nil"/>
            </w:tcBorders>
          </w:tcPr>
          <w:p w14:paraId="0F5BE9A3" w14:textId="6A16775D" w:rsidR="004462A0" w:rsidRPr="008912CF" w:rsidRDefault="00615769">
            <w:pPr>
              <w:rPr>
                <w:del w:id="9363" w:author="AbbVie2" w:date="2025-05-13T16:39:00Z"/>
                <w:sz w:val="22"/>
                <w:szCs w:val="22"/>
              </w:rPr>
              <w:pPrChange w:id="9364" w:author="AbbVie2" w:date="2025-05-13T16:40:00Z">
                <w:pPr>
                  <w:pStyle w:val="TableText"/>
                  <w:spacing w:line="240" w:lineRule="auto"/>
                </w:pPr>
              </w:pPrChange>
            </w:pPr>
            <w:del w:id="9365" w:author="AbbVie2" w:date="2025-05-13T16:39:00Z">
              <w:r w:rsidRPr="008912CF">
                <w:rPr>
                  <w:sz w:val="22"/>
                  <w:szCs w:val="22"/>
                </w:rPr>
                <w:delText>*</w:delText>
              </w:r>
              <w:r w:rsidRPr="008912CF">
                <w:rPr>
                  <w:sz w:val="22"/>
                  <w:szCs w:val="22"/>
                </w:rPr>
                <w:tab/>
                <w:delText xml:space="preserve">p &lt; 0,001 para Humira </w:delText>
              </w:r>
              <w:r w:rsidRPr="008912CF">
                <w:rPr>
                  <w:i/>
                  <w:iCs/>
                  <w:sz w:val="22"/>
                  <w:szCs w:val="22"/>
                </w:rPr>
                <w:delText>versus</w:delText>
              </w:r>
              <w:r w:rsidRPr="008912CF">
                <w:rPr>
                  <w:sz w:val="22"/>
                  <w:szCs w:val="22"/>
                </w:rPr>
                <w:delText xml:space="preserve"> placebo em proporções comparativas emparelhadas</w:delText>
              </w:r>
            </w:del>
          </w:p>
          <w:p w14:paraId="541ECA2F" w14:textId="4AC2BEC8" w:rsidR="004462A0" w:rsidRPr="008912CF" w:rsidRDefault="00615769">
            <w:pPr>
              <w:rPr>
                <w:del w:id="9366" w:author="AbbVie2" w:date="2025-05-13T16:39:00Z"/>
                <w:sz w:val="22"/>
                <w:szCs w:val="22"/>
              </w:rPr>
              <w:pPrChange w:id="9367" w:author="AbbVie2" w:date="2025-05-13T16:40:00Z">
                <w:pPr>
                  <w:pStyle w:val="TableText"/>
                  <w:spacing w:line="240" w:lineRule="auto"/>
                </w:pPr>
              </w:pPrChange>
            </w:pPr>
            <w:del w:id="9368" w:author="AbbVie2" w:date="2025-05-13T16:39:00Z">
              <w:r w:rsidRPr="008912CF">
                <w:rPr>
                  <w:sz w:val="22"/>
                  <w:szCs w:val="22"/>
                </w:rPr>
                <w:delText>**</w:delText>
              </w:r>
              <w:r w:rsidRPr="008912CF">
                <w:rPr>
                  <w:sz w:val="22"/>
                  <w:szCs w:val="22"/>
                </w:rPr>
                <w:tab/>
                <w:delText xml:space="preserve">p &lt; 0,02 para Humira </w:delText>
              </w:r>
              <w:r w:rsidRPr="008912CF">
                <w:rPr>
                  <w:i/>
                  <w:iCs/>
                  <w:sz w:val="22"/>
                  <w:szCs w:val="22"/>
                </w:rPr>
                <w:delText>versus</w:delText>
              </w:r>
              <w:r w:rsidRPr="008912CF">
                <w:rPr>
                  <w:sz w:val="22"/>
                  <w:szCs w:val="22"/>
                </w:rPr>
                <w:delText xml:space="preserve"> placebo em proporções comparativas emparelhadas</w:delText>
              </w:r>
            </w:del>
          </w:p>
          <w:p w14:paraId="3C3F6137" w14:textId="52D8A8B5" w:rsidR="004462A0" w:rsidRPr="008912CF" w:rsidRDefault="00615769">
            <w:pPr>
              <w:rPr>
                <w:del w:id="9369" w:author="AbbVie2" w:date="2025-05-13T16:39:00Z"/>
                <w:sz w:val="22"/>
                <w:szCs w:val="22"/>
              </w:rPr>
              <w:pPrChange w:id="9370" w:author="AbbVie2" w:date="2025-05-13T16:40:00Z">
                <w:pPr>
                  <w:pStyle w:val="TableText"/>
                  <w:spacing w:line="240" w:lineRule="auto"/>
                </w:pPr>
              </w:pPrChange>
            </w:pPr>
            <w:del w:id="9371" w:author="AbbVie2" w:date="2025-05-13T16:39:00Z">
              <w:r w:rsidRPr="008912CF">
                <w:rPr>
                  <w:sz w:val="22"/>
                  <w:szCs w:val="22"/>
                  <w:vertAlign w:val="superscript"/>
                </w:rPr>
                <w:delText>a</w:delText>
              </w:r>
              <w:r w:rsidRPr="008912CF">
                <w:rPr>
                  <w:sz w:val="22"/>
                  <w:szCs w:val="22"/>
                  <w:vertAlign w:val="superscript"/>
                </w:rPr>
                <w:tab/>
              </w:r>
              <w:r w:rsidRPr="008912CF">
                <w:rPr>
                  <w:sz w:val="22"/>
                  <w:szCs w:val="22"/>
                </w:rPr>
                <w:delText>Dos que receberam corticosteroides no início do estudo</w:delText>
              </w:r>
            </w:del>
          </w:p>
        </w:tc>
      </w:tr>
    </w:tbl>
    <w:p w14:paraId="07FF2C3A" w14:textId="42C8331A" w:rsidR="004462A0" w:rsidRPr="008912CF" w:rsidRDefault="004462A0">
      <w:pPr>
        <w:rPr>
          <w:del w:id="9372" w:author="AbbVie2" w:date="2025-05-13T16:39:00Z"/>
          <w:szCs w:val="22"/>
        </w:rPr>
        <w:pPrChange w:id="9373" w:author="AbbVie2" w:date="2025-05-13T16:40:00Z">
          <w:pPr>
            <w:pStyle w:val="EMEANormal"/>
          </w:pPr>
        </w:pPrChange>
      </w:pPr>
    </w:p>
    <w:p w14:paraId="63506557" w14:textId="30F05107" w:rsidR="004462A0" w:rsidRPr="008912CF" w:rsidRDefault="00615769">
      <w:pPr>
        <w:rPr>
          <w:del w:id="9374" w:author="AbbVie2" w:date="2025-05-13T16:39:00Z"/>
          <w:szCs w:val="22"/>
        </w:rPr>
        <w:pPrChange w:id="9375" w:author="AbbVie2" w:date="2025-05-13T16:40:00Z">
          <w:pPr>
            <w:pStyle w:val="EMEANormal"/>
          </w:pPr>
        </w:pPrChange>
      </w:pPr>
      <w:del w:id="9376" w:author="AbbVie2" w:date="2025-05-13T16:39:00Z">
        <w:r w:rsidRPr="008912CF">
          <w:rPr>
            <w:szCs w:val="22"/>
          </w:rPr>
          <w:delText>Entre os doentes que não responderam na Semana 4, 43</w:delText>
        </w:r>
        <w:r w:rsidR="009343EF">
          <w:rPr>
            <w:szCs w:val="22"/>
          </w:rPr>
          <w:delText>%</w:delText>
        </w:r>
        <w:r w:rsidRPr="008912CF">
          <w:rPr>
            <w:szCs w:val="22"/>
          </w:rPr>
          <w:delText xml:space="preserve"> dos doentes em manutenção com Humira responderam na Semana 12 comparativamente com 30</w:delText>
        </w:r>
        <w:r w:rsidR="009343EF">
          <w:rPr>
            <w:szCs w:val="22"/>
          </w:rPr>
          <w:delText>%</w:delText>
        </w:r>
        <w:r w:rsidRPr="008912CF">
          <w:rPr>
            <w:szCs w:val="22"/>
          </w:rPr>
          <w:delText xml:space="preserve"> d</w:delText>
        </w:r>
        <w:r w:rsidR="00FD14A1">
          <w:rPr>
            <w:szCs w:val="22"/>
          </w:rPr>
          <w:delText>os</w:delText>
        </w:r>
        <w:r w:rsidRPr="008912CF">
          <w:rPr>
            <w:szCs w:val="22"/>
          </w:rPr>
          <w:delText xml:space="preserve"> doentes em manutenção com placebo. Estes resultados sugerem que alguns doentes que não responderam na Semana 4 beneficiam de uma terapêutica de manutenção continuada </w:delText>
        </w:r>
        <w:r w:rsidR="002B24DC">
          <w:rPr>
            <w:szCs w:val="22"/>
          </w:rPr>
          <w:delText>até à</w:delText>
        </w:r>
        <w:r w:rsidRPr="008912CF">
          <w:rPr>
            <w:szCs w:val="22"/>
          </w:rPr>
          <w:delText xml:space="preserve"> Semana 12. A terapêutica combinada para além das 12 </w:delText>
        </w:r>
        <w:r w:rsidR="00FD14A1">
          <w:rPr>
            <w:szCs w:val="22"/>
          </w:rPr>
          <w:delText>s</w:delText>
        </w:r>
        <w:r w:rsidRPr="008912CF">
          <w:rPr>
            <w:szCs w:val="22"/>
          </w:rPr>
          <w:delText>emanas não resultou em significativamente mais respostas (ver secção 4.2).</w:delText>
        </w:r>
      </w:del>
    </w:p>
    <w:p w14:paraId="1E4CA442" w14:textId="0E61484C" w:rsidR="004462A0" w:rsidRPr="008912CF" w:rsidRDefault="004462A0">
      <w:pPr>
        <w:rPr>
          <w:del w:id="9377" w:author="AbbVie2" w:date="2025-05-13T16:39:00Z"/>
          <w:szCs w:val="22"/>
        </w:rPr>
        <w:pPrChange w:id="9378" w:author="AbbVie2" w:date="2025-05-13T16:40:00Z">
          <w:pPr>
            <w:pStyle w:val="EMEANormal"/>
          </w:pPr>
        </w:pPrChange>
      </w:pPr>
    </w:p>
    <w:p w14:paraId="7D462FCB" w14:textId="5A372700" w:rsidR="004462A0" w:rsidRPr="008912CF" w:rsidRDefault="00615769">
      <w:pPr>
        <w:rPr>
          <w:del w:id="9379" w:author="AbbVie2" w:date="2025-05-13T16:39:00Z"/>
          <w:sz w:val="22"/>
          <w:szCs w:val="22"/>
        </w:rPr>
        <w:pPrChange w:id="9380" w:author="AbbVie2" w:date="2025-05-13T16:40:00Z">
          <w:pPr>
            <w:jc w:val="both"/>
          </w:pPr>
        </w:pPrChange>
      </w:pPr>
      <w:del w:id="9381" w:author="AbbVie2" w:date="2025-05-13T16:39:00Z">
        <w:r w:rsidRPr="008912CF">
          <w:rPr>
            <w:sz w:val="22"/>
            <w:szCs w:val="22"/>
          </w:rPr>
          <w:delText>117/276 doentes do Estudo DC I e 272/777 doentes dos Estudos DC II e III, medicados com adalimumab, foram seguidos pelo menos durante 3 anos em estudo aberto. 88 e 189 doentes, respetivamente, continuaram em remissão clínica. A resposta clínica (CR-100) foi mantida em 102 e 233 doentes, respetivamente.</w:delText>
        </w:r>
      </w:del>
    </w:p>
    <w:p w14:paraId="08A48B51" w14:textId="10E00E82" w:rsidR="004462A0" w:rsidRPr="008912CF" w:rsidRDefault="004462A0">
      <w:pPr>
        <w:rPr>
          <w:del w:id="9382" w:author="AbbVie2" w:date="2025-05-13T16:39:00Z"/>
          <w:sz w:val="22"/>
          <w:szCs w:val="22"/>
        </w:rPr>
        <w:pPrChange w:id="9383" w:author="AbbVie2" w:date="2025-05-13T16:40:00Z">
          <w:pPr>
            <w:jc w:val="both"/>
          </w:pPr>
        </w:pPrChange>
      </w:pPr>
    </w:p>
    <w:p w14:paraId="2B814C9D" w14:textId="5A2F7094" w:rsidR="004462A0" w:rsidRPr="008912CF" w:rsidRDefault="00615769">
      <w:pPr>
        <w:rPr>
          <w:del w:id="9384" w:author="AbbVie2" w:date="2025-05-13T16:39:00Z"/>
          <w:sz w:val="22"/>
          <w:szCs w:val="22"/>
          <w:u w:val="single"/>
        </w:rPr>
        <w:pPrChange w:id="9385" w:author="AbbVie2" w:date="2025-05-13T16:40:00Z">
          <w:pPr>
            <w:jc w:val="both"/>
          </w:pPr>
        </w:pPrChange>
      </w:pPr>
      <w:del w:id="9386" w:author="AbbVie2" w:date="2025-05-13T16:39:00Z">
        <w:r w:rsidRPr="008912CF">
          <w:rPr>
            <w:i/>
            <w:sz w:val="22"/>
            <w:szCs w:val="22"/>
            <w:u w:val="single"/>
          </w:rPr>
          <w:delText>Qualidade de vida</w:delText>
        </w:r>
      </w:del>
    </w:p>
    <w:p w14:paraId="1A64E0A1" w14:textId="68FEB61B" w:rsidR="004462A0" w:rsidRPr="008912CF" w:rsidRDefault="004462A0" w:rsidP="00412FC8">
      <w:pPr>
        <w:rPr>
          <w:del w:id="9387" w:author="AbbVie2" w:date="2025-05-13T16:39:00Z"/>
          <w:sz w:val="22"/>
          <w:szCs w:val="22"/>
        </w:rPr>
      </w:pPr>
    </w:p>
    <w:p w14:paraId="2B0A3FCE" w14:textId="2BC8E34B" w:rsidR="004462A0" w:rsidRPr="008912CF" w:rsidRDefault="00615769" w:rsidP="00412FC8">
      <w:pPr>
        <w:rPr>
          <w:del w:id="9388" w:author="AbbVie2" w:date="2025-05-13T16:39:00Z"/>
          <w:sz w:val="22"/>
          <w:szCs w:val="22"/>
        </w:rPr>
      </w:pPr>
      <w:del w:id="9389" w:author="AbbVie2" w:date="2025-05-13T16:39:00Z">
        <w:r w:rsidRPr="008912CF">
          <w:rPr>
            <w:sz w:val="22"/>
            <w:szCs w:val="22"/>
          </w:rPr>
          <w:delText>No Estudo DC I e no Estudo DC II observou-se uma melhoria estatisticamente significativa na escala total do questionário da doença inflamatória intestinal específic</w:delText>
        </w:r>
        <w:r w:rsidR="0053002F">
          <w:rPr>
            <w:sz w:val="22"/>
            <w:szCs w:val="22"/>
          </w:rPr>
          <w:delText>o</w:delText>
        </w:r>
        <w:r w:rsidRPr="008912CF">
          <w:rPr>
            <w:sz w:val="22"/>
            <w:szCs w:val="22"/>
          </w:rPr>
          <w:delText xml:space="preserve"> da doença (IBDQ) na Semana 4 em doentes </w:delText>
        </w:r>
        <w:r w:rsidR="0013275C">
          <w:rPr>
            <w:sz w:val="22"/>
            <w:szCs w:val="22"/>
          </w:rPr>
          <w:delText>aleatorizado</w:delText>
        </w:r>
        <w:r w:rsidRPr="008912CF">
          <w:rPr>
            <w:sz w:val="22"/>
            <w:szCs w:val="22"/>
          </w:rPr>
          <w:delText>s para Humira 80/40 mg e 160/80 mg comparativamente com placebo e foi também observado nas Semanas 26 e 56 no Estudo DC III entre os grupos de tratamento com adalimumab comparativamente com o grupo placebo.</w:delText>
        </w:r>
      </w:del>
    </w:p>
    <w:p w14:paraId="433E87F8" w14:textId="54C48FA8" w:rsidR="004462A0" w:rsidRPr="008912CF" w:rsidRDefault="004462A0" w:rsidP="00412FC8">
      <w:pPr>
        <w:rPr>
          <w:del w:id="9390" w:author="AbbVie2" w:date="2025-05-13T16:39:00Z"/>
          <w:b/>
          <w:bCs/>
          <w:sz w:val="22"/>
          <w:szCs w:val="22"/>
        </w:rPr>
      </w:pPr>
    </w:p>
    <w:p w14:paraId="50F30F88" w14:textId="7D3F09D9" w:rsidR="004462A0" w:rsidRPr="008912CF" w:rsidRDefault="00615769" w:rsidP="00412FC8">
      <w:pPr>
        <w:rPr>
          <w:del w:id="9391" w:author="AbbVie2" w:date="2025-05-13T16:39:00Z"/>
          <w:sz w:val="22"/>
          <w:szCs w:val="22"/>
          <w:u w:val="single"/>
        </w:rPr>
      </w:pPr>
      <w:del w:id="9392" w:author="AbbVie2" w:date="2025-05-13T16:39:00Z">
        <w:r w:rsidRPr="008912CF">
          <w:rPr>
            <w:i/>
            <w:sz w:val="22"/>
            <w:szCs w:val="22"/>
          </w:rPr>
          <w:delText>Colite ulcerosa</w:delText>
        </w:r>
      </w:del>
    </w:p>
    <w:p w14:paraId="17A7B777" w14:textId="7669C649" w:rsidR="004462A0" w:rsidRPr="008912CF" w:rsidRDefault="004462A0" w:rsidP="00412FC8">
      <w:pPr>
        <w:rPr>
          <w:del w:id="9393" w:author="AbbVie2" w:date="2025-05-13T16:39:00Z"/>
          <w:sz w:val="22"/>
          <w:szCs w:val="22"/>
        </w:rPr>
      </w:pPr>
    </w:p>
    <w:p w14:paraId="183608A7" w14:textId="20C488B1" w:rsidR="004462A0" w:rsidRPr="008912CF" w:rsidRDefault="00615769">
      <w:pPr>
        <w:rPr>
          <w:del w:id="9394" w:author="AbbVie2" w:date="2025-05-13T16:39:00Z"/>
          <w:sz w:val="22"/>
          <w:szCs w:val="22"/>
        </w:rPr>
        <w:pPrChange w:id="9395" w:author="AbbVie2" w:date="2025-05-13T16:40:00Z">
          <w:pPr>
            <w:autoSpaceDE w:val="0"/>
            <w:autoSpaceDN w:val="0"/>
            <w:adjustRightInd w:val="0"/>
          </w:pPr>
        </w:pPrChange>
      </w:pPr>
      <w:del w:id="9396" w:author="AbbVie2" w:date="2025-05-13T16:39:00Z">
        <w:r w:rsidRPr="008912CF">
          <w:rPr>
            <w:sz w:val="22"/>
            <w:szCs w:val="22"/>
          </w:rPr>
          <w:delText xml:space="preserve">A segurança e eficácia de doses múltiplas de Humira foram avaliadas em doentes adultos com colite ulcerosa ativa moderada a grave (pontuação Mayo de 6 a 12 com subpontuação endoscópica de 2 a 3) em estudos </w:delText>
        </w:r>
        <w:r w:rsidR="0013275C">
          <w:rPr>
            <w:sz w:val="22"/>
            <w:szCs w:val="22"/>
          </w:rPr>
          <w:delText>aleatorizado</w:delText>
        </w:r>
        <w:r w:rsidRPr="008912CF">
          <w:rPr>
            <w:sz w:val="22"/>
            <w:szCs w:val="22"/>
          </w:rPr>
          <w:delText>s, com dupla ocultação e controlados com placebo.</w:delText>
        </w:r>
      </w:del>
    </w:p>
    <w:p w14:paraId="6BF6BFE3" w14:textId="2EBCB196" w:rsidR="004462A0" w:rsidRPr="008912CF" w:rsidRDefault="004462A0" w:rsidP="00412FC8">
      <w:pPr>
        <w:rPr>
          <w:del w:id="9397" w:author="AbbVie2" w:date="2025-05-13T16:39:00Z"/>
          <w:sz w:val="22"/>
          <w:szCs w:val="22"/>
        </w:rPr>
      </w:pPr>
    </w:p>
    <w:p w14:paraId="742C63C5" w14:textId="7B92E7AB" w:rsidR="004462A0" w:rsidRPr="008912CF" w:rsidRDefault="00615769" w:rsidP="00412FC8">
      <w:pPr>
        <w:rPr>
          <w:del w:id="9398" w:author="AbbVie2" w:date="2025-05-13T16:39:00Z"/>
          <w:rFonts w:eastAsia="Arial Unicode MS"/>
          <w:sz w:val="22"/>
          <w:szCs w:val="22"/>
        </w:rPr>
      </w:pPr>
      <w:del w:id="9399" w:author="AbbVie2" w:date="2025-05-13T16:39:00Z">
        <w:r w:rsidRPr="008912CF">
          <w:rPr>
            <w:sz w:val="22"/>
            <w:szCs w:val="22"/>
          </w:rPr>
          <w:delText xml:space="preserve">No estudo UC-I, 390 doentes sem exposição prévia a antagonistas-TNF foram </w:delText>
        </w:r>
        <w:r w:rsidR="0013275C">
          <w:rPr>
            <w:sz w:val="22"/>
            <w:szCs w:val="22"/>
          </w:rPr>
          <w:delText>aleatorizado</w:delText>
        </w:r>
        <w:r w:rsidRPr="008912CF">
          <w:rPr>
            <w:sz w:val="22"/>
            <w:szCs w:val="22"/>
          </w:rPr>
          <w:delText>s para receberem ou tratamento com placebo nas Semanas 0 e 2, 160 mg de Humira na Semana 0, seguid</w:delText>
        </w:r>
        <w:r>
          <w:rPr>
            <w:sz w:val="22"/>
            <w:szCs w:val="22"/>
          </w:rPr>
          <w:delText>a</w:delText>
        </w:r>
        <w:r w:rsidRPr="008912CF">
          <w:rPr>
            <w:sz w:val="22"/>
            <w:szCs w:val="22"/>
          </w:rPr>
          <w:delText xml:space="preserve"> de 80 mg na Semana 2, ou 80 mg de Humira na Semana 0 seguid</w:delText>
        </w:r>
        <w:r>
          <w:rPr>
            <w:sz w:val="22"/>
            <w:szCs w:val="22"/>
          </w:rPr>
          <w:delText>a</w:delText>
        </w:r>
        <w:r w:rsidRPr="008912CF">
          <w:rPr>
            <w:sz w:val="22"/>
            <w:szCs w:val="22"/>
          </w:rPr>
          <w:delText xml:space="preserve"> de 40 mg na Semana 2. Ao fim de 2 Semanas, os doentes em ambos os braços de adalimumab receberam 40 mg em semanas alternadas. A remissão clínica (definida </w:delText>
        </w:r>
        <w:r w:rsidR="00384E8F">
          <w:rPr>
            <w:sz w:val="22"/>
            <w:szCs w:val="22"/>
          </w:rPr>
          <w:delText>por</w:delText>
        </w:r>
        <w:r w:rsidR="00384E8F" w:rsidRPr="008912CF">
          <w:rPr>
            <w:sz w:val="22"/>
            <w:szCs w:val="22"/>
          </w:rPr>
          <w:delText xml:space="preserve"> </w:delText>
        </w:r>
        <w:r w:rsidRPr="008912CF">
          <w:rPr>
            <w:sz w:val="22"/>
            <w:szCs w:val="22"/>
          </w:rPr>
          <w:delText xml:space="preserve">pontuação Mayo </w:delText>
        </w:r>
        <w:r w:rsidRPr="008912CF">
          <w:rPr>
            <w:rFonts w:eastAsia="Arial Unicode MS"/>
            <w:sz w:val="22"/>
            <w:szCs w:val="22"/>
          </w:rPr>
          <w:delText>≤ 2 sem subpontuação &gt; 1) foi avaliada na Semana 8.</w:delText>
        </w:r>
      </w:del>
    </w:p>
    <w:p w14:paraId="65FC6397" w14:textId="4DCE725F" w:rsidR="004462A0" w:rsidRPr="008912CF" w:rsidRDefault="004462A0" w:rsidP="00412FC8">
      <w:pPr>
        <w:rPr>
          <w:del w:id="9400" w:author="AbbVie2" w:date="2025-05-13T16:39:00Z"/>
          <w:rFonts w:eastAsia="Arial Unicode MS"/>
          <w:sz w:val="22"/>
          <w:szCs w:val="22"/>
        </w:rPr>
      </w:pPr>
    </w:p>
    <w:p w14:paraId="1E858EC5" w14:textId="0342ECFE" w:rsidR="004462A0" w:rsidRPr="008912CF" w:rsidRDefault="00615769" w:rsidP="00412FC8">
      <w:pPr>
        <w:rPr>
          <w:del w:id="9401" w:author="AbbVie2" w:date="2025-05-13T16:39:00Z"/>
          <w:rFonts w:eastAsia="Arial Unicode MS"/>
          <w:sz w:val="22"/>
          <w:szCs w:val="22"/>
        </w:rPr>
      </w:pPr>
      <w:del w:id="9402" w:author="AbbVie2" w:date="2025-05-13T16:39:00Z">
        <w:r w:rsidRPr="008912CF">
          <w:rPr>
            <w:rFonts w:eastAsia="Arial Unicode MS"/>
            <w:sz w:val="22"/>
            <w:szCs w:val="22"/>
          </w:rPr>
          <w:delText>No estudo UC-II, 248 doentes receberam 160 mg de Humira na Semana 0, 80 mg na Semana 2</w:delText>
        </w:r>
        <w:r w:rsidR="009E086D">
          <w:rPr>
            <w:rFonts w:eastAsia="Arial Unicode MS"/>
            <w:sz w:val="22"/>
            <w:szCs w:val="22"/>
          </w:rPr>
          <w:delText>, seguida de</w:delText>
        </w:r>
        <w:r w:rsidRPr="008912CF">
          <w:rPr>
            <w:rFonts w:eastAsia="Arial Unicode MS"/>
            <w:sz w:val="22"/>
            <w:szCs w:val="22"/>
          </w:rPr>
          <w:delText xml:space="preserve"> 40 mg em semanas alternadas, e 246 doentes receberam placebo. Os resultados clínicos foram avaliados por indução da remissão na Semana 8 e manutenção de remissão na Semana 52.</w:delText>
        </w:r>
      </w:del>
    </w:p>
    <w:p w14:paraId="04C2D929" w14:textId="398A8BBD" w:rsidR="004462A0" w:rsidRPr="008912CF" w:rsidRDefault="004462A0" w:rsidP="00412FC8">
      <w:pPr>
        <w:rPr>
          <w:del w:id="9403" w:author="AbbVie2" w:date="2025-05-13T16:39:00Z"/>
          <w:rFonts w:eastAsia="Arial Unicode MS"/>
          <w:sz w:val="22"/>
          <w:szCs w:val="22"/>
        </w:rPr>
      </w:pPr>
    </w:p>
    <w:p w14:paraId="4211B936" w14:textId="2F2BA103" w:rsidR="004462A0" w:rsidRPr="008912CF" w:rsidRDefault="00615769" w:rsidP="00412FC8">
      <w:pPr>
        <w:rPr>
          <w:del w:id="9404" w:author="AbbVie2" w:date="2025-05-13T16:39:00Z"/>
          <w:rFonts w:eastAsia="Arial Unicode MS"/>
          <w:sz w:val="22"/>
          <w:szCs w:val="22"/>
        </w:rPr>
      </w:pPr>
      <w:del w:id="9405" w:author="AbbVie2" w:date="2025-05-13T16:39:00Z">
        <w:r w:rsidRPr="008912CF">
          <w:rPr>
            <w:rFonts w:eastAsia="Arial Unicode MS"/>
            <w:sz w:val="22"/>
            <w:szCs w:val="22"/>
          </w:rPr>
          <w:delText xml:space="preserve">Os doentes tratados com 160/80 mg de Humira </w:delText>
        </w:r>
        <w:r w:rsidRPr="008912CF">
          <w:rPr>
            <w:rFonts w:eastAsia="Arial Unicode MS"/>
            <w:i/>
            <w:sz w:val="22"/>
            <w:szCs w:val="22"/>
          </w:rPr>
          <w:delText>versus</w:delText>
        </w:r>
        <w:r w:rsidRPr="008912CF">
          <w:rPr>
            <w:rFonts w:eastAsia="Arial Unicode MS"/>
            <w:sz w:val="22"/>
            <w:szCs w:val="22"/>
          </w:rPr>
          <w:delText xml:space="preserve"> placebo atingiram a remissão clínica na Semana 8, de forma estatisticamente significativa, apresentando percentagens mais elevadas no estudo UC-I (18</w:delText>
        </w:r>
        <w:r w:rsidR="009343EF">
          <w:rPr>
            <w:rFonts w:eastAsia="Arial Unicode MS"/>
            <w:sz w:val="22"/>
            <w:szCs w:val="22"/>
          </w:rPr>
          <w:delText>%</w:delText>
        </w:r>
        <w:r w:rsidRPr="008912CF">
          <w:rPr>
            <w:rFonts w:eastAsia="Arial Unicode MS"/>
            <w:sz w:val="22"/>
            <w:szCs w:val="22"/>
          </w:rPr>
          <w:delText xml:space="preserve"> </w:delText>
        </w:r>
        <w:r w:rsidRPr="008912CF">
          <w:rPr>
            <w:rFonts w:eastAsia="Arial Unicode MS"/>
            <w:i/>
            <w:sz w:val="22"/>
            <w:szCs w:val="22"/>
          </w:rPr>
          <w:delText xml:space="preserve">versus </w:delText>
        </w:r>
        <w:r w:rsidRPr="008912CF">
          <w:rPr>
            <w:rFonts w:eastAsia="Arial Unicode MS"/>
            <w:sz w:val="22"/>
            <w:szCs w:val="22"/>
          </w:rPr>
          <w:delText>9</w:delText>
        </w:r>
        <w:r w:rsidR="009343EF">
          <w:rPr>
            <w:rFonts w:eastAsia="Arial Unicode MS"/>
            <w:sz w:val="22"/>
            <w:szCs w:val="22"/>
          </w:rPr>
          <w:delText>%</w:delText>
        </w:r>
        <w:r w:rsidRPr="008912CF">
          <w:rPr>
            <w:rFonts w:eastAsia="Arial Unicode MS"/>
            <w:sz w:val="22"/>
            <w:szCs w:val="22"/>
          </w:rPr>
          <w:delText xml:space="preserve"> respetivamente, p=0,031) e no estudo UC-II (17</w:delText>
        </w:r>
        <w:r w:rsidR="009343EF">
          <w:rPr>
            <w:rFonts w:eastAsia="Arial Unicode MS"/>
            <w:sz w:val="22"/>
            <w:szCs w:val="22"/>
          </w:rPr>
          <w:delText>%</w:delText>
        </w:r>
        <w:r w:rsidRPr="008912CF">
          <w:rPr>
            <w:rFonts w:eastAsia="Arial Unicode MS"/>
            <w:sz w:val="22"/>
            <w:szCs w:val="22"/>
          </w:rPr>
          <w:delText xml:space="preserve"> </w:delText>
        </w:r>
        <w:r w:rsidRPr="008912CF">
          <w:rPr>
            <w:rFonts w:eastAsia="Arial Unicode MS"/>
            <w:i/>
            <w:sz w:val="22"/>
            <w:szCs w:val="22"/>
          </w:rPr>
          <w:delText xml:space="preserve">versus </w:delText>
        </w:r>
        <w:r w:rsidRPr="008912CF">
          <w:rPr>
            <w:rFonts w:eastAsia="Arial Unicode MS"/>
            <w:sz w:val="22"/>
            <w:szCs w:val="22"/>
          </w:rPr>
          <w:delText>9</w:delText>
        </w:r>
        <w:r w:rsidR="009343EF">
          <w:rPr>
            <w:rFonts w:eastAsia="Arial Unicode MS"/>
            <w:sz w:val="22"/>
            <w:szCs w:val="22"/>
          </w:rPr>
          <w:delText>%</w:delText>
        </w:r>
        <w:r w:rsidRPr="008912CF">
          <w:rPr>
            <w:rFonts w:eastAsia="Arial Unicode MS"/>
            <w:sz w:val="22"/>
            <w:szCs w:val="22"/>
          </w:rPr>
          <w:delText xml:space="preserve"> respetivamente, p=0,019). No estudo UC-II, entre os doentes que receberam Humira e que atingiram a remissão na Semana 8, 21/41 (51</w:delText>
        </w:r>
        <w:r w:rsidR="009343EF">
          <w:rPr>
            <w:rFonts w:eastAsia="Arial Unicode MS"/>
            <w:sz w:val="22"/>
            <w:szCs w:val="22"/>
          </w:rPr>
          <w:delText>%</w:delText>
        </w:r>
        <w:r w:rsidRPr="008912CF">
          <w:rPr>
            <w:rFonts w:eastAsia="Arial Unicode MS"/>
            <w:sz w:val="22"/>
            <w:szCs w:val="22"/>
          </w:rPr>
          <w:delText>) atingiram a remissão na Semana 52.</w:delText>
        </w:r>
      </w:del>
    </w:p>
    <w:p w14:paraId="3CFB12C0" w14:textId="37CCB1E1" w:rsidR="004462A0" w:rsidRPr="008912CF" w:rsidRDefault="004462A0" w:rsidP="00412FC8">
      <w:pPr>
        <w:rPr>
          <w:del w:id="9406" w:author="AbbVie2" w:date="2025-05-13T16:39:00Z"/>
          <w:rFonts w:eastAsia="Arial Unicode MS"/>
          <w:sz w:val="22"/>
          <w:szCs w:val="22"/>
        </w:rPr>
      </w:pPr>
    </w:p>
    <w:p w14:paraId="070B2A31" w14:textId="4FC7C95F" w:rsidR="004462A0" w:rsidRPr="008912CF" w:rsidRDefault="00615769">
      <w:pPr>
        <w:rPr>
          <w:del w:id="9407" w:author="AbbVie2" w:date="2025-05-13T16:39:00Z"/>
          <w:sz w:val="22"/>
          <w:szCs w:val="22"/>
        </w:rPr>
        <w:pPrChange w:id="9408" w:author="AbbVie2" w:date="2025-05-13T16:40:00Z">
          <w:pPr>
            <w:jc w:val="both"/>
          </w:pPr>
        </w:pPrChange>
      </w:pPr>
      <w:del w:id="9409" w:author="AbbVie2" w:date="2025-05-13T16:39:00Z">
        <w:r w:rsidRPr="008912CF">
          <w:rPr>
            <w:sz w:val="22"/>
            <w:szCs w:val="22"/>
          </w:rPr>
          <w:delText xml:space="preserve">Os resultados da população global do estudo UC-II estão apresentados na Tabela </w:delText>
        </w:r>
        <w:r w:rsidR="00B52A81">
          <w:rPr>
            <w:sz w:val="22"/>
            <w:szCs w:val="22"/>
          </w:rPr>
          <w:delText>2</w:delText>
        </w:r>
        <w:r w:rsidR="00B925B3">
          <w:rPr>
            <w:sz w:val="22"/>
            <w:szCs w:val="22"/>
          </w:rPr>
          <w:delText>3</w:delText>
        </w:r>
        <w:r w:rsidR="00E35985">
          <w:rPr>
            <w:sz w:val="22"/>
            <w:szCs w:val="22"/>
          </w:rPr>
          <w:delText>.</w:delText>
        </w:r>
      </w:del>
    </w:p>
    <w:p w14:paraId="525E567E" w14:textId="3E852EE8" w:rsidR="004462A0" w:rsidRPr="008912CF" w:rsidRDefault="004462A0">
      <w:pPr>
        <w:rPr>
          <w:del w:id="9410" w:author="AbbVie2" w:date="2025-05-13T16:39:00Z"/>
          <w:sz w:val="22"/>
          <w:szCs w:val="22"/>
        </w:rPr>
        <w:pPrChange w:id="9411" w:author="AbbVie2" w:date="2025-05-13T16:40:00Z">
          <w:pPr>
            <w:jc w:val="both"/>
          </w:pPr>
        </w:pPrChange>
      </w:pPr>
    </w:p>
    <w:p w14:paraId="0828FE90" w14:textId="033C6C7C" w:rsidR="004462A0" w:rsidRPr="008912CF" w:rsidRDefault="00615769">
      <w:pPr>
        <w:rPr>
          <w:del w:id="9412" w:author="AbbVie2" w:date="2025-05-13T16:39:00Z"/>
          <w:b/>
          <w:bCs/>
          <w:sz w:val="22"/>
          <w:szCs w:val="22"/>
        </w:rPr>
        <w:pPrChange w:id="9413" w:author="AbbVie2" w:date="2025-05-13T16:40:00Z">
          <w:pPr>
            <w:pStyle w:val="TableText"/>
            <w:spacing w:before="0" w:after="0" w:line="240" w:lineRule="auto"/>
            <w:jc w:val="center"/>
          </w:pPr>
        </w:pPrChange>
      </w:pPr>
      <w:del w:id="9414" w:author="AbbVie2" w:date="2025-05-13T16:39:00Z">
        <w:r w:rsidRPr="008912CF">
          <w:rPr>
            <w:b/>
            <w:bCs/>
            <w:sz w:val="22"/>
            <w:szCs w:val="22"/>
          </w:rPr>
          <w:delText xml:space="preserve">Tabela </w:delText>
        </w:r>
        <w:r w:rsidR="00B52A81">
          <w:rPr>
            <w:b/>
            <w:bCs/>
            <w:sz w:val="22"/>
            <w:szCs w:val="22"/>
          </w:rPr>
          <w:delText>2</w:delText>
        </w:r>
        <w:r w:rsidR="00B925B3">
          <w:rPr>
            <w:b/>
            <w:bCs/>
            <w:sz w:val="22"/>
            <w:szCs w:val="22"/>
          </w:rPr>
          <w:delText>3</w:delText>
        </w:r>
      </w:del>
    </w:p>
    <w:p w14:paraId="27BA852C" w14:textId="56F5BC59" w:rsidR="004462A0" w:rsidRPr="008912CF" w:rsidRDefault="00615769">
      <w:pPr>
        <w:rPr>
          <w:del w:id="9415" w:author="AbbVie2" w:date="2025-05-13T16:39:00Z"/>
          <w:b/>
          <w:bCs/>
          <w:sz w:val="22"/>
          <w:szCs w:val="22"/>
        </w:rPr>
        <w:pPrChange w:id="9416" w:author="AbbVie2" w:date="2025-05-13T16:40:00Z">
          <w:pPr>
            <w:pStyle w:val="TableText"/>
            <w:spacing w:before="0" w:after="0" w:line="240" w:lineRule="auto"/>
            <w:jc w:val="center"/>
          </w:pPr>
        </w:pPrChange>
      </w:pPr>
      <w:del w:id="9417" w:author="AbbVie2" w:date="2025-05-13T16:39:00Z">
        <w:r w:rsidRPr="008912CF">
          <w:rPr>
            <w:b/>
            <w:bCs/>
            <w:sz w:val="22"/>
            <w:szCs w:val="22"/>
          </w:rPr>
          <w:delText>Resposta Clínica, Remissão e Cicatrização da Mucosa no Estudo UC-II</w:delText>
        </w:r>
      </w:del>
    </w:p>
    <w:p w14:paraId="3993BEEE" w14:textId="5147A98E" w:rsidR="004462A0" w:rsidRPr="008912CF" w:rsidRDefault="00615769">
      <w:pPr>
        <w:rPr>
          <w:del w:id="9418" w:author="AbbVie2" w:date="2025-05-13T16:39:00Z"/>
          <w:b/>
          <w:bCs/>
          <w:sz w:val="22"/>
          <w:szCs w:val="22"/>
        </w:rPr>
        <w:pPrChange w:id="9419" w:author="AbbVie2" w:date="2025-05-13T16:40:00Z">
          <w:pPr>
            <w:pStyle w:val="TableText"/>
            <w:spacing w:before="0" w:after="0" w:line="240" w:lineRule="auto"/>
            <w:jc w:val="center"/>
          </w:pPr>
        </w:pPrChange>
      </w:pPr>
      <w:del w:id="9420" w:author="AbbVie2" w:date="2025-05-13T16:39:00Z">
        <w:r w:rsidRPr="008912CF">
          <w:rPr>
            <w:b/>
            <w:bCs/>
            <w:sz w:val="22"/>
            <w:szCs w:val="22"/>
          </w:rPr>
          <w:delText>(Percentagem de Doentes)</w:delText>
        </w:r>
      </w:del>
    </w:p>
    <w:p w14:paraId="7410710C" w14:textId="45409423" w:rsidR="004462A0" w:rsidRPr="008912CF" w:rsidRDefault="004462A0">
      <w:pPr>
        <w:rPr>
          <w:del w:id="9421" w:author="AbbVie2" w:date="2025-05-13T16:39:00Z"/>
          <w:b/>
          <w:bCs/>
          <w:sz w:val="22"/>
          <w:szCs w:val="22"/>
        </w:rPr>
        <w:pPrChange w:id="9422" w:author="AbbVie2" w:date="2025-05-13T16:40:00Z">
          <w:pPr>
            <w:pStyle w:val="TableText"/>
            <w:spacing w:line="240" w:lineRule="auto"/>
            <w:jc w:val="center"/>
          </w:pPr>
        </w:pPrChange>
      </w:pPr>
    </w:p>
    <w:tbl>
      <w:tblPr>
        <w:tblW w:w="4375" w:type="pct"/>
        <w:jc w:val="center"/>
        <w:tblCellMar>
          <w:top w:w="15" w:type="dxa"/>
          <w:left w:w="15" w:type="dxa"/>
          <w:bottom w:w="15" w:type="dxa"/>
          <w:right w:w="15" w:type="dxa"/>
        </w:tblCellMar>
        <w:tblLook w:val="0000" w:firstRow="0" w:lastRow="0" w:firstColumn="0" w:lastColumn="0" w:noHBand="0" w:noVBand="0"/>
      </w:tblPr>
      <w:tblGrid>
        <w:gridCol w:w="4725"/>
        <w:gridCol w:w="1006"/>
        <w:gridCol w:w="2206"/>
      </w:tblGrid>
      <w:tr w:rsidR="00A7162A" w14:paraId="3840C706" w14:textId="4DFEDAE6" w:rsidTr="00F675CF">
        <w:trPr>
          <w:jc w:val="center"/>
          <w:del w:id="9423" w:author="AbbVie2" w:date="2025-05-13T16:39:00Z"/>
        </w:trPr>
        <w:tc>
          <w:tcPr>
            <w:tcW w:w="2976" w:type="pct"/>
            <w:tcBorders>
              <w:top w:val="single" w:sz="6" w:space="0" w:color="000000"/>
              <w:left w:val="nil"/>
              <w:bottom w:val="single" w:sz="6" w:space="0" w:color="000000"/>
              <w:right w:val="nil"/>
            </w:tcBorders>
          </w:tcPr>
          <w:p w14:paraId="35CDC93A" w14:textId="597FDD9A" w:rsidR="004462A0" w:rsidRPr="008912CF" w:rsidRDefault="004462A0">
            <w:pPr>
              <w:rPr>
                <w:del w:id="9424" w:author="AbbVie2" w:date="2025-05-13T16:39:00Z"/>
                <w:rFonts w:eastAsia="Arial Unicode MS"/>
              </w:rPr>
              <w:pPrChange w:id="9425" w:author="AbbVie2" w:date="2025-05-13T16:40:00Z">
                <w:pPr>
                  <w:keepNext/>
                  <w:jc w:val="center"/>
                </w:pPr>
              </w:pPrChange>
            </w:pPr>
          </w:p>
        </w:tc>
        <w:tc>
          <w:tcPr>
            <w:tcW w:w="634" w:type="pct"/>
            <w:tcBorders>
              <w:top w:val="single" w:sz="6" w:space="0" w:color="000000"/>
              <w:left w:val="nil"/>
              <w:bottom w:val="single" w:sz="6" w:space="0" w:color="000000"/>
              <w:right w:val="nil"/>
            </w:tcBorders>
          </w:tcPr>
          <w:p w14:paraId="32AD9741" w14:textId="1931DD37" w:rsidR="004462A0" w:rsidRPr="008912CF" w:rsidRDefault="00615769">
            <w:pPr>
              <w:rPr>
                <w:del w:id="9426" w:author="AbbVie2" w:date="2025-05-13T16:39:00Z"/>
                <w:rFonts w:eastAsia="Arial Unicode MS"/>
              </w:rPr>
              <w:pPrChange w:id="9427" w:author="AbbVie2" w:date="2025-05-13T16:40:00Z">
                <w:pPr>
                  <w:keepNext/>
                  <w:jc w:val="center"/>
                </w:pPr>
              </w:pPrChange>
            </w:pPr>
            <w:del w:id="9428" w:author="AbbVie2" w:date="2025-05-13T16:39:00Z">
              <w:r w:rsidRPr="008912CF">
                <w:rPr>
                  <w:rStyle w:val="bold4"/>
                  <w:rFonts w:eastAsia="Arial Unicode MS"/>
                  <w:sz w:val="22"/>
                  <w:szCs w:val="22"/>
                </w:rPr>
                <w:delText>Placebo</w:delText>
              </w:r>
              <w:r w:rsidRPr="008912CF">
                <w:rPr>
                  <w:rFonts w:eastAsia="Arial Unicode MS"/>
                  <w:sz w:val="22"/>
                  <w:szCs w:val="22"/>
                </w:rPr>
                <w:br/>
              </w:r>
            </w:del>
          </w:p>
        </w:tc>
        <w:tc>
          <w:tcPr>
            <w:tcW w:w="1391" w:type="pct"/>
            <w:tcBorders>
              <w:top w:val="single" w:sz="6" w:space="0" w:color="000000"/>
              <w:left w:val="nil"/>
              <w:bottom w:val="single" w:sz="6" w:space="0" w:color="000000"/>
              <w:right w:val="nil"/>
            </w:tcBorders>
          </w:tcPr>
          <w:p w14:paraId="489062A4" w14:textId="0ACF1529" w:rsidR="004462A0" w:rsidRPr="008912CF" w:rsidRDefault="00615769">
            <w:pPr>
              <w:rPr>
                <w:del w:id="9429" w:author="AbbVie2" w:date="2025-05-13T16:39:00Z"/>
                <w:rStyle w:val="bold4"/>
                <w:rFonts w:eastAsia="Arial Unicode MS"/>
              </w:rPr>
              <w:pPrChange w:id="9430" w:author="AbbVie2" w:date="2025-05-13T16:40:00Z">
                <w:pPr>
                  <w:keepNext/>
                  <w:jc w:val="center"/>
                </w:pPr>
              </w:pPrChange>
            </w:pPr>
            <w:del w:id="9431" w:author="AbbVie2" w:date="2025-05-13T16:39:00Z">
              <w:r w:rsidRPr="008912CF">
                <w:rPr>
                  <w:rStyle w:val="bold4"/>
                  <w:rFonts w:eastAsia="Arial Unicode MS"/>
                  <w:sz w:val="22"/>
                  <w:szCs w:val="22"/>
                </w:rPr>
                <w:delText xml:space="preserve">Humira 40 mg </w:delText>
              </w:r>
            </w:del>
          </w:p>
          <w:p w14:paraId="66251919" w14:textId="46588BFA" w:rsidR="004462A0" w:rsidRPr="008912CF" w:rsidRDefault="00615769">
            <w:pPr>
              <w:rPr>
                <w:del w:id="9432" w:author="AbbVie2" w:date="2025-05-13T16:39:00Z"/>
                <w:rFonts w:eastAsia="Arial Unicode MS"/>
              </w:rPr>
              <w:pPrChange w:id="9433" w:author="AbbVie2" w:date="2025-05-13T16:40:00Z">
                <w:pPr>
                  <w:keepNext/>
                  <w:jc w:val="center"/>
                </w:pPr>
              </w:pPrChange>
            </w:pPr>
            <w:del w:id="9434" w:author="AbbVie2" w:date="2025-05-13T16:39:00Z">
              <w:r w:rsidRPr="008912CF">
                <w:rPr>
                  <w:rStyle w:val="bold4"/>
                  <w:rFonts w:eastAsia="Arial Unicode MS"/>
                  <w:sz w:val="22"/>
                  <w:szCs w:val="22"/>
                </w:rPr>
                <w:delText>em semanas alternadas</w:delText>
              </w:r>
            </w:del>
          </w:p>
        </w:tc>
      </w:tr>
      <w:tr w:rsidR="00A7162A" w14:paraId="13161510" w14:textId="30E219A0" w:rsidTr="00F675CF">
        <w:trPr>
          <w:jc w:val="center"/>
          <w:del w:id="9435" w:author="AbbVie2" w:date="2025-05-13T16:39:00Z"/>
        </w:trPr>
        <w:tc>
          <w:tcPr>
            <w:tcW w:w="2976" w:type="pct"/>
            <w:tcBorders>
              <w:top w:val="single" w:sz="6" w:space="0" w:color="000000"/>
              <w:left w:val="nil"/>
              <w:bottom w:val="single" w:sz="6" w:space="0" w:color="000000"/>
              <w:right w:val="nil"/>
            </w:tcBorders>
          </w:tcPr>
          <w:p w14:paraId="281FFD15" w14:textId="0B8E692B" w:rsidR="004462A0" w:rsidRPr="008912CF" w:rsidRDefault="00615769">
            <w:pPr>
              <w:rPr>
                <w:del w:id="9436" w:author="AbbVie2" w:date="2025-05-13T16:39:00Z"/>
                <w:rFonts w:eastAsia="Arial Unicode MS"/>
              </w:rPr>
              <w:pPrChange w:id="9437" w:author="AbbVie2" w:date="2025-05-13T16:40:00Z">
                <w:pPr>
                  <w:keepNext/>
                </w:pPr>
              </w:pPrChange>
            </w:pPr>
            <w:del w:id="9438" w:author="AbbVie2" w:date="2025-05-13T16:39:00Z">
              <w:r w:rsidRPr="008912CF">
                <w:rPr>
                  <w:rFonts w:eastAsia="Arial Unicode MS"/>
                  <w:sz w:val="22"/>
                  <w:szCs w:val="22"/>
                </w:rPr>
                <w:delText>Semana 52</w:delText>
              </w:r>
            </w:del>
          </w:p>
        </w:tc>
        <w:tc>
          <w:tcPr>
            <w:tcW w:w="634" w:type="pct"/>
            <w:tcBorders>
              <w:top w:val="single" w:sz="6" w:space="0" w:color="000000"/>
              <w:left w:val="nil"/>
              <w:bottom w:val="single" w:sz="6" w:space="0" w:color="000000"/>
              <w:right w:val="nil"/>
            </w:tcBorders>
          </w:tcPr>
          <w:p w14:paraId="6E3CE88A" w14:textId="56C70805" w:rsidR="004462A0" w:rsidRPr="008912CF" w:rsidRDefault="00615769">
            <w:pPr>
              <w:rPr>
                <w:del w:id="9439" w:author="AbbVie2" w:date="2025-05-13T16:39:00Z"/>
                <w:rStyle w:val="bold4"/>
                <w:rFonts w:eastAsia="Arial Unicode MS"/>
              </w:rPr>
              <w:pPrChange w:id="9440" w:author="AbbVie2" w:date="2025-05-13T16:40:00Z">
                <w:pPr>
                  <w:keepNext/>
                  <w:jc w:val="center"/>
                </w:pPr>
              </w:pPrChange>
            </w:pPr>
            <w:del w:id="9441" w:author="AbbVie2" w:date="2025-05-13T16:39:00Z">
              <w:r w:rsidRPr="008912CF">
                <w:rPr>
                  <w:rStyle w:val="bold4"/>
                  <w:rFonts w:eastAsia="Arial Unicode MS"/>
                  <w:sz w:val="22"/>
                  <w:szCs w:val="22"/>
                </w:rPr>
                <w:delText>N=246</w:delText>
              </w:r>
            </w:del>
          </w:p>
        </w:tc>
        <w:tc>
          <w:tcPr>
            <w:tcW w:w="1391" w:type="pct"/>
            <w:tcBorders>
              <w:top w:val="single" w:sz="6" w:space="0" w:color="000000"/>
              <w:left w:val="nil"/>
              <w:bottom w:val="single" w:sz="6" w:space="0" w:color="000000"/>
              <w:right w:val="nil"/>
            </w:tcBorders>
          </w:tcPr>
          <w:p w14:paraId="31B1F523" w14:textId="7F6716C9" w:rsidR="004462A0" w:rsidRPr="008912CF" w:rsidRDefault="00615769">
            <w:pPr>
              <w:rPr>
                <w:del w:id="9442" w:author="AbbVie2" w:date="2025-05-13T16:39:00Z"/>
                <w:rStyle w:val="bold4"/>
                <w:rFonts w:eastAsia="Arial Unicode MS"/>
              </w:rPr>
              <w:pPrChange w:id="9443" w:author="AbbVie2" w:date="2025-05-13T16:40:00Z">
                <w:pPr>
                  <w:keepNext/>
                  <w:jc w:val="center"/>
                </w:pPr>
              </w:pPrChange>
            </w:pPr>
            <w:del w:id="9444" w:author="AbbVie2" w:date="2025-05-13T16:39:00Z">
              <w:r w:rsidRPr="008912CF">
                <w:rPr>
                  <w:rStyle w:val="bold4"/>
                  <w:rFonts w:eastAsia="Arial Unicode MS"/>
                  <w:sz w:val="22"/>
                  <w:szCs w:val="22"/>
                </w:rPr>
                <w:delText>N=248</w:delText>
              </w:r>
            </w:del>
          </w:p>
        </w:tc>
      </w:tr>
      <w:tr w:rsidR="00A7162A" w14:paraId="54B4D37D" w14:textId="2FD0ED2B" w:rsidTr="00F675CF">
        <w:trPr>
          <w:jc w:val="center"/>
          <w:del w:id="9445" w:author="AbbVie2" w:date="2025-05-13T16:39:00Z"/>
        </w:trPr>
        <w:tc>
          <w:tcPr>
            <w:tcW w:w="2976" w:type="pct"/>
            <w:tcBorders>
              <w:top w:val="nil"/>
              <w:left w:val="nil"/>
              <w:right w:val="nil"/>
            </w:tcBorders>
          </w:tcPr>
          <w:p w14:paraId="5132B604" w14:textId="644698BF" w:rsidR="004462A0" w:rsidRPr="008912CF" w:rsidRDefault="00615769">
            <w:pPr>
              <w:rPr>
                <w:del w:id="9446" w:author="AbbVie2" w:date="2025-05-13T16:39:00Z"/>
                <w:rFonts w:eastAsia="Arial Unicode MS"/>
              </w:rPr>
              <w:pPrChange w:id="9447" w:author="AbbVie2" w:date="2025-05-13T16:40:00Z">
                <w:pPr>
                  <w:keepNext/>
                </w:pPr>
              </w:pPrChange>
            </w:pPr>
            <w:del w:id="9448" w:author="AbbVie2" w:date="2025-05-13T16:39:00Z">
              <w:r w:rsidRPr="008912CF">
                <w:rPr>
                  <w:rFonts w:eastAsia="Arial Unicode MS"/>
                  <w:sz w:val="22"/>
                  <w:szCs w:val="22"/>
                </w:rPr>
                <w:delText xml:space="preserve">  Resposta Clínica </w:delText>
              </w:r>
            </w:del>
          </w:p>
        </w:tc>
        <w:tc>
          <w:tcPr>
            <w:tcW w:w="634" w:type="pct"/>
            <w:tcBorders>
              <w:top w:val="nil"/>
              <w:left w:val="nil"/>
              <w:right w:val="nil"/>
            </w:tcBorders>
          </w:tcPr>
          <w:p w14:paraId="217DA1EE" w14:textId="7F5E0EB5" w:rsidR="004462A0" w:rsidRPr="008912CF" w:rsidRDefault="00615769">
            <w:pPr>
              <w:rPr>
                <w:del w:id="9449" w:author="AbbVie2" w:date="2025-05-13T16:39:00Z"/>
                <w:rFonts w:eastAsia="Arial Unicode MS"/>
              </w:rPr>
              <w:pPrChange w:id="9450" w:author="AbbVie2" w:date="2025-05-13T16:40:00Z">
                <w:pPr>
                  <w:keepNext/>
                  <w:jc w:val="center"/>
                </w:pPr>
              </w:pPrChange>
            </w:pPr>
            <w:del w:id="9451" w:author="AbbVie2" w:date="2025-05-13T16:39:00Z">
              <w:r w:rsidRPr="008912CF">
                <w:rPr>
                  <w:rFonts w:eastAsia="Arial Unicode MS"/>
                  <w:sz w:val="22"/>
                  <w:szCs w:val="22"/>
                </w:rPr>
                <w:delText>18</w:delText>
              </w:r>
              <w:r w:rsidR="009343EF">
                <w:rPr>
                  <w:rFonts w:eastAsia="Arial Unicode MS"/>
                  <w:sz w:val="22"/>
                  <w:szCs w:val="22"/>
                </w:rPr>
                <w:delText>%</w:delText>
              </w:r>
              <w:r w:rsidRPr="008912CF">
                <w:rPr>
                  <w:rFonts w:eastAsia="Arial Unicode MS"/>
                  <w:sz w:val="22"/>
                  <w:szCs w:val="22"/>
                </w:rPr>
                <w:delText xml:space="preserve"> </w:delText>
              </w:r>
            </w:del>
          </w:p>
        </w:tc>
        <w:tc>
          <w:tcPr>
            <w:tcW w:w="1391" w:type="pct"/>
            <w:tcBorders>
              <w:top w:val="nil"/>
              <w:left w:val="nil"/>
              <w:right w:val="nil"/>
            </w:tcBorders>
          </w:tcPr>
          <w:p w14:paraId="6BB9DF35" w14:textId="72974221" w:rsidR="004462A0" w:rsidRPr="008912CF" w:rsidRDefault="00615769">
            <w:pPr>
              <w:rPr>
                <w:del w:id="9452" w:author="AbbVie2" w:date="2025-05-13T16:39:00Z"/>
                <w:rFonts w:eastAsia="Arial Unicode MS"/>
              </w:rPr>
              <w:pPrChange w:id="9453" w:author="AbbVie2" w:date="2025-05-13T16:40:00Z">
                <w:pPr>
                  <w:keepNext/>
                  <w:jc w:val="center"/>
                </w:pPr>
              </w:pPrChange>
            </w:pPr>
            <w:del w:id="9454" w:author="AbbVie2" w:date="2025-05-13T16:39:00Z">
              <w:r w:rsidRPr="008912CF">
                <w:rPr>
                  <w:rFonts w:eastAsia="Arial Unicode MS"/>
                  <w:sz w:val="22"/>
                  <w:szCs w:val="22"/>
                </w:rPr>
                <w:delText xml:space="preserve">   30</w:delText>
              </w:r>
              <w:r w:rsidR="009343EF">
                <w:rPr>
                  <w:rFonts w:eastAsia="Arial Unicode MS"/>
                  <w:sz w:val="22"/>
                  <w:szCs w:val="22"/>
                </w:rPr>
                <w:delText>%</w:delText>
              </w:r>
              <w:r w:rsidRPr="008912CF">
                <w:rPr>
                  <w:rFonts w:eastAsia="Arial Unicode MS"/>
                  <w:sz w:val="22"/>
                  <w:szCs w:val="22"/>
                </w:rPr>
                <w:delText>*</w:delText>
              </w:r>
            </w:del>
          </w:p>
        </w:tc>
      </w:tr>
      <w:tr w:rsidR="00A7162A" w14:paraId="76651B0F" w14:textId="7479522D" w:rsidTr="00F675CF">
        <w:trPr>
          <w:jc w:val="center"/>
          <w:del w:id="9455" w:author="AbbVie2" w:date="2025-05-13T16:39:00Z"/>
        </w:trPr>
        <w:tc>
          <w:tcPr>
            <w:tcW w:w="2976" w:type="pct"/>
            <w:tcBorders>
              <w:top w:val="nil"/>
              <w:left w:val="nil"/>
              <w:right w:val="nil"/>
            </w:tcBorders>
          </w:tcPr>
          <w:p w14:paraId="38223728" w14:textId="68887418" w:rsidR="004462A0" w:rsidRPr="008912CF" w:rsidRDefault="00615769">
            <w:pPr>
              <w:rPr>
                <w:del w:id="9456" w:author="AbbVie2" w:date="2025-05-13T16:39:00Z"/>
                <w:rFonts w:eastAsia="Arial Unicode MS"/>
              </w:rPr>
              <w:pPrChange w:id="9457" w:author="AbbVie2" w:date="2025-05-13T16:40:00Z">
                <w:pPr>
                  <w:keepNext/>
                </w:pPr>
              </w:pPrChange>
            </w:pPr>
            <w:del w:id="9458" w:author="AbbVie2" w:date="2025-05-13T16:39:00Z">
              <w:r w:rsidRPr="008912CF">
                <w:rPr>
                  <w:rFonts w:eastAsia="Arial Unicode MS"/>
                  <w:sz w:val="22"/>
                  <w:szCs w:val="22"/>
                </w:rPr>
                <w:delText xml:space="preserve">  Remissão Clínica</w:delText>
              </w:r>
            </w:del>
          </w:p>
        </w:tc>
        <w:tc>
          <w:tcPr>
            <w:tcW w:w="634" w:type="pct"/>
            <w:tcBorders>
              <w:top w:val="nil"/>
              <w:left w:val="nil"/>
              <w:right w:val="nil"/>
            </w:tcBorders>
          </w:tcPr>
          <w:p w14:paraId="13AABDB8" w14:textId="0BE85AC9" w:rsidR="004462A0" w:rsidRPr="008912CF" w:rsidRDefault="00615769">
            <w:pPr>
              <w:rPr>
                <w:del w:id="9459" w:author="AbbVie2" w:date="2025-05-13T16:39:00Z"/>
                <w:rFonts w:eastAsia="Arial Unicode MS"/>
              </w:rPr>
              <w:pPrChange w:id="9460" w:author="AbbVie2" w:date="2025-05-13T16:40:00Z">
                <w:pPr>
                  <w:keepNext/>
                  <w:jc w:val="center"/>
                </w:pPr>
              </w:pPrChange>
            </w:pPr>
            <w:del w:id="9461" w:author="AbbVie2" w:date="2025-05-13T16:39:00Z">
              <w:r w:rsidRPr="008912CF">
                <w:rPr>
                  <w:rFonts w:eastAsia="Arial Unicode MS"/>
                  <w:sz w:val="22"/>
                  <w:szCs w:val="22"/>
                </w:rPr>
                <w:delText>9</w:delText>
              </w:r>
              <w:r w:rsidR="009343EF">
                <w:rPr>
                  <w:rFonts w:eastAsia="Arial Unicode MS"/>
                  <w:sz w:val="22"/>
                  <w:szCs w:val="22"/>
                </w:rPr>
                <w:delText>%</w:delText>
              </w:r>
            </w:del>
          </w:p>
        </w:tc>
        <w:tc>
          <w:tcPr>
            <w:tcW w:w="1391" w:type="pct"/>
            <w:tcBorders>
              <w:top w:val="nil"/>
              <w:left w:val="nil"/>
              <w:right w:val="nil"/>
            </w:tcBorders>
          </w:tcPr>
          <w:p w14:paraId="183CFA90" w14:textId="553BDC25" w:rsidR="004462A0" w:rsidRPr="008912CF" w:rsidRDefault="00615769">
            <w:pPr>
              <w:rPr>
                <w:del w:id="9462" w:author="AbbVie2" w:date="2025-05-13T16:39:00Z"/>
                <w:rFonts w:eastAsia="Arial Unicode MS"/>
              </w:rPr>
              <w:pPrChange w:id="9463" w:author="AbbVie2" w:date="2025-05-13T16:40:00Z">
                <w:pPr>
                  <w:keepNext/>
                  <w:jc w:val="center"/>
                </w:pPr>
              </w:pPrChange>
            </w:pPr>
            <w:del w:id="9464" w:author="AbbVie2" w:date="2025-05-13T16:39:00Z">
              <w:r w:rsidRPr="008912CF">
                <w:rPr>
                  <w:rFonts w:eastAsia="Arial Unicode MS"/>
                  <w:sz w:val="22"/>
                  <w:szCs w:val="22"/>
                </w:rPr>
                <w:delText xml:space="preserve">   17</w:delText>
              </w:r>
              <w:r w:rsidR="009343EF">
                <w:rPr>
                  <w:rFonts w:eastAsia="Arial Unicode MS"/>
                  <w:sz w:val="22"/>
                  <w:szCs w:val="22"/>
                </w:rPr>
                <w:delText>%</w:delText>
              </w:r>
              <w:r w:rsidRPr="008912CF">
                <w:rPr>
                  <w:rFonts w:eastAsia="Arial Unicode MS"/>
                  <w:sz w:val="22"/>
                  <w:szCs w:val="22"/>
                </w:rPr>
                <w:delText>*</w:delText>
              </w:r>
            </w:del>
          </w:p>
        </w:tc>
      </w:tr>
      <w:tr w:rsidR="00A7162A" w14:paraId="637359EC" w14:textId="577E9DF6" w:rsidTr="00F675CF">
        <w:trPr>
          <w:jc w:val="center"/>
          <w:del w:id="9465" w:author="AbbVie2" w:date="2025-05-13T16:39:00Z"/>
        </w:trPr>
        <w:tc>
          <w:tcPr>
            <w:tcW w:w="2976" w:type="pct"/>
            <w:tcBorders>
              <w:top w:val="nil"/>
              <w:left w:val="nil"/>
              <w:right w:val="nil"/>
            </w:tcBorders>
          </w:tcPr>
          <w:p w14:paraId="1FCC09DC" w14:textId="121C7D3F" w:rsidR="004462A0" w:rsidRPr="008912CF" w:rsidRDefault="00615769">
            <w:pPr>
              <w:rPr>
                <w:del w:id="9466" w:author="AbbVie2" w:date="2025-05-13T16:39:00Z"/>
                <w:rFonts w:eastAsia="Arial Unicode MS"/>
              </w:rPr>
              <w:pPrChange w:id="9467" w:author="AbbVie2" w:date="2025-05-13T16:40:00Z">
                <w:pPr>
                  <w:keepNext/>
                </w:pPr>
              </w:pPrChange>
            </w:pPr>
            <w:del w:id="9468" w:author="AbbVie2" w:date="2025-05-13T16:39:00Z">
              <w:r w:rsidRPr="008912CF">
                <w:rPr>
                  <w:rFonts w:eastAsia="Arial Unicode MS"/>
                  <w:sz w:val="22"/>
                  <w:szCs w:val="22"/>
                </w:rPr>
                <w:delText xml:space="preserve">  Cicatrização da Mucosa </w:delText>
              </w:r>
            </w:del>
          </w:p>
        </w:tc>
        <w:tc>
          <w:tcPr>
            <w:tcW w:w="634" w:type="pct"/>
            <w:tcBorders>
              <w:top w:val="nil"/>
              <w:left w:val="nil"/>
              <w:right w:val="nil"/>
            </w:tcBorders>
          </w:tcPr>
          <w:p w14:paraId="71A2F6B0" w14:textId="29F741D6" w:rsidR="004462A0" w:rsidRPr="008912CF" w:rsidRDefault="00615769">
            <w:pPr>
              <w:rPr>
                <w:del w:id="9469" w:author="AbbVie2" w:date="2025-05-13T16:39:00Z"/>
                <w:rFonts w:eastAsia="Arial Unicode MS"/>
              </w:rPr>
              <w:pPrChange w:id="9470" w:author="AbbVie2" w:date="2025-05-13T16:40:00Z">
                <w:pPr>
                  <w:keepNext/>
                  <w:jc w:val="center"/>
                </w:pPr>
              </w:pPrChange>
            </w:pPr>
            <w:del w:id="9471" w:author="AbbVie2" w:date="2025-05-13T16:39:00Z">
              <w:r w:rsidRPr="008912CF">
                <w:rPr>
                  <w:rFonts w:eastAsia="Arial Unicode MS"/>
                  <w:sz w:val="22"/>
                  <w:szCs w:val="22"/>
                </w:rPr>
                <w:delText>15</w:delText>
              </w:r>
              <w:r w:rsidR="009343EF">
                <w:rPr>
                  <w:rFonts w:eastAsia="Arial Unicode MS"/>
                  <w:sz w:val="22"/>
                  <w:szCs w:val="22"/>
                </w:rPr>
                <w:delText>%</w:delText>
              </w:r>
            </w:del>
          </w:p>
        </w:tc>
        <w:tc>
          <w:tcPr>
            <w:tcW w:w="1391" w:type="pct"/>
            <w:tcBorders>
              <w:top w:val="nil"/>
              <w:left w:val="nil"/>
              <w:right w:val="nil"/>
            </w:tcBorders>
          </w:tcPr>
          <w:p w14:paraId="13DEBFDE" w14:textId="51377489" w:rsidR="004462A0" w:rsidRPr="008912CF" w:rsidRDefault="00615769">
            <w:pPr>
              <w:rPr>
                <w:del w:id="9472" w:author="AbbVie2" w:date="2025-05-13T16:39:00Z"/>
                <w:rFonts w:eastAsia="Arial Unicode MS"/>
              </w:rPr>
              <w:pPrChange w:id="9473" w:author="AbbVie2" w:date="2025-05-13T16:40:00Z">
                <w:pPr>
                  <w:keepNext/>
                  <w:jc w:val="center"/>
                </w:pPr>
              </w:pPrChange>
            </w:pPr>
            <w:del w:id="9474" w:author="AbbVie2" w:date="2025-05-13T16:39:00Z">
              <w:r w:rsidRPr="008912CF">
                <w:rPr>
                  <w:rFonts w:eastAsia="Arial Unicode MS"/>
                  <w:sz w:val="22"/>
                  <w:szCs w:val="22"/>
                </w:rPr>
                <w:delText xml:space="preserve">   25</w:delText>
              </w:r>
              <w:r w:rsidR="009343EF">
                <w:rPr>
                  <w:rFonts w:eastAsia="Arial Unicode MS"/>
                  <w:sz w:val="22"/>
                  <w:szCs w:val="22"/>
                </w:rPr>
                <w:delText>%</w:delText>
              </w:r>
              <w:r w:rsidRPr="008912CF">
                <w:rPr>
                  <w:rFonts w:eastAsia="Arial Unicode MS"/>
                  <w:sz w:val="22"/>
                  <w:szCs w:val="22"/>
                </w:rPr>
                <w:delText>*</w:delText>
              </w:r>
            </w:del>
          </w:p>
        </w:tc>
      </w:tr>
      <w:tr w:rsidR="00A7162A" w14:paraId="1A8AB844" w14:textId="5EEDF4E6" w:rsidTr="00F675CF">
        <w:trPr>
          <w:jc w:val="center"/>
          <w:del w:id="9475" w:author="AbbVie2" w:date="2025-05-13T16:39:00Z"/>
        </w:trPr>
        <w:tc>
          <w:tcPr>
            <w:tcW w:w="2976" w:type="pct"/>
            <w:tcBorders>
              <w:top w:val="nil"/>
              <w:left w:val="nil"/>
              <w:right w:val="nil"/>
            </w:tcBorders>
          </w:tcPr>
          <w:p w14:paraId="5B4DAE5D" w14:textId="2772E637" w:rsidR="004462A0" w:rsidRPr="008912CF" w:rsidRDefault="00615769">
            <w:pPr>
              <w:rPr>
                <w:del w:id="9476" w:author="AbbVie2" w:date="2025-05-13T16:39:00Z"/>
                <w:rFonts w:eastAsia="Arial Unicode MS"/>
              </w:rPr>
              <w:pPrChange w:id="9477" w:author="AbbVie2" w:date="2025-05-13T16:40:00Z">
                <w:pPr>
                  <w:keepNext/>
                </w:pPr>
              </w:pPrChange>
            </w:pPr>
            <w:del w:id="9478" w:author="AbbVie2" w:date="2025-05-13T16:39:00Z">
              <w:r w:rsidRPr="008912CF">
                <w:rPr>
                  <w:rFonts w:eastAsia="Arial Unicode MS"/>
                  <w:sz w:val="22"/>
                  <w:szCs w:val="22"/>
                </w:rPr>
                <w:delText xml:space="preserve">  Remissão sem esteroides </w:delText>
              </w:r>
              <w:r w:rsidR="00384E8F">
                <w:rPr>
                  <w:rFonts w:eastAsia="Arial Unicode MS"/>
                  <w:sz w:val="22"/>
                  <w:szCs w:val="22"/>
                </w:rPr>
                <w:delText>por</w:delText>
              </w:r>
              <w:r w:rsidR="00384E8F" w:rsidRPr="008912CF">
                <w:rPr>
                  <w:rFonts w:eastAsia="Arial Unicode MS"/>
                  <w:sz w:val="22"/>
                  <w:szCs w:val="22"/>
                </w:rPr>
                <w:delText xml:space="preserve"> </w:delText>
              </w:r>
              <w:r w:rsidRPr="008912CF">
                <w:rPr>
                  <w:rFonts w:eastAsia="Arial Unicode MS"/>
                  <w:sz w:val="22"/>
                  <w:szCs w:val="22"/>
                </w:rPr>
                <w:delText>≥ 90 dias</w:delText>
              </w:r>
              <w:r w:rsidRPr="008912CF">
                <w:rPr>
                  <w:sz w:val="22"/>
                  <w:szCs w:val="22"/>
                  <w:vertAlign w:val="superscript"/>
                </w:rPr>
                <w:delText xml:space="preserve"> a</w:delText>
              </w:r>
              <w:r w:rsidRPr="008912CF">
                <w:rPr>
                  <w:rFonts w:eastAsia="Arial Unicode MS"/>
                  <w:sz w:val="22"/>
                  <w:szCs w:val="22"/>
                </w:rPr>
                <w:delText xml:space="preserve"> </w:delText>
              </w:r>
            </w:del>
          </w:p>
        </w:tc>
        <w:tc>
          <w:tcPr>
            <w:tcW w:w="634" w:type="pct"/>
            <w:tcBorders>
              <w:top w:val="nil"/>
              <w:left w:val="nil"/>
              <w:right w:val="nil"/>
            </w:tcBorders>
          </w:tcPr>
          <w:p w14:paraId="4E271ABF" w14:textId="06FE791D" w:rsidR="004462A0" w:rsidRPr="008912CF" w:rsidRDefault="00615769">
            <w:pPr>
              <w:rPr>
                <w:del w:id="9479" w:author="AbbVie2" w:date="2025-05-13T16:39:00Z"/>
                <w:rFonts w:eastAsia="Arial Unicode MS"/>
              </w:rPr>
              <w:pPrChange w:id="9480" w:author="AbbVie2" w:date="2025-05-13T16:40:00Z">
                <w:pPr>
                  <w:keepNext/>
                  <w:jc w:val="center"/>
                </w:pPr>
              </w:pPrChange>
            </w:pPr>
            <w:del w:id="9481" w:author="AbbVie2" w:date="2025-05-13T16:39:00Z">
              <w:r w:rsidRPr="008912CF">
                <w:rPr>
                  <w:rFonts w:eastAsia="Arial Unicode MS"/>
                  <w:sz w:val="22"/>
                  <w:szCs w:val="22"/>
                </w:rPr>
                <w:delText>6</w:delText>
              </w:r>
              <w:r w:rsidR="009343EF">
                <w:rPr>
                  <w:rFonts w:eastAsia="Arial Unicode MS"/>
                  <w:sz w:val="22"/>
                  <w:szCs w:val="22"/>
                </w:rPr>
                <w:delText>%</w:delText>
              </w:r>
              <w:r w:rsidRPr="008912CF">
                <w:rPr>
                  <w:rFonts w:eastAsia="Arial Unicode MS"/>
                  <w:sz w:val="22"/>
                  <w:szCs w:val="22"/>
                </w:rPr>
                <w:delText xml:space="preserve"> </w:delText>
              </w:r>
            </w:del>
          </w:p>
          <w:p w14:paraId="4D39FFFB" w14:textId="19B8DDD4" w:rsidR="004462A0" w:rsidRPr="008912CF" w:rsidRDefault="00615769">
            <w:pPr>
              <w:rPr>
                <w:del w:id="9482" w:author="AbbVie2" w:date="2025-05-13T16:39:00Z"/>
                <w:rFonts w:eastAsia="Arial Unicode MS"/>
              </w:rPr>
              <w:pPrChange w:id="9483" w:author="AbbVie2" w:date="2025-05-13T16:40:00Z">
                <w:pPr>
                  <w:keepNext/>
                  <w:jc w:val="center"/>
                </w:pPr>
              </w:pPrChange>
            </w:pPr>
            <w:del w:id="9484" w:author="AbbVie2" w:date="2025-05-13T16:39:00Z">
              <w:r w:rsidRPr="008912CF">
                <w:rPr>
                  <w:rFonts w:eastAsia="Arial Unicode MS"/>
                  <w:sz w:val="22"/>
                  <w:szCs w:val="22"/>
                </w:rPr>
                <w:delText>(N=140)</w:delText>
              </w:r>
            </w:del>
          </w:p>
        </w:tc>
        <w:tc>
          <w:tcPr>
            <w:tcW w:w="1391" w:type="pct"/>
            <w:tcBorders>
              <w:top w:val="nil"/>
              <w:left w:val="nil"/>
              <w:right w:val="nil"/>
            </w:tcBorders>
          </w:tcPr>
          <w:p w14:paraId="451E1DEB" w14:textId="50C7B249" w:rsidR="004462A0" w:rsidRPr="008912CF" w:rsidRDefault="00615769">
            <w:pPr>
              <w:rPr>
                <w:del w:id="9485" w:author="AbbVie2" w:date="2025-05-13T16:39:00Z"/>
                <w:rFonts w:eastAsia="Arial Unicode MS"/>
              </w:rPr>
              <w:pPrChange w:id="9486" w:author="AbbVie2" w:date="2025-05-13T16:40:00Z">
                <w:pPr>
                  <w:keepNext/>
                  <w:jc w:val="center"/>
                </w:pPr>
              </w:pPrChange>
            </w:pPr>
            <w:del w:id="9487" w:author="AbbVie2" w:date="2025-05-13T16:39:00Z">
              <w:r w:rsidRPr="008912CF">
                <w:rPr>
                  <w:rFonts w:eastAsia="Arial Unicode MS"/>
                  <w:sz w:val="22"/>
                  <w:szCs w:val="22"/>
                </w:rPr>
                <w:delText xml:space="preserve">     13</w:delText>
              </w:r>
              <w:r w:rsidR="009343EF">
                <w:rPr>
                  <w:rFonts w:eastAsia="Arial Unicode MS"/>
                  <w:sz w:val="22"/>
                  <w:szCs w:val="22"/>
                </w:rPr>
                <w:delText>%</w:delText>
              </w:r>
              <w:r w:rsidRPr="008912CF">
                <w:rPr>
                  <w:rFonts w:eastAsia="Arial Unicode MS"/>
                  <w:sz w:val="22"/>
                  <w:szCs w:val="22"/>
                </w:rPr>
                <w:delText xml:space="preserve"> *</w:delText>
              </w:r>
            </w:del>
          </w:p>
          <w:p w14:paraId="2F6EA321" w14:textId="26C9DE3F" w:rsidR="004462A0" w:rsidRPr="008912CF" w:rsidRDefault="00615769">
            <w:pPr>
              <w:rPr>
                <w:del w:id="9488" w:author="AbbVie2" w:date="2025-05-13T16:39:00Z"/>
                <w:rFonts w:eastAsia="Arial Unicode MS"/>
              </w:rPr>
              <w:pPrChange w:id="9489" w:author="AbbVie2" w:date="2025-05-13T16:40:00Z">
                <w:pPr>
                  <w:keepNext/>
                  <w:jc w:val="center"/>
                </w:pPr>
              </w:pPrChange>
            </w:pPr>
            <w:del w:id="9490" w:author="AbbVie2" w:date="2025-05-13T16:39:00Z">
              <w:r w:rsidRPr="008912CF">
                <w:rPr>
                  <w:rFonts w:eastAsia="Arial Unicode MS"/>
                  <w:sz w:val="22"/>
                  <w:szCs w:val="22"/>
                </w:rPr>
                <w:delText>(N=150)</w:delText>
              </w:r>
            </w:del>
          </w:p>
          <w:p w14:paraId="4274EBE6" w14:textId="295FE557" w:rsidR="004462A0" w:rsidRPr="008912CF" w:rsidRDefault="004462A0">
            <w:pPr>
              <w:rPr>
                <w:del w:id="9491" w:author="AbbVie2" w:date="2025-05-13T16:39:00Z"/>
                <w:rFonts w:eastAsia="Arial Unicode MS"/>
              </w:rPr>
              <w:pPrChange w:id="9492" w:author="AbbVie2" w:date="2025-05-13T16:40:00Z">
                <w:pPr>
                  <w:keepNext/>
                </w:pPr>
              </w:pPrChange>
            </w:pPr>
          </w:p>
        </w:tc>
      </w:tr>
      <w:tr w:rsidR="00A7162A" w14:paraId="079F49E7" w14:textId="5E189315" w:rsidTr="00F675CF">
        <w:trPr>
          <w:jc w:val="center"/>
          <w:del w:id="9493" w:author="AbbVie2" w:date="2025-05-13T16:39:00Z"/>
        </w:trPr>
        <w:tc>
          <w:tcPr>
            <w:tcW w:w="2976" w:type="pct"/>
            <w:tcBorders>
              <w:top w:val="nil"/>
              <w:left w:val="nil"/>
              <w:right w:val="nil"/>
            </w:tcBorders>
          </w:tcPr>
          <w:p w14:paraId="56CBB6C8" w14:textId="451CA06A" w:rsidR="004462A0" w:rsidRPr="008912CF" w:rsidRDefault="00615769">
            <w:pPr>
              <w:rPr>
                <w:del w:id="9494" w:author="AbbVie2" w:date="2025-05-13T16:39:00Z"/>
                <w:rFonts w:eastAsia="Arial Unicode MS"/>
              </w:rPr>
              <w:pPrChange w:id="9495" w:author="AbbVie2" w:date="2025-05-13T16:40:00Z">
                <w:pPr>
                  <w:keepNext/>
                </w:pPr>
              </w:pPrChange>
            </w:pPr>
            <w:del w:id="9496" w:author="AbbVie2" w:date="2025-05-13T16:39:00Z">
              <w:r w:rsidRPr="008912CF">
                <w:rPr>
                  <w:rFonts w:eastAsia="Arial Unicode MS"/>
                  <w:sz w:val="22"/>
                  <w:szCs w:val="22"/>
                </w:rPr>
                <w:delText>Semana 8 e 52</w:delText>
              </w:r>
            </w:del>
          </w:p>
        </w:tc>
        <w:tc>
          <w:tcPr>
            <w:tcW w:w="634" w:type="pct"/>
            <w:tcBorders>
              <w:top w:val="nil"/>
              <w:left w:val="nil"/>
              <w:right w:val="nil"/>
            </w:tcBorders>
          </w:tcPr>
          <w:p w14:paraId="60300BB1" w14:textId="7642CC76" w:rsidR="004462A0" w:rsidRPr="008912CF" w:rsidRDefault="004462A0">
            <w:pPr>
              <w:rPr>
                <w:del w:id="9497" w:author="AbbVie2" w:date="2025-05-13T16:39:00Z"/>
                <w:rFonts w:eastAsia="Arial Unicode MS"/>
              </w:rPr>
              <w:pPrChange w:id="9498" w:author="AbbVie2" w:date="2025-05-13T16:40:00Z">
                <w:pPr>
                  <w:keepNext/>
                  <w:jc w:val="center"/>
                </w:pPr>
              </w:pPrChange>
            </w:pPr>
          </w:p>
        </w:tc>
        <w:tc>
          <w:tcPr>
            <w:tcW w:w="1391" w:type="pct"/>
            <w:tcBorders>
              <w:top w:val="nil"/>
              <w:left w:val="nil"/>
              <w:right w:val="nil"/>
            </w:tcBorders>
          </w:tcPr>
          <w:p w14:paraId="2E3D7ADD" w14:textId="7BAAAF6B" w:rsidR="004462A0" w:rsidRPr="008912CF" w:rsidRDefault="004462A0">
            <w:pPr>
              <w:rPr>
                <w:del w:id="9499" w:author="AbbVie2" w:date="2025-05-13T16:39:00Z"/>
                <w:rFonts w:eastAsia="Arial Unicode MS"/>
              </w:rPr>
              <w:pPrChange w:id="9500" w:author="AbbVie2" w:date="2025-05-13T16:40:00Z">
                <w:pPr>
                  <w:keepNext/>
                  <w:jc w:val="center"/>
                </w:pPr>
              </w:pPrChange>
            </w:pPr>
          </w:p>
        </w:tc>
      </w:tr>
      <w:tr w:rsidR="00A7162A" w14:paraId="30502CB8" w14:textId="3DB5017E" w:rsidTr="00F675CF">
        <w:trPr>
          <w:jc w:val="center"/>
          <w:del w:id="9501" w:author="AbbVie2" w:date="2025-05-13T16:39:00Z"/>
        </w:trPr>
        <w:tc>
          <w:tcPr>
            <w:tcW w:w="2976" w:type="pct"/>
            <w:tcBorders>
              <w:top w:val="nil"/>
              <w:left w:val="nil"/>
              <w:right w:val="nil"/>
            </w:tcBorders>
          </w:tcPr>
          <w:p w14:paraId="04E2DFB0" w14:textId="028F5BC9" w:rsidR="004462A0" w:rsidRPr="008912CF" w:rsidRDefault="00615769">
            <w:pPr>
              <w:rPr>
                <w:del w:id="9502" w:author="AbbVie2" w:date="2025-05-13T16:39:00Z"/>
                <w:rFonts w:eastAsia="Arial Unicode MS"/>
              </w:rPr>
              <w:pPrChange w:id="9503" w:author="AbbVie2" w:date="2025-05-13T16:40:00Z">
                <w:pPr>
                  <w:keepNext/>
                </w:pPr>
              </w:pPrChange>
            </w:pPr>
            <w:del w:id="9504" w:author="AbbVie2" w:date="2025-05-13T16:39:00Z">
              <w:r w:rsidRPr="008912CF">
                <w:rPr>
                  <w:rFonts w:eastAsia="Arial Unicode MS"/>
                  <w:sz w:val="22"/>
                  <w:szCs w:val="22"/>
                </w:rPr>
                <w:delText xml:space="preserve"> Resposta Sustentada </w:delText>
              </w:r>
            </w:del>
          </w:p>
        </w:tc>
        <w:tc>
          <w:tcPr>
            <w:tcW w:w="634" w:type="pct"/>
            <w:tcBorders>
              <w:top w:val="nil"/>
              <w:left w:val="nil"/>
              <w:right w:val="nil"/>
            </w:tcBorders>
          </w:tcPr>
          <w:p w14:paraId="0EAC2255" w14:textId="67EACBF9" w:rsidR="004462A0" w:rsidRPr="008912CF" w:rsidRDefault="00615769">
            <w:pPr>
              <w:rPr>
                <w:del w:id="9505" w:author="AbbVie2" w:date="2025-05-13T16:39:00Z"/>
                <w:rFonts w:eastAsia="Arial Unicode MS"/>
              </w:rPr>
              <w:pPrChange w:id="9506" w:author="AbbVie2" w:date="2025-05-13T16:40:00Z">
                <w:pPr>
                  <w:keepNext/>
                  <w:jc w:val="center"/>
                </w:pPr>
              </w:pPrChange>
            </w:pPr>
            <w:del w:id="9507" w:author="AbbVie2" w:date="2025-05-13T16:39:00Z">
              <w:r w:rsidRPr="008912CF">
                <w:rPr>
                  <w:rFonts w:eastAsia="Arial Unicode MS"/>
                  <w:sz w:val="22"/>
                  <w:szCs w:val="22"/>
                </w:rPr>
                <w:delText>12</w:delText>
              </w:r>
              <w:r w:rsidR="009343EF">
                <w:rPr>
                  <w:rFonts w:eastAsia="Arial Unicode MS"/>
                  <w:sz w:val="22"/>
                  <w:szCs w:val="22"/>
                </w:rPr>
                <w:delText>%</w:delText>
              </w:r>
            </w:del>
          </w:p>
        </w:tc>
        <w:tc>
          <w:tcPr>
            <w:tcW w:w="1391" w:type="pct"/>
            <w:tcBorders>
              <w:top w:val="nil"/>
              <w:left w:val="nil"/>
              <w:right w:val="nil"/>
            </w:tcBorders>
          </w:tcPr>
          <w:p w14:paraId="7CADBD9D" w14:textId="6D3FA54A" w:rsidR="004462A0" w:rsidRPr="008912CF" w:rsidRDefault="00615769">
            <w:pPr>
              <w:rPr>
                <w:del w:id="9508" w:author="AbbVie2" w:date="2025-05-13T16:39:00Z"/>
                <w:rFonts w:eastAsia="Arial Unicode MS"/>
              </w:rPr>
              <w:pPrChange w:id="9509" w:author="AbbVie2" w:date="2025-05-13T16:40:00Z">
                <w:pPr>
                  <w:keepNext/>
                  <w:jc w:val="center"/>
                </w:pPr>
              </w:pPrChange>
            </w:pPr>
            <w:del w:id="9510" w:author="AbbVie2" w:date="2025-05-13T16:39:00Z">
              <w:r w:rsidRPr="008912CF">
                <w:rPr>
                  <w:rFonts w:eastAsia="Arial Unicode MS"/>
                  <w:sz w:val="22"/>
                  <w:szCs w:val="22"/>
                </w:rPr>
                <w:delText xml:space="preserve">   24</w:delText>
              </w:r>
              <w:r w:rsidR="009343EF">
                <w:rPr>
                  <w:rFonts w:eastAsia="Arial Unicode MS"/>
                  <w:sz w:val="22"/>
                  <w:szCs w:val="22"/>
                </w:rPr>
                <w:delText>%</w:delText>
              </w:r>
              <w:r w:rsidRPr="008912CF">
                <w:rPr>
                  <w:rFonts w:eastAsia="Arial Unicode MS"/>
                  <w:sz w:val="22"/>
                  <w:szCs w:val="22"/>
                </w:rPr>
                <w:delText>**</w:delText>
              </w:r>
            </w:del>
          </w:p>
        </w:tc>
      </w:tr>
      <w:tr w:rsidR="00A7162A" w14:paraId="7BCCB127" w14:textId="6599FE9D" w:rsidTr="00DF5632">
        <w:trPr>
          <w:jc w:val="center"/>
          <w:del w:id="9511" w:author="AbbVie2" w:date="2025-05-13T16:39:00Z"/>
        </w:trPr>
        <w:tc>
          <w:tcPr>
            <w:tcW w:w="2976" w:type="pct"/>
            <w:tcBorders>
              <w:top w:val="nil"/>
              <w:left w:val="nil"/>
              <w:right w:val="nil"/>
            </w:tcBorders>
          </w:tcPr>
          <w:p w14:paraId="0ED04BEA" w14:textId="7E289DA3" w:rsidR="004462A0" w:rsidRPr="008912CF" w:rsidRDefault="00615769">
            <w:pPr>
              <w:rPr>
                <w:del w:id="9512" w:author="AbbVie2" w:date="2025-05-13T16:39:00Z"/>
                <w:rFonts w:eastAsia="Arial Unicode MS"/>
              </w:rPr>
              <w:pPrChange w:id="9513" w:author="AbbVie2" w:date="2025-05-13T16:40:00Z">
                <w:pPr>
                  <w:keepNext/>
                </w:pPr>
              </w:pPrChange>
            </w:pPr>
            <w:del w:id="9514" w:author="AbbVie2" w:date="2025-05-13T16:39:00Z">
              <w:r w:rsidRPr="008912CF">
                <w:rPr>
                  <w:rFonts w:eastAsia="Arial Unicode MS"/>
                  <w:sz w:val="22"/>
                  <w:szCs w:val="22"/>
                </w:rPr>
                <w:delText xml:space="preserve"> Remissão Sustentada </w:delText>
              </w:r>
            </w:del>
          </w:p>
        </w:tc>
        <w:tc>
          <w:tcPr>
            <w:tcW w:w="634" w:type="pct"/>
            <w:tcBorders>
              <w:top w:val="nil"/>
              <w:left w:val="nil"/>
              <w:right w:val="nil"/>
            </w:tcBorders>
          </w:tcPr>
          <w:p w14:paraId="67FD04E8" w14:textId="285550EC" w:rsidR="004462A0" w:rsidRPr="008912CF" w:rsidRDefault="00615769">
            <w:pPr>
              <w:rPr>
                <w:del w:id="9515" w:author="AbbVie2" w:date="2025-05-13T16:39:00Z"/>
                <w:rFonts w:eastAsia="Arial Unicode MS"/>
              </w:rPr>
              <w:pPrChange w:id="9516" w:author="AbbVie2" w:date="2025-05-13T16:40:00Z">
                <w:pPr>
                  <w:keepNext/>
                  <w:jc w:val="center"/>
                </w:pPr>
              </w:pPrChange>
            </w:pPr>
            <w:del w:id="9517" w:author="AbbVie2" w:date="2025-05-13T16:39:00Z">
              <w:r w:rsidRPr="008912CF">
                <w:rPr>
                  <w:rFonts w:eastAsia="Arial Unicode MS"/>
                  <w:sz w:val="22"/>
                  <w:szCs w:val="22"/>
                </w:rPr>
                <w:delText>4</w:delText>
              </w:r>
              <w:r w:rsidR="009343EF">
                <w:rPr>
                  <w:rFonts w:eastAsia="Arial Unicode MS"/>
                  <w:sz w:val="22"/>
                  <w:szCs w:val="22"/>
                </w:rPr>
                <w:delText>%</w:delText>
              </w:r>
            </w:del>
          </w:p>
        </w:tc>
        <w:tc>
          <w:tcPr>
            <w:tcW w:w="1391" w:type="pct"/>
            <w:tcBorders>
              <w:top w:val="nil"/>
              <w:left w:val="nil"/>
              <w:right w:val="nil"/>
            </w:tcBorders>
          </w:tcPr>
          <w:p w14:paraId="70B21B42" w14:textId="2F9AED9A" w:rsidR="004462A0" w:rsidRPr="008912CF" w:rsidRDefault="00615769">
            <w:pPr>
              <w:rPr>
                <w:del w:id="9518" w:author="AbbVie2" w:date="2025-05-13T16:39:00Z"/>
                <w:rFonts w:eastAsia="Arial Unicode MS"/>
              </w:rPr>
              <w:pPrChange w:id="9519" w:author="AbbVie2" w:date="2025-05-13T16:40:00Z">
                <w:pPr>
                  <w:keepNext/>
                  <w:jc w:val="center"/>
                </w:pPr>
              </w:pPrChange>
            </w:pPr>
            <w:del w:id="9520" w:author="AbbVie2" w:date="2025-05-13T16:39:00Z">
              <w:r w:rsidRPr="008912CF">
                <w:rPr>
                  <w:rFonts w:eastAsia="Arial Unicode MS"/>
                  <w:sz w:val="22"/>
                  <w:szCs w:val="22"/>
                </w:rPr>
                <w:delText xml:space="preserve">   8</w:delText>
              </w:r>
              <w:r w:rsidR="009343EF">
                <w:rPr>
                  <w:rFonts w:eastAsia="Arial Unicode MS"/>
                  <w:sz w:val="22"/>
                  <w:szCs w:val="22"/>
                </w:rPr>
                <w:delText>%</w:delText>
              </w:r>
              <w:r w:rsidRPr="008912CF">
                <w:rPr>
                  <w:rFonts w:eastAsia="Arial Unicode MS"/>
                  <w:sz w:val="22"/>
                  <w:szCs w:val="22"/>
                </w:rPr>
                <w:delText>*</w:delText>
              </w:r>
            </w:del>
          </w:p>
        </w:tc>
      </w:tr>
      <w:tr w:rsidR="00A7162A" w14:paraId="169CAC0E" w14:textId="42BBF89C" w:rsidTr="00DF5632">
        <w:trPr>
          <w:jc w:val="center"/>
          <w:del w:id="9521" w:author="AbbVie2" w:date="2025-05-13T16:39:00Z"/>
        </w:trPr>
        <w:tc>
          <w:tcPr>
            <w:tcW w:w="2976" w:type="pct"/>
            <w:tcBorders>
              <w:top w:val="nil"/>
              <w:left w:val="nil"/>
              <w:bottom w:val="single" w:sz="4" w:space="0" w:color="auto"/>
              <w:right w:val="nil"/>
            </w:tcBorders>
          </w:tcPr>
          <w:p w14:paraId="76B520DF" w14:textId="5BC22F9B" w:rsidR="004462A0" w:rsidRPr="008912CF" w:rsidRDefault="00615769">
            <w:pPr>
              <w:rPr>
                <w:del w:id="9522" w:author="AbbVie2" w:date="2025-05-13T16:39:00Z"/>
                <w:rFonts w:eastAsia="Arial Unicode MS"/>
              </w:rPr>
              <w:pPrChange w:id="9523" w:author="AbbVie2" w:date="2025-05-13T16:40:00Z">
                <w:pPr>
                  <w:keepNext/>
                </w:pPr>
              </w:pPrChange>
            </w:pPr>
            <w:del w:id="9524" w:author="AbbVie2" w:date="2025-05-13T16:39:00Z">
              <w:r w:rsidRPr="008912CF">
                <w:rPr>
                  <w:rFonts w:eastAsia="Arial Unicode MS"/>
                  <w:sz w:val="22"/>
                  <w:szCs w:val="22"/>
                </w:rPr>
                <w:delText xml:space="preserve"> Cicatrização da Mucosa Sustentada </w:delText>
              </w:r>
            </w:del>
          </w:p>
        </w:tc>
        <w:tc>
          <w:tcPr>
            <w:tcW w:w="634" w:type="pct"/>
            <w:tcBorders>
              <w:top w:val="nil"/>
              <w:left w:val="nil"/>
              <w:bottom w:val="single" w:sz="4" w:space="0" w:color="auto"/>
              <w:right w:val="nil"/>
            </w:tcBorders>
          </w:tcPr>
          <w:p w14:paraId="1DBB0705" w14:textId="5C035C49" w:rsidR="004462A0" w:rsidRPr="008912CF" w:rsidRDefault="00615769">
            <w:pPr>
              <w:rPr>
                <w:del w:id="9525" w:author="AbbVie2" w:date="2025-05-13T16:39:00Z"/>
                <w:rFonts w:eastAsia="Arial Unicode MS"/>
              </w:rPr>
              <w:pPrChange w:id="9526" w:author="AbbVie2" w:date="2025-05-13T16:40:00Z">
                <w:pPr>
                  <w:keepNext/>
                  <w:jc w:val="center"/>
                </w:pPr>
              </w:pPrChange>
            </w:pPr>
            <w:del w:id="9527" w:author="AbbVie2" w:date="2025-05-13T16:39:00Z">
              <w:r w:rsidRPr="008912CF">
                <w:rPr>
                  <w:rFonts w:eastAsia="Arial Unicode MS"/>
                  <w:sz w:val="22"/>
                  <w:szCs w:val="22"/>
                </w:rPr>
                <w:delText>11</w:delText>
              </w:r>
              <w:r w:rsidR="009343EF">
                <w:rPr>
                  <w:rFonts w:eastAsia="Arial Unicode MS"/>
                  <w:sz w:val="22"/>
                  <w:szCs w:val="22"/>
                </w:rPr>
                <w:delText>%</w:delText>
              </w:r>
            </w:del>
          </w:p>
        </w:tc>
        <w:tc>
          <w:tcPr>
            <w:tcW w:w="1391" w:type="pct"/>
            <w:tcBorders>
              <w:top w:val="nil"/>
              <w:left w:val="nil"/>
              <w:bottom w:val="single" w:sz="4" w:space="0" w:color="auto"/>
              <w:right w:val="nil"/>
            </w:tcBorders>
          </w:tcPr>
          <w:p w14:paraId="2B0915F9" w14:textId="1C27ED01" w:rsidR="004462A0" w:rsidRPr="008912CF" w:rsidRDefault="00615769">
            <w:pPr>
              <w:rPr>
                <w:del w:id="9528" w:author="AbbVie2" w:date="2025-05-13T16:39:00Z"/>
                <w:rFonts w:eastAsia="Arial Unicode MS"/>
              </w:rPr>
              <w:pPrChange w:id="9529" w:author="AbbVie2" w:date="2025-05-13T16:40:00Z">
                <w:pPr>
                  <w:keepNext/>
                  <w:jc w:val="center"/>
                </w:pPr>
              </w:pPrChange>
            </w:pPr>
            <w:del w:id="9530" w:author="AbbVie2" w:date="2025-05-13T16:39:00Z">
              <w:r w:rsidRPr="008912CF">
                <w:rPr>
                  <w:rFonts w:eastAsia="Arial Unicode MS"/>
                  <w:sz w:val="22"/>
                  <w:szCs w:val="22"/>
                </w:rPr>
                <w:delText xml:space="preserve">  19</w:delText>
              </w:r>
              <w:r w:rsidR="009343EF">
                <w:rPr>
                  <w:rFonts w:eastAsia="Arial Unicode MS"/>
                  <w:sz w:val="22"/>
                  <w:szCs w:val="22"/>
                </w:rPr>
                <w:delText>%</w:delText>
              </w:r>
              <w:r w:rsidRPr="008912CF">
                <w:rPr>
                  <w:rFonts w:eastAsia="Arial Unicode MS"/>
                  <w:sz w:val="22"/>
                  <w:szCs w:val="22"/>
                </w:rPr>
                <w:delText>*</w:delText>
              </w:r>
            </w:del>
          </w:p>
        </w:tc>
      </w:tr>
      <w:tr w:rsidR="00A7162A" w14:paraId="77FFA241" w14:textId="4AC61AAA" w:rsidTr="00DF5632">
        <w:trPr>
          <w:jc w:val="center"/>
          <w:del w:id="9531" w:author="AbbVie2" w:date="2025-05-13T16:39:00Z"/>
        </w:trPr>
        <w:tc>
          <w:tcPr>
            <w:tcW w:w="5000" w:type="pct"/>
            <w:gridSpan w:val="3"/>
            <w:tcBorders>
              <w:top w:val="single" w:sz="4" w:space="0" w:color="auto"/>
              <w:left w:val="nil"/>
              <w:bottom w:val="nil"/>
              <w:right w:val="nil"/>
            </w:tcBorders>
          </w:tcPr>
          <w:p w14:paraId="13814A37" w14:textId="273AD8A4" w:rsidR="004462A0" w:rsidRPr="008912CF" w:rsidRDefault="00615769">
            <w:pPr>
              <w:rPr>
                <w:del w:id="9532" w:author="AbbVie2" w:date="2025-05-13T16:39:00Z"/>
                <w:rFonts w:eastAsia="Arial Unicode MS"/>
                <w:sz w:val="22"/>
                <w:szCs w:val="22"/>
              </w:rPr>
              <w:pPrChange w:id="9533" w:author="AbbVie2" w:date="2025-05-13T16:40:00Z">
                <w:pPr>
                  <w:keepNext/>
                  <w:spacing w:line="264" w:lineRule="atLeast"/>
                </w:pPr>
              </w:pPrChange>
            </w:pPr>
            <w:del w:id="9534" w:author="AbbVie2" w:date="2025-05-13T16:39:00Z">
              <w:r w:rsidRPr="008912CF">
                <w:rPr>
                  <w:rFonts w:eastAsia="Arial Unicode MS"/>
                  <w:sz w:val="22"/>
                  <w:szCs w:val="22"/>
                </w:rPr>
                <w:delText xml:space="preserve">Remissão Clínica </w:delText>
              </w:r>
              <w:r w:rsidR="00384E8F">
                <w:rPr>
                  <w:rFonts w:eastAsia="Arial Unicode MS"/>
                  <w:sz w:val="22"/>
                  <w:szCs w:val="22"/>
                </w:rPr>
                <w:delText>é</w:delText>
              </w:r>
              <w:r w:rsidRPr="008912CF">
                <w:rPr>
                  <w:rFonts w:eastAsia="Arial Unicode MS"/>
                  <w:sz w:val="22"/>
                  <w:szCs w:val="22"/>
                </w:rPr>
                <w:delText xml:space="preserve"> pontuação Mayo ≤ 2 sem subpontuação &gt; 1;</w:delText>
              </w:r>
            </w:del>
          </w:p>
          <w:p w14:paraId="6208CB23" w14:textId="14AD1044" w:rsidR="00384E8F" w:rsidRDefault="00615769">
            <w:pPr>
              <w:rPr>
                <w:del w:id="9535" w:author="AbbVie2" w:date="2025-05-13T16:39:00Z"/>
                <w:rFonts w:eastAsia="Arial Unicode MS"/>
                <w:sz w:val="22"/>
                <w:szCs w:val="22"/>
              </w:rPr>
              <w:pPrChange w:id="9536" w:author="AbbVie2" w:date="2025-05-13T16:40:00Z">
                <w:pPr>
                  <w:keepNext/>
                  <w:spacing w:line="264" w:lineRule="atLeast"/>
                </w:pPr>
              </w:pPrChange>
            </w:pPr>
            <w:del w:id="9537" w:author="AbbVie2" w:date="2025-05-13T16:39:00Z">
              <w:r>
                <w:rPr>
                  <w:rFonts w:eastAsia="Arial Unicode MS"/>
                  <w:sz w:val="22"/>
                  <w:szCs w:val="22"/>
                </w:rPr>
                <w:delText>Resposta clínica é d</w:delText>
              </w:r>
              <w:r w:rsidR="004462A0" w:rsidRPr="008912CF">
                <w:rPr>
                  <w:rFonts w:eastAsia="Arial Unicode MS"/>
                  <w:sz w:val="22"/>
                  <w:szCs w:val="22"/>
                </w:rPr>
                <w:delText>iminuição desde a linha de base da pontuação de Mayo ≥3 pontos e ≥30</w:delText>
              </w:r>
              <w:r w:rsidR="009343EF">
                <w:rPr>
                  <w:rFonts w:eastAsia="Arial Unicode MS"/>
                  <w:sz w:val="22"/>
                  <w:szCs w:val="22"/>
                </w:rPr>
                <w:delText>%</w:delText>
              </w:r>
              <w:r w:rsidR="004462A0" w:rsidRPr="008912CF">
                <w:rPr>
                  <w:rFonts w:eastAsia="Arial Unicode MS"/>
                  <w:sz w:val="22"/>
                  <w:szCs w:val="22"/>
                </w:rPr>
                <w:delText xml:space="preserve">, acompanhado de uma redução na subpontuação de hemorragia retal de ≥ 1 ou um resultado absoluto de hemorragia retal de 0 ou 1.  </w:delText>
              </w:r>
            </w:del>
          </w:p>
          <w:p w14:paraId="0665EF89" w14:textId="6569F30B" w:rsidR="004462A0" w:rsidRPr="008912CF" w:rsidRDefault="00615769">
            <w:pPr>
              <w:rPr>
                <w:del w:id="9538" w:author="AbbVie2" w:date="2025-05-13T16:39:00Z"/>
                <w:rFonts w:eastAsia="Arial Unicode MS"/>
              </w:rPr>
              <w:pPrChange w:id="9539" w:author="AbbVie2" w:date="2025-05-13T16:40:00Z">
                <w:pPr>
                  <w:keepNext/>
                  <w:spacing w:line="264" w:lineRule="atLeast"/>
                </w:pPr>
              </w:pPrChange>
            </w:pPr>
            <w:del w:id="9540" w:author="AbbVie2" w:date="2025-05-13T16:39:00Z">
              <w:r w:rsidRPr="008912CF">
                <w:rPr>
                  <w:rStyle w:val="sup1"/>
                  <w:rFonts w:eastAsia="Arial Unicode MS"/>
                  <w:sz w:val="22"/>
                  <w:szCs w:val="22"/>
                  <w:vertAlign w:val="superscript"/>
                </w:rPr>
                <w:delText>*</w:delText>
              </w:r>
              <w:r w:rsidRPr="008912CF">
                <w:rPr>
                  <w:rFonts w:eastAsia="Arial Unicode MS"/>
                  <w:sz w:val="22"/>
                  <w:szCs w:val="22"/>
                </w:rPr>
                <w:delText xml:space="preserve">p&lt;0,05 para Humira </w:delText>
              </w:r>
              <w:r w:rsidRPr="008912CF">
                <w:rPr>
                  <w:rStyle w:val="italics5"/>
                  <w:rFonts w:eastAsia="Arial Unicode MS"/>
                  <w:sz w:val="22"/>
                  <w:szCs w:val="22"/>
                </w:rPr>
                <w:delText>versus</w:delText>
              </w:r>
              <w:r w:rsidRPr="008912CF">
                <w:rPr>
                  <w:rFonts w:eastAsia="Arial Unicode MS"/>
                  <w:sz w:val="22"/>
                  <w:szCs w:val="22"/>
                </w:rPr>
                <w:delText xml:space="preserve"> placebo em proporções comparativas emparelhadas </w:delText>
              </w:r>
            </w:del>
          </w:p>
          <w:p w14:paraId="0FA30AE0" w14:textId="20AE9866" w:rsidR="004462A0" w:rsidRPr="008912CF" w:rsidRDefault="00615769">
            <w:pPr>
              <w:rPr>
                <w:del w:id="9541" w:author="AbbVie2" w:date="2025-05-13T16:39:00Z"/>
                <w:rFonts w:eastAsia="Arial Unicode MS"/>
              </w:rPr>
              <w:pPrChange w:id="9542" w:author="AbbVie2" w:date="2025-05-13T16:40:00Z">
                <w:pPr>
                  <w:keepNext/>
                  <w:spacing w:line="264" w:lineRule="atLeast"/>
                </w:pPr>
              </w:pPrChange>
            </w:pPr>
            <w:del w:id="9543" w:author="AbbVie2" w:date="2025-05-13T16:39:00Z">
              <w:r w:rsidRPr="008912CF">
                <w:rPr>
                  <w:rFonts w:eastAsia="Arial Unicode MS"/>
                  <w:sz w:val="22"/>
                  <w:szCs w:val="22"/>
                </w:rPr>
                <w:delText xml:space="preserve">**p&lt;0,001 para  Humira </w:delText>
              </w:r>
              <w:r w:rsidRPr="008912CF">
                <w:rPr>
                  <w:rFonts w:eastAsia="Arial Unicode MS"/>
                  <w:i/>
                  <w:sz w:val="22"/>
                  <w:szCs w:val="22"/>
                </w:rPr>
                <w:delText>versus</w:delText>
              </w:r>
              <w:r w:rsidRPr="008912CF">
                <w:rPr>
                  <w:rFonts w:eastAsia="Arial Unicode MS"/>
                  <w:sz w:val="22"/>
                  <w:szCs w:val="22"/>
                </w:rPr>
                <w:delText xml:space="preserve"> placebo em proporções comparativas emparelhadas</w:delText>
              </w:r>
            </w:del>
          </w:p>
          <w:p w14:paraId="7CE4FE60" w14:textId="7BCB8BFB" w:rsidR="004462A0" w:rsidRPr="008912CF" w:rsidRDefault="00615769">
            <w:pPr>
              <w:rPr>
                <w:del w:id="9544" w:author="AbbVie2" w:date="2025-05-13T16:39:00Z"/>
                <w:rFonts w:eastAsia="Arial Unicode MS"/>
                <w:b/>
              </w:rPr>
              <w:pPrChange w:id="9545" w:author="AbbVie2" w:date="2025-05-13T16:40:00Z">
                <w:pPr>
                  <w:keepNext/>
                  <w:spacing w:line="264" w:lineRule="atLeast"/>
                </w:pPr>
              </w:pPrChange>
            </w:pPr>
            <w:del w:id="9546" w:author="AbbVie2" w:date="2025-05-13T16:39:00Z">
              <w:r w:rsidRPr="008912CF">
                <w:rPr>
                  <w:sz w:val="22"/>
                  <w:szCs w:val="22"/>
                  <w:vertAlign w:val="superscript"/>
                </w:rPr>
                <w:delText xml:space="preserve">a </w:delText>
              </w:r>
              <w:r w:rsidRPr="008912CF">
                <w:rPr>
                  <w:sz w:val="22"/>
                  <w:szCs w:val="22"/>
                </w:rPr>
                <w:delText xml:space="preserve">  Dos que receberam corticosteroides no início do estudo</w:delText>
              </w:r>
            </w:del>
          </w:p>
        </w:tc>
      </w:tr>
    </w:tbl>
    <w:p w14:paraId="2500A1B5" w14:textId="2CF9B69D" w:rsidR="004462A0" w:rsidRPr="008912CF" w:rsidRDefault="004462A0">
      <w:pPr>
        <w:rPr>
          <w:del w:id="9547" w:author="AbbVie2" w:date="2025-05-13T16:39:00Z"/>
          <w:iCs/>
          <w:szCs w:val="22"/>
        </w:rPr>
        <w:pPrChange w:id="9548" w:author="AbbVie2" w:date="2025-05-13T16:40:00Z">
          <w:pPr>
            <w:pStyle w:val="EMEANormal"/>
          </w:pPr>
        </w:pPrChange>
      </w:pPr>
    </w:p>
    <w:p w14:paraId="24486D9B" w14:textId="6BCD086C" w:rsidR="004462A0" w:rsidRPr="008912CF" w:rsidRDefault="00615769">
      <w:pPr>
        <w:rPr>
          <w:del w:id="9549" w:author="AbbVie2" w:date="2025-05-13T16:39:00Z"/>
          <w:sz w:val="22"/>
        </w:rPr>
        <w:pPrChange w:id="9550" w:author="AbbVie2" w:date="2025-05-13T16:40:00Z">
          <w:pPr>
            <w:tabs>
              <w:tab w:val="left" w:pos="562"/>
            </w:tabs>
            <w:suppressAutoHyphens/>
          </w:pPr>
        </w:pPrChange>
      </w:pPr>
      <w:del w:id="9551" w:author="AbbVie2" w:date="2025-05-13T16:39:00Z">
        <w:r w:rsidRPr="008912CF">
          <w:rPr>
            <w:sz w:val="22"/>
          </w:rPr>
          <w:delText>Dos doentes que demonstraram uma resposta à Semana 8, 47</w:delText>
        </w:r>
        <w:r w:rsidR="009343EF">
          <w:rPr>
            <w:sz w:val="22"/>
          </w:rPr>
          <w:delText>%</w:delText>
        </w:r>
        <w:r w:rsidRPr="008912CF">
          <w:rPr>
            <w:sz w:val="22"/>
          </w:rPr>
          <w:delText xml:space="preserve"> mantiveram a resposta, 29</w:delText>
        </w:r>
        <w:r w:rsidR="009343EF">
          <w:rPr>
            <w:sz w:val="22"/>
          </w:rPr>
          <w:delText>%</w:delText>
        </w:r>
        <w:r w:rsidRPr="008912CF">
          <w:rPr>
            <w:sz w:val="22"/>
          </w:rPr>
          <w:delText xml:space="preserve"> estavam em remissão, 41</w:delText>
        </w:r>
        <w:r w:rsidR="009343EF">
          <w:rPr>
            <w:sz w:val="22"/>
          </w:rPr>
          <w:delText>%</w:delText>
        </w:r>
        <w:r w:rsidRPr="008912CF">
          <w:rPr>
            <w:sz w:val="22"/>
          </w:rPr>
          <w:delText xml:space="preserve"> demonstraram cicatrização da mucosa e 20</w:delText>
        </w:r>
        <w:r w:rsidR="009343EF">
          <w:rPr>
            <w:sz w:val="22"/>
          </w:rPr>
          <w:delText>%</w:delText>
        </w:r>
        <w:r w:rsidRPr="008912CF">
          <w:rPr>
            <w:sz w:val="22"/>
          </w:rPr>
          <w:delText xml:space="preserve"> demonstraram remissão livre de costicosteroides durante ≥ 90 dias </w:delText>
        </w:r>
        <w:r w:rsidR="00384E8F">
          <w:rPr>
            <w:sz w:val="22"/>
          </w:rPr>
          <w:delText>à</w:delText>
        </w:r>
        <w:r w:rsidR="00384E8F" w:rsidRPr="008912CF">
          <w:rPr>
            <w:sz w:val="22"/>
          </w:rPr>
          <w:delText xml:space="preserve"> </w:delText>
        </w:r>
        <w:r w:rsidRPr="008912CF">
          <w:rPr>
            <w:sz w:val="22"/>
          </w:rPr>
          <w:delText>Semana 52.</w:delText>
        </w:r>
      </w:del>
    </w:p>
    <w:p w14:paraId="09A1866A" w14:textId="33C8FDD0" w:rsidR="004462A0" w:rsidRPr="008912CF" w:rsidRDefault="004462A0">
      <w:pPr>
        <w:rPr>
          <w:del w:id="9552" w:author="AbbVie2" w:date="2025-05-13T16:39:00Z"/>
          <w:iCs/>
          <w:szCs w:val="22"/>
        </w:rPr>
        <w:pPrChange w:id="9553" w:author="AbbVie2" w:date="2025-05-13T16:40:00Z">
          <w:pPr>
            <w:pStyle w:val="EMEANormal"/>
          </w:pPr>
        </w:pPrChange>
      </w:pPr>
    </w:p>
    <w:p w14:paraId="14AE3F57" w14:textId="202DAFEE" w:rsidR="004462A0" w:rsidRPr="008912CF" w:rsidRDefault="00615769">
      <w:pPr>
        <w:rPr>
          <w:del w:id="9554" w:author="AbbVie2" w:date="2025-05-13T16:39:00Z"/>
          <w:iCs/>
          <w:sz w:val="22"/>
          <w:szCs w:val="22"/>
        </w:rPr>
        <w:pPrChange w:id="9555" w:author="AbbVie2" w:date="2025-05-13T16:40:00Z">
          <w:pPr>
            <w:autoSpaceDE w:val="0"/>
            <w:autoSpaceDN w:val="0"/>
            <w:adjustRightInd w:val="0"/>
          </w:pPr>
        </w:pPrChange>
      </w:pPr>
      <w:del w:id="9556" w:author="AbbVie2" w:date="2025-05-13T16:39:00Z">
        <w:r w:rsidRPr="008912CF">
          <w:rPr>
            <w:iCs/>
            <w:sz w:val="22"/>
            <w:szCs w:val="22"/>
          </w:rPr>
          <w:delText xml:space="preserve">Aproximadamente 40% dos doentes incluídos no estudo UC-II não responderam à terapêutica prévia com o antagonista-TNF infliximab. A eficácia de adalimumab nestes doentes foi reduzida comparativamente com os doentes que não tiveram exposição prévia a tratamentos com antagonistas-TNF. Entre os doentes que não responderam à terapêutica prévia com antagonistas-TNF, a remissão na semana 52 foi atingida </w:delText>
        </w:r>
        <w:r w:rsidR="00415E2D">
          <w:rPr>
            <w:iCs/>
            <w:sz w:val="22"/>
            <w:szCs w:val="22"/>
          </w:rPr>
          <w:delText xml:space="preserve">em </w:delText>
        </w:r>
        <w:r w:rsidRPr="008912CF">
          <w:rPr>
            <w:iCs/>
            <w:sz w:val="22"/>
            <w:szCs w:val="22"/>
          </w:rPr>
          <w:delText xml:space="preserve">3% no grupo placebo e </w:delText>
        </w:r>
        <w:r w:rsidR="00415E2D">
          <w:rPr>
            <w:iCs/>
            <w:sz w:val="22"/>
            <w:szCs w:val="22"/>
          </w:rPr>
          <w:delText xml:space="preserve">em </w:delText>
        </w:r>
        <w:r w:rsidRPr="008912CF">
          <w:rPr>
            <w:iCs/>
            <w:sz w:val="22"/>
            <w:szCs w:val="22"/>
          </w:rPr>
          <w:delText xml:space="preserve">10% no </w:delText>
        </w:r>
        <w:r w:rsidR="00415E2D">
          <w:rPr>
            <w:iCs/>
            <w:sz w:val="22"/>
            <w:szCs w:val="22"/>
          </w:rPr>
          <w:delText xml:space="preserve">grupo </w:delText>
        </w:r>
        <w:r w:rsidRPr="008912CF">
          <w:rPr>
            <w:iCs/>
            <w:sz w:val="22"/>
            <w:szCs w:val="22"/>
          </w:rPr>
          <w:delText>adalimumab.</w:delText>
        </w:r>
      </w:del>
    </w:p>
    <w:p w14:paraId="7BC0B43C" w14:textId="13C30193" w:rsidR="004462A0" w:rsidRPr="008912CF" w:rsidRDefault="004462A0" w:rsidP="00412FC8">
      <w:pPr>
        <w:rPr>
          <w:del w:id="9557" w:author="AbbVie2" w:date="2025-05-13T16:39:00Z"/>
          <w:sz w:val="22"/>
          <w:szCs w:val="22"/>
        </w:rPr>
      </w:pPr>
    </w:p>
    <w:p w14:paraId="2ACF5484" w14:textId="4D93486C" w:rsidR="004462A0" w:rsidRPr="008912CF" w:rsidRDefault="00615769" w:rsidP="00412FC8">
      <w:pPr>
        <w:rPr>
          <w:del w:id="9558" w:author="AbbVie2" w:date="2025-05-13T16:39:00Z"/>
          <w:sz w:val="22"/>
          <w:szCs w:val="22"/>
        </w:rPr>
      </w:pPr>
      <w:del w:id="9559" w:author="AbbVie2" w:date="2025-05-13T16:39:00Z">
        <w:r w:rsidRPr="008912CF">
          <w:rPr>
            <w:sz w:val="22"/>
            <w:szCs w:val="22"/>
          </w:rPr>
          <w:delText>Os doentes que participaram nos estudos UC-I e UC-II tiveram a opção de serem envolvidos num estudo de extensão de fase aberta a longo prazo (UC III). Após terapêutica com adalimumab durante 3 anos, 75</w:delText>
        </w:r>
        <w:r w:rsidR="009343EF">
          <w:rPr>
            <w:sz w:val="22"/>
            <w:szCs w:val="22"/>
          </w:rPr>
          <w:delText>%</w:delText>
        </w:r>
        <w:r w:rsidRPr="008912CF">
          <w:rPr>
            <w:sz w:val="22"/>
            <w:szCs w:val="22"/>
          </w:rPr>
          <w:delText xml:space="preserve"> dos doentes (301/402) continuaram em remissão clínica na pontuação parcial de Mayo.</w:delText>
        </w:r>
      </w:del>
    </w:p>
    <w:p w14:paraId="6EEA0306" w14:textId="264E31F9" w:rsidR="004462A0" w:rsidRPr="008912CF" w:rsidRDefault="004462A0" w:rsidP="00412FC8">
      <w:pPr>
        <w:rPr>
          <w:del w:id="9560" w:author="AbbVie2" w:date="2025-05-13T16:39:00Z"/>
          <w:sz w:val="22"/>
          <w:szCs w:val="22"/>
        </w:rPr>
      </w:pPr>
    </w:p>
    <w:p w14:paraId="2282EA6D" w14:textId="4AEE127B" w:rsidR="004462A0" w:rsidRPr="008912CF" w:rsidRDefault="00615769" w:rsidP="00412FC8">
      <w:pPr>
        <w:rPr>
          <w:del w:id="9561" w:author="AbbVie2" w:date="2025-05-13T16:39:00Z"/>
          <w:i/>
          <w:sz w:val="22"/>
          <w:szCs w:val="22"/>
          <w:u w:val="single"/>
        </w:rPr>
      </w:pPr>
      <w:del w:id="9562" w:author="AbbVie2" w:date="2025-05-13T16:39:00Z">
        <w:r w:rsidRPr="008912CF">
          <w:rPr>
            <w:i/>
            <w:sz w:val="22"/>
            <w:szCs w:val="22"/>
            <w:u w:val="single"/>
          </w:rPr>
          <w:delText>Taxas de hospitalização</w:delText>
        </w:r>
      </w:del>
    </w:p>
    <w:p w14:paraId="13682B25" w14:textId="2A47CB68" w:rsidR="004462A0" w:rsidRPr="008912CF" w:rsidRDefault="004462A0" w:rsidP="00412FC8">
      <w:pPr>
        <w:rPr>
          <w:del w:id="9563" w:author="AbbVie2" w:date="2025-05-13T16:39:00Z"/>
          <w:sz w:val="22"/>
          <w:szCs w:val="22"/>
        </w:rPr>
      </w:pPr>
    </w:p>
    <w:p w14:paraId="1E4BF23A" w14:textId="592D44F4" w:rsidR="004462A0" w:rsidRPr="008912CF" w:rsidRDefault="00615769" w:rsidP="00412FC8">
      <w:pPr>
        <w:rPr>
          <w:del w:id="9564" w:author="AbbVie2" w:date="2025-05-13T16:39:00Z"/>
          <w:sz w:val="22"/>
          <w:szCs w:val="22"/>
        </w:rPr>
      </w:pPr>
      <w:del w:id="9565" w:author="AbbVie2" w:date="2025-05-13T16:39:00Z">
        <w:r w:rsidRPr="008912CF">
          <w:rPr>
            <w:sz w:val="22"/>
            <w:szCs w:val="22"/>
          </w:rPr>
          <w:delText>Ao longo de 52 semanas dos estudos UC-I e UC-II, foram observadas taxas inferiores de hospitalizações por todas as causas e hospitalizações relacionadas com a Colite Ulcerosa para o grupo tratado com adalimumab em comparação com o grupo placebo. O número de hospitalizações por todas as causas no grupo tratado com adalimumab foi de 0,18 por doente por ano versus 0,26 por doente por ano no grupo placebo e os valores correspondentes para as hospitalizações relacionadas com a Colite Ulcerosa foram de 0,12 por d</w:delText>
        </w:r>
        <w:r w:rsidRPr="008912CF">
          <w:rPr>
            <w:sz w:val="22"/>
            <w:szCs w:val="22"/>
          </w:rPr>
          <w:delText>oente ano versus 0,22 por doente ano.</w:delText>
        </w:r>
      </w:del>
    </w:p>
    <w:p w14:paraId="62984EFE" w14:textId="38BB2C0B" w:rsidR="004462A0" w:rsidRPr="008912CF" w:rsidRDefault="004462A0" w:rsidP="00412FC8">
      <w:pPr>
        <w:rPr>
          <w:del w:id="9566" w:author="AbbVie2" w:date="2025-05-13T16:39:00Z"/>
          <w:sz w:val="22"/>
          <w:szCs w:val="22"/>
        </w:rPr>
      </w:pPr>
    </w:p>
    <w:p w14:paraId="081B61C2" w14:textId="22CE28A9" w:rsidR="004462A0" w:rsidRPr="008912CF" w:rsidRDefault="00615769" w:rsidP="00412FC8">
      <w:pPr>
        <w:rPr>
          <w:del w:id="9567" w:author="AbbVie2" w:date="2025-05-13T16:39:00Z"/>
          <w:i/>
          <w:sz w:val="22"/>
          <w:szCs w:val="22"/>
          <w:u w:val="single"/>
        </w:rPr>
      </w:pPr>
      <w:del w:id="9568" w:author="AbbVie2" w:date="2025-05-13T16:39:00Z">
        <w:r w:rsidRPr="008912CF">
          <w:rPr>
            <w:i/>
            <w:sz w:val="22"/>
            <w:szCs w:val="22"/>
            <w:u w:val="single"/>
          </w:rPr>
          <w:delText>Qualidade de vida</w:delText>
        </w:r>
      </w:del>
    </w:p>
    <w:p w14:paraId="1D821024" w14:textId="59FAA0DA" w:rsidR="004462A0" w:rsidRPr="008912CF" w:rsidRDefault="004462A0" w:rsidP="00412FC8">
      <w:pPr>
        <w:rPr>
          <w:del w:id="9569" w:author="AbbVie2" w:date="2025-05-13T16:39:00Z"/>
          <w:sz w:val="22"/>
          <w:szCs w:val="22"/>
        </w:rPr>
      </w:pPr>
    </w:p>
    <w:p w14:paraId="21B2058E" w14:textId="4F8B742F" w:rsidR="004462A0" w:rsidRPr="008912CF" w:rsidRDefault="00615769" w:rsidP="00412FC8">
      <w:pPr>
        <w:rPr>
          <w:del w:id="9570" w:author="AbbVie2" w:date="2025-05-13T16:39:00Z"/>
          <w:sz w:val="22"/>
          <w:szCs w:val="22"/>
        </w:rPr>
      </w:pPr>
      <w:del w:id="9571" w:author="AbbVie2" w:date="2025-05-13T16:39:00Z">
        <w:r w:rsidRPr="008912CF">
          <w:rPr>
            <w:sz w:val="22"/>
            <w:szCs w:val="22"/>
          </w:rPr>
          <w:delText>No estudo UC-II, o tratamento com adalimumab demonstrou melhorias na pontuação do Questionário de Doença Inflamatória Intestinal (</w:delText>
        </w:r>
        <w:r w:rsidR="00C76435">
          <w:rPr>
            <w:sz w:val="22"/>
            <w:szCs w:val="22"/>
          </w:rPr>
          <w:delText>IBDQ</w:delText>
        </w:r>
        <w:r w:rsidRPr="008912CF">
          <w:rPr>
            <w:sz w:val="22"/>
            <w:szCs w:val="22"/>
          </w:rPr>
          <w:delText>).</w:delText>
        </w:r>
      </w:del>
    </w:p>
    <w:p w14:paraId="458BCF35" w14:textId="33F520E4" w:rsidR="004462A0" w:rsidRDefault="004462A0" w:rsidP="00412FC8">
      <w:pPr>
        <w:rPr>
          <w:del w:id="9572" w:author="AbbVie2" w:date="2025-05-13T16:39:00Z"/>
          <w:sz w:val="22"/>
          <w:szCs w:val="22"/>
        </w:rPr>
      </w:pPr>
    </w:p>
    <w:p w14:paraId="1F990E0E" w14:textId="1967AB9E" w:rsidR="004462A0" w:rsidRPr="00A14E04" w:rsidRDefault="00615769" w:rsidP="00412FC8">
      <w:pPr>
        <w:rPr>
          <w:del w:id="9573" w:author="AbbVie2" w:date="2025-05-13T16:39:00Z"/>
          <w:i/>
          <w:sz w:val="22"/>
          <w:szCs w:val="22"/>
        </w:rPr>
      </w:pPr>
      <w:del w:id="9574" w:author="AbbVie2" w:date="2025-05-13T16:39:00Z">
        <w:r w:rsidRPr="00A14E04">
          <w:rPr>
            <w:i/>
            <w:sz w:val="22"/>
            <w:szCs w:val="22"/>
          </w:rPr>
          <w:delText>Uveíte</w:delText>
        </w:r>
      </w:del>
    </w:p>
    <w:p w14:paraId="4DBCF4D8" w14:textId="392F790E" w:rsidR="004462A0" w:rsidRDefault="004462A0" w:rsidP="00412FC8">
      <w:pPr>
        <w:rPr>
          <w:del w:id="9575" w:author="AbbVie2" w:date="2025-05-13T16:39:00Z"/>
          <w:sz w:val="22"/>
          <w:szCs w:val="22"/>
        </w:rPr>
      </w:pPr>
    </w:p>
    <w:p w14:paraId="6509E06D" w14:textId="14326261" w:rsidR="004462A0" w:rsidRDefault="00615769" w:rsidP="00412FC8">
      <w:pPr>
        <w:rPr>
          <w:del w:id="9576" w:author="AbbVie2" w:date="2025-05-13T16:39:00Z"/>
          <w:sz w:val="22"/>
          <w:szCs w:val="22"/>
        </w:rPr>
      </w:pPr>
      <w:del w:id="9577" w:author="AbbVie2" w:date="2025-05-13T16:39:00Z">
        <w:r w:rsidRPr="00E12FF1">
          <w:rPr>
            <w:sz w:val="22"/>
            <w:szCs w:val="22"/>
          </w:rPr>
          <w:delText xml:space="preserve">A segurança e eficácia de Humira foram avaliadas </w:delText>
        </w:r>
        <w:r w:rsidRPr="003314B2">
          <w:rPr>
            <w:sz w:val="22"/>
            <w:szCs w:val="22"/>
          </w:rPr>
          <w:delText>em doentes adultos com uveíte não</w:delText>
        </w:r>
        <w:r w:rsidRPr="009C739B">
          <w:rPr>
            <w:sz w:val="22"/>
            <w:szCs w:val="22"/>
          </w:rPr>
          <w:delText xml:space="preserve"> </w:delText>
        </w:r>
        <w:r w:rsidRPr="003314B2">
          <w:rPr>
            <w:sz w:val="22"/>
            <w:szCs w:val="22"/>
          </w:rPr>
          <w:delText>infe</w:delText>
        </w:r>
        <w:r>
          <w:rPr>
            <w:sz w:val="22"/>
            <w:szCs w:val="22"/>
          </w:rPr>
          <w:delText>c</w:delText>
        </w:r>
        <w:r w:rsidRPr="003314B2">
          <w:rPr>
            <w:sz w:val="22"/>
            <w:szCs w:val="22"/>
          </w:rPr>
          <w:delText xml:space="preserve">ciosa intermédia, posterior, e panuveíte, </w:delText>
        </w:r>
        <w:r w:rsidRPr="009C739B">
          <w:rPr>
            <w:sz w:val="22"/>
            <w:szCs w:val="22"/>
          </w:rPr>
          <w:delText xml:space="preserve">excluindo </w:delText>
        </w:r>
        <w:r w:rsidRPr="003314B2">
          <w:rPr>
            <w:sz w:val="22"/>
            <w:szCs w:val="22"/>
          </w:rPr>
          <w:delText xml:space="preserve">doentes com uveíte anterior isolada, em dois estudos </w:delText>
        </w:r>
        <w:r w:rsidR="0013275C">
          <w:rPr>
            <w:sz w:val="22"/>
            <w:szCs w:val="22"/>
          </w:rPr>
          <w:delText>aleatorizado</w:delText>
        </w:r>
        <w:r w:rsidRPr="003314B2">
          <w:rPr>
            <w:sz w:val="22"/>
            <w:szCs w:val="22"/>
          </w:rPr>
          <w:delText>s, em dupla ocultação, controlados com placebo</w:delText>
        </w:r>
        <w:r>
          <w:rPr>
            <w:sz w:val="22"/>
            <w:szCs w:val="22"/>
          </w:rPr>
          <w:delText xml:space="preserve"> </w:delText>
        </w:r>
        <w:r w:rsidRPr="003314B2">
          <w:rPr>
            <w:sz w:val="22"/>
            <w:szCs w:val="22"/>
          </w:rPr>
          <w:delText>(UV I e II)</w:delText>
        </w:r>
        <w:r>
          <w:rPr>
            <w:sz w:val="22"/>
            <w:szCs w:val="22"/>
          </w:rPr>
          <w:delText>. Os doentes receberam placebo ou Humira numa dose inicial de 80 mg seguida de 40 mg em semanas alternadas, uma semana após a dose inicial. Foram permitidas doses concomitantes estáveis de um imunossupressor não biológico.</w:delText>
        </w:r>
      </w:del>
    </w:p>
    <w:p w14:paraId="46F3AD42" w14:textId="6BF4D25E" w:rsidR="004462A0" w:rsidRDefault="004462A0" w:rsidP="00412FC8">
      <w:pPr>
        <w:rPr>
          <w:del w:id="9578" w:author="AbbVie2" w:date="2025-05-13T16:39:00Z"/>
          <w:sz w:val="22"/>
          <w:szCs w:val="22"/>
        </w:rPr>
      </w:pPr>
    </w:p>
    <w:p w14:paraId="0D4A99E4" w14:textId="7A1E4A00" w:rsidR="004462A0" w:rsidRDefault="00615769" w:rsidP="00412FC8">
      <w:pPr>
        <w:rPr>
          <w:del w:id="9579" w:author="AbbVie2" w:date="2025-05-13T16:39:00Z"/>
          <w:sz w:val="22"/>
          <w:szCs w:val="22"/>
        </w:rPr>
      </w:pPr>
      <w:del w:id="9580" w:author="AbbVie2" w:date="2025-05-13T16:39:00Z">
        <w:r>
          <w:rPr>
            <w:sz w:val="22"/>
            <w:szCs w:val="22"/>
          </w:rPr>
          <w:delText xml:space="preserve">O estudo UV </w:delText>
        </w:r>
        <w:r w:rsidRPr="003314B2">
          <w:rPr>
            <w:sz w:val="22"/>
            <w:szCs w:val="22"/>
          </w:rPr>
          <w:delText>I</w:delText>
        </w:r>
        <w:r>
          <w:rPr>
            <w:sz w:val="22"/>
            <w:szCs w:val="22"/>
          </w:rPr>
          <w:delText xml:space="preserve"> avaliou 217 doentes com uveíte ativa, apesar do tratamento com corticosteroides (prednisona oral numa dose de 10 a 60 mg/dia).</w:delText>
        </w:r>
        <w:r w:rsidRPr="003314B2">
          <w:delText xml:space="preserve"> </w:delText>
        </w:r>
        <w:r w:rsidRPr="003314B2">
          <w:rPr>
            <w:sz w:val="22"/>
            <w:szCs w:val="22"/>
          </w:rPr>
          <w:delText>Ao entrarem no estudo</w:delText>
        </w:r>
        <w:r>
          <w:rPr>
            <w:sz w:val="22"/>
            <w:szCs w:val="22"/>
          </w:rPr>
          <w:delText>,</w:delText>
        </w:r>
        <w:r w:rsidRPr="003314B2">
          <w:rPr>
            <w:sz w:val="22"/>
            <w:szCs w:val="22"/>
          </w:rPr>
          <w:delText xml:space="preserve"> todos os doentes receberam durante 2 semanas uma dose </w:delText>
        </w:r>
        <w:r>
          <w:rPr>
            <w:sz w:val="22"/>
            <w:szCs w:val="22"/>
          </w:rPr>
          <w:delText xml:space="preserve">padrão </w:delText>
        </w:r>
        <w:r w:rsidRPr="003314B2">
          <w:rPr>
            <w:sz w:val="22"/>
            <w:szCs w:val="22"/>
          </w:rPr>
          <w:delText xml:space="preserve">de prednisona 60 mg/dia, seguida de uma redução obrigatória, com descontinuação completa </w:delText>
        </w:r>
        <w:r>
          <w:rPr>
            <w:sz w:val="22"/>
            <w:szCs w:val="22"/>
          </w:rPr>
          <w:delText xml:space="preserve">dos corticosteroides </w:delText>
        </w:r>
        <w:r w:rsidRPr="003314B2">
          <w:rPr>
            <w:sz w:val="22"/>
            <w:szCs w:val="22"/>
          </w:rPr>
          <w:delText xml:space="preserve">até à </w:delText>
        </w:r>
        <w:r w:rsidR="00B150A1">
          <w:rPr>
            <w:sz w:val="22"/>
            <w:szCs w:val="22"/>
          </w:rPr>
          <w:delText>S</w:delText>
        </w:r>
        <w:r w:rsidRPr="003314B2">
          <w:rPr>
            <w:sz w:val="22"/>
            <w:szCs w:val="22"/>
          </w:rPr>
          <w:delText>emana 15.</w:delText>
        </w:r>
      </w:del>
    </w:p>
    <w:p w14:paraId="01FE7C4D" w14:textId="7709D3AA" w:rsidR="004462A0" w:rsidRDefault="004462A0" w:rsidP="00412FC8">
      <w:pPr>
        <w:rPr>
          <w:del w:id="9581" w:author="AbbVie2" w:date="2025-05-13T16:39:00Z"/>
          <w:sz w:val="22"/>
          <w:szCs w:val="22"/>
        </w:rPr>
      </w:pPr>
    </w:p>
    <w:p w14:paraId="1AF3397E" w14:textId="7A2D7F77" w:rsidR="004462A0" w:rsidRDefault="00615769" w:rsidP="00412FC8">
      <w:pPr>
        <w:rPr>
          <w:del w:id="9582" w:author="AbbVie2" w:date="2025-05-13T16:39:00Z"/>
          <w:sz w:val="22"/>
          <w:szCs w:val="22"/>
        </w:rPr>
      </w:pPr>
      <w:del w:id="9583" w:author="AbbVie2" w:date="2025-05-13T16:39:00Z">
        <w:r>
          <w:rPr>
            <w:sz w:val="22"/>
            <w:szCs w:val="22"/>
          </w:rPr>
          <w:delText xml:space="preserve">O estudo UV II avaliou 226 doentes com uveíte inativa, que requeriam tratamento crónico com corticosteroide (prednisona oral 10 a 35 mg/dia) no início do estudo, para controlo da doença. </w:delText>
        </w:r>
        <w:r w:rsidRPr="004A2092">
          <w:rPr>
            <w:sz w:val="22"/>
            <w:szCs w:val="22"/>
          </w:rPr>
          <w:delText>Subsequentemente, os doentes tiveram uma redução obrigatória, com descontinuação completa dos corticoster</w:delText>
        </w:r>
        <w:r>
          <w:rPr>
            <w:sz w:val="22"/>
            <w:szCs w:val="22"/>
          </w:rPr>
          <w:delText>o</w:delText>
        </w:r>
        <w:r w:rsidRPr="004A2092">
          <w:rPr>
            <w:sz w:val="22"/>
            <w:szCs w:val="22"/>
          </w:rPr>
          <w:delText xml:space="preserve">ides até à </w:delText>
        </w:r>
        <w:r w:rsidR="00B150A1">
          <w:rPr>
            <w:sz w:val="22"/>
            <w:szCs w:val="22"/>
          </w:rPr>
          <w:delText>S</w:delText>
        </w:r>
        <w:r w:rsidRPr="004A2092">
          <w:rPr>
            <w:sz w:val="22"/>
            <w:szCs w:val="22"/>
          </w:rPr>
          <w:delText>emana 19.</w:delText>
        </w:r>
      </w:del>
    </w:p>
    <w:p w14:paraId="7FF14DFF" w14:textId="3E7FE314" w:rsidR="004462A0" w:rsidRDefault="004462A0" w:rsidP="00412FC8">
      <w:pPr>
        <w:rPr>
          <w:del w:id="9584" w:author="AbbVie2" w:date="2025-05-13T16:39:00Z"/>
          <w:sz w:val="22"/>
          <w:szCs w:val="22"/>
        </w:rPr>
      </w:pPr>
    </w:p>
    <w:p w14:paraId="674A1B75" w14:textId="5C52AC9B" w:rsidR="004462A0" w:rsidRDefault="00615769" w:rsidP="00412FC8">
      <w:pPr>
        <w:rPr>
          <w:del w:id="9585" w:author="AbbVie2" w:date="2025-05-13T16:39:00Z"/>
          <w:sz w:val="22"/>
          <w:szCs w:val="22"/>
        </w:rPr>
      </w:pPr>
      <w:del w:id="9586" w:author="AbbVie2" w:date="2025-05-13T16:39:00Z">
        <w:r w:rsidRPr="00A61CAB">
          <w:rPr>
            <w:sz w:val="22"/>
            <w:szCs w:val="22"/>
          </w:rPr>
          <w:delText>O objetivo primário</w:delText>
        </w:r>
        <w:r>
          <w:rPr>
            <w:sz w:val="22"/>
            <w:szCs w:val="22"/>
          </w:rPr>
          <w:delText xml:space="preserve"> de eficácia em ambos os estudos foi o “tempo até falha do tratamento”. A falha do tratamento foi definida por um resultado multi-componente baseado em lesões</w:delText>
        </w:r>
        <w:r w:rsidRPr="008A046A">
          <w:rPr>
            <w:sz w:val="22"/>
            <w:szCs w:val="22"/>
          </w:rPr>
          <w:delText xml:space="preserve"> inflamatórias coriorretinianas</w:delText>
        </w:r>
        <w:r>
          <w:rPr>
            <w:sz w:val="22"/>
            <w:szCs w:val="22"/>
          </w:rPr>
          <w:delText xml:space="preserve"> e/ou lesões inflamatórias vasculares da retina, grau de células da câmara anterior (CA), grau de turvação </w:delText>
        </w:r>
        <w:r w:rsidRPr="008D59A5">
          <w:rPr>
            <w:sz w:val="22"/>
            <w:szCs w:val="22"/>
          </w:rPr>
          <w:delText>vítrea</w:delText>
        </w:r>
        <w:r>
          <w:rPr>
            <w:sz w:val="22"/>
            <w:szCs w:val="22"/>
          </w:rPr>
          <w:delText xml:space="preserve"> (VH) e melhor acuidade visual corrigida (MAVC).</w:delText>
        </w:r>
      </w:del>
    </w:p>
    <w:p w14:paraId="210C4008" w14:textId="6AB49996" w:rsidR="004462A0" w:rsidRDefault="004462A0" w:rsidP="00412FC8">
      <w:pPr>
        <w:rPr>
          <w:del w:id="9587" w:author="AbbVie2" w:date="2025-05-13T16:39:00Z"/>
          <w:sz w:val="22"/>
          <w:szCs w:val="22"/>
        </w:rPr>
      </w:pPr>
    </w:p>
    <w:p w14:paraId="6E01354A" w14:textId="5C09D41E" w:rsidR="004E766C" w:rsidRPr="004E766C" w:rsidRDefault="00615769" w:rsidP="00412FC8">
      <w:pPr>
        <w:rPr>
          <w:del w:id="9588" w:author="AbbVie2" w:date="2025-05-13T16:39:00Z"/>
          <w:sz w:val="22"/>
          <w:szCs w:val="22"/>
        </w:rPr>
      </w:pPr>
      <w:del w:id="9589" w:author="AbbVie2" w:date="2025-05-13T16:39:00Z">
        <w:r w:rsidRPr="004E766C">
          <w:rPr>
            <w:sz w:val="22"/>
            <w:szCs w:val="22"/>
          </w:rPr>
          <w:delText xml:space="preserve">Os doentes que completaram os </w:delText>
        </w:r>
        <w:r w:rsidR="00B054DD">
          <w:rPr>
            <w:sz w:val="22"/>
            <w:szCs w:val="22"/>
          </w:rPr>
          <w:delText>E</w:delText>
        </w:r>
        <w:r w:rsidRPr="004E766C">
          <w:rPr>
            <w:sz w:val="22"/>
            <w:szCs w:val="22"/>
          </w:rPr>
          <w:delText>studos UV I e UV II foram elegíveis para participar num estudo de extensão</w:delText>
        </w:r>
        <w:r w:rsidR="00961DA7" w:rsidRPr="004E766C">
          <w:rPr>
            <w:sz w:val="22"/>
            <w:szCs w:val="22"/>
          </w:rPr>
          <w:delText xml:space="preserve"> </w:delText>
        </w:r>
        <w:r w:rsidRPr="004E766C">
          <w:rPr>
            <w:sz w:val="22"/>
            <w:szCs w:val="22"/>
          </w:rPr>
          <w:delText>a longo prazo</w:delText>
        </w:r>
        <w:r w:rsidR="00B054DD" w:rsidRPr="004E766C">
          <w:rPr>
            <w:sz w:val="22"/>
            <w:szCs w:val="22"/>
          </w:rPr>
          <w:delText>, não-controlado</w:delText>
        </w:r>
        <w:r w:rsidRPr="004E766C">
          <w:rPr>
            <w:sz w:val="22"/>
            <w:szCs w:val="22"/>
          </w:rPr>
          <w:delText xml:space="preserve">, com uma duração </w:delText>
        </w:r>
        <w:r w:rsidR="00B054DD">
          <w:rPr>
            <w:sz w:val="22"/>
            <w:szCs w:val="22"/>
          </w:rPr>
          <w:delText>inici</w:delText>
        </w:r>
        <w:r w:rsidRPr="004E766C">
          <w:rPr>
            <w:sz w:val="22"/>
            <w:szCs w:val="22"/>
          </w:rPr>
          <w:delText xml:space="preserve">almente planeada de 78 semanas. Foi permitido aos doentes continuarem com a medicação do estudo para além da Semana 78 até </w:delText>
        </w:r>
        <w:r w:rsidR="00FC7E81">
          <w:rPr>
            <w:sz w:val="22"/>
            <w:szCs w:val="22"/>
          </w:rPr>
          <w:delText>terem</w:delText>
        </w:r>
        <w:r w:rsidRPr="004E766C">
          <w:rPr>
            <w:sz w:val="22"/>
            <w:szCs w:val="22"/>
          </w:rPr>
          <w:delText xml:space="preserve"> acesso a Humira.</w:delText>
        </w:r>
      </w:del>
    </w:p>
    <w:p w14:paraId="3F66558A" w14:textId="001B6116" w:rsidR="004E766C" w:rsidRPr="004E766C" w:rsidRDefault="004E766C" w:rsidP="00412FC8">
      <w:pPr>
        <w:rPr>
          <w:del w:id="9590" w:author="AbbVie2" w:date="2025-05-13T16:39:00Z"/>
          <w:sz w:val="22"/>
          <w:szCs w:val="22"/>
        </w:rPr>
      </w:pPr>
    </w:p>
    <w:p w14:paraId="53EC5A23" w14:textId="69B3C2B8" w:rsidR="004462A0" w:rsidRPr="00A14E04" w:rsidRDefault="00615769" w:rsidP="00412FC8">
      <w:pPr>
        <w:rPr>
          <w:del w:id="9591" w:author="AbbVie2" w:date="2025-05-13T16:39:00Z"/>
          <w:i/>
          <w:sz w:val="22"/>
          <w:szCs w:val="22"/>
          <w:u w:val="single"/>
        </w:rPr>
      </w:pPr>
      <w:del w:id="9592" w:author="AbbVie2" w:date="2025-05-13T16:39:00Z">
        <w:r w:rsidRPr="00A14E04">
          <w:rPr>
            <w:i/>
            <w:sz w:val="22"/>
            <w:szCs w:val="22"/>
            <w:u w:val="single"/>
          </w:rPr>
          <w:delText xml:space="preserve">Resposta </w:delText>
        </w:r>
        <w:r w:rsidR="00B150A1">
          <w:rPr>
            <w:i/>
            <w:sz w:val="22"/>
            <w:szCs w:val="22"/>
            <w:u w:val="single"/>
          </w:rPr>
          <w:delText>c</w:delText>
        </w:r>
        <w:r w:rsidRPr="00A14E04">
          <w:rPr>
            <w:i/>
            <w:sz w:val="22"/>
            <w:szCs w:val="22"/>
            <w:u w:val="single"/>
          </w:rPr>
          <w:delText>línica</w:delText>
        </w:r>
      </w:del>
    </w:p>
    <w:p w14:paraId="2D4AC3BD" w14:textId="3041EF4D" w:rsidR="004462A0" w:rsidRDefault="004462A0" w:rsidP="00412FC8">
      <w:pPr>
        <w:rPr>
          <w:del w:id="9593" w:author="AbbVie2" w:date="2025-05-13T16:39:00Z"/>
          <w:sz w:val="22"/>
          <w:szCs w:val="22"/>
        </w:rPr>
      </w:pPr>
    </w:p>
    <w:p w14:paraId="2843E707" w14:textId="272BFDB5" w:rsidR="004462A0" w:rsidRDefault="00615769" w:rsidP="00412FC8">
      <w:pPr>
        <w:rPr>
          <w:del w:id="9594" w:author="AbbVie2" w:date="2025-05-13T16:39:00Z"/>
          <w:sz w:val="22"/>
          <w:szCs w:val="22"/>
        </w:rPr>
      </w:pPr>
      <w:del w:id="9595" w:author="AbbVie2" w:date="2025-05-13T16:39:00Z">
        <w:r>
          <w:rPr>
            <w:sz w:val="22"/>
            <w:szCs w:val="22"/>
          </w:rPr>
          <w:delText xml:space="preserve">Os resultados de ambos os estudos demonstraram uma redução estatisticamente significativa do risco de falha do tratamento em doentes tratados com Humira versus doentes que receberam placebo (Ver Tabela </w:delText>
        </w:r>
        <w:r w:rsidR="00B52A81">
          <w:rPr>
            <w:sz w:val="22"/>
            <w:szCs w:val="22"/>
          </w:rPr>
          <w:delText>2</w:delText>
        </w:r>
        <w:r w:rsidR="00B925B3">
          <w:rPr>
            <w:sz w:val="22"/>
            <w:szCs w:val="22"/>
          </w:rPr>
          <w:delText>4</w:delText>
        </w:r>
        <w:r>
          <w:rPr>
            <w:sz w:val="22"/>
            <w:szCs w:val="22"/>
          </w:rPr>
          <w:delText>). Ambos os estudos demonstraram um efeito precoce e sustentado d</w:delText>
        </w:r>
        <w:r w:rsidR="003A4C51">
          <w:rPr>
            <w:sz w:val="22"/>
            <w:szCs w:val="22"/>
          </w:rPr>
          <w:delText>e</w:delText>
        </w:r>
        <w:r>
          <w:rPr>
            <w:sz w:val="22"/>
            <w:szCs w:val="22"/>
          </w:rPr>
          <w:delText xml:space="preserve"> Humira, na taxa de falha do tratamento versus placebo (ver Figura </w:delText>
        </w:r>
        <w:r w:rsidR="003A3548">
          <w:rPr>
            <w:sz w:val="22"/>
            <w:szCs w:val="22"/>
          </w:rPr>
          <w:delText>2</w:delText>
        </w:r>
        <w:r>
          <w:rPr>
            <w:sz w:val="22"/>
            <w:szCs w:val="22"/>
          </w:rPr>
          <w:delText>).</w:delText>
        </w:r>
      </w:del>
    </w:p>
    <w:p w14:paraId="5002C851" w14:textId="5DB0C179" w:rsidR="004462A0" w:rsidRDefault="004462A0" w:rsidP="00412FC8">
      <w:pPr>
        <w:rPr>
          <w:del w:id="9596" w:author="AbbVie2" w:date="2025-05-13T16:39:00Z"/>
          <w:sz w:val="22"/>
          <w:szCs w:val="22"/>
        </w:rPr>
      </w:pPr>
    </w:p>
    <w:p w14:paraId="15CB9DED" w14:textId="36349BB2" w:rsidR="004462A0" w:rsidRPr="00635048" w:rsidRDefault="00615769">
      <w:pPr>
        <w:rPr>
          <w:del w:id="9597" w:author="AbbVie2" w:date="2025-05-13T16:39:00Z"/>
          <w:b/>
          <w:sz w:val="22"/>
          <w:szCs w:val="22"/>
        </w:rPr>
        <w:pPrChange w:id="9598" w:author="AbbVie2" w:date="2025-05-13T16:40:00Z">
          <w:pPr>
            <w:keepNext/>
            <w:jc w:val="center"/>
          </w:pPr>
        </w:pPrChange>
      </w:pPr>
      <w:del w:id="9599" w:author="AbbVie2" w:date="2025-05-13T16:39:00Z">
        <w:r w:rsidRPr="00635048">
          <w:rPr>
            <w:b/>
            <w:sz w:val="22"/>
            <w:szCs w:val="22"/>
          </w:rPr>
          <w:delText xml:space="preserve">Tabela </w:delText>
        </w:r>
        <w:r w:rsidR="00B52A81">
          <w:rPr>
            <w:b/>
            <w:sz w:val="22"/>
            <w:szCs w:val="22"/>
          </w:rPr>
          <w:delText>2</w:delText>
        </w:r>
        <w:r w:rsidR="00B925B3">
          <w:rPr>
            <w:b/>
            <w:sz w:val="22"/>
            <w:szCs w:val="22"/>
          </w:rPr>
          <w:delText>4</w:delText>
        </w:r>
      </w:del>
    </w:p>
    <w:p w14:paraId="3F76400D" w14:textId="6158E4D1" w:rsidR="004462A0" w:rsidRPr="00635048" w:rsidRDefault="00615769">
      <w:pPr>
        <w:rPr>
          <w:del w:id="9600" w:author="AbbVie2" w:date="2025-05-13T16:39:00Z"/>
          <w:b/>
          <w:sz w:val="22"/>
          <w:szCs w:val="22"/>
        </w:rPr>
        <w:pPrChange w:id="9601" w:author="AbbVie2" w:date="2025-05-13T16:40:00Z">
          <w:pPr>
            <w:keepNext/>
            <w:jc w:val="center"/>
          </w:pPr>
        </w:pPrChange>
      </w:pPr>
      <w:del w:id="9602" w:author="AbbVie2" w:date="2025-05-13T16:39:00Z">
        <w:r w:rsidRPr="00635048">
          <w:rPr>
            <w:b/>
            <w:sz w:val="22"/>
            <w:szCs w:val="22"/>
          </w:rPr>
          <w:delText>Tempo até Falha do Tratamento nos Estudos UV I e UV II</w:delText>
        </w:r>
      </w:del>
    </w:p>
    <w:p w14:paraId="3683F9FB" w14:textId="2A4F1BDD" w:rsidR="004462A0" w:rsidRPr="00635048" w:rsidRDefault="004462A0">
      <w:pPr>
        <w:rPr>
          <w:del w:id="9603" w:author="AbbVie2" w:date="2025-05-13T16:39:00Z"/>
          <w:b/>
          <w:sz w:val="22"/>
          <w:szCs w:val="22"/>
        </w:rPr>
        <w:pPrChange w:id="9604" w:author="AbbVie2" w:date="2025-05-13T16:40:00Z">
          <w:pPr>
            <w:keepNext/>
          </w:pPr>
        </w:pPrChange>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A7162A" w14:paraId="0D70CF3F" w14:textId="2A9B2E8C" w:rsidTr="00F675CF">
        <w:trPr>
          <w:del w:id="9605" w:author="AbbVie2" w:date="2025-05-13T16:39:00Z"/>
        </w:trPr>
        <w:tc>
          <w:tcPr>
            <w:tcW w:w="2268" w:type="dxa"/>
            <w:tcBorders>
              <w:top w:val="single" w:sz="4" w:space="0" w:color="auto"/>
              <w:bottom w:val="single" w:sz="4" w:space="0" w:color="auto"/>
            </w:tcBorders>
          </w:tcPr>
          <w:p w14:paraId="0019E210" w14:textId="34DED677" w:rsidR="004462A0" w:rsidRPr="00AD4F25" w:rsidRDefault="00615769">
            <w:pPr>
              <w:rPr>
                <w:del w:id="9606" w:author="AbbVie2" w:date="2025-05-13T16:39:00Z"/>
                <w:b/>
                <w:sz w:val="22"/>
                <w:szCs w:val="22"/>
                <w:rPrChange w:id="9607" w:author="AbbVie2" w:date="2025-05-14T10:17:00Z">
                  <w:rPr>
                    <w:del w:id="9608" w:author="AbbVie2" w:date="2025-05-13T16:39:00Z"/>
                    <w:b/>
                    <w:sz w:val="22"/>
                    <w:szCs w:val="22"/>
                    <w:lang w:val="en-US"/>
                  </w:rPr>
                </w:rPrChange>
              </w:rPr>
              <w:pPrChange w:id="9609" w:author="AbbVie2" w:date="2025-05-13T16:40:00Z">
                <w:pPr>
                  <w:keepNext/>
                </w:pPr>
              </w:pPrChange>
            </w:pPr>
            <w:del w:id="9610" w:author="AbbVie2" w:date="2025-05-13T16:39:00Z">
              <w:r w:rsidRPr="00AD4F25">
                <w:rPr>
                  <w:b/>
                  <w:sz w:val="22"/>
                  <w:szCs w:val="22"/>
                  <w:rPrChange w:id="9611" w:author="AbbVie2" w:date="2025-05-14T10:17:00Z">
                    <w:rPr>
                      <w:b/>
                      <w:sz w:val="22"/>
                      <w:szCs w:val="22"/>
                      <w:lang w:val="en-US"/>
                    </w:rPr>
                  </w:rPrChange>
                </w:rPr>
                <w:delText>Análise</w:delText>
              </w:r>
            </w:del>
          </w:p>
          <w:p w14:paraId="7C02250C" w14:textId="39F21DCF" w:rsidR="004462A0" w:rsidRPr="00AD4F25" w:rsidRDefault="00615769">
            <w:pPr>
              <w:rPr>
                <w:del w:id="9612" w:author="AbbVie2" w:date="2025-05-13T16:39:00Z"/>
                <w:b/>
                <w:sz w:val="22"/>
                <w:szCs w:val="22"/>
                <w:rPrChange w:id="9613" w:author="AbbVie2" w:date="2025-05-14T10:17:00Z">
                  <w:rPr>
                    <w:del w:id="9614" w:author="AbbVie2" w:date="2025-05-13T16:39:00Z"/>
                    <w:b/>
                    <w:sz w:val="22"/>
                    <w:szCs w:val="22"/>
                    <w:lang w:val="en-US"/>
                  </w:rPr>
                </w:rPrChange>
              </w:rPr>
              <w:pPrChange w:id="9615" w:author="AbbVie2" w:date="2025-05-13T16:40:00Z">
                <w:pPr>
                  <w:keepNext/>
                </w:pPr>
              </w:pPrChange>
            </w:pPr>
            <w:del w:id="9616" w:author="AbbVie2" w:date="2025-05-13T16:39:00Z">
              <w:r w:rsidRPr="00AD4F25">
                <w:rPr>
                  <w:b/>
                  <w:sz w:val="22"/>
                  <w:szCs w:val="22"/>
                  <w:rPrChange w:id="9617" w:author="AbbVie2" w:date="2025-05-14T10:17:00Z">
                    <w:rPr>
                      <w:b/>
                      <w:sz w:val="22"/>
                      <w:szCs w:val="22"/>
                      <w:lang w:val="en-US"/>
                    </w:rPr>
                  </w:rPrChange>
                </w:rPr>
                <w:tab/>
                <w:delText>Tratamento</w:delText>
              </w:r>
            </w:del>
          </w:p>
        </w:tc>
        <w:tc>
          <w:tcPr>
            <w:tcW w:w="720" w:type="dxa"/>
            <w:tcBorders>
              <w:top w:val="single" w:sz="4" w:space="0" w:color="auto"/>
              <w:bottom w:val="single" w:sz="4" w:space="0" w:color="auto"/>
            </w:tcBorders>
          </w:tcPr>
          <w:p w14:paraId="79544820" w14:textId="5D49C86F" w:rsidR="004462A0" w:rsidRPr="00AD4F25" w:rsidRDefault="00615769">
            <w:pPr>
              <w:rPr>
                <w:del w:id="9618" w:author="AbbVie2" w:date="2025-05-13T16:39:00Z"/>
                <w:b/>
                <w:sz w:val="22"/>
                <w:szCs w:val="22"/>
                <w:rPrChange w:id="9619" w:author="AbbVie2" w:date="2025-05-14T10:17:00Z">
                  <w:rPr>
                    <w:del w:id="9620" w:author="AbbVie2" w:date="2025-05-13T16:39:00Z"/>
                    <w:b/>
                    <w:sz w:val="22"/>
                    <w:szCs w:val="22"/>
                    <w:lang w:val="en-US"/>
                  </w:rPr>
                </w:rPrChange>
              </w:rPr>
              <w:pPrChange w:id="9621" w:author="AbbVie2" w:date="2025-05-13T16:40:00Z">
                <w:pPr>
                  <w:keepNext/>
                </w:pPr>
              </w:pPrChange>
            </w:pPr>
            <w:del w:id="9622" w:author="AbbVie2" w:date="2025-05-13T16:39:00Z">
              <w:r w:rsidRPr="00AD4F25">
                <w:rPr>
                  <w:b/>
                  <w:sz w:val="22"/>
                  <w:szCs w:val="22"/>
                  <w:rPrChange w:id="9623" w:author="AbbVie2" w:date="2025-05-14T10:17:00Z">
                    <w:rPr>
                      <w:b/>
                      <w:sz w:val="22"/>
                      <w:szCs w:val="22"/>
                      <w:lang w:val="en-US"/>
                    </w:rPr>
                  </w:rPrChange>
                </w:rPr>
                <w:delText>N</w:delText>
              </w:r>
            </w:del>
          </w:p>
        </w:tc>
        <w:tc>
          <w:tcPr>
            <w:tcW w:w="1170" w:type="dxa"/>
            <w:tcBorders>
              <w:top w:val="single" w:sz="4" w:space="0" w:color="auto"/>
              <w:bottom w:val="single" w:sz="4" w:space="0" w:color="auto"/>
            </w:tcBorders>
          </w:tcPr>
          <w:p w14:paraId="315FEA8A" w14:textId="3A0BEA15" w:rsidR="004462A0" w:rsidRPr="00AD4F25" w:rsidRDefault="00615769">
            <w:pPr>
              <w:rPr>
                <w:del w:id="9624" w:author="AbbVie2" w:date="2025-05-13T16:39:00Z"/>
                <w:b/>
                <w:sz w:val="22"/>
                <w:szCs w:val="22"/>
                <w:rPrChange w:id="9625" w:author="AbbVie2" w:date="2025-05-14T10:17:00Z">
                  <w:rPr>
                    <w:del w:id="9626" w:author="AbbVie2" w:date="2025-05-13T16:39:00Z"/>
                    <w:b/>
                    <w:sz w:val="22"/>
                    <w:szCs w:val="22"/>
                    <w:lang w:val="en-US"/>
                  </w:rPr>
                </w:rPrChange>
              </w:rPr>
              <w:pPrChange w:id="9627" w:author="AbbVie2" w:date="2025-05-13T16:40:00Z">
                <w:pPr>
                  <w:keepNext/>
                </w:pPr>
              </w:pPrChange>
            </w:pPr>
            <w:del w:id="9628" w:author="AbbVie2" w:date="2025-05-13T16:39:00Z">
              <w:r w:rsidRPr="00AD4F25">
                <w:rPr>
                  <w:b/>
                  <w:sz w:val="22"/>
                  <w:szCs w:val="22"/>
                  <w:rPrChange w:id="9629" w:author="AbbVie2" w:date="2025-05-14T10:17:00Z">
                    <w:rPr>
                      <w:b/>
                      <w:sz w:val="22"/>
                      <w:szCs w:val="22"/>
                      <w:lang w:val="en-US"/>
                    </w:rPr>
                  </w:rPrChange>
                </w:rPr>
                <w:delText>Falha</w:delText>
              </w:r>
              <w:r w:rsidRPr="00AD4F25">
                <w:rPr>
                  <w:b/>
                  <w:sz w:val="22"/>
                  <w:szCs w:val="22"/>
                  <w:rPrChange w:id="9630" w:author="AbbVie2" w:date="2025-05-14T10:17:00Z">
                    <w:rPr>
                      <w:b/>
                      <w:sz w:val="22"/>
                      <w:szCs w:val="22"/>
                      <w:lang w:val="en-US"/>
                    </w:rPr>
                  </w:rPrChange>
                </w:rPr>
                <w:br/>
                <w:delText>N (%)</w:delText>
              </w:r>
            </w:del>
          </w:p>
        </w:tc>
        <w:tc>
          <w:tcPr>
            <w:tcW w:w="1890" w:type="dxa"/>
            <w:tcBorders>
              <w:top w:val="single" w:sz="4" w:space="0" w:color="auto"/>
              <w:bottom w:val="single" w:sz="4" w:space="0" w:color="auto"/>
            </w:tcBorders>
          </w:tcPr>
          <w:p w14:paraId="47B56DCC" w14:textId="607B29A8" w:rsidR="004462A0" w:rsidRPr="00635048" w:rsidRDefault="00615769">
            <w:pPr>
              <w:rPr>
                <w:del w:id="9631" w:author="AbbVie2" w:date="2025-05-13T16:39:00Z"/>
                <w:b/>
                <w:sz w:val="22"/>
                <w:szCs w:val="22"/>
              </w:rPr>
              <w:pPrChange w:id="9632" w:author="AbbVie2" w:date="2025-05-13T16:40:00Z">
                <w:pPr>
                  <w:keepNext/>
                </w:pPr>
              </w:pPrChange>
            </w:pPr>
            <w:del w:id="9633" w:author="AbbVie2" w:date="2025-05-13T16:39:00Z">
              <w:r>
                <w:rPr>
                  <w:b/>
                  <w:sz w:val="22"/>
                  <w:szCs w:val="22"/>
                </w:rPr>
                <w:delText xml:space="preserve">Mediana do </w:delText>
              </w:r>
              <w:r w:rsidRPr="00635048">
                <w:rPr>
                  <w:b/>
                  <w:sz w:val="22"/>
                  <w:szCs w:val="22"/>
                </w:rPr>
                <w:delText>Tempo</w:delText>
              </w:r>
              <w:r>
                <w:rPr>
                  <w:b/>
                  <w:sz w:val="22"/>
                  <w:szCs w:val="22"/>
                </w:rPr>
                <w:delText xml:space="preserve"> </w:delText>
              </w:r>
              <w:r w:rsidRPr="00635048">
                <w:rPr>
                  <w:b/>
                  <w:sz w:val="22"/>
                  <w:szCs w:val="22"/>
                </w:rPr>
                <w:delText>até Falha do Tratamento</w:delText>
              </w:r>
              <w:r>
                <w:rPr>
                  <w:b/>
                  <w:sz w:val="22"/>
                  <w:szCs w:val="22"/>
                </w:rPr>
                <w:delText xml:space="preserve"> (</w:delText>
              </w:r>
              <w:r w:rsidRPr="00635048">
                <w:rPr>
                  <w:b/>
                  <w:sz w:val="22"/>
                  <w:szCs w:val="22"/>
                </w:rPr>
                <w:delText>meses)</w:delText>
              </w:r>
            </w:del>
          </w:p>
        </w:tc>
        <w:tc>
          <w:tcPr>
            <w:tcW w:w="720" w:type="dxa"/>
            <w:tcBorders>
              <w:top w:val="single" w:sz="4" w:space="0" w:color="auto"/>
              <w:bottom w:val="single" w:sz="4" w:space="0" w:color="auto"/>
            </w:tcBorders>
          </w:tcPr>
          <w:p w14:paraId="164217C2" w14:textId="6C28D288" w:rsidR="004462A0" w:rsidRPr="00AD4F25" w:rsidRDefault="00615769">
            <w:pPr>
              <w:rPr>
                <w:del w:id="9634" w:author="AbbVie2" w:date="2025-05-13T16:39:00Z"/>
                <w:b/>
                <w:sz w:val="22"/>
                <w:szCs w:val="22"/>
                <w:rPrChange w:id="9635" w:author="AbbVie2" w:date="2025-05-14T10:17:00Z">
                  <w:rPr>
                    <w:del w:id="9636" w:author="AbbVie2" w:date="2025-05-13T16:39:00Z"/>
                    <w:b/>
                    <w:sz w:val="22"/>
                    <w:szCs w:val="22"/>
                    <w:lang w:val="en-US"/>
                  </w:rPr>
                </w:rPrChange>
              </w:rPr>
              <w:pPrChange w:id="9637" w:author="AbbVie2" w:date="2025-05-13T16:40:00Z">
                <w:pPr>
                  <w:keepNext/>
                </w:pPr>
              </w:pPrChange>
            </w:pPr>
            <w:del w:id="9638" w:author="AbbVie2" w:date="2025-05-13T16:39:00Z">
              <w:r w:rsidRPr="00AD4F25">
                <w:rPr>
                  <w:b/>
                  <w:sz w:val="22"/>
                  <w:szCs w:val="22"/>
                  <w:rPrChange w:id="9639" w:author="AbbVie2" w:date="2025-05-14T10:17:00Z">
                    <w:rPr>
                      <w:b/>
                      <w:sz w:val="22"/>
                      <w:szCs w:val="22"/>
                      <w:lang w:val="en-US"/>
                    </w:rPr>
                  </w:rPrChange>
                </w:rPr>
                <w:delText>TR</w:delText>
              </w:r>
              <w:r w:rsidRPr="00AD4F25">
                <w:rPr>
                  <w:b/>
                  <w:sz w:val="22"/>
                  <w:szCs w:val="22"/>
                  <w:vertAlign w:val="superscript"/>
                  <w:rPrChange w:id="9640" w:author="AbbVie2" w:date="2025-05-14T10:17:00Z">
                    <w:rPr>
                      <w:b/>
                      <w:sz w:val="22"/>
                      <w:szCs w:val="22"/>
                      <w:vertAlign w:val="superscript"/>
                      <w:lang w:val="en-US"/>
                    </w:rPr>
                  </w:rPrChange>
                </w:rPr>
                <w:delText>a</w:delText>
              </w:r>
            </w:del>
          </w:p>
        </w:tc>
        <w:tc>
          <w:tcPr>
            <w:tcW w:w="1170" w:type="dxa"/>
            <w:tcBorders>
              <w:top w:val="single" w:sz="4" w:space="0" w:color="auto"/>
              <w:bottom w:val="single" w:sz="4" w:space="0" w:color="auto"/>
            </w:tcBorders>
          </w:tcPr>
          <w:p w14:paraId="00962F7E" w14:textId="6DFB5EF0" w:rsidR="004462A0" w:rsidRPr="00AD4F25" w:rsidRDefault="00615769">
            <w:pPr>
              <w:rPr>
                <w:del w:id="9641" w:author="AbbVie2" w:date="2025-05-13T16:39:00Z"/>
                <w:b/>
                <w:sz w:val="22"/>
                <w:szCs w:val="22"/>
                <w:rPrChange w:id="9642" w:author="AbbVie2" w:date="2025-05-14T10:17:00Z">
                  <w:rPr>
                    <w:del w:id="9643" w:author="AbbVie2" w:date="2025-05-13T16:39:00Z"/>
                    <w:b/>
                    <w:sz w:val="22"/>
                    <w:szCs w:val="22"/>
                    <w:lang w:val="en-US"/>
                  </w:rPr>
                </w:rPrChange>
              </w:rPr>
              <w:pPrChange w:id="9644" w:author="AbbVie2" w:date="2025-05-13T16:40:00Z">
                <w:pPr>
                  <w:keepNext/>
                </w:pPr>
              </w:pPrChange>
            </w:pPr>
            <w:del w:id="9645" w:author="AbbVie2" w:date="2025-05-13T16:39:00Z">
              <w:r w:rsidRPr="00AD4F25">
                <w:rPr>
                  <w:b/>
                  <w:sz w:val="22"/>
                  <w:szCs w:val="22"/>
                  <w:rPrChange w:id="9646" w:author="AbbVie2" w:date="2025-05-14T10:17:00Z">
                    <w:rPr>
                      <w:b/>
                      <w:sz w:val="22"/>
                      <w:szCs w:val="22"/>
                      <w:lang w:val="en-US"/>
                    </w:rPr>
                  </w:rPrChange>
                </w:rPr>
                <w:delText>IC 95% para TR</w:delText>
              </w:r>
              <w:r w:rsidRPr="00AD4F25">
                <w:rPr>
                  <w:b/>
                  <w:sz w:val="22"/>
                  <w:szCs w:val="22"/>
                  <w:vertAlign w:val="superscript"/>
                  <w:rPrChange w:id="9647" w:author="AbbVie2" w:date="2025-05-14T10:17:00Z">
                    <w:rPr>
                      <w:b/>
                      <w:sz w:val="22"/>
                      <w:szCs w:val="22"/>
                      <w:vertAlign w:val="superscript"/>
                      <w:lang w:val="en-US"/>
                    </w:rPr>
                  </w:rPrChange>
                </w:rPr>
                <w:delText>a</w:delText>
              </w:r>
            </w:del>
          </w:p>
        </w:tc>
        <w:tc>
          <w:tcPr>
            <w:tcW w:w="1080" w:type="dxa"/>
            <w:tcBorders>
              <w:top w:val="single" w:sz="4" w:space="0" w:color="auto"/>
              <w:bottom w:val="single" w:sz="4" w:space="0" w:color="auto"/>
            </w:tcBorders>
          </w:tcPr>
          <w:p w14:paraId="1CA8A93A" w14:textId="3D1A0769" w:rsidR="004462A0" w:rsidRPr="00AD4F25" w:rsidRDefault="00615769">
            <w:pPr>
              <w:rPr>
                <w:del w:id="9648" w:author="AbbVie2" w:date="2025-05-13T16:39:00Z"/>
                <w:b/>
                <w:sz w:val="22"/>
                <w:szCs w:val="22"/>
                <w:rPrChange w:id="9649" w:author="AbbVie2" w:date="2025-05-14T10:17:00Z">
                  <w:rPr>
                    <w:del w:id="9650" w:author="AbbVie2" w:date="2025-05-13T16:39:00Z"/>
                    <w:b/>
                    <w:sz w:val="22"/>
                    <w:szCs w:val="22"/>
                    <w:lang w:val="en-US"/>
                  </w:rPr>
                </w:rPrChange>
              </w:rPr>
              <w:pPrChange w:id="9651" w:author="AbbVie2" w:date="2025-05-13T16:40:00Z">
                <w:pPr>
                  <w:keepNext/>
                </w:pPr>
              </w:pPrChange>
            </w:pPr>
            <w:del w:id="9652" w:author="AbbVie2" w:date="2025-05-13T16:39:00Z">
              <w:r w:rsidRPr="00AD4F25">
                <w:rPr>
                  <w:b/>
                  <w:sz w:val="22"/>
                  <w:szCs w:val="22"/>
                  <w:rPrChange w:id="9653" w:author="AbbVie2" w:date="2025-05-14T10:17:00Z">
                    <w:rPr>
                      <w:b/>
                      <w:sz w:val="22"/>
                      <w:szCs w:val="22"/>
                      <w:lang w:val="en-US"/>
                    </w:rPr>
                  </w:rPrChange>
                </w:rPr>
                <w:delText>Valor</w:delText>
              </w:r>
              <w:r w:rsidR="00C9386F" w:rsidRPr="00AD4F25">
                <w:rPr>
                  <w:b/>
                  <w:sz w:val="22"/>
                  <w:szCs w:val="22"/>
                  <w:rPrChange w:id="9654" w:author="AbbVie2" w:date="2025-05-14T10:17:00Z">
                    <w:rPr>
                      <w:b/>
                      <w:sz w:val="22"/>
                      <w:szCs w:val="22"/>
                      <w:lang w:val="en-US"/>
                    </w:rPr>
                  </w:rPrChange>
                </w:rPr>
                <w:delText>-p</w:delText>
              </w:r>
              <w:r w:rsidRPr="00AD4F25">
                <w:rPr>
                  <w:b/>
                  <w:sz w:val="22"/>
                  <w:szCs w:val="22"/>
                  <w:vertAlign w:val="superscript"/>
                  <w:rPrChange w:id="9655" w:author="AbbVie2" w:date="2025-05-14T10:17:00Z">
                    <w:rPr>
                      <w:b/>
                      <w:sz w:val="22"/>
                      <w:szCs w:val="22"/>
                      <w:vertAlign w:val="superscript"/>
                      <w:lang w:val="en-US"/>
                    </w:rPr>
                  </w:rPrChange>
                </w:rPr>
                <w:delText>b</w:delText>
              </w:r>
            </w:del>
          </w:p>
        </w:tc>
      </w:tr>
      <w:tr w:rsidR="00A7162A" w14:paraId="0243D3A4" w14:textId="52C7DC5E" w:rsidTr="00F675CF">
        <w:trPr>
          <w:del w:id="9656" w:author="AbbVie2" w:date="2025-05-13T16:39:00Z"/>
        </w:trPr>
        <w:tc>
          <w:tcPr>
            <w:tcW w:w="9018" w:type="dxa"/>
            <w:gridSpan w:val="7"/>
            <w:tcBorders>
              <w:top w:val="single" w:sz="4" w:space="0" w:color="auto"/>
              <w:bottom w:val="nil"/>
            </w:tcBorders>
          </w:tcPr>
          <w:p w14:paraId="3BCB5334" w14:textId="4077E639" w:rsidR="004462A0" w:rsidRPr="00635048" w:rsidRDefault="00615769" w:rsidP="00412FC8">
            <w:pPr>
              <w:rPr>
                <w:del w:id="9657" w:author="AbbVie2" w:date="2025-05-13T16:39:00Z"/>
                <w:b/>
                <w:sz w:val="22"/>
                <w:szCs w:val="22"/>
              </w:rPr>
            </w:pPr>
            <w:del w:id="9658" w:author="AbbVie2" w:date="2025-05-13T16:39:00Z">
              <w:r w:rsidRPr="00635048">
                <w:rPr>
                  <w:b/>
                  <w:sz w:val="22"/>
                  <w:szCs w:val="22"/>
                </w:rPr>
                <w:delText xml:space="preserve">Tempo até Falha do Tratamento </w:delText>
              </w:r>
              <w:r>
                <w:rPr>
                  <w:b/>
                  <w:sz w:val="22"/>
                  <w:szCs w:val="22"/>
                </w:rPr>
                <w:delText xml:space="preserve">na ou após a Semana 6 no Estudo </w:delText>
              </w:r>
              <w:r w:rsidRPr="00635048">
                <w:rPr>
                  <w:b/>
                  <w:sz w:val="22"/>
                  <w:szCs w:val="22"/>
                </w:rPr>
                <w:delText xml:space="preserve">UV I  </w:delText>
              </w:r>
            </w:del>
          </w:p>
        </w:tc>
      </w:tr>
      <w:tr w:rsidR="00A7162A" w14:paraId="2541027E" w14:textId="5CA27650" w:rsidTr="00F675CF">
        <w:trPr>
          <w:del w:id="9659" w:author="AbbVie2" w:date="2025-05-13T16:39:00Z"/>
        </w:trPr>
        <w:tc>
          <w:tcPr>
            <w:tcW w:w="2988" w:type="dxa"/>
            <w:gridSpan w:val="2"/>
            <w:tcBorders>
              <w:top w:val="nil"/>
              <w:bottom w:val="nil"/>
            </w:tcBorders>
          </w:tcPr>
          <w:p w14:paraId="7F1AD8FF" w14:textId="52B99C51" w:rsidR="004462A0" w:rsidRPr="00AD4F25" w:rsidRDefault="00615769" w:rsidP="00412FC8">
            <w:pPr>
              <w:rPr>
                <w:del w:id="9660" w:author="AbbVie2" w:date="2025-05-13T16:39:00Z"/>
                <w:sz w:val="22"/>
                <w:szCs w:val="22"/>
                <w:rPrChange w:id="9661" w:author="AbbVie2" w:date="2025-05-14T10:17:00Z">
                  <w:rPr>
                    <w:del w:id="9662" w:author="AbbVie2" w:date="2025-05-13T16:39:00Z"/>
                    <w:sz w:val="22"/>
                    <w:szCs w:val="22"/>
                    <w:lang w:val="en-US"/>
                  </w:rPr>
                </w:rPrChange>
              </w:rPr>
            </w:pPr>
            <w:del w:id="9663" w:author="AbbVie2" w:date="2025-05-13T16:39:00Z">
              <w:r w:rsidRPr="00AD4F25">
                <w:rPr>
                  <w:sz w:val="22"/>
                  <w:szCs w:val="22"/>
                  <w:rPrChange w:id="9664" w:author="AbbVie2" w:date="2025-05-14T10:17:00Z">
                    <w:rPr>
                      <w:sz w:val="22"/>
                      <w:szCs w:val="22"/>
                      <w:lang w:val="en-US"/>
                    </w:rPr>
                  </w:rPrChange>
                </w:rPr>
                <w:delText>Análise primária (ITT)</w:delText>
              </w:r>
            </w:del>
          </w:p>
        </w:tc>
        <w:tc>
          <w:tcPr>
            <w:tcW w:w="1170" w:type="dxa"/>
            <w:tcBorders>
              <w:top w:val="nil"/>
              <w:bottom w:val="nil"/>
            </w:tcBorders>
          </w:tcPr>
          <w:p w14:paraId="4403A51A" w14:textId="35AEA1C6" w:rsidR="004462A0" w:rsidRPr="00AD4F25" w:rsidRDefault="004462A0" w:rsidP="00412FC8">
            <w:pPr>
              <w:rPr>
                <w:del w:id="9665" w:author="AbbVie2" w:date="2025-05-13T16:39:00Z"/>
                <w:sz w:val="22"/>
                <w:szCs w:val="22"/>
                <w:rPrChange w:id="9666" w:author="AbbVie2" w:date="2025-05-14T10:17:00Z">
                  <w:rPr>
                    <w:del w:id="9667" w:author="AbbVie2" w:date="2025-05-13T16:39:00Z"/>
                    <w:sz w:val="22"/>
                    <w:szCs w:val="22"/>
                    <w:lang w:val="en-US"/>
                  </w:rPr>
                </w:rPrChange>
              </w:rPr>
            </w:pPr>
          </w:p>
        </w:tc>
        <w:tc>
          <w:tcPr>
            <w:tcW w:w="1890" w:type="dxa"/>
            <w:tcBorders>
              <w:top w:val="nil"/>
              <w:bottom w:val="nil"/>
            </w:tcBorders>
          </w:tcPr>
          <w:p w14:paraId="5AE1A797" w14:textId="0780F450" w:rsidR="004462A0" w:rsidRPr="00AD4F25" w:rsidRDefault="004462A0" w:rsidP="00412FC8">
            <w:pPr>
              <w:rPr>
                <w:del w:id="9668" w:author="AbbVie2" w:date="2025-05-13T16:39:00Z"/>
                <w:sz w:val="22"/>
                <w:szCs w:val="22"/>
                <w:rPrChange w:id="9669" w:author="AbbVie2" w:date="2025-05-14T10:17:00Z">
                  <w:rPr>
                    <w:del w:id="9670" w:author="AbbVie2" w:date="2025-05-13T16:39:00Z"/>
                    <w:sz w:val="22"/>
                    <w:szCs w:val="22"/>
                    <w:lang w:val="en-US"/>
                  </w:rPr>
                </w:rPrChange>
              </w:rPr>
            </w:pPr>
          </w:p>
        </w:tc>
        <w:tc>
          <w:tcPr>
            <w:tcW w:w="720" w:type="dxa"/>
            <w:tcBorders>
              <w:top w:val="nil"/>
              <w:bottom w:val="nil"/>
            </w:tcBorders>
          </w:tcPr>
          <w:p w14:paraId="1DE74132" w14:textId="79294A32" w:rsidR="004462A0" w:rsidRPr="00AD4F25" w:rsidRDefault="004462A0" w:rsidP="00412FC8">
            <w:pPr>
              <w:rPr>
                <w:del w:id="9671" w:author="AbbVie2" w:date="2025-05-13T16:39:00Z"/>
                <w:sz w:val="22"/>
                <w:szCs w:val="22"/>
                <w:rPrChange w:id="9672" w:author="AbbVie2" w:date="2025-05-14T10:17:00Z">
                  <w:rPr>
                    <w:del w:id="9673" w:author="AbbVie2" w:date="2025-05-13T16:39:00Z"/>
                    <w:sz w:val="22"/>
                    <w:szCs w:val="22"/>
                    <w:lang w:val="en-US"/>
                  </w:rPr>
                </w:rPrChange>
              </w:rPr>
            </w:pPr>
          </w:p>
        </w:tc>
        <w:tc>
          <w:tcPr>
            <w:tcW w:w="1170" w:type="dxa"/>
            <w:tcBorders>
              <w:top w:val="nil"/>
              <w:bottom w:val="nil"/>
            </w:tcBorders>
          </w:tcPr>
          <w:p w14:paraId="4BBCDFDF" w14:textId="401055A7" w:rsidR="004462A0" w:rsidRPr="00AD4F25" w:rsidRDefault="004462A0" w:rsidP="00412FC8">
            <w:pPr>
              <w:rPr>
                <w:del w:id="9674" w:author="AbbVie2" w:date="2025-05-13T16:39:00Z"/>
                <w:sz w:val="22"/>
                <w:szCs w:val="22"/>
                <w:rPrChange w:id="9675" w:author="AbbVie2" w:date="2025-05-14T10:17:00Z">
                  <w:rPr>
                    <w:del w:id="9676" w:author="AbbVie2" w:date="2025-05-13T16:39:00Z"/>
                    <w:sz w:val="22"/>
                    <w:szCs w:val="22"/>
                    <w:lang w:val="en-US"/>
                  </w:rPr>
                </w:rPrChange>
              </w:rPr>
            </w:pPr>
          </w:p>
        </w:tc>
        <w:tc>
          <w:tcPr>
            <w:tcW w:w="1080" w:type="dxa"/>
            <w:tcBorders>
              <w:top w:val="nil"/>
              <w:bottom w:val="nil"/>
            </w:tcBorders>
          </w:tcPr>
          <w:p w14:paraId="27E55D82" w14:textId="4DB2BA50" w:rsidR="004462A0" w:rsidRPr="00AD4F25" w:rsidRDefault="004462A0" w:rsidP="00412FC8">
            <w:pPr>
              <w:rPr>
                <w:del w:id="9677" w:author="AbbVie2" w:date="2025-05-13T16:39:00Z"/>
                <w:sz w:val="22"/>
                <w:szCs w:val="22"/>
                <w:rPrChange w:id="9678" w:author="AbbVie2" w:date="2025-05-14T10:17:00Z">
                  <w:rPr>
                    <w:del w:id="9679" w:author="AbbVie2" w:date="2025-05-13T16:39:00Z"/>
                    <w:sz w:val="22"/>
                    <w:szCs w:val="22"/>
                    <w:lang w:val="en-US"/>
                  </w:rPr>
                </w:rPrChange>
              </w:rPr>
            </w:pPr>
          </w:p>
        </w:tc>
      </w:tr>
      <w:tr w:rsidR="00A7162A" w14:paraId="4ABBAF84" w14:textId="2AB676B8" w:rsidTr="00F675CF">
        <w:trPr>
          <w:del w:id="9680" w:author="AbbVie2" w:date="2025-05-13T16:39:00Z"/>
        </w:trPr>
        <w:tc>
          <w:tcPr>
            <w:tcW w:w="2268" w:type="dxa"/>
            <w:tcBorders>
              <w:top w:val="nil"/>
              <w:bottom w:val="nil"/>
            </w:tcBorders>
          </w:tcPr>
          <w:p w14:paraId="4A097370" w14:textId="5B607FAC" w:rsidR="004462A0" w:rsidRPr="00AD4F25" w:rsidRDefault="00615769" w:rsidP="00412FC8">
            <w:pPr>
              <w:rPr>
                <w:del w:id="9681" w:author="AbbVie2" w:date="2025-05-13T16:39:00Z"/>
                <w:sz w:val="22"/>
                <w:szCs w:val="22"/>
                <w:rPrChange w:id="9682" w:author="AbbVie2" w:date="2025-05-14T10:17:00Z">
                  <w:rPr>
                    <w:del w:id="9683" w:author="AbbVie2" w:date="2025-05-13T16:39:00Z"/>
                    <w:sz w:val="22"/>
                    <w:szCs w:val="22"/>
                    <w:lang w:val="en-US"/>
                  </w:rPr>
                </w:rPrChange>
              </w:rPr>
            </w:pPr>
            <w:del w:id="9684" w:author="AbbVie2" w:date="2025-05-13T16:39:00Z">
              <w:r w:rsidRPr="00AD4F25">
                <w:rPr>
                  <w:sz w:val="22"/>
                  <w:szCs w:val="22"/>
                  <w:rPrChange w:id="9685" w:author="AbbVie2" w:date="2025-05-14T10:17:00Z">
                    <w:rPr>
                      <w:sz w:val="22"/>
                      <w:szCs w:val="22"/>
                      <w:lang w:val="en-US"/>
                    </w:rPr>
                  </w:rPrChange>
                </w:rPr>
                <w:tab/>
                <w:delText>Placebo</w:delText>
              </w:r>
            </w:del>
          </w:p>
        </w:tc>
        <w:tc>
          <w:tcPr>
            <w:tcW w:w="720" w:type="dxa"/>
            <w:tcBorders>
              <w:top w:val="nil"/>
              <w:bottom w:val="nil"/>
            </w:tcBorders>
          </w:tcPr>
          <w:p w14:paraId="679E7D75" w14:textId="73F77B56" w:rsidR="004462A0" w:rsidRPr="00AD4F25" w:rsidRDefault="00615769" w:rsidP="00412FC8">
            <w:pPr>
              <w:rPr>
                <w:del w:id="9686" w:author="AbbVie2" w:date="2025-05-13T16:39:00Z"/>
                <w:sz w:val="22"/>
                <w:szCs w:val="22"/>
                <w:rPrChange w:id="9687" w:author="AbbVie2" w:date="2025-05-14T10:17:00Z">
                  <w:rPr>
                    <w:del w:id="9688" w:author="AbbVie2" w:date="2025-05-13T16:39:00Z"/>
                    <w:sz w:val="22"/>
                    <w:szCs w:val="22"/>
                    <w:lang w:val="en-US"/>
                  </w:rPr>
                </w:rPrChange>
              </w:rPr>
            </w:pPr>
            <w:del w:id="9689" w:author="AbbVie2" w:date="2025-05-13T16:39:00Z">
              <w:r w:rsidRPr="00AD4F25">
                <w:rPr>
                  <w:sz w:val="22"/>
                  <w:szCs w:val="22"/>
                  <w:rPrChange w:id="9690" w:author="AbbVie2" w:date="2025-05-14T10:17:00Z">
                    <w:rPr>
                      <w:sz w:val="22"/>
                      <w:szCs w:val="22"/>
                      <w:lang w:val="en-US"/>
                    </w:rPr>
                  </w:rPrChange>
                </w:rPr>
                <w:delText>107</w:delText>
              </w:r>
            </w:del>
          </w:p>
        </w:tc>
        <w:tc>
          <w:tcPr>
            <w:tcW w:w="1170" w:type="dxa"/>
            <w:tcBorders>
              <w:top w:val="nil"/>
              <w:bottom w:val="nil"/>
            </w:tcBorders>
          </w:tcPr>
          <w:p w14:paraId="463FCF50" w14:textId="213E9D47" w:rsidR="004462A0" w:rsidRPr="00AD4F25" w:rsidRDefault="00615769" w:rsidP="00412FC8">
            <w:pPr>
              <w:rPr>
                <w:del w:id="9691" w:author="AbbVie2" w:date="2025-05-13T16:39:00Z"/>
                <w:sz w:val="22"/>
                <w:szCs w:val="22"/>
                <w:rPrChange w:id="9692" w:author="AbbVie2" w:date="2025-05-14T10:17:00Z">
                  <w:rPr>
                    <w:del w:id="9693" w:author="AbbVie2" w:date="2025-05-13T16:39:00Z"/>
                    <w:sz w:val="22"/>
                    <w:szCs w:val="22"/>
                    <w:lang w:val="en-US"/>
                  </w:rPr>
                </w:rPrChange>
              </w:rPr>
            </w:pPr>
            <w:del w:id="9694" w:author="AbbVie2" w:date="2025-05-13T16:39:00Z">
              <w:r w:rsidRPr="00AD4F25">
                <w:rPr>
                  <w:sz w:val="22"/>
                  <w:szCs w:val="22"/>
                  <w:rPrChange w:id="9695" w:author="AbbVie2" w:date="2025-05-14T10:17:00Z">
                    <w:rPr>
                      <w:sz w:val="22"/>
                      <w:szCs w:val="22"/>
                      <w:lang w:val="en-US"/>
                    </w:rPr>
                  </w:rPrChange>
                </w:rPr>
                <w:delText>84 (78,5)</w:delText>
              </w:r>
            </w:del>
          </w:p>
        </w:tc>
        <w:tc>
          <w:tcPr>
            <w:tcW w:w="1890" w:type="dxa"/>
            <w:tcBorders>
              <w:top w:val="nil"/>
              <w:bottom w:val="nil"/>
            </w:tcBorders>
          </w:tcPr>
          <w:p w14:paraId="190119CA" w14:textId="04E84F21" w:rsidR="004462A0" w:rsidRPr="00AD4F25" w:rsidRDefault="00615769" w:rsidP="00412FC8">
            <w:pPr>
              <w:rPr>
                <w:del w:id="9696" w:author="AbbVie2" w:date="2025-05-13T16:39:00Z"/>
                <w:sz w:val="22"/>
                <w:szCs w:val="22"/>
                <w:rPrChange w:id="9697" w:author="AbbVie2" w:date="2025-05-14T10:17:00Z">
                  <w:rPr>
                    <w:del w:id="9698" w:author="AbbVie2" w:date="2025-05-13T16:39:00Z"/>
                    <w:sz w:val="22"/>
                    <w:szCs w:val="22"/>
                    <w:lang w:val="en-US"/>
                  </w:rPr>
                </w:rPrChange>
              </w:rPr>
            </w:pPr>
            <w:del w:id="9699" w:author="AbbVie2" w:date="2025-05-13T16:39:00Z">
              <w:r w:rsidRPr="00AD4F25">
                <w:rPr>
                  <w:sz w:val="22"/>
                  <w:szCs w:val="22"/>
                  <w:rPrChange w:id="9700" w:author="AbbVie2" w:date="2025-05-14T10:17:00Z">
                    <w:rPr>
                      <w:sz w:val="22"/>
                      <w:szCs w:val="22"/>
                      <w:lang w:val="en-US"/>
                    </w:rPr>
                  </w:rPrChange>
                </w:rPr>
                <w:delText>3,0</w:delText>
              </w:r>
            </w:del>
          </w:p>
        </w:tc>
        <w:tc>
          <w:tcPr>
            <w:tcW w:w="720" w:type="dxa"/>
            <w:tcBorders>
              <w:top w:val="nil"/>
              <w:bottom w:val="nil"/>
            </w:tcBorders>
          </w:tcPr>
          <w:p w14:paraId="5A47192C" w14:textId="5A09DE12" w:rsidR="004462A0" w:rsidRPr="00AD4F25" w:rsidRDefault="00615769" w:rsidP="00412FC8">
            <w:pPr>
              <w:rPr>
                <w:del w:id="9701" w:author="AbbVie2" w:date="2025-05-13T16:39:00Z"/>
                <w:sz w:val="22"/>
                <w:szCs w:val="22"/>
                <w:rPrChange w:id="9702" w:author="AbbVie2" w:date="2025-05-14T10:17:00Z">
                  <w:rPr>
                    <w:del w:id="9703" w:author="AbbVie2" w:date="2025-05-13T16:39:00Z"/>
                    <w:sz w:val="22"/>
                    <w:szCs w:val="22"/>
                    <w:lang w:val="en-US"/>
                  </w:rPr>
                </w:rPrChange>
              </w:rPr>
            </w:pPr>
            <w:del w:id="9704" w:author="AbbVie2" w:date="2025-05-13T16:39:00Z">
              <w:r w:rsidRPr="00AD4F25">
                <w:rPr>
                  <w:sz w:val="22"/>
                  <w:szCs w:val="22"/>
                  <w:rPrChange w:id="9705" w:author="AbbVie2" w:date="2025-05-14T10:17:00Z">
                    <w:rPr>
                      <w:sz w:val="22"/>
                      <w:szCs w:val="22"/>
                      <w:lang w:val="en-US"/>
                    </w:rPr>
                  </w:rPrChange>
                </w:rPr>
                <w:delText>--</w:delText>
              </w:r>
            </w:del>
          </w:p>
        </w:tc>
        <w:tc>
          <w:tcPr>
            <w:tcW w:w="1170" w:type="dxa"/>
            <w:tcBorders>
              <w:top w:val="nil"/>
              <w:bottom w:val="nil"/>
            </w:tcBorders>
          </w:tcPr>
          <w:p w14:paraId="749D8F10" w14:textId="5A796D0E" w:rsidR="004462A0" w:rsidRPr="00AD4F25" w:rsidRDefault="00615769" w:rsidP="00412FC8">
            <w:pPr>
              <w:rPr>
                <w:del w:id="9706" w:author="AbbVie2" w:date="2025-05-13T16:39:00Z"/>
                <w:sz w:val="22"/>
                <w:szCs w:val="22"/>
                <w:rPrChange w:id="9707" w:author="AbbVie2" w:date="2025-05-14T10:17:00Z">
                  <w:rPr>
                    <w:del w:id="9708" w:author="AbbVie2" w:date="2025-05-13T16:39:00Z"/>
                    <w:sz w:val="22"/>
                    <w:szCs w:val="22"/>
                    <w:lang w:val="en-US"/>
                  </w:rPr>
                </w:rPrChange>
              </w:rPr>
            </w:pPr>
            <w:del w:id="9709" w:author="AbbVie2" w:date="2025-05-13T16:39:00Z">
              <w:r w:rsidRPr="00AD4F25">
                <w:rPr>
                  <w:sz w:val="22"/>
                  <w:szCs w:val="22"/>
                  <w:rPrChange w:id="9710" w:author="AbbVie2" w:date="2025-05-14T10:17:00Z">
                    <w:rPr>
                      <w:sz w:val="22"/>
                      <w:szCs w:val="22"/>
                      <w:lang w:val="en-US"/>
                    </w:rPr>
                  </w:rPrChange>
                </w:rPr>
                <w:delText>--</w:delText>
              </w:r>
            </w:del>
          </w:p>
        </w:tc>
        <w:tc>
          <w:tcPr>
            <w:tcW w:w="1080" w:type="dxa"/>
            <w:tcBorders>
              <w:top w:val="nil"/>
              <w:bottom w:val="nil"/>
            </w:tcBorders>
          </w:tcPr>
          <w:p w14:paraId="5B865019" w14:textId="2DB242B9" w:rsidR="004462A0" w:rsidRPr="00AD4F25" w:rsidRDefault="00615769" w:rsidP="00412FC8">
            <w:pPr>
              <w:rPr>
                <w:del w:id="9711" w:author="AbbVie2" w:date="2025-05-13T16:39:00Z"/>
                <w:sz w:val="22"/>
                <w:szCs w:val="22"/>
                <w:rPrChange w:id="9712" w:author="AbbVie2" w:date="2025-05-14T10:17:00Z">
                  <w:rPr>
                    <w:del w:id="9713" w:author="AbbVie2" w:date="2025-05-13T16:39:00Z"/>
                    <w:sz w:val="22"/>
                    <w:szCs w:val="22"/>
                    <w:lang w:val="en-US"/>
                  </w:rPr>
                </w:rPrChange>
              </w:rPr>
            </w:pPr>
            <w:del w:id="9714" w:author="AbbVie2" w:date="2025-05-13T16:39:00Z">
              <w:r w:rsidRPr="00AD4F25">
                <w:rPr>
                  <w:sz w:val="22"/>
                  <w:szCs w:val="22"/>
                  <w:rPrChange w:id="9715" w:author="AbbVie2" w:date="2025-05-14T10:17:00Z">
                    <w:rPr>
                      <w:sz w:val="22"/>
                      <w:szCs w:val="22"/>
                      <w:lang w:val="en-US"/>
                    </w:rPr>
                  </w:rPrChange>
                </w:rPr>
                <w:delText>--</w:delText>
              </w:r>
            </w:del>
          </w:p>
        </w:tc>
      </w:tr>
      <w:tr w:rsidR="00A7162A" w14:paraId="7294FEEC" w14:textId="470820A2" w:rsidTr="00F675CF">
        <w:trPr>
          <w:del w:id="9716" w:author="AbbVie2" w:date="2025-05-13T16:39:00Z"/>
        </w:trPr>
        <w:tc>
          <w:tcPr>
            <w:tcW w:w="2268" w:type="dxa"/>
            <w:tcBorders>
              <w:top w:val="nil"/>
              <w:bottom w:val="single" w:sz="4" w:space="0" w:color="auto"/>
            </w:tcBorders>
          </w:tcPr>
          <w:p w14:paraId="1D492C07" w14:textId="3F47E3E1" w:rsidR="004462A0" w:rsidRPr="00AD4F25" w:rsidRDefault="00615769" w:rsidP="00412FC8">
            <w:pPr>
              <w:rPr>
                <w:del w:id="9717" w:author="AbbVie2" w:date="2025-05-13T16:39:00Z"/>
                <w:sz w:val="22"/>
                <w:szCs w:val="22"/>
                <w:rPrChange w:id="9718" w:author="AbbVie2" w:date="2025-05-14T10:17:00Z">
                  <w:rPr>
                    <w:del w:id="9719" w:author="AbbVie2" w:date="2025-05-13T16:39:00Z"/>
                    <w:sz w:val="22"/>
                    <w:szCs w:val="22"/>
                    <w:lang w:val="en-US"/>
                  </w:rPr>
                </w:rPrChange>
              </w:rPr>
            </w:pPr>
            <w:del w:id="9720" w:author="AbbVie2" w:date="2025-05-13T16:39:00Z">
              <w:r w:rsidRPr="00AD4F25">
                <w:rPr>
                  <w:sz w:val="22"/>
                  <w:szCs w:val="22"/>
                  <w:rPrChange w:id="9721" w:author="AbbVie2" w:date="2025-05-14T10:17:00Z">
                    <w:rPr>
                      <w:sz w:val="22"/>
                      <w:szCs w:val="22"/>
                      <w:lang w:val="en-US"/>
                    </w:rPr>
                  </w:rPrChange>
                </w:rPr>
                <w:tab/>
                <w:delText>Adalimumab</w:delText>
              </w:r>
            </w:del>
          </w:p>
        </w:tc>
        <w:tc>
          <w:tcPr>
            <w:tcW w:w="720" w:type="dxa"/>
            <w:tcBorders>
              <w:top w:val="nil"/>
              <w:bottom w:val="single" w:sz="4" w:space="0" w:color="auto"/>
            </w:tcBorders>
          </w:tcPr>
          <w:p w14:paraId="1B2AD08D" w14:textId="0262958A" w:rsidR="004462A0" w:rsidRPr="00AD4F25" w:rsidRDefault="00615769" w:rsidP="00412FC8">
            <w:pPr>
              <w:rPr>
                <w:del w:id="9722" w:author="AbbVie2" w:date="2025-05-13T16:39:00Z"/>
                <w:sz w:val="22"/>
                <w:szCs w:val="22"/>
                <w:rPrChange w:id="9723" w:author="AbbVie2" w:date="2025-05-14T10:17:00Z">
                  <w:rPr>
                    <w:del w:id="9724" w:author="AbbVie2" w:date="2025-05-13T16:39:00Z"/>
                    <w:sz w:val="22"/>
                    <w:szCs w:val="22"/>
                    <w:lang w:val="en-US"/>
                  </w:rPr>
                </w:rPrChange>
              </w:rPr>
            </w:pPr>
            <w:del w:id="9725" w:author="AbbVie2" w:date="2025-05-13T16:39:00Z">
              <w:r w:rsidRPr="00AD4F25">
                <w:rPr>
                  <w:sz w:val="22"/>
                  <w:szCs w:val="22"/>
                  <w:rPrChange w:id="9726" w:author="AbbVie2" w:date="2025-05-14T10:17:00Z">
                    <w:rPr>
                      <w:sz w:val="22"/>
                      <w:szCs w:val="22"/>
                      <w:lang w:val="en-US"/>
                    </w:rPr>
                  </w:rPrChange>
                </w:rPr>
                <w:delText>110</w:delText>
              </w:r>
            </w:del>
          </w:p>
        </w:tc>
        <w:tc>
          <w:tcPr>
            <w:tcW w:w="1170" w:type="dxa"/>
            <w:tcBorders>
              <w:top w:val="nil"/>
              <w:bottom w:val="single" w:sz="4" w:space="0" w:color="auto"/>
            </w:tcBorders>
          </w:tcPr>
          <w:p w14:paraId="548F7A0D" w14:textId="76569183" w:rsidR="004462A0" w:rsidRPr="00AD4F25" w:rsidRDefault="00615769" w:rsidP="00412FC8">
            <w:pPr>
              <w:rPr>
                <w:del w:id="9727" w:author="AbbVie2" w:date="2025-05-13T16:39:00Z"/>
                <w:sz w:val="22"/>
                <w:szCs w:val="22"/>
                <w:rPrChange w:id="9728" w:author="AbbVie2" w:date="2025-05-14T10:17:00Z">
                  <w:rPr>
                    <w:del w:id="9729" w:author="AbbVie2" w:date="2025-05-13T16:39:00Z"/>
                    <w:sz w:val="22"/>
                    <w:szCs w:val="22"/>
                    <w:lang w:val="en-US"/>
                  </w:rPr>
                </w:rPrChange>
              </w:rPr>
            </w:pPr>
            <w:del w:id="9730" w:author="AbbVie2" w:date="2025-05-13T16:39:00Z">
              <w:r w:rsidRPr="00AD4F25">
                <w:rPr>
                  <w:sz w:val="22"/>
                  <w:szCs w:val="22"/>
                  <w:rPrChange w:id="9731" w:author="AbbVie2" w:date="2025-05-14T10:17:00Z">
                    <w:rPr>
                      <w:sz w:val="22"/>
                      <w:szCs w:val="22"/>
                      <w:lang w:val="en-US"/>
                    </w:rPr>
                  </w:rPrChange>
                </w:rPr>
                <w:delText>60 (54,5)</w:delText>
              </w:r>
            </w:del>
          </w:p>
        </w:tc>
        <w:tc>
          <w:tcPr>
            <w:tcW w:w="1890" w:type="dxa"/>
            <w:tcBorders>
              <w:top w:val="nil"/>
              <w:bottom w:val="single" w:sz="4" w:space="0" w:color="auto"/>
            </w:tcBorders>
          </w:tcPr>
          <w:p w14:paraId="1F4A33D8" w14:textId="02D657C5" w:rsidR="004462A0" w:rsidRPr="00AD4F25" w:rsidRDefault="00615769" w:rsidP="00412FC8">
            <w:pPr>
              <w:rPr>
                <w:del w:id="9732" w:author="AbbVie2" w:date="2025-05-13T16:39:00Z"/>
                <w:sz w:val="22"/>
                <w:szCs w:val="22"/>
                <w:rPrChange w:id="9733" w:author="AbbVie2" w:date="2025-05-14T10:17:00Z">
                  <w:rPr>
                    <w:del w:id="9734" w:author="AbbVie2" w:date="2025-05-13T16:39:00Z"/>
                    <w:sz w:val="22"/>
                    <w:szCs w:val="22"/>
                    <w:lang w:val="en-US"/>
                  </w:rPr>
                </w:rPrChange>
              </w:rPr>
            </w:pPr>
            <w:del w:id="9735" w:author="AbbVie2" w:date="2025-05-13T16:39:00Z">
              <w:r w:rsidRPr="00AD4F25">
                <w:rPr>
                  <w:sz w:val="22"/>
                  <w:szCs w:val="22"/>
                  <w:rPrChange w:id="9736" w:author="AbbVie2" w:date="2025-05-14T10:17:00Z">
                    <w:rPr>
                      <w:sz w:val="22"/>
                      <w:szCs w:val="22"/>
                      <w:lang w:val="en-US"/>
                    </w:rPr>
                  </w:rPrChange>
                </w:rPr>
                <w:delText>5,6</w:delText>
              </w:r>
            </w:del>
          </w:p>
        </w:tc>
        <w:tc>
          <w:tcPr>
            <w:tcW w:w="720" w:type="dxa"/>
            <w:tcBorders>
              <w:top w:val="nil"/>
              <w:bottom w:val="single" w:sz="4" w:space="0" w:color="auto"/>
            </w:tcBorders>
          </w:tcPr>
          <w:p w14:paraId="7CB3A741" w14:textId="0D643361" w:rsidR="004462A0" w:rsidRPr="00AD4F25" w:rsidRDefault="00615769" w:rsidP="00412FC8">
            <w:pPr>
              <w:rPr>
                <w:del w:id="9737" w:author="AbbVie2" w:date="2025-05-13T16:39:00Z"/>
                <w:sz w:val="22"/>
                <w:szCs w:val="22"/>
                <w:rPrChange w:id="9738" w:author="AbbVie2" w:date="2025-05-14T10:17:00Z">
                  <w:rPr>
                    <w:del w:id="9739" w:author="AbbVie2" w:date="2025-05-13T16:39:00Z"/>
                    <w:sz w:val="22"/>
                    <w:szCs w:val="22"/>
                    <w:lang w:val="en-US"/>
                  </w:rPr>
                </w:rPrChange>
              </w:rPr>
            </w:pPr>
            <w:del w:id="9740" w:author="AbbVie2" w:date="2025-05-13T16:39:00Z">
              <w:r w:rsidRPr="00AD4F25">
                <w:rPr>
                  <w:sz w:val="22"/>
                  <w:szCs w:val="22"/>
                  <w:rPrChange w:id="9741" w:author="AbbVie2" w:date="2025-05-14T10:17:00Z">
                    <w:rPr>
                      <w:sz w:val="22"/>
                      <w:szCs w:val="22"/>
                      <w:lang w:val="en-US"/>
                    </w:rPr>
                  </w:rPrChange>
                </w:rPr>
                <w:delText>0,50</w:delText>
              </w:r>
            </w:del>
          </w:p>
        </w:tc>
        <w:tc>
          <w:tcPr>
            <w:tcW w:w="1170" w:type="dxa"/>
            <w:tcBorders>
              <w:top w:val="nil"/>
              <w:bottom w:val="single" w:sz="4" w:space="0" w:color="auto"/>
            </w:tcBorders>
          </w:tcPr>
          <w:p w14:paraId="132454E3" w14:textId="4B2FA6AE" w:rsidR="004462A0" w:rsidRPr="00AD4F25" w:rsidRDefault="00615769" w:rsidP="00412FC8">
            <w:pPr>
              <w:rPr>
                <w:del w:id="9742" w:author="AbbVie2" w:date="2025-05-13T16:39:00Z"/>
                <w:sz w:val="22"/>
                <w:szCs w:val="22"/>
                <w:rPrChange w:id="9743" w:author="AbbVie2" w:date="2025-05-14T10:17:00Z">
                  <w:rPr>
                    <w:del w:id="9744" w:author="AbbVie2" w:date="2025-05-13T16:39:00Z"/>
                    <w:sz w:val="22"/>
                    <w:szCs w:val="22"/>
                    <w:lang w:val="en-US"/>
                  </w:rPr>
                </w:rPrChange>
              </w:rPr>
            </w:pPr>
            <w:del w:id="9745" w:author="AbbVie2" w:date="2025-05-13T16:39:00Z">
              <w:r w:rsidRPr="00AD4F25">
                <w:rPr>
                  <w:sz w:val="22"/>
                  <w:szCs w:val="22"/>
                  <w:rPrChange w:id="9746" w:author="AbbVie2" w:date="2025-05-14T10:17:00Z">
                    <w:rPr>
                      <w:sz w:val="22"/>
                      <w:szCs w:val="22"/>
                      <w:lang w:val="en-US"/>
                    </w:rPr>
                  </w:rPrChange>
                </w:rPr>
                <w:delText>0,36, 0,70</w:delText>
              </w:r>
              <w:r w:rsidRPr="00AD4F25">
                <w:rPr>
                  <w:sz w:val="22"/>
                  <w:szCs w:val="22"/>
                  <w:vertAlign w:val="superscript"/>
                  <w:rPrChange w:id="9747" w:author="AbbVie2" w:date="2025-05-14T10:17:00Z">
                    <w:rPr>
                      <w:sz w:val="22"/>
                      <w:szCs w:val="22"/>
                      <w:vertAlign w:val="superscript"/>
                      <w:lang w:val="en-US"/>
                    </w:rPr>
                  </w:rPrChange>
                </w:rPr>
                <w:delText xml:space="preserve"> </w:delText>
              </w:r>
            </w:del>
          </w:p>
        </w:tc>
        <w:tc>
          <w:tcPr>
            <w:tcW w:w="1080" w:type="dxa"/>
            <w:tcBorders>
              <w:top w:val="nil"/>
              <w:bottom w:val="single" w:sz="4" w:space="0" w:color="auto"/>
            </w:tcBorders>
          </w:tcPr>
          <w:p w14:paraId="73D94E12" w14:textId="20891C1C" w:rsidR="004462A0" w:rsidRPr="00AD4F25" w:rsidRDefault="00615769" w:rsidP="00412FC8">
            <w:pPr>
              <w:rPr>
                <w:del w:id="9748" w:author="AbbVie2" w:date="2025-05-13T16:39:00Z"/>
                <w:sz w:val="22"/>
                <w:szCs w:val="22"/>
                <w:rPrChange w:id="9749" w:author="AbbVie2" w:date="2025-05-14T10:17:00Z">
                  <w:rPr>
                    <w:del w:id="9750" w:author="AbbVie2" w:date="2025-05-13T16:39:00Z"/>
                    <w:sz w:val="22"/>
                    <w:szCs w:val="22"/>
                    <w:lang w:val="en-US"/>
                  </w:rPr>
                </w:rPrChange>
              </w:rPr>
            </w:pPr>
            <w:del w:id="9751" w:author="AbbVie2" w:date="2025-05-13T16:39:00Z">
              <w:r w:rsidRPr="00AD4F25">
                <w:rPr>
                  <w:sz w:val="22"/>
                  <w:szCs w:val="22"/>
                  <w:rPrChange w:id="9752" w:author="AbbVie2" w:date="2025-05-14T10:17:00Z">
                    <w:rPr>
                      <w:sz w:val="22"/>
                      <w:szCs w:val="22"/>
                      <w:lang w:val="en-US"/>
                    </w:rPr>
                  </w:rPrChange>
                </w:rPr>
                <w:delText>&lt; 0,001</w:delText>
              </w:r>
            </w:del>
          </w:p>
        </w:tc>
      </w:tr>
      <w:tr w:rsidR="00A7162A" w14:paraId="22068074" w14:textId="456AA038" w:rsidTr="00F675CF">
        <w:tblPrEx>
          <w:tblBorders>
            <w:left w:val="single" w:sz="4" w:space="0" w:color="auto"/>
            <w:right w:val="single" w:sz="4" w:space="0" w:color="auto"/>
            <w:insideH w:val="single" w:sz="4" w:space="0" w:color="auto"/>
            <w:insideV w:val="single" w:sz="4" w:space="0" w:color="auto"/>
          </w:tblBorders>
        </w:tblPrEx>
        <w:trPr>
          <w:del w:id="9753" w:author="AbbVie2" w:date="2025-05-13T16:39:00Z"/>
        </w:trPr>
        <w:tc>
          <w:tcPr>
            <w:tcW w:w="9018" w:type="dxa"/>
            <w:gridSpan w:val="7"/>
            <w:tcBorders>
              <w:left w:val="nil"/>
              <w:bottom w:val="nil"/>
              <w:right w:val="nil"/>
            </w:tcBorders>
          </w:tcPr>
          <w:p w14:paraId="5904A3A3" w14:textId="4182790C" w:rsidR="004462A0" w:rsidRPr="00BB2CEC" w:rsidRDefault="00615769" w:rsidP="00412FC8">
            <w:pPr>
              <w:rPr>
                <w:del w:id="9754" w:author="AbbVie2" w:date="2025-05-13T16:39:00Z"/>
                <w:b/>
                <w:sz w:val="22"/>
                <w:szCs w:val="22"/>
              </w:rPr>
            </w:pPr>
            <w:del w:id="9755" w:author="AbbVie2" w:date="2025-05-13T16:39:00Z">
              <w:r w:rsidRPr="00635048">
                <w:rPr>
                  <w:b/>
                  <w:sz w:val="22"/>
                  <w:szCs w:val="22"/>
                </w:rPr>
                <w:delText xml:space="preserve">Tempo até Falha do Tratamento </w:delText>
              </w:r>
              <w:r>
                <w:rPr>
                  <w:b/>
                  <w:sz w:val="22"/>
                  <w:szCs w:val="22"/>
                </w:rPr>
                <w:delText>na</w:delText>
              </w:r>
              <w:r w:rsidRPr="00635048">
                <w:rPr>
                  <w:b/>
                  <w:sz w:val="22"/>
                  <w:szCs w:val="22"/>
                </w:rPr>
                <w:delText xml:space="preserve"> ou após a Semana </w:delText>
              </w:r>
              <w:r w:rsidRPr="00BB2CEC">
                <w:rPr>
                  <w:b/>
                  <w:sz w:val="22"/>
                  <w:szCs w:val="22"/>
                </w:rPr>
                <w:delText>2 no Estudo UV II</w:delText>
              </w:r>
            </w:del>
          </w:p>
        </w:tc>
      </w:tr>
      <w:tr w:rsidR="00A7162A" w14:paraId="56419BAA" w14:textId="2E49E86F" w:rsidTr="00F675CF">
        <w:tblPrEx>
          <w:tblBorders>
            <w:left w:val="single" w:sz="4" w:space="0" w:color="auto"/>
            <w:right w:val="single" w:sz="4" w:space="0" w:color="auto"/>
            <w:insideH w:val="single" w:sz="4" w:space="0" w:color="auto"/>
            <w:insideV w:val="single" w:sz="4" w:space="0" w:color="auto"/>
          </w:tblBorders>
        </w:tblPrEx>
        <w:trPr>
          <w:del w:id="9756" w:author="AbbVie2" w:date="2025-05-13T16:39:00Z"/>
        </w:trPr>
        <w:tc>
          <w:tcPr>
            <w:tcW w:w="2988" w:type="dxa"/>
            <w:gridSpan w:val="2"/>
            <w:tcBorders>
              <w:top w:val="nil"/>
              <w:left w:val="nil"/>
              <w:bottom w:val="nil"/>
              <w:right w:val="nil"/>
            </w:tcBorders>
          </w:tcPr>
          <w:p w14:paraId="6E7AAC9E" w14:textId="2684192F" w:rsidR="004462A0" w:rsidRPr="00AD4F25" w:rsidRDefault="00615769" w:rsidP="00412FC8">
            <w:pPr>
              <w:rPr>
                <w:del w:id="9757" w:author="AbbVie2" w:date="2025-05-13T16:39:00Z"/>
                <w:sz w:val="22"/>
                <w:szCs w:val="22"/>
                <w:rPrChange w:id="9758" w:author="AbbVie2" w:date="2025-05-14T10:17:00Z">
                  <w:rPr>
                    <w:del w:id="9759" w:author="AbbVie2" w:date="2025-05-13T16:39:00Z"/>
                    <w:sz w:val="22"/>
                    <w:szCs w:val="22"/>
                    <w:lang w:val="en-US"/>
                  </w:rPr>
                </w:rPrChange>
              </w:rPr>
            </w:pPr>
            <w:del w:id="9760" w:author="AbbVie2" w:date="2025-05-13T16:39:00Z">
              <w:r>
                <w:rPr>
                  <w:sz w:val="22"/>
                  <w:szCs w:val="22"/>
                </w:rPr>
                <w:delText>Análise primária</w:delText>
              </w:r>
              <w:r w:rsidRPr="00AD4F25">
                <w:rPr>
                  <w:sz w:val="22"/>
                  <w:szCs w:val="22"/>
                  <w:rPrChange w:id="9761" w:author="AbbVie2" w:date="2025-05-14T10:17:00Z">
                    <w:rPr>
                      <w:sz w:val="22"/>
                      <w:szCs w:val="22"/>
                      <w:lang w:val="en-US"/>
                    </w:rPr>
                  </w:rPrChange>
                </w:rPr>
                <w:delText xml:space="preserve"> (ITT)</w:delText>
              </w:r>
            </w:del>
          </w:p>
        </w:tc>
        <w:tc>
          <w:tcPr>
            <w:tcW w:w="1170" w:type="dxa"/>
            <w:tcBorders>
              <w:top w:val="nil"/>
              <w:left w:val="nil"/>
              <w:bottom w:val="nil"/>
              <w:right w:val="nil"/>
            </w:tcBorders>
          </w:tcPr>
          <w:p w14:paraId="733D185D" w14:textId="34C6E60F" w:rsidR="004462A0" w:rsidRPr="00AD4F25" w:rsidRDefault="004462A0" w:rsidP="00412FC8">
            <w:pPr>
              <w:rPr>
                <w:del w:id="9762" w:author="AbbVie2" w:date="2025-05-13T16:39:00Z"/>
                <w:sz w:val="22"/>
                <w:szCs w:val="22"/>
                <w:rPrChange w:id="9763" w:author="AbbVie2" w:date="2025-05-14T10:17:00Z">
                  <w:rPr>
                    <w:del w:id="9764" w:author="AbbVie2" w:date="2025-05-13T16:39:00Z"/>
                    <w:sz w:val="22"/>
                    <w:szCs w:val="22"/>
                    <w:lang w:val="en-US"/>
                  </w:rPr>
                </w:rPrChange>
              </w:rPr>
            </w:pPr>
          </w:p>
        </w:tc>
        <w:tc>
          <w:tcPr>
            <w:tcW w:w="1890" w:type="dxa"/>
            <w:tcBorders>
              <w:top w:val="nil"/>
              <w:left w:val="nil"/>
              <w:bottom w:val="nil"/>
              <w:right w:val="nil"/>
            </w:tcBorders>
          </w:tcPr>
          <w:p w14:paraId="09DCA871" w14:textId="4D7499F3" w:rsidR="004462A0" w:rsidRPr="00AD4F25" w:rsidRDefault="004462A0" w:rsidP="00412FC8">
            <w:pPr>
              <w:rPr>
                <w:del w:id="9765" w:author="AbbVie2" w:date="2025-05-13T16:39:00Z"/>
                <w:sz w:val="22"/>
                <w:szCs w:val="22"/>
                <w:rPrChange w:id="9766" w:author="AbbVie2" w:date="2025-05-14T10:17:00Z">
                  <w:rPr>
                    <w:del w:id="9767" w:author="AbbVie2" w:date="2025-05-13T16:39:00Z"/>
                    <w:sz w:val="22"/>
                    <w:szCs w:val="22"/>
                    <w:lang w:val="en-US"/>
                  </w:rPr>
                </w:rPrChange>
              </w:rPr>
            </w:pPr>
          </w:p>
        </w:tc>
        <w:tc>
          <w:tcPr>
            <w:tcW w:w="720" w:type="dxa"/>
            <w:tcBorders>
              <w:top w:val="nil"/>
              <w:left w:val="nil"/>
              <w:bottom w:val="nil"/>
              <w:right w:val="nil"/>
            </w:tcBorders>
          </w:tcPr>
          <w:p w14:paraId="7136A5E1" w14:textId="0D42EA94" w:rsidR="004462A0" w:rsidRPr="00AD4F25" w:rsidRDefault="004462A0" w:rsidP="00412FC8">
            <w:pPr>
              <w:rPr>
                <w:del w:id="9768" w:author="AbbVie2" w:date="2025-05-13T16:39:00Z"/>
                <w:sz w:val="22"/>
                <w:szCs w:val="22"/>
                <w:rPrChange w:id="9769" w:author="AbbVie2" w:date="2025-05-14T10:17:00Z">
                  <w:rPr>
                    <w:del w:id="9770" w:author="AbbVie2" w:date="2025-05-13T16:39:00Z"/>
                    <w:sz w:val="22"/>
                    <w:szCs w:val="22"/>
                    <w:lang w:val="en-US"/>
                  </w:rPr>
                </w:rPrChange>
              </w:rPr>
            </w:pPr>
          </w:p>
        </w:tc>
        <w:tc>
          <w:tcPr>
            <w:tcW w:w="1170" w:type="dxa"/>
            <w:tcBorders>
              <w:top w:val="nil"/>
              <w:left w:val="nil"/>
              <w:bottom w:val="nil"/>
              <w:right w:val="nil"/>
            </w:tcBorders>
          </w:tcPr>
          <w:p w14:paraId="588696BB" w14:textId="5B2DE770" w:rsidR="004462A0" w:rsidRPr="00AD4F25" w:rsidRDefault="004462A0" w:rsidP="00412FC8">
            <w:pPr>
              <w:rPr>
                <w:del w:id="9771" w:author="AbbVie2" w:date="2025-05-13T16:39:00Z"/>
                <w:sz w:val="22"/>
                <w:szCs w:val="22"/>
                <w:rPrChange w:id="9772" w:author="AbbVie2" w:date="2025-05-14T10:17:00Z">
                  <w:rPr>
                    <w:del w:id="9773" w:author="AbbVie2" w:date="2025-05-13T16:39:00Z"/>
                    <w:sz w:val="22"/>
                    <w:szCs w:val="22"/>
                    <w:lang w:val="en-US"/>
                  </w:rPr>
                </w:rPrChange>
              </w:rPr>
            </w:pPr>
          </w:p>
        </w:tc>
        <w:tc>
          <w:tcPr>
            <w:tcW w:w="1080" w:type="dxa"/>
            <w:tcBorders>
              <w:top w:val="nil"/>
              <w:left w:val="nil"/>
              <w:bottom w:val="nil"/>
              <w:right w:val="nil"/>
            </w:tcBorders>
          </w:tcPr>
          <w:p w14:paraId="3E5176A6" w14:textId="0B148BF5" w:rsidR="004462A0" w:rsidRPr="00AD4F25" w:rsidRDefault="004462A0" w:rsidP="00412FC8">
            <w:pPr>
              <w:rPr>
                <w:del w:id="9774" w:author="AbbVie2" w:date="2025-05-13T16:39:00Z"/>
                <w:sz w:val="22"/>
                <w:szCs w:val="22"/>
                <w:rPrChange w:id="9775" w:author="AbbVie2" w:date="2025-05-14T10:17:00Z">
                  <w:rPr>
                    <w:del w:id="9776" w:author="AbbVie2" w:date="2025-05-13T16:39:00Z"/>
                    <w:sz w:val="22"/>
                    <w:szCs w:val="22"/>
                    <w:lang w:val="en-US"/>
                  </w:rPr>
                </w:rPrChange>
              </w:rPr>
            </w:pPr>
          </w:p>
        </w:tc>
      </w:tr>
      <w:tr w:rsidR="00A7162A" w14:paraId="23A7B012" w14:textId="661FD21A" w:rsidTr="00F675CF">
        <w:tblPrEx>
          <w:tblBorders>
            <w:left w:val="single" w:sz="4" w:space="0" w:color="auto"/>
            <w:right w:val="single" w:sz="4" w:space="0" w:color="auto"/>
            <w:insideH w:val="single" w:sz="4" w:space="0" w:color="auto"/>
            <w:insideV w:val="single" w:sz="4" w:space="0" w:color="auto"/>
          </w:tblBorders>
        </w:tblPrEx>
        <w:trPr>
          <w:del w:id="9777" w:author="AbbVie2" w:date="2025-05-13T16:39:00Z"/>
        </w:trPr>
        <w:tc>
          <w:tcPr>
            <w:tcW w:w="2268" w:type="dxa"/>
            <w:tcBorders>
              <w:top w:val="nil"/>
              <w:left w:val="nil"/>
              <w:bottom w:val="nil"/>
              <w:right w:val="nil"/>
            </w:tcBorders>
          </w:tcPr>
          <w:p w14:paraId="2DFDAF09" w14:textId="5127E2FA" w:rsidR="004462A0" w:rsidRPr="00AD4F25" w:rsidRDefault="00615769" w:rsidP="00412FC8">
            <w:pPr>
              <w:rPr>
                <w:del w:id="9778" w:author="AbbVie2" w:date="2025-05-13T16:39:00Z"/>
                <w:sz w:val="22"/>
                <w:szCs w:val="22"/>
                <w:rPrChange w:id="9779" w:author="AbbVie2" w:date="2025-05-14T10:17:00Z">
                  <w:rPr>
                    <w:del w:id="9780" w:author="AbbVie2" w:date="2025-05-13T16:39:00Z"/>
                    <w:sz w:val="22"/>
                    <w:szCs w:val="22"/>
                    <w:lang w:val="en-US"/>
                  </w:rPr>
                </w:rPrChange>
              </w:rPr>
            </w:pPr>
            <w:del w:id="9781" w:author="AbbVie2" w:date="2025-05-13T16:39:00Z">
              <w:r w:rsidRPr="00AD4F25">
                <w:rPr>
                  <w:sz w:val="22"/>
                  <w:szCs w:val="22"/>
                  <w:rPrChange w:id="9782" w:author="AbbVie2" w:date="2025-05-14T10:17:00Z">
                    <w:rPr>
                      <w:sz w:val="22"/>
                      <w:szCs w:val="22"/>
                      <w:lang w:val="en-US"/>
                    </w:rPr>
                  </w:rPrChange>
                </w:rPr>
                <w:tab/>
                <w:delText>Placebo</w:delText>
              </w:r>
            </w:del>
          </w:p>
        </w:tc>
        <w:tc>
          <w:tcPr>
            <w:tcW w:w="720" w:type="dxa"/>
            <w:tcBorders>
              <w:top w:val="nil"/>
              <w:left w:val="nil"/>
              <w:bottom w:val="nil"/>
              <w:right w:val="nil"/>
            </w:tcBorders>
          </w:tcPr>
          <w:p w14:paraId="7830C3C8" w14:textId="3FB0A1F3" w:rsidR="004462A0" w:rsidRPr="00AD4F25" w:rsidRDefault="00615769" w:rsidP="00412FC8">
            <w:pPr>
              <w:rPr>
                <w:del w:id="9783" w:author="AbbVie2" w:date="2025-05-13T16:39:00Z"/>
                <w:sz w:val="22"/>
                <w:szCs w:val="22"/>
                <w:rPrChange w:id="9784" w:author="AbbVie2" w:date="2025-05-14T10:17:00Z">
                  <w:rPr>
                    <w:del w:id="9785" w:author="AbbVie2" w:date="2025-05-13T16:39:00Z"/>
                    <w:sz w:val="22"/>
                    <w:szCs w:val="22"/>
                    <w:lang w:val="en-US"/>
                  </w:rPr>
                </w:rPrChange>
              </w:rPr>
            </w:pPr>
            <w:del w:id="9786" w:author="AbbVie2" w:date="2025-05-13T16:39:00Z">
              <w:r w:rsidRPr="00AD4F25">
                <w:rPr>
                  <w:sz w:val="22"/>
                  <w:szCs w:val="22"/>
                  <w:rPrChange w:id="9787" w:author="AbbVie2" w:date="2025-05-14T10:17:00Z">
                    <w:rPr>
                      <w:sz w:val="22"/>
                      <w:szCs w:val="22"/>
                      <w:lang w:val="en-US"/>
                    </w:rPr>
                  </w:rPrChange>
                </w:rPr>
                <w:delText>111</w:delText>
              </w:r>
            </w:del>
          </w:p>
        </w:tc>
        <w:tc>
          <w:tcPr>
            <w:tcW w:w="1170" w:type="dxa"/>
            <w:tcBorders>
              <w:top w:val="nil"/>
              <w:left w:val="nil"/>
              <w:bottom w:val="nil"/>
              <w:right w:val="nil"/>
            </w:tcBorders>
          </w:tcPr>
          <w:p w14:paraId="01D3D5DB" w14:textId="61AB8DC9" w:rsidR="004462A0" w:rsidRPr="00AD4F25" w:rsidRDefault="00615769" w:rsidP="00412FC8">
            <w:pPr>
              <w:rPr>
                <w:del w:id="9788" w:author="AbbVie2" w:date="2025-05-13T16:39:00Z"/>
                <w:sz w:val="22"/>
                <w:szCs w:val="22"/>
                <w:rPrChange w:id="9789" w:author="AbbVie2" w:date="2025-05-14T10:17:00Z">
                  <w:rPr>
                    <w:del w:id="9790" w:author="AbbVie2" w:date="2025-05-13T16:39:00Z"/>
                    <w:sz w:val="22"/>
                    <w:szCs w:val="22"/>
                    <w:lang w:val="en-US"/>
                  </w:rPr>
                </w:rPrChange>
              </w:rPr>
            </w:pPr>
            <w:del w:id="9791" w:author="AbbVie2" w:date="2025-05-13T16:39:00Z">
              <w:r w:rsidRPr="00AD4F25">
                <w:rPr>
                  <w:sz w:val="22"/>
                  <w:szCs w:val="22"/>
                  <w:rPrChange w:id="9792" w:author="AbbVie2" w:date="2025-05-14T10:17:00Z">
                    <w:rPr>
                      <w:sz w:val="22"/>
                      <w:szCs w:val="22"/>
                      <w:lang w:val="en-US"/>
                    </w:rPr>
                  </w:rPrChange>
                </w:rPr>
                <w:delText>61 (55,0)</w:delText>
              </w:r>
            </w:del>
          </w:p>
        </w:tc>
        <w:tc>
          <w:tcPr>
            <w:tcW w:w="1890" w:type="dxa"/>
            <w:tcBorders>
              <w:top w:val="nil"/>
              <w:left w:val="nil"/>
              <w:bottom w:val="nil"/>
              <w:right w:val="nil"/>
            </w:tcBorders>
          </w:tcPr>
          <w:p w14:paraId="36BFF253" w14:textId="1F91F2DF" w:rsidR="004462A0" w:rsidRPr="00AD4F25" w:rsidRDefault="00615769" w:rsidP="00412FC8">
            <w:pPr>
              <w:rPr>
                <w:del w:id="9793" w:author="AbbVie2" w:date="2025-05-13T16:39:00Z"/>
                <w:sz w:val="22"/>
                <w:szCs w:val="22"/>
                <w:rPrChange w:id="9794" w:author="AbbVie2" w:date="2025-05-14T10:17:00Z">
                  <w:rPr>
                    <w:del w:id="9795" w:author="AbbVie2" w:date="2025-05-13T16:39:00Z"/>
                    <w:sz w:val="22"/>
                    <w:szCs w:val="22"/>
                    <w:lang w:val="en-US"/>
                  </w:rPr>
                </w:rPrChange>
              </w:rPr>
            </w:pPr>
            <w:del w:id="9796" w:author="AbbVie2" w:date="2025-05-13T16:39:00Z">
              <w:r w:rsidRPr="00AD4F25">
                <w:rPr>
                  <w:sz w:val="22"/>
                  <w:szCs w:val="22"/>
                  <w:rPrChange w:id="9797" w:author="AbbVie2" w:date="2025-05-14T10:17:00Z">
                    <w:rPr>
                      <w:sz w:val="22"/>
                      <w:szCs w:val="22"/>
                      <w:lang w:val="en-US"/>
                    </w:rPr>
                  </w:rPrChange>
                </w:rPr>
                <w:delText>8,3</w:delText>
              </w:r>
            </w:del>
          </w:p>
        </w:tc>
        <w:tc>
          <w:tcPr>
            <w:tcW w:w="720" w:type="dxa"/>
            <w:tcBorders>
              <w:top w:val="nil"/>
              <w:left w:val="nil"/>
              <w:bottom w:val="nil"/>
              <w:right w:val="nil"/>
            </w:tcBorders>
          </w:tcPr>
          <w:p w14:paraId="7CC023BB" w14:textId="6DC0109C" w:rsidR="004462A0" w:rsidRPr="00AD4F25" w:rsidRDefault="00615769" w:rsidP="00412FC8">
            <w:pPr>
              <w:rPr>
                <w:del w:id="9798" w:author="AbbVie2" w:date="2025-05-13T16:39:00Z"/>
                <w:sz w:val="22"/>
                <w:szCs w:val="22"/>
                <w:rPrChange w:id="9799" w:author="AbbVie2" w:date="2025-05-14T10:17:00Z">
                  <w:rPr>
                    <w:del w:id="9800" w:author="AbbVie2" w:date="2025-05-13T16:39:00Z"/>
                    <w:sz w:val="22"/>
                    <w:szCs w:val="22"/>
                    <w:lang w:val="en-US"/>
                  </w:rPr>
                </w:rPrChange>
              </w:rPr>
            </w:pPr>
            <w:del w:id="9801" w:author="AbbVie2" w:date="2025-05-13T16:39:00Z">
              <w:r w:rsidRPr="00AD4F25">
                <w:rPr>
                  <w:sz w:val="22"/>
                  <w:szCs w:val="22"/>
                  <w:rPrChange w:id="9802" w:author="AbbVie2" w:date="2025-05-14T10:17:00Z">
                    <w:rPr>
                      <w:sz w:val="22"/>
                      <w:szCs w:val="22"/>
                      <w:lang w:val="en-US"/>
                    </w:rPr>
                  </w:rPrChange>
                </w:rPr>
                <w:delText>--</w:delText>
              </w:r>
            </w:del>
          </w:p>
        </w:tc>
        <w:tc>
          <w:tcPr>
            <w:tcW w:w="1170" w:type="dxa"/>
            <w:tcBorders>
              <w:top w:val="nil"/>
              <w:left w:val="nil"/>
              <w:bottom w:val="nil"/>
              <w:right w:val="nil"/>
            </w:tcBorders>
          </w:tcPr>
          <w:p w14:paraId="7227BC02" w14:textId="4381674C" w:rsidR="004462A0" w:rsidRPr="00AD4F25" w:rsidRDefault="00615769" w:rsidP="00412FC8">
            <w:pPr>
              <w:rPr>
                <w:del w:id="9803" w:author="AbbVie2" w:date="2025-05-13T16:39:00Z"/>
                <w:sz w:val="22"/>
                <w:szCs w:val="22"/>
                <w:rPrChange w:id="9804" w:author="AbbVie2" w:date="2025-05-14T10:17:00Z">
                  <w:rPr>
                    <w:del w:id="9805" w:author="AbbVie2" w:date="2025-05-13T16:39:00Z"/>
                    <w:sz w:val="22"/>
                    <w:szCs w:val="22"/>
                    <w:lang w:val="en-US"/>
                  </w:rPr>
                </w:rPrChange>
              </w:rPr>
            </w:pPr>
            <w:del w:id="9806" w:author="AbbVie2" w:date="2025-05-13T16:39:00Z">
              <w:r w:rsidRPr="00AD4F25">
                <w:rPr>
                  <w:sz w:val="22"/>
                  <w:szCs w:val="22"/>
                  <w:rPrChange w:id="9807" w:author="AbbVie2" w:date="2025-05-14T10:17:00Z">
                    <w:rPr>
                      <w:sz w:val="22"/>
                      <w:szCs w:val="22"/>
                      <w:lang w:val="en-US"/>
                    </w:rPr>
                  </w:rPrChange>
                </w:rPr>
                <w:delText>--</w:delText>
              </w:r>
            </w:del>
          </w:p>
        </w:tc>
        <w:tc>
          <w:tcPr>
            <w:tcW w:w="1080" w:type="dxa"/>
            <w:tcBorders>
              <w:top w:val="nil"/>
              <w:left w:val="nil"/>
              <w:bottom w:val="nil"/>
              <w:right w:val="nil"/>
            </w:tcBorders>
          </w:tcPr>
          <w:p w14:paraId="79649B53" w14:textId="6E379A1A" w:rsidR="004462A0" w:rsidRPr="00AD4F25" w:rsidRDefault="00615769" w:rsidP="00412FC8">
            <w:pPr>
              <w:rPr>
                <w:del w:id="9808" w:author="AbbVie2" w:date="2025-05-13T16:39:00Z"/>
                <w:sz w:val="22"/>
                <w:szCs w:val="22"/>
                <w:rPrChange w:id="9809" w:author="AbbVie2" w:date="2025-05-14T10:17:00Z">
                  <w:rPr>
                    <w:del w:id="9810" w:author="AbbVie2" w:date="2025-05-13T16:39:00Z"/>
                    <w:sz w:val="22"/>
                    <w:szCs w:val="22"/>
                    <w:lang w:val="en-US"/>
                  </w:rPr>
                </w:rPrChange>
              </w:rPr>
            </w:pPr>
            <w:del w:id="9811" w:author="AbbVie2" w:date="2025-05-13T16:39:00Z">
              <w:r w:rsidRPr="00AD4F25">
                <w:rPr>
                  <w:sz w:val="22"/>
                  <w:szCs w:val="22"/>
                  <w:rPrChange w:id="9812" w:author="AbbVie2" w:date="2025-05-14T10:17:00Z">
                    <w:rPr>
                      <w:sz w:val="22"/>
                      <w:szCs w:val="22"/>
                      <w:lang w:val="en-US"/>
                    </w:rPr>
                  </w:rPrChange>
                </w:rPr>
                <w:delText>--</w:delText>
              </w:r>
            </w:del>
          </w:p>
        </w:tc>
      </w:tr>
      <w:tr w:rsidR="00A7162A" w14:paraId="6176F8A2" w14:textId="220100C4" w:rsidTr="00F675CF">
        <w:tblPrEx>
          <w:tblBorders>
            <w:left w:val="single" w:sz="4" w:space="0" w:color="auto"/>
            <w:right w:val="single" w:sz="4" w:space="0" w:color="auto"/>
            <w:insideH w:val="single" w:sz="4" w:space="0" w:color="auto"/>
            <w:insideV w:val="single" w:sz="4" w:space="0" w:color="auto"/>
          </w:tblBorders>
        </w:tblPrEx>
        <w:trPr>
          <w:del w:id="9813" w:author="AbbVie2" w:date="2025-05-13T16:39:00Z"/>
        </w:trPr>
        <w:tc>
          <w:tcPr>
            <w:tcW w:w="2268" w:type="dxa"/>
            <w:tcBorders>
              <w:top w:val="nil"/>
              <w:left w:val="nil"/>
              <w:bottom w:val="single" w:sz="4" w:space="0" w:color="auto"/>
              <w:right w:val="nil"/>
            </w:tcBorders>
          </w:tcPr>
          <w:p w14:paraId="731A722F" w14:textId="498CB02C" w:rsidR="004462A0" w:rsidRPr="00AD4F25" w:rsidRDefault="00615769" w:rsidP="00412FC8">
            <w:pPr>
              <w:rPr>
                <w:del w:id="9814" w:author="AbbVie2" w:date="2025-05-13T16:39:00Z"/>
                <w:sz w:val="22"/>
                <w:szCs w:val="22"/>
                <w:rPrChange w:id="9815" w:author="AbbVie2" w:date="2025-05-14T10:17:00Z">
                  <w:rPr>
                    <w:del w:id="9816" w:author="AbbVie2" w:date="2025-05-13T16:39:00Z"/>
                    <w:sz w:val="22"/>
                    <w:szCs w:val="22"/>
                    <w:lang w:val="en-US"/>
                  </w:rPr>
                </w:rPrChange>
              </w:rPr>
            </w:pPr>
            <w:del w:id="9817" w:author="AbbVie2" w:date="2025-05-13T16:39:00Z">
              <w:r w:rsidRPr="00AD4F25">
                <w:rPr>
                  <w:sz w:val="22"/>
                  <w:szCs w:val="22"/>
                  <w:rPrChange w:id="9818" w:author="AbbVie2" w:date="2025-05-14T10:17:00Z">
                    <w:rPr>
                      <w:sz w:val="22"/>
                      <w:szCs w:val="22"/>
                      <w:lang w:val="en-US"/>
                    </w:rPr>
                  </w:rPrChange>
                </w:rPr>
                <w:tab/>
                <w:delText>Adalimumab</w:delText>
              </w:r>
            </w:del>
          </w:p>
        </w:tc>
        <w:tc>
          <w:tcPr>
            <w:tcW w:w="720" w:type="dxa"/>
            <w:tcBorders>
              <w:top w:val="nil"/>
              <w:left w:val="nil"/>
              <w:bottom w:val="single" w:sz="4" w:space="0" w:color="auto"/>
              <w:right w:val="nil"/>
            </w:tcBorders>
          </w:tcPr>
          <w:p w14:paraId="589B787F" w14:textId="40A5361E" w:rsidR="004462A0" w:rsidRPr="00AD4F25" w:rsidRDefault="00615769" w:rsidP="00412FC8">
            <w:pPr>
              <w:rPr>
                <w:del w:id="9819" w:author="AbbVie2" w:date="2025-05-13T16:39:00Z"/>
                <w:sz w:val="22"/>
                <w:szCs w:val="22"/>
                <w:rPrChange w:id="9820" w:author="AbbVie2" w:date="2025-05-14T10:17:00Z">
                  <w:rPr>
                    <w:del w:id="9821" w:author="AbbVie2" w:date="2025-05-13T16:39:00Z"/>
                    <w:sz w:val="22"/>
                    <w:szCs w:val="22"/>
                    <w:lang w:val="en-US"/>
                  </w:rPr>
                </w:rPrChange>
              </w:rPr>
            </w:pPr>
            <w:del w:id="9822" w:author="AbbVie2" w:date="2025-05-13T16:39:00Z">
              <w:r w:rsidRPr="00AD4F25">
                <w:rPr>
                  <w:sz w:val="22"/>
                  <w:szCs w:val="22"/>
                  <w:rPrChange w:id="9823" w:author="AbbVie2" w:date="2025-05-14T10:17:00Z">
                    <w:rPr>
                      <w:sz w:val="22"/>
                      <w:szCs w:val="22"/>
                      <w:lang w:val="en-US"/>
                    </w:rPr>
                  </w:rPrChange>
                </w:rPr>
                <w:delText>115</w:delText>
              </w:r>
            </w:del>
          </w:p>
        </w:tc>
        <w:tc>
          <w:tcPr>
            <w:tcW w:w="1170" w:type="dxa"/>
            <w:tcBorders>
              <w:top w:val="nil"/>
              <w:left w:val="nil"/>
              <w:bottom w:val="single" w:sz="4" w:space="0" w:color="auto"/>
              <w:right w:val="nil"/>
            </w:tcBorders>
          </w:tcPr>
          <w:p w14:paraId="5F6A910D" w14:textId="58F0B3B5" w:rsidR="004462A0" w:rsidRPr="00AD4F25" w:rsidRDefault="00615769" w:rsidP="00412FC8">
            <w:pPr>
              <w:rPr>
                <w:del w:id="9824" w:author="AbbVie2" w:date="2025-05-13T16:39:00Z"/>
                <w:sz w:val="22"/>
                <w:szCs w:val="22"/>
                <w:rPrChange w:id="9825" w:author="AbbVie2" w:date="2025-05-14T10:17:00Z">
                  <w:rPr>
                    <w:del w:id="9826" w:author="AbbVie2" w:date="2025-05-13T16:39:00Z"/>
                    <w:sz w:val="22"/>
                    <w:szCs w:val="22"/>
                    <w:lang w:val="en-US"/>
                  </w:rPr>
                </w:rPrChange>
              </w:rPr>
            </w:pPr>
            <w:del w:id="9827" w:author="AbbVie2" w:date="2025-05-13T16:39:00Z">
              <w:r w:rsidRPr="00AD4F25">
                <w:rPr>
                  <w:sz w:val="22"/>
                  <w:szCs w:val="22"/>
                  <w:rPrChange w:id="9828" w:author="AbbVie2" w:date="2025-05-14T10:17:00Z">
                    <w:rPr>
                      <w:sz w:val="22"/>
                      <w:szCs w:val="22"/>
                      <w:lang w:val="en-US"/>
                    </w:rPr>
                  </w:rPrChange>
                </w:rPr>
                <w:delText>45 (39,1)</w:delText>
              </w:r>
            </w:del>
          </w:p>
        </w:tc>
        <w:tc>
          <w:tcPr>
            <w:tcW w:w="1890" w:type="dxa"/>
            <w:tcBorders>
              <w:top w:val="nil"/>
              <w:left w:val="nil"/>
              <w:bottom w:val="single" w:sz="4" w:space="0" w:color="auto"/>
              <w:right w:val="nil"/>
            </w:tcBorders>
          </w:tcPr>
          <w:p w14:paraId="164B95AA" w14:textId="062F47E0" w:rsidR="004462A0" w:rsidRPr="00AD4F25" w:rsidRDefault="00615769" w:rsidP="00412FC8">
            <w:pPr>
              <w:rPr>
                <w:del w:id="9829" w:author="AbbVie2" w:date="2025-05-13T16:39:00Z"/>
                <w:sz w:val="22"/>
                <w:szCs w:val="22"/>
                <w:rPrChange w:id="9830" w:author="AbbVie2" w:date="2025-05-14T10:17:00Z">
                  <w:rPr>
                    <w:del w:id="9831" w:author="AbbVie2" w:date="2025-05-13T16:39:00Z"/>
                    <w:sz w:val="22"/>
                    <w:szCs w:val="22"/>
                    <w:lang w:val="en-US"/>
                  </w:rPr>
                </w:rPrChange>
              </w:rPr>
            </w:pPr>
            <w:del w:id="9832" w:author="AbbVie2" w:date="2025-05-13T16:39:00Z">
              <w:r w:rsidRPr="00AD4F25">
                <w:rPr>
                  <w:sz w:val="22"/>
                  <w:szCs w:val="22"/>
                  <w:rPrChange w:id="9833" w:author="AbbVie2" w:date="2025-05-14T10:17:00Z">
                    <w:rPr>
                      <w:sz w:val="22"/>
                      <w:szCs w:val="22"/>
                      <w:lang w:val="en-US"/>
                    </w:rPr>
                  </w:rPrChange>
                </w:rPr>
                <w:delText>NE</w:delText>
              </w:r>
              <w:r w:rsidRPr="00AD4F25">
                <w:rPr>
                  <w:sz w:val="22"/>
                  <w:szCs w:val="22"/>
                  <w:vertAlign w:val="superscript"/>
                  <w:rPrChange w:id="9834" w:author="AbbVie2" w:date="2025-05-14T10:17:00Z">
                    <w:rPr>
                      <w:sz w:val="22"/>
                      <w:szCs w:val="22"/>
                      <w:vertAlign w:val="superscript"/>
                      <w:lang w:val="en-US"/>
                    </w:rPr>
                  </w:rPrChange>
                </w:rPr>
                <w:delText>c</w:delText>
              </w:r>
            </w:del>
          </w:p>
        </w:tc>
        <w:tc>
          <w:tcPr>
            <w:tcW w:w="720" w:type="dxa"/>
            <w:tcBorders>
              <w:top w:val="nil"/>
              <w:left w:val="nil"/>
              <w:bottom w:val="single" w:sz="4" w:space="0" w:color="auto"/>
              <w:right w:val="nil"/>
            </w:tcBorders>
          </w:tcPr>
          <w:p w14:paraId="6CB94A7C" w14:textId="08195C7C" w:rsidR="004462A0" w:rsidRPr="00AD4F25" w:rsidRDefault="00615769" w:rsidP="00412FC8">
            <w:pPr>
              <w:rPr>
                <w:del w:id="9835" w:author="AbbVie2" w:date="2025-05-13T16:39:00Z"/>
                <w:sz w:val="22"/>
                <w:szCs w:val="22"/>
                <w:rPrChange w:id="9836" w:author="AbbVie2" w:date="2025-05-14T10:17:00Z">
                  <w:rPr>
                    <w:del w:id="9837" w:author="AbbVie2" w:date="2025-05-13T16:39:00Z"/>
                    <w:sz w:val="22"/>
                    <w:szCs w:val="22"/>
                    <w:lang w:val="en-US"/>
                  </w:rPr>
                </w:rPrChange>
              </w:rPr>
            </w:pPr>
            <w:del w:id="9838" w:author="AbbVie2" w:date="2025-05-13T16:39:00Z">
              <w:r w:rsidRPr="00AD4F25">
                <w:rPr>
                  <w:sz w:val="22"/>
                  <w:szCs w:val="22"/>
                  <w:rPrChange w:id="9839" w:author="AbbVie2" w:date="2025-05-14T10:17:00Z">
                    <w:rPr>
                      <w:sz w:val="22"/>
                      <w:szCs w:val="22"/>
                      <w:lang w:val="en-US"/>
                    </w:rPr>
                  </w:rPrChange>
                </w:rPr>
                <w:delText>0,57</w:delText>
              </w:r>
            </w:del>
          </w:p>
        </w:tc>
        <w:tc>
          <w:tcPr>
            <w:tcW w:w="1170" w:type="dxa"/>
            <w:tcBorders>
              <w:top w:val="nil"/>
              <w:left w:val="nil"/>
              <w:bottom w:val="single" w:sz="4" w:space="0" w:color="auto"/>
              <w:right w:val="nil"/>
            </w:tcBorders>
          </w:tcPr>
          <w:p w14:paraId="1B6B6BF0" w14:textId="401CE5ED" w:rsidR="004462A0" w:rsidRPr="00AD4F25" w:rsidRDefault="00615769" w:rsidP="00412FC8">
            <w:pPr>
              <w:rPr>
                <w:del w:id="9840" w:author="AbbVie2" w:date="2025-05-13T16:39:00Z"/>
                <w:sz w:val="22"/>
                <w:szCs w:val="22"/>
                <w:rPrChange w:id="9841" w:author="AbbVie2" w:date="2025-05-14T10:17:00Z">
                  <w:rPr>
                    <w:del w:id="9842" w:author="AbbVie2" w:date="2025-05-13T16:39:00Z"/>
                    <w:sz w:val="22"/>
                    <w:szCs w:val="22"/>
                    <w:lang w:val="en-US"/>
                  </w:rPr>
                </w:rPrChange>
              </w:rPr>
            </w:pPr>
            <w:del w:id="9843" w:author="AbbVie2" w:date="2025-05-13T16:39:00Z">
              <w:r w:rsidRPr="00AD4F25">
                <w:rPr>
                  <w:sz w:val="22"/>
                  <w:szCs w:val="22"/>
                  <w:rPrChange w:id="9844" w:author="AbbVie2" w:date="2025-05-14T10:17:00Z">
                    <w:rPr>
                      <w:sz w:val="22"/>
                      <w:szCs w:val="22"/>
                      <w:lang w:val="en-US"/>
                    </w:rPr>
                  </w:rPrChange>
                </w:rPr>
                <w:delText>0,39, 0,84</w:delText>
              </w:r>
            </w:del>
          </w:p>
        </w:tc>
        <w:tc>
          <w:tcPr>
            <w:tcW w:w="1080" w:type="dxa"/>
            <w:tcBorders>
              <w:top w:val="nil"/>
              <w:left w:val="nil"/>
              <w:bottom w:val="single" w:sz="4" w:space="0" w:color="auto"/>
              <w:right w:val="nil"/>
            </w:tcBorders>
          </w:tcPr>
          <w:p w14:paraId="03189774" w14:textId="0E8BBDE7" w:rsidR="004462A0" w:rsidRPr="00AD4F25" w:rsidRDefault="00615769" w:rsidP="00412FC8">
            <w:pPr>
              <w:rPr>
                <w:del w:id="9845" w:author="AbbVie2" w:date="2025-05-13T16:39:00Z"/>
                <w:sz w:val="22"/>
                <w:szCs w:val="22"/>
                <w:rPrChange w:id="9846" w:author="AbbVie2" w:date="2025-05-14T10:17:00Z">
                  <w:rPr>
                    <w:del w:id="9847" w:author="AbbVie2" w:date="2025-05-13T16:39:00Z"/>
                    <w:sz w:val="22"/>
                    <w:szCs w:val="22"/>
                    <w:lang w:val="en-US"/>
                  </w:rPr>
                </w:rPrChange>
              </w:rPr>
            </w:pPr>
            <w:del w:id="9848" w:author="AbbVie2" w:date="2025-05-13T16:39:00Z">
              <w:r w:rsidRPr="00AD4F25">
                <w:rPr>
                  <w:sz w:val="22"/>
                  <w:szCs w:val="22"/>
                  <w:rPrChange w:id="9849" w:author="AbbVie2" w:date="2025-05-14T10:17:00Z">
                    <w:rPr>
                      <w:sz w:val="22"/>
                      <w:szCs w:val="22"/>
                      <w:lang w:val="en-US"/>
                    </w:rPr>
                  </w:rPrChange>
                </w:rPr>
                <w:delText>0,004</w:delText>
              </w:r>
            </w:del>
          </w:p>
        </w:tc>
      </w:tr>
    </w:tbl>
    <w:p w14:paraId="2C2D413C" w14:textId="61B0B67E" w:rsidR="004462A0" w:rsidRPr="00F42903" w:rsidRDefault="00615769" w:rsidP="00412FC8">
      <w:pPr>
        <w:rPr>
          <w:del w:id="9850" w:author="AbbVie2" w:date="2025-05-13T16:39:00Z"/>
          <w:sz w:val="22"/>
          <w:szCs w:val="22"/>
        </w:rPr>
      </w:pPr>
      <w:del w:id="9851" w:author="AbbVie2" w:date="2025-05-13T16:39:00Z">
        <w:r w:rsidRPr="00C37A72">
          <w:rPr>
            <w:sz w:val="22"/>
            <w:szCs w:val="22"/>
          </w:rPr>
          <w:delText xml:space="preserve">Nota: </w:delText>
        </w:r>
        <w:r w:rsidR="00FB6C29">
          <w:rPr>
            <w:sz w:val="22"/>
            <w:szCs w:val="22"/>
          </w:rPr>
          <w:delText>A</w:delText>
        </w:r>
        <w:r w:rsidRPr="00C37A72">
          <w:rPr>
            <w:sz w:val="22"/>
            <w:szCs w:val="22"/>
          </w:rPr>
          <w:delText xml:space="preserve"> falha do tratamento à ou após a Semana 6 (Estudo UV I), ou à ou após a Semana 2 (Estudo UV II)</w:delText>
        </w:r>
        <w:r w:rsidR="00FB6C29">
          <w:rPr>
            <w:sz w:val="22"/>
            <w:szCs w:val="22"/>
          </w:rPr>
          <w:delText>,</w:delText>
        </w:r>
        <w:r w:rsidRPr="00C37A72">
          <w:rPr>
            <w:sz w:val="22"/>
            <w:szCs w:val="22"/>
          </w:rPr>
          <w:delText xml:space="preserve"> foi registad</w:delText>
        </w:r>
        <w:r w:rsidR="00FB6C29">
          <w:rPr>
            <w:sz w:val="22"/>
            <w:szCs w:val="22"/>
          </w:rPr>
          <w:delText>a</w:delText>
        </w:r>
        <w:r w:rsidRPr="00C37A72">
          <w:rPr>
            <w:sz w:val="22"/>
            <w:szCs w:val="22"/>
          </w:rPr>
          <w:delText xml:space="preserve"> como evento. </w:delText>
        </w:r>
        <w:r w:rsidRPr="00F42903">
          <w:rPr>
            <w:sz w:val="22"/>
            <w:szCs w:val="22"/>
          </w:rPr>
          <w:delText>Os doentes que abandonaram o estudo por outras razões que não a falha d</w:delText>
        </w:r>
        <w:r w:rsidR="00FB6C29">
          <w:rPr>
            <w:sz w:val="22"/>
            <w:szCs w:val="22"/>
          </w:rPr>
          <w:delText>o</w:delText>
        </w:r>
        <w:r w:rsidRPr="00F42903">
          <w:rPr>
            <w:sz w:val="22"/>
            <w:szCs w:val="22"/>
          </w:rPr>
          <w:delText xml:space="preserve"> tratamento foram </w:delText>
        </w:r>
        <w:r>
          <w:rPr>
            <w:sz w:val="22"/>
            <w:szCs w:val="22"/>
          </w:rPr>
          <w:delText>c</w:delText>
        </w:r>
        <w:r w:rsidR="00FB6C29">
          <w:rPr>
            <w:sz w:val="22"/>
            <w:szCs w:val="22"/>
          </w:rPr>
          <w:delText>ensurados</w:delText>
        </w:r>
        <w:r w:rsidRPr="00F42903">
          <w:rPr>
            <w:sz w:val="22"/>
            <w:szCs w:val="22"/>
          </w:rPr>
          <w:delText xml:space="preserve"> no momento dos abandonos.</w:delText>
        </w:r>
      </w:del>
    </w:p>
    <w:p w14:paraId="5F2C783B" w14:textId="1E39D199" w:rsidR="004462A0" w:rsidRPr="00C878A8" w:rsidRDefault="00615769">
      <w:pPr>
        <w:rPr>
          <w:del w:id="9852" w:author="AbbVie2" w:date="2025-05-13T16:39:00Z"/>
          <w:sz w:val="22"/>
          <w:szCs w:val="22"/>
        </w:rPr>
        <w:pPrChange w:id="9853" w:author="AbbVie2" w:date="2025-05-13T16:40:00Z">
          <w:pPr>
            <w:numPr>
              <w:numId w:val="173"/>
            </w:numPr>
            <w:ind w:left="360" w:hanging="360"/>
          </w:pPr>
        </w:pPrChange>
      </w:pPr>
      <w:del w:id="9854" w:author="AbbVie2" w:date="2025-05-13T16:39:00Z">
        <w:r>
          <w:rPr>
            <w:sz w:val="22"/>
            <w:szCs w:val="22"/>
          </w:rPr>
          <w:delText>T</w:delText>
        </w:r>
        <w:r w:rsidRPr="00C878A8">
          <w:rPr>
            <w:sz w:val="22"/>
            <w:szCs w:val="22"/>
          </w:rPr>
          <w:delText xml:space="preserve">R </w:delText>
        </w:r>
        <w:r>
          <w:rPr>
            <w:sz w:val="22"/>
            <w:szCs w:val="22"/>
          </w:rPr>
          <w:delText xml:space="preserve">(Taxa de Risco) </w:delText>
        </w:r>
        <w:r w:rsidRPr="00C878A8">
          <w:rPr>
            <w:sz w:val="22"/>
            <w:szCs w:val="22"/>
          </w:rPr>
          <w:delText>de</w:delText>
        </w:r>
        <w:r>
          <w:rPr>
            <w:sz w:val="22"/>
            <w:szCs w:val="22"/>
          </w:rPr>
          <w:delText xml:space="preserve"> adalimumab vs placebo através da regressão </w:delText>
        </w:r>
        <w:r w:rsidRPr="00C878A8">
          <w:rPr>
            <w:sz w:val="22"/>
            <w:szCs w:val="22"/>
          </w:rPr>
          <w:delText>de risco proporciona</w:delText>
        </w:r>
        <w:r>
          <w:rPr>
            <w:sz w:val="22"/>
            <w:szCs w:val="22"/>
          </w:rPr>
          <w:delText>l</w:delText>
        </w:r>
        <w:r w:rsidRPr="00C878A8">
          <w:rPr>
            <w:sz w:val="22"/>
            <w:szCs w:val="22"/>
          </w:rPr>
          <w:delText xml:space="preserve"> com o </w:delText>
        </w:r>
        <w:r>
          <w:rPr>
            <w:sz w:val="22"/>
            <w:szCs w:val="22"/>
          </w:rPr>
          <w:delText xml:space="preserve">fator de </w:delText>
        </w:r>
        <w:r w:rsidRPr="00C878A8">
          <w:rPr>
            <w:sz w:val="22"/>
            <w:szCs w:val="22"/>
          </w:rPr>
          <w:delText>tratamento.</w:delText>
        </w:r>
      </w:del>
    </w:p>
    <w:p w14:paraId="480D5CAE" w14:textId="09A3564D" w:rsidR="004462A0" w:rsidRPr="00966B42" w:rsidRDefault="00615769">
      <w:pPr>
        <w:rPr>
          <w:del w:id="9855" w:author="AbbVie2" w:date="2025-05-13T16:39:00Z"/>
          <w:sz w:val="22"/>
          <w:szCs w:val="22"/>
        </w:rPr>
        <w:pPrChange w:id="9856" w:author="AbbVie2" w:date="2025-05-13T16:40:00Z">
          <w:pPr>
            <w:numPr>
              <w:numId w:val="173"/>
            </w:numPr>
            <w:ind w:left="360" w:hanging="360"/>
          </w:pPr>
        </w:pPrChange>
      </w:pPr>
      <w:del w:id="9857" w:author="AbbVie2" w:date="2025-05-13T16:39:00Z">
        <w:r w:rsidRPr="00966B42">
          <w:rPr>
            <w:sz w:val="22"/>
            <w:szCs w:val="22"/>
          </w:rPr>
          <w:delText xml:space="preserve">2-lados valor </w:delText>
        </w:r>
        <w:r w:rsidRPr="00966B42">
          <w:rPr>
            <w:i/>
            <w:sz w:val="22"/>
            <w:szCs w:val="22"/>
          </w:rPr>
          <w:delText>P</w:delText>
        </w:r>
        <w:r w:rsidRPr="00966B42">
          <w:rPr>
            <w:sz w:val="22"/>
            <w:szCs w:val="22"/>
          </w:rPr>
          <w:delText xml:space="preserve"> do teste logarítmico.</w:delText>
        </w:r>
      </w:del>
    </w:p>
    <w:p w14:paraId="43A9529B" w14:textId="302B9D1F" w:rsidR="004462A0" w:rsidRPr="00966B42" w:rsidRDefault="00615769">
      <w:pPr>
        <w:rPr>
          <w:del w:id="9858" w:author="AbbVie2" w:date="2025-05-13T16:39:00Z"/>
          <w:sz w:val="22"/>
          <w:szCs w:val="22"/>
        </w:rPr>
        <w:pPrChange w:id="9859" w:author="AbbVie2" w:date="2025-05-13T16:40:00Z">
          <w:pPr>
            <w:numPr>
              <w:numId w:val="173"/>
            </w:numPr>
            <w:ind w:left="360" w:hanging="360"/>
          </w:pPr>
        </w:pPrChange>
      </w:pPr>
      <w:del w:id="9860" w:author="AbbVie2" w:date="2025-05-13T16:39:00Z">
        <w:r w:rsidRPr="00966B42">
          <w:rPr>
            <w:sz w:val="22"/>
            <w:szCs w:val="22"/>
          </w:rPr>
          <w:delText>NE = não estimado. Menos d</w:delText>
        </w:r>
        <w:r>
          <w:rPr>
            <w:sz w:val="22"/>
            <w:szCs w:val="22"/>
          </w:rPr>
          <w:delText>e</w:delText>
        </w:r>
        <w:r w:rsidRPr="00966B42">
          <w:rPr>
            <w:sz w:val="22"/>
            <w:szCs w:val="22"/>
          </w:rPr>
          <w:delText xml:space="preserve"> metade dos indivíduos em situação de risco teve um evento</w:delText>
        </w:r>
        <w:r>
          <w:rPr>
            <w:sz w:val="22"/>
            <w:szCs w:val="22"/>
          </w:rPr>
          <w:delText>.</w:delText>
        </w:r>
        <w:r w:rsidRPr="00966B42">
          <w:rPr>
            <w:sz w:val="22"/>
            <w:szCs w:val="22"/>
          </w:rPr>
          <w:delText xml:space="preserve"> </w:delText>
        </w:r>
      </w:del>
    </w:p>
    <w:p w14:paraId="51D2E484" w14:textId="143768A2" w:rsidR="004462A0" w:rsidRDefault="004462A0" w:rsidP="00412FC8">
      <w:pPr>
        <w:rPr>
          <w:del w:id="9861" w:author="AbbVie2" w:date="2025-05-13T16:39:00Z"/>
          <w:sz w:val="22"/>
          <w:szCs w:val="22"/>
        </w:rPr>
      </w:pPr>
    </w:p>
    <w:p w14:paraId="22957E7C" w14:textId="680DC1B2" w:rsidR="004462A0" w:rsidRPr="004D010F" w:rsidRDefault="00615769">
      <w:pPr>
        <w:rPr>
          <w:del w:id="9862" w:author="AbbVie2" w:date="2025-05-13T16:39:00Z"/>
          <w:b/>
          <w:sz w:val="22"/>
          <w:szCs w:val="22"/>
        </w:rPr>
        <w:pPrChange w:id="9863" w:author="AbbVie2" w:date="2025-05-13T16:40:00Z">
          <w:pPr>
            <w:jc w:val="center"/>
          </w:pPr>
        </w:pPrChange>
      </w:pPr>
      <w:del w:id="9864" w:author="AbbVie2" w:date="2025-05-13T16:39:00Z">
        <w:r w:rsidRPr="004D010F">
          <w:rPr>
            <w:b/>
            <w:sz w:val="22"/>
            <w:szCs w:val="22"/>
          </w:rPr>
          <w:delText xml:space="preserve">Figura </w:delText>
        </w:r>
        <w:r w:rsidR="003A3548">
          <w:rPr>
            <w:b/>
            <w:sz w:val="22"/>
            <w:szCs w:val="22"/>
          </w:rPr>
          <w:delText>2</w:delText>
        </w:r>
        <w:r w:rsidRPr="004D010F">
          <w:rPr>
            <w:b/>
            <w:sz w:val="22"/>
            <w:szCs w:val="22"/>
          </w:rPr>
          <w:delText xml:space="preserve">: Curvas de Kaplan-Meier resumindo o Tempo </w:delText>
        </w:r>
        <w:r w:rsidR="00C9386F">
          <w:rPr>
            <w:b/>
            <w:sz w:val="22"/>
            <w:szCs w:val="22"/>
          </w:rPr>
          <w:delText>até</w:delText>
        </w:r>
        <w:r w:rsidR="00C9386F" w:rsidRPr="004D010F">
          <w:rPr>
            <w:b/>
            <w:sz w:val="22"/>
            <w:szCs w:val="22"/>
          </w:rPr>
          <w:delText xml:space="preserve"> </w:delText>
        </w:r>
        <w:r w:rsidRPr="004D010F">
          <w:rPr>
            <w:b/>
            <w:sz w:val="22"/>
            <w:szCs w:val="22"/>
          </w:rPr>
          <w:delText xml:space="preserve">Falha do Tratamento </w:delText>
        </w:r>
        <w:r>
          <w:rPr>
            <w:b/>
            <w:sz w:val="22"/>
            <w:szCs w:val="22"/>
          </w:rPr>
          <w:delText>na</w:delText>
        </w:r>
        <w:r w:rsidRPr="004D010F">
          <w:rPr>
            <w:b/>
            <w:sz w:val="22"/>
            <w:szCs w:val="22"/>
          </w:rPr>
          <w:delText xml:space="preserve"> ou após a Semana 6 (Estudo UV I) ou Semana 2 (Estudo UV II)</w:delText>
        </w:r>
      </w:del>
    </w:p>
    <w:tbl>
      <w:tblPr>
        <w:tblW w:w="9288" w:type="dxa"/>
        <w:tblLayout w:type="fixed"/>
        <w:tblLook w:val="04A0" w:firstRow="1" w:lastRow="0" w:firstColumn="1" w:lastColumn="0" w:noHBand="0" w:noVBand="1"/>
      </w:tblPr>
      <w:tblGrid>
        <w:gridCol w:w="482"/>
        <w:gridCol w:w="3496"/>
        <w:gridCol w:w="1170"/>
        <w:gridCol w:w="1350"/>
        <w:gridCol w:w="900"/>
        <w:gridCol w:w="1890"/>
      </w:tblGrid>
      <w:tr w:rsidR="00A7162A" w14:paraId="60047816" w14:textId="2E1DE496" w:rsidTr="00F675CF">
        <w:trPr>
          <w:cantSplit/>
          <w:trHeight w:val="4173"/>
          <w:del w:id="9865" w:author="AbbVie2" w:date="2025-05-13T16:39:00Z"/>
        </w:trPr>
        <w:tc>
          <w:tcPr>
            <w:tcW w:w="482" w:type="dxa"/>
            <w:textDirection w:val="btLr"/>
            <w:vAlign w:val="bottom"/>
          </w:tcPr>
          <w:p w14:paraId="5C222F6A" w14:textId="6DD46B1A" w:rsidR="004462A0" w:rsidRPr="00EA0F56" w:rsidRDefault="00615769" w:rsidP="00412FC8">
            <w:pPr>
              <w:rPr>
                <w:del w:id="9866" w:author="AbbVie2" w:date="2025-05-13T16:39:00Z"/>
                <w:b/>
                <w:sz w:val="20"/>
                <w:szCs w:val="20"/>
              </w:rPr>
            </w:pPr>
            <w:del w:id="9867" w:author="AbbVie2" w:date="2025-05-13T16:39:00Z">
              <w:r w:rsidRPr="00EA0F56">
                <w:rPr>
                  <w:b/>
                  <w:sz w:val="20"/>
                  <w:szCs w:val="20"/>
                </w:rPr>
                <w:delText>TAXA DE FALHA DO TR</w:delText>
              </w:r>
              <w:r>
                <w:rPr>
                  <w:b/>
                  <w:sz w:val="20"/>
                  <w:szCs w:val="20"/>
                </w:rPr>
                <w:delText>A</w:delText>
              </w:r>
              <w:r w:rsidRPr="00EA0F56">
                <w:rPr>
                  <w:b/>
                  <w:sz w:val="20"/>
                  <w:szCs w:val="20"/>
                </w:rPr>
                <w:delText>TAMENTO</w:delText>
              </w:r>
              <w:r>
                <w:rPr>
                  <w:b/>
                  <w:sz w:val="20"/>
                  <w:szCs w:val="20"/>
                </w:rPr>
                <w:delText xml:space="preserve"> (%)</w:delText>
              </w:r>
            </w:del>
          </w:p>
        </w:tc>
        <w:tc>
          <w:tcPr>
            <w:tcW w:w="8806" w:type="dxa"/>
            <w:gridSpan w:val="5"/>
            <w:vAlign w:val="bottom"/>
          </w:tcPr>
          <w:p w14:paraId="2681E394" w14:textId="5E20DF28" w:rsidR="004462A0" w:rsidRPr="00AD4F25" w:rsidRDefault="00615769" w:rsidP="00412FC8">
            <w:pPr>
              <w:rPr>
                <w:del w:id="9868" w:author="AbbVie2" w:date="2025-05-13T16:39:00Z"/>
                <w:sz w:val="22"/>
                <w:szCs w:val="22"/>
                <w:rPrChange w:id="9869" w:author="AbbVie2" w:date="2025-05-14T10:17:00Z">
                  <w:rPr>
                    <w:del w:id="9870" w:author="AbbVie2" w:date="2025-05-13T16:39:00Z"/>
                    <w:sz w:val="22"/>
                    <w:szCs w:val="22"/>
                    <w:lang w:val="en-US"/>
                  </w:rPr>
                </w:rPrChange>
              </w:rPr>
            </w:pPr>
            <w:del w:id="9871" w:author="AbbVie2" w:date="2025-05-13T16:39:00Z">
              <w:r>
                <w:rPr>
                  <w:noProof/>
                  <w:lang w:val="en-GB" w:eastAsia="en-GB"/>
                </w:rPr>
                <w:drawing>
                  <wp:inline distT="0" distB="0" distL="0" distR="0" wp14:anchorId="508E1D03" wp14:editId="76FBED87">
                    <wp:extent cx="5486400" cy="2206625"/>
                    <wp:effectExtent l="0" t="0" r="0" b="3175"/>
                    <wp:docPr id="67" name="Picture 67"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1" descr="Humira Uveitis Figure 5_6"/>
                            <pic:cNvPicPr>
                              <a:picLocks noChangeAspect="1" noChangeArrowheads="1"/>
                            </pic:cNvPicPr>
                          </pic:nvPicPr>
                          <pic:blipFill>
                            <a:blip r:embed="rId11" r:link="rId12">
                              <a:extLst>
                                <a:ext uri="{28A0092B-C50C-407E-A947-70E740481C1C}">
                                  <a14:useLocalDpi xmlns:a14="http://schemas.microsoft.com/office/drawing/2010/main" val="0"/>
                                </a:ext>
                              </a:extLst>
                            </a:blip>
                            <a:stretch>
                              <a:fillRect/>
                            </a:stretch>
                          </pic:blipFill>
                          <pic:spPr bwMode="auto">
                            <a:xfrm>
                              <a:off x="0" y="0"/>
                              <a:ext cx="5486400" cy="2206625"/>
                            </a:xfrm>
                            <a:prstGeom prst="rect">
                              <a:avLst/>
                            </a:prstGeom>
                            <a:noFill/>
                            <a:ln>
                              <a:noFill/>
                            </a:ln>
                          </pic:spPr>
                        </pic:pic>
                      </a:graphicData>
                    </a:graphic>
                  </wp:inline>
                </w:drawing>
              </w:r>
            </w:del>
          </w:p>
        </w:tc>
      </w:tr>
      <w:tr w:rsidR="00A7162A" w14:paraId="37FE8AFD" w14:textId="07DC9612" w:rsidTr="00F675CF">
        <w:trPr>
          <w:del w:id="9872" w:author="AbbVie2" w:date="2025-05-13T16:39:00Z"/>
        </w:trPr>
        <w:tc>
          <w:tcPr>
            <w:tcW w:w="482" w:type="dxa"/>
          </w:tcPr>
          <w:p w14:paraId="267FBD3C" w14:textId="4BD72D47" w:rsidR="004462A0" w:rsidRPr="00AD4F25" w:rsidRDefault="004462A0" w:rsidP="00412FC8">
            <w:pPr>
              <w:rPr>
                <w:del w:id="9873" w:author="AbbVie2" w:date="2025-05-13T16:39:00Z"/>
                <w:sz w:val="22"/>
                <w:szCs w:val="22"/>
                <w:rPrChange w:id="9874" w:author="AbbVie2" w:date="2025-05-14T10:17:00Z">
                  <w:rPr>
                    <w:del w:id="9875" w:author="AbbVie2" w:date="2025-05-13T16:39:00Z"/>
                    <w:sz w:val="22"/>
                    <w:szCs w:val="22"/>
                    <w:lang w:val="en-US"/>
                  </w:rPr>
                </w:rPrChange>
              </w:rPr>
            </w:pPr>
          </w:p>
        </w:tc>
        <w:tc>
          <w:tcPr>
            <w:tcW w:w="8806" w:type="dxa"/>
            <w:gridSpan w:val="5"/>
          </w:tcPr>
          <w:p w14:paraId="0D8B6717" w14:textId="502072AF" w:rsidR="004462A0" w:rsidRPr="00AD4F25" w:rsidRDefault="00615769">
            <w:pPr>
              <w:rPr>
                <w:del w:id="9876" w:author="AbbVie2" w:date="2025-05-13T16:39:00Z"/>
                <w:b/>
                <w:sz w:val="22"/>
                <w:szCs w:val="22"/>
                <w:rPrChange w:id="9877" w:author="AbbVie2" w:date="2025-05-14T10:17:00Z">
                  <w:rPr>
                    <w:del w:id="9878" w:author="AbbVie2" w:date="2025-05-13T16:39:00Z"/>
                    <w:b/>
                    <w:sz w:val="22"/>
                    <w:szCs w:val="22"/>
                    <w:lang w:val="en-US"/>
                  </w:rPr>
                </w:rPrChange>
              </w:rPr>
              <w:pPrChange w:id="9879" w:author="AbbVie2" w:date="2025-05-13T16:40:00Z">
                <w:pPr>
                  <w:jc w:val="center"/>
                </w:pPr>
              </w:pPrChange>
            </w:pPr>
            <w:del w:id="9880" w:author="AbbVie2" w:date="2025-05-13T16:39:00Z">
              <w:r w:rsidRPr="00AD4F25">
                <w:rPr>
                  <w:b/>
                  <w:sz w:val="22"/>
                  <w:szCs w:val="22"/>
                  <w:rPrChange w:id="9881" w:author="AbbVie2" w:date="2025-05-14T10:17:00Z">
                    <w:rPr>
                      <w:b/>
                      <w:sz w:val="22"/>
                      <w:szCs w:val="22"/>
                      <w:lang w:val="en-US"/>
                    </w:rPr>
                  </w:rPrChange>
                </w:rPr>
                <w:delText>TEMPO (MESES)</w:delText>
              </w:r>
            </w:del>
          </w:p>
        </w:tc>
      </w:tr>
      <w:tr w:rsidR="00A7162A" w14:paraId="293D19E1" w14:textId="08F1BA65" w:rsidTr="00F675CF">
        <w:trPr>
          <w:del w:id="9882" w:author="AbbVie2" w:date="2025-05-13T16:39:00Z"/>
        </w:trPr>
        <w:tc>
          <w:tcPr>
            <w:tcW w:w="482" w:type="dxa"/>
          </w:tcPr>
          <w:p w14:paraId="3B26D724" w14:textId="3475D2A2" w:rsidR="004462A0" w:rsidRPr="00AD4F25" w:rsidRDefault="004462A0" w:rsidP="00412FC8">
            <w:pPr>
              <w:rPr>
                <w:del w:id="9883" w:author="AbbVie2" w:date="2025-05-13T16:39:00Z"/>
                <w:sz w:val="22"/>
                <w:szCs w:val="22"/>
                <w:rPrChange w:id="9884" w:author="AbbVie2" w:date="2025-05-14T10:17:00Z">
                  <w:rPr>
                    <w:del w:id="9885" w:author="AbbVie2" w:date="2025-05-13T16:39:00Z"/>
                    <w:sz w:val="22"/>
                    <w:szCs w:val="22"/>
                    <w:lang w:val="en-US"/>
                  </w:rPr>
                </w:rPrChange>
              </w:rPr>
            </w:pPr>
          </w:p>
        </w:tc>
        <w:tc>
          <w:tcPr>
            <w:tcW w:w="3496" w:type="dxa"/>
          </w:tcPr>
          <w:p w14:paraId="5C1841A4" w14:textId="2FDF68CE" w:rsidR="004462A0" w:rsidRPr="00AD4F25" w:rsidRDefault="00615769" w:rsidP="00412FC8">
            <w:pPr>
              <w:rPr>
                <w:del w:id="9886" w:author="AbbVie2" w:date="2025-05-13T16:39:00Z"/>
                <w:sz w:val="22"/>
                <w:szCs w:val="22"/>
                <w:rPrChange w:id="9887" w:author="AbbVie2" w:date="2025-05-14T10:17:00Z">
                  <w:rPr>
                    <w:del w:id="9888" w:author="AbbVie2" w:date="2025-05-13T16:39:00Z"/>
                    <w:sz w:val="22"/>
                    <w:szCs w:val="22"/>
                    <w:lang w:val="en-US"/>
                  </w:rPr>
                </w:rPrChange>
              </w:rPr>
            </w:pPr>
            <w:del w:id="9889" w:author="AbbVie2" w:date="2025-05-13T16:39:00Z">
              <w:r w:rsidRPr="00AD4F25">
                <w:rPr>
                  <w:sz w:val="22"/>
                  <w:szCs w:val="22"/>
                  <w:rPrChange w:id="9890" w:author="AbbVie2" w:date="2025-05-14T10:17:00Z">
                    <w:rPr>
                      <w:sz w:val="22"/>
                      <w:szCs w:val="22"/>
                      <w:lang w:val="en-US"/>
                    </w:rPr>
                  </w:rPrChange>
                </w:rPr>
                <w:delText>Estudo UV I           Tratamento</w:delText>
              </w:r>
            </w:del>
          </w:p>
        </w:tc>
        <w:tc>
          <w:tcPr>
            <w:tcW w:w="1170" w:type="dxa"/>
          </w:tcPr>
          <w:p w14:paraId="299B07F2" w14:textId="63902DAC" w:rsidR="004462A0" w:rsidRPr="00AD4F25" w:rsidRDefault="00615769" w:rsidP="00412FC8">
            <w:pPr>
              <w:rPr>
                <w:del w:id="9891" w:author="AbbVie2" w:date="2025-05-13T16:39:00Z"/>
                <w:sz w:val="22"/>
                <w:szCs w:val="22"/>
                <w:rPrChange w:id="9892" w:author="AbbVie2" w:date="2025-05-14T10:17:00Z">
                  <w:rPr>
                    <w:del w:id="9893" w:author="AbbVie2" w:date="2025-05-13T16:39:00Z"/>
                    <w:sz w:val="22"/>
                    <w:szCs w:val="22"/>
                    <w:lang w:val="en-US"/>
                  </w:rPr>
                </w:rPrChange>
              </w:rPr>
            </w:pPr>
            <w:del w:id="9894" w:author="AbbVie2" w:date="2025-05-13T16:39:00Z">
              <w:r>
                <w:rPr>
                  <w:noProof/>
                  <w:sz w:val="22"/>
                  <w:szCs w:val="22"/>
                  <w:lang w:val="en-GB" w:eastAsia="en-GB"/>
                </w:rPr>
                <w:drawing>
                  <wp:inline distT="0" distB="0" distL="0" distR="0" wp14:anchorId="39D45465" wp14:editId="21B68661">
                    <wp:extent cx="397510" cy="179070"/>
                    <wp:effectExtent l="0" t="0" r="2540" b="0"/>
                    <wp:docPr id="66" name="Picture 66"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2"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97510" cy="179070"/>
                            </a:xfrm>
                            <a:prstGeom prst="rect">
                              <a:avLst/>
                            </a:prstGeom>
                            <a:noFill/>
                            <a:ln>
                              <a:noFill/>
                            </a:ln>
                          </pic:spPr>
                        </pic:pic>
                      </a:graphicData>
                    </a:graphic>
                  </wp:inline>
                </w:drawing>
              </w:r>
            </w:del>
          </w:p>
        </w:tc>
        <w:tc>
          <w:tcPr>
            <w:tcW w:w="1350" w:type="dxa"/>
          </w:tcPr>
          <w:p w14:paraId="3B8CA0D0" w14:textId="67363554" w:rsidR="004462A0" w:rsidRPr="00AD4F25" w:rsidRDefault="00615769" w:rsidP="00412FC8">
            <w:pPr>
              <w:rPr>
                <w:del w:id="9895" w:author="AbbVie2" w:date="2025-05-13T16:39:00Z"/>
                <w:sz w:val="22"/>
                <w:szCs w:val="22"/>
                <w:rPrChange w:id="9896" w:author="AbbVie2" w:date="2025-05-14T10:17:00Z">
                  <w:rPr>
                    <w:del w:id="9897" w:author="AbbVie2" w:date="2025-05-13T16:39:00Z"/>
                    <w:sz w:val="22"/>
                    <w:szCs w:val="22"/>
                    <w:lang w:val="en-US"/>
                  </w:rPr>
                </w:rPrChange>
              </w:rPr>
            </w:pPr>
            <w:del w:id="9898" w:author="AbbVie2" w:date="2025-05-13T16:39:00Z">
              <w:r w:rsidRPr="00AD4F25">
                <w:rPr>
                  <w:sz w:val="22"/>
                  <w:szCs w:val="22"/>
                  <w:rPrChange w:id="9899" w:author="AbbVie2" w:date="2025-05-14T10:17:00Z">
                    <w:rPr>
                      <w:sz w:val="22"/>
                      <w:szCs w:val="22"/>
                      <w:lang w:val="en-US"/>
                    </w:rPr>
                  </w:rPrChange>
                </w:rPr>
                <w:delText>Placebo</w:delText>
              </w:r>
            </w:del>
          </w:p>
        </w:tc>
        <w:tc>
          <w:tcPr>
            <w:tcW w:w="900" w:type="dxa"/>
          </w:tcPr>
          <w:p w14:paraId="1D02137F" w14:textId="6F911742" w:rsidR="004462A0" w:rsidRPr="00AD4F25" w:rsidRDefault="00615769" w:rsidP="00412FC8">
            <w:pPr>
              <w:rPr>
                <w:del w:id="9900" w:author="AbbVie2" w:date="2025-05-13T16:39:00Z"/>
                <w:sz w:val="22"/>
                <w:szCs w:val="22"/>
                <w:rPrChange w:id="9901" w:author="AbbVie2" w:date="2025-05-14T10:17:00Z">
                  <w:rPr>
                    <w:del w:id="9902" w:author="AbbVie2" w:date="2025-05-13T16:39:00Z"/>
                    <w:sz w:val="22"/>
                    <w:szCs w:val="22"/>
                    <w:lang w:val="en-US"/>
                  </w:rPr>
                </w:rPrChange>
              </w:rPr>
            </w:pPr>
            <w:del w:id="9903" w:author="AbbVie2" w:date="2025-05-13T16:39:00Z">
              <w:r>
                <w:rPr>
                  <w:noProof/>
                  <w:sz w:val="22"/>
                  <w:szCs w:val="22"/>
                  <w:lang w:val="en-GB" w:eastAsia="en-GB"/>
                </w:rPr>
                <w:drawing>
                  <wp:inline distT="0" distB="0" distL="0" distR="0" wp14:anchorId="724DE8FD" wp14:editId="31F02321">
                    <wp:extent cx="556895" cy="179070"/>
                    <wp:effectExtent l="0" t="0" r="0" b="0"/>
                    <wp:docPr id="65" name="Picture 6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3" descr="Humira Uveitis Figure 5_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56895" cy="179070"/>
                            </a:xfrm>
                            <a:prstGeom prst="rect">
                              <a:avLst/>
                            </a:prstGeom>
                            <a:noFill/>
                            <a:ln>
                              <a:noFill/>
                            </a:ln>
                          </pic:spPr>
                        </pic:pic>
                      </a:graphicData>
                    </a:graphic>
                  </wp:inline>
                </w:drawing>
              </w:r>
            </w:del>
          </w:p>
        </w:tc>
        <w:tc>
          <w:tcPr>
            <w:tcW w:w="1890" w:type="dxa"/>
          </w:tcPr>
          <w:p w14:paraId="73B2B0FF" w14:textId="3742638C" w:rsidR="004462A0" w:rsidRPr="00AD4F25" w:rsidRDefault="00615769" w:rsidP="00412FC8">
            <w:pPr>
              <w:rPr>
                <w:del w:id="9904" w:author="AbbVie2" w:date="2025-05-13T16:39:00Z"/>
                <w:sz w:val="22"/>
                <w:szCs w:val="22"/>
                <w:rPrChange w:id="9905" w:author="AbbVie2" w:date="2025-05-14T10:17:00Z">
                  <w:rPr>
                    <w:del w:id="9906" w:author="AbbVie2" w:date="2025-05-13T16:39:00Z"/>
                    <w:sz w:val="22"/>
                    <w:szCs w:val="22"/>
                    <w:lang w:val="en-US"/>
                  </w:rPr>
                </w:rPrChange>
              </w:rPr>
            </w:pPr>
            <w:del w:id="9907" w:author="AbbVie2" w:date="2025-05-13T16:39:00Z">
              <w:r w:rsidRPr="00AD4F25">
                <w:rPr>
                  <w:sz w:val="22"/>
                  <w:szCs w:val="22"/>
                  <w:rPrChange w:id="9908" w:author="AbbVie2" w:date="2025-05-14T10:17:00Z">
                    <w:rPr>
                      <w:sz w:val="22"/>
                      <w:szCs w:val="22"/>
                      <w:lang w:val="en-US"/>
                    </w:rPr>
                  </w:rPrChange>
                </w:rPr>
                <w:delText>Adalimumab</w:delText>
              </w:r>
            </w:del>
          </w:p>
        </w:tc>
      </w:tr>
      <w:tr w:rsidR="00A7162A" w14:paraId="23E69681" w14:textId="7C266EA4" w:rsidTr="00F675CF">
        <w:trPr>
          <w:trHeight w:val="4085"/>
          <w:del w:id="9909" w:author="AbbVie2" w:date="2025-05-13T16:39:00Z"/>
        </w:trPr>
        <w:tc>
          <w:tcPr>
            <w:tcW w:w="482" w:type="dxa"/>
            <w:textDirection w:val="btLr"/>
            <w:vAlign w:val="bottom"/>
          </w:tcPr>
          <w:p w14:paraId="28168E4D" w14:textId="536E4A98" w:rsidR="004462A0" w:rsidRPr="00EA0F56" w:rsidRDefault="00615769">
            <w:pPr>
              <w:rPr>
                <w:del w:id="9910" w:author="AbbVie2" w:date="2025-05-13T16:39:00Z"/>
                <w:sz w:val="20"/>
                <w:szCs w:val="20"/>
              </w:rPr>
              <w:pPrChange w:id="9911" w:author="AbbVie2" w:date="2025-05-13T16:40:00Z">
                <w:pPr>
                  <w:keepNext/>
                </w:pPr>
              </w:pPrChange>
            </w:pPr>
            <w:del w:id="9912" w:author="AbbVie2" w:date="2025-05-13T16:39:00Z">
              <w:r w:rsidRPr="00EA0F56">
                <w:rPr>
                  <w:b/>
                  <w:sz w:val="20"/>
                  <w:szCs w:val="20"/>
                </w:rPr>
                <w:delText>TAXA DE FALHA DE TRATAME</w:delText>
              </w:r>
              <w:r>
                <w:rPr>
                  <w:b/>
                  <w:sz w:val="20"/>
                  <w:szCs w:val="20"/>
                </w:rPr>
                <w:delText>N</w:delText>
              </w:r>
              <w:r w:rsidRPr="00EA0F56">
                <w:rPr>
                  <w:b/>
                  <w:sz w:val="20"/>
                  <w:szCs w:val="20"/>
                </w:rPr>
                <w:delText>TO (%)</w:delText>
              </w:r>
            </w:del>
          </w:p>
        </w:tc>
        <w:tc>
          <w:tcPr>
            <w:tcW w:w="8806" w:type="dxa"/>
            <w:gridSpan w:val="5"/>
            <w:vAlign w:val="bottom"/>
          </w:tcPr>
          <w:p w14:paraId="045DF758" w14:textId="48583CEF" w:rsidR="004462A0" w:rsidRPr="00AD4F25" w:rsidRDefault="00615769">
            <w:pPr>
              <w:rPr>
                <w:del w:id="9913" w:author="AbbVie2" w:date="2025-05-13T16:39:00Z"/>
                <w:sz w:val="22"/>
                <w:szCs w:val="22"/>
                <w:rPrChange w:id="9914" w:author="AbbVie2" w:date="2025-05-14T10:17:00Z">
                  <w:rPr>
                    <w:del w:id="9915" w:author="AbbVie2" w:date="2025-05-13T16:39:00Z"/>
                    <w:sz w:val="22"/>
                    <w:szCs w:val="22"/>
                    <w:lang w:val="en-US"/>
                  </w:rPr>
                </w:rPrChange>
              </w:rPr>
              <w:pPrChange w:id="9916" w:author="AbbVie2" w:date="2025-05-13T16:40:00Z">
                <w:pPr>
                  <w:keepNext/>
                </w:pPr>
              </w:pPrChange>
            </w:pPr>
            <w:del w:id="9917" w:author="AbbVie2" w:date="2025-05-13T16:39:00Z">
              <w:r>
                <w:rPr>
                  <w:noProof/>
                  <w:szCs w:val="22"/>
                  <w:lang w:val="en-GB" w:eastAsia="en-GB"/>
                </w:rPr>
                <w:drawing>
                  <wp:inline distT="0" distB="0" distL="0" distR="0" wp14:anchorId="64806E25" wp14:editId="2E0E7462">
                    <wp:extent cx="5486400" cy="2176780"/>
                    <wp:effectExtent l="0" t="0" r="0" b="0"/>
                    <wp:docPr id="64" name="Picture 64"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4" descr="Humira Uveitis Figure 5_7"/>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486400" cy="2176780"/>
                            </a:xfrm>
                            <a:prstGeom prst="rect">
                              <a:avLst/>
                            </a:prstGeom>
                            <a:noFill/>
                            <a:ln>
                              <a:noFill/>
                            </a:ln>
                          </pic:spPr>
                        </pic:pic>
                      </a:graphicData>
                    </a:graphic>
                  </wp:inline>
                </w:drawing>
              </w:r>
            </w:del>
          </w:p>
        </w:tc>
      </w:tr>
      <w:tr w:rsidR="00A7162A" w14:paraId="47D42E55" w14:textId="26F737DD" w:rsidTr="00F675CF">
        <w:trPr>
          <w:del w:id="9918" w:author="AbbVie2" w:date="2025-05-13T16:39:00Z"/>
        </w:trPr>
        <w:tc>
          <w:tcPr>
            <w:tcW w:w="482" w:type="dxa"/>
          </w:tcPr>
          <w:p w14:paraId="60289ACB" w14:textId="696F9744" w:rsidR="004462A0" w:rsidRPr="00AD4F25" w:rsidRDefault="004462A0">
            <w:pPr>
              <w:rPr>
                <w:del w:id="9919" w:author="AbbVie2" w:date="2025-05-13T16:39:00Z"/>
                <w:sz w:val="22"/>
                <w:szCs w:val="22"/>
                <w:rPrChange w:id="9920" w:author="AbbVie2" w:date="2025-05-14T10:17:00Z">
                  <w:rPr>
                    <w:del w:id="9921" w:author="AbbVie2" w:date="2025-05-13T16:39:00Z"/>
                    <w:sz w:val="22"/>
                    <w:szCs w:val="22"/>
                    <w:lang w:val="en-US"/>
                  </w:rPr>
                </w:rPrChange>
              </w:rPr>
              <w:pPrChange w:id="9922" w:author="AbbVie2" w:date="2025-05-13T16:40:00Z">
                <w:pPr>
                  <w:keepNext/>
                </w:pPr>
              </w:pPrChange>
            </w:pPr>
          </w:p>
        </w:tc>
        <w:tc>
          <w:tcPr>
            <w:tcW w:w="8806" w:type="dxa"/>
            <w:gridSpan w:val="5"/>
          </w:tcPr>
          <w:p w14:paraId="10C745F9" w14:textId="6627FBE4" w:rsidR="004462A0" w:rsidRPr="00AD4F25" w:rsidRDefault="00615769">
            <w:pPr>
              <w:rPr>
                <w:del w:id="9923" w:author="AbbVie2" w:date="2025-05-13T16:39:00Z"/>
                <w:b/>
                <w:sz w:val="22"/>
                <w:szCs w:val="22"/>
                <w:rPrChange w:id="9924" w:author="AbbVie2" w:date="2025-05-14T10:17:00Z">
                  <w:rPr>
                    <w:del w:id="9925" w:author="AbbVie2" w:date="2025-05-13T16:39:00Z"/>
                    <w:b/>
                    <w:sz w:val="22"/>
                    <w:szCs w:val="22"/>
                    <w:lang w:val="en-US"/>
                  </w:rPr>
                </w:rPrChange>
              </w:rPr>
              <w:pPrChange w:id="9926" w:author="AbbVie2" w:date="2025-05-13T16:40:00Z">
                <w:pPr>
                  <w:keepNext/>
                  <w:jc w:val="center"/>
                </w:pPr>
              </w:pPrChange>
            </w:pPr>
            <w:del w:id="9927" w:author="AbbVie2" w:date="2025-05-13T16:39:00Z">
              <w:r w:rsidRPr="00AD4F25">
                <w:rPr>
                  <w:b/>
                  <w:sz w:val="22"/>
                  <w:szCs w:val="22"/>
                  <w:rPrChange w:id="9928" w:author="AbbVie2" w:date="2025-05-14T10:17:00Z">
                    <w:rPr>
                      <w:b/>
                      <w:sz w:val="22"/>
                      <w:szCs w:val="22"/>
                      <w:lang w:val="en-US"/>
                    </w:rPr>
                  </w:rPrChange>
                </w:rPr>
                <w:delText>TEMPO (MESES)</w:delText>
              </w:r>
            </w:del>
          </w:p>
        </w:tc>
      </w:tr>
      <w:tr w:rsidR="00A7162A" w14:paraId="550DA2F1" w14:textId="1E799D2E" w:rsidTr="00F675CF">
        <w:trPr>
          <w:trHeight w:val="369"/>
          <w:del w:id="9929" w:author="AbbVie2" w:date="2025-05-13T16:39:00Z"/>
        </w:trPr>
        <w:tc>
          <w:tcPr>
            <w:tcW w:w="482" w:type="dxa"/>
          </w:tcPr>
          <w:p w14:paraId="32025AA8" w14:textId="7526F18C" w:rsidR="004462A0" w:rsidRPr="00AD4F25" w:rsidRDefault="004462A0">
            <w:pPr>
              <w:rPr>
                <w:del w:id="9930" w:author="AbbVie2" w:date="2025-05-13T16:39:00Z"/>
                <w:sz w:val="22"/>
                <w:szCs w:val="22"/>
                <w:rPrChange w:id="9931" w:author="AbbVie2" w:date="2025-05-14T10:17:00Z">
                  <w:rPr>
                    <w:del w:id="9932" w:author="AbbVie2" w:date="2025-05-13T16:39:00Z"/>
                    <w:sz w:val="22"/>
                    <w:szCs w:val="22"/>
                    <w:lang w:val="en-US"/>
                  </w:rPr>
                </w:rPrChange>
              </w:rPr>
              <w:pPrChange w:id="9933" w:author="AbbVie2" w:date="2025-05-13T16:40:00Z">
                <w:pPr>
                  <w:keepNext/>
                </w:pPr>
              </w:pPrChange>
            </w:pPr>
          </w:p>
        </w:tc>
        <w:tc>
          <w:tcPr>
            <w:tcW w:w="3496" w:type="dxa"/>
          </w:tcPr>
          <w:p w14:paraId="1F5CA877" w14:textId="22A8D4DC" w:rsidR="004462A0" w:rsidRPr="00AD4F25" w:rsidRDefault="00615769">
            <w:pPr>
              <w:rPr>
                <w:del w:id="9934" w:author="AbbVie2" w:date="2025-05-13T16:39:00Z"/>
                <w:sz w:val="22"/>
                <w:szCs w:val="22"/>
                <w:rPrChange w:id="9935" w:author="AbbVie2" w:date="2025-05-14T10:17:00Z">
                  <w:rPr>
                    <w:del w:id="9936" w:author="AbbVie2" w:date="2025-05-13T16:39:00Z"/>
                    <w:sz w:val="22"/>
                    <w:szCs w:val="22"/>
                    <w:lang w:val="en-US"/>
                  </w:rPr>
                </w:rPrChange>
              </w:rPr>
              <w:pPrChange w:id="9937" w:author="AbbVie2" w:date="2025-05-13T16:40:00Z">
                <w:pPr>
                  <w:keepNext/>
                </w:pPr>
              </w:pPrChange>
            </w:pPr>
            <w:del w:id="9938" w:author="AbbVie2" w:date="2025-05-13T16:39:00Z">
              <w:r w:rsidRPr="00AD4F25">
                <w:rPr>
                  <w:sz w:val="22"/>
                  <w:szCs w:val="22"/>
                  <w:rPrChange w:id="9939" w:author="AbbVie2" w:date="2025-05-14T10:17:00Z">
                    <w:rPr>
                      <w:sz w:val="22"/>
                      <w:szCs w:val="22"/>
                      <w:lang w:val="en-US"/>
                    </w:rPr>
                  </w:rPrChange>
                </w:rPr>
                <w:delText>Estudo UV II                Tratamento</w:delText>
              </w:r>
            </w:del>
          </w:p>
        </w:tc>
        <w:tc>
          <w:tcPr>
            <w:tcW w:w="1170" w:type="dxa"/>
          </w:tcPr>
          <w:p w14:paraId="40B79102" w14:textId="08EF7ECF" w:rsidR="004462A0" w:rsidRPr="00AD4F25" w:rsidRDefault="00615769">
            <w:pPr>
              <w:rPr>
                <w:del w:id="9940" w:author="AbbVie2" w:date="2025-05-13T16:39:00Z"/>
                <w:sz w:val="22"/>
                <w:szCs w:val="22"/>
                <w:rPrChange w:id="9941" w:author="AbbVie2" w:date="2025-05-14T10:17:00Z">
                  <w:rPr>
                    <w:del w:id="9942" w:author="AbbVie2" w:date="2025-05-13T16:39:00Z"/>
                    <w:sz w:val="22"/>
                    <w:szCs w:val="22"/>
                    <w:lang w:val="en-US"/>
                  </w:rPr>
                </w:rPrChange>
              </w:rPr>
              <w:pPrChange w:id="9943" w:author="AbbVie2" w:date="2025-05-13T16:40:00Z">
                <w:pPr>
                  <w:keepNext/>
                </w:pPr>
              </w:pPrChange>
            </w:pPr>
            <w:del w:id="9944" w:author="AbbVie2" w:date="2025-05-13T16:39:00Z">
              <w:r>
                <w:rPr>
                  <w:noProof/>
                  <w:sz w:val="22"/>
                  <w:szCs w:val="22"/>
                  <w:lang w:val="en-GB" w:eastAsia="en-GB"/>
                </w:rPr>
                <w:drawing>
                  <wp:inline distT="0" distB="0" distL="0" distR="0" wp14:anchorId="7B939F80" wp14:editId="695AF1C6">
                    <wp:extent cx="397510" cy="179070"/>
                    <wp:effectExtent l="0" t="0" r="2540" b="0"/>
                    <wp:docPr id="63" name="Picture 63"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5"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97510" cy="179070"/>
                            </a:xfrm>
                            <a:prstGeom prst="rect">
                              <a:avLst/>
                            </a:prstGeom>
                            <a:noFill/>
                            <a:ln>
                              <a:noFill/>
                            </a:ln>
                          </pic:spPr>
                        </pic:pic>
                      </a:graphicData>
                    </a:graphic>
                  </wp:inline>
                </w:drawing>
              </w:r>
            </w:del>
          </w:p>
        </w:tc>
        <w:tc>
          <w:tcPr>
            <w:tcW w:w="1350" w:type="dxa"/>
          </w:tcPr>
          <w:p w14:paraId="5D42C0E8" w14:textId="4B129F6B" w:rsidR="004462A0" w:rsidRPr="00AD4F25" w:rsidRDefault="00615769">
            <w:pPr>
              <w:rPr>
                <w:del w:id="9945" w:author="AbbVie2" w:date="2025-05-13T16:39:00Z"/>
                <w:sz w:val="22"/>
                <w:szCs w:val="22"/>
                <w:rPrChange w:id="9946" w:author="AbbVie2" w:date="2025-05-14T10:17:00Z">
                  <w:rPr>
                    <w:del w:id="9947" w:author="AbbVie2" w:date="2025-05-13T16:39:00Z"/>
                    <w:sz w:val="22"/>
                    <w:szCs w:val="22"/>
                    <w:lang w:val="en-US"/>
                  </w:rPr>
                </w:rPrChange>
              </w:rPr>
              <w:pPrChange w:id="9948" w:author="AbbVie2" w:date="2025-05-13T16:40:00Z">
                <w:pPr>
                  <w:keepNext/>
                </w:pPr>
              </w:pPrChange>
            </w:pPr>
            <w:del w:id="9949" w:author="AbbVie2" w:date="2025-05-13T16:39:00Z">
              <w:r w:rsidRPr="00AD4F25">
                <w:rPr>
                  <w:sz w:val="22"/>
                  <w:szCs w:val="22"/>
                  <w:rPrChange w:id="9950" w:author="AbbVie2" w:date="2025-05-14T10:17:00Z">
                    <w:rPr>
                      <w:sz w:val="22"/>
                      <w:szCs w:val="22"/>
                      <w:lang w:val="en-US"/>
                    </w:rPr>
                  </w:rPrChange>
                </w:rPr>
                <w:delText>Placebo</w:delText>
              </w:r>
            </w:del>
          </w:p>
        </w:tc>
        <w:tc>
          <w:tcPr>
            <w:tcW w:w="900" w:type="dxa"/>
          </w:tcPr>
          <w:p w14:paraId="64EF738C" w14:textId="1A538510" w:rsidR="004462A0" w:rsidRPr="00AD4F25" w:rsidRDefault="00615769">
            <w:pPr>
              <w:rPr>
                <w:del w:id="9951" w:author="AbbVie2" w:date="2025-05-13T16:39:00Z"/>
                <w:sz w:val="22"/>
                <w:szCs w:val="22"/>
                <w:rPrChange w:id="9952" w:author="AbbVie2" w:date="2025-05-14T10:17:00Z">
                  <w:rPr>
                    <w:del w:id="9953" w:author="AbbVie2" w:date="2025-05-13T16:39:00Z"/>
                    <w:sz w:val="22"/>
                    <w:szCs w:val="22"/>
                    <w:lang w:val="en-US"/>
                  </w:rPr>
                </w:rPrChange>
              </w:rPr>
              <w:pPrChange w:id="9954" w:author="AbbVie2" w:date="2025-05-13T16:40:00Z">
                <w:pPr>
                  <w:keepNext/>
                </w:pPr>
              </w:pPrChange>
            </w:pPr>
            <w:del w:id="9955" w:author="AbbVie2" w:date="2025-05-13T16:39:00Z">
              <w:r>
                <w:rPr>
                  <w:noProof/>
                  <w:sz w:val="22"/>
                  <w:szCs w:val="22"/>
                  <w:lang w:val="en-GB" w:eastAsia="en-GB"/>
                </w:rPr>
                <w:drawing>
                  <wp:inline distT="0" distB="0" distL="0" distR="0" wp14:anchorId="60FA37EE" wp14:editId="7A40A117">
                    <wp:extent cx="556895" cy="179070"/>
                    <wp:effectExtent l="0" t="0" r="0" b="0"/>
                    <wp:docPr id="62" name="Picture 62"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 descr="Humira Uveitis Figure 5_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56895" cy="179070"/>
                            </a:xfrm>
                            <a:prstGeom prst="rect">
                              <a:avLst/>
                            </a:prstGeom>
                            <a:noFill/>
                            <a:ln>
                              <a:noFill/>
                            </a:ln>
                          </pic:spPr>
                        </pic:pic>
                      </a:graphicData>
                    </a:graphic>
                  </wp:inline>
                </w:drawing>
              </w:r>
            </w:del>
          </w:p>
        </w:tc>
        <w:tc>
          <w:tcPr>
            <w:tcW w:w="1890" w:type="dxa"/>
          </w:tcPr>
          <w:p w14:paraId="5130B7F2" w14:textId="3C36D441" w:rsidR="004462A0" w:rsidRPr="00AD4F25" w:rsidRDefault="00615769">
            <w:pPr>
              <w:rPr>
                <w:del w:id="9956" w:author="AbbVie2" w:date="2025-05-13T16:39:00Z"/>
                <w:sz w:val="22"/>
                <w:szCs w:val="22"/>
                <w:rPrChange w:id="9957" w:author="AbbVie2" w:date="2025-05-14T10:17:00Z">
                  <w:rPr>
                    <w:del w:id="9958" w:author="AbbVie2" w:date="2025-05-13T16:39:00Z"/>
                    <w:sz w:val="22"/>
                    <w:szCs w:val="22"/>
                    <w:lang w:val="en-US"/>
                  </w:rPr>
                </w:rPrChange>
              </w:rPr>
              <w:pPrChange w:id="9959" w:author="AbbVie2" w:date="2025-05-13T16:40:00Z">
                <w:pPr>
                  <w:keepNext/>
                </w:pPr>
              </w:pPrChange>
            </w:pPr>
            <w:del w:id="9960" w:author="AbbVie2" w:date="2025-05-13T16:39:00Z">
              <w:r w:rsidRPr="00AD4F25">
                <w:rPr>
                  <w:sz w:val="22"/>
                  <w:szCs w:val="22"/>
                  <w:rPrChange w:id="9961" w:author="AbbVie2" w:date="2025-05-14T10:17:00Z">
                    <w:rPr>
                      <w:sz w:val="22"/>
                      <w:szCs w:val="22"/>
                      <w:lang w:val="en-US"/>
                    </w:rPr>
                  </w:rPrChange>
                </w:rPr>
                <w:delText>Adalimumab</w:delText>
              </w:r>
            </w:del>
          </w:p>
        </w:tc>
      </w:tr>
      <w:tr w:rsidR="00A7162A" w14:paraId="79AF3A89" w14:textId="0022123F" w:rsidTr="00F675CF">
        <w:trPr>
          <w:trHeight w:val="629"/>
          <w:del w:id="9962" w:author="AbbVie2" w:date="2025-05-13T16:39:00Z"/>
        </w:trPr>
        <w:tc>
          <w:tcPr>
            <w:tcW w:w="9288" w:type="dxa"/>
            <w:gridSpan w:val="6"/>
            <w:vAlign w:val="center"/>
          </w:tcPr>
          <w:p w14:paraId="0730E433" w14:textId="101B3DE4" w:rsidR="004462A0" w:rsidRPr="00E91933" w:rsidRDefault="00615769">
            <w:pPr>
              <w:rPr>
                <w:del w:id="9963" w:author="AbbVie2" w:date="2025-05-13T16:39:00Z"/>
                <w:sz w:val="22"/>
                <w:szCs w:val="22"/>
              </w:rPr>
              <w:pPrChange w:id="9964" w:author="AbbVie2" w:date="2025-05-13T16:40:00Z">
                <w:pPr>
                  <w:keepNext/>
                </w:pPr>
              </w:pPrChange>
            </w:pPr>
            <w:del w:id="9965" w:author="AbbVie2" w:date="2025-05-13T16:39:00Z">
              <w:r w:rsidRPr="00E91933">
                <w:rPr>
                  <w:sz w:val="22"/>
                  <w:szCs w:val="22"/>
                </w:rPr>
                <w:delText xml:space="preserve">Nota: P# = Placebo (Número de Eventos/Número em Risco); A# </w:delText>
              </w:r>
              <w:r>
                <w:rPr>
                  <w:sz w:val="22"/>
                  <w:szCs w:val="22"/>
                </w:rPr>
                <w:delText>=</w:delText>
              </w:r>
              <w:r w:rsidRPr="00E91933">
                <w:rPr>
                  <w:sz w:val="22"/>
                  <w:szCs w:val="22"/>
                </w:rPr>
                <w:delText xml:space="preserve"> HUMIRA (Número de Eventos/Número em Risco).</w:delText>
              </w:r>
            </w:del>
          </w:p>
        </w:tc>
      </w:tr>
    </w:tbl>
    <w:p w14:paraId="52659AF2" w14:textId="3622BA21" w:rsidR="004462A0" w:rsidRPr="00E91933" w:rsidRDefault="004462A0" w:rsidP="00412FC8">
      <w:pPr>
        <w:rPr>
          <w:del w:id="9966" w:author="AbbVie2" w:date="2025-05-13T16:39:00Z"/>
          <w:sz w:val="22"/>
          <w:szCs w:val="22"/>
        </w:rPr>
      </w:pPr>
    </w:p>
    <w:p w14:paraId="1EF61573" w14:textId="486B02A8" w:rsidR="004462A0" w:rsidRPr="003A1E9A" w:rsidRDefault="00615769" w:rsidP="00412FC8">
      <w:pPr>
        <w:rPr>
          <w:del w:id="9967" w:author="AbbVie2" w:date="2025-05-13T16:39:00Z"/>
          <w:sz w:val="22"/>
          <w:szCs w:val="22"/>
        </w:rPr>
      </w:pPr>
      <w:del w:id="9968" w:author="AbbVie2" w:date="2025-05-13T16:39:00Z">
        <w:r w:rsidRPr="00256262">
          <w:rPr>
            <w:sz w:val="22"/>
            <w:szCs w:val="22"/>
          </w:rPr>
          <w:delText xml:space="preserve">No Estudo UV I foram observadas diferenças estatisticamente significativas </w:delText>
        </w:r>
        <w:r>
          <w:rPr>
            <w:sz w:val="22"/>
            <w:szCs w:val="22"/>
          </w:rPr>
          <w:delText xml:space="preserve">favoráveis </w:delText>
        </w:r>
        <w:r w:rsidRPr="00256262">
          <w:rPr>
            <w:sz w:val="22"/>
            <w:szCs w:val="22"/>
          </w:rPr>
          <w:delText>a</w:delText>
        </w:r>
        <w:r>
          <w:rPr>
            <w:sz w:val="22"/>
            <w:szCs w:val="22"/>
          </w:rPr>
          <w:delText xml:space="preserve"> </w:delText>
        </w:r>
        <w:r w:rsidRPr="00256262">
          <w:rPr>
            <w:sz w:val="22"/>
            <w:szCs w:val="22"/>
          </w:rPr>
          <w:delText xml:space="preserve">adalimumab </w:delText>
        </w:r>
        <w:r w:rsidRPr="006576D5">
          <w:rPr>
            <w:i/>
            <w:sz w:val="22"/>
            <w:szCs w:val="22"/>
          </w:rPr>
          <w:delText>versus</w:delText>
        </w:r>
        <w:r w:rsidRPr="00256262">
          <w:rPr>
            <w:sz w:val="22"/>
            <w:szCs w:val="22"/>
          </w:rPr>
          <w:delText xml:space="preserve"> placebo para cada component</w:delText>
        </w:r>
        <w:r>
          <w:rPr>
            <w:sz w:val="22"/>
            <w:szCs w:val="22"/>
          </w:rPr>
          <w:delText>e</w:delText>
        </w:r>
        <w:r w:rsidRPr="00256262">
          <w:rPr>
            <w:sz w:val="22"/>
            <w:szCs w:val="22"/>
          </w:rPr>
          <w:delText xml:space="preserve"> da falha de tratamento.</w:delText>
        </w:r>
        <w:r>
          <w:rPr>
            <w:sz w:val="22"/>
            <w:szCs w:val="22"/>
          </w:rPr>
          <w:delText xml:space="preserve"> </w:delText>
        </w:r>
        <w:r w:rsidRPr="003A1E9A">
          <w:rPr>
            <w:sz w:val="22"/>
            <w:szCs w:val="22"/>
          </w:rPr>
          <w:delText xml:space="preserve">No Estudo UV II, foram observadas diferenças </w:delText>
        </w:r>
        <w:r w:rsidRPr="00F05224">
          <w:rPr>
            <w:sz w:val="22"/>
            <w:szCs w:val="22"/>
          </w:rPr>
          <w:delText>estatisticamente</w:delText>
        </w:r>
        <w:r w:rsidRPr="003A1E9A">
          <w:rPr>
            <w:sz w:val="22"/>
            <w:szCs w:val="22"/>
          </w:rPr>
          <w:delText xml:space="preserve"> significativas apenas para a acuidade visual, mas os outros component</w:delText>
        </w:r>
        <w:r>
          <w:rPr>
            <w:sz w:val="22"/>
            <w:szCs w:val="22"/>
          </w:rPr>
          <w:delText>e</w:delText>
        </w:r>
        <w:r w:rsidRPr="003A1E9A">
          <w:rPr>
            <w:sz w:val="22"/>
            <w:szCs w:val="22"/>
          </w:rPr>
          <w:delText xml:space="preserve">s foram numericamente </w:delText>
        </w:r>
        <w:r>
          <w:rPr>
            <w:sz w:val="22"/>
            <w:szCs w:val="22"/>
          </w:rPr>
          <w:delText xml:space="preserve">favoráveis a </w:delText>
        </w:r>
        <w:r w:rsidRPr="003A1E9A">
          <w:rPr>
            <w:sz w:val="22"/>
            <w:szCs w:val="22"/>
          </w:rPr>
          <w:delText>adalimumab.</w:delText>
        </w:r>
      </w:del>
    </w:p>
    <w:p w14:paraId="61A1A6F4" w14:textId="4C51CE5B" w:rsidR="004462A0" w:rsidRDefault="004462A0" w:rsidP="00412FC8">
      <w:pPr>
        <w:rPr>
          <w:del w:id="9969" w:author="AbbVie2" w:date="2025-05-13T16:39:00Z"/>
          <w:sz w:val="22"/>
          <w:szCs w:val="22"/>
        </w:rPr>
      </w:pPr>
    </w:p>
    <w:p w14:paraId="118ED81A" w14:textId="21C99890" w:rsidR="00B52A81" w:rsidRDefault="00615769" w:rsidP="00412FC8">
      <w:pPr>
        <w:rPr>
          <w:del w:id="9970" w:author="AbbVie2" w:date="2025-05-13T16:39:00Z"/>
        </w:rPr>
      </w:pPr>
      <w:del w:id="9971" w:author="AbbVie2" w:date="2025-05-13T16:39:00Z">
        <w:r w:rsidRPr="00F03C54">
          <w:rPr>
            <w:sz w:val="22"/>
            <w:szCs w:val="22"/>
          </w:rPr>
          <w:delText xml:space="preserve">Dos </w:delText>
        </w:r>
        <w:r w:rsidR="004E766C">
          <w:rPr>
            <w:sz w:val="22"/>
            <w:szCs w:val="22"/>
          </w:rPr>
          <w:delText>424</w:delText>
        </w:r>
        <w:r w:rsidRPr="00F03C54">
          <w:rPr>
            <w:sz w:val="22"/>
            <w:szCs w:val="22"/>
          </w:rPr>
          <w:delText xml:space="preserve"> indivíduos incluídos na extensão a longo prazo</w:delText>
        </w:r>
        <w:r w:rsidR="00D27F43">
          <w:rPr>
            <w:sz w:val="22"/>
            <w:szCs w:val="22"/>
          </w:rPr>
          <w:delText>, não</w:delText>
        </w:r>
        <w:r w:rsidR="002F3216">
          <w:rPr>
            <w:sz w:val="22"/>
            <w:szCs w:val="22"/>
          </w:rPr>
          <w:delText>-</w:delText>
        </w:r>
        <w:r w:rsidR="00D27F43">
          <w:rPr>
            <w:sz w:val="22"/>
            <w:szCs w:val="22"/>
          </w:rPr>
          <w:delText>controlada,</w:delText>
        </w:r>
        <w:r w:rsidRPr="00F03C54">
          <w:rPr>
            <w:sz w:val="22"/>
            <w:szCs w:val="22"/>
          </w:rPr>
          <w:delText xml:space="preserve"> dos Estudos UV I e UV II, </w:delText>
        </w:r>
        <w:r w:rsidR="004E766C">
          <w:rPr>
            <w:sz w:val="22"/>
            <w:szCs w:val="22"/>
          </w:rPr>
          <w:delText>60</w:delText>
        </w:r>
        <w:r w:rsidRPr="00F03C54">
          <w:rPr>
            <w:sz w:val="22"/>
            <w:szCs w:val="22"/>
          </w:rPr>
          <w:delText xml:space="preserve"> indivíduos foram considerados inelegíveis (p.ex. </w:delText>
        </w:r>
        <w:r w:rsidR="004E766C">
          <w:rPr>
            <w:sz w:val="22"/>
            <w:szCs w:val="22"/>
          </w:rPr>
          <w:delText xml:space="preserve">devido a desvios ou devido a </w:delText>
        </w:r>
        <w:r w:rsidRPr="00F03C54">
          <w:rPr>
            <w:sz w:val="22"/>
            <w:szCs w:val="22"/>
          </w:rPr>
          <w:delText xml:space="preserve"> complicações secundárias à retinopatia diabética, devido a cirurgia de catarata ou vitrectomia) e foram excluídos da análise de eficácia primária. Dos </w:delText>
        </w:r>
        <w:r w:rsidR="004E766C">
          <w:rPr>
            <w:sz w:val="22"/>
            <w:szCs w:val="22"/>
          </w:rPr>
          <w:delText>364</w:delText>
        </w:r>
        <w:r w:rsidRPr="00F03C54">
          <w:rPr>
            <w:sz w:val="22"/>
            <w:szCs w:val="22"/>
          </w:rPr>
          <w:delText xml:space="preserve"> doentes restantes, </w:delText>
        </w:r>
        <w:r w:rsidR="004E766C">
          <w:rPr>
            <w:sz w:val="22"/>
            <w:szCs w:val="22"/>
          </w:rPr>
          <w:delText>269</w:delText>
        </w:r>
        <w:r w:rsidRPr="00F03C54">
          <w:rPr>
            <w:sz w:val="22"/>
            <w:szCs w:val="22"/>
          </w:rPr>
          <w:delText xml:space="preserve"> doentes avaliáveis </w:delText>
        </w:r>
        <w:r w:rsidR="004E766C">
          <w:rPr>
            <w:sz w:val="22"/>
            <w:szCs w:val="22"/>
          </w:rPr>
          <w:delText xml:space="preserve">(74%) </w:delText>
        </w:r>
        <w:r w:rsidRPr="00F03C54">
          <w:rPr>
            <w:sz w:val="22"/>
            <w:szCs w:val="22"/>
          </w:rPr>
          <w:delText xml:space="preserve">atingiram as 78 semanas de tratamento com adalimumab </w:delText>
        </w:r>
        <w:r w:rsidR="00D27F43">
          <w:rPr>
            <w:sz w:val="22"/>
            <w:szCs w:val="22"/>
          </w:rPr>
          <w:delText>em</w:delText>
        </w:r>
        <w:r w:rsidRPr="00F03C54">
          <w:rPr>
            <w:sz w:val="22"/>
            <w:szCs w:val="22"/>
          </w:rPr>
          <w:delText xml:space="preserve"> fase aberta. Com base na abordagem d</w:delText>
        </w:r>
        <w:r w:rsidR="00FC7E81">
          <w:rPr>
            <w:sz w:val="22"/>
            <w:szCs w:val="22"/>
          </w:rPr>
          <w:delText>os</w:delText>
        </w:r>
        <w:r w:rsidRPr="00F03C54">
          <w:rPr>
            <w:sz w:val="22"/>
            <w:szCs w:val="22"/>
          </w:rPr>
          <w:delText xml:space="preserve"> dados observad</w:delText>
        </w:r>
        <w:r w:rsidR="00FC7E81">
          <w:rPr>
            <w:sz w:val="22"/>
            <w:szCs w:val="22"/>
          </w:rPr>
          <w:delText>os</w:delText>
        </w:r>
        <w:r w:rsidRPr="00F03C54">
          <w:rPr>
            <w:sz w:val="22"/>
            <w:szCs w:val="22"/>
          </w:rPr>
          <w:delText xml:space="preserve">, </w:delText>
        </w:r>
        <w:r w:rsidR="004E766C">
          <w:rPr>
            <w:sz w:val="22"/>
            <w:szCs w:val="22"/>
          </w:rPr>
          <w:delText>216</w:delText>
        </w:r>
        <w:r w:rsidRPr="00F03C54">
          <w:rPr>
            <w:sz w:val="22"/>
            <w:szCs w:val="22"/>
          </w:rPr>
          <w:delText xml:space="preserve"> (</w:delText>
        </w:r>
        <w:r w:rsidR="004E766C">
          <w:rPr>
            <w:sz w:val="22"/>
            <w:szCs w:val="22"/>
          </w:rPr>
          <w:delText>80,3</w:delText>
        </w:r>
        <w:r w:rsidRPr="00F03C54">
          <w:rPr>
            <w:sz w:val="22"/>
            <w:szCs w:val="22"/>
          </w:rPr>
          <w:delText>%) estavam em fase de repouso (sem lesões inflamatórias ativas, grau de células AC ≤ 0,5+, grau VH ≤ 0,5+) com uma dose concomitante de ester</w:delText>
        </w:r>
        <w:r w:rsidR="00D27F43">
          <w:rPr>
            <w:sz w:val="22"/>
            <w:szCs w:val="22"/>
          </w:rPr>
          <w:delText>o</w:delText>
        </w:r>
        <w:r w:rsidRPr="00F03C54">
          <w:rPr>
            <w:sz w:val="22"/>
            <w:szCs w:val="22"/>
          </w:rPr>
          <w:delText xml:space="preserve">ides ≤ 7,5 mg por dia, e </w:delText>
        </w:r>
        <w:r w:rsidR="004E766C">
          <w:rPr>
            <w:sz w:val="22"/>
            <w:szCs w:val="22"/>
          </w:rPr>
          <w:delText>178</w:delText>
        </w:r>
        <w:r w:rsidRPr="00F03C54">
          <w:rPr>
            <w:sz w:val="22"/>
            <w:szCs w:val="22"/>
          </w:rPr>
          <w:delText xml:space="preserve"> (</w:delText>
        </w:r>
        <w:r w:rsidR="004E766C">
          <w:rPr>
            <w:sz w:val="22"/>
            <w:szCs w:val="22"/>
          </w:rPr>
          <w:delText>66,2</w:delText>
        </w:r>
        <w:r w:rsidRPr="00F03C54">
          <w:rPr>
            <w:sz w:val="22"/>
            <w:szCs w:val="22"/>
          </w:rPr>
          <w:delText xml:space="preserve">%) estavam em repouso isentos de esteroides. Na semana 78, </w:delText>
        </w:r>
        <w:r w:rsidR="00D27F43">
          <w:rPr>
            <w:sz w:val="22"/>
            <w:szCs w:val="22"/>
          </w:rPr>
          <w:delText>a MAVC</w:delText>
        </w:r>
        <w:r w:rsidRPr="00F03C54">
          <w:rPr>
            <w:sz w:val="22"/>
            <w:szCs w:val="22"/>
          </w:rPr>
          <w:delText xml:space="preserve"> foi melhorad</w:delText>
        </w:r>
        <w:r w:rsidR="00D27F43">
          <w:rPr>
            <w:sz w:val="22"/>
            <w:szCs w:val="22"/>
          </w:rPr>
          <w:delText>a</w:delText>
        </w:r>
        <w:r w:rsidRPr="00F03C54">
          <w:rPr>
            <w:sz w:val="22"/>
            <w:szCs w:val="22"/>
          </w:rPr>
          <w:delText xml:space="preserve"> ou mantid</w:delText>
        </w:r>
        <w:r w:rsidR="00D27F43">
          <w:rPr>
            <w:sz w:val="22"/>
            <w:szCs w:val="22"/>
          </w:rPr>
          <w:delText>a</w:delText>
        </w:r>
        <w:r w:rsidRPr="00F03C54">
          <w:rPr>
            <w:sz w:val="22"/>
            <w:szCs w:val="22"/>
          </w:rPr>
          <w:delText xml:space="preserve"> (</w:delText>
        </w:r>
        <w:r w:rsidR="00D27F43">
          <w:rPr>
            <w:sz w:val="22"/>
            <w:szCs w:val="22"/>
          </w:rPr>
          <w:delText xml:space="preserve">deterioração de </w:delText>
        </w:r>
        <w:r w:rsidRPr="00F03C54">
          <w:rPr>
            <w:sz w:val="22"/>
            <w:szCs w:val="22"/>
          </w:rPr>
          <w:delText>&lt; 5 letras) em 88,</w:delText>
        </w:r>
        <w:r w:rsidR="004E766C">
          <w:rPr>
            <w:sz w:val="22"/>
            <w:szCs w:val="22"/>
          </w:rPr>
          <w:delText>6</w:delText>
        </w:r>
        <w:r w:rsidRPr="00F03C54">
          <w:rPr>
            <w:sz w:val="22"/>
            <w:szCs w:val="22"/>
          </w:rPr>
          <w:delText>%</w:delText>
        </w:r>
        <w:r w:rsidR="00D27F43">
          <w:rPr>
            <w:sz w:val="22"/>
            <w:szCs w:val="22"/>
          </w:rPr>
          <w:delText xml:space="preserve"> dos olhos</w:delText>
        </w:r>
        <w:r w:rsidRPr="00F03C54">
          <w:rPr>
            <w:sz w:val="22"/>
            <w:szCs w:val="22"/>
          </w:rPr>
          <w:delText xml:space="preserve">. </w:delText>
        </w:r>
        <w:r w:rsidR="00551808" w:rsidRPr="00551808">
          <w:rPr>
            <w:sz w:val="22"/>
            <w:szCs w:val="22"/>
          </w:rPr>
          <w:delText xml:space="preserve">Os dados para além da semana 78 foram </w:delText>
        </w:r>
        <w:r w:rsidR="00D27F43">
          <w:rPr>
            <w:sz w:val="22"/>
            <w:szCs w:val="22"/>
          </w:rPr>
          <w:delText>na generalidade</w:delText>
        </w:r>
        <w:r w:rsidR="00551808" w:rsidRPr="00551808">
          <w:rPr>
            <w:sz w:val="22"/>
            <w:szCs w:val="22"/>
          </w:rPr>
          <w:delText xml:space="preserve"> consistentes com estes resultados, mas o número de indivíduos inscritos diminuiu após esse tempo. Globalmente, </w:delText>
        </w:r>
        <w:r w:rsidR="00551808">
          <w:rPr>
            <w:sz w:val="22"/>
            <w:szCs w:val="22"/>
          </w:rPr>
          <w:delText>e</w:delText>
        </w:r>
        <w:r w:rsidRPr="00F03C54">
          <w:rPr>
            <w:sz w:val="22"/>
            <w:szCs w:val="22"/>
          </w:rPr>
          <w:delText>ntre os doentes que descontinu</w:delText>
        </w:r>
        <w:r w:rsidRPr="00F03C54">
          <w:rPr>
            <w:sz w:val="22"/>
            <w:szCs w:val="22"/>
          </w:rPr>
          <w:delText xml:space="preserve">aram o estudo, </w:delText>
        </w:r>
        <w:r w:rsidR="00551808">
          <w:rPr>
            <w:sz w:val="22"/>
            <w:szCs w:val="22"/>
          </w:rPr>
          <w:delText>18</w:delText>
        </w:r>
        <w:r w:rsidRPr="00F03C54">
          <w:rPr>
            <w:sz w:val="22"/>
            <w:szCs w:val="22"/>
          </w:rPr>
          <w:delText xml:space="preserve">% descontinuaram devido a acontecimentos adversos, e </w:delText>
        </w:r>
        <w:r w:rsidR="00551808">
          <w:rPr>
            <w:sz w:val="22"/>
            <w:szCs w:val="22"/>
          </w:rPr>
          <w:delText>8</w:delText>
        </w:r>
        <w:r w:rsidRPr="00F03C54">
          <w:rPr>
            <w:sz w:val="22"/>
            <w:szCs w:val="22"/>
          </w:rPr>
          <w:delText>% devido a uma resposta terapêutica insuficiente com adalimumab</w:delText>
        </w:r>
        <w:r>
          <w:delText>.</w:delText>
        </w:r>
      </w:del>
    </w:p>
    <w:p w14:paraId="300521C8" w14:textId="4DEE954B" w:rsidR="00B52A81" w:rsidRPr="003A1E9A" w:rsidRDefault="00B52A81" w:rsidP="00412FC8">
      <w:pPr>
        <w:rPr>
          <w:del w:id="9972" w:author="AbbVie2" w:date="2025-05-13T16:39:00Z"/>
          <w:sz w:val="22"/>
          <w:szCs w:val="22"/>
        </w:rPr>
      </w:pPr>
    </w:p>
    <w:p w14:paraId="4FEDC24F" w14:textId="72065B83" w:rsidR="004462A0" w:rsidRPr="006576D5" w:rsidRDefault="00615769" w:rsidP="00412FC8">
      <w:pPr>
        <w:rPr>
          <w:del w:id="9973" w:author="AbbVie2" w:date="2025-05-13T16:39:00Z"/>
          <w:i/>
          <w:sz w:val="22"/>
          <w:szCs w:val="22"/>
          <w:u w:val="single"/>
        </w:rPr>
      </w:pPr>
      <w:del w:id="9974" w:author="AbbVie2" w:date="2025-05-13T16:39:00Z">
        <w:r w:rsidRPr="006576D5">
          <w:rPr>
            <w:i/>
            <w:sz w:val="22"/>
            <w:szCs w:val="22"/>
            <w:u w:val="single"/>
          </w:rPr>
          <w:delText xml:space="preserve">Qualidade de </w:delText>
        </w:r>
        <w:r w:rsidR="00FB6C29">
          <w:rPr>
            <w:i/>
            <w:sz w:val="22"/>
            <w:szCs w:val="22"/>
            <w:u w:val="single"/>
          </w:rPr>
          <w:delText>v</w:delText>
        </w:r>
        <w:r w:rsidRPr="006576D5">
          <w:rPr>
            <w:i/>
            <w:sz w:val="22"/>
            <w:szCs w:val="22"/>
            <w:u w:val="single"/>
          </w:rPr>
          <w:delText>ida</w:delText>
        </w:r>
      </w:del>
    </w:p>
    <w:p w14:paraId="6F442391" w14:textId="78F19D28" w:rsidR="004462A0" w:rsidRPr="006576D5" w:rsidRDefault="004462A0" w:rsidP="00412FC8">
      <w:pPr>
        <w:rPr>
          <w:del w:id="9975" w:author="AbbVie2" w:date="2025-05-13T16:39:00Z"/>
          <w:i/>
          <w:sz w:val="22"/>
          <w:szCs w:val="22"/>
          <w:u w:val="single"/>
        </w:rPr>
      </w:pPr>
    </w:p>
    <w:p w14:paraId="24156DD6" w14:textId="13AA3AAA" w:rsidR="004462A0" w:rsidRDefault="00615769" w:rsidP="00412FC8">
      <w:pPr>
        <w:rPr>
          <w:del w:id="9976" w:author="AbbVie2" w:date="2025-05-13T16:39:00Z"/>
          <w:sz w:val="22"/>
          <w:szCs w:val="22"/>
        </w:rPr>
      </w:pPr>
      <w:del w:id="9977" w:author="AbbVie2" w:date="2025-05-13T16:39:00Z">
        <w:r w:rsidRPr="003A1E9A">
          <w:rPr>
            <w:sz w:val="22"/>
            <w:szCs w:val="22"/>
          </w:rPr>
          <w:delText xml:space="preserve">Os resultados reportados pelos doentes relativamente aos aspetos relacionados com o funcionamento da visão foram </w:delText>
        </w:r>
        <w:r>
          <w:rPr>
            <w:sz w:val="22"/>
            <w:szCs w:val="22"/>
          </w:rPr>
          <w:delText>avaliados em ambos os estudos clínicos</w:delText>
        </w:r>
        <w:r w:rsidRPr="003A1E9A">
          <w:rPr>
            <w:sz w:val="22"/>
            <w:szCs w:val="22"/>
          </w:rPr>
          <w:delText xml:space="preserve">, </w:delText>
        </w:r>
        <w:r>
          <w:rPr>
            <w:sz w:val="22"/>
            <w:szCs w:val="22"/>
          </w:rPr>
          <w:delText xml:space="preserve">usando a </w:delText>
        </w:r>
        <w:r w:rsidRPr="003A1E9A">
          <w:rPr>
            <w:sz w:val="22"/>
            <w:szCs w:val="22"/>
          </w:rPr>
          <w:delText xml:space="preserve">NEI VFQ-25. </w:delText>
        </w:r>
        <w:r w:rsidRPr="00366F92">
          <w:rPr>
            <w:sz w:val="22"/>
            <w:szCs w:val="22"/>
          </w:rPr>
          <w:delText>Humira foi numericamente favorável para a maioria das subpontuações com uma m</w:delText>
        </w:r>
        <w:r>
          <w:rPr>
            <w:sz w:val="22"/>
            <w:szCs w:val="22"/>
          </w:rPr>
          <w:delText xml:space="preserve">édia </w:delText>
        </w:r>
        <w:r w:rsidRPr="00366F92">
          <w:rPr>
            <w:sz w:val="22"/>
            <w:szCs w:val="22"/>
          </w:rPr>
          <w:delText>de diferenças estatisticamente significativas para a vis</w:delText>
        </w:r>
        <w:r>
          <w:rPr>
            <w:sz w:val="22"/>
            <w:szCs w:val="22"/>
          </w:rPr>
          <w:delText>ão em geral, dor ocular</w:delText>
        </w:r>
        <w:r w:rsidRPr="00366F92">
          <w:rPr>
            <w:sz w:val="22"/>
            <w:szCs w:val="22"/>
          </w:rPr>
          <w:delText>,</w:delText>
        </w:r>
        <w:r>
          <w:rPr>
            <w:sz w:val="22"/>
            <w:szCs w:val="22"/>
          </w:rPr>
          <w:delText xml:space="preserve"> visão de perto, saúde mental, e pontuação total no Estudo</w:delText>
        </w:r>
        <w:r w:rsidRPr="00366F92">
          <w:rPr>
            <w:sz w:val="22"/>
            <w:szCs w:val="22"/>
          </w:rPr>
          <w:delText xml:space="preserve"> UV I, </w:delText>
        </w:r>
        <w:r>
          <w:rPr>
            <w:sz w:val="22"/>
            <w:szCs w:val="22"/>
          </w:rPr>
          <w:delText>e para a visão geral e saúde mental no Estudo</w:delText>
        </w:r>
        <w:r w:rsidRPr="00366F92">
          <w:rPr>
            <w:sz w:val="22"/>
            <w:szCs w:val="22"/>
          </w:rPr>
          <w:delText xml:space="preserve"> UV II. </w:delText>
        </w:r>
        <w:r w:rsidRPr="00A66374">
          <w:rPr>
            <w:sz w:val="22"/>
            <w:szCs w:val="22"/>
          </w:rPr>
          <w:delText>Os efeitos relacionados com a visão não foram numericamente favoráveis a Humira na vis</w:delText>
        </w:r>
        <w:r>
          <w:rPr>
            <w:sz w:val="22"/>
            <w:szCs w:val="22"/>
          </w:rPr>
          <w:delText xml:space="preserve">ão colorida no Estudo </w:delText>
        </w:r>
        <w:r w:rsidRPr="00A66374">
          <w:rPr>
            <w:sz w:val="22"/>
            <w:szCs w:val="22"/>
          </w:rPr>
          <w:delText>UV</w:delText>
        </w:r>
        <w:r>
          <w:rPr>
            <w:sz w:val="22"/>
            <w:szCs w:val="22"/>
          </w:rPr>
          <w:delText xml:space="preserve"> </w:delText>
        </w:r>
        <w:r w:rsidRPr="00A66374">
          <w:rPr>
            <w:sz w:val="22"/>
            <w:szCs w:val="22"/>
          </w:rPr>
          <w:delText xml:space="preserve">I </w:delText>
        </w:r>
        <w:r>
          <w:rPr>
            <w:sz w:val="22"/>
            <w:szCs w:val="22"/>
          </w:rPr>
          <w:delText xml:space="preserve">e na visão colorida, visão periférica e visão de perto no </w:delText>
        </w:r>
        <w:r>
          <w:rPr>
            <w:sz w:val="22"/>
            <w:szCs w:val="22"/>
          </w:rPr>
          <w:delText xml:space="preserve">Estudo </w:delText>
        </w:r>
        <w:r w:rsidRPr="00A66374">
          <w:rPr>
            <w:sz w:val="22"/>
            <w:szCs w:val="22"/>
          </w:rPr>
          <w:delText>UV II.</w:delText>
        </w:r>
      </w:del>
    </w:p>
    <w:p w14:paraId="65235D77" w14:textId="04995A23" w:rsidR="000C224C" w:rsidRPr="00B66D89" w:rsidRDefault="000C224C" w:rsidP="00412FC8">
      <w:pPr>
        <w:rPr>
          <w:del w:id="9978" w:author="AbbVie2" w:date="2025-05-13T16:39:00Z"/>
          <w:sz w:val="22"/>
          <w:szCs w:val="22"/>
        </w:rPr>
      </w:pPr>
    </w:p>
    <w:p w14:paraId="18C59D50" w14:textId="1458FDBC" w:rsidR="004462A0" w:rsidRPr="008912CF" w:rsidRDefault="00615769">
      <w:pPr>
        <w:rPr>
          <w:del w:id="9979" w:author="AbbVie2" w:date="2025-05-13T16:39:00Z"/>
          <w:szCs w:val="22"/>
        </w:rPr>
        <w:pPrChange w:id="9980" w:author="AbbVie2" w:date="2025-05-13T16:40:00Z">
          <w:pPr>
            <w:pStyle w:val="Heading9"/>
            <w:autoSpaceDE w:val="0"/>
            <w:autoSpaceDN w:val="0"/>
            <w:adjustRightInd w:val="0"/>
          </w:pPr>
        </w:pPrChange>
      </w:pPr>
      <w:del w:id="9981" w:author="AbbVie2" w:date="2025-05-13T16:39:00Z">
        <w:r w:rsidRPr="008912CF">
          <w:rPr>
            <w:szCs w:val="22"/>
          </w:rPr>
          <w:delText>Imunogenicidade</w:delText>
        </w:r>
      </w:del>
    </w:p>
    <w:p w14:paraId="7030BBEF" w14:textId="350AD091" w:rsidR="004462A0" w:rsidRPr="008912CF" w:rsidRDefault="004462A0">
      <w:pPr>
        <w:rPr>
          <w:del w:id="9982" w:author="AbbVie2" w:date="2025-05-13T16:39:00Z"/>
          <w:sz w:val="22"/>
          <w:szCs w:val="22"/>
        </w:rPr>
        <w:pPrChange w:id="9983" w:author="AbbVie2" w:date="2025-05-13T16:40:00Z">
          <w:pPr>
            <w:keepNext/>
            <w:autoSpaceDE w:val="0"/>
            <w:autoSpaceDN w:val="0"/>
            <w:adjustRightInd w:val="0"/>
          </w:pPr>
        </w:pPrChange>
      </w:pPr>
    </w:p>
    <w:p w14:paraId="18A6B0AB" w14:textId="3799E3DA" w:rsidR="004462A0" w:rsidRPr="008912CF" w:rsidRDefault="00615769">
      <w:pPr>
        <w:rPr>
          <w:del w:id="9984" w:author="AbbVie2" w:date="2025-05-13T16:39:00Z"/>
          <w:sz w:val="22"/>
          <w:szCs w:val="22"/>
        </w:rPr>
        <w:pPrChange w:id="9985" w:author="AbbVie2" w:date="2025-05-13T16:40:00Z">
          <w:pPr>
            <w:keepNext/>
            <w:autoSpaceDE w:val="0"/>
            <w:autoSpaceDN w:val="0"/>
            <w:adjustRightInd w:val="0"/>
          </w:pPr>
        </w:pPrChange>
      </w:pPr>
      <w:del w:id="9986" w:author="AbbVie2" w:date="2025-05-13T16:39:00Z">
        <w:r w:rsidRPr="008912CF">
          <w:rPr>
            <w:sz w:val="22"/>
            <w:szCs w:val="22"/>
          </w:rPr>
          <w:delText>A formação de anticorpos anti</w:delText>
        </w:r>
        <w:r w:rsidR="00840424">
          <w:rPr>
            <w:sz w:val="22"/>
            <w:szCs w:val="22"/>
          </w:rPr>
          <w:delText>-</w:delText>
        </w:r>
        <w:r w:rsidRPr="008912CF">
          <w:rPr>
            <w:sz w:val="22"/>
            <w:szCs w:val="22"/>
          </w:rPr>
          <w:delText>adalimumab está associada com a depuração aumentada e eficácia reduzida de adalimumab. Não há aparente correlação entre a presença de anticorpos anti</w:delText>
        </w:r>
        <w:r w:rsidR="00840424">
          <w:rPr>
            <w:sz w:val="22"/>
            <w:szCs w:val="22"/>
          </w:rPr>
          <w:delText>-</w:delText>
        </w:r>
        <w:r w:rsidRPr="008912CF">
          <w:rPr>
            <w:sz w:val="22"/>
            <w:szCs w:val="22"/>
          </w:rPr>
          <w:delText>adalimumab e a ocorrência de acontecimentos adversos.</w:delText>
        </w:r>
      </w:del>
    </w:p>
    <w:p w14:paraId="4DD458E0" w14:textId="25C6EE19" w:rsidR="004462A0" w:rsidRPr="008912CF" w:rsidRDefault="004462A0">
      <w:pPr>
        <w:rPr>
          <w:del w:id="9987" w:author="AbbVie2" w:date="2025-05-13T16:39:00Z"/>
          <w:szCs w:val="22"/>
        </w:rPr>
        <w:pPrChange w:id="9988" w:author="AbbVie2" w:date="2025-05-13T16:40:00Z">
          <w:pPr>
            <w:pStyle w:val="EndnoteText"/>
            <w:tabs>
              <w:tab w:val="clear" w:pos="567"/>
            </w:tabs>
            <w:autoSpaceDE w:val="0"/>
            <w:autoSpaceDN w:val="0"/>
            <w:adjustRightInd w:val="0"/>
          </w:pPr>
        </w:pPrChange>
      </w:pPr>
    </w:p>
    <w:p w14:paraId="66627186" w14:textId="665BC563" w:rsidR="004462A0" w:rsidRPr="008912CF" w:rsidRDefault="00615769">
      <w:pPr>
        <w:rPr>
          <w:del w:id="9989" w:author="AbbVie2" w:date="2025-05-13T16:39:00Z"/>
          <w:sz w:val="22"/>
          <w:szCs w:val="22"/>
        </w:rPr>
        <w:pPrChange w:id="9990" w:author="AbbVie2" w:date="2025-05-13T16:40:00Z">
          <w:pPr>
            <w:tabs>
              <w:tab w:val="left" w:pos="1294"/>
            </w:tabs>
            <w:autoSpaceDE w:val="0"/>
            <w:autoSpaceDN w:val="0"/>
            <w:adjustRightInd w:val="0"/>
          </w:pPr>
        </w:pPrChange>
      </w:pPr>
      <w:del w:id="9991" w:author="AbbVie2" w:date="2025-05-13T16:39:00Z">
        <w:r w:rsidRPr="008912CF">
          <w:rPr>
            <w:sz w:val="22"/>
            <w:szCs w:val="22"/>
          </w:rPr>
          <w:delText xml:space="preserve">Os doentes nos </w:delText>
        </w:r>
        <w:r w:rsidR="00817CA9">
          <w:rPr>
            <w:sz w:val="22"/>
            <w:szCs w:val="22"/>
          </w:rPr>
          <w:delText>e</w:delText>
        </w:r>
        <w:r w:rsidRPr="008912CF">
          <w:rPr>
            <w:sz w:val="22"/>
            <w:szCs w:val="22"/>
          </w:rPr>
          <w:delText xml:space="preserve">studos </w:delText>
        </w:r>
        <w:r w:rsidR="00817CA9">
          <w:rPr>
            <w:sz w:val="22"/>
            <w:szCs w:val="22"/>
          </w:rPr>
          <w:delText>de artrite reumatoide</w:delText>
        </w:r>
        <w:r w:rsidR="00817CA9" w:rsidRPr="008912CF">
          <w:rPr>
            <w:sz w:val="22"/>
            <w:szCs w:val="22"/>
          </w:rPr>
          <w:delText xml:space="preserve"> </w:delText>
        </w:r>
        <w:r w:rsidRPr="008912CF">
          <w:rPr>
            <w:sz w:val="22"/>
            <w:szCs w:val="22"/>
          </w:rPr>
          <w:delText>I, II e III foram analisados em múltiplos pontos temporais para pesquisa de anticorpos anti</w:delText>
        </w:r>
        <w:r w:rsidR="00840424">
          <w:rPr>
            <w:sz w:val="22"/>
            <w:szCs w:val="22"/>
          </w:rPr>
          <w:delText>-</w:delText>
        </w:r>
        <w:r w:rsidRPr="008912CF">
          <w:rPr>
            <w:sz w:val="22"/>
            <w:szCs w:val="22"/>
          </w:rPr>
          <w:delText>adalimumab durante o período de 6 a 12 meses. Nos ensaios centrais, foram identificados anticorpos anti</w:delText>
        </w:r>
        <w:r w:rsidR="00840424">
          <w:rPr>
            <w:sz w:val="22"/>
            <w:szCs w:val="22"/>
          </w:rPr>
          <w:delText>-</w:delText>
        </w:r>
        <w:r w:rsidRPr="008912CF">
          <w:rPr>
            <w:sz w:val="22"/>
            <w:szCs w:val="22"/>
          </w:rPr>
          <w:delText>adalimumab em 5,5% (58/1053) dos doentes tratados com adalimumab comparativamente a</w:delText>
        </w:r>
        <w:r w:rsidRPr="008912CF">
          <w:rPr>
            <w:iCs/>
            <w:sz w:val="22"/>
            <w:szCs w:val="22"/>
          </w:rPr>
          <w:delText xml:space="preserve"> 0,5% (</w:delText>
        </w:r>
        <w:r w:rsidRPr="008912CF">
          <w:rPr>
            <w:sz w:val="22"/>
            <w:szCs w:val="22"/>
          </w:rPr>
          <w:delText>2/370) com placebo. Nos doentes não submetidos a um tratamento concomitante com metotrexato, a incidência foi de 12,4</w:delText>
        </w:r>
        <w:r w:rsidR="009343EF">
          <w:rPr>
            <w:sz w:val="22"/>
            <w:szCs w:val="22"/>
          </w:rPr>
          <w:delText>%</w:delText>
        </w:r>
        <w:r w:rsidRPr="008912CF">
          <w:rPr>
            <w:sz w:val="22"/>
            <w:szCs w:val="22"/>
          </w:rPr>
          <w:delText>, comparativamente a</w:delText>
        </w:r>
        <w:r w:rsidRPr="008912CF">
          <w:rPr>
            <w:i/>
            <w:iCs/>
            <w:sz w:val="22"/>
            <w:szCs w:val="22"/>
          </w:rPr>
          <w:delText xml:space="preserve"> </w:delText>
        </w:r>
        <w:r w:rsidRPr="008912CF">
          <w:rPr>
            <w:sz w:val="22"/>
            <w:szCs w:val="22"/>
          </w:rPr>
          <w:delText>0,6</w:delText>
        </w:r>
        <w:r w:rsidR="009343EF">
          <w:rPr>
            <w:sz w:val="22"/>
            <w:szCs w:val="22"/>
          </w:rPr>
          <w:delText>%</w:delText>
        </w:r>
        <w:r w:rsidRPr="008912CF">
          <w:rPr>
            <w:sz w:val="22"/>
            <w:szCs w:val="22"/>
          </w:rPr>
          <w:delText xml:space="preserve"> quando adalimumab foi utilizado como terapêutica adjuvante a metotrexato.</w:delText>
        </w:r>
      </w:del>
    </w:p>
    <w:p w14:paraId="69AA0DF3" w14:textId="69B062AB" w:rsidR="004462A0" w:rsidRPr="008912CF" w:rsidRDefault="004462A0">
      <w:pPr>
        <w:rPr>
          <w:del w:id="9992" w:author="AbbVie2" w:date="2025-05-13T16:39:00Z"/>
          <w:szCs w:val="22"/>
        </w:rPr>
        <w:pPrChange w:id="9993" w:author="AbbVie2" w:date="2025-05-13T16:40:00Z">
          <w:pPr>
            <w:pStyle w:val="EndnoteText"/>
            <w:tabs>
              <w:tab w:val="clear" w:pos="567"/>
              <w:tab w:val="left" w:pos="1294"/>
            </w:tabs>
            <w:autoSpaceDE w:val="0"/>
            <w:autoSpaceDN w:val="0"/>
            <w:adjustRightInd w:val="0"/>
          </w:pPr>
        </w:pPrChange>
      </w:pPr>
    </w:p>
    <w:p w14:paraId="3BE60F2D" w14:textId="06E6F1B3" w:rsidR="004462A0" w:rsidRPr="008912CF" w:rsidRDefault="00615769">
      <w:pPr>
        <w:rPr>
          <w:del w:id="9994" w:author="AbbVie2" w:date="2025-05-13T16:39:00Z"/>
          <w:bCs/>
          <w:sz w:val="22"/>
          <w:szCs w:val="22"/>
        </w:rPr>
        <w:pPrChange w:id="9995" w:author="AbbVie2" w:date="2025-05-13T16:40:00Z">
          <w:pPr>
            <w:pStyle w:val="Heading3"/>
            <w:keepNext w:val="0"/>
            <w:keepLines w:val="0"/>
            <w:tabs>
              <w:tab w:val="clear" w:pos="567"/>
            </w:tabs>
            <w:spacing w:before="0" w:after="0" w:line="240" w:lineRule="auto"/>
          </w:pPr>
        </w:pPrChange>
      </w:pPr>
      <w:del w:id="9996" w:author="AbbVie2" w:date="2025-05-13T16:39:00Z">
        <w:r w:rsidRPr="008912CF">
          <w:rPr>
            <w:bCs/>
            <w:sz w:val="22"/>
            <w:szCs w:val="22"/>
          </w:rPr>
          <w:delText>Nos doentes com artrite idiopática juvenil poliarticular com idades compreendidas entre os 4 e os 17 anos foram identificados anticorpos a adalimumab em 15,8</w:delText>
        </w:r>
        <w:r w:rsidR="009343EF">
          <w:rPr>
            <w:bCs/>
            <w:sz w:val="22"/>
            <w:szCs w:val="22"/>
          </w:rPr>
          <w:delText>%</w:delText>
        </w:r>
        <w:r w:rsidRPr="008912CF">
          <w:rPr>
            <w:bCs/>
            <w:sz w:val="22"/>
            <w:szCs w:val="22"/>
          </w:rPr>
          <w:delText xml:space="preserve"> (27/171) dos doentes tratados com adalimumab. Nos doentes que não receberam metotrexato concomitante, a incidência foi de 25,6</w:delText>
        </w:r>
        <w:r w:rsidR="009343EF">
          <w:rPr>
            <w:bCs/>
            <w:sz w:val="22"/>
            <w:szCs w:val="22"/>
          </w:rPr>
          <w:delText>%</w:delText>
        </w:r>
        <w:r w:rsidRPr="008912CF">
          <w:rPr>
            <w:bCs/>
            <w:sz w:val="22"/>
            <w:szCs w:val="22"/>
          </w:rPr>
          <w:delText xml:space="preserve"> (22/86)</w:delText>
        </w:r>
        <w:r w:rsidR="00A85772">
          <w:rPr>
            <w:bCs/>
            <w:sz w:val="22"/>
            <w:szCs w:val="22"/>
          </w:rPr>
          <w:delText>,</w:delText>
        </w:r>
        <w:r w:rsidRPr="008912CF">
          <w:rPr>
            <w:bCs/>
            <w:sz w:val="22"/>
            <w:szCs w:val="22"/>
          </w:rPr>
          <w:delText xml:space="preserve"> comparativamente a 5,9</w:delText>
        </w:r>
        <w:r w:rsidR="009343EF">
          <w:rPr>
            <w:bCs/>
            <w:sz w:val="22"/>
            <w:szCs w:val="22"/>
          </w:rPr>
          <w:delText>%</w:delText>
        </w:r>
        <w:r w:rsidRPr="008912CF">
          <w:rPr>
            <w:bCs/>
            <w:sz w:val="22"/>
            <w:szCs w:val="22"/>
          </w:rPr>
          <w:delText xml:space="preserve"> (5/85) quando adalimumab foi utilizado como terapêutica adjuvante a metotrexato.</w:delText>
        </w:r>
        <w:r w:rsidR="00B52A81">
          <w:rPr>
            <w:bCs/>
            <w:sz w:val="22"/>
            <w:szCs w:val="22"/>
          </w:rPr>
          <w:delText xml:space="preserve"> </w:delText>
        </w:r>
        <w:r w:rsidR="00B52A81" w:rsidRPr="008912CF">
          <w:rPr>
            <w:bCs/>
            <w:sz w:val="22"/>
            <w:szCs w:val="22"/>
          </w:rPr>
          <w:delText xml:space="preserve">Nos doentes com artrite idiopática juvenil poliarticular com idades compreendidas entre </w:delText>
        </w:r>
        <w:r w:rsidR="00B52A81">
          <w:rPr>
            <w:bCs/>
            <w:sz w:val="22"/>
            <w:szCs w:val="22"/>
          </w:rPr>
          <w:delText>2</w:delText>
        </w:r>
        <w:r w:rsidR="00B52A81" w:rsidRPr="008912CF">
          <w:rPr>
            <w:bCs/>
            <w:sz w:val="22"/>
            <w:szCs w:val="22"/>
          </w:rPr>
          <w:delText xml:space="preserve"> e </w:delText>
        </w:r>
        <w:r w:rsidR="00B52A81">
          <w:rPr>
            <w:bCs/>
            <w:sz w:val="22"/>
            <w:szCs w:val="22"/>
          </w:rPr>
          <w:delText>&lt;</w:delText>
        </w:r>
        <w:r w:rsidR="00B52A81" w:rsidRPr="008912CF">
          <w:rPr>
            <w:bCs/>
            <w:sz w:val="22"/>
            <w:szCs w:val="22"/>
          </w:rPr>
          <w:delText xml:space="preserve"> </w:delText>
        </w:r>
        <w:r w:rsidR="00B52A81">
          <w:rPr>
            <w:bCs/>
            <w:sz w:val="22"/>
            <w:szCs w:val="22"/>
          </w:rPr>
          <w:delText>4 </w:delText>
        </w:r>
        <w:r w:rsidR="00B52A81" w:rsidRPr="008912CF">
          <w:rPr>
            <w:bCs/>
            <w:sz w:val="22"/>
            <w:szCs w:val="22"/>
          </w:rPr>
          <w:delText>anos</w:delText>
        </w:r>
        <w:r w:rsidR="00B52A81">
          <w:rPr>
            <w:bCs/>
            <w:sz w:val="22"/>
            <w:szCs w:val="22"/>
          </w:rPr>
          <w:delText xml:space="preserve"> de idade</w:delText>
        </w:r>
        <w:r w:rsidR="00B52A81" w:rsidRPr="008912CF">
          <w:rPr>
            <w:bCs/>
            <w:sz w:val="22"/>
            <w:szCs w:val="22"/>
          </w:rPr>
          <w:delText>,</w:delText>
        </w:r>
        <w:r w:rsidR="00B52A81">
          <w:rPr>
            <w:bCs/>
            <w:sz w:val="22"/>
            <w:szCs w:val="22"/>
          </w:rPr>
          <w:delText xml:space="preserve"> ou idade igual ou superior a 4 anos, </w:delText>
        </w:r>
        <w:r w:rsidR="00547171">
          <w:rPr>
            <w:bCs/>
            <w:sz w:val="22"/>
            <w:szCs w:val="22"/>
          </w:rPr>
          <w:delText xml:space="preserve">com </w:delText>
        </w:r>
        <w:r w:rsidR="00B52A81">
          <w:rPr>
            <w:bCs/>
            <w:sz w:val="22"/>
            <w:szCs w:val="22"/>
          </w:rPr>
          <w:delText>pes</w:delText>
        </w:r>
        <w:r w:rsidR="00547171">
          <w:rPr>
            <w:bCs/>
            <w:sz w:val="22"/>
            <w:szCs w:val="22"/>
          </w:rPr>
          <w:delText>o</w:delText>
        </w:r>
        <w:r w:rsidR="00B52A81">
          <w:rPr>
            <w:bCs/>
            <w:sz w:val="22"/>
            <w:szCs w:val="22"/>
          </w:rPr>
          <w:delText xml:space="preserve"> &lt; 15 kg, </w:delText>
        </w:r>
        <w:r w:rsidR="00B52A81" w:rsidRPr="00395D60">
          <w:rPr>
            <w:bCs/>
            <w:sz w:val="22"/>
            <w:szCs w:val="22"/>
          </w:rPr>
          <w:delText>foram identificados anticorpos anti</w:delText>
        </w:r>
        <w:r w:rsidR="00840424">
          <w:rPr>
            <w:bCs/>
            <w:sz w:val="22"/>
            <w:szCs w:val="22"/>
          </w:rPr>
          <w:delText>-</w:delText>
        </w:r>
        <w:r w:rsidR="00B52A81" w:rsidRPr="00395D60">
          <w:rPr>
            <w:bCs/>
            <w:sz w:val="22"/>
            <w:szCs w:val="22"/>
          </w:rPr>
          <w:delText>adalimumab em</w:delText>
        </w:r>
        <w:r w:rsidR="00B52A81">
          <w:rPr>
            <w:bCs/>
            <w:sz w:val="22"/>
            <w:szCs w:val="22"/>
          </w:rPr>
          <w:delText xml:space="preserve"> 7% (1/15) dos doentes, </w:delText>
        </w:r>
        <w:r w:rsidR="00A85772">
          <w:rPr>
            <w:bCs/>
            <w:sz w:val="22"/>
            <w:szCs w:val="22"/>
          </w:rPr>
          <w:delText>o qual</w:delText>
        </w:r>
        <w:r w:rsidR="00B52A81">
          <w:rPr>
            <w:bCs/>
            <w:sz w:val="22"/>
            <w:szCs w:val="22"/>
          </w:rPr>
          <w:delText xml:space="preserve"> estava a receber terapêutica concomitante com metotrexato.</w:delText>
        </w:r>
      </w:del>
    </w:p>
    <w:p w14:paraId="03E0FA68" w14:textId="64D30EA2" w:rsidR="004462A0" w:rsidRPr="008912CF" w:rsidRDefault="004462A0" w:rsidP="00412FC8">
      <w:pPr>
        <w:rPr>
          <w:del w:id="9997" w:author="AbbVie2" w:date="2025-05-13T16:39:00Z"/>
        </w:rPr>
      </w:pPr>
    </w:p>
    <w:p w14:paraId="68F31F13" w14:textId="2C958BCE" w:rsidR="004462A0" w:rsidRPr="008912CF" w:rsidRDefault="00615769" w:rsidP="00412FC8">
      <w:pPr>
        <w:rPr>
          <w:del w:id="9998" w:author="AbbVie2" w:date="2025-05-13T16:39:00Z"/>
          <w:bCs/>
          <w:sz w:val="22"/>
          <w:szCs w:val="22"/>
        </w:rPr>
      </w:pPr>
      <w:del w:id="9999" w:author="AbbVie2" w:date="2025-05-13T16:39:00Z">
        <w:r w:rsidRPr="008912CF">
          <w:rPr>
            <w:sz w:val="22"/>
            <w:szCs w:val="22"/>
          </w:rPr>
          <w:delText>Em doentes com artrite relacionada com entesite foram identificados anticorpos anti</w:delText>
        </w:r>
        <w:r w:rsidR="00840424">
          <w:rPr>
            <w:sz w:val="22"/>
            <w:szCs w:val="22"/>
          </w:rPr>
          <w:delText>-</w:delText>
        </w:r>
        <w:r w:rsidRPr="008912CF">
          <w:rPr>
            <w:sz w:val="22"/>
            <w:szCs w:val="22"/>
          </w:rPr>
          <w:delText xml:space="preserve">adalimumab em 10,9% (5/46) dos doentes tratados com </w:delText>
        </w:r>
        <w:r w:rsidRPr="008912CF">
          <w:rPr>
            <w:bCs/>
            <w:sz w:val="22"/>
            <w:szCs w:val="22"/>
          </w:rPr>
          <w:delText>adalimumab. Nos doentes que não receberam metotrexato concomitante a incidência foi de 13,6% (3/22)</w:delText>
        </w:r>
        <w:r w:rsidR="00840424">
          <w:rPr>
            <w:bCs/>
            <w:sz w:val="22"/>
            <w:szCs w:val="22"/>
          </w:rPr>
          <w:delText>, comparativamente a 8,3% (2/24)</w:delText>
        </w:r>
        <w:r w:rsidRPr="008912CF">
          <w:rPr>
            <w:bCs/>
            <w:sz w:val="22"/>
            <w:szCs w:val="22"/>
          </w:rPr>
          <w:delText xml:space="preserve"> quando adalimumab foi utilizado como terapêutica concomitante a metotrexato.</w:delText>
        </w:r>
      </w:del>
    </w:p>
    <w:p w14:paraId="51FC1E0D" w14:textId="00212E63" w:rsidR="004462A0" w:rsidRPr="008912CF" w:rsidRDefault="004462A0" w:rsidP="00412FC8">
      <w:pPr>
        <w:rPr>
          <w:del w:id="10000" w:author="AbbVie2" w:date="2025-05-13T16:39:00Z"/>
          <w:sz w:val="22"/>
          <w:szCs w:val="22"/>
        </w:rPr>
      </w:pPr>
    </w:p>
    <w:p w14:paraId="5019C61E" w14:textId="21CCF13B" w:rsidR="004462A0" w:rsidRPr="008912CF" w:rsidRDefault="00615769">
      <w:pPr>
        <w:rPr>
          <w:del w:id="10001" w:author="AbbVie2" w:date="2025-05-13T16:39:00Z"/>
          <w:sz w:val="22"/>
          <w:szCs w:val="22"/>
        </w:rPr>
        <w:pPrChange w:id="10002" w:author="AbbVie2" w:date="2025-05-13T16:40:00Z">
          <w:pPr>
            <w:tabs>
              <w:tab w:val="left" w:pos="1294"/>
            </w:tabs>
            <w:autoSpaceDE w:val="0"/>
            <w:autoSpaceDN w:val="0"/>
            <w:adjustRightInd w:val="0"/>
          </w:pPr>
        </w:pPrChange>
      </w:pPr>
      <w:del w:id="10003" w:author="AbbVie2" w:date="2025-05-13T16:39:00Z">
        <w:r w:rsidRPr="008912CF">
          <w:rPr>
            <w:sz w:val="22"/>
            <w:szCs w:val="22"/>
          </w:rPr>
          <w:delText>Em doentes com artrite psoriática foram identificados anticorpos anti</w:delText>
        </w:r>
        <w:r w:rsidR="00840424">
          <w:rPr>
            <w:sz w:val="22"/>
            <w:szCs w:val="22"/>
          </w:rPr>
          <w:delText>-</w:delText>
        </w:r>
        <w:r w:rsidRPr="008912CF">
          <w:rPr>
            <w:sz w:val="22"/>
            <w:szCs w:val="22"/>
          </w:rPr>
          <w:delText>adalimumab em 38/376 (10</w:delText>
        </w:r>
        <w:r w:rsidR="009343EF">
          <w:rPr>
            <w:sz w:val="22"/>
            <w:szCs w:val="22"/>
          </w:rPr>
          <w:delText>%</w:delText>
        </w:r>
        <w:r w:rsidRPr="008912CF">
          <w:rPr>
            <w:sz w:val="22"/>
            <w:szCs w:val="22"/>
          </w:rPr>
          <w:delText>) dos doentes tratados com adalimumab. Nos doentes não submetidos a um tratamento concomitante com metotrexato, a incidência foi de 13,5</w:delText>
        </w:r>
        <w:r w:rsidR="009343EF">
          <w:rPr>
            <w:sz w:val="22"/>
            <w:szCs w:val="22"/>
          </w:rPr>
          <w:delText>%</w:delText>
        </w:r>
        <w:r w:rsidRPr="008912CF">
          <w:rPr>
            <w:sz w:val="22"/>
            <w:szCs w:val="22"/>
          </w:rPr>
          <w:delText xml:space="preserve"> (24/178 doentes), comparativamente a 7</w:delText>
        </w:r>
        <w:r w:rsidR="009343EF">
          <w:rPr>
            <w:sz w:val="22"/>
            <w:szCs w:val="22"/>
          </w:rPr>
          <w:delText>%</w:delText>
        </w:r>
        <w:r w:rsidRPr="008912CF">
          <w:rPr>
            <w:sz w:val="22"/>
            <w:szCs w:val="22"/>
          </w:rPr>
          <w:delText xml:space="preserve"> (14 de 198 doentes) quando adalimumab foi utilizado como terapêutica adjuvante a metotrexato.</w:delText>
        </w:r>
      </w:del>
    </w:p>
    <w:p w14:paraId="07D24E3C" w14:textId="4E4F3AE6" w:rsidR="004462A0" w:rsidRPr="008912CF" w:rsidRDefault="004462A0">
      <w:pPr>
        <w:rPr>
          <w:del w:id="10004" w:author="AbbVie2" w:date="2025-05-13T16:39:00Z"/>
          <w:sz w:val="22"/>
          <w:szCs w:val="22"/>
        </w:rPr>
        <w:pPrChange w:id="10005" w:author="AbbVie2" w:date="2025-05-13T16:40:00Z">
          <w:pPr>
            <w:tabs>
              <w:tab w:val="left" w:pos="1294"/>
            </w:tabs>
            <w:autoSpaceDE w:val="0"/>
            <w:autoSpaceDN w:val="0"/>
            <w:adjustRightInd w:val="0"/>
          </w:pPr>
        </w:pPrChange>
      </w:pPr>
    </w:p>
    <w:p w14:paraId="2A100567" w14:textId="52C9A245" w:rsidR="004462A0" w:rsidRPr="008912CF" w:rsidRDefault="00615769">
      <w:pPr>
        <w:rPr>
          <w:del w:id="10006" w:author="AbbVie2" w:date="2025-05-13T16:39:00Z"/>
          <w:sz w:val="22"/>
          <w:szCs w:val="22"/>
        </w:rPr>
        <w:pPrChange w:id="10007" w:author="AbbVie2" w:date="2025-05-13T16:40:00Z">
          <w:pPr>
            <w:tabs>
              <w:tab w:val="left" w:pos="1294"/>
            </w:tabs>
            <w:autoSpaceDE w:val="0"/>
            <w:autoSpaceDN w:val="0"/>
            <w:adjustRightInd w:val="0"/>
          </w:pPr>
        </w:pPrChange>
      </w:pPr>
      <w:del w:id="10008" w:author="AbbVie2" w:date="2025-05-13T16:39:00Z">
        <w:r w:rsidRPr="008912CF">
          <w:rPr>
            <w:sz w:val="22"/>
            <w:szCs w:val="22"/>
          </w:rPr>
          <w:delText>Em doentes com espondilite anquilosante foram identificados anticorpos anti</w:delText>
        </w:r>
        <w:r w:rsidR="00840424">
          <w:rPr>
            <w:sz w:val="22"/>
            <w:szCs w:val="22"/>
          </w:rPr>
          <w:delText>-</w:delText>
        </w:r>
        <w:r w:rsidRPr="008912CF">
          <w:rPr>
            <w:sz w:val="22"/>
            <w:szCs w:val="22"/>
          </w:rPr>
          <w:delText>adalimumab em 17/204 (8,3</w:delText>
        </w:r>
        <w:r w:rsidR="009343EF">
          <w:rPr>
            <w:sz w:val="22"/>
            <w:szCs w:val="22"/>
          </w:rPr>
          <w:delText>%</w:delText>
        </w:r>
        <w:r w:rsidRPr="008912CF">
          <w:rPr>
            <w:sz w:val="22"/>
            <w:szCs w:val="22"/>
          </w:rPr>
          <w:delText>) dos doentes tratados com adalimumab. Nos doentes não submetidos a um tratamento concomitante com metotrexato, a incidência foi de 16/185 (8,6</w:delText>
        </w:r>
        <w:r w:rsidR="009343EF">
          <w:rPr>
            <w:sz w:val="22"/>
            <w:szCs w:val="22"/>
          </w:rPr>
          <w:delText>%</w:delText>
        </w:r>
        <w:r w:rsidRPr="008912CF">
          <w:rPr>
            <w:sz w:val="22"/>
            <w:szCs w:val="22"/>
          </w:rPr>
          <w:delText>), comparativamente a 1/19 (5,3</w:delText>
        </w:r>
        <w:r w:rsidR="009343EF">
          <w:rPr>
            <w:sz w:val="22"/>
            <w:szCs w:val="22"/>
          </w:rPr>
          <w:delText>%</w:delText>
        </w:r>
        <w:r w:rsidRPr="008912CF">
          <w:rPr>
            <w:sz w:val="22"/>
            <w:szCs w:val="22"/>
          </w:rPr>
          <w:delText>), quando adalimumab foi utilizado como terapêutica adjuvante a metotrexato.</w:delText>
        </w:r>
      </w:del>
    </w:p>
    <w:p w14:paraId="43ABFD56" w14:textId="1C631A31" w:rsidR="004462A0" w:rsidRPr="008912CF" w:rsidRDefault="004462A0" w:rsidP="00412FC8">
      <w:pPr>
        <w:rPr>
          <w:del w:id="10009" w:author="AbbVie2" w:date="2025-05-13T16:39:00Z"/>
          <w:sz w:val="22"/>
          <w:szCs w:val="22"/>
        </w:rPr>
      </w:pPr>
    </w:p>
    <w:p w14:paraId="38229992" w14:textId="02C452DF" w:rsidR="003A3548" w:rsidRPr="00A44E27" w:rsidRDefault="00615769" w:rsidP="00412FC8">
      <w:pPr>
        <w:rPr>
          <w:del w:id="10010" w:author="AbbVie2" w:date="2025-05-13T16:39:00Z"/>
          <w:sz w:val="22"/>
          <w:szCs w:val="22"/>
        </w:rPr>
      </w:pPr>
      <w:del w:id="10011" w:author="AbbVie2" w:date="2025-05-13T16:39:00Z">
        <w:r w:rsidRPr="003A3548">
          <w:rPr>
            <w:sz w:val="22"/>
            <w:szCs w:val="22"/>
          </w:rPr>
          <w:delText xml:space="preserve">Em doentes com </w:delText>
        </w:r>
        <w:r w:rsidRPr="00A44E27">
          <w:rPr>
            <w:sz w:val="22"/>
            <w:szCs w:val="22"/>
          </w:rPr>
          <w:delText>espondilartrite axial não-radiográfica</w:delText>
        </w:r>
        <w:r w:rsidRPr="003A3548">
          <w:rPr>
            <w:sz w:val="22"/>
            <w:szCs w:val="22"/>
          </w:rPr>
          <w:delText xml:space="preserve"> foram identificados anticorpos anti</w:delText>
        </w:r>
        <w:r w:rsidR="00090620">
          <w:rPr>
            <w:sz w:val="22"/>
            <w:szCs w:val="22"/>
          </w:rPr>
          <w:noBreakHyphen/>
        </w:r>
        <w:r w:rsidRPr="003A3548">
          <w:rPr>
            <w:sz w:val="22"/>
            <w:szCs w:val="22"/>
          </w:rPr>
          <w:delText>adalimumab em 8/152 doentes (5,3%)</w:delText>
        </w:r>
        <w:r w:rsidR="00BD4F81">
          <w:rPr>
            <w:sz w:val="22"/>
            <w:szCs w:val="22"/>
          </w:rPr>
          <w:delText xml:space="preserve"> tratados continuamente com adalimumab.</w:delText>
        </w:r>
        <w:r w:rsidRPr="00A44E27">
          <w:rPr>
            <w:sz w:val="22"/>
            <w:szCs w:val="22"/>
          </w:rPr>
          <w:delText xml:space="preserve">  </w:delText>
        </w:r>
      </w:del>
    </w:p>
    <w:p w14:paraId="226A3AE6" w14:textId="40ABF959" w:rsidR="003A3548" w:rsidRDefault="003A3548" w:rsidP="00412FC8">
      <w:pPr>
        <w:rPr>
          <w:del w:id="10012" w:author="AbbVie2" w:date="2025-05-13T16:39:00Z"/>
          <w:sz w:val="22"/>
          <w:szCs w:val="22"/>
        </w:rPr>
      </w:pPr>
    </w:p>
    <w:p w14:paraId="6062609F" w14:textId="204EDAF8" w:rsidR="004462A0" w:rsidRPr="008912CF" w:rsidRDefault="00615769" w:rsidP="00412FC8">
      <w:pPr>
        <w:rPr>
          <w:del w:id="10013" w:author="AbbVie2" w:date="2025-05-13T16:39:00Z"/>
          <w:sz w:val="22"/>
          <w:szCs w:val="22"/>
        </w:rPr>
      </w:pPr>
      <w:del w:id="10014" w:author="AbbVie2" w:date="2025-05-13T16:39:00Z">
        <w:r w:rsidRPr="008912CF">
          <w:rPr>
            <w:sz w:val="22"/>
            <w:szCs w:val="22"/>
          </w:rPr>
          <w:delText>Em doentes com doença de Crohn e em doentes com colite ulcerosa foram identificados anticorpos anti</w:delText>
        </w:r>
        <w:r w:rsidR="00840424">
          <w:rPr>
            <w:sz w:val="22"/>
            <w:szCs w:val="22"/>
          </w:rPr>
          <w:delText>-</w:delText>
        </w:r>
        <w:r w:rsidRPr="008912CF">
          <w:rPr>
            <w:sz w:val="22"/>
            <w:szCs w:val="22"/>
          </w:rPr>
          <w:delText>adalimumab em 7/269 doentes (2,6</w:delText>
        </w:r>
        <w:r w:rsidR="009343EF">
          <w:rPr>
            <w:sz w:val="22"/>
            <w:szCs w:val="22"/>
          </w:rPr>
          <w:delText>%</w:delText>
        </w:r>
        <w:r w:rsidRPr="008912CF">
          <w:rPr>
            <w:sz w:val="22"/>
            <w:szCs w:val="22"/>
          </w:rPr>
          <w:delText>) e em 19/487 doentes (3,9</w:delText>
        </w:r>
        <w:r w:rsidR="009343EF">
          <w:rPr>
            <w:sz w:val="22"/>
            <w:szCs w:val="22"/>
          </w:rPr>
          <w:delText>%</w:delText>
        </w:r>
        <w:r w:rsidRPr="008912CF">
          <w:rPr>
            <w:sz w:val="22"/>
            <w:szCs w:val="22"/>
          </w:rPr>
          <w:delText>) respetivamente.</w:delText>
        </w:r>
      </w:del>
    </w:p>
    <w:p w14:paraId="39219026" w14:textId="0C332813" w:rsidR="004462A0" w:rsidRPr="008912CF" w:rsidRDefault="004462A0" w:rsidP="00412FC8">
      <w:pPr>
        <w:rPr>
          <w:del w:id="10015" w:author="AbbVie2" w:date="2025-05-13T16:39:00Z"/>
          <w:sz w:val="22"/>
          <w:szCs w:val="22"/>
        </w:rPr>
      </w:pPr>
    </w:p>
    <w:p w14:paraId="57A3DA38" w14:textId="6C571E80" w:rsidR="004462A0" w:rsidRPr="008912CF" w:rsidRDefault="00615769" w:rsidP="00412FC8">
      <w:pPr>
        <w:rPr>
          <w:del w:id="10016" w:author="AbbVie2" w:date="2025-05-13T16:39:00Z"/>
          <w:sz w:val="22"/>
          <w:szCs w:val="22"/>
        </w:rPr>
      </w:pPr>
      <w:del w:id="10017" w:author="AbbVie2" w:date="2025-05-13T16:39:00Z">
        <w:r w:rsidRPr="008912CF">
          <w:rPr>
            <w:sz w:val="22"/>
            <w:szCs w:val="22"/>
          </w:rPr>
          <w:delText>Em doentes adultos com psoríase</w:delText>
        </w:r>
        <w:r w:rsidR="00A85772">
          <w:rPr>
            <w:sz w:val="22"/>
            <w:szCs w:val="22"/>
          </w:rPr>
          <w:delText>,</w:delText>
        </w:r>
        <w:r w:rsidRPr="008912CF">
          <w:rPr>
            <w:sz w:val="22"/>
            <w:szCs w:val="22"/>
          </w:rPr>
          <w:delText xml:space="preserve"> tratados com adalimumab em monoterapia, foram identificados anticorpos anti</w:delText>
        </w:r>
        <w:r w:rsidR="00840424">
          <w:rPr>
            <w:sz w:val="22"/>
            <w:szCs w:val="22"/>
          </w:rPr>
          <w:delText>-</w:delText>
        </w:r>
        <w:r w:rsidRPr="008912CF">
          <w:rPr>
            <w:sz w:val="22"/>
            <w:szCs w:val="22"/>
          </w:rPr>
          <w:delText>adalimumab em 77/920 doentes (8,4</w:delText>
        </w:r>
        <w:r w:rsidR="009343EF">
          <w:rPr>
            <w:sz w:val="22"/>
            <w:szCs w:val="22"/>
          </w:rPr>
          <w:delText>%</w:delText>
        </w:r>
        <w:r w:rsidRPr="008912CF">
          <w:rPr>
            <w:sz w:val="22"/>
            <w:szCs w:val="22"/>
          </w:rPr>
          <w:delText>).</w:delText>
        </w:r>
      </w:del>
    </w:p>
    <w:p w14:paraId="43F77D12" w14:textId="653A1154" w:rsidR="004462A0" w:rsidRPr="008912CF" w:rsidRDefault="004462A0" w:rsidP="00412FC8">
      <w:pPr>
        <w:rPr>
          <w:del w:id="10018" w:author="AbbVie2" w:date="2025-05-13T16:39:00Z"/>
          <w:sz w:val="22"/>
          <w:szCs w:val="22"/>
        </w:rPr>
      </w:pPr>
    </w:p>
    <w:p w14:paraId="0885F681" w14:textId="0160041E" w:rsidR="004462A0" w:rsidRPr="008912CF" w:rsidRDefault="00615769" w:rsidP="00412FC8">
      <w:pPr>
        <w:rPr>
          <w:del w:id="10019" w:author="AbbVie2" w:date="2025-05-13T16:39:00Z"/>
          <w:sz w:val="22"/>
          <w:szCs w:val="22"/>
        </w:rPr>
      </w:pPr>
      <w:del w:id="10020" w:author="AbbVie2" w:date="2025-05-13T16:39:00Z">
        <w:r w:rsidRPr="008912CF">
          <w:rPr>
            <w:sz w:val="22"/>
            <w:szCs w:val="22"/>
          </w:rPr>
          <w:delText xml:space="preserve">Em doentes adultos com psoríase em placas, tratados </w:delText>
        </w:r>
        <w:r w:rsidR="003D7D06">
          <w:rPr>
            <w:sz w:val="22"/>
            <w:szCs w:val="22"/>
          </w:rPr>
          <w:delText xml:space="preserve">com adalimumab </w:delText>
        </w:r>
        <w:r w:rsidRPr="008912CF">
          <w:rPr>
            <w:sz w:val="22"/>
            <w:szCs w:val="22"/>
          </w:rPr>
          <w:delText>em monoterapia a longo prazo, que participaram n</w:delText>
        </w:r>
        <w:r w:rsidR="003D7D06">
          <w:rPr>
            <w:sz w:val="22"/>
            <w:szCs w:val="22"/>
          </w:rPr>
          <w:delText>um</w:delText>
        </w:r>
        <w:r w:rsidRPr="008912CF">
          <w:rPr>
            <w:sz w:val="22"/>
            <w:szCs w:val="22"/>
          </w:rPr>
          <w:delText xml:space="preserve"> estudo de suspensão do tratamento e </w:delText>
        </w:r>
        <w:r w:rsidR="003D7D06">
          <w:rPr>
            <w:sz w:val="22"/>
            <w:szCs w:val="22"/>
          </w:rPr>
          <w:delText>re-</w:delText>
        </w:r>
        <w:r w:rsidRPr="008912CF">
          <w:rPr>
            <w:sz w:val="22"/>
            <w:szCs w:val="22"/>
          </w:rPr>
          <w:delText xml:space="preserve">tratamento, a taxa de anticorpos a adalimumab após o </w:delText>
        </w:r>
        <w:r w:rsidR="003D7D06">
          <w:rPr>
            <w:sz w:val="22"/>
            <w:szCs w:val="22"/>
          </w:rPr>
          <w:delText>re-</w:delText>
        </w:r>
        <w:r w:rsidRPr="008912CF">
          <w:rPr>
            <w:sz w:val="22"/>
            <w:szCs w:val="22"/>
          </w:rPr>
          <w:delText>tratamento (11 de 482 doentes, 2,3</w:delText>
        </w:r>
        <w:r w:rsidR="009343EF">
          <w:rPr>
            <w:sz w:val="22"/>
            <w:szCs w:val="22"/>
          </w:rPr>
          <w:delText>%</w:delText>
        </w:r>
        <w:r w:rsidRPr="008912CF">
          <w:rPr>
            <w:sz w:val="22"/>
            <w:szCs w:val="22"/>
          </w:rPr>
          <w:delText>) foi semelhante à taxa observada antes da suspensão (11 de 590 doentes, 1,9</w:delText>
        </w:r>
        <w:r w:rsidR="009343EF">
          <w:rPr>
            <w:sz w:val="22"/>
            <w:szCs w:val="22"/>
          </w:rPr>
          <w:delText>%</w:delText>
        </w:r>
        <w:r w:rsidRPr="008912CF">
          <w:rPr>
            <w:sz w:val="22"/>
            <w:szCs w:val="22"/>
          </w:rPr>
          <w:delText>).</w:delText>
        </w:r>
      </w:del>
    </w:p>
    <w:p w14:paraId="164E79F9" w14:textId="5B8AA0AE" w:rsidR="004462A0" w:rsidRPr="008912CF" w:rsidRDefault="004462A0" w:rsidP="00412FC8">
      <w:pPr>
        <w:rPr>
          <w:del w:id="10021" w:author="AbbVie2" w:date="2025-05-13T16:39:00Z"/>
          <w:sz w:val="22"/>
          <w:szCs w:val="22"/>
        </w:rPr>
      </w:pPr>
    </w:p>
    <w:p w14:paraId="5BAA0764" w14:textId="3F5FC88C" w:rsidR="004462A0" w:rsidRPr="008912CF" w:rsidRDefault="00615769" w:rsidP="00412FC8">
      <w:pPr>
        <w:rPr>
          <w:del w:id="10022" w:author="AbbVie2" w:date="2025-05-13T16:39:00Z"/>
          <w:sz w:val="22"/>
          <w:szCs w:val="22"/>
        </w:rPr>
      </w:pPr>
      <w:del w:id="10023" w:author="AbbVie2" w:date="2025-05-13T16:39:00Z">
        <w:r w:rsidRPr="008912CF">
          <w:rPr>
            <w:sz w:val="22"/>
            <w:szCs w:val="22"/>
          </w:rPr>
          <w:delText>Em doentes com psoríase pediátrica foram identificados anticorpos anti</w:delText>
        </w:r>
        <w:r w:rsidR="00840424">
          <w:rPr>
            <w:sz w:val="22"/>
            <w:szCs w:val="22"/>
          </w:rPr>
          <w:delText>-</w:delText>
        </w:r>
        <w:r w:rsidRPr="008912CF">
          <w:rPr>
            <w:sz w:val="22"/>
            <w:szCs w:val="22"/>
          </w:rPr>
          <w:delText>adalimumab em 5/38 doentes</w:delText>
        </w:r>
        <w:r w:rsidR="00840424">
          <w:rPr>
            <w:sz w:val="22"/>
            <w:szCs w:val="22"/>
          </w:rPr>
          <w:delText xml:space="preserve"> (13%)</w:delText>
        </w:r>
        <w:r w:rsidRPr="008912CF">
          <w:rPr>
            <w:sz w:val="22"/>
            <w:szCs w:val="22"/>
          </w:rPr>
          <w:delText xml:space="preserve"> tratados com </w:delText>
        </w:r>
        <w:r w:rsidRPr="008912CF">
          <w:rPr>
            <w:bCs/>
            <w:sz w:val="22"/>
            <w:szCs w:val="22"/>
          </w:rPr>
          <w:delText>adalimumab 0,8 mg/kg em monoterapia.</w:delText>
        </w:r>
      </w:del>
    </w:p>
    <w:p w14:paraId="24EA818A" w14:textId="589D8B9C" w:rsidR="00817CA9" w:rsidRDefault="00817CA9" w:rsidP="00412FC8">
      <w:pPr>
        <w:rPr>
          <w:del w:id="10024" w:author="AbbVie2" w:date="2025-05-13T16:39:00Z"/>
          <w:sz w:val="22"/>
          <w:szCs w:val="22"/>
        </w:rPr>
      </w:pPr>
    </w:p>
    <w:p w14:paraId="5378486C" w14:textId="50EC6E5A" w:rsidR="00817CA9" w:rsidRPr="008912CF" w:rsidRDefault="00615769" w:rsidP="00412FC8">
      <w:pPr>
        <w:rPr>
          <w:del w:id="10025" w:author="AbbVie2" w:date="2025-05-13T16:39:00Z"/>
          <w:sz w:val="22"/>
          <w:szCs w:val="22"/>
        </w:rPr>
      </w:pPr>
      <w:del w:id="10026" w:author="AbbVie2" w:date="2025-05-13T16:39:00Z">
        <w:r w:rsidRPr="008912CF">
          <w:rPr>
            <w:sz w:val="22"/>
            <w:szCs w:val="22"/>
          </w:rPr>
          <w:delText>Em doentes com hidradenite supurativa moderada a grave foram identificados anticorpos anti</w:delText>
        </w:r>
        <w:r>
          <w:rPr>
            <w:sz w:val="22"/>
            <w:szCs w:val="22"/>
          </w:rPr>
          <w:delText>-</w:delText>
        </w:r>
        <w:r w:rsidRPr="008912CF">
          <w:rPr>
            <w:sz w:val="22"/>
            <w:szCs w:val="22"/>
          </w:rPr>
          <w:delText>adalimumab em 10/99 dos doentes (10,1</w:delText>
        </w:r>
        <w:r>
          <w:rPr>
            <w:sz w:val="22"/>
            <w:szCs w:val="22"/>
          </w:rPr>
          <w:delText>%</w:delText>
        </w:r>
        <w:r w:rsidRPr="008912CF">
          <w:rPr>
            <w:sz w:val="22"/>
            <w:szCs w:val="22"/>
          </w:rPr>
          <w:delText>) tratados com adalimumab.</w:delText>
        </w:r>
      </w:del>
    </w:p>
    <w:p w14:paraId="487F4767" w14:textId="195260FE" w:rsidR="004462A0" w:rsidRPr="008912CF" w:rsidRDefault="004462A0" w:rsidP="00412FC8">
      <w:pPr>
        <w:rPr>
          <w:del w:id="10027" w:author="AbbVie2" w:date="2025-05-13T16:39:00Z"/>
          <w:sz w:val="22"/>
          <w:szCs w:val="22"/>
        </w:rPr>
      </w:pPr>
    </w:p>
    <w:p w14:paraId="55E31109" w14:textId="3359BBCB" w:rsidR="004462A0" w:rsidRPr="008912CF" w:rsidRDefault="00615769" w:rsidP="00412FC8">
      <w:pPr>
        <w:rPr>
          <w:del w:id="10028" w:author="AbbVie2" w:date="2025-05-13T16:39:00Z"/>
          <w:sz w:val="22"/>
          <w:szCs w:val="22"/>
        </w:rPr>
      </w:pPr>
      <w:del w:id="10029" w:author="AbbVie2" w:date="2025-05-13T16:39:00Z">
        <w:r w:rsidRPr="008912CF">
          <w:rPr>
            <w:sz w:val="22"/>
            <w:szCs w:val="22"/>
          </w:rPr>
          <w:delText>Em doentes com doença de Crohn pediátrica ativa moderada a grave, a taxa de desenvolvimento de anticorpos anti</w:delText>
        </w:r>
        <w:r w:rsidR="00840424">
          <w:rPr>
            <w:sz w:val="22"/>
            <w:szCs w:val="22"/>
          </w:rPr>
          <w:delText>-</w:delText>
        </w:r>
        <w:r w:rsidRPr="008912CF">
          <w:rPr>
            <w:sz w:val="22"/>
            <w:szCs w:val="22"/>
          </w:rPr>
          <w:delText>adalimumab em doentes tratados com adalimumab foi de 3,3</w:delText>
        </w:r>
        <w:r w:rsidR="009343EF">
          <w:rPr>
            <w:sz w:val="22"/>
            <w:szCs w:val="22"/>
          </w:rPr>
          <w:delText>%</w:delText>
        </w:r>
        <w:r w:rsidRPr="008912CF">
          <w:rPr>
            <w:sz w:val="22"/>
            <w:szCs w:val="22"/>
          </w:rPr>
          <w:delText>.</w:delText>
        </w:r>
      </w:del>
    </w:p>
    <w:p w14:paraId="03115F37" w14:textId="148623A8" w:rsidR="004462A0" w:rsidRPr="008912CF" w:rsidRDefault="004462A0" w:rsidP="00412FC8">
      <w:pPr>
        <w:rPr>
          <w:del w:id="10030" w:author="AbbVie2" w:date="2025-05-13T16:39:00Z"/>
          <w:sz w:val="22"/>
          <w:szCs w:val="22"/>
        </w:rPr>
      </w:pPr>
    </w:p>
    <w:p w14:paraId="4C7E6565" w14:textId="74D255A2" w:rsidR="004462A0" w:rsidRDefault="00615769" w:rsidP="00412FC8">
      <w:pPr>
        <w:rPr>
          <w:del w:id="10031" w:author="AbbVie2" w:date="2025-05-13T16:39:00Z"/>
          <w:sz w:val="22"/>
          <w:szCs w:val="22"/>
        </w:rPr>
      </w:pPr>
      <w:del w:id="10032" w:author="AbbVie2" w:date="2025-05-13T16:39:00Z">
        <w:r w:rsidRPr="003A12AC">
          <w:rPr>
            <w:sz w:val="22"/>
            <w:szCs w:val="22"/>
          </w:rPr>
          <w:delText xml:space="preserve">Em doentes </w:delText>
        </w:r>
        <w:r w:rsidR="00B52A81">
          <w:rPr>
            <w:sz w:val="22"/>
            <w:szCs w:val="22"/>
          </w:rPr>
          <w:delText xml:space="preserve">adultos </w:delText>
        </w:r>
        <w:r w:rsidRPr="003A12AC">
          <w:rPr>
            <w:sz w:val="22"/>
            <w:szCs w:val="22"/>
          </w:rPr>
          <w:delText xml:space="preserve">com uveíte não infecciosa foram identificados anticorpos anti-adalimumab em 4,8% (12/249) dos doentes tratados com adalimumab </w:delText>
        </w:r>
      </w:del>
    </w:p>
    <w:p w14:paraId="2804B82D" w14:textId="442C24E8" w:rsidR="004462A0" w:rsidRDefault="004462A0" w:rsidP="00412FC8">
      <w:pPr>
        <w:rPr>
          <w:del w:id="10033" w:author="AbbVie2" w:date="2025-05-13T16:39:00Z"/>
          <w:sz w:val="22"/>
          <w:szCs w:val="22"/>
        </w:rPr>
      </w:pPr>
    </w:p>
    <w:p w14:paraId="581A50B7" w14:textId="42F30E08" w:rsidR="00B925B3" w:rsidRDefault="00615769" w:rsidP="00412FC8">
      <w:pPr>
        <w:rPr>
          <w:del w:id="10034" w:author="AbbVie2" w:date="2025-05-13T16:39:00Z"/>
          <w:sz w:val="22"/>
          <w:szCs w:val="22"/>
        </w:rPr>
      </w:pPr>
      <w:del w:id="10035" w:author="AbbVie2" w:date="2025-05-13T16:39:00Z">
        <w:r w:rsidRPr="00B925B3">
          <w:rPr>
            <w:sz w:val="22"/>
            <w:szCs w:val="22"/>
          </w:rPr>
          <w:delText xml:space="preserve">Em doentes com colite ulcerosa </w:delText>
        </w:r>
        <w:r w:rsidR="004B66CF">
          <w:rPr>
            <w:sz w:val="22"/>
            <w:szCs w:val="22"/>
          </w:rPr>
          <w:delText xml:space="preserve">pediátrica </w:delText>
        </w:r>
        <w:r w:rsidRPr="00B925B3">
          <w:rPr>
            <w:sz w:val="22"/>
            <w:szCs w:val="22"/>
          </w:rPr>
          <w:delText>ativa moderada a grave, a taxa de des</w:delText>
        </w:r>
        <w:r>
          <w:rPr>
            <w:sz w:val="22"/>
            <w:szCs w:val="22"/>
          </w:rPr>
          <w:delText>envolvimento de anticorpos anti</w:delText>
        </w:r>
        <w:r>
          <w:rPr>
            <w:sz w:val="22"/>
            <w:szCs w:val="22"/>
          </w:rPr>
          <w:noBreakHyphen/>
        </w:r>
        <w:r w:rsidRPr="00B925B3">
          <w:rPr>
            <w:sz w:val="22"/>
            <w:szCs w:val="22"/>
          </w:rPr>
          <w:delText>adalimumab em doentes tratados com adalimumab foi de 3%.</w:delText>
        </w:r>
      </w:del>
    </w:p>
    <w:p w14:paraId="0497696E" w14:textId="016E29F1" w:rsidR="00B925B3" w:rsidRPr="008912CF" w:rsidRDefault="00B925B3" w:rsidP="00412FC8">
      <w:pPr>
        <w:rPr>
          <w:del w:id="10036" w:author="AbbVie2" w:date="2025-05-13T16:39:00Z"/>
          <w:sz w:val="22"/>
          <w:szCs w:val="22"/>
        </w:rPr>
      </w:pPr>
    </w:p>
    <w:p w14:paraId="3FB4587C" w14:textId="3C844069" w:rsidR="004462A0" w:rsidRPr="008912CF" w:rsidRDefault="00615769" w:rsidP="00412FC8">
      <w:pPr>
        <w:rPr>
          <w:del w:id="10037" w:author="AbbVie2" w:date="2025-05-13T16:39:00Z"/>
          <w:sz w:val="22"/>
          <w:szCs w:val="22"/>
        </w:rPr>
      </w:pPr>
      <w:del w:id="10038" w:author="AbbVie2" w:date="2025-05-13T16:39:00Z">
        <w:r w:rsidRPr="008912CF">
          <w:rPr>
            <w:sz w:val="22"/>
            <w:szCs w:val="22"/>
          </w:rPr>
          <w:delText>Uma vez que as análises de imunogenicidade são específicas do produto, não é apropriado comparar as taxas de anticorpos com as de outros produtos.</w:delText>
        </w:r>
      </w:del>
    </w:p>
    <w:p w14:paraId="04B35761" w14:textId="38A7D503" w:rsidR="004462A0" w:rsidRPr="008912CF" w:rsidRDefault="004462A0">
      <w:pPr>
        <w:rPr>
          <w:del w:id="10039" w:author="AbbVie2" w:date="2025-05-13T16:39:00Z"/>
          <w:rFonts w:eastAsia="SimSun"/>
          <w:sz w:val="22"/>
          <w:szCs w:val="22"/>
          <w:lang w:eastAsia="zh-CN"/>
        </w:rPr>
        <w:pPrChange w:id="10040" w:author="AbbVie2" w:date="2025-05-13T16:40:00Z">
          <w:pPr>
            <w:jc w:val="both"/>
            <w:outlineLvl w:val="0"/>
          </w:pPr>
        </w:pPrChange>
      </w:pPr>
    </w:p>
    <w:p w14:paraId="6F2BDEE8" w14:textId="34073B28" w:rsidR="004462A0" w:rsidRPr="008912CF" w:rsidRDefault="00615769">
      <w:pPr>
        <w:rPr>
          <w:del w:id="10041" w:author="AbbVie2" w:date="2025-05-13T16:39:00Z"/>
          <w:rFonts w:eastAsia="SimSun"/>
          <w:sz w:val="22"/>
          <w:szCs w:val="22"/>
          <w:u w:val="single"/>
          <w:lang w:eastAsia="zh-CN"/>
        </w:rPr>
        <w:pPrChange w:id="10042" w:author="AbbVie2" w:date="2025-05-13T16:40:00Z">
          <w:pPr>
            <w:keepNext/>
            <w:jc w:val="both"/>
            <w:outlineLvl w:val="0"/>
          </w:pPr>
        </w:pPrChange>
      </w:pPr>
      <w:del w:id="10043" w:author="AbbVie2" w:date="2025-05-13T16:39:00Z">
        <w:r w:rsidRPr="008912CF">
          <w:rPr>
            <w:rFonts w:eastAsia="SimSun"/>
            <w:sz w:val="22"/>
            <w:szCs w:val="22"/>
            <w:u w:val="single"/>
            <w:lang w:eastAsia="zh-CN"/>
          </w:rPr>
          <w:delText>População pediátrica</w:delText>
        </w:r>
      </w:del>
    </w:p>
    <w:p w14:paraId="01134CBE" w14:textId="147536E4" w:rsidR="00E3620C" w:rsidRPr="008912CF" w:rsidRDefault="00E3620C">
      <w:pPr>
        <w:rPr>
          <w:del w:id="10044" w:author="AbbVie2" w:date="2025-05-13T16:39:00Z"/>
          <w:szCs w:val="22"/>
        </w:rPr>
        <w:pPrChange w:id="10045" w:author="AbbVie2" w:date="2025-05-13T16:40:00Z">
          <w:pPr>
            <w:pStyle w:val="EMEAHeadingUnderline"/>
            <w:tabs>
              <w:tab w:val="clear" w:pos="562"/>
            </w:tabs>
            <w:suppressAutoHyphens w:val="0"/>
            <w:spacing w:before="0" w:after="0"/>
          </w:pPr>
        </w:pPrChange>
      </w:pPr>
    </w:p>
    <w:p w14:paraId="5C73BC36" w14:textId="51F8B984" w:rsidR="00E3620C" w:rsidRPr="008912CF" w:rsidRDefault="00615769">
      <w:pPr>
        <w:rPr>
          <w:del w:id="10046" w:author="AbbVie2" w:date="2025-05-13T16:39:00Z"/>
          <w:sz w:val="22"/>
          <w:szCs w:val="22"/>
          <w:u w:val="single"/>
        </w:rPr>
        <w:pPrChange w:id="10047" w:author="AbbVie2" w:date="2025-05-13T16:40:00Z">
          <w:pPr>
            <w:keepNext/>
          </w:pPr>
        </w:pPrChange>
      </w:pPr>
      <w:del w:id="10048" w:author="AbbVie2" w:date="2025-05-13T16:39:00Z">
        <w:r w:rsidRPr="008912CF">
          <w:rPr>
            <w:i/>
            <w:sz w:val="22"/>
            <w:szCs w:val="22"/>
          </w:rPr>
          <w:delText>Artrite idiopática juvenil (AIJ)</w:delText>
        </w:r>
      </w:del>
    </w:p>
    <w:p w14:paraId="5F083D62" w14:textId="4DF1EBEC" w:rsidR="00E3620C" w:rsidRPr="008912CF" w:rsidRDefault="00E3620C">
      <w:pPr>
        <w:rPr>
          <w:del w:id="10049" w:author="AbbVie2" w:date="2025-05-13T16:39:00Z"/>
          <w:sz w:val="22"/>
          <w:szCs w:val="22"/>
          <w:u w:val="single"/>
        </w:rPr>
        <w:pPrChange w:id="10050" w:author="AbbVie2" w:date="2025-05-13T16:40:00Z">
          <w:pPr>
            <w:keepNext/>
          </w:pPr>
        </w:pPrChange>
      </w:pPr>
    </w:p>
    <w:p w14:paraId="5A27AEC5" w14:textId="464FB66D" w:rsidR="00E3620C" w:rsidRPr="008912CF" w:rsidRDefault="00615769">
      <w:pPr>
        <w:rPr>
          <w:del w:id="10051" w:author="AbbVie2" w:date="2025-05-13T16:39:00Z"/>
          <w:sz w:val="22"/>
          <w:szCs w:val="22"/>
          <w:u w:val="single"/>
        </w:rPr>
        <w:pPrChange w:id="10052" w:author="AbbVie2" w:date="2025-05-13T16:40:00Z">
          <w:pPr>
            <w:keepNext/>
          </w:pPr>
        </w:pPrChange>
      </w:pPr>
      <w:del w:id="10053" w:author="AbbVie2" w:date="2025-05-13T16:39:00Z">
        <w:r w:rsidRPr="008912CF">
          <w:rPr>
            <w:i/>
            <w:sz w:val="22"/>
            <w:szCs w:val="22"/>
            <w:u w:val="single"/>
          </w:rPr>
          <w:delText>Artrite idiopática juvenil poliarticular (AIJp)</w:delText>
        </w:r>
      </w:del>
    </w:p>
    <w:p w14:paraId="3F68910F" w14:textId="7B165EBE" w:rsidR="00E3620C" w:rsidRPr="008912CF" w:rsidRDefault="00E3620C">
      <w:pPr>
        <w:rPr>
          <w:del w:id="10054" w:author="AbbVie2" w:date="2025-05-13T16:39:00Z"/>
          <w:szCs w:val="22"/>
        </w:rPr>
        <w:pPrChange w:id="10055" w:author="AbbVie2" w:date="2025-05-13T16:40:00Z">
          <w:pPr>
            <w:pStyle w:val="BodyText3"/>
            <w:keepNext/>
            <w:ind w:right="0"/>
          </w:pPr>
        </w:pPrChange>
      </w:pPr>
    </w:p>
    <w:p w14:paraId="2991CFF5" w14:textId="6175D33B" w:rsidR="00E3620C" w:rsidRPr="008912CF" w:rsidRDefault="00615769">
      <w:pPr>
        <w:rPr>
          <w:del w:id="10056" w:author="AbbVie2" w:date="2025-05-13T16:39:00Z"/>
        </w:rPr>
        <w:pPrChange w:id="10057" w:author="AbbVie2" w:date="2025-05-13T16:40:00Z">
          <w:pPr>
            <w:pStyle w:val="BodyText3"/>
            <w:keepNext/>
          </w:pPr>
        </w:pPrChange>
      </w:pPr>
      <w:del w:id="10058" w:author="AbbVie2" w:date="2025-05-13T16:39:00Z">
        <w:r w:rsidRPr="008912CF">
          <w:rPr>
            <w:szCs w:val="22"/>
          </w:rPr>
          <w:delText>A segurança e eficácia d</w:delText>
        </w:r>
        <w:r>
          <w:rPr>
            <w:szCs w:val="22"/>
          </w:rPr>
          <w:delText>e</w:delText>
        </w:r>
        <w:r w:rsidRPr="008912CF">
          <w:rPr>
            <w:szCs w:val="22"/>
          </w:rPr>
          <w:delText xml:space="preserve"> Humira foram avaliadas em dois estudos (AIJp I e II) em crianças com artrite idiopática juvenil poliarticular ativa ou curso poliarticular, que apresentavam vários tipos de início de AIJ (mais frequentemente poliartrite com fator reumatoide negativo ou positivo e oligoartrite e</w:delText>
        </w:r>
        <w:r>
          <w:rPr>
            <w:szCs w:val="22"/>
          </w:rPr>
          <w:delText>xtensa)</w:delText>
        </w:r>
        <w:r w:rsidRPr="008912CF">
          <w:rPr>
            <w:szCs w:val="22"/>
          </w:rPr>
          <w:delText>.</w:delText>
        </w:r>
      </w:del>
    </w:p>
    <w:p w14:paraId="59E3A5DF" w14:textId="003563BE" w:rsidR="00E3620C" w:rsidRPr="008912CF" w:rsidRDefault="00E3620C">
      <w:pPr>
        <w:rPr>
          <w:del w:id="10059" w:author="AbbVie2" w:date="2025-05-13T16:39:00Z"/>
          <w:u w:val="single"/>
        </w:rPr>
        <w:pPrChange w:id="10060" w:author="AbbVie2" w:date="2025-05-13T16:40:00Z">
          <w:pPr>
            <w:pStyle w:val="BodyText3"/>
          </w:pPr>
        </w:pPrChange>
      </w:pPr>
    </w:p>
    <w:p w14:paraId="0D5F3AE0" w14:textId="0431D31D" w:rsidR="00E3620C" w:rsidRPr="008912CF" w:rsidRDefault="00615769">
      <w:pPr>
        <w:rPr>
          <w:del w:id="10061" w:author="AbbVie2" w:date="2025-05-13T16:39:00Z"/>
        </w:rPr>
        <w:pPrChange w:id="10062" w:author="AbbVie2" w:date="2025-05-13T16:40:00Z">
          <w:pPr>
            <w:pStyle w:val="BodyText3"/>
          </w:pPr>
        </w:pPrChange>
      </w:pPr>
      <w:del w:id="10063" w:author="AbbVie2" w:date="2025-05-13T16:39:00Z">
        <w:r w:rsidRPr="008912CF">
          <w:delText>AIJp I</w:delText>
        </w:r>
      </w:del>
    </w:p>
    <w:p w14:paraId="19625534" w14:textId="067CA261" w:rsidR="00E3620C" w:rsidRPr="008912CF" w:rsidRDefault="00E3620C" w:rsidP="00412FC8">
      <w:pPr>
        <w:rPr>
          <w:del w:id="10064" w:author="AbbVie2" w:date="2025-05-13T16:39:00Z"/>
          <w:sz w:val="22"/>
          <w:szCs w:val="22"/>
          <w:u w:val="single"/>
        </w:rPr>
      </w:pPr>
    </w:p>
    <w:p w14:paraId="6C6B7DB6" w14:textId="0C3948F0" w:rsidR="00E3620C" w:rsidRPr="008912CF" w:rsidRDefault="00615769" w:rsidP="00412FC8">
      <w:pPr>
        <w:rPr>
          <w:del w:id="10065" w:author="AbbVie2" w:date="2025-05-13T16:39:00Z"/>
          <w:sz w:val="22"/>
          <w:szCs w:val="22"/>
        </w:rPr>
      </w:pPr>
      <w:del w:id="10066" w:author="AbbVie2" w:date="2025-05-13T16:39:00Z">
        <w:r w:rsidRPr="008912CF">
          <w:rPr>
            <w:sz w:val="22"/>
            <w:szCs w:val="22"/>
          </w:rPr>
          <w:delText xml:space="preserve">A segurança e eficácia de Humira foram avaliadas num estudo multicêntrico, aleatorizado, </w:delText>
        </w:r>
        <w:r>
          <w:rPr>
            <w:sz w:val="22"/>
            <w:szCs w:val="22"/>
          </w:rPr>
          <w:delText>em dupla ocultação</w:delText>
        </w:r>
        <w:r w:rsidRPr="008912CF">
          <w:rPr>
            <w:sz w:val="22"/>
            <w:szCs w:val="22"/>
          </w:rPr>
          <w:delText xml:space="preserve">, </w:delText>
        </w:r>
        <w:r>
          <w:rPr>
            <w:sz w:val="22"/>
            <w:szCs w:val="22"/>
          </w:rPr>
          <w:delText xml:space="preserve">de grupo </w:delText>
        </w:r>
        <w:r w:rsidRPr="008912CF">
          <w:rPr>
            <w:sz w:val="22"/>
            <w:szCs w:val="22"/>
          </w:rPr>
          <w:delText>paralelo, em 171 crianças (4</w:delText>
        </w:r>
        <w:r w:rsidRPr="008912CF">
          <w:rPr>
            <w:sz w:val="22"/>
            <w:szCs w:val="22"/>
          </w:rPr>
          <w:noBreakHyphen/>
          <w:delText>17 anos de idade) com AIJ poliarticular. Na fase aberta de introdução (OL LI) os doentes foram distribuídos por dois grupos, tratados com MTX (metotrexato) e não tratados com MTX. Os doentes que se encontravam no grupo dos não tratados com MTX eram doentes sem terapêutica</w:delText>
        </w:r>
        <w:r>
          <w:rPr>
            <w:sz w:val="22"/>
            <w:szCs w:val="22"/>
          </w:rPr>
          <w:delText xml:space="preserve"> prévia</w:delText>
        </w:r>
        <w:r w:rsidRPr="008912CF">
          <w:rPr>
            <w:sz w:val="22"/>
            <w:szCs w:val="22"/>
          </w:rPr>
          <w:delText xml:space="preserve"> com MTX ou que haviam abandonado MTX pelo menos duas semanas antes da administração do medicamento em estudo. Os doentes permaneceram com doses estáveis de AINEs e ou prednis</w:delText>
        </w:r>
        <w:r w:rsidRPr="008912CF">
          <w:rPr>
            <w:sz w:val="22"/>
            <w:szCs w:val="22"/>
          </w:rPr>
          <w:delText>ona (</w:delText>
        </w:r>
        <w:r w:rsidRPr="008912CF">
          <w:rPr>
            <w:rFonts w:ascii="Symbol" w:hAnsi="Symbol"/>
            <w:sz w:val="22"/>
            <w:szCs w:val="22"/>
          </w:rPr>
          <w:sym w:font="Symbol" w:char="F0A3"/>
        </w:r>
        <w:r w:rsidRPr="008912CF">
          <w:rPr>
            <w:sz w:val="22"/>
            <w:szCs w:val="22"/>
          </w:rPr>
          <w:delText> 0,2 mg/kg/dia ou 10 mg/dia no máximo). Na fase OL LI todos os doentes receberam 24 mg/m</w:delText>
        </w:r>
        <w:r w:rsidRPr="008912CF">
          <w:rPr>
            <w:sz w:val="22"/>
            <w:szCs w:val="22"/>
            <w:vertAlign w:val="superscript"/>
          </w:rPr>
          <w:delText>2</w:delText>
        </w:r>
        <w:r w:rsidRPr="008912CF">
          <w:rPr>
            <w:sz w:val="22"/>
            <w:szCs w:val="22"/>
          </w:rPr>
          <w:delText xml:space="preserve"> até um máximo de 40</w:delText>
        </w:r>
        <w:r>
          <w:rPr>
            <w:sz w:val="22"/>
            <w:szCs w:val="22"/>
          </w:rPr>
          <w:delText> </w:delText>
        </w:r>
        <w:r w:rsidRPr="008912CF">
          <w:rPr>
            <w:sz w:val="22"/>
            <w:szCs w:val="22"/>
          </w:rPr>
          <w:delText>mg de Humira, em semanas alternadas, durante 16 semanas. A distribuição dos doentes por idade e a</w:delText>
        </w:r>
        <w:r>
          <w:rPr>
            <w:sz w:val="22"/>
            <w:szCs w:val="22"/>
          </w:rPr>
          <w:delText>s</w:delText>
        </w:r>
        <w:r w:rsidRPr="008912CF">
          <w:rPr>
            <w:sz w:val="22"/>
            <w:szCs w:val="22"/>
          </w:rPr>
          <w:delText xml:space="preserve"> dose</w:delText>
        </w:r>
        <w:r>
          <w:rPr>
            <w:sz w:val="22"/>
            <w:szCs w:val="22"/>
          </w:rPr>
          <w:delText>s</w:delText>
        </w:r>
        <w:r w:rsidRPr="008912CF">
          <w:rPr>
            <w:sz w:val="22"/>
            <w:szCs w:val="22"/>
          </w:rPr>
          <w:delText xml:space="preserve"> mínima, média e máxima recebida</w:delText>
        </w:r>
        <w:r>
          <w:rPr>
            <w:sz w:val="22"/>
            <w:szCs w:val="22"/>
          </w:rPr>
          <w:delText>s</w:delText>
        </w:r>
        <w:r w:rsidRPr="008912CF">
          <w:rPr>
            <w:sz w:val="22"/>
            <w:szCs w:val="22"/>
          </w:rPr>
          <w:delText xml:space="preserve"> durante a fase OL LI são apresentadas na Tabela </w:delText>
        </w:r>
        <w:r w:rsidR="00B925B3">
          <w:rPr>
            <w:sz w:val="22"/>
            <w:szCs w:val="22"/>
          </w:rPr>
          <w:delText>25</w:delText>
        </w:r>
        <w:r w:rsidRPr="008912CF">
          <w:rPr>
            <w:sz w:val="22"/>
            <w:szCs w:val="22"/>
          </w:rPr>
          <w:delText>.</w:delText>
        </w:r>
      </w:del>
    </w:p>
    <w:p w14:paraId="72C29671" w14:textId="0CAFDC7B" w:rsidR="00E3620C" w:rsidRPr="008912CF" w:rsidRDefault="00E3620C">
      <w:pPr>
        <w:rPr>
          <w:del w:id="10067" w:author="AbbVie2" w:date="2025-05-13T16:39:00Z"/>
          <w:b/>
          <w:bCs/>
          <w:sz w:val="22"/>
          <w:szCs w:val="22"/>
        </w:rPr>
        <w:pPrChange w:id="10068" w:author="AbbVie2" w:date="2025-05-13T16:40:00Z">
          <w:pPr>
            <w:jc w:val="center"/>
          </w:pPr>
        </w:pPrChange>
      </w:pPr>
    </w:p>
    <w:p w14:paraId="2E125979" w14:textId="3C5C337C" w:rsidR="00E3620C" w:rsidRPr="008912CF" w:rsidRDefault="00615769">
      <w:pPr>
        <w:rPr>
          <w:del w:id="10069" w:author="AbbVie2" w:date="2025-05-13T16:39:00Z"/>
          <w:b/>
          <w:bCs/>
          <w:sz w:val="22"/>
          <w:szCs w:val="22"/>
        </w:rPr>
        <w:pPrChange w:id="10070" w:author="AbbVie2" w:date="2025-05-13T16:40:00Z">
          <w:pPr>
            <w:keepNext/>
            <w:keepLines/>
            <w:jc w:val="center"/>
          </w:pPr>
        </w:pPrChange>
      </w:pPr>
      <w:del w:id="10071" w:author="AbbVie2" w:date="2025-05-13T16:39:00Z">
        <w:r w:rsidRPr="008912CF">
          <w:rPr>
            <w:b/>
            <w:bCs/>
            <w:sz w:val="22"/>
            <w:szCs w:val="22"/>
          </w:rPr>
          <w:delText xml:space="preserve">Tabela </w:delText>
        </w:r>
        <w:r w:rsidR="00B925B3">
          <w:rPr>
            <w:b/>
            <w:bCs/>
            <w:sz w:val="22"/>
            <w:szCs w:val="22"/>
          </w:rPr>
          <w:delText>25</w:delText>
        </w:r>
      </w:del>
    </w:p>
    <w:p w14:paraId="10FF4A81" w14:textId="20B71122" w:rsidR="00E3620C" w:rsidRPr="008912CF" w:rsidRDefault="00615769">
      <w:pPr>
        <w:rPr>
          <w:del w:id="10072" w:author="AbbVie2" w:date="2025-05-13T16:39:00Z"/>
          <w:sz w:val="22"/>
          <w:szCs w:val="22"/>
          <w:u w:val="single"/>
        </w:rPr>
        <w:pPrChange w:id="10073" w:author="AbbVie2" w:date="2025-05-13T16:40:00Z">
          <w:pPr>
            <w:keepNext/>
            <w:keepLines/>
            <w:jc w:val="center"/>
          </w:pPr>
        </w:pPrChange>
      </w:pPr>
      <w:del w:id="10074" w:author="AbbVie2" w:date="2025-05-13T16:39:00Z">
        <w:r w:rsidRPr="008912CF">
          <w:rPr>
            <w:b/>
            <w:bCs/>
            <w:sz w:val="22"/>
            <w:szCs w:val="22"/>
          </w:rPr>
          <w:delText>Distribuição dos doentes por idade e dose de adalimumab recebida durante a fase OL LI</w:delText>
        </w:r>
      </w:del>
    </w:p>
    <w:p w14:paraId="2CD9FEA5" w14:textId="2A190F15" w:rsidR="00E3620C" w:rsidRPr="008912CF" w:rsidRDefault="00E3620C">
      <w:pPr>
        <w:rPr>
          <w:del w:id="10075" w:author="AbbVie2" w:date="2025-05-13T16:39:00Z"/>
          <w:sz w:val="22"/>
          <w:szCs w:val="22"/>
          <w:u w:val="single"/>
        </w:rPr>
        <w:pPrChange w:id="10076" w:author="AbbVie2" w:date="2025-05-13T16:40:00Z">
          <w:pPr>
            <w:keepNext/>
            <w:keepLines/>
            <w:jc w:val="center"/>
          </w:pPr>
        </w:pPrChange>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0"/>
        <w:gridCol w:w="3433"/>
        <w:gridCol w:w="3158"/>
      </w:tblGrid>
      <w:tr w:rsidR="00A7162A" w14:paraId="0E299DBA" w14:textId="75F5A0F5" w:rsidTr="00D22E86">
        <w:trPr>
          <w:cantSplit/>
          <w:del w:id="10077" w:author="AbbVie2" w:date="2025-05-13T16:39:00Z"/>
        </w:trPr>
        <w:tc>
          <w:tcPr>
            <w:tcW w:w="2418" w:type="dxa"/>
          </w:tcPr>
          <w:p w14:paraId="420ADA3B" w14:textId="0D0148DB" w:rsidR="00E3620C" w:rsidRPr="008912CF" w:rsidRDefault="00615769">
            <w:pPr>
              <w:rPr>
                <w:del w:id="10078" w:author="AbbVie2" w:date="2025-05-13T16:39:00Z"/>
                <w:bCs/>
                <w:szCs w:val="22"/>
              </w:rPr>
              <w:pPrChange w:id="10079" w:author="AbbVie2" w:date="2025-05-13T16:40:00Z">
                <w:pPr>
                  <w:pStyle w:val="BodyTextIndent"/>
                  <w:keepNext/>
                  <w:keepLines/>
                  <w:ind w:left="0" w:right="53" w:firstLine="0"/>
                </w:pPr>
              </w:pPrChange>
            </w:pPr>
            <w:del w:id="10080" w:author="AbbVie2" w:date="2025-05-13T16:39:00Z">
              <w:r w:rsidRPr="008912CF">
                <w:rPr>
                  <w:bCs/>
                  <w:szCs w:val="22"/>
                </w:rPr>
                <w:delText>Grupo etário</w:delText>
              </w:r>
            </w:del>
          </w:p>
        </w:tc>
        <w:tc>
          <w:tcPr>
            <w:tcW w:w="3520" w:type="dxa"/>
          </w:tcPr>
          <w:p w14:paraId="3562DE8E" w14:textId="1FEE9C5F" w:rsidR="00E3620C" w:rsidRPr="008912CF" w:rsidRDefault="00615769">
            <w:pPr>
              <w:rPr>
                <w:del w:id="10081" w:author="AbbVie2" w:date="2025-05-13T16:39:00Z"/>
                <w:bCs/>
                <w:szCs w:val="22"/>
              </w:rPr>
              <w:pPrChange w:id="10082" w:author="AbbVie2" w:date="2025-05-13T16:40:00Z">
                <w:pPr>
                  <w:pStyle w:val="BodyTextIndent"/>
                  <w:keepNext/>
                  <w:keepLines/>
                  <w:ind w:left="0" w:right="53" w:firstLine="0"/>
                </w:pPr>
              </w:pPrChange>
            </w:pPr>
            <w:del w:id="10083" w:author="AbbVie2" w:date="2025-05-13T16:39:00Z">
              <w:r w:rsidRPr="008912CF">
                <w:rPr>
                  <w:bCs/>
                  <w:szCs w:val="22"/>
                </w:rPr>
                <w:delText>Número de doentes na avaliação basal n (%)</w:delText>
              </w:r>
            </w:del>
          </w:p>
        </w:tc>
        <w:tc>
          <w:tcPr>
            <w:tcW w:w="3239" w:type="dxa"/>
          </w:tcPr>
          <w:p w14:paraId="2D00AE40" w14:textId="13A682D3" w:rsidR="00E3620C" w:rsidRPr="008912CF" w:rsidRDefault="00615769">
            <w:pPr>
              <w:rPr>
                <w:del w:id="10084" w:author="AbbVie2" w:date="2025-05-13T16:39:00Z"/>
                <w:bCs/>
                <w:szCs w:val="22"/>
              </w:rPr>
              <w:pPrChange w:id="10085" w:author="AbbVie2" w:date="2025-05-13T16:40:00Z">
                <w:pPr>
                  <w:pStyle w:val="BodyTextIndent"/>
                  <w:keepNext/>
                  <w:keepLines/>
                  <w:ind w:left="0" w:right="53" w:firstLine="0"/>
                </w:pPr>
              </w:pPrChange>
            </w:pPr>
            <w:del w:id="10086" w:author="AbbVie2" w:date="2025-05-13T16:39:00Z">
              <w:r w:rsidRPr="008912CF">
                <w:rPr>
                  <w:bCs/>
                  <w:szCs w:val="22"/>
                </w:rPr>
                <w:delText>Dose mínima, média e máxima</w:delText>
              </w:r>
            </w:del>
          </w:p>
        </w:tc>
      </w:tr>
      <w:tr w:rsidR="00A7162A" w14:paraId="4C66D06D" w14:textId="30797B1B" w:rsidTr="00D22E86">
        <w:trPr>
          <w:cantSplit/>
          <w:del w:id="10087" w:author="AbbVie2" w:date="2025-05-13T16:39:00Z"/>
        </w:trPr>
        <w:tc>
          <w:tcPr>
            <w:tcW w:w="2418" w:type="dxa"/>
          </w:tcPr>
          <w:p w14:paraId="6D949F31" w14:textId="2E29ED64" w:rsidR="00E3620C" w:rsidRPr="008912CF" w:rsidRDefault="00615769">
            <w:pPr>
              <w:rPr>
                <w:del w:id="10088" w:author="AbbVie2" w:date="2025-05-13T16:39:00Z"/>
                <w:bCs/>
                <w:szCs w:val="22"/>
              </w:rPr>
              <w:pPrChange w:id="10089" w:author="AbbVie2" w:date="2025-05-13T16:40:00Z">
                <w:pPr>
                  <w:pStyle w:val="BodyTextIndent"/>
                  <w:keepNext/>
                  <w:keepLines/>
                  <w:ind w:left="0" w:right="53" w:firstLine="0"/>
                </w:pPr>
              </w:pPrChange>
            </w:pPr>
            <w:del w:id="10090" w:author="AbbVie2" w:date="2025-05-13T16:39:00Z">
              <w:r w:rsidRPr="008912CF">
                <w:rPr>
                  <w:bCs/>
                  <w:szCs w:val="22"/>
                </w:rPr>
                <w:delText>4 a 7 anos</w:delText>
              </w:r>
            </w:del>
          </w:p>
        </w:tc>
        <w:tc>
          <w:tcPr>
            <w:tcW w:w="3520" w:type="dxa"/>
          </w:tcPr>
          <w:p w14:paraId="79AC0499" w14:textId="1879BD18" w:rsidR="00E3620C" w:rsidRPr="008912CF" w:rsidRDefault="00615769">
            <w:pPr>
              <w:rPr>
                <w:del w:id="10091" w:author="AbbVie2" w:date="2025-05-13T16:39:00Z"/>
                <w:bCs/>
                <w:szCs w:val="22"/>
              </w:rPr>
              <w:pPrChange w:id="10092" w:author="AbbVie2" w:date="2025-05-13T16:40:00Z">
                <w:pPr>
                  <w:pStyle w:val="BodyTextIndent"/>
                  <w:keepNext/>
                  <w:keepLines/>
                  <w:ind w:left="0" w:right="53" w:firstLine="0"/>
                </w:pPr>
              </w:pPrChange>
            </w:pPr>
            <w:del w:id="10093" w:author="AbbVie2" w:date="2025-05-13T16:39:00Z">
              <w:r w:rsidRPr="008912CF">
                <w:rPr>
                  <w:bCs/>
                  <w:szCs w:val="22"/>
                </w:rPr>
                <w:delText>31 (18,1)</w:delText>
              </w:r>
            </w:del>
          </w:p>
        </w:tc>
        <w:tc>
          <w:tcPr>
            <w:tcW w:w="3239" w:type="dxa"/>
          </w:tcPr>
          <w:p w14:paraId="57394DB4" w14:textId="77A2829B" w:rsidR="00E3620C" w:rsidRPr="008912CF" w:rsidRDefault="00615769">
            <w:pPr>
              <w:rPr>
                <w:del w:id="10094" w:author="AbbVie2" w:date="2025-05-13T16:39:00Z"/>
                <w:bCs/>
                <w:szCs w:val="22"/>
              </w:rPr>
              <w:pPrChange w:id="10095" w:author="AbbVie2" w:date="2025-05-13T16:40:00Z">
                <w:pPr>
                  <w:pStyle w:val="BodyTextIndent"/>
                  <w:keepNext/>
                  <w:keepLines/>
                  <w:ind w:left="0" w:right="53" w:firstLine="0"/>
                </w:pPr>
              </w:pPrChange>
            </w:pPr>
            <w:del w:id="10096" w:author="AbbVie2" w:date="2025-05-13T16:39:00Z">
              <w:r w:rsidRPr="008912CF">
                <w:rPr>
                  <w:bCs/>
                  <w:szCs w:val="22"/>
                </w:rPr>
                <w:delText>10, 20 e 25 mg</w:delText>
              </w:r>
            </w:del>
          </w:p>
        </w:tc>
      </w:tr>
      <w:tr w:rsidR="00A7162A" w14:paraId="7C7BE487" w14:textId="571FAABE" w:rsidTr="00D22E86">
        <w:trPr>
          <w:cantSplit/>
          <w:del w:id="10097" w:author="AbbVie2" w:date="2025-05-13T16:39:00Z"/>
        </w:trPr>
        <w:tc>
          <w:tcPr>
            <w:tcW w:w="2418" w:type="dxa"/>
          </w:tcPr>
          <w:p w14:paraId="1F56BDDE" w14:textId="752A04FA" w:rsidR="00E3620C" w:rsidRPr="008912CF" w:rsidRDefault="00615769">
            <w:pPr>
              <w:rPr>
                <w:del w:id="10098" w:author="AbbVie2" w:date="2025-05-13T16:39:00Z"/>
                <w:bCs/>
                <w:szCs w:val="22"/>
              </w:rPr>
              <w:pPrChange w:id="10099" w:author="AbbVie2" w:date="2025-05-13T16:40:00Z">
                <w:pPr>
                  <w:pStyle w:val="BodyTextIndent"/>
                  <w:keepNext/>
                  <w:keepLines/>
                  <w:ind w:left="0" w:right="53" w:firstLine="0"/>
                </w:pPr>
              </w:pPrChange>
            </w:pPr>
            <w:del w:id="10100" w:author="AbbVie2" w:date="2025-05-13T16:39:00Z">
              <w:r w:rsidRPr="008912CF">
                <w:rPr>
                  <w:bCs/>
                  <w:szCs w:val="22"/>
                </w:rPr>
                <w:delText>8 a 12 anos</w:delText>
              </w:r>
            </w:del>
          </w:p>
        </w:tc>
        <w:tc>
          <w:tcPr>
            <w:tcW w:w="3520" w:type="dxa"/>
          </w:tcPr>
          <w:p w14:paraId="5DBEA013" w14:textId="75D37B65" w:rsidR="00E3620C" w:rsidRPr="008912CF" w:rsidRDefault="00615769">
            <w:pPr>
              <w:rPr>
                <w:del w:id="10101" w:author="AbbVie2" w:date="2025-05-13T16:39:00Z"/>
                <w:bCs/>
                <w:szCs w:val="22"/>
              </w:rPr>
              <w:pPrChange w:id="10102" w:author="AbbVie2" w:date="2025-05-13T16:40:00Z">
                <w:pPr>
                  <w:pStyle w:val="BodyTextIndent"/>
                  <w:keepNext/>
                  <w:keepLines/>
                  <w:ind w:left="0" w:right="53" w:firstLine="0"/>
                </w:pPr>
              </w:pPrChange>
            </w:pPr>
            <w:del w:id="10103" w:author="AbbVie2" w:date="2025-05-13T16:39:00Z">
              <w:r w:rsidRPr="008912CF">
                <w:rPr>
                  <w:bCs/>
                  <w:szCs w:val="22"/>
                </w:rPr>
                <w:delText>71 (41,5)</w:delText>
              </w:r>
            </w:del>
          </w:p>
        </w:tc>
        <w:tc>
          <w:tcPr>
            <w:tcW w:w="3239" w:type="dxa"/>
          </w:tcPr>
          <w:p w14:paraId="750FDC1B" w14:textId="0837936E" w:rsidR="00E3620C" w:rsidRPr="008912CF" w:rsidRDefault="00615769">
            <w:pPr>
              <w:rPr>
                <w:del w:id="10104" w:author="AbbVie2" w:date="2025-05-13T16:39:00Z"/>
                <w:bCs/>
                <w:szCs w:val="22"/>
              </w:rPr>
              <w:pPrChange w:id="10105" w:author="AbbVie2" w:date="2025-05-13T16:40:00Z">
                <w:pPr>
                  <w:pStyle w:val="BodyTextIndent"/>
                  <w:keepNext/>
                  <w:keepLines/>
                  <w:ind w:left="0" w:right="53" w:firstLine="0"/>
                </w:pPr>
              </w:pPrChange>
            </w:pPr>
            <w:del w:id="10106" w:author="AbbVie2" w:date="2025-05-13T16:39:00Z">
              <w:r w:rsidRPr="008912CF">
                <w:rPr>
                  <w:bCs/>
                  <w:szCs w:val="22"/>
                </w:rPr>
                <w:delText>20, 25 e 40 mg</w:delText>
              </w:r>
            </w:del>
          </w:p>
        </w:tc>
      </w:tr>
      <w:tr w:rsidR="00A7162A" w14:paraId="226AFC4E" w14:textId="3919020A" w:rsidTr="00D22E86">
        <w:trPr>
          <w:cantSplit/>
          <w:del w:id="10107" w:author="AbbVie2" w:date="2025-05-13T16:39:00Z"/>
        </w:trPr>
        <w:tc>
          <w:tcPr>
            <w:tcW w:w="2418" w:type="dxa"/>
          </w:tcPr>
          <w:p w14:paraId="37FAFE76" w14:textId="39CC732F" w:rsidR="00E3620C" w:rsidRPr="008912CF" w:rsidRDefault="00615769">
            <w:pPr>
              <w:rPr>
                <w:del w:id="10108" w:author="AbbVie2" w:date="2025-05-13T16:39:00Z"/>
                <w:bCs/>
                <w:szCs w:val="22"/>
              </w:rPr>
              <w:pPrChange w:id="10109" w:author="AbbVie2" w:date="2025-05-13T16:40:00Z">
                <w:pPr>
                  <w:pStyle w:val="BodyTextIndent"/>
                  <w:keepNext/>
                  <w:keepLines/>
                  <w:ind w:left="0" w:right="53" w:firstLine="0"/>
                </w:pPr>
              </w:pPrChange>
            </w:pPr>
            <w:del w:id="10110" w:author="AbbVie2" w:date="2025-05-13T16:39:00Z">
              <w:r w:rsidRPr="008912CF">
                <w:rPr>
                  <w:bCs/>
                  <w:szCs w:val="22"/>
                </w:rPr>
                <w:delText>13 a 17 anos</w:delText>
              </w:r>
            </w:del>
          </w:p>
        </w:tc>
        <w:tc>
          <w:tcPr>
            <w:tcW w:w="3520" w:type="dxa"/>
          </w:tcPr>
          <w:p w14:paraId="3300D29B" w14:textId="00E92D23" w:rsidR="00E3620C" w:rsidRPr="008912CF" w:rsidRDefault="00615769">
            <w:pPr>
              <w:rPr>
                <w:del w:id="10111" w:author="AbbVie2" w:date="2025-05-13T16:39:00Z"/>
                <w:bCs/>
                <w:szCs w:val="22"/>
              </w:rPr>
              <w:pPrChange w:id="10112" w:author="AbbVie2" w:date="2025-05-13T16:40:00Z">
                <w:pPr>
                  <w:pStyle w:val="BodyTextIndent"/>
                  <w:keepNext/>
                  <w:keepLines/>
                  <w:ind w:left="0" w:right="53" w:firstLine="0"/>
                </w:pPr>
              </w:pPrChange>
            </w:pPr>
            <w:del w:id="10113" w:author="AbbVie2" w:date="2025-05-13T16:39:00Z">
              <w:r w:rsidRPr="008912CF">
                <w:rPr>
                  <w:bCs/>
                  <w:szCs w:val="22"/>
                </w:rPr>
                <w:delText>69 (40,4)</w:delText>
              </w:r>
            </w:del>
          </w:p>
        </w:tc>
        <w:tc>
          <w:tcPr>
            <w:tcW w:w="3239" w:type="dxa"/>
          </w:tcPr>
          <w:p w14:paraId="419C40B3" w14:textId="0B50E2C9" w:rsidR="00E3620C" w:rsidRPr="008912CF" w:rsidRDefault="00615769">
            <w:pPr>
              <w:rPr>
                <w:del w:id="10114" w:author="AbbVie2" w:date="2025-05-13T16:39:00Z"/>
                <w:bCs/>
                <w:szCs w:val="22"/>
              </w:rPr>
              <w:pPrChange w:id="10115" w:author="AbbVie2" w:date="2025-05-13T16:40:00Z">
                <w:pPr>
                  <w:pStyle w:val="BodyTextIndent"/>
                  <w:keepNext/>
                  <w:keepLines/>
                  <w:ind w:left="0" w:right="53" w:firstLine="0"/>
                </w:pPr>
              </w:pPrChange>
            </w:pPr>
            <w:del w:id="10116" w:author="AbbVie2" w:date="2025-05-13T16:39:00Z">
              <w:r w:rsidRPr="008912CF">
                <w:rPr>
                  <w:bCs/>
                  <w:szCs w:val="22"/>
                </w:rPr>
                <w:delText>25, 40 e 40 mg</w:delText>
              </w:r>
            </w:del>
          </w:p>
        </w:tc>
      </w:tr>
    </w:tbl>
    <w:p w14:paraId="7D5DF7AD" w14:textId="0F7000A1" w:rsidR="00E3620C" w:rsidRPr="008912CF" w:rsidRDefault="00E3620C" w:rsidP="00412FC8">
      <w:pPr>
        <w:rPr>
          <w:del w:id="10117" w:author="AbbVie2" w:date="2025-05-13T16:39:00Z"/>
          <w:sz w:val="22"/>
          <w:szCs w:val="22"/>
          <w:u w:val="single"/>
        </w:rPr>
      </w:pPr>
    </w:p>
    <w:p w14:paraId="18F3A2A8" w14:textId="09498A1A" w:rsidR="00E3620C" w:rsidRPr="008912CF" w:rsidRDefault="00615769" w:rsidP="00412FC8">
      <w:pPr>
        <w:rPr>
          <w:del w:id="10118" w:author="AbbVie2" w:date="2025-05-13T16:39:00Z"/>
          <w:sz w:val="22"/>
          <w:szCs w:val="22"/>
        </w:rPr>
      </w:pPr>
      <w:del w:id="10119" w:author="AbbVie2" w:date="2025-05-13T16:39:00Z">
        <w:r w:rsidRPr="008912CF">
          <w:rPr>
            <w:sz w:val="22"/>
            <w:szCs w:val="22"/>
          </w:rPr>
          <w:delText xml:space="preserve">Os doentes com uma resposta ACR </w:delText>
        </w:r>
        <w:r>
          <w:rPr>
            <w:sz w:val="22"/>
            <w:szCs w:val="22"/>
          </w:rPr>
          <w:delText xml:space="preserve">Pediátrico </w:delText>
        </w:r>
        <w:r w:rsidRPr="008912CF">
          <w:rPr>
            <w:sz w:val="22"/>
            <w:szCs w:val="22"/>
          </w:rPr>
          <w:delText xml:space="preserve">30 à Semana 16 foram elegíveis para aleatorização na fase </w:delText>
        </w:r>
        <w:r>
          <w:rPr>
            <w:sz w:val="22"/>
            <w:szCs w:val="22"/>
          </w:rPr>
          <w:delText>em dupla ocultação</w:delText>
        </w:r>
        <w:r w:rsidRPr="008912CF">
          <w:rPr>
            <w:sz w:val="22"/>
            <w:szCs w:val="22"/>
          </w:rPr>
          <w:delText xml:space="preserve"> (DB) e receberam 24 mg/m</w:delText>
        </w:r>
        <w:r w:rsidRPr="008912CF">
          <w:rPr>
            <w:sz w:val="22"/>
            <w:szCs w:val="22"/>
            <w:vertAlign w:val="superscript"/>
          </w:rPr>
          <w:delText>2</w:delText>
        </w:r>
        <w:r w:rsidRPr="008912CF">
          <w:rPr>
            <w:sz w:val="22"/>
            <w:szCs w:val="22"/>
          </w:rPr>
          <w:delText xml:space="preserve"> de Humira até um máximo de 40</w:delText>
        </w:r>
        <w:r>
          <w:rPr>
            <w:sz w:val="22"/>
            <w:szCs w:val="22"/>
          </w:rPr>
          <w:delText> </w:delText>
        </w:r>
        <w:r w:rsidRPr="008912CF">
          <w:rPr>
            <w:sz w:val="22"/>
            <w:szCs w:val="22"/>
          </w:rPr>
          <w:delText xml:space="preserve">mg, ou placebo, em semanas alternadas, por mais 32 semanas ou até agravamento da doença. Os critérios de agravamento da doença foram definidos como um agravamento </w:delText>
        </w:r>
        <w:r w:rsidRPr="008912CF">
          <w:rPr>
            <w:rFonts w:ascii="Symbol" w:hAnsi="Symbol"/>
            <w:sz w:val="22"/>
            <w:szCs w:val="22"/>
          </w:rPr>
          <w:sym w:font="Symbol" w:char="F0B3"/>
        </w:r>
        <w:r w:rsidRPr="008912CF">
          <w:rPr>
            <w:sz w:val="22"/>
            <w:szCs w:val="22"/>
          </w:rPr>
          <w:delText> 30</w:delText>
        </w:r>
        <w:r>
          <w:rPr>
            <w:sz w:val="22"/>
            <w:szCs w:val="22"/>
          </w:rPr>
          <w:delText>%</w:delText>
        </w:r>
        <w:r w:rsidRPr="008912CF">
          <w:rPr>
            <w:sz w:val="22"/>
            <w:szCs w:val="22"/>
          </w:rPr>
          <w:delText xml:space="preserve"> na avaliação basal em </w:delText>
        </w:r>
        <w:r w:rsidRPr="008912CF">
          <w:rPr>
            <w:rFonts w:ascii="Symbol" w:hAnsi="Symbol"/>
            <w:sz w:val="22"/>
            <w:szCs w:val="22"/>
          </w:rPr>
          <w:sym w:font="Symbol" w:char="F0B3"/>
        </w:r>
        <w:r w:rsidRPr="008912CF">
          <w:rPr>
            <w:sz w:val="22"/>
            <w:szCs w:val="22"/>
          </w:rPr>
          <w:delText> 3 d</w:delText>
        </w:r>
        <w:r>
          <w:rPr>
            <w:sz w:val="22"/>
            <w:szCs w:val="22"/>
          </w:rPr>
          <w:delText>os</w:delText>
        </w:r>
        <w:r w:rsidRPr="008912CF">
          <w:rPr>
            <w:sz w:val="22"/>
            <w:szCs w:val="22"/>
          </w:rPr>
          <w:delText xml:space="preserve"> 6 critérios principais do ACR Pediátrico, </w:delText>
        </w:r>
        <w:r w:rsidRPr="008912CF">
          <w:rPr>
            <w:rFonts w:ascii="Symbol" w:hAnsi="Symbol"/>
            <w:sz w:val="22"/>
            <w:szCs w:val="22"/>
          </w:rPr>
          <w:sym w:font="Symbol" w:char="F0B3"/>
        </w:r>
        <w:r w:rsidRPr="008912CF">
          <w:rPr>
            <w:sz w:val="22"/>
            <w:szCs w:val="22"/>
          </w:rPr>
          <w:delText xml:space="preserve"> 2 articulações ativas e melhoria </w:delText>
        </w:r>
        <w:r w:rsidRPr="008912CF">
          <w:rPr>
            <w:rFonts w:ascii="Symbol" w:hAnsi="Symbol"/>
            <w:sz w:val="22"/>
            <w:szCs w:val="22"/>
          </w:rPr>
          <w:sym w:font="Symbol" w:char="F03E"/>
        </w:r>
        <w:r w:rsidRPr="008912CF">
          <w:rPr>
            <w:sz w:val="22"/>
            <w:szCs w:val="22"/>
          </w:rPr>
          <w:delText> 30</w:delText>
        </w:r>
        <w:r>
          <w:rPr>
            <w:sz w:val="22"/>
            <w:szCs w:val="22"/>
          </w:rPr>
          <w:delText>%</w:delText>
        </w:r>
        <w:r w:rsidRPr="008912CF">
          <w:rPr>
            <w:sz w:val="22"/>
            <w:szCs w:val="22"/>
          </w:rPr>
          <w:delText xml:space="preserve"> em não mais de 1 </w:delText>
        </w:r>
        <w:r>
          <w:rPr>
            <w:sz w:val="22"/>
            <w:szCs w:val="22"/>
          </w:rPr>
          <w:delText>dos</w:delText>
        </w:r>
        <w:r w:rsidRPr="008912CF">
          <w:rPr>
            <w:sz w:val="22"/>
            <w:szCs w:val="22"/>
          </w:rPr>
          <w:delText xml:space="preserve"> 6 critérios. Após 32 semanas ou em caso de agravamento da doença, os doentes eram elegíveis para participação na extensão d</w:delText>
        </w:r>
        <w:r>
          <w:rPr>
            <w:sz w:val="22"/>
            <w:szCs w:val="22"/>
          </w:rPr>
          <w:delText>e</w:delText>
        </w:r>
        <w:r w:rsidRPr="008912CF">
          <w:rPr>
            <w:sz w:val="22"/>
            <w:szCs w:val="22"/>
          </w:rPr>
          <w:delText xml:space="preserve"> fase aberta.</w:delText>
        </w:r>
      </w:del>
    </w:p>
    <w:p w14:paraId="55B3D5C8" w14:textId="6543B23A" w:rsidR="00E3620C" w:rsidRPr="008912CF" w:rsidRDefault="00E3620C">
      <w:pPr>
        <w:rPr>
          <w:del w:id="10120" w:author="AbbVie2" w:date="2025-05-13T16:39:00Z"/>
          <w:sz w:val="22"/>
          <w:szCs w:val="22"/>
        </w:rPr>
        <w:pPrChange w:id="10121" w:author="AbbVie2" w:date="2025-05-13T16:40:00Z">
          <w:pPr>
            <w:keepNext/>
          </w:pPr>
        </w:pPrChange>
      </w:pPr>
    </w:p>
    <w:p w14:paraId="6F1D2FD2" w14:textId="5C77EAC3" w:rsidR="00E3620C" w:rsidRPr="008912CF" w:rsidRDefault="00615769">
      <w:pPr>
        <w:rPr>
          <w:del w:id="10122" w:author="AbbVie2" w:date="2025-05-13T16:39:00Z"/>
          <w:bCs/>
          <w:szCs w:val="22"/>
        </w:rPr>
        <w:pPrChange w:id="10123" w:author="AbbVie2" w:date="2025-05-13T16:40:00Z">
          <w:pPr>
            <w:pStyle w:val="EMEATitle"/>
            <w:keepNext/>
            <w:tabs>
              <w:tab w:val="clear" w:pos="562"/>
            </w:tabs>
            <w:suppressAutoHyphens w:val="0"/>
          </w:pPr>
        </w:pPrChange>
      </w:pPr>
      <w:del w:id="10124" w:author="AbbVie2" w:date="2025-05-13T16:39:00Z">
        <w:r w:rsidRPr="008912CF">
          <w:rPr>
            <w:bCs/>
            <w:szCs w:val="22"/>
          </w:rPr>
          <w:delText xml:space="preserve">Tabela </w:delText>
        </w:r>
        <w:r w:rsidR="00B925B3">
          <w:rPr>
            <w:bCs/>
            <w:szCs w:val="22"/>
          </w:rPr>
          <w:delText>26</w:delText>
        </w:r>
      </w:del>
    </w:p>
    <w:p w14:paraId="4DC08725" w14:textId="58002355" w:rsidR="00E3620C" w:rsidRPr="008912CF" w:rsidRDefault="00615769">
      <w:pPr>
        <w:rPr>
          <w:del w:id="10125" w:author="AbbVie2" w:date="2025-05-13T16:39:00Z"/>
          <w:bCs/>
          <w:szCs w:val="22"/>
        </w:rPr>
        <w:pPrChange w:id="10126" w:author="AbbVie2" w:date="2025-05-13T16:40:00Z">
          <w:pPr>
            <w:pStyle w:val="EMEATitle"/>
            <w:keepNext/>
            <w:tabs>
              <w:tab w:val="clear" w:pos="562"/>
            </w:tabs>
            <w:suppressAutoHyphens w:val="0"/>
          </w:pPr>
        </w:pPrChange>
      </w:pPr>
      <w:del w:id="10127" w:author="AbbVie2" w:date="2025-05-13T16:39:00Z">
        <w:r w:rsidRPr="008912CF">
          <w:rPr>
            <w:bCs/>
            <w:szCs w:val="22"/>
          </w:rPr>
          <w:delText xml:space="preserve">Respostas ACR </w:delText>
        </w:r>
        <w:r>
          <w:rPr>
            <w:bCs/>
            <w:szCs w:val="22"/>
          </w:rPr>
          <w:delText xml:space="preserve">Pediátrico </w:delText>
        </w:r>
        <w:r w:rsidRPr="008912CF">
          <w:rPr>
            <w:bCs/>
            <w:szCs w:val="22"/>
          </w:rPr>
          <w:delText>30 no estudo AIJ</w:delText>
        </w:r>
      </w:del>
    </w:p>
    <w:p w14:paraId="6E0D7A05" w14:textId="18584C86" w:rsidR="00E3620C" w:rsidRPr="008912CF" w:rsidRDefault="00E3620C">
      <w:pPr>
        <w:rPr>
          <w:del w:id="10128" w:author="AbbVie2" w:date="2025-05-13T16:39:00Z"/>
          <w:bCs/>
          <w:szCs w:val="22"/>
        </w:rPr>
        <w:pPrChange w:id="10129" w:author="AbbVie2" w:date="2025-05-13T16:40:00Z">
          <w:pPr>
            <w:pStyle w:val="EMEATitle"/>
            <w:keepNext/>
            <w:tabs>
              <w:tab w:val="clear" w:pos="562"/>
            </w:tabs>
            <w:suppressAutoHyphens w:val="0"/>
          </w:pPr>
        </w:pPrChange>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6"/>
        <w:gridCol w:w="1741"/>
        <w:gridCol w:w="1743"/>
        <w:gridCol w:w="1593"/>
        <w:gridCol w:w="1538"/>
      </w:tblGrid>
      <w:tr w:rsidR="00A7162A" w14:paraId="2C274F73" w14:textId="3C354679" w:rsidTr="00D22E86">
        <w:trPr>
          <w:cantSplit/>
          <w:del w:id="10130" w:author="AbbVie2" w:date="2025-05-13T16:39:00Z"/>
        </w:trPr>
        <w:tc>
          <w:tcPr>
            <w:tcW w:w="2418" w:type="dxa"/>
          </w:tcPr>
          <w:p w14:paraId="160EFB05" w14:textId="546BCC17" w:rsidR="00E3620C" w:rsidRPr="008D6D3A" w:rsidRDefault="00615769">
            <w:pPr>
              <w:rPr>
                <w:del w:id="10131" w:author="AbbVie2" w:date="2025-05-13T16:39:00Z"/>
                <w:bCs/>
                <w:szCs w:val="22"/>
              </w:rPr>
              <w:pPrChange w:id="10132" w:author="AbbVie2" w:date="2025-05-13T16:40:00Z">
                <w:pPr>
                  <w:pStyle w:val="BodyTextIndent"/>
                  <w:keepNext/>
                  <w:ind w:left="0" w:right="53" w:firstLine="0"/>
                </w:pPr>
              </w:pPrChange>
            </w:pPr>
            <w:del w:id="10133" w:author="AbbVie2" w:date="2025-05-13T16:39:00Z">
              <w:r w:rsidRPr="008D6D3A">
                <w:rPr>
                  <w:bCs/>
                  <w:szCs w:val="22"/>
                </w:rPr>
                <w:delText>Estratificação</w:delText>
              </w:r>
            </w:del>
          </w:p>
        </w:tc>
        <w:tc>
          <w:tcPr>
            <w:tcW w:w="3520" w:type="dxa"/>
            <w:gridSpan w:val="2"/>
          </w:tcPr>
          <w:p w14:paraId="57C0A331" w14:textId="70A35403" w:rsidR="00E3620C" w:rsidRPr="008D6D3A" w:rsidRDefault="00615769">
            <w:pPr>
              <w:rPr>
                <w:del w:id="10134" w:author="AbbVie2" w:date="2025-05-13T16:39:00Z"/>
                <w:bCs/>
                <w:szCs w:val="22"/>
              </w:rPr>
              <w:pPrChange w:id="10135" w:author="AbbVie2" w:date="2025-05-13T16:40:00Z">
                <w:pPr>
                  <w:pStyle w:val="BodyTextIndent"/>
                  <w:keepNext/>
                  <w:ind w:left="0" w:right="53" w:firstLine="0"/>
                  <w:jc w:val="center"/>
                </w:pPr>
              </w:pPrChange>
            </w:pPr>
            <w:del w:id="10136" w:author="AbbVie2" w:date="2025-05-13T16:39:00Z">
              <w:r w:rsidRPr="008D6D3A">
                <w:rPr>
                  <w:bCs/>
                  <w:szCs w:val="22"/>
                </w:rPr>
                <w:delText>MTX</w:delText>
              </w:r>
            </w:del>
          </w:p>
        </w:tc>
        <w:tc>
          <w:tcPr>
            <w:tcW w:w="3239" w:type="dxa"/>
            <w:gridSpan w:val="2"/>
          </w:tcPr>
          <w:p w14:paraId="1441675E" w14:textId="1AE41CE5" w:rsidR="00E3620C" w:rsidRPr="008D6D3A" w:rsidRDefault="00615769">
            <w:pPr>
              <w:rPr>
                <w:del w:id="10137" w:author="AbbVie2" w:date="2025-05-13T16:39:00Z"/>
                <w:bCs/>
                <w:szCs w:val="22"/>
              </w:rPr>
              <w:pPrChange w:id="10138" w:author="AbbVie2" w:date="2025-05-13T16:40:00Z">
                <w:pPr>
                  <w:pStyle w:val="BodyTextIndent"/>
                  <w:keepNext/>
                  <w:ind w:left="0" w:right="53" w:firstLine="0"/>
                  <w:jc w:val="center"/>
                </w:pPr>
              </w:pPrChange>
            </w:pPr>
            <w:del w:id="10139" w:author="AbbVie2" w:date="2025-05-13T16:39:00Z">
              <w:r w:rsidRPr="008D6D3A">
                <w:rPr>
                  <w:bCs/>
                  <w:szCs w:val="22"/>
                </w:rPr>
                <w:delText>Sem MTX</w:delText>
              </w:r>
            </w:del>
          </w:p>
        </w:tc>
      </w:tr>
      <w:tr w:rsidR="00A7162A" w14:paraId="1B72B34C" w14:textId="75CFA53C" w:rsidTr="00D22E86">
        <w:trPr>
          <w:cantSplit/>
          <w:del w:id="10140" w:author="AbbVie2" w:date="2025-05-13T16:39:00Z"/>
        </w:trPr>
        <w:tc>
          <w:tcPr>
            <w:tcW w:w="2418" w:type="dxa"/>
          </w:tcPr>
          <w:p w14:paraId="7B1FC17F" w14:textId="61256051" w:rsidR="00E3620C" w:rsidRPr="008D6D3A" w:rsidRDefault="00615769">
            <w:pPr>
              <w:rPr>
                <w:del w:id="10141" w:author="AbbVie2" w:date="2025-05-13T16:39:00Z"/>
                <w:bCs/>
                <w:szCs w:val="22"/>
              </w:rPr>
              <w:pPrChange w:id="10142" w:author="AbbVie2" w:date="2025-05-13T16:40:00Z">
                <w:pPr>
                  <w:pStyle w:val="BodyTextIndent"/>
                  <w:keepNext/>
                  <w:ind w:left="0" w:right="53" w:firstLine="0"/>
                </w:pPr>
              </w:pPrChange>
            </w:pPr>
            <w:del w:id="10143" w:author="AbbVie2" w:date="2025-05-13T16:39:00Z">
              <w:r w:rsidRPr="008D6D3A">
                <w:rPr>
                  <w:bCs/>
                  <w:szCs w:val="22"/>
                </w:rPr>
                <w:delText>Fase</w:delText>
              </w:r>
            </w:del>
          </w:p>
        </w:tc>
        <w:tc>
          <w:tcPr>
            <w:tcW w:w="3520" w:type="dxa"/>
            <w:gridSpan w:val="2"/>
          </w:tcPr>
          <w:p w14:paraId="0C4F135C" w14:textId="71ECF1F1" w:rsidR="00E3620C" w:rsidRPr="008912CF" w:rsidRDefault="00E3620C">
            <w:pPr>
              <w:rPr>
                <w:del w:id="10144" w:author="AbbVie2" w:date="2025-05-13T16:39:00Z"/>
                <w:bCs/>
                <w:szCs w:val="22"/>
              </w:rPr>
              <w:pPrChange w:id="10145" w:author="AbbVie2" w:date="2025-05-13T16:40:00Z">
                <w:pPr>
                  <w:pStyle w:val="BodyTextIndent"/>
                  <w:keepNext/>
                  <w:ind w:left="0" w:right="53" w:firstLine="0"/>
                  <w:jc w:val="center"/>
                </w:pPr>
              </w:pPrChange>
            </w:pPr>
          </w:p>
        </w:tc>
        <w:tc>
          <w:tcPr>
            <w:tcW w:w="3239" w:type="dxa"/>
            <w:gridSpan w:val="2"/>
          </w:tcPr>
          <w:p w14:paraId="50A66B64" w14:textId="2A0AA7AF" w:rsidR="00E3620C" w:rsidRPr="008912CF" w:rsidRDefault="00E3620C">
            <w:pPr>
              <w:rPr>
                <w:del w:id="10146" w:author="AbbVie2" w:date="2025-05-13T16:39:00Z"/>
                <w:bCs/>
                <w:szCs w:val="22"/>
              </w:rPr>
              <w:pPrChange w:id="10147" w:author="AbbVie2" w:date="2025-05-13T16:40:00Z">
                <w:pPr>
                  <w:pStyle w:val="BodyTextIndent"/>
                  <w:keepNext/>
                  <w:ind w:left="0" w:right="53" w:firstLine="0"/>
                  <w:jc w:val="center"/>
                </w:pPr>
              </w:pPrChange>
            </w:pPr>
          </w:p>
        </w:tc>
      </w:tr>
      <w:tr w:rsidR="00A7162A" w14:paraId="4D097B94" w14:textId="5AF72023" w:rsidTr="00D22E86">
        <w:trPr>
          <w:cantSplit/>
          <w:del w:id="10148" w:author="AbbVie2" w:date="2025-05-13T16:39:00Z"/>
        </w:trPr>
        <w:tc>
          <w:tcPr>
            <w:tcW w:w="2418" w:type="dxa"/>
          </w:tcPr>
          <w:p w14:paraId="1A552787" w14:textId="003D910A" w:rsidR="00E3620C" w:rsidRPr="008912CF" w:rsidRDefault="00615769">
            <w:pPr>
              <w:rPr>
                <w:del w:id="10149" w:author="AbbVie2" w:date="2025-05-13T16:39:00Z"/>
                <w:bCs/>
                <w:szCs w:val="22"/>
              </w:rPr>
              <w:pPrChange w:id="10150" w:author="AbbVie2" w:date="2025-05-13T16:40:00Z">
                <w:pPr>
                  <w:pStyle w:val="BodyTextIndent"/>
                  <w:keepNext/>
                  <w:ind w:left="0" w:right="53" w:firstLine="0"/>
                </w:pPr>
              </w:pPrChange>
            </w:pPr>
            <w:del w:id="10151" w:author="AbbVie2" w:date="2025-05-13T16:39:00Z">
              <w:r w:rsidRPr="008912CF">
                <w:rPr>
                  <w:bCs/>
                  <w:szCs w:val="22"/>
                </w:rPr>
                <w:delText xml:space="preserve">OL-LI </w:delText>
              </w:r>
              <w:r>
                <w:rPr>
                  <w:bCs/>
                  <w:szCs w:val="22"/>
                </w:rPr>
                <w:delText xml:space="preserve">à Semana </w:delText>
              </w:r>
              <w:r w:rsidRPr="008912CF">
                <w:rPr>
                  <w:bCs/>
                  <w:szCs w:val="22"/>
                </w:rPr>
                <w:delText>16</w:delText>
              </w:r>
            </w:del>
          </w:p>
        </w:tc>
        <w:tc>
          <w:tcPr>
            <w:tcW w:w="3520" w:type="dxa"/>
            <w:gridSpan w:val="2"/>
          </w:tcPr>
          <w:p w14:paraId="4FDA335E" w14:textId="54F1E4FA" w:rsidR="00E3620C" w:rsidRPr="008912CF" w:rsidRDefault="00E3620C">
            <w:pPr>
              <w:rPr>
                <w:del w:id="10152" w:author="AbbVie2" w:date="2025-05-13T16:39:00Z"/>
                <w:bCs/>
                <w:szCs w:val="22"/>
              </w:rPr>
              <w:pPrChange w:id="10153" w:author="AbbVie2" w:date="2025-05-13T16:40:00Z">
                <w:pPr>
                  <w:pStyle w:val="BodyTextIndent"/>
                  <w:keepNext/>
                  <w:ind w:left="0" w:right="53" w:firstLine="0"/>
                  <w:jc w:val="center"/>
                </w:pPr>
              </w:pPrChange>
            </w:pPr>
          </w:p>
        </w:tc>
        <w:tc>
          <w:tcPr>
            <w:tcW w:w="3239" w:type="dxa"/>
            <w:gridSpan w:val="2"/>
          </w:tcPr>
          <w:p w14:paraId="00F18860" w14:textId="5EEA3B70" w:rsidR="00E3620C" w:rsidRPr="008912CF" w:rsidRDefault="00E3620C">
            <w:pPr>
              <w:rPr>
                <w:del w:id="10154" w:author="AbbVie2" w:date="2025-05-13T16:39:00Z"/>
                <w:bCs/>
                <w:szCs w:val="22"/>
              </w:rPr>
              <w:pPrChange w:id="10155" w:author="AbbVie2" w:date="2025-05-13T16:40:00Z">
                <w:pPr>
                  <w:pStyle w:val="BodyTextIndent"/>
                  <w:keepNext/>
                  <w:ind w:left="0" w:right="53" w:firstLine="0"/>
                  <w:jc w:val="center"/>
                </w:pPr>
              </w:pPrChange>
            </w:pPr>
          </w:p>
        </w:tc>
      </w:tr>
      <w:tr w:rsidR="00A7162A" w14:paraId="3203B4BD" w14:textId="0EC7C734" w:rsidTr="00D22E86">
        <w:trPr>
          <w:cantSplit/>
          <w:del w:id="10156" w:author="AbbVie2" w:date="2025-05-13T16:39:00Z"/>
        </w:trPr>
        <w:tc>
          <w:tcPr>
            <w:tcW w:w="2418" w:type="dxa"/>
          </w:tcPr>
          <w:p w14:paraId="7FD6B926" w14:textId="601DA38C" w:rsidR="00E3620C" w:rsidRPr="008912CF" w:rsidRDefault="00615769">
            <w:pPr>
              <w:rPr>
                <w:del w:id="10157" w:author="AbbVie2" w:date="2025-05-13T16:39:00Z"/>
                <w:bCs/>
                <w:szCs w:val="22"/>
              </w:rPr>
              <w:pPrChange w:id="10158" w:author="AbbVie2" w:date="2025-05-13T16:40:00Z">
                <w:pPr>
                  <w:pStyle w:val="BodyTextIndent"/>
                  <w:keepNext/>
                  <w:ind w:right="53" w:firstLine="0"/>
                </w:pPr>
              </w:pPrChange>
            </w:pPr>
            <w:del w:id="10159" w:author="AbbVie2" w:date="2025-05-13T16:39:00Z">
              <w:r w:rsidRPr="008912CF">
                <w:rPr>
                  <w:bCs/>
                  <w:szCs w:val="22"/>
                </w:rPr>
                <w:delText>Resposta ACR Ped 30 (n/N)</w:delText>
              </w:r>
            </w:del>
          </w:p>
        </w:tc>
        <w:tc>
          <w:tcPr>
            <w:tcW w:w="3520" w:type="dxa"/>
            <w:gridSpan w:val="2"/>
          </w:tcPr>
          <w:p w14:paraId="6B89F10C" w14:textId="5B9D49E4" w:rsidR="00E3620C" w:rsidRPr="008912CF" w:rsidRDefault="00615769">
            <w:pPr>
              <w:rPr>
                <w:del w:id="10160" w:author="AbbVie2" w:date="2025-05-13T16:39:00Z"/>
                <w:bCs/>
                <w:szCs w:val="22"/>
              </w:rPr>
              <w:pPrChange w:id="10161" w:author="AbbVie2" w:date="2025-05-13T16:40:00Z">
                <w:pPr>
                  <w:pStyle w:val="BodyTextIndent"/>
                  <w:keepNext/>
                  <w:ind w:left="0" w:right="53" w:firstLine="0"/>
                  <w:jc w:val="center"/>
                </w:pPr>
              </w:pPrChange>
            </w:pPr>
            <w:del w:id="10162" w:author="AbbVie2" w:date="2025-05-13T16:39:00Z">
              <w:r w:rsidRPr="008912CF">
                <w:rPr>
                  <w:bCs/>
                  <w:szCs w:val="22"/>
                </w:rPr>
                <w:delText>94,1% (80/85)</w:delText>
              </w:r>
            </w:del>
          </w:p>
        </w:tc>
        <w:tc>
          <w:tcPr>
            <w:tcW w:w="3239" w:type="dxa"/>
            <w:gridSpan w:val="2"/>
          </w:tcPr>
          <w:p w14:paraId="25F13825" w14:textId="7A9DB222" w:rsidR="00E3620C" w:rsidRPr="008912CF" w:rsidRDefault="00615769">
            <w:pPr>
              <w:rPr>
                <w:del w:id="10163" w:author="AbbVie2" w:date="2025-05-13T16:39:00Z"/>
                <w:bCs/>
                <w:szCs w:val="22"/>
              </w:rPr>
              <w:pPrChange w:id="10164" w:author="AbbVie2" w:date="2025-05-13T16:40:00Z">
                <w:pPr>
                  <w:pStyle w:val="BodyTextIndent"/>
                  <w:keepNext/>
                  <w:ind w:left="0" w:right="53" w:firstLine="0"/>
                  <w:jc w:val="center"/>
                </w:pPr>
              </w:pPrChange>
            </w:pPr>
            <w:del w:id="10165" w:author="AbbVie2" w:date="2025-05-13T16:39:00Z">
              <w:r w:rsidRPr="008912CF">
                <w:rPr>
                  <w:bCs/>
                  <w:szCs w:val="22"/>
                </w:rPr>
                <w:delText>74,4% (64/86)</w:delText>
              </w:r>
            </w:del>
          </w:p>
        </w:tc>
      </w:tr>
      <w:tr w:rsidR="00A7162A" w14:paraId="62DF2ADE" w14:textId="6DDECED5" w:rsidTr="00D22E86">
        <w:trPr>
          <w:cantSplit/>
          <w:del w:id="10166" w:author="AbbVie2" w:date="2025-05-13T16:39:00Z"/>
        </w:trPr>
        <w:tc>
          <w:tcPr>
            <w:tcW w:w="9177" w:type="dxa"/>
            <w:gridSpan w:val="5"/>
          </w:tcPr>
          <w:p w14:paraId="53399392" w14:textId="0E51A976" w:rsidR="00E3620C" w:rsidRPr="008912CF" w:rsidRDefault="00615769">
            <w:pPr>
              <w:rPr>
                <w:del w:id="10167" w:author="AbbVie2" w:date="2025-05-13T16:39:00Z"/>
                <w:bCs/>
                <w:szCs w:val="22"/>
              </w:rPr>
              <w:pPrChange w:id="10168" w:author="AbbVie2" w:date="2025-05-13T16:40:00Z">
                <w:pPr>
                  <w:pStyle w:val="BodyTextIndent"/>
                  <w:keepNext/>
                  <w:ind w:left="0" w:right="53" w:firstLine="0"/>
                  <w:jc w:val="center"/>
                </w:pPr>
              </w:pPrChange>
            </w:pPr>
            <w:del w:id="10169" w:author="AbbVie2" w:date="2025-05-13T16:39:00Z">
              <w:r w:rsidRPr="008912CF">
                <w:rPr>
                  <w:bCs/>
                  <w:szCs w:val="22"/>
                </w:rPr>
                <w:delText>Resultados de eficácia</w:delText>
              </w:r>
            </w:del>
          </w:p>
        </w:tc>
      </w:tr>
      <w:tr w:rsidR="00A7162A" w14:paraId="228169A6" w14:textId="2E93EE63" w:rsidTr="00D22E86">
        <w:trPr>
          <w:del w:id="10170" w:author="AbbVie2" w:date="2025-05-13T16:39:00Z"/>
        </w:trPr>
        <w:tc>
          <w:tcPr>
            <w:tcW w:w="2418" w:type="dxa"/>
          </w:tcPr>
          <w:p w14:paraId="267C76E5" w14:textId="3AA0BE06" w:rsidR="00E3620C" w:rsidRPr="008912CF" w:rsidRDefault="00615769">
            <w:pPr>
              <w:rPr>
                <w:del w:id="10171" w:author="AbbVie2" w:date="2025-05-13T16:39:00Z"/>
                <w:bCs/>
                <w:szCs w:val="22"/>
              </w:rPr>
              <w:pPrChange w:id="10172" w:author="AbbVie2" w:date="2025-05-13T16:40:00Z">
                <w:pPr>
                  <w:pStyle w:val="BodyTextIndent"/>
                  <w:keepNext/>
                  <w:ind w:left="0" w:right="53" w:firstLine="0"/>
                </w:pPr>
              </w:pPrChange>
            </w:pPr>
            <w:del w:id="10173" w:author="AbbVie2" w:date="2025-05-13T16:39:00Z">
              <w:r w:rsidRPr="008912CF">
                <w:rPr>
                  <w:bCs/>
                  <w:szCs w:val="22"/>
                </w:rPr>
                <w:delText>Dupla</w:delText>
              </w:r>
              <w:r>
                <w:rPr>
                  <w:bCs/>
                  <w:szCs w:val="22"/>
                </w:rPr>
                <w:delText xml:space="preserve"> ocultação </w:delText>
              </w:r>
              <w:r w:rsidRPr="008912CF">
                <w:rPr>
                  <w:bCs/>
                  <w:szCs w:val="22"/>
                </w:rPr>
                <w:delText xml:space="preserve">à </w:delText>
              </w:r>
              <w:r>
                <w:rPr>
                  <w:bCs/>
                  <w:szCs w:val="22"/>
                </w:rPr>
                <w:delText>S</w:delText>
              </w:r>
              <w:r w:rsidRPr="008912CF">
                <w:rPr>
                  <w:bCs/>
                  <w:szCs w:val="22"/>
                </w:rPr>
                <w:delText>emana 32</w:delText>
              </w:r>
            </w:del>
          </w:p>
        </w:tc>
        <w:tc>
          <w:tcPr>
            <w:tcW w:w="1760" w:type="dxa"/>
          </w:tcPr>
          <w:p w14:paraId="0FE9E66B" w14:textId="6F63A6DB" w:rsidR="00E3620C" w:rsidRPr="008912CF" w:rsidRDefault="00615769">
            <w:pPr>
              <w:rPr>
                <w:del w:id="10174" w:author="AbbVie2" w:date="2025-05-13T16:39:00Z"/>
                <w:bCs/>
                <w:szCs w:val="22"/>
              </w:rPr>
              <w:pPrChange w:id="10175" w:author="AbbVie2" w:date="2025-05-13T16:40:00Z">
                <w:pPr>
                  <w:pStyle w:val="BodyTextIndent"/>
                  <w:keepNext/>
                  <w:ind w:left="0" w:right="53" w:firstLine="0"/>
                </w:pPr>
              </w:pPrChange>
            </w:pPr>
            <w:del w:id="10176" w:author="AbbVie2" w:date="2025-05-13T16:39:00Z">
              <w:r w:rsidRPr="008912CF">
                <w:rPr>
                  <w:bCs/>
                  <w:szCs w:val="22"/>
                </w:rPr>
                <w:delText xml:space="preserve">Humira/MTX </w:delText>
              </w:r>
            </w:del>
          </w:p>
          <w:p w14:paraId="1B394554" w14:textId="29442624" w:rsidR="00E3620C" w:rsidRPr="008912CF" w:rsidRDefault="00615769">
            <w:pPr>
              <w:rPr>
                <w:del w:id="10177" w:author="AbbVie2" w:date="2025-05-13T16:39:00Z"/>
                <w:bCs/>
                <w:szCs w:val="22"/>
              </w:rPr>
              <w:pPrChange w:id="10178" w:author="AbbVie2" w:date="2025-05-13T16:40:00Z">
                <w:pPr>
                  <w:pStyle w:val="BodyTextIndent"/>
                  <w:keepNext/>
                  <w:ind w:left="0" w:right="53" w:firstLine="0"/>
                </w:pPr>
              </w:pPrChange>
            </w:pPr>
            <w:del w:id="10179" w:author="AbbVie2" w:date="2025-05-13T16:39:00Z">
              <w:r w:rsidRPr="008912CF">
                <w:rPr>
                  <w:bCs/>
                  <w:szCs w:val="22"/>
                </w:rPr>
                <w:delText>(N = 38)</w:delText>
              </w:r>
            </w:del>
          </w:p>
          <w:p w14:paraId="7F2572AA" w14:textId="367807BF" w:rsidR="00E3620C" w:rsidRPr="008912CF" w:rsidRDefault="00E3620C">
            <w:pPr>
              <w:rPr>
                <w:del w:id="10180" w:author="AbbVie2" w:date="2025-05-13T16:39:00Z"/>
                <w:bCs/>
                <w:szCs w:val="22"/>
              </w:rPr>
              <w:pPrChange w:id="10181" w:author="AbbVie2" w:date="2025-05-13T16:40:00Z">
                <w:pPr>
                  <w:pStyle w:val="BodyTextIndent"/>
                  <w:keepNext/>
                  <w:ind w:left="0" w:right="53" w:firstLine="0"/>
                </w:pPr>
              </w:pPrChange>
            </w:pPr>
          </w:p>
        </w:tc>
        <w:tc>
          <w:tcPr>
            <w:tcW w:w="1760" w:type="dxa"/>
          </w:tcPr>
          <w:p w14:paraId="5AACEB14" w14:textId="3CFAA5EE" w:rsidR="00E3620C" w:rsidRPr="008912CF" w:rsidRDefault="00615769">
            <w:pPr>
              <w:rPr>
                <w:del w:id="10182" w:author="AbbVie2" w:date="2025-05-13T16:39:00Z"/>
                <w:bCs/>
                <w:szCs w:val="22"/>
              </w:rPr>
              <w:pPrChange w:id="10183" w:author="AbbVie2" w:date="2025-05-13T16:40:00Z">
                <w:pPr>
                  <w:pStyle w:val="BodyTextIndent"/>
                  <w:keepNext/>
                  <w:ind w:left="0" w:right="53" w:firstLine="0"/>
                </w:pPr>
              </w:pPrChange>
            </w:pPr>
            <w:del w:id="10184" w:author="AbbVie2" w:date="2025-05-13T16:39:00Z">
              <w:r w:rsidRPr="008912CF">
                <w:rPr>
                  <w:bCs/>
                  <w:szCs w:val="22"/>
                </w:rPr>
                <w:delText>Placebo/MTX</w:delText>
              </w:r>
            </w:del>
          </w:p>
          <w:p w14:paraId="36C339E7" w14:textId="370F5B18" w:rsidR="00E3620C" w:rsidRPr="008912CF" w:rsidRDefault="00615769">
            <w:pPr>
              <w:rPr>
                <w:del w:id="10185" w:author="AbbVie2" w:date="2025-05-13T16:39:00Z"/>
                <w:bCs/>
                <w:szCs w:val="22"/>
              </w:rPr>
              <w:pPrChange w:id="10186" w:author="AbbVie2" w:date="2025-05-13T16:40:00Z">
                <w:pPr>
                  <w:pStyle w:val="BodyTextIndent"/>
                  <w:keepNext/>
                  <w:ind w:left="0" w:right="53" w:firstLine="0"/>
                </w:pPr>
              </w:pPrChange>
            </w:pPr>
            <w:del w:id="10187" w:author="AbbVie2" w:date="2025-05-13T16:39:00Z">
              <w:r w:rsidRPr="008912CF">
                <w:rPr>
                  <w:bCs/>
                  <w:szCs w:val="22"/>
                </w:rPr>
                <w:delText>(N = 37)</w:delText>
              </w:r>
            </w:del>
          </w:p>
        </w:tc>
        <w:tc>
          <w:tcPr>
            <w:tcW w:w="1650" w:type="dxa"/>
          </w:tcPr>
          <w:p w14:paraId="7A913260" w14:textId="55903047" w:rsidR="00E3620C" w:rsidRPr="008912CF" w:rsidRDefault="00615769">
            <w:pPr>
              <w:rPr>
                <w:del w:id="10188" w:author="AbbVie2" w:date="2025-05-13T16:39:00Z"/>
                <w:bCs/>
                <w:szCs w:val="22"/>
              </w:rPr>
              <w:pPrChange w:id="10189" w:author="AbbVie2" w:date="2025-05-13T16:40:00Z">
                <w:pPr>
                  <w:pStyle w:val="BodyTextIndent"/>
                  <w:keepNext/>
                  <w:ind w:left="0" w:right="53" w:firstLine="0"/>
                </w:pPr>
              </w:pPrChange>
            </w:pPr>
            <w:del w:id="10190" w:author="AbbVie2" w:date="2025-05-13T16:39:00Z">
              <w:r w:rsidRPr="008912CF">
                <w:rPr>
                  <w:bCs/>
                  <w:szCs w:val="22"/>
                </w:rPr>
                <w:delText xml:space="preserve">Humira </w:delText>
              </w:r>
            </w:del>
          </w:p>
          <w:p w14:paraId="2F467673" w14:textId="62B2DC92" w:rsidR="00E3620C" w:rsidRPr="008912CF" w:rsidRDefault="00615769">
            <w:pPr>
              <w:rPr>
                <w:del w:id="10191" w:author="AbbVie2" w:date="2025-05-13T16:39:00Z"/>
                <w:bCs/>
                <w:szCs w:val="22"/>
              </w:rPr>
              <w:pPrChange w:id="10192" w:author="AbbVie2" w:date="2025-05-13T16:40:00Z">
                <w:pPr>
                  <w:pStyle w:val="BodyTextIndent"/>
                  <w:keepNext/>
                  <w:ind w:left="0" w:right="53" w:firstLine="0"/>
                </w:pPr>
              </w:pPrChange>
            </w:pPr>
            <w:del w:id="10193" w:author="AbbVie2" w:date="2025-05-13T16:39:00Z">
              <w:r w:rsidRPr="008912CF">
                <w:rPr>
                  <w:bCs/>
                  <w:szCs w:val="22"/>
                </w:rPr>
                <w:delText>(N = 30)</w:delText>
              </w:r>
            </w:del>
          </w:p>
        </w:tc>
        <w:tc>
          <w:tcPr>
            <w:tcW w:w="1589" w:type="dxa"/>
          </w:tcPr>
          <w:p w14:paraId="3D3AF112" w14:textId="50A1309D" w:rsidR="00E3620C" w:rsidRPr="008912CF" w:rsidRDefault="00615769">
            <w:pPr>
              <w:rPr>
                <w:del w:id="10194" w:author="AbbVie2" w:date="2025-05-13T16:39:00Z"/>
                <w:bCs/>
                <w:szCs w:val="22"/>
              </w:rPr>
              <w:pPrChange w:id="10195" w:author="AbbVie2" w:date="2025-05-13T16:40:00Z">
                <w:pPr>
                  <w:pStyle w:val="BodyTextIndent"/>
                  <w:keepNext/>
                  <w:ind w:left="0" w:right="53" w:firstLine="0"/>
                </w:pPr>
              </w:pPrChange>
            </w:pPr>
            <w:del w:id="10196" w:author="AbbVie2" w:date="2025-05-13T16:39:00Z">
              <w:r w:rsidRPr="008912CF">
                <w:rPr>
                  <w:bCs/>
                  <w:szCs w:val="22"/>
                </w:rPr>
                <w:delText>Placebo</w:delText>
              </w:r>
            </w:del>
          </w:p>
          <w:p w14:paraId="193F0A78" w14:textId="7B4559D3" w:rsidR="00E3620C" w:rsidRPr="008912CF" w:rsidRDefault="00615769">
            <w:pPr>
              <w:rPr>
                <w:del w:id="10197" w:author="AbbVie2" w:date="2025-05-13T16:39:00Z"/>
                <w:bCs/>
                <w:szCs w:val="22"/>
              </w:rPr>
              <w:pPrChange w:id="10198" w:author="AbbVie2" w:date="2025-05-13T16:40:00Z">
                <w:pPr>
                  <w:pStyle w:val="BodyTextIndent"/>
                  <w:keepNext/>
                  <w:ind w:left="0" w:right="53" w:firstLine="0"/>
                </w:pPr>
              </w:pPrChange>
            </w:pPr>
            <w:del w:id="10199" w:author="AbbVie2" w:date="2025-05-13T16:39:00Z">
              <w:r w:rsidRPr="008912CF">
                <w:rPr>
                  <w:bCs/>
                  <w:szCs w:val="22"/>
                </w:rPr>
                <w:delText>(N = 28)</w:delText>
              </w:r>
            </w:del>
          </w:p>
        </w:tc>
      </w:tr>
      <w:tr w:rsidR="00A7162A" w14:paraId="4545A589" w14:textId="0ADF0C6A" w:rsidTr="00D22E86">
        <w:trPr>
          <w:del w:id="10200" w:author="AbbVie2" w:date="2025-05-13T16:39:00Z"/>
        </w:trPr>
        <w:tc>
          <w:tcPr>
            <w:tcW w:w="2418" w:type="dxa"/>
          </w:tcPr>
          <w:p w14:paraId="59BEC6CA" w14:textId="41DC77B4" w:rsidR="00E3620C" w:rsidRPr="008912CF" w:rsidRDefault="00615769">
            <w:pPr>
              <w:rPr>
                <w:del w:id="10201" w:author="AbbVie2" w:date="2025-05-13T16:39:00Z"/>
                <w:bCs/>
                <w:szCs w:val="22"/>
              </w:rPr>
              <w:pPrChange w:id="10202" w:author="AbbVie2" w:date="2025-05-13T16:40:00Z">
                <w:pPr>
                  <w:pStyle w:val="BodyTextIndent"/>
                  <w:keepNext/>
                  <w:ind w:right="53" w:firstLine="0"/>
                </w:pPr>
              </w:pPrChange>
            </w:pPr>
            <w:del w:id="10203" w:author="AbbVie2" w:date="2025-05-13T16:39:00Z">
              <w:r w:rsidRPr="008912CF">
                <w:rPr>
                  <w:bCs/>
                  <w:szCs w:val="22"/>
                </w:rPr>
                <w:delText>Agravamento da doença no final das 32 semanas</w:delText>
              </w:r>
              <w:r w:rsidRPr="008912CF">
                <w:rPr>
                  <w:bCs/>
                  <w:szCs w:val="22"/>
                  <w:vertAlign w:val="superscript"/>
                </w:rPr>
                <w:delText>a</w:delText>
              </w:r>
              <w:r w:rsidRPr="008912CF">
                <w:rPr>
                  <w:bCs/>
                  <w:szCs w:val="22"/>
                </w:rPr>
                <w:delText xml:space="preserve"> (n/N)</w:delText>
              </w:r>
            </w:del>
          </w:p>
        </w:tc>
        <w:tc>
          <w:tcPr>
            <w:tcW w:w="1760" w:type="dxa"/>
          </w:tcPr>
          <w:p w14:paraId="06DD2A26" w14:textId="21A93A95" w:rsidR="00E3620C" w:rsidRPr="008912CF" w:rsidRDefault="00615769">
            <w:pPr>
              <w:rPr>
                <w:del w:id="10204" w:author="AbbVie2" w:date="2025-05-13T16:39:00Z"/>
                <w:bCs/>
                <w:szCs w:val="22"/>
              </w:rPr>
              <w:pPrChange w:id="10205" w:author="AbbVie2" w:date="2025-05-13T16:40:00Z">
                <w:pPr>
                  <w:pStyle w:val="BodyTextIndent"/>
                  <w:keepNext/>
                  <w:ind w:left="0" w:right="53" w:firstLine="0"/>
                </w:pPr>
              </w:pPrChange>
            </w:pPr>
            <w:del w:id="10206" w:author="AbbVie2" w:date="2025-05-13T16:39:00Z">
              <w:r w:rsidRPr="008912CF">
                <w:rPr>
                  <w:bCs/>
                  <w:szCs w:val="22"/>
                </w:rPr>
                <w:delText>36,8% (14/38)</w:delText>
              </w:r>
            </w:del>
          </w:p>
        </w:tc>
        <w:tc>
          <w:tcPr>
            <w:tcW w:w="1760" w:type="dxa"/>
          </w:tcPr>
          <w:p w14:paraId="6DA6A375" w14:textId="48899A22" w:rsidR="00E3620C" w:rsidRPr="008912CF" w:rsidRDefault="00615769">
            <w:pPr>
              <w:rPr>
                <w:del w:id="10207" w:author="AbbVie2" w:date="2025-05-13T16:39:00Z"/>
                <w:bCs/>
                <w:szCs w:val="22"/>
              </w:rPr>
              <w:pPrChange w:id="10208" w:author="AbbVie2" w:date="2025-05-13T16:40:00Z">
                <w:pPr>
                  <w:pStyle w:val="BodyTextIndent"/>
                  <w:keepNext/>
                  <w:ind w:left="0" w:right="53" w:firstLine="0"/>
                </w:pPr>
              </w:pPrChange>
            </w:pPr>
            <w:del w:id="10209" w:author="AbbVie2" w:date="2025-05-13T16:39:00Z">
              <w:r w:rsidRPr="008912CF">
                <w:rPr>
                  <w:bCs/>
                  <w:szCs w:val="22"/>
                </w:rPr>
                <w:delText>64,9% (24/37)</w:delText>
              </w:r>
              <w:r w:rsidRPr="008912CF">
                <w:rPr>
                  <w:bCs/>
                  <w:szCs w:val="22"/>
                  <w:vertAlign w:val="superscript"/>
                </w:rPr>
                <w:delText>b</w:delText>
              </w:r>
            </w:del>
          </w:p>
        </w:tc>
        <w:tc>
          <w:tcPr>
            <w:tcW w:w="1650" w:type="dxa"/>
          </w:tcPr>
          <w:p w14:paraId="2CD9AD6D" w14:textId="0BD9569F" w:rsidR="00E3620C" w:rsidRPr="008912CF" w:rsidRDefault="00615769">
            <w:pPr>
              <w:rPr>
                <w:del w:id="10210" w:author="AbbVie2" w:date="2025-05-13T16:39:00Z"/>
                <w:bCs/>
                <w:szCs w:val="22"/>
              </w:rPr>
              <w:pPrChange w:id="10211" w:author="AbbVie2" w:date="2025-05-13T16:40:00Z">
                <w:pPr>
                  <w:pStyle w:val="BodyTextIndent"/>
                  <w:keepNext/>
                  <w:ind w:left="0" w:right="53" w:firstLine="0"/>
                </w:pPr>
              </w:pPrChange>
            </w:pPr>
            <w:del w:id="10212" w:author="AbbVie2" w:date="2025-05-13T16:39:00Z">
              <w:r w:rsidRPr="008912CF">
                <w:rPr>
                  <w:bCs/>
                  <w:szCs w:val="22"/>
                </w:rPr>
                <w:delText>43,3% (13/30)</w:delText>
              </w:r>
            </w:del>
          </w:p>
        </w:tc>
        <w:tc>
          <w:tcPr>
            <w:tcW w:w="1589" w:type="dxa"/>
          </w:tcPr>
          <w:p w14:paraId="35DEF40F" w14:textId="28D4E843" w:rsidR="00E3620C" w:rsidRPr="008912CF" w:rsidRDefault="00615769">
            <w:pPr>
              <w:rPr>
                <w:del w:id="10213" w:author="AbbVie2" w:date="2025-05-13T16:39:00Z"/>
                <w:bCs/>
                <w:szCs w:val="22"/>
              </w:rPr>
              <w:pPrChange w:id="10214" w:author="AbbVie2" w:date="2025-05-13T16:40:00Z">
                <w:pPr>
                  <w:pStyle w:val="BodyTextIndent"/>
                  <w:keepNext/>
                  <w:ind w:left="0" w:right="53" w:firstLine="0"/>
                </w:pPr>
              </w:pPrChange>
            </w:pPr>
            <w:del w:id="10215" w:author="AbbVie2" w:date="2025-05-13T16:39:00Z">
              <w:r w:rsidRPr="008912CF">
                <w:rPr>
                  <w:bCs/>
                  <w:szCs w:val="22"/>
                </w:rPr>
                <w:delText>71,4% (20/28)</w:delText>
              </w:r>
              <w:r w:rsidRPr="008912CF">
                <w:rPr>
                  <w:bCs/>
                  <w:szCs w:val="22"/>
                  <w:vertAlign w:val="superscript"/>
                </w:rPr>
                <w:delText>c</w:delText>
              </w:r>
            </w:del>
          </w:p>
        </w:tc>
      </w:tr>
      <w:tr w:rsidR="00A7162A" w14:paraId="002EB383" w14:textId="0A587C08" w:rsidTr="00D22E86">
        <w:trPr>
          <w:del w:id="10216" w:author="AbbVie2" w:date="2025-05-13T16:39:00Z"/>
        </w:trPr>
        <w:tc>
          <w:tcPr>
            <w:tcW w:w="2418" w:type="dxa"/>
          </w:tcPr>
          <w:p w14:paraId="1BEC5A8E" w14:textId="3DA92DCC" w:rsidR="00E3620C" w:rsidRPr="008912CF" w:rsidRDefault="00615769">
            <w:pPr>
              <w:rPr>
                <w:del w:id="10217" w:author="AbbVie2" w:date="2025-05-13T16:39:00Z"/>
                <w:bCs/>
                <w:szCs w:val="22"/>
              </w:rPr>
              <w:pPrChange w:id="10218" w:author="AbbVie2" w:date="2025-05-13T16:40:00Z">
                <w:pPr>
                  <w:pStyle w:val="BodyTextIndent"/>
                  <w:keepNext/>
                  <w:ind w:right="53" w:firstLine="0"/>
                </w:pPr>
              </w:pPrChange>
            </w:pPr>
            <w:del w:id="10219" w:author="AbbVie2" w:date="2025-05-13T16:39:00Z">
              <w:r w:rsidRPr="008912CF">
                <w:rPr>
                  <w:bCs/>
                  <w:szCs w:val="22"/>
                </w:rPr>
                <w:delText xml:space="preserve">Tempo </w:delText>
              </w:r>
              <w:r>
                <w:rPr>
                  <w:bCs/>
                  <w:szCs w:val="22"/>
                </w:rPr>
                <w:delText>mediano</w:delText>
              </w:r>
              <w:r w:rsidRPr="008912CF">
                <w:rPr>
                  <w:bCs/>
                  <w:szCs w:val="22"/>
                </w:rPr>
                <w:delText xml:space="preserve"> para agravamento da doença</w:delText>
              </w:r>
            </w:del>
          </w:p>
        </w:tc>
        <w:tc>
          <w:tcPr>
            <w:tcW w:w="1760" w:type="dxa"/>
          </w:tcPr>
          <w:p w14:paraId="555AAEA2" w14:textId="510B8E40" w:rsidR="00E3620C" w:rsidRPr="008912CF" w:rsidRDefault="00615769">
            <w:pPr>
              <w:rPr>
                <w:del w:id="10220" w:author="AbbVie2" w:date="2025-05-13T16:39:00Z"/>
                <w:bCs/>
                <w:szCs w:val="22"/>
              </w:rPr>
              <w:pPrChange w:id="10221" w:author="AbbVie2" w:date="2025-05-13T16:40:00Z">
                <w:pPr>
                  <w:pStyle w:val="BodyTextIndent"/>
                  <w:keepNext/>
                  <w:ind w:left="0" w:right="53" w:firstLine="0"/>
                </w:pPr>
              </w:pPrChange>
            </w:pPr>
            <w:del w:id="10222" w:author="AbbVie2" w:date="2025-05-13T16:39:00Z">
              <w:r w:rsidRPr="008912CF">
                <w:rPr>
                  <w:bCs/>
                  <w:szCs w:val="22"/>
                </w:rPr>
                <w:delText>&gt;32 semanas</w:delText>
              </w:r>
            </w:del>
          </w:p>
        </w:tc>
        <w:tc>
          <w:tcPr>
            <w:tcW w:w="1760" w:type="dxa"/>
          </w:tcPr>
          <w:p w14:paraId="12EA6DC6" w14:textId="643EBF82" w:rsidR="00E3620C" w:rsidRPr="008912CF" w:rsidRDefault="00615769">
            <w:pPr>
              <w:rPr>
                <w:del w:id="10223" w:author="AbbVie2" w:date="2025-05-13T16:39:00Z"/>
                <w:bCs/>
                <w:szCs w:val="22"/>
              </w:rPr>
              <w:pPrChange w:id="10224" w:author="AbbVie2" w:date="2025-05-13T16:40:00Z">
                <w:pPr>
                  <w:pStyle w:val="BodyTextIndent"/>
                  <w:keepNext/>
                  <w:ind w:left="0" w:right="53" w:firstLine="0"/>
                </w:pPr>
              </w:pPrChange>
            </w:pPr>
            <w:del w:id="10225" w:author="AbbVie2" w:date="2025-05-13T16:39:00Z">
              <w:r w:rsidRPr="008912CF">
                <w:rPr>
                  <w:bCs/>
                  <w:szCs w:val="22"/>
                </w:rPr>
                <w:delText>20 semanas</w:delText>
              </w:r>
            </w:del>
          </w:p>
        </w:tc>
        <w:tc>
          <w:tcPr>
            <w:tcW w:w="1650" w:type="dxa"/>
          </w:tcPr>
          <w:p w14:paraId="4681EE24" w14:textId="4C42EF62" w:rsidR="00E3620C" w:rsidRPr="008912CF" w:rsidRDefault="00615769">
            <w:pPr>
              <w:rPr>
                <w:del w:id="10226" w:author="AbbVie2" w:date="2025-05-13T16:39:00Z"/>
                <w:bCs/>
                <w:szCs w:val="22"/>
              </w:rPr>
              <w:pPrChange w:id="10227" w:author="AbbVie2" w:date="2025-05-13T16:40:00Z">
                <w:pPr>
                  <w:pStyle w:val="BodyTextIndent"/>
                  <w:keepNext/>
                  <w:ind w:left="0" w:right="53" w:firstLine="0"/>
                </w:pPr>
              </w:pPrChange>
            </w:pPr>
            <w:del w:id="10228" w:author="AbbVie2" w:date="2025-05-13T16:39:00Z">
              <w:r w:rsidRPr="008912CF">
                <w:rPr>
                  <w:bCs/>
                  <w:szCs w:val="22"/>
                </w:rPr>
                <w:delText>&gt;32 semanas</w:delText>
              </w:r>
            </w:del>
          </w:p>
        </w:tc>
        <w:tc>
          <w:tcPr>
            <w:tcW w:w="1589" w:type="dxa"/>
          </w:tcPr>
          <w:p w14:paraId="0199B12D" w14:textId="2441C613" w:rsidR="00E3620C" w:rsidRPr="008912CF" w:rsidRDefault="00615769">
            <w:pPr>
              <w:rPr>
                <w:del w:id="10229" w:author="AbbVie2" w:date="2025-05-13T16:39:00Z"/>
                <w:bCs/>
                <w:szCs w:val="22"/>
              </w:rPr>
              <w:pPrChange w:id="10230" w:author="AbbVie2" w:date="2025-05-13T16:40:00Z">
                <w:pPr>
                  <w:pStyle w:val="BodyTextIndent"/>
                  <w:keepNext/>
                  <w:ind w:left="0" w:right="53" w:firstLine="0"/>
                </w:pPr>
              </w:pPrChange>
            </w:pPr>
            <w:del w:id="10231" w:author="AbbVie2" w:date="2025-05-13T16:39:00Z">
              <w:r w:rsidRPr="008912CF">
                <w:rPr>
                  <w:bCs/>
                  <w:szCs w:val="22"/>
                </w:rPr>
                <w:delText>14 semanas</w:delText>
              </w:r>
            </w:del>
          </w:p>
        </w:tc>
      </w:tr>
    </w:tbl>
    <w:p w14:paraId="1AA969DB" w14:textId="5C054C07" w:rsidR="00E3620C" w:rsidRPr="008912CF" w:rsidRDefault="00615769">
      <w:pPr>
        <w:rPr>
          <w:del w:id="10232" w:author="AbbVie2" w:date="2025-05-13T16:39:00Z"/>
          <w:bCs/>
          <w:i/>
          <w:iCs/>
          <w:szCs w:val="22"/>
        </w:rPr>
        <w:pPrChange w:id="10233" w:author="AbbVie2" w:date="2025-05-13T16:40:00Z">
          <w:pPr>
            <w:pStyle w:val="BodyTextIndent"/>
            <w:keepNext/>
            <w:ind w:left="110" w:right="53" w:firstLine="0"/>
          </w:pPr>
        </w:pPrChange>
      </w:pPr>
      <w:del w:id="10234" w:author="AbbVie2" w:date="2025-05-13T16:39:00Z">
        <w:r w:rsidRPr="008912CF">
          <w:rPr>
            <w:bCs/>
            <w:szCs w:val="22"/>
            <w:vertAlign w:val="superscript"/>
          </w:rPr>
          <w:delText xml:space="preserve">a </w:delText>
        </w:r>
        <w:r w:rsidRPr="008912CF">
          <w:rPr>
            <w:bCs/>
            <w:szCs w:val="22"/>
          </w:rPr>
          <w:delText xml:space="preserve">Respostas ACR Ped 30/50/70 à Semana 48 significativamente superiores às observadas nos doentes tratados com placebo </w:delText>
        </w:r>
      </w:del>
    </w:p>
    <w:p w14:paraId="704EBD8C" w14:textId="77A60935" w:rsidR="00E3620C" w:rsidRPr="008912CF" w:rsidRDefault="00615769">
      <w:pPr>
        <w:rPr>
          <w:del w:id="10235" w:author="AbbVie2" w:date="2025-05-13T16:39:00Z"/>
          <w:bCs/>
          <w:szCs w:val="22"/>
        </w:rPr>
        <w:pPrChange w:id="10236" w:author="AbbVie2" w:date="2025-05-13T16:40:00Z">
          <w:pPr>
            <w:pStyle w:val="BodyTextIndent"/>
            <w:keepNext/>
            <w:ind w:left="110" w:right="53" w:firstLine="0"/>
          </w:pPr>
        </w:pPrChange>
      </w:pPr>
      <w:del w:id="10237" w:author="AbbVie2" w:date="2025-05-13T16:39:00Z">
        <w:r w:rsidRPr="008912CF">
          <w:rPr>
            <w:bCs/>
            <w:szCs w:val="22"/>
            <w:vertAlign w:val="superscript"/>
          </w:rPr>
          <w:delText>b</w:delText>
        </w:r>
        <w:r w:rsidRPr="008912CF">
          <w:rPr>
            <w:bCs/>
            <w:szCs w:val="22"/>
          </w:rPr>
          <w:delText xml:space="preserve"> p = 0,015</w:delText>
        </w:r>
      </w:del>
    </w:p>
    <w:p w14:paraId="17CAA723" w14:textId="4045438F" w:rsidR="00E3620C" w:rsidRPr="008912CF" w:rsidRDefault="00615769">
      <w:pPr>
        <w:rPr>
          <w:del w:id="10238" w:author="AbbVie2" w:date="2025-05-13T16:39:00Z"/>
          <w:bCs/>
          <w:szCs w:val="22"/>
        </w:rPr>
        <w:pPrChange w:id="10239" w:author="AbbVie2" w:date="2025-05-13T16:40:00Z">
          <w:pPr>
            <w:pStyle w:val="BodyTextIndent"/>
            <w:keepNext/>
            <w:ind w:left="110" w:right="53" w:firstLine="0"/>
          </w:pPr>
        </w:pPrChange>
      </w:pPr>
      <w:del w:id="10240" w:author="AbbVie2" w:date="2025-05-13T16:39:00Z">
        <w:r w:rsidRPr="008912CF">
          <w:rPr>
            <w:bCs/>
            <w:szCs w:val="22"/>
            <w:vertAlign w:val="superscript"/>
          </w:rPr>
          <w:delText>c</w:delText>
        </w:r>
        <w:r w:rsidRPr="008912CF">
          <w:rPr>
            <w:bCs/>
            <w:szCs w:val="22"/>
          </w:rPr>
          <w:delText xml:space="preserve"> p = 0,031</w:delText>
        </w:r>
      </w:del>
    </w:p>
    <w:p w14:paraId="547AA62E" w14:textId="3C3DA2D6" w:rsidR="00E3620C" w:rsidRPr="008912CF" w:rsidRDefault="00E3620C" w:rsidP="00412FC8">
      <w:pPr>
        <w:rPr>
          <w:del w:id="10241" w:author="AbbVie2" w:date="2025-05-13T16:39:00Z"/>
          <w:sz w:val="22"/>
          <w:szCs w:val="22"/>
          <w:u w:val="single"/>
        </w:rPr>
      </w:pPr>
    </w:p>
    <w:p w14:paraId="004622F5" w14:textId="686FCBAD" w:rsidR="00E3620C" w:rsidRPr="008912CF" w:rsidRDefault="00615769">
      <w:pPr>
        <w:rPr>
          <w:del w:id="10242" w:author="AbbVie2" w:date="2025-05-13T16:39:00Z"/>
          <w:szCs w:val="22"/>
        </w:rPr>
        <w:pPrChange w:id="10243" w:author="AbbVie2" w:date="2025-05-13T16:40:00Z">
          <w:pPr>
            <w:pStyle w:val="EMEAHeadingUnderline"/>
            <w:tabs>
              <w:tab w:val="clear" w:pos="562"/>
            </w:tabs>
            <w:suppressAutoHyphens w:val="0"/>
            <w:spacing w:before="0" w:after="0"/>
          </w:pPr>
        </w:pPrChange>
      </w:pPr>
      <w:del w:id="10244" w:author="AbbVie2" w:date="2025-05-13T16:39:00Z">
        <w:r w:rsidRPr="008912CF">
          <w:rPr>
            <w:szCs w:val="22"/>
          </w:rPr>
          <w:delText>Entre os doentes que responderam à Semana 16 (n=144), as respostas ACR</w:delText>
        </w:r>
        <w:r>
          <w:rPr>
            <w:szCs w:val="22"/>
          </w:rPr>
          <w:delText xml:space="preserve"> Pediátrico</w:delText>
        </w:r>
        <w:r w:rsidRPr="008912CF">
          <w:rPr>
            <w:szCs w:val="22"/>
          </w:rPr>
          <w:delText xml:space="preserve"> 30/50/70/90 foram mantidas até seis anos na fase OLE nos doentes que receberam Humira durante o estudo. Um total de </w:delText>
        </w:r>
        <w:r w:rsidRPr="008912CF">
          <w:rPr>
            <w:rStyle w:val="longtext"/>
            <w:color w:val="000000"/>
            <w:szCs w:val="22"/>
            <w:shd w:val="clear" w:color="auto" w:fill="FFFFFF"/>
          </w:rPr>
          <w:delText xml:space="preserve">19 doentes, dos quais 11 do grupo etário de base 4-12 </w:delText>
        </w:r>
        <w:r>
          <w:rPr>
            <w:rStyle w:val="longtext"/>
            <w:color w:val="000000"/>
            <w:szCs w:val="22"/>
            <w:shd w:val="clear" w:color="auto" w:fill="FFFFFF"/>
          </w:rPr>
          <w:delText xml:space="preserve">anos </w:delText>
        </w:r>
        <w:r w:rsidRPr="008912CF">
          <w:rPr>
            <w:rStyle w:val="longtext"/>
            <w:color w:val="000000"/>
            <w:szCs w:val="22"/>
            <w:shd w:val="clear" w:color="auto" w:fill="FFFFFF"/>
          </w:rPr>
          <w:delText xml:space="preserve">e 8 do grupo etário de </w:delText>
        </w:r>
        <w:r>
          <w:rPr>
            <w:rStyle w:val="longtext"/>
            <w:color w:val="000000"/>
            <w:szCs w:val="22"/>
            <w:shd w:val="clear" w:color="auto" w:fill="FFFFFF"/>
          </w:rPr>
          <w:delText xml:space="preserve">base </w:delText>
        </w:r>
        <w:r w:rsidRPr="008912CF">
          <w:rPr>
            <w:rStyle w:val="longtext"/>
            <w:color w:val="000000"/>
            <w:szCs w:val="22"/>
            <w:shd w:val="clear" w:color="auto" w:fill="FFFFFF"/>
          </w:rPr>
          <w:delText>de 13 a 17 anos</w:delText>
        </w:r>
        <w:r>
          <w:rPr>
            <w:rStyle w:val="longtext"/>
            <w:color w:val="000000"/>
            <w:szCs w:val="22"/>
            <w:shd w:val="clear" w:color="auto" w:fill="FFFFFF"/>
          </w:rPr>
          <w:delText>,</w:delText>
        </w:r>
        <w:r w:rsidRPr="008912CF">
          <w:rPr>
            <w:rStyle w:val="longtext"/>
            <w:color w:val="000000"/>
            <w:szCs w:val="22"/>
            <w:shd w:val="clear" w:color="auto" w:fill="FFFFFF"/>
          </w:rPr>
          <w:delText xml:space="preserve"> foram tratados durante 6 anos ou mais.</w:delText>
        </w:r>
      </w:del>
    </w:p>
    <w:p w14:paraId="1DB7C83A" w14:textId="23E5A037" w:rsidR="00E3620C" w:rsidRPr="008912CF" w:rsidRDefault="00E3620C" w:rsidP="00412FC8">
      <w:pPr>
        <w:rPr>
          <w:del w:id="10245" w:author="AbbVie2" w:date="2025-05-13T16:39:00Z"/>
          <w:sz w:val="22"/>
          <w:szCs w:val="22"/>
        </w:rPr>
      </w:pPr>
    </w:p>
    <w:p w14:paraId="2E892DE4" w14:textId="63A00976" w:rsidR="00E3620C" w:rsidRPr="008912CF" w:rsidRDefault="00615769" w:rsidP="00412FC8">
      <w:pPr>
        <w:rPr>
          <w:del w:id="10246" w:author="AbbVie2" w:date="2025-05-13T16:39:00Z"/>
          <w:sz w:val="22"/>
          <w:szCs w:val="22"/>
        </w:rPr>
      </w:pPr>
      <w:del w:id="10247" w:author="AbbVie2" w:date="2025-05-13T16:39:00Z">
        <w:r w:rsidRPr="008912CF">
          <w:rPr>
            <w:sz w:val="22"/>
            <w:szCs w:val="22"/>
          </w:rPr>
          <w:delText xml:space="preserve">As respostas globais foram geralmente melhores e </w:delText>
        </w:r>
        <w:r>
          <w:rPr>
            <w:sz w:val="22"/>
            <w:szCs w:val="22"/>
          </w:rPr>
          <w:delText>um menor número de</w:delText>
        </w:r>
        <w:r w:rsidRPr="008912CF">
          <w:rPr>
            <w:sz w:val="22"/>
            <w:szCs w:val="22"/>
          </w:rPr>
          <w:delText xml:space="preserve"> doentes desenvolve</w:delText>
        </w:r>
        <w:r>
          <w:rPr>
            <w:sz w:val="22"/>
            <w:szCs w:val="22"/>
          </w:rPr>
          <w:delText>u</w:delText>
        </w:r>
        <w:r w:rsidRPr="008912CF">
          <w:rPr>
            <w:sz w:val="22"/>
            <w:szCs w:val="22"/>
          </w:rPr>
          <w:delText xml:space="preserve"> anticorpos quando tratados com a associação de Humira e MTX, comparativamente com Humira em monoterapia. Considerando estes resultados, Humira é recomendado para utilização em associação com MTX e para utilização em monoterapia, em doentes para os quais a utilização de MTX não é apropriada (ver secção 4.2).</w:delText>
        </w:r>
      </w:del>
    </w:p>
    <w:p w14:paraId="5FB25D5E" w14:textId="0D97E2EA" w:rsidR="00E3620C" w:rsidRPr="008912CF" w:rsidRDefault="00E3620C">
      <w:pPr>
        <w:rPr>
          <w:del w:id="10248" w:author="AbbVie2" w:date="2025-05-13T16:39:00Z"/>
          <w:szCs w:val="22"/>
        </w:rPr>
        <w:pPrChange w:id="10249" w:author="AbbVie2" w:date="2025-05-13T16:40:00Z">
          <w:pPr>
            <w:pStyle w:val="EMEAHeadingUnderline"/>
            <w:tabs>
              <w:tab w:val="clear" w:pos="562"/>
            </w:tabs>
            <w:suppressAutoHyphens w:val="0"/>
            <w:spacing w:before="0" w:after="0"/>
          </w:pPr>
        </w:pPrChange>
      </w:pPr>
    </w:p>
    <w:p w14:paraId="58B4BB4F" w14:textId="7FC5C00B" w:rsidR="00E3620C" w:rsidRPr="008912CF" w:rsidRDefault="00615769">
      <w:pPr>
        <w:rPr>
          <w:del w:id="10250" w:author="AbbVie2" w:date="2025-05-13T16:39:00Z"/>
          <w:sz w:val="22"/>
          <w:szCs w:val="22"/>
        </w:rPr>
        <w:pPrChange w:id="10251" w:author="AbbVie2" w:date="2025-05-13T16:40:00Z">
          <w:pPr>
            <w:keepNext/>
          </w:pPr>
        </w:pPrChange>
      </w:pPr>
      <w:del w:id="10252" w:author="AbbVie2" w:date="2025-05-13T16:39:00Z">
        <w:r w:rsidRPr="008912CF">
          <w:rPr>
            <w:sz w:val="22"/>
            <w:szCs w:val="22"/>
          </w:rPr>
          <w:delText>AIJp II</w:delText>
        </w:r>
      </w:del>
    </w:p>
    <w:p w14:paraId="2882AF93" w14:textId="60655184" w:rsidR="00E3620C" w:rsidRPr="008912CF" w:rsidRDefault="00E3620C">
      <w:pPr>
        <w:rPr>
          <w:del w:id="10253" w:author="AbbVie2" w:date="2025-05-13T16:39:00Z"/>
          <w:sz w:val="22"/>
          <w:szCs w:val="22"/>
          <w:u w:val="single"/>
        </w:rPr>
        <w:pPrChange w:id="10254" w:author="AbbVie2" w:date="2025-05-13T16:40:00Z">
          <w:pPr>
            <w:keepNext/>
          </w:pPr>
        </w:pPrChange>
      </w:pPr>
    </w:p>
    <w:p w14:paraId="38966721" w14:textId="4B498B81" w:rsidR="00E3620C" w:rsidRPr="008912CF" w:rsidRDefault="00615769">
      <w:pPr>
        <w:rPr>
          <w:del w:id="10255" w:author="AbbVie2" w:date="2025-05-13T16:39:00Z"/>
          <w:sz w:val="22"/>
          <w:szCs w:val="22"/>
        </w:rPr>
        <w:pPrChange w:id="10256" w:author="AbbVie2" w:date="2025-05-13T16:40:00Z">
          <w:pPr>
            <w:keepNext/>
          </w:pPr>
        </w:pPrChange>
      </w:pPr>
      <w:del w:id="10257" w:author="AbbVie2" w:date="2025-05-13T16:39:00Z">
        <w:r w:rsidRPr="008912CF">
          <w:rPr>
            <w:sz w:val="22"/>
            <w:szCs w:val="22"/>
          </w:rPr>
          <w:delText xml:space="preserve">A segurança e eficácia de Humira foram avaliadas num estudo multicêntrico aberto em 32 crianças (com 2 e menos de 4 anos ou com 4 ou mais </w:delText>
        </w:r>
        <w:r>
          <w:rPr>
            <w:sz w:val="22"/>
            <w:szCs w:val="22"/>
          </w:rPr>
          <w:delText xml:space="preserve">de </w:delText>
        </w:r>
        <w:r w:rsidRPr="008912CF">
          <w:rPr>
            <w:sz w:val="22"/>
            <w:szCs w:val="22"/>
          </w:rPr>
          <w:delText>4 anos de idade e com peso &lt; 15 kg) com AIJ poliarticular ativa moderada a grave. Os doentes receberam 24 mg/m</w:delText>
        </w:r>
        <w:r w:rsidRPr="008912CF">
          <w:rPr>
            <w:sz w:val="22"/>
            <w:szCs w:val="22"/>
            <w:vertAlign w:val="superscript"/>
          </w:rPr>
          <w:delText>2</w:delText>
        </w:r>
        <w:r w:rsidRPr="008912CF">
          <w:rPr>
            <w:sz w:val="22"/>
            <w:szCs w:val="22"/>
          </w:rPr>
          <w:delText xml:space="preserve"> de área de superfície corporal até uma dose máxima única de 20 mg de Humira administrada em semanas alternadas, por injeção subcutânea durante cerca de 24 semanas. Durante o estudo a maior parte dos doentes foi tratada concomitantemente com MTX e poucos reportaram o uso de corticoides ou AINEs.</w:delText>
        </w:r>
      </w:del>
    </w:p>
    <w:p w14:paraId="7CFF36D3" w14:textId="5F799E1E" w:rsidR="00E3620C" w:rsidRPr="008912CF" w:rsidRDefault="00E3620C" w:rsidP="00412FC8">
      <w:pPr>
        <w:rPr>
          <w:del w:id="10258" w:author="AbbVie2" w:date="2025-05-13T16:39:00Z"/>
          <w:sz w:val="22"/>
          <w:szCs w:val="22"/>
        </w:rPr>
      </w:pPr>
    </w:p>
    <w:p w14:paraId="65E734AF" w14:textId="63964A48" w:rsidR="00E3620C" w:rsidRPr="008912CF" w:rsidRDefault="00615769" w:rsidP="00412FC8">
      <w:pPr>
        <w:rPr>
          <w:del w:id="10259" w:author="AbbVie2" w:date="2025-05-13T16:39:00Z"/>
        </w:rPr>
      </w:pPr>
      <w:del w:id="10260" w:author="AbbVie2" w:date="2025-05-13T16:39:00Z">
        <w:r w:rsidRPr="008912CF">
          <w:rPr>
            <w:sz w:val="22"/>
            <w:szCs w:val="22"/>
          </w:rPr>
          <w:delText>À</w:delText>
        </w:r>
        <w:r>
          <w:rPr>
            <w:sz w:val="22"/>
            <w:szCs w:val="22"/>
          </w:rPr>
          <w:delText>s</w:delText>
        </w:r>
        <w:r w:rsidRPr="008912CF">
          <w:rPr>
            <w:sz w:val="22"/>
            <w:szCs w:val="22"/>
          </w:rPr>
          <w:delText xml:space="preserve"> semana</w:delText>
        </w:r>
        <w:r>
          <w:rPr>
            <w:sz w:val="22"/>
            <w:szCs w:val="22"/>
          </w:rPr>
          <w:delText>s</w:delText>
        </w:r>
        <w:r w:rsidRPr="008912CF">
          <w:rPr>
            <w:sz w:val="22"/>
            <w:szCs w:val="22"/>
          </w:rPr>
          <w:delText xml:space="preserve"> 12 e 24</w:delText>
        </w:r>
        <w:r>
          <w:rPr>
            <w:sz w:val="22"/>
            <w:szCs w:val="22"/>
          </w:rPr>
          <w:delText>,</w:delText>
        </w:r>
        <w:r w:rsidRPr="008912CF">
          <w:rPr>
            <w:sz w:val="22"/>
            <w:szCs w:val="22"/>
          </w:rPr>
          <w:delText xml:space="preserve"> a resposta ACR</w:delText>
        </w:r>
        <w:r>
          <w:rPr>
            <w:sz w:val="22"/>
            <w:szCs w:val="22"/>
          </w:rPr>
          <w:delText xml:space="preserve"> Pediátrico</w:delText>
        </w:r>
        <w:r w:rsidRPr="008912CF">
          <w:rPr>
            <w:sz w:val="22"/>
            <w:szCs w:val="22"/>
          </w:rPr>
          <w:delText xml:space="preserve"> 30 (ACR Ped 30) foi de 93,5</w:delText>
        </w:r>
        <w:r>
          <w:rPr>
            <w:sz w:val="22"/>
            <w:szCs w:val="22"/>
          </w:rPr>
          <w:delText>%</w:delText>
        </w:r>
        <w:r w:rsidRPr="008912CF">
          <w:rPr>
            <w:sz w:val="22"/>
            <w:szCs w:val="22"/>
          </w:rPr>
          <w:delText xml:space="preserve"> e 90</w:delText>
        </w:r>
        <w:r>
          <w:rPr>
            <w:sz w:val="22"/>
            <w:szCs w:val="22"/>
          </w:rPr>
          <w:delText>%,</w:delText>
        </w:r>
        <w:r w:rsidRPr="008912CF">
          <w:rPr>
            <w:sz w:val="22"/>
            <w:szCs w:val="22"/>
          </w:rPr>
          <w:delText xml:space="preserve"> respetivamente</w:delText>
        </w:r>
        <w:r>
          <w:rPr>
            <w:sz w:val="22"/>
            <w:szCs w:val="22"/>
          </w:rPr>
          <w:delText>,</w:delText>
        </w:r>
        <w:r w:rsidRPr="008912CF">
          <w:rPr>
            <w:sz w:val="22"/>
            <w:szCs w:val="22"/>
          </w:rPr>
          <w:delText xml:space="preserve"> com base na abordagem de dados observados. A proporção de doentes com resposta ACR Ped 50/70/90 à</w:delText>
        </w:r>
        <w:r>
          <w:rPr>
            <w:sz w:val="22"/>
            <w:szCs w:val="22"/>
          </w:rPr>
          <w:delText>s</w:delText>
        </w:r>
        <w:r w:rsidRPr="008912CF">
          <w:rPr>
            <w:sz w:val="22"/>
            <w:szCs w:val="22"/>
          </w:rPr>
          <w:delText xml:space="preserve"> semana</w:delText>
        </w:r>
        <w:r>
          <w:rPr>
            <w:sz w:val="22"/>
            <w:szCs w:val="22"/>
          </w:rPr>
          <w:delText>s</w:delText>
        </w:r>
        <w:r w:rsidRPr="008912CF">
          <w:rPr>
            <w:sz w:val="22"/>
            <w:szCs w:val="22"/>
          </w:rPr>
          <w:delText xml:space="preserve"> 12 e 24 foi de 90,3</w:delText>
        </w:r>
        <w:r>
          <w:rPr>
            <w:sz w:val="22"/>
            <w:szCs w:val="22"/>
          </w:rPr>
          <w:delText>%</w:delText>
        </w:r>
        <w:r w:rsidRPr="008912CF">
          <w:rPr>
            <w:sz w:val="22"/>
            <w:szCs w:val="22"/>
          </w:rPr>
          <w:delText>, 61,3</w:delText>
        </w:r>
        <w:r>
          <w:rPr>
            <w:sz w:val="22"/>
            <w:szCs w:val="22"/>
          </w:rPr>
          <w:delText>%</w:delText>
        </w:r>
        <w:r w:rsidRPr="008912CF">
          <w:rPr>
            <w:sz w:val="22"/>
            <w:szCs w:val="22"/>
          </w:rPr>
          <w:delText>, 38,7% e 83,3%, 73,3%, 36,7%</w:delText>
        </w:r>
        <w:r>
          <w:rPr>
            <w:sz w:val="22"/>
            <w:szCs w:val="22"/>
          </w:rPr>
          <w:delText>,</w:delText>
        </w:r>
        <w:r w:rsidRPr="008912CF">
          <w:rPr>
            <w:sz w:val="22"/>
            <w:szCs w:val="22"/>
          </w:rPr>
          <w:delText xml:space="preserve"> respetivamente. Entre os doentes que responderam à semana 24 (n=27 dos 30 doentes), a resposta ACR Ped 30 manteve-se durante um período de 60 semanas na fase OLE em doentes que receberam Humira durante este período de tempo. Foram tratados um total d</w:delText>
        </w:r>
        <w:r w:rsidRPr="008912CF">
          <w:rPr>
            <w:sz w:val="22"/>
            <w:szCs w:val="22"/>
          </w:rPr>
          <w:delText>e 20 doentes, durante 60 semanas ou mais.</w:delText>
        </w:r>
      </w:del>
    </w:p>
    <w:p w14:paraId="71DD1D79" w14:textId="17AC8C5E" w:rsidR="00E3620C" w:rsidRPr="008912CF" w:rsidRDefault="00E3620C" w:rsidP="00412FC8">
      <w:pPr>
        <w:rPr>
          <w:del w:id="10261" w:author="AbbVie2" w:date="2025-05-13T16:39:00Z"/>
        </w:rPr>
      </w:pPr>
    </w:p>
    <w:p w14:paraId="4AC0AD7B" w14:textId="5CD92DCB" w:rsidR="00E3620C" w:rsidRPr="008912CF" w:rsidRDefault="00615769" w:rsidP="00412FC8">
      <w:pPr>
        <w:rPr>
          <w:del w:id="10262" w:author="AbbVie2" w:date="2025-05-13T16:39:00Z"/>
          <w:sz w:val="22"/>
          <w:szCs w:val="22"/>
          <w:u w:val="single"/>
        </w:rPr>
      </w:pPr>
      <w:del w:id="10263" w:author="AbbVie2" w:date="2025-05-13T16:39:00Z">
        <w:r w:rsidRPr="008912CF">
          <w:rPr>
            <w:i/>
            <w:sz w:val="22"/>
            <w:szCs w:val="22"/>
            <w:u w:val="single"/>
          </w:rPr>
          <w:delText>Artrite relacionada com entesite</w:delText>
        </w:r>
      </w:del>
    </w:p>
    <w:p w14:paraId="5CCC31B5" w14:textId="12BEB2D2" w:rsidR="00E3620C" w:rsidRPr="008912CF" w:rsidRDefault="00E3620C" w:rsidP="00412FC8">
      <w:pPr>
        <w:rPr>
          <w:del w:id="10264" w:author="AbbVie2" w:date="2025-05-13T16:39:00Z"/>
          <w:sz w:val="22"/>
          <w:szCs w:val="22"/>
        </w:rPr>
      </w:pPr>
    </w:p>
    <w:p w14:paraId="209BC76B" w14:textId="7355CEB2" w:rsidR="00E3620C" w:rsidRPr="008912CF" w:rsidRDefault="00615769" w:rsidP="00412FC8">
      <w:pPr>
        <w:rPr>
          <w:del w:id="10265" w:author="AbbVie2" w:date="2025-05-13T16:39:00Z"/>
          <w:sz w:val="22"/>
          <w:szCs w:val="22"/>
        </w:rPr>
      </w:pPr>
      <w:del w:id="10266" w:author="AbbVie2" w:date="2025-05-13T16:39:00Z">
        <w:r w:rsidRPr="008912CF">
          <w:rPr>
            <w:sz w:val="22"/>
            <w:szCs w:val="22"/>
          </w:rPr>
          <w:delText xml:space="preserve">A segurança e eficácia de Humira foram avaliadas num estudo multicêntrico, aleatorizado, com dupla ocultação, em 46 doentes pediátricos (entre os 6 e os 17 anos de idade) com artrite relacionada com entesite moderada. Os doentes foram </w:delText>
        </w:r>
        <w:r>
          <w:rPr>
            <w:sz w:val="22"/>
            <w:szCs w:val="22"/>
          </w:rPr>
          <w:delText>aleatorizados</w:delText>
        </w:r>
        <w:r w:rsidRPr="008912CF">
          <w:rPr>
            <w:sz w:val="22"/>
            <w:szCs w:val="22"/>
          </w:rPr>
          <w:delText xml:space="preserve"> para receberem 24 mg/m</w:delText>
        </w:r>
        <w:r w:rsidRPr="008912CF">
          <w:rPr>
            <w:sz w:val="22"/>
            <w:szCs w:val="22"/>
            <w:vertAlign w:val="superscript"/>
          </w:rPr>
          <w:delText>2</w:delText>
        </w:r>
        <w:r w:rsidRPr="008912CF">
          <w:rPr>
            <w:sz w:val="22"/>
            <w:szCs w:val="22"/>
          </w:rPr>
          <w:delText xml:space="preserve"> de área de superfície corporal (BSA) de Humira até uma dose máxima de 40 mg, ou placebo, em semanas alternadas, durante 12 semanas. O período em dupla-ocultação é seguido de um período aberto (OL), durante o qual os doentes receberam 24 mg/m</w:delText>
        </w:r>
        <w:r w:rsidRPr="008912CF">
          <w:rPr>
            <w:sz w:val="22"/>
            <w:szCs w:val="22"/>
            <w:vertAlign w:val="superscript"/>
          </w:rPr>
          <w:delText>2</w:delText>
        </w:r>
        <w:r w:rsidRPr="008912CF">
          <w:rPr>
            <w:sz w:val="22"/>
            <w:szCs w:val="22"/>
          </w:rPr>
          <w:delText xml:space="preserve"> de área de superfície corporal </w:delText>
        </w:r>
        <w:r>
          <w:rPr>
            <w:sz w:val="22"/>
            <w:szCs w:val="22"/>
          </w:rPr>
          <w:delText>(</w:delText>
        </w:r>
        <w:r w:rsidRPr="008912CF">
          <w:rPr>
            <w:sz w:val="22"/>
            <w:szCs w:val="22"/>
          </w:rPr>
          <w:delText>BSA</w:delText>
        </w:r>
        <w:r>
          <w:rPr>
            <w:sz w:val="22"/>
            <w:szCs w:val="22"/>
          </w:rPr>
          <w:delText>)</w:delText>
        </w:r>
        <w:r w:rsidRPr="008912CF">
          <w:rPr>
            <w:sz w:val="22"/>
            <w:szCs w:val="22"/>
          </w:rPr>
          <w:delText xml:space="preserve"> de Humira até uma dose máxima de 40 mg, em semanas alternadas, por via subcutânea, adicionalmente até um máximo de 192 semanas. O objetivo primário foi a variação percentual, da avaliação inicia</w:delText>
        </w:r>
        <w:r w:rsidRPr="008912CF">
          <w:rPr>
            <w:sz w:val="22"/>
            <w:szCs w:val="22"/>
          </w:rPr>
          <w:delText>l à Semana 12, do número de articulações ativas com artrite (tumefação não devida a deformidade ou articulações com limitação de movimento além de dor e/ou dor à palpação</w:delText>
        </w:r>
        <w:r>
          <w:rPr>
            <w:sz w:val="22"/>
            <w:szCs w:val="22"/>
          </w:rPr>
          <w:delText>)</w:delText>
        </w:r>
        <w:r w:rsidRPr="008912CF">
          <w:rPr>
            <w:sz w:val="22"/>
            <w:szCs w:val="22"/>
          </w:rPr>
          <w:delText xml:space="preserve">, a qual foi conseguida com uma diminuição percentual média de -62,6% (variação percentual </w:delText>
        </w:r>
        <w:r>
          <w:rPr>
            <w:sz w:val="22"/>
            <w:szCs w:val="22"/>
          </w:rPr>
          <w:delText>mediana de</w:delText>
        </w:r>
        <w:r w:rsidRPr="008912CF">
          <w:rPr>
            <w:sz w:val="22"/>
            <w:szCs w:val="22"/>
          </w:rPr>
          <w:delText xml:space="preserve"> -88,9%) no grupo de doentes que receberam Humira, comparativamente com -11,6% (variação percentual </w:delText>
        </w:r>
        <w:r>
          <w:rPr>
            <w:sz w:val="22"/>
            <w:szCs w:val="22"/>
          </w:rPr>
          <w:delText>mediana de</w:delText>
        </w:r>
        <w:r w:rsidRPr="008912CF">
          <w:rPr>
            <w:sz w:val="22"/>
            <w:szCs w:val="22"/>
          </w:rPr>
          <w:delText xml:space="preserve"> -50%) no grupo de doentes tratados com placebo. A melhoria no número de articulações ativas com artrite foi mantida durante o per</w:delText>
        </w:r>
        <w:r w:rsidRPr="008912CF">
          <w:rPr>
            <w:sz w:val="22"/>
            <w:szCs w:val="22"/>
          </w:rPr>
          <w:delText xml:space="preserve">íodo aberto (OL) até à Semana </w:delText>
        </w:r>
        <w:r>
          <w:rPr>
            <w:sz w:val="22"/>
            <w:szCs w:val="22"/>
          </w:rPr>
          <w:delText>156 para 26 dos 31 doentes (84%) do grupo Humira que permaneceram</w:delText>
        </w:r>
        <w:r w:rsidRPr="008912CF">
          <w:rPr>
            <w:sz w:val="22"/>
            <w:szCs w:val="22"/>
          </w:rPr>
          <w:delText xml:space="preserve"> </w:delText>
        </w:r>
        <w:r>
          <w:rPr>
            <w:sz w:val="22"/>
            <w:szCs w:val="22"/>
          </w:rPr>
          <w:delText>n</w:delText>
        </w:r>
        <w:r w:rsidRPr="008912CF">
          <w:rPr>
            <w:sz w:val="22"/>
            <w:szCs w:val="22"/>
          </w:rPr>
          <w:delText xml:space="preserve">o estudo. Embora sem significância estatística, a maioria dos doentes demonstraram melhoria clínica nos objetivos secundários, tais como número </w:delText>
        </w:r>
        <w:r>
          <w:rPr>
            <w:sz w:val="22"/>
            <w:szCs w:val="22"/>
          </w:rPr>
          <w:delText>de</w:delText>
        </w:r>
        <w:r w:rsidRPr="008912CF">
          <w:rPr>
            <w:sz w:val="22"/>
            <w:szCs w:val="22"/>
          </w:rPr>
          <w:delText xml:space="preserve"> locais </w:delText>
        </w:r>
        <w:r>
          <w:rPr>
            <w:sz w:val="22"/>
            <w:szCs w:val="22"/>
          </w:rPr>
          <w:delText>com</w:delText>
        </w:r>
        <w:r w:rsidRPr="008912CF">
          <w:rPr>
            <w:sz w:val="22"/>
            <w:szCs w:val="22"/>
          </w:rPr>
          <w:delText xml:space="preserve"> entesite, contagem de articulações dolorosas (TJC), contagem de articulações tumefactas (SJC),</w:delText>
        </w:r>
        <w:r w:rsidRPr="008912CF">
          <w:rPr>
            <w:szCs w:val="22"/>
          </w:rPr>
          <w:delText xml:space="preserve"> </w:delText>
        </w:r>
        <w:r w:rsidRPr="008912CF">
          <w:rPr>
            <w:sz w:val="22"/>
            <w:szCs w:val="22"/>
          </w:rPr>
          <w:delText xml:space="preserve">respostas ACR </w:delText>
        </w:r>
        <w:r>
          <w:rPr>
            <w:sz w:val="22"/>
            <w:szCs w:val="22"/>
          </w:rPr>
          <w:delText xml:space="preserve">Pediátrico </w:delText>
        </w:r>
        <w:r w:rsidRPr="008912CF">
          <w:rPr>
            <w:sz w:val="22"/>
            <w:szCs w:val="22"/>
          </w:rPr>
          <w:delText>50 e respostas ACR</w:delText>
        </w:r>
        <w:r>
          <w:rPr>
            <w:sz w:val="22"/>
            <w:szCs w:val="22"/>
          </w:rPr>
          <w:delText xml:space="preserve"> Pediátrico</w:delText>
        </w:r>
        <w:r w:rsidRPr="008912CF">
          <w:rPr>
            <w:sz w:val="22"/>
            <w:szCs w:val="22"/>
          </w:rPr>
          <w:delText xml:space="preserve"> 70.</w:delText>
        </w:r>
      </w:del>
    </w:p>
    <w:p w14:paraId="133E2579" w14:textId="3DE76D5D" w:rsidR="00B925B3" w:rsidRDefault="00B925B3" w:rsidP="00412FC8">
      <w:pPr>
        <w:rPr>
          <w:del w:id="10267" w:author="AbbVie2" w:date="2025-05-13T16:39:00Z"/>
          <w:i/>
          <w:sz w:val="22"/>
          <w:szCs w:val="22"/>
        </w:rPr>
      </w:pPr>
    </w:p>
    <w:p w14:paraId="52303F04" w14:textId="34E97C8F" w:rsidR="00B925B3" w:rsidRPr="008912CF" w:rsidRDefault="00615769">
      <w:pPr>
        <w:rPr>
          <w:del w:id="10268" w:author="AbbVie2" w:date="2025-05-13T16:39:00Z"/>
          <w:sz w:val="22"/>
          <w:szCs w:val="22"/>
          <w:u w:val="single"/>
        </w:rPr>
        <w:pPrChange w:id="10269" w:author="AbbVie2" w:date="2025-05-13T16:40:00Z">
          <w:pPr>
            <w:keepNext/>
          </w:pPr>
        </w:pPrChange>
      </w:pPr>
      <w:del w:id="10270" w:author="AbbVie2" w:date="2025-05-13T16:39:00Z">
        <w:r w:rsidRPr="008912CF">
          <w:rPr>
            <w:i/>
            <w:sz w:val="22"/>
            <w:szCs w:val="22"/>
          </w:rPr>
          <w:delText>Psoríase pediátrica em placas</w:delText>
        </w:r>
      </w:del>
    </w:p>
    <w:p w14:paraId="1FEE4ECD" w14:textId="7C5C4FE3" w:rsidR="00B925B3" w:rsidRPr="008912CF" w:rsidRDefault="00B925B3">
      <w:pPr>
        <w:rPr>
          <w:del w:id="10271" w:author="AbbVie2" w:date="2025-05-13T16:39:00Z"/>
          <w:sz w:val="22"/>
          <w:szCs w:val="22"/>
          <w:u w:val="single"/>
        </w:rPr>
        <w:pPrChange w:id="10272" w:author="AbbVie2" w:date="2025-05-13T16:40:00Z">
          <w:pPr>
            <w:keepNext/>
          </w:pPr>
        </w:pPrChange>
      </w:pPr>
    </w:p>
    <w:p w14:paraId="1451D9DA" w14:textId="6DB8FC30" w:rsidR="00B925B3" w:rsidRPr="008912CF" w:rsidRDefault="00615769">
      <w:pPr>
        <w:rPr>
          <w:del w:id="10273" w:author="AbbVie2" w:date="2025-05-13T16:39:00Z"/>
          <w:sz w:val="22"/>
          <w:szCs w:val="22"/>
        </w:rPr>
        <w:pPrChange w:id="10274" w:author="AbbVie2" w:date="2025-05-13T16:40:00Z">
          <w:pPr>
            <w:keepNext/>
          </w:pPr>
        </w:pPrChange>
      </w:pPr>
      <w:del w:id="10275" w:author="AbbVie2" w:date="2025-05-13T16:39:00Z">
        <w:r w:rsidRPr="008912CF">
          <w:rPr>
            <w:sz w:val="22"/>
            <w:szCs w:val="22"/>
          </w:rPr>
          <w:delText>A eficácia d</w:delText>
        </w:r>
        <w:r>
          <w:rPr>
            <w:sz w:val="22"/>
            <w:szCs w:val="22"/>
          </w:rPr>
          <w:delText>e</w:delText>
        </w:r>
        <w:r w:rsidRPr="008912CF">
          <w:rPr>
            <w:sz w:val="22"/>
            <w:szCs w:val="22"/>
          </w:rPr>
          <w:delText xml:space="preserve"> Humira foi avaliada num estudo </w:delText>
        </w:r>
        <w:r>
          <w:rPr>
            <w:sz w:val="22"/>
            <w:szCs w:val="22"/>
          </w:rPr>
          <w:delText>aleatorizado,</w:delText>
        </w:r>
        <w:r w:rsidRPr="008912CF">
          <w:rPr>
            <w:sz w:val="22"/>
            <w:szCs w:val="22"/>
          </w:rPr>
          <w:delText xml:space="preserve"> em dupla ocultação, controlado, em 114 doentes pediátricos a partir dos 4 anos de idade, com psoríase </w:delText>
        </w:r>
        <w:r>
          <w:rPr>
            <w:sz w:val="22"/>
            <w:szCs w:val="22"/>
          </w:rPr>
          <w:delText xml:space="preserve">crónica </w:delText>
        </w:r>
        <w:r w:rsidRPr="008912CF">
          <w:rPr>
            <w:sz w:val="22"/>
            <w:szCs w:val="22"/>
          </w:rPr>
          <w:delText>em placas grave (definida por PGA ≥ 4 ou envolvimento BSA &gt;20% ou envolvimento BSA &gt;10% com lesões muito espessas, ou PASI ≥20 ou ≥10 com envolvimento clinicamente relevante facial, genital ou das mãos/pés), que não estavam controlados adequadamente com tratamento tópico e helioterapia ou fototerapia.</w:delText>
        </w:r>
      </w:del>
    </w:p>
    <w:p w14:paraId="231F4FB2" w14:textId="6CAFBF96" w:rsidR="00B925B3" w:rsidRPr="008912CF" w:rsidRDefault="00B925B3" w:rsidP="00412FC8">
      <w:pPr>
        <w:rPr>
          <w:del w:id="10276" w:author="AbbVie2" w:date="2025-05-13T16:39:00Z"/>
          <w:sz w:val="22"/>
          <w:szCs w:val="22"/>
        </w:rPr>
      </w:pPr>
    </w:p>
    <w:p w14:paraId="03412ECB" w14:textId="1583B747" w:rsidR="00B925B3" w:rsidRPr="008912CF" w:rsidRDefault="00615769" w:rsidP="00412FC8">
      <w:pPr>
        <w:rPr>
          <w:del w:id="10277" w:author="AbbVie2" w:date="2025-05-13T16:39:00Z"/>
          <w:sz w:val="22"/>
          <w:szCs w:val="22"/>
        </w:rPr>
      </w:pPr>
      <w:del w:id="10278" w:author="AbbVie2" w:date="2025-05-13T16:39:00Z">
        <w:r w:rsidRPr="008912CF">
          <w:rPr>
            <w:sz w:val="22"/>
            <w:szCs w:val="22"/>
          </w:rPr>
          <w:delText xml:space="preserve">Os doentes receberam Humira 0,8 mg/kg em semanas alternadas (até ao máximo de 40 mg), 0,4 mg/kg em semanas alternadas (até ao máximo de 20 mg), ou metotrexato 0,1 – 0,4 mg/kg por semana (até ao máximo de 25 mg). Na </w:delText>
        </w:r>
        <w:r>
          <w:rPr>
            <w:sz w:val="22"/>
            <w:szCs w:val="22"/>
          </w:rPr>
          <w:delText>S</w:delText>
        </w:r>
        <w:r w:rsidRPr="008912CF">
          <w:rPr>
            <w:sz w:val="22"/>
            <w:szCs w:val="22"/>
          </w:rPr>
          <w:delText>emana 16, os doentes que receberam Humira 0,8 mg/kg apresentaram um maior número de respostas de eficácia positivas (p.ex. PASI 75), comparativamente com os doentes que receberam 0,4 mg/kg em semanas alternadas ou MTX.</w:delText>
        </w:r>
      </w:del>
    </w:p>
    <w:p w14:paraId="76ACCE07" w14:textId="791AE8F8" w:rsidR="00B925B3" w:rsidRPr="008912CF" w:rsidRDefault="00B925B3" w:rsidP="00412FC8">
      <w:pPr>
        <w:rPr>
          <w:del w:id="10279" w:author="AbbVie2" w:date="2025-05-13T16:39:00Z"/>
          <w:sz w:val="22"/>
          <w:szCs w:val="22"/>
        </w:rPr>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589"/>
        <w:gridCol w:w="1429"/>
        <w:gridCol w:w="3070"/>
      </w:tblGrid>
      <w:tr w:rsidR="00A7162A" w14:paraId="5EF4326A" w14:textId="5BE5CA7F" w:rsidTr="00D22E86">
        <w:trPr>
          <w:jc w:val="center"/>
          <w:del w:id="10280" w:author="AbbVie2" w:date="2025-05-13T16:39:00Z"/>
        </w:trPr>
        <w:tc>
          <w:tcPr>
            <w:tcW w:w="5000" w:type="pct"/>
            <w:gridSpan w:val="3"/>
            <w:tcBorders>
              <w:top w:val="nil"/>
              <w:left w:val="nil"/>
              <w:bottom w:val="nil"/>
              <w:right w:val="nil"/>
            </w:tcBorders>
            <w:vAlign w:val="center"/>
          </w:tcPr>
          <w:p w14:paraId="5E68C9CC" w14:textId="3852E74E" w:rsidR="00B925B3" w:rsidRPr="008912CF" w:rsidRDefault="00615769">
            <w:pPr>
              <w:rPr>
                <w:del w:id="10281" w:author="AbbVie2" w:date="2025-05-13T16:39:00Z"/>
                <w:b/>
                <w:bCs/>
                <w:sz w:val="22"/>
                <w:szCs w:val="22"/>
              </w:rPr>
              <w:pPrChange w:id="10282" w:author="AbbVie2" w:date="2025-05-13T16:40:00Z">
                <w:pPr>
                  <w:keepNext/>
                  <w:tabs>
                    <w:tab w:val="left" w:pos="562"/>
                  </w:tabs>
                  <w:suppressAutoHyphens/>
                  <w:autoSpaceDE w:val="0"/>
                  <w:autoSpaceDN w:val="0"/>
                  <w:adjustRightInd w:val="0"/>
                  <w:jc w:val="center"/>
                </w:pPr>
              </w:pPrChange>
            </w:pPr>
            <w:del w:id="10283" w:author="AbbVie2" w:date="2025-05-13T16:39:00Z">
              <w:r w:rsidRPr="008912CF">
                <w:rPr>
                  <w:b/>
                  <w:sz w:val="22"/>
                  <w:szCs w:val="22"/>
                </w:rPr>
                <w:delText xml:space="preserve">Tabela </w:delText>
              </w:r>
              <w:r>
                <w:rPr>
                  <w:b/>
                  <w:sz w:val="22"/>
                  <w:szCs w:val="22"/>
                </w:rPr>
                <w:delText>27</w:delText>
              </w:r>
              <w:r w:rsidRPr="008912CF">
                <w:rPr>
                  <w:b/>
                  <w:sz w:val="22"/>
                  <w:szCs w:val="22"/>
                </w:rPr>
                <w:delText>: Resultados de Eficácia à</w:delText>
              </w:r>
              <w:r>
                <w:rPr>
                  <w:b/>
                  <w:sz w:val="22"/>
                  <w:szCs w:val="22"/>
                </w:rPr>
                <w:delText xml:space="preserve"> Semana</w:delText>
              </w:r>
              <w:r w:rsidRPr="008912CF">
                <w:rPr>
                  <w:b/>
                  <w:sz w:val="22"/>
                  <w:szCs w:val="22"/>
                </w:rPr>
                <w:delText xml:space="preserve"> 16 na Psoríase Pediátrica em Placas</w:delText>
              </w:r>
            </w:del>
          </w:p>
          <w:p w14:paraId="75126D33" w14:textId="5F80666A" w:rsidR="00B925B3" w:rsidRPr="008912CF" w:rsidRDefault="00B925B3">
            <w:pPr>
              <w:rPr>
                <w:del w:id="10284" w:author="AbbVie2" w:date="2025-05-13T16:39:00Z"/>
                <w:b/>
                <w:sz w:val="22"/>
                <w:szCs w:val="22"/>
              </w:rPr>
              <w:pPrChange w:id="10285" w:author="AbbVie2" w:date="2025-05-13T16:40:00Z">
                <w:pPr>
                  <w:keepNext/>
                  <w:tabs>
                    <w:tab w:val="left" w:pos="562"/>
                  </w:tabs>
                  <w:suppressAutoHyphens/>
                  <w:jc w:val="center"/>
                </w:pPr>
              </w:pPrChange>
            </w:pPr>
          </w:p>
        </w:tc>
      </w:tr>
      <w:tr w:rsidR="00A7162A" w14:paraId="60BEA82F" w14:textId="437749EA" w:rsidTr="00D22E86">
        <w:trPr>
          <w:jc w:val="center"/>
          <w:del w:id="10286" w:author="AbbVie2" w:date="2025-05-13T16:39:00Z"/>
        </w:trPr>
        <w:tc>
          <w:tcPr>
            <w:tcW w:w="0" w:type="auto"/>
            <w:tcBorders>
              <w:top w:val="single" w:sz="6" w:space="0" w:color="000000"/>
              <w:left w:val="single" w:sz="6" w:space="0" w:color="000000"/>
              <w:bottom w:val="outset" w:sz="6" w:space="0" w:color="auto"/>
              <w:right w:val="outset" w:sz="6" w:space="0" w:color="auto"/>
            </w:tcBorders>
            <w:vAlign w:val="center"/>
          </w:tcPr>
          <w:p w14:paraId="593EF422" w14:textId="199649BF" w:rsidR="00B925B3" w:rsidRPr="008912CF" w:rsidRDefault="00B925B3">
            <w:pPr>
              <w:rPr>
                <w:del w:id="10287" w:author="AbbVie2" w:date="2025-05-13T16:39:00Z"/>
                <w:sz w:val="22"/>
                <w:szCs w:val="22"/>
              </w:rPr>
              <w:pPrChange w:id="10288" w:author="AbbVie2" w:date="2025-05-13T16:40:00Z">
                <w:pPr>
                  <w:keepNext/>
                  <w:tabs>
                    <w:tab w:val="left" w:pos="562"/>
                  </w:tabs>
                  <w:suppressAutoHyphens/>
                </w:pPr>
              </w:pPrChange>
            </w:pPr>
          </w:p>
        </w:tc>
        <w:tc>
          <w:tcPr>
            <w:tcW w:w="0" w:type="auto"/>
            <w:tcBorders>
              <w:top w:val="single" w:sz="6" w:space="0" w:color="000000"/>
              <w:left w:val="single" w:sz="6" w:space="0" w:color="000000"/>
              <w:bottom w:val="outset" w:sz="6" w:space="0" w:color="auto"/>
              <w:right w:val="outset" w:sz="6" w:space="0" w:color="auto"/>
            </w:tcBorders>
            <w:vAlign w:val="center"/>
          </w:tcPr>
          <w:p w14:paraId="5F289E35" w14:textId="7839FF18" w:rsidR="00B925B3" w:rsidRPr="008912CF" w:rsidRDefault="00615769">
            <w:pPr>
              <w:rPr>
                <w:del w:id="10289" w:author="AbbVie2" w:date="2025-05-13T16:39:00Z"/>
                <w:sz w:val="22"/>
                <w:szCs w:val="22"/>
                <w:vertAlign w:val="superscript"/>
              </w:rPr>
              <w:pPrChange w:id="10290" w:author="AbbVie2" w:date="2025-05-13T16:40:00Z">
                <w:pPr>
                  <w:keepNext/>
                  <w:tabs>
                    <w:tab w:val="left" w:pos="562"/>
                  </w:tabs>
                  <w:suppressAutoHyphens/>
                  <w:jc w:val="center"/>
                </w:pPr>
              </w:pPrChange>
            </w:pPr>
            <w:del w:id="10291" w:author="AbbVie2" w:date="2025-05-13T16:39:00Z">
              <w:r w:rsidRPr="008912CF">
                <w:rPr>
                  <w:sz w:val="22"/>
                  <w:szCs w:val="22"/>
                </w:rPr>
                <w:delText>MTX</w:delText>
              </w:r>
              <w:r w:rsidRPr="008912CF">
                <w:rPr>
                  <w:sz w:val="22"/>
                  <w:szCs w:val="22"/>
                  <w:vertAlign w:val="superscript"/>
                </w:rPr>
                <w:delText>a</w:delText>
              </w:r>
            </w:del>
          </w:p>
          <w:p w14:paraId="344A39A3" w14:textId="5C129B3F" w:rsidR="00B925B3" w:rsidRPr="008912CF" w:rsidRDefault="00615769">
            <w:pPr>
              <w:rPr>
                <w:del w:id="10292" w:author="AbbVie2" w:date="2025-05-13T16:39:00Z"/>
                <w:sz w:val="22"/>
                <w:szCs w:val="22"/>
              </w:rPr>
              <w:pPrChange w:id="10293" w:author="AbbVie2" w:date="2025-05-13T16:40:00Z">
                <w:pPr>
                  <w:keepNext/>
                  <w:tabs>
                    <w:tab w:val="left" w:pos="562"/>
                  </w:tabs>
                  <w:suppressAutoHyphens/>
                  <w:jc w:val="center"/>
                </w:pPr>
              </w:pPrChange>
            </w:pPr>
            <w:del w:id="10294" w:author="AbbVie2" w:date="2025-05-13T16:39:00Z">
              <w:r w:rsidRPr="008912CF">
                <w:rPr>
                  <w:sz w:val="22"/>
                  <w:szCs w:val="22"/>
                </w:rPr>
                <w:delText xml:space="preserve">N=37 </w:delText>
              </w:r>
            </w:del>
          </w:p>
        </w:tc>
        <w:tc>
          <w:tcPr>
            <w:tcW w:w="1898" w:type="pct"/>
            <w:tcBorders>
              <w:top w:val="single" w:sz="6" w:space="0" w:color="000000"/>
              <w:left w:val="single" w:sz="6" w:space="0" w:color="000000"/>
              <w:bottom w:val="outset" w:sz="6" w:space="0" w:color="auto"/>
              <w:right w:val="single" w:sz="6" w:space="0" w:color="000000"/>
            </w:tcBorders>
            <w:vAlign w:val="center"/>
          </w:tcPr>
          <w:p w14:paraId="1E91E8A6" w14:textId="0AC19316" w:rsidR="00B925B3" w:rsidRPr="008912CF" w:rsidRDefault="00615769">
            <w:pPr>
              <w:rPr>
                <w:del w:id="10295" w:author="AbbVie2" w:date="2025-05-13T16:39:00Z"/>
                <w:sz w:val="22"/>
                <w:szCs w:val="22"/>
              </w:rPr>
              <w:pPrChange w:id="10296" w:author="AbbVie2" w:date="2025-05-13T16:40:00Z">
                <w:pPr>
                  <w:keepNext/>
                  <w:tabs>
                    <w:tab w:val="left" w:pos="562"/>
                  </w:tabs>
                  <w:suppressAutoHyphens/>
                  <w:jc w:val="center"/>
                </w:pPr>
              </w:pPrChange>
            </w:pPr>
            <w:del w:id="10297" w:author="AbbVie2" w:date="2025-05-13T16:39:00Z">
              <w:r w:rsidRPr="008912CF">
                <w:rPr>
                  <w:sz w:val="22"/>
                  <w:szCs w:val="22"/>
                </w:rPr>
                <w:delText>Humira 0,8 mg/kg em semanas alternadas</w:delText>
              </w:r>
            </w:del>
          </w:p>
          <w:p w14:paraId="5E96F840" w14:textId="5AAD3FD9" w:rsidR="00B925B3" w:rsidRPr="008912CF" w:rsidRDefault="00615769">
            <w:pPr>
              <w:rPr>
                <w:del w:id="10298" w:author="AbbVie2" w:date="2025-05-13T16:39:00Z"/>
                <w:sz w:val="22"/>
                <w:szCs w:val="22"/>
              </w:rPr>
              <w:pPrChange w:id="10299" w:author="AbbVie2" w:date="2025-05-13T16:40:00Z">
                <w:pPr>
                  <w:keepNext/>
                  <w:tabs>
                    <w:tab w:val="left" w:pos="562"/>
                  </w:tabs>
                  <w:suppressAutoHyphens/>
                  <w:jc w:val="center"/>
                </w:pPr>
              </w:pPrChange>
            </w:pPr>
            <w:del w:id="10300" w:author="AbbVie2" w:date="2025-05-13T16:39:00Z">
              <w:r w:rsidRPr="008912CF">
                <w:rPr>
                  <w:sz w:val="22"/>
                  <w:szCs w:val="22"/>
                </w:rPr>
                <w:delText xml:space="preserve">N=38 </w:delText>
              </w:r>
            </w:del>
          </w:p>
        </w:tc>
      </w:tr>
      <w:tr w:rsidR="00A7162A" w14:paraId="5A279DAF" w14:textId="6BFFB932" w:rsidTr="00D22E86">
        <w:trPr>
          <w:jc w:val="center"/>
          <w:del w:id="10301" w:author="AbbVie2" w:date="2025-05-13T16:39:00Z"/>
        </w:trPr>
        <w:tc>
          <w:tcPr>
            <w:tcW w:w="0" w:type="auto"/>
            <w:tcBorders>
              <w:top w:val="single" w:sz="6" w:space="0" w:color="000000"/>
              <w:left w:val="single" w:sz="6" w:space="0" w:color="000000"/>
              <w:bottom w:val="outset" w:sz="6" w:space="0" w:color="auto"/>
              <w:right w:val="outset" w:sz="6" w:space="0" w:color="auto"/>
            </w:tcBorders>
            <w:vAlign w:val="center"/>
          </w:tcPr>
          <w:p w14:paraId="0D46F35C" w14:textId="34B9AAB6" w:rsidR="00B925B3" w:rsidRPr="008912CF" w:rsidRDefault="00615769">
            <w:pPr>
              <w:rPr>
                <w:del w:id="10302" w:author="AbbVie2" w:date="2025-05-13T16:39:00Z"/>
                <w:sz w:val="22"/>
                <w:szCs w:val="22"/>
              </w:rPr>
              <w:pPrChange w:id="10303" w:author="AbbVie2" w:date="2025-05-13T16:40:00Z">
                <w:pPr>
                  <w:keepNext/>
                  <w:tabs>
                    <w:tab w:val="left" w:pos="562"/>
                  </w:tabs>
                  <w:suppressAutoHyphens/>
                </w:pPr>
              </w:pPrChange>
            </w:pPr>
            <w:del w:id="10304" w:author="AbbVie2" w:date="2025-05-13T16:39:00Z">
              <w:r w:rsidRPr="008912CF">
                <w:rPr>
                  <w:sz w:val="22"/>
                  <w:szCs w:val="22"/>
                </w:rPr>
                <w:delText> </w:delText>
              </w:r>
              <w:r w:rsidRPr="008912CF">
                <w:rPr>
                  <w:sz w:val="22"/>
                  <w:szCs w:val="22"/>
                </w:rPr>
                <w:delText>PASI 75</w:delText>
              </w:r>
              <w:r w:rsidRPr="008912CF">
                <w:rPr>
                  <w:sz w:val="22"/>
                  <w:szCs w:val="22"/>
                  <w:vertAlign w:val="superscript"/>
                </w:rPr>
                <w:delText>b</w:delText>
              </w:r>
            </w:del>
          </w:p>
        </w:tc>
        <w:tc>
          <w:tcPr>
            <w:tcW w:w="0" w:type="auto"/>
            <w:tcBorders>
              <w:top w:val="single" w:sz="6" w:space="0" w:color="000000"/>
              <w:left w:val="single" w:sz="6" w:space="0" w:color="000000"/>
              <w:bottom w:val="outset" w:sz="6" w:space="0" w:color="auto"/>
              <w:right w:val="outset" w:sz="6" w:space="0" w:color="auto"/>
            </w:tcBorders>
            <w:vAlign w:val="center"/>
          </w:tcPr>
          <w:p w14:paraId="75F2D38E" w14:textId="1F773F90" w:rsidR="00B925B3" w:rsidRPr="008912CF" w:rsidRDefault="00615769">
            <w:pPr>
              <w:rPr>
                <w:del w:id="10305" w:author="AbbVie2" w:date="2025-05-13T16:39:00Z"/>
                <w:sz w:val="22"/>
                <w:szCs w:val="22"/>
              </w:rPr>
              <w:pPrChange w:id="10306" w:author="AbbVie2" w:date="2025-05-13T16:40:00Z">
                <w:pPr>
                  <w:keepNext/>
                  <w:tabs>
                    <w:tab w:val="left" w:pos="562"/>
                  </w:tabs>
                  <w:suppressAutoHyphens/>
                  <w:jc w:val="center"/>
                </w:pPr>
              </w:pPrChange>
            </w:pPr>
            <w:del w:id="10307" w:author="AbbVie2" w:date="2025-05-13T16:39:00Z">
              <w:r w:rsidRPr="008912CF">
                <w:rPr>
                  <w:sz w:val="22"/>
                  <w:szCs w:val="22"/>
                </w:rPr>
                <w:delText>12 (32,4</w:delText>
              </w:r>
              <w:r>
                <w:rPr>
                  <w:sz w:val="22"/>
                  <w:szCs w:val="22"/>
                </w:rPr>
                <w:delText>%</w:delText>
              </w:r>
              <w:r w:rsidRPr="008912CF">
                <w:rPr>
                  <w:sz w:val="22"/>
                  <w:szCs w:val="22"/>
                </w:rPr>
                <w:delText>)</w:delText>
              </w:r>
            </w:del>
          </w:p>
        </w:tc>
        <w:tc>
          <w:tcPr>
            <w:tcW w:w="1898" w:type="pct"/>
            <w:tcBorders>
              <w:top w:val="single" w:sz="6" w:space="0" w:color="000000"/>
              <w:left w:val="single" w:sz="6" w:space="0" w:color="000000"/>
              <w:bottom w:val="outset" w:sz="6" w:space="0" w:color="auto"/>
              <w:right w:val="single" w:sz="6" w:space="0" w:color="000000"/>
            </w:tcBorders>
            <w:vAlign w:val="center"/>
          </w:tcPr>
          <w:p w14:paraId="7FAAE532" w14:textId="53F4A8E2" w:rsidR="00B925B3" w:rsidRPr="008912CF" w:rsidRDefault="00615769">
            <w:pPr>
              <w:rPr>
                <w:del w:id="10308" w:author="AbbVie2" w:date="2025-05-13T16:39:00Z"/>
                <w:sz w:val="22"/>
                <w:szCs w:val="22"/>
              </w:rPr>
              <w:pPrChange w:id="10309" w:author="AbbVie2" w:date="2025-05-13T16:40:00Z">
                <w:pPr>
                  <w:keepNext/>
                  <w:tabs>
                    <w:tab w:val="left" w:pos="562"/>
                  </w:tabs>
                  <w:suppressAutoHyphens/>
                  <w:jc w:val="center"/>
                </w:pPr>
              </w:pPrChange>
            </w:pPr>
            <w:del w:id="10310" w:author="AbbVie2" w:date="2025-05-13T16:39:00Z">
              <w:r w:rsidRPr="008912CF">
                <w:rPr>
                  <w:sz w:val="22"/>
                  <w:szCs w:val="22"/>
                </w:rPr>
                <w:delText>22 (57,9</w:delText>
              </w:r>
              <w:r>
                <w:rPr>
                  <w:sz w:val="22"/>
                  <w:szCs w:val="22"/>
                </w:rPr>
                <w:delText>%</w:delText>
              </w:r>
              <w:r w:rsidRPr="008912CF">
                <w:rPr>
                  <w:sz w:val="22"/>
                  <w:szCs w:val="22"/>
                </w:rPr>
                <w:delText>)</w:delText>
              </w:r>
            </w:del>
          </w:p>
        </w:tc>
      </w:tr>
      <w:tr w:rsidR="00A7162A" w14:paraId="040F11A4" w14:textId="6A902ED9" w:rsidTr="00D22E86">
        <w:trPr>
          <w:jc w:val="center"/>
          <w:del w:id="10311" w:author="AbbVie2" w:date="2025-05-13T16:39:00Z"/>
        </w:trPr>
        <w:tc>
          <w:tcPr>
            <w:tcW w:w="0" w:type="auto"/>
            <w:tcBorders>
              <w:top w:val="single" w:sz="6" w:space="0" w:color="000000"/>
              <w:left w:val="single" w:sz="6" w:space="0" w:color="000000"/>
              <w:bottom w:val="single" w:sz="6" w:space="0" w:color="000000"/>
              <w:right w:val="outset" w:sz="6" w:space="0" w:color="auto"/>
            </w:tcBorders>
            <w:vAlign w:val="center"/>
          </w:tcPr>
          <w:p w14:paraId="3CD9196B" w14:textId="50238018" w:rsidR="00B925B3" w:rsidRPr="008912CF" w:rsidRDefault="00615769">
            <w:pPr>
              <w:rPr>
                <w:del w:id="10312" w:author="AbbVie2" w:date="2025-05-13T16:39:00Z"/>
                <w:sz w:val="22"/>
                <w:szCs w:val="22"/>
              </w:rPr>
              <w:pPrChange w:id="10313" w:author="AbbVie2" w:date="2025-05-13T16:40:00Z">
                <w:pPr>
                  <w:keepNext/>
                  <w:tabs>
                    <w:tab w:val="left" w:pos="562"/>
                  </w:tabs>
                  <w:suppressAutoHyphens/>
                </w:pPr>
              </w:pPrChange>
            </w:pPr>
            <w:del w:id="10314" w:author="AbbVie2" w:date="2025-05-13T16:39:00Z">
              <w:r w:rsidRPr="008912CF">
                <w:rPr>
                  <w:sz w:val="22"/>
                  <w:szCs w:val="22"/>
                </w:rPr>
                <w:delText> </w:delText>
              </w:r>
              <w:r w:rsidRPr="008912CF">
                <w:rPr>
                  <w:sz w:val="22"/>
                  <w:szCs w:val="22"/>
                </w:rPr>
                <w:delText>PGA: Limp</w:delText>
              </w:r>
              <w:r>
                <w:rPr>
                  <w:sz w:val="22"/>
                  <w:szCs w:val="22"/>
                </w:rPr>
                <w:delText>a</w:delText>
              </w:r>
              <w:r w:rsidRPr="008912CF">
                <w:rPr>
                  <w:sz w:val="22"/>
                  <w:szCs w:val="22"/>
                </w:rPr>
                <w:delText>/</w:delText>
              </w:r>
              <w:r>
                <w:rPr>
                  <w:sz w:val="22"/>
                  <w:szCs w:val="22"/>
                </w:rPr>
                <w:delText>quase limpa</w:delText>
              </w:r>
              <w:r w:rsidRPr="008912CF">
                <w:rPr>
                  <w:sz w:val="22"/>
                  <w:szCs w:val="22"/>
                  <w:vertAlign w:val="superscript"/>
                </w:rPr>
                <w:delText>c</w:delText>
              </w:r>
            </w:del>
          </w:p>
        </w:tc>
        <w:tc>
          <w:tcPr>
            <w:tcW w:w="0" w:type="auto"/>
            <w:tcBorders>
              <w:top w:val="single" w:sz="6" w:space="0" w:color="000000"/>
              <w:left w:val="single" w:sz="6" w:space="0" w:color="000000"/>
              <w:bottom w:val="single" w:sz="6" w:space="0" w:color="000000"/>
              <w:right w:val="outset" w:sz="6" w:space="0" w:color="auto"/>
            </w:tcBorders>
            <w:vAlign w:val="center"/>
          </w:tcPr>
          <w:p w14:paraId="6FB0E55A" w14:textId="2ED229EF" w:rsidR="00B925B3" w:rsidRPr="008912CF" w:rsidRDefault="00615769">
            <w:pPr>
              <w:rPr>
                <w:del w:id="10315" w:author="AbbVie2" w:date="2025-05-13T16:39:00Z"/>
                <w:sz w:val="22"/>
                <w:szCs w:val="22"/>
              </w:rPr>
              <w:pPrChange w:id="10316" w:author="AbbVie2" w:date="2025-05-13T16:40:00Z">
                <w:pPr>
                  <w:keepNext/>
                  <w:tabs>
                    <w:tab w:val="left" w:pos="562"/>
                  </w:tabs>
                  <w:suppressAutoHyphens/>
                  <w:jc w:val="center"/>
                </w:pPr>
              </w:pPrChange>
            </w:pPr>
            <w:del w:id="10317" w:author="AbbVie2" w:date="2025-05-13T16:39:00Z">
              <w:r w:rsidRPr="008912CF">
                <w:rPr>
                  <w:sz w:val="22"/>
                  <w:szCs w:val="22"/>
                </w:rPr>
                <w:delText>15 (40,5</w:delText>
              </w:r>
              <w:r>
                <w:rPr>
                  <w:sz w:val="22"/>
                  <w:szCs w:val="22"/>
                </w:rPr>
                <w:delText>%</w:delText>
              </w:r>
              <w:r w:rsidRPr="008912CF">
                <w:rPr>
                  <w:sz w:val="22"/>
                  <w:szCs w:val="22"/>
                </w:rPr>
                <w:delText>)</w:delText>
              </w:r>
            </w:del>
          </w:p>
        </w:tc>
        <w:tc>
          <w:tcPr>
            <w:tcW w:w="1898" w:type="pct"/>
            <w:tcBorders>
              <w:top w:val="single" w:sz="6" w:space="0" w:color="000000"/>
              <w:left w:val="single" w:sz="6" w:space="0" w:color="000000"/>
              <w:bottom w:val="single" w:sz="6" w:space="0" w:color="000000"/>
              <w:right w:val="single" w:sz="6" w:space="0" w:color="000000"/>
            </w:tcBorders>
            <w:vAlign w:val="center"/>
          </w:tcPr>
          <w:p w14:paraId="705B9279" w14:textId="1D3DE53E" w:rsidR="00B925B3" w:rsidRPr="008912CF" w:rsidRDefault="00615769">
            <w:pPr>
              <w:rPr>
                <w:del w:id="10318" w:author="AbbVie2" w:date="2025-05-13T16:39:00Z"/>
                <w:sz w:val="22"/>
                <w:szCs w:val="22"/>
              </w:rPr>
              <w:pPrChange w:id="10319" w:author="AbbVie2" w:date="2025-05-13T16:40:00Z">
                <w:pPr>
                  <w:keepNext/>
                  <w:tabs>
                    <w:tab w:val="left" w:pos="562"/>
                  </w:tabs>
                  <w:suppressAutoHyphens/>
                  <w:jc w:val="center"/>
                </w:pPr>
              </w:pPrChange>
            </w:pPr>
            <w:del w:id="10320" w:author="AbbVie2" w:date="2025-05-13T16:39:00Z">
              <w:r w:rsidRPr="008912CF">
                <w:rPr>
                  <w:sz w:val="22"/>
                  <w:szCs w:val="22"/>
                </w:rPr>
                <w:delText>23 (60,5</w:delText>
              </w:r>
              <w:r>
                <w:rPr>
                  <w:sz w:val="22"/>
                  <w:szCs w:val="22"/>
                </w:rPr>
                <w:delText>%</w:delText>
              </w:r>
              <w:r w:rsidRPr="008912CF">
                <w:rPr>
                  <w:sz w:val="22"/>
                  <w:szCs w:val="22"/>
                </w:rPr>
                <w:delText>)</w:delText>
              </w:r>
            </w:del>
          </w:p>
        </w:tc>
      </w:tr>
      <w:tr w:rsidR="00A7162A" w14:paraId="55FE5AD3" w14:textId="79B98C83" w:rsidTr="00D22E86">
        <w:trPr>
          <w:jc w:val="center"/>
          <w:del w:id="10321" w:author="AbbVie2" w:date="2025-05-13T16:39:00Z"/>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5124606C" w14:textId="461D8632" w:rsidR="00B925B3" w:rsidRPr="008912CF" w:rsidRDefault="00615769">
            <w:pPr>
              <w:rPr>
                <w:del w:id="10322" w:author="AbbVie2" w:date="2025-05-13T16:39:00Z"/>
                <w:sz w:val="22"/>
                <w:szCs w:val="22"/>
              </w:rPr>
              <w:pPrChange w:id="10323" w:author="AbbVie2" w:date="2025-05-13T16:40:00Z">
                <w:pPr>
                  <w:keepNext/>
                  <w:tabs>
                    <w:tab w:val="left" w:pos="562"/>
                  </w:tabs>
                  <w:suppressAutoHyphens/>
                </w:pPr>
              </w:pPrChange>
            </w:pPr>
            <w:del w:id="10324" w:author="AbbVie2" w:date="2025-05-13T16:39:00Z">
              <w:r w:rsidRPr="008912CF">
                <w:rPr>
                  <w:sz w:val="22"/>
                  <w:szCs w:val="22"/>
                  <w:vertAlign w:val="superscript"/>
                </w:rPr>
                <w:delText xml:space="preserve">a </w:delText>
              </w:r>
              <w:r w:rsidRPr="008912CF">
                <w:rPr>
                  <w:sz w:val="22"/>
                  <w:szCs w:val="22"/>
                </w:rPr>
                <w:delText>MTX = metotrexato</w:delText>
              </w:r>
            </w:del>
          </w:p>
          <w:p w14:paraId="7B93F0A3" w14:textId="40A687D4" w:rsidR="00B925B3" w:rsidRPr="008912CF" w:rsidRDefault="00615769">
            <w:pPr>
              <w:rPr>
                <w:del w:id="10325" w:author="AbbVie2" w:date="2025-05-13T16:39:00Z"/>
                <w:sz w:val="22"/>
                <w:szCs w:val="22"/>
              </w:rPr>
              <w:pPrChange w:id="10326" w:author="AbbVie2" w:date="2025-05-13T16:40:00Z">
                <w:pPr>
                  <w:keepNext/>
                  <w:tabs>
                    <w:tab w:val="left" w:pos="562"/>
                  </w:tabs>
                  <w:suppressAutoHyphens/>
                </w:pPr>
              </w:pPrChange>
            </w:pPr>
            <w:del w:id="10327" w:author="AbbVie2" w:date="2025-05-13T16:39:00Z">
              <w:r w:rsidRPr="008912CF">
                <w:rPr>
                  <w:sz w:val="22"/>
                  <w:szCs w:val="22"/>
                  <w:vertAlign w:val="superscript"/>
                </w:rPr>
                <w:delText>b</w:delText>
              </w:r>
              <w:r w:rsidRPr="008912CF">
                <w:rPr>
                  <w:sz w:val="22"/>
                  <w:szCs w:val="22"/>
                </w:rPr>
                <w:delText xml:space="preserve"> </w:delText>
              </w:r>
              <w:r>
                <w:rPr>
                  <w:sz w:val="22"/>
                  <w:szCs w:val="22"/>
                </w:rPr>
                <w:delText>p</w:delText>
              </w:r>
              <w:r w:rsidRPr="008912CF">
                <w:rPr>
                  <w:sz w:val="22"/>
                  <w:szCs w:val="22"/>
                </w:rPr>
                <w:delText>=0,027, Humira 0,8 mg/kg versus MTX</w:delText>
              </w:r>
            </w:del>
          </w:p>
          <w:p w14:paraId="7583A282" w14:textId="23EDED69" w:rsidR="00B925B3" w:rsidRPr="008912CF" w:rsidRDefault="00615769">
            <w:pPr>
              <w:rPr>
                <w:del w:id="10328" w:author="AbbVie2" w:date="2025-05-13T16:39:00Z"/>
                <w:sz w:val="22"/>
                <w:szCs w:val="22"/>
              </w:rPr>
              <w:pPrChange w:id="10329" w:author="AbbVie2" w:date="2025-05-13T16:40:00Z">
                <w:pPr>
                  <w:keepNext/>
                  <w:tabs>
                    <w:tab w:val="left" w:pos="562"/>
                  </w:tabs>
                  <w:suppressAutoHyphens/>
                </w:pPr>
              </w:pPrChange>
            </w:pPr>
            <w:del w:id="10330" w:author="AbbVie2" w:date="2025-05-13T16:39:00Z">
              <w:r w:rsidRPr="008912CF">
                <w:rPr>
                  <w:sz w:val="22"/>
                  <w:szCs w:val="22"/>
                  <w:vertAlign w:val="superscript"/>
                </w:rPr>
                <w:delText>c</w:delText>
              </w:r>
              <w:r w:rsidRPr="008912CF">
                <w:rPr>
                  <w:sz w:val="22"/>
                  <w:szCs w:val="22"/>
                </w:rPr>
                <w:delText xml:space="preserve"> </w:delText>
              </w:r>
              <w:r>
                <w:rPr>
                  <w:sz w:val="22"/>
                  <w:szCs w:val="22"/>
                </w:rPr>
                <w:delText>p</w:delText>
              </w:r>
              <w:r w:rsidRPr="008912CF">
                <w:rPr>
                  <w:sz w:val="22"/>
                  <w:szCs w:val="22"/>
                </w:rPr>
                <w:delText>=0,083, Humira 0,8 mg/kg versus MTX</w:delText>
              </w:r>
            </w:del>
          </w:p>
        </w:tc>
      </w:tr>
    </w:tbl>
    <w:p w14:paraId="19EF2566" w14:textId="524CB72D" w:rsidR="00B925B3" w:rsidRPr="008912CF" w:rsidRDefault="00615769">
      <w:pPr>
        <w:rPr>
          <w:del w:id="10331" w:author="AbbVie2" w:date="2025-05-13T16:39:00Z"/>
          <w:rFonts w:ascii="TimesNewRoman" w:hAnsi="TimesNewRoman" w:cs="TimesNewRoman"/>
          <w:sz w:val="22"/>
          <w:szCs w:val="22"/>
          <w:lang w:eastAsia="pt-PT"/>
        </w:rPr>
        <w:pPrChange w:id="10332" w:author="AbbVie2" w:date="2025-05-13T16:40:00Z">
          <w:pPr>
            <w:keepNext/>
          </w:pPr>
        </w:pPrChange>
      </w:pPr>
      <w:del w:id="10333" w:author="AbbVie2" w:date="2025-05-13T16:39:00Z">
        <w:r w:rsidRPr="008912CF">
          <w:rPr>
            <w:rFonts w:ascii="TimesNewRoman" w:hAnsi="TimesNewRoman" w:cs="TimesNewRoman"/>
            <w:sz w:val="22"/>
            <w:szCs w:val="22"/>
            <w:lang w:eastAsia="pt-PT"/>
          </w:rPr>
          <w:delText xml:space="preserve"> </w:delText>
        </w:r>
      </w:del>
    </w:p>
    <w:p w14:paraId="067A7E3E" w14:textId="416DED93" w:rsidR="00B925B3" w:rsidRPr="008912CF" w:rsidRDefault="00615769" w:rsidP="00412FC8">
      <w:pPr>
        <w:rPr>
          <w:del w:id="10334" w:author="AbbVie2" w:date="2025-05-13T16:39:00Z"/>
          <w:sz w:val="22"/>
          <w:szCs w:val="22"/>
        </w:rPr>
      </w:pPr>
      <w:del w:id="10335" w:author="AbbVie2" w:date="2025-05-13T16:39:00Z">
        <w:r w:rsidRPr="008912CF">
          <w:rPr>
            <w:sz w:val="22"/>
            <w:szCs w:val="22"/>
          </w:rPr>
          <w:delText xml:space="preserve">Os doentes que obtiveram PASI 75 e PGA </w:delText>
        </w:r>
        <w:r>
          <w:rPr>
            <w:sz w:val="22"/>
            <w:szCs w:val="22"/>
          </w:rPr>
          <w:delText>“</w:delText>
        </w:r>
        <w:r w:rsidRPr="008912CF">
          <w:rPr>
            <w:sz w:val="22"/>
            <w:szCs w:val="22"/>
          </w:rPr>
          <w:delText>limp</w:delText>
        </w:r>
        <w:r>
          <w:rPr>
            <w:sz w:val="22"/>
            <w:szCs w:val="22"/>
          </w:rPr>
          <w:delText>a”</w:delText>
        </w:r>
        <w:r w:rsidRPr="008912CF">
          <w:rPr>
            <w:sz w:val="22"/>
            <w:szCs w:val="22"/>
          </w:rPr>
          <w:delText xml:space="preserve"> ou </w:delText>
        </w:r>
        <w:r>
          <w:rPr>
            <w:sz w:val="22"/>
            <w:szCs w:val="22"/>
          </w:rPr>
          <w:delText>“quase limpa”</w:delText>
        </w:r>
        <w:r w:rsidRPr="008912CF">
          <w:rPr>
            <w:sz w:val="22"/>
            <w:szCs w:val="22"/>
          </w:rPr>
          <w:delText xml:space="preserve"> </w:delText>
        </w:r>
        <w:r>
          <w:rPr>
            <w:sz w:val="22"/>
            <w:szCs w:val="22"/>
          </w:rPr>
          <w:delText>suspenderam o tratamento</w:delText>
        </w:r>
        <w:r w:rsidRPr="008912CF">
          <w:rPr>
            <w:sz w:val="22"/>
            <w:szCs w:val="22"/>
          </w:rPr>
          <w:delText xml:space="preserve"> até um período máximo de 36 semanas e </w:delText>
        </w:r>
        <w:r>
          <w:rPr>
            <w:sz w:val="22"/>
            <w:szCs w:val="22"/>
          </w:rPr>
          <w:delText xml:space="preserve">foram </w:delText>
        </w:r>
        <w:r w:rsidRPr="008912CF">
          <w:rPr>
            <w:sz w:val="22"/>
            <w:szCs w:val="22"/>
          </w:rPr>
          <w:delText>monitorizados relativamente à perda de controlo da doença (i.e. agravamento de PGA em pelo menos 2 graus). Os doentes reiniciaram o tratamento com adalimumab 0,8 mg/kg em semanas alternadas, durante um período adicional de 16 semanas e as respostas observadas durante o novo tratamento foram semelhantes às observadas no período de dupla ocultação: resposta PASI 75 de 78,9</w:delText>
        </w:r>
        <w:r>
          <w:rPr>
            <w:sz w:val="22"/>
            <w:szCs w:val="22"/>
          </w:rPr>
          <w:delText>%</w:delText>
        </w:r>
        <w:r w:rsidRPr="008912CF">
          <w:rPr>
            <w:sz w:val="22"/>
            <w:szCs w:val="22"/>
          </w:rPr>
          <w:delText xml:space="preserve"> (15 de 19 indivíduos) e PGA </w:delText>
        </w:r>
        <w:r>
          <w:rPr>
            <w:sz w:val="22"/>
            <w:szCs w:val="22"/>
          </w:rPr>
          <w:delText>“</w:delText>
        </w:r>
        <w:r w:rsidRPr="008912CF">
          <w:rPr>
            <w:sz w:val="22"/>
            <w:szCs w:val="22"/>
          </w:rPr>
          <w:delText>limp</w:delText>
        </w:r>
        <w:r>
          <w:rPr>
            <w:sz w:val="22"/>
            <w:szCs w:val="22"/>
          </w:rPr>
          <w:delText>a”</w:delText>
        </w:r>
        <w:r w:rsidRPr="008912CF">
          <w:rPr>
            <w:sz w:val="22"/>
            <w:szCs w:val="22"/>
          </w:rPr>
          <w:delText xml:space="preserve"> ou </w:delText>
        </w:r>
        <w:r>
          <w:rPr>
            <w:sz w:val="22"/>
            <w:szCs w:val="22"/>
          </w:rPr>
          <w:delText>“quase limpa”</w:delText>
        </w:r>
        <w:r w:rsidRPr="008912CF">
          <w:rPr>
            <w:sz w:val="22"/>
            <w:szCs w:val="22"/>
          </w:rPr>
          <w:delText xml:space="preserve"> de 52,6</w:delText>
        </w:r>
        <w:r>
          <w:rPr>
            <w:sz w:val="22"/>
            <w:szCs w:val="22"/>
          </w:rPr>
          <w:delText>%</w:delText>
        </w:r>
        <w:r w:rsidRPr="008912CF">
          <w:rPr>
            <w:sz w:val="22"/>
            <w:szCs w:val="22"/>
          </w:rPr>
          <w:delText xml:space="preserve"> (10 de 19 indivíduos).</w:delText>
        </w:r>
      </w:del>
    </w:p>
    <w:p w14:paraId="2449CF3E" w14:textId="314005B5" w:rsidR="00B925B3" w:rsidRPr="008912CF" w:rsidRDefault="00B925B3" w:rsidP="00412FC8">
      <w:pPr>
        <w:rPr>
          <w:del w:id="10336" w:author="AbbVie2" w:date="2025-05-13T16:39:00Z"/>
          <w:sz w:val="22"/>
          <w:szCs w:val="22"/>
        </w:rPr>
      </w:pPr>
    </w:p>
    <w:p w14:paraId="3EA03246" w14:textId="21D1586C" w:rsidR="00B925B3" w:rsidRPr="008912CF" w:rsidRDefault="00615769" w:rsidP="00412FC8">
      <w:pPr>
        <w:rPr>
          <w:del w:id="10337" w:author="AbbVie2" w:date="2025-05-13T16:39:00Z"/>
          <w:sz w:val="22"/>
          <w:szCs w:val="22"/>
        </w:rPr>
      </w:pPr>
      <w:del w:id="10338" w:author="AbbVie2" w:date="2025-05-13T16:39:00Z">
        <w:r w:rsidRPr="008912CF">
          <w:rPr>
            <w:sz w:val="22"/>
            <w:szCs w:val="22"/>
          </w:rPr>
          <w:delText>No período d</w:delText>
        </w:r>
        <w:r>
          <w:rPr>
            <w:sz w:val="22"/>
            <w:szCs w:val="22"/>
          </w:rPr>
          <w:delText>o</w:delText>
        </w:r>
        <w:r w:rsidRPr="008912CF">
          <w:rPr>
            <w:sz w:val="22"/>
            <w:szCs w:val="22"/>
          </w:rPr>
          <w:delText xml:space="preserve"> estudo em fase aberta, as respostas PASI 75 e PGA </w:delText>
        </w:r>
        <w:r>
          <w:rPr>
            <w:sz w:val="22"/>
            <w:szCs w:val="22"/>
          </w:rPr>
          <w:delText>“</w:delText>
        </w:r>
        <w:r w:rsidRPr="008912CF">
          <w:rPr>
            <w:sz w:val="22"/>
            <w:szCs w:val="22"/>
          </w:rPr>
          <w:delText>limp</w:delText>
        </w:r>
        <w:r>
          <w:rPr>
            <w:sz w:val="22"/>
            <w:szCs w:val="22"/>
          </w:rPr>
          <w:delText>a”</w:delText>
        </w:r>
        <w:r w:rsidRPr="008912CF">
          <w:rPr>
            <w:sz w:val="22"/>
            <w:szCs w:val="22"/>
          </w:rPr>
          <w:delText xml:space="preserve"> ou </w:delText>
        </w:r>
        <w:r>
          <w:rPr>
            <w:sz w:val="22"/>
            <w:szCs w:val="22"/>
          </w:rPr>
          <w:delText>“quase limpa”</w:delText>
        </w:r>
        <w:r w:rsidRPr="008912CF">
          <w:rPr>
            <w:sz w:val="22"/>
            <w:szCs w:val="22"/>
          </w:rPr>
          <w:delText xml:space="preserve"> foram mantidas durante um período adicional de 52 semanas e não revelaram quaisquer novas informações de segurança.</w:delText>
        </w:r>
      </w:del>
    </w:p>
    <w:p w14:paraId="22B57C7A" w14:textId="7739F1C9" w:rsidR="00B925B3" w:rsidRDefault="00B925B3" w:rsidP="00412FC8">
      <w:pPr>
        <w:rPr>
          <w:del w:id="10339" w:author="AbbVie2" w:date="2025-05-13T16:39:00Z"/>
          <w:sz w:val="22"/>
          <w:szCs w:val="22"/>
          <w:u w:val="single"/>
        </w:rPr>
      </w:pPr>
    </w:p>
    <w:p w14:paraId="27750E04" w14:textId="113B0A40" w:rsidR="00B925B3" w:rsidRPr="00005E0C" w:rsidRDefault="00615769">
      <w:pPr>
        <w:rPr>
          <w:del w:id="10340" w:author="AbbVie2" w:date="2025-05-13T16:39:00Z"/>
          <w:i/>
          <w:sz w:val="22"/>
          <w:szCs w:val="22"/>
        </w:rPr>
        <w:pPrChange w:id="10341" w:author="AbbVie2" w:date="2025-05-13T16:40:00Z">
          <w:pPr>
            <w:keepNext/>
          </w:pPr>
        </w:pPrChange>
      </w:pPr>
      <w:del w:id="10342" w:author="AbbVie2" w:date="2025-05-13T16:39:00Z">
        <w:r w:rsidRPr="00005E0C">
          <w:rPr>
            <w:i/>
            <w:sz w:val="22"/>
            <w:szCs w:val="22"/>
          </w:rPr>
          <w:delText>Hidradenite supurativa no adolescente</w:delText>
        </w:r>
      </w:del>
    </w:p>
    <w:p w14:paraId="50A7840C" w14:textId="2104EF5A" w:rsidR="00B925B3" w:rsidRDefault="00B925B3">
      <w:pPr>
        <w:rPr>
          <w:del w:id="10343" w:author="AbbVie2" w:date="2025-05-13T16:39:00Z"/>
          <w:sz w:val="22"/>
          <w:szCs w:val="22"/>
          <w:u w:val="single"/>
        </w:rPr>
        <w:pPrChange w:id="10344" w:author="AbbVie2" w:date="2025-05-13T16:40:00Z">
          <w:pPr>
            <w:keepNext/>
          </w:pPr>
        </w:pPrChange>
      </w:pPr>
    </w:p>
    <w:p w14:paraId="45819CF9" w14:textId="1CF42255" w:rsidR="00B925B3" w:rsidRPr="008070A7" w:rsidRDefault="00615769">
      <w:pPr>
        <w:rPr>
          <w:del w:id="10345" w:author="AbbVie2" w:date="2025-05-13T16:39:00Z"/>
          <w:sz w:val="22"/>
          <w:szCs w:val="22"/>
          <w:lang w:eastAsia="zh-TW"/>
        </w:rPr>
        <w:pPrChange w:id="10346" w:author="AbbVie2" w:date="2025-05-13T16:40:00Z">
          <w:pPr>
            <w:keepNext/>
          </w:pPr>
        </w:pPrChange>
      </w:pPr>
      <w:del w:id="10347" w:author="AbbVie2" w:date="2025-05-13T16:39:00Z">
        <w:r w:rsidRPr="008070A7">
          <w:rPr>
            <w:sz w:val="22"/>
            <w:szCs w:val="22"/>
          </w:rPr>
          <w:delText xml:space="preserve">Não existem estudos clínicos com Humira em doentes adolescentes com hidradenite supurativa. A eficácia de adalimumab no tratamento de doentes adolescentes com HS é avaliada com base na eficácia e na relação de exposição-resposta demonstradas em doentes adultos com HS, considerando a probabilidade de que o curso da doença, fisiopatologia e efeitos de medicação sejam substancialmente semelhantes aos dos adultos, com os mesmos níveis de exposição. A segurança da dose recomendada de adalimumab nos adolescentes </w:delText>
        </w:r>
        <w:r w:rsidRPr="008070A7">
          <w:rPr>
            <w:sz w:val="22"/>
            <w:szCs w:val="22"/>
          </w:rPr>
          <w:delText>com HS é baseada no perfil de segurança de adalimumab nas várias indicações, em doentes adultos e pediátricos em doses semelhantes ou mais frequentes (ver secção 5.2).</w:delText>
        </w:r>
      </w:del>
    </w:p>
    <w:p w14:paraId="186FC36B" w14:textId="5CD5DA76" w:rsidR="00B925B3" w:rsidRPr="008912CF" w:rsidRDefault="00B925B3" w:rsidP="00412FC8">
      <w:pPr>
        <w:rPr>
          <w:del w:id="10348" w:author="AbbVie2" w:date="2025-05-13T16:39:00Z"/>
          <w:sz w:val="22"/>
          <w:szCs w:val="22"/>
          <w:u w:val="single"/>
        </w:rPr>
      </w:pPr>
    </w:p>
    <w:p w14:paraId="12A893E0" w14:textId="6E1D8BD0" w:rsidR="00B925B3" w:rsidRPr="008912CF" w:rsidRDefault="00615769" w:rsidP="00412FC8">
      <w:pPr>
        <w:rPr>
          <w:del w:id="10349" w:author="AbbVie2" w:date="2025-05-13T16:39:00Z"/>
          <w:sz w:val="22"/>
          <w:szCs w:val="22"/>
          <w:u w:val="single"/>
        </w:rPr>
      </w:pPr>
      <w:del w:id="10350" w:author="AbbVie2" w:date="2025-05-13T16:39:00Z">
        <w:r w:rsidRPr="008912CF">
          <w:rPr>
            <w:i/>
            <w:sz w:val="22"/>
            <w:szCs w:val="22"/>
          </w:rPr>
          <w:delText>Doença de Crohn pediátrica</w:delText>
        </w:r>
      </w:del>
    </w:p>
    <w:p w14:paraId="683DAE19" w14:textId="7E89A2F8" w:rsidR="00B925B3" w:rsidRPr="008912CF" w:rsidRDefault="00B925B3" w:rsidP="00412FC8">
      <w:pPr>
        <w:rPr>
          <w:del w:id="10351" w:author="AbbVie2" w:date="2025-05-13T16:39:00Z"/>
          <w:sz w:val="22"/>
          <w:szCs w:val="22"/>
          <w:u w:val="single"/>
        </w:rPr>
      </w:pPr>
    </w:p>
    <w:p w14:paraId="214CD7FD" w14:textId="696F26EE" w:rsidR="00B925B3" w:rsidRPr="008912CF" w:rsidRDefault="00615769" w:rsidP="00412FC8">
      <w:pPr>
        <w:rPr>
          <w:del w:id="10352" w:author="AbbVie2" w:date="2025-05-13T16:39:00Z"/>
          <w:sz w:val="22"/>
          <w:szCs w:val="22"/>
        </w:rPr>
      </w:pPr>
      <w:del w:id="10353" w:author="AbbVie2" w:date="2025-05-13T16:39:00Z">
        <w:r w:rsidRPr="008912CF">
          <w:rPr>
            <w:sz w:val="22"/>
            <w:szCs w:val="22"/>
          </w:rPr>
          <w:delText xml:space="preserve">Humira foi avaliado num estudo multicêntrico, </w:delText>
        </w:r>
        <w:r>
          <w:rPr>
            <w:sz w:val="22"/>
            <w:szCs w:val="22"/>
          </w:rPr>
          <w:delText>aleatorizado</w:delText>
        </w:r>
        <w:r w:rsidRPr="008912CF">
          <w:rPr>
            <w:sz w:val="22"/>
            <w:szCs w:val="22"/>
          </w:rPr>
          <w:delText>, em dupla ocultação, desenhado para avaliar a eficácia e segurança do tratamento inicial e de manutenção, com doses dependentes do peso corporal (&lt; 40 kg ou ≥ 40 kg), em 192 doentes pediátricos com idade</w:delText>
        </w:r>
        <w:r>
          <w:rPr>
            <w:sz w:val="22"/>
            <w:szCs w:val="22"/>
          </w:rPr>
          <w:delText>s</w:delText>
        </w:r>
        <w:r w:rsidRPr="008912CF">
          <w:rPr>
            <w:sz w:val="22"/>
            <w:szCs w:val="22"/>
          </w:rPr>
          <w:delText xml:space="preserve"> compreendida</w:delText>
        </w:r>
        <w:r>
          <w:rPr>
            <w:sz w:val="22"/>
            <w:szCs w:val="22"/>
          </w:rPr>
          <w:delText>s</w:delText>
        </w:r>
        <w:r w:rsidRPr="008912CF">
          <w:rPr>
            <w:sz w:val="22"/>
            <w:szCs w:val="22"/>
          </w:rPr>
          <w:delText xml:space="preserve"> entre os 6 e 17 anos (inclusive), com doença de Crohn (DC) moderada a</w:delText>
        </w:r>
        <w:r>
          <w:rPr>
            <w:sz w:val="22"/>
            <w:szCs w:val="22"/>
          </w:rPr>
          <w:delText xml:space="preserve"> </w:delText>
        </w:r>
        <w:r w:rsidRPr="008912CF">
          <w:rPr>
            <w:sz w:val="22"/>
            <w:szCs w:val="22"/>
          </w:rPr>
          <w:delText xml:space="preserve">grave definida </w:delText>
        </w:r>
        <w:r>
          <w:rPr>
            <w:sz w:val="22"/>
            <w:szCs w:val="22"/>
          </w:rPr>
          <w:delText>pelo</w:delText>
        </w:r>
        <w:r w:rsidRPr="008912CF">
          <w:rPr>
            <w:sz w:val="22"/>
            <w:szCs w:val="22"/>
          </w:rPr>
          <w:delText xml:space="preserve"> índice de Atividade de Doença Pediátrica de Crohn (</w:delText>
        </w:r>
        <w:r w:rsidRPr="008912CF">
          <w:rPr>
            <w:i/>
            <w:sz w:val="22"/>
            <w:szCs w:val="22"/>
          </w:rPr>
          <w:delText>Paediatric Crohn's Disease Activity Index</w:delText>
        </w:r>
        <w:r w:rsidRPr="008912CF">
          <w:rPr>
            <w:sz w:val="22"/>
            <w:szCs w:val="22"/>
          </w:rPr>
          <w:delText xml:space="preserve"> (PCDAI)) &gt; 30. </w:delText>
        </w:r>
        <w:r>
          <w:rPr>
            <w:sz w:val="22"/>
            <w:szCs w:val="22"/>
          </w:rPr>
          <w:delText>Os d</w:delText>
        </w:r>
        <w:r w:rsidRPr="008912CF">
          <w:rPr>
            <w:sz w:val="22"/>
            <w:szCs w:val="22"/>
          </w:rPr>
          <w:delText>oentes não</w:delText>
        </w:r>
        <w:r>
          <w:rPr>
            <w:sz w:val="22"/>
            <w:szCs w:val="22"/>
          </w:rPr>
          <w:delText xml:space="preserve"> tinham</w:delText>
        </w:r>
        <w:r w:rsidRPr="008912CF">
          <w:rPr>
            <w:sz w:val="22"/>
            <w:szCs w:val="22"/>
          </w:rPr>
          <w:delText xml:space="preserve"> respond</w:delText>
        </w:r>
        <w:r>
          <w:rPr>
            <w:sz w:val="22"/>
            <w:szCs w:val="22"/>
          </w:rPr>
          <w:delText>ido</w:delText>
        </w:r>
        <w:r w:rsidRPr="008912CF">
          <w:rPr>
            <w:sz w:val="22"/>
            <w:szCs w:val="22"/>
          </w:rPr>
          <w:delText xml:space="preserve"> a uma terapêutica convencional (incluindo um corticosteroide </w:delText>
        </w:r>
        <w:r w:rsidRPr="008912CF">
          <w:rPr>
            <w:sz w:val="22"/>
            <w:szCs w:val="22"/>
          </w:rPr>
          <w:delText>e/ou um imunomodulador) na DC</w:delText>
        </w:r>
        <w:r>
          <w:rPr>
            <w:sz w:val="22"/>
            <w:szCs w:val="22"/>
          </w:rPr>
          <w:delText xml:space="preserve"> ou tinham</w:delText>
        </w:r>
        <w:r w:rsidRPr="008912CF">
          <w:rPr>
            <w:sz w:val="22"/>
            <w:szCs w:val="22"/>
          </w:rPr>
          <w:delText xml:space="preserve"> deixa</w:delText>
        </w:r>
        <w:r>
          <w:rPr>
            <w:sz w:val="22"/>
            <w:szCs w:val="22"/>
          </w:rPr>
          <w:delText>do</w:delText>
        </w:r>
        <w:r w:rsidRPr="008912CF">
          <w:rPr>
            <w:sz w:val="22"/>
            <w:szCs w:val="22"/>
          </w:rPr>
          <w:delText xml:space="preserve"> de responder ou tornaram-se intolerantes ao infliximab.</w:delText>
        </w:r>
        <w:r w:rsidRPr="008912CF">
          <w:rPr>
            <w:szCs w:val="22"/>
          </w:rPr>
          <w:delText xml:space="preserve"> </w:delText>
        </w:r>
      </w:del>
    </w:p>
    <w:p w14:paraId="1C06D5C3" w14:textId="6835669A" w:rsidR="00B925B3" w:rsidRPr="008912CF" w:rsidRDefault="00B925B3" w:rsidP="00412FC8">
      <w:pPr>
        <w:rPr>
          <w:del w:id="10354" w:author="AbbVie2" w:date="2025-05-13T16:39:00Z"/>
          <w:sz w:val="22"/>
          <w:szCs w:val="22"/>
        </w:rPr>
      </w:pPr>
    </w:p>
    <w:p w14:paraId="4D434CF1" w14:textId="17C8F698" w:rsidR="00B925B3" w:rsidRPr="008912CF" w:rsidRDefault="00615769" w:rsidP="00412FC8">
      <w:pPr>
        <w:rPr>
          <w:del w:id="10355" w:author="AbbVie2" w:date="2025-05-13T16:39:00Z"/>
          <w:sz w:val="22"/>
          <w:szCs w:val="22"/>
        </w:rPr>
      </w:pPr>
      <w:del w:id="10356" w:author="AbbVie2" w:date="2025-05-13T16:39:00Z">
        <w:r w:rsidRPr="008912CF">
          <w:rPr>
            <w:sz w:val="22"/>
            <w:szCs w:val="22"/>
          </w:rPr>
          <w:delText>Todos os doentes receberam terapêutica de indução em fase aberta com uma dose baseada no peso corporal basal: 160</w:delText>
        </w:r>
        <w:r>
          <w:rPr>
            <w:sz w:val="22"/>
            <w:szCs w:val="22"/>
          </w:rPr>
          <w:delText> </w:delText>
        </w:r>
        <w:r w:rsidRPr="008912CF">
          <w:rPr>
            <w:sz w:val="22"/>
            <w:szCs w:val="22"/>
          </w:rPr>
          <w:delText>mg na Semana 0 e 80</w:delText>
        </w:r>
        <w:r>
          <w:rPr>
            <w:sz w:val="22"/>
            <w:szCs w:val="22"/>
          </w:rPr>
          <w:delText> </w:delText>
        </w:r>
        <w:r w:rsidRPr="008912CF">
          <w:rPr>
            <w:sz w:val="22"/>
            <w:szCs w:val="22"/>
          </w:rPr>
          <w:delText>mg na Semana 2 para doentes ≥ 40</w:delText>
        </w:r>
        <w:r>
          <w:rPr>
            <w:sz w:val="22"/>
            <w:szCs w:val="22"/>
          </w:rPr>
          <w:delText> </w:delText>
        </w:r>
        <w:r w:rsidRPr="008912CF">
          <w:rPr>
            <w:sz w:val="22"/>
            <w:szCs w:val="22"/>
          </w:rPr>
          <w:delText>kg e 80</w:delText>
        </w:r>
        <w:r>
          <w:rPr>
            <w:sz w:val="22"/>
            <w:szCs w:val="22"/>
          </w:rPr>
          <w:delText> </w:delText>
        </w:r>
        <w:r w:rsidRPr="008912CF">
          <w:rPr>
            <w:sz w:val="22"/>
            <w:szCs w:val="22"/>
          </w:rPr>
          <w:delText>mg e 40</w:delText>
        </w:r>
        <w:r>
          <w:rPr>
            <w:sz w:val="22"/>
            <w:szCs w:val="22"/>
          </w:rPr>
          <w:delText> </w:delText>
        </w:r>
        <w:r w:rsidRPr="008912CF">
          <w:rPr>
            <w:sz w:val="22"/>
            <w:szCs w:val="22"/>
          </w:rPr>
          <w:delText>mg, respetivamente, para doentes &lt; 40 kg.</w:delText>
        </w:r>
      </w:del>
    </w:p>
    <w:p w14:paraId="29EB8EBF" w14:textId="13A8F492" w:rsidR="00B925B3" w:rsidRPr="008912CF" w:rsidRDefault="00B925B3" w:rsidP="00412FC8">
      <w:pPr>
        <w:rPr>
          <w:del w:id="10357" w:author="AbbVie2" w:date="2025-05-13T16:39:00Z"/>
          <w:sz w:val="22"/>
          <w:szCs w:val="22"/>
        </w:rPr>
      </w:pPr>
    </w:p>
    <w:p w14:paraId="4CCFFD05" w14:textId="0E020B17" w:rsidR="00B925B3" w:rsidRPr="008912CF" w:rsidRDefault="00615769" w:rsidP="00412FC8">
      <w:pPr>
        <w:rPr>
          <w:del w:id="10358" w:author="AbbVie2" w:date="2025-05-13T16:39:00Z"/>
          <w:sz w:val="22"/>
          <w:szCs w:val="22"/>
        </w:rPr>
      </w:pPr>
      <w:del w:id="10359" w:author="AbbVie2" w:date="2025-05-13T16:39:00Z">
        <w:r w:rsidRPr="008912CF">
          <w:rPr>
            <w:sz w:val="22"/>
            <w:szCs w:val="22"/>
          </w:rPr>
          <w:delText xml:space="preserve">Na Semana 4, os doentes foram </w:delText>
        </w:r>
        <w:r>
          <w:rPr>
            <w:sz w:val="22"/>
            <w:szCs w:val="22"/>
          </w:rPr>
          <w:delText>aleatorizado</w:delText>
        </w:r>
        <w:r w:rsidRPr="008912CF">
          <w:rPr>
            <w:sz w:val="22"/>
            <w:szCs w:val="22"/>
          </w:rPr>
          <w:delText xml:space="preserve">s 1:1 com base no seu peso corporal aquando da definição do regime de manutenção da Baixa Dose ou da Dose Padrão, conforme Tabela </w:delText>
        </w:r>
        <w:r>
          <w:rPr>
            <w:sz w:val="22"/>
            <w:szCs w:val="22"/>
          </w:rPr>
          <w:delText>28</w:delText>
        </w:r>
        <w:r w:rsidRPr="008912CF">
          <w:rPr>
            <w:sz w:val="22"/>
            <w:szCs w:val="22"/>
          </w:rPr>
          <w:delText>.</w:delText>
        </w:r>
      </w:del>
    </w:p>
    <w:p w14:paraId="622A752B" w14:textId="7F702966" w:rsidR="00B925B3" w:rsidRPr="008912CF" w:rsidRDefault="00B925B3" w:rsidP="00412FC8">
      <w:pPr>
        <w:rPr>
          <w:del w:id="10360" w:author="AbbVie2" w:date="2025-05-13T16:39:00Z"/>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
        <w:gridCol w:w="3082"/>
        <w:gridCol w:w="3082"/>
      </w:tblGrid>
      <w:tr w:rsidR="00A7162A" w14:paraId="35E4A462" w14:textId="74EF51D6" w:rsidTr="00B538F3">
        <w:trPr>
          <w:trHeight w:val="263"/>
          <w:jc w:val="center"/>
          <w:del w:id="10361" w:author="AbbVie2" w:date="2025-05-13T16:39:00Z"/>
        </w:trPr>
        <w:tc>
          <w:tcPr>
            <w:tcW w:w="0" w:type="auto"/>
            <w:gridSpan w:val="3"/>
          </w:tcPr>
          <w:p w14:paraId="11DDCFFC" w14:textId="10E55801" w:rsidR="00B925B3" w:rsidRPr="008912CF" w:rsidRDefault="00615769">
            <w:pPr>
              <w:rPr>
                <w:del w:id="10362" w:author="AbbVie2" w:date="2025-05-13T16:39:00Z"/>
                <w:b/>
              </w:rPr>
              <w:pPrChange w:id="10363" w:author="AbbVie2" w:date="2025-05-13T16:40:00Z">
                <w:pPr>
                  <w:pStyle w:val="EMEANormal"/>
                  <w:keepNext/>
                  <w:jc w:val="center"/>
                </w:pPr>
              </w:pPrChange>
            </w:pPr>
            <w:del w:id="10364" w:author="AbbVie2" w:date="2025-05-13T16:39:00Z">
              <w:r w:rsidRPr="008912CF">
                <w:rPr>
                  <w:b/>
                </w:rPr>
                <w:delText xml:space="preserve">Tabela </w:delText>
              </w:r>
              <w:r>
                <w:rPr>
                  <w:b/>
                </w:rPr>
                <w:delText>28</w:delText>
              </w:r>
            </w:del>
          </w:p>
          <w:p w14:paraId="0580B677" w14:textId="14AABBB2" w:rsidR="00B925B3" w:rsidRPr="008912CF" w:rsidRDefault="00615769">
            <w:pPr>
              <w:rPr>
                <w:del w:id="10365" w:author="AbbVie2" w:date="2025-05-13T16:39:00Z"/>
              </w:rPr>
              <w:pPrChange w:id="10366" w:author="AbbVie2" w:date="2025-05-13T16:40:00Z">
                <w:pPr>
                  <w:pStyle w:val="EMEANormal"/>
                  <w:keepNext/>
                  <w:jc w:val="center"/>
                </w:pPr>
              </w:pPrChange>
            </w:pPr>
            <w:del w:id="10367" w:author="AbbVie2" w:date="2025-05-13T16:39:00Z">
              <w:r w:rsidRPr="008912CF">
                <w:rPr>
                  <w:b/>
                </w:rPr>
                <w:delText>Regime de manutenção</w:delText>
              </w:r>
            </w:del>
          </w:p>
        </w:tc>
      </w:tr>
      <w:tr w:rsidR="00A7162A" w14:paraId="27203223" w14:textId="53F1F2FF" w:rsidTr="00B538F3">
        <w:trPr>
          <w:jc w:val="center"/>
          <w:del w:id="10368" w:author="AbbVie2" w:date="2025-05-13T16:39:00Z"/>
        </w:trPr>
        <w:tc>
          <w:tcPr>
            <w:tcW w:w="0" w:type="auto"/>
          </w:tcPr>
          <w:p w14:paraId="1F832370" w14:textId="14EA285B" w:rsidR="00B925B3" w:rsidRPr="008912CF" w:rsidRDefault="00615769">
            <w:pPr>
              <w:rPr>
                <w:del w:id="10369" w:author="AbbVie2" w:date="2025-05-13T16:39:00Z"/>
                <w:b/>
              </w:rPr>
              <w:pPrChange w:id="10370" w:author="AbbVie2" w:date="2025-05-13T16:40:00Z">
                <w:pPr>
                  <w:pStyle w:val="EMEANormal"/>
                  <w:keepNext/>
                </w:pPr>
              </w:pPrChange>
            </w:pPr>
            <w:del w:id="10371" w:author="AbbVie2" w:date="2025-05-13T16:39:00Z">
              <w:r w:rsidRPr="008912CF">
                <w:rPr>
                  <w:b/>
                </w:rPr>
                <w:delText>Peso</w:delText>
              </w:r>
            </w:del>
          </w:p>
          <w:p w14:paraId="04F33F61" w14:textId="02368428" w:rsidR="00B925B3" w:rsidRPr="008912CF" w:rsidRDefault="00615769">
            <w:pPr>
              <w:rPr>
                <w:del w:id="10372" w:author="AbbVie2" w:date="2025-05-13T16:39:00Z"/>
                <w:b/>
              </w:rPr>
              <w:pPrChange w:id="10373" w:author="AbbVie2" w:date="2025-05-13T16:40:00Z">
                <w:pPr>
                  <w:pStyle w:val="EMEANormal"/>
                  <w:keepNext/>
                </w:pPr>
              </w:pPrChange>
            </w:pPr>
            <w:del w:id="10374" w:author="AbbVie2" w:date="2025-05-13T16:39:00Z">
              <w:r w:rsidRPr="008912CF">
                <w:rPr>
                  <w:b/>
                </w:rPr>
                <w:delText>Doente</w:delText>
              </w:r>
            </w:del>
          </w:p>
        </w:tc>
        <w:tc>
          <w:tcPr>
            <w:tcW w:w="0" w:type="auto"/>
          </w:tcPr>
          <w:p w14:paraId="02D32EDB" w14:textId="2CCE4A17" w:rsidR="00B925B3" w:rsidRPr="008912CF" w:rsidRDefault="00615769">
            <w:pPr>
              <w:rPr>
                <w:del w:id="10375" w:author="AbbVie2" w:date="2025-05-13T16:39:00Z"/>
                <w:b/>
              </w:rPr>
              <w:pPrChange w:id="10376" w:author="AbbVie2" w:date="2025-05-13T16:40:00Z">
                <w:pPr>
                  <w:pStyle w:val="EMEANormal"/>
                  <w:keepNext/>
                </w:pPr>
              </w:pPrChange>
            </w:pPr>
            <w:del w:id="10377" w:author="AbbVie2" w:date="2025-05-13T16:39:00Z">
              <w:r w:rsidRPr="008912CF">
                <w:rPr>
                  <w:b/>
                </w:rPr>
                <w:delText xml:space="preserve">Baixa </w:delText>
              </w:r>
              <w:r>
                <w:rPr>
                  <w:b/>
                </w:rPr>
                <w:delText>D</w:delText>
              </w:r>
              <w:r w:rsidRPr="008912CF">
                <w:rPr>
                  <w:b/>
                </w:rPr>
                <w:delText>ose</w:delText>
              </w:r>
            </w:del>
          </w:p>
        </w:tc>
        <w:tc>
          <w:tcPr>
            <w:tcW w:w="0" w:type="auto"/>
          </w:tcPr>
          <w:p w14:paraId="7AB92706" w14:textId="090C367F" w:rsidR="00B925B3" w:rsidRPr="008912CF" w:rsidRDefault="00615769">
            <w:pPr>
              <w:rPr>
                <w:del w:id="10378" w:author="AbbVie2" w:date="2025-05-13T16:39:00Z"/>
                <w:b/>
              </w:rPr>
              <w:pPrChange w:id="10379" w:author="AbbVie2" w:date="2025-05-13T16:40:00Z">
                <w:pPr>
                  <w:pStyle w:val="EMEANormal"/>
                  <w:keepNext/>
                </w:pPr>
              </w:pPrChange>
            </w:pPr>
            <w:del w:id="10380" w:author="AbbVie2" w:date="2025-05-13T16:39:00Z">
              <w:r w:rsidRPr="008912CF">
                <w:rPr>
                  <w:b/>
                </w:rPr>
                <w:delText>Dose</w:delText>
              </w:r>
            </w:del>
          </w:p>
          <w:p w14:paraId="2C1B1C7A" w14:textId="11A722E2" w:rsidR="00B925B3" w:rsidRPr="008912CF" w:rsidRDefault="00615769">
            <w:pPr>
              <w:rPr>
                <w:del w:id="10381" w:author="AbbVie2" w:date="2025-05-13T16:39:00Z"/>
                <w:b/>
              </w:rPr>
              <w:pPrChange w:id="10382" w:author="AbbVie2" w:date="2025-05-13T16:40:00Z">
                <w:pPr>
                  <w:pStyle w:val="EMEANormal"/>
                  <w:keepNext/>
                </w:pPr>
              </w:pPrChange>
            </w:pPr>
            <w:del w:id="10383" w:author="AbbVie2" w:date="2025-05-13T16:39:00Z">
              <w:r w:rsidRPr="008912CF">
                <w:rPr>
                  <w:b/>
                </w:rPr>
                <w:delText>padrão</w:delText>
              </w:r>
            </w:del>
          </w:p>
        </w:tc>
      </w:tr>
      <w:tr w:rsidR="00A7162A" w14:paraId="13CBF92B" w14:textId="698B0BEE" w:rsidTr="00B538F3">
        <w:trPr>
          <w:jc w:val="center"/>
          <w:del w:id="10384" w:author="AbbVie2" w:date="2025-05-13T16:39:00Z"/>
        </w:trPr>
        <w:tc>
          <w:tcPr>
            <w:tcW w:w="0" w:type="auto"/>
          </w:tcPr>
          <w:p w14:paraId="19303CF0" w14:textId="2659BB41" w:rsidR="00B925B3" w:rsidRPr="008912CF" w:rsidRDefault="00615769">
            <w:pPr>
              <w:rPr>
                <w:del w:id="10385" w:author="AbbVie2" w:date="2025-05-13T16:39:00Z"/>
              </w:rPr>
              <w:pPrChange w:id="10386" w:author="AbbVie2" w:date="2025-05-13T16:40:00Z">
                <w:pPr>
                  <w:pStyle w:val="EMEANormal"/>
                  <w:keepNext/>
                </w:pPr>
              </w:pPrChange>
            </w:pPr>
            <w:del w:id="10387" w:author="AbbVie2" w:date="2025-05-13T16:39:00Z">
              <w:r w:rsidRPr="008912CF">
                <w:delText>&lt; 40 kg</w:delText>
              </w:r>
            </w:del>
          </w:p>
        </w:tc>
        <w:tc>
          <w:tcPr>
            <w:tcW w:w="0" w:type="auto"/>
          </w:tcPr>
          <w:p w14:paraId="6A9E7CF4" w14:textId="2B51780F" w:rsidR="00B925B3" w:rsidRPr="008912CF" w:rsidRDefault="00615769">
            <w:pPr>
              <w:rPr>
                <w:del w:id="10388" w:author="AbbVie2" w:date="2025-05-13T16:39:00Z"/>
              </w:rPr>
              <w:pPrChange w:id="10389" w:author="AbbVie2" w:date="2025-05-13T16:40:00Z">
                <w:pPr>
                  <w:pStyle w:val="EMEANormal"/>
                  <w:keepNext/>
                </w:pPr>
              </w:pPrChange>
            </w:pPr>
            <w:del w:id="10390" w:author="AbbVie2" w:date="2025-05-13T16:39:00Z">
              <w:r w:rsidRPr="008912CF">
                <w:delText>10 mg em semanas alternadas</w:delText>
              </w:r>
            </w:del>
          </w:p>
        </w:tc>
        <w:tc>
          <w:tcPr>
            <w:tcW w:w="0" w:type="auto"/>
          </w:tcPr>
          <w:p w14:paraId="5D2C9E91" w14:textId="5AC598FD" w:rsidR="00B925B3" w:rsidRPr="008912CF" w:rsidRDefault="00615769">
            <w:pPr>
              <w:rPr>
                <w:del w:id="10391" w:author="AbbVie2" w:date="2025-05-13T16:39:00Z"/>
              </w:rPr>
              <w:pPrChange w:id="10392" w:author="AbbVie2" w:date="2025-05-13T16:40:00Z">
                <w:pPr>
                  <w:pStyle w:val="EMEANormal"/>
                  <w:keepNext/>
                </w:pPr>
              </w:pPrChange>
            </w:pPr>
            <w:del w:id="10393" w:author="AbbVie2" w:date="2025-05-13T16:39:00Z">
              <w:r w:rsidRPr="008912CF">
                <w:delText>20 mg em semanas alternadas</w:delText>
              </w:r>
            </w:del>
          </w:p>
        </w:tc>
      </w:tr>
      <w:tr w:rsidR="00A7162A" w14:paraId="56D7CBD2" w14:textId="66FEFC81" w:rsidTr="00B538F3">
        <w:trPr>
          <w:jc w:val="center"/>
          <w:del w:id="10394" w:author="AbbVie2" w:date="2025-05-13T16:39:00Z"/>
        </w:trPr>
        <w:tc>
          <w:tcPr>
            <w:tcW w:w="0" w:type="auto"/>
          </w:tcPr>
          <w:p w14:paraId="1322ADF5" w14:textId="6F7A4F01" w:rsidR="00B925B3" w:rsidRPr="008912CF" w:rsidRDefault="00615769">
            <w:pPr>
              <w:rPr>
                <w:del w:id="10395" w:author="AbbVie2" w:date="2025-05-13T16:39:00Z"/>
              </w:rPr>
              <w:pPrChange w:id="10396" w:author="AbbVie2" w:date="2025-05-13T16:40:00Z">
                <w:pPr>
                  <w:pStyle w:val="EMEANormal"/>
                  <w:keepNext/>
                </w:pPr>
              </w:pPrChange>
            </w:pPr>
            <w:del w:id="10397" w:author="AbbVie2" w:date="2025-05-13T16:39:00Z">
              <w:r w:rsidRPr="008912CF">
                <w:delText>≥ 40 kg</w:delText>
              </w:r>
            </w:del>
          </w:p>
        </w:tc>
        <w:tc>
          <w:tcPr>
            <w:tcW w:w="0" w:type="auto"/>
          </w:tcPr>
          <w:p w14:paraId="3478407C" w14:textId="25CBCE27" w:rsidR="00B925B3" w:rsidRPr="008912CF" w:rsidRDefault="00615769">
            <w:pPr>
              <w:rPr>
                <w:del w:id="10398" w:author="AbbVie2" w:date="2025-05-13T16:39:00Z"/>
              </w:rPr>
              <w:pPrChange w:id="10399" w:author="AbbVie2" w:date="2025-05-13T16:40:00Z">
                <w:pPr>
                  <w:pStyle w:val="EMEANormal"/>
                  <w:keepNext/>
                </w:pPr>
              </w:pPrChange>
            </w:pPr>
            <w:del w:id="10400" w:author="AbbVie2" w:date="2025-05-13T16:39:00Z">
              <w:r w:rsidRPr="008912CF">
                <w:delText>20 mg em semanas alternadas</w:delText>
              </w:r>
            </w:del>
          </w:p>
        </w:tc>
        <w:tc>
          <w:tcPr>
            <w:tcW w:w="0" w:type="auto"/>
          </w:tcPr>
          <w:p w14:paraId="044E9C88" w14:textId="5B40FB8B" w:rsidR="00B925B3" w:rsidRPr="008912CF" w:rsidRDefault="00615769">
            <w:pPr>
              <w:rPr>
                <w:del w:id="10401" w:author="AbbVie2" w:date="2025-05-13T16:39:00Z"/>
              </w:rPr>
              <w:pPrChange w:id="10402" w:author="AbbVie2" w:date="2025-05-13T16:40:00Z">
                <w:pPr>
                  <w:pStyle w:val="EMEANormal"/>
                  <w:keepNext/>
                </w:pPr>
              </w:pPrChange>
            </w:pPr>
            <w:del w:id="10403" w:author="AbbVie2" w:date="2025-05-13T16:39:00Z">
              <w:r w:rsidRPr="008912CF">
                <w:delText>40 mg em semanas alternadas</w:delText>
              </w:r>
            </w:del>
          </w:p>
        </w:tc>
      </w:tr>
    </w:tbl>
    <w:p w14:paraId="2FB31CE5" w14:textId="5F29C81D" w:rsidR="00B925B3" w:rsidRPr="008912CF" w:rsidRDefault="00B925B3" w:rsidP="00412FC8">
      <w:pPr>
        <w:rPr>
          <w:del w:id="10404" w:author="AbbVie2" w:date="2025-05-13T16:39:00Z"/>
          <w:sz w:val="22"/>
          <w:szCs w:val="22"/>
        </w:rPr>
      </w:pPr>
    </w:p>
    <w:p w14:paraId="05683C5C" w14:textId="47F712A1" w:rsidR="00B925B3" w:rsidRPr="008912CF" w:rsidRDefault="00615769" w:rsidP="00412FC8">
      <w:pPr>
        <w:rPr>
          <w:del w:id="10405" w:author="AbbVie2" w:date="2025-05-13T16:39:00Z"/>
          <w:i/>
          <w:sz w:val="22"/>
          <w:szCs w:val="22"/>
          <w:u w:val="single"/>
        </w:rPr>
      </w:pPr>
      <w:del w:id="10406" w:author="AbbVie2" w:date="2025-05-13T16:39:00Z">
        <w:r w:rsidRPr="008912CF">
          <w:rPr>
            <w:i/>
            <w:sz w:val="22"/>
            <w:szCs w:val="22"/>
            <w:u w:val="single"/>
          </w:rPr>
          <w:delText>Resultados de eficácia</w:delText>
        </w:r>
      </w:del>
    </w:p>
    <w:p w14:paraId="0AE04D9F" w14:textId="6C929569" w:rsidR="00B925B3" w:rsidRPr="008912CF" w:rsidRDefault="00B925B3" w:rsidP="00412FC8">
      <w:pPr>
        <w:rPr>
          <w:del w:id="10407" w:author="AbbVie2" w:date="2025-05-13T16:39:00Z"/>
          <w:i/>
          <w:sz w:val="22"/>
          <w:szCs w:val="22"/>
        </w:rPr>
      </w:pPr>
    </w:p>
    <w:p w14:paraId="5A0E8914" w14:textId="40F25DD8" w:rsidR="00B925B3" w:rsidRPr="008912CF" w:rsidRDefault="00615769" w:rsidP="00412FC8">
      <w:pPr>
        <w:rPr>
          <w:del w:id="10408" w:author="AbbVie2" w:date="2025-05-13T16:39:00Z"/>
        </w:rPr>
      </w:pPr>
      <w:del w:id="10409" w:author="AbbVie2" w:date="2025-05-13T16:39:00Z">
        <w:r w:rsidRPr="008912CF">
          <w:rPr>
            <w:sz w:val="22"/>
            <w:szCs w:val="22"/>
          </w:rPr>
          <w:delText xml:space="preserve">O objetivo primário do estudo foi a remissão clínica na Semana 26, definida como escala PCDAI </w:delText>
        </w:r>
        <w:r w:rsidRPr="008912CF">
          <w:rPr>
            <w:rFonts w:ascii="Symbol" w:hAnsi="Symbol"/>
          </w:rPr>
          <w:sym w:font="Symbol" w:char="F0A3"/>
        </w:r>
        <w:r w:rsidR="004A4EC2">
          <w:delText> </w:delText>
        </w:r>
        <w:r w:rsidRPr="008912CF">
          <w:delText>10.</w:delText>
        </w:r>
      </w:del>
    </w:p>
    <w:p w14:paraId="7AADA691" w14:textId="2D070668" w:rsidR="00B925B3" w:rsidRPr="008912CF" w:rsidRDefault="00B925B3" w:rsidP="00412FC8">
      <w:pPr>
        <w:rPr>
          <w:del w:id="10410" w:author="AbbVie2" w:date="2025-05-13T16:39:00Z"/>
        </w:rPr>
      </w:pPr>
    </w:p>
    <w:p w14:paraId="72DC14DD" w14:textId="1570CED2" w:rsidR="00B925B3" w:rsidRPr="008912CF" w:rsidRDefault="00615769" w:rsidP="00412FC8">
      <w:pPr>
        <w:rPr>
          <w:del w:id="10411" w:author="AbbVie2" w:date="2025-05-13T16:39:00Z"/>
          <w:sz w:val="22"/>
          <w:szCs w:val="22"/>
        </w:rPr>
      </w:pPr>
      <w:del w:id="10412" w:author="AbbVie2" w:date="2025-05-13T16:39:00Z">
        <w:r w:rsidRPr="008912CF">
          <w:rPr>
            <w:sz w:val="22"/>
            <w:szCs w:val="22"/>
          </w:rPr>
          <w:delText xml:space="preserve">Taxas de remissão clínica e de resposta clínica (definida como uma redução na escala PCDAI de pelo menos 15 pontos desde a avaliação basal) são apresentadas na Tabela </w:delText>
        </w:r>
        <w:r>
          <w:rPr>
            <w:sz w:val="22"/>
            <w:szCs w:val="22"/>
          </w:rPr>
          <w:delText>2</w:delText>
        </w:r>
        <w:r w:rsidR="0057678E">
          <w:rPr>
            <w:sz w:val="22"/>
            <w:szCs w:val="22"/>
          </w:rPr>
          <w:delText>9</w:delText>
        </w:r>
        <w:r w:rsidRPr="008912CF">
          <w:rPr>
            <w:sz w:val="22"/>
            <w:szCs w:val="22"/>
          </w:rPr>
          <w:delText>. Taxas de descontinuação de corticosteroides ou imunomoduladores são apresentad</w:delText>
        </w:r>
        <w:r>
          <w:rPr>
            <w:sz w:val="22"/>
            <w:szCs w:val="22"/>
          </w:rPr>
          <w:delText>a</w:delText>
        </w:r>
        <w:r w:rsidRPr="008912CF">
          <w:rPr>
            <w:sz w:val="22"/>
            <w:szCs w:val="22"/>
          </w:rPr>
          <w:delText xml:space="preserve">s na </w:delText>
        </w:r>
        <w:r>
          <w:rPr>
            <w:sz w:val="22"/>
            <w:szCs w:val="22"/>
          </w:rPr>
          <w:delText xml:space="preserve">Tabela </w:delText>
        </w:r>
        <w:r w:rsidR="0057678E">
          <w:rPr>
            <w:sz w:val="22"/>
            <w:szCs w:val="22"/>
          </w:rPr>
          <w:delText>30</w:delText>
        </w:r>
        <w:r w:rsidRPr="008912CF">
          <w:rPr>
            <w:sz w:val="22"/>
            <w:szCs w:val="22"/>
          </w:rPr>
          <w:delText xml:space="preserve">. </w:delText>
        </w:r>
      </w:del>
    </w:p>
    <w:p w14:paraId="00195CCC" w14:textId="23BB1A1E" w:rsidR="00B925B3" w:rsidRPr="008912CF" w:rsidRDefault="00B925B3" w:rsidP="00412FC8">
      <w:pPr>
        <w:rPr>
          <w:del w:id="10413" w:author="AbbVie2" w:date="2025-05-13T16:39:00Z"/>
          <w:sz w:val="22"/>
          <w:szCs w:val="22"/>
        </w:rPr>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A7162A" w14:paraId="3F658A5F" w14:textId="6117C01A" w:rsidTr="00D22E86">
        <w:trPr>
          <w:jc w:val="center"/>
          <w:del w:id="10414" w:author="AbbVie2" w:date="2025-05-13T16:39:00Z"/>
        </w:trPr>
        <w:tc>
          <w:tcPr>
            <w:tcW w:w="6673" w:type="dxa"/>
            <w:gridSpan w:val="4"/>
            <w:tcBorders>
              <w:top w:val="single" w:sz="6" w:space="0" w:color="000000"/>
              <w:left w:val="single" w:sz="6" w:space="0" w:color="000000"/>
              <w:bottom w:val="single" w:sz="6" w:space="0" w:color="000000"/>
              <w:right w:val="single" w:sz="6" w:space="0" w:color="000000"/>
            </w:tcBorders>
          </w:tcPr>
          <w:p w14:paraId="6809B0FC" w14:textId="6E6806A2" w:rsidR="00B925B3" w:rsidRPr="008912CF" w:rsidRDefault="00615769">
            <w:pPr>
              <w:rPr>
                <w:del w:id="10415" w:author="AbbVie2" w:date="2025-05-13T16:39:00Z"/>
                <w:b/>
                <w:bCs/>
                <w:sz w:val="22"/>
                <w:szCs w:val="22"/>
              </w:rPr>
              <w:pPrChange w:id="10416" w:author="AbbVie2" w:date="2025-05-13T16:40:00Z">
                <w:pPr>
                  <w:keepNext/>
                  <w:tabs>
                    <w:tab w:val="left" w:pos="-878"/>
                  </w:tabs>
                  <w:autoSpaceDE w:val="0"/>
                  <w:autoSpaceDN w:val="0"/>
                  <w:adjustRightInd w:val="0"/>
                  <w:ind w:left="15"/>
                  <w:jc w:val="center"/>
                </w:pPr>
              </w:pPrChange>
            </w:pPr>
            <w:del w:id="10417" w:author="AbbVie2" w:date="2025-05-13T16:39:00Z">
              <w:r w:rsidRPr="008912CF">
                <w:rPr>
                  <w:b/>
                  <w:bCs/>
                  <w:sz w:val="22"/>
                </w:rPr>
                <w:delText xml:space="preserve">Tabela </w:delText>
              </w:r>
              <w:r>
                <w:rPr>
                  <w:b/>
                  <w:bCs/>
                  <w:sz w:val="22"/>
                </w:rPr>
                <w:delText>2</w:delText>
              </w:r>
              <w:r w:rsidR="0057678E">
                <w:rPr>
                  <w:b/>
                  <w:bCs/>
                  <w:sz w:val="22"/>
                </w:rPr>
                <w:delText>9</w:delText>
              </w:r>
            </w:del>
          </w:p>
          <w:p w14:paraId="56D79A33" w14:textId="76B166A8" w:rsidR="00B925B3" w:rsidRPr="008912CF" w:rsidRDefault="00615769">
            <w:pPr>
              <w:rPr>
                <w:del w:id="10418" w:author="AbbVie2" w:date="2025-05-13T16:39:00Z"/>
                <w:b/>
                <w:bCs/>
                <w:sz w:val="22"/>
                <w:szCs w:val="22"/>
              </w:rPr>
              <w:pPrChange w:id="10419" w:author="AbbVie2" w:date="2025-05-13T16:40:00Z">
                <w:pPr>
                  <w:keepNext/>
                  <w:tabs>
                    <w:tab w:val="left" w:pos="-878"/>
                  </w:tabs>
                  <w:autoSpaceDE w:val="0"/>
                  <w:autoSpaceDN w:val="0"/>
                  <w:adjustRightInd w:val="0"/>
                  <w:ind w:left="15"/>
                  <w:jc w:val="center"/>
                </w:pPr>
              </w:pPrChange>
            </w:pPr>
            <w:del w:id="10420" w:author="AbbVie2" w:date="2025-05-13T16:39:00Z">
              <w:r w:rsidRPr="008912CF">
                <w:rPr>
                  <w:b/>
                  <w:sz w:val="22"/>
                  <w:szCs w:val="22"/>
                </w:rPr>
                <w:delText>Estudo de DC Pediátrica</w:delText>
              </w:r>
            </w:del>
          </w:p>
          <w:p w14:paraId="28437829" w14:textId="56C1BA5F" w:rsidR="00B925B3" w:rsidRPr="008912CF" w:rsidRDefault="00615769">
            <w:pPr>
              <w:rPr>
                <w:del w:id="10421" w:author="AbbVie2" w:date="2025-05-13T16:39:00Z"/>
                <w:b/>
                <w:bCs/>
                <w:sz w:val="22"/>
                <w:szCs w:val="22"/>
              </w:rPr>
              <w:pPrChange w:id="10422" w:author="AbbVie2" w:date="2025-05-13T16:40:00Z">
                <w:pPr>
                  <w:keepNext/>
                  <w:tabs>
                    <w:tab w:val="left" w:pos="-878"/>
                  </w:tabs>
                  <w:autoSpaceDE w:val="0"/>
                  <w:autoSpaceDN w:val="0"/>
                  <w:adjustRightInd w:val="0"/>
                  <w:ind w:left="15"/>
                  <w:jc w:val="center"/>
                </w:pPr>
              </w:pPrChange>
            </w:pPr>
            <w:del w:id="10423" w:author="AbbVie2" w:date="2025-05-13T16:39:00Z">
              <w:r w:rsidRPr="008912CF">
                <w:rPr>
                  <w:b/>
                  <w:bCs/>
                  <w:sz w:val="22"/>
                  <w:szCs w:val="22"/>
                </w:rPr>
                <w:delText>Resposta e Remissão Clínica</w:delText>
              </w:r>
              <w:r>
                <w:rPr>
                  <w:b/>
                  <w:bCs/>
                  <w:sz w:val="22"/>
                  <w:szCs w:val="22"/>
                </w:rPr>
                <w:delText>s</w:delText>
              </w:r>
              <w:r w:rsidRPr="008912CF">
                <w:rPr>
                  <w:b/>
                  <w:bCs/>
                  <w:sz w:val="22"/>
                  <w:szCs w:val="22"/>
                </w:rPr>
                <w:delText xml:space="preserve"> PCDAI</w:delText>
              </w:r>
            </w:del>
          </w:p>
        </w:tc>
      </w:tr>
      <w:tr w:rsidR="00A7162A" w14:paraId="3AA1C42E" w14:textId="05D1CCAD" w:rsidTr="00D22E86">
        <w:trPr>
          <w:jc w:val="center"/>
          <w:del w:id="10424" w:author="AbbVie2" w:date="2025-05-13T16:39:00Z"/>
        </w:trPr>
        <w:tc>
          <w:tcPr>
            <w:tcW w:w="2321" w:type="dxa"/>
            <w:tcBorders>
              <w:top w:val="single" w:sz="6" w:space="0" w:color="000000"/>
              <w:left w:val="single" w:sz="6" w:space="0" w:color="000000"/>
              <w:bottom w:val="single" w:sz="6" w:space="0" w:color="000000"/>
              <w:right w:val="single" w:sz="6" w:space="0" w:color="000000"/>
            </w:tcBorders>
          </w:tcPr>
          <w:p w14:paraId="357A314F" w14:textId="67318D5E" w:rsidR="00B925B3" w:rsidRPr="008912CF" w:rsidRDefault="00B925B3">
            <w:pPr>
              <w:rPr>
                <w:del w:id="10425" w:author="AbbVie2" w:date="2025-05-13T16:39:00Z"/>
                <w:b/>
                <w:bCs/>
                <w:sz w:val="22"/>
                <w:szCs w:val="22"/>
              </w:rPr>
              <w:pPrChange w:id="10426" w:author="AbbVie2" w:date="2025-05-13T16:40:00Z">
                <w:pPr>
                  <w:keepNext/>
                  <w:keepLines/>
                  <w:tabs>
                    <w:tab w:val="left" w:pos="-1080"/>
                  </w:tabs>
                  <w:autoSpaceDE w:val="0"/>
                  <w:autoSpaceDN w:val="0"/>
                  <w:adjustRightInd w:val="0"/>
                  <w:ind w:left="15"/>
                  <w:jc w:val="center"/>
                </w:pPr>
              </w:pPrChange>
            </w:pPr>
          </w:p>
        </w:tc>
        <w:tc>
          <w:tcPr>
            <w:tcW w:w="1614" w:type="dxa"/>
            <w:tcBorders>
              <w:top w:val="single" w:sz="6" w:space="0" w:color="000000"/>
              <w:left w:val="single" w:sz="6" w:space="0" w:color="000000"/>
              <w:bottom w:val="single" w:sz="6" w:space="0" w:color="000000"/>
              <w:right w:val="single" w:sz="6" w:space="0" w:color="000000"/>
            </w:tcBorders>
          </w:tcPr>
          <w:p w14:paraId="2BC27286" w14:textId="46D725A3" w:rsidR="00B925B3" w:rsidRPr="008912CF" w:rsidRDefault="00615769">
            <w:pPr>
              <w:rPr>
                <w:del w:id="10427" w:author="AbbVie2" w:date="2025-05-13T16:39:00Z"/>
                <w:b/>
                <w:bCs/>
                <w:sz w:val="22"/>
                <w:szCs w:val="22"/>
              </w:rPr>
              <w:pPrChange w:id="10428" w:author="AbbVie2" w:date="2025-05-13T16:40:00Z">
                <w:pPr>
                  <w:keepNext/>
                  <w:keepLines/>
                  <w:tabs>
                    <w:tab w:val="left" w:pos="-1080"/>
                  </w:tabs>
                  <w:autoSpaceDE w:val="0"/>
                  <w:autoSpaceDN w:val="0"/>
                  <w:adjustRightInd w:val="0"/>
                  <w:ind w:left="15"/>
                  <w:jc w:val="center"/>
                </w:pPr>
              </w:pPrChange>
            </w:pPr>
            <w:del w:id="10429" w:author="AbbVie2" w:date="2025-05-13T16:39:00Z">
              <w:r w:rsidRPr="008912CF">
                <w:rPr>
                  <w:b/>
                  <w:bCs/>
                  <w:sz w:val="22"/>
                  <w:szCs w:val="22"/>
                </w:rPr>
                <w:delText>Dose Padrão</w:delText>
              </w:r>
            </w:del>
          </w:p>
          <w:p w14:paraId="5DB05BD0" w14:textId="2A8A339E" w:rsidR="00B925B3" w:rsidRPr="008912CF" w:rsidRDefault="00615769">
            <w:pPr>
              <w:rPr>
                <w:del w:id="10430" w:author="AbbVie2" w:date="2025-05-13T16:39:00Z"/>
                <w:b/>
                <w:bCs/>
                <w:sz w:val="22"/>
                <w:szCs w:val="22"/>
              </w:rPr>
              <w:pPrChange w:id="10431" w:author="AbbVie2" w:date="2025-05-13T16:40:00Z">
                <w:pPr>
                  <w:keepNext/>
                  <w:keepLines/>
                  <w:tabs>
                    <w:tab w:val="left" w:pos="-1080"/>
                  </w:tabs>
                  <w:autoSpaceDE w:val="0"/>
                  <w:autoSpaceDN w:val="0"/>
                  <w:adjustRightInd w:val="0"/>
                  <w:ind w:left="15"/>
                  <w:jc w:val="center"/>
                </w:pPr>
              </w:pPrChange>
            </w:pPr>
            <w:del w:id="10432" w:author="AbbVie2" w:date="2025-05-13T16:39:00Z">
              <w:r w:rsidRPr="008912CF">
                <w:rPr>
                  <w:b/>
                  <w:bCs/>
                  <w:sz w:val="22"/>
                  <w:szCs w:val="22"/>
                </w:rPr>
                <w:delText xml:space="preserve">40/20 mg </w:delText>
              </w:r>
              <w:r>
                <w:rPr>
                  <w:b/>
                  <w:bCs/>
                  <w:sz w:val="22"/>
                  <w:szCs w:val="22"/>
                </w:rPr>
                <w:delText xml:space="preserve">em </w:delText>
              </w:r>
              <w:r w:rsidRPr="008912CF">
                <w:rPr>
                  <w:b/>
                  <w:bCs/>
                  <w:sz w:val="22"/>
                  <w:szCs w:val="22"/>
                </w:rPr>
                <w:delText xml:space="preserve">semanas alternadas </w:delText>
              </w:r>
            </w:del>
          </w:p>
          <w:p w14:paraId="51BF324C" w14:textId="5B916E3B" w:rsidR="00B925B3" w:rsidRPr="008912CF" w:rsidRDefault="00615769">
            <w:pPr>
              <w:rPr>
                <w:del w:id="10433" w:author="AbbVie2" w:date="2025-05-13T16:39:00Z"/>
                <w:b/>
                <w:bCs/>
                <w:sz w:val="22"/>
                <w:szCs w:val="22"/>
              </w:rPr>
              <w:pPrChange w:id="10434" w:author="AbbVie2" w:date="2025-05-13T16:40:00Z">
                <w:pPr>
                  <w:keepNext/>
                  <w:keepLines/>
                  <w:tabs>
                    <w:tab w:val="left" w:pos="-1080"/>
                  </w:tabs>
                  <w:autoSpaceDE w:val="0"/>
                  <w:autoSpaceDN w:val="0"/>
                  <w:adjustRightInd w:val="0"/>
                  <w:ind w:left="15"/>
                  <w:jc w:val="center"/>
                </w:pPr>
              </w:pPrChange>
            </w:pPr>
            <w:del w:id="10435" w:author="AbbVie2" w:date="2025-05-13T16:39:00Z">
              <w:r w:rsidRPr="008912CF">
                <w:rPr>
                  <w:b/>
                  <w:bCs/>
                  <w:sz w:val="22"/>
                  <w:szCs w:val="22"/>
                </w:rPr>
                <w:delText>N = 93</w:delText>
              </w:r>
            </w:del>
          </w:p>
        </w:tc>
        <w:tc>
          <w:tcPr>
            <w:tcW w:w="1591" w:type="dxa"/>
            <w:tcBorders>
              <w:top w:val="single" w:sz="6" w:space="0" w:color="000000"/>
              <w:left w:val="single" w:sz="6" w:space="0" w:color="000000"/>
              <w:bottom w:val="single" w:sz="6" w:space="0" w:color="000000"/>
              <w:right w:val="single" w:sz="6" w:space="0" w:color="000000"/>
            </w:tcBorders>
          </w:tcPr>
          <w:p w14:paraId="2EF9717D" w14:textId="02DFD4DC" w:rsidR="00B925B3" w:rsidRPr="008912CF" w:rsidRDefault="00615769">
            <w:pPr>
              <w:rPr>
                <w:del w:id="10436" w:author="AbbVie2" w:date="2025-05-13T16:39:00Z"/>
                <w:b/>
                <w:bCs/>
                <w:sz w:val="22"/>
                <w:szCs w:val="22"/>
              </w:rPr>
              <w:pPrChange w:id="10437" w:author="AbbVie2" w:date="2025-05-13T16:40:00Z">
                <w:pPr>
                  <w:keepNext/>
                  <w:keepLines/>
                  <w:tabs>
                    <w:tab w:val="left" w:pos="-1080"/>
                  </w:tabs>
                  <w:autoSpaceDE w:val="0"/>
                  <w:autoSpaceDN w:val="0"/>
                  <w:adjustRightInd w:val="0"/>
                  <w:ind w:left="15"/>
                  <w:jc w:val="center"/>
                </w:pPr>
              </w:pPrChange>
            </w:pPr>
            <w:del w:id="10438" w:author="AbbVie2" w:date="2025-05-13T16:39:00Z">
              <w:r w:rsidRPr="008912CF">
                <w:rPr>
                  <w:b/>
                  <w:bCs/>
                  <w:sz w:val="22"/>
                  <w:szCs w:val="22"/>
                </w:rPr>
                <w:delText>Baixa Dose</w:delText>
              </w:r>
            </w:del>
          </w:p>
          <w:p w14:paraId="3283A71F" w14:textId="5FDE9691" w:rsidR="00B925B3" w:rsidRPr="008912CF" w:rsidRDefault="00615769">
            <w:pPr>
              <w:rPr>
                <w:del w:id="10439" w:author="AbbVie2" w:date="2025-05-13T16:39:00Z"/>
                <w:b/>
                <w:bCs/>
                <w:sz w:val="22"/>
                <w:szCs w:val="22"/>
              </w:rPr>
              <w:pPrChange w:id="10440" w:author="AbbVie2" w:date="2025-05-13T16:40:00Z">
                <w:pPr>
                  <w:keepNext/>
                  <w:keepLines/>
                  <w:tabs>
                    <w:tab w:val="left" w:pos="-1080"/>
                  </w:tabs>
                  <w:autoSpaceDE w:val="0"/>
                  <w:autoSpaceDN w:val="0"/>
                  <w:adjustRightInd w:val="0"/>
                  <w:ind w:left="15"/>
                  <w:jc w:val="center"/>
                </w:pPr>
              </w:pPrChange>
            </w:pPr>
            <w:del w:id="10441" w:author="AbbVie2" w:date="2025-05-13T16:39:00Z">
              <w:r w:rsidRPr="008912CF">
                <w:rPr>
                  <w:b/>
                  <w:bCs/>
                  <w:sz w:val="22"/>
                  <w:szCs w:val="22"/>
                </w:rPr>
                <w:delText xml:space="preserve">20/10 mg </w:delText>
              </w:r>
              <w:r>
                <w:rPr>
                  <w:b/>
                  <w:bCs/>
                  <w:sz w:val="22"/>
                  <w:szCs w:val="22"/>
                </w:rPr>
                <w:delText xml:space="preserve">em </w:delText>
              </w:r>
              <w:r w:rsidRPr="008912CF">
                <w:rPr>
                  <w:b/>
                  <w:bCs/>
                  <w:sz w:val="22"/>
                  <w:szCs w:val="22"/>
                </w:rPr>
                <w:delText xml:space="preserve">semanas alternadas </w:delText>
              </w:r>
            </w:del>
          </w:p>
          <w:p w14:paraId="7FAF1A83" w14:textId="1DA89DF0" w:rsidR="00B925B3" w:rsidRPr="008912CF" w:rsidRDefault="00615769">
            <w:pPr>
              <w:rPr>
                <w:del w:id="10442" w:author="AbbVie2" w:date="2025-05-13T16:39:00Z"/>
                <w:b/>
                <w:bCs/>
                <w:sz w:val="22"/>
                <w:szCs w:val="22"/>
              </w:rPr>
              <w:pPrChange w:id="10443" w:author="AbbVie2" w:date="2025-05-13T16:40:00Z">
                <w:pPr>
                  <w:keepNext/>
                  <w:keepLines/>
                  <w:tabs>
                    <w:tab w:val="left" w:pos="-1080"/>
                  </w:tabs>
                  <w:autoSpaceDE w:val="0"/>
                  <w:autoSpaceDN w:val="0"/>
                  <w:adjustRightInd w:val="0"/>
                  <w:ind w:left="15"/>
                  <w:jc w:val="center"/>
                </w:pPr>
              </w:pPrChange>
            </w:pPr>
            <w:del w:id="10444" w:author="AbbVie2" w:date="2025-05-13T16:39:00Z">
              <w:r w:rsidRPr="008912CF">
                <w:rPr>
                  <w:b/>
                  <w:bCs/>
                  <w:sz w:val="22"/>
                  <w:szCs w:val="22"/>
                </w:rPr>
                <w:delText>N = 95</w:delText>
              </w:r>
            </w:del>
          </w:p>
        </w:tc>
        <w:tc>
          <w:tcPr>
            <w:tcW w:w="1147" w:type="dxa"/>
            <w:tcBorders>
              <w:top w:val="single" w:sz="6" w:space="0" w:color="000000"/>
              <w:left w:val="single" w:sz="6" w:space="0" w:color="000000"/>
              <w:bottom w:val="single" w:sz="6" w:space="0" w:color="000000"/>
              <w:right w:val="single" w:sz="6" w:space="0" w:color="000000"/>
            </w:tcBorders>
          </w:tcPr>
          <w:p w14:paraId="7B991403" w14:textId="73F1297E" w:rsidR="00B925B3" w:rsidRPr="008912CF" w:rsidRDefault="00615769">
            <w:pPr>
              <w:rPr>
                <w:del w:id="10445" w:author="AbbVie2" w:date="2025-05-13T16:39:00Z"/>
                <w:sz w:val="22"/>
                <w:szCs w:val="22"/>
              </w:rPr>
              <w:pPrChange w:id="10446" w:author="AbbVie2" w:date="2025-05-13T16:40:00Z">
                <w:pPr>
                  <w:keepNext/>
                  <w:keepLines/>
                  <w:tabs>
                    <w:tab w:val="left" w:pos="-1080"/>
                  </w:tabs>
                  <w:autoSpaceDE w:val="0"/>
                  <w:autoSpaceDN w:val="0"/>
                  <w:adjustRightInd w:val="0"/>
                  <w:ind w:left="15"/>
                  <w:jc w:val="center"/>
                </w:pPr>
              </w:pPrChange>
            </w:pPr>
            <w:del w:id="10447" w:author="AbbVie2" w:date="2025-05-13T16:39:00Z">
              <w:r w:rsidRPr="008912CF">
                <w:rPr>
                  <w:b/>
                  <w:bCs/>
                  <w:sz w:val="22"/>
                  <w:szCs w:val="22"/>
                </w:rPr>
                <w:delText>valor</w:delText>
              </w:r>
              <w:r>
                <w:rPr>
                  <w:b/>
                  <w:bCs/>
                  <w:sz w:val="22"/>
                  <w:szCs w:val="22"/>
                </w:rPr>
                <w:delText>-p</w:delText>
              </w:r>
              <w:r w:rsidRPr="008912CF">
                <w:rPr>
                  <w:sz w:val="22"/>
                  <w:szCs w:val="22"/>
                </w:rPr>
                <w:delText>*</w:delText>
              </w:r>
            </w:del>
          </w:p>
        </w:tc>
      </w:tr>
      <w:tr w:rsidR="00A7162A" w14:paraId="0F8A5880" w14:textId="196BE54F" w:rsidTr="00D22E86">
        <w:trPr>
          <w:jc w:val="center"/>
          <w:del w:id="10448" w:author="AbbVie2" w:date="2025-05-13T16:39:00Z"/>
        </w:trPr>
        <w:tc>
          <w:tcPr>
            <w:tcW w:w="2321" w:type="dxa"/>
            <w:tcBorders>
              <w:top w:val="single" w:sz="6" w:space="0" w:color="000000"/>
              <w:left w:val="single" w:sz="6" w:space="0" w:color="000000"/>
              <w:bottom w:val="single" w:sz="6" w:space="0" w:color="000000"/>
              <w:right w:val="single" w:sz="6" w:space="0" w:color="000000"/>
            </w:tcBorders>
            <w:vAlign w:val="bottom"/>
          </w:tcPr>
          <w:p w14:paraId="6AEFF3BF" w14:textId="5AE0A8B9" w:rsidR="00B925B3" w:rsidRPr="008912CF" w:rsidRDefault="00615769">
            <w:pPr>
              <w:rPr>
                <w:del w:id="10449" w:author="AbbVie2" w:date="2025-05-13T16:39:00Z"/>
                <w:b/>
                <w:bCs/>
                <w:sz w:val="22"/>
                <w:szCs w:val="22"/>
              </w:rPr>
              <w:pPrChange w:id="10450" w:author="AbbVie2" w:date="2025-05-13T16:40:00Z">
                <w:pPr>
                  <w:keepNext/>
                  <w:keepLines/>
                  <w:tabs>
                    <w:tab w:val="left" w:pos="-1080"/>
                  </w:tabs>
                  <w:autoSpaceDE w:val="0"/>
                  <w:autoSpaceDN w:val="0"/>
                  <w:adjustRightInd w:val="0"/>
                  <w:ind w:left="15"/>
                </w:pPr>
              </w:pPrChange>
            </w:pPr>
            <w:del w:id="10451" w:author="AbbVie2" w:date="2025-05-13T16:39:00Z">
              <w:r w:rsidRPr="008912CF">
                <w:rPr>
                  <w:b/>
                  <w:bCs/>
                  <w:sz w:val="22"/>
                  <w:szCs w:val="22"/>
                </w:rPr>
                <w:delText>Semana 26</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1266DAD4" w14:textId="77B5A7C8" w:rsidR="00B925B3" w:rsidRPr="008912CF" w:rsidRDefault="00B925B3">
            <w:pPr>
              <w:rPr>
                <w:del w:id="10452" w:author="AbbVie2" w:date="2025-05-13T16:39:00Z"/>
                <w:b/>
                <w:bCs/>
                <w:sz w:val="22"/>
                <w:szCs w:val="22"/>
              </w:rPr>
              <w:pPrChange w:id="10453" w:author="AbbVie2" w:date="2025-05-13T16:40:00Z">
                <w:pPr>
                  <w:keepNext/>
                  <w:keepLines/>
                  <w:tabs>
                    <w:tab w:val="left" w:pos="-1080"/>
                  </w:tabs>
                  <w:autoSpaceDE w:val="0"/>
                  <w:autoSpaceDN w:val="0"/>
                  <w:adjustRightInd w:val="0"/>
                  <w:ind w:left="15"/>
                  <w:jc w:val="center"/>
                </w:pPr>
              </w:pPrChange>
            </w:pPr>
          </w:p>
        </w:tc>
        <w:tc>
          <w:tcPr>
            <w:tcW w:w="1591" w:type="dxa"/>
            <w:tcBorders>
              <w:top w:val="single" w:sz="6" w:space="0" w:color="000000"/>
              <w:left w:val="single" w:sz="6" w:space="0" w:color="000000"/>
              <w:bottom w:val="single" w:sz="6" w:space="0" w:color="000000"/>
              <w:right w:val="single" w:sz="6" w:space="0" w:color="000000"/>
            </w:tcBorders>
            <w:vAlign w:val="bottom"/>
          </w:tcPr>
          <w:p w14:paraId="0EE5B4FC" w14:textId="0EF2970D" w:rsidR="00B925B3" w:rsidRPr="008912CF" w:rsidRDefault="00B925B3">
            <w:pPr>
              <w:rPr>
                <w:del w:id="10454" w:author="AbbVie2" w:date="2025-05-13T16:39:00Z"/>
                <w:b/>
                <w:bCs/>
                <w:sz w:val="22"/>
                <w:szCs w:val="22"/>
              </w:rPr>
              <w:pPrChange w:id="10455" w:author="AbbVie2" w:date="2025-05-13T16:40:00Z">
                <w:pPr>
                  <w:keepNext/>
                  <w:keepLines/>
                  <w:tabs>
                    <w:tab w:val="left" w:pos="-1080"/>
                  </w:tabs>
                  <w:autoSpaceDE w:val="0"/>
                  <w:autoSpaceDN w:val="0"/>
                  <w:adjustRightInd w:val="0"/>
                  <w:ind w:left="15"/>
                  <w:jc w:val="center"/>
                </w:pPr>
              </w:pPrChange>
            </w:pPr>
          </w:p>
        </w:tc>
        <w:tc>
          <w:tcPr>
            <w:tcW w:w="1147" w:type="dxa"/>
            <w:tcBorders>
              <w:top w:val="single" w:sz="6" w:space="0" w:color="000000"/>
              <w:left w:val="single" w:sz="6" w:space="0" w:color="000000"/>
              <w:bottom w:val="single" w:sz="6" w:space="0" w:color="000000"/>
              <w:right w:val="single" w:sz="6" w:space="0" w:color="000000"/>
            </w:tcBorders>
            <w:vAlign w:val="bottom"/>
          </w:tcPr>
          <w:p w14:paraId="1D5CE358" w14:textId="0B9976B6" w:rsidR="00B925B3" w:rsidRPr="008912CF" w:rsidRDefault="00B925B3">
            <w:pPr>
              <w:rPr>
                <w:del w:id="10456" w:author="AbbVie2" w:date="2025-05-13T16:39:00Z"/>
                <w:b/>
                <w:bCs/>
                <w:sz w:val="22"/>
                <w:szCs w:val="22"/>
              </w:rPr>
              <w:pPrChange w:id="10457" w:author="AbbVie2" w:date="2025-05-13T16:40:00Z">
                <w:pPr>
                  <w:keepNext/>
                  <w:autoSpaceDE w:val="0"/>
                  <w:autoSpaceDN w:val="0"/>
                  <w:adjustRightInd w:val="0"/>
                  <w:ind w:left="15"/>
                </w:pPr>
              </w:pPrChange>
            </w:pPr>
          </w:p>
        </w:tc>
      </w:tr>
      <w:tr w:rsidR="00A7162A" w14:paraId="6BF69CF9" w14:textId="65CBB80E" w:rsidTr="00D22E86">
        <w:trPr>
          <w:jc w:val="center"/>
          <w:del w:id="10458" w:author="AbbVie2" w:date="2025-05-13T16:39:00Z"/>
        </w:trPr>
        <w:tc>
          <w:tcPr>
            <w:tcW w:w="2321" w:type="dxa"/>
            <w:tcBorders>
              <w:top w:val="single" w:sz="6" w:space="0" w:color="000000"/>
              <w:left w:val="single" w:sz="6" w:space="0" w:color="000000"/>
              <w:bottom w:val="single" w:sz="6" w:space="0" w:color="000000"/>
              <w:right w:val="single" w:sz="6" w:space="0" w:color="000000"/>
            </w:tcBorders>
            <w:vAlign w:val="bottom"/>
          </w:tcPr>
          <w:p w14:paraId="4971DC73" w14:textId="1069BD36" w:rsidR="00B925B3" w:rsidRPr="008912CF" w:rsidRDefault="00615769">
            <w:pPr>
              <w:rPr>
                <w:del w:id="10459" w:author="AbbVie2" w:date="2025-05-13T16:39:00Z"/>
                <w:sz w:val="22"/>
                <w:szCs w:val="22"/>
              </w:rPr>
              <w:pPrChange w:id="10460" w:author="AbbVie2" w:date="2025-05-13T16:40:00Z">
                <w:pPr>
                  <w:keepNext/>
                  <w:keepLines/>
                  <w:tabs>
                    <w:tab w:val="left" w:pos="-1080"/>
                  </w:tabs>
                  <w:autoSpaceDE w:val="0"/>
                  <w:autoSpaceDN w:val="0"/>
                  <w:adjustRightInd w:val="0"/>
                  <w:ind w:left="15"/>
                </w:pPr>
              </w:pPrChange>
            </w:pPr>
            <w:del w:id="10461" w:author="AbbVie2" w:date="2025-05-13T16:39:00Z">
              <w:r w:rsidRPr="008912CF">
                <w:rPr>
                  <w:sz w:val="22"/>
                  <w:szCs w:val="22"/>
                </w:rPr>
                <w:delText xml:space="preserve">   Remissão clínica</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3022F93A" w14:textId="01176E52" w:rsidR="00B925B3" w:rsidRPr="008912CF" w:rsidRDefault="00615769">
            <w:pPr>
              <w:rPr>
                <w:del w:id="10462" w:author="AbbVie2" w:date="2025-05-13T16:39:00Z"/>
                <w:sz w:val="22"/>
                <w:szCs w:val="22"/>
              </w:rPr>
              <w:pPrChange w:id="10463" w:author="AbbVie2" w:date="2025-05-13T16:40:00Z">
                <w:pPr>
                  <w:keepNext/>
                  <w:keepLines/>
                  <w:tabs>
                    <w:tab w:val="left" w:pos="-1080"/>
                  </w:tabs>
                  <w:autoSpaceDE w:val="0"/>
                  <w:autoSpaceDN w:val="0"/>
                  <w:adjustRightInd w:val="0"/>
                  <w:ind w:left="15"/>
                  <w:jc w:val="center"/>
                </w:pPr>
              </w:pPrChange>
            </w:pPr>
            <w:del w:id="10464" w:author="AbbVie2" w:date="2025-05-13T16:39:00Z">
              <w:r w:rsidRPr="008912CF">
                <w:rPr>
                  <w:sz w:val="22"/>
                  <w:szCs w:val="22"/>
                </w:rPr>
                <w:delText>38,7%</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14:paraId="48BFEA8E" w14:textId="6453F25B" w:rsidR="00B925B3" w:rsidRPr="008912CF" w:rsidRDefault="00615769">
            <w:pPr>
              <w:rPr>
                <w:del w:id="10465" w:author="AbbVie2" w:date="2025-05-13T16:39:00Z"/>
                <w:sz w:val="22"/>
                <w:szCs w:val="22"/>
              </w:rPr>
              <w:pPrChange w:id="10466" w:author="AbbVie2" w:date="2025-05-13T16:40:00Z">
                <w:pPr>
                  <w:keepNext/>
                  <w:keepLines/>
                  <w:tabs>
                    <w:tab w:val="left" w:pos="-1080"/>
                  </w:tabs>
                  <w:autoSpaceDE w:val="0"/>
                  <w:autoSpaceDN w:val="0"/>
                  <w:adjustRightInd w:val="0"/>
                  <w:ind w:left="15"/>
                  <w:jc w:val="center"/>
                </w:pPr>
              </w:pPrChange>
            </w:pPr>
            <w:del w:id="10467" w:author="AbbVie2" w:date="2025-05-13T16:39:00Z">
              <w:r w:rsidRPr="008912CF">
                <w:rPr>
                  <w:sz w:val="22"/>
                  <w:szCs w:val="22"/>
                </w:rPr>
                <w:delText>28,4%</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14:paraId="0596242E" w14:textId="30C08C1B" w:rsidR="00B925B3" w:rsidRPr="008912CF" w:rsidRDefault="00615769">
            <w:pPr>
              <w:rPr>
                <w:del w:id="10468" w:author="AbbVie2" w:date="2025-05-13T16:39:00Z"/>
                <w:sz w:val="22"/>
                <w:szCs w:val="22"/>
              </w:rPr>
              <w:pPrChange w:id="10469" w:author="AbbVie2" w:date="2025-05-13T16:40:00Z">
                <w:pPr>
                  <w:keepNext/>
                  <w:keepLines/>
                  <w:tabs>
                    <w:tab w:val="left" w:pos="-1080"/>
                  </w:tabs>
                  <w:autoSpaceDE w:val="0"/>
                  <w:autoSpaceDN w:val="0"/>
                  <w:adjustRightInd w:val="0"/>
                  <w:ind w:left="15"/>
                  <w:jc w:val="center"/>
                </w:pPr>
              </w:pPrChange>
            </w:pPr>
            <w:del w:id="10470" w:author="AbbVie2" w:date="2025-05-13T16:39:00Z">
              <w:r w:rsidRPr="008912CF">
                <w:rPr>
                  <w:sz w:val="22"/>
                  <w:szCs w:val="22"/>
                </w:rPr>
                <w:delText>0,,075</w:delText>
              </w:r>
            </w:del>
          </w:p>
        </w:tc>
      </w:tr>
      <w:tr w:rsidR="00A7162A" w14:paraId="38484987" w14:textId="7AEAED49" w:rsidTr="00D22E86">
        <w:trPr>
          <w:jc w:val="center"/>
          <w:del w:id="10471" w:author="AbbVie2" w:date="2025-05-13T16:39:00Z"/>
        </w:trPr>
        <w:tc>
          <w:tcPr>
            <w:tcW w:w="2321" w:type="dxa"/>
            <w:tcBorders>
              <w:top w:val="single" w:sz="6" w:space="0" w:color="000000"/>
              <w:left w:val="single" w:sz="6" w:space="0" w:color="000000"/>
              <w:bottom w:val="single" w:sz="6" w:space="0" w:color="000000"/>
              <w:right w:val="single" w:sz="6" w:space="0" w:color="000000"/>
            </w:tcBorders>
          </w:tcPr>
          <w:p w14:paraId="6EF0F95C" w14:textId="466C3434" w:rsidR="00B925B3" w:rsidRPr="008912CF" w:rsidRDefault="00615769">
            <w:pPr>
              <w:rPr>
                <w:del w:id="10472" w:author="AbbVie2" w:date="2025-05-13T16:39:00Z"/>
                <w:sz w:val="22"/>
                <w:szCs w:val="22"/>
              </w:rPr>
              <w:pPrChange w:id="10473" w:author="AbbVie2" w:date="2025-05-13T16:40:00Z">
                <w:pPr>
                  <w:keepNext/>
                  <w:keepLines/>
                  <w:tabs>
                    <w:tab w:val="left" w:pos="-1080"/>
                  </w:tabs>
                  <w:autoSpaceDE w:val="0"/>
                  <w:autoSpaceDN w:val="0"/>
                  <w:adjustRightInd w:val="0"/>
                  <w:ind w:left="15"/>
                </w:pPr>
              </w:pPrChange>
            </w:pPr>
            <w:del w:id="10474" w:author="AbbVie2" w:date="2025-05-13T16:39:00Z">
              <w:r w:rsidRPr="008912CF">
                <w:rPr>
                  <w:sz w:val="22"/>
                  <w:szCs w:val="22"/>
                </w:rPr>
                <w:delText xml:space="preserve">   Resposta clínica</w:delText>
              </w:r>
            </w:del>
          </w:p>
        </w:tc>
        <w:tc>
          <w:tcPr>
            <w:tcW w:w="1614" w:type="dxa"/>
            <w:tcBorders>
              <w:top w:val="single" w:sz="6" w:space="0" w:color="000000"/>
              <w:left w:val="single" w:sz="6" w:space="0" w:color="000000"/>
              <w:bottom w:val="single" w:sz="6" w:space="0" w:color="000000"/>
              <w:right w:val="single" w:sz="6" w:space="0" w:color="000000"/>
            </w:tcBorders>
          </w:tcPr>
          <w:p w14:paraId="2D9B36D5" w14:textId="7DEB81FD" w:rsidR="00B925B3" w:rsidRPr="008912CF" w:rsidRDefault="00615769">
            <w:pPr>
              <w:rPr>
                <w:del w:id="10475" w:author="AbbVie2" w:date="2025-05-13T16:39:00Z"/>
                <w:sz w:val="22"/>
                <w:szCs w:val="22"/>
              </w:rPr>
              <w:pPrChange w:id="10476" w:author="AbbVie2" w:date="2025-05-13T16:40:00Z">
                <w:pPr>
                  <w:keepNext/>
                  <w:keepLines/>
                  <w:tabs>
                    <w:tab w:val="left" w:pos="-1080"/>
                  </w:tabs>
                  <w:autoSpaceDE w:val="0"/>
                  <w:autoSpaceDN w:val="0"/>
                  <w:adjustRightInd w:val="0"/>
                  <w:ind w:left="15"/>
                  <w:jc w:val="center"/>
                </w:pPr>
              </w:pPrChange>
            </w:pPr>
            <w:del w:id="10477" w:author="AbbVie2" w:date="2025-05-13T16:39:00Z">
              <w:r w:rsidRPr="008912CF">
                <w:rPr>
                  <w:sz w:val="22"/>
                  <w:szCs w:val="22"/>
                </w:rPr>
                <w:delText>59,1%</w:delText>
              </w:r>
            </w:del>
          </w:p>
        </w:tc>
        <w:tc>
          <w:tcPr>
            <w:tcW w:w="1591" w:type="dxa"/>
            <w:tcBorders>
              <w:top w:val="single" w:sz="6" w:space="0" w:color="000000"/>
              <w:left w:val="single" w:sz="6" w:space="0" w:color="000000"/>
              <w:bottom w:val="single" w:sz="6" w:space="0" w:color="000000"/>
              <w:right w:val="single" w:sz="6" w:space="0" w:color="000000"/>
            </w:tcBorders>
          </w:tcPr>
          <w:p w14:paraId="36935F53" w14:textId="02EDBDD7" w:rsidR="00B925B3" w:rsidRPr="008912CF" w:rsidRDefault="00615769">
            <w:pPr>
              <w:rPr>
                <w:del w:id="10478" w:author="AbbVie2" w:date="2025-05-13T16:39:00Z"/>
                <w:sz w:val="22"/>
                <w:szCs w:val="22"/>
              </w:rPr>
              <w:pPrChange w:id="10479" w:author="AbbVie2" w:date="2025-05-13T16:40:00Z">
                <w:pPr>
                  <w:keepNext/>
                  <w:keepLines/>
                  <w:tabs>
                    <w:tab w:val="left" w:pos="-1080"/>
                  </w:tabs>
                  <w:autoSpaceDE w:val="0"/>
                  <w:autoSpaceDN w:val="0"/>
                  <w:adjustRightInd w:val="0"/>
                  <w:ind w:left="15"/>
                  <w:jc w:val="center"/>
                </w:pPr>
              </w:pPrChange>
            </w:pPr>
            <w:del w:id="10480" w:author="AbbVie2" w:date="2025-05-13T16:39:00Z">
              <w:r w:rsidRPr="008912CF">
                <w:rPr>
                  <w:sz w:val="22"/>
                  <w:szCs w:val="22"/>
                </w:rPr>
                <w:delText>48,4%</w:delText>
              </w:r>
            </w:del>
          </w:p>
        </w:tc>
        <w:tc>
          <w:tcPr>
            <w:tcW w:w="1147" w:type="dxa"/>
            <w:tcBorders>
              <w:top w:val="single" w:sz="6" w:space="0" w:color="000000"/>
              <w:left w:val="single" w:sz="6" w:space="0" w:color="000000"/>
              <w:bottom w:val="single" w:sz="6" w:space="0" w:color="000000"/>
              <w:right w:val="single" w:sz="6" w:space="0" w:color="000000"/>
            </w:tcBorders>
          </w:tcPr>
          <w:p w14:paraId="4EBCB3BD" w14:textId="79638B7B" w:rsidR="00B925B3" w:rsidRPr="008912CF" w:rsidRDefault="00615769">
            <w:pPr>
              <w:rPr>
                <w:del w:id="10481" w:author="AbbVie2" w:date="2025-05-13T16:39:00Z"/>
                <w:sz w:val="22"/>
                <w:szCs w:val="22"/>
              </w:rPr>
              <w:pPrChange w:id="10482" w:author="AbbVie2" w:date="2025-05-13T16:40:00Z">
                <w:pPr>
                  <w:keepNext/>
                  <w:keepLines/>
                  <w:tabs>
                    <w:tab w:val="left" w:pos="-1080"/>
                  </w:tabs>
                  <w:autoSpaceDE w:val="0"/>
                  <w:autoSpaceDN w:val="0"/>
                  <w:adjustRightInd w:val="0"/>
                  <w:ind w:left="15"/>
                  <w:jc w:val="center"/>
                </w:pPr>
              </w:pPrChange>
            </w:pPr>
            <w:del w:id="10483" w:author="AbbVie2" w:date="2025-05-13T16:39:00Z">
              <w:r w:rsidRPr="008912CF">
                <w:rPr>
                  <w:sz w:val="22"/>
                  <w:szCs w:val="22"/>
                </w:rPr>
                <w:delText>0,073</w:delText>
              </w:r>
            </w:del>
          </w:p>
        </w:tc>
      </w:tr>
      <w:tr w:rsidR="00A7162A" w14:paraId="24767900" w14:textId="7F5CCC73" w:rsidTr="00D22E86">
        <w:trPr>
          <w:jc w:val="center"/>
          <w:del w:id="10484" w:author="AbbVie2" w:date="2025-05-13T16:39:00Z"/>
        </w:trPr>
        <w:tc>
          <w:tcPr>
            <w:tcW w:w="2321" w:type="dxa"/>
            <w:tcBorders>
              <w:top w:val="single" w:sz="6" w:space="0" w:color="000000"/>
              <w:left w:val="single" w:sz="6" w:space="0" w:color="000000"/>
              <w:bottom w:val="single" w:sz="6" w:space="0" w:color="000000"/>
              <w:right w:val="single" w:sz="6" w:space="0" w:color="000000"/>
            </w:tcBorders>
            <w:vAlign w:val="bottom"/>
          </w:tcPr>
          <w:p w14:paraId="4839A126" w14:textId="43167BED" w:rsidR="00B925B3" w:rsidRPr="008912CF" w:rsidRDefault="00615769">
            <w:pPr>
              <w:rPr>
                <w:del w:id="10485" w:author="AbbVie2" w:date="2025-05-13T16:39:00Z"/>
                <w:b/>
                <w:bCs/>
                <w:sz w:val="22"/>
                <w:szCs w:val="22"/>
              </w:rPr>
              <w:pPrChange w:id="10486" w:author="AbbVie2" w:date="2025-05-13T16:40:00Z">
                <w:pPr>
                  <w:keepNext/>
                  <w:keepLines/>
                  <w:tabs>
                    <w:tab w:val="left" w:pos="-1080"/>
                  </w:tabs>
                  <w:autoSpaceDE w:val="0"/>
                  <w:autoSpaceDN w:val="0"/>
                  <w:adjustRightInd w:val="0"/>
                  <w:ind w:left="15"/>
                </w:pPr>
              </w:pPrChange>
            </w:pPr>
            <w:del w:id="10487" w:author="AbbVie2" w:date="2025-05-13T16:39:00Z">
              <w:r w:rsidRPr="008912CF">
                <w:rPr>
                  <w:b/>
                  <w:bCs/>
                  <w:sz w:val="22"/>
                  <w:szCs w:val="22"/>
                </w:rPr>
                <w:delText>Semana 52</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65E8183A" w14:textId="509D012C" w:rsidR="00B925B3" w:rsidRPr="008912CF" w:rsidRDefault="00B925B3">
            <w:pPr>
              <w:rPr>
                <w:del w:id="10488" w:author="AbbVie2" w:date="2025-05-13T16:39:00Z"/>
                <w:b/>
                <w:bCs/>
                <w:sz w:val="22"/>
                <w:szCs w:val="22"/>
              </w:rPr>
              <w:pPrChange w:id="10489" w:author="AbbVie2" w:date="2025-05-13T16:40:00Z">
                <w:pPr>
                  <w:keepNext/>
                  <w:keepLines/>
                  <w:tabs>
                    <w:tab w:val="left" w:pos="-1080"/>
                  </w:tabs>
                  <w:autoSpaceDE w:val="0"/>
                  <w:autoSpaceDN w:val="0"/>
                  <w:adjustRightInd w:val="0"/>
                  <w:ind w:left="15"/>
                  <w:jc w:val="center"/>
                </w:pPr>
              </w:pPrChange>
            </w:pPr>
          </w:p>
        </w:tc>
        <w:tc>
          <w:tcPr>
            <w:tcW w:w="1591" w:type="dxa"/>
            <w:tcBorders>
              <w:top w:val="single" w:sz="6" w:space="0" w:color="000000"/>
              <w:left w:val="single" w:sz="6" w:space="0" w:color="000000"/>
              <w:bottom w:val="single" w:sz="6" w:space="0" w:color="000000"/>
              <w:right w:val="single" w:sz="6" w:space="0" w:color="000000"/>
            </w:tcBorders>
            <w:vAlign w:val="bottom"/>
          </w:tcPr>
          <w:p w14:paraId="13F658B7" w14:textId="3242D92A" w:rsidR="00B925B3" w:rsidRPr="008912CF" w:rsidRDefault="00B925B3">
            <w:pPr>
              <w:rPr>
                <w:del w:id="10490" w:author="AbbVie2" w:date="2025-05-13T16:39:00Z"/>
                <w:b/>
                <w:bCs/>
                <w:sz w:val="22"/>
                <w:szCs w:val="22"/>
              </w:rPr>
              <w:pPrChange w:id="10491" w:author="AbbVie2" w:date="2025-05-13T16:40:00Z">
                <w:pPr>
                  <w:keepNext/>
                  <w:keepLines/>
                  <w:tabs>
                    <w:tab w:val="left" w:pos="-1080"/>
                  </w:tabs>
                  <w:autoSpaceDE w:val="0"/>
                  <w:autoSpaceDN w:val="0"/>
                  <w:adjustRightInd w:val="0"/>
                  <w:ind w:left="15"/>
                  <w:jc w:val="center"/>
                </w:pPr>
              </w:pPrChange>
            </w:pPr>
          </w:p>
        </w:tc>
        <w:tc>
          <w:tcPr>
            <w:tcW w:w="1147" w:type="dxa"/>
            <w:tcBorders>
              <w:top w:val="single" w:sz="6" w:space="0" w:color="000000"/>
              <w:left w:val="single" w:sz="6" w:space="0" w:color="000000"/>
              <w:bottom w:val="single" w:sz="6" w:space="0" w:color="000000"/>
              <w:right w:val="single" w:sz="6" w:space="0" w:color="000000"/>
            </w:tcBorders>
            <w:vAlign w:val="bottom"/>
          </w:tcPr>
          <w:p w14:paraId="6CB630AE" w14:textId="4991F47A" w:rsidR="00B925B3" w:rsidRPr="008912CF" w:rsidRDefault="00B925B3">
            <w:pPr>
              <w:rPr>
                <w:del w:id="10492" w:author="AbbVie2" w:date="2025-05-13T16:39:00Z"/>
                <w:b/>
                <w:bCs/>
                <w:sz w:val="22"/>
                <w:szCs w:val="22"/>
              </w:rPr>
              <w:pPrChange w:id="10493" w:author="AbbVie2" w:date="2025-05-13T16:40:00Z">
                <w:pPr>
                  <w:keepNext/>
                  <w:autoSpaceDE w:val="0"/>
                  <w:autoSpaceDN w:val="0"/>
                  <w:adjustRightInd w:val="0"/>
                  <w:ind w:left="15"/>
                </w:pPr>
              </w:pPrChange>
            </w:pPr>
          </w:p>
        </w:tc>
      </w:tr>
      <w:tr w:rsidR="00A7162A" w14:paraId="70A7F5EC" w14:textId="11D4E07B" w:rsidTr="00D22E86">
        <w:trPr>
          <w:jc w:val="center"/>
          <w:del w:id="10494" w:author="AbbVie2" w:date="2025-05-13T16:39:00Z"/>
        </w:trPr>
        <w:tc>
          <w:tcPr>
            <w:tcW w:w="2321" w:type="dxa"/>
            <w:tcBorders>
              <w:top w:val="single" w:sz="6" w:space="0" w:color="000000"/>
              <w:left w:val="single" w:sz="6" w:space="0" w:color="000000"/>
              <w:bottom w:val="single" w:sz="6" w:space="0" w:color="000000"/>
              <w:right w:val="single" w:sz="6" w:space="0" w:color="000000"/>
            </w:tcBorders>
            <w:vAlign w:val="bottom"/>
          </w:tcPr>
          <w:p w14:paraId="700CBD27" w14:textId="28AA2708" w:rsidR="00B925B3" w:rsidRPr="008912CF" w:rsidRDefault="00615769">
            <w:pPr>
              <w:rPr>
                <w:del w:id="10495" w:author="AbbVie2" w:date="2025-05-13T16:39:00Z"/>
                <w:sz w:val="22"/>
                <w:szCs w:val="22"/>
              </w:rPr>
              <w:pPrChange w:id="10496" w:author="AbbVie2" w:date="2025-05-13T16:40:00Z">
                <w:pPr>
                  <w:keepNext/>
                  <w:keepLines/>
                  <w:tabs>
                    <w:tab w:val="left" w:pos="-1080"/>
                  </w:tabs>
                  <w:autoSpaceDE w:val="0"/>
                  <w:autoSpaceDN w:val="0"/>
                  <w:adjustRightInd w:val="0"/>
                  <w:ind w:left="15"/>
                </w:pPr>
              </w:pPrChange>
            </w:pPr>
            <w:del w:id="10497" w:author="AbbVie2" w:date="2025-05-13T16:39:00Z">
              <w:r w:rsidRPr="008912CF">
                <w:rPr>
                  <w:sz w:val="22"/>
                  <w:szCs w:val="22"/>
                </w:rPr>
                <w:delText xml:space="preserve">   Remissão clínica</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33C17E4D" w14:textId="29C013F3" w:rsidR="00B925B3" w:rsidRPr="008912CF" w:rsidRDefault="00615769">
            <w:pPr>
              <w:rPr>
                <w:del w:id="10498" w:author="AbbVie2" w:date="2025-05-13T16:39:00Z"/>
                <w:sz w:val="22"/>
                <w:szCs w:val="22"/>
              </w:rPr>
              <w:pPrChange w:id="10499" w:author="AbbVie2" w:date="2025-05-13T16:40:00Z">
                <w:pPr>
                  <w:keepNext/>
                  <w:keepLines/>
                  <w:tabs>
                    <w:tab w:val="left" w:pos="-1080"/>
                  </w:tabs>
                  <w:autoSpaceDE w:val="0"/>
                  <w:autoSpaceDN w:val="0"/>
                  <w:adjustRightInd w:val="0"/>
                  <w:ind w:left="15"/>
                  <w:jc w:val="center"/>
                </w:pPr>
              </w:pPrChange>
            </w:pPr>
            <w:del w:id="10500" w:author="AbbVie2" w:date="2025-05-13T16:39:00Z">
              <w:r w:rsidRPr="008912CF">
                <w:rPr>
                  <w:sz w:val="22"/>
                  <w:szCs w:val="22"/>
                </w:rPr>
                <w:delText>33,3%</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14:paraId="211710A3" w14:textId="0C416DF7" w:rsidR="00B925B3" w:rsidRPr="008912CF" w:rsidRDefault="00615769">
            <w:pPr>
              <w:rPr>
                <w:del w:id="10501" w:author="AbbVie2" w:date="2025-05-13T16:39:00Z"/>
                <w:sz w:val="22"/>
                <w:szCs w:val="22"/>
              </w:rPr>
              <w:pPrChange w:id="10502" w:author="AbbVie2" w:date="2025-05-13T16:40:00Z">
                <w:pPr>
                  <w:keepNext/>
                  <w:keepLines/>
                  <w:tabs>
                    <w:tab w:val="left" w:pos="-1080"/>
                  </w:tabs>
                  <w:autoSpaceDE w:val="0"/>
                  <w:autoSpaceDN w:val="0"/>
                  <w:adjustRightInd w:val="0"/>
                  <w:ind w:left="15"/>
                  <w:jc w:val="center"/>
                </w:pPr>
              </w:pPrChange>
            </w:pPr>
            <w:del w:id="10503" w:author="AbbVie2" w:date="2025-05-13T16:39:00Z">
              <w:r w:rsidRPr="008912CF">
                <w:rPr>
                  <w:sz w:val="22"/>
                  <w:szCs w:val="22"/>
                </w:rPr>
                <w:delText>23,2%</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14:paraId="0CE60DB1" w14:textId="1E7BE38A" w:rsidR="00B925B3" w:rsidRPr="008912CF" w:rsidRDefault="00615769">
            <w:pPr>
              <w:rPr>
                <w:del w:id="10504" w:author="AbbVie2" w:date="2025-05-13T16:39:00Z"/>
                <w:sz w:val="22"/>
                <w:szCs w:val="22"/>
              </w:rPr>
              <w:pPrChange w:id="10505" w:author="AbbVie2" w:date="2025-05-13T16:40:00Z">
                <w:pPr>
                  <w:keepNext/>
                  <w:keepLines/>
                  <w:tabs>
                    <w:tab w:val="left" w:pos="-1080"/>
                  </w:tabs>
                  <w:autoSpaceDE w:val="0"/>
                  <w:autoSpaceDN w:val="0"/>
                  <w:adjustRightInd w:val="0"/>
                  <w:ind w:left="15"/>
                  <w:jc w:val="center"/>
                </w:pPr>
              </w:pPrChange>
            </w:pPr>
            <w:del w:id="10506" w:author="AbbVie2" w:date="2025-05-13T16:39:00Z">
              <w:r w:rsidRPr="008912CF">
                <w:rPr>
                  <w:sz w:val="22"/>
                  <w:szCs w:val="22"/>
                </w:rPr>
                <w:delText>0,100</w:delText>
              </w:r>
            </w:del>
          </w:p>
        </w:tc>
      </w:tr>
      <w:tr w:rsidR="00A7162A" w14:paraId="58713F32" w14:textId="788396C3" w:rsidTr="00D22E86">
        <w:trPr>
          <w:jc w:val="center"/>
          <w:del w:id="10507" w:author="AbbVie2" w:date="2025-05-13T16:39:00Z"/>
        </w:trPr>
        <w:tc>
          <w:tcPr>
            <w:tcW w:w="2321" w:type="dxa"/>
            <w:tcBorders>
              <w:top w:val="single" w:sz="6" w:space="0" w:color="000000"/>
              <w:left w:val="single" w:sz="6" w:space="0" w:color="000000"/>
              <w:bottom w:val="single" w:sz="6" w:space="0" w:color="000000"/>
              <w:right w:val="single" w:sz="6" w:space="0" w:color="000000"/>
            </w:tcBorders>
          </w:tcPr>
          <w:p w14:paraId="76924888" w14:textId="5D2339E0" w:rsidR="00B925B3" w:rsidRPr="008912CF" w:rsidRDefault="00615769">
            <w:pPr>
              <w:rPr>
                <w:del w:id="10508" w:author="AbbVie2" w:date="2025-05-13T16:39:00Z"/>
                <w:sz w:val="22"/>
                <w:szCs w:val="22"/>
              </w:rPr>
              <w:pPrChange w:id="10509" w:author="AbbVie2" w:date="2025-05-13T16:40:00Z">
                <w:pPr>
                  <w:keepNext/>
                  <w:keepLines/>
                  <w:tabs>
                    <w:tab w:val="left" w:pos="-1080"/>
                  </w:tabs>
                  <w:autoSpaceDE w:val="0"/>
                  <w:autoSpaceDN w:val="0"/>
                  <w:adjustRightInd w:val="0"/>
                  <w:ind w:left="15"/>
                </w:pPr>
              </w:pPrChange>
            </w:pPr>
            <w:del w:id="10510" w:author="AbbVie2" w:date="2025-05-13T16:39:00Z">
              <w:r w:rsidRPr="008912CF">
                <w:rPr>
                  <w:sz w:val="22"/>
                  <w:szCs w:val="22"/>
                </w:rPr>
                <w:delText xml:space="preserve">   Resposta clínica</w:delText>
              </w:r>
            </w:del>
          </w:p>
        </w:tc>
        <w:tc>
          <w:tcPr>
            <w:tcW w:w="1614" w:type="dxa"/>
            <w:tcBorders>
              <w:top w:val="single" w:sz="6" w:space="0" w:color="000000"/>
              <w:left w:val="single" w:sz="6" w:space="0" w:color="000000"/>
              <w:bottom w:val="single" w:sz="6" w:space="0" w:color="000000"/>
              <w:right w:val="single" w:sz="6" w:space="0" w:color="000000"/>
            </w:tcBorders>
          </w:tcPr>
          <w:p w14:paraId="64F57587" w14:textId="0BB83FCE" w:rsidR="00B925B3" w:rsidRPr="008912CF" w:rsidRDefault="00615769">
            <w:pPr>
              <w:rPr>
                <w:del w:id="10511" w:author="AbbVie2" w:date="2025-05-13T16:39:00Z"/>
                <w:sz w:val="22"/>
                <w:szCs w:val="22"/>
              </w:rPr>
              <w:pPrChange w:id="10512" w:author="AbbVie2" w:date="2025-05-13T16:40:00Z">
                <w:pPr>
                  <w:keepNext/>
                  <w:keepLines/>
                  <w:tabs>
                    <w:tab w:val="left" w:pos="-1080"/>
                  </w:tabs>
                  <w:autoSpaceDE w:val="0"/>
                  <w:autoSpaceDN w:val="0"/>
                  <w:adjustRightInd w:val="0"/>
                  <w:ind w:left="15"/>
                  <w:jc w:val="center"/>
                </w:pPr>
              </w:pPrChange>
            </w:pPr>
            <w:del w:id="10513" w:author="AbbVie2" w:date="2025-05-13T16:39:00Z">
              <w:r w:rsidRPr="008912CF">
                <w:rPr>
                  <w:sz w:val="22"/>
                  <w:szCs w:val="22"/>
                </w:rPr>
                <w:delText>41,9%</w:delText>
              </w:r>
            </w:del>
          </w:p>
        </w:tc>
        <w:tc>
          <w:tcPr>
            <w:tcW w:w="1591" w:type="dxa"/>
            <w:tcBorders>
              <w:top w:val="single" w:sz="6" w:space="0" w:color="000000"/>
              <w:left w:val="single" w:sz="6" w:space="0" w:color="000000"/>
              <w:bottom w:val="single" w:sz="6" w:space="0" w:color="000000"/>
              <w:right w:val="single" w:sz="6" w:space="0" w:color="000000"/>
            </w:tcBorders>
          </w:tcPr>
          <w:p w14:paraId="37AA9A14" w14:textId="2E29BFB3" w:rsidR="00B925B3" w:rsidRPr="008912CF" w:rsidRDefault="00615769">
            <w:pPr>
              <w:rPr>
                <w:del w:id="10514" w:author="AbbVie2" w:date="2025-05-13T16:39:00Z"/>
                <w:sz w:val="22"/>
                <w:szCs w:val="22"/>
              </w:rPr>
              <w:pPrChange w:id="10515" w:author="AbbVie2" w:date="2025-05-13T16:40:00Z">
                <w:pPr>
                  <w:keepNext/>
                  <w:keepLines/>
                  <w:tabs>
                    <w:tab w:val="left" w:pos="-1080"/>
                  </w:tabs>
                  <w:autoSpaceDE w:val="0"/>
                  <w:autoSpaceDN w:val="0"/>
                  <w:adjustRightInd w:val="0"/>
                  <w:ind w:left="15"/>
                  <w:jc w:val="center"/>
                </w:pPr>
              </w:pPrChange>
            </w:pPr>
            <w:del w:id="10516" w:author="AbbVie2" w:date="2025-05-13T16:39:00Z">
              <w:r w:rsidRPr="008912CF">
                <w:rPr>
                  <w:sz w:val="22"/>
                  <w:szCs w:val="22"/>
                </w:rPr>
                <w:delText>28,4%</w:delText>
              </w:r>
            </w:del>
          </w:p>
        </w:tc>
        <w:tc>
          <w:tcPr>
            <w:tcW w:w="1147" w:type="dxa"/>
            <w:tcBorders>
              <w:top w:val="single" w:sz="6" w:space="0" w:color="000000"/>
              <w:left w:val="single" w:sz="6" w:space="0" w:color="000000"/>
              <w:bottom w:val="single" w:sz="6" w:space="0" w:color="000000"/>
              <w:right w:val="single" w:sz="6" w:space="0" w:color="000000"/>
            </w:tcBorders>
          </w:tcPr>
          <w:p w14:paraId="26E5C988" w14:textId="6C00DF4E" w:rsidR="00B925B3" w:rsidRPr="008912CF" w:rsidRDefault="00615769">
            <w:pPr>
              <w:rPr>
                <w:del w:id="10517" w:author="AbbVie2" w:date="2025-05-13T16:39:00Z"/>
                <w:sz w:val="22"/>
                <w:szCs w:val="22"/>
              </w:rPr>
              <w:pPrChange w:id="10518" w:author="AbbVie2" w:date="2025-05-13T16:40:00Z">
                <w:pPr>
                  <w:keepNext/>
                  <w:keepLines/>
                  <w:tabs>
                    <w:tab w:val="left" w:pos="-1080"/>
                  </w:tabs>
                  <w:autoSpaceDE w:val="0"/>
                  <w:autoSpaceDN w:val="0"/>
                  <w:adjustRightInd w:val="0"/>
                  <w:ind w:left="15"/>
                  <w:jc w:val="center"/>
                </w:pPr>
              </w:pPrChange>
            </w:pPr>
            <w:del w:id="10519" w:author="AbbVie2" w:date="2025-05-13T16:39:00Z">
              <w:r w:rsidRPr="008912CF">
                <w:rPr>
                  <w:sz w:val="22"/>
                  <w:szCs w:val="22"/>
                </w:rPr>
                <w:delText>0,038</w:delText>
              </w:r>
            </w:del>
          </w:p>
        </w:tc>
      </w:tr>
      <w:tr w:rsidR="00A7162A" w14:paraId="0555B6E0" w14:textId="760A45E2" w:rsidTr="00D22E86">
        <w:trPr>
          <w:jc w:val="center"/>
          <w:del w:id="10520" w:author="AbbVie2" w:date="2025-05-13T16:39:00Z"/>
        </w:trPr>
        <w:tc>
          <w:tcPr>
            <w:tcW w:w="6673" w:type="dxa"/>
            <w:gridSpan w:val="4"/>
            <w:tcBorders>
              <w:top w:val="single" w:sz="6" w:space="0" w:color="000000"/>
              <w:left w:val="single" w:sz="6" w:space="0" w:color="000000"/>
              <w:bottom w:val="single" w:sz="6" w:space="0" w:color="000000"/>
              <w:right w:val="single" w:sz="6" w:space="0" w:color="000000"/>
            </w:tcBorders>
          </w:tcPr>
          <w:p w14:paraId="0B92445F" w14:textId="52BB49C7" w:rsidR="00B925B3" w:rsidRPr="008912CF" w:rsidRDefault="00615769">
            <w:pPr>
              <w:rPr>
                <w:del w:id="10521" w:author="AbbVie2" w:date="2025-05-13T16:39:00Z"/>
                <w:sz w:val="22"/>
                <w:szCs w:val="22"/>
              </w:rPr>
              <w:pPrChange w:id="10522" w:author="AbbVie2" w:date="2025-05-13T16:40:00Z">
                <w:pPr>
                  <w:keepNext/>
                  <w:keepLines/>
                  <w:tabs>
                    <w:tab w:val="left" w:pos="-1080"/>
                  </w:tabs>
                  <w:autoSpaceDE w:val="0"/>
                  <w:autoSpaceDN w:val="0"/>
                  <w:adjustRightInd w:val="0"/>
                  <w:ind w:left="15"/>
                </w:pPr>
              </w:pPrChange>
            </w:pPr>
            <w:del w:id="10523" w:author="AbbVie2" w:date="2025-05-13T16:39:00Z">
              <w:r w:rsidRPr="008912CF">
                <w:rPr>
                  <w:sz w:val="22"/>
                  <w:szCs w:val="22"/>
                </w:rPr>
                <w:delText>*valor</w:delText>
              </w:r>
              <w:r>
                <w:rPr>
                  <w:sz w:val="22"/>
                  <w:szCs w:val="22"/>
                </w:rPr>
                <w:delText>-p</w:delText>
              </w:r>
              <w:r w:rsidRPr="008912CF">
                <w:rPr>
                  <w:sz w:val="22"/>
                  <w:szCs w:val="22"/>
                </w:rPr>
                <w:delText xml:space="preserve"> para comparação Dose Padrão </w:delText>
              </w:r>
              <w:r w:rsidRPr="008912CF">
                <w:rPr>
                  <w:i/>
                  <w:iCs/>
                  <w:sz w:val="22"/>
                  <w:szCs w:val="22"/>
                </w:rPr>
                <w:delText>versus</w:delText>
              </w:r>
              <w:r w:rsidRPr="008912CF">
                <w:rPr>
                  <w:sz w:val="22"/>
                  <w:szCs w:val="22"/>
                </w:rPr>
                <w:delText xml:space="preserve"> Baixa Dose.</w:delText>
              </w:r>
            </w:del>
          </w:p>
        </w:tc>
      </w:tr>
    </w:tbl>
    <w:p w14:paraId="445551FE" w14:textId="0327F334" w:rsidR="00B925B3" w:rsidRPr="008912CF" w:rsidRDefault="00B925B3">
      <w:pPr>
        <w:rPr>
          <w:del w:id="10524" w:author="AbbVie2" w:date="2025-05-13T16:39:00Z"/>
          <w:sz w:val="22"/>
          <w:szCs w:val="22"/>
        </w:rPr>
        <w:pPrChange w:id="10525" w:author="AbbVie2" w:date="2025-05-13T16:40:00Z">
          <w:pPr>
            <w:keepNext/>
          </w:pPr>
        </w:pPrChange>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A7162A" w14:paraId="29B26EA7" w14:textId="0A735BB4" w:rsidTr="00D22E86">
        <w:trPr>
          <w:jc w:val="center"/>
          <w:del w:id="10526" w:author="AbbVie2" w:date="2025-05-13T16:39:00Z"/>
        </w:trPr>
        <w:tc>
          <w:tcPr>
            <w:tcW w:w="8440" w:type="dxa"/>
            <w:gridSpan w:val="4"/>
            <w:tcBorders>
              <w:top w:val="single" w:sz="6" w:space="0" w:color="000000"/>
              <w:left w:val="single" w:sz="6" w:space="0" w:color="000000"/>
              <w:bottom w:val="single" w:sz="6" w:space="0" w:color="000000"/>
              <w:right w:val="single" w:sz="6" w:space="0" w:color="000000"/>
            </w:tcBorders>
          </w:tcPr>
          <w:p w14:paraId="183753F8" w14:textId="17FAA390" w:rsidR="00B925B3" w:rsidRPr="008912CF" w:rsidRDefault="00615769">
            <w:pPr>
              <w:rPr>
                <w:del w:id="10527" w:author="AbbVie2" w:date="2025-05-13T16:39:00Z"/>
                <w:b/>
                <w:bCs/>
                <w:sz w:val="22"/>
                <w:szCs w:val="22"/>
              </w:rPr>
              <w:pPrChange w:id="10528" w:author="AbbVie2" w:date="2025-05-13T16:40:00Z">
                <w:pPr>
                  <w:keepNext/>
                  <w:tabs>
                    <w:tab w:val="left" w:pos="-878"/>
                  </w:tabs>
                  <w:autoSpaceDE w:val="0"/>
                  <w:autoSpaceDN w:val="0"/>
                  <w:adjustRightInd w:val="0"/>
                  <w:jc w:val="center"/>
                </w:pPr>
              </w:pPrChange>
            </w:pPr>
            <w:del w:id="10529" w:author="AbbVie2" w:date="2025-05-13T16:39:00Z">
              <w:r w:rsidRPr="008912CF">
                <w:rPr>
                  <w:b/>
                  <w:bCs/>
                  <w:sz w:val="22"/>
                  <w:szCs w:val="22"/>
                </w:rPr>
                <w:delText xml:space="preserve">Tabela </w:delText>
              </w:r>
              <w:r w:rsidR="0057678E">
                <w:rPr>
                  <w:b/>
                  <w:bCs/>
                  <w:sz w:val="22"/>
                  <w:szCs w:val="22"/>
                </w:rPr>
                <w:delText>30</w:delText>
              </w:r>
            </w:del>
          </w:p>
          <w:p w14:paraId="1D9D0AA4" w14:textId="0BED3328" w:rsidR="00B925B3" w:rsidRPr="008912CF" w:rsidRDefault="00615769">
            <w:pPr>
              <w:rPr>
                <w:del w:id="10530" w:author="AbbVie2" w:date="2025-05-13T16:39:00Z"/>
                <w:b/>
                <w:bCs/>
                <w:szCs w:val="22"/>
              </w:rPr>
              <w:pPrChange w:id="10531" w:author="AbbVie2" w:date="2025-05-13T16:40:00Z">
                <w:pPr>
                  <w:pStyle w:val="BodyText2"/>
                  <w:keepNext/>
                  <w:autoSpaceDE/>
                  <w:autoSpaceDN/>
                  <w:adjustRightInd/>
                  <w:jc w:val="center"/>
                </w:pPr>
              </w:pPrChange>
            </w:pPr>
            <w:del w:id="10532" w:author="AbbVie2" w:date="2025-05-13T16:39:00Z">
              <w:r w:rsidRPr="008912CF">
                <w:rPr>
                  <w:b/>
                  <w:szCs w:val="22"/>
                </w:rPr>
                <w:delText>Estudo de DC Pediátrica</w:delText>
              </w:r>
            </w:del>
          </w:p>
          <w:p w14:paraId="2CADFC3D" w14:textId="50C0AB2A" w:rsidR="00B925B3" w:rsidRPr="008912CF" w:rsidRDefault="00615769">
            <w:pPr>
              <w:rPr>
                <w:del w:id="10533" w:author="AbbVie2" w:date="2025-05-13T16:39:00Z"/>
                <w:b/>
                <w:bCs/>
                <w:sz w:val="22"/>
                <w:szCs w:val="22"/>
              </w:rPr>
              <w:pPrChange w:id="10534" w:author="AbbVie2" w:date="2025-05-13T16:40:00Z">
                <w:pPr>
                  <w:keepNext/>
                  <w:tabs>
                    <w:tab w:val="left" w:pos="-878"/>
                  </w:tabs>
                  <w:autoSpaceDE w:val="0"/>
                  <w:autoSpaceDN w:val="0"/>
                  <w:adjustRightInd w:val="0"/>
                  <w:jc w:val="center"/>
                </w:pPr>
              </w:pPrChange>
            </w:pPr>
            <w:del w:id="10535" w:author="AbbVie2" w:date="2025-05-13T16:39:00Z">
              <w:r w:rsidRPr="008912CF">
                <w:rPr>
                  <w:b/>
                  <w:bCs/>
                  <w:sz w:val="22"/>
                  <w:szCs w:val="22"/>
                </w:rPr>
                <w:delText>Descontinuação de Corticosteroides ou Imunomoduladores e Remissão das Fístulas</w:delText>
              </w:r>
            </w:del>
          </w:p>
        </w:tc>
      </w:tr>
      <w:tr w:rsidR="00A7162A" w14:paraId="58D1F279" w14:textId="6751D848" w:rsidTr="00D22E86">
        <w:trPr>
          <w:jc w:val="center"/>
          <w:del w:id="10536" w:author="AbbVie2" w:date="2025-05-13T16:39:00Z"/>
        </w:trPr>
        <w:tc>
          <w:tcPr>
            <w:tcW w:w="4025" w:type="dxa"/>
            <w:tcBorders>
              <w:top w:val="single" w:sz="6" w:space="0" w:color="000000"/>
              <w:left w:val="single" w:sz="6" w:space="0" w:color="000000"/>
              <w:bottom w:val="single" w:sz="6" w:space="0" w:color="000000"/>
              <w:right w:val="single" w:sz="6" w:space="0" w:color="000000"/>
            </w:tcBorders>
          </w:tcPr>
          <w:p w14:paraId="3D4BC2E0" w14:textId="0691BC05" w:rsidR="00B925B3" w:rsidRPr="008912CF" w:rsidRDefault="00B925B3">
            <w:pPr>
              <w:rPr>
                <w:del w:id="10537" w:author="AbbVie2" w:date="2025-05-13T16:39:00Z"/>
                <w:b/>
                <w:bCs/>
                <w:sz w:val="22"/>
                <w:szCs w:val="22"/>
              </w:rPr>
              <w:pPrChange w:id="10538" w:author="AbbVie2" w:date="2025-05-13T16:40:00Z">
                <w:pPr>
                  <w:keepNext/>
                  <w:keepLines/>
                  <w:tabs>
                    <w:tab w:val="left" w:pos="-1080"/>
                  </w:tabs>
                  <w:autoSpaceDE w:val="0"/>
                  <w:autoSpaceDN w:val="0"/>
                  <w:adjustRightInd w:val="0"/>
                  <w:jc w:val="center"/>
                </w:pPr>
              </w:pPrChange>
            </w:pPr>
          </w:p>
        </w:tc>
        <w:tc>
          <w:tcPr>
            <w:tcW w:w="1656" w:type="dxa"/>
            <w:tcBorders>
              <w:top w:val="single" w:sz="6" w:space="0" w:color="000000"/>
              <w:left w:val="single" w:sz="6" w:space="0" w:color="000000"/>
              <w:bottom w:val="single" w:sz="6" w:space="0" w:color="000000"/>
              <w:right w:val="single" w:sz="6" w:space="0" w:color="000000"/>
            </w:tcBorders>
          </w:tcPr>
          <w:p w14:paraId="1E7FECC9" w14:textId="7322C7F5" w:rsidR="00B925B3" w:rsidRPr="008912CF" w:rsidRDefault="00615769">
            <w:pPr>
              <w:rPr>
                <w:del w:id="10539" w:author="AbbVie2" w:date="2025-05-13T16:39:00Z"/>
                <w:b/>
                <w:bCs/>
                <w:sz w:val="22"/>
                <w:szCs w:val="22"/>
              </w:rPr>
              <w:pPrChange w:id="10540" w:author="AbbVie2" w:date="2025-05-13T16:40:00Z">
                <w:pPr>
                  <w:keepNext/>
                  <w:keepLines/>
                  <w:tabs>
                    <w:tab w:val="left" w:pos="-1080"/>
                  </w:tabs>
                  <w:autoSpaceDE w:val="0"/>
                  <w:autoSpaceDN w:val="0"/>
                  <w:adjustRightInd w:val="0"/>
                  <w:ind w:left="15"/>
                  <w:jc w:val="center"/>
                </w:pPr>
              </w:pPrChange>
            </w:pPr>
            <w:del w:id="10541" w:author="AbbVie2" w:date="2025-05-13T16:39:00Z">
              <w:r w:rsidRPr="008912CF">
                <w:rPr>
                  <w:b/>
                  <w:bCs/>
                  <w:sz w:val="22"/>
                  <w:szCs w:val="22"/>
                </w:rPr>
                <w:delText>Dose Padrão</w:delText>
              </w:r>
            </w:del>
          </w:p>
          <w:p w14:paraId="2CAB9398" w14:textId="67E6AFD3" w:rsidR="00B925B3" w:rsidRPr="008912CF" w:rsidRDefault="00615769">
            <w:pPr>
              <w:rPr>
                <w:del w:id="10542" w:author="AbbVie2" w:date="2025-05-13T16:39:00Z"/>
                <w:b/>
                <w:bCs/>
                <w:sz w:val="22"/>
                <w:szCs w:val="22"/>
              </w:rPr>
              <w:pPrChange w:id="10543" w:author="AbbVie2" w:date="2025-05-13T16:40:00Z">
                <w:pPr>
                  <w:keepNext/>
                  <w:keepLines/>
                  <w:tabs>
                    <w:tab w:val="left" w:pos="-1080"/>
                  </w:tabs>
                  <w:autoSpaceDE w:val="0"/>
                  <w:autoSpaceDN w:val="0"/>
                  <w:adjustRightInd w:val="0"/>
                  <w:ind w:left="15"/>
                  <w:jc w:val="center"/>
                </w:pPr>
              </w:pPrChange>
            </w:pPr>
            <w:del w:id="10544" w:author="AbbVie2" w:date="2025-05-13T16:39:00Z">
              <w:r w:rsidRPr="008912CF">
                <w:rPr>
                  <w:b/>
                  <w:bCs/>
                  <w:sz w:val="22"/>
                  <w:szCs w:val="22"/>
                </w:rPr>
                <w:delText xml:space="preserve">40/20 mg em semanas alternadas </w:delText>
              </w:r>
            </w:del>
          </w:p>
        </w:tc>
        <w:tc>
          <w:tcPr>
            <w:tcW w:w="1619" w:type="dxa"/>
            <w:tcBorders>
              <w:top w:val="single" w:sz="6" w:space="0" w:color="000000"/>
              <w:left w:val="single" w:sz="6" w:space="0" w:color="000000"/>
              <w:bottom w:val="single" w:sz="6" w:space="0" w:color="000000"/>
              <w:right w:val="single" w:sz="6" w:space="0" w:color="000000"/>
            </w:tcBorders>
          </w:tcPr>
          <w:p w14:paraId="4D49E704" w14:textId="0DBF1505" w:rsidR="00B925B3" w:rsidRPr="008912CF" w:rsidRDefault="00615769">
            <w:pPr>
              <w:rPr>
                <w:del w:id="10545" w:author="AbbVie2" w:date="2025-05-13T16:39:00Z"/>
                <w:b/>
                <w:bCs/>
                <w:sz w:val="22"/>
                <w:szCs w:val="22"/>
              </w:rPr>
              <w:pPrChange w:id="10546" w:author="AbbVie2" w:date="2025-05-13T16:40:00Z">
                <w:pPr>
                  <w:keepNext/>
                  <w:keepLines/>
                  <w:tabs>
                    <w:tab w:val="left" w:pos="-1080"/>
                  </w:tabs>
                  <w:autoSpaceDE w:val="0"/>
                  <w:autoSpaceDN w:val="0"/>
                  <w:adjustRightInd w:val="0"/>
                  <w:ind w:left="15"/>
                  <w:jc w:val="center"/>
                </w:pPr>
              </w:pPrChange>
            </w:pPr>
            <w:del w:id="10547" w:author="AbbVie2" w:date="2025-05-13T16:39:00Z">
              <w:r w:rsidRPr="008912CF">
                <w:rPr>
                  <w:b/>
                  <w:bCs/>
                  <w:sz w:val="22"/>
                  <w:szCs w:val="22"/>
                </w:rPr>
                <w:delText>Baixa Dose</w:delText>
              </w:r>
            </w:del>
          </w:p>
          <w:p w14:paraId="27305228" w14:textId="765EB55F" w:rsidR="00B925B3" w:rsidRPr="008912CF" w:rsidRDefault="00615769">
            <w:pPr>
              <w:rPr>
                <w:del w:id="10548" w:author="AbbVie2" w:date="2025-05-13T16:39:00Z"/>
                <w:b/>
                <w:bCs/>
                <w:sz w:val="22"/>
                <w:szCs w:val="22"/>
              </w:rPr>
              <w:pPrChange w:id="10549" w:author="AbbVie2" w:date="2025-05-13T16:40:00Z">
                <w:pPr>
                  <w:keepNext/>
                  <w:keepLines/>
                  <w:tabs>
                    <w:tab w:val="left" w:pos="-1080"/>
                  </w:tabs>
                  <w:autoSpaceDE w:val="0"/>
                  <w:autoSpaceDN w:val="0"/>
                  <w:adjustRightInd w:val="0"/>
                  <w:ind w:left="15"/>
                  <w:jc w:val="center"/>
                </w:pPr>
              </w:pPrChange>
            </w:pPr>
            <w:del w:id="10550" w:author="AbbVie2" w:date="2025-05-13T16:39:00Z">
              <w:r w:rsidRPr="008912CF">
                <w:rPr>
                  <w:b/>
                  <w:bCs/>
                  <w:sz w:val="22"/>
                  <w:szCs w:val="22"/>
                </w:rPr>
                <w:delText>20/10 mg em semanas alternadas</w:delText>
              </w:r>
            </w:del>
          </w:p>
        </w:tc>
        <w:tc>
          <w:tcPr>
            <w:tcW w:w="1140" w:type="dxa"/>
            <w:tcBorders>
              <w:top w:val="single" w:sz="6" w:space="0" w:color="000000"/>
              <w:left w:val="single" w:sz="6" w:space="0" w:color="000000"/>
              <w:bottom w:val="single" w:sz="6" w:space="0" w:color="000000"/>
              <w:right w:val="single" w:sz="6" w:space="0" w:color="000000"/>
            </w:tcBorders>
          </w:tcPr>
          <w:p w14:paraId="03CC89DF" w14:textId="4529954F" w:rsidR="00B925B3" w:rsidRPr="008912CF" w:rsidRDefault="00615769">
            <w:pPr>
              <w:rPr>
                <w:del w:id="10551" w:author="AbbVie2" w:date="2025-05-13T16:39:00Z"/>
                <w:b/>
                <w:bCs/>
                <w:sz w:val="22"/>
                <w:szCs w:val="22"/>
              </w:rPr>
              <w:pPrChange w:id="10552" w:author="AbbVie2" w:date="2025-05-13T16:40:00Z">
                <w:pPr>
                  <w:keepNext/>
                  <w:keepLines/>
                  <w:tabs>
                    <w:tab w:val="left" w:pos="-1080"/>
                  </w:tabs>
                  <w:autoSpaceDE w:val="0"/>
                  <w:autoSpaceDN w:val="0"/>
                  <w:adjustRightInd w:val="0"/>
                  <w:ind w:left="15"/>
                  <w:jc w:val="center"/>
                </w:pPr>
              </w:pPrChange>
            </w:pPr>
            <w:del w:id="10553" w:author="AbbVie2" w:date="2025-05-13T16:39:00Z">
              <w:r w:rsidRPr="008912CF">
                <w:rPr>
                  <w:b/>
                  <w:bCs/>
                  <w:sz w:val="22"/>
                  <w:szCs w:val="22"/>
                </w:rPr>
                <w:delText>valor</w:delText>
              </w:r>
              <w:r>
                <w:rPr>
                  <w:b/>
                  <w:bCs/>
                  <w:sz w:val="22"/>
                  <w:szCs w:val="22"/>
                </w:rPr>
                <w:delText>-p</w:delText>
              </w:r>
              <w:r w:rsidRPr="008912CF">
                <w:rPr>
                  <w:b/>
                  <w:bCs/>
                  <w:sz w:val="22"/>
                  <w:szCs w:val="22"/>
                  <w:vertAlign w:val="superscript"/>
                </w:rPr>
                <w:delText xml:space="preserve"> 1</w:delText>
              </w:r>
            </w:del>
          </w:p>
        </w:tc>
      </w:tr>
      <w:tr w:rsidR="00A7162A" w14:paraId="2695A118" w14:textId="10EEC605" w:rsidTr="00D22E86">
        <w:trPr>
          <w:jc w:val="center"/>
          <w:del w:id="10554" w:author="AbbVie2" w:date="2025-05-13T16:39:00Z"/>
        </w:trPr>
        <w:tc>
          <w:tcPr>
            <w:tcW w:w="4025" w:type="dxa"/>
            <w:tcBorders>
              <w:top w:val="single" w:sz="6" w:space="0" w:color="000000"/>
              <w:left w:val="single" w:sz="6" w:space="0" w:color="000000"/>
              <w:bottom w:val="single" w:sz="6" w:space="0" w:color="000000"/>
              <w:right w:val="single" w:sz="6" w:space="0" w:color="000000"/>
            </w:tcBorders>
            <w:vAlign w:val="bottom"/>
          </w:tcPr>
          <w:p w14:paraId="094FEA38" w14:textId="297C2E63" w:rsidR="00B925B3" w:rsidRPr="008912CF" w:rsidRDefault="00615769">
            <w:pPr>
              <w:rPr>
                <w:del w:id="10555" w:author="AbbVie2" w:date="2025-05-13T16:39:00Z"/>
                <w:b/>
                <w:sz w:val="22"/>
                <w:szCs w:val="22"/>
              </w:rPr>
              <w:pPrChange w:id="10556" w:author="AbbVie2" w:date="2025-05-13T16:40:00Z">
                <w:pPr>
                  <w:keepNext/>
                  <w:keepLines/>
                  <w:tabs>
                    <w:tab w:val="left" w:pos="-1080"/>
                  </w:tabs>
                  <w:autoSpaceDE w:val="0"/>
                  <w:autoSpaceDN w:val="0"/>
                  <w:adjustRightInd w:val="0"/>
                </w:pPr>
              </w:pPrChange>
            </w:pPr>
            <w:del w:id="10557" w:author="AbbVie2" w:date="2025-05-13T16:39:00Z">
              <w:r w:rsidRPr="008912CF">
                <w:rPr>
                  <w:b/>
                  <w:sz w:val="22"/>
                  <w:szCs w:val="22"/>
                </w:rPr>
                <w:delText>Descontinuação de corticosteroides</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59D92D26" w14:textId="203A9D93" w:rsidR="00B925B3" w:rsidRPr="008912CF" w:rsidRDefault="00615769">
            <w:pPr>
              <w:rPr>
                <w:del w:id="10558" w:author="AbbVie2" w:date="2025-05-13T16:39:00Z"/>
                <w:b/>
                <w:sz w:val="22"/>
                <w:szCs w:val="22"/>
              </w:rPr>
              <w:pPrChange w:id="10559" w:author="AbbVie2" w:date="2025-05-13T16:40:00Z">
                <w:pPr>
                  <w:keepNext/>
                  <w:keepLines/>
                  <w:tabs>
                    <w:tab w:val="left" w:pos="-1080"/>
                  </w:tabs>
                  <w:autoSpaceDE w:val="0"/>
                  <w:autoSpaceDN w:val="0"/>
                  <w:adjustRightInd w:val="0"/>
                  <w:ind w:left="15"/>
                  <w:jc w:val="center"/>
                </w:pPr>
              </w:pPrChange>
            </w:pPr>
            <w:del w:id="10560" w:author="AbbVie2" w:date="2025-05-13T16:39:00Z">
              <w:r w:rsidRPr="008912CF">
                <w:rPr>
                  <w:b/>
                  <w:sz w:val="22"/>
                  <w:szCs w:val="22"/>
                </w:rPr>
                <w:delText>N= 33</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7BA5FD97" w14:textId="570E2C9F" w:rsidR="00B925B3" w:rsidRPr="008912CF" w:rsidRDefault="00615769">
            <w:pPr>
              <w:rPr>
                <w:del w:id="10561" w:author="AbbVie2" w:date="2025-05-13T16:39:00Z"/>
                <w:b/>
                <w:sz w:val="22"/>
                <w:szCs w:val="22"/>
              </w:rPr>
              <w:pPrChange w:id="10562" w:author="AbbVie2" w:date="2025-05-13T16:40:00Z">
                <w:pPr>
                  <w:keepNext/>
                  <w:keepLines/>
                  <w:tabs>
                    <w:tab w:val="left" w:pos="-1080"/>
                  </w:tabs>
                  <w:autoSpaceDE w:val="0"/>
                  <w:autoSpaceDN w:val="0"/>
                  <w:adjustRightInd w:val="0"/>
                  <w:ind w:left="15"/>
                  <w:jc w:val="center"/>
                </w:pPr>
              </w:pPrChange>
            </w:pPr>
            <w:del w:id="10563" w:author="AbbVie2" w:date="2025-05-13T16:39:00Z">
              <w:r w:rsidRPr="008912CF">
                <w:rPr>
                  <w:b/>
                  <w:sz w:val="22"/>
                  <w:szCs w:val="22"/>
                </w:rPr>
                <w:delText>N=38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29FE948D" w14:textId="55D2BECE" w:rsidR="00B925B3" w:rsidRPr="008912CF" w:rsidRDefault="00B925B3">
            <w:pPr>
              <w:rPr>
                <w:del w:id="10564" w:author="AbbVie2" w:date="2025-05-13T16:39:00Z"/>
                <w:b/>
                <w:sz w:val="22"/>
                <w:szCs w:val="22"/>
              </w:rPr>
              <w:pPrChange w:id="10565" w:author="AbbVie2" w:date="2025-05-13T16:40:00Z">
                <w:pPr>
                  <w:keepNext/>
                  <w:autoSpaceDE w:val="0"/>
                  <w:autoSpaceDN w:val="0"/>
                  <w:adjustRightInd w:val="0"/>
                  <w:ind w:left="15"/>
                </w:pPr>
              </w:pPrChange>
            </w:pPr>
          </w:p>
        </w:tc>
      </w:tr>
      <w:tr w:rsidR="00A7162A" w14:paraId="5B650C3D" w14:textId="263B6DBE" w:rsidTr="00D22E86">
        <w:trPr>
          <w:jc w:val="center"/>
          <w:del w:id="10566" w:author="AbbVie2" w:date="2025-05-13T16:39:00Z"/>
        </w:trPr>
        <w:tc>
          <w:tcPr>
            <w:tcW w:w="4025" w:type="dxa"/>
            <w:tcBorders>
              <w:top w:val="single" w:sz="6" w:space="0" w:color="000000"/>
              <w:left w:val="single" w:sz="6" w:space="0" w:color="000000"/>
              <w:bottom w:val="single" w:sz="6" w:space="0" w:color="000000"/>
              <w:right w:val="single" w:sz="6" w:space="0" w:color="000000"/>
            </w:tcBorders>
            <w:vAlign w:val="bottom"/>
          </w:tcPr>
          <w:p w14:paraId="5551CE37" w14:textId="3F1584FE" w:rsidR="00B925B3" w:rsidRPr="008912CF" w:rsidRDefault="00615769">
            <w:pPr>
              <w:rPr>
                <w:del w:id="10567" w:author="AbbVie2" w:date="2025-05-13T16:39:00Z"/>
                <w:bCs/>
                <w:sz w:val="22"/>
                <w:szCs w:val="22"/>
              </w:rPr>
              <w:pPrChange w:id="10568" w:author="AbbVie2" w:date="2025-05-13T16:40:00Z">
                <w:pPr>
                  <w:keepNext/>
                  <w:keepLines/>
                  <w:tabs>
                    <w:tab w:val="left" w:pos="-1080"/>
                  </w:tabs>
                  <w:autoSpaceDE w:val="0"/>
                  <w:autoSpaceDN w:val="0"/>
                  <w:adjustRightInd w:val="0"/>
                </w:pPr>
              </w:pPrChange>
            </w:pPr>
            <w:del w:id="10569" w:author="AbbVie2" w:date="2025-05-13T16:39:00Z">
              <w:r w:rsidRPr="008912CF">
                <w:rPr>
                  <w:bCs/>
                  <w:sz w:val="22"/>
                  <w:szCs w:val="22"/>
                </w:rPr>
                <w:delText>Semana 26</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3E60EC2C" w14:textId="6FA80718" w:rsidR="00B925B3" w:rsidRPr="008912CF" w:rsidRDefault="00615769">
            <w:pPr>
              <w:rPr>
                <w:del w:id="10570" w:author="AbbVie2" w:date="2025-05-13T16:39:00Z"/>
                <w:sz w:val="22"/>
                <w:szCs w:val="22"/>
              </w:rPr>
              <w:pPrChange w:id="10571" w:author="AbbVie2" w:date="2025-05-13T16:40:00Z">
                <w:pPr>
                  <w:keepNext/>
                  <w:keepLines/>
                  <w:tabs>
                    <w:tab w:val="left" w:pos="-1080"/>
                  </w:tabs>
                  <w:autoSpaceDE w:val="0"/>
                  <w:autoSpaceDN w:val="0"/>
                  <w:adjustRightInd w:val="0"/>
                  <w:ind w:left="15"/>
                  <w:jc w:val="center"/>
                </w:pPr>
              </w:pPrChange>
            </w:pPr>
            <w:del w:id="10572" w:author="AbbVie2" w:date="2025-05-13T16:39:00Z">
              <w:r w:rsidRPr="008912CF">
                <w:rPr>
                  <w:sz w:val="22"/>
                  <w:szCs w:val="22"/>
                </w:rPr>
                <w:delText>84,8%</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275125CF" w14:textId="57E2C647" w:rsidR="00B925B3" w:rsidRPr="008912CF" w:rsidRDefault="00615769">
            <w:pPr>
              <w:rPr>
                <w:del w:id="10573" w:author="AbbVie2" w:date="2025-05-13T16:39:00Z"/>
                <w:sz w:val="22"/>
                <w:szCs w:val="22"/>
              </w:rPr>
              <w:pPrChange w:id="10574" w:author="AbbVie2" w:date="2025-05-13T16:40:00Z">
                <w:pPr>
                  <w:keepNext/>
                  <w:keepLines/>
                  <w:tabs>
                    <w:tab w:val="left" w:pos="-1080"/>
                  </w:tabs>
                  <w:autoSpaceDE w:val="0"/>
                  <w:autoSpaceDN w:val="0"/>
                  <w:adjustRightInd w:val="0"/>
                  <w:ind w:left="15"/>
                  <w:jc w:val="center"/>
                </w:pPr>
              </w:pPrChange>
            </w:pPr>
            <w:del w:id="10575" w:author="AbbVie2" w:date="2025-05-13T16:39:00Z">
              <w:r w:rsidRPr="008912CF">
                <w:rPr>
                  <w:sz w:val="22"/>
                  <w:szCs w:val="22"/>
                </w:rPr>
                <w:delText>65,8%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6F243729" w14:textId="15C79F6A" w:rsidR="00B925B3" w:rsidRPr="008912CF" w:rsidRDefault="00615769">
            <w:pPr>
              <w:rPr>
                <w:del w:id="10576" w:author="AbbVie2" w:date="2025-05-13T16:39:00Z"/>
                <w:sz w:val="22"/>
                <w:szCs w:val="22"/>
              </w:rPr>
              <w:pPrChange w:id="10577" w:author="AbbVie2" w:date="2025-05-13T16:40:00Z">
                <w:pPr>
                  <w:keepNext/>
                  <w:keepLines/>
                  <w:tabs>
                    <w:tab w:val="left" w:pos="-1080"/>
                  </w:tabs>
                  <w:autoSpaceDE w:val="0"/>
                  <w:autoSpaceDN w:val="0"/>
                  <w:adjustRightInd w:val="0"/>
                  <w:ind w:left="15"/>
                  <w:jc w:val="center"/>
                </w:pPr>
              </w:pPrChange>
            </w:pPr>
            <w:del w:id="10578" w:author="AbbVie2" w:date="2025-05-13T16:39:00Z">
              <w:r w:rsidRPr="008912CF">
                <w:rPr>
                  <w:sz w:val="22"/>
                  <w:szCs w:val="22"/>
                </w:rPr>
                <w:delText>0,066</w:delText>
              </w:r>
            </w:del>
          </w:p>
        </w:tc>
      </w:tr>
      <w:tr w:rsidR="00A7162A" w14:paraId="02F174AF" w14:textId="0E96A76A" w:rsidTr="00D22E86">
        <w:trPr>
          <w:jc w:val="center"/>
          <w:del w:id="10579" w:author="AbbVie2" w:date="2025-05-13T16:39:00Z"/>
        </w:trPr>
        <w:tc>
          <w:tcPr>
            <w:tcW w:w="4025" w:type="dxa"/>
            <w:tcBorders>
              <w:top w:val="single" w:sz="6" w:space="0" w:color="000000"/>
              <w:left w:val="single" w:sz="6" w:space="0" w:color="000000"/>
              <w:bottom w:val="single" w:sz="6" w:space="0" w:color="000000"/>
              <w:right w:val="single" w:sz="6" w:space="0" w:color="000000"/>
            </w:tcBorders>
            <w:vAlign w:val="bottom"/>
          </w:tcPr>
          <w:p w14:paraId="4E93732D" w14:textId="4D540A72" w:rsidR="00B925B3" w:rsidRPr="008912CF" w:rsidRDefault="00615769">
            <w:pPr>
              <w:rPr>
                <w:del w:id="10580" w:author="AbbVie2" w:date="2025-05-13T16:39:00Z"/>
                <w:bCs/>
                <w:sz w:val="22"/>
                <w:szCs w:val="22"/>
              </w:rPr>
              <w:pPrChange w:id="10581" w:author="AbbVie2" w:date="2025-05-13T16:40:00Z">
                <w:pPr>
                  <w:keepNext/>
                  <w:keepLines/>
                  <w:tabs>
                    <w:tab w:val="left" w:pos="-1080"/>
                  </w:tabs>
                  <w:autoSpaceDE w:val="0"/>
                  <w:autoSpaceDN w:val="0"/>
                  <w:adjustRightInd w:val="0"/>
                </w:pPr>
              </w:pPrChange>
            </w:pPr>
            <w:del w:id="10582" w:author="AbbVie2" w:date="2025-05-13T16:39:00Z">
              <w:r w:rsidRPr="008912CF">
                <w:rPr>
                  <w:bCs/>
                  <w:sz w:val="22"/>
                  <w:szCs w:val="22"/>
                </w:rPr>
                <w:delText>Semana 52</w:delText>
              </w:r>
            </w:del>
          </w:p>
        </w:tc>
        <w:tc>
          <w:tcPr>
            <w:tcW w:w="1656" w:type="dxa"/>
            <w:tcBorders>
              <w:top w:val="single" w:sz="6" w:space="0" w:color="000000"/>
              <w:left w:val="single" w:sz="6" w:space="0" w:color="000000"/>
              <w:bottom w:val="single" w:sz="6" w:space="0" w:color="000000"/>
              <w:right w:val="single" w:sz="6" w:space="0" w:color="000000"/>
            </w:tcBorders>
          </w:tcPr>
          <w:p w14:paraId="09B65839" w14:textId="211E61A5" w:rsidR="00B925B3" w:rsidRPr="008912CF" w:rsidRDefault="00615769">
            <w:pPr>
              <w:rPr>
                <w:del w:id="10583" w:author="AbbVie2" w:date="2025-05-13T16:39:00Z"/>
                <w:sz w:val="22"/>
                <w:szCs w:val="22"/>
              </w:rPr>
              <w:pPrChange w:id="10584" w:author="AbbVie2" w:date="2025-05-13T16:40:00Z">
                <w:pPr>
                  <w:keepNext/>
                  <w:keepLines/>
                  <w:tabs>
                    <w:tab w:val="left" w:pos="-1080"/>
                  </w:tabs>
                  <w:autoSpaceDE w:val="0"/>
                  <w:autoSpaceDN w:val="0"/>
                  <w:adjustRightInd w:val="0"/>
                  <w:ind w:left="15"/>
                  <w:jc w:val="center"/>
                </w:pPr>
              </w:pPrChange>
            </w:pPr>
            <w:del w:id="10585" w:author="AbbVie2" w:date="2025-05-13T16:39:00Z">
              <w:r w:rsidRPr="008912CF">
                <w:rPr>
                  <w:sz w:val="22"/>
                  <w:szCs w:val="22"/>
                </w:rPr>
                <w:delText>69,7%</w:delText>
              </w:r>
            </w:del>
          </w:p>
        </w:tc>
        <w:tc>
          <w:tcPr>
            <w:tcW w:w="1619" w:type="dxa"/>
            <w:tcBorders>
              <w:top w:val="single" w:sz="6" w:space="0" w:color="000000"/>
              <w:left w:val="single" w:sz="6" w:space="0" w:color="000000"/>
              <w:bottom w:val="single" w:sz="6" w:space="0" w:color="000000"/>
              <w:right w:val="single" w:sz="6" w:space="0" w:color="000000"/>
            </w:tcBorders>
          </w:tcPr>
          <w:p w14:paraId="33633223" w14:textId="584B63A3" w:rsidR="00B925B3" w:rsidRPr="008912CF" w:rsidRDefault="00615769">
            <w:pPr>
              <w:rPr>
                <w:del w:id="10586" w:author="AbbVie2" w:date="2025-05-13T16:39:00Z"/>
                <w:sz w:val="22"/>
                <w:szCs w:val="22"/>
              </w:rPr>
              <w:pPrChange w:id="10587" w:author="AbbVie2" w:date="2025-05-13T16:40:00Z">
                <w:pPr>
                  <w:keepNext/>
                  <w:keepLines/>
                  <w:tabs>
                    <w:tab w:val="left" w:pos="-1080"/>
                  </w:tabs>
                  <w:autoSpaceDE w:val="0"/>
                  <w:autoSpaceDN w:val="0"/>
                  <w:adjustRightInd w:val="0"/>
                  <w:ind w:left="15"/>
                  <w:jc w:val="center"/>
                </w:pPr>
              </w:pPrChange>
            </w:pPr>
            <w:del w:id="10588" w:author="AbbVie2" w:date="2025-05-13T16:39:00Z">
              <w:r w:rsidRPr="008912CF">
                <w:rPr>
                  <w:sz w:val="22"/>
                  <w:szCs w:val="22"/>
                </w:rPr>
                <w:delText>60,5%</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7F8741BA" w14:textId="5C9300E8" w:rsidR="00B925B3" w:rsidRPr="008912CF" w:rsidRDefault="00615769">
            <w:pPr>
              <w:rPr>
                <w:del w:id="10589" w:author="AbbVie2" w:date="2025-05-13T16:39:00Z"/>
                <w:sz w:val="22"/>
                <w:szCs w:val="22"/>
              </w:rPr>
              <w:pPrChange w:id="10590" w:author="AbbVie2" w:date="2025-05-13T16:40:00Z">
                <w:pPr>
                  <w:keepNext/>
                  <w:keepLines/>
                  <w:tabs>
                    <w:tab w:val="left" w:pos="-1080"/>
                  </w:tabs>
                  <w:autoSpaceDE w:val="0"/>
                  <w:autoSpaceDN w:val="0"/>
                  <w:adjustRightInd w:val="0"/>
                  <w:ind w:left="15"/>
                  <w:jc w:val="center"/>
                </w:pPr>
              </w:pPrChange>
            </w:pPr>
            <w:del w:id="10591" w:author="AbbVie2" w:date="2025-05-13T16:39:00Z">
              <w:r w:rsidRPr="008912CF">
                <w:rPr>
                  <w:sz w:val="22"/>
                  <w:szCs w:val="22"/>
                </w:rPr>
                <w:delText>0,420</w:delText>
              </w:r>
            </w:del>
          </w:p>
        </w:tc>
      </w:tr>
      <w:tr w:rsidR="00A7162A" w14:paraId="2F459908" w14:textId="6397FCC3" w:rsidTr="00D22E86">
        <w:trPr>
          <w:jc w:val="center"/>
          <w:del w:id="10592" w:author="AbbVie2" w:date="2025-05-13T16:39:00Z"/>
        </w:trPr>
        <w:tc>
          <w:tcPr>
            <w:tcW w:w="4025" w:type="dxa"/>
            <w:tcBorders>
              <w:top w:val="single" w:sz="6" w:space="0" w:color="000000"/>
              <w:left w:val="single" w:sz="6" w:space="0" w:color="000000"/>
              <w:bottom w:val="single" w:sz="6" w:space="0" w:color="000000"/>
              <w:right w:val="single" w:sz="6" w:space="0" w:color="000000"/>
            </w:tcBorders>
            <w:vAlign w:val="bottom"/>
          </w:tcPr>
          <w:p w14:paraId="041617A6" w14:textId="2B2A635A" w:rsidR="00B925B3" w:rsidRPr="008912CF" w:rsidRDefault="00615769">
            <w:pPr>
              <w:rPr>
                <w:del w:id="10593" w:author="AbbVie2" w:date="2025-05-13T16:39:00Z"/>
                <w:b/>
                <w:sz w:val="22"/>
                <w:szCs w:val="22"/>
              </w:rPr>
              <w:pPrChange w:id="10594" w:author="AbbVie2" w:date="2025-05-13T16:40:00Z">
                <w:pPr>
                  <w:keepNext/>
                  <w:keepLines/>
                  <w:tabs>
                    <w:tab w:val="left" w:pos="-1080"/>
                  </w:tabs>
                  <w:autoSpaceDE w:val="0"/>
                  <w:autoSpaceDN w:val="0"/>
                  <w:adjustRightInd w:val="0"/>
                </w:pPr>
              </w:pPrChange>
            </w:pPr>
            <w:del w:id="10595" w:author="AbbVie2" w:date="2025-05-13T16:39:00Z">
              <w:r w:rsidRPr="008912CF">
                <w:rPr>
                  <w:b/>
                  <w:sz w:val="22"/>
                  <w:szCs w:val="22"/>
                </w:rPr>
                <w:delText>Descontinuação de Imunomoduladores</w:delText>
              </w:r>
              <w:r w:rsidRPr="008912CF">
                <w:rPr>
                  <w:b/>
                  <w:sz w:val="22"/>
                  <w:szCs w:val="22"/>
                  <w:vertAlign w:val="superscript"/>
                </w:rPr>
                <w:delText>2</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5E95E604" w14:textId="6485841A" w:rsidR="00B925B3" w:rsidRPr="008912CF" w:rsidRDefault="00615769">
            <w:pPr>
              <w:rPr>
                <w:del w:id="10596" w:author="AbbVie2" w:date="2025-05-13T16:39:00Z"/>
                <w:b/>
                <w:sz w:val="22"/>
                <w:szCs w:val="22"/>
              </w:rPr>
              <w:pPrChange w:id="10597" w:author="AbbVie2" w:date="2025-05-13T16:40:00Z">
                <w:pPr>
                  <w:keepNext/>
                  <w:keepLines/>
                  <w:tabs>
                    <w:tab w:val="left" w:pos="-1080"/>
                  </w:tabs>
                  <w:autoSpaceDE w:val="0"/>
                  <w:autoSpaceDN w:val="0"/>
                  <w:adjustRightInd w:val="0"/>
                  <w:ind w:left="15"/>
                  <w:jc w:val="center"/>
                </w:pPr>
              </w:pPrChange>
            </w:pPr>
            <w:del w:id="10598" w:author="AbbVie2" w:date="2025-05-13T16:39:00Z">
              <w:r w:rsidRPr="008912CF">
                <w:rPr>
                  <w:b/>
                  <w:sz w:val="22"/>
                  <w:szCs w:val="22"/>
                </w:rPr>
                <w:delText>N=60</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37A60674" w14:textId="692E7969" w:rsidR="00B925B3" w:rsidRPr="008912CF" w:rsidRDefault="00615769">
            <w:pPr>
              <w:rPr>
                <w:del w:id="10599" w:author="AbbVie2" w:date="2025-05-13T16:39:00Z"/>
                <w:b/>
                <w:sz w:val="22"/>
                <w:szCs w:val="22"/>
              </w:rPr>
              <w:pPrChange w:id="10600" w:author="AbbVie2" w:date="2025-05-13T16:40:00Z">
                <w:pPr>
                  <w:keepNext/>
                  <w:keepLines/>
                  <w:tabs>
                    <w:tab w:val="left" w:pos="-1080"/>
                  </w:tabs>
                  <w:autoSpaceDE w:val="0"/>
                  <w:autoSpaceDN w:val="0"/>
                  <w:adjustRightInd w:val="0"/>
                  <w:ind w:left="15"/>
                  <w:jc w:val="center"/>
                </w:pPr>
              </w:pPrChange>
            </w:pPr>
            <w:del w:id="10601" w:author="AbbVie2" w:date="2025-05-13T16:39:00Z">
              <w:r w:rsidRPr="008912CF">
                <w:rPr>
                  <w:b/>
                  <w:sz w:val="22"/>
                  <w:szCs w:val="22"/>
                </w:rPr>
                <w:delText>N=57</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775266FB" w14:textId="36F4ACDA" w:rsidR="00B925B3" w:rsidRPr="008912CF" w:rsidRDefault="00B925B3">
            <w:pPr>
              <w:rPr>
                <w:del w:id="10602" w:author="AbbVie2" w:date="2025-05-13T16:39:00Z"/>
                <w:b/>
                <w:sz w:val="22"/>
                <w:szCs w:val="22"/>
              </w:rPr>
              <w:pPrChange w:id="10603" w:author="AbbVie2" w:date="2025-05-13T16:40:00Z">
                <w:pPr>
                  <w:keepNext/>
                  <w:autoSpaceDE w:val="0"/>
                  <w:autoSpaceDN w:val="0"/>
                  <w:adjustRightInd w:val="0"/>
                  <w:ind w:left="15"/>
                </w:pPr>
              </w:pPrChange>
            </w:pPr>
          </w:p>
        </w:tc>
      </w:tr>
      <w:tr w:rsidR="00A7162A" w14:paraId="2E65FA52" w14:textId="4D62B991" w:rsidTr="00D22E86">
        <w:trPr>
          <w:jc w:val="center"/>
          <w:del w:id="10604" w:author="AbbVie2" w:date="2025-05-13T16:39:00Z"/>
        </w:trPr>
        <w:tc>
          <w:tcPr>
            <w:tcW w:w="4025" w:type="dxa"/>
            <w:tcBorders>
              <w:top w:val="single" w:sz="6" w:space="0" w:color="000000"/>
              <w:left w:val="single" w:sz="6" w:space="0" w:color="000000"/>
              <w:bottom w:val="single" w:sz="6" w:space="0" w:color="000000"/>
              <w:right w:val="single" w:sz="6" w:space="0" w:color="000000"/>
            </w:tcBorders>
          </w:tcPr>
          <w:p w14:paraId="1C0C8679" w14:textId="25FA6E2D" w:rsidR="00B925B3" w:rsidRPr="008912CF" w:rsidRDefault="00615769">
            <w:pPr>
              <w:rPr>
                <w:del w:id="10605" w:author="AbbVie2" w:date="2025-05-13T16:39:00Z"/>
                <w:bCs/>
                <w:sz w:val="22"/>
                <w:szCs w:val="22"/>
              </w:rPr>
              <w:pPrChange w:id="10606" w:author="AbbVie2" w:date="2025-05-13T16:40:00Z">
                <w:pPr>
                  <w:keepNext/>
                  <w:keepLines/>
                  <w:tabs>
                    <w:tab w:val="left" w:pos="-1080"/>
                  </w:tabs>
                  <w:autoSpaceDE w:val="0"/>
                  <w:autoSpaceDN w:val="0"/>
                  <w:adjustRightInd w:val="0"/>
                </w:pPr>
              </w:pPrChange>
            </w:pPr>
            <w:del w:id="10607" w:author="AbbVie2" w:date="2025-05-13T16:39:00Z">
              <w:r w:rsidRPr="008912CF">
                <w:rPr>
                  <w:bCs/>
                  <w:sz w:val="22"/>
                  <w:szCs w:val="22"/>
                </w:rPr>
                <w:delText>Semana 52</w:delText>
              </w:r>
            </w:del>
          </w:p>
        </w:tc>
        <w:tc>
          <w:tcPr>
            <w:tcW w:w="1656" w:type="dxa"/>
            <w:tcBorders>
              <w:top w:val="single" w:sz="6" w:space="0" w:color="000000"/>
              <w:left w:val="single" w:sz="6" w:space="0" w:color="000000"/>
              <w:bottom w:val="single" w:sz="6" w:space="0" w:color="000000"/>
              <w:right w:val="single" w:sz="6" w:space="0" w:color="000000"/>
            </w:tcBorders>
          </w:tcPr>
          <w:p w14:paraId="278F9D23" w14:textId="3490A952" w:rsidR="00B925B3" w:rsidRPr="008912CF" w:rsidRDefault="00615769">
            <w:pPr>
              <w:rPr>
                <w:del w:id="10608" w:author="AbbVie2" w:date="2025-05-13T16:39:00Z"/>
                <w:sz w:val="22"/>
                <w:szCs w:val="22"/>
              </w:rPr>
              <w:pPrChange w:id="10609" w:author="AbbVie2" w:date="2025-05-13T16:40:00Z">
                <w:pPr>
                  <w:keepNext/>
                  <w:keepLines/>
                  <w:tabs>
                    <w:tab w:val="left" w:pos="-1080"/>
                  </w:tabs>
                  <w:autoSpaceDE w:val="0"/>
                  <w:autoSpaceDN w:val="0"/>
                  <w:adjustRightInd w:val="0"/>
                  <w:ind w:left="15"/>
                  <w:jc w:val="center"/>
                </w:pPr>
              </w:pPrChange>
            </w:pPr>
            <w:del w:id="10610" w:author="AbbVie2" w:date="2025-05-13T16:39:00Z">
              <w:r w:rsidRPr="008912CF">
                <w:rPr>
                  <w:sz w:val="22"/>
                  <w:szCs w:val="22"/>
                </w:rPr>
                <w:delText>30,</w:delText>
              </w:r>
              <w:r>
                <w:rPr>
                  <w:sz w:val="22"/>
                  <w:szCs w:val="22"/>
                </w:rPr>
                <w:delText>0</w:delText>
              </w:r>
              <w:r w:rsidRPr="008912CF">
                <w:rPr>
                  <w:sz w:val="22"/>
                  <w:szCs w:val="22"/>
                </w:rPr>
                <w:delText>%</w:delText>
              </w:r>
            </w:del>
          </w:p>
        </w:tc>
        <w:tc>
          <w:tcPr>
            <w:tcW w:w="1619" w:type="dxa"/>
            <w:tcBorders>
              <w:top w:val="single" w:sz="6" w:space="0" w:color="000000"/>
              <w:left w:val="single" w:sz="6" w:space="0" w:color="000000"/>
              <w:bottom w:val="single" w:sz="6" w:space="0" w:color="000000"/>
              <w:right w:val="single" w:sz="6" w:space="0" w:color="000000"/>
            </w:tcBorders>
          </w:tcPr>
          <w:p w14:paraId="4B8BFEA3" w14:textId="57F4D89B" w:rsidR="00B925B3" w:rsidRPr="008912CF" w:rsidRDefault="00615769">
            <w:pPr>
              <w:rPr>
                <w:del w:id="10611" w:author="AbbVie2" w:date="2025-05-13T16:39:00Z"/>
                <w:sz w:val="22"/>
                <w:szCs w:val="22"/>
              </w:rPr>
              <w:pPrChange w:id="10612" w:author="AbbVie2" w:date="2025-05-13T16:40:00Z">
                <w:pPr>
                  <w:keepNext/>
                  <w:keepLines/>
                  <w:tabs>
                    <w:tab w:val="left" w:pos="-1080"/>
                  </w:tabs>
                  <w:autoSpaceDE w:val="0"/>
                  <w:autoSpaceDN w:val="0"/>
                  <w:adjustRightInd w:val="0"/>
                  <w:ind w:left="15"/>
                  <w:jc w:val="center"/>
                </w:pPr>
              </w:pPrChange>
            </w:pPr>
            <w:del w:id="10613" w:author="AbbVie2" w:date="2025-05-13T16:39:00Z">
              <w:r w:rsidRPr="008912CF">
                <w:rPr>
                  <w:sz w:val="22"/>
                  <w:szCs w:val="22"/>
                </w:rPr>
                <w:delText>29,8%</w:delText>
              </w:r>
            </w:del>
          </w:p>
        </w:tc>
        <w:tc>
          <w:tcPr>
            <w:tcW w:w="1140" w:type="dxa"/>
            <w:tcBorders>
              <w:top w:val="single" w:sz="6" w:space="0" w:color="000000"/>
              <w:left w:val="single" w:sz="6" w:space="0" w:color="000000"/>
              <w:bottom w:val="single" w:sz="6" w:space="0" w:color="000000"/>
              <w:right w:val="single" w:sz="6" w:space="0" w:color="000000"/>
            </w:tcBorders>
          </w:tcPr>
          <w:p w14:paraId="54B49286" w14:textId="50E0712D" w:rsidR="00B925B3" w:rsidRPr="008912CF" w:rsidRDefault="00615769">
            <w:pPr>
              <w:rPr>
                <w:del w:id="10614" w:author="AbbVie2" w:date="2025-05-13T16:39:00Z"/>
                <w:sz w:val="22"/>
                <w:szCs w:val="22"/>
              </w:rPr>
              <w:pPrChange w:id="10615" w:author="AbbVie2" w:date="2025-05-13T16:40:00Z">
                <w:pPr>
                  <w:keepNext/>
                  <w:keepLines/>
                  <w:tabs>
                    <w:tab w:val="left" w:pos="-1080"/>
                  </w:tabs>
                  <w:autoSpaceDE w:val="0"/>
                  <w:autoSpaceDN w:val="0"/>
                  <w:adjustRightInd w:val="0"/>
                  <w:ind w:left="15"/>
                  <w:jc w:val="center"/>
                </w:pPr>
              </w:pPrChange>
            </w:pPr>
            <w:del w:id="10616" w:author="AbbVie2" w:date="2025-05-13T16:39:00Z">
              <w:r w:rsidRPr="008912CF">
                <w:rPr>
                  <w:sz w:val="22"/>
                  <w:szCs w:val="22"/>
                </w:rPr>
                <w:delText>0,983</w:delText>
              </w:r>
            </w:del>
          </w:p>
        </w:tc>
      </w:tr>
      <w:tr w:rsidR="00A7162A" w14:paraId="2D40F9E4" w14:textId="4FF6BE6D" w:rsidTr="00D22E86">
        <w:trPr>
          <w:jc w:val="center"/>
          <w:del w:id="10617" w:author="AbbVie2" w:date="2025-05-13T16:39:00Z"/>
        </w:trPr>
        <w:tc>
          <w:tcPr>
            <w:tcW w:w="4025" w:type="dxa"/>
            <w:tcBorders>
              <w:top w:val="single" w:sz="6" w:space="0" w:color="000000"/>
              <w:left w:val="single" w:sz="6" w:space="0" w:color="000000"/>
              <w:bottom w:val="single" w:sz="6" w:space="0" w:color="000000"/>
              <w:right w:val="single" w:sz="6" w:space="0" w:color="000000"/>
            </w:tcBorders>
          </w:tcPr>
          <w:p w14:paraId="1940D4E3" w14:textId="51CD2CB0" w:rsidR="00B925B3" w:rsidRPr="008912CF" w:rsidRDefault="00615769">
            <w:pPr>
              <w:rPr>
                <w:del w:id="10618" w:author="AbbVie2" w:date="2025-05-13T16:39:00Z"/>
                <w:b/>
                <w:bCs/>
                <w:sz w:val="22"/>
                <w:szCs w:val="22"/>
              </w:rPr>
              <w:pPrChange w:id="10619" w:author="AbbVie2" w:date="2025-05-13T16:40:00Z">
                <w:pPr>
                  <w:keepNext/>
                  <w:keepLines/>
                  <w:tabs>
                    <w:tab w:val="left" w:pos="-1080"/>
                  </w:tabs>
                  <w:autoSpaceDE w:val="0"/>
                  <w:autoSpaceDN w:val="0"/>
                  <w:adjustRightInd w:val="0"/>
                </w:pPr>
              </w:pPrChange>
            </w:pPr>
            <w:del w:id="10620" w:author="AbbVie2" w:date="2025-05-13T16:39:00Z">
              <w:r w:rsidRPr="008912CF">
                <w:rPr>
                  <w:b/>
                  <w:sz w:val="22"/>
                  <w:szCs w:val="22"/>
                </w:rPr>
                <w:delText>Remissão das fístulas</w:delText>
              </w:r>
              <w:r w:rsidRPr="008912CF">
                <w:rPr>
                  <w:b/>
                  <w:sz w:val="22"/>
                  <w:szCs w:val="22"/>
                  <w:vertAlign w:val="superscript"/>
                </w:rPr>
                <w:delText>3</w:delText>
              </w:r>
            </w:del>
          </w:p>
        </w:tc>
        <w:tc>
          <w:tcPr>
            <w:tcW w:w="1656" w:type="dxa"/>
            <w:tcBorders>
              <w:top w:val="single" w:sz="6" w:space="0" w:color="000000"/>
              <w:left w:val="single" w:sz="6" w:space="0" w:color="000000"/>
              <w:bottom w:val="single" w:sz="6" w:space="0" w:color="000000"/>
              <w:right w:val="single" w:sz="6" w:space="0" w:color="000000"/>
            </w:tcBorders>
          </w:tcPr>
          <w:p w14:paraId="6733CBAC" w14:textId="564538FE" w:rsidR="00B925B3" w:rsidRPr="008912CF" w:rsidRDefault="00615769">
            <w:pPr>
              <w:rPr>
                <w:del w:id="10621" w:author="AbbVie2" w:date="2025-05-13T16:39:00Z"/>
                <w:b/>
                <w:sz w:val="22"/>
                <w:szCs w:val="22"/>
              </w:rPr>
              <w:pPrChange w:id="10622" w:author="AbbVie2" w:date="2025-05-13T16:40:00Z">
                <w:pPr>
                  <w:keepNext/>
                  <w:keepLines/>
                  <w:tabs>
                    <w:tab w:val="left" w:pos="-1080"/>
                  </w:tabs>
                  <w:autoSpaceDE w:val="0"/>
                  <w:autoSpaceDN w:val="0"/>
                  <w:adjustRightInd w:val="0"/>
                  <w:ind w:left="15"/>
                  <w:jc w:val="center"/>
                </w:pPr>
              </w:pPrChange>
            </w:pPr>
            <w:del w:id="10623" w:author="AbbVie2" w:date="2025-05-13T16:39:00Z">
              <w:r w:rsidRPr="008912CF">
                <w:rPr>
                  <w:b/>
                  <w:sz w:val="22"/>
                  <w:szCs w:val="22"/>
                </w:rPr>
                <w:delText>N=15</w:delText>
              </w:r>
            </w:del>
          </w:p>
        </w:tc>
        <w:tc>
          <w:tcPr>
            <w:tcW w:w="1619" w:type="dxa"/>
            <w:tcBorders>
              <w:top w:val="single" w:sz="6" w:space="0" w:color="000000"/>
              <w:left w:val="single" w:sz="6" w:space="0" w:color="000000"/>
              <w:bottom w:val="single" w:sz="6" w:space="0" w:color="000000"/>
              <w:right w:val="single" w:sz="6" w:space="0" w:color="000000"/>
            </w:tcBorders>
          </w:tcPr>
          <w:p w14:paraId="49198310" w14:textId="2CA9456E" w:rsidR="00B925B3" w:rsidRPr="008912CF" w:rsidRDefault="00615769">
            <w:pPr>
              <w:rPr>
                <w:del w:id="10624" w:author="AbbVie2" w:date="2025-05-13T16:39:00Z"/>
                <w:b/>
                <w:sz w:val="22"/>
                <w:szCs w:val="22"/>
              </w:rPr>
              <w:pPrChange w:id="10625" w:author="AbbVie2" w:date="2025-05-13T16:40:00Z">
                <w:pPr>
                  <w:keepNext/>
                  <w:keepLines/>
                  <w:tabs>
                    <w:tab w:val="left" w:pos="-1080"/>
                  </w:tabs>
                  <w:autoSpaceDE w:val="0"/>
                  <w:autoSpaceDN w:val="0"/>
                  <w:adjustRightInd w:val="0"/>
                  <w:ind w:left="15"/>
                  <w:jc w:val="center"/>
                </w:pPr>
              </w:pPrChange>
            </w:pPr>
            <w:del w:id="10626" w:author="AbbVie2" w:date="2025-05-13T16:39:00Z">
              <w:r w:rsidRPr="008912CF">
                <w:rPr>
                  <w:b/>
                  <w:sz w:val="22"/>
                  <w:szCs w:val="22"/>
                </w:rPr>
                <w:delText>N=21</w:delText>
              </w:r>
            </w:del>
          </w:p>
        </w:tc>
        <w:tc>
          <w:tcPr>
            <w:tcW w:w="1140" w:type="dxa"/>
            <w:tcBorders>
              <w:top w:val="single" w:sz="6" w:space="0" w:color="000000"/>
              <w:left w:val="single" w:sz="6" w:space="0" w:color="000000"/>
              <w:bottom w:val="single" w:sz="6" w:space="0" w:color="000000"/>
              <w:right w:val="single" w:sz="6" w:space="0" w:color="000000"/>
            </w:tcBorders>
          </w:tcPr>
          <w:p w14:paraId="72C5E722" w14:textId="74D9509E" w:rsidR="00B925B3" w:rsidRPr="008912CF" w:rsidRDefault="00B925B3">
            <w:pPr>
              <w:rPr>
                <w:del w:id="10627" w:author="AbbVie2" w:date="2025-05-13T16:39:00Z"/>
                <w:sz w:val="22"/>
                <w:szCs w:val="22"/>
              </w:rPr>
              <w:pPrChange w:id="10628" w:author="AbbVie2" w:date="2025-05-13T16:40:00Z">
                <w:pPr>
                  <w:keepNext/>
                  <w:keepLines/>
                  <w:tabs>
                    <w:tab w:val="left" w:pos="-1080"/>
                  </w:tabs>
                  <w:autoSpaceDE w:val="0"/>
                  <w:autoSpaceDN w:val="0"/>
                  <w:adjustRightInd w:val="0"/>
                  <w:ind w:left="15"/>
                  <w:jc w:val="center"/>
                </w:pPr>
              </w:pPrChange>
            </w:pPr>
          </w:p>
        </w:tc>
      </w:tr>
      <w:tr w:rsidR="00A7162A" w14:paraId="0B667F47" w14:textId="60E1F058" w:rsidTr="00D22E86">
        <w:trPr>
          <w:jc w:val="center"/>
          <w:del w:id="10629" w:author="AbbVie2" w:date="2025-05-13T16:39:00Z"/>
        </w:trPr>
        <w:tc>
          <w:tcPr>
            <w:tcW w:w="4025" w:type="dxa"/>
            <w:tcBorders>
              <w:top w:val="single" w:sz="6" w:space="0" w:color="000000"/>
              <w:left w:val="single" w:sz="6" w:space="0" w:color="000000"/>
              <w:bottom w:val="single" w:sz="6" w:space="0" w:color="000000"/>
              <w:right w:val="single" w:sz="6" w:space="0" w:color="000000"/>
            </w:tcBorders>
          </w:tcPr>
          <w:p w14:paraId="30BF6118" w14:textId="7D7C6953" w:rsidR="00B925B3" w:rsidRPr="008912CF" w:rsidRDefault="00615769">
            <w:pPr>
              <w:rPr>
                <w:del w:id="10630" w:author="AbbVie2" w:date="2025-05-13T16:39:00Z"/>
                <w:bCs/>
                <w:sz w:val="22"/>
                <w:szCs w:val="22"/>
              </w:rPr>
              <w:pPrChange w:id="10631" w:author="AbbVie2" w:date="2025-05-13T16:40:00Z">
                <w:pPr>
                  <w:keepNext/>
                  <w:keepLines/>
                  <w:tabs>
                    <w:tab w:val="left" w:pos="-1080"/>
                  </w:tabs>
                  <w:autoSpaceDE w:val="0"/>
                  <w:autoSpaceDN w:val="0"/>
                  <w:adjustRightInd w:val="0"/>
                </w:pPr>
              </w:pPrChange>
            </w:pPr>
            <w:del w:id="10632" w:author="AbbVie2" w:date="2025-05-13T16:39:00Z">
              <w:r w:rsidRPr="008912CF">
                <w:rPr>
                  <w:bCs/>
                  <w:sz w:val="22"/>
                  <w:szCs w:val="22"/>
                </w:rPr>
                <w:delText>Semana 26</w:delText>
              </w:r>
            </w:del>
          </w:p>
        </w:tc>
        <w:tc>
          <w:tcPr>
            <w:tcW w:w="1656" w:type="dxa"/>
            <w:tcBorders>
              <w:top w:val="single" w:sz="6" w:space="0" w:color="000000"/>
              <w:left w:val="single" w:sz="6" w:space="0" w:color="000000"/>
              <w:bottom w:val="single" w:sz="6" w:space="0" w:color="000000"/>
              <w:right w:val="single" w:sz="6" w:space="0" w:color="000000"/>
            </w:tcBorders>
          </w:tcPr>
          <w:p w14:paraId="38FC9136" w14:textId="6ECFF0F6" w:rsidR="00B925B3" w:rsidRPr="008912CF" w:rsidRDefault="00615769">
            <w:pPr>
              <w:rPr>
                <w:del w:id="10633" w:author="AbbVie2" w:date="2025-05-13T16:39:00Z"/>
                <w:sz w:val="22"/>
                <w:szCs w:val="22"/>
              </w:rPr>
              <w:pPrChange w:id="10634" w:author="AbbVie2" w:date="2025-05-13T16:40:00Z">
                <w:pPr>
                  <w:keepNext/>
                  <w:keepLines/>
                  <w:tabs>
                    <w:tab w:val="left" w:pos="-1080"/>
                  </w:tabs>
                  <w:autoSpaceDE w:val="0"/>
                  <w:autoSpaceDN w:val="0"/>
                  <w:adjustRightInd w:val="0"/>
                  <w:ind w:left="15"/>
                  <w:jc w:val="center"/>
                </w:pPr>
              </w:pPrChange>
            </w:pPr>
            <w:del w:id="10635" w:author="AbbVie2" w:date="2025-05-13T16:39:00Z">
              <w:r w:rsidRPr="008912CF">
                <w:rPr>
                  <w:sz w:val="22"/>
                  <w:szCs w:val="22"/>
                </w:rPr>
                <w:delText>46,7%</w:delText>
              </w:r>
            </w:del>
          </w:p>
        </w:tc>
        <w:tc>
          <w:tcPr>
            <w:tcW w:w="1619" w:type="dxa"/>
            <w:tcBorders>
              <w:top w:val="single" w:sz="6" w:space="0" w:color="000000"/>
              <w:left w:val="single" w:sz="6" w:space="0" w:color="000000"/>
              <w:bottom w:val="single" w:sz="6" w:space="0" w:color="000000"/>
              <w:right w:val="single" w:sz="6" w:space="0" w:color="000000"/>
            </w:tcBorders>
          </w:tcPr>
          <w:p w14:paraId="4C5BA6FF" w14:textId="76F1DDAF" w:rsidR="00B925B3" w:rsidRPr="008912CF" w:rsidRDefault="00615769">
            <w:pPr>
              <w:rPr>
                <w:del w:id="10636" w:author="AbbVie2" w:date="2025-05-13T16:39:00Z"/>
                <w:sz w:val="22"/>
                <w:szCs w:val="22"/>
              </w:rPr>
              <w:pPrChange w:id="10637" w:author="AbbVie2" w:date="2025-05-13T16:40:00Z">
                <w:pPr>
                  <w:keepNext/>
                  <w:keepLines/>
                  <w:tabs>
                    <w:tab w:val="left" w:pos="-1080"/>
                  </w:tabs>
                  <w:autoSpaceDE w:val="0"/>
                  <w:autoSpaceDN w:val="0"/>
                  <w:adjustRightInd w:val="0"/>
                  <w:ind w:left="15"/>
                  <w:jc w:val="center"/>
                </w:pPr>
              </w:pPrChange>
            </w:pPr>
            <w:del w:id="10638" w:author="AbbVie2" w:date="2025-05-13T16:39:00Z">
              <w:r w:rsidRPr="008912CF">
                <w:rPr>
                  <w:sz w:val="22"/>
                  <w:szCs w:val="22"/>
                </w:rPr>
                <w:delText>38,1%</w:delText>
              </w:r>
            </w:del>
          </w:p>
        </w:tc>
        <w:tc>
          <w:tcPr>
            <w:tcW w:w="1140" w:type="dxa"/>
            <w:tcBorders>
              <w:top w:val="single" w:sz="6" w:space="0" w:color="000000"/>
              <w:left w:val="single" w:sz="6" w:space="0" w:color="000000"/>
              <w:bottom w:val="single" w:sz="6" w:space="0" w:color="000000"/>
              <w:right w:val="single" w:sz="6" w:space="0" w:color="000000"/>
            </w:tcBorders>
          </w:tcPr>
          <w:p w14:paraId="7322716E" w14:textId="217A036B" w:rsidR="00B925B3" w:rsidRPr="008912CF" w:rsidRDefault="00615769">
            <w:pPr>
              <w:rPr>
                <w:del w:id="10639" w:author="AbbVie2" w:date="2025-05-13T16:39:00Z"/>
                <w:sz w:val="22"/>
                <w:szCs w:val="22"/>
              </w:rPr>
              <w:pPrChange w:id="10640" w:author="AbbVie2" w:date="2025-05-13T16:40:00Z">
                <w:pPr>
                  <w:keepNext/>
                  <w:keepLines/>
                  <w:tabs>
                    <w:tab w:val="left" w:pos="-1080"/>
                  </w:tabs>
                  <w:autoSpaceDE w:val="0"/>
                  <w:autoSpaceDN w:val="0"/>
                  <w:adjustRightInd w:val="0"/>
                  <w:ind w:left="15"/>
                  <w:jc w:val="center"/>
                </w:pPr>
              </w:pPrChange>
            </w:pPr>
            <w:del w:id="10641" w:author="AbbVie2" w:date="2025-05-13T16:39:00Z">
              <w:r w:rsidRPr="008912CF">
                <w:rPr>
                  <w:sz w:val="22"/>
                  <w:szCs w:val="22"/>
                </w:rPr>
                <w:delText>0,608</w:delText>
              </w:r>
            </w:del>
          </w:p>
        </w:tc>
      </w:tr>
      <w:tr w:rsidR="00A7162A" w14:paraId="2B02F48A" w14:textId="6CF2ED0C" w:rsidTr="00D22E86">
        <w:trPr>
          <w:jc w:val="center"/>
          <w:del w:id="10642" w:author="AbbVie2" w:date="2025-05-13T16:39:00Z"/>
        </w:trPr>
        <w:tc>
          <w:tcPr>
            <w:tcW w:w="4025" w:type="dxa"/>
            <w:tcBorders>
              <w:top w:val="single" w:sz="6" w:space="0" w:color="000000"/>
              <w:left w:val="single" w:sz="6" w:space="0" w:color="000000"/>
              <w:bottom w:val="single" w:sz="4" w:space="0" w:color="auto"/>
              <w:right w:val="single" w:sz="6" w:space="0" w:color="000000"/>
            </w:tcBorders>
          </w:tcPr>
          <w:p w14:paraId="762D7313" w14:textId="026C22D0" w:rsidR="00B925B3" w:rsidRPr="008912CF" w:rsidRDefault="00615769">
            <w:pPr>
              <w:rPr>
                <w:del w:id="10643" w:author="AbbVie2" w:date="2025-05-13T16:39:00Z"/>
                <w:bCs/>
                <w:sz w:val="22"/>
                <w:szCs w:val="22"/>
              </w:rPr>
              <w:pPrChange w:id="10644" w:author="AbbVie2" w:date="2025-05-13T16:40:00Z">
                <w:pPr>
                  <w:keepNext/>
                  <w:keepLines/>
                  <w:tabs>
                    <w:tab w:val="left" w:pos="-1080"/>
                  </w:tabs>
                  <w:autoSpaceDE w:val="0"/>
                  <w:autoSpaceDN w:val="0"/>
                  <w:adjustRightInd w:val="0"/>
                </w:pPr>
              </w:pPrChange>
            </w:pPr>
            <w:del w:id="10645" w:author="AbbVie2" w:date="2025-05-13T16:39:00Z">
              <w:r w:rsidRPr="008912CF">
                <w:rPr>
                  <w:bCs/>
                  <w:sz w:val="22"/>
                  <w:szCs w:val="22"/>
                </w:rPr>
                <w:delText>Semana</w:delText>
              </w:r>
              <w:r w:rsidRPr="008912CF">
                <w:rPr>
                  <w:sz w:val="22"/>
                  <w:szCs w:val="22"/>
                </w:rPr>
                <w:delText xml:space="preserve"> 52</w:delText>
              </w:r>
            </w:del>
          </w:p>
        </w:tc>
        <w:tc>
          <w:tcPr>
            <w:tcW w:w="1656" w:type="dxa"/>
            <w:tcBorders>
              <w:top w:val="single" w:sz="6" w:space="0" w:color="000000"/>
              <w:left w:val="single" w:sz="6" w:space="0" w:color="000000"/>
              <w:bottom w:val="single" w:sz="4" w:space="0" w:color="auto"/>
              <w:right w:val="single" w:sz="6" w:space="0" w:color="000000"/>
            </w:tcBorders>
          </w:tcPr>
          <w:p w14:paraId="48A48727" w14:textId="17B71F32" w:rsidR="00B925B3" w:rsidRPr="008912CF" w:rsidRDefault="00615769">
            <w:pPr>
              <w:rPr>
                <w:del w:id="10646" w:author="AbbVie2" w:date="2025-05-13T16:39:00Z"/>
                <w:sz w:val="22"/>
                <w:szCs w:val="22"/>
              </w:rPr>
              <w:pPrChange w:id="10647" w:author="AbbVie2" w:date="2025-05-13T16:40:00Z">
                <w:pPr>
                  <w:keepNext/>
                  <w:keepLines/>
                  <w:tabs>
                    <w:tab w:val="left" w:pos="-1080"/>
                  </w:tabs>
                  <w:autoSpaceDE w:val="0"/>
                  <w:autoSpaceDN w:val="0"/>
                  <w:adjustRightInd w:val="0"/>
                  <w:ind w:left="15"/>
                  <w:jc w:val="center"/>
                </w:pPr>
              </w:pPrChange>
            </w:pPr>
            <w:del w:id="10648" w:author="AbbVie2" w:date="2025-05-13T16:39:00Z">
              <w:r w:rsidRPr="008912CF">
                <w:rPr>
                  <w:sz w:val="22"/>
                  <w:szCs w:val="22"/>
                </w:rPr>
                <w:delText>40,0%</w:delText>
              </w:r>
            </w:del>
          </w:p>
        </w:tc>
        <w:tc>
          <w:tcPr>
            <w:tcW w:w="1619" w:type="dxa"/>
            <w:tcBorders>
              <w:top w:val="single" w:sz="6" w:space="0" w:color="000000"/>
              <w:left w:val="single" w:sz="6" w:space="0" w:color="000000"/>
              <w:bottom w:val="single" w:sz="4" w:space="0" w:color="auto"/>
              <w:right w:val="single" w:sz="6" w:space="0" w:color="000000"/>
            </w:tcBorders>
          </w:tcPr>
          <w:p w14:paraId="6AE1C8B2" w14:textId="66538045" w:rsidR="00B925B3" w:rsidRPr="008912CF" w:rsidRDefault="00615769">
            <w:pPr>
              <w:rPr>
                <w:del w:id="10649" w:author="AbbVie2" w:date="2025-05-13T16:39:00Z"/>
                <w:sz w:val="22"/>
                <w:szCs w:val="22"/>
              </w:rPr>
              <w:pPrChange w:id="10650" w:author="AbbVie2" w:date="2025-05-13T16:40:00Z">
                <w:pPr>
                  <w:keepNext/>
                  <w:keepLines/>
                  <w:tabs>
                    <w:tab w:val="left" w:pos="-1080"/>
                  </w:tabs>
                  <w:autoSpaceDE w:val="0"/>
                  <w:autoSpaceDN w:val="0"/>
                  <w:adjustRightInd w:val="0"/>
                  <w:ind w:left="15"/>
                  <w:jc w:val="center"/>
                </w:pPr>
              </w:pPrChange>
            </w:pPr>
            <w:del w:id="10651" w:author="AbbVie2" w:date="2025-05-13T16:39:00Z">
              <w:r w:rsidRPr="008912CF">
                <w:rPr>
                  <w:sz w:val="22"/>
                  <w:szCs w:val="22"/>
                </w:rPr>
                <w:delText>23,8%</w:delText>
              </w:r>
            </w:del>
          </w:p>
        </w:tc>
        <w:tc>
          <w:tcPr>
            <w:tcW w:w="1140" w:type="dxa"/>
            <w:tcBorders>
              <w:top w:val="single" w:sz="6" w:space="0" w:color="000000"/>
              <w:left w:val="single" w:sz="6" w:space="0" w:color="000000"/>
              <w:bottom w:val="single" w:sz="4" w:space="0" w:color="auto"/>
              <w:right w:val="single" w:sz="6" w:space="0" w:color="000000"/>
            </w:tcBorders>
          </w:tcPr>
          <w:p w14:paraId="72DD3339" w14:textId="619D5C83" w:rsidR="00B925B3" w:rsidRPr="008912CF" w:rsidRDefault="00615769">
            <w:pPr>
              <w:rPr>
                <w:del w:id="10652" w:author="AbbVie2" w:date="2025-05-13T16:39:00Z"/>
                <w:sz w:val="22"/>
                <w:szCs w:val="22"/>
              </w:rPr>
              <w:pPrChange w:id="10653" w:author="AbbVie2" w:date="2025-05-13T16:40:00Z">
                <w:pPr>
                  <w:keepNext/>
                  <w:keepLines/>
                  <w:tabs>
                    <w:tab w:val="left" w:pos="-1080"/>
                  </w:tabs>
                  <w:autoSpaceDE w:val="0"/>
                  <w:autoSpaceDN w:val="0"/>
                  <w:adjustRightInd w:val="0"/>
                  <w:ind w:left="15"/>
                  <w:jc w:val="center"/>
                </w:pPr>
              </w:pPrChange>
            </w:pPr>
            <w:del w:id="10654" w:author="AbbVie2" w:date="2025-05-13T16:39:00Z">
              <w:r w:rsidRPr="008912CF">
                <w:rPr>
                  <w:sz w:val="22"/>
                  <w:szCs w:val="22"/>
                </w:rPr>
                <w:delText>0,303</w:delText>
              </w:r>
            </w:del>
          </w:p>
        </w:tc>
      </w:tr>
      <w:tr w:rsidR="00A7162A" w14:paraId="60AD348D" w14:textId="3E99916E" w:rsidTr="00D22E86">
        <w:trPr>
          <w:trHeight w:val="177"/>
          <w:jc w:val="center"/>
          <w:del w:id="10655" w:author="AbbVie2" w:date="2025-05-13T16:39:00Z"/>
        </w:trPr>
        <w:tc>
          <w:tcPr>
            <w:tcW w:w="8440" w:type="dxa"/>
            <w:gridSpan w:val="4"/>
            <w:tcBorders>
              <w:top w:val="single" w:sz="4" w:space="0" w:color="auto"/>
            </w:tcBorders>
          </w:tcPr>
          <w:p w14:paraId="2B6C1C17" w14:textId="4B9D3398" w:rsidR="00B925B3" w:rsidRPr="008912CF" w:rsidRDefault="00615769">
            <w:pPr>
              <w:rPr>
                <w:del w:id="10656" w:author="AbbVie2" w:date="2025-05-13T16:39:00Z"/>
                <w:sz w:val="22"/>
                <w:szCs w:val="22"/>
              </w:rPr>
              <w:pPrChange w:id="10657" w:author="AbbVie2" w:date="2025-05-13T16:40:00Z">
                <w:pPr>
                  <w:keepNext/>
                  <w:keepLines/>
                  <w:tabs>
                    <w:tab w:val="left" w:pos="-1080"/>
                  </w:tabs>
                  <w:autoSpaceDE w:val="0"/>
                  <w:autoSpaceDN w:val="0"/>
                  <w:adjustRightInd w:val="0"/>
                </w:pPr>
              </w:pPrChange>
            </w:pPr>
            <w:del w:id="10658" w:author="AbbVie2" w:date="2025-05-13T16:39:00Z">
              <w:r w:rsidRPr="008912CF">
                <w:rPr>
                  <w:sz w:val="22"/>
                  <w:szCs w:val="22"/>
                  <w:vertAlign w:val="superscript"/>
                </w:rPr>
                <w:delText>1</w:delText>
              </w:r>
              <w:r w:rsidRPr="008912CF">
                <w:rPr>
                  <w:sz w:val="22"/>
                  <w:szCs w:val="22"/>
                </w:rPr>
                <w:delText xml:space="preserve">  </w:delText>
              </w:r>
              <w:r w:rsidRPr="008912CF">
                <w:rPr>
                  <w:bCs/>
                  <w:sz w:val="22"/>
                  <w:szCs w:val="22"/>
                </w:rPr>
                <w:delText>valor</w:delText>
              </w:r>
              <w:r>
                <w:rPr>
                  <w:bCs/>
                  <w:sz w:val="22"/>
                  <w:szCs w:val="22"/>
                </w:rPr>
                <w:delText>-p</w:delText>
              </w:r>
              <w:r w:rsidRPr="008912CF">
                <w:rPr>
                  <w:sz w:val="22"/>
                  <w:szCs w:val="22"/>
                </w:rPr>
                <w:delText xml:space="preserve"> para comparação Dose Padrão </w:delText>
              </w:r>
              <w:r w:rsidRPr="008912CF">
                <w:rPr>
                  <w:i/>
                  <w:iCs/>
                  <w:sz w:val="22"/>
                  <w:szCs w:val="22"/>
                </w:rPr>
                <w:delText>versus</w:delText>
              </w:r>
              <w:r w:rsidRPr="008912CF">
                <w:rPr>
                  <w:sz w:val="22"/>
                  <w:szCs w:val="22"/>
                </w:rPr>
                <w:delText xml:space="preserve"> Baixa Dose.</w:delText>
              </w:r>
            </w:del>
          </w:p>
          <w:p w14:paraId="6D7E5C8B" w14:textId="2E8DEF85" w:rsidR="00B925B3" w:rsidRPr="008912CF" w:rsidRDefault="00615769">
            <w:pPr>
              <w:rPr>
                <w:del w:id="10659" w:author="AbbVie2" w:date="2025-05-13T16:39:00Z"/>
                <w:sz w:val="22"/>
                <w:szCs w:val="22"/>
              </w:rPr>
              <w:pPrChange w:id="10660" w:author="AbbVie2" w:date="2025-05-13T16:40:00Z">
                <w:pPr>
                  <w:keepNext/>
                  <w:keepLines/>
                  <w:tabs>
                    <w:tab w:val="left" w:pos="-1080"/>
                  </w:tabs>
                  <w:autoSpaceDE w:val="0"/>
                  <w:autoSpaceDN w:val="0"/>
                  <w:adjustRightInd w:val="0"/>
                </w:pPr>
              </w:pPrChange>
            </w:pPr>
            <w:del w:id="10661" w:author="AbbVie2" w:date="2025-05-13T16:39:00Z">
              <w:r w:rsidRPr="008912CF">
                <w:rPr>
                  <w:sz w:val="22"/>
                  <w:szCs w:val="22"/>
                  <w:vertAlign w:val="superscript"/>
                </w:rPr>
                <w:delText xml:space="preserve"> 2</w:delText>
              </w:r>
              <w:r w:rsidRPr="008912CF">
                <w:rPr>
                  <w:sz w:val="22"/>
                  <w:szCs w:val="22"/>
                </w:rPr>
                <w:delText xml:space="preserve">  Terapêutica imunossupressora só pode ser descontinuada durante ou após a Semana 26, a critério do investigador, se o doente alcançar o critério de resposta clínica. </w:delText>
              </w:r>
            </w:del>
          </w:p>
          <w:p w14:paraId="23B1378F" w14:textId="009A6822" w:rsidR="00B925B3" w:rsidRPr="008912CF" w:rsidRDefault="00615769">
            <w:pPr>
              <w:rPr>
                <w:del w:id="10662" w:author="AbbVie2" w:date="2025-05-13T16:39:00Z"/>
                <w:sz w:val="22"/>
                <w:szCs w:val="22"/>
              </w:rPr>
              <w:pPrChange w:id="10663" w:author="AbbVie2" w:date="2025-05-13T16:40:00Z">
                <w:pPr>
                  <w:keepNext/>
                  <w:keepLines/>
                  <w:tabs>
                    <w:tab w:val="left" w:pos="-1080"/>
                  </w:tabs>
                  <w:autoSpaceDE w:val="0"/>
                  <w:autoSpaceDN w:val="0"/>
                  <w:adjustRightInd w:val="0"/>
                </w:pPr>
              </w:pPrChange>
            </w:pPr>
            <w:del w:id="10664" w:author="AbbVie2" w:date="2025-05-13T16:39:00Z">
              <w:r w:rsidRPr="008912CF">
                <w:rPr>
                  <w:sz w:val="22"/>
                  <w:szCs w:val="22"/>
                  <w:vertAlign w:val="superscript"/>
                </w:rPr>
                <w:delText>3</w:delText>
              </w:r>
              <w:r w:rsidRPr="008912CF">
                <w:rPr>
                  <w:sz w:val="22"/>
                  <w:szCs w:val="22"/>
                </w:rPr>
                <w:delText xml:space="preserve">  definida como encerramento de todas as f</w:delText>
              </w:r>
              <w:r>
                <w:rPr>
                  <w:sz w:val="22"/>
                  <w:szCs w:val="22"/>
                </w:rPr>
                <w:delText>í</w:delText>
              </w:r>
              <w:r w:rsidRPr="008912CF">
                <w:rPr>
                  <w:sz w:val="22"/>
                  <w:szCs w:val="22"/>
                </w:rPr>
                <w:delText>stulas, que estavam a drenar no início do estudo, em pelo menos 2 visitas consecutivas após o início do estudo</w:delText>
              </w:r>
            </w:del>
          </w:p>
        </w:tc>
      </w:tr>
    </w:tbl>
    <w:p w14:paraId="6FC5E9A0" w14:textId="246D01D4" w:rsidR="00B925B3" w:rsidRPr="008912CF" w:rsidRDefault="00B925B3" w:rsidP="00412FC8">
      <w:pPr>
        <w:rPr>
          <w:del w:id="10665" w:author="AbbVie2" w:date="2025-05-13T16:39:00Z"/>
          <w:sz w:val="22"/>
          <w:szCs w:val="22"/>
        </w:rPr>
      </w:pPr>
    </w:p>
    <w:p w14:paraId="16A08841" w14:textId="54051249" w:rsidR="00B925B3" w:rsidRPr="008912CF" w:rsidRDefault="00615769">
      <w:pPr>
        <w:rPr>
          <w:del w:id="10666" w:author="AbbVie2" w:date="2025-05-13T16:39:00Z"/>
          <w:sz w:val="22"/>
          <w:szCs w:val="22"/>
        </w:rPr>
        <w:pPrChange w:id="10667" w:author="AbbVie2" w:date="2025-05-13T16:40:00Z">
          <w:pPr>
            <w:keepLines/>
            <w:tabs>
              <w:tab w:val="left" w:pos="-1080"/>
            </w:tabs>
            <w:autoSpaceDE w:val="0"/>
            <w:autoSpaceDN w:val="0"/>
            <w:adjustRightInd w:val="0"/>
          </w:pPr>
        </w:pPrChange>
      </w:pPr>
      <w:del w:id="10668" w:author="AbbVie2" w:date="2025-05-13T16:39:00Z">
        <w:r w:rsidRPr="008912CF">
          <w:rPr>
            <w:sz w:val="22"/>
            <w:szCs w:val="22"/>
          </w:rPr>
          <w:delText>Foram observados aumentos estatisticamente significativos (melhoria) do Índice de Massa Corporal e da velocidade de crescimento em ambos os grupos de tratamento, desde o início do estudo até à Semana</w:delText>
        </w:r>
        <w:r>
          <w:rPr>
            <w:sz w:val="22"/>
            <w:szCs w:val="22"/>
          </w:rPr>
          <w:delText>s</w:delText>
        </w:r>
        <w:r w:rsidRPr="008912CF">
          <w:rPr>
            <w:sz w:val="22"/>
            <w:szCs w:val="22"/>
          </w:rPr>
          <w:delText xml:space="preserve"> 26 e 52.</w:delText>
        </w:r>
      </w:del>
    </w:p>
    <w:p w14:paraId="2797D319" w14:textId="619B6A76" w:rsidR="00B925B3" w:rsidRPr="008912CF" w:rsidRDefault="00B925B3">
      <w:pPr>
        <w:rPr>
          <w:del w:id="10669" w:author="AbbVie2" w:date="2025-05-13T16:39:00Z"/>
          <w:sz w:val="22"/>
          <w:szCs w:val="22"/>
        </w:rPr>
        <w:pPrChange w:id="10670" w:author="AbbVie2" w:date="2025-05-13T16:40:00Z">
          <w:pPr>
            <w:keepLines/>
            <w:tabs>
              <w:tab w:val="left" w:pos="-1080"/>
            </w:tabs>
            <w:autoSpaceDE w:val="0"/>
            <w:autoSpaceDN w:val="0"/>
            <w:adjustRightInd w:val="0"/>
          </w:pPr>
        </w:pPrChange>
      </w:pPr>
    </w:p>
    <w:p w14:paraId="068A2361" w14:textId="75D9BADA" w:rsidR="00B925B3" w:rsidRPr="008912CF" w:rsidRDefault="00615769" w:rsidP="00412FC8">
      <w:pPr>
        <w:rPr>
          <w:del w:id="10671" w:author="AbbVie2" w:date="2025-05-13T16:39:00Z"/>
          <w:sz w:val="22"/>
          <w:szCs w:val="22"/>
        </w:rPr>
      </w:pPr>
      <w:del w:id="10672" w:author="AbbVie2" w:date="2025-05-13T16:39:00Z">
        <w:r w:rsidRPr="008912CF">
          <w:rPr>
            <w:sz w:val="22"/>
            <w:szCs w:val="22"/>
          </w:rPr>
          <w:delText>Foram também observadas melhorias estatisticamente e clinicamente significativas nos parâmetros de qualidade de vida (incluindo IMPACT III) em ambos os grupos de tratamento.</w:delText>
        </w:r>
      </w:del>
    </w:p>
    <w:p w14:paraId="7C7BE3AD" w14:textId="3CE22D37" w:rsidR="00B925B3" w:rsidRPr="008912CF" w:rsidRDefault="00B925B3" w:rsidP="00412FC8">
      <w:pPr>
        <w:rPr>
          <w:del w:id="10673" w:author="AbbVie2" w:date="2025-05-13T16:39:00Z"/>
          <w:b/>
          <w:bCs/>
          <w:sz w:val="22"/>
          <w:szCs w:val="22"/>
        </w:rPr>
      </w:pPr>
    </w:p>
    <w:p w14:paraId="37DA60D4" w14:textId="5B98D9D0" w:rsidR="00B925B3" w:rsidRPr="008912CF" w:rsidRDefault="00615769" w:rsidP="00412FC8">
      <w:pPr>
        <w:rPr>
          <w:del w:id="10674" w:author="AbbVie2" w:date="2025-05-13T16:39:00Z"/>
          <w:b/>
          <w:bCs/>
          <w:sz w:val="22"/>
          <w:szCs w:val="22"/>
        </w:rPr>
      </w:pPr>
      <w:del w:id="10675" w:author="AbbVie2" w:date="2025-05-13T16:39:00Z">
        <w:r w:rsidRPr="008912CF">
          <w:rPr>
            <w:sz w:val="22"/>
            <w:szCs w:val="22"/>
          </w:rPr>
          <w:delText>Cem (n=100) doentes do Estudo de DC Pediátrica continuaram num estudo a longo prazo de extensão de fase aberta. Após 5 anos de tratamento com adalimumab, 74,0</w:delText>
        </w:r>
        <w:r>
          <w:rPr>
            <w:sz w:val="22"/>
            <w:szCs w:val="22"/>
          </w:rPr>
          <w:delText>%</w:delText>
        </w:r>
        <w:r w:rsidRPr="008912CF">
          <w:rPr>
            <w:sz w:val="22"/>
            <w:szCs w:val="22"/>
          </w:rPr>
          <w:delText xml:space="preserve"> (37/50) dos 50 doentes que permaneceram no estudo continuaram em remissão clínica e 92,0</w:delText>
        </w:r>
        <w:r>
          <w:rPr>
            <w:sz w:val="22"/>
            <w:szCs w:val="22"/>
          </w:rPr>
          <w:delText>%</w:delText>
        </w:r>
        <w:r w:rsidRPr="008912CF">
          <w:rPr>
            <w:sz w:val="22"/>
            <w:szCs w:val="22"/>
          </w:rPr>
          <w:delText xml:space="preserve"> (46/50) dos doentes mantiveram resposta clínica segundo a escala PCDAI.  </w:delText>
        </w:r>
      </w:del>
    </w:p>
    <w:p w14:paraId="4FC17DF4" w14:textId="11E8F17C" w:rsidR="0057678E" w:rsidRDefault="0057678E" w:rsidP="00412FC8">
      <w:pPr>
        <w:rPr>
          <w:del w:id="10676" w:author="AbbVie2" w:date="2025-05-13T16:39:00Z"/>
          <w:sz w:val="22"/>
          <w:szCs w:val="22"/>
        </w:rPr>
      </w:pPr>
    </w:p>
    <w:p w14:paraId="4D09EAC8" w14:textId="71767911" w:rsidR="0057678E" w:rsidRPr="00AA6D42" w:rsidRDefault="00615769">
      <w:pPr>
        <w:rPr>
          <w:del w:id="10677" w:author="AbbVie2" w:date="2025-05-13T16:39:00Z"/>
          <w:bCs/>
          <w:i/>
          <w:sz w:val="22"/>
          <w:szCs w:val="22"/>
        </w:rPr>
        <w:pPrChange w:id="10678" w:author="AbbVie2" w:date="2025-05-13T16:40:00Z">
          <w:pPr>
            <w:keepNext/>
          </w:pPr>
        </w:pPrChange>
      </w:pPr>
      <w:del w:id="10679" w:author="AbbVie2" w:date="2025-05-13T16:39:00Z">
        <w:r w:rsidRPr="00AA6D42">
          <w:rPr>
            <w:bCs/>
            <w:i/>
            <w:sz w:val="22"/>
            <w:szCs w:val="22"/>
          </w:rPr>
          <w:delText>Colite ulcerosa pediátrica</w:delText>
        </w:r>
      </w:del>
    </w:p>
    <w:p w14:paraId="1080DF23" w14:textId="690F7610" w:rsidR="0057678E" w:rsidRPr="00AA6D42" w:rsidRDefault="0057678E">
      <w:pPr>
        <w:rPr>
          <w:del w:id="10680" w:author="AbbVie2" w:date="2025-05-13T16:39:00Z"/>
          <w:bCs/>
          <w:i/>
          <w:sz w:val="22"/>
          <w:szCs w:val="22"/>
        </w:rPr>
        <w:pPrChange w:id="10681" w:author="AbbVie2" w:date="2025-05-13T16:40:00Z">
          <w:pPr>
            <w:keepNext/>
          </w:pPr>
        </w:pPrChange>
      </w:pPr>
    </w:p>
    <w:p w14:paraId="3AFD0B72" w14:textId="70E26F07" w:rsidR="0057678E" w:rsidRPr="00AA6D42" w:rsidRDefault="00615769" w:rsidP="00412FC8">
      <w:pPr>
        <w:rPr>
          <w:del w:id="10682" w:author="AbbVie2" w:date="2025-05-13T16:39:00Z"/>
          <w:sz w:val="22"/>
          <w:szCs w:val="22"/>
        </w:rPr>
      </w:pPr>
      <w:del w:id="10683" w:author="AbbVie2" w:date="2025-05-13T16:39:00Z">
        <w:r w:rsidRPr="00AA6D42">
          <w:rPr>
            <w:sz w:val="22"/>
            <w:szCs w:val="22"/>
          </w:rPr>
          <w:delText>A segurança e eficácia de Humira foram avaliadas num ensaio multicêntrico, aleatorizado, em dupla ocultação, em 93 doentes pediátricos com idades compreendidas entre os 5 e os 17 anos com colite ulcerosa moderada a grave (pontuação Mayo de 6 a 12 com subpontuação endoscópica de 2 a 3 pontos, confirmada por endoscopia avaliada centralmente) que apresentavam uma resposta inadequada ou intolerância à terapêutica convencional. Aproximadamente 16% dos doentes no estudo não tinham respondido à terap</w:delText>
        </w:r>
        <w:r>
          <w:rPr>
            <w:sz w:val="22"/>
            <w:szCs w:val="22"/>
          </w:rPr>
          <w:delText xml:space="preserve">êutica prévia com </w:delText>
        </w:r>
        <w:r w:rsidR="00A63F1F">
          <w:rPr>
            <w:sz w:val="22"/>
            <w:szCs w:val="22"/>
          </w:rPr>
          <w:delText>um anti</w:delText>
        </w:r>
        <w:r>
          <w:rPr>
            <w:sz w:val="22"/>
            <w:szCs w:val="22"/>
          </w:rPr>
          <w:noBreakHyphen/>
        </w:r>
        <w:r w:rsidRPr="00AA6D42">
          <w:rPr>
            <w:sz w:val="22"/>
            <w:szCs w:val="22"/>
          </w:rPr>
          <w:delText xml:space="preserve">TNF. Foi permitido que os doentes que recebiam corticosteroides no momento </w:delText>
        </w:r>
        <w:r w:rsidR="0016077D">
          <w:rPr>
            <w:sz w:val="22"/>
            <w:szCs w:val="22"/>
          </w:rPr>
          <w:delText>do recrutamento</w:delText>
        </w:r>
        <w:r w:rsidRPr="00AA6D42">
          <w:rPr>
            <w:sz w:val="22"/>
            <w:szCs w:val="22"/>
          </w:rPr>
          <w:delText xml:space="preserve"> reduzissem a terapêutica com corticosteroides após a Semana 4.</w:delText>
        </w:r>
      </w:del>
    </w:p>
    <w:p w14:paraId="18ACE411" w14:textId="39CA5D20" w:rsidR="0057678E" w:rsidRPr="00AA6D42" w:rsidRDefault="0057678E" w:rsidP="00412FC8">
      <w:pPr>
        <w:rPr>
          <w:del w:id="10684" w:author="AbbVie2" w:date="2025-05-13T16:39:00Z"/>
          <w:sz w:val="22"/>
          <w:szCs w:val="22"/>
        </w:rPr>
      </w:pPr>
    </w:p>
    <w:p w14:paraId="3BB616E0" w14:textId="6BBFBDC1" w:rsidR="002F486F" w:rsidRPr="00AA6D42" w:rsidRDefault="00615769" w:rsidP="00412FC8">
      <w:pPr>
        <w:rPr>
          <w:del w:id="10685" w:author="AbbVie2" w:date="2025-05-13T16:39:00Z"/>
          <w:sz w:val="22"/>
          <w:szCs w:val="22"/>
        </w:rPr>
      </w:pPr>
      <w:del w:id="10686" w:author="AbbVie2" w:date="2025-05-13T16:39:00Z">
        <w:r w:rsidRPr="00AA6D42">
          <w:rPr>
            <w:rStyle w:val="normaltextrun"/>
            <w:sz w:val="22"/>
            <w:szCs w:val="22"/>
            <w:shd w:val="clear" w:color="auto" w:fill="FFFFFF"/>
          </w:rPr>
          <w:delText>No período de indução do estudo, 77 doentes foram aleatorizados numa proporção de 3:2 para receberem o tratamento em dupla ocultação com Humira numa dose de indução de 2,4 mg/kg (máximo</w:delText>
        </w:r>
        <w:r>
          <w:rPr>
            <w:rStyle w:val="normaltextrun"/>
            <w:sz w:val="22"/>
            <w:szCs w:val="22"/>
            <w:shd w:val="clear" w:color="auto" w:fill="FFFFFF"/>
          </w:rPr>
          <w:delText xml:space="preserve"> de </w:delText>
        </w:r>
        <w:r w:rsidRPr="00AA6D42">
          <w:rPr>
            <w:rStyle w:val="normaltextrun"/>
            <w:sz w:val="22"/>
            <w:szCs w:val="22"/>
            <w:shd w:val="clear" w:color="auto" w:fill="FFFFFF"/>
          </w:rPr>
          <w:delText xml:space="preserve">160 mg) na Semana 0 e </w:delText>
        </w:r>
        <w:r>
          <w:rPr>
            <w:rStyle w:val="normaltextrun"/>
            <w:sz w:val="22"/>
            <w:szCs w:val="22"/>
            <w:shd w:val="clear" w:color="auto" w:fill="FFFFFF"/>
          </w:rPr>
          <w:delText xml:space="preserve">na </w:delText>
        </w:r>
        <w:r w:rsidRPr="00AA6D42">
          <w:rPr>
            <w:rStyle w:val="normaltextrun"/>
            <w:sz w:val="22"/>
            <w:szCs w:val="22"/>
            <w:shd w:val="clear" w:color="auto" w:fill="FFFFFF"/>
          </w:rPr>
          <w:delText>Semana 1, e de 1,2 mg/kg (</w:delText>
        </w:r>
        <w:r>
          <w:rPr>
            <w:rStyle w:val="normaltextrun"/>
            <w:sz w:val="22"/>
            <w:szCs w:val="22"/>
            <w:shd w:val="clear" w:color="auto" w:fill="FFFFFF"/>
          </w:rPr>
          <w:delText>máximo de </w:delText>
        </w:r>
        <w:r w:rsidRPr="00AA6D42">
          <w:rPr>
            <w:rStyle w:val="normaltextrun"/>
            <w:sz w:val="22"/>
            <w:szCs w:val="22"/>
            <w:shd w:val="clear" w:color="auto" w:fill="FFFFFF"/>
          </w:rPr>
          <w:delText>80 mg) na Semana 2; ou numa dose de indução de 2,4 mg/kg (</w:delText>
        </w:r>
        <w:r>
          <w:rPr>
            <w:rStyle w:val="normaltextrun"/>
            <w:sz w:val="22"/>
            <w:szCs w:val="22"/>
            <w:shd w:val="clear" w:color="auto" w:fill="FFFFFF"/>
          </w:rPr>
          <w:delText>máximo de </w:delText>
        </w:r>
        <w:r w:rsidRPr="00AA6D42">
          <w:rPr>
            <w:rStyle w:val="normaltextrun"/>
            <w:sz w:val="22"/>
            <w:szCs w:val="22"/>
            <w:shd w:val="clear" w:color="auto" w:fill="FFFFFF"/>
          </w:rPr>
          <w:delText>160 mg) na Semana 0, placebo na Semana 1, e 1,2 mg/kg (máximo</w:delText>
        </w:r>
        <w:r>
          <w:rPr>
            <w:rStyle w:val="normaltextrun"/>
            <w:sz w:val="22"/>
            <w:szCs w:val="22"/>
            <w:shd w:val="clear" w:color="auto" w:fill="FFFFFF"/>
          </w:rPr>
          <w:delText xml:space="preserve"> de </w:delText>
        </w:r>
        <w:r w:rsidRPr="00AA6D42">
          <w:rPr>
            <w:rStyle w:val="normaltextrun"/>
            <w:sz w:val="22"/>
            <w:szCs w:val="22"/>
            <w:shd w:val="clear" w:color="auto" w:fill="FFFFFF"/>
          </w:rPr>
          <w:delText>80 mg) na Semana 2. Ambos os grupos receberam 0,6 mg/kg (máximo</w:delText>
        </w:r>
        <w:r>
          <w:rPr>
            <w:rStyle w:val="normaltextrun"/>
            <w:sz w:val="22"/>
            <w:szCs w:val="22"/>
            <w:shd w:val="clear" w:color="auto" w:fill="FFFFFF"/>
          </w:rPr>
          <w:delText xml:space="preserve"> de </w:delText>
        </w:r>
        <w:r w:rsidRPr="00AA6D42">
          <w:rPr>
            <w:rStyle w:val="normaltextrun"/>
            <w:sz w:val="22"/>
            <w:szCs w:val="22"/>
            <w:shd w:val="clear" w:color="auto" w:fill="FFFFFF"/>
          </w:rPr>
          <w:delText xml:space="preserve">40 mg) na Semana 4 e na Semana 6. Após uma alteração </w:delText>
        </w:r>
        <w:r>
          <w:rPr>
            <w:rStyle w:val="normaltextrun"/>
            <w:sz w:val="22"/>
            <w:szCs w:val="22"/>
            <w:shd w:val="clear" w:color="auto" w:fill="FFFFFF"/>
          </w:rPr>
          <w:delText>ao desenho</w:delText>
        </w:r>
        <w:r w:rsidRPr="00AA6D42">
          <w:rPr>
            <w:rStyle w:val="normaltextrun"/>
            <w:sz w:val="22"/>
            <w:szCs w:val="22"/>
            <w:shd w:val="clear" w:color="auto" w:fill="FFFFFF"/>
          </w:rPr>
          <w:delText xml:space="preserve"> do estudo, os restantes 16 doentes </w:delText>
        </w:r>
        <w:r>
          <w:rPr>
            <w:rStyle w:val="normaltextrun"/>
            <w:sz w:val="22"/>
            <w:szCs w:val="22"/>
            <w:shd w:val="clear" w:color="auto" w:fill="FFFFFF"/>
          </w:rPr>
          <w:delText>envolvidos</w:delText>
        </w:r>
        <w:r w:rsidRPr="00AA6D42">
          <w:rPr>
            <w:rStyle w:val="normaltextrun"/>
            <w:sz w:val="22"/>
            <w:szCs w:val="22"/>
            <w:shd w:val="clear" w:color="auto" w:fill="FFFFFF"/>
          </w:rPr>
          <w:delText xml:space="preserve"> no período de indução receberam tratamento </w:delText>
        </w:r>
        <w:r>
          <w:rPr>
            <w:rStyle w:val="normaltextrun"/>
            <w:sz w:val="22"/>
            <w:szCs w:val="22"/>
            <w:shd w:val="clear" w:color="auto" w:fill="FFFFFF"/>
          </w:rPr>
          <w:delText>em fase aberta</w:delText>
        </w:r>
        <w:r w:rsidRPr="00AA6D42">
          <w:rPr>
            <w:rStyle w:val="normaltextrun"/>
            <w:sz w:val="22"/>
            <w:szCs w:val="22"/>
            <w:shd w:val="clear" w:color="auto" w:fill="FFFFFF"/>
          </w:rPr>
          <w:delText xml:space="preserve"> com Humira numa dose de indução de 2,4 mg/kg (</w:delText>
        </w:r>
        <w:r>
          <w:rPr>
            <w:rStyle w:val="normaltextrun"/>
            <w:sz w:val="22"/>
            <w:szCs w:val="22"/>
            <w:shd w:val="clear" w:color="auto" w:fill="FFFFFF"/>
          </w:rPr>
          <w:delText>máximo de </w:delText>
        </w:r>
        <w:r w:rsidRPr="00AA6D42">
          <w:rPr>
            <w:rStyle w:val="normaltextrun"/>
            <w:sz w:val="22"/>
            <w:szCs w:val="22"/>
            <w:shd w:val="clear" w:color="auto" w:fill="FFFFFF"/>
          </w:rPr>
          <w:delText xml:space="preserve">160 mg) na Semana 0 e </w:delText>
        </w:r>
        <w:r>
          <w:rPr>
            <w:rStyle w:val="normaltextrun"/>
            <w:sz w:val="22"/>
            <w:szCs w:val="22"/>
            <w:shd w:val="clear" w:color="auto" w:fill="FFFFFF"/>
          </w:rPr>
          <w:delText xml:space="preserve">na </w:delText>
        </w:r>
        <w:r w:rsidRPr="00AA6D42">
          <w:rPr>
            <w:rStyle w:val="normaltextrun"/>
            <w:sz w:val="22"/>
            <w:szCs w:val="22"/>
            <w:shd w:val="clear" w:color="auto" w:fill="FFFFFF"/>
          </w:rPr>
          <w:delText>Sema</w:delText>
        </w:r>
        <w:r>
          <w:rPr>
            <w:rStyle w:val="normaltextrun"/>
            <w:sz w:val="22"/>
            <w:szCs w:val="22"/>
            <w:shd w:val="clear" w:color="auto" w:fill="FFFFFF"/>
          </w:rPr>
          <w:delText>na 1, e de 1,2 mg/kg (m</w:delText>
        </w:r>
        <w:r>
          <w:rPr>
            <w:rStyle w:val="normaltextrun"/>
            <w:sz w:val="22"/>
            <w:szCs w:val="22"/>
            <w:shd w:val="clear" w:color="auto" w:fill="FFFFFF"/>
          </w:rPr>
          <w:delText>áximo de </w:delText>
        </w:r>
        <w:r w:rsidRPr="00AA6D42">
          <w:rPr>
            <w:rStyle w:val="normaltextrun"/>
            <w:sz w:val="22"/>
            <w:szCs w:val="22"/>
            <w:shd w:val="clear" w:color="auto" w:fill="FFFFFF"/>
          </w:rPr>
          <w:delText>80 mg) na Semana 2.</w:delText>
        </w:r>
        <w:r w:rsidRPr="00AA6D42">
          <w:rPr>
            <w:rStyle w:val="eop"/>
            <w:sz w:val="22"/>
            <w:szCs w:val="22"/>
            <w:shd w:val="clear" w:color="auto" w:fill="FFFFFF"/>
          </w:rPr>
          <w:delText> </w:delText>
        </w:r>
      </w:del>
    </w:p>
    <w:p w14:paraId="539859C7" w14:textId="35DF8B93" w:rsidR="002F486F" w:rsidRPr="00AA6D42" w:rsidRDefault="002F486F" w:rsidP="00412FC8">
      <w:pPr>
        <w:rPr>
          <w:del w:id="10687" w:author="AbbVie2" w:date="2025-05-13T16:39:00Z"/>
          <w:sz w:val="22"/>
          <w:szCs w:val="22"/>
        </w:rPr>
      </w:pPr>
    </w:p>
    <w:p w14:paraId="16B90F4C" w14:textId="17D08360" w:rsidR="002F486F" w:rsidRPr="00AA6D42" w:rsidRDefault="00615769" w:rsidP="00412FC8">
      <w:pPr>
        <w:rPr>
          <w:del w:id="10688" w:author="AbbVie2" w:date="2025-05-13T16:39:00Z"/>
          <w:rStyle w:val="eop"/>
          <w:sz w:val="22"/>
          <w:szCs w:val="22"/>
          <w:shd w:val="clear" w:color="auto" w:fill="FFFFFF"/>
        </w:rPr>
      </w:pPr>
      <w:del w:id="10689" w:author="AbbVie2" w:date="2025-05-13T16:39:00Z">
        <w:r w:rsidRPr="00AA6D42">
          <w:rPr>
            <w:rStyle w:val="normaltextrun"/>
            <w:sz w:val="22"/>
            <w:szCs w:val="22"/>
            <w:shd w:val="clear" w:color="auto" w:fill="FFFFFF"/>
          </w:rPr>
          <w:delText xml:space="preserve">Na Semana 8, 62 doentes que demonstraram resposta clínica de acordo com a pontuação parcial de Mayo (PMS; definida como uma diminuição na PMS ≥ 2 pontos e ≥ 30% em comparação com os valores </w:delText>
        </w:r>
        <w:r>
          <w:rPr>
            <w:rStyle w:val="normaltextrun"/>
            <w:sz w:val="22"/>
            <w:szCs w:val="22"/>
            <w:shd w:val="clear" w:color="auto" w:fill="FFFFFF"/>
          </w:rPr>
          <w:delText>iniciais</w:delText>
        </w:r>
        <w:r w:rsidRPr="00AA6D42">
          <w:rPr>
            <w:rStyle w:val="normaltextrun"/>
            <w:sz w:val="22"/>
            <w:szCs w:val="22"/>
            <w:shd w:val="clear" w:color="auto" w:fill="FFFFFF"/>
          </w:rPr>
          <w:delText>) foram aleatorizados para receberem tratamento de manutenção em dupla ocultação com Humira numa dose de 0,6 mg/kg (</w:delText>
        </w:r>
        <w:r>
          <w:rPr>
            <w:rStyle w:val="normaltextrun"/>
            <w:sz w:val="22"/>
            <w:szCs w:val="22"/>
            <w:shd w:val="clear" w:color="auto" w:fill="FFFFFF"/>
          </w:rPr>
          <w:delText>máximo de 40 mg) semanalmente</w:delText>
        </w:r>
        <w:r w:rsidRPr="00AA6D42">
          <w:rPr>
            <w:rStyle w:val="normaltextrun"/>
            <w:sz w:val="22"/>
            <w:szCs w:val="22"/>
            <w:shd w:val="clear" w:color="auto" w:fill="FFFFFF"/>
          </w:rPr>
          <w:delText xml:space="preserve">, ou </w:delText>
        </w:r>
        <w:r>
          <w:rPr>
            <w:rStyle w:val="normaltextrun"/>
            <w:sz w:val="22"/>
            <w:szCs w:val="22"/>
            <w:shd w:val="clear" w:color="auto" w:fill="FFFFFF"/>
          </w:rPr>
          <w:delText>n</w:delText>
        </w:r>
        <w:r w:rsidRPr="00AA6D42">
          <w:rPr>
            <w:rStyle w:val="normaltextrun"/>
            <w:sz w:val="22"/>
            <w:szCs w:val="22"/>
            <w:shd w:val="clear" w:color="auto" w:fill="FFFFFF"/>
          </w:rPr>
          <w:delText>uma dose de manutenção de 0,6 mg/kg (</w:delText>
        </w:r>
        <w:r>
          <w:rPr>
            <w:rStyle w:val="normaltextrun"/>
            <w:sz w:val="22"/>
            <w:szCs w:val="22"/>
            <w:shd w:val="clear" w:color="auto" w:fill="FFFFFF"/>
          </w:rPr>
          <w:delText>máximo</w:delText>
        </w:r>
        <w:r w:rsidRPr="00AA6D42">
          <w:rPr>
            <w:rStyle w:val="normaltextrun"/>
            <w:sz w:val="22"/>
            <w:szCs w:val="22"/>
            <w:shd w:val="clear" w:color="auto" w:fill="FFFFFF"/>
          </w:rPr>
          <w:delText xml:space="preserve"> d</w:delText>
        </w:r>
        <w:r>
          <w:rPr>
            <w:rStyle w:val="normaltextrun"/>
            <w:sz w:val="22"/>
            <w:szCs w:val="22"/>
            <w:shd w:val="clear" w:color="auto" w:fill="FFFFFF"/>
          </w:rPr>
          <w:delText>e 40 mg) em semanas alternadas</w:delText>
        </w:r>
        <w:r w:rsidRPr="00AA6D42">
          <w:rPr>
            <w:rStyle w:val="normaltextrun"/>
            <w:sz w:val="22"/>
            <w:szCs w:val="22"/>
            <w:shd w:val="clear" w:color="auto" w:fill="FFFFFF"/>
          </w:rPr>
          <w:delText xml:space="preserve">. Antes de uma alteração </w:delText>
        </w:r>
        <w:r>
          <w:rPr>
            <w:rStyle w:val="normaltextrun"/>
            <w:sz w:val="22"/>
            <w:szCs w:val="22"/>
            <w:shd w:val="clear" w:color="auto" w:fill="FFFFFF"/>
          </w:rPr>
          <w:delText xml:space="preserve">ao desenho </w:delText>
        </w:r>
        <w:r w:rsidRPr="00AA6D42">
          <w:rPr>
            <w:rStyle w:val="normaltextrun"/>
            <w:sz w:val="22"/>
            <w:szCs w:val="22"/>
            <w:shd w:val="clear" w:color="auto" w:fill="FFFFFF"/>
          </w:rPr>
          <w:delText xml:space="preserve">do estudo, 12 doentes adicionais que demonstraram resposta clínica de acordo com a PMS foram aleatorizados para receberem placebo, mas não foram incluídos na análise </w:delText>
        </w:r>
        <w:r>
          <w:rPr>
            <w:rStyle w:val="normaltextrun"/>
            <w:sz w:val="22"/>
            <w:szCs w:val="22"/>
            <w:shd w:val="clear" w:color="auto" w:fill="FFFFFF"/>
          </w:rPr>
          <w:delText>confirmatória</w:delText>
        </w:r>
        <w:r w:rsidRPr="00AA6D42">
          <w:rPr>
            <w:rStyle w:val="normaltextrun"/>
            <w:sz w:val="22"/>
            <w:szCs w:val="22"/>
            <w:shd w:val="clear" w:color="auto" w:fill="FFFFFF"/>
          </w:rPr>
          <w:delText xml:space="preserve"> da eficácia.</w:delText>
        </w:r>
      </w:del>
    </w:p>
    <w:p w14:paraId="548C8E94" w14:textId="354CA81B" w:rsidR="0057678E" w:rsidRPr="00AA6D42" w:rsidRDefault="0057678E" w:rsidP="00412FC8">
      <w:pPr>
        <w:rPr>
          <w:del w:id="10690" w:author="AbbVie2" w:date="2025-05-13T16:39:00Z"/>
          <w:sz w:val="22"/>
          <w:szCs w:val="22"/>
        </w:rPr>
      </w:pPr>
    </w:p>
    <w:p w14:paraId="2F46B7E8" w14:textId="3BE92631" w:rsidR="0057678E" w:rsidRPr="00675DF0" w:rsidRDefault="00615769" w:rsidP="00412FC8">
      <w:pPr>
        <w:rPr>
          <w:del w:id="10691" w:author="AbbVie2" w:date="2025-05-13T16:39:00Z"/>
          <w:sz w:val="22"/>
          <w:szCs w:val="22"/>
        </w:rPr>
      </w:pPr>
      <w:del w:id="10692" w:author="AbbVie2" w:date="2025-05-13T16:39:00Z">
        <w:r w:rsidRPr="00675DF0">
          <w:rPr>
            <w:sz w:val="22"/>
            <w:szCs w:val="22"/>
          </w:rPr>
          <w:delText>O agravamento da doença foi definido como um aumento na PMS de, pelo menos, 3 pontos (para doentes com uma PMS de 0 a 2 na Semana 8), 2 pontos (para doentes com uma PMS de 3 a 4 na Semana 8) ou 1 ponto (para doentes com uma PMS de 5 a 6 na Semana 8). </w:delText>
        </w:r>
      </w:del>
    </w:p>
    <w:p w14:paraId="470A0796" w14:textId="7A6B0029" w:rsidR="0057678E" w:rsidRPr="00675DF0" w:rsidRDefault="0057678E" w:rsidP="00412FC8">
      <w:pPr>
        <w:rPr>
          <w:del w:id="10693" w:author="AbbVie2" w:date="2025-05-13T16:39:00Z"/>
          <w:sz w:val="22"/>
          <w:szCs w:val="22"/>
        </w:rPr>
      </w:pPr>
    </w:p>
    <w:p w14:paraId="66D1EA32" w14:textId="77ADA7E9" w:rsidR="0057678E" w:rsidRPr="00675DF0" w:rsidRDefault="00615769" w:rsidP="00412FC8">
      <w:pPr>
        <w:rPr>
          <w:del w:id="10694" w:author="AbbVie2" w:date="2025-05-13T16:39:00Z"/>
          <w:sz w:val="22"/>
          <w:szCs w:val="22"/>
        </w:rPr>
      </w:pPr>
      <w:del w:id="10695" w:author="AbbVie2" w:date="2025-05-13T16:39:00Z">
        <w:r w:rsidRPr="00675DF0">
          <w:rPr>
            <w:sz w:val="22"/>
            <w:szCs w:val="22"/>
          </w:rPr>
          <w:delText>Os doentes que cumpriram os critérios de agravamento da doença na ou após a Semana 12 foram aleatorizados para receberem uma dose de reindução de 2,4 mg/kg (</w:delText>
        </w:r>
        <w:r w:rsidR="007916BF">
          <w:rPr>
            <w:sz w:val="22"/>
            <w:szCs w:val="22"/>
          </w:rPr>
          <w:delText>máximo de </w:delText>
        </w:r>
        <w:r w:rsidRPr="00675DF0">
          <w:rPr>
            <w:sz w:val="22"/>
            <w:szCs w:val="22"/>
          </w:rPr>
          <w:delText>160 mg) ou uma dose de 0,6 mg/kg (</w:delText>
        </w:r>
        <w:r w:rsidR="007916BF">
          <w:rPr>
            <w:sz w:val="22"/>
            <w:szCs w:val="22"/>
          </w:rPr>
          <w:delText>máximo de </w:delText>
        </w:r>
        <w:r w:rsidRPr="00675DF0">
          <w:rPr>
            <w:sz w:val="22"/>
            <w:szCs w:val="22"/>
          </w:rPr>
          <w:delText>40 mg) e continuaram a receber posteriormente a respetiva dose de manutenção. </w:delText>
        </w:r>
      </w:del>
    </w:p>
    <w:p w14:paraId="1E125ECD" w14:textId="5D113649" w:rsidR="0057678E" w:rsidRPr="00A63F1F" w:rsidRDefault="00615769">
      <w:pPr>
        <w:rPr>
          <w:del w:id="10696" w:author="AbbVie2" w:date="2025-05-13T16:39:00Z"/>
          <w:i/>
          <w:sz w:val="22"/>
          <w:szCs w:val="22"/>
          <w:u w:val="single"/>
        </w:rPr>
        <w:pPrChange w:id="10697" w:author="AbbVie2" w:date="2025-05-13T16:40:00Z">
          <w:pPr>
            <w:pStyle w:val="gtcbodytext"/>
          </w:pPr>
        </w:pPrChange>
      </w:pPr>
      <w:del w:id="10698" w:author="AbbVie2" w:date="2025-05-13T16:39:00Z">
        <w:r w:rsidRPr="00A63F1F">
          <w:rPr>
            <w:i/>
            <w:sz w:val="22"/>
            <w:szCs w:val="22"/>
            <w:u w:val="single"/>
          </w:rPr>
          <w:delText>Resultados de eficácia</w:delText>
        </w:r>
      </w:del>
    </w:p>
    <w:p w14:paraId="41CBA1C2" w14:textId="538CADD3" w:rsidR="0057678E" w:rsidRPr="00140561" w:rsidRDefault="00615769">
      <w:pPr>
        <w:rPr>
          <w:del w:id="10699" w:author="AbbVie2" w:date="2025-05-13T16:39:00Z"/>
          <w:rFonts w:ascii="Segoe UI" w:hAnsi="Segoe UI" w:cs="Segoe UI"/>
          <w:sz w:val="22"/>
          <w:szCs w:val="22"/>
          <w:lang w:eastAsia="en-GB"/>
        </w:rPr>
        <w:pPrChange w:id="10700" w:author="AbbVie2" w:date="2025-05-13T16:40:00Z">
          <w:pPr>
            <w:textAlignment w:val="baseline"/>
          </w:pPr>
        </w:pPrChange>
      </w:pPr>
      <w:del w:id="10701" w:author="AbbVie2" w:date="2025-05-13T16:39:00Z">
        <w:r w:rsidRPr="00140561">
          <w:rPr>
            <w:sz w:val="22"/>
            <w:szCs w:val="22"/>
          </w:rPr>
          <w:delText>Os objetivos coprimários do estudo foram a remissão clínica de acordo com a PMS (definida como PMS ≤ 2 e sem subpontuação individual &gt; 1) na Semana 8, e a remissão clínica de acordo com a FMS (pontuação completa de Mayo) (definida como uma pontuação de Mayo ≤ 2 e sem subpontuação individual &gt; 1) na Semana 52 em doentes que obtiveram resposta clínica de acordo com a PMS na Semana 8.</w:delText>
        </w:r>
      </w:del>
    </w:p>
    <w:p w14:paraId="3C096DA9" w14:textId="290EC289" w:rsidR="002F486F" w:rsidRPr="00140561" w:rsidRDefault="00615769">
      <w:pPr>
        <w:rPr>
          <w:del w:id="10702" w:author="AbbVie2" w:date="2025-05-13T16:39:00Z"/>
          <w:sz w:val="22"/>
          <w:szCs w:val="22"/>
        </w:rPr>
        <w:pPrChange w:id="10703" w:author="AbbVie2" w:date="2025-05-13T16:40:00Z">
          <w:pPr>
            <w:textAlignment w:val="baseline"/>
          </w:pPr>
        </w:pPrChange>
      </w:pPr>
      <w:del w:id="10704" w:author="AbbVie2" w:date="2025-05-13T16:39:00Z">
        <w:r w:rsidRPr="00140561">
          <w:rPr>
            <w:sz w:val="22"/>
            <w:szCs w:val="22"/>
          </w:rPr>
          <w:delText xml:space="preserve">As taxas de remissão clínica de acordo com a PMS na Semana 8 para os doentes em cada um dos grupos de indução </w:delText>
        </w:r>
        <w:r>
          <w:rPr>
            <w:sz w:val="22"/>
            <w:szCs w:val="22"/>
          </w:rPr>
          <w:delText xml:space="preserve">de Humira </w:delText>
        </w:r>
        <w:r w:rsidRPr="00140561">
          <w:rPr>
            <w:sz w:val="22"/>
            <w:szCs w:val="22"/>
          </w:rPr>
          <w:delText>em dupla ocultação</w:delText>
        </w:r>
        <w:r>
          <w:rPr>
            <w:sz w:val="22"/>
            <w:szCs w:val="22"/>
          </w:rPr>
          <w:delText xml:space="preserve"> são apresentadas na Tabela 31</w:delText>
        </w:r>
        <w:r w:rsidRPr="00140561">
          <w:rPr>
            <w:sz w:val="22"/>
            <w:szCs w:val="22"/>
          </w:rPr>
          <w:delText>. </w:delText>
        </w:r>
      </w:del>
    </w:p>
    <w:p w14:paraId="50C0D299" w14:textId="0DF5B4D3" w:rsidR="002F486F" w:rsidRPr="00140561" w:rsidRDefault="00615769">
      <w:pPr>
        <w:rPr>
          <w:del w:id="10705" w:author="AbbVie2" w:date="2025-05-13T16:39:00Z"/>
          <w:sz w:val="22"/>
          <w:szCs w:val="22"/>
        </w:rPr>
        <w:pPrChange w:id="10706" w:author="AbbVie2" w:date="2025-05-13T16:40:00Z">
          <w:pPr>
            <w:pStyle w:val="gtcbodytext"/>
            <w:keepNext/>
            <w:jc w:val="center"/>
          </w:pPr>
        </w:pPrChange>
      </w:pPr>
      <w:del w:id="10707" w:author="AbbVie2" w:date="2025-05-13T16:39:00Z">
        <w:r w:rsidRPr="00140561">
          <w:rPr>
            <w:b/>
            <w:sz w:val="22"/>
            <w:szCs w:val="22"/>
          </w:rPr>
          <w:delText>Tabela</w:delText>
        </w:r>
        <w:r>
          <w:rPr>
            <w:b/>
            <w:sz w:val="22"/>
            <w:szCs w:val="22"/>
          </w:rPr>
          <w:delText> 31</w:delText>
        </w:r>
        <w:r w:rsidRPr="00140561">
          <w:rPr>
            <w:b/>
            <w:sz w:val="22"/>
            <w:szCs w:val="22"/>
          </w:rPr>
          <w:delText xml:space="preserve">: Remissão </w:delText>
        </w:r>
        <w:r>
          <w:rPr>
            <w:b/>
            <w:sz w:val="22"/>
            <w:szCs w:val="22"/>
          </w:rPr>
          <w:delText>C</w:delText>
        </w:r>
        <w:r w:rsidRPr="00140561">
          <w:rPr>
            <w:b/>
            <w:sz w:val="22"/>
            <w:szCs w:val="22"/>
          </w:rPr>
          <w:delText xml:space="preserve">línica de acordo com a PMS </w:delText>
        </w:r>
        <w:r>
          <w:rPr>
            <w:b/>
            <w:sz w:val="22"/>
            <w:szCs w:val="22"/>
          </w:rPr>
          <w:delText xml:space="preserve">à Semana 8 </w:delText>
        </w:r>
      </w:del>
    </w:p>
    <w:tbl>
      <w:tblPr>
        <w:tblW w:w="4246" w:type="pct"/>
        <w:jc w:val="center"/>
        <w:tblLook w:val="04A0" w:firstRow="1" w:lastRow="0" w:firstColumn="1" w:lastColumn="0" w:noHBand="0" w:noVBand="1"/>
      </w:tblPr>
      <w:tblGrid>
        <w:gridCol w:w="1904"/>
        <w:gridCol w:w="2867"/>
        <w:gridCol w:w="2919"/>
      </w:tblGrid>
      <w:tr w:rsidR="00A7162A" w14:paraId="41462CCD" w14:textId="7F7B4BD4" w:rsidTr="00D22E86">
        <w:trPr>
          <w:jc w:val="center"/>
          <w:del w:id="10708" w:author="AbbVie2" w:date="2025-05-13T16:39: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5C0822" w14:textId="2626B0E3" w:rsidR="0057678E" w:rsidRPr="00140561" w:rsidRDefault="0057678E">
            <w:pPr>
              <w:rPr>
                <w:del w:id="10709" w:author="AbbVie2" w:date="2025-05-13T16:39:00Z"/>
                <w:sz w:val="22"/>
                <w:szCs w:val="22"/>
              </w:rPr>
              <w:pPrChange w:id="10710" w:author="AbbVie2" w:date="2025-05-13T16:40:00Z">
                <w:pPr>
                  <w:keepNext/>
                </w:pPr>
              </w:pPrChange>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5B0BDF2" w14:textId="75DB62CE" w:rsidR="0057678E" w:rsidRPr="00D22E86" w:rsidRDefault="00615769">
            <w:pPr>
              <w:rPr>
                <w:del w:id="10711" w:author="AbbVie2" w:date="2025-05-13T16:39:00Z"/>
                <w:rFonts w:ascii="Segoe UI" w:hAnsi="Segoe UI" w:cs="Segoe UI"/>
                <w:sz w:val="22"/>
                <w:szCs w:val="22"/>
              </w:rPr>
              <w:pPrChange w:id="10712" w:author="AbbVie2" w:date="2025-05-13T16:40:00Z">
                <w:pPr>
                  <w:pStyle w:val="paragraph"/>
                  <w:keepNext/>
                  <w:spacing w:before="0" w:beforeAutospacing="0" w:after="0" w:afterAutospacing="0" w:line="276" w:lineRule="auto"/>
                  <w:jc w:val="center"/>
                  <w:textAlignment w:val="baseline"/>
                </w:pPr>
              </w:pPrChange>
            </w:pPr>
            <w:del w:id="10713" w:author="AbbVie2" w:date="2025-05-13T16:39:00Z">
              <w:r w:rsidRPr="00D22E86">
                <w:rPr>
                  <w:rStyle w:val="spellingerror"/>
                  <w:rFonts w:cs="Calibri"/>
                  <w:b/>
                  <w:bCs/>
                  <w:sz w:val="22"/>
                  <w:szCs w:val="22"/>
                </w:rPr>
                <w:delText>Humira</w:delText>
              </w:r>
              <w:r w:rsidRPr="00D22E86">
                <w:rPr>
                  <w:rStyle w:val="spellingerror"/>
                  <w:rFonts w:cs="Calibri"/>
                  <w:b/>
                  <w:sz w:val="22"/>
                  <w:szCs w:val="22"/>
                  <w:vertAlign w:val="superscript"/>
                </w:rPr>
                <w:delText>a</w:delText>
              </w:r>
              <w:r w:rsidRPr="00D22E86">
                <w:rPr>
                  <w:rStyle w:val="eop"/>
                  <w:rFonts w:cs="Calibri"/>
                  <w:sz w:val="22"/>
                  <w:szCs w:val="22"/>
                </w:rPr>
                <w:delText> </w:delText>
              </w:r>
            </w:del>
          </w:p>
          <w:p w14:paraId="5873AC3A" w14:textId="40880492" w:rsidR="0057678E" w:rsidRPr="00140561" w:rsidRDefault="00615769">
            <w:pPr>
              <w:rPr>
                <w:del w:id="10714" w:author="AbbVie2" w:date="2025-05-13T16:39:00Z"/>
                <w:rStyle w:val="eop"/>
                <w:rFonts w:cs="Calibri"/>
                <w:sz w:val="22"/>
                <w:szCs w:val="22"/>
              </w:rPr>
              <w:pPrChange w:id="10715" w:author="AbbVie2" w:date="2025-05-13T16:40:00Z">
                <w:pPr>
                  <w:keepNext/>
                  <w:spacing w:line="276" w:lineRule="auto"/>
                  <w:jc w:val="center"/>
                </w:pPr>
              </w:pPrChange>
            </w:pPr>
            <w:del w:id="10716" w:author="AbbVie2" w:date="2025-05-13T16:39:00Z">
              <w:r w:rsidRPr="00140561">
                <w:rPr>
                  <w:rStyle w:val="normaltextrun"/>
                  <w:rFonts w:cs="Calibri"/>
                  <w:b/>
                  <w:bCs/>
                  <w:sz w:val="22"/>
                  <w:szCs w:val="22"/>
                </w:rPr>
                <w:delText>Máximo de 160 mg na Semana 0 / Placebo na Semana 1</w:delText>
              </w:r>
              <w:r w:rsidRPr="00140561">
                <w:rPr>
                  <w:rStyle w:val="eop"/>
                  <w:rFonts w:cs="Calibri"/>
                  <w:sz w:val="22"/>
                  <w:szCs w:val="22"/>
                </w:rPr>
                <w:delText> </w:delText>
              </w:r>
            </w:del>
          </w:p>
          <w:p w14:paraId="68A31990" w14:textId="30805B67" w:rsidR="0057678E" w:rsidRPr="00AD4F25" w:rsidRDefault="00615769">
            <w:pPr>
              <w:rPr>
                <w:del w:id="10717" w:author="AbbVie2" w:date="2025-05-13T16:39:00Z"/>
                <w:sz w:val="22"/>
                <w:szCs w:val="22"/>
                <w:rPrChange w:id="10718" w:author="AbbVie2" w:date="2025-05-14T10:17:00Z">
                  <w:rPr>
                    <w:del w:id="10719" w:author="AbbVie2" w:date="2025-05-13T16:39:00Z"/>
                    <w:sz w:val="22"/>
                    <w:szCs w:val="22"/>
                    <w:lang w:val="en-US"/>
                  </w:rPr>
                </w:rPrChange>
              </w:rPr>
              <w:pPrChange w:id="10720" w:author="AbbVie2" w:date="2025-05-13T16:40:00Z">
                <w:pPr>
                  <w:keepNext/>
                  <w:spacing w:line="276" w:lineRule="auto"/>
                  <w:jc w:val="center"/>
                </w:pPr>
              </w:pPrChange>
            </w:pPr>
            <w:del w:id="10721" w:author="AbbVie2" w:date="2025-05-13T16:39:00Z">
              <w:r w:rsidRPr="00140561">
                <w:rPr>
                  <w:rStyle w:val="eop"/>
                  <w:rFonts w:cs="Calibri"/>
                  <w:sz w:val="22"/>
                  <w:szCs w:val="22"/>
                </w:rPr>
                <w:delText>N=30</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418AA1D" w14:textId="18DAB102" w:rsidR="0057678E" w:rsidRPr="00D22E86" w:rsidRDefault="00615769">
            <w:pPr>
              <w:rPr>
                <w:del w:id="10722" w:author="AbbVie2" w:date="2025-05-13T16:39:00Z"/>
                <w:rFonts w:ascii="Segoe UI" w:hAnsi="Segoe UI" w:cs="Segoe UI"/>
                <w:sz w:val="22"/>
                <w:szCs w:val="22"/>
              </w:rPr>
              <w:pPrChange w:id="10723" w:author="AbbVie2" w:date="2025-05-13T16:40:00Z">
                <w:pPr>
                  <w:pStyle w:val="paragraph"/>
                  <w:keepNext/>
                  <w:spacing w:before="0" w:beforeAutospacing="0" w:after="0" w:afterAutospacing="0" w:line="276" w:lineRule="auto"/>
                  <w:jc w:val="center"/>
                  <w:textAlignment w:val="baseline"/>
                </w:pPr>
              </w:pPrChange>
            </w:pPr>
            <w:del w:id="10724" w:author="AbbVie2" w:date="2025-05-13T16:39:00Z">
              <w:r w:rsidRPr="00D22E86">
                <w:rPr>
                  <w:rStyle w:val="spellingerror"/>
                  <w:rFonts w:cs="Calibri"/>
                  <w:b/>
                  <w:bCs/>
                  <w:sz w:val="22"/>
                  <w:szCs w:val="22"/>
                </w:rPr>
                <w:delText>Humira</w:delText>
              </w:r>
              <w:r w:rsidRPr="00D22E86">
                <w:rPr>
                  <w:rStyle w:val="spellingerror"/>
                  <w:rFonts w:cs="Calibri"/>
                  <w:b/>
                  <w:sz w:val="22"/>
                  <w:szCs w:val="22"/>
                  <w:vertAlign w:val="superscript"/>
                </w:rPr>
                <w:delText>b</w:delText>
              </w:r>
              <w:r w:rsidRPr="00D22E86">
                <w:rPr>
                  <w:rStyle w:val="normaltextrun"/>
                  <w:rFonts w:cs="Calibri"/>
                  <w:b/>
                  <w:sz w:val="22"/>
                  <w:szCs w:val="22"/>
                  <w:vertAlign w:val="superscript"/>
                </w:rPr>
                <w:delText>, c</w:delText>
              </w:r>
              <w:r w:rsidRPr="00D22E86">
                <w:rPr>
                  <w:rStyle w:val="eop"/>
                  <w:rFonts w:cs="Calibri"/>
                  <w:sz w:val="22"/>
                  <w:szCs w:val="22"/>
                </w:rPr>
                <w:delText> </w:delText>
              </w:r>
            </w:del>
          </w:p>
          <w:p w14:paraId="5142FD97" w14:textId="21A79347" w:rsidR="0057678E" w:rsidRPr="00140561" w:rsidRDefault="00615769">
            <w:pPr>
              <w:rPr>
                <w:del w:id="10725" w:author="AbbVie2" w:date="2025-05-13T16:39:00Z"/>
                <w:rStyle w:val="eop"/>
                <w:rFonts w:cs="Calibri"/>
                <w:sz w:val="22"/>
                <w:szCs w:val="22"/>
              </w:rPr>
              <w:pPrChange w:id="10726" w:author="AbbVie2" w:date="2025-05-13T16:40:00Z">
                <w:pPr>
                  <w:keepNext/>
                  <w:spacing w:line="276" w:lineRule="auto"/>
                  <w:jc w:val="center"/>
                </w:pPr>
              </w:pPrChange>
            </w:pPr>
            <w:del w:id="10727" w:author="AbbVie2" w:date="2025-05-13T16:39:00Z">
              <w:r w:rsidRPr="00140561">
                <w:rPr>
                  <w:rStyle w:val="normaltextrun"/>
                  <w:rFonts w:cs="Calibri"/>
                  <w:b/>
                  <w:bCs/>
                  <w:sz w:val="22"/>
                  <w:szCs w:val="22"/>
                </w:rPr>
                <w:delText>Máximo de 160 mg na Semana 0 e Semana 1</w:delText>
              </w:r>
              <w:r w:rsidRPr="00140561">
                <w:rPr>
                  <w:rStyle w:val="eop"/>
                  <w:rFonts w:cs="Calibri"/>
                  <w:sz w:val="22"/>
                  <w:szCs w:val="22"/>
                </w:rPr>
                <w:delText> </w:delText>
              </w:r>
            </w:del>
          </w:p>
          <w:p w14:paraId="120768A5" w14:textId="3F88D5B5" w:rsidR="0057678E" w:rsidRPr="00AD4F25" w:rsidRDefault="00615769">
            <w:pPr>
              <w:rPr>
                <w:del w:id="10728" w:author="AbbVie2" w:date="2025-05-13T16:39:00Z"/>
                <w:sz w:val="22"/>
                <w:szCs w:val="22"/>
                <w:rPrChange w:id="10729" w:author="AbbVie2" w:date="2025-05-14T10:17:00Z">
                  <w:rPr>
                    <w:del w:id="10730" w:author="AbbVie2" w:date="2025-05-13T16:39:00Z"/>
                    <w:sz w:val="22"/>
                    <w:szCs w:val="22"/>
                    <w:lang w:val="en-US"/>
                  </w:rPr>
                </w:rPrChange>
              </w:rPr>
              <w:pPrChange w:id="10731" w:author="AbbVie2" w:date="2025-05-13T16:40:00Z">
                <w:pPr>
                  <w:keepNext/>
                  <w:spacing w:line="276" w:lineRule="auto"/>
                  <w:jc w:val="center"/>
                </w:pPr>
              </w:pPrChange>
            </w:pPr>
            <w:del w:id="10732" w:author="AbbVie2" w:date="2025-05-13T16:39:00Z">
              <w:r w:rsidRPr="00140561">
                <w:rPr>
                  <w:rStyle w:val="eop"/>
                  <w:rFonts w:cs="Calibri"/>
                  <w:sz w:val="22"/>
                  <w:szCs w:val="22"/>
                </w:rPr>
                <w:delText>N=47</w:delText>
              </w:r>
            </w:del>
          </w:p>
        </w:tc>
      </w:tr>
      <w:tr w:rsidR="00A7162A" w14:paraId="1AC3389F" w14:textId="6FC4CF76" w:rsidTr="00D22E86">
        <w:trPr>
          <w:jc w:val="center"/>
          <w:del w:id="10733" w:author="AbbVie2" w:date="2025-05-13T16:39: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C318A6A" w14:textId="32C969D5" w:rsidR="0057678E" w:rsidRPr="00AD4F25" w:rsidRDefault="00615769">
            <w:pPr>
              <w:rPr>
                <w:del w:id="10734" w:author="AbbVie2" w:date="2025-05-13T16:39:00Z"/>
                <w:sz w:val="22"/>
                <w:szCs w:val="22"/>
                <w:rPrChange w:id="10735" w:author="AbbVie2" w:date="2025-05-14T10:17:00Z">
                  <w:rPr>
                    <w:del w:id="10736" w:author="AbbVie2" w:date="2025-05-13T16:39:00Z"/>
                    <w:sz w:val="22"/>
                    <w:szCs w:val="22"/>
                    <w:lang w:val="en-US"/>
                  </w:rPr>
                </w:rPrChange>
              </w:rPr>
              <w:pPrChange w:id="10737" w:author="AbbVie2" w:date="2025-05-13T16:40:00Z">
                <w:pPr>
                  <w:keepNext/>
                  <w:spacing w:line="276" w:lineRule="auto"/>
                </w:pPr>
              </w:pPrChange>
            </w:pPr>
            <w:del w:id="10738" w:author="AbbVie2" w:date="2025-05-13T16:39:00Z">
              <w:r w:rsidRPr="00AD4F25">
                <w:rPr>
                  <w:sz w:val="22"/>
                  <w:szCs w:val="22"/>
                  <w:rPrChange w:id="10739" w:author="AbbVie2" w:date="2025-05-14T10:17:00Z">
                    <w:rPr>
                      <w:sz w:val="22"/>
                      <w:szCs w:val="22"/>
                      <w:lang w:val="en-US"/>
                    </w:rPr>
                  </w:rPrChange>
                </w:rPr>
                <w:delText>Remissão clínica</w:delText>
              </w:r>
            </w:del>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397EB75" w14:textId="7101476E" w:rsidR="0057678E" w:rsidRPr="00AD4F25" w:rsidRDefault="00615769">
            <w:pPr>
              <w:rPr>
                <w:del w:id="10740" w:author="AbbVie2" w:date="2025-05-13T16:39:00Z"/>
                <w:sz w:val="22"/>
                <w:szCs w:val="22"/>
                <w:rPrChange w:id="10741" w:author="AbbVie2" w:date="2025-05-14T10:17:00Z">
                  <w:rPr>
                    <w:del w:id="10742" w:author="AbbVie2" w:date="2025-05-13T16:39:00Z"/>
                    <w:sz w:val="22"/>
                    <w:szCs w:val="22"/>
                    <w:lang w:val="en-US"/>
                  </w:rPr>
                </w:rPrChange>
              </w:rPr>
              <w:pPrChange w:id="10743" w:author="AbbVie2" w:date="2025-05-13T16:40:00Z">
                <w:pPr>
                  <w:keepNext/>
                  <w:spacing w:line="276" w:lineRule="auto"/>
                  <w:jc w:val="center"/>
                </w:pPr>
              </w:pPrChange>
            </w:pPr>
            <w:del w:id="10744" w:author="AbbVie2" w:date="2025-05-13T16:39:00Z">
              <w:r w:rsidRPr="00AD4F25">
                <w:rPr>
                  <w:sz w:val="22"/>
                  <w:szCs w:val="22"/>
                  <w:rPrChange w:id="10745" w:author="AbbVie2" w:date="2025-05-14T10:17:00Z">
                    <w:rPr>
                      <w:sz w:val="22"/>
                      <w:szCs w:val="22"/>
                      <w:lang w:val="en-US"/>
                    </w:rPr>
                  </w:rPrChange>
                </w:rPr>
                <w:delText>13/30 (43,3%)</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630D760" w14:textId="54D0F7F2" w:rsidR="0057678E" w:rsidRPr="00AD4F25" w:rsidRDefault="00615769">
            <w:pPr>
              <w:rPr>
                <w:del w:id="10746" w:author="AbbVie2" w:date="2025-05-13T16:39:00Z"/>
                <w:sz w:val="22"/>
                <w:szCs w:val="22"/>
                <w:vertAlign w:val="superscript"/>
                <w:rPrChange w:id="10747" w:author="AbbVie2" w:date="2025-05-14T10:17:00Z">
                  <w:rPr>
                    <w:del w:id="10748" w:author="AbbVie2" w:date="2025-05-13T16:39:00Z"/>
                    <w:sz w:val="22"/>
                    <w:szCs w:val="22"/>
                    <w:vertAlign w:val="superscript"/>
                    <w:lang w:val="en-US"/>
                  </w:rPr>
                </w:rPrChange>
              </w:rPr>
              <w:pPrChange w:id="10749" w:author="AbbVie2" w:date="2025-05-13T16:40:00Z">
                <w:pPr>
                  <w:keepNext/>
                  <w:spacing w:line="276" w:lineRule="auto"/>
                  <w:jc w:val="center"/>
                </w:pPr>
              </w:pPrChange>
            </w:pPr>
            <w:del w:id="10750" w:author="AbbVie2" w:date="2025-05-13T16:39:00Z">
              <w:r w:rsidRPr="00AD4F25">
                <w:rPr>
                  <w:sz w:val="22"/>
                  <w:szCs w:val="22"/>
                  <w:rPrChange w:id="10751" w:author="AbbVie2" w:date="2025-05-14T10:17:00Z">
                    <w:rPr>
                      <w:sz w:val="22"/>
                      <w:szCs w:val="22"/>
                      <w:lang w:val="en-US"/>
                    </w:rPr>
                  </w:rPrChange>
                </w:rPr>
                <w:delText>28/47 (59,6%)</w:delText>
              </w:r>
            </w:del>
          </w:p>
        </w:tc>
      </w:tr>
      <w:tr w:rsidR="00A7162A" w14:paraId="5F9AC904" w14:textId="6BC3EFE5" w:rsidTr="00D22E86">
        <w:trPr>
          <w:trHeight w:val="2517"/>
          <w:jc w:val="center"/>
          <w:del w:id="10752" w:author="AbbVie2" w:date="2025-05-13T16:39:00Z"/>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E5FEED2" w14:textId="5594BFCF" w:rsidR="0057678E" w:rsidRPr="00140561" w:rsidRDefault="00615769">
            <w:pPr>
              <w:rPr>
                <w:del w:id="10753" w:author="AbbVie2" w:date="2025-05-13T16:39:00Z"/>
                <w:rFonts w:ascii="Segoe UI" w:hAnsi="Segoe UI" w:cs="Segoe UI"/>
                <w:sz w:val="22"/>
                <w:szCs w:val="22"/>
              </w:rPr>
              <w:pPrChange w:id="10754" w:author="AbbVie2" w:date="2025-05-13T16:40:00Z">
                <w:pPr>
                  <w:pStyle w:val="paragraph"/>
                  <w:spacing w:before="0" w:beforeAutospacing="0" w:after="0" w:afterAutospacing="0" w:line="276" w:lineRule="auto"/>
                  <w:textAlignment w:val="baseline"/>
                </w:pPr>
              </w:pPrChange>
            </w:pPr>
            <w:del w:id="10755" w:author="AbbVie2" w:date="2025-05-13T16:39:00Z">
              <w:r w:rsidRPr="00140561">
                <w:rPr>
                  <w:rStyle w:val="normaltextrun"/>
                  <w:sz w:val="22"/>
                  <w:szCs w:val="22"/>
                  <w:vertAlign w:val="superscript"/>
                </w:rPr>
                <w:delText>a </w:delText>
              </w:r>
              <w:r w:rsidRPr="00813F73">
                <w:rPr>
                  <w:rStyle w:val="normaltextrun"/>
                  <w:sz w:val="22"/>
                  <w:szCs w:val="22"/>
                </w:rPr>
                <w:delText>Humira 2,4</w:delText>
              </w:r>
              <w:r w:rsidRPr="00140561">
                <w:rPr>
                  <w:rStyle w:val="normaltextrun"/>
                  <w:sz w:val="22"/>
                  <w:szCs w:val="22"/>
                </w:rPr>
                <w:delText> </w:delText>
              </w:r>
              <w:r>
                <w:rPr>
                  <w:rStyle w:val="normaltextrun"/>
                  <w:sz w:val="22"/>
                  <w:szCs w:val="22"/>
                </w:rPr>
                <w:delText xml:space="preserve">mg/kg </w:delText>
              </w:r>
              <w:r w:rsidRPr="00140561">
                <w:rPr>
                  <w:rStyle w:val="normaltextrun"/>
                  <w:sz w:val="22"/>
                  <w:szCs w:val="22"/>
                </w:rPr>
                <w:delText>(</w:delText>
              </w:r>
              <w:r w:rsidR="007916BF">
                <w:rPr>
                  <w:rStyle w:val="normaltextrun"/>
                  <w:sz w:val="22"/>
                  <w:szCs w:val="22"/>
                </w:rPr>
                <w:delText>máximo de </w:delText>
              </w:r>
              <w:r w:rsidRPr="00140561">
                <w:rPr>
                  <w:rStyle w:val="normaltextrun"/>
                  <w:sz w:val="22"/>
                  <w:szCs w:val="22"/>
                </w:rPr>
                <w:delText>160 mg) na Semana 0, p</w:delText>
              </w:r>
              <w:r w:rsidR="007916BF">
                <w:rPr>
                  <w:rStyle w:val="normaltextrun"/>
                  <w:sz w:val="22"/>
                  <w:szCs w:val="22"/>
                </w:rPr>
                <w:delText xml:space="preserve">lacebo na Semana 1, e 1,2 mg/kg </w:delText>
              </w:r>
              <w:r w:rsidRPr="00140561">
                <w:rPr>
                  <w:rStyle w:val="normaltextrun"/>
                  <w:sz w:val="22"/>
                  <w:szCs w:val="22"/>
                </w:rPr>
                <w:delText>(</w:delText>
              </w:r>
              <w:r w:rsidR="007916BF">
                <w:rPr>
                  <w:rStyle w:val="normaltextrun"/>
                  <w:sz w:val="22"/>
                  <w:szCs w:val="22"/>
                </w:rPr>
                <w:delText>máximo de </w:delText>
              </w:r>
              <w:r w:rsidRPr="00140561">
                <w:rPr>
                  <w:rStyle w:val="normaltextrun"/>
                  <w:sz w:val="22"/>
                  <w:szCs w:val="22"/>
                </w:rPr>
                <w:delText>80 mg) na Semana 2</w:delText>
              </w:r>
              <w:r>
                <w:rPr>
                  <w:rStyle w:val="normaltextrun"/>
                  <w:sz w:val="22"/>
                  <w:szCs w:val="22"/>
                </w:rPr>
                <w:delText> </w:delText>
              </w:r>
            </w:del>
          </w:p>
          <w:p w14:paraId="5159DDEE" w14:textId="4A2E75BA" w:rsidR="0057678E" w:rsidRPr="00140561" w:rsidRDefault="00615769">
            <w:pPr>
              <w:rPr>
                <w:del w:id="10756" w:author="AbbVie2" w:date="2025-05-13T16:39:00Z"/>
                <w:rFonts w:ascii="Segoe UI" w:hAnsi="Segoe UI" w:cs="Segoe UI"/>
                <w:sz w:val="22"/>
                <w:szCs w:val="22"/>
              </w:rPr>
              <w:pPrChange w:id="10757" w:author="AbbVie2" w:date="2025-05-13T16:40:00Z">
                <w:pPr>
                  <w:pStyle w:val="paragraph"/>
                  <w:spacing w:before="0" w:beforeAutospacing="0" w:after="0" w:afterAutospacing="0" w:line="276" w:lineRule="auto"/>
                  <w:textAlignment w:val="baseline"/>
                </w:pPr>
              </w:pPrChange>
            </w:pPr>
            <w:del w:id="10758" w:author="AbbVie2" w:date="2025-05-13T16:39:00Z">
              <w:r w:rsidRPr="00140561">
                <w:rPr>
                  <w:rStyle w:val="normaltextrun"/>
                  <w:sz w:val="22"/>
                  <w:szCs w:val="22"/>
                  <w:vertAlign w:val="superscript"/>
                </w:rPr>
                <w:delText>b </w:delText>
              </w:r>
              <w:r w:rsidRPr="00813F73">
                <w:rPr>
                  <w:rStyle w:val="normaltextrun"/>
                  <w:sz w:val="22"/>
                  <w:szCs w:val="22"/>
                </w:rPr>
                <w:delText>Humira 2,4</w:delText>
              </w:r>
              <w:r w:rsidRPr="00140561">
                <w:rPr>
                  <w:rStyle w:val="normaltextrun"/>
                  <w:sz w:val="22"/>
                  <w:szCs w:val="22"/>
                </w:rPr>
                <w:delText> </w:delText>
              </w:r>
              <w:r>
                <w:rPr>
                  <w:rStyle w:val="normaltextrun"/>
                  <w:sz w:val="22"/>
                  <w:szCs w:val="22"/>
                </w:rPr>
                <w:delText xml:space="preserve">mg/kg </w:delText>
              </w:r>
              <w:r w:rsidRPr="00140561">
                <w:rPr>
                  <w:rStyle w:val="normaltextrun"/>
                  <w:sz w:val="22"/>
                  <w:szCs w:val="22"/>
                </w:rPr>
                <w:delText>(</w:delText>
              </w:r>
              <w:r w:rsidR="007916BF">
                <w:rPr>
                  <w:rStyle w:val="normaltextrun"/>
                  <w:sz w:val="22"/>
                  <w:szCs w:val="22"/>
                </w:rPr>
                <w:delText>máximo de </w:delText>
              </w:r>
              <w:r w:rsidRPr="00140561">
                <w:rPr>
                  <w:rStyle w:val="normaltextrun"/>
                  <w:sz w:val="22"/>
                  <w:szCs w:val="22"/>
                </w:rPr>
                <w:delText>160 mg) na Sema</w:delText>
              </w:r>
              <w:r w:rsidR="007916BF">
                <w:rPr>
                  <w:rStyle w:val="normaltextrun"/>
                  <w:sz w:val="22"/>
                  <w:szCs w:val="22"/>
                </w:rPr>
                <w:delText xml:space="preserve">na 0 e na Semana 1, e 1,2 mg/kg </w:delText>
              </w:r>
              <w:r w:rsidRPr="00140561">
                <w:rPr>
                  <w:rStyle w:val="normaltextrun"/>
                  <w:sz w:val="22"/>
                  <w:szCs w:val="22"/>
                </w:rPr>
                <w:delText>(m</w:delText>
              </w:r>
              <w:r w:rsidR="007916BF">
                <w:rPr>
                  <w:rStyle w:val="normaltextrun"/>
                  <w:sz w:val="22"/>
                  <w:szCs w:val="22"/>
                </w:rPr>
                <w:delText>áximo de </w:delText>
              </w:r>
              <w:r w:rsidRPr="00140561">
                <w:rPr>
                  <w:rStyle w:val="normaltextrun"/>
                  <w:sz w:val="22"/>
                  <w:szCs w:val="22"/>
                </w:rPr>
                <w:delText>80 mg) na Semana 2</w:delText>
              </w:r>
              <w:r w:rsidRPr="00140561">
                <w:rPr>
                  <w:rStyle w:val="eop"/>
                  <w:sz w:val="22"/>
                  <w:szCs w:val="22"/>
                </w:rPr>
                <w:delText> </w:delText>
              </w:r>
            </w:del>
          </w:p>
          <w:p w14:paraId="7FA3E606" w14:textId="03B0B81C" w:rsidR="0057678E" w:rsidRPr="00140561" w:rsidRDefault="00615769">
            <w:pPr>
              <w:rPr>
                <w:del w:id="10759" w:author="AbbVie2" w:date="2025-05-13T16:39:00Z"/>
                <w:rFonts w:ascii="Segoe UI" w:hAnsi="Segoe UI" w:cs="Segoe UI"/>
                <w:sz w:val="22"/>
                <w:szCs w:val="22"/>
              </w:rPr>
              <w:pPrChange w:id="10760" w:author="AbbVie2" w:date="2025-05-13T16:40:00Z">
                <w:pPr>
                  <w:pStyle w:val="paragraph"/>
                  <w:spacing w:before="0" w:beforeAutospacing="0" w:after="0" w:afterAutospacing="0" w:line="276" w:lineRule="auto"/>
                  <w:textAlignment w:val="baseline"/>
                </w:pPr>
              </w:pPrChange>
            </w:pPr>
            <w:del w:id="10761" w:author="AbbVie2" w:date="2025-05-13T16:39:00Z">
              <w:r w:rsidRPr="00140561">
                <w:rPr>
                  <w:rStyle w:val="normaltextrun"/>
                  <w:rFonts w:cs="Calibri"/>
                  <w:sz w:val="22"/>
                  <w:szCs w:val="22"/>
                  <w:vertAlign w:val="superscript"/>
                </w:rPr>
                <w:delText>c</w:delText>
              </w:r>
              <w:r w:rsidRPr="00FF4AB1">
                <w:rPr>
                  <w:rStyle w:val="normaltextrun"/>
                  <w:sz w:val="22"/>
                  <w:szCs w:val="22"/>
                  <w:vertAlign w:val="superscript"/>
                </w:rPr>
                <w:delText> </w:delText>
              </w:r>
              <w:r w:rsidRPr="00140561">
                <w:rPr>
                  <w:rStyle w:val="normaltextrun"/>
                  <w:rFonts w:cs="Calibri"/>
                  <w:sz w:val="22"/>
                  <w:szCs w:val="22"/>
                </w:rPr>
                <w:delText xml:space="preserve">Sem incluir a dose de indução </w:delText>
              </w:r>
              <w:r w:rsidR="0035376C">
                <w:rPr>
                  <w:rStyle w:val="normaltextrun"/>
                  <w:rFonts w:cs="Calibri"/>
                  <w:sz w:val="22"/>
                  <w:szCs w:val="22"/>
                </w:rPr>
                <w:delText xml:space="preserve">em fase </w:delText>
              </w:r>
              <w:r w:rsidRPr="00140561">
                <w:rPr>
                  <w:rStyle w:val="normaltextrun"/>
                  <w:rFonts w:cs="Calibri"/>
                  <w:sz w:val="22"/>
                  <w:szCs w:val="22"/>
                </w:rPr>
                <w:delText>aberta de 2,4 mg/kg de Humira (</w:delText>
              </w:r>
              <w:r w:rsidR="007916BF">
                <w:rPr>
                  <w:rStyle w:val="normaltextrun"/>
                  <w:rFonts w:cs="Calibri"/>
                  <w:sz w:val="22"/>
                  <w:szCs w:val="22"/>
                </w:rPr>
                <w:delText>máximo de </w:delText>
              </w:r>
              <w:r w:rsidRPr="00140561">
                <w:rPr>
                  <w:rStyle w:val="normaltextrun"/>
                  <w:rFonts w:cs="Calibri"/>
                  <w:sz w:val="22"/>
                  <w:szCs w:val="22"/>
                </w:rPr>
                <w:delText>160 mg) na Semana 0 e na Semana 1, e 1,2 mg/kg (</w:delText>
              </w:r>
              <w:r w:rsidR="007916BF">
                <w:rPr>
                  <w:rStyle w:val="normaltextrun"/>
                  <w:rFonts w:cs="Calibri"/>
                  <w:sz w:val="22"/>
                  <w:szCs w:val="22"/>
                </w:rPr>
                <w:delText>máximo de </w:delText>
              </w:r>
              <w:r w:rsidRPr="00140561">
                <w:rPr>
                  <w:rStyle w:val="normaltextrun"/>
                  <w:rFonts w:cs="Calibri"/>
                  <w:sz w:val="22"/>
                  <w:szCs w:val="22"/>
                </w:rPr>
                <w:delText>80 mg) na Semana 2</w:delText>
              </w:r>
            </w:del>
          </w:p>
          <w:p w14:paraId="4DBC69F7" w14:textId="2276C419" w:rsidR="0057678E" w:rsidRPr="00174CD0" w:rsidRDefault="00615769">
            <w:pPr>
              <w:rPr>
                <w:del w:id="10762" w:author="AbbVie2" w:date="2025-05-13T16:39:00Z"/>
                <w:rFonts w:ascii="Segoe UI" w:hAnsi="Segoe UI" w:cs="Segoe UI"/>
                <w:sz w:val="22"/>
                <w:szCs w:val="22"/>
              </w:rPr>
              <w:pPrChange w:id="10763" w:author="AbbVie2" w:date="2025-05-13T16:40:00Z">
                <w:pPr>
                  <w:pStyle w:val="paragraph"/>
                  <w:spacing w:before="0" w:beforeAutospacing="0" w:after="0" w:afterAutospacing="0" w:line="276" w:lineRule="auto"/>
                  <w:textAlignment w:val="baseline"/>
                </w:pPr>
              </w:pPrChange>
            </w:pPr>
            <w:del w:id="10764" w:author="AbbVie2" w:date="2025-05-13T16:39:00Z">
              <w:r w:rsidRPr="00174CD0">
                <w:rPr>
                  <w:rStyle w:val="normaltextrun"/>
                  <w:rFonts w:cs="Calibri"/>
                  <w:sz w:val="22"/>
                  <w:szCs w:val="22"/>
                </w:rPr>
                <w:delText>Nota 1: Ambos os grupos de indução receberam 0,6 mg/kg (</w:delText>
              </w:r>
              <w:r w:rsidR="007916BF">
                <w:rPr>
                  <w:rStyle w:val="normaltextrun"/>
                  <w:rFonts w:cs="Calibri"/>
                  <w:sz w:val="22"/>
                  <w:szCs w:val="22"/>
                </w:rPr>
                <w:delText>máximo de </w:delText>
              </w:r>
              <w:r w:rsidRPr="00174CD0">
                <w:rPr>
                  <w:rStyle w:val="normaltextrun"/>
                  <w:rFonts w:cs="Calibri"/>
                  <w:sz w:val="22"/>
                  <w:szCs w:val="22"/>
                </w:rPr>
                <w:delText>40 mg) na Semana 4 e na Semana 6</w:delText>
              </w:r>
              <w:r w:rsidRPr="00174CD0">
                <w:rPr>
                  <w:rStyle w:val="eop"/>
                  <w:rFonts w:cs="Calibri"/>
                  <w:sz w:val="22"/>
                  <w:szCs w:val="22"/>
                </w:rPr>
                <w:delText> </w:delText>
              </w:r>
            </w:del>
          </w:p>
          <w:p w14:paraId="503A1740" w14:textId="7E2BA773" w:rsidR="0057678E" w:rsidRPr="00174CD0" w:rsidRDefault="00615769">
            <w:pPr>
              <w:rPr>
                <w:del w:id="10765" w:author="AbbVie2" w:date="2025-05-13T16:39:00Z"/>
                <w:sz w:val="22"/>
                <w:szCs w:val="22"/>
              </w:rPr>
              <w:pPrChange w:id="10766" w:author="AbbVie2" w:date="2025-05-13T16:40:00Z">
                <w:pPr>
                  <w:pStyle w:val="paragraph"/>
                  <w:spacing w:before="0" w:beforeAutospacing="0" w:after="0" w:afterAutospacing="0" w:line="276" w:lineRule="auto"/>
                  <w:textAlignment w:val="baseline"/>
                </w:pPr>
              </w:pPrChange>
            </w:pPr>
            <w:del w:id="10767" w:author="AbbVie2" w:date="2025-05-13T16:39:00Z">
              <w:r w:rsidRPr="00174CD0">
                <w:rPr>
                  <w:rStyle w:val="normaltextrun"/>
                  <w:rFonts w:cs="Calibri"/>
                  <w:sz w:val="22"/>
                  <w:szCs w:val="22"/>
                </w:rPr>
                <w:delText xml:space="preserve">Nota 2: Considerou-se que os doentes com valores em falta na Semana 8 não </w:delText>
              </w:r>
              <w:r w:rsidR="0035376C">
                <w:rPr>
                  <w:rStyle w:val="normaltextrun"/>
                  <w:rFonts w:cs="Calibri"/>
                  <w:sz w:val="22"/>
                  <w:szCs w:val="22"/>
                </w:rPr>
                <w:delText>atingiram</w:delText>
              </w:r>
              <w:r w:rsidRPr="00174CD0">
                <w:rPr>
                  <w:rStyle w:val="normaltextrun"/>
                  <w:rFonts w:cs="Calibri"/>
                  <w:sz w:val="22"/>
                  <w:szCs w:val="22"/>
                </w:rPr>
                <w:delText xml:space="preserve"> o objetivo</w:delText>
              </w:r>
              <w:r w:rsidRPr="00174CD0">
                <w:rPr>
                  <w:rStyle w:val="eop"/>
                  <w:rFonts w:cs="Calibri"/>
                  <w:sz w:val="22"/>
                  <w:szCs w:val="22"/>
                </w:rPr>
                <w:delText> </w:delText>
              </w:r>
            </w:del>
          </w:p>
        </w:tc>
      </w:tr>
    </w:tbl>
    <w:p w14:paraId="501E8554" w14:textId="56D70D9D" w:rsidR="0057678E" w:rsidRPr="00174CD0" w:rsidRDefault="0057678E" w:rsidP="00412FC8">
      <w:pPr>
        <w:rPr>
          <w:del w:id="10768" w:author="AbbVie2" w:date="2025-05-13T16:39:00Z"/>
          <w:rStyle w:val="normaltextrun"/>
          <w:sz w:val="22"/>
          <w:szCs w:val="22"/>
          <w:shd w:val="clear" w:color="auto" w:fill="FFFFFF"/>
        </w:rPr>
      </w:pPr>
    </w:p>
    <w:p w14:paraId="3DEDD06A" w14:textId="51C53175" w:rsidR="0057678E" w:rsidRPr="00174CD0" w:rsidRDefault="00615769" w:rsidP="00412FC8">
      <w:pPr>
        <w:rPr>
          <w:del w:id="10769" w:author="AbbVie2" w:date="2025-05-13T16:39:00Z"/>
          <w:sz w:val="22"/>
          <w:szCs w:val="22"/>
        </w:rPr>
      </w:pPr>
      <w:del w:id="10770" w:author="AbbVie2" w:date="2025-05-13T16:39:00Z">
        <w:r w:rsidRPr="00174CD0">
          <w:rPr>
            <w:rStyle w:val="normaltextrun"/>
            <w:sz w:val="22"/>
            <w:szCs w:val="22"/>
            <w:shd w:val="clear" w:color="auto" w:fill="FFFFFF"/>
          </w:rPr>
          <w:delText>Na Semana 52, foram avaliadas a remissão clínica de acor</w:delText>
        </w:r>
        <w:r>
          <w:rPr>
            <w:rStyle w:val="normaltextrun"/>
            <w:sz w:val="22"/>
            <w:szCs w:val="22"/>
            <w:shd w:val="clear" w:color="auto" w:fill="FFFFFF"/>
          </w:rPr>
          <w:delText>do com a FMS nos respondedores da</w:delText>
        </w:r>
        <w:r w:rsidRPr="00174CD0">
          <w:rPr>
            <w:rStyle w:val="normaltextrun"/>
            <w:sz w:val="22"/>
            <w:szCs w:val="22"/>
            <w:shd w:val="clear" w:color="auto" w:fill="FFFFFF"/>
          </w:rPr>
          <w:delText xml:space="preserve"> Semana 8, a resposta clínica de acordo com a FMS (definida como uma diminuição na pontuação de Mayo ≥ 3 pontos e ≥ 30% em comparação com os val</w:delText>
        </w:r>
        <w:r>
          <w:rPr>
            <w:rStyle w:val="normaltextrun"/>
            <w:sz w:val="22"/>
            <w:szCs w:val="22"/>
            <w:shd w:val="clear" w:color="auto" w:fill="FFFFFF"/>
          </w:rPr>
          <w:delText xml:space="preserve">ores </w:delText>
        </w:r>
        <w:r w:rsidR="0003518D">
          <w:rPr>
            <w:rStyle w:val="normaltextrun"/>
            <w:sz w:val="22"/>
            <w:szCs w:val="22"/>
            <w:shd w:val="clear" w:color="auto" w:fill="FFFFFF"/>
          </w:rPr>
          <w:delText>iniciais</w:delText>
        </w:r>
        <w:r>
          <w:rPr>
            <w:rStyle w:val="normaltextrun"/>
            <w:sz w:val="22"/>
            <w:szCs w:val="22"/>
            <w:shd w:val="clear" w:color="auto" w:fill="FFFFFF"/>
          </w:rPr>
          <w:delText>) nos respondedores da</w:delText>
        </w:r>
        <w:r w:rsidRPr="00174CD0">
          <w:rPr>
            <w:rStyle w:val="normaltextrun"/>
            <w:sz w:val="22"/>
            <w:szCs w:val="22"/>
            <w:shd w:val="clear" w:color="auto" w:fill="FFFFFF"/>
          </w:rPr>
          <w:delText xml:space="preserve"> Semana 8, a cicatrização da mucosa (definida como </w:delText>
        </w:r>
        <w:r w:rsidR="00942123">
          <w:rPr>
            <w:rStyle w:val="normaltextrun"/>
            <w:sz w:val="22"/>
            <w:szCs w:val="22"/>
            <w:shd w:val="clear" w:color="auto" w:fill="FFFFFF"/>
          </w:rPr>
          <w:delText>sub</w:delText>
        </w:r>
        <w:r w:rsidRPr="00174CD0">
          <w:rPr>
            <w:rStyle w:val="normaltextrun"/>
            <w:sz w:val="22"/>
            <w:szCs w:val="22"/>
            <w:shd w:val="clear" w:color="auto" w:fill="FFFFFF"/>
          </w:rPr>
          <w:delText xml:space="preserve">pontuação de endoscopia </w:delText>
        </w:r>
        <w:r>
          <w:rPr>
            <w:rStyle w:val="normaltextrun"/>
            <w:sz w:val="22"/>
            <w:szCs w:val="22"/>
            <w:shd w:val="clear" w:color="auto" w:fill="FFFFFF"/>
          </w:rPr>
          <w:delText>de Mayo ≤ 1) nos respondedores da</w:delText>
        </w:r>
        <w:r w:rsidRPr="00174CD0">
          <w:rPr>
            <w:rStyle w:val="normaltextrun"/>
            <w:sz w:val="22"/>
            <w:szCs w:val="22"/>
            <w:shd w:val="clear" w:color="auto" w:fill="FFFFFF"/>
          </w:rPr>
          <w:delText xml:space="preserve"> Semana 8, a remissão clínica de acordo com</w:delText>
        </w:r>
        <w:r>
          <w:rPr>
            <w:rStyle w:val="normaltextrun"/>
            <w:sz w:val="22"/>
            <w:szCs w:val="22"/>
            <w:shd w:val="clear" w:color="auto" w:fill="FFFFFF"/>
          </w:rPr>
          <w:delText xml:space="preserve"> a FMS nos doentes em remissão da</w:delText>
        </w:r>
        <w:r w:rsidRPr="00174CD0">
          <w:rPr>
            <w:rStyle w:val="normaltextrun"/>
            <w:sz w:val="22"/>
            <w:szCs w:val="22"/>
            <w:shd w:val="clear" w:color="auto" w:fill="FFFFFF"/>
          </w:rPr>
          <w:delText xml:space="preserve"> Semana 8 e a proporção dos indivíduos em remissão livre de corticosteroides de acor</w:delText>
        </w:r>
        <w:r>
          <w:rPr>
            <w:rStyle w:val="normaltextrun"/>
            <w:sz w:val="22"/>
            <w:szCs w:val="22"/>
            <w:shd w:val="clear" w:color="auto" w:fill="FFFFFF"/>
          </w:rPr>
          <w:delText>do com a FMS nos respondedores da</w:delText>
        </w:r>
        <w:r w:rsidRPr="00174CD0">
          <w:rPr>
            <w:rStyle w:val="normaltextrun"/>
            <w:sz w:val="22"/>
            <w:szCs w:val="22"/>
            <w:shd w:val="clear" w:color="auto" w:fill="FFFFFF"/>
          </w:rPr>
          <w:delText xml:space="preserve"> Semana 8, em doentes que rec</w:delText>
        </w:r>
        <w:r w:rsidRPr="00174CD0">
          <w:rPr>
            <w:rStyle w:val="normaltextrun"/>
            <w:sz w:val="22"/>
            <w:szCs w:val="22"/>
            <w:shd w:val="clear" w:color="auto" w:fill="FFFFFF"/>
          </w:rPr>
          <w:delText>eberam as doses de manutenção de Humira em dupla</w:delText>
        </w:r>
        <w:r>
          <w:rPr>
            <w:rStyle w:val="normaltextrun"/>
            <w:sz w:val="22"/>
            <w:szCs w:val="22"/>
            <w:shd w:val="clear" w:color="auto" w:fill="FFFFFF"/>
          </w:rPr>
          <w:delText xml:space="preserve"> ocultação de, no máximo, 40 mg em semanas alternadas </w:delText>
        </w:r>
        <w:r w:rsidRPr="00174CD0">
          <w:rPr>
            <w:rStyle w:val="normaltextrun"/>
            <w:sz w:val="22"/>
            <w:szCs w:val="22"/>
            <w:shd w:val="clear" w:color="auto" w:fill="FFFFFF"/>
          </w:rPr>
          <w:delText>(0,</w:delText>
        </w:r>
        <w:r>
          <w:rPr>
            <w:rStyle w:val="normaltextrun"/>
            <w:sz w:val="22"/>
            <w:szCs w:val="22"/>
            <w:shd w:val="clear" w:color="auto" w:fill="FFFFFF"/>
          </w:rPr>
          <w:delText>6 mg/kg) e de, no máximo, 40 mg semanalmente </w:delText>
        </w:r>
        <w:r w:rsidRPr="00174CD0">
          <w:rPr>
            <w:rStyle w:val="normaltextrun"/>
            <w:sz w:val="22"/>
            <w:szCs w:val="22"/>
            <w:shd w:val="clear" w:color="auto" w:fill="FFFFFF"/>
          </w:rPr>
          <w:delText>(0,6 mg/kg)</w:delText>
        </w:r>
        <w:r>
          <w:rPr>
            <w:rStyle w:val="normaltextrun"/>
            <w:sz w:val="22"/>
            <w:szCs w:val="22"/>
            <w:shd w:val="clear" w:color="auto" w:fill="FFFFFF"/>
          </w:rPr>
          <w:delText xml:space="preserve"> (Tabela 32</w:delText>
        </w:r>
        <w:r w:rsidRPr="00174CD0">
          <w:rPr>
            <w:rStyle w:val="normaltextrun"/>
            <w:sz w:val="22"/>
            <w:szCs w:val="22"/>
            <w:shd w:val="clear" w:color="auto" w:fill="FFFFFF"/>
          </w:rPr>
          <w:delText>).</w:delText>
        </w:r>
        <w:r w:rsidRPr="00174CD0">
          <w:rPr>
            <w:rStyle w:val="eop"/>
            <w:sz w:val="22"/>
            <w:szCs w:val="22"/>
            <w:shd w:val="clear" w:color="auto" w:fill="FFFFFF"/>
          </w:rPr>
          <w:delText> </w:delText>
        </w:r>
      </w:del>
    </w:p>
    <w:p w14:paraId="676157BC" w14:textId="15073EB5" w:rsidR="0057678E" w:rsidRPr="00174CD0" w:rsidRDefault="0057678E" w:rsidP="00412FC8">
      <w:pPr>
        <w:rPr>
          <w:del w:id="10771" w:author="AbbVie2" w:date="2025-05-13T16:39:00Z"/>
          <w:sz w:val="22"/>
          <w:szCs w:val="22"/>
        </w:rPr>
      </w:pPr>
    </w:p>
    <w:p w14:paraId="1C6FB059" w14:textId="5E1EA6B1" w:rsidR="0057678E" w:rsidRPr="0082333B" w:rsidRDefault="00615769">
      <w:pPr>
        <w:rPr>
          <w:del w:id="10772" w:author="AbbVie2" w:date="2025-05-13T16:39:00Z"/>
          <w:sz w:val="22"/>
          <w:szCs w:val="22"/>
          <w:lang w:eastAsia="en-GB"/>
        </w:rPr>
        <w:pPrChange w:id="10773" w:author="AbbVie2" w:date="2025-05-13T16:40:00Z">
          <w:pPr>
            <w:jc w:val="center"/>
            <w:textAlignment w:val="baseline"/>
          </w:pPr>
        </w:pPrChange>
      </w:pPr>
      <w:del w:id="10774" w:author="AbbVie2" w:date="2025-05-13T16:39:00Z">
        <w:r w:rsidRPr="0082333B">
          <w:rPr>
            <w:b/>
            <w:sz w:val="22"/>
            <w:szCs w:val="22"/>
            <w:lang w:eastAsia="en-GB"/>
          </w:rPr>
          <w:delText>Tabela</w:delText>
        </w:r>
        <w:r>
          <w:rPr>
            <w:b/>
            <w:sz w:val="22"/>
            <w:szCs w:val="22"/>
            <w:lang w:eastAsia="en-GB"/>
          </w:rPr>
          <w:delText> 32</w:delText>
        </w:r>
        <w:r w:rsidRPr="0082333B">
          <w:rPr>
            <w:b/>
            <w:sz w:val="22"/>
            <w:szCs w:val="22"/>
            <w:lang w:eastAsia="en-GB"/>
          </w:rPr>
          <w:delText xml:space="preserve">: Resultados de </w:delText>
        </w:r>
        <w:r w:rsidR="0003518D">
          <w:rPr>
            <w:b/>
            <w:sz w:val="22"/>
            <w:szCs w:val="22"/>
            <w:lang w:eastAsia="en-GB"/>
          </w:rPr>
          <w:delText>E</w:delText>
        </w:r>
        <w:r w:rsidRPr="0082333B">
          <w:rPr>
            <w:b/>
            <w:sz w:val="22"/>
            <w:szCs w:val="22"/>
            <w:lang w:eastAsia="en-GB"/>
          </w:rPr>
          <w:delText>ficácia à Semana</w:delText>
        </w:r>
        <w:r w:rsidR="0003518D">
          <w:rPr>
            <w:b/>
            <w:sz w:val="22"/>
            <w:szCs w:val="22"/>
            <w:lang w:eastAsia="en-GB"/>
          </w:rPr>
          <w:delText xml:space="preserve"> 52</w:delText>
        </w:r>
        <w:r w:rsidRPr="0082333B">
          <w:rPr>
            <w:sz w:val="22"/>
            <w:szCs w:val="22"/>
            <w:lang w:eastAsia="en-GB"/>
          </w:rPr>
          <w:delText> </w:delText>
        </w:r>
      </w:del>
    </w:p>
    <w:p w14:paraId="03CD1323" w14:textId="58EDB302" w:rsidR="0057678E" w:rsidRPr="0082333B" w:rsidRDefault="0057678E">
      <w:pPr>
        <w:rPr>
          <w:del w:id="10775" w:author="AbbVie2" w:date="2025-05-13T16:39:00Z"/>
          <w:sz w:val="22"/>
          <w:szCs w:val="22"/>
          <w:lang w:eastAsia="en-GB"/>
        </w:rPr>
        <w:pPrChange w:id="10776" w:author="AbbVie2" w:date="2025-05-13T16:40:00Z">
          <w:pPr>
            <w:jc w:val="center"/>
            <w:textAlignment w:val="baseline"/>
          </w:pPr>
        </w:pPrChange>
      </w:pP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6"/>
        <w:gridCol w:w="2409"/>
        <w:gridCol w:w="2633"/>
      </w:tblGrid>
      <w:tr w:rsidR="00A7162A" w14:paraId="66614F3B" w14:textId="384D05F1" w:rsidTr="00D22E86">
        <w:trPr>
          <w:trHeight w:val="912"/>
          <w:jc w:val="center"/>
          <w:del w:id="10777" w:author="AbbVie2" w:date="2025-05-13T16:39:00Z"/>
        </w:trPr>
        <w:tc>
          <w:tcPr>
            <w:tcW w:w="2526" w:type="dxa"/>
            <w:tcBorders>
              <w:top w:val="single" w:sz="6" w:space="0" w:color="auto"/>
              <w:left w:val="single" w:sz="6" w:space="0" w:color="auto"/>
              <w:bottom w:val="single" w:sz="6" w:space="0" w:color="auto"/>
              <w:right w:val="single" w:sz="6" w:space="0" w:color="auto"/>
            </w:tcBorders>
            <w:hideMark/>
          </w:tcPr>
          <w:p w14:paraId="6D63E028" w14:textId="31F94458" w:rsidR="0057678E" w:rsidRPr="0082333B" w:rsidRDefault="0057678E">
            <w:pPr>
              <w:rPr>
                <w:del w:id="10778" w:author="AbbVie2" w:date="2025-05-13T16:39:00Z"/>
                <w:sz w:val="22"/>
                <w:szCs w:val="22"/>
                <w:lang w:eastAsia="en-GB"/>
              </w:rPr>
              <w:pPrChange w:id="10779" w:author="AbbVie2" w:date="2025-05-13T16:40:00Z">
                <w:pPr>
                  <w:jc w:val="center"/>
                  <w:textAlignment w:val="baseline"/>
                </w:pPr>
              </w:pPrChange>
            </w:pPr>
          </w:p>
        </w:tc>
        <w:tc>
          <w:tcPr>
            <w:tcW w:w="2409" w:type="dxa"/>
            <w:tcBorders>
              <w:top w:val="single" w:sz="6" w:space="0" w:color="auto"/>
              <w:left w:val="nil"/>
              <w:bottom w:val="single" w:sz="6" w:space="0" w:color="auto"/>
              <w:right w:val="single" w:sz="6" w:space="0" w:color="auto"/>
            </w:tcBorders>
            <w:vAlign w:val="center"/>
            <w:hideMark/>
          </w:tcPr>
          <w:p w14:paraId="2B9B5272" w14:textId="617F13CD" w:rsidR="0057678E" w:rsidRPr="0057678E" w:rsidRDefault="00615769">
            <w:pPr>
              <w:rPr>
                <w:del w:id="10780" w:author="AbbVie2" w:date="2025-05-13T16:39:00Z"/>
                <w:sz w:val="22"/>
                <w:szCs w:val="22"/>
                <w:lang w:eastAsia="en-GB"/>
              </w:rPr>
              <w:pPrChange w:id="10781" w:author="AbbVie2" w:date="2025-05-13T16:40:00Z">
                <w:pPr>
                  <w:jc w:val="center"/>
                  <w:textAlignment w:val="baseline"/>
                </w:pPr>
              </w:pPrChange>
            </w:pPr>
            <w:del w:id="10782" w:author="AbbVie2" w:date="2025-05-13T16:39:00Z">
              <w:r w:rsidRPr="0057678E">
                <w:rPr>
                  <w:b/>
                  <w:bCs/>
                  <w:sz w:val="22"/>
                  <w:szCs w:val="22"/>
                  <w:lang w:eastAsia="en-GB"/>
                </w:rPr>
                <w:delText>Humira</w:delText>
              </w:r>
              <w:r w:rsidRPr="0057678E">
                <w:rPr>
                  <w:b/>
                  <w:sz w:val="22"/>
                  <w:szCs w:val="22"/>
                  <w:vertAlign w:val="superscript"/>
                  <w:lang w:eastAsia="en-GB"/>
                </w:rPr>
                <w:delText>a</w:delText>
              </w:r>
              <w:r w:rsidRPr="0057678E">
                <w:rPr>
                  <w:b/>
                  <w:bCs/>
                  <w:sz w:val="22"/>
                  <w:szCs w:val="22"/>
                  <w:lang w:eastAsia="en-GB"/>
                </w:rPr>
                <w:delText> </w:delText>
              </w:r>
              <w:r w:rsidRPr="0057678E">
                <w:rPr>
                  <w:sz w:val="22"/>
                  <w:szCs w:val="22"/>
                  <w:lang w:eastAsia="en-GB"/>
                </w:rPr>
                <w:delText> </w:delText>
              </w:r>
            </w:del>
          </w:p>
          <w:p w14:paraId="00B6B942" w14:textId="242C3020" w:rsidR="0057678E" w:rsidRPr="0082333B" w:rsidRDefault="00615769">
            <w:pPr>
              <w:rPr>
                <w:del w:id="10783" w:author="AbbVie2" w:date="2025-05-13T16:39:00Z"/>
                <w:sz w:val="22"/>
                <w:szCs w:val="22"/>
                <w:lang w:eastAsia="en-GB"/>
              </w:rPr>
              <w:pPrChange w:id="10784" w:author="AbbVie2" w:date="2025-05-13T16:40:00Z">
                <w:pPr>
                  <w:jc w:val="center"/>
                  <w:textAlignment w:val="baseline"/>
                </w:pPr>
              </w:pPrChange>
            </w:pPr>
            <w:del w:id="10785" w:author="AbbVie2" w:date="2025-05-13T16:39:00Z">
              <w:r w:rsidRPr="0082333B">
                <w:rPr>
                  <w:b/>
                  <w:bCs/>
                  <w:sz w:val="22"/>
                  <w:szCs w:val="22"/>
                  <w:lang w:eastAsia="en-GB"/>
                </w:rPr>
                <w:delText>Máxim</w:delText>
              </w:r>
              <w:r w:rsidR="00D22E86">
                <w:rPr>
                  <w:b/>
                  <w:bCs/>
                  <w:sz w:val="22"/>
                  <w:szCs w:val="22"/>
                  <w:lang w:eastAsia="en-GB"/>
                </w:rPr>
                <w:delText xml:space="preserve">o de 40 mg </w:delText>
              </w:r>
              <w:r w:rsidR="00D22E86" w:rsidRPr="00D22E86">
                <w:rPr>
                  <w:b/>
                  <w:bCs/>
                  <w:sz w:val="22"/>
                  <w:szCs w:val="22"/>
                  <w:lang w:eastAsia="en-GB"/>
                </w:rPr>
                <w:delText>em semanas alternadas</w:delText>
              </w:r>
              <w:r w:rsidRPr="0082333B">
                <w:rPr>
                  <w:sz w:val="22"/>
                  <w:szCs w:val="22"/>
                  <w:lang w:eastAsia="en-GB"/>
                </w:rPr>
                <w:delText> </w:delText>
              </w:r>
            </w:del>
          </w:p>
          <w:p w14:paraId="7CEDC448" w14:textId="60841D50" w:rsidR="0057678E" w:rsidRPr="0082333B" w:rsidRDefault="00615769">
            <w:pPr>
              <w:rPr>
                <w:del w:id="10786" w:author="AbbVie2" w:date="2025-05-13T16:39:00Z"/>
                <w:sz w:val="22"/>
                <w:szCs w:val="22"/>
                <w:lang w:eastAsia="en-GB"/>
              </w:rPr>
              <w:pPrChange w:id="10787" w:author="AbbVie2" w:date="2025-05-13T16:40:00Z">
                <w:pPr>
                  <w:jc w:val="center"/>
                  <w:textAlignment w:val="baseline"/>
                </w:pPr>
              </w:pPrChange>
            </w:pPr>
            <w:del w:id="10788" w:author="AbbVie2" w:date="2025-05-13T16:39:00Z">
              <w:r w:rsidRPr="0082333B">
                <w:rPr>
                  <w:sz w:val="22"/>
                  <w:szCs w:val="22"/>
                  <w:lang w:eastAsia="en-GB"/>
                </w:rPr>
                <w:delText>N=31</w:delText>
              </w:r>
            </w:del>
          </w:p>
        </w:tc>
        <w:tc>
          <w:tcPr>
            <w:tcW w:w="2633" w:type="dxa"/>
            <w:tcBorders>
              <w:top w:val="single" w:sz="6" w:space="0" w:color="auto"/>
              <w:left w:val="nil"/>
              <w:bottom w:val="single" w:sz="6" w:space="0" w:color="auto"/>
              <w:right w:val="single" w:sz="6" w:space="0" w:color="auto"/>
            </w:tcBorders>
            <w:vAlign w:val="center"/>
            <w:hideMark/>
          </w:tcPr>
          <w:p w14:paraId="488FFDE9" w14:textId="7BC5D113" w:rsidR="0057678E" w:rsidRPr="0057678E" w:rsidRDefault="00615769">
            <w:pPr>
              <w:rPr>
                <w:del w:id="10789" w:author="AbbVie2" w:date="2025-05-13T16:39:00Z"/>
                <w:sz w:val="22"/>
                <w:szCs w:val="22"/>
                <w:lang w:eastAsia="en-GB"/>
              </w:rPr>
              <w:pPrChange w:id="10790" w:author="AbbVie2" w:date="2025-05-13T16:40:00Z">
                <w:pPr>
                  <w:jc w:val="center"/>
                  <w:textAlignment w:val="baseline"/>
                </w:pPr>
              </w:pPrChange>
            </w:pPr>
            <w:del w:id="10791" w:author="AbbVie2" w:date="2025-05-13T16:39:00Z">
              <w:r w:rsidRPr="0057678E">
                <w:rPr>
                  <w:b/>
                  <w:bCs/>
                  <w:sz w:val="22"/>
                  <w:szCs w:val="22"/>
                  <w:lang w:eastAsia="en-GB"/>
                </w:rPr>
                <w:delText>Humira</w:delText>
              </w:r>
              <w:r w:rsidRPr="0057678E">
                <w:rPr>
                  <w:b/>
                  <w:sz w:val="22"/>
                  <w:szCs w:val="22"/>
                  <w:vertAlign w:val="superscript"/>
                  <w:lang w:eastAsia="en-GB"/>
                </w:rPr>
                <w:delText>b</w:delText>
              </w:r>
              <w:r w:rsidRPr="0057678E">
                <w:rPr>
                  <w:b/>
                  <w:bCs/>
                  <w:sz w:val="22"/>
                  <w:szCs w:val="22"/>
                  <w:lang w:eastAsia="en-GB"/>
                </w:rPr>
                <w:delText> </w:delText>
              </w:r>
              <w:r w:rsidRPr="0057678E">
                <w:rPr>
                  <w:sz w:val="22"/>
                  <w:szCs w:val="22"/>
                  <w:lang w:eastAsia="en-GB"/>
                </w:rPr>
                <w:delText> </w:delText>
              </w:r>
            </w:del>
          </w:p>
          <w:p w14:paraId="570CAD7C" w14:textId="55FDBFF2" w:rsidR="0057678E" w:rsidRPr="0057678E" w:rsidRDefault="00615769">
            <w:pPr>
              <w:rPr>
                <w:del w:id="10792" w:author="AbbVie2" w:date="2025-05-13T16:39:00Z"/>
                <w:sz w:val="22"/>
                <w:szCs w:val="22"/>
                <w:lang w:eastAsia="en-GB"/>
              </w:rPr>
              <w:pPrChange w:id="10793" w:author="AbbVie2" w:date="2025-05-13T16:40:00Z">
                <w:pPr>
                  <w:jc w:val="center"/>
                  <w:textAlignment w:val="baseline"/>
                </w:pPr>
              </w:pPrChange>
            </w:pPr>
            <w:del w:id="10794" w:author="AbbVie2" w:date="2025-05-13T16:39:00Z">
              <w:r w:rsidRPr="0057678E">
                <w:rPr>
                  <w:b/>
                  <w:bCs/>
                  <w:sz w:val="22"/>
                  <w:szCs w:val="22"/>
                  <w:lang w:eastAsia="en-GB"/>
                </w:rPr>
                <w:delText>Máximo de 40 mg</w:delText>
              </w:r>
              <w:r w:rsidR="00D22E86">
                <w:rPr>
                  <w:b/>
                  <w:bCs/>
                  <w:sz w:val="22"/>
                  <w:szCs w:val="22"/>
                  <w:lang w:eastAsia="en-GB"/>
                </w:rPr>
                <w:delText xml:space="preserve"> semanalmente</w:delText>
              </w:r>
              <w:r w:rsidRPr="0057678E">
                <w:rPr>
                  <w:sz w:val="22"/>
                  <w:szCs w:val="22"/>
                  <w:lang w:eastAsia="en-GB"/>
                </w:rPr>
                <w:delText> </w:delText>
              </w:r>
            </w:del>
          </w:p>
          <w:p w14:paraId="1C683FB9" w14:textId="20E97C29" w:rsidR="0057678E" w:rsidRPr="0057678E" w:rsidRDefault="00615769">
            <w:pPr>
              <w:rPr>
                <w:del w:id="10795" w:author="AbbVie2" w:date="2025-05-13T16:39:00Z"/>
                <w:sz w:val="22"/>
                <w:szCs w:val="22"/>
                <w:lang w:eastAsia="en-GB"/>
              </w:rPr>
              <w:pPrChange w:id="10796" w:author="AbbVie2" w:date="2025-05-13T16:40:00Z">
                <w:pPr>
                  <w:jc w:val="center"/>
                  <w:textAlignment w:val="baseline"/>
                </w:pPr>
              </w:pPrChange>
            </w:pPr>
            <w:del w:id="10797" w:author="AbbVie2" w:date="2025-05-13T16:39:00Z">
              <w:r w:rsidRPr="0057678E">
                <w:rPr>
                  <w:sz w:val="22"/>
                  <w:szCs w:val="22"/>
                  <w:lang w:eastAsia="en-GB"/>
                </w:rPr>
                <w:delText>N=31</w:delText>
              </w:r>
            </w:del>
          </w:p>
        </w:tc>
      </w:tr>
      <w:tr w:rsidR="00A7162A" w14:paraId="6A70B95A" w14:textId="33A4FD1B" w:rsidTr="00D22E86">
        <w:trPr>
          <w:trHeight w:val="570"/>
          <w:jc w:val="center"/>
          <w:del w:id="10798" w:author="AbbVie2" w:date="2025-05-13T16:39:00Z"/>
        </w:trPr>
        <w:tc>
          <w:tcPr>
            <w:tcW w:w="2526" w:type="dxa"/>
            <w:tcBorders>
              <w:top w:val="nil"/>
              <w:left w:val="single" w:sz="6" w:space="0" w:color="auto"/>
              <w:bottom w:val="single" w:sz="6" w:space="0" w:color="auto"/>
              <w:right w:val="single" w:sz="6" w:space="0" w:color="auto"/>
            </w:tcBorders>
            <w:vAlign w:val="center"/>
            <w:hideMark/>
          </w:tcPr>
          <w:p w14:paraId="3E297F06" w14:textId="0B5AC5C8" w:rsidR="0057678E" w:rsidRPr="00813F73" w:rsidRDefault="00615769">
            <w:pPr>
              <w:rPr>
                <w:del w:id="10799" w:author="AbbVie2" w:date="2025-05-13T16:39:00Z"/>
                <w:sz w:val="22"/>
                <w:szCs w:val="22"/>
                <w:lang w:eastAsia="en-GB"/>
              </w:rPr>
              <w:pPrChange w:id="10800" w:author="AbbVie2" w:date="2025-05-13T16:40:00Z">
                <w:pPr>
                  <w:textAlignment w:val="baseline"/>
                </w:pPr>
              </w:pPrChange>
            </w:pPr>
            <w:del w:id="10801" w:author="AbbVie2" w:date="2025-05-13T16:39:00Z">
              <w:r w:rsidRPr="00813F73">
                <w:rPr>
                  <w:sz w:val="22"/>
                  <w:szCs w:val="22"/>
                  <w:lang w:eastAsia="en-GB"/>
                </w:rPr>
                <w:delText>Remissão clínica nos respondedores PMS da Semana 8 </w:delText>
              </w:r>
            </w:del>
          </w:p>
        </w:tc>
        <w:tc>
          <w:tcPr>
            <w:tcW w:w="2409" w:type="dxa"/>
            <w:tcBorders>
              <w:top w:val="nil"/>
              <w:left w:val="nil"/>
              <w:bottom w:val="single" w:sz="6" w:space="0" w:color="auto"/>
              <w:right w:val="single" w:sz="6" w:space="0" w:color="auto"/>
            </w:tcBorders>
            <w:vAlign w:val="center"/>
            <w:hideMark/>
          </w:tcPr>
          <w:p w14:paraId="58FAD4EE" w14:textId="353006FF" w:rsidR="0057678E" w:rsidRPr="0082333B" w:rsidRDefault="00615769">
            <w:pPr>
              <w:rPr>
                <w:del w:id="10802" w:author="AbbVie2" w:date="2025-05-13T16:39:00Z"/>
                <w:sz w:val="22"/>
                <w:szCs w:val="22"/>
                <w:lang w:eastAsia="en-GB"/>
              </w:rPr>
              <w:pPrChange w:id="10803" w:author="AbbVie2" w:date="2025-05-13T16:40:00Z">
                <w:pPr>
                  <w:jc w:val="center"/>
                  <w:textAlignment w:val="baseline"/>
                </w:pPr>
              </w:pPrChange>
            </w:pPr>
            <w:del w:id="10804" w:author="AbbVie2" w:date="2025-05-13T16:39:00Z">
              <w:r w:rsidRPr="00AD4F25">
                <w:rPr>
                  <w:sz w:val="22"/>
                  <w:szCs w:val="22"/>
                  <w:lang w:eastAsia="en-GB"/>
                  <w:rPrChange w:id="10805" w:author="AbbVie2" w:date="2025-05-14T10:17:00Z">
                    <w:rPr>
                      <w:sz w:val="22"/>
                      <w:szCs w:val="22"/>
                      <w:lang w:val="en-US" w:eastAsia="en-GB"/>
                    </w:rPr>
                  </w:rPrChange>
                </w:rPr>
                <w:delText>9/31 (29,0%)</w:delText>
              </w:r>
              <w:r w:rsidRPr="0082333B">
                <w:rPr>
                  <w:sz w:val="22"/>
                  <w:szCs w:val="22"/>
                  <w:lang w:eastAsia="en-GB"/>
                </w:rPr>
                <w:delText> </w:delText>
              </w:r>
            </w:del>
          </w:p>
        </w:tc>
        <w:tc>
          <w:tcPr>
            <w:tcW w:w="2633" w:type="dxa"/>
            <w:tcBorders>
              <w:top w:val="nil"/>
              <w:left w:val="nil"/>
              <w:bottom w:val="single" w:sz="6" w:space="0" w:color="auto"/>
              <w:right w:val="single" w:sz="6" w:space="0" w:color="auto"/>
            </w:tcBorders>
            <w:vAlign w:val="center"/>
            <w:hideMark/>
          </w:tcPr>
          <w:p w14:paraId="29C7A0CE" w14:textId="0CCD1B82" w:rsidR="0057678E" w:rsidRPr="0082333B" w:rsidRDefault="00615769">
            <w:pPr>
              <w:rPr>
                <w:del w:id="10806" w:author="AbbVie2" w:date="2025-05-13T16:39:00Z"/>
                <w:sz w:val="22"/>
                <w:szCs w:val="22"/>
                <w:lang w:eastAsia="en-GB"/>
              </w:rPr>
              <w:pPrChange w:id="10807" w:author="AbbVie2" w:date="2025-05-13T16:40:00Z">
                <w:pPr>
                  <w:jc w:val="center"/>
                  <w:textAlignment w:val="baseline"/>
                </w:pPr>
              </w:pPrChange>
            </w:pPr>
            <w:del w:id="10808" w:author="AbbVie2" w:date="2025-05-13T16:39:00Z">
              <w:r w:rsidRPr="00AD4F25">
                <w:rPr>
                  <w:sz w:val="22"/>
                  <w:szCs w:val="22"/>
                  <w:lang w:eastAsia="en-GB"/>
                  <w:rPrChange w:id="10809" w:author="AbbVie2" w:date="2025-05-14T10:17:00Z">
                    <w:rPr>
                      <w:sz w:val="22"/>
                      <w:szCs w:val="22"/>
                      <w:lang w:val="en-US" w:eastAsia="en-GB"/>
                    </w:rPr>
                  </w:rPrChange>
                </w:rPr>
                <w:delText>14/31 (45,2%)</w:delText>
              </w:r>
            </w:del>
          </w:p>
        </w:tc>
      </w:tr>
      <w:tr w:rsidR="00A7162A" w14:paraId="3F233233" w14:textId="5C0FB99A" w:rsidTr="00D22E86">
        <w:trPr>
          <w:trHeight w:val="555"/>
          <w:jc w:val="center"/>
          <w:del w:id="10810" w:author="AbbVie2" w:date="2025-05-13T16:39:00Z"/>
        </w:trPr>
        <w:tc>
          <w:tcPr>
            <w:tcW w:w="2526" w:type="dxa"/>
            <w:tcBorders>
              <w:top w:val="nil"/>
              <w:left w:val="single" w:sz="6" w:space="0" w:color="auto"/>
              <w:bottom w:val="single" w:sz="6" w:space="0" w:color="auto"/>
              <w:right w:val="single" w:sz="6" w:space="0" w:color="auto"/>
            </w:tcBorders>
            <w:vAlign w:val="center"/>
            <w:hideMark/>
          </w:tcPr>
          <w:p w14:paraId="0183AC95" w14:textId="0CC65415" w:rsidR="0057678E" w:rsidRPr="00813F73" w:rsidRDefault="00615769">
            <w:pPr>
              <w:rPr>
                <w:del w:id="10811" w:author="AbbVie2" w:date="2025-05-13T16:39:00Z"/>
                <w:sz w:val="22"/>
                <w:szCs w:val="22"/>
                <w:lang w:eastAsia="en-GB"/>
              </w:rPr>
              <w:pPrChange w:id="10812" w:author="AbbVie2" w:date="2025-05-13T16:40:00Z">
                <w:pPr>
                  <w:textAlignment w:val="baseline"/>
                </w:pPr>
              </w:pPrChange>
            </w:pPr>
            <w:del w:id="10813" w:author="AbbVie2" w:date="2025-05-13T16:39:00Z">
              <w:r w:rsidRPr="00813F73">
                <w:rPr>
                  <w:sz w:val="22"/>
                  <w:szCs w:val="22"/>
                  <w:lang w:eastAsia="en-GB"/>
                </w:rPr>
                <w:delText>Resposta clínica nos respondedores PMS da Semana 8 </w:delText>
              </w:r>
            </w:del>
          </w:p>
        </w:tc>
        <w:tc>
          <w:tcPr>
            <w:tcW w:w="2409" w:type="dxa"/>
            <w:tcBorders>
              <w:top w:val="nil"/>
              <w:left w:val="nil"/>
              <w:bottom w:val="single" w:sz="6" w:space="0" w:color="auto"/>
              <w:right w:val="single" w:sz="6" w:space="0" w:color="auto"/>
            </w:tcBorders>
            <w:vAlign w:val="center"/>
            <w:hideMark/>
          </w:tcPr>
          <w:p w14:paraId="33807F69" w14:textId="564621C9" w:rsidR="0057678E" w:rsidRPr="0082333B" w:rsidRDefault="00615769">
            <w:pPr>
              <w:rPr>
                <w:del w:id="10814" w:author="AbbVie2" w:date="2025-05-13T16:39:00Z"/>
                <w:sz w:val="22"/>
                <w:szCs w:val="22"/>
                <w:lang w:eastAsia="en-GB"/>
              </w:rPr>
              <w:pPrChange w:id="10815" w:author="AbbVie2" w:date="2025-05-13T16:40:00Z">
                <w:pPr>
                  <w:jc w:val="center"/>
                  <w:textAlignment w:val="baseline"/>
                </w:pPr>
              </w:pPrChange>
            </w:pPr>
            <w:del w:id="10816" w:author="AbbVie2" w:date="2025-05-13T16:39:00Z">
              <w:r w:rsidRPr="00AD4F25">
                <w:rPr>
                  <w:sz w:val="22"/>
                  <w:szCs w:val="22"/>
                  <w:lang w:eastAsia="en-GB"/>
                  <w:rPrChange w:id="10817" w:author="AbbVie2" w:date="2025-05-14T10:17:00Z">
                    <w:rPr>
                      <w:sz w:val="22"/>
                      <w:szCs w:val="22"/>
                      <w:lang w:val="en-US" w:eastAsia="en-GB"/>
                    </w:rPr>
                  </w:rPrChange>
                </w:rPr>
                <w:delText>19/31 (61,3%)</w:delText>
              </w:r>
              <w:r w:rsidRPr="0082333B">
                <w:rPr>
                  <w:sz w:val="22"/>
                  <w:szCs w:val="22"/>
                  <w:lang w:eastAsia="en-GB"/>
                </w:rPr>
                <w:delText> </w:delText>
              </w:r>
            </w:del>
          </w:p>
        </w:tc>
        <w:tc>
          <w:tcPr>
            <w:tcW w:w="2633" w:type="dxa"/>
            <w:tcBorders>
              <w:top w:val="nil"/>
              <w:left w:val="nil"/>
              <w:bottom w:val="single" w:sz="6" w:space="0" w:color="auto"/>
              <w:right w:val="single" w:sz="6" w:space="0" w:color="auto"/>
            </w:tcBorders>
            <w:vAlign w:val="center"/>
            <w:hideMark/>
          </w:tcPr>
          <w:p w14:paraId="63A4AA39" w14:textId="07D6F207" w:rsidR="0057678E" w:rsidRPr="0082333B" w:rsidRDefault="00615769">
            <w:pPr>
              <w:rPr>
                <w:del w:id="10818" w:author="AbbVie2" w:date="2025-05-13T16:39:00Z"/>
                <w:sz w:val="22"/>
                <w:szCs w:val="22"/>
                <w:lang w:eastAsia="en-GB"/>
              </w:rPr>
              <w:pPrChange w:id="10819" w:author="AbbVie2" w:date="2025-05-13T16:40:00Z">
                <w:pPr>
                  <w:jc w:val="center"/>
                  <w:textAlignment w:val="baseline"/>
                </w:pPr>
              </w:pPrChange>
            </w:pPr>
            <w:del w:id="10820" w:author="AbbVie2" w:date="2025-05-13T16:39:00Z">
              <w:r w:rsidRPr="00AD4F25">
                <w:rPr>
                  <w:sz w:val="22"/>
                  <w:szCs w:val="22"/>
                  <w:lang w:eastAsia="en-GB"/>
                  <w:rPrChange w:id="10821" w:author="AbbVie2" w:date="2025-05-14T10:17:00Z">
                    <w:rPr>
                      <w:sz w:val="22"/>
                      <w:szCs w:val="22"/>
                      <w:lang w:val="en-US" w:eastAsia="en-GB"/>
                    </w:rPr>
                  </w:rPrChange>
                </w:rPr>
                <w:delText>21/31 (67,7%)</w:delText>
              </w:r>
              <w:r w:rsidRPr="0082333B">
                <w:rPr>
                  <w:sz w:val="22"/>
                  <w:szCs w:val="22"/>
                  <w:lang w:eastAsia="en-GB"/>
                </w:rPr>
                <w:delText> </w:delText>
              </w:r>
            </w:del>
          </w:p>
        </w:tc>
      </w:tr>
      <w:tr w:rsidR="00A7162A" w14:paraId="506214F9" w14:textId="3D7FF322" w:rsidTr="00D22E86">
        <w:trPr>
          <w:jc w:val="center"/>
          <w:del w:id="10822" w:author="AbbVie2" w:date="2025-05-13T16:39:00Z"/>
        </w:trPr>
        <w:tc>
          <w:tcPr>
            <w:tcW w:w="2526" w:type="dxa"/>
            <w:tcBorders>
              <w:top w:val="nil"/>
              <w:left w:val="single" w:sz="6" w:space="0" w:color="auto"/>
              <w:bottom w:val="single" w:sz="6" w:space="0" w:color="auto"/>
              <w:right w:val="single" w:sz="6" w:space="0" w:color="auto"/>
            </w:tcBorders>
            <w:vAlign w:val="center"/>
            <w:hideMark/>
          </w:tcPr>
          <w:p w14:paraId="44499675" w14:textId="3A97C50F" w:rsidR="0057678E" w:rsidRPr="00813F73" w:rsidRDefault="00615769">
            <w:pPr>
              <w:rPr>
                <w:del w:id="10823" w:author="AbbVie2" w:date="2025-05-13T16:39:00Z"/>
                <w:sz w:val="22"/>
                <w:szCs w:val="22"/>
                <w:lang w:eastAsia="en-GB"/>
              </w:rPr>
              <w:pPrChange w:id="10824" w:author="AbbVie2" w:date="2025-05-13T16:40:00Z">
                <w:pPr>
                  <w:textAlignment w:val="baseline"/>
                </w:pPr>
              </w:pPrChange>
            </w:pPr>
            <w:del w:id="10825" w:author="AbbVie2" w:date="2025-05-13T16:39:00Z">
              <w:r w:rsidRPr="00813F73">
                <w:rPr>
                  <w:sz w:val="22"/>
                  <w:szCs w:val="22"/>
                  <w:lang w:eastAsia="en-GB"/>
                </w:rPr>
                <w:delText>Cicatrização da mucosa nos respondedores PMS da Semana 8 </w:delText>
              </w:r>
            </w:del>
          </w:p>
        </w:tc>
        <w:tc>
          <w:tcPr>
            <w:tcW w:w="2409" w:type="dxa"/>
            <w:tcBorders>
              <w:top w:val="nil"/>
              <w:left w:val="nil"/>
              <w:bottom w:val="single" w:sz="6" w:space="0" w:color="auto"/>
              <w:right w:val="single" w:sz="6" w:space="0" w:color="auto"/>
            </w:tcBorders>
            <w:vAlign w:val="center"/>
            <w:hideMark/>
          </w:tcPr>
          <w:p w14:paraId="561DEEBA" w14:textId="773394B6" w:rsidR="0057678E" w:rsidRPr="00813F73" w:rsidRDefault="00615769">
            <w:pPr>
              <w:rPr>
                <w:del w:id="10826" w:author="AbbVie2" w:date="2025-05-13T16:39:00Z"/>
                <w:sz w:val="22"/>
                <w:szCs w:val="22"/>
                <w:lang w:eastAsia="en-GB"/>
              </w:rPr>
              <w:pPrChange w:id="10827" w:author="AbbVie2" w:date="2025-05-13T16:40:00Z">
                <w:pPr>
                  <w:jc w:val="center"/>
                  <w:textAlignment w:val="baseline"/>
                </w:pPr>
              </w:pPrChange>
            </w:pPr>
            <w:del w:id="10828" w:author="AbbVie2" w:date="2025-05-13T16:39:00Z">
              <w:r w:rsidRPr="00AD4F25">
                <w:rPr>
                  <w:sz w:val="22"/>
                  <w:szCs w:val="22"/>
                  <w:lang w:eastAsia="en-GB"/>
                  <w:rPrChange w:id="10829" w:author="AbbVie2" w:date="2025-05-14T10:17:00Z">
                    <w:rPr>
                      <w:sz w:val="22"/>
                      <w:szCs w:val="22"/>
                      <w:lang w:val="en-US" w:eastAsia="en-GB"/>
                    </w:rPr>
                  </w:rPrChange>
                </w:rPr>
                <w:delText>12/31 (38,7%)</w:delText>
              </w:r>
              <w:r w:rsidRPr="00813F73">
                <w:rPr>
                  <w:sz w:val="22"/>
                  <w:szCs w:val="22"/>
                  <w:lang w:eastAsia="en-GB"/>
                </w:rPr>
                <w:delText> </w:delText>
              </w:r>
            </w:del>
          </w:p>
        </w:tc>
        <w:tc>
          <w:tcPr>
            <w:tcW w:w="2633" w:type="dxa"/>
            <w:tcBorders>
              <w:top w:val="nil"/>
              <w:left w:val="nil"/>
              <w:bottom w:val="single" w:sz="6" w:space="0" w:color="auto"/>
              <w:right w:val="single" w:sz="6" w:space="0" w:color="auto"/>
            </w:tcBorders>
            <w:vAlign w:val="center"/>
            <w:hideMark/>
          </w:tcPr>
          <w:p w14:paraId="555C48CF" w14:textId="462611A6" w:rsidR="0057678E" w:rsidRPr="00813F73" w:rsidRDefault="00615769">
            <w:pPr>
              <w:rPr>
                <w:del w:id="10830" w:author="AbbVie2" w:date="2025-05-13T16:39:00Z"/>
                <w:sz w:val="22"/>
                <w:szCs w:val="22"/>
                <w:lang w:eastAsia="en-GB"/>
              </w:rPr>
              <w:pPrChange w:id="10831" w:author="AbbVie2" w:date="2025-05-13T16:40:00Z">
                <w:pPr>
                  <w:jc w:val="center"/>
                  <w:textAlignment w:val="baseline"/>
                </w:pPr>
              </w:pPrChange>
            </w:pPr>
            <w:del w:id="10832" w:author="AbbVie2" w:date="2025-05-13T16:39:00Z">
              <w:r w:rsidRPr="00AD4F25">
                <w:rPr>
                  <w:sz w:val="22"/>
                  <w:szCs w:val="22"/>
                  <w:lang w:eastAsia="en-GB"/>
                  <w:rPrChange w:id="10833" w:author="AbbVie2" w:date="2025-05-14T10:17:00Z">
                    <w:rPr>
                      <w:sz w:val="22"/>
                      <w:szCs w:val="22"/>
                      <w:lang w:val="en-US" w:eastAsia="en-GB"/>
                    </w:rPr>
                  </w:rPrChange>
                </w:rPr>
                <w:delText>16/31 (51,6%)</w:delText>
              </w:r>
              <w:r w:rsidRPr="00813F73">
                <w:rPr>
                  <w:sz w:val="22"/>
                  <w:szCs w:val="22"/>
                  <w:lang w:eastAsia="en-GB"/>
                </w:rPr>
                <w:delText> </w:delText>
              </w:r>
            </w:del>
          </w:p>
        </w:tc>
      </w:tr>
      <w:tr w:rsidR="00A7162A" w14:paraId="584D8E7E" w14:textId="7B3E6341" w:rsidTr="00D22E86">
        <w:trPr>
          <w:jc w:val="center"/>
          <w:del w:id="10834" w:author="AbbVie2" w:date="2025-05-13T16:39:00Z"/>
        </w:trPr>
        <w:tc>
          <w:tcPr>
            <w:tcW w:w="2526" w:type="dxa"/>
            <w:tcBorders>
              <w:top w:val="nil"/>
              <w:left w:val="single" w:sz="6" w:space="0" w:color="auto"/>
              <w:bottom w:val="single" w:sz="6" w:space="0" w:color="auto"/>
              <w:right w:val="single" w:sz="6" w:space="0" w:color="auto"/>
            </w:tcBorders>
            <w:vAlign w:val="center"/>
            <w:hideMark/>
          </w:tcPr>
          <w:p w14:paraId="5DCB8440" w14:textId="2684886F" w:rsidR="0057678E" w:rsidRPr="00813F73" w:rsidRDefault="00615769">
            <w:pPr>
              <w:rPr>
                <w:del w:id="10835" w:author="AbbVie2" w:date="2025-05-13T16:39:00Z"/>
                <w:sz w:val="22"/>
                <w:szCs w:val="22"/>
                <w:lang w:eastAsia="en-GB"/>
              </w:rPr>
              <w:pPrChange w:id="10836" w:author="AbbVie2" w:date="2025-05-13T16:40:00Z">
                <w:pPr>
                  <w:textAlignment w:val="baseline"/>
                </w:pPr>
              </w:pPrChange>
            </w:pPr>
            <w:del w:id="10837" w:author="AbbVie2" w:date="2025-05-13T16:39:00Z">
              <w:r w:rsidRPr="00813F73">
                <w:rPr>
                  <w:sz w:val="22"/>
                  <w:szCs w:val="22"/>
                  <w:lang w:eastAsia="en-GB"/>
                </w:rPr>
                <w:delText>Remissão clínica nos doentes em remissão PMS da Semana 8 </w:delText>
              </w:r>
            </w:del>
          </w:p>
        </w:tc>
        <w:tc>
          <w:tcPr>
            <w:tcW w:w="2409" w:type="dxa"/>
            <w:tcBorders>
              <w:top w:val="nil"/>
              <w:left w:val="nil"/>
              <w:bottom w:val="single" w:sz="6" w:space="0" w:color="auto"/>
              <w:right w:val="single" w:sz="6" w:space="0" w:color="auto"/>
            </w:tcBorders>
            <w:vAlign w:val="center"/>
            <w:hideMark/>
          </w:tcPr>
          <w:p w14:paraId="639D6563" w14:textId="68DA592D" w:rsidR="0057678E" w:rsidRPr="00813F73" w:rsidRDefault="00615769">
            <w:pPr>
              <w:rPr>
                <w:del w:id="10838" w:author="AbbVie2" w:date="2025-05-13T16:39:00Z"/>
                <w:sz w:val="22"/>
                <w:szCs w:val="22"/>
                <w:lang w:eastAsia="en-GB"/>
              </w:rPr>
              <w:pPrChange w:id="10839" w:author="AbbVie2" w:date="2025-05-13T16:40:00Z">
                <w:pPr>
                  <w:jc w:val="center"/>
                  <w:textAlignment w:val="baseline"/>
                </w:pPr>
              </w:pPrChange>
            </w:pPr>
            <w:del w:id="10840" w:author="AbbVie2" w:date="2025-05-13T16:39:00Z">
              <w:r w:rsidRPr="00AD4F25">
                <w:rPr>
                  <w:sz w:val="22"/>
                  <w:szCs w:val="22"/>
                  <w:lang w:eastAsia="en-GB"/>
                  <w:rPrChange w:id="10841" w:author="AbbVie2" w:date="2025-05-14T10:17:00Z">
                    <w:rPr>
                      <w:sz w:val="22"/>
                      <w:szCs w:val="22"/>
                      <w:lang w:val="en-US" w:eastAsia="en-GB"/>
                    </w:rPr>
                  </w:rPrChange>
                </w:rPr>
                <w:delText>9/21 (42,9%)</w:delText>
              </w:r>
              <w:r w:rsidRPr="00813F73">
                <w:rPr>
                  <w:sz w:val="22"/>
                  <w:szCs w:val="22"/>
                  <w:lang w:eastAsia="en-GB"/>
                </w:rPr>
                <w:delText> </w:delText>
              </w:r>
            </w:del>
          </w:p>
        </w:tc>
        <w:tc>
          <w:tcPr>
            <w:tcW w:w="2633" w:type="dxa"/>
            <w:tcBorders>
              <w:top w:val="nil"/>
              <w:left w:val="nil"/>
              <w:bottom w:val="single" w:sz="6" w:space="0" w:color="auto"/>
              <w:right w:val="single" w:sz="6" w:space="0" w:color="auto"/>
            </w:tcBorders>
            <w:vAlign w:val="center"/>
            <w:hideMark/>
          </w:tcPr>
          <w:p w14:paraId="28477483" w14:textId="7AA085EA" w:rsidR="0057678E" w:rsidRPr="00813F73" w:rsidRDefault="00615769">
            <w:pPr>
              <w:rPr>
                <w:del w:id="10842" w:author="AbbVie2" w:date="2025-05-13T16:39:00Z"/>
                <w:sz w:val="22"/>
                <w:szCs w:val="22"/>
                <w:lang w:eastAsia="en-GB"/>
              </w:rPr>
              <w:pPrChange w:id="10843" w:author="AbbVie2" w:date="2025-05-13T16:40:00Z">
                <w:pPr>
                  <w:jc w:val="center"/>
                  <w:textAlignment w:val="baseline"/>
                </w:pPr>
              </w:pPrChange>
            </w:pPr>
            <w:del w:id="10844" w:author="AbbVie2" w:date="2025-05-13T16:39:00Z">
              <w:r w:rsidRPr="00AD4F25">
                <w:rPr>
                  <w:sz w:val="22"/>
                  <w:szCs w:val="22"/>
                  <w:lang w:eastAsia="en-GB"/>
                  <w:rPrChange w:id="10845" w:author="AbbVie2" w:date="2025-05-14T10:17:00Z">
                    <w:rPr>
                      <w:sz w:val="22"/>
                      <w:szCs w:val="22"/>
                      <w:lang w:val="en-US" w:eastAsia="en-GB"/>
                    </w:rPr>
                  </w:rPrChange>
                </w:rPr>
                <w:delText>10/22 (45,5%)</w:delText>
              </w:r>
              <w:r w:rsidRPr="00813F73">
                <w:rPr>
                  <w:sz w:val="22"/>
                  <w:szCs w:val="22"/>
                  <w:lang w:eastAsia="en-GB"/>
                </w:rPr>
                <w:delText> </w:delText>
              </w:r>
            </w:del>
          </w:p>
        </w:tc>
      </w:tr>
      <w:tr w:rsidR="00A7162A" w14:paraId="0D9A981D" w14:textId="57B5D04F" w:rsidTr="00D22E86">
        <w:trPr>
          <w:jc w:val="center"/>
          <w:del w:id="10846" w:author="AbbVie2" w:date="2025-05-13T16:39:00Z"/>
        </w:trPr>
        <w:tc>
          <w:tcPr>
            <w:tcW w:w="2526" w:type="dxa"/>
            <w:tcBorders>
              <w:top w:val="nil"/>
              <w:left w:val="single" w:sz="6" w:space="0" w:color="auto"/>
              <w:bottom w:val="single" w:sz="6" w:space="0" w:color="auto"/>
              <w:right w:val="single" w:sz="6" w:space="0" w:color="auto"/>
            </w:tcBorders>
            <w:vAlign w:val="center"/>
            <w:hideMark/>
          </w:tcPr>
          <w:p w14:paraId="32606DDD" w14:textId="17E4B80C" w:rsidR="0057678E" w:rsidRPr="00813F73" w:rsidRDefault="00615769">
            <w:pPr>
              <w:rPr>
                <w:del w:id="10847" w:author="AbbVie2" w:date="2025-05-13T16:39:00Z"/>
                <w:sz w:val="22"/>
                <w:szCs w:val="22"/>
                <w:lang w:eastAsia="en-GB"/>
              </w:rPr>
              <w:pPrChange w:id="10848" w:author="AbbVie2" w:date="2025-05-13T16:40:00Z">
                <w:pPr>
                  <w:textAlignment w:val="baseline"/>
                </w:pPr>
              </w:pPrChange>
            </w:pPr>
            <w:del w:id="10849" w:author="AbbVie2" w:date="2025-05-13T16:39:00Z">
              <w:r w:rsidRPr="00813F73">
                <w:rPr>
                  <w:sz w:val="22"/>
                  <w:szCs w:val="22"/>
                  <w:lang w:eastAsia="en-GB"/>
                </w:rPr>
                <w:delText>Remissão livre de corticosteroides nos respondedores PMS da Semana 8</w:delText>
              </w:r>
              <w:r w:rsidRPr="00813F73">
                <w:rPr>
                  <w:sz w:val="22"/>
                  <w:szCs w:val="22"/>
                  <w:vertAlign w:val="superscript"/>
                  <w:lang w:eastAsia="en-GB"/>
                </w:rPr>
                <w:delText>c</w:delText>
              </w:r>
              <w:r w:rsidRPr="00813F73">
                <w:rPr>
                  <w:sz w:val="22"/>
                  <w:szCs w:val="22"/>
                  <w:lang w:eastAsia="en-GB"/>
                </w:rPr>
                <w:delText> </w:delText>
              </w:r>
            </w:del>
          </w:p>
        </w:tc>
        <w:tc>
          <w:tcPr>
            <w:tcW w:w="2409" w:type="dxa"/>
            <w:tcBorders>
              <w:top w:val="nil"/>
              <w:left w:val="nil"/>
              <w:bottom w:val="single" w:sz="6" w:space="0" w:color="auto"/>
              <w:right w:val="single" w:sz="6" w:space="0" w:color="auto"/>
            </w:tcBorders>
            <w:vAlign w:val="center"/>
            <w:hideMark/>
          </w:tcPr>
          <w:p w14:paraId="386374F4" w14:textId="6B8A6558" w:rsidR="0057678E" w:rsidRPr="00813F73" w:rsidRDefault="00615769">
            <w:pPr>
              <w:rPr>
                <w:del w:id="10850" w:author="AbbVie2" w:date="2025-05-13T16:39:00Z"/>
                <w:sz w:val="22"/>
                <w:szCs w:val="22"/>
                <w:lang w:eastAsia="en-GB"/>
              </w:rPr>
              <w:pPrChange w:id="10851" w:author="AbbVie2" w:date="2025-05-13T16:40:00Z">
                <w:pPr>
                  <w:jc w:val="center"/>
                  <w:textAlignment w:val="baseline"/>
                </w:pPr>
              </w:pPrChange>
            </w:pPr>
            <w:del w:id="10852" w:author="AbbVie2" w:date="2025-05-13T16:39:00Z">
              <w:r w:rsidRPr="00AD4F25">
                <w:rPr>
                  <w:sz w:val="22"/>
                  <w:szCs w:val="22"/>
                  <w:lang w:eastAsia="en-GB"/>
                  <w:rPrChange w:id="10853" w:author="AbbVie2" w:date="2025-05-14T10:17:00Z">
                    <w:rPr>
                      <w:sz w:val="22"/>
                      <w:szCs w:val="22"/>
                      <w:lang w:val="en-US" w:eastAsia="en-GB"/>
                    </w:rPr>
                  </w:rPrChange>
                </w:rPr>
                <w:delText>4/13 (30,8%)</w:delText>
              </w:r>
              <w:r w:rsidRPr="00813F73">
                <w:rPr>
                  <w:sz w:val="22"/>
                  <w:szCs w:val="22"/>
                  <w:lang w:eastAsia="en-GB"/>
                </w:rPr>
                <w:delText> </w:delText>
              </w:r>
            </w:del>
          </w:p>
        </w:tc>
        <w:tc>
          <w:tcPr>
            <w:tcW w:w="2633" w:type="dxa"/>
            <w:tcBorders>
              <w:top w:val="nil"/>
              <w:left w:val="nil"/>
              <w:bottom w:val="single" w:sz="6" w:space="0" w:color="auto"/>
              <w:right w:val="single" w:sz="6" w:space="0" w:color="auto"/>
            </w:tcBorders>
            <w:vAlign w:val="center"/>
            <w:hideMark/>
          </w:tcPr>
          <w:p w14:paraId="5A8A7AEC" w14:textId="15040EBB" w:rsidR="0057678E" w:rsidRPr="00813F73" w:rsidRDefault="00615769">
            <w:pPr>
              <w:rPr>
                <w:del w:id="10854" w:author="AbbVie2" w:date="2025-05-13T16:39:00Z"/>
                <w:sz w:val="22"/>
                <w:szCs w:val="22"/>
                <w:lang w:eastAsia="en-GB"/>
              </w:rPr>
              <w:pPrChange w:id="10855" w:author="AbbVie2" w:date="2025-05-13T16:40:00Z">
                <w:pPr>
                  <w:jc w:val="center"/>
                  <w:textAlignment w:val="baseline"/>
                </w:pPr>
              </w:pPrChange>
            </w:pPr>
            <w:del w:id="10856" w:author="AbbVie2" w:date="2025-05-13T16:39:00Z">
              <w:r w:rsidRPr="00AD4F25">
                <w:rPr>
                  <w:sz w:val="22"/>
                  <w:szCs w:val="22"/>
                  <w:lang w:eastAsia="en-GB"/>
                  <w:rPrChange w:id="10857" w:author="AbbVie2" w:date="2025-05-14T10:17:00Z">
                    <w:rPr>
                      <w:sz w:val="22"/>
                      <w:szCs w:val="22"/>
                      <w:lang w:val="en-US" w:eastAsia="en-GB"/>
                    </w:rPr>
                  </w:rPrChange>
                </w:rPr>
                <w:delText>5/16 (31,3%)</w:delText>
              </w:r>
              <w:r w:rsidRPr="00813F73">
                <w:rPr>
                  <w:sz w:val="22"/>
                  <w:szCs w:val="22"/>
                  <w:lang w:eastAsia="en-GB"/>
                </w:rPr>
                <w:delText> </w:delText>
              </w:r>
            </w:del>
          </w:p>
        </w:tc>
      </w:tr>
      <w:tr w:rsidR="00A7162A" w14:paraId="132463D6" w14:textId="7E3A4CC2" w:rsidTr="00D22E86">
        <w:trPr>
          <w:jc w:val="center"/>
          <w:del w:id="10858" w:author="AbbVie2" w:date="2025-05-13T16:39:00Z"/>
        </w:trPr>
        <w:tc>
          <w:tcPr>
            <w:tcW w:w="7568" w:type="dxa"/>
            <w:gridSpan w:val="3"/>
            <w:tcBorders>
              <w:top w:val="nil"/>
              <w:left w:val="single" w:sz="6" w:space="0" w:color="auto"/>
              <w:bottom w:val="single" w:sz="6" w:space="0" w:color="auto"/>
              <w:right w:val="single" w:sz="6" w:space="0" w:color="auto"/>
            </w:tcBorders>
            <w:hideMark/>
          </w:tcPr>
          <w:p w14:paraId="7ECA44FB" w14:textId="0A6DA1FC" w:rsidR="0057678E" w:rsidRPr="00813F73" w:rsidRDefault="00615769">
            <w:pPr>
              <w:rPr>
                <w:del w:id="10859" w:author="AbbVie2" w:date="2025-05-13T16:39:00Z"/>
                <w:sz w:val="22"/>
                <w:szCs w:val="22"/>
                <w:lang w:eastAsia="en-GB"/>
              </w:rPr>
              <w:pPrChange w:id="10860" w:author="AbbVie2" w:date="2025-05-13T16:40:00Z">
                <w:pPr>
                  <w:textAlignment w:val="baseline"/>
                </w:pPr>
              </w:pPrChange>
            </w:pPr>
            <w:del w:id="10861" w:author="AbbVie2" w:date="2025-05-13T16:39:00Z">
              <w:r w:rsidRPr="00813F73">
                <w:rPr>
                  <w:sz w:val="22"/>
                  <w:szCs w:val="22"/>
                  <w:vertAlign w:val="superscript"/>
                  <w:lang w:eastAsia="en-GB"/>
                </w:rPr>
                <w:delText>a </w:delText>
              </w:r>
              <w:r w:rsidRPr="00813F73">
                <w:rPr>
                  <w:sz w:val="22"/>
                  <w:szCs w:val="22"/>
                  <w:lang w:eastAsia="en-GB"/>
                </w:rPr>
                <w:delText>Humira 0,6 mg/kg (</w:delText>
              </w:r>
              <w:r w:rsidR="007916BF">
                <w:rPr>
                  <w:sz w:val="22"/>
                  <w:szCs w:val="22"/>
                  <w:lang w:eastAsia="en-GB"/>
                </w:rPr>
                <w:delText>máximo de </w:delText>
              </w:r>
              <w:r w:rsidRPr="00813F73">
                <w:rPr>
                  <w:sz w:val="22"/>
                  <w:szCs w:val="22"/>
                  <w:lang w:eastAsia="en-GB"/>
                </w:rPr>
                <w:delText>40 mg) em semanas alternadas </w:delText>
              </w:r>
            </w:del>
          </w:p>
          <w:p w14:paraId="30C55715" w14:textId="40E5E0E6" w:rsidR="0057678E" w:rsidRPr="00813F73" w:rsidRDefault="00615769">
            <w:pPr>
              <w:rPr>
                <w:del w:id="10862" w:author="AbbVie2" w:date="2025-05-13T16:39:00Z"/>
                <w:sz w:val="22"/>
                <w:szCs w:val="22"/>
                <w:lang w:eastAsia="en-GB"/>
              </w:rPr>
              <w:pPrChange w:id="10863" w:author="AbbVie2" w:date="2025-05-13T16:40:00Z">
                <w:pPr>
                  <w:textAlignment w:val="baseline"/>
                </w:pPr>
              </w:pPrChange>
            </w:pPr>
            <w:del w:id="10864" w:author="AbbVie2" w:date="2025-05-13T16:39:00Z">
              <w:r w:rsidRPr="00813F73">
                <w:rPr>
                  <w:sz w:val="22"/>
                  <w:szCs w:val="22"/>
                  <w:vertAlign w:val="superscript"/>
                  <w:lang w:eastAsia="en-GB"/>
                </w:rPr>
                <w:delText>b </w:delText>
              </w:r>
              <w:r w:rsidRPr="00813F73">
                <w:rPr>
                  <w:sz w:val="22"/>
                  <w:szCs w:val="22"/>
                  <w:lang w:eastAsia="en-GB"/>
                </w:rPr>
                <w:delText>Humira 0,6 mg/kg (</w:delText>
              </w:r>
              <w:r w:rsidR="007916BF">
                <w:rPr>
                  <w:sz w:val="22"/>
                  <w:szCs w:val="22"/>
                  <w:lang w:eastAsia="en-GB"/>
                </w:rPr>
                <w:delText>máximo de </w:delText>
              </w:r>
              <w:r w:rsidRPr="00813F73">
                <w:rPr>
                  <w:sz w:val="22"/>
                  <w:szCs w:val="22"/>
                  <w:lang w:eastAsia="en-GB"/>
                </w:rPr>
                <w:delText>40 mg) semanalmente </w:delText>
              </w:r>
            </w:del>
          </w:p>
          <w:p w14:paraId="1DAA8AE3" w14:textId="58017D73" w:rsidR="0057678E" w:rsidRPr="00813F73" w:rsidRDefault="00615769">
            <w:pPr>
              <w:rPr>
                <w:del w:id="10865" w:author="AbbVie2" w:date="2025-05-13T16:39:00Z"/>
                <w:sz w:val="22"/>
                <w:szCs w:val="22"/>
                <w:lang w:eastAsia="en-GB"/>
              </w:rPr>
              <w:pPrChange w:id="10866" w:author="AbbVie2" w:date="2025-05-13T16:40:00Z">
                <w:pPr>
                  <w:textAlignment w:val="baseline"/>
                </w:pPr>
              </w:pPrChange>
            </w:pPr>
            <w:del w:id="10867" w:author="AbbVie2" w:date="2025-05-13T16:39:00Z">
              <w:r w:rsidRPr="00813F73">
                <w:rPr>
                  <w:sz w:val="22"/>
                  <w:szCs w:val="22"/>
                  <w:vertAlign w:val="superscript"/>
                  <w:lang w:eastAsia="en-GB"/>
                </w:rPr>
                <w:delText>c</w:delText>
              </w:r>
              <w:r w:rsidRPr="00FF4AB1">
                <w:rPr>
                  <w:sz w:val="22"/>
                  <w:szCs w:val="22"/>
                  <w:vertAlign w:val="superscript"/>
                  <w:lang w:eastAsia="en-GB"/>
                </w:rPr>
                <w:delText> </w:delText>
              </w:r>
              <w:r w:rsidRPr="00813F73">
                <w:rPr>
                  <w:sz w:val="22"/>
                  <w:szCs w:val="22"/>
                  <w:lang w:eastAsia="en-GB"/>
                </w:rPr>
                <w:delText>Em doentes a receber corticosteroides concomitantes no início do estudo </w:delText>
              </w:r>
            </w:del>
          </w:p>
          <w:p w14:paraId="329EDA2B" w14:textId="263FF22C" w:rsidR="0057678E" w:rsidRPr="00813F73" w:rsidRDefault="00615769">
            <w:pPr>
              <w:rPr>
                <w:del w:id="10868" w:author="AbbVie2" w:date="2025-05-13T16:39:00Z"/>
                <w:sz w:val="22"/>
                <w:szCs w:val="22"/>
                <w:lang w:eastAsia="en-GB"/>
              </w:rPr>
              <w:pPrChange w:id="10869" w:author="AbbVie2" w:date="2025-05-13T16:40:00Z">
                <w:pPr>
                  <w:textAlignment w:val="baseline"/>
                </w:pPr>
              </w:pPrChange>
            </w:pPr>
            <w:del w:id="10870" w:author="AbbVie2" w:date="2025-05-13T16:39:00Z">
              <w:r w:rsidRPr="00813F73">
                <w:rPr>
                  <w:sz w:val="22"/>
                  <w:szCs w:val="22"/>
                  <w:lang w:eastAsia="en-GB"/>
                </w:rPr>
                <w:delText xml:space="preserve">Nota: Os doentes com valores em falta na Semana 52 ou que foram aleatorizados para receberem tratamento de reindução ou manutenção foram considerados como não respondedores </w:delText>
              </w:r>
              <w:r w:rsidR="0003518D">
                <w:rPr>
                  <w:sz w:val="22"/>
                  <w:szCs w:val="22"/>
                  <w:lang w:eastAsia="en-GB"/>
                </w:rPr>
                <w:delText>q</w:delText>
              </w:r>
              <w:r w:rsidR="0003518D">
                <w:rPr>
                  <w:lang w:eastAsia="en-GB"/>
                </w:rPr>
                <w:delText>uanto aos</w:delText>
              </w:r>
              <w:r w:rsidRPr="00813F73">
                <w:rPr>
                  <w:sz w:val="22"/>
                  <w:szCs w:val="22"/>
                  <w:lang w:eastAsia="en-GB"/>
                </w:rPr>
                <w:delText xml:space="preserve"> objetivos da Semana 52 </w:delText>
              </w:r>
            </w:del>
          </w:p>
        </w:tc>
      </w:tr>
    </w:tbl>
    <w:p w14:paraId="7616D5C4" w14:textId="1D9FB952" w:rsidR="0057678E" w:rsidRPr="00813F73" w:rsidRDefault="0057678E" w:rsidP="00412FC8">
      <w:pPr>
        <w:rPr>
          <w:del w:id="10871" w:author="AbbVie2" w:date="2025-05-13T16:39:00Z"/>
          <w:sz w:val="22"/>
          <w:szCs w:val="22"/>
        </w:rPr>
      </w:pPr>
    </w:p>
    <w:p w14:paraId="6513B5EA" w14:textId="47E161D9" w:rsidR="002F486F" w:rsidRPr="00A84A8D" w:rsidRDefault="00615769" w:rsidP="00412FC8">
      <w:pPr>
        <w:rPr>
          <w:del w:id="10872" w:author="AbbVie2" w:date="2025-05-13T16:39:00Z"/>
          <w:sz w:val="22"/>
          <w:szCs w:val="22"/>
        </w:rPr>
      </w:pPr>
      <w:del w:id="10873" w:author="AbbVie2" w:date="2025-05-13T16:39:00Z">
        <w:r w:rsidRPr="00A84A8D">
          <w:rPr>
            <w:sz w:val="22"/>
            <w:szCs w:val="22"/>
          </w:rPr>
          <w:delText>Os objetivos exploratórios adicionais de eficácia incluí</w:delText>
        </w:r>
        <w:r>
          <w:rPr>
            <w:sz w:val="22"/>
            <w:szCs w:val="22"/>
          </w:rPr>
          <w:delText>r</w:delText>
        </w:r>
        <w:r w:rsidRPr="00A84A8D">
          <w:rPr>
            <w:sz w:val="22"/>
            <w:szCs w:val="22"/>
          </w:rPr>
          <w:delText xml:space="preserve">am a resposta clínica de acordo com o </w:delText>
        </w:r>
        <w:r>
          <w:rPr>
            <w:sz w:val="22"/>
            <w:szCs w:val="22"/>
          </w:rPr>
          <w:delText>Í</w:delText>
        </w:r>
        <w:r w:rsidRPr="00A84A8D">
          <w:rPr>
            <w:sz w:val="22"/>
            <w:szCs w:val="22"/>
          </w:rPr>
          <w:delText xml:space="preserve">ndice de </w:delText>
        </w:r>
        <w:r>
          <w:rPr>
            <w:sz w:val="22"/>
            <w:szCs w:val="22"/>
          </w:rPr>
          <w:delText>A</w:delText>
        </w:r>
        <w:r w:rsidRPr="00A84A8D">
          <w:rPr>
            <w:sz w:val="22"/>
            <w:szCs w:val="22"/>
          </w:rPr>
          <w:delText xml:space="preserve">tividade de </w:delText>
        </w:r>
        <w:r>
          <w:rPr>
            <w:sz w:val="22"/>
            <w:szCs w:val="22"/>
          </w:rPr>
          <w:delText>C</w:delText>
        </w:r>
        <w:r w:rsidRPr="00A84A8D">
          <w:rPr>
            <w:sz w:val="22"/>
            <w:szCs w:val="22"/>
          </w:rPr>
          <w:delText xml:space="preserve">olite </w:delText>
        </w:r>
        <w:r>
          <w:rPr>
            <w:sz w:val="22"/>
            <w:szCs w:val="22"/>
          </w:rPr>
          <w:delText>U</w:delText>
        </w:r>
        <w:r w:rsidRPr="00A84A8D">
          <w:rPr>
            <w:sz w:val="22"/>
            <w:szCs w:val="22"/>
          </w:rPr>
          <w:delText xml:space="preserve">lcerosa </w:delText>
        </w:r>
        <w:r>
          <w:rPr>
            <w:sz w:val="22"/>
            <w:szCs w:val="22"/>
          </w:rPr>
          <w:delText>P</w:delText>
        </w:r>
        <w:r w:rsidRPr="00A84A8D">
          <w:rPr>
            <w:sz w:val="22"/>
            <w:szCs w:val="22"/>
          </w:rPr>
          <w:delText xml:space="preserve">ediátrica (PUCAI) (definida como uma diminuição do PUCAI ≥ 20 pontos em comparação com os valores </w:delText>
        </w:r>
        <w:r>
          <w:rPr>
            <w:sz w:val="22"/>
            <w:szCs w:val="22"/>
          </w:rPr>
          <w:delText>iniciais</w:delText>
        </w:r>
        <w:r w:rsidRPr="00A84A8D">
          <w:rPr>
            <w:sz w:val="22"/>
            <w:szCs w:val="22"/>
          </w:rPr>
          <w:delText>) e a remissão clínica de acordo com o PUCAI (definida como PUCAI &lt; 10) na Se</w:delText>
        </w:r>
        <w:r>
          <w:rPr>
            <w:sz w:val="22"/>
            <w:szCs w:val="22"/>
          </w:rPr>
          <w:delText>mana 8 e na Semana 52 (Tabela 33</w:delText>
        </w:r>
        <w:r w:rsidRPr="00A84A8D">
          <w:rPr>
            <w:sz w:val="22"/>
            <w:szCs w:val="22"/>
          </w:rPr>
          <w:delText xml:space="preserve">). </w:delText>
        </w:r>
      </w:del>
    </w:p>
    <w:p w14:paraId="4036B9A2" w14:textId="2C738A24" w:rsidR="0057678E" w:rsidRPr="00A84A8D" w:rsidRDefault="0057678E" w:rsidP="00412FC8">
      <w:pPr>
        <w:rPr>
          <w:del w:id="10874" w:author="AbbVie2" w:date="2025-05-13T16:39:00Z"/>
          <w:sz w:val="22"/>
          <w:szCs w:val="22"/>
        </w:rPr>
      </w:pPr>
    </w:p>
    <w:tbl>
      <w:tblPr>
        <w:tblW w:w="8262" w:type="dxa"/>
        <w:jc w:val="center"/>
        <w:tblCellMar>
          <w:left w:w="0" w:type="dxa"/>
          <w:right w:w="0" w:type="dxa"/>
        </w:tblCellMar>
        <w:tblLook w:val="04A0" w:firstRow="1" w:lastRow="0" w:firstColumn="1" w:lastColumn="0" w:noHBand="0" w:noVBand="1"/>
      </w:tblPr>
      <w:tblGrid>
        <w:gridCol w:w="2934"/>
        <w:gridCol w:w="2898"/>
        <w:gridCol w:w="2430"/>
      </w:tblGrid>
      <w:tr w:rsidR="00A7162A" w14:paraId="5423CB22" w14:textId="7D7A907C" w:rsidTr="00D22E86">
        <w:trPr>
          <w:trHeight w:val="60"/>
          <w:jc w:val="center"/>
          <w:del w:id="10875" w:author="AbbVie2" w:date="2025-05-13T16:39:00Z"/>
        </w:trPr>
        <w:tc>
          <w:tcPr>
            <w:tcW w:w="8262" w:type="dxa"/>
            <w:gridSpan w:val="3"/>
            <w:tcMar>
              <w:top w:w="0" w:type="dxa"/>
              <w:left w:w="108" w:type="dxa"/>
              <w:bottom w:w="0" w:type="dxa"/>
              <w:right w:w="108" w:type="dxa"/>
            </w:tcMar>
            <w:hideMark/>
          </w:tcPr>
          <w:p w14:paraId="0E7C5DB6" w14:textId="1BFABEE8" w:rsidR="0057678E" w:rsidRPr="00A84A8D" w:rsidRDefault="00615769">
            <w:pPr>
              <w:rPr>
                <w:del w:id="10876" w:author="AbbVie2" w:date="2025-05-13T16:39:00Z"/>
                <w:b/>
                <w:bCs/>
                <w:sz w:val="22"/>
                <w:szCs w:val="22"/>
              </w:rPr>
              <w:pPrChange w:id="10877" w:author="AbbVie2" w:date="2025-05-13T16:40:00Z">
                <w:pPr>
                  <w:keepNext/>
                  <w:spacing w:line="276" w:lineRule="auto"/>
                  <w:jc w:val="center"/>
                </w:pPr>
              </w:pPrChange>
            </w:pPr>
            <w:del w:id="10878" w:author="AbbVie2" w:date="2025-05-13T16:39:00Z">
              <w:r w:rsidRPr="00A84A8D">
                <w:rPr>
                  <w:b/>
                  <w:bCs/>
                  <w:sz w:val="22"/>
                  <w:szCs w:val="22"/>
                </w:rPr>
                <w:delText>Tabela </w:delText>
              </w:r>
              <w:r>
                <w:rPr>
                  <w:b/>
                  <w:bCs/>
                  <w:sz w:val="22"/>
                  <w:szCs w:val="22"/>
                </w:rPr>
                <w:delText>33</w:delText>
              </w:r>
              <w:r w:rsidRPr="00A84A8D">
                <w:rPr>
                  <w:b/>
                  <w:bCs/>
                  <w:sz w:val="22"/>
                  <w:szCs w:val="22"/>
                </w:rPr>
                <w:delText xml:space="preserve">: Resultados dos </w:delText>
              </w:r>
              <w:r w:rsidR="00B10B70">
                <w:rPr>
                  <w:b/>
                  <w:bCs/>
                  <w:sz w:val="22"/>
                  <w:szCs w:val="22"/>
                </w:rPr>
                <w:delText>O</w:delText>
              </w:r>
              <w:r w:rsidRPr="00A84A8D">
                <w:rPr>
                  <w:b/>
                  <w:bCs/>
                  <w:sz w:val="22"/>
                  <w:szCs w:val="22"/>
                </w:rPr>
                <w:delText xml:space="preserve">bjetivos </w:delText>
              </w:r>
              <w:r w:rsidR="00B10B70">
                <w:rPr>
                  <w:b/>
                  <w:bCs/>
                  <w:sz w:val="22"/>
                  <w:szCs w:val="22"/>
                </w:rPr>
                <w:delText>E</w:delText>
              </w:r>
              <w:r w:rsidRPr="00A84A8D">
                <w:rPr>
                  <w:b/>
                  <w:bCs/>
                  <w:sz w:val="22"/>
                  <w:szCs w:val="22"/>
                </w:rPr>
                <w:delText>xploratórios de acordo com o PUCAI</w:delText>
              </w:r>
            </w:del>
          </w:p>
        </w:tc>
      </w:tr>
      <w:tr w:rsidR="00A7162A" w14:paraId="662A7FC2" w14:textId="6BD6304A" w:rsidTr="00D22E86">
        <w:trPr>
          <w:trHeight w:val="265"/>
          <w:jc w:val="center"/>
          <w:del w:id="10879" w:author="AbbVie2" w:date="2025-05-13T16:39:00Z"/>
        </w:trPr>
        <w:tc>
          <w:tcPr>
            <w:tcW w:w="2934"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7C34C425" w14:textId="6205ECD1" w:rsidR="0057678E" w:rsidRPr="00A84A8D" w:rsidRDefault="0057678E">
            <w:pPr>
              <w:rPr>
                <w:del w:id="10880" w:author="AbbVie2" w:date="2025-05-13T16:39:00Z"/>
                <w:sz w:val="22"/>
                <w:szCs w:val="22"/>
              </w:rPr>
              <w:pPrChange w:id="10881" w:author="AbbVie2" w:date="2025-05-13T16:40:00Z">
                <w:pPr>
                  <w:keepNext/>
                  <w:spacing w:line="276" w:lineRule="auto"/>
                </w:pPr>
              </w:pPrChange>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55B5C2" w14:textId="1C405A55" w:rsidR="0057678E" w:rsidRPr="00A84A8D" w:rsidRDefault="00615769">
            <w:pPr>
              <w:rPr>
                <w:del w:id="10882" w:author="AbbVie2" w:date="2025-05-13T16:39:00Z"/>
                <w:b/>
                <w:bCs/>
                <w:sz w:val="22"/>
                <w:szCs w:val="22"/>
              </w:rPr>
              <w:pPrChange w:id="10883" w:author="AbbVie2" w:date="2025-05-13T16:40:00Z">
                <w:pPr>
                  <w:keepNext/>
                  <w:spacing w:line="276" w:lineRule="auto"/>
                  <w:jc w:val="center"/>
                </w:pPr>
              </w:pPrChange>
            </w:pPr>
            <w:del w:id="10884" w:author="AbbVie2" w:date="2025-05-13T16:39:00Z">
              <w:r>
                <w:rPr>
                  <w:b/>
                  <w:bCs/>
                  <w:sz w:val="22"/>
                  <w:szCs w:val="22"/>
                </w:rPr>
                <w:delText>Semana </w:delText>
              </w:r>
              <w:r w:rsidRPr="00A84A8D">
                <w:rPr>
                  <w:b/>
                  <w:bCs/>
                  <w:sz w:val="22"/>
                  <w:szCs w:val="22"/>
                </w:rPr>
                <w:delText>8</w:delText>
              </w:r>
            </w:del>
          </w:p>
        </w:tc>
      </w:tr>
      <w:tr w:rsidR="00A7162A" w14:paraId="67F1A77D" w14:textId="6B00ABC4" w:rsidTr="00D22E86">
        <w:trPr>
          <w:trHeight w:val="1042"/>
          <w:jc w:val="center"/>
          <w:del w:id="10885" w:author="AbbVie2" w:date="2025-05-13T16:39:00Z"/>
        </w:trPr>
        <w:tc>
          <w:tcPr>
            <w:tcW w:w="0" w:type="auto"/>
            <w:vMerge/>
            <w:tcBorders>
              <w:top w:val="single" w:sz="4" w:space="0" w:color="auto"/>
              <w:left w:val="single" w:sz="8" w:space="0" w:color="auto"/>
              <w:bottom w:val="single" w:sz="8" w:space="0" w:color="auto"/>
              <w:right w:val="single" w:sz="4" w:space="0" w:color="auto"/>
            </w:tcBorders>
            <w:vAlign w:val="center"/>
            <w:hideMark/>
          </w:tcPr>
          <w:p w14:paraId="07741CBB" w14:textId="130776AE" w:rsidR="0057678E" w:rsidRPr="00A84A8D" w:rsidRDefault="0057678E">
            <w:pPr>
              <w:rPr>
                <w:del w:id="10886" w:author="AbbVie2" w:date="2025-05-13T16:39:00Z"/>
                <w:sz w:val="22"/>
                <w:szCs w:val="22"/>
              </w:rPr>
              <w:pPrChange w:id="10887" w:author="AbbVie2" w:date="2025-05-13T16:40:00Z">
                <w:pPr>
                  <w:keepNext/>
                  <w:spacing w:line="276" w:lineRule="auto"/>
                </w:pPr>
              </w:pPrChange>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7EF0F4" w14:textId="23B572A0" w:rsidR="0057678E" w:rsidRPr="0057678E" w:rsidRDefault="00615769">
            <w:pPr>
              <w:rPr>
                <w:del w:id="10888" w:author="AbbVie2" w:date="2025-05-13T16:39:00Z"/>
                <w:b/>
                <w:bCs/>
                <w:sz w:val="22"/>
                <w:szCs w:val="22"/>
                <w:vertAlign w:val="superscript"/>
              </w:rPr>
              <w:pPrChange w:id="10889" w:author="AbbVie2" w:date="2025-05-13T16:40:00Z">
                <w:pPr>
                  <w:keepNext/>
                  <w:spacing w:line="276" w:lineRule="auto"/>
                  <w:jc w:val="center"/>
                </w:pPr>
              </w:pPrChange>
            </w:pPr>
            <w:del w:id="10890" w:author="AbbVie2" w:date="2025-05-13T16:39:00Z">
              <w:r w:rsidRPr="0057678E">
                <w:rPr>
                  <w:b/>
                  <w:bCs/>
                  <w:sz w:val="22"/>
                  <w:szCs w:val="22"/>
                </w:rPr>
                <w:delText>Humira</w:delText>
              </w:r>
              <w:r w:rsidRPr="0057678E">
                <w:rPr>
                  <w:b/>
                  <w:bCs/>
                  <w:sz w:val="22"/>
                  <w:szCs w:val="22"/>
                  <w:vertAlign w:val="superscript"/>
                </w:rPr>
                <w:delText>a</w:delText>
              </w:r>
            </w:del>
          </w:p>
          <w:p w14:paraId="7CEE6AE6" w14:textId="7A00EFDC" w:rsidR="0057678E" w:rsidRPr="00A84A8D" w:rsidRDefault="00615769">
            <w:pPr>
              <w:rPr>
                <w:del w:id="10891" w:author="AbbVie2" w:date="2025-05-13T16:39:00Z"/>
                <w:b/>
                <w:bCs/>
                <w:sz w:val="22"/>
                <w:szCs w:val="22"/>
              </w:rPr>
              <w:pPrChange w:id="10892" w:author="AbbVie2" w:date="2025-05-13T16:40:00Z">
                <w:pPr>
                  <w:keepNext/>
                  <w:spacing w:line="276" w:lineRule="auto"/>
                  <w:jc w:val="center"/>
                </w:pPr>
              </w:pPrChange>
            </w:pPr>
            <w:del w:id="10893" w:author="AbbVie2" w:date="2025-05-13T16:39:00Z">
              <w:r w:rsidRPr="00A84A8D">
                <w:rPr>
                  <w:b/>
                  <w:bCs/>
                  <w:sz w:val="22"/>
                  <w:szCs w:val="22"/>
                </w:rPr>
                <w:delText>Máximo de 160 mg na Semana 0 / Placebo na Semana 1</w:delText>
              </w:r>
            </w:del>
          </w:p>
          <w:p w14:paraId="6187E47A" w14:textId="16D53522" w:rsidR="0057678E" w:rsidRPr="00A84A8D" w:rsidRDefault="00615769">
            <w:pPr>
              <w:rPr>
                <w:del w:id="10894" w:author="AbbVie2" w:date="2025-05-13T16:39:00Z"/>
                <w:sz w:val="22"/>
                <w:szCs w:val="22"/>
              </w:rPr>
              <w:pPrChange w:id="10895" w:author="AbbVie2" w:date="2025-05-13T16:40:00Z">
                <w:pPr>
                  <w:keepNext/>
                  <w:spacing w:line="276" w:lineRule="auto"/>
                  <w:jc w:val="center"/>
                </w:pPr>
              </w:pPrChange>
            </w:pPr>
            <w:del w:id="10896" w:author="AbbVie2" w:date="2025-05-13T16:39:00Z">
              <w:r w:rsidRPr="00A84A8D">
                <w:rPr>
                  <w:sz w:val="22"/>
                  <w:szCs w:val="22"/>
                </w:rPr>
                <w:delText>N=30</w:delText>
              </w:r>
            </w:del>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54FDF4" w14:textId="2DE6EEF8" w:rsidR="0057678E" w:rsidRPr="0057678E" w:rsidRDefault="00615769">
            <w:pPr>
              <w:rPr>
                <w:del w:id="10897" w:author="AbbVie2" w:date="2025-05-13T16:39:00Z"/>
                <w:b/>
                <w:bCs/>
                <w:sz w:val="22"/>
                <w:szCs w:val="22"/>
                <w:vertAlign w:val="superscript"/>
              </w:rPr>
              <w:pPrChange w:id="10898" w:author="AbbVie2" w:date="2025-05-13T16:40:00Z">
                <w:pPr>
                  <w:keepNext/>
                  <w:spacing w:line="276" w:lineRule="auto"/>
                  <w:jc w:val="center"/>
                </w:pPr>
              </w:pPrChange>
            </w:pPr>
            <w:del w:id="10899" w:author="AbbVie2" w:date="2025-05-13T16:39:00Z">
              <w:r w:rsidRPr="0057678E">
                <w:rPr>
                  <w:b/>
                  <w:bCs/>
                  <w:sz w:val="22"/>
                  <w:szCs w:val="22"/>
                </w:rPr>
                <w:delText>Humira</w:delText>
              </w:r>
              <w:r w:rsidRPr="0057678E">
                <w:rPr>
                  <w:b/>
                  <w:bCs/>
                  <w:sz w:val="22"/>
                  <w:szCs w:val="22"/>
                  <w:vertAlign w:val="superscript"/>
                </w:rPr>
                <w:delText>b,c</w:delText>
              </w:r>
            </w:del>
          </w:p>
          <w:p w14:paraId="189F471F" w14:textId="7A0E6D74" w:rsidR="0057678E" w:rsidRPr="00A84A8D" w:rsidRDefault="00615769">
            <w:pPr>
              <w:rPr>
                <w:del w:id="10900" w:author="AbbVie2" w:date="2025-05-13T16:39:00Z"/>
                <w:b/>
                <w:bCs/>
                <w:sz w:val="22"/>
                <w:szCs w:val="22"/>
              </w:rPr>
              <w:pPrChange w:id="10901" w:author="AbbVie2" w:date="2025-05-13T16:40:00Z">
                <w:pPr>
                  <w:keepNext/>
                  <w:spacing w:line="276" w:lineRule="auto"/>
                  <w:jc w:val="center"/>
                </w:pPr>
              </w:pPrChange>
            </w:pPr>
            <w:del w:id="10902" w:author="AbbVie2" w:date="2025-05-13T16:39:00Z">
              <w:r w:rsidRPr="00A84A8D">
                <w:rPr>
                  <w:b/>
                  <w:bCs/>
                  <w:sz w:val="22"/>
                  <w:szCs w:val="22"/>
                </w:rPr>
                <w:delText>Máximo de 160 mg na Semana 0 e Semana 1</w:delText>
              </w:r>
            </w:del>
          </w:p>
          <w:p w14:paraId="31781CB2" w14:textId="43714213" w:rsidR="0057678E" w:rsidRPr="00A84A8D" w:rsidRDefault="00615769">
            <w:pPr>
              <w:rPr>
                <w:del w:id="10903" w:author="AbbVie2" w:date="2025-05-13T16:39:00Z"/>
                <w:sz w:val="22"/>
                <w:szCs w:val="22"/>
              </w:rPr>
              <w:pPrChange w:id="10904" w:author="AbbVie2" w:date="2025-05-13T16:40:00Z">
                <w:pPr>
                  <w:keepNext/>
                  <w:spacing w:line="276" w:lineRule="auto"/>
                  <w:jc w:val="center"/>
                </w:pPr>
              </w:pPrChange>
            </w:pPr>
            <w:del w:id="10905" w:author="AbbVie2" w:date="2025-05-13T16:39:00Z">
              <w:r w:rsidRPr="00A84A8D">
                <w:rPr>
                  <w:sz w:val="22"/>
                  <w:szCs w:val="22"/>
                </w:rPr>
                <w:delText>N=47</w:delText>
              </w:r>
            </w:del>
          </w:p>
        </w:tc>
      </w:tr>
      <w:tr w:rsidR="00A7162A" w14:paraId="15BD45C6" w14:textId="3551702A" w:rsidTr="00D22E86">
        <w:trPr>
          <w:trHeight w:val="202"/>
          <w:jc w:val="center"/>
          <w:del w:id="10906" w:author="AbbVie2" w:date="2025-05-13T16:39:00Z"/>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B3438C" w14:textId="5713138C" w:rsidR="0057678E" w:rsidRPr="00A84A8D" w:rsidRDefault="00615769">
            <w:pPr>
              <w:rPr>
                <w:del w:id="10907" w:author="AbbVie2" w:date="2025-05-13T16:39:00Z"/>
                <w:sz w:val="22"/>
                <w:szCs w:val="22"/>
              </w:rPr>
              <w:pPrChange w:id="10908" w:author="AbbVie2" w:date="2025-05-13T16:40:00Z">
                <w:pPr>
                  <w:keepNext/>
                  <w:spacing w:line="276" w:lineRule="auto"/>
                </w:pPr>
              </w:pPrChange>
            </w:pPr>
            <w:del w:id="10909" w:author="AbbVie2" w:date="2025-05-13T16:39:00Z">
              <w:r w:rsidRPr="00A84A8D">
                <w:rPr>
                  <w:sz w:val="22"/>
                  <w:szCs w:val="22"/>
                </w:rPr>
                <w:delText>Remissão clínica de acordo com o PUCAI</w:delText>
              </w:r>
            </w:del>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4433233B" w14:textId="18875C2A" w:rsidR="0057678E" w:rsidRPr="00A84A8D" w:rsidRDefault="00615769">
            <w:pPr>
              <w:rPr>
                <w:del w:id="10910" w:author="AbbVie2" w:date="2025-05-13T16:39:00Z"/>
                <w:sz w:val="22"/>
                <w:szCs w:val="22"/>
              </w:rPr>
              <w:pPrChange w:id="10911" w:author="AbbVie2" w:date="2025-05-13T16:40:00Z">
                <w:pPr>
                  <w:keepNext/>
                  <w:spacing w:line="276" w:lineRule="auto"/>
                  <w:jc w:val="center"/>
                </w:pPr>
              </w:pPrChange>
            </w:pPr>
            <w:del w:id="10912" w:author="AbbVie2" w:date="2025-05-13T16:39:00Z">
              <w:r w:rsidRPr="00A84A8D">
                <w:rPr>
                  <w:sz w:val="22"/>
                  <w:szCs w:val="22"/>
                </w:rPr>
                <w:delText>10/30 (33</w:delText>
              </w:r>
              <w:r>
                <w:rPr>
                  <w:sz w:val="22"/>
                  <w:szCs w:val="22"/>
                </w:rPr>
                <w:delText>,</w:delText>
              </w:r>
              <w:r w:rsidRPr="00A84A8D">
                <w:rPr>
                  <w:sz w:val="22"/>
                  <w:szCs w:val="22"/>
                </w:rPr>
                <w:delText>3%)</w:delText>
              </w:r>
            </w:del>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78DB724F" w14:textId="6173DF7C" w:rsidR="0057678E" w:rsidRPr="00A84A8D" w:rsidRDefault="00615769">
            <w:pPr>
              <w:rPr>
                <w:del w:id="10913" w:author="AbbVie2" w:date="2025-05-13T16:39:00Z"/>
                <w:sz w:val="22"/>
                <w:szCs w:val="22"/>
              </w:rPr>
              <w:pPrChange w:id="10914" w:author="AbbVie2" w:date="2025-05-13T16:40:00Z">
                <w:pPr>
                  <w:keepNext/>
                  <w:spacing w:line="276" w:lineRule="auto"/>
                  <w:jc w:val="center"/>
                </w:pPr>
              </w:pPrChange>
            </w:pPr>
            <w:del w:id="10915" w:author="AbbVie2" w:date="2025-05-13T16:39:00Z">
              <w:r w:rsidRPr="00A84A8D">
                <w:rPr>
                  <w:sz w:val="22"/>
                  <w:szCs w:val="22"/>
                </w:rPr>
                <w:delText>22/47 (46</w:delText>
              </w:r>
              <w:r>
                <w:rPr>
                  <w:sz w:val="22"/>
                  <w:szCs w:val="22"/>
                </w:rPr>
                <w:delText>,</w:delText>
              </w:r>
              <w:r w:rsidRPr="00A84A8D">
                <w:rPr>
                  <w:sz w:val="22"/>
                  <w:szCs w:val="22"/>
                </w:rPr>
                <w:delText>8%)</w:delText>
              </w:r>
            </w:del>
          </w:p>
        </w:tc>
      </w:tr>
      <w:tr w:rsidR="00A7162A" w14:paraId="6C29EB45" w14:textId="7283E3DC" w:rsidTr="00D22E86">
        <w:trPr>
          <w:trHeight w:val="238"/>
          <w:jc w:val="center"/>
          <w:del w:id="10916" w:author="AbbVie2" w:date="2025-05-13T16:39: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92A8730" w14:textId="52E50B9E" w:rsidR="0057678E" w:rsidRPr="00A84A8D" w:rsidRDefault="00615769">
            <w:pPr>
              <w:rPr>
                <w:del w:id="10917" w:author="AbbVie2" w:date="2025-05-13T16:39:00Z"/>
                <w:sz w:val="22"/>
                <w:szCs w:val="22"/>
              </w:rPr>
              <w:pPrChange w:id="10918" w:author="AbbVie2" w:date="2025-05-13T16:40:00Z">
                <w:pPr>
                  <w:keepNext/>
                  <w:spacing w:line="276" w:lineRule="auto"/>
                </w:pPr>
              </w:pPrChange>
            </w:pPr>
            <w:del w:id="10919" w:author="AbbVie2" w:date="2025-05-13T16:39:00Z">
              <w:r w:rsidRPr="00A84A8D">
                <w:rPr>
                  <w:sz w:val="22"/>
                  <w:szCs w:val="22"/>
                </w:rPr>
                <w:delText>Resposta clínica de acordo com o PUCAI</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0F90F024" w14:textId="0D6153DD" w:rsidR="0057678E" w:rsidRPr="00A84A8D" w:rsidRDefault="00615769">
            <w:pPr>
              <w:rPr>
                <w:del w:id="10920" w:author="AbbVie2" w:date="2025-05-13T16:39:00Z"/>
                <w:sz w:val="22"/>
                <w:szCs w:val="22"/>
              </w:rPr>
              <w:pPrChange w:id="10921" w:author="AbbVie2" w:date="2025-05-13T16:40:00Z">
                <w:pPr>
                  <w:keepNext/>
                  <w:spacing w:line="276" w:lineRule="auto"/>
                  <w:jc w:val="center"/>
                </w:pPr>
              </w:pPrChange>
            </w:pPr>
            <w:del w:id="10922" w:author="AbbVie2" w:date="2025-05-13T16:39:00Z">
              <w:r w:rsidRPr="00A84A8D">
                <w:rPr>
                  <w:sz w:val="22"/>
                  <w:szCs w:val="22"/>
                </w:rPr>
                <w:delText>15/30 (50</w:delText>
              </w:r>
              <w:r>
                <w:rPr>
                  <w:sz w:val="22"/>
                  <w:szCs w:val="22"/>
                </w:rPr>
                <w:delText>,</w:delText>
              </w:r>
              <w:r w:rsidRPr="00A84A8D">
                <w:rPr>
                  <w:sz w:val="22"/>
                  <w:szCs w:val="22"/>
                </w:rPr>
                <w:delText>0%)</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4659554B" w14:textId="68507ACC" w:rsidR="0057678E" w:rsidRPr="00A84A8D" w:rsidRDefault="00615769">
            <w:pPr>
              <w:rPr>
                <w:del w:id="10923" w:author="AbbVie2" w:date="2025-05-13T16:39:00Z"/>
                <w:sz w:val="22"/>
                <w:szCs w:val="22"/>
              </w:rPr>
              <w:pPrChange w:id="10924" w:author="AbbVie2" w:date="2025-05-13T16:40:00Z">
                <w:pPr>
                  <w:keepNext/>
                  <w:spacing w:line="276" w:lineRule="auto"/>
                  <w:jc w:val="center"/>
                </w:pPr>
              </w:pPrChange>
            </w:pPr>
            <w:del w:id="10925" w:author="AbbVie2" w:date="2025-05-13T16:39:00Z">
              <w:r w:rsidRPr="00A84A8D">
                <w:rPr>
                  <w:sz w:val="22"/>
                  <w:szCs w:val="22"/>
                </w:rPr>
                <w:delText>32/47 (68</w:delText>
              </w:r>
              <w:r>
                <w:rPr>
                  <w:sz w:val="22"/>
                  <w:szCs w:val="22"/>
                </w:rPr>
                <w:delText>,</w:delText>
              </w:r>
              <w:r w:rsidRPr="00A84A8D">
                <w:rPr>
                  <w:sz w:val="22"/>
                  <w:szCs w:val="22"/>
                </w:rPr>
                <w:delText>1%)</w:delText>
              </w:r>
            </w:del>
          </w:p>
        </w:tc>
      </w:tr>
      <w:tr w:rsidR="00A7162A" w14:paraId="0AFB913B" w14:textId="09214173" w:rsidTr="00D22E86">
        <w:trPr>
          <w:trHeight w:val="238"/>
          <w:jc w:val="center"/>
          <w:del w:id="10926" w:author="AbbVie2" w:date="2025-05-13T16:39:00Z"/>
        </w:trPr>
        <w:tc>
          <w:tcPr>
            <w:tcW w:w="2934"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1F33ABC8" w14:textId="48C96383" w:rsidR="0057678E" w:rsidRPr="00A84A8D" w:rsidRDefault="0057678E">
            <w:pPr>
              <w:rPr>
                <w:del w:id="10927" w:author="AbbVie2" w:date="2025-05-13T16:39:00Z"/>
                <w:sz w:val="22"/>
                <w:szCs w:val="22"/>
              </w:rPr>
              <w:pPrChange w:id="10928" w:author="AbbVie2" w:date="2025-05-13T16:40:00Z">
                <w:pPr>
                  <w:keepNext/>
                  <w:spacing w:line="276" w:lineRule="auto"/>
                </w:pPr>
              </w:pPrChange>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1C51D8EC" w14:textId="3918D7F2" w:rsidR="0057678E" w:rsidRPr="00A84A8D" w:rsidRDefault="00615769">
            <w:pPr>
              <w:rPr>
                <w:del w:id="10929" w:author="AbbVie2" w:date="2025-05-13T16:39:00Z"/>
                <w:b/>
                <w:bCs/>
                <w:sz w:val="22"/>
                <w:szCs w:val="22"/>
              </w:rPr>
              <w:pPrChange w:id="10930" w:author="AbbVie2" w:date="2025-05-13T16:40:00Z">
                <w:pPr>
                  <w:keepNext/>
                  <w:spacing w:line="276" w:lineRule="auto"/>
                  <w:jc w:val="center"/>
                </w:pPr>
              </w:pPrChange>
            </w:pPr>
            <w:del w:id="10931" w:author="AbbVie2" w:date="2025-05-13T16:39:00Z">
              <w:r>
                <w:rPr>
                  <w:b/>
                  <w:bCs/>
                  <w:sz w:val="22"/>
                  <w:szCs w:val="22"/>
                </w:rPr>
                <w:delText>Semana </w:delText>
              </w:r>
              <w:r w:rsidRPr="00A84A8D">
                <w:rPr>
                  <w:b/>
                  <w:bCs/>
                  <w:sz w:val="22"/>
                  <w:szCs w:val="22"/>
                </w:rPr>
                <w:delText>52</w:delText>
              </w:r>
            </w:del>
          </w:p>
        </w:tc>
      </w:tr>
      <w:tr w:rsidR="00A7162A" w14:paraId="7E9BABC0" w14:textId="387BAFE2" w:rsidTr="00D22E86">
        <w:trPr>
          <w:trHeight w:val="238"/>
          <w:jc w:val="center"/>
          <w:del w:id="10932" w:author="AbbVie2" w:date="2025-05-13T16:39:00Z"/>
        </w:trPr>
        <w:tc>
          <w:tcPr>
            <w:tcW w:w="0" w:type="auto"/>
            <w:vMerge/>
            <w:tcBorders>
              <w:top w:val="nil"/>
              <w:left w:val="single" w:sz="8" w:space="0" w:color="auto"/>
              <w:bottom w:val="single" w:sz="4" w:space="0" w:color="auto"/>
              <w:right w:val="single" w:sz="8" w:space="0" w:color="auto"/>
            </w:tcBorders>
            <w:vAlign w:val="center"/>
            <w:hideMark/>
          </w:tcPr>
          <w:p w14:paraId="6FFF4073" w14:textId="5BD886C8" w:rsidR="0057678E" w:rsidRPr="00A84A8D" w:rsidRDefault="0057678E">
            <w:pPr>
              <w:rPr>
                <w:del w:id="10933" w:author="AbbVie2" w:date="2025-05-13T16:39:00Z"/>
                <w:sz w:val="22"/>
                <w:szCs w:val="22"/>
              </w:rPr>
              <w:pPrChange w:id="10934" w:author="AbbVie2" w:date="2025-05-13T16:40:00Z">
                <w:pPr>
                  <w:keepNext/>
                  <w:spacing w:line="276" w:lineRule="auto"/>
                </w:pPr>
              </w:pPrChange>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2E586893" w14:textId="03CAE212" w:rsidR="0057678E" w:rsidRPr="0057678E" w:rsidRDefault="00615769">
            <w:pPr>
              <w:rPr>
                <w:del w:id="10935" w:author="AbbVie2" w:date="2025-05-13T16:39:00Z"/>
                <w:b/>
                <w:bCs/>
                <w:sz w:val="22"/>
                <w:szCs w:val="22"/>
                <w:vertAlign w:val="superscript"/>
              </w:rPr>
              <w:pPrChange w:id="10936" w:author="AbbVie2" w:date="2025-05-13T16:40:00Z">
                <w:pPr>
                  <w:keepNext/>
                  <w:spacing w:line="276" w:lineRule="auto"/>
                  <w:jc w:val="center"/>
                </w:pPr>
              </w:pPrChange>
            </w:pPr>
            <w:del w:id="10937" w:author="AbbVie2" w:date="2025-05-13T16:39:00Z">
              <w:r w:rsidRPr="0057678E">
                <w:rPr>
                  <w:b/>
                  <w:bCs/>
                  <w:sz w:val="22"/>
                  <w:szCs w:val="22"/>
                </w:rPr>
                <w:delText>Humira</w:delText>
              </w:r>
              <w:r w:rsidRPr="0057678E">
                <w:rPr>
                  <w:b/>
                  <w:bCs/>
                  <w:sz w:val="22"/>
                  <w:szCs w:val="22"/>
                  <w:vertAlign w:val="superscript"/>
                </w:rPr>
                <w:delText>d</w:delText>
              </w:r>
            </w:del>
          </w:p>
          <w:p w14:paraId="10B09F5B" w14:textId="26C7BF52" w:rsidR="0057678E" w:rsidRPr="0057678E" w:rsidRDefault="00615769">
            <w:pPr>
              <w:rPr>
                <w:del w:id="10938" w:author="AbbVie2" w:date="2025-05-13T16:39:00Z"/>
                <w:b/>
                <w:bCs/>
                <w:sz w:val="22"/>
                <w:szCs w:val="22"/>
              </w:rPr>
              <w:pPrChange w:id="10939" w:author="AbbVie2" w:date="2025-05-13T16:40:00Z">
                <w:pPr>
                  <w:keepNext/>
                  <w:spacing w:line="276" w:lineRule="auto"/>
                  <w:jc w:val="center"/>
                </w:pPr>
              </w:pPrChange>
            </w:pPr>
            <w:del w:id="10940" w:author="AbbVie2" w:date="2025-05-13T16:39:00Z">
              <w:r w:rsidRPr="0057678E">
                <w:rPr>
                  <w:b/>
                  <w:bCs/>
                  <w:sz w:val="22"/>
                  <w:szCs w:val="22"/>
                </w:rPr>
                <w:delText>Máximo de 40 mg</w:delText>
              </w:r>
              <w:r w:rsidR="00D22E86">
                <w:rPr>
                  <w:b/>
                  <w:bCs/>
                  <w:sz w:val="22"/>
                  <w:szCs w:val="22"/>
                </w:rPr>
                <w:delText xml:space="preserve"> em semanas alternadas</w:delText>
              </w:r>
            </w:del>
          </w:p>
          <w:p w14:paraId="62DE1244" w14:textId="16AD4A11" w:rsidR="0057678E" w:rsidRPr="0057678E" w:rsidRDefault="00615769">
            <w:pPr>
              <w:rPr>
                <w:del w:id="10941" w:author="AbbVie2" w:date="2025-05-13T16:39:00Z"/>
                <w:sz w:val="22"/>
                <w:szCs w:val="22"/>
              </w:rPr>
              <w:pPrChange w:id="10942" w:author="AbbVie2" w:date="2025-05-13T16:40:00Z">
                <w:pPr>
                  <w:keepNext/>
                  <w:spacing w:line="276" w:lineRule="auto"/>
                  <w:jc w:val="center"/>
                </w:pPr>
              </w:pPrChange>
            </w:pPr>
            <w:del w:id="10943" w:author="AbbVie2" w:date="2025-05-13T16:39:00Z">
              <w:r w:rsidRPr="0057678E">
                <w:rPr>
                  <w:sz w:val="22"/>
                  <w:szCs w:val="22"/>
                </w:rPr>
                <w:delText>N=31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7C6F9AFC" w14:textId="3F6F6B96" w:rsidR="0057678E" w:rsidRPr="0057678E" w:rsidRDefault="00615769">
            <w:pPr>
              <w:rPr>
                <w:del w:id="10944" w:author="AbbVie2" w:date="2025-05-13T16:39:00Z"/>
                <w:b/>
                <w:bCs/>
                <w:sz w:val="22"/>
                <w:szCs w:val="22"/>
                <w:vertAlign w:val="superscript"/>
              </w:rPr>
              <w:pPrChange w:id="10945" w:author="AbbVie2" w:date="2025-05-13T16:40:00Z">
                <w:pPr>
                  <w:keepNext/>
                  <w:spacing w:line="276" w:lineRule="auto"/>
                  <w:jc w:val="center"/>
                </w:pPr>
              </w:pPrChange>
            </w:pPr>
            <w:del w:id="10946" w:author="AbbVie2" w:date="2025-05-13T16:39:00Z">
              <w:r w:rsidRPr="0057678E">
                <w:rPr>
                  <w:b/>
                  <w:bCs/>
                  <w:sz w:val="22"/>
                  <w:szCs w:val="22"/>
                </w:rPr>
                <w:delText>Humira</w:delText>
              </w:r>
              <w:r w:rsidRPr="0057678E">
                <w:rPr>
                  <w:b/>
                  <w:bCs/>
                  <w:sz w:val="22"/>
                  <w:szCs w:val="22"/>
                  <w:vertAlign w:val="superscript"/>
                </w:rPr>
                <w:delText>e</w:delText>
              </w:r>
            </w:del>
          </w:p>
          <w:p w14:paraId="60999F0B" w14:textId="426F0C87" w:rsidR="0057678E" w:rsidRPr="0057678E" w:rsidRDefault="00615769">
            <w:pPr>
              <w:rPr>
                <w:del w:id="10947" w:author="AbbVie2" w:date="2025-05-13T16:39:00Z"/>
                <w:b/>
                <w:bCs/>
                <w:sz w:val="22"/>
                <w:szCs w:val="22"/>
              </w:rPr>
              <w:pPrChange w:id="10948" w:author="AbbVie2" w:date="2025-05-13T16:40:00Z">
                <w:pPr>
                  <w:keepNext/>
                  <w:spacing w:line="276" w:lineRule="auto"/>
                  <w:jc w:val="center"/>
                </w:pPr>
              </w:pPrChange>
            </w:pPr>
            <w:del w:id="10949" w:author="AbbVie2" w:date="2025-05-13T16:39:00Z">
              <w:r w:rsidRPr="0057678E">
                <w:rPr>
                  <w:b/>
                  <w:bCs/>
                  <w:sz w:val="22"/>
                  <w:szCs w:val="22"/>
                </w:rPr>
                <w:delText>Máximo de 40 mg</w:delText>
              </w:r>
              <w:r w:rsidR="00D22E86">
                <w:rPr>
                  <w:b/>
                  <w:bCs/>
                  <w:sz w:val="22"/>
                  <w:szCs w:val="22"/>
                </w:rPr>
                <w:delText xml:space="preserve"> semanalmente</w:delText>
              </w:r>
            </w:del>
          </w:p>
          <w:p w14:paraId="00775F9D" w14:textId="7842DF41" w:rsidR="0057678E" w:rsidRPr="0057678E" w:rsidRDefault="00615769">
            <w:pPr>
              <w:rPr>
                <w:del w:id="10950" w:author="AbbVie2" w:date="2025-05-13T16:39:00Z"/>
                <w:sz w:val="22"/>
                <w:szCs w:val="22"/>
              </w:rPr>
              <w:pPrChange w:id="10951" w:author="AbbVie2" w:date="2025-05-13T16:40:00Z">
                <w:pPr>
                  <w:keepNext/>
                  <w:spacing w:line="276" w:lineRule="auto"/>
                  <w:jc w:val="center"/>
                </w:pPr>
              </w:pPrChange>
            </w:pPr>
            <w:del w:id="10952" w:author="AbbVie2" w:date="2025-05-13T16:39:00Z">
              <w:r w:rsidRPr="0057678E">
                <w:rPr>
                  <w:sz w:val="22"/>
                  <w:szCs w:val="22"/>
                </w:rPr>
                <w:delText>N=31</w:delText>
              </w:r>
            </w:del>
          </w:p>
        </w:tc>
      </w:tr>
      <w:tr w:rsidR="00A7162A" w14:paraId="02547640" w14:textId="1F8E13BC" w:rsidTr="00D22E86">
        <w:trPr>
          <w:trHeight w:val="238"/>
          <w:jc w:val="center"/>
          <w:del w:id="10953" w:author="AbbVie2" w:date="2025-05-13T16:39: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518DAEA" w14:textId="2321A28E" w:rsidR="0057678E" w:rsidRPr="00A84A8D" w:rsidRDefault="00615769">
            <w:pPr>
              <w:rPr>
                <w:del w:id="10954" w:author="AbbVie2" w:date="2025-05-13T16:39:00Z"/>
                <w:sz w:val="22"/>
                <w:szCs w:val="22"/>
              </w:rPr>
              <w:pPrChange w:id="10955" w:author="AbbVie2" w:date="2025-05-13T16:40:00Z">
                <w:pPr>
                  <w:keepNext/>
                  <w:spacing w:line="276" w:lineRule="auto"/>
                </w:pPr>
              </w:pPrChange>
            </w:pPr>
            <w:del w:id="10956" w:author="AbbVie2" w:date="2025-05-13T16:39:00Z">
              <w:r w:rsidRPr="00A84A8D">
                <w:rPr>
                  <w:sz w:val="22"/>
                  <w:szCs w:val="22"/>
                </w:rPr>
                <w:delText>Remissão clínica de acordo com o PUCAI nos respondedores PMS da Semana 8</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15931342" w14:textId="153C4CA8" w:rsidR="0057678E" w:rsidRPr="00A84A8D" w:rsidRDefault="00615769">
            <w:pPr>
              <w:rPr>
                <w:del w:id="10957" w:author="AbbVie2" w:date="2025-05-13T16:39:00Z"/>
                <w:sz w:val="22"/>
                <w:szCs w:val="22"/>
              </w:rPr>
              <w:pPrChange w:id="10958" w:author="AbbVie2" w:date="2025-05-13T16:40:00Z">
                <w:pPr>
                  <w:keepNext/>
                  <w:spacing w:line="276" w:lineRule="auto"/>
                  <w:jc w:val="center"/>
                </w:pPr>
              </w:pPrChange>
            </w:pPr>
            <w:del w:id="10959" w:author="AbbVie2" w:date="2025-05-13T16:39:00Z">
              <w:r w:rsidRPr="00A84A8D">
                <w:rPr>
                  <w:sz w:val="22"/>
                  <w:szCs w:val="22"/>
                </w:rPr>
                <w:delText>14/31 (45</w:delText>
              </w:r>
              <w:r>
                <w:rPr>
                  <w:sz w:val="22"/>
                  <w:szCs w:val="22"/>
                </w:rPr>
                <w:delText>,</w:delText>
              </w:r>
              <w:r w:rsidRPr="00A84A8D">
                <w:rPr>
                  <w:sz w:val="22"/>
                  <w:szCs w:val="22"/>
                </w:rPr>
                <w:delText>2%)</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4656930F" w14:textId="6B0AFCB8" w:rsidR="0057678E" w:rsidRPr="00A84A8D" w:rsidRDefault="00615769">
            <w:pPr>
              <w:rPr>
                <w:del w:id="10960" w:author="AbbVie2" w:date="2025-05-13T16:39:00Z"/>
                <w:sz w:val="22"/>
                <w:szCs w:val="22"/>
              </w:rPr>
              <w:pPrChange w:id="10961" w:author="AbbVie2" w:date="2025-05-13T16:40:00Z">
                <w:pPr>
                  <w:keepNext/>
                  <w:spacing w:line="276" w:lineRule="auto"/>
                  <w:jc w:val="center"/>
                </w:pPr>
              </w:pPrChange>
            </w:pPr>
            <w:del w:id="10962" w:author="AbbVie2" w:date="2025-05-13T16:39:00Z">
              <w:r w:rsidRPr="00A84A8D">
                <w:rPr>
                  <w:sz w:val="22"/>
                  <w:szCs w:val="22"/>
                </w:rPr>
                <w:delText>18/31 (58</w:delText>
              </w:r>
              <w:r>
                <w:rPr>
                  <w:sz w:val="22"/>
                  <w:szCs w:val="22"/>
                </w:rPr>
                <w:delText>,</w:delText>
              </w:r>
              <w:r w:rsidRPr="00A84A8D">
                <w:rPr>
                  <w:sz w:val="22"/>
                  <w:szCs w:val="22"/>
                </w:rPr>
                <w:delText>1%)</w:delText>
              </w:r>
            </w:del>
          </w:p>
        </w:tc>
      </w:tr>
      <w:tr w:rsidR="00A7162A" w14:paraId="30708E0A" w14:textId="5109BD2D" w:rsidTr="00D22E86">
        <w:trPr>
          <w:trHeight w:val="238"/>
          <w:jc w:val="center"/>
          <w:del w:id="10963" w:author="AbbVie2" w:date="2025-05-13T16:39: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D4939E2" w14:textId="63C253CE" w:rsidR="0057678E" w:rsidRPr="00A84A8D" w:rsidRDefault="00615769">
            <w:pPr>
              <w:rPr>
                <w:del w:id="10964" w:author="AbbVie2" w:date="2025-05-13T16:39:00Z"/>
                <w:sz w:val="22"/>
                <w:szCs w:val="22"/>
              </w:rPr>
              <w:pPrChange w:id="10965" w:author="AbbVie2" w:date="2025-05-13T16:40:00Z">
                <w:pPr>
                  <w:keepNext/>
                  <w:spacing w:line="276" w:lineRule="auto"/>
                </w:pPr>
              </w:pPrChange>
            </w:pPr>
            <w:del w:id="10966" w:author="AbbVie2" w:date="2025-05-13T16:39:00Z">
              <w:r w:rsidRPr="00A84A8D">
                <w:rPr>
                  <w:sz w:val="22"/>
                  <w:szCs w:val="22"/>
                </w:rPr>
                <w:delText>Resposta clínica de acordo com o PUCAI nos respondedores PMS da Semana 8</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7D3E7BA0" w14:textId="51EC7918" w:rsidR="0057678E" w:rsidRPr="00A84A8D" w:rsidRDefault="00615769">
            <w:pPr>
              <w:rPr>
                <w:del w:id="10967" w:author="AbbVie2" w:date="2025-05-13T16:39:00Z"/>
                <w:sz w:val="22"/>
                <w:szCs w:val="22"/>
              </w:rPr>
              <w:pPrChange w:id="10968" w:author="AbbVie2" w:date="2025-05-13T16:40:00Z">
                <w:pPr>
                  <w:keepNext/>
                  <w:spacing w:line="276" w:lineRule="auto"/>
                  <w:jc w:val="center"/>
                </w:pPr>
              </w:pPrChange>
            </w:pPr>
            <w:del w:id="10969" w:author="AbbVie2" w:date="2025-05-13T16:39:00Z">
              <w:r w:rsidRPr="00A84A8D">
                <w:rPr>
                  <w:sz w:val="22"/>
                  <w:szCs w:val="22"/>
                </w:rPr>
                <w:delText>18/31 (58</w:delText>
              </w:r>
              <w:r>
                <w:rPr>
                  <w:sz w:val="22"/>
                  <w:szCs w:val="22"/>
                </w:rPr>
                <w:delText>,</w:delText>
              </w:r>
              <w:r w:rsidRPr="00A84A8D">
                <w:rPr>
                  <w:sz w:val="22"/>
                  <w:szCs w:val="22"/>
                </w:rPr>
                <w:delText>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6119A8E0" w14:textId="193CEAD5" w:rsidR="0057678E" w:rsidRPr="00A84A8D" w:rsidRDefault="00615769">
            <w:pPr>
              <w:rPr>
                <w:del w:id="10970" w:author="AbbVie2" w:date="2025-05-13T16:39:00Z"/>
                <w:sz w:val="22"/>
                <w:szCs w:val="22"/>
              </w:rPr>
              <w:pPrChange w:id="10971" w:author="AbbVie2" w:date="2025-05-13T16:40:00Z">
                <w:pPr>
                  <w:keepNext/>
                  <w:spacing w:line="276" w:lineRule="auto"/>
                  <w:jc w:val="center"/>
                </w:pPr>
              </w:pPrChange>
            </w:pPr>
            <w:del w:id="10972" w:author="AbbVie2" w:date="2025-05-13T16:39:00Z">
              <w:r w:rsidRPr="00A84A8D">
                <w:rPr>
                  <w:sz w:val="22"/>
                  <w:szCs w:val="22"/>
                </w:rPr>
                <w:delText>16/31 (51</w:delText>
              </w:r>
              <w:r>
                <w:rPr>
                  <w:sz w:val="22"/>
                  <w:szCs w:val="22"/>
                </w:rPr>
                <w:delText>,</w:delText>
              </w:r>
              <w:r w:rsidRPr="00A84A8D">
                <w:rPr>
                  <w:sz w:val="22"/>
                  <w:szCs w:val="22"/>
                </w:rPr>
                <w:delText>6%)</w:delText>
              </w:r>
            </w:del>
          </w:p>
        </w:tc>
      </w:tr>
      <w:tr w:rsidR="00A7162A" w14:paraId="5A6C30BA" w14:textId="1B578954" w:rsidTr="00D22E86">
        <w:trPr>
          <w:trHeight w:val="533"/>
          <w:jc w:val="center"/>
          <w:del w:id="10973" w:author="AbbVie2" w:date="2025-05-13T16:39:00Z"/>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905E85A" w14:textId="176F6216" w:rsidR="0057678E" w:rsidRPr="00A84A8D" w:rsidRDefault="00615769">
            <w:pPr>
              <w:rPr>
                <w:del w:id="10974" w:author="AbbVie2" w:date="2025-05-13T16:39:00Z"/>
                <w:rStyle w:val="eop"/>
                <w:sz w:val="22"/>
                <w:szCs w:val="22"/>
              </w:rPr>
              <w:pPrChange w:id="10975" w:author="AbbVie2" w:date="2025-05-13T16:40:00Z">
                <w:pPr>
                  <w:keepNext/>
                  <w:spacing w:line="276" w:lineRule="auto"/>
                </w:pPr>
              </w:pPrChange>
            </w:pPr>
            <w:del w:id="10976" w:author="AbbVie2" w:date="2025-05-13T16:39:00Z">
              <w:r w:rsidRPr="00A84A8D">
                <w:rPr>
                  <w:sz w:val="22"/>
                  <w:szCs w:val="22"/>
                  <w:vertAlign w:val="superscript"/>
                </w:rPr>
                <w:delText>a </w:delText>
              </w:r>
              <w:r w:rsidRPr="00A84A8D">
                <w:rPr>
                  <w:sz w:val="22"/>
                  <w:szCs w:val="22"/>
                </w:rPr>
                <w:delText>Humira 2,4 mg/kg (</w:delText>
              </w:r>
              <w:r w:rsidR="007916BF">
                <w:rPr>
                  <w:sz w:val="22"/>
                  <w:szCs w:val="22"/>
                </w:rPr>
                <w:delText>máximo de </w:delText>
              </w:r>
              <w:r w:rsidRPr="00A84A8D">
                <w:rPr>
                  <w:sz w:val="22"/>
                  <w:szCs w:val="22"/>
                </w:rPr>
                <w:delText>160 mg) na Semana 0, p</w:delText>
              </w:r>
              <w:r w:rsidR="007916BF">
                <w:rPr>
                  <w:sz w:val="22"/>
                  <w:szCs w:val="22"/>
                </w:rPr>
                <w:delText xml:space="preserve">lacebo na Semana 1, e 1,2 mg/kg </w:delText>
              </w:r>
              <w:r w:rsidRPr="00A84A8D">
                <w:rPr>
                  <w:sz w:val="22"/>
                  <w:szCs w:val="22"/>
                </w:rPr>
                <w:delText>(</w:delText>
              </w:r>
              <w:r w:rsidR="007916BF">
                <w:rPr>
                  <w:sz w:val="22"/>
                  <w:szCs w:val="22"/>
                </w:rPr>
                <w:delText>máximo de </w:delText>
              </w:r>
              <w:r w:rsidRPr="00A84A8D">
                <w:rPr>
                  <w:sz w:val="22"/>
                  <w:szCs w:val="22"/>
                </w:rPr>
                <w:delText>80 mg) na Semana </w:delText>
              </w:r>
              <w:r>
                <w:rPr>
                  <w:sz w:val="22"/>
                  <w:szCs w:val="22"/>
                </w:rPr>
                <w:delText>2</w:delText>
              </w:r>
              <w:r w:rsidRPr="00A84A8D">
                <w:rPr>
                  <w:rStyle w:val="eop"/>
                  <w:sz w:val="22"/>
                  <w:szCs w:val="22"/>
                </w:rPr>
                <w:delText> </w:delText>
              </w:r>
            </w:del>
          </w:p>
          <w:p w14:paraId="22AFB2EB" w14:textId="059EBF3D" w:rsidR="0057678E" w:rsidRPr="00A84A8D" w:rsidRDefault="00615769">
            <w:pPr>
              <w:rPr>
                <w:del w:id="10977" w:author="AbbVie2" w:date="2025-05-13T16:39:00Z"/>
                <w:rStyle w:val="eop"/>
                <w:sz w:val="22"/>
                <w:szCs w:val="22"/>
              </w:rPr>
              <w:pPrChange w:id="10978" w:author="AbbVie2" w:date="2025-05-13T16:40:00Z">
                <w:pPr>
                  <w:pStyle w:val="paragraph"/>
                  <w:keepNext/>
                  <w:spacing w:before="0" w:beforeAutospacing="0" w:after="0" w:afterAutospacing="0" w:line="276" w:lineRule="auto"/>
                  <w:textAlignment w:val="baseline"/>
                </w:pPr>
              </w:pPrChange>
            </w:pPr>
            <w:del w:id="10979" w:author="AbbVie2" w:date="2025-05-13T16:39:00Z">
              <w:r w:rsidRPr="00A84A8D">
                <w:rPr>
                  <w:sz w:val="22"/>
                  <w:szCs w:val="22"/>
                  <w:vertAlign w:val="superscript"/>
                </w:rPr>
                <w:delText>b</w:delText>
              </w:r>
              <w:r w:rsidRPr="00A84A8D">
                <w:rPr>
                  <w:rStyle w:val="normaltextrun"/>
                  <w:sz w:val="22"/>
                  <w:szCs w:val="22"/>
                  <w:vertAlign w:val="superscript"/>
                </w:rPr>
                <w:delText> </w:delText>
              </w:r>
              <w:r w:rsidRPr="00A84A8D">
                <w:rPr>
                  <w:rStyle w:val="normaltextrun"/>
                  <w:sz w:val="22"/>
                  <w:szCs w:val="22"/>
                </w:rPr>
                <w:delText>Humira 2,4 mg/kg (</w:delText>
              </w:r>
              <w:r w:rsidR="007916BF">
                <w:rPr>
                  <w:rStyle w:val="normaltextrun"/>
                  <w:sz w:val="22"/>
                  <w:szCs w:val="22"/>
                </w:rPr>
                <w:delText>máximo de </w:delText>
              </w:r>
              <w:r w:rsidRPr="00A84A8D">
                <w:rPr>
                  <w:rStyle w:val="normaltextrun"/>
                  <w:sz w:val="22"/>
                  <w:szCs w:val="22"/>
                </w:rPr>
                <w:delText>160 mg) na Semana 0 e na Semana 1, e 1,2 mg/kg</w:delText>
              </w:r>
              <w:r w:rsidR="007916BF">
                <w:rPr>
                  <w:rStyle w:val="normaltextrun"/>
                  <w:sz w:val="22"/>
                  <w:szCs w:val="22"/>
                </w:rPr>
                <w:delText xml:space="preserve"> </w:delText>
              </w:r>
              <w:r w:rsidRPr="00A84A8D">
                <w:rPr>
                  <w:rStyle w:val="normaltextrun"/>
                  <w:sz w:val="22"/>
                  <w:szCs w:val="22"/>
                </w:rPr>
                <w:delText>(</w:delText>
              </w:r>
              <w:r w:rsidR="007916BF">
                <w:rPr>
                  <w:rStyle w:val="normaltextrun"/>
                  <w:sz w:val="22"/>
                  <w:szCs w:val="22"/>
                </w:rPr>
                <w:delText>máximo de </w:delText>
              </w:r>
              <w:r w:rsidRPr="00A84A8D">
                <w:rPr>
                  <w:rStyle w:val="normaltextrun"/>
                  <w:sz w:val="22"/>
                  <w:szCs w:val="22"/>
                </w:rPr>
                <w:delText>80 mg) na Semana 2</w:delText>
              </w:r>
              <w:r w:rsidRPr="00A84A8D">
                <w:rPr>
                  <w:rStyle w:val="eop"/>
                  <w:sz w:val="22"/>
                  <w:szCs w:val="22"/>
                </w:rPr>
                <w:delText> </w:delText>
              </w:r>
            </w:del>
          </w:p>
          <w:p w14:paraId="496F9C44" w14:textId="22FC8AFD" w:rsidR="0057678E" w:rsidRPr="00A84A8D" w:rsidRDefault="00615769">
            <w:pPr>
              <w:rPr>
                <w:del w:id="10980" w:author="AbbVie2" w:date="2025-05-13T16:39:00Z"/>
                <w:rStyle w:val="normaltextrun"/>
                <w:sz w:val="22"/>
                <w:szCs w:val="22"/>
              </w:rPr>
              <w:pPrChange w:id="10981" w:author="AbbVie2" w:date="2025-05-13T16:40:00Z">
                <w:pPr>
                  <w:pStyle w:val="paragraph"/>
                  <w:keepNext/>
                  <w:spacing w:before="0" w:beforeAutospacing="0" w:after="0" w:afterAutospacing="0" w:line="276" w:lineRule="auto"/>
                  <w:textAlignment w:val="baseline"/>
                </w:pPr>
              </w:pPrChange>
            </w:pPr>
            <w:del w:id="10982" w:author="AbbVie2" w:date="2025-05-13T16:39:00Z">
              <w:r w:rsidRPr="00A84A8D">
                <w:rPr>
                  <w:rStyle w:val="normaltextrun"/>
                  <w:rFonts w:cs="Calibri"/>
                  <w:sz w:val="22"/>
                  <w:szCs w:val="22"/>
                  <w:vertAlign w:val="superscript"/>
                </w:rPr>
                <w:delText>c</w:delText>
              </w:r>
              <w:r w:rsidRPr="00A84A8D">
                <w:rPr>
                  <w:rStyle w:val="normaltextrun"/>
                  <w:sz w:val="22"/>
                  <w:szCs w:val="22"/>
                  <w:vertAlign w:val="superscript"/>
                </w:rPr>
                <w:delText> </w:delText>
              </w:r>
              <w:r w:rsidRPr="00A84A8D">
                <w:rPr>
                  <w:rStyle w:val="normaltextrun"/>
                  <w:rFonts w:cs="Calibri"/>
                  <w:sz w:val="22"/>
                  <w:szCs w:val="22"/>
                </w:rPr>
                <w:delText xml:space="preserve">Sem incluir a dose de indução </w:delText>
              </w:r>
              <w:r w:rsidR="0035376C">
                <w:rPr>
                  <w:rStyle w:val="normaltextrun"/>
                  <w:rFonts w:cs="Calibri"/>
                  <w:sz w:val="22"/>
                  <w:szCs w:val="22"/>
                </w:rPr>
                <w:delText>e</w:delText>
              </w:r>
              <w:r w:rsidR="0035376C" w:rsidRPr="002F486F">
                <w:rPr>
                  <w:rStyle w:val="normaltextrun"/>
                  <w:rFonts w:cs="Calibri"/>
                </w:rPr>
                <w:delText>m</w:delText>
              </w:r>
              <w:r w:rsidR="0035376C">
                <w:rPr>
                  <w:rStyle w:val="normaltextrun"/>
                  <w:rFonts w:cs="Calibri"/>
                </w:rPr>
                <w:delText xml:space="preserve"> </w:delText>
              </w:r>
              <w:r w:rsidR="0035376C" w:rsidRPr="002F486F">
                <w:rPr>
                  <w:rStyle w:val="normaltextrun"/>
                  <w:rFonts w:cs="Calibri"/>
                </w:rPr>
                <w:delText>fa</w:delText>
              </w:r>
              <w:r w:rsidR="0035376C">
                <w:rPr>
                  <w:rStyle w:val="normaltextrun"/>
                  <w:rFonts w:cs="Calibri"/>
                </w:rPr>
                <w:delText>s</w:delText>
              </w:r>
              <w:r w:rsidR="0035376C" w:rsidRPr="002F486F">
                <w:rPr>
                  <w:rStyle w:val="normaltextrun"/>
                  <w:rFonts w:cs="Calibri"/>
                </w:rPr>
                <w:delText>e</w:delText>
              </w:r>
              <w:r w:rsidR="0035376C">
                <w:rPr>
                  <w:rStyle w:val="normaltextrun"/>
                  <w:rFonts w:cs="Calibri"/>
                </w:rPr>
                <w:delText xml:space="preserve"> </w:delText>
              </w:r>
              <w:r w:rsidRPr="00A84A8D">
                <w:rPr>
                  <w:rStyle w:val="normaltextrun"/>
                  <w:rFonts w:cs="Calibri"/>
                  <w:sz w:val="22"/>
                  <w:szCs w:val="22"/>
                </w:rPr>
                <w:delText>aberta de 2,4 mg/kg de Humira (</w:delText>
              </w:r>
              <w:r w:rsidR="007916BF">
                <w:rPr>
                  <w:rStyle w:val="normaltextrun"/>
                  <w:rFonts w:cs="Calibri"/>
                  <w:sz w:val="22"/>
                  <w:szCs w:val="22"/>
                </w:rPr>
                <w:delText>máximo de </w:delText>
              </w:r>
              <w:r w:rsidRPr="00A84A8D">
                <w:rPr>
                  <w:rStyle w:val="normaltextrun"/>
                  <w:rFonts w:cs="Calibri"/>
                  <w:sz w:val="22"/>
                  <w:szCs w:val="22"/>
                </w:rPr>
                <w:delText>160 mg) na Semana 0 e na Semana 1, e 1,2 mg/kg</w:delText>
              </w:r>
              <w:r w:rsidR="007916BF">
                <w:rPr>
                  <w:rStyle w:val="normaltextrun"/>
                  <w:rFonts w:cs="Calibri"/>
                  <w:sz w:val="22"/>
                  <w:szCs w:val="22"/>
                </w:rPr>
                <w:delText xml:space="preserve"> </w:delText>
              </w:r>
              <w:r w:rsidRPr="00A84A8D">
                <w:rPr>
                  <w:rStyle w:val="normaltextrun"/>
                  <w:rFonts w:cs="Calibri"/>
                  <w:sz w:val="22"/>
                  <w:szCs w:val="22"/>
                </w:rPr>
                <w:delText>(</w:delText>
              </w:r>
              <w:r w:rsidR="007916BF">
                <w:rPr>
                  <w:rStyle w:val="normaltextrun"/>
                  <w:rFonts w:cs="Calibri"/>
                  <w:sz w:val="22"/>
                  <w:szCs w:val="22"/>
                </w:rPr>
                <w:delText>máximo de </w:delText>
              </w:r>
              <w:r w:rsidRPr="00A84A8D">
                <w:rPr>
                  <w:rStyle w:val="normaltextrun"/>
                  <w:rFonts w:cs="Calibri"/>
                  <w:sz w:val="22"/>
                  <w:szCs w:val="22"/>
                </w:rPr>
                <w:delText>80 mg) na Semana 2</w:delText>
              </w:r>
            </w:del>
          </w:p>
          <w:p w14:paraId="59CAADB3" w14:textId="46AD0EF0" w:rsidR="0057678E" w:rsidRPr="00A84A8D" w:rsidRDefault="00615769">
            <w:pPr>
              <w:rPr>
                <w:del w:id="10983" w:author="AbbVie2" w:date="2025-05-13T16:39:00Z"/>
                <w:sz w:val="22"/>
                <w:szCs w:val="22"/>
                <w:lang w:eastAsia="en-GB"/>
              </w:rPr>
              <w:pPrChange w:id="10984" w:author="AbbVie2" w:date="2025-05-13T16:40:00Z">
                <w:pPr>
                  <w:pStyle w:val="paragraph"/>
                  <w:keepNext/>
                  <w:spacing w:before="0" w:beforeAutospacing="0" w:after="0" w:afterAutospacing="0" w:line="276" w:lineRule="auto"/>
                  <w:textAlignment w:val="baseline"/>
                </w:pPr>
              </w:pPrChange>
            </w:pPr>
            <w:del w:id="10985" w:author="AbbVie2" w:date="2025-05-13T16:39:00Z">
              <w:r w:rsidRPr="00A84A8D">
                <w:rPr>
                  <w:rStyle w:val="normaltextrun"/>
                  <w:sz w:val="22"/>
                  <w:szCs w:val="22"/>
                  <w:vertAlign w:val="superscript"/>
                </w:rPr>
                <w:delText>d</w:delText>
              </w:r>
              <w:r>
                <w:rPr>
                  <w:rStyle w:val="normaltextrun"/>
                  <w:sz w:val="22"/>
                  <w:szCs w:val="22"/>
                  <w:vertAlign w:val="superscript"/>
                </w:rPr>
                <w:delText> </w:delText>
              </w:r>
              <w:r w:rsidRPr="00A84A8D">
                <w:rPr>
                  <w:sz w:val="22"/>
                  <w:szCs w:val="22"/>
                  <w:lang w:eastAsia="en-GB"/>
                </w:rPr>
                <w:delText>Humira 0,6 mg/kg (</w:delText>
              </w:r>
              <w:r w:rsidR="007916BF">
                <w:rPr>
                  <w:sz w:val="22"/>
                  <w:szCs w:val="22"/>
                  <w:lang w:eastAsia="en-GB"/>
                </w:rPr>
                <w:delText>máximo de </w:delText>
              </w:r>
              <w:r w:rsidRPr="00A84A8D">
                <w:rPr>
                  <w:sz w:val="22"/>
                  <w:szCs w:val="22"/>
                  <w:lang w:eastAsia="en-GB"/>
                </w:rPr>
                <w:delText>40 mg) em semanas alternadas</w:delText>
              </w:r>
            </w:del>
          </w:p>
          <w:p w14:paraId="4F76936E" w14:textId="5640ABCD" w:rsidR="0057678E" w:rsidRPr="00A84A8D" w:rsidRDefault="00615769">
            <w:pPr>
              <w:rPr>
                <w:del w:id="10986" w:author="AbbVie2" w:date="2025-05-13T16:39:00Z"/>
                <w:sz w:val="22"/>
                <w:szCs w:val="22"/>
                <w:lang w:eastAsia="en-GB"/>
              </w:rPr>
              <w:pPrChange w:id="10987" w:author="AbbVie2" w:date="2025-05-13T16:40:00Z">
                <w:pPr>
                  <w:keepNext/>
                  <w:spacing w:line="276" w:lineRule="auto"/>
                </w:pPr>
              </w:pPrChange>
            </w:pPr>
            <w:del w:id="10988" w:author="AbbVie2" w:date="2025-05-13T16:39:00Z">
              <w:r w:rsidRPr="00A84A8D">
                <w:rPr>
                  <w:sz w:val="22"/>
                  <w:szCs w:val="22"/>
                  <w:vertAlign w:val="superscript"/>
                  <w:lang w:eastAsia="en-GB"/>
                </w:rPr>
                <w:delText>e</w:delText>
              </w:r>
              <w:r>
                <w:rPr>
                  <w:sz w:val="22"/>
                  <w:szCs w:val="22"/>
                  <w:vertAlign w:val="superscript"/>
                  <w:lang w:eastAsia="en-GB"/>
                </w:rPr>
                <w:delText> </w:delText>
              </w:r>
              <w:r w:rsidRPr="00A84A8D">
                <w:rPr>
                  <w:sz w:val="22"/>
                  <w:szCs w:val="22"/>
                  <w:lang w:eastAsia="en-GB"/>
                </w:rPr>
                <w:delText>Humira 0,6 mg/kg (</w:delText>
              </w:r>
              <w:r w:rsidR="007916BF">
                <w:rPr>
                  <w:sz w:val="22"/>
                  <w:szCs w:val="22"/>
                  <w:lang w:eastAsia="en-GB"/>
                </w:rPr>
                <w:delText>máximo de </w:delText>
              </w:r>
              <w:r w:rsidRPr="00A84A8D">
                <w:rPr>
                  <w:sz w:val="22"/>
                  <w:szCs w:val="22"/>
                  <w:lang w:eastAsia="en-GB"/>
                </w:rPr>
                <w:delText>40 mg) semanalmente</w:delText>
              </w:r>
            </w:del>
          </w:p>
          <w:p w14:paraId="1302AFEA" w14:textId="3DA3DF8C" w:rsidR="0057678E" w:rsidRPr="00A84A8D" w:rsidRDefault="00615769">
            <w:pPr>
              <w:rPr>
                <w:del w:id="10989" w:author="AbbVie2" w:date="2025-05-13T16:39:00Z"/>
                <w:rFonts w:ascii="Segoe UI" w:hAnsi="Segoe UI" w:cs="Segoe UI"/>
                <w:sz w:val="22"/>
                <w:szCs w:val="22"/>
              </w:rPr>
              <w:pPrChange w:id="10990" w:author="AbbVie2" w:date="2025-05-13T16:40:00Z">
                <w:pPr>
                  <w:pStyle w:val="paragraph"/>
                  <w:keepNext/>
                  <w:spacing w:before="0" w:beforeAutospacing="0" w:after="0" w:afterAutospacing="0" w:line="276" w:lineRule="auto"/>
                  <w:textAlignment w:val="baseline"/>
                </w:pPr>
              </w:pPrChange>
            </w:pPr>
            <w:del w:id="10991" w:author="AbbVie2" w:date="2025-05-13T16:39:00Z">
              <w:r w:rsidRPr="00A84A8D">
                <w:rPr>
                  <w:rStyle w:val="normaltextrun"/>
                  <w:rFonts w:cs="Calibri"/>
                  <w:sz w:val="22"/>
                  <w:szCs w:val="22"/>
                </w:rPr>
                <w:delText>Nota 1: Ambos os grupos de indução receberam 0,6 mg/kg (</w:delText>
              </w:r>
              <w:r w:rsidR="007916BF">
                <w:rPr>
                  <w:rStyle w:val="normaltextrun"/>
                  <w:rFonts w:cs="Calibri"/>
                  <w:sz w:val="22"/>
                  <w:szCs w:val="22"/>
                </w:rPr>
                <w:delText>máximo de </w:delText>
              </w:r>
              <w:r w:rsidRPr="00A84A8D">
                <w:rPr>
                  <w:rStyle w:val="normaltextrun"/>
                  <w:rFonts w:cs="Calibri"/>
                  <w:sz w:val="22"/>
                  <w:szCs w:val="22"/>
                </w:rPr>
                <w:delText>40 mg) na Semana 4 e na Semana 6</w:delText>
              </w:r>
              <w:r w:rsidRPr="00A84A8D">
                <w:rPr>
                  <w:rStyle w:val="eop"/>
                  <w:rFonts w:cs="Calibri"/>
                  <w:sz w:val="22"/>
                  <w:szCs w:val="22"/>
                </w:rPr>
                <w:delText> </w:delText>
              </w:r>
            </w:del>
          </w:p>
          <w:p w14:paraId="69236C63" w14:textId="6C8E9F53" w:rsidR="0057678E" w:rsidRPr="00A84A8D" w:rsidRDefault="00615769">
            <w:pPr>
              <w:rPr>
                <w:del w:id="10992" w:author="AbbVie2" w:date="2025-05-13T16:39:00Z"/>
                <w:rStyle w:val="eop"/>
                <w:rFonts w:cs="Calibri"/>
                <w:sz w:val="22"/>
                <w:szCs w:val="22"/>
              </w:rPr>
              <w:pPrChange w:id="10993" w:author="AbbVie2" w:date="2025-05-13T16:40:00Z">
                <w:pPr>
                  <w:pStyle w:val="paragraph"/>
                  <w:keepNext/>
                  <w:spacing w:before="0" w:beforeAutospacing="0" w:after="0" w:afterAutospacing="0" w:line="276" w:lineRule="auto"/>
                  <w:textAlignment w:val="baseline"/>
                </w:pPr>
              </w:pPrChange>
            </w:pPr>
            <w:del w:id="10994" w:author="AbbVie2" w:date="2025-05-13T16:39:00Z">
              <w:r w:rsidRPr="00A84A8D">
                <w:rPr>
                  <w:rStyle w:val="normaltextrun"/>
                  <w:rFonts w:cs="Calibri"/>
                  <w:sz w:val="22"/>
                  <w:szCs w:val="22"/>
                </w:rPr>
                <w:delText xml:space="preserve">Nota 2: Considerou-se que os doentes com valores em falta na Semana 8 não </w:delText>
              </w:r>
              <w:r w:rsidR="0035376C">
                <w:rPr>
                  <w:rStyle w:val="normaltextrun"/>
                  <w:rFonts w:cs="Calibri"/>
                  <w:sz w:val="22"/>
                  <w:szCs w:val="22"/>
                </w:rPr>
                <w:delText>a</w:delText>
              </w:r>
              <w:r w:rsidR="0035376C" w:rsidRPr="002F486F">
                <w:rPr>
                  <w:rStyle w:val="normaltextrun"/>
                  <w:rFonts w:cs="Calibri"/>
                </w:rPr>
                <w:delText>ti</w:delText>
              </w:r>
              <w:r w:rsidR="0035376C">
                <w:rPr>
                  <w:rStyle w:val="normaltextrun"/>
                  <w:rFonts w:cs="Calibri"/>
                </w:rPr>
                <w:delText>n</w:delText>
              </w:r>
              <w:r w:rsidR="0035376C" w:rsidRPr="002F486F">
                <w:rPr>
                  <w:rStyle w:val="normaltextrun"/>
                  <w:rFonts w:cs="Calibri"/>
                </w:rPr>
                <w:delText>g</w:delText>
              </w:r>
              <w:r w:rsidR="0035376C">
                <w:rPr>
                  <w:rStyle w:val="normaltextrun"/>
                  <w:rFonts w:cs="Calibri"/>
                </w:rPr>
                <w:delText>i</w:delText>
              </w:r>
              <w:r w:rsidR="0035376C" w:rsidRPr="002F486F">
                <w:rPr>
                  <w:rStyle w:val="normaltextrun"/>
                  <w:rFonts w:cs="Calibri"/>
                </w:rPr>
                <w:delText>r</w:delText>
              </w:r>
              <w:r w:rsidR="0035376C">
                <w:rPr>
                  <w:rStyle w:val="normaltextrun"/>
                  <w:rFonts w:cs="Calibri"/>
                </w:rPr>
                <w:delText>a</w:delText>
              </w:r>
              <w:r w:rsidR="0035376C" w:rsidRPr="002F486F">
                <w:rPr>
                  <w:rStyle w:val="normaltextrun"/>
                  <w:rFonts w:cs="Calibri"/>
                </w:rPr>
                <w:delText>m</w:delText>
              </w:r>
              <w:r w:rsidRPr="00A84A8D">
                <w:rPr>
                  <w:rStyle w:val="normaltextrun"/>
                  <w:rFonts w:cs="Calibri"/>
                  <w:sz w:val="22"/>
                  <w:szCs w:val="22"/>
                </w:rPr>
                <w:delText xml:space="preserve"> os objetivos</w:delText>
              </w:r>
              <w:r w:rsidRPr="00A84A8D">
                <w:rPr>
                  <w:rStyle w:val="eop"/>
                  <w:rFonts w:cs="Calibri"/>
                  <w:sz w:val="22"/>
                  <w:szCs w:val="22"/>
                </w:rPr>
                <w:delText> </w:delText>
              </w:r>
            </w:del>
          </w:p>
          <w:p w14:paraId="0F01FDA4" w14:textId="0D83FB97" w:rsidR="0057678E" w:rsidRPr="00A84A8D" w:rsidRDefault="00615769">
            <w:pPr>
              <w:rPr>
                <w:del w:id="10995" w:author="AbbVie2" w:date="2025-05-13T16:39:00Z"/>
                <w:sz w:val="22"/>
                <w:szCs w:val="22"/>
              </w:rPr>
              <w:pPrChange w:id="10996" w:author="AbbVie2" w:date="2025-05-13T16:40:00Z">
                <w:pPr>
                  <w:pStyle w:val="paragraph"/>
                  <w:keepNext/>
                  <w:spacing w:before="0" w:beforeAutospacing="0" w:after="0" w:afterAutospacing="0" w:line="276" w:lineRule="auto"/>
                  <w:textAlignment w:val="baseline"/>
                </w:pPr>
              </w:pPrChange>
            </w:pPr>
            <w:del w:id="10997" w:author="AbbVie2" w:date="2025-05-13T16:39:00Z">
              <w:r w:rsidRPr="00A84A8D">
                <w:rPr>
                  <w:rStyle w:val="eop"/>
                  <w:rFonts w:cs="Calibri"/>
                  <w:sz w:val="22"/>
                  <w:szCs w:val="22"/>
                </w:rPr>
                <w:delText xml:space="preserve">Nota 3: </w:delText>
              </w:r>
              <w:r w:rsidRPr="00A84A8D">
                <w:rPr>
                  <w:sz w:val="22"/>
                  <w:szCs w:val="22"/>
                  <w:lang w:eastAsia="en-GB"/>
                </w:rPr>
                <w:delText xml:space="preserve">Os doentes com valores em falta na Semana 52 ou que foram aleatorizados para receberem tratamento de reindução ou manutenção foram considerados como não respondedores </w:delText>
              </w:r>
              <w:r w:rsidR="00B10B70">
                <w:rPr>
                  <w:sz w:val="22"/>
                  <w:szCs w:val="22"/>
                  <w:lang w:eastAsia="en-GB"/>
                </w:rPr>
                <w:delText>quanto aos</w:delText>
              </w:r>
              <w:r w:rsidRPr="00A84A8D">
                <w:rPr>
                  <w:sz w:val="22"/>
                  <w:szCs w:val="22"/>
                  <w:lang w:eastAsia="en-GB"/>
                </w:rPr>
                <w:delText xml:space="preserve"> objetivos da Semana 52</w:delText>
              </w:r>
            </w:del>
          </w:p>
        </w:tc>
      </w:tr>
    </w:tbl>
    <w:p w14:paraId="03963999" w14:textId="083C1B35" w:rsidR="0057678E" w:rsidRPr="00FF4AB1" w:rsidRDefault="0057678E" w:rsidP="00412FC8">
      <w:pPr>
        <w:rPr>
          <w:del w:id="10998" w:author="AbbVie2" w:date="2025-05-13T16:39:00Z"/>
          <w:sz w:val="22"/>
          <w:szCs w:val="22"/>
        </w:rPr>
      </w:pPr>
    </w:p>
    <w:p w14:paraId="352C56E2" w14:textId="0065447C" w:rsidR="0057678E" w:rsidRPr="000C51DF" w:rsidRDefault="00615769" w:rsidP="00412FC8">
      <w:pPr>
        <w:rPr>
          <w:del w:id="10999" w:author="AbbVie2" w:date="2025-05-13T16:39:00Z"/>
          <w:sz w:val="22"/>
          <w:szCs w:val="22"/>
        </w:rPr>
      </w:pPr>
      <w:del w:id="11000" w:author="AbbVie2" w:date="2025-05-13T16:39:00Z">
        <w:r w:rsidRPr="000C51DF">
          <w:rPr>
            <w:sz w:val="22"/>
            <w:szCs w:val="22"/>
          </w:rPr>
          <w:delText>Dos doentes tratados com Humira que receberam tratamento de reindução durante o período de manutenção, 2/6 (33%) obtiveram resposta clínica de acordo com a FMS na Semana 52.</w:delText>
        </w:r>
      </w:del>
    </w:p>
    <w:p w14:paraId="010DEDB4" w14:textId="4801079D" w:rsidR="0057678E" w:rsidRPr="000C51DF" w:rsidRDefault="0057678E" w:rsidP="00412FC8">
      <w:pPr>
        <w:rPr>
          <w:del w:id="11001" w:author="AbbVie2" w:date="2025-05-13T16:39:00Z"/>
          <w:sz w:val="22"/>
          <w:szCs w:val="22"/>
        </w:rPr>
      </w:pPr>
    </w:p>
    <w:p w14:paraId="0E64BE74" w14:textId="5FB9064A" w:rsidR="0057678E" w:rsidRPr="000C51DF" w:rsidRDefault="00615769">
      <w:pPr>
        <w:rPr>
          <w:del w:id="11002" w:author="AbbVie2" w:date="2025-05-13T16:39:00Z"/>
          <w:bCs/>
          <w:i/>
          <w:sz w:val="22"/>
          <w:szCs w:val="22"/>
          <w:u w:val="single"/>
        </w:rPr>
        <w:pPrChange w:id="11003" w:author="AbbVie2" w:date="2025-05-13T16:40:00Z">
          <w:pPr>
            <w:keepNext/>
          </w:pPr>
        </w:pPrChange>
      </w:pPr>
      <w:del w:id="11004" w:author="AbbVie2" w:date="2025-05-13T16:39:00Z">
        <w:r w:rsidRPr="000C51DF">
          <w:rPr>
            <w:bCs/>
            <w:i/>
            <w:sz w:val="22"/>
            <w:szCs w:val="22"/>
            <w:u w:val="single"/>
          </w:rPr>
          <w:delText>Qualidade de vida</w:delText>
        </w:r>
      </w:del>
    </w:p>
    <w:p w14:paraId="49EB1420" w14:textId="58331F65" w:rsidR="0057678E" w:rsidRPr="000C51DF" w:rsidRDefault="0057678E">
      <w:pPr>
        <w:rPr>
          <w:del w:id="11005" w:author="AbbVie2" w:date="2025-05-13T16:39:00Z"/>
          <w:bCs/>
          <w:i/>
          <w:sz w:val="22"/>
          <w:szCs w:val="22"/>
          <w:u w:val="single"/>
        </w:rPr>
        <w:pPrChange w:id="11006" w:author="AbbVie2" w:date="2025-05-13T16:40:00Z">
          <w:pPr>
            <w:keepNext/>
          </w:pPr>
        </w:pPrChange>
      </w:pPr>
    </w:p>
    <w:p w14:paraId="5A6FE681" w14:textId="66FB8CB6" w:rsidR="002F486F" w:rsidRPr="000C51DF" w:rsidRDefault="00615769">
      <w:pPr>
        <w:rPr>
          <w:del w:id="11007" w:author="AbbVie2" w:date="2025-05-13T16:39:00Z"/>
          <w:sz w:val="22"/>
          <w:szCs w:val="22"/>
        </w:rPr>
        <w:pPrChange w:id="11008" w:author="AbbVie2" w:date="2025-05-13T16:40:00Z">
          <w:pPr>
            <w:keepNext/>
          </w:pPr>
        </w:pPrChange>
      </w:pPr>
      <w:del w:id="11009" w:author="AbbVie2" w:date="2025-05-13T16:39:00Z">
        <w:r w:rsidRPr="000C51DF">
          <w:rPr>
            <w:sz w:val="22"/>
            <w:szCs w:val="22"/>
          </w:rPr>
          <w:delText xml:space="preserve">Foram observadas melhorias clinicamente significativas em relação aos valores </w:delText>
        </w:r>
        <w:r>
          <w:rPr>
            <w:sz w:val="22"/>
            <w:szCs w:val="22"/>
          </w:rPr>
          <w:delText>iniciais</w:delText>
        </w:r>
        <w:r w:rsidRPr="000C51DF">
          <w:rPr>
            <w:sz w:val="22"/>
            <w:szCs w:val="22"/>
          </w:rPr>
          <w:delText xml:space="preserve"> no questionário IMPACT III e nas pontuações do questionário </w:delText>
        </w:r>
        <w:r w:rsidRPr="000C51DF">
          <w:rPr>
            <w:i/>
            <w:sz w:val="22"/>
            <w:szCs w:val="22"/>
          </w:rPr>
          <w:delText>Work Productivity and Activity Impairment</w:delText>
        </w:r>
        <w:r w:rsidRPr="000C51DF">
          <w:rPr>
            <w:sz w:val="22"/>
            <w:szCs w:val="22"/>
          </w:rPr>
          <w:delText xml:space="preserve"> (WPAI) </w:delText>
        </w:r>
        <w:r>
          <w:rPr>
            <w:sz w:val="22"/>
            <w:szCs w:val="22"/>
          </w:rPr>
          <w:delText>relativas ao</w:delText>
        </w:r>
        <w:r w:rsidRPr="000C51DF">
          <w:rPr>
            <w:sz w:val="22"/>
            <w:szCs w:val="22"/>
          </w:rPr>
          <w:delText xml:space="preserve"> prestador de cuidados para os grupos tratados com Humira.</w:delText>
        </w:r>
      </w:del>
    </w:p>
    <w:p w14:paraId="11EAC0FA" w14:textId="5B521787" w:rsidR="002F486F" w:rsidRPr="000C51DF" w:rsidRDefault="002F486F">
      <w:pPr>
        <w:rPr>
          <w:del w:id="11010" w:author="AbbVie2" w:date="2025-05-13T16:39:00Z"/>
          <w:sz w:val="22"/>
          <w:szCs w:val="22"/>
        </w:rPr>
        <w:pPrChange w:id="11011" w:author="AbbVie2" w:date="2025-05-13T16:40:00Z">
          <w:pPr>
            <w:keepNext/>
          </w:pPr>
        </w:pPrChange>
      </w:pPr>
    </w:p>
    <w:p w14:paraId="75F9EFB0" w14:textId="1A4E8A04" w:rsidR="002F486F" w:rsidRPr="004E38D3" w:rsidRDefault="00615769" w:rsidP="00412FC8">
      <w:pPr>
        <w:rPr>
          <w:del w:id="11012" w:author="AbbVie2" w:date="2025-05-13T16:39:00Z"/>
          <w:rFonts w:eastAsiaTheme="minorHAnsi"/>
          <w:sz w:val="22"/>
          <w:szCs w:val="22"/>
          <w:lang w:eastAsia="en-GB"/>
        </w:rPr>
      </w:pPr>
      <w:del w:id="11013" w:author="AbbVie2" w:date="2025-05-13T16:39:00Z">
        <w:r w:rsidRPr="004E38D3">
          <w:rPr>
            <w:sz w:val="22"/>
            <w:szCs w:val="22"/>
          </w:rPr>
          <w:delText xml:space="preserve">Foram observados aumentos clinicamente significativos (melhoria) em relação aos valores </w:delText>
        </w:r>
        <w:r>
          <w:rPr>
            <w:sz w:val="22"/>
            <w:szCs w:val="22"/>
          </w:rPr>
          <w:delText>iniciais na</w:delText>
        </w:r>
        <w:r w:rsidRPr="004E38D3">
          <w:rPr>
            <w:sz w:val="22"/>
            <w:szCs w:val="22"/>
          </w:rPr>
          <w:delText xml:space="preserve"> velocidade de crescimento nos grupos tratados com adalimumab, e foram observados aumentos clinicamente significativos (melhoria) em relação aos valores </w:delText>
        </w:r>
        <w:r>
          <w:rPr>
            <w:sz w:val="22"/>
            <w:szCs w:val="22"/>
          </w:rPr>
          <w:delText>iniciais no</w:delText>
        </w:r>
        <w:r w:rsidRPr="004E38D3">
          <w:rPr>
            <w:sz w:val="22"/>
            <w:szCs w:val="22"/>
          </w:rPr>
          <w:delText xml:space="preserve"> índice de massa corporal em indivíduos a receberem uma dose de manutenção elevada de, no máximo, 40 mg (0,6 mg/kg)</w:delText>
        </w:r>
        <w:r>
          <w:rPr>
            <w:sz w:val="22"/>
            <w:szCs w:val="22"/>
          </w:rPr>
          <w:delText xml:space="preserve"> semanalmente</w:delText>
        </w:r>
        <w:r w:rsidRPr="004E38D3">
          <w:rPr>
            <w:sz w:val="22"/>
            <w:szCs w:val="22"/>
          </w:rPr>
          <w:delText xml:space="preserve">. </w:delText>
        </w:r>
      </w:del>
    </w:p>
    <w:p w14:paraId="106D2DF9" w14:textId="52118269" w:rsidR="00B925B3" w:rsidRDefault="00B925B3" w:rsidP="00412FC8">
      <w:pPr>
        <w:rPr>
          <w:del w:id="11014" w:author="AbbVie2" w:date="2025-05-13T16:39:00Z"/>
          <w:i/>
          <w:sz w:val="22"/>
          <w:szCs w:val="22"/>
        </w:rPr>
      </w:pPr>
    </w:p>
    <w:p w14:paraId="478966D3" w14:textId="044C5CF2" w:rsidR="00B925B3" w:rsidRPr="00034BDE" w:rsidRDefault="00615769" w:rsidP="00412FC8">
      <w:pPr>
        <w:rPr>
          <w:del w:id="11015" w:author="AbbVie2" w:date="2025-05-13T16:39:00Z"/>
          <w:i/>
        </w:rPr>
      </w:pPr>
      <w:del w:id="11016" w:author="AbbVie2" w:date="2025-05-13T16:39:00Z">
        <w:r w:rsidRPr="00034BDE">
          <w:rPr>
            <w:i/>
            <w:sz w:val="22"/>
            <w:szCs w:val="22"/>
          </w:rPr>
          <w:delText xml:space="preserve">Uveíte </w:delText>
        </w:r>
        <w:r>
          <w:rPr>
            <w:i/>
            <w:sz w:val="22"/>
            <w:szCs w:val="22"/>
          </w:rPr>
          <w:delText>p</w:delText>
        </w:r>
        <w:r w:rsidRPr="00034BDE">
          <w:rPr>
            <w:i/>
            <w:sz w:val="22"/>
            <w:szCs w:val="22"/>
          </w:rPr>
          <w:delText>ediátrica</w:delText>
        </w:r>
      </w:del>
    </w:p>
    <w:p w14:paraId="7D3A7D6C" w14:textId="00966318" w:rsidR="00B925B3" w:rsidRDefault="00B925B3" w:rsidP="00412FC8">
      <w:pPr>
        <w:rPr>
          <w:del w:id="11017" w:author="AbbVie2" w:date="2025-05-13T16:39:00Z"/>
        </w:rPr>
      </w:pPr>
    </w:p>
    <w:p w14:paraId="47EA9118" w14:textId="198A3D86" w:rsidR="00B925B3" w:rsidRDefault="00615769">
      <w:pPr>
        <w:rPr>
          <w:del w:id="11018" w:author="AbbVie2" w:date="2025-05-13T16:39:00Z"/>
          <w:bCs/>
          <w:szCs w:val="20"/>
        </w:rPr>
        <w:pPrChange w:id="11019" w:author="AbbVie2" w:date="2025-05-13T16:40:00Z">
          <w:pPr>
            <w:pStyle w:val="BodyText2"/>
            <w:autoSpaceDE/>
            <w:autoSpaceDN/>
            <w:adjustRightInd/>
          </w:pPr>
        </w:pPrChange>
      </w:pPr>
      <w:del w:id="11020" w:author="AbbVie2" w:date="2025-05-13T16:39:00Z">
        <w:r w:rsidRPr="008912CF">
          <w:rPr>
            <w:szCs w:val="22"/>
          </w:rPr>
          <w:delText xml:space="preserve">A segurança e eficácia de Humira foram avaliadas </w:delText>
        </w:r>
        <w:r>
          <w:rPr>
            <w:szCs w:val="22"/>
          </w:rPr>
          <w:delText xml:space="preserve">num </w:delText>
        </w:r>
        <w:r w:rsidRPr="008912CF">
          <w:rPr>
            <w:szCs w:val="22"/>
          </w:rPr>
          <w:delText>estudo</w:delText>
        </w:r>
        <w:r>
          <w:rPr>
            <w:szCs w:val="22"/>
          </w:rPr>
          <w:delText xml:space="preserve"> aleatorizado</w:delText>
        </w:r>
        <w:r w:rsidRPr="008912CF">
          <w:rPr>
            <w:szCs w:val="22"/>
          </w:rPr>
          <w:delText xml:space="preserve">, </w:delText>
        </w:r>
        <w:r>
          <w:rPr>
            <w:szCs w:val="22"/>
          </w:rPr>
          <w:delText xml:space="preserve">controlado, </w:delText>
        </w:r>
        <w:r w:rsidRPr="008912CF">
          <w:rPr>
            <w:szCs w:val="22"/>
          </w:rPr>
          <w:delText xml:space="preserve">em dupla ocultação, </w:delText>
        </w:r>
        <w:r>
          <w:rPr>
            <w:szCs w:val="22"/>
          </w:rPr>
          <w:delText>realizado</w:delText>
        </w:r>
        <w:r w:rsidRPr="008912CF">
          <w:rPr>
            <w:szCs w:val="22"/>
          </w:rPr>
          <w:delText xml:space="preserve"> em </w:delText>
        </w:r>
        <w:r>
          <w:rPr>
            <w:szCs w:val="22"/>
          </w:rPr>
          <w:delText>9</w:delText>
        </w:r>
        <w:r w:rsidRPr="008912CF">
          <w:rPr>
            <w:szCs w:val="22"/>
          </w:rPr>
          <w:delText>0 doentes</w:delText>
        </w:r>
        <w:r>
          <w:rPr>
            <w:szCs w:val="22"/>
          </w:rPr>
          <w:delText xml:space="preserve"> pediátricos </w:delText>
        </w:r>
        <w:r w:rsidRPr="00034BDE">
          <w:rPr>
            <w:szCs w:val="22"/>
          </w:rPr>
          <w:delText>com idade</w:delText>
        </w:r>
        <w:r>
          <w:rPr>
            <w:szCs w:val="22"/>
          </w:rPr>
          <w:delText xml:space="preserve"> desde os 2 a &lt; 18 anos</w:delText>
        </w:r>
        <w:r w:rsidRPr="008912CF">
          <w:rPr>
            <w:szCs w:val="22"/>
          </w:rPr>
          <w:delText xml:space="preserve"> com </w:delText>
        </w:r>
        <w:r>
          <w:rPr>
            <w:szCs w:val="22"/>
          </w:rPr>
          <w:delText xml:space="preserve">uveíte não infecciosa, anterior, associada a artrite idiopática juvenil </w:delText>
        </w:r>
        <w:r w:rsidRPr="008912CF">
          <w:rPr>
            <w:szCs w:val="22"/>
          </w:rPr>
          <w:delText>(</w:delText>
        </w:r>
        <w:r>
          <w:rPr>
            <w:szCs w:val="22"/>
          </w:rPr>
          <w:delText>AIJ</w:delText>
        </w:r>
        <w:r w:rsidRPr="008912CF">
          <w:rPr>
            <w:szCs w:val="22"/>
          </w:rPr>
          <w:delText>) ativa</w:delText>
        </w:r>
        <w:r>
          <w:rPr>
            <w:szCs w:val="22"/>
          </w:rPr>
          <w:delText>, que foram refratários durante pelo menos 12 semanas de tratamento com metotrexato. O</w:delText>
        </w:r>
        <w:r w:rsidRPr="008912CF">
          <w:rPr>
            <w:szCs w:val="22"/>
          </w:rPr>
          <w:delText xml:space="preserve">s doentes receberam placebo ou </w:delText>
        </w:r>
        <w:r>
          <w:rPr>
            <w:szCs w:val="22"/>
          </w:rPr>
          <w:delText>20 mg de adalimumab (se &lt; 30 kg) ou 40 mg de adalimumab (se </w:delText>
        </w:r>
        <w:r w:rsidRPr="00034BDE">
          <w:rPr>
            <w:bCs/>
            <w:szCs w:val="20"/>
          </w:rPr>
          <w:delText>≥</w:delText>
        </w:r>
        <w:r>
          <w:rPr>
            <w:bCs/>
            <w:szCs w:val="20"/>
          </w:rPr>
          <w:delText xml:space="preserve"> 30 kg) em semanas alternadas em associação com a dose inicial de metotrexato.</w:delText>
        </w:r>
      </w:del>
    </w:p>
    <w:p w14:paraId="0CCD1F1D" w14:textId="67670B75" w:rsidR="00B925B3" w:rsidRDefault="00B925B3">
      <w:pPr>
        <w:rPr>
          <w:del w:id="11021" w:author="AbbVie2" w:date="2025-05-13T16:39:00Z"/>
          <w:bCs/>
          <w:szCs w:val="20"/>
        </w:rPr>
        <w:pPrChange w:id="11022" w:author="AbbVie2" w:date="2025-05-13T16:40:00Z">
          <w:pPr>
            <w:pStyle w:val="BodyText2"/>
            <w:autoSpaceDE/>
            <w:autoSpaceDN/>
            <w:adjustRightInd/>
          </w:pPr>
        </w:pPrChange>
      </w:pPr>
    </w:p>
    <w:p w14:paraId="342F4366" w14:textId="2FA22510" w:rsidR="00B925B3" w:rsidRDefault="00615769">
      <w:pPr>
        <w:rPr>
          <w:del w:id="11023" w:author="AbbVie2" w:date="2025-05-13T16:39:00Z"/>
          <w:szCs w:val="22"/>
        </w:rPr>
        <w:pPrChange w:id="11024" w:author="AbbVie2" w:date="2025-05-13T16:40:00Z">
          <w:pPr>
            <w:pStyle w:val="BodyText2"/>
            <w:autoSpaceDE/>
            <w:autoSpaceDN/>
            <w:adjustRightInd/>
          </w:pPr>
        </w:pPrChange>
      </w:pPr>
      <w:del w:id="11025" w:author="AbbVie2" w:date="2025-05-13T16:39:00Z">
        <w:r>
          <w:rPr>
            <w:szCs w:val="22"/>
          </w:rPr>
          <w:delText>O objetivo primário foi o “tempo até falha do tratamento”. Os critérios determinantes para a falha de tratamento foram o agravamento ou a ausência de melhoria sustentada da inflamação ocular ou melhoria parcial com desenvolvimento de comorbilidades oculares sustentadas ou agravamento das comorbilidades oculares, utilização de medicações concomitantes não permitidas e descontinuação do tratamento durante um longo período de tempo.</w:delText>
        </w:r>
      </w:del>
    </w:p>
    <w:p w14:paraId="14396BCF" w14:textId="7A74A110" w:rsidR="00B925B3" w:rsidRDefault="00B925B3">
      <w:pPr>
        <w:rPr>
          <w:del w:id="11026" w:author="AbbVie2" w:date="2025-05-13T16:39:00Z"/>
          <w:szCs w:val="22"/>
        </w:rPr>
        <w:pPrChange w:id="11027" w:author="AbbVie2" w:date="2025-05-13T16:40:00Z">
          <w:pPr>
            <w:pStyle w:val="BodyText2"/>
            <w:autoSpaceDE/>
            <w:autoSpaceDN/>
            <w:adjustRightInd/>
          </w:pPr>
        </w:pPrChange>
      </w:pPr>
    </w:p>
    <w:p w14:paraId="79E9B02C" w14:textId="184181E4" w:rsidR="00B925B3" w:rsidRPr="008912CF" w:rsidRDefault="00615769" w:rsidP="00412FC8">
      <w:pPr>
        <w:rPr>
          <w:del w:id="11028" w:author="AbbVie2" w:date="2025-05-13T16:39:00Z"/>
          <w:i/>
          <w:sz w:val="22"/>
          <w:szCs w:val="22"/>
          <w:u w:val="single"/>
        </w:rPr>
      </w:pPr>
      <w:del w:id="11029" w:author="AbbVie2" w:date="2025-05-13T16:39:00Z">
        <w:r w:rsidRPr="008912CF">
          <w:rPr>
            <w:i/>
            <w:sz w:val="22"/>
            <w:szCs w:val="22"/>
            <w:u w:val="single"/>
          </w:rPr>
          <w:delText>Resposta clínica</w:delText>
        </w:r>
      </w:del>
    </w:p>
    <w:p w14:paraId="15188F3C" w14:textId="2420BC6E" w:rsidR="00B925B3" w:rsidRDefault="00B925B3">
      <w:pPr>
        <w:rPr>
          <w:del w:id="11030" w:author="AbbVie2" w:date="2025-05-13T16:39:00Z"/>
          <w:szCs w:val="22"/>
        </w:rPr>
        <w:pPrChange w:id="11031" w:author="AbbVie2" w:date="2025-05-13T16:40:00Z">
          <w:pPr>
            <w:pStyle w:val="BodyText2"/>
            <w:autoSpaceDE/>
            <w:autoSpaceDN/>
            <w:adjustRightInd/>
          </w:pPr>
        </w:pPrChange>
      </w:pPr>
    </w:p>
    <w:p w14:paraId="6A3B9F06" w14:textId="13F42BCF" w:rsidR="00B925B3" w:rsidRPr="004D4741" w:rsidRDefault="00615769">
      <w:pPr>
        <w:rPr>
          <w:del w:id="11032" w:author="AbbVie2" w:date="2025-05-13T16:39:00Z"/>
          <w:sz w:val="22"/>
          <w:szCs w:val="22"/>
        </w:rPr>
        <w:pPrChange w:id="11033" w:author="AbbVie2" w:date="2025-05-13T16:40:00Z">
          <w:pPr>
            <w:pStyle w:val="gtcbodytext"/>
            <w:spacing w:before="0" w:after="0" w:line="240" w:lineRule="auto"/>
          </w:pPr>
        </w:pPrChange>
      </w:pPr>
      <w:del w:id="11034" w:author="AbbVie2" w:date="2025-05-13T16:39:00Z">
        <w:r>
          <w:rPr>
            <w:sz w:val="22"/>
            <w:szCs w:val="22"/>
          </w:rPr>
          <w:delText>A</w:delText>
        </w:r>
        <w:r w:rsidRPr="004D4741">
          <w:rPr>
            <w:sz w:val="22"/>
            <w:szCs w:val="22"/>
          </w:rPr>
          <w:delText xml:space="preserve">dalimumab reduziu significativamente o tempo até falha do tratamento, em comparação com o placebo (ver Figura </w:delText>
        </w:r>
        <w:r>
          <w:rPr>
            <w:sz w:val="22"/>
            <w:szCs w:val="22"/>
          </w:rPr>
          <w:delText>3</w:delText>
        </w:r>
        <w:r w:rsidRPr="004D4741">
          <w:rPr>
            <w:sz w:val="22"/>
            <w:szCs w:val="22"/>
          </w:rPr>
          <w:delText xml:space="preserve">, </w:delText>
        </w:r>
        <w:r>
          <w:rPr>
            <w:sz w:val="22"/>
            <w:szCs w:val="22"/>
          </w:rPr>
          <w:delText>p</w:delText>
        </w:r>
        <w:r w:rsidRPr="004D4741">
          <w:rPr>
            <w:sz w:val="22"/>
            <w:szCs w:val="22"/>
          </w:rPr>
          <w:delText xml:space="preserve"> &lt; 0,0001 do teste logarítmico). O tempo </w:delText>
        </w:r>
        <w:r>
          <w:rPr>
            <w:sz w:val="22"/>
            <w:szCs w:val="22"/>
          </w:rPr>
          <w:delText>mediano</w:delText>
        </w:r>
        <w:r w:rsidRPr="004D4741">
          <w:rPr>
            <w:sz w:val="22"/>
            <w:szCs w:val="22"/>
          </w:rPr>
          <w:delText xml:space="preserve"> até falha do tratamento foi 24,1 semanas em indivíduos tratados com placebo, enquanto que o tempo </w:delText>
        </w:r>
        <w:r>
          <w:rPr>
            <w:sz w:val="22"/>
            <w:szCs w:val="22"/>
          </w:rPr>
          <w:delText>mediano</w:delText>
        </w:r>
        <w:r w:rsidRPr="004D4741">
          <w:rPr>
            <w:sz w:val="22"/>
            <w:szCs w:val="22"/>
          </w:rPr>
          <w:delText xml:space="preserve"> até falha do tratamento em indivíduos tratados com adalimumab não foi calculável, uma vez que menos de metade destes indivíduos experimentaram falha do tratamento. </w:delText>
        </w:r>
        <w:r>
          <w:rPr>
            <w:sz w:val="22"/>
            <w:szCs w:val="22"/>
          </w:rPr>
          <w:delText>A</w:delText>
        </w:r>
        <w:r w:rsidRPr="004D4741">
          <w:rPr>
            <w:sz w:val="22"/>
            <w:szCs w:val="22"/>
          </w:rPr>
          <w:delText>dalimumab reduziu significativamente o risco de falha de tratamento em 75% relativamente a placebo, conforme demonstrado pela taxa de risco (TR = 0,25 [</w:delText>
        </w:r>
        <w:r>
          <w:rPr>
            <w:sz w:val="22"/>
            <w:szCs w:val="22"/>
          </w:rPr>
          <w:delText xml:space="preserve">IC </w:delText>
        </w:r>
        <w:r w:rsidRPr="004D4741">
          <w:rPr>
            <w:sz w:val="22"/>
            <w:szCs w:val="22"/>
          </w:rPr>
          <w:delText>95%:  0,12; 0,49]).</w:delText>
        </w:r>
      </w:del>
    </w:p>
    <w:p w14:paraId="0C50AC28" w14:textId="194168E9" w:rsidR="00B925B3" w:rsidRDefault="00B925B3">
      <w:pPr>
        <w:rPr>
          <w:del w:id="11035" w:author="AbbVie2" w:date="2025-05-13T16:39:00Z"/>
          <w:szCs w:val="22"/>
        </w:rPr>
        <w:pPrChange w:id="11036" w:author="AbbVie2" w:date="2025-05-13T16:40:00Z">
          <w:pPr>
            <w:pStyle w:val="BodyText2"/>
            <w:autoSpaceDE/>
            <w:autoSpaceDN/>
            <w:adjustRightInd/>
          </w:pPr>
        </w:pPrChange>
      </w:pPr>
    </w:p>
    <w:p w14:paraId="0DE9417E" w14:textId="74E79AEA" w:rsidR="00B925B3" w:rsidRDefault="00615769">
      <w:pPr>
        <w:rPr>
          <w:del w:id="11037" w:author="AbbVie2" w:date="2025-05-13T16:39:00Z"/>
          <w:rFonts w:eastAsia="Times New Roman"/>
          <w:b/>
          <w:sz w:val="22"/>
          <w:szCs w:val="22"/>
        </w:rPr>
        <w:pPrChange w:id="11038" w:author="AbbVie2" w:date="2025-05-13T16:40:00Z">
          <w:pPr>
            <w:keepNext/>
            <w:spacing w:line="300" w:lineRule="auto"/>
            <w:jc w:val="center"/>
          </w:pPr>
        </w:pPrChange>
      </w:pPr>
      <w:del w:id="11039" w:author="AbbVie2" w:date="2025-05-13T16:39:00Z">
        <w:r w:rsidRPr="00034BDE">
          <w:rPr>
            <w:rFonts w:eastAsia="Times New Roman"/>
            <w:b/>
            <w:sz w:val="22"/>
            <w:szCs w:val="22"/>
          </w:rPr>
          <w:delText xml:space="preserve">Figura </w:delText>
        </w:r>
        <w:r>
          <w:rPr>
            <w:rFonts w:eastAsia="Times New Roman"/>
            <w:b/>
            <w:sz w:val="22"/>
            <w:szCs w:val="22"/>
          </w:rPr>
          <w:delText>3</w:delText>
        </w:r>
        <w:r w:rsidRPr="00034BDE">
          <w:rPr>
            <w:rFonts w:eastAsia="Times New Roman"/>
            <w:b/>
            <w:sz w:val="22"/>
            <w:szCs w:val="22"/>
          </w:rPr>
          <w:delText xml:space="preserve">: Curvas de Kaplan-Meier </w:delText>
        </w:r>
        <w:r>
          <w:rPr>
            <w:rFonts w:eastAsia="Times New Roman"/>
            <w:b/>
            <w:sz w:val="22"/>
            <w:szCs w:val="22"/>
          </w:rPr>
          <w:delText>resumindo</w:delText>
        </w:r>
        <w:r w:rsidRPr="00034BDE">
          <w:rPr>
            <w:rFonts w:eastAsia="Times New Roman"/>
            <w:b/>
            <w:sz w:val="22"/>
            <w:szCs w:val="22"/>
          </w:rPr>
          <w:delText xml:space="preserve"> o tempo até falha do tratamento </w:delText>
        </w:r>
        <w:r>
          <w:rPr>
            <w:rFonts w:eastAsia="Times New Roman"/>
            <w:b/>
            <w:sz w:val="22"/>
            <w:szCs w:val="22"/>
          </w:rPr>
          <w:delText xml:space="preserve">no Estudo da </w:delText>
        </w:r>
        <w:r w:rsidRPr="00034BDE">
          <w:rPr>
            <w:rFonts w:eastAsia="Times New Roman"/>
            <w:b/>
            <w:sz w:val="22"/>
            <w:szCs w:val="22"/>
          </w:rPr>
          <w:delText>Uve</w:delText>
        </w:r>
        <w:r>
          <w:rPr>
            <w:rFonts w:eastAsia="Times New Roman"/>
            <w:b/>
            <w:sz w:val="22"/>
            <w:szCs w:val="22"/>
          </w:rPr>
          <w:delText>íte pediátrica</w:delText>
        </w:r>
      </w:del>
    </w:p>
    <w:p w14:paraId="488232C6" w14:textId="742F0B26" w:rsidR="00B925B3" w:rsidRPr="00034BDE" w:rsidRDefault="00B925B3">
      <w:pPr>
        <w:rPr>
          <w:del w:id="11040" w:author="AbbVie2" w:date="2025-05-13T16:39:00Z"/>
          <w:rFonts w:eastAsia="Times New Roman"/>
          <w:b/>
          <w:sz w:val="22"/>
          <w:szCs w:val="22"/>
        </w:rPr>
        <w:pPrChange w:id="11041" w:author="AbbVie2" w:date="2025-05-13T16:40:00Z">
          <w:pPr>
            <w:keepNext/>
            <w:spacing w:line="300" w:lineRule="auto"/>
            <w:jc w:val="center"/>
          </w:pPr>
        </w:pPrChange>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A7162A" w14:paraId="79D06844" w14:textId="1D864AC8" w:rsidTr="00D22E86">
        <w:trPr>
          <w:cantSplit/>
          <w:trHeight w:val="3806"/>
          <w:del w:id="11042" w:author="AbbVie2" w:date="2025-05-13T16:39:00Z"/>
        </w:trPr>
        <w:tc>
          <w:tcPr>
            <w:tcW w:w="468" w:type="dxa"/>
            <w:textDirection w:val="btLr"/>
            <w:vAlign w:val="bottom"/>
          </w:tcPr>
          <w:p w14:paraId="45E2B204" w14:textId="6091A8A0" w:rsidR="00B925B3" w:rsidRPr="00034BDE" w:rsidRDefault="00615769">
            <w:pPr>
              <w:rPr>
                <w:del w:id="11043" w:author="AbbVie2" w:date="2025-05-13T16:39:00Z"/>
                <w:rFonts w:eastAsia="Times New Roman"/>
                <w:b/>
                <w:sz w:val="22"/>
                <w:szCs w:val="22"/>
              </w:rPr>
              <w:pPrChange w:id="11044" w:author="AbbVie2" w:date="2025-05-13T16:40:00Z">
                <w:pPr>
                  <w:keepNext/>
                  <w:tabs>
                    <w:tab w:val="left" w:pos="562"/>
                  </w:tabs>
                  <w:suppressAutoHyphens/>
                  <w:ind w:left="113" w:right="113"/>
                  <w:jc w:val="center"/>
                </w:pPr>
              </w:pPrChange>
            </w:pPr>
            <w:del w:id="11045" w:author="AbbVie2" w:date="2025-05-13T16:39:00Z">
              <w:r w:rsidRPr="00034BDE">
                <w:rPr>
                  <w:rFonts w:eastAsia="Times New Roman"/>
                  <w:b/>
                  <w:sz w:val="22"/>
                  <w:szCs w:val="22"/>
                </w:rPr>
                <w:delText>PROBABILIDADE DE FALHA DE TRATAMENTO</w:delText>
              </w:r>
            </w:del>
          </w:p>
        </w:tc>
        <w:tc>
          <w:tcPr>
            <w:tcW w:w="8820" w:type="dxa"/>
            <w:gridSpan w:val="5"/>
            <w:vAlign w:val="bottom"/>
          </w:tcPr>
          <w:p w14:paraId="24D4265C" w14:textId="213C333C" w:rsidR="00B925B3" w:rsidRPr="00AD4F25" w:rsidRDefault="00615769">
            <w:pPr>
              <w:rPr>
                <w:del w:id="11046" w:author="AbbVie2" w:date="2025-05-13T16:39:00Z"/>
                <w:rFonts w:eastAsia="Times New Roman"/>
                <w:sz w:val="22"/>
                <w:szCs w:val="22"/>
                <w:rPrChange w:id="11047" w:author="AbbVie2" w:date="2025-05-14T10:17:00Z">
                  <w:rPr>
                    <w:del w:id="11048" w:author="AbbVie2" w:date="2025-05-13T16:39:00Z"/>
                    <w:rFonts w:eastAsia="Times New Roman"/>
                    <w:sz w:val="22"/>
                    <w:szCs w:val="22"/>
                    <w:lang w:val="en-US"/>
                  </w:rPr>
                </w:rPrChange>
              </w:rPr>
              <w:pPrChange w:id="11049" w:author="AbbVie2" w:date="2025-05-13T16:40:00Z">
                <w:pPr>
                  <w:keepNext/>
                  <w:tabs>
                    <w:tab w:val="left" w:pos="562"/>
                  </w:tabs>
                  <w:suppressAutoHyphens/>
                </w:pPr>
              </w:pPrChange>
            </w:pPr>
            <w:del w:id="11050" w:author="AbbVie2" w:date="2025-05-13T16:39:00Z">
              <w:r>
                <w:rPr>
                  <w:rFonts w:eastAsia="Times New Roman"/>
                  <w:noProof/>
                  <w:sz w:val="22"/>
                  <w:szCs w:val="22"/>
                  <w:lang w:val="en-GB" w:eastAsia="en-GB"/>
                </w:rPr>
                <w:drawing>
                  <wp:inline distT="0" distB="0" distL="0" distR="0" wp14:anchorId="1C70E452" wp14:editId="31F3E619">
                    <wp:extent cx="5486400" cy="4552950"/>
                    <wp:effectExtent l="0" t="0" r="0" b="0"/>
                    <wp:docPr id="88" name="Picture 81"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2" descr="Humira PED UV KM Curve REVISED 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del>
          </w:p>
        </w:tc>
      </w:tr>
      <w:tr w:rsidR="00A7162A" w14:paraId="0234F152" w14:textId="4AE6F083" w:rsidTr="00D22E86">
        <w:trPr>
          <w:del w:id="11051" w:author="AbbVie2" w:date="2025-05-13T16:39:00Z"/>
        </w:trPr>
        <w:tc>
          <w:tcPr>
            <w:tcW w:w="468" w:type="dxa"/>
          </w:tcPr>
          <w:p w14:paraId="4B3CF888" w14:textId="43EFA728" w:rsidR="00B925B3" w:rsidRPr="00AD4F25" w:rsidRDefault="00B925B3">
            <w:pPr>
              <w:rPr>
                <w:del w:id="11052" w:author="AbbVie2" w:date="2025-05-13T16:39:00Z"/>
                <w:rFonts w:eastAsia="Times New Roman"/>
                <w:sz w:val="22"/>
                <w:szCs w:val="22"/>
                <w:rPrChange w:id="11053" w:author="AbbVie2" w:date="2025-05-14T10:17:00Z">
                  <w:rPr>
                    <w:del w:id="11054" w:author="AbbVie2" w:date="2025-05-13T16:39:00Z"/>
                    <w:rFonts w:eastAsia="Times New Roman"/>
                    <w:sz w:val="22"/>
                    <w:szCs w:val="22"/>
                    <w:lang w:val="en-US"/>
                  </w:rPr>
                </w:rPrChange>
              </w:rPr>
              <w:pPrChange w:id="11055" w:author="AbbVie2" w:date="2025-05-13T16:40:00Z">
                <w:pPr>
                  <w:keepNext/>
                  <w:tabs>
                    <w:tab w:val="left" w:pos="562"/>
                  </w:tabs>
                  <w:suppressAutoHyphens/>
                </w:pPr>
              </w:pPrChange>
            </w:pPr>
          </w:p>
        </w:tc>
        <w:tc>
          <w:tcPr>
            <w:tcW w:w="8820" w:type="dxa"/>
            <w:gridSpan w:val="5"/>
          </w:tcPr>
          <w:p w14:paraId="7D174EBF" w14:textId="76703D27" w:rsidR="00B925B3" w:rsidRPr="00AD4F25" w:rsidRDefault="00615769">
            <w:pPr>
              <w:rPr>
                <w:del w:id="11056" w:author="AbbVie2" w:date="2025-05-13T16:39:00Z"/>
                <w:rFonts w:eastAsia="Times New Roman"/>
                <w:b/>
                <w:sz w:val="22"/>
                <w:szCs w:val="22"/>
                <w:rPrChange w:id="11057" w:author="AbbVie2" w:date="2025-05-14T10:17:00Z">
                  <w:rPr>
                    <w:del w:id="11058" w:author="AbbVie2" w:date="2025-05-13T16:39:00Z"/>
                    <w:rFonts w:eastAsia="Times New Roman"/>
                    <w:b/>
                    <w:sz w:val="22"/>
                    <w:szCs w:val="22"/>
                    <w:lang w:val="en-US"/>
                  </w:rPr>
                </w:rPrChange>
              </w:rPr>
              <w:pPrChange w:id="11059" w:author="AbbVie2" w:date="2025-05-13T16:40:00Z">
                <w:pPr>
                  <w:keepNext/>
                  <w:tabs>
                    <w:tab w:val="left" w:pos="562"/>
                  </w:tabs>
                  <w:suppressAutoHyphens/>
                  <w:jc w:val="center"/>
                </w:pPr>
              </w:pPrChange>
            </w:pPr>
            <w:del w:id="11060" w:author="AbbVie2" w:date="2025-05-13T16:39:00Z">
              <w:r w:rsidRPr="00AD4F25">
                <w:rPr>
                  <w:rFonts w:eastAsia="Times New Roman"/>
                  <w:b/>
                  <w:sz w:val="22"/>
                  <w:szCs w:val="22"/>
                  <w:rPrChange w:id="11061" w:author="AbbVie2" w:date="2025-05-14T10:17:00Z">
                    <w:rPr>
                      <w:rFonts w:eastAsia="Times New Roman"/>
                      <w:b/>
                      <w:sz w:val="22"/>
                      <w:szCs w:val="22"/>
                      <w:lang w:val="en-US"/>
                    </w:rPr>
                  </w:rPrChange>
                </w:rPr>
                <w:delText>TEMPO (SEMANAS)</w:delText>
              </w:r>
            </w:del>
          </w:p>
        </w:tc>
      </w:tr>
      <w:tr w:rsidR="00A7162A" w14:paraId="0D25F183" w14:textId="4B642A8F" w:rsidTr="00D22E86">
        <w:trPr>
          <w:del w:id="11062" w:author="AbbVie2" w:date="2025-05-13T16:39:00Z"/>
        </w:trPr>
        <w:tc>
          <w:tcPr>
            <w:tcW w:w="468" w:type="dxa"/>
          </w:tcPr>
          <w:p w14:paraId="441A9B0C" w14:textId="18A5A86F" w:rsidR="00B925B3" w:rsidRPr="00AD4F25" w:rsidRDefault="00B925B3">
            <w:pPr>
              <w:rPr>
                <w:del w:id="11063" w:author="AbbVie2" w:date="2025-05-13T16:39:00Z"/>
                <w:rFonts w:eastAsia="Times New Roman"/>
                <w:sz w:val="22"/>
                <w:szCs w:val="22"/>
                <w:rPrChange w:id="11064" w:author="AbbVie2" w:date="2025-05-14T10:17:00Z">
                  <w:rPr>
                    <w:del w:id="11065" w:author="AbbVie2" w:date="2025-05-13T16:39:00Z"/>
                    <w:rFonts w:eastAsia="Times New Roman"/>
                    <w:sz w:val="22"/>
                    <w:szCs w:val="22"/>
                    <w:lang w:val="en-US"/>
                  </w:rPr>
                </w:rPrChange>
              </w:rPr>
              <w:pPrChange w:id="11066" w:author="AbbVie2" w:date="2025-05-13T16:40:00Z">
                <w:pPr>
                  <w:keepNext/>
                  <w:tabs>
                    <w:tab w:val="left" w:pos="562"/>
                  </w:tabs>
                  <w:suppressAutoHyphens/>
                </w:pPr>
              </w:pPrChange>
            </w:pPr>
          </w:p>
        </w:tc>
        <w:tc>
          <w:tcPr>
            <w:tcW w:w="3510" w:type="dxa"/>
          </w:tcPr>
          <w:p w14:paraId="4BBB0768" w14:textId="2F14FCA4" w:rsidR="00B925B3" w:rsidRPr="00AD4F25" w:rsidRDefault="00615769">
            <w:pPr>
              <w:rPr>
                <w:del w:id="11067" w:author="AbbVie2" w:date="2025-05-13T16:39:00Z"/>
                <w:rFonts w:eastAsia="Times New Roman"/>
                <w:sz w:val="22"/>
                <w:szCs w:val="22"/>
                <w:rPrChange w:id="11068" w:author="AbbVie2" w:date="2025-05-14T10:17:00Z">
                  <w:rPr>
                    <w:del w:id="11069" w:author="AbbVie2" w:date="2025-05-13T16:39:00Z"/>
                    <w:rFonts w:eastAsia="Times New Roman"/>
                    <w:sz w:val="22"/>
                    <w:szCs w:val="22"/>
                    <w:lang w:val="en-US"/>
                  </w:rPr>
                </w:rPrChange>
              </w:rPr>
              <w:pPrChange w:id="11070" w:author="AbbVie2" w:date="2025-05-13T16:40:00Z">
                <w:pPr>
                  <w:keepNext/>
                  <w:tabs>
                    <w:tab w:val="left" w:pos="562"/>
                  </w:tabs>
                  <w:suppressAutoHyphens/>
                </w:pPr>
              </w:pPrChange>
            </w:pPr>
            <w:del w:id="11071" w:author="AbbVie2" w:date="2025-05-13T16:39:00Z">
              <w:r w:rsidRPr="00AD4F25">
                <w:rPr>
                  <w:rFonts w:eastAsia="Times New Roman"/>
                  <w:sz w:val="22"/>
                  <w:szCs w:val="22"/>
                  <w:rPrChange w:id="11072" w:author="AbbVie2" w:date="2025-05-14T10:17:00Z">
                    <w:rPr>
                      <w:rFonts w:eastAsia="Times New Roman"/>
                      <w:sz w:val="22"/>
                      <w:szCs w:val="22"/>
                      <w:lang w:val="en-US"/>
                    </w:rPr>
                  </w:rPrChange>
                </w:rPr>
                <w:delText>Tratamento</w:delText>
              </w:r>
            </w:del>
          </w:p>
        </w:tc>
        <w:tc>
          <w:tcPr>
            <w:tcW w:w="1170" w:type="dxa"/>
            <w:vAlign w:val="bottom"/>
          </w:tcPr>
          <w:p w14:paraId="61180EC6" w14:textId="08E66CEA" w:rsidR="00B925B3" w:rsidRPr="00AD4F25" w:rsidRDefault="00615769">
            <w:pPr>
              <w:rPr>
                <w:del w:id="11073" w:author="AbbVie2" w:date="2025-05-13T16:39:00Z"/>
                <w:rFonts w:eastAsia="Times New Roman"/>
                <w:sz w:val="22"/>
                <w:szCs w:val="22"/>
                <w:rPrChange w:id="11074" w:author="AbbVie2" w:date="2025-05-14T10:17:00Z">
                  <w:rPr>
                    <w:del w:id="11075" w:author="AbbVie2" w:date="2025-05-13T16:39:00Z"/>
                    <w:rFonts w:eastAsia="Times New Roman"/>
                    <w:sz w:val="22"/>
                    <w:szCs w:val="22"/>
                    <w:lang w:val="en-US"/>
                  </w:rPr>
                </w:rPrChange>
              </w:rPr>
              <w:pPrChange w:id="11076" w:author="AbbVie2" w:date="2025-05-13T16:40:00Z">
                <w:pPr>
                  <w:keepNext/>
                  <w:tabs>
                    <w:tab w:val="left" w:pos="562"/>
                  </w:tabs>
                  <w:suppressAutoHyphens/>
                  <w:jc w:val="center"/>
                </w:pPr>
              </w:pPrChange>
            </w:pPr>
            <w:del w:id="11077" w:author="AbbVie2" w:date="2025-05-13T16:39:00Z">
              <w:r>
                <w:rPr>
                  <w:rFonts w:eastAsia="Times New Roman"/>
                  <w:noProof/>
                  <w:sz w:val="22"/>
                  <w:szCs w:val="22"/>
                  <w:lang w:val="en-GB" w:eastAsia="en-GB"/>
                </w:rPr>
                <w:drawing>
                  <wp:inline distT="0" distB="0" distL="0" distR="0" wp14:anchorId="74CF0B6B" wp14:editId="45F60CDE">
                    <wp:extent cx="457200" cy="123825"/>
                    <wp:effectExtent l="0" t="0" r="0" b="9525"/>
                    <wp:docPr id="101" name="Picture 82"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3" descr="Humira PED UV KM Curve 1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del>
          </w:p>
        </w:tc>
        <w:tc>
          <w:tcPr>
            <w:tcW w:w="1350" w:type="dxa"/>
          </w:tcPr>
          <w:p w14:paraId="72FBB4A4" w14:textId="422F9B99" w:rsidR="00B925B3" w:rsidRPr="00AD4F25" w:rsidRDefault="00615769">
            <w:pPr>
              <w:rPr>
                <w:del w:id="11078" w:author="AbbVie2" w:date="2025-05-13T16:39:00Z"/>
                <w:rFonts w:eastAsia="Times New Roman"/>
                <w:sz w:val="22"/>
                <w:szCs w:val="22"/>
                <w:rPrChange w:id="11079" w:author="AbbVie2" w:date="2025-05-14T10:17:00Z">
                  <w:rPr>
                    <w:del w:id="11080" w:author="AbbVie2" w:date="2025-05-13T16:39:00Z"/>
                    <w:rFonts w:eastAsia="Times New Roman"/>
                    <w:sz w:val="22"/>
                    <w:szCs w:val="22"/>
                    <w:lang w:val="en-US"/>
                  </w:rPr>
                </w:rPrChange>
              </w:rPr>
              <w:pPrChange w:id="11081" w:author="AbbVie2" w:date="2025-05-13T16:40:00Z">
                <w:pPr>
                  <w:keepNext/>
                  <w:tabs>
                    <w:tab w:val="left" w:pos="562"/>
                  </w:tabs>
                  <w:suppressAutoHyphens/>
                </w:pPr>
              </w:pPrChange>
            </w:pPr>
            <w:del w:id="11082" w:author="AbbVie2" w:date="2025-05-13T16:39:00Z">
              <w:r w:rsidRPr="00AD4F25">
                <w:rPr>
                  <w:rFonts w:eastAsia="Times New Roman"/>
                  <w:sz w:val="22"/>
                  <w:szCs w:val="22"/>
                  <w:rPrChange w:id="11083" w:author="AbbVie2" w:date="2025-05-14T10:17:00Z">
                    <w:rPr>
                      <w:rFonts w:eastAsia="Times New Roman"/>
                      <w:sz w:val="22"/>
                      <w:szCs w:val="22"/>
                      <w:lang w:val="en-US"/>
                    </w:rPr>
                  </w:rPrChange>
                </w:rPr>
                <w:delText>Placebo</w:delText>
              </w:r>
            </w:del>
          </w:p>
        </w:tc>
        <w:tc>
          <w:tcPr>
            <w:tcW w:w="900" w:type="dxa"/>
            <w:vAlign w:val="center"/>
          </w:tcPr>
          <w:p w14:paraId="3D4DFB4D" w14:textId="23D1E506" w:rsidR="00B925B3" w:rsidRPr="00AD4F25" w:rsidRDefault="00615769">
            <w:pPr>
              <w:rPr>
                <w:del w:id="11084" w:author="AbbVie2" w:date="2025-05-13T16:39:00Z"/>
                <w:rFonts w:eastAsia="Times New Roman"/>
                <w:sz w:val="22"/>
                <w:szCs w:val="22"/>
                <w:rPrChange w:id="11085" w:author="AbbVie2" w:date="2025-05-14T10:17:00Z">
                  <w:rPr>
                    <w:del w:id="11086" w:author="AbbVie2" w:date="2025-05-13T16:39:00Z"/>
                    <w:rFonts w:eastAsia="Times New Roman"/>
                    <w:sz w:val="22"/>
                    <w:szCs w:val="22"/>
                    <w:lang w:val="en-US"/>
                  </w:rPr>
                </w:rPrChange>
              </w:rPr>
              <w:pPrChange w:id="11087" w:author="AbbVie2" w:date="2025-05-13T16:40:00Z">
                <w:pPr>
                  <w:keepNext/>
                  <w:tabs>
                    <w:tab w:val="left" w:pos="562"/>
                  </w:tabs>
                  <w:suppressAutoHyphens/>
                </w:pPr>
              </w:pPrChange>
            </w:pPr>
            <w:del w:id="11088" w:author="AbbVie2" w:date="2025-05-13T16:39:00Z">
              <w:r>
                <w:rPr>
                  <w:rFonts w:eastAsia="Times New Roman"/>
                  <w:noProof/>
                  <w:sz w:val="22"/>
                  <w:szCs w:val="22"/>
                  <w:lang w:val="en-GB" w:eastAsia="en-GB"/>
                </w:rPr>
                <w:drawing>
                  <wp:inline distT="0" distB="0" distL="0" distR="0" wp14:anchorId="0B588A60" wp14:editId="5EC143AA">
                    <wp:extent cx="457200" cy="85725"/>
                    <wp:effectExtent l="0" t="0" r="0" b="9525"/>
                    <wp:docPr id="132" name="Picture 83"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4" descr="Humira PED UV KM Curve 1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del>
          </w:p>
        </w:tc>
        <w:tc>
          <w:tcPr>
            <w:tcW w:w="1890" w:type="dxa"/>
          </w:tcPr>
          <w:p w14:paraId="73AE9F66" w14:textId="682E1839" w:rsidR="00B925B3" w:rsidRPr="00AD4F25" w:rsidRDefault="00615769">
            <w:pPr>
              <w:rPr>
                <w:del w:id="11089" w:author="AbbVie2" w:date="2025-05-13T16:39:00Z"/>
                <w:rFonts w:eastAsia="Times New Roman"/>
                <w:sz w:val="22"/>
                <w:szCs w:val="22"/>
                <w:rPrChange w:id="11090" w:author="AbbVie2" w:date="2025-05-14T10:17:00Z">
                  <w:rPr>
                    <w:del w:id="11091" w:author="AbbVie2" w:date="2025-05-13T16:39:00Z"/>
                    <w:rFonts w:eastAsia="Times New Roman"/>
                    <w:sz w:val="22"/>
                    <w:szCs w:val="22"/>
                    <w:lang w:val="en-US"/>
                  </w:rPr>
                </w:rPrChange>
              </w:rPr>
              <w:pPrChange w:id="11092" w:author="AbbVie2" w:date="2025-05-13T16:40:00Z">
                <w:pPr>
                  <w:keepNext/>
                  <w:tabs>
                    <w:tab w:val="left" w:pos="562"/>
                  </w:tabs>
                  <w:suppressAutoHyphens/>
                </w:pPr>
              </w:pPrChange>
            </w:pPr>
            <w:del w:id="11093" w:author="AbbVie2" w:date="2025-05-13T16:39:00Z">
              <w:r w:rsidRPr="00AD4F25">
                <w:rPr>
                  <w:rFonts w:eastAsia="Times New Roman"/>
                  <w:sz w:val="22"/>
                  <w:szCs w:val="22"/>
                  <w:rPrChange w:id="11094" w:author="AbbVie2" w:date="2025-05-14T10:17:00Z">
                    <w:rPr>
                      <w:rFonts w:eastAsia="Times New Roman"/>
                      <w:sz w:val="22"/>
                      <w:szCs w:val="22"/>
                      <w:lang w:val="en-US"/>
                    </w:rPr>
                  </w:rPrChange>
                </w:rPr>
                <w:delText>Adalimumab</w:delText>
              </w:r>
            </w:del>
          </w:p>
        </w:tc>
      </w:tr>
      <w:tr w:rsidR="00A7162A" w14:paraId="47060448" w14:textId="438942FF" w:rsidTr="00D22E86">
        <w:trPr>
          <w:del w:id="11095" w:author="AbbVie2" w:date="2025-05-13T16:39:00Z"/>
        </w:trPr>
        <w:tc>
          <w:tcPr>
            <w:tcW w:w="468" w:type="dxa"/>
          </w:tcPr>
          <w:p w14:paraId="03AEDFF9" w14:textId="5CC18059" w:rsidR="00B925B3" w:rsidRPr="00AD4F25" w:rsidRDefault="00B925B3">
            <w:pPr>
              <w:rPr>
                <w:del w:id="11096" w:author="AbbVie2" w:date="2025-05-13T16:39:00Z"/>
                <w:rFonts w:eastAsia="Times New Roman"/>
                <w:sz w:val="22"/>
                <w:szCs w:val="22"/>
                <w:rPrChange w:id="11097" w:author="AbbVie2" w:date="2025-05-14T10:17:00Z">
                  <w:rPr>
                    <w:del w:id="11098" w:author="AbbVie2" w:date="2025-05-13T16:39:00Z"/>
                    <w:rFonts w:eastAsia="Times New Roman"/>
                    <w:sz w:val="22"/>
                    <w:szCs w:val="22"/>
                    <w:lang w:val="en-US"/>
                  </w:rPr>
                </w:rPrChange>
              </w:rPr>
              <w:pPrChange w:id="11099" w:author="AbbVie2" w:date="2025-05-13T16:40:00Z">
                <w:pPr>
                  <w:tabs>
                    <w:tab w:val="left" w:pos="562"/>
                  </w:tabs>
                  <w:suppressAutoHyphens/>
                </w:pPr>
              </w:pPrChange>
            </w:pPr>
          </w:p>
        </w:tc>
        <w:tc>
          <w:tcPr>
            <w:tcW w:w="8820" w:type="dxa"/>
            <w:gridSpan w:val="5"/>
          </w:tcPr>
          <w:p w14:paraId="66D2FB77" w14:textId="0591C041" w:rsidR="00B925B3" w:rsidRPr="00034BDE" w:rsidRDefault="00615769">
            <w:pPr>
              <w:rPr>
                <w:del w:id="11100" w:author="AbbVie2" w:date="2025-05-13T16:39:00Z"/>
                <w:rFonts w:eastAsia="Times New Roman"/>
                <w:sz w:val="22"/>
                <w:szCs w:val="22"/>
              </w:rPr>
              <w:pPrChange w:id="11101" w:author="AbbVie2" w:date="2025-05-13T16:40:00Z">
                <w:pPr>
                  <w:tabs>
                    <w:tab w:val="left" w:pos="562"/>
                  </w:tabs>
                  <w:suppressAutoHyphens/>
                </w:pPr>
              </w:pPrChange>
            </w:pPr>
            <w:del w:id="11102" w:author="AbbVie2" w:date="2025-05-13T16:39:00Z">
              <w:r w:rsidRPr="00034BDE">
                <w:rPr>
                  <w:rFonts w:eastAsia="Times New Roman"/>
                  <w:sz w:val="22"/>
                  <w:szCs w:val="22"/>
                </w:rPr>
                <w:delText>Nota: P = Placebo (Número em Risco); H = HUMIRA (Número em Risco).</w:delText>
              </w:r>
            </w:del>
          </w:p>
        </w:tc>
      </w:tr>
    </w:tbl>
    <w:p w14:paraId="4CDF2841" w14:textId="03DC121F" w:rsidR="004462A0" w:rsidRPr="008912CF" w:rsidRDefault="004462A0" w:rsidP="00412FC8">
      <w:pPr>
        <w:rPr>
          <w:del w:id="11103" w:author="AbbVie2" w:date="2025-05-13T16:39:00Z"/>
          <w:rFonts w:eastAsia="SimSun"/>
          <w:sz w:val="22"/>
          <w:szCs w:val="22"/>
          <w:lang w:eastAsia="zh-CN"/>
        </w:rPr>
      </w:pPr>
    </w:p>
    <w:p w14:paraId="2818273F" w14:textId="7C9EB4A9" w:rsidR="004462A0" w:rsidRPr="00342BDA" w:rsidRDefault="00615769">
      <w:pPr>
        <w:rPr>
          <w:del w:id="11104" w:author="AbbVie2" w:date="2025-05-13T16:39:00Z"/>
          <w:bCs/>
          <w:szCs w:val="22"/>
        </w:rPr>
        <w:pPrChange w:id="11105" w:author="AbbVie2" w:date="2025-05-13T16:40:00Z">
          <w:pPr>
            <w:pStyle w:val="EndnoteText"/>
            <w:tabs>
              <w:tab w:val="clear" w:pos="567"/>
            </w:tabs>
            <w:ind w:left="567" w:hanging="567"/>
          </w:pPr>
        </w:pPrChange>
      </w:pPr>
      <w:del w:id="11106" w:author="AbbVie2" w:date="2025-05-13T16:39:00Z">
        <w:r w:rsidRPr="008912CF">
          <w:rPr>
            <w:b/>
            <w:bCs/>
            <w:szCs w:val="22"/>
          </w:rPr>
          <w:delText>5.2</w:delText>
        </w:r>
        <w:r w:rsidRPr="008912CF">
          <w:rPr>
            <w:b/>
            <w:bCs/>
            <w:szCs w:val="22"/>
          </w:rPr>
          <w:tab/>
          <w:delText>Propriedades farmacocinéticas</w:delText>
        </w:r>
      </w:del>
    </w:p>
    <w:p w14:paraId="41A6695D" w14:textId="6F85C216" w:rsidR="004462A0" w:rsidRPr="00342BDA" w:rsidRDefault="004462A0" w:rsidP="00412FC8">
      <w:pPr>
        <w:rPr>
          <w:del w:id="11107" w:author="AbbVie2" w:date="2025-05-13T16:39:00Z"/>
          <w:sz w:val="22"/>
          <w:szCs w:val="22"/>
        </w:rPr>
      </w:pPr>
    </w:p>
    <w:p w14:paraId="2824E795" w14:textId="650971A4" w:rsidR="004462A0" w:rsidRPr="008912CF" w:rsidRDefault="00615769" w:rsidP="00412FC8">
      <w:pPr>
        <w:rPr>
          <w:del w:id="11108" w:author="AbbVie2" w:date="2025-05-13T16:39:00Z"/>
          <w:bCs/>
          <w:sz w:val="22"/>
          <w:szCs w:val="22"/>
          <w:u w:val="single"/>
        </w:rPr>
      </w:pPr>
      <w:del w:id="11109" w:author="AbbVie2" w:date="2025-05-13T16:39:00Z">
        <w:r w:rsidRPr="008912CF">
          <w:rPr>
            <w:bCs/>
            <w:sz w:val="22"/>
            <w:szCs w:val="22"/>
            <w:u w:val="single"/>
          </w:rPr>
          <w:delText>Absorção e distribuição</w:delText>
        </w:r>
      </w:del>
    </w:p>
    <w:p w14:paraId="2AD50DF5" w14:textId="36597FD0" w:rsidR="004462A0" w:rsidRPr="00342BDA" w:rsidRDefault="004462A0" w:rsidP="00412FC8">
      <w:pPr>
        <w:rPr>
          <w:del w:id="11110" w:author="AbbVie2" w:date="2025-05-13T16:39:00Z"/>
          <w:sz w:val="22"/>
          <w:szCs w:val="22"/>
        </w:rPr>
      </w:pPr>
    </w:p>
    <w:p w14:paraId="4A8526C7" w14:textId="5F74F3F2" w:rsidR="004462A0" w:rsidRPr="008912CF" w:rsidRDefault="00615769" w:rsidP="00412FC8">
      <w:pPr>
        <w:rPr>
          <w:del w:id="11111" w:author="AbbVie2" w:date="2025-05-13T16:39:00Z"/>
          <w:rFonts w:eastAsia="SimSun"/>
          <w:sz w:val="22"/>
          <w:szCs w:val="22"/>
          <w:lang w:eastAsia="zh-CN"/>
        </w:rPr>
      </w:pPr>
      <w:del w:id="11112" w:author="AbbVie2" w:date="2025-05-13T16:39:00Z">
        <w:r w:rsidRPr="008912CF">
          <w:rPr>
            <w:sz w:val="22"/>
            <w:szCs w:val="22"/>
          </w:rPr>
          <w:delText>Após a administração subcutânea de uma dose única de 40 mg, a absorção e distribuição de adalimumab foram lentas, sendo os picos das concentrações séricas atingidos cerca de 5 dias após a administração. A biodisponibilidade absoluta média de adalimumab foi de 64</w:delText>
        </w:r>
        <w:r w:rsidR="009343EF">
          <w:rPr>
            <w:sz w:val="22"/>
            <w:szCs w:val="22"/>
          </w:rPr>
          <w:delText>%</w:delText>
        </w:r>
        <w:r w:rsidRPr="008912CF">
          <w:rPr>
            <w:sz w:val="22"/>
            <w:szCs w:val="22"/>
          </w:rPr>
          <w:delText>, calculada a partir de três estudos após uma dose subcutânea única de 40 mg. Após a administração de doses intravenosas únicas compreendidas entre 0,25 e 10 mg/kg, as concentrações foram proporcionais à dose. Após doses de 0,5 mg/kg (~ 40 mg) as depurações variaram entre 11 e 15 ml/hora, o volume de distribuição (V</w:delText>
        </w:r>
        <w:r w:rsidRPr="008912CF">
          <w:rPr>
            <w:sz w:val="22"/>
            <w:szCs w:val="22"/>
            <w:vertAlign w:val="subscript"/>
          </w:rPr>
          <w:delText>ss</w:delText>
        </w:r>
        <w:r w:rsidRPr="008912CF">
          <w:rPr>
            <w:sz w:val="22"/>
            <w:szCs w:val="22"/>
          </w:rPr>
          <w:delText>) variou entre 5 e 6 litros e a semi</w:delText>
        </w:r>
        <w:r w:rsidR="00784C05">
          <w:rPr>
            <w:sz w:val="22"/>
            <w:szCs w:val="22"/>
          </w:rPr>
          <w:delText>-</w:delText>
        </w:r>
        <w:r w:rsidRPr="008912CF">
          <w:rPr>
            <w:sz w:val="22"/>
            <w:szCs w:val="22"/>
          </w:rPr>
          <w:delText>vida média da fase terminal foi de aproximadamente duas semanas. As concentrações de adalimumab no líquido sinovial de vários doentes com artrite reumatoid</w:delText>
        </w:r>
        <w:r w:rsidRPr="008912CF">
          <w:rPr>
            <w:sz w:val="22"/>
            <w:szCs w:val="22"/>
          </w:rPr>
          <w:delText>e variaram entre 31-96</w:delText>
        </w:r>
        <w:r w:rsidR="009343EF">
          <w:rPr>
            <w:sz w:val="22"/>
            <w:szCs w:val="22"/>
          </w:rPr>
          <w:delText>%</w:delText>
        </w:r>
        <w:r w:rsidRPr="008912CF">
          <w:rPr>
            <w:sz w:val="22"/>
            <w:szCs w:val="22"/>
          </w:rPr>
          <w:delText xml:space="preserve"> relativamente às concentrações séricas.</w:delText>
        </w:r>
      </w:del>
    </w:p>
    <w:p w14:paraId="712D71AA" w14:textId="24BF7DA2" w:rsidR="004462A0" w:rsidRPr="008912CF" w:rsidRDefault="004462A0" w:rsidP="00412FC8">
      <w:pPr>
        <w:rPr>
          <w:del w:id="11113" w:author="AbbVie2" w:date="2025-05-13T16:39:00Z"/>
          <w:rFonts w:eastAsia="SimSun"/>
          <w:sz w:val="22"/>
          <w:szCs w:val="22"/>
          <w:lang w:eastAsia="zh-CN"/>
        </w:rPr>
      </w:pPr>
    </w:p>
    <w:p w14:paraId="776E6AA2" w14:textId="0791C23F" w:rsidR="004462A0" w:rsidRPr="008912CF" w:rsidRDefault="00615769" w:rsidP="00412FC8">
      <w:pPr>
        <w:rPr>
          <w:del w:id="11114" w:author="AbbVie2" w:date="2025-05-13T16:39:00Z"/>
          <w:sz w:val="22"/>
          <w:szCs w:val="22"/>
        </w:rPr>
      </w:pPr>
      <w:del w:id="11115" w:author="AbbVie2" w:date="2025-05-13T16:39:00Z">
        <w:r w:rsidRPr="008912CF">
          <w:rPr>
            <w:sz w:val="22"/>
            <w:szCs w:val="22"/>
          </w:rPr>
          <w:delText>Após a administração subcutânea de 40 mg de adalimumab em semanas alternadas em doentes adultos com artrite reumatoide (AR) as concentrações médias de vale em estado de equilíbrio foram de aproximadamente 5 </w:delText>
        </w:r>
        <w:r w:rsidRPr="008912CF">
          <w:rPr>
            <w:rFonts w:ascii="Symbol" w:hAnsi="Symbol"/>
            <w:sz w:val="22"/>
            <w:szCs w:val="22"/>
          </w:rPr>
          <w:sym w:font="Symbol" w:char="F06D"/>
        </w:r>
        <w:r w:rsidRPr="008912CF">
          <w:rPr>
            <w:sz w:val="22"/>
            <w:szCs w:val="22"/>
          </w:rPr>
          <w:delText>g/ml (sem administração concomitante de metotrexato) e de 8 a 9 </w:delText>
        </w:r>
        <w:r w:rsidRPr="008912CF">
          <w:rPr>
            <w:rFonts w:ascii="Symbol" w:hAnsi="Symbol"/>
            <w:sz w:val="22"/>
            <w:szCs w:val="22"/>
          </w:rPr>
          <w:sym w:font="Symbol" w:char="F06D"/>
        </w:r>
        <w:r w:rsidRPr="008912CF">
          <w:rPr>
            <w:sz w:val="22"/>
            <w:szCs w:val="22"/>
          </w:rPr>
          <w:delText>g/ml (com administração concomitante de metotrexato), respetivamente. Os níveis séricos de vale de adalimumab em estado de equilíbrio aumentaram quase proporcionalmente à dose após a administração por via subcutânea de 20, 40 e 80 mg em semanas alternadas e semanalmente.</w:delText>
        </w:r>
      </w:del>
    </w:p>
    <w:p w14:paraId="61FDCDFF" w14:textId="7DD5AC98" w:rsidR="004462A0" w:rsidRPr="008912CF" w:rsidRDefault="004462A0" w:rsidP="00412FC8">
      <w:pPr>
        <w:rPr>
          <w:del w:id="11116" w:author="AbbVie2" w:date="2025-05-13T16:39:00Z"/>
          <w:sz w:val="22"/>
          <w:szCs w:val="22"/>
        </w:rPr>
      </w:pPr>
    </w:p>
    <w:p w14:paraId="60D4A74C" w14:textId="615DCD4D" w:rsidR="004462A0" w:rsidRPr="008912CF" w:rsidRDefault="00615769" w:rsidP="00412FC8">
      <w:pPr>
        <w:rPr>
          <w:del w:id="11117" w:author="AbbVie2" w:date="2025-05-13T16:39:00Z"/>
          <w:sz w:val="22"/>
          <w:szCs w:val="22"/>
        </w:rPr>
      </w:pPr>
      <w:del w:id="11118" w:author="AbbVie2" w:date="2025-05-13T16:39:00Z">
        <w:r w:rsidRPr="008912CF">
          <w:rPr>
            <w:sz w:val="22"/>
            <w:szCs w:val="22"/>
          </w:rPr>
          <w:delText>Após a administração de 24 mg/m</w:delText>
        </w:r>
        <w:r w:rsidRPr="008912CF">
          <w:rPr>
            <w:sz w:val="22"/>
            <w:szCs w:val="22"/>
            <w:vertAlign w:val="superscript"/>
          </w:rPr>
          <w:delText>2</w:delText>
        </w:r>
        <w:r w:rsidRPr="008912CF">
          <w:rPr>
            <w:sz w:val="22"/>
            <w:szCs w:val="22"/>
          </w:rPr>
          <w:delText xml:space="preserve"> (máximo de 40</w:delText>
        </w:r>
        <w:r>
          <w:rPr>
            <w:sz w:val="22"/>
            <w:szCs w:val="22"/>
          </w:rPr>
          <w:delText> </w:delText>
        </w:r>
        <w:r w:rsidRPr="008912CF">
          <w:rPr>
            <w:sz w:val="22"/>
            <w:szCs w:val="22"/>
          </w:rPr>
          <w:delText xml:space="preserve">mg) por via subcutânea, em semanas alternadas, em doentes com artrite idiopática juvenil poliarticular (AIJ) </w:delText>
        </w:r>
        <w:r w:rsidR="00F21025">
          <w:rPr>
            <w:sz w:val="22"/>
            <w:szCs w:val="22"/>
          </w:rPr>
          <w:delText xml:space="preserve">com idade entre os 4 e os 17 anos, </w:delText>
        </w:r>
        <w:r w:rsidRPr="008912CF">
          <w:rPr>
            <w:sz w:val="22"/>
            <w:szCs w:val="22"/>
          </w:rPr>
          <w:delText>as concentrações séricas médias de adalimumab na região de vale da curva no estado estacionário (valores medidos da Semana 20 à 48) foram de 5,6 </w:delText>
        </w:r>
        <w:r w:rsidRPr="008912CF">
          <w:rPr>
            <w:rFonts w:ascii="Symbol" w:hAnsi="Symbol"/>
            <w:sz w:val="22"/>
            <w:szCs w:val="22"/>
          </w:rPr>
          <w:sym w:font="Symbol" w:char="F0B1"/>
        </w:r>
        <w:r w:rsidRPr="008912CF">
          <w:rPr>
            <w:sz w:val="22"/>
            <w:szCs w:val="22"/>
          </w:rPr>
          <w:delText> 5,6 </w:delText>
        </w:r>
        <w:r w:rsidRPr="008912CF">
          <w:rPr>
            <w:rFonts w:ascii="Symbol" w:hAnsi="Symbol"/>
            <w:sz w:val="22"/>
            <w:szCs w:val="22"/>
          </w:rPr>
          <w:sym w:font="Symbol" w:char="F06D"/>
        </w:r>
        <w:r w:rsidRPr="008912CF">
          <w:rPr>
            <w:sz w:val="22"/>
            <w:szCs w:val="22"/>
          </w:rPr>
          <w:delText>g/ml (102</w:delText>
        </w:r>
        <w:r w:rsidR="009343EF">
          <w:rPr>
            <w:sz w:val="22"/>
            <w:szCs w:val="22"/>
          </w:rPr>
          <w:delText>%</w:delText>
        </w:r>
        <w:r w:rsidRPr="008912CF">
          <w:rPr>
            <w:sz w:val="22"/>
            <w:szCs w:val="22"/>
          </w:rPr>
          <w:delText xml:space="preserve"> CV) com </w:delText>
        </w:r>
        <w:r w:rsidR="00F21025">
          <w:rPr>
            <w:sz w:val="22"/>
            <w:szCs w:val="22"/>
          </w:rPr>
          <w:delText>adalimumab sem metotrexato concomitante</w:delText>
        </w:r>
        <w:r w:rsidRPr="008912CF">
          <w:rPr>
            <w:sz w:val="22"/>
            <w:szCs w:val="22"/>
          </w:rPr>
          <w:delText xml:space="preserve"> e 10,9 </w:delText>
        </w:r>
        <w:r w:rsidRPr="008912CF">
          <w:rPr>
            <w:rFonts w:ascii="Symbol" w:hAnsi="Symbol"/>
            <w:sz w:val="22"/>
            <w:szCs w:val="22"/>
          </w:rPr>
          <w:sym w:font="Symbol" w:char="F0B1"/>
        </w:r>
        <w:r w:rsidRPr="008912CF">
          <w:rPr>
            <w:sz w:val="22"/>
            <w:szCs w:val="22"/>
          </w:rPr>
          <w:delText> 5,2 </w:delText>
        </w:r>
        <w:r w:rsidRPr="008912CF">
          <w:rPr>
            <w:rFonts w:ascii="Symbol" w:hAnsi="Symbol"/>
            <w:sz w:val="22"/>
            <w:szCs w:val="22"/>
          </w:rPr>
          <w:sym w:font="Symbol" w:char="F06D"/>
        </w:r>
        <w:r w:rsidRPr="008912CF">
          <w:rPr>
            <w:sz w:val="22"/>
            <w:szCs w:val="22"/>
          </w:rPr>
          <w:delText>g/ml (47,7</w:delText>
        </w:r>
        <w:r w:rsidR="009343EF">
          <w:rPr>
            <w:sz w:val="22"/>
            <w:szCs w:val="22"/>
          </w:rPr>
          <w:delText>%</w:delText>
        </w:r>
        <w:r w:rsidRPr="008912CF">
          <w:rPr>
            <w:sz w:val="22"/>
            <w:szCs w:val="22"/>
          </w:rPr>
          <w:delText xml:space="preserve"> CV) com metotrexato concomitante.</w:delText>
        </w:r>
      </w:del>
    </w:p>
    <w:p w14:paraId="5922EB85" w14:textId="6699EF8B" w:rsidR="004462A0" w:rsidRPr="008912CF" w:rsidRDefault="004462A0" w:rsidP="00412FC8">
      <w:pPr>
        <w:rPr>
          <w:del w:id="11119" w:author="AbbVie2" w:date="2025-05-13T16:39:00Z"/>
          <w:sz w:val="22"/>
          <w:szCs w:val="22"/>
        </w:rPr>
      </w:pPr>
    </w:p>
    <w:p w14:paraId="2BB23026" w14:textId="2C8344D1" w:rsidR="004462A0" w:rsidRPr="008912CF" w:rsidRDefault="00615769">
      <w:pPr>
        <w:rPr>
          <w:del w:id="11120" w:author="AbbVie2" w:date="2025-05-13T16:39:00Z"/>
          <w:sz w:val="22"/>
          <w:szCs w:val="22"/>
        </w:rPr>
        <w:pPrChange w:id="11121" w:author="AbbVie2" w:date="2025-05-13T16:40:00Z">
          <w:pPr>
            <w:autoSpaceDE w:val="0"/>
            <w:autoSpaceDN w:val="0"/>
            <w:adjustRightInd w:val="0"/>
          </w:pPr>
        </w:pPrChange>
      </w:pPr>
      <w:del w:id="11122" w:author="AbbVie2" w:date="2025-05-13T16:39:00Z">
        <w:r w:rsidRPr="008912CF">
          <w:rPr>
            <w:sz w:val="22"/>
            <w:szCs w:val="22"/>
          </w:rPr>
          <w:delText xml:space="preserve">Em doentes com AIJ poliarticular com 2 anos </w:delText>
        </w:r>
        <w:r w:rsidR="004D2A92">
          <w:rPr>
            <w:sz w:val="22"/>
            <w:szCs w:val="22"/>
          </w:rPr>
          <w:delText>a</w:delText>
        </w:r>
        <w:r w:rsidR="004D2A92" w:rsidRPr="008912CF">
          <w:rPr>
            <w:sz w:val="22"/>
            <w:szCs w:val="22"/>
          </w:rPr>
          <w:delText xml:space="preserve"> </w:delText>
        </w:r>
        <w:r w:rsidRPr="008912CF">
          <w:rPr>
            <w:sz w:val="22"/>
            <w:szCs w:val="22"/>
          </w:rPr>
          <w:delText>menos de 4 ou com 4 anos de idade e com peso &lt; 15 kg que receberam 24 mg/m</w:delText>
        </w:r>
        <w:r w:rsidRPr="008912CF">
          <w:rPr>
            <w:sz w:val="22"/>
            <w:szCs w:val="22"/>
            <w:vertAlign w:val="superscript"/>
          </w:rPr>
          <w:delText>2</w:delText>
        </w:r>
        <w:r w:rsidRPr="008912CF">
          <w:rPr>
            <w:sz w:val="22"/>
            <w:szCs w:val="22"/>
          </w:rPr>
          <w:delText xml:space="preserve"> de adalimumab, as concentrações séricas médias de adalimumab na região de vale da curva no estado estacionário foram de 6,0 </w:delText>
        </w:r>
        <w:r w:rsidRPr="008912CF">
          <w:rPr>
            <w:rFonts w:ascii="Symbol" w:hAnsi="Symbol"/>
            <w:sz w:val="22"/>
            <w:szCs w:val="22"/>
          </w:rPr>
          <w:sym w:font="Symbol" w:char="F0B1"/>
        </w:r>
        <w:r w:rsidRPr="008912CF">
          <w:rPr>
            <w:sz w:val="22"/>
            <w:szCs w:val="22"/>
          </w:rPr>
          <w:delText xml:space="preserve"> 6,1 </w:delText>
        </w:r>
        <w:r w:rsidRPr="008912CF">
          <w:rPr>
            <w:rFonts w:ascii="Symbol" w:hAnsi="Symbol"/>
            <w:sz w:val="22"/>
            <w:szCs w:val="22"/>
          </w:rPr>
          <w:sym w:font="Symbol" w:char="F06D"/>
        </w:r>
        <w:r w:rsidRPr="008912CF">
          <w:rPr>
            <w:sz w:val="22"/>
            <w:szCs w:val="22"/>
          </w:rPr>
          <w:delText xml:space="preserve">g/ml (101% CV) com adalimumab sem metotrexato concomitante e 7,9 </w:delText>
        </w:r>
        <w:r w:rsidRPr="008912CF">
          <w:rPr>
            <w:rFonts w:ascii="Symbol" w:hAnsi="Symbol"/>
            <w:sz w:val="22"/>
            <w:szCs w:val="22"/>
          </w:rPr>
          <w:sym w:font="Symbol" w:char="F0B1"/>
        </w:r>
        <w:r w:rsidRPr="008912CF">
          <w:rPr>
            <w:rFonts w:ascii="Symbol" w:hAnsi="Symbol"/>
            <w:sz w:val="22"/>
            <w:szCs w:val="22"/>
          </w:rPr>
          <w:sym w:font="Symbol" w:char="F020"/>
        </w:r>
        <w:r w:rsidRPr="008912CF">
          <w:rPr>
            <w:rFonts w:ascii="Symbol" w:hAnsi="Symbol"/>
            <w:sz w:val="22"/>
            <w:szCs w:val="22"/>
          </w:rPr>
          <w:sym w:font="Symbol" w:char="F035"/>
        </w:r>
        <w:r w:rsidRPr="008912CF">
          <w:rPr>
            <w:rFonts w:ascii="Symbol" w:hAnsi="Symbol"/>
            <w:sz w:val="22"/>
            <w:szCs w:val="22"/>
          </w:rPr>
          <w:sym w:font="Symbol" w:char="F02C"/>
        </w:r>
        <w:r w:rsidRPr="008912CF">
          <w:rPr>
            <w:rFonts w:ascii="Symbol" w:hAnsi="Symbol"/>
            <w:sz w:val="22"/>
            <w:szCs w:val="22"/>
          </w:rPr>
          <w:sym w:font="Symbol" w:char="F036"/>
        </w:r>
        <w:r w:rsidRPr="008912CF">
          <w:rPr>
            <w:rFonts w:ascii="Symbol" w:hAnsi="Symbol"/>
            <w:sz w:val="22"/>
            <w:szCs w:val="22"/>
          </w:rPr>
          <w:sym w:font="Symbol" w:char="F020"/>
        </w:r>
        <w:r w:rsidRPr="008912CF">
          <w:rPr>
            <w:rFonts w:ascii="Symbol" w:hAnsi="Symbol"/>
            <w:sz w:val="22"/>
            <w:szCs w:val="22"/>
          </w:rPr>
          <w:sym w:font="Symbol" w:char="F06D"/>
        </w:r>
        <w:r w:rsidRPr="008912CF">
          <w:rPr>
            <w:sz w:val="22"/>
            <w:szCs w:val="22"/>
          </w:rPr>
          <w:delText xml:space="preserve">g/ml </w:delText>
        </w:r>
        <w:r w:rsidRPr="008912CF">
          <w:rPr>
            <w:rFonts w:ascii="Symbol" w:hAnsi="Symbol"/>
            <w:sz w:val="22"/>
            <w:szCs w:val="22"/>
          </w:rPr>
          <w:sym w:font="Symbol" w:char="F028"/>
        </w:r>
        <w:r w:rsidRPr="008912CF">
          <w:rPr>
            <w:rFonts w:ascii="Symbol" w:hAnsi="Symbol"/>
            <w:sz w:val="22"/>
            <w:szCs w:val="22"/>
          </w:rPr>
          <w:sym w:font="Symbol" w:char="F037"/>
        </w:r>
        <w:r w:rsidRPr="008912CF">
          <w:rPr>
            <w:rFonts w:ascii="Symbol" w:hAnsi="Symbol"/>
            <w:sz w:val="22"/>
            <w:szCs w:val="22"/>
          </w:rPr>
          <w:sym w:font="Symbol" w:char="F031"/>
        </w:r>
        <w:r w:rsidRPr="008912CF">
          <w:rPr>
            <w:rFonts w:ascii="Symbol" w:hAnsi="Symbol"/>
            <w:sz w:val="22"/>
            <w:szCs w:val="22"/>
          </w:rPr>
          <w:sym w:font="Symbol" w:char="F02C"/>
        </w:r>
        <w:r w:rsidRPr="008912CF">
          <w:rPr>
            <w:rFonts w:ascii="Symbol" w:hAnsi="Symbol"/>
            <w:sz w:val="22"/>
            <w:szCs w:val="22"/>
          </w:rPr>
          <w:sym w:font="Symbol" w:char="F032"/>
        </w:r>
        <w:r w:rsidRPr="008912CF">
          <w:rPr>
            <w:rFonts w:ascii="Symbol" w:hAnsi="Symbol"/>
            <w:sz w:val="22"/>
            <w:szCs w:val="22"/>
          </w:rPr>
          <w:sym w:font="Symbol" w:char="F025"/>
        </w:r>
        <w:r w:rsidRPr="008912CF">
          <w:rPr>
            <w:sz w:val="22"/>
            <w:szCs w:val="22"/>
          </w:rPr>
          <w:delText xml:space="preserve"> CV</w:delText>
        </w:r>
        <w:r w:rsidRPr="008912CF">
          <w:rPr>
            <w:rFonts w:ascii="Symbol" w:hAnsi="Symbol"/>
            <w:sz w:val="22"/>
            <w:szCs w:val="22"/>
          </w:rPr>
          <w:sym w:font="Symbol" w:char="F029"/>
        </w:r>
        <w:r w:rsidRPr="008912CF">
          <w:rPr>
            <w:rFonts w:ascii="Symbol" w:hAnsi="Symbol"/>
            <w:sz w:val="22"/>
            <w:szCs w:val="22"/>
          </w:rPr>
          <w:sym w:font="Symbol" w:char="F020"/>
        </w:r>
        <w:r w:rsidRPr="008912CF">
          <w:rPr>
            <w:sz w:val="22"/>
            <w:szCs w:val="22"/>
          </w:rPr>
          <w:delText>com metotrexato concomitante.</w:delText>
        </w:r>
      </w:del>
    </w:p>
    <w:p w14:paraId="6DEDEBAE" w14:textId="42F3CC23" w:rsidR="004462A0" w:rsidRPr="008912CF" w:rsidRDefault="004462A0" w:rsidP="00412FC8">
      <w:pPr>
        <w:rPr>
          <w:del w:id="11123" w:author="AbbVie2" w:date="2025-05-13T16:39:00Z"/>
          <w:sz w:val="22"/>
          <w:szCs w:val="22"/>
        </w:rPr>
      </w:pPr>
    </w:p>
    <w:p w14:paraId="5B777629" w14:textId="08FD995A" w:rsidR="004462A0" w:rsidRPr="008912CF" w:rsidRDefault="00615769">
      <w:pPr>
        <w:rPr>
          <w:del w:id="11124" w:author="AbbVie2" w:date="2025-05-13T16:39:00Z"/>
          <w:sz w:val="22"/>
          <w:szCs w:val="22"/>
        </w:rPr>
        <w:pPrChange w:id="11125" w:author="AbbVie2" w:date="2025-05-13T16:40:00Z">
          <w:pPr>
            <w:autoSpaceDE w:val="0"/>
            <w:autoSpaceDN w:val="0"/>
            <w:adjustRightInd w:val="0"/>
          </w:pPr>
        </w:pPrChange>
      </w:pPr>
      <w:del w:id="11126" w:author="AbbVie2" w:date="2025-05-13T16:39:00Z">
        <w:r w:rsidRPr="008912CF">
          <w:rPr>
            <w:sz w:val="22"/>
            <w:szCs w:val="22"/>
          </w:rPr>
          <w:delText>Após a administração de 24 mg/m</w:delText>
        </w:r>
        <w:r w:rsidRPr="008912CF">
          <w:rPr>
            <w:sz w:val="22"/>
            <w:szCs w:val="22"/>
            <w:vertAlign w:val="superscript"/>
          </w:rPr>
          <w:delText>2</w:delText>
        </w:r>
        <w:r w:rsidRPr="008912CF">
          <w:rPr>
            <w:sz w:val="22"/>
            <w:szCs w:val="22"/>
          </w:rPr>
          <w:delText xml:space="preserve"> (máximo de 40</w:delText>
        </w:r>
        <w:r>
          <w:rPr>
            <w:sz w:val="22"/>
            <w:szCs w:val="22"/>
          </w:rPr>
          <w:delText> </w:delText>
        </w:r>
        <w:r w:rsidRPr="008912CF">
          <w:rPr>
            <w:sz w:val="22"/>
            <w:szCs w:val="22"/>
          </w:rPr>
          <w:delText xml:space="preserve">mg) por via subcutânea, em semanas alternadas, em doentes com artrite relacionada com entesite com idade entre os 6 e os 17 anos, as concentrações séricas médias de adalimumab na região de vale da curva no estado estacionário (valores medidos na Semana 24) foram de 8,8 </w:delText>
        </w:r>
        <w:r w:rsidRPr="008912CF">
          <w:rPr>
            <w:rFonts w:ascii="Symbol" w:hAnsi="Symbol"/>
            <w:sz w:val="22"/>
            <w:szCs w:val="22"/>
          </w:rPr>
          <w:sym w:font="Symbol" w:char="F0B1"/>
        </w:r>
        <w:r w:rsidRPr="008912CF">
          <w:rPr>
            <w:sz w:val="22"/>
            <w:szCs w:val="22"/>
          </w:rPr>
          <w:delText xml:space="preserve"> 6,6 </w:delText>
        </w:r>
        <w:r w:rsidRPr="008912CF">
          <w:rPr>
            <w:rFonts w:ascii="Symbol" w:hAnsi="Symbol"/>
            <w:sz w:val="22"/>
            <w:szCs w:val="22"/>
          </w:rPr>
          <w:sym w:font="Symbol" w:char="F06D"/>
        </w:r>
        <w:r w:rsidRPr="008912CF">
          <w:rPr>
            <w:sz w:val="22"/>
            <w:szCs w:val="22"/>
          </w:rPr>
          <w:delText xml:space="preserve">g/ml  com adalimumab sem metotrexato concomitante e 11,8 </w:delText>
        </w:r>
        <w:r w:rsidRPr="008912CF">
          <w:rPr>
            <w:rFonts w:ascii="Symbol" w:hAnsi="Symbol"/>
            <w:sz w:val="22"/>
            <w:szCs w:val="22"/>
          </w:rPr>
          <w:sym w:font="Symbol" w:char="F0B1"/>
        </w:r>
        <w:r w:rsidRPr="008912CF">
          <w:rPr>
            <w:rFonts w:ascii="Symbol" w:hAnsi="Symbol"/>
            <w:sz w:val="22"/>
            <w:szCs w:val="22"/>
          </w:rPr>
          <w:sym w:font="Symbol" w:char="F020"/>
        </w:r>
        <w:r w:rsidRPr="008912CF">
          <w:rPr>
            <w:rFonts w:ascii="Symbol" w:hAnsi="Symbol"/>
            <w:sz w:val="22"/>
            <w:szCs w:val="22"/>
          </w:rPr>
          <w:sym w:font="Symbol" w:char="F034"/>
        </w:r>
        <w:r w:rsidRPr="008912CF">
          <w:rPr>
            <w:rFonts w:ascii="Symbol" w:hAnsi="Symbol"/>
            <w:sz w:val="22"/>
            <w:szCs w:val="22"/>
          </w:rPr>
          <w:sym w:font="Symbol" w:char="F02C"/>
        </w:r>
        <w:r w:rsidRPr="008912CF">
          <w:rPr>
            <w:rFonts w:ascii="Symbol" w:hAnsi="Symbol"/>
            <w:sz w:val="22"/>
            <w:szCs w:val="22"/>
          </w:rPr>
          <w:sym w:font="Symbol" w:char="F033"/>
        </w:r>
        <w:r w:rsidRPr="008912CF">
          <w:rPr>
            <w:rFonts w:ascii="Symbol" w:hAnsi="Symbol"/>
            <w:sz w:val="22"/>
            <w:szCs w:val="22"/>
          </w:rPr>
          <w:sym w:font="Symbol" w:char="F020"/>
        </w:r>
        <w:r w:rsidRPr="008912CF">
          <w:rPr>
            <w:rFonts w:ascii="Symbol" w:hAnsi="Symbol"/>
            <w:sz w:val="22"/>
            <w:szCs w:val="22"/>
          </w:rPr>
          <w:sym w:font="Symbol" w:char="F06D"/>
        </w:r>
        <w:r w:rsidRPr="008912CF">
          <w:rPr>
            <w:sz w:val="22"/>
            <w:szCs w:val="22"/>
          </w:rPr>
          <w:delText>g/ml com metotrexato concomitante.</w:delText>
        </w:r>
      </w:del>
    </w:p>
    <w:p w14:paraId="10FCD7CB" w14:textId="03F0C7F3" w:rsidR="004462A0" w:rsidRDefault="004462A0" w:rsidP="00412FC8">
      <w:pPr>
        <w:rPr>
          <w:del w:id="11127" w:author="AbbVie2" w:date="2025-05-13T16:39:00Z"/>
          <w:sz w:val="22"/>
          <w:szCs w:val="22"/>
        </w:rPr>
      </w:pPr>
    </w:p>
    <w:p w14:paraId="4EEF3281" w14:textId="12C9D1FC" w:rsidR="00BD4F81" w:rsidRDefault="00615769" w:rsidP="00412FC8">
      <w:pPr>
        <w:rPr>
          <w:del w:id="11128" w:author="AbbVie2" w:date="2025-05-13T16:39:00Z"/>
          <w:sz w:val="22"/>
          <w:szCs w:val="22"/>
        </w:rPr>
      </w:pPr>
      <w:del w:id="11129" w:author="AbbVie2" w:date="2025-05-13T16:39:00Z">
        <w:r>
          <w:rPr>
            <w:sz w:val="22"/>
            <w:szCs w:val="22"/>
          </w:rPr>
          <w:delText>Após a administração subcutânea</w:delText>
        </w:r>
        <w:r w:rsidR="00D67AEC">
          <w:rPr>
            <w:sz w:val="22"/>
            <w:szCs w:val="22"/>
          </w:rPr>
          <w:delText xml:space="preserve"> de 40 mg de adalimumab e</w:delText>
        </w:r>
        <w:r>
          <w:rPr>
            <w:sz w:val="22"/>
            <w:szCs w:val="22"/>
          </w:rPr>
          <w:delText xml:space="preserve">m semanas alternadas, em doentes adultos com </w:delText>
        </w:r>
        <w:r w:rsidRPr="00DF02FD">
          <w:rPr>
            <w:sz w:val="22"/>
            <w:szCs w:val="22"/>
          </w:rPr>
          <w:delText>espondilartrite axial não-radiográfica</w:delText>
        </w:r>
        <w:r>
          <w:rPr>
            <w:sz w:val="22"/>
            <w:szCs w:val="22"/>
          </w:rPr>
          <w:delText xml:space="preserve">, </w:delText>
        </w:r>
        <w:r w:rsidR="00D67AEC" w:rsidRPr="008912CF">
          <w:rPr>
            <w:sz w:val="22"/>
            <w:szCs w:val="22"/>
          </w:rPr>
          <w:delText xml:space="preserve">a média </w:delText>
        </w:r>
        <w:r w:rsidR="00D67AEC">
          <w:rPr>
            <w:sz w:val="22"/>
            <w:szCs w:val="22"/>
          </w:rPr>
          <w:delText>(</w:delText>
        </w:r>
        <w:r w:rsidR="00D67AEC" w:rsidRPr="008912CF">
          <w:rPr>
            <w:sz w:val="22"/>
            <w:szCs w:val="22"/>
          </w:rPr>
          <w:delText>±</w:delText>
        </w:r>
        <w:r w:rsidR="0029007D">
          <w:rPr>
            <w:sz w:val="22"/>
            <w:szCs w:val="22"/>
          </w:rPr>
          <w:delText xml:space="preserve"> </w:delText>
        </w:r>
        <w:r w:rsidR="00D67AEC" w:rsidRPr="008912CF">
          <w:rPr>
            <w:sz w:val="22"/>
            <w:szCs w:val="22"/>
          </w:rPr>
          <w:delText>DP</w:delText>
        </w:r>
        <w:r w:rsidR="00D67AEC">
          <w:rPr>
            <w:sz w:val="22"/>
            <w:szCs w:val="22"/>
          </w:rPr>
          <w:delText>)</w:delText>
        </w:r>
        <w:r w:rsidR="00D67AEC" w:rsidRPr="008912CF">
          <w:rPr>
            <w:sz w:val="22"/>
            <w:szCs w:val="22"/>
          </w:rPr>
          <w:delText xml:space="preserve"> da concentraç</w:delText>
        </w:r>
        <w:r w:rsidR="004D2A92">
          <w:rPr>
            <w:sz w:val="22"/>
            <w:szCs w:val="22"/>
          </w:rPr>
          <w:delText>ão de vale</w:delText>
        </w:r>
        <w:r w:rsidR="00D67AEC">
          <w:rPr>
            <w:sz w:val="22"/>
            <w:szCs w:val="22"/>
          </w:rPr>
          <w:delText xml:space="preserve"> </w:delText>
        </w:r>
        <w:r w:rsidR="00E35985" w:rsidRPr="008912CF">
          <w:rPr>
            <w:sz w:val="22"/>
            <w:szCs w:val="22"/>
          </w:rPr>
          <w:delText>no estado estacionário</w:delText>
        </w:r>
        <w:r w:rsidR="00D67AEC">
          <w:rPr>
            <w:sz w:val="22"/>
            <w:szCs w:val="22"/>
          </w:rPr>
          <w:delText xml:space="preserve"> </w:delText>
        </w:r>
        <w:r w:rsidR="00E35985">
          <w:rPr>
            <w:sz w:val="22"/>
            <w:szCs w:val="22"/>
          </w:rPr>
          <w:delText>à</w:delText>
        </w:r>
        <w:r w:rsidR="00D67AEC">
          <w:rPr>
            <w:sz w:val="22"/>
            <w:szCs w:val="22"/>
          </w:rPr>
          <w:delText xml:space="preserve"> Semana 68 foi 8,0 </w:delText>
        </w:r>
        <w:r w:rsidR="00D67AEC">
          <w:delText xml:space="preserve">± 4,6 </w:delText>
        </w:r>
        <w:r w:rsidR="00D67AEC" w:rsidRPr="008912CF">
          <w:rPr>
            <w:rFonts w:ascii="Symbol" w:hAnsi="Symbol"/>
            <w:sz w:val="22"/>
            <w:szCs w:val="22"/>
          </w:rPr>
          <w:sym w:font="Symbol" w:char="F06D"/>
        </w:r>
        <w:r w:rsidR="00D67AEC" w:rsidRPr="008912CF">
          <w:rPr>
            <w:sz w:val="22"/>
            <w:szCs w:val="22"/>
          </w:rPr>
          <w:delText>g/ml</w:delText>
        </w:r>
        <w:r w:rsidR="00D67AEC">
          <w:rPr>
            <w:sz w:val="22"/>
            <w:szCs w:val="22"/>
          </w:rPr>
          <w:delText>.</w:delText>
        </w:r>
      </w:del>
    </w:p>
    <w:p w14:paraId="49715BB3" w14:textId="638958EE" w:rsidR="00BD4F81" w:rsidRPr="008912CF" w:rsidRDefault="00BD4F81" w:rsidP="00412FC8">
      <w:pPr>
        <w:rPr>
          <w:del w:id="11130" w:author="AbbVie2" w:date="2025-05-13T16:39:00Z"/>
          <w:sz w:val="22"/>
          <w:szCs w:val="22"/>
        </w:rPr>
      </w:pPr>
    </w:p>
    <w:p w14:paraId="1CD7BDE4" w14:textId="61853252" w:rsidR="004462A0" w:rsidRPr="008912CF" w:rsidRDefault="00615769" w:rsidP="00412FC8">
      <w:pPr>
        <w:rPr>
          <w:del w:id="11131" w:author="AbbVie2" w:date="2025-05-13T16:39:00Z"/>
          <w:sz w:val="22"/>
          <w:szCs w:val="22"/>
        </w:rPr>
      </w:pPr>
      <w:del w:id="11132" w:author="AbbVie2" w:date="2025-05-13T16:39:00Z">
        <w:r w:rsidRPr="008912CF">
          <w:rPr>
            <w:sz w:val="22"/>
            <w:szCs w:val="22"/>
          </w:rPr>
          <w:delText xml:space="preserve">Em doentes adultos com psoríase em tratamento com adalimumab 40 mg em semanas alternadas, em monoterapia, a </w:delText>
        </w:r>
        <w:r w:rsidR="004D2A92">
          <w:rPr>
            <w:sz w:val="22"/>
            <w:szCs w:val="22"/>
          </w:rPr>
          <w:delText xml:space="preserve">média da </w:delText>
        </w:r>
        <w:r w:rsidRPr="008912CF">
          <w:rPr>
            <w:sz w:val="22"/>
            <w:szCs w:val="22"/>
          </w:rPr>
          <w:delText xml:space="preserve">concentração </w:delText>
        </w:r>
        <w:r w:rsidR="004D2A92">
          <w:rPr>
            <w:sz w:val="22"/>
            <w:szCs w:val="22"/>
          </w:rPr>
          <w:delText>de vale</w:delText>
        </w:r>
        <w:r w:rsidRPr="008912CF">
          <w:rPr>
            <w:sz w:val="22"/>
            <w:szCs w:val="22"/>
          </w:rPr>
          <w:delText xml:space="preserve"> em estado de equilíbrio foi de 5 </w:delText>
        </w:r>
        <w:r w:rsidRPr="008912CF">
          <w:rPr>
            <w:rFonts w:ascii="Symbol" w:hAnsi="Symbol"/>
            <w:sz w:val="22"/>
            <w:szCs w:val="22"/>
          </w:rPr>
          <w:sym w:font="Symbol" w:char="F06D"/>
        </w:r>
        <w:r w:rsidRPr="008912CF">
          <w:rPr>
            <w:sz w:val="22"/>
            <w:szCs w:val="22"/>
          </w:rPr>
          <w:delText xml:space="preserve">g/ml. </w:delText>
        </w:r>
      </w:del>
    </w:p>
    <w:p w14:paraId="1B9CA1D5" w14:textId="4DE85C9D" w:rsidR="004462A0" w:rsidRPr="008912CF" w:rsidRDefault="004462A0" w:rsidP="00412FC8">
      <w:pPr>
        <w:rPr>
          <w:del w:id="11133" w:author="AbbVie2" w:date="2025-05-13T16:39:00Z"/>
          <w:sz w:val="22"/>
          <w:szCs w:val="22"/>
        </w:rPr>
      </w:pPr>
    </w:p>
    <w:p w14:paraId="62F91F3A" w14:textId="6B7D7922" w:rsidR="004462A0" w:rsidRPr="008912CF" w:rsidRDefault="00615769" w:rsidP="00412FC8">
      <w:pPr>
        <w:rPr>
          <w:del w:id="11134" w:author="AbbVie2" w:date="2025-05-13T16:39:00Z"/>
          <w:sz w:val="22"/>
          <w:szCs w:val="22"/>
        </w:rPr>
      </w:pPr>
      <w:del w:id="11135" w:author="AbbVie2" w:date="2025-05-13T16:39:00Z">
        <w:r w:rsidRPr="008912CF">
          <w:rPr>
            <w:sz w:val="22"/>
            <w:szCs w:val="22"/>
          </w:rPr>
          <w:delText>Após a administração de 0,8 mg/kg (máximo de 40 mg) por via subcutânea, em semanas alternadas, em doentes pediátricos com psoríase crónica em placas, a média ±</w:delText>
        </w:r>
        <w:r w:rsidR="0029007D">
          <w:rPr>
            <w:sz w:val="22"/>
            <w:szCs w:val="22"/>
          </w:rPr>
          <w:delText xml:space="preserve"> </w:delText>
        </w:r>
        <w:r w:rsidRPr="008912CF">
          <w:rPr>
            <w:sz w:val="22"/>
            <w:szCs w:val="22"/>
          </w:rPr>
          <w:delText>DP da concentraç</w:delText>
        </w:r>
        <w:r w:rsidR="004D2A92">
          <w:rPr>
            <w:sz w:val="22"/>
            <w:szCs w:val="22"/>
          </w:rPr>
          <w:delText>ão</w:delText>
        </w:r>
        <w:r w:rsidRPr="008912CF">
          <w:rPr>
            <w:sz w:val="22"/>
            <w:szCs w:val="22"/>
          </w:rPr>
          <w:delText xml:space="preserve"> </w:delText>
        </w:r>
        <w:r w:rsidR="004D2A92">
          <w:rPr>
            <w:sz w:val="22"/>
            <w:szCs w:val="22"/>
          </w:rPr>
          <w:delText>de vale</w:delText>
        </w:r>
        <w:r w:rsidR="004D2A92" w:rsidRPr="008912CF">
          <w:rPr>
            <w:sz w:val="22"/>
            <w:szCs w:val="22"/>
          </w:rPr>
          <w:delText xml:space="preserve"> </w:delText>
        </w:r>
        <w:r w:rsidRPr="008912CF">
          <w:rPr>
            <w:sz w:val="22"/>
            <w:szCs w:val="22"/>
          </w:rPr>
          <w:delText>de adalimumab foi aproximadamente 7,4 ± 5,8 </w:delText>
        </w:r>
        <w:r w:rsidRPr="008912CF">
          <w:rPr>
            <w:rFonts w:ascii="Symbol" w:hAnsi="Symbol"/>
            <w:sz w:val="22"/>
            <w:szCs w:val="22"/>
          </w:rPr>
          <w:sym w:font="Symbol" w:char="F06D"/>
        </w:r>
        <w:r w:rsidRPr="008912CF">
          <w:rPr>
            <w:sz w:val="22"/>
            <w:szCs w:val="22"/>
          </w:rPr>
          <w:delText>g/ml (79% CV).</w:delText>
        </w:r>
      </w:del>
    </w:p>
    <w:p w14:paraId="0A2FCC6A" w14:textId="479CFAAC" w:rsidR="004462A0" w:rsidRPr="008912CF" w:rsidRDefault="004462A0" w:rsidP="00412FC8">
      <w:pPr>
        <w:rPr>
          <w:del w:id="11136" w:author="AbbVie2" w:date="2025-05-13T16:39:00Z"/>
          <w:sz w:val="22"/>
          <w:szCs w:val="22"/>
        </w:rPr>
      </w:pPr>
    </w:p>
    <w:p w14:paraId="66C1B7E7" w14:textId="51513E1D" w:rsidR="004462A0" w:rsidRPr="008912CF" w:rsidRDefault="00615769" w:rsidP="00412FC8">
      <w:pPr>
        <w:rPr>
          <w:del w:id="11137" w:author="AbbVie2" w:date="2025-05-13T16:39:00Z"/>
          <w:sz w:val="22"/>
          <w:szCs w:val="22"/>
        </w:rPr>
      </w:pPr>
      <w:del w:id="11138" w:author="AbbVie2" w:date="2025-05-13T16:39:00Z">
        <w:r w:rsidRPr="008912CF">
          <w:rPr>
            <w:sz w:val="22"/>
            <w:szCs w:val="22"/>
          </w:rPr>
          <w:delText xml:space="preserve">Em doentes </w:delText>
        </w:r>
        <w:r>
          <w:rPr>
            <w:sz w:val="22"/>
            <w:szCs w:val="22"/>
          </w:rPr>
          <w:delText xml:space="preserve">adultos </w:delText>
        </w:r>
        <w:r w:rsidRPr="008912CF">
          <w:rPr>
            <w:sz w:val="22"/>
            <w:szCs w:val="22"/>
          </w:rPr>
          <w:delText>com hidradenite supurativa, uma dose de 160 mg de Humira na Semana 0 seguida de 80 mg de Humira na Semana 2 alcanç</w:delText>
        </w:r>
        <w:r w:rsidR="004D2A92">
          <w:rPr>
            <w:sz w:val="22"/>
            <w:szCs w:val="22"/>
          </w:rPr>
          <w:delText>ou</w:delText>
        </w:r>
        <w:r w:rsidRPr="008912CF">
          <w:rPr>
            <w:sz w:val="22"/>
            <w:szCs w:val="22"/>
          </w:rPr>
          <w:delText xml:space="preserve"> uma concentração sérica </w:delText>
        </w:r>
        <w:r w:rsidR="004D2A92">
          <w:rPr>
            <w:sz w:val="22"/>
            <w:szCs w:val="22"/>
          </w:rPr>
          <w:delText xml:space="preserve">de vale </w:delText>
        </w:r>
        <w:r w:rsidRPr="008912CF">
          <w:rPr>
            <w:sz w:val="22"/>
            <w:szCs w:val="22"/>
          </w:rPr>
          <w:delText>de adalimumab de aproximadamente 7 a 8 μg/m</w:delText>
        </w:r>
        <w:r>
          <w:rPr>
            <w:sz w:val="22"/>
            <w:szCs w:val="22"/>
          </w:rPr>
          <w:delText>l</w:delText>
        </w:r>
        <w:r w:rsidRPr="008912CF">
          <w:rPr>
            <w:sz w:val="22"/>
            <w:szCs w:val="22"/>
          </w:rPr>
          <w:delText xml:space="preserve"> na Semana 2 e Semana 4. A média das concentrações séricas de </w:delText>
        </w:r>
        <w:r w:rsidR="004D2A92">
          <w:rPr>
            <w:sz w:val="22"/>
            <w:szCs w:val="22"/>
          </w:rPr>
          <w:delText xml:space="preserve">vale de </w:delText>
        </w:r>
        <w:r w:rsidRPr="008912CF">
          <w:rPr>
            <w:sz w:val="22"/>
            <w:szCs w:val="22"/>
          </w:rPr>
          <w:delText>adalimumab da Semana 12 à Semana 36 foi aproximadamente 8 a 10 μg/m</w:delText>
        </w:r>
        <w:r>
          <w:rPr>
            <w:sz w:val="22"/>
            <w:szCs w:val="22"/>
          </w:rPr>
          <w:delText>l</w:delText>
        </w:r>
        <w:r w:rsidRPr="008912CF">
          <w:rPr>
            <w:sz w:val="22"/>
            <w:szCs w:val="22"/>
          </w:rPr>
          <w:delText xml:space="preserve"> durante o tratamento de adalimumab 40 mg todas as semanas.</w:delText>
        </w:r>
      </w:del>
    </w:p>
    <w:p w14:paraId="30B8F801" w14:textId="34C8BFB8" w:rsidR="004462A0" w:rsidRPr="008912CF" w:rsidRDefault="004462A0" w:rsidP="00412FC8">
      <w:pPr>
        <w:rPr>
          <w:del w:id="11139" w:author="AbbVie2" w:date="2025-05-13T16:39:00Z"/>
          <w:sz w:val="22"/>
          <w:szCs w:val="22"/>
        </w:rPr>
      </w:pPr>
    </w:p>
    <w:p w14:paraId="430F0519" w14:textId="70A1721A" w:rsidR="004462A0" w:rsidRDefault="00615769" w:rsidP="00412FC8">
      <w:pPr>
        <w:rPr>
          <w:del w:id="11140" w:author="AbbVie2" w:date="2025-05-13T16:39:00Z"/>
          <w:sz w:val="22"/>
          <w:szCs w:val="22"/>
        </w:rPr>
      </w:pPr>
      <w:del w:id="11141" w:author="AbbVie2" w:date="2025-05-13T16:39:00Z">
        <w:r w:rsidRPr="009B431E">
          <w:rPr>
            <w:sz w:val="22"/>
            <w:szCs w:val="22"/>
          </w:rPr>
          <w:delText>A exposição de adalimumab em doentes adolescentes com HS foi avaliada utilizando modelos farmacocinéticos</w:delText>
        </w:r>
        <w:r>
          <w:rPr>
            <w:sz w:val="22"/>
            <w:szCs w:val="22"/>
          </w:rPr>
          <w:delText xml:space="preserve"> e de</w:delText>
        </w:r>
        <w:r w:rsidRPr="009B431E">
          <w:rPr>
            <w:sz w:val="22"/>
            <w:szCs w:val="22"/>
          </w:rPr>
          <w:delText xml:space="preserve"> simulação na população, baseados na farmacocinética nas várias indicações em outros doentes pediátricos (psoríase pediátrica, artrite idiopática juvenil, doença de Crohn pediátrica e artrite relacionada com entesite). A dose recomendada em adolescentes com hidradenite supurativa é de 40</w:delText>
        </w:r>
        <w:r>
          <w:rPr>
            <w:sz w:val="22"/>
            <w:szCs w:val="22"/>
          </w:rPr>
          <w:delText> </w:delText>
        </w:r>
        <w:r w:rsidRPr="009B431E">
          <w:rPr>
            <w:sz w:val="22"/>
            <w:szCs w:val="22"/>
          </w:rPr>
          <w:delText>mg em semanas alternadas. Uma vez que a exposição a adalimum</w:delText>
        </w:r>
        <w:r w:rsidR="00771456">
          <w:rPr>
            <w:sz w:val="22"/>
            <w:szCs w:val="22"/>
          </w:rPr>
          <w:delText>a</w:delText>
        </w:r>
        <w:r w:rsidRPr="009B431E">
          <w:rPr>
            <w:sz w:val="22"/>
            <w:szCs w:val="22"/>
          </w:rPr>
          <w:delText>b pode ser afetada pelo peso corporal, adolescentes com grande peso corporal e inadequada resposta</w:delText>
        </w:r>
        <w:r>
          <w:rPr>
            <w:sz w:val="22"/>
            <w:szCs w:val="22"/>
          </w:rPr>
          <w:delText>,</w:delText>
        </w:r>
        <w:r w:rsidRPr="009B431E">
          <w:rPr>
            <w:sz w:val="22"/>
            <w:szCs w:val="22"/>
          </w:rPr>
          <w:delText xml:space="preserve"> podem beneficiar da dose recomendada para os adultos de 4</w:delText>
        </w:r>
        <w:r w:rsidRPr="009B431E">
          <w:rPr>
            <w:sz w:val="22"/>
            <w:szCs w:val="22"/>
          </w:rPr>
          <w:delText>0</w:delText>
        </w:r>
        <w:r>
          <w:rPr>
            <w:sz w:val="22"/>
            <w:szCs w:val="22"/>
          </w:rPr>
          <w:delText> </w:delText>
        </w:r>
        <w:r w:rsidRPr="009B431E">
          <w:rPr>
            <w:sz w:val="22"/>
            <w:szCs w:val="22"/>
          </w:rPr>
          <w:delText>mg todas as semanas</w:delText>
        </w:r>
        <w:r>
          <w:rPr>
            <w:sz w:val="22"/>
            <w:szCs w:val="22"/>
          </w:rPr>
          <w:delText>.</w:delText>
        </w:r>
      </w:del>
    </w:p>
    <w:p w14:paraId="3243558B" w14:textId="7CA335A5" w:rsidR="004462A0" w:rsidRDefault="004462A0" w:rsidP="00412FC8">
      <w:pPr>
        <w:rPr>
          <w:del w:id="11142" w:author="AbbVie2" w:date="2025-05-13T16:39:00Z"/>
          <w:sz w:val="22"/>
          <w:szCs w:val="22"/>
        </w:rPr>
      </w:pPr>
    </w:p>
    <w:p w14:paraId="5C357795" w14:textId="13EACB24" w:rsidR="004462A0" w:rsidRPr="008912CF" w:rsidRDefault="00615769" w:rsidP="00412FC8">
      <w:pPr>
        <w:rPr>
          <w:del w:id="11143" w:author="AbbVie2" w:date="2025-05-13T16:39:00Z"/>
          <w:sz w:val="22"/>
          <w:szCs w:val="22"/>
        </w:rPr>
      </w:pPr>
      <w:del w:id="11144" w:author="AbbVie2" w:date="2025-05-13T16:39:00Z">
        <w:r w:rsidRPr="008912CF">
          <w:rPr>
            <w:sz w:val="22"/>
            <w:szCs w:val="22"/>
          </w:rPr>
          <w:delText xml:space="preserve">Em doentes com doença de Crohn, a dose de carga de 80 mg de Humira na Semana 0 seguida de 40 mg de Humira na Semana 2 atinge uma concentração sérica </w:delText>
        </w:r>
        <w:r w:rsidR="001729C1">
          <w:rPr>
            <w:sz w:val="22"/>
            <w:szCs w:val="22"/>
          </w:rPr>
          <w:delText xml:space="preserve">de vale </w:delText>
        </w:r>
        <w:r w:rsidRPr="008912CF">
          <w:rPr>
            <w:sz w:val="22"/>
            <w:szCs w:val="22"/>
          </w:rPr>
          <w:delText>de adalimumab de aproximadamente 5,5 </w:delText>
        </w:r>
        <w:r w:rsidRPr="008912CF">
          <w:rPr>
            <w:rFonts w:ascii="Symbol" w:hAnsi="Symbol"/>
            <w:sz w:val="22"/>
            <w:szCs w:val="22"/>
          </w:rPr>
          <w:sym w:font="Symbol" w:char="F06D"/>
        </w:r>
        <w:r w:rsidRPr="008912CF">
          <w:rPr>
            <w:sz w:val="22"/>
            <w:szCs w:val="22"/>
          </w:rPr>
          <w:delText xml:space="preserve">g/ml durante o período de indução. Uma dose de carga de 160 mg de Humira na Semana 0 seguida de 80 mg de Humira na Semana 2 alcança uma concentração sérica de </w:delText>
        </w:r>
        <w:r w:rsidR="001729C1">
          <w:rPr>
            <w:sz w:val="22"/>
            <w:szCs w:val="22"/>
          </w:rPr>
          <w:delText xml:space="preserve">vale de </w:delText>
        </w:r>
        <w:r w:rsidRPr="008912CF">
          <w:rPr>
            <w:sz w:val="22"/>
            <w:szCs w:val="22"/>
          </w:rPr>
          <w:delText>adalimumab de aproximadamente 12 </w:delText>
        </w:r>
        <w:r w:rsidRPr="008912CF">
          <w:rPr>
            <w:rFonts w:ascii="Symbol" w:hAnsi="Symbol"/>
            <w:sz w:val="22"/>
            <w:szCs w:val="22"/>
          </w:rPr>
          <w:sym w:font="Symbol" w:char="F06D"/>
        </w:r>
        <w:r w:rsidRPr="008912CF">
          <w:rPr>
            <w:sz w:val="22"/>
            <w:szCs w:val="22"/>
          </w:rPr>
          <w:delText xml:space="preserve">g/ml durante o período de indução. Observaram-se níveis médios </w:delText>
        </w:r>
        <w:r w:rsidR="001729C1">
          <w:rPr>
            <w:sz w:val="22"/>
            <w:szCs w:val="22"/>
          </w:rPr>
          <w:delText xml:space="preserve">de vale </w:delText>
        </w:r>
        <w:r w:rsidRPr="008912CF">
          <w:rPr>
            <w:sz w:val="22"/>
            <w:szCs w:val="22"/>
          </w:rPr>
          <w:delText>em estado de equilíbrio de aproximadamente 7 </w:delText>
        </w:r>
        <w:r w:rsidRPr="008912CF">
          <w:rPr>
            <w:rFonts w:ascii="Symbol" w:hAnsi="Symbol"/>
            <w:sz w:val="22"/>
            <w:szCs w:val="22"/>
          </w:rPr>
          <w:sym w:font="Symbol" w:char="F06D"/>
        </w:r>
        <w:r w:rsidRPr="008912CF">
          <w:rPr>
            <w:sz w:val="22"/>
            <w:szCs w:val="22"/>
          </w:rPr>
          <w:delText>g/ml em doentes com doença de Crohn que receberam uma dose de manutenção de 40 mg de Humira em semanas alternadas.</w:delText>
        </w:r>
      </w:del>
    </w:p>
    <w:p w14:paraId="0A3970EA" w14:textId="317FE57E" w:rsidR="004462A0" w:rsidRPr="008912CF" w:rsidRDefault="004462A0" w:rsidP="00412FC8">
      <w:pPr>
        <w:rPr>
          <w:del w:id="11145" w:author="AbbVie2" w:date="2025-05-13T16:39:00Z"/>
          <w:sz w:val="22"/>
          <w:szCs w:val="22"/>
        </w:rPr>
      </w:pPr>
    </w:p>
    <w:p w14:paraId="58AD760E" w14:textId="31AEA744" w:rsidR="004462A0" w:rsidRPr="008912CF" w:rsidRDefault="00615769">
      <w:pPr>
        <w:rPr>
          <w:del w:id="11146" w:author="AbbVie2" w:date="2025-05-13T16:39:00Z"/>
          <w:sz w:val="22"/>
          <w:szCs w:val="22"/>
        </w:rPr>
        <w:pPrChange w:id="11147" w:author="AbbVie2" w:date="2025-05-13T16:40:00Z">
          <w:pPr>
            <w:autoSpaceDE w:val="0"/>
            <w:autoSpaceDN w:val="0"/>
            <w:adjustRightInd w:val="0"/>
          </w:pPr>
        </w:pPrChange>
      </w:pPr>
      <w:del w:id="11148" w:author="AbbVie2" w:date="2025-05-13T16:39:00Z">
        <w:r w:rsidRPr="008912CF">
          <w:rPr>
            <w:sz w:val="22"/>
            <w:szCs w:val="22"/>
          </w:rPr>
          <w:delText>Em doentes pediátricos com DC moderada a grave, a dose de indução de adalimumab em fase aberta foi 160/80</w:delText>
        </w:r>
        <w:r>
          <w:rPr>
            <w:sz w:val="22"/>
            <w:szCs w:val="22"/>
          </w:rPr>
          <w:delText> </w:delText>
        </w:r>
        <w:r w:rsidRPr="008912CF">
          <w:rPr>
            <w:sz w:val="22"/>
            <w:szCs w:val="22"/>
          </w:rPr>
          <w:delText>mg ou 80/40</w:delText>
        </w:r>
        <w:r>
          <w:rPr>
            <w:sz w:val="22"/>
            <w:szCs w:val="22"/>
          </w:rPr>
          <w:delText> </w:delText>
        </w:r>
        <w:r w:rsidRPr="008912CF">
          <w:rPr>
            <w:sz w:val="22"/>
            <w:szCs w:val="22"/>
          </w:rPr>
          <w:delText>mg nas Semanas 0 e 2, respetivamente, dependendo do limiar de peso corporal de 40</w:delText>
        </w:r>
        <w:r>
          <w:rPr>
            <w:sz w:val="22"/>
            <w:szCs w:val="22"/>
          </w:rPr>
          <w:delText> </w:delText>
        </w:r>
        <w:r w:rsidRPr="008912CF">
          <w:rPr>
            <w:sz w:val="22"/>
            <w:szCs w:val="22"/>
          </w:rPr>
          <w:delText xml:space="preserve">kg. Na Semana 4, os doentes foram </w:delText>
        </w:r>
        <w:r w:rsidR="0013275C">
          <w:rPr>
            <w:sz w:val="22"/>
            <w:szCs w:val="22"/>
          </w:rPr>
          <w:delText>aleatorizado</w:delText>
        </w:r>
        <w:r w:rsidRPr="008912CF">
          <w:rPr>
            <w:sz w:val="22"/>
            <w:szCs w:val="22"/>
          </w:rPr>
          <w:delText>s 1:1 para Dose Padrão (40/20</w:delText>
        </w:r>
        <w:r>
          <w:rPr>
            <w:sz w:val="22"/>
            <w:szCs w:val="22"/>
          </w:rPr>
          <w:delText> </w:delText>
        </w:r>
        <w:r w:rsidRPr="008912CF">
          <w:rPr>
            <w:sz w:val="22"/>
            <w:szCs w:val="22"/>
          </w:rPr>
          <w:delText>mg em semanas alternadas) ou Baixa Dose (20/10</w:delText>
        </w:r>
        <w:r>
          <w:rPr>
            <w:sz w:val="22"/>
            <w:szCs w:val="22"/>
          </w:rPr>
          <w:delText> </w:delText>
        </w:r>
        <w:r w:rsidRPr="008912CF">
          <w:rPr>
            <w:sz w:val="22"/>
            <w:szCs w:val="22"/>
          </w:rPr>
          <w:delText>mg em semanas alternadas) em grupos de tratamento de manutenção com base no peso corporal. A média (</w:delText>
        </w:r>
        <w:r w:rsidRPr="008912CF">
          <w:rPr>
            <w:rFonts w:eastAsia="Arial Unicode MS"/>
            <w:sz w:val="22"/>
            <w:szCs w:val="22"/>
          </w:rPr>
          <w:delText>±</w:delText>
        </w:r>
        <w:r w:rsidR="0029007D">
          <w:rPr>
            <w:rFonts w:eastAsia="Arial Unicode MS"/>
            <w:sz w:val="22"/>
            <w:szCs w:val="22"/>
          </w:rPr>
          <w:delText xml:space="preserve"> </w:delText>
        </w:r>
        <w:r w:rsidRPr="008912CF">
          <w:rPr>
            <w:rFonts w:eastAsia="Arial Unicode MS"/>
            <w:sz w:val="22"/>
            <w:szCs w:val="22"/>
          </w:rPr>
          <w:delText xml:space="preserve">DP) da concentração sérica </w:delText>
        </w:r>
        <w:r w:rsidR="001729C1">
          <w:rPr>
            <w:rFonts w:eastAsia="Arial Unicode MS"/>
            <w:sz w:val="22"/>
            <w:szCs w:val="22"/>
          </w:rPr>
          <w:delText xml:space="preserve">de vale </w:delText>
        </w:r>
        <w:r w:rsidRPr="008912CF">
          <w:rPr>
            <w:rFonts w:eastAsia="Arial Unicode MS"/>
            <w:sz w:val="22"/>
            <w:szCs w:val="22"/>
          </w:rPr>
          <w:delText xml:space="preserve">de adalimumab atingida na Semana 4 foi </w:delText>
        </w:r>
        <w:r w:rsidRPr="008912CF">
          <w:rPr>
            <w:sz w:val="22"/>
            <w:szCs w:val="22"/>
            <w:lang w:eastAsia="en-GB"/>
          </w:rPr>
          <w:delText>15,7</w:delText>
        </w:r>
        <w:r w:rsidR="0029007D">
          <w:rPr>
            <w:sz w:val="22"/>
            <w:szCs w:val="22"/>
            <w:lang w:eastAsia="en-GB"/>
          </w:rPr>
          <w:delText xml:space="preserve"> </w:delText>
        </w:r>
        <w:r w:rsidRPr="008912CF">
          <w:rPr>
            <w:rFonts w:eastAsia="Arial Unicode MS"/>
            <w:sz w:val="22"/>
            <w:szCs w:val="22"/>
          </w:rPr>
          <w:delText>±</w:delText>
        </w:r>
        <w:r w:rsidR="0029007D">
          <w:rPr>
            <w:rFonts w:eastAsia="Arial Unicode MS"/>
            <w:sz w:val="22"/>
            <w:szCs w:val="22"/>
          </w:rPr>
          <w:delText xml:space="preserve"> </w:delText>
        </w:r>
        <w:r w:rsidRPr="008912CF">
          <w:rPr>
            <w:rFonts w:eastAsia="Arial Unicode MS"/>
            <w:sz w:val="22"/>
            <w:szCs w:val="22"/>
          </w:rPr>
          <w:delText>6</w:delText>
        </w:r>
        <w:r w:rsidR="009343EF">
          <w:rPr>
            <w:rFonts w:eastAsia="Arial Unicode MS"/>
            <w:sz w:val="22"/>
            <w:szCs w:val="22"/>
          </w:rPr>
          <w:delText>,</w:delText>
        </w:r>
        <w:r w:rsidRPr="008912CF">
          <w:rPr>
            <w:rFonts w:eastAsia="Arial Unicode MS"/>
            <w:sz w:val="22"/>
            <w:szCs w:val="22"/>
          </w:rPr>
          <w:delText>6</w:delText>
        </w:r>
        <w:r>
          <w:rPr>
            <w:rFonts w:eastAsia="Arial Unicode MS"/>
            <w:sz w:val="22"/>
            <w:szCs w:val="22"/>
          </w:rPr>
          <w:delText> </w:delText>
        </w:r>
        <w:r w:rsidRPr="008912CF">
          <w:rPr>
            <w:rFonts w:ascii="Symbol" w:hAnsi="Symbol"/>
            <w:sz w:val="22"/>
            <w:szCs w:val="22"/>
          </w:rPr>
          <w:sym w:font="Symbol" w:char="F06D"/>
        </w:r>
        <w:r w:rsidRPr="008912CF">
          <w:rPr>
            <w:sz w:val="22"/>
            <w:szCs w:val="22"/>
          </w:rPr>
          <w:delText xml:space="preserve">g/ml para doentes </w:delText>
        </w:r>
        <w:r w:rsidRPr="008912CF">
          <w:rPr>
            <w:rFonts w:ascii="Symbol" w:hAnsi="Symbol"/>
            <w:sz w:val="22"/>
            <w:szCs w:val="22"/>
          </w:rPr>
          <w:sym w:font="Symbol" w:char="F0B3"/>
        </w:r>
        <w:r w:rsidRPr="008912CF">
          <w:rPr>
            <w:sz w:val="22"/>
            <w:szCs w:val="22"/>
          </w:rPr>
          <w:delText> 40 kg (160/80</w:delText>
        </w:r>
        <w:r>
          <w:rPr>
            <w:sz w:val="22"/>
            <w:szCs w:val="22"/>
          </w:rPr>
          <w:delText> </w:delText>
        </w:r>
        <w:r w:rsidRPr="008912CF">
          <w:rPr>
            <w:sz w:val="22"/>
            <w:szCs w:val="22"/>
          </w:rPr>
          <w:delText xml:space="preserve">mg) e </w:delText>
        </w:r>
        <w:r w:rsidRPr="008912CF">
          <w:rPr>
            <w:sz w:val="22"/>
            <w:szCs w:val="22"/>
            <w:lang w:eastAsia="en-GB"/>
          </w:rPr>
          <w:delText>10,6</w:delText>
        </w:r>
        <w:r w:rsidR="0029007D">
          <w:rPr>
            <w:sz w:val="22"/>
            <w:szCs w:val="22"/>
            <w:lang w:eastAsia="en-GB"/>
          </w:rPr>
          <w:delText xml:space="preserve"> </w:delText>
        </w:r>
        <w:r w:rsidRPr="008912CF">
          <w:rPr>
            <w:rFonts w:eastAsia="Arial Unicode MS"/>
            <w:sz w:val="22"/>
            <w:szCs w:val="22"/>
          </w:rPr>
          <w:delText>±</w:delText>
        </w:r>
        <w:r w:rsidR="0029007D">
          <w:rPr>
            <w:rFonts w:eastAsia="Arial Unicode MS"/>
            <w:sz w:val="22"/>
            <w:szCs w:val="22"/>
          </w:rPr>
          <w:delText xml:space="preserve"> </w:delText>
        </w:r>
        <w:r w:rsidRPr="008912CF">
          <w:rPr>
            <w:rFonts w:eastAsia="Arial Unicode MS"/>
            <w:sz w:val="22"/>
            <w:szCs w:val="22"/>
          </w:rPr>
          <w:delText>6,1</w:delText>
        </w:r>
        <w:r>
          <w:rPr>
            <w:rFonts w:eastAsia="Arial Unicode MS"/>
            <w:sz w:val="22"/>
            <w:szCs w:val="22"/>
          </w:rPr>
          <w:delText> </w:delText>
        </w:r>
        <w:r w:rsidRPr="008912CF">
          <w:rPr>
            <w:rFonts w:ascii="Symbol" w:hAnsi="Symbol"/>
            <w:sz w:val="22"/>
            <w:szCs w:val="22"/>
          </w:rPr>
          <w:sym w:font="Symbol" w:char="F06D"/>
        </w:r>
        <w:r w:rsidRPr="008912CF">
          <w:rPr>
            <w:sz w:val="22"/>
            <w:szCs w:val="22"/>
          </w:rPr>
          <w:delText>g/ml para doentes &lt; 40 kg (80/40</w:delText>
        </w:r>
        <w:r>
          <w:rPr>
            <w:sz w:val="22"/>
            <w:szCs w:val="22"/>
          </w:rPr>
          <w:delText> </w:delText>
        </w:r>
        <w:r w:rsidRPr="008912CF">
          <w:rPr>
            <w:sz w:val="22"/>
            <w:szCs w:val="22"/>
          </w:rPr>
          <w:delText>mg).</w:delText>
        </w:r>
      </w:del>
    </w:p>
    <w:p w14:paraId="1196E802" w14:textId="1453B59F" w:rsidR="004462A0" w:rsidRPr="008912CF" w:rsidRDefault="004462A0">
      <w:pPr>
        <w:rPr>
          <w:del w:id="11149" w:author="AbbVie2" w:date="2025-05-13T16:39:00Z"/>
          <w:sz w:val="22"/>
          <w:szCs w:val="22"/>
        </w:rPr>
        <w:pPrChange w:id="11150" w:author="AbbVie2" w:date="2025-05-13T16:40:00Z">
          <w:pPr>
            <w:autoSpaceDE w:val="0"/>
            <w:autoSpaceDN w:val="0"/>
            <w:adjustRightInd w:val="0"/>
          </w:pPr>
        </w:pPrChange>
      </w:pPr>
    </w:p>
    <w:p w14:paraId="654F3DEF" w14:textId="7E454E6F" w:rsidR="004462A0" w:rsidRPr="008912CF" w:rsidRDefault="00615769">
      <w:pPr>
        <w:rPr>
          <w:del w:id="11151" w:author="AbbVie2" w:date="2025-05-13T16:39:00Z"/>
          <w:sz w:val="22"/>
          <w:szCs w:val="22"/>
        </w:rPr>
        <w:pPrChange w:id="11152" w:author="AbbVie2" w:date="2025-05-13T16:40:00Z">
          <w:pPr>
            <w:autoSpaceDE w:val="0"/>
            <w:autoSpaceDN w:val="0"/>
            <w:adjustRightInd w:val="0"/>
          </w:pPr>
        </w:pPrChange>
      </w:pPr>
      <w:del w:id="11153" w:author="AbbVie2" w:date="2025-05-13T16:39:00Z">
        <w:r w:rsidRPr="008912CF">
          <w:rPr>
            <w:sz w:val="22"/>
            <w:szCs w:val="22"/>
          </w:rPr>
          <w:delText>Nos doentes que mantiveram a terapêutica randomizada, a média (±</w:delText>
        </w:r>
        <w:r w:rsidR="0029007D">
          <w:rPr>
            <w:sz w:val="22"/>
            <w:szCs w:val="22"/>
          </w:rPr>
          <w:delText xml:space="preserve"> </w:delText>
        </w:r>
        <w:r w:rsidRPr="008912CF">
          <w:rPr>
            <w:sz w:val="22"/>
            <w:szCs w:val="22"/>
          </w:rPr>
          <w:delText xml:space="preserve">DP) das concentrações séricas de </w:delText>
        </w:r>
        <w:r w:rsidR="001729C1">
          <w:rPr>
            <w:sz w:val="22"/>
            <w:szCs w:val="22"/>
          </w:rPr>
          <w:delText xml:space="preserve">vale de </w:delText>
        </w:r>
        <w:r w:rsidRPr="008912CF">
          <w:rPr>
            <w:sz w:val="22"/>
            <w:szCs w:val="22"/>
          </w:rPr>
          <w:delText xml:space="preserve">adalimumab na Semana 52 </w:delText>
        </w:r>
        <w:r w:rsidR="001729C1">
          <w:rPr>
            <w:sz w:val="22"/>
            <w:szCs w:val="22"/>
          </w:rPr>
          <w:delText>foi</w:delText>
        </w:r>
        <w:r w:rsidR="001729C1" w:rsidRPr="008912CF">
          <w:rPr>
            <w:sz w:val="22"/>
            <w:szCs w:val="22"/>
          </w:rPr>
          <w:delText xml:space="preserve"> </w:delText>
        </w:r>
        <w:r w:rsidRPr="008912CF">
          <w:rPr>
            <w:sz w:val="22"/>
            <w:szCs w:val="22"/>
          </w:rPr>
          <w:delText>de 9,5</w:delText>
        </w:r>
        <w:r w:rsidR="0029007D">
          <w:rPr>
            <w:sz w:val="22"/>
            <w:szCs w:val="22"/>
          </w:rPr>
          <w:delText xml:space="preserve"> </w:delText>
        </w:r>
        <w:r w:rsidRPr="008912CF">
          <w:rPr>
            <w:sz w:val="22"/>
            <w:szCs w:val="22"/>
          </w:rPr>
          <w:delText>±</w:delText>
        </w:r>
        <w:r w:rsidR="0029007D">
          <w:rPr>
            <w:sz w:val="22"/>
            <w:szCs w:val="22"/>
          </w:rPr>
          <w:delText xml:space="preserve"> </w:delText>
        </w:r>
        <w:r w:rsidRPr="008912CF">
          <w:rPr>
            <w:sz w:val="22"/>
            <w:szCs w:val="22"/>
          </w:rPr>
          <w:delText>5,6 </w:delText>
        </w:r>
        <w:r w:rsidRPr="008912CF">
          <w:rPr>
            <w:rFonts w:ascii="Symbol" w:hAnsi="Symbol"/>
            <w:sz w:val="22"/>
            <w:szCs w:val="22"/>
          </w:rPr>
          <w:sym w:font="Symbol" w:char="F06D"/>
        </w:r>
        <w:r w:rsidRPr="008912CF">
          <w:rPr>
            <w:sz w:val="22"/>
            <w:szCs w:val="22"/>
          </w:rPr>
          <w:delText>g/ml para o grupo Dose Padrão e 3,5</w:delText>
        </w:r>
        <w:r w:rsidR="0029007D">
          <w:rPr>
            <w:sz w:val="22"/>
            <w:szCs w:val="22"/>
          </w:rPr>
          <w:delText xml:space="preserve"> </w:delText>
        </w:r>
        <w:r w:rsidRPr="008912CF">
          <w:rPr>
            <w:sz w:val="22"/>
            <w:szCs w:val="22"/>
          </w:rPr>
          <w:delText>±</w:delText>
        </w:r>
        <w:r w:rsidR="0029007D">
          <w:rPr>
            <w:sz w:val="22"/>
            <w:szCs w:val="22"/>
          </w:rPr>
          <w:delText xml:space="preserve"> </w:delText>
        </w:r>
        <w:r w:rsidRPr="008912CF">
          <w:rPr>
            <w:sz w:val="22"/>
            <w:szCs w:val="22"/>
          </w:rPr>
          <w:delText>2,2 </w:delText>
        </w:r>
        <w:r w:rsidRPr="008912CF">
          <w:rPr>
            <w:rFonts w:ascii="Symbol" w:hAnsi="Symbol"/>
            <w:sz w:val="22"/>
            <w:szCs w:val="22"/>
          </w:rPr>
          <w:sym w:font="Symbol" w:char="F06D"/>
        </w:r>
        <w:r w:rsidRPr="008912CF">
          <w:rPr>
            <w:sz w:val="22"/>
            <w:szCs w:val="22"/>
          </w:rPr>
          <w:delText xml:space="preserve">g/ml para o grupo de Baixa Dose. As médias das concentrações </w:delText>
        </w:r>
        <w:r w:rsidR="001729C1">
          <w:rPr>
            <w:sz w:val="22"/>
            <w:szCs w:val="22"/>
          </w:rPr>
          <w:delText>de vale</w:delText>
        </w:r>
        <w:r w:rsidR="001729C1" w:rsidRPr="008912CF">
          <w:rPr>
            <w:sz w:val="22"/>
            <w:szCs w:val="22"/>
          </w:rPr>
          <w:delText xml:space="preserve"> </w:delText>
        </w:r>
        <w:r w:rsidRPr="008912CF">
          <w:rPr>
            <w:sz w:val="22"/>
            <w:szCs w:val="22"/>
          </w:rPr>
          <w:delText>foram mantidas em doentes que continuaram a receber o tratamento com adalimumab, em semanas alternadas, durante 52 semanas. Nos doentes em que a dose foi alterada do regime de semanas alternadas para regime semanal, a</w:delText>
        </w:r>
        <w:r w:rsidR="001729C1">
          <w:rPr>
            <w:sz w:val="22"/>
            <w:szCs w:val="22"/>
          </w:rPr>
          <w:delText>s</w:delText>
        </w:r>
        <w:r w:rsidRPr="008912CF">
          <w:rPr>
            <w:sz w:val="22"/>
            <w:szCs w:val="22"/>
          </w:rPr>
          <w:delText xml:space="preserve"> média</w:delText>
        </w:r>
        <w:r w:rsidR="001729C1">
          <w:rPr>
            <w:sz w:val="22"/>
            <w:szCs w:val="22"/>
          </w:rPr>
          <w:delText>s</w:delText>
        </w:r>
        <w:r w:rsidRPr="008912CF">
          <w:rPr>
            <w:sz w:val="22"/>
            <w:szCs w:val="22"/>
          </w:rPr>
          <w:delText xml:space="preserve"> (±</w:delText>
        </w:r>
        <w:r w:rsidR="0029007D">
          <w:rPr>
            <w:sz w:val="22"/>
            <w:szCs w:val="22"/>
          </w:rPr>
          <w:delText xml:space="preserve"> </w:delText>
        </w:r>
        <w:r w:rsidRPr="008912CF">
          <w:rPr>
            <w:sz w:val="22"/>
            <w:szCs w:val="22"/>
          </w:rPr>
          <w:delText>DP) das concentrações séricas de adalimumab na Semana 52 foram 15,3</w:delText>
        </w:r>
        <w:r w:rsidR="0029007D">
          <w:rPr>
            <w:sz w:val="22"/>
            <w:szCs w:val="22"/>
          </w:rPr>
          <w:delText xml:space="preserve"> </w:delText>
        </w:r>
        <w:r w:rsidRPr="008912CF">
          <w:rPr>
            <w:sz w:val="22"/>
            <w:szCs w:val="22"/>
          </w:rPr>
          <w:delText>±</w:delText>
        </w:r>
        <w:r w:rsidR="0029007D">
          <w:rPr>
            <w:sz w:val="22"/>
            <w:szCs w:val="22"/>
          </w:rPr>
          <w:delText xml:space="preserve"> </w:delText>
        </w:r>
        <w:r w:rsidRPr="008912CF">
          <w:rPr>
            <w:sz w:val="22"/>
            <w:szCs w:val="22"/>
          </w:rPr>
          <w:delText>11,4 μg/ml (40/20 mg, semanalmente) e 6,7</w:delText>
        </w:r>
        <w:r w:rsidR="0029007D">
          <w:rPr>
            <w:sz w:val="22"/>
            <w:szCs w:val="22"/>
          </w:rPr>
          <w:delText xml:space="preserve"> </w:delText>
        </w:r>
        <w:r w:rsidRPr="008912CF">
          <w:rPr>
            <w:sz w:val="22"/>
            <w:szCs w:val="22"/>
          </w:rPr>
          <w:delText>±</w:delText>
        </w:r>
        <w:r w:rsidR="0029007D">
          <w:rPr>
            <w:sz w:val="22"/>
            <w:szCs w:val="22"/>
          </w:rPr>
          <w:delText xml:space="preserve"> </w:delText>
        </w:r>
        <w:r w:rsidRPr="008912CF">
          <w:rPr>
            <w:sz w:val="22"/>
            <w:szCs w:val="22"/>
          </w:rPr>
          <w:delText>3,5 μg/ml (20/10 mg, semanalmente).</w:delText>
        </w:r>
      </w:del>
    </w:p>
    <w:p w14:paraId="2C07F648" w14:textId="43DEFE4C" w:rsidR="004462A0" w:rsidRPr="008912CF" w:rsidRDefault="004462A0" w:rsidP="00412FC8">
      <w:pPr>
        <w:rPr>
          <w:del w:id="11154" w:author="AbbVie2" w:date="2025-05-13T16:39:00Z"/>
          <w:sz w:val="22"/>
          <w:szCs w:val="22"/>
        </w:rPr>
      </w:pPr>
    </w:p>
    <w:p w14:paraId="487FF6AE" w14:textId="43296704" w:rsidR="004462A0" w:rsidRPr="008912CF" w:rsidRDefault="00615769" w:rsidP="00412FC8">
      <w:pPr>
        <w:rPr>
          <w:del w:id="11155" w:author="AbbVie2" w:date="2025-05-13T16:39:00Z"/>
        </w:rPr>
      </w:pPr>
      <w:del w:id="11156" w:author="AbbVie2" w:date="2025-05-13T16:39:00Z">
        <w:r w:rsidRPr="008912CF">
          <w:rPr>
            <w:sz w:val="22"/>
            <w:szCs w:val="22"/>
          </w:rPr>
          <w:delText>Em doentes com colite ulcerosa, uma dose</w:delText>
        </w:r>
        <w:r w:rsidR="001729C1">
          <w:rPr>
            <w:sz w:val="22"/>
            <w:szCs w:val="22"/>
          </w:rPr>
          <w:delText xml:space="preserve"> de carga</w:delText>
        </w:r>
        <w:r w:rsidRPr="008912CF">
          <w:rPr>
            <w:sz w:val="22"/>
            <w:szCs w:val="22"/>
          </w:rPr>
          <w:delText xml:space="preserve"> de 160 mg de Humira na Semana 0 seguida de 80 mg de Humira na Semana 2 atinge uma concentração sérica de </w:delText>
        </w:r>
        <w:r w:rsidR="001729C1">
          <w:rPr>
            <w:sz w:val="22"/>
            <w:szCs w:val="22"/>
          </w:rPr>
          <w:delText>vale</w:delText>
        </w:r>
        <w:r w:rsidR="001729C1" w:rsidRPr="008912CF">
          <w:rPr>
            <w:sz w:val="22"/>
            <w:szCs w:val="22"/>
          </w:rPr>
          <w:delText xml:space="preserve"> </w:delText>
        </w:r>
        <w:r w:rsidR="001729C1">
          <w:rPr>
            <w:sz w:val="22"/>
            <w:szCs w:val="22"/>
          </w:rPr>
          <w:delText>de</w:delText>
        </w:r>
        <w:r w:rsidRPr="008912CF">
          <w:rPr>
            <w:sz w:val="22"/>
            <w:szCs w:val="22"/>
          </w:rPr>
          <w:delText xml:space="preserve"> adalimumab de aproximadamente 12 </w:delText>
        </w:r>
        <w:r w:rsidRPr="008912CF">
          <w:rPr>
            <w:rFonts w:ascii="Symbol" w:hAnsi="Symbol"/>
            <w:sz w:val="22"/>
            <w:szCs w:val="22"/>
          </w:rPr>
          <w:sym w:font="Symbol" w:char="F06D"/>
        </w:r>
        <w:r w:rsidRPr="008912CF">
          <w:rPr>
            <w:sz w:val="22"/>
            <w:szCs w:val="22"/>
          </w:rPr>
          <w:delText xml:space="preserve">g/ml durante o período de indução. Observaram-se níveis médios </w:delText>
        </w:r>
        <w:r w:rsidR="001729C1">
          <w:rPr>
            <w:sz w:val="22"/>
            <w:szCs w:val="22"/>
          </w:rPr>
          <w:delText xml:space="preserve">de vale </w:delText>
        </w:r>
        <w:r w:rsidRPr="008912CF">
          <w:rPr>
            <w:sz w:val="22"/>
            <w:szCs w:val="22"/>
          </w:rPr>
          <w:delText>em estado de equilíbrio de aproximadamente 8 </w:delText>
        </w:r>
        <w:r w:rsidRPr="008912CF">
          <w:rPr>
            <w:rFonts w:ascii="Symbol" w:hAnsi="Symbol"/>
            <w:sz w:val="22"/>
            <w:szCs w:val="22"/>
          </w:rPr>
          <w:sym w:font="Symbol" w:char="F06D"/>
        </w:r>
        <w:r w:rsidRPr="008912CF">
          <w:rPr>
            <w:sz w:val="22"/>
            <w:szCs w:val="22"/>
          </w:rPr>
          <w:delText>g/ml em doentes com colite ulcerosa que receberam uma dose de manutenção de 40 mg de Humira em semanas alternadas</w:delText>
        </w:r>
        <w:r w:rsidR="00D22E86">
          <w:rPr>
            <w:sz w:val="22"/>
            <w:szCs w:val="22"/>
          </w:rPr>
          <w:delText>.</w:delText>
        </w:r>
      </w:del>
    </w:p>
    <w:p w14:paraId="702758D6" w14:textId="2661DF1E" w:rsidR="004462A0" w:rsidRDefault="004462A0" w:rsidP="00412FC8">
      <w:pPr>
        <w:rPr>
          <w:del w:id="11157" w:author="AbbVie2" w:date="2025-05-13T16:39:00Z"/>
          <w:sz w:val="22"/>
          <w:szCs w:val="22"/>
        </w:rPr>
      </w:pPr>
    </w:p>
    <w:p w14:paraId="3087EB9A" w14:textId="7ADFAF02" w:rsidR="00D22E86" w:rsidRDefault="00615769" w:rsidP="00412FC8">
      <w:pPr>
        <w:rPr>
          <w:del w:id="11158" w:author="AbbVie2" w:date="2025-05-13T16:39:00Z"/>
          <w:sz w:val="22"/>
          <w:szCs w:val="22"/>
        </w:rPr>
      </w:pPr>
      <w:del w:id="11159" w:author="AbbVie2" w:date="2025-05-13T16:39:00Z">
        <w:r w:rsidRPr="007916BF">
          <w:rPr>
            <w:sz w:val="22"/>
            <w:szCs w:val="22"/>
          </w:rPr>
          <w:delText>Após a administração subcutânea da dose baseada no peso cor</w:delText>
        </w:r>
        <w:r>
          <w:rPr>
            <w:sz w:val="22"/>
            <w:szCs w:val="22"/>
          </w:rPr>
          <w:delText>poral de 0,6 mg/kg (máximo de</w:delText>
        </w:r>
        <w:r w:rsidRPr="007916BF">
          <w:rPr>
            <w:sz w:val="22"/>
            <w:szCs w:val="22"/>
          </w:rPr>
          <w:delText xml:space="preserve"> 40 mg) em semanas alternadas a doentes pediátricos com colite ulcerosa, a média da concentração sérica de adalimumab na região de vale da curva em estado de equilíbrio foi de 5,01 ± 3,28 µg/ml na Semana 52.</w:delText>
        </w:r>
        <w:r>
          <w:rPr>
            <w:sz w:val="22"/>
            <w:szCs w:val="22"/>
          </w:rPr>
          <w:delText xml:space="preserve"> </w:delText>
        </w:r>
        <w:r w:rsidRPr="007916BF">
          <w:rPr>
            <w:sz w:val="22"/>
            <w:szCs w:val="22"/>
          </w:rPr>
          <w:delText>Para os doentes que receberam 0,6 mg/kg (máximo de 40 mg) semanalmente, a média (± DP) da concentração sérica de adalimumab na região de vale da curva em estado de equilíbrio foi de 15,7 ± 5,60 μg/ml na Semana 52.</w:delText>
        </w:r>
      </w:del>
    </w:p>
    <w:p w14:paraId="69662F1C" w14:textId="7249D07E" w:rsidR="00D22E86" w:rsidRDefault="00D22E86" w:rsidP="00412FC8">
      <w:pPr>
        <w:rPr>
          <w:del w:id="11160" w:author="AbbVie2" w:date="2025-05-13T16:39:00Z"/>
          <w:sz w:val="22"/>
          <w:szCs w:val="22"/>
        </w:rPr>
      </w:pPr>
    </w:p>
    <w:p w14:paraId="102A3FE8" w14:textId="3D9BACEB" w:rsidR="004462A0" w:rsidRPr="00923E1E" w:rsidRDefault="00615769" w:rsidP="00412FC8">
      <w:pPr>
        <w:rPr>
          <w:del w:id="11161" w:author="AbbVie2" w:date="2025-05-13T16:39:00Z"/>
          <w:sz w:val="22"/>
          <w:szCs w:val="22"/>
        </w:rPr>
      </w:pPr>
      <w:del w:id="11162" w:author="AbbVie2" w:date="2025-05-13T16:39:00Z">
        <w:r>
          <w:rPr>
            <w:sz w:val="22"/>
            <w:szCs w:val="22"/>
          </w:rPr>
          <w:delText xml:space="preserve">Em doentes </w:delText>
        </w:r>
        <w:r w:rsidR="00B52A81">
          <w:rPr>
            <w:sz w:val="22"/>
            <w:szCs w:val="22"/>
          </w:rPr>
          <w:delText xml:space="preserve">adultos </w:delText>
        </w:r>
        <w:r>
          <w:rPr>
            <w:sz w:val="22"/>
            <w:szCs w:val="22"/>
          </w:rPr>
          <w:delText xml:space="preserve">com uveíte, uma dose </w:delText>
        </w:r>
        <w:r w:rsidR="00784C05">
          <w:rPr>
            <w:sz w:val="22"/>
            <w:szCs w:val="22"/>
          </w:rPr>
          <w:delText xml:space="preserve">de carga </w:delText>
        </w:r>
        <w:r>
          <w:rPr>
            <w:sz w:val="22"/>
            <w:szCs w:val="22"/>
          </w:rPr>
          <w:delText xml:space="preserve">de 80 mg de adalimumab na </w:delText>
        </w:r>
        <w:r w:rsidR="00784C05">
          <w:rPr>
            <w:sz w:val="22"/>
            <w:szCs w:val="22"/>
          </w:rPr>
          <w:delText>S</w:delText>
        </w:r>
        <w:r>
          <w:rPr>
            <w:sz w:val="22"/>
            <w:szCs w:val="22"/>
          </w:rPr>
          <w:delText>emana 0, seguida de 40 mg de adalimumab em semanas alternadas</w:delText>
        </w:r>
        <w:r w:rsidR="00784C05">
          <w:rPr>
            <w:sz w:val="22"/>
            <w:szCs w:val="22"/>
          </w:rPr>
          <w:delText>,</w:delText>
        </w:r>
        <w:r>
          <w:rPr>
            <w:sz w:val="22"/>
            <w:szCs w:val="22"/>
          </w:rPr>
          <w:delText xml:space="preserve"> </w:delText>
        </w:r>
        <w:r w:rsidR="00784C05">
          <w:rPr>
            <w:sz w:val="22"/>
            <w:szCs w:val="22"/>
          </w:rPr>
          <w:delText>com início na</w:delText>
        </w:r>
        <w:r>
          <w:rPr>
            <w:sz w:val="22"/>
            <w:szCs w:val="22"/>
          </w:rPr>
          <w:delText xml:space="preserve"> Semana 1, </w:delText>
        </w:r>
        <w:r w:rsidRPr="000558DD">
          <w:rPr>
            <w:sz w:val="22"/>
            <w:szCs w:val="22"/>
          </w:rPr>
          <w:delText>originou</w:delText>
        </w:r>
        <w:r w:rsidRPr="009C739B">
          <w:rPr>
            <w:sz w:val="22"/>
            <w:szCs w:val="22"/>
          </w:rPr>
          <w:delText xml:space="preserve"> concentraç</w:delText>
        </w:r>
        <w:r w:rsidR="00784C05">
          <w:rPr>
            <w:sz w:val="22"/>
            <w:szCs w:val="22"/>
          </w:rPr>
          <w:delText>ões médias</w:delText>
        </w:r>
        <w:r w:rsidRPr="009C739B">
          <w:rPr>
            <w:sz w:val="22"/>
            <w:szCs w:val="22"/>
          </w:rPr>
          <w:delText xml:space="preserve"> em estad</w:delText>
        </w:r>
        <w:r>
          <w:rPr>
            <w:sz w:val="22"/>
            <w:szCs w:val="22"/>
          </w:rPr>
          <w:delText>o</w:delText>
        </w:r>
        <w:r w:rsidRPr="009C739B">
          <w:rPr>
            <w:sz w:val="22"/>
            <w:szCs w:val="22"/>
          </w:rPr>
          <w:delText xml:space="preserve"> de equilíbrio d</w:delText>
        </w:r>
        <w:r w:rsidRPr="000558DD">
          <w:rPr>
            <w:sz w:val="22"/>
            <w:szCs w:val="22"/>
          </w:rPr>
          <w:delText>e aproximadamente 8 a 10 </w:delText>
        </w:r>
        <w:r w:rsidRPr="000558DD">
          <w:rPr>
            <w:rFonts w:ascii="Symbol" w:hAnsi="Symbol"/>
            <w:sz w:val="22"/>
            <w:szCs w:val="22"/>
            <w:lang w:val="en-GB"/>
          </w:rPr>
          <w:sym w:font="Symbol" w:char="F06D"/>
        </w:r>
        <w:r w:rsidRPr="000558DD">
          <w:rPr>
            <w:sz w:val="22"/>
            <w:szCs w:val="22"/>
          </w:rPr>
          <w:delText>g/ml.</w:delText>
        </w:r>
      </w:del>
    </w:p>
    <w:p w14:paraId="3FE26EFD" w14:textId="18459561" w:rsidR="004462A0" w:rsidRDefault="004462A0" w:rsidP="00412FC8">
      <w:pPr>
        <w:rPr>
          <w:del w:id="11163" w:author="AbbVie2" w:date="2025-05-13T16:39:00Z"/>
          <w:sz w:val="22"/>
          <w:szCs w:val="22"/>
        </w:rPr>
      </w:pPr>
    </w:p>
    <w:p w14:paraId="6CC8B33A" w14:textId="04E50D9C" w:rsidR="000C224C" w:rsidRDefault="00615769" w:rsidP="00412FC8">
      <w:pPr>
        <w:rPr>
          <w:del w:id="11164" w:author="AbbVie2" w:date="2025-05-13T16:39:00Z"/>
          <w:sz w:val="22"/>
          <w:szCs w:val="22"/>
        </w:rPr>
      </w:pPr>
      <w:del w:id="11165" w:author="AbbVie2" w:date="2025-05-13T16:39:00Z">
        <w:r w:rsidRPr="00CC4B51">
          <w:rPr>
            <w:sz w:val="22"/>
            <w:szCs w:val="22"/>
          </w:rPr>
          <w:delText xml:space="preserve">A exposição de adalimumab em doentes </w:delText>
        </w:r>
        <w:r>
          <w:rPr>
            <w:sz w:val="22"/>
            <w:szCs w:val="22"/>
          </w:rPr>
          <w:delText>pediátricos com uveíte</w:delText>
        </w:r>
        <w:r w:rsidRPr="00CC4B51">
          <w:rPr>
            <w:sz w:val="22"/>
            <w:szCs w:val="22"/>
          </w:rPr>
          <w:delText xml:space="preserve"> foi </w:delText>
        </w:r>
        <w:r>
          <w:rPr>
            <w:sz w:val="22"/>
            <w:szCs w:val="22"/>
          </w:rPr>
          <w:delText>avaliada</w:delText>
        </w:r>
        <w:r w:rsidRPr="00CC4B51">
          <w:rPr>
            <w:sz w:val="22"/>
            <w:szCs w:val="22"/>
          </w:rPr>
          <w:delText xml:space="preserve"> utilizando modelos farmacocinéticos e de simulação na população, baseados na farmacocinética nas várias indicações em outros doentes pediátricos (psoríase pediátrica, artrite idiopática juvenil, doença de Crohn pediátrica e artrite relacionada com entesite).</w:delText>
        </w:r>
        <w:r>
          <w:rPr>
            <w:sz w:val="22"/>
            <w:szCs w:val="22"/>
          </w:rPr>
          <w:delText xml:space="preserve"> Não existem dados clínicos de exposição sobre a utilização de uma dose de carga em crianças &lt; 6 anos de idade. As exposições avaliadas indicam que na ausência de metotrexato, uma dose de carga pode levar a um aumento </w:delText>
        </w:r>
        <w:r>
          <w:rPr>
            <w:sz w:val="22"/>
            <w:szCs w:val="22"/>
          </w:rPr>
          <w:delText>inicial da exposição sistémica.</w:delText>
        </w:r>
      </w:del>
    </w:p>
    <w:p w14:paraId="6A90B7AC" w14:textId="6247BB17" w:rsidR="000C224C" w:rsidRDefault="000C224C" w:rsidP="00412FC8">
      <w:pPr>
        <w:rPr>
          <w:del w:id="11166" w:author="AbbVie2" w:date="2025-05-13T16:39:00Z"/>
          <w:sz w:val="22"/>
          <w:szCs w:val="22"/>
        </w:rPr>
      </w:pPr>
    </w:p>
    <w:p w14:paraId="4CE32836" w14:textId="4AD254DE" w:rsidR="001B54B4" w:rsidRPr="008D5866" w:rsidRDefault="00615769" w:rsidP="00412FC8">
      <w:pPr>
        <w:rPr>
          <w:del w:id="11167" w:author="AbbVie2" w:date="2025-05-13T16:39:00Z"/>
          <w:sz w:val="22"/>
          <w:szCs w:val="22"/>
        </w:rPr>
      </w:pPr>
      <w:del w:id="11168" w:author="AbbVie2" w:date="2025-05-13T16:39:00Z">
        <w:r w:rsidRPr="008D5866">
          <w:rPr>
            <w:sz w:val="22"/>
            <w:szCs w:val="22"/>
          </w:rPr>
          <w:delText>A farmacocinética populacional e a modelação e simulação farmacocinética/farmacodinâmica previram exposição e eficácia comparáveis de adalimumab em doentes tratados com 80 mg em semanas alternadas comparativamente a 40 mg por semana (incluindo doentes adultos com artrite reumatoide, hidradenite supurativa, colite ulcerosa, doença de Crohn ou psoríase, doentes adolescentes com hidradenite supurativa, e doentes pediátricos ≥ 40 kg com doença de Crohn</w:delText>
        </w:r>
        <w:r w:rsidR="00D22E86">
          <w:rPr>
            <w:sz w:val="22"/>
            <w:szCs w:val="22"/>
          </w:rPr>
          <w:delText xml:space="preserve"> e colite ulcerosa</w:delText>
        </w:r>
        <w:r w:rsidRPr="008D5866">
          <w:rPr>
            <w:sz w:val="22"/>
            <w:szCs w:val="22"/>
          </w:rPr>
          <w:delText>).</w:delText>
        </w:r>
      </w:del>
    </w:p>
    <w:p w14:paraId="418A7A95" w14:textId="020EAC9B" w:rsidR="001B54B4" w:rsidRDefault="001B54B4" w:rsidP="00412FC8">
      <w:pPr>
        <w:rPr>
          <w:del w:id="11169" w:author="AbbVie2" w:date="2025-05-13T16:39:00Z"/>
        </w:rPr>
      </w:pPr>
    </w:p>
    <w:p w14:paraId="788D6D3C" w14:textId="10C8023E" w:rsidR="00B52A81" w:rsidRPr="00AA7352" w:rsidRDefault="00615769" w:rsidP="00412FC8">
      <w:pPr>
        <w:rPr>
          <w:del w:id="11170" w:author="AbbVie2" w:date="2025-05-13T16:39:00Z"/>
          <w:sz w:val="22"/>
          <w:szCs w:val="22"/>
          <w:u w:val="single"/>
        </w:rPr>
      </w:pPr>
      <w:del w:id="11171" w:author="AbbVie2" w:date="2025-05-13T16:39:00Z">
        <w:r w:rsidRPr="00AA7352">
          <w:rPr>
            <w:sz w:val="22"/>
            <w:szCs w:val="22"/>
            <w:u w:val="single"/>
          </w:rPr>
          <w:delText xml:space="preserve">Relação de exposição-resposta </w:delText>
        </w:r>
        <w:r w:rsidR="0016206C">
          <w:rPr>
            <w:sz w:val="22"/>
            <w:szCs w:val="22"/>
            <w:u w:val="single"/>
          </w:rPr>
          <w:delText>na população</w:delText>
        </w:r>
        <w:r w:rsidRPr="00AA7352">
          <w:rPr>
            <w:sz w:val="22"/>
            <w:szCs w:val="22"/>
            <w:u w:val="single"/>
          </w:rPr>
          <w:delText xml:space="preserve"> pediátric</w:delText>
        </w:r>
        <w:r w:rsidR="0016206C">
          <w:rPr>
            <w:sz w:val="22"/>
            <w:szCs w:val="22"/>
            <w:u w:val="single"/>
          </w:rPr>
          <w:delText>a</w:delText>
        </w:r>
      </w:del>
    </w:p>
    <w:p w14:paraId="64A47F18" w14:textId="640ACCFA" w:rsidR="00B52A81" w:rsidRPr="00395D60" w:rsidRDefault="00B52A81" w:rsidP="00412FC8">
      <w:pPr>
        <w:rPr>
          <w:del w:id="11172" w:author="AbbVie2" w:date="2025-05-13T16:39:00Z"/>
          <w:sz w:val="22"/>
          <w:szCs w:val="22"/>
        </w:rPr>
      </w:pPr>
    </w:p>
    <w:p w14:paraId="15ACB5EE" w14:textId="2CD3942C" w:rsidR="00B52A81" w:rsidRPr="00395D60" w:rsidRDefault="00615769" w:rsidP="00412FC8">
      <w:pPr>
        <w:rPr>
          <w:del w:id="11173" w:author="AbbVie2" w:date="2025-05-13T16:39:00Z"/>
          <w:sz w:val="22"/>
          <w:szCs w:val="22"/>
        </w:rPr>
      </w:pPr>
      <w:del w:id="11174" w:author="AbbVie2" w:date="2025-05-13T16:39:00Z">
        <w:r w:rsidRPr="00395D60">
          <w:rPr>
            <w:bCs/>
            <w:iCs/>
            <w:sz w:val="22"/>
            <w:szCs w:val="22"/>
          </w:rPr>
          <w:delText>Com base nos dados obtidos dos ensaios clínicos efetuados em doentes com AIJ (AIJ poliarticular e ARE), foi estabelecida uma relação da exposição-resposta entre as concentrações plasm</w:delText>
        </w:r>
        <w:r w:rsidR="00D41FC8">
          <w:rPr>
            <w:bCs/>
            <w:iCs/>
            <w:sz w:val="22"/>
            <w:szCs w:val="22"/>
          </w:rPr>
          <w:delText>áticas</w:delText>
        </w:r>
        <w:r w:rsidRPr="00395D60">
          <w:rPr>
            <w:bCs/>
            <w:iCs/>
            <w:sz w:val="22"/>
            <w:szCs w:val="22"/>
          </w:rPr>
          <w:delText xml:space="preserve"> e a resposta ACR</w:delText>
        </w:r>
        <w:r w:rsidR="00212B10">
          <w:rPr>
            <w:bCs/>
            <w:iCs/>
            <w:sz w:val="22"/>
            <w:szCs w:val="22"/>
          </w:rPr>
          <w:delText xml:space="preserve"> Ped</w:delText>
        </w:r>
        <w:r w:rsidRPr="00395D60">
          <w:rPr>
            <w:bCs/>
            <w:iCs/>
            <w:sz w:val="22"/>
            <w:szCs w:val="22"/>
          </w:rPr>
          <w:delText xml:space="preserve"> 50. A concentração plasmática aparente de adalimumab que produz metade da proabilidade máxima de resposta ACR</w:delText>
        </w:r>
        <w:r w:rsidR="00212B10">
          <w:rPr>
            <w:bCs/>
            <w:iCs/>
            <w:sz w:val="22"/>
            <w:szCs w:val="22"/>
          </w:rPr>
          <w:delText xml:space="preserve"> Ped</w:delText>
        </w:r>
        <w:r w:rsidRPr="00395D60">
          <w:rPr>
            <w:bCs/>
            <w:iCs/>
            <w:sz w:val="22"/>
            <w:szCs w:val="22"/>
          </w:rPr>
          <w:delText xml:space="preserve"> 50 (EC50) foi de </w:delText>
        </w:r>
        <w:r w:rsidRPr="00395D60">
          <w:rPr>
            <w:sz w:val="22"/>
            <w:szCs w:val="22"/>
          </w:rPr>
          <w:delText>3 </w:delText>
        </w:r>
        <w:r w:rsidRPr="00395D60">
          <w:rPr>
            <w:sz w:val="22"/>
            <w:szCs w:val="22"/>
            <w:lang w:val="en-GB"/>
          </w:rPr>
          <w:delText>μ</w:delText>
        </w:r>
        <w:r w:rsidRPr="00395D60">
          <w:rPr>
            <w:sz w:val="22"/>
            <w:szCs w:val="22"/>
          </w:rPr>
          <w:delText>g/ml (</w:delText>
        </w:r>
        <w:r w:rsidR="0016206C">
          <w:rPr>
            <w:sz w:val="22"/>
            <w:szCs w:val="22"/>
          </w:rPr>
          <w:delText xml:space="preserve">IC </w:delText>
        </w:r>
        <w:r w:rsidRPr="00395D60">
          <w:rPr>
            <w:sz w:val="22"/>
            <w:szCs w:val="22"/>
          </w:rPr>
          <w:delText>95%: 1</w:delText>
        </w:r>
        <w:r w:rsidRPr="00395D60">
          <w:rPr>
            <w:sz w:val="22"/>
            <w:szCs w:val="22"/>
          </w:rPr>
          <w:noBreakHyphen/>
          <w:delText>6 </w:delText>
        </w:r>
        <w:r w:rsidRPr="00395D60">
          <w:rPr>
            <w:sz w:val="22"/>
            <w:szCs w:val="22"/>
            <w:lang w:val="en-GB"/>
          </w:rPr>
          <w:delText>μ</w:delText>
        </w:r>
        <w:r w:rsidRPr="00395D60">
          <w:rPr>
            <w:sz w:val="22"/>
            <w:szCs w:val="22"/>
          </w:rPr>
          <w:delText>g/ml).</w:delText>
        </w:r>
      </w:del>
    </w:p>
    <w:p w14:paraId="1DCC28C1" w14:textId="4BE8221E" w:rsidR="00B52A81" w:rsidRPr="00395D60" w:rsidRDefault="00B52A81" w:rsidP="00412FC8">
      <w:pPr>
        <w:rPr>
          <w:del w:id="11175" w:author="AbbVie2" w:date="2025-05-13T16:39:00Z"/>
          <w:sz w:val="22"/>
          <w:szCs w:val="22"/>
        </w:rPr>
      </w:pPr>
    </w:p>
    <w:p w14:paraId="3C443DEB" w14:textId="689B1870" w:rsidR="00B52A81" w:rsidRPr="00395D60" w:rsidRDefault="00615769" w:rsidP="00412FC8">
      <w:pPr>
        <w:rPr>
          <w:del w:id="11176" w:author="AbbVie2" w:date="2025-05-13T16:39:00Z"/>
          <w:bCs/>
          <w:iCs/>
          <w:sz w:val="22"/>
          <w:szCs w:val="22"/>
        </w:rPr>
      </w:pPr>
      <w:del w:id="11177" w:author="AbbVie2" w:date="2025-05-13T16:39:00Z">
        <w:r w:rsidRPr="00395D60">
          <w:rPr>
            <w:bCs/>
            <w:iCs/>
            <w:sz w:val="22"/>
            <w:szCs w:val="22"/>
          </w:rPr>
          <w:delText xml:space="preserve">As relações de exposição-resposta entre a concentração de adalimumab e a eficácia em doentes pediátricos com psoríase em placas crónica </w:delText>
        </w:r>
        <w:r w:rsidR="0016206C">
          <w:rPr>
            <w:bCs/>
            <w:iCs/>
            <w:sz w:val="22"/>
            <w:szCs w:val="22"/>
          </w:rPr>
          <w:delText xml:space="preserve">grave </w:delText>
        </w:r>
        <w:r w:rsidRPr="00395D60">
          <w:rPr>
            <w:bCs/>
            <w:iCs/>
            <w:sz w:val="22"/>
            <w:szCs w:val="22"/>
          </w:rPr>
          <w:delText xml:space="preserve">foram estabelecidas </w:delText>
        </w:r>
        <w:r w:rsidR="0016206C">
          <w:rPr>
            <w:bCs/>
            <w:iCs/>
            <w:sz w:val="22"/>
            <w:szCs w:val="22"/>
          </w:rPr>
          <w:delText>para</w:delText>
        </w:r>
        <w:r w:rsidR="0016206C" w:rsidRPr="00395D60">
          <w:rPr>
            <w:bCs/>
            <w:iCs/>
            <w:sz w:val="22"/>
            <w:szCs w:val="22"/>
          </w:rPr>
          <w:delText xml:space="preserve"> </w:delText>
        </w:r>
        <w:r w:rsidRPr="00395D60">
          <w:rPr>
            <w:bCs/>
            <w:iCs/>
            <w:sz w:val="22"/>
            <w:szCs w:val="22"/>
          </w:rPr>
          <w:delText xml:space="preserve">PASI 75 e PGA </w:delText>
        </w:r>
        <w:r w:rsidR="00331BCF">
          <w:rPr>
            <w:bCs/>
            <w:iCs/>
            <w:sz w:val="22"/>
            <w:szCs w:val="22"/>
          </w:rPr>
          <w:delText>limp</w:delText>
        </w:r>
        <w:r w:rsidR="0016206C">
          <w:rPr>
            <w:bCs/>
            <w:iCs/>
            <w:sz w:val="22"/>
            <w:szCs w:val="22"/>
          </w:rPr>
          <w:delText>a</w:delText>
        </w:r>
        <w:r w:rsidRPr="00395D60">
          <w:rPr>
            <w:bCs/>
            <w:iCs/>
            <w:sz w:val="22"/>
            <w:szCs w:val="22"/>
          </w:rPr>
          <w:delText xml:space="preserve"> ou </w:delText>
        </w:r>
        <w:r w:rsidR="0016206C">
          <w:rPr>
            <w:bCs/>
            <w:iCs/>
            <w:sz w:val="22"/>
            <w:szCs w:val="22"/>
          </w:rPr>
          <w:delText>quase limpa</w:delText>
        </w:r>
        <w:r w:rsidRPr="00395D60">
          <w:rPr>
            <w:bCs/>
            <w:iCs/>
            <w:sz w:val="22"/>
            <w:szCs w:val="22"/>
          </w:rPr>
          <w:delText xml:space="preserve">, respetivamente. PASI 75 e PGA </w:delText>
        </w:r>
        <w:r w:rsidR="00331BCF">
          <w:rPr>
            <w:bCs/>
            <w:iCs/>
            <w:sz w:val="22"/>
            <w:szCs w:val="22"/>
          </w:rPr>
          <w:delText>limp</w:delText>
        </w:r>
        <w:r w:rsidR="0016206C">
          <w:rPr>
            <w:bCs/>
            <w:iCs/>
            <w:sz w:val="22"/>
            <w:szCs w:val="22"/>
          </w:rPr>
          <w:delText>a</w:delText>
        </w:r>
        <w:r w:rsidRPr="00395D60">
          <w:rPr>
            <w:bCs/>
            <w:iCs/>
            <w:sz w:val="22"/>
            <w:szCs w:val="22"/>
          </w:rPr>
          <w:delText xml:space="preserve"> ou </w:delText>
        </w:r>
        <w:r w:rsidR="0016206C">
          <w:rPr>
            <w:bCs/>
            <w:iCs/>
            <w:sz w:val="22"/>
            <w:szCs w:val="22"/>
          </w:rPr>
          <w:delText>quase limpa</w:delText>
        </w:r>
        <w:r w:rsidR="0016206C" w:rsidRPr="00395D60">
          <w:rPr>
            <w:bCs/>
            <w:iCs/>
            <w:sz w:val="22"/>
            <w:szCs w:val="22"/>
          </w:rPr>
          <w:delText xml:space="preserve"> </w:delText>
        </w:r>
        <w:r w:rsidRPr="00395D60">
          <w:rPr>
            <w:bCs/>
            <w:iCs/>
            <w:sz w:val="22"/>
            <w:szCs w:val="22"/>
          </w:rPr>
          <w:delText>aumentaram com o aumento das concentrações de adalimumab, ambas com um EC50 aparentemente idêntico de aproximadamente 4,5</w:delText>
        </w:r>
        <w:r w:rsidRPr="00395D60">
          <w:rPr>
            <w:sz w:val="22"/>
            <w:szCs w:val="22"/>
          </w:rPr>
          <w:delText> </w:delText>
        </w:r>
        <w:r w:rsidRPr="00395D60">
          <w:rPr>
            <w:sz w:val="22"/>
            <w:szCs w:val="22"/>
            <w:lang w:val="en-GB"/>
          </w:rPr>
          <w:delText>μ</w:delText>
        </w:r>
        <w:r w:rsidRPr="00395D60">
          <w:rPr>
            <w:sz w:val="22"/>
            <w:szCs w:val="22"/>
          </w:rPr>
          <w:delText>g/ml (</w:delText>
        </w:r>
        <w:r w:rsidR="0016206C">
          <w:rPr>
            <w:sz w:val="22"/>
            <w:szCs w:val="22"/>
          </w:rPr>
          <w:delText xml:space="preserve">IC </w:delText>
        </w:r>
        <w:r w:rsidRPr="00395D60">
          <w:rPr>
            <w:sz w:val="22"/>
            <w:szCs w:val="22"/>
          </w:rPr>
          <w:delText>95%</w:delText>
        </w:r>
        <w:r w:rsidR="0016206C">
          <w:rPr>
            <w:sz w:val="22"/>
            <w:szCs w:val="22"/>
          </w:rPr>
          <w:delText>:</w:delText>
        </w:r>
        <w:r w:rsidRPr="00395D60">
          <w:rPr>
            <w:sz w:val="22"/>
            <w:szCs w:val="22"/>
          </w:rPr>
          <w:delText xml:space="preserve"> 0,4-47,6 e 1,9-10,5, respetivamente</w:delText>
        </w:r>
        <w:r w:rsidR="00784C05">
          <w:rPr>
            <w:sz w:val="22"/>
            <w:szCs w:val="22"/>
          </w:rPr>
          <w:delText>).</w:delText>
        </w:r>
      </w:del>
    </w:p>
    <w:p w14:paraId="210836FE" w14:textId="21058084" w:rsidR="00B52A81" w:rsidRPr="008912CF" w:rsidRDefault="00B52A81" w:rsidP="00412FC8">
      <w:pPr>
        <w:rPr>
          <w:del w:id="11178" w:author="AbbVie2" w:date="2025-05-13T16:39:00Z"/>
          <w:sz w:val="22"/>
          <w:szCs w:val="22"/>
        </w:rPr>
      </w:pPr>
    </w:p>
    <w:p w14:paraId="533260D9" w14:textId="4A0B0270" w:rsidR="004462A0" w:rsidRPr="008912CF" w:rsidRDefault="00615769">
      <w:pPr>
        <w:rPr>
          <w:del w:id="11179" w:author="AbbVie2" w:date="2025-05-13T16:39:00Z"/>
          <w:sz w:val="22"/>
          <w:szCs w:val="22"/>
          <w:u w:val="single"/>
        </w:rPr>
        <w:pPrChange w:id="11180" w:author="AbbVie2" w:date="2025-05-13T16:40:00Z">
          <w:pPr>
            <w:keepNext/>
          </w:pPr>
        </w:pPrChange>
      </w:pPr>
      <w:del w:id="11181" w:author="AbbVie2" w:date="2025-05-13T16:39:00Z">
        <w:r w:rsidRPr="008912CF">
          <w:rPr>
            <w:sz w:val="22"/>
            <w:szCs w:val="22"/>
            <w:u w:val="single"/>
          </w:rPr>
          <w:delText>Eliminação</w:delText>
        </w:r>
      </w:del>
    </w:p>
    <w:p w14:paraId="4EBA55F9" w14:textId="23694F0B" w:rsidR="004462A0" w:rsidRPr="008912CF" w:rsidRDefault="004462A0">
      <w:pPr>
        <w:rPr>
          <w:del w:id="11182" w:author="AbbVie2" w:date="2025-05-13T16:39:00Z"/>
          <w:sz w:val="22"/>
          <w:szCs w:val="22"/>
        </w:rPr>
        <w:pPrChange w:id="11183" w:author="AbbVie2" w:date="2025-05-13T16:40:00Z">
          <w:pPr>
            <w:keepNext/>
          </w:pPr>
        </w:pPrChange>
      </w:pPr>
    </w:p>
    <w:p w14:paraId="5D8115EF" w14:textId="48B4B6D3" w:rsidR="004462A0" w:rsidRPr="008912CF" w:rsidRDefault="00615769">
      <w:pPr>
        <w:rPr>
          <w:del w:id="11184" w:author="AbbVie2" w:date="2025-05-13T16:39:00Z"/>
          <w:sz w:val="22"/>
          <w:szCs w:val="22"/>
        </w:rPr>
        <w:pPrChange w:id="11185" w:author="AbbVie2" w:date="2025-05-13T16:40:00Z">
          <w:pPr>
            <w:keepNext/>
          </w:pPr>
        </w:pPrChange>
      </w:pPr>
      <w:del w:id="11186" w:author="AbbVie2" w:date="2025-05-13T16:39:00Z">
        <w:r w:rsidRPr="008912CF">
          <w:rPr>
            <w:sz w:val="22"/>
            <w:szCs w:val="22"/>
          </w:rPr>
          <w:delText>As análises de farmacocinética da população que incluíram dados relativos a mais de 1300 doentes com AR revelaram uma tendência para uma maior depuração aparente de adalimumab em função do aumento do peso corporal. Após um ajustamento em relação às diferenças de peso, o sexo e a idade pareceram exercer um efeito mínimo sobre a depuração de adalimumab. Verificou-se que os níveis séricos de adalimumab livre (não ligado aos anticorpos anti</w:delText>
        </w:r>
        <w:r w:rsidR="00840424">
          <w:rPr>
            <w:sz w:val="22"/>
            <w:szCs w:val="22"/>
          </w:rPr>
          <w:delText>-</w:delText>
        </w:r>
        <w:r w:rsidRPr="008912CF">
          <w:rPr>
            <w:sz w:val="22"/>
            <w:szCs w:val="22"/>
          </w:rPr>
          <w:delText xml:space="preserve">adalimumab, AAA) eram mais baixos nos doentes com AAA mensurável. </w:delText>
        </w:r>
      </w:del>
    </w:p>
    <w:p w14:paraId="3C3361EB" w14:textId="57D6A5A0" w:rsidR="004462A0" w:rsidRPr="008912CF" w:rsidRDefault="004462A0" w:rsidP="00412FC8">
      <w:pPr>
        <w:rPr>
          <w:del w:id="11187" w:author="AbbVie2" w:date="2025-05-13T16:39:00Z"/>
          <w:sz w:val="22"/>
          <w:szCs w:val="22"/>
        </w:rPr>
      </w:pPr>
    </w:p>
    <w:p w14:paraId="1A404406" w14:textId="7BFD49B7" w:rsidR="004462A0" w:rsidRPr="008912CF" w:rsidRDefault="00615769">
      <w:pPr>
        <w:rPr>
          <w:del w:id="11188" w:author="AbbVie2" w:date="2025-05-13T16:39:00Z"/>
          <w:bCs/>
          <w:iCs/>
          <w:sz w:val="22"/>
          <w:szCs w:val="22"/>
          <w:u w:val="single"/>
        </w:rPr>
        <w:pPrChange w:id="11189" w:author="AbbVie2" w:date="2025-05-13T16:40:00Z">
          <w:pPr>
            <w:keepNext/>
          </w:pPr>
        </w:pPrChange>
      </w:pPr>
      <w:del w:id="11190" w:author="AbbVie2" w:date="2025-05-13T16:39:00Z">
        <w:r w:rsidRPr="008912CF">
          <w:rPr>
            <w:bCs/>
            <w:iCs/>
            <w:sz w:val="22"/>
            <w:szCs w:val="22"/>
            <w:u w:val="single"/>
          </w:rPr>
          <w:delText>Compromisso renal ou hepático</w:delText>
        </w:r>
      </w:del>
    </w:p>
    <w:p w14:paraId="2E7E50E1" w14:textId="3F01E505" w:rsidR="004462A0" w:rsidRPr="008912CF" w:rsidRDefault="004462A0">
      <w:pPr>
        <w:rPr>
          <w:del w:id="11191" w:author="AbbVie2" w:date="2025-05-13T16:39:00Z"/>
          <w:b/>
          <w:iCs/>
          <w:sz w:val="22"/>
          <w:szCs w:val="22"/>
        </w:rPr>
        <w:pPrChange w:id="11192" w:author="AbbVie2" w:date="2025-05-13T16:40:00Z">
          <w:pPr>
            <w:keepNext/>
          </w:pPr>
        </w:pPrChange>
      </w:pPr>
    </w:p>
    <w:p w14:paraId="3EF19224" w14:textId="2DE45A7F" w:rsidR="004462A0" w:rsidRPr="008912CF" w:rsidRDefault="00615769">
      <w:pPr>
        <w:rPr>
          <w:del w:id="11193" w:author="AbbVie2" w:date="2025-05-13T16:39:00Z"/>
          <w:sz w:val="22"/>
          <w:szCs w:val="22"/>
        </w:rPr>
        <w:pPrChange w:id="11194" w:author="AbbVie2" w:date="2025-05-13T16:40:00Z">
          <w:pPr>
            <w:keepNext/>
          </w:pPr>
        </w:pPrChange>
      </w:pPr>
      <w:del w:id="11195" w:author="AbbVie2" w:date="2025-05-13T16:39:00Z">
        <w:r w:rsidRPr="008912CF">
          <w:rPr>
            <w:bCs/>
            <w:iCs/>
            <w:sz w:val="22"/>
            <w:szCs w:val="22"/>
          </w:rPr>
          <w:delText>Humira não foi estudado em doentes com função renal ou hepática comprometida.</w:delText>
        </w:r>
      </w:del>
    </w:p>
    <w:p w14:paraId="54805714" w14:textId="2C708D89" w:rsidR="004462A0" w:rsidRPr="008912CF" w:rsidRDefault="004462A0" w:rsidP="00412FC8">
      <w:pPr>
        <w:rPr>
          <w:del w:id="11196" w:author="AbbVie2" w:date="2025-05-13T16:39:00Z"/>
          <w:sz w:val="22"/>
          <w:szCs w:val="22"/>
        </w:rPr>
      </w:pPr>
    </w:p>
    <w:p w14:paraId="5A997899" w14:textId="1556BB92" w:rsidR="004462A0" w:rsidRPr="008912CF" w:rsidRDefault="00615769" w:rsidP="00412FC8">
      <w:pPr>
        <w:rPr>
          <w:del w:id="11197" w:author="AbbVie2" w:date="2025-05-13T16:39:00Z"/>
          <w:b/>
          <w:sz w:val="22"/>
          <w:szCs w:val="22"/>
        </w:rPr>
      </w:pPr>
      <w:del w:id="11198" w:author="AbbVie2" w:date="2025-05-13T16:39:00Z">
        <w:r w:rsidRPr="008912CF">
          <w:rPr>
            <w:b/>
            <w:sz w:val="22"/>
            <w:szCs w:val="22"/>
          </w:rPr>
          <w:delText>5.3</w:delText>
        </w:r>
        <w:r w:rsidRPr="008912CF">
          <w:rPr>
            <w:b/>
            <w:sz w:val="22"/>
            <w:szCs w:val="22"/>
          </w:rPr>
          <w:tab/>
          <w:delText>Dados de segurança pré-clínica</w:delText>
        </w:r>
      </w:del>
    </w:p>
    <w:p w14:paraId="4CB479B8" w14:textId="3B667E1F" w:rsidR="004462A0" w:rsidRPr="008912CF" w:rsidRDefault="004462A0" w:rsidP="00412FC8">
      <w:pPr>
        <w:rPr>
          <w:del w:id="11199" w:author="AbbVie2" w:date="2025-05-13T16:39:00Z"/>
          <w:b/>
          <w:sz w:val="22"/>
          <w:szCs w:val="22"/>
        </w:rPr>
      </w:pPr>
    </w:p>
    <w:p w14:paraId="42AE7683" w14:textId="258610C6" w:rsidR="00E7501D" w:rsidRPr="008912CF" w:rsidRDefault="00615769">
      <w:pPr>
        <w:rPr>
          <w:del w:id="11200" w:author="AbbVie2" w:date="2025-05-13T16:39:00Z"/>
          <w:sz w:val="22"/>
          <w:szCs w:val="22"/>
        </w:rPr>
        <w:pPrChange w:id="11201" w:author="AbbVie2" w:date="2025-05-13T16:40:00Z">
          <w:pPr>
            <w:autoSpaceDE w:val="0"/>
            <w:autoSpaceDN w:val="0"/>
            <w:adjustRightInd w:val="0"/>
          </w:pPr>
        </w:pPrChange>
      </w:pPr>
      <w:del w:id="11202" w:author="AbbVie2" w:date="2025-05-13T16:39:00Z">
        <w:r>
          <w:rPr>
            <w:sz w:val="22"/>
            <w:szCs w:val="22"/>
          </w:rPr>
          <w:delText>Os dados não clínicos não revelam riscos</w:delText>
        </w:r>
        <w:r w:rsidRPr="008912CF">
          <w:rPr>
            <w:sz w:val="22"/>
            <w:szCs w:val="22"/>
          </w:rPr>
          <w:delText xml:space="preserve"> especia</w:delText>
        </w:r>
        <w:r>
          <w:rPr>
            <w:sz w:val="22"/>
            <w:szCs w:val="22"/>
          </w:rPr>
          <w:delText>is</w:delText>
        </w:r>
        <w:r w:rsidRPr="008912CF">
          <w:rPr>
            <w:sz w:val="22"/>
            <w:szCs w:val="22"/>
          </w:rPr>
          <w:delText xml:space="preserve"> para o ser humano</w:delText>
        </w:r>
        <w:r>
          <w:rPr>
            <w:sz w:val="22"/>
            <w:szCs w:val="22"/>
          </w:rPr>
          <w:delText>, segundo estudos convencionais de toxicidade de dose única, toxicidade de dose repetida e genotoxicidade</w:delText>
        </w:r>
        <w:r w:rsidRPr="008912CF">
          <w:rPr>
            <w:sz w:val="22"/>
            <w:szCs w:val="22"/>
          </w:rPr>
          <w:delText xml:space="preserve">. </w:delText>
        </w:r>
      </w:del>
    </w:p>
    <w:p w14:paraId="3A05644B" w14:textId="233E3900" w:rsidR="004462A0" w:rsidRPr="008912CF" w:rsidRDefault="004462A0" w:rsidP="00412FC8">
      <w:pPr>
        <w:rPr>
          <w:del w:id="11203" w:author="AbbVie2" w:date="2025-05-13T16:39:00Z"/>
          <w:sz w:val="22"/>
          <w:szCs w:val="22"/>
        </w:rPr>
      </w:pPr>
    </w:p>
    <w:p w14:paraId="7BE56FE1" w14:textId="51C41AD3" w:rsidR="004462A0" w:rsidRPr="008912CF" w:rsidRDefault="00615769" w:rsidP="00412FC8">
      <w:pPr>
        <w:rPr>
          <w:del w:id="11204" w:author="AbbVie2" w:date="2025-05-13T16:39:00Z"/>
          <w:sz w:val="22"/>
          <w:szCs w:val="22"/>
        </w:rPr>
      </w:pPr>
      <w:del w:id="11205" w:author="AbbVie2" w:date="2025-05-13T16:39:00Z">
        <w:r w:rsidRPr="008912CF">
          <w:rPr>
            <w:sz w:val="22"/>
            <w:szCs w:val="22"/>
          </w:rPr>
          <w:delText>Um estudo de toxicidade do desenvolvimento embrio-fetal/desenvolvimento perinatal, efetuado em macacos cynomolgus com doses de 0,</w:delText>
        </w:r>
        <w:r w:rsidR="00E7501D">
          <w:rPr>
            <w:sz w:val="22"/>
            <w:szCs w:val="22"/>
          </w:rPr>
          <w:delText xml:space="preserve"> </w:delText>
        </w:r>
        <w:r w:rsidRPr="008912CF">
          <w:rPr>
            <w:sz w:val="22"/>
            <w:szCs w:val="22"/>
          </w:rPr>
          <w:delText>30 e 100 mg/kg (9-17 macacos/grupo), não revelou qualquer evidência de lesão fetal resultante d</w:delText>
        </w:r>
        <w:r w:rsidR="003A4C51">
          <w:rPr>
            <w:sz w:val="22"/>
            <w:szCs w:val="22"/>
          </w:rPr>
          <w:delText>e</w:delText>
        </w:r>
        <w:r w:rsidRPr="008912CF">
          <w:rPr>
            <w:sz w:val="22"/>
            <w:szCs w:val="22"/>
          </w:rPr>
          <w:delText xml:space="preserve"> adalimumab. Não foram efetuados estudos de carcinogenicidade nem avaliações de rotina da fertilidade e da toxicidade pós-natal de adalimumab devido à ausência de modelos apropriados para um anticorpo com reatividade cruzada limitada ao TNF em roedores e ao desenvolvimento de anticorpos neutraliza</w:delText>
        </w:r>
        <w:r w:rsidR="00E7501D">
          <w:rPr>
            <w:sz w:val="22"/>
            <w:szCs w:val="22"/>
          </w:rPr>
          <w:delText>ntes</w:delText>
        </w:r>
        <w:r w:rsidRPr="008912CF">
          <w:rPr>
            <w:sz w:val="22"/>
            <w:szCs w:val="22"/>
          </w:rPr>
          <w:delText xml:space="preserve"> em roedores</w:delText>
        </w:r>
      </w:del>
    </w:p>
    <w:p w14:paraId="2C01F464" w14:textId="6B45E133" w:rsidR="004462A0" w:rsidRPr="008912CF" w:rsidRDefault="004462A0" w:rsidP="00412FC8">
      <w:pPr>
        <w:rPr>
          <w:del w:id="11206" w:author="AbbVie2" w:date="2025-05-13T16:39:00Z"/>
          <w:sz w:val="22"/>
          <w:szCs w:val="22"/>
        </w:rPr>
      </w:pPr>
    </w:p>
    <w:p w14:paraId="6209584C" w14:textId="72DD457B" w:rsidR="004462A0" w:rsidRPr="008912CF" w:rsidRDefault="004462A0" w:rsidP="00412FC8">
      <w:pPr>
        <w:rPr>
          <w:del w:id="11207" w:author="AbbVie2" w:date="2025-05-13T16:39:00Z"/>
          <w:sz w:val="22"/>
          <w:szCs w:val="22"/>
        </w:rPr>
      </w:pPr>
    </w:p>
    <w:p w14:paraId="1B8D4FC0" w14:textId="22A626BD" w:rsidR="004462A0" w:rsidRPr="008912CF" w:rsidRDefault="00615769">
      <w:pPr>
        <w:rPr>
          <w:del w:id="11208" w:author="AbbVie2" w:date="2025-05-13T16:39:00Z"/>
          <w:b/>
          <w:sz w:val="22"/>
          <w:szCs w:val="22"/>
        </w:rPr>
        <w:pPrChange w:id="11209" w:author="AbbVie2" w:date="2025-05-13T16:40:00Z">
          <w:pPr>
            <w:ind w:left="567" w:hanging="567"/>
          </w:pPr>
        </w:pPrChange>
      </w:pPr>
      <w:del w:id="11210" w:author="AbbVie2" w:date="2025-05-13T16:39:00Z">
        <w:r w:rsidRPr="008912CF">
          <w:rPr>
            <w:b/>
            <w:sz w:val="22"/>
            <w:szCs w:val="22"/>
          </w:rPr>
          <w:delText>6.</w:delText>
        </w:r>
        <w:r w:rsidRPr="008912CF">
          <w:rPr>
            <w:b/>
            <w:sz w:val="22"/>
            <w:szCs w:val="22"/>
          </w:rPr>
          <w:tab/>
          <w:delText xml:space="preserve">INFORMAÇÕES FARMACÊUTICAS </w:delText>
        </w:r>
      </w:del>
    </w:p>
    <w:p w14:paraId="1739410F" w14:textId="5B28D376" w:rsidR="004462A0" w:rsidRPr="008912CF" w:rsidRDefault="004462A0" w:rsidP="00412FC8">
      <w:pPr>
        <w:rPr>
          <w:del w:id="11211" w:author="AbbVie2" w:date="2025-05-13T16:39:00Z"/>
          <w:sz w:val="22"/>
          <w:szCs w:val="22"/>
        </w:rPr>
      </w:pPr>
    </w:p>
    <w:p w14:paraId="0A819ACB" w14:textId="22243A57" w:rsidR="004462A0" w:rsidRPr="008912CF" w:rsidRDefault="00615769">
      <w:pPr>
        <w:rPr>
          <w:del w:id="11212" w:author="AbbVie2" w:date="2025-05-13T16:39:00Z"/>
          <w:b/>
          <w:sz w:val="22"/>
          <w:szCs w:val="22"/>
          <w:highlight w:val="yellow"/>
        </w:rPr>
        <w:pPrChange w:id="11213" w:author="AbbVie2" w:date="2025-05-13T16:40:00Z">
          <w:pPr>
            <w:ind w:left="567" w:hanging="567"/>
          </w:pPr>
        </w:pPrChange>
      </w:pPr>
      <w:del w:id="11214" w:author="AbbVie2" w:date="2025-05-13T16:39:00Z">
        <w:r w:rsidRPr="008912CF">
          <w:rPr>
            <w:b/>
            <w:sz w:val="22"/>
            <w:szCs w:val="22"/>
          </w:rPr>
          <w:delText>6.1</w:delText>
        </w:r>
        <w:r w:rsidRPr="008912CF">
          <w:rPr>
            <w:b/>
            <w:sz w:val="22"/>
            <w:szCs w:val="22"/>
          </w:rPr>
          <w:tab/>
          <w:delText xml:space="preserve">Lista dos excipientes </w:delText>
        </w:r>
      </w:del>
    </w:p>
    <w:p w14:paraId="291C1605" w14:textId="62DEE675" w:rsidR="004462A0" w:rsidRPr="008912CF" w:rsidRDefault="004462A0">
      <w:pPr>
        <w:rPr>
          <w:del w:id="11215" w:author="AbbVie2" w:date="2025-05-13T16:39:00Z"/>
          <w:b/>
          <w:sz w:val="22"/>
          <w:szCs w:val="22"/>
        </w:rPr>
        <w:pPrChange w:id="11216" w:author="AbbVie2" w:date="2025-05-13T16:40:00Z">
          <w:pPr>
            <w:autoSpaceDE w:val="0"/>
            <w:autoSpaceDN w:val="0"/>
            <w:adjustRightInd w:val="0"/>
          </w:pPr>
        </w:pPrChange>
      </w:pPr>
    </w:p>
    <w:p w14:paraId="3585811A" w14:textId="4523B340" w:rsidR="004462A0" w:rsidRPr="008912CF" w:rsidRDefault="00615769">
      <w:pPr>
        <w:rPr>
          <w:del w:id="11217" w:author="AbbVie2" w:date="2025-05-13T16:39:00Z"/>
          <w:sz w:val="22"/>
          <w:szCs w:val="22"/>
        </w:rPr>
        <w:pPrChange w:id="11218" w:author="AbbVie2" w:date="2025-05-13T16:40:00Z">
          <w:pPr>
            <w:autoSpaceDE w:val="0"/>
            <w:autoSpaceDN w:val="0"/>
            <w:adjustRightInd w:val="0"/>
          </w:pPr>
        </w:pPrChange>
      </w:pPr>
      <w:del w:id="11219" w:author="AbbVie2" w:date="2025-05-13T16:39:00Z">
        <w:r w:rsidRPr="008912CF">
          <w:rPr>
            <w:sz w:val="22"/>
            <w:szCs w:val="22"/>
          </w:rPr>
          <w:delText>Manitol</w:delText>
        </w:r>
      </w:del>
    </w:p>
    <w:p w14:paraId="5DB6A0A1" w14:textId="76B34CF7" w:rsidR="004462A0" w:rsidRPr="008912CF" w:rsidRDefault="00615769">
      <w:pPr>
        <w:rPr>
          <w:del w:id="11220" w:author="AbbVie2" w:date="2025-05-13T16:39:00Z"/>
          <w:sz w:val="22"/>
          <w:szCs w:val="22"/>
        </w:rPr>
        <w:pPrChange w:id="11221" w:author="AbbVie2" w:date="2025-05-13T16:40:00Z">
          <w:pPr>
            <w:autoSpaceDE w:val="0"/>
            <w:autoSpaceDN w:val="0"/>
            <w:adjustRightInd w:val="0"/>
          </w:pPr>
        </w:pPrChange>
      </w:pPr>
      <w:del w:id="11222" w:author="AbbVie2" w:date="2025-05-13T16:39:00Z">
        <w:r w:rsidRPr="008912CF">
          <w:rPr>
            <w:sz w:val="22"/>
            <w:szCs w:val="22"/>
          </w:rPr>
          <w:delText xml:space="preserve">Ácido cítrico mono-hidratado </w:delText>
        </w:r>
      </w:del>
    </w:p>
    <w:p w14:paraId="423D26B1" w14:textId="2F0981A3" w:rsidR="004462A0" w:rsidRPr="008912CF" w:rsidRDefault="00615769">
      <w:pPr>
        <w:rPr>
          <w:del w:id="11223" w:author="AbbVie2" w:date="2025-05-13T16:39:00Z"/>
          <w:sz w:val="22"/>
          <w:szCs w:val="22"/>
        </w:rPr>
        <w:pPrChange w:id="11224" w:author="AbbVie2" w:date="2025-05-13T16:40:00Z">
          <w:pPr>
            <w:autoSpaceDE w:val="0"/>
            <w:autoSpaceDN w:val="0"/>
            <w:adjustRightInd w:val="0"/>
          </w:pPr>
        </w:pPrChange>
      </w:pPr>
      <w:del w:id="11225" w:author="AbbVie2" w:date="2025-05-13T16:39:00Z">
        <w:r w:rsidRPr="008912CF">
          <w:rPr>
            <w:sz w:val="22"/>
            <w:szCs w:val="22"/>
          </w:rPr>
          <w:delText xml:space="preserve">Citrato de sódio </w:delText>
        </w:r>
      </w:del>
    </w:p>
    <w:p w14:paraId="3F0224D9" w14:textId="31F69D56" w:rsidR="004462A0" w:rsidRPr="008912CF" w:rsidRDefault="00615769">
      <w:pPr>
        <w:rPr>
          <w:del w:id="11226" w:author="AbbVie2" w:date="2025-05-13T16:39:00Z"/>
          <w:sz w:val="22"/>
          <w:szCs w:val="22"/>
        </w:rPr>
        <w:pPrChange w:id="11227" w:author="AbbVie2" w:date="2025-05-13T16:40:00Z">
          <w:pPr>
            <w:autoSpaceDE w:val="0"/>
            <w:autoSpaceDN w:val="0"/>
            <w:adjustRightInd w:val="0"/>
          </w:pPr>
        </w:pPrChange>
      </w:pPr>
      <w:del w:id="11228" w:author="AbbVie2" w:date="2025-05-13T16:39:00Z">
        <w:r w:rsidRPr="008912CF">
          <w:rPr>
            <w:sz w:val="22"/>
            <w:szCs w:val="22"/>
          </w:rPr>
          <w:delText>Fosfato monossódico di-hidratado</w:delText>
        </w:r>
      </w:del>
    </w:p>
    <w:p w14:paraId="504C7CC9" w14:textId="33E5521B" w:rsidR="004462A0" w:rsidRPr="008912CF" w:rsidRDefault="00615769">
      <w:pPr>
        <w:rPr>
          <w:del w:id="11229" w:author="AbbVie2" w:date="2025-05-13T16:39:00Z"/>
          <w:sz w:val="22"/>
          <w:szCs w:val="22"/>
        </w:rPr>
        <w:pPrChange w:id="11230" w:author="AbbVie2" w:date="2025-05-13T16:40:00Z">
          <w:pPr>
            <w:autoSpaceDE w:val="0"/>
            <w:autoSpaceDN w:val="0"/>
            <w:adjustRightInd w:val="0"/>
          </w:pPr>
        </w:pPrChange>
      </w:pPr>
      <w:del w:id="11231" w:author="AbbVie2" w:date="2025-05-13T16:39:00Z">
        <w:r w:rsidRPr="008912CF">
          <w:rPr>
            <w:sz w:val="22"/>
            <w:szCs w:val="22"/>
          </w:rPr>
          <w:delText xml:space="preserve">Fosfato dissódico di-hidratado </w:delText>
        </w:r>
      </w:del>
    </w:p>
    <w:p w14:paraId="215C10B3" w14:textId="2AB37DF0" w:rsidR="004462A0" w:rsidRPr="008912CF" w:rsidRDefault="00615769">
      <w:pPr>
        <w:rPr>
          <w:del w:id="11232" w:author="AbbVie2" w:date="2025-05-13T16:39:00Z"/>
          <w:sz w:val="22"/>
          <w:szCs w:val="22"/>
        </w:rPr>
        <w:pPrChange w:id="11233" w:author="AbbVie2" w:date="2025-05-13T16:40:00Z">
          <w:pPr>
            <w:autoSpaceDE w:val="0"/>
            <w:autoSpaceDN w:val="0"/>
            <w:adjustRightInd w:val="0"/>
          </w:pPr>
        </w:pPrChange>
      </w:pPr>
      <w:del w:id="11234" w:author="AbbVie2" w:date="2025-05-13T16:39:00Z">
        <w:r w:rsidRPr="008912CF">
          <w:rPr>
            <w:sz w:val="22"/>
            <w:szCs w:val="22"/>
          </w:rPr>
          <w:delText xml:space="preserve">Cloreto de sódio </w:delText>
        </w:r>
      </w:del>
    </w:p>
    <w:p w14:paraId="63F96929" w14:textId="066DC295" w:rsidR="004462A0" w:rsidRPr="008912CF" w:rsidRDefault="00615769">
      <w:pPr>
        <w:rPr>
          <w:del w:id="11235" w:author="AbbVie2" w:date="2025-05-13T16:39:00Z"/>
          <w:sz w:val="22"/>
          <w:szCs w:val="22"/>
        </w:rPr>
        <w:pPrChange w:id="11236" w:author="AbbVie2" w:date="2025-05-13T16:40:00Z">
          <w:pPr>
            <w:autoSpaceDE w:val="0"/>
            <w:autoSpaceDN w:val="0"/>
            <w:adjustRightInd w:val="0"/>
          </w:pPr>
        </w:pPrChange>
      </w:pPr>
      <w:del w:id="11237" w:author="AbbVie2" w:date="2025-05-13T16:39:00Z">
        <w:r w:rsidRPr="008912CF">
          <w:rPr>
            <w:sz w:val="22"/>
            <w:szCs w:val="22"/>
          </w:rPr>
          <w:delText>Polissorbato 80</w:delText>
        </w:r>
      </w:del>
    </w:p>
    <w:p w14:paraId="72442455" w14:textId="7DB358F1" w:rsidR="004462A0" w:rsidRPr="008912CF" w:rsidRDefault="00615769">
      <w:pPr>
        <w:rPr>
          <w:del w:id="11238" w:author="AbbVie2" w:date="2025-05-13T16:39:00Z"/>
          <w:sz w:val="22"/>
          <w:szCs w:val="22"/>
        </w:rPr>
        <w:pPrChange w:id="11239" w:author="AbbVie2" w:date="2025-05-13T16:40:00Z">
          <w:pPr>
            <w:autoSpaceDE w:val="0"/>
            <w:autoSpaceDN w:val="0"/>
            <w:adjustRightInd w:val="0"/>
          </w:pPr>
        </w:pPrChange>
      </w:pPr>
      <w:del w:id="11240" w:author="AbbVie2" w:date="2025-05-13T16:39:00Z">
        <w:r w:rsidRPr="008912CF">
          <w:rPr>
            <w:sz w:val="22"/>
            <w:szCs w:val="22"/>
          </w:rPr>
          <w:delText xml:space="preserve">Hidróxido de sódio </w:delText>
        </w:r>
      </w:del>
    </w:p>
    <w:p w14:paraId="3B32B3EF" w14:textId="062EB4D9" w:rsidR="004462A0" w:rsidRPr="008912CF" w:rsidRDefault="00615769">
      <w:pPr>
        <w:rPr>
          <w:del w:id="11241" w:author="AbbVie2" w:date="2025-05-13T16:39:00Z"/>
          <w:sz w:val="22"/>
          <w:szCs w:val="22"/>
        </w:rPr>
        <w:pPrChange w:id="11242" w:author="AbbVie2" w:date="2025-05-13T16:40:00Z">
          <w:pPr>
            <w:autoSpaceDE w:val="0"/>
            <w:autoSpaceDN w:val="0"/>
            <w:adjustRightInd w:val="0"/>
          </w:pPr>
        </w:pPrChange>
      </w:pPr>
      <w:del w:id="11243" w:author="AbbVie2" w:date="2025-05-13T16:39:00Z">
        <w:r w:rsidRPr="008912CF">
          <w:rPr>
            <w:sz w:val="22"/>
            <w:szCs w:val="22"/>
          </w:rPr>
          <w:delText xml:space="preserve">Água para preparações injetáveis </w:delText>
        </w:r>
      </w:del>
    </w:p>
    <w:p w14:paraId="232DB6C3" w14:textId="48DCACDE" w:rsidR="004462A0" w:rsidRPr="008912CF" w:rsidRDefault="004462A0" w:rsidP="00412FC8">
      <w:pPr>
        <w:rPr>
          <w:del w:id="11244" w:author="AbbVie2" w:date="2025-05-13T16:39:00Z"/>
          <w:sz w:val="22"/>
          <w:szCs w:val="22"/>
        </w:rPr>
      </w:pPr>
    </w:p>
    <w:p w14:paraId="2BC90FA3" w14:textId="472C03BD" w:rsidR="004462A0" w:rsidRPr="008912CF" w:rsidRDefault="00615769">
      <w:pPr>
        <w:rPr>
          <w:del w:id="11245" w:author="AbbVie2" w:date="2025-05-13T16:39:00Z"/>
          <w:sz w:val="22"/>
          <w:szCs w:val="22"/>
        </w:rPr>
        <w:pPrChange w:id="11246" w:author="AbbVie2" w:date="2025-05-13T16:40:00Z">
          <w:pPr>
            <w:ind w:left="567" w:hanging="567"/>
          </w:pPr>
        </w:pPrChange>
      </w:pPr>
      <w:del w:id="11247" w:author="AbbVie2" w:date="2025-05-13T16:39:00Z">
        <w:r w:rsidRPr="008912CF">
          <w:rPr>
            <w:b/>
            <w:sz w:val="22"/>
            <w:szCs w:val="22"/>
          </w:rPr>
          <w:delText>6.2</w:delText>
        </w:r>
        <w:r w:rsidRPr="008912CF">
          <w:rPr>
            <w:b/>
            <w:sz w:val="22"/>
            <w:szCs w:val="22"/>
          </w:rPr>
          <w:tab/>
          <w:delText xml:space="preserve">Incompatibilidades </w:delText>
        </w:r>
      </w:del>
    </w:p>
    <w:p w14:paraId="5B69ADEA" w14:textId="7E983DF3" w:rsidR="004462A0" w:rsidRPr="008912CF" w:rsidRDefault="004462A0" w:rsidP="00412FC8">
      <w:pPr>
        <w:rPr>
          <w:del w:id="11248" w:author="AbbVie2" w:date="2025-05-13T16:39:00Z"/>
          <w:sz w:val="22"/>
          <w:szCs w:val="22"/>
        </w:rPr>
      </w:pPr>
    </w:p>
    <w:p w14:paraId="0041D1B6" w14:textId="55551B81" w:rsidR="004462A0" w:rsidRPr="008912CF" w:rsidRDefault="00615769" w:rsidP="00412FC8">
      <w:pPr>
        <w:rPr>
          <w:del w:id="11249" w:author="AbbVie2" w:date="2025-05-13T16:39:00Z"/>
          <w:sz w:val="22"/>
          <w:szCs w:val="22"/>
        </w:rPr>
      </w:pPr>
      <w:del w:id="11250" w:author="AbbVie2" w:date="2025-05-13T16:39:00Z">
        <w:r w:rsidRPr="008912CF">
          <w:rPr>
            <w:sz w:val="22"/>
            <w:szCs w:val="22"/>
          </w:rPr>
          <w:delText xml:space="preserve">Na ausência de estudos de compatibilidade, este medicamento não </w:delText>
        </w:r>
        <w:r w:rsidR="00372684">
          <w:rPr>
            <w:sz w:val="22"/>
            <w:szCs w:val="22"/>
          </w:rPr>
          <w:delText>pode</w:delText>
        </w:r>
        <w:r w:rsidR="00372684" w:rsidRPr="008912CF">
          <w:rPr>
            <w:sz w:val="22"/>
            <w:szCs w:val="22"/>
          </w:rPr>
          <w:delText xml:space="preserve"> </w:delText>
        </w:r>
        <w:r w:rsidRPr="008912CF">
          <w:rPr>
            <w:sz w:val="22"/>
            <w:szCs w:val="22"/>
          </w:rPr>
          <w:delText>ser misturado com outros medicamentos.</w:delText>
        </w:r>
      </w:del>
    </w:p>
    <w:p w14:paraId="7816F593" w14:textId="3D0CF430" w:rsidR="004462A0" w:rsidRPr="008912CF" w:rsidRDefault="004462A0" w:rsidP="00412FC8">
      <w:pPr>
        <w:rPr>
          <w:del w:id="11251" w:author="AbbVie2" w:date="2025-05-13T16:39:00Z"/>
          <w:sz w:val="22"/>
          <w:szCs w:val="22"/>
        </w:rPr>
      </w:pPr>
    </w:p>
    <w:p w14:paraId="23D80D07" w14:textId="78259362" w:rsidR="004462A0" w:rsidRPr="008912CF" w:rsidRDefault="00615769">
      <w:pPr>
        <w:rPr>
          <w:del w:id="11252" w:author="AbbVie2" w:date="2025-05-13T16:39:00Z"/>
          <w:sz w:val="22"/>
          <w:szCs w:val="22"/>
        </w:rPr>
        <w:pPrChange w:id="11253" w:author="AbbVie2" w:date="2025-05-13T16:40:00Z">
          <w:pPr>
            <w:ind w:left="567" w:hanging="567"/>
          </w:pPr>
        </w:pPrChange>
      </w:pPr>
      <w:del w:id="11254" w:author="AbbVie2" w:date="2025-05-13T16:39:00Z">
        <w:r w:rsidRPr="008912CF">
          <w:rPr>
            <w:b/>
            <w:sz w:val="22"/>
            <w:szCs w:val="22"/>
          </w:rPr>
          <w:delText>6.3</w:delText>
        </w:r>
        <w:r w:rsidRPr="008912CF">
          <w:rPr>
            <w:b/>
            <w:sz w:val="22"/>
            <w:szCs w:val="22"/>
          </w:rPr>
          <w:tab/>
          <w:delText xml:space="preserve">Prazo de validade </w:delText>
        </w:r>
      </w:del>
    </w:p>
    <w:p w14:paraId="32789ABD" w14:textId="549402CC" w:rsidR="004462A0" w:rsidRPr="008912CF" w:rsidRDefault="004462A0" w:rsidP="00412FC8">
      <w:pPr>
        <w:rPr>
          <w:del w:id="11255" w:author="AbbVie2" w:date="2025-05-13T16:39:00Z"/>
          <w:sz w:val="22"/>
          <w:szCs w:val="22"/>
        </w:rPr>
      </w:pPr>
    </w:p>
    <w:p w14:paraId="57D50C4A" w14:textId="193219D0" w:rsidR="004462A0" w:rsidRPr="008912CF" w:rsidRDefault="00615769">
      <w:pPr>
        <w:rPr>
          <w:del w:id="11256" w:author="AbbVie2" w:date="2025-05-13T16:39:00Z"/>
          <w:sz w:val="22"/>
          <w:szCs w:val="22"/>
        </w:rPr>
        <w:pPrChange w:id="11257" w:author="AbbVie2" w:date="2025-05-13T16:40:00Z">
          <w:pPr>
            <w:tabs>
              <w:tab w:val="left" w:pos="700"/>
            </w:tabs>
          </w:pPr>
        </w:pPrChange>
      </w:pPr>
      <w:del w:id="11258" w:author="AbbVie2" w:date="2025-05-13T16:39:00Z">
        <w:r>
          <w:rPr>
            <w:sz w:val="22"/>
            <w:szCs w:val="22"/>
          </w:rPr>
          <w:delText>2 anos</w:delText>
        </w:r>
      </w:del>
    </w:p>
    <w:p w14:paraId="2345659A" w14:textId="3214F77C" w:rsidR="004462A0" w:rsidRPr="008912CF" w:rsidRDefault="004462A0" w:rsidP="00412FC8">
      <w:pPr>
        <w:rPr>
          <w:del w:id="11259" w:author="AbbVie2" w:date="2025-05-13T16:39:00Z"/>
          <w:sz w:val="22"/>
          <w:szCs w:val="22"/>
        </w:rPr>
      </w:pPr>
    </w:p>
    <w:p w14:paraId="38577BF2" w14:textId="6332391F" w:rsidR="004462A0" w:rsidRPr="008912CF" w:rsidRDefault="00615769">
      <w:pPr>
        <w:rPr>
          <w:del w:id="11260" w:author="AbbVie2" w:date="2025-05-13T16:39:00Z"/>
          <w:sz w:val="22"/>
          <w:szCs w:val="22"/>
        </w:rPr>
        <w:pPrChange w:id="11261" w:author="AbbVie2" w:date="2025-05-13T16:40:00Z">
          <w:pPr>
            <w:keepNext/>
            <w:ind w:left="567" w:hanging="567"/>
          </w:pPr>
        </w:pPrChange>
      </w:pPr>
      <w:del w:id="11262" w:author="AbbVie2" w:date="2025-05-13T16:39:00Z">
        <w:r w:rsidRPr="008912CF">
          <w:rPr>
            <w:b/>
            <w:sz w:val="22"/>
            <w:szCs w:val="22"/>
          </w:rPr>
          <w:delText>6.4</w:delText>
        </w:r>
        <w:r w:rsidRPr="008912CF">
          <w:rPr>
            <w:b/>
            <w:sz w:val="22"/>
            <w:szCs w:val="22"/>
          </w:rPr>
          <w:tab/>
          <w:delText>Precauções especiais de conservação</w:delText>
        </w:r>
      </w:del>
    </w:p>
    <w:p w14:paraId="0F3AB2D5" w14:textId="18C643D7" w:rsidR="004462A0" w:rsidRPr="008912CF" w:rsidRDefault="004462A0">
      <w:pPr>
        <w:rPr>
          <w:del w:id="11263" w:author="AbbVie2" w:date="2025-05-13T16:39:00Z"/>
          <w:sz w:val="22"/>
          <w:szCs w:val="22"/>
        </w:rPr>
        <w:pPrChange w:id="11264" w:author="AbbVie2" w:date="2025-05-13T16:40:00Z">
          <w:pPr>
            <w:keepNext/>
          </w:pPr>
        </w:pPrChange>
      </w:pPr>
    </w:p>
    <w:p w14:paraId="59EB4688" w14:textId="4D1BDB19" w:rsidR="004462A0" w:rsidRPr="008912CF" w:rsidRDefault="00615769">
      <w:pPr>
        <w:rPr>
          <w:del w:id="11265" w:author="AbbVie2" w:date="2025-05-13T16:39:00Z"/>
          <w:sz w:val="22"/>
          <w:szCs w:val="22"/>
        </w:rPr>
        <w:pPrChange w:id="11266" w:author="AbbVie2" w:date="2025-05-13T16:40:00Z">
          <w:pPr>
            <w:keepNext/>
          </w:pPr>
        </w:pPrChange>
      </w:pPr>
      <w:del w:id="11267" w:author="AbbVie2" w:date="2025-05-13T16:39:00Z">
        <w:r w:rsidRPr="008912CF">
          <w:rPr>
            <w:sz w:val="22"/>
            <w:szCs w:val="22"/>
          </w:rPr>
          <w:delText>Conservar no frigorífico (2</w:delText>
        </w:r>
        <w:r w:rsidRPr="008912CF">
          <w:rPr>
            <w:rFonts w:ascii="Symbol" w:hAnsi="Symbol"/>
            <w:sz w:val="22"/>
            <w:szCs w:val="22"/>
          </w:rPr>
          <w:sym w:font="Symbol" w:char="F0B0"/>
        </w:r>
        <w:r w:rsidRPr="008912CF">
          <w:rPr>
            <w:sz w:val="22"/>
            <w:szCs w:val="22"/>
          </w:rPr>
          <w:delText>C – 8</w:delText>
        </w:r>
        <w:r w:rsidRPr="008912CF">
          <w:rPr>
            <w:rFonts w:ascii="Symbol" w:hAnsi="Symbol"/>
            <w:sz w:val="22"/>
            <w:szCs w:val="22"/>
          </w:rPr>
          <w:sym w:font="Symbol" w:char="F0B0"/>
        </w:r>
        <w:r w:rsidRPr="008912CF">
          <w:rPr>
            <w:sz w:val="22"/>
            <w:szCs w:val="22"/>
          </w:rPr>
          <w:delText xml:space="preserve">C). Não congelar. Manter a seringa </w:delText>
        </w:r>
        <w:r>
          <w:rPr>
            <w:sz w:val="22"/>
            <w:szCs w:val="22"/>
          </w:rPr>
          <w:delText xml:space="preserve">pré-cheia ou a caneta pré-cheia </w:delText>
        </w:r>
        <w:r w:rsidRPr="008912CF">
          <w:rPr>
            <w:sz w:val="22"/>
            <w:szCs w:val="22"/>
          </w:rPr>
          <w:delText xml:space="preserve">dentro da </w:delText>
        </w:r>
        <w:r>
          <w:rPr>
            <w:sz w:val="22"/>
            <w:szCs w:val="22"/>
          </w:rPr>
          <w:delText xml:space="preserve">sua </w:delText>
        </w:r>
        <w:r w:rsidRPr="008912CF">
          <w:rPr>
            <w:sz w:val="22"/>
            <w:szCs w:val="22"/>
          </w:rPr>
          <w:delText>embalagem exterior para proteger da luz.</w:delText>
        </w:r>
      </w:del>
    </w:p>
    <w:p w14:paraId="31FDAF3E" w14:textId="40B13795" w:rsidR="004462A0" w:rsidRPr="008912CF" w:rsidRDefault="004462A0" w:rsidP="00412FC8">
      <w:pPr>
        <w:rPr>
          <w:del w:id="11268" w:author="AbbVie2" w:date="2025-05-13T16:39:00Z"/>
          <w:sz w:val="22"/>
          <w:szCs w:val="22"/>
        </w:rPr>
      </w:pPr>
    </w:p>
    <w:p w14:paraId="6C389D36" w14:textId="04712204" w:rsidR="004462A0" w:rsidRPr="008912CF" w:rsidRDefault="00615769" w:rsidP="00412FC8">
      <w:pPr>
        <w:rPr>
          <w:del w:id="11269" w:author="AbbVie2" w:date="2025-05-13T16:39:00Z"/>
          <w:sz w:val="22"/>
          <w:szCs w:val="22"/>
        </w:rPr>
      </w:pPr>
      <w:del w:id="11270" w:author="AbbVie2" w:date="2025-05-13T16:39:00Z">
        <w:r w:rsidRPr="008912CF">
          <w:rPr>
            <w:sz w:val="22"/>
            <w:szCs w:val="22"/>
          </w:rPr>
          <w:delText xml:space="preserve">Uma seringa pré-cheia </w:delText>
        </w:r>
        <w:r>
          <w:rPr>
            <w:sz w:val="22"/>
            <w:szCs w:val="22"/>
          </w:rPr>
          <w:delText xml:space="preserve">ou </w:delText>
        </w:r>
        <w:r w:rsidR="00C716B5">
          <w:rPr>
            <w:sz w:val="22"/>
            <w:szCs w:val="22"/>
          </w:rPr>
          <w:delText xml:space="preserve">uma </w:delText>
        </w:r>
        <w:r>
          <w:rPr>
            <w:sz w:val="22"/>
            <w:szCs w:val="22"/>
          </w:rPr>
          <w:delText>caneta pré-cheia</w:delText>
        </w:r>
        <w:r w:rsidR="003D5DB6">
          <w:rPr>
            <w:sz w:val="22"/>
            <w:szCs w:val="22"/>
          </w:rPr>
          <w:delText xml:space="preserve"> de Humira</w:delText>
        </w:r>
        <w:r w:rsidRPr="008912CF">
          <w:rPr>
            <w:sz w:val="22"/>
            <w:szCs w:val="22"/>
          </w:rPr>
          <w:delText xml:space="preserve"> pode ser conse</w:delText>
        </w:r>
        <w:r w:rsidR="003D5DB6">
          <w:rPr>
            <w:sz w:val="22"/>
            <w:szCs w:val="22"/>
          </w:rPr>
          <w:delText>rvada até um período de 14 dias</w:delText>
        </w:r>
        <w:r w:rsidRPr="008912CF">
          <w:rPr>
            <w:sz w:val="22"/>
            <w:szCs w:val="22"/>
          </w:rPr>
          <w:delText xml:space="preserve"> até uma temperatura máxima de 25º C. A seringa </w:delText>
        </w:r>
        <w:r>
          <w:rPr>
            <w:sz w:val="22"/>
            <w:szCs w:val="22"/>
          </w:rPr>
          <w:delText xml:space="preserve">ou </w:delText>
        </w:r>
        <w:r w:rsidR="00C716B5">
          <w:rPr>
            <w:sz w:val="22"/>
            <w:szCs w:val="22"/>
          </w:rPr>
          <w:delText xml:space="preserve">a </w:delText>
        </w:r>
        <w:r>
          <w:rPr>
            <w:sz w:val="22"/>
            <w:szCs w:val="22"/>
          </w:rPr>
          <w:delText xml:space="preserve">caneta </w:delText>
        </w:r>
        <w:r w:rsidRPr="008912CF">
          <w:rPr>
            <w:sz w:val="22"/>
            <w:szCs w:val="22"/>
          </w:rPr>
          <w:delText>deve ser protegida da luz e eliminada se não for utilizada dentro do período de 14 dias.</w:delText>
        </w:r>
      </w:del>
    </w:p>
    <w:p w14:paraId="52F40997" w14:textId="0332B193" w:rsidR="004462A0" w:rsidRPr="008912CF" w:rsidRDefault="004462A0" w:rsidP="00412FC8">
      <w:pPr>
        <w:rPr>
          <w:del w:id="11271" w:author="AbbVie2" w:date="2025-05-13T16:39:00Z"/>
          <w:sz w:val="22"/>
          <w:szCs w:val="22"/>
        </w:rPr>
      </w:pPr>
    </w:p>
    <w:p w14:paraId="7720D220" w14:textId="1A781038" w:rsidR="004462A0" w:rsidRPr="008912CF" w:rsidRDefault="00615769">
      <w:pPr>
        <w:rPr>
          <w:del w:id="11272" w:author="AbbVie2" w:date="2025-05-13T16:39:00Z"/>
          <w:sz w:val="22"/>
          <w:szCs w:val="22"/>
        </w:rPr>
        <w:pPrChange w:id="11273" w:author="AbbVie2" w:date="2025-05-13T16:40:00Z">
          <w:pPr>
            <w:ind w:left="567" w:hanging="567"/>
          </w:pPr>
        </w:pPrChange>
      </w:pPr>
      <w:del w:id="11274" w:author="AbbVie2" w:date="2025-05-13T16:39:00Z">
        <w:r w:rsidRPr="008912CF">
          <w:rPr>
            <w:b/>
            <w:sz w:val="22"/>
            <w:szCs w:val="22"/>
          </w:rPr>
          <w:delText>6.5</w:delText>
        </w:r>
        <w:r w:rsidRPr="008912CF">
          <w:rPr>
            <w:b/>
            <w:sz w:val="22"/>
            <w:szCs w:val="22"/>
          </w:rPr>
          <w:tab/>
          <w:delText xml:space="preserve">Natureza e conteúdo do recipiente </w:delText>
        </w:r>
      </w:del>
    </w:p>
    <w:p w14:paraId="412A0186" w14:textId="0B13020C" w:rsidR="004462A0" w:rsidRPr="008912CF" w:rsidRDefault="004462A0" w:rsidP="00412FC8">
      <w:pPr>
        <w:rPr>
          <w:del w:id="11275" w:author="AbbVie2" w:date="2025-05-13T16:39:00Z"/>
          <w:sz w:val="22"/>
          <w:szCs w:val="22"/>
        </w:rPr>
      </w:pPr>
    </w:p>
    <w:p w14:paraId="03893ABD" w14:textId="50C5607D" w:rsidR="004462A0" w:rsidRPr="00D43539" w:rsidRDefault="00615769" w:rsidP="00412FC8">
      <w:pPr>
        <w:rPr>
          <w:del w:id="11276" w:author="AbbVie2" w:date="2025-05-13T16:39:00Z"/>
          <w:sz w:val="22"/>
          <w:szCs w:val="22"/>
          <w:u w:val="single"/>
        </w:rPr>
      </w:pPr>
      <w:del w:id="11277" w:author="AbbVie2" w:date="2025-05-13T16:39:00Z">
        <w:r w:rsidRPr="00D43539">
          <w:rPr>
            <w:sz w:val="22"/>
            <w:szCs w:val="22"/>
            <w:u w:val="single"/>
          </w:rPr>
          <w:delText>Humira 40 mg solução injetável em seringa pré-cheia</w:delText>
        </w:r>
      </w:del>
    </w:p>
    <w:p w14:paraId="429F1BF5" w14:textId="75F22FA3" w:rsidR="004462A0" w:rsidRPr="008912CF" w:rsidRDefault="00615769" w:rsidP="00412FC8">
      <w:pPr>
        <w:rPr>
          <w:del w:id="11278" w:author="AbbVie2" w:date="2025-05-13T16:39:00Z"/>
          <w:sz w:val="22"/>
          <w:szCs w:val="22"/>
        </w:rPr>
      </w:pPr>
      <w:del w:id="11279" w:author="AbbVie2" w:date="2025-05-13T16:39:00Z">
        <w:r w:rsidRPr="008912CF">
          <w:rPr>
            <w:sz w:val="22"/>
            <w:szCs w:val="22"/>
          </w:rPr>
          <w:delText>Humira 40 mg solução injetável em seringa pré-cheia para dose única (vidro tipo I)</w:delText>
        </w:r>
        <w:r w:rsidR="006B562E">
          <w:rPr>
            <w:sz w:val="22"/>
            <w:szCs w:val="22"/>
          </w:rPr>
          <w:delText>,</w:delText>
        </w:r>
        <w:r w:rsidRPr="008912CF">
          <w:rPr>
            <w:sz w:val="22"/>
            <w:szCs w:val="22"/>
          </w:rPr>
          <w:delText xml:space="preserve"> com um êmbolo </w:delText>
        </w:r>
        <w:r w:rsidR="00C716B5">
          <w:rPr>
            <w:sz w:val="22"/>
            <w:szCs w:val="22"/>
          </w:rPr>
          <w:delText xml:space="preserve">rolha </w:delText>
        </w:r>
        <w:r w:rsidRPr="008912CF">
          <w:rPr>
            <w:sz w:val="22"/>
            <w:szCs w:val="22"/>
          </w:rPr>
          <w:delText>(borracha de bromobutilo) e uma agulha com proteção (elastómero termoplástico).</w:delText>
        </w:r>
      </w:del>
    </w:p>
    <w:p w14:paraId="6D0061CA" w14:textId="671A84C3" w:rsidR="004462A0" w:rsidRPr="008912CF" w:rsidRDefault="004462A0" w:rsidP="00412FC8">
      <w:pPr>
        <w:rPr>
          <w:del w:id="11280" w:author="AbbVie2" w:date="2025-05-13T16:39:00Z"/>
          <w:sz w:val="22"/>
          <w:szCs w:val="22"/>
        </w:rPr>
      </w:pPr>
    </w:p>
    <w:p w14:paraId="42B46FC7" w14:textId="3D3E3D6A" w:rsidR="004462A0" w:rsidRPr="008912CF" w:rsidRDefault="00615769">
      <w:pPr>
        <w:rPr>
          <w:del w:id="11281" w:author="AbbVie2" w:date="2025-05-13T16:39:00Z"/>
          <w:szCs w:val="22"/>
        </w:rPr>
        <w:pPrChange w:id="11282" w:author="AbbVie2" w:date="2025-05-13T16:40:00Z">
          <w:pPr>
            <w:pStyle w:val="BodyText2"/>
            <w:keepNext/>
            <w:autoSpaceDE/>
            <w:autoSpaceDN/>
            <w:adjustRightInd/>
          </w:pPr>
        </w:pPrChange>
      </w:pPr>
      <w:del w:id="11283" w:author="AbbVie2" w:date="2025-05-13T16:39:00Z">
        <w:r w:rsidRPr="008912CF">
          <w:rPr>
            <w:szCs w:val="22"/>
          </w:rPr>
          <w:delText>Embalagens com:</w:delText>
        </w:r>
      </w:del>
    </w:p>
    <w:p w14:paraId="1F3106A1" w14:textId="7EB3E871" w:rsidR="004462A0" w:rsidRPr="008912CF" w:rsidRDefault="00615769">
      <w:pPr>
        <w:rPr>
          <w:del w:id="11284" w:author="AbbVie2" w:date="2025-05-13T16:39:00Z"/>
          <w:sz w:val="22"/>
          <w:szCs w:val="22"/>
        </w:rPr>
        <w:pPrChange w:id="11285" w:author="AbbVie2" w:date="2025-05-13T16:40:00Z">
          <w:pPr>
            <w:keepNext/>
            <w:numPr>
              <w:numId w:val="77"/>
            </w:numPr>
            <w:tabs>
              <w:tab w:val="num" w:pos="360"/>
            </w:tabs>
            <w:ind w:left="360" w:hanging="360"/>
          </w:pPr>
        </w:pPrChange>
      </w:pPr>
      <w:del w:id="11286" w:author="AbbVie2" w:date="2025-05-13T16:39:00Z">
        <w:r w:rsidRPr="008912CF">
          <w:rPr>
            <w:sz w:val="22"/>
            <w:szCs w:val="22"/>
          </w:rPr>
          <w:delText>1 seringa pré-cheia (0,8 ml de solução estéril)</w:delText>
        </w:r>
        <w:r w:rsidR="00B24078">
          <w:rPr>
            <w:sz w:val="22"/>
            <w:szCs w:val="22"/>
          </w:rPr>
          <w:delText>,</w:delText>
        </w:r>
        <w:r w:rsidRPr="008912CF">
          <w:rPr>
            <w:sz w:val="22"/>
            <w:szCs w:val="22"/>
          </w:rPr>
          <w:delText xml:space="preserve"> com </w:delText>
        </w:r>
        <w:r w:rsidR="00B24078">
          <w:rPr>
            <w:sz w:val="22"/>
            <w:szCs w:val="22"/>
          </w:rPr>
          <w:delText>1</w:delText>
        </w:r>
        <w:r w:rsidRPr="008912CF">
          <w:rPr>
            <w:sz w:val="22"/>
            <w:szCs w:val="22"/>
          </w:rPr>
          <w:delText xml:space="preserve"> compressa embebida em álcool, em </w:delText>
        </w:r>
        <w:r w:rsidRPr="008912CF">
          <w:rPr>
            <w:i/>
            <w:iCs/>
            <w:sz w:val="22"/>
            <w:szCs w:val="22"/>
          </w:rPr>
          <w:delText>blister</w:delText>
        </w:r>
        <w:r w:rsidRPr="008912CF">
          <w:rPr>
            <w:sz w:val="22"/>
            <w:szCs w:val="22"/>
          </w:rPr>
          <w:delText>.</w:delText>
        </w:r>
      </w:del>
    </w:p>
    <w:p w14:paraId="36D80017" w14:textId="321E2DC0" w:rsidR="004462A0" w:rsidRPr="008912CF" w:rsidRDefault="00615769">
      <w:pPr>
        <w:rPr>
          <w:del w:id="11287" w:author="AbbVie2" w:date="2025-05-13T16:39:00Z"/>
          <w:sz w:val="22"/>
          <w:szCs w:val="22"/>
        </w:rPr>
        <w:pPrChange w:id="11288" w:author="AbbVie2" w:date="2025-05-13T16:40:00Z">
          <w:pPr>
            <w:numPr>
              <w:numId w:val="77"/>
            </w:numPr>
            <w:tabs>
              <w:tab w:val="num" w:pos="360"/>
            </w:tabs>
            <w:ind w:left="360" w:hanging="360"/>
          </w:pPr>
        </w:pPrChange>
      </w:pPr>
      <w:del w:id="11289" w:author="AbbVie2" w:date="2025-05-13T16:39:00Z">
        <w:r w:rsidRPr="008912CF">
          <w:rPr>
            <w:sz w:val="22"/>
            <w:szCs w:val="22"/>
          </w:rPr>
          <w:delText xml:space="preserve">2 seringas pré-cheias (0,8 ml de solução estéril), cada uma com 1 compressa embebida em álcool, em </w:delText>
        </w:r>
        <w:r w:rsidRPr="008912CF">
          <w:rPr>
            <w:i/>
            <w:iCs/>
            <w:sz w:val="22"/>
            <w:szCs w:val="22"/>
          </w:rPr>
          <w:delText>blister</w:delText>
        </w:r>
        <w:r w:rsidRPr="008912CF">
          <w:rPr>
            <w:sz w:val="22"/>
            <w:szCs w:val="22"/>
          </w:rPr>
          <w:delText>.</w:delText>
        </w:r>
      </w:del>
    </w:p>
    <w:p w14:paraId="178855A3" w14:textId="7D655B81" w:rsidR="004462A0" w:rsidRPr="008912CF" w:rsidRDefault="00615769">
      <w:pPr>
        <w:rPr>
          <w:del w:id="11290" w:author="AbbVie2" w:date="2025-05-13T16:39:00Z"/>
          <w:sz w:val="22"/>
          <w:szCs w:val="22"/>
        </w:rPr>
        <w:pPrChange w:id="11291" w:author="AbbVie2" w:date="2025-05-13T16:40:00Z">
          <w:pPr>
            <w:numPr>
              <w:numId w:val="77"/>
            </w:numPr>
            <w:tabs>
              <w:tab w:val="num" w:pos="360"/>
            </w:tabs>
            <w:ind w:left="360" w:hanging="360"/>
          </w:pPr>
        </w:pPrChange>
      </w:pPr>
      <w:del w:id="11292" w:author="AbbVie2" w:date="2025-05-13T16:39:00Z">
        <w:r w:rsidRPr="008912CF">
          <w:rPr>
            <w:sz w:val="22"/>
            <w:szCs w:val="22"/>
          </w:rPr>
          <w:delText xml:space="preserve">4 seringas pré-cheias (0,8 ml de solução estéril), cada uma com 1 compressa embebida em álcool, em </w:delText>
        </w:r>
        <w:r w:rsidRPr="008912CF">
          <w:rPr>
            <w:i/>
            <w:iCs/>
            <w:sz w:val="22"/>
            <w:szCs w:val="22"/>
          </w:rPr>
          <w:delText>blister</w:delText>
        </w:r>
        <w:r w:rsidRPr="008912CF">
          <w:rPr>
            <w:sz w:val="22"/>
            <w:szCs w:val="22"/>
          </w:rPr>
          <w:delText>.</w:delText>
        </w:r>
      </w:del>
    </w:p>
    <w:p w14:paraId="644A1B8A" w14:textId="21210919" w:rsidR="004462A0" w:rsidRPr="008912CF" w:rsidRDefault="00615769">
      <w:pPr>
        <w:rPr>
          <w:del w:id="11293" w:author="AbbVie2" w:date="2025-05-13T16:39:00Z"/>
          <w:sz w:val="22"/>
          <w:szCs w:val="22"/>
        </w:rPr>
        <w:pPrChange w:id="11294" w:author="AbbVie2" w:date="2025-05-13T16:40:00Z">
          <w:pPr>
            <w:numPr>
              <w:numId w:val="77"/>
            </w:numPr>
            <w:tabs>
              <w:tab w:val="num" w:pos="360"/>
            </w:tabs>
            <w:ind w:left="360" w:hanging="360"/>
          </w:pPr>
        </w:pPrChange>
      </w:pPr>
      <w:del w:id="11295" w:author="AbbVie2" w:date="2025-05-13T16:39:00Z">
        <w:r w:rsidRPr="008912CF">
          <w:rPr>
            <w:sz w:val="22"/>
            <w:szCs w:val="22"/>
          </w:rPr>
          <w:delText xml:space="preserve">6 seringas pré-cheias (0,8 ml de solução estéril), cada uma com 1 compressa embebida em álcool, em </w:delText>
        </w:r>
        <w:r w:rsidRPr="008912CF">
          <w:rPr>
            <w:i/>
            <w:iCs/>
            <w:sz w:val="22"/>
            <w:szCs w:val="22"/>
          </w:rPr>
          <w:delText>blister</w:delText>
        </w:r>
        <w:r w:rsidRPr="008912CF">
          <w:rPr>
            <w:sz w:val="22"/>
            <w:szCs w:val="22"/>
          </w:rPr>
          <w:delText>.</w:delText>
        </w:r>
      </w:del>
    </w:p>
    <w:p w14:paraId="0A0F685C" w14:textId="0B66CC2B" w:rsidR="004462A0" w:rsidRDefault="004462A0" w:rsidP="00412FC8">
      <w:pPr>
        <w:rPr>
          <w:del w:id="11296" w:author="AbbVie2" w:date="2025-05-13T16:39:00Z"/>
          <w:sz w:val="22"/>
          <w:szCs w:val="22"/>
        </w:rPr>
      </w:pPr>
    </w:p>
    <w:p w14:paraId="0C234221" w14:textId="5353FF15" w:rsidR="004462A0" w:rsidRPr="00D43539" w:rsidRDefault="00615769" w:rsidP="00412FC8">
      <w:pPr>
        <w:rPr>
          <w:del w:id="11297" w:author="AbbVie2" w:date="2025-05-13T16:39:00Z"/>
          <w:sz w:val="22"/>
          <w:szCs w:val="22"/>
          <w:u w:val="single"/>
        </w:rPr>
      </w:pPr>
      <w:del w:id="11298" w:author="AbbVie2" w:date="2025-05-13T16:39:00Z">
        <w:r w:rsidRPr="00D43539">
          <w:rPr>
            <w:sz w:val="22"/>
            <w:szCs w:val="22"/>
            <w:u w:val="single"/>
          </w:rPr>
          <w:delText>Humira 40 mg solução injetável em seringa pré-cheia com sistema de proteção da agulha</w:delText>
        </w:r>
      </w:del>
    </w:p>
    <w:p w14:paraId="3FACA203" w14:textId="05058C20" w:rsidR="004462A0" w:rsidRDefault="00615769" w:rsidP="00412FC8">
      <w:pPr>
        <w:rPr>
          <w:del w:id="11299" w:author="AbbVie2" w:date="2025-05-13T16:39:00Z"/>
          <w:sz w:val="22"/>
          <w:szCs w:val="22"/>
        </w:rPr>
      </w:pPr>
      <w:del w:id="11300" w:author="AbbVie2" w:date="2025-05-13T16:39:00Z">
        <w:r>
          <w:rPr>
            <w:sz w:val="22"/>
            <w:szCs w:val="22"/>
          </w:rPr>
          <w:delText>Humira 40 mg solução injetável em seringa pré-cheia para dose única (vidro tipo I) com sistema de proteção da agulha para uso hospitalar e de cuidadores. A seringa é feita de vidro tipo I com um êmbolo rolha (borracha de bromobutilo) e uma agulha com proteção (</w:delText>
        </w:r>
        <w:r w:rsidRPr="008912CF">
          <w:rPr>
            <w:sz w:val="22"/>
            <w:szCs w:val="22"/>
          </w:rPr>
          <w:delText>elastómero termoplástico).</w:delText>
        </w:r>
      </w:del>
    </w:p>
    <w:p w14:paraId="5CD02581" w14:textId="40DD643E" w:rsidR="004462A0" w:rsidRDefault="004462A0" w:rsidP="00412FC8">
      <w:pPr>
        <w:rPr>
          <w:del w:id="11301" w:author="AbbVie2" w:date="2025-05-13T16:39:00Z"/>
          <w:sz w:val="22"/>
          <w:szCs w:val="22"/>
        </w:rPr>
      </w:pPr>
    </w:p>
    <w:p w14:paraId="383BAC97" w14:textId="37D7BCF3" w:rsidR="004462A0" w:rsidRPr="008912CF" w:rsidRDefault="00615769">
      <w:pPr>
        <w:rPr>
          <w:del w:id="11302" w:author="AbbVie2" w:date="2025-05-13T16:39:00Z"/>
          <w:szCs w:val="22"/>
        </w:rPr>
        <w:pPrChange w:id="11303" w:author="AbbVie2" w:date="2025-05-13T16:40:00Z">
          <w:pPr>
            <w:pStyle w:val="BodyText2"/>
            <w:autoSpaceDE/>
            <w:autoSpaceDN/>
            <w:adjustRightInd/>
          </w:pPr>
        </w:pPrChange>
      </w:pPr>
      <w:del w:id="11304" w:author="AbbVie2" w:date="2025-05-13T16:39:00Z">
        <w:r w:rsidRPr="008912CF">
          <w:rPr>
            <w:szCs w:val="22"/>
          </w:rPr>
          <w:delText>Embalagens com:</w:delText>
        </w:r>
      </w:del>
    </w:p>
    <w:p w14:paraId="6458F7D1" w14:textId="6C7162FB" w:rsidR="004462A0" w:rsidRDefault="00615769">
      <w:pPr>
        <w:rPr>
          <w:del w:id="11305" w:author="AbbVie2" w:date="2025-05-13T16:39:00Z"/>
          <w:sz w:val="22"/>
          <w:szCs w:val="22"/>
        </w:rPr>
        <w:pPrChange w:id="11306" w:author="AbbVie2" w:date="2025-05-13T16:40:00Z">
          <w:pPr>
            <w:numPr>
              <w:numId w:val="77"/>
            </w:numPr>
            <w:tabs>
              <w:tab w:val="num" w:pos="360"/>
            </w:tabs>
            <w:ind w:left="360" w:hanging="360"/>
          </w:pPr>
        </w:pPrChange>
      </w:pPr>
      <w:del w:id="11307" w:author="AbbVie2" w:date="2025-05-13T16:39:00Z">
        <w:r w:rsidRPr="008912CF">
          <w:rPr>
            <w:sz w:val="22"/>
            <w:szCs w:val="22"/>
          </w:rPr>
          <w:delText>1 seringa pré-cheia</w:delText>
        </w:r>
        <w:r>
          <w:rPr>
            <w:sz w:val="22"/>
            <w:szCs w:val="22"/>
          </w:rPr>
          <w:delText xml:space="preserve"> com proteção de agulha</w:delText>
        </w:r>
        <w:r w:rsidRPr="008912CF">
          <w:rPr>
            <w:sz w:val="22"/>
            <w:szCs w:val="22"/>
          </w:rPr>
          <w:delText xml:space="preserve"> (0,8 ml de solução estéril) com uma compressa embebida em álcool, em </w:delText>
        </w:r>
        <w:r w:rsidRPr="008912CF">
          <w:rPr>
            <w:i/>
            <w:iCs/>
            <w:sz w:val="22"/>
            <w:szCs w:val="22"/>
          </w:rPr>
          <w:delText>blister</w:delText>
        </w:r>
        <w:r w:rsidRPr="008912CF">
          <w:rPr>
            <w:sz w:val="22"/>
            <w:szCs w:val="22"/>
          </w:rPr>
          <w:delText>.</w:delText>
        </w:r>
      </w:del>
    </w:p>
    <w:p w14:paraId="4427FA65" w14:textId="54EF1C69" w:rsidR="004462A0" w:rsidRDefault="004462A0" w:rsidP="00412FC8">
      <w:pPr>
        <w:rPr>
          <w:del w:id="11308" w:author="AbbVie2" w:date="2025-05-13T16:39:00Z"/>
          <w:sz w:val="22"/>
          <w:szCs w:val="22"/>
        </w:rPr>
      </w:pPr>
    </w:p>
    <w:p w14:paraId="4CBDDCFE" w14:textId="506617D6" w:rsidR="004462A0" w:rsidRPr="00D43539" w:rsidRDefault="00615769" w:rsidP="00412FC8">
      <w:pPr>
        <w:rPr>
          <w:del w:id="11309" w:author="AbbVie2" w:date="2025-05-13T16:39:00Z"/>
          <w:sz w:val="22"/>
          <w:szCs w:val="22"/>
          <w:u w:val="single"/>
        </w:rPr>
      </w:pPr>
      <w:del w:id="11310" w:author="AbbVie2" w:date="2025-05-13T16:39:00Z">
        <w:r w:rsidRPr="00D43539">
          <w:rPr>
            <w:sz w:val="22"/>
            <w:szCs w:val="22"/>
            <w:u w:val="single"/>
          </w:rPr>
          <w:delText>Humira 40 mg solução injetável em caneta pré-cheia</w:delText>
        </w:r>
      </w:del>
    </w:p>
    <w:p w14:paraId="2AD3D01F" w14:textId="06FF5BE3" w:rsidR="004462A0" w:rsidRDefault="00615769" w:rsidP="00412FC8">
      <w:pPr>
        <w:rPr>
          <w:del w:id="11311" w:author="AbbVie2" w:date="2025-05-13T16:39:00Z"/>
          <w:sz w:val="22"/>
          <w:szCs w:val="22"/>
        </w:rPr>
      </w:pPr>
      <w:del w:id="11312" w:author="AbbVie2" w:date="2025-05-13T16:39:00Z">
        <w:r>
          <w:rPr>
            <w:sz w:val="22"/>
            <w:szCs w:val="22"/>
          </w:rPr>
          <w:delText>Humira 40 mg solução injetável em caneta pré-cheia para dose única para utilizaçã</w:delText>
        </w:r>
        <w:r w:rsidR="00C5700B">
          <w:rPr>
            <w:sz w:val="22"/>
            <w:szCs w:val="22"/>
          </w:rPr>
          <w:delText>o do doente, contendo uma sering</w:delText>
        </w:r>
        <w:r>
          <w:rPr>
            <w:sz w:val="22"/>
            <w:szCs w:val="22"/>
          </w:rPr>
          <w:delText>a pré-cheia. A seringa no interior da caneta é feita de vidro tipo I com um êmbolo rolha (borracha de bromobutilo) e uma agulha com proteção (</w:delText>
        </w:r>
        <w:r w:rsidRPr="008912CF">
          <w:rPr>
            <w:sz w:val="22"/>
            <w:szCs w:val="22"/>
          </w:rPr>
          <w:delText>elastómero termoplástico).</w:delText>
        </w:r>
      </w:del>
    </w:p>
    <w:p w14:paraId="1AE3F28E" w14:textId="0D74CD9D" w:rsidR="004462A0" w:rsidRDefault="004462A0" w:rsidP="00412FC8">
      <w:pPr>
        <w:rPr>
          <w:del w:id="11313" w:author="AbbVie2" w:date="2025-05-13T16:39:00Z"/>
          <w:sz w:val="22"/>
          <w:szCs w:val="22"/>
        </w:rPr>
      </w:pPr>
    </w:p>
    <w:p w14:paraId="35DCFB64" w14:textId="16AE7D5E" w:rsidR="004462A0" w:rsidRPr="008912CF" w:rsidRDefault="00615769">
      <w:pPr>
        <w:rPr>
          <w:del w:id="11314" w:author="AbbVie2" w:date="2025-05-13T16:39:00Z"/>
          <w:szCs w:val="22"/>
        </w:rPr>
        <w:pPrChange w:id="11315" w:author="AbbVie2" w:date="2025-05-13T16:40:00Z">
          <w:pPr>
            <w:pStyle w:val="BodyText2"/>
            <w:autoSpaceDE/>
            <w:autoSpaceDN/>
            <w:adjustRightInd/>
          </w:pPr>
        </w:pPrChange>
      </w:pPr>
      <w:del w:id="11316" w:author="AbbVie2" w:date="2025-05-13T16:39:00Z">
        <w:r w:rsidRPr="008912CF">
          <w:rPr>
            <w:szCs w:val="22"/>
          </w:rPr>
          <w:delText>Embalagens com:</w:delText>
        </w:r>
      </w:del>
    </w:p>
    <w:p w14:paraId="79A501F1" w14:textId="0778C2DE" w:rsidR="004462A0" w:rsidRPr="008912CF" w:rsidRDefault="00615769">
      <w:pPr>
        <w:rPr>
          <w:del w:id="11317" w:author="AbbVie2" w:date="2025-05-13T16:39:00Z"/>
          <w:sz w:val="22"/>
          <w:szCs w:val="22"/>
        </w:rPr>
        <w:pPrChange w:id="11318" w:author="AbbVie2" w:date="2025-05-13T16:40:00Z">
          <w:pPr>
            <w:numPr>
              <w:numId w:val="77"/>
            </w:numPr>
            <w:tabs>
              <w:tab w:val="num" w:pos="360"/>
            </w:tabs>
            <w:ind w:left="360" w:hanging="360"/>
          </w:pPr>
        </w:pPrChange>
      </w:pPr>
      <w:del w:id="11319" w:author="AbbVie2" w:date="2025-05-13T16:39:00Z">
        <w:r>
          <w:rPr>
            <w:sz w:val="22"/>
            <w:szCs w:val="22"/>
          </w:rPr>
          <w:delText>1</w:delText>
        </w:r>
        <w:r w:rsidRPr="008912CF">
          <w:rPr>
            <w:sz w:val="22"/>
            <w:szCs w:val="22"/>
          </w:rPr>
          <w:delText xml:space="preserve"> </w:delText>
        </w:r>
        <w:r>
          <w:rPr>
            <w:sz w:val="22"/>
            <w:szCs w:val="22"/>
          </w:rPr>
          <w:delText>caneta</w:delText>
        </w:r>
        <w:r w:rsidRPr="008912CF">
          <w:rPr>
            <w:sz w:val="22"/>
            <w:szCs w:val="22"/>
          </w:rPr>
          <w:delText xml:space="preserve"> pré-cheia (0,8 ml de solução estéril), com </w:delText>
        </w:r>
        <w:r>
          <w:rPr>
            <w:sz w:val="22"/>
            <w:szCs w:val="22"/>
          </w:rPr>
          <w:delText>2</w:delText>
        </w:r>
        <w:r w:rsidRPr="008912CF">
          <w:rPr>
            <w:sz w:val="22"/>
            <w:szCs w:val="22"/>
          </w:rPr>
          <w:delText xml:space="preserve"> compressa</w:delText>
        </w:r>
        <w:r>
          <w:rPr>
            <w:sz w:val="22"/>
            <w:szCs w:val="22"/>
          </w:rPr>
          <w:delText>s</w:delText>
        </w:r>
        <w:r w:rsidRPr="008912CF">
          <w:rPr>
            <w:sz w:val="22"/>
            <w:szCs w:val="22"/>
          </w:rPr>
          <w:delText xml:space="preserve"> embebida</w:delText>
        </w:r>
        <w:r>
          <w:rPr>
            <w:sz w:val="22"/>
            <w:szCs w:val="22"/>
          </w:rPr>
          <w:delText>s</w:delText>
        </w:r>
        <w:r w:rsidRPr="008912CF">
          <w:rPr>
            <w:sz w:val="22"/>
            <w:szCs w:val="22"/>
          </w:rPr>
          <w:delText xml:space="preserve"> em álcool, em </w:delText>
        </w:r>
        <w:r w:rsidRPr="008912CF">
          <w:rPr>
            <w:i/>
            <w:iCs/>
            <w:sz w:val="22"/>
            <w:szCs w:val="22"/>
          </w:rPr>
          <w:delText>blister</w:delText>
        </w:r>
        <w:r w:rsidRPr="008912CF">
          <w:rPr>
            <w:sz w:val="22"/>
            <w:szCs w:val="22"/>
          </w:rPr>
          <w:delText>.</w:delText>
        </w:r>
      </w:del>
    </w:p>
    <w:p w14:paraId="4A4879DB" w14:textId="5D8FA0F8" w:rsidR="004462A0" w:rsidRPr="008912CF" w:rsidRDefault="00615769">
      <w:pPr>
        <w:rPr>
          <w:del w:id="11320" w:author="AbbVie2" w:date="2025-05-13T16:39:00Z"/>
          <w:sz w:val="22"/>
          <w:szCs w:val="22"/>
        </w:rPr>
        <w:pPrChange w:id="11321" w:author="AbbVie2" w:date="2025-05-13T16:40:00Z">
          <w:pPr>
            <w:numPr>
              <w:numId w:val="77"/>
            </w:numPr>
            <w:tabs>
              <w:tab w:val="num" w:pos="360"/>
            </w:tabs>
            <w:ind w:left="360" w:hanging="360"/>
          </w:pPr>
        </w:pPrChange>
      </w:pPr>
      <w:del w:id="11322" w:author="AbbVie2" w:date="2025-05-13T16:39:00Z">
        <w:r>
          <w:rPr>
            <w:sz w:val="22"/>
            <w:szCs w:val="22"/>
          </w:rPr>
          <w:delText>2</w:delText>
        </w:r>
        <w:r w:rsidRPr="008912CF">
          <w:rPr>
            <w:sz w:val="22"/>
            <w:szCs w:val="22"/>
          </w:rPr>
          <w:delText xml:space="preserve"> </w:delText>
        </w:r>
        <w:r>
          <w:rPr>
            <w:sz w:val="22"/>
            <w:szCs w:val="22"/>
          </w:rPr>
          <w:delText>canetas</w:delText>
        </w:r>
        <w:r w:rsidRPr="008912CF">
          <w:rPr>
            <w:sz w:val="22"/>
            <w:szCs w:val="22"/>
          </w:rPr>
          <w:delText xml:space="preserve"> pré-cheias (0,8 ml de solução estéril), cada uma com 1 compressa embebida em álcool, em </w:delText>
        </w:r>
        <w:r w:rsidRPr="008912CF">
          <w:rPr>
            <w:i/>
            <w:iCs/>
            <w:sz w:val="22"/>
            <w:szCs w:val="22"/>
          </w:rPr>
          <w:delText>blister</w:delText>
        </w:r>
        <w:r w:rsidRPr="008912CF">
          <w:rPr>
            <w:sz w:val="22"/>
            <w:szCs w:val="22"/>
          </w:rPr>
          <w:delText>.</w:delText>
        </w:r>
      </w:del>
    </w:p>
    <w:p w14:paraId="59779169" w14:textId="0F64D28D" w:rsidR="004462A0" w:rsidRPr="008912CF" w:rsidRDefault="00615769">
      <w:pPr>
        <w:rPr>
          <w:del w:id="11323" w:author="AbbVie2" w:date="2025-05-13T16:39:00Z"/>
          <w:sz w:val="22"/>
          <w:szCs w:val="22"/>
        </w:rPr>
        <w:pPrChange w:id="11324" w:author="AbbVie2" w:date="2025-05-13T16:40:00Z">
          <w:pPr>
            <w:numPr>
              <w:numId w:val="77"/>
            </w:numPr>
            <w:tabs>
              <w:tab w:val="num" w:pos="360"/>
            </w:tabs>
            <w:ind w:left="360" w:hanging="360"/>
          </w:pPr>
        </w:pPrChange>
      </w:pPr>
      <w:del w:id="11325" w:author="AbbVie2" w:date="2025-05-13T16:39:00Z">
        <w:r>
          <w:rPr>
            <w:sz w:val="22"/>
            <w:szCs w:val="22"/>
          </w:rPr>
          <w:delText>4 canetas</w:delText>
        </w:r>
        <w:r w:rsidRPr="008912CF">
          <w:rPr>
            <w:sz w:val="22"/>
            <w:szCs w:val="22"/>
          </w:rPr>
          <w:delText xml:space="preserve"> pré-cheias (0,8 ml de solução estéril), cada uma com 1 compressa embebida em álcool, em </w:delText>
        </w:r>
        <w:r w:rsidRPr="008912CF">
          <w:rPr>
            <w:i/>
            <w:iCs/>
            <w:sz w:val="22"/>
            <w:szCs w:val="22"/>
          </w:rPr>
          <w:delText>blister</w:delText>
        </w:r>
        <w:r w:rsidRPr="008912CF">
          <w:rPr>
            <w:sz w:val="22"/>
            <w:szCs w:val="22"/>
          </w:rPr>
          <w:delText>.</w:delText>
        </w:r>
      </w:del>
    </w:p>
    <w:p w14:paraId="5B125497" w14:textId="02239133" w:rsidR="004462A0" w:rsidRPr="008912CF" w:rsidRDefault="00615769">
      <w:pPr>
        <w:rPr>
          <w:del w:id="11326" w:author="AbbVie2" w:date="2025-05-13T16:39:00Z"/>
          <w:sz w:val="22"/>
          <w:szCs w:val="22"/>
        </w:rPr>
        <w:pPrChange w:id="11327" w:author="AbbVie2" w:date="2025-05-13T16:40:00Z">
          <w:pPr>
            <w:numPr>
              <w:numId w:val="77"/>
            </w:numPr>
            <w:tabs>
              <w:tab w:val="num" w:pos="360"/>
            </w:tabs>
            <w:ind w:left="360" w:hanging="360"/>
          </w:pPr>
        </w:pPrChange>
      </w:pPr>
      <w:del w:id="11328" w:author="AbbVie2" w:date="2025-05-13T16:39:00Z">
        <w:r>
          <w:rPr>
            <w:sz w:val="22"/>
            <w:szCs w:val="22"/>
          </w:rPr>
          <w:delText>6 canetas</w:delText>
        </w:r>
        <w:r w:rsidRPr="008912CF">
          <w:rPr>
            <w:sz w:val="22"/>
            <w:szCs w:val="22"/>
          </w:rPr>
          <w:delText xml:space="preserve"> pré-cheias (0,8 ml de solução estéril), cada uma com 1 compressa embebida em álcool, em </w:delText>
        </w:r>
        <w:r w:rsidRPr="008912CF">
          <w:rPr>
            <w:i/>
            <w:iCs/>
            <w:sz w:val="22"/>
            <w:szCs w:val="22"/>
          </w:rPr>
          <w:delText>blister</w:delText>
        </w:r>
        <w:r w:rsidRPr="008912CF">
          <w:rPr>
            <w:sz w:val="22"/>
            <w:szCs w:val="22"/>
          </w:rPr>
          <w:delText>.</w:delText>
        </w:r>
      </w:del>
    </w:p>
    <w:p w14:paraId="694410D3" w14:textId="2985FFE9" w:rsidR="004462A0" w:rsidRPr="008912CF" w:rsidRDefault="004462A0" w:rsidP="00412FC8">
      <w:pPr>
        <w:rPr>
          <w:del w:id="11329" w:author="AbbVie2" w:date="2025-05-13T16:39:00Z"/>
          <w:sz w:val="22"/>
          <w:szCs w:val="22"/>
        </w:rPr>
      </w:pPr>
    </w:p>
    <w:p w14:paraId="73466509" w14:textId="57CB2E19" w:rsidR="004462A0" w:rsidRPr="008912CF" w:rsidRDefault="00615769" w:rsidP="00412FC8">
      <w:pPr>
        <w:rPr>
          <w:del w:id="11330" w:author="AbbVie2" w:date="2025-05-13T16:39:00Z"/>
          <w:sz w:val="22"/>
          <w:szCs w:val="22"/>
        </w:rPr>
      </w:pPr>
      <w:del w:id="11331" w:author="AbbVie2" w:date="2025-05-13T16:39:00Z">
        <w:r w:rsidRPr="008912CF">
          <w:rPr>
            <w:sz w:val="22"/>
            <w:szCs w:val="22"/>
          </w:rPr>
          <w:delText>É possível que não sejam comercializadas todas as apresentações.</w:delText>
        </w:r>
      </w:del>
    </w:p>
    <w:p w14:paraId="6E9F0A2B" w14:textId="28B44721" w:rsidR="004462A0" w:rsidRPr="00431557" w:rsidRDefault="004462A0">
      <w:pPr>
        <w:rPr>
          <w:del w:id="11332" w:author="AbbVie2" w:date="2025-05-13T16:39:00Z"/>
          <w:sz w:val="22"/>
          <w:szCs w:val="22"/>
        </w:rPr>
        <w:pPrChange w:id="11333" w:author="AbbVie2" w:date="2025-05-13T16:40:00Z">
          <w:pPr>
            <w:ind w:left="567" w:hanging="567"/>
          </w:pPr>
        </w:pPrChange>
      </w:pPr>
    </w:p>
    <w:p w14:paraId="66561638" w14:textId="44DE911F" w:rsidR="004462A0" w:rsidRPr="008912CF" w:rsidRDefault="00615769">
      <w:pPr>
        <w:rPr>
          <w:del w:id="11334" w:author="AbbVie2" w:date="2025-05-13T16:39:00Z"/>
          <w:sz w:val="22"/>
          <w:szCs w:val="22"/>
        </w:rPr>
        <w:pPrChange w:id="11335" w:author="AbbVie2" w:date="2025-05-13T16:40:00Z">
          <w:pPr>
            <w:keepNext/>
            <w:ind w:left="567" w:hanging="567"/>
          </w:pPr>
        </w:pPrChange>
      </w:pPr>
      <w:del w:id="11336" w:author="AbbVie2" w:date="2025-05-13T16:39:00Z">
        <w:r w:rsidRPr="008912CF">
          <w:rPr>
            <w:b/>
            <w:sz w:val="22"/>
            <w:szCs w:val="22"/>
          </w:rPr>
          <w:delText>6.6</w:delText>
        </w:r>
        <w:r w:rsidRPr="008912CF">
          <w:rPr>
            <w:b/>
            <w:sz w:val="22"/>
            <w:szCs w:val="22"/>
          </w:rPr>
          <w:tab/>
          <w:delText xml:space="preserve">Precauções especiais de eliminação </w:delText>
        </w:r>
      </w:del>
    </w:p>
    <w:p w14:paraId="0F9F5344" w14:textId="297232FF" w:rsidR="004462A0" w:rsidRPr="008912CF" w:rsidRDefault="004462A0">
      <w:pPr>
        <w:rPr>
          <w:del w:id="11337" w:author="AbbVie2" w:date="2025-05-13T16:39:00Z"/>
          <w:szCs w:val="22"/>
        </w:rPr>
        <w:pPrChange w:id="11338" w:author="AbbVie2" w:date="2025-05-13T16:40:00Z">
          <w:pPr>
            <w:pStyle w:val="BodyText2"/>
            <w:keepNext/>
            <w:autoSpaceDE/>
            <w:autoSpaceDN/>
            <w:adjustRightInd/>
          </w:pPr>
        </w:pPrChange>
      </w:pPr>
    </w:p>
    <w:p w14:paraId="6E4A00E9" w14:textId="18B73AC4" w:rsidR="004462A0" w:rsidRPr="008912CF" w:rsidRDefault="00615769">
      <w:pPr>
        <w:rPr>
          <w:del w:id="11339" w:author="AbbVie2" w:date="2025-05-13T16:39:00Z"/>
          <w:sz w:val="22"/>
          <w:szCs w:val="22"/>
        </w:rPr>
        <w:pPrChange w:id="11340" w:author="AbbVie2" w:date="2025-05-13T16:40:00Z">
          <w:pPr>
            <w:keepNext/>
          </w:pPr>
        </w:pPrChange>
      </w:pPr>
      <w:del w:id="11341" w:author="AbbVie2" w:date="2025-05-13T16:39:00Z">
        <w:r>
          <w:rPr>
            <w:sz w:val="22"/>
            <w:szCs w:val="22"/>
          </w:rPr>
          <w:delText xml:space="preserve">Qualquer medicamento </w:delText>
        </w:r>
        <w:r w:rsidRPr="008912CF">
          <w:rPr>
            <w:sz w:val="22"/>
            <w:szCs w:val="22"/>
          </w:rPr>
          <w:delText xml:space="preserve">não utilizado ou resíduos devem ser eliminados de acordo com as exigências locais. </w:delText>
        </w:r>
      </w:del>
    </w:p>
    <w:p w14:paraId="2811E71A" w14:textId="48562BDF" w:rsidR="004462A0" w:rsidRPr="008912CF" w:rsidRDefault="004462A0" w:rsidP="00412FC8">
      <w:pPr>
        <w:rPr>
          <w:del w:id="11342" w:author="AbbVie2" w:date="2025-05-13T16:39:00Z"/>
          <w:sz w:val="22"/>
          <w:szCs w:val="22"/>
        </w:rPr>
      </w:pPr>
    </w:p>
    <w:p w14:paraId="51DB9F0B" w14:textId="2CDDEC78" w:rsidR="004462A0" w:rsidRPr="008912CF" w:rsidRDefault="004462A0" w:rsidP="00412FC8">
      <w:pPr>
        <w:rPr>
          <w:del w:id="11343" w:author="AbbVie2" w:date="2025-05-13T16:39:00Z"/>
          <w:sz w:val="22"/>
          <w:szCs w:val="22"/>
        </w:rPr>
      </w:pPr>
    </w:p>
    <w:p w14:paraId="71715796" w14:textId="2C8BF677" w:rsidR="004462A0" w:rsidRPr="008912CF" w:rsidRDefault="00615769">
      <w:pPr>
        <w:rPr>
          <w:del w:id="11344" w:author="AbbVie2" w:date="2025-05-13T16:39:00Z"/>
          <w:sz w:val="22"/>
          <w:szCs w:val="22"/>
        </w:rPr>
        <w:pPrChange w:id="11345" w:author="AbbVie2" w:date="2025-05-13T16:40:00Z">
          <w:pPr>
            <w:keepNext/>
            <w:ind w:left="567" w:hanging="567"/>
          </w:pPr>
        </w:pPrChange>
      </w:pPr>
      <w:del w:id="11346" w:author="AbbVie2" w:date="2025-05-13T16:39:00Z">
        <w:r w:rsidRPr="008912CF">
          <w:rPr>
            <w:b/>
            <w:sz w:val="22"/>
            <w:szCs w:val="22"/>
          </w:rPr>
          <w:delText>7.</w:delText>
        </w:r>
        <w:r w:rsidRPr="008912CF">
          <w:rPr>
            <w:b/>
            <w:sz w:val="22"/>
            <w:szCs w:val="22"/>
          </w:rPr>
          <w:tab/>
          <w:delText xml:space="preserve">TITULAR DA AUTORIZAÇÃO DE INTRODUÇÃO NO MERCADO </w:delText>
        </w:r>
      </w:del>
    </w:p>
    <w:p w14:paraId="243A1998" w14:textId="107B062E" w:rsidR="004462A0" w:rsidRPr="008912CF" w:rsidRDefault="004462A0">
      <w:pPr>
        <w:rPr>
          <w:del w:id="11347" w:author="AbbVie2" w:date="2025-05-13T16:39:00Z"/>
          <w:sz w:val="22"/>
          <w:szCs w:val="22"/>
        </w:rPr>
        <w:pPrChange w:id="11348" w:author="AbbVie2" w:date="2025-05-13T16:40:00Z">
          <w:pPr>
            <w:keepNext/>
          </w:pPr>
        </w:pPrChange>
      </w:pPr>
    </w:p>
    <w:p w14:paraId="63F498AF" w14:textId="18380C12" w:rsidR="00147853" w:rsidRPr="00140752" w:rsidRDefault="00615769">
      <w:pPr>
        <w:rPr>
          <w:del w:id="11349" w:author="AbbVie2" w:date="2025-05-13T16:39:00Z"/>
          <w:sz w:val="22"/>
          <w:szCs w:val="22"/>
          <w:lang w:val="de-DE"/>
        </w:rPr>
        <w:pPrChange w:id="11350" w:author="AbbVie2" w:date="2025-05-13T16:40:00Z">
          <w:pPr>
            <w:keepNext/>
          </w:pPr>
        </w:pPrChange>
      </w:pPr>
      <w:del w:id="11351" w:author="AbbVie2" w:date="2025-05-13T16:39:00Z">
        <w:r w:rsidRPr="00140752">
          <w:rPr>
            <w:sz w:val="22"/>
            <w:szCs w:val="22"/>
            <w:lang w:val="de-DE"/>
          </w:rPr>
          <w:delText>AbbVie Deutschland GmbH &amp; Co. KG</w:delText>
        </w:r>
      </w:del>
    </w:p>
    <w:p w14:paraId="399261D1" w14:textId="107ED273" w:rsidR="00147853" w:rsidRPr="008D6D3A" w:rsidRDefault="00615769">
      <w:pPr>
        <w:rPr>
          <w:del w:id="11352" w:author="AbbVie2" w:date="2025-05-13T16:39:00Z"/>
          <w:sz w:val="22"/>
          <w:szCs w:val="22"/>
          <w:lang w:val="de-CH"/>
        </w:rPr>
        <w:pPrChange w:id="11353" w:author="AbbVie2" w:date="2025-05-13T16:40:00Z">
          <w:pPr>
            <w:keepNext/>
          </w:pPr>
        </w:pPrChange>
      </w:pPr>
      <w:del w:id="11354" w:author="AbbVie2" w:date="2025-05-13T16:39:00Z">
        <w:r w:rsidRPr="008D6D3A">
          <w:rPr>
            <w:sz w:val="22"/>
            <w:szCs w:val="22"/>
            <w:lang w:val="de-CH"/>
          </w:rPr>
          <w:delText>Knollstrasse</w:delText>
        </w:r>
      </w:del>
    </w:p>
    <w:p w14:paraId="3FBF6C83" w14:textId="1E6EA909" w:rsidR="00147853" w:rsidRPr="00147853" w:rsidRDefault="00615769">
      <w:pPr>
        <w:rPr>
          <w:del w:id="11355" w:author="AbbVie2" w:date="2025-05-13T16:39:00Z"/>
          <w:sz w:val="22"/>
          <w:szCs w:val="22"/>
        </w:rPr>
        <w:pPrChange w:id="11356" w:author="AbbVie2" w:date="2025-05-13T16:40:00Z">
          <w:pPr>
            <w:keepNext/>
          </w:pPr>
        </w:pPrChange>
      </w:pPr>
      <w:del w:id="11357" w:author="AbbVie2" w:date="2025-05-13T16:39:00Z">
        <w:r w:rsidRPr="00147853">
          <w:rPr>
            <w:sz w:val="22"/>
            <w:szCs w:val="22"/>
          </w:rPr>
          <w:delText>67061 Ludwigshafen</w:delText>
        </w:r>
      </w:del>
    </w:p>
    <w:p w14:paraId="2DB2B269" w14:textId="3485549E" w:rsidR="004462A0" w:rsidRPr="008912CF" w:rsidRDefault="00615769">
      <w:pPr>
        <w:rPr>
          <w:del w:id="11358" w:author="AbbVie2" w:date="2025-05-13T16:39:00Z"/>
          <w:sz w:val="22"/>
          <w:szCs w:val="22"/>
        </w:rPr>
        <w:pPrChange w:id="11359" w:author="AbbVie2" w:date="2025-05-13T16:40:00Z">
          <w:pPr>
            <w:keepNext/>
          </w:pPr>
        </w:pPrChange>
      </w:pPr>
      <w:del w:id="11360" w:author="AbbVie2" w:date="2025-05-13T16:39:00Z">
        <w:r w:rsidRPr="00147853">
          <w:rPr>
            <w:sz w:val="22"/>
            <w:szCs w:val="22"/>
          </w:rPr>
          <w:delText>Alemanha</w:delText>
        </w:r>
      </w:del>
    </w:p>
    <w:p w14:paraId="3B73314C" w14:textId="7A0C10DB" w:rsidR="004462A0" w:rsidRPr="008912CF" w:rsidRDefault="004462A0" w:rsidP="00412FC8">
      <w:pPr>
        <w:rPr>
          <w:del w:id="11361" w:author="AbbVie2" w:date="2025-05-13T16:39:00Z"/>
          <w:sz w:val="22"/>
          <w:szCs w:val="22"/>
        </w:rPr>
      </w:pPr>
    </w:p>
    <w:p w14:paraId="4D371191" w14:textId="3BEF8B22" w:rsidR="004462A0" w:rsidRPr="008912CF" w:rsidRDefault="004462A0">
      <w:pPr>
        <w:rPr>
          <w:del w:id="11362" w:author="AbbVie2" w:date="2025-05-13T16:39:00Z"/>
          <w:szCs w:val="22"/>
        </w:rPr>
        <w:pPrChange w:id="11363" w:author="AbbVie2" w:date="2025-05-13T16:40:00Z">
          <w:pPr>
            <w:pStyle w:val="EndnoteText"/>
            <w:tabs>
              <w:tab w:val="clear" w:pos="567"/>
            </w:tabs>
          </w:pPr>
        </w:pPrChange>
      </w:pPr>
    </w:p>
    <w:p w14:paraId="54A9C32A" w14:textId="0C7B12AB" w:rsidR="004462A0" w:rsidRPr="008912CF" w:rsidRDefault="00615769">
      <w:pPr>
        <w:rPr>
          <w:del w:id="11364" w:author="AbbVie2" w:date="2025-05-13T16:39:00Z"/>
          <w:b/>
          <w:sz w:val="22"/>
          <w:szCs w:val="22"/>
        </w:rPr>
        <w:pPrChange w:id="11365" w:author="AbbVie2" w:date="2025-05-13T16:40:00Z">
          <w:pPr>
            <w:keepNext/>
            <w:ind w:left="567" w:hanging="567"/>
          </w:pPr>
        </w:pPrChange>
      </w:pPr>
      <w:del w:id="11366" w:author="AbbVie2" w:date="2025-05-13T16:39:00Z">
        <w:r w:rsidRPr="008912CF">
          <w:rPr>
            <w:b/>
            <w:sz w:val="22"/>
            <w:szCs w:val="22"/>
          </w:rPr>
          <w:delText>8.</w:delText>
        </w:r>
        <w:r w:rsidRPr="008912CF">
          <w:rPr>
            <w:b/>
            <w:sz w:val="22"/>
            <w:szCs w:val="22"/>
          </w:rPr>
          <w:tab/>
          <w:delText>NÚMERO</w:delText>
        </w:r>
        <w:r>
          <w:rPr>
            <w:b/>
            <w:sz w:val="22"/>
            <w:szCs w:val="22"/>
          </w:rPr>
          <w:delText>S</w:delText>
        </w:r>
        <w:r w:rsidRPr="008912CF">
          <w:rPr>
            <w:b/>
            <w:sz w:val="22"/>
            <w:szCs w:val="22"/>
          </w:rPr>
          <w:delText xml:space="preserve"> DA AUTORIZAÇÃO DE INTRODUÇÃO NO MERCADO </w:delText>
        </w:r>
      </w:del>
    </w:p>
    <w:p w14:paraId="0FB0F3C8" w14:textId="6887D427" w:rsidR="004462A0" w:rsidRPr="008912CF" w:rsidRDefault="004462A0">
      <w:pPr>
        <w:rPr>
          <w:del w:id="11367" w:author="AbbVie2" w:date="2025-05-13T16:39:00Z"/>
          <w:sz w:val="22"/>
          <w:szCs w:val="22"/>
        </w:rPr>
        <w:pPrChange w:id="11368" w:author="AbbVie2" w:date="2025-05-13T16:40:00Z">
          <w:pPr>
            <w:keepNext/>
          </w:pPr>
        </w:pPrChange>
      </w:pPr>
    </w:p>
    <w:p w14:paraId="12850B1D" w14:textId="35DEC71E" w:rsidR="004462A0" w:rsidRPr="00C34A4F" w:rsidRDefault="00615769">
      <w:pPr>
        <w:rPr>
          <w:del w:id="11369" w:author="AbbVie2" w:date="2025-05-13T16:39:00Z"/>
          <w:sz w:val="22"/>
          <w:szCs w:val="22"/>
          <w:u w:val="single"/>
        </w:rPr>
        <w:pPrChange w:id="11370" w:author="AbbVie2" w:date="2025-05-13T16:40:00Z">
          <w:pPr>
            <w:keepNext/>
          </w:pPr>
        </w:pPrChange>
      </w:pPr>
      <w:del w:id="11371" w:author="AbbVie2" w:date="2025-05-13T16:39:00Z">
        <w:r w:rsidRPr="00C34A4F">
          <w:rPr>
            <w:sz w:val="22"/>
            <w:szCs w:val="22"/>
            <w:u w:val="single"/>
          </w:rPr>
          <w:delText>Humira 40</w:delText>
        </w:r>
        <w:r>
          <w:rPr>
            <w:sz w:val="22"/>
            <w:szCs w:val="22"/>
            <w:u w:val="single"/>
          </w:rPr>
          <w:delText> </w:delText>
        </w:r>
        <w:r w:rsidRPr="00C34A4F">
          <w:rPr>
            <w:sz w:val="22"/>
            <w:szCs w:val="22"/>
            <w:u w:val="single"/>
          </w:rPr>
          <w:delText>mg solução injetável em seringa pré-cheia</w:delText>
        </w:r>
      </w:del>
    </w:p>
    <w:p w14:paraId="150807A4" w14:textId="3D6A68BA" w:rsidR="004462A0" w:rsidRPr="008912CF" w:rsidRDefault="00615769">
      <w:pPr>
        <w:rPr>
          <w:del w:id="11372" w:author="AbbVie2" w:date="2025-05-13T16:39:00Z"/>
          <w:sz w:val="22"/>
          <w:szCs w:val="22"/>
        </w:rPr>
        <w:pPrChange w:id="11373" w:author="AbbVie2" w:date="2025-05-13T16:40:00Z">
          <w:pPr>
            <w:keepNext/>
          </w:pPr>
        </w:pPrChange>
      </w:pPr>
      <w:del w:id="11374" w:author="AbbVie2" w:date="2025-05-13T16:39:00Z">
        <w:r w:rsidRPr="008912CF">
          <w:rPr>
            <w:sz w:val="22"/>
            <w:szCs w:val="22"/>
          </w:rPr>
          <w:delText>EU/1/03/256/002</w:delText>
        </w:r>
      </w:del>
    </w:p>
    <w:p w14:paraId="7019E994" w14:textId="61EE1F1E" w:rsidR="004462A0" w:rsidRPr="008912CF" w:rsidRDefault="00615769">
      <w:pPr>
        <w:rPr>
          <w:del w:id="11375" w:author="AbbVie2" w:date="2025-05-13T16:39:00Z"/>
          <w:sz w:val="22"/>
          <w:szCs w:val="22"/>
        </w:rPr>
        <w:pPrChange w:id="11376" w:author="AbbVie2" w:date="2025-05-13T16:40:00Z">
          <w:pPr>
            <w:keepNext/>
          </w:pPr>
        </w:pPrChange>
      </w:pPr>
      <w:del w:id="11377" w:author="AbbVie2" w:date="2025-05-13T16:39:00Z">
        <w:r w:rsidRPr="008912CF">
          <w:rPr>
            <w:sz w:val="22"/>
            <w:szCs w:val="22"/>
          </w:rPr>
          <w:delText>EU/1/03/256/003</w:delText>
        </w:r>
      </w:del>
    </w:p>
    <w:p w14:paraId="2D22CC27" w14:textId="5A479AD1" w:rsidR="004462A0" w:rsidRPr="008912CF" w:rsidRDefault="00615769" w:rsidP="00412FC8">
      <w:pPr>
        <w:rPr>
          <w:del w:id="11378" w:author="AbbVie2" w:date="2025-05-13T16:39:00Z"/>
          <w:sz w:val="22"/>
          <w:szCs w:val="22"/>
        </w:rPr>
      </w:pPr>
      <w:del w:id="11379" w:author="AbbVie2" w:date="2025-05-13T16:39:00Z">
        <w:r w:rsidRPr="008912CF">
          <w:rPr>
            <w:sz w:val="22"/>
            <w:szCs w:val="22"/>
          </w:rPr>
          <w:delText>EU/1/03/256/004</w:delText>
        </w:r>
      </w:del>
    </w:p>
    <w:p w14:paraId="2AFEB189" w14:textId="2DC3D6E7" w:rsidR="004462A0" w:rsidRPr="008912CF" w:rsidRDefault="00615769" w:rsidP="00412FC8">
      <w:pPr>
        <w:rPr>
          <w:del w:id="11380" w:author="AbbVie2" w:date="2025-05-13T16:39:00Z"/>
          <w:sz w:val="22"/>
          <w:szCs w:val="22"/>
        </w:rPr>
      </w:pPr>
      <w:del w:id="11381" w:author="AbbVie2" w:date="2025-05-13T16:39:00Z">
        <w:r w:rsidRPr="008912CF">
          <w:rPr>
            <w:sz w:val="22"/>
            <w:szCs w:val="22"/>
          </w:rPr>
          <w:delText>EU/1/03/256/005</w:delText>
        </w:r>
      </w:del>
    </w:p>
    <w:p w14:paraId="07EDA58C" w14:textId="4D182340" w:rsidR="004462A0" w:rsidRPr="008912CF" w:rsidRDefault="004462A0" w:rsidP="00412FC8">
      <w:pPr>
        <w:rPr>
          <w:del w:id="11382" w:author="AbbVie2" w:date="2025-05-13T16:39:00Z"/>
          <w:sz w:val="22"/>
          <w:szCs w:val="22"/>
        </w:rPr>
      </w:pPr>
    </w:p>
    <w:p w14:paraId="42F497FE" w14:textId="492C4EC2" w:rsidR="004462A0" w:rsidRPr="00C34A4F" w:rsidRDefault="00615769">
      <w:pPr>
        <w:rPr>
          <w:del w:id="11383" w:author="AbbVie2" w:date="2025-05-13T16:39:00Z"/>
          <w:sz w:val="22"/>
          <w:szCs w:val="22"/>
          <w:u w:val="single"/>
        </w:rPr>
        <w:pPrChange w:id="11384" w:author="AbbVie2" w:date="2025-05-13T16:40:00Z">
          <w:pPr>
            <w:keepNext/>
          </w:pPr>
        </w:pPrChange>
      </w:pPr>
      <w:del w:id="11385" w:author="AbbVie2" w:date="2025-05-13T16:39:00Z">
        <w:r w:rsidRPr="00C34A4F">
          <w:rPr>
            <w:sz w:val="22"/>
            <w:szCs w:val="22"/>
            <w:u w:val="single"/>
          </w:rPr>
          <w:delText>Humira 40</w:delText>
        </w:r>
        <w:r>
          <w:rPr>
            <w:sz w:val="22"/>
            <w:szCs w:val="22"/>
            <w:u w:val="single"/>
          </w:rPr>
          <w:delText> </w:delText>
        </w:r>
        <w:r w:rsidRPr="00C34A4F">
          <w:rPr>
            <w:sz w:val="22"/>
            <w:szCs w:val="22"/>
            <w:u w:val="single"/>
          </w:rPr>
          <w:delText xml:space="preserve">mg solução injetável em </w:delText>
        </w:r>
        <w:r w:rsidR="00D43539">
          <w:rPr>
            <w:sz w:val="22"/>
            <w:szCs w:val="22"/>
            <w:u w:val="single"/>
          </w:rPr>
          <w:delText>sering</w:delText>
        </w:r>
        <w:r w:rsidR="004C0021">
          <w:rPr>
            <w:sz w:val="22"/>
            <w:szCs w:val="22"/>
            <w:u w:val="single"/>
          </w:rPr>
          <w:delText>a</w:delText>
        </w:r>
        <w:r w:rsidR="00D43539" w:rsidRPr="00C34A4F">
          <w:rPr>
            <w:sz w:val="22"/>
            <w:szCs w:val="22"/>
            <w:u w:val="single"/>
          </w:rPr>
          <w:delText xml:space="preserve"> </w:delText>
        </w:r>
        <w:r w:rsidRPr="00C34A4F">
          <w:rPr>
            <w:sz w:val="22"/>
            <w:szCs w:val="22"/>
            <w:u w:val="single"/>
          </w:rPr>
          <w:delText>pré-cheia com sistema de proteção da agulha</w:delText>
        </w:r>
      </w:del>
    </w:p>
    <w:p w14:paraId="3C77C497" w14:textId="0CFA57C4" w:rsidR="004462A0" w:rsidRPr="00B427DD" w:rsidRDefault="00615769">
      <w:pPr>
        <w:rPr>
          <w:del w:id="11386" w:author="AbbVie2" w:date="2025-05-13T16:39:00Z"/>
          <w:rFonts w:eastAsia="Times New Roman"/>
          <w:sz w:val="22"/>
        </w:rPr>
        <w:pPrChange w:id="11387" w:author="AbbVie2" w:date="2025-05-13T16:40:00Z">
          <w:pPr>
            <w:keepNext/>
            <w:suppressAutoHyphens/>
          </w:pPr>
        </w:pPrChange>
      </w:pPr>
      <w:del w:id="11388" w:author="AbbVie2" w:date="2025-05-13T16:39:00Z">
        <w:r w:rsidRPr="00B427DD">
          <w:rPr>
            <w:rFonts w:eastAsia="Times New Roman"/>
            <w:sz w:val="22"/>
          </w:rPr>
          <w:delText>EU/1/03/256/006</w:delText>
        </w:r>
      </w:del>
    </w:p>
    <w:p w14:paraId="59BD9C1C" w14:textId="7B05B4CB" w:rsidR="004462A0" w:rsidRDefault="004462A0" w:rsidP="00412FC8">
      <w:pPr>
        <w:rPr>
          <w:del w:id="11389" w:author="AbbVie2" w:date="2025-05-13T16:39:00Z"/>
          <w:sz w:val="22"/>
          <w:szCs w:val="22"/>
        </w:rPr>
      </w:pPr>
    </w:p>
    <w:p w14:paraId="5A1AD468" w14:textId="198E71B3" w:rsidR="004462A0" w:rsidRPr="00C34A4F" w:rsidRDefault="00615769" w:rsidP="00412FC8">
      <w:pPr>
        <w:rPr>
          <w:del w:id="11390" w:author="AbbVie2" w:date="2025-05-13T16:39:00Z"/>
          <w:sz w:val="22"/>
          <w:szCs w:val="22"/>
          <w:u w:val="single"/>
        </w:rPr>
      </w:pPr>
      <w:del w:id="11391" w:author="AbbVie2" w:date="2025-05-13T16:39:00Z">
        <w:r w:rsidRPr="00C34A4F">
          <w:rPr>
            <w:sz w:val="22"/>
            <w:szCs w:val="22"/>
            <w:u w:val="single"/>
          </w:rPr>
          <w:delText>Humira 40</w:delText>
        </w:r>
        <w:r>
          <w:rPr>
            <w:sz w:val="22"/>
            <w:szCs w:val="22"/>
            <w:u w:val="single"/>
          </w:rPr>
          <w:delText> </w:delText>
        </w:r>
        <w:r w:rsidRPr="00C34A4F">
          <w:rPr>
            <w:sz w:val="22"/>
            <w:szCs w:val="22"/>
            <w:u w:val="single"/>
          </w:rPr>
          <w:delText>mg solução injetável em caneta pré-cheia</w:delText>
        </w:r>
      </w:del>
    </w:p>
    <w:p w14:paraId="52538BBF" w14:textId="63388447" w:rsidR="004462A0" w:rsidRPr="00B427DD" w:rsidRDefault="00615769">
      <w:pPr>
        <w:rPr>
          <w:del w:id="11392" w:author="AbbVie2" w:date="2025-05-13T16:39:00Z"/>
          <w:rFonts w:eastAsia="Times New Roman"/>
          <w:sz w:val="22"/>
          <w:szCs w:val="20"/>
        </w:rPr>
        <w:pPrChange w:id="11393" w:author="AbbVie2" w:date="2025-05-13T16:40:00Z">
          <w:pPr>
            <w:tabs>
              <w:tab w:val="left" w:pos="562"/>
            </w:tabs>
            <w:suppressAutoHyphens/>
          </w:pPr>
        </w:pPrChange>
      </w:pPr>
      <w:del w:id="11394" w:author="AbbVie2" w:date="2025-05-13T16:39:00Z">
        <w:r w:rsidRPr="00B427DD">
          <w:rPr>
            <w:rFonts w:eastAsia="Times New Roman"/>
            <w:sz w:val="22"/>
            <w:szCs w:val="20"/>
          </w:rPr>
          <w:delText>EU/1/03/256/007</w:delText>
        </w:r>
      </w:del>
    </w:p>
    <w:p w14:paraId="6A2502CA" w14:textId="1033D5CE" w:rsidR="004462A0" w:rsidRPr="00B427DD" w:rsidRDefault="00615769">
      <w:pPr>
        <w:rPr>
          <w:del w:id="11395" w:author="AbbVie2" w:date="2025-05-13T16:39:00Z"/>
          <w:rFonts w:eastAsia="Times New Roman"/>
          <w:sz w:val="22"/>
          <w:szCs w:val="20"/>
        </w:rPr>
        <w:pPrChange w:id="11396" w:author="AbbVie2" w:date="2025-05-13T16:40:00Z">
          <w:pPr>
            <w:tabs>
              <w:tab w:val="left" w:pos="562"/>
            </w:tabs>
            <w:suppressAutoHyphens/>
          </w:pPr>
        </w:pPrChange>
      </w:pPr>
      <w:del w:id="11397" w:author="AbbVie2" w:date="2025-05-13T16:39:00Z">
        <w:r w:rsidRPr="00B427DD">
          <w:rPr>
            <w:rFonts w:eastAsia="Times New Roman"/>
            <w:sz w:val="22"/>
            <w:szCs w:val="20"/>
          </w:rPr>
          <w:delText>EU/1/03/256/008</w:delText>
        </w:r>
      </w:del>
    </w:p>
    <w:p w14:paraId="28E8E882" w14:textId="5B8E9E95" w:rsidR="004462A0" w:rsidRPr="00B427DD" w:rsidRDefault="00615769">
      <w:pPr>
        <w:rPr>
          <w:del w:id="11398" w:author="AbbVie2" w:date="2025-05-13T16:39:00Z"/>
          <w:rFonts w:eastAsia="Times New Roman"/>
          <w:sz w:val="22"/>
          <w:szCs w:val="20"/>
        </w:rPr>
        <w:pPrChange w:id="11399" w:author="AbbVie2" w:date="2025-05-13T16:40:00Z">
          <w:pPr>
            <w:tabs>
              <w:tab w:val="left" w:pos="562"/>
            </w:tabs>
            <w:suppressAutoHyphens/>
          </w:pPr>
        </w:pPrChange>
      </w:pPr>
      <w:del w:id="11400" w:author="AbbVie2" w:date="2025-05-13T16:39:00Z">
        <w:r w:rsidRPr="00B427DD">
          <w:rPr>
            <w:rFonts w:eastAsia="Times New Roman"/>
            <w:sz w:val="22"/>
            <w:szCs w:val="20"/>
          </w:rPr>
          <w:delText>EU/1/03/256/009</w:delText>
        </w:r>
      </w:del>
    </w:p>
    <w:p w14:paraId="0A2C9700" w14:textId="43A59075" w:rsidR="004462A0" w:rsidRPr="00B427DD" w:rsidRDefault="00615769">
      <w:pPr>
        <w:rPr>
          <w:del w:id="11401" w:author="AbbVie2" w:date="2025-05-13T16:39:00Z"/>
          <w:rFonts w:eastAsia="Times New Roman"/>
          <w:sz w:val="22"/>
          <w:szCs w:val="20"/>
        </w:rPr>
        <w:pPrChange w:id="11402" w:author="AbbVie2" w:date="2025-05-13T16:40:00Z">
          <w:pPr>
            <w:tabs>
              <w:tab w:val="left" w:pos="562"/>
            </w:tabs>
            <w:suppressAutoHyphens/>
          </w:pPr>
        </w:pPrChange>
      </w:pPr>
      <w:del w:id="11403" w:author="AbbVie2" w:date="2025-05-13T16:39:00Z">
        <w:r w:rsidRPr="00B427DD">
          <w:rPr>
            <w:rFonts w:eastAsia="Times New Roman"/>
            <w:sz w:val="22"/>
            <w:szCs w:val="20"/>
          </w:rPr>
          <w:delText>EU/1/03/256/010</w:delText>
        </w:r>
      </w:del>
    </w:p>
    <w:p w14:paraId="6BA99152" w14:textId="41A3BA10" w:rsidR="004462A0" w:rsidRDefault="004462A0">
      <w:pPr>
        <w:rPr>
          <w:del w:id="11404" w:author="AbbVie2" w:date="2025-05-13T16:39:00Z"/>
          <w:sz w:val="22"/>
          <w:szCs w:val="22"/>
        </w:rPr>
        <w:pPrChange w:id="11405" w:author="AbbVie2" w:date="2025-05-13T16:40:00Z">
          <w:pPr>
            <w:tabs>
              <w:tab w:val="left" w:pos="562"/>
            </w:tabs>
            <w:suppressAutoHyphens/>
          </w:pPr>
        </w:pPrChange>
      </w:pPr>
    </w:p>
    <w:p w14:paraId="6338EB13" w14:textId="4125BE52" w:rsidR="004462A0" w:rsidRPr="008912CF" w:rsidRDefault="004462A0" w:rsidP="00412FC8">
      <w:pPr>
        <w:rPr>
          <w:del w:id="11406" w:author="AbbVie2" w:date="2025-05-13T16:39:00Z"/>
          <w:sz w:val="22"/>
          <w:szCs w:val="22"/>
        </w:rPr>
      </w:pPr>
    </w:p>
    <w:p w14:paraId="199F3483" w14:textId="7570F78C" w:rsidR="004462A0" w:rsidRPr="008912CF" w:rsidRDefault="00615769">
      <w:pPr>
        <w:rPr>
          <w:del w:id="11407" w:author="AbbVie2" w:date="2025-05-13T16:39:00Z"/>
          <w:szCs w:val="22"/>
        </w:rPr>
        <w:pPrChange w:id="11408" w:author="AbbVie2" w:date="2025-05-13T16:40:00Z">
          <w:pPr>
            <w:pStyle w:val="BodyTextIndent2"/>
          </w:pPr>
        </w:pPrChange>
      </w:pPr>
      <w:del w:id="11409" w:author="AbbVie2" w:date="2025-05-13T16:39:00Z">
        <w:r w:rsidRPr="008912CF">
          <w:rPr>
            <w:szCs w:val="22"/>
          </w:rPr>
          <w:delText>9.</w:delText>
        </w:r>
        <w:r w:rsidRPr="008912CF">
          <w:rPr>
            <w:szCs w:val="22"/>
          </w:rPr>
          <w:tab/>
        </w:r>
        <w:r w:rsidRPr="008912CF">
          <w:rPr>
            <w:szCs w:val="22"/>
          </w:rPr>
          <w:delText xml:space="preserve">DATA DA PRIMEIRA AUTORIZAÇÃO/RENOVAÇÃO DA AUTORIZAÇÃO DE INTRODUÇÃO NO MERCADO </w:delText>
        </w:r>
      </w:del>
    </w:p>
    <w:p w14:paraId="0BAE3BB1" w14:textId="09D59BFE" w:rsidR="004462A0" w:rsidRPr="008912CF" w:rsidRDefault="004462A0" w:rsidP="00412FC8">
      <w:pPr>
        <w:rPr>
          <w:del w:id="11410" w:author="AbbVie2" w:date="2025-05-13T16:39:00Z"/>
          <w:sz w:val="22"/>
          <w:szCs w:val="22"/>
        </w:rPr>
      </w:pPr>
    </w:p>
    <w:p w14:paraId="3634AE52" w14:textId="141FDD0B" w:rsidR="004462A0" w:rsidRPr="008912CF" w:rsidRDefault="00615769">
      <w:pPr>
        <w:rPr>
          <w:del w:id="11411" w:author="AbbVie2" w:date="2025-05-13T16:39:00Z"/>
          <w:color w:val="888888"/>
          <w:sz w:val="22"/>
          <w:szCs w:val="22"/>
        </w:rPr>
        <w:pPrChange w:id="11412" w:author="AbbVie2" w:date="2025-05-13T16:40:00Z">
          <w:pPr>
            <w:textAlignment w:val="top"/>
          </w:pPr>
        </w:pPrChange>
      </w:pPr>
      <w:del w:id="11413" w:author="AbbVie2" w:date="2025-05-13T16:39:00Z">
        <w:r w:rsidRPr="008912CF">
          <w:rPr>
            <w:sz w:val="22"/>
            <w:szCs w:val="22"/>
          </w:rPr>
          <w:delText xml:space="preserve">Data da primeira autorização: 08 </w:delText>
        </w:r>
        <w:r w:rsidR="00E7501D">
          <w:rPr>
            <w:sz w:val="22"/>
            <w:szCs w:val="22"/>
          </w:rPr>
          <w:delText xml:space="preserve">de </w:delText>
        </w:r>
        <w:r w:rsidRPr="008912CF">
          <w:rPr>
            <w:rStyle w:val="hps"/>
            <w:color w:val="000000"/>
            <w:sz w:val="22"/>
            <w:szCs w:val="22"/>
          </w:rPr>
          <w:delText xml:space="preserve">setembro </w:delText>
        </w:r>
        <w:r w:rsidR="00E7501D">
          <w:rPr>
            <w:rStyle w:val="hps"/>
            <w:color w:val="000000"/>
            <w:sz w:val="22"/>
            <w:szCs w:val="22"/>
          </w:rPr>
          <w:delText xml:space="preserve">de </w:delText>
        </w:r>
        <w:r w:rsidRPr="008912CF">
          <w:rPr>
            <w:rStyle w:val="hps"/>
            <w:color w:val="000000"/>
            <w:sz w:val="22"/>
            <w:szCs w:val="22"/>
          </w:rPr>
          <w:delText>2003</w:delText>
        </w:r>
      </w:del>
    </w:p>
    <w:p w14:paraId="1E106266" w14:textId="5B1DECB9" w:rsidR="004462A0" w:rsidRPr="008912CF" w:rsidRDefault="00615769">
      <w:pPr>
        <w:rPr>
          <w:del w:id="11414" w:author="AbbVie2" w:date="2025-05-13T16:39:00Z"/>
          <w:bCs/>
          <w:szCs w:val="22"/>
        </w:rPr>
        <w:pPrChange w:id="11415" w:author="AbbVie2" w:date="2025-05-13T16:40:00Z">
          <w:pPr>
            <w:pStyle w:val="IndexHeading"/>
            <w:tabs>
              <w:tab w:val="clear" w:pos="567"/>
            </w:tabs>
            <w:spacing w:line="240" w:lineRule="auto"/>
            <w:ind w:left="567" w:hanging="567"/>
          </w:pPr>
        </w:pPrChange>
      </w:pPr>
      <w:del w:id="11416" w:author="AbbVie2" w:date="2025-05-13T16:39:00Z">
        <w:r w:rsidRPr="008912CF">
          <w:rPr>
            <w:szCs w:val="22"/>
          </w:rPr>
          <w:delText xml:space="preserve">Data da última renovação: 08 </w:delText>
        </w:r>
        <w:r w:rsidR="00E7501D">
          <w:rPr>
            <w:szCs w:val="22"/>
          </w:rPr>
          <w:delText xml:space="preserve">de </w:delText>
        </w:r>
        <w:r w:rsidRPr="008912CF">
          <w:rPr>
            <w:rStyle w:val="hps"/>
            <w:color w:val="000000"/>
            <w:szCs w:val="22"/>
          </w:rPr>
          <w:delText>setembro</w:delText>
        </w:r>
        <w:r w:rsidR="00E7501D">
          <w:rPr>
            <w:rStyle w:val="hps"/>
            <w:color w:val="000000"/>
            <w:szCs w:val="22"/>
          </w:rPr>
          <w:delText xml:space="preserve"> de</w:delText>
        </w:r>
        <w:r w:rsidRPr="008912CF">
          <w:rPr>
            <w:rStyle w:val="hps"/>
            <w:color w:val="000000"/>
            <w:szCs w:val="22"/>
          </w:rPr>
          <w:delText xml:space="preserve"> 2008</w:delText>
        </w:r>
      </w:del>
    </w:p>
    <w:p w14:paraId="759B9807" w14:textId="260F67B3" w:rsidR="004462A0" w:rsidRPr="008912CF" w:rsidRDefault="004462A0" w:rsidP="00412FC8">
      <w:pPr>
        <w:rPr>
          <w:del w:id="11417" w:author="AbbVie2" w:date="2025-05-13T16:39:00Z"/>
          <w:sz w:val="22"/>
          <w:szCs w:val="22"/>
        </w:rPr>
      </w:pPr>
    </w:p>
    <w:p w14:paraId="6D242E7D" w14:textId="380A067C" w:rsidR="004462A0" w:rsidRPr="008912CF" w:rsidRDefault="004462A0" w:rsidP="00412FC8">
      <w:pPr>
        <w:rPr>
          <w:del w:id="11418" w:author="AbbVie2" w:date="2025-05-13T16:39:00Z"/>
          <w:sz w:val="22"/>
          <w:szCs w:val="22"/>
        </w:rPr>
      </w:pPr>
    </w:p>
    <w:p w14:paraId="20186B9F" w14:textId="67D673F8" w:rsidR="004462A0" w:rsidRPr="008912CF" w:rsidRDefault="00615769">
      <w:pPr>
        <w:rPr>
          <w:del w:id="11419" w:author="AbbVie2" w:date="2025-05-13T16:39:00Z"/>
          <w:b/>
          <w:sz w:val="22"/>
          <w:szCs w:val="22"/>
        </w:rPr>
        <w:pPrChange w:id="11420" w:author="AbbVie2" w:date="2025-05-13T16:40:00Z">
          <w:pPr>
            <w:ind w:left="567" w:hanging="567"/>
          </w:pPr>
        </w:pPrChange>
      </w:pPr>
      <w:del w:id="11421" w:author="AbbVie2" w:date="2025-05-13T16:39:00Z">
        <w:r w:rsidRPr="008912CF">
          <w:rPr>
            <w:b/>
            <w:bCs/>
            <w:sz w:val="22"/>
            <w:szCs w:val="22"/>
          </w:rPr>
          <w:delText>10.</w:delText>
        </w:r>
        <w:r w:rsidRPr="008912CF">
          <w:rPr>
            <w:b/>
            <w:bCs/>
            <w:sz w:val="22"/>
            <w:szCs w:val="22"/>
          </w:rPr>
          <w:tab/>
        </w:r>
        <w:r w:rsidRPr="008912CF">
          <w:rPr>
            <w:b/>
            <w:sz w:val="22"/>
            <w:szCs w:val="22"/>
          </w:rPr>
          <w:delText>DATA DA REVISÃO DO TEXTO</w:delText>
        </w:r>
      </w:del>
    </w:p>
    <w:p w14:paraId="63E57020" w14:textId="292BCF48" w:rsidR="004462A0" w:rsidRPr="008912CF" w:rsidRDefault="004462A0" w:rsidP="00412FC8">
      <w:pPr>
        <w:rPr>
          <w:del w:id="11422" w:author="AbbVie2" w:date="2025-05-13T16:39:00Z"/>
        </w:rPr>
      </w:pPr>
    </w:p>
    <w:p w14:paraId="740B72C2" w14:textId="10DA1608" w:rsidR="004462A0" w:rsidRPr="008912CF" w:rsidRDefault="00615769" w:rsidP="00412FC8">
      <w:pPr>
        <w:rPr>
          <w:sz w:val="22"/>
          <w:szCs w:val="22"/>
        </w:rPr>
      </w:pPr>
      <w:del w:id="11423" w:author="AbbVie2" w:date="2025-05-13T16:39:00Z">
        <w:r w:rsidRPr="008912CF">
          <w:rPr>
            <w:sz w:val="22"/>
            <w:szCs w:val="22"/>
          </w:rPr>
          <w:delText>Está disponível informação pormenorizada sobre este medicamento no sítio da internet da Agência Europeia de Medicamentos: http://www.ema.europa.eu</w:delText>
        </w:r>
        <w:r w:rsidRPr="008912CF">
          <w:rPr>
            <w:b/>
            <w:sz w:val="22"/>
            <w:szCs w:val="22"/>
          </w:rPr>
          <w:br w:type="page"/>
        </w:r>
      </w:del>
    </w:p>
    <w:p w14:paraId="763E7555" w14:textId="77777777" w:rsidR="004462A0" w:rsidRPr="008912CF" w:rsidRDefault="00615769" w:rsidP="004462A0">
      <w:pPr>
        <w:ind w:left="567" w:hanging="567"/>
        <w:rPr>
          <w:sz w:val="22"/>
          <w:szCs w:val="22"/>
        </w:rPr>
      </w:pPr>
      <w:r w:rsidRPr="008912CF">
        <w:rPr>
          <w:b/>
          <w:sz w:val="22"/>
          <w:szCs w:val="22"/>
        </w:rPr>
        <w:t>1.</w:t>
      </w:r>
      <w:r w:rsidRPr="008912CF">
        <w:rPr>
          <w:b/>
          <w:sz w:val="22"/>
          <w:szCs w:val="22"/>
        </w:rPr>
        <w:tab/>
        <w:t>NOME DO MEDICAMENTO</w:t>
      </w:r>
    </w:p>
    <w:p w14:paraId="55283DA1" w14:textId="77777777" w:rsidR="004462A0" w:rsidRPr="008912CF" w:rsidRDefault="004462A0" w:rsidP="004462A0">
      <w:pPr>
        <w:rPr>
          <w:sz w:val="22"/>
          <w:szCs w:val="22"/>
        </w:rPr>
      </w:pPr>
    </w:p>
    <w:p w14:paraId="03D13E28" w14:textId="77777777" w:rsidR="004462A0" w:rsidRDefault="00615769" w:rsidP="004462A0">
      <w:pPr>
        <w:rPr>
          <w:sz w:val="22"/>
          <w:szCs w:val="22"/>
        </w:rPr>
      </w:pPr>
      <w:r w:rsidRPr="008912CF">
        <w:rPr>
          <w:sz w:val="22"/>
          <w:szCs w:val="22"/>
        </w:rPr>
        <w:t>Humira 40 mg solução injetável em seringa pré-cheia</w:t>
      </w:r>
    </w:p>
    <w:p w14:paraId="0D4A30E4" w14:textId="77777777" w:rsidR="004462A0" w:rsidRPr="008912CF" w:rsidRDefault="00615769" w:rsidP="004462A0">
      <w:pPr>
        <w:rPr>
          <w:sz w:val="22"/>
          <w:szCs w:val="22"/>
        </w:rPr>
      </w:pPr>
      <w:r>
        <w:rPr>
          <w:sz w:val="22"/>
          <w:szCs w:val="22"/>
        </w:rPr>
        <w:t>Humira 40 mg solução injetável em caneta pré-cheia</w:t>
      </w:r>
    </w:p>
    <w:p w14:paraId="724262AE" w14:textId="77777777" w:rsidR="004462A0" w:rsidRPr="008912CF" w:rsidRDefault="004462A0" w:rsidP="004462A0">
      <w:pPr>
        <w:rPr>
          <w:sz w:val="22"/>
          <w:szCs w:val="22"/>
        </w:rPr>
      </w:pPr>
    </w:p>
    <w:p w14:paraId="77D0B4D4" w14:textId="77777777" w:rsidR="004462A0" w:rsidRPr="008912CF" w:rsidRDefault="004462A0" w:rsidP="004462A0">
      <w:pPr>
        <w:rPr>
          <w:sz w:val="22"/>
          <w:szCs w:val="22"/>
        </w:rPr>
      </w:pPr>
    </w:p>
    <w:p w14:paraId="1CB62087" w14:textId="77777777" w:rsidR="004462A0" w:rsidRPr="008912CF" w:rsidRDefault="00615769" w:rsidP="004462A0">
      <w:pPr>
        <w:ind w:left="567" w:hanging="567"/>
        <w:rPr>
          <w:sz w:val="22"/>
          <w:szCs w:val="22"/>
        </w:rPr>
      </w:pPr>
      <w:r w:rsidRPr="008912CF">
        <w:rPr>
          <w:b/>
          <w:sz w:val="22"/>
          <w:szCs w:val="22"/>
        </w:rPr>
        <w:t>2.</w:t>
      </w:r>
      <w:r w:rsidRPr="008912CF">
        <w:rPr>
          <w:b/>
          <w:sz w:val="22"/>
          <w:szCs w:val="22"/>
        </w:rPr>
        <w:tab/>
        <w:t xml:space="preserve">COMPOSIÇÃO QUALITATIVA E QUANTITATIVA </w:t>
      </w:r>
    </w:p>
    <w:p w14:paraId="120AAA18" w14:textId="77777777" w:rsidR="004462A0" w:rsidRPr="008912CF" w:rsidRDefault="004462A0" w:rsidP="004462A0">
      <w:pPr>
        <w:rPr>
          <w:i/>
          <w:sz w:val="22"/>
          <w:szCs w:val="22"/>
        </w:rPr>
      </w:pPr>
    </w:p>
    <w:p w14:paraId="3E2C2666" w14:textId="77777777" w:rsidR="004462A0" w:rsidRPr="00C34A4F" w:rsidRDefault="00615769" w:rsidP="004462A0">
      <w:pPr>
        <w:rPr>
          <w:sz w:val="22"/>
          <w:szCs w:val="22"/>
          <w:u w:val="single"/>
        </w:rPr>
      </w:pPr>
      <w:r w:rsidRPr="00C34A4F">
        <w:rPr>
          <w:sz w:val="22"/>
          <w:szCs w:val="22"/>
          <w:u w:val="single"/>
        </w:rPr>
        <w:t>Humira 40 mg solução injetável em seringa pré-cheia</w:t>
      </w:r>
    </w:p>
    <w:p w14:paraId="3EC9DC10" w14:textId="77777777" w:rsidR="004462A0" w:rsidRDefault="00615769" w:rsidP="004462A0">
      <w:pPr>
        <w:autoSpaceDE w:val="0"/>
        <w:autoSpaceDN w:val="0"/>
        <w:adjustRightInd w:val="0"/>
        <w:rPr>
          <w:sz w:val="22"/>
          <w:szCs w:val="22"/>
        </w:rPr>
      </w:pPr>
      <w:r w:rsidRPr="008912CF">
        <w:rPr>
          <w:sz w:val="22"/>
          <w:szCs w:val="22"/>
        </w:rPr>
        <w:t>Cada seringa pré-cheia de 0,4 ml para dose única contém 40 mg de adalimumab.</w:t>
      </w:r>
    </w:p>
    <w:p w14:paraId="610C36D0" w14:textId="77777777" w:rsidR="00973127" w:rsidRPr="008912CF" w:rsidRDefault="00973127" w:rsidP="00973127">
      <w:pPr>
        <w:autoSpaceDE w:val="0"/>
        <w:autoSpaceDN w:val="0"/>
        <w:adjustRightInd w:val="0"/>
        <w:rPr>
          <w:sz w:val="22"/>
          <w:szCs w:val="22"/>
        </w:rPr>
      </w:pPr>
    </w:p>
    <w:p w14:paraId="2C9FC412" w14:textId="77777777" w:rsidR="004462A0" w:rsidRPr="00C34A4F" w:rsidRDefault="00615769" w:rsidP="004462A0">
      <w:pPr>
        <w:rPr>
          <w:sz w:val="22"/>
          <w:szCs w:val="22"/>
          <w:u w:val="single"/>
        </w:rPr>
      </w:pPr>
      <w:r w:rsidRPr="00C34A4F">
        <w:rPr>
          <w:sz w:val="22"/>
          <w:szCs w:val="22"/>
          <w:u w:val="single"/>
        </w:rPr>
        <w:t>Humira 40 mg solução injetável em caneta pré-cheia</w:t>
      </w:r>
    </w:p>
    <w:p w14:paraId="0831BFB5" w14:textId="77777777" w:rsidR="004462A0" w:rsidRDefault="00615769" w:rsidP="004462A0">
      <w:pPr>
        <w:autoSpaceDE w:val="0"/>
        <w:autoSpaceDN w:val="0"/>
        <w:adjustRightInd w:val="0"/>
        <w:rPr>
          <w:sz w:val="22"/>
          <w:szCs w:val="22"/>
        </w:rPr>
      </w:pPr>
      <w:r w:rsidRPr="008912CF">
        <w:rPr>
          <w:sz w:val="22"/>
          <w:szCs w:val="22"/>
        </w:rPr>
        <w:t xml:space="preserve">Cada </w:t>
      </w:r>
      <w:r>
        <w:rPr>
          <w:sz w:val="22"/>
          <w:szCs w:val="22"/>
        </w:rPr>
        <w:t>caneta</w:t>
      </w:r>
      <w:r w:rsidRPr="008912CF">
        <w:rPr>
          <w:sz w:val="22"/>
          <w:szCs w:val="22"/>
        </w:rPr>
        <w:t xml:space="preserve"> pré-cheia de 0,4 ml para dose única contém 40 mg de adalimumab.</w:t>
      </w:r>
    </w:p>
    <w:p w14:paraId="77943C12" w14:textId="77777777" w:rsidR="004462A0" w:rsidRPr="008912CF" w:rsidRDefault="004462A0" w:rsidP="004462A0">
      <w:pPr>
        <w:autoSpaceDE w:val="0"/>
        <w:autoSpaceDN w:val="0"/>
        <w:adjustRightInd w:val="0"/>
        <w:rPr>
          <w:sz w:val="22"/>
          <w:szCs w:val="22"/>
        </w:rPr>
      </w:pPr>
    </w:p>
    <w:p w14:paraId="0CD17D05" w14:textId="77777777" w:rsidR="004462A0" w:rsidRPr="008912CF" w:rsidRDefault="00615769" w:rsidP="004462A0">
      <w:pPr>
        <w:autoSpaceDE w:val="0"/>
        <w:autoSpaceDN w:val="0"/>
        <w:adjustRightInd w:val="0"/>
        <w:rPr>
          <w:sz w:val="22"/>
          <w:szCs w:val="22"/>
        </w:rPr>
      </w:pPr>
      <w:r w:rsidRPr="008912CF">
        <w:rPr>
          <w:sz w:val="22"/>
          <w:szCs w:val="22"/>
        </w:rPr>
        <w:t xml:space="preserve">Adalimumab é um anticorpo monoclonal humano recombinante </w:t>
      </w:r>
      <w:r w:rsidR="00C667BF">
        <w:rPr>
          <w:sz w:val="22"/>
          <w:szCs w:val="22"/>
        </w:rPr>
        <w:t>produzido</w:t>
      </w:r>
      <w:r w:rsidRPr="008912CF">
        <w:rPr>
          <w:sz w:val="22"/>
          <w:szCs w:val="22"/>
        </w:rPr>
        <w:t xml:space="preserve"> em células de Ovário do Hamster Chinês.</w:t>
      </w:r>
    </w:p>
    <w:p w14:paraId="5BB5F3AB" w14:textId="77777777" w:rsidR="004462A0" w:rsidRDefault="004462A0" w:rsidP="004462A0">
      <w:pPr>
        <w:autoSpaceDE w:val="0"/>
        <w:autoSpaceDN w:val="0"/>
        <w:adjustRightInd w:val="0"/>
        <w:rPr>
          <w:ins w:id="11424" w:author="AbbVie2" w:date="2025-05-13T16:40:00Z"/>
          <w:sz w:val="22"/>
          <w:szCs w:val="22"/>
        </w:rPr>
      </w:pPr>
    </w:p>
    <w:p w14:paraId="78AEC317" w14:textId="77777777" w:rsidR="00412FC8" w:rsidRPr="00784D09" w:rsidRDefault="00615769" w:rsidP="00412FC8">
      <w:pPr>
        <w:autoSpaceDE w:val="0"/>
        <w:autoSpaceDN w:val="0"/>
        <w:adjustRightInd w:val="0"/>
        <w:rPr>
          <w:ins w:id="11425" w:author="AbbVie2" w:date="2025-05-13T16:40:00Z"/>
          <w:sz w:val="22"/>
          <w:szCs w:val="22"/>
          <w:u w:val="single"/>
        </w:rPr>
      </w:pPr>
      <w:ins w:id="11426" w:author="AbbVie2" w:date="2025-05-13T16:40:00Z">
        <w:r w:rsidRPr="00784D09">
          <w:rPr>
            <w:sz w:val="22"/>
            <w:szCs w:val="22"/>
            <w:u w:val="single"/>
          </w:rPr>
          <w:t>Excipientes com efeito conhecido</w:t>
        </w:r>
      </w:ins>
    </w:p>
    <w:p w14:paraId="637F3314" w14:textId="77777777" w:rsidR="00412FC8" w:rsidRDefault="00412FC8" w:rsidP="00412FC8">
      <w:pPr>
        <w:autoSpaceDE w:val="0"/>
        <w:autoSpaceDN w:val="0"/>
        <w:adjustRightInd w:val="0"/>
        <w:rPr>
          <w:ins w:id="11427" w:author="AbbVie2" w:date="2025-05-13T16:40:00Z"/>
          <w:sz w:val="22"/>
          <w:szCs w:val="22"/>
        </w:rPr>
      </w:pPr>
    </w:p>
    <w:p w14:paraId="33D72E45" w14:textId="1BC4E0AB" w:rsidR="00412FC8" w:rsidRDefault="00615769" w:rsidP="004462A0">
      <w:pPr>
        <w:autoSpaceDE w:val="0"/>
        <w:autoSpaceDN w:val="0"/>
        <w:adjustRightInd w:val="0"/>
        <w:rPr>
          <w:ins w:id="11428" w:author="AbbVie2" w:date="2025-05-13T16:40:00Z"/>
          <w:sz w:val="22"/>
          <w:szCs w:val="22"/>
        </w:rPr>
      </w:pPr>
      <w:ins w:id="11429" w:author="AbbVie2" w:date="2025-05-13T16:40:00Z">
        <w:r>
          <w:rPr>
            <w:sz w:val="22"/>
            <w:szCs w:val="22"/>
          </w:rPr>
          <w:t>Este medicamento contém 0,4 mg de polissorbato 80 em cada dose de 40 mg.</w:t>
        </w:r>
      </w:ins>
    </w:p>
    <w:p w14:paraId="676E6F2E" w14:textId="77777777" w:rsidR="00412FC8" w:rsidRPr="008912CF" w:rsidRDefault="00412FC8" w:rsidP="004462A0">
      <w:pPr>
        <w:autoSpaceDE w:val="0"/>
        <w:autoSpaceDN w:val="0"/>
        <w:adjustRightInd w:val="0"/>
        <w:rPr>
          <w:sz w:val="22"/>
          <w:szCs w:val="22"/>
        </w:rPr>
      </w:pPr>
    </w:p>
    <w:p w14:paraId="6E51D291" w14:textId="77777777" w:rsidR="004462A0" w:rsidRPr="008912CF" w:rsidRDefault="00615769" w:rsidP="004462A0">
      <w:pPr>
        <w:rPr>
          <w:sz w:val="22"/>
          <w:szCs w:val="22"/>
        </w:rPr>
      </w:pPr>
      <w:r w:rsidRPr="008912CF">
        <w:rPr>
          <w:sz w:val="22"/>
          <w:szCs w:val="22"/>
        </w:rPr>
        <w:t xml:space="preserve">Lista completa de excipientes, ver secção 6.1. </w:t>
      </w:r>
    </w:p>
    <w:p w14:paraId="5407F0A6" w14:textId="77777777" w:rsidR="004462A0" w:rsidRPr="008912CF" w:rsidRDefault="004462A0" w:rsidP="004462A0">
      <w:pPr>
        <w:pStyle w:val="EndnoteText"/>
        <w:tabs>
          <w:tab w:val="clear" w:pos="567"/>
        </w:tabs>
        <w:rPr>
          <w:szCs w:val="22"/>
        </w:rPr>
      </w:pPr>
    </w:p>
    <w:p w14:paraId="4FA7E067" w14:textId="77777777" w:rsidR="004462A0" w:rsidRPr="008912CF" w:rsidRDefault="004462A0" w:rsidP="004462A0">
      <w:pPr>
        <w:rPr>
          <w:sz w:val="22"/>
          <w:szCs w:val="22"/>
        </w:rPr>
      </w:pPr>
    </w:p>
    <w:p w14:paraId="7658AFEC" w14:textId="77777777" w:rsidR="004462A0" w:rsidRPr="008912CF" w:rsidRDefault="00615769" w:rsidP="004462A0">
      <w:pPr>
        <w:ind w:left="567" w:hanging="567"/>
        <w:rPr>
          <w:b/>
          <w:caps/>
          <w:sz w:val="22"/>
          <w:szCs w:val="22"/>
          <w:highlight w:val="yellow"/>
        </w:rPr>
      </w:pPr>
      <w:r w:rsidRPr="008912CF">
        <w:rPr>
          <w:b/>
          <w:sz w:val="22"/>
          <w:szCs w:val="22"/>
        </w:rPr>
        <w:t>3.</w:t>
      </w:r>
      <w:r w:rsidRPr="008912CF">
        <w:rPr>
          <w:b/>
          <w:sz w:val="22"/>
          <w:szCs w:val="22"/>
        </w:rPr>
        <w:tab/>
      </w:r>
      <w:r w:rsidRPr="008912CF">
        <w:rPr>
          <w:b/>
          <w:caps/>
          <w:sz w:val="22"/>
          <w:szCs w:val="22"/>
        </w:rPr>
        <w:t>formA FARMACÊUTICA</w:t>
      </w:r>
    </w:p>
    <w:p w14:paraId="4361EF23" w14:textId="77777777" w:rsidR="004462A0" w:rsidRPr="008912CF" w:rsidRDefault="004462A0" w:rsidP="004462A0">
      <w:pPr>
        <w:rPr>
          <w:b/>
          <w:caps/>
          <w:sz w:val="22"/>
          <w:szCs w:val="22"/>
        </w:rPr>
      </w:pPr>
    </w:p>
    <w:p w14:paraId="1F1FFC0A" w14:textId="77777777" w:rsidR="004462A0" w:rsidRPr="008912CF" w:rsidRDefault="00615769" w:rsidP="004462A0">
      <w:pPr>
        <w:rPr>
          <w:sz w:val="22"/>
          <w:szCs w:val="22"/>
        </w:rPr>
      </w:pPr>
      <w:r w:rsidRPr="008912CF">
        <w:rPr>
          <w:sz w:val="22"/>
          <w:szCs w:val="22"/>
        </w:rPr>
        <w:t>Solução injetável.</w:t>
      </w:r>
      <w:r w:rsidR="00A303D5">
        <w:rPr>
          <w:sz w:val="22"/>
          <w:szCs w:val="22"/>
        </w:rPr>
        <w:t xml:space="preserve"> </w:t>
      </w:r>
      <w:r w:rsidR="00C667BF">
        <w:rPr>
          <w:sz w:val="22"/>
          <w:szCs w:val="22"/>
        </w:rPr>
        <w:t>(</w:t>
      </w:r>
      <w:r w:rsidR="008F48BD">
        <w:rPr>
          <w:sz w:val="22"/>
          <w:szCs w:val="22"/>
        </w:rPr>
        <w:t>injetável</w:t>
      </w:r>
      <w:r w:rsidR="00C667BF">
        <w:rPr>
          <w:sz w:val="22"/>
          <w:szCs w:val="22"/>
        </w:rPr>
        <w:t>)</w:t>
      </w:r>
    </w:p>
    <w:p w14:paraId="2914DBCF" w14:textId="77777777" w:rsidR="004462A0" w:rsidRPr="008912CF" w:rsidRDefault="004462A0" w:rsidP="004462A0">
      <w:pPr>
        <w:rPr>
          <w:sz w:val="22"/>
          <w:szCs w:val="22"/>
        </w:rPr>
      </w:pPr>
    </w:p>
    <w:p w14:paraId="20415550" w14:textId="77777777" w:rsidR="004462A0" w:rsidRPr="008912CF" w:rsidRDefault="00615769" w:rsidP="004462A0">
      <w:pPr>
        <w:rPr>
          <w:sz w:val="22"/>
          <w:szCs w:val="22"/>
        </w:rPr>
      </w:pPr>
      <w:r w:rsidRPr="008912CF">
        <w:rPr>
          <w:sz w:val="22"/>
          <w:szCs w:val="22"/>
        </w:rPr>
        <w:t xml:space="preserve">Solução límpida e incolor. </w:t>
      </w:r>
    </w:p>
    <w:p w14:paraId="0572B1FC" w14:textId="77777777" w:rsidR="004462A0" w:rsidRPr="008912CF" w:rsidRDefault="004462A0" w:rsidP="004462A0">
      <w:pPr>
        <w:pStyle w:val="EndnoteText"/>
        <w:tabs>
          <w:tab w:val="clear" w:pos="567"/>
        </w:tabs>
        <w:rPr>
          <w:szCs w:val="22"/>
        </w:rPr>
      </w:pPr>
    </w:p>
    <w:p w14:paraId="1C22D4CF" w14:textId="77777777" w:rsidR="004462A0" w:rsidRPr="008912CF" w:rsidRDefault="004462A0" w:rsidP="004462A0">
      <w:pPr>
        <w:rPr>
          <w:sz w:val="22"/>
          <w:szCs w:val="22"/>
        </w:rPr>
      </w:pPr>
    </w:p>
    <w:p w14:paraId="7F4ACEE1" w14:textId="77777777" w:rsidR="004462A0" w:rsidRPr="008912CF" w:rsidRDefault="00615769" w:rsidP="004462A0">
      <w:pPr>
        <w:ind w:left="567" w:hanging="567"/>
        <w:rPr>
          <w:caps/>
          <w:sz w:val="22"/>
          <w:szCs w:val="22"/>
        </w:rPr>
      </w:pPr>
      <w:r w:rsidRPr="008912CF">
        <w:rPr>
          <w:b/>
          <w:caps/>
          <w:sz w:val="22"/>
          <w:szCs w:val="22"/>
        </w:rPr>
        <w:t>4.</w:t>
      </w:r>
      <w:r w:rsidRPr="008912CF">
        <w:rPr>
          <w:b/>
          <w:caps/>
          <w:sz w:val="22"/>
          <w:szCs w:val="22"/>
        </w:rPr>
        <w:tab/>
        <w:t xml:space="preserve">INFORMAÇÕES CLÍNICAS </w:t>
      </w:r>
    </w:p>
    <w:p w14:paraId="73EF8B17" w14:textId="77777777" w:rsidR="004462A0" w:rsidRPr="008912CF" w:rsidRDefault="004462A0" w:rsidP="004462A0">
      <w:pPr>
        <w:rPr>
          <w:sz w:val="22"/>
          <w:szCs w:val="22"/>
        </w:rPr>
      </w:pPr>
    </w:p>
    <w:p w14:paraId="47B7ED36" w14:textId="77777777" w:rsidR="004462A0" w:rsidRPr="008912CF" w:rsidRDefault="00615769" w:rsidP="004462A0">
      <w:pPr>
        <w:ind w:left="567" w:hanging="567"/>
        <w:rPr>
          <w:sz w:val="22"/>
          <w:szCs w:val="22"/>
        </w:rPr>
      </w:pPr>
      <w:r w:rsidRPr="008912CF">
        <w:rPr>
          <w:b/>
          <w:sz w:val="22"/>
          <w:szCs w:val="22"/>
        </w:rPr>
        <w:t>4.1</w:t>
      </w:r>
      <w:r w:rsidRPr="008912CF">
        <w:rPr>
          <w:b/>
          <w:sz w:val="22"/>
          <w:szCs w:val="22"/>
        </w:rPr>
        <w:tab/>
        <w:t xml:space="preserve">Indicações terapêuticas </w:t>
      </w:r>
    </w:p>
    <w:p w14:paraId="76141432" w14:textId="77777777" w:rsidR="004462A0" w:rsidRPr="008912CF" w:rsidRDefault="004462A0" w:rsidP="004462A0">
      <w:pPr>
        <w:pStyle w:val="EndnoteText"/>
        <w:tabs>
          <w:tab w:val="clear" w:pos="567"/>
        </w:tabs>
        <w:rPr>
          <w:szCs w:val="22"/>
        </w:rPr>
      </w:pPr>
    </w:p>
    <w:p w14:paraId="7B57AB5C" w14:textId="77777777" w:rsidR="004462A0" w:rsidRPr="008912CF" w:rsidRDefault="00615769" w:rsidP="004462A0">
      <w:pPr>
        <w:pStyle w:val="Heading9"/>
        <w:keepNext w:val="0"/>
        <w:rPr>
          <w:szCs w:val="22"/>
        </w:rPr>
      </w:pPr>
      <w:r w:rsidRPr="008912CF">
        <w:rPr>
          <w:szCs w:val="22"/>
        </w:rPr>
        <w:t>Artrite reumatoide</w:t>
      </w:r>
    </w:p>
    <w:p w14:paraId="6D55E985" w14:textId="77777777" w:rsidR="004462A0" w:rsidRPr="008912CF" w:rsidRDefault="004462A0" w:rsidP="004462A0">
      <w:pPr>
        <w:rPr>
          <w:sz w:val="22"/>
          <w:szCs w:val="22"/>
        </w:rPr>
      </w:pPr>
    </w:p>
    <w:p w14:paraId="13EC9253" w14:textId="77777777" w:rsidR="004462A0" w:rsidRPr="008912CF" w:rsidRDefault="00615769" w:rsidP="004462A0">
      <w:pPr>
        <w:rPr>
          <w:sz w:val="22"/>
          <w:szCs w:val="22"/>
        </w:rPr>
      </w:pPr>
      <w:r w:rsidRPr="008912CF">
        <w:rPr>
          <w:sz w:val="22"/>
          <w:szCs w:val="22"/>
        </w:rPr>
        <w:t>Humira em associação com metotrexato está indicado:</w:t>
      </w:r>
    </w:p>
    <w:p w14:paraId="75B62921" w14:textId="77777777" w:rsidR="004462A0" w:rsidRPr="008912CF" w:rsidRDefault="004462A0" w:rsidP="004462A0">
      <w:pPr>
        <w:rPr>
          <w:sz w:val="22"/>
          <w:szCs w:val="22"/>
        </w:rPr>
      </w:pPr>
    </w:p>
    <w:p w14:paraId="6854D2EB" w14:textId="77777777" w:rsidR="004462A0" w:rsidRPr="008912CF" w:rsidRDefault="00615769" w:rsidP="004462A0">
      <w:pPr>
        <w:numPr>
          <w:ilvl w:val="0"/>
          <w:numId w:val="65"/>
        </w:numPr>
        <w:tabs>
          <w:tab w:val="clear" w:pos="360"/>
          <w:tab w:val="num" w:pos="600"/>
        </w:tabs>
        <w:ind w:left="600" w:hanging="600"/>
        <w:rPr>
          <w:sz w:val="22"/>
          <w:szCs w:val="22"/>
        </w:rPr>
      </w:pPr>
      <w:r w:rsidRPr="008912CF">
        <w:rPr>
          <w:sz w:val="22"/>
          <w:szCs w:val="22"/>
        </w:rPr>
        <w:t>no tratamento da artrite reumatoide ativa moderada a grave em doentes adultos nos casos em que foi demonstrada uma resposta inadequada a medicamentos anti</w:t>
      </w:r>
      <w:r w:rsidR="00F96DDF">
        <w:rPr>
          <w:sz w:val="22"/>
          <w:szCs w:val="22"/>
        </w:rPr>
        <w:t>-</w:t>
      </w:r>
      <w:r w:rsidRPr="008912CF">
        <w:rPr>
          <w:sz w:val="22"/>
          <w:szCs w:val="22"/>
        </w:rPr>
        <w:t>reumatismais modificadores da doença, incluindo metotrexato.</w:t>
      </w:r>
    </w:p>
    <w:p w14:paraId="192C6BFF" w14:textId="77777777" w:rsidR="004462A0" w:rsidRPr="008912CF" w:rsidRDefault="00615769" w:rsidP="004462A0">
      <w:pPr>
        <w:numPr>
          <w:ilvl w:val="0"/>
          <w:numId w:val="65"/>
        </w:numPr>
        <w:tabs>
          <w:tab w:val="clear" w:pos="360"/>
          <w:tab w:val="num" w:pos="600"/>
        </w:tabs>
        <w:ind w:left="600" w:hanging="600"/>
        <w:rPr>
          <w:sz w:val="22"/>
          <w:szCs w:val="22"/>
        </w:rPr>
      </w:pPr>
      <w:r w:rsidRPr="008912CF">
        <w:rPr>
          <w:sz w:val="22"/>
          <w:szCs w:val="22"/>
        </w:rPr>
        <w:t>no tratamento da artrite reumatoide grave, ativa e progressiva em adultos não previamente tratados com metotrexato.</w:t>
      </w:r>
    </w:p>
    <w:p w14:paraId="5837DB52" w14:textId="77777777" w:rsidR="004462A0" w:rsidRPr="008912CF" w:rsidRDefault="004462A0" w:rsidP="004462A0">
      <w:pPr>
        <w:rPr>
          <w:sz w:val="22"/>
          <w:szCs w:val="22"/>
        </w:rPr>
      </w:pPr>
    </w:p>
    <w:p w14:paraId="71E5AFC7" w14:textId="77777777" w:rsidR="004462A0" w:rsidRPr="008912CF" w:rsidRDefault="00615769" w:rsidP="004462A0">
      <w:pPr>
        <w:pStyle w:val="EndnoteText"/>
        <w:tabs>
          <w:tab w:val="clear" w:pos="567"/>
        </w:tabs>
        <w:rPr>
          <w:szCs w:val="22"/>
        </w:rPr>
      </w:pPr>
      <w:r w:rsidRPr="008912CF">
        <w:rPr>
          <w:szCs w:val="22"/>
        </w:rPr>
        <w:t>Humira pode ser administrado em monoterapia em caso de intolerância a metotrexato ou quando o tratamento continuado com metotrexato não é apropriado.</w:t>
      </w:r>
    </w:p>
    <w:p w14:paraId="13956114" w14:textId="77777777" w:rsidR="004462A0" w:rsidRPr="008912CF" w:rsidRDefault="004462A0" w:rsidP="004462A0">
      <w:pPr>
        <w:rPr>
          <w:sz w:val="22"/>
          <w:szCs w:val="22"/>
        </w:rPr>
      </w:pPr>
    </w:p>
    <w:p w14:paraId="64B9F270" w14:textId="77777777" w:rsidR="004462A0" w:rsidRPr="008912CF" w:rsidRDefault="00615769" w:rsidP="004462A0">
      <w:pPr>
        <w:pStyle w:val="BodyText2"/>
        <w:autoSpaceDE/>
        <w:autoSpaceDN/>
        <w:adjustRightInd/>
        <w:rPr>
          <w:szCs w:val="22"/>
        </w:rPr>
      </w:pPr>
      <w:r w:rsidRPr="008912CF">
        <w:rPr>
          <w:szCs w:val="22"/>
        </w:rPr>
        <w:t>Humira demonstrou reduzir a taxa de progressão das lesões articulares, avaliada através de radiografia e melhorar a função física, quando administrado em associação com metotrexato.</w:t>
      </w:r>
    </w:p>
    <w:p w14:paraId="4C96990A" w14:textId="77777777" w:rsidR="004462A0" w:rsidRPr="008912CF" w:rsidRDefault="004462A0" w:rsidP="004462A0">
      <w:pPr>
        <w:pStyle w:val="BodyText2"/>
        <w:autoSpaceDE/>
        <w:autoSpaceDN/>
        <w:adjustRightInd/>
        <w:rPr>
          <w:szCs w:val="22"/>
          <w:u w:val="single"/>
        </w:rPr>
      </w:pPr>
    </w:p>
    <w:p w14:paraId="4879F31E" w14:textId="77777777" w:rsidR="004462A0" w:rsidRPr="008912CF" w:rsidRDefault="00615769" w:rsidP="004462A0">
      <w:pPr>
        <w:pStyle w:val="BodyText2"/>
        <w:autoSpaceDE/>
        <w:autoSpaceDN/>
        <w:adjustRightInd/>
        <w:rPr>
          <w:szCs w:val="22"/>
        </w:rPr>
      </w:pPr>
      <w:r w:rsidRPr="008912CF">
        <w:rPr>
          <w:szCs w:val="22"/>
          <w:u w:val="single"/>
        </w:rPr>
        <w:t>Artrite idiopática juvenil</w:t>
      </w:r>
    </w:p>
    <w:p w14:paraId="0970A19D" w14:textId="77777777" w:rsidR="004462A0" w:rsidRPr="008912CF" w:rsidRDefault="004462A0" w:rsidP="004462A0">
      <w:pPr>
        <w:pStyle w:val="BodyText2"/>
        <w:autoSpaceDE/>
        <w:autoSpaceDN/>
        <w:adjustRightInd/>
        <w:rPr>
          <w:szCs w:val="22"/>
          <w:u w:val="single"/>
        </w:rPr>
      </w:pPr>
    </w:p>
    <w:p w14:paraId="40F4C419" w14:textId="77777777" w:rsidR="004462A0" w:rsidRPr="008912CF" w:rsidRDefault="00615769" w:rsidP="004462A0">
      <w:pPr>
        <w:pStyle w:val="BodyText2"/>
        <w:autoSpaceDE/>
        <w:autoSpaceDN/>
        <w:adjustRightInd/>
        <w:rPr>
          <w:szCs w:val="22"/>
        </w:rPr>
      </w:pPr>
      <w:r w:rsidRPr="008912CF">
        <w:rPr>
          <w:i/>
          <w:szCs w:val="22"/>
        </w:rPr>
        <w:t>Artrite idiopática juvenil poliarticular</w:t>
      </w:r>
    </w:p>
    <w:p w14:paraId="0913D88A" w14:textId="77777777" w:rsidR="004462A0" w:rsidRPr="008912CF" w:rsidRDefault="004462A0" w:rsidP="004462A0">
      <w:pPr>
        <w:pStyle w:val="BodyText2"/>
        <w:autoSpaceDE/>
        <w:autoSpaceDN/>
        <w:adjustRightInd/>
        <w:rPr>
          <w:szCs w:val="22"/>
        </w:rPr>
      </w:pPr>
    </w:p>
    <w:p w14:paraId="5966D75C" w14:textId="77777777" w:rsidR="004462A0" w:rsidRPr="008912CF" w:rsidRDefault="00615769" w:rsidP="004462A0">
      <w:pPr>
        <w:pStyle w:val="BodyText2"/>
        <w:autoSpaceDE/>
        <w:autoSpaceDN/>
        <w:adjustRightInd/>
        <w:rPr>
          <w:szCs w:val="22"/>
        </w:rPr>
      </w:pPr>
      <w:r w:rsidRPr="008912CF">
        <w:rPr>
          <w:szCs w:val="22"/>
        </w:rPr>
        <w:t>Humira em associação com metotrexato está indicado no tratamento da artrite idiopática juvenil poliarticular ativa, em doentes a partir dos 2 anos de idade, que tiveram uma resposta inadequada a um ou mais medicamentos anti</w:t>
      </w:r>
      <w:r w:rsidR="00F96DDF">
        <w:rPr>
          <w:szCs w:val="22"/>
        </w:rPr>
        <w:t>-</w:t>
      </w:r>
      <w:r w:rsidRPr="008912CF">
        <w:rPr>
          <w:szCs w:val="22"/>
        </w:rPr>
        <w:t>reumatismais modificadores da doença (DMARDs). Humira pode ser administrado em monoterapia em caso de intolerância a metotrexato ou quando o tratamento continuado com metotrexato não é apropriado (para a eficácia em monoterapia ver secção 5.1). Humira não foi estudado em doentes com menos de 2 anos.</w:t>
      </w:r>
    </w:p>
    <w:p w14:paraId="5960CB39" w14:textId="77777777" w:rsidR="004462A0" w:rsidRPr="008912CF" w:rsidRDefault="004462A0" w:rsidP="004462A0">
      <w:pPr>
        <w:pStyle w:val="BodyText2"/>
        <w:autoSpaceDE/>
        <w:autoSpaceDN/>
        <w:adjustRightInd/>
        <w:rPr>
          <w:szCs w:val="22"/>
          <w:u w:val="single"/>
        </w:rPr>
      </w:pPr>
    </w:p>
    <w:p w14:paraId="71612BA3" w14:textId="77777777" w:rsidR="004462A0" w:rsidRPr="008912CF" w:rsidRDefault="00615769" w:rsidP="004462A0">
      <w:pPr>
        <w:pStyle w:val="BodyText2"/>
        <w:keepNext/>
        <w:autoSpaceDE/>
        <w:autoSpaceDN/>
        <w:adjustRightInd/>
        <w:rPr>
          <w:szCs w:val="22"/>
        </w:rPr>
      </w:pPr>
      <w:r w:rsidRPr="008912CF">
        <w:rPr>
          <w:i/>
          <w:szCs w:val="22"/>
        </w:rPr>
        <w:t>Artrite relacionada com entesite</w:t>
      </w:r>
    </w:p>
    <w:p w14:paraId="37D3F591" w14:textId="77777777" w:rsidR="004462A0" w:rsidRPr="008912CF" w:rsidRDefault="004462A0" w:rsidP="004462A0">
      <w:pPr>
        <w:pStyle w:val="BodyText2"/>
        <w:keepNext/>
        <w:autoSpaceDE/>
        <w:autoSpaceDN/>
        <w:adjustRightInd/>
        <w:rPr>
          <w:szCs w:val="22"/>
          <w:u w:val="single"/>
        </w:rPr>
      </w:pPr>
    </w:p>
    <w:p w14:paraId="59807E23" w14:textId="77777777" w:rsidR="004462A0" w:rsidRPr="008912CF" w:rsidRDefault="00615769" w:rsidP="004462A0">
      <w:pPr>
        <w:pStyle w:val="BodyText2"/>
        <w:keepNext/>
        <w:autoSpaceDE/>
        <w:autoSpaceDN/>
        <w:adjustRightInd/>
        <w:rPr>
          <w:szCs w:val="22"/>
        </w:rPr>
      </w:pPr>
      <w:r w:rsidRPr="008912CF">
        <w:rPr>
          <w:szCs w:val="22"/>
        </w:rPr>
        <w:t>Humira está indicado no tratamento da artrite relacionada com entesite ativa em doentes com 6 anos de idade ou mais, que tiveram uma resposta inadequada ou intolerância à terapêutica convencional (ver secção 5.1).</w:t>
      </w:r>
    </w:p>
    <w:p w14:paraId="3173E2FA" w14:textId="77777777" w:rsidR="004462A0" w:rsidRPr="008912CF" w:rsidRDefault="004462A0" w:rsidP="004462A0">
      <w:pPr>
        <w:pStyle w:val="BodyText2"/>
        <w:autoSpaceDE/>
        <w:autoSpaceDN/>
        <w:adjustRightInd/>
        <w:rPr>
          <w:szCs w:val="22"/>
          <w:u w:val="single"/>
        </w:rPr>
      </w:pPr>
    </w:p>
    <w:p w14:paraId="45D757A1" w14:textId="77777777" w:rsidR="004462A0" w:rsidRPr="008912CF" w:rsidRDefault="00615769" w:rsidP="004462A0">
      <w:pPr>
        <w:pStyle w:val="BodyText2"/>
        <w:autoSpaceDE/>
        <w:autoSpaceDN/>
        <w:adjustRightInd/>
        <w:rPr>
          <w:szCs w:val="22"/>
          <w:u w:val="single"/>
        </w:rPr>
      </w:pPr>
      <w:r w:rsidRPr="008912CF">
        <w:rPr>
          <w:szCs w:val="22"/>
          <w:u w:val="single"/>
        </w:rPr>
        <w:t>Espondilartrite axial</w:t>
      </w:r>
    </w:p>
    <w:p w14:paraId="714987EA" w14:textId="77777777" w:rsidR="004462A0" w:rsidRPr="008912CF" w:rsidRDefault="004462A0" w:rsidP="004462A0">
      <w:pPr>
        <w:pStyle w:val="BodyText2"/>
        <w:autoSpaceDE/>
        <w:autoSpaceDN/>
        <w:adjustRightInd/>
        <w:rPr>
          <w:szCs w:val="22"/>
          <w:u w:val="single"/>
        </w:rPr>
      </w:pPr>
    </w:p>
    <w:p w14:paraId="2CF00057" w14:textId="77777777" w:rsidR="004462A0" w:rsidRPr="008912CF" w:rsidRDefault="00615769" w:rsidP="004462A0">
      <w:pPr>
        <w:pStyle w:val="Heading9"/>
        <w:keepNext w:val="0"/>
        <w:rPr>
          <w:szCs w:val="22"/>
          <w:u w:val="none"/>
        </w:rPr>
      </w:pPr>
      <w:r w:rsidRPr="008912CF">
        <w:rPr>
          <w:i/>
          <w:szCs w:val="22"/>
          <w:u w:val="none"/>
        </w:rPr>
        <w:t>Espondilite anquilosante (EA)</w:t>
      </w:r>
    </w:p>
    <w:p w14:paraId="0E49C57A" w14:textId="77777777" w:rsidR="004462A0" w:rsidRPr="008912CF" w:rsidRDefault="004462A0" w:rsidP="004462A0">
      <w:pPr>
        <w:rPr>
          <w:sz w:val="22"/>
          <w:szCs w:val="22"/>
        </w:rPr>
      </w:pPr>
    </w:p>
    <w:p w14:paraId="3F2991D1" w14:textId="77777777" w:rsidR="004462A0" w:rsidRPr="008912CF" w:rsidRDefault="00615769" w:rsidP="004462A0">
      <w:pPr>
        <w:rPr>
          <w:sz w:val="22"/>
          <w:szCs w:val="22"/>
        </w:rPr>
      </w:pPr>
      <w:r w:rsidRPr="008912CF">
        <w:rPr>
          <w:sz w:val="22"/>
          <w:szCs w:val="22"/>
        </w:rPr>
        <w:t>Humira está indicado no tratamento da espondilite anquilosante ativa grave em adultos que tiveram uma resposta inadequada à terapêutica convencional.</w:t>
      </w:r>
    </w:p>
    <w:p w14:paraId="38CBD71E" w14:textId="77777777" w:rsidR="004462A0" w:rsidRPr="008912CF" w:rsidRDefault="004462A0" w:rsidP="004462A0">
      <w:pPr>
        <w:pStyle w:val="BodyText2"/>
        <w:autoSpaceDE/>
        <w:autoSpaceDN/>
        <w:adjustRightInd/>
        <w:rPr>
          <w:szCs w:val="22"/>
          <w:u w:val="single"/>
        </w:rPr>
      </w:pPr>
    </w:p>
    <w:p w14:paraId="7F086BB7" w14:textId="77777777" w:rsidR="004462A0" w:rsidRPr="008912CF" w:rsidRDefault="00615769" w:rsidP="004462A0">
      <w:pPr>
        <w:pStyle w:val="BodyText2"/>
        <w:autoSpaceDE/>
        <w:autoSpaceDN/>
        <w:adjustRightInd/>
        <w:rPr>
          <w:i/>
          <w:szCs w:val="22"/>
        </w:rPr>
      </w:pPr>
      <w:r w:rsidRPr="008912CF">
        <w:rPr>
          <w:i/>
          <w:szCs w:val="22"/>
        </w:rPr>
        <w:t>Espondilartrite axial sem evidência radiográfica de EA</w:t>
      </w:r>
    </w:p>
    <w:p w14:paraId="0119592D" w14:textId="77777777" w:rsidR="004462A0" w:rsidRPr="008912CF" w:rsidRDefault="004462A0" w:rsidP="004462A0">
      <w:pPr>
        <w:pStyle w:val="BodyText2"/>
        <w:autoSpaceDE/>
        <w:autoSpaceDN/>
        <w:adjustRightInd/>
        <w:rPr>
          <w:szCs w:val="22"/>
          <w:u w:val="single"/>
        </w:rPr>
      </w:pPr>
    </w:p>
    <w:p w14:paraId="447EB30B" w14:textId="77777777" w:rsidR="004462A0" w:rsidRPr="008912CF" w:rsidRDefault="00615769" w:rsidP="004462A0">
      <w:pPr>
        <w:pStyle w:val="BodyText2"/>
        <w:autoSpaceDE/>
        <w:autoSpaceDN/>
        <w:adjustRightInd/>
        <w:rPr>
          <w:szCs w:val="22"/>
        </w:rPr>
      </w:pPr>
      <w:r w:rsidRPr="008912CF">
        <w:rPr>
          <w:szCs w:val="22"/>
        </w:rPr>
        <w:t xml:space="preserve">Humira está indicado no tratamento da espondilartrite axial grave sem evidência radiográfica de EA, mas com sinais objetivos de inflamação por PCR elevada e/ou por Ressonância Magnética (MR), </w:t>
      </w:r>
      <w:r w:rsidR="000C7914">
        <w:rPr>
          <w:szCs w:val="22"/>
        </w:rPr>
        <w:t xml:space="preserve">em adultos </w:t>
      </w:r>
      <w:r w:rsidRPr="008912CF">
        <w:rPr>
          <w:szCs w:val="22"/>
        </w:rPr>
        <w:t>que tiveram uma resposta inadequada, ou que são intolerantes aos medicamentos anti-inflamatórios não esteroides</w:t>
      </w:r>
      <w:r w:rsidR="00506582">
        <w:rPr>
          <w:szCs w:val="22"/>
        </w:rPr>
        <w:t xml:space="preserve"> </w:t>
      </w:r>
      <w:r w:rsidR="00506582" w:rsidRPr="00506582">
        <w:rPr>
          <w:szCs w:val="22"/>
        </w:rPr>
        <w:t>(AINEs)</w:t>
      </w:r>
      <w:r w:rsidRPr="008912CF">
        <w:rPr>
          <w:szCs w:val="22"/>
        </w:rPr>
        <w:t>.</w:t>
      </w:r>
    </w:p>
    <w:p w14:paraId="4BA78078" w14:textId="77777777" w:rsidR="004462A0" w:rsidRPr="008912CF" w:rsidRDefault="004462A0" w:rsidP="004462A0">
      <w:pPr>
        <w:pStyle w:val="BodyText2"/>
        <w:autoSpaceDE/>
        <w:autoSpaceDN/>
        <w:adjustRightInd/>
        <w:rPr>
          <w:szCs w:val="22"/>
        </w:rPr>
      </w:pPr>
    </w:p>
    <w:p w14:paraId="73F847DE" w14:textId="77777777" w:rsidR="004462A0" w:rsidRPr="008912CF" w:rsidRDefault="00615769" w:rsidP="004462A0">
      <w:pPr>
        <w:pStyle w:val="BodyText2"/>
        <w:autoSpaceDE/>
        <w:autoSpaceDN/>
        <w:adjustRightInd/>
        <w:rPr>
          <w:szCs w:val="22"/>
          <w:u w:val="single"/>
        </w:rPr>
      </w:pPr>
      <w:r w:rsidRPr="008912CF">
        <w:rPr>
          <w:szCs w:val="22"/>
          <w:u w:val="single"/>
        </w:rPr>
        <w:t>Artrite psoriática</w:t>
      </w:r>
    </w:p>
    <w:p w14:paraId="16EA0C68" w14:textId="77777777" w:rsidR="004462A0" w:rsidRPr="008912CF" w:rsidRDefault="004462A0" w:rsidP="004462A0">
      <w:pPr>
        <w:pStyle w:val="BodyText2"/>
        <w:autoSpaceDE/>
        <w:autoSpaceDN/>
        <w:adjustRightInd/>
        <w:rPr>
          <w:szCs w:val="22"/>
        </w:rPr>
      </w:pPr>
    </w:p>
    <w:p w14:paraId="2BEAB5E5" w14:textId="77777777" w:rsidR="004462A0" w:rsidRPr="008912CF" w:rsidRDefault="00615769" w:rsidP="004462A0">
      <w:pPr>
        <w:rPr>
          <w:sz w:val="22"/>
          <w:szCs w:val="22"/>
        </w:rPr>
      </w:pPr>
      <w:r w:rsidRPr="008912CF">
        <w:rPr>
          <w:sz w:val="22"/>
          <w:szCs w:val="22"/>
        </w:rPr>
        <w:t>Humira está indicado no tratamento da artrite psoriática ativa e progressiva em adultos quando a resposta a um tratamento prévio com medicamentos anti</w:t>
      </w:r>
      <w:r w:rsidR="00F96DDF">
        <w:rPr>
          <w:sz w:val="22"/>
          <w:szCs w:val="22"/>
        </w:rPr>
        <w:t>-</w:t>
      </w:r>
      <w:r w:rsidRPr="008912CF">
        <w:rPr>
          <w:sz w:val="22"/>
          <w:szCs w:val="22"/>
        </w:rPr>
        <w:t>reumatismais modificadores da doença foi inadequada. Humira demonstrou melhorar a função física e reduzir a taxa de progressão das lesões articulares periféricas, avaliada através de radiografia em doentes com subtipos poliarticulares simétricos da doença (ver secção 5.1).</w:t>
      </w:r>
    </w:p>
    <w:p w14:paraId="6650C9F0" w14:textId="77777777" w:rsidR="004462A0" w:rsidRPr="008912CF" w:rsidRDefault="004462A0" w:rsidP="004462A0">
      <w:pPr>
        <w:pStyle w:val="EMEANormal"/>
        <w:rPr>
          <w:szCs w:val="22"/>
          <w:lang w:val="pt-PT"/>
        </w:rPr>
      </w:pPr>
    </w:p>
    <w:p w14:paraId="445FDB6C" w14:textId="77777777" w:rsidR="004462A0" w:rsidRPr="008912CF" w:rsidRDefault="00615769" w:rsidP="004462A0">
      <w:pPr>
        <w:pStyle w:val="DefaultText"/>
        <w:rPr>
          <w:rFonts w:ascii="Times New Roman" w:hAnsi="Times New Roman"/>
          <w:szCs w:val="22"/>
          <w:u w:val="single"/>
          <w:lang w:val="pt-PT"/>
        </w:rPr>
      </w:pPr>
      <w:r w:rsidRPr="008912CF">
        <w:rPr>
          <w:rFonts w:ascii="Times New Roman" w:hAnsi="Times New Roman"/>
          <w:szCs w:val="22"/>
          <w:u w:val="single"/>
          <w:lang w:val="pt-PT"/>
        </w:rPr>
        <w:t>Psoríase</w:t>
      </w:r>
    </w:p>
    <w:p w14:paraId="2C7192E8" w14:textId="77777777" w:rsidR="004462A0" w:rsidRPr="008912CF" w:rsidRDefault="004462A0" w:rsidP="004462A0">
      <w:pPr>
        <w:pStyle w:val="DefaultText"/>
        <w:rPr>
          <w:rFonts w:ascii="Times New Roman" w:hAnsi="Times New Roman"/>
          <w:szCs w:val="22"/>
          <w:lang w:val="pt-PT"/>
        </w:rPr>
      </w:pPr>
    </w:p>
    <w:p w14:paraId="1C1D8B80" w14:textId="77777777" w:rsidR="004462A0" w:rsidRPr="008912CF" w:rsidRDefault="00615769" w:rsidP="004462A0">
      <w:pPr>
        <w:rPr>
          <w:sz w:val="22"/>
          <w:szCs w:val="22"/>
        </w:rPr>
      </w:pPr>
      <w:r w:rsidRPr="008912CF">
        <w:rPr>
          <w:sz w:val="22"/>
          <w:szCs w:val="22"/>
        </w:rPr>
        <w:t>Humira está indicado no tratamento da psoríase crónica em placas, moderada a grave</w:t>
      </w:r>
      <w:r>
        <w:rPr>
          <w:sz w:val="22"/>
          <w:szCs w:val="22"/>
        </w:rPr>
        <w:t xml:space="preserve">, </w:t>
      </w:r>
      <w:r w:rsidRPr="008912CF">
        <w:rPr>
          <w:sz w:val="22"/>
          <w:szCs w:val="22"/>
        </w:rPr>
        <w:t>em doentes adultos que são candidatos a terapêutica sistémica.</w:t>
      </w:r>
    </w:p>
    <w:p w14:paraId="347D7056" w14:textId="77777777" w:rsidR="004462A0" w:rsidRPr="008912CF" w:rsidRDefault="004462A0" w:rsidP="004462A0">
      <w:pPr>
        <w:pStyle w:val="BodyText2"/>
        <w:autoSpaceDE/>
        <w:autoSpaceDN/>
        <w:adjustRightInd/>
        <w:rPr>
          <w:szCs w:val="22"/>
        </w:rPr>
      </w:pPr>
    </w:p>
    <w:p w14:paraId="4B4B6DFB" w14:textId="77777777" w:rsidR="004462A0" w:rsidRPr="008912CF" w:rsidRDefault="00615769" w:rsidP="004462A0">
      <w:pPr>
        <w:rPr>
          <w:sz w:val="22"/>
          <w:szCs w:val="22"/>
          <w:u w:val="single"/>
        </w:rPr>
      </w:pPr>
      <w:r w:rsidRPr="008912CF">
        <w:rPr>
          <w:sz w:val="22"/>
          <w:szCs w:val="22"/>
          <w:u w:val="single"/>
        </w:rPr>
        <w:t>Psoríase pediátrica em placas</w:t>
      </w:r>
    </w:p>
    <w:p w14:paraId="27C70EC0" w14:textId="77777777" w:rsidR="004462A0" w:rsidRPr="008912CF" w:rsidRDefault="004462A0" w:rsidP="004462A0">
      <w:pPr>
        <w:rPr>
          <w:sz w:val="22"/>
          <w:szCs w:val="22"/>
        </w:rPr>
      </w:pPr>
    </w:p>
    <w:p w14:paraId="1A8DAA0D" w14:textId="77777777" w:rsidR="004462A0" w:rsidRPr="008912CF" w:rsidRDefault="00615769" w:rsidP="004462A0">
      <w:pPr>
        <w:pStyle w:val="BodyText2"/>
        <w:autoSpaceDE/>
        <w:autoSpaceDN/>
        <w:adjustRightInd/>
        <w:rPr>
          <w:szCs w:val="22"/>
        </w:rPr>
      </w:pPr>
      <w:r w:rsidRPr="008912CF">
        <w:rPr>
          <w:szCs w:val="22"/>
        </w:rPr>
        <w:t>Humira está indicado no tratamento da psoríase crónica em placas, grave, em crianças e adolescentes a partir dos 4 anos de idade, que não tiveram uma resposta adequada ou quando não são candidatos a tratamento tópico e fototerapias.</w:t>
      </w:r>
    </w:p>
    <w:p w14:paraId="47C18771" w14:textId="77777777" w:rsidR="004462A0" w:rsidRPr="008912CF" w:rsidRDefault="004462A0" w:rsidP="004462A0">
      <w:pPr>
        <w:pStyle w:val="Heading9"/>
        <w:rPr>
          <w:szCs w:val="22"/>
        </w:rPr>
      </w:pPr>
    </w:p>
    <w:p w14:paraId="6675E845" w14:textId="77777777" w:rsidR="004462A0" w:rsidRPr="008912CF" w:rsidRDefault="00615769" w:rsidP="004462A0">
      <w:pPr>
        <w:pStyle w:val="Heading9"/>
        <w:rPr>
          <w:szCs w:val="22"/>
        </w:rPr>
      </w:pPr>
      <w:r w:rsidRPr="008912CF">
        <w:rPr>
          <w:szCs w:val="22"/>
        </w:rPr>
        <w:t>Hidradenite supurativa (HS)</w:t>
      </w:r>
    </w:p>
    <w:p w14:paraId="545C8053" w14:textId="77777777" w:rsidR="004462A0" w:rsidRPr="008912CF" w:rsidRDefault="004462A0" w:rsidP="004462A0">
      <w:pPr>
        <w:pStyle w:val="Heading9"/>
        <w:rPr>
          <w:szCs w:val="22"/>
        </w:rPr>
      </w:pPr>
    </w:p>
    <w:p w14:paraId="7BB3C126" w14:textId="77777777" w:rsidR="004462A0" w:rsidRPr="008912CF" w:rsidRDefault="00615769" w:rsidP="004462A0">
      <w:pPr>
        <w:pStyle w:val="Heading9"/>
        <w:keepNext w:val="0"/>
        <w:rPr>
          <w:szCs w:val="22"/>
          <w:u w:val="none"/>
        </w:rPr>
      </w:pPr>
      <w:r w:rsidRPr="008912CF">
        <w:rPr>
          <w:szCs w:val="22"/>
          <w:u w:val="none"/>
        </w:rPr>
        <w:t>Humira está indicado no tratamento da hidradenite supurativa (hidrosadenite supurativa ou acne inversa) ativa, moderada a grave, em adultos</w:t>
      </w:r>
      <w:r>
        <w:rPr>
          <w:szCs w:val="22"/>
          <w:u w:val="none"/>
        </w:rPr>
        <w:t xml:space="preserve"> e adolescentes a partir dos 12 anos de idade</w:t>
      </w:r>
      <w:r w:rsidRPr="008912CF">
        <w:rPr>
          <w:szCs w:val="22"/>
          <w:u w:val="none"/>
        </w:rPr>
        <w:t xml:space="preserve"> com uma resposta inadequada à terapêutica sistémica convencional para a HS</w:t>
      </w:r>
      <w:r>
        <w:rPr>
          <w:szCs w:val="22"/>
          <w:u w:val="none"/>
        </w:rPr>
        <w:t xml:space="preserve"> (ver secções 5.1 e 5.2)</w:t>
      </w:r>
      <w:r w:rsidRPr="008912CF">
        <w:rPr>
          <w:szCs w:val="22"/>
          <w:u w:val="none"/>
        </w:rPr>
        <w:t>.</w:t>
      </w:r>
    </w:p>
    <w:p w14:paraId="3A05B635" w14:textId="77777777" w:rsidR="004462A0" w:rsidRPr="008912CF" w:rsidRDefault="004462A0" w:rsidP="004462A0">
      <w:pPr>
        <w:pStyle w:val="Heading9"/>
        <w:keepNext w:val="0"/>
        <w:rPr>
          <w:szCs w:val="22"/>
        </w:rPr>
      </w:pPr>
    </w:p>
    <w:p w14:paraId="082BDC36" w14:textId="77777777" w:rsidR="004462A0" w:rsidRPr="008912CF" w:rsidRDefault="00615769" w:rsidP="004462A0">
      <w:pPr>
        <w:pStyle w:val="Heading9"/>
        <w:keepNext w:val="0"/>
        <w:rPr>
          <w:szCs w:val="22"/>
        </w:rPr>
      </w:pPr>
      <w:r w:rsidRPr="008912CF">
        <w:rPr>
          <w:szCs w:val="22"/>
        </w:rPr>
        <w:t>Doença de Crohn</w:t>
      </w:r>
    </w:p>
    <w:p w14:paraId="15ABA5A3" w14:textId="77777777" w:rsidR="004462A0" w:rsidRPr="008912CF" w:rsidRDefault="004462A0" w:rsidP="004462A0">
      <w:pPr>
        <w:rPr>
          <w:sz w:val="22"/>
          <w:szCs w:val="22"/>
        </w:rPr>
      </w:pPr>
    </w:p>
    <w:p w14:paraId="74FE2385" w14:textId="77777777" w:rsidR="004462A0" w:rsidRPr="008912CF" w:rsidRDefault="00615769" w:rsidP="004462A0">
      <w:pPr>
        <w:pStyle w:val="BodyText2"/>
        <w:autoSpaceDE/>
        <w:autoSpaceDN/>
        <w:adjustRightInd/>
        <w:rPr>
          <w:szCs w:val="22"/>
        </w:rPr>
      </w:pPr>
      <w:r w:rsidRPr="008912CF">
        <w:rPr>
          <w:szCs w:val="22"/>
        </w:rPr>
        <w:t>Humira está indicado no tratamento da doença de Crohn ativa, moderada a grave, em doentes adultos que não responderam mesmo após um ciclo completo e adequado de tratamento com um corticosteroide e/ou imunossupressor; ou que são intolerantes ou têm contraindicações médicas para essas terapêuticas.</w:t>
      </w:r>
    </w:p>
    <w:p w14:paraId="54A5A631" w14:textId="77777777" w:rsidR="004462A0" w:rsidRPr="008912CF" w:rsidRDefault="004462A0" w:rsidP="004462A0">
      <w:pPr>
        <w:pStyle w:val="BodyText2"/>
        <w:autoSpaceDE/>
        <w:autoSpaceDN/>
        <w:adjustRightInd/>
        <w:rPr>
          <w:szCs w:val="22"/>
          <w:u w:val="single"/>
        </w:rPr>
      </w:pPr>
    </w:p>
    <w:p w14:paraId="71E58FD2" w14:textId="77777777" w:rsidR="004462A0" w:rsidRPr="008912CF" w:rsidRDefault="00615769" w:rsidP="00AD6FCC">
      <w:pPr>
        <w:pStyle w:val="BodyText2"/>
        <w:keepNext/>
        <w:autoSpaceDE/>
        <w:autoSpaceDN/>
        <w:adjustRightInd/>
        <w:rPr>
          <w:szCs w:val="22"/>
          <w:u w:val="single"/>
        </w:rPr>
      </w:pPr>
      <w:r w:rsidRPr="008912CF">
        <w:rPr>
          <w:szCs w:val="22"/>
          <w:u w:val="single"/>
        </w:rPr>
        <w:t>Doença de Crohn pediátrica</w:t>
      </w:r>
    </w:p>
    <w:p w14:paraId="0ECB6C52" w14:textId="77777777" w:rsidR="004462A0" w:rsidRPr="008912CF" w:rsidRDefault="004462A0" w:rsidP="00AD6FCC">
      <w:pPr>
        <w:pStyle w:val="BodyText2"/>
        <w:keepNext/>
        <w:autoSpaceDE/>
        <w:autoSpaceDN/>
        <w:adjustRightInd/>
        <w:rPr>
          <w:szCs w:val="22"/>
        </w:rPr>
      </w:pPr>
    </w:p>
    <w:p w14:paraId="2D07312D" w14:textId="77777777" w:rsidR="004462A0" w:rsidRPr="008912CF" w:rsidRDefault="00615769" w:rsidP="00AD6FCC">
      <w:pPr>
        <w:pStyle w:val="BodyText2"/>
        <w:keepNext/>
        <w:autoSpaceDE/>
        <w:autoSpaceDN/>
        <w:adjustRightInd/>
        <w:rPr>
          <w:szCs w:val="22"/>
        </w:rPr>
      </w:pPr>
      <w:r w:rsidRPr="008912CF">
        <w:rPr>
          <w:szCs w:val="22"/>
        </w:rPr>
        <w:t xml:space="preserve">Humira está indicado no tratamento da doença de Crohn ativa moderada a grave em doentes pediátricos (a partir dos 6 anos de idade) que tiveram uma resposta inadequada à terapêutica convencional, incluindo terapêutica de nutrição primária e um corticosteroide e/ou um imunomodulador, ou que apresentam intolerância ou contraindicações a tais terapêuticas.  </w:t>
      </w:r>
    </w:p>
    <w:p w14:paraId="07F64559" w14:textId="77777777" w:rsidR="004462A0" w:rsidRPr="008912CF" w:rsidRDefault="004462A0" w:rsidP="004462A0">
      <w:pPr>
        <w:pStyle w:val="BodyText2"/>
        <w:autoSpaceDE/>
        <w:autoSpaceDN/>
        <w:adjustRightInd/>
        <w:rPr>
          <w:szCs w:val="22"/>
        </w:rPr>
      </w:pPr>
    </w:p>
    <w:p w14:paraId="0DCF0B14" w14:textId="77777777" w:rsidR="004462A0" w:rsidRPr="008912CF" w:rsidRDefault="00615769" w:rsidP="004462A0">
      <w:pPr>
        <w:pStyle w:val="BodyText2"/>
        <w:autoSpaceDE/>
        <w:autoSpaceDN/>
        <w:adjustRightInd/>
        <w:rPr>
          <w:szCs w:val="22"/>
          <w:u w:val="single"/>
        </w:rPr>
      </w:pPr>
      <w:r w:rsidRPr="008912CF">
        <w:rPr>
          <w:szCs w:val="22"/>
          <w:u w:val="single"/>
        </w:rPr>
        <w:t>Colite ulcerosa</w:t>
      </w:r>
    </w:p>
    <w:p w14:paraId="5AE8A407" w14:textId="77777777" w:rsidR="004462A0" w:rsidRPr="008912CF" w:rsidRDefault="004462A0" w:rsidP="004462A0">
      <w:pPr>
        <w:pStyle w:val="BodyText2"/>
        <w:autoSpaceDE/>
        <w:autoSpaceDN/>
        <w:adjustRightInd/>
        <w:rPr>
          <w:szCs w:val="22"/>
        </w:rPr>
      </w:pPr>
    </w:p>
    <w:p w14:paraId="29E98F5D" w14:textId="77777777" w:rsidR="004462A0" w:rsidRDefault="00615769" w:rsidP="004462A0">
      <w:pPr>
        <w:pStyle w:val="BodyText2"/>
        <w:autoSpaceDE/>
        <w:autoSpaceDN/>
        <w:adjustRightInd/>
        <w:rPr>
          <w:szCs w:val="22"/>
        </w:rPr>
      </w:pPr>
      <w:r w:rsidRPr="008912CF">
        <w:rPr>
          <w:szCs w:val="22"/>
        </w:rPr>
        <w:t xml:space="preserve">Humira está indicado no tratamento da </w:t>
      </w:r>
      <w:r w:rsidRPr="008912CF">
        <w:rPr>
          <w:szCs w:val="22"/>
          <w:lang w:eastAsia="pt-PT"/>
        </w:rPr>
        <w:t xml:space="preserve">colite ulcerosa ativa moderada a grave, em doentes adultos que tiveram uma resposta inadequada à terapêutica convencional, incluindo corticosteroides e 6-mercaptopurina (6-MP) ou azatioprina (AZA), ou que são </w:t>
      </w:r>
      <w:r w:rsidRPr="008912CF">
        <w:rPr>
          <w:szCs w:val="22"/>
        </w:rPr>
        <w:t>intolerantes ou têm contraindicações médicas para essas terapêuticas.</w:t>
      </w:r>
    </w:p>
    <w:p w14:paraId="002DAF11" w14:textId="77777777" w:rsidR="004462A0" w:rsidRDefault="004462A0" w:rsidP="004462A0">
      <w:pPr>
        <w:pStyle w:val="BodyText2"/>
        <w:autoSpaceDE/>
        <w:autoSpaceDN/>
        <w:adjustRightInd/>
        <w:rPr>
          <w:szCs w:val="22"/>
        </w:rPr>
      </w:pPr>
    </w:p>
    <w:p w14:paraId="73A1CF34" w14:textId="77777777" w:rsidR="005B6638" w:rsidRPr="00F4016C" w:rsidRDefault="00615769" w:rsidP="005B6638">
      <w:pPr>
        <w:rPr>
          <w:sz w:val="22"/>
          <w:szCs w:val="22"/>
          <w:u w:val="single"/>
        </w:rPr>
      </w:pPr>
      <w:r w:rsidRPr="00F4016C">
        <w:rPr>
          <w:sz w:val="22"/>
          <w:szCs w:val="22"/>
          <w:u w:val="single"/>
        </w:rPr>
        <w:t>Colite ulcerosa pediátrica</w:t>
      </w:r>
    </w:p>
    <w:p w14:paraId="2196E84B" w14:textId="77777777" w:rsidR="005B6638" w:rsidRPr="00F4016C" w:rsidRDefault="005B6638" w:rsidP="005B6638">
      <w:pPr>
        <w:rPr>
          <w:sz w:val="22"/>
          <w:szCs w:val="22"/>
        </w:rPr>
      </w:pPr>
    </w:p>
    <w:p w14:paraId="355A4469" w14:textId="77777777" w:rsidR="005B6638" w:rsidRPr="005B6638" w:rsidRDefault="00615769" w:rsidP="005B6638">
      <w:pPr>
        <w:rPr>
          <w:sz w:val="22"/>
          <w:szCs w:val="22"/>
        </w:rPr>
      </w:pPr>
      <w:r w:rsidRPr="00F4016C">
        <w:rPr>
          <w:sz w:val="22"/>
          <w:szCs w:val="22"/>
        </w:rPr>
        <w:t>Humira está indicado no tratamento da colite ulcerosa ativa moderada a grave em doentes pediátricos</w:t>
      </w:r>
      <w:r w:rsidR="004A4EC2">
        <w:rPr>
          <w:sz w:val="22"/>
          <w:szCs w:val="22"/>
        </w:rPr>
        <w:t xml:space="preserve"> (a partir dos 6 anos de idade)</w:t>
      </w:r>
      <w:r w:rsidRPr="00F4016C">
        <w:rPr>
          <w:sz w:val="22"/>
          <w:szCs w:val="22"/>
        </w:rPr>
        <w:t xml:space="preserve"> que tiveram uma resposta inadequada à terapêutica convencional, incluindo corticosteroides e/ou 6</w:t>
      </w:r>
      <w:r>
        <w:rPr>
          <w:sz w:val="22"/>
          <w:szCs w:val="22"/>
        </w:rPr>
        <w:noBreakHyphen/>
      </w:r>
      <w:r w:rsidRPr="00F4016C">
        <w:rPr>
          <w:sz w:val="22"/>
          <w:szCs w:val="22"/>
        </w:rPr>
        <w:t>mercaptopurina (6</w:t>
      </w:r>
      <w:r>
        <w:rPr>
          <w:sz w:val="22"/>
          <w:szCs w:val="22"/>
        </w:rPr>
        <w:noBreakHyphen/>
      </w:r>
      <w:r w:rsidRPr="00F4016C">
        <w:rPr>
          <w:sz w:val="22"/>
          <w:szCs w:val="22"/>
        </w:rPr>
        <w:t>MP) ou azatioprina (AZA), ou que apresentam intolerância ou contra</w:t>
      </w:r>
      <w:r>
        <w:rPr>
          <w:sz w:val="22"/>
          <w:szCs w:val="22"/>
        </w:rPr>
        <w:t>indicações</w:t>
      </w:r>
      <w:r w:rsidR="00A56D1E">
        <w:rPr>
          <w:sz w:val="22"/>
          <w:szCs w:val="22"/>
        </w:rPr>
        <w:t xml:space="preserve"> médicas</w:t>
      </w:r>
      <w:r>
        <w:rPr>
          <w:sz w:val="22"/>
          <w:szCs w:val="22"/>
        </w:rPr>
        <w:t xml:space="preserve"> a tais terapêuticas.</w:t>
      </w:r>
    </w:p>
    <w:p w14:paraId="62FF4EB4" w14:textId="77777777" w:rsidR="005B6638" w:rsidRDefault="005B6638" w:rsidP="004462A0">
      <w:pPr>
        <w:pStyle w:val="BodyText2"/>
        <w:rPr>
          <w:szCs w:val="22"/>
          <w:u w:val="single"/>
          <w:lang w:eastAsia="pt-PT"/>
        </w:rPr>
      </w:pPr>
    </w:p>
    <w:p w14:paraId="777B3211" w14:textId="77777777" w:rsidR="004462A0" w:rsidRPr="002F618D" w:rsidRDefault="00615769" w:rsidP="004462A0">
      <w:pPr>
        <w:pStyle w:val="BodyText2"/>
        <w:rPr>
          <w:szCs w:val="22"/>
          <w:u w:val="single"/>
          <w:lang w:eastAsia="pt-PT"/>
        </w:rPr>
      </w:pPr>
      <w:r w:rsidRPr="002F618D">
        <w:rPr>
          <w:szCs w:val="22"/>
          <w:u w:val="single"/>
          <w:lang w:eastAsia="pt-PT"/>
        </w:rPr>
        <w:t>Uveíte</w:t>
      </w:r>
    </w:p>
    <w:p w14:paraId="4C3CBED8" w14:textId="77777777" w:rsidR="004462A0" w:rsidRPr="002F618D" w:rsidRDefault="004462A0" w:rsidP="004462A0">
      <w:pPr>
        <w:pStyle w:val="BodyText2"/>
        <w:rPr>
          <w:szCs w:val="22"/>
          <w:u w:val="single"/>
          <w:lang w:eastAsia="pt-PT"/>
        </w:rPr>
      </w:pPr>
    </w:p>
    <w:p w14:paraId="51724A4C" w14:textId="77777777" w:rsidR="00A303D5" w:rsidRPr="00A303D5" w:rsidRDefault="00615769" w:rsidP="004462A0">
      <w:pPr>
        <w:pStyle w:val="BodyText2"/>
        <w:rPr>
          <w:szCs w:val="22"/>
          <w:lang w:eastAsia="pt-PT"/>
        </w:rPr>
      </w:pPr>
      <w:r w:rsidRPr="00BD522A">
        <w:rPr>
          <w:szCs w:val="22"/>
          <w:lang w:eastAsia="pt-PT"/>
        </w:rPr>
        <w:t xml:space="preserve">Humira está indicado no tratamento da uveíte não infecciosa, intermédia, posterior e panuveíte, em doentes adultos que tiveram uma resposta inadequada à terapêutica com corticosteroides, em doentes que necessitam de reduzir o uso de corticosteroides ou em que o tratamento com corticosteroides é </w:t>
      </w:r>
      <w:r w:rsidRPr="00A303D5">
        <w:rPr>
          <w:szCs w:val="22"/>
          <w:lang w:eastAsia="pt-PT"/>
        </w:rPr>
        <w:t xml:space="preserve">inapropriado.  </w:t>
      </w:r>
    </w:p>
    <w:p w14:paraId="289919AE" w14:textId="77777777" w:rsidR="000C224C" w:rsidRPr="00A303D5" w:rsidRDefault="000C224C" w:rsidP="000C224C">
      <w:pPr>
        <w:pStyle w:val="BodyText2"/>
        <w:rPr>
          <w:szCs w:val="22"/>
          <w:lang w:eastAsia="pt-PT"/>
        </w:rPr>
      </w:pPr>
    </w:p>
    <w:p w14:paraId="147AFA69" w14:textId="77777777" w:rsidR="000C224C" w:rsidRPr="00A303D5" w:rsidRDefault="00615769" w:rsidP="000C224C">
      <w:pPr>
        <w:rPr>
          <w:sz w:val="22"/>
          <w:szCs w:val="22"/>
          <w:u w:val="single"/>
        </w:rPr>
      </w:pPr>
      <w:r w:rsidRPr="00A303D5">
        <w:rPr>
          <w:sz w:val="22"/>
          <w:szCs w:val="22"/>
          <w:u w:val="single"/>
        </w:rPr>
        <w:t xml:space="preserve">Uveíte </w:t>
      </w:r>
      <w:r w:rsidR="008A40F5">
        <w:rPr>
          <w:sz w:val="22"/>
          <w:szCs w:val="22"/>
          <w:u w:val="single"/>
        </w:rPr>
        <w:t>p</w:t>
      </w:r>
      <w:r w:rsidRPr="00A303D5">
        <w:rPr>
          <w:sz w:val="22"/>
          <w:szCs w:val="22"/>
          <w:u w:val="single"/>
        </w:rPr>
        <w:t>ediátrica</w:t>
      </w:r>
    </w:p>
    <w:p w14:paraId="4CE54B96" w14:textId="77777777" w:rsidR="000C224C" w:rsidRPr="00A303D5" w:rsidRDefault="000C224C" w:rsidP="000C224C">
      <w:pPr>
        <w:rPr>
          <w:sz w:val="22"/>
          <w:szCs w:val="22"/>
        </w:rPr>
      </w:pPr>
    </w:p>
    <w:p w14:paraId="1391913C" w14:textId="77777777" w:rsidR="004462A0" w:rsidRPr="00A303D5" w:rsidRDefault="00615769" w:rsidP="00D45244">
      <w:pPr>
        <w:rPr>
          <w:sz w:val="22"/>
          <w:szCs w:val="22"/>
        </w:rPr>
      </w:pPr>
      <w:r w:rsidRPr="00A303D5">
        <w:rPr>
          <w:sz w:val="22"/>
          <w:szCs w:val="22"/>
        </w:rPr>
        <w:t>Humira está indicado no tratamento da uveíte pediátrica não infecciosa, anterior, crónica em doentes a partir dos 2 anos de idade que tiveram uma resposta inadequada ou que são intolerantes à terapêutica convencional, ou em que a terapêutica convencional é inapropriada.</w:t>
      </w:r>
    </w:p>
    <w:p w14:paraId="527D792C" w14:textId="77777777" w:rsidR="000C224C" w:rsidRPr="008912CF" w:rsidRDefault="000C224C" w:rsidP="00D45244">
      <w:pPr>
        <w:rPr>
          <w:b/>
          <w:bCs/>
          <w:sz w:val="22"/>
          <w:szCs w:val="22"/>
        </w:rPr>
      </w:pPr>
    </w:p>
    <w:p w14:paraId="329E66AD" w14:textId="77777777" w:rsidR="004462A0" w:rsidRPr="008912CF" w:rsidRDefault="00615769" w:rsidP="004462A0">
      <w:pPr>
        <w:ind w:left="567" w:hanging="567"/>
        <w:rPr>
          <w:b/>
          <w:bCs/>
          <w:sz w:val="22"/>
          <w:szCs w:val="22"/>
        </w:rPr>
      </w:pPr>
      <w:r w:rsidRPr="008912CF">
        <w:rPr>
          <w:b/>
          <w:bCs/>
          <w:sz w:val="22"/>
          <w:szCs w:val="22"/>
        </w:rPr>
        <w:t>4.2</w:t>
      </w:r>
      <w:r w:rsidRPr="008912CF">
        <w:rPr>
          <w:b/>
          <w:bCs/>
          <w:sz w:val="22"/>
          <w:szCs w:val="22"/>
        </w:rPr>
        <w:tab/>
        <w:t>Posologia e modo de administração</w:t>
      </w:r>
    </w:p>
    <w:p w14:paraId="01D5BE96" w14:textId="77777777" w:rsidR="004462A0" w:rsidRPr="008912CF" w:rsidRDefault="004462A0" w:rsidP="004462A0">
      <w:pPr>
        <w:ind w:left="567" w:hanging="567"/>
        <w:rPr>
          <w:b/>
          <w:sz w:val="22"/>
          <w:szCs w:val="22"/>
        </w:rPr>
      </w:pPr>
    </w:p>
    <w:p w14:paraId="7FFD3BC2" w14:textId="77777777" w:rsidR="004462A0" w:rsidRPr="008912CF" w:rsidRDefault="00615769" w:rsidP="004462A0">
      <w:pPr>
        <w:pStyle w:val="EndnoteText"/>
        <w:tabs>
          <w:tab w:val="clear" w:pos="567"/>
        </w:tabs>
        <w:rPr>
          <w:szCs w:val="22"/>
        </w:rPr>
      </w:pPr>
      <w:r w:rsidRPr="008912CF">
        <w:rPr>
          <w:szCs w:val="22"/>
        </w:rPr>
        <w:t xml:space="preserve">O tratamento com Humira deve ser iniciado e supervisionado por médicos especialistas experientes no diagnóstico e tratamento das patologias para as quais Humira está indicado. </w:t>
      </w:r>
      <w:r w:rsidRPr="002F618D">
        <w:rPr>
          <w:szCs w:val="22"/>
        </w:rPr>
        <w:t xml:space="preserve">Recomenda-se que os oftalmologistas </w:t>
      </w:r>
      <w:r>
        <w:rPr>
          <w:szCs w:val="22"/>
        </w:rPr>
        <w:t>c</w:t>
      </w:r>
      <w:r w:rsidRPr="002F618D">
        <w:rPr>
          <w:szCs w:val="22"/>
        </w:rPr>
        <w:t xml:space="preserve">onsultem um </w:t>
      </w:r>
      <w:r>
        <w:rPr>
          <w:szCs w:val="22"/>
        </w:rPr>
        <w:t xml:space="preserve">destes médicos </w:t>
      </w:r>
      <w:r w:rsidRPr="002F618D">
        <w:rPr>
          <w:szCs w:val="22"/>
        </w:rPr>
        <w:t>e</w:t>
      </w:r>
      <w:r>
        <w:rPr>
          <w:szCs w:val="22"/>
        </w:rPr>
        <w:t>xperientes</w:t>
      </w:r>
      <w:r w:rsidRPr="002F618D">
        <w:rPr>
          <w:szCs w:val="22"/>
        </w:rPr>
        <w:t xml:space="preserve"> antes de iniciar o tratamento com Humira (ver se</w:t>
      </w:r>
      <w:r>
        <w:rPr>
          <w:szCs w:val="22"/>
        </w:rPr>
        <w:t>c</w:t>
      </w:r>
      <w:r w:rsidRPr="002F618D">
        <w:rPr>
          <w:szCs w:val="22"/>
        </w:rPr>
        <w:t>ção 4.4).</w:t>
      </w:r>
      <w:r>
        <w:rPr>
          <w:szCs w:val="22"/>
        </w:rPr>
        <w:t xml:space="preserve"> </w:t>
      </w:r>
      <w:r w:rsidRPr="008912CF">
        <w:rPr>
          <w:szCs w:val="22"/>
        </w:rPr>
        <w:t xml:space="preserve">Os doentes tratados com Humira devem receber o </w:t>
      </w:r>
      <w:r w:rsidR="00E02FA8">
        <w:rPr>
          <w:szCs w:val="22"/>
        </w:rPr>
        <w:t>C</w:t>
      </w:r>
      <w:r w:rsidRPr="008912CF">
        <w:rPr>
          <w:szCs w:val="22"/>
        </w:rPr>
        <w:t xml:space="preserve">artão de </w:t>
      </w:r>
      <w:r w:rsidR="00E02FA8">
        <w:rPr>
          <w:szCs w:val="22"/>
        </w:rPr>
        <w:t>S</w:t>
      </w:r>
      <w:r w:rsidRPr="008912CF">
        <w:rPr>
          <w:szCs w:val="22"/>
        </w:rPr>
        <w:t xml:space="preserve">egurança </w:t>
      </w:r>
      <w:r w:rsidR="008979D5">
        <w:rPr>
          <w:szCs w:val="22"/>
        </w:rPr>
        <w:t xml:space="preserve">do </w:t>
      </w:r>
      <w:r w:rsidR="00E02FA8">
        <w:rPr>
          <w:szCs w:val="22"/>
        </w:rPr>
        <w:t>D</w:t>
      </w:r>
      <w:r w:rsidR="008979D5">
        <w:rPr>
          <w:szCs w:val="22"/>
        </w:rPr>
        <w:t>oente</w:t>
      </w:r>
      <w:r w:rsidRPr="008912CF">
        <w:rPr>
          <w:szCs w:val="22"/>
        </w:rPr>
        <w:t>.</w:t>
      </w:r>
    </w:p>
    <w:p w14:paraId="30EA7552" w14:textId="77777777" w:rsidR="004462A0" w:rsidRPr="008912CF" w:rsidRDefault="004462A0" w:rsidP="004462A0">
      <w:pPr>
        <w:pStyle w:val="EndnoteText"/>
        <w:tabs>
          <w:tab w:val="clear" w:pos="567"/>
        </w:tabs>
        <w:rPr>
          <w:szCs w:val="22"/>
        </w:rPr>
      </w:pPr>
    </w:p>
    <w:p w14:paraId="2DA38E4D" w14:textId="77777777" w:rsidR="004462A0" w:rsidRPr="008912CF" w:rsidRDefault="00615769" w:rsidP="004462A0">
      <w:pPr>
        <w:pStyle w:val="EndnoteText"/>
        <w:tabs>
          <w:tab w:val="clear" w:pos="567"/>
        </w:tabs>
        <w:rPr>
          <w:szCs w:val="22"/>
        </w:rPr>
      </w:pPr>
      <w:r w:rsidRPr="008912CF">
        <w:rPr>
          <w:szCs w:val="22"/>
        </w:rPr>
        <w:t>Após receberem um treino adequado sobre a técnica de injeção, os doentes podem autoinjetar Humira se o médico assistente achar apropriado e sob acompanhamento médico, conforme necessário.</w:t>
      </w:r>
    </w:p>
    <w:p w14:paraId="7696ECB2" w14:textId="77777777" w:rsidR="004462A0" w:rsidRPr="008912CF" w:rsidRDefault="004462A0" w:rsidP="004462A0">
      <w:pPr>
        <w:pStyle w:val="BodyText2"/>
        <w:autoSpaceDE/>
        <w:autoSpaceDN/>
        <w:adjustRightInd/>
        <w:rPr>
          <w:szCs w:val="22"/>
        </w:rPr>
      </w:pPr>
    </w:p>
    <w:p w14:paraId="170368DF" w14:textId="77777777" w:rsidR="004462A0" w:rsidRPr="008912CF" w:rsidRDefault="00615769" w:rsidP="004462A0">
      <w:pPr>
        <w:pStyle w:val="BodyText2"/>
        <w:autoSpaceDE/>
        <w:autoSpaceDN/>
        <w:adjustRightInd/>
        <w:rPr>
          <w:szCs w:val="22"/>
        </w:rPr>
      </w:pPr>
      <w:r w:rsidRPr="008912CF">
        <w:rPr>
          <w:szCs w:val="22"/>
        </w:rPr>
        <w:t>Durante o tratamento com Humira, a utilização de outras terapêuticas concomitantes (como por exemplo corticosteroides e/ou agentes imunomoduladores) deverá ser otimizada.</w:t>
      </w:r>
    </w:p>
    <w:p w14:paraId="78DADE64" w14:textId="77777777" w:rsidR="004462A0" w:rsidRPr="008912CF" w:rsidRDefault="004462A0" w:rsidP="004462A0">
      <w:pPr>
        <w:rPr>
          <w:sz w:val="22"/>
          <w:szCs w:val="22"/>
        </w:rPr>
      </w:pPr>
    </w:p>
    <w:p w14:paraId="7F92A90C" w14:textId="77777777" w:rsidR="004462A0" w:rsidRPr="008912CF" w:rsidRDefault="00615769" w:rsidP="004462A0">
      <w:pPr>
        <w:keepNext/>
        <w:ind w:left="567" w:hanging="567"/>
        <w:rPr>
          <w:bCs/>
          <w:sz w:val="22"/>
          <w:szCs w:val="22"/>
          <w:u w:val="single"/>
        </w:rPr>
      </w:pPr>
      <w:r w:rsidRPr="008912CF">
        <w:rPr>
          <w:bCs/>
          <w:sz w:val="22"/>
          <w:szCs w:val="22"/>
          <w:u w:val="single"/>
        </w:rPr>
        <w:t>Posologia</w:t>
      </w:r>
    </w:p>
    <w:p w14:paraId="386C21FA" w14:textId="77777777" w:rsidR="004462A0" w:rsidRPr="008912CF" w:rsidRDefault="004462A0" w:rsidP="004462A0">
      <w:pPr>
        <w:pStyle w:val="EndnoteText"/>
        <w:tabs>
          <w:tab w:val="clear" w:pos="567"/>
        </w:tabs>
        <w:rPr>
          <w:i/>
          <w:szCs w:val="22"/>
        </w:rPr>
      </w:pPr>
    </w:p>
    <w:p w14:paraId="27604DF6" w14:textId="77777777" w:rsidR="004462A0" w:rsidRPr="008912CF" w:rsidRDefault="00615769" w:rsidP="004462A0">
      <w:pPr>
        <w:pStyle w:val="EndnoteText"/>
        <w:tabs>
          <w:tab w:val="clear" w:pos="567"/>
        </w:tabs>
        <w:rPr>
          <w:szCs w:val="22"/>
        </w:rPr>
      </w:pPr>
      <w:r w:rsidRPr="008912CF">
        <w:rPr>
          <w:i/>
          <w:szCs w:val="22"/>
        </w:rPr>
        <w:t>Artrite reumatoide</w:t>
      </w:r>
    </w:p>
    <w:p w14:paraId="349B9D8D" w14:textId="77777777" w:rsidR="004462A0" w:rsidRPr="008912CF" w:rsidRDefault="004462A0" w:rsidP="004462A0">
      <w:pPr>
        <w:rPr>
          <w:sz w:val="22"/>
          <w:szCs w:val="22"/>
          <w:u w:val="single"/>
        </w:rPr>
      </w:pPr>
    </w:p>
    <w:p w14:paraId="50F7F321" w14:textId="77777777" w:rsidR="004462A0" w:rsidRPr="008912CF" w:rsidRDefault="00615769" w:rsidP="004462A0">
      <w:pPr>
        <w:rPr>
          <w:sz w:val="22"/>
          <w:szCs w:val="22"/>
        </w:rPr>
      </w:pPr>
      <w:r w:rsidRPr="008912CF">
        <w:rPr>
          <w:sz w:val="22"/>
          <w:szCs w:val="22"/>
        </w:rPr>
        <w:t xml:space="preserve">A dose recomendada de Humira em doentes adultos com artrite reumatoide é de 40 mg de adalimumab, administrada em semanas alternadas, em dose única, por injeção subcutânea. </w:t>
      </w:r>
      <w:r w:rsidR="000C7914">
        <w:rPr>
          <w:sz w:val="22"/>
          <w:szCs w:val="22"/>
        </w:rPr>
        <w:t>M</w:t>
      </w:r>
      <w:r w:rsidRPr="008912CF">
        <w:rPr>
          <w:sz w:val="22"/>
          <w:szCs w:val="22"/>
        </w:rPr>
        <w:t>etotrexato deve ser continuado durante o tratamento com Humira.</w:t>
      </w:r>
    </w:p>
    <w:p w14:paraId="533708B6" w14:textId="77777777" w:rsidR="004462A0" w:rsidRPr="008912CF" w:rsidRDefault="004462A0" w:rsidP="004462A0">
      <w:pPr>
        <w:rPr>
          <w:sz w:val="22"/>
          <w:szCs w:val="22"/>
        </w:rPr>
      </w:pPr>
    </w:p>
    <w:p w14:paraId="01561227" w14:textId="77777777" w:rsidR="004462A0" w:rsidRPr="008912CF" w:rsidRDefault="00615769" w:rsidP="004462A0">
      <w:pPr>
        <w:rPr>
          <w:sz w:val="22"/>
          <w:szCs w:val="22"/>
        </w:rPr>
      </w:pPr>
      <w:r w:rsidRPr="008912CF">
        <w:rPr>
          <w:sz w:val="22"/>
          <w:szCs w:val="22"/>
        </w:rPr>
        <w:t>Durante o tratamento com Humira pode manter-se o tratamento com glucocorticoides, salicilatos, medicamentos anti-inflamatórios não esteroides ou analgésicos. Relativamente à associação com medicamentos anti</w:t>
      </w:r>
      <w:r w:rsidR="00F96DDF">
        <w:rPr>
          <w:sz w:val="22"/>
          <w:szCs w:val="22"/>
        </w:rPr>
        <w:t>-</w:t>
      </w:r>
      <w:r w:rsidRPr="008912CF">
        <w:rPr>
          <w:sz w:val="22"/>
          <w:szCs w:val="22"/>
        </w:rPr>
        <w:t>reumatismais modificadores da doença além d</w:t>
      </w:r>
      <w:r w:rsidR="000C7914">
        <w:rPr>
          <w:sz w:val="22"/>
          <w:szCs w:val="22"/>
        </w:rPr>
        <w:t>e</w:t>
      </w:r>
      <w:r w:rsidRPr="008912CF">
        <w:rPr>
          <w:sz w:val="22"/>
          <w:szCs w:val="22"/>
        </w:rPr>
        <w:t xml:space="preserve"> metotrexato ver secções 4.4 e 5.1.</w:t>
      </w:r>
    </w:p>
    <w:p w14:paraId="5E030216" w14:textId="77777777" w:rsidR="004462A0" w:rsidRPr="008912CF" w:rsidRDefault="004462A0" w:rsidP="004462A0">
      <w:pPr>
        <w:rPr>
          <w:sz w:val="22"/>
          <w:szCs w:val="22"/>
        </w:rPr>
      </w:pPr>
    </w:p>
    <w:p w14:paraId="3473EE5F" w14:textId="77777777" w:rsidR="004462A0" w:rsidRPr="008912CF" w:rsidRDefault="00615769" w:rsidP="004462A0">
      <w:pPr>
        <w:rPr>
          <w:sz w:val="22"/>
          <w:szCs w:val="22"/>
        </w:rPr>
      </w:pPr>
      <w:r w:rsidRPr="008912CF">
        <w:rPr>
          <w:sz w:val="22"/>
          <w:szCs w:val="22"/>
        </w:rPr>
        <w:t xml:space="preserve">Em monoterapia, alguns doentes que apresentaram uma resposta diminuída </w:t>
      </w:r>
      <w:r w:rsidR="009D3E8E">
        <w:rPr>
          <w:sz w:val="22"/>
          <w:szCs w:val="22"/>
        </w:rPr>
        <w:t xml:space="preserve">com Humira 40 mg em semanas alternadas </w:t>
      </w:r>
      <w:r w:rsidRPr="008912CF">
        <w:rPr>
          <w:sz w:val="22"/>
          <w:szCs w:val="22"/>
        </w:rPr>
        <w:t>podem beneficiar com um aumento na dose até 40 mg de adalimumab semanalmente</w:t>
      </w:r>
      <w:r w:rsidR="009D3E8E">
        <w:rPr>
          <w:sz w:val="22"/>
          <w:szCs w:val="22"/>
        </w:rPr>
        <w:t xml:space="preserve"> ou 80 mg em semanas alternadas</w:t>
      </w:r>
      <w:r w:rsidRPr="008912CF">
        <w:rPr>
          <w:sz w:val="22"/>
          <w:szCs w:val="22"/>
        </w:rPr>
        <w:t>.</w:t>
      </w:r>
    </w:p>
    <w:p w14:paraId="5E8C726D" w14:textId="77777777" w:rsidR="004462A0" w:rsidRPr="008912CF" w:rsidRDefault="004462A0" w:rsidP="004462A0">
      <w:pPr>
        <w:rPr>
          <w:sz w:val="22"/>
          <w:szCs w:val="22"/>
        </w:rPr>
      </w:pPr>
    </w:p>
    <w:p w14:paraId="4D0E971D" w14:textId="77777777" w:rsidR="004462A0" w:rsidRPr="008912CF" w:rsidRDefault="00615769" w:rsidP="004462A0">
      <w:pPr>
        <w:rPr>
          <w:sz w:val="22"/>
          <w:szCs w:val="22"/>
        </w:rPr>
      </w:pPr>
      <w:r w:rsidRPr="008912CF">
        <w:rPr>
          <w:sz w:val="22"/>
          <w:szCs w:val="22"/>
        </w:rPr>
        <w:t>Os dados disponíveis sugerem que a resposta clínica é geralmente obtida após 12 semanas de tratamento. A continuação do tratamento deve ser reconsiderada num doente que não responda durante este período de tempo.</w:t>
      </w:r>
    </w:p>
    <w:p w14:paraId="43C8135E" w14:textId="77777777" w:rsidR="004462A0" w:rsidRDefault="004462A0" w:rsidP="004462A0">
      <w:pPr>
        <w:rPr>
          <w:sz w:val="22"/>
          <w:szCs w:val="22"/>
        </w:rPr>
      </w:pPr>
    </w:p>
    <w:p w14:paraId="6D9BE333" w14:textId="77777777" w:rsidR="009D3E8E" w:rsidRDefault="00615769" w:rsidP="00AA7352">
      <w:pPr>
        <w:pStyle w:val="BodyText2"/>
        <w:autoSpaceDE/>
        <w:autoSpaceDN/>
        <w:adjustRightInd/>
        <w:rPr>
          <w:szCs w:val="22"/>
        </w:rPr>
      </w:pPr>
      <w:r>
        <w:rPr>
          <w:szCs w:val="22"/>
        </w:rPr>
        <w:t>Humira pode estar</w:t>
      </w:r>
      <w:r w:rsidR="00FD031C">
        <w:rPr>
          <w:szCs w:val="22"/>
        </w:rPr>
        <w:t xml:space="preserve"> disponível em outras dosagens e/ou apresentações dependendo das necessidades de cada doente. </w:t>
      </w:r>
    </w:p>
    <w:p w14:paraId="10680481" w14:textId="77777777" w:rsidR="009D3E8E" w:rsidRPr="008912CF" w:rsidRDefault="009D3E8E" w:rsidP="004462A0">
      <w:pPr>
        <w:rPr>
          <w:sz w:val="22"/>
          <w:szCs w:val="22"/>
        </w:rPr>
      </w:pPr>
    </w:p>
    <w:p w14:paraId="01818EC7" w14:textId="77777777" w:rsidR="004462A0" w:rsidRPr="008912CF" w:rsidRDefault="00615769" w:rsidP="003D66D7">
      <w:pPr>
        <w:keepNext/>
        <w:rPr>
          <w:i/>
          <w:sz w:val="22"/>
          <w:szCs w:val="22"/>
          <w:u w:val="single"/>
        </w:rPr>
      </w:pPr>
      <w:r w:rsidRPr="008912CF">
        <w:rPr>
          <w:i/>
          <w:sz w:val="22"/>
          <w:szCs w:val="22"/>
          <w:u w:val="single"/>
        </w:rPr>
        <w:t>Interrupção de dose</w:t>
      </w:r>
    </w:p>
    <w:p w14:paraId="624F0776" w14:textId="77777777" w:rsidR="004462A0" w:rsidRPr="008912CF" w:rsidRDefault="004462A0" w:rsidP="003D66D7">
      <w:pPr>
        <w:pStyle w:val="Footer"/>
        <w:keepNext/>
        <w:tabs>
          <w:tab w:val="clear" w:pos="4320"/>
          <w:tab w:val="clear" w:pos="8640"/>
        </w:tabs>
        <w:rPr>
          <w:sz w:val="22"/>
          <w:szCs w:val="22"/>
        </w:rPr>
      </w:pPr>
    </w:p>
    <w:p w14:paraId="0CDE294A" w14:textId="77777777" w:rsidR="004462A0" w:rsidRPr="008912CF" w:rsidRDefault="00615769" w:rsidP="003D66D7">
      <w:pPr>
        <w:pStyle w:val="Footer"/>
        <w:keepNext/>
        <w:tabs>
          <w:tab w:val="clear" w:pos="4320"/>
          <w:tab w:val="clear" w:pos="8640"/>
        </w:tabs>
        <w:rPr>
          <w:sz w:val="22"/>
          <w:szCs w:val="22"/>
        </w:rPr>
      </w:pPr>
      <w:r w:rsidRPr="008912CF">
        <w:rPr>
          <w:sz w:val="22"/>
          <w:szCs w:val="22"/>
        </w:rPr>
        <w:t>Pode haver necessidade de interromper o tratamento, por exemplo, antes de uma cirurgia ou caso se verifique uma infeção grave.</w:t>
      </w:r>
    </w:p>
    <w:p w14:paraId="41E2BEA5" w14:textId="77777777" w:rsidR="004462A0" w:rsidRPr="008912CF" w:rsidRDefault="004462A0" w:rsidP="004462A0">
      <w:pPr>
        <w:pStyle w:val="Footer"/>
        <w:tabs>
          <w:tab w:val="clear" w:pos="4320"/>
          <w:tab w:val="clear" w:pos="8640"/>
        </w:tabs>
        <w:rPr>
          <w:sz w:val="22"/>
          <w:szCs w:val="22"/>
        </w:rPr>
      </w:pPr>
    </w:p>
    <w:p w14:paraId="32B893B6" w14:textId="77777777" w:rsidR="004462A0" w:rsidRPr="008912CF" w:rsidRDefault="00615769" w:rsidP="004462A0">
      <w:pPr>
        <w:rPr>
          <w:sz w:val="22"/>
          <w:szCs w:val="22"/>
        </w:rPr>
      </w:pPr>
      <w:r w:rsidRPr="008912CF">
        <w:rPr>
          <w:sz w:val="22"/>
          <w:szCs w:val="22"/>
        </w:rPr>
        <w:t>Dados disponíveis sugerem que a reintrodução de Humira após suspensão por 70 dias ou mais resultou numa resposta clínica com a mesma magnitude e perfil de segurança similar, tal como antes da interrupção.</w:t>
      </w:r>
    </w:p>
    <w:p w14:paraId="6E0789CD" w14:textId="77777777" w:rsidR="004462A0" w:rsidRPr="008912CF" w:rsidRDefault="004462A0" w:rsidP="004462A0">
      <w:pPr>
        <w:rPr>
          <w:sz w:val="22"/>
          <w:szCs w:val="22"/>
        </w:rPr>
      </w:pPr>
    </w:p>
    <w:p w14:paraId="323E71C3" w14:textId="77777777" w:rsidR="004462A0" w:rsidRPr="008912CF" w:rsidRDefault="00615769" w:rsidP="004462A0">
      <w:pPr>
        <w:pStyle w:val="Heading9"/>
        <w:keepNext w:val="0"/>
        <w:rPr>
          <w:szCs w:val="22"/>
          <w:u w:val="none"/>
        </w:rPr>
      </w:pPr>
      <w:r w:rsidRPr="008912CF">
        <w:rPr>
          <w:i/>
          <w:szCs w:val="22"/>
          <w:u w:val="none"/>
        </w:rPr>
        <w:t>Espondilite anquilosante, espondilartrite axial sem evidência radiográfica de EA e artrite psoriática</w:t>
      </w:r>
    </w:p>
    <w:p w14:paraId="209F1C16" w14:textId="77777777" w:rsidR="004462A0" w:rsidRPr="008912CF" w:rsidRDefault="004462A0" w:rsidP="004462A0">
      <w:pPr>
        <w:rPr>
          <w:sz w:val="22"/>
          <w:szCs w:val="22"/>
        </w:rPr>
      </w:pPr>
    </w:p>
    <w:p w14:paraId="13052E18" w14:textId="77777777" w:rsidR="004462A0" w:rsidRPr="008912CF" w:rsidRDefault="00615769" w:rsidP="004462A0">
      <w:pPr>
        <w:rPr>
          <w:sz w:val="22"/>
          <w:szCs w:val="22"/>
        </w:rPr>
      </w:pPr>
      <w:r w:rsidRPr="008912CF">
        <w:rPr>
          <w:sz w:val="22"/>
          <w:szCs w:val="22"/>
        </w:rPr>
        <w:t xml:space="preserve">A dose recomendada de Humira em doentes com </w:t>
      </w:r>
      <w:r w:rsidR="001B64BC">
        <w:rPr>
          <w:sz w:val="22"/>
          <w:szCs w:val="22"/>
        </w:rPr>
        <w:t xml:space="preserve">espondilite anquilosante, </w:t>
      </w:r>
      <w:r w:rsidRPr="008912CF">
        <w:rPr>
          <w:sz w:val="22"/>
          <w:szCs w:val="22"/>
        </w:rPr>
        <w:t>espondilartrite axial sem evidência radiográfica de EA e em doentes com artrite psoriática é de 40 mg de adalimumab administrada em semanas alternadas em dose única, por injeção subcutânea.</w:t>
      </w:r>
    </w:p>
    <w:p w14:paraId="48C607BD" w14:textId="77777777" w:rsidR="004462A0" w:rsidRPr="008912CF" w:rsidRDefault="004462A0" w:rsidP="004462A0">
      <w:pPr>
        <w:rPr>
          <w:sz w:val="22"/>
          <w:szCs w:val="22"/>
        </w:rPr>
      </w:pPr>
    </w:p>
    <w:p w14:paraId="7023C043" w14:textId="77777777" w:rsidR="004462A0" w:rsidRPr="008912CF" w:rsidRDefault="00615769" w:rsidP="004462A0">
      <w:pPr>
        <w:rPr>
          <w:sz w:val="22"/>
          <w:szCs w:val="22"/>
        </w:rPr>
      </w:pPr>
      <w:r w:rsidRPr="008912CF">
        <w:rPr>
          <w:sz w:val="22"/>
          <w:szCs w:val="22"/>
        </w:rPr>
        <w:t>Os dados disponíveis sugerem que a resposta clínica é geralmente obtida após 12 semanas de tratamento. A continuação do tratamento deve ser reconsiderada num doente que não responda durante este período de tempo.</w:t>
      </w:r>
    </w:p>
    <w:p w14:paraId="2693CC0B" w14:textId="77777777" w:rsidR="004462A0" w:rsidRPr="008912CF" w:rsidRDefault="004462A0" w:rsidP="004462A0">
      <w:pPr>
        <w:rPr>
          <w:sz w:val="22"/>
          <w:szCs w:val="22"/>
        </w:rPr>
      </w:pPr>
    </w:p>
    <w:p w14:paraId="0F0785A9" w14:textId="77777777" w:rsidR="004462A0" w:rsidRPr="008912CF" w:rsidRDefault="00615769" w:rsidP="004462A0">
      <w:pPr>
        <w:pStyle w:val="DefaultText"/>
        <w:keepNext/>
        <w:rPr>
          <w:rFonts w:ascii="Times New Roman" w:hAnsi="Times New Roman"/>
          <w:i/>
          <w:szCs w:val="22"/>
          <w:lang w:val="pt-PT"/>
        </w:rPr>
      </w:pPr>
      <w:r w:rsidRPr="008912CF">
        <w:rPr>
          <w:rFonts w:ascii="Times New Roman" w:hAnsi="Times New Roman"/>
          <w:i/>
          <w:szCs w:val="22"/>
          <w:lang w:val="pt-PT"/>
        </w:rPr>
        <w:t>Psoríase</w:t>
      </w:r>
    </w:p>
    <w:p w14:paraId="2E9F58B2" w14:textId="77777777" w:rsidR="004462A0" w:rsidRPr="008912CF" w:rsidRDefault="004462A0" w:rsidP="004462A0">
      <w:pPr>
        <w:pStyle w:val="DefaultText"/>
        <w:keepNext/>
        <w:rPr>
          <w:rFonts w:ascii="Times New Roman" w:hAnsi="Times New Roman"/>
          <w:szCs w:val="22"/>
          <w:u w:val="single"/>
          <w:lang w:val="pt-PT"/>
        </w:rPr>
      </w:pPr>
    </w:p>
    <w:p w14:paraId="321A7643" w14:textId="77777777" w:rsidR="004462A0" w:rsidRPr="008912CF" w:rsidRDefault="00615769" w:rsidP="004462A0">
      <w:pPr>
        <w:keepNext/>
        <w:rPr>
          <w:sz w:val="22"/>
          <w:szCs w:val="22"/>
        </w:rPr>
      </w:pPr>
      <w:r w:rsidRPr="008912CF">
        <w:rPr>
          <w:sz w:val="22"/>
          <w:szCs w:val="22"/>
        </w:rPr>
        <w:t>A dose inicial recomendada de Humira em doentes adultos é de 80 mg administrada por via subcutânea, seguida de 40 mg em semanas alternadas, uma semana após a dose inicial.</w:t>
      </w:r>
    </w:p>
    <w:p w14:paraId="3C37BAC3" w14:textId="77777777" w:rsidR="004462A0" w:rsidRPr="008912CF" w:rsidRDefault="004462A0" w:rsidP="004462A0">
      <w:pPr>
        <w:pStyle w:val="EMEANormal"/>
        <w:rPr>
          <w:szCs w:val="22"/>
          <w:lang w:val="pt-PT"/>
        </w:rPr>
      </w:pPr>
    </w:p>
    <w:p w14:paraId="41049D30" w14:textId="77777777" w:rsidR="004462A0" w:rsidRPr="008912CF" w:rsidRDefault="00615769" w:rsidP="004462A0">
      <w:pPr>
        <w:rPr>
          <w:sz w:val="22"/>
          <w:szCs w:val="22"/>
        </w:rPr>
      </w:pPr>
      <w:r w:rsidRPr="008912CF">
        <w:rPr>
          <w:sz w:val="22"/>
          <w:szCs w:val="22"/>
        </w:rPr>
        <w:t>Uma terapêutica continuada para além de 16 semanas deve ser cuidadosamente reconsiderada em doentes que não responderam dentro deste período de tempo.</w:t>
      </w:r>
    </w:p>
    <w:p w14:paraId="690F05D0" w14:textId="77777777" w:rsidR="004462A0" w:rsidRPr="008912CF" w:rsidRDefault="004462A0" w:rsidP="004462A0">
      <w:pPr>
        <w:rPr>
          <w:sz w:val="22"/>
          <w:szCs w:val="22"/>
        </w:rPr>
      </w:pPr>
    </w:p>
    <w:p w14:paraId="005EF26E" w14:textId="77777777" w:rsidR="004462A0" w:rsidRPr="008912CF" w:rsidRDefault="00615769" w:rsidP="004462A0">
      <w:pPr>
        <w:rPr>
          <w:sz w:val="22"/>
          <w:szCs w:val="22"/>
        </w:rPr>
      </w:pPr>
      <w:r w:rsidRPr="008912CF">
        <w:rPr>
          <w:sz w:val="22"/>
          <w:szCs w:val="22"/>
        </w:rPr>
        <w:t>Após 16 semanas de tratamento, os doentes que não apresentem uma resposta adequada</w:t>
      </w:r>
      <w:r w:rsidR="00FD031C">
        <w:rPr>
          <w:sz w:val="22"/>
          <w:szCs w:val="22"/>
        </w:rPr>
        <w:t xml:space="preserve"> com Humira 40 mg em semanas alternadas</w:t>
      </w:r>
      <w:r w:rsidRPr="008912CF">
        <w:rPr>
          <w:sz w:val="22"/>
          <w:szCs w:val="22"/>
        </w:rPr>
        <w:t xml:space="preserve"> podem beneficiar de um aumento da dose para 40</w:t>
      </w:r>
      <w:r>
        <w:rPr>
          <w:sz w:val="22"/>
          <w:szCs w:val="22"/>
        </w:rPr>
        <w:t> </w:t>
      </w:r>
      <w:r w:rsidRPr="008912CF">
        <w:rPr>
          <w:sz w:val="22"/>
          <w:szCs w:val="22"/>
        </w:rPr>
        <w:t>mg por semana</w:t>
      </w:r>
      <w:r w:rsidR="00FD031C">
        <w:rPr>
          <w:sz w:val="22"/>
          <w:szCs w:val="22"/>
        </w:rPr>
        <w:t xml:space="preserve"> ou 80 mg em semanas alternadas</w:t>
      </w:r>
      <w:r w:rsidRPr="008912CF">
        <w:rPr>
          <w:sz w:val="22"/>
          <w:szCs w:val="22"/>
        </w:rPr>
        <w:t xml:space="preserve">. Os benefícios e riscos do tratamento continuado com </w:t>
      </w:r>
      <w:r w:rsidR="00FD031C">
        <w:rPr>
          <w:sz w:val="22"/>
          <w:szCs w:val="22"/>
        </w:rPr>
        <w:t>40 mg semanalmente ou 80 mg em semanas alternadas</w:t>
      </w:r>
      <w:r w:rsidRPr="008912CF">
        <w:rPr>
          <w:sz w:val="22"/>
          <w:szCs w:val="22"/>
        </w:rPr>
        <w:t xml:space="preserve"> deverão ser cuidadosamente considerados em doentes com uma resposta inadequada após o aumento da dose (ver secção 5.1). Se for obtida uma resposta adequada com </w:t>
      </w:r>
      <w:r w:rsidR="00FD031C">
        <w:rPr>
          <w:sz w:val="22"/>
          <w:szCs w:val="22"/>
        </w:rPr>
        <w:t>40 mg por semana ou 80 mg em semanas alternadas a</w:t>
      </w:r>
      <w:r w:rsidRPr="008912CF">
        <w:rPr>
          <w:sz w:val="22"/>
          <w:szCs w:val="22"/>
        </w:rPr>
        <w:t xml:space="preserve"> dose pode ser reduzida, subsequentemente, para 40</w:t>
      </w:r>
      <w:r>
        <w:rPr>
          <w:sz w:val="22"/>
          <w:szCs w:val="22"/>
        </w:rPr>
        <w:t> </w:t>
      </w:r>
      <w:r w:rsidRPr="008912CF">
        <w:rPr>
          <w:sz w:val="22"/>
          <w:szCs w:val="22"/>
        </w:rPr>
        <w:t>mg em semanas alt</w:t>
      </w:r>
      <w:r w:rsidRPr="008912CF">
        <w:rPr>
          <w:sz w:val="22"/>
          <w:szCs w:val="22"/>
        </w:rPr>
        <w:t>ernadas.</w:t>
      </w:r>
    </w:p>
    <w:p w14:paraId="55870EB9" w14:textId="77777777" w:rsidR="004462A0" w:rsidRDefault="004462A0" w:rsidP="004462A0">
      <w:pPr>
        <w:rPr>
          <w:sz w:val="22"/>
          <w:szCs w:val="22"/>
        </w:rPr>
      </w:pPr>
    </w:p>
    <w:p w14:paraId="394CA1DB" w14:textId="77777777" w:rsidR="005A40C0" w:rsidRDefault="00615769" w:rsidP="00AA7352">
      <w:pPr>
        <w:pStyle w:val="BodyText2"/>
        <w:autoSpaceDE/>
        <w:autoSpaceDN/>
        <w:adjustRightInd/>
        <w:rPr>
          <w:szCs w:val="22"/>
        </w:rPr>
      </w:pPr>
      <w:r>
        <w:rPr>
          <w:szCs w:val="22"/>
        </w:rPr>
        <w:t xml:space="preserve">Humira pode estar disponível em outras dosagens e/ou apresentações dependendo das necessidades de cada doente. </w:t>
      </w:r>
    </w:p>
    <w:p w14:paraId="4BEA1DD5" w14:textId="77777777" w:rsidR="005A40C0" w:rsidRPr="00AA7352" w:rsidRDefault="005A40C0" w:rsidP="004462A0">
      <w:pPr>
        <w:rPr>
          <w:sz w:val="22"/>
          <w:szCs w:val="22"/>
        </w:rPr>
      </w:pPr>
    </w:p>
    <w:p w14:paraId="6F8754F5" w14:textId="77777777" w:rsidR="004462A0" w:rsidRPr="008912CF" w:rsidRDefault="00615769" w:rsidP="004462A0">
      <w:pPr>
        <w:rPr>
          <w:i/>
          <w:sz w:val="22"/>
          <w:szCs w:val="22"/>
        </w:rPr>
      </w:pPr>
      <w:r w:rsidRPr="008912CF">
        <w:rPr>
          <w:i/>
          <w:sz w:val="22"/>
          <w:szCs w:val="22"/>
        </w:rPr>
        <w:t>Hidradenite supurativa</w:t>
      </w:r>
    </w:p>
    <w:p w14:paraId="35D34061" w14:textId="77777777" w:rsidR="004462A0" w:rsidRPr="008912CF" w:rsidRDefault="004462A0" w:rsidP="004462A0">
      <w:pPr>
        <w:rPr>
          <w:sz w:val="22"/>
          <w:szCs w:val="22"/>
        </w:rPr>
      </w:pPr>
    </w:p>
    <w:p w14:paraId="04598902" w14:textId="77777777" w:rsidR="004462A0" w:rsidRPr="008912CF" w:rsidRDefault="00615769" w:rsidP="004462A0">
      <w:pPr>
        <w:rPr>
          <w:sz w:val="22"/>
          <w:szCs w:val="22"/>
        </w:rPr>
      </w:pPr>
      <w:r w:rsidRPr="008912CF">
        <w:rPr>
          <w:sz w:val="22"/>
          <w:szCs w:val="22"/>
        </w:rPr>
        <w:t>A dose inicial recomendada de Humira em doentes adultos com hidradenite supurativa (HS) é de 160</w:t>
      </w:r>
      <w:r>
        <w:rPr>
          <w:sz w:val="22"/>
          <w:szCs w:val="22"/>
        </w:rPr>
        <w:t> </w:t>
      </w:r>
      <w:r w:rsidRPr="008912CF">
        <w:rPr>
          <w:sz w:val="22"/>
          <w:szCs w:val="22"/>
        </w:rPr>
        <w:t>mg no dia 1 (quatro injeções de 40</w:t>
      </w:r>
      <w:r>
        <w:rPr>
          <w:sz w:val="22"/>
          <w:szCs w:val="22"/>
        </w:rPr>
        <w:t> </w:t>
      </w:r>
      <w:r w:rsidRPr="008912CF">
        <w:rPr>
          <w:sz w:val="22"/>
          <w:szCs w:val="22"/>
        </w:rPr>
        <w:t>mg num dia ou duas injeções de 40</w:t>
      </w:r>
      <w:r>
        <w:rPr>
          <w:sz w:val="22"/>
          <w:szCs w:val="22"/>
        </w:rPr>
        <w:t> </w:t>
      </w:r>
      <w:r w:rsidRPr="008912CF">
        <w:rPr>
          <w:sz w:val="22"/>
          <w:szCs w:val="22"/>
        </w:rPr>
        <w:t>mg por dia, em dois dias consecutivos), seguida de 80</w:t>
      </w:r>
      <w:r>
        <w:rPr>
          <w:sz w:val="22"/>
          <w:szCs w:val="22"/>
        </w:rPr>
        <w:t> </w:t>
      </w:r>
      <w:r w:rsidRPr="008912CF">
        <w:rPr>
          <w:sz w:val="22"/>
          <w:szCs w:val="22"/>
        </w:rPr>
        <w:t>mg duas semanas após a dose inicial, no dia 15 (administrada em duas injeções de 40</w:t>
      </w:r>
      <w:r>
        <w:rPr>
          <w:sz w:val="22"/>
          <w:szCs w:val="22"/>
        </w:rPr>
        <w:t> </w:t>
      </w:r>
      <w:r w:rsidRPr="008912CF">
        <w:rPr>
          <w:sz w:val="22"/>
          <w:szCs w:val="22"/>
        </w:rPr>
        <w:t>mg num dia). Duas semanas mais tarde (dia 29) continuar com uma dose de 40</w:t>
      </w:r>
      <w:r>
        <w:rPr>
          <w:sz w:val="22"/>
          <w:szCs w:val="22"/>
        </w:rPr>
        <w:t> </w:t>
      </w:r>
      <w:r w:rsidRPr="008912CF">
        <w:rPr>
          <w:sz w:val="22"/>
          <w:szCs w:val="22"/>
        </w:rPr>
        <w:t>mg todas as semanas</w:t>
      </w:r>
      <w:r w:rsidR="00C95D7D">
        <w:rPr>
          <w:sz w:val="22"/>
          <w:szCs w:val="22"/>
        </w:rPr>
        <w:t xml:space="preserve"> ou 80 mg em semanas alternadas (administrada em duas injeções de 40 mg num dia)</w:t>
      </w:r>
      <w:r w:rsidRPr="008912CF">
        <w:rPr>
          <w:sz w:val="22"/>
          <w:szCs w:val="22"/>
        </w:rPr>
        <w:t>. Durante o tratamento com Humira, pode manter-se o tratamento com antibióticos, se necessário. Recomenda-se que o doente use um a</w:t>
      </w:r>
      <w:r w:rsidRPr="008912CF">
        <w:rPr>
          <w:sz w:val="22"/>
          <w:szCs w:val="22"/>
        </w:rPr>
        <w:t>nti-séptico tópico de lavagem nas lesões de HS, numa base diária, durante o tratamento com Humira.</w:t>
      </w:r>
    </w:p>
    <w:p w14:paraId="79E9B4F1" w14:textId="77777777" w:rsidR="004462A0" w:rsidRPr="008912CF" w:rsidRDefault="004462A0" w:rsidP="004462A0">
      <w:pPr>
        <w:rPr>
          <w:sz w:val="22"/>
          <w:szCs w:val="22"/>
        </w:rPr>
      </w:pPr>
    </w:p>
    <w:p w14:paraId="15CF69A1" w14:textId="77777777" w:rsidR="004462A0" w:rsidRPr="008912CF" w:rsidRDefault="00615769" w:rsidP="004462A0">
      <w:pPr>
        <w:rPr>
          <w:sz w:val="22"/>
          <w:szCs w:val="22"/>
        </w:rPr>
      </w:pPr>
      <w:r w:rsidRPr="008912CF">
        <w:rPr>
          <w:sz w:val="22"/>
          <w:szCs w:val="22"/>
        </w:rPr>
        <w:t>Uma terapêutica continuada para além das 12 semanas deve ser cuidadosamente reconsiderada em doentes que não apresentaram melhoria neste período de tempo.</w:t>
      </w:r>
    </w:p>
    <w:p w14:paraId="51140481" w14:textId="77777777" w:rsidR="004462A0" w:rsidRPr="008912CF" w:rsidRDefault="004462A0" w:rsidP="004462A0">
      <w:pPr>
        <w:rPr>
          <w:sz w:val="22"/>
          <w:szCs w:val="22"/>
        </w:rPr>
      </w:pPr>
    </w:p>
    <w:p w14:paraId="07FD997D" w14:textId="77777777" w:rsidR="004462A0" w:rsidRPr="008912CF" w:rsidRDefault="00615769" w:rsidP="004462A0">
      <w:pPr>
        <w:rPr>
          <w:sz w:val="22"/>
          <w:szCs w:val="22"/>
        </w:rPr>
      </w:pPr>
      <w:r w:rsidRPr="008912CF">
        <w:rPr>
          <w:sz w:val="22"/>
          <w:szCs w:val="22"/>
        </w:rPr>
        <w:t>Caso haja necessidade de interromper o tratamento, Humira 40</w:t>
      </w:r>
      <w:r>
        <w:rPr>
          <w:sz w:val="22"/>
          <w:szCs w:val="22"/>
        </w:rPr>
        <w:t> </w:t>
      </w:r>
      <w:r w:rsidRPr="008912CF">
        <w:rPr>
          <w:sz w:val="22"/>
          <w:szCs w:val="22"/>
        </w:rPr>
        <w:t xml:space="preserve">mg </w:t>
      </w:r>
      <w:r w:rsidR="00C95D7D">
        <w:rPr>
          <w:sz w:val="22"/>
          <w:szCs w:val="22"/>
        </w:rPr>
        <w:t xml:space="preserve">por semana ou 80 mg em semanas alternadas </w:t>
      </w:r>
      <w:r w:rsidRPr="008912CF">
        <w:rPr>
          <w:sz w:val="22"/>
          <w:szCs w:val="22"/>
        </w:rPr>
        <w:t>pode ser reintroduzido</w:t>
      </w:r>
      <w:r w:rsidR="00E97AB7">
        <w:rPr>
          <w:sz w:val="22"/>
          <w:szCs w:val="22"/>
        </w:rPr>
        <w:t xml:space="preserve"> </w:t>
      </w:r>
      <w:r w:rsidR="00E97AB7" w:rsidRPr="008912CF">
        <w:rPr>
          <w:sz w:val="22"/>
          <w:szCs w:val="22"/>
        </w:rPr>
        <w:t>(ver secção 5.1)</w:t>
      </w:r>
      <w:r w:rsidRPr="008912CF">
        <w:rPr>
          <w:sz w:val="22"/>
          <w:szCs w:val="22"/>
        </w:rPr>
        <w:t xml:space="preserve">. </w:t>
      </w:r>
    </w:p>
    <w:p w14:paraId="26F614F9" w14:textId="77777777" w:rsidR="004462A0" w:rsidRPr="008912CF" w:rsidRDefault="004462A0" w:rsidP="004462A0">
      <w:pPr>
        <w:rPr>
          <w:sz w:val="22"/>
          <w:szCs w:val="22"/>
        </w:rPr>
      </w:pPr>
    </w:p>
    <w:p w14:paraId="498F4FA6" w14:textId="77777777" w:rsidR="004462A0" w:rsidRPr="008912CF" w:rsidRDefault="00615769" w:rsidP="004462A0">
      <w:pPr>
        <w:rPr>
          <w:sz w:val="22"/>
          <w:szCs w:val="22"/>
        </w:rPr>
      </w:pPr>
      <w:r w:rsidRPr="008912CF">
        <w:rPr>
          <w:sz w:val="22"/>
          <w:szCs w:val="22"/>
        </w:rPr>
        <w:t>O benefício e risco d</w:t>
      </w:r>
      <w:r w:rsidR="00142C8C">
        <w:rPr>
          <w:sz w:val="22"/>
          <w:szCs w:val="22"/>
        </w:rPr>
        <w:t>a</w:t>
      </w:r>
      <w:r w:rsidRPr="008912CF">
        <w:rPr>
          <w:sz w:val="22"/>
          <w:szCs w:val="22"/>
        </w:rPr>
        <w:t xml:space="preserve"> continuação do tratamento a longo prazo devem ser avaliados periodicamente (ver secção 5.1).</w:t>
      </w:r>
    </w:p>
    <w:p w14:paraId="19EF802E" w14:textId="77777777" w:rsidR="004462A0" w:rsidRDefault="004462A0" w:rsidP="004462A0">
      <w:pPr>
        <w:rPr>
          <w:sz w:val="22"/>
          <w:szCs w:val="22"/>
        </w:rPr>
      </w:pPr>
    </w:p>
    <w:p w14:paraId="14151544" w14:textId="77777777" w:rsidR="00C95D7D" w:rsidRDefault="00615769" w:rsidP="00AA7352">
      <w:pPr>
        <w:pStyle w:val="BodyText2"/>
        <w:autoSpaceDE/>
        <w:autoSpaceDN/>
        <w:adjustRightInd/>
        <w:rPr>
          <w:szCs w:val="22"/>
        </w:rPr>
      </w:pPr>
      <w:r>
        <w:rPr>
          <w:szCs w:val="22"/>
        </w:rPr>
        <w:t xml:space="preserve">Humira pode estar disponível em outras dosagens e/ou apresentações dependendo das necessidades de cada doente. </w:t>
      </w:r>
    </w:p>
    <w:p w14:paraId="07DDA028" w14:textId="77777777" w:rsidR="00C95D7D" w:rsidRPr="008912CF" w:rsidRDefault="00C95D7D" w:rsidP="004462A0">
      <w:pPr>
        <w:rPr>
          <w:sz w:val="22"/>
          <w:szCs w:val="22"/>
        </w:rPr>
      </w:pPr>
    </w:p>
    <w:p w14:paraId="5C55D8D3" w14:textId="77777777" w:rsidR="004462A0" w:rsidRPr="008912CF" w:rsidRDefault="00615769" w:rsidP="004462A0">
      <w:pPr>
        <w:pStyle w:val="Heading9"/>
        <w:keepNext w:val="0"/>
        <w:rPr>
          <w:szCs w:val="22"/>
          <w:u w:val="none"/>
        </w:rPr>
      </w:pPr>
      <w:r w:rsidRPr="008912CF">
        <w:rPr>
          <w:i/>
          <w:szCs w:val="22"/>
          <w:u w:val="none"/>
        </w:rPr>
        <w:t>Doença de Crohn</w:t>
      </w:r>
    </w:p>
    <w:p w14:paraId="646BFCA1" w14:textId="77777777" w:rsidR="004462A0" w:rsidRPr="008912CF" w:rsidRDefault="004462A0" w:rsidP="004462A0">
      <w:pPr>
        <w:pStyle w:val="Heading9"/>
        <w:keepNext w:val="0"/>
        <w:rPr>
          <w:szCs w:val="22"/>
        </w:rPr>
      </w:pPr>
    </w:p>
    <w:p w14:paraId="1DC78E7F" w14:textId="77777777" w:rsidR="004462A0" w:rsidRPr="008912CF" w:rsidRDefault="00615769" w:rsidP="004462A0">
      <w:pPr>
        <w:rPr>
          <w:sz w:val="22"/>
          <w:szCs w:val="22"/>
        </w:rPr>
      </w:pPr>
      <w:r w:rsidRPr="008912CF">
        <w:rPr>
          <w:sz w:val="22"/>
          <w:szCs w:val="22"/>
        </w:rPr>
        <w:t xml:space="preserve">A dose de indução recomendada de Humira em doentes adultos com doença de Crohn ativa moderada a grave é de 80 mg na Semana 0, seguida de 40 mg na Semana 2. No caso de haver necessidade de uma resposta mais rápida à terapêutica, pode ser usada a dose de 160 mg na Semana 0 (administrada em quatro injeções </w:t>
      </w:r>
      <w:r w:rsidR="00C95D7D">
        <w:rPr>
          <w:sz w:val="22"/>
          <w:szCs w:val="22"/>
        </w:rPr>
        <w:t xml:space="preserve">de 40 mg </w:t>
      </w:r>
      <w:r w:rsidRPr="008912CF">
        <w:rPr>
          <w:sz w:val="22"/>
          <w:szCs w:val="22"/>
        </w:rPr>
        <w:t xml:space="preserve">num dia ou duas injeções </w:t>
      </w:r>
      <w:r w:rsidR="00C95D7D">
        <w:rPr>
          <w:sz w:val="22"/>
          <w:szCs w:val="22"/>
        </w:rPr>
        <w:t xml:space="preserve">de 40 mg </w:t>
      </w:r>
      <w:r w:rsidRPr="008912CF">
        <w:rPr>
          <w:sz w:val="22"/>
          <w:szCs w:val="22"/>
        </w:rPr>
        <w:t>por dia</w:t>
      </w:r>
      <w:r w:rsidR="00142C8C">
        <w:rPr>
          <w:sz w:val="22"/>
          <w:szCs w:val="22"/>
        </w:rPr>
        <w:t>,</w:t>
      </w:r>
      <w:r w:rsidRPr="008912CF">
        <w:rPr>
          <w:sz w:val="22"/>
          <w:szCs w:val="22"/>
        </w:rPr>
        <w:t xml:space="preserve"> em dois dias consecutivos), </w:t>
      </w:r>
      <w:r w:rsidR="005B6638">
        <w:rPr>
          <w:sz w:val="22"/>
          <w:szCs w:val="22"/>
        </w:rPr>
        <w:t>seguida d</w:t>
      </w:r>
      <w:r w:rsidR="00142C8C">
        <w:rPr>
          <w:sz w:val="22"/>
          <w:szCs w:val="22"/>
        </w:rPr>
        <w:t xml:space="preserve">e </w:t>
      </w:r>
      <w:r w:rsidRPr="008912CF">
        <w:rPr>
          <w:sz w:val="22"/>
          <w:szCs w:val="22"/>
        </w:rPr>
        <w:t>80 mg na Semana 2</w:t>
      </w:r>
      <w:r w:rsidR="00514C16">
        <w:rPr>
          <w:sz w:val="22"/>
          <w:szCs w:val="22"/>
        </w:rPr>
        <w:t xml:space="preserve"> (administrada em duas injeções de 40 mg num dia)</w:t>
      </w:r>
      <w:r w:rsidRPr="008912CF">
        <w:rPr>
          <w:sz w:val="22"/>
          <w:szCs w:val="22"/>
        </w:rPr>
        <w:t>, atendendo que o risco de acontecimentos adversos é maior durante a indução.</w:t>
      </w:r>
    </w:p>
    <w:p w14:paraId="0BB26818" w14:textId="77777777" w:rsidR="004462A0" w:rsidRPr="008912CF" w:rsidRDefault="004462A0" w:rsidP="004462A0">
      <w:pPr>
        <w:rPr>
          <w:sz w:val="22"/>
          <w:szCs w:val="22"/>
        </w:rPr>
      </w:pPr>
    </w:p>
    <w:p w14:paraId="56501EE8" w14:textId="77777777" w:rsidR="004462A0" w:rsidRPr="008912CF" w:rsidRDefault="00615769" w:rsidP="004462A0">
      <w:pPr>
        <w:rPr>
          <w:sz w:val="22"/>
          <w:szCs w:val="22"/>
        </w:rPr>
      </w:pPr>
      <w:r w:rsidRPr="008912CF">
        <w:rPr>
          <w:sz w:val="22"/>
          <w:szCs w:val="22"/>
        </w:rPr>
        <w:t>Após o tratamento de indução, a dose recomendada é de 40 mg em semanas alternadas por injeção subcutânea. Se um doente suspender Humira e se houver recorrência dos sinais e sintomas da doença, Humira pode ser readministrado. Existe pouca experiência na readministração para além das 8 semanas após a dose anterior.</w:t>
      </w:r>
    </w:p>
    <w:p w14:paraId="5ABEA157" w14:textId="77777777" w:rsidR="004462A0" w:rsidRPr="008912CF" w:rsidRDefault="004462A0" w:rsidP="004462A0">
      <w:pPr>
        <w:rPr>
          <w:sz w:val="22"/>
          <w:szCs w:val="22"/>
        </w:rPr>
      </w:pPr>
    </w:p>
    <w:p w14:paraId="5E40787F" w14:textId="77777777" w:rsidR="004462A0" w:rsidRPr="008912CF" w:rsidRDefault="00615769" w:rsidP="004462A0">
      <w:pPr>
        <w:rPr>
          <w:sz w:val="22"/>
          <w:szCs w:val="22"/>
        </w:rPr>
      </w:pPr>
      <w:r w:rsidRPr="008912CF">
        <w:rPr>
          <w:sz w:val="22"/>
          <w:szCs w:val="22"/>
        </w:rPr>
        <w:t>Durante o tratamento de manutenção, os corticosteroides podem ser ajustados de acordo com as normas orientadoras da prática clínica.</w:t>
      </w:r>
    </w:p>
    <w:p w14:paraId="6A5B7D92" w14:textId="77777777" w:rsidR="004462A0" w:rsidRPr="008912CF" w:rsidRDefault="004462A0" w:rsidP="004462A0">
      <w:pPr>
        <w:rPr>
          <w:sz w:val="22"/>
          <w:szCs w:val="22"/>
        </w:rPr>
      </w:pPr>
    </w:p>
    <w:p w14:paraId="52ED3749" w14:textId="77777777" w:rsidR="004462A0" w:rsidRPr="008912CF" w:rsidRDefault="00615769" w:rsidP="004462A0">
      <w:pPr>
        <w:rPr>
          <w:sz w:val="22"/>
          <w:szCs w:val="22"/>
        </w:rPr>
      </w:pPr>
      <w:r w:rsidRPr="008912CF">
        <w:rPr>
          <w:sz w:val="22"/>
          <w:szCs w:val="22"/>
        </w:rPr>
        <w:t xml:space="preserve">Alguns doentes que apresentaram diminuição </w:t>
      </w:r>
      <w:r w:rsidR="00142C8C">
        <w:rPr>
          <w:sz w:val="22"/>
          <w:szCs w:val="22"/>
        </w:rPr>
        <w:t>n</w:t>
      </w:r>
      <w:r w:rsidRPr="008912CF">
        <w:rPr>
          <w:sz w:val="22"/>
          <w:szCs w:val="22"/>
        </w:rPr>
        <w:t>a sua resposta terapêutica</w:t>
      </w:r>
      <w:r w:rsidR="00514C16">
        <w:rPr>
          <w:sz w:val="22"/>
          <w:szCs w:val="22"/>
        </w:rPr>
        <w:t xml:space="preserve"> com Humira 40 mg em semanas alternadas</w:t>
      </w:r>
      <w:r w:rsidRPr="008912CF">
        <w:rPr>
          <w:sz w:val="22"/>
          <w:szCs w:val="22"/>
        </w:rPr>
        <w:t xml:space="preserve"> podem beneficiar com um aumento da dose para 40 mg de Humira todas as semanas</w:t>
      </w:r>
      <w:r w:rsidR="00514C16">
        <w:rPr>
          <w:sz w:val="22"/>
          <w:szCs w:val="22"/>
        </w:rPr>
        <w:t xml:space="preserve"> ou 80 mg em semanas alternadas</w:t>
      </w:r>
      <w:r w:rsidRPr="008912CF">
        <w:rPr>
          <w:sz w:val="22"/>
          <w:szCs w:val="22"/>
        </w:rPr>
        <w:t>.</w:t>
      </w:r>
    </w:p>
    <w:p w14:paraId="716EBEE9" w14:textId="77777777" w:rsidR="004462A0" w:rsidRPr="008912CF" w:rsidRDefault="004462A0" w:rsidP="004462A0">
      <w:pPr>
        <w:rPr>
          <w:sz w:val="22"/>
          <w:szCs w:val="22"/>
        </w:rPr>
      </w:pPr>
    </w:p>
    <w:p w14:paraId="409EF737" w14:textId="77777777" w:rsidR="004462A0" w:rsidRPr="008912CF" w:rsidRDefault="00615769" w:rsidP="004462A0">
      <w:pPr>
        <w:pStyle w:val="BodyText2"/>
        <w:autoSpaceDE/>
        <w:autoSpaceDN/>
        <w:adjustRightInd/>
        <w:rPr>
          <w:szCs w:val="22"/>
        </w:rPr>
      </w:pPr>
      <w:r w:rsidRPr="008912CF">
        <w:rPr>
          <w:szCs w:val="22"/>
        </w:rPr>
        <w:t>Alguns doentes que não responderam à Semana 4 podem beneficiar com uma terapêutica de manutenção continuada até à Semana 12. Uma terapêutica continuada deve ser cuidadosamente reconsiderada em doentes que não responderam dentro deste período de tempo.</w:t>
      </w:r>
    </w:p>
    <w:p w14:paraId="2D7EDB83" w14:textId="77777777" w:rsidR="004462A0" w:rsidRDefault="004462A0" w:rsidP="004462A0">
      <w:pPr>
        <w:rPr>
          <w:sz w:val="22"/>
          <w:szCs w:val="22"/>
          <w:u w:val="single"/>
        </w:rPr>
      </w:pPr>
    </w:p>
    <w:p w14:paraId="76B804F5" w14:textId="77777777" w:rsidR="00514C16" w:rsidRDefault="00615769" w:rsidP="00514C16">
      <w:pPr>
        <w:pStyle w:val="BodyText2"/>
        <w:autoSpaceDE/>
        <w:autoSpaceDN/>
        <w:adjustRightInd/>
        <w:rPr>
          <w:szCs w:val="22"/>
        </w:rPr>
      </w:pPr>
      <w:r>
        <w:rPr>
          <w:szCs w:val="22"/>
        </w:rPr>
        <w:t xml:space="preserve">Humira pode estar disponível em outras dosagens e/ou apresentações dependendo das necessidades de cada doente. </w:t>
      </w:r>
    </w:p>
    <w:p w14:paraId="0CA31914" w14:textId="77777777" w:rsidR="00514C16" w:rsidRPr="008912CF" w:rsidRDefault="00514C16" w:rsidP="004462A0">
      <w:pPr>
        <w:rPr>
          <w:sz w:val="22"/>
          <w:szCs w:val="22"/>
          <w:u w:val="single"/>
        </w:rPr>
      </w:pPr>
    </w:p>
    <w:p w14:paraId="6805C14C" w14:textId="77777777" w:rsidR="004462A0" w:rsidRPr="008912CF" w:rsidRDefault="00615769" w:rsidP="004462A0">
      <w:pPr>
        <w:rPr>
          <w:sz w:val="22"/>
          <w:szCs w:val="22"/>
        </w:rPr>
      </w:pPr>
      <w:r w:rsidRPr="008912CF">
        <w:rPr>
          <w:i/>
          <w:sz w:val="22"/>
          <w:szCs w:val="22"/>
        </w:rPr>
        <w:t>Colite ulcerosa</w:t>
      </w:r>
    </w:p>
    <w:p w14:paraId="3FD560D1" w14:textId="77777777" w:rsidR="004462A0" w:rsidRPr="008912CF" w:rsidRDefault="004462A0" w:rsidP="004462A0">
      <w:pPr>
        <w:rPr>
          <w:sz w:val="22"/>
          <w:szCs w:val="22"/>
          <w:u w:val="single"/>
        </w:rPr>
      </w:pPr>
    </w:p>
    <w:p w14:paraId="77F01474" w14:textId="77777777" w:rsidR="004462A0" w:rsidRPr="008912CF" w:rsidRDefault="00615769" w:rsidP="004462A0">
      <w:pPr>
        <w:rPr>
          <w:sz w:val="22"/>
          <w:szCs w:val="22"/>
        </w:rPr>
      </w:pPr>
      <w:r w:rsidRPr="008912CF">
        <w:rPr>
          <w:sz w:val="22"/>
          <w:szCs w:val="22"/>
        </w:rPr>
        <w:t xml:space="preserve">A dose de indução recomendada de Humira em doentes adultos com </w:t>
      </w:r>
      <w:r w:rsidRPr="008912CF">
        <w:rPr>
          <w:sz w:val="22"/>
          <w:szCs w:val="22"/>
          <w:lang w:eastAsia="pt-PT"/>
        </w:rPr>
        <w:t>colite ulcerosa moderada a grave</w:t>
      </w:r>
      <w:r w:rsidRPr="008912CF">
        <w:rPr>
          <w:sz w:val="22"/>
          <w:szCs w:val="22"/>
        </w:rPr>
        <w:t xml:space="preserve"> é de 160 mg na Semana 0 (administrada em quatro injeções</w:t>
      </w:r>
      <w:r w:rsidR="00514C16">
        <w:rPr>
          <w:sz w:val="22"/>
          <w:szCs w:val="22"/>
        </w:rPr>
        <w:t xml:space="preserve"> de 40 mg</w:t>
      </w:r>
      <w:r w:rsidRPr="008912CF">
        <w:rPr>
          <w:sz w:val="22"/>
          <w:szCs w:val="22"/>
        </w:rPr>
        <w:t xml:space="preserve"> num dia ou duas injeções </w:t>
      </w:r>
      <w:r w:rsidR="00514C16">
        <w:rPr>
          <w:sz w:val="22"/>
          <w:szCs w:val="22"/>
        </w:rPr>
        <w:t xml:space="preserve">de 40 mg </w:t>
      </w:r>
      <w:r w:rsidRPr="008912CF">
        <w:rPr>
          <w:sz w:val="22"/>
          <w:szCs w:val="22"/>
        </w:rPr>
        <w:t>por dia</w:t>
      </w:r>
      <w:r w:rsidR="00293AA5">
        <w:rPr>
          <w:sz w:val="22"/>
          <w:szCs w:val="22"/>
        </w:rPr>
        <w:t>,</w:t>
      </w:r>
      <w:r w:rsidRPr="008912CF">
        <w:rPr>
          <w:sz w:val="22"/>
          <w:szCs w:val="22"/>
        </w:rPr>
        <w:t xml:space="preserve"> em dois dias consecutivos) e de 80 mg na Semana 2</w:t>
      </w:r>
      <w:r w:rsidR="00514C16">
        <w:rPr>
          <w:sz w:val="22"/>
          <w:szCs w:val="22"/>
        </w:rPr>
        <w:t xml:space="preserve"> (administrada em duas injeções de 40 mg num dia)</w:t>
      </w:r>
      <w:r w:rsidRPr="008912CF">
        <w:rPr>
          <w:sz w:val="22"/>
          <w:szCs w:val="22"/>
        </w:rPr>
        <w:t>. Após o tratamento de indução, a dose recomendada é de 40 mg em semanas alternadas por injeção subcutânea.</w:t>
      </w:r>
    </w:p>
    <w:p w14:paraId="504DA0DF" w14:textId="77777777" w:rsidR="004462A0" w:rsidRPr="008912CF" w:rsidRDefault="004462A0" w:rsidP="004462A0">
      <w:pPr>
        <w:rPr>
          <w:sz w:val="22"/>
          <w:szCs w:val="22"/>
        </w:rPr>
      </w:pPr>
    </w:p>
    <w:p w14:paraId="4D21793B" w14:textId="77777777" w:rsidR="004462A0" w:rsidRPr="008912CF" w:rsidRDefault="00615769" w:rsidP="004462A0">
      <w:pPr>
        <w:rPr>
          <w:sz w:val="22"/>
          <w:szCs w:val="22"/>
        </w:rPr>
      </w:pPr>
      <w:r w:rsidRPr="008912CF">
        <w:rPr>
          <w:sz w:val="22"/>
          <w:szCs w:val="22"/>
        </w:rPr>
        <w:t>Durante o tratamento de manutenção, os corticosteroides podem ser ajustados de acordo com as normas orientadoras da prática clínica.</w:t>
      </w:r>
    </w:p>
    <w:p w14:paraId="1834ADB1" w14:textId="77777777" w:rsidR="004462A0" w:rsidRPr="008912CF" w:rsidRDefault="004462A0" w:rsidP="004462A0">
      <w:pPr>
        <w:rPr>
          <w:sz w:val="22"/>
          <w:szCs w:val="22"/>
        </w:rPr>
      </w:pPr>
    </w:p>
    <w:p w14:paraId="37F8304D" w14:textId="77777777" w:rsidR="004462A0" w:rsidRPr="008912CF" w:rsidRDefault="00615769" w:rsidP="004462A0">
      <w:pPr>
        <w:rPr>
          <w:sz w:val="22"/>
          <w:szCs w:val="22"/>
        </w:rPr>
      </w:pPr>
      <w:r w:rsidRPr="008912CF">
        <w:rPr>
          <w:sz w:val="22"/>
          <w:szCs w:val="22"/>
        </w:rPr>
        <w:t>Alguns doentes que apresentaram diminuição na sua resposta terapêutica</w:t>
      </w:r>
      <w:r w:rsidR="00514C16">
        <w:rPr>
          <w:sz w:val="22"/>
          <w:szCs w:val="22"/>
        </w:rPr>
        <w:t xml:space="preserve"> com 40 mg em semanas alternadas</w:t>
      </w:r>
      <w:r w:rsidRPr="008912CF">
        <w:rPr>
          <w:sz w:val="22"/>
          <w:szCs w:val="22"/>
        </w:rPr>
        <w:t xml:space="preserve"> podem beneficiar com um aumento da dose para 40 mg de Humira todas as semanas</w:t>
      </w:r>
      <w:r w:rsidR="00514C16">
        <w:rPr>
          <w:sz w:val="22"/>
          <w:szCs w:val="22"/>
        </w:rPr>
        <w:t xml:space="preserve"> ou 80 mg em semanas alternadas</w:t>
      </w:r>
      <w:r w:rsidRPr="008912CF">
        <w:rPr>
          <w:sz w:val="22"/>
          <w:szCs w:val="22"/>
        </w:rPr>
        <w:t>.</w:t>
      </w:r>
    </w:p>
    <w:p w14:paraId="4761BB03" w14:textId="77777777" w:rsidR="004462A0" w:rsidRPr="008912CF" w:rsidRDefault="004462A0" w:rsidP="004462A0">
      <w:pPr>
        <w:rPr>
          <w:sz w:val="22"/>
          <w:szCs w:val="22"/>
        </w:rPr>
      </w:pPr>
    </w:p>
    <w:p w14:paraId="0B502F0B" w14:textId="77777777" w:rsidR="004462A0" w:rsidRPr="008912CF" w:rsidRDefault="00615769" w:rsidP="004462A0">
      <w:pPr>
        <w:autoSpaceDE w:val="0"/>
        <w:autoSpaceDN w:val="0"/>
        <w:adjustRightInd w:val="0"/>
      </w:pPr>
      <w:r w:rsidRPr="008912CF">
        <w:rPr>
          <w:sz w:val="22"/>
          <w:szCs w:val="22"/>
        </w:rPr>
        <w:t>Os dados disponíveis sugerem que a resposta clínica é geralmente atingida dentro de 2-8 semanas de tratamento. O tratamento com Humira não deve ser continuado em doentes que não responderam dentro deste período de tempo.</w:t>
      </w:r>
    </w:p>
    <w:p w14:paraId="1E298161" w14:textId="77777777" w:rsidR="004462A0" w:rsidRDefault="004462A0" w:rsidP="004462A0">
      <w:pPr>
        <w:rPr>
          <w:sz w:val="22"/>
          <w:szCs w:val="22"/>
        </w:rPr>
      </w:pPr>
    </w:p>
    <w:p w14:paraId="39552B8C" w14:textId="77777777" w:rsidR="00514C16" w:rsidRDefault="00615769" w:rsidP="00514C16">
      <w:pPr>
        <w:pStyle w:val="BodyText2"/>
        <w:autoSpaceDE/>
        <w:autoSpaceDN/>
        <w:adjustRightInd/>
        <w:rPr>
          <w:szCs w:val="22"/>
        </w:rPr>
      </w:pPr>
      <w:r>
        <w:rPr>
          <w:szCs w:val="22"/>
        </w:rPr>
        <w:t xml:space="preserve">Humira pode estar disponível em outras dosagens e/ou apresentações dependendo das necessidades de cada doente. </w:t>
      </w:r>
    </w:p>
    <w:p w14:paraId="13747460" w14:textId="77777777" w:rsidR="00514C16" w:rsidRDefault="00514C16" w:rsidP="004462A0">
      <w:pPr>
        <w:rPr>
          <w:sz w:val="22"/>
          <w:szCs w:val="22"/>
        </w:rPr>
      </w:pPr>
    </w:p>
    <w:p w14:paraId="75A14A88" w14:textId="77777777" w:rsidR="004462A0" w:rsidRPr="002F618D" w:rsidRDefault="00615769" w:rsidP="004462A0">
      <w:pPr>
        <w:rPr>
          <w:bCs/>
          <w:i/>
          <w:sz w:val="22"/>
          <w:szCs w:val="22"/>
        </w:rPr>
      </w:pPr>
      <w:r w:rsidRPr="00F9792B">
        <w:rPr>
          <w:bCs/>
          <w:i/>
          <w:sz w:val="22"/>
          <w:szCs w:val="22"/>
        </w:rPr>
        <w:t>Uveíte</w:t>
      </w:r>
    </w:p>
    <w:p w14:paraId="47B5446F" w14:textId="77777777" w:rsidR="004462A0" w:rsidRPr="00F9792B" w:rsidRDefault="004462A0" w:rsidP="004462A0">
      <w:pPr>
        <w:rPr>
          <w:bCs/>
          <w:sz w:val="22"/>
          <w:szCs w:val="22"/>
        </w:rPr>
      </w:pPr>
    </w:p>
    <w:p w14:paraId="100F2813" w14:textId="77777777" w:rsidR="004462A0" w:rsidRPr="00F9792B" w:rsidRDefault="00615769" w:rsidP="004462A0">
      <w:pPr>
        <w:rPr>
          <w:bCs/>
          <w:sz w:val="22"/>
          <w:szCs w:val="22"/>
        </w:rPr>
      </w:pPr>
      <w:r w:rsidRPr="00F9792B">
        <w:rPr>
          <w:bCs/>
          <w:sz w:val="22"/>
          <w:szCs w:val="22"/>
        </w:rPr>
        <w:t>A dose inicial recomendada de Humira em doentes adultos com uveíte é de 80</w:t>
      </w:r>
      <w:r>
        <w:rPr>
          <w:bCs/>
          <w:sz w:val="22"/>
          <w:szCs w:val="22"/>
        </w:rPr>
        <w:t> </w:t>
      </w:r>
      <w:r w:rsidRPr="00F9792B">
        <w:rPr>
          <w:bCs/>
          <w:sz w:val="22"/>
          <w:szCs w:val="22"/>
        </w:rPr>
        <w:t>mg, seguida de 40</w:t>
      </w:r>
      <w:r>
        <w:rPr>
          <w:bCs/>
          <w:sz w:val="22"/>
          <w:szCs w:val="22"/>
        </w:rPr>
        <w:t> </w:t>
      </w:r>
      <w:r w:rsidRPr="00F9792B">
        <w:rPr>
          <w:bCs/>
          <w:sz w:val="22"/>
          <w:szCs w:val="22"/>
        </w:rPr>
        <w:t xml:space="preserve">mg administrados em semanas alternadas, uma semana após a dose inicial. A experiência existente, em termos de iniciação do tratamento com Humira em monoterapia, é limitada. O tratamento com Humira pode ser iniciado em associação com corticosteroides e/ou com outros agentes imunomoduladores não biológicos. Os corticosteroides concomitantes podem ser reduzidos de acordo com a prática clínica, duas semanas após o início do tratamento com Humira. </w:t>
      </w:r>
    </w:p>
    <w:p w14:paraId="30811AE6" w14:textId="77777777" w:rsidR="004462A0" w:rsidRPr="00F9792B" w:rsidRDefault="004462A0" w:rsidP="004462A0">
      <w:pPr>
        <w:rPr>
          <w:bCs/>
          <w:sz w:val="22"/>
          <w:szCs w:val="22"/>
        </w:rPr>
      </w:pPr>
    </w:p>
    <w:p w14:paraId="63F1B3A8" w14:textId="77777777" w:rsidR="004462A0" w:rsidRPr="002F618D" w:rsidRDefault="00615769" w:rsidP="004462A0">
      <w:pPr>
        <w:rPr>
          <w:bCs/>
          <w:sz w:val="22"/>
          <w:szCs w:val="22"/>
        </w:rPr>
      </w:pPr>
      <w:r w:rsidRPr="00F9792B">
        <w:rPr>
          <w:bCs/>
          <w:sz w:val="22"/>
          <w:szCs w:val="22"/>
        </w:rPr>
        <w:t xml:space="preserve">Recomenda-se que o risco benefício do tratamento continuado a longo </w:t>
      </w:r>
      <w:r>
        <w:rPr>
          <w:bCs/>
          <w:sz w:val="22"/>
          <w:szCs w:val="22"/>
        </w:rPr>
        <w:t xml:space="preserve">prazo seja avaliado anualmente </w:t>
      </w:r>
      <w:r w:rsidRPr="00F9792B">
        <w:rPr>
          <w:bCs/>
          <w:sz w:val="22"/>
          <w:szCs w:val="22"/>
        </w:rPr>
        <w:t>(ver secção 5.1).</w:t>
      </w:r>
    </w:p>
    <w:p w14:paraId="4A862685" w14:textId="77777777" w:rsidR="004462A0" w:rsidRDefault="004462A0" w:rsidP="004462A0">
      <w:pPr>
        <w:rPr>
          <w:sz w:val="22"/>
          <w:szCs w:val="22"/>
        </w:rPr>
      </w:pPr>
    </w:p>
    <w:p w14:paraId="1780AB23" w14:textId="77777777" w:rsidR="00514C16" w:rsidRDefault="00615769" w:rsidP="00514C16">
      <w:pPr>
        <w:pStyle w:val="BodyText2"/>
        <w:autoSpaceDE/>
        <w:autoSpaceDN/>
        <w:adjustRightInd/>
        <w:rPr>
          <w:szCs w:val="22"/>
        </w:rPr>
      </w:pPr>
      <w:r>
        <w:rPr>
          <w:szCs w:val="22"/>
        </w:rPr>
        <w:t xml:space="preserve">Humira pode estar disponível em outras dosagens e/ou apresentações dependendo das necessidades de cada doente. </w:t>
      </w:r>
    </w:p>
    <w:p w14:paraId="3E3229FE" w14:textId="77777777" w:rsidR="00514C16" w:rsidRDefault="00514C16" w:rsidP="004462A0">
      <w:pPr>
        <w:rPr>
          <w:sz w:val="22"/>
          <w:szCs w:val="22"/>
        </w:rPr>
      </w:pPr>
    </w:p>
    <w:p w14:paraId="2581CBAB" w14:textId="77777777" w:rsidR="003741D0" w:rsidRPr="00F03C54" w:rsidRDefault="00615769" w:rsidP="004462A0">
      <w:pPr>
        <w:rPr>
          <w:sz w:val="22"/>
          <w:szCs w:val="22"/>
          <w:u w:val="single"/>
        </w:rPr>
      </w:pPr>
      <w:r w:rsidRPr="00F03C54">
        <w:rPr>
          <w:sz w:val="22"/>
          <w:szCs w:val="22"/>
          <w:u w:val="single"/>
        </w:rPr>
        <w:t>Populações especiais</w:t>
      </w:r>
    </w:p>
    <w:p w14:paraId="7F6F2327" w14:textId="77777777" w:rsidR="003741D0" w:rsidRPr="008912CF" w:rsidRDefault="003741D0" w:rsidP="004462A0">
      <w:pPr>
        <w:rPr>
          <w:sz w:val="22"/>
          <w:szCs w:val="22"/>
        </w:rPr>
      </w:pPr>
    </w:p>
    <w:p w14:paraId="65A48CAC" w14:textId="77777777" w:rsidR="004462A0" w:rsidRPr="00F03C54" w:rsidRDefault="00615769" w:rsidP="004462A0">
      <w:pPr>
        <w:rPr>
          <w:sz w:val="22"/>
          <w:szCs w:val="22"/>
        </w:rPr>
      </w:pPr>
      <w:r w:rsidRPr="00F03C54">
        <w:rPr>
          <w:sz w:val="22"/>
          <w:szCs w:val="22"/>
        </w:rPr>
        <w:t xml:space="preserve">Idosos </w:t>
      </w:r>
    </w:p>
    <w:p w14:paraId="74B585E9" w14:textId="77777777" w:rsidR="004462A0" w:rsidRPr="008912CF" w:rsidRDefault="004462A0" w:rsidP="004462A0">
      <w:pPr>
        <w:rPr>
          <w:sz w:val="22"/>
          <w:szCs w:val="22"/>
          <w:u w:val="single"/>
        </w:rPr>
      </w:pPr>
    </w:p>
    <w:p w14:paraId="72DF3D45" w14:textId="77777777" w:rsidR="004462A0" w:rsidRPr="008912CF" w:rsidRDefault="00615769" w:rsidP="004462A0">
      <w:pPr>
        <w:rPr>
          <w:i/>
          <w:sz w:val="22"/>
          <w:szCs w:val="22"/>
        </w:rPr>
      </w:pPr>
      <w:r w:rsidRPr="008912CF">
        <w:rPr>
          <w:sz w:val="22"/>
          <w:szCs w:val="22"/>
        </w:rPr>
        <w:t>Não é necessário efetuar ajustes posológicos.</w:t>
      </w:r>
    </w:p>
    <w:p w14:paraId="793E6332" w14:textId="77777777" w:rsidR="004462A0" w:rsidRPr="008912CF" w:rsidRDefault="004462A0" w:rsidP="004462A0">
      <w:pPr>
        <w:rPr>
          <w:bCs/>
          <w:iCs/>
          <w:sz w:val="22"/>
          <w:szCs w:val="22"/>
          <w:u w:val="single"/>
        </w:rPr>
      </w:pPr>
    </w:p>
    <w:p w14:paraId="69705AFD" w14:textId="77777777" w:rsidR="004462A0" w:rsidRPr="00F03C54" w:rsidRDefault="00615769" w:rsidP="004462A0">
      <w:pPr>
        <w:rPr>
          <w:bCs/>
          <w:iCs/>
          <w:sz w:val="22"/>
          <w:szCs w:val="22"/>
        </w:rPr>
      </w:pPr>
      <w:r w:rsidRPr="00F03C54">
        <w:rPr>
          <w:bCs/>
          <w:iCs/>
          <w:sz w:val="22"/>
          <w:szCs w:val="22"/>
        </w:rPr>
        <w:t>Compromisso renal e/ou hepático</w:t>
      </w:r>
    </w:p>
    <w:p w14:paraId="165F966C" w14:textId="77777777" w:rsidR="004462A0" w:rsidRPr="008912CF" w:rsidRDefault="004462A0" w:rsidP="004462A0">
      <w:pPr>
        <w:rPr>
          <w:b/>
          <w:iCs/>
          <w:sz w:val="22"/>
          <w:szCs w:val="22"/>
        </w:rPr>
      </w:pPr>
    </w:p>
    <w:p w14:paraId="6C1A6009" w14:textId="77777777" w:rsidR="004462A0" w:rsidRPr="008912CF" w:rsidRDefault="00615769" w:rsidP="004462A0">
      <w:pPr>
        <w:rPr>
          <w:bCs/>
          <w:iCs/>
          <w:sz w:val="22"/>
          <w:szCs w:val="22"/>
        </w:rPr>
      </w:pPr>
      <w:r w:rsidRPr="008912CF">
        <w:rPr>
          <w:bCs/>
          <w:iCs/>
          <w:sz w:val="22"/>
          <w:szCs w:val="22"/>
        </w:rPr>
        <w:t>Humira não foi estudado nesta população de doentes. Não podem ser feitas recomendações acerca da dose.</w:t>
      </w:r>
    </w:p>
    <w:p w14:paraId="4AE318F4" w14:textId="77777777" w:rsidR="004462A0" w:rsidRPr="008912CF" w:rsidRDefault="004462A0" w:rsidP="004462A0">
      <w:pPr>
        <w:pStyle w:val="EMEANormal"/>
        <w:rPr>
          <w:lang w:val="pt-PT"/>
        </w:rPr>
      </w:pPr>
    </w:p>
    <w:p w14:paraId="054120D6" w14:textId="77777777" w:rsidR="004462A0" w:rsidRPr="00F03C54" w:rsidRDefault="00615769" w:rsidP="004462A0">
      <w:pPr>
        <w:pStyle w:val="BodyText2"/>
        <w:autoSpaceDE/>
        <w:autoSpaceDN/>
        <w:adjustRightInd/>
        <w:rPr>
          <w:szCs w:val="22"/>
        </w:rPr>
      </w:pPr>
      <w:r w:rsidRPr="00F03C54">
        <w:rPr>
          <w:szCs w:val="22"/>
        </w:rPr>
        <w:t>População pediátrica</w:t>
      </w:r>
    </w:p>
    <w:p w14:paraId="2E955D34" w14:textId="77777777" w:rsidR="004462A0" w:rsidRPr="008912CF" w:rsidRDefault="004462A0" w:rsidP="004462A0">
      <w:pPr>
        <w:rPr>
          <w:sz w:val="22"/>
          <w:szCs w:val="22"/>
          <w:u w:val="single"/>
        </w:rPr>
      </w:pPr>
    </w:p>
    <w:p w14:paraId="332554DB" w14:textId="77777777" w:rsidR="004462A0" w:rsidRPr="008912CF" w:rsidRDefault="00615769" w:rsidP="004462A0">
      <w:pPr>
        <w:rPr>
          <w:sz w:val="22"/>
          <w:szCs w:val="22"/>
        </w:rPr>
      </w:pPr>
      <w:r w:rsidRPr="008912CF">
        <w:rPr>
          <w:i/>
          <w:sz w:val="22"/>
          <w:szCs w:val="22"/>
        </w:rPr>
        <w:t>Artrite idiopática juvenil</w:t>
      </w:r>
    </w:p>
    <w:p w14:paraId="3A351B8B" w14:textId="77777777" w:rsidR="004462A0" w:rsidRPr="008912CF" w:rsidRDefault="004462A0" w:rsidP="004462A0">
      <w:pPr>
        <w:rPr>
          <w:sz w:val="22"/>
          <w:szCs w:val="22"/>
          <w:u w:val="single"/>
        </w:rPr>
      </w:pPr>
    </w:p>
    <w:p w14:paraId="226E7000" w14:textId="77777777" w:rsidR="004462A0" w:rsidRPr="008912CF" w:rsidRDefault="00615769" w:rsidP="004462A0">
      <w:pPr>
        <w:pStyle w:val="BodyText2"/>
        <w:autoSpaceDE/>
        <w:autoSpaceDN/>
        <w:adjustRightInd/>
        <w:rPr>
          <w:i/>
          <w:szCs w:val="22"/>
          <w:u w:val="single"/>
        </w:rPr>
      </w:pPr>
      <w:r w:rsidRPr="008912CF">
        <w:rPr>
          <w:i/>
          <w:szCs w:val="22"/>
          <w:u w:val="single"/>
        </w:rPr>
        <w:t xml:space="preserve">Artrite idiopática juvenil poliarticular </w:t>
      </w:r>
      <w:r w:rsidR="00C667BF">
        <w:rPr>
          <w:i/>
          <w:szCs w:val="22"/>
          <w:u w:val="single"/>
        </w:rPr>
        <w:t xml:space="preserve">a partir </w:t>
      </w:r>
      <w:r w:rsidRPr="008912CF">
        <w:rPr>
          <w:i/>
          <w:szCs w:val="22"/>
          <w:u w:val="single"/>
        </w:rPr>
        <w:t>dos 2 anos de idade</w:t>
      </w:r>
    </w:p>
    <w:p w14:paraId="01CB74F0" w14:textId="77777777" w:rsidR="004462A0" w:rsidRPr="008912CF" w:rsidRDefault="004462A0" w:rsidP="004462A0">
      <w:pPr>
        <w:pStyle w:val="BodyText2"/>
        <w:autoSpaceDE/>
        <w:autoSpaceDN/>
        <w:adjustRightInd/>
        <w:rPr>
          <w:szCs w:val="22"/>
        </w:rPr>
      </w:pPr>
    </w:p>
    <w:p w14:paraId="7551D2DB" w14:textId="77777777" w:rsidR="004462A0" w:rsidRPr="008912CF" w:rsidRDefault="00615769" w:rsidP="004462A0">
      <w:pPr>
        <w:pStyle w:val="BodyText2"/>
        <w:autoSpaceDE/>
        <w:autoSpaceDN/>
        <w:adjustRightInd/>
        <w:rPr>
          <w:szCs w:val="22"/>
        </w:rPr>
      </w:pPr>
      <w:r w:rsidRPr="008912CF">
        <w:rPr>
          <w:szCs w:val="22"/>
        </w:rPr>
        <w:t xml:space="preserve">A dose recomendada de Humira </w:t>
      </w:r>
      <w:r w:rsidR="00E876B5">
        <w:rPr>
          <w:szCs w:val="22"/>
        </w:rPr>
        <w:t xml:space="preserve">em </w:t>
      </w:r>
      <w:r w:rsidRPr="008912CF">
        <w:rPr>
          <w:szCs w:val="22"/>
        </w:rPr>
        <w:t xml:space="preserve">doentes com artrite idiopática juvenil poliarticular, </w:t>
      </w:r>
      <w:r w:rsidR="00C667BF">
        <w:rPr>
          <w:szCs w:val="22"/>
        </w:rPr>
        <w:t xml:space="preserve">a partir dos </w:t>
      </w:r>
      <w:r w:rsidRPr="008912CF">
        <w:rPr>
          <w:szCs w:val="22"/>
        </w:rPr>
        <w:t xml:space="preserve"> 2</w:t>
      </w:r>
      <w:r w:rsidR="00C667BF">
        <w:rPr>
          <w:szCs w:val="22"/>
        </w:rPr>
        <w:t xml:space="preserve"> </w:t>
      </w:r>
      <w:r w:rsidRPr="008912CF">
        <w:rPr>
          <w:szCs w:val="22"/>
        </w:rPr>
        <w:t>anos</w:t>
      </w:r>
      <w:r w:rsidR="00C667BF">
        <w:rPr>
          <w:szCs w:val="22"/>
        </w:rPr>
        <w:t xml:space="preserve"> de idade</w:t>
      </w:r>
      <w:r w:rsidRPr="008912CF">
        <w:rPr>
          <w:szCs w:val="22"/>
        </w:rPr>
        <w:t xml:space="preserve">, é </w:t>
      </w:r>
      <w:r w:rsidR="00C667BF">
        <w:rPr>
          <w:szCs w:val="22"/>
        </w:rPr>
        <w:t>baseada no peso corporal (Tabela 1).</w:t>
      </w:r>
      <w:r w:rsidRPr="008912CF">
        <w:rPr>
          <w:szCs w:val="22"/>
        </w:rPr>
        <w:t xml:space="preserve"> </w:t>
      </w:r>
      <w:r w:rsidR="00C667BF">
        <w:rPr>
          <w:szCs w:val="22"/>
        </w:rPr>
        <w:t xml:space="preserve">Humira é administrado </w:t>
      </w:r>
      <w:r w:rsidRPr="008912CF">
        <w:rPr>
          <w:szCs w:val="22"/>
        </w:rPr>
        <w:t xml:space="preserve">em semanas alternadas, por injeção subcutânea. </w:t>
      </w:r>
    </w:p>
    <w:p w14:paraId="5F131A30" w14:textId="77777777" w:rsidR="00C667BF" w:rsidRDefault="00C667BF" w:rsidP="00C667BF">
      <w:pPr>
        <w:pStyle w:val="BodyText2"/>
        <w:autoSpaceDE/>
        <w:autoSpaceDN/>
        <w:adjustRightInd/>
        <w:jc w:val="center"/>
        <w:rPr>
          <w:b/>
          <w:szCs w:val="22"/>
        </w:rPr>
      </w:pPr>
    </w:p>
    <w:p w14:paraId="7AE0934D" w14:textId="77777777" w:rsidR="00C667BF" w:rsidRPr="008912CF" w:rsidRDefault="00615769" w:rsidP="00C667BF">
      <w:pPr>
        <w:pStyle w:val="BodyText2"/>
        <w:autoSpaceDE/>
        <w:autoSpaceDN/>
        <w:adjustRightInd/>
        <w:jc w:val="center"/>
        <w:rPr>
          <w:b/>
          <w:szCs w:val="22"/>
        </w:rPr>
      </w:pPr>
      <w:r w:rsidRPr="008912CF">
        <w:rPr>
          <w:b/>
          <w:szCs w:val="22"/>
        </w:rPr>
        <w:t xml:space="preserve">Tabela 1. Dose de Humira </w:t>
      </w:r>
      <w:r w:rsidR="00E876B5">
        <w:rPr>
          <w:b/>
          <w:szCs w:val="22"/>
        </w:rPr>
        <w:t xml:space="preserve">em </w:t>
      </w:r>
      <w:r w:rsidRPr="008912CF">
        <w:rPr>
          <w:b/>
          <w:szCs w:val="22"/>
        </w:rPr>
        <w:t xml:space="preserve">Doentes com Artrite Idiopática Juvenil Poliarticular </w:t>
      </w:r>
    </w:p>
    <w:p w14:paraId="147FF872" w14:textId="77777777" w:rsidR="00C667BF" w:rsidRPr="008912CF" w:rsidRDefault="00C667BF" w:rsidP="00C667BF">
      <w:pPr>
        <w:rPr>
          <w:sz w:val="22"/>
          <w:szCs w:val="22"/>
        </w:rPr>
      </w:pPr>
    </w:p>
    <w:tbl>
      <w:tblPr>
        <w:tblW w:w="6795" w:type="dxa"/>
        <w:jc w:val="center"/>
        <w:tblLayout w:type="fixed"/>
        <w:tblLook w:val="0000" w:firstRow="0" w:lastRow="0" w:firstColumn="0" w:lastColumn="0" w:noHBand="0" w:noVBand="0"/>
      </w:tblPr>
      <w:tblGrid>
        <w:gridCol w:w="3401"/>
        <w:gridCol w:w="3394"/>
      </w:tblGrid>
      <w:tr w:rsidR="00A7162A" w14:paraId="55197D25" w14:textId="77777777" w:rsidTr="00E60C95">
        <w:trPr>
          <w:tblHeader/>
          <w:jc w:val="center"/>
        </w:trPr>
        <w:tc>
          <w:tcPr>
            <w:tcW w:w="3401" w:type="dxa"/>
            <w:tcBorders>
              <w:top w:val="single" w:sz="4" w:space="0" w:color="auto"/>
              <w:bottom w:val="single" w:sz="4" w:space="0" w:color="auto"/>
            </w:tcBorders>
          </w:tcPr>
          <w:p w14:paraId="0C6AF07A" w14:textId="77777777" w:rsidR="00C667BF" w:rsidRPr="0007777F" w:rsidRDefault="00615769" w:rsidP="00E60C95">
            <w:pPr>
              <w:keepNext/>
              <w:spacing w:before="40" w:after="40" w:line="240" w:lineRule="exact"/>
              <w:jc w:val="center"/>
              <w:rPr>
                <w:rFonts w:eastAsia="Calibri"/>
                <w:b/>
                <w:sz w:val="22"/>
                <w:szCs w:val="22"/>
                <w:lang w:val="en-US" w:eastAsia="ja-JP"/>
              </w:rPr>
            </w:pPr>
            <w:r>
              <w:rPr>
                <w:rFonts w:eastAsia="Calibri"/>
                <w:b/>
                <w:sz w:val="22"/>
                <w:szCs w:val="22"/>
                <w:lang w:val="en-US" w:eastAsia="ja-JP"/>
              </w:rPr>
              <w:t>Peso do Doente</w:t>
            </w:r>
          </w:p>
        </w:tc>
        <w:tc>
          <w:tcPr>
            <w:tcW w:w="3394" w:type="dxa"/>
            <w:tcBorders>
              <w:top w:val="single" w:sz="4" w:space="0" w:color="auto"/>
              <w:bottom w:val="single" w:sz="4" w:space="0" w:color="auto"/>
            </w:tcBorders>
          </w:tcPr>
          <w:p w14:paraId="7D984199" w14:textId="77777777" w:rsidR="00C667BF" w:rsidRPr="0007777F" w:rsidRDefault="00615769">
            <w:pPr>
              <w:keepNext/>
              <w:spacing w:before="40" w:after="40" w:line="240" w:lineRule="exact"/>
              <w:jc w:val="center"/>
              <w:rPr>
                <w:rFonts w:eastAsia="Calibri"/>
                <w:b/>
                <w:sz w:val="22"/>
                <w:szCs w:val="22"/>
                <w:lang w:val="en-US" w:eastAsia="ja-JP"/>
              </w:rPr>
            </w:pPr>
            <w:r>
              <w:rPr>
                <w:rFonts w:eastAsia="Calibri"/>
                <w:b/>
                <w:sz w:val="22"/>
                <w:szCs w:val="22"/>
                <w:lang w:val="en-US" w:eastAsia="ja-JP"/>
              </w:rPr>
              <w:t xml:space="preserve">Regime </w:t>
            </w:r>
            <w:r w:rsidR="00C00E3F">
              <w:rPr>
                <w:rFonts w:eastAsia="Calibri"/>
                <w:b/>
                <w:sz w:val="22"/>
                <w:szCs w:val="22"/>
                <w:lang w:val="en-US" w:eastAsia="ja-JP"/>
              </w:rPr>
              <w:t xml:space="preserve">Posológico </w:t>
            </w:r>
          </w:p>
        </w:tc>
      </w:tr>
      <w:tr w:rsidR="00A7162A" w14:paraId="59CA5E83" w14:textId="77777777" w:rsidTr="00E60C95">
        <w:trPr>
          <w:tblHeader/>
          <w:jc w:val="center"/>
        </w:trPr>
        <w:tc>
          <w:tcPr>
            <w:tcW w:w="3401" w:type="dxa"/>
            <w:tcBorders>
              <w:top w:val="single" w:sz="4" w:space="0" w:color="auto"/>
              <w:bottom w:val="single" w:sz="4" w:space="0" w:color="auto"/>
            </w:tcBorders>
          </w:tcPr>
          <w:p w14:paraId="4DE2EA4E" w14:textId="77777777" w:rsidR="00C667BF" w:rsidRPr="0007777F" w:rsidRDefault="00615769" w:rsidP="00E60C95">
            <w:pPr>
              <w:keepNext/>
              <w:spacing w:before="40" w:after="40" w:line="240" w:lineRule="exact"/>
              <w:jc w:val="center"/>
              <w:rPr>
                <w:rFonts w:eastAsia="Calibri"/>
                <w:b/>
                <w:sz w:val="22"/>
                <w:szCs w:val="22"/>
                <w:lang w:val="en-US" w:eastAsia="ja-JP"/>
              </w:rPr>
            </w:pPr>
            <w:r>
              <w:rPr>
                <w:rFonts w:eastAsia="Calibri"/>
                <w:sz w:val="22"/>
                <w:szCs w:val="22"/>
                <w:lang w:val="en-US" w:eastAsia="ja-JP"/>
              </w:rPr>
              <w:t>10 kg até</w:t>
            </w:r>
            <w:r w:rsidRPr="0007777F">
              <w:rPr>
                <w:rFonts w:eastAsia="Calibri"/>
                <w:sz w:val="22"/>
                <w:szCs w:val="22"/>
                <w:lang w:val="en-US" w:eastAsia="ja-JP"/>
              </w:rPr>
              <w:t xml:space="preserve"> &lt; 30 kg</w:t>
            </w:r>
          </w:p>
        </w:tc>
        <w:tc>
          <w:tcPr>
            <w:tcW w:w="3394" w:type="dxa"/>
            <w:tcBorders>
              <w:top w:val="single" w:sz="4" w:space="0" w:color="auto"/>
              <w:bottom w:val="single" w:sz="4" w:space="0" w:color="auto"/>
            </w:tcBorders>
          </w:tcPr>
          <w:p w14:paraId="15438177" w14:textId="77777777" w:rsidR="00C667BF" w:rsidRPr="0007777F" w:rsidRDefault="00615769" w:rsidP="00E60C95">
            <w:pPr>
              <w:keepNext/>
              <w:spacing w:before="40" w:after="40" w:line="240" w:lineRule="exact"/>
              <w:jc w:val="center"/>
              <w:rPr>
                <w:rFonts w:eastAsia="Calibri"/>
                <w:b/>
                <w:sz w:val="22"/>
                <w:szCs w:val="22"/>
                <w:lang w:val="en-US" w:eastAsia="ja-JP"/>
              </w:rPr>
            </w:pPr>
            <w:r w:rsidRPr="0007777F">
              <w:rPr>
                <w:rFonts w:eastAsia="Calibri"/>
                <w:sz w:val="22"/>
                <w:szCs w:val="22"/>
                <w:lang w:val="en-US" w:eastAsia="ja-JP"/>
              </w:rPr>
              <w:t xml:space="preserve">20 mg </w:t>
            </w:r>
            <w:r>
              <w:rPr>
                <w:rFonts w:eastAsia="Calibri"/>
                <w:sz w:val="22"/>
                <w:szCs w:val="22"/>
                <w:lang w:val="en-US" w:eastAsia="ja-JP"/>
              </w:rPr>
              <w:t>em semanas alternadas</w:t>
            </w:r>
          </w:p>
        </w:tc>
      </w:tr>
      <w:tr w:rsidR="00A7162A" w14:paraId="4A278CAB" w14:textId="77777777" w:rsidTr="00E60C95">
        <w:trPr>
          <w:tblHeader/>
          <w:jc w:val="center"/>
        </w:trPr>
        <w:tc>
          <w:tcPr>
            <w:tcW w:w="3401" w:type="dxa"/>
            <w:tcBorders>
              <w:top w:val="single" w:sz="4" w:space="0" w:color="auto"/>
              <w:bottom w:val="single" w:sz="4" w:space="0" w:color="auto"/>
            </w:tcBorders>
          </w:tcPr>
          <w:p w14:paraId="4398AED7" w14:textId="77777777" w:rsidR="00C667BF" w:rsidRPr="0007777F" w:rsidRDefault="00615769" w:rsidP="00E60C95">
            <w:pPr>
              <w:keepNext/>
              <w:spacing w:before="40" w:after="40" w:line="240" w:lineRule="exact"/>
              <w:jc w:val="center"/>
              <w:rPr>
                <w:rFonts w:eastAsia="Calibri"/>
                <w:b/>
                <w:sz w:val="22"/>
                <w:szCs w:val="22"/>
                <w:lang w:val="en-US" w:eastAsia="ja-JP"/>
              </w:rPr>
            </w:pPr>
            <w:r w:rsidRPr="0007777F">
              <w:rPr>
                <w:rFonts w:eastAsia="Calibri"/>
                <w:sz w:val="22"/>
                <w:szCs w:val="22"/>
                <w:lang w:val="en-US" w:eastAsia="ja-JP"/>
              </w:rPr>
              <w:t>≥ 30 kg</w:t>
            </w:r>
          </w:p>
        </w:tc>
        <w:tc>
          <w:tcPr>
            <w:tcW w:w="3394" w:type="dxa"/>
            <w:tcBorders>
              <w:top w:val="single" w:sz="4" w:space="0" w:color="auto"/>
              <w:bottom w:val="single" w:sz="4" w:space="0" w:color="auto"/>
            </w:tcBorders>
          </w:tcPr>
          <w:p w14:paraId="5378537C" w14:textId="77777777" w:rsidR="00C667BF" w:rsidRPr="0007777F" w:rsidRDefault="00615769" w:rsidP="00E60C95">
            <w:pPr>
              <w:keepNext/>
              <w:spacing w:before="40" w:after="40" w:line="240" w:lineRule="exact"/>
              <w:jc w:val="center"/>
              <w:rPr>
                <w:rFonts w:eastAsia="Calibri"/>
                <w:b/>
                <w:sz w:val="22"/>
                <w:szCs w:val="22"/>
                <w:lang w:val="en-US" w:eastAsia="ja-JP"/>
              </w:rPr>
            </w:pPr>
            <w:r w:rsidRPr="0007777F">
              <w:rPr>
                <w:rFonts w:eastAsia="Calibri"/>
                <w:sz w:val="22"/>
                <w:szCs w:val="22"/>
                <w:lang w:val="en-US" w:eastAsia="ja-JP"/>
              </w:rPr>
              <w:t xml:space="preserve">40 mg </w:t>
            </w:r>
            <w:r>
              <w:rPr>
                <w:rFonts w:eastAsia="Calibri"/>
                <w:sz w:val="22"/>
                <w:szCs w:val="22"/>
                <w:lang w:val="en-US" w:eastAsia="ja-JP"/>
              </w:rPr>
              <w:t>em semanas alternadas</w:t>
            </w:r>
          </w:p>
        </w:tc>
      </w:tr>
    </w:tbl>
    <w:p w14:paraId="6A4C670B" w14:textId="77777777" w:rsidR="00C667BF" w:rsidRPr="008912CF" w:rsidRDefault="00C667BF" w:rsidP="004462A0">
      <w:pPr>
        <w:rPr>
          <w:sz w:val="22"/>
          <w:szCs w:val="22"/>
        </w:rPr>
      </w:pPr>
    </w:p>
    <w:p w14:paraId="1019F28E" w14:textId="77777777" w:rsidR="004462A0" w:rsidRPr="008912CF" w:rsidRDefault="00615769" w:rsidP="004462A0">
      <w:pPr>
        <w:rPr>
          <w:i/>
          <w:sz w:val="22"/>
          <w:szCs w:val="22"/>
          <w:u w:val="single"/>
        </w:rPr>
      </w:pPr>
      <w:r w:rsidRPr="008912CF">
        <w:rPr>
          <w:sz w:val="22"/>
          <w:szCs w:val="22"/>
        </w:rPr>
        <w:t>Dados disponíveis sugerem que a resposta clínica é geralmente atingida após 12 semanas de tratamento. Uma terapêutica continuada deve ser cuidadosamente reconsiderada em doentes que não responderam dentro deste período de tempo.</w:t>
      </w:r>
    </w:p>
    <w:p w14:paraId="4E7AF818" w14:textId="77777777" w:rsidR="004462A0" w:rsidRPr="008912CF" w:rsidRDefault="004462A0" w:rsidP="004462A0">
      <w:pPr>
        <w:rPr>
          <w:sz w:val="22"/>
          <w:szCs w:val="22"/>
          <w:highlight w:val="yellow"/>
        </w:rPr>
      </w:pPr>
    </w:p>
    <w:p w14:paraId="5E8C87A2" w14:textId="77777777" w:rsidR="004462A0" w:rsidRPr="008912CF" w:rsidRDefault="00615769" w:rsidP="004462A0">
      <w:pPr>
        <w:rPr>
          <w:sz w:val="22"/>
          <w:szCs w:val="22"/>
        </w:rPr>
      </w:pPr>
      <w:r w:rsidRPr="008912CF">
        <w:rPr>
          <w:sz w:val="22"/>
          <w:szCs w:val="22"/>
        </w:rPr>
        <w:t>Não existe utilização relevante de Humira em doentes com menos de 2 anos, para esta indicação.</w:t>
      </w:r>
    </w:p>
    <w:p w14:paraId="503C46AA" w14:textId="77777777" w:rsidR="004462A0" w:rsidRDefault="004462A0" w:rsidP="004462A0">
      <w:pPr>
        <w:rPr>
          <w:sz w:val="22"/>
          <w:szCs w:val="22"/>
        </w:rPr>
      </w:pPr>
    </w:p>
    <w:p w14:paraId="336FC86B" w14:textId="77777777" w:rsidR="00514C16" w:rsidRDefault="00615769" w:rsidP="00514C16">
      <w:pPr>
        <w:pStyle w:val="BodyText2"/>
        <w:autoSpaceDE/>
        <w:autoSpaceDN/>
        <w:adjustRightInd/>
        <w:rPr>
          <w:szCs w:val="22"/>
        </w:rPr>
      </w:pPr>
      <w:r>
        <w:rPr>
          <w:szCs w:val="22"/>
        </w:rPr>
        <w:t xml:space="preserve">Humira pode estar disponível em outras dosagens e/ou apresentações dependendo das necessidades de cada doente. </w:t>
      </w:r>
    </w:p>
    <w:p w14:paraId="6268707C" w14:textId="77777777" w:rsidR="00514C16" w:rsidRPr="008912CF" w:rsidRDefault="00514C16" w:rsidP="004462A0">
      <w:pPr>
        <w:rPr>
          <w:sz w:val="22"/>
          <w:szCs w:val="22"/>
        </w:rPr>
      </w:pPr>
    </w:p>
    <w:p w14:paraId="5BB0270D" w14:textId="77777777" w:rsidR="004462A0" w:rsidRPr="008912CF" w:rsidRDefault="00615769" w:rsidP="004462A0">
      <w:pPr>
        <w:rPr>
          <w:sz w:val="22"/>
          <w:szCs w:val="22"/>
          <w:u w:val="single"/>
        </w:rPr>
      </w:pPr>
      <w:r w:rsidRPr="008912CF">
        <w:rPr>
          <w:i/>
          <w:sz w:val="22"/>
          <w:szCs w:val="22"/>
          <w:u w:val="single"/>
        </w:rPr>
        <w:t>Artrite relacionada com entesite</w:t>
      </w:r>
    </w:p>
    <w:p w14:paraId="0FD70E0B" w14:textId="77777777" w:rsidR="004462A0" w:rsidRPr="008912CF" w:rsidRDefault="004462A0" w:rsidP="004462A0">
      <w:pPr>
        <w:rPr>
          <w:sz w:val="22"/>
          <w:szCs w:val="22"/>
          <w:u w:val="single"/>
        </w:rPr>
      </w:pPr>
    </w:p>
    <w:p w14:paraId="48427A30" w14:textId="77777777" w:rsidR="004462A0" w:rsidRPr="00DA0998" w:rsidRDefault="00615769" w:rsidP="004462A0">
      <w:pPr>
        <w:pStyle w:val="Default"/>
        <w:rPr>
          <w:sz w:val="22"/>
          <w:szCs w:val="22"/>
          <w:lang w:val="pt-PT"/>
        </w:rPr>
      </w:pPr>
      <w:r w:rsidRPr="00B025DD">
        <w:rPr>
          <w:sz w:val="22"/>
          <w:szCs w:val="22"/>
          <w:lang w:val="pt-PT"/>
        </w:rPr>
        <w:t xml:space="preserve">A dose de Humira recomendada </w:t>
      </w:r>
      <w:r w:rsidR="00E876B5">
        <w:rPr>
          <w:sz w:val="22"/>
          <w:szCs w:val="22"/>
          <w:lang w:val="pt-PT"/>
        </w:rPr>
        <w:t xml:space="preserve">em </w:t>
      </w:r>
      <w:r w:rsidRPr="00B025DD">
        <w:rPr>
          <w:sz w:val="22"/>
          <w:szCs w:val="22"/>
          <w:lang w:val="pt-PT"/>
        </w:rPr>
        <w:t xml:space="preserve">doentes com artrite relacionada com entesite, a partir dos 6 anos de idade, é </w:t>
      </w:r>
      <w:r w:rsidR="00671FF6">
        <w:rPr>
          <w:sz w:val="22"/>
          <w:szCs w:val="22"/>
          <w:lang w:val="pt-PT"/>
        </w:rPr>
        <w:t>baseada no peso corporal (Tabela 2).</w:t>
      </w:r>
      <w:r w:rsidR="000610BF">
        <w:rPr>
          <w:sz w:val="22"/>
          <w:szCs w:val="22"/>
          <w:lang w:val="pt-PT"/>
        </w:rPr>
        <w:t xml:space="preserve"> </w:t>
      </w:r>
      <w:r w:rsidR="00671FF6">
        <w:rPr>
          <w:sz w:val="22"/>
          <w:szCs w:val="22"/>
          <w:lang w:val="pt-PT"/>
        </w:rPr>
        <w:t>Humira é administrado</w:t>
      </w:r>
      <w:r w:rsidRPr="00B025DD">
        <w:rPr>
          <w:sz w:val="22"/>
          <w:szCs w:val="22"/>
          <w:lang w:val="pt-PT"/>
        </w:rPr>
        <w:t xml:space="preserve"> em semanas alternadas, por injeção subcutânea. </w:t>
      </w:r>
      <w:r w:rsidR="00DA0998" w:rsidRPr="00F03C54">
        <w:rPr>
          <w:sz w:val="22"/>
          <w:szCs w:val="22"/>
          <w:lang w:val="pt-PT"/>
        </w:rPr>
        <w:t xml:space="preserve"> </w:t>
      </w:r>
    </w:p>
    <w:p w14:paraId="39565423" w14:textId="77777777" w:rsidR="004462A0" w:rsidRDefault="00615769" w:rsidP="004462A0">
      <w:pPr>
        <w:rPr>
          <w:sz w:val="22"/>
          <w:szCs w:val="22"/>
        </w:rPr>
      </w:pPr>
      <w:r w:rsidRPr="008912CF">
        <w:rPr>
          <w:sz w:val="22"/>
          <w:szCs w:val="22"/>
        </w:rPr>
        <w:t xml:space="preserve"> </w:t>
      </w:r>
    </w:p>
    <w:p w14:paraId="3FE68E3E" w14:textId="77777777" w:rsidR="00DA0998" w:rsidRPr="008912CF" w:rsidRDefault="00615769" w:rsidP="00DA0998">
      <w:pPr>
        <w:pStyle w:val="BodyText2"/>
        <w:autoSpaceDE/>
        <w:autoSpaceDN/>
        <w:adjustRightInd/>
        <w:jc w:val="center"/>
        <w:rPr>
          <w:b/>
          <w:szCs w:val="22"/>
        </w:rPr>
      </w:pPr>
      <w:r w:rsidRPr="008912CF">
        <w:rPr>
          <w:b/>
          <w:szCs w:val="22"/>
        </w:rPr>
        <w:t xml:space="preserve">Tabela </w:t>
      </w:r>
      <w:r>
        <w:rPr>
          <w:b/>
          <w:szCs w:val="22"/>
        </w:rPr>
        <w:t>2</w:t>
      </w:r>
      <w:r w:rsidRPr="008912CF">
        <w:rPr>
          <w:b/>
          <w:szCs w:val="22"/>
        </w:rPr>
        <w:t xml:space="preserve">. Dose de Humira </w:t>
      </w:r>
      <w:r w:rsidR="00E876B5">
        <w:rPr>
          <w:b/>
          <w:szCs w:val="22"/>
        </w:rPr>
        <w:t xml:space="preserve">em </w:t>
      </w:r>
      <w:r w:rsidRPr="008912CF">
        <w:rPr>
          <w:b/>
          <w:szCs w:val="22"/>
        </w:rPr>
        <w:t xml:space="preserve">Doentes com Artrite </w:t>
      </w:r>
      <w:r>
        <w:rPr>
          <w:b/>
          <w:szCs w:val="22"/>
        </w:rPr>
        <w:t>Relacionada com Entesite</w:t>
      </w:r>
      <w:r w:rsidRPr="008912CF">
        <w:rPr>
          <w:b/>
          <w:szCs w:val="22"/>
        </w:rPr>
        <w:t xml:space="preserve"> </w:t>
      </w:r>
    </w:p>
    <w:p w14:paraId="0AEBBDF6" w14:textId="77777777" w:rsidR="00DA0998" w:rsidRPr="008912CF" w:rsidRDefault="00DA0998" w:rsidP="00DA0998">
      <w:pPr>
        <w:rPr>
          <w:sz w:val="22"/>
          <w:szCs w:val="22"/>
        </w:rPr>
      </w:pPr>
    </w:p>
    <w:tbl>
      <w:tblPr>
        <w:tblW w:w="6795" w:type="dxa"/>
        <w:jc w:val="center"/>
        <w:tblLayout w:type="fixed"/>
        <w:tblLook w:val="0000" w:firstRow="0" w:lastRow="0" w:firstColumn="0" w:lastColumn="0" w:noHBand="0" w:noVBand="0"/>
      </w:tblPr>
      <w:tblGrid>
        <w:gridCol w:w="3401"/>
        <w:gridCol w:w="3394"/>
      </w:tblGrid>
      <w:tr w:rsidR="00A7162A" w14:paraId="4B569126" w14:textId="77777777" w:rsidTr="00E60C95">
        <w:trPr>
          <w:tblHeader/>
          <w:jc w:val="center"/>
        </w:trPr>
        <w:tc>
          <w:tcPr>
            <w:tcW w:w="3401" w:type="dxa"/>
            <w:tcBorders>
              <w:top w:val="single" w:sz="4" w:space="0" w:color="auto"/>
              <w:bottom w:val="single" w:sz="4" w:space="0" w:color="auto"/>
            </w:tcBorders>
          </w:tcPr>
          <w:p w14:paraId="10E34D41" w14:textId="77777777" w:rsidR="00DA0998" w:rsidRPr="0007777F" w:rsidRDefault="00615769" w:rsidP="00E60C95">
            <w:pPr>
              <w:keepNext/>
              <w:spacing w:before="40" w:after="40" w:line="240" w:lineRule="exact"/>
              <w:jc w:val="center"/>
              <w:rPr>
                <w:rFonts w:eastAsia="Calibri"/>
                <w:b/>
                <w:sz w:val="22"/>
                <w:szCs w:val="22"/>
                <w:lang w:val="en-US" w:eastAsia="ja-JP"/>
              </w:rPr>
            </w:pPr>
            <w:r>
              <w:rPr>
                <w:rFonts w:eastAsia="Calibri"/>
                <w:b/>
                <w:sz w:val="22"/>
                <w:szCs w:val="22"/>
                <w:lang w:val="en-US" w:eastAsia="ja-JP"/>
              </w:rPr>
              <w:t>Peso do Doente</w:t>
            </w:r>
          </w:p>
        </w:tc>
        <w:tc>
          <w:tcPr>
            <w:tcW w:w="3394" w:type="dxa"/>
            <w:tcBorders>
              <w:top w:val="single" w:sz="4" w:space="0" w:color="auto"/>
              <w:bottom w:val="single" w:sz="4" w:space="0" w:color="auto"/>
            </w:tcBorders>
          </w:tcPr>
          <w:p w14:paraId="7B1763A4" w14:textId="77777777" w:rsidR="00DA0998" w:rsidRPr="0007777F" w:rsidRDefault="00615769">
            <w:pPr>
              <w:keepNext/>
              <w:spacing w:before="40" w:after="40" w:line="240" w:lineRule="exact"/>
              <w:jc w:val="center"/>
              <w:rPr>
                <w:rFonts w:eastAsia="Calibri"/>
                <w:b/>
                <w:sz w:val="22"/>
                <w:szCs w:val="22"/>
                <w:lang w:val="en-US" w:eastAsia="ja-JP"/>
              </w:rPr>
            </w:pPr>
            <w:r>
              <w:rPr>
                <w:rFonts w:eastAsia="Calibri"/>
                <w:b/>
                <w:sz w:val="22"/>
                <w:szCs w:val="22"/>
                <w:lang w:val="en-US" w:eastAsia="ja-JP"/>
              </w:rPr>
              <w:t xml:space="preserve">Regime </w:t>
            </w:r>
            <w:r w:rsidR="00C00E3F">
              <w:rPr>
                <w:rFonts w:eastAsia="Calibri"/>
                <w:b/>
                <w:sz w:val="22"/>
                <w:szCs w:val="22"/>
                <w:lang w:val="en-US" w:eastAsia="ja-JP"/>
              </w:rPr>
              <w:t xml:space="preserve">Posológico </w:t>
            </w:r>
          </w:p>
        </w:tc>
      </w:tr>
      <w:tr w:rsidR="00A7162A" w14:paraId="4678D2BE" w14:textId="77777777" w:rsidTr="00E60C95">
        <w:trPr>
          <w:tblHeader/>
          <w:jc w:val="center"/>
        </w:trPr>
        <w:tc>
          <w:tcPr>
            <w:tcW w:w="3401" w:type="dxa"/>
            <w:tcBorders>
              <w:top w:val="single" w:sz="4" w:space="0" w:color="auto"/>
              <w:bottom w:val="single" w:sz="4" w:space="0" w:color="auto"/>
            </w:tcBorders>
          </w:tcPr>
          <w:p w14:paraId="530B4156" w14:textId="77777777" w:rsidR="00DA0998" w:rsidRPr="0007777F" w:rsidRDefault="00615769" w:rsidP="00E60C95">
            <w:pPr>
              <w:keepNext/>
              <w:spacing w:before="40" w:after="40" w:line="240" w:lineRule="exact"/>
              <w:jc w:val="center"/>
              <w:rPr>
                <w:rFonts w:eastAsia="Calibri"/>
                <w:b/>
                <w:sz w:val="22"/>
                <w:szCs w:val="22"/>
                <w:lang w:val="en-US" w:eastAsia="ja-JP"/>
              </w:rPr>
            </w:pPr>
            <w:r w:rsidRPr="0007777F">
              <w:rPr>
                <w:rFonts w:eastAsia="Calibri"/>
                <w:sz w:val="22"/>
                <w:szCs w:val="22"/>
                <w:lang w:val="en-US" w:eastAsia="ja-JP"/>
              </w:rPr>
              <w:t>1</w:t>
            </w:r>
            <w:r>
              <w:rPr>
                <w:rFonts w:eastAsia="Calibri"/>
                <w:sz w:val="22"/>
                <w:szCs w:val="22"/>
                <w:lang w:val="en-US" w:eastAsia="ja-JP"/>
              </w:rPr>
              <w:t>5</w:t>
            </w:r>
            <w:r w:rsidR="00A3305A">
              <w:rPr>
                <w:rFonts w:eastAsia="Calibri"/>
                <w:sz w:val="22"/>
                <w:szCs w:val="22"/>
                <w:lang w:val="en-US" w:eastAsia="ja-JP"/>
              </w:rPr>
              <w:t xml:space="preserve"> kg até</w:t>
            </w:r>
            <w:r w:rsidRPr="0007777F">
              <w:rPr>
                <w:rFonts w:eastAsia="Calibri"/>
                <w:sz w:val="22"/>
                <w:szCs w:val="22"/>
                <w:lang w:val="en-US" w:eastAsia="ja-JP"/>
              </w:rPr>
              <w:t xml:space="preserve"> &lt; 30 kg</w:t>
            </w:r>
          </w:p>
        </w:tc>
        <w:tc>
          <w:tcPr>
            <w:tcW w:w="3394" w:type="dxa"/>
            <w:tcBorders>
              <w:top w:val="single" w:sz="4" w:space="0" w:color="auto"/>
              <w:bottom w:val="single" w:sz="4" w:space="0" w:color="auto"/>
            </w:tcBorders>
          </w:tcPr>
          <w:p w14:paraId="71D6549C" w14:textId="77777777" w:rsidR="00DA0998" w:rsidRPr="0007777F" w:rsidRDefault="00615769" w:rsidP="00E60C95">
            <w:pPr>
              <w:keepNext/>
              <w:spacing w:before="40" w:after="40" w:line="240" w:lineRule="exact"/>
              <w:jc w:val="center"/>
              <w:rPr>
                <w:rFonts w:eastAsia="Calibri"/>
                <w:b/>
                <w:sz w:val="22"/>
                <w:szCs w:val="22"/>
                <w:lang w:val="en-US" w:eastAsia="ja-JP"/>
              </w:rPr>
            </w:pPr>
            <w:r w:rsidRPr="0007777F">
              <w:rPr>
                <w:rFonts w:eastAsia="Calibri"/>
                <w:sz w:val="22"/>
                <w:szCs w:val="22"/>
                <w:lang w:val="en-US" w:eastAsia="ja-JP"/>
              </w:rPr>
              <w:t xml:space="preserve">20 mg </w:t>
            </w:r>
            <w:r>
              <w:rPr>
                <w:rFonts w:eastAsia="Calibri"/>
                <w:sz w:val="22"/>
                <w:szCs w:val="22"/>
                <w:lang w:val="en-US" w:eastAsia="ja-JP"/>
              </w:rPr>
              <w:t>em semanas alternadas</w:t>
            </w:r>
          </w:p>
        </w:tc>
      </w:tr>
      <w:tr w:rsidR="00A7162A" w14:paraId="1E1B4CCC" w14:textId="77777777" w:rsidTr="00E60C95">
        <w:trPr>
          <w:tblHeader/>
          <w:jc w:val="center"/>
        </w:trPr>
        <w:tc>
          <w:tcPr>
            <w:tcW w:w="3401" w:type="dxa"/>
            <w:tcBorders>
              <w:top w:val="single" w:sz="4" w:space="0" w:color="auto"/>
              <w:bottom w:val="single" w:sz="4" w:space="0" w:color="auto"/>
            </w:tcBorders>
          </w:tcPr>
          <w:p w14:paraId="2439966C" w14:textId="77777777" w:rsidR="00DA0998" w:rsidRPr="0007777F" w:rsidRDefault="00615769" w:rsidP="00E60C95">
            <w:pPr>
              <w:keepNext/>
              <w:spacing w:before="40" w:after="40" w:line="240" w:lineRule="exact"/>
              <w:jc w:val="center"/>
              <w:rPr>
                <w:rFonts w:eastAsia="Calibri"/>
                <w:b/>
                <w:sz w:val="22"/>
                <w:szCs w:val="22"/>
                <w:lang w:val="en-US" w:eastAsia="ja-JP"/>
              </w:rPr>
            </w:pPr>
            <w:r w:rsidRPr="0007777F">
              <w:rPr>
                <w:rFonts w:eastAsia="Calibri"/>
                <w:sz w:val="22"/>
                <w:szCs w:val="22"/>
                <w:lang w:val="en-US" w:eastAsia="ja-JP"/>
              </w:rPr>
              <w:t>≥ 30 kg</w:t>
            </w:r>
          </w:p>
        </w:tc>
        <w:tc>
          <w:tcPr>
            <w:tcW w:w="3394" w:type="dxa"/>
            <w:tcBorders>
              <w:top w:val="single" w:sz="4" w:space="0" w:color="auto"/>
              <w:bottom w:val="single" w:sz="4" w:space="0" w:color="auto"/>
            </w:tcBorders>
          </w:tcPr>
          <w:p w14:paraId="504C6714" w14:textId="77777777" w:rsidR="00DA0998" w:rsidRPr="0007777F" w:rsidRDefault="00615769" w:rsidP="00E60C95">
            <w:pPr>
              <w:keepNext/>
              <w:spacing w:before="40" w:after="40" w:line="240" w:lineRule="exact"/>
              <w:jc w:val="center"/>
              <w:rPr>
                <w:rFonts w:eastAsia="Calibri"/>
                <w:b/>
                <w:sz w:val="22"/>
                <w:szCs w:val="22"/>
                <w:lang w:val="en-US" w:eastAsia="ja-JP"/>
              </w:rPr>
            </w:pPr>
            <w:r w:rsidRPr="0007777F">
              <w:rPr>
                <w:rFonts w:eastAsia="Calibri"/>
                <w:sz w:val="22"/>
                <w:szCs w:val="22"/>
                <w:lang w:val="en-US" w:eastAsia="ja-JP"/>
              </w:rPr>
              <w:t xml:space="preserve">40 mg </w:t>
            </w:r>
            <w:r>
              <w:rPr>
                <w:rFonts w:eastAsia="Calibri"/>
                <w:sz w:val="22"/>
                <w:szCs w:val="22"/>
                <w:lang w:val="en-US" w:eastAsia="ja-JP"/>
              </w:rPr>
              <w:t>em semanas alternadas</w:t>
            </w:r>
          </w:p>
        </w:tc>
      </w:tr>
    </w:tbl>
    <w:p w14:paraId="185E027B" w14:textId="77777777" w:rsidR="00DA0998" w:rsidRDefault="00DA0998" w:rsidP="004462A0">
      <w:pPr>
        <w:rPr>
          <w:sz w:val="22"/>
          <w:szCs w:val="22"/>
        </w:rPr>
      </w:pPr>
    </w:p>
    <w:p w14:paraId="6991F063" w14:textId="77777777" w:rsidR="004462A0" w:rsidRPr="008912CF" w:rsidRDefault="00615769" w:rsidP="004462A0">
      <w:pPr>
        <w:rPr>
          <w:sz w:val="22"/>
          <w:szCs w:val="22"/>
        </w:rPr>
      </w:pPr>
      <w:r w:rsidRPr="008912CF">
        <w:rPr>
          <w:sz w:val="22"/>
          <w:szCs w:val="22"/>
        </w:rPr>
        <w:t>Humira não foi estudado em doentes com artrite relacionada com entesite com menos de 6 anos.</w:t>
      </w:r>
    </w:p>
    <w:p w14:paraId="1EBFFFA7" w14:textId="77777777" w:rsidR="004462A0" w:rsidRDefault="004462A0" w:rsidP="004462A0">
      <w:pPr>
        <w:rPr>
          <w:sz w:val="22"/>
          <w:szCs w:val="22"/>
        </w:rPr>
      </w:pPr>
    </w:p>
    <w:p w14:paraId="46BF5C8B" w14:textId="77777777" w:rsidR="00514C16" w:rsidRDefault="00615769" w:rsidP="00514C16">
      <w:pPr>
        <w:pStyle w:val="BodyText2"/>
        <w:autoSpaceDE/>
        <w:autoSpaceDN/>
        <w:adjustRightInd/>
        <w:rPr>
          <w:szCs w:val="22"/>
        </w:rPr>
      </w:pPr>
      <w:r>
        <w:rPr>
          <w:szCs w:val="22"/>
        </w:rPr>
        <w:t xml:space="preserve">Humira pode estar disponível em outras dosagens e/ou apresentações dependendo das necessidades de cada doente. </w:t>
      </w:r>
    </w:p>
    <w:p w14:paraId="364E2726" w14:textId="77777777" w:rsidR="00514C16" w:rsidRPr="008912CF" w:rsidRDefault="00514C16" w:rsidP="004462A0">
      <w:pPr>
        <w:rPr>
          <w:sz w:val="22"/>
          <w:szCs w:val="22"/>
        </w:rPr>
      </w:pPr>
    </w:p>
    <w:p w14:paraId="6F40B0CC" w14:textId="77777777" w:rsidR="005B6638" w:rsidRPr="008912CF" w:rsidRDefault="00615769" w:rsidP="005B6638">
      <w:pPr>
        <w:rPr>
          <w:bCs/>
          <w:i/>
          <w:iCs/>
          <w:sz w:val="22"/>
          <w:szCs w:val="22"/>
        </w:rPr>
      </w:pPr>
      <w:r w:rsidRPr="008912CF">
        <w:rPr>
          <w:bCs/>
          <w:i/>
          <w:iCs/>
          <w:sz w:val="22"/>
          <w:szCs w:val="22"/>
        </w:rPr>
        <w:t>Artrite psoriática e espondilartrite axial incluindo espondilite anquilosante</w:t>
      </w:r>
    </w:p>
    <w:p w14:paraId="1FCB73B4" w14:textId="77777777" w:rsidR="005B6638" w:rsidRPr="008912CF" w:rsidRDefault="005B6638" w:rsidP="005B6638">
      <w:pPr>
        <w:rPr>
          <w:bCs/>
          <w:iCs/>
          <w:sz w:val="22"/>
          <w:szCs w:val="22"/>
          <w:u w:val="single"/>
        </w:rPr>
      </w:pPr>
    </w:p>
    <w:p w14:paraId="5B2281F4" w14:textId="77777777" w:rsidR="005B6638" w:rsidRPr="008912CF" w:rsidRDefault="00615769" w:rsidP="005B6638">
      <w:pPr>
        <w:rPr>
          <w:bCs/>
          <w:iCs/>
          <w:sz w:val="22"/>
          <w:szCs w:val="22"/>
        </w:rPr>
      </w:pPr>
      <w:r w:rsidRPr="008912CF">
        <w:rPr>
          <w:sz w:val="22"/>
          <w:szCs w:val="22"/>
        </w:rPr>
        <w:t xml:space="preserve">Não existe utilização relevante de Humira na população pediátrica para as indicações </w:t>
      </w:r>
      <w:r w:rsidRPr="008912CF">
        <w:rPr>
          <w:bCs/>
          <w:iCs/>
          <w:sz w:val="22"/>
          <w:szCs w:val="22"/>
        </w:rPr>
        <w:t>espondilite anquilosante e artrite psoriática.</w:t>
      </w:r>
      <w:r w:rsidRPr="008912CF">
        <w:rPr>
          <w:sz w:val="22"/>
          <w:szCs w:val="22"/>
        </w:rPr>
        <w:t xml:space="preserve"> </w:t>
      </w:r>
    </w:p>
    <w:p w14:paraId="55E04502" w14:textId="77777777" w:rsidR="005B6638" w:rsidRPr="008912CF" w:rsidRDefault="005B6638" w:rsidP="005B6638">
      <w:pPr>
        <w:rPr>
          <w:bCs/>
          <w:iCs/>
          <w:sz w:val="22"/>
          <w:szCs w:val="22"/>
        </w:rPr>
      </w:pPr>
    </w:p>
    <w:p w14:paraId="17C42FA0" w14:textId="77777777" w:rsidR="004462A0" w:rsidRPr="001B64BC" w:rsidRDefault="00615769" w:rsidP="004462A0">
      <w:pPr>
        <w:rPr>
          <w:sz w:val="22"/>
          <w:szCs w:val="22"/>
        </w:rPr>
      </w:pPr>
      <w:r w:rsidRPr="001B64BC">
        <w:rPr>
          <w:i/>
          <w:sz w:val="22"/>
          <w:szCs w:val="22"/>
        </w:rPr>
        <w:t>Psoríase pediátrica em placas</w:t>
      </w:r>
    </w:p>
    <w:p w14:paraId="5C63D50E" w14:textId="77777777" w:rsidR="004462A0" w:rsidRPr="001B64BC" w:rsidRDefault="004462A0" w:rsidP="004462A0">
      <w:pPr>
        <w:rPr>
          <w:sz w:val="22"/>
          <w:szCs w:val="22"/>
          <w:u w:val="single"/>
        </w:rPr>
      </w:pPr>
    </w:p>
    <w:p w14:paraId="7CF1624F" w14:textId="77777777" w:rsidR="00141394" w:rsidRPr="001B64BC" w:rsidRDefault="00615769" w:rsidP="00141394">
      <w:pPr>
        <w:pStyle w:val="Default"/>
        <w:rPr>
          <w:sz w:val="22"/>
          <w:szCs w:val="22"/>
          <w:lang w:val="pt-PT"/>
        </w:rPr>
      </w:pPr>
      <w:r w:rsidRPr="001B64BC">
        <w:rPr>
          <w:sz w:val="22"/>
          <w:szCs w:val="22"/>
          <w:lang w:val="pt-PT"/>
        </w:rPr>
        <w:t xml:space="preserve">A dose recomendada de Humira </w:t>
      </w:r>
      <w:r w:rsidR="00E876B5" w:rsidRPr="001B64BC">
        <w:rPr>
          <w:sz w:val="22"/>
          <w:szCs w:val="22"/>
          <w:lang w:val="pt-PT"/>
        </w:rPr>
        <w:t xml:space="preserve">em </w:t>
      </w:r>
      <w:r w:rsidR="00DA0998" w:rsidRPr="001B64BC">
        <w:rPr>
          <w:sz w:val="22"/>
          <w:szCs w:val="22"/>
          <w:lang w:val="pt-PT"/>
        </w:rPr>
        <w:t>doentes com psoríase em placas, com idades compreendidas entre os 4 e os 17 anos, é baseada no peso corporal (Tabela 3).</w:t>
      </w:r>
      <w:r w:rsidR="000610BF" w:rsidRPr="001B64BC">
        <w:rPr>
          <w:sz w:val="22"/>
          <w:szCs w:val="22"/>
          <w:lang w:val="pt-PT"/>
        </w:rPr>
        <w:t xml:space="preserve"> </w:t>
      </w:r>
      <w:r w:rsidR="00DA0998" w:rsidRPr="001B64BC">
        <w:rPr>
          <w:sz w:val="22"/>
          <w:szCs w:val="22"/>
          <w:lang w:val="pt-PT"/>
        </w:rPr>
        <w:t>Humira é administrado</w:t>
      </w:r>
      <w:r w:rsidRPr="001B64BC">
        <w:rPr>
          <w:sz w:val="22"/>
          <w:szCs w:val="22"/>
          <w:lang w:val="pt-PT"/>
        </w:rPr>
        <w:t xml:space="preserve"> por injeção subcutânea. </w:t>
      </w:r>
    </w:p>
    <w:p w14:paraId="535563F0" w14:textId="77777777" w:rsidR="00141394" w:rsidRDefault="00141394" w:rsidP="001B64BC">
      <w:pPr>
        <w:rPr>
          <w:sz w:val="22"/>
          <w:szCs w:val="22"/>
        </w:rPr>
      </w:pPr>
    </w:p>
    <w:p w14:paraId="0DE7D61E" w14:textId="77777777" w:rsidR="00141394" w:rsidRPr="008912CF" w:rsidRDefault="00615769" w:rsidP="00F8037C">
      <w:pPr>
        <w:pStyle w:val="BodyText2"/>
        <w:keepNext/>
        <w:autoSpaceDE/>
        <w:autoSpaceDN/>
        <w:adjustRightInd/>
        <w:jc w:val="center"/>
        <w:rPr>
          <w:b/>
          <w:szCs w:val="22"/>
        </w:rPr>
      </w:pPr>
      <w:r w:rsidRPr="008912CF">
        <w:rPr>
          <w:b/>
          <w:szCs w:val="22"/>
        </w:rPr>
        <w:t xml:space="preserve">Tabela </w:t>
      </w:r>
      <w:r>
        <w:rPr>
          <w:b/>
          <w:szCs w:val="22"/>
        </w:rPr>
        <w:t>3</w:t>
      </w:r>
      <w:r w:rsidRPr="008912CF">
        <w:rPr>
          <w:b/>
          <w:szCs w:val="22"/>
        </w:rPr>
        <w:t xml:space="preserve">. Dose de Humira </w:t>
      </w:r>
      <w:r w:rsidR="00E876B5">
        <w:rPr>
          <w:b/>
          <w:szCs w:val="22"/>
        </w:rPr>
        <w:t xml:space="preserve">em </w:t>
      </w:r>
      <w:r w:rsidRPr="008912CF">
        <w:rPr>
          <w:b/>
          <w:szCs w:val="22"/>
        </w:rPr>
        <w:t xml:space="preserve">Doentes </w:t>
      </w:r>
      <w:r w:rsidR="00E7252B">
        <w:rPr>
          <w:b/>
          <w:szCs w:val="22"/>
        </w:rPr>
        <w:t xml:space="preserve">Pediátricos </w:t>
      </w:r>
      <w:r w:rsidRPr="008912CF">
        <w:rPr>
          <w:b/>
          <w:szCs w:val="22"/>
        </w:rPr>
        <w:t xml:space="preserve">com </w:t>
      </w:r>
      <w:r>
        <w:rPr>
          <w:b/>
          <w:szCs w:val="22"/>
        </w:rPr>
        <w:t>Psoríase em Placas</w:t>
      </w:r>
      <w:r w:rsidRPr="008912CF">
        <w:rPr>
          <w:b/>
          <w:szCs w:val="22"/>
        </w:rPr>
        <w:t xml:space="preserve"> </w:t>
      </w:r>
    </w:p>
    <w:p w14:paraId="120DEDE8" w14:textId="77777777" w:rsidR="00141394" w:rsidRPr="008912CF" w:rsidRDefault="00141394" w:rsidP="00F8037C">
      <w:pPr>
        <w:keepNext/>
        <w:rPr>
          <w:sz w:val="22"/>
          <w:szCs w:val="22"/>
        </w:rPr>
      </w:pPr>
    </w:p>
    <w:tbl>
      <w:tblPr>
        <w:tblW w:w="6795" w:type="dxa"/>
        <w:jc w:val="center"/>
        <w:tblLayout w:type="fixed"/>
        <w:tblLook w:val="0000" w:firstRow="0" w:lastRow="0" w:firstColumn="0" w:lastColumn="0" w:noHBand="0" w:noVBand="0"/>
      </w:tblPr>
      <w:tblGrid>
        <w:gridCol w:w="3401"/>
        <w:gridCol w:w="3394"/>
      </w:tblGrid>
      <w:tr w:rsidR="00A7162A" w14:paraId="468796C9" w14:textId="77777777" w:rsidTr="00E60C95">
        <w:trPr>
          <w:tblHeader/>
          <w:jc w:val="center"/>
        </w:trPr>
        <w:tc>
          <w:tcPr>
            <w:tcW w:w="3401" w:type="dxa"/>
            <w:tcBorders>
              <w:top w:val="single" w:sz="4" w:space="0" w:color="auto"/>
              <w:bottom w:val="single" w:sz="4" w:space="0" w:color="auto"/>
            </w:tcBorders>
          </w:tcPr>
          <w:p w14:paraId="3B6C88D1" w14:textId="77777777" w:rsidR="00141394" w:rsidRPr="0007777F" w:rsidRDefault="00615769" w:rsidP="00F8037C">
            <w:pPr>
              <w:keepNext/>
              <w:spacing w:before="40" w:after="40" w:line="240" w:lineRule="exact"/>
              <w:jc w:val="center"/>
              <w:rPr>
                <w:rFonts w:eastAsia="Calibri"/>
                <w:b/>
                <w:sz w:val="22"/>
                <w:szCs w:val="22"/>
                <w:lang w:val="en-US" w:eastAsia="ja-JP"/>
              </w:rPr>
            </w:pPr>
            <w:r>
              <w:rPr>
                <w:rFonts w:eastAsia="Calibri"/>
                <w:b/>
                <w:sz w:val="22"/>
                <w:szCs w:val="22"/>
                <w:lang w:val="en-US" w:eastAsia="ja-JP"/>
              </w:rPr>
              <w:t xml:space="preserve">Peso do </w:t>
            </w:r>
            <w:r>
              <w:rPr>
                <w:rFonts w:eastAsia="Calibri"/>
                <w:b/>
                <w:sz w:val="22"/>
                <w:szCs w:val="22"/>
                <w:lang w:val="en-US" w:eastAsia="ja-JP"/>
              </w:rPr>
              <w:t>Doente</w:t>
            </w:r>
          </w:p>
        </w:tc>
        <w:tc>
          <w:tcPr>
            <w:tcW w:w="3394" w:type="dxa"/>
            <w:tcBorders>
              <w:top w:val="single" w:sz="4" w:space="0" w:color="auto"/>
              <w:bottom w:val="single" w:sz="4" w:space="0" w:color="auto"/>
            </w:tcBorders>
          </w:tcPr>
          <w:p w14:paraId="4DC981DB" w14:textId="77777777" w:rsidR="00141394" w:rsidRPr="0007777F" w:rsidRDefault="00615769" w:rsidP="00F8037C">
            <w:pPr>
              <w:keepNext/>
              <w:spacing w:before="40" w:after="40" w:line="240" w:lineRule="exact"/>
              <w:jc w:val="center"/>
              <w:rPr>
                <w:rFonts w:eastAsia="Calibri"/>
                <w:b/>
                <w:sz w:val="22"/>
                <w:szCs w:val="22"/>
                <w:lang w:val="en-US" w:eastAsia="ja-JP"/>
              </w:rPr>
            </w:pPr>
            <w:r>
              <w:rPr>
                <w:rFonts w:eastAsia="Calibri"/>
                <w:b/>
                <w:sz w:val="22"/>
                <w:szCs w:val="22"/>
                <w:lang w:val="en-US" w:eastAsia="ja-JP"/>
              </w:rPr>
              <w:t xml:space="preserve">Regime </w:t>
            </w:r>
            <w:r w:rsidR="00C00E3F">
              <w:rPr>
                <w:rFonts w:eastAsia="Calibri"/>
                <w:b/>
                <w:sz w:val="22"/>
                <w:szCs w:val="22"/>
                <w:lang w:val="en-US" w:eastAsia="ja-JP"/>
              </w:rPr>
              <w:t xml:space="preserve">Posológico </w:t>
            </w:r>
          </w:p>
        </w:tc>
      </w:tr>
      <w:tr w:rsidR="00A7162A" w14:paraId="46B0BC86" w14:textId="77777777" w:rsidTr="00E60C95">
        <w:trPr>
          <w:tblHeader/>
          <w:jc w:val="center"/>
        </w:trPr>
        <w:tc>
          <w:tcPr>
            <w:tcW w:w="3401" w:type="dxa"/>
            <w:tcBorders>
              <w:top w:val="single" w:sz="4" w:space="0" w:color="auto"/>
              <w:bottom w:val="single" w:sz="4" w:space="0" w:color="auto"/>
            </w:tcBorders>
          </w:tcPr>
          <w:p w14:paraId="5AB069E5" w14:textId="77777777" w:rsidR="00141394" w:rsidRPr="0007777F" w:rsidRDefault="00615769" w:rsidP="00E60C95">
            <w:pPr>
              <w:keepNext/>
              <w:spacing w:before="40" w:after="40" w:line="240" w:lineRule="exact"/>
              <w:jc w:val="center"/>
              <w:rPr>
                <w:rFonts w:eastAsia="Calibri"/>
                <w:b/>
                <w:sz w:val="22"/>
                <w:szCs w:val="22"/>
                <w:lang w:val="en-US" w:eastAsia="ja-JP"/>
              </w:rPr>
            </w:pPr>
            <w:r w:rsidRPr="0007777F">
              <w:rPr>
                <w:rFonts w:eastAsia="Calibri"/>
                <w:sz w:val="22"/>
                <w:szCs w:val="22"/>
                <w:lang w:val="en-US" w:eastAsia="ja-JP"/>
              </w:rPr>
              <w:t>1</w:t>
            </w:r>
            <w:r>
              <w:rPr>
                <w:rFonts w:eastAsia="Calibri"/>
                <w:sz w:val="22"/>
                <w:szCs w:val="22"/>
                <w:lang w:val="en-US" w:eastAsia="ja-JP"/>
              </w:rPr>
              <w:t>5</w:t>
            </w:r>
            <w:r w:rsidR="00A3305A">
              <w:rPr>
                <w:rFonts w:eastAsia="Calibri"/>
                <w:sz w:val="22"/>
                <w:szCs w:val="22"/>
                <w:lang w:val="en-US" w:eastAsia="ja-JP"/>
              </w:rPr>
              <w:t xml:space="preserve"> kg até</w:t>
            </w:r>
            <w:r w:rsidRPr="0007777F">
              <w:rPr>
                <w:rFonts w:eastAsia="Calibri"/>
                <w:sz w:val="22"/>
                <w:szCs w:val="22"/>
                <w:lang w:val="en-US" w:eastAsia="ja-JP"/>
              </w:rPr>
              <w:t xml:space="preserve"> &lt; 30 kg</w:t>
            </w:r>
          </w:p>
        </w:tc>
        <w:tc>
          <w:tcPr>
            <w:tcW w:w="3394" w:type="dxa"/>
            <w:tcBorders>
              <w:top w:val="single" w:sz="4" w:space="0" w:color="auto"/>
              <w:bottom w:val="single" w:sz="4" w:space="0" w:color="auto"/>
            </w:tcBorders>
          </w:tcPr>
          <w:p w14:paraId="3CDB5DF8" w14:textId="77777777" w:rsidR="00141394" w:rsidRPr="00395D60" w:rsidRDefault="00615769" w:rsidP="00E60C95">
            <w:pPr>
              <w:keepNext/>
              <w:spacing w:before="40" w:after="40" w:line="240" w:lineRule="exact"/>
              <w:jc w:val="center"/>
              <w:rPr>
                <w:rFonts w:eastAsia="Calibri"/>
                <w:b/>
                <w:sz w:val="22"/>
                <w:szCs w:val="22"/>
                <w:lang w:eastAsia="ja-JP"/>
              </w:rPr>
            </w:pPr>
            <w:r w:rsidRPr="00395D60">
              <w:rPr>
                <w:rFonts w:eastAsia="Calibri"/>
                <w:sz w:val="22"/>
                <w:szCs w:val="22"/>
                <w:lang w:eastAsia="ja-JP"/>
              </w:rPr>
              <w:t>Dose inicial de 20 mg, seguid</w:t>
            </w:r>
            <w:r w:rsidR="00112EE3">
              <w:rPr>
                <w:rFonts w:eastAsia="Calibri"/>
                <w:sz w:val="22"/>
                <w:szCs w:val="22"/>
                <w:lang w:eastAsia="ja-JP"/>
              </w:rPr>
              <w:t>a</w:t>
            </w:r>
            <w:r w:rsidRPr="00395D60">
              <w:rPr>
                <w:rFonts w:eastAsia="Calibri"/>
                <w:sz w:val="22"/>
                <w:szCs w:val="22"/>
                <w:lang w:eastAsia="ja-JP"/>
              </w:rPr>
              <w:t xml:space="preserve"> de 20</w:t>
            </w:r>
            <w:r w:rsidR="008C3DD3">
              <w:rPr>
                <w:rFonts w:eastAsia="Calibri"/>
                <w:sz w:val="22"/>
                <w:szCs w:val="22"/>
                <w:lang w:eastAsia="ja-JP"/>
              </w:rPr>
              <w:t> </w:t>
            </w:r>
            <w:r w:rsidRPr="00395D60">
              <w:rPr>
                <w:rFonts w:eastAsia="Calibri"/>
                <w:sz w:val="22"/>
                <w:szCs w:val="22"/>
                <w:lang w:eastAsia="ja-JP"/>
              </w:rPr>
              <w:t>mg em semanas alternadas</w:t>
            </w:r>
            <w:r>
              <w:rPr>
                <w:rFonts w:eastAsia="Calibri"/>
                <w:sz w:val="22"/>
                <w:szCs w:val="22"/>
                <w:lang w:eastAsia="ja-JP"/>
              </w:rPr>
              <w:t xml:space="preserve"> com início uma semana após a dose inicial</w:t>
            </w:r>
          </w:p>
        </w:tc>
      </w:tr>
      <w:tr w:rsidR="00A7162A" w14:paraId="227057DD" w14:textId="77777777" w:rsidTr="00E60C95">
        <w:trPr>
          <w:tblHeader/>
          <w:jc w:val="center"/>
        </w:trPr>
        <w:tc>
          <w:tcPr>
            <w:tcW w:w="3401" w:type="dxa"/>
            <w:tcBorders>
              <w:top w:val="single" w:sz="4" w:space="0" w:color="auto"/>
              <w:bottom w:val="single" w:sz="4" w:space="0" w:color="auto"/>
            </w:tcBorders>
          </w:tcPr>
          <w:p w14:paraId="053D3AD3" w14:textId="77777777" w:rsidR="00141394" w:rsidRPr="0007777F" w:rsidRDefault="00615769" w:rsidP="00E60C95">
            <w:pPr>
              <w:keepNext/>
              <w:spacing w:before="40" w:after="40" w:line="240" w:lineRule="exact"/>
              <w:jc w:val="center"/>
              <w:rPr>
                <w:rFonts w:eastAsia="Calibri"/>
                <w:b/>
                <w:sz w:val="22"/>
                <w:szCs w:val="22"/>
                <w:lang w:val="en-US" w:eastAsia="ja-JP"/>
              </w:rPr>
            </w:pPr>
            <w:r w:rsidRPr="0007777F">
              <w:rPr>
                <w:rFonts w:eastAsia="Calibri"/>
                <w:sz w:val="22"/>
                <w:szCs w:val="22"/>
                <w:lang w:val="en-US" w:eastAsia="ja-JP"/>
              </w:rPr>
              <w:t>≥ 30 kg</w:t>
            </w:r>
          </w:p>
        </w:tc>
        <w:tc>
          <w:tcPr>
            <w:tcW w:w="3394" w:type="dxa"/>
            <w:tcBorders>
              <w:top w:val="single" w:sz="4" w:space="0" w:color="auto"/>
              <w:bottom w:val="single" w:sz="4" w:space="0" w:color="auto"/>
            </w:tcBorders>
          </w:tcPr>
          <w:p w14:paraId="19065179" w14:textId="77777777" w:rsidR="00141394" w:rsidRPr="00395D60" w:rsidRDefault="00615769">
            <w:pPr>
              <w:keepNext/>
              <w:spacing w:before="40" w:after="40" w:line="240" w:lineRule="exact"/>
              <w:jc w:val="center"/>
              <w:rPr>
                <w:rFonts w:eastAsia="Calibri"/>
                <w:b/>
                <w:sz w:val="22"/>
                <w:szCs w:val="22"/>
                <w:lang w:eastAsia="ja-JP"/>
              </w:rPr>
            </w:pPr>
            <w:r w:rsidRPr="00395D60">
              <w:rPr>
                <w:rFonts w:eastAsia="Calibri"/>
                <w:sz w:val="22"/>
                <w:szCs w:val="22"/>
                <w:lang w:eastAsia="ja-JP"/>
              </w:rPr>
              <w:t>Dose inicial de 40 mg, seguid</w:t>
            </w:r>
            <w:r w:rsidR="00112EE3">
              <w:rPr>
                <w:rFonts w:eastAsia="Calibri"/>
                <w:sz w:val="22"/>
                <w:szCs w:val="22"/>
                <w:lang w:eastAsia="ja-JP"/>
              </w:rPr>
              <w:t>a</w:t>
            </w:r>
            <w:r w:rsidRPr="00395D60">
              <w:rPr>
                <w:rFonts w:eastAsia="Calibri"/>
                <w:sz w:val="22"/>
                <w:szCs w:val="22"/>
                <w:lang w:eastAsia="ja-JP"/>
              </w:rPr>
              <w:t xml:space="preserve"> de 40 mg em semanas alternadas</w:t>
            </w:r>
            <w:r>
              <w:rPr>
                <w:rFonts w:eastAsia="Calibri"/>
                <w:sz w:val="22"/>
                <w:szCs w:val="22"/>
                <w:lang w:eastAsia="ja-JP"/>
              </w:rPr>
              <w:t xml:space="preserve"> com início uma semana após a dose inicial</w:t>
            </w:r>
          </w:p>
        </w:tc>
      </w:tr>
    </w:tbl>
    <w:p w14:paraId="4AE78902" w14:textId="77777777" w:rsidR="00141394" w:rsidRDefault="00141394" w:rsidP="004462A0">
      <w:pPr>
        <w:rPr>
          <w:sz w:val="22"/>
          <w:szCs w:val="22"/>
        </w:rPr>
      </w:pPr>
    </w:p>
    <w:p w14:paraId="2F7FF5C2" w14:textId="77777777" w:rsidR="004462A0" w:rsidRPr="008912CF" w:rsidRDefault="00615769" w:rsidP="004462A0">
      <w:pPr>
        <w:rPr>
          <w:bCs/>
          <w:iCs/>
          <w:sz w:val="22"/>
          <w:szCs w:val="22"/>
        </w:rPr>
      </w:pPr>
      <w:r w:rsidRPr="008912CF">
        <w:rPr>
          <w:bCs/>
          <w:iCs/>
          <w:sz w:val="22"/>
          <w:szCs w:val="22"/>
        </w:rPr>
        <w:t>Uma terapêutica continuada para além das 16 semanas deve ser cuidadosamente reconsiderada nos doentes que não apresentarem resposta terapêutica dentro deste período de tempo.</w:t>
      </w:r>
    </w:p>
    <w:p w14:paraId="5B03D9C2" w14:textId="77777777" w:rsidR="004462A0" w:rsidRPr="008912CF" w:rsidRDefault="004462A0" w:rsidP="004462A0">
      <w:pPr>
        <w:rPr>
          <w:bCs/>
          <w:iCs/>
          <w:sz w:val="22"/>
          <w:szCs w:val="22"/>
        </w:rPr>
      </w:pPr>
    </w:p>
    <w:p w14:paraId="3DC5CFDA" w14:textId="77777777" w:rsidR="004462A0" w:rsidRPr="008912CF" w:rsidRDefault="00615769" w:rsidP="004462A0">
      <w:pPr>
        <w:rPr>
          <w:sz w:val="22"/>
          <w:szCs w:val="22"/>
        </w:rPr>
      </w:pPr>
      <w:r w:rsidRPr="008912CF">
        <w:rPr>
          <w:sz w:val="22"/>
          <w:szCs w:val="22"/>
        </w:rPr>
        <w:t>Se estiver indicado um novo tratamento com Humira devem ser seguidas as recomendações anteriores relativamente à posologia e duração do tratamento.</w:t>
      </w:r>
    </w:p>
    <w:p w14:paraId="68C3B902" w14:textId="77777777" w:rsidR="004462A0" w:rsidRPr="008912CF" w:rsidRDefault="004462A0" w:rsidP="004462A0">
      <w:pPr>
        <w:rPr>
          <w:sz w:val="22"/>
          <w:szCs w:val="22"/>
        </w:rPr>
      </w:pPr>
    </w:p>
    <w:p w14:paraId="379D6143" w14:textId="77777777" w:rsidR="004462A0" w:rsidRPr="008912CF" w:rsidRDefault="00615769" w:rsidP="004462A0">
      <w:pPr>
        <w:rPr>
          <w:sz w:val="22"/>
          <w:szCs w:val="22"/>
        </w:rPr>
      </w:pPr>
      <w:r w:rsidRPr="008912CF">
        <w:rPr>
          <w:sz w:val="22"/>
          <w:szCs w:val="22"/>
        </w:rPr>
        <w:t>A segurança de Humira em doentes pediátricos com psoríase em placas foi avaliada em média durante 13 meses.</w:t>
      </w:r>
    </w:p>
    <w:p w14:paraId="2BA91185" w14:textId="77777777" w:rsidR="004462A0" w:rsidRPr="008912CF" w:rsidRDefault="004462A0" w:rsidP="004462A0">
      <w:pPr>
        <w:rPr>
          <w:sz w:val="22"/>
          <w:szCs w:val="22"/>
        </w:rPr>
      </w:pPr>
    </w:p>
    <w:p w14:paraId="1011EE6A" w14:textId="77777777" w:rsidR="004462A0" w:rsidRPr="008912CF" w:rsidRDefault="00615769" w:rsidP="004462A0">
      <w:pPr>
        <w:rPr>
          <w:sz w:val="22"/>
          <w:szCs w:val="22"/>
        </w:rPr>
      </w:pPr>
      <w:r w:rsidRPr="008912CF">
        <w:rPr>
          <w:sz w:val="22"/>
          <w:szCs w:val="22"/>
        </w:rPr>
        <w:t>Não existe utilização relevante de Humira em crianças com menos de 4 anos, para esta indicação.</w:t>
      </w:r>
    </w:p>
    <w:p w14:paraId="1AF41CD8" w14:textId="77777777" w:rsidR="004462A0" w:rsidRDefault="004462A0" w:rsidP="004462A0">
      <w:pPr>
        <w:rPr>
          <w:bCs/>
          <w:iCs/>
          <w:sz w:val="22"/>
          <w:szCs w:val="22"/>
        </w:rPr>
      </w:pPr>
    </w:p>
    <w:p w14:paraId="2203571F" w14:textId="77777777" w:rsidR="001968CF" w:rsidRPr="00395D60" w:rsidRDefault="00615769" w:rsidP="001968CF">
      <w:pPr>
        <w:pStyle w:val="Default"/>
        <w:rPr>
          <w:sz w:val="22"/>
          <w:szCs w:val="22"/>
          <w:lang w:val="pt-PT"/>
        </w:rPr>
      </w:pPr>
      <w:r>
        <w:rPr>
          <w:sz w:val="22"/>
          <w:szCs w:val="22"/>
          <w:lang w:val="pt-PT"/>
        </w:rPr>
        <w:t>Humira pode estar</w:t>
      </w:r>
      <w:r w:rsidRPr="00395D60">
        <w:rPr>
          <w:sz w:val="22"/>
          <w:szCs w:val="22"/>
          <w:lang w:val="pt-PT"/>
        </w:rPr>
        <w:t xml:space="preserve"> disponível em outras dosagens e/ou apresentações dependendo das necessidades de cada doente.</w:t>
      </w:r>
    </w:p>
    <w:p w14:paraId="75321321" w14:textId="77777777" w:rsidR="001968CF" w:rsidRDefault="001968CF" w:rsidP="004462A0">
      <w:pPr>
        <w:rPr>
          <w:bCs/>
          <w:iCs/>
          <w:sz w:val="22"/>
          <w:szCs w:val="22"/>
        </w:rPr>
      </w:pPr>
    </w:p>
    <w:p w14:paraId="1D14D526" w14:textId="77777777" w:rsidR="004462A0" w:rsidRPr="00E22CBA" w:rsidRDefault="00615769" w:rsidP="00047604">
      <w:pPr>
        <w:keepNext/>
        <w:rPr>
          <w:bCs/>
          <w:i/>
          <w:iCs/>
          <w:sz w:val="22"/>
          <w:szCs w:val="22"/>
        </w:rPr>
      </w:pPr>
      <w:r w:rsidRPr="00E22CBA">
        <w:rPr>
          <w:bCs/>
          <w:i/>
          <w:iCs/>
          <w:sz w:val="22"/>
          <w:szCs w:val="22"/>
        </w:rPr>
        <w:t>Hidradenite supurativa no adolescente (a partir dos 12 anos de idade, com pelo menos 30</w:t>
      </w:r>
      <w:r>
        <w:rPr>
          <w:bCs/>
          <w:i/>
          <w:iCs/>
          <w:sz w:val="22"/>
          <w:szCs w:val="22"/>
        </w:rPr>
        <w:t> </w:t>
      </w:r>
      <w:r w:rsidR="00AB606B">
        <w:rPr>
          <w:bCs/>
          <w:i/>
          <w:iCs/>
          <w:sz w:val="22"/>
          <w:szCs w:val="22"/>
        </w:rPr>
        <w:t>k</w:t>
      </w:r>
      <w:r w:rsidRPr="00E22CBA">
        <w:rPr>
          <w:bCs/>
          <w:i/>
          <w:iCs/>
          <w:sz w:val="22"/>
          <w:szCs w:val="22"/>
        </w:rPr>
        <w:t>g de peso)</w:t>
      </w:r>
    </w:p>
    <w:p w14:paraId="4341C588" w14:textId="77777777" w:rsidR="004462A0" w:rsidRDefault="004462A0" w:rsidP="00047604">
      <w:pPr>
        <w:keepNext/>
        <w:rPr>
          <w:bCs/>
          <w:iCs/>
          <w:sz w:val="22"/>
          <w:szCs w:val="22"/>
        </w:rPr>
      </w:pPr>
    </w:p>
    <w:p w14:paraId="4D43CB1F" w14:textId="77777777" w:rsidR="004462A0" w:rsidRDefault="00615769" w:rsidP="00047604">
      <w:pPr>
        <w:keepNext/>
        <w:rPr>
          <w:bCs/>
          <w:iCs/>
          <w:sz w:val="22"/>
          <w:szCs w:val="22"/>
        </w:rPr>
      </w:pPr>
      <w:r>
        <w:rPr>
          <w:bCs/>
          <w:iCs/>
          <w:sz w:val="22"/>
          <w:szCs w:val="22"/>
        </w:rPr>
        <w:t>Não existem estudos clínicos com Humira em doentes adolescentes com hidradenite supurativa. A posologia de Humira nestes doentes foi determinada através de modelos farmacocinéticos e de simulação (ver secção 5.2).</w:t>
      </w:r>
    </w:p>
    <w:p w14:paraId="3CD44080" w14:textId="77777777" w:rsidR="004462A0" w:rsidRDefault="004462A0" w:rsidP="004462A0">
      <w:pPr>
        <w:rPr>
          <w:bCs/>
          <w:iCs/>
          <w:sz w:val="22"/>
          <w:szCs w:val="22"/>
        </w:rPr>
      </w:pPr>
    </w:p>
    <w:p w14:paraId="35BB38FB" w14:textId="77777777" w:rsidR="004462A0" w:rsidRPr="00533CFB" w:rsidRDefault="00615769" w:rsidP="004462A0">
      <w:pPr>
        <w:rPr>
          <w:bCs/>
          <w:iCs/>
          <w:sz w:val="22"/>
          <w:szCs w:val="22"/>
        </w:rPr>
      </w:pPr>
      <w:r w:rsidRPr="005E708A">
        <w:rPr>
          <w:bCs/>
          <w:iCs/>
          <w:sz w:val="22"/>
          <w:szCs w:val="22"/>
        </w:rPr>
        <w:t>A dose recomendada de Humira é de 80 mg na Semana 0</w:t>
      </w:r>
      <w:r w:rsidR="00AB606B">
        <w:rPr>
          <w:bCs/>
          <w:iCs/>
          <w:sz w:val="22"/>
          <w:szCs w:val="22"/>
        </w:rPr>
        <w:t>,</w:t>
      </w:r>
      <w:r w:rsidRPr="005E708A">
        <w:rPr>
          <w:bCs/>
          <w:iCs/>
          <w:sz w:val="22"/>
          <w:szCs w:val="22"/>
        </w:rPr>
        <w:t xml:space="preserve"> seguida de 40 mg em semanas alternadas, com início na Semana 1</w:t>
      </w:r>
      <w:r w:rsidR="00AB606B">
        <w:rPr>
          <w:bCs/>
          <w:iCs/>
          <w:sz w:val="22"/>
          <w:szCs w:val="22"/>
        </w:rPr>
        <w:t>,</w:t>
      </w:r>
      <w:r w:rsidRPr="005E708A">
        <w:rPr>
          <w:bCs/>
          <w:iCs/>
          <w:sz w:val="22"/>
          <w:szCs w:val="22"/>
        </w:rPr>
        <w:t xml:space="preserve"> por injeção subcutânea.</w:t>
      </w:r>
      <w:r w:rsidR="00141394" w:rsidRPr="00973CF1">
        <w:rPr>
          <w:bCs/>
          <w:iCs/>
          <w:color w:val="000000"/>
          <w:sz w:val="22"/>
          <w:szCs w:val="22"/>
        </w:rPr>
        <w:t xml:space="preserve"> </w:t>
      </w:r>
    </w:p>
    <w:p w14:paraId="6A85BDC9" w14:textId="77777777" w:rsidR="00CB140F" w:rsidRDefault="00CB140F" w:rsidP="004462A0">
      <w:pPr>
        <w:rPr>
          <w:bCs/>
          <w:iCs/>
          <w:sz w:val="22"/>
          <w:szCs w:val="22"/>
        </w:rPr>
      </w:pPr>
    </w:p>
    <w:p w14:paraId="27CEC899" w14:textId="77777777" w:rsidR="004462A0" w:rsidRPr="00533CFB" w:rsidRDefault="00615769" w:rsidP="004462A0">
      <w:pPr>
        <w:rPr>
          <w:bCs/>
          <w:iCs/>
          <w:sz w:val="22"/>
          <w:szCs w:val="22"/>
        </w:rPr>
      </w:pPr>
      <w:r w:rsidRPr="00533CFB">
        <w:rPr>
          <w:bCs/>
          <w:iCs/>
          <w:sz w:val="22"/>
          <w:szCs w:val="22"/>
        </w:rPr>
        <w:t>Em doentes adolescentes que apresentem uma resposta terapêutica inadequada com 40</w:t>
      </w:r>
      <w:r>
        <w:rPr>
          <w:bCs/>
          <w:iCs/>
          <w:sz w:val="22"/>
          <w:szCs w:val="22"/>
        </w:rPr>
        <w:t> </w:t>
      </w:r>
      <w:r w:rsidRPr="00533CFB">
        <w:rPr>
          <w:bCs/>
          <w:iCs/>
          <w:sz w:val="22"/>
          <w:szCs w:val="22"/>
        </w:rPr>
        <w:t>mg de Humira em semanas alternadas, deverá considerar-se um aumento da dose para 40</w:t>
      </w:r>
      <w:r>
        <w:rPr>
          <w:bCs/>
          <w:iCs/>
          <w:sz w:val="22"/>
          <w:szCs w:val="22"/>
        </w:rPr>
        <w:t> </w:t>
      </w:r>
      <w:r w:rsidRPr="00533CFB">
        <w:rPr>
          <w:bCs/>
          <w:iCs/>
          <w:sz w:val="22"/>
          <w:szCs w:val="22"/>
        </w:rPr>
        <w:t>mg todas as semanas</w:t>
      </w:r>
      <w:r w:rsidR="00CB140F">
        <w:rPr>
          <w:bCs/>
          <w:iCs/>
          <w:sz w:val="22"/>
          <w:szCs w:val="22"/>
        </w:rPr>
        <w:t xml:space="preserve"> ou 80 mg em semanas alternadas</w:t>
      </w:r>
      <w:r w:rsidRPr="00533CFB">
        <w:rPr>
          <w:bCs/>
          <w:iCs/>
          <w:sz w:val="22"/>
          <w:szCs w:val="22"/>
        </w:rPr>
        <w:t xml:space="preserve">. </w:t>
      </w:r>
    </w:p>
    <w:p w14:paraId="42F263BB" w14:textId="77777777" w:rsidR="004462A0" w:rsidRPr="00533CFB" w:rsidRDefault="004462A0" w:rsidP="004462A0">
      <w:pPr>
        <w:rPr>
          <w:bCs/>
          <w:iCs/>
          <w:sz w:val="22"/>
          <w:szCs w:val="22"/>
        </w:rPr>
      </w:pPr>
    </w:p>
    <w:p w14:paraId="67E8E814" w14:textId="77777777" w:rsidR="004462A0" w:rsidRPr="00533CFB" w:rsidRDefault="00615769" w:rsidP="004462A0">
      <w:pPr>
        <w:rPr>
          <w:bCs/>
          <w:iCs/>
          <w:sz w:val="22"/>
          <w:szCs w:val="22"/>
        </w:rPr>
      </w:pPr>
      <w:r w:rsidRPr="00533CFB">
        <w:rPr>
          <w:bCs/>
          <w:iCs/>
          <w:sz w:val="22"/>
          <w:szCs w:val="22"/>
        </w:rPr>
        <w:t>Durante o tratamento com Humira, pode manter-se o tratamento com antibióticos, se necessário. Recomenda-se que o doente use um anti-séptico tópico de lavagem nas lesões de HS, numa base diária, durante o tratamento com Humira.</w:t>
      </w:r>
    </w:p>
    <w:p w14:paraId="6D1C3DBA" w14:textId="77777777" w:rsidR="004462A0" w:rsidRPr="00533CFB" w:rsidRDefault="004462A0" w:rsidP="004462A0">
      <w:pPr>
        <w:rPr>
          <w:bCs/>
          <w:iCs/>
          <w:sz w:val="22"/>
          <w:szCs w:val="22"/>
        </w:rPr>
      </w:pPr>
    </w:p>
    <w:p w14:paraId="6F78E913" w14:textId="77777777" w:rsidR="004462A0" w:rsidRPr="00533CFB" w:rsidRDefault="00615769" w:rsidP="004462A0">
      <w:pPr>
        <w:rPr>
          <w:bCs/>
          <w:iCs/>
          <w:sz w:val="22"/>
          <w:szCs w:val="22"/>
        </w:rPr>
      </w:pPr>
      <w:r w:rsidRPr="00533CFB">
        <w:rPr>
          <w:bCs/>
          <w:iCs/>
          <w:sz w:val="22"/>
          <w:szCs w:val="22"/>
        </w:rPr>
        <w:t xml:space="preserve">Uma terapêutica continuada </w:t>
      </w:r>
      <w:r w:rsidR="00AB606B">
        <w:rPr>
          <w:bCs/>
          <w:iCs/>
          <w:sz w:val="22"/>
          <w:szCs w:val="22"/>
        </w:rPr>
        <w:t xml:space="preserve">para além das 12 semanas </w:t>
      </w:r>
      <w:r w:rsidRPr="00533CFB">
        <w:rPr>
          <w:bCs/>
          <w:iCs/>
          <w:sz w:val="22"/>
          <w:szCs w:val="22"/>
        </w:rPr>
        <w:t xml:space="preserve">deve ser cuidadosamente reconsiderada </w:t>
      </w:r>
      <w:r w:rsidR="00AB606B">
        <w:rPr>
          <w:bCs/>
          <w:iCs/>
          <w:sz w:val="22"/>
          <w:szCs w:val="22"/>
        </w:rPr>
        <w:t>em</w:t>
      </w:r>
      <w:r w:rsidR="00AB606B" w:rsidRPr="00533CFB">
        <w:rPr>
          <w:bCs/>
          <w:iCs/>
          <w:sz w:val="22"/>
          <w:szCs w:val="22"/>
        </w:rPr>
        <w:t xml:space="preserve"> </w:t>
      </w:r>
      <w:r w:rsidRPr="00533CFB">
        <w:rPr>
          <w:bCs/>
          <w:iCs/>
          <w:sz w:val="22"/>
          <w:szCs w:val="22"/>
        </w:rPr>
        <w:t xml:space="preserve">doentes que não </w:t>
      </w:r>
      <w:r w:rsidR="00AB606B">
        <w:rPr>
          <w:bCs/>
          <w:iCs/>
          <w:sz w:val="22"/>
          <w:szCs w:val="22"/>
        </w:rPr>
        <w:t>apresentaram melhoria neste período de tempo</w:t>
      </w:r>
      <w:r w:rsidRPr="00533CFB">
        <w:rPr>
          <w:bCs/>
          <w:iCs/>
          <w:sz w:val="22"/>
          <w:szCs w:val="22"/>
        </w:rPr>
        <w:t>.</w:t>
      </w:r>
    </w:p>
    <w:p w14:paraId="0C927C4F" w14:textId="77777777" w:rsidR="004462A0" w:rsidRPr="00533CFB" w:rsidRDefault="004462A0" w:rsidP="004462A0">
      <w:pPr>
        <w:rPr>
          <w:bCs/>
          <w:iCs/>
          <w:sz w:val="22"/>
          <w:szCs w:val="22"/>
        </w:rPr>
      </w:pPr>
    </w:p>
    <w:p w14:paraId="6AB7A6A8" w14:textId="77777777" w:rsidR="004462A0" w:rsidRPr="00533CFB" w:rsidRDefault="00615769" w:rsidP="004462A0">
      <w:pPr>
        <w:rPr>
          <w:bCs/>
          <w:iCs/>
          <w:sz w:val="22"/>
          <w:szCs w:val="22"/>
        </w:rPr>
      </w:pPr>
      <w:r w:rsidRPr="00533CFB">
        <w:rPr>
          <w:bCs/>
          <w:iCs/>
          <w:sz w:val="22"/>
          <w:szCs w:val="22"/>
        </w:rPr>
        <w:t>Caso haja necessidade de interromper o tratamento, Humira pode ser reintroduzido conforme apropriado.</w:t>
      </w:r>
    </w:p>
    <w:p w14:paraId="22817192" w14:textId="77777777" w:rsidR="004462A0" w:rsidRPr="00533CFB" w:rsidRDefault="004462A0" w:rsidP="004462A0">
      <w:pPr>
        <w:rPr>
          <w:bCs/>
          <w:iCs/>
          <w:sz w:val="22"/>
          <w:szCs w:val="22"/>
        </w:rPr>
      </w:pPr>
    </w:p>
    <w:p w14:paraId="5AEEAF27" w14:textId="77777777" w:rsidR="004462A0" w:rsidRPr="00533CFB" w:rsidRDefault="00615769" w:rsidP="004462A0">
      <w:pPr>
        <w:rPr>
          <w:bCs/>
          <w:iCs/>
          <w:sz w:val="22"/>
          <w:szCs w:val="22"/>
        </w:rPr>
      </w:pPr>
      <w:r>
        <w:rPr>
          <w:bCs/>
          <w:iCs/>
          <w:sz w:val="22"/>
          <w:szCs w:val="22"/>
        </w:rPr>
        <w:t>O</w:t>
      </w:r>
      <w:r w:rsidRPr="00533CFB">
        <w:rPr>
          <w:bCs/>
          <w:iCs/>
          <w:sz w:val="22"/>
          <w:szCs w:val="22"/>
        </w:rPr>
        <w:t xml:space="preserve"> benefício </w:t>
      </w:r>
      <w:r>
        <w:rPr>
          <w:bCs/>
          <w:iCs/>
          <w:sz w:val="22"/>
          <w:szCs w:val="22"/>
        </w:rPr>
        <w:t xml:space="preserve">e risco da continuação </w:t>
      </w:r>
      <w:r w:rsidRPr="00533CFB">
        <w:rPr>
          <w:bCs/>
          <w:iCs/>
          <w:sz w:val="22"/>
          <w:szCs w:val="22"/>
        </w:rPr>
        <w:t xml:space="preserve">do tratamento a longo prazo </w:t>
      </w:r>
      <w:r>
        <w:rPr>
          <w:bCs/>
          <w:iCs/>
          <w:sz w:val="22"/>
          <w:szCs w:val="22"/>
        </w:rPr>
        <w:t>devem ser</w:t>
      </w:r>
      <w:r w:rsidRPr="00533CFB">
        <w:rPr>
          <w:bCs/>
          <w:iCs/>
          <w:sz w:val="22"/>
          <w:szCs w:val="22"/>
        </w:rPr>
        <w:t xml:space="preserve"> avaliado</w:t>
      </w:r>
      <w:r>
        <w:rPr>
          <w:bCs/>
          <w:iCs/>
          <w:sz w:val="22"/>
          <w:szCs w:val="22"/>
        </w:rPr>
        <w:t>s</w:t>
      </w:r>
      <w:r w:rsidRPr="00533CFB">
        <w:rPr>
          <w:bCs/>
          <w:iCs/>
          <w:sz w:val="22"/>
          <w:szCs w:val="22"/>
        </w:rPr>
        <w:t xml:space="preserve"> periodicamente (ver dados em adultos na secção 5.1).</w:t>
      </w:r>
    </w:p>
    <w:p w14:paraId="11C23F17" w14:textId="77777777" w:rsidR="004462A0" w:rsidRPr="00533CFB" w:rsidRDefault="004462A0" w:rsidP="004462A0">
      <w:pPr>
        <w:rPr>
          <w:bCs/>
          <w:iCs/>
          <w:sz w:val="22"/>
          <w:szCs w:val="22"/>
        </w:rPr>
      </w:pPr>
    </w:p>
    <w:p w14:paraId="63FB199D" w14:textId="77777777" w:rsidR="004462A0" w:rsidRDefault="00615769" w:rsidP="004462A0">
      <w:pPr>
        <w:rPr>
          <w:bCs/>
          <w:iCs/>
          <w:sz w:val="22"/>
          <w:szCs w:val="22"/>
        </w:rPr>
      </w:pPr>
      <w:r w:rsidRPr="00533CFB">
        <w:rPr>
          <w:bCs/>
          <w:iCs/>
          <w:sz w:val="22"/>
          <w:szCs w:val="22"/>
        </w:rPr>
        <w:t>Não existe utilização relevante de Humira em crianças com menos de 12 anos, para esta indicação.</w:t>
      </w:r>
    </w:p>
    <w:p w14:paraId="33128815" w14:textId="77777777" w:rsidR="004462A0" w:rsidRDefault="004462A0" w:rsidP="004462A0">
      <w:pPr>
        <w:rPr>
          <w:bCs/>
          <w:iCs/>
          <w:sz w:val="22"/>
          <w:szCs w:val="22"/>
        </w:rPr>
      </w:pPr>
    </w:p>
    <w:p w14:paraId="68FB649E" w14:textId="77777777" w:rsidR="00CB140F" w:rsidRPr="00395D60" w:rsidRDefault="00615769" w:rsidP="00CB140F">
      <w:pPr>
        <w:pStyle w:val="Default"/>
        <w:rPr>
          <w:sz w:val="22"/>
          <w:szCs w:val="22"/>
          <w:lang w:val="pt-PT"/>
        </w:rPr>
      </w:pPr>
      <w:r>
        <w:rPr>
          <w:sz w:val="22"/>
          <w:szCs w:val="22"/>
          <w:lang w:val="pt-PT"/>
        </w:rPr>
        <w:t>Humira pode estar</w:t>
      </w:r>
      <w:r w:rsidRPr="00395D60">
        <w:rPr>
          <w:sz w:val="22"/>
          <w:szCs w:val="22"/>
          <w:lang w:val="pt-PT"/>
        </w:rPr>
        <w:t xml:space="preserve"> disponível em outras dosagens e/ou apresentações dependendo das necessidades de cada doente.</w:t>
      </w:r>
    </w:p>
    <w:p w14:paraId="0F4FFD2F" w14:textId="77777777" w:rsidR="00CB140F" w:rsidRPr="008912CF" w:rsidRDefault="00CB140F" w:rsidP="004462A0">
      <w:pPr>
        <w:rPr>
          <w:bCs/>
          <w:iCs/>
          <w:sz w:val="22"/>
          <w:szCs w:val="22"/>
        </w:rPr>
      </w:pPr>
    </w:p>
    <w:p w14:paraId="0AB0AA40" w14:textId="77777777" w:rsidR="004462A0" w:rsidRPr="008912CF" w:rsidRDefault="00615769" w:rsidP="004462A0">
      <w:pPr>
        <w:rPr>
          <w:sz w:val="22"/>
          <w:szCs w:val="22"/>
        </w:rPr>
      </w:pPr>
      <w:r w:rsidRPr="008912CF">
        <w:rPr>
          <w:i/>
          <w:sz w:val="22"/>
          <w:szCs w:val="22"/>
        </w:rPr>
        <w:t>Doença de Crohn pediátrica</w:t>
      </w:r>
    </w:p>
    <w:p w14:paraId="3680193D" w14:textId="77777777" w:rsidR="004462A0" w:rsidRPr="008912CF" w:rsidRDefault="004462A0" w:rsidP="004462A0">
      <w:pPr>
        <w:rPr>
          <w:sz w:val="22"/>
          <w:szCs w:val="22"/>
          <w:u w:val="single"/>
        </w:rPr>
      </w:pPr>
    </w:p>
    <w:p w14:paraId="6B5517A4" w14:textId="77777777" w:rsidR="00141394" w:rsidRDefault="00615769" w:rsidP="00AD6FCC">
      <w:pPr>
        <w:pStyle w:val="BodyText2"/>
        <w:autoSpaceDE/>
        <w:autoSpaceDN/>
        <w:adjustRightInd/>
        <w:rPr>
          <w:szCs w:val="22"/>
        </w:rPr>
      </w:pPr>
      <w:r w:rsidRPr="008912CF">
        <w:rPr>
          <w:szCs w:val="22"/>
        </w:rPr>
        <w:t xml:space="preserve">A dose recomendada de Humira </w:t>
      </w:r>
      <w:r w:rsidR="00AB606B">
        <w:rPr>
          <w:szCs w:val="22"/>
        </w:rPr>
        <w:t>em</w:t>
      </w:r>
      <w:r w:rsidR="00AB606B" w:rsidRPr="008912CF">
        <w:rPr>
          <w:szCs w:val="22"/>
        </w:rPr>
        <w:t xml:space="preserve"> </w:t>
      </w:r>
      <w:r w:rsidRPr="008912CF">
        <w:rPr>
          <w:szCs w:val="22"/>
        </w:rPr>
        <w:t>doentes com doença de Crohn</w:t>
      </w:r>
      <w:r>
        <w:rPr>
          <w:szCs w:val="22"/>
        </w:rPr>
        <w:t>,</w:t>
      </w:r>
      <w:r w:rsidRPr="000550F3">
        <w:rPr>
          <w:szCs w:val="22"/>
        </w:rPr>
        <w:t xml:space="preserve"> </w:t>
      </w:r>
      <w:r>
        <w:rPr>
          <w:szCs w:val="22"/>
        </w:rPr>
        <w:t xml:space="preserve">com idades compreendidas entre os </w:t>
      </w:r>
      <w:r w:rsidR="00284968">
        <w:rPr>
          <w:szCs w:val="22"/>
        </w:rPr>
        <w:t>6</w:t>
      </w:r>
      <w:r>
        <w:rPr>
          <w:szCs w:val="22"/>
        </w:rPr>
        <w:t xml:space="preserve"> e os 17 anos, </w:t>
      </w:r>
      <w:r w:rsidRPr="008912CF">
        <w:rPr>
          <w:szCs w:val="22"/>
        </w:rPr>
        <w:t xml:space="preserve">é </w:t>
      </w:r>
      <w:r>
        <w:rPr>
          <w:szCs w:val="22"/>
        </w:rPr>
        <w:t xml:space="preserve">baseada no peso corporal (Tabela 4). Humira é administrado </w:t>
      </w:r>
      <w:r w:rsidR="00AD6FCC">
        <w:rPr>
          <w:szCs w:val="22"/>
        </w:rPr>
        <w:t xml:space="preserve">por injeção subcutânea. </w:t>
      </w:r>
    </w:p>
    <w:p w14:paraId="3A78F0A8" w14:textId="77777777" w:rsidR="00AD6FCC" w:rsidRDefault="00AD6FCC" w:rsidP="00AD6FCC">
      <w:pPr>
        <w:pStyle w:val="BodyText2"/>
        <w:autoSpaceDE/>
        <w:autoSpaceDN/>
        <w:adjustRightInd/>
        <w:rPr>
          <w:szCs w:val="22"/>
        </w:rPr>
      </w:pPr>
    </w:p>
    <w:p w14:paraId="4CB51D18" w14:textId="77777777" w:rsidR="00141394" w:rsidRPr="000A1E2A" w:rsidRDefault="00615769" w:rsidP="00AD6FCC">
      <w:pPr>
        <w:keepNext/>
        <w:tabs>
          <w:tab w:val="left" w:pos="562"/>
        </w:tabs>
        <w:suppressAutoHyphens/>
        <w:jc w:val="center"/>
        <w:rPr>
          <w:rFonts w:eastAsia="Times New Roman"/>
          <w:b/>
          <w:sz w:val="22"/>
          <w:szCs w:val="22"/>
        </w:rPr>
      </w:pPr>
      <w:r w:rsidRPr="00395D60">
        <w:rPr>
          <w:rFonts w:eastAsia="Times New Roman"/>
          <w:b/>
          <w:sz w:val="22"/>
          <w:szCs w:val="22"/>
        </w:rPr>
        <w:t xml:space="preserve">Tabela 4. </w:t>
      </w:r>
      <w:r w:rsidRPr="000A1E2A">
        <w:rPr>
          <w:rFonts w:eastAsia="Times New Roman"/>
          <w:b/>
          <w:sz w:val="22"/>
          <w:szCs w:val="22"/>
        </w:rPr>
        <w:t xml:space="preserve">Dose de Humira </w:t>
      </w:r>
      <w:r w:rsidR="00E876B5">
        <w:rPr>
          <w:rFonts w:eastAsia="Times New Roman"/>
          <w:b/>
          <w:sz w:val="22"/>
          <w:szCs w:val="22"/>
        </w:rPr>
        <w:t xml:space="preserve">em </w:t>
      </w:r>
      <w:r w:rsidRPr="000A1E2A">
        <w:rPr>
          <w:rFonts w:eastAsia="Times New Roman"/>
          <w:b/>
          <w:sz w:val="22"/>
          <w:szCs w:val="22"/>
        </w:rPr>
        <w:t xml:space="preserve">Doentes </w:t>
      </w:r>
      <w:r w:rsidR="00E7252B">
        <w:rPr>
          <w:rFonts w:eastAsia="Times New Roman"/>
          <w:b/>
          <w:sz w:val="22"/>
          <w:szCs w:val="22"/>
        </w:rPr>
        <w:t xml:space="preserve">Pediátricos </w:t>
      </w:r>
      <w:r w:rsidRPr="000A1E2A">
        <w:rPr>
          <w:rFonts w:eastAsia="Times New Roman"/>
          <w:b/>
          <w:sz w:val="22"/>
          <w:szCs w:val="22"/>
        </w:rPr>
        <w:t>com Doença de Crohn</w:t>
      </w:r>
    </w:p>
    <w:p w14:paraId="5B2A072C" w14:textId="77777777" w:rsidR="00141394" w:rsidRPr="000A1E2A" w:rsidRDefault="00141394" w:rsidP="00AD6FCC">
      <w:pPr>
        <w:keepNext/>
        <w:tabs>
          <w:tab w:val="left" w:pos="562"/>
        </w:tabs>
        <w:suppressAutoHyphens/>
        <w:rPr>
          <w:rFonts w:eastAsia="Times New Roman"/>
          <w:sz w:val="22"/>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10"/>
        <w:gridCol w:w="6338"/>
        <w:gridCol w:w="1807"/>
      </w:tblGrid>
      <w:tr w:rsidR="00A7162A" w14:paraId="38135F0A" w14:textId="77777777" w:rsidTr="00E60C95">
        <w:trPr>
          <w:tblHeader/>
        </w:trPr>
        <w:tc>
          <w:tcPr>
            <w:tcW w:w="0" w:type="auto"/>
            <w:tcBorders>
              <w:top w:val="single" w:sz="6" w:space="0" w:color="000000"/>
              <w:left w:val="single" w:sz="6" w:space="0" w:color="000000"/>
              <w:bottom w:val="single" w:sz="6" w:space="0" w:color="000000"/>
              <w:right w:val="single" w:sz="6" w:space="0" w:color="000000"/>
            </w:tcBorders>
            <w:hideMark/>
          </w:tcPr>
          <w:p w14:paraId="7661FA93" w14:textId="77777777" w:rsidR="00141394" w:rsidRPr="000550F3" w:rsidRDefault="00615769" w:rsidP="00AD6FCC">
            <w:pPr>
              <w:keepNext/>
              <w:tabs>
                <w:tab w:val="left" w:pos="562"/>
              </w:tabs>
              <w:suppressAutoHyphens/>
              <w:jc w:val="center"/>
              <w:rPr>
                <w:rFonts w:eastAsia="Times New Roman"/>
                <w:sz w:val="22"/>
                <w:lang w:val="en-US"/>
              </w:rPr>
            </w:pPr>
            <w:r w:rsidRPr="000550F3">
              <w:rPr>
                <w:rFonts w:eastAsia="Times New Roman"/>
                <w:b/>
                <w:sz w:val="22"/>
                <w:lang w:val="en-US"/>
              </w:rPr>
              <w:t>P</w:t>
            </w:r>
            <w:r>
              <w:rPr>
                <w:rFonts w:eastAsia="Times New Roman"/>
                <w:b/>
                <w:sz w:val="22"/>
                <w:lang w:val="en-US"/>
              </w:rPr>
              <w:t>eso do Doente</w:t>
            </w:r>
          </w:p>
        </w:tc>
        <w:tc>
          <w:tcPr>
            <w:tcW w:w="0" w:type="auto"/>
            <w:tcBorders>
              <w:top w:val="single" w:sz="6" w:space="0" w:color="000000"/>
              <w:left w:val="single" w:sz="6" w:space="0" w:color="000000"/>
              <w:bottom w:val="single" w:sz="6" w:space="0" w:color="000000"/>
              <w:right w:val="single" w:sz="6" w:space="0" w:color="000000"/>
            </w:tcBorders>
            <w:hideMark/>
          </w:tcPr>
          <w:p w14:paraId="27D6C035" w14:textId="77777777" w:rsidR="00141394" w:rsidRPr="000550F3" w:rsidRDefault="00615769" w:rsidP="00AD6FCC">
            <w:pPr>
              <w:keepNext/>
              <w:tabs>
                <w:tab w:val="left" w:pos="562"/>
              </w:tabs>
              <w:suppressAutoHyphens/>
              <w:jc w:val="center"/>
              <w:rPr>
                <w:rFonts w:eastAsia="Times New Roman"/>
                <w:sz w:val="22"/>
                <w:lang w:val="en-US"/>
              </w:rPr>
            </w:pPr>
            <w:r>
              <w:rPr>
                <w:rFonts w:eastAsia="Times New Roman"/>
                <w:b/>
                <w:sz w:val="22"/>
                <w:lang w:val="en-US"/>
              </w:rPr>
              <w:t>Dose de Indução</w:t>
            </w:r>
          </w:p>
        </w:tc>
        <w:tc>
          <w:tcPr>
            <w:tcW w:w="0" w:type="auto"/>
            <w:tcBorders>
              <w:top w:val="single" w:sz="6" w:space="0" w:color="000000"/>
              <w:left w:val="single" w:sz="6" w:space="0" w:color="000000"/>
              <w:bottom w:val="single" w:sz="6" w:space="0" w:color="000000"/>
              <w:right w:val="single" w:sz="6" w:space="0" w:color="000000"/>
            </w:tcBorders>
            <w:hideMark/>
          </w:tcPr>
          <w:p w14:paraId="74986CD2" w14:textId="77777777" w:rsidR="00141394" w:rsidRDefault="00615769" w:rsidP="00AD6FCC">
            <w:pPr>
              <w:keepNext/>
              <w:tabs>
                <w:tab w:val="left" w:pos="562"/>
              </w:tabs>
              <w:suppressAutoHyphens/>
              <w:jc w:val="center"/>
              <w:rPr>
                <w:rFonts w:eastAsia="Times New Roman"/>
                <w:b/>
                <w:sz w:val="22"/>
              </w:rPr>
            </w:pPr>
            <w:r w:rsidRPr="000A1E2A">
              <w:rPr>
                <w:rFonts w:eastAsia="Times New Roman"/>
                <w:b/>
                <w:sz w:val="22"/>
              </w:rPr>
              <w:t>Dose de Manutenção com Início na</w:t>
            </w:r>
          </w:p>
          <w:p w14:paraId="16939DA4" w14:textId="77777777" w:rsidR="00141394" w:rsidRPr="000A1E2A" w:rsidRDefault="00615769" w:rsidP="00AD6FCC">
            <w:pPr>
              <w:keepNext/>
              <w:tabs>
                <w:tab w:val="left" w:pos="562"/>
              </w:tabs>
              <w:suppressAutoHyphens/>
              <w:jc w:val="center"/>
              <w:rPr>
                <w:rFonts w:eastAsia="Times New Roman"/>
                <w:sz w:val="22"/>
              </w:rPr>
            </w:pPr>
            <w:r w:rsidRPr="000A1E2A">
              <w:rPr>
                <w:rFonts w:eastAsia="Times New Roman"/>
                <w:b/>
                <w:sz w:val="22"/>
              </w:rPr>
              <w:t xml:space="preserve"> Semana 4</w:t>
            </w:r>
          </w:p>
        </w:tc>
      </w:tr>
      <w:tr w:rsidR="00A7162A" w14:paraId="52792940" w14:textId="77777777" w:rsidTr="00E60C95">
        <w:tc>
          <w:tcPr>
            <w:tcW w:w="0" w:type="auto"/>
            <w:tcBorders>
              <w:top w:val="single" w:sz="6" w:space="0" w:color="000000"/>
              <w:left w:val="single" w:sz="6" w:space="0" w:color="000000"/>
              <w:bottom w:val="single" w:sz="6" w:space="0" w:color="000000"/>
              <w:right w:val="single" w:sz="6" w:space="0" w:color="000000"/>
            </w:tcBorders>
            <w:hideMark/>
          </w:tcPr>
          <w:p w14:paraId="5A31E0E4" w14:textId="77777777" w:rsidR="00141394" w:rsidRPr="000550F3" w:rsidRDefault="00615769" w:rsidP="00AD6FCC">
            <w:pPr>
              <w:keepNext/>
              <w:tabs>
                <w:tab w:val="left" w:pos="562"/>
              </w:tabs>
              <w:suppressAutoHyphens/>
              <w:jc w:val="center"/>
              <w:rPr>
                <w:rFonts w:eastAsia="Times New Roman"/>
                <w:sz w:val="22"/>
                <w:lang w:val="en-US"/>
              </w:rPr>
            </w:pPr>
            <w:r w:rsidRPr="000550F3">
              <w:rPr>
                <w:rFonts w:eastAsia="Times New Roman"/>
                <w:sz w:val="22"/>
                <w:lang w:val="en-US"/>
              </w:rPr>
              <w:t>&lt; 40 kg</w:t>
            </w:r>
          </w:p>
        </w:tc>
        <w:tc>
          <w:tcPr>
            <w:tcW w:w="0" w:type="auto"/>
            <w:tcBorders>
              <w:top w:val="single" w:sz="6" w:space="0" w:color="000000"/>
              <w:left w:val="single" w:sz="6" w:space="0" w:color="000000"/>
              <w:bottom w:val="single" w:sz="6" w:space="0" w:color="000000"/>
              <w:right w:val="single" w:sz="6" w:space="0" w:color="000000"/>
            </w:tcBorders>
            <w:hideMark/>
          </w:tcPr>
          <w:p w14:paraId="468D7800" w14:textId="77777777" w:rsidR="00141394" w:rsidRPr="000A1E2A" w:rsidRDefault="00615769" w:rsidP="00AD6FCC">
            <w:pPr>
              <w:keepNext/>
              <w:numPr>
                <w:ilvl w:val="0"/>
                <w:numId w:val="137"/>
              </w:numPr>
              <w:tabs>
                <w:tab w:val="left" w:pos="562"/>
              </w:tabs>
              <w:suppressAutoHyphens/>
              <w:ind w:left="307" w:hanging="180"/>
              <w:rPr>
                <w:rFonts w:eastAsia="Times New Roman"/>
                <w:sz w:val="22"/>
                <w:szCs w:val="22"/>
              </w:rPr>
            </w:pPr>
            <w:r w:rsidRPr="000A1E2A">
              <w:rPr>
                <w:rFonts w:eastAsia="Times New Roman"/>
                <w:sz w:val="22"/>
                <w:szCs w:val="22"/>
              </w:rPr>
              <w:t xml:space="preserve">40 mg na </w:t>
            </w:r>
            <w:r w:rsidR="003741D0">
              <w:rPr>
                <w:rFonts w:eastAsia="Times New Roman"/>
                <w:sz w:val="22"/>
                <w:szCs w:val="22"/>
              </w:rPr>
              <w:t>s</w:t>
            </w:r>
            <w:r w:rsidRPr="000A1E2A">
              <w:rPr>
                <w:rFonts w:eastAsia="Times New Roman"/>
                <w:sz w:val="22"/>
                <w:szCs w:val="22"/>
              </w:rPr>
              <w:t xml:space="preserve">emana 0 e 20 mg na </w:t>
            </w:r>
            <w:r w:rsidR="003741D0">
              <w:rPr>
                <w:rFonts w:eastAsia="Times New Roman"/>
                <w:sz w:val="22"/>
                <w:szCs w:val="22"/>
              </w:rPr>
              <w:t>s</w:t>
            </w:r>
            <w:r w:rsidRPr="000A1E2A">
              <w:rPr>
                <w:rFonts w:eastAsia="Times New Roman"/>
                <w:sz w:val="22"/>
                <w:szCs w:val="22"/>
              </w:rPr>
              <w:t>emana 2</w:t>
            </w:r>
          </w:p>
          <w:p w14:paraId="3C41646D" w14:textId="77777777" w:rsidR="00141394" w:rsidRPr="000A1E2A" w:rsidRDefault="00141394" w:rsidP="00AD6FCC">
            <w:pPr>
              <w:keepNext/>
              <w:ind w:left="337"/>
              <w:rPr>
                <w:rFonts w:eastAsia="Times New Roman"/>
                <w:sz w:val="22"/>
                <w:szCs w:val="22"/>
              </w:rPr>
            </w:pPr>
          </w:p>
          <w:p w14:paraId="33B68DED" w14:textId="77777777" w:rsidR="00141394" w:rsidRPr="000A1E2A" w:rsidRDefault="00615769" w:rsidP="00AD6FCC">
            <w:pPr>
              <w:keepNext/>
              <w:rPr>
                <w:rFonts w:eastAsia="Times New Roman"/>
                <w:sz w:val="22"/>
                <w:szCs w:val="22"/>
              </w:rPr>
            </w:pPr>
            <w:r w:rsidRPr="000A1E2A">
              <w:rPr>
                <w:sz w:val="22"/>
                <w:szCs w:val="22"/>
              </w:rPr>
              <w:t xml:space="preserve">No caso de haver necessidade de uma resposta mais rápida à terapêutica, sendo </w:t>
            </w:r>
            <w:r w:rsidRPr="008912CF">
              <w:rPr>
                <w:sz w:val="22"/>
                <w:szCs w:val="22"/>
              </w:rPr>
              <w:t>que o risco de acontecimentos adversos pode ser superior com o u</w:t>
            </w:r>
            <w:r>
              <w:rPr>
                <w:sz w:val="22"/>
                <w:szCs w:val="22"/>
              </w:rPr>
              <w:t>so de uma dose de indução maior, pode ser usada a seguinte dose:</w:t>
            </w:r>
          </w:p>
          <w:p w14:paraId="7D6F9F40" w14:textId="77777777" w:rsidR="00141394" w:rsidRPr="000A1E2A" w:rsidRDefault="00615769" w:rsidP="00AD6FCC">
            <w:pPr>
              <w:keepNext/>
              <w:numPr>
                <w:ilvl w:val="0"/>
                <w:numId w:val="139"/>
              </w:numPr>
              <w:tabs>
                <w:tab w:val="left" w:pos="562"/>
              </w:tabs>
              <w:suppressAutoHyphens/>
              <w:ind w:left="307" w:hanging="180"/>
              <w:rPr>
                <w:rFonts w:eastAsia="Times New Roman"/>
                <w:iCs/>
                <w:sz w:val="22"/>
                <w:szCs w:val="22"/>
              </w:rPr>
            </w:pPr>
            <w:r w:rsidRPr="000A1E2A">
              <w:rPr>
                <w:rFonts w:eastAsia="Times New Roman"/>
                <w:sz w:val="22"/>
                <w:szCs w:val="22"/>
              </w:rPr>
              <w:t xml:space="preserve">80 mg na </w:t>
            </w:r>
            <w:r w:rsidR="003741D0">
              <w:rPr>
                <w:rFonts w:eastAsia="Times New Roman"/>
                <w:sz w:val="22"/>
                <w:szCs w:val="22"/>
              </w:rPr>
              <w:t>s</w:t>
            </w:r>
            <w:r w:rsidRPr="000A1E2A">
              <w:rPr>
                <w:rFonts w:eastAsia="Times New Roman"/>
                <w:sz w:val="22"/>
                <w:szCs w:val="22"/>
              </w:rPr>
              <w:t xml:space="preserve">emana 0 e 40 mg na </w:t>
            </w:r>
            <w:r w:rsidR="003741D0">
              <w:rPr>
                <w:rFonts w:eastAsia="Times New Roman"/>
                <w:sz w:val="22"/>
                <w:szCs w:val="22"/>
              </w:rPr>
              <w:t>s</w:t>
            </w:r>
            <w:r w:rsidRPr="000A1E2A">
              <w:rPr>
                <w:rFonts w:eastAsia="Times New Roman"/>
                <w:sz w:val="22"/>
                <w:szCs w:val="22"/>
              </w:rPr>
              <w:t>emana 2</w:t>
            </w:r>
          </w:p>
        </w:tc>
        <w:tc>
          <w:tcPr>
            <w:tcW w:w="0" w:type="auto"/>
            <w:tcBorders>
              <w:top w:val="single" w:sz="6" w:space="0" w:color="000000"/>
              <w:left w:val="single" w:sz="6" w:space="0" w:color="000000"/>
              <w:bottom w:val="single" w:sz="6" w:space="0" w:color="000000"/>
              <w:right w:val="single" w:sz="6" w:space="0" w:color="000000"/>
            </w:tcBorders>
            <w:hideMark/>
          </w:tcPr>
          <w:p w14:paraId="3E3D5881" w14:textId="77777777" w:rsidR="00141394" w:rsidRPr="000550F3" w:rsidRDefault="00615769" w:rsidP="00AD6FCC">
            <w:pPr>
              <w:keepNext/>
              <w:ind w:left="27"/>
              <w:jc w:val="center"/>
              <w:rPr>
                <w:rFonts w:eastAsia="Times New Roman"/>
                <w:sz w:val="22"/>
                <w:lang w:val="en-US"/>
              </w:rPr>
            </w:pPr>
            <w:r w:rsidRPr="000550F3">
              <w:rPr>
                <w:rFonts w:eastAsia="Times New Roman"/>
                <w:sz w:val="22"/>
                <w:lang w:val="en-US"/>
              </w:rPr>
              <w:t xml:space="preserve">20 mg </w:t>
            </w:r>
            <w:r>
              <w:rPr>
                <w:rFonts w:eastAsia="Times New Roman"/>
                <w:sz w:val="22"/>
                <w:lang w:val="en-US"/>
              </w:rPr>
              <w:t>em semanas alternadas</w:t>
            </w:r>
          </w:p>
        </w:tc>
      </w:tr>
      <w:tr w:rsidR="00A7162A" w14:paraId="26E6DD8F" w14:textId="77777777" w:rsidTr="00E60C95">
        <w:tc>
          <w:tcPr>
            <w:tcW w:w="0" w:type="auto"/>
            <w:tcBorders>
              <w:top w:val="single" w:sz="6" w:space="0" w:color="000000"/>
              <w:left w:val="single" w:sz="6" w:space="0" w:color="000000"/>
              <w:bottom w:val="single" w:sz="6" w:space="0" w:color="000000"/>
              <w:right w:val="single" w:sz="6" w:space="0" w:color="000000"/>
            </w:tcBorders>
            <w:hideMark/>
          </w:tcPr>
          <w:p w14:paraId="0D3054AB" w14:textId="77777777" w:rsidR="00141394" w:rsidRPr="000550F3" w:rsidRDefault="00615769" w:rsidP="00AD6FCC">
            <w:pPr>
              <w:keepNext/>
              <w:tabs>
                <w:tab w:val="left" w:pos="562"/>
              </w:tabs>
              <w:suppressAutoHyphens/>
              <w:jc w:val="center"/>
              <w:rPr>
                <w:rFonts w:eastAsia="Times New Roman"/>
                <w:sz w:val="22"/>
                <w:lang w:val="en-US"/>
              </w:rPr>
            </w:pPr>
            <w:r w:rsidRPr="000550F3">
              <w:rPr>
                <w:rFonts w:eastAsia="Times New Roman"/>
                <w:sz w:val="22"/>
                <w:lang w:val="en-US"/>
              </w:rPr>
              <w:t>≥ 40 kg</w:t>
            </w:r>
          </w:p>
        </w:tc>
        <w:tc>
          <w:tcPr>
            <w:tcW w:w="0" w:type="auto"/>
            <w:tcBorders>
              <w:top w:val="single" w:sz="6" w:space="0" w:color="000000"/>
              <w:left w:val="single" w:sz="6" w:space="0" w:color="000000"/>
              <w:bottom w:val="single" w:sz="6" w:space="0" w:color="000000"/>
              <w:right w:val="single" w:sz="6" w:space="0" w:color="000000"/>
            </w:tcBorders>
            <w:hideMark/>
          </w:tcPr>
          <w:p w14:paraId="122CE47D" w14:textId="77777777" w:rsidR="00141394" w:rsidRPr="000A1E2A" w:rsidRDefault="00615769" w:rsidP="00AD6FCC">
            <w:pPr>
              <w:keepNext/>
              <w:numPr>
                <w:ilvl w:val="0"/>
                <w:numId w:val="140"/>
              </w:numPr>
              <w:tabs>
                <w:tab w:val="left" w:pos="562"/>
              </w:tabs>
              <w:suppressAutoHyphens/>
              <w:ind w:left="307" w:hanging="175"/>
              <w:rPr>
                <w:rFonts w:eastAsia="Times New Roman"/>
                <w:sz w:val="22"/>
                <w:szCs w:val="22"/>
              </w:rPr>
            </w:pPr>
            <w:r w:rsidRPr="000A1E2A">
              <w:rPr>
                <w:rFonts w:eastAsia="Times New Roman"/>
                <w:sz w:val="22"/>
                <w:szCs w:val="22"/>
              </w:rPr>
              <w:t xml:space="preserve">80 mg na semana 0 e 40 mg na </w:t>
            </w:r>
            <w:r w:rsidR="003741D0">
              <w:rPr>
                <w:rFonts w:eastAsia="Times New Roman"/>
                <w:sz w:val="22"/>
                <w:szCs w:val="22"/>
              </w:rPr>
              <w:t>s</w:t>
            </w:r>
            <w:r w:rsidRPr="000A1E2A">
              <w:rPr>
                <w:rFonts w:eastAsia="Times New Roman"/>
                <w:sz w:val="22"/>
                <w:szCs w:val="22"/>
              </w:rPr>
              <w:t>emana 2</w:t>
            </w:r>
          </w:p>
          <w:p w14:paraId="5F464402" w14:textId="77777777" w:rsidR="00AB606B" w:rsidRDefault="00AB606B" w:rsidP="00AD6FCC">
            <w:pPr>
              <w:keepNext/>
              <w:rPr>
                <w:sz w:val="22"/>
                <w:szCs w:val="22"/>
              </w:rPr>
            </w:pPr>
          </w:p>
          <w:p w14:paraId="25ABEE33" w14:textId="77777777" w:rsidR="00141394" w:rsidRPr="000A1E2A" w:rsidRDefault="00615769" w:rsidP="00AD6FCC">
            <w:pPr>
              <w:keepNext/>
              <w:rPr>
                <w:rFonts w:eastAsia="Times New Roman"/>
                <w:sz w:val="22"/>
                <w:szCs w:val="22"/>
              </w:rPr>
            </w:pPr>
            <w:r w:rsidRPr="000A1E2A">
              <w:rPr>
                <w:sz w:val="22"/>
                <w:szCs w:val="22"/>
              </w:rPr>
              <w:t xml:space="preserve">No caso de haver necessidade de uma resposta mais rápida à terapêutica, sendo </w:t>
            </w:r>
            <w:r w:rsidRPr="008912CF">
              <w:rPr>
                <w:sz w:val="22"/>
                <w:szCs w:val="22"/>
              </w:rPr>
              <w:t>que o risco de acontecimentos adversos pode ser superior com o u</w:t>
            </w:r>
            <w:r>
              <w:rPr>
                <w:sz w:val="22"/>
                <w:szCs w:val="22"/>
              </w:rPr>
              <w:t>so de uma dose de indução maior, pode ser usada a seguinte dose:</w:t>
            </w:r>
          </w:p>
          <w:p w14:paraId="4FDDDC77" w14:textId="77777777" w:rsidR="00141394" w:rsidRPr="000A1E2A" w:rsidRDefault="00615769" w:rsidP="00AD6FCC">
            <w:pPr>
              <w:keepNext/>
              <w:numPr>
                <w:ilvl w:val="0"/>
                <w:numId w:val="138"/>
              </w:numPr>
              <w:tabs>
                <w:tab w:val="left" w:pos="562"/>
              </w:tabs>
              <w:suppressAutoHyphens/>
              <w:ind w:left="314" w:hanging="187"/>
              <w:rPr>
                <w:rFonts w:eastAsia="Times New Roman"/>
                <w:sz w:val="22"/>
                <w:szCs w:val="22"/>
              </w:rPr>
            </w:pPr>
            <w:r w:rsidRPr="000A1E2A">
              <w:rPr>
                <w:rFonts w:eastAsia="Times New Roman"/>
                <w:sz w:val="22"/>
                <w:szCs w:val="22"/>
              </w:rPr>
              <w:t xml:space="preserve">160 mg na </w:t>
            </w:r>
            <w:r w:rsidR="003741D0">
              <w:rPr>
                <w:rFonts w:eastAsia="Times New Roman"/>
                <w:sz w:val="22"/>
                <w:szCs w:val="22"/>
              </w:rPr>
              <w:t>s</w:t>
            </w:r>
            <w:r w:rsidRPr="000A1E2A">
              <w:rPr>
                <w:rFonts w:eastAsia="Times New Roman"/>
                <w:sz w:val="22"/>
                <w:szCs w:val="22"/>
              </w:rPr>
              <w:t>emana 0 e 80 mg na semana 2</w:t>
            </w:r>
          </w:p>
        </w:tc>
        <w:tc>
          <w:tcPr>
            <w:tcW w:w="0" w:type="auto"/>
            <w:tcBorders>
              <w:top w:val="single" w:sz="6" w:space="0" w:color="000000"/>
              <w:left w:val="single" w:sz="6" w:space="0" w:color="000000"/>
              <w:bottom w:val="single" w:sz="6" w:space="0" w:color="000000"/>
              <w:right w:val="single" w:sz="6" w:space="0" w:color="000000"/>
            </w:tcBorders>
            <w:hideMark/>
          </w:tcPr>
          <w:p w14:paraId="0D5F9514" w14:textId="77777777" w:rsidR="00141394" w:rsidRPr="000550F3" w:rsidRDefault="00615769" w:rsidP="00AD6FCC">
            <w:pPr>
              <w:keepNext/>
              <w:ind w:left="36"/>
              <w:jc w:val="center"/>
              <w:rPr>
                <w:rFonts w:eastAsia="Times New Roman"/>
                <w:sz w:val="22"/>
                <w:lang w:val="en-US"/>
              </w:rPr>
            </w:pPr>
            <w:r w:rsidRPr="000550F3">
              <w:rPr>
                <w:rFonts w:eastAsia="Times New Roman"/>
                <w:sz w:val="22"/>
                <w:lang w:val="en-US"/>
              </w:rPr>
              <w:t>40 mg e</w:t>
            </w:r>
            <w:r>
              <w:rPr>
                <w:rFonts w:eastAsia="Times New Roman"/>
                <w:sz w:val="22"/>
                <w:lang w:val="en-US"/>
              </w:rPr>
              <w:t>m semanas alternadas</w:t>
            </w:r>
          </w:p>
        </w:tc>
      </w:tr>
    </w:tbl>
    <w:p w14:paraId="01CE80C2" w14:textId="77777777" w:rsidR="00141394" w:rsidRPr="000550F3" w:rsidRDefault="00141394" w:rsidP="00141394">
      <w:pPr>
        <w:keepNext/>
        <w:tabs>
          <w:tab w:val="left" w:pos="562"/>
        </w:tabs>
        <w:suppressAutoHyphens/>
        <w:rPr>
          <w:rFonts w:eastAsia="Times New Roman"/>
          <w:sz w:val="22"/>
          <w:lang w:val="en-GB"/>
        </w:rPr>
      </w:pPr>
    </w:p>
    <w:p w14:paraId="6A2E42BA" w14:textId="77777777" w:rsidR="00141394" w:rsidRPr="000A1E2A" w:rsidRDefault="00615769" w:rsidP="00141394">
      <w:pPr>
        <w:keepNext/>
        <w:tabs>
          <w:tab w:val="left" w:pos="562"/>
        </w:tabs>
        <w:suppressAutoHyphens/>
        <w:rPr>
          <w:rFonts w:eastAsia="Times New Roman"/>
          <w:sz w:val="22"/>
        </w:rPr>
      </w:pPr>
      <w:r>
        <w:rPr>
          <w:sz w:val="22"/>
          <w:szCs w:val="22"/>
        </w:rPr>
        <w:t xml:space="preserve">Os </w:t>
      </w:r>
      <w:r w:rsidRPr="008912CF">
        <w:rPr>
          <w:sz w:val="22"/>
          <w:szCs w:val="22"/>
        </w:rPr>
        <w:t>doentes que apresentarem resposta terapêutica insuficiente, podem beneficiar de um aumento da  dose</w:t>
      </w:r>
      <w:r>
        <w:rPr>
          <w:sz w:val="22"/>
          <w:szCs w:val="22"/>
        </w:rPr>
        <w:t>:</w:t>
      </w:r>
    </w:p>
    <w:p w14:paraId="0BC2D8E1" w14:textId="77777777" w:rsidR="00141394" w:rsidRPr="000550F3" w:rsidRDefault="00615769" w:rsidP="00141394">
      <w:pPr>
        <w:keepNext/>
        <w:numPr>
          <w:ilvl w:val="0"/>
          <w:numId w:val="138"/>
        </w:numPr>
        <w:tabs>
          <w:tab w:val="left" w:pos="540"/>
        </w:tabs>
        <w:suppressAutoHyphens/>
        <w:ind w:left="540" w:hanging="540"/>
        <w:rPr>
          <w:rFonts w:eastAsia="Times New Roman"/>
          <w:sz w:val="22"/>
          <w:lang w:val="en-GB"/>
        </w:rPr>
      </w:pPr>
      <w:r w:rsidRPr="000550F3">
        <w:rPr>
          <w:rFonts w:eastAsia="Times New Roman"/>
          <w:sz w:val="22"/>
          <w:lang w:val="en-GB"/>
        </w:rPr>
        <w:t xml:space="preserve">&lt; 40 kg: 20 mg </w:t>
      </w:r>
      <w:r>
        <w:rPr>
          <w:rFonts w:eastAsia="Times New Roman"/>
          <w:sz w:val="22"/>
          <w:lang w:val="en-GB"/>
        </w:rPr>
        <w:t>todas as semanas</w:t>
      </w:r>
    </w:p>
    <w:p w14:paraId="4D06EB28" w14:textId="77777777" w:rsidR="00141394" w:rsidRPr="00F03C54" w:rsidRDefault="00615769" w:rsidP="00141394">
      <w:pPr>
        <w:keepNext/>
        <w:numPr>
          <w:ilvl w:val="0"/>
          <w:numId w:val="138"/>
        </w:numPr>
        <w:tabs>
          <w:tab w:val="left" w:pos="540"/>
        </w:tabs>
        <w:suppressAutoHyphens/>
        <w:ind w:left="540" w:hanging="540"/>
        <w:rPr>
          <w:rFonts w:eastAsia="Times New Roman"/>
          <w:sz w:val="22"/>
        </w:rPr>
      </w:pPr>
      <w:r w:rsidRPr="00F03C54">
        <w:rPr>
          <w:rFonts w:eastAsia="Times New Roman"/>
          <w:sz w:val="22"/>
        </w:rPr>
        <w:t>≥ 40 kg: 40 mg todas as semanas</w:t>
      </w:r>
      <w:r w:rsidR="00CB140F">
        <w:rPr>
          <w:rFonts w:eastAsia="Times New Roman"/>
          <w:sz w:val="22"/>
        </w:rPr>
        <w:t xml:space="preserve"> ou 80 mg em semanas alternadas</w:t>
      </w:r>
    </w:p>
    <w:p w14:paraId="1D7838F2" w14:textId="77777777" w:rsidR="00CB140F" w:rsidRDefault="00CB140F" w:rsidP="004462A0">
      <w:pPr>
        <w:rPr>
          <w:bCs/>
          <w:iCs/>
          <w:sz w:val="22"/>
          <w:szCs w:val="22"/>
        </w:rPr>
      </w:pPr>
    </w:p>
    <w:p w14:paraId="282D6678" w14:textId="77777777" w:rsidR="004462A0" w:rsidRPr="008912CF" w:rsidRDefault="00615769" w:rsidP="004462A0">
      <w:pPr>
        <w:rPr>
          <w:bCs/>
          <w:iCs/>
          <w:sz w:val="22"/>
          <w:szCs w:val="22"/>
        </w:rPr>
      </w:pPr>
      <w:r w:rsidRPr="008912CF">
        <w:rPr>
          <w:bCs/>
          <w:iCs/>
          <w:sz w:val="22"/>
          <w:szCs w:val="22"/>
        </w:rPr>
        <w:t xml:space="preserve">Uma terapêutica continuada deve ser cuidadosamente reconsiderada nos doentes que não responderam até à </w:t>
      </w:r>
      <w:r w:rsidR="003741D0">
        <w:rPr>
          <w:bCs/>
          <w:iCs/>
          <w:sz w:val="22"/>
          <w:szCs w:val="22"/>
        </w:rPr>
        <w:t>s</w:t>
      </w:r>
      <w:r w:rsidRPr="008912CF">
        <w:rPr>
          <w:bCs/>
          <w:iCs/>
          <w:sz w:val="22"/>
          <w:szCs w:val="22"/>
        </w:rPr>
        <w:t>emana 12.</w:t>
      </w:r>
    </w:p>
    <w:p w14:paraId="70C0D92A" w14:textId="77777777" w:rsidR="004462A0" w:rsidRPr="008912CF" w:rsidRDefault="004462A0" w:rsidP="004462A0">
      <w:pPr>
        <w:rPr>
          <w:sz w:val="22"/>
          <w:szCs w:val="22"/>
        </w:rPr>
      </w:pPr>
    </w:p>
    <w:p w14:paraId="31581CB7" w14:textId="77777777" w:rsidR="004462A0" w:rsidRPr="008912CF" w:rsidRDefault="00615769" w:rsidP="004462A0">
      <w:pPr>
        <w:rPr>
          <w:sz w:val="22"/>
          <w:szCs w:val="22"/>
        </w:rPr>
      </w:pPr>
      <w:r w:rsidRPr="008912CF">
        <w:rPr>
          <w:sz w:val="22"/>
          <w:szCs w:val="22"/>
        </w:rPr>
        <w:t>Não existe utilização relevante de Humira em crianças com menos de 6 anos, para esta</w:t>
      </w:r>
      <w:r w:rsidR="006B3477">
        <w:rPr>
          <w:sz w:val="22"/>
          <w:szCs w:val="22"/>
        </w:rPr>
        <w:t xml:space="preserve"> </w:t>
      </w:r>
      <w:r w:rsidRPr="008912CF">
        <w:rPr>
          <w:sz w:val="22"/>
          <w:szCs w:val="22"/>
        </w:rPr>
        <w:t>indicação.</w:t>
      </w:r>
    </w:p>
    <w:p w14:paraId="1C526715" w14:textId="77777777" w:rsidR="006B3477" w:rsidRDefault="006B3477" w:rsidP="006B3477">
      <w:pPr>
        <w:rPr>
          <w:bCs/>
          <w:iCs/>
          <w:sz w:val="22"/>
          <w:szCs w:val="22"/>
        </w:rPr>
      </w:pPr>
    </w:p>
    <w:p w14:paraId="204958DD" w14:textId="77777777" w:rsidR="00CB140F" w:rsidRPr="00395D60" w:rsidRDefault="00615769" w:rsidP="00CB140F">
      <w:pPr>
        <w:pStyle w:val="Default"/>
        <w:rPr>
          <w:sz w:val="22"/>
          <w:szCs w:val="22"/>
          <w:lang w:val="pt-PT"/>
        </w:rPr>
      </w:pPr>
      <w:r>
        <w:rPr>
          <w:sz w:val="22"/>
          <w:szCs w:val="22"/>
          <w:lang w:val="pt-PT"/>
        </w:rPr>
        <w:t>Humira pode estar</w:t>
      </w:r>
      <w:r w:rsidRPr="00395D60">
        <w:rPr>
          <w:sz w:val="22"/>
          <w:szCs w:val="22"/>
          <w:lang w:val="pt-PT"/>
        </w:rPr>
        <w:t xml:space="preserve"> disponível em outras dosagens e/ou apresentações dependendo das necessidades de cada doente.</w:t>
      </w:r>
    </w:p>
    <w:p w14:paraId="38E2CDA8" w14:textId="77777777" w:rsidR="00CB140F" w:rsidRPr="00AA7352" w:rsidRDefault="00CB140F" w:rsidP="006B3477">
      <w:pPr>
        <w:rPr>
          <w:bCs/>
          <w:iCs/>
          <w:sz w:val="22"/>
          <w:szCs w:val="22"/>
        </w:rPr>
      </w:pPr>
    </w:p>
    <w:p w14:paraId="6FF888C9" w14:textId="77777777" w:rsidR="005B6638" w:rsidRPr="00785885" w:rsidRDefault="00615769" w:rsidP="005B6638">
      <w:pPr>
        <w:rPr>
          <w:b/>
          <w:sz w:val="22"/>
          <w:szCs w:val="22"/>
        </w:rPr>
      </w:pPr>
      <w:r w:rsidRPr="00785885">
        <w:rPr>
          <w:i/>
          <w:sz w:val="22"/>
          <w:szCs w:val="22"/>
        </w:rPr>
        <w:t xml:space="preserve">Colite ulcerosa pediátrica </w:t>
      </w:r>
    </w:p>
    <w:p w14:paraId="2CA4704C" w14:textId="77777777" w:rsidR="005B6638" w:rsidRPr="00785885" w:rsidRDefault="005B6638" w:rsidP="005B6638">
      <w:pPr>
        <w:rPr>
          <w:sz w:val="22"/>
          <w:szCs w:val="22"/>
        </w:rPr>
      </w:pPr>
    </w:p>
    <w:p w14:paraId="3B74CF07" w14:textId="77777777" w:rsidR="005B6638" w:rsidRPr="005B6638" w:rsidRDefault="00615769" w:rsidP="005B6638">
      <w:pPr>
        <w:rPr>
          <w:sz w:val="22"/>
          <w:szCs w:val="22"/>
        </w:rPr>
      </w:pPr>
      <w:r w:rsidRPr="00785885">
        <w:rPr>
          <w:sz w:val="22"/>
          <w:szCs w:val="22"/>
        </w:rPr>
        <w:t xml:space="preserve">A dose recomendada de Humira em doentes com colite ulcerosa, com idades compreendidas entre os 6 e os 17 anos, é baseada no peso corporal (Tabela 5). </w:t>
      </w:r>
      <w:r w:rsidRPr="005B6638">
        <w:rPr>
          <w:sz w:val="22"/>
          <w:szCs w:val="22"/>
        </w:rPr>
        <w:t xml:space="preserve">Humira é administrado por injeção subcutânea. </w:t>
      </w:r>
    </w:p>
    <w:p w14:paraId="0B371AF6" w14:textId="77777777" w:rsidR="005B6638" w:rsidRPr="005B6638" w:rsidRDefault="005B6638" w:rsidP="005B6638">
      <w:pPr>
        <w:rPr>
          <w:sz w:val="22"/>
          <w:szCs w:val="22"/>
        </w:rPr>
      </w:pPr>
    </w:p>
    <w:p w14:paraId="5C11F38E" w14:textId="77777777" w:rsidR="002F486F" w:rsidRPr="00997376" w:rsidRDefault="00615769" w:rsidP="00B538F3">
      <w:pPr>
        <w:jc w:val="center"/>
        <w:rPr>
          <w:sz w:val="22"/>
          <w:szCs w:val="22"/>
        </w:rPr>
      </w:pPr>
      <w:r w:rsidRPr="005B6638">
        <w:rPr>
          <w:b/>
          <w:sz w:val="22"/>
          <w:szCs w:val="22"/>
        </w:rPr>
        <w:t xml:space="preserve">Tabela 5. </w:t>
      </w:r>
      <w:r w:rsidRPr="00997376">
        <w:rPr>
          <w:b/>
          <w:sz w:val="22"/>
          <w:szCs w:val="22"/>
        </w:rPr>
        <w:t xml:space="preserve">Dose de Humira em </w:t>
      </w:r>
      <w:r>
        <w:rPr>
          <w:b/>
          <w:sz w:val="22"/>
          <w:szCs w:val="22"/>
        </w:rPr>
        <w:t>D</w:t>
      </w:r>
      <w:r w:rsidRPr="00997376">
        <w:rPr>
          <w:b/>
          <w:sz w:val="22"/>
          <w:szCs w:val="22"/>
        </w:rPr>
        <w:t xml:space="preserve">oentes </w:t>
      </w:r>
      <w:r>
        <w:rPr>
          <w:b/>
          <w:sz w:val="22"/>
          <w:szCs w:val="22"/>
        </w:rPr>
        <w:t>P</w:t>
      </w:r>
      <w:r w:rsidRPr="00997376">
        <w:rPr>
          <w:b/>
          <w:sz w:val="22"/>
          <w:szCs w:val="22"/>
        </w:rPr>
        <w:t xml:space="preserve">ediátricos com </w:t>
      </w:r>
      <w:r>
        <w:rPr>
          <w:b/>
          <w:sz w:val="22"/>
          <w:szCs w:val="22"/>
        </w:rPr>
        <w:t>C</w:t>
      </w:r>
      <w:r w:rsidRPr="00997376">
        <w:rPr>
          <w:b/>
          <w:sz w:val="22"/>
          <w:szCs w:val="22"/>
        </w:rPr>
        <w:t xml:space="preserve">olite </w:t>
      </w:r>
      <w:r>
        <w:rPr>
          <w:b/>
          <w:sz w:val="22"/>
          <w:szCs w:val="22"/>
        </w:rPr>
        <w:t>U</w:t>
      </w:r>
      <w:r w:rsidRPr="00997376">
        <w:rPr>
          <w:b/>
          <w:sz w:val="22"/>
          <w:szCs w:val="22"/>
        </w:rPr>
        <w:t xml:space="preserve">lcerosa </w:t>
      </w: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4"/>
        <w:gridCol w:w="3716"/>
        <w:gridCol w:w="2764"/>
      </w:tblGrid>
      <w:tr w:rsidR="00A7162A" w14:paraId="4901E9C4" w14:textId="77777777" w:rsidTr="00B538F3">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7B98486" w14:textId="77777777" w:rsidR="002F486F" w:rsidRPr="00997376" w:rsidRDefault="00615769" w:rsidP="00B538F3">
            <w:pPr>
              <w:jc w:val="center"/>
              <w:rPr>
                <w:b/>
                <w:sz w:val="22"/>
                <w:szCs w:val="22"/>
                <w:lang w:val="en-US"/>
              </w:rPr>
            </w:pPr>
            <w:r w:rsidRPr="00785885">
              <w:rPr>
                <w:b/>
                <w:sz w:val="22"/>
                <w:szCs w:val="22"/>
                <w:lang w:val="en-US"/>
              </w:rPr>
              <w:t xml:space="preserve">Peso do </w:t>
            </w:r>
            <w:r>
              <w:rPr>
                <w:b/>
                <w:sz w:val="22"/>
                <w:szCs w:val="22"/>
                <w:lang w:val="en-US"/>
              </w:rPr>
              <w:t>D</w:t>
            </w:r>
            <w:r w:rsidRPr="00785885">
              <w:rPr>
                <w:b/>
                <w:sz w:val="22"/>
                <w:szCs w:val="22"/>
                <w:lang w:val="en-US"/>
              </w:rPr>
              <w:t>oente</w:t>
            </w:r>
          </w:p>
        </w:tc>
        <w:tc>
          <w:tcPr>
            <w:tcW w:w="2243" w:type="pct"/>
            <w:tcBorders>
              <w:top w:val="single" w:sz="6" w:space="0" w:color="000000"/>
              <w:left w:val="single" w:sz="6" w:space="0" w:color="000000"/>
              <w:bottom w:val="single" w:sz="6" w:space="0" w:color="000000"/>
              <w:right w:val="single" w:sz="6" w:space="0" w:color="000000"/>
            </w:tcBorders>
            <w:vAlign w:val="center"/>
            <w:hideMark/>
          </w:tcPr>
          <w:p w14:paraId="631DDEC5" w14:textId="77777777" w:rsidR="002F486F" w:rsidRPr="00997376" w:rsidRDefault="00615769" w:rsidP="00B538F3">
            <w:pPr>
              <w:jc w:val="center"/>
              <w:rPr>
                <w:b/>
                <w:sz w:val="22"/>
                <w:szCs w:val="22"/>
                <w:lang w:val="en-US"/>
              </w:rPr>
            </w:pPr>
            <w:r w:rsidRPr="00785885">
              <w:rPr>
                <w:b/>
                <w:sz w:val="22"/>
                <w:szCs w:val="22"/>
                <w:lang w:val="en-US"/>
              </w:rPr>
              <w:t xml:space="preserve">Dose de </w:t>
            </w:r>
            <w:r>
              <w:rPr>
                <w:b/>
                <w:sz w:val="22"/>
                <w:szCs w:val="22"/>
                <w:lang w:val="en-US"/>
              </w:rPr>
              <w:t>I</w:t>
            </w:r>
            <w:r w:rsidRPr="00785885">
              <w:rPr>
                <w:b/>
                <w:sz w:val="22"/>
                <w:szCs w:val="22"/>
                <w:lang w:val="en-US"/>
              </w:rPr>
              <w:t>ndução</w:t>
            </w:r>
          </w:p>
        </w:tc>
        <w:tc>
          <w:tcPr>
            <w:tcW w:w="1668" w:type="pct"/>
            <w:tcBorders>
              <w:top w:val="single" w:sz="6" w:space="0" w:color="000000"/>
              <w:left w:val="single" w:sz="6" w:space="0" w:color="000000"/>
              <w:bottom w:val="single" w:sz="6" w:space="0" w:color="000000"/>
              <w:right w:val="single" w:sz="6" w:space="0" w:color="000000"/>
            </w:tcBorders>
            <w:hideMark/>
          </w:tcPr>
          <w:p w14:paraId="0BF82075" w14:textId="77777777" w:rsidR="002F486F" w:rsidRPr="00997376" w:rsidRDefault="00615769" w:rsidP="00B538F3">
            <w:pPr>
              <w:jc w:val="center"/>
              <w:rPr>
                <w:b/>
                <w:sz w:val="22"/>
                <w:szCs w:val="22"/>
              </w:rPr>
            </w:pPr>
            <w:r w:rsidRPr="00997376">
              <w:rPr>
                <w:b/>
                <w:sz w:val="22"/>
                <w:szCs w:val="22"/>
              </w:rPr>
              <w:t xml:space="preserve">Dose de </w:t>
            </w:r>
            <w:r>
              <w:rPr>
                <w:b/>
                <w:sz w:val="22"/>
                <w:szCs w:val="22"/>
              </w:rPr>
              <w:t>M</w:t>
            </w:r>
            <w:r w:rsidRPr="00997376">
              <w:rPr>
                <w:b/>
                <w:sz w:val="22"/>
                <w:szCs w:val="22"/>
              </w:rPr>
              <w:t>anutenção</w:t>
            </w:r>
            <w:r w:rsidRPr="00785885">
              <w:rPr>
                <w:b/>
              </w:rPr>
              <w:br/>
            </w:r>
            <w:r w:rsidRPr="00997376">
              <w:rPr>
                <w:b/>
                <w:sz w:val="22"/>
                <w:szCs w:val="22"/>
              </w:rPr>
              <w:t xml:space="preserve">com </w:t>
            </w:r>
            <w:r>
              <w:rPr>
                <w:b/>
                <w:sz w:val="22"/>
                <w:szCs w:val="22"/>
              </w:rPr>
              <w:t>I</w:t>
            </w:r>
            <w:r w:rsidRPr="00997376">
              <w:rPr>
                <w:b/>
                <w:sz w:val="22"/>
                <w:szCs w:val="22"/>
              </w:rPr>
              <w:t>nício na Semana 4*</w:t>
            </w:r>
          </w:p>
        </w:tc>
      </w:tr>
      <w:tr w:rsidR="00A7162A" w14:paraId="1ABB072A" w14:textId="77777777" w:rsidTr="00B538F3">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6971E60F" w14:textId="77777777" w:rsidR="002F486F" w:rsidRPr="00997376" w:rsidRDefault="00615769" w:rsidP="00B538F3">
            <w:pPr>
              <w:jc w:val="center"/>
              <w:rPr>
                <w:sz w:val="22"/>
                <w:szCs w:val="22"/>
                <w:lang w:val="en-US"/>
              </w:rPr>
            </w:pPr>
            <w:r w:rsidRPr="00785885">
              <w:rPr>
                <w:sz w:val="22"/>
                <w:szCs w:val="22"/>
                <w:lang w:val="en-US"/>
              </w:rPr>
              <w:t>&lt; 40 kg</w:t>
            </w:r>
          </w:p>
        </w:tc>
        <w:tc>
          <w:tcPr>
            <w:tcW w:w="2243" w:type="pct"/>
            <w:tcBorders>
              <w:top w:val="single" w:sz="6" w:space="0" w:color="000000"/>
              <w:left w:val="single" w:sz="6" w:space="0" w:color="000000"/>
              <w:bottom w:val="single" w:sz="6" w:space="0" w:color="000000"/>
              <w:right w:val="single" w:sz="6" w:space="0" w:color="000000"/>
            </w:tcBorders>
            <w:hideMark/>
          </w:tcPr>
          <w:p w14:paraId="5193AFD4" w14:textId="77777777" w:rsidR="002F486F" w:rsidRPr="00997376" w:rsidRDefault="00615769" w:rsidP="00B538F3">
            <w:pPr>
              <w:numPr>
                <w:ilvl w:val="0"/>
                <w:numId w:val="179"/>
              </w:numPr>
              <w:ind w:left="360" w:hanging="210"/>
              <w:rPr>
                <w:sz w:val="22"/>
                <w:szCs w:val="22"/>
              </w:rPr>
            </w:pPr>
            <w:r w:rsidRPr="00997376">
              <w:rPr>
                <w:sz w:val="22"/>
                <w:szCs w:val="22"/>
              </w:rPr>
              <w:t xml:space="preserve">80 mg na Semana 0 (administrada em duas injeções de 40 mg num dia) </w:t>
            </w:r>
            <w:r>
              <w:rPr>
                <w:sz w:val="22"/>
                <w:szCs w:val="22"/>
              </w:rPr>
              <w:t>e</w:t>
            </w:r>
          </w:p>
          <w:p w14:paraId="29CD44D0" w14:textId="77777777" w:rsidR="002F486F" w:rsidRPr="00997376" w:rsidRDefault="00615769" w:rsidP="00B538F3">
            <w:pPr>
              <w:numPr>
                <w:ilvl w:val="0"/>
                <w:numId w:val="179"/>
              </w:numPr>
              <w:ind w:left="360" w:hanging="210"/>
              <w:rPr>
                <w:sz w:val="22"/>
                <w:szCs w:val="22"/>
              </w:rPr>
            </w:pPr>
            <w:r w:rsidRPr="00997376">
              <w:rPr>
                <w:sz w:val="22"/>
                <w:szCs w:val="22"/>
              </w:rPr>
              <w:t>40 mg na Semana 2 (administrada numa injeção de 40 mg)</w:t>
            </w:r>
          </w:p>
        </w:tc>
        <w:tc>
          <w:tcPr>
            <w:tcW w:w="1668" w:type="pct"/>
            <w:tcBorders>
              <w:top w:val="single" w:sz="6" w:space="0" w:color="000000"/>
              <w:left w:val="single" w:sz="6" w:space="0" w:color="000000"/>
              <w:bottom w:val="single" w:sz="6" w:space="0" w:color="000000"/>
              <w:right w:val="single" w:sz="6" w:space="0" w:color="000000"/>
            </w:tcBorders>
            <w:hideMark/>
          </w:tcPr>
          <w:p w14:paraId="42D5AF83" w14:textId="77777777" w:rsidR="002F486F" w:rsidRPr="00997376" w:rsidRDefault="00615769" w:rsidP="00B538F3">
            <w:pPr>
              <w:numPr>
                <w:ilvl w:val="0"/>
                <w:numId w:val="179"/>
              </w:numPr>
              <w:ind w:left="360" w:hanging="210"/>
              <w:rPr>
                <w:sz w:val="22"/>
                <w:szCs w:val="22"/>
              </w:rPr>
            </w:pPr>
            <w:r w:rsidRPr="00997376">
              <w:rPr>
                <w:sz w:val="22"/>
                <w:szCs w:val="22"/>
                <w:lang w:val="en-US"/>
              </w:rPr>
              <w:t>40 mg em semanas alternadas</w:t>
            </w:r>
          </w:p>
        </w:tc>
      </w:tr>
      <w:tr w:rsidR="00A7162A" w14:paraId="4925BEEA" w14:textId="77777777" w:rsidTr="00B538F3">
        <w:trPr>
          <w:jc w:val="center"/>
        </w:trPr>
        <w:tc>
          <w:tcPr>
            <w:tcW w:w="0" w:type="auto"/>
            <w:tcBorders>
              <w:top w:val="single" w:sz="6" w:space="0" w:color="000000"/>
              <w:left w:val="single" w:sz="6" w:space="0" w:color="000000"/>
              <w:bottom w:val="single" w:sz="4" w:space="0" w:color="auto"/>
              <w:right w:val="single" w:sz="6" w:space="0" w:color="000000"/>
            </w:tcBorders>
            <w:hideMark/>
          </w:tcPr>
          <w:p w14:paraId="140E902E" w14:textId="77777777" w:rsidR="002F486F" w:rsidRPr="00997376" w:rsidRDefault="00615769" w:rsidP="00B538F3">
            <w:pPr>
              <w:jc w:val="center"/>
              <w:rPr>
                <w:sz w:val="22"/>
                <w:szCs w:val="22"/>
              </w:rPr>
            </w:pPr>
            <w:r w:rsidRPr="00997376">
              <w:rPr>
                <w:sz w:val="22"/>
                <w:szCs w:val="22"/>
              </w:rPr>
              <w:t>≥ 40 kg</w:t>
            </w:r>
          </w:p>
        </w:tc>
        <w:tc>
          <w:tcPr>
            <w:tcW w:w="2243" w:type="pct"/>
            <w:tcBorders>
              <w:top w:val="single" w:sz="6" w:space="0" w:color="000000"/>
              <w:left w:val="single" w:sz="6" w:space="0" w:color="000000"/>
              <w:bottom w:val="single" w:sz="4" w:space="0" w:color="auto"/>
              <w:right w:val="single" w:sz="6" w:space="0" w:color="000000"/>
            </w:tcBorders>
            <w:hideMark/>
          </w:tcPr>
          <w:p w14:paraId="0DBDF7DA" w14:textId="77777777" w:rsidR="002F486F" w:rsidRPr="00997376" w:rsidRDefault="00615769" w:rsidP="00B538F3">
            <w:pPr>
              <w:numPr>
                <w:ilvl w:val="0"/>
                <w:numId w:val="180"/>
              </w:numPr>
              <w:ind w:left="360" w:hanging="210"/>
              <w:rPr>
                <w:sz w:val="22"/>
                <w:szCs w:val="22"/>
              </w:rPr>
            </w:pPr>
            <w:r w:rsidRPr="00997376">
              <w:rPr>
                <w:sz w:val="22"/>
                <w:szCs w:val="22"/>
              </w:rPr>
              <w:t>160 mg na Semana 0 (administrada em quatro injeções de 40 mg num dia ou duas injeções de 40 mg por dia, em dois dias consecutivos) e</w:t>
            </w:r>
          </w:p>
          <w:p w14:paraId="4BDA1014" w14:textId="77777777" w:rsidR="002F486F" w:rsidRPr="00997376" w:rsidRDefault="00615769" w:rsidP="00B538F3">
            <w:pPr>
              <w:numPr>
                <w:ilvl w:val="0"/>
                <w:numId w:val="180"/>
              </w:numPr>
              <w:ind w:left="360" w:hanging="210"/>
              <w:rPr>
                <w:sz w:val="22"/>
                <w:szCs w:val="22"/>
              </w:rPr>
            </w:pPr>
            <w:r w:rsidRPr="00997376">
              <w:rPr>
                <w:sz w:val="22"/>
                <w:szCs w:val="22"/>
              </w:rPr>
              <w:t>80 mg na Semana 2 (administrada em duas injeções de 40 mg num dia)</w:t>
            </w:r>
          </w:p>
        </w:tc>
        <w:tc>
          <w:tcPr>
            <w:tcW w:w="1668" w:type="pct"/>
            <w:tcBorders>
              <w:top w:val="single" w:sz="6" w:space="0" w:color="000000"/>
              <w:left w:val="single" w:sz="6" w:space="0" w:color="000000"/>
              <w:bottom w:val="single" w:sz="4" w:space="0" w:color="auto"/>
              <w:right w:val="single" w:sz="6" w:space="0" w:color="000000"/>
            </w:tcBorders>
            <w:hideMark/>
          </w:tcPr>
          <w:p w14:paraId="07A7BDB7" w14:textId="77777777" w:rsidR="002F486F" w:rsidRPr="00997376" w:rsidRDefault="00615769" w:rsidP="00B538F3">
            <w:pPr>
              <w:numPr>
                <w:ilvl w:val="0"/>
                <w:numId w:val="179"/>
              </w:numPr>
              <w:ind w:left="360" w:hanging="210"/>
              <w:rPr>
                <w:sz w:val="22"/>
                <w:szCs w:val="22"/>
              </w:rPr>
            </w:pPr>
            <w:r>
              <w:rPr>
                <w:sz w:val="22"/>
                <w:szCs w:val="22"/>
              </w:rPr>
              <w:t>80 </w:t>
            </w:r>
            <w:r w:rsidRPr="00997376">
              <w:rPr>
                <w:sz w:val="22"/>
                <w:szCs w:val="22"/>
                <w:lang w:val="en-US"/>
              </w:rPr>
              <w:t>mg em semanas alternadas</w:t>
            </w:r>
          </w:p>
        </w:tc>
      </w:tr>
      <w:tr w:rsidR="00A7162A" w14:paraId="28CBC8E4" w14:textId="77777777" w:rsidTr="002F486F">
        <w:trPr>
          <w:jc w:val="center"/>
        </w:trPr>
        <w:tc>
          <w:tcPr>
            <w:tcW w:w="5000" w:type="pct"/>
            <w:gridSpan w:val="3"/>
            <w:tcBorders>
              <w:top w:val="single" w:sz="4" w:space="0" w:color="auto"/>
              <w:left w:val="nil"/>
              <w:bottom w:val="nil"/>
              <w:right w:val="nil"/>
            </w:tcBorders>
          </w:tcPr>
          <w:p w14:paraId="481A0201" w14:textId="77777777" w:rsidR="002F486F" w:rsidRPr="00997376" w:rsidRDefault="00615769" w:rsidP="00B538F3">
            <w:pPr>
              <w:rPr>
                <w:sz w:val="22"/>
                <w:szCs w:val="22"/>
              </w:rPr>
            </w:pPr>
            <w:r w:rsidRPr="00997376">
              <w:rPr>
                <w:sz w:val="22"/>
                <w:szCs w:val="22"/>
                <w:vertAlign w:val="superscript"/>
              </w:rPr>
              <w:t xml:space="preserve">* </w:t>
            </w:r>
            <w:r w:rsidRPr="00997376">
              <w:rPr>
                <w:sz w:val="22"/>
                <w:szCs w:val="22"/>
              </w:rPr>
              <w:t>Os doentes pediátricos que completem 18 anos durante o tratamento com Humira devem continuar com a dose de manutenção prescrita.</w:t>
            </w:r>
          </w:p>
        </w:tc>
      </w:tr>
    </w:tbl>
    <w:p w14:paraId="2CE69537" w14:textId="77777777" w:rsidR="00016166" w:rsidRDefault="00016166" w:rsidP="005B6638">
      <w:pPr>
        <w:rPr>
          <w:sz w:val="22"/>
          <w:szCs w:val="22"/>
        </w:rPr>
      </w:pPr>
    </w:p>
    <w:p w14:paraId="24F73646" w14:textId="77777777" w:rsidR="005B6638" w:rsidRPr="00997376" w:rsidRDefault="00615769" w:rsidP="005B6638">
      <w:pPr>
        <w:rPr>
          <w:sz w:val="22"/>
          <w:szCs w:val="22"/>
        </w:rPr>
      </w:pPr>
      <w:r w:rsidRPr="00997376">
        <w:rPr>
          <w:sz w:val="22"/>
          <w:szCs w:val="22"/>
        </w:rPr>
        <w:t>Uma terapêutica continuada</w:t>
      </w:r>
      <w:r w:rsidR="00A56D1E">
        <w:rPr>
          <w:sz w:val="22"/>
          <w:szCs w:val="22"/>
        </w:rPr>
        <w:t xml:space="preserve"> para</w:t>
      </w:r>
      <w:r w:rsidRPr="00997376">
        <w:rPr>
          <w:sz w:val="22"/>
          <w:szCs w:val="22"/>
        </w:rPr>
        <w:t xml:space="preserve"> além das 8 semanas deve ser cuidadosamente considerada nos doentes que não apresentem sinais de resposta neste período de tempo.</w:t>
      </w:r>
    </w:p>
    <w:p w14:paraId="3AE9E65C" w14:textId="77777777" w:rsidR="005B6638" w:rsidRPr="00997376" w:rsidRDefault="005B6638" w:rsidP="005B6638">
      <w:pPr>
        <w:rPr>
          <w:sz w:val="22"/>
          <w:szCs w:val="22"/>
        </w:rPr>
      </w:pPr>
    </w:p>
    <w:p w14:paraId="3A37237A" w14:textId="77777777" w:rsidR="005B6638" w:rsidRPr="00997376" w:rsidRDefault="00615769" w:rsidP="005B6638">
      <w:pPr>
        <w:rPr>
          <w:sz w:val="22"/>
          <w:szCs w:val="22"/>
        </w:rPr>
      </w:pPr>
      <w:r w:rsidRPr="00997376">
        <w:rPr>
          <w:sz w:val="22"/>
          <w:szCs w:val="22"/>
        </w:rPr>
        <w:t>Não existe utilização relevante de Humira em crianças com menos de 6 anos, para esta indicação.</w:t>
      </w:r>
    </w:p>
    <w:p w14:paraId="7058C0CE" w14:textId="77777777" w:rsidR="005B6638" w:rsidRPr="00997376" w:rsidRDefault="005B6638" w:rsidP="005B6638">
      <w:pPr>
        <w:rPr>
          <w:sz w:val="22"/>
          <w:szCs w:val="22"/>
        </w:rPr>
      </w:pPr>
    </w:p>
    <w:p w14:paraId="17E9959A" w14:textId="77777777" w:rsidR="005B6638" w:rsidRDefault="00615769" w:rsidP="005B6638">
      <w:pPr>
        <w:rPr>
          <w:sz w:val="22"/>
          <w:szCs w:val="22"/>
        </w:rPr>
      </w:pPr>
      <w:r w:rsidRPr="00997376">
        <w:rPr>
          <w:sz w:val="22"/>
          <w:szCs w:val="22"/>
        </w:rPr>
        <w:t>Humira pode estar disponível em outras dosagens e/ou apresentações dependendo das necessidades de cada doente. </w:t>
      </w:r>
    </w:p>
    <w:p w14:paraId="771CE4AC" w14:textId="77777777" w:rsidR="005B6638" w:rsidRPr="00997376" w:rsidRDefault="005B6638" w:rsidP="005B6638">
      <w:pPr>
        <w:rPr>
          <w:sz w:val="22"/>
          <w:szCs w:val="22"/>
        </w:rPr>
      </w:pPr>
    </w:p>
    <w:p w14:paraId="2A7D8F60" w14:textId="77777777" w:rsidR="006B3477" w:rsidRPr="00034BDE" w:rsidRDefault="00615769" w:rsidP="006B3477">
      <w:pPr>
        <w:rPr>
          <w:bCs/>
          <w:i/>
          <w:iCs/>
          <w:sz w:val="22"/>
          <w:szCs w:val="22"/>
        </w:rPr>
      </w:pPr>
      <w:r w:rsidRPr="00034BDE">
        <w:rPr>
          <w:bCs/>
          <w:i/>
          <w:iCs/>
          <w:sz w:val="22"/>
          <w:szCs w:val="22"/>
        </w:rPr>
        <w:t xml:space="preserve">Uveíte </w:t>
      </w:r>
      <w:r w:rsidR="008A40F5">
        <w:rPr>
          <w:bCs/>
          <w:i/>
          <w:iCs/>
          <w:sz w:val="22"/>
          <w:szCs w:val="22"/>
        </w:rPr>
        <w:t>p</w:t>
      </w:r>
      <w:r w:rsidRPr="00034BDE">
        <w:rPr>
          <w:bCs/>
          <w:i/>
          <w:iCs/>
          <w:sz w:val="22"/>
          <w:szCs w:val="22"/>
        </w:rPr>
        <w:t>ediátrica</w:t>
      </w:r>
    </w:p>
    <w:p w14:paraId="2DF21724" w14:textId="77777777" w:rsidR="006B3477" w:rsidRDefault="006B3477" w:rsidP="006B3477">
      <w:pPr>
        <w:rPr>
          <w:bCs/>
          <w:iCs/>
          <w:sz w:val="22"/>
          <w:szCs w:val="22"/>
        </w:rPr>
      </w:pPr>
    </w:p>
    <w:p w14:paraId="3B6E7B92" w14:textId="77777777" w:rsidR="00141394" w:rsidRPr="008912CF" w:rsidRDefault="00615769" w:rsidP="00141394">
      <w:pPr>
        <w:pStyle w:val="BodyText2"/>
        <w:autoSpaceDE/>
        <w:autoSpaceDN/>
        <w:adjustRightInd/>
        <w:rPr>
          <w:b/>
          <w:szCs w:val="22"/>
        </w:rPr>
      </w:pPr>
      <w:r w:rsidRPr="008912CF">
        <w:rPr>
          <w:szCs w:val="22"/>
        </w:rPr>
        <w:t xml:space="preserve">A dose recomendada de Humira </w:t>
      </w:r>
      <w:r w:rsidR="00E876B5">
        <w:rPr>
          <w:szCs w:val="22"/>
        </w:rPr>
        <w:t xml:space="preserve">em </w:t>
      </w:r>
      <w:r w:rsidRPr="008912CF">
        <w:rPr>
          <w:szCs w:val="22"/>
        </w:rPr>
        <w:t xml:space="preserve">doentes com </w:t>
      </w:r>
      <w:r>
        <w:rPr>
          <w:szCs w:val="22"/>
        </w:rPr>
        <w:t>uveíte pediátrica,</w:t>
      </w:r>
      <w:r w:rsidRPr="000550F3">
        <w:rPr>
          <w:szCs w:val="22"/>
        </w:rPr>
        <w:t xml:space="preserve"> </w:t>
      </w:r>
      <w:r>
        <w:rPr>
          <w:szCs w:val="22"/>
        </w:rPr>
        <w:t xml:space="preserve">a partir dos 2 anos de idade, </w:t>
      </w:r>
      <w:r w:rsidRPr="008912CF">
        <w:rPr>
          <w:szCs w:val="22"/>
        </w:rPr>
        <w:t xml:space="preserve">é </w:t>
      </w:r>
      <w:r>
        <w:rPr>
          <w:szCs w:val="22"/>
        </w:rPr>
        <w:t xml:space="preserve">baseada no peso corporal (Tabela </w:t>
      </w:r>
      <w:r w:rsidR="005B6638">
        <w:rPr>
          <w:szCs w:val="22"/>
        </w:rPr>
        <w:t>6</w:t>
      </w:r>
      <w:r>
        <w:rPr>
          <w:szCs w:val="22"/>
        </w:rPr>
        <w:t xml:space="preserve">). </w:t>
      </w:r>
      <w:r w:rsidR="006B04AC">
        <w:rPr>
          <w:szCs w:val="22"/>
        </w:rPr>
        <w:t>Humira é administrado por injeção subcutânea.</w:t>
      </w:r>
    </w:p>
    <w:p w14:paraId="1887726C" w14:textId="77777777" w:rsidR="00141394" w:rsidRDefault="00141394" w:rsidP="006B3477">
      <w:pPr>
        <w:rPr>
          <w:bCs/>
          <w:iCs/>
          <w:sz w:val="22"/>
          <w:szCs w:val="22"/>
        </w:rPr>
      </w:pPr>
    </w:p>
    <w:p w14:paraId="1F3D5FAB" w14:textId="77777777" w:rsidR="006B3477" w:rsidRDefault="00615769" w:rsidP="006B3477">
      <w:pPr>
        <w:rPr>
          <w:bCs/>
          <w:iCs/>
          <w:sz w:val="22"/>
          <w:szCs w:val="22"/>
        </w:rPr>
      </w:pPr>
      <w:r>
        <w:rPr>
          <w:bCs/>
          <w:iCs/>
          <w:sz w:val="22"/>
          <w:szCs w:val="22"/>
        </w:rPr>
        <w:t>Na uveíte pediátrica, não existe experiência de utilização de Humira sem tratamento concomitante com metotrexato.</w:t>
      </w:r>
    </w:p>
    <w:p w14:paraId="108BF313" w14:textId="77777777" w:rsidR="006B3477" w:rsidRDefault="006B3477" w:rsidP="006B3477">
      <w:pPr>
        <w:rPr>
          <w:bCs/>
          <w:iCs/>
          <w:sz w:val="22"/>
          <w:szCs w:val="22"/>
        </w:rPr>
      </w:pPr>
    </w:p>
    <w:p w14:paraId="63F8CC1C" w14:textId="77777777" w:rsidR="00141394" w:rsidRPr="008912CF" w:rsidRDefault="00615769" w:rsidP="00141394">
      <w:pPr>
        <w:pStyle w:val="BodyText2"/>
        <w:autoSpaceDE/>
        <w:autoSpaceDN/>
        <w:adjustRightInd/>
        <w:jc w:val="center"/>
        <w:rPr>
          <w:b/>
          <w:szCs w:val="22"/>
        </w:rPr>
      </w:pPr>
      <w:r w:rsidRPr="008912CF">
        <w:rPr>
          <w:b/>
          <w:szCs w:val="22"/>
        </w:rPr>
        <w:t xml:space="preserve">Tabela </w:t>
      </w:r>
      <w:r w:rsidR="005B6638">
        <w:rPr>
          <w:b/>
          <w:szCs w:val="22"/>
        </w:rPr>
        <w:t>6</w:t>
      </w:r>
      <w:r w:rsidRPr="008912CF">
        <w:rPr>
          <w:b/>
          <w:szCs w:val="22"/>
        </w:rPr>
        <w:t xml:space="preserve">. Dose de Humira </w:t>
      </w:r>
      <w:r w:rsidR="00E876B5">
        <w:rPr>
          <w:b/>
          <w:szCs w:val="22"/>
        </w:rPr>
        <w:t>em</w:t>
      </w:r>
      <w:r w:rsidRPr="008912CF">
        <w:rPr>
          <w:b/>
          <w:szCs w:val="22"/>
        </w:rPr>
        <w:t xml:space="preserve"> Doentes</w:t>
      </w:r>
      <w:r w:rsidR="00E7252B">
        <w:rPr>
          <w:b/>
          <w:szCs w:val="22"/>
        </w:rPr>
        <w:t xml:space="preserve"> Pediátricos</w:t>
      </w:r>
      <w:r w:rsidRPr="008912CF">
        <w:rPr>
          <w:b/>
          <w:szCs w:val="22"/>
        </w:rPr>
        <w:t xml:space="preserve"> com </w:t>
      </w:r>
      <w:r>
        <w:rPr>
          <w:b/>
          <w:szCs w:val="22"/>
        </w:rPr>
        <w:t>Uveíte</w:t>
      </w:r>
      <w:r w:rsidRPr="008912CF">
        <w:rPr>
          <w:b/>
          <w:szCs w:val="22"/>
        </w:rPr>
        <w:t xml:space="preserve"> </w:t>
      </w:r>
    </w:p>
    <w:p w14:paraId="5ABB2E74" w14:textId="77777777" w:rsidR="00141394" w:rsidRPr="008912CF" w:rsidRDefault="00141394" w:rsidP="00141394">
      <w:pPr>
        <w:rPr>
          <w:sz w:val="22"/>
          <w:szCs w:val="22"/>
        </w:rPr>
      </w:pPr>
    </w:p>
    <w:tbl>
      <w:tblPr>
        <w:tblW w:w="6795" w:type="dxa"/>
        <w:jc w:val="center"/>
        <w:tblLayout w:type="fixed"/>
        <w:tblLook w:val="0000" w:firstRow="0" w:lastRow="0" w:firstColumn="0" w:lastColumn="0" w:noHBand="0" w:noVBand="0"/>
      </w:tblPr>
      <w:tblGrid>
        <w:gridCol w:w="3401"/>
        <w:gridCol w:w="3394"/>
      </w:tblGrid>
      <w:tr w:rsidR="00A7162A" w14:paraId="0D334D1A" w14:textId="77777777" w:rsidTr="00E60C95">
        <w:trPr>
          <w:tblHeader/>
          <w:jc w:val="center"/>
        </w:trPr>
        <w:tc>
          <w:tcPr>
            <w:tcW w:w="3401" w:type="dxa"/>
            <w:tcBorders>
              <w:top w:val="single" w:sz="4" w:space="0" w:color="auto"/>
              <w:bottom w:val="single" w:sz="4" w:space="0" w:color="auto"/>
            </w:tcBorders>
          </w:tcPr>
          <w:p w14:paraId="59F201A3" w14:textId="77777777" w:rsidR="00141394" w:rsidRPr="0007777F" w:rsidRDefault="00615769" w:rsidP="00E60C95">
            <w:pPr>
              <w:keepNext/>
              <w:spacing w:before="40" w:after="40" w:line="240" w:lineRule="exact"/>
              <w:jc w:val="center"/>
              <w:rPr>
                <w:rFonts w:eastAsia="Calibri"/>
                <w:b/>
                <w:sz w:val="22"/>
                <w:szCs w:val="22"/>
                <w:lang w:val="en-US" w:eastAsia="ja-JP"/>
              </w:rPr>
            </w:pPr>
            <w:r>
              <w:rPr>
                <w:rFonts w:eastAsia="Calibri"/>
                <w:b/>
                <w:sz w:val="22"/>
                <w:szCs w:val="22"/>
                <w:lang w:val="en-US" w:eastAsia="ja-JP"/>
              </w:rPr>
              <w:t>Peso do Doente</w:t>
            </w:r>
          </w:p>
        </w:tc>
        <w:tc>
          <w:tcPr>
            <w:tcW w:w="3394" w:type="dxa"/>
            <w:tcBorders>
              <w:top w:val="single" w:sz="4" w:space="0" w:color="auto"/>
              <w:bottom w:val="single" w:sz="4" w:space="0" w:color="auto"/>
            </w:tcBorders>
          </w:tcPr>
          <w:p w14:paraId="3435C0D4" w14:textId="77777777" w:rsidR="00141394" w:rsidRPr="0007777F" w:rsidRDefault="00615769">
            <w:pPr>
              <w:keepNext/>
              <w:spacing w:before="40" w:after="40" w:line="240" w:lineRule="exact"/>
              <w:jc w:val="center"/>
              <w:rPr>
                <w:rFonts w:eastAsia="Calibri"/>
                <w:b/>
                <w:sz w:val="22"/>
                <w:szCs w:val="22"/>
                <w:lang w:val="en-US" w:eastAsia="ja-JP"/>
              </w:rPr>
            </w:pPr>
            <w:r>
              <w:rPr>
                <w:rFonts w:eastAsia="Calibri"/>
                <w:b/>
                <w:sz w:val="22"/>
                <w:szCs w:val="22"/>
                <w:lang w:val="en-US" w:eastAsia="ja-JP"/>
              </w:rPr>
              <w:t xml:space="preserve">Regime </w:t>
            </w:r>
            <w:r w:rsidR="00C00E3F">
              <w:rPr>
                <w:rFonts w:eastAsia="Calibri"/>
                <w:b/>
                <w:sz w:val="22"/>
                <w:szCs w:val="22"/>
                <w:lang w:val="en-US" w:eastAsia="ja-JP"/>
              </w:rPr>
              <w:t xml:space="preserve">Posológico </w:t>
            </w:r>
          </w:p>
        </w:tc>
      </w:tr>
      <w:tr w:rsidR="00A7162A" w14:paraId="1F23EDD3" w14:textId="77777777" w:rsidTr="00E60C95">
        <w:trPr>
          <w:tblHeader/>
          <w:jc w:val="center"/>
        </w:trPr>
        <w:tc>
          <w:tcPr>
            <w:tcW w:w="3401" w:type="dxa"/>
            <w:tcBorders>
              <w:top w:val="single" w:sz="4" w:space="0" w:color="auto"/>
              <w:bottom w:val="single" w:sz="4" w:space="0" w:color="auto"/>
            </w:tcBorders>
          </w:tcPr>
          <w:p w14:paraId="042187E2" w14:textId="77777777" w:rsidR="00141394" w:rsidRPr="0007777F" w:rsidRDefault="00615769" w:rsidP="00E60C95">
            <w:pPr>
              <w:keepNext/>
              <w:spacing w:before="40" w:after="40" w:line="240" w:lineRule="exact"/>
              <w:jc w:val="center"/>
              <w:rPr>
                <w:rFonts w:eastAsia="Calibri"/>
                <w:b/>
                <w:sz w:val="22"/>
                <w:szCs w:val="22"/>
                <w:lang w:val="en-US" w:eastAsia="ja-JP"/>
              </w:rPr>
            </w:pPr>
            <w:r w:rsidRPr="0007777F">
              <w:rPr>
                <w:rFonts w:eastAsia="Calibri"/>
                <w:sz w:val="22"/>
                <w:szCs w:val="22"/>
                <w:lang w:val="en-US" w:eastAsia="ja-JP"/>
              </w:rPr>
              <w:t>&lt; 30 kg</w:t>
            </w:r>
          </w:p>
        </w:tc>
        <w:tc>
          <w:tcPr>
            <w:tcW w:w="3394" w:type="dxa"/>
            <w:tcBorders>
              <w:top w:val="single" w:sz="4" w:space="0" w:color="auto"/>
              <w:bottom w:val="single" w:sz="4" w:space="0" w:color="auto"/>
            </w:tcBorders>
          </w:tcPr>
          <w:p w14:paraId="1566ADBD" w14:textId="77777777" w:rsidR="00141394" w:rsidRPr="000A1E2A" w:rsidRDefault="00615769" w:rsidP="00E60C95">
            <w:pPr>
              <w:keepNext/>
              <w:spacing w:before="40" w:after="40" w:line="240" w:lineRule="exact"/>
              <w:jc w:val="center"/>
              <w:rPr>
                <w:rFonts w:eastAsia="Calibri"/>
                <w:b/>
                <w:sz w:val="22"/>
                <w:szCs w:val="22"/>
                <w:lang w:eastAsia="ja-JP"/>
              </w:rPr>
            </w:pPr>
            <w:r w:rsidRPr="000A1E2A">
              <w:rPr>
                <w:rFonts w:eastAsia="Calibri"/>
                <w:sz w:val="22"/>
                <w:szCs w:val="22"/>
                <w:lang w:eastAsia="ja-JP"/>
              </w:rPr>
              <w:t>20 mg em semanas alternadas em associaç</w:t>
            </w:r>
            <w:r>
              <w:rPr>
                <w:rFonts w:eastAsia="Calibri"/>
                <w:sz w:val="22"/>
                <w:szCs w:val="22"/>
                <w:lang w:eastAsia="ja-JP"/>
              </w:rPr>
              <w:t>ão com metotrexato</w:t>
            </w:r>
          </w:p>
        </w:tc>
      </w:tr>
      <w:tr w:rsidR="00A7162A" w14:paraId="0C7A5708" w14:textId="77777777" w:rsidTr="00E60C95">
        <w:trPr>
          <w:tblHeader/>
          <w:jc w:val="center"/>
        </w:trPr>
        <w:tc>
          <w:tcPr>
            <w:tcW w:w="3401" w:type="dxa"/>
            <w:tcBorders>
              <w:top w:val="single" w:sz="4" w:space="0" w:color="auto"/>
              <w:bottom w:val="single" w:sz="4" w:space="0" w:color="auto"/>
            </w:tcBorders>
          </w:tcPr>
          <w:p w14:paraId="40677A0A" w14:textId="77777777" w:rsidR="00141394" w:rsidRPr="0007777F" w:rsidRDefault="00615769" w:rsidP="00E60C95">
            <w:pPr>
              <w:keepNext/>
              <w:spacing w:before="40" w:after="40" w:line="240" w:lineRule="exact"/>
              <w:jc w:val="center"/>
              <w:rPr>
                <w:rFonts w:eastAsia="Calibri"/>
                <w:b/>
                <w:sz w:val="22"/>
                <w:szCs w:val="22"/>
                <w:lang w:val="en-US" w:eastAsia="ja-JP"/>
              </w:rPr>
            </w:pPr>
            <w:r w:rsidRPr="0007777F">
              <w:rPr>
                <w:rFonts w:eastAsia="Calibri"/>
                <w:sz w:val="22"/>
                <w:szCs w:val="22"/>
                <w:lang w:val="en-US" w:eastAsia="ja-JP"/>
              </w:rPr>
              <w:t>≥ 30 kg</w:t>
            </w:r>
          </w:p>
        </w:tc>
        <w:tc>
          <w:tcPr>
            <w:tcW w:w="3394" w:type="dxa"/>
            <w:tcBorders>
              <w:top w:val="single" w:sz="4" w:space="0" w:color="auto"/>
              <w:bottom w:val="single" w:sz="4" w:space="0" w:color="auto"/>
            </w:tcBorders>
          </w:tcPr>
          <w:p w14:paraId="5CC1A8EC" w14:textId="77777777" w:rsidR="00141394" w:rsidRPr="000A1E2A" w:rsidRDefault="00615769" w:rsidP="00E60C95">
            <w:pPr>
              <w:keepNext/>
              <w:spacing w:before="40" w:after="40" w:line="240" w:lineRule="exact"/>
              <w:jc w:val="center"/>
              <w:rPr>
                <w:rFonts w:eastAsia="Calibri"/>
                <w:b/>
                <w:sz w:val="22"/>
                <w:szCs w:val="22"/>
                <w:lang w:eastAsia="ja-JP"/>
              </w:rPr>
            </w:pPr>
            <w:r w:rsidRPr="000A1E2A">
              <w:rPr>
                <w:rFonts w:eastAsia="Calibri"/>
                <w:sz w:val="22"/>
                <w:szCs w:val="22"/>
                <w:lang w:eastAsia="ja-JP"/>
              </w:rPr>
              <w:t>40 mg em semanas alternadas em associaç</w:t>
            </w:r>
            <w:r>
              <w:rPr>
                <w:rFonts w:eastAsia="Calibri"/>
                <w:sz w:val="22"/>
                <w:szCs w:val="22"/>
                <w:lang w:eastAsia="ja-JP"/>
              </w:rPr>
              <w:t>ão com metotrexato</w:t>
            </w:r>
          </w:p>
        </w:tc>
      </w:tr>
    </w:tbl>
    <w:p w14:paraId="4C697398" w14:textId="77777777" w:rsidR="00141394" w:rsidRDefault="00141394" w:rsidP="006B3477">
      <w:pPr>
        <w:rPr>
          <w:bCs/>
          <w:iCs/>
          <w:sz w:val="22"/>
          <w:szCs w:val="22"/>
        </w:rPr>
      </w:pPr>
    </w:p>
    <w:p w14:paraId="04847613" w14:textId="77777777" w:rsidR="006B3477" w:rsidRDefault="00615769" w:rsidP="006B3477">
      <w:pPr>
        <w:rPr>
          <w:sz w:val="22"/>
          <w:szCs w:val="22"/>
        </w:rPr>
      </w:pPr>
      <w:r>
        <w:rPr>
          <w:bCs/>
          <w:iCs/>
          <w:sz w:val="22"/>
          <w:szCs w:val="22"/>
        </w:rPr>
        <w:t xml:space="preserve">Quando se inicia o tratamento com Humira, pode ser administrada uma dose </w:t>
      </w:r>
      <w:r w:rsidRPr="008912CF">
        <w:rPr>
          <w:sz w:val="22"/>
          <w:szCs w:val="22"/>
        </w:rPr>
        <w:t xml:space="preserve">de carga de </w:t>
      </w:r>
      <w:r>
        <w:rPr>
          <w:sz w:val="22"/>
          <w:szCs w:val="22"/>
        </w:rPr>
        <w:t>40</w:t>
      </w:r>
      <w:r w:rsidRPr="008912CF">
        <w:rPr>
          <w:sz w:val="22"/>
          <w:szCs w:val="22"/>
        </w:rPr>
        <w:t> mg</w:t>
      </w:r>
      <w:r>
        <w:rPr>
          <w:sz w:val="22"/>
          <w:szCs w:val="22"/>
        </w:rPr>
        <w:t xml:space="preserve"> </w:t>
      </w:r>
      <w:r w:rsidR="00ED1E34">
        <w:rPr>
          <w:sz w:val="22"/>
          <w:szCs w:val="22"/>
        </w:rPr>
        <w:t xml:space="preserve">em doentes &lt; 30 kg ou 80 mg em doentes </w:t>
      </w:r>
      <w:r w:rsidR="00ED1E34" w:rsidRPr="000A1E2A">
        <w:rPr>
          <w:rFonts w:eastAsia="Calibri"/>
          <w:sz w:val="22"/>
          <w:szCs w:val="22"/>
          <w:lang w:eastAsia="ja-JP"/>
        </w:rPr>
        <w:t>≥ 30 kg</w:t>
      </w:r>
      <w:r w:rsidR="00ED1E34">
        <w:rPr>
          <w:rFonts w:eastAsia="Calibri"/>
          <w:sz w:val="22"/>
          <w:szCs w:val="22"/>
          <w:lang w:eastAsia="ja-JP"/>
        </w:rPr>
        <w:t>,</w:t>
      </w:r>
      <w:r w:rsidR="00ED1E34">
        <w:rPr>
          <w:sz w:val="22"/>
          <w:szCs w:val="22"/>
        </w:rPr>
        <w:t xml:space="preserve"> </w:t>
      </w:r>
      <w:r>
        <w:rPr>
          <w:sz w:val="22"/>
          <w:szCs w:val="22"/>
        </w:rPr>
        <w:t>uma semana antes do início do tratamento de manutenção. Não existem dados clínicos relevantes sobre a utilização de uma dose de carga de Humira em crianças &lt; 6 anos de idade (ver secção 5.2).</w:t>
      </w:r>
    </w:p>
    <w:p w14:paraId="68B260EF" w14:textId="77777777" w:rsidR="006B3477" w:rsidRDefault="006B3477" w:rsidP="006B3477">
      <w:pPr>
        <w:rPr>
          <w:sz w:val="22"/>
          <w:szCs w:val="22"/>
        </w:rPr>
      </w:pPr>
    </w:p>
    <w:p w14:paraId="1E3DAD35" w14:textId="77777777" w:rsidR="006B3477" w:rsidRPr="008912CF" w:rsidRDefault="00615769" w:rsidP="006B3477">
      <w:pPr>
        <w:rPr>
          <w:sz w:val="22"/>
          <w:szCs w:val="22"/>
        </w:rPr>
      </w:pPr>
      <w:r w:rsidRPr="008912CF">
        <w:rPr>
          <w:sz w:val="22"/>
          <w:szCs w:val="22"/>
        </w:rPr>
        <w:t xml:space="preserve">Não existe utilização relevante de Humira em crianças com menos de </w:t>
      </w:r>
      <w:r>
        <w:rPr>
          <w:sz w:val="22"/>
          <w:szCs w:val="22"/>
        </w:rPr>
        <w:t>2 </w:t>
      </w:r>
      <w:r w:rsidRPr="008912CF">
        <w:rPr>
          <w:sz w:val="22"/>
          <w:szCs w:val="22"/>
        </w:rPr>
        <w:t>anos, para esta indicação.</w:t>
      </w:r>
    </w:p>
    <w:p w14:paraId="3F2A91D0" w14:textId="77777777" w:rsidR="006B3477" w:rsidRDefault="006B3477" w:rsidP="006B3477">
      <w:pPr>
        <w:rPr>
          <w:sz w:val="22"/>
          <w:szCs w:val="22"/>
        </w:rPr>
      </w:pPr>
    </w:p>
    <w:p w14:paraId="5F289DF2" w14:textId="77777777" w:rsidR="006B3477" w:rsidRPr="004D4741" w:rsidRDefault="00615769" w:rsidP="006B3477">
      <w:pPr>
        <w:rPr>
          <w:bCs/>
          <w:iCs/>
          <w:sz w:val="22"/>
          <w:szCs w:val="22"/>
        </w:rPr>
      </w:pPr>
      <w:r w:rsidRPr="00497512">
        <w:rPr>
          <w:bCs/>
          <w:sz w:val="22"/>
          <w:szCs w:val="22"/>
        </w:rPr>
        <w:t>Recomenda-se que o risco benefício do tratamento continuado a longo prazo seja avaliado</w:t>
      </w:r>
      <w:r>
        <w:rPr>
          <w:bCs/>
          <w:sz w:val="22"/>
          <w:szCs w:val="22"/>
        </w:rPr>
        <w:t xml:space="preserve"> anualmente (ver secção 5.1).</w:t>
      </w:r>
    </w:p>
    <w:p w14:paraId="34402E66" w14:textId="77777777" w:rsidR="004462A0" w:rsidRDefault="004462A0" w:rsidP="004462A0">
      <w:pPr>
        <w:rPr>
          <w:bCs/>
          <w:iCs/>
          <w:sz w:val="22"/>
          <w:szCs w:val="22"/>
        </w:rPr>
      </w:pPr>
    </w:p>
    <w:p w14:paraId="1D40BE99" w14:textId="77777777" w:rsidR="00CB140F" w:rsidRPr="00395D60" w:rsidRDefault="00615769" w:rsidP="00CB140F">
      <w:pPr>
        <w:pStyle w:val="Default"/>
        <w:rPr>
          <w:sz w:val="22"/>
          <w:szCs w:val="22"/>
          <w:lang w:val="pt-PT"/>
        </w:rPr>
      </w:pPr>
      <w:r>
        <w:rPr>
          <w:sz w:val="22"/>
          <w:szCs w:val="22"/>
          <w:lang w:val="pt-PT"/>
        </w:rPr>
        <w:t>Humira pode estar</w:t>
      </w:r>
      <w:r w:rsidRPr="00395D60">
        <w:rPr>
          <w:sz w:val="22"/>
          <w:szCs w:val="22"/>
          <w:lang w:val="pt-PT"/>
        </w:rPr>
        <w:t xml:space="preserve"> disponível em outras dosagens e/ou apresentações dependendo das necessidades de cada doente.</w:t>
      </w:r>
    </w:p>
    <w:p w14:paraId="57DCA841" w14:textId="77777777" w:rsidR="00CB140F" w:rsidRPr="00AA7352" w:rsidRDefault="00CB140F" w:rsidP="004462A0">
      <w:pPr>
        <w:rPr>
          <w:bCs/>
          <w:iCs/>
          <w:sz w:val="22"/>
          <w:szCs w:val="22"/>
        </w:rPr>
      </w:pPr>
    </w:p>
    <w:p w14:paraId="472FBA0D" w14:textId="77777777" w:rsidR="004462A0" w:rsidRPr="008912CF" w:rsidRDefault="00615769" w:rsidP="004462A0">
      <w:pPr>
        <w:rPr>
          <w:bCs/>
          <w:iCs/>
          <w:sz w:val="22"/>
          <w:szCs w:val="22"/>
          <w:u w:val="single"/>
        </w:rPr>
      </w:pPr>
      <w:r w:rsidRPr="008912CF">
        <w:rPr>
          <w:bCs/>
          <w:iCs/>
          <w:sz w:val="22"/>
          <w:szCs w:val="22"/>
          <w:u w:val="single"/>
        </w:rPr>
        <w:t>Modo de administração</w:t>
      </w:r>
    </w:p>
    <w:p w14:paraId="0D0168E8" w14:textId="77777777" w:rsidR="004462A0" w:rsidRPr="008912CF" w:rsidRDefault="004462A0" w:rsidP="004462A0">
      <w:pPr>
        <w:rPr>
          <w:bCs/>
          <w:iCs/>
          <w:sz w:val="22"/>
          <w:szCs w:val="22"/>
        </w:rPr>
      </w:pPr>
    </w:p>
    <w:p w14:paraId="0A223A24" w14:textId="77777777" w:rsidR="004462A0" w:rsidRPr="008912CF" w:rsidRDefault="00615769" w:rsidP="004462A0">
      <w:pPr>
        <w:rPr>
          <w:bCs/>
          <w:iCs/>
          <w:sz w:val="22"/>
          <w:szCs w:val="22"/>
        </w:rPr>
      </w:pPr>
      <w:r w:rsidRPr="008912CF">
        <w:rPr>
          <w:bCs/>
          <w:iCs/>
          <w:sz w:val="22"/>
          <w:szCs w:val="22"/>
        </w:rPr>
        <w:t>A administração de Humira faz-se por injeção subcutânea. Instruções completas de utilização estão disponíveis no folheto informativo.</w:t>
      </w:r>
    </w:p>
    <w:p w14:paraId="5E1D30D9" w14:textId="77777777" w:rsidR="004462A0" w:rsidRPr="008912CF" w:rsidRDefault="004462A0" w:rsidP="004462A0">
      <w:pPr>
        <w:rPr>
          <w:bCs/>
          <w:iCs/>
          <w:sz w:val="22"/>
          <w:szCs w:val="22"/>
        </w:rPr>
      </w:pPr>
    </w:p>
    <w:p w14:paraId="20E7D066" w14:textId="77777777" w:rsidR="00ED1E34" w:rsidRPr="008912CF" w:rsidRDefault="00615769" w:rsidP="00ED1E34">
      <w:pPr>
        <w:rPr>
          <w:sz w:val="22"/>
          <w:szCs w:val="22"/>
        </w:rPr>
      </w:pPr>
      <w:r>
        <w:rPr>
          <w:sz w:val="22"/>
          <w:szCs w:val="22"/>
        </w:rPr>
        <w:t>Humira está disponível em outras dosagens e apresentações.</w:t>
      </w:r>
    </w:p>
    <w:p w14:paraId="78328B2E" w14:textId="77777777" w:rsidR="004462A0" w:rsidRPr="008912CF" w:rsidRDefault="004462A0" w:rsidP="004462A0">
      <w:pPr>
        <w:rPr>
          <w:sz w:val="22"/>
          <w:szCs w:val="22"/>
          <w:u w:val="single"/>
        </w:rPr>
      </w:pPr>
    </w:p>
    <w:p w14:paraId="46125168" w14:textId="77777777" w:rsidR="004462A0" w:rsidRPr="008912CF" w:rsidRDefault="00615769" w:rsidP="004462A0">
      <w:pPr>
        <w:ind w:left="567" w:hanging="567"/>
        <w:rPr>
          <w:sz w:val="22"/>
          <w:szCs w:val="22"/>
        </w:rPr>
      </w:pPr>
      <w:r w:rsidRPr="008912CF">
        <w:rPr>
          <w:b/>
          <w:sz w:val="22"/>
          <w:szCs w:val="22"/>
        </w:rPr>
        <w:t>4.3</w:t>
      </w:r>
      <w:r w:rsidRPr="008912CF">
        <w:rPr>
          <w:b/>
          <w:sz w:val="22"/>
          <w:szCs w:val="22"/>
        </w:rPr>
        <w:tab/>
        <w:t xml:space="preserve">Contraindicações </w:t>
      </w:r>
    </w:p>
    <w:p w14:paraId="47C9D99F" w14:textId="77777777" w:rsidR="004462A0" w:rsidRPr="008912CF" w:rsidRDefault="004462A0" w:rsidP="004462A0">
      <w:pPr>
        <w:pStyle w:val="EndnoteText"/>
        <w:tabs>
          <w:tab w:val="clear" w:pos="567"/>
        </w:tabs>
        <w:rPr>
          <w:szCs w:val="22"/>
        </w:rPr>
      </w:pPr>
    </w:p>
    <w:p w14:paraId="25AE969C" w14:textId="77777777" w:rsidR="004462A0" w:rsidRPr="008912CF" w:rsidRDefault="00615769" w:rsidP="004462A0">
      <w:pPr>
        <w:rPr>
          <w:sz w:val="22"/>
          <w:szCs w:val="22"/>
        </w:rPr>
      </w:pPr>
      <w:r w:rsidRPr="008912CF">
        <w:rPr>
          <w:sz w:val="22"/>
          <w:szCs w:val="22"/>
        </w:rPr>
        <w:t>Hipersensibilidade à substância ativa ou a qualquer um dos excipientes mencionados na secção 6.1.</w:t>
      </w:r>
    </w:p>
    <w:p w14:paraId="35D49D17" w14:textId="77777777" w:rsidR="004462A0" w:rsidRPr="008912CF" w:rsidRDefault="004462A0" w:rsidP="004462A0">
      <w:pPr>
        <w:rPr>
          <w:sz w:val="22"/>
          <w:szCs w:val="22"/>
        </w:rPr>
      </w:pPr>
    </w:p>
    <w:p w14:paraId="389B3A99" w14:textId="77777777" w:rsidR="004462A0" w:rsidRPr="008912CF" w:rsidRDefault="00615769" w:rsidP="004462A0">
      <w:pPr>
        <w:rPr>
          <w:sz w:val="22"/>
          <w:szCs w:val="22"/>
        </w:rPr>
      </w:pPr>
      <w:r w:rsidRPr="008912CF">
        <w:rPr>
          <w:sz w:val="22"/>
          <w:szCs w:val="22"/>
        </w:rPr>
        <w:t>Tuberculose ativa ou outras infeções graves, nomeadamente, sepsia e infeções oportunistas (ver secção 4.4).</w:t>
      </w:r>
    </w:p>
    <w:p w14:paraId="3623BEBF" w14:textId="77777777" w:rsidR="004462A0" w:rsidRPr="008912CF" w:rsidRDefault="004462A0" w:rsidP="004462A0">
      <w:pPr>
        <w:rPr>
          <w:sz w:val="22"/>
          <w:szCs w:val="22"/>
        </w:rPr>
      </w:pPr>
    </w:p>
    <w:p w14:paraId="145983F3" w14:textId="77777777" w:rsidR="004462A0" w:rsidRPr="008912CF" w:rsidRDefault="00615769" w:rsidP="004462A0">
      <w:pPr>
        <w:rPr>
          <w:sz w:val="22"/>
          <w:szCs w:val="22"/>
        </w:rPr>
      </w:pPr>
      <w:r w:rsidRPr="008912CF">
        <w:rPr>
          <w:sz w:val="22"/>
          <w:szCs w:val="22"/>
        </w:rPr>
        <w:t>Insuficiência cardíaca moderada a grave (classe III/IV da NYHA) (ver secção 4.4).</w:t>
      </w:r>
    </w:p>
    <w:p w14:paraId="4927BD98" w14:textId="77777777" w:rsidR="004462A0" w:rsidRPr="008912CF" w:rsidRDefault="004462A0" w:rsidP="004462A0">
      <w:pPr>
        <w:rPr>
          <w:b/>
          <w:i/>
          <w:sz w:val="22"/>
          <w:szCs w:val="22"/>
          <w:highlight w:val="yellow"/>
        </w:rPr>
      </w:pPr>
    </w:p>
    <w:p w14:paraId="14A15287" w14:textId="77777777" w:rsidR="004462A0" w:rsidRPr="008912CF" w:rsidRDefault="00615769" w:rsidP="00B538F3">
      <w:pPr>
        <w:keepNext/>
        <w:rPr>
          <w:b/>
          <w:sz w:val="22"/>
          <w:szCs w:val="22"/>
        </w:rPr>
      </w:pPr>
      <w:r w:rsidRPr="008912CF">
        <w:rPr>
          <w:b/>
          <w:sz w:val="22"/>
          <w:szCs w:val="22"/>
        </w:rPr>
        <w:t>4.4</w:t>
      </w:r>
      <w:r w:rsidRPr="008912CF">
        <w:rPr>
          <w:sz w:val="22"/>
          <w:szCs w:val="22"/>
        </w:rPr>
        <w:tab/>
      </w:r>
      <w:r w:rsidRPr="008912CF">
        <w:rPr>
          <w:b/>
          <w:sz w:val="22"/>
          <w:szCs w:val="22"/>
        </w:rPr>
        <w:t xml:space="preserve">Advertências e precauções especiais de utilização </w:t>
      </w:r>
    </w:p>
    <w:p w14:paraId="0BE7C483" w14:textId="77777777" w:rsidR="004462A0" w:rsidRDefault="004462A0" w:rsidP="00B538F3">
      <w:pPr>
        <w:keepNext/>
        <w:rPr>
          <w:sz w:val="22"/>
          <w:szCs w:val="22"/>
        </w:rPr>
      </w:pPr>
    </w:p>
    <w:p w14:paraId="556A834C" w14:textId="77777777" w:rsidR="00ED1E34" w:rsidRPr="002339BF" w:rsidRDefault="00615769" w:rsidP="00B538F3">
      <w:pPr>
        <w:keepNext/>
        <w:rPr>
          <w:sz w:val="22"/>
          <w:szCs w:val="22"/>
          <w:u w:val="single"/>
        </w:rPr>
      </w:pPr>
      <w:r w:rsidRPr="002339BF">
        <w:rPr>
          <w:sz w:val="22"/>
          <w:szCs w:val="22"/>
          <w:u w:val="single"/>
        </w:rPr>
        <w:t xml:space="preserve">Rastreabilidade </w:t>
      </w:r>
    </w:p>
    <w:p w14:paraId="723BCCCE" w14:textId="77777777" w:rsidR="003741D0" w:rsidRPr="008912CF" w:rsidRDefault="003741D0" w:rsidP="004462A0">
      <w:pPr>
        <w:rPr>
          <w:sz w:val="22"/>
          <w:szCs w:val="22"/>
        </w:rPr>
      </w:pPr>
    </w:p>
    <w:p w14:paraId="7B2CDEA3" w14:textId="77777777" w:rsidR="004462A0" w:rsidRPr="008912CF" w:rsidRDefault="00615769" w:rsidP="004462A0">
      <w:pPr>
        <w:pStyle w:val="Heading4"/>
        <w:keepNext w:val="0"/>
        <w:autoSpaceDE w:val="0"/>
        <w:autoSpaceDN w:val="0"/>
        <w:adjustRightInd w:val="0"/>
        <w:spacing w:line="240" w:lineRule="auto"/>
        <w:jc w:val="left"/>
        <w:rPr>
          <w:b w:val="0"/>
          <w:noProof w:val="0"/>
          <w:szCs w:val="22"/>
        </w:rPr>
      </w:pPr>
      <w:r w:rsidRPr="008912CF">
        <w:rPr>
          <w:b w:val="0"/>
          <w:noProof w:val="0"/>
          <w:szCs w:val="22"/>
        </w:rPr>
        <w:t xml:space="preserve">De forma a melhorar a rastreabilidade dos medicamentos biológicos, </w:t>
      </w:r>
      <w:r w:rsidR="00ED1E34">
        <w:rPr>
          <w:b w:val="0"/>
          <w:noProof w:val="0"/>
          <w:szCs w:val="22"/>
        </w:rPr>
        <w:t xml:space="preserve">o nome </w:t>
      </w:r>
      <w:r w:rsidRPr="008912CF">
        <w:rPr>
          <w:b w:val="0"/>
          <w:noProof w:val="0"/>
          <w:szCs w:val="22"/>
        </w:rPr>
        <w:t>e o número de lote do medicamento administrado devem ser registados</w:t>
      </w:r>
      <w:r w:rsidR="00372684">
        <w:rPr>
          <w:b w:val="0"/>
          <w:noProof w:val="0"/>
          <w:szCs w:val="22"/>
        </w:rPr>
        <w:t xml:space="preserve"> de forma clara</w:t>
      </w:r>
      <w:r w:rsidRPr="008912CF">
        <w:rPr>
          <w:b w:val="0"/>
          <w:noProof w:val="0"/>
          <w:szCs w:val="22"/>
        </w:rPr>
        <w:t>.</w:t>
      </w:r>
    </w:p>
    <w:p w14:paraId="03661153" w14:textId="77777777" w:rsidR="004462A0" w:rsidRPr="008912CF" w:rsidRDefault="004462A0" w:rsidP="004462A0">
      <w:pPr>
        <w:pStyle w:val="Heading4"/>
        <w:keepNext w:val="0"/>
        <w:autoSpaceDE w:val="0"/>
        <w:autoSpaceDN w:val="0"/>
        <w:adjustRightInd w:val="0"/>
        <w:spacing w:line="240" w:lineRule="auto"/>
        <w:jc w:val="left"/>
        <w:rPr>
          <w:b w:val="0"/>
          <w:noProof w:val="0"/>
          <w:szCs w:val="22"/>
          <w:u w:val="single"/>
        </w:rPr>
      </w:pPr>
    </w:p>
    <w:p w14:paraId="7DB3453C" w14:textId="77777777" w:rsidR="004462A0" w:rsidRPr="008912CF" w:rsidRDefault="00615769" w:rsidP="004462A0">
      <w:pPr>
        <w:pStyle w:val="Heading4"/>
        <w:keepNext w:val="0"/>
        <w:autoSpaceDE w:val="0"/>
        <w:autoSpaceDN w:val="0"/>
        <w:adjustRightInd w:val="0"/>
        <w:spacing w:line="240" w:lineRule="auto"/>
        <w:jc w:val="left"/>
        <w:rPr>
          <w:b w:val="0"/>
          <w:noProof w:val="0"/>
          <w:szCs w:val="22"/>
          <w:u w:val="single"/>
        </w:rPr>
      </w:pPr>
      <w:r w:rsidRPr="008912CF">
        <w:rPr>
          <w:b w:val="0"/>
          <w:noProof w:val="0"/>
          <w:szCs w:val="22"/>
          <w:u w:val="single"/>
        </w:rPr>
        <w:t xml:space="preserve">Infeções </w:t>
      </w:r>
    </w:p>
    <w:p w14:paraId="617415D1" w14:textId="77777777" w:rsidR="004462A0" w:rsidRPr="008912CF" w:rsidRDefault="004462A0" w:rsidP="004462A0">
      <w:pPr>
        <w:rPr>
          <w:sz w:val="22"/>
          <w:szCs w:val="22"/>
        </w:rPr>
      </w:pPr>
    </w:p>
    <w:p w14:paraId="3D75D90E" w14:textId="77777777" w:rsidR="004462A0" w:rsidRPr="008912CF" w:rsidRDefault="00615769" w:rsidP="004462A0">
      <w:pPr>
        <w:rPr>
          <w:sz w:val="22"/>
          <w:szCs w:val="22"/>
        </w:rPr>
      </w:pPr>
      <w:r w:rsidRPr="008912CF">
        <w:rPr>
          <w:sz w:val="22"/>
          <w:szCs w:val="22"/>
        </w:rPr>
        <w:t>Doentes tratados com antagonistas-TNF são mais suscetíveis a infeções graves. Função pulmonar comprometida pode aumentar o risco de desenvolver infeções. Os doentes devem por isso ser cuidadosamente monitorizados para despiste de infeções, incluindo tuberculose, antes, durante e após o tratamento com Humira. Dado que a eliminação de adalimumab pode levar até quatro meses, a monitorização deve ser continuada durante este período de tempo.</w:t>
      </w:r>
    </w:p>
    <w:p w14:paraId="6D14B7AA" w14:textId="77777777" w:rsidR="004462A0" w:rsidRPr="008912CF" w:rsidRDefault="004462A0" w:rsidP="004462A0">
      <w:pPr>
        <w:autoSpaceDE w:val="0"/>
        <w:autoSpaceDN w:val="0"/>
        <w:adjustRightInd w:val="0"/>
        <w:rPr>
          <w:sz w:val="22"/>
          <w:szCs w:val="22"/>
        </w:rPr>
      </w:pPr>
    </w:p>
    <w:p w14:paraId="4ED6DCD5" w14:textId="77777777" w:rsidR="004462A0" w:rsidRPr="008912CF" w:rsidRDefault="00615769" w:rsidP="004462A0">
      <w:pPr>
        <w:autoSpaceDE w:val="0"/>
        <w:autoSpaceDN w:val="0"/>
        <w:adjustRightInd w:val="0"/>
        <w:rPr>
          <w:sz w:val="22"/>
          <w:szCs w:val="22"/>
        </w:rPr>
      </w:pPr>
      <w:r w:rsidRPr="008912CF">
        <w:rPr>
          <w:sz w:val="22"/>
          <w:szCs w:val="22"/>
        </w:rPr>
        <w:t xml:space="preserve">O tratamento com Humira não deve ser iniciado em doentes com infeções ativas, incluindo infeções crónicas ou localizadas, até que as mesmas estejam controladas. Nos doentes que foram expostos à tuberculose e doentes que viajaram para zonas de alto risco de tuberculose ou micoses endémicas, tais como histoplasmose, </w:t>
      </w:r>
      <w:r w:rsidRPr="008912CF">
        <w:rPr>
          <w:color w:val="000000"/>
          <w:sz w:val="22"/>
          <w:szCs w:val="22"/>
        </w:rPr>
        <w:t>coccidioidomicose</w:t>
      </w:r>
      <w:r w:rsidRPr="008912CF">
        <w:rPr>
          <w:sz w:val="22"/>
          <w:szCs w:val="22"/>
        </w:rPr>
        <w:t>, ou blastomicose, deverá ser considerado o risco e os benefícios do tratamento com Humira antes de iniciar a terapêutica (</w:t>
      </w:r>
      <w:r w:rsidRPr="00DF5632">
        <w:rPr>
          <w:iCs/>
          <w:sz w:val="22"/>
          <w:szCs w:val="22"/>
        </w:rPr>
        <w:t>ver</w:t>
      </w:r>
      <w:r w:rsidRPr="008912CF">
        <w:rPr>
          <w:i/>
          <w:iCs/>
          <w:sz w:val="22"/>
          <w:szCs w:val="22"/>
        </w:rPr>
        <w:t xml:space="preserve"> Outras infeções oportunistas</w:t>
      </w:r>
      <w:r w:rsidRPr="008912CF">
        <w:rPr>
          <w:sz w:val="22"/>
          <w:szCs w:val="22"/>
        </w:rPr>
        <w:t>).</w:t>
      </w:r>
    </w:p>
    <w:p w14:paraId="23E2BCC2" w14:textId="77777777" w:rsidR="004462A0" w:rsidRPr="008912CF" w:rsidRDefault="004462A0" w:rsidP="004462A0">
      <w:pPr>
        <w:autoSpaceDE w:val="0"/>
        <w:autoSpaceDN w:val="0"/>
        <w:adjustRightInd w:val="0"/>
        <w:rPr>
          <w:sz w:val="22"/>
          <w:szCs w:val="22"/>
        </w:rPr>
      </w:pPr>
    </w:p>
    <w:p w14:paraId="4C702F19" w14:textId="77777777" w:rsidR="004462A0" w:rsidRPr="008912CF" w:rsidRDefault="00615769" w:rsidP="004462A0">
      <w:pPr>
        <w:autoSpaceDE w:val="0"/>
        <w:autoSpaceDN w:val="0"/>
        <w:adjustRightInd w:val="0"/>
        <w:rPr>
          <w:sz w:val="22"/>
          <w:szCs w:val="22"/>
        </w:rPr>
      </w:pPr>
      <w:r w:rsidRPr="008912CF">
        <w:rPr>
          <w:sz w:val="22"/>
          <w:szCs w:val="22"/>
        </w:rPr>
        <w:t>Os doentes que desenvolvam uma nova infeção no decurso do tratamento com Humira devem ser cuidadosamente monitorizados e submetidos a uma avaliação completa do diagnóstico. A administração de Humira deve ser interrompida se um doente desenvolver uma nova infeção grave ou sepsia, e deve ser iniciada uma terapêutica antimicrobiana ou antifúngica apropriada até controlo da infeção. Os médicos devem ter precaução quando consideram o uso de Humira em doentes com história de infeção recorrente ou com condições su</w:t>
      </w:r>
      <w:r w:rsidRPr="008912CF">
        <w:rPr>
          <w:sz w:val="22"/>
          <w:szCs w:val="22"/>
        </w:rPr>
        <w:t>bjacentes suscetíveis de os predispor a infeções, incluindo o uso concomitante de medicação imunossupressora.</w:t>
      </w:r>
    </w:p>
    <w:p w14:paraId="06CBBD02" w14:textId="77777777" w:rsidR="004462A0" w:rsidRPr="008912CF" w:rsidRDefault="004462A0" w:rsidP="004462A0">
      <w:pPr>
        <w:autoSpaceDE w:val="0"/>
        <w:autoSpaceDN w:val="0"/>
        <w:adjustRightInd w:val="0"/>
        <w:rPr>
          <w:sz w:val="22"/>
          <w:szCs w:val="22"/>
        </w:rPr>
      </w:pPr>
    </w:p>
    <w:p w14:paraId="511EB0EB" w14:textId="77777777" w:rsidR="004462A0" w:rsidRPr="008912CF" w:rsidRDefault="00615769" w:rsidP="004462A0">
      <w:pPr>
        <w:autoSpaceDE w:val="0"/>
        <w:autoSpaceDN w:val="0"/>
        <w:adjustRightInd w:val="0"/>
        <w:rPr>
          <w:i/>
          <w:iCs/>
          <w:sz w:val="22"/>
          <w:szCs w:val="22"/>
        </w:rPr>
      </w:pPr>
      <w:r w:rsidRPr="008912CF">
        <w:rPr>
          <w:i/>
          <w:iCs/>
          <w:sz w:val="22"/>
          <w:szCs w:val="22"/>
        </w:rPr>
        <w:t>Infeções graves</w:t>
      </w:r>
    </w:p>
    <w:p w14:paraId="2176143E" w14:textId="77777777" w:rsidR="004462A0" w:rsidRPr="008912CF" w:rsidRDefault="004462A0" w:rsidP="004462A0">
      <w:pPr>
        <w:autoSpaceDE w:val="0"/>
        <w:autoSpaceDN w:val="0"/>
        <w:adjustRightInd w:val="0"/>
        <w:rPr>
          <w:sz w:val="22"/>
          <w:szCs w:val="22"/>
        </w:rPr>
      </w:pPr>
    </w:p>
    <w:p w14:paraId="49F36571" w14:textId="77777777" w:rsidR="004462A0" w:rsidRPr="008912CF" w:rsidRDefault="00615769" w:rsidP="004462A0">
      <w:pPr>
        <w:autoSpaceDE w:val="0"/>
        <w:autoSpaceDN w:val="0"/>
        <w:adjustRightInd w:val="0"/>
        <w:rPr>
          <w:sz w:val="22"/>
          <w:szCs w:val="22"/>
        </w:rPr>
      </w:pPr>
      <w:r w:rsidRPr="008912CF">
        <w:rPr>
          <w:sz w:val="22"/>
          <w:szCs w:val="22"/>
        </w:rPr>
        <w:t xml:space="preserve">Foram notificadas infeções graves, incluindo sepsia, devido a infeções bacterianas, micobacterianas, fúngicas, parasitárias e virais invasivas, ou outras infeções oportunistas tais como listeriose, legionelose e </w:t>
      </w:r>
      <w:r w:rsidRPr="008912CF">
        <w:rPr>
          <w:iCs/>
          <w:sz w:val="22"/>
          <w:szCs w:val="22"/>
        </w:rPr>
        <w:t>pneumocistose</w:t>
      </w:r>
      <w:r w:rsidRPr="008912CF">
        <w:rPr>
          <w:i/>
          <w:iCs/>
          <w:sz w:val="22"/>
          <w:szCs w:val="22"/>
        </w:rPr>
        <w:t>,</w:t>
      </w:r>
      <w:r w:rsidRPr="008912CF">
        <w:rPr>
          <w:sz w:val="22"/>
          <w:szCs w:val="22"/>
        </w:rPr>
        <w:t xml:space="preserve"> em doentes tratados com Humira.</w:t>
      </w:r>
    </w:p>
    <w:p w14:paraId="19876E81" w14:textId="77777777" w:rsidR="004462A0" w:rsidRPr="008912CF" w:rsidRDefault="004462A0" w:rsidP="004462A0">
      <w:pPr>
        <w:autoSpaceDE w:val="0"/>
        <w:autoSpaceDN w:val="0"/>
        <w:adjustRightInd w:val="0"/>
        <w:rPr>
          <w:sz w:val="22"/>
          <w:szCs w:val="22"/>
        </w:rPr>
      </w:pPr>
    </w:p>
    <w:p w14:paraId="7BA70527" w14:textId="77777777" w:rsidR="004462A0" w:rsidRPr="008912CF" w:rsidRDefault="00615769" w:rsidP="004462A0">
      <w:pPr>
        <w:autoSpaceDE w:val="0"/>
        <w:autoSpaceDN w:val="0"/>
        <w:adjustRightInd w:val="0"/>
        <w:rPr>
          <w:sz w:val="22"/>
          <w:szCs w:val="22"/>
        </w:rPr>
      </w:pPr>
      <w:r w:rsidRPr="008912CF">
        <w:rPr>
          <w:sz w:val="22"/>
          <w:szCs w:val="22"/>
        </w:rPr>
        <w:t>Outras infeções graves observadas em ensaios clínicos incluem pneumonia, pielonefrite, artrite séptica e septicemia. Foram notificadas hospitalizações ou casos fatais associadas a infeções.</w:t>
      </w:r>
    </w:p>
    <w:p w14:paraId="517DB582" w14:textId="77777777" w:rsidR="004462A0" w:rsidRPr="008912CF" w:rsidRDefault="004462A0" w:rsidP="004462A0">
      <w:pPr>
        <w:autoSpaceDE w:val="0"/>
        <w:autoSpaceDN w:val="0"/>
        <w:adjustRightInd w:val="0"/>
        <w:rPr>
          <w:sz w:val="22"/>
          <w:szCs w:val="22"/>
        </w:rPr>
      </w:pPr>
    </w:p>
    <w:p w14:paraId="5EA91E4E" w14:textId="77777777" w:rsidR="004462A0" w:rsidRPr="008912CF" w:rsidRDefault="00615769" w:rsidP="002F486F">
      <w:pPr>
        <w:keepNext/>
        <w:autoSpaceDE w:val="0"/>
        <w:autoSpaceDN w:val="0"/>
        <w:adjustRightInd w:val="0"/>
        <w:rPr>
          <w:i/>
          <w:iCs/>
          <w:sz w:val="22"/>
          <w:szCs w:val="22"/>
        </w:rPr>
      </w:pPr>
      <w:r w:rsidRPr="008912CF">
        <w:rPr>
          <w:i/>
          <w:iCs/>
          <w:sz w:val="22"/>
          <w:szCs w:val="22"/>
        </w:rPr>
        <w:t>Tuberculose</w:t>
      </w:r>
    </w:p>
    <w:p w14:paraId="18FC8DA0" w14:textId="77777777" w:rsidR="004462A0" w:rsidRPr="008912CF" w:rsidRDefault="004462A0" w:rsidP="002F486F">
      <w:pPr>
        <w:keepNext/>
        <w:autoSpaceDE w:val="0"/>
        <w:autoSpaceDN w:val="0"/>
        <w:adjustRightInd w:val="0"/>
        <w:rPr>
          <w:sz w:val="22"/>
          <w:szCs w:val="22"/>
        </w:rPr>
      </w:pPr>
    </w:p>
    <w:p w14:paraId="2BD1ED32" w14:textId="77777777" w:rsidR="004462A0" w:rsidRPr="008912CF" w:rsidRDefault="00615769" w:rsidP="002F486F">
      <w:pPr>
        <w:keepNext/>
        <w:autoSpaceDE w:val="0"/>
        <w:autoSpaceDN w:val="0"/>
        <w:adjustRightInd w:val="0"/>
        <w:rPr>
          <w:sz w:val="22"/>
          <w:szCs w:val="22"/>
        </w:rPr>
      </w:pPr>
      <w:r w:rsidRPr="008912CF">
        <w:rPr>
          <w:sz w:val="22"/>
          <w:szCs w:val="22"/>
        </w:rPr>
        <w:t>Foram notificados casos de tuberculose, incluindo reativação e novo aparecimento de tuberculose, em doentes tratados com Humira. Os casos notificados incluíram tuberculose pulmonar e extrapulmonar (isto é</w:t>
      </w:r>
      <w:r w:rsidR="00862DA6">
        <w:rPr>
          <w:sz w:val="22"/>
          <w:szCs w:val="22"/>
        </w:rPr>
        <w:t>,</w:t>
      </w:r>
      <w:r w:rsidRPr="008912CF">
        <w:rPr>
          <w:sz w:val="22"/>
          <w:szCs w:val="22"/>
        </w:rPr>
        <w:t xml:space="preserve"> disseminada).</w:t>
      </w:r>
    </w:p>
    <w:p w14:paraId="2F85683D" w14:textId="77777777" w:rsidR="004462A0" w:rsidRPr="008912CF" w:rsidRDefault="004462A0" w:rsidP="004462A0">
      <w:pPr>
        <w:pStyle w:val="EndnoteText"/>
        <w:tabs>
          <w:tab w:val="clear" w:pos="567"/>
        </w:tabs>
        <w:autoSpaceDE w:val="0"/>
        <w:autoSpaceDN w:val="0"/>
        <w:adjustRightInd w:val="0"/>
        <w:rPr>
          <w:szCs w:val="22"/>
        </w:rPr>
      </w:pPr>
    </w:p>
    <w:p w14:paraId="2BFCB42B" w14:textId="77777777" w:rsidR="004462A0" w:rsidRPr="008912CF" w:rsidRDefault="00615769" w:rsidP="004462A0">
      <w:pPr>
        <w:autoSpaceDE w:val="0"/>
        <w:autoSpaceDN w:val="0"/>
        <w:adjustRightInd w:val="0"/>
        <w:rPr>
          <w:sz w:val="22"/>
          <w:szCs w:val="22"/>
          <w:u w:val="single"/>
        </w:rPr>
      </w:pPr>
      <w:r w:rsidRPr="008912CF">
        <w:rPr>
          <w:sz w:val="22"/>
          <w:szCs w:val="22"/>
        </w:rPr>
        <w:t>Antes de iniciar a terapêutica com Humira, todos os doentes devem ser avaliados para despiste da presença de infeção por tuberculose</w:t>
      </w:r>
      <w:r w:rsidR="00862DA6">
        <w:rPr>
          <w:sz w:val="22"/>
          <w:szCs w:val="22"/>
        </w:rPr>
        <w:t>,</w:t>
      </w:r>
      <w:r w:rsidRPr="008912CF">
        <w:rPr>
          <w:sz w:val="22"/>
          <w:szCs w:val="22"/>
        </w:rPr>
        <w:t xml:space="preserve"> tanto ativa como inativa (“latente”). Esta avaliação deve incluir uma </w:t>
      </w:r>
      <w:r w:rsidR="00862DA6">
        <w:rPr>
          <w:sz w:val="22"/>
          <w:szCs w:val="22"/>
        </w:rPr>
        <w:t>avaliação</w:t>
      </w:r>
      <w:r w:rsidR="00862DA6" w:rsidRPr="008912CF">
        <w:rPr>
          <w:sz w:val="22"/>
          <w:szCs w:val="22"/>
        </w:rPr>
        <w:t xml:space="preserve"> </w:t>
      </w:r>
      <w:r w:rsidRPr="008912CF">
        <w:rPr>
          <w:sz w:val="22"/>
          <w:szCs w:val="22"/>
        </w:rPr>
        <w:t xml:space="preserve">clínica detalhada dos doentes com antecedentes da tuberculose ou de uma possível exposição prévia a indivíduos com tuberculose ativa e uma terapêutica imunossupressora prévia e/ou presente. Devem realizar-se exames de despiste apropriados </w:t>
      </w:r>
      <w:r w:rsidR="008A40F5">
        <w:rPr>
          <w:sz w:val="22"/>
          <w:szCs w:val="22"/>
        </w:rPr>
        <w:t>(</w:t>
      </w:r>
      <w:r w:rsidRPr="008912CF">
        <w:rPr>
          <w:sz w:val="22"/>
          <w:szCs w:val="22"/>
        </w:rPr>
        <w:t>isto é, teste de tuberculina e radiografia do tórax</w:t>
      </w:r>
      <w:r w:rsidR="008A40F5">
        <w:rPr>
          <w:sz w:val="22"/>
          <w:szCs w:val="22"/>
        </w:rPr>
        <w:t>)</w:t>
      </w:r>
      <w:r w:rsidRPr="008912CF">
        <w:rPr>
          <w:sz w:val="22"/>
          <w:szCs w:val="22"/>
        </w:rPr>
        <w:t xml:space="preserve"> em todos os doentes (devem aplicar-se as recomendações locais). A realização e o resultado destes exames são registados no </w:t>
      </w:r>
      <w:r w:rsidR="00E02FA8">
        <w:rPr>
          <w:sz w:val="22"/>
          <w:szCs w:val="22"/>
        </w:rPr>
        <w:t>C</w:t>
      </w:r>
      <w:r w:rsidRPr="008912CF">
        <w:rPr>
          <w:sz w:val="22"/>
          <w:szCs w:val="22"/>
        </w:rPr>
        <w:t xml:space="preserve">artão de </w:t>
      </w:r>
      <w:r w:rsidR="00E02FA8">
        <w:rPr>
          <w:sz w:val="22"/>
          <w:szCs w:val="22"/>
        </w:rPr>
        <w:t>S</w:t>
      </w:r>
      <w:r w:rsidRPr="008912CF">
        <w:rPr>
          <w:sz w:val="22"/>
          <w:szCs w:val="22"/>
        </w:rPr>
        <w:t>egur</w:t>
      </w:r>
      <w:r w:rsidRPr="008912CF">
        <w:rPr>
          <w:sz w:val="22"/>
          <w:szCs w:val="22"/>
        </w:rPr>
        <w:t xml:space="preserve">ança do </w:t>
      </w:r>
      <w:r w:rsidR="00E02FA8">
        <w:rPr>
          <w:sz w:val="22"/>
          <w:szCs w:val="22"/>
        </w:rPr>
        <w:t>D</w:t>
      </w:r>
      <w:r w:rsidRPr="008912CF">
        <w:rPr>
          <w:sz w:val="22"/>
          <w:szCs w:val="22"/>
        </w:rPr>
        <w:t>oente. O médico prescritor deve ser avisado sobre o risco de resultados falsos negativos nos testes de tuberculina, especialmente nos doentes em estado grave ou imunocomprometidos.</w:t>
      </w:r>
    </w:p>
    <w:p w14:paraId="18989E74" w14:textId="77777777" w:rsidR="004462A0" w:rsidRPr="008912CF" w:rsidRDefault="004462A0" w:rsidP="004462A0">
      <w:pPr>
        <w:pStyle w:val="EndnoteText"/>
        <w:rPr>
          <w:szCs w:val="22"/>
        </w:rPr>
      </w:pPr>
    </w:p>
    <w:p w14:paraId="320390E6" w14:textId="77777777" w:rsidR="004462A0" w:rsidRPr="008912CF" w:rsidRDefault="00615769" w:rsidP="004462A0">
      <w:pPr>
        <w:pStyle w:val="EndnoteText"/>
        <w:rPr>
          <w:i/>
          <w:szCs w:val="22"/>
        </w:rPr>
      </w:pPr>
      <w:r w:rsidRPr="008912CF">
        <w:rPr>
          <w:szCs w:val="22"/>
        </w:rPr>
        <w:t>Não se deve iniciar a terapêutica com Humira em caso de diagnóstico de tuberculose ativa (ver secção 4.3).</w:t>
      </w:r>
      <w:r w:rsidRPr="008912CF">
        <w:rPr>
          <w:i/>
          <w:szCs w:val="22"/>
        </w:rPr>
        <w:t xml:space="preserve"> </w:t>
      </w:r>
    </w:p>
    <w:p w14:paraId="4DDA8957" w14:textId="77777777" w:rsidR="004462A0" w:rsidRPr="008912CF" w:rsidRDefault="004462A0" w:rsidP="004462A0">
      <w:pPr>
        <w:rPr>
          <w:sz w:val="22"/>
          <w:szCs w:val="22"/>
        </w:rPr>
      </w:pPr>
    </w:p>
    <w:p w14:paraId="53D3BAE0" w14:textId="77777777" w:rsidR="004462A0" w:rsidRPr="008912CF" w:rsidRDefault="00615769" w:rsidP="004462A0">
      <w:pPr>
        <w:rPr>
          <w:sz w:val="22"/>
          <w:szCs w:val="22"/>
        </w:rPr>
      </w:pPr>
      <w:r w:rsidRPr="008912CF">
        <w:rPr>
          <w:sz w:val="22"/>
          <w:szCs w:val="22"/>
        </w:rPr>
        <w:t>Em todas as situações abaixo descritas, a relação benefício/risco da terapêutica deve ser muito cuidadosamente ponderada.</w:t>
      </w:r>
    </w:p>
    <w:p w14:paraId="7CB50F45" w14:textId="77777777" w:rsidR="004462A0" w:rsidRPr="008912CF" w:rsidRDefault="004462A0" w:rsidP="004462A0">
      <w:pPr>
        <w:rPr>
          <w:sz w:val="22"/>
          <w:szCs w:val="22"/>
        </w:rPr>
      </w:pPr>
    </w:p>
    <w:p w14:paraId="4917B97C" w14:textId="77777777" w:rsidR="004462A0" w:rsidRPr="008912CF" w:rsidRDefault="00615769" w:rsidP="004462A0">
      <w:pPr>
        <w:rPr>
          <w:i/>
          <w:sz w:val="22"/>
          <w:szCs w:val="22"/>
        </w:rPr>
      </w:pPr>
      <w:r w:rsidRPr="008912CF">
        <w:rPr>
          <w:sz w:val="22"/>
          <w:szCs w:val="22"/>
        </w:rPr>
        <w:t>Em caso de suspeita de tuberculose latente, deve ser consultado um médico com experiência no tratamento da tuberculose.</w:t>
      </w:r>
    </w:p>
    <w:p w14:paraId="2E33A7C9" w14:textId="77777777" w:rsidR="004462A0" w:rsidRPr="008912CF" w:rsidRDefault="004462A0" w:rsidP="004462A0">
      <w:pPr>
        <w:rPr>
          <w:color w:val="000000"/>
          <w:sz w:val="22"/>
          <w:szCs w:val="22"/>
        </w:rPr>
      </w:pPr>
    </w:p>
    <w:p w14:paraId="0EB8866A" w14:textId="77777777" w:rsidR="004462A0" w:rsidRPr="008912CF" w:rsidRDefault="00615769" w:rsidP="004462A0">
      <w:pPr>
        <w:autoSpaceDE w:val="0"/>
        <w:autoSpaceDN w:val="0"/>
        <w:adjustRightInd w:val="0"/>
        <w:rPr>
          <w:snapToGrid w:val="0"/>
          <w:sz w:val="22"/>
          <w:szCs w:val="22"/>
        </w:rPr>
      </w:pPr>
      <w:r w:rsidRPr="008912CF">
        <w:rPr>
          <w:sz w:val="22"/>
          <w:szCs w:val="22"/>
        </w:rPr>
        <w:t xml:space="preserve">Em caso de diagnóstico de tuberculose latente, deve ser iniciada </w:t>
      </w:r>
      <w:r w:rsidR="00FD757B">
        <w:rPr>
          <w:sz w:val="22"/>
          <w:szCs w:val="22"/>
        </w:rPr>
        <w:t>terapêutica apropriada de</w:t>
      </w:r>
      <w:r w:rsidR="00FD757B" w:rsidRPr="008912CF">
        <w:rPr>
          <w:sz w:val="22"/>
          <w:szCs w:val="22"/>
        </w:rPr>
        <w:t xml:space="preserve"> </w:t>
      </w:r>
      <w:r w:rsidRPr="008912CF">
        <w:rPr>
          <w:sz w:val="22"/>
          <w:szCs w:val="22"/>
        </w:rPr>
        <w:t>profilaxia anti</w:t>
      </w:r>
      <w:r w:rsidR="00FD757B">
        <w:rPr>
          <w:sz w:val="22"/>
          <w:szCs w:val="22"/>
        </w:rPr>
        <w:t>-</w:t>
      </w:r>
      <w:r w:rsidRPr="008912CF">
        <w:rPr>
          <w:sz w:val="22"/>
          <w:szCs w:val="22"/>
        </w:rPr>
        <w:t xml:space="preserve">tuberculose antes do início do tratamento com Humira, e de acordo com as recomendações locais. </w:t>
      </w:r>
    </w:p>
    <w:p w14:paraId="5809536B" w14:textId="77777777" w:rsidR="004462A0" w:rsidRPr="008912CF" w:rsidRDefault="004462A0" w:rsidP="004462A0">
      <w:pPr>
        <w:pStyle w:val="BodyText"/>
        <w:ind w:right="720"/>
        <w:rPr>
          <w:sz w:val="22"/>
          <w:szCs w:val="22"/>
        </w:rPr>
      </w:pPr>
    </w:p>
    <w:p w14:paraId="78D21193" w14:textId="77777777" w:rsidR="004462A0" w:rsidRPr="008912CF" w:rsidRDefault="00615769" w:rsidP="004462A0">
      <w:pPr>
        <w:autoSpaceDE w:val="0"/>
        <w:autoSpaceDN w:val="0"/>
        <w:adjustRightInd w:val="0"/>
        <w:rPr>
          <w:sz w:val="22"/>
          <w:szCs w:val="22"/>
        </w:rPr>
      </w:pPr>
      <w:r w:rsidRPr="008912CF">
        <w:rPr>
          <w:sz w:val="22"/>
          <w:szCs w:val="22"/>
        </w:rPr>
        <w:t>A utilização de um tratamento de profilaxia da tuberculose deve também ser considerada</w:t>
      </w:r>
      <w:r w:rsidR="00C50874">
        <w:rPr>
          <w:sz w:val="22"/>
          <w:szCs w:val="22"/>
        </w:rPr>
        <w:t>, antes do início do tratamento com Humira,</w:t>
      </w:r>
      <w:r w:rsidRPr="008912CF">
        <w:rPr>
          <w:sz w:val="22"/>
          <w:szCs w:val="22"/>
        </w:rPr>
        <w:t xml:space="preserve"> em doentes com vários ou significantes fatores de risco de tuberculose apesar de um teste negativo à tuberculose e em doentes com uma história de tuberculose ativa ou latente, </w:t>
      </w:r>
      <w:r w:rsidR="00C50874">
        <w:rPr>
          <w:sz w:val="22"/>
          <w:szCs w:val="22"/>
        </w:rPr>
        <w:t>nos quais não pode ser confirmado</w:t>
      </w:r>
      <w:r w:rsidRPr="008912CF">
        <w:rPr>
          <w:sz w:val="22"/>
          <w:szCs w:val="22"/>
        </w:rPr>
        <w:t xml:space="preserve"> um adequado</w:t>
      </w:r>
      <w:r w:rsidR="00C50874">
        <w:rPr>
          <w:sz w:val="22"/>
          <w:szCs w:val="22"/>
        </w:rPr>
        <w:t xml:space="preserve"> curso de</w:t>
      </w:r>
      <w:r w:rsidRPr="008912CF">
        <w:rPr>
          <w:sz w:val="22"/>
          <w:szCs w:val="22"/>
        </w:rPr>
        <w:t xml:space="preserve"> tratamento. </w:t>
      </w:r>
    </w:p>
    <w:p w14:paraId="2DF92F36" w14:textId="77777777" w:rsidR="004462A0" w:rsidRPr="008912CF" w:rsidRDefault="004462A0" w:rsidP="004462A0">
      <w:pPr>
        <w:autoSpaceDE w:val="0"/>
        <w:autoSpaceDN w:val="0"/>
        <w:adjustRightInd w:val="0"/>
        <w:rPr>
          <w:sz w:val="22"/>
          <w:szCs w:val="22"/>
        </w:rPr>
      </w:pPr>
    </w:p>
    <w:p w14:paraId="4B94F95E" w14:textId="77777777" w:rsidR="004462A0" w:rsidRPr="008912CF" w:rsidRDefault="00615769" w:rsidP="004462A0">
      <w:pPr>
        <w:autoSpaceDE w:val="0"/>
        <w:autoSpaceDN w:val="0"/>
        <w:adjustRightInd w:val="0"/>
        <w:rPr>
          <w:sz w:val="22"/>
          <w:szCs w:val="22"/>
        </w:rPr>
      </w:pPr>
      <w:r w:rsidRPr="008912CF">
        <w:rPr>
          <w:sz w:val="22"/>
          <w:szCs w:val="22"/>
        </w:rPr>
        <w:t>Apesar do tratamento profilático da tuberculose, ocorreram casos de reativação da tuberculose em doentes tratados com Humira. Alguns doentes em que o tratamento para a tuberculose ativa foi bem sucedido, voltaram a desenvolver tuberculose enquanto foram tratados com Humira.</w:t>
      </w:r>
    </w:p>
    <w:p w14:paraId="2D2F6151" w14:textId="77777777" w:rsidR="004462A0" w:rsidRPr="008912CF" w:rsidRDefault="004462A0" w:rsidP="004462A0">
      <w:pPr>
        <w:autoSpaceDE w:val="0"/>
        <w:autoSpaceDN w:val="0"/>
        <w:adjustRightInd w:val="0"/>
        <w:rPr>
          <w:sz w:val="22"/>
          <w:szCs w:val="22"/>
        </w:rPr>
      </w:pPr>
    </w:p>
    <w:p w14:paraId="0DB535EC" w14:textId="77777777" w:rsidR="004462A0" w:rsidRPr="008912CF" w:rsidRDefault="00615769" w:rsidP="004462A0">
      <w:pPr>
        <w:autoSpaceDE w:val="0"/>
        <w:autoSpaceDN w:val="0"/>
        <w:adjustRightInd w:val="0"/>
        <w:rPr>
          <w:b/>
          <w:i/>
          <w:sz w:val="22"/>
          <w:szCs w:val="22"/>
        </w:rPr>
      </w:pPr>
      <w:r w:rsidRPr="008912CF">
        <w:rPr>
          <w:sz w:val="22"/>
          <w:szCs w:val="22"/>
        </w:rPr>
        <w:t>Os doentes devem ser aconselhados a consultar o médico se ocorrerem sinais/sintomas sugestivos de uma infeção por tuberculose (por ex., tosse persistente, emagrecimento/perda de peso, febre baixa, apatia) durante ou após a terapêutica com Humira.</w:t>
      </w:r>
    </w:p>
    <w:p w14:paraId="7BE25BDF" w14:textId="77777777" w:rsidR="004462A0" w:rsidRPr="008912CF" w:rsidRDefault="004462A0" w:rsidP="004462A0">
      <w:pPr>
        <w:autoSpaceDE w:val="0"/>
        <w:autoSpaceDN w:val="0"/>
        <w:adjustRightInd w:val="0"/>
        <w:rPr>
          <w:sz w:val="22"/>
          <w:szCs w:val="22"/>
        </w:rPr>
      </w:pPr>
    </w:p>
    <w:p w14:paraId="35EB829B" w14:textId="77777777" w:rsidR="004462A0" w:rsidRPr="008912CF" w:rsidRDefault="00615769" w:rsidP="00F8037C">
      <w:pPr>
        <w:keepNext/>
        <w:autoSpaceDE w:val="0"/>
        <w:autoSpaceDN w:val="0"/>
        <w:adjustRightInd w:val="0"/>
        <w:rPr>
          <w:i/>
          <w:iCs/>
          <w:sz w:val="22"/>
          <w:szCs w:val="22"/>
        </w:rPr>
      </w:pPr>
      <w:r w:rsidRPr="008912CF">
        <w:rPr>
          <w:i/>
          <w:iCs/>
          <w:sz w:val="22"/>
          <w:szCs w:val="22"/>
        </w:rPr>
        <w:t>Outras infeções oportunistas</w:t>
      </w:r>
    </w:p>
    <w:p w14:paraId="26FE533F" w14:textId="77777777" w:rsidR="004462A0" w:rsidRPr="008912CF" w:rsidRDefault="004462A0" w:rsidP="00F8037C">
      <w:pPr>
        <w:keepNext/>
        <w:autoSpaceDE w:val="0"/>
        <w:autoSpaceDN w:val="0"/>
        <w:adjustRightInd w:val="0"/>
        <w:rPr>
          <w:sz w:val="22"/>
          <w:szCs w:val="22"/>
        </w:rPr>
      </w:pPr>
    </w:p>
    <w:p w14:paraId="05CC50B0" w14:textId="77777777" w:rsidR="004462A0" w:rsidRPr="008912CF" w:rsidRDefault="00615769" w:rsidP="00F8037C">
      <w:pPr>
        <w:keepNext/>
        <w:autoSpaceDE w:val="0"/>
        <w:autoSpaceDN w:val="0"/>
        <w:adjustRightInd w:val="0"/>
        <w:rPr>
          <w:sz w:val="22"/>
          <w:szCs w:val="22"/>
        </w:rPr>
      </w:pPr>
      <w:r w:rsidRPr="008912CF">
        <w:rPr>
          <w:sz w:val="22"/>
          <w:szCs w:val="22"/>
        </w:rPr>
        <w:t>Foram observadas infeções oportunistas, incluindo infeções fúngicas invasivas</w:t>
      </w:r>
      <w:r w:rsidR="00FD757B">
        <w:rPr>
          <w:sz w:val="22"/>
          <w:szCs w:val="22"/>
        </w:rPr>
        <w:t>,</w:t>
      </w:r>
      <w:r w:rsidRPr="008912CF">
        <w:rPr>
          <w:sz w:val="22"/>
          <w:szCs w:val="22"/>
        </w:rPr>
        <w:t xml:space="preserve"> em doentes tratados com Humira. Estas infeções não foram consistentemente reconhecidas em doentes tratados com antagonistas</w:t>
      </w:r>
      <w:r w:rsidRPr="008912CF">
        <w:rPr>
          <w:sz w:val="22"/>
          <w:szCs w:val="22"/>
        </w:rPr>
        <w:noBreakHyphen/>
        <w:t>TNF, resultando em atrasos no tratamento apropriado, por vezes com consequências fatais.</w:t>
      </w:r>
    </w:p>
    <w:p w14:paraId="0A401747" w14:textId="77777777" w:rsidR="004462A0" w:rsidRPr="008912CF" w:rsidRDefault="004462A0" w:rsidP="004462A0">
      <w:pPr>
        <w:autoSpaceDE w:val="0"/>
        <w:autoSpaceDN w:val="0"/>
        <w:adjustRightInd w:val="0"/>
        <w:rPr>
          <w:sz w:val="22"/>
          <w:szCs w:val="22"/>
        </w:rPr>
      </w:pPr>
    </w:p>
    <w:p w14:paraId="57C9C021" w14:textId="77777777" w:rsidR="004462A0" w:rsidRPr="008912CF" w:rsidRDefault="00615769" w:rsidP="004462A0">
      <w:pPr>
        <w:autoSpaceDE w:val="0"/>
        <w:autoSpaceDN w:val="0"/>
        <w:adjustRightInd w:val="0"/>
        <w:rPr>
          <w:sz w:val="22"/>
          <w:szCs w:val="22"/>
        </w:rPr>
      </w:pPr>
      <w:r>
        <w:rPr>
          <w:sz w:val="22"/>
          <w:szCs w:val="22"/>
        </w:rPr>
        <w:t>Em d</w:t>
      </w:r>
      <w:r w:rsidRPr="008912CF">
        <w:rPr>
          <w:sz w:val="22"/>
          <w:szCs w:val="22"/>
        </w:rPr>
        <w:t xml:space="preserve">oentes que desenvolvam sinais e sintomas tais como febre, mal estar geral, perda de peso, suores, tosse, dispneia, e/ou infiltração pulmonar ou outras doenças sistémicas graves, com ou sem choque concomitante, deve suspeitar-se de uma infeção fúngica invasiva e a administração de Humira deve ser imediatamente suspensa. O diagnóstico e a administração de uma terapêutica antifúngica empírica nestes doentes devem ser feitos em consulta com um médico especialista </w:t>
      </w:r>
      <w:r>
        <w:rPr>
          <w:sz w:val="22"/>
          <w:szCs w:val="22"/>
        </w:rPr>
        <w:t>no tratamento de</w:t>
      </w:r>
      <w:r w:rsidRPr="008912CF">
        <w:rPr>
          <w:sz w:val="22"/>
          <w:szCs w:val="22"/>
        </w:rPr>
        <w:t xml:space="preserve"> doentes com infeção fúngica inv</w:t>
      </w:r>
      <w:r w:rsidRPr="008912CF">
        <w:rPr>
          <w:sz w:val="22"/>
          <w:szCs w:val="22"/>
        </w:rPr>
        <w:t>asiva.</w:t>
      </w:r>
    </w:p>
    <w:p w14:paraId="71DC9ACF" w14:textId="77777777" w:rsidR="004462A0" w:rsidRPr="008912CF" w:rsidRDefault="004462A0" w:rsidP="004462A0">
      <w:pPr>
        <w:pStyle w:val="Heading9"/>
        <w:keepNext w:val="0"/>
        <w:autoSpaceDE w:val="0"/>
        <w:autoSpaceDN w:val="0"/>
        <w:adjustRightInd w:val="0"/>
        <w:rPr>
          <w:szCs w:val="22"/>
        </w:rPr>
      </w:pPr>
    </w:p>
    <w:p w14:paraId="372BFBD3" w14:textId="77777777" w:rsidR="004462A0" w:rsidRPr="008912CF" w:rsidRDefault="00615769" w:rsidP="002F486F">
      <w:pPr>
        <w:pStyle w:val="Heading9"/>
        <w:autoSpaceDE w:val="0"/>
        <w:autoSpaceDN w:val="0"/>
        <w:adjustRightInd w:val="0"/>
        <w:rPr>
          <w:szCs w:val="22"/>
        </w:rPr>
      </w:pPr>
      <w:r w:rsidRPr="008912CF">
        <w:rPr>
          <w:szCs w:val="22"/>
        </w:rPr>
        <w:t>Reativação da hepatite B</w:t>
      </w:r>
    </w:p>
    <w:p w14:paraId="2D68949C" w14:textId="77777777" w:rsidR="004462A0" w:rsidRPr="008912CF" w:rsidRDefault="004462A0" w:rsidP="002F486F">
      <w:pPr>
        <w:keepNext/>
      </w:pPr>
    </w:p>
    <w:p w14:paraId="2019FF0A" w14:textId="77777777" w:rsidR="004462A0" w:rsidRPr="008912CF" w:rsidRDefault="00615769" w:rsidP="002F486F">
      <w:pPr>
        <w:keepNext/>
        <w:autoSpaceDE w:val="0"/>
        <w:autoSpaceDN w:val="0"/>
        <w:adjustRightInd w:val="0"/>
        <w:rPr>
          <w:sz w:val="22"/>
          <w:szCs w:val="22"/>
        </w:rPr>
      </w:pPr>
      <w:r w:rsidRPr="008912CF">
        <w:rPr>
          <w:sz w:val="22"/>
          <w:szCs w:val="22"/>
        </w:rPr>
        <w:t>Ocorreu reativação de hepatite B nos doentes tratados com um antagonista</w:t>
      </w:r>
      <w:r w:rsidRPr="008912CF">
        <w:rPr>
          <w:sz w:val="22"/>
          <w:szCs w:val="22"/>
        </w:rPr>
        <w:noBreakHyphen/>
        <w:t xml:space="preserve">TNF, incluindo Humira, e que são portadores crónicos deste vírus (por ex., antigénio de superfície positivo). Alguns casos foram fatais. Antes do início do tratamento com Humira os doentes devem ser avaliados para uma possível infeção de HBV. Para os doentes com resultado positivo para a infeção da hepatite B, recomenda-se a consulta de um médico com experiência no tratamento da hepatite B. </w:t>
      </w:r>
    </w:p>
    <w:p w14:paraId="2059D85C" w14:textId="77777777" w:rsidR="004462A0" w:rsidRPr="008912CF" w:rsidRDefault="004462A0" w:rsidP="004462A0">
      <w:pPr>
        <w:autoSpaceDE w:val="0"/>
        <w:autoSpaceDN w:val="0"/>
        <w:adjustRightInd w:val="0"/>
        <w:rPr>
          <w:sz w:val="22"/>
          <w:szCs w:val="22"/>
        </w:rPr>
      </w:pPr>
    </w:p>
    <w:p w14:paraId="31CDFDF7" w14:textId="77777777" w:rsidR="004462A0" w:rsidRPr="008912CF" w:rsidRDefault="00615769" w:rsidP="004462A0">
      <w:pPr>
        <w:autoSpaceDE w:val="0"/>
        <w:autoSpaceDN w:val="0"/>
        <w:adjustRightInd w:val="0"/>
        <w:rPr>
          <w:sz w:val="22"/>
          <w:szCs w:val="22"/>
        </w:rPr>
      </w:pPr>
      <w:r w:rsidRPr="008912CF">
        <w:rPr>
          <w:sz w:val="22"/>
          <w:szCs w:val="22"/>
        </w:rPr>
        <w:t>Portadores de HBV que requerem tratamento com Humira devem ser cuidadosamente monitorizados relativamente aos sinais e sintomas de uma infeção HBV ativa durante o tratamento e alguns meses depois de terminada a terapêutica. Não estão disponíveis dados adequados relativos ao tratamento de doentes portadores de HBV, com terapêutica antiviral em associação com antagonistas</w:t>
      </w:r>
      <w:r w:rsidRPr="008912CF">
        <w:rPr>
          <w:sz w:val="22"/>
          <w:szCs w:val="22"/>
        </w:rPr>
        <w:noBreakHyphen/>
        <w:t>TNF, na prevenção de reativação de HBV. Em doentes que desenvolvem reativação de HBV, Humira deve ser suspenso e deve ser iniciada uma terapêutica antiviral eficaz com tratamento de suporte adequado.</w:t>
      </w:r>
    </w:p>
    <w:p w14:paraId="4694BD94" w14:textId="77777777" w:rsidR="004462A0" w:rsidRPr="008912CF" w:rsidRDefault="004462A0" w:rsidP="004462A0">
      <w:pPr>
        <w:autoSpaceDE w:val="0"/>
        <w:autoSpaceDN w:val="0"/>
        <w:adjustRightInd w:val="0"/>
        <w:rPr>
          <w:sz w:val="22"/>
          <w:szCs w:val="22"/>
        </w:rPr>
      </w:pPr>
    </w:p>
    <w:p w14:paraId="5339B03B" w14:textId="77777777" w:rsidR="004462A0" w:rsidRPr="008912CF" w:rsidRDefault="00615769" w:rsidP="003D66D7">
      <w:pPr>
        <w:keepNext/>
        <w:autoSpaceDE w:val="0"/>
        <w:autoSpaceDN w:val="0"/>
        <w:adjustRightInd w:val="0"/>
        <w:rPr>
          <w:sz w:val="22"/>
          <w:szCs w:val="22"/>
          <w:u w:val="single"/>
        </w:rPr>
      </w:pPr>
      <w:r w:rsidRPr="008912CF">
        <w:rPr>
          <w:sz w:val="22"/>
          <w:szCs w:val="22"/>
          <w:u w:val="single"/>
        </w:rPr>
        <w:t>Efeitos neurológicos</w:t>
      </w:r>
    </w:p>
    <w:p w14:paraId="672A9CA0" w14:textId="77777777" w:rsidR="004462A0" w:rsidRPr="008912CF" w:rsidRDefault="004462A0" w:rsidP="003D66D7">
      <w:pPr>
        <w:keepNext/>
        <w:autoSpaceDE w:val="0"/>
        <w:autoSpaceDN w:val="0"/>
        <w:adjustRightInd w:val="0"/>
        <w:rPr>
          <w:sz w:val="22"/>
          <w:szCs w:val="22"/>
          <w:u w:val="single"/>
        </w:rPr>
      </w:pPr>
    </w:p>
    <w:p w14:paraId="68C7941E" w14:textId="77777777" w:rsidR="004462A0" w:rsidRPr="008912CF" w:rsidRDefault="00615769" w:rsidP="003D66D7">
      <w:pPr>
        <w:keepNext/>
        <w:autoSpaceDE w:val="0"/>
        <w:autoSpaceDN w:val="0"/>
        <w:adjustRightInd w:val="0"/>
        <w:rPr>
          <w:sz w:val="22"/>
          <w:szCs w:val="22"/>
        </w:rPr>
      </w:pPr>
      <w:r w:rsidRPr="008912CF">
        <w:rPr>
          <w:sz w:val="22"/>
          <w:szCs w:val="22"/>
        </w:rPr>
        <w:t>Os antagonistas</w:t>
      </w:r>
      <w:r w:rsidRPr="008912CF">
        <w:rPr>
          <w:sz w:val="22"/>
          <w:szCs w:val="22"/>
        </w:rPr>
        <w:noBreakHyphen/>
        <w:t>TNF, incluindo Humira, foram associados em casos raros com o reaparecimento ou com a exacerbação de sintomatologia clínica e/ou evidência radiográfica de doença desmielinizante do sistema nervoso central</w:t>
      </w:r>
      <w:r w:rsidR="00FD757B">
        <w:rPr>
          <w:sz w:val="22"/>
          <w:szCs w:val="22"/>
        </w:rPr>
        <w:t>,</w:t>
      </w:r>
      <w:r w:rsidRPr="008912CF">
        <w:rPr>
          <w:sz w:val="22"/>
          <w:szCs w:val="22"/>
        </w:rPr>
        <w:t xml:space="preserve"> incluindo esclerose múltipla e neurite ótica</w:t>
      </w:r>
      <w:r w:rsidR="00FD757B">
        <w:rPr>
          <w:sz w:val="22"/>
          <w:szCs w:val="22"/>
        </w:rPr>
        <w:t>,</w:t>
      </w:r>
      <w:r w:rsidRPr="008912CF">
        <w:rPr>
          <w:sz w:val="22"/>
          <w:szCs w:val="22"/>
        </w:rPr>
        <w:t xml:space="preserve"> e doença desmielinizante periférica, incluindo síndrome de Guillain-Barré. O médico prescritor deve ter precaução ao considerar o uso de Humira em doentes com patologias desmielinizantes do sistema nervoso central ou periférico pré-existentes ou de início rece</w:t>
      </w:r>
      <w:r w:rsidRPr="008912CF">
        <w:rPr>
          <w:sz w:val="22"/>
          <w:szCs w:val="22"/>
        </w:rPr>
        <w:t>nte</w:t>
      </w:r>
      <w:r>
        <w:rPr>
          <w:sz w:val="22"/>
          <w:szCs w:val="22"/>
        </w:rPr>
        <w:t>;</w:t>
      </w:r>
      <w:r w:rsidRPr="008912CF">
        <w:rPr>
          <w:sz w:val="22"/>
          <w:szCs w:val="22"/>
        </w:rPr>
        <w:t xml:space="preserve"> </w:t>
      </w:r>
      <w:r w:rsidRPr="002F618D">
        <w:rPr>
          <w:bCs/>
          <w:sz w:val="22"/>
          <w:szCs w:val="22"/>
        </w:rPr>
        <w:t>a descontinuação da terapêutica com Humira deverá ser considerada em doentes que desenvolvam algumas destas patologias. Existe uma associação conhecida entre a uveíte intermédia e as doenças desmielinizantes do sistema nervoso central. A avaliação neurológica deve ser efetuada em doentes que apresentem uveíte intermédia não</w:t>
      </w:r>
      <w:r>
        <w:rPr>
          <w:bCs/>
          <w:sz w:val="22"/>
          <w:szCs w:val="22"/>
        </w:rPr>
        <w:t xml:space="preserve"> </w:t>
      </w:r>
      <w:r w:rsidRPr="002F618D">
        <w:rPr>
          <w:bCs/>
          <w:sz w:val="22"/>
          <w:szCs w:val="22"/>
        </w:rPr>
        <w:t>infe</w:t>
      </w:r>
      <w:r>
        <w:rPr>
          <w:bCs/>
          <w:sz w:val="22"/>
          <w:szCs w:val="22"/>
        </w:rPr>
        <w:t>c</w:t>
      </w:r>
      <w:r w:rsidRPr="002F618D">
        <w:rPr>
          <w:bCs/>
          <w:sz w:val="22"/>
          <w:szCs w:val="22"/>
        </w:rPr>
        <w:t>ciosa antes do início do tratamento com Humira e regularmente durante o tratamento</w:t>
      </w:r>
      <w:r>
        <w:rPr>
          <w:bCs/>
          <w:sz w:val="22"/>
          <w:szCs w:val="22"/>
        </w:rPr>
        <w:t>,</w:t>
      </w:r>
      <w:r w:rsidRPr="002F618D">
        <w:rPr>
          <w:bCs/>
          <w:sz w:val="22"/>
          <w:szCs w:val="22"/>
        </w:rPr>
        <w:t xml:space="preserve"> para avaliação de doenças desmielinizantes do sistema nervoso central pré-existentes ou em desenvolvimento.</w:t>
      </w:r>
    </w:p>
    <w:p w14:paraId="4B8A359D" w14:textId="77777777" w:rsidR="004462A0" w:rsidRPr="008912CF" w:rsidRDefault="004462A0" w:rsidP="004462A0">
      <w:pPr>
        <w:rPr>
          <w:sz w:val="22"/>
          <w:szCs w:val="22"/>
          <w:u w:val="single"/>
        </w:rPr>
      </w:pPr>
    </w:p>
    <w:p w14:paraId="1037A566" w14:textId="77777777" w:rsidR="004462A0" w:rsidRPr="008912CF" w:rsidRDefault="00615769" w:rsidP="004462A0">
      <w:pPr>
        <w:rPr>
          <w:sz w:val="22"/>
          <w:szCs w:val="22"/>
          <w:u w:val="single"/>
        </w:rPr>
      </w:pPr>
      <w:r w:rsidRPr="008912CF">
        <w:rPr>
          <w:sz w:val="22"/>
          <w:szCs w:val="22"/>
          <w:u w:val="single"/>
        </w:rPr>
        <w:t>Reações alérgicas</w:t>
      </w:r>
    </w:p>
    <w:p w14:paraId="41D0F9F8" w14:textId="77777777" w:rsidR="004462A0" w:rsidRPr="008912CF" w:rsidRDefault="004462A0" w:rsidP="004462A0">
      <w:pPr>
        <w:rPr>
          <w:sz w:val="22"/>
          <w:szCs w:val="22"/>
          <w:u w:val="single"/>
        </w:rPr>
      </w:pPr>
    </w:p>
    <w:p w14:paraId="0912769D" w14:textId="77777777" w:rsidR="004462A0" w:rsidRPr="008912CF" w:rsidRDefault="00615769" w:rsidP="004462A0">
      <w:pPr>
        <w:autoSpaceDE w:val="0"/>
        <w:autoSpaceDN w:val="0"/>
        <w:adjustRightInd w:val="0"/>
        <w:rPr>
          <w:sz w:val="22"/>
          <w:szCs w:val="22"/>
        </w:rPr>
      </w:pPr>
      <w:r w:rsidRPr="008912CF">
        <w:rPr>
          <w:sz w:val="22"/>
          <w:szCs w:val="22"/>
        </w:rPr>
        <w:t>No decurso dos ensaios clínicos foram raras as reações alérgicas graves associadas a Humira. No decurso dos ensaios clínicos foram pouco frequentes os casos de reações alérgicas não graves associadas a Humira. Foram notificados casos de reações alérgicas graves, incluindo anafilaxia, associadas à administração de Humira. Caso se verifique uma reação anafilática ou outra reação alérgica grave, deve suspender-se imediatamente a administração de Humira e instituir-se uma terapêutica apropriada.</w:t>
      </w:r>
    </w:p>
    <w:p w14:paraId="245D1E82" w14:textId="77777777" w:rsidR="004462A0" w:rsidRPr="008912CF" w:rsidRDefault="004462A0" w:rsidP="004462A0">
      <w:pPr>
        <w:autoSpaceDE w:val="0"/>
        <w:autoSpaceDN w:val="0"/>
        <w:adjustRightInd w:val="0"/>
        <w:rPr>
          <w:sz w:val="22"/>
          <w:szCs w:val="22"/>
        </w:rPr>
      </w:pPr>
    </w:p>
    <w:p w14:paraId="236820EB" w14:textId="77777777" w:rsidR="004462A0" w:rsidRPr="008912CF" w:rsidRDefault="00615769" w:rsidP="00AD6FCC">
      <w:pPr>
        <w:keepNext/>
        <w:autoSpaceDE w:val="0"/>
        <w:autoSpaceDN w:val="0"/>
        <w:adjustRightInd w:val="0"/>
        <w:rPr>
          <w:sz w:val="22"/>
          <w:szCs w:val="22"/>
          <w:u w:val="single"/>
        </w:rPr>
      </w:pPr>
      <w:r w:rsidRPr="008912CF">
        <w:rPr>
          <w:sz w:val="22"/>
          <w:szCs w:val="22"/>
          <w:u w:val="single"/>
        </w:rPr>
        <w:t>Imunossupressão</w:t>
      </w:r>
    </w:p>
    <w:p w14:paraId="6CC399FB" w14:textId="77777777" w:rsidR="004462A0" w:rsidRPr="008912CF" w:rsidRDefault="004462A0" w:rsidP="00AD6FCC">
      <w:pPr>
        <w:keepNext/>
        <w:autoSpaceDE w:val="0"/>
        <w:autoSpaceDN w:val="0"/>
        <w:adjustRightInd w:val="0"/>
        <w:rPr>
          <w:sz w:val="22"/>
          <w:szCs w:val="22"/>
          <w:u w:val="single"/>
        </w:rPr>
      </w:pPr>
    </w:p>
    <w:p w14:paraId="26F71E62" w14:textId="77777777" w:rsidR="004462A0" w:rsidRPr="008912CF" w:rsidRDefault="00615769" w:rsidP="00AD6FCC">
      <w:pPr>
        <w:keepNext/>
        <w:rPr>
          <w:sz w:val="22"/>
          <w:szCs w:val="22"/>
        </w:rPr>
      </w:pPr>
      <w:r w:rsidRPr="008912CF">
        <w:rPr>
          <w:sz w:val="22"/>
          <w:szCs w:val="22"/>
        </w:rPr>
        <w:t>Num estudo realizado em 64 doentes com artrite reumatoide tratados com Humira, não se observou qualquer evidência de redução da hipersensibilidade de tipo tardio, redução dos níveis de imunoglobulina ou alteração do número de linfócitos efetores T, B, células NK, monócitos/macrófagos e neutrófilos.</w:t>
      </w:r>
    </w:p>
    <w:p w14:paraId="7155542A" w14:textId="77777777" w:rsidR="004462A0" w:rsidRPr="008912CF" w:rsidRDefault="004462A0" w:rsidP="004462A0">
      <w:pPr>
        <w:rPr>
          <w:sz w:val="22"/>
          <w:szCs w:val="22"/>
        </w:rPr>
      </w:pPr>
    </w:p>
    <w:p w14:paraId="718AC2CB" w14:textId="77777777" w:rsidR="004462A0" w:rsidRPr="008912CF" w:rsidRDefault="00615769" w:rsidP="004462A0">
      <w:pPr>
        <w:pStyle w:val="EMEAHeadingUnderline"/>
        <w:spacing w:before="0" w:after="0"/>
        <w:rPr>
          <w:szCs w:val="22"/>
          <w:lang w:val="pt-PT"/>
        </w:rPr>
      </w:pPr>
      <w:r>
        <w:rPr>
          <w:szCs w:val="22"/>
          <w:lang w:val="pt-PT"/>
        </w:rPr>
        <w:t>Neoplasias e d</w:t>
      </w:r>
      <w:r w:rsidRPr="008912CF">
        <w:rPr>
          <w:szCs w:val="22"/>
          <w:lang w:val="pt-PT"/>
        </w:rPr>
        <w:t>oenças linfoproliferativas</w:t>
      </w:r>
    </w:p>
    <w:p w14:paraId="735FE98B" w14:textId="77777777" w:rsidR="004462A0" w:rsidRPr="008912CF" w:rsidRDefault="004462A0" w:rsidP="004462A0">
      <w:pPr>
        <w:rPr>
          <w:sz w:val="22"/>
          <w:szCs w:val="22"/>
        </w:rPr>
      </w:pPr>
    </w:p>
    <w:p w14:paraId="418F66D1" w14:textId="77777777" w:rsidR="004462A0" w:rsidRPr="008912CF" w:rsidRDefault="00615769" w:rsidP="004462A0">
      <w:pPr>
        <w:rPr>
          <w:sz w:val="22"/>
          <w:szCs w:val="22"/>
        </w:rPr>
      </w:pPr>
      <w:r w:rsidRPr="008912CF">
        <w:rPr>
          <w:sz w:val="22"/>
          <w:szCs w:val="22"/>
        </w:rPr>
        <w:t>Em partes controladas de ensaios clínicos de antagonistas</w:t>
      </w:r>
      <w:r w:rsidRPr="008912CF">
        <w:rPr>
          <w:sz w:val="22"/>
          <w:szCs w:val="22"/>
        </w:rPr>
        <w:noBreakHyphen/>
        <w:t>TNF, foram observados mais casos de neoplasias incluindo linfomas em doentes tratados com antagonistas</w:t>
      </w:r>
      <w:r w:rsidRPr="008912CF">
        <w:rPr>
          <w:sz w:val="22"/>
          <w:szCs w:val="22"/>
        </w:rPr>
        <w:noBreakHyphen/>
        <w:t>TNF do que em doentes controlo. Contudo, a ocorrência foi rara. Após comercialização, foram notificados casos de leucemia em doentes tratados com um antagonista</w:t>
      </w:r>
      <w:r w:rsidRPr="008912CF">
        <w:rPr>
          <w:sz w:val="22"/>
          <w:szCs w:val="22"/>
        </w:rPr>
        <w:noBreakHyphen/>
        <w:t>TNF. Há um risco aumentado de linfoma e leucemia em doentes com artrite reumatoide com doença inflamatória de longa data e muito ativa, o que complica a estimativa do risco. De acordo com o conhecimento atual, não pode ser excluído o possível risc</w:t>
      </w:r>
      <w:r w:rsidRPr="008912CF">
        <w:rPr>
          <w:sz w:val="22"/>
          <w:szCs w:val="22"/>
        </w:rPr>
        <w:t>o de desenvolvimento de linfomas, leucemias e outras neoplasias em doentes tratados com um antagonista</w:t>
      </w:r>
      <w:r w:rsidRPr="008912CF">
        <w:rPr>
          <w:sz w:val="22"/>
          <w:szCs w:val="22"/>
        </w:rPr>
        <w:noBreakHyphen/>
        <w:t>TNF.</w:t>
      </w:r>
    </w:p>
    <w:p w14:paraId="35683A5D" w14:textId="77777777" w:rsidR="004462A0" w:rsidRPr="008912CF" w:rsidRDefault="004462A0" w:rsidP="004462A0">
      <w:pPr>
        <w:rPr>
          <w:sz w:val="22"/>
          <w:szCs w:val="22"/>
        </w:rPr>
      </w:pPr>
    </w:p>
    <w:p w14:paraId="7A93E4D6" w14:textId="77777777" w:rsidR="004462A0" w:rsidRPr="008912CF" w:rsidRDefault="00615769" w:rsidP="004462A0">
      <w:pPr>
        <w:rPr>
          <w:sz w:val="22"/>
          <w:szCs w:val="22"/>
        </w:rPr>
      </w:pPr>
      <w:r w:rsidRPr="008912CF">
        <w:rPr>
          <w:sz w:val="22"/>
          <w:szCs w:val="22"/>
        </w:rPr>
        <w:t>No período pós-comercialização, foram notificadas neoplasias malignas, algumas fatais, em crianças, adolescentes e jovens adultos (até 22 anos de idade) tratados com antagonistas</w:t>
      </w:r>
      <w:r w:rsidRPr="008912CF">
        <w:rPr>
          <w:sz w:val="22"/>
          <w:szCs w:val="22"/>
        </w:rPr>
        <w:noBreakHyphen/>
        <w:t>TNF, incluindo adalimumab (início de terapia com idade ≤ 18 anos). Aproximadamente metade dos casos foram linfomas. Os outros casos representaram uma variedade de diferentes neoplasias e incluíram neoplasias raras, habitualmente associadas com imunossupressão. Não pode ser excluído o risco de desenvolvimento de neoplasias em crianças e adolescentes tratados com antagonistas</w:t>
      </w:r>
      <w:r w:rsidRPr="008912CF">
        <w:rPr>
          <w:sz w:val="22"/>
          <w:szCs w:val="22"/>
        </w:rPr>
        <w:noBreakHyphen/>
        <w:t>TNF.</w:t>
      </w:r>
    </w:p>
    <w:p w14:paraId="16BEEAE5" w14:textId="77777777" w:rsidR="004462A0" w:rsidRPr="008912CF" w:rsidRDefault="004462A0" w:rsidP="004462A0">
      <w:pPr>
        <w:rPr>
          <w:sz w:val="22"/>
          <w:szCs w:val="22"/>
        </w:rPr>
      </w:pPr>
    </w:p>
    <w:p w14:paraId="3545FE20" w14:textId="77777777" w:rsidR="004462A0" w:rsidRPr="008912CF" w:rsidRDefault="00615769" w:rsidP="004462A0">
      <w:pPr>
        <w:rPr>
          <w:sz w:val="22"/>
          <w:szCs w:val="22"/>
        </w:rPr>
      </w:pPr>
      <w:r w:rsidRPr="008912CF">
        <w:rPr>
          <w:sz w:val="22"/>
          <w:szCs w:val="22"/>
        </w:rPr>
        <w:t>Após a comercialização, foram notificados casos raros de linfoma hepatoesplénico de linfócitos T em doentes tratados com adalimumab. Este tipo raro de linfoma de linfócitos T tem uma progressão muito agressiva e geralmente fatal. Alguns destes linfomas hepatoesplénicos de linfócitos T com Humira ocorreram em doentes adultos jovens com terapêutica concomitante com azatioprina ou 6-mercaptopurina, utilizados para a doença inflamatória intestinal. O risco potencial com a associação de azatioprina ou 6-mercapto</w:t>
      </w:r>
      <w:r w:rsidRPr="008912CF">
        <w:rPr>
          <w:sz w:val="22"/>
          <w:szCs w:val="22"/>
        </w:rPr>
        <w:t xml:space="preserve">purina e Humira deve ser cuidadosamente considerado. O risco de desenvolvimento de linfoma hepatoesplénico de </w:t>
      </w:r>
      <w:r w:rsidR="00D47117">
        <w:rPr>
          <w:sz w:val="22"/>
          <w:szCs w:val="22"/>
        </w:rPr>
        <w:t>células</w:t>
      </w:r>
      <w:r w:rsidR="00D47117" w:rsidRPr="008912CF">
        <w:rPr>
          <w:sz w:val="22"/>
          <w:szCs w:val="22"/>
        </w:rPr>
        <w:t xml:space="preserve"> </w:t>
      </w:r>
      <w:r w:rsidRPr="008912CF">
        <w:rPr>
          <w:sz w:val="22"/>
          <w:szCs w:val="22"/>
        </w:rPr>
        <w:t>T em doentes que recebam tratamento com Humira não pode ser excluído (ver secção 4.8).</w:t>
      </w:r>
    </w:p>
    <w:p w14:paraId="5932EE89" w14:textId="77777777" w:rsidR="004462A0" w:rsidRPr="008912CF" w:rsidRDefault="004462A0" w:rsidP="004462A0">
      <w:pPr>
        <w:rPr>
          <w:sz w:val="22"/>
          <w:szCs w:val="22"/>
        </w:rPr>
      </w:pPr>
    </w:p>
    <w:p w14:paraId="11F5E09A" w14:textId="77777777" w:rsidR="004462A0" w:rsidRPr="008912CF" w:rsidRDefault="00615769" w:rsidP="004462A0">
      <w:pPr>
        <w:rPr>
          <w:sz w:val="22"/>
          <w:szCs w:val="22"/>
        </w:rPr>
      </w:pPr>
      <w:r w:rsidRPr="008912CF">
        <w:rPr>
          <w:sz w:val="22"/>
          <w:szCs w:val="22"/>
        </w:rPr>
        <w:t>Não foram efetuados estudos em doentes com história de neoplasias ou nos quais o tratamento com Humira foi continuado após o desenvolvimento de neoplasias. Deste modo</w:t>
      </w:r>
      <w:r w:rsidR="00D47117">
        <w:rPr>
          <w:sz w:val="22"/>
          <w:szCs w:val="22"/>
        </w:rPr>
        <w:t>,</w:t>
      </w:r>
      <w:r w:rsidRPr="008912CF">
        <w:rPr>
          <w:sz w:val="22"/>
          <w:szCs w:val="22"/>
        </w:rPr>
        <w:t xml:space="preserve"> deve-se </w:t>
      </w:r>
      <w:r w:rsidR="00D47117">
        <w:rPr>
          <w:sz w:val="22"/>
          <w:szCs w:val="22"/>
        </w:rPr>
        <w:t>exercer</w:t>
      </w:r>
      <w:r w:rsidRPr="008912CF">
        <w:rPr>
          <w:sz w:val="22"/>
          <w:szCs w:val="22"/>
        </w:rPr>
        <w:t xml:space="preserve"> precaução adicional ao considerar o tratamento com Humira nestes doentes (ver secção 4.8).</w:t>
      </w:r>
    </w:p>
    <w:p w14:paraId="20B63DD4" w14:textId="77777777" w:rsidR="004462A0" w:rsidRPr="008912CF" w:rsidRDefault="004462A0" w:rsidP="004462A0">
      <w:pPr>
        <w:rPr>
          <w:sz w:val="22"/>
          <w:szCs w:val="22"/>
        </w:rPr>
      </w:pPr>
    </w:p>
    <w:p w14:paraId="0A6EA53E" w14:textId="77777777" w:rsidR="004462A0" w:rsidRPr="008912CF" w:rsidRDefault="00615769" w:rsidP="004462A0">
      <w:pPr>
        <w:autoSpaceDE w:val="0"/>
        <w:autoSpaceDN w:val="0"/>
        <w:adjustRightInd w:val="0"/>
        <w:rPr>
          <w:sz w:val="22"/>
          <w:szCs w:val="22"/>
        </w:rPr>
      </w:pPr>
      <w:r w:rsidRPr="008912CF">
        <w:rPr>
          <w:sz w:val="22"/>
          <w:szCs w:val="22"/>
        </w:rPr>
        <w:t>Todos os doentes, e em particular os doentes com história clínica de terapêutica imunossupressora prolongada ou nos doentes com psoríase com uma história de tratamento por PUVA, devem ser avaliados relativamente a neoplasias cutâneas não melanomas, antes e durante o tratamento com Humira. Melanoma e carcinoma das células de Merkel foram também notificad</w:t>
      </w:r>
      <w:r w:rsidR="00D47117">
        <w:rPr>
          <w:sz w:val="22"/>
          <w:szCs w:val="22"/>
        </w:rPr>
        <w:t>o</w:t>
      </w:r>
      <w:r w:rsidRPr="008912CF">
        <w:rPr>
          <w:sz w:val="22"/>
          <w:szCs w:val="22"/>
        </w:rPr>
        <w:t>s em doentes tratados com antagonistas-TNF</w:t>
      </w:r>
      <w:r w:rsidR="00D47117">
        <w:rPr>
          <w:sz w:val="22"/>
          <w:szCs w:val="22"/>
        </w:rPr>
        <w:t>,</w:t>
      </w:r>
      <w:r w:rsidRPr="008912CF">
        <w:rPr>
          <w:sz w:val="22"/>
          <w:szCs w:val="22"/>
        </w:rPr>
        <w:t xml:space="preserve"> incluindo adalimumab (ver secção 4.8).</w:t>
      </w:r>
    </w:p>
    <w:p w14:paraId="51C5E9FA" w14:textId="77777777" w:rsidR="004462A0" w:rsidRPr="008912CF" w:rsidRDefault="004462A0" w:rsidP="004462A0">
      <w:pPr>
        <w:autoSpaceDE w:val="0"/>
        <w:autoSpaceDN w:val="0"/>
        <w:adjustRightInd w:val="0"/>
        <w:rPr>
          <w:sz w:val="22"/>
          <w:szCs w:val="22"/>
          <w:u w:val="single"/>
        </w:rPr>
      </w:pPr>
    </w:p>
    <w:p w14:paraId="30AE0D57" w14:textId="77777777" w:rsidR="004462A0" w:rsidRPr="008912CF" w:rsidRDefault="00615769" w:rsidP="004462A0">
      <w:pPr>
        <w:pStyle w:val="BodyText2"/>
        <w:rPr>
          <w:szCs w:val="22"/>
        </w:rPr>
      </w:pPr>
      <w:r w:rsidRPr="008912CF">
        <w:rPr>
          <w:szCs w:val="22"/>
        </w:rPr>
        <w:t>Num ensaio clínico exploratório realizado para avaliar o uso de um outro antagonista</w:t>
      </w:r>
      <w:r w:rsidRPr="008912CF">
        <w:rPr>
          <w:szCs w:val="22"/>
        </w:rPr>
        <w:noBreakHyphen/>
        <w:t xml:space="preserve">TNF, infliximab, em doentes com doença pulmonar </w:t>
      </w:r>
      <w:r w:rsidR="00D47117" w:rsidRPr="008912CF">
        <w:rPr>
          <w:szCs w:val="22"/>
        </w:rPr>
        <w:t xml:space="preserve">obstrutiva </w:t>
      </w:r>
      <w:r w:rsidRPr="008912CF">
        <w:rPr>
          <w:szCs w:val="22"/>
        </w:rPr>
        <w:t>crónica (DPO</w:t>
      </w:r>
      <w:r w:rsidR="00D47117">
        <w:rPr>
          <w:szCs w:val="22"/>
        </w:rPr>
        <w:t>C</w:t>
      </w:r>
      <w:r w:rsidRPr="008912CF">
        <w:rPr>
          <w:szCs w:val="22"/>
        </w:rPr>
        <w:t>) moderada a grave, foram notificadas mais doenças malignas, principalmente nos pulmões ou cabeça e pescoço, no grupo de doentes tratados com infliximab do que no grupo controlo de doentes. Todos os doentes tinham antecedentes de tabagismo intenso. Assim, devem ser tomadas precauções quando for usado um anti</w:t>
      </w:r>
      <w:r w:rsidRPr="008912CF">
        <w:rPr>
          <w:szCs w:val="22"/>
        </w:rPr>
        <w:noBreakHyphen/>
        <w:t>TNF em doentes com DPO</w:t>
      </w:r>
      <w:r w:rsidR="00D47117">
        <w:rPr>
          <w:szCs w:val="22"/>
        </w:rPr>
        <w:t>C</w:t>
      </w:r>
      <w:r w:rsidRPr="008912CF">
        <w:rPr>
          <w:szCs w:val="22"/>
        </w:rPr>
        <w:t>, bem como em doentes com risco aumentado de doenças malignas devido a tabagismo intenso.</w:t>
      </w:r>
    </w:p>
    <w:p w14:paraId="20427D34" w14:textId="77777777" w:rsidR="004462A0" w:rsidRPr="008912CF" w:rsidRDefault="004462A0" w:rsidP="004462A0">
      <w:pPr>
        <w:pStyle w:val="BodyText2"/>
        <w:rPr>
          <w:szCs w:val="22"/>
        </w:rPr>
      </w:pPr>
    </w:p>
    <w:p w14:paraId="31C9E904" w14:textId="77777777" w:rsidR="004462A0" w:rsidRPr="008912CF" w:rsidRDefault="00615769" w:rsidP="004462A0">
      <w:pPr>
        <w:pStyle w:val="BodyText2"/>
        <w:rPr>
          <w:szCs w:val="22"/>
        </w:rPr>
      </w:pPr>
      <w:r w:rsidRPr="008912CF">
        <w:rPr>
          <w:szCs w:val="22"/>
        </w:rPr>
        <w:t>De acordo com os dados atuais, desconhece-se se o tratamento com adalimumab influencia o risco de desenvolvimento de displasia ou carcinoma do cólon. Todos os doentes com colite ulcerosa com risco aumentado de displasia ou carcinoma do cólon (por exemplo, doentes com colite ulcerosa de duração prolongada ou colangite esclerosante primária), ou doentes com antecedentes de displasia ou carcinoma do cólon devem ser rastreados quanto à existência de displasia em intervalos regulares antes da terapêutica e duran</w:t>
      </w:r>
      <w:r w:rsidRPr="008912CF">
        <w:rPr>
          <w:szCs w:val="22"/>
        </w:rPr>
        <w:t>te a doença. Esta avaliação deve incluir colonoscopia e biopsias, de acordo com as recomendações locais.</w:t>
      </w:r>
    </w:p>
    <w:p w14:paraId="29FD0FFA" w14:textId="77777777" w:rsidR="004462A0" w:rsidRPr="008912CF" w:rsidRDefault="004462A0" w:rsidP="004462A0">
      <w:pPr>
        <w:pStyle w:val="EndnoteText"/>
        <w:tabs>
          <w:tab w:val="clear" w:pos="567"/>
        </w:tabs>
        <w:rPr>
          <w:szCs w:val="22"/>
        </w:rPr>
      </w:pPr>
    </w:p>
    <w:p w14:paraId="6C5AB545" w14:textId="77777777" w:rsidR="004462A0" w:rsidRPr="008912CF" w:rsidRDefault="00615769" w:rsidP="004462A0">
      <w:pPr>
        <w:keepNext/>
        <w:autoSpaceDE w:val="0"/>
        <w:autoSpaceDN w:val="0"/>
        <w:adjustRightInd w:val="0"/>
        <w:rPr>
          <w:sz w:val="22"/>
          <w:szCs w:val="22"/>
          <w:u w:val="single"/>
        </w:rPr>
      </w:pPr>
      <w:r w:rsidRPr="008912CF">
        <w:rPr>
          <w:sz w:val="22"/>
          <w:szCs w:val="22"/>
          <w:u w:val="single"/>
        </w:rPr>
        <w:t>Reações hematológicas</w:t>
      </w:r>
    </w:p>
    <w:p w14:paraId="6EE914E5" w14:textId="77777777" w:rsidR="004462A0" w:rsidRPr="008912CF" w:rsidRDefault="004462A0" w:rsidP="004462A0">
      <w:pPr>
        <w:pStyle w:val="EMEAHeadingUnderline"/>
        <w:keepNext/>
        <w:tabs>
          <w:tab w:val="clear" w:pos="562"/>
        </w:tabs>
        <w:suppressAutoHyphens w:val="0"/>
        <w:autoSpaceDE w:val="0"/>
        <w:autoSpaceDN w:val="0"/>
        <w:adjustRightInd w:val="0"/>
        <w:spacing w:before="0" w:after="0"/>
        <w:rPr>
          <w:szCs w:val="22"/>
          <w:lang w:val="pt-PT"/>
        </w:rPr>
      </w:pPr>
    </w:p>
    <w:p w14:paraId="7ED386B4" w14:textId="77777777" w:rsidR="004462A0" w:rsidRPr="008912CF" w:rsidRDefault="00615769" w:rsidP="004462A0">
      <w:pPr>
        <w:pStyle w:val="BodyText2"/>
        <w:keepNext/>
        <w:rPr>
          <w:szCs w:val="22"/>
        </w:rPr>
      </w:pPr>
      <w:r w:rsidRPr="008912CF">
        <w:rPr>
          <w:szCs w:val="22"/>
        </w:rPr>
        <w:t>Foram notificados casos raros de pancitopenia incluindo anemia aplástica com antagonistas TNF. Acontecimentos adversos do sistema hematológico incluindo citopenia clinicamente significativa (p.e. trombocitopenia, leucopenia) foram notificados com Humira. Todos os doentes devem ser aconselhados a consultar de imediato o médico caso desenvolvam sinais e sintomas sugestivos de discrasias sanguíneas (p.e. febre persistente, equimose, hemorragia, palidez) durante a terapêutica com Humira. A descontinuação da ter</w:t>
      </w:r>
      <w:r w:rsidRPr="008912CF">
        <w:rPr>
          <w:szCs w:val="22"/>
        </w:rPr>
        <w:t xml:space="preserve">apêutica com Humira deverá ser considerada em doentes com anomalias hematológicas significativas confirmadas. </w:t>
      </w:r>
    </w:p>
    <w:p w14:paraId="13E3AECA" w14:textId="77777777" w:rsidR="004462A0" w:rsidRPr="008912CF" w:rsidRDefault="004462A0" w:rsidP="004462A0">
      <w:pPr>
        <w:rPr>
          <w:sz w:val="22"/>
          <w:szCs w:val="22"/>
        </w:rPr>
      </w:pPr>
    </w:p>
    <w:p w14:paraId="20B5378D" w14:textId="77777777" w:rsidR="004462A0" w:rsidRPr="008912CF" w:rsidRDefault="00615769" w:rsidP="004462A0">
      <w:pPr>
        <w:autoSpaceDE w:val="0"/>
        <w:autoSpaceDN w:val="0"/>
        <w:adjustRightInd w:val="0"/>
        <w:rPr>
          <w:sz w:val="22"/>
          <w:szCs w:val="22"/>
          <w:u w:val="single"/>
        </w:rPr>
      </w:pPr>
      <w:r w:rsidRPr="008912CF">
        <w:rPr>
          <w:sz w:val="22"/>
          <w:szCs w:val="22"/>
          <w:u w:val="single"/>
        </w:rPr>
        <w:t>Vacinação</w:t>
      </w:r>
    </w:p>
    <w:p w14:paraId="6320F097" w14:textId="77777777" w:rsidR="004462A0" w:rsidRPr="008912CF" w:rsidRDefault="004462A0" w:rsidP="004462A0">
      <w:pPr>
        <w:autoSpaceDE w:val="0"/>
        <w:autoSpaceDN w:val="0"/>
        <w:adjustRightInd w:val="0"/>
        <w:rPr>
          <w:sz w:val="22"/>
          <w:szCs w:val="22"/>
          <w:u w:val="single"/>
        </w:rPr>
      </w:pPr>
    </w:p>
    <w:p w14:paraId="01BABEEE" w14:textId="77777777" w:rsidR="004462A0" w:rsidRPr="008912CF" w:rsidRDefault="00615769" w:rsidP="004462A0">
      <w:pPr>
        <w:autoSpaceDE w:val="0"/>
        <w:autoSpaceDN w:val="0"/>
        <w:adjustRightInd w:val="0"/>
        <w:rPr>
          <w:sz w:val="22"/>
          <w:szCs w:val="22"/>
        </w:rPr>
      </w:pPr>
      <w:r w:rsidRPr="008912CF">
        <w:rPr>
          <w:sz w:val="22"/>
          <w:szCs w:val="22"/>
        </w:rPr>
        <w:t xml:space="preserve">Num estudo clínico realizado em 226 doentes adultos com artrite reumatoide tratados com adalimumab ou placebo, foram observadas respostas imunitárias similares na vacinação com a vacina pneumocócica polissacarídica polivalente 23 e com a vacina trivalente contra o vírus da gripe. Não existem dados disponíveis sobre a transmissão secundária de infeção por vacinas vivas em doentes tratados com Humira.  </w:t>
      </w:r>
    </w:p>
    <w:p w14:paraId="743B5D6A" w14:textId="77777777" w:rsidR="004462A0" w:rsidRPr="008912CF" w:rsidRDefault="004462A0" w:rsidP="004462A0">
      <w:pPr>
        <w:pStyle w:val="BodyText2"/>
        <w:autoSpaceDE/>
        <w:autoSpaceDN/>
        <w:adjustRightInd/>
        <w:rPr>
          <w:szCs w:val="22"/>
        </w:rPr>
      </w:pPr>
    </w:p>
    <w:p w14:paraId="247BAB1D" w14:textId="77777777" w:rsidR="004462A0" w:rsidRPr="008912CF" w:rsidRDefault="00615769" w:rsidP="004462A0">
      <w:pPr>
        <w:pStyle w:val="BodyText2"/>
        <w:autoSpaceDE/>
        <w:autoSpaceDN/>
        <w:adjustRightInd/>
        <w:rPr>
          <w:szCs w:val="22"/>
        </w:rPr>
      </w:pPr>
      <w:r w:rsidRPr="008912CF">
        <w:rPr>
          <w:szCs w:val="22"/>
        </w:rPr>
        <w:t>Recomenda-se que, se possível, nos doentes pediátricos, antes de iniciar o tratamento com Humira, sejam atualizadas as vacinas, de acordo com o atual Programa Nacional de Vacinação.</w:t>
      </w:r>
    </w:p>
    <w:p w14:paraId="37604ED4" w14:textId="77777777" w:rsidR="004462A0" w:rsidRPr="008912CF" w:rsidRDefault="004462A0" w:rsidP="004462A0">
      <w:pPr>
        <w:autoSpaceDE w:val="0"/>
        <w:autoSpaceDN w:val="0"/>
        <w:adjustRightInd w:val="0"/>
        <w:rPr>
          <w:sz w:val="22"/>
          <w:szCs w:val="22"/>
        </w:rPr>
      </w:pPr>
    </w:p>
    <w:p w14:paraId="04BCE5F3" w14:textId="77777777" w:rsidR="004462A0" w:rsidRPr="008912CF" w:rsidRDefault="00615769" w:rsidP="004462A0">
      <w:pPr>
        <w:autoSpaceDE w:val="0"/>
        <w:autoSpaceDN w:val="0"/>
        <w:adjustRightInd w:val="0"/>
        <w:rPr>
          <w:sz w:val="22"/>
          <w:szCs w:val="22"/>
        </w:rPr>
      </w:pPr>
      <w:r w:rsidRPr="008912CF">
        <w:rPr>
          <w:sz w:val="22"/>
          <w:szCs w:val="22"/>
        </w:rPr>
        <w:t xml:space="preserve">Doentes tratados com </w:t>
      </w:r>
      <w:r w:rsidRPr="00CF3350">
        <w:rPr>
          <w:sz w:val="22"/>
          <w:szCs w:val="22"/>
        </w:rPr>
        <w:t xml:space="preserve">Humira podem receber vacinas concomitantes, exceto vacinas vivas. Não se recomenda a administração de vacinas vivas </w:t>
      </w:r>
      <w:r w:rsidR="00DF78AD" w:rsidRPr="00CF3350">
        <w:rPr>
          <w:sz w:val="22"/>
          <w:szCs w:val="22"/>
        </w:rPr>
        <w:t>(</w:t>
      </w:r>
      <w:r w:rsidR="00AD0004" w:rsidRPr="00CF3350">
        <w:rPr>
          <w:sz w:val="22"/>
          <w:szCs w:val="22"/>
        </w:rPr>
        <w:t xml:space="preserve">p.ex., </w:t>
      </w:r>
      <w:r w:rsidR="00DF78AD" w:rsidRPr="00CF3350">
        <w:rPr>
          <w:sz w:val="22"/>
          <w:szCs w:val="22"/>
        </w:rPr>
        <w:t xml:space="preserve">vacina da BCG) </w:t>
      </w:r>
      <w:r w:rsidRPr="00CF3350">
        <w:rPr>
          <w:sz w:val="22"/>
          <w:szCs w:val="22"/>
        </w:rPr>
        <w:t>a crianças com exposição intrauterina a adalimumab durante 5 meses após a última injeção de adalimumab</w:t>
      </w:r>
      <w:r w:rsidRPr="008912CF">
        <w:rPr>
          <w:sz w:val="22"/>
          <w:szCs w:val="22"/>
        </w:rPr>
        <w:t xml:space="preserve"> da mãe durante a gravidez.</w:t>
      </w:r>
    </w:p>
    <w:p w14:paraId="5DCE40F7" w14:textId="77777777" w:rsidR="004462A0" w:rsidRPr="008912CF" w:rsidRDefault="004462A0" w:rsidP="004462A0">
      <w:pPr>
        <w:autoSpaceDE w:val="0"/>
        <w:autoSpaceDN w:val="0"/>
        <w:adjustRightInd w:val="0"/>
        <w:rPr>
          <w:sz w:val="22"/>
          <w:szCs w:val="22"/>
          <w:u w:val="single"/>
        </w:rPr>
      </w:pPr>
    </w:p>
    <w:p w14:paraId="4C9F2B95" w14:textId="77777777" w:rsidR="004462A0" w:rsidRPr="008912CF" w:rsidRDefault="00615769" w:rsidP="004462A0">
      <w:pPr>
        <w:autoSpaceDE w:val="0"/>
        <w:autoSpaceDN w:val="0"/>
        <w:adjustRightInd w:val="0"/>
        <w:rPr>
          <w:sz w:val="22"/>
          <w:szCs w:val="22"/>
          <w:u w:val="single"/>
        </w:rPr>
      </w:pPr>
      <w:r w:rsidRPr="008912CF">
        <w:rPr>
          <w:sz w:val="22"/>
          <w:szCs w:val="22"/>
          <w:u w:val="single"/>
        </w:rPr>
        <w:t xml:space="preserve">Insuficiência cardíaca congestiva </w:t>
      </w:r>
    </w:p>
    <w:p w14:paraId="1157C388" w14:textId="77777777" w:rsidR="004462A0" w:rsidRPr="008912CF" w:rsidRDefault="004462A0" w:rsidP="004462A0">
      <w:pPr>
        <w:autoSpaceDE w:val="0"/>
        <w:autoSpaceDN w:val="0"/>
        <w:adjustRightInd w:val="0"/>
        <w:rPr>
          <w:sz w:val="22"/>
          <w:szCs w:val="22"/>
          <w:u w:val="single"/>
        </w:rPr>
      </w:pPr>
    </w:p>
    <w:p w14:paraId="6EF4E80F" w14:textId="77777777" w:rsidR="004462A0" w:rsidRPr="008912CF" w:rsidRDefault="00615769" w:rsidP="004462A0">
      <w:pPr>
        <w:autoSpaceDE w:val="0"/>
        <w:autoSpaceDN w:val="0"/>
        <w:adjustRightInd w:val="0"/>
        <w:rPr>
          <w:i/>
          <w:sz w:val="22"/>
          <w:szCs w:val="22"/>
        </w:rPr>
      </w:pPr>
      <w:r w:rsidRPr="008912CF">
        <w:rPr>
          <w:sz w:val="22"/>
          <w:szCs w:val="22"/>
        </w:rPr>
        <w:t>Num ensaio clínico realizado com outro antagonista</w:t>
      </w:r>
      <w:r w:rsidRPr="008912CF">
        <w:rPr>
          <w:sz w:val="22"/>
          <w:szCs w:val="22"/>
        </w:rPr>
        <w:noBreakHyphen/>
        <w:t xml:space="preserve">TNF observou-se agravamento da insuficiência cardíaca congestiva e aumento da mortalidade por insuficiência cardíaca congestiva. Foram </w:t>
      </w:r>
      <w:r w:rsidR="002B1836">
        <w:rPr>
          <w:sz w:val="22"/>
          <w:szCs w:val="22"/>
        </w:rPr>
        <w:t xml:space="preserve">também </w:t>
      </w:r>
      <w:r w:rsidRPr="008912CF">
        <w:rPr>
          <w:sz w:val="22"/>
          <w:szCs w:val="22"/>
        </w:rPr>
        <w:t>notificados casos de agravamento de insuficiência cardíaca congestiva em doentes tratados com Humira. Humira deve ser utilizado com precaução em doentes com insuficiência cardíaca ligeira (classe I/II da NYHA). Humira está contraindicado na insuficiência cardíaca moderada a grave (ver secção 4.3). O tratamento com Humira deve ser interrompido em doentes que desenvolv</w:t>
      </w:r>
      <w:r w:rsidRPr="008912CF">
        <w:rPr>
          <w:sz w:val="22"/>
          <w:szCs w:val="22"/>
        </w:rPr>
        <w:t xml:space="preserve">am novos sintomas ou agravamento dos sintomas de insuficiência cardíaca congestiva. </w:t>
      </w:r>
    </w:p>
    <w:p w14:paraId="4477755E" w14:textId="77777777" w:rsidR="004462A0" w:rsidRPr="008912CF" w:rsidRDefault="004462A0" w:rsidP="004462A0">
      <w:pPr>
        <w:pStyle w:val="EndnoteText"/>
        <w:tabs>
          <w:tab w:val="clear" w:pos="567"/>
        </w:tabs>
        <w:rPr>
          <w:szCs w:val="22"/>
        </w:rPr>
      </w:pPr>
    </w:p>
    <w:p w14:paraId="35DE82F9" w14:textId="77777777" w:rsidR="004462A0" w:rsidRPr="008912CF" w:rsidRDefault="00615769" w:rsidP="00B538F3">
      <w:pPr>
        <w:keepNext/>
        <w:rPr>
          <w:sz w:val="22"/>
          <w:szCs w:val="22"/>
          <w:u w:val="single"/>
        </w:rPr>
      </w:pPr>
      <w:r w:rsidRPr="008912CF">
        <w:rPr>
          <w:sz w:val="22"/>
          <w:szCs w:val="22"/>
          <w:u w:val="single"/>
        </w:rPr>
        <w:t xml:space="preserve">Processos autoimunes </w:t>
      </w:r>
    </w:p>
    <w:p w14:paraId="34534C8B" w14:textId="77777777" w:rsidR="004462A0" w:rsidRPr="008912CF" w:rsidRDefault="004462A0" w:rsidP="004462A0">
      <w:pPr>
        <w:rPr>
          <w:i/>
          <w:sz w:val="22"/>
          <w:szCs w:val="22"/>
          <w:u w:val="single"/>
        </w:rPr>
      </w:pPr>
    </w:p>
    <w:p w14:paraId="7AAC5246" w14:textId="77777777" w:rsidR="004462A0" w:rsidRPr="008912CF" w:rsidRDefault="00615769" w:rsidP="004462A0">
      <w:pPr>
        <w:pStyle w:val="BodyText2"/>
        <w:autoSpaceDE/>
        <w:autoSpaceDN/>
        <w:adjustRightInd/>
        <w:rPr>
          <w:i/>
          <w:szCs w:val="22"/>
        </w:rPr>
      </w:pPr>
      <w:r w:rsidRPr="008912CF">
        <w:rPr>
          <w:szCs w:val="22"/>
        </w:rPr>
        <w:t>O tratamento com Humira pode dar origem à formação de anticorpos autoimunes. Desconhece-se o impacto do tratamento a longo prazo com Humira no desenvolvimento de doenças autoimunes. Não deve ser administrado tratamento adicional com Humira se um doente apresentar sintomas sugestivos de uma síndrome do tipo lúpus e se for positivo para anticorpos contra a dupla cadeia de DNA, após o tratamento com Humira (ver secção 4.8).</w:t>
      </w:r>
    </w:p>
    <w:p w14:paraId="3FDD4935" w14:textId="77777777" w:rsidR="004462A0" w:rsidRPr="008912CF" w:rsidRDefault="004462A0" w:rsidP="004462A0">
      <w:pPr>
        <w:rPr>
          <w:iCs/>
          <w:sz w:val="22"/>
          <w:szCs w:val="22"/>
        </w:rPr>
      </w:pPr>
    </w:p>
    <w:p w14:paraId="274E40CF" w14:textId="77777777" w:rsidR="004462A0" w:rsidRPr="008912CF" w:rsidRDefault="00615769" w:rsidP="004462A0">
      <w:pPr>
        <w:pStyle w:val="Heading9"/>
        <w:keepNext w:val="0"/>
        <w:rPr>
          <w:szCs w:val="22"/>
        </w:rPr>
      </w:pPr>
      <w:r w:rsidRPr="008912CF">
        <w:rPr>
          <w:szCs w:val="22"/>
        </w:rPr>
        <w:t xml:space="preserve">Administração concomitante de </w:t>
      </w:r>
      <w:r w:rsidR="002B1836" w:rsidRPr="008912CF">
        <w:rPr>
          <w:szCs w:val="22"/>
        </w:rPr>
        <w:t xml:space="preserve">DMARDS </w:t>
      </w:r>
      <w:r w:rsidRPr="008912CF">
        <w:rPr>
          <w:szCs w:val="22"/>
        </w:rPr>
        <w:t>biológicos</w:t>
      </w:r>
      <w:r w:rsidR="002B1836">
        <w:rPr>
          <w:szCs w:val="22"/>
        </w:rPr>
        <w:t xml:space="preserve"> </w:t>
      </w:r>
      <w:r w:rsidRPr="008912CF">
        <w:rPr>
          <w:szCs w:val="22"/>
        </w:rPr>
        <w:t>ou antagonistas</w:t>
      </w:r>
      <w:r w:rsidRPr="008912CF">
        <w:rPr>
          <w:szCs w:val="22"/>
        </w:rPr>
        <w:noBreakHyphen/>
        <w:t>TNF</w:t>
      </w:r>
    </w:p>
    <w:p w14:paraId="001914C7" w14:textId="77777777" w:rsidR="004462A0" w:rsidRPr="008912CF" w:rsidRDefault="004462A0" w:rsidP="004462A0">
      <w:pPr>
        <w:rPr>
          <w:iCs/>
          <w:sz w:val="22"/>
          <w:szCs w:val="22"/>
        </w:rPr>
      </w:pPr>
    </w:p>
    <w:p w14:paraId="5D3EC605" w14:textId="77777777" w:rsidR="004462A0" w:rsidRPr="008912CF" w:rsidRDefault="00615769" w:rsidP="004462A0">
      <w:pPr>
        <w:rPr>
          <w:i/>
          <w:sz w:val="22"/>
          <w:szCs w:val="22"/>
        </w:rPr>
      </w:pPr>
      <w:r w:rsidRPr="008912CF">
        <w:rPr>
          <w:iCs/>
          <w:sz w:val="22"/>
          <w:szCs w:val="22"/>
        </w:rPr>
        <w:t>Em ensaios clínicos realizados com a administração concomitante de ana</w:t>
      </w:r>
      <w:r w:rsidR="00F7235D">
        <w:rPr>
          <w:iCs/>
          <w:sz w:val="22"/>
          <w:szCs w:val="22"/>
        </w:rPr>
        <w:t>c</w:t>
      </w:r>
      <w:r w:rsidRPr="008912CF">
        <w:rPr>
          <w:iCs/>
          <w:sz w:val="22"/>
          <w:szCs w:val="22"/>
        </w:rPr>
        <w:t>inra e outro antagonista-TNF, etanercept, observaram-se infeções graves sem benefício clínico adicional relativamente à utilização de etanercept isoladamente. Devido à natureza dos acontecimentos adversos observados com a associação terapêutica de etanercept e ana</w:t>
      </w:r>
      <w:r w:rsidR="00F7235D">
        <w:rPr>
          <w:iCs/>
          <w:sz w:val="22"/>
          <w:szCs w:val="22"/>
        </w:rPr>
        <w:t>c</w:t>
      </w:r>
      <w:r w:rsidRPr="008912CF">
        <w:rPr>
          <w:iCs/>
          <w:sz w:val="22"/>
          <w:szCs w:val="22"/>
        </w:rPr>
        <w:t xml:space="preserve">inra, a associação de </w:t>
      </w:r>
      <w:r w:rsidR="00F7235D">
        <w:rPr>
          <w:iCs/>
          <w:sz w:val="22"/>
          <w:szCs w:val="22"/>
        </w:rPr>
        <w:t>anacinra</w:t>
      </w:r>
      <w:r w:rsidR="00F7235D" w:rsidRPr="008912CF">
        <w:rPr>
          <w:iCs/>
          <w:sz w:val="22"/>
          <w:szCs w:val="22"/>
        </w:rPr>
        <w:t xml:space="preserve"> </w:t>
      </w:r>
      <w:r w:rsidRPr="008912CF">
        <w:rPr>
          <w:iCs/>
          <w:sz w:val="22"/>
          <w:szCs w:val="22"/>
        </w:rPr>
        <w:t>e outro antagonista-TNF pode também resultar em toxicidades semelhantes. Por conseguinte, não se recomenda a associação de adalimumab e ana</w:t>
      </w:r>
      <w:r w:rsidR="00F7235D">
        <w:rPr>
          <w:iCs/>
          <w:sz w:val="22"/>
          <w:szCs w:val="22"/>
        </w:rPr>
        <w:t>c</w:t>
      </w:r>
      <w:r w:rsidRPr="008912CF">
        <w:rPr>
          <w:iCs/>
          <w:sz w:val="22"/>
          <w:szCs w:val="22"/>
        </w:rPr>
        <w:t xml:space="preserve">inra </w:t>
      </w:r>
      <w:r w:rsidRPr="008912CF">
        <w:rPr>
          <w:sz w:val="22"/>
          <w:szCs w:val="22"/>
        </w:rPr>
        <w:t>(ver secção 4.5)</w:t>
      </w:r>
      <w:r w:rsidRPr="008912CF">
        <w:rPr>
          <w:iCs/>
          <w:sz w:val="22"/>
          <w:szCs w:val="22"/>
        </w:rPr>
        <w:t xml:space="preserve">. </w:t>
      </w:r>
    </w:p>
    <w:p w14:paraId="4C3FA2B5" w14:textId="77777777" w:rsidR="004462A0" w:rsidRPr="008912CF" w:rsidRDefault="004462A0" w:rsidP="004462A0">
      <w:pPr>
        <w:pStyle w:val="EMEANormal"/>
        <w:rPr>
          <w:szCs w:val="22"/>
          <w:highlight w:val="yellow"/>
          <w:u w:val="single"/>
          <w:lang w:val="pt-PT"/>
        </w:rPr>
      </w:pPr>
    </w:p>
    <w:p w14:paraId="4051C8A7" w14:textId="77777777" w:rsidR="004462A0" w:rsidRPr="008912CF" w:rsidRDefault="00615769" w:rsidP="004462A0">
      <w:pPr>
        <w:pStyle w:val="EMEANormal"/>
        <w:rPr>
          <w:szCs w:val="22"/>
          <w:highlight w:val="yellow"/>
          <w:lang w:val="pt-PT"/>
        </w:rPr>
      </w:pPr>
      <w:r w:rsidRPr="008912CF">
        <w:rPr>
          <w:szCs w:val="22"/>
          <w:lang w:val="pt-PT"/>
        </w:rPr>
        <w:t xml:space="preserve">Não se recomenda a administração concomitante de adalimumab com outros </w:t>
      </w:r>
      <w:r w:rsidR="002B1836" w:rsidRPr="008912CF">
        <w:rPr>
          <w:szCs w:val="22"/>
          <w:lang w:val="pt-PT"/>
        </w:rPr>
        <w:t xml:space="preserve">DMARDS </w:t>
      </w:r>
      <w:r w:rsidRPr="008912CF">
        <w:rPr>
          <w:szCs w:val="22"/>
          <w:lang w:val="pt-PT"/>
        </w:rPr>
        <w:t>biológicos (p.ex., ana</w:t>
      </w:r>
      <w:r w:rsidR="00F7235D">
        <w:rPr>
          <w:szCs w:val="22"/>
          <w:lang w:val="pt-PT"/>
        </w:rPr>
        <w:t>c</w:t>
      </w:r>
      <w:r w:rsidRPr="008912CF">
        <w:rPr>
          <w:szCs w:val="22"/>
          <w:lang w:val="pt-PT"/>
        </w:rPr>
        <w:t>inra e abatacept) ou outros antagonistas-TNF, devido ao possível risco acrescido de infeções, incluindo infeções graves e outras potenciais interações farmacológicas (</w:t>
      </w:r>
      <w:r w:rsidR="00F7235D">
        <w:rPr>
          <w:szCs w:val="22"/>
          <w:lang w:val="pt-PT"/>
        </w:rPr>
        <w:t>v</w:t>
      </w:r>
      <w:r w:rsidRPr="008912CF">
        <w:rPr>
          <w:szCs w:val="22"/>
          <w:lang w:val="pt-PT"/>
        </w:rPr>
        <w:t>er secção 4.5).</w:t>
      </w:r>
    </w:p>
    <w:p w14:paraId="1C8B92C6" w14:textId="77777777" w:rsidR="004462A0" w:rsidRPr="008912CF" w:rsidRDefault="004462A0" w:rsidP="004462A0">
      <w:pPr>
        <w:rPr>
          <w:iCs/>
          <w:sz w:val="22"/>
          <w:szCs w:val="22"/>
        </w:rPr>
      </w:pPr>
    </w:p>
    <w:p w14:paraId="318A832F" w14:textId="77777777" w:rsidR="004462A0" w:rsidRPr="008912CF" w:rsidRDefault="00615769" w:rsidP="004462A0">
      <w:pPr>
        <w:pStyle w:val="Heading9"/>
        <w:rPr>
          <w:iCs/>
          <w:szCs w:val="22"/>
        </w:rPr>
      </w:pPr>
      <w:r w:rsidRPr="008912CF">
        <w:rPr>
          <w:iCs/>
          <w:szCs w:val="22"/>
        </w:rPr>
        <w:t>Cirurgia</w:t>
      </w:r>
    </w:p>
    <w:p w14:paraId="29D75FF7" w14:textId="77777777" w:rsidR="004462A0" w:rsidRPr="008912CF" w:rsidRDefault="004462A0" w:rsidP="004462A0">
      <w:pPr>
        <w:keepNext/>
        <w:rPr>
          <w:iCs/>
          <w:sz w:val="22"/>
          <w:szCs w:val="22"/>
          <w:u w:val="single"/>
        </w:rPr>
      </w:pPr>
    </w:p>
    <w:p w14:paraId="468961EB" w14:textId="77777777" w:rsidR="004462A0" w:rsidRPr="008912CF" w:rsidRDefault="00615769" w:rsidP="004462A0">
      <w:pPr>
        <w:keepNext/>
        <w:rPr>
          <w:iCs/>
          <w:sz w:val="22"/>
          <w:szCs w:val="22"/>
        </w:rPr>
      </w:pPr>
      <w:r w:rsidRPr="008912CF">
        <w:rPr>
          <w:iCs/>
          <w:sz w:val="22"/>
          <w:szCs w:val="22"/>
        </w:rPr>
        <w:t>A experiência existente, em termos de segurança de intervenções cirúrgicas em doentes tratados com Humira, é limitada. A semi</w:t>
      </w:r>
      <w:r w:rsidR="00784C05">
        <w:rPr>
          <w:iCs/>
          <w:sz w:val="22"/>
          <w:szCs w:val="22"/>
        </w:rPr>
        <w:t>-</w:t>
      </w:r>
      <w:r w:rsidRPr="008912CF">
        <w:rPr>
          <w:iCs/>
          <w:sz w:val="22"/>
          <w:szCs w:val="22"/>
        </w:rPr>
        <w:t xml:space="preserve">vida longa de adalimumab deve ser tida em consideração se for planeada uma intervenção cirúrgica. </w:t>
      </w:r>
      <w:r w:rsidR="00F7235D">
        <w:rPr>
          <w:iCs/>
          <w:sz w:val="22"/>
          <w:szCs w:val="22"/>
        </w:rPr>
        <w:t>Um</w:t>
      </w:r>
      <w:r w:rsidRPr="008912CF">
        <w:rPr>
          <w:iCs/>
          <w:sz w:val="22"/>
          <w:szCs w:val="22"/>
        </w:rPr>
        <w:t xml:space="preserve"> doente que requeira cirurgia durante o tratamento com Humira deve ser cuidadosamente monitorizado para infeções, e devem ser tomadas ações apropriadas. A experiência que existe, em termos de segurança em doentes submetidos a artroplastia durante o tratamento com Humira, é limitada.</w:t>
      </w:r>
    </w:p>
    <w:p w14:paraId="1F7E5063" w14:textId="77777777" w:rsidR="004462A0" w:rsidRPr="008912CF" w:rsidRDefault="004462A0" w:rsidP="004462A0">
      <w:pPr>
        <w:rPr>
          <w:sz w:val="22"/>
          <w:szCs w:val="22"/>
        </w:rPr>
      </w:pPr>
    </w:p>
    <w:p w14:paraId="4BDE9B8A" w14:textId="77777777" w:rsidR="004462A0" w:rsidRPr="008912CF" w:rsidRDefault="00615769" w:rsidP="004462A0">
      <w:pPr>
        <w:pStyle w:val="Heading9"/>
        <w:keepNext w:val="0"/>
        <w:rPr>
          <w:szCs w:val="22"/>
        </w:rPr>
      </w:pPr>
      <w:r w:rsidRPr="008912CF">
        <w:rPr>
          <w:szCs w:val="22"/>
        </w:rPr>
        <w:t>Obstrução do intestino delgado</w:t>
      </w:r>
    </w:p>
    <w:p w14:paraId="3601D21A" w14:textId="77777777" w:rsidR="004462A0" w:rsidRPr="008912CF" w:rsidRDefault="004462A0" w:rsidP="004462A0">
      <w:pPr>
        <w:rPr>
          <w:sz w:val="22"/>
          <w:szCs w:val="22"/>
        </w:rPr>
      </w:pPr>
    </w:p>
    <w:p w14:paraId="7EE60888" w14:textId="77777777" w:rsidR="004462A0" w:rsidRPr="008912CF" w:rsidRDefault="00615769" w:rsidP="004462A0">
      <w:pPr>
        <w:rPr>
          <w:sz w:val="22"/>
          <w:szCs w:val="22"/>
        </w:rPr>
      </w:pPr>
      <w:r w:rsidRPr="008912CF">
        <w:rPr>
          <w:sz w:val="22"/>
          <w:szCs w:val="22"/>
        </w:rPr>
        <w:t>Uma falha na resposta ao tratamento da doença de Crohn pode indicar a presença de estenose fibrótica</w:t>
      </w:r>
      <w:r w:rsidR="00F7235D">
        <w:rPr>
          <w:sz w:val="22"/>
          <w:szCs w:val="22"/>
        </w:rPr>
        <w:t>,</w:t>
      </w:r>
      <w:r w:rsidRPr="008912CF">
        <w:rPr>
          <w:sz w:val="22"/>
          <w:szCs w:val="22"/>
        </w:rPr>
        <w:t xml:space="preserve"> a qual pode requerer tratamento cirúrgico. Os dados disponíveis sugerem que Humira não agrava nem provoca estenoses.</w:t>
      </w:r>
    </w:p>
    <w:p w14:paraId="59E2487C" w14:textId="77777777" w:rsidR="004462A0" w:rsidRPr="008912CF" w:rsidRDefault="004462A0" w:rsidP="004462A0">
      <w:pPr>
        <w:rPr>
          <w:iCs/>
          <w:sz w:val="22"/>
          <w:szCs w:val="22"/>
        </w:rPr>
      </w:pPr>
    </w:p>
    <w:p w14:paraId="59039948" w14:textId="77777777" w:rsidR="004462A0" w:rsidRPr="008912CF" w:rsidRDefault="00615769" w:rsidP="004462A0">
      <w:pPr>
        <w:rPr>
          <w:iCs/>
          <w:sz w:val="22"/>
          <w:szCs w:val="22"/>
          <w:u w:val="single"/>
        </w:rPr>
      </w:pPr>
      <w:r w:rsidRPr="008912CF">
        <w:rPr>
          <w:iCs/>
          <w:sz w:val="22"/>
          <w:szCs w:val="22"/>
          <w:u w:val="single"/>
        </w:rPr>
        <w:t>Idosos</w:t>
      </w:r>
    </w:p>
    <w:p w14:paraId="7A1C4FFF" w14:textId="77777777" w:rsidR="004462A0" w:rsidRPr="008912CF" w:rsidRDefault="004462A0" w:rsidP="004462A0">
      <w:pPr>
        <w:rPr>
          <w:iCs/>
          <w:sz w:val="22"/>
          <w:szCs w:val="22"/>
          <w:u w:val="single"/>
        </w:rPr>
      </w:pPr>
    </w:p>
    <w:p w14:paraId="2B35D89B" w14:textId="77777777" w:rsidR="004462A0" w:rsidRPr="008912CF" w:rsidRDefault="00615769" w:rsidP="004462A0">
      <w:pPr>
        <w:rPr>
          <w:iCs/>
          <w:sz w:val="22"/>
          <w:szCs w:val="22"/>
          <w:u w:val="single"/>
        </w:rPr>
      </w:pPr>
      <w:r w:rsidRPr="008912CF">
        <w:rPr>
          <w:sz w:val="22"/>
          <w:szCs w:val="22"/>
        </w:rPr>
        <w:t>A frequência de infeções graves em doentes tratados com Humira com mais de 65 anos de idade (</w:t>
      </w:r>
      <w:r>
        <w:rPr>
          <w:sz w:val="22"/>
          <w:szCs w:val="22"/>
        </w:rPr>
        <w:t>3,7</w:t>
      </w:r>
      <w:r w:rsidR="009343EF">
        <w:rPr>
          <w:sz w:val="22"/>
          <w:szCs w:val="22"/>
        </w:rPr>
        <w:t>%</w:t>
      </w:r>
      <w:r w:rsidRPr="008912CF">
        <w:rPr>
          <w:sz w:val="22"/>
          <w:szCs w:val="22"/>
        </w:rPr>
        <w:t>) foi superior à de doentes com idade inferior a 65 anos (</w:t>
      </w:r>
      <w:r>
        <w:rPr>
          <w:sz w:val="22"/>
          <w:szCs w:val="22"/>
        </w:rPr>
        <w:t>1,5</w:t>
      </w:r>
      <w:r w:rsidR="009343EF">
        <w:rPr>
          <w:sz w:val="22"/>
          <w:szCs w:val="22"/>
        </w:rPr>
        <w:t>%</w:t>
      </w:r>
      <w:r w:rsidRPr="008912CF">
        <w:rPr>
          <w:sz w:val="22"/>
          <w:szCs w:val="22"/>
        </w:rPr>
        <w:t>). Algumas foram fatais. No tratamento em idosos deve-se ter particular atenção ao risco de infeções.</w:t>
      </w:r>
    </w:p>
    <w:p w14:paraId="4BC38C99" w14:textId="77777777" w:rsidR="004462A0" w:rsidRPr="008912CF" w:rsidRDefault="004462A0" w:rsidP="004462A0">
      <w:pPr>
        <w:rPr>
          <w:iCs/>
          <w:sz w:val="22"/>
          <w:szCs w:val="22"/>
        </w:rPr>
      </w:pPr>
    </w:p>
    <w:p w14:paraId="27F59EB4" w14:textId="77777777" w:rsidR="004462A0" w:rsidRPr="008912CF" w:rsidRDefault="00615769" w:rsidP="004462A0">
      <w:pPr>
        <w:keepNext/>
        <w:rPr>
          <w:iCs/>
          <w:sz w:val="22"/>
          <w:szCs w:val="22"/>
          <w:u w:val="single"/>
        </w:rPr>
      </w:pPr>
      <w:r w:rsidRPr="008912CF">
        <w:rPr>
          <w:iCs/>
          <w:sz w:val="22"/>
          <w:szCs w:val="22"/>
          <w:u w:val="single"/>
        </w:rPr>
        <w:t>População pediátrica</w:t>
      </w:r>
    </w:p>
    <w:p w14:paraId="14D6200F" w14:textId="77777777" w:rsidR="004462A0" w:rsidRPr="008912CF" w:rsidRDefault="004462A0" w:rsidP="004462A0">
      <w:pPr>
        <w:keepNext/>
        <w:rPr>
          <w:iCs/>
          <w:sz w:val="22"/>
          <w:szCs w:val="22"/>
        </w:rPr>
      </w:pPr>
    </w:p>
    <w:p w14:paraId="7598898E" w14:textId="77777777" w:rsidR="004462A0" w:rsidRDefault="00615769" w:rsidP="004462A0">
      <w:pPr>
        <w:keepNext/>
        <w:rPr>
          <w:ins w:id="11430" w:author="AbbVie2" w:date="2025-05-13T16:41:00Z"/>
          <w:iCs/>
          <w:sz w:val="22"/>
          <w:szCs w:val="22"/>
        </w:rPr>
      </w:pPr>
      <w:r w:rsidRPr="008912CF">
        <w:rPr>
          <w:iCs/>
          <w:sz w:val="22"/>
          <w:szCs w:val="22"/>
        </w:rPr>
        <w:t>Ver Vacinação.</w:t>
      </w:r>
    </w:p>
    <w:p w14:paraId="4BA93850" w14:textId="77777777" w:rsidR="00412FC8" w:rsidRDefault="00412FC8" w:rsidP="004462A0">
      <w:pPr>
        <w:keepNext/>
        <w:rPr>
          <w:ins w:id="11431" w:author="AbbVie2" w:date="2025-05-13T16:41:00Z"/>
          <w:iCs/>
          <w:sz w:val="22"/>
          <w:szCs w:val="22"/>
        </w:rPr>
      </w:pPr>
    </w:p>
    <w:p w14:paraId="59C8F249" w14:textId="77777777" w:rsidR="00412FC8" w:rsidRPr="00784D09" w:rsidRDefault="00615769" w:rsidP="00412FC8">
      <w:pPr>
        <w:autoSpaceDE w:val="0"/>
        <w:autoSpaceDN w:val="0"/>
        <w:adjustRightInd w:val="0"/>
        <w:rPr>
          <w:ins w:id="11432" w:author="AbbVie2" w:date="2025-05-13T16:41:00Z"/>
          <w:sz w:val="22"/>
          <w:szCs w:val="22"/>
          <w:u w:val="single"/>
        </w:rPr>
      </w:pPr>
      <w:ins w:id="11433" w:author="AbbVie2" w:date="2025-05-13T16:41:00Z">
        <w:r w:rsidRPr="00784D09">
          <w:rPr>
            <w:sz w:val="22"/>
            <w:szCs w:val="22"/>
            <w:u w:val="single"/>
          </w:rPr>
          <w:t>Excipientes com efeito conhecido</w:t>
        </w:r>
      </w:ins>
    </w:p>
    <w:p w14:paraId="0D03CC7D" w14:textId="77777777" w:rsidR="00412FC8" w:rsidRDefault="00412FC8" w:rsidP="00412FC8">
      <w:pPr>
        <w:autoSpaceDE w:val="0"/>
        <w:autoSpaceDN w:val="0"/>
        <w:adjustRightInd w:val="0"/>
        <w:rPr>
          <w:ins w:id="11434" w:author="AbbVie2" w:date="2025-05-13T16:41:00Z"/>
          <w:sz w:val="22"/>
          <w:szCs w:val="22"/>
        </w:rPr>
      </w:pPr>
    </w:p>
    <w:p w14:paraId="24371944" w14:textId="1584CCB8" w:rsidR="00412FC8" w:rsidRPr="00412FC8" w:rsidRDefault="00615769">
      <w:pPr>
        <w:autoSpaceDE w:val="0"/>
        <w:autoSpaceDN w:val="0"/>
        <w:adjustRightInd w:val="0"/>
        <w:rPr>
          <w:sz w:val="22"/>
          <w:szCs w:val="22"/>
        </w:rPr>
        <w:pPrChange w:id="11435" w:author="AbbVie2" w:date="2025-05-13T16:41:00Z">
          <w:pPr>
            <w:keepNext/>
          </w:pPr>
        </w:pPrChange>
      </w:pPr>
      <w:ins w:id="11436" w:author="AbbVie2" w:date="2025-05-13T16:41:00Z">
        <w:r>
          <w:rPr>
            <w:sz w:val="22"/>
            <w:szCs w:val="22"/>
          </w:rPr>
          <w:t>Este medicamento contém 0,4 mg de polissorbato 80 em cada dose de 40 mg.</w:t>
        </w:r>
      </w:ins>
      <w:ins w:id="11437" w:author="AbbVie2" w:date="2025-09-08T09:59:00Z">
        <w:r w:rsidR="00BE62F9">
          <w:rPr>
            <w:sz w:val="22"/>
            <w:szCs w:val="22"/>
          </w:rPr>
          <w:t xml:space="preserve"> Os polissorbatos podem causar reações alérgicas.</w:t>
        </w:r>
      </w:ins>
    </w:p>
    <w:p w14:paraId="77E20FEF" w14:textId="77777777" w:rsidR="004462A0" w:rsidRPr="008912CF" w:rsidRDefault="004462A0" w:rsidP="004462A0">
      <w:pPr>
        <w:rPr>
          <w:iCs/>
          <w:sz w:val="22"/>
          <w:szCs w:val="22"/>
        </w:rPr>
      </w:pPr>
    </w:p>
    <w:p w14:paraId="368A2DB3" w14:textId="77777777" w:rsidR="004462A0" w:rsidRPr="008912CF" w:rsidRDefault="00615769" w:rsidP="004462A0">
      <w:pPr>
        <w:keepNext/>
        <w:autoSpaceDE w:val="0"/>
        <w:autoSpaceDN w:val="0"/>
        <w:adjustRightInd w:val="0"/>
        <w:ind w:left="567" w:hanging="567"/>
        <w:rPr>
          <w:b/>
          <w:sz w:val="22"/>
          <w:szCs w:val="22"/>
          <w:highlight w:val="yellow"/>
        </w:rPr>
      </w:pPr>
      <w:r w:rsidRPr="008912CF">
        <w:rPr>
          <w:b/>
          <w:sz w:val="22"/>
          <w:szCs w:val="22"/>
        </w:rPr>
        <w:t>4.5</w:t>
      </w:r>
      <w:r w:rsidRPr="008912CF">
        <w:rPr>
          <w:sz w:val="22"/>
          <w:szCs w:val="22"/>
        </w:rPr>
        <w:tab/>
      </w:r>
      <w:r w:rsidRPr="008912CF">
        <w:rPr>
          <w:b/>
          <w:sz w:val="22"/>
          <w:szCs w:val="22"/>
        </w:rPr>
        <w:t xml:space="preserve">Interações medicamentosas e outras formas de interação </w:t>
      </w:r>
    </w:p>
    <w:p w14:paraId="6E07F8D4" w14:textId="77777777" w:rsidR="004462A0" w:rsidRPr="008912CF" w:rsidRDefault="004462A0" w:rsidP="004462A0">
      <w:pPr>
        <w:pStyle w:val="EndnoteText"/>
        <w:keepNext/>
        <w:tabs>
          <w:tab w:val="clear" w:pos="567"/>
        </w:tabs>
        <w:rPr>
          <w:szCs w:val="22"/>
        </w:rPr>
      </w:pPr>
    </w:p>
    <w:p w14:paraId="42E1BDD3" w14:textId="77777777" w:rsidR="004462A0" w:rsidRPr="008912CF" w:rsidRDefault="00615769" w:rsidP="004462A0">
      <w:pPr>
        <w:pStyle w:val="BodyText2"/>
        <w:keepNext/>
        <w:rPr>
          <w:szCs w:val="22"/>
        </w:rPr>
      </w:pPr>
      <w:r w:rsidRPr="008912CF">
        <w:rPr>
          <w:szCs w:val="22"/>
        </w:rPr>
        <w:t xml:space="preserve">Humira foi estudado em doentes com artrite reumatoide, artrite idiopática juvenil poliarticular e artrite psoriática, tratados com Humira em monoterapia, e em doentes submetidos a um tratamento concomitante com metotrexato. A formação de anticorpos foi </w:t>
      </w:r>
      <w:r w:rsidR="001D79C6">
        <w:rPr>
          <w:szCs w:val="22"/>
        </w:rPr>
        <w:t>inferior</w:t>
      </w:r>
      <w:r w:rsidRPr="008912CF">
        <w:rPr>
          <w:szCs w:val="22"/>
        </w:rPr>
        <w:t xml:space="preserve"> quando Humira foi administrado com metotrexato relativamente ao uso em monoterapia. A administração de Humira sem metotrexato resultou numa formação aumentada de anticorpos, depuração aumentada e eficácia reduzida d</w:t>
      </w:r>
      <w:r w:rsidR="003A4C51">
        <w:rPr>
          <w:szCs w:val="22"/>
        </w:rPr>
        <w:t>e</w:t>
      </w:r>
      <w:r w:rsidRPr="008912CF">
        <w:rPr>
          <w:szCs w:val="22"/>
        </w:rPr>
        <w:t xml:space="preserve"> adalimumab (ver secção 5.1).</w:t>
      </w:r>
    </w:p>
    <w:p w14:paraId="693C1533" w14:textId="77777777" w:rsidR="004462A0" w:rsidRPr="008912CF" w:rsidRDefault="004462A0" w:rsidP="004462A0">
      <w:pPr>
        <w:pStyle w:val="Heading9"/>
        <w:keepNext w:val="0"/>
        <w:rPr>
          <w:iCs/>
          <w:szCs w:val="22"/>
        </w:rPr>
      </w:pPr>
    </w:p>
    <w:p w14:paraId="410645A8" w14:textId="77777777" w:rsidR="004462A0" w:rsidRPr="008912CF" w:rsidRDefault="00615769" w:rsidP="004462A0">
      <w:pPr>
        <w:pStyle w:val="Heading9"/>
        <w:keepNext w:val="0"/>
        <w:rPr>
          <w:szCs w:val="22"/>
          <w:u w:val="none"/>
        </w:rPr>
      </w:pPr>
      <w:r w:rsidRPr="008912CF">
        <w:rPr>
          <w:iCs/>
          <w:szCs w:val="22"/>
          <w:u w:val="none"/>
        </w:rPr>
        <w:t>Não se recomenda a associação de Humira e ana</w:t>
      </w:r>
      <w:r w:rsidR="00F7235D">
        <w:rPr>
          <w:iCs/>
          <w:szCs w:val="22"/>
          <w:u w:val="none"/>
        </w:rPr>
        <w:t>c</w:t>
      </w:r>
      <w:r w:rsidRPr="008912CF">
        <w:rPr>
          <w:iCs/>
          <w:szCs w:val="22"/>
          <w:u w:val="none"/>
        </w:rPr>
        <w:t xml:space="preserve">inra </w:t>
      </w:r>
      <w:r w:rsidRPr="008912CF">
        <w:rPr>
          <w:szCs w:val="22"/>
          <w:u w:val="none"/>
        </w:rPr>
        <w:t xml:space="preserve">(ver secção 4.4 “Administração concomitante de </w:t>
      </w:r>
      <w:r w:rsidR="002B1836" w:rsidRPr="008912CF">
        <w:rPr>
          <w:szCs w:val="22"/>
          <w:u w:val="none"/>
        </w:rPr>
        <w:t xml:space="preserve">DMARDS </w:t>
      </w:r>
      <w:r w:rsidRPr="008912CF">
        <w:rPr>
          <w:szCs w:val="22"/>
          <w:u w:val="none"/>
        </w:rPr>
        <w:t>biológicos ou antagonistas</w:t>
      </w:r>
      <w:r w:rsidRPr="008912CF">
        <w:rPr>
          <w:szCs w:val="22"/>
          <w:u w:val="none"/>
        </w:rPr>
        <w:noBreakHyphen/>
        <w:t>TNF”).</w:t>
      </w:r>
    </w:p>
    <w:p w14:paraId="28AB08BD" w14:textId="77777777" w:rsidR="004462A0" w:rsidRPr="008912CF" w:rsidRDefault="004462A0" w:rsidP="004462A0">
      <w:pPr>
        <w:pStyle w:val="Heading9"/>
        <w:keepNext w:val="0"/>
        <w:rPr>
          <w:iCs/>
          <w:szCs w:val="22"/>
        </w:rPr>
      </w:pPr>
    </w:p>
    <w:p w14:paraId="447AF1CF" w14:textId="77777777" w:rsidR="004462A0" w:rsidRPr="008912CF" w:rsidRDefault="00615769" w:rsidP="004462A0">
      <w:pPr>
        <w:autoSpaceDE w:val="0"/>
        <w:autoSpaceDN w:val="0"/>
        <w:adjustRightInd w:val="0"/>
        <w:rPr>
          <w:sz w:val="22"/>
          <w:szCs w:val="22"/>
        </w:rPr>
      </w:pPr>
      <w:r w:rsidRPr="008912CF">
        <w:rPr>
          <w:iCs/>
          <w:sz w:val="22"/>
          <w:szCs w:val="22"/>
        </w:rPr>
        <w:t xml:space="preserve">Não se recomenda a associação de Humira e </w:t>
      </w:r>
      <w:r w:rsidRPr="008912CF">
        <w:rPr>
          <w:sz w:val="22"/>
          <w:szCs w:val="22"/>
        </w:rPr>
        <w:t xml:space="preserve">abatacept (ver secção 4.4 “Administração concomitante de </w:t>
      </w:r>
      <w:r w:rsidR="002B1836" w:rsidRPr="008912CF">
        <w:rPr>
          <w:sz w:val="22"/>
          <w:szCs w:val="22"/>
        </w:rPr>
        <w:t xml:space="preserve">DMARDS </w:t>
      </w:r>
      <w:r w:rsidRPr="008912CF">
        <w:rPr>
          <w:sz w:val="22"/>
          <w:szCs w:val="22"/>
        </w:rPr>
        <w:t>biológicos ou antagonistas</w:t>
      </w:r>
      <w:r w:rsidRPr="008912CF">
        <w:rPr>
          <w:sz w:val="22"/>
          <w:szCs w:val="22"/>
        </w:rPr>
        <w:noBreakHyphen/>
        <w:t>TNF”).</w:t>
      </w:r>
    </w:p>
    <w:p w14:paraId="3B9B600D" w14:textId="77777777" w:rsidR="004462A0" w:rsidRPr="008912CF" w:rsidRDefault="004462A0" w:rsidP="004462A0">
      <w:pPr>
        <w:autoSpaceDE w:val="0"/>
        <w:autoSpaceDN w:val="0"/>
        <w:adjustRightInd w:val="0"/>
        <w:rPr>
          <w:sz w:val="22"/>
          <w:szCs w:val="22"/>
        </w:rPr>
      </w:pPr>
    </w:p>
    <w:p w14:paraId="52C0A1FF" w14:textId="77777777" w:rsidR="004462A0" w:rsidRPr="008912CF" w:rsidRDefault="00615769" w:rsidP="004462A0">
      <w:pPr>
        <w:autoSpaceDE w:val="0"/>
        <w:autoSpaceDN w:val="0"/>
        <w:adjustRightInd w:val="0"/>
        <w:ind w:left="567" w:hanging="567"/>
        <w:rPr>
          <w:b/>
          <w:sz w:val="22"/>
          <w:szCs w:val="22"/>
        </w:rPr>
      </w:pPr>
      <w:r w:rsidRPr="008912CF">
        <w:rPr>
          <w:b/>
          <w:bCs/>
          <w:sz w:val="22"/>
          <w:szCs w:val="22"/>
        </w:rPr>
        <w:t>4.6</w:t>
      </w:r>
      <w:r w:rsidRPr="008912CF">
        <w:rPr>
          <w:b/>
          <w:bCs/>
          <w:sz w:val="22"/>
          <w:szCs w:val="22"/>
        </w:rPr>
        <w:tab/>
        <w:t>Fertilidade, gravidez</w:t>
      </w:r>
      <w:r w:rsidRPr="008912CF">
        <w:rPr>
          <w:b/>
          <w:sz w:val="22"/>
          <w:szCs w:val="22"/>
        </w:rPr>
        <w:t xml:space="preserve"> e aleitamento</w:t>
      </w:r>
    </w:p>
    <w:p w14:paraId="43139438" w14:textId="77777777" w:rsidR="004462A0" w:rsidRPr="008912CF" w:rsidRDefault="004462A0" w:rsidP="004462A0">
      <w:pPr>
        <w:autoSpaceDE w:val="0"/>
        <w:autoSpaceDN w:val="0"/>
        <w:adjustRightInd w:val="0"/>
        <w:rPr>
          <w:sz w:val="22"/>
          <w:szCs w:val="22"/>
        </w:rPr>
      </w:pPr>
    </w:p>
    <w:p w14:paraId="612A075A" w14:textId="77777777" w:rsidR="004462A0" w:rsidRPr="008912CF" w:rsidRDefault="00615769" w:rsidP="004462A0">
      <w:pPr>
        <w:rPr>
          <w:sz w:val="22"/>
          <w:szCs w:val="22"/>
          <w:u w:val="single"/>
        </w:rPr>
      </w:pPr>
      <w:r w:rsidRPr="008912CF">
        <w:rPr>
          <w:sz w:val="22"/>
          <w:szCs w:val="22"/>
          <w:u w:val="single"/>
        </w:rPr>
        <w:t>Mulheres em idade fértil</w:t>
      </w:r>
    </w:p>
    <w:p w14:paraId="2468EDD3" w14:textId="77777777" w:rsidR="004462A0" w:rsidRPr="008912CF" w:rsidRDefault="004462A0" w:rsidP="004462A0">
      <w:pPr>
        <w:rPr>
          <w:sz w:val="22"/>
          <w:szCs w:val="22"/>
        </w:rPr>
      </w:pPr>
    </w:p>
    <w:p w14:paraId="6878813B" w14:textId="77777777" w:rsidR="004462A0" w:rsidRPr="008912CF" w:rsidRDefault="00615769" w:rsidP="004462A0">
      <w:pPr>
        <w:rPr>
          <w:sz w:val="22"/>
          <w:szCs w:val="22"/>
        </w:rPr>
      </w:pPr>
      <w:r w:rsidRPr="008912CF">
        <w:rPr>
          <w:sz w:val="22"/>
          <w:szCs w:val="22"/>
        </w:rPr>
        <w:t xml:space="preserve">As mulheres em idade fértil </w:t>
      </w:r>
      <w:r w:rsidR="00DF78AD" w:rsidRPr="00814394">
        <w:rPr>
          <w:sz w:val="22"/>
          <w:szCs w:val="22"/>
        </w:rPr>
        <w:t xml:space="preserve">devem considerar a </w:t>
      </w:r>
      <w:r w:rsidR="00DF78AD">
        <w:rPr>
          <w:sz w:val="22"/>
          <w:szCs w:val="22"/>
        </w:rPr>
        <w:t>utilização de</w:t>
      </w:r>
      <w:r w:rsidRPr="008912CF">
        <w:rPr>
          <w:sz w:val="22"/>
          <w:szCs w:val="22"/>
        </w:rPr>
        <w:t xml:space="preserve"> um método contracetivo adequado para evitar a gravidez e continuar a utilizá-lo </w:t>
      </w:r>
      <w:r w:rsidR="001D79C6">
        <w:rPr>
          <w:sz w:val="22"/>
          <w:szCs w:val="22"/>
        </w:rPr>
        <w:t xml:space="preserve">durante </w:t>
      </w:r>
      <w:r w:rsidRPr="008912CF">
        <w:rPr>
          <w:sz w:val="22"/>
          <w:szCs w:val="22"/>
        </w:rPr>
        <w:t>pelo menos cinco meses após o último tratamento com Humira.</w:t>
      </w:r>
    </w:p>
    <w:p w14:paraId="72029C82" w14:textId="77777777" w:rsidR="004462A0" w:rsidRPr="008912CF" w:rsidRDefault="004462A0" w:rsidP="004462A0">
      <w:pPr>
        <w:autoSpaceDE w:val="0"/>
        <w:autoSpaceDN w:val="0"/>
        <w:adjustRightInd w:val="0"/>
        <w:rPr>
          <w:sz w:val="22"/>
          <w:szCs w:val="22"/>
          <w:u w:val="single"/>
        </w:rPr>
      </w:pPr>
    </w:p>
    <w:p w14:paraId="693B0C87" w14:textId="77777777" w:rsidR="004462A0" w:rsidRPr="008912CF" w:rsidRDefault="00615769" w:rsidP="004462A0">
      <w:pPr>
        <w:autoSpaceDE w:val="0"/>
        <w:autoSpaceDN w:val="0"/>
        <w:adjustRightInd w:val="0"/>
        <w:rPr>
          <w:sz w:val="22"/>
          <w:szCs w:val="22"/>
          <w:u w:val="single"/>
        </w:rPr>
      </w:pPr>
      <w:r w:rsidRPr="008912CF">
        <w:rPr>
          <w:sz w:val="22"/>
          <w:szCs w:val="22"/>
          <w:u w:val="single"/>
        </w:rPr>
        <w:t>Gravidez</w:t>
      </w:r>
    </w:p>
    <w:p w14:paraId="195C8710" w14:textId="77777777" w:rsidR="004462A0" w:rsidRPr="008912CF" w:rsidRDefault="004462A0" w:rsidP="004462A0">
      <w:pPr>
        <w:autoSpaceDE w:val="0"/>
        <w:autoSpaceDN w:val="0"/>
        <w:adjustRightInd w:val="0"/>
        <w:rPr>
          <w:sz w:val="22"/>
          <w:szCs w:val="22"/>
        </w:rPr>
      </w:pPr>
    </w:p>
    <w:p w14:paraId="0DB6397F" w14:textId="77777777" w:rsidR="006B5F73" w:rsidRDefault="00615769" w:rsidP="00DF78AD">
      <w:pPr>
        <w:autoSpaceDE w:val="0"/>
        <w:autoSpaceDN w:val="0"/>
        <w:adjustRightInd w:val="0"/>
        <w:rPr>
          <w:sz w:val="22"/>
          <w:szCs w:val="22"/>
        </w:rPr>
      </w:pPr>
      <w:r w:rsidRPr="0037510D">
        <w:rPr>
          <w:sz w:val="22"/>
          <w:szCs w:val="22"/>
        </w:rPr>
        <w:t>Um grande número de g</w:t>
      </w:r>
      <w:r>
        <w:rPr>
          <w:sz w:val="22"/>
          <w:szCs w:val="22"/>
        </w:rPr>
        <w:t xml:space="preserve">ravidezes </w:t>
      </w:r>
      <w:r w:rsidRPr="0037510D">
        <w:rPr>
          <w:sz w:val="22"/>
          <w:szCs w:val="22"/>
        </w:rPr>
        <w:t>(aproximadamente 2</w:t>
      </w:r>
      <w:r>
        <w:rPr>
          <w:sz w:val="22"/>
          <w:szCs w:val="22"/>
        </w:rPr>
        <w:t>.</w:t>
      </w:r>
      <w:r w:rsidRPr="0037510D">
        <w:rPr>
          <w:sz w:val="22"/>
          <w:szCs w:val="22"/>
        </w:rPr>
        <w:t>100)</w:t>
      </w:r>
      <w:r>
        <w:rPr>
          <w:sz w:val="22"/>
          <w:szCs w:val="22"/>
        </w:rPr>
        <w:t xml:space="preserve"> recolhidas de forma prospetiva, em que ocorreu exposição</w:t>
      </w:r>
      <w:r w:rsidRPr="0037510D">
        <w:rPr>
          <w:sz w:val="22"/>
          <w:szCs w:val="22"/>
        </w:rPr>
        <w:t xml:space="preserve"> a adalimumab</w:t>
      </w:r>
      <w:r>
        <w:rPr>
          <w:sz w:val="22"/>
          <w:szCs w:val="22"/>
        </w:rPr>
        <w:t>, resultando em</w:t>
      </w:r>
      <w:r w:rsidRPr="0037510D">
        <w:rPr>
          <w:sz w:val="22"/>
          <w:szCs w:val="22"/>
        </w:rPr>
        <w:t xml:space="preserve"> na</w:t>
      </w:r>
      <w:r>
        <w:rPr>
          <w:sz w:val="22"/>
          <w:szCs w:val="22"/>
        </w:rPr>
        <w:t xml:space="preserve">dos </w:t>
      </w:r>
      <w:r w:rsidRPr="0037510D">
        <w:rPr>
          <w:sz w:val="22"/>
          <w:szCs w:val="22"/>
        </w:rPr>
        <w:t>vivos com desfecho conhecido</w:t>
      </w:r>
      <w:r>
        <w:rPr>
          <w:sz w:val="22"/>
          <w:szCs w:val="22"/>
        </w:rPr>
        <w:t xml:space="preserve"> e </w:t>
      </w:r>
      <w:r w:rsidRPr="0037510D">
        <w:rPr>
          <w:sz w:val="22"/>
          <w:szCs w:val="22"/>
        </w:rPr>
        <w:t>incluindo mais de 1.500</w:t>
      </w:r>
      <w:r>
        <w:rPr>
          <w:sz w:val="22"/>
          <w:szCs w:val="22"/>
        </w:rPr>
        <w:t xml:space="preserve"> com</w:t>
      </w:r>
      <w:r w:rsidRPr="0037510D">
        <w:rPr>
          <w:sz w:val="22"/>
          <w:szCs w:val="22"/>
        </w:rPr>
        <w:t xml:space="preserve"> expos</w:t>
      </w:r>
      <w:r>
        <w:rPr>
          <w:sz w:val="22"/>
          <w:szCs w:val="22"/>
        </w:rPr>
        <w:t>ição</w:t>
      </w:r>
      <w:r w:rsidRPr="0037510D">
        <w:rPr>
          <w:sz w:val="22"/>
          <w:szCs w:val="22"/>
        </w:rPr>
        <w:t xml:space="preserve"> durante o primeiro trimestre, não indica um aumento na taxa de malformaç</w:t>
      </w:r>
      <w:r>
        <w:rPr>
          <w:sz w:val="22"/>
          <w:szCs w:val="22"/>
        </w:rPr>
        <w:t>ões</w:t>
      </w:r>
      <w:r w:rsidRPr="0037510D">
        <w:rPr>
          <w:sz w:val="22"/>
          <w:szCs w:val="22"/>
        </w:rPr>
        <w:t xml:space="preserve"> no recém-nascido.</w:t>
      </w:r>
    </w:p>
    <w:p w14:paraId="22C877F5" w14:textId="77777777" w:rsidR="00CF3350" w:rsidRDefault="00CF3350" w:rsidP="00DF78AD">
      <w:pPr>
        <w:autoSpaceDE w:val="0"/>
        <w:autoSpaceDN w:val="0"/>
        <w:adjustRightInd w:val="0"/>
        <w:rPr>
          <w:sz w:val="22"/>
          <w:szCs w:val="22"/>
        </w:rPr>
      </w:pPr>
    </w:p>
    <w:p w14:paraId="7FAEBC08" w14:textId="77777777" w:rsidR="004462A0" w:rsidRPr="008912CF" w:rsidRDefault="00615769" w:rsidP="004462A0">
      <w:pPr>
        <w:autoSpaceDE w:val="0"/>
        <w:autoSpaceDN w:val="0"/>
        <w:adjustRightInd w:val="0"/>
        <w:rPr>
          <w:sz w:val="22"/>
          <w:szCs w:val="22"/>
        </w:rPr>
      </w:pPr>
      <w:r>
        <w:rPr>
          <w:sz w:val="22"/>
          <w:szCs w:val="22"/>
        </w:rPr>
        <w:t>Num</w:t>
      </w:r>
      <w:r w:rsidR="009B4379">
        <w:rPr>
          <w:sz w:val="22"/>
          <w:szCs w:val="22"/>
        </w:rPr>
        <w:t>a</w:t>
      </w:r>
      <w:r>
        <w:rPr>
          <w:sz w:val="22"/>
          <w:szCs w:val="22"/>
        </w:rPr>
        <w:t xml:space="preserve"> c</w:t>
      </w:r>
      <w:r w:rsidRPr="00BE516A">
        <w:rPr>
          <w:sz w:val="22"/>
          <w:szCs w:val="22"/>
        </w:rPr>
        <w:t>oorte</w:t>
      </w:r>
      <w:r>
        <w:rPr>
          <w:sz w:val="22"/>
          <w:szCs w:val="22"/>
        </w:rPr>
        <w:t xml:space="preserve"> prospetiv</w:t>
      </w:r>
      <w:r w:rsidR="009B4379">
        <w:rPr>
          <w:sz w:val="22"/>
          <w:szCs w:val="22"/>
        </w:rPr>
        <w:t>a</w:t>
      </w:r>
      <w:r>
        <w:rPr>
          <w:sz w:val="22"/>
          <w:szCs w:val="22"/>
        </w:rPr>
        <w:t xml:space="preserve">, foram incluídas </w:t>
      </w:r>
      <w:r w:rsidRPr="00BE516A">
        <w:rPr>
          <w:sz w:val="22"/>
          <w:szCs w:val="22"/>
        </w:rPr>
        <w:t>257 mulheres com artrite reumatoide (AR) ou doença de Crohn (DC) tratadas com adalimumab</w:t>
      </w:r>
      <w:r w:rsidR="007F52B0">
        <w:rPr>
          <w:sz w:val="22"/>
          <w:szCs w:val="22"/>
        </w:rPr>
        <w:t>,</w:t>
      </w:r>
      <w:r w:rsidRPr="00BE516A">
        <w:rPr>
          <w:sz w:val="22"/>
          <w:szCs w:val="22"/>
        </w:rPr>
        <w:t xml:space="preserve"> pelo menos durante o primeiro trimestre</w:t>
      </w:r>
      <w:r w:rsidR="007F52B0">
        <w:rPr>
          <w:sz w:val="22"/>
          <w:szCs w:val="22"/>
        </w:rPr>
        <w:t>,</w:t>
      </w:r>
      <w:r w:rsidRPr="00BE516A">
        <w:rPr>
          <w:sz w:val="22"/>
          <w:szCs w:val="22"/>
        </w:rPr>
        <w:t xml:space="preserve"> e 120 mulheres com AR ou DC não tratadas com adalimumab</w:t>
      </w:r>
      <w:r>
        <w:rPr>
          <w:sz w:val="22"/>
          <w:szCs w:val="22"/>
        </w:rPr>
        <w:t xml:space="preserve">. </w:t>
      </w:r>
      <w:r w:rsidRPr="005E3DFC">
        <w:rPr>
          <w:sz w:val="22"/>
          <w:szCs w:val="22"/>
        </w:rPr>
        <w:t xml:space="preserve">O </w:t>
      </w:r>
      <w:r w:rsidR="009B4379">
        <w:rPr>
          <w:sz w:val="22"/>
          <w:szCs w:val="22"/>
        </w:rPr>
        <w:t>objetivo</w:t>
      </w:r>
      <w:r w:rsidRPr="005E3DFC">
        <w:rPr>
          <w:sz w:val="22"/>
          <w:szCs w:val="22"/>
        </w:rPr>
        <w:t xml:space="preserve"> primário foi</w:t>
      </w:r>
      <w:r w:rsidR="00020595">
        <w:rPr>
          <w:sz w:val="22"/>
          <w:szCs w:val="22"/>
        </w:rPr>
        <w:t xml:space="preserve"> a prevalência de </w:t>
      </w:r>
      <w:r w:rsidR="00F06203">
        <w:rPr>
          <w:sz w:val="22"/>
          <w:szCs w:val="22"/>
        </w:rPr>
        <w:t>malformações</w:t>
      </w:r>
      <w:r w:rsidRPr="005E3DFC">
        <w:rPr>
          <w:sz w:val="22"/>
          <w:szCs w:val="22"/>
        </w:rPr>
        <w:t xml:space="preserve"> </w:t>
      </w:r>
      <w:r w:rsidR="00F06203">
        <w:rPr>
          <w:sz w:val="22"/>
          <w:szCs w:val="22"/>
        </w:rPr>
        <w:t>congénitas</w:t>
      </w:r>
      <w:r w:rsidR="009B4379">
        <w:rPr>
          <w:sz w:val="22"/>
          <w:szCs w:val="22"/>
        </w:rPr>
        <w:t xml:space="preserve"> </w:t>
      </w:r>
      <w:r w:rsidR="009B4379" w:rsidRPr="007F52B0">
        <w:rPr>
          <w:i/>
          <w:sz w:val="22"/>
          <w:szCs w:val="22"/>
        </w:rPr>
        <w:t>major</w:t>
      </w:r>
      <w:r w:rsidR="00020595">
        <w:rPr>
          <w:sz w:val="22"/>
          <w:szCs w:val="22"/>
        </w:rPr>
        <w:t xml:space="preserve"> à nascença</w:t>
      </w:r>
      <w:r w:rsidRPr="005E3DFC">
        <w:rPr>
          <w:sz w:val="22"/>
          <w:szCs w:val="22"/>
        </w:rPr>
        <w:t xml:space="preserve">. A taxa de gravidezes que terminaram com pelo menos um </w:t>
      </w:r>
      <w:r w:rsidR="009B4379">
        <w:rPr>
          <w:sz w:val="22"/>
          <w:szCs w:val="22"/>
        </w:rPr>
        <w:t>nado</w:t>
      </w:r>
      <w:r w:rsidRPr="005E3DFC">
        <w:rPr>
          <w:sz w:val="22"/>
          <w:szCs w:val="22"/>
        </w:rPr>
        <w:t xml:space="preserve"> vivo com um</w:t>
      </w:r>
      <w:r w:rsidR="00020595">
        <w:rPr>
          <w:sz w:val="22"/>
          <w:szCs w:val="22"/>
        </w:rPr>
        <w:t>a malformação congénita</w:t>
      </w:r>
      <w:r w:rsidRPr="005E3DFC">
        <w:rPr>
          <w:sz w:val="22"/>
          <w:szCs w:val="22"/>
        </w:rPr>
        <w:t xml:space="preserve"> </w:t>
      </w:r>
      <w:r w:rsidR="009B4379" w:rsidRPr="007F52B0">
        <w:rPr>
          <w:i/>
          <w:sz w:val="22"/>
          <w:szCs w:val="22"/>
        </w:rPr>
        <w:t>major</w:t>
      </w:r>
      <w:r w:rsidRPr="005E3DFC">
        <w:rPr>
          <w:sz w:val="22"/>
          <w:szCs w:val="22"/>
        </w:rPr>
        <w:t xml:space="preserve"> foi de 6/69 (8,7%) nas mulheres </w:t>
      </w:r>
      <w:r w:rsidR="009B4379" w:rsidRPr="005E3DFC">
        <w:rPr>
          <w:sz w:val="22"/>
          <w:szCs w:val="22"/>
        </w:rPr>
        <w:t xml:space="preserve">com AR </w:t>
      </w:r>
      <w:r w:rsidRPr="005E3DFC">
        <w:rPr>
          <w:sz w:val="22"/>
          <w:szCs w:val="22"/>
        </w:rPr>
        <w:t xml:space="preserve">tratadas com adalimumab e 5/74 (6,8%) nas mulheres </w:t>
      </w:r>
      <w:r w:rsidR="009B4379" w:rsidRPr="005E3DFC">
        <w:rPr>
          <w:sz w:val="22"/>
          <w:szCs w:val="22"/>
        </w:rPr>
        <w:t xml:space="preserve">com AR </w:t>
      </w:r>
      <w:r w:rsidRPr="005E3DFC">
        <w:rPr>
          <w:sz w:val="22"/>
          <w:szCs w:val="22"/>
        </w:rPr>
        <w:t>não tratadas (</w:t>
      </w:r>
      <w:r w:rsidR="007F52B0" w:rsidRPr="007F52B0">
        <w:rPr>
          <w:i/>
          <w:sz w:val="22"/>
          <w:szCs w:val="22"/>
        </w:rPr>
        <w:t>odds ratio</w:t>
      </w:r>
      <w:r w:rsidR="007F52B0">
        <w:rPr>
          <w:sz w:val="22"/>
          <w:szCs w:val="22"/>
        </w:rPr>
        <w:t xml:space="preserve"> (</w:t>
      </w:r>
      <w:r>
        <w:rPr>
          <w:sz w:val="22"/>
          <w:szCs w:val="22"/>
        </w:rPr>
        <w:t>OR</w:t>
      </w:r>
      <w:r w:rsidR="007F52B0">
        <w:rPr>
          <w:sz w:val="22"/>
          <w:szCs w:val="22"/>
        </w:rPr>
        <w:t>)</w:t>
      </w:r>
      <w:r>
        <w:rPr>
          <w:sz w:val="22"/>
          <w:szCs w:val="22"/>
        </w:rPr>
        <w:t xml:space="preserve"> </w:t>
      </w:r>
      <w:r w:rsidRPr="005E3DFC">
        <w:rPr>
          <w:sz w:val="22"/>
          <w:szCs w:val="22"/>
        </w:rPr>
        <w:t>não ajustada</w:t>
      </w:r>
      <w:r w:rsidR="009B4379">
        <w:rPr>
          <w:sz w:val="22"/>
          <w:szCs w:val="22"/>
        </w:rPr>
        <w:t>:</w:t>
      </w:r>
      <w:r w:rsidRPr="005E3DFC">
        <w:rPr>
          <w:sz w:val="22"/>
          <w:szCs w:val="22"/>
        </w:rPr>
        <w:t xml:space="preserve"> </w:t>
      </w:r>
      <w:r w:rsidRPr="005E3DFC">
        <w:rPr>
          <w:sz w:val="22"/>
          <w:szCs w:val="22"/>
        </w:rPr>
        <w:t>1,31, IC 95% 0,38-4,52) e 16/152 (10,5%) nas m</w:t>
      </w:r>
      <w:r>
        <w:rPr>
          <w:sz w:val="22"/>
          <w:szCs w:val="22"/>
        </w:rPr>
        <w:t xml:space="preserve">ulheres </w:t>
      </w:r>
      <w:r w:rsidR="009B4379" w:rsidRPr="005E3DFC">
        <w:rPr>
          <w:sz w:val="22"/>
          <w:szCs w:val="22"/>
        </w:rPr>
        <w:t xml:space="preserve">com </w:t>
      </w:r>
      <w:r w:rsidR="009B4379">
        <w:rPr>
          <w:sz w:val="22"/>
          <w:szCs w:val="22"/>
        </w:rPr>
        <w:t>DC</w:t>
      </w:r>
      <w:r w:rsidR="009B4379" w:rsidRPr="005E3DFC">
        <w:rPr>
          <w:sz w:val="22"/>
          <w:szCs w:val="22"/>
        </w:rPr>
        <w:t xml:space="preserve"> </w:t>
      </w:r>
      <w:r>
        <w:rPr>
          <w:sz w:val="22"/>
          <w:szCs w:val="22"/>
        </w:rPr>
        <w:t>tratadas com adalimumab</w:t>
      </w:r>
      <w:r w:rsidRPr="005E3DFC">
        <w:rPr>
          <w:sz w:val="22"/>
          <w:szCs w:val="22"/>
        </w:rPr>
        <w:t xml:space="preserve"> e 3/32 (9,4%) nas mulheres </w:t>
      </w:r>
      <w:r w:rsidR="009B4379" w:rsidRPr="005E3DFC">
        <w:rPr>
          <w:sz w:val="22"/>
          <w:szCs w:val="22"/>
        </w:rPr>
        <w:t xml:space="preserve">com DC </w:t>
      </w:r>
      <w:r w:rsidRPr="005E3DFC">
        <w:rPr>
          <w:sz w:val="22"/>
          <w:szCs w:val="22"/>
        </w:rPr>
        <w:t>não tratadas (OR não ajustada</w:t>
      </w:r>
      <w:r w:rsidR="009B4379">
        <w:rPr>
          <w:sz w:val="22"/>
          <w:szCs w:val="22"/>
        </w:rPr>
        <w:t>:</w:t>
      </w:r>
      <w:r w:rsidRPr="005E3DFC">
        <w:rPr>
          <w:sz w:val="22"/>
          <w:szCs w:val="22"/>
        </w:rPr>
        <w:t xml:space="preserve"> 1,14, IC 95% 0,31-4,16).</w:t>
      </w:r>
      <w:r>
        <w:rPr>
          <w:sz w:val="22"/>
          <w:szCs w:val="22"/>
        </w:rPr>
        <w:t xml:space="preserve"> A OR ajustada </w:t>
      </w:r>
      <w:r w:rsidRPr="005E3DFC">
        <w:rPr>
          <w:sz w:val="22"/>
          <w:szCs w:val="22"/>
        </w:rPr>
        <w:t>(</w:t>
      </w:r>
      <w:r w:rsidR="009B4379">
        <w:rPr>
          <w:sz w:val="22"/>
          <w:szCs w:val="22"/>
        </w:rPr>
        <w:t>contabilizando as</w:t>
      </w:r>
      <w:r w:rsidRPr="005E3DFC">
        <w:rPr>
          <w:sz w:val="22"/>
          <w:szCs w:val="22"/>
        </w:rPr>
        <w:t xml:space="preserve"> diferenças </w:t>
      </w:r>
      <w:r w:rsidR="00020595">
        <w:rPr>
          <w:sz w:val="22"/>
          <w:szCs w:val="22"/>
        </w:rPr>
        <w:t>na avaliação basal)</w:t>
      </w:r>
      <w:r w:rsidRPr="005E3DFC">
        <w:rPr>
          <w:sz w:val="22"/>
          <w:szCs w:val="22"/>
        </w:rPr>
        <w:t xml:space="preserve"> foi de 1,10 (IC 95% 0,45-2,73) com </w:t>
      </w:r>
      <w:r>
        <w:rPr>
          <w:sz w:val="22"/>
          <w:szCs w:val="22"/>
        </w:rPr>
        <w:t>AR e DC</w:t>
      </w:r>
      <w:r w:rsidRPr="005E3DFC">
        <w:rPr>
          <w:sz w:val="22"/>
          <w:szCs w:val="22"/>
        </w:rPr>
        <w:t xml:space="preserve"> combinad</w:t>
      </w:r>
      <w:r>
        <w:rPr>
          <w:sz w:val="22"/>
          <w:szCs w:val="22"/>
        </w:rPr>
        <w:t>a</w:t>
      </w:r>
      <w:r w:rsidRPr="005E3DFC">
        <w:rPr>
          <w:sz w:val="22"/>
          <w:szCs w:val="22"/>
        </w:rPr>
        <w:t xml:space="preserve">s. Não houve diferenças </w:t>
      </w:r>
      <w:r w:rsidR="009B4379">
        <w:rPr>
          <w:sz w:val="22"/>
          <w:szCs w:val="22"/>
        </w:rPr>
        <w:t>significativas</w:t>
      </w:r>
      <w:r w:rsidRPr="005E3DFC">
        <w:rPr>
          <w:sz w:val="22"/>
          <w:szCs w:val="22"/>
        </w:rPr>
        <w:t xml:space="preserve"> entre as mulheres tratadas com adalimumab e não tratadas nos </w:t>
      </w:r>
      <w:r w:rsidR="009B4379">
        <w:rPr>
          <w:sz w:val="22"/>
          <w:szCs w:val="22"/>
        </w:rPr>
        <w:t>parâmetros</w:t>
      </w:r>
      <w:r w:rsidRPr="005E3DFC">
        <w:rPr>
          <w:sz w:val="22"/>
          <w:szCs w:val="22"/>
        </w:rPr>
        <w:t xml:space="preserve"> secundários</w:t>
      </w:r>
      <w:r>
        <w:rPr>
          <w:sz w:val="22"/>
          <w:szCs w:val="22"/>
        </w:rPr>
        <w:t xml:space="preserve"> de a</w:t>
      </w:r>
      <w:r w:rsidRPr="005E3DFC">
        <w:rPr>
          <w:sz w:val="22"/>
          <w:szCs w:val="22"/>
        </w:rPr>
        <w:t xml:space="preserve">bortos espontâneos, </w:t>
      </w:r>
      <w:r w:rsidR="00F06203">
        <w:rPr>
          <w:sz w:val="22"/>
          <w:szCs w:val="22"/>
        </w:rPr>
        <w:t>malformações</w:t>
      </w:r>
      <w:r w:rsidRPr="005E3DFC">
        <w:rPr>
          <w:sz w:val="22"/>
          <w:szCs w:val="22"/>
        </w:rPr>
        <w:t xml:space="preserve"> </w:t>
      </w:r>
      <w:r w:rsidR="00F06203">
        <w:rPr>
          <w:sz w:val="22"/>
          <w:szCs w:val="22"/>
        </w:rPr>
        <w:t>congénitas</w:t>
      </w:r>
      <w:r w:rsidRPr="005E3DFC">
        <w:rPr>
          <w:sz w:val="22"/>
          <w:szCs w:val="22"/>
        </w:rPr>
        <w:t xml:space="preserve"> menores, parto</w:t>
      </w:r>
      <w:r w:rsidR="007F52B0">
        <w:rPr>
          <w:sz w:val="22"/>
          <w:szCs w:val="22"/>
        </w:rPr>
        <w:t>s</w:t>
      </w:r>
      <w:r w:rsidRPr="005E3DFC">
        <w:rPr>
          <w:sz w:val="22"/>
          <w:szCs w:val="22"/>
        </w:rPr>
        <w:t xml:space="preserve"> prematuro</w:t>
      </w:r>
      <w:r w:rsidR="007F52B0">
        <w:rPr>
          <w:sz w:val="22"/>
          <w:szCs w:val="22"/>
        </w:rPr>
        <w:t>s</w:t>
      </w:r>
      <w:r w:rsidRPr="005E3DFC">
        <w:rPr>
          <w:sz w:val="22"/>
          <w:szCs w:val="22"/>
        </w:rPr>
        <w:t xml:space="preserve">, tamanho </w:t>
      </w:r>
      <w:r>
        <w:rPr>
          <w:sz w:val="22"/>
          <w:szCs w:val="22"/>
        </w:rPr>
        <w:t>à nascença</w:t>
      </w:r>
      <w:r w:rsidRPr="005E3DFC">
        <w:rPr>
          <w:sz w:val="22"/>
          <w:szCs w:val="22"/>
        </w:rPr>
        <w:t xml:space="preserve"> e infeções graves ou oportunistas e n</w:t>
      </w:r>
      <w:r>
        <w:rPr>
          <w:sz w:val="22"/>
          <w:szCs w:val="22"/>
        </w:rPr>
        <w:t xml:space="preserve">ão foi </w:t>
      </w:r>
      <w:r w:rsidR="00762634">
        <w:rPr>
          <w:sz w:val="22"/>
          <w:szCs w:val="22"/>
        </w:rPr>
        <w:t>notific</w:t>
      </w:r>
      <w:r>
        <w:rPr>
          <w:sz w:val="22"/>
          <w:szCs w:val="22"/>
        </w:rPr>
        <w:t>ado qualquer nado</w:t>
      </w:r>
      <w:r w:rsidR="009B4379">
        <w:rPr>
          <w:sz w:val="22"/>
          <w:szCs w:val="22"/>
        </w:rPr>
        <w:t xml:space="preserve"> </w:t>
      </w:r>
      <w:r>
        <w:rPr>
          <w:sz w:val="22"/>
          <w:szCs w:val="22"/>
        </w:rPr>
        <w:t xml:space="preserve">morto ou </w:t>
      </w:r>
      <w:r w:rsidRPr="005E3DFC">
        <w:rPr>
          <w:sz w:val="22"/>
          <w:szCs w:val="22"/>
        </w:rPr>
        <w:t>neoplasia</w:t>
      </w:r>
      <w:r>
        <w:rPr>
          <w:sz w:val="22"/>
          <w:szCs w:val="22"/>
        </w:rPr>
        <w:t xml:space="preserve"> </w:t>
      </w:r>
      <w:r w:rsidRPr="005E3DFC">
        <w:rPr>
          <w:sz w:val="22"/>
          <w:szCs w:val="22"/>
        </w:rPr>
        <w:t xml:space="preserve">maligna. A interpretação dos dados </w:t>
      </w:r>
      <w:r w:rsidR="007F52B0">
        <w:rPr>
          <w:sz w:val="22"/>
          <w:szCs w:val="22"/>
        </w:rPr>
        <w:t>deve ser cuidadosamente avaliada</w:t>
      </w:r>
      <w:r w:rsidRPr="005E3DFC">
        <w:rPr>
          <w:sz w:val="22"/>
          <w:szCs w:val="22"/>
        </w:rPr>
        <w:t xml:space="preserve"> devido às limitações metodológicas do estudo, incluindo o pequeno </w:t>
      </w:r>
      <w:r w:rsidRPr="005E3DFC">
        <w:rPr>
          <w:sz w:val="22"/>
          <w:szCs w:val="22"/>
        </w:rPr>
        <w:t xml:space="preserve">tamanho da amostra e o desenho não </w:t>
      </w:r>
      <w:r w:rsidR="009B4379">
        <w:rPr>
          <w:sz w:val="22"/>
          <w:szCs w:val="22"/>
        </w:rPr>
        <w:t>aleatorizado</w:t>
      </w:r>
      <w:r w:rsidRPr="005E3DFC">
        <w:rPr>
          <w:sz w:val="22"/>
          <w:szCs w:val="22"/>
        </w:rPr>
        <w:t>.</w:t>
      </w:r>
    </w:p>
    <w:p w14:paraId="6D706A6D" w14:textId="77777777" w:rsidR="004462A0" w:rsidRPr="008912CF" w:rsidRDefault="004462A0" w:rsidP="004462A0">
      <w:pPr>
        <w:autoSpaceDE w:val="0"/>
        <w:autoSpaceDN w:val="0"/>
        <w:adjustRightInd w:val="0"/>
        <w:rPr>
          <w:sz w:val="22"/>
          <w:szCs w:val="22"/>
        </w:rPr>
      </w:pPr>
    </w:p>
    <w:p w14:paraId="0CAFCA9E" w14:textId="77777777" w:rsidR="004462A0" w:rsidRPr="008912CF" w:rsidRDefault="00615769" w:rsidP="004462A0">
      <w:pPr>
        <w:autoSpaceDE w:val="0"/>
        <w:autoSpaceDN w:val="0"/>
        <w:adjustRightInd w:val="0"/>
        <w:rPr>
          <w:sz w:val="22"/>
          <w:szCs w:val="22"/>
        </w:rPr>
      </w:pPr>
      <w:r w:rsidRPr="008912CF">
        <w:rPr>
          <w:sz w:val="22"/>
          <w:szCs w:val="22"/>
        </w:rPr>
        <w:t>Um estudo de toxicidade do desenvolvimento efetuado em macacos não revelou quaisquer sinais de toxicidade materna, embriotoxicidade ou teratogenicidade.</w:t>
      </w:r>
      <w:r w:rsidRPr="008912CF">
        <w:rPr>
          <w:i/>
          <w:sz w:val="22"/>
          <w:szCs w:val="22"/>
        </w:rPr>
        <w:t xml:space="preserve"> </w:t>
      </w:r>
      <w:r w:rsidRPr="008912CF">
        <w:rPr>
          <w:sz w:val="22"/>
          <w:szCs w:val="22"/>
        </w:rPr>
        <w:t>Não se dispõe de dados pré-clínicos sobre a toxicidade pós-natal de adalimumab (ver secção 5.3).</w:t>
      </w:r>
    </w:p>
    <w:p w14:paraId="4EFCBBFB" w14:textId="77777777" w:rsidR="004462A0" w:rsidRPr="008912CF" w:rsidRDefault="004462A0" w:rsidP="004462A0">
      <w:pPr>
        <w:autoSpaceDE w:val="0"/>
        <w:autoSpaceDN w:val="0"/>
        <w:adjustRightInd w:val="0"/>
        <w:rPr>
          <w:sz w:val="22"/>
          <w:szCs w:val="22"/>
        </w:rPr>
      </w:pPr>
    </w:p>
    <w:p w14:paraId="50C468F2" w14:textId="77777777" w:rsidR="004462A0" w:rsidRPr="008912CF" w:rsidRDefault="00615769" w:rsidP="004462A0">
      <w:pPr>
        <w:autoSpaceDE w:val="0"/>
        <w:autoSpaceDN w:val="0"/>
        <w:adjustRightInd w:val="0"/>
        <w:rPr>
          <w:sz w:val="22"/>
          <w:szCs w:val="22"/>
        </w:rPr>
      </w:pPr>
      <w:r w:rsidRPr="008912CF">
        <w:rPr>
          <w:sz w:val="22"/>
          <w:szCs w:val="22"/>
        </w:rPr>
        <w:t>Devido à sua inibição de TNF</w:t>
      </w:r>
      <w:r w:rsidRPr="008912CF">
        <w:rPr>
          <w:rFonts w:ascii="Symbol" w:hAnsi="Symbol"/>
          <w:sz w:val="22"/>
          <w:szCs w:val="22"/>
        </w:rPr>
        <w:sym w:font="Symbol" w:char="F061"/>
      </w:r>
      <w:r w:rsidRPr="008912CF">
        <w:rPr>
          <w:sz w:val="22"/>
          <w:szCs w:val="22"/>
        </w:rPr>
        <w:t xml:space="preserve">, a administração de adalimumab durante a gravidez pode afetar as respostas imunitárias normais no recém-nascido. </w:t>
      </w:r>
      <w:r w:rsidR="00DF78AD">
        <w:rPr>
          <w:sz w:val="22"/>
          <w:szCs w:val="22"/>
        </w:rPr>
        <w:t>Adalimumab</w:t>
      </w:r>
      <w:r w:rsidR="00DF78AD" w:rsidRPr="00C55814">
        <w:rPr>
          <w:sz w:val="22"/>
          <w:szCs w:val="22"/>
        </w:rPr>
        <w:t xml:space="preserve"> </w:t>
      </w:r>
      <w:r w:rsidR="009B4379" w:rsidRPr="00C55814">
        <w:rPr>
          <w:sz w:val="22"/>
          <w:szCs w:val="22"/>
        </w:rPr>
        <w:t xml:space="preserve">apenas </w:t>
      </w:r>
      <w:r w:rsidR="00DF78AD" w:rsidRPr="00C55814">
        <w:rPr>
          <w:sz w:val="22"/>
          <w:szCs w:val="22"/>
        </w:rPr>
        <w:t>deve ser utilizado na gravidez se</w:t>
      </w:r>
      <w:r w:rsidR="00DF78AD">
        <w:rPr>
          <w:sz w:val="22"/>
          <w:szCs w:val="22"/>
        </w:rPr>
        <w:t xml:space="preserve"> </w:t>
      </w:r>
      <w:r w:rsidR="009B4379">
        <w:rPr>
          <w:sz w:val="22"/>
          <w:szCs w:val="22"/>
        </w:rPr>
        <w:t>estrita</w:t>
      </w:r>
      <w:r w:rsidR="00DF78AD" w:rsidRPr="00C55814">
        <w:rPr>
          <w:sz w:val="22"/>
          <w:szCs w:val="22"/>
        </w:rPr>
        <w:t>mente necessário.</w:t>
      </w:r>
    </w:p>
    <w:p w14:paraId="19FAE0CF" w14:textId="77777777" w:rsidR="004462A0" w:rsidRPr="008912CF" w:rsidRDefault="004462A0" w:rsidP="004462A0">
      <w:pPr>
        <w:autoSpaceDE w:val="0"/>
        <w:autoSpaceDN w:val="0"/>
        <w:adjustRightInd w:val="0"/>
        <w:rPr>
          <w:sz w:val="22"/>
          <w:szCs w:val="22"/>
        </w:rPr>
      </w:pPr>
    </w:p>
    <w:p w14:paraId="488F3752" w14:textId="77777777" w:rsidR="004462A0" w:rsidRPr="008912CF" w:rsidRDefault="00615769" w:rsidP="004462A0">
      <w:pPr>
        <w:rPr>
          <w:sz w:val="22"/>
          <w:szCs w:val="22"/>
        </w:rPr>
      </w:pPr>
      <w:r>
        <w:rPr>
          <w:sz w:val="22"/>
          <w:szCs w:val="22"/>
        </w:rPr>
        <w:t>A</w:t>
      </w:r>
      <w:r w:rsidRPr="008912CF">
        <w:rPr>
          <w:sz w:val="22"/>
          <w:szCs w:val="22"/>
        </w:rPr>
        <w:t xml:space="preserve">dalimumab pode atravessar a placenta para o soro das crianças nascidas de mulheres tratadas com adalimumab durante a gravidez. Por conseguinte, estas crianças podem ter um risco aumentado de infeção. Não se recomenda a administração de vacinas vivas </w:t>
      </w:r>
      <w:r w:rsidR="00DF78AD" w:rsidRPr="00970280">
        <w:rPr>
          <w:sz w:val="22"/>
          <w:szCs w:val="22"/>
        </w:rPr>
        <w:t>(</w:t>
      </w:r>
      <w:r w:rsidR="00AD0004">
        <w:rPr>
          <w:sz w:val="22"/>
          <w:szCs w:val="22"/>
        </w:rPr>
        <w:t xml:space="preserve">p.ex., </w:t>
      </w:r>
      <w:r w:rsidR="00DF78AD" w:rsidRPr="00970280">
        <w:rPr>
          <w:sz w:val="22"/>
          <w:szCs w:val="22"/>
        </w:rPr>
        <w:t>vacina da BCG)</w:t>
      </w:r>
      <w:r w:rsidR="00DF78AD">
        <w:rPr>
          <w:sz w:val="22"/>
          <w:szCs w:val="22"/>
        </w:rPr>
        <w:t xml:space="preserve"> </w:t>
      </w:r>
      <w:r w:rsidRPr="008912CF">
        <w:rPr>
          <w:sz w:val="22"/>
          <w:szCs w:val="22"/>
        </w:rPr>
        <w:t>a crianças com exposição intrauterina a adalimumab durante 5 meses após a última injeção de adalimumab da mãe durante a gravidez.</w:t>
      </w:r>
    </w:p>
    <w:p w14:paraId="394A21A0" w14:textId="77777777" w:rsidR="004462A0" w:rsidRPr="008912CF" w:rsidRDefault="004462A0" w:rsidP="004462A0">
      <w:pPr>
        <w:rPr>
          <w:sz w:val="22"/>
          <w:szCs w:val="22"/>
        </w:rPr>
      </w:pPr>
    </w:p>
    <w:p w14:paraId="6BF8D2FC" w14:textId="77777777" w:rsidR="004462A0" w:rsidRPr="008912CF" w:rsidRDefault="00615769" w:rsidP="004462A0">
      <w:pPr>
        <w:rPr>
          <w:sz w:val="22"/>
          <w:szCs w:val="22"/>
          <w:u w:val="single"/>
        </w:rPr>
      </w:pPr>
      <w:r w:rsidRPr="008912CF">
        <w:rPr>
          <w:sz w:val="22"/>
          <w:szCs w:val="22"/>
          <w:u w:val="single"/>
        </w:rPr>
        <w:t>Amamentação</w:t>
      </w:r>
    </w:p>
    <w:p w14:paraId="43C301E9" w14:textId="77777777" w:rsidR="004462A0" w:rsidRPr="008912CF" w:rsidRDefault="004462A0" w:rsidP="004462A0">
      <w:pPr>
        <w:autoSpaceDE w:val="0"/>
        <w:autoSpaceDN w:val="0"/>
        <w:adjustRightInd w:val="0"/>
        <w:rPr>
          <w:i/>
          <w:sz w:val="22"/>
          <w:szCs w:val="22"/>
        </w:rPr>
      </w:pPr>
    </w:p>
    <w:p w14:paraId="2B2D24EF" w14:textId="77777777" w:rsidR="004462A0" w:rsidRPr="008912CF" w:rsidRDefault="00615769" w:rsidP="004462A0">
      <w:pPr>
        <w:rPr>
          <w:i/>
          <w:sz w:val="22"/>
          <w:szCs w:val="22"/>
        </w:rPr>
      </w:pPr>
      <w:r w:rsidRPr="00970280">
        <w:rPr>
          <w:sz w:val="22"/>
          <w:szCs w:val="22"/>
        </w:rPr>
        <w:t>Informaç</w:t>
      </w:r>
      <w:r w:rsidR="009B4379">
        <w:rPr>
          <w:sz w:val="22"/>
          <w:szCs w:val="22"/>
        </w:rPr>
        <w:t xml:space="preserve">ão </w:t>
      </w:r>
      <w:r w:rsidRPr="00970280">
        <w:rPr>
          <w:sz w:val="22"/>
          <w:szCs w:val="22"/>
        </w:rPr>
        <w:t xml:space="preserve">limitada </w:t>
      </w:r>
      <w:r w:rsidR="009B4379" w:rsidRPr="00970280">
        <w:rPr>
          <w:sz w:val="22"/>
          <w:szCs w:val="22"/>
        </w:rPr>
        <w:t xml:space="preserve">publicada </w:t>
      </w:r>
      <w:r w:rsidR="009B4379">
        <w:rPr>
          <w:sz w:val="22"/>
          <w:szCs w:val="22"/>
        </w:rPr>
        <w:t>n</w:t>
      </w:r>
      <w:r w:rsidRPr="00970280">
        <w:rPr>
          <w:sz w:val="22"/>
          <w:szCs w:val="22"/>
        </w:rPr>
        <w:t>a literatura indica que adalimumab é excretado no leite materno em concentrações muito baixas</w:t>
      </w:r>
      <w:r w:rsidR="001409A7">
        <w:rPr>
          <w:sz w:val="22"/>
          <w:szCs w:val="22"/>
        </w:rPr>
        <w:t>,</w:t>
      </w:r>
      <w:r w:rsidRPr="00970280">
        <w:rPr>
          <w:sz w:val="22"/>
          <w:szCs w:val="22"/>
        </w:rPr>
        <w:t xml:space="preserve"> com a presença de adalimumab no leite humano em concentrações de 0,1% a 1% do nível sérico materno.</w:t>
      </w:r>
      <w:r>
        <w:rPr>
          <w:sz w:val="22"/>
          <w:szCs w:val="22"/>
        </w:rPr>
        <w:t xml:space="preserve"> </w:t>
      </w:r>
      <w:r w:rsidR="009B4379">
        <w:rPr>
          <w:sz w:val="22"/>
          <w:szCs w:val="22"/>
        </w:rPr>
        <w:t>Quando a</w:t>
      </w:r>
      <w:r w:rsidRPr="00970280">
        <w:rPr>
          <w:sz w:val="22"/>
          <w:szCs w:val="22"/>
        </w:rPr>
        <w:t>dministradas oralmente, as imunoglobulina</w:t>
      </w:r>
      <w:r w:rsidR="009B4379">
        <w:rPr>
          <w:sz w:val="22"/>
          <w:szCs w:val="22"/>
        </w:rPr>
        <w:t>s</w:t>
      </w:r>
      <w:r>
        <w:rPr>
          <w:sz w:val="22"/>
          <w:szCs w:val="22"/>
        </w:rPr>
        <w:t xml:space="preserve"> G</w:t>
      </w:r>
      <w:r w:rsidRPr="00970280">
        <w:rPr>
          <w:sz w:val="22"/>
          <w:szCs w:val="22"/>
        </w:rPr>
        <w:t xml:space="preserve"> sofrem proteólise intestinal e apresentam baixa biodisponibilidade. N</w:t>
      </w:r>
      <w:r>
        <w:rPr>
          <w:sz w:val="22"/>
          <w:szCs w:val="22"/>
        </w:rPr>
        <w:t xml:space="preserve">ão é </w:t>
      </w:r>
      <w:r w:rsidR="00020595">
        <w:rPr>
          <w:sz w:val="22"/>
          <w:szCs w:val="22"/>
        </w:rPr>
        <w:t>esperado</w:t>
      </w:r>
      <w:r>
        <w:rPr>
          <w:sz w:val="22"/>
          <w:szCs w:val="22"/>
        </w:rPr>
        <w:t xml:space="preserve"> qualquer </w:t>
      </w:r>
      <w:r w:rsidRPr="00970280">
        <w:rPr>
          <w:sz w:val="22"/>
          <w:szCs w:val="22"/>
        </w:rPr>
        <w:t>efeito nos recém-nascidos/lactentes amamentados</w:t>
      </w:r>
      <w:r>
        <w:rPr>
          <w:sz w:val="22"/>
          <w:szCs w:val="22"/>
        </w:rPr>
        <w:t>.</w:t>
      </w:r>
      <w:r w:rsidRPr="00970280">
        <w:rPr>
          <w:sz w:val="22"/>
          <w:szCs w:val="22"/>
        </w:rPr>
        <w:t xml:space="preserve"> Consequentemente, Humira pode ser usado durante a amamentação.</w:t>
      </w:r>
    </w:p>
    <w:p w14:paraId="7DEE9DC4" w14:textId="77777777" w:rsidR="004462A0" w:rsidRPr="008912CF" w:rsidRDefault="004462A0" w:rsidP="004462A0">
      <w:pPr>
        <w:rPr>
          <w:sz w:val="22"/>
          <w:szCs w:val="22"/>
        </w:rPr>
      </w:pPr>
    </w:p>
    <w:p w14:paraId="46276A34" w14:textId="77777777" w:rsidR="004462A0" w:rsidRPr="008912CF" w:rsidRDefault="00615769" w:rsidP="004462A0">
      <w:pPr>
        <w:rPr>
          <w:sz w:val="22"/>
          <w:szCs w:val="22"/>
          <w:u w:val="single"/>
        </w:rPr>
      </w:pPr>
      <w:r w:rsidRPr="008912CF">
        <w:rPr>
          <w:sz w:val="22"/>
          <w:szCs w:val="22"/>
          <w:u w:val="single"/>
        </w:rPr>
        <w:t>Fertilidade</w:t>
      </w:r>
    </w:p>
    <w:p w14:paraId="71222C6C" w14:textId="77777777" w:rsidR="004462A0" w:rsidRPr="008912CF" w:rsidRDefault="004462A0" w:rsidP="004462A0">
      <w:pPr>
        <w:rPr>
          <w:sz w:val="22"/>
          <w:szCs w:val="22"/>
        </w:rPr>
      </w:pPr>
    </w:p>
    <w:p w14:paraId="470F1BC7" w14:textId="77777777" w:rsidR="004462A0" w:rsidRPr="008912CF" w:rsidRDefault="00615769" w:rsidP="004462A0">
      <w:pPr>
        <w:rPr>
          <w:sz w:val="22"/>
          <w:szCs w:val="22"/>
        </w:rPr>
      </w:pPr>
      <w:r w:rsidRPr="008912CF">
        <w:rPr>
          <w:sz w:val="22"/>
          <w:szCs w:val="22"/>
        </w:rPr>
        <w:t>Não se dispõe de dados pré-clínicos sobre os efeitos de adalimumab na fertilidade.</w:t>
      </w:r>
    </w:p>
    <w:p w14:paraId="29A9748A" w14:textId="77777777" w:rsidR="004462A0" w:rsidRPr="008912CF" w:rsidRDefault="004462A0" w:rsidP="004462A0">
      <w:pPr>
        <w:rPr>
          <w:sz w:val="22"/>
          <w:szCs w:val="22"/>
        </w:rPr>
      </w:pPr>
    </w:p>
    <w:p w14:paraId="64E8A467" w14:textId="77777777" w:rsidR="004462A0" w:rsidRPr="008912CF" w:rsidRDefault="00615769" w:rsidP="004462A0">
      <w:pPr>
        <w:keepNext/>
        <w:ind w:left="567" w:hanging="567"/>
        <w:rPr>
          <w:sz w:val="22"/>
          <w:szCs w:val="22"/>
        </w:rPr>
      </w:pPr>
      <w:r w:rsidRPr="008912CF">
        <w:rPr>
          <w:b/>
          <w:sz w:val="22"/>
          <w:szCs w:val="22"/>
        </w:rPr>
        <w:t>4.7</w:t>
      </w:r>
      <w:r w:rsidRPr="008912CF">
        <w:rPr>
          <w:b/>
          <w:sz w:val="22"/>
          <w:szCs w:val="22"/>
        </w:rPr>
        <w:tab/>
      </w:r>
      <w:r w:rsidRPr="008912CF">
        <w:rPr>
          <w:b/>
          <w:sz w:val="22"/>
          <w:szCs w:val="22"/>
        </w:rPr>
        <w:t xml:space="preserve">Efeitos sobre a capacidade de conduzir ou utilizar máquinas </w:t>
      </w:r>
    </w:p>
    <w:p w14:paraId="4BF7EE31" w14:textId="77777777" w:rsidR="004462A0" w:rsidRPr="008912CF" w:rsidRDefault="004462A0" w:rsidP="004462A0">
      <w:pPr>
        <w:keepNext/>
        <w:rPr>
          <w:sz w:val="22"/>
          <w:szCs w:val="22"/>
        </w:rPr>
      </w:pPr>
    </w:p>
    <w:p w14:paraId="0179A16D" w14:textId="77777777" w:rsidR="004462A0" w:rsidRPr="008912CF" w:rsidRDefault="00615769" w:rsidP="004462A0">
      <w:pPr>
        <w:keepNext/>
        <w:rPr>
          <w:sz w:val="22"/>
          <w:szCs w:val="22"/>
        </w:rPr>
      </w:pPr>
      <w:r w:rsidRPr="008912CF">
        <w:rPr>
          <w:sz w:val="22"/>
          <w:szCs w:val="22"/>
        </w:rPr>
        <w:t>Humira pode ter uma pequena influência na capacidade de conduzir e utilizar máquinas. Após a administração de Humira podem ocorrer vertigens e alterações da acuidade visual (ver secção 4.8).</w:t>
      </w:r>
    </w:p>
    <w:p w14:paraId="32327AFC" w14:textId="77777777" w:rsidR="004462A0" w:rsidRPr="008912CF" w:rsidRDefault="004462A0" w:rsidP="004462A0">
      <w:pPr>
        <w:rPr>
          <w:sz w:val="22"/>
          <w:szCs w:val="22"/>
        </w:rPr>
      </w:pPr>
    </w:p>
    <w:p w14:paraId="55A4EBB7" w14:textId="77777777" w:rsidR="004462A0" w:rsidRPr="008912CF" w:rsidRDefault="00615769" w:rsidP="004462A0">
      <w:pPr>
        <w:pStyle w:val="IndexHeading"/>
        <w:tabs>
          <w:tab w:val="clear" w:pos="567"/>
        </w:tabs>
        <w:spacing w:line="240" w:lineRule="auto"/>
        <w:rPr>
          <w:rFonts w:ascii="Times New Roman" w:hAnsi="Times New Roman"/>
          <w:szCs w:val="22"/>
          <w:lang w:val="pt-PT"/>
        </w:rPr>
      </w:pPr>
      <w:r w:rsidRPr="008912CF">
        <w:rPr>
          <w:rFonts w:ascii="Times New Roman" w:hAnsi="Times New Roman"/>
          <w:szCs w:val="22"/>
          <w:lang w:val="pt-PT"/>
        </w:rPr>
        <w:t>4.8</w:t>
      </w:r>
      <w:r w:rsidRPr="008912CF">
        <w:rPr>
          <w:rFonts w:ascii="Times New Roman" w:hAnsi="Times New Roman"/>
          <w:szCs w:val="22"/>
          <w:lang w:val="pt-PT"/>
        </w:rPr>
        <w:tab/>
        <w:t xml:space="preserve">Efeitos indesejáveis </w:t>
      </w:r>
    </w:p>
    <w:p w14:paraId="32F3AC7A" w14:textId="77777777" w:rsidR="004462A0" w:rsidRPr="008912CF" w:rsidRDefault="004462A0" w:rsidP="004462A0">
      <w:pPr>
        <w:rPr>
          <w:b/>
          <w:sz w:val="22"/>
          <w:szCs w:val="22"/>
        </w:rPr>
      </w:pPr>
    </w:p>
    <w:p w14:paraId="492C9026" w14:textId="77777777" w:rsidR="004462A0" w:rsidRPr="008912CF" w:rsidRDefault="00615769" w:rsidP="004462A0">
      <w:pPr>
        <w:autoSpaceDE w:val="0"/>
        <w:autoSpaceDN w:val="0"/>
        <w:adjustRightInd w:val="0"/>
        <w:rPr>
          <w:sz w:val="22"/>
          <w:szCs w:val="22"/>
          <w:u w:val="single"/>
        </w:rPr>
      </w:pPr>
      <w:r w:rsidRPr="008912CF">
        <w:rPr>
          <w:sz w:val="22"/>
          <w:szCs w:val="22"/>
          <w:u w:val="single"/>
        </w:rPr>
        <w:t>Resumo do perfil de segurança</w:t>
      </w:r>
    </w:p>
    <w:p w14:paraId="4DA2D4C0" w14:textId="77777777" w:rsidR="004462A0" w:rsidRPr="008912CF" w:rsidRDefault="004462A0" w:rsidP="004462A0">
      <w:pPr>
        <w:autoSpaceDE w:val="0"/>
        <w:autoSpaceDN w:val="0"/>
        <w:adjustRightInd w:val="0"/>
        <w:rPr>
          <w:sz w:val="22"/>
          <w:szCs w:val="22"/>
        </w:rPr>
      </w:pPr>
    </w:p>
    <w:p w14:paraId="7AC8A682" w14:textId="77777777" w:rsidR="004462A0" w:rsidRPr="008912CF" w:rsidRDefault="00615769" w:rsidP="004462A0">
      <w:pPr>
        <w:autoSpaceDE w:val="0"/>
        <w:autoSpaceDN w:val="0"/>
        <w:adjustRightInd w:val="0"/>
        <w:rPr>
          <w:sz w:val="22"/>
          <w:szCs w:val="22"/>
        </w:rPr>
      </w:pPr>
      <w:r w:rsidRPr="008912CF">
        <w:rPr>
          <w:sz w:val="22"/>
          <w:szCs w:val="22"/>
        </w:rPr>
        <w:t xml:space="preserve">Humira foi estudado em </w:t>
      </w:r>
      <w:r>
        <w:rPr>
          <w:sz w:val="22"/>
          <w:szCs w:val="22"/>
        </w:rPr>
        <w:t>9.506</w:t>
      </w:r>
      <w:r w:rsidRPr="008912CF">
        <w:rPr>
          <w:sz w:val="22"/>
          <w:szCs w:val="22"/>
        </w:rPr>
        <w:t xml:space="preserve"> doentes no âmbito de ensaios principais controlados e de fase aberta até 60 meses ou mais. Estes ensaios incluíram doentes com artrite reumatoide de curta evolução e com doença de evolução prolongada, artrite idiopática juvenil (artrite idiopática juvenil poliarticular e artrite relacionada com entesite), bem como doentes com espondilartrite axial (espondilite anquilosante e espondilartrite axial sem evidência radiográfica de EA), artrite psoriática, doença de Crohn, colite ulcerosa, psoríase</w:t>
      </w:r>
      <w:r>
        <w:rPr>
          <w:sz w:val="22"/>
          <w:szCs w:val="22"/>
        </w:rPr>
        <w:t>,</w:t>
      </w:r>
      <w:r w:rsidRPr="008912CF">
        <w:rPr>
          <w:sz w:val="22"/>
          <w:szCs w:val="22"/>
        </w:rPr>
        <w:t xml:space="preserve"> hidrade</w:t>
      </w:r>
      <w:r w:rsidRPr="008912CF">
        <w:rPr>
          <w:sz w:val="22"/>
          <w:szCs w:val="22"/>
        </w:rPr>
        <w:t>nite supurativa</w:t>
      </w:r>
      <w:r>
        <w:rPr>
          <w:sz w:val="22"/>
          <w:szCs w:val="22"/>
        </w:rPr>
        <w:t xml:space="preserve"> e uveíte</w:t>
      </w:r>
      <w:r w:rsidRPr="008912CF">
        <w:rPr>
          <w:sz w:val="22"/>
          <w:szCs w:val="22"/>
        </w:rPr>
        <w:t xml:space="preserve">. Os estudos principais controlados envolveram </w:t>
      </w:r>
      <w:r>
        <w:rPr>
          <w:sz w:val="22"/>
          <w:szCs w:val="22"/>
        </w:rPr>
        <w:t>6.089</w:t>
      </w:r>
      <w:r w:rsidRPr="008912CF">
        <w:rPr>
          <w:sz w:val="22"/>
          <w:szCs w:val="22"/>
        </w:rPr>
        <w:t xml:space="preserve"> doentes que receberam Humira e </w:t>
      </w:r>
      <w:r>
        <w:rPr>
          <w:sz w:val="22"/>
          <w:szCs w:val="22"/>
        </w:rPr>
        <w:t>3.801</w:t>
      </w:r>
      <w:r w:rsidRPr="008912CF">
        <w:rPr>
          <w:sz w:val="22"/>
          <w:szCs w:val="22"/>
        </w:rPr>
        <w:t xml:space="preserve"> doentes que receberam placebo ou comparador ativo durante o período controlado. </w:t>
      </w:r>
    </w:p>
    <w:p w14:paraId="7EA8C47B" w14:textId="77777777" w:rsidR="004462A0" w:rsidRPr="008912CF" w:rsidRDefault="004462A0" w:rsidP="004462A0">
      <w:pPr>
        <w:autoSpaceDE w:val="0"/>
        <w:autoSpaceDN w:val="0"/>
        <w:adjustRightInd w:val="0"/>
        <w:rPr>
          <w:sz w:val="22"/>
          <w:szCs w:val="22"/>
        </w:rPr>
      </w:pPr>
    </w:p>
    <w:p w14:paraId="2B869B3F" w14:textId="77777777" w:rsidR="004462A0" w:rsidRPr="008912CF" w:rsidRDefault="00615769" w:rsidP="004462A0">
      <w:pPr>
        <w:autoSpaceDE w:val="0"/>
        <w:autoSpaceDN w:val="0"/>
        <w:adjustRightInd w:val="0"/>
        <w:rPr>
          <w:b/>
          <w:sz w:val="22"/>
          <w:szCs w:val="22"/>
        </w:rPr>
      </w:pPr>
      <w:r w:rsidRPr="008912CF">
        <w:rPr>
          <w:sz w:val="22"/>
          <w:szCs w:val="22"/>
        </w:rPr>
        <w:t>A percentagem de doentes que suspendeu o tratamento devido a acontecimentos adversos durante a fase controlada</w:t>
      </w:r>
      <w:r w:rsidR="001D79C6">
        <w:rPr>
          <w:sz w:val="22"/>
          <w:szCs w:val="22"/>
        </w:rPr>
        <w:t>,</w:t>
      </w:r>
      <w:r w:rsidRPr="008912CF">
        <w:rPr>
          <w:sz w:val="22"/>
          <w:szCs w:val="22"/>
        </w:rPr>
        <w:t xml:space="preserve"> de dupla ocultação, dos </w:t>
      </w:r>
      <w:r w:rsidR="001D79C6" w:rsidRPr="008912CF">
        <w:rPr>
          <w:sz w:val="22"/>
          <w:szCs w:val="22"/>
        </w:rPr>
        <w:t xml:space="preserve">estudos </w:t>
      </w:r>
      <w:r w:rsidRPr="008912CF">
        <w:rPr>
          <w:sz w:val="22"/>
          <w:szCs w:val="22"/>
        </w:rPr>
        <w:t xml:space="preserve">principais foi de </w:t>
      </w:r>
      <w:r>
        <w:rPr>
          <w:sz w:val="22"/>
          <w:szCs w:val="22"/>
        </w:rPr>
        <w:t>5,9</w:t>
      </w:r>
      <w:r w:rsidR="009343EF">
        <w:rPr>
          <w:sz w:val="22"/>
          <w:szCs w:val="22"/>
        </w:rPr>
        <w:t>%</w:t>
      </w:r>
      <w:r w:rsidRPr="008912CF">
        <w:rPr>
          <w:sz w:val="22"/>
          <w:szCs w:val="22"/>
        </w:rPr>
        <w:t xml:space="preserve"> nos doentes tratados com Humira e de 5,4</w:t>
      </w:r>
      <w:r w:rsidR="009343EF">
        <w:rPr>
          <w:sz w:val="22"/>
          <w:szCs w:val="22"/>
        </w:rPr>
        <w:t>%</w:t>
      </w:r>
      <w:r w:rsidRPr="008912CF">
        <w:rPr>
          <w:sz w:val="22"/>
          <w:szCs w:val="22"/>
        </w:rPr>
        <w:t xml:space="preserve"> nos doentes tratados com controlo.</w:t>
      </w:r>
    </w:p>
    <w:p w14:paraId="65FE7D67" w14:textId="77777777" w:rsidR="004462A0" w:rsidRPr="008912CF" w:rsidRDefault="004462A0" w:rsidP="004462A0">
      <w:pPr>
        <w:autoSpaceDE w:val="0"/>
        <w:autoSpaceDN w:val="0"/>
        <w:adjustRightInd w:val="0"/>
        <w:rPr>
          <w:sz w:val="22"/>
          <w:szCs w:val="22"/>
        </w:rPr>
      </w:pPr>
    </w:p>
    <w:p w14:paraId="6F1DB720" w14:textId="77777777" w:rsidR="004462A0" w:rsidRPr="007C6FBE" w:rsidRDefault="00615769" w:rsidP="004462A0">
      <w:pPr>
        <w:autoSpaceDE w:val="0"/>
        <w:autoSpaceDN w:val="0"/>
        <w:adjustRightInd w:val="0"/>
        <w:rPr>
          <w:sz w:val="22"/>
          <w:szCs w:val="22"/>
        </w:rPr>
      </w:pPr>
      <w:r w:rsidRPr="007C6FBE">
        <w:rPr>
          <w:sz w:val="22"/>
          <w:szCs w:val="22"/>
          <w:lang w:eastAsia="pt-PT"/>
        </w:rPr>
        <w:t xml:space="preserve">As reações adversas mais frequentemente notificadas são infeções (tais como </w:t>
      </w:r>
      <w:r w:rsidRPr="007C6FBE">
        <w:rPr>
          <w:sz w:val="22"/>
          <w:szCs w:val="22"/>
        </w:rPr>
        <w:t>nasofaringite, infeção do trato respiratório superior e sinusite), reações no local da injeção (eritema, prurido, hemorragia, dor ou edema), cefaleias e dor musculoesquelética.</w:t>
      </w:r>
    </w:p>
    <w:p w14:paraId="6207373E" w14:textId="77777777" w:rsidR="004462A0" w:rsidRPr="008912CF" w:rsidRDefault="004462A0" w:rsidP="004462A0">
      <w:pPr>
        <w:autoSpaceDE w:val="0"/>
        <w:autoSpaceDN w:val="0"/>
        <w:adjustRightInd w:val="0"/>
        <w:rPr>
          <w:sz w:val="22"/>
          <w:szCs w:val="22"/>
        </w:rPr>
      </w:pPr>
    </w:p>
    <w:p w14:paraId="49DF1FA9" w14:textId="77777777" w:rsidR="004462A0" w:rsidRPr="008912CF" w:rsidRDefault="00615769" w:rsidP="004462A0">
      <w:pPr>
        <w:autoSpaceDE w:val="0"/>
        <w:autoSpaceDN w:val="0"/>
        <w:adjustRightInd w:val="0"/>
        <w:rPr>
          <w:sz w:val="22"/>
          <w:szCs w:val="22"/>
        </w:rPr>
      </w:pPr>
      <w:r w:rsidRPr="008912CF">
        <w:rPr>
          <w:sz w:val="22"/>
          <w:szCs w:val="22"/>
        </w:rPr>
        <w:t xml:space="preserve">Foram notificadas reações adversas graves com Humira. </w:t>
      </w:r>
      <w:r w:rsidR="001D79C6">
        <w:rPr>
          <w:sz w:val="22"/>
          <w:szCs w:val="22"/>
        </w:rPr>
        <w:t>Os a</w:t>
      </w:r>
      <w:r w:rsidRPr="008912CF">
        <w:rPr>
          <w:sz w:val="22"/>
          <w:szCs w:val="22"/>
        </w:rPr>
        <w:t>ntagonistas</w:t>
      </w:r>
      <w:r w:rsidRPr="008912CF">
        <w:rPr>
          <w:sz w:val="22"/>
          <w:szCs w:val="22"/>
        </w:rPr>
        <w:noBreakHyphen/>
      </w:r>
      <w:r w:rsidRPr="008912CF">
        <w:rPr>
          <w:sz w:val="22"/>
          <w:szCs w:val="22"/>
        </w:rPr>
        <w:t xml:space="preserve">TNF, tais como Humira, atuam no sistema imunitário e a sua utilização pode afetar os mecanismos </w:t>
      </w:r>
      <w:r w:rsidR="001D79C6">
        <w:rPr>
          <w:sz w:val="22"/>
          <w:szCs w:val="22"/>
        </w:rPr>
        <w:t xml:space="preserve">de defesa </w:t>
      </w:r>
      <w:r w:rsidRPr="008912CF">
        <w:rPr>
          <w:sz w:val="22"/>
          <w:szCs w:val="22"/>
        </w:rPr>
        <w:t>contra infeções e cancro. Durante o tratamento com Humira, foram também notificadas infeções fatais e potencialmente fatais (incluindo sepsia, infeções oportunistas e TB), reativação de HBV e várias neoplasias (incluindo leucemia, linfoma e HSTCL).</w:t>
      </w:r>
    </w:p>
    <w:p w14:paraId="0FCE83F1" w14:textId="77777777" w:rsidR="004462A0" w:rsidRPr="008912CF" w:rsidRDefault="004462A0" w:rsidP="004462A0">
      <w:pPr>
        <w:autoSpaceDE w:val="0"/>
        <w:autoSpaceDN w:val="0"/>
        <w:adjustRightInd w:val="0"/>
        <w:rPr>
          <w:sz w:val="22"/>
          <w:szCs w:val="22"/>
        </w:rPr>
      </w:pPr>
    </w:p>
    <w:p w14:paraId="00A87D76" w14:textId="77777777" w:rsidR="004462A0" w:rsidRPr="008912CF" w:rsidRDefault="00615769" w:rsidP="004462A0">
      <w:pPr>
        <w:autoSpaceDE w:val="0"/>
        <w:autoSpaceDN w:val="0"/>
        <w:adjustRightInd w:val="0"/>
        <w:rPr>
          <w:sz w:val="22"/>
          <w:szCs w:val="22"/>
        </w:rPr>
      </w:pPr>
      <w:r w:rsidRPr="008912CF">
        <w:rPr>
          <w:sz w:val="22"/>
          <w:szCs w:val="22"/>
        </w:rPr>
        <w:t>Foram também notificadas reações graves hematológicas, neurológicas e autoimunes, incluindo casos raros de pancitopenia, anemia aplástica, perturbações desmielinizantes do sistema nervoso central e periférico, lúpus, doenças tipo lúpus e síndrome de Stevens-Johnson.</w:t>
      </w:r>
    </w:p>
    <w:p w14:paraId="5AE1C13A" w14:textId="77777777" w:rsidR="004462A0" w:rsidRPr="008912CF" w:rsidRDefault="004462A0" w:rsidP="004462A0">
      <w:pPr>
        <w:rPr>
          <w:sz w:val="22"/>
          <w:szCs w:val="22"/>
        </w:rPr>
      </w:pPr>
    </w:p>
    <w:p w14:paraId="21BEB21A" w14:textId="77777777" w:rsidR="004462A0" w:rsidRPr="008912CF" w:rsidRDefault="00615769" w:rsidP="004462A0">
      <w:pPr>
        <w:rPr>
          <w:sz w:val="22"/>
          <w:szCs w:val="22"/>
          <w:u w:val="single"/>
        </w:rPr>
      </w:pPr>
      <w:r w:rsidRPr="008912CF">
        <w:rPr>
          <w:sz w:val="22"/>
          <w:szCs w:val="22"/>
          <w:u w:val="single"/>
        </w:rPr>
        <w:t>População pediátrica</w:t>
      </w:r>
    </w:p>
    <w:p w14:paraId="2BC36132" w14:textId="77777777" w:rsidR="004462A0" w:rsidRPr="008912CF" w:rsidRDefault="004462A0" w:rsidP="00F03C54">
      <w:pPr>
        <w:pStyle w:val="Heading9"/>
        <w:keepNext w:val="0"/>
        <w:rPr>
          <w:szCs w:val="22"/>
        </w:rPr>
      </w:pPr>
    </w:p>
    <w:p w14:paraId="0174752A" w14:textId="77777777" w:rsidR="004462A0" w:rsidRPr="008912CF" w:rsidRDefault="00615769" w:rsidP="004462A0">
      <w:pPr>
        <w:rPr>
          <w:sz w:val="22"/>
          <w:szCs w:val="22"/>
        </w:rPr>
      </w:pPr>
      <w:r w:rsidRPr="008912CF">
        <w:rPr>
          <w:sz w:val="22"/>
          <w:szCs w:val="22"/>
        </w:rPr>
        <w:t>Em geral, os acontecimentos adversos em doentes pediátricos foram semelhantes em frequência e tipo aos observados em doentes adultos.</w:t>
      </w:r>
    </w:p>
    <w:p w14:paraId="6BBF6FFF" w14:textId="77777777" w:rsidR="004462A0" w:rsidRPr="008912CF" w:rsidRDefault="004462A0" w:rsidP="004462A0">
      <w:pPr>
        <w:rPr>
          <w:sz w:val="22"/>
          <w:szCs w:val="22"/>
        </w:rPr>
      </w:pPr>
    </w:p>
    <w:p w14:paraId="2A387C21" w14:textId="77777777" w:rsidR="004462A0" w:rsidRPr="008912CF" w:rsidRDefault="00615769" w:rsidP="004462A0">
      <w:pPr>
        <w:rPr>
          <w:sz w:val="22"/>
          <w:szCs w:val="22"/>
        </w:rPr>
      </w:pPr>
      <w:r w:rsidRPr="008912CF">
        <w:rPr>
          <w:sz w:val="22"/>
          <w:szCs w:val="22"/>
          <w:u w:val="single"/>
        </w:rPr>
        <w:t>Tabela de reações adversas</w:t>
      </w:r>
    </w:p>
    <w:p w14:paraId="53FED1FB" w14:textId="77777777" w:rsidR="004462A0" w:rsidRPr="008912CF" w:rsidRDefault="004462A0" w:rsidP="004462A0">
      <w:pPr>
        <w:rPr>
          <w:sz w:val="22"/>
          <w:szCs w:val="22"/>
        </w:rPr>
      </w:pPr>
    </w:p>
    <w:p w14:paraId="71CA7BC6" w14:textId="77777777" w:rsidR="004462A0" w:rsidRPr="007C6FBE" w:rsidRDefault="00615769" w:rsidP="004462A0">
      <w:pPr>
        <w:rPr>
          <w:sz w:val="22"/>
          <w:szCs w:val="22"/>
        </w:rPr>
      </w:pPr>
      <w:r w:rsidRPr="007C6FBE">
        <w:rPr>
          <w:sz w:val="22"/>
          <w:szCs w:val="22"/>
          <w:lang w:eastAsia="pt-PT"/>
        </w:rPr>
        <w:t>As reações adversas, baseadas na experiência em ensaios clínicos e na experiência pós-comercialização,</w:t>
      </w:r>
      <w:r w:rsidRPr="007C6FBE">
        <w:rPr>
          <w:sz w:val="22"/>
          <w:szCs w:val="22"/>
        </w:rPr>
        <w:t xml:space="preserve"> são indicadas por classes de sistemas de órgãos e frequência n</w:t>
      </w:r>
      <w:r w:rsidRPr="007C6FBE">
        <w:rPr>
          <w:sz w:val="22"/>
          <w:szCs w:val="22"/>
          <w:lang w:eastAsia="pt-PT"/>
        </w:rPr>
        <w:t xml:space="preserve">a Tabela </w:t>
      </w:r>
      <w:r w:rsidR="005B6638">
        <w:rPr>
          <w:sz w:val="22"/>
          <w:szCs w:val="22"/>
          <w:lang w:eastAsia="pt-PT"/>
        </w:rPr>
        <w:t>7</w:t>
      </w:r>
      <w:r w:rsidRPr="007C6FBE">
        <w:rPr>
          <w:sz w:val="22"/>
          <w:szCs w:val="22"/>
          <w:lang w:eastAsia="pt-PT"/>
        </w:rPr>
        <w:t xml:space="preserve"> abaixo</w:t>
      </w:r>
      <w:r w:rsidRPr="007C6FBE">
        <w:rPr>
          <w:sz w:val="22"/>
          <w:szCs w:val="22"/>
        </w:rPr>
        <w:t>: muito frequentes (</w:t>
      </w:r>
      <w:r w:rsidR="0090687D" w:rsidRPr="008912CF">
        <w:rPr>
          <w:sz w:val="22"/>
          <w:szCs w:val="22"/>
        </w:rPr>
        <w:t>≥</w:t>
      </w:r>
      <w:r w:rsidRPr="007C6FBE">
        <w:rPr>
          <w:sz w:val="22"/>
          <w:szCs w:val="22"/>
        </w:rPr>
        <w:t>1/10); frequentes (</w:t>
      </w:r>
      <w:r w:rsidR="0090687D" w:rsidRPr="008912CF">
        <w:rPr>
          <w:sz w:val="22"/>
          <w:szCs w:val="22"/>
        </w:rPr>
        <w:t>≥</w:t>
      </w:r>
      <w:r w:rsidRPr="007C6FBE">
        <w:rPr>
          <w:sz w:val="22"/>
          <w:szCs w:val="22"/>
        </w:rPr>
        <w:t>1/100</w:t>
      </w:r>
      <w:r w:rsidR="0090687D">
        <w:rPr>
          <w:sz w:val="22"/>
          <w:szCs w:val="22"/>
        </w:rPr>
        <w:t>,</w:t>
      </w:r>
      <w:r w:rsidRPr="007C6FBE">
        <w:rPr>
          <w:sz w:val="22"/>
          <w:szCs w:val="22"/>
        </w:rPr>
        <w:t xml:space="preserve"> </w:t>
      </w:r>
      <w:r w:rsidRPr="007C6FBE">
        <w:rPr>
          <w:rFonts w:ascii="Symbol" w:hAnsi="Symbol"/>
          <w:sz w:val="22"/>
          <w:szCs w:val="22"/>
        </w:rPr>
        <w:sym w:font="Symbol" w:char="F03C"/>
      </w:r>
      <w:r w:rsidRPr="007C6FBE">
        <w:rPr>
          <w:sz w:val="22"/>
          <w:szCs w:val="22"/>
        </w:rPr>
        <w:t>1/10); pouco frequentes (</w:t>
      </w:r>
      <w:r w:rsidR="0090687D" w:rsidRPr="008912CF">
        <w:rPr>
          <w:sz w:val="22"/>
          <w:szCs w:val="22"/>
        </w:rPr>
        <w:t>≥</w:t>
      </w:r>
      <w:r w:rsidRPr="007C6FBE">
        <w:rPr>
          <w:sz w:val="22"/>
          <w:szCs w:val="22"/>
        </w:rPr>
        <w:t>1/1.000</w:t>
      </w:r>
      <w:r w:rsidR="0090687D">
        <w:rPr>
          <w:sz w:val="22"/>
          <w:szCs w:val="22"/>
        </w:rPr>
        <w:t>,</w:t>
      </w:r>
      <w:r w:rsidRPr="007C6FBE">
        <w:rPr>
          <w:sz w:val="22"/>
          <w:szCs w:val="22"/>
        </w:rPr>
        <w:t xml:space="preserve"> </w:t>
      </w:r>
      <w:r w:rsidR="0090687D">
        <w:rPr>
          <w:sz w:val="22"/>
          <w:szCs w:val="22"/>
        </w:rPr>
        <w:t>&lt;</w:t>
      </w:r>
      <w:r w:rsidRPr="007C6FBE">
        <w:rPr>
          <w:sz w:val="22"/>
          <w:szCs w:val="22"/>
        </w:rPr>
        <w:t>1/100); raros (</w:t>
      </w:r>
      <w:r w:rsidR="0090687D" w:rsidRPr="008912CF">
        <w:rPr>
          <w:sz w:val="22"/>
          <w:szCs w:val="22"/>
        </w:rPr>
        <w:t>≥</w:t>
      </w:r>
      <w:r w:rsidRPr="007C6FBE">
        <w:rPr>
          <w:sz w:val="22"/>
          <w:szCs w:val="22"/>
        </w:rPr>
        <w:t>1/10.000</w:t>
      </w:r>
      <w:r w:rsidR="0090687D">
        <w:rPr>
          <w:sz w:val="22"/>
          <w:szCs w:val="22"/>
        </w:rPr>
        <w:t>,</w:t>
      </w:r>
      <w:r w:rsidRPr="007C6FBE">
        <w:rPr>
          <w:sz w:val="22"/>
          <w:szCs w:val="22"/>
        </w:rPr>
        <w:t xml:space="preserve"> &lt;1/1.000) e desconhecido (não pode ser calculad</w:t>
      </w:r>
      <w:r w:rsidR="0090687D">
        <w:rPr>
          <w:sz w:val="22"/>
          <w:szCs w:val="22"/>
        </w:rPr>
        <w:t>o</w:t>
      </w:r>
      <w:r w:rsidRPr="007C6FBE">
        <w:rPr>
          <w:sz w:val="22"/>
          <w:szCs w:val="22"/>
        </w:rPr>
        <w:t xml:space="preserve"> a partir dos dados disponíveis). Os efeitos indesejáveis são apresentados por ordem decrescente de gravidade dentro de cada classe de frequência. Foi incluída a frequência mais elevada observada nas várias indicações. Caso estejam disponíveis informações adicionais nas se</w:t>
      </w:r>
      <w:r w:rsidRPr="007C6FBE">
        <w:rPr>
          <w:sz w:val="22"/>
          <w:szCs w:val="22"/>
        </w:rPr>
        <w:t>cções 4.3, 4.4 e 4.8 aparece um asterisco (*) na coluna das CSO.</w:t>
      </w:r>
    </w:p>
    <w:p w14:paraId="7FFB42DA" w14:textId="77777777" w:rsidR="004462A0" w:rsidRPr="008912CF" w:rsidRDefault="004462A0" w:rsidP="004462A0">
      <w:pPr>
        <w:rPr>
          <w:sz w:val="22"/>
          <w:szCs w:val="22"/>
        </w:rPr>
      </w:pPr>
    </w:p>
    <w:p w14:paraId="6540A2FF" w14:textId="77777777" w:rsidR="004462A0" w:rsidRPr="008912CF" w:rsidRDefault="00615769" w:rsidP="004462A0">
      <w:pPr>
        <w:keepNext/>
        <w:tabs>
          <w:tab w:val="left" w:pos="1080"/>
        </w:tabs>
        <w:jc w:val="center"/>
        <w:rPr>
          <w:b/>
          <w:sz w:val="22"/>
          <w:szCs w:val="22"/>
        </w:rPr>
      </w:pPr>
      <w:r w:rsidRPr="008912CF">
        <w:rPr>
          <w:b/>
          <w:sz w:val="22"/>
          <w:szCs w:val="22"/>
        </w:rPr>
        <w:t xml:space="preserve">Tabela </w:t>
      </w:r>
      <w:r w:rsidR="00504AE2">
        <w:rPr>
          <w:b/>
          <w:sz w:val="22"/>
          <w:szCs w:val="22"/>
        </w:rPr>
        <w:t>7</w:t>
      </w:r>
    </w:p>
    <w:p w14:paraId="7BBA0FF0" w14:textId="77777777" w:rsidR="004462A0" w:rsidRPr="008912CF" w:rsidRDefault="00615769" w:rsidP="004462A0">
      <w:pPr>
        <w:keepNext/>
        <w:tabs>
          <w:tab w:val="left" w:pos="1080"/>
        </w:tabs>
        <w:jc w:val="center"/>
        <w:rPr>
          <w:b/>
          <w:sz w:val="22"/>
          <w:szCs w:val="22"/>
        </w:rPr>
      </w:pPr>
      <w:r w:rsidRPr="008912CF">
        <w:rPr>
          <w:b/>
          <w:sz w:val="22"/>
          <w:szCs w:val="22"/>
        </w:rPr>
        <w:t xml:space="preserve">Efeitos indesejáveis </w:t>
      </w:r>
    </w:p>
    <w:p w14:paraId="2C025B55" w14:textId="77777777" w:rsidR="004462A0" w:rsidRPr="008912CF" w:rsidRDefault="004462A0" w:rsidP="004462A0">
      <w:pPr>
        <w:keepNext/>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1996"/>
        <w:gridCol w:w="4346"/>
      </w:tblGrid>
      <w:tr w:rsidR="00A7162A" w14:paraId="37F0AD65" w14:textId="77777777" w:rsidTr="00F675CF">
        <w:trPr>
          <w:tblHeader/>
        </w:trPr>
        <w:tc>
          <w:tcPr>
            <w:tcW w:w="2514" w:type="dxa"/>
          </w:tcPr>
          <w:p w14:paraId="71768A24" w14:textId="77777777" w:rsidR="004462A0" w:rsidRPr="008912CF" w:rsidRDefault="00615769" w:rsidP="00F675CF">
            <w:pPr>
              <w:keepNext/>
              <w:widowControl w:val="0"/>
              <w:jc w:val="center"/>
              <w:rPr>
                <w:b/>
              </w:rPr>
            </w:pPr>
            <w:r w:rsidRPr="008912CF">
              <w:rPr>
                <w:b/>
                <w:bCs/>
                <w:sz w:val="22"/>
                <w:szCs w:val="22"/>
              </w:rPr>
              <w:t>Classes de sistema</w:t>
            </w:r>
            <w:r w:rsidR="00D9472B">
              <w:rPr>
                <w:b/>
                <w:bCs/>
                <w:sz w:val="22"/>
                <w:szCs w:val="22"/>
              </w:rPr>
              <w:t>s</w:t>
            </w:r>
            <w:r w:rsidRPr="008912CF">
              <w:rPr>
                <w:b/>
                <w:bCs/>
                <w:sz w:val="22"/>
                <w:szCs w:val="22"/>
              </w:rPr>
              <w:t xml:space="preserve"> de órgãos</w:t>
            </w:r>
          </w:p>
        </w:tc>
        <w:tc>
          <w:tcPr>
            <w:tcW w:w="1996" w:type="dxa"/>
          </w:tcPr>
          <w:p w14:paraId="6B9E851B" w14:textId="77777777" w:rsidR="004462A0" w:rsidRPr="008912CF" w:rsidRDefault="00615769" w:rsidP="00F675CF">
            <w:pPr>
              <w:keepNext/>
              <w:widowControl w:val="0"/>
              <w:jc w:val="center"/>
              <w:rPr>
                <w:b/>
              </w:rPr>
            </w:pPr>
            <w:r w:rsidRPr="008912CF">
              <w:rPr>
                <w:b/>
                <w:bCs/>
                <w:sz w:val="22"/>
                <w:szCs w:val="22"/>
              </w:rPr>
              <w:t>Frequência</w:t>
            </w:r>
          </w:p>
        </w:tc>
        <w:tc>
          <w:tcPr>
            <w:tcW w:w="4346" w:type="dxa"/>
          </w:tcPr>
          <w:p w14:paraId="3B654ABB" w14:textId="77777777" w:rsidR="004462A0" w:rsidRPr="008912CF" w:rsidRDefault="00615769" w:rsidP="00F675CF">
            <w:pPr>
              <w:keepNext/>
              <w:widowControl w:val="0"/>
              <w:jc w:val="center"/>
              <w:rPr>
                <w:b/>
              </w:rPr>
            </w:pPr>
            <w:r w:rsidRPr="008912CF">
              <w:rPr>
                <w:b/>
                <w:bCs/>
                <w:sz w:val="22"/>
                <w:szCs w:val="22"/>
              </w:rPr>
              <w:t>Reações adversas</w:t>
            </w:r>
          </w:p>
        </w:tc>
      </w:tr>
      <w:tr w:rsidR="00A7162A" w14:paraId="6D98C192" w14:textId="77777777" w:rsidTr="00F675CF">
        <w:tc>
          <w:tcPr>
            <w:tcW w:w="2514" w:type="dxa"/>
            <w:vMerge w:val="restart"/>
          </w:tcPr>
          <w:p w14:paraId="2738BDC8" w14:textId="77777777" w:rsidR="004462A0" w:rsidRPr="008912CF" w:rsidRDefault="00615769" w:rsidP="00F675CF">
            <w:pPr>
              <w:pStyle w:val="EMEANormal"/>
              <w:widowControl w:val="0"/>
              <w:rPr>
                <w:szCs w:val="22"/>
                <w:lang w:val="pt-PT"/>
              </w:rPr>
            </w:pPr>
            <w:r w:rsidRPr="008912CF">
              <w:rPr>
                <w:szCs w:val="22"/>
                <w:lang w:val="pt-PT"/>
              </w:rPr>
              <w:t>Infeções e infestações *</w:t>
            </w:r>
          </w:p>
          <w:p w14:paraId="46D55D13" w14:textId="77777777" w:rsidR="004462A0" w:rsidRPr="008912CF" w:rsidRDefault="004462A0" w:rsidP="00F675CF">
            <w:pPr>
              <w:widowControl w:val="0"/>
              <w:jc w:val="center"/>
            </w:pPr>
          </w:p>
        </w:tc>
        <w:tc>
          <w:tcPr>
            <w:tcW w:w="1996" w:type="dxa"/>
            <w:tcBorders>
              <w:bottom w:val="nil"/>
            </w:tcBorders>
          </w:tcPr>
          <w:p w14:paraId="02607D52" w14:textId="77777777" w:rsidR="004462A0" w:rsidRPr="008912CF" w:rsidRDefault="00615769" w:rsidP="00F675CF">
            <w:pPr>
              <w:pStyle w:val="EMEANormal"/>
              <w:widowControl w:val="0"/>
              <w:rPr>
                <w:szCs w:val="22"/>
                <w:lang w:val="pt-PT"/>
              </w:rPr>
            </w:pPr>
            <w:r w:rsidRPr="008912CF">
              <w:rPr>
                <w:szCs w:val="22"/>
                <w:lang w:val="pt-PT"/>
              </w:rPr>
              <w:t>Muito frequentes</w:t>
            </w:r>
          </w:p>
        </w:tc>
        <w:tc>
          <w:tcPr>
            <w:tcW w:w="4346" w:type="dxa"/>
            <w:tcBorders>
              <w:bottom w:val="nil"/>
            </w:tcBorders>
          </w:tcPr>
          <w:p w14:paraId="4AB456FB" w14:textId="77777777" w:rsidR="004462A0" w:rsidRPr="008912CF" w:rsidRDefault="00615769" w:rsidP="00F675CF">
            <w:pPr>
              <w:pStyle w:val="EMEANormal"/>
              <w:rPr>
                <w:szCs w:val="22"/>
                <w:lang w:val="pt-PT"/>
              </w:rPr>
            </w:pPr>
            <w:r>
              <w:rPr>
                <w:szCs w:val="22"/>
                <w:lang w:val="pt-PT"/>
              </w:rPr>
              <w:t>I</w:t>
            </w:r>
            <w:r w:rsidRPr="008912CF">
              <w:rPr>
                <w:szCs w:val="22"/>
                <w:lang w:val="pt-PT"/>
              </w:rPr>
              <w:t>nfeções do trato respiratório (incluindo infeção do trato respiratório superior e inferior, pneumonia, sinusite, faringite, nasofaringite e pneumonia a herpes viral)</w:t>
            </w:r>
          </w:p>
          <w:p w14:paraId="0379AAC4" w14:textId="77777777" w:rsidR="004462A0" w:rsidRPr="008912CF" w:rsidRDefault="004462A0" w:rsidP="00F675CF">
            <w:pPr>
              <w:pStyle w:val="EMEANormal"/>
              <w:rPr>
                <w:szCs w:val="22"/>
                <w:lang w:val="pt-PT"/>
              </w:rPr>
            </w:pPr>
          </w:p>
        </w:tc>
      </w:tr>
      <w:tr w:rsidR="00A7162A" w14:paraId="5A858B8F" w14:textId="77777777" w:rsidTr="00F675CF">
        <w:tc>
          <w:tcPr>
            <w:tcW w:w="2514" w:type="dxa"/>
            <w:vMerge/>
          </w:tcPr>
          <w:p w14:paraId="1846E9DD" w14:textId="77777777" w:rsidR="004462A0" w:rsidRPr="008912CF" w:rsidRDefault="004462A0" w:rsidP="00F675CF">
            <w:pPr>
              <w:widowControl w:val="0"/>
              <w:jc w:val="center"/>
              <w:rPr>
                <w:b/>
              </w:rPr>
            </w:pPr>
          </w:p>
        </w:tc>
        <w:tc>
          <w:tcPr>
            <w:tcW w:w="1996" w:type="dxa"/>
            <w:tcBorders>
              <w:top w:val="nil"/>
            </w:tcBorders>
          </w:tcPr>
          <w:p w14:paraId="73868572" w14:textId="77777777" w:rsidR="004462A0" w:rsidRPr="008912CF" w:rsidRDefault="00615769" w:rsidP="00F675CF">
            <w:pPr>
              <w:pStyle w:val="EMEANormal"/>
              <w:widowControl w:val="0"/>
              <w:rPr>
                <w:szCs w:val="22"/>
                <w:lang w:val="pt-PT"/>
              </w:rPr>
            </w:pPr>
            <w:r w:rsidRPr="008912CF">
              <w:rPr>
                <w:szCs w:val="22"/>
                <w:lang w:val="pt-PT"/>
              </w:rPr>
              <w:t>Frequentes</w:t>
            </w:r>
          </w:p>
        </w:tc>
        <w:tc>
          <w:tcPr>
            <w:tcW w:w="4346" w:type="dxa"/>
            <w:tcBorders>
              <w:top w:val="nil"/>
            </w:tcBorders>
          </w:tcPr>
          <w:p w14:paraId="0ABA4F2B" w14:textId="77777777" w:rsidR="004462A0" w:rsidRPr="008912CF" w:rsidRDefault="00615769" w:rsidP="00F675CF">
            <w:pPr>
              <w:pStyle w:val="EMEANormal"/>
              <w:rPr>
                <w:szCs w:val="22"/>
                <w:lang w:val="pt-PT"/>
              </w:rPr>
            </w:pPr>
            <w:r>
              <w:rPr>
                <w:szCs w:val="22"/>
                <w:lang w:val="pt-PT"/>
              </w:rPr>
              <w:t>I</w:t>
            </w:r>
            <w:r w:rsidRPr="008912CF">
              <w:rPr>
                <w:szCs w:val="22"/>
                <w:lang w:val="pt-PT"/>
              </w:rPr>
              <w:t>nfeções sistémicas (incluindo sepsia, candidíase e influenza),</w:t>
            </w:r>
          </w:p>
          <w:p w14:paraId="287BD5B3" w14:textId="77777777" w:rsidR="004462A0" w:rsidRPr="008912CF" w:rsidRDefault="00615769" w:rsidP="00F675CF">
            <w:pPr>
              <w:pStyle w:val="EMEANormal"/>
              <w:rPr>
                <w:szCs w:val="22"/>
                <w:lang w:val="pt-PT"/>
              </w:rPr>
            </w:pPr>
            <w:r w:rsidRPr="008912CF">
              <w:rPr>
                <w:szCs w:val="22"/>
                <w:lang w:val="pt-PT"/>
              </w:rPr>
              <w:t>infeções intestinais (incluindo gastroenterite viral),</w:t>
            </w:r>
          </w:p>
          <w:p w14:paraId="31C20CE5" w14:textId="77777777" w:rsidR="004462A0" w:rsidRPr="008912CF" w:rsidRDefault="00615769" w:rsidP="00F675CF">
            <w:pPr>
              <w:pStyle w:val="EMEANormal"/>
              <w:rPr>
                <w:szCs w:val="22"/>
                <w:lang w:val="pt-PT"/>
              </w:rPr>
            </w:pPr>
            <w:r w:rsidRPr="008912CF">
              <w:rPr>
                <w:szCs w:val="22"/>
                <w:lang w:val="pt-PT"/>
              </w:rPr>
              <w:t xml:space="preserve">infeções da pele e tecidos moles (incluindo paroníquia, celulite, impetigo, fasciite necrosante e herpes zoster), </w:t>
            </w:r>
          </w:p>
          <w:p w14:paraId="7C757100" w14:textId="77777777" w:rsidR="004462A0" w:rsidRPr="008912CF" w:rsidRDefault="00615769" w:rsidP="00F675CF">
            <w:pPr>
              <w:pStyle w:val="EMEANormal"/>
              <w:rPr>
                <w:szCs w:val="22"/>
                <w:lang w:val="pt-PT"/>
              </w:rPr>
            </w:pPr>
            <w:r w:rsidRPr="008912CF">
              <w:rPr>
                <w:szCs w:val="22"/>
                <w:lang w:val="pt-PT"/>
              </w:rPr>
              <w:t xml:space="preserve">infeções auriculares, </w:t>
            </w:r>
          </w:p>
          <w:p w14:paraId="407CF59A" w14:textId="77777777" w:rsidR="004462A0" w:rsidRPr="008912CF" w:rsidRDefault="00615769" w:rsidP="00F675CF">
            <w:pPr>
              <w:pStyle w:val="EMEANormal"/>
              <w:rPr>
                <w:szCs w:val="22"/>
                <w:lang w:val="pt-PT"/>
              </w:rPr>
            </w:pPr>
            <w:r w:rsidRPr="008912CF">
              <w:rPr>
                <w:szCs w:val="22"/>
                <w:lang w:val="pt-PT"/>
              </w:rPr>
              <w:t>infeções orais (incluindo herpes simplex, herpes oral e infeções odontológicas),</w:t>
            </w:r>
          </w:p>
          <w:p w14:paraId="14E6DE4E" w14:textId="77777777" w:rsidR="004462A0" w:rsidRPr="008912CF" w:rsidRDefault="00615769" w:rsidP="00F675CF">
            <w:pPr>
              <w:pStyle w:val="EMEANormal"/>
              <w:rPr>
                <w:szCs w:val="22"/>
                <w:lang w:val="pt-PT"/>
              </w:rPr>
            </w:pPr>
            <w:r w:rsidRPr="008912CF">
              <w:rPr>
                <w:szCs w:val="22"/>
                <w:lang w:val="pt-PT"/>
              </w:rPr>
              <w:t>infeções no sistema reprodutor (incluindo infeção micótica vulvovaginal),</w:t>
            </w:r>
          </w:p>
          <w:p w14:paraId="77EB0324" w14:textId="77777777" w:rsidR="004462A0" w:rsidRPr="008912CF" w:rsidRDefault="00615769" w:rsidP="00F675CF">
            <w:pPr>
              <w:pStyle w:val="EMEANormal"/>
              <w:rPr>
                <w:szCs w:val="22"/>
                <w:lang w:val="pt-PT"/>
              </w:rPr>
            </w:pPr>
            <w:r w:rsidRPr="008912CF">
              <w:rPr>
                <w:szCs w:val="22"/>
                <w:lang w:val="pt-PT"/>
              </w:rPr>
              <w:t>infeções do trato urinário (incluindo pielonefrite),</w:t>
            </w:r>
          </w:p>
          <w:p w14:paraId="0DE46DBF" w14:textId="77777777" w:rsidR="004462A0" w:rsidRPr="008912CF" w:rsidRDefault="00615769" w:rsidP="00F675CF">
            <w:pPr>
              <w:pStyle w:val="EMEANormal"/>
              <w:rPr>
                <w:szCs w:val="22"/>
                <w:lang w:val="pt-PT"/>
              </w:rPr>
            </w:pPr>
            <w:r w:rsidRPr="008912CF">
              <w:rPr>
                <w:szCs w:val="22"/>
                <w:lang w:val="pt-PT"/>
              </w:rPr>
              <w:t>infeções fúngicas,</w:t>
            </w:r>
          </w:p>
          <w:p w14:paraId="0F5300FF" w14:textId="77777777" w:rsidR="004462A0" w:rsidRPr="008912CF" w:rsidRDefault="00615769" w:rsidP="00F675CF">
            <w:pPr>
              <w:pStyle w:val="EMEANormal"/>
              <w:widowControl w:val="0"/>
              <w:rPr>
                <w:szCs w:val="22"/>
                <w:lang w:val="pt-PT"/>
              </w:rPr>
            </w:pPr>
            <w:r w:rsidRPr="008912CF">
              <w:rPr>
                <w:szCs w:val="22"/>
                <w:lang w:val="pt-PT"/>
              </w:rPr>
              <w:t>infeções articulares</w:t>
            </w:r>
          </w:p>
          <w:p w14:paraId="7E59EA7C" w14:textId="77777777" w:rsidR="004462A0" w:rsidRPr="008912CF" w:rsidRDefault="004462A0" w:rsidP="00F675CF">
            <w:pPr>
              <w:pStyle w:val="EMEANormal"/>
              <w:rPr>
                <w:szCs w:val="22"/>
                <w:lang w:val="pt-PT"/>
              </w:rPr>
            </w:pPr>
          </w:p>
        </w:tc>
      </w:tr>
      <w:tr w:rsidR="00A7162A" w14:paraId="69B9BD77" w14:textId="77777777" w:rsidTr="00F675CF">
        <w:tc>
          <w:tcPr>
            <w:tcW w:w="2514" w:type="dxa"/>
            <w:vMerge/>
          </w:tcPr>
          <w:p w14:paraId="5047D82C" w14:textId="77777777" w:rsidR="004462A0" w:rsidRPr="008912CF" w:rsidRDefault="004462A0" w:rsidP="00F675CF">
            <w:pPr>
              <w:widowControl w:val="0"/>
              <w:jc w:val="center"/>
              <w:rPr>
                <w:b/>
              </w:rPr>
            </w:pPr>
          </w:p>
        </w:tc>
        <w:tc>
          <w:tcPr>
            <w:tcW w:w="1996" w:type="dxa"/>
            <w:tcBorders>
              <w:bottom w:val="nil"/>
            </w:tcBorders>
          </w:tcPr>
          <w:p w14:paraId="6F3CE70C" w14:textId="77777777" w:rsidR="004462A0" w:rsidRPr="008912CF" w:rsidRDefault="00615769" w:rsidP="00F675CF">
            <w:pPr>
              <w:pStyle w:val="EMEANormal"/>
              <w:widowControl w:val="0"/>
              <w:rPr>
                <w:szCs w:val="22"/>
                <w:lang w:val="pt-PT"/>
              </w:rPr>
            </w:pPr>
            <w:r w:rsidRPr="008912CF">
              <w:rPr>
                <w:szCs w:val="22"/>
                <w:lang w:val="pt-PT"/>
              </w:rPr>
              <w:t>Pouco frequentes</w:t>
            </w:r>
          </w:p>
        </w:tc>
        <w:tc>
          <w:tcPr>
            <w:tcW w:w="4346" w:type="dxa"/>
            <w:tcBorders>
              <w:bottom w:val="nil"/>
            </w:tcBorders>
          </w:tcPr>
          <w:p w14:paraId="0E78BA1D" w14:textId="77777777" w:rsidR="004462A0" w:rsidRPr="008912CF" w:rsidRDefault="00615769" w:rsidP="00F675CF">
            <w:pPr>
              <w:pStyle w:val="EMEANormal"/>
              <w:widowControl w:val="0"/>
              <w:rPr>
                <w:szCs w:val="22"/>
                <w:lang w:val="pt-PT"/>
              </w:rPr>
            </w:pPr>
            <w:r>
              <w:rPr>
                <w:szCs w:val="22"/>
                <w:lang w:val="pt-PT"/>
              </w:rPr>
              <w:t>I</w:t>
            </w:r>
            <w:r w:rsidRPr="008912CF">
              <w:rPr>
                <w:szCs w:val="22"/>
                <w:lang w:val="pt-PT"/>
              </w:rPr>
              <w:t>nfeções neurológicas (incluindo meningite viral),</w:t>
            </w:r>
          </w:p>
          <w:p w14:paraId="48889CA9" w14:textId="77777777" w:rsidR="004462A0" w:rsidRPr="008912CF" w:rsidRDefault="00615769" w:rsidP="00F675CF">
            <w:pPr>
              <w:pStyle w:val="EMEANormal"/>
              <w:widowControl w:val="0"/>
              <w:rPr>
                <w:szCs w:val="22"/>
                <w:lang w:val="pt-PT"/>
              </w:rPr>
            </w:pPr>
            <w:r w:rsidRPr="008912CF">
              <w:rPr>
                <w:szCs w:val="22"/>
                <w:lang w:val="pt-PT"/>
              </w:rPr>
              <w:t xml:space="preserve">infeções oportunistas e tuberculose (incluindo coccidioidomicose, histoplasmose e infeção a complexo mycobacterium avium), </w:t>
            </w:r>
          </w:p>
          <w:p w14:paraId="3BEEED17" w14:textId="77777777" w:rsidR="004462A0" w:rsidRPr="008912CF" w:rsidRDefault="00615769" w:rsidP="00F675CF">
            <w:pPr>
              <w:pStyle w:val="EMEANormal"/>
              <w:widowControl w:val="0"/>
              <w:rPr>
                <w:szCs w:val="22"/>
                <w:lang w:val="pt-PT"/>
              </w:rPr>
            </w:pPr>
            <w:r w:rsidRPr="008912CF">
              <w:rPr>
                <w:szCs w:val="22"/>
                <w:lang w:val="pt-PT"/>
              </w:rPr>
              <w:t>infeções bacterianas,</w:t>
            </w:r>
          </w:p>
          <w:p w14:paraId="580A6232" w14:textId="77777777" w:rsidR="004462A0" w:rsidRPr="008912CF" w:rsidRDefault="00615769" w:rsidP="00F675CF">
            <w:pPr>
              <w:pStyle w:val="EMEANormal"/>
              <w:widowControl w:val="0"/>
              <w:rPr>
                <w:szCs w:val="22"/>
                <w:lang w:val="pt-PT"/>
              </w:rPr>
            </w:pPr>
            <w:r w:rsidRPr="008912CF">
              <w:rPr>
                <w:szCs w:val="22"/>
                <w:lang w:val="pt-PT"/>
              </w:rPr>
              <w:t>infeções oculares,</w:t>
            </w:r>
          </w:p>
          <w:p w14:paraId="21660603" w14:textId="77777777" w:rsidR="004462A0" w:rsidRPr="008912CF" w:rsidRDefault="00615769" w:rsidP="00F675CF">
            <w:pPr>
              <w:pStyle w:val="EMEANormal"/>
              <w:widowControl w:val="0"/>
              <w:rPr>
                <w:szCs w:val="22"/>
                <w:vertAlign w:val="superscript"/>
                <w:lang w:val="pt-PT"/>
              </w:rPr>
            </w:pPr>
            <w:r w:rsidRPr="008912CF">
              <w:rPr>
                <w:szCs w:val="22"/>
                <w:lang w:val="pt-PT"/>
              </w:rPr>
              <w:t>diverticulite</w:t>
            </w:r>
            <w:r w:rsidRPr="008912CF">
              <w:rPr>
                <w:szCs w:val="22"/>
                <w:vertAlign w:val="superscript"/>
                <w:lang w:val="pt-PT"/>
              </w:rPr>
              <w:t>1)</w:t>
            </w:r>
          </w:p>
          <w:p w14:paraId="62015F81" w14:textId="77777777" w:rsidR="004462A0" w:rsidRPr="008912CF" w:rsidRDefault="004462A0" w:rsidP="00F675CF">
            <w:pPr>
              <w:pStyle w:val="EMEANormal"/>
              <w:widowControl w:val="0"/>
              <w:rPr>
                <w:szCs w:val="22"/>
                <w:lang w:val="pt-PT"/>
              </w:rPr>
            </w:pPr>
          </w:p>
        </w:tc>
      </w:tr>
      <w:tr w:rsidR="00A7162A" w14:paraId="1D957B13" w14:textId="77777777" w:rsidTr="00F675CF">
        <w:tc>
          <w:tcPr>
            <w:tcW w:w="2514" w:type="dxa"/>
            <w:vMerge w:val="restart"/>
          </w:tcPr>
          <w:p w14:paraId="15A663C3" w14:textId="77777777" w:rsidR="004462A0" w:rsidRPr="008912CF" w:rsidRDefault="00615769" w:rsidP="00F675CF">
            <w:pPr>
              <w:keepNext/>
              <w:widowControl w:val="0"/>
              <w:rPr>
                <w:b/>
              </w:rPr>
            </w:pPr>
            <w:r w:rsidRPr="008912CF">
              <w:rPr>
                <w:sz w:val="22"/>
                <w:szCs w:val="22"/>
              </w:rPr>
              <w:t>Neoplasias benignas, malignas e não especificadas (incluindo quistos e pólipos)*</w:t>
            </w:r>
          </w:p>
        </w:tc>
        <w:tc>
          <w:tcPr>
            <w:tcW w:w="1996" w:type="dxa"/>
            <w:tcBorders>
              <w:bottom w:val="nil"/>
            </w:tcBorders>
          </w:tcPr>
          <w:p w14:paraId="2B4DE80A" w14:textId="77777777" w:rsidR="004462A0" w:rsidRPr="008912CF" w:rsidRDefault="00615769" w:rsidP="00F675CF">
            <w:pPr>
              <w:pStyle w:val="EMEANormal"/>
              <w:keepNext/>
              <w:widowControl w:val="0"/>
              <w:rPr>
                <w:szCs w:val="22"/>
                <w:lang w:val="pt-PT"/>
              </w:rPr>
            </w:pPr>
            <w:r w:rsidRPr="008912CF">
              <w:rPr>
                <w:szCs w:val="22"/>
                <w:lang w:val="pt-PT"/>
              </w:rPr>
              <w:t xml:space="preserve">Frequentes </w:t>
            </w:r>
          </w:p>
        </w:tc>
        <w:tc>
          <w:tcPr>
            <w:tcW w:w="4346" w:type="dxa"/>
            <w:tcBorders>
              <w:bottom w:val="nil"/>
            </w:tcBorders>
          </w:tcPr>
          <w:p w14:paraId="66CB83F3" w14:textId="77777777" w:rsidR="004462A0" w:rsidRPr="008912CF" w:rsidRDefault="00615769" w:rsidP="00F675CF">
            <w:pPr>
              <w:pStyle w:val="EMEANormal"/>
              <w:keepNext/>
              <w:widowControl w:val="0"/>
              <w:rPr>
                <w:szCs w:val="22"/>
                <w:lang w:val="pt-PT"/>
              </w:rPr>
            </w:pPr>
            <w:r>
              <w:rPr>
                <w:szCs w:val="22"/>
                <w:lang w:val="pt-PT"/>
              </w:rPr>
              <w:t>C</w:t>
            </w:r>
            <w:r w:rsidRPr="008912CF">
              <w:rPr>
                <w:szCs w:val="22"/>
                <w:lang w:val="pt-PT"/>
              </w:rPr>
              <w:t>ancro de pele excluindo melanoma (incluindo carcinoma basocelular e carcinoma de células escamosas),</w:t>
            </w:r>
          </w:p>
          <w:p w14:paraId="2891E396" w14:textId="77777777" w:rsidR="004462A0" w:rsidRPr="008912CF" w:rsidRDefault="00615769" w:rsidP="00F675CF">
            <w:pPr>
              <w:pStyle w:val="EMEANormal"/>
              <w:keepNext/>
              <w:widowControl w:val="0"/>
              <w:rPr>
                <w:szCs w:val="22"/>
                <w:lang w:val="pt-PT"/>
              </w:rPr>
            </w:pPr>
            <w:r w:rsidRPr="008912CF">
              <w:rPr>
                <w:szCs w:val="22"/>
                <w:lang w:val="pt-PT"/>
              </w:rPr>
              <w:t>neoplasias benignas</w:t>
            </w:r>
          </w:p>
          <w:p w14:paraId="7FD4B0F4" w14:textId="77777777" w:rsidR="004462A0" w:rsidRPr="008912CF" w:rsidRDefault="004462A0" w:rsidP="00F675CF">
            <w:pPr>
              <w:pStyle w:val="EMEANormal"/>
              <w:keepNext/>
              <w:widowControl w:val="0"/>
              <w:rPr>
                <w:szCs w:val="22"/>
                <w:lang w:val="pt-PT"/>
              </w:rPr>
            </w:pPr>
          </w:p>
        </w:tc>
      </w:tr>
      <w:tr w:rsidR="00A7162A" w14:paraId="630D47AE" w14:textId="77777777" w:rsidTr="00F675CF">
        <w:tc>
          <w:tcPr>
            <w:tcW w:w="2514" w:type="dxa"/>
            <w:vMerge/>
          </w:tcPr>
          <w:p w14:paraId="0A9F5A41" w14:textId="77777777" w:rsidR="004462A0" w:rsidRPr="008912CF" w:rsidRDefault="004462A0" w:rsidP="00F675CF">
            <w:pPr>
              <w:keepNext/>
              <w:widowControl w:val="0"/>
              <w:jc w:val="center"/>
              <w:rPr>
                <w:b/>
              </w:rPr>
            </w:pPr>
          </w:p>
        </w:tc>
        <w:tc>
          <w:tcPr>
            <w:tcW w:w="1996" w:type="dxa"/>
            <w:tcBorders>
              <w:top w:val="nil"/>
              <w:bottom w:val="nil"/>
            </w:tcBorders>
          </w:tcPr>
          <w:p w14:paraId="1E5614A1" w14:textId="77777777" w:rsidR="004462A0" w:rsidRPr="008912CF" w:rsidRDefault="00615769" w:rsidP="00F675CF">
            <w:pPr>
              <w:pStyle w:val="EMEANormal"/>
              <w:keepNext/>
              <w:widowControl w:val="0"/>
              <w:rPr>
                <w:szCs w:val="22"/>
                <w:lang w:val="pt-PT"/>
              </w:rPr>
            </w:pPr>
            <w:r w:rsidRPr="008912CF">
              <w:rPr>
                <w:szCs w:val="22"/>
                <w:lang w:val="pt-PT"/>
              </w:rPr>
              <w:t>Pouco frequentes</w:t>
            </w:r>
          </w:p>
          <w:p w14:paraId="676233FC" w14:textId="77777777" w:rsidR="004462A0" w:rsidRPr="008912CF" w:rsidRDefault="004462A0" w:rsidP="00F675CF">
            <w:pPr>
              <w:pStyle w:val="EMEANormal"/>
              <w:keepNext/>
              <w:widowControl w:val="0"/>
              <w:rPr>
                <w:szCs w:val="22"/>
                <w:lang w:val="pt-PT"/>
              </w:rPr>
            </w:pPr>
          </w:p>
        </w:tc>
        <w:tc>
          <w:tcPr>
            <w:tcW w:w="4346" w:type="dxa"/>
            <w:tcBorders>
              <w:top w:val="nil"/>
              <w:bottom w:val="nil"/>
            </w:tcBorders>
          </w:tcPr>
          <w:p w14:paraId="3D714009" w14:textId="77777777" w:rsidR="004462A0" w:rsidRPr="008912CF" w:rsidRDefault="00615769" w:rsidP="00F675CF">
            <w:pPr>
              <w:pStyle w:val="EMEANormal"/>
              <w:keepNext/>
              <w:rPr>
                <w:szCs w:val="22"/>
                <w:lang w:val="pt-PT"/>
              </w:rPr>
            </w:pPr>
            <w:r>
              <w:rPr>
                <w:szCs w:val="22"/>
                <w:lang w:val="pt-PT"/>
              </w:rPr>
              <w:t>L</w:t>
            </w:r>
            <w:r w:rsidRPr="008912CF">
              <w:rPr>
                <w:szCs w:val="22"/>
                <w:lang w:val="pt-PT"/>
              </w:rPr>
              <w:t>infoma**,</w:t>
            </w:r>
          </w:p>
          <w:p w14:paraId="3CB26BEA" w14:textId="77777777" w:rsidR="004462A0" w:rsidRPr="008912CF" w:rsidRDefault="00615769" w:rsidP="00F675CF">
            <w:pPr>
              <w:pStyle w:val="EMEANormal"/>
              <w:keepNext/>
              <w:rPr>
                <w:szCs w:val="22"/>
                <w:lang w:val="pt-PT"/>
              </w:rPr>
            </w:pPr>
            <w:r w:rsidRPr="008912CF">
              <w:rPr>
                <w:szCs w:val="22"/>
                <w:lang w:val="pt-PT"/>
              </w:rPr>
              <w:t>neoplasias dos órgãos sólidos (incluindo cancro da mama, neoplasias do pulmão e tiroide),</w:t>
            </w:r>
          </w:p>
          <w:p w14:paraId="23E2D743" w14:textId="77777777" w:rsidR="004462A0" w:rsidRPr="008912CF" w:rsidRDefault="00615769" w:rsidP="00F675CF">
            <w:pPr>
              <w:pStyle w:val="EMEANormal"/>
              <w:keepNext/>
              <w:rPr>
                <w:szCs w:val="22"/>
                <w:lang w:val="pt-PT"/>
              </w:rPr>
            </w:pPr>
            <w:r w:rsidRPr="008912CF">
              <w:rPr>
                <w:szCs w:val="22"/>
                <w:lang w:val="pt-PT"/>
              </w:rPr>
              <w:t>melanoma**</w:t>
            </w:r>
          </w:p>
          <w:p w14:paraId="5068E45B" w14:textId="77777777" w:rsidR="004462A0" w:rsidRPr="008912CF" w:rsidRDefault="004462A0" w:rsidP="00F675CF">
            <w:pPr>
              <w:pStyle w:val="EMEANormal"/>
              <w:keepNext/>
              <w:rPr>
                <w:szCs w:val="22"/>
                <w:lang w:val="pt-PT"/>
              </w:rPr>
            </w:pPr>
          </w:p>
        </w:tc>
      </w:tr>
      <w:tr w:rsidR="00A7162A" w14:paraId="714A9C70" w14:textId="77777777" w:rsidTr="00F675CF">
        <w:tc>
          <w:tcPr>
            <w:tcW w:w="2514" w:type="dxa"/>
            <w:vMerge/>
          </w:tcPr>
          <w:p w14:paraId="0F83C923" w14:textId="77777777" w:rsidR="004462A0" w:rsidRPr="008912CF" w:rsidRDefault="004462A0" w:rsidP="00F675CF">
            <w:pPr>
              <w:keepNext/>
              <w:widowControl w:val="0"/>
              <w:jc w:val="center"/>
              <w:rPr>
                <w:b/>
              </w:rPr>
            </w:pPr>
          </w:p>
        </w:tc>
        <w:tc>
          <w:tcPr>
            <w:tcW w:w="1996" w:type="dxa"/>
            <w:tcBorders>
              <w:top w:val="nil"/>
              <w:bottom w:val="nil"/>
            </w:tcBorders>
          </w:tcPr>
          <w:p w14:paraId="4DC7FEE8" w14:textId="77777777" w:rsidR="004462A0" w:rsidRPr="008912CF" w:rsidRDefault="00615769" w:rsidP="00F675CF">
            <w:pPr>
              <w:pStyle w:val="EMEANormal"/>
              <w:keepNext/>
              <w:widowControl w:val="0"/>
              <w:rPr>
                <w:szCs w:val="22"/>
                <w:lang w:val="pt-PT"/>
              </w:rPr>
            </w:pPr>
            <w:r w:rsidRPr="008912CF">
              <w:rPr>
                <w:szCs w:val="22"/>
                <w:lang w:val="pt-PT"/>
              </w:rPr>
              <w:t>Raros</w:t>
            </w:r>
          </w:p>
        </w:tc>
        <w:tc>
          <w:tcPr>
            <w:tcW w:w="4346" w:type="dxa"/>
            <w:tcBorders>
              <w:top w:val="nil"/>
              <w:bottom w:val="nil"/>
            </w:tcBorders>
          </w:tcPr>
          <w:p w14:paraId="0C8AF728" w14:textId="77777777" w:rsidR="004462A0" w:rsidRPr="008912CF" w:rsidRDefault="00615769" w:rsidP="00F675CF">
            <w:pPr>
              <w:pStyle w:val="EMEANormal"/>
              <w:keepNext/>
              <w:rPr>
                <w:szCs w:val="22"/>
                <w:vertAlign w:val="superscript"/>
                <w:lang w:val="pt-PT"/>
              </w:rPr>
            </w:pPr>
            <w:r>
              <w:rPr>
                <w:szCs w:val="22"/>
                <w:lang w:val="pt-PT"/>
              </w:rPr>
              <w:t>L</w:t>
            </w:r>
            <w:r w:rsidRPr="008912CF">
              <w:rPr>
                <w:szCs w:val="22"/>
                <w:lang w:val="pt-PT"/>
              </w:rPr>
              <w:t>eucemia</w:t>
            </w:r>
            <w:r w:rsidRPr="008912CF">
              <w:rPr>
                <w:szCs w:val="22"/>
                <w:vertAlign w:val="superscript"/>
                <w:lang w:val="pt-PT"/>
              </w:rPr>
              <w:t>1)</w:t>
            </w:r>
          </w:p>
          <w:p w14:paraId="4A386A16" w14:textId="77777777" w:rsidR="004462A0" w:rsidRPr="008912CF" w:rsidRDefault="004462A0" w:rsidP="00F675CF">
            <w:pPr>
              <w:pStyle w:val="EMEANormal"/>
              <w:keepNext/>
              <w:rPr>
                <w:szCs w:val="22"/>
                <w:lang w:val="pt-PT"/>
              </w:rPr>
            </w:pPr>
          </w:p>
        </w:tc>
      </w:tr>
      <w:tr w:rsidR="00A7162A" w14:paraId="4B13134E" w14:textId="77777777" w:rsidTr="0004619E">
        <w:tc>
          <w:tcPr>
            <w:tcW w:w="2514" w:type="dxa"/>
            <w:vMerge/>
          </w:tcPr>
          <w:p w14:paraId="56607BB5" w14:textId="77777777" w:rsidR="004462A0" w:rsidRPr="008912CF" w:rsidRDefault="004462A0" w:rsidP="00F675CF">
            <w:pPr>
              <w:keepNext/>
              <w:widowControl w:val="0"/>
              <w:jc w:val="center"/>
              <w:rPr>
                <w:b/>
              </w:rPr>
            </w:pPr>
          </w:p>
        </w:tc>
        <w:tc>
          <w:tcPr>
            <w:tcW w:w="1996" w:type="dxa"/>
            <w:tcBorders>
              <w:top w:val="nil"/>
              <w:bottom w:val="single" w:sz="4" w:space="0" w:color="auto"/>
            </w:tcBorders>
          </w:tcPr>
          <w:p w14:paraId="4E76B4E1" w14:textId="77777777" w:rsidR="004462A0" w:rsidRPr="008912CF" w:rsidRDefault="00615769" w:rsidP="00F675CF">
            <w:pPr>
              <w:pStyle w:val="EMEANormal"/>
              <w:keepNext/>
              <w:widowControl w:val="0"/>
              <w:rPr>
                <w:szCs w:val="22"/>
                <w:lang w:val="pt-PT"/>
              </w:rPr>
            </w:pPr>
            <w:r w:rsidRPr="008912CF">
              <w:rPr>
                <w:szCs w:val="22"/>
                <w:lang w:val="pt-PT"/>
              </w:rPr>
              <w:t>Desconhecido</w:t>
            </w:r>
          </w:p>
        </w:tc>
        <w:tc>
          <w:tcPr>
            <w:tcW w:w="4346" w:type="dxa"/>
            <w:tcBorders>
              <w:top w:val="nil"/>
              <w:bottom w:val="single" w:sz="4" w:space="0" w:color="auto"/>
            </w:tcBorders>
          </w:tcPr>
          <w:p w14:paraId="3B060BAF" w14:textId="77777777" w:rsidR="004462A0" w:rsidRPr="008912CF" w:rsidRDefault="00615769" w:rsidP="00F675CF">
            <w:pPr>
              <w:pStyle w:val="EMEANormal"/>
              <w:keepNext/>
              <w:rPr>
                <w:szCs w:val="22"/>
                <w:lang w:val="pt-PT"/>
              </w:rPr>
            </w:pPr>
            <w:r>
              <w:rPr>
                <w:szCs w:val="22"/>
                <w:lang w:val="pt-PT"/>
              </w:rPr>
              <w:t>L</w:t>
            </w:r>
            <w:r w:rsidRPr="008912CF">
              <w:rPr>
                <w:szCs w:val="22"/>
                <w:lang w:val="pt-PT"/>
              </w:rPr>
              <w:t>infoma hepatoesplénico de células T</w:t>
            </w:r>
            <w:r w:rsidRPr="008912CF">
              <w:rPr>
                <w:szCs w:val="22"/>
                <w:vertAlign w:val="superscript"/>
                <w:lang w:val="pt-PT"/>
              </w:rPr>
              <w:t xml:space="preserve">1) </w:t>
            </w:r>
            <w:r w:rsidRPr="008912CF">
              <w:rPr>
                <w:szCs w:val="22"/>
                <w:lang w:val="pt-PT"/>
              </w:rPr>
              <w:t>,</w:t>
            </w:r>
          </w:p>
          <w:p w14:paraId="71FAFA49" w14:textId="77777777" w:rsidR="004462A0" w:rsidRPr="00381888" w:rsidRDefault="00615769" w:rsidP="00F675CF">
            <w:pPr>
              <w:pStyle w:val="EMEANormal"/>
              <w:keepNext/>
              <w:rPr>
                <w:szCs w:val="22"/>
                <w:lang w:val="pt-PT"/>
              </w:rPr>
            </w:pPr>
            <w:r w:rsidRPr="008912CF">
              <w:rPr>
                <w:szCs w:val="22"/>
                <w:lang w:val="pt-PT"/>
              </w:rPr>
              <w:t>carcinoma das células de Merkel (carcinoma neuroendócrino da pele)</w:t>
            </w:r>
            <w:r w:rsidRPr="008912CF">
              <w:rPr>
                <w:szCs w:val="22"/>
                <w:vertAlign w:val="superscript"/>
                <w:lang w:val="pt-PT"/>
              </w:rPr>
              <w:t>1)</w:t>
            </w:r>
            <w:r w:rsidR="00D57D99">
              <w:rPr>
                <w:szCs w:val="22"/>
                <w:lang w:val="pt-PT"/>
              </w:rPr>
              <w:t>, sarcoma de Kaposi</w:t>
            </w:r>
          </w:p>
          <w:p w14:paraId="4460A7D3" w14:textId="77777777" w:rsidR="004462A0" w:rsidRPr="008912CF" w:rsidRDefault="004462A0" w:rsidP="00F675CF">
            <w:pPr>
              <w:pStyle w:val="EMEANormal"/>
              <w:keepNext/>
              <w:rPr>
                <w:szCs w:val="22"/>
                <w:lang w:val="pt-PT"/>
              </w:rPr>
            </w:pPr>
          </w:p>
        </w:tc>
      </w:tr>
      <w:tr w:rsidR="00A7162A" w14:paraId="0C7BBE31" w14:textId="77777777" w:rsidTr="0004619E">
        <w:tc>
          <w:tcPr>
            <w:tcW w:w="2514" w:type="dxa"/>
            <w:vMerge w:val="restart"/>
          </w:tcPr>
          <w:p w14:paraId="35D88661" w14:textId="77777777" w:rsidR="004462A0" w:rsidRPr="008912CF" w:rsidRDefault="00615769" w:rsidP="00F675CF">
            <w:pPr>
              <w:widowControl w:val="0"/>
              <w:rPr>
                <w:b/>
              </w:rPr>
            </w:pPr>
            <w:r w:rsidRPr="008912CF">
              <w:rPr>
                <w:sz w:val="22"/>
                <w:szCs w:val="22"/>
              </w:rPr>
              <w:t>Doenças do sangue e do sistema linfático *</w:t>
            </w:r>
          </w:p>
        </w:tc>
        <w:tc>
          <w:tcPr>
            <w:tcW w:w="1996" w:type="dxa"/>
            <w:tcBorders>
              <w:bottom w:val="single" w:sz="4" w:space="0" w:color="auto"/>
            </w:tcBorders>
          </w:tcPr>
          <w:p w14:paraId="4EA8186B" w14:textId="77777777" w:rsidR="004462A0" w:rsidRPr="008912CF" w:rsidRDefault="00615769" w:rsidP="00F675CF">
            <w:pPr>
              <w:pStyle w:val="EMEANormal"/>
              <w:widowControl w:val="0"/>
              <w:jc w:val="both"/>
              <w:rPr>
                <w:szCs w:val="22"/>
                <w:lang w:val="pt-PT"/>
              </w:rPr>
            </w:pPr>
            <w:r w:rsidRPr="008912CF">
              <w:rPr>
                <w:szCs w:val="22"/>
                <w:lang w:val="pt-PT"/>
              </w:rPr>
              <w:t>Muito frequentes</w:t>
            </w:r>
          </w:p>
        </w:tc>
        <w:tc>
          <w:tcPr>
            <w:tcW w:w="4346" w:type="dxa"/>
            <w:tcBorders>
              <w:bottom w:val="single" w:sz="4" w:space="0" w:color="auto"/>
            </w:tcBorders>
          </w:tcPr>
          <w:p w14:paraId="21BDB144" w14:textId="77777777" w:rsidR="004462A0" w:rsidRPr="008912CF" w:rsidRDefault="00615769" w:rsidP="00F675CF">
            <w:pPr>
              <w:widowControl w:val="0"/>
            </w:pPr>
            <w:r>
              <w:rPr>
                <w:sz w:val="22"/>
                <w:szCs w:val="22"/>
              </w:rPr>
              <w:t>L</w:t>
            </w:r>
            <w:r w:rsidRPr="008912CF">
              <w:rPr>
                <w:sz w:val="22"/>
                <w:szCs w:val="22"/>
              </w:rPr>
              <w:t xml:space="preserve">eucopenia (incluindo neutropenia e agranulocitose), </w:t>
            </w:r>
          </w:p>
          <w:p w14:paraId="054642DE" w14:textId="77777777" w:rsidR="004462A0" w:rsidRPr="008912CF" w:rsidRDefault="00615769" w:rsidP="00F675CF">
            <w:pPr>
              <w:widowControl w:val="0"/>
            </w:pPr>
            <w:r w:rsidRPr="008912CF">
              <w:rPr>
                <w:sz w:val="22"/>
                <w:szCs w:val="22"/>
              </w:rPr>
              <w:t xml:space="preserve">anemia </w:t>
            </w:r>
          </w:p>
          <w:p w14:paraId="737FE4DC" w14:textId="77777777" w:rsidR="004462A0" w:rsidRPr="008912CF" w:rsidRDefault="004462A0" w:rsidP="00F675CF">
            <w:pPr>
              <w:widowControl w:val="0"/>
              <w:rPr>
                <w:b/>
              </w:rPr>
            </w:pPr>
          </w:p>
        </w:tc>
      </w:tr>
      <w:tr w:rsidR="00A7162A" w14:paraId="202799FC" w14:textId="77777777" w:rsidTr="0004619E">
        <w:tc>
          <w:tcPr>
            <w:tcW w:w="2514" w:type="dxa"/>
            <w:vMerge/>
          </w:tcPr>
          <w:p w14:paraId="023C116E" w14:textId="77777777" w:rsidR="004462A0" w:rsidRPr="008912CF" w:rsidRDefault="004462A0" w:rsidP="00F675CF">
            <w:pPr>
              <w:widowControl w:val="0"/>
              <w:jc w:val="center"/>
              <w:rPr>
                <w:b/>
              </w:rPr>
            </w:pPr>
          </w:p>
        </w:tc>
        <w:tc>
          <w:tcPr>
            <w:tcW w:w="1996" w:type="dxa"/>
            <w:tcBorders>
              <w:top w:val="single" w:sz="4" w:space="0" w:color="auto"/>
              <w:bottom w:val="nil"/>
            </w:tcBorders>
          </w:tcPr>
          <w:p w14:paraId="55756235" w14:textId="77777777" w:rsidR="004462A0" w:rsidRPr="008912CF" w:rsidRDefault="00615769" w:rsidP="00F675CF">
            <w:pPr>
              <w:pStyle w:val="EMEANormal"/>
              <w:widowControl w:val="0"/>
              <w:jc w:val="both"/>
              <w:rPr>
                <w:szCs w:val="22"/>
                <w:lang w:val="pt-PT"/>
              </w:rPr>
            </w:pPr>
            <w:r w:rsidRPr="008912CF">
              <w:rPr>
                <w:szCs w:val="22"/>
                <w:lang w:val="pt-PT"/>
              </w:rPr>
              <w:t>Frequentes</w:t>
            </w:r>
          </w:p>
        </w:tc>
        <w:tc>
          <w:tcPr>
            <w:tcW w:w="4346" w:type="dxa"/>
            <w:tcBorders>
              <w:top w:val="single" w:sz="4" w:space="0" w:color="auto"/>
              <w:bottom w:val="nil"/>
            </w:tcBorders>
          </w:tcPr>
          <w:p w14:paraId="13455C68" w14:textId="77777777" w:rsidR="004462A0" w:rsidRPr="008912CF" w:rsidRDefault="00615769" w:rsidP="00F675CF">
            <w:pPr>
              <w:widowControl w:val="0"/>
            </w:pPr>
            <w:r>
              <w:rPr>
                <w:sz w:val="22"/>
                <w:szCs w:val="22"/>
              </w:rPr>
              <w:t>L</w:t>
            </w:r>
            <w:r w:rsidRPr="008912CF">
              <w:rPr>
                <w:sz w:val="22"/>
                <w:szCs w:val="22"/>
              </w:rPr>
              <w:t>eucocitose,</w:t>
            </w:r>
          </w:p>
          <w:p w14:paraId="66F6C165" w14:textId="77777777" w:rsidR="004462A0" w:rsidRPr="008912CF" w:rsidRDefault="00615769" w:rsidP="00F675CF">
            <w:pPr>
              <w:widowControl w:val="0"/>
            </w:pPr>
            <w:r w:rsidRPr="008912CF">
              <w:rPr>
                <w:sz w:val="22"/>
                <w:szCs w:val="22"/>
              </w:rPr>
              <w:t>trombocitopenia</w:t>
            </w:r>
          </w:p>
          <w:p w14:paraId="236621B3" w14:textId="77777777" w:rsidR="004462A0" w:rsidRPr="008912CF" w:rsidRDefault="004462A0" w:rsidP="00F675CF">
            <w:pPr>
              <w:widowControl w:val="0"/>
            </w:pPr>
          </w:p>
        </w:tc>
      </w:tr>
      <w:tr w:rsidR="00A7162A" w14:paraId="5D5CC149" w14:textId="77777777" w:rsidTr="00F675CF">
        <w:tc>
          <w:tcPr>
            <w:tcW w:w="2514" w:type="dxa"/>
            <w:vMerge/>
          </w:tcPr>
          <w:p w14:paraId="2A4B16BD" w14:textId="77777777" w:rsidR="004462A0" w:rsidRPr="008912CF" w:rsidRDefault="004462A0" w:rsidP="00F675CF">
            <w:pPr>
              <w:widowControl w:val="0"/>
              <w:jc w:val="center"/>
              <w:rPr>
                <w:b/>
              </w:rPr>
            </w:pPr>
          </w:p>
        </w:tc>
        <w:tc>
          <w:tcPr>
            <w:tcW w:w="1996" w:type="dxa"/>
            <w:tcBorders>
              <w:top w:val="nil"/>
            </w:tcBorders>
          </w:tcPr>
          <w:p w14:paraId="1DB4215C" w14:textId="77777777" w:rsidR="004462A0" w:rsidRPr="008912CF" w:rsidRDefault="00615769" w:rsidP="00F675CF">
            <w:pPr>
              <w:pStyle w:val="EMEANormal"/>
              <w:widowControl w:val="0"/>
              <w:jc w:val="both"/>
              <w:rPr>
                <w:szCs w:val="22"/>
                <w:lang w:val="pt-PT"/>
              </w:rPr>
            </w:pPr>
            <w:r w:rsidRPr="008912CF">
              <w:rPr>
                <w:szCs w:val="22"/>
                <w:lang w:val="pt-PT"/>
              </w:rPr>
              <w:t>Pouco frequentes</w:t>
            </w:r>
          </w:p>
          <w:p w14:paraId="227091F4" w14:textId="77777777" w:rsidR="004462A0" w:rsidRPr="008912CF" w:rsidRDefault="004462A0" w:rsidP="00F675CF">
            <w:pPr>
              <w:pStyle w:val="EMEANormal"/>
              <w:widowControl w:val="0"/>
              <w:jc w:val="both"/>
              <w:rPr>
                <w:szCs w:val="22"/>
                <w:lang w:val="pt-PT"/>
              </w:rPr>
            </w:pPr>
          </w:p>
          <w:p w14:paraId="539BF4B6" w14:textId="77777777" w:rsidR="004462A0" w:rsidRPr="008912CF" w:rsidRDefault="00615769" w:rsidP="00F675CF">
            <w:pPr>
              <w:pStyle w:val="EMEANormal"/>
              <w:widowControl w:val="0"/>
              <w:jc w:val="both"/>
              <w:rPr>
                <w:szCs w:val="22"/>
                <w:lang w:val="pt-PT"/>
              </w:rPr>
            </w:pPr>
            <w:r w:rsidRPr="008912CF">
              <w:rPr>
                <w:szCs w:val="22"/>
                <w:lang w:val="pt-PT"/>
              </w:rPr>
              <w:t>Raros</w:t>
            </w:r>
          </w:p>
        </w:tc>
        <w:tc>
          <w:tcPr>
            <w:tcW w:w="4346" w:type="dxa"/>
            <w:tcBorders>
              <w:top w:val="nil"/>
            </w:tcBorders>
          </w:tcPr>
          <w:p w14:paraId="2107D75D" w14:textId="77777777" w:rsidR="004462A0" w:rsidRPr="008912CF" w:rsidRDefault="00615769" w:rsidP="00F675CF">
            <w:pPr>
              <w:widowControl w:val="0"/>
            </w:pPr>
            <w:r>
              <w:rPr>
                <w:sz w:val="22"/>
                <w:szCs w:val="22"/>
              </w:rPr>
              <w:t>P</w:t>
            </w:r>
            <w:r w:rsidRPr="008912CF">
              <w:rPr>
                <w:sz w:val="22"/>
                <w:szCs w:val="22"/>
              </w:rPr>
              <w:t>úrpura trombocitop</w:t>
            </w:r>
            <w:r w:rsidR="00771456">
              <w:rPr>
                <w:sz w:val="22"/>
                <w:szCs w:val="22"/>
              </w:rPr>
              <w:t>é</w:t>
            </w:r>
            <w:r w:rsidRPr="008912CF">
              <w:rPr>
                <w:sz w:val="22"/>
                <w:szCs w:val="22"/>
              </w:rPr>
              <w:t>nica idiopática</w:t>
            </w:r>
          </w:p>
          <w:p w14:paraId="44DDDE2E" w14:textId="77777777" w:rsidR="004462A0" w:rsidRPr="008912CF" w:rsidRDefault="004462A0" w:rsidP="00F675CF">
            <w:pPr>
              <w:widowControl w:val="0"/>
            </w:pPr>
          </w:p>
          <w:p w14:paraId="0EA16AEC" w14:textId="77777777" w:rsidR="004462A0" w:rsidRPr="008912CF" w:rsidRDefault="00615769" w:rsidP="00F675CF">
            <w:pPr>
              <w:widowControl w:val="0"/>
            </w:pPr>
            <w:r>
              <w:rPr>
                <w:sz w:val="22"/>
                <w:szCs w:val="22"/>
              </w:rPr>
              <w:t>P</w:t>
            </w:r>
            <w:r w:rsidRPr="008912CF">
              <w:rPr>
                <w:sz w:val="22"/>
                <w:szCs w:val="22"/>
              </w:rPr>
              <w:t>ancitopenia</w:t>
            </w:r>
          </w:p>
          <w:p w14:paraId="618F9BE6" w14:textId="77777777" w:rsidR="004462A0" w:rsidRPr="008912CF" w:rsidRDefault="004462A0" w:rsidP="00F675CF">
            <w:pPr>
              <w:widowControl w:val="0"/>
            </w:pPr>
          </w:p>
        </w:tc>
      </w:tr>
      <w:tr w:rsidR="00A7162A" w14:paraId="2F6A09EF" w14:textId="77777777" w:rsidTr="00F675CF">
        <w:tc>
          <w:tcPr>
            <w:tcW w:w="2514" w:type="dxa"/>
            <w:vMerge w:val="restart"/>
          </w:tcPr>
          <w:p w14:paraId="4A6FFB97" w14:textId="77777777" w:rsidR="004462A0" w:rsidRPr="008912CF" w:rsidRDefault="00615769" w:rsidP="00F675CF">
            <w:pPr>
              <w:pStyle w:val="EndnoteText"/>
              <w:widowControl w:val="0"/>
              <w:rPr>
                <w:szCs w:val="22"/>
              </w:rPr>
            </w:pPr>
            <w:r w:rsidRPr="008912CF">
              <w:rPr>
                <w:szCs w:val="22"/>
              </w:rPr>
              <w:t>Doenças do sistema imunitário *</w:t>
            </w:r>
          </w:p>
        </w:tc>
        <w:tc>
          <w:tcPr>
            <w:tcW w:w="1996" w:type="dxa"/>
            <w:tcBorders>
              <w:bottom w:val="nil"/>
            </w:tcBorders>
          </w:tcPr>
          <w:p w14:paraId="4513A32D" w14:textId="77777777" w:rsidR="004462A0" w:rsidRPr="008912CF" w:rsidRDefault="00615769" w:rsidP="00F675CF">
            <w:pPr>
              <w:pStyle w:val="EndnoteText"/>
              <w:widowControl w:val="0"/>
              <w:rPr>
                <w:szCs w:val="22"/>
              </w:rPr>
            </w:pPr>
            <w:r w:rsidRPr="008912CF">
              <w:rPr>
                <w:szCs w:val="22"/>
              </w:rPr>
              <w:t>Frequentes</w:t>
            </w:r>
          </w:p>
          <w:p w14:paraId="1D67CE97" w14:textId="77777777" w:rsidR="004462A0" w:rsidRPr="008912CF" w:rsidRDefault="004462A0" w:rsidP="00F675CF">
            <w:pPr>
              <w:pStyle w:val="EndnoteText"/>
              <w:widowControl w:val="0"/>
              <w:rPr>
                <w:szCs w:val="22"/>
              </w:rPr>
            </w:pPr>
          </w:p>
        </w:tc>
        <w:tc>
          <w:tcPr>
            <w:tcW w:w="4346" w:type="dxa"/>
            <w:tcBorders>
              <w:bottom w:val="nil"/>
            </w:tcBorders>
          </w:tcPr>
          <w:p w14:paraId="326D3725" w14:textId="77777777" w:rsidR="004462A0" w:rsidRPr="008912CF" w:rsidRDefault="00615769" w:rsidP="00F675CF">
            <w:pPr>
              <w:pStyle w:val="EMEANormal"/>
              <w:rPr>
                <w:szCs w:val="22"/>
                <w:lang w:val="pt-PT"/>
              </w:rPr>
            </w:pPr>
            <w:r>
              <w:rPr>
                <w:szCs w:val="22"/>
                <w:lang w:val="pt-PT"/>
              </w:rPr>
              <w:t>H</w:t>
            </w:r>
            <w:r w:rsidRPr="008912CF">
              <w:rPr>
                <w:szCs w:val="22"/>
                <w:lang w:val="pt-PT"/>
              </w:rPr>
              <w:t>ipersensibilidade,</w:t>
            </w:r>
          </w:p>
          <w:p w14:paraId="22E95A70" w14:textId="77777777" w:rsidR="004462A0" w:rsidRDefault="00615769" w:rsidP="00F675CF">
            <w:pPr>
              <w:rPr>
                <w:sz w:val="22"/>
                <w:szCs w:val="22"/>
              </w:rPr>
            </w:pPr>
            <w:r w:rsidRPr="008912CF">
              <w:rPr>
                <w:sz w:val="22"/>
                <w:szCs w:val="22"/>
              </w:rPr>
              <w:t>alergias (incluindo alergia sazonal)</w:t>
            </w:r>
          </w:p>
          <w:p w14:paraId="6D3F45EA" w14:textId="77777777" w:rsidR="003E3AA9" w:rsidRPr="008912CF" w:rsidRDefault="003E3AA9" w:rsidP="00F675CF"/>
        </w:tc>
      </w:tr>
      <w:tr w:rsidR="00A7162A" w14:paraId="4773BA46" w14:textId="77777777" w:rsidTr="00F675CF">
        <w:tc>
          <w:tcPr>
            <w:tcW w:w="2514" w:type="dxa"/>
            <w:vMerge/>
          </w:tcPr>
          <w:p w14:paraId="120BED45" w14:textId="77777777" w:rsidR="004462A0" w:rsidRPr="008912CF" w:rsidRDefault="004462A0" w:rsidP="00F675CF">
            <w:pPr>
              <w:pStyle w:val="EndnoteText"/>
              <w:widowControl w:val="0"/>
              <w:rPr>
                <w:szCs w:val="22"/>
              </w:rPr>
            </w:pPr>
          </w:p>
        </w:tc>
        <w:tc>
          <w:tcPr>
            <w:tcW w:w="1996" w:type="dxa"/>
            <w:tcBorders>
              <w:top w:val="nil"/>
              <w:bottom w:val="nil"/>
            </w:tcBorders>
          </w:tcPr>
          <w:p w14:paraId="6E9A2291" w14:textId="77777777" w:rsidR="004462A0" w:rsidRPr="008912CF" w:rsidRDefault="00615769" w:rsidP="00F675CF">
            <w:r w:rsidRPr="008912CF">
              <w:rPr>
                <w:sz w:val="22"/>
                <w:szCs w:val="22"/>
              </w:rPr>
              <w:t>Pouco frequentes</w:t>
            </w:r>
          </w:p>
        </w:tc>
        <w:tc>
          <w:tcPr>
            <w:tcW w:w="4346" w:type="dxa"/>
            <w:tcBorders>
              <w:top w:val="nil"/>
              <w:bottom w:val="nil"/>
            </w:tcBorders>
          </w:tcPr>
          <w:p w14:paraId="2A2CFEDA" w14:textId="77777777" w:rsidR="004462A0" w:rsidRPr="00DF5632" w:rsidRDefault="00615769" w:rsidP="00F675CF">
            <w:pPr>
              <w:pStyle w:val="EMEANormal"/>
              <w:rPr>
                <w:szCs w:val="22"/>
                <w:lang w:val="pt-PT"/>
              </w:rPr>
            </w:pPr>
            <w:r>
              <w:rPr>
                <w:szCs w:val="22"/>
                <w:lang w:val="pt-PT"/>
              </w:rPr>
              <w:t>S</w:t>
            </w:r>
            <w:r w:rsidRPr="008912CF">
              <w:rPr>
                <w:szCs w:val="22"/>
                <w:lang w:val="pt-PT"/>
              </w:rPr>
              <w:t>arcoidose</w:t>
            </w:r>
            <w:r w:rsidRPr="008912CF">
              <w:rPr>
                <w:szCs w:val="22"/>
                <w:vertAlign w:val="superscript"/>
                <w:lang w:val="pt-PT"/>
              </w:rPr>
              <w:t>1)</w:t>
            </w:r>
            <w:r>
              <w:rPr>
                <w:szCs w:val="22"/>
                <w:lang w:val="pt-PT"/>
              </w:rPr>
              <w:t>,</w:t>
            </w:r>
          </w:p>
          <w:p w14:paraId="1B39B382" w14:textId="77777777" w:rsidR="004462A0" w:rsidRPr="008912CF" w:rsidRDefault="00615769" w:rsidP="00F675CF">
            <w:pPr>
              <w:pStyle w:val="EMEANormal"/>
              <w:rPr>
                <w:szCs w:val="22"/>
                <w:lang w:val="pt-PT"/>
              </w:rPr>
            </w:pPr>
            <w:r w:rsidRPr="008912CF">
              <w:rPr>
                <w:szCs w:val="22"/>
                <w:lang w:val="pt-PT"/>
              </w:rPr>
              <w:t>vasculite</w:t>
            </w:r>
          </w:p>
          <w:p w14:paraId="0FA8528E" w14:textId="77777777" w:rsidR="004462A0" w:rsidRPr="008912CF" w:rsidRDefault="004462A0" w:rsidP="00F675CF">
            <w:pPr>
              <w:pStyle w:val="EMEANormal"/>
              <w:rPr>
                <w:szCs w:val="22"/>
                <w:lang w:val="pt-PT"/>
              </w:rPr>
            </w:pPr>
          </w:p>
        </w:tc>
      </w:tr>
      <w:tr w:rsidR="00A7162A" w14:paraId="4F9B825D" w14:textId="77777777" w:rsidTr="00F675CF">
        <w:tc>
          <w:tcPr>
            <w:tcW w:w="2514" w:type="dxa"/>
            <w:vMerge/>
          </w:tcPr>
          <w:p w14:paraId="3DBDDB1C" w14:textId="77777777" w:rsidR="004462A0" w:rsidRPr="008912CF" w:rsidRDefault="004462A0" w:rsidP="00F675CF">
            <w:pPr>
              <w:pStyle w:val="EndnoteText"/>
              <w:widowControl w:val="0"/>
              <w:rPr>
                <w:szCs w:val="22"/>
              </w:rPr>
            </w:pPr>
          </w:p>
        </w:tc>
        <w:tc>
          <w:tcPr>
            <w:tcW w:w="1996" w:type="dxa"/>
            <w:tcBorders>
              <w:top w:val="nil"/>
            </w:tcBorders>
          </w:tcPr>
          <w:p w14:paraId="378B862F" w14:textId="77777777" w:rsidR="004462A0" w:rsidRPr="008912CF" w:rsidRDefault="00615769" w:rsidP="00F675CF">
            <w:r w:rsidRPr="008912CF">
              <w:rPr>
                <w:sz w:val="22"/>
                <w:szCs w:val="22"/>
              </w:rPr>
              <w:t>Raros</w:t>
            </w:r>
          </w:p>
        </w:tc>
        <w:tc>
          <w:tcPr>
            <w:tcW w:w="4346" w:type="dxa"/>
            <w:tcBorders>
              <w:top w:val="nil"/>
            </w:tcBorders>
          </w:tcPr>
          <w:p w14:paraId="7EA777B6" w14:textId="77777777" w:rsidR="004462A0" w:rsidRPr="008912CF" w:rsidRDefault="00615769" w:rsidP="00F675CF">
            <w:pPr>
              <w:pStyle w:val="EMEANormal"/>
              <w:rPr>
                <w:szCs w:val="22"/>
                <w:vertAlign w:val="superscript"/>
                <w:lang w:val="pt-PT"/>
              </w:rPr>
            </w:pPr>
            <w:r>
              <w:rPr>
                <w:szCs w:val="22"/>
                <w:lang w:val="pt-PT"/>
              </w:rPr>
              <w:t>A</w:t>
            </w:r>
            <w:r w:rsidRPr="008912CF">
              <w:rPr>
                <w:szCs w:val="22"/>
                <w:lang w:val="pt-PT"/>
              </w:rPr>
              <w:t>nafilaxia</w:t>
            </w:r>
            <w:r w:rsidRPr="008912CF">
              <w:rPr>
                <w:szCs w:val="22"/>
                <w:vertAlign w:val="superscript"/>
                <w:lang w:val="pt-PT"/>
              </w:rPr>
              <w:t>1)</w:t>
            </w:r>
          </w:p>
          <w:p w14:paraId="79A87B9F" w14:textId="77777777" w:rsidR="004462A0" w:rsidRPr="008912CF" w:rsidRDefault="004462A0" w:rsidP="00F675CF">
            <w:pPr>
              <w:pStyle w:val="EMEANormal"/>
              <w:rPr>
                <w:szCs w:val="22"/>
                <w:lang w:val="pt-PT"/>
              </w:rPr>
            </w:pPr>
          </w:p>
        </w:tc>
      </w:tr>
      <w:tr w:rsidR="00A7162A" w14:paraId="42D257CA" w14:textId="77777777" w:rsidTr="00F675CF">
        <w:tc>
          <w:tcPr>
            <w:tcW w:w="2514" w:type="dxa"/>
            <w:vMerge w:val="restart"/>
          </w:tcPr>
          <w:p w14:paraId="1BE51084" w14:textId="77777777" w:rsidR="004462A0" w:rsidRPr="008912CF" w:rsidRDefault="00615769" w:rsidP="00F675CF">
            <w:pPr>
              <w:pStyle w:val="EMEANormal"/>
              <w:widowControl w:val="0"/>
              <w:rPr>
                <w:szCs w:val="22"/>
                <w:lang w:val="pt-PT"/>
              </w:rPr>
            </w:pPr>
            <w:r w:rsidRPr="008912CF">
              <w:rPr>
                <w:szCs w:val="22"/>
                <w:lang w:val="pt-PT"/>
              </w:rPr>
              <w:t>Doenças do metabolismo e da nutrição</w:t>
            </w:r>
          </w:p>
        </w:tc>
        <w:tc>
          <w:tcPr>
            <w:tcW w:w="1996" w:type="dxa"/>
            <w:tcBorders>
              <w:bottom w:val="nil"/>
            </w:tcBorders>
          </w:tcPr>
          <w:p w14:paraId="3DB74C8E" w14:textId="77777777" w:rsidR="004462A0" w:rsidRPr="008912CF" w:rsidRDefault="00615769" w:rsidP="00F675CF">
            <w:pPr>
              <w:pStyle w:val="EMEANormal"/>
              <w:widowControl w:val="0"/>
              <w:rPr>
                <w:szCs w:val="22"/>
                <w:lang w:val="pt-PT"/>
              </w:rPr>
            </w:pPr>
            <w:r w:rsidRPr="008912CF">
              <w:rPr>
                <w:szCs w:val="22"/>
                <w:lang w:val="pt-PT"/>
              </w:rPr>
              <w:t xml:space="preserve">Muito frequentes </w:t>
            </w:r>
          </w:p>
        </w:tc>
        <w:tc>
          <w:tcPr>
            <w:tcW w:w="4346" w:type="dxa"/>
            <w:tcBorders>
              <w:bottom w:val="nil"/>
            </w:tcBorders>
          </w:tcPr>
          <w:p w14:paraId="3C00AAB2" w14:textId="77777777" w:rsidR="004462A0" w:rsidRPr="008912CF" w:rsidRDefault="00615769" w:rsidP="00F675CF">
            <w:pPr>
              <w:pStyle w:val="EMEANormal"/>
              <w:widowControl w:val="0"/>
              <w:rPr>
                <w:szCs w:val="22"/>
                <w:lang w:val="pt-PT"/>
              </w:rPr>
            </w:pPr>
            <w:r>
              <w:rPr>
                <w:szCs w:val="22"/>
                <w:lang w:val="pt-PT"/>
              </w:rPr>
              <w:t>A</w:t>
            </w:r>
            <w:r w:rsidRPr="008912CF">
              <w:rPr>
                <w:szCs w:val="22"/>
                <w:lang w:val="pt-PT"/>
              </w:rPr>
              <w:t>umento dos lípidos</w:t>
            </w:r>
          </w:p>
          <w:p w14:paraId="00A1309B" w14:textId="77777777" w:rsidR="004462A0" w:rsidRPr="008912CF" w:rsidRDefault="004462A0" w:rsidP="00F675CF">
            <w:pPr>
              <w:pStyle w:val="EMEANormal"/>
              <w:widowControl w:val="0"/>
              <w:rPr>
                <w:szCs w:val="22"/>
                <w:lang w:val="pt-PT"/>
              </w:rPr>
            </w:pPr>
          </w:p>
        </w:tc>
      </w:tr>
      <w:tr w:rsidR="00A7162A" w14:paraId="74B3B6D4" w14:textId="77777777" w:rsidTr="00F675CF">
        <w:tc>
          <w:tcPr>
            <w:tcW w:w="2514" w:type="dxa"/>
            <w:vMerge/>
          </w:tcPr>
          <w:p w14:paraId="1A7EC40B" w14:textId="77777777" w:rsidR="004462A0" w:rsidRPr="008912CF" w:rsidRDefault="004462A0" w:rsidP="00F675CF">
            <w:pPr>
              <w:pStyle w:val="EMEANormal"/>
              <w:widowControl w:val="0"/>
              <w:rPr>
                <w:szCs w:val="22"/>
                <w:lang w:val="pt-PT"/>
              </w:rPr>
            </w:pPr>
          </w:p>
        </w:tc>
        <w:tc>
          <w:tcPr>
            <w:tcW w:w="1996" w:type="dxa"/>
            <w:tcBorders>
              <w:top w:val="nil"/>
            </w:tcBorders>
          </w:tcPr>
          <w:p w14:paraId="0C3388E8" w14:textId="77777777" w:rsidR="004462A0" w:rsidRPr="008912CF" w:rsidRDefault="00615769" w:rsidP="00F675CF">
            <w:pPr>
              <w:pStyle w:val="EMEANormal"/>
              <w:widowControl w:val="0"/>
              <w:rPr>
                <w:szCs w:val="22"/>
                <w:lang w:val="pt-PT"/>
              </w:rPr>
            </w:pPr>
            <w:r w:rsidRPr="008912CF">
              <w:rPr>
                <w:szCs w:val="22"/>
                <w:lang w:val="pt-PT"/>
              </w:rPr>
              <w:t>Frequentes</w:t>
            </w:r>
          </w:p>
          <w:p w14:paraId="3017D485" w14:textId="77777777" w:rsidR="004462A0" w:rsidRPr="008912CF" w:rsidRDefault="004462A0" w:rsidP="00F675CF">
            <w:pPr>
              <w:pStyle w:val="EMEANormal"/>
              <w:widowControl w:val="0"/>
              <w:rPr>
                <w:szCs w:val="22"/>
                <w:lang w:val="pt-PT"/>
              </w:rPr>
            </w:pPr>
          </w:p>
        </w:tc>
        <w:tc>
          <w:tcPr>
            <w:tcW w:w="4346" w:type="dxa"/>
            <w:tcBorders>
              <w:top w:val="nil"/>
            </w:tcBorders>
          </w:tcPr>
          <w:p w14:paraId="1D40BA8D" w14:textId="77777777" w:rsidR="004462A0" w:rsidRPr="008912CF" w:rsidRDefault="00615769" w:rsidP="00F675CF">
            <w:pPr>
              <w:pStyle w:val="EMEANormal"/>
              <w:widowControl w:val="0"/>
              <w:rPr>
                <w:szCs w:val="22"/>
                <w:lang w:val="pt-PT"/>
              </w:rPr>
            </w:pPr>
            <w:r>
              <w:rPr>
                <w:szCs w:val="22"/>
                <w:lang w:val="pt-PT"/>
              </w:rPr>
              <w:t>H</w:t>
            </w:r>
            <w:r w:rsidRPr="008912CF">
              <w:rPr>
                <w:szCs w:val="22"/>
                <w:lang w:val="pt-PT"/>
              </w:rPr>
              <w:t xml:space="preserve">ipocaliemia, </w:t>
            </w:r>
          </w:p>
          <w:p w14:paraId="57416A98" w14:textId="77777777" w:rsidR="004462A0" w:rsidRPr="008912CF" w:rsidRDefault="00615769" w:rsidP="00F675CF">
            <w:pPr>
              <w:pStyle w:val="EMEANormal"/>
              <w:widowControl w:val="0"/>
              <w:rPr>
                <w:szCs w:val="22"/>
                <w:lang w:val="pt-PT"/>
              </w:rPr>
            </w:pPr>
            <w:r w:rsidRPr="008912CF">
              <w:rPr>
                <w:szCs w:val="22"/>
                <w:lang w:val="pt-PT"/>
              </w:rPr>
              <w:t>aumento do ácido úrico,</w:t>
            </w:r>
          </w:p>
          <w:p w14:paraId="03A32BFA" w14:textId="77777777" w:rsidR="004462A0" w:rsidRPr="008912CF" w:rsidRDefault="00615769" w:rsidP="00F675CF">
            <w:pPr>
              <w:pStyle w:val="EMEANormal"/>
              <w:widowControl w:val="0"/>
              <w:rPr>
                <w:szCs w:val="22"/>
                <w:lang w:val="pt-PT"/>
              </w:rPr>
            </w:pPr>
            <w:r w:rsidRPr="008912CF">
              <w:rPr>
                <w:szCs w:val="22"/>
                <w:lang w:val="pt-PT"/>
              </w:rPr>
              <w:t xml:space="preserve">nível de sódio anormal, </w:t>
            </w:r>
          </w:p>
          <w:p w14:paraId="25DAD8BC" w14:textId="77777777" w:rsidR="004462A0" w:rsidRPr="008912CF" w:rsidRDefault="00615769" w:rsidP="00F675CF">
            <w:pPr>
              <w:pStyle w:val="EMEANormal"/>
              <w:widowControl w:val="0"/>
              <w:rPr>
                <w:szCs w:val="22"/>
                <w:lang w:val="pt-PT"/>
              </w:rPr>
            </w:pPr>
            <w:r w:rsidRPr="008912CF">
              <w:rPr>
                <w:szCs w:val="22"/>
                <w:lang w:val="pt-PT"/>
              </w:rPr>
              <w:t>hipocalcemia,</w:t>
            </w:r>
          </w:p>
          <w:p w14:paraId="57B95FA4" w14:textId="77777777" w:rsidR="004462A0" w:rsidRPr="008912CF" w:rsidRDefault="00615769" w:rsidP="00F675CF">
            <w:pPr>
              <w:pStyle w:val="EMEANormal"/>
              <w:widowControl w:val="0"/>
              <w:rPr>
                <w:szCs w:val="22"/>
                <w:lang w:val="pt-PT"/>
              </w:rPr>
            </w:pPr>
            <w:r w:rsidRPr="008912CF">
              <w:rPr>
                <w:szCs w:val="22"/>
                <w:lang w:val="pt-PT"/>
              </w:rPr>
              <w:t>hiperglicemia,</w:t>
            </w:r>
          </w:p>
          <w:p w14:paraId="7D96EB05" w14:textId="77777777" w:rsidR="004462A0" w:rsidRPr="008912CF" w:rsidRDefault="00615769" w:rsidP="00B96A30">
            <w:pPr>
              <w:pStyle w:val="EMEANormal"/>
              <w:widowControl w:val="0"/>
              <w:rPr>
                <w:szCs w:val="22"/>
                <w:lang w:val="pt-PT"/>
              </w:rPr>
            </w:pPr>
            <w:r>
              <w:rPr>
                <w:szCs w:val="22"/>
                <w:lang w:val="pt-PT"/>
              </w:rPr>
              <w:t>hipofosfatemia,</w:t>
            </w:r>
          </w:p>
          <w:p w14:paraId="21C313DB" w14:textId="77777777" w:rsidR="004462A0" w:rsidRPr="008912CF" w:rsidRDefault="00615769" w:rsidP="00F675CF">
            <w:pPr>
              <w:pStyle w:val="EMEANormal"/>
              <w:rPr>
                <w:szCs w:val="22"/>
                <w:lang w:val="pt-PT"/>
              </w:rPr>
            </w:pPr>
            <w:r w:rsidRPr="008912CF">
              <w:rPr>
                <w:szCs w:val="22"/>
                <w:lang w:val="pt-PT"/>
              </w:rPr>
              <w:t>desidratação</w:t>
            </w:r>
          </w:p>
          <w:p w14:paraId="53DD87E8" w14:textId="77777777" w:rsidR="004462A0" w:rsidRPr="008912CF" w:rsidRDefault="004462A0" w:rsidP="00F675CF">
            <w:pPr>
              <w:pStyle w:val="EMEANormal"/>
              <w:rPr>
                <w:szCs w:val="22"/>
                <w:lang w:val="pt-PT"/>
              </w:rPr>
            </w:pPr>
          </w:p>
        </w:tc>
      </w:tr>
      <w:tr w:rsidR="00A7162A" w14:paraId="54FE3D99" w14:textId="77777777" w:rsidTr="00F675CF">
        <w:tc>
          <w:tcPr>
            <w:tcW w:w="2514" w:type="dxa"/>
          </w:tcPr>
          <w:p w14:paraId="2D79E445" w14:textId="77777777" w:rsidR="004462A0" w:rsidRPr="008912CF" w:rsidRDefault="00615769" w:rsidP="00F675CF">
            <w:pPr>
              <w:pStyle w:val="EMEANormal"/>
              <w:widowControl w:val="0"/>
              <w:rPr>
                <w:szCs w:val="22"/>
                <w:lang w:val="pt-PT"/>
              </w:rPr>
            </w:pPr>
            <w:r w:rsidRPr="008912CF">
              <w:rPr>
                <w:szCs w:val="22"/>
                <w:lang w:val="pt-PT"/>
              </w:rPr>
              <w:t>Perturbações do foro psiquiátrico</w:t>
            </w:r>
          </w:p>
        </w:tc>
        <w:tc>
          <w:tcPr>
            <w:tcW w:w="1996" w:type="dxa"/>
          </w:tcPr>
          <w:p w14:paraId="3836EB48" w14:textId="77777777" w:rsidR="004462A0" w:rsidRPr="008912CF" w:rsidRDefault="00615769" w:rsidP="00F675CF">
            <w:pPr>
              <w:pStyle w:val="EMEANormal"/>
              <w:widowControl w:val="0"/>
              <w:rPr>
                <w:szCs w:val="22"/>
                <w:lang w:val="pt-PT"/>
              </w:rPr>
            </w:pPr>
            <w:r w:rsidRPr="008912CF">
              <w:rPr>
                <w:szCs w:val="22"/>
                <w:lang w:val="pt-PT"/>
              </w:rPr>
              <w:t>Frequentes</w:t>
            </w:r>
          </w:p>
          <w:p w14:paraId="2DECF62F" w14:textId="77777777" w:rsidR="004462A0" w:rsidRPr="008912CF" w:rsidRDefault="004462A0" w:rsidP="00F675CF">
            <w:pPr>
              <w:pStyle w:val="EMEANormal"/>
              <w:widowControl w:val="0"/>
              <w:rPr>
                <w:szCs w:val="22"/>
                <w:lang w:val="pt-PT"/>
              </w:rPr>
            </w:pPr>
          </w:p>
        </w:tc>
        <w:tc>
          <w:tcPr>
            <w:tcW w:w="4346" w:type="dxa"/>
          </w:tcPr>
          <w:p w14:paraId="76AD386C" w14:textId="77777777" w:rsidR="004462A0" w:rsidRPr="008912CF" w:rsidRDefault="00615769" w:rsidP="00F675CF">
            <w:pPr>
              <w:pStyle w:val="EMEANormal"/>
              <w:widowControl w:val="0"/>
              <w:rPr>
                <w:szCs w:val="22"/>
                <w:lang w:val="pt-PT"/>
              </w:rPr>
            </w:pPr>
            <w:r>
              <w:rPr>
                <w:szCs w:val="22"/>
                <w:lang w:val="pt-PT"/>
              </w:rPr>
              <w:t>A</w:t>
            </w:r>
            <w:r w:rsidRPr="008912CF">
              <w:rPr>
                <w:szCs w:val="22"/>
                <w:lang w:val="pt-PT"/>
              </w:rPr>
              <w:t>lterações de humor (incluindo depressão), ansiedade,</w:t>
            </w:r>
          </w:p>
          <w:p w14:paraId="6E5A6EC8" w14:textId="77777777" w:rsidR="004462A0" w:rsidRPr="008912CF" w:rsidRDefault="00615769" w:rsidP="00F675CF">
            <w:pPr>
              <w:pStyle w:val="EMEANormal"/>
              <w:widowControl w:val="0"/>
              <w:rPr>
                <w:szCs w:val="22"/>
                <w:lang w:val="pt-PT"/>
              </w:rPr>
            </w:pPr>
            <w:r w:rsidRPr="008912CF">
              <w:rPr>
                <w:szCs w:val="22"/>
                <w:lang w:val="pt-PT"/>
              </w:rPr>
              <w:t>insónia</w:t>
            </w:r>
          </w:p>
          <w:p w14:paraId="1E58F00F" w14:textId="77777777" w:rsidR="004462A0" w:rsidRPr="008912CF" w:rsidRDefault="004462A0" w:rsidP="00F675CF">
            <w:pPr>
              <w:pStyle w:val="EMEANormal"/>
              <w:widowControl w:val="0"/>
              <w:rPr>
                <w:szCs w:val="22"/>
                <w:lang w:val="pt-PT"/>
              </w:rPr>
            </w:pPr>
          </w:p>
        </w:tc>
      </w:tr>
      <w:tr w:rsidR="00A7162A" w14:paraId="4693611C" w14:textId="77777777" w:rsidTr="00F675CF">
        <w:tc>
          <w:tcPr>
            <w:tcW w:w="2514" w:type="dxa"/>
            <w:vMerge w:val="restart"/>
          </w:tcPr>
          <w:p w14:paraId="388E01BB" w14:textId="77777777" w:rsidR="004462A0" w:rsidRPr="008912CF" w:rsidRDefault="00615769" w:rsidP="00F675CF">
            <w:pPr>
              <w:pStyle w:val="EMEANormal"/>
              <w:keepNext/>
              <w:widowControl w:val="0"/>
              <w:rPr>
                <w:szCs w:val="22"/>
                <w:lang w:val="pt-PT"/>
              </w:rPr>
            </w:pPr>
            <w:r w:rsidRPr="008912CF">
              <w:rPr>
                <w:szCs w:val="22"/>
                <w:lang w:val="pt-PT"/>
              </w:rPr>
              <w:t>Doenças do sistema nervoso *</w:t>
            </w:r>
          </w:p>
        </w:tc>
        <w:tc>
          <w:tcPr>
            <w:tcW w:w="1996" w:type="dxa"/>
            <w:tcBorders>
              <w:bottom w:val="nil"/>
            </w:tcBorders>
          </w:tcPr>
          <w:p w14:paraId="3AE53308" w14:textId="77777777" w:rsidR="004462A0" w:rsidRPr="008912CF" w:rsidRDefault="00615769" w:rsidP="00F675CF">
            <w:pPr>
              <w:pStyle w:val="EMEANormal"/>
              <w:keepNext/>
              <w:widowControl w:val="0"/>
              <w:rPr>
                <w:szCs w:val="22"/>
                <w:lang w:val="pt-PT"/>
              </w:rPr>
            </w:pPr>
            <w:r w:rsidRPr="008912CF">
              <w:rPr>
                <w:szCs w:val="22"/>
                <w:lang w:val="pt-PT"/>
              </w:rPr>
              <w:t xml:space="preserve">Muito frequentes </w:t>
            </w:r>
          </w:p>
        </w:tc>
        <w:tc>
          <w:tcPr>
            <w:tcW w:w="4346" w:type="dxa"/>
            <w:tcBorders>
              <w:bottom w:val="nil"/>
            </w:tcBorders>
          </w:tcPr>
          <w:p w14:paraId="05E39A6B" w14:textId="77777777" w:rsidR="004462A0" w:rsidRPr="008912CF" w:rsidRDefault="00615769" w:rsidP="00F675CF">
            <w:pPr>
              <w:pStyle w:val="EMEANormal"/>
              <w:keepNext/>
              <w:widowControl w:val="0"/>
              <w:rPr>
                <w:szCs w:val="22"/>
                <w:lang w:val="pt-PT"/>
              </w:rPr>
            </w:pPr>
            <w:r>
              <w:rPr>
                <w:szCs w:val="22"/>
                <w:lang w:val="pt-PT"/>
              </w:rPr>
              <w:t>C</w:t>
            </w:r>
            <w:r w:rsidRPr="008912CF">
              <w:rPr>
                <w:szCs w:val="22"/>
                <w:lang w:val="pt-PT"/>
              </w:rPr>
              <w:t>efaleias</w:t>
            </w:r>
          </w:p>
          <w:p w14:paraId="07A7AC8D" w14:textId="77777777" w:rsidR="004462A0" w:rsidRPr="008912CF" w:rsidRDefault="004462A0" w:rsidP="00F675CF">
            <w:pPr>
              <w:pStyle w:val="EMEANormal"/>
              <w:keepNext/>
              <w:widowControl w:val="0"/>
              <w:rPr>
                <w:szCs w:val="22"/>
                <w:lang w:val="pt-PT"/>
              </w:rPr>
            </w:pPr>
          </w:p>
        </w:tc>
      </w:tr>
      <w:tr w:rsidR="00A7162A" w14:paraId="2F7B22B9" w14:textId="77777777" w:rsidTr="00F675CF">
        <w:tc>
          <w:tcPr>
            <w:tcW w:w="2514" w:type="dxa"/>
            <w:vMerge/>
          </w:tcPr>
          <w:p w14:paraId="1F013861" w14:textId="77777777" w:rsidR="004462A0" w:rsidRPr="008912CF" w:rsidRDefault="004462A0" w:rsidP="00F675CF">
            <w:pPr>
              <w:pStyle w:val="EMEANormal"/>
              <w:keepNext/>
              <w:widowControl w:val="0"/>
              <w:rPr>
                <w:szCs w:val="22"/>
                <w:lang w:val="pt-PT"/>
              </w:rPr>
            </w:pPr>
          </w:p>
        </w:tc>
        <w:tc>
          <w:tcPr>
            <w:tcW w:w="1996" w:type="dxa"/>
            <w:tcBorders>
              <w:top w:val="nil"/>
              <w:bottom w:val="nil"/>
            </w:tcBorders>
          </w:tcPr>
          <w:p w14:paraId="0CDCA67A" w14:textId="77777777" w:rsidR="004462A0" w:rsidRPr="008912CF" w:rsidRDefault="00615769" w:rsidP="00F675CF">
            <w:pPr>
              <w:pStyle w:val="EMEANormal"/>
              <w:keepNext/>
              <w:widowControl w:val="0"/>
              <w:rPr>
                <w:szCs w:val="22"/>
                <w:lang w:val="pt-PT"/>
              </w:rPr>
            </w:pPr>
            <w:r w:rsidRPr="008912CF">
              <w:rPr>
                <w:szCs w:val="22"/>
                <w:lang w:val="pt-PT"/>
              </w:rPr>
              <w:t>Frequentes</w:t>
            </w:r>
          </w:p>
          <w:p w14:paraId="07EB4381" w14:textId="77777777" w:rsidR="004462A0" w:rsidRPr="008912CF" w:rsidRDefault="004462A0" w:rsidP="00F675CF">
            <w:pPr>
              <w:pStyle w:val="EMEANormal"/>
              <w:keepNext/>
              <w:widowControl w:val="0"/>
              <w:rPr>
                <w:szCs w:val="22"/>
                <w:lang w:val="pt-PT"/>
              </w:rPr>
            </w:pPr>
          </w:p>
        </w:tc>
        <w:tc>
          <w:tcPr>
            <w:tcW w:w="4346" w:type="dxa"/>
            <w:tcBorders>
              <w:top w:val="nil"/>
              <w:bottom w:val="nil"/>
            </w:tcBorders>
          </w:tcPr>
          <w:p w14:paraId="678973A4" w14:textId="77777777" w:rsidR="004462A0" w:rsidRPr="008912CF" w:rsidRDefault="00615769" w:rsidP="00F675CF">
            <w:pPr>
              <w:pStyle w:val="EMEANormal"/>
              <w:keepNext/>
              <w:widowControl w:val="0"/>
              <w:rPr>
                <w:szCs w:val="22"/>
                <w:lang w:val="pt-PT"/>
              </w:rPr>
            </w:pPr>
            <w:r>
              <w:rPr>
                <w:szCs w:val="22"/>
                <w:lang w:val="pt-PT"/>
              </w:rPr>
              <w:t>P</w:t>
            </w:r>
            <w:r w:rsidRPr="008912CF">
              <w:rPr>
                <w:szCs w:val="22"/>
                <w:lang w:val="pt-PT"/>
              </w:rPr>
              <w:t>arestesias (incluindo hipo</w:t>
            </w:r>
            <w:r w:rsidR="00D9472B">
              <w:rPr>
                <w:szCs w:val="22"/>
                <w:lang w:val="pt-PT"/>
              </w:rPr>
              <w:t>e</w:t>
            </w:r>
            <w:r w:rsidRPr="008912CF">
              <w:rPr>
                <w:szCs w:val="22"/>
                <w:lang w:val="pt-PT"/>
              </w:rPr>
              <w:t>stesia),</w:t>
            </w:r>
          </w:p>
          <w:p w14:paraId="1F265B3B" w14:textId="77777777" w:rsidR="004462A0" w:rsidRPr="008912CF" w:rsidRDefault="00615769" w:rsidP="00F675CF">
            <w:pPr>
              <w:pStyle w:val="EMEANormal"/>
              <w:keepNext/>
              <w:widowControl w:val="0"/>
              <w:rPr>
                <w:szCs w:val="22"/>
                <w:lang w:val="pt-PT"/>
              </w:rPr>
            </w:pPr>
            <w:r w:rsidRPr="008912CF">
              <w:rPr>
                <w:szCs w:val="22"/>
                <w:lang w:val="pt-PT"/>
              </w:rPr>
              <w:t>enxaqueca,</w:t>
            </w:r>
          </w:p>
          <w:p w14:paraId="1D86BB8E" w14:textId="77777777" w:rsidR="004462A0" w:rsidRPr="008912CF" w:rsidRDefault="00615769" w:rsidP="00F675CF">
            <w:pPr>
              <w:pStyle w:val="EMEANormal"/>
              <w:keepNext/>
              <w:rPr>
                <w:szCs w:val="22"/>
                <w:lang w:val="pt-PT"/>
              </w:rPr>
            </w:pPr>
            <w:r w:rsidRPr="008912CF">
              <w:rPr>
                <w:szCs w:val="22"/>
                <w:lang w:val="pt-PT"/>
              </w:rPr>
              <w:t>compressão da raiz nervosa</w:t>
            </w:r>
          </w:p>
          <w:p w14:paraId="54D5F740" w14:textId="77777777" w:rsidR="004462A0" w:rsidRPr="008912CF" w:rsidRDefault="004462A0" w:rsidP="00F675CF">
            <w:pPr>
              <w:pStyle w:val="EMEANormal"/>
              <w:keepNext/>
              <w:rPr>
                <w:szCs w:val="22"/>
                <w:lang w:val="pt-PT"/>
              </w:rPr>
            </w:pPr>
          </w:p>
        </w:tc>
      </w:tr>
      <w:tr w:rsidR="00A7162A" w14:paraId="5D9E1C0D" w14:textId="77777777" w:rsidTr="00F675CF">
        <w:tc>
          <w:tcPr>
            <w:tcW w:w="2514" w:type="dxa"/>
            <w:vMerge/>
          </w:tcPr>
          <w:p w14:paraId="21EFF032" w14:textId="77777777" w:rsidR="004462A0" w:rsidRPr="008912CF" w:rsidRDefault="004462A0" w:rsidP="00F675CF">
            <w:pPr>
              <w:keepNext/>
              <w:widowControl w:val="0"/>
              <w:jc w:val="center"/>
              <w:rPr>
                <w:b/>
              </w:rPr>
            </w:pPr>
          </w:p>
        </w:tc>
        <w:tc>
          <w:tcPr>
            <w:tcW w:w="1996" w:type="dxa"/>
            <w:tcBorders>
              <w:top w:val="nil"/>
              <w:bottom w:val="nil"/>
            </w:tcBorders>
          </w:tcPr>
          <w:p w14:paraId="0CDE719A" w14:textId="77777777" w:rsidR="004462A0" w:rsidRPr="008912CF" w:rsidRDefault="00615769" w:rsidP="00F675CF">
            <w:pPr>
              <w:pStyle w:val="EMEANormal"/>
              <w:keepNext/>
              <w:widowControl w:val="0"/>
              <w:rPr>
                <w:szCs w:val="22"/>
                <w:lang w:val="pt-PT"/>
              </w:rPr>
            </w:pPr>
            <w:r w:rsidRPr="008912CF">
              <w:rPr>
                <w:szCs w:val="22"/>
                <w:lang w:val="pt-PT"/>
              </w:rPr>
              <w:t>Pouco frequentes</w:t>
            </w:r>
          </w:p>
          <w:p w14:paraId="4CB8E6B4" w14:textId="77777777" w:rsidR="004462A0" w:rsidRPr="008912CF" w:rsidRDefault="004462A0" w:rsidP="00F675CF">
            <w:pPr>
              <w:pStyle w:val="EMEANormal"/>
              <w:keepNext/>
              <w:widowControl w:val="0"/>
              <w:rPr>
                <w:szCs w:val="22"/>
                <w:lang w:val="pt-PT"/>
              </w:rPr>
            </w:pPr>
          </w:p>
        </w:tc>
        <w:tc>
          <w:tcPr>
            <w:tcW w:w="4346" w:type="dxa"/>
            <w:tcBorders>
              <w:top w:val="nil"/>
              <w:bottom w:val="nil"/>
            </w:tcBorders>
          </w:tcPr>
          <w:p w14:paraId="6C776559" w14:textId="77777777" w:rsidR="004462A0" w:rsidRPr="008912CF" w:rsidRDefault="00615769" w:rsidP="00F675CF">
            <w:pPr>
              <w:pStyle w:val="EMEANormal"/>
              <w:keepNext/>
              <w:widowControl w:val="0"/>
              <w:rPr>
                <w:szCs w:val="22"/>
                <w:lang w:val="pt-PT"/>
              </w:rPr>
            </w:pPr>
            <w:r>
              <w:rPr>
                <w:szCs w:val="22"/>
                <w:lang w:val="pt-PT"/>
              </w:rPr>
              <w:t>A</w:t>
            </w:r>
            <w:r w:rsidRPr="008912CF">
              <w:rPr>
                <w:szCs w:val="22"/>
                <w:lang w:val="pt-PT"/>
              </w:rPr>
              <w:t>cidente vascular</w:t>
            </w:r>
            <w:r w:rsidR="003E3AA9">
              <w:rPr>
                <w:szCs w:val="22"/>
                <w:lang w:val="pt-PT"/>
              </w:rPr>
              <w:t xml:space="preserve"> cerebral</w:t>
            </w:r>
            <w:r w:rsidRPr="008912CF">
              <w:rPr>
                <w:szCs w:val="22"/>
                <w:vertAlign w:val="superscript"/>
                <w:lang w:val="pt-PT"/>
              </w:rPr>
              <w:t>1)</w:t>
            </w:r>
            <w:r w:rsidRPr="008912CF">
              <w:rPr>
                <w:szCs w:val="22"/>
                <w:lang w:val="pt-PT"/>
              </w:rPr>
              <w:t>,</w:t>
            </w:r>
          </w:p>
          <w:p w14:paraId="3B77FEFE" w14:textId="77777777" w:rsidR="004462A0" w:rsidRPr="008912CF" w:rsidRDefault="00615769" w:rsidP="00F675CF">
            <w:pPr>
              <w:pStyle w:val="EMEANormal"/>
              <w:keepNext/>
              <w:widowControl w:val="0"/>
              <w:rPr>
                <w:szCs w:val="22"/>
                <w:lang w:val="pt-PT"/>
              </w:rPr>
            </w:pPr>
            <w:r w:rsidRPr="008912CF">
              <w:rPr>
                <w:szCs w:val="22"/>
                <w:lang w:val="pt-PT"/>
              </w:rPr>
              <w:t>tremor,</w:t>
            </w:r>
          </w:p>
          <w:p w14:paraId="057E3343" w14:textId="77777777" w:rsidR="004462A0" w:rsidRPr="008912CF" w:rsidRDefault="00615769" w:rsidP="00F675CF">
            <w:pPr>
              <w:pStyle w:val="EMEANormal"/>
              <w:keepNext/>
              <w:widowControl w:val="0"/>
              <w:rPr>
                <w:szCs w:val="22"/>
                <w:lang w:val="pt-PT"/>
              </w:rPr>
            </w:pPr>
            <w:r w:rsidRPr="008912CF">
              <w:rPr>
                <w:szCs w:val="22"/>
                <w:lang w:val="pt-PT"/>
              </w:rPr>
              <w:t xml:space="preserve">neuropatia </w:t>
            </w:r>
          </w:p>
          <w:p w14:paraId="558154C6" w14:textId="77777777" w:rsidR="004462A0" w:rsidRPr="008912CF" w:rsidRDefault="004462A0" w:rsidP="00F675CF">
            <w:pPr>
              <w:pStyle w:val="EMEANormal"/>
              <w:keepNext/>
              <w:widowControl w:val="0"/>
              <w:rPr>
                <w:szCs w:val="22"/>
                <w:lang w:val="pt-PT"/>
              </w:rPr>
            </w:pPr>
          </w:p>
        </w:tc>
      </w:tr>
      <w:tr w:rsidR="00A7162A" w14:paraId="475B96CE" w14:textId="77777777" w:rsidTr="00F675CF">
        <w:tc>
          <w:tcPr>
            <w:tcW w:w="2514" w:type="dxa"/>
            <w:vMerge/>
          </w:tcPr>
          <w:p w14:paraId="15A6FCB0" w14:textId="77777777" w:rsidR="004462A0" w:rsidRPr="008912CF" w:rsidRDefault="004462A0" w:rsidP="00F675CF">
            <w:pPr>
              <w:keepNext/>
              <w:widowControl w:val="0"/>
              <w:jc w:val="center"/>
              <w:rPr>
                <w:b/>
              </w:rPr>
            </w:pPr>
          </w:p>
        </w:tc>
        <w:tc>
          <w:tcPr>
            <w:tcW w:w="1996" w:type="dxa"/>
            <w:tcBorders>
              <w:top w:val="nil"/>
            </w:tcBorders>
          </w:tcPr>
          <w:p w14:paraId="423896DF" w14:textId="77777777" w:rsidR="004462A0" w:rsidRPr="008912CF" w:rsidRDefault="00615769" w:rsidP="00F675CF">
            <w:pPr>
              <w:pStyle w:val="EMEANormal"/>
              <w:keepNext/>
              <w:widowControl w:val="0"/>
              <w:rPr>
                <w:szCs w:val="22"/>
                <w:lang w:val="pt-PT"/>
              </w:rPr>
            </w:pPr>
            <w:r w:rsidRPr="008912CF">
              <w:rPr>
                <w:szCs w:val="22"/>
                <w:lang w:val="pt-PT"/>
              </w:rPr>
              <w:t>Raros</w:t>
            </w:r>
          </w:p>
          <w:p w14:paraId="1000C5ED" w14:textId="77777777" w:rsidR="004462A0" w:rsidRPr="008912CF" w:rsidRDefault="004462A0" w:rsidP="00F675CF">
            <w:pPr>
              <w:pStyle w:val="EMEANormal"/>
              <w:keepNext/>
              <w:widowControl w:val="0"/>
              <w:rPr>
                <w:szCs w:val="22"/>
                <w:lang w:val="pt-PT"/>
              </w:rPr>
            </w:pPr>
          </w:p>
        </w:tc>
        <w:tc>
          <w:tcPr>
            <w:tcW w:w="4346" w:type="dxa"/>
            <w:tcBorders>
              <w:top w:val="nil"/>
            </w:tcBorders>
          </w:tcPr>
          <w:p w14:paraId="08B5D192" w14:textId="77777777" w:rsidR="004462A0" w:rsidRPr="008912CF" w:rsidRDefault="00615769" w:rsidP="00F675CF">
            <w:pPr>
              <w:pStyle w:val="EMEANormal"/>
              <w:keepNext/>
              <w:widowControl w:val="0"/>
              <w:rPr>
                <w:szCs w:val="22"/>
                <w:lang w:val="pt-PT"/>
              </w:rPr>
            </w:pPr>
            <w:r>
              <w:rPr>
                <w:szCs w:val="22"/>
                <w:lang w:val="pt-PT"/>
              </w:rPr>
              <w:t>E</w:t>
            </w:r>
            <w:r w:rsidRPr="008912CF">
              <w:rPr>
                <w:szCs w:val="22"/>
                <w:lang w:val="pt-PT"/>
              </w:rPr>
              <w:t>sclerose múltipla,</w:t>
            </w:r>
          </w:p>
          <w:p w14:paraId="4235718E" w14:textId="77777777" w:rsidR="004462A0" w:rsidRPr="008912CF" w:rsidRDefault="00615769" w:rsidP="00F675CF">
            <w:pPr>
              <w:pStyle w:val="EMEANormal"/>
              <w:keepNext/>
              <w:widowControl w:val="0"/>
              <w:rPr>
                <w:szCs w:val="22"/>
                <w:vertAlign w:val="superscript"/>
                <w:lang w:val="pt-PT"/>
              </w:rPr>
            </w:pPr>
            <w:r w:rsidRPr="008912CF">
              <w:rPr>
                <w:szCs w:val="22"/>
                <w:lang w:val="pt-PT"/>
              </w:rPr>
              <w:t>perturbações desmieli</w:t>
            </w:r>
            <w:r w:rsidR="00D9472B">
              <w:rPr>
                <w:szCs w:val="22"/>
                <w:lang w:val="pt-PT"/>
              </w:rPr>
              <w:t>n</w:t>
            </w:r>
            <w:r w:rsidRPr="008912CF">
              <w:rPr>
                <w:szCs w:val="22"/>
                <w:lang w:val="pt-PT"/>
              </w:rPr>
              <w:t>izantes (</w:t>
            </w:r>
            <w:r w:rsidR="00D9472B">
              <w:rPr>
                <w:szCs w:val="22"/>
                <w:lang w:val="pt-PT"/>
              </w:rPr>
              <w:t xml:space="preserve">p. </w:t>
            </w:r>
            <w:r w:rsidRPr="008912CF">
              <w:rPr>
                <w:szCs w:val="22"/>
                <w:lang w:val="pt-PT"/>
              </w:rPr>
              <w:t>ex. neurite ótica, síndrome de Guillain-Barré)</w:t>
            </w:r>
            <w:r w:rsidRPr="008912CF">
              <w:rPr>
                <w:szCs w:val="22"/>
                <w:vertAlign w:val="superscript"/>
                <w:lang w:val="pt-PT"/>
              </w:rPr>
              <w:t>1)</w:t>
            </w:r>
          </w:p>
          <w:p w14:paraId="1752322D" w14:textId="77777777" w:rsidR="004462A0" w:rsidRPr="008912CF" w:rsidRDefault="004462A0" w:rsidP="00F675CF">
            <w:pPr>
              <w:pStyle w:val="EMEANormal"/>
              <w:keepNext/>
              <w:widowControl w:val="0"/>
              <w:rPr>
                <w:szCs w:val="22"/>
                <w:lang w:val="pt-PT"/>
              </w:rPr>
            </w:pPr>
          </w:p>
        </w:tc>
      </w:tr>
      <w:tr w:rsidR="00A7162A" w14:paraId="132C0EB9" w14:textId="77777777" w:rsidTr="00F675CF">
        <w:tc>
          <w:tcPr>
            <w:tcW w:w="2514" w:type="dxa"/>
            <w:vMerge w:val="restart"/>
          </w:tcPr>
          <w:p w14:paraId="1FB527FE" w14:textId="77777777" w:rsidR="004462A0" w:rsidRPr="008912CF" w:rsidRDefault="00615769" w:rsidP="00F675CF">
            <w:pPr>
              <w:pStyle w:val="EMEANormal"/>
              <w:widowControl w:val="0"/>
              <w:rPr>
                <w:szCs w:val="22"/>
                <w:lang w:val="pt-PT"/>
              </w:rPr>
            </w:pPr>
            <w:r w:rsidRPr="008912CF">
              <w:rPr>
                <w:szCs w:val="22"/>
                <w:lang w:val="pt-PT"/>
              </w:rPr>
              <w:t>Afeções oculares</w:t>
            </w:r>
          </w:p>
        </w:tc>
        <w:tc>
          <w:tcPr>
            <w:tcW w:w="1996" w:type="dxa"/>
            <w:tcBorders>
              <w:bottom w:val="nil"/>
            </w:tcBorders>
          </w:tcPr>
          <w:p w14:paraId="03CBF5DF" w14:textId="77777777" w:rsidR="004462A0" w:rsidRPr="008912CF" w:rsidRDefault="00615769" w:rsidP="00F675CF">
            <w:pPr>
              <w:pStyle w:val="EMEANormal"/>
              <w:widowControl w:val="0"/>
              <w:rPr>
                <w:szCs w:val="22"/>
                <w:lang w:val="pt-PT"/>
              </w:rPr>
            </w:pPr>
            <w:r w:rsidRPr="008912CF">
              <w:rPr>
                <w:szCs w:val="22"/>
                <w:lang w:val="pt-PT"/>
              </w:rPr>
              <w:t>Frequentes</w:t>
            </w:r>
          </w:p>
          <w:p w14:paraId="42A42123" w14:textId="77777777" w:rsidR="004462A0" w:rsidRPr="008912CF" w:rsidRDefault="004462A0" w:rsidP="00F675CF">
            <w:pPr>
              <w:pStyle w:val="EMEANormal"/>
              <w:widowControl w:val="0"/>
              <w:rPr>
                <w:szCs w:val="22"/>
                <w:lang w:val="pt-PT"/>
              </w:rPr>
            </w:pPr>
          </w:p>
        </w:tc>
        <w:tc>
          <w:tcPr>
            <w:tcW w:w="4346" w:type="dxa"/>
            <w:tcBorders>
              <w:bottom w:val="nil"/>
            </w:tcBorders>
          </w:tcPr>
          <w:p w14:paraId="2D980D3D" w14:textId="77777777" w:rsidR="004462A0" w:rsidRPr="008912CF" w:rsidRDefault="00615769" w:rsidP="00F675CF">
            <w:pPr>
              <w:pStyle w:val="EMEANormal"/>
              <w:widowControl w:val="0"/>
              <w:rPr>
                <w:szCs w:val="22"/>
                <w:lang w:val="pt-PT"/>
              </w:rPr>
            </w:pPr>
            <w:r>
              <w:rPr>
                <w:szCs w:val="22"/>
                <w:lang w:val="pt-PT"/>
              </w:rPr>
              <w:t>A</w:t>
            </w:r>
            <w:r w:rsidRPr="008912CF">
              <w:rPr>
                <w:szCs w:val="22"/>
                <w:lang w:val="pt-PT"/>
              </w:rPr>
              <w:t>lterações da visão,</w:t>
            </w:r>
          </w:p>
          <w:p w14:paraId="3D40A89D" w14:textId="77777777" w:rsidR="004462A0" w:rsidRPr="008912CF" w:rsidRDefault="00615769" w:rsidP="00F675CF">
            <w:pPr>
              <w:pStyle w:val="EMEAFigureTitle"/>
              <w:tabs>
                <w:tab w:val="clear" w:pos="562"/>
              </w:tabs>
              <w:suppressAutoHyphens w:val="0"/>
              <w:rPr>
                <w:szCs w:val="22"/>
                <w:lang w:val="pt-PT"/>
              </w:rPr>
            </w:pPr>
            <w:r w:rsidRPr="008912CF">
              <w:rPr>
                <w:szCs w:val="22"/>
                <w:lang w:val="pt-PT"/>
              </w:rPr>
              <w:t>conjuntivite,</w:t>
            </w:r>
          </w:p>
          <w:p w14:paraId="74916580" w14:textId="77777777" w:rsidR="004462A0" w:rsidRPr="008912CF" w:rsidRDefault="00615769" w:rsidP="00F675CF">
            <w:pPr>
              <w:pStyle w:val="EMEANormal"/>
              <w:widowControl w:val="0"/>
              <w:rPr>
                <w:szCs w:val="22"/>
                <w:lang w:val="pt-PT"/>
              </w:rPr>
            </w:pPr>
            <w:r w:rsidRPr="008912CF">
              <w:rPr>
                <w:szCs w:val="22"/>
                <w:lang w:val="pt-PT"/>
              </w:rPr>
              <w:t xml:space="preserve">blefarite, </w:t>
            </w:r>
          </w:p>
          <w:p w14:paraId="08EFD0DF" w14:textId="77777777" w:rsidR="004462A0" w:rsidRPr="008912CF" w:rsidRDefault="00615769" w:rsidP="00F675CF">
            <w:pPr>
              <w:pStyle w:val="EMEANormal"/>
              <w:rPr>
                <w:lang w:val="pt-PT"/>
              </w:rPr>
            </w:pPr>
            <w:r w:rsidRPr="008912CF">
              <w:rPr>
                <w:szCs w:val="22"/>
                <w:lang w:val="pt-PT"/>
              </w:rPr>
              <w:t>inchaço dos olhos</w:t>
            </w:r>
          </w:p>
          <w:p w14:paraId="732CA7BE" w14:textId="77777777" w:rsidR="004462A0" w:rsidRPr="008912CF" w:rsidRDefault="004462A0" w:rsidP="00F675CF">
            <w:pPr>
              <w:pStyle w:val="EMEANormal"/>
              <w:rPr>
                <w:lang w:val="pt-PT"/>
              </w:rPr>
            </w:pPr>
          </w:p>
        </w:tc>
      </w:tr>
      <w:tr w:rsidR="00A7162A" w14:paraId="369B2B8E" w14:textId="77777777" w:rsidTr="00F675CF">
        <w:tc>
          <w:tcPr>
            <w:tcW w:w="2514" w:type="dxa"/>
            <w:vMerge/>
          </w:tcPr>
          <w:p w14:paraId="1C3D9BDC" w14:textId="77777777" w:rsidR="004462A0" w:rsidRPr="008912CF" w:rsidRDefault="004462A0" w:rsidP="00F675CF">
            <w:pPr>
              <w:widowControl w:val="0"/>
              <w:jc w:val="center"/>
              <w:rPr>
                <w:b/>
              </w:rPr>
            </w:pPr>
          </w:p>
        </w:tc>
        <w:tc>
          <w:tcPr>
            <w:tcW w:w="1996" w:type="dxa"/>
            <w:tcBorders>
              <w:top w:val="nil"/>
            </w:tcBorders>
          </w:tcPr>
          <w:p w14:paraId="029119CC" w14:textId="77777777" w:rsidR="004462A0" w:rsidRPr="008912CF" w:rsidRDefault="00615769" w:rsidP="00F675CF">
            <w:pPr>
              <w:pStyle w:val="EMEANormal"/>
              <w:widowControl w:val="0"/>
              <w:rPr>
                <w:szCs w:val="22"/>
                <w:lang w:val="pt-PT"/>
              </w:rPr>
            </w:pPr>
            <w:r w:rsidRPr="008912CF">
              <w:rPr>
                <w:szCs w:val="22"/>
                <w:lang w:val="pt-PT"/>
              </w:rPr>
              <w:t>Pouco frequentes</w:t>
            </w:r>
          </w:p>
        </w:tc>
        <w:tc>
          <w:tcPr>
            <w:tcW w:w="4346" w:type="dxa"/>
            <w:tcBorders>
              <w:top w:val="nil"/>
            </w:tcBorders>
          </w:tcPr>
          <w:p w14:paraId="1397568B" w14:textId="77777777" w:rsidR="004462A0" w:rsidRPr="008912CF" w:rsidRDefault="00615769" w:rsidP="00F675CF">
            <w:pPr>
              <w:pStyle w:val="EMEANormal"/>
              <w:widowControl w:val="0"/>
              <w:rPr>
                <w:szCs w:val="22"/>
                <w:lang w:val="pt-PT"/>
              </w:rPr>
            </w:pPr>
            <w:r>
              <w:rPr>
                <w:szCs w:val="22"/>
                <w:lang w:val="pt-PT"/>
              </w:rPr>
              <w:t>D</w:t>
            </w:r>
            <w:r w:rsidRPr="008912CF">
              <w:rPr>
                <w:szCs w:val="22"/>
                <w:lang w:val="pt-PT"/>
              </w:rPr>
              <w:t>iplopia</w:t>
            </w:r>
          </w:p>
          <w:p w14:paraId="2FDFC527" w14:textId="77777777" w:rsidR="004462A0" w:rsidRPr="008912CF" w:rsidRDefault="004462A0" w:rsidP="00F675CF">
            <w:pPr>
              <w:pStyle w:val="EMEANormal"/>
              <w:widowControl w:val="0"/>
              <w:rPr>
                <w:szCs w:val="22"/>
                <w:lang w:val="pt-PT"/>
              </w:rPr>
            </w:pPr>
          </w:p>
        </w:tc>
      </w:tr>
      <w:tr w:rsidR="00A7162A" w14:paraId="131F02D7" w14:textId="77777777" w:rsidTr="00F675CF">
        <w:tc>
          <w:tcPr>
            <w:tcW w:w="2514" w:type="dxa"/>
            <w:vMerge w:val="restart"/>
          </w:tcPr>
          <w:p w14:paraId="79E2BDE0" w14:textId="77777777" w:rsidR="004462A0" w:rsidRPr="008912CF" w:rsidRDefault="00615769" w:rsidP="00F675CF">
            <w:pPr>
              <w:pStyle w:val="EMEANormal"/>
              <w:rPr>
                <w:szCs w:val="22"/>
                <w:lang w:val="pt-PT"/>
              </w:rPr>
            </w:pPr>
            <w:r w:rsidRPr="008912CF">
              <w:rPr>
                <w:szCs w:val="22"/>
                <w:lang w:val="pt-PT"/>
              </w:rPr>
              <w:t>Afeções do ouvido e do labirinto</w:t>
            </w:r>
          </w:p>
          <w:p w14:paraId="0A9B2BAC" w14:textId="77777777" w:rsidR="004462A0" w:rsidRPr="008912CF" w:rsidRDefault="004462A0" w:rsidP="00F675CF">
            <w:pPr>
              <w:pStyle w:val="EMEANormal"/>
              <w:widowControl w:val="0"/>
              <w:rPr>
                <w:szCs w:val="22"/>
                <w:lang w:val="pt-PT"/>
              </w:rPr>
            </w:pPr>
          </w:p>
        </w:tc>
        <w:tc>
          <w:tcPr>
            <w:tcW w:w="1996" w:type="dxa"/>
            <w:tcBorders>
              <w:bottom w:val="nil"/>
            </w:tcBorders>
          </w:tcPr>
          <w:p w14:paraId="7DE70B2B" w14:textId="77777777" w:rsidR="004462A0" w:rsidRPr="008912CF" w:rsidRDefault="00615769" w:rsidP="00F675CF">
            <w:pPr>
              <w:pStyle w:val="EMEANormal"/>
              <w:widowControl w:val="0"/>
              <w:rPr>
                <w:szCs w:val="22"/>
                <w:lang w:val="pt-PT"/>
              </w:rPr>
            </w:pPr>
            <w:r w:rsidRPr="008912CF">
              <w:rPr>
                <w:szCs w:val="22"/>
                <w:lang w:val="pt-PT"/>
              </w:rPr>
              <w:t>Frequentes</w:t>
            </w:r>
          </w:p>
        </w:tc>
        <w:tc>
          <w:tcPr>
            <w:tcW w:w="4346" w:type="dxa"/>
            <w:tcBorders>
              <w:bottom w:val="nil"/>
            </w:tcBorders>
          </w:tcPr>
          <w:p w14:paraId="23A47ED6" w14:textId="77777777" w:rsidR="004462A0" w:rsidRPr="008912CF" w:rsidRDefault="00615769" w:rsidP="00F675CF">
            <w:pPr>
              <w:pStyle w:val="EMEANormal"/>
              <w:widowControl w:val="0"/>
              <w:rPr>
                <w:szCs w:val="22"/>
                <w:lang w:val="pt-PT"/>
              </w:rPr>
            </w:pPr>
            <w:r>
              <w:rPr>
                <w:szCs w:val="22"/>
                <w:lang w:val="pt-PT"/>
              </w:rPr>
              <w:t>V</w:t>
            </w:r>
            <w:r w:rsidRPr="008912CF">
              <w:rPr>
                <w:szCs w:val="22"/>
                <w:lang w:val="pt-PT"/>
              </w:rPr>
              <w:t>ertigem</w:t>
            </w:r>
          </w:p>
          <w:p w14:paraId="78A2A849" w14:textId="77777777" w:rsidR="004462A0" w:rsidRPr="008912CF" w:rsidRDefault="004462A0" w:rsidP="00F675CF">
            <w:pPr>
              <w:pStyle w:val="EMEANormal"/>
              <w:widowControl w:val="0"/>
              <w:rPr>
                <w:szCs w:val="22"/>
                <w:lang w:val="pt-PT"/>
              </w:rPr>
            </w:pPr>
          </w:p>
        </w:tc>
      </w:tr>
      <w:tr w:rsidR="00A7162A" w14:paraId="03295C83" w14:textId="77777777" w:rsidTr="00F675CF">
        <w:tc>
          <w:tcPr>
            <w:tcW w:w="2514" w:type="dxa"/>
            <w:vMerge/>
          </w:tcPr>
          <w:p w14:paraId="27BCB192" w14:textId="77777777" w:rsidR="004462A0" w:rsidRPr="008912CF" w:rsidRDefault="004462A0" w:rsidP="00F675CF">
            <w:pPr>
              <w:widowControl w:val="0"/>
              <w:jc w:val="center"/>
              <w:rPr>
                <w:b/>
              </w:rPr>
            </w:pPr>
          </w:p>
        </w:tc>
        <w:tc>
          <w:tcPr>
            <w:tcW w:w="1996" w:type="dxa"/>
            <w:tcBorders>
              <w:top w:val="nil"/>
            </w:tcBorders>
          </w:tcPr>
          <w:p w14:paraId="0CF5021D" w14:textId="77777777" w:rsidR="004462A0" w:rsidRPr="008912CF" w:rsidRDefault="00615769" w:rsidP="00F675CF">
            <w:pPr>
              <w:pStyle w:val="EMEANormal"/>
              <w:widowControl w:val="0"/>
              <w:rPr>
                <w:szCs w:val="22"/>
                <w:lang w:val="pt-PT"/>
              </w:rPr>
            </w:pPr>
            <w:r w:rsidRPr="008912CF">
              <w:rPr>
                <w:szCs w:val="22"/>
                <w:lang w:val="pt-PT"/>
              </w:rPr>
              <w:t>Pouco frequentes</w:t>
            </w:r>
          </w:p>
          <w:p w14:paraId="2E5EBE5F" w14:textId="77777777" w:rsidR="004462A0" w:rsidRPr="008912CF" w:rsidRDefault="004462A0" w:rsidP="00F675CF">
            <w:pPr>
              <w:pStyle w:val="EMEANormal"/>
              <w:widowControl w:val="0"/>
              <w:rPr>
                <w:szCs w:val="22"/>
                <w:lang w:val="pt-PT"/>
              </w:rPr>
            </w:pPr>
          </w:p>
        </w:tc>
        <w:tc>
          <w:tcPr>
            <w:tcW w:w="4346" w:type="dxa"/>
            <w:tcBorders>
              <w:top w:val="nil"/>
            </w:tcBorders>
          </w:tcPr>
          <w:p w14:paraId="03B9FFF5" w14:textId="77777777" w:rsidR="004462A0" w:rsidRPr="008912CF" w:rsidRDefault="00615769" w:rsidP="00F675CF">
            <w:pPr>
              <w:pStyle w:val="EMEANormal"/>
              <w:widowControl w:val="0"/>
              <w:rPr>
                <w:szCs w:val="22"/>
                <w:lang w:val="pt-PT"/>
              </w:rPr>
            </w:pPr>
            <w:r>
              <w:rPr>
                <w:szCs w:val="22"/>
                <w:lang w:val="pt-PT"/>
              </w:rPr>
              <w:t>S</w:t>
            </w:r>
            <w:r w:rsidRPr="008912CF">
              <w:rPr>
                <w:szCs w:val="22"/>
                <w:lang w:val="pt-PT"/>
              </w:rPr>
              <w:t xml:space="preserve">urdez, </w:t>
            </w:r>
          </w:p>
          <w:p w14:paraId="119D0B63" w14:textId="77777777" w:rsidR="004462A0" w:rsidRPr="008912CF" w:rsidRDefault="00615769" w:rsidP="00F675CF">
            <w:pPr>
              <w:pStyle w:val="EMEANormal"/>
              <w:widowControl w:val="0"/>
              <w:rPr>
                <w:szCs w:val="22"/>
                <w:lang w:val="pt-PT"/>
              </w:rPr>
            </w:pPr>
            <w:r w:rsidRPr="008912CF">
              <w:rPr>
                <w:szCs w:val="22"/>
                <w:lang w:val="pt-PT"/>
              </w:rPr>
              <w:t>zumbido</w:t>
            </w:r>
          </w:p>
          <w:p w14:paraId="50CA7CFA" w14:textId="77777777" w:rsidR="004462A0" w:rsidRPr="008912CF" w:rsidRDefault="004462A0" w:rsidP="00F675CF">
            <w:pPr>
              <w:pStyle w:val="EMEANormal"/>
              <w:widowControl w:val="0"/>
              <w:rPr>
                <w:szCs w:val="22"/>
                <w:lang w:val="pt-PT"/>
              </w:rPr>
            </w:pPr>
          </w:p>
        </w:tc>
      </w:tr>
      <w:tr w:rsidR="00A7162A" w14:paraId="3C383007" w14:textId="77777777" w:rsidTr="00F675CF">
        <w:tc>
          <w:tcPr>
            <w:tcW w:w="2514" w:type="dxa"/>
            <w:vMerge w:val="restart"/>
          </w:tcPr>
          <w:p w14:paraId="64CED153" w14:textId="77777777" w:rsidR="004462A0" w:rsidRPr="008912CF" w:rsidRDefault="00615769" w:rsidP="00F675CF">
            <w:pPr>
              <w:pStyle w:val="EMEANormal"/>
              <w:widowControl w:val="0"/>
              <w:rPr>
                <w:szCs w:val="22"/>
                <w:lang w:val="pt-PT"/>
              </w:rPr>
            </w:pPr>
            <w:r w:rsidRPr="008912CF">
              <w:rPr>
                <w:szCs w:val="22"/>
                <w:lang w:val="pt-PT"/>
              </w:rPr>
              <w:t xml:space="preserve">Cardiopatias * </w:t>
            </w:r>
          </w:p>
        </w:tc>
        <w:tc>
          <w:tcPr>
            <w:tcW w:w="1996" w:type="dxa"/>
            <w:tcBorders>
              <w:bottom w:val="nil"/>
            </w:tcBorders>
          </w:tcPr>
          <w:p w14:paraId="6D413EC9" w14:textId="77777777" w:rsidR="004462A0" w:rsidRPr="008912CF" w:rsidRDefault="00615769" w:rsidP="00F675CF">
            <w:pPr>
              <w:pStyle w:val="EMEANormal"/>
              <w:widowControl w:val="0"/>
              <w:rPr>
                <w:szCs w:val="22"/>
                <w:lang w:val="pt-PT"/>
              </w:rPr>
            </w:pPr>
            <w:r w:rsidRPr="008912CF">
              <w:rPr>
                <w:szCs w:val="22"/>
                <w:lang w:val="pt-PT"/>
              </w:rPr>
              <w:t>Frequentes</w:t>
            </w:r>
          </w:p>
        </w:tc>
        <w:tc>
          <w:tcPr>
            <w:tcW w:w="4346" w:type="dxa"/>
            <w:tcBorders>
              <w:bottom w:val="nil"/>
            </w:tcBorders>
          </w:tcPr>
          <w:p w14:paraId="7B12897F" w14:textId="77777777" w:rsidR="004462A0" w:rsidRPr="008912CF" w:rsidRDefault="00615769" w:rsidP="00F675CF">
            <w:pPr>
              <w:pStyle w:val="EMEANormal"/>
              <w:widowControl w:val="0"/>
              <w:rPr>
                <w:szCs w:val="22"/>
                <w:lang w:val="pt-PT"/>
              </w:rPr>
            </w:pPr>
            <w:r>
              <w:rPr>
                <w:szCs w:val="22"/>
                <w:lang w:val="pt-PT"/>
              </w:rPr>
              <w:t>T</w:t>
            </w:r>
            <w:r w:rsidRPr="008912CF">
              <w:rPr>
                <w:szCs w:val="22"/>
                <w:lang w:val="pt-PT"/>
              </w:rPr>
              <w:t>aquicardia</w:t>
            </w:r>
          </w:p>
          <w:p w14:paraId="1131BD4F" w14:textId="77777777" w:rsidR="004462A0" w:rsidRPr="008912CF" w:rsidRDefault="004462A0" w:rsidP="00F675CF">
            <w:pPr>
              <w:pStyle w:val="EMEANormal"/>
              <w:widowControl w:val="0"/>
              <w:rPr>
                <w:szCs w:val="22"/>
                <w:lang w:val="pt-PT"/>
              </w:rPr>
            </w:pPr>
          </w:p>
        </w:tc>
      </w:tr>
      <w:tr w:rsidR="00A7162A" w14:paraId="76F8385D" w14:textId="77777777" w:rsidTr="00F675CF">
        <w:tc>
          <w:tcPr>
            <w:tcW w:w="2514" w:type="dxa"/>
            <w:vMerge/>
          </w:tcPr>
          <w:p w14:paraId="52975C73" w14:textId="77777777" w:rsidR="004462A0" w:rsidRPr="008912CF" w:rsidRDefault="004462A0" w:rsidP="00F675CF">
            <w:pPr>
              <w:pStyle w:val="EMEANormal"/>
              <w:widowControl w:val="0"/>
              <w:rPr>
                <w:szCs w:val="22"/>
                <w:lang w:val="pt-PT"/>
              </w:rPr>
            </w:pPr>
          </w:p>
        </w:tc>
        <w:tc>
          <w:tcPr>
            <w:tcW w:w="1996" w:type="dxa"/>
            <w:tcBorders>
              <w:top w:val="nil"/>
              <w:bottom w:val="nil"/>
            </w:tcBorders>
          </w:tcPr>
          <w:p w14:paraId="13C294CD" w14:textId="77777777" w:rsidR="004462A0" w:rsidRPr="008912CF" w:rsidRDefault="00615769" w:rsidP="00F675CF">
            <w:pPr>
              <w:pStyle w:val="EMEANormal"/>
              <w:widowControl w:val="0"/>
              <w:rPr>
                <w:szCs w:val="22"/>
                <w:lang w:val="pt-PT"/>
              </w:rPr>
            </w:pPr>
            <w:r w:rsidRPr="008912CF">
              <w:rPr>
                <w:szCs w:val="22"/>
                <w:lang w:val="pt-PT"/>
              </w:rPr>
              <w:t>Pouco frequentes</w:t>
            </w:r>
          </w:p>
          <w:p w14:paraId="2AD33AF7" w14:textId="77777777" w:rsidR="004462A0" w:rsidRPr="008912CF" w:rsidRDefault="004462A0" w:rsidP="00F675CF">
            <w:pPr>
              <w:pStyle w:val="EMEANormal"/>
              <w:widowControl w:val="0"/>
              <w:rPr>
                <w:szCs w:val="22"/>
                <w:lang w:val="pt-PT"/>
              </w:rPr>
            </w:pPr>
          </w:p>
        </w:tc>
        <w:tc>
          <w:tcPr>
            <w:tcW w:w="4346" w:type="dxa"/>
            <w:tcBorders>
              <w:top w:val="nil"/>
              <w:bottom w:val="nil"/>
            </w:tcBorders>
          </w:tcPr>
          <w:p w14:paraId="0489DBF1" w14:textId="77777777" w:rsidR="004462A0" w:rsidRPr="008912CF" w:rsidRDefault="00615769" w:rsidP="00F675CF">
            <w:pPr>
              <w:pStyle w:val="EMEANormal"/>
              <w:widowControl w:val="0"/>
              <w:rPr>
                <w:szCs w:val="22"/>
                <w:lang w:val="pt-PT"/>
              </w:rPr>
            </w:pPr>
            <w:r>
              <w:rPr>
                <w:szCs w:val="22"/>
                <w:lang w:val="pt-PT"/>
              </w:rPr>
              <w:t>E</w:t>
            </w:r>
            <w:r w:rsidRPr="008912CF">
              <w:rPr>
                <w:szCs w:val="22"/>
                <w:lang w:val="pt-PT"/>
              </w:rPr>
              <w:t>nfarte do miocárdio</w:t>
            </w:r>
            <w:r w:rsidRPr="008912CF">
              <w:rPr>
                <w:szCs w:val="22"/>
                <w:vertAlign w:val="superscript"/>
                <w:lang w:val="pt-PT"/>
              </w:rPr>
              <w:t>1)</w:t>
            </w:r>
            <w:r w:rsidRPr="008912CF">
              <w:rPr>
                <w:szCs w:val="22"/>
                <w:lang w:val="pt-PT"/>
              </w:rPr>
              <w:t>,</w:t>
            </w:r>
          </w:p>
          <w:p w14:paraId="37C76798" w14:textId="77777777" w:rsidR="004462A0" w:rsidRPr="008912CF" w:rsidRDefault="00615769" w:rsidP="00F675CF">
            <w:pPr>
              <w:pStyle w:val="EMEANormal"/>
              <w:widowControl w:val="0"/>
              <w:rPr>
                <w:szCs w:val="22"/>
                <w:lang w:val="pt-PT"/>
              </w:rPr>
            </w:pPr>
            <w:r w:rsidRPr="008912CF">
              <w:rPr>
                <w:szCs w:val="22"/>
                <w:lang w:val="pt-PT"/>
              </w:rPr>
              <w:t>arritmia,</w:t>
            </w:r>
          </w:p>
          <w:p w14:paraId="77DE1126" w14:textId="77777777" w:rsidR="004462A0" w:rsidRPr="008912CF" w:rsidRDefault="00615769" w:rsidP="00F675CF">
            <w:pPr>
              <w:pStyle w:val="EMEANormal"/>
              <w:widowControl w:val="0"/>
              <w:rPr>
                <w:szCs w:val="22"/>
                <w:lang w:val="pt-PT"/>
              </w:rPr>
            </w:pPr>
            <w:r w:rsidRPr="008912CF">
              <w:rPr>
                <w:szCs w:val="22"/>
                <w:lang w:val="pt-PT"/>
              </w:rPr>
              <w:t>insuficiência cardíaca congestiva</w:t>
            </w:r>
          </w:p>
          <w:p w14:paraId="1D44E454" w14:textId="77777777" w:rsidR="004462A0" w:rsidRPr="008912CF" w:rsidRDefault="004462A0" w:rsidP="00F675CF">
            <w:pPr>
              <w:pStyle w:val="EMEANormal"/>
              <w:widowControl w:val="0"/>
              <w:rPr>
                <w:szCs w:val="22"/>
                <w:lang w:val="pt-PT"/>
              </w:rPr>
            </w:pPr>
          </w:p>
        </w:tc>
      </w:tr>
      <w:tr w:rsidR="00A7162A" w14:paraId="2AEEE0A1" w14:textId="77777777" w:rsidTr="00F675CF">
        <w:tc>
          <w:tcPr>
            <w:tcW w:w="2514" w:type="dxa"/>
            <w:vMerge/>
          </w:tcPr>
          <w:p w14:paraId="2B973D6D" w14:textId="77777777" w:rsidR="004462A0" w:rsidRPr="008912CF" w:rsidRDefault="004462A0" w:rsidP="00F675CF">
            <w:pPr>
              <w:widowControl w:val="0"/>
              <w:jc w:val="center"/>
              <w:rPr>
                <w:b/>
              </w:rPr>
            </w:pPr>
          </w:p>
        </w:tc>
        <w:tc>
          <w:tcPr>
            <w:tcW w:w="1996" w:type="dxa"/>
            <w:tcBorders>
              <w:top w:val="nil"/>
            </w:tcBorders>
          </w:tcPr>
          <w:p w14:paraId="641C38F7" w14:textId="77777777" w:rsidR="004462A0" w:rsidRPr="008912CF" w:rsidRDefault="00615769" w:rsidP="00F675CF">
            <w:pPr>
              <w:pStyle w:val="EMEANormal"/>
              <w:widowControl w:val="0"/>
              <w:rPr>
                <w:szCs w:val="22"/>
                <w:lang w:val="pt-PT"/>
              </w:rPr>
            </w:pPr>
            <w:r w:rsidRPr="008912CF">
              <w:rPr>
                <w:szCs w:val="22"/>
                <w:lang w:val="pt-PT"/>
              </w:rPr>
              <w:t>Raros</w:t>
            </w:r>
          </w:p>
        </w:tc>
        <w:tc>
          <w:tcPr>
            <w:tcW w:w="4346" w:type="dxa"/>
            <w:tcBorders>
              <w:top w:val="nil"/>
            </w:tcBorders>
          </w:tcPr>
          <w:p w14:paraId="29C248AE" w14:textId="77777777" w:rsidR="004462A0" w:rsidRPr="008912CF" w:rsidRDefault="00615769" w:rsidP="00F675CF">
            <w:pPr>
              <w:pStyle w:val="EMEANormal"/>
              <w:widowControl w:val="0"/>
              <w:rPr>
                <w:szCs w:val="22"/>
                <w:lang w:val="pt-PT"/>
              </w:rPr>
            </w:pPr>
            <w:r>
              <w:rPr>
                <w:szCs w:val="22"/>
                <w:lang w:val="pt-PT"/>
              </w:rPr>
              <w:t>P</w:t>
            </w:r>
            <w:r w:rsidRPr="008912CF">
              <w:rPr>
                <w:szCs w:val="22"/>
                <w:lang w:val="pt-PT"/>
              </w:rPr>
              <w:t>aragem cardíaca</w:t>
            </w:r>
          </w:p>
          <w:p w14:paraId="1D6AF2BC" w14:textId="77777777" w:rsidR="004462A0" w:rsidRPr="008912CF" w:rsidRDefault="004462A0" w:rsidP="00F675CF">
            <w:pPr>
              <w:pStyle w:val="EMEANormal"/>
              <w:widowControl w:val="0"/>
              <w:rPr>
                <w:szCs w:val="22"/>
                <w:lang w:val="pt-PT"/>
              </w:rPr>
            </w:pPr>
          </w:p>
        </w:tc>
      </w:tr>
      <w:tr w:rsidR="00A7162A" w14:paraId="0EFA824A" w14:textId="77777777" w:rsidTr="00F675CF">
        <w:tc>
          <w:tcPr>
            <w:tcW w:w="2514" w:type="dxa"/>
            <w:vMerge w:val="restart"/>
          </w:tcPr>
          <w:p w14:paraId="292C3B29" w14:textId="77777777" w:rsidR="004462A0" w:rsidRPr="008912CF" w:rsidRDefault="00615769" w:rsidP="00F675CF">
            <w:pPr>
              <w:pStyle w:val="EMEANormal"/>
              <w:widowControl w:val="0"/>
              <w:rPr>
                <w:szCs w:val="22"/>
                <w:lang w:val="pt-PT"/>
              </w:rPr>
            </w:pPr>
            <w:r w:rsidRPr="008912CF">
              <w:rPr>
                <w:szCs w:val="22"/>
                <w:lang w:val="pt-PT"/>
              </w:rPr>
              <w:t>Vasculopatias</w:t>
            </w:r>
          </w:p>
        </w:tc>
        <w:tc>
          <w:tcPr>
            <w:tcW w:w="1996" w:type="dxa"/>
            <w:tcBorders>
              <w:bottom w:val="nil"/>
            </w:tcBorders>
          </w:tcPr>
          <w:p w14:paraId="20E64FFD" w14:textId="77777777" w:rsidR="004462A0" w:rsidRPr="008912CF" w:rsidRDefault="00615769" w:rsidP="00F675CF">
            <w:pPr>
              <w:pStyle w:val="EMEANormal"/>
              <w:widowControl w:val="0"/>
              <w:rPr>
                <w:szCs w:val="22"/>
                <w:lang w:val="pt-PT"/>
              </w:rPr>
            </w:pPr>
            <w:r w:rsidRPr="008912CF">
              <w:rPr>
                <w:szCs w:val="22"/>
                <w:lang w:val="pt-PT"/>
              </w:rPr>
              <w:t>Frequentes</w:t>
            </w:r>
          </w:p>
          <w:p w14:paraId="3E976A50" w14:textId="77777777" w:rsidR="004462A0" w:rsidRPr="008912CF" w:rsidRDefault="004462A0" w:rsidP="00F675CF">
            <w:pPr>
              <w:pStyle w:val="EMEANormal"/>
              <w:widowControl w:val="0"/>
              <w:rPr>
                <w:szCs w:val="22"/>
                <w:lang w:val="pt-PT"/>
              </w:rPr>
            </w:pPr>
          </w:p>
        </w:tc>
        <w:tc>
          <w:tcPr>
            <w:tcW w:w="4346" w:type="dxa"/>
            <w:tcBorders>
              <w:bottom w:val="nil"/>
            </w:tcBorders>
          </w:tcPr>
          <w:p w14:paraId="51D64AE4" w14:textId="77777777" w:rsidR="004462A0" w:rsidRPr="008912CF" w:rsidRDefault="00615769" w:rsidP="00F675CF">
            <w:pPr>
              <w:pStyle w:val="EMEANormal"/>
              <w:widowControl w:val="0"/>
              <w:rPr>
                <w:szCs w:val="22"/>
                <w:lang w:val="pt-PT"/>
              </w:rPr>
            </w:pPr>
            <w:r>
              <w:rPr>
                <w:szCs w:val="22"/>
                <w:lang w:val="pt-PT"/>
              </w:rPr>
              <w:t>H</w:t>
            </w:r>
            <w:r w:rsidRPr="008912CF">
              <w:rPr>
                <w:szCs w:val="22"/>
                <w:lang w:val="pt-PT"/>
              </w:rPr>
              <w:t xml:space="preserve">ipertensão, </w:t>
            </w:r>
          </w:p>
          <w:p w14:paraId="2503DFC7" w14:textId="77777777" w:rsidR="004462A0" w:rsidRPr="008912CF" w:rsidRDefault="00615769" w:rsidP="00F675CF">
            <w:pPr>
              <w:pStyle w:val="EMEANormal"/>
              <w:widowControl w:val="0"/>
              <w:rPr>
                <w:szCs w:val="22"/>
                <w:lang w:val="pt-PT"/>
              </w:rPr>
            </w:pPr>
            <w:r w:rsidRPr="008912CF">
              <w:rPr>
                <w:szCs w:val="22"/>
                <w:lang w:val="pt-PT"/>
              </w:rPr>
              <w:t>vasodilatação,</w:t>
            </w:r>
          </w:p>
          <w:p w14:paraId="20AC8BB1" w14:textId="77777777" w:rsidR="004462A0" w:rsidRPr="008912CF" w:rsidRDefault="00615769" w:rsidP="00F675CF">
            <w:pPr>
              <w:pStyle w:val="EMEANormal"/>
              <w:widowControl w:val="0"/>
              <w:rPr>
                <w:szCs w:val="22"/>
                <w:lang w:val="pt-PT"/>
              </w:rPr>
            </w:pPr>
            <w:r w:rsidRPr="008912CF">
              <w:rPr>
                <w:szCs w:val="22"/>
                <w:lang w:val="pt-PT"/>
              </w:rPr>
              <w:t>hematoma</w:t>
            </w:r>
          </w:p>
          <w:p w14:paraId="1677DA33" w14:textId="77777777" w:rsidR="004462A0" w:rsidRPr="008912CF" w:rsidRDefault="004462A0" w:rsidP="00F675CF">
            <w:pPr>
              <w:pStyle w:val="EMEANormal"/>
              <w:widowControl w:val="0"/>
              <w:rPr>
                <w:szCs w:val="22"/>
                <w:lang w:val="pt-PT"/>
              </w:rPr>
            </w:pPr>
          </w:p>
        </w:tc>
      </w:tr>
      <w:tr w:rsidR="00A7162A" w14:paraId="0A04F1E1" w14:textId="77777777" w:rsidTr="00F675CF">
        <w:tc>
          <w:tcPr>
            <w:tcW w:w="2514" w:type="dxa"/>
            <w:vMerge/>
          </w:tcPr>
          <w:p w14:paraId="3B65075B" w14:textId="77777777" w:rsidR="004462A0" w:rsidRPr="008912CF" w:rsidRDefault="004462A0" w:rsidP="00F675CF">
            <w:pPr>
              <w:pStyle w:val="EMEANormal"/>
              <w:widowControl w:val="0"/>
              <w:rPr>
                <w:szCs w:val="22"/>
                <w:lang w:val="pt-PT"/>
              </w:rPr>
            </w:pPr>
          </w:p>
        </w:tc>
        <w:tc>
          <w:tcPr>
            <w:tcW w:w="1996" w:type="dxa"/>
            <w:tcBorders>
              <w:top w:val="nil"/>
            </w:tcBorders>
          </w:tcPr>
          <w:p w14:paraId="2DD809EC" w14:textId="77777777" w:rsidR="004462A0" w:rsidRPr="008912CF" w:rsidRDefault="00615769" w:rsidP="00F675CF">
            <w:pPr>
              <w:pStyle w:val="EMEANormal"/>
              <w:widowControl w:val="0"/>
              <w:rPr>
                <w:szCs w:val="22"/>
                <w:lang w:val="pt-PT"/>
              </w:rPr>
            </w:pPr>
            <w:r w:rsidRPr="008912CF">
              <w:rPr>
                <w:szCs w:val="22"/>
                <w:lang w:val="pt-PT"/>
              </w:rPr>
              <w:t>Pouco frequentes</w:t>
            </w:r>
          </w:p>
          <w:p w14:paraId="540170BC" w14:textId="77777777" w:rsidR="004462A0" w:rsidRPr="008912CF" w:rsidRDefault="004462A0" w:rsidP="00F675CF">
            <w:pPr>
              <w:pStyle w:val="EMEANormal"/>
              <w:widowControl w:val="0"/>
              <w:rPr>
                <w:szCs w:val="22"/>
                <w:lang w:val="pt-PT"/>
              </w:rPr>
            </w:pPr>
          </w:p>
        </w:tc>
        <w:tc>
          <w:tcPr>
            <w:tcW w:w="4346" w:type="dxa"/>
            <w:tcBorders>
              <w:top w:val="nil"/>
            </w:tcBorders>
          </w:tcPr>
          <w:p w14:paraId="564EB982" w14:textId="77777777" w:rsidR="004462A0" w:rsidRPr="008912CF" w:rsidRDefault="00615769" w:rsidP="00F675CF">
            <w:pPr>
              <w:pStyle w:val="EMEANormal"/>
              <w:rPr>
                <w:szCs w:val="22"/>
                <w:lang w:val="pt-PT"/>
              </w:rPr>
            </w:pPr>
            <w:r>
              <w:rPr>
                <w:szCs w:val="22"/>
                <w:lang w:val="pt-PT"/>
              </w:rPr>
              <w:t>A</w:t>
            </w:r>
            <w:r w:rsidRPr="008912CF">
              <w:rPr>
                <w:szCs w:val="22"/>
                <w:lang w:val="pt-PT"/>
              </w:rPr>
              <w:t>neurisma da aorta,</w:t>
            </w:r>
          </w:p>
          <w:p w14:paraId="252F8892" w14:textId="77777777" w:rsidR="004462A0" w:rsidRPr="008912CF" w:rsidRDefault="00615769" w:rsidP="00F675CF">
            <w:pPr>
              <w:pStyle w:val="EMEANormal"/>
              <w:rPr>
                <w:szCs w:val="22"/>
                <w:lang w:val="pt-PT"/>
              </w:rPr>
            </w:pPr>
            <w:r w:rsidRPr="008912CF">
              <w:rPr>
                <w:szCs w:val="22"/>
                <w:lang w:val="pt-PT"/>
              </w:rPr>
              <w:t>oclusão vascular arterial,</w:t>
            </w:r>
          </w:p>
          <w:p w14:paraId="2B970270" w14:textId="77777777" w:rsidR="004462A0" w:rsidRPr="008912CF" w:rsidRDefault="00615769" w:rsidP="00F675CF">
            <w:pPr>
              <w:pStyle w:val="EMEANormal"/>
              <w:rPr>
                <w:szCs w:val="22"/>
                <w:lang w:val="pt-PT"/>
              </w:rPr>
            </w:pPr>
            <w:r w:rsidRPr="008912CF">
              <w:rPr>
                <w:szCs w:val="22"/>
                <w:lang w:val="pt-PT"/>
              </w:rPr>
              <w:t>tromboflebite</w:t>
            </w:r>
          </w:p>
          <w:p w14:paraId="5B453B68" w14:textId="77777777" w:rsidR="004462A0" w:rsidRPr="008912CF" w:rsidRDefault="004462A0" w:rsidP="00F675CF">
            <w:pPr>
              <w:pStyle w:val="EMEANormal"/>
              <w:rPr>
                <w:szCs w:val="22"/>
                <w:lang w:val="pt-PT"/>
              </w:rPr>
            </w:pPr>
          </w:p>
        </w:tc>
      </w:tr>
      <w:tr w:rsidR="00A7162A" w14:paraId="71907009" w14:textId="77777777" w:rsidTr="00DF5632">
        <w:tc>
          <w:tcPr>
            <w:tcW w:w="2514" w:type="dxa"/>
            <w:vMerge w:val="restart"/>
          </w:tcPr>
          <w:p w14:paraId="7AC00A32" w14:textId="77777777" w:rsidR="004462A0" w:rsidRPr="008912CF" w:rsidRDefault="00615769" w:rsidP="00F675CF">
            <w:pPr>
              <w:pStyle w:val="EMEANormal"/>
              <w:widowControl w:val="0"/>
              <w:rPr>
                <w:szCs w:val="22"/>
                <w:lang w:val="pt-PT"/>
              </w:rPr>
            </w:pPr>
            <w:r w:rsidRPr="008912CF">
              <w:rPr>
                <w:szCs w:val="22"/>
                <w:lang w:val="pt-PT"/>
              </w:rPr>
              <w:t>Doenças respiratórias, torácicas e do mediastino *</w:t>
            </w:r>
          </w:p>
        </w:tc>
        <w:tc>
          <w:tcPr>
            <w:tcW w:w="1996" w:type="dxa"/>
            <w:tcBorders>
              <w:bottom w:val="nil"/>
            </w:tcBorders>
          </w:tcPr>
          <w:p w14:paraId="3454089D" w14:textId="77777777" w:rsidR="004462A0" w:rsidRPr="008912CF" w:rsidRDefault="00615769" w:rsidP="00F675CF">
            <w:pPr>
              <w:pStyle w:val="EMEANormal"/>
              <w:widowControl w:val="0"/>
              <w:rPr>
                <w:szCs w:val="22"/>
                <w:lang w:val="pt-PT"/>
              </w:rPr>
            </w:pPr>
            <w:r w:rsidRPr="008912CF">
              <w:rPr>
                <w:szCs w:val="22"/>
                <w:lang w:val="pt-PT"/>
              </w:rPr>
              <w:t>Frequentes</w:t>
            </w:r>
          </w:p>
          <w:p w14:paraId="16DB50F8" w14:textId="77777777" w:rsidR="004462A0" w:rsidRPr="008912CF" w:rsidRDefault="004462A0" w:rsidP="00F675CF">
            <w:pPr>
              <w:pStyle w:val="EMEANormal"/>
              <w:widowControl w:val="0"/>
              <w:rPr>
                <w:szCs w:val="22"/>
                <w:lang w:val="pt-PT"/>
              </w:rPr>
            </w:pPr>
          </w:p>
        </w:tc>
        <w:tc>
          <w:tcPr>
            <w:tcW w:w="4346" w:type="dxa"/>
            <w:tcBorders>
              <w:bottom w:val="nil"/>
            </w:tcBorders>
          </w:tcPr>
          <w:p w14:paraId="76BDFD14" w14:textId="77777777" w:rsidR="004462A0" w:rsidRPr="008912CF" w:rsidRDefault="00615769" w:rsidP="00F675CF">
            <w:pPr>
              <w:pStyle w:val="EMEANormal"/>
              <w:widowControl w:val="0"/>
              <w:rPr>
                <w:szCs w:val="22"/>
                <w:lang w:val="pt-PT"/>
              </w:rPr>
            </w:pPr>
            <w:r>
              <w:rPr>
                <w:szCs w:val="22"/>
                <w:lang w:val="pt-PT"/>
              </w:rPr>
              <w:t>A</w:t>
            </w:r>
            <w:r w:rsidRPr="008912CF">
              <w:rPr>
                <w:szCs w:val="22"/>
                <w:lang w:val="pt-PT"/>
              </w:rPr>
              <w:t xml:space="preserve">sma, </w:t>
            </w:r>
          </w:p>
          <w:p w14:paraId="71A2D0F0" w14:textId="77777777" w:rsidR="004462A0" w:rsidRPr="008912CF" w:rsidRDefault="00615769" w:rsidP="00F675CF">
            <w:pPr>
              <w:pStyle w:val="EMEANormal"/>
              <w:widowControl w:val="0"/>
              <w:rPr>
                <w:szCs w:val="22"/>
                <w:lang w:val="pt-PT"/>
              </w:rPr>
            </w:pPr>
            <w:r w:rsidRPr="008912CF">
              <w:rPr>
                <w:szCs w:val="22"/>
                <w:lang w:val="pt-PT"/>
              </w:rPr>
              <w:t>dispneia,</w:t>
            </w:r>
          </w:p>
          <w:p w14:paraId="0E367DF4" w14:textId="77777777" w:rsidR="004462A0" w:rsidRPr="008912CF" w:rsidRDefault="00615769" w:rsidP="00F675CF">
            <w:pPr>
              <w:pStyle w:val="EMEANormal"/>
              <w:widowControl w:val="0"/>
              <w:rPr>
                <w:szCs w:val="22"/>
                <w:lang w:val="pt-PT"/>
              </w:rPr>
            </w:pPr>
            <w:r w:rsidRPr="008912CF">
              <w:rPr>
                <w:szCs w:val="22"/>
                <w:lang w:val="pt-PT"/>
              </w:rPr>
              <w:t>tosse</w:t>
            </w:r>
          </w:p>
          <w:p w14:paraId="5B8AA95E" w14:textId="77777777" w:rsidR="004462A0" w:rsidRPr="008912CF" w:rsidRDefault="004462A0" w:rsidP="00F675CF">
            <w:pPr>
              <w:pStyle w:val="EMEANormal"/>
              <w:widowControl w:val="0"/>
              <w:rPr>
                <w:szCs w:val="22"/>
                <w:lang w:val="pt-PT"/>
              </w:rPr>
            </w:pPr>
          </w:p>
        </w:tc>
      </w:tr>
      <w:tr w:rsidR="00A7162A" w14:paraId="227FB6A0" w14:textId="77777777" w:rsidTr="00DF5632">
        <w:tc>
          <w:tcPr>
            <w:tcW w:w="2514" w:type="dxa"/>
            <w:vMerge/>
          </w:tcPr>
          <w:p w14:paraId="4D26F0E5" w14:textId="77777777" w:rsidR="004462A0" w:rsidRPr="008912CF" w:rsidRDefault="004462A0" w:rsidP="00F675CF">
            <w:pPr>
              <w:widowControl w:val="0"/>
              <w:jc w:val="center"/>
              <w:rPr>
                <w:b/>
              </w:rPr>
            </w:pPr>
          </w:p>
        </w:tc>
        <w:tc>
          <w:tcPr>
            <w:tcW w:w="1996" w:type="dxa"/>
            <w:tcBorders>
              <w:top w:val="nil"/>
              <w:bottom w:val="nil"/>
            </w:tcBorders>
          </w:tcPr>
          <w:p w14:paraId="69F4631F" w14:textId="77777777" w:rsidR="004462A0" w:rsidRPr="008912CF" w:rsidRDefault="00615769" w:rsidP="00F675CF">
            <w:pPr>
              <w:pStyle w:val="EMEANormal"/>
              <w:widowControl w:val="0"/>
              <w:rPr>
                <w:szCs w:val="22"/>
                <w:lang w:val="pt-PT"/>
              </w:rPr>
            </w:pPr>
            <w:r w:rsidRPr="008912CF">
              <w:rPr>
                <w:szCs w:val="22"/>
                <w:lang w:val="pt-PT"/>
              </w:rPr>
              <w:t>Pouco frequentes</w:t>
            </w:r>
          </w:p>
          <w:p w14:paraId="5F8B859C" w14:textId="77777777" w:rsidR="004462A0" w:rsidRPr="008912CF" w:rsidRDefault="004462A0" w:rsidP="00F675CF">
            <w:pPr>
              <w:pStyle w:val="EMEANormal"/>
              <w:widowControl w:val="0"/>
              <w:rPr>
                <w:szCs w:val="22"/>
                <w:lang w:val="pt-PT"/>
              </w:rPr>
            </w:pPr>
          </w:p>
        </w:tc>
        <w:tc>
          <w:tcPr>
            <w:tcW w:w="4346" w:type="dxa"/>
            <w:tcBorders>
              <w:top w:val="nil"/>
              <w:bottom w:val="nil"/>
            </w:tcBorders>
          </w:tcPr>
          <w:p w14:paraId="06919A5A" w14:textId="77777777" w:rsidR="004462A0" w:rsidRPr="008912CF" w:rsidRDefault="00615769" w:rsidP="00F675CF">
            <w:pPr>
              <w:pStyle w:val="EMEANormal"/>
              <w:widowControl w:val="0"/>
              <w:rPr>
                <w:szCs w:val="22"/>
                <w:lang w:val="pt-PT"/>
              </w:rPr>
            </w:pPr>
            <w:r>
              <w:rPr>
                <w:szCs w:val="22"/>
                <w:lang w:val="pt-PT"/>
              </w:rPr>
              <w:t>E</w:t>
            </w:r>
            <w:r w:rsidRPr="008912CF">
              <w:rPr>
                <w:szCs w:val="22"/>
                <w:lang w:val="pt-PT"/>
              </w:rPr>
              <w:t>mboli</w:t>
            </w:r>
            <w:r w:rsidR="003E3AA9">
              <w:rPr>
                <w:szCs w:val="22"/>
                <w:lang w:val="pt-PT"/>
              </w:rPr>
              <w:t>a</w:t>
            </w:r>
            <w:r w:rsidRPr="008912CF">
              <w:rPr>
                <w:szCs w:val="22"/>
                <w:lang w:val="pt-PT"/>
              </w:rPr>
              <w:t xml:space="preserve"> pulmonar</w:t>
            </w:r>
            <w:r w:rsidRPr="008912CF">
              <w:rPr>
                <w:szCs w:val="22"/>
                <w:vertAlign w:val="superscript"/>
                <w:lang w:val="pt-PT"/>
              </w:rPr>
              <w:t>1)</w:t>
            </w:r>
            <w:r w:rsidRPr="008912CF">
              <w:rPr>
                <w:szCs w:val="22"/>
                <w:lang w:val="pt-PT"/>
              </w:rPr>
              <w:t>,</w:t>
            </w:r>
          </w:p>
          <w:p w14:paraId="1ADB18A8" w14:textId="77777777" w:rsidR="004462A0" w:rsidRPr="008912CF" w:rsidRDefault="00615769" w:rsidP="00F675CF">
            <w:pPr>
              <w:pStyle w:val="EMEANormal"/>
              <w:widowControl w:val="0"/>
              <w:rPr>
                <w:szCs w:val="22"/>
                <w:lang w:val="pt-PT"/>
              </w:rPr>
            </w:pPr>
            <w:r w:rsidRPr="008912CF">
              <w:rPr>
                <w:szCs w:val="22"/>
                <w:lang w:val="pt-PT"/>
              </w:rPr>
              <w:t xml:space="preserve">doença pulmonar intersticial, </w:t>
            </w:r>
          </w:p>
          <w:p w14:paraId="624DB414" w14:textId="77777777" w:rsidR="004462A0" w:rsidRPr="008912CF" w:rsidRDefault="00615769" w:rsidP="00F675CF">
            <w:pPr>
              <w:pStyle w:val="EMEANormal"/>
              <w:widowControl w:val="0"/>
              <w:rPr>
                <w:szCs w:val="22"/>
                <w:lang w:val="pt-PT"/>
              </w:rPr>
            </w:pPr>
            <w:r w:rsidRPr="008912CF">
              <w:rPr>
                <w:szCs w:val="22"/>
                <w:lang w:val="pt-PT"/>
              </w:rPr>
              <w:t xml:space="preserve">doença pulmonar </w:t>
            </w:r>
            <w:r w:rsidR="00D9472B" w:rsidRPr="008912CF">
              <w:rPr>
                <w:szCs w:val="22"/>
                <w:lang w:val="pt-PT"/>
              </w:rPr>
              <w:t xml:space="preserve">obstrutiva </w:t>
            </w:r>
            <w:r w:rsidRPr="008912CF">
              <w:rPr>
                <w:szCs w:val="22"/>
                <w:lang w:val="pt-PT"/>
              </w:rPr>
              <w:t xml:space="preserve">crónica, </w:t>
            </w:r>
          </w:p>
          <w:p w14:paraId="5A02554E" w14:textId="77777777" w:rsidR="004462A0" w:rsidRPr="008912CF" w:rsidRDefault="00615769" w:rsidP="00F675CF">
            <w:pPr>
              <w:pStyle w:val="EMEANormal"/>
              <w:widowControl w:val="0"/>
              <w:rPr>
                <w:szCs w:val="22"/>
                <w:lang w:val="pt-PT"/>
              </w:rPr>
            </w:pPr>
            <w:r w:rsidRPr="008912CF">
              <w:rPr>
                <w:szCs w:val="22"/>
                <w:lang w:val="pt-PT"/>
              </w:rPr>
              <w:t>pneumonite,</w:t>
            </w:r>
          </w:p>
          <w:p w14:paraId="268F7CB6" w14:textId="77777777" w:rsidR="004462A0" w:rsidRPr="008912CF" w:rsidRDefault="00615769" w:rsidP="00F675CF">
            <w:pPr>
              <w:pStyle w:val="EMEANormal"/>
              <w:widowControl w:val="0"/>
              <w:rPr>
                <w:szCs w:val="22"/>
                <w:vertAlign w:val="superscript"/>
                <w:lang w:val="pt-PT"/>
              </w:rPr>
            </w:pPr>
            <w:r w:rsidRPr="008912CF">
              <w:rPr>
                <w:szCs w:val="22"/>
                <w:lang w:val="pt-PT"/>
              </w:rPr>
              <w:t>derrame pleural</w:t>
            </w:r>
            <w:r w:rsidRPr="008912CF">
              <w:rPr>
                <w:szCs w:val="22"/>
                <w:vertAlign w:val="superscript"/>
                <w:lang w:val="pt-PT"/>
              </w:rPr>
              <w:t>1)</w:t>
            </w:r>
          </w:p>
          <w:p w14:paraId="69B010C1" w14:textId="77777777" w:rsidR="004462A0" w:rsidRPr="008912CF" w:rsidRDefault="004462A0" w:rsidP="00F675CF">
            <w:pPr>
              <w:pStyle w:val="EMEANormal"/>
              <w:widowControl w:val="0"/>
              <w:rPr>
                <w:szCs w:val="22"/>
                <w:lang w:val="pt-PT"/>
              </w:rPr>
            </w:pPr>
          </w:p>
        </w:tc>
      </w:tr>
      <w:tr w:rsidR="00A7162A" w14:paraId="2D9AEB1B" w14:textId="77777777" w:rsidTr="00F675CF">
        <w:tc>
          <w:tcPr>
            <w:tcW w:w="2514" w:type="dxa"/>
            <w:vMerge/>
          </w:tcPr>
          <w:p w14:paraId="188DCAEE" w14:textId="77777777" w:rsidR="004462A0" w:rsidRPr="008912CF" w:rsidRDefault="004462A0" w:rsidP="00F675CF">
            <w:pPr>
              <w:widowControl w:val="0"/>
              <w:jc w:val="center"/>
              <w:rPr>
                <w:b/>
              </w:rPr>
            </w:pPr>
          </w:p>
        </w:tc>
        <w:tc>
          <w:tcPr>
            <w:tcW w:w="1996" w:type="dxa"/>
            <w:tcBorders>
              <w:top w:val="nil"/>
            </w:tcBorders>
          </w:tcPr>
          <w:p w14:paraId="12AEC5C9" w14:textId="77777777" w:rsidR="004462A0" w:rsidRPr="008912CF" w:rsidRDefault="00615769" w:rsidP="00F675CF">
            <w:pPr>
              <w:pStyle w:val="EMEANormal"/>
              <w:widowControl w:val="0"/>
              <w:rPr>
                <w:szCs w:val="22"/>
                <w:lang w:val="pt-PT"/>
              </w:rPr>
            </w:pPr>
            <w:r w:rsidRPr="008912CF">
              <w:rPr>
                <w:szCs w:val="22"/>
                <w:lang w:val="pt-PT"/>
              </w:rPr>
              <w:t>Raros</w:t>
            </w:r>
          </w:p>
        </w:tc>
        <w:tc>
          <w:tcPr>
            <w:tcW w:w="4346" w:type="dxa"/>
            <w:tcBorders>
              <w:top w:val="nil"/>
            </w:tcBorders>
          </w:tcPr>
          <w:p w14:paraId="55E661C5" w14:textId="77777777" w:rsidR="004462A0" w:rsidRPr="008912CF" w:rsidRDefault="00615769" w:rsidP="00F675CF">
            <w:pPr>
              <w:pStyle w:val="EMEANormal"/>
              <w:widowControl w:val="0"/>
              <w:rPr>
                <w:szCs w:val="22"/>
                <w:vertAlign w:val="superscript"/>
                <w:lang w:val="pt-PT"/>
              </w:rPr>
            </w:pPr>
            <w:r>
              <w:rPr>
                <w:szCs w:val="22"/>
                <w:lang w:val="pt-PT"/>
              </w:rPr>
              <w:t>F</w:t>
            </w:r>
            <w:r w:rsidRPr="008912CF">
              <w:rPr>
                <w:szCs w:val="22"/>
                <w:lang w:val="pt-PT"/>
              </w:rPr>
              <w:t>ibrose pulmonar</w:t>
            </w:r>
            <w:r w:rsidRPr="008912CF">
              <w:rPr>
                <w:szCs w:val="22"/>
                <w:vertAlign w:val="superscript"/>
                <w:lang w:val="pt-PT"/>
              </w:rPr>
              <w:t>1)</w:t>
            </w:r>
          </w:p>
          <w:p w14:paraId="0241B3CA" w14:textId="77777777" w:rsidR="004462A0" w:rsidRPr="008912CF" w:rsidRDefault="004462A0" w:rsidP="00F675CF">
            <w:pPr>
              <w:pStyle w:val="EMEANormal"/>
              <w:widowControl w:val="0"/>
              <w:rPr>
                <w:szCs w:val="22"/>
                <w:lang w:val="pt-PT"/>
              </w:rPr>
            </w:pPr>
          </w:p>
        </w:tc>
      </w:tr>
      <w:tr w:rsidR="00A7162A" w14:paraId="6F22D3E0" w14:textId="77777777" w:rsidTr="00F675CF">
        <w:tc>
          <w:tcPr>
            <w:tcW w:w="2514" w:type="dxa"/>
            <w:vMerge w:val="restart"/>
          </w:tcPr>
          <w:p w14:paraId="2B3A306C" w14:textId="77777777" w:rsidR="004462A0" w:rsidRPr="008912CF" w:rsidRDefault="00615769" w:rsidP="00F675CF">
            <w:pPr>
              <w:pStyle w:val="EMEANormal"/>
              <w:widowControl w:val="0"/>
              <w:rPr>
                <w:szCs w:val="22"/>
                <w:lang w:val="pt-PT"/>
              </w:rPr>
            </w:pPr>
            <w:r w:rsidRPr="008912CF">
              <w:rPr>
                <w:szCs w:val="22"/>
                <w:lang w:val="pt-PT"/>
              </w:rPr>
              <w:t>Doenças gastrointestinais</w:t>
            </w:r>
          </w:p>
        </w:tc>
        <w:tc>
          <w:tcPr>
            <w:tcW w:w="1996" w:type="dxa"/>
            <w:tcBorders>
              <w:bottom w:val="nil"/>
            </w:tcBorders>
          </w:tcPr>
          <w:p w14:paraId="72605FE5" w14:textId="77777777" w:rsidR="004462A0" w:rsidRPr="008912CF" w:rsidRDefault="00615769" w:rsidP="00F675CF">
            <w:pPr>
              <w:pStyle w:val="EMEANormal"/>
              <w:widowControl w:val="0"/>
              <w:rPr>
                <w:szCs w:val="22"/>
                <w:lang w:val="pt-PT"/>
              </w:rPr>
            </w:pPr>
            <w:r w:rsidRPr="008912CF">
              <w:rPr>
                <w:szCs w:val="22"/>
                <w:lang w:val="pt-PT"/>
              </w:rPr>
              <w:t xml:space="preserve">Muito frequentes </w:t>
            </w:r>
          </w:p>
        </w:tc>
        <w:tc>
          <w:tcPr>
            <w:tcW w:w="4346" w:type="dxa"/>
            <w:tcBorders>
              <w:bottom w:val="nil"/>
            </w:tcBorders>
          </w:tcPr>
          <w:p w14:paraId="764BCB06" w14:textId="77777777" w:rsidR="004462A0" w:rsidRPr="008912CF" w:rsidRDefault="00615769" w:rsidP="00F675CF">
            <w:pPr>
              <w:pStyle w:val="EMEANormal"/>
              <w:widowControl w:val="0"/>
              <w:rPr>
                <w:szCs w:val="22"/>
                <w:lang w:val="pt-PT"/>
              </w:rPr>
            </w:pPr>
            <w:r>
              <w:rPr>
                <w:szCs w:val="22"/>
                <w:lang w:val="pt-PT"/>
              </w:rPr>
              <w:t>D</w:t>
            </w:r>
            <w:r w:rsidRPr="008912CF">
              <w:rPr>
                <w:szCs w:val="22"/>
                <w:lang w:val="pt-PT"/>
              </w:rPr>
              <w:t xml:space="preserve">or abdominal, </w:t>
            </w:r>
          </w:p>
          <w:p w14:paraId="54B8A8AE" w14:textId="77777777" w:rsidR="004462A0" w:rsidRPr="008912CF" w:rsidRDefault="00615769" w:rsidP="00F675CF">
            <w:pPr>
              <w:pStyle w:val="EMEANormal"/>
              <w:widowControl w:val="0"/>
              <w:rPr>
                <w:szCs w:val="22"/>
                <w:lang w:val="pt-PT"/>
              </w:rPr>
            </w:pPr>
            <w:r w:rsidRPr="008912CF">
              <w:rPr>
                <w:szCs w:val="22"/>
                <w:lang w:val="pt-PT"/>
              </w:rPr>
              <w:t>náuseas e vómitos</w:t>
            </w:r>
          </w:p>
          <w:p w14:paraId="4B2BECA8" w14:textId="77777777" w:rsidR="004462A0" w:rsidRPr="008912CF" w:rsidRDefault="004462A0" w:rsidP="00F675CF">
            <w:pPr>
              <w:pStyle w:val="EMEANormal"/>
              <w:widowControl w:val="0"/>
              <w:rPr>
                <w:szCs w:val="22"/>
                <w:lang w:val="pt-PT"/>
              </w:rPr>
            </w:pPr>
          </w:p>
        </w:tc>
      </w:tr>
      <w:tr w:rsidR="00A7162A" w14:paraId="5A96E067" w14:textId="77777777" w:rsidTr="00F675CF">
        <w:tc>
          <w:tcPr>
            <w:tcW w:w="2514" w:type="dxa"/>
            <w:vMerge/>
          </w:tcPr>
          <w:p w14:paraId="26273954" w14:textId="77777777" w:rsidR="004462A0" w:rsidRPr="008912CF" w:rsidRDefault="004462A0" w:rsidP="00F675CF">
            <w:pPr>
              <w:widowControl w:val="0"/>
              <w:jc w:val="center"/>
              <w:rPr>
                <w:b/>
              </w:rPr>
            </w:pPr>
          </w:p>
        </w:tc>
        <w:tc>
          <w:tcPr>
            <w:tcW w:w="1996" w:type="dxa"/>
            <w:tcBorders>
              <w:top w:val="nil"/>
              <w:bottom w:val="nil"/>
            </w:tcBorders>
          </w:tcPr>
          <w:p w14:paraId="49CF1638" w14:textId="77777777" w:rsidR="004462A0" w:rsidRPr="008912CF" w:rsidRDefault="00615769" w:rsidP="00F675CF">
            <w:pPr>
              <w:pStyle w:val="EMEANormal"/>
              <w:widowControl w:val="0"/>
              <w:rPr>
                <w:szCs w:val="22"/>
                <w:lang w:val="pt-PT"/>
              </w:rPr>
            </w:pPr>
            <w:r w:rsidRPr="008912CF">
              <w:rPr>
                <w:szCs w:val="22"/>
                <w:lang w:val="pt-PT"/>
              </w:rPr>
              <w:t>Frequentes</w:t>
            </w:r>
          </w:p>
          <w:p w14:paraId="28943FDB" w14:textId="77777777" w:rsidR="004462A0" w:rsidRPr="008912CF" w:rsidRDefault="004462A0" w:rsidP="00F675CF">
            <w:pPr>
              <w:pStyle w:val="EMEANormal"/>
              <w:widowControl w:val="0"/>
              <w:rPr>
                <w:szCs w:val="22"/>
                <w:lang w:val="pt-PT"/>
              </w:rPr>
            </w:pPr>
          </w:p>
        </w:tc>
        <w:tc>
          <w:tcPr>
            <w:tcW w:w="4346" w:type="dxa"/>
            <w:tcBorders>
              <w:top w:val="nil"/>
              <w:bottom w:val="nil"/>
            </w:tcBorders>
          </w:tcPr>
          <w:p w14:paraId="5A628268" w14:textId="77777777" w:rsidR="004462A0" w:rsidRPr="008912CF" w:rsidRDefault="00615769" w:rsidP="00F675CF">
            <w:pPr>
              <w:pStyle w:val="EMEANormal"/>
              <w:widowControl w:val="0"/>
              <w:rPr>
                <w:szCs w:val="22"/>
                <w:lang w:val="pt-PT"/>
              </w:rPr>
            </w:pPr>
            <w:r>
              <w:rPr>
                <w:szCs w:val="22"/>
                <w:lang w:val="pt-PT"/>
              </w:rPr>
              <w:t>H</w:t>
            </w:r>
            <w:r w:rsidRPr="008912CF">
              <w:rPr>
                <w:szCs w:val="22"/>
                <w:lang w:val="pt-PT"/>
              </w:rPr>
              <w:t xml:space="preserve">emorragia gastrointestinal, </w:t>
            </w:r>
          </w:p>
          <w:p w14:paraId="1031C56C" w14:textId="77777777" w:rsidR="004462A0" w:rsidRPr="008912CF" w:rsidRDefault="00615769" w:rsidP="00F675CF">
            <w:pPr>
              <w:pStyle w:val="EMEANormal"/>
              <w:widowControl w:val="0"/>
              <w:rPr>
                <w:szCs w:val="22"/>
                <w:lang w:val="pt-PT"/>
              </w:rPr>
            </w:pPr>
            <w:r w:rsidRPr="008912CF">
              <w:rPr>
                <w:szCs w:val="22"/>
                <w:lang w:val="pt-PT"/>
              </w:rPr>
              <w:t xml:space="preserve">dispepsia, </w:t>
            </w:r>
          </w:p>
          <w:p w14:paraId="606F7A74" w14:textId="77777777" w:rsidR="004462A0" w:rsidRPr="008912CF" w:rsidRDefault="00615769" w:rsidP="00F675CF">
            <w:pPr>
              <w:pStyle w:val="EMEANormal"/>
              <w:widowControl w:val="0"/>
              <w:rPr>
                <w:szCs w:val="22"/>
                <w:lang w:val="pt-PT"/>
              </w:rPr>
            </w:pPr>
            <w:r w:rsidRPr="008912CF">
              <w:rPr>
                <w:szCs w:val="22"/>
                <w:lang w:val="pt-PT"/>
              </w:rPr>
              <w:t>doença de refluxo gastroesofágico,</w:t>
            </w:r>
          </w:p>
          <w:p w14:paraId="2FB99327" w14:textId="77777777" w:rsidR="004462A0" w:rsidRPr="008912CF" w:rsidRDefault="00615769" w:rsidP="00F675CF">
            <w:pPr>
              <w:pStyle w:val="EMEANormal"/>
              <w:widowControl w:val="0"/>
              <w:rPr>
                <w:szCs w:val="22"/>
                <w:lang w:val="pt-PT"/>
              </w:rPr>
            </w:pPr>
            <w:r w:rsidRPr="008912CF">
              <w:rPr>
                <w:szCs w:val="22"/>
                <w:lang w:val="pt-PT"/>
              </w:rPr>
              <w:t>síndrome de sicca</w:t>
            </w:r>
          </w:p>
          <w:p w14:paraId="7D4EFEEE" w14:textId="77777777" w:rsidR="004462A0" w:rsidRPr="008912CF" w:rsidRDefault="004462A0" w:rsidP="00F675CF">
            <w:pPr>
              <w:pStyle w:val="EMEANormal"/>
              <w:widowControl w:val="0"/>
              <w:rPr>
                <w:szCs w:val="22"/>
                <w:lang w:val="pt-PT"/>
              </w:rPr>
            </w:pPr>
          </w:p>
        </w:tc>
      </w:tr>
      <w:tr w:rsidR="00A7162A" w14:paraId="7287DECB" w14:textId="77777777" w:rsidTr="00F675CF">
        <w:tc>
          <w:tcPr>
            <w:tcW w:w="2514" w:type="dxa"/>
            <w:vMerge/>
            <w:tcBorders>
              <w:bottom w:val="nil"/>
            </w:tcBorders>
          </w:tcPr>
          <w:p w14:paraId="692BB7A4" w14:textId="77777777" w:rsidR="004462A0" w:rsidRPr="008912CF" w:rsidRDefault="004462A0" w:rsidP="00F675CF">
            <w:pPr>
              <w:widowControl w:val="0"/>
              <w:jc w:val="center"/>
              <w:rPr>
                <w:b/>
              </w:rPr>
            </w:pPr>
          </w:p>
        </w:tc>
        <w:tc>
          <w:tcPr>
            <w:tcW w:w="1996" w:type="dxa"/>
            <w:tcBorders>
              <w:top w:val="nil"/>
              <w:bottom w:val="nil"/>
            </w:tcBorders>
          </w:tcPr>
          <w:p w14:paraId="4D3101D1" w14:textId="77777777" w:rsidR="004462A0" w:rsidRPr="008912CF" w:rsidRDefault="00615769" w:rsidP="00F675CF">
            <w:pPr>
              <w:pStyle w:val="EMEANormal"/>
              <w:widowControl w:val="0"/>
              <w:rPr>
                <w:szCs w:val="22"/>
                <w:lang w:val="pt-PT"/>
              </w:rPr>
            </w:pPr>
            <w:r w:rsidRPr="008912CF">
              <w:rPr>
                <w:szCs w:val="22"/>
                <w:lang w:val="pt-PT"/>
              </w:rPr>
              <w:t>Pouco frequentes</w:t>
            </w:r>
          </w:p>
          <w:p w14:paraId="6C1F96B3" w14:textId="77777777" w:rsidR="004462A0" w:rsidRPr="008912CF" w:rsidRDefault="004462A0" w:rsidP="00F675CF">
            <w:pPr>
              <w:pStyle w:val="EMEANormal"/>
              <w:widowControl w:val="0"/>
              <w:rPr>
                <w:szCs w:val="22"/>
                <w:lang w:val="pt-PT"/>
              </w:rPr>
            </w:pPr>
          </w:p>
        </w:tc>
        <w:tc>
          <w:tcPr>
            <w:tcW w:w="4346" w:type="dxa"/>
            <w:tcBorders>
              <w:top w:val="nil"/>
              <w:bottom w:val="nil"/>
            </w:tcBorders>
          </w:tcPr>
          <w:p w14:paraId="12E540D3" w14:textId="77777777" w:rsidR="004462A0" w:rsidRPr="008912CF" w:rsidRDefault="00615769" w:rsidP="00F675CF">
            <w:pPr>
              <w:pStyle w:val="EMEANormal"/>
              <w:widowControl w:val="0"/>
              <w:rPr>
                <w:szCs w:val="22"/>
                <w:lang w:val="pt-PT"/>
              </w:rPr>
            </w:pPr>
            <w:r>
              <w:rPr>
                <w:szCs w:val="22"/>
                <w:lang w:val="pt-PT"/>
              </w:rPr>
              <w:t>P</w:t>
            </w:r>
            <w:r w:rsidRPr="008912CF">
              <w:rPr>
                <w:szCs w:val="22"/>
                <w:lang w:val="pt-PT"/>
              </w:rPr>
              <w:t xml:space="preserve">ancreatite, </w:t>
            </w:r>
          </w:p>
          <w:p w14:paraId="7FF4926D" w14:textId="77777777" w:rsidR="004462A0" w:rsidRPr="008912CF" w:rsidRDefault="00615769" w:rsidP="00F675CF">
            <w:pPr>
              <w:pStyle w:val="EMEANormal"/>
              <w:widowControl w:val="0"/>
              <w:rPr>
                <w:szCs w:val="22"/>
                <w:lang w:val="pt-PT"/>
              </w:rPr>
            </w:pPr>
            <w:r w:rsidRPr="008912CF">
              <w:rPr>
                <w:szCs w:val="22"/>
                <w:lang w:val="pt-PT"/>
              </w:rPr>
              <w:t>disfagia,</w:t>
            </w:r>
          </w:p>
          <w:p w14:paraId="64A24D24" w14:textId="77777777" w:rsidR="004462A0" w:rsidRPr="008912CF" w:rsidRDefault="00615769" w:rsidP="00F675CF">
            <w:pPr>
              <w:pStyle w:val="EMEANormal"/>
              <w:widowControl w:val="0"/>
              <w:rPr>
                <w:szCs w:val="22"/>
                <w:lang w:val="pt-PT"/>
              </w:rPr>
            </w:pPr>
            <w:r w:rsidRPr="008912CF">
              <w:rPr>
                <w:szCs w:val="22"/>
                <w:lang w:val="pt-PT"/>
              </w:rPr>
              <w:t>edema da face</w:t>
            </w:r>
          </w:p>
          <w:p w14:paraId="41764D7F" w14:textId="77777777" w:rsidR="004462A0" w:rsidRPr="008912CF" w:rsidRDefault="004462A0" w:rsidP="00F675CF">
            <w:pPr>
              <w:pStyle w:val="EMEANormal"/>
              <w:widowControl w:val="0"/>
              <w:rPr>
                <w:szCs w:val="22"/>
                <w:lang w:val="pt-PT"/>
              </w:rPr>
            </w:pPr>
          </w:p>
        </w:tc>
      </w:tr>
      <w:tr w:rsidR="00A7162A" w14:paraId="6988EAE1" w14:textId="77777777" w:rsidTr="00F675CF">
        <w:tc>
          <w:tcPr>
            <w:tcW w:w="2514" w:type="dxa"/>
            <w:tcBorders>
              <w:top w:val="nil"/>
            </w:tcBorders>
          </w:tcPr>
          <w:p w14:paraId="617B13E5" w14:textId="77777777" w:rsidR="004462A0" w:rsidRPr="008912CF" w:rsidRDefault="004462A0" w:rsidP="00F675CF">
            <w:pPr>
              <w:widowControl w:val="0"/>
              <w:jc w:val="center"/>
              <w:rPr>
                <w:b/>
              </w:rPr>
            </w:pPr>
          </w:p>
        </w:tc>
        <w:tc>
          <w:tcPr>
            <w:tcW w:w="1996" w:type="dxa"/>
            <w:tcBorders>
              <w:top w:val="nil"/>
            </w:tcBorders>
          </w:tcPr>
          <w:p w14:paraId="49B725A9" w14:textId="77777777" w:rsidR="004462A0" w:rsidRPr="008912CF" w:rsidRDefault="00615769" w:rsidP="00F675CF">
            <w:pPr>
              <w:pStyle w:val="EMEANormal"/>
              <w:widowControl w:val="0"/>
              <w:rPr>
                <w:szCs w:val="22"/>
                <w:lang w:val="pt-PT"/>
              </w:rPr>
            </w:pPr>
            <w:r w:rsidRPr="008912CF">
              <w:rPr>
                <w:szCs w:val="22"/>
                <w:lang w:val="pt-PT"/>
              </w:rPr>
              <w:t>Raros</w:t>
            </w:r>
          </w:p>
        </w:tc>
        <w:tc>
          <w:tcPr>
            <w:tcW w:w="4346" w:type="dxa"/>
            <w:tcBorders>
              <w:top w:val="nil"/>
            </w:tcBorders>
          </w:tcPr>
          <w:p w14:paraId="122CACB3" w14:textId="77777777" w:rsidR="004462A0" w:rsidRPr="008912CF" w:rsidRDefault="00615769" w:rsidP="00F675CF">
            <w:pPr>
              <w:pStyle w:val="EMEANormal"/>
              <w:widowControl w:val="0"/>
              <w:rPr>
                <w:szCs w:val="22"/>
                <w:vertAlign w:val="superscript"/>
                <w:lang w:val="pt-PT"/>
              </w:rPr>
            </w:pPr>
            <w:r>
              <w:rPr>
                <w:szCs w:val="22"/>
                <w:lang w:val="pt-PT"/>
              </w:rPr>
              <w:t>P</w:t>
            </w:r>
            <w:r w:rsidRPr="008912CF">
              <w:rPr>
                <w:szCs w:val="22"/>
                <w:lang w:val="pt-PT"/>
              </w:rPr>
              <w:t>erfuração intestinal</w:t>
            </w:r>
            <w:r w:rsidRPr="008912CF">
              <w:rPr>
                <w:szCs w:val="22"/>
                <w:vertAlign w:val="superscript"/>
                <w:lang w:val="pt-PT"/>
              </w:rPr>
              <w:t>1)</w:t>
            </w:r>
          </w:p>
          <w:p w14:paraId="56E9FC82" w14:textId="77777777" w:rsidR="004462A0" w:rsidRPr="008912CF" w:rsidRDefault="004462A0" w:rsidP="00F675CF">
            <w:pPr>
              <w:pStyle w:val="EMEANormal"/>
              <w:widowControl w:val="0"/>
              <w:rPr>
                <w:szCs w:val="22"/>
                <w:lang w:val="pt-PT"/>
              </w:rPr>
            </w:pPr>
          </w:p>
        </w:tc>
      </w:tr>
      <w:tr w:rsidR="00A7162A" w14:paraId="6D41EA5B" w14:textId="77777777" w:rsidTr="00F675CF">
        <w:tc>
          <w:tcPr>
            <w:tcW w:w="2514" w:type="dxa"/>
            <w:vMerge w:val="restart"/>
          </w:tcPr>
          <w:p w14:paraId="44A7A9E8" w14:textId="77777777" w:rsidR="004462A0" w:rsidRPr="008912CF" w:rsidRDefault="00615769" w:rsidP="00F675CF">
            <w:pPr>
              <w:pStyle w:val="EMEANormal"/>
              <w:widowControl w:val="0"/>
              <w:rPr>
                <w:szCs w:val="22"/>
                <w:lang w:val="pt-PT"/>
              </w:rPr>
            </w:pPr>
            <w:r w:rsidRPr="008912CF">
              <w:rPr>
                <w:szCs w:val="22"/>
                <w:lang w:val="pt-PT"/>
              </w:rPr>
              <w:t>Afeções hepatobiliares *</w:t>
            </w:r>
          </w:p>
        </w:tc>
        <w:tc>
          <w:tcPr>
            <w:tcW w:w="1996" w:type="dxa"/>
            <w:tcBorders>
              <w:bottom w:val="nil"/>
            </w:tcBorders>
          </w:tcPr>
          <w:p w14:paraId="6F2DFFE5" w14:textId="77777777" w:rsidR="004462A0" w:rsidRPr="008912CF" w:rsidRDefault="00615769" w:rsidP="00F675CF">
            <w:pPr>
              <w:pStyle w:val="EMEANormal"/>
              <w:widowControl w:val="0"/>
              <w:rPr>
                <w:szCs w:val="22"/>
                <w:lang w:val="pt-PT"/>
              </w:rPr>
            </w:pPr>
            <w:r w:rsidRPr="008912CF">
              <w:rPr>
                <w:szCs w:val="22"/>
                <w:lang w:val="pt-PT"/>
              </w:rPr>
              <w:t>Muito frequentes</w:t>
            </w:r>
          </w:p>
        </w:tc>
        <w:tc>
          <w:tcPr>
            <w:tcW w:w="4346" w:type="dxa"/>
            <w:tcBorders>
              <w:bottom w:val="nil"/>
            </w:tcBorders>
          </w:tcPr>
          <w:p w14:paraId="52BEF37E" w14:textId="77777777" w:rsidR="004462A0" w:rsidRPr="008912CF" w:rsidRDefault="00615769" w:rsidP="00F675CF">
            <w:pPr>
              <w:pStyle w:val="EMEANormal"/>
              <w:widowControl w:val="0"/>
              <w:rPr>
                <w:szCs w:val="22"/>
                <w:lang w:val="pt-PT"/>
              </w:rPr>
            </w:pPr>
            <w:r>
              <w:rPr>
                <w:szCs w:val="22"/>
                <w:lang w:val="pt-PT"/>
              </w:rPr>
              <w:t>A</w:t>
            </w:r>
            <w:r w:rsidRPr="008912CF">
              <w:rPr>
                <w:szCs w:val="22"/>
                <w:lang w:val="pt-PT"/>
              </w:rPr>
              <w:t>umento de enzimas hepáticas</w:t>
            </w:r>
          </w:p>
          <w:p w14:paraId="029019FF" w14:textId="77777777" w:rsidR="004462A0" w:rsidRPr="008912CF" w:rsidRDefault="004462A0" w:rsidP="00F675CF">
            <w:pPr>
              <w:pStyle w:val="EMEANormal"/>
              <w:widowControl w:val="0"/>
              <w:rPr>
                <w:szCs w:val="22"/>
                <w:lang w:val="pt-PT"/>
              </w:rPr>
            </w:pPr>
          </w:p>
        </w:tc>
      </w:tr>
      <w:tr w:rsidR="00A7162A" w14:paraId="528125D2" w14:textId="77777777" w:rsidTr="00F675CF">
        <w:tc>
          <w:tcPr>
            <w:tcW w:w="2514" w:type="dxa"/>
            <w:vMerge/>
          </w:tcPr>
          <w:p w14:paraId="14C89109" w14:textId="77777777" w:rsidR="004462A0" w:rsidRPr="008912CF" w:rsidRDefault="004462A0" w:rsidP="00F675CF">
            <w:pPr>
              <w:pStyle w:val="EMEANormal"/>
              <w:widowControl w:val="0"/>
              <w:rPr>
                <w:szCs w:val="22"/>
                <w:lang w:val="pt-PT"/>
              </w:rPr>
            </w:pPr>
          </w:p>
        </w:tc>
        <w:tc>
          <w:tcPr>
            <w:tcW w:w="1996" w:type="dxa"/>
            <w:tcBorders>
              <w:top w:val="nil"/>
              <w:bottom w:val="nil"/>
            </w:tcBorders>
          </w:tcPr>
          <w:p w14:paraId="6D70C6EE" w14:textId="77777777" w:rsidR="004462A0" w:rsidRPr="008912CF" w:rsidRDefault="00615769" w:rsidP="00F675CF">
            <w:pPr>
              <w:pStyle w:val="EMEANormal"/>
              <w:widowControl w:val="0"/>
              <w:rPr>
                <w:szCs w:val="22"/>
                <w:lang w:val="pt-PT"/>
              </w:rPr>
            </w:pPr>
            <w:r w:rsidRPr="008912CF">
              <w:rPr>
                <w:szCs w:val="22"/>
                <w:lang w:val="pt-PT"/>
              </w:rPr>
              <w:t>Pouco frequentes</w:t>
            </w:r>
          </w:p>
          <w:p w14:paraId="1A8C8F4D" w14:textId="77777777" w:rsidR="004462A0" w:rsidRPr="008912CF" w:rsidRDefault="004462A0" w:rsidP="00F675CF">
            <w:pPr>
              <w:pStyle w:val="EMEANormal"/>
              <w:widowControl w:val="0"/>
              <w:rPr>
                <w:szCs w:val="22"/>
                <w:lang w:val="pt-PT"/>
              </w:rPr>
            </w:pPr>
          </w:p>
        </w:tc>
        <w:tc>
          <w:tcPr>
            <w:tcW w:w="4346" w:type="dxa"/>
            <w:tcBorders>
              <w:top w:val="nil"/>
              <w:bottom w:val="nil"/>
            </w:tcBorders>
          </w:tcPr>
          <w:p w14:paraId="1D6233BF" w14:textId="77777777" w:rsidR="004462A0" w:rsidRPr="008912CF" w:rsidRDefault="00615769" w:rsidP="00F675CF">
            <w:pPr>
              <w:pStyle w:val="EMEANormal"/>
              <w:widowControl w:val="0"/>
              <w:rPr>
                <w:szCs w:val="22"/>
                <w:lang w:val="pt-PT"/>
              </w:rPr>
            </w:pPr>
            <w:r>
              <w:rPr>
                <w:szCs w:val="22"/>
                <w:lang w:val="pt-PT"/>
              </w:rPr>
              <w:t>C</w:t>
            </w:r>
            <w:r w:rsidRPr="008912CF">
              <w:rPr>
                <w:szCs w:val="22"/>
                <w:lang w:val="pt-PT"/>
              </w:rPr>
              <w:t xml:space="preserve">olecistite e colelitíase, </w:t>
            </w:r>
          </w:p>
          <w:p w14:paraId="5B67F7C2" w14:textId="77777777" w:rsidR="004462A0" w:rsidRPr="008912CF" w:rsidRDefault="00615769" w:rsidP="00F675CF">
            <w:pPr>
              <w:autoSpaceDE w:val="0"/>
              <w:autoSpaceDN w:val="0"/>
              <w:adjustRightInd w:val="0"/>
            </w:pPr>
            <w:r w:rsidRPr="008912CF">
              <w:rPr>
                <w:sz w:val="22"/>
                <w:szCs w:val="22"/>
              </w:rPr>
              <w:t>esteatose hepática,</w:t>
            </w:r>
          </w:p>
          <w:p w14:paraId="3E98B15B" w14:textId="77777777" w:rsidR="004462A0" w:rsidRPr="008912CF" w:rsidRDefault="00615769" w:rsidP="00F675CF">
            <w:pPr>
              <w:autoSpaceDE w:val="0"/>
              <w:autoSpaceDN w:val="0"/>
              <w:adjustRightInd w:val="0"/>
            </w:pPr>
            <w:r w:rsidRPr="008912CF">
              <w:rPr>
                <w:sz w:val="22"/>
                <w:szCs w:val="22"/>
              </w:rPr>
              <w:t>aumento de bilirrubina</w:t>
            </w:r>
          </w:p>
          <w:p w14:paraId="02D8CEC6" w14:textId="77777777" w:rsidR="004462A0" w:rsidRPr="008912CF" w:rsidRDefault="00615769" w:rsidP="00F675CF">
            <w:pPr>
              <w:autoSpaceDE w:val="0"/>
              <w:autoSpaceDN w:val="0"/>
              <w:adjustRightInd w:val="0"/>
            </w:pPr>
            <w:r w:rsidRPr="008912CF">
              <w:rPr>
                <w:sz w:val="22"/>
                <w:szCs w:val="22"/>
              </w:rPr>
              <w:t xml:space="preserve"> </w:t>
            </w:r>
          </w:p>
        </w:tc>
      </w:tr>
      <w:tr w:rsidR="00A7162A" w14:paraId="2FED4328" w14:textId="77777777" w:rsidTr="00F675CF">
        <w:tc>
          <w:tcPr>
            <w:tcW w:w="2514" w:type="dxa"/>
            <w:vMerge/>
          </w:tcPr>
          <w:p w14:paraId="3F94C35B" w14:textId="77777777" w:rsidR="004462A0" w:rsidRPr="008912CF" w:rsidRDefault="004462A0" w:rsidP="00F675CF">
            <w:pPr>
              <w:pStyle w:val="EMEANormal"/>
              <w:widowControl w:val="0"/>
              <w:rPr>
                <w:szCs w:val="22"/>
                <w:lang w:val="pt-PT"/>
              </w:rPr>
            </w:pPr>
          </w:p>
        </w:tc>
        <w:tc>
          <w:tcPr>
            <w:tcW w:w="1996" w:type="dxa"/>
            <w:tcBorders>
              <w:top w:val="nil"/>
              <w:bottom w:val="nil"/>
            </w:tcBorders>
          </w:tcPr>
          <w:p w14:paraId="49175146" w14:textId="77777777" w:rsidR="004462A0" w:rsidRPr="008912CF" w:rsidRDefault="00615769" w:rsidP="00F675CF">
            <w:pPr>
              <w:pStyle w:val="EMEANormal"/>
              <w:widowControl w:val="0"/>
              <w:rPr>
                <w:szCs w:val="22"/>
                <w:lang w:val="pt-PT"/>
              </w:rPr>
            </w:pPr>
            <w:r w:rsidRPr="008912CF">
              <w:rPr>
                <w:szCs w:val="22"/>
                <w:lang w:val="pt-PT"/>
              </w:rPr>
              <w:t>Raros</w:t>
            </w:r>
          </w:p>
        </w:tc>
        <w:tc>
          <w:tcPr>
            <w:tcW w:w="4346" w:type="dxa"/>
            <w:tcBorders>
              <w:top w:val="nil"/>
              <w:bottom w:val="nil"/>
            </w:tcBorders>
          </w:tcPr>
          <w:p w14:paraId="1E95D4C1" w14:textId="77777777" w:rsidR="004462A0" w:rsidRPr="008912CF" w:rsidRDefault="00615769" w:rsidP="00F675CF">
            <w:pPr>
              <w:autoSpaceDE w:val="0"/>
              <w:autoSpaceDN w:val="0"/>
              <w:adjustRightInd w:val="0"/>
            </w:pPr>
            <w:r>
              <w:rPr>
                <w:sz w:val="22"/>
                <w:szCs w:val="22"/>
              </w:rPr>
              <w:t>H</w:t>
            </w:r>
            <w:r w:rsidRPr="008912CF">
              <w:rPr>
                <w:sz w:val="22"/>
                <w:szCs w:val="22"/>
              </w:rPr>
              <w:t>epatite,</w:t>
            </w:r>
          </w:p>
          <w:p w14:paraId="750FC049" w14:textId="77777777" w:rsidR="004462A0" w:rsidRPr="008912CF" w:rsidRDefault="00615769" w:rsidP="00F675CF">
            <w:pPr>
              <w:autoSpaceDE w:val="0"/>
              <w:autoSpaceDN w:val="0"/>
              <w:adjustRightInd w:val="0"/>
            </w:pPr>
            <w:r w:rsidRPr="008912CF">
              <w:rPr>
                <w:sz w:val="22"/>
                <w:szCs w:val="22"/>
              </w:rPr>
              <w:t>reativação da hepatite B</w:t>
            </w:r>
            <w:r w:rsidRPr="008912CF">
              <w:rPr>
                <w:szCs w:val="22"/>
                <w:vertAlign w:val="superscript"/>
              </w:rPr>
              <w:t>1)</w:t>
            </w:r>
            <w:r w:rsidRPr="008912CF">
              <w:rPr>
                <w:szCs w:val="22"/>
              </w:rPr>
              <w:t>,</w:t>
            </w:r>
          </w:p>
          <w:p w14:paraId="785097FE" w14:textId="77777777" w:rsidR="004462A0" w:rsidRPr="008912CF" w:rsidRDefault="00615769" w:rsidP="00F675CF">
            <w:pPr>
              <w:pStyle w:val="EMEANormal"/>
              <w:widowControl w:val="0"/>
              <w:rPr>
                <w:szCs w:val="22"/>
                <w:vertAlign w:val="superscript"/>
                <w:lang w:val="pt-PT"/>
              </w:rPr>
            </w:pPr>
            <w:r w:rsidRPr="008912CF">
              <w:rPr>
                <w:lang w:val="pt-PT"/>
              </w:rPr>
              <w:t>hepatite autoimune</w:t>
            </w:r>
            <w:r w:rsidRPr="008912CF">
              <w:rPr>
                <w:vertAlign w:val="superscript"/>
                <w:lang w:val="pt-PT"/>
              </w:rPr>
              <w:t>1)</w:t>
            </w:r>
          </w:p>
          <w:p w14:paraId="46E3E5A2" w14:textId="77777777" w:rsidR="004462A0" w:rsidRPr="008912CF" w:rsidRDefault="004462A0" w:rsidP="00F675CF">
            <w:pPr>
              <w:autoSpaceDE w:val="0"/>
              <w:autoSpaceDN w:val="0"/>
              <w:adjustRightInd w:val="0"/>
            </w:pPr>
          </w:p>
        </w:tc>
      </w:tr>
      <w:tr w:rsidR="00A7162A" w14:paraId="1DDDF506" w14:textId="77777777" w:rsidTr="00F675CF">
        <w:tc>
          <w:tcPr>
            <w:tcW w:w="2514" w:type="dxa"/>
            <w:vMerge/>
          </w:tcPr>
          <w:p w14:paraId="3C361E10" w14:textId="77777777" w:rsidR="004462A0" w:rsidRPr="008912CF" w:rsidRDefault="004462A0" w:rsidP="00F675CF">
            <w:pPr>
              <w:pStyle w:val="EMEANormal"/>
              <w:widowControl w:val="0"/>
              <w:rPr>
                <w:szCs w:val="22"/>
                <w:lang w:val="pt-PT"/>
              </w:rPr>
            </w:pPr>
          </w:p>
        </w:tc>
        <w:tc>
          <w:tcPr>
            <w:tcW w:w="1996" w:type="dxa"/>
            <w:tcBorders>
              <w:top w:val="nil"/>
            </w:tcBorders>
          </w:tcPr>
          <w:p w14:paraId="032C1F10" w14:textId="77777777" w:rsidR="004462A0" w:rsidRPr="008912CF" w:rsidRDefault="00615769" w:rsidP="00F675CF">
            <w:pPr>
              <w:pStyle w:val="EMEANormal"/>
              <w:widowControl w:val="0"/>
              <w:rPr>
                <w:szCs w:val="22"/>
                <w:lang w:val="pt-PT"/>
              </w:rPr>
            </w:pPr>
            <w:r w:rsidRPr="008912CF">
              <w:rPr>
                <w:szCs w:val="22"/>
                <w:lang w:val="pt-PT"/>
              </w:rPr>
              <w:t>Desconhecido</w:t>
            </w:r>
          </w:p>
        </w:tc>
        <w:tc>
          <w:tcPr>
            <w:tcW w:w="4346" w:type="dxa"/>
            <w:tcBorders>
              <w:top w:val="nil"/>
            </w:tcBorders>
          </w:tcPr>
          <w:p w14:paraId="4EB054B8" w14:textId="77777777" w:rsidR="004462A0" w:rsidRPr="008912CF" w:rsidRDefault="00615769" w:rsidP="00F675CF">
            <w:pPr>
              <w:autoSpaceDE w:val="0"/>
              <w:autoSpaceDN w:val="0"/>
              <w:adjustRightInd w:val="0"/>
              <w:rPr>
                <w:vertAlign w:val="superscript"/>
              </w:rPr>
            </w:pPr>
            <w:r>
              <w:rPr>
                <w:sz w:val="22"/>
                <w:szCs w:val="22"/>
              </w:rPr>
              <w:t>I</w:t>
            </w:r>
            <w:r w:rsidRPr="008912CF">
              <w:rPr>
                <w:sz w:val="22"/>
                <w:szCs w:val="22"/>
              </w:rPr>
              <w:t>nsuficiência hepática</w:t>
            </w:r>
            <w:r w:rsidRPr="008912CF">
              <w:rPr>
                <w:sz w:val="22"/>
                <w:szCs w:val="22"/>
                <w:vertAlign w:val="superscript"/>
              </w:rPr>
              <w:t>1)</w:t>
            </w:r>
          </w:p>
          <w:p w14:paraId="5DAF019E" w14:textId="77777777" w:rsidR="004462A0" w:rsidRPr="008912CF" w:rsidRDefault="004462A0" w:rsidP="00F675CF">
            <w:pPr>
              <w:autoSpaceDE w:val="0"/>
              <w:autoSpaceDN w:val="0"/>
              <w:adjustRightInd w:val="0"/>
            </w:pPr>
          </w:p>
        </w:tc>
      </w:tr>
      <w:tr w:rsidR="00A7162A" w14:paraId="6F559884" w14:textId="77777777" w:rsidTr="00F675CF">
        <w:tc>
          <w:tcPr>
            <w:tcW w:w="2514" w:type="dxa"/>
            <w:vMerge w:val="restart"/>
          </w:tcPr>
          <w:p w14:paraId="670DACDC" w14:textId="77777777" w:rsidR="003E3AA9" w:rsidRPr="008912CF" w:rsidRDefault="00615769" w:rsidP="00F675CF">
            <w:pPr>
              <w:pStyle w:val="EMEANormal"/>
              <w:widowControl w:val="0"/>
              <w:rPr>
                <w:szCs w:val="22"/>
                <w:lang w:val="pt-PT"/>
              </w:rPr>
            </w:pPr>
            <w:r w:rsidRPr="008912CF">
              <w:rPr>
                <w:szCs w:val="22"/>
                <w:lang w:val="pt-PT"/>
              </w:rPr>
              <w:t>Afeções dos tecidos cutâneos e subcutâneos</w:t>
            </w:r>
          </w:p>
        </w:tc>
        <w:tc>
          <w:tcPr>
            <w:tcW w:w="1996" w:type="dxa"/>
            <w:tcBorders>
              <w:bottom w:val="nil"/>
            </w:tcBorders>
          </w:tcPr>
          <w:p w14:paraId="12AD7148" w14:textId="77777777" w:rsidR="003E3AA9" w:rsidRPr="008912CF" w:rsidRDefault="00615769" w:rsidP="00F675CF">
            <w:pPr>
              <w:pStyle w:val="EMEANormal"/>
              <w:widowControl w:val="0"/>
              <w:rPr>
                <w:szCs w:val="22"/>
                <w:lang w:val="pt-PT"/>
              </w:rPr>
            </w:pPr>
            <w:r w:rsidRPr="008912CF">
              <w:rPr>
                <w:szCs w:val="22"/>
                <w:lang w:val="pt-PT"/>
              </w:rPr>
              <w:t xml:space="preserve">Muito frequentes </w:t>
            </w:r>
          </w:p>
        </w:tc>
        <w:tc>
          <w:tcPr>
            <w:tcW w:w="4346" w:type="dxa"/>
            <w:tcBorders>
              <w:bottom w:val="nil"/>
            </w:tcBorders>
          </w:tcPr>
          <w:p w14:paraId="22DF8637" w14:textId="77777777" w:rsidR="003E3AA9" w:rsidRPr="008912CF" w:rsidRDefault="00615769" w:rsidP="00F675CF">
            <w:pPr>
              <w:pStyle w:val="EMEANormal"/>
              <w:widowControl w:val="0"/>
              <w:rPr>
                <w:szCs w:val="22"/>
                <w:lang w:val="pt-PT"/>
              </w:rPr>
            </w:pPr>
            <w:r>
              <w:rPr>
                <w:szCs w:val="22"/>
                <w:lang w:val="pt-PT"/>
              </w:rPr>
              <w:t>E</w:t>
            </w:r>
            <w:r w:rsidRPr="008912CF">
              <w:rPr>
                <w:szCs w:val="22"/>
                <w:lang w:val="pt-PT"/>
              </w:rPr>
              <w:t>rupção cutânea (incluindo erupção esfoliativa)</w:t>
            </w:r>
          </w:p>
          <w:p w14:paraId="742CA227" w14:textId="77777777" w:rsidR="003E3AA9" w:rsidRPr="008912CF" w:rsidRDefault="003E3AA9" w:rsidP="00F675CF">
            <w:pPr>
              <w:pStyle w:val="EMEANormal"/>
              <w:widowControl w:val="0"/>
              <w:rPr>
                <w:szCs w:val="22"/>
                <w:lang w:val="pt-PT"/>
              </w:rPr>
            </w:pPr>
          </w:p>
        </w:tc>
      </w:tr>
      <w:tr w:rsidR="00A7162A" w14:paraId="25DBE678" w14:textId="77777777" w:rsidTr="00F675CF">
        <w:tc>
          <w:tcPr>
            <w:tcW w:w="2514" w:type="dxa"/>
            <w:vMerge/>
          </w:tcPr>
          <w:p w14:paraId="41C904F3" w14:textId="77777777" w:rsidR="003E3AA9" w:rsidRPr="008912CF" w:rsidRDefault="003E3AA9" w:rsidP="00F675CF">
            <w:pPr>
              <w:widowControl w:val="0"/>
              <w:jc w:val="center"/>
              <w:rPr>
                <w:b/>
              </w:rPr>
            </w:pPr>
          </w:p>
        </w:tc>
        <w:tc>
          <w:tcPr>
            <w:tcW w:w="1996" w:type="dxa"/>
            <w:tcBorders>
              <w:top w:val="nil"/>
              <w:bottom w:val="nil"/>
            </w:tcBorders>
          </w:tcPr>
          <w:p w14:paraId="57CFC800" w14:textId="77777777" w:rsidR="003E3AA9" w:rsidRPr="008912CF" w:rsidRDefault="00615769" w:rsidP="00F675CF">
            <w:pPr>
              <w:pStyle w:val="EMEANormal"/>
              <w:widowControl w:val="0"/>
              <w:rPr>
                <w:szCs w:val="22"/>
                <w:lang w:val="pt-PT"/>
              </w:rPr>
            </w:pPr>
            <w:r w:rsidRPr="008912CF">
              <w:rPr>
                <w:szCs w:val="22"/>
                <w:lang w:val="pt-PT"/>
              </w:rPr>
              <w:t>Frequentes</w:t>
            </w:r>
          </w:p>
          <w:p w14:paraId="59388D27" w14:textId="77777777" w:rsidR="003E3AA9" w:rsidRPr="008912CF" w:rsidRDefault="003E3AA9" w:rsidP="00F675CF">
            <w:pPr>
              <w:pStyle w:val="EMEANormal"/>
              <w:widowControl w:val="0"/>
              <w:rPr>
                <w:szCs w:val="22"/>
                <w:lang w:val="pt-PT"/>
              </w:rPr>
            </w:pPr>
          </w:p>
        </w:tc>
        <w:tc>
          <w:tcPr>
            <w:tcW w:w="4346" w:type="dxa"/>
            <w:tcBorders>
              <w:top w:val="nil"/>
              <w:bottom w:val="nil"/>
            </w:tcBorders>
          </w:tcPr>
          <w:p w14:paraId="698BF33F" w14:textId="77777777" w:rsidR="003E3AA9" w:rsidRPr="008912CF" w:rsidRDefault="00615769" w:rsidP="00F675CF">
            <w:pPr>
              <w:pStyle w:val="EMEANormal"/>
              <w:widowControl w:val="0"/>
              <w:rPr>
                <w:szCs w:val="22"/>
                <w:lang w:val="pt-PT"/>
              </w:rPr>
            </w:pPr>
            <w:r>
              <w:rPr>
                <w:szCs w:val="22"/>
                <w:lang w:val="pt-PT"/>
              </w:rPr>
              <w:t>I</w:t>
            </w:r>
            <w:r w:rsidRPr="008912CF">
              <w:rPr>
                <w:szCs w:val="22"/>
                <w:lang w:val="pt-PT"/>
              </w:rPr>
              <w:t>nício ou agravamento da psoríase (incluindo psoríase pustular palmoplantar)</w:t>
            </w:r>
            <w:r w:rsidRPr="008912CF">
              <w:rPr>
                <w:szCs w:val="22"/>
                <w:vertAlign w:val="superscript"/>
                <w:lang w:val="pt-PT"/>
              </w:rPr>
              <w:t>1)</w:t>
            </w:r>
            <w:r w:rsidRPr="008912CF">
              <w:rPr>
                <w:szCs w:val="22"/>
                <w:lang w:val="pt-PT"/>
              </w:rPr>
              <w:t>,</w:t>
            </w:r>
          </w:p>
          <w:p w14:paraId="38FFAF2C" w14:textId="77777777" w:rsidR="003E3AA9" w:rsidRPr="008912CF" w:rsidRDefault="00615769" w:rsidP="00F675CF">
            <w:pPr>
              <w:pStyle w:val="EMEANormal"/>
              <w:widowControl w:val="0"/>
              <w:rPr>
                <w:szCs w:val="22"/>
                <w:lang w:val="pt-PT"/>
              </w:rPr>
            </w:pPr>
            <w:r w:rsidRPr="008912CF">
              <w:rPr>
                <w:szCs w:val="22"/>
                <w:lang w:val="pt-PT"/>
              </w:rPr>
              <w:t>urticária,</w:t>
            </w:r>
          </w:p>
          <w:p w14:paraId="43F00B6B" w14:textId="77777777" w:rsidR="003E3AA9" w:rsidRPr="008912CF" w:rsidRDefault="00615769" w:rsidP="00F675CF">
            <w:pPr>
              <w:pStyle w:val="EMEANormal"/>
              <w:widowControl w:val="0"/>
              <w:rPr>
                <w:szCs w:val="22"/>
                <w:lang w:val="pt-PT"/>
              </w:rPr>
            </w:pPr>
            <w:r w:rsidRPr="008912CF">
              <w:rPr>
                <w:szCs w:val="22"/>
                <w:lang w:val="pt-PT"/>
              </w:rPr>
              <w:t xml:space="preserve">equimoses (incluindo púrpura), </w:t>
            </w:r>
          </w:p>
          <w:p w14:paraId="6AF2D8F1" w14:textId="77777777" w:rsidR="003E3AA9" w:rsidRPr="008912CF" w:rsidRDefault="00615769" w:rsidP="00F675CF">
            <w:pPr>
              <w:pStyle w:val="EMEANormal"/>
              <w:widowControl w:val="0"/>
              <w:rPr>
                <w:szCs w:val="22"/>
                <w:lang w:val="pt-PT"/>
              </w:rPr>
            </w:pPr>
            <w:r w:rsidRPr="008912CF">
              <w:rPr>
                <w:szCs w:val="22"/>
                <w:lang w:val="pt-PT"/>
              </w:rPr>
              <w:t>dermatite (incluindo eczema),</w:t>
            </w:r>
          </w:p>
          <w:p w14:paraId="017983ED" w14:textId="77777777" w:rsidR="003E3AA9" w:rsidRPr="008912CF" w:rsidRDefault="00615769" w:rsidP="00F675CF">
            <w:pPr>
              <w:pStyle w:val="EMEANormal"/>
              <w:widowControl w:val="0"/>
              <w:rPr>
                <w:szCs w:val="22"/>
                <w:lang w:val="pt-PT"/>
              </w:rPr>
            </w:pPr>
            <w:r w:rsidRPr="008912CF">
              <w:rPr>
                <w:szCs w:val="22"/>
                <w:lang w:val="pt-PT"/>
              </w:rPr>
              <w:t xml:space="preserve">onicoclase, </w:t>
            </w:r>
          </w:p>
          <w:p w14:paraId="2DC6BDA4" w14:textId="77777777" w:rsidR="003E3AA9" w:rsidRPr="008912CF" w:rsidRDefault="00615769" w:rsidP="00F675CF">
            <w:pPr>
              <w:pStyle w:val="EMEANormal"/>
              <w:widowControl w:val="0"/>
              <w:rPr>
                <w:szCs w:val="22"/>
                <w:lang w:val="pt-PT"/>
              </w:rPr>
            </w:pPr>
            <w:r w:rsidRPr="008912CF">
              <w:rPr>
                <w:szCs w:val="22"/>
                <w:lang w:val="pt-PT"/>
              </w:rPr>
              <w:t>hiperidrose,</w:t>
            </w:r>
          </w:p>
          <w:p w14:paraId="3C660C4E" w14:textId="77777777" w:rsidR="003E3AA9" w:rsidRPr="008912CF" w:rsidRDefault="00615769" w:rsidP="00F675CF">
            <w:pPr>
              <w:pStyle w:val="EMEANormal"/>
              <w:widowControl w:val="0"/>
              <w:rPr>
                <w:szCs w:val="22"/>
                <w:lang w:val="pt-PT"/>
              </w:rPr>
            </w:pPr>
            <w:r w:rsidRPr="008912CF">
              <w:rPr>
                <w:szCs w:val="22"/>
                <w:lang w:val="pt-PT"/>
              </w:rPr>
              <w:t>al</w:t>
            </w:r>
            <w:r w:rsidR="00D9472B">
              <w:rPr>
                <w:szCs w:val="22"/>
                <w:lang w:val="pt-PT"/>
              </w:rPr>
              <w:t>o</w:t>
            </w:r>
            <w:r w:rsidRPr="008912CF">
              <w:rPr>
                <w:szCs w:val="22"/>
                <w:lang w:val="pt-PT"/>
              </w:rPr>
              <w:t>pecia</w:t>
            </w:r>
            <w:r w:rsidRPr="008912CF">
              <w:rPr>
                <w:szCs w:val="22"/>
                <w:vertAlign w:val="superscript"/>
                <w:lang w:val="pt-PT"/>
              </w:rPr>
              <w:t>1)</w:t>
            </w:r>
            <w:r w:rsidRPr="008912CF">
              <w:rPr>
                <w:szCs w:val="22"/>
                <w:lang w:val="pt-PT"/>
              </w:rPr>
              <w:t>,</w:t>
            </w:r>
          </w:p>
          <w:p w14:paraId="31F2D581" w14:textId="77777777" w:rsidR="003E3AA9" w:rsidRPr="008912CF" w:rsidRDefault="00615769" w:rsidP="00F675CF">
            <w:pPr>
              <w:pStyle w:val="EMEANormal"/>
              <w:widowControl w:val="0"/>
              <w:rPr>
                <w:szCs w:val="22"/>
                <w:lang w:val="pt-PT"/>
              </w:rPr>
            </w:pPr>
            <w:r w:rsidRPr="008912CF">
              <w:rPr>
                <w:szCs w:val="22"/>
                <w:lang w:val="pt-PT"/>
              </w:rPr>
              <w:t>prurido</w:t>
            </w:r>
          </w:p>
          <w:p w14:paraId="4BF58AD5" w14:textId="77777777" w:rsidR="003E3AA9" w:rsidRPr="008912CF" w:rsidRDefault="003E3AA9" w:rsidP="00F675CF">
            <w:pPr>
              <w:pStyle w:val="EMEANormal"/>
              <w:widowControl w:val="0"/>
              <w:rPr>
                <w:szCs w:val="22"/>
                <w:lang w:val="pt-PT"/>
              </w:rPr>
            </w:pPr>
          </w:p>
        </w:tc>
      </w:tr>
      <w:tr w:rsidR="00A7162A" w14:paraId="5E3A3C97" w14:textId="77777777" w:rsidTr="00F675CF">
        <w:tc>
          <w:tcPr>
            <w:tcW w:w="2514" w:type="dxa"/>
            <w:vMerge/>
          </w:tcPr>
          <w:p w14:paraId="00256250" w14:textId="77777777" w:rsidR="003E3AA9" w:rsidRPr="008912CF" w:rsidRDefault="003E3AA9" w:rsidP="00F675CF">
            <w:pPr>
              <w:widowControl w:val="0"/>
              <w:jc w:val="center"/>
              <w:rPr>
                <w:b/>
              </w:rPr>
            </w:pPr>
          </w:p>
        </w:tc>
        <w:tc>
          <w:tcPr>
            <w:tcW w:w="1996" w:type="dxa"/>
            <w:tcBorders>
              <w:top w:val="nil"/>
              <w:bottom w:val="nil"/>
            </w:tcBorders>
          </w:tcPr>
          <w:p w14:paraId="35394CF0" w14:textId="77777777" w:rsidR="003E3AA9" w:rsidRPr="008912CF" w:rsidRDefault="00615769" w:rsidP="00F675CF">
            <w:pPr>
              <w:pStyle w:val="EMEANormal"/>
              <w:widowControl w:val="0"/>
              <w:rPr>
                <w:szCs w:val="22"/>
                <w:lang w:val="pt-PT"/>
              </w:rPr>
            </w:pPr>
            <w:r w:rsidRPr="008912CF">
              <w:rPr>
                <w:szCs w:val="22"/>
                <w:lang w:val="pt-PT"/>
              </w:rPr>
              <w:t>Pouco frequentes</w:t>
            </w:r>
          </w:p>
          <w:p w14:paraId="72495DAA" w14:textId="77777777" w:rsidR="003E3AA9" w:rsidRPr="008912CF" w:rsidRDefault="003E3AA9" w:rsidP="00F675CF">
            <w:pPr>
              <w:pStyle w:val="EMEANormal"/>
              <w:widowControl w:val="0"/>
              <w:rPr>
                <w:szCs w:val="22"/>
                <w:lang w:val="pt-PT"/>
              </w:rPr>
            </w:pPr>
          </w:p>
        </w:tc>
        <w:tc>
          <w:tcPr>
            <w:tcW w:w="4346" w:type="dxa"/>
            <w:tcBorders>
              <w:top w:val="nil"/>
              <w:bottom w:val="nil"/>
            </w:tcBorders>
          </w:tcPr>
          <w:p w14:paraId="039B401E" w14:textId="77777777" w:rsidR="003E3AA9" w:rsidRPr="008912CF" w:rsidRDefault="00615769" w:rsidP="00F675CF">
            <w:pPr>
              <w:pStyle w:val="EMEANormal"/>
              <w:widowControl w:val="0"/>
              <w:rPr>
                <w:szCs w:val="22"/>
                <w:lang w:val="pt-PT"/>
              </w:rPr>
            </w:pPr>
            <w:r>
              <w:rPr>
                <w:szCs w:val="22"/>
                <w:lang w:val="pt-PT"/>
              </w:rPr>
              <w:t>S</w:t>
            </w:r>
            <w:r w:rsidRPr="008912CF">
              <w:rPr>
                <w:szCs w:val="22"/>
                <w:lang w:val="pt-PT"/>
              </w:rPr>
              <w:t>uores noturnos,</w:t>
            </w:r>
          </w:p>
          <w:p w14:paraId="75F76E06" w14:textId="77777777" w:rsidR="003E3AA9" w:rsidRPr="008912CF" w:rsidRDefault="00615769" w:rsidP="00F675CF">
            <w:pPr>
              <w:pStyle w:val="EMEANormal"/>
              <w:widowControl w:val="0"/>
              <w:rPr>
                <w:szCs w:val="22"/>
                <w:lang w:val="pt-PT"/>
              </w:rPr>
            </w:pPr>
            <w:r w:rsidRPr="008912CF">
              <w:rPr>
                <w:szCs w:val="22"/>
                <w:lang w:val="pt-PT"/>
              </w:rPr>
              <w:t>escara</w:t>
            </w:r>
          </w:p>
          <w:p w14:paraId="3044E60D" w14:textId="77777777" w:rsidR="003E3AA9" w:rsidRPr="008912CF" w:rsidRDefault="003E3AA9" w:rsidP="00F675CF">
            <w:pPr>
              <w:pStyle w:val="EMEANormal"/>
              <w:widowControl w:val="0"/>
              <w:rPr>
                <w:szCs w:val="22"/>
                <w:lang w:val="pt-PT"/>
              </w:rPr>
            </w:pPr>
          </w:p>
        </w:tc>
      </w:tr>
      <w:tr w:rsidR="00A7162A" w14:paraId="1ADA775D" w14:textId="77777777" w:rsidTr="00DF5632">
        <w:trPr>
          <w:trHeight w:val="1455"/>
        </w:trPr>
        <w:tc>
          <w:tcPr>
            <w:tcW w:w="2514" w:type="dxa"/>
            <w:vMerge/>
          </w:tcPr>
          <w:p w14:paraId="7B334BB6" w14:textId="77777777" w:rsidR="003E3AA9" w:rsidRPr="008912CF" w:rsidRDefault="003E3AA9" w:rsidP="00F675CF">
            <w:pPr>
              <w:widowControl w:val="0"/>
              <w:jc w:val="center"/>
              <w:rPr>
                <w:b/>
              </w:rPr>
            </w:pPr>
          </w:p>
        </w:tc>
        <w:tc>
          <w:tcPr>
            <w:tcW w:w="1996" w:type="dxa"/>
            <w:tcBorders>
              <w:top w:val="nil"/>
              <w:bottom w:val="nil"/>
            </w:tcBorders>
          </w:tcPr>
          <w:p w14:paraId="79EC83AB" w14:textId="77777777" w:rsidR="003E3AA9" w:rsidRPr="008912CF" w:rsidRDefault="00615769" w:rsidP="00F675CF">
            <w:pPr>
              <w:pStyle w:val="EMEANormal"/>
              <w:widowControl w:val="0"/>
              <w:rPr>
                <w:szCs w:val="22"/>
                <w:lang w:val="pt-PT"/>
              </w:rPr>
            </w:pPr>
            <w:r w:rsidRPr="008912CF">
              <w:rPr>
                <w:szCs w:val="22"/>
                <w:lang w:val="pt-PT"/>
              </w:rPr>
              <w:t>Raros</w:t>
            </w:r>
          </w:p>
          <w:p w14:paraId="01842F63" w14:textId="77777777" w:rsidR="003E3AA9" w:rsidRPr="008912CF" w:rsidRDefault="003E3AA9" w:rsidP="00F675CF">
            <w:pPr>
              <w:pStyle w:val="EMEANormal"/>
              <w:widowControl w:val="0"/>
              <w:rPr>
                <w:szCs w:val="22"/>
                <w:lang w:val="pt-PT"/>
              </w:rPr>
            </w:pPr>
          </w:p>
          <w:p w14:paraId="471A8A9C" w14:textId="77777777" w:rsidR="003E3AA9" w:rsidRPr="008912CF" w:rsidRDefault="003E3AA9" w:rsidP="00F675CF">
            <w:pPr>
              <w:pStyle w:val="EMEANormal"/>
              <w:widowControl w:val="0"/>
              <w:rPr>
                <w:szCs w:val="22"/>
                <w:lang w:val="pt-PT"/>
              </w:rPr>
            </w:pPr>
          </w:p>
          <w:p w14:paraId="60444B80" w14:textId="77777777" w:rsidR="003E3AA9" w:rsidRPr="008912CF" w:rsidRDefault="003E3AA9" w:rsidP="00F675CF">
            <w:pPr>
              <w:pStyle w:val="EMEANormal"/>
              <w:widowControl w:val="0"/>
              <w:rPr>
                <w:szCs w:val="22"/>
                <w:lang w:val="pt-PT"/>
              </w:rPr>
            </w:pPr>
          </w:p>
          <w:p w14:paraId="37116815" w14:textId="77777777" w:rsidR="003E3AA9" w:rsidRPr="008912CF" w:rsidRDefault="003E3AA9" w:rsidP="00F675CF">
            <w:pPr>
              <w:pStyle w:val="EMEANormal"/>
              <w:widowControl w:val="0"/>
              <w:rPr>
                <w:szCs w:val="22"/>
                <w:lang w:val="pt-PT"/>
              </w:rPr>
            </w:pPr>
          </w:p>
          <w:p w14:paraId="31D2CDC3" w14:textId="77777777" w:rsidR="003E3AA9" w:rsidRPr="008912CF" w:rsidRDefault="003E3AA9" w:rsidP="00F675CF">
            <w:pPr>
              <w:pStyle w:val="EMEANormal"/>
              <w:widowControl w:val="0"/>
              <w:rPr>
                <w:szCs w:val="22"/>
                <w:lang w:val="pt-PT"/>
              </w:rPr>
            </w:pPr>
          </w:p>
        </w:tc>
        <w:tc>
          <w:tcPr>
            <w:tcW w:w="4346" w:type="dxa"/>
            <w:tcBorders>
              <w:top w:val="nil"/>
              <w:bottom w:val="nil"/>
            </w:tcBorders>
          </w:tcPr>
          <w:p w14:paraId="7F2C8D66" w14:textId="77777777" w:rsidR="003E3AA9" w:rsidRPr="008912CF" w:rsidRDefault="00615769" w:rsidP="00F675CF">
            <w:pPr>
              <w:pStyle w:val="EMEANormal"/>
              <w:widowControl w:val="0"/>
              <w:rPr>
                <w:szCs w:val="22"/>
                <w:lang w:val="pt-PT"/>
              </w:rPr>
            </w:pPr>
            <w:r>
              <w:rPr>
                <w:szCs w:val="22"/>
                <w:lang w:val="pt-PT"/>
              </w:rPr>
              <w:t>E</w:t>
            </w:r>
            <w:r w:rsidRPr="008912CF">
              <w:rPr>
                <w:szCs w:val="22"/>
                <w:lang w:val="pt-PT"/>
              </w:rPr>
              <w:t>ritema multiforme</w:t>
            </w:r>
            <w:r w:rsidRPr="008912CF">
              <w:rPr>
                <w:szCs w:val="22"/>
                <w:vertAlign w:val="superscript"/>
                <w:lang w:val="pt-PT"/>
              </w:rPr>
              <w:t>1)</w:t>
            </w:r>
            <w:r w:rsidRPr="008912CF">
              <w:rPr>
                <w:szCs w:val="22"/>
                <w:lang w:val="pt-PT"/>
              </w:rPr>
              <w:t>,</w:t>
            </w:r>
          </w:p>
          <w:p w14:paraId="6B3980E8" w14:textId="77777777" w:rsidR="003E3AA9" w:rsidRPr="008912CF" w:rsidRDefault="00615769" w:rsidP="00F675CF">
            <w:pPr>
              <w:pStyle w:val="EMEANormal"/>
              <w:widowControl w:val="0"/>
              <w:rPr>
                <w:szCs w:val="22"/>
                <w:lang w:val="pt-PT"/>
              </w:rPr>
            </w:pPr>
            <w:r w:rsidRPr="008912CF">
              <w:rPr>
                <w:szCs w:val="22"/>
                <w:lang w:val="pt-PT"/>
              </w:rPr>
              <w:t>síndrome de Stevens-Johnson</w:t>
            </w:r>
            <w:r w:rsidRPr="008912CF">
              <w:rPr>
                <w:szCs w:val="22"/>
                <w:vertAlign w:val="superscript"/>
                <w:lang w:val="pt-PT"/>
              </w:rPr>
              <w:t>1)</w:t>
            </w:r>
            <w:r w:rsidRPr="008912CF">
              <w:rPr>
                <w:szCs w:val="22"/>
                <w:lang w:val="pt-PT"/>
              </w:rPr>
              <w:t>,</w:t>
            </w:r>
          </w:p>
          <w:p w14:paraId="1813320E" w14:textId="77777777" w:rsidR="003E3AA9" w:rsidRPr="008912CF" w:rsidRDefault="00615769" w:rsidP="00F675CF">
            <w:pPr>
              <w:pStyle w:val="EMEANormal"/>
              <w:widowControl w:val="0"/>
              <w:rPr>
                <w:szCs w:val="22"/>
                <w:lang w:val="pt-PT"/>
              </w:rPr>
            </w:pPr>
            <w:r w:rsidRPr="008912CF">
              <w:rPr>
                <w:szCs w:val="22"/>
                <w:lang w:val="pt-PT"/>
              </w:rPr>
              <w:t>angioedema</w:t>
            </w:r>
            <w:r w:rsidRPr="008912CF">
              <w:rPr>
                <w:szCs w:val="22"/>
                <w:vertAlign w:val="superscript"/>
                <w:lang w:val="pt-PT"/>
              </w:rPr>
              <w:t>1)</w:t>
            </w:r>
            <w:r w:rsidRPr="008912CF">
              <w:rPr>
                <w:szCs w:val="22"/>
                <w:lang w:val="pt-PT"/>
              </w:rPr>
              <w:t>,</w:t>
            </w:r>
          </w:p>
          <w:p w14:paraId="3373FA9C" w14:textId="77777777" w:rsidR="003E3AA9" w:rsidRPr="00DF5632" w:rsidRDefault="00615769" w:rsidP="00F675CF">
            <w:pPr>
              <w:pStyle w:val="EMEANormal"/>
              <w:widowControl w:val="0"/>
              <w:rPr>
                <w:szCs w:val="22"/>
                <w:lang w:val="pt-PT"/>
              </w:rPr>
            </w:pPr>
            <w:r w:rsidRPr="008912CF">
              <w:rPr>
                <w:szCs w:val="22"/>
                <w:lang w:val="pt-PT"/>
              </w:rPr>
              <w:t>vasculite cutânea</w:t>
            </w:r>
            <w:r w:rsidRPr="008912CF">
              <w:rPr>
                <w:szCs w:val="22"/>
                <w:vertAlign w:val="superscript"/>
                <w:lang w:val="pt-PT"/>
              </w:rPr>
              <w:t>1)</w:t>
            </w:r>
            <w:r w:rsidR="00FD51F4">
              <w:rPr>
                <w:szCs w:val="22"/>
                <w:lang w:val="pt-PT"/>
              </w:rPr>
              <w:t>,</w:t>
            </w:r>
          </w:p>
          <w:p w14:paraId="0361FD01" w14:textId="77777777" w:rsidR="003E3AA9" w:rsidRDefault="00615769" w:rsidP="00F675CF">
            <w:pPr>
              <w:pStyle w:val="EMEANormal"/>
              <w:widowControl w:val="0"/>
              <w:rPr>
                <w:szCs w:val="22"/>
                <w:lang w:val="pt-PT"/>
              </w:rPr>
            </w:pPr>
            <w:r>
              <w:rPr>
                <w:szCs w:val="22"/>
                <w:lang w:val="pt-PT"/>
              </w:rPr>
              <w:t>reação cutânea liquenoide</w:t>
            </w:r>
            <w:r w:rsidRPr="008912CF">
              <w:rPr>
                <w:szCs w:val="22"/>
                <w:vertAlign w:val="superscript"/>
                <w:lang w:val="pt-PT"/>
              </w:rPr>
              <w:t>1)</w:t>
            </w:r>
          </w:p>
          <w:p w14:paraId="6133CA08" w14:textId="77777777" w:rsidR="003E3AA9" w:rsidRPr="008912CF" w:rsidRDefault="003E3AA9" w:rsidP="00F675CF">
            <w:pPr>
              <w:pStyle w:val="EMEANormal"/>
              <w:widowControl w:val="0"/>
              <w:rPr>
                <w:szCs w:val="22"/>
                <w:lang w:val="pt-PT"/>
              </w:rPr>
            </w:pPr>
          </w:p>
        </w:tc>
      </w:tr>
      <w:tr w:rsidR="00A7162A" w14:paraId="4CB05AA9" w14:textId="77777777" w:rsidTr="00DF5632">
        <w:trPr>
          <w:trHeight w:val="825"/>
        </w:trPr>
        <w:tc>
          <w:tcPr>
            <w:tcW w:w="2514" w:type="dxa"/>
            <w:vMerge/>
          </w:tcPr>
          <w:p w14:paraId="4A21F830" w14:textId="77777777" w:rsidR="003E3AA9" w:rsidRPr="008912CF" w:rsidRDefault="003E3AA9" w:rsidP="00F675CF">
            <w:pPr>
              <w:widowControl w:val="0"/>
              <w:jc w:val="center"/>
              <w:rPr>
                <w:b/>
              </w:rPr>
            </w:pPr>
          </w:p>
        </w:tc>
        <w:tc>
          <w:tcPr>
            <w:tcW w:w="1996" w:type="dxa"/>
            <w:tcBorders>
              <w:top w:val="nil"/>
            </w:tcBorders>
          </w:tcPr>
          <w:p w14:paraId="143B1545" w14:textId="77777777" w:rsidR="003E3AA9" w:rsidRPr="008912CF" w:rsidRDefault="00615769" w:rsidP="003E3AA9">
            <w:pPr>
              <w:pStyle w:val="EMEANormal"/>
              <w:widowControl w:val="0"/>
              <w:rPr>
                <w:szCs w:val="22"/>
                <w:lang w:val="pt-PT"/>
              </w:rPr>
            </w:pPr>
            <w:r w:rsidRPr="008912CF">
              <w:rPr>
                <w:szCs w:val="22"/>
                <w:lang w:val="pt-PT"/>
              </w:rPr>
              <w:t>Desconhecido</w:t>
            </w:r>
          </w:p>
          <w:p w14:paraId="39ABA4A6" w14:textId="77777777" w:rsidR="003E3AA9" w:rsidRPr="008912CF" w:rsidRDefault="003E3AA9" w:rsidP="00F675CF">
            <w:pPr>
              <w:pStyle w:val="EMEANormal"/>
              <w:widowControl w:val="0"/>
              <w:rPr>
                <w:szCs w:val="22"/>
                <w:lang w:val="pt-PT"/>
              </w:rPr>
            </w:pPr>
          </w:p>
        </w:tc>
        <w:tc>
          <w:tcPr>
            <w:tcW w:w="4346" w:type="dxa"/>
            <w:tcBorders>
              <w:top w:val="nil"/>
            </w:tcBorders>
          </w:tcPr>
          <w:p w14:paraId="08D85112" w14:textId="77777777" w:rsidR="003E3AA9" w:rsidRPr="008912CF" w:rsidRDefault="00615769" w:rsidP="003E3AA9">
            <w:pPr>
              <w:pStyle w:val="EMEANormal"/>
              <w:widowControl w:val="0"/>
              <w:rPr>
                <w:szCs w:val="22"/>
                <w:vertAlign w:val="superscript"/>
                <w:lang w:val="pt-PT"/>
              </w:rPr>
            </w:pPr>
            <w:r>
              <w:rPr>
                <w:szCs w:val="22"/>
                <w:lang w:val="pt-PT"/>
              </w:rPr>
              <w:t>A</w:t>
            </w:r>
            <w:r w:rsidRPr="008912CF">
              <w:rPr>
                <w:szCs w:val="22"/>
                <w:lang w:val="pt-PT"/>
              </w:rPr>
              <w:t>gravamento dos sintomas de dermatomiosite</w:t>
            </w:r>
            <w:r w:rsidRPr="008912CF">
              <w:rPr>
                <w:szCs w:val="22"/>
                <w:vertAlign w:val="superscript"/>
                <w:lang w:val="pt-PT"/>
              </w:rPr>
              <w:t>1)</w:t>
            </w:r>
          </w:p>
          <w:p w14:paraId="6DAACE11" w14:textId="77777777" w:rsidR="003E3AA9" w:rsidRDefault="003E3AA9" w:rsidP="00F675CF">
            <w:pPr>
              <w:pStyle w:val="EMEANormal"/>
              <w:widowControl w:val="0"/>
              <w:rPr>
                <w:szCs w:val="22"/>
                <w:lang w:val="pt-PT"/>
              </w:rPr>
            </w:pPr>
          </w:p>
        </w:tc>
      </w:tr>
      <w:tr w:rsidR="00A7162A" w14:paraId="42AF5971" w14:textId="77777777" w:rsidTr="00F675CF">
        <w:tc>
          <w:tcPr>
            <w:tcW w:w="2514" w:type="dxa"/>
            <w:vMerge w:val="restart"/>
          </w:tcPr>
          <w:p w14:paraId="2492E23C" w14:textId="77777777" w:rsidR="003E3AA9" w:rsidRPr="008912CF" w:rsidRDefault="00615769" w:rsidP="00F675CF">
            <w:pPr>
              <w:pStyle w:val="EMEANormal"/>
              <w:keepNext/>
              <w:widowControl w:val="0"/>
              <w:rPr>
                <w:szCs w:val="22"/>
                <w:lang w:val="pt-PT"/>
              </w:rPr>
            </w:pPr>
            <w:r w:rsidRPr="008912CF">
              <w:rPr>
                <w:szCs w:val="22"/>
                <w:lang w:val="pt-PT"/>
              </w:rPr>
              <w:t>Afeções musculoesqueléticas e dos tecidos conjuntivos</w:t>
            </w:r>
          </w:p>
        </w:tc>
        <w:tc>
          <w:tcPr>
            <w:tcW w:w="1996" w:type="dxa"/>
            <w:tcBorders>
              <w:bottom w:val="nil"/>
            </w:tcBorders>
          </w:tcPr>
          <w:p w14:paraId="31FDCD4C" w14:textId="77777777" w:rsidR="003E3AA9" w:rsidRPr="008912CF" w:rsidRDefault="00615769" w:rsidP="00F675CF">
            <w:pPr>
              <w:pStyle w:val="EMEANormal"/>
              <w:keepNext/>
              <w:widowControl w:val="0"/>
              <w:rPr>
                <w:szCs w:val="22"/>
                <w:lang w:val="pt-PT"/>
              </w:rPr>
            </w:pPr>
            <w:r w:rsidRPr="008912CF">
              <w:rPr>
                <w:szCs w:val="22"/>
                <w:lang w:val="pt-PT"/>
              </w:rPr>
              <w:t xml:space="preserve">Muito frequentes </w:t>
            </w:r>
          </w:p>
        </w:tc>
        <w:tc>
          <w:tcPr>
            <w:tcW w:w="4346" w:type="dxa"/>
            <w:tcBorders>
              <w:bottom w:val="nil"/>
            </w:tcBorders>
          </w:tcPr>
          <w:p w14:paraId="70B9AA9B" w14:textId="77777777" w:rsidR="003E3AA9" w:rsidRPr="008912CF" w:rsidRDefault="00615769" w:rsidP="00F675CF">
            <w:pPr>
              <w:pStyle w:val="EMEANormal"/>
              <w:keepNext/>
              <w:widowControl w:val="0"/>
              <w:rPr>
                <w:szCs w:val="22"/>
                <w:lang w:val="pt-PT"/>
              </w:rPr>
            </w:pPr>
            <w:r>
              <w:rPr>
                <w:szCs w:val="22"/>
                <w:lang w:val="pt-PT"/>
              </w:rPr>
              <w:t>D</w:t>
            </w:r>
            <w:r w:rsidRPr="008912CF">
              <w:rPr>
                <w:szCs w:val="22"/>
                <w:lang w:val="pt-PT"/>
              </w:rPr>
              <w:t>or musculoesquelética</w:t>
            </w:r>
          </w:p>
          <w:p w14:paraId="1DD2FFE3" w14:textId="77777777" w:rsidR="003E3AA9" w:rsidRPr="008912CF" w:rsidRDefault="003E3AA9" w:rsidP="00F675CF">
            <w:pPr>
              <w:pStyle w:val="EMEANormal"/>
              <w:keepNext/>
              <w:widowControl w:val="0"/>
              <w:rPr>
                <w:szCs w:val="22"/>
                <w:lang w:val="pt-PT"/>
              </w:rPr>
            </w:pPr>
          </w:p>
        </w:tc>
      </w:tr>
      <w:tr w:rsidR="00A7162A" w14:paraId="394CE7FD" w14:textId="77777777" w:rsidTr="00F675CF">
        <w:tc>
          <w:tcPr>
            <w:tcW w:w="2514" w:type="dxa"/>
            <w:vMerge/>
          </w:tcPr>
          <w:p w14:paraId="5C0723CF" w14:textId="77777777" w:rsidR="003E3AA9" w:rsidRPr="008912CF" w:rsidRDefault="003E3AA9" w:rsidP="00F675CF">
            <w:pPr>
              <w:pStyle w:val="EMEANormal"/>
              <w:keepNext/>
              <w:widowControl w:val="0"/>
              <w:rPr>
                <w:szCs w:val="22"/>
                <w:lang w:val="pt-PT"/>
              </w:rPr>
            </w:pPr>
          </w:p>
        </w:tc>
        <w:tc>
          <w:tcPr>
            <w:tcW w:w="1996" w:type="dxa"/>
            <w:tcBorders>
              <w:top w:val="nil"/>
              <w:bottom w:val="nil"/>
            </w:tcBorders>
          </w:tcPr>
          <w:p w14:paraId="18F59B49" w14:textId="77777777" w:rsidR="003E3AA9" w:rsidRPr="008912CF" w:rsidRDefault="00615769" w:rsidP="00F675CF">
            <w:pPr>
              <w:pStyle w:val="EMEANormal"/>
              <w:keepNext/>
              <w:widowControl w:val="0"/>
              <w:rPr>
                <w:szCs w:val="22"/>
                <w:lang w:val="pt-PT"/>
              </w:rPr>
            </w:pPr>
            <w:r w:rsidRPr="008912CF">
              <w:rPr>
                <w:szCs w:val="22"/>
                <w:lang w:val="pt-PT"/>
              </w:rPr>
              <w:t>Frequentes</w:t>
            </w:r>
          </w:p>
        </w:tc>
        <w:tc>
          <w:tcPr>
            <w:tcW w:w="4346" w:type="dxa"/>
            <w:tcBorders>
              <w:top w:val="nil"/>
              <w:bottom w:val="nil"/>
            </w:tcBorders>
          </w:tcPr>
          <w:p w14:paraId="21530641" w14:textId="77777777" w:rsidR="003E3AA9" w:rsidRPr="008912CF" w:rsidRDefault="00615769" w:rsidP="00F675CF">
            <w:pPr>
              <w:pStyle w:val="EMEANormal"/>
              <w:keepNext/>
              <w:widowControl w:val="0"/>
              <w:rPr>
                <w:szCs w:val="22"/>
                <w:lang w:val="pt-PT"/>
              </w:rPr>
            </w:pPr>
            <w:r>
              <w:rPr>
                <w:szCs w:val="22"/>
                <w:lang w:val="pt-PT"/>
              </w:rPr>
              <w:t>E</w:t>
            </w:r>
            <w:r w:rsidRPr="008912CF">
              <w:rPr>
                <w:szCs w:val="22"/>
                <w:lang w:val="pt-PT"/>
              </w:rPr>
              <w:t>spasmo muscular (incluindo nível sérico de creatinafosfoquinase aumentado)</w:t>
            </w:r>
          </w:p>
          <w:p w14:paraId="0923B113" w14:textId="77777777" w:rsidR="003E3AA9" w:rsidRPr="008912CF" w:rsidRDefault="003E3AA9" w:rsidP="00F675CF">
            <w:pPr>
              <w:pStyle w:val="EMEANormal"/>
              <w:keepNext/>
              <w:widowControl w:val="0"/>
              <w:rPr>
                <w:szCs w:val="22"/>
                <w:lang w:val="pt-PT"/>
              </w:rPr>
            </w:pPr>
          </w:p>
        </w:tc>
      </w:tr>
      <w:tr w:rsidR="00A7162A" w14:paraId="2F455D02" w14:textId="77777777" w:rsidTr="00E7354C">
        <w:tc>
          <w:tcPr>
            <w:tcW w:w="2514" w:type="dxa"/>
            <w:vMerge/>
          </w:tcPr>
          <w:p w14:paraId="566CB6B1" w14:textId="77777777" w:rsidR="003E3AA9" w:rsidRPr="008912CF" w:rsidRDefault="003E3AA9" w:rsidP="00F675CF">
            <w:pPr>
              <w:keepNext/>
              <w:widowControl w:val="0"/>
              <w:jc w:val="center"/>
              <w:rPr>
                <w:b/>
              </w:rPr>
            </w:pPr>
          </w:p>
        </w:tc>
        <w:tc>
          <w:tcPr>
            <w:tcW w:w="1996" w:type="dxa"/>
            <w:tcBorders>
              <w:top w:val="nil"/>
              <w:bottom w:val="nil"/>
            </w:tcBorders>
          </w:tcPr>
          <w:p w14:paraId="23A97FB7" w14:textId="77777777" w:rsidR="003E3AA9" w:rsidRPr="008912CF" w:rsidRDefault="00615769" w:rsidP="00F675CF">
            <w:pPr>
              <w:pStyle w:val="EMEANormal"/>
              <w:keepNext/>
              <w:widowControl w:val="0"/>
              <w:rPr>
                <w:szCs w:val="22"/>
                <w:lang w:val="pt-PT"/>
              </w:rPr>
            </w:pPr>
            <w:r w:rsidRPr="008912CF">
              <w:rPr>
                <w:szCs w:val="22"/>
                <w:lang w:val="pt-PT"/>
              </w:rPr>
              <w:t>Pouco frequentes</w:t>
            </w:r>
          </w:p>
          <w:p w14:paraId="38955A09" w14:textId="77777777" w:rsidR="003E3AA9" w:rsidRPr="008912CF" w:rsidRDefault="003E3AA9" w:rsidP="00F675CF">
            <w:pPr>
              <w:pStyle w:val="EMEANormal"/>
              <w:keepNext/>
              <w:widowControl w:val="0"/>
              <w:rPr>
                <w:szCs w:val="22"/>
                <w:lang w:val="pt-PT"/>
              </w:rPr>
            </w:pPr>
          </w:p>
          <w:p w14:paraId="54ABDAD8" w14:textId="77777777" w:rsidR="003E3AA9" w:rsidRPr="008912CF" w:rsidRDefault="003E3AA9" w:rsidP="00F675CF">
            <w:pPr>
              <w:pStyle w:val="EMEANormal"/>
              <w:keepNext/>
              <w:widowControl w:val="0"/>
              <w:rPr>
                <w:szCs w:val="22"/>
                <w:lang w:val="pt-PT"/>
              </w:rPr>
            </w:pPr>
          </w:p>
        </w:tc>
        <w:tc>
          <w:tcPr>
            <w:tcW w:w="4346" w:type="dxa"/>
            <w:tcBorders>
              <w:top w:val="nil"/>
              <w:bottom w:val="nil"/>
            </w:tcBorders>
          </w:tcPr>
          <w:p w14:paraId="5FF7668F" w14:textId="77777777" w:rsidR="003E3AA9" w:rsidRPr="008912CF" w:rsidRDefault="00615769" w:rsidP="00F675CF">
            <w:pPr>
              <w:pStyle w:val="EMEANormal"/>
              <w:keepNext/>
              <w:rPr>
                <w:szCs w:val="22"/>
                <w:lang w:val="pt-PT"/>
              </w:rPr>
            </w:pPr>
            <w:r>
              <w:rPr>
                <w:szCs w:val="22"/>
                <w:lang w:val="pt-PT"/>
              </w:rPr>
              <w:t>R</w:t>
            </w:r>
            <w:r w:rsidRPr="008912CF">
              <w:rPr>
                <w:szCs w:val="22"/>
                <w:lang w:val="pt-PT"/>
              </w:rPr>
              <w:t>abdomiólise,</w:t>
            </w:r>
          </w:p>
          <w:p w14:paraId="312670D7" w14:textId="77777777" w:rsidR="003E3AA9" w:rsidRPr="008912CF" w:rsidRDefault="00615769" w:rsidP="00F675CF">
            <w:pPr>
              <w:pStyle w:val="EMEANormal"/>
              <w:keepNext/>
              <w:widowControl w:val="0"/>
              <w:rPr>
                <w:szCs w:val="22"/>
                <w:lang w:val="pt-PT"/>
              </w:rPr>
            </w:pPr>
            <w:r w:rsidRPr="008912CF">
              <w:rPr>
                <w:szCs w:val="22"/>
                <w:lang w:val="pt-PT"/>
              </w:rPr>
              <w:t>lúpus eritematoso sistémico</w:t>
            </w:r>
          </w:p>
          <w:p w14:paraId="2AC3A95F" w14:textId="77777777" w:rsidR="003E3AA9" w:rsidRPr="008912CF" w:rsidRDefault="003E3AA9" w:rsidP="00F675CF">
            <w:pPr>
              <w:pStyle w:val="EMEANormal"/>
              <w:keepNext/>
              <w:widowControl w:val="0"/>
              <w:rPr>
                <w:szCs w:val="22"/>
                <w:lang w:val="pt-PT"/>
              </w:rPr>
            </w:pPr>
          </w:p>
        </w:tc>
      </w:tr>
      <w:tr w:rsidR="00A7162A" w14:paraId="4EA96637" w14:textId="77777777" w:rsidTr="00E7354C">
        <w:tc>
          <w:tcPr>
            <w:tcW w:w="2514" w:type="dxa"/>
            <w:vMerge/>
          </w:tcPr>
          <w:p w14:paraId="130DD1BF" w14:textId="77777777" w:rsidR="003E3AA9" w:rsidRPr="008912CF" w:rsidRDefault="003E3AA9" w:rsidP="00F675CF">
            <w:pPr>
              <w:keepNext/>
              <w:widowControl w:val="0"/>
              <w:jc w:val="center"/>
              <w:rPr>
                <w:b/>
              </w:rPr>
            </w:pPr>
          </w:p>
        </w:tc>
        <w:tc>
          <w:tcPr>
            <w:tcW w:w="1996" w:type="dxa"/>
            <w:tcBorders>
              <w:top w:val="nil"/>
            </w:tcBorders>
          </w:tcPr>
          <w:p w14:paraId="143452D3" w14:textId="77777777" w:rsidR="003E3AA9" w:rsidRPr="008912CF" w:rsidRDefault="00615769" w:rsidP="00F675CF">
            <w:pPr>
              <w:pStyle w:val="EMEANormal"/>
              <w:keepNext/>
              <w:widowControl w:val="0"/>
              <w:rPr>
                <w:szCs w:val="22"/>
                <w:lang w:val="pt-PT"/>
              </w:rPr>
            </w:pPr>
            <w:r w:rsidRPr="008912CF">
              <w:rPr>
                <w:szCs w:val="22"/>
                <w:lang w:val="pt-PT"/>
              </w:rPr>
              <w:t>Raros</w:t>
            </w:r>
          </w:p>
        </w:tc>
        <w:tc>
          <w:tcPr>
            <w:tcW w:w="4346" w:type="dxa"/>
            <w:tcBorders>
              <w:top w:val="nil"/>
            </w:tcBorders>
          </w:tcPr>
          <w:p w14:paraId="365A123D" w14:textId="77777777" w:rsidR="003E3AA9" w:rsidRPr="008912CF" w:rsidRDefault="00615769" w:rsidP="00F675CF">
            <w:pPr>
              <w:pStyle w:val="EMEANormal"/>
              <w:keepNext/>
              <w:widowControl w:val="0"/>
              <w:rPr>
                <w:szCs w:val="22"/>
                <w:vertAlign w:val="superscript"/>
                <w:lang w:val="pt-PT"/>
              </w:rPr>
            </w:pPr>
            <w:r>
              <w:rPr>
                <w:szCs w:val="22"/>
                <w:lang w:val="pt-PT"/>
              </w:rPr>
              <w:t>S</w:t>
            </w:r>
            <w:r w:rsidRPr="008912CF">
              <w:rPr>
                <w:szCs w:val="22"/>
                <w:lang w:val="pt-PT"/>
              </w:rPr>
              <w:t>índrome tipo lúpus</w:t>
            </w:r>
            <w:r w:rsidRPr="008912CF">
              <w:rPr>
                <w:szCs w:val="22"/>
                <w:vertAlign w:val="superscript"/>
                <w:lang w:val="pt-PT"/>
              </w:rPr>
              <w:t>1)</w:t>
            </w:r>
          </w:p>
          <w:p w14:paraId="387A80BB" w14:textId="77777777" w:rsidR="003E3AA9" w:rsidRPr="008912CF" w:rsidRDefault="003E3AA9" w:rsidP="00F675CF">
            <w:pPr>
              <w:pStyle w:val="EMEANormal"/>
              <w:keepNext/>
              <w:rPr>
                <w:szCs w:val="22"/>
                <w:lang w:val="pt-PT"/>
              </w:rPr>
            </w:pPr>
          </w:p>
        </w:tc>
      </w:tr>
      <w:tr w:rsidR="00A7162A" w14:paraId="134FC542" w14:textId="77777777" w:rsidTr="00F675CF">
        <w:tc>
          <w:tcPr>
            <w:tcW w:w="2514" w:type="dxa"/>
            <w:vMerge w:val="restart"/>
          </w:tcPr>
          <w:p w14:paraId="53C3357B" w14:textId="77777777" w:rsidR="004462A0" w:rsidRPr="008912CF" w:rsidRDefault="00615769" w:rsidP="00F675CF">
            <w:pPr>
              <w:pStyle w:val="EMEANormal"/>
              <w:widowControl w:val="0"/>
              <w:rPr>
                <w:szCs w:val="22"/>
                <w:lang w:val="pt-PT"/>
              </w:rPr>
            </w:pPr>
            <w:r w:rsidRPr="008912CF">
              <w:rPr>
                <w:szCs w:val="22"/>
                <w:lang w:val="pt-PT"/>
              </w:rPr>
              <w:t>Doenças renais e urinárias</w:t>
            </w:r>
          </w:p>
        </w:tc>
        <w:tc>
          <w:tcPr>
            <w:tcW w:w="1996" w:type="dxa"/>
            <w:tcBorders>
              <w:bottom w:val="nil"/>
            </w:tcBorders>
          </w:tcPr>
          <w:p w14:paraId="02E77FF0" w14:textId="77777777" w:rsidR="004462A0" w:rsidRPr="008912CF" w:rsidRDefault="00615769" w:rsidP="00F675CF">
            <w:pPr>
              <w:pStyle w:val="EMEANormal"/>
              <w:widowControl w:val="0"/>
              <w:rPr>
                <w:szCs w:val="22"/>
                <w:lang w:val="pt-PT"/>
              </w:rPr>
            </w:pPr>
            <w:r w:rsidRPr="008912CF">
              <w:rPr>
                <w:szCs w:val="22"/>
                <w:lang w:val="pt-PT"/>
              </w:rPr>
              <w:t>Frequentes</w:t>
            </w:r>
          </w:p>
          <w:p w14:paraId="0623BBE9" w14:textId="77777777" w:rsidR="004462A0" w:rsidRPr="008912CF" w:rsidRDefault="004462A0" w:rsidP="00F675CF">
            <w:pPr>
              <w:pStyle w:val="EMEANormal"/>
              <w:widowControl w:val="0"/>
              <w:rPr>
                <w:szCs w:val="22"/>
                <w:lang w:val="pt-PT"/>
              </w:rPr>
            </w:pPr>
          </w:p>
        </w:tc>
        <w:tc>
          <w:tcPr>
            <w:tcW w:w="4346" w:type="dxa"/>
            <w:tcBorders>
              <w:bottom w:val="nil"/>
            </w:tcBorders>
          </w:tcPr>
          <w:p w14:paraId="23EC8316" w14:textId="77777777" w:rsidR="004462A0" w:rsidRPr="008912CF" w:rsidRDefault="00615769" w:rsidP="00F675CF">
            <w:pPr>
              <w:pStyle w:val="EMEANormal"/>
              <w:widowControl w:val="0"/>
              <w:rPr>
                <w:szCs w:val="22"/>
                <w:lang w:val="pt-PT"/>
              </w:rPr>
            </w:pPr>
            <w:r>
              <w:rPr>
                <w:szCs w:val="22"/>
                <w:lang w:val="pt-PT"/>
              </w:rPr>
              <w:t>C</w:t>
            </w:r>
            <w:r w:rsidRPr="008912CF">
              <w:rPr>
                <w:szCs w:val="22"/>
                <w:lang w:val="pt-PT"/>
              </w:rPr>
              <w:t>ompromisso renal,</w:t>
            </w:r>
          </w:p>
          <w:p w14:paraId="436D9842" w14:textId="77777777" w:rsidR="004462A0" w:rsidRPr="008912CF" w:rsidRDefault="00615769" w:rsidP="00F675CF">
            <w:pPr>
              <w:pStyle w:val="EMEANormal"/>
              <w:widowControl w:val="0"/>
              <w:rPr>
                <w:szCs w:val="22"/>
                <w:lang w:val="pt-PT"/>
              </w:rPr>
            </w:pPr>
            <w:r w:rsidRPr="008912CF">
              <w:rPr>
                <w:szCs w:val="22"/>
                <w:lang w:val="pt-PT"/>
              </w:rPr>
              <w:t>hematúria</w:t>
            </w:r>
          </w:p>
          <w:p w14:paraId="5E76EC30" w14:textId="77777777" w:rsidR="004462A0" w:rsidRPr="008912CF" w:rsidRDefault="004462A0" w:rsidP="00F675CF">
            <w:pPr>
              <w:pStyle w:val="EMEANormal"/>
              <w:widowControl w:val="0"/>
              <w:rPr>
                <w:szCs w:val="22"/>
                <w:lang w:val="pt-PT"/>
              </w:rPr>
            </w:pPr>
          </w:p>
        </w:tc>
      </w:tr>
      <w:tr w:rsidR="00A7162A" w14:paraId="07955B0C" w14:textId="77777777" w:rsidTr="00F675CF">
        <w:tc>
          <w:tcPr>
            <w:tcW w:w="2514" w:type="dxa"/>
            <w:vMerge/>
          </w:tcPr>
          <w:p w14:paraId="764F23F4" w14:textId="77777777" w:rsidR="004462A0" w:rsidRPr="008912CF" w:rsidRDefault="004462A0" w:rsidP="00F675CF">
            <w:pPr>
              <w:widowControl w:val="0"/>
              <w:jc w:val="center"/>
              <w:rPr>
                <w:b/>
              </w:rPr>
            </w:pPr>
          </w:p>
        </w:tc>
        <w:tc>
          <w:tcPr>
            <w:tcW w:w="1996" w:type="dxa"/>
            <w:tcBorders>
              <w:top w:val="nil"/>
            </w:tcBorders>
          </w:tcPr>
          <w:p w14:paraId="55234392" w14:textId="77777777" w:rsidR="004462A0" w:rsidRPr="008912CF" w:rsidRDefault="00615769" w:rsidP="00F675CF">
            <w:pPr>
              <w:pStyle w:val="EMEANormal"/>
              <w:widowControl w:val="0"/>
              <w:rPr>
                <w:szCs w:val="22"/>
                <w:lang w:val="pt-PT"/>
              </w:rPr>
            </w:pPr>
            <w:r w:rsidRPr="008912CF">
              <w:rPr>
                <w:szCs w:val="22"/>
                <w:lang w:val="pt-PT"/>
              </w:rPr>
              <w:t>Pouco frequentes</w:t>
            </w:r>
          </w:p>
        </w:tc>
        <w:tc>
          <w:tcPr>
            <w:tcW w:w="4346" w:type="dxa"/>
            <w:tcBorders>
              <w:top w:val="nil"/>
            </w:tcBorders>
          </w:tcPr>
          <w:p w14:paraId="44E422A9" w14:textId="77777777" w:rsidR="004462A0" w:rsidRPr="008912CF" w:rsidRDefault="00615769" w:rsidP="00F675CF">
            <w:pPr>
              <w:pStyle w:val="EMEANormal"/>
              <w:widowControl w:val="0"/>
              <w:rPr>
                <w:szCs w:val="22"/>
                <w:lang w:val="pt-PT"/>
              </w:rPr>
            </w:pPr>
            <w:r>
              <w:rPr>
                <w:szCs w:val="22"/>
                <w:lang w:val="pt-PT"/>
              </w:rPr>
              <w:t>N</w:t>
            </w:r>
            <w:r w:rsidRPr="008912CF">
              <w:rPr>
                <w:szCs w:val="22"/>
                <w:lang w:val="pt-PT"/>
              </w:rPr>
              <w:t>octúria</w:t>
            </w:r>
          </w:p>
          <w:p w14:paraId="7F129970" w14:textId="77777777" w:rsidR="004462A0" w:rsidRPr="008912CF" w:rsidRDefault="004462A0" w:rsidP="00F675CF">
            <w:pPr>
              <w:pStyle w:val="EMEANormal"/>
              <w:widowControl w:val="0"/>
              <w:rPr>
                <w:szCs w:val="22"/>
                <w:lang w:val="pt-PT"/>
              </w:rPr>
            </w:pPr>
          </w:p>
        </w:tc>
      </w:tr>
      <w:tr w:rsidR="00A7162A" w14:paraId="10023A03" w14:textId="77777777" w:rsidTr="00F675CF">
        <w:tc>
          <w:tcPr>
            <w:tcW w:w="2514" w:type="dxa"/>
          </w:tcPr>
          <w:p w14:paraId="07D28A7E" w14:textId="77777777" w:rsidR="004462A0" w:rsidRPr="008912CF" w:rsidRDefault="00615769" w:rsidP="00F675CF">
            <w:pPr>
              <w:pStyle w:val="EMEANormal"/>
              <w:widowControl w:val="0"/>
              <w:rPr>
                <w:szCs w:val="22"/>
                <w:lang w:val="pt-PT"/>
              </w:rPr>
            </w:pPr>
            <w:r w:rsidRPr="008912CF">
              <w:rPr>
                <w:szCs w:val="22"/>
                <w:lang w:val="pt-PT"/>
              </w:rPr>
              <w:t>Doenças dos órgãos genitais e da mama</w:t>
            </w:r>
          </w:p>
        </w:tc>
        <w:tc>
          <w:tcPr>
            <w:tcW w:w="1996" w:type="dxa"/>
          </w:tcPr>
          <w:p w14:paraId="3317C0EB" w14:textId="77777777" w:rsidR="004462A0" w:rsidRPr="008912CF" w:rsidRDefault="00615769" w:rsidP="00F675CF">
            <w:pPr>
              <w:pStyle w:val="EMEANormal"/>
              <w:widowControl w:val="0"/>
              <w:rPr>
                <w:szCs w:val="22"/>
                <w:lang w:val="pt-PT"/>
              </w:rPr>
            </w:pPr>
            <w:r w:rsidRPr="008912CF">
              <w:rPr>
                <w:szCs w:val="22"/>
                <w:lang w:val="pt-PT"/>
              </w:rPr>
              <w:t>Pouco frequentes</w:t>
            </w:r>
          </w:p>
        </w:tc>
        <w:tc>
          <w:tcPr>
            <w:tcW w:w="4346" w:type="dxa"/>
          </w:tcPr>
          <w:p w14:paraId="3150B33D" w14:textId="77777777" w:rsidR="004462A0" w:rsidRPr="008912CF" w:rsidRDefault="00615769" w:rsidP="00F675CF">
            <w:pPr>
              <w:pStyle w:val="EMEANormal"/>
              <w:widowControl w:val="0"/>
              <w:rPr>
                <w:szCs w:val="22"/>
                <w:lang w:val="pt-PT"/>
              </w:rPr>
            </w:pPr>
            <w:r>
              <w:rPr>
                <w:szCs w:val="22"/>
                <w:lang w:val="pt-PT"/>
              </w:rPr>
              <w:t>D</w:t>
            </w:r>
            <w:r w:rsidRPr="008912CF">
              <w:rPr>
                <w:szCs w:val="22"/>
                <w:lang w:val="pt-PT"/>
              </w:rPr>
              <w:t>isfunção erétil</w:t>
            </w:r>
          </w:p>
          <w:p w14:paraId="7FF90A04" w14:textId="77777777" w:rsidR="004462A0" w:rsidRPr="008912CF" w:rsidRDefault="004462A0" w:rsidP="00F675CF">
            <w:pPr>
              <w:pStyle w:val="EMEANormal"/>
              <w:widowControl w:val="0"/>
              <w:rPr>
                <w:szCs w:val="22"/>
                <w:lang w:val="pt-PT"/>
              </w:rPr>
            </w:pPr>
          </w:p>
        </w:tc>
      </w:tr>
      <w:tr w:rsidR="00A7162A" w14:paraId="5543A6F6" w14:textId="77777777" w:rsidTr="00F675CF">
        <w:tc>
          <w:tcPr>
            <w:tcW w:w="2514" w:type="dxa"/>
            <w:vMerge w:val="restart"/>
          </w:tcPr>
          <w:p w14:paraId="407830A0" w14:textId="77777777" w:rsidR="004462A0" w:rsidRPr="008912CF" w:rsidRDefault="00615769" w:rsidP="00F675CF">
            <w:pPr>
              <w:pStyle w:val="EMEANormal"/>
              <w:widowControl w:val="0"/>
              <w:rPr>
                <w:szCs w:val="22"/>
                <w:lang w:val="pt-PT"/>
              </w:rPr>
            </w:pPr>
            <w:r w:rsidRPr="008912CF">
              <w:rPr>
                <w:szCs w:val="22"/>
                <w:lang w:val="pt-PT"/>
              </w:rPr>
              <w:t>Perturbações gerais e alterações no local de administração *</w:t>
            </w:r>
          </w:p>
        </w:tc>
        <w:tc>
          <w:tcPr>
            <w:tcW w:w="1996" w:type="dxa"/>
            <w:tcBorders>
              <w:bottom w:val="nil"/>
            </w:tcBorders>
          </w:tcPr>
          <w:p w14:paraId="5DEE320E" w14:textId="77777777" w:rsidR="004462A0" w:rsidRPr="008912CF" w:rsidRDefault="00615769" w:rsidP="00F675CF">
            <w:pPr>
              <w:pStyle w:val="EMEANormal"/>
              <w:widowControl w:val="0"/>
              <w:rPr>
                <w:szCs w:val="22"/>
                <w:lang w:val="pt-PT"/>
              </w:rPr>
            </w:pPr>
            <w:r w:rsidRPr="008912CF">
              <w:rPr>
                <w:szCs w:val="22"/>
                <w:lang w:val="pt-PT"/>
              </w:rPr>
              <w:t xml:space="preserve">Muito frequentes </w:t>
            </w:r>
          </w:p>
        </w:tc>
        <w:tc>
          <w:tcPr>
            <w:tcW w:w="4346" w:type="dxa"/>
            <w:tcBorders>
              <w:bottom w:val="nil"/>
            </w:tcBorders>
          </w:tcPr>
          <w:p w14:paraId="16032B50" w14:textId="77777777" w:rsidR="004462A0" w:rsidRPr="008912CF" w:rsidRDefault="00615769" w:rsidP="00F675CF">
            <w:pPr>
              <w:pStyle w:val="EMEANormal"/>
              <w:widowControl w:val="0"/>
              <w:rPr>
                <w:szCs w:val="22"/>
                <w:lang w:val="pt-PT"/>
              </w:rPr>
            </w:pPr>
            <w:r>
              <w:rPr>
                <w:szCs w:val="22"/>
                <w:lang w:val="pt-PT"/>
              </w:rPr>
              <w:t>R</w:t>
            </w:r>
            <w:r w:rsidRPr="008912CF">
              <w:rPr>
                <w:szCs w:val="22"/>
                <w:lang w:val="pt-PT"/>
              </w:rPr>
              <w:t>eação no local da injeção (incluindo eritema no local de injeção)</w:t>
            </w:r>
          </w:p>
          <w:p w14:paraId="12A168F1" w14:textId="77777777" w:rsidR="004462A0" w:rsidRPr="008912CF" w:rsidRDefault="004462A0" w:rsidP="00F675CF">
            <w:pPr>
              <w:pStyle w:val="EMEANormal"/>
              <w:widowControl w:val="0"/>
              <w:rPr>
                <w:szCs w:val="22"/>
                <w:lang w:val="pt-PT"/>
              </w:rPr>
            </w:pPr>
          </w:p>
        </w:tc>
      </w:tr>
      <w:tr w:rsidR="00A7162A" w14:paraId="5699E05F" w14:textId="77777777" w:rsidTr="00F675CF">
        <w:tc>
          <w:tcPr>
            <w:tcW w:w="2514" w:type="dxa"/>
            <w:vMerge/>
          </w:tcPr>
          <w:p w14:paraId="1F691B2A" w14:textId="77777777" w:rsidR="004462A0" w:rsidRPr="008912CF" w:rsidRDefault="004462A0" w:rsidP="00F675CF">
            <w:pPr>
              <w:widowControl w:val="0"/>
              <w:jc w:val="center"/>
              <w:rPr>
                <w:b/>
              </w:rPr>
            </w:pPr>
          </w:p>
        </w:tc>
        <w:tc>
          <w:tcPr>
            <w:tcW w:w="1996" w:type="dxa"/>
            <w:tcBorders>
              <w:top w:val="nil"/>
              <w:bottom w:val="nil"/>
            </w:tcBorders>
          </w:tcPr>
          <w:p w14:paraId="1E43CE09" w14:textId="77777777" w:rsidR="004462A0" w:rsidRPr="008912CF" w:rsidRDefault="00615769" w:rsidP="00F675CF">
            <w:pPr>
              <w:pStyle w:val="EMEANormal"/>
              <w:widowControl w:val="0"/>
              <w:rPr>
                <w:szCs w:val="22"/>
                <w:lang w:val="pt-PT"/>
              </w:rPr>
            </w:pPr>
            <w:r w:rsidRPr="008912CF">
              <w:rPr>
                <w:szCs w:val="22"/>
                <w:lang w:val="pt-PT"/>
              </w:rPr>
              <w:t>Frequentes</w:t>
            </w:r>
          </w:p>
          <w:p w14:paraId="2A43F674" w14:textId="77777777" w:rsidR="004462A0" w:rsidRPr="008912CF" w:rsidRDefault="004462A0" w:rsidP="00F675CF">
            <w:pPr>
              <w:pStyle w:val="EMEANormal"/>
              <w:widowControl w:val="0"/>
              <w:rPr>
                <w:szCs w:val="22"/>
                <w:lang w:val="pt-PT"/>
              </w:rPr>
            </w:pPr>
          </w:p>
        </w:tc>
        <w:tc>
          <w:tcPr>
            <w:tcW w:w="4346" w:type="dxa"/>
            <w:tcBorders>
              <w:top w:val="nil"/>
              <w:bottom w:val="nil"/>
            </w:tcBorders>
          </w:tcPr>
          <w:p w14:paraId="0C52890D" w14:textId="77777777" w:rsidR="004462A0" w:rsidRPr="008912CF" w:rsidRDefault="00615769" w:rsidP="00F675CF">
            <w:pPr>
              <w:pStyle w:val="EMEANormal"/>
              <w:widowControl w:val="0"/>
              <w:rPr>
                <w:szCs w:val="22"/>
                <w:lang w:val="pt-PT"/>
              </w:rPr>
            </w:pPr>
            <w:r>
              <w:rPr>
                <w:szCs w:val="22"/>
                <w:lang w:val="pt-PT"/>
              </w:rPr>
              <w:t>D</w:t>
            </w:r>
            <w:r w:rsidRPr="008912CF">
              <w:rPr>
                <w:szCs w:val="22"/>
                <w:lang w:val="pt-PT"/>
              </w:rPr>
              <w:t>or torácica,</w:t>
            </w:r>
          </w:p>
          <w:p w14:paraId="55606115" w14:textId="77777777" w:rsidR="004462A0" w:rsidRPr="008912CF" w:rsidRDefault="00615769" w:rsidP="00F675CF">
            <w:pPr>
              <w:pStyle w:val="EMEANormal"/>
              <w:widowControl w:val="0"/>
              <w:rPr>
                <w:szCs w:val="22"/>
                <w:lang w:val="pt-PT"/>
              </w:rPr>
            </w:pPr>
            <w:r w:rsidRPr="008912CF">
              <w:rPr>
                <w:szCs w:val="22"/>
                <w:lang w:val="pt-PT"/>
              </w:rPr>
              <w:t>edema,</w:t>
            </w:r>
          </w:p>
          <w:p w14:paraId="6D7946A8" w14:textId="77777777" w:rsidR="004462A0" w:rsidRPr="008912CF" w:rsidRDefault="00615769" w:rsidP="00F675CF">
            <w:pPr>
              <w:pStyle w:val="EMEANormal"/>
              <w:widowControl w:val="0"/>
              <w:rPr>
                <w:szCs w:val="22"/>
                <w:lang w:val="pt-PT"/>
              </w:rPr>
            </w:pPr>
            <w:r w:rsidRPr="008912CF">
              <w:rPr>
                <w:szCs w:val="22"/>
                <w:lang w:val="pt-PT"/>
              </w:rPr>
              <w:t>febre</w:t>
            </w:r>
            <w:r w:rsidRPr="008912CF">
              <w:rPr>
                <w:szCs w:val="22"/>
                <w:vertAlign w:val="superscript"/>
                <w:lang w:val="pt-PT"/>
              </w:rPr>
              <w:t>1)</w:t>
            </w:r>
          </w:p>
          <w:p w14:paraId="609887AD" w14:textId="77777777" w:rsidR="004462A0" w:rsidRPr="008912CF" w:rsidRDefault="004462A0" w:rsidP="00F675CF">
            <w:pPr>
              <w:pStyle w:val="EMEANormal"/>
              <w:widowControl w:val="0"/>
              <w:rPr>
                <w:szCs w:val="22"/>
                <w:lang w:val="pt-PT"/>
              </w:rPr>
            </w:pPr>
          </w:p>
        </w:tc>
      </w:tr>
      <w:tr w:rsidR="00A7162A" w14:paraId="23AB8E9B" w14:textId="77777777" w:rsidTr="0004619E">
        <w:tc>
          <w:tcPr>
            <w:tcW w:w="2514" w:type="dxa"/>
            <w:vMerge/>
          </w:tcPr>
          <w:p w14:paraId="68418542" w14:textId="77777777" w:rsidR="004462A0" w:rsidRPr="008912CF" w:rsidRDefault="004462A0" w:rsidP="00F675CF">
            <w:pPr>
              <w:widowControl w:val="0"/>
              <w:jc w:val="center"/>
              <w:rPr>
                <w:b/>
              </w:rPr>
            </w:pPr>
          </w:p>
        </w:tc>
        <w:tc>
          <w:tcPr>
            <w:tcW w:w="1996" w:type="dxa"/>
            <w:tcBorders>
              <w:top w:val="nil"/>
              <w:bottom w:val="single" w:sz="4" w:space="0" w:color="auto"/>
            </w:tcBorders>
          </w:tcPr>
          <w:p w14:paraId="34A232A2" w14:textId="77777777" w:rsidR="004462A0" w:rsidRPr="008912CF" w:rsidRDefault="00615769" w:rsidP="00F675CF">
            <w:pPr>
              <w:pStyle w:val="EMEANormal"/>
              <w:widowControl w:val="0"/>
              <w:rPr>
                <w:szCs w:val="22"/>
                <w:lang w:val="pt-PT"/>
              </w:rPr>
            </w:pPr>
            <w:r w:rsidRPr="008912CF">
              <w:rPr>
                <w:szCs w:val="22"/>
                <w:lang w:val="pt-PT"/>
              </w:rPr>
              <w:t>Pouco frequentes</w:t>
            </w:r>
          </w:p>
        </w:tc>
        <w:tc>
          <w:tcPr>
            <w:tcW w:w="4346" w:type="dxa"/>
            <w:tcBorders>
              <w:top w:val="nil"/>
              <w:bottom w:val="single" w:sz="4" w:space="0" w:color="auto"/>
            </w:tcBorders>
          </w:tcPr>
          <w:p w14:paraId="4D7D3BC8" w14:textId="77777777" w:rsidR="004462A0" w:rsidRPr="008912CF" w:rsidRDefault="00615769" w:rsidP="00F675CF">
            <w:pPr>
              <w:pStyle w:val="EMEANormal"/>
              <w:widowControl w:val="0"/>
              <w:rPr>
                <w:szCs w:val="22"/>
                <w:lang w:val="pt-PT"/>
              </w:rPr>
            </w:pPr>
            <w:r>
              <w:rPr>
                <w:szCs w:val="22"/>
                <w:lang w:val="pt-PT"/>
              </w:rPr>
              <w:t>I</w:t>
            </w:r>
            <w:r w:rsidRPr="008912CF">
              <w:rPr>
                <w:szCs w:val="22"/>
                <w:lang w:val="pt-PT"/>
              </w:rPr>
              <w:t>nflamação</w:t>
            </w:r>
          </w:p>
          <w:p w14:paraId="586B33B5" w14:textId="77777777" w:rsidR="004462A0" w:rsidRPr="008912CF" w:rsidRDefault="004462A0" w:rsidP="00F675CF">
            <w:pPr>
              <w:pStyle w:val="EMEANormal"/>
              <w:widowControl w:val="0"/>
              <w:rPr>
                <w:szCs w:val="22"/>
                <w:lang w:val="pt-PT"/>
              </w:rPr>
            </w:pPr>
          </w:p>
        </w:tc>
      </w:tr>
      <w:tr w:rsidR="00A7162A" w14:paraId="311C85B9" w14:textId="77777777" w:rsidTr="002C7DF9">
        <w:trPr>
          <w:trHeight w:val="2530"/>
        </w:trPr>
        <w:tc>
          <w:tcPr>
            <w:tcW w:w="2514" w:type="dxa"/>
          </w:tcPr>
          <w:p w14:paraId="078AA0B6" w14:textId="77777777" w:rsidR="002F2449" w:rsidRPr="008912CF" w:rsidRDefault="00615769" w:rsidP="00F675CF">
            <w:pPr>
              <w:pStyle w:val="EMEANormal"/>
              <w:widowControl w:val="0"/>
              <w:rPr>
                <w:szCs w:val="22"/>
                <w:lang w:val="pt-PT"/>
              </w:rPr>
            </w:pPr>
            <w:r w:rsidRPr="008912CF">
              <w:rPr>
                <w:szCs w:val="22"/>
                <w:lang w:val="pt-PT"/>
              </w:rPr>
              <w:t>Exames complementares de diagnóstico*</w:t>
            </w:r>
          </w:p>
        </w:tc>
        <w:tc>
          <w:tcPr>
            <w:tcW w:w="1996" w:type="dxa"/>
          </w:tcPr>
          <w:p w14:paraId="6C4415C5" w14:textId="77777777" w:rsidR="002F2449" w:rsidRDefault="00615769" w:rsidP="00F675CF">
            <w:pPr>
              <w:pStyle w:val="EMEANormal"/>
              <w:widowControl w:val="0"/>
              <w:rPr>
                <w:szCs w:val="22"/>
                <w:lang w:val="pt-PT"/>
              </w:rPr>
            </w:pPr>
            <w:r w:rsidRPr="008912CF">
              <w:rPr>
                <w:szCs w:val="22"/>
                <w:lang w:val="pt-PT"/>
              </w:rPr>
              <w:t>Frequentes</w:t>
            </w:r>
          </w:p>
          <w:p w14:paraId="0B04147D" w14:textId="77777777" w:rsidR="002F2449" w:rsidRDefault="002F2449" w:rsidP="00F675CF">
            <w:pPr>
              <w:pStyle w:val="EMEANormal"/>
              <w:widowControl w:val="0"/>
              <w:rPr>
                <w:szCs w:val="22"/>
                <w:lang w:val="pt-PT"/>
              </w:rPr>
            </w:pPr>
          </w:p>
          <w:p w14:paraId="3692C4DF" w14:textId="77777777" w:rsidR="002F2449" w:rsidRDefault="002F2449" w:rsidP="00F675CF">
            <w:pPr>
              <w:pStyle w:val="EMEANormal"/>
              <w:widowControl w:val="0"/>
              <w:rPr>
                <w:szCs w:val="22"/>
                <w:lang w:val="pt-PT"/>
              </w:rPr>
            </w:pPr>
          </w:p>
          <w:p w14:paraId="37976119" w14:textId="77777777" w:rsidR="002F2449" w:rsidRDefault="002F2449" w:rsidP="00F675CF">
            <w:pPr>
              <w:pStyle w:val="EMEANormal"/>
              <w:widowControl w:val="0"/>
              <w:rPr>
                <w:szCs w:val="22"/>
                <w:lang w:val="pt-PT"/>
              </w:rPr>
            </w:pPr>
          </w:p>
          <w:p w14:paraId="4574DDDD" w14:textId="77777777" w:rsidR="002F2449" w:rsidRDefault="002F2449" w:rsidP="00F675CF">
            <w:pPr>
              <w:pStyle w:val="EMEANormal"/>
              <w:widowControl w:val="0"/>
              <w:rPr>
                <w:szCs w:val="22"/>
                <w:lang w:val="pt-PT"/>
              </w:rPr>
            </w:pPr>
          </w:p>
          <w:p w14:paraId="2F7042B3" w14:textId="77777777" w:rsidR="002F2449" w:rsidRDefault="002F2449" w:rsidP="00F675CF">
            <w:pPr>
              <w:pStyle w:val="EMEANormal"/>
              <w:widowControl w:val="0"/>
              <w:rPr>
                <w:szCs w:val="22"/>
                <w:lang w:val="pt-PT"/>
              </w:rPr>
            </w:pPr>
          </w:p>
          <w:p w14:paraId="00BB9796" w14:textId="77777777" w:rsidR="002F2449" w:rsidRDefault="002F2449" w:rsidP="00F675CF">
            <w:pPr>
              <w:pStyle w:val="EMEANormal"/>
              <w:widowControl w:val="0"/>
              <w:rPr>
                <w:szCs w:val="22"/>
                <w:lang w:val="pt-PT"/>
              </w:rPr>
            </w:pPr>
          </w:p>
          <w:p w14:paraId="37B2FEB4" w14:textId="77777777" w:rsidR="002F2449" w:rsidRPr="008912CF" w:rsidRDefault="002F2449" w:rsidP="00F675CF">
            <w:pPr>
              <w:pStyle w:val="EMEANormal"/>
              <w:widowControl w:val="0"/>
              <w:rPr>
                <w:szCs w:val="22"/>
                <w:lang w:val="pt-PT"/>
              </w:rPr>
            </w:pPr>
          </w:p>
          <w:p w14:paraId="68E2157B" w14:textId="77777777" w:rsidR="002F2449" w:rsidRPr="008912CF" w:rsidRDefault="00615769" w:rsidP="00790398">
            <w:pPr>
              <w:pStyle w:val="EMEANormal"/>
              <w:widowControl w:val="0"/>
              <w:rPr>
                <w:szCs w:val="22"/>
                <w:lang w:val="pt-PT"/>
              </w:rPr>
            </w:pPr>
            <w:r>
              <w:rPr>
                <w:szCs w:val="22"/>
                <w:lang w:val="pt-PT"/>
              </w:rPr>
              <w:t>Desconhecido</w:t>
            </w:r>
          </w:p>
        </w:tc>
        <w:tc>
          <w:tcPr>
            <w:tcW w:w="4346" w:type="dxa"/>
          </w:tcPr>
          <w:p w14:paraId="445F1009" w14:textId="77777777" w:rsidR="002F2449" w:rsidRPr="008912CF" w:rsidRDefault="00615769" w:rsidP="00F675CF">
            <w:pPr>
              <w:pStyle w:val="EMEANormal"/>
              <w:widowControl w:val="0"/>
              <w:rPr>
                <w:szCs w:val="22"/>
                <w:lang w:val="pt-PT"/>
              </w:rPr>
            </w:pPr>
            <w:r>
              <w:rPr>
                <w:szCs w:val="22"/>
                <w:lang w:val="pt-PT"/>
              </w:rPr>
              <w:t>A</w:t>
            </w:r>
            <w:r w:rsidRPr="008912CF">
              <w:rPr>
                <w:szCs w:val="22"/>
                <w:lang w:val="pt-PT"/>
              </w:rPr>
              <w:t xml:space="preserve">lterações da coagulação e hemorragia (incluindo </w:t>
            </w:r>
            <w:r>
              <w:rPr>
                <w:szCs w:val="22"/>
                <w:lang w:val="pt-PT"/>
              </w:rPr>
              <w:t xml:space="preserve">prolongamento do </w:t>
            </w:r>
            <w:r w:rsidRPr="008912CF">
              <w:rPr>
                <w:szCs w:val="22"/>
                <w:lang w:val="pt-PT"/>
              </w:rPr>
              <w:t>tempo de tromboplastina parcial ativada),</w:t>
            </w:r>
          </w:p>
          <w:p w14:paraId="0DF708E2" w14:textId="77777777" w:rsidR="002F2449" w:rsidRPr="008912CF" w:rsidRDefault="00615769" w:rsidP="00F675CF">
            <w:pPr>
              <w:pStyle w:val="EMEANormal"/>
              <w:widowControl w:val="0"/>
              <w:rPr>
                <w:szCs w:val="22"/>
                <w:lang w:val="pt-PT"/>
              </w:rPr>
            </w:pPr>
            <w:r w:rsidRPr="008912CF">
              <w:rPr>
                <w:szCs w:val="22"/>
                <w:lang w:val="pt-PT"/>
              </w:rPr>
              <w:t xml:space="preserve">teste positivo de autoanticorpos (incluindo anticorpos contra a dupla cadeia de DNA), </w:t>
            </w:r>
          </w:p>
          <w:p w14:paraId="591C70E2" w14:textId="77777777" w:rsidR="002F2449" w:rsidRDefault="00615769" w:rsidP="00F675CF">
            <w:pPr>
              <w:pStyle w:val="EMEANormal"/>
              <w:widowControl w:val="0"/>
              <w:rPr>
                <w:szCs w:val="22"/>
                <w:lang w:val="pt-PT"/>
              </w:rPr>
            </w:pPr>
            <w:r w:rsidRPr="008912CF">
              <w:rPr>
                <w:szCs w:val="22"/>
                <w:lang w:val="pt-PT"/>
              </w:rPr>
              <w:t xml:space="preserve">nível </w:t>
            </w:r>
            <w:r>
              <w:rPr>
                <w:szCs w:val="22"/>
                <w:lang w:val="pt-PT"/>
              </w:rPr>
              <w:t xml:space="preserve">sérico </w:t>
            </w:r>
            <w:r w:rsidRPr="008912CF">
              <w:rPr>
                <w:szCs w:val="22"/>
                <w:lang w:val="pt-PT"/>
              </w:rPr>
              <w:t>de de</w:t>
            </w:r>
            <w:r>
              <w:rPr>
                <w:szCs w:val="22"/>
                <w:lang w:val="pt-PT"/>
              </w:rPr>
              <w:t>s</w:t>
            </w:r>
            <w:r w:rsidRPr="008912CF">
              <w:rPr>
                <w:szCs w:val="22"/>
                <w:lang w:val="pt-PT"/>
              </w:rPr>
              <w:t>idrogenase láctica aumentado</w:t>
            </w:r>
          </w:p>
          <w:p w14:paraId="33238371" w14:textId="77777777" w:rsidR="002F2449" w:rsidRPr="008912CF" w:rsidRDefault="002F2449" w:rsidP="00F675CF">
            <w:pPr>
              <w:pStyle w:val="EMEANormal"/>
              <w:widowControl w:val="0"/>
              <w:rPr>
                <w:szCs w:val="22"/>
                <w:lang w:val="pt-PT"/>
              </w:rPr>
            </w:pPr>
          </w:p>
          <w:p w14:paraId="74764AC2" w14:textId="77777777" w:rsidR="002F2449" w:rsidRDefault="00615769" w:rsidP="00790398">
            <w:pPr>
              <w:pStyle w:val="EMEANormal"/>
              <w:widowControl w:val="0"/>
              <w:rPr>
                <w:szCs w:val="22"/>
                <w:vertAlign w:val="superscript"/>
                <w:lang w:val="pt-PT"/>
              </w:rPr>
            </w:pPr>
            <w:r>
              <w:rPr>
                <w:szCs w:val="22"/>
                <w:lang w:val="pt-PT"/>
              </w:rPr>
              <w:t>Aumento de peso</w:t>
            </w:r>
            <w:r w:rsidRPr="000036F0">
              <w:rPr>
                <w:szCs w:val="22"/>
                <w:vertAlign w:val="superscript"/>
                <w:lang w:val="pt-PT"/>
              </w:rPr>
              <w:t>2)</w:t>
            </w:r>
          </w:p>
          <w:p w14:paraId="791EE3F7" w14:textId="77777777" w:rsidR="002F2449" w:rsidRPr="008912CF" w:rsidRDefault="002F2449" w:rsidP="00790398">
            <w:pPr>
              <w:pStyle w:val="EMEANormal"/>
              <w:widowControl w:val="0"/>
              <w:rPr>
                <w:szCs w:val="22"/>
                <w:lang w:val="pt-PT"/>
              </w:rPr>
            </w:pPr>
          </w:p>
        </w:tc>
      </w:tr>
      <w:tr w:rsidR="00A7162A" w14:paraId="29304A29" w14:textId="77777777" w:rsidTr="00F675CF">
        <w:tc>
          <w:tcPr>
            <w:tcW w:w="2514" w:type="dxa"/>
          </w:tcPr>
          <w:p w14:paraId="2E42E1F3" w14:textId="77777777" w:rsidR="00790398" w:rsidRPr="008912CF" w:rsidRDefault="00615769" w:rsidP="00790398">
            <w:pPr>
              <w:pStyle w:val="EMEANormal"/>
              <w:widowControl w:val="0"/>
              <w:rPr>
                <w:szCs w:val="22"/>
                <w:lang w:val="pt-PT"/>
              </w:rPr>
            </w:pPr>
            <w:r w:rsidRPr="008912CF">
              <w:rPr>
                <w:szCs w:val="22"/>
                <w:lang w:val="pt-PT"/>
              </w:rPr>
              <w:t>Complicações de intervenções relacionadas com lesões e intoxicações</w:t>
            </w:r>
          </w:p>
        </w:tc>
        <w:tc>
          <w:tcPr>
            <w:tcW w:w="1996" w:type="dxa"/>
          </w:tcPr>
          <w:p w14:paraId="56E2F5A7" w14:textId="77777777" w:rsidR="00790398" w:rsidRPr="008912CF" w:rsidRDefault="00615769" w:rsidP="00790398">
            <w:pPr>
              <w:pStyle w:val="EMEANormal"/>
              <w:widowControl w:val="0"/>
              <w:rPr>
                <w:szCs w:val="22"/>
                <w:lang w:val="pt-PT"/>
              </w:rPr>
            </w:pPr>
            <w:r w:rsidRPr="008912CF">
              <w:rPr>
                <w:szCs w:val="22"/>
                <w:lang w:val="pt-PT"/>
              </w:rPr>
              <w:t>Frequentes</w:t>
            </w:r>
          </w:p>
        </w:tc>
        <w:tc>
          <w:tcPr>
            <w:tcW w:w="4346" w:type="dxa"/>
          </w:tcPr>
          <w:p w14:paraId="5BF6E15B" w14:textId="77777777" w:rsidR="00790398" w:rsidRPr="008912CF" w:rsidRDefault="00615769" w:rsidP="00790398">
            <w:pPr>
              <w:pStyle w:val="EMEANormal"/>
              <w:widowControl w:val="0"/>
              <w:rPr>
                <w:szCs w:val="22"/>
                <w:lang w:val="pt-PT"/>
              </w:rPr>
            </w:pPr>
            <w:r>
              <w:rPr>
                <w:szCs w:val="22"/>
                <w:lang w:val="pt-PT"/>
              </w:rPr>
              <w:t>A</w:t>
            </w:r>
            <w:r w:rsidRPr="008912CF">
              <w:rPr>
                <w:szCs w:val="22"/>
                <w:lang w:val="pt-PT"/>
              </w:rPr>
              <w:t xml:space="preserve">lteração de cicatrização </w:t>
            </w:r>
          </w:p>
        </w:tc>
      </w:tr>
    </w:tbl>
    <w:p w14:paraId="3C99C22A" w14:textId="77777777" w:rsidR="004462A0" w:rsidRPr="008912CF" w:rsidRDefault="004462A0" w:rsidP="004462A0">
      <w:pPr>
        <w:rPr>
          <w:b/>
          <w:sz w:val="22"/>
          <w:szCs w:val="22"/>
        </w:rPr>
      </w:pPr>
    </w:p>
    <w:p w14:paraId="71BA92BB" w14:textId="77777777" w:rsidR="004462A0" w:rsidRPr="00FB75CB" w:rsidRDefault="00615769" w:rsidP="004462A0">
      <w:pPr>
        <w:rPr>
          <w:sz w:val="22"/>
          <w:szCs w:val="22"/>
        </w:rPr>
      </w:pPr>
      <w:r w:rsidRPr="00FB75CB">
        <w:rPr>
          <w:sz w:val="22"/>
          <w:szCs w:val="22"/>
        </w:rPr>
        <w:t>* está disponível informação adicional nas secções 4.3, 4.4 e 4.8</w:t>
      </w:r>
    </w:p>
    <w:p w14:paraId="1D9C0918" w14:textId="77777777" w:rsidR="004462A0" w:rsidRPr="00FB75CB" w:rsidRDefault="00615769" w:rsidP="004462A0">
      <w:pPr>
        <w:pStyle w:val="EMEAHeadingUnderline"/>
        <w:spacing w:before="0" w:after="0"/>
        <w:rPr>
          <w:szCs w:val="22"/>
          <w:u w:val="none"/>
          <w:lang w:val="pt-PT"/>
        </w:rPr>
      </w:pPr>
      <w:r w:rsidRPr="00FB75CB">
        <w:rPr>
          <w:szCs w:val="22"/>
          <w:u w:val="none"/>
          <w:lang w:val="pt-PT"/>
        </w:rPr>
        <w:t xml:space="preserve">** incluindo estudos de extensão de fase aberta </w:t>
      </w:r>
    </w:p>
    <w:p w14:paraId="0615AC9F" w14:textId="77777777" w:rsidR="004462A0" w:rsidRPr="00FB75CB" w:rsidRDefault="00615769" w:rsidP="005212CE">
      <w:pPr>
        <w:rPr>
          <w:sz w:val="22"/>
          <w:szCs w:val="22"/>
        </w:rPr>
      </w:pPr>
      <w:r w:rsidRPr="00FB75CB">
        <w:rPr>
          <w:sz w:val="22"/>
          <w:szCs w:val="22"/>
          <w:vertAlign w:val="superscript"/>
        </w:rPr>
        <w:t>1)</w:t>
      </w:r>
      <w:r w:rsidRPr="00FB75CB">
        <w:rPr>
          <w:sz w:val="22"/>
          <w:szCs w:val="22"/>
        </w:rPr>
        <w:t xml:space="preserve"> incluindo dados de notificações espontâneas</w:t>
      </w:r>
    </w:p>
    <w:p w14:paraId="088C0D82" w14:textId="77777777" w:rsidR="00FB75CB" w:rsidRPr="00FB75CB" w:rsidRDefault="00615769" w:rsidP="005212CE">
      <w:pPr>
        <w:rPr>
          <w:sz w:val="22"/>
          <w:szCs w:val="22"/>
          <w:lang w:val="x-none"/>
        </w:rPr>
      </w:pPr>
      <w:r w:rsidRPr="00FB75CB">
        <w:rPr>
          <w:sz w:val="22"/>
          <w:szCs w:val="22"/>
          <w:vertAlign w:val="superscript"/>
        </w:rPr>
        <w:t xml:space="preserve">2) </w:t>
      </w:r>
      <w:r w:rsidRPr="00FB75CB">
        <w:rPr>
          <w:sz w:val="22"/>
          <w:szCs w:val="22"/>
        </w:rPr>
        <w:t>A alteração média de peso em relação à avaliação inicial para o adalimumab variou entre 0,3 kg e 1,0 kg nas indicações para adultos, em comparação com (negativo) -0,4 kg a 0,4 kg para o placebo, durante um período de tratamento de 4-6 meses. Foi também observado um aumento de peso de 5-6 kg em estudos de extensão a longo prazo com exposições médias de aproximadamente 1-2 anos sem grupo de controlo, particularmente em doentes com doença de Crohn e colite ulcerosa. O mecanismo subjacente a este efeito não é c</w:t>
      </w:r>
      <w:r w:rsidRPr="00FB75CB">
        <w:rPr>
          <w:sz w:val="22"/>
          <w:szCs w:val="22"/>
        </w:rPr>
        <w:t>laro, mas pode estar associado ao efeito anti-inflamatório do adalimumab.</w:t>
      </w:r>
    </w:p>
    <w:p w14:paraId="7FEEDB1C" w14:textId="77777777" w:rsidR="004462A0" w:rsidRPr="008912CF" w:rsidRDefault="004462A0" w:rsidP="004462A0">
      <w:pPr>
        <w:rPr>
          <w:sz w:val="22"/>
          <w:szCs w:val="22"/>
        </w:rPr>
      </w:pPr>
    </w:p>
    <w:p w14:paraId="0958CBCB" w14:textId="77777777" w:rsidR="004462A0" w:rsidRPr="008912CF" w:rsidRDefault="00615769" w:rsidP="006361FE">
      <w:pPr>
        <w:keepNext/>
        <w:rPr>
          <w:sz w:val="22"/>
          <w:szCs w:val="22"/>
          <w:u w:val="single"/>
        </w:rPr>
      </w:pPr>
      <w:r w:rsidRPr="008912CF">
        <w:rPr>
          <w:sz w:val="22"/>
          <w:szCs w:val="22"/>
          <w:u w:val="single"/>
        </w:rPr>
        <w:t>Hidradenite supurativa</w:t>
      </w:r>
    </w:p>
    <w:p w14:paraId="2E8EDFB9" w14:textId="77777777" w:rsidR="004462A0" w:rsidRPr="008912CF" w:rsidRDefault="004462A0" w:rsidP="006361FE">
      <w:pPr>
        <w:keepNext/>
        <w:rPr>
          <w:sz w:val="22"/>
          <w:szCs w:val="22"/>
        </w:rPr>
      </w:pPr>
    </w:p>
    <w:p w14:paraId="3A297FCB" w14:textId="77777777" w:rsidR="004462A0" w:rsidRPr="008912CF" w:rsidRDefault="00615769" w:rsidP="006361FE">
      <w:pPr>
        <w:keepNext/>
        <w:rPr>
          <w:sz w:val="22"/>
          <w:szCs w:val="22"/>
        </w:rPr>
      </w:pPr>
      <w:r w:rsidRPr="008912CF">
        <w:rPr>
          <w:sz w:val="22"/>
          <w:szCs w:val="22"/>
        </w:rPr>
        <w:t>O perfil de segurança em doentes com HS tratados com Humira semanalmente foi consistente com o perfil de segurança conhecido de Humira.</w:t>
      </w:r>
    </w:p>
    <w:p w14:paraId="65186270" w14:textId="77777777" w:rsidR="004462A0" w:rsidRDefault="004462A0" w:rsidP="004462A0">
      <w:pPr>
        <w:rPr>
          <w:bCs/>
          <w:sz w:val="22"/>
          <w:szCs w:val="22"/>
          <w:u w:val="single"/>
        </w:rPr>
      </w:pPr>
    </w:p>
    <w:p w14:paraId="73855EC4" w14:textId="77777777" w:rsidR="004462A0" w:rsidRPr="00C529E1" w:rsidRDefault="00615769" w:rsidP="004462A0">
      <w:pPr>
        <w:rPr>
          <w:bCs/>
          <w:sz w:val="22"/>
          <w:szCs w:val="22"/>
          <w:u w:val="single"/>
        </w:rPr>
      </w:pPr>
      <w:r w:rsidRPr="00C529E1">
        <w:rPr>
          <w:bCs/>
          <w:sz w:val="22"/>
          <w:szCs w:val="22"/>
          <w:u w:val="single"/>
        </w:rPr>
        <w:t>Uveíte</w:t>
      </w:r>
    </w:p>
    <w:p w14:paraId="5E917D9D" w14:textId="77777777" w:rsidR="004462A0" w:rsidRPr="00C529E1" w:rsidRDefault="004462A0" w:rsidP="004462A0">
      <w:pPr>
        <w:rPr>
          <w:b/>
          <w:bCs/>
          <w:sz w:val="22"/>
          <w:szCs w:val="22"/>
          <w:u w:val="single"/>
        </w:rPr>
      </w:pPr>
    </w:p>
    <w:p w14:paraId="0E8CC5FB" w14:textId="77777777" w:rsidR="004462A0" w:rsidRPr="00BD522A" w:rsidRDefault="00615769" w:rsidP="004462A0">
      <w:pPr>
        <w:rPr>
          <w:bCs/>
          <w:sz w:val="22"/>
          <w:szCs w:val="22"/>
        </w:rPr>
      </w:pPr>
      <w:r w:rsidRPr="00BD522A">
        <w:rPr>
          <w:bCs/>
          <w:sz w:val="22"/>
          <w:szCs w:val="22"/>
        </w:rPr>
        <w:t>O perfil de segurança em doentes com uveíte tratados com Humira em semanas alternadas foi consistente com o perfil de segurança conhecido d</w:t>
      </w:r>
      <w:r w:rsidR="003A4C51">
        <w:rPr>
          <w:bCs/>
          <w:sz w:val="22"/>
          <w:szCs w:val="22"/>
        </w:rPr>
        <w:t>e</w:t>
      </w:r>
      <w:r w:rsidRPr="00BD522A">
        <w:rPr>
          <w:bCs/>
          <w:sz w:val="22"/>
          <w:szCs w:val="22"/>
        </w:rPr>
        <w:t xml:space="preserve"> Humira.</w:t>
      </w:r>
    </w:p>
    <w:p w14:paraId="4993EEC6" w14:textId="77777777" w:rsidR="004462A0" w:rsidRPr="008912CF" w:rsidRDefault="004462A0" w:rsidP="004462A0">
      <w:pPr>
        <w:rPr>
          <w:bCs/>
          <w:sz w:val="22"/>
          <w:szCs w:val="22"/>
          <w:u w:val="single"/>
        </w:rPr>
      </w:pPr>
    </w:p>
    <w:p w14:paraId="4B3BEB6F" w14:textId="77777777" w:rsidR="004462A0" w:rsidRPr="008912CF" w:rsidRDefault="00615769" w:rsidP="00047604">
      <w:pPr>
        <w:keepNext/>
        <w:rPr>
          <w:bCs/>
          <w:sz w:val="22"/>
          <w:szCs w:val="22"/>
        </w:rPr>
      </w:pPr>
      <w:r w:rsidRPr="008912CF">
        <w:rPr>
          <w:bCs/>
          <w:sz w:val="22"/>
          <w:szCs w:val="22"/>
          <w:u w:val="single"/>
        </w:rPr>
        <w:t>Descrição de reações adversas selecionadas</w:t>
      </w:r>
    </w:p>
    <w:p w14:paraId="54C3E26E" w14:textId="77777777" w:rsidR="004462A0" w:rsidRPr="008912CF" w:rsidRDefault="004462A0" w:rsidP="00047604">
      <w:pPr>
        <w:keepNext/>
        <w:rPr>
          <w:b/>
          <w:sz w:val="22"/>
          <w:szCs w:val="22"/>
        </w:rPr>
      </w:pPr>
    </w:p>
    <w:p w14:paraId="79D27F62" w14:textId="77777777" w:rsidR="004462A0" w:rsidRPr="008912CF" w:rsidRDefault="00615769" w:rsidP="00047604">
      <w:pPr>
        <w:keepNext/>
        <w:autoSpaceDE w:val="0"/>
        <w:autoSpaceDN w:val="0"/>
        <w:adjustRightInd w:val="0"/>
        <w:rPr>
          <w:sz w:val="22"/>
          <w:szCs w:val="22"/>
        </w:rPr>
      </w:pPr>
      <w:r w:rsidRPr="008912CF">
        <w:rPr>
          <w:i/>
          <w:sz w:val="22"/>
          <w:szCs w:val="22"/>
        </w:rPr>
        <w:t>Reações no local da injeção</w:t>
      </w:r>
      <w:r w:rsidRPr="008912CF">
        <w:rPr>
          <w:sz w:val="22"/>
          <w:szCs w:val="22"/>
        </w:rPr>
        <w:t xml:space="preserve"> </w:t>
      </w:r>
    </w:p>
    <w:p w14:paraId="1B6DC23F" w14:textId="77777777" w:rsidR="004462A0" w:rsidRPr="008912CF" w:rsidRDefault="004462A0" w:rsidP="00047604">
      <w:pPr>
        <w:keepNext/>
        <w:autoSpaceDE w:val="0"/>
        <w:autoSpaceDN w:val="0"/>
        <w:adjustRightInd w:val="0"/>
        <w:rPr>
          <w:sz w:val="22"/>
          <w:szCs w:val="22"/>
          <w:u w:val="single"/>
        </w:rPr>
      </w:pPr>
    </w:p>
    <w:p w14:paraId="5CC1B73D" w14:textId="77777777" w:rsidR="004462A0" w:rsidRPr="008912CF" w:rsidRDefault="00615769" w:rsidP="00047604">
      <w:pPr>
        <w:keepNext/>
        <w:rPr>
          <w:sz w:val="22"/>
          <w:szCs w:val="22"/>
        </w:rPr>
      </w:pPr>
      <w:r w:rsidRPr="008912CF">
        <w:rPr>
          <w:sz w:val="22"/>
          <w:szCs w:val="22"/>
        </w:rPr>
        <w:t>Nos principais ensaios controlados em adultos e crianças, 12,9</w:t>
      </w:r>
      <w:r w:rsidR="009343EF">
        <w:rPr>
          <w:sz w:val="22"/>
          <w:szCs w:val="22"/>
        </w:rPr>
        <w:t>%</w:t>
      </w:r>
      <w:r w:rsidRPr="008912CF">
        <w:rPr>
          <w:sz w:val="22"/>
          <w:szCs w:val="22"/>
        </w:rPr>
        <w:t xml:space="preserve"> dos doentes tratados com Humira desenvolveram reações no local da injeção (eritema e/ou prurido, hemorragia, dor ou edema), em relação a </w:t>
      </w:r>
      <w:r>
        <w:rPr>
          <w:sz w:val="22"/>
          <w:szCs w:val="22"/>
        </w:rPr>
        <w:t>7,2</w:t>
      </w:r>
      <w:r w:rsidR="009343EF">
        <w:rPr>
          <w:sz w:val="22"/>
          <w:szCs w:val="22"/>
        </w:rPr>
        <w:t>%</w:t>
      </w:r>
      <w:r w:rsidRPr="008912CF">
        <w:rPr>
          <w:sz w:val="22"/>
          <w:szCs w:val="22"/>
        </w:rPr>
        <w:t xml:space="preserve"> dos doentes que receberam placebo ou controlo ativo. As reações no local da injeção de uma forma geral não justificaram a suspensão do medicamento.</w:t>
      </w:r>
    </w:p>
    <w:p w14:paraId="0E9F7C86" w14:textId="77777777" w:rsidR="004462A0" w:rsidRPr="008912CF" w:rsidRDefault="004462A0" w:rsidP="004462A0">
      <w:pPr>
        <w:autoSpaceDE w:val="0"/>
        <w:autoSpaceDN w:val="0"/>
        <w:adjustRightInd w:val="0"/>
        <w:rPr>
          <w:sz w:val="22"/>
          <w:szCs w:val="22"/>
        </w:rPr>
      </w:pPr>
    </w:p>
    <w:p w14:paraId="1778E099" w14:textId="77777777" w:rsidR="004462A0" w:rsidRPr="008912CF" w:rsidRDefault="00615769" w:rsidP="004462A0">
      <w:pPr>
        <w:autoSpaceDE w:val="0"/>
        <w:autoSpaceDN w:val="0"/>
        <w:adjustRightInd w:val="0"/>
        <w:rPr>
          <w:sz w:val="22"/>
          <w:szCs w:val="22"/>
        </w:rPr>
      </w:pPr>
      <w:r w:rsidRPr="008912CF">
        <w:rPr>
          <w:i/>
          <w:sz w:val="22"/>
          <w:szCs w:val="22"/>
        </w:rPr>
        <w:t>Infeções</w:t>
      </w:r>
      <w:r w:rsidRPr="008912CF">
        <w:rPr>
          <w:sz w:val="22"/>
          <w:szCs w:val="22"/>
        </w:rPr>
        <w:t xml:space="preserve"> </w:t>
      </w:r>
    </w:p>
    <w:p w14:paraId="134CFEBD" w14:textId="77777777" w:rsidR="004462A0" w:rsidRPr="008912CF" w:rsidRDefault="004462A0" w:rsidP="004462A0">
      <w:pPr>
        <w:autoSpaceDE w:val="0"/>
        <w:autoSpaceDN w:val="0"/>
        <w:adjustRightInd w:val="0"/>
        <w:rPr>
          <w:sz w:val="22"/>
          <w:szCs w:val="22"/>
        </w:rPr>
      </w:pPr>
    </w:p>
    <w:p w14:paraId="0BD55222" w14:textId="77777777" w:rsidR="004462A0" w:rsidRPr="008912CF" w:rsidRDefault="00615769" w:rsidP="004462A0">
      <w:pPr>
        <w:rPr>
          <w:sz w:val="22"/>
          <w:szCs w:val="22"/>
        </w:rPr>
      </w:pPr>
      <w:r w:rsidRPr="008912CF">
        <w:rPr>
          <w:sz w:val="22"/>
          <w:szCs w:val="22"/>
        </w:rPr>
        <w:t>Nos principais ensaios controlados em adultos e crianças, a taxa de infeções foi de 1,51 por doentes/ano nos doentes tratados com Humira e de 1,46 por doentes/ano nos doentes tratados com placebo e controlo ativo. As infeções consisti</w:t>
      </w:r>
      <w:r w:rsidR="000A3565">
        <w:rPr>
          <w:sz w:val="22"/>
          <w:szCs w:val="22"/>
        </w:rPr>
        <w:t>r</w:t>
      </w:r>
      <w:r w:rsidRPr="008912CF">
        <w:rPr>
          <w:sz w:val="22"/>
          <w:szCs w:val="22"/>
        </w:rPr>
        <w:t xml:space="preserve">am principalmente em nasofaringite, infeções do </w:t>
      </w:r>
      <w:r w:rsidR="000A3565">
        <w:rPr>
          <w:sz w:val="22"/>
          <w:szCs w:val="22"/>
        </w:rPr>
        <w:t>trato</w:t>
      </w:r>
      <w:r w:rsidR="000A3565" w:rsidRPr="008912CF">
        <w:rPr>
          <w:sz w:val="22"/>
          <w:szCs w:val="22"/>
        </w:rPr>
        <w:t xml:space="preserve"> </w:t>
      </w:r>
      <w:r w:rsidRPr="008912CF">
        <w:rPr>
          <w:sz w:val="22"/>
          <w:szCs w:val="22"/>
        </w:rPr>
        <w:t>respiratório superior e sinusite. A maioria dos doentes prosseguiu o tratamento com Humira após resolução da infeção.</w:t>
      </w:r>
    </w:p>
    <w:p w14:paraId="11BCA20B" w14:textId="77777777" w:rsidR="004462A0" w:rsidRPr="008912CF" w:rsidRDefault="004462A0" w:rsidP="004462A0">
      <w:pPr>
        <w:rPr>
          <w:sz w:val="22"/>
          <w:szCs w:val="22"/>
        </w:rPr>
      </w:pPr>
    </w:p>
    <w:p w14:paraId="0CA1429C" w14:textId="77777777" w:rsidR="004462A0" w:rsidRPr="008912CF" w:rsidRDefault="00615769" w:rsidP="004462A0">
      <w:pPr>
        <w:rPr>
          <w:sz w:val="22"/>
          <w:szCs w:val="22"/>
        </w:rPr>
      </w:pPr>
      <w:r w:rsidRPr="008912CF">
        <w:rPr>
          <w:sz w:val="22"/>
          <w:szCs w:val="22"/>
        </w:rPr>
        <w:t>A incidência de infeções graves foi de 0,04 por doentes/ano nos doentes tratados com Humira e de 0,03 por doentes/ano nos doentes tratados com placebo e controlo ativo.</w:t>
      </w:r>
    </w:p>
    <w:p w14:paraId="21852082" w14:textId="77777777" w:rsidR="004462A0" w:rsidRPr="008912CF" w:rsidRDefault="004462A0" w:rsidP="004462A0">
      <w:pPr>
        <w:rPr>
          <w:sz w:val="22"/>
          <w:szCs w:val="22"/>
        </w:rPr>
      </w:pPr>
    </w:p>
    <w:p w14:paraId="0B3CD9CC" w14:textId="77777777" w:rsidR="004462A0" w:rsidRPr="008912CF" w:rsidRDefault="00615769" w:rsidP="004462A0">
      <w:pPr>
        <w:rPr>
          <w:sz w:val="22"/>
          <w:szCs w:val="22"/>
        </w:rPr>
      </w:pPr>
      <w:r w:rsidRPr="008912CF">
        <w:rPr>
          <w:sz w:val="22"/>
          <w:szCs w:val="22"/>
        </w:rPr>
        <w:t>Em estudos controlados e de fase aberta com Humira</w:t>
      </w:r>
      <w:r w:rsidR="001D3CF2">
        <w:rPr>
          <w:sz w:val="22"/>
          <w:szCs w:val="22"/>
        </w:rPr>
        <w:t>,</w:t>
      </w:r>
      <w:r w:rsidR="001D3CF2" w:rsidRPr="001D3CF2">
        <w:rPr>
          <w:sz w:val="22"/>
          <w:szCs w:val="22"/>
        </w:rPr>
        <w:t xml:space="preserve"> </w:t>
      </w:r>
      <w:r w:rsidR="001D3CF2">
        <w:rPr>
          <w:sz w:val="22"/>
          <w:szCs w:val="22"/>
        </w:rPr>
        <w:t>em adultos e crianças,</w:t>
      </w:r>
      <w:r w:rsidRPr="008912CF">
        <w:rPr>
          <w:sz w:val="22"/>
          <w:szCs w:val="22"/>
        </w:rPr>
        <w:t xml:space="preserve"> foram notificadas infeções graves (incluindo infeções fatais, as quais ocorreram raramente), que incluíram casos de tuberculose (incluindo localizações miliares e extra</w:t>
      </w:r>
      <w:r w:rsidR="000A3565">
        <w:rPr>
          <w:sz w:val="22"/>
          <w:szCs w:val="22"/>
        </w:rPr>
        <w:t>-</w:t>
      </w:r>
      <w:r w:rsidRPr="008912CF">
        <w:rPr>
          <w:sz w:val="22"/>
          <w:szCs w:val="22"/>
        </w:rPr>
        <w:t>pulmonares) e infeções oportunistas invasivas (p.e. histoplasmose disseminada ou extra</w:t>
      </w:r>
      <w:r w:rsidR="000A3565">
        <w:rPr>
          <w:sz w:val="22"/>
          <w:szCs w:val="22"/>
        </w:rPr>
        <w:t>-</w:t>
      </w:r>
      <w:r w:rsidRPr="008912CF">
        <w:rPr>
          <w:sz w:val="22"/>
          <w:szCs w:val="22"/>
        </w:rPr>
        <w:t xml:space="preserve">pulmonar, blastomicose, coccidioidomicose, </w:t>
      </w:r>
      <w:r w:rsidRPr="008912CF">
        <w:rPr>
          <w:iCs/>
          <w:sz w:val="22"/>
          <w:szCs w:val="22"/>
        </w:rPr>
        <w:t>pneumocistose</w:t>
      </w:r>
      <w:r w:rsidRPr="008912CF">
        <w:rPr>
          <w:sz w:val="22"/>
          <w:szCs w:val="22"/>
        </w:rPr>
        <w:t xml:space="preserve">, candidíase, aspergilose e listeriose). A maioria dos casos de tuberculose ocorreu nos primeiros oito meses após o início do tratamento e pode refletir </w:t>
      </w:r>
      <w:r w:rsidR="000A3565">
        <w:rPr>
          <w:sz w:val="22"/>
          <w:szCs w:val="22"/>
        </w:rPr>
        <w:t>u</w:t>
      </w:r>
      <w:r w:rsidRPr="008912CF">
        <w:rPr>
          <w:sz w:val="22"/>
          <w:szCs w:val="22"/>
        </w:rPr>
        <w:t xml:space="preserve">m agravamento de doença latente.  </w:t>
      </w:r>
    </w:p>
    <w:p w14:paraId="387C0DEC" w14:textId="77777777" w:rsidR="004462A0" w:rsidRPr="008912CF" w:rsidRDefault="004462A0" w:rsidP="004462A0">
      <w:pPr>
        <w:pStyle w:val="EndnoteText"/>
        <w:tabs>
          <w:tab w:val="clear" w:pos="567"/>
        </w:tabs>
        <w:rPr>
          <w:szCs w:val="22"/>
        </w:rPr>
      </w:pPr>
    </w:p>
    <w:p w14:paraId="0A2EF406" w14:textId="77777777" w:rsidR="004462A0" w:rsidRPr="008912CF" w:rsidRDefault="00615769" w:rsidP="004462A0">
      <w:pPr>
        <w:pStyle w:val="EMEAHeadingUnderline"/>
        <w:spacing w:before="0" w:after="0"/>
        <w:rPr>
          <w:szCs w:val="22"/>
          <w:u w:val="none"/>
          <w:lang w:val="pt-PT"/>
        </w:rPr>
      </w:pPr>
      <w:r w:rsidRPr="008912CF">
        <w:rPr>
          <w:i/>
          <w:szCs w:val="22"/>
          <w:u w:val="none"/>
          <w:lang w:val="pt-PT"/>
        </w:rPr>
        <w:t>Neoplasias e doenças linfoproliferativas</w:t>
      </w:r>
    </w:p>
    <w:p w14:paraId="46544320" w14:textId="77777777" w:rsidR="004462A0" w:rsidRPr="008912CF" w:rsidRDefault="004462A0" w:rsidP="004462A0">
      <w:pPr>
        <w:autoSpaceDE w:val="0"/>
        <w:autoSpaceDN w:val="0"/>
        <w:adjustRightInd w:val="0"/>
        <w:rPr>
          <w:sz w:val="22"/>
          <w:szCs w:val="22"/>
          <w:u w:val="single"/>
        </w:rPr>
      </w:pPr>
    </w:p>
    <w:p w14:paraId="299FFE44" w14:textId="77777777" w:rsidR="006B3477" w:rsidRPr="008912CF" w:rsidRDefault="00615769" w:rsidP="006B3477">
      <w:pPr>
        <w:pStyle w:val="BodyText2"/>
        <w:rPr>
          <w:szCs w:val="22"/>
        </w:rPr>
      </w:pPr>
      <w:r w:rsidRPr="008912CF">
        <w:rPr>
          <w:szCs w:val="22"/>
        </w:rPr>
        <w:t>Não se observaram neoplasias em 249 doentes pediátricos com uma exposição de 655,6 doentes/ano durante ensaio</w:t>
      </w:r>
      <w:r w:rsidR="000A3565">
        <w:rPr>
          <w:szCs w:val="22"/>
        </w:rPr>
        <w:t>s</w:t>
      </w:r>
      <w:r w:rsidRPr="008912CF">
        <w:rPr>
          <w:szCs w:val="22"/>
        </w:rPr>
        <w:t xml:space="preserve"> clínico</w:t>
      </w:r>
      <w:r w:rsidR="000A3565">
        <w:rPr>
          <w:szCs w:val="22"/>
        </w:rPr>
        <w:t>s</w:t>
      </w:r>
      <w:r w:rsidRPr="008912CF">
        <w:rPr>
          <w:szCs w:val="22"/>
        </w:rPr>
        <w:t xml:space="preserve"> de Humira em doentes com artrite idiopática juvenil (artrite idiopática juvenil poliarticular e artrite relacionada com entesite). </w:t>
      </w:r>
      <w:r w:rsidRPr="008912CF">
        <w:t>Adicionalmente, não se observaram neoplasias em 192 doentes pediátricos com uma exposição de 498,1 doentes/ano durante ensaios clínicos de Humira em doentes pediátricos com doença de Crohn. Não se observaram neoplasias em 77 doentes pediátricos com uma exposição de 80</w:t>
      </w:r>
      <w:r w:rsidR="000A3565">
        <w:t>,0</w:t>
      </w:r>
      <w:r w:rsidRPr="008912CF">
        <w:t xml:space="preserve"> doentes/ano durante um ensaio clínico de Humira em doentes pediátricos com psoríase crónica em plac</w:t>
      </w:r>
      <w:r w:rsidRPr="008912CF">
        <w:t>as.</w:t>
      </w:r>
      <w:r>
        <w:t xml:space="preserve"> </w:t>
      </w:r>
      <w:r w:rsidR="00E549E4" w:rsidRPr="00E549E4">
        <w:t>Não se observaram neoplasias em 93 doentes pediátricos com uma exposição de 65,3 doentes/ano durante um ensaio clínico de Humira em doentes pediátricos com colite ulcerosa.</w:t>
      </w:r>
      <w:r w:rsidR="00E549E4">
        <w:t> </w:t>
      </w:r>
      <w:r w:rsidRPr="008912CF">
        <w:rPr>
          <w:szCs w:val="22"/>
        </w:rPr>
        <w:t xml:space="preserve">Não se observaram neoplasias em </w:t>
      </w:r>
      <w:r>
        <w:rPr>
          <w:szCs w:val="22"/>
        </w:rPr>
        <w:t>60</w:t>
      </w:r>
      <w:r w:rsidRPr="008912CF">
        <w:rPr>
          <w:szCs w:val="22"/>
        </w:rPr>
        <w:t xml:space="preserve"> doentes pediátricos com uma exposição de</w:t>
      </w:r>
      <w:r>
        <w:rPr>
          <w:szCs w:val="22"/>
        </w:rPr>
        <w:t xml:space="preserve"> 58,4 doentes/ano durante um ensaio clínico de Humira em doentes pediátricos com uveíte.</w:t>
      </w:r>
    </w:p>
    <w:p w14:paraId="79EA2FCC" w14:textId="77777777" w:rsidR="004462A0" w:rsidRPr="008912CF" w:rsidRDefault="004462A0" w:rsidP="004462A0">
      <w:pPr>
        <w:autoSpaceDE w:val="0"/>
        <w:autoSpaceDN w:val="0"/>
        <w:adjustRightInd w:val="0"/>
        <w:rPr>
          <w:sz w:val="22"/>
          <w:szCs w:val="22"/>
          <w:u w:val="single"/>
        </w:rPr>
      </w:pPr>
    </w:p>
    <w:p w14:paraId="28388EAF" w14:textId="77777777" w:rsidR="004462A0" w:rsidRPr="008912CF" w:rsidRDefault="00615769" w:rsidP="004462A0">
      <w:pPr>
        <w:autoSpaceDE w:val="0"/>
        <w:autoSpaceDN w:val="0"/>
        <w:adjustRightInd w:val="0"/>
        <w:rPr>
          <w:sz w:val="22"/>
          <w:szCs w:val="22"/>
        </w:rPr>
      </w:pPr>
      <w:r w:rsidRPr="008912CF">
        <w:rPr>
          <w:sz w:val="22"/>
          <w:szCs w:val="22"/>
        </w:rPr>
        <w:t xml:space="preserve">Durante a parte controlada dos principais ensaios clínicos com Humira em adultos com pelo menos 12 semanas de </w:t>
      </w:r>
      <w:r w:rsidR="000A3565">
        <w:rPr>
          <w:sz w:val="22"/>
          <w:szCs w:val="22"/>
        </w:rPr>
        <w:t>duração</w:t>
      </w:r>
      <w:r w:rsidRPr="008912CF">
        <w:rPr>
          <w:sz w:val="22"/>
          <w:szCs w:val="22"/>
        </w:rPr>
        <w:t xml:space="preserve">, em doentes com artrite reumatoide ativa moderada a grave, espondilite anquilosante, espondilartrite axial sem evidência radiográfica de EA, artrite psoriática, psoríase, </w:t>
      </w:r>
      <w:r w:rsidR="000A3565">
        <w:rPr>
          <w:sz w:val="22"/>
          <w:szCs w:val="22"/>
        </w:rPr>
        <w:t xml:space="preserve">hidradenite supurativa, </w:t>
      </w:r>
      <w:r w:rsidRPr="008912CF">
        <w:rPr>
          <w:sz w:val="22"/>
          <w:szCs w:val="22"/>
        </w:rPr>
        <w:t>doença de Crohn</w:t>
      </w:r>
      <w:r>
        <w:rPr>
          <w:sz w:val="22"/>
          <w:szCs w:val="22"/>
        </w:rPr>
        <w:t>,</w:t>
      </w:r>
      <w:r w:rsidRPr="008912CF">
        <w:rPr>
          <w:sz w:val="22"/>
          <w:szCs w:val="22"/>
        </w:rPr>
        <w:t xml:space="preserve"> colite ulcerosa</w:t>
      </w:r>
      <w:r>
        <w:rPr>
          <w:sz w:val="22"/>
          <w:szCs w:val="22"/>
        </w:rPr>
        <w:t xml:space="preserve"> e uveíte</w:t>
      </w:r>
      <w:r w:rsidRPr="008912CF">
        <w:rPr>
          <w:sz w:val="22"/>
          <w:szCs w:val="22"/>
        </w:rPr>
        <w:t>, foram observadas neoplasias, para além de linfomas e neoplasias cutâneas não melanomas</w:t>
      </w:r>
      <w:r w:rsidR="000A3565">
        <w:rPr>
          <w:sz w:val="22"/>
          <w:szCs w:val="22"/>
        </w:rPr>
        <w:t>,</w:t>
      </w:r>
      <w:r w:rsidRPr="008912CF">
        <w:rPr>
          <w:sz w:val="22"/>
          <w:szCs w:val="22"/>
        </w:rPr>
        <w:t xml:space="preserve"> numa taxa (intervalo de confiança 95</w:t>
      </w:r>
      <w:r w:rsidR="009343EF">
        <w:rPr>
          <w:sz w:val="22"/>
          <w:szCs w:val="22"/>
        </w:rPr>
        <w:t>%</w:t>
      </w:r>
      <w:r w:rsidRPr="008912CF">
        <w:rPr>
          <w:sz w:val="22"/>
          <w:szCs w:val="22"/>
        </w:rPr>
        <w:t xml:space="preserve">) de </w:t>
      </w:r>
      <w:r>
        <w:rPr>
          <w:sz w:val="22"/>
          <w:szCs w:val="22"/>
        </w:rPr>
        <w:t>6,8 (4,4</w:t>
      </w:r>
      <w:r w:rsidR="000A3565">
        <w:rPr>
          <w:sz w:val="22"/>
          <w:szCs w:val="22"/>
        </w:rPr>
        <w:t>;</w:t>
      </w:r>
      <w:r>
        <w:rPr>
          <w:sz w:val="22"/>
          <w:szCs w:val="22"/>
        </w:rPr>
        <w:t xml:space="preserve"> 10,5)</w:t>
      </w:r>
      <w:r w:rsidRPr="008912CF">
        <w:rPr>
          <w:sz w:val="22"/>
          <w:szCs w:val="22"/>
        </w:rPr>
        <w:t xml:space="preserve"> por 1.000 doentes/ano entre os </w:t>
      </w:r>
      <w:r>
        <w:rPr>
          <w:sz w:val="22"/>
          <w:szCs w:val="22"/>
        </w:rPr>
        <w:t>5.291</w:t>
      </w:r>
      <w:r w:rsidRPr="008912CF">
        <w:rPr>
          <w:sz w:val="22"/>
          <w:szCs w:val="22"/>
        </w:rPr>
        <w:t xml:space="preserve"> doentes tratados com Humira </w:t>
      </w:r>
      <w:r w:rsidR="000A3565">
        <w:rPr>
          <w:i/>
          <w:sz w:val="22"/>
          <w:szCs w:val="22"/>
        </w:rPr>
        <w:t xml:space="preserve">versus </w:t>
      </w:r>
      <w:r w:rsidRPr="008912CF">
        <w:rPr>
          <w:sz w:val="22"/>
          <w:szCs w:val="22"/>
        </w:rPr>
        <w:t xml:space="preserve">uma taxa de </w:t>
      </w:r>
      <w:r>
        <w:rPr>
          <w:sz w:val="22"/>
          <w:szCs w:val="22"/>
        </w:rPr>
        <w:t>6,3 (3,4</w:t>
      </w:r>
      <w:r w:rsidR="000A3565">
        <w:rPr>
          <w:sz w:val="22"/>
          <w:szCs w:val="22"/>
        </w:rPr>
        <w:t>;</w:t>
      </w:r>
      <w:r>
        <w:rPr>
          <w:sz w:val="22"/>
          <w:szCs w:val="22"/>
        </w:rPr>
        <w:t xml:space="preserve"> 11,8)</w:t>
      </w:r>
      <w:r w:rsidRPr="008912CF">
        <w:rPr>
          <w:sz w:val="22"/>
          <w:szCs w:val="22"/>
        </w:rPr>
        <w:t xml:space="preserve"> por 1.000 doentes/ano entre os </w:t>
      </w:r>
      <w:r>
        <w:rPr>
          <w:sz w:val="22"/>
          <w:szCs w:val="22"/>
        </w:rPr>
        <w:t>3.444</w:t>
      </w:r>
      <w:r w:rsidRPr="008912CF">
        <w:rPr>
          <w:sz w:val="22"/>
          <w:szCs w:val="22"/>
        </w:rPr>
        <w:t xml:space="preserve"> doentes tratados com controlo (a duração </w:t>
      </w:r>
      <w:r w:rsidR="000A3565">
        <w:rPr>
          <w:sz w:val="22"/>
          <w:szCs w:val="22"/>
        </w:rPr>
        <w:t>mediana</w:t>
      </w:r>
      <w:r w:rsidR="000A3565" w:rsidRPr="008912CF">
        <w:rPr>
          <w:sz w:val="22"/>
          <w:szCs w:val="22"/>
        </w:rPr>
        <w:t xml:space="preserve"> </w:t>
      </w:r>
      <w:r w:rsidRPr="008912CF">
        <w:rPr>
          <w:sz w:val="22"/>
          <w:szCs w:val="22"/>
        </w:rPr>
        <w:t xml:space="preserve">de tratamento foi </w:t>
      </w:r>
      <w:r w:rsidR="000A3565">
        <w:rPr>
          <w:sz w:val="22"/>
          <w:szCs w:val="22"/>
        </w:rPr>
        <w:t xml:space="preserve">de </w:t>
      </w:r>
      <w:r w:rsidRPr="008912CF">
        <w:rPr>
          <w:sz w:val="22"/>
          <w:szCs w:val="22"/>
        </w:rPr>
        <w:t xml:space="preserve">4,0 meses para Humira e </w:t>
      </w:r>
      <w:r>
        <w:rPr>
          <w:sz w:val="22"/>
          <w:szCs w:val="22"/>
        </w:rPr>
        <w:t>3,8</w:t>
      </w:r>
      <w:r w:rsidRPr="008912CF">
        <w:rPr>
          <w:sz w:val="22"/>
          <w:szCs w:val="22"/>
        </w:rPr>
        <w:t xml:space="preserve"> meses para os doentes do grupo controlo). A taxa (intervalo de confiança 95</w:t>
      </w:r>
      <w:r w:rsidR="009343EF">
        <w:rPr>
          <w:sz w:val="22"/>
          <w:szCs w:val="22"/>
        </w:rPr>
        <w:t>%</w:t>
      </w:r>
      <w:r w:rsidRPr="008912CF">
        <w:rPr>
          <w:sz w:val="22"/>
          <w:szCs w:val="22"/>
        </w:rPr>
        <w:t xml:space="preserve">) observada de neoplasias cutâneas não melanomas foi </w:t>
      </w:r>
      <w:r w:rsidRPr="00821AA1">
        <w:rPr>
          <w:sz w:val="22"/>
          <w:szCs w:val="22"/>
        </w:rPr>
        <w:t xml:space="preserve">de </w:t>
      </w:r>
      <w:r w:rsidRPr="006576D5">
        <w:rPr>
          <w:sz w:val="22"/>
          <w:szCs w:val="22"/>
        </w:rPr>
        <w:t xml:space="preserve">8,8 </w:t>
      </w:r>
      <w:r w:rsidRPr="00B57BA5">
        <w:rPr>
          <w:sz w:val="22"/>
          <w:szCs w:val="22"/>
        </w:rPr>
        <w:t>(6,0</w:t>
      </w:r>
      <w:r w:rsidR="000A3565">
        <w:rPr>
          <w:sz w:val="22"/>
          <w:szCs w:val="22"/>
        </w:rPr>
        <w:t>;</w:t>
      </w:r>
      <w:r w:rsidRPr="00B57BA5">
        <w:rPr>
          <w:sz w:val="22"/>
          <w:szCs w:val="22"/>
        </w:rPr>
        <w:t xml:space="preserve"> 1</w:t>
      </w:r>
      <w:r w:rsidRPr="00B46447">
        <w:rPr>
          <w:sz w:val="22"/>
          <w:szCs w:val="22"/>
        </w:rPr>
        <w:t>3</w:t>
      </w:r>
      <w:r w:rsidRPr="009C739B">
        <w:rPr>
          <w:sz w:val="22"/>
          <w:szCs w:val="22"/>
        </w:rPr>
        <w:t>,0)</w:t>
      </w:r>
      <w:r w:rsidRPr="003A12AC">
        <w:rPr>
          <w:sz w:val="22"/>
          <w:szCs w:val="22"/>
        </w:rPr>
        <w:t xml:space="preserve"> por 1.000 doentes/ano em doentes tratados com Humira e </w:t>
      </w:r>
      <w:r w:rsidRPr="009B5246">
        <w:rPr>
          <w:sz w:val="22"/>
          <w:szCs w:val="22"/>
        </w:rPr>
        <w:t>3,2 (1,3</w:t>
      </w:r>
      <w:r w:rsidR="000A3565">
        <w:rPr>
          <w:sz w:val="22"/>
          <w:szCs w:val="22"/>
        </w:rPr>
        <w:t>;</w:t>
      </w:r>
      <w:r>
        <w:rPr>
          <w:sz w:val="22"/>
          <w:szCs w:val="22"/>
        </w:rPr>
        <w:t xml:space="preserve"> 7,6)</w:t>
      </w:r>
      <w:r w:rsidRPr="008912CF">
        <w:rPr>
          <w:sz w:val="22"/>
          <w:szCs w:val="22"/>
        </w:rPr>
        <w:t xml:space="preserve"> por 1.000 doentes/ano em doentes controlo. Destas neoplasi</w:t>
      </w:r>
      <w:r w:rsidRPr="008912CF">
        <w:rPr>
          <w:sz w:val="22"/>
          <w:szCs w:val="22"/>
        </w:rPr>
        <w:t xml:space="preserve">as cutâneas, ocorreram carcinomas </w:t>
      </w:r>
      <w:r w:rsidR="000A3565">
        <w:rPr>
          <w:sz w:val="22"/>
          <w:szCs w:val="22"/>
        </w:rPr>
        <w:t>de células escamosas</w:t>
      </w:r>
      <w:r w:rsidRPr="008912CF">
        <w:rPr>
          <w:sz w:val="22"/>
          <w:szCs w:val="22"/>
        </w:rPr>
        <w:t xml:space="preserve"> numa taxa (intervalo de confiança 95</w:t>
      </w:r>
      <w:r w:rsidR="009343EF">
        <w:rPr>
          <w:sz w:val="22"/>
          <w:szCs w:val="22"/>
        </w:rPr>
        <w:t>%</w:t>
      </w:r>
      <w:r w:rsidRPr="008912CF">
        <w:rPr>
          <w:sz w:val="22"/>
          <w:szCs w:val="22"/>
        </w:rPr>
        <w:t xml:space="preserve">) de </w:t>
      </w:r>
      <w:r>
        <w:rPr>
          <w:sz w:val="22"/>
          <w:szCs w:val="22"/>
        </w:rPr>
        <w:t>2,7 (1,4</w:t>
      </w:r>
      <w:r w:rsidR="000A3565">
        <w:rPr>
          <w:sz w:val="22"/>
          <w:szCs w:val="22"/>
        </w:rPr>
        <w:t>;</w:t>
      </w:r>
      <w:r>
        <w:rPr>
          <w:sz w:val="22"/>
          <w:szCs w:val="22"/>
        </w:rPr>
        <w:t xml:space="preserve"> 5,4)</w:t>
      </w:r>
      <w:r w:rsidRPr="008912CF">
        <w:rPr>
          <w:sz w:val="22"/>
          <w:szCs w:val="22"/>
        </w:rPr>
        <w:t xml:space="preserve"> por 1.000 doentes/ano em doentes tratados com Humira e </w:t>
      </w:r>
      <w:r>
        <w:rPr>
          <w:sz w:val="22"/>
          <w:szCs w:val="22"/>
        </w:rPr>
        <w:t>0,6 (0,1</w:t>
      </w:r>
      <w:r w:rsidR="000A3565">
        <w:rPr>
          <w:sz w:val="22"/>
          <w:szCs w:val="22"/>
        </w:rPr>
        <w:t>;</w:t>
      </w:r>
      <w:r>
        <w:rPr>
          <w:sz w:val="22"/>
          <w:szCs w:val="22"/>
        </w:rPr>
        <w:t xml:space="preserve"> 4,5)</w:t>
      </w:r>
      <w:r w:rsidRPr="008912CF">
        <w:rPr>
          <w:sz w:val="22"/>
          <w:szCs w:val="22"/>
        </w:rPr>
        <w:t xml:space="preserve"> por 1.000 doentes/ano em doentes controlo. A taxa (intervalo de confiança 95</w:t>
      </w:r>
      <w:r w:rsidR="009343EF">
        <w:rPr>
          <w:sz w:val="22"/>
          <w:szCs w:val="22"/>
        </w:rPr>
        <w:t>%</w:t>
      </w:r>
      <w:r w:rsidRPr="008912CF">
        <w:rPr>
          <w:sz w:val="22"/>
          <w:szCs w:val="22"/>
        </w:rPr>
        <w:t>) de linfomas foi</w:t>
      </w:r>
      <w:r w:rsidR="000A3565">
        <w:rPr>
          <w:sz w:val="22"/>
          <w:szCs w:val="22"/>
        </w:rPr>
        <w:t xml:space="preserve"> de</w:t>
      </w:r>
      <w:r w:rsidRPr="008912CF">
        <w:rPr>
          <w:sz w:val="22"/>
          <w:szCs w:val="22"/>
        </w:rPr>
        <w:t xml:space="preserve"> 0,7 (</w:t>
      </w:r>
      <w:r>
        <w:rPr>
          <w:sz w:val="22"/>
          <w:szCs w:val="22"/>
        </w:rPr>
        <w:t>0,2</w:t>
      </w:r>
      <w:r w:rsidR="000A3565">
        <w:rPr>
          <w:sz w:val="22"/>
          <w:szCs w:val="22"/>
        </w:rPr>
        <w:t>;</w:t>
      </w:r>
      <w:r>
        <w:rPr>
          <w:sz w:val="22"/>
          <w:szCs w:val="22"/>
        </w:rPr>
        <w:t xml:space="preserve"> 2,7</w:t>
      </w:r>
      <w:r w:rsidRPr="008912CF">
        <w:rPr>
          <w:sz w:val="22"/>
          <w:szCs w:val="22"/>
        </w:rPr>
        <w:t xml:space="preserve">) por 1.000 doentes/ano em doentes tratados com Humira e </w:t>
      </w:r>
      <w:r>
        <w:rPr>
          <w:sz w:val="22"/>
          <w:szCs w:val="22"/>
        </w:rPr>
        <w:t>0,6 (0,1</w:t>
      </w:r>
      <w:r w:rsidR="000A3565">
        <w:rPr>
          <w:sz w:val="22"/>
          <w:szCs w:val="22"/>
        </w:rPr>
        <w:t>;</w:t>
      </w:r>
      <w:r>
        <w:rPr>
          <w:sz w:val="22"/>
          <w:szCs w:val="22"/>
        </w:rPr>
        <w:t xml:space="preserve"> 4,5)</w:t>
      </w:r>
      <w:r w:rsidRPr="008912CF">
        <w:rPr>
          <w:sz w:val="22"/>
          <w:szCs w:val="22"/>
        </w:rPr>
        <w:t xml:space="preserve"> por 1.000 doentes/ano em doentes controlo.</w:t>
      </w:r>
    </w:p>
    <w:p w14:paraId="1CC6A6DE" w14:textId="77777777" w:rsidR="004462A0" w:rsidRPr="008912CF" w:rsidRDefault="004462A0" w:rsidP="004462A0">
      <w:pPr>
        <w:autoSpaceDE w:val="0"/>
        <w:autoSpaceDN w:val="0"/>
        <w:adjustRightInd w:val="0"/>
        <w:rPr>
          <w:sz w:val="22"/>
          <w:szCs w:val="22"/>
        </w:rPr>
      </w:pPr>
    </w:p>
    <w:p w14:paraId="0BFC5D95" w14:textId="77777777" w:rsidR="004462A0" w:rsidRPr="008912CF" w:rsidRDefault="00615769" w:rsidP="004462A0">
      <w:pPr>
        <w:autoSpaceDE w:val="0"/>
        <w:autoSpaceDN w:val="0"/>
        <w:adjustRightInd w:val="0"/>
        <w:rPr>
          <w:sz w:val="22"/>
          <w:szCs w:val="22"/>
        </w:rPr>
      </w:pPr>
      <w:r w:rsidRPr="008912CF">
        <w:rPr>
          <w:sz w:val="22"/>
          <w:szCs w:val="22"/>
        </w:rPr>
        <w:t xml:space="preserve">Quando associados estes ensaios controlados com os estudos de extensão de fase aberta a decorrerem e completados, com uma </w:t>
      </w:r>
      <w:r w:rsidR="00BF7825">
        <w:rPr>
          <w:sz w:val="22"/>
          <w:szCs w:val="22"/>
        </w:rPr>
        <w:t>mediana</w:t>
      </w:r>
      <w:r w:rsidR="00BF7825" w:rsidRPr="008912CF">
        <w:rPr>
          <w:sz w:val="22"/>
          <w:szCs w:val="22"/>
        </w:rPr>
        <w:t xml:space="preserve"> </w:t>
      </w:r>
      <w:r w:rsidRPr="008912CF">
        <w:rPr>
          <w:sz w:val="22"/>
          <w:szCs w:val="22"/>
        </w:rPr>
        <w:t xml:space="preserve">de duração de aproximadamente </w:t>
      </w:r>
      <w:r>
        <w:rPr>
          <w:sz w:val="22"/>
          <w:szCs w:val="22"/>
        </w:rPr>
        <w:t>3,3</w:t>
      </w:r>
      <w:r w:rsidRPr="008912CF">
        <w:rPr>
          <w:sz w:val="22"/>
          <w:szCs w:val="22"/>
        </w:rPr>
        <w:t xml:space="preserve"> anos</w:t>
      </w:r>
      <w:r w:rsidR="00BF7825">
        <w:rPr>
          <w:sz w:val="22"/>
          <w:szCs w:val="22"/>
        </w:rPr>
        <w:t>,</w:t>
      </w:r>
      <w:r w:rsidRPr="008912CF">
        <w:rPr>
          <w:sz w:val="22"/>
          <w:szCs w:val="22"/>
        </w:rPr>
        <w:t xml:space="preserve"> incluindo </w:t>
      </w:r>
      <w:r>
        <w:rPr>
          <w:sz w:val="22"/>
          <w:szCs w:val="22"/>
        </w:rPr>
        <w:t>6.427</w:t>
      </w:r>
      <w:r w:rsidRPr="008912CF">
        <w:rPr>
          <w:sz w:val="22"/>
          <w:szCs w:val="22"/>
        </w:rPr>
        <w:t xml:space="preserve"> doentes e mais de </w:t>
      </w:r>
      <w:r>
        <w:rPr>
          <w:sz w:val="22"/>
          <w:szCs w:val="22"/>
        </w:rPr>
        <w:t>26.439</w:t>
      </w:r>
      <w:r w:rsidRPr="008912CF">
        <w:rPr>
          <w:sz w:val="22"/>
          <w:szCs w:val="22"/>
        </w:rPr>
        <w:t xml:space="preserve"> doentes/ano de terapêutica, a taxa observada de neoplasias, para além de linfomas e neoplasias cutâneas não melanomas é de aproximadamente 8,5 por 1.000 doentes/ano. A taxa observada de neoplasias cutâneas não melanomas é de aproximadamente </w:t>
      </w:r>
      <w:r>
        <w:rPr>
          <w:sz w:val="22"/>
          <w:szCs w:val="22"/>
        </w:rPr>
        <w:t>9,6</w:t>
      </w:r>
      <w:r w:rsidRPr="008912CF">
        <w:rPr>
          <w:sz w:val="22"/>
          <w:szCs w:val="22"/>
        </w:rPr>
        <w:t xml:space="preserve"> por 1.000 doentes/ano, e a taxa observada de linfomas é de aproximadamente 1,3 por 1.000 doentes/ano.</w:t>
      </w:r>
    </w:p>
    <w:p w14:paraId="6B9EC2D1" w14:textId="77777777" w:rsidR="004462A0" w:rsidRPr="008912CF" w:rsidRDefault="004462A0" w:rsidP="004462A0">
      <w:pPr>
        <w:autoSpaceDE w:val="0"/>
        <w:autoSpaceDN w:val="0"/>
        <w:adjustRightInd w:val="0"/>
        <w:rPr>
          <w:sz w:val="22"/>
          <w:szCs w:val="22"/>
        </w:rPr>
      </w:pPr>
    </w:p>
    <w:p w14:paraId="44A4B3C7" w14:textId="17968EFA" w:rsidR="004462A0" w:rsidRPr="008912CF" w:rsidRDefault="00615769" w:rsidP="004462A0">
      <w:pPr>
        <w:autoSpaceDE w:val="0"/>
        <w:autoSpaceDN w:val="0"/>
        <w:adjustRightInd w:val="0"/>
        <w:rPr>
          <w:sz w:val="22"/>
          <w:szCs w:val="22"/>
        </w:rPr>
      </w:pPr>
      <w:r w:rsidRPr="008912CF">
        <w:rPr>
          <w:sz w:val="22"/>
          <w:szCs w:val="22"/>
        </w:rPr>
        <w:t>Na experiência pós</w:t>
      </w:r>
      <w:r w:rsidR="00BF7825">
        <w:rPr>
          <w:sz w:val="22"/>
          <w:szCs w:val="22"/>
        </w:rPr>
        <w:t>-</w:t>
      </w:r>
      <w:r w:rsidRPr="008912CF">
        <w:rPr>
          <w:sz w:val="22"/>
          <w:szCs w:val="22"/>
        </w:rPr>
        <w:t xml:space="preserve">comercialização desde janeiro de 2003 a dezembro </w:t>
      </w:r>
      <w:r w:rsidR="00BF7825">
        <w:rPr>
          <w:sz w:val="22"/>
          <w:szCs w:val="22"/>
        </w:rPr>
        <w:t xml:space="preserve">de </w:t>
      </w:r>
      <w:r w:rsidRPr="008912CF">
        <w:rPr>
          <w:sz w:val="22"/>
          <w:szCs w:val="22"/>
        </w:rPr>
        <w:t xml:space="preserve">2010, predominantemente em doentes com artrite reumatoide, a taxa </w:t>
      </w:r>
      <w:r>
        <w:rPr>
          <w:sz w:val="22"/>
          <w:szCs w:val="22"/>
        </w:rPr>
        <w:t>de notificação espontânea</w:t>
      </w:r>
      <w:r w:rsidRPr="008912CF">
        <w:rPr>
          <w:sz w:val="22"/>
          <w:szCs w:val="22"/>
        </w:rPr>
        <w:t xml:space="preserve"> de neoplasias é de aproximadamente 2,7 por 1.000 doentes/ano</w:t>
      </w:r>
      <w:r w:rsidR="00BF7825">
        <w:rPr>
          <w:sz w:val="22"/>
          <w:szCs w:val="22"/>
        </w:rPr>
        <w:t xml:space="preserve"> de tratamento</w:t>
      </w:r>
      <w:r w:rsidRPr="008912CF">
        <w:rPr>
          <w:sz w:val="22"/>
          <w:szCs w:val="22"/>
        </w:rPr>
        <w:t xml:space="preserve">. As taxas </w:t>
      </w:r>
      <w:r>
        <w:rPr>
          <w:sz w:val="22"/>
          <w:szCs w:val="22"/>
        </w:rPr>
        <w:t>de notificação espontânea</w:t>
      </w:r>
      <w:r w:rsidRPr="008912CF">
        <w:rPr>
          <w:sz w:val="22"/>
          <w:szCs w:val="22"/>
        </w:rPr>
        <w:t xml:space="preserve"> de neoplasias cutâneas não melanomas e linfomas são de aproximadamente 0,2 e 0,3 por 1</w:t>
      </w:r>
      <w:r w:rsidR="00BF7825">
        <w:rPr>
          <w:sz w:val="22"/>
          <w:szCs w:val="22"/>
        </w:rPr>
        <w:t>.</w:t>
      </w:r>
      <w:r w:rsidRPr="008912CF">
        <w:rPr>
          <w:sz w:val="22"/>
          <w:szCs w:val="22"/>
        </w:rPr>
        <w:t xml:space="preserve">000 doentes/ano </w:t>
      </w:r>
      <w:r w:rsidR="00BF7825">
        <w:rPr>
          <w:sz w:val="22"/>
          <w:szCs w:val="22"/>
        </w:rPr>
        <w:t>de</w:t>
      </w:r>
      <w:r w:rsidR="00BF7825" w:rsidRPr="008912CF">
        <w:rPr>
          <w:sz w:val="22"/>
          <w:szCs w:val="22"/>
        </w:rPr>
        <w:t xml:space="preserve"> </w:t>
      </w:r>
      <w:r w:rsidRPr="008912CF">
        <w:rPr>
          <w:sz w:val="22"/>
          <w:szCs w:val="22"/>
        </w:rPr>
        <w:t>tratamento, respetivamente (ver secção 4.4).</w:t>
      </w:r>
    </w:p>
    <w:p w14:paraId="7D91A9D6" w14:textId="77777777" w:rsidR="004462A0" w:rsidRPr="008912CF" w:rsidRDefault="004462A0" w:rsidP="004462A0">
      <w:pPr>
        <w:pStyle w:val="Default"/>
        <w:rPr>
          <w:sz w:val="22"/>
          <w:szCs w:val="22"/>
          <w:lang w:val="pt-PT"/>
        </w:rPr>
      </w:pPr>
    </w:p>
    <w:p w14:paraId="582D810F" w14:textId="77777777" w:rsidR="004462A0" w:rsidRPr="008912CF" w:rsidRDefault="00615769" w:rsidP="004462A0">
      <w:pPr>
        <w:pStyle w:val="Default"/>
        <w:rPr>
          <w:sz w:val="22"/>
          <w:szCs w:val="22"/>
          <w:lang w:val="pt-PT"/>
        </w:rPr>
      </w:pPr>
      <w:r w:rsidRPr="008912CF">
        <w:rPr>
          <w:sz w:val="22"/>
          <w:szCs w:val="22"/>
          <w:lang w:val="pt-PT"/>
        </w:rPr>
        <w:t>Foram notificados em fase de pós</w:t>
      </w:r>
      <w:r w:rsidR="00BF7825">
        <w:rPr>
          <w:sz w:val="22"/>
          <w:szCs w:val="22"/>
          <w:lang w:val="pt-PT"/>
        </w:rPr>
        <w:t>-</w:t>
      </w:r>
      <w:r w:rsidRPr="008912CF">
        <w:rPr>
          <w:sz w:val="22"/>
          <w:szCs w:val="22"/>
          <w:lang w:val="pt-PT"/>
        </w:rPr>
        <w:t xml:space="preserve">comercialização casos raros de linfoma hepatoesplénico de </w:t>
      </w:r>
      <w:r w:rsidR="00BF7825">
        <w:rPr>
          <w:sz w:val="22"/>
          <w:szCs w:val="22"/>
          <w:lang w:val="pt-PT"/>
        </w:rPr>
        <w:t>células</w:t>
      </w:r>
      <w:r w:rsidR="00BF7825" w:rsidRPr="008912CF">
        <w:rPr>
          <w:sz w:val="22"/>
          <w:szCs w:val="22"/>
          <w:lang w:val="pt-PT"/>
        </w:rPr>
        <w:t xml:space="preserve"> </w:t>
      </w:r>
      <w:r w:rsidRPr="008912CF">
        <w:rPr>
          <w:sz w:val="22"/>
          <w:szCs w:val="22"/>
          <w:lang w:val="pt-PT"/>
        </w:rPr>
        <w:t>T em doentes tratados com adalimumab (ver secção 4.4).</w:t>
      </w:r>
    </w:p>
    <w:p w14:paraId="64BD0246" w14:textId="77777777" w:rsidR="004462A0" w:rsidRPr="008912CF" w:rsidRDefault="004462A0" w:rsidP="004462A0">
      <w:pPr>
        <w:autoSpaceDE w:val="0"/>
        <w:autoSpaceDN w:val="0"/>
        <w:adjustRightInd w:val="0"/>
        <w:rPr>
          <w:sz w:val="22"/>
          <w:szCs w:val="22"/>
        </w:rPr>
      </w:pPr>
    </w:p>
    <w:p w14:paraId="420D31DD" w14:textId="77777777" w:rsidR="004462A0" w:rsidRPr="008912CF" w:rsidRDefault="00615769" w:rsidP="004462A0">
      <w:pPr>
        <w:autoSpaceDE w:val="0"/>
        <w:autoSpaceDN w:val="0"/>
        <w:adjustRightInd w:val="0"/>
        <w:rPr>
          <w:sz w:val="22"/>
          <w:szCs w:val="22"/>
        </w:rPr>
      </w:pPr>
      <w:r w:rsidRPr="008912CF">
        <w:rPr>
          <w:i/>
          <w:sz w:val="22"/>
          <w:szCs w:val="22"/>
        </w:rPr>
        <w:t xml:space="preserve">Autoanticorpos </w:t>
      </w:r>
    </w:p>
    <w:p w14:paraId="0F3EBD7C" w14:textId="77777777" w:rsidR="004462A0" w:rsidRPr="008912CF" w:rsidRDefault="004462A0" w:rsidP="004462A0">
      <w:pPr>
        <w:autoSpaceDE w:val="0"/>
        <w:autoSpaceDN w:val="0"/>
        <w:adjustRightInd w:val="0"/>
        <w:rPr>
          <w:sz w:val="22"/>
          <w:szCs w:val="22"/>
        </w:rPr>
      </w:pPr>
    </w:p>
    <w:p w14:paraId="74F7FB7C" w14:textId="77777777" w:rsidR="004462A0" w:rsidRPr="008912CF" w:rsidRDefault="00615769" w:rsidP="004462A0">
      <w:pPr>
        <w:autoSpaceDE w:val="0"/>
        <w:autoSpaceDN w:val="0"/>
        <w:adjustRightInd w:val="0"/>
        <w:rPr>
          <w:sz w:val="22"/>
          <w:szCs w:val="22"/>
        </w:rPr>
      </w:pPr>
      <w:r w:rsidRPr="008912CF">
        <w:rPr>
          <w:sz w:val="22"/>
          <w:szCs w:val="22"/>
        </w:rPr>
        <w:t xml:space="preserve">Foram </w:t>
      </w:r>
      <w:r w:rsidR="00B5581D">
        <w:rPr>
          <w:sz w:val="22"/>
          <w:szCs w:val="22"/>
        </w:rPr>
        <w:t>analisadas</w:t>
      </w:r>
      <w:r w:rsidR="00B5581D" w:rsidRPr="008912CF">
        <w:rPr>
          <w:sz w:val="22"/>
          <w:szCs w:val="22"/>
        </w:rPr>
        <w:t xml:space="preserve"> </w:t>
      </w:r>
      <w:r w:rsidRPr="008912CF">
        <w:rPr>
          <w:sz w:val="22"/>
          <w:szCs w:val="22"/>
        </w:rPr>
        <w:t>amostras de soro dos doentes em múltiplos pontos temporais para pesquisa de autoanticorpos nos estudos I-V na artrite reumatoide. Nestes ensaios, 11,9</w:t>
      </w:r>
      <w:r w:rsidR="009343EF">
        <w:rPr>
          <w:sz w:val="22"/>
          <w:szCs w:val="22"/>
        </w:rPr>
        <w:t>%</w:t>
      </w:r>
      <w:r w:rsidRPr="008912CF">
        <w:rPr>
          <w:sz w:val="22"/>
          <w:szCs w:val="22"/>
        </w:rPr>
        <w:t xml:space="preserve"> dos doentes tratados com Humira e 8,1</w:t>
      </w:r>
      <w:r w:rsidR="009343EF">
        <w:rPr>
          <w:sz w:val="22"/>
          <w:szCs w:val="22"/>
        </w:rPr>
        <w:t>%</w:t>
      </w:r>
      <w:r w:rsidRPr="008912CF">
        <w:rPr>
          <w:sz w:val="22"/>
          <w:szCs w:val="22"/>
        </w:rPr>
        <w:t xml:space="preserve"> dos doentes tratados com placebo e controlo ativo, cujos títulos de anticorpos antinucleares eram negativos no início do estudo, apresentavam títulos positivos na Semana 24. Dois dos 3.441 doentes tratados com Humira </w:t>
      </w:r>
      <w:r w:rsidR="00B5581D">
        <w:rPr>
          <w:sz w:val="22"/>
          <w:szCs w:val="22"/>
        </w:rPr>
        <w:t>nos</w:t>
      </w:r>
      <w:r w:rsidR="00B5581D" w:rsidRPr="008912CF">
        <w:rPr>
          <w:sz w:val="22"/>
          <w:szCs w:val="22"/>
        </w:rPr>
        <w:t xml:space="preserve"> </w:t>
      </w:r>
      <w:r w:rsidRPr="008912CF">
        <w:rPr>
          <w:sz w:val="22"/>
          <w:szCs w:val="22"/>
        </w:rPr>
        <w:t xml:space="preserve">estudos </w:t>
      </w:r>
      <w:r w:rsidR="00B5581D">
        <w:rPr>
          <w:sz w:val="22"/>
          <w:szCs w:val="22"/>
        </w:rPr>
        <w:t>na</w:t>
      </w:r>
      <w:r w:rsidR="00B5581D" w:rsidRPr="008912CF">
        <w:rPr>
          <w:sz w:val="22"/>
          <w:szCs w:val="22"/>
        </w:rPr>
        <w:t xml:space="preserve"> </w:t>
      </w:r>
      <w:r w:rsidRPr="008912CF">
        <w:rPr>
          <w:sz w:val="22"/>
          <w:szCs w:val="22"/>
        </w:rPr>
        <w:t>artrite reumatoide e artrite psoriática desenvolveram, pela primeira vez, sinais clínicos sugestivos de uma síndrome tipo lúpus. O estado dos doentes melhorou após a suspensão da terapêutica. Nenhum doente desenvolveu nefrite lúpica ou sintomas a nível do sistema nervoso central</w:t>
      </w:r>
      <w:r w:rsidRPr="008912CF">
        <w:rPr>
          <w:sz w:val="22"/>
          <w:szCs w:val="22"/>
        </w:rPr>
        <w:t xml:space="preserve">. </w:t>
      </w:r>
    </w:p>
    <w:p w14:paraId="6877C226" w14:textId="77777777" w:rsidR="004462A0" w:rsidRPr="008912CF" w:rsidRDefault="004462A0" w:rsidP="004462A0">
      <w:pPr>
        <w:ind w:left="567" w:hanging="567"/>
        <w:rPr>
          <w:sz w:val="22"/>
          <w:szCs w:val="22"/>
        </w:rPr>
      </w:pPr>
    </w:p>
    <w:p w14:paraId="5560209E" w14:textId="77777777" w:rsidR="004462A0" w:rsidRPr="008912CF" w:rsidRDefault="00615769" w:rsidP="004462A0">
      <w:pPr>
        <w:ind w:left="567" w:hanging="567"/>
        <w:rPr>
          <w:sz w:val="22"/>
          <w:szCs w:val="22"/>
        </w:rPr>
      </w:pPr>
      <w:r w:rsidRPr="008912CF">
        <w:rPr>
          <w:i/>
          <w:sz w:val="22"/>
          <w:szCs w:val="22"/>
        </w:rPr>
        <w:t>Efeitos hepatobiliares</w:t>
      </w:r>
      <w:r w:rsidRPr="008912CF">
        <w:rPr>
          <w:sz w:val="22"/>
          <w:szCs w:val="22"/>
        </w:rPr>
        <w:t xml:space="preserve"> </w:t>
      </w:r>
    </w:p>
    <w:p w14:paraId="63D02E0E" w14:textId="77777777" w:rsidR="004462A0" w:rsidRPr="008912CF" w:rsidRDefault="004462A0" w:rsidP="004462A0">
      <w:pPr>
        <w:ind w:left="567" w:hanging="567"/>
        <w:rPr>
          <w:sz w:val="22"/>
          <w:szCs w:val="22"/>
        </w:rPr>
      </w:pPr>
    </w:p>
    <w:p w14:paraId="4483B510" w14:textId="77777777" w:rsidR="004462A0" w:rsidRPr="008912CF" w:rsidRDefault="00615769" w:rsidP="004462A0">
      <w:pPr>
        <w:pStyle w:val="BodyText2"/>
        <w:autoSpaceDE/>
        <w:autoSpaceDN/>
        <w:adjustRightInd/>
        <w:rPr>
          <w:szCs w:val="22"/>
        </w:rPr>
      </w:pPr>
      <w:r w:rsidRPr="008912CF">
        <w:rPr>
          <w:szCs w:val="22"/>
        </w:rPr>
        <w:t xml:space="preserve">Nos ensaios clínicos de Fase 3 controlados de Humira, em doentes com artrite reumatoide (AR) e artrite psoriática, com um período de controlo compreendido entre 4 a 104 semanas, os aumentos de ALT </w:t>
      </w:r>
      <w:r w:rsidRPr="008912CF">
        <w:t>≥ 3 LNS ocorreram em 3,7</w:t>
      </w:r>
      <w:r w:rsidR="009343EF">
        <w:t>%</w:t>
      </w:r>
      <w:r w:rsidRPr="008912CF">
        <w:t xml:space="preserve"> dos doentes tratados com Humira e em 1,6</w:t>
      </w:r>
      <w:r w:rsidR="009343EF">
        <w:t>%</w:t>
      </w:r>
      <w:r w:rsidRPr="008912CF">
        <w:t xml:space="preserve"> dos </w:t>
      </w:r>
      <w:r w:rsidRPr="008912CF">
        <w:rPr>
          <w:szCs w:val="22"/>
        </w:rPr>
        <w:t>doentes tratados com controlo.</w:t>
      </w:r>
    </w:p>
    <w:p w14:paraId="0BC608D2" w14:textId="77777777" w:rsidR="004462A0" w:rsidRPr="008912CF" w:rsidRDefault="004462A0" w:rsidP="004462A0">
      <w:pPr>
        <w:pStyle w:val="BodyText2"/>
        <w:autoSpaceDE/>
        <w:autoSpaceDN/>
        <w:adjustRightInd/>
        <w:rPr>
          <w:szCs w:val="22"/>
        </w:rPr>
      </w:pPr>
    </w:p>
    <w:p w14:paraId="474D2A3E" w14:textId="77777777" w:rsidR="004462A0" w:rsidRPr="008912CF" w:rsidRDefault="00615769" w:rsidP="004462A0">
      <w:pPr>
        <w:pStyle w:val="BodyText2"/>
        <w:rPr>
          <w:szCs w:val="22"/>
        </w:rPr>
      </w:pPr>
      <w:r w:rsidRPr="008912CF">
        <w:rPr>
          <w:szCs w:val="22"/>
        </w:rPr>
        <w:t>Nos ensaios clínicos de Fase 3 de Humira, em doentes com artrite idiopática juvenil</w:t>
      </w:r>
      <w:r w:rsidR="00B5581D">
        <w:rPr>
          <w:szCs w:val="22"/>
        </w:rPr>
        <w:t xml:space="preserve"> poliarticular</w:t>
      </w:r>
      <w:r w:rsidRPr="008912CF">
        <w:rPr>
          <w:szCs w:val="22"/>
        </w:rPr>
        <w:t>, dos 4 aos 17 anos de idade e com artrite relacionada com entesite, dos 6 aos 17 anos de idade, os aumentos de ALT ≥ 3 LNS ocorreram em 6,1% dos doentes tratados com Humira e em 1,3% dos doentes tratados com controlo. Os aumentos de ALT ocorreram na sua maioria em associação com metotrexato. Nos ensaios clínicos de Fase 3 de Humira, não se registaram casos de aumentos de ALT</w:t>
      </w:r>
      <w:r w:rsidR="00B5581D">
        <w:rPr>
          <w:szCs w:val="22"/>
        </w:rPr>
        <w:t xml:space="preserve"> </w:t>
      </w:r>
      <w:r w:rsidRPr="008912CF">
        <w:rPr>
          <w:szCs w:val="22"/>
        </w:rPr>
        <w:t>≥ 3 LNS em doentes com artrite idiopática juvenil poliarticular, com idades compreendidas entre os 2 e os 4 anos</w:t>
      </w:r>
      <w:r w:rsidR="00B5581D">
        <w:rPr>
          <w:szCs w:val="22"/>
        </w:rPr>
        <w:t>.</w:t>
      </w:r>
      <w:r w:rsidRPr="008912CF">
        <w:rPr>
          <w:szCs w:val="22"/>
        </w:rPr>
        <w:t xml:space="preserve"> </w:t>
      </w:r>
    </w:p>
    <w:p w14:paraId="765A7113" w14:textId="77777777" w:rsidR="004462A0" w:rsidRPr="008912CF" w:rsidRDefault="004462A0" w:rsidP="004462A0">
      <w:pPr>
        <w:pStyle w:val="BodyText2"/>
        <w:autoSpaceDE/>
        <w:autoSpaceDN/>
        <w:adjustRightInd/>
        <w:rPr>
          <w:szCs w:val="22"/>
        </w:rPr>
      </w:pPr>
    </w:p>
    <w:p w14:paraId="06B0DCF8" w14:textId="77777777" w:rsidR="004462A0" w:rsidRPr="008912CF" w:rsidRDefault="00615769" w:rsidP="004462A0">
      <w:pPr>
        <w:rPr>
          <w:sz w:val="20"/>
          <w:szCs w:val="22"/>
        </w:rPr>
      </w:pPr>
      <w:r w:rsidRPr="008912CF">
        <w:rPr>
          <w:sz w:val="22"/>
          <w:szCs w:val="22"/>
        </w:rPr>
        <w:t>Nos ensaios clínicos de Fase 3 controlados de Humira, em doentes com</w:t>
      </w:r>
      <w:r w:rsidRPr="008912CF">
        <w:rPr>
          <w:i/>
          <w:iCs/>
          <w:sz w:val="20"/>
          <w:szCs w:val="22"/>
        </w:rPr>
        <w:t xml:space="preserve"> </w:t>
      </w:r>
      <w:r w:rsidRPr="008912CF">
        <w:rPr>
          <w:iCs/>
          <w:sz w:val="22"/>
          <w:szCs w:val="22"/>
        </w:rPr>
        <w:t>doença de Crohn e colite ulcerosa</w:t>
      </w:r>
      <w:r w:rsidRPr="008912CF">
        <w:rPr>
          <w:iCs/>
          <w:sz w:val="20"/>
          <w:szCs w:val="22"/>
        </w:rPr>
        <w:t>,</w:t>
      </w:r>
      <w:r w:rsidRPr="008912CF">
        <w:rPr>
          <w:sz w:val="22"/>
          <w:szCs w:val="22"/>
        </w:rPr>
        <w:t xml:space="preserve"> com um período de controlo compreendido entre 4 a 52 semanas, os aumentos de ALT </w:t>
      </w:r>
      <w:r w:rsidRPr="008912CF">
        <w:rPr>
          <w:sz w:val="22"/>
        </w:rPr>
        <w:t>≥ 3 LNS ocorreram em 0,9</w:t>
      </w:r>
      <w:r w:rsidR="009343EF">
        <w:rPr>
          <w:sz w:val="22"/>
        </w:rPr>
        <w:t>%</w:t>
      </w:r>
      <w:r w:rsidRPr="008912CF">
        <w:rPr>
          <w:sz w:val="22"/>
        </w:rPr>
        <w:t xml:space="preserve"> dos doentes tratados com Humira e em 0,9</w:t>
      </w:r>
      <w:r w:rsidR="009343EF">
        <w:rPr>
          <w:sz w:val="22"/>
        </w:rPr>
        <w:t>%</w:t>
      </w:r>
      <w:r w:rsidRPr="008912CF">
        <w:rPr>
          <w:sz w:val="22"/>
        </w:rPr>
        <w:t xml:space="preserve"> dos doentes tratados com controlo</w:t>
      </w:r>
      <w:r w:rsidRPr="008912CF">
        <w:rPr>
          <w:sz w:val="20"/>
          <w:szCs w:val="22"/>
        </w:rPr>
        <w:t>.</w:t>
      </w:r>
    </w:p>
    <w:p w14:paraId="4A19BB55" w14:textId="77777777" w:rsidR="004462A0" w:rsidRPr="008912CF" w:rsidRDefault="004462A0" w:rsidP="004462A0">
      <w:pPr>
        <w:rPr>
          <w:sz w:val="20"/>
          <w:szCs w:val="22"/>
        </w:rPr>
      </w:pPr>
    </w:p>
    <w:p w14:paraId="58349048" w14:textId="77777777" w:rsidR="004462A0" w:rsidRPr="008912CF" w:rsidRDefault="00615769" w:rsidP="004462A0">
      <w:pPr>
        <w:rPr>
          <w:sz w:val="22"/>
          <w:szCs w:val="22"/>
        </w:rPr>
      </w:pPr>
      <w:r w:rsidRPr="008912CF">
        <w:rPr>
          <w:sz w:val="22"/>
          <w:szCs w:val="22"/>
        </w:rPr>
        <w:t>No ensaio clínico de Fase 3 de Humira, em doentes com</w:t>
      </w:r>
      <w:r w:rsidRPr="008912CF">
        <w:rPr>
          <w:i/>
          <w:iCs/>
          <w:sz w:val="22"/>
          <w:szCs w:val="22"/>
        </w:rPr>
        <w:t xml:space="preserve"> </w:t>
      </w:r>
      <w:r w:rsidRPr="008912CF">
        <w:rPr>
          <w:iCs/>
          <w:sz w:val="22"/>
          <w:szCs w:val="22"/>
        </w:rPr>
        <w:t xml:space="preserve">doença de Crohn pediátrica, que avaliou a eficácia e segurança de dois regimes posológicos </w:t>
      </w:r>
      <w:r w:rsidRPr="008912CF">
        <w:rPr>
          <w:sz w:val="22"/>
          <w:szCs w:val="22"/>
        </w:rPr>
        <w:t>de manutenção e indução ajustados ao peso corporal</w:t>
      </w:r>
      <w:r w:rsidRPr="008912CF">
        <w:rPr>
          <w:iCs/>
          <w:sz w:val="22"/>
          <w:szCs w:val="22"/>
        </w:rPr>
        <w:t xml:space="preserve"> durante 52 semanas de tratamento,</w:t>
      </w:r>
      <w:r w:rsidRPr="008912CF">
        <w:rPr>
          <w:sz w:val="22"/>
          <w:szCs w:val="22"/>
        </w:rPr>
        <w:t xml:space="preserve"> os aumentos de ALT ≥ 3 LNS ocorreram em 2,6</w:t>
      </w:r>
      <w:r w:rsidR="009343EF">
        <w:rPr>
          <w:sz w:val="22"/>
          <w:szCs w:val="22"/>
        </w:rPr>
        <w:t>%</w:t>
      </w:r>
      <w:r w:rsidRPr="008912CF">
        <w:rPr>
          <w:sz w:val="22"/>
          <w:szCs w:val="22"/>
        </w:rPr>
        <w:t xml:space="preserve"> (5/192) dos doentes</w:t>
      </w:r>
      <w:r w:rsidR="0098579F">
        <w:rPr>
          <w:sz w:val="22"/>
          <w:szCs w:val="22"/>
        </w:rPr>
        <w:t>,</w:t>
      </w:r>
      <w:r w:rsidRPr="008912CF">
        <w:rPr>
          <w:sz w:val="22"/>
          <w:szCs w:val="22"/>
        </w:rPr>
        <w:t xml:space="preserve"> dos quais 4 receberam medicação imunossupressora concomitante no início do tratamento.</w:t>
      </w:r>
    </w:p>
    <w:p w14:paraId="73900347" w14:textId="77777777" w:rsidR="004462A0" w:rsidRPr="008912CF" w:rsidRDefault="004462A0" w:rsidP="004462A0">
      <w:pPr>
        <w:rPr>
          <w:sz w:val="22"/>
          <w:szCs w:val="22"/>
        </w:rPr>
      </w:pPr>
    </w:p>
    <w:p w14:paraId="76DAB4EC" w14:textId="77777777" w:rsidR="004462A0" w:rsidRPr="008912CF" w:rsidRDefault="00615769" w:rsidP="004462A0">
      <w:pPr>
        <w:rPr>
          <w:sz w:val="22"/>
          <w:szCs w:val="22"/>
        </w:rPr>
      </w:pPr>
      <w:r w:rsidRPr="008912CF">
        <w:rPr>
          <w:sz w:val="22"/>
          <w:szCs w:val="22"/>
        </w:rPr>
        <w:t>Nos ensaios clínicos controlados de Fase 3 de Humira, em doentes com</w:t>
      </w:r>
      <w:r w:rsidRPr="008912CF">
        <w:rPr>
          <w:i/>
          <w:iCs/>
          <w:sz w:val="22"/>
          <w:szCs w:val="22"/>
        </w:rPr>
        <w:t xml:space="preserve"> </w:t>
      </w:r>
      <w:r w:rsidRPr="008912CF">
        <w:rPr>
          <w:iCs/>
          <w:sz w:val="22"/>
          <w:szCs w:val="22"/>
        </w:rPr>
        <w:t>psoríase em placas,</w:t>
      </w:r>
      <w:r w:rsidRPr="008912CF">
        <w:rPr>
          <w:sz w:val="22"/>
          <w:szCs w:val="22"/>
        </w:rPr>
        <w:t xml:space="preserve"> com um período de controlo compreendido entre 12 a 24 semanas, os aumentos de ALT ≥ 3 LNS ocorreram em 1,8</w:t>
      </w:r>
      <w:r w:rsidR="009343EF">
        <w:rPr>
          <w:sz w:val="22"/>
          <w:szCs w:val="22"/>
        </w:rPr>
        <w:t>%</w:t>
      </w:r>
      <w:r w:rsidRPr="008912CF">
        <w:rPr>
          <w:sz w:val="22"/>
          <w:szCs w:val="22"/>
        </w:rPr>
        <w:t xml:space="preserve"> dos doentes tratados com Humira e em 1,8</w:t>
      </w:r>
      <w:r w:rsidR="009343EF">
        <w:rPr>
          <w:sz w:val="22"/>
          <w:szCs w:val="22"/>
        </w:rPr>
        <w:t>%</w:t>
      </w:r>
      <w:r w:rsidRPr="008912CF">
        <w:rPr>
          <w:sz w:val="22"/>
          <w:szCs w:val="22"/>
        </w:rPr>
        <w:t xml:space="preserve"> dos doentes tratados com controlo.</w:t>
      </w:r>
    </w:p>
    <w:p w14:paraId="3F5BC4EF" w14:textId="77777777" w:rsidR="004462A0" w:rsidRPr="008912CF" w:rsidRDefault="004462A0" w:rsidP="004462A0">
      <w:pPr>
        <w:rPr>
          <w:sz w:val="22"/>
          <w:szCs w:val="22"/>
        </w:rPr>
      </w:pPr>
    </w:p>
    <w:p w14:paraId="3E9EE0C3" w14:textId="77777777" w:rsidR="004462A0" w:rsidRPr="008912CF" w:rsidRDefault="00615769" w:rsidP="004462A0">
      <w:pPr>
        <w:rPr>
          <w:sz w:val="22"/>
          <w:szCs w:val="22"/>
        </w:rPr>
      </w:pPr>
      <w:r w:rsidRPr="008912CF">
        <w:rPr>
          <w:sz w:val="22"/>
          <w:szCs w:val="22"/>
        </w:rPr>
        <w:t>Nos ensaios clínicos de Fase 3 de Humira</w:t>
      </w:r>
      <w:r w:rsidR="00A4692F">
        <w:rPr>
          <w:sz w:val="22"/>
          <w:szCs w:val="22"/>
        </w:rPr>
        <w:t>,</w:t>
      </w:r>
      <w:r w:rsidRPr="008912CF">
        <w:rPr>
          <w:sz w:val="22"/>
          <w:szCs w:val="22"/>
        </w:rPr>
        <w:t xml:space="preserve"> em doentes pediátricos com psoríase em placas, não se registaram aumentos de ALT</w:t>
      </w:r>
      <w:r w:rsidR="00A4692F">
        <w:rPr>
          <w:sz w:val="22"/>
          <w:szCs w:val="22"/>
        </w:rPr>
        <w:t xml:space="preserve"> </w:t>
      </w:r>
      <w:r w:rsidRPr="008912CF">
        <w:rPr>
          <w:sz w:val="22"/>
          <w:szCs w:val="22"/>
        </w:rPr>
        <w:t>≥ 3 LNS.</w:t>
      </w:r>
    </w:p>
    <w:p w14:paraId="70216DCE" w14:textId="77777777" w:rsidR="004462A0" w:rsidRDefault="004462A0" w:rsidP="004462A0">
      <w:pPr>
        <w:rPr>
          <w:sz w:val="22"/>
          <w:szCs w:val="22"/>
        </w:rPr>
      </w:pPr>
    </w:p>
    <w:p w14:paraId="4D7E774A" w14:textId="77777777" w:rsidR="00AA4B00" w:rsidRDefault="00615769" w:rsidP="004462A0">
      <w:pPr>
        <w:rPr>
          <w:sz w:val="22"/>
          <w:szCs w:val="22"/>
        </w:rPr>
      </w:pPr>
      <w:r w:rsidRPr="00CC4B51">
        <w:rPr>
          <w:sz w:val="22"/>
          <w:szCs w:val="22"/>
        </w:rPr>
        <w:t>Nos ensaios clínicos controlados de Humira (doses iniciais de 160 mg na Semana 0 e 80 mg na Semana 2, seguida de 40 mg por semana a partir da Semana 4), em doentes com hidradenite supurativa, com um período de controlo compreendido entre 12 e 16 semanas, os aumentos de ALT ≥ 3 LN</w:t>
      </w:r>
      <w:r w:rsidR="00FC7E81">
        <w:rPr>
          <w:sz w:val="22"/>
          <w:szCs w:val="22"/>
        </w:rPr>
        <w:t>S</w:t>
      </w:r>
      <w:r w:rsidRPr="00CC4B51">
        <w:rPr>
          <w:sz w:val="22"/>
          <w:szCs w:val="22"/>
        </w:rPr>
        <w:t xml:space="preserve"> ocorreram em 0,3</w:t>
      </w:r>
      <w:r w:rsidR="009343EF">
        <w:rPr>
          <w:sz w:val="22"/>
          <w:szCs w:val="22"/>
        </w:rPr>
        <w:t>%</w:t>
      </w:r>
      <w:r w:rsidRPr="00CC4B51">
        <w:rPr>
          <w:sz w:val="22"/>
          <w:szCs w:val="22"/>
        </w:rPr>
        <w:t xml:space="preserve"> dos doentes tratados com Humira e em 0,6</w:t>
      </w:r>
      <w:r w:rsidR="009343EF">
        <w:rPr>
          <w:sz w:val="22"/>
          <w:szCs w:val="22"/>
        </w:rPr>
        <w:t>%</w:t>
      </w:r>
      <w:r w:rsidRPr="00CC4B51">
        <w:rPr>
          <w:sz w:val="22"/>
          <w:szCs w:val="22"/>
        </w:rPr>
        <w:t xml:space="preserve"> dos doentes tratados com controlo.</w:t>
      </w:r>
    </w:p>
    <w:p w14:paraId="07B32AAD" w14:textId="77777777" w:rsidR="00AA4B00" w:rsidRDefault="00AA4B00" w:rsidP="004462A0">
      <w:pPr>
        <w:rPr>
          <w:sz w:val="22"/>
          <w:szCs w:val="22"/>
        </w:rPr>
      </w:pPr>
    </w:p>
    <w:p w14:paraId="7F78EBB0" w14:textId="77777777" w:rsidR="004462A0" w:rsidRDefault="00615769" w:rsidP="004462A0">
      <w:pPr>
        <w:rPr>
          <w:sz w:val="22"/>
          <w:szCs w:val="22"/>
        </w:rPr>
      </w:pPr>
      <w:r w:rsidRPr="004A41F7">
        <w:rPr>
          <w:sz w:val="22"/>
          <w:szCs w:val="22"/>
        </w:rPr>
        <w:t>Nos ensaios clínicos controlados de Humira (doses iniciais de 80 mg na Semana 0</w:t>
      </w:r>
      <w:r>
        <w:rPr>
          <w:sz w:val="22"/>
          <w:szCs w:val="22"/>
        </w:rPr>
        <w:t>,</w:t>
      </w:r>
      <w:r w:rsidRPr="004A41F7">
        <w:rPr>
          <w:sz w:val="22"/>
          <w:szCs w:val="22"/>
        </w:rPr>
        <w:t xml:space="preserve"> seguid</w:t>
      </w:r>
      <w:r>
        <w:rPr>
          <w:sz w:val="22"/>
          <w:szCs w:val="22"/>
        </w:rPr>
        <w:t>a</w:t>
      </w:r>
      <w:r w:rsidRPr="004A41F7">
        <w:rPr>
          <w:sz w:val="22"/>
          <w:szCs w:val="22"/>
        </w:rPr>
        <w:t xml:space="preserve"> de 40 mg em semanas alternadas a partir da Semana 1), em doentes </w:t>
      </w:r>
      <w:r w:rsidR="00E60C95">
        <w:rPr>
          <w:sz w:val="22"/>
          <w:szCs w:val="22"/>
        </w:rPr>
        <w:t xml:space="preserve">adultos </w:t>
      </w:r>
      <w:r w:rsidRPr="004A41F7">
        <w:rPr>
          <w:sz w:val="22"/>
          <w:szCs w:val="22"/>
        </w:rPr>
        <w:t>com uveíte</w:t>
      </w:r>
      <w:r>
        <w:rPr>
          <w:sz w:val="22"/>
          <w:szCs w:val="22"/>
        </w:rPr>
        <w:t xml:space="preserve">, </w:t>
      </w:r>
      <w:r w:rsidR="00A4692F">
        <w:rPr>
          <w:sz w:val="22"/>
          <w:szCs w:val="22"/>
        </w:rPr>
        <w:t>até</w:t>
      </w:r>
      <w:r w:rsidR="00A4692F" w:rsidRPr="004A41F7">
        <w:rPr>
          <w:sz w:val="22"/>
          <w:szCs w:val="22"/>
        </w:rPr>
        <w:t xml:space="preserve"> </w:t>
      </w:r>
      <w:r w:rsidRPr="004A41F7">
        <w:rPr>
          <w:sz w:val="22"/>
          <w:szCs w:val="22"/>
        </w:rPr>
        <w:t>80 semanas</w:t>
      </w:r>
      <w:r>
        <w:rPr>
          <w:sz w:val="22"/>
          <w:szCs w:val="22"/>
        </w:rPr>
        <w:t>,</w:t>
      </w:r>
      <w:r w:rsidRPr="004A41F7">
        <w:rPr>
          <w:sz w:val="22"/>
          <w:szCs w:val="22"/>
        </w:rPr>
        <w:t xml:space="preserve"> com uma exposição </w:t>
      </w:r>
      <w:r w:rsidR="00A4692F">
        <w:rPr>
          <w:sz w:val="22"/>
          <w:szCs w:val="22"/>
        </w:rPr>
        <w:t>mediana</w:t>
      </w:r>
      <w:r w:rsidR="00A4692F" w:rsidRPr="004A41F7">
        <w:rPr>
          <w:sz w:val="22"/>
          <w:szCs w:val="22"/>
        </w:rPr>
        <w:t xml:space="preserve"> </w:t>
      </w:r>
      <w:r w:rsidRPr="004A41F7">
        <w:rPr>
          <w:sz w:val="22"/>
          <w:szCs w:val="22"/>
        </w:rPr>
        <w:t>de 166,5 dias e 105,0 dias em doentes tratados com Humira e doentes tratados com controlo, respetivamente</w:t>
      </w:r>
      <w:r>
        <w:rPr>
          <w:sz w:val="22"/>
          <w:szCs w:val="22"/>
        </w:rPr>
        <w:t>, o</w:t>
      </w:r>
      <w:r w:rsidRPr="004A41F7">
        <w:rPr>
          <w:sz w:val="22"/>
          <w:szCs w:val="22"/>
        </w:rPr>
        <w:t>s aumentos de ALT ≥ 3 LNS ocorreram em 2,4</w:t>
      </w:r>
      <w:r w:rsidR="009343EF">
        <w:rPr>
          <w:sz w:val="22"/>
          <w:szCs w:val="22"/>
        </w:rPr>
        <w:t>%</w:t>
      </w:r>
      <w:r w:rsidRPr="004A41F7">
        <w:rPr>
          <w:sz w:val="22"/>
          <w:szCs w:val="22"/>
        </w:rPr>
        <w:t xml:space="preserve"> dos doentes tratados com Humira e </w:t>
      </w:r>
      <w:r w:rsidR="00620DAC">
        <w:rPr>
          <w:sz w:val="22"/>
          <w:szCs w:val="22"/>
        </w:rPr>
        <w:t xml:space="preserve">em </w:t>
      </w:r>
      <w:r w:rsidRPr="004A41F7">
        <w:rPr>
          <w:sz w:val="22"/>
          <w:szCs w:val="22"/>
        </w:rPr>
        <w:t>2,4</w:t>
      </w:r>
      <w:r w:rsidR="009343EF">
        <w:rPr>
          <w:sz w:val="22"/>
          <w:szCs w:val="22"/>
        </w:rPr>
        <w:t>%</w:t>
      </w:r>
      <w:r w:rsidRPr="004A41F7">
        <w:rPr>
          <w:sz w:val="22"/>
          <w:szCs w:val="22"/>
        </w:rPr>
        <w:t xml:space="preserve"> dos doentes tratados com controlo.</w:t>
      </w:r>
    </w:p>
    <w:p w14:paraId="5CF6ABA8" w14:textId="77777777" w:rsidR="004462A0" w:rsidRPr="008912CF" w:rsidRDefault="004462A0" w:rsidP="004462A0">
      <w:pPr>
        <w:rPr>
          <w:sz w:val="22"/>
          <w:szCs w:val="22"/>
        </w:rPr>
      </w:pPr>
    </w:p>
    <w:p w14:paraId="7E243B72" w14:textId="77777777" w:rsidR="00E549E4" w:rsidRDefault="00615769" w:rsidP="004462A0">
      <w:pPr>
        <w:rPr>
          <w:sz w:val="22"/>
          <w:szCs w:val="22"/>
        </w:rPr>
      </w:pPr>
      <w:r w:rsidRPr="00E549E4">
        <w:rPr>
          <w:sz w:val="22"/>
          <w:szCs w:val="22"/>
        </w:rPr>
        <w:t>No ensaio clínico controlado de Fase 3 de Humira, em doentes com colite ulcerosa pediátrica (N=93), que avaliou a eficácia e segurança de uma dose de manutenção de 0,6 mg/kg (máximo de 40 mg) em semanas alternadas (N=31) e de uma dose de manutenção de 0,6 mg/kg (máximo de 40 mg) semanalmente (N=32), após uma dose de indução ajustada ao peso corporal de 2,4 mg/kg (máximo de 160 mg) na Semana 0 e na Semana 1, e de 1,2 mg/kg (máximo de 80 mg) na Semana 2 (N=63), ou uma dose de indução de 2,4 mg/kg (máximo de 1</w:t>
      </w:r>
      <w:r w:rsidRPr="00E549E4">
        <w:rPr>
          <w:sz w:val="22"/>
          <w:szCs w:val="22"/>
        </w:rPr>
        <w:t>60 mg) na Semana 0, placebo na Semana 1, e 1,2 mg/kg (máximo de 80 mg) na Semana 2 (N=30), os aumentos de ALT ≥ 3 LNS ocorreram em 1,1% (1/93) dos doentes.</w:t>
      </w:r>
    </w:p>
    <w:p w14:paraId="4F098870" w14:textId="77777777" w:rsidR="00E549E4" w:rsidRDefault="00E549E4" w:rsidP="004462A0">
      <w:pPr>
        <w:rPr>
          <w:sz w:val="22"/>
          <w:szCs w:val="22"/>
        </w:rPr>
      </w:pPr>
    </w:p>
    <w:p w14:paraId="3BC40CA0" w14:textId="77777777" w:rsidR="004462A0" w:rsidRPr="008912CF" w:rsidRDefault="00615769" w:rsidP="004462A0">
      <w:pPr>
        <w:rPr>
          <w:sz w:val="22"/>
          <w:szCs w:val="22"/>
        </w:rPr>
      </w:pPr>
      <w:r w:rsidRPr="008912CF">
        <w:rPr>
          <w:sz w:val="22"/>
          <w:szCs w:val="22"/>
        </w:rPr>
        <w:t>Nos ensaios clínicos, em todas as indicações, os doentes com ALT aumentada estavam assintomáticos</w:t>
      </w:r>
      <w:r w:rsidR="00A4692F">
        <w:rPr>
          <w:sz w:val="22"/>
          <w:szCs w:val="22"/>
        </w:rPr>
        <w:t>,</w:t>
      </w:r>
      <w:r w:rsidRPr="008912CF">
        <w:rPr>
          <w:sz w:val="22"/>
          <w:szCs w:val="22"/>
        </w:rPr>
        <w:t xml:space="preserve"> e na maioria dos casos os aumentos foram transitórios e resolvidos com a continuação do tratamento. Contudo, foram também notificadas, em fase de pós</w:t>
      </w:r>
      <w:r w:rsidR="00A4692F">
        <w:rPr>
          <w:sz w:val="22"/>
          <w:szCs w:val="22"/>
        </w:rPr>
        <w:t>-</w:t>
      </w:r>
      <w:r w:rsidRPr="008912CF">
        <w:rPr>
          <w:sz w:val="22"/>
          <w:szCs w:val="22"/>
        </w:rPr>
        <w:t>comercialização, insuficiência hepática e afeções hepáticas menos graves</w:t>
      </w:r>
      <w:r w:rsidR="00A4692F">
        <w:rPr>
          <w:sz w:val="22"/>
          <w:szCs w:val="22"/>
        </w:rPr>
        <w:t>,</w:t>
      </w:r>
      <w:r w:rsidRPr="008912CF">
        <w:rPr>
          <w:sz w:val="22"/>
          <w:szCs w:val="22"/>
        </w:rPr>
        <w:t xml:space="preserve"> que podem preceder </w:t>
      </w:r>
      <w:r w:rsidR="00A4692F">
        <w:rPr>
          <w:sz w:val="22"/>
          <w:szCs w:val="22"/>
        </w:rPr>
        <w:t xml:space="preserve">a </w:t>
      </w:r>
      <w:r w:rsidRPr="008912CF">
        <w:rPr>
          <w:sz w:val="22"/>
          <w:szCs w:val="22"/>
        </w:rPr>
        <w:t>insuficiência hepática, tal como hepatite, incluindo hepatite autoimune, em doentes tratados com adalimumab.</w:t>
      </w:r>
    </w:p>
    <w:p w14:paraId="6B252B17" w14:textId="77777777" w:rsidR="004462A0" w:rsidRPr="008912CF" w:rsidRDefault="004462A0" w:rsidP="004462A0">
      <w:pPr>
        <w:rPr>
          <w:sz w:val="22"/>
          <w:szCs w:val="22"/>
        </w:rPr>
      </w:pPr>
    </w:p>
    <w:p w14:paraId="0BF310D0" w14:textId="77777777" w:rsidR="004462A0" w:rsidRPr="008912CF" w:rsidRDefault="00615769" w:rsidP="004462A0">
      <w:pPr>
        <w:pStyle w:val="EMEANormal"/>
        <w:keepNext/>
        <w:rPr>
          <w:szCs w:val="22"/>
          <w:u w:val="single"/>
          <w:lang w:val="pt-PT"/>
        </w:rPr>
      </w:pPr>
      <w:r w:rsidRPr="008912CF">
        <w:rPr>
          <w:szCs w:val="22"/>
          <w:u w:val="single"/>
          <w:lang w:val="pt-PT"/>
        </w:rPr>
        <w:t>Administração concomitante com azatioprina/6-mercaptopurina</w:t>
      </w:r>
    </w:p>
    <w:p w14:paraId="06D8ADFE" w14:textId="77777777" w:rsidR="004462A0" w:rsidRPr="008912CF" w:rsidRDefault="004462A0" w:rsidP="004462A0">
      <w:pPr>
        <w:pStyle w:val="EMEANormal"/>
        <w:keepNext/>
        <w:rPr>
          <w:iCs/>
          <w:szCs w:val="22"/>
          <w:lang w:val="pt-PT"/>
        </w:rPr>
      </w:pPr>
    </w:p>
    <w:p w14:paraId="4197A61E" w14:textId="77777777" w:rsidR="004462A0" w:rsidRPr="008912CF" w:rsidRDefault="00615769" w:rsidP="004462A0">
      <w:pPr>
        <w:keepNext/>
        <w:autoSpaceDE w:val="0"/>
        <w:autoSpaceDN w:val="0"/>
        <w:adjustRightInd w:val="0"/>
        <w:rPr>
          <w:sz w:val="22"/>
          <w:szCs w:val="22"/>
        </w:rPr>
      </w:pPr>
      <w:r w:rsidRPr="008912CF">
        <w:rPr>
          <w:sz w:val="22"/>
          <w:szCs w:val="22"/>
        </w:rPr>
        <w:t>Em ensaios realizados em adultos com doença de Crohn, com administração concomitante de Humira e azatioprina/6-mercaptopurina, foram observados acontecimentos adversos com uma maior incidência de neoplasias e infeções graves, quando comparados com a utilização de Humira isoladamente.</w:t>
      </w:r>
    </w:p>
    <w:p w14:paraId="71CC9341" w14:textId="77777777" w:rsidR="004462A0" w:rsidRPr="008912CF" w:rsidRDefault="004462A0" w:rsidP="004462A0">
      <w:pPr>
        <w:autoSpaceDE w:val="0"/>
        <w:autoSpaceDN w:val="0"/>
        <w:adjustRightInd w:val="0"/>
        <w:rPr>
          <w:sz w:val="22"/>
          <w:szCs w:val="22"/>
          <w:u w:val="single"/>
        </w:rPr>
      </w:pPr>
    </w:p>
    <w:p w14:paraId="503A13F5" w14:textId="77777777" w:rsidR="004462A0" w:rsidRPr="008912CF" w:rsidRDefault="00615769" w:rsidP="004462A0">
      <w:pPr>
        <w:suppressAutoHyphens/>
        <w:rPr>
          <w:sz w:val="22"/>
          <w:szCs w:val="22"/>
          <w:u w:val="single"/>
        </w:rPr>
      </w:pPr>
      <w:r w:rsidRPr="008912CF">
        <w:rPr>
          <w:sz w:val="22"/>
          <w:szCs w:val="22"/>
          <w:u w:val="single"/>
        </w:rPr>
        <w:t>Notificação de suspeitas de reações adversas</w:t>
      </w:r>
    </w:p>
    <w:p w14:paraId="5F1C74D8" w14:textId="77777777" w:rsidR="004462A0" w:rsidRPr="008912CF" w:rsidRDefault="004462A0" w:rsidP="004462A0">
      <w:pPr>
        <w:suppressAutoHyphens/>
        <w:rPr>
          <w:sz w:val="22"/>
          <w:szCs w:val="22"/>
        </w:rPr>
      </w:pPr>
    </w:p>
    <w:p w14:paraId="61BB7050" w14:textId="77777777" w:rsidR="004462A0" w:rsidRPr="008912CF" w:rsidRDefault="00615769" w:rsidP="004462A0">
      <w:pPr>
        <w:autoSpaceDE w:val="0"/>
        <w:autoSpaceDN w:val="0"/>
        <w:adjustRightInd w:val="0"/>
        <w:rPr>
          <w:sz w:val="22"/>
          <w:szCs w:val="22"/>
        </w:rPr>
      </w:pPr>
      <w:r w:rsidRPr="008912CF">
        <w:rPr>
          <w:sz w:val="22"/>
          <w:szCs w:val="22"/>
        </w:rPr>
        <w:t>A notificação de suspeitas de reações adversas após a autorização do medicamento é importante</w:t>
      </w:r>
      <w:r w:rsidR="00A4692F">
        <w:rPr>
          <w:sz w:val="22"/>
          <w:szCs w:val="22"/>
        </w:rPr>
        <w:t>, uma vez que</w:t>
      </w:r>
      <w:r w:rsidRPr="008912CF">
        <w:rPr>
          <w:sz w:val="22"/>
          <w:szCs w:val="22"/>
        </w:rPr>
        <w:t xml:space="preserve"> permite uma monitorização contínua da relação benefício</w:t>
      </w:r>
      <w:r w:rsidR="00A4692F">
        <w:rPr>
          <w:sz w:val="22"/>
          <w:szCs w:val="22"/>
        </w:rPr>
        <w:t>-</w:t>
      </w:r>
      <w:r w:rsidRPr="008912CF">
        <w:rPr>
          <w:sz w:val="22"/>
          <w:szCs w:val="22"/>
        </w:rPr>
        <w:t xml:space="preserve">risco do medicamento. Pede-se aos profissionais de saúde que notifiquem quaisquer suspeitas de reações adversas através </w:t>
      </w:r>
      <w:r w:rsidRPr="008912CF">
        <w:rPr>
          <w:sz w:val="22"/>
          <w:szCs w:val="22"/>
          <w:highlight w:val="lightGray"/>
        </w:rPr>
        <w:t xml:space="preserve">do sistema nacional de notificação mencionado no </w:t>
      </w:r>
      <w:hyperlink r:id="rId20" w:history="1">
        <w:r w:rsidR="004462A0" w:rsidRPr="008912CF">
          <w:rPr>
            <w:rStyle w:val="Hyperlink"/>
            <w:sz w:val="22"/>
            <w:szCs w:val="22"/>
            <w:highlight w:val="lightGray"/>
          </w:rPr>
          <w:t>Apêndice V.</w:t>
        </w:r>
      </w:hyperlink>
    </w:p>
    <w:p w14:paraId="6ED091D7" w14:textId="77777777" w:rsidR="004462A0" w:rsidRPr="008912CF" w:rsidRDefault="004462A0" w:rsidP="004462A0">
      <w:pPr>
        <w:autoSpaceDE w:val="0"/>
        <w:autoSpaceDN w:val="0"/>
        <w:adjustRightInd w:val="0"/>
        <w:rPr>
          <w:sz w:val="22"/>
          <w:szCs w:val="22"/>
        </w:rPr>
      </w:pPr>
    </w:p>
    <w:p w14:paraId="5277CAB5" w14:textId="77777777" w:rsidR="004462A0" w:rsidRPr="008912CF" w:rsidRDefault="00615769" w:rsidP="004462A0">
      <w:pPr>
        <w:keepNext/>
        <w:ind w:left="567" w:hanging="567"/>
        <w:rPr>
          <w:sz w:val="22"/>
          <w:szCs w:val="22"/>
        </w:rPr>
      </w:pPr>
      <w:r w:rsidRPr="008912CF">
        <w:rPr>
          <w:b/>
          <w:sz w:val="22"/>
          <w:szCs w:val="22"/>
        </w:rPr>
        <w:t>4.9</w:t>
      </w:r>
      <w:r w:rsidRPr="008912CF">
        <w:rPr>
          <w:b/>
          <w:sz w:val="22"/>
          <w:szCs w:val="22"/>
        </w:rPr>
        <w:tab/>
        <w:t xml:space="preserve">Sobredosagem </w:t>
      </w:r>
    </w:p>
    <w:p w14:paraId="58A86748" w14:textId="77777777" w:rsidR="004462A0" w:rsidRPr="008912CF" w:rsidRDefault="004462A0" w:rsidP="004462A0">
      <w:pPr>
        <w:keepNext/>
        <w:rPr>
          <w:sz w:val="22"/>
          <w:szCs w:val="22"/>
        </w:rPr>
      </w:pPr>
    </w:p>
    <w:p w14:paraId="4F8F13B7" w14:textId="77777777" w:rsidR="004462A0" w:rsidRPr="008912CF" w:rsidRDefault="00615769" w:rsidP="004462A0">
      <w:pPr>
        <w:keepNext/>
        <w:rPr>
          <w:sz w:val="22"/>
          <w:szCs w:val="22"/>
        </w:rPr>
      </w:pPr>
      <w:r w:rsidRPr="008912CF">
        <w:rPr>
          <w:sz w:val="22"/>
          <w:szCs w:val="22"/>
        </w:rPr>
        <w:t>No decurso dos ensaios clínicos não se observou toxicidade limitativa das doses. O nível posológico mais alto avaliado correspondeu a doses intravenosas múltiplas de 10 mg/kg, que é aproximadamente 15 vezes a dose recomendada.</w:t>
      </w:r>
    </w:p>
    <w:p w14:paraId="3EF43629" w14:textId="77777777" w:rsidR="004462A0" w:rsidRPr="008912CF" w:rsidRDefault="004462A0" w:rsidP="004462A0">
      <w:pPr>
        <w:ind w:left="567" w:hanging="567"/>
        <w:rPr>
          <w:b/>
          <w:sz w:val="22"/>
          <w:szCs w:val="22"/>
        </w:rPr>
      </w:pPr>
    </w:p>
    <w:p w14:paraId="39CEA533" w14:textId="77777777" w:rsidR="004462A0" w:rsidRPr="008912CF" w:rsidRDefault="004462A0" w:rsidP="004462A0">
      <w:pPr>
        <w:ind w:left="567" w:hanging="567"/>
        <w:rPr>
          <w:b/>
          <w:sz w:val="22"/>
          <w:szCs w:val="22"/>
        </w:rPr>
      </w:pPr>
    </w:p>
    <w:p w14:paraId="47A47B5B" w14:textId="77777777" w:rsidR="004462A0" w:rsidRPr="008912CF" w:rsidRDefault="00615769" w:rsidP="004462A0">
      <w:pPr>
        <w:ind w:left="567" w:hanging="567"/>
        <w:rPr>
          <w:sz w:val="22"/>
          <w:szCs w:val="22"/>
        </w:rPr>
      </w:pPr>
      <w:r w:rsidRPr="008912CF">
        <w:rPr>
          <w:b/>
          <w:sz w:val="22"/>
          <w:szCs w:val="22"/>
        </w:rPr>
        <w:t>5.</w:t>
      </w:r>
      <w:r w:rsidRPr="008912CF">
        <w:rPr>
          <w:b/>
          <w:sz w:val="22"/>
          <w:szCs w:val="22"/>
        </w:rPr>
        <w:tab/>
        <w:t xml:space="preserve">PROPRIEDADES FARMACOLÓGICAS </w:t>
      </w:r>
    </w:p>
    <w:p w14:paraId="0C1D2622" w14:textId="77777777" w:rsidR="004462A0" w:rsidRPr="008912CF" w:rsidRDefault="004462A0" w:rsidP="004462A0">
      <w:pPr>
        <w:rPr>
          <w:b/>
          <w:sz w:val="22"/>
          <w:szCs w:val="22"/>
        </w:rPr>
      </w:pPr>
    </w:p>
    <w:p w14:paraId="554C922F" w14:textId="77777777" w:rsidR="004462A0" w:rsidRPr="008912CF" w:rsidRDefault="00615769" w:rsidP="004462A0">
      <w:pPr>
        <w:ind w:left="567" w:hanging="567"/>
        <w:rPr>
          <w:sz w:val="22"/>
          <w:szCs w:val="22"/>
        </w:rPr>
      </w:pPr>
      <w:r w:rsidRPr="008912CF">
        <w:rPr>
          <w:b/>
          <w:sz w:val="22"/>
          <w:szCs w:val="22"/>
        </w:rPr>
        <w:t xml:space="preserve">5.1 </w:t>
      </w:r>
      <w:r w:rsidRPr="008912CF">
        <w:rPr>
          <w:b/>
          <w:sz w:val="22"/>
          <w:szCs w:val="22"/>
        </w:rPr>
        <w:tab/>
        <w:t xml:space="preserve">Propriedades farmacodinâmicas </w:t>
      </w:r>
    </w:p>
    <w:p w14:paraId="7590F8E0" w14:textId="77777777" w:rsidR="004462A0" w:rsidRPr="008912CF" w:rsidRDefault="004462A0" w:rsidP="004462A0">
      <w:pPr>
        <w:rPr>
          <w:sz w:val="22"/>
          <w:szCs w:val="22"/>
        </w:rPr>
      </w:pPr>
    </w:p>
    <w:p w14:paraId="55A8A77A" w14:textId="77777777" w:rsidR="004462A0" w:rsidRPr="008912CF" w:rsidRDefault="00615769" w:rsidP="004462A0">
      <w:pPr>
        <w:rPr>
          <w:sz w:val="22"/>
          <w:szCs w:val="22"/>
        </w:rPr>
      </w:pPr>
      <w:r w:rsidRPr="008912CF">
        <w:rPr>
          <w:sz w:val="22"/>
          <w:szCs w:val="22"/>
        </w:rPr>
        <w:t>Grupo farmacoterapêutico: Imunossupressores, Inibidores do Fator de Necrose Tumoral alfa (TNF-α). Código ATC: L04AB04</w:t>
      </w:r>
    </w:p>
    <w:p w14:paraId="422DE822" w14:textId="77777777" w:rsidR="004462A0" w:rsidRPr="008912CF" w:rsidRDefault="004462A0" w:rsidP="004462A0">
      <w:pPr>
        <w:rPr>
          <w:sz w:val="22"/>
          <w:szCs w:val="22"/>
        </w:rPr>
      </w:pPr>
    </w:p>
    <w:p w14:paraId="762F4102" w14:textId="77777777" w:rsidR="004462A0" w:rsidRPr="008912CF" w:rsidRDefault="00615769" w:rsidP="00556837">
      <w:pPr>
        <w:keepNext/>
        <w:rPr>
          <w:sz w:val="22"/>
          <w:szCs w:val="22"/>
          <w:u w:val="single"/>
        </w:rPr>
      </w:pPr>
      <w:r w:rsidRPr="008912CF">
        <w:rPr>
          <w:sz w:val="22"/>
          <w:szCs w:val="22"/>
          <w:u w:val="single"/>
        </w:rPr>
        <w:t xml:space="preserve">Mecanismo de ação </w:t>
      </w:r>
    </w:p>
    <w:p w14:paraId="0DDDCFB5" w14:textId="77777777" w:rsidR="004462A0" w:rsidRPr="008912CF" w:rsidRDefault="004462A0" w:rsidP="00556837">
      <w:pPr>
        <w:keepNext/>
        <w:rPr>
          <w:sz w:val="22"/>
          <w:szCs w:val="22"/>
        </w:rPr>
      </w:pPr>
    </w:p>
    <w:p w14:paraId="11760E7A" w14:textId="77777777" w:rsidR="004462A0" w:rsidRPr="008912CF" w:rsidRDefault="00615769" w:rsidP="00556837">
      <w:pPr>
        <w:keepNext/>
        <w:rPr>
          <w:sz w:val="22"/>
          <w:szCs w:val="22"/>
        </w:rPr>
      </w:pPr>
      <w:r w:rsidRPr="008912CF">
        <w:rPr>
          <w:sz w:val="22"/>
          <w:szCs w:val="22"/>
        </w:rPr>
        <w:t xml:space="preserve">Adalimumab liga-se especificamente ao TNF e neutraliza a função biológica do TNF bloqueando a sua interação com os recetores TNF p55 e p75 da superfície celular. </w:t>
      </w:r>
    </w:p>
    <w:p w14:paraId="791608E0" w14:textId="77777777" w:rsidR="004462A0" w:rsidRPr="008912CF" w:rsidRDefault="004462A0" w:rsidP="004462A0">
      <w:pPr>
        <w:rPr>
          <w:sz w:val="22"/>
          <w:szCs w:val="22"/>
        </w:rPr>
      </w:pPr>
    </w:p>
    <w:p w14:paraId="5D5F802B" w14:textId="77777777" w:rsidR="004462A0" w:rsidRPr="008912CF" w:rsidRDefault="00615769" w:rsidP="004462A0">
      <w:pPr>
        <w:rPr>
          <w:sz w:val="22"/>
          <w:szCs w:val="22"/>
        </w:rPr>
      </w:pPr>
      <w:r w:rsidRPr="008912CF">
        <w:rPr>
          <w:sz w:val="22"/>
          <w:szCs w:val="22"/>
        </w:rPr>
        <w:t>Adalimumab modula também as respostas biológicas induzidas ou reguladas pelo TNF, incluindo as alterações dos níveis das moléculas de adesão responsáveis pela migração leucocitária (ELAM-1, VCAM-1 e ICAM-1 com uma CI</w:t>
      </w:r>
      <w:r w:rsidRPr="008912CF">
        <w:rPr>
          <w:sz w:val="22"/>
          <w:szCs w:val="22"/>
          <w:vertAlign w:val="subscript"/>
        </w:rPr>
        <w:t>50</w:t>
      </w:r>
      <w:r w:rsidRPr="008912CF">
        <w:rPr>
          <w:sz w:val="22"/>
          <w:szCs w:val="22"/>
        </w:rPr>
        <w:t xml:space="preserve"> de 0,1</w:t>
      </w:r>
      <w:r w:rsidRPr="008912CF">
        <w:rPr>
          <w:sz w:val="22"/>
          <w:szCs w:val="22"/>
        </w:rPr>
        <w:noBreakHyphen/>
        <w:t xml:space="preserve">0,2 nM). </w:t>
      </w:r>
    </w:p>
    <w:p w14:paraId="33C4E922" w14:textId="77777777" w:rsidR="004462A0" w:rsidRPr="008912CF" w:rsidRDefault="004462A0" w:rsidP="004462A0">
      <w:pPr>
        <w:rPr>
          <w:sz w:val="22"/>
          <w:szCs w:val="22"/>
        </w:rPr>
      </w:pPr>
    </w:p>
    <w:p w14:paraId="24308C54" w14:textId="77777777" w:rsidR="004462A0" w:rsidRPr="008912CF" w:rsidRDefault="00615769" w:rsidP="004462A0">
      <w:pPr>
        <w:autoSpaceDE w:val="0"/>
        <w:autoSpaceDN w:val="0"/>
        <w:adjustRightInd w:val="0"/>
        <w:rPr>
          <w:sz w:val="22"/>
          <w:szCs w:val="22"/>
          <w:u w:val="single"/>
        </w:rPr>
      </w:pPr>
      <w:r w:rsidRPr="008912CF">
        <w:rPr>
          <w:sz w:val="22"/>
          <w:szCs w:val="22"/>
          <w:u w:val="single"/>
        </w:rPr>
        <w:t xml:space="preserve">Efeitos farmacodinâmicos </w:t>
      </w:r>
    </w:p>
    <w:p w14:paraId="75843739" w14:textId="77777777" w:rsidR="004462A0" w:rsidRPr="008912CF" w:rsidRDefault="004462A0" w:rsidP="004462A0">
      <w:pPr>
        <w:autoSpaceDE w:val="0"/>
        <w:autoSpaceDN w:val="0"/>
        <w:adjustRightInd w:val="0"/>
        <w:rPr>
          <w:sz w:val="22"/>
          <w:szCs w:val="22"/>
          <w:u w:val="single"/>
        </w:rPr>
      </w:pPr>
    </w:p>
    <w:p w14:paraId="6C477533" w14:textId="77777777" w:rsidR="004462A0" w:rsidRPr="008912CF" w:rsidRDefault="00615769" w:rsidP="004462A0">
      <w:pPr>
        <w:rPr>
          <w:sz w:val="22"/>
          <w:szCs w:val="22"/>
        </w:rPr>
      </w:pPr>
      <w:r w:rsidRPr="008912CF">
        <w:rPr>
          <w:sz w:val="22"/>
          <w:szCs w:val="22"/>
        </w:rPr>
        <w:t>Após o tratamento com Humira em doentes com artrite reumatoide observou-se uma rápida descida dos níveis de marcadores de inflamação de fase aguda (proteína C reativa (PCR) e velocidade de sedimentação eritrocitária (VS)) e das cito</w:t>
      </w:r>
      <w:r w:rsidR="005D2ECC">
        <w:rPr>
          <w:sz w:val="22"/>
          <w:szCs w:val="22"/>
        </w:rPr>
        <w:t>c</w:t>
      </w:r>
      <w:r w:rsidRPr="008912CF">
        <w:rPr>
          <w:sz w:val="22"/>
          <w:szCs w:val="22"/>
        </w:rPr>
        <w:t>inas séricas (IL-6) relativamente aos valores basais. Na sequência d</w:t>
      </w:r>
      <w:r w:rsidR="005D2ECC">
        <w:rPr>
          <w:sz w:val="22"/>
          <w:szCs w:val="22"/>
        </w:rPr>
        <w:t>a</w:t>
      </w:r>
      <w:r w:rsidRPr="008912CF">
        <w:rPr>
          <w:sz w:val="22"/>
          <w:szCs w:val="22"/>
        </w:rPr>
        <w:t xml:space="preserve"> administração de Humira verificou-se igualmente descida dos níveis séricos das metaloproteinases da matriz (MMP-1 e MMP-3) que produzem remodelação </w:t>
      </w:r>
      <w:r w:rsidR="005D2ECC">
        <w:rPr>
          <w:sz w:val="22"/>
          <w:szCs w:val="22"/>
        </w:rPr>
        <w:t>tecidular</w:t>
      </w:r>
      <w:r w:rsidR="005D2ECC" w:rsidRPr="008912CF">
        <w:rPr>
          <w:sz w:val="22"/>
          <w:szCs w:val="22"/>
        </w:rPr>
        <w:t xml:space="preserve"> </w:t>
      </w:r>
      <w:r w:rsidRPr="008912CF">
        <w:rPr>
          <w:sz w:val="22"/>
          <w:szCs w:val="22"/>
        </w:rPr>
        <w:t xml:space="preserve">responsável pela destruição da cartilagem. Nos doentes tratados com Humira observa-se geralmente melhoria dos sinais hematológicos de inflamação crónica. </w:t>
      </w:r>
    </w:p>
    <w:p w14:paraId="0C680A29" w14:textId="77777777" w:rsidR="004462A0" w:rsidRPr="008912CF" w:rsidRDefault="004462A0" w:rsidP="004462A0">
      <w:pPr>
        <w:pStyle w:val="BodyText2"/>
        <w:autoSpaceDE/>
        <w:autoSpaceDN/>
        <w:adjustRightInd/>
        <w:rPr>
          <w:szCs w:val="22"/>
        </w:rPr>
      </w:pPr>
    </w:p>
    <w:p w14:paraId="0E5A7847" w14:textId="77777777" w:rsidR="004462A0" w:rsidRPr="008912CF" w:rsidRDefault="00615769" w:rsidP="004462A0">
      <w:pPr>
        <w:pStyle w:val="BodyText2"/>
        <w:autoSpaceDE/>
        <w:autoSpaceDN/>
        <w:adjustRightInd/>
        <w:rPr>
          <w:szCs w:val="22"/>
        </w:rPr>
      </w:pPr>
      <w:r w:rsidRPr="008912CF">
        <w:rPr>
          <w:szCs w:val="22"/>
        </w:rPr>
        <w:t>Em doentes com artrite idiopática juvenil poliarticular, doença de Crohn, colite ulcerosa e hidradenite supurativa, foi também observada uma diminuição rápida nos níveis de PCR após tratamento com Humira. Em doentes com doença de Crohn foi observada uma redução do número de células expressando marcadores inflamatórios no cólon</w:t>
      </w:r>
      <w:r w:rsidR="005D2ECC">
        <w:rPr>
          <w:szCs w:val="22"/>
        </w:rPr>
        <w:t>,</w:t>
      </w:r>
      <w:r w:rsidRPr="008912CF">
        <w:rPr>
          <w:szCs w:val="22"/>
        </w:rPr>
        <w:t xml:space="preserve"> incluindo uma redução significativa da expressão de TNFα. Estudos endoscópicos da mucosa intestinal mostraram evidência de cicatrização da mucosa, em doentes tratados com adalimumab.</w:t>
      </w:r>
    </w:p>
    <w:p w14:paraId="3FC4E3CE" w14:textId="77777777" w:rsidR="004462A0" w:rsidRPr="008912CF" w:rsidRDefault="004462A0" w:rsidP="004462A0">
      <w:pPr>
        <w:rPr>
          <w:sz w:val="22"/>
          <w:szCs w:val="22"/>
        </w:rPr>
      </w:pPr>
    </w:p>
    <w:p w14:paraId="7F642F86" w14:textId="77777777" w:rsidR="004462A0" w:rsidRPr="008912CF" w:rsidRDefault="00615769" w:rsidP="004462A0">
      <w:pPr>
        <w:keepNext/>
        <w:rPr>
          <w:sz w:val="22"/>
          <w:szCs w:val="22"/>
          <w:u w:val="single"/>
        </w:rPr>
      </w:pPr>
      <w:r w:rsidRPr="008912CF">
        <w:rPr>
          <w:sz w:val="22"/>
          <w:szCs w:val="22"/>
          <w:u w:val="single"/>
        </w:rPr>
        <w:t>Eficácia e segurança clínicas</w:t>
      </w:r>
    </w:p>
    <w:p w14:paraId="418011C7" w14:textId="77777777" w:rsidR="004462A0" w:rsidRPr="008912CF" w:rsidRDefault="004462A0" w:rsidP="004462A0">
      <w:pPr>
        <w:keepNext/>
        <w:rPr>
          <w:sz w:val="22"/>
          <w:szCs w:val="22"/>
          <w:u w:val="single"/>
        </w:rPr>
      </w:pPr>
    </w:p>
    <w:p w14:paraId="6936E0EC" w14:textId="77777777" w:rsidR="004462A0" w:rsidRPr="008912CF" w:rsidRDefault="00615769" w:rsidP="004462A0">
      <w:pPr>
        <w:keepNext/>
        <w:rPr>
          <w:sz w:val="22"/>
          <w:szCs w:val="22"/>
        </w:rPr>
      </w:pPr>
      <w:r w:rsidRPr="008912CF">
        <w:rPr>
          <w:i/>
          <w:sz w:val="22"/>
          <w:szCs w:val="22"/>
        </w:rPr>
        <w:t>Artrite reumatoide</w:t>
      </w:r>
    </w:p>
    <w:p w14:paraId="795FB192" w14:textId="77777777" w:rsidR="004462A0" w:rsidRPr="008912CF" w:rsidRDefault="004462A0" w:rsidP="004462A0">
      <w:pPr>
        <w:keepNext/>
        <w:rPr>
          <w:sz w:val="22"/>
          <w:szCs w:val="22"/>
          <w:u w:val="single"/>
        </w:rPr>
      </w:pPr>
    </w:p>
    <w:p w14:paraId="672C2732" w14:textId="77777777" w:rsidR="004462A0" w:rsidRPr="008912CF" w:rsidRDefault="00615769" w:rsidP="004462A0">
      <w:pPr>
        <w:keepNext/>
        <w:rPr>
          <w:sz w:val="22"/>
          <w:szCs w:val="22"/>
        </w:rPr>
      </w:pPr>
      <w:r w:rsidRPr="008912CF">
        <w:rPr>
          <w:sz w:val="22"/>
          <w:szCs w:val="22"/>
        </w:rPr>
        <w:t>Humira foi avaliado em mais de 3.000 doentes com artrite reumatoide que participaram em todos os ensaios clínicos. A eficácia e segurança de Humira foram avaliadas em cinco estudos aleat</w:t>
      </w:r>
      <w:r w:rsidR="005D2ECC">
        <w:rPr>
          <w:sz w:val="22"/>
          <w:szCs w:val="22"/>
        </w:rPr>
        <w:t>orizados</w:t>
      </w:r>
      <w:r w:rsidRPr="008912CF">
        <w:rPr>
          <w:sz w:val="22"/>
          <w:szCs w:val="22"/>
        </w:rPr>
        <w:t xml:space="preserve">, com dupla ocultação, bem controlados. Alguns doentes foram tratados durante um período até 120 meses. </w:t>
      </w:r>
      <w:r w:rsidR="005D2ECC">
        <w:rPr>
          <w:sz w:val="22"/>
          <w:szCs w:val="22"/>
        </w:rPr>
        <w:t>A dor</w:t>
      </w:r>
      <w:r w:rsidRPr="008912CF">
        <w:rPr>
          <w:sz w:val="22"/>
          <w:szCs w:val="22"/>
        </w:rPr>
        <w:t xml:space="preserve"> no local da injeção de Humira 40</w:t>
      </w:r>
      <w:r>
        <w:rPr>
          <w:sz w:val="22"/>
          <w:szCs w:val="22"/>
        </w:rPr>
        <w:t> </w:t>
      </w:r>
      <w:r w:rsidRPr="008912CF">
        <w:rPr>
          <w:sz w:val="22"/>
          <w:szCs w:val="22"/>
        </w:rPr>
        <w:t>mg/0,4</w:t>
      </w:r>
      <w:r>
        <w:rPr>
          <w:sz w:val="22"/>
          <w:szCs w:val="22"/>
        </w:rPr>
        <w:t> </w:t>
      </w:r>
      <w:r w:rsidRPr="008912CF">
        <w:rPr>
          <w:sz w:val="22"/>
          <w:szCs w:val="22"/>
        </w:rPr>
        <w:t>ml fo</w:t>
      </w:r>
      <w:r w:rsidR="005D2ECC">
        <w:rPr>
          <w:sz w:val="22"/>
          <w:szCs w:val="22"/>
        </w:rPr>
        <w:t>i</w:t>
      </w:r>
      <w:r w:rsidRPr="008912CF">
        <w:rPr>
          <w:sz w:val="22"/>
          <w:szCs w:val="22"/>
        </w:rPr>
        <w:t xml:space="preserve"> avaliada em dois estudos </w:t>
      </w:r>
      <w:r w:rsidR="005D2ECC" w:rsidRPr="008912CF">
        <w:rPr>
          <w:sz w:val="22"/>
          <w:szCs w:val="22"/>
        </w:rPr>
        <w:t xml:space="preserve">cruzados, </w:t>
      </w:r>
      <w:r w:rsidR="0013275C">
        <w:rPr>
          <w:sz w:val="22"/>
          <w:szCs w:val="22"/>
        </w:rPr>
        <w:t>aleatorizado</w:t>
      </w:r>
      <w:r w:rsidRPr="008912CF">
        <w:rPr>
          <w:sz w:val="22"/>
          <w:szCs w:val="22"/>
        </w:rPr>
        <w:t xml:space="preserve">s, </w:t>
      </w:r>
      <w:r w:rsidR="005D2ECC">
        <w:rPr>
          <w:sz w:val="22"/>
          <w:szCs w:val="22"/>
        </w:rPr>
        <w:t xml:space="preserve">em ocultação, </w:t>
      </w:r>
      <w:r w:rsidRPr="008912CF">
        <w:rPr>
          <w:sz w:val="22"/>
          <w:szCs w:val="22"/>
        </w:rPr>
        <w:t>com controlo ativo, em dois períodos.</w:t>
      </w:r>
    </w:p>
    <w:p w14:paraId="23E89E6E" w14:textId="77777777" w:rsidR="004462A0" w:rsidRPr="008912CF" w:rsidRDefault="00615769" w:rsidP="004462A0">
      <w:pPr>
        <w:rPr>
          <w:sz w:val="22"/>
          <w:szCs w:val="22"/>
        </w:rPr>
      </w:pPr>
      <w:r w:rsidRPr="008912CF">
        <w:rPr>
          <w:sz w:val="22"/>
          <w:szCs w:val="22"/>
        </w:rPr>
        <w:t xml:space="preserve"> </w:t>
      </w:r>
    </w:p>
    <w:p w14:paraId="2E129FB4" w14:textId="77777777" w:rsidR="004462A0" w:rsidRPr="008912CF" w:rsidRDefault="00615769" w:rsidP="004462A0">
      <w:pPr>
        <w:rPr>
          <w:sz w:val="22"/>
          <w:szCs w:val="22"/>
        </w:rPr>
      </w:pPr>
      <w:r w:rsidRPr="008912CF">
        <w:rPr>
          <w:sz w:val="22"/>
          <w:szCs w:val="22"/>
        </w:rPr>
        <w:t xml:space="preserve">O estudo AR I avaliou 271 doentes com artrite reumatoide ativa moderada a grave, com idade </w:t>
      </w:r>
      <w:r w:rsidRPr="008912CF">
        <w:rPr>
          <w:rFonts w:ascii="Symbol" w:hAnsi="Symbol"/>
          <w:sz w:val="22"/>
          <w:szCs w:val="22"/>
        </w:rPr>
        <w:sym w:font="Symbol" w:char="F0B3"/>
      </w:r>
      <w:r w:rsidRPr="008912CF">
        <w:rPr>
          <w:sz w:val="22"/>
          <w:szCs w:val="22"/>
        </w:rPr>
        <w:t> 18 anos, em que uma terapêutica com pelo menos um medicamento anti</w:t>
      </w:r>
      <w:r w:rsidR="00F96DDF">
        <w:rPr>
          <w:sz w:val="22"/>
          <w:szCs w:val="22"/>
        </w:rPr>
        <w:t>-</w:t>
      </w:r>
      <w:r w:rsidRPr="008912CF">
        <w:rPr>
          <w:sz w:val="22"/>
          <w:szCs w:val="22"/>
        </w:rPr>
        <w:t>reumático modificador da doença não foi bem sucedida, em que a eficácia de metotrexato em doses semanais de 12,5 a 25 mg (10 mg em caso de intolerância a metotrexato) foi insuficiente e em que a dose semanal de metotrexato de 10 a 25 mg permaneceu constante. Foram administradas doses de 20, 40 ou 80 mg de Humira ou placebo em semanas alternadas durante 24 semanas.</w:t>
      </w:r>
    </w:p>
    <w:p w14:paraId="1B8589A5" w14:textId="77777777" w:rsidR="004462A0" w:rsidRPr="008912CF" w:rsidRDefault="004462A0" w:rsidP="004462A0">
      <w:pPr>
        <w:rPr>
          <w:sz w:val="22"/>
          <w:szCs w:val="22"/>
        </w:rPr>
      </w:pPr>
    </w:p>
    <w:p w14:paraId="6CFE3CD4" w14:textId="77777777" w:rsidR="004462A0" w:rsidRPr="008912CF" w:rsidRDefault="00615769" w:rsidP="004462A0">
      <w:pPr>
        <w:rPr>
          <w:i/>
          <w:sz w:val="22"/>
          <w:szCs w:val="22"/>
        </w:rPr>
      </w:pPr>
      <w:r w:rsidRPr="008912CF">
        <w:rPr>
          <w:sz w:val="22"/>
          <w:szCs w:val="22"/>
        </w:rPr>
        <w:t xml:space="preserve">O estudo AR II avaliou 544 doentes com artrite reumatoide ativa moderada a grave com idade </w:t>
      </w:r>
      <w:r w:rsidRPr="008912CF">
        <w:rPr>
          <w:rFonts w:ascii="Symbol" w:hAnsi="Symbol"/>
          <w:sz w:val="22"/>
          <w:szCs w:val="22"/>
        </w:rPr>
        <w:sym w:font="Symbol" w:char="F0B3"/>
      </w:r>
      <w:r w:rsidRPr="008912CF">
        <w:rPr>
          <w:sz w:val="22"/>
          <w:szCs w:val="22"/>
        </w:rPr>
        <w:t> 18 anos e em que uma terapêutica com pelo menos um medicamento anti</w:t>
      </w:r>
      <w:r w:rsidR="00F96DDF">
        <w:rPr>
          <w:sz w:val="22"/>
          <w:szCs w:val="22"/>
        </w:rPr>
        <w:t>-</w:t>
      </w:r>
      <w:r w:rsidRPr="008912CF">
        <w:rPr>
          <w:sz w:val="22"/>
          <w:szCs w:val="22"/>
        </w:rPr>
        <w:t>reumático modificador da doença não foi bem sucedida. Foram administradas doses de 20 ou 40 mg de Humira por injeção subcutânea em semanas alternadas, com placebo em semanas alternadas ou semanalmente durante 26 semanas; o placebo foi administrado todas as semanas durante idêntico período. Não foi permitida a utilização de quaisquer outros medicamentos anti</w:t>
      </w:r>
      <w:r w:rsidR="00F96DDF">
        <w:rPr>
          <w:sz w:val="22"/>
          <w:szCs w:val="22"/>
        </w:rPr>
        <w:t>-</w:t>
      </w:r>
      <w:r w:rsidRPr="008912CF">
        <w:rPr>
          <w:sz w:val="22"/>
          <w:szCs w:val="22"/>
        </w:rPr>
        <w:t>reumatismais modificadores da doença.</w:t>
      </w:r>
    </w:p>
    <w:p w14:paraId="70709290" w14:textId="77777777" w:rsidR="004462A0" w:rsidRPr="008912CF" w:rsidRDefault="004462A0" w:rsidP="004462A0">
      <w:pPr>
        <w:pStyle w:val="EndnoteText"/>
        <w:rPr>
          <w:szCs w:val="22"/>
        </w:rPr>
      </w:pPr>
    </w:p>
    <w:p w14:paraId="29B3A0C4" w14:textId="77777777" w:rsidR="004462A0" w:rsidRPr="008912CF" w:rsidRDefault="00615769" w:rsidP="004462A0">
      <w:pPr>
        <w:rPr>
          <w:sz w:val="22"/>
          <w:szCs w:val="22"/>
        </w:rPr>
      </w:pPr>
      <w:r w:rsidRPr="008912CF">
        <w:rPr>
          <w:sz w:val="22"/>
          <w:szCs w:val="22"/>
        </w:rPr>
        <w:t xml:space="preserve">O estudo AR III avaliou 619 doentes com artrite reumatoide ativa moderada a grave, com idade </w:t>
      </w:r>
      <w:r w:rsidRPr="008912CF">
        <w:rPr>
          <w:rFonts w:ascii="Symbol" w:hAnsi="Symbol"/>
          <w:sz w:val="22"/>
          <w:szCs w:val="22"/>
        </w:rPr>
        <w:sym w:font="Symbol" w:char="F0B3"/>
      </w:r>
      <w:r w:rsidRPr="008912CF">
        <w:rPr>
          <w:sz w:val="22"/>
          <w:szCs w:val="22"/>
        </w:rPr>
        <w:t xml:space="preserve"> 18 anos, e que tiveram uma resposta não eficaz a metotrexato nas doses de 12,5 a 25 mg, ou que tinham sido intolerantes a 10 mg de metotrexato administrado semanalmente. Participaram neste estudo três grupos. O primeiro grupo recebeu injeções semanais de placebo durante 52 semanas. O segundo grupo recebeu semanalmente 20 mg de Humira durante 52 semanas. O terceiro grupo recebeu 40 mg de Humira em semanas alternadas com injeções de placebo </w:t>
      </w:r>
      <w:r w:rsidR="005D2ECC">
        <w:rPr>
          <w:sz w:val="22"/>
          <w:szCs w:val="22"/>
        </w:rPr>
        <w:t>nas restantes semanas</w:t>
      </w:r>
      <w:r w:rsidRPr="008912CF">
        <w:rPr>
          <w:sz w:val="22"/>
          <w:szCs w:val="22"/>
        </w:rPr>
        <w:t>. Após completarem as primeiras 52 semanas, 45</w:t>
      </w:r>
      <w:r w:rsidRPr="008912CF">
        <w:rPr>
          <w:sz w:val="22"/>
          <w:szCs w:val="22"/>
        </w:rPr>
        <w:t>7 doentes foram incluídos numa extensão de fase aberta aos quais foram administrados 40 mg de Humira/MTX em semanas alternadas até 10 anos.</w:t>
      </w:r>
    </w:p>
    <w:p w14:paraId="6B2B3BD1" w14:textId="77777777" w:rsidR="004462A0" w:rsidRPr="008912CF" w:rsidRDefault="004462A0" w:rsidP="004462A0">
      <w:pPr>
        <w:rPr>
          <w:sz w:val="22"/>
          <w:szCs w:val="22"/>
        </w:rPr>
      </w:pPr>
    </w:p>
    <w:p w14:paraId="74A2BF1A" w14:textId="77777777" w:rsidR="004462A0" w:rsidRPr="008912CF" w:rsidRDefault="00615769" w:rsidP="004462A0">
      <w:pPr>
        <w:rPr>
          <w:sz w:val="22"/>
          <w:szCs w:val="22"/>
        </w:rPr>
      </w:pPr>
      <w:r w:rsidRPr="008912CF">
        <w:rPr>
          <w:sz w:val="22"/>
          <w:szCs w:val="22"/>
        </w:rPr>
        <w:t xml:space="preserve">O estudo AR IV avaliou principalmente a segurança em 636 doentes com artrite reumatoide ativa moderada a grave com idade </w:t>
      </w:r>
      <w:r w:rsidRPr="008912CF">
        <w:rPr>
          <w:rFonts w:ascii="Symbol" w:hAnsi="Symbol"/>
          <w:sz w:val="22"/>
          <w:szCs w:val="22"/>
        </w:rPr>
        <w:sym w:font="Symbol" w:char="F0B3"/>
      </w:r>
      <w:r w:rsidRPr="008912CF">
        <w:rPr>
          <w:sz w:val="22"/>
          <w:szCs w:val="22"/>
        </w:rPr>
        <w:t> 18 anos. Este estudo permitia a inclusão de doentes sem terapêutica prévia com medicamentos anti</w:t>
      </w:r>
      <w:r w:rsidR="00F96DDF">
        <w:rPr>
          <w:sz w:val="22"/>
          <w:szCs w:val="22"/>
        </w:rPr>
        <w:t>-</w:t>
      </w:r>
      <w:r w:rsidRPr="008912CF">
        <w:rPr>
          <w:sz w:val="22"/>
          <w:szCs w:val="22"/>
        </w:rPr>
        <w:t>reumatismais modificadores da doença ou que continuaram o tratamento reumatológico pr</w:t>
      </w:r>
      <w:r w:rsidR="003A732E">
        <w:rPr>
          <w:sz w:val="22"/>
          <w:szCs w:val="22"/>
        </w:rPr>
        <w:t>é-</w:t>
      </w:r>
      <w:r w:rsidRPr="008912CF">
        <w:rPr>
          <w:sz w:val="22"/>
          <w:szCs w:val="22"/>
        </w:rPr>
        <w:t xml:space="preserve">existente desde que o mesmo se tivesse mantido estável durante um período mínimo de 28 dias. Estes tratamentos incluíram metotrexato, </w:t>
      </w:r>
      <w:r w:rsidR="003A732E">
        <w:rPr>
          <w:sz w:val="22"/>
          <w:szCs w:val="22"/>
        </w:rPr>
        <w:t>l</w:t>
      </w:r>
      <w:r w:rsidRPr="008912CF">
        <w:rPr>
          <w:sz w:val="22"/>
          <w:szCs w:val="22"/>
        </w:rPr>
        <w:t>eflunomid</w:t>
      </w:r>
      <w:r w:rsidR="005D2ECC">
        <w:rPr>
          <w:sz w:val="22"/>
          <w:szCs w:val="22"/>
        </w:rPr>
        <w:t>a</w:t>
      </w:r>
      <w:r w:rsidRPr="008912CF">
        <w:rPr>
          <w:sz w:val="22"/>
          <w:szCs w:val="22"/>
        </w:rPr>
        <w:t>, hidroxicloroquina, sulfassalazina e/ou sais de ouro. Os doentes foram aleatorizados para tratamento com 40 mg de Humira ou placebo em semanas alternadas durante 24 semanas.</w:t>
      </w:r>
    </w:p>
    <w:p w14:paraId="228A4427" w14:textId="77777777" w:rsidR="004462A0" w:rsidRPr="008912CF" w:rsidRDefault="004462A0" w:rsidP="004462A0">
      <w:pPr>
        <w:rPr>
          <w:sz w:val="22"/>
          <w:szCs w:val="22"/>
        </w:rPr>
      </w:pPr>
    </w:p>
    <w:p w14:paraId="2D6561D0" w14:textId="77777777" w:rsidR="004462A0" w:rsidRPr="008912CF" w:rsidRDefault="00615769" w:rsidP="004462A0">
      <w:pPr>
        <w:pStyle w:val="BodyTextIndent"/>
        <w:ind w:left="0" w:firstLine="0"/>
        <w:rPr>
          <w:szCs w:val="22"/>
        </w:rPr>
      </w:pPr>
      <w:r w:rsidRPr="00CD2CCE">
        <w:rPr>
          <w:b w:val="0"/>
          <w:color w:val="auto"/>
          <w:szCs w:val="22"/>
        </w:rPr>
        <w:t>O estudo AR V avaliou 799 doentes adultos com artrite reumatoide precoce ativa moderada a grave</w:t>
      </w:r>
      <w:r w:rsidR="005D2ECC">
        <w:rPr>
          <w:b w:val="0"/>
          <w:color w:val="auto"/>
          <w:szCs w:val="22"/>
        </w:rPr>
        <w:t>,</w:t>
      </w:r>
      <w:r w:rsidRPr="00CD2CCE">
        <w:rPr>
          <w:b w:val="0"/>
          <w:color w:val="auto"/>
          <w:szCs w:val="22"/>
        </w:rPr>
        <w:t xml:space="preserve"> </w:t>
      </w:r>
      <w:r w:rsidR="005D2ECC" w:rsidRPr="00CD2CCE">
        <w:rPr>
          <w:b w:val="0"/>
          <w:color w:val="auto"/>
          <w:szCs w:val="22"/>
        </w:rPr>
        <w:t xml:space="preserve">não tratados previamente com metotrexato </w:t>
      </w:r>
      <w:r w:rsidRPr="00CD2CCE">
        <w:rPr>
          <w:b w:val="0"/>
          <w:color w:val="auto"/>
          <w:szCs w:val="22"/>
        </w:rPr>
        <w:t>(doença com uma duração média inferior a 9 meses). Este estudo avaliou</w:t>
      </w:r>
      <w:r w:rsidR="005D2ECC">
        <w:rPr>
          <w:b w:val="0"/>
          <w:color w:val="auto"/>
          <w:szCs w:val="22"/>
        </w:rPr>
        <w:t>,</w:t>
      </w:r>
      <w:r w:rsidRPr="00CD2CCE">
        <w:rPr>
          <w:b w:val="0"/>
          <w:color w:val="auto"/>
          <w:szCs w:val="22"/>
        </w:rPr>
        <w:t xml:space="preserve"> em 104 semanas, a eficácia da associação terapêutica Humira 40 mg em semanas alternadas/metotrexato, Humira 40 mg em semanas alternadas em monoterapia e metotrexato em monoterapia na redução de sinais e sintomas e na redução da taxa de progressão da lesão das articulações em doentes com artrite reumatoide. </w:t>
      </w:r>
      <w:r w:rsidRPr="00B609FF">
        <w:rPr>
          <w:b w:val="0"/>
          <w:color w:val="auto"/>
          <w:szCs w:val="22"/>
        </w:rPr>
        <w:t xml:space="preserve">Após a conclusão das primeiras 104 semanas, 497 </w:t>
      </w:r>
      <w:r>
        <w:rPr>
          <w:b w:val="0"/>
          <w:color w:val="auto"/>
          <w:szCs w:val="22"/>
        </w:rPr>
        <w:t xml:space="preserve">doentes foram incluídos numa </w:t>
      </w:r>
      <w:r w:rsidRPr="00B609FF">
        <w:rPr>
          <w:b w:val="0"/>
          <w:color w:val="auto"/>
          <w:szCs w:val="22"/>
        </w:rPr>
        <w:t xml:space="preserve">extensão </w:t>
      </w:r>
      <w:r>
        <w:rPr>
          <w:b w:val="0"/>
          <w:color w:val="auto"/>
          <w:szCs w:val="22"/>
        </w:rPr>
        <w:t xml:space="preserve">de </w:t>
      </w:r>
      <w:r>
        <w:rPr>
          <w:b w:val="0"/>
          <w:color w:val="auto"/>
          <w:szCs w:val="22"/>
        </w:rPr>
        <w:t xml:space="preserve">fase </w:t>
      </w:r>
      <w:r w:rsidRPr="00B609FF">
        <w:rPr>
          <w:b w:val="0"/>
          <w:color w:val="auto"/>
          <w:szCs w:val="22"/>
        </w:rPr>
        <w:t>aberta</w:t>
      </w:r>
      <w:r>
        <w:rPr>
          <w:b w:val="0"/>
          <w:color w:val="auto"/>
          <w:szCs w:val="22"/>
        </w:rPr>
        <w:t xml:space="preserve"> </w:t>
      </w:r>
      <w:r w:rsidRPr="00477A1B">
        <w:rPr>
          <w:b w:val="0"/>
          <w:color w:val="auto"/>
          <w:szCs w:val="22"/>
        </w:rPr>
        <w:t>aos quais foram administrados 40</w:t>
      </w:r>
      <w:r>
        <w:rPr>
          <w:b w:val="0"/>
          <w:color w:val="auto"/>
          <w:szCs w:val="22"/>
        </w:rPr>
        <w:t> </w:t>
      </w:r>
      <w:r w:rsidRPr="00477A1B">
        <w:rPr>
          <w:b w:val="0"/>
          <w:color w:val="auto"/>
          <w:szCs w:val="22"/>
        </w:rPr>
        <w:t>mg de Humira</w:t>
      </w:r>
      <w:r>
        <w:rPr>
          <w:b w:val="0"/>
          <w:color w:val="auto"/>
          <w:szCs w:val="22"/>
        </w:rPr>
        <w:t xml:space="preserve"> </w:t>
      </w:r>
      <w:r w:rsidRPr="00477A1B">
        <w:rPr>
          <w:b w:val="0"/>
          <w:color w:val="auto"/>
          <w:szCs w:val="22"/>
        </w:rPr>
        <w:t>em semanas alternadas até 10 anos</w:t>
      </w:r>
      <w:r>
        <w:rPr>
          <w:b w:val="0"/>
          <w:color w:val="auto"/>
          <w:szCs w:val="22"/>
        </w:rPr>
        <w:t>.</w:t>
      </w:r>
    </w:p>
    <w:p w14:paraId="256633A5" w14:textId="77777777" w:rsidR="004462A0" w:rsidRPr="008912CF" w:rsidRDefault="004462A0" w:rsidP="004462A0">
      <w:pPr>
        <w:rPr>
          <w:sz w:val="22"/>
          <w:szCs w:val="22"/>
        </w:rPr>
      </w:pPr>
    </w:p>
    <w:p w14:paraId="5CD7F491" w14:textId="77777777" w:rsidR="004462A0" w:rsidRPr="008912CF" w:rsidRDefault="00615769" w:rsidP="004462A0">
      <w:pPr>
        <w:rPr>
          <w:sz w:val="22"/>
          <w:szCs w:val="22"/>
        </w:rPr>
      </w:pPr>
      <w:r w:rsidRPr="008912CF">
        <w:rPr>
          <w:sz w:val="22"/>
          <w:szCs w:val="22"/>
        </w:rPr>
        <w:t>Cada um dos estudos AR VI e VII avaliaram 60 doentes com artrite reumat</w:t>
      </w:r>
      <w:r w:rsidR="00FF670B">
        <w:rPr>
          <w:sz w:val="22"/>
          <w:szCs w:val="22"/>
        </w:rPr>
        <w:t>o</w:t>
      </w:r>
      <w:r w:rsidRPr="008912CF">
        <w:rPr>
          <w:sz w:val="22"/>
          <w:szCs w:val="22"/>
        </w:rPr>
        <w:t xml:space="preserve">ide ativa moderada a grave com idade </w:t>
      </w:r>
      <w:r w:rsidRPr="008912CF">
        <w:rPr>
          <w:rFonts w:ascii="Symbol" w:hAnsi="Symbol"/>
          <w:sz w:val="22"/>
          <w:szCs w:val="22"/>
        </w:rPr>
        <w:sym w:font="Symbol" w:char="F0B3"/>
      </w:r>
      <w:r w:rsidRPr="008912CF">
        <w:rPr>
          <w:sz w:val="22"/>
          <w:szCs w:val="22"/>
        </w:rPr>
        <w:t> 18 anos. Os doentes incluídos ou já estavam sob tratamento com Humira 40</w:t>
      </w:r>
      <w:r>
        <w:rPr>
          <w:sz w:val="22"/>
          <w:szCs w:val="22"/>
        </w:rPr>
        <w:t> </w:t>
      </w:r>
      <w:r w:rsidRPr="008912CF">
        <w:rPr>
          <w:sz w:val="22"/>
          <w:szCs w:val="22"/>
        </w:rPr>
        <w:t>mg/0,8</w:t>
      </w:r>
      <w:r>
        <w:rPr>
          <w:sz w:val="22"/>
          <w:szCs w:val="22"/>
        </w:rPr>
        <w:t> </w:t>
      </w:r>
      <w:r w:rsidRPr="008912CF">
        <w:rPr>
          <w:sz w:val="22"/>
          <w:szCs w:val="22"/>
        </w:rPr>
        <w:t>ml e classificaram a sua média de dor no local de injeção como pelo menos 3</w:t>
      </w:r>
      <w:r>
        <w:rPr>
          <w:sz w:val="22"/>
          <w:szCs w:val="22"/>
        </w:rPr>
        <w:t> </w:t>
      </w:r>
      <w:r w:rsidRPr="008912CF">
        <w:rPr>
          <w:sz w:val="22"/>
          <w:szCs w:val="22"/>
        </w:rPr>
        <w:t xml:space="preserve">cm (na </w:t>
      </w:r>
      <w:r w:rsidRPr="008912CF">
        <w:rPr>
          <w:bCs/>
          <w:sz w:val="22"/>
          <w:szCs w:val="22"/>
        </w:rPr>
        <w:t>Escala</w:t>
      </w:r>
      <w:r w:rsidRPr="008912CF">
        <w:rPr>
          <w:sz w:val="22"/>
          <w:szCs w:val="22"/>
        </w:rPr>
        <w:t xml:space="preserve"> Analógica Visual (</w:t>
      </w:r>
      <w:r w:rsidRPr="008912CF">
        <w:rPr>
          <w:bCs/>
          <w:sz w:val="22"/>
          <w:szCs w:val="22"/>
        </w:rPr>
        <w:t>VAS</w:t>
      </w:r>
      <w:r w:rsidRPr="008912CF">
        <w:rPr>
          <w:sz w:val="22"/>
          <w:szCs w:val="22"/>
        </w:rPr>
        <w:t>) 0-10</w:t>
      </w:r>
      <w:r>
        <w:rPr>
          <w:sz w:val="22"/>
          <w:szCs w:val="22"/>
        </w:rPr>
        <w:t> </w:t>
      </w:r>
      <w:r w:rsidRPr="008912CF">
        <w:rPr>
          <w:sz w:val="22"/>
          <w:szCs w:val="22"/>
        </w:rPr>
        <w:t>cm) ou não tinham ainda recebido tratamento prévio com biológicos, e iniciaram Humira 40</w:t>
      </w:r>
      <w:r>
        <w:rPr>
          <w:sz w:val="22"/>
          <w:szCs w:val="22"/>
        </w:rPr>
        <w:t> </w:t>
      </w:r>
      <w:r w:rsidRPr="008912CF">
        <w:rPr>
          <w:sz w:val="22"/>
          <w:szCs w:val="22"/>
        </w:rPr>
        <w:t>mg/0,8</w:t>
      </w:r>
      <w:r>
        <w:rPr>
          <w:sz w:val="22"/>
          <w:szCs w:val="22"/>
        </w:rPr>
        <w:t> </w:t>
      </w:r>
      <w:r w:rsidRPr="008912CF">
        <w:rPr>
          <w:sz w:val="22"/>
          <w:szCs w:val="22"/>
        </w:rPr>
        <w:t>ml. Os doentes foram aleatorizados para receberam um dose individual de Humira 40</w:t>
      </w:r>
      <w:r>
        <w:rPr>
          <w:sz w:val="22"/>
          <w:szCs w:val="22"/>
        </w:rPr>
        <w:t> </w:t>
      </w:r>
      <w:r w:rsidRPr="008912CF">
        <w:rPr>
          <w:sz w:val="22"/>
          <w:szCs w:val="22"/>
        </w:rPr>
        <w:t>mg/0,8</w:t>
      </w:r>
      <w:r>
        <w:rPr>
          <w:sz w:val="22"/>
          <w:szCs w:val="22"/>
        </w:rPr>
        <w:t> </w:t>
      </w:r>
      <w:r w:rsidRPr="008912CF">
        <w:rPr>
          <w:sz w:val="22"/>
          <w:szCs w:val="22"/>
        </w:rPr>
        <w:t>ml ou Humira 40</w:t>
      </w:r>
      <w:r>
        <w:rPr>
          <w:sz w:val="22"/>
          <w:szCs w:val="22"/>
        </w:rPr>
        <w:t> </w:t>
      </w:r>
      <w:r w:rsidRPr="008912CF">
        <w:rPr>
          <w:sz w:val="22"/>
          <w:szCs w:val="22"/>
        </w:rPr>
        <w:t>mg/0,4</w:t>
      </w:r>
      <w:r>
        <w:rPr>
          <w:sz w:val="22"/>
          <w:szCs w:val="22"/>
        </w:rPr>
        <w:t> </w:t>
      </w:r>
      <w:r w:rsidRPr="008912CF">
        <w:rPr>
          <w:sz w:val="22"/>
          <w:szCs w:val="22"/>
        </w:rPr>
        <w:t xml:space="preserve">ml, seguida de uma injeção única do tratamento oposto na dose seguinte.     </w:t>
      </w:r>
    </w:p>
    <w:p w14:paraId="63CE3E48" w14:textId="77777777" w:rsidR="004462A0" w:rsidRPr="008912CF" w:rsidRDefault="004462A0" w:rsidP="004462A0">
      <w:pPr>
        <w:rPr>
          <w:sz w:val="22"/>
          <w:szCs w:val="22"/>
        </w:rPr>
      </w:pPr>
    </w:p>
    <w:p w14:paraId="7A3847AA" w14:textId="77777777" w:rsidR="004462A0" w:rsidRPr="008912CF" w:rsidRDefault="00615769" w:rsidP="004462A0">
      <w:pPr>
        <w:rPr>
          <w:sz w:val="22"/>
          <w:szCs w:val="22"/>
        </w:rPr>
      </w:pPr>
      <w:r w:rsidRPr="008912CF">
        <w:rPr>
          <w:sz w:val="22"/>
          <w:szCs w:val="22"/>
        </w:rPr>
        <w:t xml:space="preserve">O </w:t>
      </w:r>
      <w:r w:rsidR="00F96DDF">
        <w:rPr>
          <w:sz w:val="22"/>
          <w:szCs w:val="22"/>
        </w:rPr>
        <w:t>objetivo</w:t>
      </w:r>
      <w:r w:rsidRPr="008912CF">
        <w:rPr>
          <w:sz w:val="22"/>
          <w:szCs w:val="22"/>
        </w:rPr>
        <w:t xml:space="preserve"> primário dos estudos AR I, II e III e o </w:t>
      </w:r>
      <w:r w:rsidR="00F96DDF">
        <w:rPr>
          <w:sz w:val="22"/>
          <w:szCs w:val="22"/>
        </w:rPr>
        <w:t>objetivo</w:t>
      </w:r>
      <w:r w:rsidRPr="008912CF">
        <w:rPr>
          <w:sz w:val="22"/>
          <w:szCs w:val="22"/>
        </w:rPr>
        <w:t xml:space="preserve"> secundário do Estudo AR IV consistiam na percentagem de doentes que atingia uma resposta ACR 20 na Semana 24 ou 26. O </w:t>
      </w:r>
      <w:r w:rsidR="00F96DDF">
        <w:rPr>
          <w:sz w:val="22"/>
          <w:szCs w:val="22"/>
        </w:rPr>
        <w:t xml:space="preserve">objetivo </w:t>
      </w:r>
      <w:r w:rsidRPr="008912CF">
        <w:rPr>
          <w:sz w:val="22"/>
          <w:szCs w:val="22"/>
        </w:rPr>
        <w:t xml:space="preserve">primário do estudo AR V consistiu na percentagem de doentes que atingia uma resposta ACR 50 na Semana 52. Os estudos AR III e V tinham um </w:t>
      </w:r>
      <w:r w:rsidR="00F96DDF">
        <w:rPr>
          <w:sz w:val="22"/>
          <w:szCs w:val="22"/>
        </w:rPr>
        <w:t>objetivo</w:t>
      </w:r>
      <w:r w:rsidRPr="008912CF">
        <w:rPr>
          <w:sz w:val="22"/>
          <w:szCs w:val="22"/>
        </w:rPr>
        <w:t xml:space="preserve"> primári</w:t>
      </w:r>
      <w:r w:rsidR="00F96DDF">
        <w:rPr>
          <w:sz w:val="22"/>
          <w:szCs w:val="22"/>
        </w:rPr>
        <w:t>o</w:t>
      </w:r>
      <w:r w:rsidRPr="008912CF">
        <w:rPr>
          <w:sz w:val="22"/>
          <w:szCs w:val="22"/>
        </w:rPr>
        <w:t xml:space="preserve"> adicional na </w:t>
      </w:r>
      <w:r w:rsidR="005D2ECC">
        <w:rPr>
          <w:sz w:val="22"/>
          <w:szCs w:val="22"/>
        </w:rPr>
        <w:t>S</w:t>
      </w:r>
      <w:r w:rsidRPr="008912CF">
        <w:rPr>
          <w:sz w:val="22"/>
          <w:szCs w:val="22"/>
        </w:rPr>
        <w:t xml:space="preserve">emana 52, nomeadamente atraso na progressão da doença (avaliado por radiografia). O estudo AR III tinha também um </w:t>
      </w:r>
      <w:r w:rsidR="00F96DDF">
        <w:rPr>
          <w:sz w:val="22"/>
          <w:szCs w:val="22"/>
        </w:rPr>
        <w:t>objetivo</w:t>
      </w:r>
      <w:r w:rsidRPr="008912CF">
        <w:rPr>
          <w:sz w:val="22"/>
          <w:szCs w:val="22"/>
        </w:rPr>
        <w:t xml:space="preserve"> de alterações na qualidade de vida</w:t>
      </w:r>
      <w:r w:rsidRPr="008912CF">
        <w:rPr>
          <w:sz w:val="22"/>
          <w:szCs w:val="22"/>
        </w:rPr>
        <w:t xml:space="preserve">. O </w:t>
      </w:r>
      <w:r w:rsidR="00F96DDF">
        <w:rPr>
          <w:sz w:val="22"/>
          <w:szCs w:val="22"/>
        </w:rPr>
        <w:t>objetivo</w:t>
      </w:r>
      <w:r w:rsidRPr="008912CF">
        <w:rPr>
          <w:sz w:val="22"/>
          <w:szCs w:val="22"/>
        </w:rPr>
        <w:t xml:space="preserve"> primário dos estudos AR VI e VII consistiu na dor no local de injeção imediatamente após a injeção conforme avaliação da Escala VAS de 0-10 cm.</w:t>
      </w:r>
    </w:p>
    <w:p w14:paraId="5C223A18" w14:textId="77777777" w:rsidR="004462A0" w:rsidRPr="008912CF" w:rsidRDefault="004462A0" w:rsidP="004462A0">
      <w:pPr>
        <w:pStyle w:val="Heading7"/>
        <w:keepNext w:val="0"/>
        <w:spacing w:line="240" w:lineRule="auto"/>
        <w:jc w:val="left"/>
        <w:rPr>
          <w:szCs w:val="22"/>
          <w:u w:val="single"/>
        </w:rPr>
      </w:pPr>
    </w:p>
    <w:p w14:paraId="281B95F1" w14:textId="77777777" w:rsidR="004462A0" w:rsidRPr="008912CF" w:rsidRDefault="00615769" w:rsidP="004462A0">
      <w:pPr>
        <w:pStyle w:val="Heading7"/>
        <w:keepNext w:val="0"/>
        <w:spacing w:line="240" w:lineRule="auto"/>
        <w:jc w:val="left"/>
        <w:rPr>
          <w:i w:val="0"/>
          <w:szCs w:val="22"/>
          <w:u w:val="single"/>
        </w:rPr>
      </w:pPr>
      <w:r w:rsidRPr="008912CF">
        <w:rPr>
          <w:szCs w:val="22"/>
          <w:u w:val="single"/>
        </w:rPr>
        <w:t>Resposta ACR</w:t>
      </w:r>
      <w:r w:rsidRPr="008912CF">
        <w:rPr>
          <w:i w:val="0"/>
          <w:szCs w:val="22"/>
          <w:u w:val="single"/>
        </w:rPr>
        <w:t xml:space="preserve"> </w:t>
      </w:r>
    </w:p>
    <w:p w14:paraId="4554159E" w14:textId="77777777" w:rsidR="004462A0" w:rsidRPr="008912CF" w:rsidRDefault="004462A0" w:rsidP="004462A0">
      <w:pPr>
        <w:rPr>
          <w:b/>
          <w:sz w:val="22"/>
          <w:szCs w:val="22"/>
        </w:rPr>
      </w:pPr>
    </w:p>
    <w:p w14:paraId="45CE2AC9" w14:textId="77777777" w:rsidR="004462A0" w:rsidRPr="008912CF" w:rsidRDefault="00615769" w:rsidP="004462A0">
      <w:pPr>
        <w:rPr>
          <w:sz w:val="22"/>
          <w:szCs w:val="22"/>
        </w:rPr>
      </w:pPr>
      <w:r w:rsidRPr="008912CF">
        <w:rPr>
          <w:sz w:val="22"/>
          <w:szCs w:val="22"/>
        </w:rPr>
        <w:t xml:space="preserve">A percentagem de doentes tratados com Humira que atingiram respostas ACR 20, 50 e 70 foi consistente em todos os estudos AR I, II e III. Na Tabela </w:t>
      </w:r>
      <w:r w:rsidR="00E549E4">
        <w:rPr>
          <w:sz w:val="22"/>
          <w:szCs w:val="22"/>
        </w:rPr>
        <w:t>8</w:t>
      </w:r>
      <w:r w:rsidRPr="008912CF">
        <w:rPr>
          <w:sz w:val="22"/>
          <w:szCs w:val="22"/>
        </w:rPr>
        <w:t xml:space="preserve">, apresenta-se um resumo dos resultados obtidos com a dose de 40 mg administrada em semanas alternadas. </w:t>
      </w:r>
    </w:p>
    <w:p w14:paraId="114C3970" w14:textId="77777777" w:rsidR="004462A0" w:rsidRPr="008912CF" w:rsidRDefault="004462A0" w:rsidP="004462A0"/>
    <w:tbl>
      <w:tblPr>
        <w:tblW w:w="9124" w:type="dxa"/>
        <w:tblInd w:w="98" w:type="dxa"/>
        <w:tblLayout w:type="fixed"/>
        <w:tblCellMar>
          <w:left w:w="0" w:type="dxa"/>
          <w:right w:w="0" w:type="dxa"/>
        </w:tblCellMar>
        <w:tblLook w:val="0000" w:firstRow="0" w:lastRow="0" w:firstColumn="0" w:lastColumn="0" w:noHBand="0" w:noVBand="0"/>
      </w:tblPr>
      <w:tblGrid>
        <w:gridCol w:w="1069"/>
        <w:gridCol w:w="1393"/>
        <w:gridCol w:w="1417"/>
        <w:gridCol w:w="1071"/>
        <w:gridCol w:w="1197"/>
        <w:gridCol w:w="1418"/>
        <w:gridCol w:w="1559"/>
      </w:tblGrid>
      <w:tr w:rsidR="00A7162A" w14:paraId="5A190B74" w14:textId="77777777" w:rsidTr="00F675CF">
        <w:tc>
          <w:tcPr>
            <w:tcW w:w="9124" w:type="dxa"/>
            <w:gridSpan w:val="7"/>
          </w:tcPr>
          <w:p w14:paraId="34443E0D" w14:textId="77777777" w:rsidR="004462A0" w:rsidRPr="008912CF" w:rsidRDefault="00615769" w:rsidP="00F675CF">
            <w:pPr>
              <w:pStyle w:val="Corpodetexto1"/>
              <w:keepNext/>
              <w:tabs>
                <w:tab w:val="clear" w:pos="1152"/>
                <w:tab w:val="clear" w:pos="1872"/>
              </w:tabs>
              <w:spacing w:after="0" w:line="240" w:lineRule="auto"/>
              <w:ind w:left="0"/>
              <w:jc w:val="center"/>
              <w:rPr>
                <w:b/>
                <w:sz w:val="22"/>
                <w:szCs w:val="22"/>
                <w:lang w:val="pt-PT"/>
              </w:rPr>
            </w:pPr>
            <w:r w:rsidRPr="008912CF">
              <w:rPr>
                <w:b/>
                <w:sz w:val="22"/>
                <w:szCs w:val="22"/>
                <w:lang w:val="pt-PT"/>
              </w:rPr>
              <w:t xml:space="preserve">Tabela </w:t>
            </w:r>
            <w:r w:rsidR="00E549E4">
              <w:rPr>
                <w:b/>
                <w:sz w:val="22"/>
                <w:szCs w:val="22"/>
                <w:lang w:val="pt-PT"/>
              </w:rPr>
              <w:t>8</w:t>
            </w:r>
          </w:p>
          <w:p w14:paraId="390D53B0" w14:textId="77777777" w:rsidR="004462A0" w:rsidRPr="008912CF" w:rsidRDefault="00615769" w:rsidP="00F675CF">
            <w:pPr>
              <w:pStyle w:val="Corpodetexto1"/>
              <w:keepNext/>
              <w:tabs>
                <w:tab w:val="clear" w:pos="1152"/>
                <w:tab w:val="clear" w:pos="1872"/>
              </w:tabs>
              <w:spacing w:after="0" w:line="240" w:lineRule="auto"/>
              <w:ind w:left="0"/>
              <w:jc w:val="center"/>
              <w:rPr>
                <w:b/>
                <w:sz w:val="22"/>
                <w:szCs w:val="22"/>
                <w:lang w:val="pt-PT"/>
              </w:rPr>
            </w:pPr>
            <w:r w:rsidRPr="008912CF">
              <w:rPr>
                <w:b/>
                <w:sz w:val="22"/>
                <w:szCs w:val="22"/>
                <w:lang w:val="pt-PT"/>
              </w:rPr>
              <w:t>Respostas ACR nos Ensaios Controlados com Placebo</w:t>
            </w:r>
          </w:p>
          <w:p w14:paraId="4F504E0B" w14:textId="77777777" w:rsidR="004462A0" w:rsidRPr="008912CF" w:rsidRDefault="00615769" w:rsidP="00F675CF">
            <w:pPr>
              <w:pStyle w:val="Corpodetexto1"/>
              <w:keepNext/>
              <w:tabs>
                <w:tab w:val="clear" w:pos="1152"/>
                <w:tab w:val="clear" w:pos="1872"/>
              </w:tabs>
              <w:spacing w:after="0" w:line="240" w:lineRule="auto"/>
              <w:ind w:left="0"/>
              <w:jc w:val="center"/>
              <w:rPr>
                <w:b/>
                <w:sz w:val="22"/>
                <w:szCs w:val="22"/>
                <w:lang w:val="pt-PT"/>
              </w:rPr>
            </w:pPr>
            <w:r w:rsidRPr="008912CF">
              <w:rPr>
                <w:b/>
                <w:sz w:val="22"/>
                <w:szCs w:val="22"/>
                <w:lang w:val="pt-PT"/>
              </w:rPr>
              <w:t>(Percentagem de Doentes)</w:t>
            </w:r>
          </w:p>
          <w:p w14:paraId="56CEE44C" w14:textId="77777777" w:rsidR="004462A0" w:rsidRPr="008912CF" w:rsidRDefault="004462A0" w:rsidP="00F675CF">
            <w:pPr>
              <w:pStyle w:val="Corpodetexto1"/>
              <w:keepNext/>
              <w:tabs>
                <w:tab w:val="clear" w:pos="1152"/>
                <w:tab w:val="clear" w:pos="1872"/>
              </w:tabs>
              <w:spacing w:after="0" w:line="240" w:lineRule="auto"/>
              <w:ind w:left="0"/>
              <w:jc w:val="center"/>
              <w:rPr>
                <w:b/>
                <w:sz w:val="22"/>
                <w:szCs w:val="22"/>
                <w:lang w:val="pt-PT"/>
              </w:rPr>
            </w:pPr>
          </w:p>
        </w:tc>
      </w:tr>
      <w:tr w:rsidR="00A7162A" w14:paraId="14B8FFFE" w14:textId="77777777" w:rsidTr="00F675CF">
        <w:trPr>
          <w:cantSplit/>
        </w:trPr>
        <w:tc>
          <w:tcPr>
            <w:tcW w:w="1069" w:type="dxa"/>
            <w:tcBorders>
              <w:top w:val="single" w:sz="6" w:space="0" w:color="auto"/>
              <w:right w:val="single" w:sz="6" w:space="0" w:color="auto"/>
            </w:tcBorders>
          </w:tcPr>
          <w:p w14:paraId="0DD944CC" w14:textId="77777777" w:rsidR="004462A0" w:rsidRPr="008912CF" w:rsidRDefault="00615769" w:rsidP="00F675CF">
            <w:pPr>
              <w:pStyle w:val="In-texttable"/>
              <w:spacing w:line="240" w:lineRule="auto"/>
              <w:rPr>
                <w:rFonts w:ascii="Times New Roman" w:hAnsi="Times New Roman"/>
                <w:sz w:val="22"/>
                <w:szCs w:val="22"/>
                <w:lang w:val="pt-PT"/>
              </w:rPr>
            </w:pPr>
            <w:r w:rsidRPr="008912CF">
              <w:rPr>
                <w:rFonts w:ascii="Times New Roman" w:hAnsi="Times New Roman"/>
                <w:sz w:val="22"/>
                <w:szCs w:val="22"/>
                <w:lang w:val="pt-PT"/>
              </w:rPr>
              <w:t xml:space="preserve">Resposta </w:t>
            </w:r>
          </w:p>
        </w:tc>
        <w:tc>
          <w:tcPr>
            <w:tcW w:w="2810" w:type="dxa"/>
            <w:gridSpan w:val="2"/>
            <w:tcBorders>
              <w:top w:val="single" w:sz="6" w:space="0" w:color="auto"/>
              <w:left w:val="single" w:sz="6" w:space="0" w:color="auto"/>
              <w:bottom w:val="single" w:sz="6" w:space="0" w:color="auto"/>
              <w:right w:val="single" w:sz="6" w:space="0" w:color="auto"/>
            </w:tcBorders>
          </w:tcPr>
          <w:p w14:paraId="63310FE9" w14:textId="77777777" w:rsidR="004462A0" w:rsidRPr="008912CF" w:rsidRDefault="00615769" w:rsidP="00F675CF">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Estudo AR I</w:t>
            </w:r>
            <w:r w:rsidRPr="008912CF">
              <w:rPr>
                <w:rFonts w:ascii="Times New Roman" w:hAnsi="Times New Roman"/>
                <w:sz w:val="22"/>
                <w:szCs w:val="22"/>
                <w:vertAlign w:val="superscript"/>
                <w:lang w:val="pt-PT"/>
              </w:rPr>
              <w:t>a</w:t>
            </w:r>
            <w:r w:rsidRPr="008912CF">
              <w:rPr>
                <w:rFonts w:ascii="Times New Roman" w:hAnsi="Times New Roman"/>
                <w:sz w:val="22"/>
                <w:szCs w:val="22"/>
                <w:lang w:val="pt-PT"/>
              </w:rPr>
              <w:t>**</w:t>
            </w:r>
          </w:p>
        </w:tc>
        <w:tc>
          <w:tcPr>
            <w:tcW w:w="2268" w:type="dxa"/>
            <w:gridSpan w:val="2"/>
            <w:tcBorders>
              <w:top w:val="single" w:sz="6" w:space="0" w:color="auto"/>
              <w:left w:val="single" w:sz="6" w:space="0" w:color="auto"/>
              <w:bottom w:val="single" w:sz="6" w:space="0" w:color="auto"/>
              <w:right w:val="single" w:sz="6" w:space="0" w:color="auto"/>
            </w:tcBorders>
          </w:tcPr>
          <w:p w14:paraId="6C3C5A9F" w14:textId="77777777" w:rsidR="004462A0" w:rsidRPr="008912CF" w:rsidRDefault="00615769" w:rsidP="00F675CF">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Estudo AR II</w:t>
            </w:r>
            <w:r w:rsidRPr="008912CF">
              <w:rPr>
                <w:rFonts w:ascii="Times New Roman" w:hAnsi="Times New Roman"/>
                <w:sz w:val="22"/>
                <w:szCs w:val="22"/>
                <w:vertAlign w:val="superscript"/>
                <w:lang w:val="pt-PT"/>
              </w:rPr>
              <w:t>a</w:t>
            </w:r>
            <w:r w:rsidRPr="008912CF">
              <w:rPr>
                <w:rFonts w:ascii="Times New Roman" w:hAnsi="Times New Roman"/>
                <w:sz w:val="22"/>
                <w:szCs w:val="22"/>
                <w:lang w:val="pt-PT"/>
              </w:rPr>
              <w:t>**</w:t>
            </w:r>
          </w:p>
        </w:tc>
        <w:tc>
          <w:tcPr>
            <w:tcW w:w="2977" w:type="dxa"/>
            <w:gridSpan w:val="2"/>
            <w:tcBorders>
              <w:top w:val="single" w:sz="6" w:space="0" w:color="auto"/>
              <w:left w:val="single" w:sz="6" w:space="0" w:color="auto"/>
              <w:bottom w:val="single" w:sz="6" w:space="0" w:color="auto"/>
            </w:tcBorders>
          </w:tcPr>
          <w:p w14:paraId="626D8510" w14:textId="77777777" w:rsidR="004462A0" w:rsidRPr="008912CF" w:rsidRDefault="00615769" w:rsidP="00F675CF">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Estudo AR III</w:t>
            </w:r>
            <w:r w:rsidRPr="008912CF">
              <w:rPr>
                <w:rFonts w:ascii="Times New Roman" w:hAnsi="Times New Roman"/>
                <w:sz w:val="22"/>
                <w:szCs w:val="22"/>
                <w:vertAlign w:val="superscript"/>
                <w:lang w:val="pt-PT"/>
              </w:rPr>
              <w:t>a</w:t>
            </w:r>
            <w:r w:rsidRPr="008912CF">
              <w:rPr>
                <w:rFonts w:ascii="Times New Roman" w:hAnsi="Times New Roman"/>
                <w:sz w:val="22"/>
                <w:szCs w:val="22"/>
                <w:lang w:val="pt-PT"/>
              </w:rPr>
              <w:t>**</w:t>
            </w:r>
          </w:p>
          <w:p w14:paraId="1E96A808" w14:textId="77777777" w:rsidR="004462A0" w:rsidRPr="008912CF" w:rsidRDefault="004462A0" w:rsidP="00F675CF">
            <w:pPr>
              <w:pStyle w:val="In-texttable"/>
              <w:spacing w:line="240" w:lineRule="auto"/>
              <w:jc w:val="center"/>
              <w:rPr>
                <w:rFonts w:ascii="Times New Roman" w:hAnsi="Times New Roman"/>
                <w:sz w:val="22"/>
                <w:szCs w:val="22"/>
                <w:lang w:val="pt-PT"/>
              </w:rPr>
            </w:pPr>
          </w:p>
        </w:tc>
      </w:tr>
      <w:tr w:rsidR="00A7162A" w14:paraId="4FC82D2C" w14:textId="77777777" w:rsidTr="00F675CF">
        <w:trPr>
          <w:cantSplit/>
        </w:trPr>
        <w:tc>
          <w:tcPr>
            <w:tcW w:w="1069" w:type="dxa"/>
            <w:tcBorders>
              <w:bottom w:val="single" w:sz="6" w:space="0" w:color="auto"/>
              <w:right w:val="single" w:sz="6" w:space="0" w:color="auto"/>
            </w:tcBorders>
          </w:tcPr>
          <w:p w14:paraId="184178E2" w14:textId="77777777" w:rsidR="004462A0" w:rsidRPr="008912CF" w:rsidRDefault="004462A0" w:rsidP="00F675CF">
            <w:pPr>
              <w:pStyle w:val="In-texttable"/>
              <w:spacing w:line="240" w:lineRule="auto"/>
              <w:rPr>
                <w:rFonts w:ascii="Times New Roman" w:hAnsi="Times New Roman"/>
                <w:sz w:val="22"/>
                <w:szCs w:val="22"/>
                <w:lang w:val="pt-PT"/>
              </w:rPr>
            </w:pPr>
          </w:p>
        </w:tc>
        <w:tc>
          <w:tcPr>
            <w:tcW w:w="1393" w:type="dxa"/>
            <w:tcBorders>
              <w:top w:val="single" w:sz="6" w:space="0" w:color="auto"/>
              <w:left w:val="single" w:sz="6" w:space="0" w:color="auto"/>
              <w:bottom w:val="single" w:sz="6" w:space="0" w:color="auto"/>
            </w:tcBorders>
          </w:tcPr>
          <w:p w14:paraId="22C74621" w14:textId="77777777" w:rsidR="004462A0" w:rsidRPr="008912CF" w:rsidRDefault="00615769" w:rsidP="00F675CF">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Placebo/MTX</w:t>
            </w:r>
            <w:r w:rsidRPr="008912CF">
              <w:rPr>
                <w:rFonts w:ascii="Times New Roman" w:hAnsi="Times New Roman"/>
                <w:sz w:val="22"/>
                <w:szCs w:val="22"/>
                <w:vertAlign w:val="superscript"/>
                <w:lang w:val="pt-PT"/>
              </w:rPr>
              <w:t>c</w:t>
            </w:r>
          </w:p>
          <w:p w14:paraId="51DA132A" w14:textId="77777777" w:rsidR="004462A0" w:rsidRPr="008912CF" w:rsidRDefault="00615769" w:rsidP="00F675CF">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 = 60</w:t>
            </w:r>
          </w:p>
        </w:tc>
        <w:tc>
          <w:tcPr>
            <w:tcW w:w="1417" w:type="dxa"/>
            <w:tcBorders>
              <w:top w:val="single" w:sz="6" w:space="0" w:color="auto"/>
              <w:bottom w:val="single" w:sz="6" w:space="0" w:color="auto"/>
              <w:right w:val="single" w:sz="6" w:space="0" w:color="auto"/>
            </w:tcBorders>
          </w:tcPr>
          <w:p w14:paraId="361E0E6C" w14:textId="77777777" w:rsidR="004462A0" w:rsidRPr="008912CF" w:rsidRDefault="00615769" w:rsidP="00F675CF">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Humira</w:t>
            </w:r>
            <w:r w:rsidRPr="008912CF">
              <w:rPr>
                <w:rFonts w:ascii="Times New Roman" w:hAnsi="Times New Roman"/>
                <w:sz w:val="22"/>
                <w:szCs w:val="22"/>
                <w:vertAlign w:val="superscript"/>
                <w:lang w:val="pt-PT"/>
              </w:rPr>
              <w:t>b</w:t>
            </w:r>
            <w:r w:rsidRPr="008912CF">
              <w:rPr>
                <w:rFonts w:ascii="Times New Roman" w:hAnsi="Times New Roman"/>
                <w:sz w:val="22"/>
                <w:szCs w:val="22"/>
                <w:lang w:val="pt-PT"/>
              </w:rPr>
              <w:t>/MTX</w:t>
            </w:r>
            <w:r w:rsidRPr="008912CF">
              <w:rPr>
                <w:rFonts w:ascii="Times New Roman" w:hAnsi="Times New Roman"/>
                <w:sz w:val="22"/>
                <w:szCs w:val="22"/>
                <w:vertAlign w:val="superscript"/>
                <w:lang w:val="pt-PT"/>
              </w:rPr>
              <w:t>c</w:t>
            </w:r>
          </w:p>
          <w:p w14:paraId="3A1C08BF" w14:textId="77777777" w:rsidR="004462A0" w:rsidRPr="008912CF" w:rsidRDefault="00615769" w:rsidP="00F675CF">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 = 63</w:t>
            </w:r>
          </w:p>
        </w:tc>
        <w:tc>
          <w:tcPr>
            <w:tcW w:w="1071" w:type="dxa"/>
            <w:tcBorders>
              <w:top w:val="single" w:sz="6" w:space="0" w:color="auto"/>
              <w:left w:val="single" w:sz="6" w:space="0" w:color="auto"/>
              <w:bottom w:val="single" w:sz="6" w:space="0" w:color="auto"/>
            </w:tcBorders>
          </w:tcPr>
          <w:p w14:paraId="6088541D" w14:textId="77777777" w:rsidR="004462A0" w:rsidRPr="008912CF" w:rsidRDefault="00615769" w:rsidP="00F675CF">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Placebo</w:t>
            </w:r>
          </w:p>
          <w:p w14:paraId="690FB65F" w14:textId="77777777" w:rsidR="004462A0" w:rsidRPr="008912CF" w:rsidRDefault="00615769" w:rsidP="00F675CF">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 = 110</w:t>
            </w:r>
          </w:p>
        </w:tc>
        <w:tc>
          <w:tcPr>
            <w:tcW w:w="1197" w:type="dxa"/>
            <w:tcBorders>
              <w:top w:val="single" w:sz="6" w:space="0" w:color="auto"/>
              <w:bottom w:val="single" w:sz="6" w:space="0" w:color="auto"/>
              <w:right w:val="single" w:sz="6" w:space="0" w:color="auto"/>
            </w:tcBorders>
          </w:tcPr>
          <w:p w14:paraId="1AD4528D" w14:textId="77777777" w:rsidR="004462A0" w:rsidRPr="008912CF" w:rsidRDefault="00615769" w:rsidP="00F675CF">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Humira</w:t>
            </w:r>
            <w:r w:rsidRPr="008912CF">
              <w:rPr>
                <w:rFonts w:ascii="Times New Roman" w:hAnsi="Times New Roman"/>
                <w:sz w:val="22"/>
                <w:szCs w:val="22"/>
                <w:vertAlign w:val="superscript"/>
                <w:lang w:val="pt-PT"/>
              </w:rPr>
              <w:t>b</w:t>
            </w:r>
          </w:p>
          <w:p w14:paraId="5E6F9E3F" w14:textId="77777777" w:rsidR="004462A0" w:rsidRPr="008912CF" w:rsidRDefault="00615769" w:rsidP="00F675CF">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 = 113</w:t>
            </w:r>
          </w:p>
        </w:tc>
        <w:tc>
          <w:tcPr>
            <w:tcW w:w="1418" w:type="dxa"/>
            <w:tcBorders>
              <w:top w:val="single" w:sz="6" w:space="0" w:color="auto"/>
              <w:left w:val="single" w:sz="6" w:space="0" w:color="auto"/>
              <w:bottom w:val="single" w:sz="6" w:space="0" w:color="auto"/>
            </w:tcBorders>
          </w:tcPr>
          <w:p w14:paraId="7B16CB79" w14:textId="77777777" w:rsidR="004462A0" w:rsidRPr="008912CF" w:rsidRDefault="00615769" w:rsidP="00F675CF">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Placebo/MTX</w:t>
            </w:r>
            <w:r w:rsidRPr="008912CF">
              <w:rPr>
                <w:rFonts w:ascii="Times New Roman" w:hAnsi="Times New Roman"/>
                <w:sz w:val="22"/>
                <w:szCs w:val="22"/>
                <w:vertAlign w:val="superscript"/>
                <w:lang w:val="pt-PT"/>
              </w:rPr>
              <w:t>c</w:t>
            </w:r>
          </w:p>
          <w:p w14:paraId="3488D313" w14:textId="77777777" w:rsidR="004462A0" w:rsidRPr="008912CF" w:rsidRDefault="00615769" w:rsidP="00F675CF">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 = 200</w:t>
            </w:r>
          </w:p>
        </w:tc>
        <w:tc>
          <w:tcPr>
            <w:tcW w:w="1559" w:type="dxa"/>
            <w:tcBorders>
              <w:top w:val="single" w:sz="6" w:space="0" w:color="auto"/>
              <w:bottom w:val="single" w:sz="6" w:space="0" w:color="auto"/>
            </w:tcBorders>
          </w:tcPr>
          <w:p w14:paraId="00164BF5" w14:textId="77777777" w:rsidR="004462A0" w:rsidRPr="008912CF" w:rsidRDefault="00615769" w:rsidP="00F675CF">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Humira</w:t>
            </w:r>
            <w:r w:rsidRPr="008912CF">
              <w:rPr>
                <w:rFonts w:ascii="Times New Roman" w:hAnsi="Times New Roman"/>
                <w:sz w:val="22"/>
                <w:szCs w:val="22"/>
                <w:vertAlign w:val="superscript"/>
                <w:lang w:val="pt-PT"/>
              </w:rPr>
              <w:t>b</w:t>
            </w:r>
            <w:r w:rsidRPr="008912CF">
              <w:rPr>
                <w:rFonts w:ascii="Times New Roman" w:hAnsi="Times New Roman"/>
                <w:sz w:val="22"/>
                <w:szCs w:val="22"/>
                <w:lang w:val="pt-PT"/>
              </w:rPr>
              <w:t>/MTX</w:t>
            </w:r>
            <w:r w:rsidRPr="008912CF">
              <w:rPr>
                <w:rFonts w:ascii="Times New Roman" w:hAnsi="Times New Roman"/>
                <w:sz w:val="22"/>
                <w:szCs w:val="22"/>
                <w:vertAlign w:val="superscript"/>
                <w:lang w:val="pt-PT"/>
              </w:rPr>
              <w:t>c</w:t>
            </w:r>
          </w:p>
          <w:p w14:paraId="726CB77D" w14:textId="77777777" w:rsidR="004462A0" w:rsidRPr="008912CF" w:rsidRDefault="00615769" w:rsidP="00F675CF">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 = 207</w:t>
            </w:r>
          </w:p>
        </w:tc>
      </w:tr>
      <w:tr w:rsidR="00A7162A" w14:paraId="331A1791" w14:textId="77777777" w:rsidTr="00F675CF">
        <w:trPr>
          <w:cantSplit/>
        </w:trPr>
        <w:tc>
          <w:tcPr>
            <w:tcW w:w="1069" w:type="dxa"/>
            <w:tcBorders>
              <w:right w:val="single" w:sz="6" w:space="0" w:color="auto"/>
            </w:tcBorders>
          </w:tcPr>
          <w:p w14:paraId="4D79D4B7" w14:textId="77777777" w:rsidR="004462A0" w:rsidRPr="008912CF" w:rsidRDefault="00615769" w:rsidP="00F675CF">
            <w:pPr>
              <w:pStyle w:val="In-texttable"/>
              <w:tabs>
                <w:tab w:val="left" w:pos="144"/>
              </w:tabs>
              <w:spacing w:line="240" w:lineRule="auto"/>
              <w:rPr>
                <w:rFonts w:ascii="Times New Roman" w:hAnsi="Times New Roman"/>
                <w:sz w:val="22"/>
                <w:szCs w:val="22"/>
                <w:lang w:val="pt-PT"/>
              </w:rPr>
            </w:pPr>
            <w:r w:rsidRPr="008912CF">
              <w:rPr>
                <w:rFonts w:ascii="Times New Roman" w:hAnsi="Times New Roman"/>
                <w:sz w:val="22"/>
                <w:szCs w:val="22"/>
                <w:lang w:val="pt-PT"/>
              </w:rPr>
              <w:t>ACR 20</w:t>
            </w:r>
          </w:p>
        </w:tc>
        <w:tc>
          <w:tcPr>
            <w:tcW w:w="1393" w:type="dxa"/>
            <w:tcBorders>
              <w:left w:val="single" w:sz="6" w:space="0" w:color="auto"/>
            </w:tcBorders>
          </w:tcPr>
          <w:p w14:paraId="55E24141" w14:textId="77777777" w:rsidR="004462A0" w:rsidRPr="008912CF" w:rsidRDefault="004462A0" w:rsidP="00F675CF">
            <w:pPr>
              <w:pStyle w:val="In-texttable"/>
              <w:spacing w:line="240" w:lineRule="auto"/>
              <w:jc w:val="center"/>
              <w:rPr>
                <w:rFonts w:ascii="Times New Roman" w:hAnsi="Times New Roman"/>
                <w:sz w:val="22"/>
                <w:szCs w:val="22"/>
                <w:lang w:val="pt-PT"/>
              </w:rPr>
            </w:pPr>
          </w:p>
        </w:tc>
        <w:tc>
          <w:tcPr>
            <w:tcW w:w="1417" w:type="dxa"/>
            <w:tcBorders>
              <w:right w:val="single" w:sz="6" w:space="0" w:color="auto"/>
            </w:tcBorders>
          </w:tcPr>
          <w:p w14:paraId="63EE2D1C" w14:textId="77777777" w:rsidR="004462A0" w:rsidRPr="008912CF" w:rsidRDefault="004462A0" w:rsidP="00F675CF">
            <w:pPr>
              <w:pStyle w:val="In-texttable"/>
              <w:spacing w:line="240" w:lineRule="auto"/>
              <w:jc w:val="center"/>
              <w:rPr>
                <w:rFonts w:ascii="Times New Roman" w:hAnsi="Times New Roman"/>
                <w:sz w:val="22"/>
                <w:szCs w:val="22"/>
                <w:lang w:val="pt-PT"/>
              </w:rPr>
            </w:pPr>
          </w:p>
        </w:tc>
        <w:tc>
          <w:tcPr>
            <w:tcW w:w="1071" w:type="dxa"/>
            <w:tcBorders>
              <w:left w:val="single" w:sz="6" w:space="0" w:color="auto"/>
            </w:tcBorders>
          </w:tcPr>
          <w:p w14:paraId="4345647D" w14:textId="77777777" w:rsidR="004462A0" w:rsidRPr="008912CF" w:rsidRDefault="004462A0" w:rsidP="00F675CF">
            <w:pPr>
              <w:pStyle w:val="In-texttable"/>
              <w:spacing w:line="240" w:lineRule="auto"/>
              <w:jc w:val="center"/>
              <w:rPr>
                <w:rFonts w:ascii="Times New Roman" w:hAnsi="Times New Roman"/>
                <w:sz w:val="22"/>
                <w:szCs w:val="22"/>
                <w:lang w:val="pt-PT"/>
              </w:rPr>
            </w:pPr>
          </w:p>
        </w:tc>
        <w:tc>
          <w:tcPr>
            <w:tcW w:w="1197" w:type="dxa"/>
            <w:tcBorders>
              <w:right w:val="single" w:sz="6" w:space="0" w:color="auto"/>
            </w:tcBorders>
          </w:tcPr>
          <w:p w14:paraId="582CD6AA" w14:textId="77777777" w:rsidR="004462A0" w:rsidRPr="008912CF" w:rsidRDefault="004462A0" w:rsidP="00F675CF">
            <w:pPr>
              <w:pStyle w:val="In-texttable"/>
              <w:spacing w:line="240" w:lineRule="auto"/>
              <w:jc w:val="center"/>
              <w:rPr>
                <w:rFonts w:ascii="Times New Roman" w:hAnsi="Times New Roman"/>
                <w:sz w:val="22"/>
                <w:szCs w:val="22"/>
                <w:lang w:val="pt-PT"/>
              </w:rPr>
            </w:pPr>
          </w:p>
        </w:tc>
        <w:tc>
          <w:tcPr>
            <w:tcW w:w="1418" w:type="dxa"/>
            <w:tcBorders>
              <w:top w:val="single" w:sz="6" w:space="0" w:color="auto"/>
              <w:left w:val="single" w:sz="6" w:space="0" w:color="auto"/>
            </w:tcBorders>
          </w:tcPr>
          <w:p w14:paraId="4B342DFF" w14:textId="77777777" w:rsidR="004462A0" w:rsidRPr="008912CF" w:rsidRDefault="004462A0" w:rsidP="00F675CF">
            <w:pPr>
              <w:pStyle w:val="In-texttable"/>
              <w:spacing w:line="240" w:lineRule="auto"/>
              <w:jc w:val="center"/>
              <w:rPr>
                <w:rFonts w:ascii="Times New Roman" w:hAnsi="Times New Roman"/>
                <w:sz w:val="22"/>
                <w:szCs w:val="22"/>
                <w:lang w:val="pt-PT"/>
              </w:rPr>
            </w:pPr>
          </w:p>
        </w:tc>
        <w:tc>
          <w:tcPr>
            <w:tcW w:w="1559" w:type="dxa"/>
            <w:tcBorders>
              <w:top w:val="single" w:sz="6" w:space="0" w:color="auto"/>
            </w:tcBorders>
          </w:tcPr>
          <w:p w14:paraId="2BD55B3E" w14:textId="77777777" w:rsidR="004462A0" w:rsidRPr="008912CF" w:rsidRDefault="004462A0" w:rsidP="00F675CF">
            <w:pPr>
              <w:pStyle w:val="In-texttable"/>
              <w:spacing w:line="240" w:lineRule="auto"/>
              <w:jc w:val="center"/>
              <w:rPr>
                <w:rFonts w:ascii="Times New Roman" w:hAnsi="Times New Roman"/>
                <w:sz w:val="22"/>
                <w:szCs w:val="22"/>
                <w:lang w:val="pt-PT"/>
              </w:rPr>
            </w:pPr>
          </w:p>
        </w:tc>
      </w:tr>
      <w:tr w:rsidR="00A7162A" w14:paraId="7C8F82EA" w14:textId="77777777" w:rsidTr="00F675CF">
        <w:trPr>
          <w:cantSplit/>
        </w:trPr>
        <w:tc>
          <w:tcPr>
            <w:tcW w:w="1069" w:type="dxa"/>
            <w:tcBorders>
              <w:right w:val="single" w:sz="6" w:space="0" w:color="auto"/>
            </w:tcBorders>
          </w:tcPr>
          <w:p w14:paraId="0B06D871" w14:textId="77777777" w:rsidR="004462A0" w:rsidRPr="008912CF" w:rsidRDefault="00615769" w:rsidP="00F675CF">
            <w:pPr>
              <w:pStyle w:val="In-texttable"/>
              <w:tabs>
                <w:tab w:val="left" w:pos="144"/>
              </w:tabs>
              <w:spacing w:line="240" w:lineRule="auto"/>
              <w:rPr>
                <w:rFonts w:ascii="Times New Roman" w:hAnsi="Times New Roman"/>
                <w:sz w:val="22"/>
                <w:szCs w:val="22"/>
                <w:lang w:val="pt-PT"/>
              </w:rPr>
            </w:pPr>
            <w:r w:rsidRPr="008912CF">
              <w:rPr>
                <w:rFonts w:ascii="Times New Roman" w:hAnsi="Times New Roman"/>
                <w:sz w:val="22"/>
                <w:szCs w:val="22"/>
                <w:lang w:val="pt-PT"/>
              </w:rPr>
              <w:tab/>
              <w:t>6 meses</w:t>
            </w:r>
          </w:p>
        </w:tc>
        <w:tc>
          <w:tcPr>
            <w:tcW w:w="1393" w:type="dxa"/>
            <w:tcBorders>
              <w:left w:val="single" w:sz="6" w:space="0" w:color="auto"/>
            </w:tcBorders>
          </w:tcPr>
          <w:p w14:paraId="20AA1476" w14:textId="77777777" w:rsidR="004462A0" w:rsidRPr="008912CF" w:rsidRDefault="00615769" w:rsidP="00F675CF">
            <w:pPr>
              <w:pStyle w:val="In-texttable"/>
              <w:tabs>
                <w:tab w:val="decimal" w:pos="259"/>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13,3%</w:t>
            </w:r>
          </w:p>
        </w:tc>
        <w:tc>
          <w:tcPr>
            <w:tcW w:w="1417" w:type="dxa"/>
            <w:tcBorders>
              <w:right w:val="single" w:sz="6" w:space="0" w:color="auto"/>
            </w:tcBorders>
          </w:tcPr>
          <w:p w14:paraId="37DFA931" w14:textId="77777777" w:rsidR="004462A0" w:rsidRPr="008912CF" w:rsidRDefault="00615769" w:rsidP="00F675CF">
            <w:pPr>
              <w:pStyle w:val="In-texttable"/>
              <w:tabs>
                <w:tab w:val="decimal" w:pos="250"/>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65,1%</w:t>
            </w:r>
          </w:p>
        </w:tc>
        <w:tc>
          <w:tcPr>
            <w:tcW w:w="1071" w:type="dxa"/>
            <w:tcBorders>
              <w:left w:val="single" w:sz="6" w:space="0" w:color="auto"/>
            </w:tcBorders>
          </w:tcPr>
          <w:p w14:paraId="1A6A8ABB" w14:textId="77777777" w:rsidR="004462A0" w:rsidRPr="008912CF" w:rsidRDefault="00615769" w:rsidP="00F675CF">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19,1%</w:t>
            </w:r>
          </w:p>
        </w:tc>
        <w:tc>
          <w:tcPr>
            <w:tcW w:w="1197" w:type="dxa"/>
            <w:tcBorders>
              <w:right w:val="single" w:sz="6" w:space="0" w:color="auto"/>
            </w:tcBorders>
          </w:tcPr>
          <w:p w14:paraId="0458D7D1" w14:textId="77777777" w:rsidR="004462A0" w:rsidRPr="008912CF" w:rsidRDefault="00615769" w:rsidP="00F675CF">
            <w:pPr>
              <w:pStyle w:val="In-texttable"/>
              <w:tabs>
                <w:tab w:val="decimal" w:pos="20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46,0%</w:t>
            </w:r>
          </w:p>
        </w:tc>
        <w:tc>
          <w:tcPr>
            <w:tcW w:w="1418" w:type="dxa"/>
            <w:tcBorders>
              <w:left w:val="single" w:sz="6" w:space="0" w:color="auto"/>
            </w:tcBorders>
          </w:tcPr>
          <w:p w14:paraId="5F5C2306" w14:textId="77777777" w:rsidR="004462A0" w:rsidRPr="008912CF" w:rsidRDefault="00615769" w:rsidP="00F675CF">
            <w:pPr>
              <w:pStyle w:val="In-texttable"/>
              <w:tabs>
                <w:tab w:val="decimal" w:pos="144"/>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29,5%</w:t>
            </w:r>
          </w:p>
        </w:tc>
        <w:tc>
          <w:tcPr>
            <w:tcW w:w="1559" w:type="dxa"/>
          </w:tcPr>
          <w:p w14:paraId="6CB87C90" w14:textId="77777777" w:rsidR="004462A0" w:rsidRPr="008912CF" w:rsidRDefault="00615769" w:rsidP="00F675CF">
            <w:pPr>
              <w:pStyle w:val="In-texttable"/>
              <w:tabs>
                <w:tab w:val="decimal" w:pos="9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63,3%</w:t>
            </w:r>
          </w:p>
        </w:tc>
      </w:tr>
      <w:tr w:rsidR="00A7162A" w14:paraId="24E2BDC0" w14:textId="77777777" w:rsidTr="00F675CF">
        <w:trPr>
          <w:cantSplit/>
        </w:trPr>
        <w:tc>
          <w:tcPr>
            <w:tcW w:w="1069" w:type="dxa"/>
            <w:tcBorders>
              <w:right w:val="single" w:sz="6" w:space="0" w:color="auto"/>
            </w:tcBorders>
          </w:tcPr>
          <w:p w14:paraId="289E4CB6" w14:textId="77777777" w:rsidR="004462A0" w:rsidRPr="008912CF" w:rsidRDefault="00615769" w:rsidP="00F675CF">
            <w:pPr>
              <w:pStyle w:val="In-texttable"/>
              <w:tabs>
                <w:tab w:val="left" w:pos="144"/>
              </w:tabs>
              <w:spacing w:line="240" w:lineRule="auto"/>
              <w:rPr>
                <w:rFonts w:ascii="Times New Roman" w:hAnsi="Times New Roman"/>
                <w:sz w:val="22"/>
                <w:szCs w:val="22"/>
                <w:lang w:val="pt-PT"/>
              </w:rPr>
            </w:pPr>
            <w:r w:rsidRPr="008912CF">
              <w:rPr>
                <w:rFonts w:ascii="Times New Roman" w:hAnsi="Times New Roman"/>
                <w:sz w:val="22"/>
                <w:szCs w:val="22"/>
                <w:lang w:val="pt-PT"/>
              </w:rPr>
              <w:tab/>
              <w:t>12 meses</w:t>
            </w:r>
          </w:p>
        </w:tc>
        <w:tc>
          <w:tcPr>
            <w:tcW w:w="1393" w:type="dxa"/>
            <w:tcBorders>
              <w:left w:val="single" w:sz="6" w:space="0" w:color="auto"/>
            </w:tcBorders>
          </w:tcPr>
          <w:p w14:paraId="5BF1A5C7" w14:textId="77777777" w:rsidR="004462A0" w:rsidRPr="008912CF" w:rsidRDefault="00615769" w:rsidP="00F675CF">
            <w:pPr>
              <w:pStyle w:val="In-texttable"/>
              <w:tabs>
                <w:tab w:val="decimal" w:pos="259"/>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417" w:type="dxa"/>
            <w:tcBorders>
              <w:right w:val="single" w:sz="6" w:space="0" w:color="auto"/>
            </w:tcBorders>
          </w:tcPr>
          <w:p w14:paraId="60719DF4" w14:textId="77777777" w:rsidR="004462A0" w:rsidRPr="008912CF" w:rsidRDefault="00615769" w:rsidP="00F675CF">
            <w:pPr>
              <w:pStyle w:val="In-texttable"/>
              <w:tabs>
                <w:tab w:val="decimal" w:pos="250"/>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071" w:type="dxa"/>
            <w:tcBorders>
              <w:left w:val="single" w:sz="6" w:space="0" w:color="auto"/>
            </w:tcBorders>
          </w:tcPr>
          <w:p w14:paraId="01C5919B" w14:textId="77777777" w:rsidR="004462A0" w:rsidRPr="008912CF" w:rsidRDefault="00615769" w:rsidP="00F675CF">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197" w:type="dxa"/>
            <w:tcBorders>
              <w:right w:val="single" w:sz="6" w:space="0" w:color="auto"/>
            </w:tcBorders>
          </w:tcPr>
          <w:p w14:paraId="136F935F" w14:textId="77777777" w:rsidR="004462A0" w:rsidRPr="008912CF" w:rsidRDefault="00615769" w:rsidP="00F675CF">
            <w:pPr>
              <w:pStyle w:val="In-texttable"/>
              <w:tabs>
                <w:tab w:val="decimal" w:pos="20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418" w:type="dxa"/>
            <w:tcBorders>
              <w:left w:val="single" w:sz="6" w:space="0" w:color="auto"/>
            </w:tcBorders>
          </w:tcPr>
          <w:p w14:paraId="3A754F7F" w14:textId="77777777" w:rsidR="004462A0" w:rsidRPr="008912CF" w:rsidRDefault="00615769" w:rsidP="00F675CF">
            <w:pPr>
              <w:pStyle w:val="In-texttable"/>
              <w:tabs>
                <w:tab w:val="decimal" w:pos="144"/>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24,0%</w:t>
            </w:r>
          </w:p>
        </w:tc>
        <w:tc>
          <w:tcPr>
            <w:tcW w:w="1559" w:type="dxa"/>
          </w:tcPr>
          <w:p w14:paraId="41779D85" w14:textId="77777777" w:rsidR="004462A0" w:rsidRPr="008912CF" w:rsidRDefault="00615769" w:rsidP="00F675CF">
            <w:pPr>
              <w:pStyle w:val="In-texttable"/>
              <w:tabs>
                <w:tab w:val="decimal" w:pos="9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58,9%</w:t>
            </w:r>
          </w:p>
        </w:tc>
      </w:tr>
      <w:tr w:rsidR="00A7162A" w14:paraId="6A1590F1" w14:textId="77777777" w:rsidTr="00F675CF">
        <w:trPr>
          <w:cantSplit/>
        </w:trPr>
        <w:tc>
          <w:tcPr>
            <w:tcW w:w="1069" w:type="dxa"/>
            <w:tcBorders>
              <w:right w:val="single" w:sz="6" w:space="0" w:color="auto"/>
            </w:tcBorders>
          </w:tcPr>
          <w:p w14:paraId="29963EB3" w14:textId="77777777" w:rsidR="004462A0" w:rsidRPr="008912CF" w:rsidRDefault="00615769" w:rsidP="00F675CF">
            <w:pPr>
              <w:pStyle w:val="In-texttable"/>
              <w:tabs>
                <w:tab w:val="left" w:pos="144"/>
              </w:tabs>
              <w:spacing w:line="240" w:lineRule="auto"/>
              <w:rPr>
                <w:rFonts w:ascii="Times New Roman" w:hAnsi="Times New Roman"/>
                <w:sz w:val="22"/>
                <w:szCs w:val="22"/>
                <w:lang w:val="pt-PT"/>
              </w:rPr>
            </w:pPr>
            <w:r w:rsidRPr="008912CF">
              <w:rPr>
                <w:rFonts w:ascii="Times New Roman" w:hAnsi="Times New Roman"/>
                <w:sz w:val="22"/>
                <w:szCs w:val="22"/>
                <w:lang w:val="pt-PT"/>
              </w:rPr>
              <w:t>ACR 50</w:t>
            </w:r>
          </w:p>
        </w:tc>
        <w:tc>
          <w:tcPr>
            <w:tcW w:w="1393" w:type="dxa"/>
            <w:tcBorders>
              <w:left w:val="single" w:sz="6" w:space="0" w:color="auto"/>
            </w:tcBorders>
          </w:tcPr>
          <w:p w14:paraId="03F02B9A" w14:textId="77777777" w:rsidR="004462A0" w:rsidRPr="008912CF" w:rsidRDefault="004462A0" w:rsidP="00F675CF">
            <w:pPr>
              <w:pStyle w:val="In-texttable"/>
              <w:tabs>
                <w:tab w:val="decimal" w:pos="259"/>
              </w:tabs>
              <w:spacing w:line="240" w:lineRule="auto"/>
              <w:jc w:val="center"/>
              <w:rPr>
                <w:rFonts w:ascii="Times New Roman" w:hAnsi="Times New Roman"/>
                <w:sz w:val="22"/>
                <w:szCs w:val="22"/>
                <w:lang w:val="pt-PT"/>
              </w:rPr>
            </w:pPr>
          </w:p>
        </w:tc>
        <w:tc>
          <w:tcPr>
            <w:tcW w:w="1417" w:type="dxa"/>
            <w:tcBorders>
              <w:right w:val="single" w:sz="6" w:space="0" w:color="auto"/>
            </w:tcBorders>
          </w:tcPr>
          <w:p w14:paraId="2FC56CDE" w14:textId="77777777" w:rsidR="004462A0" w:rsidRPr="008912CF" w:rsidRDefault="004462A0" w:rsidP="00F675CF">
            <w:pPr>
              <w:pStyle w:val="In-texttable"/>
              <w:tabs>
                <w:tab w:val="decimal" w:pos="250"/>
              </w:tabs>
              <w:spacing w:line="240" w:lineRule="auto"/>
              <w:jc w:val="center"/>
              <w:rPr>
                <w:rFonts w:ascii="Times New Roman" w:hAnsi="Times New Roman"/>
                <w:sz w:val="22"/>
                <w:szCs w:val="22"/>
                <w:lang w:val="pt-PT"/>
              </w:rPr>
            </w:pPr>
          </w:p>
        </w:tc>
        <w:tc>
          <w:tcPr>
            <w:tcW w:w="1071" w:type="dxa"/>
            <w:tcBorders>
              <w:left w:val="single" w:sz="6" w:space="0" w:color="auto"/>
            </w:tcBorders>
          </w:tcPr>
          <w:p w14:paraId="43EE43C9" w14:textId="77777777" w:rsidR="004462A0" w:rsidRPr="008912CF" w:rsidRDefault="004462A0" w:rsidP="00F675CF">
            <w:pPr>
              <w:pStyle w:val="In-texttable"/>
              <w:spacing w:line="240" w:lineRule="auto"/>
              <w:jc w:val="center"/>
              <w:rPr>
                <w:rFonts w:ascii="Times New Roman" w:hAnsi="Times New Roman"/>
                <w:sz w:val="22"/>
                <w:szCs w:val="22"/>
                <w:lang w:val="pt-PT"/>
              </w:rPr>
            </w:pPr>
          </w:p>
        </w:tc>
        <w:tc>
          <w:tcPr>
            <w:tcW w:w="1197" w:type="dxa"/>
            <w:tcBorders>
              <w:right w:val="single" w:sz="6" w:space="0" w:color="auto"/>
            </w:tcBorders>
          </w:tcPr>
          <w:p w14:paraId="26AB4645" w14:textId="77777777" w:rsidR="004462A0" w:rsidRPr="008912CF" w:rsidRDefault="004462A0" w:rsidP="00F675CF">
            <w:pPr>
              <w:pStyle w:val="In-texttable"/>
              <w:tabs>
                <w:tab w:val="decimal" w:pos="205"/>
              </w:tabs>
              <w:spacing w:line="240" w:lineRule="auto"/>
              <w:jc w:val="center"/>
              <w:rPr>
                <w:rFonts w:ascii="Times New Roman" w:hAnsi="Times New Roman"/>
                <w:sz w:val="22"/>
                <w:szCs w:val="22"/>
                <w:lang w:val="pt-PT"/>
              </w:rPr>
            </w:pPr>
          </w:p>
        </w:tc>
        <w:tc>
          <w:tcPr>
            <w:tcW w:w="1418" w:type="dxa"/>
            <w:tcBorders>
              <w:left w:val="single" w:sz="6" w:space="0" w:color="auto"/>
            </w:tcBorders>
          </w:tcPr>
          <w:p w14:paraId="13B38D27" w14:textId="77777777" w:rsidR="004462A0" w:rsidRPr="008912CF" w:rsidRDefault="004462A0" w:rsidP="00F675CF">
            <w:pPr>
              <w:pStyle w:val="In-texttable"/>
              <w:tabs>
                <w:tab w:val="decimal" w:pos="144"/>
              </w:tabs>
              <w:spacing w:line="240" w:lineRule="auto"/>
              <w:jc w:val="center"/>
              <w:rPr>
                <w:rFonts w:ascii="Times New Roman" w:hAnsi="Times New Roman"/>
                <w:sz w:val="22"/>
                <w:szCs w:val="22"/>
                <w:lang w:val="pt-PT"/>
              </w:rPr>
            </w:pPr>
          </w:p>
        </w:tc>
        <w:tc>
          <w:tcPr>
            <w:tcW w:w="1559" w:type="dxa"/>
          </w:tcPr>
          <w:p w14:paraId="6A3ABA9A" w14:textId="77777777" w:rsidR="004462A0" w:rsidRPr="008912CF" w:rsidRDefault="004462A0" w:rsidP="00F675CF">
            <w:pPr>
              <w:pStyle w:val="In-texttable"/>
              <w:tabs>
                <w:tab w:val="decimal" w:pos="95"/>
              </w:tabs>
              <w:spacing w:line="240" w:lineRule="auto"/>
              <w:jc w:val="center"/>
              <w:rPr>
                <w:rFonts w:ascii="Times New Roman" w:hAnsi="Times New Roman"/>
                <w:sz w:val="22"/>
                <w:szCs w:val="22"/>
                <w:lang w:val="pt-PT"/>
              </w:rPr>
            </w:pPr>
          </w:p>
        </w:tc>
      </w:tr>
      <w:tr w:rsidR="00A7162A" w14:paraId="585C4989" w14:textId="77777777" w:rsidTr="00F675CF">
        <w:trPr>
          <w:cantSplit/>
        </w:trPr>
        <w:tc>
          <w:tcPr>
            <w:tcW w:w="1069" w:type="dxa"/>
            <w:tcBorders>
              <w:right w:val="single" w:sz="6" w:space="0" w:color="auto"/>
            </w:tcBorders>
          </w:tcPr>
          <w:p w14:paraId="58665613" w14:textId="77777777" w:rsidR="004462A0" w:rsidRPr="008912CF" w:rsidRDefault="00615769" w:rsidP="00F675CF">
            <w:pPr>
              <w:pStyle w:val="In-texttable"/>
              <w:tabs>
                <w:tab w:val="left" w:pos="144"/>
              </w:tabs>
              <w:spacing w:line="240" w:lineRule="auto"/>
              <w:rPr>
                <w:rFonts w:ascii="Times New Roman" w:hAnsi="Times New Roman"/>
                <w:sz w:val="22"/>
                <w:szCs w:val="22"/>
                <w:lang w:val="pt-PT"/>
              </w:rPr>
            </w:pPr>
            <w:r w:rsidRPr="008912CF">
              <w:rPr>
                <w:rFonts w:ascii="Times New Roman" w:hAnsi="Times New Roman"/>
                <w:sz w:val="22"/>
                <w:szCs w:val="22"/>
                <w:lang w:val="pt-PT"/>
              </w:rPr>
              <w:tab/>
              <w:t>6 meses</w:t>
            </w:r>
          </w:p>
        </w:tc>
        <w:tc>
          <w:tcPr>
            <w:tcW w:w="1393" w:type="dxa"/>
            <w:tcBorders>
              <w:left w:val="single" w:sz="6" w:space="0" w:color="auto"/>
            </w:tcBorders>
          </w:tcPr>
          <w:p w14:paraId="6900FFA6" w14:textId="77777777" w:rsidR="004462A0" w:rsidRPr="008912CF" w:rsidRDefault="00615769" w:rsidP="00F675CF">
            <w:pPr>
              <w:pStyle w:val="In-texttable"/>
              <w:tabs>
                <w:tab w:val="decimal" w:pos="259"/>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6,7%</w:t>
            </w:r>
          </w:p>
        </w:tc>
        <w:tc>
          <w:tcPr>
            <w:tcW w:w="1417" w:type="dxa"/>
            <w:tcBorders>
              <w:right w:val="single" w:sz="6" w:space="0" w:color="auto"/>
            </w:tcBorders>
          </w:tcPr>
          <w:p w14:paraId="665C80F5" w14:textId="77777777" w:rsidR="004462A0" w:rsidRPr="008912CF" w:rsidRDefault="00615769" w:rsidP="00F675CF">
            <w:pPr>
              <w:pStyle w:val="In-texttable"/>
              <w:tabs>
                <w:tab w:val="decimal" w:pos="250"/>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52,4%</w:t>
            </w:r>
          </w:p>
        </w:tc>
        <w:tc>
          <w:tcPr>
            <w:tcW w:w="1071" w:type="dxa"/>
            <w:tcBorders>
              <w:left w:val="single" w:sz="6" w:space="0" w:color="auto"/>
            </w:tcBorders>
          </w:tcPr>
          <w:p w14:paraId="05CC284D" w14:textId="77777777" w:rsidR="004462A0" w:rsidRPr="008912CF" w:rsidRDefault="00615769" w:rsidP="00F675CF">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8,2%</w:t>
            </w:r>
          </w:p>
        </w:tc>
        <w:tc>
          <w:tcPr>
            <w:tcW w:w="1197" w:type="dxa"/>
            <w:tcBorders>
              <w:right w:val="single" w:sz="6" w:space="0" w:color="auto"/>
            </w:tcBorders>
          </w:tcPr>
          <w:p w14:paraId="0432B7AA" w14:textId="77777777" w:rsidR="004462A0" w:rsidRPr="008912CF" w:rsidRDefault="00615769" w:rsidP="00F675CF">
            <w:pPr>
              <w:pStyle w:val="In-texttable"/>
              <w:tabs>
                <w:tab w:val="decimal" w:pos="20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22,1%</w:t>
            </w:r>
          </w:p>
        </w:tc>
        <w:tc>
          <w:tcPr>
            <w:tcW w:w="1418" w:type="dxa"/>
            <w:tcBorders>
              <w:left w:val="single" w:sz="6" w:space="0" w:color="auto"/>
            </w:tcBorders>
          </w:tcPr>
          <w:p w14:paraId="28BCB63F" w14:textId="77777777" w:rsidR="004462A0" w:rsidRPr="008912CF" w:rsidRDefault="00615769" w:rsidP="00F675CF">
            <w:pPr>
              <w:pStyle w:val="In-texttable"/>
              <w:tabs>
                <w:tab w:val="decimal" w:pos="144"/>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9,5%</w:t>
            </w:r>
          </w:p>
        </w:tc>
        <w:tc>
          <w:tcPr>
            <w:tcW w:w="1559" w:type="dxa"/>
          </w:tcPr>
          <w:p w14:paraId="6AA85F48" w14:textId="77777777" w:rsidR="004462A0" w:rsidRPr="008912CF" w:rsidRDefault="00615769" w:rsidP="00F675CF">
            <w:pPr>
              <w:pStyle w:val="In-texttable"/>
              <w:tabs>
                <w:tab w:val="decimal" w:pos="9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39,1%</w:t>
            </w:r>
          </w:p>
        </w:tc>
      </w:tr>
      <w:tr w:rsidR="00A7162A" w14:paraId="0FDD0357" w14:textId="77777777" w:rsidTr="00F675CF">
        <w:trPr>
          <w:cantSplit/>
        </w:trPr>
        <w:tc>
          <w:tcPr>
            <w:tcW w:w="1069" w:type="dxa"/>
            <w:tcBorders>
              <w:right w:val="single" w:sz="6" w:space="0" w:color="auto"/>
            </w:tcBorders>
          </w:tcPr>
          <w:p w14:paraId="677DFAB0" w14:textId="77777777" w:rsidR="004462A0" w:rsidRPr="008912CF" w:rsidRDefault="00615769" w:rsidP="00F675CF">
            <w:pPr>
              <w:pStyle w:val="In-texttable"/>
              <w:tabs>
                <w:tab w:val="left" w:pos="144"/>
              </w:tabs>
              <w:spacing w:line="240" w:lineRule="auto"/>
              <w:rPr>
                <w:rFonts w:ascii="Times New Roman" w:hAnsi="Times New Roman"/>
                <w:sz w:val="22"/>
                <w:szCs w:val="22"/>
                <w:lang w:val="pt-PT"/>
              </w:rPr>
            </w:pPr>
            <w:r w:rsidRPr="008912CF">
              <w:rPr>
                <w:rFonts w:ascii="Times New Roman" w:hAnsi="Times New Roman"/>
                <w:sz w:val="22"/>
                <w:szCs w:val="22"/>
                <w:lang w:val="pt-PT"/>
              </w:rPr>
              <w:tab/>
              <w:t>12 meses</w:t>
            </w:r>
          </w:p>
        </w:tc>
        <w:tc>
          <w:tcPr>
            <w:tcW w:w="1393" w:type="dxa"/>
            <w:tcBorders>
              <w:left w:val="single" w:sz="6" w:space="0" w:color="auto"/>
            </w:tcBorders>
          </w:tcPr>
          <w:p w14:paraId="67071DAF" w14:textId="77777777" w:rsidR="004462A0" w:rsidRPr="008912CF" w:rsidRDefault="00615769" w:rsidP="00F675CF">
            <w:pPr>
              <w:pStyle w:val="In-texttable"/>
              <w:tabs>
                <w:tab w:val="decimal" w:pos="259"/>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417" w:type="dxa"/>
            <w:tcBorders>
              <w:right w:val="single" w:sz="6" w:space="0" w:color="auto"/>
            </w:tcBorders>
          </w:tcPr>
          <w:p w14:paraId="170AA40F" w14:textId="77777777" w:rsidR="004462A0" w:rsidRPr="008912CF" w:rsidRDefault="00615769" w:rsidP="00F675CF">
            <w:pPr>
              <w:pStyle w:val="In-texttable"/>
              <w:tabs>
                <w:tab w:val="decimal" w:pos="250"/>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071" w:type="dxa"/>
            <w:tcBorders>
              <w:left w:val="single" w:sz="6" w:space="0" w:color="auto"/>
            </w:tcBorders>
          </w:tcPr>
          <w:p w14:paraId="0E4492FE" w14:textId="77777777" w:rsidR="004462A0" w:rsidRPr="008912CF" w:rsidRDefault="00615769" w:rsidP="00F675CF">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197" w:type="dxa"/>
            <w:tcBorders>
              <w:right w:val="single" w:sz="6" w:space="0" w:color="auto"/>
            </w:tcBorders>
          </w:tcPr>
          <w:p w14:paraId="77C7CEF2" w14:textId="77777777" w:rsidR="004462A0" w:rsidRPr="008912CF" w:rsidRDefault="00615769" w:rsidP="00F675CF">
            <w:pPr>
              <w:pStyle w:val="In-texttable"/>
              <w:tabs>
                <w:tab w:val="decimal" w:pos="20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418" w:type="dxa"/>
            <w:tcBorders>
              <w:left w:val="single" w:sz="6" w:space="0" w:color="auto"/>
            </w:tcBorders>
          </w:tcPr>
          <w:p w14:paraId="475B0E5A" w14:textId="77777777" w:rsidR="004462A0" w:rsidRPr="008912CF" w:rsidRDefault="00615769" w:rsidP="00F675CF">
            <w:pPr>
              <w:pStyle w:val="In-texttable"/>
              <w:tabs>
                <w:tab w:val="decimal" w:pos="144"/>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9,5</w:t>
            </w:r>
            <w:r w:rsidR="009343EF">
              <w:rPr>
                <w:rFonts w:ascii="Times New Roman" w:hAnsi="Times New Roman"/>
                <w:sz w:val="22"/>
                <w:szCs w:val="22"/>
                <w:lang w:val="pt-PT"/>
              </w:rPr>
              <w:t>%</w:t>
            </w:r>
          </w:p>
        </w:tc>
        <w:tc>
          <w:tcPr>
            <w:tcW w:w="1559" w:type="dxa"/>
          </w:tcPr>
          <w:p w14:paraId="0B427707" w14:textId="77777777" w:rsidR="004462A0" w:rsidRPr="008912CF" w:rsidRDefault="00615769" w:rsidP="00F675CF">
            <w:pPr>
              <w:pStyle w:val="In-texttable"/>
              <w:tabs>
                <w:tab w:val="decimal" w:pos="9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41,5</w:t>
            </w:r>
            <w:r w:rsidR="009343EF">
              <w:rPr>
                <w:rFonts w:ascii="Times New Roman" w:hAnsi="Times New Roman"/>
                <w:sz w:val="22"/>
                <w:szCs w:val="22"/>
                <w:lang w:val="pt-PT"/>
              </w:rPr>
              <w:t>%</w:t>
            </w:r>
          </w:p>
        </w:tc>
      </w:tr>
      <w:tr w:rsidR="00A7162A" w14:paraId="4BD57E21" w14:textId="77777777" w:rsidTr="00F675CF">
        <w:trPr>
          <w:cantSplit/>
        </w:trPr>
        <w:tc>
          <w:tcPr>
            <w:tcW w:w="1069" w:type="dxa"/>
            <w:tcBorders>
              <w:right w:val="single" w:sz="6" w:space="0" w:color="auto"/>
            </w:tcBorders>
          </w:tcPr>
          <w:p w14:paraId="2CD5D222" w14:textId="77777777" w:rsidR="004462A0" w:rsidRPr="008912CF" w:rsidRDefault="00615769" w:rsidP="00F675CF">
            <w:pPr>
              <w:pStyle w:val="In-texttable"/>
              <w:tabs>
                <w:tab w:val="left" w:pos="144"/>
              </w:tabs>
              <w:spacing w:line="240" w:lineRule="auto"/>
              <w:rPr>
                <w:rFonts w:ascii="Times New Roman" w:hAnsi="Times New Roman"/>
                <w:sz w:val="22"/>
                <w:szCs w:val="22"/>
                <w:lang w:val="pt-PT"/>
              </w:rPr>
            </w:pPr>
            <w:r>
              <w:rPr>
                <w:noProof/>
                <w:lang w:val="en-GB" w:eastAsia="en-GB"/>
              </w:rPr>
              <mc:AlternateContent>
                <mc:Choice Requires="wps">
                  <w:drawing>
                    <wp:anchor distT="0" distB="0" distL="114300" distR="114300" simplePos="0" relativeHeight="251662336" behindDoc="0" locked="0" layoutInCell="0" allowOverlap="1" wp14:anchorId="374DB2D7" wp14:editId="3AD2B307">
                      <wp:simplePos x="0" y="0"/>
                      <wp:positionH relativeFrom="column">
                        <wp:posOffset>-4972050</wp:posOffset>
                      </wp:positionH>
                      <wp:positionV relativeFrom="paragraph">
                        <wp:posOffset>38735</wp:posOffset>
                      </wp:positionV>
                      <wp:extent cx="3543300" cy="342900"/>
                      <wp:effectExtent l="0" t="1905" r="4445"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FF14E" w14:textId="77777777" w:rsidR="000036F0" w:rsidRDefault="00615769" w:rsidP="004462A0">
                                  <w:r w:rsidRPr="00E06CAF">
                                    <w:rPr>
                                      <w:rFonts w:cs="Arial"/>
                                      <w:sz w:val="18"/>
                                      <w:szCs w:val="18"/>
                                    </w:rPr>
                                    <w:t>l</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74DB2D7" id="Text Box 68" o:spid="_x0000_s1030" type="#_x0000_t202" style="position:absolute;margin-left:-391.5pt;margin-top:3.05pt;width:279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" o:allowincell="f" stroked="f">
                      <v:textbox>
                        <w:txbxContent>
                          <w:p w14:paraId="007FF14E" w14:textId="77777777" w:rsidR="000036F0" w:rsidRDefault="00615769" w:rsidP="004462A0">
                            <w:r w:rsidRPr="00E06CAF">
                              <w:rPr>
                                <w:rFonts w:cs="Arial"/>
                                <w:sz w:val="18"/>
                                <w:szCs w:val="18"/>
                              </w:rPr>
                              <w:t>l</w:t>
                            </w:r>
                          </w:p>
                        </w:txbxContent>
                      </v:textbox>
                    </v:shape>
                  </w:pict>
                </mc:Fallback>
              </mc:AlternateContent>
            </w:r>
            <w:r w:rsidRPr="008912CF">
              <w:rPr>
                <w:rFonts w:ascii="Times New Roman" w:hAnsi="Times New Roman"/>
                <w:sz w:val="22"/>
                <w:szCs w:val="22"/>
                <w:lang w:val="pt-PT"/>
              </w:rPr>
              <w:t>ACR 70</w:t>
            </w:r>
          </w:p>
        </w:tc>
        <w:tc>
          <w:tcPr>
            <w:tcW w:w="1393" w:type="dxa"/>
            <w:tcBorders>
              <w:left w:val="single" w:sz="6" w:space="0" w:color="auto"/>
            </w:tcBorders>
          </w:tcPr>
          <w:p w14:paraId="21EB3EAA" w14:textId="77777777" w:rsidR="004462A0" w:rsidRPr="008912CF" w:rsidRDefault="004462A0" w:rsidP="00F675CF">
            <w:pPr>
              <w:pStyle w:val="In-texttable"/>
              <w:tabs>
                <w:tab w:val="decimal" w:pos="259"/>
              </w:tabs>
              <w:spacing w:line="240" w:lineRule="auto"/>
              <w:jc w:val="center"/>
              <w:rPr>
                <w:rFonts w:ascii="Times New Roman" w:hAnsi="Times New Roman"/>
                <w:sz w:val="22"/>
                <w:szCs w:val="22"/>
                <w:lang w:val="pt-PT"/>
              </w:rPr>
            </w:pPr>
          </w:p>
        </w:tc>
        <w:tc>
          <w:tcPr>
            <w:tcW w:w="1417" w:type="dxa"/>
            <w:tcBorders>
              <w:right w:val="single" w:sz="6" w:space="0" w:color="auto"/>
            </w:tcBorders>
          </w:tcPr>
          <w:p w14:paraId="58CFD134" w14:textId="77777777" w:rsidR="004462A0" w:rsidRPr="008912CF" w:rsidRDefault="004462A0" w:rsidP="00F675CF">
            <w:pPr>
              <w:pStyle w:val="In-texttable"/>
              <w:tabs>
                <w:tab w:val="decimal" w:pos="250"/>
              </w:tabs>
              <w:spacing w:line="240" w:lineRule="auto"/>
              <w:jc w:val="center"/>
              <w:rPr>
                <w:rFonts w:ascii="Times New Roman" w:hAnsi="Times New Roman"/>
                <w:sz w:val="22"/>
                <w:szCs w:val="22"/>
                <w:lang w:val="pt-PT"/>
              </w:rPr>
            </w:pPr>
          </w:p>
        </w:tc>
        <w:tc>
          <w:tcPr>
            <w:tcW w:w="1071" w:type="dxa"/>
            <w:tcBorders>
              <w:left w:val="single" w:sz="6" w:space="0" w:color="auto"/>
            </w:tcBorders>
          </w:tcPr>
          <w:p w14:paraId="3799A2BD" w14:textId="77777777" w:rsidR="004462A0" w:rsidRPr="008912CF" w:rsidRDefault="004462A0" w:rsidP="00F675CF">
            <w:pPr>
              <w:pStyle w:val="In-texttable"/>
              <w:spacing w:line="240" w:lineRule="auto"/>
              <w:jc w:val="center"/>
              <w:rPr>
                <w:rFonts w:ascii="Times New Roman" w:hAnsi="Times New Roman"/>
                <w:sz w:val="22"/>
                <w:szCs w:val="22"/>
                <w:lang w:val="pt-PT"/>
              </w:rPr>
            </w:pPr>
          </w:p>
        </w:tc>
        <w:tc>
          <w:tcPr>
            <w:tcW w:w="1197" w:type="dxa"/>
            <w:tcBorders>
              <w:right w:val="single" w:sz="6" w:space="0" w:color="auto"/>
            </w:tcBorders>
          </w:tcPr>
          <w:p w14:paraId="1C050740" w14:textId="77777777" w:rsidR="004462A0" w:rsidRPr="008912CF" w:rsidRDefault="004462A0" w:rsidP="00F675CF">
            <w:pPr>
              <w:pStyle w:val="In-texttable"/>
              <w:tabs>
                <w:tab w:val="decimal" w:pos="205"/>
              </w:tabs>
              <w:spacing w:line="240" w:lineRule="auto"/>
              <w:jc w:val="center"/>
              <w:rPr>
                <w:rFonts w:ascii="Times New Roman" w:hAnsi="Times New Roman"/>
                <w:sz w:val="22"/>
                <w:szCs w:val="22"/>
                <w:lang w:val="pt-PT"/>
              </w:rPr>
            </w:pPr>
          </w:p>
        </w:tc>
        <w:tc>
          <w:tcPr>
            <w:tcW w:w="1418" w:type="dxa"/>
            <w:tcBorders>
              <w:left w:val="single" w:sz="6" w:space="0" w:color="auto"/>
            </w:tcBorders>
          </w:tcPr>
          <w:p w14:paraId="07F3ECE2" w14:textId="77777777" w:rsidR="004462A0" w:rsidRPr="008912CF" w:rsidRDefault="004462A0" w:rsidP="00F675CF">
            <w:pPr>
              <w:pStyle w:val="In-texttable"/>
              <w:tabs>
                <w:tab w:val="decimal" w:pos="144"/>
              </w:tabs>
              <w:spacing w:line="240" w:lineRule="auto"/>
              <w:jc w:val="center"/>
              <w:rPr>
                <w:rFonts w:ascii="Times New Roman" w:hAnsi="Times New Roman"/>
                <w:sz w:val="22"/>
                <w:szCs w:val="22"/>
                <w:lang w:val="pt-PT"/>
              </w:rPr>
            </w:pPr>
          </w:p>
        </w:tc>
        <w:tc>
          <w:tcPr>
            <w:tcW w:w="1559" w:type="dxa"/>
          </w:tcPr>
          <w:p w14:paraId="33D34A48" w14:textId="77777777" w:rsidR="004462A0" w:rsidRPr="008912CF" w:rsidRDefault="004462A0" w:rsidP="00F675CF">
            <w:pPr>
              <w:pStyle w:val="In-texttable"/>
              <w:tabs>
                <w:tab w:val="decimal" w:pos="95"/>
              </w:tabs>
              <w:spacing w:line="240" w:lineRule="auto"/>
              <w:jc w:val="center"/>
              <w:rPr>
                <w:rFonts w:ascii="Times New Roman" w:hAnsi="Times New Roman"/>
                <w:sz w:val="22"/>
                <w:szCs w:val="22"/>
                <w:lang w:val="pt-PT"/>
              </w:rPr>
            </w:pPr>
          </w:p>
        </w:tc>
      </w:tr>
      <w:tr w:rsidR="00A7162A" w14:paraId="40EFFC7D" w14:textId="77777777" w:rsidTr="00F675CF">
        <w:trPr>
          <w:cantSplit/>
        </w:trPr>
        <w:tc>
          <w:tcPr>
            <w:tcW w:w="1069" w:type="dxa"/>
            <w:tcBorders>
              <w:right w:val="single" w:sz="6" w:space="0" w:color="auto"/>
            </w:tcBorders>
          </w:tcPr>
          <w:p w14:paraId="585486E3" w14:textId="77777777" w:rsidR="004462A0" w:rsidRPr="008912CF" w:rsidRDefault="00615769" w:rsidP="00F675CF">
            <w:pPr>
              <w:pStyle w:val="In-texttable"/>
              <w:tabs>
                <w:tab w:val="left" w:pos="144"/>
              </w:tabs>
              <w:spacing w:line="240" w:lineRule="auto"/>
              <w:rPr>
                <w:rFonts w:ascii="Times New Roman" w:hAnsi="Times New Roman"/>
                <w:sz w:val="22"/>
                <w:szCs w:val="22"/>
                <w:lang w:val="pt-PT"/>
              </w:rPr>
            </w:pPr>
            <w:r w:rsidRPr="008912CF">
              <w:rPr>
                <w:rFonts w:ascii="Times New Roman" w:hAnsi="Times New Roman"/>
                <w:sz w:val="22"/>
                <w:szCs w:val="22"/>
                <w:lang w:val="pt-PT"/>
              </w:rPr>
              <w:tab/>
              <w:t>6 meses</w:t>
            </w:r>
          </w:p>
        </w:tc>
        <w:tc>
          <w:tcPr>
            <w:tcW w:w="1393" w:type="dxa"/>
            <w:tcBorders>
              <w:left w:val="single" w:sz="6" w:space="0" w:color="auto"/>
            </w:tcBorders>
          </w:tcPr>
          <w:p w14:paraId="3DC79692" w14:textId="77777777" w:rsidR="004462A0" w:rsidRPr="008912CF" w:rsidRDefault="00615769" w:rsidP="00F675CF">
            <w:pPr>
              <w:pStyle w:val="In-texttable"/>
              <w:tabs>
                <w:tab w:val="decimal" w:pos="259"/>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3,3%</w:t>
            </w:r>
          </w:p>
        </w:tc>
        <w:tc>
          <w:tcPr>
            <w:tcW w:w="1417" w:type="dxa"/>
            <w:tcBorders>
              <w:right w:val="single" w:sz="6" w:space="0" w:color="auto"/>
            </w:tcBorders>
          </w:tcPr>
          <w:p w14:paraId="2CE82C4B" w14:textId="77777777" w:rsidR="004462A0" w:rsidRPr="008912CF" w:rsidRDefault="00615769" w:rsidP="00F675CF">
            <w:pPr>
              <w:pStyle w:val="In-texttable"/>
              <w:tabs>
                <w:tab w:val="decimal" w:pos="250"/>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23,8%</w:t>
            </w:r>
          </w:p>
        </w:tc>
        <w:tc>
          <w:tcPr>
            <w:tcW w:w="1071" w:type="dxa"/>
            <w:tcBorders>
              <w:left w:val="single" w:sz="6" w:space="0" w:color="auto"/>
            </w:tcBorders>
          </w:tcPr>
          <w:p w14:paraId="61F7F723" w14:textId="77777777" w:rsidR="004462A0" w:rsidRPr="008912CF" w:rsidRDefault="00615769" w:rsidP="00F675CF">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1,8%</w:t>
            </w:r>
          </w:p>
        </w:tc>
        <w:tc>
          <w:tcPr>
            <w:tcW w:w="1197" w:type="dxa"/>
            <w:tcBorders>
              <w:right w:val="single" w:sz="6" w:space="0" w:color="auto"/>
            </w:tcBorders>
          </w:tcPr>
          <w:p w14:paraId="00D0D4E8" w14:textId="77777777" w:rsidR="004462A0" w:rsidRPr="008912CF" w:rsidRDefault="00615769" w:rsidP="00F675CF">
            <w:pPr>
              <w:pStyle w:val="In-texttable"/>
              <w:tabs>
                <w:tab w:val="decimal" w:pos="20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12,4%</w:t>
            </w:r>
          </w:p>
        </w:tc>
        <w:tc>
          <w:tcPr>
            <w:tcW w:w="1418" w:type="dxa"/>
            <w:tcBorders>
              <w:left w:val="single" w:sz="6" w:space="0" w:color="auto"/>
            </w:tcBorders>
          </w:tcPr>
          <w:p w14:paraId="66847DEE" w14:textId="77777777" w:rsidR="004462A0" w:rsidRPr="008912CF" w:rsidRDefault="00615769" w:rsidP="00F675CF">
            <w:pPr>
              <w:pStyle w:val="In-texttable"/>
              <w:tabs>
                <w:tab w:val="decimal" w:pos="144"/>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2,5%</w:t>
            </w:r>
          </w:p>
        </w:tc>
        <w:tc>
          <w:tcPr>
            <w:tcW w:w="1559" w:type="dxa"/>
          </w:tcPr>
          <w:p w14:paraId="03DFEF67" w14:textId="77777777" w:rsidR="004462A0" w:rsidRPr="008912CF" w:rsidRDefault="00615769" w:rsidP="00F675CF">
            <w:pPr>
              <w:pStyle w:val="In-texttable"/>
              <w:tabs>
                <w:tab w:val="decimal" w:pos="9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20,8%</w:t>
            </w:r>
          </w:p>
        </w:tc>
      </w:tr>
      <w:tr w:rsidR="00A7162A" w14:paraId="53F99FA7" w14:textId="77777777" w:rsidTr="00F675CF">
        <w:trPr>
          <w:cantSplit/>
        </w:trPr>
        <w:tc>
          <w:tcPr>
            <w:tcW w:w="1069" w:type="dxa"/>
            <w:tcBorders>
              <w:bottom w:val="single" w:sz="6" w:space="0" w:color="auto"/>
              <w:right w:val="single" w:sz="6" w:space="0" w:color="auto"/>
            </w:tcBorders>
          </w:tcPr>
          <w:p w14:paraId="51B6187B" w14:textId="77777777" w:rsidR="004462A0" w:rsidRPr="008912CF" w:rsidRDefault="00615769" w:rsidP="00F675CF">
            <w:pPr>
              <w:pStyle w:val="In-texttable"/>
              <w:tabs>
                <w:tab w:val="left" w:pos="144"/>
              </w:tabs>
              <w:spacing w:line="240" w:lineRule="auto"/>
              <w:rPr>
                <w:rFonts w:ascii="Times New Roman" w:hAnsi="Times New Roman"/>
                <w:sz w:val="22"/>
                <w:szCs w:val="22"/>
                <w:lang w:val="pt-PT"/>
              </w:rPr>
            </w:pPr>
            <w:r w:rsidRPr="008912CF">
              <w:rPr>
                <w:rFonts w:ascii="Times New Roman" w:hAnsi="Times New Roman"/>
                <w:sz w:val="22"/>
                <w:szCs w:val="22"/>
                <w:lang w:val="pt-PT"/>
              </w:rPr>
              <w:tab/>
              <w:t>12 meses</w:t>
            </w:r>
          </w:p>
        </w:tc>
        <w:tc>
          <w:tcPr>
            <w:tcW w:w="1393" w:type="dxa"/>
            <w:tcBorders>
              <w:left w:val="single" w:sz="6" w:space="0" w:color="auto"/>
              <w:bottom w:val="single" w:sz="6" w:space="0" w:color="auto"/>
            </w:tcBorders>
          </w:tcPr>
          <w:p w14:paraId="51D6150D" w14:textId="77777777" w:rsidR="004462A0" w:rsidRPr="008912CF" w:rsidRDefault="00615769" w:rsidP="00F675CF">
            <w:pPr>
              <w:pStyle w:val="In-texttable"/>
              <w:tabs>
                <w:tab w:val="decimal" w:pos="259"/>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417" w:type="dxa"/>
            <w:tcBorders>
              <w:bottom w:val="single" w:sz="6" w:space="0" w:color="auto"/>
              <w:right w:val="single" w:sz="6" w:space="0" w:color="auto"/>
            </w:tcBorders>
          </w:tcPr>
          <w:p w14:paraId="1CF282EB" w14:textId="77777777" w:rsidR="004462A0" w:rsidRPr="008912CF" w:rsidRDefault="00615769" w:rsidP="00F675CF">
            <w:pPr>
              <w:pStyle w:val="In-texttable"/>
              <w:tabs>
                <w:tab w:val="decimal" w:pos="250"/>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071" w:type="dxa"/>
            <w:tcBorders>
              <w:left w:val="single" w:sz="6" w:space="0" w:color="auto"/>
              <w:bottom w:val="single" w:sz="6" w:space="0" w:color="auto"/>
            </w:tcBorders>
          </w:tcPr>
          <w:p w14:paraId="1E953A21" w14:textId="77777777" w:rsidR="004462A0" w:rsidRPr="008912CF" w:rsidRDefault="00615769" w:rsidP="00F675CF">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197" w:type="dxa"/>
            <w:tcBorders>
              <w:bottom w:val="single" w:sz="6" w:space="0" w:color="auto"/>
              <w:right w:val="single" w:sz="6" w:space="0" w:color="auto"/>
            </w:tcBorders>
          </w:tcPr>
          <w:p w14:paraId="5DE3C5C6" w14:textId="77777777" w:rsidR="004462A0" w:rsidRPr="008912CF" w:rsidRDefault="00615769" w:rsidP="00F675CF">
            <w:pPr>
              <w:pStyle w:val="In-texttable"/>
              <w:tabs>
                <w:tab w:val="decimal" w:pos="20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418" w:type="dxa"/>
            <w:tcBorders>
              <w:left w:val="single" w:sz="6" w:space="0" w:color="auto"/>
              <w:bottom w:val="single" w:sz="6" w:space="0" w:color="auto"/>
            </w:tcBorders>
          </w:tcPr>
          <w:p w14:paraId="06272934" w14:textId="77777777" w:rsidR="004462A0" w:rsidRPr="008912CF" w:rsidRDefault="00615769" w:rsidP="00F675CF">
            <w:pPr>
              <w:pStyle w:val="In-texttable"/>
              <w:tabs>
                <w:tab w:val="decimal" w:pos="144"/>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4,5%</w:t>
            </w:r>
          </w:p>
        </w:tc>
        <w:tc>
          <w:tcPr>
            <w:tcW w:w="1559" w:type="dxa"/>
            <w:tcBorders>
              <w:bottom w:val="single" w:sz="6" w:space="0" w:color="auto"/>
            </w:tcBorders>
          </w:tcPr>
          <w:p w14:paraId="2764756D" w14:textId="77777777" w:rsidR="004462A0" w:rsidRPr="008912CF" w:rsidRDefault="00615769" w:rsidP="00F675CF">
            <w:pPr>
              <w:pStyle w:val="In-texttable"/>
              <w:tabs>
                <w:tab w:val="decimal" w:pos="9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23,2%</w:t>
            </w:r>
          </w:p>
        </w:tc>
      </w:tr>
      <w:tr w:rsidR="00A7162A" w14:paraId="7BBC01A5" w14:textId="77777777" w:rsidTr="00F675CF">
        <w:trPr>
          <w:cantSplit/>
        </w:trPr>
        <w:tc>
          <w:tcPr>
            <w:tcW w:w="9124" w:type="dxa"/>
            <w:gridSpan w:val="7"/>
          </w:tcPr>
          <w:p w14:paraId="2A6EA754" w14:textId="77777777" w:rsidR="004462A0" w:rsidRPr="008912CF" w:rsidRDefault="00615769" w:rsidP="00F675CF">
            <w:pPr>
              <w:pStyle w:val="In-textfootnote"/>
              <w:spacing w:before="0" w:line="240" w:lineRule="auto"/>
              <w:ind w:left="144" w:hanging="144"/>
              <w:rPr>
                <w:rFonts w:ascii="Times New Roman" w:hAnsi="Times New Roman"/>
                <w:sz w:val="22"/>
                <w:szCs w:val="22"/>
                <w:lang w:val="pt-PT"/>
              </w:rPr>
            </w:pPr>
            <w:r w:rsidRPr="008912CF">
              <w:rPr>
                <w:rFonts w:ascii="Times New Roman" w:hAnsi="Times New Roman"/>
                <w:sz w:val="22"/>
                <w:szCs w:val="22"/>
                <w:vertAlign w:val="superscript"/>
                <w:lang w:val="pt-PT"/>
              </w:rPr>
              <w:t>a</w:t>
            </w:r>
            <w:r w:rsidRPr="008912CF">
              <w:rPr>
                <w:rFonts w:ascii="Times New Roman" w:hAnsi="Times New Roman"/>
                <w:sz w:val="22"/>
                <w:szCs w:val="22"/>
                <w:lang w:val="pt-PT"/>
              </w:rPr>
              <w:tab/>
              <w:t xml:space="preserve">Estudo AR I na semana 24, Estudo AR II na semana 26 e Estudo AR III nas semanas 24 e 52 </w:t>
            </w:r>
          </w:p>
          <w:p w14:paraId="72161D4D" w14:textId="77777777" w:rsidR="004462A0" w:rsidRPr="008912CF" w:rsidRDefault="00615769" w:rsidP="00F675CF">
            <w:pPr>
              <w:pStyle w:val="In-textfootnote"/>
              <w:spacing w:before="0" w:line="240" w:lineRule="auto"/>
              <w:ind w:left="144" w:hanging="144"/>
              <w:rPr>
                <w:rFonts w:ascii="Times New Roman" w:hAnsi="Times New Roman"/>
                <w:sz w:val="22"/>
                <w:szCs w:val="22"/>
                <w:lang w:val="pt-PT"/>
              </w:rPr>
            </w:pPr>
            <w:r w:rsidRPr="008912CF">
              <w:rPr>
                <w:rFonts w:ascii="Times New Roman" w:hAnsi="Times New Roman"/>
                <w:sz w:val="22"/>
                <w:szCs w:val="22"/>
                <w:vertAlign w:val="superscript"/>
                <w:lang w:val="pt-PT"/>
              </w:rPr>
              <w:t>b</w:t>
            </w:r>
            <w:r w:rsidRPr="008912CF">
              <w:rPr>
                <w:rFonts w:ascii="Times New Roman" w:hAnsi="Times New Roman"/>
                <w:sz w:val="22"/>
                <w:szCs w:val="22"/>
                <w:lang w:val="pt-PT"/>
              </w:rPr>
              <w:tab/>
              <w:t xml:space="preserve">40 mg de Humira administrados em semanas alternadas </w:t>
            </w:r>
          </w:p>
          <w:p w14:paraId="556F005E" w14:textId="77777777" w:rsidR="004462A0" w:rsidRPr="008912CF" w:rsidRDefault="00615769" w:rsidP="00F675CF">
            <w:pPr>
              <w:pStyle w:val="In-textfootnote"/>
              <w:spacing w:before="0" w:line="240" w:lineRule="auto"/>
              <w:ind w:left="144" w:hanging="144"/>
              <w:rPr>
                <w:rFonts w:ascii="Times New Roman" w:hAnsi="Times New Roman"/>
                <w:sz w:val="22"/>
                <w:szCs w:val="22"/>
                <w:lang w:val="pt-PT"/>
              </w:rPr>
            </w:pPr>
            <w:r w:rsidRPr="008912CF">
              <w:rPr>
                <w:rFonts w:ascii="Times New Roman" w:hAnsi="Times New Roman"/>
                <w:sz w:val="22"/>
                <w:szCs w:val="22"/>
                <w:vertAlign w:val="superscript"/>
                <w:lang w:val="pt-PT"/>
              </w:rPr>
              <w:t>c</w:t>
            </w:r>
            <w:r w:rsidRPr="008912CF">
              <w:rPr>
                <w:rFonts w:ascii="Times New Roman" w:hAnsi="Times New Roman"/>
                <w:sz w:val="22"/>
                <w:szCs w:val="22"/>
                <w:lang w:val="pt-PT"/>
              </w:rPr>
              <w:t xml:space="preserve"> MTX = metotrexato</w:t>
            </w:r>
          </w:p>
          <w:p w14:paraId="1E6DF77C" w14:textId="77777777" w:rsidR="004462A0" w:rsidRPr="008912CF" w:rsidRDefault="00615769" w:rsidP="00F675CF">
            <w:pPr>
              <w:pStyle w:val="In-textfootnote"/>
              <w:spacing w:before="0" w:line="240" w:lineRule="auto"/>
              <w:ind w:left="144" w:hanging="144"/>
              <w:rPr>
                <w:rFonts w:ascii="Times New Roman" w:hAnsi="Times New Roman"/>
                <w:sz w:val="22"/>
                <w:szCs w:val="22"/>
                <w:lang w:val="pt-PT"/>
              </w:rPr>
            </w:pPr>
            <w:r w:rsidRPr="008912CF">
              <w:rPr>
                <w:rFonts w:ascii="Times New Roman" w:hAnsi="Times New Roman"/>
                <w:sz w:val="22"/>
                <w:szCs w:val="22"/>
                <w:lang w:val="pt-PT"/>
              </w:rPr>
              <w:t xml:space="preserve">**p &lt; 0,01, Humira </w:t>
            </w:r>
            <w:r w:rsidRPr="008912CF">
              <w:rPr>
                <w:rFonts w:ascii="Times New Roman" w:hAnsi="Times New Roman"/>
                <w:i/>
                <w:iCs/>
                <w:sz w:val="22"/>
                <w:szCs w:val="22"/>
                <w:lang w:val="pt-PT"/>
              </w:rPr>
              <w:t xml:space="preserve">versus </w:t>
            </w:r>
            <w:r w:rsidRPr="008912CF">
              <w:rPr>
                <w:rFonts w:ascii="Times New Roman" w:hAnsi="Times New Roman"/>
                <w:sz w:val="22"/>
                <w:szCs w:val="22"/>
                <w:lang w:val="pt-PT"/>
              </w:rPr>
              <w:t>placebo</w:t>
            </w:r>
          </w:p>
        </w:tc>
      </w:tr>
    </w:tbl>
    <w:p w14:paraId="76982095" w14:textId="77777777" w:rsidR="004462A0" w:rsidRPr="008912CF" w:rsidRDefault="004462A0" w:rsidP="004462A0">
      <w:pPr>
        <w:rPr>
          <w:sz w:val="22"/>
          <w:szCs w:val="22"/>
        </w:rPr>
      </w:pPr>
    </w:p>
    <w:p w14:paraId="4526E7E5" w14:textId="77777777" w:rsidR="004462A0" w:rsidRPr="008912CF" w:rsidRDefault="00615769" w:rsidP="004462A0">
      <w:pPr>
        <w:rPr>
          <w:sz w:val="22"/>
          <w:szCs w:val="22"/>
        </w:rPr>
      </w:pPr>
      <w:r w:rsidRPr="008912CF">
        <w:rPr>
          <w:sz w:val="22"/>
          <w:szCs w:val="22"/>
        </w:rPr>
        <w:t xml:space="preserve">Nos estudos AR I-IV, todos os componentes individuais dos critérios de resposta ACR (número de articulações com edema e hipersensibilidade, avaliação pelo médico e pelo doente da atividade da doença e da dor, pontuação do índice de incapacidade (HAQ) e valores PCR (mg/dl)) registaram melhoria nas semanas 24 ou 26 relativamente ao placebo. No estudo AR III, estas melhorias mantiveram-se durante 52 semanas. </w:t>
      </w:r>
    </w:p>
    <w:p w14:paraId="009B0819" w14:textId="77777777" w:rsidR="004462A0" w:rsidRPr="008912CF" w:rsidRDefault="004462A0" w:rsidP="004462A0">
      <w:pPr>
        <w:rPr>
          <w:sz w:val="22"/>
          <w:szCs w:val="22"/>
        </w:rPr>
      </w:pPr>
    </w:p>
    <w:p w14:paraId="56925AA2" w14:textId="77777777" w:rsidR="004462A0" w:rsidRPr="008912CF" w:rsidRDefault="00615769" w:rsidP="004462A0">
      <w:pPr>
        <w:rPr>
          <w:sz w:val="22"/>
          <w:szCs w:val="22"/>
        </w:rPr>
      </w:pPr>
      <w:r w:rsidRPr="008912CF">
        <w:rPr>
          <w:sz w:val="22"/>
          <w:szCs w:val="22"/>
        </w:rPr>
        <w:t>Na extensão de fase aberta do estudo AR III, a maioria dos doentes</w:t>
      </w:r>
      <w:r w:rsidRPr="008912CF">
        <w:t xml:space="preserve"> </w:t>
      </w:r>
      <w:r w:rsidRPr="008912CF">
        <w:rPr>
          <w:sz w:val="22"/>
          <w:szCs w:val="22"/>
        </w:rPr>
        <w:t xml:space="preserve">que foram respondedores ACR mantiveram a resposta quando acompanhados até 10 anos. Dos 207 doentes que foram </w:t>
      </w:r>
      <w:r w:rsidR="0013275C">
        <w:rPr>
          <w:sz w:val="22"/>
          <w:szCs w:val="22"/>
        </w:rPr>
        <w:t>aleatorizado</w:t>
      </w:r>
      <w:r w:rsidRPr="008912CF">
        <w:rPr>
          <w:sz w:val="22"/>
          <w:szCs w:val="22"/>
        </w:rPr>
        <w:t>s com Humira 40 mg em semanas alternadas, 114 doentes continuaram com Humira 40 mg, em semanas alternadas, durante 5 anos. Entre estes, 86 doentes (75,4</w:t>
      </w:r>
      <w:r w:rsidR="009343EF">
        <w:rPr>
          <w:sz w:val="22"/>
          <w:szCs w:val="22"/>
        </w:rPr>
        <w:t>%</w:t>
      </w:r>
      <w:r w:rsidRPr="008912CF">
        <w:rPr>
          <w:sz w:val="22"/>
          <w:szCs w:val="22"/>
        </w:rPr>
        <w:t>) obtiveram uma resposta ACR 20; 72 doentes (63,2</w:t>
      </w:r>
      <w:r w:rsidR="009343EF">
        <w:rPr>
          <w:sz w:val="22"/>
          <w:szCs w:val="22"/>
        </w:rPr>
        <w:t>%</w:t>
      </w:r>
      <w:r w:rsidRPr="008912CF">
        <w:rPr>
          <w:sz w:val="22"/>
          <w:szCs w:val="22"/>
        </w:rPr>
        <w:t>) obtiveram uma resposta ACR 50; e 41 doentes (36</w:t>
      </w:r>
      <w:r w:rsidR="009343EF">
        <w:rPr>
          <w:sz w:val="22"/>
          <w:szCs w:val="22"/>
        </w:rPr>
        <w:t>%</w:t>
      </w:r>
      <w:r w:rsidRPr="008912CF">
        <w:rPr>
          <w:sz w:val="22"/>
          <w:szCs w:val="22"/>
        </w:rPr>
        <w:t>) obtiveram uma resposta ACR 70. Dos 207 doentes, 81 doentes continuaram com Humira 40</w:t>
      </w:r>
      <w:r>
        <w:rPr>
          <w:sz w:val="22"/>
          <w:szCs w:val="22"/>
        </w:rPr>
        <w:t> </w:t>
      </w:r>
      <w:r w:rsidRPr="008912CF">
        <w:rPr>
          <w:sz w:val="22"/>
          <w:szCs w:val="22"/>
        </w:rPr>
        <w:t>mg, em semanas alternadas, durante 10 anos. Entre estes, 64 doentes (79,0%) obtiveram uma resposta ACR 20; 56 doentes (69,1</w:t>
      </w:r>
      <w:r w:rsidR="009343EF">
        <w:rPr>
          <w:sz w:val="22"/>
          <w:szCs w:val="22"/>
        </w:rPr>
        <w:t>%</w:t>
      </w:r>
      <w:r w:rsidRPr="008912CF">
        <w:rPr>
          <w:sz w:val="22"/>
          <w:szCs w:val="22"/>
        </w:rPr>
        <w:t>) obtiveram uma resposta ACR 50; e 43 doentes (53,1</w:t>
      </w:r>
      <w:r w:rsidR="009343EF">
        <w:rPr>
          <w:sz w:val="22"/>
          <w:szCs w:val="22"/>
        </w:rPr>
        <w:t>%</w:t>
      </w:r>
      <w:r w:rsidRPr="008912CF">
        <w:rPr>
          <w:sz w:val="22"/>
          <w:szCs w:val="22"/>
        </w:rPr>
        <w:t>) obtiveram uma resposta ACR 70.</w:t>
      </w:r>
    </w:p>
    <w:p w14:paraId="47ABD17E" w14:textId="77777777" w:rsidR="004462A0" w:rsidRPr="008912CF" w:rsidRDefault="004462A0" w:rsidP="004462A0">
      <w:pPr>
        <w:rPr>
          <w:sz w:val="22"/>
          <w:szCs w:val="22"/>
        </w:rPr>
      </w:pPr>
    </w:p>
    <w:p w14:paraId="2590AF82" w14:textId="77777777" w:rsidR="004462A0" w:rsidRPr="008912CF" w:rsidRDefault="00615769" w:rsidP="004462A0">
      <w:pPr>
        <w:rPr>
          <w:sz w:val="22"/>
          <w:szCs w:val="22"/>
        </w:rPr>
      </w:pPr>
      <w:r w:rsidRPr="008912CF">
        <w:rPr>
          <w:sz w:val="22"/>
          <w:szCs w:val="22"/>
        </w:rPr>
        <w:t>No estudo AR IV, a resposta ACR 20 dos doentes tratados com Humira em associação com cuidados padrão foi superior à registada nos doentes tratados com placebo em associação com cuidados padrão, sendo a diferença estatisticamente significativa (p &lt; 0,001).</w:t>
      </w:r>
    </w:p>
    <w:p w14:paraId="3AA9D4CF" w14:textId="77777777" w:rsidR="004462A0" w:rsidRPr="008912CF" w:rsidRDefault="004462A0" w:rsidP="004462A0">
      <w:pPr>
        <w:pStyle w:val="Corpodetexto1"/>
        <w:tabs>
          <w:tab w:val="clear" w:pos="1152"/>
          <w:tab w:val="clear" w:pos="1872"/>
        </w:tabs>
        <w:spacing w:after="0" w:line="240" w:lineRule="auto"/>
        <w:ind w:left="0"/>
        <w:jc w:val="left"/>
        <w:rPr>
          <w:sz w:val="22"/>
          <w:szCs w:val="22"/>
          <w:lang w:val="pt-PT"/>
        </w:rPr>
      </w:pPr>
    </w:p>
    <w:p w14:paraId="2055E716" w14:textId="77777777" w:rsidR="004462A0" w:rsidRPr="008912CF" w:rsidRDefault="00615769" w:rsidP="004462A0">
      <w:pPr>
        <w:rPr>
          <w:sz w:val="22"/>
          <w:szCs w:val="22"/>
        </w:rPr>
      </w:pPr>
      <w:r w:rsidRPr="008912CF">
        <w:rPr>
          <w:sz w:val="22"/>
          <w:szCs w:val="22"/>
        </w:rPr>
        <w:t>Nos estudos AR I-IV, os doentes tratados com Humira atingiram logo após uma a duas semanas a seguir ao início do tratamento respostas ACR 20 e 50 estatisticamente significativas em relação ao placebo.</w:t>
      </w:r>
    </w:p>
    <w:p w14:paraId="1A8F0153" w14:textId="77777777" w:rsidR="004462A0" w:rsidRPr="008912CF" w:rsidRDefault="004462A0" w:rsidP="004462A0">
      <w:pPr>
        <w:rPr>
          <w:sz w:val="22"/>
          <w:szCs w:val="22"/>
        </w:rPr>
      </w:pPr>
    </w:p>
    <w:p w14:paraId="7B3287D1" w14:textId="77777777" w:rsidR="004462A0" w:rsidRPr="008912CF" w:rsidRDefault="00615769" w:rsidP="004462A0">
      <w:pPr>
        <w:rPr>
          <w:sz w:val="22"/>
          <w:szCs w:val="22"/>
        </w:rPr>
      </w:pPr>
      <w:r w:rsidRPr="008912CF">
        <w:rPr>
          <w:sz w:val="22"/>
          <w:szCs w:val="22"/>
        </w:rPr>
        <w:t xml:space="preserve">No estudo AR V em doentes com artrite reumatoide precoce não tratados previamente com metotrexato, a associação terapêutica Humira e metotrexato originou respostas ACR mais rápidas e significativamente superiores do que metotrexato e Humira em monoterapia na Semana 52, sendo as respostas mantidas até à Semana 104 (ver Tabela </w:t>
      </w:r>
      <w:r w:rsidR="00E549E4">
        <w:rPr>
          <w:sz w:val="22"/>
          <w:szCs w:val="22"/>
        </w:rPr>
        <w:t>9</w:t>
      </w:r>
      <w:r w:rsidRPr="008912CF">
        <w:rPr>
          <w:sz w:val="22"/>
          <w:szCs w:val="22"/>
        </w:rPr>
        <w:t>).</w:t>
      </w:r>
    </w:p>
    <w:p w14:paraId="5C9165BE" w14:textId="77777777" w:rsidR="004462A0" w:rsidRPr="008912CF" w:rsidRDefault="004462A0" w:rsidP="004462A0">
      <w:pPr>
        <w:keepNex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1718"/>
        <w:gridCol w:w="1320"/>
        <w:gridCol w:w="1238"/>
        <w:gridCol w:w="1658"/>
        <w:gridCol w:w="1100"/>
        <w:gridCol w:w="1173"/>
        <w:gridCol w:w="1210"/>
        <w:gridCol w:w="12"/>
      </w:tblGrid>
      <w:tr w:rsidR="00A7162A" w14:paraId="10F60568" w14:textId="77777777" w:rsidTr="00F675CF">
        <w:trPr>
          <w:gridBefore w:val="1"/>
          <w:wBefore w:w="6" w:type="dxa"/>
          <w:cantSplit/>
          <w:jc w:val="center"/>
        </w:trPr>
        <w:tc>
          <w:tcPr>
            <w:tcW w:w="9429" w:type="dxa"/>
            <w:gridSpan w:val="8"/>
            <w:tcBorders>
              <w:top w:val="nil"/>
              <w:left w:val="nil"/>
              <w:bottom w:val="nil"/>
              <w:right w:val="nil"/>
            </w:tcBorders>
            <w:vAlign w:val="center"/>
          </w:tcPr>
          <w:p w14:paraId="50F91DF0" w14:textId="77777777" w:rsidR="004462A0" w:rsidRPr="008912CF" w:rsidRDefault="00615769" w:rsidP="00F675CF">
            <w:pPr>
              <w:pStyle w:val="BodyText"/>
              <w:keepNext/>
              <w:tabs>
                <w:tab w:val="left" w:pos="3600"/>
                <w:tab w:val="center" w:pos="5760"/>
              </w:tabs>
              <w:jc w:val="center"/>
              <w:rPr>
                <w:b/>
                <w:bCs/>
              </w:rPr>
            </w:pPr>
            <w:r w:rsidRPr="008912CF">
              <w:rPr>
                <w:b/>
                <w:bCs/>
                <w:sz w:val="22"/>
                <w:szCs w:val="22"/>
              </w:rPr>
              <w:t xml:space="preserve">Tabela </w:t>
            </w:r>
            <w:r w:rsidR="00E549E4">
              <w:rPr>
                <w:b/>
                <w:bCs/>
                <w:sz w:val="22"/>
                <w:szCs w:val="22"/>
              </w:rPr>
              <w:t>9</w:t>
            </w:r>
          </w:p>
          <w:p w14:paraId="7FFE59F3" w14:textId="77777777" w:rsidR="004462A0" w:rsidRPr="008912CF" w:rsidRDefault="00615769" w:rsidP="00F675CF">
            <w:pPr>
              <w:pStyle w:val="BodyText"/>
              <w:keepNext/>
              <w:tabs>
                <w:tab w:val="left" w:pos="3600"/>
                <w:tab w:val="center" w:pos="5760"/>
              </w:tabs>
              <w:jc w:val="center"/>
              <w:rPr>
                <w:b/>
                <w:bCs/>
              </w:rPr>
            </w:pPr>
            <w:r w:rsidRPr="008912CF">
              <w:rPr>
                <w:b/>
                <w:bCs/>
                <w:sz w:val="22"/>
                <w:szCs w:val="22"/>
              </w:rPr>
              <w:t>Respostas ACR no Estudo AR V</w:t>
            </w:r>
          </w:p>
          <w:p w14:paraId="5BCDB058" w14:textId="77777777" w:rsidR="004462A0" w:rsidRPr="008912CF" w:rsidRDefault="00615769" w:rsidP="00F675CF">
            <w:pPr>
              <w:pStyle w:val="BodyText"/>
              <w:keepNext/>
              <w:tabs>
                <w:tab w:val="left" w:pos="3600"/>
                <w:tab w:val="center" w:pos="5760"/>
              </w:tabs>
              <w:jc w:val="center"/>
              <w:rPr>
                <w:bCs/>
                <w:i/>
                <w:caps/>
              </w:rPr>
            </w:pPr>
            <w:r w:rsidRPr="008912CF">
              <w:rPr>
                <w:b/>
                <w:bCs/>
                <w:sz w:val="22"/>
                <w:szCs w:val="22"/>
              </w:rPr>
              <w:t>(percentagem de doentes</w:t>
            </w:r>
            <w:r w:rsidRPr="008912CF">
              <w:rPr>
                <w:b/>
                <w:bCs/>
                <w:caps/>
                <w:sz w:val="22"/>
                <w:szCs w:val="22"/>
              </w:rPr>
              <w:t>)</w:t>
            </w:r>
          </w:p>
          <w:p w14:paraId="7CF2FD8D" w14:textId="77777777" w:rsidR="004462A0" w:rsidRPr="008912CF" w:rsidRDefault="004462A0" w:rsidP="00F675CF">
            <w:pPr>
              <w:pStyle w:val="BodyText"/>
              <w:keepNext/>
              <w:tabs>
                <w:tab w:val="left" w:pos="3600"/>
                <w:tab w:val="center" w:pos="5760"/>
              </w:tabs>
              <w:jc w:val="center"/>
              <w:rPr>
                <w:bCs/>
                <w:i/>
              </w:rPr>
            </w:pPr>
          </w:p>
        </w:tc>
      </w:tr>
      <w:tr w:rsidR="00A7162A" w14:paraId="7D5CD6C0" w14:textId="77777777" w:rsidTr="00F675CF">
        <w:trPr>
          <w:gridAfter w:val="1"/>
          <w:wAfter w:w="12" w:type="dxa"/>
          <w:cantSplit/>
          <w:jc w:val="center"/>
        </w:trPr>
        <w:tc>
          <w:tcPr>
            <w:tcW w:w="1724" w:type="dxa"/>
            <w:gridSpan w:val="2"/>
            <w:vAlign w:val="center"/>
          </w:tcPr>
          <w:p w14:paraId="493A31EF" w14:textId="77777777" w:rsidR="004462A0" w:rsidRPr="008912CF" w:rsidRDefault="00615769" w:rsidP="00F675CF">
            <w:pPr>
              <w:keepNext/>
              <w:rPr>
                <w:b/>
                <w:bCs/>
              </w:rPr>
            </w:pPr>
            <w:r w:rsidRPr="008912CF">
              <w:rPr>
                <w:b/>
                <w:bCs/>
                <w:sz w:val="22"/>
                <w:szCs w:val="22"/>
              </w:rPr>
              <w:t>Resposta</w:t>
            </w:r>
          </w:p>
        </w:tc>
        <w:tc>
          <w:tcPr>
            <w:tcW w:w="1320" w:type="dxa"/>
            <w:vAlign w:val="center"/>
          </w:tcPr>
          <w:p w14:paraId="589A7EC8" w14:textId="77777777" w:rsidR="004462A0" w:rsidRPr="008912CF" w:rsidRDefault="00615769" w:rsidP="00F675CF">
            <w:pPr>
              <w:keepNext/>
              <w:jc w:val="center"/>
              <w:rPr>
                <w:b/>
                <w:bCs/>
              </w:rPr>
            </w:pPr>
            <w:r w:rsidRPr="008912CF">
              <w:rPr>
                <w:b/>
                <w:bCs/>
                <w:sz w:val="22"/>
                <w:szCs w:val="22"/>
              </w:rPr>
              <w:t>MTX</w:t>
            </w:r>
          </w:p>
          <w:p w14:paraId="39FE9A25" w14:textId="77777777" w:rsidR="004462A0" w:rsidRPr="008912CF" w:rsidRDefault="00615769" w:rsidP="00F675CF">
            <w:pPr>
              <w:pStyle w:val="EndnoteText"/>
              <w:keepNext/>
              <w:jc w:val="center"/>
              <w:rPr>
                <w:b/>
                <w:bCs/>
                <w:szCs w:val="22"/>
              </w:rPr>
            </w:pPr>
            <w:r>
              <w:rPr>
                <w:b/>
                <w:bCs/>
                <w:szCs w:val="22"/>
              </w:rPr>
              <w:t>n</w:t>
            </w:r>
            <w:r w:rsidRPr="008912CF">
              <w:rPr>
                <w:b/>
                <w:bCs/>
                <w:szCs w:val="22"/>
              </w:rPr>
              <w:t> = 257</w:t>
            </w:r>
          </w:p>
        </w:tc>
        <w:tc>
          <w:tcPr>
            <w:tcW w:w="1238" w:type="dxa"/>
            <w:vAlign w:val="center"/>
          </w:tcPr>
          <w:p w14:paraId="776C4EF6" w14:textId="77777777" w:rsidR="004462A0" w:rsidRPr="008912CF" w:rsidRDefault="00615769" w:rsidP="00F675CF">
            <w:pPr>
              <w:keepNext/>
              <w:jc w:val="center"/>
              <w:rPr>
                <w:b/>
                <w:bCs/>
              </w:rPr>
            </w:pPr>
            <w:r w:rsidRPr="008912CF">
              <w:rPr>
                <w:b/>
                <w:bCs/>
                <w:sz w:val="22"/>
                <w:szCs w:val="22"/>
              </w:rPr>
              <w:t>Humira</w:t>
            </w:r>
          </w:p>
          <w:p w14:paraId="111E2530" w14:textId="77777777" w:rsidR="004462A0" w:rsidRPr="008912CF" w:rsidRDefault="00615769" w:rsidP="00F675CF">
            <w:pPr>
              <w:keepNext/>
              <w:jc w:val="center"/>
              <w:rPr>
                <w:b/>
                <w:bCs/>
              </w:rPr>
            </w:pPr>
            <w:r w:rsidRPr="008912CF">
              <w:rPr>
                <w:b/>
                <w:bCs/>
                <w:sz w:val="22"/>
                <w:szCs w:val="22"/>
              </w:rPr>
              <w:t>n = 274</w:t>
            </w:r>
          </w:p>
        </w:tc>
        <w:tc>
          <w:tcPr>
            <w:tcW w:w="1658" w:type="dxa"/>
            <w:vAlign w:val="center"/>
          </w:tcPr>
          <w:p w14:paraId="4C85529E" w14:textId="77777777" w:rsidR="004462A0" w:rsidRPr="008912CF" w:rsidRDefault="00615769" w:rsidP="00F675CF">
            <w:pPr>
              <w:keepNext/>
              <w:jc w:val="center"/>
              <w:rPr>
                <w:b/>
                <w:bCs/>
              </w:rPr>
            </w:pPr>
            <w:r w:rsidRPr="008912CF">
              <w:rPr>
                <w:b/>
                <w:bCs/>
                <w:sz w:val="22"/>
                <w:szCs w:val="22"/>
              </w:rPr>
              <w:t>Humira/MTX</w:t>
            </w:r>
          </w:p>
          <w:p w14:paraId="31BF495F" w14:textId="77777777" w:rsidR="004462A0" w:rsidRPr="008912CF" w:rsidRDefault="00615769" w:rsidP="00F675CF">
            <w:pPr>
              <w:keepNext/>
              <w:jc w:val="center"/>
              <w:rPr>
                <w:b/>
                <w:bCs/>
              </w:rPr>
            </w:pPr>
            <w:r w:rsidRPr="008912CF">
              <w:rPr>
                <w:b/>
                <w:bCs/>
                <w:sz w:val="22"/>
                <w:szCs w:val="22"/>
              </w:rPr>
              <w:t>n = 268</w:t>
            </w:r>
          </w:p>
        </w:tc>
        <w:tc>
          <w:tcPr>
            <w:tcW w:w="1100" w:type="dxa"/>
            <w:vAlign w:val="center"/>
          </w:tcPr>
          <w:p w14:paraId="126E906A" w14:textId="77777777" w:rsidR="004462A0" w:rsidRPr="008912CF" w:rsidRDefault="00615769" w:rsidP="00F675CF">
            <w:pPr>
              <w:pStyle w:val="EndnoteText"/>
              <w:keepNext/>
              <w:jc w:val="center"/>
              <w:rPr>
                <w:b/>
                <w:bCs/>
                <w:szCs w:val="22"/>
              </w:rPr>
            </w:pPr>
            <w:r w:rsidRPr="008912CF">
              <w:rPr>
                <w:b/>
                <w:bCs/>
                <w:szCs w:val="22"/>
              </w:rPr>
              <w:t>valor</w:t>
            </w:r>
            <w:r w:rsidR="004D006C">
              <w:rPr>
                <w:b/>
                <w:bCs/>
                <w:szCs w:val="22"/>
              </w:rPr>
              <w:t>-p</w:t>
            </w:r>
            <w:r w:rsidRPr="008912CF">
              <w:rPr>
                <w:b/>
                <w:bCs/>
                <w:szCs w:val="22"/>
                <w:vertAlign w:val="superscript"/>
              </w:rPr>
              <w:t>a</w:t>
            </w:r>
          </w:p>
        </w:tc>
        <w:tc>
          <w:tcPr>
            <w:tcW w:w="1173" w:type="dxa"/>
            <w:vAlign w:val="center"/>
          </w:tcPr>
          <w:p w14:paraId="36A6F040" w14:textId="77777777" w:rsidR="004462A0" w:rsidRPr="008912CF" w:rsidRDefault="00615769" w:rsidP="00F675CF">
            <w:pPr>
              <w:keepNext/>
              <w:jc w:val="center"/>
              <w:rPr>
                <w:b/>
                <w:bCs/>
              </w:rPr>
            </w:pPr>
            <w:r w:rsidRPr="008912CF">
              <w:rPr>
                <w:b/>
                <w:bCs/>
                <w:sz w:val="22"/>
                <w:szCs w:val="22"/>
              </w:rPr>
              <w:t>valor</w:t>
            </w:r>
            <w:r w:rsidR="004D006C">
              <w:rPr>
                <w:b/>
                <w:bCs/>
                <w:sz w:val="22"/>
                <w:szCs w:val="22"/>
              </w:rPr>
              <w:t>-p</w:t>
            </w:r>
            <w:r w:rsidRPr="008912CF">
              <w:rPr>
                <w:b/>
                <w:bCs/>
                <w:sz w:val="22"/>
                <w:szCs w:val="22"/>
                <w:vertAlign w:val="superscript"/>
              </w:rPr>
              <w:t>b</w:t>
            </w:r>
          </w:p>
        </w:tc>
        <w:tc>
          <w:tcPr>
            <w:tcW w:w="1210" w:type="dxa"/>
            <w:vAlign w:val="center"/>
          </w:tcPr>
          <w:p w14:paraId="3D5B9480" w14:textId="77777777" w:rsidR="004462A0" w:rsidRPr="008912CF" w:rsidRDefault="00615769" w:rsidP="00F675CF">
            <w:pPr>
              <w:keepNext/>
              <w:jc w:val="center"/>
            </w:pPr>
            <w:r w:rsidRPr="008912CF">
              <w:rPr>
                <w:b/>
                <w:bCs/>
                <w:sz w:val="22"/>
                <w:szCs w:val="22"/>
              </w:rPr>
              <w:t>valor</w:t>
            </w:r>
            <w:r w:rsidR="004D006C">
              <w:rPr>
                <w:b/>
                <w:bCs/>
                <w:sz w:val="22"/>
                <w:szCs w:val="22"/>
              </w:rPr>
              <w:t>-p</w:t>
            </w:r>
            <w:r w:rsidRPr="008912CF">
              <w:rPr>
                <w:b/>
                <w:bCs/>
                <w:sz w:val="22"/>
                <w:szCs w:val="22"/>
                <w:vertAlign w:val="superscript"/>
              </w:rPr>
              <w:t>c</w:t>
            </w:r>
          </w:p>
        </w:tc>
      </w:tr>
      <w:tr w:rsidR="00A7162A" w14:paraId="22FB781A" w14:textId="77777777" w:rsidTr="00F675CF">
        <w:trPr>
          <w:gridAfter w:val="1"/>
          <w:wAfter w:w="12" w:type="dxa"/>
          <w:cantSplit/>
          <w:jc w:val="center"/>
        </w:trPr>
        <w:tc>
          <w:tcPr>
            <w:tcW w:w="1724" w:type="dxa"/>
            <w:gridSpan w:val="2"/>
          </w:tcPr>
          <w:p w14:paraId="6DA7854C" w14:textId="77777777" w:rsidR="004462A0" w:rsidRPr="008912CF" w:rsidRDefault="00615769" w:rsidP="00F675CF">
            <w:pPr>
              <w:keepNext/>
            </w:pPr>
            <w:r w:rsidRPr="008912CF">
              <w:rPr>
                <w:sz w:val="22"/>
                <w:szCs w:val="22"/>
              </w:rPr>
              <w:t>ACR 20</w:t>
            </w:r>
          </w:p>
        </w:tc>
        <w:tc>
          <w:tcPr>
            <w:tcW w:w="1320" w:type="dxa"/>
          </w:tcPr>
          <w:p w14:paraId="4EB1B70F" w14:textId="77777777" w:rsidR="004462A0" w:rsidRPr="008912CF" w:rsidRDefault="004462A0" w:rsidP="00F675CF">
            <w:pPr>
              <w:keepNext/>
              <w:jc w:val="center"/>
            </w:pPr>
          </w:p>
        </w:tc>
        <w:tc>
          <w:tcPr>
            <w:tcW w:w="1238" w:type="dxa"/>
          </w:tcPr>
          <w:p w14:paraId="12C89D6F" w14:textId="77777777" w:rsidR="004462A0" w:rsidRPr="008912CF" w:rsidRDefault="004462A0" w:rsidP="00F675CF">
            <w:pPr>
              <w:keepNext/>
              <w:jc w:val="center"/>
            </w:pPr>
          </w:p>
        </w:tc>
        <w:tc>
          <w:tcPr>
            <w:tcW w:w="1658" w:type="dxa"/>
          </w:tcPr>
          <w:p w14:paraId="354C5CC7" w14:textId="77777777" w:rsidR="004462A0" w:rsidRPr="008912CF" w:rsidRDefault="004462A0" w:rsidP="00F675CF">
            <w:pPr>
              <w:keepNext/>
              <w:jc w:val="center"/>
            </w:pPr>
          </w:p>
        </w:tc>
        <w:tc>
          <w:tcPr>
            <w:tcW w:w="1100" w:type="dxa"/>
          </w:tcPr>
          <w:p w14:paraId="4D9013A3" w14:textId="77777777" w:rsidR="004462A0" w:rsidRPr="008912CF" w:rsidRDefault="004462A0" w:rsidP="00F675CF">
            <w:pPr>
              <w:keepNext/>
              <w:jc w:val="center"/>
            </w:pPr>
          </w:p>
        </w:tc>
        <w:tc>
          <w:tcPr>
            <w:tcW w:w="1173" w:type="dxa"/>
          </w:tcPr>
          <w:p w14:paraId="2B4E29C9" w14:textId="77777777" w:rsidR="004462A0" w:rsidRPr="008912CF" w:rsidRDefault="004462A0" w:rsidP="00F675CF">
            <w:pPr>
              <w:keepNext/>
              <w:jc w:val="center"/>
            </w:pPr>
          </w:p>
        </w:tc>
        <w:tc>
          <w:tcPr>
            <w:tcW w:w="1210" w:type="dxa"/>
          </w:tcPr>
          <w:p w14:paraId="70A5C820" w14:textId="77777777" w:rsidR="004462A0" w:rsidRPr="008912CF" w:rsidRDefault="004462A0" w:rsidP="00F675CF">
            <w:pPr>
              <w:keepNext/>
              <w:jc w:val="center"/>
            </w:pPr>
          </w:p>
        </w:tc>
      </w:tr>
      <w:tr w:rsidR="00A7162A" w14:paraId="754CA73A" w14:textId="77777777" w:rsidTr="00F675CF">
        <w:trPr>
          <w:gridAfter w:val="1"/>
          <w:wAfter w:w="12" w:type="dxa"/>
          <w:cantSplit/>
          <w:jc w:val="center"/>
        </w:trPr>
        <w:tc>
          <w:tcPr>
            <w:tcW w:w="1724" w:type="dxa"/>
            <w:gridSpan w:val="2"/>
          </w:tcPr>
          <w:p w14:paraId="243B3651" w14:textId="77777777" w:rsidR="004462A0" w:rsidRPr="008912CF" w:rsidRDefault="00615769" w:rsidP="00F675CF">
            <w:pPr>
              <w:keepNext/>
            </w:pPr>
            <w:r w:rsidRPr="008912CF">
              <w:rPr>
                <w:sz w:val="22"/>
                <w:szCs w:val="22"/>
              </w:rPr>
              <w:t xml:space="preserve">     Semana 52</w:t>
            </w:r>
          </w:p>
        </w:tc>
        <w:tc>
          <w:tcPr>
            <w:tcW w:w="1320" w:type="dxa"/>
          </w:tcPr>
          <w:p w14:paraId="0E9F9619" w14:textId="77777777" w:rsidR="004462A0" w:rsidRPr="008912CF" w:rsidRDefault="00615769" w:rsidP="00F675CF">
            <w:pPr>
              <w:keepNext/>
              <w:jc w:val="center"/>
            </w:pPr>
            <w:r w:rsidRPr="008912CF">
              <w:rPr>
                <w:sz w:val="22"/>
                <w:szCs w:val="22"/>
              </w:rPr>
              <w:t>62,6</w:t>
            </w:r>
            <w:r w:rsidR="009343EF">
              <w:rPr>
                <w:sz w:val="22"/>
                <w:szCs w:val="22"/>
              </w:rPr>
              <w:t>%</w:t>
            </w:r>
          </w:p>
        </w:tc>
        <w:tc>
          <w:tcPr>
            <w:tcW w:w="1238" w:type="dxa"/>
          </w:tcPr>
          <w:p w14:paraId="1B4DFA4D" w14:textId="77777777" w:rsidR="004462A0" w:rsidRPr="008912CF" w:rsidRDefault="00615769" w:rsidP="00F675CF">
            <w:pPr>
              <w:keepNext/>
              <w:jc w:val="center"/>
            </w:pPr>
            <w:r w:rsidRPr="008912CF">
              <w:rPr>
                <w:sz w:val="22"/>
                <w:szCs w:val="22"/>
              </w:rPr>
              <w:t>54,4</w:t>
            </w:r>
            <w:r w:rsidR="009343EF">
              <w:rPr>
                <w:sz w:val="22"/>
                <w:szCs w:val="22"/>
              </w:rPr>
              <w:t>%</w:t>
            </w:r>
          </w:p>
        </w:tc>
        <w:tc>
          <w:tcPr>
            <w:tcW w:w="1658" w:type="dxa"/>
          </w:tcPr>
          <w:p w14:paraId="19881ED0" w14:textId="77777777" w:rsidR="004462A0" w:rsidRPr="008912CF" w:rsidRDefault="00615769" w:rsidP="00F675CF">
            <w:pPr>
              <w:keepNext/>
              <w:jc w:val="center"/>
            </w:pPr>
            <w:r w:rsidRPr="008912CF">
              <w:rPr>
                <w:sz w:val="22"/>
                <w:szCs w:val="22"/>
              </w:rPr>
              <w:t>72,8</w:t>
            </w:r>
            <w:r w:rsidR="009343EF">
              <w:rPr>
                <w:sz w:val="22"/>
                <w:szCs w:val="22"/>
              </w:rPr>
              <w:t>%</w:t>
            </w:r>
          </w:p>
        </w:tc>
        <w:tc>
          <w:tcPr>
            <w:tcW w:w="1100" w:type="dxa"/>
          </w:tcPr>
          <w:p w14:paraId="1612C5F1" w14:textId="77777777" w:rsidR="004462A0" w:rsidRPr="008912CF" w:rsidRDefault="00615769" w:rsidP="00F675CF">
            <w:pPr>
              <w:keepNext/>
              <w:jc w:val="center"/>
            </w:pPr>
            <w:r w:rsidRPr="008912CF">
              <w:rPr>
                <w:sz w:val="22"/>
                <w:szCs w:val="22"/>
              </w:rPr>
              <w:t>0,013</w:t>
            </w:r>
          </w:p>
        </w:tc>
        <w:tc>
          <w:tcPr>
            <w:tcW w:w="1173" w:type="dxa"/>
          </w:tcPr>
          <w:p w14:paraId="694060C0" w14:textId="77777777" w:rsidR="004462A0" w:rsidRPr="008912CF" w:rsidRDefault="00615769" w:rsidP="00F675CF">
            <w:pPr>
              <w:keepNext/>
              <w:jc w:val="center"/>
            </w:pPr>
            <w:r w:rsidRPr="008912CF">
              <w:rPr>
                <w:sz w:val="22"/>
                <w:szCs w:val="22"/>
              </w:rPr>
              <w:t>&lt; 0,001</w:t>
            </w:r>
          </w:p>
        </w:tc>
        <w:tc>
          <w:tcPr>
            <w:tcW w:w="1210" w:type="dxa"/>
          </w:tcPr>
          <w:p w14:paraId="65CC9A69" w14:textId="77777777" w:rsidR="004462A0" w:rsidRPr="008912CF" w:rsidRDefault="00615769" w:rsidP="00F675CF">
            <w:pPr>
              <w:keepNext/>
              <w:jc w:val="center"/>
            </w:pPr>
            <w:r w:rsidRPr="008912CF">
              <w:rPr>
                <w:sz w:val="22"/>
                <w:szCs w:val="22"/>
              </w:rPr>
              <w:t>0,043</w:t>
            </w:r>
          </w:p>
        </w:tc>
      </w:tr>
      <w:tr w:rsidR="00A7162A" w14:paraId="482DAA7F" w14:textId="77777777" w:rsidTr="00F675CF">
        <w:trPr>
          <w:gridAfter w:val="1"/>
          <w:wAfter w:w="12" w:type="dxa"/>
          <w:cantSplit/>
          <w:jc w:val="center"/>
        </w:trPr>
        <w:tc>
          <w:tcPr>
            <w:tcW w:w="1724" w:type="dxa"/>
            <w:gridSpan w:val="2"/>
          </w:tcPr>
          <w:p w14:paraId="18B84A4B" w14:textId="77777777" w:rsidR="004462A0" w:rsidRPr="008912CF" w:rsidRDefault="00615769" w:rsidP="00F675CF">
            <w:pPr>
              <w:keepNext/>
            </w:pPr>
            <w:r w:rsidRPr="008912CF">
              <w:rPr>
                <w:sz w:val="22"/>
                <w:szCs w:val="22"/>
              </w:rPr>
              <w:t xml:space="preserve">     Semana 104</w:t>
            </w:r>
          </w:p>
        </w:tc>
        <w:tc>
          <w:tcPr>
            <w:tcW w:w="1320" w:type="dxa"/>
          </w:tcPr>
          <w:p w14:paraId="7106DA36" w14:textId="77777777" w:rsidR="004462A0" w:rsidRPr="008912CF" w:rsidRDefault="00615769" w:rsidP="00F675CF">
            <w:pPr>
              <w:keepNext/>
              <w:jc w:val="center"/>
            </w:pPr>
            <w:r w:rsidRPr="008912CF">
              <w:rPr>
                <w:sz w:val="22"/>
                <w:szCs w:val="22"/>
              </w:rPr>
              <w:t>56,0</w:t>
            </w:r>
            <w:r w:rsidR="009343EF">
              <w:rPr>
                <w:sz w:val="22"/>
                <w:szCs w:val="22"/>
              </w:rPr>
              <w:t>%</w:t>
            </w:r>
          </w:p>
        </w:tc>
        <w:tc>
          <w:tcPr>
            <w:tcW w:w="1238" w:type="dxa"/>
          </w:tcPr>
          <w:p w14:paraId="2EEE47F3" w14:textId="77777777" w:rsidR="004462A0" w:rsidRPr="008912CF" w:rsidRDefault="00615769" w:rsidP="00F675CF">
            <w:pPr>
              <w:keepNext/>
              <w:jc w:val="center"/>
            </w:pPr>
            <w:r w:rsidRPr="008912CF">
              <w:rPr>
                <w:sz w:val="22"/>
                <w:szCs w:val="22"/>
              </w:rPr>
              <w:t>49,3</w:t>
            </w:r>
            <w:r w:rsidR="009343EF">
              <w:rPr>
                <w:sz w:val="22"/>
                <w:szCs w:val="22"/>
              </w:rPr>
              <w:t>%</w:t>
            </w:r>
          </w:p>
        </w:tc>
        <w:tc>
          <w:tcPr>
            <w:tcW w:w="1658" w:type="dxa"/>
          </w:tcPr>
          <w:p w14:paraId="064AF259" w14:textId="77777777" w:rsidR="004462A0" w:rsidRPr="008912CF" w:rsidRDefault="00615769" w:rsidP="00F675CF">
            <w:pPr>
              <w:keepNext/>
              <w:jc w:val="center"/>
            </w:pPr>
            <w:r w:rsidRPr="008912CF">
              <w:rPr>
                <w:sz w:val="22"/>
                <w:szCs w:val="22"/>
              </w:rPr>
              <w:t>69,4</w:t>
            </w:r>
            <w:r w:rsidR="009343EF">
              <w:rPr>
                <w:sz w:val="22"/>
                <w:szCs w:val="22"/>
              </w:rPr>
              <w:t>%</w:t>
            </w:r>
          </w:p>
        </w:tc>
        <w:tc>
          <w:tcPr>
            <w:tcW w:w="1100" w:type="dxa"/>
          </w:tcPr>
          <w:p w14:paraId="043FF53C" w14:textId="77777777" w:rsidR="004462A0" w:rsidRPr="008912CF" w:rsidRDefault="00615769" w:rsidP="00F675CF">
            <w:pPr>
              <w:keepNext/>
              <w:jc w:val="center"/>
            </w:pPr>
            <w:r w:rsidRPr="008912CF">
              <w:rPr>
                <w:sz w:val="22"/>
                <w:szCs w:val="22"/>
              </w:rPr>
              <w:t>0,002</w:t>
            </w:r>
          </w:p>
        </w:tc>
        <w:tc>
          <w:tcPr>
            <w:tcW w:w="1173" w:type="dxa"/>
          </w:tcPr>
          <w:p w14:paraId="24AFBB6A" w14:textId="77777777" w:rsidR="004462A0" w:rsidRPr="008912CF" w:rsidRDefault="00615769" w:rsidP="00F675CF">
            <w:pPr>
              <w:keepNext/>
              <w:jc w:val="center"/>
            </w:pPr>
            <w:r w:rsidRPr="008912CF">
              <w:rPr>
                <w:sz w:val="22"/>
                <w:szCs w:val="22"/>
              </w:rPr>
              <w:t>&lt; 0,001</w:t>
            </w:r>
          </w:p>
        </w:tc>
        <w:tc>
          <w:tcPr>
            <w:tcW w:w="1210" w:type="dxa"/>
          </w:tcPr>
          <w:p w14:paraId="04B5A954" w14:textId="77777777" w:rsidR="004462A0" w:rsidRPr="008912CF" w:rsidRDefault="00615769" w:rsidP="00F675CF">
            <w:pPr>
              <w:keepNext/>
              <w:jc w:val="center"/>
            </w:pPr>
            <w:r w:rsidRPr="008912CF">
              <w:rPr>
                <w:sz w:val="22"/>
                <w:szCs w:val="22"/>
              </w:rPr>
              <w:t>0,140</w:t>
            </w:r>
          </w:p>
        </w:tc>
      </w:tr>
      <w:tr w:rsidR="00A7162A" w14:paraId="40F4464C" w14:textId="77777777" w:rsidTr="00F675CF">
        <w:trPr>
          <w:gridAfter w:val="1"/>
          <w:wAfter w:w="12" w:type="dxa"/>
          <w:cantSplit/>
          <w:jc w:val="center"/>
        </w:trPr>
        <w:tc>
          <w:tcPr>
            <w:tcW w:w="1724" w:type="dxa"/>
            <w:gridSpan w:val="2"/>
          </w:tcPr>
          <w:p w14:paraId="1AF29FB5" w14:textId="77777777" w:rsidR="004462A0" w:rsidRPr="008912CF" w:rsidRDefault="00615769" w:rsidP="00F675CF">
            <w:pPr>
              <w:keepNext/>
            </w:pPr>
            <w:r w:rsidRPr="008912CF">
              <w:rPr>
                <w:sz w:val="22"/>
                <w:szCs w:val="22"/>
              </w:rPr>
              <w:t>ACR 50</w:t>
            </w:r>
          </w:p>
        </w:tc>
        <w:tc>
          <w:tcPr>
            <w:tcW w:w="1320" w:type="dxa"/>
          </w:tcPr>
          <w:p w14:paraId="68E5A6DD" w14:textId="77777777" w:rsidR="004462A0" w:rsidRPr="008912CF" w:rsidRDefault="004462A0" w:rsidP="00F675CF">
            <w:pPr>
              <w:keepNext/>
              <w:jc w:val="center"/>
            </w:pPr>
          </w:p>
        </w:tc>
        <w:tc>
          <w:tcPr>
            <w:tcW w:w="1238" w:type="dxa"/>
          </w:tcPr>
          <w:p w14:paraId="4D3F4A65" w14:textId="77777777" w:rsidR="004462A0" w:rsidRPr="008912CF" w:rsidRDefault="004462A0" w:rsidP="00F675CF">
            <w:pPr>
              <w:keepNext/>
              <w:jc w:val="center"/>
            </w:pPr>
          </w:p>
        </w:tc>
        <w:tc>
          <w:tcPr>
            <w:tcW w:w="1658" w:type="dxa"/>
          </w:tcPr>
          <w:p w14:paraId="1015E3EE" w14:textId="77777777" w:rsidR="004462A0" w:rsidRPr="008912CF" w:rsidRDefault="004462A0" w:rsidP="00F675CF">
            <w:pPr>
              <w:keepNext/>
              <w:jc w:val="center"/>
            </w:pPr>
          </w:p>
        </w:tc>
        <w:tc>
          <w:tcPr>
            <w:tcW w:w="1100" w:type="dxa"/>
          </w:tcPr>
          <w:p w14:paraId="32D5CFC5" w14:textId="77777777" w:rsidR="004462A0" w:rsidRPr="008912CF" w:rsidRDefault="004462A0" w:rsidP="00F675CF">
            <w:pPr>
              <w:keepNext/>
              <w:jc w:val="center"/>
            </w:pPr>
          </w:p>
        </w:tc>
        <w:tc>
          <w:tcPr>
            <w:tcW w:w="1173" w:type="dxa"/>
          </w:tcPr>
          <w:p w14:paraId="4F9075C8" w14:textId="77777777" w:rsidR="004462A0" w:rsidRPr="008912CF" w:rsidRDefault="004462A0" w:rsidP="00F675CF">
            <w:pPr>
              <w:keepNext/>
              <w:jc w:val="center"/>
            </w:pPr>
          </w:p>
        </w:tc>
        <w:tc>
          <w:tcPr>
            <w:tcW w:w="1210" w:type="dxa"/>
          </w:tcPr>
          <w:p w14:paraId="740362DA" w14:textId="77777777" w:rsidR="004462A0" w:rsidRPr="008912CF" w:rsidRDefault="004462A0" w:rsidP="00F675CF">
            <w:pPr>
              <w:keepNext/>
              <w:jc w:val="center"/>
            </w:pPr>
          </w:p>
        </w:tc>
      </w:tr>
      <w:tr w:rsidR="00A7162A" w14:paraId="1B566E52" w14:textId="77777777" w:rsidTr="00F675CF">
        <w:trPr>
          <w:gridAfter w:val="1"/>
          <w:wAfter w:w="12" w:type="dxa"/>
          <w:cantSplit/>
          <w:jc w:val="center"/>
        </w:trPr>
        <w:tc>
          <w:tcPr>
            <w:tcW w:w="1724" w:type="dxa"/>
            <w:gridSpan w:val="2"/>
          </w:tcPr>
          <w:p w14:paraId="7639AA3F" w14:textId="77777777" w:rsidR="004462A0" w:rsidRPr="008912CF" w:rsidRDefault="00615769" w:rsidP="00F675CF">
            <w:pPr>
              <w:keepNext/>
            </w:pPr>
            <w:r w:rsidRPr="008912CF">
              <w:rPr>
                <w:sz w:val="22"/>
                <w:szCs w:val="22"/>
              </w:rPr>
              <w:t xml:space="preserve">     Semana 52</w:t>
            </w:r>
          </w:p>
        </w:tc>
        <w:tc>
          <w:tcPr>
            <w:tcW w:w="1320" w:type="dxa"/>
          </w:tcPr>
          <w:p w14:paraId="1D452E85" w14:textId="77777777" w:rsidR="004462A0" w:rsidRPr="008912CF" w:rsidRDefault="00615769" w:rsidP="00F675CF">
            <w:pPr>
              <w:keepNext/>
              <w:jc w:val="center"/>
            </w:pPr>
            <w:r w:rsidRPr="008912CF">
              <w:rPr>
                <w:sz w:val="22"/>
                <w:szCs w:val="22"/>
              </w:rPr>
              <w:t>45,9</w:t>
            </w:r>
            <w:r w:rsidR="009343EF">
              <w:rPr>
                <w:sz w:val="22"/>
                <w:szCs w:val="22"/>
              </w:rPr>
              <w:t>%</w:t>
            </w:r>
          </w:p>
        </w:tc>
        <w:tc>
          <w:tcPr>
            <w:tcW w:w="1238" w:type="dxa"/>
          </w:tcPr>
          <w:p w14:paraId="02167312" w14:textId="77777777" w:rsidR="004462A0" w:rsidRPr="008912CF" w:rsidRDefault="00615769" w:rsidP="00F675CF">
            <w:pPr>
              <w:keepNext/>
              <w:jc w:val="center"/>
            </w:pPr>
            <w:r w:rsidRPr="008912CF">
              <w:rPr>
                <w:sz w:val="22"/>
                <w:szCs w:val="22"/>
              </w:rPr>
              <w:t>41,2</w:t>
            </w:r>
            <w:r w:rsidR="009343EF">
              <w:rPr>
                <w:sz w:val="22"/>
                <w:szCs w:val="22"/>
              </w:rPr>
              <w:t>%</w:t>
            </w:r>
          </w:p>
        </w:tc>
        <w:tc>
          <w:tcPr>
            <w:tcW w:w="1658" w:type="dxa"/>
          </w:tcPr>
          <w:p w14:paraId="32492958" w14:textId="77777777" w:rsidR="004462A0" w:rsidRPr="008912CF" w:rsidRDefault="00615769" w:rsidP="00F675CF">
            <w:pPr>
              <w:keepNext/>
              <w:jc w:val="center"/>
            </w:pPr>
            <w:r w:rsidRPr="008912CF">
              <w:rPr>
                <w:sz w:val="22"/>
                <w:szCs w:val="22"/>
              </w:rPr>
              <w:t>61,6</w:t>
            </w:r>
            <w:r w:rsidR="009343EF">
              <w:rPr>
                <w:sz w:val="22"/>
                <w:szCs w:val="22"/>
              </w:rPr>
              <w:t>%</w:t>
            </w:r>
          </w:p>
        </w:tc>
        <w:tc>
          <w:tcPr>
            <w:tcW w:w="1100" w:type="dxa"/>
          </w:tcPr>
          <w:p w14:paraId="3BC3EA77" w14:textId="77777777" w:rsidR="004462A0" w:rsidRPr="008912CF" w:rsidRDefault="00615769" w:rsidP="00F675CF">
            <w:pPr>
              <w:keepNext/>
              <w:jc w:val="center"/>
            </w:pPr>
            <w:r w:rsidRPr="008912CF">
              <w:rPr>
                <w:sz w:val="22"/>
                <w:szCs w:val="22"/>
              </w:rPr>
              <w:t>&lt; 0,001</w:t>
            </w:r>
          </w:p>
        </w:tc>
        <w:tc>
          <w:tcPr>
            <w:tcW w:w="1173" w:type="dxa"/>
          </w:tcPr>
          <w:p w14:paraId="6606AB5F" w14:textId="77777777" w:rsidR="004462A0" w:rsidRPr="008912CF" w:rsidRDefault="00615769" w:rsidP="00F675CF">
            <w:pPr>
              <w:keepNext/>
              <w:jc w:val="center"/>
            </w:pPr>
            <w:r w:rsidRPr="008912CF">
              <w:rPr>
                <w:sz w:val="22"/>
                <w:szCs w:val="22"/>
              </w:rPr>
              <w:t>&lt; 0,001</w:t>
            </w:r>
          </w:p>
        </w:tc>
        <w:tc>
          <w:tcPr>
            <w:tcW w:w="1210" w:type="dxa"/>
          </w:tcPr>
          <w:p w14:paraId="28E95B0B" w14:textId="77777777" w:rsidR="004462A0" w:rsidRPr="008912CF" w:rsidRDefault="00615769" w:rsidP="00F675CF">
            <w:pPr>
              <w:keepNext/>
              <w:jc w:val="center"/>
            </w:pPr>
            <w:r w:rsidRPr="008912CF">
              <w:rPr>
                <w:sz w:val="22"/>
                <w:szCs w:val="22"/>
              </w:rPr>
              <w:t>0,317</w:t>
            </w:r>
          </w:p>
        </w:tc>
      </w:tr>
      <w:tr w:rsidR="00A7162A" w14:paraId="700C36AC" w14:textId="77777777" w:rsidTr="00F675CF">
        <w:trPr>
          <w:gridAfter w:val="1"/>
          <w:wAfter w:w="12" w:type="dxa"/>
          <w:cantSplit/>
          <w:jc w:val="center"/>
        </w:trPr>
        <w:tc>
          <w:tcPr>
            <w:tcW w:w="1724" w:type="dxa"/>
            <w:gridSpan w:val="2"/>
          </w:tcPr>
          <w:p w14:paraId="5DD2F18A" w14:textId="77777777" w:rsidR="004462A0" w:rsidRPr="008912CF" w:rsidRDefault="00615769" w:rsidP="00F675CF">
            <w:pPr>
              <w:keepNext/>
            </w:pPr>
            <w:r w:rsidRPr="008912CF">
              <w:rPr>
                <w:sz w:val="22"/>
                <w:szCs w:val="22"/>
              </w:rPr>
              <w:t xml:space="preserve">     Semana 104</w:t>
            </w:r>
          </w:p>
        </w:tc>
        <w:tc>
          <w:tcPr>
            <w:tcW w:w="1320" w:type="dxa"/>
          </w:tcPr>
          <w:p w14:paraId="00892C5B" w14:textId="77777777" w:rsidR="004462A0" w:rsidRPr="008912CF" w:rsidRDefault="00615769" w:rsidP="00F675CF">
            <w:pPr>
              <w:keepNext/>
              <w:jc w:val="center"/>
            </w:pPr>
            <w:r w:rsidRPr="008912CF">
              <w:rPr>
                <w:sz w:val="22"/>
                <w:szCs w:val="22"/>
              </w:rPr>
              <w:t>42,8</w:t>
            </w:r>
            <w:r w:rsidR="009343EF">
              <w:rPr>
                <w:sz w:val="22"/>
                <w:szCs w:val="22"/>
              </w:rPr>
              <w:t>%</w:t>
            </w:r>
          </w:p>
        </w:tc>
        <w:tc>
          <w:tcPr>
            <w:tcW w:w="1238" w:type="dxa"/>
          </w:tcPr>
          <w:p w14:paraId="29773DC8" w14:textId="77777777" w:rsidR="004462A0" w:rsidRPr="008912CF" w:rsidRDefault="00615769" w:rsidP="00F675CF">
            <w:pPr>
              <w:keepNext/>
              <w:jc w:val="center"/>
            </w:pPr>
            <w:r w:rsidRPr="008912CF">
              <w:rPr>
                <w:sz w:val="22"/>
                <w:szCs w:val="22"/>
              </w:rPr>
              <w:t>36,9</w:t>
            </w:r>
            <w:r w:rsidR="009343EF">
              <w:rPr>
                <w:sz w:val="22"/>
                <w:szCs w:val="22"/>
              </w:rPr>
              <w:t>%</w:t>
            </w:r>
          </w:p>
        </w:tc>
        <w:tc>
          <w:tcPr>
            <w:tcW w:w="1658" w:type="dxa"/>
          </w:tcPr>
          <w:p w14:paraId="5E89E744" w14:textId="77777777" w:rsidR="004462A0" w:rsidRPr="008912CF" w:rsidRDefault="00615769" w:rsidP="00F675CF">
            <w:pPr>
              <w:keepNext/>
              <w:jc w:val="center"/>
            </w:pPr>
            <w:r w:rsidRPr="008912CF">
              <w:rPr>
                <w:sz w:val="22"/>
                <w:szCs w:val="22"/>
              </w:rPr>
              <w:t>59,0</w:t>
            </w:r>
            <w:r w:rsidR="009343EF">
              <w:rPr>
                <w:sz w:val="22"/>
                <w:szCs w:val="22"/>
              </w:rPr>
              <w:t>%</w:t>
            </w:r>
          </w:p>
        </w:tc>
        <w:tc>
          <w:tcPr>
            <w:tcW w:w="1100" w:type="dxa"/>
          </w:tcPr>
          <w:p w14:paraId="6B79F73A" w14:textId="77777777" w:rsidR="004462A0" w:rsidRPr="008912CF" w:rsidRDefault="00615769" w:rsidP="00F675CF">
            <w:pPr>
              <w:keepNext/>
              <w:jc w:val="center"/>
            </w:pPr>
            <w:r w:rsidRPr="008912CF">
              <w:rPr>
                <w:sz w:val="22"/>
                <w:szCs w:val="22"/>
              </w:rPr>
              <w:t>&lt; 0,001</w:t>
            </w:r>
          </w:p>
        </w:tc>
        <w:tc>
          <w:tcPr>
            <w:tcW w:w="1173" w:type="dxa"/>
          </w:tcPr>
          <w:p w14:paraId="410E5439" w14:textId="77777777" w:rsidR="004462A0" w:rsidRPr="008912CF" w:rsidRDefault="00615769" w:rsidP="00F675CF">
            <w:pPr>
              <w:keepNext/>
              <w:jc w:val="center"/>
            </w:pPr>
            <w:r w:rsidRPr="008912CF">
              <w:rPr>
                <w:sz w:val="22"/>
                <w:szCs w:val="22"/>
              </w:rPr>
              <w:t>&lt; 0,001</w:t>
            </w:r>
          </w:p>
        </w:tc>
        <w:tc>
          <w:tcPr>
            <w:tcW w:w="1210" w:type="dxa"/>
          </w:tcPr>
          <w:p w14:paraId="5DC1D4C3" w14:textId="77777777" w:rsidR="004462A0" w:rsidRPr="008912CF" w:rsidRDefault="00615769" w:rsidP="00F675CF">
            <w:pPr>
              <w:keepNext/>
              <w:jc w:val="center"/>
            </w:pPr>
            <w:r w:rsidRPr="008912CF">
              <w:rPr>
                <w:sz w:val="22"/>
                <w:szCs w:val="22"/>
              </w:rPr>
              <w:t>0,162</w:t>
            </w:r>
          </w:p>
        </w:tc>
      </w:tr>
      <w:tr w:rsidR="00A7162A" w14:paraId="07DAB777" w14:textId="77777777" w:rsidTr="00F675CF">
        <w:trPr>
          <w:gridAfter w:val="1"/>
          <w:wAfter w:w="12" w:type="dxa"/>
          <w:cantSplit/>
          <w:jc w:val="center"/>
        </w:trPr>
        <w:tc>
          <w:tcPr>
            <w:tcW w:w="1724" w:type="dxa"/>
            <w:gridSpan w:val="2"/>
          </w:tcPr>
          <w:p w14:paraId="1F9A4BAA" w14:textId="77777777" w:rsidR="004462A0" w:rsidRPr="008912CF" w:rsidRDefault="00615769" w:rsidP="00F675CF">
            <w:pPr>
              <w:keepNext/>
            </w:pPr>
            <w:r w:rsidRPr="008912CF">
              <w:rPr>
                <w:sz w:val="22"/>
                <w:szCs w:val="22"/>
              </w:rPr>
              <w:t>ACR 70</w:t>
            </w:r>
          </w:p>
        </w:tc>
        <w:tc>
          <w:tcPr>
            <w:tcW w:w="1320" w:type="dxa"/>
          </w:tcPr>
          <w:p w14:paraId="7D5570E0" w14:textId="77777777" w:rsidR="004462A0" w:rsidRPr="008912CF" w:rsidRDefault="004462A0" w:rsidP="00F675CF">
            <w:pPr>
              <w:keepNext/>
              <w:jc w:val="center"/>
            </w:pPr>
          </w:p>
        </w:tc>
        <w:tc>
          <w:tcPr>
            <w:tcW w:w="1238" w:type="dxa"/>
          </w:tcPr>
          <w:p w14:paraId="51D84373" w14:textId="77777777" w:rsidR="004462A0" w:rsidRPr="008912CF" w:rsidRDefault="004462A0" w:rsidP="00F675CF">
            <w:pPr>
              <w:keepNext/>
              <w:jc w:val="center"/>
            </w:pPr>
          </w:p>
        </w:tc>
        <w:tc>
          <w:tcPr>
            <w:tcW w:w="1658" w:type="dxa"/>
          </w:tcPr>
          <w:p w14:paraId="70A07934" w14:textId="77777777" w:rsidR="004462A0" w:rsidRPr="008912CF" w:rsidRDefault="004462A0" w:rsidP="00F675CF">
            <w:pPr>
              <w:keepNext/>
              <w:jc w:val="center"/>
            </w:pPr>
          </w:p>
        </w:tc>
        <w:tc>
          <w:tcPr>
            <w:tcW w:w="1100" w:type="dxa"/>
          </w:tcPr>
          <w:p w14:paraId="5756A558" w14:textId="77777777" w:rsidR="004462A0" w:rsidRPr="008912CF" w:rsidRDefault="004462A0" w:rsidP="00F675CF">
            <w:pPr>
              <w:keepNext/>
              <w:jc w:val="center"/>
            </w:pPr>
          </w:p>
        </w:tc>
        <w:tc>
          <w:tcPr>
            <w:tcW w:w="1173" w:type="dxa"/>
          </w:tcPr>
          <w:p w14:paraId="3211F8B6" w14:textId="77777777" w:rsidR="004462A0" w:rsidRPr="008912CF" w:rsidRDefault="004462A0" w:rsidP="00F675CF">
            <w:pPr>
              <w:keepNext/>
              <w:jc w:val="center"/>
            </w:pPr>
          </w:p>
        </w:tc>
        <w:tc>
          <w:tcPr>
            <w:tcW w:w="1210" w:type="dxa"/>
          </w:tcPr>
          <w:p w14:paraId="767F2C7D" w14:textId="77777777" w:rsidR="004462A0" w:rsidRPr="008912CF" w:rsidRDefault="004462A0" w:rsidP="00F675CF">
            <w:pPr>
              <w:keepNext/>
              <w:jc w:val="center"/>
            </w:pPr>
          </w:p>
        </w:tc>
      </w:tr>
      <w:tr w:rsidR="00A7162A" w14:paraId="514EA1EF" w14:textId="77777777" w:rsidTr="00F675CF">
        <w:trPr>
          <w:gridAfter w:val="1"/>
          <w:wAfter w:w="12" w:type="dxa"/>
          <w:cantSplit/>
          <w:trHeight w:val="70"/>
          <w:jc w:val="center"/>
        </w:trPr>
        <w:tc>
          <w:tcPr>
            <w:tcW w:w="1724" w:type="dxa"/>
            <w:gridSpan w:val="2"/>
          </w:tcPr>
          <w:p w14:paraId="6CBD140A" w14:textId="77777777" w:rsidR="004462A0" w:rsidRPr="008912CF" w:rsidRDefault="00615769" w:rsidP="00F675CF">
            <w:pPr>
              <w:keepNext/>
            </w:pPr>
            <w:r w:rsidRPr="008912CF">
              <w:rPr>
                <w:sz w:val="22"/>
                <w:szCs w:val="22"/>
              </w:rPr>
              <w:t xml:space="preserve">     Semana 52</w:t>
            </w:r>
          </w:p>
        </w:tc>
        <w:tc>
          <w:tcPr>
            <w:tcW w:w="1320" w:type="dxa"/>
          </w:tcPr>
          <w:p w14:paraId="2CB6AC3C" w14:textId="77777777" w:rsidR="004462A0" w:rsidRPr="008912CF" w:rsidRDefault="00615769" w:rsidP="00F675CF">
            <w:pPr>
              <w:keepNext/>
              <w:jc w:val="center"/>
            </w:pPr>
            <w:r w:rsidRPr="008912CF">
              <w:rPr>
                <w:sz w:val="22"/>
                <w:szCs w:val="22"/>
              </w:rPr>
              <w:t>27,2</w:t>
            </w:r>
            <w:r w:rsidR="009343EF">
              <w:rPr>
                <w:sz w:val="22"/>
                <w:szCs w:val="22"/>
              </w:rPr>
              <w:t>%</w:t>
            </w:r>
          </w:p>
        </w:tc>
        <w:tc>
          <w:tcPr>
            <w:tcW w:w="1238" w:type="dxa"/>
          </w:tcPr>
          <w:p w14:paraId="76FA4326" w14:textId="77777777" w:rsidR="004462A0" w:rsidRPr="008912CF" w:rsidRDefault="00615769" w:rsidP="00F675CF">
            <w:pPr>
              <w:keepNext/>
              <w:jc w:val="center"/>
            </w:pPr>
            <w:r w:rsidRPr="008912CF">
              <w:rPr>
                <w:sz w:val="22"/>
                <w:szCs w:val="22"/>
              </w:rPr>
              <w:t>25,9</w:t>
            </w:r>
            <w:r w:rsidR="009343EF">
              <w:rPr>
                <w:sz w:val="22"/>
                <w:szCs w:val="22"/>
              </w:rPr>
              <w:t>%</w:t>
            </w:r>
          </w:p>
        </w:tc>
        <w:tc>
          <w:tcPr>
            <w:tcW w:w="1658" w:type="dxa"/>
          </w:tcPr>
          <w:p w14:paraId="79EF0256" w14:textId="77777777" w:rsidR="004462A0" w:rsidRPr="008912CF" w:rsidRDefault="00615769" w:rsidP="00F675CF">
            <w:pPr>
              <w:keepNext/>
              <w:jc w:val="center"/>
            </w:pPr>
            <w:r w:rsidRPr="008912CF">
              <w:rPr>
                <w:sz w:val="22"/>
                <w:szCs w:val="22"/>
              </w:rPr>
              <w:t>45,5</w:t>
            </w:r>
            <w:r w:rsidR="009343EF">
              <w:rPr>
                <w:sz w:val="22"/>
                <w:szCs w:val="22"/>
              </w:rPr>
              <w:t>%</w:t>
            </w:r>
          </w:p>
        </w:tc>
        <w:tc>
          <w:tcPr>
            <w:tcW w:w="1100" w:type="dxa"/>
          </w:tcPr>
          <w:p w14:paraId="61398F0E" w14:textId="77777777" w:rsidR="004462A0" w:rsidRPr="008912CF" w:rsidRDefault="00615769" w:rsidP="00F675CF">
            <w:pPr>
              <w:keepNext/>
              <w:jc w:val="center"/>
            </w:pPr>
            <w:r w:rsidRPr="008912CF">
              <w:rPr>
                <w:sz w:val="22"/>
                <w:szCs w:val="22"/>
              </w:rPr>
              <w:t>&lt; 0,001</w:t>
            </w:r>
          </w:p>
        </w:tc>
        <w:tc>
          <w:tcPr>
            <w:tcW w:w="1173" w:type="dxa"/>
          </w:tcPr>
          <w:p w14:paraId="783208FD" w14:textId="77777777" w:rsidR="004462A0" w:rsidRPr="008912CF" w:rsidRDefault="00615769" w:rsidP="00F675CF">
            <w:pPr>
              <w:keepNext/>
              <w:jc w:val="center"/>
            </w:pPr>
            <w:r w:rsidRPr="008912CF">
              <w:rPr>
                <w:sz w:val="22"/>
                <w:szCs w:val="22"/>
              </w:rPr>
              <w:t>&lt; 0,001</w:t>
            </w:r>
          </w:p>
        </w:tc>
        <w:tc>
          <w:tcPr>
            <w:tcW w:w="1210" w:type="dxa"/>
          </w:tcPr>
          <w:p w14:paraId="328FCA3F" w14:textId="77777777" w:rsidR="004462A0" w:rsidRPr="008912CF" w:rsidRDefault="00615769" w:rsidP="00F675CF">
            <w:pPr>
              <w:keepNext/>
              <w:jc w:val="center"/>
            </w:pPr>
            <w:r w:rsidRPr="008912CF">
              <w:rPr>
                <w:sz w:val="22"/>
                <w:szCs w:val="22"/>
              </w:rPr>
              <w:t>0,656</w:t>
            </w:r>
          </w:p>
        </w:tc>
      </w:tr>
      <w:tr w:rsidR="00A7162A" w14:paraId="50AB1283" w14:textId="77777777" w:rsidTr="00F675CF">
        <w:trPr>
          <w:gridAfter w:val="1"/>
          <w:wAfter w:w="12" w:type="dxa"/>
          <w:cantSplit/>
          <w:jc w:val="center"/>
        </w:trPr>
        <w:tc>
          <w:tcPr>
            <w:tcW w:w="1724" w:type="dxa"/>
            <w:gridSpan w:val="2"/>
          </w:tcPr>
          <w:p w14:paraId="50A73FDD" w14:textId="77777777" w:rsidR="004462A0" w:rsidRPr="008912CF" w:rsidRDefault="00615769" w:rsidP="00F675CF">
            <w:pPr>
              <w:keepNext/>
            </w:pPr>
            <w:r w:rsidRPr="008912CF">
              <w:rPr>
                <w:sz w:val="22"/>
                <w:szCs w:val="22"/>
              </w:rPr>
              <w:t xml:space="preserve">     Semana 104</w:t>
            </w:r>
          </w:p>
        </w:tc>
        <w:tc>
          <w:tcPr>
            <w:tcW w:w="1320" w:type="dxa"/>
          </w:tcPr>
          <w:p w14:paraId="3B49ECA8" w14:textId="77777777" w:rsidR="004462A0" w:rsidRPr="008912CF" w:rsidRDefault="00615769" w:rsidP="00F675CF">
            <w:pPr>
              <w:keepNext/>
              <w:jc w:val="center"/>
            </w:pPr>
            <w:r w:rsidRPr="008912CF">
              <w:rPr>
                <w:sz w:val="22"/>
                <w:szCs w:val="22"/>
              </w:rPr>
              <w:t>28,4</w:t>
            </w:r>
            <w:r w:rsidR="009343EF">
              <w:rPr>
                <w:sz w:val="22"/>
                <w:szCs w:val="22"/>
              </w:rPr>
              <w:t>%</w:t>
            </w:r>
          </w:p>
        </w:tc>
        <w:tc>
          <w:tcPr>
            <w:tcW w:w="1238" w:type="dxa"/>
          </w:tcPr>
          <w:p w14:paraId="1E08CE09" w14:textId="77777777" w:rsidR="004462A0" w:rsidRPr="008912CF" w:rsidRDefault="00615769" w:rsidP="00F675CF">
            <w:pPr>
              <w:keepNext/>
              <w:jc w:val="center"/>
            </w:pPr>
            <w:r w:rsidRPr="008912CF">
              <w:rPr>
                <w:sz w:val="22"/>
                <w:szCs w:val="22"/>
              </w:rPr>
              <w:t>28,1</w:t>
            </w:r>
            <w:r w:rsidR="009343EF">
              <w:rPr>
                <w:sz w:val="22"/>
                <w:szCs w:val="22"/>
              </w:rPr>
              <w:t>%</w:t>
            </w:r>
          </w:p>
        </w:tc>
        <w:tc>
          <w:tcPr>
            <w:tcW w:w="1658" w:type="dxa"/>
          </w:tcPr>
          <w:p w14:paraId="52D5036A" w14:textId="77777777" w:rsidR="004462A0" w:rsidRPr="008912CF" w:rsidRDefault="00615769" w:rsidP="00F675CF">
            <w:pPr>
              <w:keepNext/>
              <w:jc w:val="center"/>
            </w:pPr>
            <w:r w:rsidRPr="008912CF">
              <w:rPr>
                <w:sz w:val="22"/>
                <w:szCs w:val="22"/>
              </w:rPr>
              <w:t>46,6</w:t>
            </w:r>
            <w:r w:rsidR="009343EF">
              <w:rPr>
                <w:sz w:val="22"/>
                <w:szCs w:val="22"/>
              </w:rPr>
              <w:t>%</w:t>
            </w:r>
          </w:p>
        </w:tc>
        <w:tc>
          <w:tcPr>
            <w:tcW w:w="1100" w:type="dxa"/>
          </w:tcPr>
          <w:p w14:paraId="50F0D2AC" w14:textId="77777777" w:rsidR="004462A0" w:rsidRPr="008912CF" w:rsidRDefault="00615769" w:rsidP="00F675CF">
            <w:pPr>
              <w:keepNext/>
              <w:jc w:val="center"/>
            </w:pPr>
            <w:r w:rsidRPr="008912CF">
              <w:rPr>
                <w:sz w:val="22"/>
                <w:szCs w:val="22"/>
              </w:rPr>
              <w:t>&lt; 0,001</w:t>
            </w:r>
          </w:p>
        </w:tc>
        <w:tc>
          <w:tcPr>
            <w:tcW w:w="1173" w:type="dxa"/>
          </w:tcPr>
          <w:p w14:paraId="41CEF02B" w14:textId="77777777" w:rsidR="004462A0" w:rsidRPr="008912CF" w:rsidRDefault="00615769" w:rsidP="00F675CF">
            <w:pPr>
              <w:keepNext/>
              <w:jc w:val="center"/>
            </w:pPr>
            <w:r w:rsidRPr="008912CF">
              <w:rPr>
                <w:sz w:val="22"/>
                <w:szCs w:val="22"/>
              </w:rPr>
              <w:t>&lt; 0,001</w:t>
            </w:r>
          </w:p>
        </w:tc>
        <w:tc>
          <w:tcPr>
            <w:tcW w:w="1210" w:type="dxa"/>
          </w:tcPr>
          <w:p w14:paraId="3AE079BD" w14:textId="77777777" w:rsidR="004462A0" w:rsidRPr="008912CF" w:rsidRDefault="00615769" w:rsidP="00F675CF">
            <w:pPr>
              <w:keepNext/>
              <w:jc w:val="center"/>
            </w:pPr>
            <w:r w:rsidRPr="008912CF">
              <w:rPr>
                <w:sz w:val="22"/>
                <w:szCs w:val="22"/>
              </w:rPr>
              <w:t>0,864</w:t>
            </w:r>
          </w:p>
        </w:tc>
      </w:tr>
      <w:tr w:rsidR="00A7162A" w14:paraId="18DCE667" w14:textId="77777777" w:rsidTr="00F675CF">
        <w:trPr>
          <w:gridBefore w:val="1"/>
          <w:wBefore w:w="6" w:type="dxa"/>
          <w:cantSplit/>
          <w:jc w:val="center"/>
        </w:trPr>
        <w:tc>
          <w:tcPr>
            <w:tcW w:w="9429" w:type="dxa"/>
            <w:gridSpan w:val="8"/>
          </w:tcPr>
          <w:p w14:paraId="4DF21709" w14:textId="77777777" w:rsidR="004462A0" w:rsidRPr="008912CF" w:rsidRDefault="00615769" w:rsidP="00F675CF">
            <w:pPr>
              <w:keepNext/>
              <w:tabs>
                <w:tab w:val="left" w:pos="330"/>
                <w:tab w:val="left" w:pos="10728"/>
              </w:tabs>
              <w:ind w:left="360" w:hanging="360"/>
            </w:pPr>
            <w:r w:rsidRPr="008912CF">
              <w:rPr>
                <w:sz w:val="22"/>
                <w:szCs w:val="22"/>
                <w:vertAlign w:val="superscript"/>
              </w:rPr>
              <w:t>a</w:t>
            </w:r>
            <w:r w:rsidRPr="008912CF">
              <w:rPr>
                <w:sz w:val="22"/>
                <w:szCs w:val="22"/>
              </w:rPr>
              <w:tab/>
            </w:r>
            <w:r w:rsidRPr="008912CF">
              <w:rPr>
                <w:sz w:val="22"/>
                <w:szCs w:val="22"/>
              </w:rPr>
              <w:t>valores-p comparativos emparelhados de metotrexato em monoterapia e da associação terapêutica Humira/metotrexato usando o teste de Mann-Whitney U.</w:t>
            </w:r>
          </w:p>
          <w:p w14:paraId="5B6AA03D" w14:textId="77777777" w:rsidR="004462A0" w:rsidRPr="008912CF" w:rsidRDefault="00615769" w:rsidP="00F675CF">
            <w:pPr>
              <w:pStyle w:val="BodyTextIndent"/>
              <w:keepNext/>
              <w:ind w:left="330" w:hanging="330"/>
              <w:rPr>
                <w:b w:val="0"/>
                <w:color w:val="auto"/>
                <w:szCs w:val="22"/>
              </w:rPr>
            </w:pPr>
            <w:r w:rsidRPr="008912CF">
              <w:rPr>
                <w:b w:val="0"/>
                <w:color w:val="auto"/>
                <w:szCs w:val="22"/>
                <w:vertAlign w:val="superscript"/>
              </w:rPr>
              <w:t>b</w:t>
            </w:r>
            <w:r w:rsidRPr="008912CF">
              <w:rPr>
                <w:b w:val="0"/>
                <w:color w:val="auto"/>
                <w:szCs w:val="22"/>
              </w:rPr>
              <w:tab/>
              <w:t xml:space="preserve">valores-p </w:t>
            </w:r>
            <w:r w:rsidRPr="008912CF">
              <w:rPr>
                <w:b w:val="0"/>
                <w:bCs/>
                <w:color w:val="auto"/>
                <w:szCs w:val="22"/>
              </w:rPr>
              <w:t xml:space="preserve">comparativos emparelhados de Humira em </w:t>
            </w:r>
            <w:r w:rsidRPr="008912CF">
              <w:rPr>
                <w:b w:val="0"/>
                <w:color w:val="auto"/>
                <w:szCs w:val="22"/>
              </w:rPr>
              <w:t>monoterapia e da associação terapêutica Humira/metotrexato usando o teste de Mann-Whitney U.</w:t>
            </w:r>
          </w:p>
          <w:p w14:paraId="24923A8D" w14:textId="77777777" w:rsidR="004462A0" w:rsidRPr="008912CF" w:rsidRDefault="00615769" w:rsidP="00F675CF">
            <w:pPr>
              <w:pStyle w:val="BodyTextIndent"/>
              <w:keepNext/>
              <w:ind w:left="329" w:hanging="329"/>
              <w:rPr>
                <w:b w:val="0"/>
                <w:color w:val="auto"/>
                <w:szCs w:val="22"/>
              </w:rPr>
            </w:pPr>
            <w:r w:rsidRPr="008912CF">
              <w:rPr>
                <w:b w:val="0"/>
                <w:color w:val="auto"/>
                <w:szCs w:val="22"/>
                <w:vertAlign w:val="superscript"/>
              </w:rPr>
              <w:t>c</w:t>
            </w:r>
            <w:r w:rsidR="003B2051">
              <w:rPr>
                <w:b w:val="0"/>
                <w:color w:val="auto"/>
                <w:szCs w:val="22"/>
                <w:vertAlign w:val="superscript"/>
              </w:rPr>
              <w:t xml:space="preserve">        </w:t>
            </w:r>
            <w:r w:rsidRPr="008912CF">
              <w:rPr>
                <w:b w:val="0"/>
                <w:color w:val="auto"/>
                <w:szCs w:val="22"/>
              </w:rPr>
              <w:t xml:space="preserve">valores-p </w:t>
            </w:r>
            <w:r w:rsidRPr="008912CF">
              <w:rPr>
                <w:b w:val="0"/>
                <w:bCs/>
                <w:color w:val="auto"/>
                <w:szCs w:val="22"/>
              </w:rPr>
              <w:t>comparativos emparelhados de Humira e metotrexato em monoterapia</w:t>
            </w:r>
            <w:r w:rsidRPr="008912CF">
              <w:rPr>
                <w:b w:val="0"/>
                <w:color w:val="auto"/>
                <w:szCs w:val="22"/>
              </w:rPr>
              <w:t xml:space="preserve"> usando o teste de Mann-Whitney U.</w:t>
            </w:r>
          </w:p>
        </w:tc>
      </w:tr>
    </w:tbl>
    <w:p w14:paraId="6D7FB337" w14:textId="77777777" w:rsidR="004462A0" w:rsidRDefault="004462A0" w:rsidP="004462A0">
      <w:pPr>
        <w:rPr>
          <w:sz w:val="22"/>
          <w:szCs w:val="22"/>
        </w:rPr>
      </w:pPr>
    </w:p>
    <w:p w14:paraId="570B2EDA" w14:textId="77777777" w:rsidR="004462A0" w:rsidRDefault="00615769" w:rsidP="004462A0">
      <w:pPr>
        <w:rPr>
          <w:sz w:val="22"/>
          <w:szCs w:val="22"/>
        </w:rPr>
      </w:pPr>
      <w:r>
        <w:rPr>
          <w:sz w:val="22"/>
          <w:szCs w:val="22"/>
        </w:rPr>
        <w:t xml:space="preserve">Na extensão de fase aberta do estudo AR V, as percentagens de resposta </w:t>
      </w:r>
      <w:r w:rsidRPr="008912CF">
        <w:rPr>
          <w:sz w:val="22"/>
          <w:szCs w:val="22"/>
        </w:rPr>
        <w:t xml:space="preserve">ACR </w:t>
      </w:r>
      <w:r>
        <w:rPr>
          <w:sz w:val="22"/>
          <w:szCs w:val="22"/>
        </w:rPr>
        <w:t>foram mantidas</w:t>
      </w:r>
      <w:r w:rsidRPr="008912CF">
        <w:rPr>
          <w:sz w:val="22"/>
          <w:szCs w:val="22"/>
        </w:rPr>
        <w:t xml:space="preserve"> quando acompanhados até 10 anos.</w:t>
      </w:r>
      <w:r>
        <w:rPr>
          <w:sz w:val="22"/>
          <w:szCs w:val="22"/>
        </w:rPr>
        <w:t xml:space="preserve"> </w:t>
      </w:r>
      <w:r w:rsidRPr="008912CF">
        <w:rPr>
          <w:sz w:val="22"/>
          <w:szCs w:val="22"/>
        </w:rPr>
        <w:t xml:space="preserve">Dos </w:t>
      </w:r>
      <w:r>
        <w:rPr>
          <w:sz w:val="22"/>
          <w:szCs w:val="22"/>
        </w:rPr>
        <w:t>542</w:t>
      </w:r>
      <w:r w:rsidRPr="008912CF">
        <w:rPr>
          <w:sz w:val="22"/>
          <w:szCs w:val="22"/>
        </w:rPr>
        <w:t xml:space="preserve"> doentes que foram </w:t>
      </w:r>
      <w:r>
        <w:rPr>
          <w:sz w:val="22"/>
          <w:szCs w:val="22"/>
        </w:rPr>
        <w:t xml:space="preserve">aleatorizados </w:t>
      </w:r>
      <w:r w:rsidR="004D006C">
        <w:rPr>
          <w:sz w:val="22"/>
          <w:szCs w:val="22"/>
        </w:rPr>
        <w:t>para</w:t>
      </w:r>
      <w:r w:rsidR="004D006C" w:rsidRPr="008912CF">
        <w:rPr>
          <w:sz w:val="22"/>
          <w:szCs w:val="22"/>
        </w:rPr>
        <w:t xml:space="preserve"> </w:t>
      </w:r>
      <w:r w:rsidRPr="008912CF">
        <w:rPr>
          <w:sz w:val="22"/>
          <w:szCs w:val="22"/>
        </w:rPr>
        <w:t>Humira 40 mg em semanas alternadas, 1</w:t>
      </w:r>
      <w:r>
        <w:rPr>
          <w:sz w:val="22"/>
          <w:szCs w:val="22"/>
        </w:rPr>
        <w:t>70</w:t>
      </w:r>
      <w:r w:rsidRPr="008912CF">
        <w:rPr>
          <w:sz w:val="22"/>
          <w:szCs w:val="22"/>
        </w:rPr>
        <w:t xml:space="preserve"> doentes continuaram com Humira 40</w:t>
      </w:r>
      <w:r>
        <w:rPr>
          <w:sz w:val="22"/>
          <w:szCs w:val="22"/>
        </w:rPr>
        <w:t> </w:t>
      </w:r>
      <w:r w:rsidRPr="008912CF">
        <w:rPr>
          <w:sz w:val="22"/>
          <w:szCs w:val="22"/>
        </w:rPr>
        <w:t xml:space="preserve">mg em semanas alternadas durante </w:t>
      </w:r>
      <w:r>
        <w:rPr>
          <w:sz w:val="22"/>
          <w:szCs w:val="22"/>
        </w:rPr>
        <w:t>10</w:t>
      </w:r>
      <w:r w:rsidRPr="008912CF">
        <w:rPr>
          <w:sz w:val="22"/>
          <w:szCs w:val="22"/>
        </w:rPr>
        <w:t xml:space="preserve"> anos. E</w:t>
      </w:r>
      <w:r>
        <w:rPr>
          <w:sz w:val="22"/>
          <w:szCs w:val="22"/>
        </w:rPr>
        <w:t>ntre estes</w:t>
      </w:r>
      <w:r w:rsidRPr="008912CF">
        <w:rPr>
          <w:sz w:val="22"/>
          <w:szCs w:val="22"/>
        </w:rPr>
        <w:t xml:space="preserve">, </w:t>
      </w:r>
      <w:r>
        <w:rPr>
          <w:sz w:val="22"/>
          <w:szCs w:val="22"/>
        </w:rPr>
        <w:t>154</w:t>
      </w:r>
      <w:r w:rsidRPr="008912CF">
        <w:rPr>
          <w:sz w:val="22"/>
          <w:szCs w:val="22"/>
        </w:rPr>
        <w:t xml:space="preserve"> doentes (</w:t>
      </w:r>
      <w:r>
        <w:rPr>
          <w:sz w:val="22"/>
          <w:szCs w:val="22"/>
        </w:rPr>
        <w:t>90,6</w:t>
      </w:r>
      <w:r w:rsidR="009343EF">
        <w:rPr>
          <w:sz w:val="22"/>
          <w:szCs w:val="22"/>
        </w:rPr>
        <w:t>%</w:t>
      </w:r>
      <w:r w:rsidRPr="008912CF">
        <w:rPr>
          <w:sz w:val="22"/>
          <w:szCs w:val="22"/>
        </w:rPr>
        <w:t xml:space="preserve">) </w:t>
      </w:r>
      <w:r>
        <w:rPr>
          <w:sz w:val="22"/>
          <w:szCs w:val="22"/>
        </w:rPr>
        <w:t xml:space="preserve">atingiram </w:t>
      </w:r>
      <w:r w:rsidRPr="008912CF">
        <w:rPr>
          <w:sz w:val="22"/>
          <w:szCs w:val="22"/>
        </w:rPr>
        <w:t>resposta</w:t>
      </w:r>
      <w:r>
        <w:rPr>
          <w:sz w:val="22"/>
          <w:szCs w:val="22"/>
        </w:rPr>
        <w:t>s</w:t>
      </w:r>
      <w:r w:rsidRPr="008912CF">
        <w:rPr>
          <w:sz w:val="22"/>
          <w:szCs w:val="22"/>
        </w:rPr>
        <w:t xml:space="preserve"> ACR 20; </w:t>
      </w:r>
      <w:r>
        <w:rPr>
          <w:sz w:val="22"/>
          <w:szCs w:val="22"/>
        </w:rPr>
        <w:t>127</w:t>
      </w:r>
      <w:r w:rsidRPr="008912CF">
        <w:rPr>
          <w:sz w:val="22"/>
          <w:szCs w:val="22"/>
        </w:rPr>
        <w:t xml:space="preserve"> doentes (</w:t>
      </w:r>
      <w:r>
        <w:rPr>
          <w:sz w:val="22"/>
          <w:szCs w:val="22"/>
        </w:rPr>
        <w:t>74</w:t>
      </w:r>
      <w:r w:rsidRPr="008912CF">
        <w:rPr>
          <w:sz w:val="22"/>
          <w:szCs w:val="22"/>
        </w:rPr>
        <w:t>,</w:t>
      </w:r>
      <w:r>
        <w:rPr>
          <w:sz w:val="22"/>
          <w:szCs w:val="22"/>
        </w:rPr>
        <w:t>7</w:t>
      </w:r>
      <w:r w:rsidR="009343EF">
        <w:rPr>
          <w:sz w:val="22"/>
          <w:szCs w:val="22"/>
        </w:rPr>
        <w:t>%</w:t>
      </w:r>
      <w:r w:rsidRPr="008912CF">
        <w:rPr>
          <w:sz w:val="22"/>
          <w:szCs w:val="22"/>
        </w:rPr>
        <w:t xml:space="preserve">) </w:t>
      </w:r>
      <w:r>
        <w:rPr>
          <w:sz w:val="22"/>
          <w:szCs w:val="22"/>
        </w:rPr>
        <w:t xml:space="preserve">atingiram  </w:t>
      </w:r>
      <w:r w:rsidRPr="008912CF">
        <w:rPr>
          <w:sz w:val="22"/>
          <w:szCs w:val="22"/>
        </w:rPr>
        <w:t>resposta</w:t>
      </w:r>
      <w:r>
        <w:rPr>
          <w:sz w:val="22"/>
          <w:szCs w:val="22"/>
        </w:rPr>
        <w:t>s</w:t>
      </w:r>
      <w:r w:rsidRPr="008912CF">
        <w:rPr>
          <w:sz w:val="22"/>
          <w:szCs w:val="22"/>
        </w:rPr>
        <w:t xml:space="preserve"> ACR 50; e </w:t>
      </w:r>
      <w:r>
        <w:rPr>
          <w:sz w:val="22"/>
          <w:szCs w:val="22"/>
        </w:rPr>
        <w:t>102</w:t>
      </w:r>
      <w:r w:rsidRPr="008912CF">
        <w:rPr>
          <w:sz w:val="22"/>
          <w:szCs w:val="22"/>
        </w:rPr>
        <w:t xml:space="preserve"> doentes (</w:t>
      </w:r>
      <w:r>
        <w:rPr>
          <w:sz w:val="22"/>
          <w:szCs w:val="22"/>
        </w:rPr>
        <w:t>60,0</w:t>
      </w:r>
      <w:r w:rsidRPr="008912CF">
        <w:rPr>
          <w:sz w:val="22"/>
          <w:szCs w:val="22"/>
        </w:rPr>
        <w:t xml:space="preserve">%) </w:t>
      </w:r>
      <w:r>
        <w:rPr>
          <w:sz w:val="22"/>
          <w:szCs w:val="22"/>
        </w:rPr>
        <w:t xml:space="preserve">atingiram </w:t>
      </w:r>
      <w:r w:rsidRPr="008912CF">
        <w:rPr>
          <w:sz w:val="22"/>
          <w:szCs w:val="22"/>
        </w:rPr>
        <w:t>resposta</w:t>
      </w:r>
      <w:r>
        <w:rPr>
          <w:sz w:val="22"/>
          <w:szCs w:val="22"/>
        </w:rPr>
        <w:t>s</w:t>
      </w:r>
      <w:r w:rsidRPr="008912CF">
        <w:rPr>
          <w:sz w:val="22"/>
          <w:szCs w:val="22"/>
        </w:rPr>
        <w:t xml:space="preserve"> ACR 70</w:t>
      </w:r>
      <w:r>
        <w:rPr>
          <w:sz w:val="22"/>
          <w:szCs w:val="22"/>
        </w:rPr>
        <w:t>.</w:t>
      </w:r>
    </w:p>
    <w:p w14:paraId="6311545C" w14:textId="77777777" w:rsidR="004462A0" w:rsidRPr="008912CF" w:rsidRDefault="004462A0" w:rsidP="004462A0">
      <w:pPr>
        <w:rPr>
          <w:sz w:val="22"/>
          <w:szCs w:val="22"/>
        </w:rPr>
      </w:pPr>
    </w:p>
    <w:p w14:paraId="2ADE2E3B" w14:textId="77777777" w:rsidR="004462A0" w:rsidRPr="008912CF" w:rsidRDefault="00615769" w:rsidP="004462A0">
      <w:pPr>
        <w:rPr>
          <w:sz w:val="22"/>
          <w:szCs w:val="22"/>
        </w:rPr>
      </w:pPr>
      <w:r w:rsidRPr="008912CF">
        <w:rPr>
          <w:sz w:val="22"/>
          <w:szCs w:val="22"/>
        </w:rPr>
        <w:t>Na Semana 52, 42,9</w:t>
      </w:r>
      <w:r w:rsidR="009343EF">
        <w:rPr>
          <w:sz w:val="22"/>
          <w:szCs w:val="22"/>
        </w:rPr>
        <w:t>%</w:t>
      </w:r>
      <w:r w:rsidRPr="008912CF">
        <w:rPr>
          <w:sz w:val="22"/>
          <w:szCs w:val="22"/>
        </w:rPr>
        <w:t xml:space="preserve"> dos doentes tratados com a associação terapêutica Humira/metotrexato atingiram remissão clínica (DAS 28 </w:t>
      </w:r>
      <w:r>
        <w:rPr>
          <w:sz w:val="22"/>
          <w:szCs w:val="22"/>
        </w:rPr>
        <w:t xml:space="preserve">(PCR) </w:t>
      </w:r>
      <w:r w:rsidRPr="008912CF">
        <w:rPr>
          <w:sz w:val="22"/>
          <w:szCs w:val="22"/>
        </w:rPr>
        <w:t>&lt; 2,6) comparativamente com 20,6</w:t>
      </w:r>
      <w:r w:rsidR="009343EF">
        <w:rPr>
          <w:sz w:val="22"/>
          <w:szCs w:val="22"/>
        </w:rPr>
        <w:t>%</w:t>
      </w:r>
      <w:r w:rsidRPr="008912CF">
        <w:rPr>
          <w:sz w:val="22"/>
          <w:szCs w:val="22"/>
        </w:rPr>
        <w:t xml:space="preserve"> dos doentes tratados com metotrexato em monoterapia e 23,4</w:t>
      </w:r>
      <w:r w:rsidR="009343EF">
        <w:rPr>
          <w:sz w:val="22"/>
          <w:szCs w:val="22"/>
        </w:rPr>
        <w:t>%</w:t>
      </w:r>
      <w:r w:rsidRPr="008912CF">
        <w:rPr>
          <w:sz w:val="22"/>
          <w:szCs w:val="22"/>
        </w:rPr>
        <w:t xml:space="preserve"> dos doentes tratados com Humira em monoterapia. Em doentes recentemente diagnosticados com artrite reumatoide moderada a grave, a associação terapêutica Humira/metotrexato foi clinicamente e estatisticamente superior </w:t>
      </w:r>
      <w:r w:rsidR="004D006C">
        <w:rPr>
          <w:sz w:val="22"/>
          <w:szCs w:val="22"/>
        </w:rPr>
        <w:t>a</w:t>
      </w:r>
      <w:r w:rsidRPr="008912CF">
        <w:rPr>
          <w:sz w:val="22"/>
          <w:szCs w:val="22"/>
        </w:rPr>
        <w:t xml:space="preserve"> metotrexato (p &lt; 0,001) e </w:t>
      </w:r>
      <w:r w:rsidR="004D006C">
        <w:rPr>
          <w:sz w:val="22"/>
          <w:szCs w:val="22"/>
        </w:rPr>
        <w:t xml:space="preserve">a </w:t>
      </w:r>
      <w:r w:rsidRPr="008912CF">
        <w:rPr>
          <w:sz w:val="22"/>
          <w:szCs w:val="22"/>
        </w:rPr>
        <w:t xml:space="preserve">Humira em monoterapia (p &lt; 0,001) </w:t>
      </w:r>
      <w:r w:rsidR="004D006C">
        <w:rPr>
          <w:sz w:val="22"/>
          <w:szCs w:val="22"/>
        </w:rPr>
        <w:t>na</w:t>
      </w:r>
      <w:r w:rsidRPr="008912CF">
        <w:rPr>
          <w:sz w:val="22"/>
          <w:szCs w:val="22"/>
        </w:rPr>
        <w:t xml:space="preserve"> redução da atividade da</w:t>
      </w:r>
      <w:r w:rsidRPr="008912CF">
        <w:rPr>
          <w:sz w:val="22"/>
          <w:szCs w:val="22"/>
        </w:rPr>
        <w:t xml:space="preserve"> doença. A resposta foi similar nos dois braços de monoterapia (p = 0,447).</w:t>
      </w:r>
      <w:r>
        <w:rPr>
          <w:sz w:val="22"/>
          <w:szCs w:val="22"/>
        </w:rPr>
        <w:t xml:space="preserve"> Dos 342 doentes incluídos na extensão de fase aberta do estudo, originalmente aleatorizados com Humira em monoterapia ou associação terapêutica Humira/metotrexato, 171 doentes completaram 10 anos de tratamento com Humira. Entre estes, 109 doentes (63,7%) apresentaram remissão aos 10 anos.</w:t>
      </w:r>
    </w:p>
    <w:p w14:paraId="28A05AFC" w14:textId="77777777" w:rsidR="004462A0" w:rsidRDefault="004462A0" w:rsidP="004462A0">
      <w:pPr>
        <w:pStyle w:val="Heading9"/>
        <w:keepNext w:val="0"/>
        <w:rPr>
          <w:i/>
          <w:szCs w:val="22"/>
        </w:rPr>
      </w:pPr>
    </w:p>
    <w:p w14:paraId="2ACF4F50" w14:textId="77777777" w:rsidR="004462A0" w:rsidRPr="008912CF" w:rsidRDefault="00615769" w:rsidP="004462A0">
      <w:pPr>
        <w:pStyle w:val="Heading9"/>
        <w:keepNext w:val="0"/>
        <w:rPr>
          <w:szCs w:val="22"/>
        </w:rPr>
      </w:pPr>
      <w:r w:rsidRPr="008912CF">
        <w:rPr>
          <w:i/>
          <w:szCs w:val="22"/>
        </w:rPr>
        <w:t>Resposta radiológica</w:t>
      </w:r>
    </w:p>
    <w:p w14:paraId="6E227AC3" w14:textId="77777777" w:rsidR="004462A0" w:rsidRPr="008912CF" w:rsidRDefault="004462A0" w:rsidP="004462A0">
      <w:pPr>
        <w:rPr>
          <w:sz w:val="22"/>
          <w:szCs w:val="22"/>
        </w:rPr>
      </w:pPr>
    </w:p>
    <w:p w14:paraId="3BCC8EB7" w14:textId="77777777" w:rsidR="004462A0" w:rsidRPr="008912CF" w:rsidRDefault="00615769" w:rsidP="004462A0">
      <w:pPr>
        <w:rPr>
          <w:sz w:val="22"/>
          <w:szCs w:val="22"/>
        </w:rPr>
      </w:pPr>
      <w:r w:rsidRPr="008912CF">
        <w:rPr>
          <w:sz w:val="22"/>
          <w:szCs w:val="22"/>
        </w:rPr>
        <w:t>No estudo AR III, em que os doentes tratados com Humira tinham uma duração média de artrite reumatoide de aproximadamente 11 anos, a lesão estrutural articular foi avaliada radiologicamente e expressa como alteração na Escala Total de Sharp (TSS) modificada e respetivos componentes, escala de erosão e escala do estreitamento do espaço articular. Doentes tratados com Humira/metotrexato demonstraram uma progressão radiológica significativamente menor do que os doentes tratados apenas com metotrexato aos 6 e 1</w:t>
      </w:r>
      <w:r w:rsidRPr="008912CF">
        <w:rPr>
          <w:sz w:val="22"/>
          <w:szCs w:val="22"/>
        </w:rPr>
        <w:t xml:space="preserve">2 meses (ver Tabela </w:t>
      </w:r>
      <w:r w:rsidR="00E549E4">
        <w:rPr>
          <w:sz w:val="22"/>
          <w:szCs w:val="22"/>
        </w:rPr>
        <w:t>10</w:t>
      </w:r>
      <w:r w:rsidRPr="008912CF">
        <w:rPr>
          <w:sz w:val="22"/>
          <w:szCs w:val="22"/>
        </w:rPr>
        <w:t>).</w:t>
      </w:r>
    </w:p>
    <w:p w14:paraId="318BD055" w14:textId="77777777" w:rsidR="004462A0" w:rsidRPr="008912CF" w:rsidRDefault="004462A0" w:rsidP="004462A0">
      <w:pPr>
        <w:rPr>
          <w:sz w:val="22"/>
          <w:szCs w:val="22"/>
        </w:rPr>
      </w:pPr>
    </w:p>
    <w:p w14:paraId="5BC41C27" w14:textId="77777777" w:rsidR="004462A0" w:rsidRPr="008912CF" w:rsidRDefault="00615769" w:rsidP="004462A0">
      <w:pPr>
        <w:rPr>
          <w:sz w:val="22"/>
          <w:szCs w:val="22"/>
        </w:rPr>
      </w:pPr>
      <w:r w:rsidRPr="008912CF">
        <w:rPr>
          <w:sz w:val="22"/>
          <w:szCs w:val="22"/>
        </w:rPr>
        <w:t>Na extensão de fase aberta do estudo A</w:t>
      </w:r>
      <w:r w:rsidR="00FB0C02">
        <w:rPr>
          <w:sz w:val="22"/>
          <w:szCs w:val="22"/>
        </w:rPr>
        <w:t>R</w:t>
      </w:r>
      <w:r w:rsidRPr="008912CF">
        <w:rPr>
          <w:sz w:val="22"/>
          <w:szCs w:val="22"/>
        </w:rPr>
        <w:t xml:space="preserve"> III</w:t>
      </w:r>
      <w:r w:rsidR="00FB0C02">
        <w:rPr>
          <w:sz w:val="22"/>
          <w:szCs w:val="22"/>
        </w:rPr>
        <w:t>,</w:t>
      </w:r>
      <w:r w:rsidRPr="008912CF">
        <w:rPr>
          <w:sz w:val="22"/>
          <w:szCs w:val="22"/>
        </w:rPr>
        <w:t xml:space="preserve"> a redução da taxa de progressão da lesão estrutural manteve-se por 8 e 10 anos num subgrupo de doentes. Aos 8 anos, 81 dos 207 doentes originalmente tratados com 40 mg de Humira em semanas alternadas foram avaliados radiologicamente. Entre estes, 48 doentes não mostraram progressão da lesão estrutural</w:t>
      </w:r>
      <w:r w:rsidR="00FB0C02">
        <w:rPr>
          <w:sz w:val="22"/>
          <w:szCs w:val="22"/>
        </w:rPr>
        <w:t>,</w:t>
      </w:r>
      <w:r w:rsidRPr="008912CF">
        <w:rPr>
          <w:sz w:val="22"/>
          <w:szCs w:val="22"/>
        </w:rPr>
        <w:t xml:space="preserve"> definida por uma alteração desde o início do estudo de 0,5 ou menos na mTSS. Aos 10 anos, 79 dos 207 doentes inicialmente tratados com Humira 40</w:t>
      </w:r>
      <w:r>
        <w:rPr>
          <w:sz w:val="22"/>
          <w:szCs w:val="22"/>
        </w:rPr>
        <w:t> </w:t>
      </w:r>
      <w:r w:rsidRPr="008912CF">
        <w:rPr>
          <w:sz w:val="22"/>
          <w:szCs w:val="22"/>
        </w:rPr>
        <w:t>mg em semanas alternadas foram avaliados radiologicament</w:t>
      </w:r>
      <w:r w:rsidRPr="008912CF">
        <w:rPr>
          <w:sz w:val="22"/>
          <w:szCs w:val="22"/>
        </w:rPr>
        <w:t>e. Entre estes, 40 doentes não apresentaram progressão da lesão estrutural, definida por uma alteração desde o início do estudo de 0,5 ou menos na mTSS.</w:t>
      </w:r>
    </w:p>
    <w:p w14:paraId="0D78E4C1" w14:textId="77777777" w:rsidR="004462A0" w:rsidRPr="008912CF" w:rsidRDefault="004462A0" w:rsidP="004462A0">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430"/>
        <w:gridCol w:w="1790"/>
        <w:gridCol w:w="2000"/>
        <w:gridCol w:w="1548"/>
      </w:tblGrid>
      <w:tr w:rsidR="00A7162A" w14:paraId="0722F36A" w14:textId="77777777" w:rsidTr="00F675CF">
        <w:trPr>
          <w:cantSplit/>
        </w:trPr>
        <w:tc>
          <w:tcPr>
            <w:tcW w:w="8856" w:type="dxa"/>
            <w:gridSpan w:val="5"/>
            <w:tcBorders>
              <w:top w:val="nil"/>
              <w:left w:val="nil"/>
              <w:right w:val="nil"/>
            </w:tcBorders>
          </w:tcPr>
          <w:p w14:paraId="71EC78C2" w14:textId="77777777" w:rsidR="004462A0" w:rsidRPr="008912CF" w:rsidRDefault="00615769" w:rsidP="00F675CF">
            <w:pPr>
              <w:pStyle w:val="Heading9"/>
              <w:jc w:val="center"/>
              <w:rPr>
                <w:b/>
                <w:bCs/>
                <w:u w:val="none"/>
              </w:rPr>
            </w:pPr>
            <w:r w:rsidRPr="008912CF">
              <w:rPr>
                <w:b/>
                <w:bCs/>
                <w:szCs w:val="22"/>
                <w:u w:val="none"/>
              </w:rPr>
              <w:t xml:space="preserve">Tabela </w:t>
            </w:r>
            <w:r w:rsidR="00E549E4">
              <w:rPr>
                <w:b/>
                <w:bCs/>
                <w:szCs w:val="22"/>
                <w:u w:val="none"/>
              </w:rPr>
              <w:t>10</w:t>
            </w:r>
          </w:p>
          <w:p w14:paraId="17E1909B" w14:textId="77777777" w:rsidR="004462A0" w:rsidRPr="008912CF" w:rsidRDefault="00615769" w:rsidP="00F675CF">
            <w:pPr>
              <w:pStyle w:val="Heading9"/>
              <w:jc w:val="center"/>
              <w:rPr>
                <w:b/>
                <w:bCs/>
                <w:strike/>
                <w:u w:val="none"/>
              </w:rPr>
            </w:pPr>
            <w:r w:rsidRPr="008912CF">
              <w:rPr>
                <w:b/>
                <w:bCs/>
                <w:szCs w:val="22"/>
                <w:u w:val="none"/>
              </w:rPr>
              <w:t>Alteração Média Radiológica durante 12 meses no Estudo AR III</w:t>
            </w:r>
          </w:p>
          <w:p w14:paraId="437553F7" w14:textId="77777777" w:rsidR="004462A0" w:rsidRPr="008912CF" w:rsidRDefault="004462A0" w:rsidP="00F675CF">
            <w:pPr>
              <w:keepNext/>
              <w:jc w:val="center"/>
              <w:rPr>
                <w:b/>
                <w:bCs/>
                <w:highlight w:val="red"/>
              </w:rPr>
            </w:pPr>
          </w:p>
        </w:tc>
      </w:tr>
      <w:tr w:rsidR="00A7162A" w14:paraId="772CE505" w14:textId="77777777" w:rsidTr="00F675CF">
        <w:tc>
          <w:tcPr>
            <w:tcW w:w="2088" w:type="dxa"/>
          </w:tcPr>
          <w:p w14:paraId="62E0E453" w14:textId="77777777" w:rsidR="004462A0" w:rsidRPr="008912CF" w:rsidRDefault="004462A0" w:rsidP="00F675CF">
            <w:pPr>
              <w:keepNext/>
              <w:jc w:val="center"/>
            </w:pPr>
          </w:p>
        </w:tc>
        <w:tc>
          <w:tcPr>
            <w:tcW w:w="1430" w:type="dxa"/>
          </w:tcPr>
          <w:p w14:paraId="68A4348B" w14:textId="77777777" w:rsidR="004462A0" w:rsidRPr="008912CF" w:rsidRDefault="00615769" w:rsidP="00F675CF">
            <w:pPr>
              <w:keepNext/>
            </w:pPr>
            <w:r w:rsidRPr="008912CF">
              <w:rPr>
                <w:sz w:val="22"/>
                <w:szCs w:val="22"/>
              </w:rPr>
              <w:t>Placebo/</w:t>
            </w:r>
          </w:p>
          <w:p w14:paraId="7E80A404" w14:textId="77777777" w:rsidR="004462A0" w:rsidRPr="008912CF" w:rsidRDefault="00615769" w:rsidP="00F675CF">
            <w:pPr>
              <w:keepNext/>
              <w:rPr>
                <w:vertAlign w:val="superscript"/>
              </w:rPr>
            </w:pPr>
            <w:r w:rsidRPr="008912CF">
              <w:rPr>
                <w:sz w:val="22"/>
                <w:szCs w:val="22"/>
              </w:rPr>
              <w:t>MTX</w:t>
            </w:r>
            <w:r w:rsidRPr="008912CF">
              <w:rPr>
                <w:sz w:val="22"/>
                <w:szCs w:val="22"/>
                <w:vertAlign w:val="superscript"/>
              </w:rPr>
              <w:t>a</w:t>
            </w:r>
          </w:p>
        </w:tc>
        <w:tc>
          <w:tcPr>
            <w:tcW w:w="1790" w:type="dxa"/>
          </w:tcPr>
          <w:p w14:paraId="28212065" w14:textId="77777777" w:rsidR="004462A0" w:rsidRPr="008912CF" w:rsidRDefault="00615769" w:rsidP="00F675CF">
            <w:pPr>
              <w:keepNext/>
              <w:jc w:val="center"/>
            </w:pPr>
            <w:r w:rsidRPr="008912CF">
              <w:rPr>
                <w:sz w:val="22"/>
                <w:szCs w:val="22"/>
              </w:rPr>
              <w:t>Humira/MTX</w:t>
            </w:r>
          </w:p>
          <w:p w14:paraId="19E48EBF" w14:textId="77777777" w:rsidR="004462A0" w:rsidRPr="008912CF" w:rsidRDefault="00615769" w:rsidP="00F675CF">
            <w:pPr>
              <w:keepNext/>
              <w:jc w:val="center"/>
            </w:pPr>
            <w:r w:rsidRPr="008912CF">
              <w:rPr>
                <w:sz w:val="22"/>
                <w:szCs w:val="22"/>
              </w:rPr>
              <w:t>40 mg em semanas alternadas</w:t>
            </w:r>
          </w:p>
        </w:tc>
        <w:tc>
          <w:tcPr>
            <w:tcW w:w="2000" w:type="dxa"/>
          </w:tcPr>
          <w:p w14:paraId="7044F6DF" w14:textId="77777777" w:rsidR="004462A0" w:rsidRPr="008912CF" w:rsidRDefault="00615769" w:rsidP="00F675CF">
            <w:pPr>
              <w:keepNext/>
              <w:jc w:val="center"/>
            </w:pPr>
            <w:r w:rsidRPr="008912CF">
              <w:rPr>
                <w:sz w:val="22"/>
                <w:szCs w:val="22"/>
              </w:rPr>
              <w:t>Placebo/MTX-Humira/MTX (95% Intervalo de confiança</w:t>
            </w:r>
            <w:r w:rsidRPr="008912CF">
              <w:rPr>
                <w:sz w:val="22"/>
                <w:szCs w:val="22"/>
                <w:vertAlign w:val="superscript"/>
              </w:rPr>
              <w:t>b</w:t>
            </w:r>
            <w:r w:rsidRPr="008912CF">
              <w:rPr>
                <w:sz w:val="22"/>
                <w:szCs w:val="22"/>
              </w:rPr>
              <w:t>)</w:t>
            </w:r>
          </w:p>
        </w:tc>
        <w:tc>
          <w:tcPr>
            <w:tcW w:w="1548" w:type="dxa"/>
          </w:tcPr>
          <w:p w14:paraId="20BFBFC6" w14:textId="77777777" w:rsidR="004462A0" w:rsidRPr="008912CF" w:rsidRDefault="00615769" w:rsidP="00F675CF">
            <w:pPr>
              <w:keepNext/>
              <w:jc w:val="center"/>
            </w:pPr>
            <w:r w:rsidRPr="008912CF">
              <w:rPr>
                <w:sz w:val="22"/>
                <w:szCs w:val="22"/>
              </w:rPr>
              <w:t>valor</w:t>
            </w:r>
            <w:r w:rsidR="004D006C">
              <w:rPr>
                <w:sz w:val="22"/>
                <w:szCs w:val="22"/>
              </w:rPr>
              <w:t>-p</w:t>
            </w:r>
          </w:p>
        </w:tc>
      </w:tr>
      <w:tr w:rsidR="00A7162A" w14:paraId="2CA14BC3" w14:textId="77777777" w:rsidTr="00F675CF">
        <w:tc>
          <w:tcPr>
            <w:tcW w:w="2088" w:type="dxa"/>
          </w:tcPr>
          <w:p w14:paraId="105AE5B5" w14:textId="77777777" w:rsidR="004462A0" w:rsidRPr="008912CF" w:rsidRDefault="00615769" w:rsidP="00F675CF">
            <w:pPr>
              <w:keepNext/>
              <w:jc w:val="center"/>
            </w:pPr>
            <w:r w:rsidRPr="008912CF">
              <w:rPr>
                <w:sz w:val="22"/>
                <w:szCs w:val="22"/>
              </w:rPr>
              <w:t>Escala Total de Sharp</w:t>
            </w:r>
          </w:p>
        </w:tc>
        <w:tc>
          <w:tcPr>
            <w:tcW w:w="1430" w:type="dxa"/>
          </w:tcPr>
          <w:p w14:paraId="0A2B1205" w14:textId="77777777" w:rsidR="004462A0" w:rsidRPr="008912CF" w:rsidRDefault="00615769" w:rsidP="00F675CF">
            <w:pPr>
              <w:keepNext/>
              <w:jc w:val="center"/>
            </w:pPr>
            <w:r w:rsidRPr="008912CF">
              <w:rPr>
                <w:sz w:val="22"/>
                <w:szCs w:val="22"/>
              </w:rPr>
              <w:t>2,7</w:t>
            </w:r>
          </w:p>
        </w:tc>
        <w:tc>
          <w:tcPr>
            <w:tcW w:w="1790" w:type="dxa"/>
          </w:tcPr>
          <w:p w14:paraId="315F0550" w14:textId="77777777" w:rsidR="004462A0" w:rsidRPr="008912CF" w:rsidRDefault="00615769" w:rsidP="00F675CF">
            <w:pPr>
              <w:keepNext/>
              <w:jc w:val="center"/>
            </w:pPr>
            <w:r w:rsidRPr="008912CF">
              <w:rPr>
                <w:sz w:val="22"/>
                <w:szCs w:val="22"/>
              </w:rPr>
              <w:t>0,1</w:t>
            </w:r>
          </w:p>
        </w:tc>
        <w:tc>
          <w:tcPr>
            <w:tcW w:w="2000" w:type="dxa"/>
          </w:tcPr>
          <w:p w14:paraId="255B8A15" w14:textId="77777777" w:rsidR="004462A0" w:rsidRPr="008912CF" w:rsidRDefault="00615769" w:rsidP="00F675CF">
            <w:pPr>
              <w:keepNext/>
              <w:jc w:val="center"/>
            </w:pPr>
            <w:r w:rsidRPr="008912CF">
              <w:rPr>
                <w:sz w:val="22"/>
                <w:szCs w:val="22"/>
              </w:rPr>
              <w:t xml:space="preserve">2,6 (1,4, 3,8) </w:t>
            </w:r>
          </w:p>
        </w:tc>
        <w:tc>
          <w:tcPr>
            <w:tcW w:w="1548" w:type="dxa"/>
          </w:tcPr>
          <w:p w14:paraId="43CD0E10" w14:textId="77777777" w:rsidR="004462A0" w:rsidRPr="008912CF" w:rsidRDefault="00615769" w:rsidP="00F675CF">
            <w:pPr>
              <w:keepNext/>
              <w:jc w:val="center"/>
              <w:rPr>
                <w:vertAlign w:val="superscript"/>
              </w:rPr>
            </w:pPr>
            <w:r w:rsidRPr="008912CF">
              <w:rPr>
                <w:sz w:val="22"/>
                <w:szCs w:val="22"/>
              </w:rPr>
              <w:t>&lt; 0,001</w:t>
            </w:r>
            <w:r w:rsidRPr="008912CF">
              <w:rPr>
                <w:sz w:val="22"/>
                <w:szCs w:val="22"/>
                <w:vertAlign w:val="superscript"/>
              </w:rPr>
              <w:t>c</w:t>
            </w:r>
          </w:p>
        </w:tc>
      </w:tr>
      <w:tr w:rsidR="00A7162A" w14:paraId="3A3EE10A" w14:textId="77777777" w:rsidTr="00F675CF">
        <w:tc>
          <w:tcPr>
            <w:tcW w:w="2088" w:type="dxa"/>
          </w:tcPr>
          <w:p w14:paraId="42E44A69" w14:textId="77777777" w:rsidR="004462A0" w:rsidRPr="008912CF" w:rsidRDefault="00615769" w:rsidP="00F675CF">
            <w:pPr>
              <w:keepNext/>
              <w:jc w:val="center"/>
            </w:pPr>
            <w:r w:rsidRPr="008912CF">
              <w:rPr>
                <w:sz w:val="22"/>
                <w:szCs w:val="22"/>
              </w:rPr>
              <w:t>Escala de Erosão</w:t>
            </w:r>
          </w:p>
        </w:tc>
        <w:tc>
          <w:tcPr>
            <w:tcW w:w="1430" w:type="dxa"/>
          </w:tcPr>
          <w:p w14:paraId="4B077E6D" w14:textId="77777777" w:rsidR="004462A0" w:rsidRPr="008912CF" w:rsidRDefault="00615769" w:rsidP="00F675CF">
            <w:pPr>
              <w:keepNext/>
              <w:jc w:val="center"/>
            </w:pPr>
            <w:r w:rsidRPr="008912CF">
              <w:rPr>
                <w:sz w:val="22"/>
                <w:szCs w:val="22"/>
              </w:rPr>
              <w:t>1,6</w:t>
            </w:r>
          </w:p>
        </w:tc>
        <w:tc>
          <w:tcPr>
            <w:tcW w:w="1790" w:type="dxa"/>
          </w:tcPr>
          <w:p w14:paraId="798A0518" w14:textId="77777777" w:rsidR="004462A0" w:rsidRPr="008912CF" w:rsidRDefault="00615769" w:rsidP="00F675CF">
            <w:pPr>
              <w:keepNext/>
              <w:jc w:val="center"/>
            </w:pPr>
            <w:r w:rsidRPr="008912CF">
              <w:rPr>
                <w:sz w:val="22"/>
                <w:szCs w:val="22"/>
              </w:rPr>
              <w:t>0,0</w:t>
            </w:r>
          </w:p>
        </w:tc>
        <w:tc>
          <w:tcPr>
            <w:tcW w:w="2000" w:type="dxa"/>
          </w:tcPr>
          <w:p w14:paraId="3EF26055" w14:textId="77777777" w:rsidR="004462A0" w:rsidRPr="008912CF" w:rsidRDefault="00615769" w:rsidP="00F675CF">
            <w:pPr>
              <w:keepNext/>
              <w:jc w:val="center"/>
            </w:pPr>
            <w:r w:rsidRPr="008912CF">
              <w:rPr>
                <w:sz w:val="22"/>
                <w:szCs w:val="22"/>
              </w:rPr>
              <w:t>1,6 (0,9, 2,2)</w:t>
            </w:r>
          </w:p>
        </w:tc>
        <w:tc>
          <w:tcPr>
            <w:tcW w:w="1548" w:type="dxa"/>
          </w:tcPr>
          <w:p w14:paraId="73666508" w14:textId="77777777" w:rsidR="004462A0" w:rsidRPr="008912CF" w:rsidRDefault="00615769" w:rsidP="00F675CF">
            <w:pPr>
              <w:keepNext/>
              <w:jc w:val="center"/>
            </w:pPr>
            <w:r w:rsidRPr="008912CF">
              <w:rPr>
                <w:sz w:val="22"/>
                <w:szCs w:val="22"/>
              </w:rPr>
              <w:t>&lt; 0,001</w:t>
            </w:r>
          </w:p>
        </w:tc>
      </w:tr>
      <w:tr w:rsidR="00A7162A" w14:paraId="2253CE76" w14:textId="77777777" w:rsidTr="00F675CF">
        <w:tc>
          <w:tcPr>
            <w:tcW w:w="2088" w:type="dxa"/>
          </w:tcPr>
          <w:p w14:paraId="194BFD4C" w14:textId="77777777" w:rsidR="004462A0" w:rsidRPr="008912CF" w:rsidRDefault="00615769" w:rsidP="00F675CF">
            <w:pPr>
              <w:keepNext/>
              <w:jc w:val="center"/>
            </w:pPr>
            <w:r w:rsidRPr="008912CF">
              <w:rPr>
                <w:sz w:val="22"/>
                <w:szCs w:val="22"/>
              </w:rPr>
              <w:t>Escala de JSN</w:t>
            </w:r>
            <w:r w:rsidRPr="008912CF">
              <w:rPr>
                <w:sz w:val="22"/>
                <w:szCs w:val="22"/>
                <w:vertAlign w:val="superscript"/>
              </w:rPr>
              <w:t>d</w:t>
            </w:r>
            <w:r w:rsidRPr="008912CF">
              <w:rPr>
                <w:sz w:val="22"/>
                <w:szCs w:val="22"/>
              </w:rPr>
              <w:t xml:space="preserve"> </w:t>
            </w:r>
          </w:p>
        </w:tc>
        <w:tc>
          <w:tcPr>
            <w:tcW w:w="1430" w:type="dxa"/>
          </w:tcPr>
          <w:p w14:paraId="13411D16" w14:textId="77777777" w:rsidR="004462A0" w:rsidRPr="008912CF" w:rsidRDefault="00615769" w:rsidP="00F675CF">
            <w:pPr>
              <w:keepNext/>
              <w:jc w:val="center"/>
            </w:pPr>
            <w:r w:rsidRPr="008912CF">
              <w:rPr>
                <w:sz w:val="22"/>
                <w:szCs w:val="22"/>
              </w:rPr>
              <w:t>1,0</w:t>
            </w:r>
          </w:p>
        </w:tc>
        <w:tc>
          <w:tcPr>
            <w:tcW w:w="1790" w:type="dxa"/>
          </w:tcPr>
          <w:p w14:paraId="44058B9D" w14:textId="77777777" w:rsidR="004462A0" w:rsidRPr="008912CF" w:rsidRDefault="00615769" w:rsidP="00F675CF">
            <w:pPr>
              <w:keepNext/>
              <w:jc w:val="center"/>
            </w:pPr>
            <w:r w:rsidRPr="008912CF">
              <w:rPr>
                <w:sz w:val="22"/>
                <w:szCs w:val="22"/>
              </w:rPr>
              <w:t>0,1</w:t>
            </w:r>
          </w:p>
        </w:tc>
        <w:tc>
          <w:tcPr>
            <w:tcW w:w="2000" w:type="dxa"/>
          </w:tcPr>
          <w:p w14:paraId="23C9EFD6" w14:textId="77777777" w:rsidR="004462A0" w:rsidRPr="008912CF" w:rsidRDefault="00615769" w:rsidP="00F675CF">
            <w:pPr>
              <w:keepNext/>
              <w:jc w:val="center"/>
            </w:pPr>
            <w:r w:rsidRPr="008912CF">
              <w:rPr>
                <w:sz w:val="22"/>
                <w:szCs w:val="22"/>
              </w:rPr>
              <w:t>0,9 (0,3, 1,4)</w:t>
            </w:r>
          </w:p>
        </w:tc>
        <w:tc>
          <w:tcPr>
            <w:tcW w:w="1548" w:type="dxa"/>
          </w:tcPr>
          <w:p w14:paraId="1502AA81" w14:textId="77777777" w:rsidR="004462A0" w:rsidRPr="008912CF" w:rsidRDefault="00615769" w:rsidP="00F675CF">
            <w:pPr>
              <w:keepNext/>
              <w:jc w:val="center"/>
            </w:pPr>
            <w:r w:rsidRPr="008912CF">
              <w:rPr>
                <w:sz w:val="22"/>
                <w:szCs w:val="22"/>
              </w:rPr>
              <w:t xml:space="preserve">  0,002</w:t>
            </w:r>
          </w:p>
        </w:tc>
      </w:tr>
    </w:tbl>
    <w:p w14:paraId="0424562B" w14:textId="77777777" w:rsidR="004462A0" w:rsidRPr="008912CF" w:rsidRDefault="00615769" w:rsidP="004462A0">
      <w:pPr>
        <w:pStyle w:val="In-textfootnote"/>
        <w:spacing w:before="0" w:line="240" w:lineRule="auto"/>
        <w:rPr>
          <w:rFonts w:ascii="Times New Roman" w:hAnsi="Times New Roman"/>
          <w:sz w:val="22"/>
          <w:szCs w:val="22"/>
          <w:lang w:val="pt-PT"/>
        </w:rPr>
      </w:pPr>
      <w:r w:rsidRPr="008912CF">
        <w:rPr>
          <w:rFonts w:ascii="Times New Roman" w:hAnsi="Times New Roman"/>
          <w:b/>
          <w:bCs/>
          <w:sz w:val="22"/>
          <w:szCs w:val="22"/>
          <w:vertAlign w:val="superscript"/>
          <w:lang w:val="pt-PT"/>
        </w:rPr>
        <w:t xml:space="preserve">a </w:t>
      </w:r>
      <w:r w:rsidRPr="008912CF">
        <w:rPr>
          <w:rFonts w:ascii="Times New Roman" w:hAnsi="Times New Roman"/>
          <w:sz w:val="22"/>
          <w:szCs w:val="22"/>
          <w:lang w:val="pt-PT"/>
        </w:rPr>
        <w:t>Metotrexato</w:t>
      </w:r>
    </w:p>
    <w:p w14:paraId="010A662C" w14:textId="77777777" w:rsidR="004462A0" w:rsidRPr="008912CF" w:rsidRDefault="00615769" w:rsidP="004462A0">
      <w:pPr>
        <w:pStyle w:val="In-textfootnote"/>
        <w:spacing w:before="0" w:line="240" w:lineRule="auto"/>
        <w:rPr>
          <w:rFonts w:ascii="Times New Roman" w:hAnsi="Times New Roman"/>
          <w:sz w:val="22"/>
          <w:szCs w:val="22"/>
          <w:lang w:val="pt-PT"/>
        </w:rPr>
      </w:pPr>
      <w:r w:rsidRPr="008912CF">
        <w:rPr>
          <w:rFonts w:ascii="Times New Roman" w:hAnsi="Times New Roman"/>
          <w:sz w:val="22"/>
          <w:szCs w:val="22"/>
          <w:vertAlign w:val="superscript"/>
          <w:lang w:val="pt-PT"/>
        </w:rPr>
        <w:t xml:space="preserve">b </w:t>
      </w:r>
      <w:r w:rsidRPr="008912CF">
        <w:rPr>
          <w:rFonts w:ascii="Times New Roman" w:hAnsi="Times New Roman"/>
          <w:sz w:val="22"/>
          <w:szCs w:val="22"/>
          <w:lang w:val="pt-PT"/>
        </w:rPr>
        <w:t>Intervalo de confiança de 95</w:t>
      </w:r>
      <w:r w:rsidR="009343EF">
        <w:rPr>
          <w:rFonts w:ascii="Times New Roman" w:hAnsi="Times New Roman"/>
          <w:sz w:val="22"/>
          <w:szCs w:val="22"/>
          <w:lang w:val="pt-PT"/>
        </w:rPr>
        <w:t>%</w:t>
      </w:r>
      <w:r w:rsidRPr="008912CF">
        <w:rPr>
          <w:rFonts w:ascii="Times New Roman" w:hAnsi="Times New Roman"/>
          <w:sz w:val="22"/>
          <w:szCs w:val="22"/>
          <w:lang w:val="pt-PT"/>
        </w:rPr>
        <w:t xml:space="preserve"> para as diferenças nas alterações das escalas entre metotrexato e Humira. </w:t>
      </w:r>
    </w:p>
    <w:p w14:paraId="06FE6275" w14:textId="77777777" w:rsidR="004462A0" w:rsidRPr="008912CF" w:rsidRDefault="00615769" w:rsidP="004462A0">
      <w:pPr>
        <w:pStyle w:val="In-textfootnote"/>
        <w:spacing w:before="0" w:line="240" w:lineRule="auto"/>
        <w:rPr>
          <w:rFonts w:ascii="Times New Roman" w:hAnsi="Times New Roman"/>
          <w:sz w:val="22"/>
          <w:szCs w:val="22"/>
          <w:lang w:val="pt-PT"/>
        </w:rPr>
      </w:pPr>
      <w:r w:rsidRPr="008912CF">
        <w:rPr>
          <w:rFonts w:ascii="Times New Roman" w:hAnsi="Times New Roman"/>
          <w:sz w:val="22"/>
          <w:szCs w:val="22"/>
          <w:vertAlign w:val="superscript"/>
          <w:lang w:val="pt-PT"/>
        </w:rPr>
        <w:t xml:space="preserve">c </w:t>
      </w:r>
      <w:r w:rsidRPr="008912CF">
        <w:rPr>
          <w:rFonts w:ascii="Times New Roman" w:hAnsi="Times New Roman"/>
          <w:sz w:val="22"/>
          <w:szCs w:val="22"/>
          <w:lang w:val="pt-PT"/>
        </w:rPr>
        <w:t>Com base em análise estatística</w:t>
      </w:r>
    </w:p>
    <w:p w14:paraId="6813C605" w14:textId="77777777" w:rsidR="004462A0" w:rsidRPr="008912CF" w:rsidRDefault="00615769" w:rsidP="004462A0">
      <w:pPr>
        <w:keepNext/>
        <w:rPr>
          <w:sz w:val="22"/>
          <w:szCs w:val="22"/>
          <w:highlight w:val="yellow"/>
        </w:rPr>
      </w:pPr>
      <w:r w:rsidRPr="008912CF">
        <w:rPr>
          <w:sz w:val="22"/>
          <w:szCs w:val="22"/>
          <w:vertAlign w:val="superscript"/>
        </w:rPr>
        <w:t>d</w:t>
      </w:r>
      <w:r w:rsidRPr="008912CF">
        <w:rPr>
          <w:sz w:val="22"/>
          <w:szCs w:val="22"/>
        </w:rPr>
        <w:t xml:space="preserve"> Estreitamento do Espaço Articular</w:t>
      </w:r>
    </w:p>
    <w:p w14:paraId="59A096E7" w14:textId="77777777" w:rsidR="004462A0" w:rsidRPr="008912CF" w:rsidRDefault="004462A0" w:rsidP="004462A0">
      <w:pPr>
        <w:rPr>
          <w:sz w:val="22"/>
          <w:szCs w:val="22"/>
        </w:rPr>
      </w:pPr>
    </w:p>
    <w:p w14:paraId="00C9FF6D" w14:textId="77777777" w:rsidR="004462A0" w:rsidRPr="008912CF" w:rsidRDefault="00615769" w:rsidP="004462A0">
      <w:pPr>
        <w:rPr>
          <w:sz w:val="22"/>
          <w:szCs w:val="22"/>
        </w:rPr>
      </w:pPr>
      <w:r w:rsidRPr="008912CF">
        <w:rPr>
          <w:sz w:val="22"/>
          <w:szCs w:val="22"/>
        </w:rPr>
        <w:t xml:space="preserve">No </w:t>
      </w:r>
      <w:r w:rsidR="00D72FFF">
        <w:rPr>
          <w:sz w:val="22"/>
          <w:szCs w:val="22"/>
        </w:rPr>
        <w:t>e</w:t>
      </w:r>
      <w:r w:rsidRPr="008912CF">
        <w:rPr>
          <w:sz w:val="22"/>
          <w:szCs w:val="22"/>
        </w:rPr>
        <w:t xml:space="preserve">studo AR V, a lesão estrutural articular foi avaliada radiologicamente e expressa como alteração na Escala Total de Sharp modificada (ver Tabela </w:t>
      </w:r>
      <w:r w:rsidR="00E60C95">
        <w:rPr>
          <w:sz w:val="22"/>
          <w:szCs w:val="22"/>
        </w:rPr>
        <w:t>1</w:t>
      </w:r>
      <w:r w:rsidR="00E549E4">
        <w:rPr>
          <w:sz w:val="22"/>
          <w:szCs w:val="22"/>
        </w:rPr>
        <w:t>1</w:t>
      </w:r>
      <w:r w:rsidRPr="008912CF">
        <w:rPr>
          <w:sz w:val="22"/>
          <w:szCs w:val="22"/>
        </w:rPr>
        <w:t>).</w:t>
      </w:r>
    </w:p>
    <w:p w14:paraId="6058B477" w14:textId="77777777" w:rsidR="004462A0" w:rsidRPr="008912CF" w:rsidRDefault="004462A0" w:rsidP="004462A0">
      <w:pPr>
        <w:rPr>
          <w:sz w:val="22"/>
          <w:szCs w:val="22"/>
        </w:rPr>
      </w:pPr>
    </w:p>
    <w:tbl>
      <w:tblPr>
        <w:tblW w:w="8910" w:type="dxa"/>
        <w:tblInd w:w="108" w:type="dxa"/>
        <w:tblLayout w:type="fixed"/>
        <w:tblLook w:val="0000" w:firstRow="0" w:lastRow="0" w:firstColumn="0" w:lastColumn="0" w:noHBand="0" w:noVBand="0"/>
      </w:tblPr>
      <w:tblGrid>
        <w:gridCol w:w="1430"/>
        <w:gridCol w:w="1540"/>
        <w:gridCol w:w="1430"/>
        <w:gridCol w:w="1600"/>
        <w:gridCol w:w="930"/>
        <w:gridCol w:w="990"/>
        <w:gridCol w:w="990"/>
      </w:tblGrid>
      <w:tr w:rsidR="00A7162A" w14:paraId="1847F1E3" w14:textId="77777777" w:rsidTr="00F675CF">
        <w:trPr>
          <w:cantSplit/>
        </w:trPr>
        <w:tc>
          <w:tcPr>
            <w:tcW w:w="8910" w:type="dxa"/>
            <w:gridSpan w:val="7"/>
            <w:tcBorders>
              <w:bottom w:val="single" w:sz="4" w:space="0" w:color="auto"/>
            </w:tcBorders>
          </w:tcPr>
          <w:p w14:paraId="46101817" w14:textId="77777777" w:rsidR="004462A0" w:rsidRPr="008912CF" w:rsidRDefault="00615769" w:rsidP="00F675CF">
            <w:pPr>
              <w:pStyle w:val="Heading9"/>
              <w:keepNext w:val="0"/>
              <w:jc w:val="center"/>
              <w:rPr>
                <w:b/>
                <w:bCs/>
                <w:u w:val="none"/>
              </w:rPr>
            </w:pPr>
            <w:r w:rsidRPr="008912CF">
              <w:rPr>
                <w:b/>
                <w:bCs/>
                <w:szCs w:val="22"/>
                <w:u w:val="none"/>
              </w:rPr>
              <w:t xml:space="preserve">Tabela </w:t>
            </w:r>
            <w:r w:rsidR="00E60C95">
              <w:rPr>
                <w:b/>
                <w:bCs/>
                <w:szCs w:val="22"/>
                <w:u w:val="none"/>
              </w:rPr>
              <w:t>1</w:t>
            </w:r>
            <w:r w:rsidR="00E549E4">
              <w:rPr>
                <w:b/>
                <w:bCs/>
                <w:szCs w:val="22"/>
                <w:u w:val="none"/>
              </w:rPr>
              <w:t>1</w:t>
            </w:r>
          </w:p>
          <w:p w14:paraId="72790E02" w14:textId="77777777" w:rsidR="004462A0" w:rsidRPr="008912CF" w:rsidRDefault="00615769" w:rsidP="00F675CF">
            <w:pPr>
              <w:pStyle w:val="Heading9"/>
              <w:keepNext w:val="0"/>
              <w:jc w:val="center"/>
              <w:rPr>
                <w:b/>
                <w:bCs/>
                <w:highlight w:val="cyan"/>
                <w:u w:val="none"/>
              </w:rPr>
            </w:pPr>
            <w:r w:rsidRPr="008912CF">
              <w:rPr>
                <w:b/>
                <w:bCs/>
                <w:szCs w:val="22"/>
                <w:u w:val="none"/>
              </w:rPr>
              <w:t xml:space="preserve">Alteração Média Radiológica </w:t>
            </w:r>
            <w:r w:rsidR="00D72FFF">
              <w:rPr>
                <w:b/>
                <w:bCs/>
                <w:szCs w:val="22"/>
                <w:u w:val="none"/>
              </w:rPr>
              <w:t>à</w:t>
            </w:r>
            <w:r w:rsidRPr="008912CF">
              <w:rPr>
                <w:b/>
                <w:bCs/>
                <w:szCs w:val="22"/>
                <w:u w:val="none"/>
              </w:rPr>
              <w:t xml:space="preserve"> Semana 52 no Estudo AR V</w:t>
            </w:r>
          </w:p>
          <w:p w14:paraId="291B52E5" w14:textId="77777777" w:rsidR="004462A0" w:rsidRPr="008912CF" w:rsidRDefault="004462A0" w:rsidP="00F675CF"/>
        </w:tc>
      </w:tr>
      <w:tr w:rsidR="00A7162A" w14:paraId="01E340E3" w14:textId="77777777" w:rsidTr="00F675CF">
        <w:tc>
          <w:tcPr>
            <w:tcW w:w="1430" w:type="dxa"/>
            <w:tcBorders>
              <w:top w:val="single" w:sz="4" w:space="0" w:color="auto"/>
              <w:left w:val="single" w:sz="4" w:space="0" w:color="auto"/>
              <w:bottom w:val="single" w:sz="4" w:space="0" w:color="auto"/>
              <w:right w:val="single" w:sz="4" w:space="0" w:color="auto"/>
            </w:tcBorders>
            <w:vAlign w:val="center"/>
          </w:tcPr>
          <w:p w14:paraId="1B174B03" w14:textId="77777777" w:rsidR="004462A0" w:rsidRPr="008912CF" w:rsidRDefault="004462A0" w:rsidP="00F675CF"/>
        </w:tc>
        <w:tc>
          <w:tcPr>
            <w:tcW w:w="1540" w:type="dxa"/>
            <w:tcBorders>
              <w:top w:val="single" w:sz="4" w:space="0" w:color="auto"/>
              <w:left w:val="single" w:sz="4" w:space="0" w:color="auto"/>
              <w:bottom w:val="single" w:sz="4" w:space="0" w:color="auto"/>
              <w:right w:val="single" w:sz="4" w:space="0" w:color="auto"/>
            </w:tcBorders>
            <w:vAlign w:val="center"/>
          </w:tcPr>
          <w:p w14:paraId="67A578BF" w14:textId="77777777" w:rsidR="004462A0" w:rsidRPr="008912CF" w:rsidRDefault="00615769" w:rsidP="00F675CF">
            <w:pPr>
              <w:jc w:val="center"/>
            </w:pPr>
            <w:r w:rsidRPr="008912CF">
              <w:rPr>
                <w:sz w:val="22"/>
                <w:szCs w:val="22"/>
              </w:rPr>
              <w:t>MTX</w:t>
            </w:r>
          </w:p>
          <w:p w14:paraId="52161C3D" w14:textId="77777777" w:rsidR="004462A0" w:rsidRPr="008912CF" w:rsidRDefault="00615769" w:rsidP="00F675CF">
            <w:pPr>
              <w:jc w:val="center"/>
            </w:pPr>
            <w:r w:rsidRPr="008912CF">
              <w:rPr>
                <w:sz w:val="22"/>
                <w:szCs w:val="22"/>
              </w:rPr>
              <w:t>n = 257</w:t>
            </w:r>
          </w:p>
          <w:p w14:paraId="35463CBB" w14:textId="77777777" w:rsidR="004462A0" w:rsidRPr="008912CF" w:rsidRDefault="00615769" w:rsidP="00F675CF">
            <w:pPr>
              <w:jc w:val="center"/>
            </w:pPr>
            <w:r w:rsidRPr="008912CF">
              <w:rPr>
                <w:sz w:val="22"/>
                <w:szCs w:val="22"/>
              </w:rPr>
              <w:t>(95% intervalo de confiança)</w:t>
            </w:r>
          </w:p>
        </w:tc>
        <w:tc>
          <w:tcPr>
            <w:tcW w:w="1430" w:type="dxa"/>
            <w:tcBorders>
              <w:top w:val="single" w:sz="4" w:space="0" w:color="auto"/>
              <w:left w:val="single" w:sz="4" w:space="0" w:color="auto"/>
              <w:bottom w:val="single" w:sz="4" w:space="0" w:color="auto"/>
              <w:right w:val="single" w:sz="4" w:space="0" w:color="auto"/>
            </w:tcBorders>
            <w:vAlign w:val="center"/>
          </w:tcPr>
          <w:p w14:paraId="6294B357" w14:textId="77777777" w:rsidR="004462A0" w:rsidRPr="008912CF" w:rsidRDefault="00615769" w:rsidP="00F675CF">
            <w:pPr>
              <w:jc w:val="center"/>
            </w:pPr>
            <w:r w:rsidRPr="008912CF">
              <w:rPr>
                <w:sz w:val="22"/>
                <w:szCs w:val="22"/>
              </w:rPr>
              <w:t>Humira</w:t>
            </w:r>
          </w:p>
          <w:p w14:paraId="7DB0EF89" w14:textId="77777777" w:rsidR="004462A0" w:rsidRPr="008912CF" w:rsidRDefault="00615769" w:rsidP="00F675CF">
            <w:pPr>
              <w:pStyle w:val="EMEAFigureTitle"/>
              <w:jc w:val="center"/>
              <w:rPr>
                <w:szCs w:val="22"/>
                <w:lang w:val="pt-PT"/>
              </w:rPr>
            </w:pPr>
            <w:r w:rsidRPr="008912CF">
              <w:rPr>
                <w:szCs w:val="22"/>
                <w:lang w:val="pt-PT"/>
              </w:rPr>
              <w:t>n = 274</w:t>
            </w:r>
          </w:p>
          <w:p w14:paraId="07E2604C" w14:textId="77777777" w:rsidR="004462A0" w:rsidRPr="008912CF" w:rsidRDefault="00615769" w:rsidP="00F675CF">
            <w:pPr>
              <w:jc w:val="center"/>
            </w:pPr>
            <w:r w:rsidRPr="008912CF">
              <w:rPr>
                <w:sz w:val="22"/>
                <w:szCs w:val="22"/>
              </w:rPr>
              <w:t>(95% intervalo de confiança)</w:t>
            </w:r>
          </w:p>
        </w:tc>
        <w:tc>
          <w:tcPr>
            <w:tcW w:w="1600" w:type="dxa"/>
            <w:tcBorders>
              <w:top w:val="single" w:sz="4" w:space="0" w:color="auto"/>
              <w:left w:val="single" w:sz="4" w:space="0" w:color="auto"/>
              <w:bottom w:val="single" w:sz="4" w:space="0" w:color="auto"/>
              <w:right w:val="single" w:sz="4" w:space="0" w:color="auto"/>
            </w:tcBorders>
            <w:vAlign w:val="center"/>
          </w:tcPr>
          <w:p w14:paraId="1294EB1A" w14:textId="77777777" w:rsidR="004462A0" w:rsidRPr="008912CF" w:rsidRDefault="00615769" w:rsidP="00F675CF">
            <w:pPr>
              <w:jc w:val="center"/>
            </w:pPr>
            <w:r w:rsidRPr="008912CF">
              <w:rPr>
                <w:sz w:val="22"/>
                <w:szCs w:val="22"/>
              </w:rPr>
              <w:t>Humira/MTX</w:t>
            </w:r>
          </w:p>
          <w:p w14:paraId="760BED5A" w14:textId="77777777" w:rsidR="004462A0" w:rsidRPr="008912CF" w:rsidRDefault="00615769" w:rsidP="00F675CF">
            <w:pPr>
              <w:pStyle w:val="EMEAFigureTitle"/>
              <w:jc w:val="center"/>
              <w:rPr>
                <w:szCs w:val="22"/>
                <w:lang w:val="pt-PT"/>
              </w:rPr>
            </w:pPr>
            <w:r w:rsidRPr="008912CF">
              <w:rPr>
                <w:szCs w:val="22"/>
                <w:lang w:val="pt-PT"/>
              </w:rPr>
              <w:t>n = 268</w:t>
            </w:r>
          </w:p>
          <w:p w14:paraId="429D9CA4" w14:textId="77777777" w:rsidR="004462A0" w:rsidRPr="008912CF" w:rsidRDefault="00615769" w:rsidP="00F675CF">
            <w:pPr>
              <w:pStyle w:val="EMEANormal"/>
              <w:jc w:val="center"/>
              <w:rPr>
                <w:szCs w:val="22"/>
                <w:lang w:val="pt-PT"/>
              </w:rPr>
            </w:pPr>
            <w:r w:rsidRPr="008912CF">
              <w:rPr>
                <w:szCs w:val="22"/>
                <w:lang w:val="pt-PT"/>
              </w:rPr>
              <w:t>(95% intervalo de confiança)</w:t>
            </w:r>
          </w:p>
        </w:tc>
        <w:tc>
          <w:tcPr>
            <w:tcW w:w="930" w:type="dxa"/>
            <w:tcBorders>
              <w:top w:val="single" w:sz="4" w:space="0" w:color="auto"/>
              <w:left w:val="single" w:sz="4" w:space="0" w:color="auto"/>
              <w:bottom w:val="single" w:sz="4" w:space="0" w:color="auto"/>
              <w:right w:val="single" w:sz="4" w:space="0" w:color="auto"/>
            </w:tcBorders>
            <w:vAlign w:val="center"/>
          </w:tcPr>
          <w:p w14:paraId="338F1EAA" w14:textId="77777777" w:rsidR="004462A0" w:rsidRPr="008912CF" w:rsidRDefault="00615769" w:rsidP="00F675CF">
            <w:pPr>
              <w:pStyle w:val="EMEANormal"/>
              <w:jc w:val="center"/>
              <w:rPr>
                <w:szCs w:val="22"/>
                <w:lang w:val="pt-PT"/>
              </w:rPr>
            </w:pPr>
            <w:r w:rsidRPr="008912CF">
              <w:rPr>
                <w:szCs w:val="22"/>
                <w:lang w:val="pt-PT"/>
              </w:rPr>
              <w:t>valor</w:t>
            </w:r>
            <w:r w:rsidR="004D006C">
              <w:rPr>
                <w:szCs w:val="22"/>
                <w:lang w:val="pt-PT"/>
              </w:rPr>
              <w:t>-p</w:t>
            </w:r>
            <w:r w:rsidRPr="008912CF">
              <w:rPr>
                <w:szCs w:val="22"/>
                <w:vertAlign w:val="superscript"/>
                <w:lang w:val="pt-PT"/>
              </w:rPr>
              <w:t>a</w:t>
            </w:r>
          </w:p>
        </w:tc>
        <w:tc>
          <w:tcPr>
            <w:tcW w:w="990" w:type="dxa"/>
            <w:tcBorders>
              <w:top w:val="single" w:sz="4" w:space="0" w:color="auto"/>
              <w:left w:val="single" w:sz="4" w:space="0" w:color="auto"/>
              <w:bottom w:val="single" w:sz="4" w:space="0" w:color="auto"/>
              <w:right w:val="single" w:sz="4" w:space="0" w:color="auto"/>
            </w:tcBorders>
            <w:vAlign w:val="center"/>
          </w:tcPr>
          <w:p w14:paraId="1498267E" w14:textId="77777777" w:rsidR="004462A0" w:rsidRPr="008912CF" w:rsidRDefault="00615769" w:rsidP="00F675CF">
            <w:pPr>
              <w:jc w:val="center"/>
            </w:pPr>
            <w:r w:rsidRPr="008912CF">
              <w:rPr>
                <w:sz w:val="22"/>
                <w:szCs w:val="22"/>
              </w:rPr>
              <w:t>valor</w:t>
            </w:r>
            <w:r w:rsidR="004D006C">
              <w:rPr>
                <w:sz w:val="22"/>
                <w:szCs w:val="22"/>
              </w:rPr>
              <w:t>-p</w:t>
            </w:r>
            <w:r w:rsidRPr="008912CF">
              <w:rPr>
                <w:sz w:val="22"/>
                <w:szCs w:val="22"/>
                <w:vertAlign w:val="superscript"/>
              </w:rPr>
              <w:t>b</w:t>
            </w:r>
          </w:p>
        </w:tc>
        <w:tc>
          <w:tcPr>
            <w:tcW w:w="990" w:type="dxa"/>
            <w:tcBorders>
              <w:top w:val="single" w:sz="4" w:space="0" w:color="auto"/>
              <w:left w:val="single" w:sz="4" w:space="0" w:color="auto"/>
              <w:bottom w:val="single" w:sz="4" w:space="0" w:color="auto"/>
              <w:right w:val="single" w:sz="4" w:space="0" w:color="auto"/>
            </w:tcBorders>
            <w:vAlign w:val="center"/>
          </w:tcPr>
          <w:p w14:paraId="2C09753C" w14:textId="77777777" w:rsidR="004462A0" w:rsidRPr="008912CF" w:rsidRDefault="00615769" w:rsidP="00F675CF">
            <w:pPr>
              <w:jc w:val="center"/>
            </w:pPr>
            <w:r w:rsidRPr="008912CF">
              <w:rPr>
                <w:sz w:val="22"/>
                <w:szCs w:val="22"/>
              </w:rPr>
              <w:t>valor</w:t>
            </w:r>
            <w:r w:rsidR="004D006C">
              <w:rPr>
                <w:sz w:val="22"/>
                <w:szCs w:val="22"/>
              </w:rPr>
              <w:t>-p</w:t>
            </w:r>
            <w:r w:rsidRPr="008912CF">
              <w:rPr>
                <w:sz w:val="22"/>
                <w:szCs w:val="22"/>
                <w:vertAlign w:val="superscript"/>
              </w:rPr>
              <w:t>c</w:t>
            </w:r>
          </w:p>
        </w:tc>
      </w:tr>
      <w:tr w:rsidR="00A7162A" w14:paraId="67CC4EE9" w14:textId="77777777" w:rsidTr="00F675CF">
        <w:tc>
          <w:tcPr>
            <w:tcW w:w="1430" w:type="dxa"/>
            <w:tcBorders>
              <w:top w:val="single" w:sz="4" w:space="0" w:color="auto"/>
              <w:left w:val="single" w:sz="4" w:space="0" w:color="auto"/>
              <w:bottom w:val="single" w:sz="4" w:space="0" w:color="auto"/>
              <w:right w:val="single" w:sz="4" w:space="0" w:color="auto"/>
            </w:tcBorders>
          </w:tcPr>
          <w:p w14:paraId="063CFFE3" w14:textId="77777777" w:rsidR="004462A0" w:rsidRPr="008912CF" w:rsidRDefault="00615769" w:rsidP="00F675CF">
            <w:pPr>
              <w:pStyle w:val="EMEAFigureTitle"/>
              <w:jc w:val="center"/>
              <w:rPr>
                <w:szCs w:val="22"/>
                <w:lang w:val="pt-PT"/>
              </w:rPr>
            </w:pPr>
            <w:r w:rsidRPr="008912CF">
              <w:rPr>
                <w:szCs w:val="22"/>
                <w:lang w:val="pt-PT"/>
              </w:rPr>
              <w:t xml:space="preserve">Escala Total de Sharp </w:t>
            </w:r>
          </w:p>
        </w:tc>
        <w:tc>
          <w:tcPr>
            <w:tcW w:w="1540" w:type="dxa"/>
            <w:tcBorders>
              <w:top w:val="single" w:sz="4" w:space="0" w:color="auto"/>
              <w:left w:val="single" w:sz="4" w:space="0" w:color="auto"/>
              <w:bottom w:val="single" w:sz="4" w:space="0" w:color="auto"/>
              <w:right w:val="single" w:sz="4" w:space="0" w:color="auto"/>
            </w:tcBorders>
          </w:tcPr>
          <w:p w14:paraId="6D315C84" w14:textId="77777777" w:rsidR="004462A0" w:rsidRPr="008912CF" w:rsidRDefault="00615769" w:rsidP="00F675CF">
            <w:pPr>
              <w:jc w:val="center"/>
            </w:pPr>
            <w:r w:rsidRPr="008912CF">
              <w:rPr>
                <w:sz w:val="22"/>
                <w:szCs w:val="22"/>
              </w:rPr>
              <w:t>5,7 (4,2-7,3)</w:t>
            </w:r>
          </w:p>
        </w:tc>
        <w:tc>
          <w:tcPr>
            <w:tcW w:w="1430" w:type="dxa"/>
            <w:tcBorders>
              <w:top w:val="single" w:sz="4" w:space="0" w:color="auto"/>
              <w:left w:val="single" w:sz="4" w:space="0" w:color="auto"/>
              <w:bottom w:val="single" w:sz="4" w:space="0" w:color="auto"/>
              <w:right w:val="single" w:sz="4" w:space="0" w:color="auto"/>
            </w:tcBorders>
          </w:tcPr>
          <w:p w14:paraId="19B71581" w14:textId="77777777" w:rsidR="004462A0" w:rsidRPr="008912CF" w:rsidRDefault="00615769" w:rsidP="00F675CF">
            <w:pPr>
              <w:pStyle w:val="EndnoteText"/>
              <w:jc w:val="center"/>
              <w:rPr>
                <w:szCs w:val="22"/>
              </w:rPr>
            </w:pPr>
            <w:r w:rsidRPr="008912CF">
              <w:rPr>
                <w:szCs w:val="22"/>
              </w:rPr>
              <w:t>3,0 (1,7-4,3)</w:t>
            </w:r>
          </w:p>
        </w:tc>
        <w:tc>
          <w:tcPr>
            <w:tcW w:w="1600" w:type="dxa"/>
            <w:tcBorders>
              <w:top w:val="single" w:sz="4" w:space="0" w:color="auto"/>
              <w:left w:val="single" w:sz="4" w:space="0" w:color="auto"/>
              <w:bottom w:val="single" w:sz="4" w:space="0" w:color="auto"/>
              <w:right w:val="single" w:sz="4" w:space="0" w:color="auto"/>
            </w:tcBorders>
          </w:tcPr>
          <w:p w14:paraId="1FC0AD3D" w14:textId="77777777" w:rsidR="004462A0" w:rsidRPr="008912CF" w:rsidRDefault="00615769" w:rsidP="00F675CF">
            <w:pPr>
              <w:pStyle w:val="EndnoteText"/>
              <w:jc w:val="center"/>
              <w:rPr>
                <w:szCs w:val="22"/>
              </w:rPr>
            </w:pPr>
            <w:r w:rsidRPr="008912CF">
              <w:rPr>
                <w:szCs w:val="22"/>
              </w:rPr>
              <w:t>1,3 (0,5-2,1)</w:t>
            </w:r>
          </w:p>
        </w:tc>
        <w:tc>
          <w:tcPr>
            <w:tcW w:w="930" w:type="dxa"/>
            <w:tcBorders>
              <w:top w:val="single" w:sz="4" w:space="0" w:color="auto"/>
              <w:left w:val="single" w:sz="4" w:space="0" w:color="auto"/>
              <w:bottom w:val="single" w:sz="4" w:space="0" w:color="auto"/>
              <w:right w:val="single" w:sz="4" w:space="0" w:color="auto"/>
            </w:tcBorders>
          </w:tcPr>
          <w:p w14:paraId="3DC2B98E" w14:textId="77777777" w:rsidR="004462A0" w:rsidRPr="008912CF" w:rsidRDefault="00615769" w:rsidP="00F675CF">
            <w:pPr>
              <w:pStyle w:val="EndnoteText"/>
              <w:jc w:val="center"/>
              <w:rPr>
                <w:szCs w:val="22"/>
              </w:rPr>
            </w:pPr>
            <w:r w:rsidRPr="008912CF">
              <w:rPr>
                <w:szCs w:val="22"/>
              </w:rPr>
              <w:t>&lt; 0,001</w:t>
            </w:r>
          </w:p>
        </w:tc>
        <w:tc>
          <w:tcPr>
            <w:tcW w:w="990" w:type="dxa"/>
            <w:tcBorders>
              <w:top w:val="single" w:sz="4" w:space="0" w:color="auto"/>
              <w:left w:val="single" w:sz="4" w:space="0" w:color="auto"/>
              <w:bottom w:val="single" w:sz="4" w:space="0" w:color="auto"/>
              <w:right w:val="single" w:sz="4" w:space="0" w:color="auto"/>
            </w:tcBorders>
          </w:tcPr>
          <w:p w14:paraId="72553F7F" w14:textId="77777777" w:rsidR="004462A0" w:rsidRPr="008912CF" w:rsidRDefault="00615769" w:rsidP="00F675CF">
            <w:pPr>
              <w:jc w:val="center"/>
            </w:pPr>
            <w:r w:rsidRPr="008912CF">
              <w:rPr>
                <w:sz w:val="22"/>
                <w:szCs w:val="22"/>
              </w:rPr>
              <w:t>0,0020</w:t>
            </w:r>
          </w:p>
        </w:tc>
        <w:tc>
          <w:tcPr>
            <w:tcW w:w="990" w:type="dxa"/>
            <w:tcBorders>
              <w:top w:val="single" w:sz="4" w:space="0" w:color="auto"/>
              <w:left w:val="single" w:sz="4" w:space="0" w:color="auto"/>
              <w:bottom w:val="single" w:sz="4" w:space="0" w:color="auto"/>
              <w:right w:val="single" w:sz="4" w:space="0" w:color="auto"/>
            </w:tcBorders>
          </w:tcPr>
          <w:p w14:paraId="4B71CCD8" w14:textId="77777777" w:rsidR="004462A0" w:rsidRPr="008912CF" w:rsidRDefault="00615769" w:rsidP="00F675CF">
            <w:pPr>
              <w:jc w:val="center"/>
            </w:pPr>
            <w:r w:rsidRPr="008912CF">
              <w:rPr>
                <w:sz w:val="22"/>
                <w:szCs w:val="22"/>
              </w:rPr>
              <w:t>&lt; 0,001</w:t>
            </w:r>
          </w:p>
        </w:tc>
      </w:tr>
      <w:tr w:rsidR="00A7162A" w14:paraId="2304D0AB" w14:textId="77777777" w:rsidTr="00F675CF">
        <w:tc>
          <w:tcPr>
            <w:tcW w:w="1430" w:type="dxa"/>
            <w:tcBorders>
              <w:top w:val="single" w:sz="4" w:space="0" w:color="auto"/>
              <w:left w:val="single" w:sz="4" w:space="0" w:color="auto"/>
              <w:bottom w:val="single" w:sz="4" w:space="0" w:color="auto"/>
              <w:right w:val="single" w:sz="4" w:space="0" w:color="auto"/>
            </w:tcBorders>
          </w:tcPr>
          <w:p w14:paraId="23FC35AF" w14:textId="77777777" w:rsidR="004462A0" w:rsidRPr="008912CF" w:rsidRDefault="00615769" w:rsidP="00F675CF">
            <w:pPr>
              <w:jc w:val="center"/>
            </w:pPr>
            <w:r w:rsidRPr="008912CF">
              <w:rPr>
                <w:sz w:val="22"/>
                <w:szCs w:val="22"/>
              </w:rPr>
              <w:t>Escala de Erosão</w:t>
            </w:r>
          </w:p>
        </w:tc>
        <w:tc>
          <w:tcPr>
            <w:tcW w:w="1540" w:type="dxa"/>
            <w:tcBorders>
              <w:top w:val="single" w:sz="4" w:space="0" w:color="auto"/>
              <w:left w:val="single" w:sz="4" w:space="0" w:color="auto"/>
              <w:bottom w:val="single" w:sz="4" w:space="0" w:color="auto"/>
              <w:right w:val="single" w:sz="4" w:space="0" w:color="auto"/>
            </w:tcBorders>
          </w:tcPr>
          <w:p w14:paraId="1DA449C7" w14:textId="77777777" w:rsidR="004462A0" w:rsidRPr="008912CF" w:rsidRDefault="00615769" w:rsidP="00F675CF">
            <w:pPr>
              <w:jc w:val="center"/>
            </w:pPr>
            <w:r w:rsidRPr="008912CF">
              <w:rPr>
                <w:sz w:val="22"/>
                <w:szCs w:val="22"/>
              </w:rPr>
              <w:t>3,7 (2,7-4,7)</w:t>
            </w:r>
          </w:p>
        </w:tc>
        <w:tc>
          <w:tcPr>
            <w:tcW w:w="1430" w:type="dxa"/>
            <w:tcBorders>
              <w:top w:val="single" w:sz="4" w:space="0" w:color="auto"/>
              <w:left w:val="single" w:sz="4" w:space="0" w:color="auto"/>
              <w:bottom w:val="single" w:sz="4" w:space="0" w:color="auto"/>
              <w:right w:val="single" w:sz="4" w:space="0" w:color="auto"/>
            </w:tcBorders>
          </w:tcPr>
          <w:p w14:paraId="42AF0A8B" w14:textId="77777777" w:rsidR="004462A0" w:rsidRPr="008912CF" w:rsidRDefault="00615769" w:rsidP="00F675CF">
            <w:pPr>
              <w:jc w:val="center"/>
            </w:pPr>
            <w:r w:rsidRPr="008912CF">
              <w:rPr>
                <w:sz w:val="22"/>
                <w:szCs w:val="22"/>
              </w:rPr>
              <w:t>1,7 (1,0-2,4)</w:t>
            </w:r>
          </w:p>
        </w:tc>
        <w:tc>
          <w:tcPr>
            <w:tcW w:w="1600" w:type="dxa"/>
            <w:tcBorders>
              <w:top w:val="single" w:sz="4" w:space="0" w:color="auto"/>
              <w:left w:val="single" w:sz="4" w:space="0" w:color="auto"/>
              <w:bottom w:val="single" w:sz="4" w:space="0" w:color="auto"/>
              <w:right w:val="single" w:sz="4" w:space="0" w:color="auto"/>
            </w:tcBorders>
          </w:tcPr>
          <w:p w14:paraId="503459A0" w14:textId="77777777" w:rsidR="004462A0" w:rsidRPr="008912CF" w:rsidRDefault="00615769" w:rsidP="00F675CF">
            <w:pPr>
              <w:jc w:val="center"/>
            </w:pPr>
            <w:r w:rsidRPr="008912CF">
              <w:rPr>
                <w:sz w:val="22"/>
                <w:szCs w:val="22"/>
              </w:rPr>
              <w:t>0,8 (0,4-1,2)</w:t>
            </w:r>
          </w:p>
        </w:tc>
        <w:tc>
          <w:tcPr>
            <w:tcW w:w="930" w:type="dxa"/>
            <w:tcBorders>
              <w:top w:val="single" w:sz="4" w:space="0" w:color="auto"/>
              <w:left w:val="single" w:sz="4" w:space="0" w:color="auto"/>
              <w:bottom w:val="single" w:sz="4" w:space="0" w:color="auto"/>
              <w:right w:val="single" w:sz="4" w:space="0" w:color="auto"/>
            </w:tcBorders>
          </w:tcPr>
          <w:p w14:paraId="035F34E2" w14:textId="77777777" w:rsidR="004462A0" w:rsidRPr="008912CF" w:rsidRDefault="00615769" w:rsidP="00F675CF">
            <w:pPr>
              <w:jc w:val="center"/>
            </w:pPr>
            <w:r w:rsidRPr="008912CF">
              <w:rPr>
                <w:sz w:val="22"/>
                <w:szCs w:val="22"/>
              </w:rPr>
              <w:t>&lt; 0,001</w:t>
            </w:r>
          </w:p>
        </w:tc>
        <w:tc>
          <w:tcPr>
            <w:tcW w:w="990" w:type="dxa"/>
            <w:tcBorders>
              <w:top w:val="single" w:sz="4" w:space="0" w:color="auto"/>
              <w:left w:val="single" w:sz="4" w:space="0" w:color="auto"/>
              <w:bottom w:val="single" w:sz="4" w:space="0" w:color="auto"/>
              <w:right w:val="single" w:sz="4" w:space="0" w:color="auto"/>
            </w:tcBorders>
          </w:tcPr>
          <w:p w14:paraId="767C68D6" w14:textId="77777777" w:rsidR="004462A0" w:rsidRPr="008912CF" w:rsidRDefault="00615769" w:rsidP="00F675CF">
            <w:pPr>
              <w:jc w:val="center"/>
            </w:pPr>
            <w:r w:rsidRPr="008912CF">
              <w:rPr>
                <w:sz w:val="22"/>
                <w:szCs w:val="22"/>
              </w:rPr>
              <w:t>0,0082</w:t>
            </w:r>
          </w:p>
        </w:tc>
        <w:tc>
          <w:tcPr>
            <w:tcW w:w="990" w:type="dxa"/>
            <w:tcBorders>
              <w:top w:val="single" w:sz="4" w:space="0" w:color="auto"/>
              <w:left w:val="single" w:sz="4" w:space="0" w:color="auto"/>
              <w:bottom w:val="single" w:sz="4" w:space="0" w:color="auto"/>
              <w:right w:val="single" w:sz="4" w:space="0" w:color="auto"/>
            </w:tcBorders>
          </w:tcPr>
          <w:p w14:paraId="1DCED66D" w14:textId="77777777" w:rsidR="004462A0" w:rsidRPr="008912CF" w:rsidRDefault="00615769" w:rsidP="00F675CF">
            <w:pPr>
              <w:jc w:val="center"/>
            </w:pPr>
            <w:r w:rsidRPr="008912CF">
              <w:rPr>
                <w:sz w:val="22"/>
                <w:szCs w:val="22"/>
              </w:rPr>
              <w:t>&lt; 0,001</w:t>
            </w:r>
          </w:p>
        </w:tc>
      </w:tr>
      <w:tr w:rsidR="00A7162A" w14:paraId="2D11E57F" w14:textId="77777777" w:rsidTr="00F675CF">
        <w:tc>
          <w:tcPr>
            <w:tcW w:w="1430" w:type="dxa"/>
            <w:tcBorders>
              <w:top w:val="single" w:sz="4" w:space="0" w:color="auto"/>
              <w:left w:val="single" w:sz="4" w:space="0" w:color="auto"/>
              <w:bottom w:val="single" w:sz="4" w:space="0" w:color="auto"/>
              <w:right w:val="single" w:sz="4" w:space="0" w:color="auto"/>
            </w:tcBorders>
          </w:tcPr>
          <w:p w14:paraId="0AC5E506" w14:textId="77777777" w:rsidR="004462A0" w:rsidRPr="008912CF" w:rsidRDefault="00615769" w:rsidP="00F675CF">
            <w:pPr>
              <w:jc w:val="center"/>
            </w:pPr>
            <w:r w:rsidRPr="008912CF">
              <w:rPr>
                <w:sz w:val="22"/>
                <w:szCs w:val="22"/>
              </w:rPr>
              <w:t xml:space="preserve">Escala de JSN </w:t>
            </w:r>
          </w:p>
        </w:tc>
        <w:tc>
          <w:tcPr>
            <w:tcW w:w="1540" w:type="dxa"/>
            <w:tcBorders>
              <w:top w:val="single" w:sz="4" w:space="0" w:color="auto"/>
              <w:left w:val="single" w:sz="4" w:space="0" w:color="auto"/>
              <w:bottom w:val="single" w:sz="4" w:space="0" w:color="auto"/>
              <w:right w:val="single" w:sz="4" w:space="0" w:color="auto"/>
            </w:tcBorders>
          </w:tcPr>
          <w:p w14:paraId="64EFD3CB" w14:textId="77777777" w:rsidR="004462A0" w:rsidRPr="008912CF" w:rsidRDefault="00615769" w:rsidP="00F675CF">
            <w:pPr>
              <w:jc w:val="center"/>
            </w:pPr>
            <w:r w:rsidRPr="008912CF">
              <w:rPr>
                <w:sz w:val="22"/>
                <w:szCs w:val="22"/>
              </w:rPr>
              <w:t>2,0 (1,2-2,8)</w:t>
            </w:r>
          </w:p>
        </w:tc>
        <w:tc>
          <w:tcPr>
            <w:tcW w:w="1430" w:type="dxa"/>
            <w:tcBorders>
              <w:top w:val="single" w:sz="4" w:space="0" w:color="auto"/>
              <w:left w:val="single" w:sz="4" w:space="0" w:color="auto"/>
              <w:bottom w:val="single" w:sz="4" w:space="0" w:color="auto"/>
              <w:right w:val="single" w:sz="4" w:space="0" w:color="auto"/>
            </w:tcBorders>
          </w:tcPr>
          <w:p w14:paraId="5F9D10EC" w14:textId="77777777" w:rsidR="004462A0" w:rsidRPr="008912CF" w:rsidRDefault="00615769" w:rsidP="00F675CF">
            <w:pPr>
              <w:jc w:val="center"/>
            </w:pPr>
            <w:r w:rsidRPr="008912CF">
              <w:rPr>
                <w:sz w:val="22"/>
                <w:szCs w:val="22"/>
              </w:rPr>
              <w:t>1,3 (0,5-2,1)</w:t>
            </w:r>
          </w:p>
        </w:tc>
        <w:tc>
          <w:tcPr>
            <w:tcW w:w="1600" w:type="dxa"/>
            <w:tcBorders>
              <w:top w:val="single" w:sz="4" w:space="0" w:color="auto"/>
              <w:left w:val="single" w:sz="4" w:space="0" w:color="auto"/>
              <w:bottom w:val="single" w:sz="4" w:space="0" w:color="auto"/>
              <w:right w:val="single" w:sz="4" w:space="0" w:color="auto"/>
            </w:tcBorders>
          </w:tcPr>
          <w:p w14:paraId="279F2971" w14:textId="77777777" w:rsidR="004462A0" w:rsidRPr="008912CF" w:rsidRDefault="00615769" w:rsidP="00F675CF">
            <w:pPr>
              <w:jc w:val="center"/>
            </w:pPr>
            <w:r w:rsidRPr="008912CF">
              <w:rPr>
                <w:sz w:val="22"/>
                <w:szCs w:val="22"/>
              </w:rPr>
              <w:t>0,5 (0-1,0)</w:t>
            </w:r>
          </w:p>
        </w:tc>
        <w:tc>
          <w:tcPr>
            <w:tcW w:w="930" w:type="dxa"/>
            <w:tcBorders>
              <w:top w:val="single" w:sz="4" w:space="0" w:color="auto"/>
              <w:left w:val="single" w:sz="4" w:space="0" w:color="auto"/>
              <w:bottom w:val="single" w:sz="4" w:space="0" w:color="auto"/>
              <w:right w:val="single" w:sz="4" w:space="0" w:color="auto"/>
            </w:tcBorders>
          </w:tcPr>
          <w:p w14:paraId="2005A99F" w14:textId="77777777" w:rsidR="004462A0" w:rsidRPr="008912CF" w:rsidRDefault="00615769" w:rsidP="00F675CF">
            <w:pPr>
              <w:jc w:val="center"/>
            </w:pPr>
            <w:r w:rsidRPr="008912CF">
              <w:rPr>
                <w:sz w:val="22"/>
                <w:szCs w:val="22"/>
              </w:rPr>
              <w:t>&lt; 0,001</w:t>
            </w:r>
          </w:p>
        </w:tc>
        <w:tc>
          <w:tcPr>
            <w:tcW w:w="990" w:type="dxa"/>
            <w:tcBorders>
              <w:top w:val="single" w:sz="4" w:space="0" w:color="auto"/>
              <w:left w:val="single" w:sz="4" w:space="0" w:color="auto"/>
              <w:bottom w:val="single" w:sz="4" w:space="0" w:color="auto"/>
              <w:right w:val="single" w:sz="4" w:space="0" w:color="auto"/>
            </w:tcBorders>
          </w:tcPr>
          <w:p w14:paraId="1448FCE0" w14:textId="77777777" w:rsidR="004462A0" w:rsidRPr="008912CF" w:rsidRDefault="00615769" w:rsidP="00F675CF">
            <w:pPr>
              <w:jc w:val="center"/>
            </w:pPr>
            <w:r w:rsidRPr="008912CF">
              <w:rPr>
                <w:sz w:val="22"/>
                <w:szCs w:val="22"/>
              </w:rPr>
              <w:t>0,0037</w:t>
            </w:r>
          </w:p>
        </w:tc>
        <w:tc>
          <w:tcPr>
            <w:tcW w:w="990" w:type="dxa"/>
            <w:tcBorders>
              <w:top w:val="single" w:sz="4" w:space="0" w:color="auto"/>
              <w:left w:val="single" w:sz="4" w:space="0" w:color="auto"/>
              <w:bottom w:val="single" w:sz="4" w:space="0" w:color="auto"/>
              <w:right w:val="single" w:sz="4" w:space="0" w:color="auto"/>
            </w:tcBorders>
          </w:tcPr>
          <w:p w14:paraId="4F19D51F" w14:textId="77777777" w:rsidR="004462A0" w:rsidRPr="008912CF" w:rsidRDefault="00615769" w:rsidP="00F675CF">
            <w:pPr>
              <w:jc w:val="center"/>
            </w:pPr>
            <w:r w:rsidRPr="008912CF">
              <w:rPr>
                <w:sz w:val="22"/>
                <w:szCs w:val="22"/>
              </w:rPr>
              <w:t>0,151</w:t>
            </w:r>
          </w:p>
        </w:tc>
      </w:tr>
    </w:tbl>
    <w:p w14:paraId="229E0DCF" w14:textId="77777777" w:rsidR="004462A0" w:rsidRPr="008912CF" w:rsidRDefault="00615769" w:rsidP="004462A0">
      <w:pPr>
        <w:tabs>
          <w:tab w:val="left" w:pos="330"/>
          <w:tab w:val="left" w:pos="10728"/>
        </w:tabs>
        <w:ind w:left="360" w:hanging="360"/>
        <w:rPr>
          <w:sz w:val="22"/>
          <w:szCs w:val="22"/>
        </w:rPr>
      </w:pPr>
      <w:r w:rsidRPr="008912CF">
        <w:rPr>
          <w:sz w:val="22"/>
          <w:szCs w:val="22"/>
          <w:vertAlign w:val="superscript"/>
        </w:rPr>
        <w:t>a</w:t>
      </w:r>
      <w:r w:rsidRPr="008912CF">
        <w:rPr>
          <w:sz w:val="22"/>
          <w:szCs w:val="22"/>
        </w:rPr>
        <w:tab/>
      </w:r>
      <w:r w:rsidRPr="008912CF">
        <w:rPr>
          <w:sz w:val="22"/>
          <w:szCs w:val="22"/>
        </w:rPr>
        <w:t>valores-p comparativos emparelhados de metotrexato em monoterapia e da associação terapêutica Humira/metotrexato usando o teste de Mann-Whitney U.</w:t>
      </w:r>
    </w:p>
    <w:p w14:paraId="24847B6B" w14:textId="77777777" w:rsidR="004462A0" w:rsidRPr="008912CF" w:rsidRDefault="00615769" w:rsidP="004462A0">
      <w:pPr>
        <w:pStyle w:val="BodyTextIndent"/>
        <w:ind w:left="330" w:hanging="330"/>
        <w:rPr>
          <w:b w:val="0"/>
          <w:color w:val="auto"/>
          <w:szCs w:val="22"/>
        </w:rPr>
      </w:pPr>
      <w:r w:rsidRPr="008912CF">
        <w:rPr>
          <w:b w:val="0"/>
          <w:color w:val="auto"/>
          <w:szCs w:val="22"/>
          <w:vertAlign w:val="superscript"/>
        </w:rPr>
        <w:t>b</w:t>
      </w:r>
      <w:r w:rsidRPr="008912CF">
        <w:rPr>
          <w:b w:val="0"/>
          <w:color w:val="auto"/>
          <w:szCs w:val="22"/>
        </w:rPr>
        <w:tab/>
        <w:t xml:space="preserve">valores-p </w:t>
      </w:r>
      <w:r w:rsidRPr="008912CF">
        <w:rPr>
          <w:b w:val="0"/>
          <w:bCs/>
          <w:color w:val="auto"/>
          <w:szCs w:val="22"/>
        </w:rPr>
        <w:t xml:space="preserve">comparativos emparelhados de Humira em </w:t>
      </w:r>
      <w:r w:rsidRPr="008912CF">
        <w:rPr>
          <w:b w:val="0"/>
          <w:color w:val="auto"/>
          <w:szCs w:val="22"/>
        </w:rPr>
        <w:t>monoterapia e da associação terapêutica Humira/metotrexato usando o teste de Mann-Whitney U.</w:t>
      </w:r>
    </w:p>
    <w:p w14:paraId="097F7AB6" w14:textId="77777777" w:rsidR="004462A0" w:rsidRPr="008912CF" w:rsidRDefault="00615769" w:rsidP="004462A0">
      <w:pPr>
        <w:ind w:left="329" w:hanging="329"/>
        <w:rPr>
          <w:bCs/>
          <w:sz w:val="22"/>
          <w:szCs w:val="22"/>
        </w:rPr>
      </w:pPr>
      <w:r w:rsidRPr="008912CF">
        <w:rPr>
          <w:bCs/>
          <w:sz w:val="22"/>
          <w:szCs w:val="22"/>
          <w:vertAlign w:val="superscript"/>
        </w:rPr>
        <w:t>c</w:t>
      </w:r>
      <w:r w:rsidRPr="008912CF">
        <w:rPr>
          <w:bCs/>
          <w:sz w:val="22"/>
          <w:szCs w:val="22"/>
        </w:rPr>
        <w:tab/>
        <w:t>valores-p comparativos emparelhados de Humira e metotrexato em monoterapia usando o teste de Mann-Whitney U.</w:t>
      </w:r>
    </w:p>
    <w:p w14:paraId="7A934C7D" w14:textId="77777777" w:rsidR="004462A0" w:rsidRPr="008912CF" w:rsidRDefault="004462A0" w:rsidP="004462A0">
      <w:pPr>
        <w:rPr>
          <w:b/>
          <w:sz w:val="22"/>
          <w:szCs w:val="22"/>
        </w:rPr>
      </w:pPr>
    </w:p>
    <w:p w14:paraId="7FEA5656" w14:textId="77777777" w:rsidR="004462A0" w:rsidRPr="008912CF" w:rsidRDefault="00615769" w:rsidP="004462A0">
      <w:pPr>
        <w:rPr>
          <w:sz w:val="22"/>
          <w:szCs w:val="22"/>
        </w:rPr>
      </w:pPr>
      <w:r w:rsidRPr="008912CF">
        <w:rPr>
          <w:sz w:val="22"/>
          <w:szCs w:val="22"/>
        </w:rPr>
        <w:t>Após 52 e 104 semanas de tratamento, a percentagem de doentes sem progressão (alteração desde o início do estudo na Escala Total de Sharp modificada ≤ 0,5) foi significativamente superior na associação terapêutica Humira/metotrexato (63,8</w:t>
      </w:r>
      <w:r w:rsidR="009343EF">
        <w:rPr>
          <w:sz w:val="22"/>
          <w:szCs w:val="22"/>
        </w:rPr>
        <w:t>%</w:t>
      </w:r>
      <w:r w:rsidRPr="008912CF">
        <w:rPr>
          <w:sz w:val="22"/>
          <w:szCs w:val="22"/>
        </w:rPr>
        <w:t xml:space="preserve"> e 61,2</w:t>
      </w:r>
      <w:r w:rsidR="009343EF">
        <w:rPr>
          <w:sz w:val="22"/>
          <w:szCs w:val="22"/>
        </w:rPr>
        <w:t>%</w:t>
      </w:r>
      <w:r w:rsidRPr="008912CF">
        <w:rPr>
          <w:sz w:val="22"/>
          <w:szCs w:val="22"/>
        </w:rPr>
        <w:t xml:space="preserve"> respetivamente) comparada com metotrexato em monoterapia (37,4</w:t>
      </w:r>
      <w:r w:rsidR="009343EF">
        <w:rPr>
          <w:sz w:val="22"/>
          <w:szCs w:val="22"/>
        </w:rPr>
        <w:t>%</w:t>
      </w:r>
      <w:r w:rsidRPr="008912CF">
        <w:rPr>
          <w:sz w:val="22"/>
          <w:szCs w:val="22"/>
        </w:rPr>
        <w:t xml:space="preserve"> e 33,5</w:t>
      </w:r>
      <w:r w:rsidR="009343EF">
        <w:rPr>
          <w:sz w:val="22"/>
          <w:szCs w:val="22"/>
        </w:rPr>
        <w:t>%</w:t>
      </w:r>
      <w:r w:rsidRPr="008912CF">
        <w:rPr>
          <w:sz w:val="22"/>
          <w:szCs w:val="22"/>
        </w:rPr>
        <w:t xml:space="preserve"> respetivamente, p &lt; 0,001) e com Humira em monoterapia (50,7</w:t>
      </w:r>
      <w:r w:rsidR="009343EF">
        <w:rPr>
          <w:sz w:val="22"/>
          <w:szCs w:val="22"/>
        </w:rPr>
        <w:t>%</w:t>
      </w:r>
      <w:r w:rsidRPr="008912CF">
        <w:rPr>
          <w:sz w:val="22"/>
          <w:szCs w:val="22"/>
        </w:rPr>
        <w:t>, p &lt; 0,002 e 44,5</w:t>
      </w:r>
      <w:r w:rsidR="009343EF">
        <w:rPr>
          <w:sz w:val="22"/>
          <w:szCs w:val="22"/>
        </w:rPr>
        <w:t>%</w:t>
      </w:r>
      <w:r w:rsidRPr="008912CF">
        <w:rPr>
          <w:sz w:val="22"/>
          <w:szCs w:val="22"/>
        </w:rPr>
        <w:t>, p &lt; 0,001 respetivamente).</w:t>
      </w:r>
    </w:p>
    <w:p w14:paraId="5BFF160E" w14:textId="77777777" w:rsidR="004462A0" w:rsidRDefault="004462A0" w:rsidP="004462A0">
      <w:pPr>
        <w:rPr>
          <w:sz w:val="22"/>
          <w:szCs w:val="22"/>
        </w:rPr>
      </w:pPr>
    </w:p>
    <w:p w14:paraId="63FDF7D1" w14:textId="77777777" w:rsidR="004462A0" w:rsidRPr="008912CF" w:rsidRDefault="00615769" w:rsidP="004462A0">
      <w:pPr>
        <w:rPr>
          <w:sz w:val="22"/>
          <w:szCs w:val="22"/>
        </w:rPr>
      </w:pPr>
      <w:r>
        <w:rPr>
          <w:sz w:val="22"/>
          <w:szCs w:val="22"/>
        </w:rPr>
        <w:t>Na extensão de fase aberta do estudo AR V, a alteração média desde o início do estudo ao Ano 10 na Escala Total de Sharp modificada foi de 10,8</w:t>
      </w:r>
      <w:r w:rsidR="00B479D1">
        <w:rPr>
          <w:sz w:val="22"/>
          <w:szCs w:val="22"/>
        </w:rPr>
        <w:t>,</w:t>
      </w:r>
      <w:r>
        <w:rPr>
          <w:sz w:val="22"/>
          <w:szCs w:val="22"/>
        </w:rPr>
        <w:t xml:space="preserve"> 9,2 e 3,9 em doentes originalmente aleatorizados com metotrexato em monoterapia, Humira em monoterapia e associação terapêutica Humira/metotrexato, respetivamente. As proporções correspondentes de doentes sem progressão radiológica foram 31,3%, 23,7% e 36,7% respetivamente. </w:t>
      </w:r>
    </w:p>
    <w:p w14:paraId="2118F9E0" w14:textId="77777777" w:rsidR="004462A0" w:rsidRPr="008912CF" w:rsidRDefault="004462A0" w:rsidP="004462A0">
      <w:pPr>
        <w:rPr>
          <w:sz w:val="22"/>
          <w:szCs w:val="22"/>
        </w:rPr>
      </w:pPr>
    </w:p>
    <w:p w14:paraId="5636BDE5" w14:textId="77777777" w:rsidR="004462A0" w:rsidRPr="008912CF" w:rsidRDefault="00615769" w:rsidP="004462A0">
      <w:pPr>
        <w:pStyle w:val="Heading7"/>
        <w:keepNext w:val="0"/>
        <w:spacing w:line="240" w:lineRule="auto"/>
        <w:jc w:val="left"/>
        <w:rPr>
          <w:i w:val="0"/>
          <w:szCs w:val="22"/>
          <w:u w:val="single"/>
        </w:rPr>
      </w:pPr>
      <w:r w:rsidRPr="008912CF">
        <w:rPr>
          <w:szCs w:val="22"/>
          <w:u w:val="single"/>
        </w:rPr>
        <w:t>Qualidade de vida e função física</w:t>
      </w:r>
    </w:p>
    <w:p w14:paraId="0D1FEAE3" w14:textId="77777777" w:rsidR="004462A0" w:rsidRPr="008912CF" w:rsidRDefault="004462A0" w:rsidP="004462A0">
      <w:pPr>
        <w:pStyle w:val="Heading7"/>
        <w:keepNext w:val="0"/>
        <w:spacing w:line="240" w:lineRule="auto"/>
        <w:jc w:val="left"/>
        <w:rPr>
          <w:i w:val="0"/>
          <w:szCs w:val="22"/>
          <w:u w:val="single"/>
        </w:rPr>
      </w:pPr>
    </w:p>
    <w:p w14:paraId="1C82C123" w14:textId="77777777" w:rsidR="004462A0" w:rsidRPr="008912CF" w:rsidRDefault="00615769" w:rsidP="004462A0">
      <w:pPr>
        <w:rPr>
          <w:sz w:val="22"/>
          <w:szCs w:val="22"/>
        </w:rPr>
      </w:pPr>
      <w:r w:rsidRPr="008912CF">
        <w:rPr>
          <w:sz w:val="22"/>
          <w:szCs w:val="22"/>
        </w:rPr>
        <w:t xml:space="preserve">A qualidade de vida relacionada com a saúde e a função física foram avaliadas utilizando o índice de incapacidade do Questionário de Avaliação da Saúde (HAQ </w:t>
      </w:r>
      <w:r w:rsidR="003E3AA9">
        <w:rPr>
          <w:sz w:val="22"/>
          <w:szCs w:val="22"/>
        </w:rPr>
        <w:t>–</w:t>
      </w:r>
      <w:r w:rsidRPr="008912CF">
        <w:rPr>
          <w:sz w:val="22"/>
          <w:szCs w:val="22"/>
        </w:rPr>
        <w:t xml:space="preserve"> </w:t>
      </w:r>
      <w:r w:rsidRPr="008912CF">
        <w:rPr>
          <w:i/>
          <w:sz w:val="22"/>
          <w:szCs w:val="22"/>
        </w:rPr>
        <w:t>Health Assessment Questionnaire</w:t>
      </w:r>
      <w:r w:rsidRPr="008912CF">
        <w:rPr>
          <w:sz w:val="22"/>
          <w:szCs w:val="22"/>
        </w:rPr>
        <w:t xml:space="preserve">) nos quatro ensaios originais bem controlados e adequados; no </w:t>
      </w:r>
      <w:r w:rsidR="00F96DDF">
        <w:rPr>
          <w:sz w:val="22"/>
          <w:szCs w:val="22"/>
        </w:rPr>
        <w:t>e</w:t>
      </w:r>
      <w:r w:rsidRPr="008912CF">
        <w:rPr>
          <w:sz w:val="22"/>
          <w:szCs w:val="22"/>
        </w:rPr>
        <w:t xml:space="preserve">studo AR III, este índice correspondeu a um </w:t>
      </w:r>
      <w:r w:rsidR="00F96DDF">
        <w:rPr>
          <w:sz w:val="22"/>
          <w:szCs w:val="22"/>
        </w:rPr>
        <w:t>objetivo</w:t>
      </w:r>
      <w:r w:rsidRPr="008912CF">
        <w:rPr>
          <w:sz w:val="22"/>
          <w:szCs w:val="22"/>
        </w:rPr>
        <w:t xml:space="preserve"> primário pré-especificado na Semana 52. Todas as doses/regimes posológicos de Humira utilizados nos quatro estudos associaram-se a melhorias do índice de incapacidade do HAQ desde o início do estudo até ao Mês 6, superiores às registadas com placebo, sendo a diferença estatisticamente significativa; no </w:t>
      </w:r>
      <w:r w:rsidR="00F96DDF">
        <w:rPr>
          <w:sz w:val="22"/>
          <w:szCs w:val="22"/>
        </w:rPr>
        <w:t>e</w:t>
      </w:r>
      <w:r w:rsidRPr="008912CF">
        <w:rPr>
          <w:sz w:val="22"/>
          <w:szCs w:val="22"/>
        </w:rPr>
        <w:t>studo AR III, foram comprovadas as mesmas melhorias na Se</w:t>
      </w:r>
      <w:r w:rsidRPr="008912CF">
        <w:rPr>
          <w:sz w:val="22"/>
          <w:szCs w:val="22"/>
        </w:rPr>
        <w:t xml:space="preserve">mana 52. Os resultados do </w:t>
      </w:r>
      <w:r w:rsidRPr="008912CF">
        <w:rPr>
          <w:i/>
          <w:iCs/>
          <w:sz w:val="22"/>
          <w:szCs w:val="22"/>
        </w:rPr>
        <w:t xml:space="preserve">Short Form Health Survey </w:t>
      </w:r>
      <w:r w:rsidRPr="008912CF">
        <w:rPr>
          <w:sz w:val="22"/>
          <w:szCs w:val="22"/>
        </w:rPr>
        <w:t>(SF 36) relativos a todas as doses/regimes posológicos de Humira nos quatro estudos confirmam esta informação, sendo as diferenças nas pontuações do resumo dos componentes físicos (PCS) bem como nas pontuações atribuídas à dor e domínio da vitalidade estatisticamente significativas com a dose de 40 mg administrada em semanas alternadas. Observou-se uma redução estatisticamente significativa da fadiga, determinada com base numa avaliação funcional das pontua</w:t>
      </w:r>
      <w:r w:rsidRPr="008912CF">
        <w:rPr>
          <w:sz w:val="22"/>
          <w:szCs w:val="22"/>
        </w:rPr>
        <w:t>ções atribuídas à terapêutica da doença crónica (FACIT) nos três estudos em que este parâmetro foi avaliado (estudos AR I, III, IV).</w:t>
      </w:r>
    </w:p>
    <w:p w14:paraId="5F3817CE" w14:textId="77777777" w:rsidR="004462A0" w:rsidRPr="008912CF" w:rsidRDefault="004462A0" w:rsidP="004462A0">
      <w:pPr>
        <w:rPr>
          <w:sz w:val="22"/>
          <w:szCs w:val="22"/>
        </w:rPr>
      </w:pPr>
    </w:p>
    <w:p w14:paraId="05F62D9B" w14:textId="77777777" w:rsidR="004462A0" w:rsidRPr="008912CF" w:rsidRDefault="00615769" w:rsidP="004462A0">
      <w:pPr>
        <w:tabs>
          <w:tab w:val="left" w:pos="1294"/>
        </w:tabs>
        <w:autoSpaceDE w:val="0"/>
        <w:autoSpaceDN w:val="0"/>
        <w:adjustRightInd w:val="0"/>
        <w:rPr>
          <w:sz w:val="22"/>
          <w:szCs w:val="22"/>
          <w:u w:val="single"/>
        </w:rPr>
      </w:pPr>
      <w:r w:rsidRPr="008912CF">
        <w:rPr>
          <w:sz w:val="22"/>
          <w:szCs w:val="22"/>
        </w:rPr>
        <w:t xml:space="preserve">No estudo AR III, a maioria dos doentes que atingiram a melhoria na função física e </w:t>
      </w:r>
      <w:r w:rsidR="009663C2">
        <w:rPr>
          <w:sz w:val="22"/>
          <w:szCs w:val="22"/>
        </w:rPr>
        <w:t xml:space="preserve">que continuaram o </w:t>
      </w:r>
      <w:r w:rsidRPr="008912CF">
        <w:rPr>
          <w:sz w:val="22"/>
          <w:szCs w:val="22"/>
        </w:rPr>
        <w:t xml:space="preserve">tratamento mantiveram </w:t>
      </w:r>
      <w:r w:rsidR="009663C2">
        <w:rPr>
          <w:sz w:val="22"/>
          <w:szCs w:val="22"/>
        </w:rPr>
        <w:t xml:space="preserve">a </w:t>
      </w:r>
      <w:r w:rsidRPr="008912CF">
        <w:rPr>
          <w:sz w:val="22"/>
          <w:szCs w:val="22"/>
        </w:rPr>
        <w:t>melhoria durante a Semana 520 (120 meses) do tratamento de fase aberta. A melhoria da qualidade de vida foi avaliada até à Semana 156 (36 meses) e a melhoria foi mantida durante este período de tempo.</w:t>
      </w:r>
    </w:p>
    <w:p w14:paraId="504038C6" w14:textId="77777777" w:rsidR="004462A0" w:rsidRPr="008912CF" w:rsidRDefault="004462A0" w:rsidP="004462A0">
      <w:pPr>
        <w:pStyle w:val="BodyText2"/>
        <w:tabs>
          <w:tab w:val="left" w:pos="1294"/>
        </w:tabs>
        <w:rPr>
          <w:szCs w:val="22"/>
        </w:rPr>
      </w:pPr>
    </w:p>
    <w:p w14:paraId="4ACED6E0" w14:textId="77777777" w:rsidR="004462A0" w:rsidRPr="008912CF" w:rsidRDefault="00615769" w:rsidP="004462A0">
      <w:pPr>
        <w:pStyle w:val="BodyText2"/>
        <w:tabs>
          <w:tab w:val="left" w:pos="1294"/>
        </w:tabs>
        <w:rPr>
          <w:szCs w:val="22"/>
        </w:rPr>
      </w:pPr>
      <w:r w:rsidRPr="008912CF">
        <w:rPr>
          <w:szCs w:val="22"/>
        </w:rPr>
        <w:t>No estudo AR V, a associação terapêutica Humira/metotrexato demonstrou uma melhoria</w:t>
      </w:r>
      <w:r w:rsidR="009663C2">
        <w:rPr>
          <w:szCs w:val="22"/>
        </w:rPr>
        <w:t xml:space="preserve"> superior</w:t>
      </w:r>
      <w:r w:rsidRPr="008912CF">
        <w:rPr>
          <w:szCs w:val="22"/>
        </w:rPr>
        <w:t xml:space="preserve"> no índice de incapacidade HAQ e no componente físico do SF 36 (p &lt; 0,001) comparativamente com metotrexato e Humira em monoterapia na Semana 52, a qua</w:t>
      </w:r>
      <w:r w:rsidR="009663C2">
        <w:rPr>
          <w:szCs w:val="22"/>
        </w:rPr>
        <w:t>l</w:t>
      </w:r>
      <w:r w:rsidRPr="008912CF">
        <w:rPr>
          <w:szCs w:val="22"/>
        </w:rPr>
        <w:t xml:space="preserve"> fo</w:t>
      </w:r>
      <w:r w:rsidR="009663C2">
        <w:rPr>
          <w:szCs w:val="22"/>
        </w:rPr>
        <w:t>i</w:t>
      </w:r>
      <w:r w:rsidRPr="008912CF">
        <w:rPr>
          <w:szCs w:val="22"/>
        </w:rPr>
        <w:t xml:space="preserve"> mantida durante a Semana 104.</w:t>
      </w:r>
      <w:r>
        <w:rPr>
          <w:szCs w:val="22"/>
        </w:rPr>
        <w:t xml:space="preserve"> Entre os 250 doentes que completaram a extensão de fase aberta do estudo, as </w:t>
      </w:r>
      <w:r w:rsidRPr="0085738C">
        <w:rPr>
          <w:szCs w:val="22"/>
        </w:rPr>
        <w:t>melhorias na função física foram mantidas</w:t>
      </w:r>
      <w:r>
        <w:rPr>
          <w:szCs w:val="22"/>
        </w:rPr>
        <w:t xml:space="preserve"> ao longo dos </w:t>
      </w:r>
      <w:r w:rsidRPr="0085738C">
        <w:rPr>
          <w:szCs w:val="22"/>
        </w:rPr>
        <w:t>10 anos de tratamento</w:t>
      </w:r>
      <w:r>
        <w:rPr>
          <w:szCs w:val="22"/>
        </w:rPr>
        <w:t>.</w:t>
      </w:r>
    </w:p>
    <w:p w14:paraId="7C162C22" w14:textId="77777777" w:rsidR="004462A0" w:rsidRPr="008912CF" w:rsidRDefault="004462A0" w:rsidP="004462A0">
      <w:pPr>
        <w:pStyle w:val="EMEAHeadingUnderline"/>
        <w:tabs>
          <w:tab w:val="clear" w:pos="562"/>
        </w:tabs>
        <w:suppressAutoHyphens w:val="0"/>
        <w:spacing w:before="0" w:after="0"/>
        <w:rPr>
          <w:szCs w:val="22"/>
          <w:lang w:val="pt-PT"/>
        </w:rPr>
      </w:pPr>
    </w:p>
    <w:p w14:paraId="79A80F9B" w14:textId="77777777" w:rsidR="004462A0" w:rsidRPr="008912CF" w:rsidRDefault="00615769" w:rsidP="004462A0">
      <w:pPr>
        <w:rPr>
          <w:i/>
          <w:sz w:val="22"/>
          <w:szCs w:val="22"/>
          <w:u w:val="single"/>
        </w:rPr>
      </w:pPr>
      <w:r w:rsidRPr="008912CF">
        <w:rPr>
          <w:i/>
          <w:sz w:val="22"/>
          <w:szCs w:val="22"/>
          <w:u w:val="single"/>
        </w:rPr>
        <w:t>Dor no local da injeção</w:t>
      </w:r>
    </w:p>
    <w:p w14:paraId="3F6BA5DE" w14:textId="77777777" w:rsidR="004462A0" w:rsidRPr="008912CF" w:rsidRDefault="004462A0" w:rsidP="004462A0"/>
    <w:p w14:paraId="1FC71988" w14:textId="77777777" w:rsidR="004462A0" w:rsidRPr="008912CF" w:rsidRDefault="00615769" w:rsidP="004462A0">
      <w:pPr>
        <w:rPr>
          <w:sz w:val="22"/>
          <w:szCs w:val="22"/>
        </w:rPr>
      </w:pPr>
      <w:r w:rsidRPr="008912CF">
        <w:rPr>
          <w:sz w:val="22"/>
          <w:szCs w:val="22"/>
        </w:rPr>
        <w:t>Nos estudos combinados, cruzados, AR VI e VII, observou-se uma diferença estatisticamente significativa na avaliação da dor no local de injeção, imediatamente após a administração, entre Humira 40</w:t>
      </w:r>
      <w:r>
        <w:rPr>
          <w:sz w:val="22"/>
          <w:szCs w:val="22"/>
        </w:rPr>
        <w:t> </w:t>
      </w:r>
      <w:r w:rsidRPr="008912CF">
        <w:rPr>
          <w:sz w:val="22"/>
          <w:szCs w:val="22"/>
        </w:rPr>
        <w:t>mg/0,8</w:t>
      </w:r>
      <w:r>
        <w:rPr>
          <w:sz w:val="22"/>
          <w:szCs w:val="22"/>
        </w:rPr>
        <w:t> </w:t>
      </w:r>
      <w:r w:rsidRPr="008912CF">
        <w:rPr>
          <w:sz w:val="22"/>
          <w:szCs w:val="22"/>
        </w:rPr>
        <w:t>ml e Humira 40</w:t>
      </w:r>
      <w:r>
        <w:rPr>
          <w:sz w:val="22"/>
          <w:szCs w:val="22"/>
        </w:rPr>
        <w:t> </w:t>
      </w:r>
      <w:r w:rsidRPr="008912CF">
        <w:rPr>
          <w:sz w:val="22"/>
          <w:szCs w:val="22"/>
        </w:rPr>
        <w:t>mg/0,4</w:t>
      </w:r>
      <w:r>
        <w:rPr>
          <w:sz w:val="22"/>
          <w:szCs w:val="22"/>
        </w:rPr>
        <w:t> </w:t>
      </w:r>
      <w:r w:rsidRPr="008912CF">
        <w:rPr>
          <w:sz w:val="22"/>
          <w:szCs w:val="22"/>
        </w:rPr>
        <w:t>ml (média VAS de 3,7 cm versus 1,2</w:t>
      </w:r>
      <w:r>
        <w:rPr>
          <w:sz w:val="22"/>
          <w:szCs w:val="22"/>
        </w:rPr>
        <w:t> </w:t>
      </w:r>
      <w:r w:rsidRPr="008912CF">
        <w:rPr>
          <w:sz w:val="22"/>
          <w:szCs w:val="22"/>
        </w:rPr>
        <w:t xml:space="preserve">cm, escala de 0-10 cm, </w:t>
      </w:r>
      <w:r w:rsidR="00092159">
        <w:rPr>
          <w:sz w:val="22"/>
          <w:szCs w:val="22"/>
        </w:rPr>
        <w:t>p</w:t>
      </w:r>
      <w:r w:rsidRPr="008912CF">
        <w:rPr>
          <w:sz w:val="22"/>
          <w:szCs w:val="22"/>
        </w:rPr>
        <w:t xml:space="preserve">&lt;0,001). Isto representa uma redução </w:t>
      </w:r>
      <w:r w:rsidR="009663C2">
        <w:rPr>
          <w:sz w:val="22"/>
          <w:szCs w:val="22"/>
        </w:rPr>
        <w:t>mediana</w:t>
      </w:r>
      <w:r w:rsidR="009663C2" w:rsidRPr="008912CF">
        <w:rPr>
          <w:sz w:val="22"/>
          <w:szCs w:val="22"/>
        </w:rPr>
        <w:t xml:space="preserve"> </w:t>
      </w:r>
      <w:r w:rsidRPr="008912CF">
        <w:rPr>
          <w:sz w:val="22"/>
          <w:szCs w:val="22"/>
        </w:rPr>
        <w:t xml:space="preserve">de 84% de dor no local de injeção.  </w:t>
      </w:r>
    </w:p>
    <w:p w14:paraId="342B2EC1" w14:textId="77777777" w:rsidR="004462A0" w:rsidRPr="008912CF" w:rsidRDefault="004462A0" w:rsidP="004462A0">
      <w:pPr>
        <w:pStyle w:val="EMEANormal"/>
        <w:rPr>
          <w:color w:val="000000"/>
          <w:szCs w:val="22"/>
          <w:lang w:val="pt-PT"/>
        </w:rPr>
      </w:pPr>
    </w:p>
    <w:p w14:paraId="77AD6C5D" w14:textId="77777777" w:rsidR="004462A0" w:rsidRPr="008912CF" w:rsidRDefault="00615769" w:rsidP="004462A0">
      <w:pPr>
        <w:pStyle w:val="EMEANormal"/>
        <w:rPr>
          <w:color w:val="000000"/>
          <w:szCs w:val="22"/>
          <w:lang w:val="pt-PT"/>
        </w:rPr>
      </w:pPr>
      <w:r w:rsidRPr="008912CF">
        <w:rPr>
          <w:i/>
          <w:color w:val="000000"/>
          <w:szCs w:val="22"/>
          <w:lang w:val="pt-PT"/>
        </w:rPr>
        <w:t>Espondilartrite axial</w:t>
      </w:r>
    </w:p>
    <w:p w14:paraId="53232C36" w14:textId="77777777" w:rsidR="004462A0" w:rsidRPr="008912CF" w:rsidRDefault="004462A0" w:rsidP="004462A0">
      <w:pPr>
        <w:pStyle w:val="EMEANormal"/>
        <w:rPr>
          <w:color w:val="000000"/>
          <w:szCs w:val="22"/>
          <w:u w:val="single"/>
          <w:lang w:val="pt-PT"/>
        </w:rPr>
      </w:pPr>
    </w:p>
    <w:p w14:paraId="0763FA59" w14:textId="77777777" w:rsidR="004462A0" w:rsidRPr="008912CF" w:rsidRDefault="00615769" w:rsidP="004462A0">
      <w:pPr>
        <w:rPr>
          <w:sz w:val="22"/>
          <w:szCs w:val="22"/>
          <w:u w:val="single"/>
        </w:rPr>
      </w:pPr>
      <w:r w:rsidRPr="008912CF">
        <w:rPr>
          <w:i/>
          <w:sz w:val="22"/>
          <w:szCs w:val="22"/>
          <w:u w:val="single"/>
        </w:rPr>
        <w:t>Espondilite anquilosante (EA)</w:t>
      </w:r>
    </w:p>
    <w:p w14:paraId="2187DCEF" w14:textId="77777777" w:rsidR="004462A0" w:rsidRPr="008912CF" w:rsidRDefault="004462A0" w:rsidP="004462A0">
      <w:pPr>
        <w:rPr>
          <w:sz w:val="22"/>
          <w:szCs w:val="22"/>
          <w:u w:val="single"/>
        </w:rPr>
      </w:pPr>
    </w:p>
    <w:p w14:paraId="743383EE" w14:textId="77777777" w:rsidR="004462A0" w:rsidRPr="008912CF" w:rsidRDefault="00615769" w:rsidP="004462A0">
      <w:pPr>
        <w:rPr>
          <w:sz w:val="22"/>
          <w:szCs w:val="22"/>
        </w:rPr>
      </w:pPr>
      <w:r w:rsidRPr="008912CF">
        <w:rPr>
          <w:sz w:val="22"/>
          <w:szCs w:val="22"/>
        </w:rPr>
        <w:t xml:space="preserve">Humira 40 mg em semanas alternadas foi avaliado em dois estudos </w:t>
      </w:r>
      <w:r w:rsidR="00B542C8">
        <w:rPr>
          <w:sz w:val="22"/>
          <w:szCs w:val="22"/>
        </w:rPr>
        <w:t>aleatorizados</w:t>
      </w:r>
      <w:r w:rsidRPr="008912CF">
        <w:rPr>
          <w:sz w:val="22"/>
          <w:szCs w:val="22"/>
        </w:rPr>
        <w:t>, em dupla ocultação, controlados com placebo durante 24 semanas em 393 doentes com espondilite anquilosante (EA) ativa (valor médio basa</w:t>
      </w:r>
      <w:r w:rsidR="00B542C8">
        <w:rPr>
          <w:sz w:val="22"/>
          <w:szCs w:val="22"/>
        </w:rPr>
        <w:t>l</w:t>
      </w:r>
      <w:r w:rsidRPr="008912CF">
        <w:rPr>
          <w:sz w:val="22"/>
          <w:szCs w:val="22"/>
        </w:rPr>
        <w:t xml:space="preserve"> da atividade da doença [</w:t>
      </w:r>
      <w:r w:rsidRPr="008912CF">
        <w:rPr>
          <w:i/>
          <w:sz w:val="22"/>
          <w:szCs w:val="22"/>
        </w:rPr>
        <w:t>Bath Ankylosing Spondylitis Disease Activity Index</w:t>
      </w:r>
      <w:r w:rsidRPr="008912CF">
        <w:rPr>
          <w:sz w:val="22"/>
          <w:szCs w:val="22"/>
        </w:rPr>
        <w:t xml:space="preserve"> (BASDAI)] </w:t>
      </w:r>
      <w:r w:rsidR="00B542C8">
        <w:rPr>
          <w:sz w:val="22"/>
          <w:szCs w:val="22"/>
        </w:rPr>
        <w:t>era de</w:t>
      </w:r>
      <w:r w:rsidRPr="008912CF">
        <w:rPr>
          <w:sz w:val="22"/>
          <w:szCs w:val="22"/>
        </w:rPr>
        <w:t xml:space="preserve"> 6</w:t>
      </w:r>
      <w:r w:rsidR="00B542C8">
        <w:rPr>
          <w:sz w:val="22"/>
          <w:szCs w:val="22"/>
        </w:rPr>
        <w:t>,</w:t>
      </w:r>
      <w:r w:rsidRPr="008912CF">
        <w:rPr>
          <w:sz w:val="22"/>
          <w:szCs w:val="22"/>
        </w:rPr>
        <w:t>3 em todos os grupos) que apresentaram uma resposta inadequada à terapêutica convencional. Setenta e nove doentes (20,1</w:t>
      </w:r>
      <w:r w:rsidR="009343EF">
        <w:rPr>
          <w:sz w:val="22"/>
          <w:szCs w:val="22"/>
        </w:rPr>
        <w:t>%</w:t>
      </w:r>
      <w:r w:rsidRPr="008912CF">
        <w:rPr>
          <w:sz w:val="22"/>
          <w:szCs w:val="22"/>
        </w:rPr>
        <w:t>) foram tratados concomitantemente com medicamentos anti</w:t>
      </w:r>
      <w:r w:rsidR="00F96DDF">
        <w:rPr>
          <w:sz w:val="22"/>
          <w:szCs w:val="22"/>
        </w:rPr>
        <w:t>-</w:t>
      </w:r>
      <w:r w:rsidRPr="008912CF">
        <w:rPr>
          <w:sz w:val="22"/>
          <w:szCs w:val="22"/>
        </w:rPr>
        <w:t>reumatismais modificadores da doença e 37 doentes (9,4</w:t>
      </w:r>
      <w:r w:rsidR="009343EF">
        <w:rPr>
          <w:sz w:val="22"/>
          <w:szCs w:val="22"/>
        </w:rPr>
        <w:t>%</w:t>
      </w:r>
      <w:r w:rsidRPr="008912CF">
        <w:rPr>
          <w:sz w:val="22"/>
          <w:szCs w:val="22"/>
        </w:rPr>
        <w:t>) com glucocorticoides. Após o período de dupla</w:t>
      </w:r>
      <w:r w:rsidRPr="008912CF">
        <w:rPr>
          <w:sz w:val="22"/>
          <w:szCs w:val="22"/>
        </w:rPr>
        <w:t xml:space="preserve"> ocultação, seguiu-se um período de fase aberta durante o qual os doentes receberam Humira 40 mg por via subcutânea, em semanas alternadas, por mais 28 semanas. Os doentes (n = 215, 54,7</w:t>
      </w:r>
      <w:r w:rsidR="009343EF">
        <w:rPr>
          <w:sz w:val="22"/>
          <w:szCs w:val="22"/>
        </w:rPr>
        <w:t>%</w:t>
      </w:r>
      <w:r w:rsidRPr="008912CF">
        <w:rPr>
          <w:sz w:val="22"/>
          <w:szCs w:val="22"/>
        </w:rPr>
        <w:t xml:space="preserve">) que não atingiram ASAS 20 nas Semanas 12, ou 16 ou 20 receberam 40 mg de adalimumab por via subcutânea em semanas alternadas em resgate precoce de fase aberta e foram considerados subsequentemente como não respondedores na análise estatística de dupla ocultação. </w:t>
      </w:r>
    </w:p>
    <w:p w14:paraId="775929C2" w14:textId="77777777" w:rsidR="004462A0" w:rsidRPr="008912CF" w:rsidRDefault="004462A0" w:rsidP="004462A0">
      <w:pPr>
        <w:pStyle w:val="EMEANormal"/>
        <w:rPr>
          <w:szCs w:val="22"/>
          <w:lang w:val="pt-PT"/>
        </w:rPr>
      </w:pPr>
    </w:p>
    <w:p w14:paraId="32A3F1B0" w14:textId="77777777" w:rsidR="004462A0" w:rsidRPr="008912CF" w:rsidRDefault="00615769" w:rsidP="004462A0">
      <w:pPr>
        <w:pStyle w:val="EMEANormal"/>
        <w:rPr>
          <w:b/>
          <w:bCs/>
          <w:szCs w:val="22"/>
          <w:lang w:val="pt-PT"/>
        </w:rPr>
      </w:pPr>
      <w:r w:rsidRPr="008912CF">
        <w:rPr>
          <w:szCs w:val="22"/>
          <w:lang w:val="pt-PT"/>
        </w:rPr>
        <w:t>No estudo mais amplo EA I, envolvendo 315 doentes, os resultados mostraram uma melhoria estatisticamente significativa dos sinais e sintomas d</w:t>
      </w:r>
      <w:r w:rsidR="00B542C8">
        <w:rPr>
          <w:szCs w:val="22"/>
          <w:lang w:val="pt-PT"/>
        </w:rPr>
        <w:t>e</w:t>
      </w:r>
      <w:r w:rsidRPr="008912CF">
        <w:rPr>
          <w:szCs w:val="22"/>
          <w:lang w:val="pt-PT"/>
        </w:rPr>
        <w:t xml:space="preserve"> espondilite anquilosante em doentes tratados com Humira comparativamente com os doentes tratados com placebo. Observou-se uma primeira resposta significativa na Semana 2</w:t>
      </w:r>
      <w:r w:rsidR="00B542C8">
        <w:rPr>
          <w:szCs w:val="22"/>
          <w:lang w:val="pt-PT"/>
        </w:rPr>
        <w:t>,</w:t>
      </w:r>
      <w:r w:rsidRPr="008912CF">
        <w:rPr>
          <w:szCs w:val="22"/>
          <w:lang w:val="pt-PT"/>
        </w:rPr>
        <w:t xml:space="preserve"> que se manteve durante as 24 semanas (Tabela </w:t>
      </w:r>
      <w:r w:rsidR="00E60C95">
        <w:rPr>
          <w:szCs w:val="22"/>
          <w:lang w:val="pt-PT"/>
        </w:rPr>
        <w:t>1</w:t>
      </w:r>
      <w:r w:rsidR="00E549E4">
        <w:rPr>
          <w:szCs w:val="22"/>
          <w:lang w:val="pt-PT"/>
        </w:rPr>
        <w:t>2</w:t>
      </w:r>
      <w:r w:rsidRPr="008912CF">
        <w:rPr>
          <w:szCs w:val="22"/>
          <w:lang w:val="pt-PT"/>
        </w:rPr>
        <w:t xml:space="preserve">). </w:t>
      </w:r>
    </w:p>
    <w:p w14:paraId="567BAA4D" w14:textId="77777777" w:rsidR="004462A0" w:rsidRPr="008912CF" w:rsidRDefault="004462A0" w:rsidP="004462A0">
      <w:pPr>
        <w:pStyle w:val="EMEANormal"/>
        <w:jc w:val="center"/>
        <w:rPr>
          <w:b/>
          <w:bCs/>
          <w:szCs w:val="22"/>
          <w:lang w:val="pt-PT"/>
        </w:rPr>
      </w:pPr>
    </w:p>
    <w:p w14:paraId="6141431B" w14:textId="77777777" w:rsidR="004462A0" w:rsidRPr="008912CF" w:rsidRDefault="00615769" w:rsidP="004462A0">
      <w:pPr>
        <w:pStyle w:val="EMEANormal"/>
        <w:keepNext/>
        <w:jc w:val="center"/>
        <w:rPr>
          <w:b/>
          <w:bCs/>
          <w:szCs w:val="22"/>
          <w:lang w:val="pt-PT"/>
        </w:rPr>
      </w:pPr>
      <w:r w:rsidRPr="008912CF">
        <w:rPr>
          <w:b/>
          <w:bCs/>
          <w:szCs w:val="22"/>
          <w:lang w:val="pt-PT"/>
        </w:rPr>
        <w:t xml:space="preserve">Tabela </w:t>
      </w:r>
      <w:r w:rsidR="00E60C95">
        <w:rPr>
          <w:b/>
          <w:bCs/>
          <w:szCs w:val="22"/>
          <w:lang w:val="pt-PT"/>
        </w:rPr>
        <w:t>1</w:t>
      </w:r>
      <w:r w:rsidR="00E549E4">
        <w:rPr>
          <w:b/>
          <w:bCs/>
          <w:szCs w:val="22"/>
          <w:lang w:val="pt-PT"/>
        </w:rPr>
        <w:t>2</w:t>
      </w:r>
    </w:p>
    <w:p w14:paraId="1FB85BAC" w14:textId="77777777" w:rsidR="004462A0" w:rsidRPr="008912CF" w:rsidRDefault="00615769" w:rsidP="004462A0">
      <w:pPr>
        <w:pStyle w:val="EMEANormal"/>
        <w:keepNext/>
        <w:jc w:val="center"/>
        <w:rPr>
          <w:b/>
          <w:bCs/>
          <w:szCs w:val="22"/>
          <w:lang w:val="pt-PT"/>
        </w:rPr>
      </w:pPr>
      <w:r w:rsidRPr="008912CF">
        <w:rPr>
          <w:b/>
          <w:bCs/>
          <w:szCs w:val="22"/>
          <w:lang w:val="pt-PT"/>
        </w:rPr>
        <w:t>Resultados de Eficácia num Estudo Controlado com Placebo na Espondilite Anquilosante -Estudo I</w:t>
      </w:r>
    </w:p>
    <w:p w14:paraId="7EA1886F" w14:textId="77777777" w:rsidR="004462A0" w:rsidRPr="008912CF" w:rsidRDefault="00615769" w:rsidP="004462A0">
      <w:pPr>
        <w:pStyle w:val="EMEANormal"/>
        <w:keepNext/>
        <w:jc w:val="center"/>
        <w:rPr>
          <w:b/>
          <w:bCs/>
          <w:szCs w:val="22"/>
          <w:lang w:val="pt-PT"/>
        </w:rPr>
      </w:pPr>
      <w:r w:rsidRPr="008912CF">
        <w:rPr>
          <w:b/>
          <w:bCs/>
          <w:szCs w:val="22"/>
          <w:lang w:val="pt-PT"/>
        </w:rPr>
        <w:t>Redução de Sinais e Sintomas</w:t>
      </w:r>
    </w:p>
    <w:p w14:paraId="15FBF7F2" w14:textId="77777777" w:rsidR="004462A0" w:rsidRPr="008912CF" w:rsidRDefault="004462A0" w:rsidP="004462A0">
      <w:pPr>
        <w:pStyle w:val="Footer"/>
        <w:keepNext/>
        <w:tabs>
          <w:tab w:val="clear" w:pos="4320"/>
          <w:tab w:val="clear" w:pos="8640"/>
        </w:tabs>
        <w:rPr>
          <w:sz w:val="22"/>
          <w:szCs w:val="22"/>
        </w:rPr>
      </w:pPr>
    </w:p>
    <w:tbl>
      <w:tblPr>
        <w:tblW w:w="7150" w:type="dxa"/>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50"/>
        <w:gridCol w:w="2090"/>
        <w:gridCol w:w="2310"/>
      </w:tblGrid>
      <w:tr w:rsidR="00A7162A" w14:paraId="39057C70" w14:textId="77777777" w:rsidTr="00F675CF">
        <w:tc>
          <w:tcPr>
            <w:tcW w:w="2750" w:type="dxa"/>
          </w:tcPr>
          <w:p w14:paraId="7E63CEDC" w14:textId="77777777" w:rsidR="004462A0" w:rsidRPr="008912CF" w:rsidRDefault="00615769" w:rsidP="00F675CF">
            <w:pPr>
              <w:keepNext/>
              <w:rPr>
                <w:b/>
                <w:bCs/>
              </w:rPr>
            </w:pPr>
            <w:r w:rsidRPr="008912CF">
              <w:rPr>
                <w:b/>
                <w:bCs/>
                <w:sz w:val="22"/>
                <w:szCs w:val="22"/>
              </w:rPr>
              <w:t>Resposta</w:t>
            </w:r>
          </w:p>
        </w:tc>
        <w:tc>
          <w:tcPr>
            <w:tcW w:w="2090" w:type="dxa"/>
          </w:tcPr>
          <w:p w14:paraId="5603C6DB" w14:textId="77777777" w:rsidR="004462A0" w:rsidRPr="008912CF" w:rsidRDefault="00615769" w:rsidP="00F675CF">
            <w:pPr>
              <w:keepNext/>
              <w:jc w:val="center"/>
              <w:rPr>
                <w:b/>
                <w:bCs/>
              </w:rPr>
            </w:pPr>
            <w:r w:rsidRPr="008912CF">
              <w:rPr>
                <w:b/>
                <w:bCs/>
                <w:sz w:val="22"/>
                <w:szCs w:val="22"/>
              </w:rPr>
              <w:t>Placebo</w:t>
            </w:r>
          </w:p>
          <w:p w14:paraId="69F09FFD" w14:textId="77777777" w:rsidR="004462A0" w:rsidRPr="008912CF" w:rsidRDefault="00615769" w:rsidP="00F675CF">
            <w:pPr>
              <w:keepNext/>
              <w:jc w:val="center"/>
              <w:rPr>
                <w:b/>
                <w:bCs/>
              </w:rPr>
            </w:pPr>
            <w:r w:rsidRPr="008912CF">
              <w:rPr>
                <w:b/>
                <w:bCs/>
                <w:sz w:val="22"/>
                <w:szCs w:val="22"/>
              </w:rPr>
              <w:t>N = 107</w:t>
            </w:r>
          </w:p>
        </w:tc>
        <w:tc>
          <w:tcPr>
            <w:tcW w:w="2310" w:type="dxa"/>
          </w:tcPr>
          <w:p w14:paraId="4F36A458" w14:textId="77777777" w:rsidR="004462A0" w:rsidRPr="008912CF" w:rsidRDefault="00615769" w:rsidP="00F675CF">
            <w:pPr>
              <w:keepNext/>
              <w:jc w:val="center"/>
              <w:rPr>
                <w:b/>
                <w:bCs/>
              </w:rPr>
            </w:pPr>
            <w:r w:rsidRPr="008912CF">
              <w:rPr>
                <w:b/>
                <w:bCs/>
                <w:sz w:val="22"/>
                <w:szCs w:val="22"/>
              </w:rPr>
              <w:t>Humira</w:t>
            </w:r>
          </w:p>
          <w:p w14:paraId="7E4BB256" w14:textId="77777777" w:rsidR="004462A0" w:rsidRPr="008912CF" w:rsidRDefault="00615769" w:rsidP="00F675CF">
            <w:pPr>
              <w:keepNext/>
              <w:jc w:val="center"/>
              <w:rPr>
                <w:b/>
                <w:bCs/>
              </w:rPr>
            </w:pPr>
            <w:r w:rsidRPr="008912CF">
              <w:rPr>
                <w:b/>
                <w:bCs/>
                <w:sz w:val="22"/>
                <w:szCs w:val="22"/>
              </w:rPr>
              <w:t>N = 208</w:t>
            </w:r>
          </w:p>
        </w:tc>
      </w:tr>
      <w:tr w:rsidR="00A7162A" w14:paraId="2066AE02" w14:textId="77777777" w:rsidTr="00F675CF">
        <w:tc>
          <w:tcPr>
            <w:tcW w:w="2750" w:type="dxa"/>
          </w:tcPr>
          <w:p w14:paraId="22839D72" w14:textId="77777777" w:rsidR="004462A0" w:rsidRPr="008912CF" w:rsidRDefault="00615769" w:rsidP="00F675CF">
            <w:pPr>
              <w:keepNext/>
            </w:pPr>
            <w:r w:rsidRPr="008912CF">
              <w:rPr>
                <w:sz w:val="22"/>
                <w:szCs w:val="22"/>
              </w:rPr>
              <w:t>ASAS</w:t>
            </w:r>
            <w:r w:rsidRPr="008912CF">
              <w:rPr>
                <w:sz w:val="22"/>
                <w:szCs w:val="22"/>
                <w:vertAlign w:val="superscript"/>
              </w:rPr>
              <w:t>a</w:t>
            </w:r>
            <w:r w:rsidRPr="008912CF">
              <w:rPr>
                <w:sz w:val="22"/>
                <w:szCs w:val="22"/>
              </w:rPr>
              <w:t xml:space="preserve"> 20</w:t>
            </w:r>
          </w:p>
        </w:tc>
        <w:tc>
          <w:tcPr>
            <w:tcW w:w="2090" w:type="dxa"/>
          </w:tcPr>
          <w:p w14:paraId="2E3BE034" w14:textId="77777777" w:rsidR="004462A0" w:rsidRPr="008912CF" w:rsidRDefault="004462A0" w:rsidP="00F675CF">
            <w:pPr>
              <w:keepNext/>
              <w:jc w:val="center"/>
            </w:pPr>
          </w:p>
        </w:tc>
        <w:tc>
          <w:tcPr>
            <w:tcW w:w="2310" w:type="dxa"/>
          </w:tcPr>
          <w:p w14:paraId="4A14F0CC" w14:textId="77777777" w:rsidR="004462A0" w:rsidRPr="008912CF" w:rsidRDefault="004462A0" w:rsidP="00F675CF">
            <w:pPr>
              <w:keepNext/>
              <w:jc w:val="center"/>
            </w:pPr>
          </w:p>
        </w:tc>
      </w:tr>
      <w:tr w:rsidR="00A7162A" w14:paraId="5A232516" w14:textId="77777777" w:rsidTr="00F675CF">
        <w:tc>
          <w:tcPr>
            <w:tcW w:w="2750" w:type="dxa"/>
          </w:tcPr>
          <w:p w14:paraId="1E2E4BC9" w14:textId="77777777" w:rsidR="004462A0" w:rsidRPr="008912CF" w:rsidRDefault="00615769" w:rsidP="00F675CF">
            <w:pPr>
              <w:keepNext/>
            </w:pPr>
            <w:r w:rsidRPr="008912CF">
              <w:rPr>
                <w:sz w:val="22"/>
                <w:szCs w:val="22"/>
              </w:rPr>
              <w:t xml:space="preserve">             Semana 2</w:t>
            </w:r>
          </w:p>
        </w:tc>
        <w:tc>
          <w:tcPr>
            <w:tcW w:w="2090" w:type="dxa"/>
          </w:tcPr>
          <w:p w14:paraId="711E1550" w14:textId="77777777" w:rsidR="004462A0" w:rsidRPr="008912CF" w:rsidRDefault="00615769" w:rsidP="00F675CF">
            <w:pPr>
              <w:keepNext/>
              <w:jc w:val="center"/>
            </w:pPr>
            <w:r w:rsidRPr="008912CF">
              <w:rPr>
                <w:sz w:val="22"/>
                <w:szCs w:val="22"/>
              </w:rPr>
              <w:t>16%</w:t>
            </w:r>
          </w:p>
        </w:tc>
        <w:tc>
          <w:tcPr>
            <w:tcW w:w="2310" w:type="dxa"/>
          </w:tcPr>
          <w:p w14:paraId="2A24A037" w14:textId="77777777" w:rsidR="004462A0" w:rsidRPr="008912CF" w:rsidRDefault="00615769" w:rsidP="00F675CF">
            <w:pPr>
              <w:keepNext/>
              <w:jc w:val="center"/>
            </w:pPr>
            <w:r w:rsidRPr="008912CF">
              <w:rPr>
                <w:sz w:val="22"/>
                <w:szCs w:val="22"/>
              </w:rPr>
              <w:t>42%***</w:t>
            </w:r>
          </w:p>
        </w:tc>
      </w:tr>
      <w:tr w:rsidR="00A7162A" w14:paraId="7CB80CE4" w14:textId="77777777" w:rsidTr="00F675CF">
        <w:tc>
          <w:tcPr>
            <w:tcW w:w="2750" w:type="dxa"/>
          </w:tcPr>
          <w:p w14:paraId="1152A54C" w14:textId="77777777" w:rsidR="004462A0" w:rsidRPr="008912CF" w:rsidRDefault="00615769" w:rsidP="00F675CF">
            <w:pPr>
              <w:keepNext/>
              <w:ind w:left="720"/>
            </w:pPr>
            <w:r w:rsidRPr="008912CF">
              <w:rPr>
                <w:sz w:val="22"/>
                <w:szCs w:val="22"/>
              </w:rPr>
              <w:t>Semana 12</w:t>
            </w:r>
          </w:p>
        </w:tc>
        <w:tc>
          <w:tcPr>
            <w:tcW w:w="2090" w:type="dxa"/>
          </w:tcPr>
          <w:p w14:paraId="2A9C0218" w14:textId="77777777" w:rsidR="004462A0" w:rsidRPr="008912CF" w:rsidRDefault="00615769" w:rsidP="00F675CF">
            <w:pPr>
              <w:keepNext/>
              <w:jc w:val="center"/>
            </w:pPr>
            <w:r w:rsidRPr="008912CF">
              <w:rPr>
                <w:sz w:val="22"/>
                <w:szCs w:val="22"/>
              </w:rPr>
              <w:t>21%</w:t>
            </w:r>
          </w:p>
        </w:tc>
        <w:tc>
          <w:tcPr>
            <w:tcW w:w="2310" w:type="dxa"/>
          </w:tcPr>
          <w:p w14:paraId="3E091003" w14:textId="77777777" w:rsidR="004462A0" w:rsidRPr="008912CF" w:rsidRDefault="00615769" w:rsidP="00F675CF">
            <w:pPr>
              <w:keepNext/>
              <w:jc w:val="center"/>
            </w:pPr>
            <w:r w:rsidRPr="008912CF">
              <w:rPr>
                <w:sz w:val="22"/>
                <w:szCs w:val="22"/>
              </w:rPr>
              <w:t>58%***</w:t>
            </w:r>
          </w:p>
        </w:tc>
      </w:tr>
      <w:tr w:rsidR="00A7162A" w14:paraId="6093A609" w14:textId="77777777" w:rsidTr="00F675CF">
        <w:tc>
          <w:tcPr>
            <w:tcW w:w="2750" w:type="dxa"/>
          </w:tcPr>
          <w:p w14:paraId="3BD383CF" w14:textId="77777777" w:rsidR="004462A0" w:rsidRPr="008912CF" w:rsidRDefault="00615769" w:rsidP="00F675CF">
            <w:pPr>
              <w:keepNext/>
              <w:ind w:left="720"/>
            </w:pPr>
            <w:r w:rsidRPr="008912CF">
              <w:rPr>
                <w:sz w:val="22"/>
                <w:szCs w:val="22"/>
              </w:rPr>
              <w:t>Semana 24</w:t>
            </w:r>
          </w:p>
        </w:tc>
        <w:tc>
          <w:tcPr>
            <w:tcW w:w="2090" w:type="dxa"/>
          </w:tcPr>
          <w:p w14:paraId="3C747524" w14:textId="77777777" w:rsidR="004462A0" w:rsidRPr="008912CF" w:rsidRDefault="00615769" w:rsidP="00F675CF">
            <w:pPr>
              <w:keepNext/>
              <w:jc w:val="center"/>
            </w:pPr>
            <w:r w:rsidRPr="008912CF">
              <w:rPr>
                <w:sz w:val="22"/>
                <w:szCs w:val="22"/>
              </w:rPr>
              <w:t>19%</w:t>
            </w:r>
          </w:p>
        </w:tc>
        <w:tc>
          <w:tcPr>
            <w:tcW w:w="2310" w:type="dxa"/>
          </w:tcPr>
          <w:p w14:paraId="5ABEB0DB" w14:textId="77777777" w:rsidR="004462A0" w:rsidRPr="008912CF" w:rsidRDefault="00615769" w:rsidP="00F675CF">
            <w:pPr>
              <w:keepNext/>
              <w:jc w:val="center"/>
            </w:pPr>
            <w:r w:rsidRPr="008912CF">
              <w:rPr>
                <w:sz w:val="22"/>
                <w:szCs w:val="22"/>
              </w:rPr>
              <w:t>51%***</w:t>
            </w:r>
          </w:p>
        </w:tc>
      </w:tr>
      <w:tr w:rsidR="00A7162A" w14:paraId="3953AD5F" w14:textId="77777777" w:rsidTr="00F675CF">
        <w:tc>
          <w:tcPr>
            <w:tcW w:w="2750" w:type="dxa"/>
          </w:tcPr>
          <w:p w14:paraId="1B55975D" w14:textId="77777777" w:rsidR="004462A0" w:rsidRPr="008912CF" w:rsidRDefault="00615769" w:rsidP="00F675CF">
            <w:pPr>
              <w:keepNext/>
            </w:pPr>
            <w:r w:rsidRPr="008912CF">
              <w:rPr>
                <w:sz w:val="22"/>
                <w:szCs w:val="22"/>
              </w:rPr>
              <w:t>ASAS 50</w:t>
            </w:r>
          </w:p>
        </w:tc>
        <w:tc>
          <w:tcPr>
            <w:tcW w:w="2090" w:type="dxa"/>
          </w:tcPr>
          <w:p w14:paraId="3D9C9A6F" w14:textId="77777777" w:rsidR="004462A0" w:rsidRPr="008912CF" w:rsidRDefault="004462A0" w:rsidP="00F675CF">
            <w:pPr>
              <w:keepNext/>
              <w:jc w:val="center"/>
            </w:pPr>
          </w:p>
        </w:tc>
        <w:tc>
          <w:tcPr>
            <w:tcW w:w="2310" w:type="dxa"/>
          </w:tcPr>
          <w:p w14:paraId="3BDD7163" w14:textId="77777777" w:rsidR="004462A0" w:rsidRPr="008912CF" w:rsidRDefault="004462A0" w:rsidP="00F675CF">
            <w:pPr>
              <w:keepNext/>
              <w:jc w:val="center"/>
            </w:pPr>
          </w:p>
        </w:tc>
      </w:tr>
      <w:tr w:rsidR="00A7162A" w14:paraId="19FB06DE" w14:textId="77777777" w:rsidTr="00F675CF">
        <w:tc>
          <w:tcPr>
            <w:tcW w:w="2750" w:type="dxa"/>
          </w:tcPr>
          <w:p w14:paraId="5A2ED726" w14:textId="77777777" w:rsidR="004462A0" w:rsidRPr="008912CF" w:rsidRDefault="00615769" w:rsidP="00F675CF">
            <w:pPr>
              <w:pStyle w:val="EMEAFigureTitle"/>
              <w:keepNext/>
              <w:rPr>
                <w:szCs w:val="22"/>
                <w:lang w:val="pt-PT"/>
              </w:rPr>
            </w:pPr>
            <w:r w:rsidRPr="008912CF">
              <w:rPr>
                <w:szCs w:val="22"/>
                <w:lang w:val="pt-PT"/>
              </w:rPr>
              <w:t xml:space="preserve">             Semana 2</w:t>
            </w:r>
          </w:p>
        </w:tc>
        <w:tc>
          <w:tcPr>
            <w:tcW w:w="2090" w:type="dxa"/>
          </w:tcPr>
          <w:p w14:paraId="5200AB23" w14:textId="77777777" w:rsidR="004462A0" w:rsidRPr="008912CF" w:rsidRDefault="00615769" w:rsidP="00F675CF">
            <w:pPr>
              <w:keepNext/>
              <w:jc w:val="center"/>
            </w:pPr>
            <w:r w:rsidRPr="008912CF">
              <w:rPr>
                <w:sz w:val="22"/>
                <w:szCs w:val="22"/>
              </w:rPr>
              <w:t>3%</w:t>
            </w:r>
          </w:p>
        </w:tc>
        <w:tc>
          <w:tcPr>
            <w:tcW w:w="2310" w:type="dxa"/>
          </w:tcPr>
          <w:p w14:paraId="7EB251DA" w14:textId="77777777" w:rsidR="004462A0" w:rsidRPr="008912CF" w:rsidRDefault="00615769" w:rsidP="00F675CF">
            <w:pPr>
              <w:keepNext/>
              <w:jc w:val="center"/>
            </w:pPr>
            <w:r w:rsidRPr="008912CF">
              <w:rPr>
                <w:sz w:val="22"/>
                <w:szCs w:val="22"/>
              </w:rPr>
              <w:t>16%***</w:t>
            </w:r>
          </w:p>
        </w:tc>
      </w:tr>
      <w:tr w:rsidR="00A7162A" w14:paraId="212BB7D5" w14:textId="77777777" w:rsidTr="00F675CF">
        <w:tc>
          <w:tcPr>
            <w:tcW w:w="2750" w:type="dxa"/>
          </w:tcPr>
          <w:p w14:paraId="4E433110" w14:textId="77777777" w:rsidR="004462A0" w:rsidRPr="008912CF" w:rsidRDefault="00615769" w:rsidP="00F675CF">
            <w:pPr>
              <w:keepNext/>
              <w:ind w:left="720"/>
            </w:pPr>
            <w:r w:rsidRPr="008912CF">
              <w:rPr>
                <w:sz w:val="22"/>
                <w:szCs w:val="22"/>
              </w:rPr>
              <w:t>Semana 12</w:t>
            </w:r>
          </w:p>
        </w:tc>
        <w:tc>
          <w:tcPr>
            <w:tcW w:w="2090" w:type="dxa"/>
          </w:tcPr>
          <w:p w14:paraId="02BE186B" w14:textId="77777777" w:rsidR="004462A0" w:rsidRPr="008912CF" w:rsidRDefault="00615769" w:rsidP="00F675CF">
            <w:pPr>
              <w:keepNext/>
              <w:jc w:val="center"/>
            </w:pPr>
            <w:r w:rsidRPr="008912CF">
              <w:rPr>
                <w:sz w:val="22"/>
                <w:szCs w:val="22"/>
              </w:rPr>
              <w:t>10%</w:t>
            </w:r>
          </w:p>
        </w:tc>
        <w:tc>
          <w:tcPr>
            <w:tcW w:w="2310" w:type="dxa"/>
          </w:tcPr>
          <w:p w14:paraId="51BB8009" w14:textId="77777777" w:rsidR="004462A0" w:rsidRPr="008912CF" w:rsidRDefault="00615769" w:rsidP="00F675CF">
            <w:pPr>
              <w:keepNext/>
              <w:jc w:val="center"/>
            </w:pPr>
            <w:r w:rsidRPr="008912CF">
              <w:rPr>
                <w:sz w:val="22"/>
                <w:szCs w:val="22"/>
              </w:rPr>
              <w:t>38%***</w:t>
            </w:r>
          </w:p>
        </w:tc>
      </w:tr>
      <w:tr w:rsidR="00A7162A" w14:paraId="71AAFB33" w14:textId="77777777" w:rsidTr="00F675CF">
        <w:tc>
          <w:tcPr>
            <w:tcW w:w="2750" w:type="dxa"/>
          </w:tcPr>
          <w:p w14:paraId="253839B3" w14:textId="77777777" w:rsidR="004462A0" w:rsidRPr="008912CF" w:rsidRDefault="00615769" w:rsidP="00F675CF">
            <w:pPr>
              <w:keepNext/>
              <w:ind w:left="720"/>
            </w:pPr>
            <w:r w:rsidRPr="008912CF">
              <w:rPr>
                <w:sz w:val="22"/>
                <w:szCs w:val="22"/>
              </w:rPr>
              <w:t>Semana 24</w:t>
            </w:r>
          </w:p>
        </w:tc>
        <w:tc>
          <w:tcPr>
            <w:tcW w:w="2090" w:type="dxa"/>
          </w:tcPr>
          <w:p w14:paraId="790A6144" w14:textId="77777777" w:rsidR="004462A0" w:rsidRPr="008912CF" w:rsidRDefault="00615769" w:rsidP="00F675CF">
            <w:pPr>
              <w:keepNext/>
              <w:jc w:val="center"/>
            </w:pPr>
            <w:r w:rsidRPr="008912CF">
              <w:rPr>
                <w:sz w:val="22"/>
                <w:szCs w:val="22"/>
              </w:rPr>
              <w:t>11%</w:t>
            </w:r>
          </w:p>
        </w:tc>
        <w:tc>
          <w:tcPr>
            <w:tcW w:w="2310" w:type="dxa"/>
          </w:tcPr>
          <w:p w14:paraId="1E42545B" w14:textId="77777777" w:rsidR="004462A0" w:rsidRPr="008912CF" w:rsidRDefault="00615769" w:rsidP="00F675CF">
            <w:pPr>
              <w:keepNext/>
              <w:jc w:val="center"/>
            </w:pPr>
            <w:r w:rsidRPr="008912CF">
              <w:rPr>
                <w:sz w:val="22"/>
                <w:szCs w:val="22"/>
              </w:rPr>
              <w:t>35%***</w:t>
            </w:r>
          </w:p>
        </w:tc>
      </w:tr>
      <w:tr w:rsidR="00A7162A" w14:paraId="3ED97836" w14:textId="77777777" w:rsidTr="00F675CF">
        <w:tc>
          <w:tcPr>
            <w:tcW w:w="2750" w:type="dxa"/>
          </w:tcPr>
          <w:p w14:paraId="4773D30E" w14:textId="77777777" w:rsidR="004462A0" w:rsidRPr="008912CF" w:rsidRDefault="00615769" w:rsidP="00F675CF">
            <w:pPr>
              <w:keepNext/>
            </w:pPr>
            <w:r w:rsidRPr="008912CF">
              <w:rPr>
                <w:sz w:val="22"/>
                <w:szCs w:val="22"/>
              </w:rPr>
              <w:t>ASAS 70</w:t>
            </w:r>
          </w:p>
        </w:tc>
        <w:tc>
          <w:tcPr>
            <w:tcW w:w="2090" w:type="dxa"/>
          </w:tcPr>
          <w:p w14:paraId="41749FEB" w14:textId="77777777" w:rsidR="004462A0" w:rsidRPr="008912CF" w:rsidRDefault="004462A0" w:rsidP="00F675CF">
            <w:pPr>
              <w:keepNext/>
              <w:jc w:val="center"/>
            </w:pPr>
          </w:p>
        </w:tc>
        <w:tc>
          <w:tcPr>
            <w:tcW w:w="2310" w:type="dxa"/>
          </w:tcPr>
          <w:p w14:paraId="3227E06D" w14:textId="77777777" w:rsidR="004462A0" w:rsidRPr="008912CF" w:rsidRDefault="004462A0" w:rsidP="00F675CF">
            <w:pPr>
              <w:keepNext/>
              <w:jc w:val="center"/>
            </w:pPr>
          </w:p>
        </w:tc>
      </w:tr>
      <w:tr w:rsidR="00A7162A" w14:paraId="17E3ACE6" w14:textId="77777777" w:rsidTr="00F675CF">
        <w:tc>
          <w:tcPr>
            <w:tcW w:w="2750" w:type="dxa"/>
          </w:tcPr>
          <w:p w14:paraId="37E57574" w14:textId="77777777" w:rsidR="004462A0" w:rsidRPr="008912CF" w:rsidRDefault="00615769" w:rsidP="00F675CF">
            <w:pPr>
              <w:keepNext/>
            </w:pPr>
            <w:r w:rsidRPr="008912CF">
              <w:rPr>
                <w:sz w:val="22"/>
                <w:szCs w:val="22"/>
              </w:rPr>
              <w:t xml:space="preserve">             Semana 2</w:t>
            </w:r>
          </w:p>
        </w:tc>
        <w:tc>
          <w:tcPr>
            <w:tcW w:w="2090" w:type="dxa"/>
          </w:tcPr>
          <w:p w14:paraId="78D7A1B4" w14:textId="77777777" w:rsidR="004462A0" w:rsidRPr="008912CF" w:rsidRDefault="00615769" w:rsidP="00F675CF">
            <w:pPr>
              <w:keepNext/>
              <w:jc w:val="center"/>
            </w:pPr>
            <w:r w:rsidRPr="008912CF">
              <w:rPr>
                <w:sz w:val="22"/>
                <w:szCs w:val="22"/>
              </w:rPr>
              <w:t>0%</w:t>
            </w:r>
          </w:p>
        </w:tc>
        <w:tc>
          <w:tcPr>
            <w:tcW w:w="2310" w:type="dxa"/>
          </w:tcPr>
          <w:p w14:paraId="036369EF" w14:textId="77777777" w:rsidR="004462A0" w:rsidRPr="008912CF" w:rsidRDefault="00615769" w:rsidP="00F675CF">
            <w:pPr>
              <w:keepNext/>
              <w:jc w:val="center"/>
            </w:pPr>
            <w:r w:rsidRPr="008912CF">
              <w:rPr>
                <w:sz w:val="22"/>
                <w:szCs w:val="22"/>
              </w:rPr>
              <w:t>7%**</w:t>
            </w:r>
          </w:p>
        </w:tc>
      </w:tr>
      <w:tr w:rsidR="00A7162A" w14:paraId="0097E347" w14:textId="77777777" w:rsidTr="00F675CF">
        <w:tc>
          <w:tcPr>
            <w:tcW w:w="2750" w:type="dxa"/>
          </w:tcPr>
          <w:p w14:paraId="146CBA71" w14:textId="77777777" w:rsidR="004462A0" w:rsidRPr="008912CF" w:rsidRDefault="00615769" w:rsidP="00F675CF">
            <w:pPr>
              <w:keepNext/>
              <w:ind w:left="720"/>
            </w:pPr>
            <w:r w:rsidRPr="008912CF">
              <w:rPr>
                <w:sz w:val="22"/>
                <w:szCs w:val="22"/>
              </w:rPr>
              <w:t>Semana 12</w:t>
            </w:r>
          </w:p>
        </w:tc>
        <w:tc>
          <w:tcPr>
            <w:tcW w:w="2090" w:type="dxa"/>
          </w:tcPr>
          <w:p w14:paraId="2A392E16" w14:textId="77777777" w:rsidR="004462A0" w:rsidRPr="008912CF" w:rsidRDefault="00615769" w:rsidP="00F675CF">
            <w:pPr>
              <w:keepNext/>
              <w:jc w:val="center"/>
            </w:pPr>
            <w:r w:rsidRPr="008912CF">
              <w:rPr>
                <w:sz w:val="22"/>
                <w:szCs w:val="22"/>
              </w:rPr>
              <w:t>5%</w:t>
            </w:r>
          </w:p>
        </w:tc>
        <w:tc>
          <w:tcPr>
            <w:tcW w:w="2310" w:type="dxa"/>
          </w:tcPr>
          <w:p w14:paraId="6EA9BBD6" w14:textId="77777777" w:rsidR="004462A0" w:rsidRPr="008912CF" w:rsidRDefault="00615769" w:rsidP="00F675CF">
            <w:pPr>
              <w:keepNext/>
              <w:jc w:val="center"/>
            </w:pPr>
            <w:r w:rsidRPr="008912CF">
              <w:rPr>
                <w:sz w:val="22"/>
                <w:szCs w:val="22"/>
              </w:rPr>
              <w:t>23%***</w:t>
            </w:r>
          </w:p>
        </w:tc>
      </w:tr>
      <w:tr w:rsidR="00A7162A" w14:paraId="50456890" w14:textId="77777777" w:rsidTr="00F675CF">
        <w:tc>
          <w:tcPr>
            <w:tcW w:w="2750" w:type="dxa"/>
          </w:tcPr>
          <w:p w14:paraId="5DF6C8DF" w14:textId="77777777" w:rsidR="004462A0" w:rsidRPr="008912CF" w:rsidRDefault="00615769" w:rsidP="00F675CF">
            <w:pPr>
              <w:keepNext/>
              <w:ind w:left="720"/>
            </w:pPr>
            <w:r w:rsidRPr="008912CF">
              <w:rPr>
                <w:sz w:val="22"/>
                <w:szCs w:val="22"/>
              </w:rPr>
              <w:t>Semana 24</w:t>
            </w:r>
          </w:p>
        </w:tc>
        <w:tc>
          <w:tcPr>
            <w:tcW w:w="2090" w:type="dxa"/>
          </w:tcPr>
          <w:p w14:paraId="5F85080D" w14:textId="77777777" w:rsidR="004462A0" w:rsidRPr="008912CF" w:rsidRDefault="00615769" w:rsidP="00F675CF">
            <w:pPr>
              <w:keepNext/>
              <w:jc w:val="center"/>
            </w:pPr>
            <w:r w:rsidRPr="008912CF">
              <w:rPr>
                <w:sz w:val="22"/>
                <w:szCs w:val="22"/>
              </w:rPr>
              <w:t>8%</w:t>
            </w:r>
          </w:p>
        </w:tc>
        <w:tc>
          <w:tcPr>
            <w:tcW w:w="2310" w:type="dxa"/>
          </w:tcPr>
          <w:p w14:paraId="0D92B564" w14:textId="77777777" w:rsidR="004462A0" w:rsidRPr="008912CF" w:rsidRDefault="00615769" w:rsidP="00F675CF">
            <w:pPr>
              <w:keepNext/>
              <w:jc w:val="center"/>
            </w:pPr>
            <w:r w:rsidRPr="008912CF">
              <w:rPr>
                <w:sz w:val="22"/>
                <w:szCs w:val="22"/>
              </w:rPr>
              <w:t>24%***</w:t>
            </w:r>
          </w:p>
        </w:tc>
      </w:tr>
      <w:tr w:rsidR="00A7162A" w14:paraId="110BBE71" w14:textId="77777777" w:rsidTr="00F675CF">
        <w:tc>
          <w:tcPr>
            <w:tcW w:w="2750" w:type="dxa"/>
          </w:tcPr>
          <w:p w14:paraId="11C92EBD" w14:textId="77777777" w:rsidR="004462A0" w:rsidRPr="008912CF" w:rsidRDefault="00615769" w:rsidP="00F675CF">
            <w:pPr>
              <w:keepNext/>
            </w:pPr>
            <w:r w:rsidRPr="008912CF">
              <w:rPr>
                <w:sz w:val="22"/>
                <w:szCs w:val="22"/>
              </w:rPr>
              <w:t>BASDAI</w:t>
            </w:r>
            <w:r w:rsidRPr="008912CF">
              <w:rPr>
                <w:sz w:val="22"/>
                <w:szCs w:val="22"/>
                <w:vertAlign w:val="superscript"/>
              </w:rPr>
              <w:t>b</w:t>
            </w:r>
            <w:r w:rsidRPr="008912CF">
              <w:rPr>
                <w:sz w:val="22"/>
                <w:szCs w:val="22"/>
              </w:rPr>
              <w:t xml:space="preserve"> 50 </w:t>
            </w:r>
          </w:p>
        </w:tc>
        <w:tc>
          <w:tcPr>
            <w:tcW w:w="2090" w:type="dxa"/>
          </w:tcPr>
          <w:p w14:paraId="6E12B4A4" w14:textId="77777777" w:rsidR="004462A0" w:rsidRPr="008912CF" w:rsidRDefault="004462A0" w:rsidP="00F675CF">
            <w:pPr>
              <w:keepNext/>
              <w:jc w:val="center"/>
            </w:pPr>
          </w:p>
        </w:tc>
        <w:tc>
          <w:tcPr>
            <w:tcW w:w="2310" w:type="dxa"/>
          </w:tcPr>
          <w:p w14:paraId="5EA8E951" w14:textId="77777777" w:rsidR="004462A0" w:rsidRPr="008912CF" w:rsidRDefault="004462A0" w:rsidP="00F675CF">
            <w:pPr>
              <w:keepNext/>
              <w:jc w:val="center"/>
            </w:pPr>
          </w:p>
        </w:tc>
      </w:tr>
      <w:tr w:rsidR="00A7162A" w14:paraId="3FD976F5" w14:textId="77777777" w:rsidTr="00F675CF">
        <w:tc>
          <w:tcPr>
            <w:tcW w:w="2750" w:type="dxa"/>
          </w:tcPr>
          <w:p w14:paraId="0A95ABC1" w14:textId="77777777" w:rsidR="004462A0" w:rsidRPr="008912CF" w:rsidRDefault="00615769" w:rsidP="00F675CF">
            <w:pPr>
              <w:keepNext/>
            </w:pPr>
            <w:r w:rsidRPr="008912CF">
              <w:rPr>
                <w:sz w:val="22"/>
                <w:szCs w:val="22"/>
              </w:rPr>
              <w:t xml:space="preserve">             Semana 2</w:t>
            </w:r>
          </w:p>
        </w:tc>
        <w:tc>
          <w:tcPr>
            <w:tcW w:w="2090" w:type="dxa"/>
          </w:tcPr>
          <w:p w14:paraId="2AEAAF28" w14:textId="77777777" w:rsidR="004462A0" w:rsidRPr="008912CF" w:rsidRDefault="00615769" w:rsidP="00F675CF">
            <w:pPr>
              <w:keepNext/>
              <w:jc w:val="center"/>
            </w:pPr>
            <w:r w:rsidRPr="008912CF">
              <w:rPr>
                <w:sz w:val="22"/>
                <w:szCs w:val="22"/>
              </w:rPr>
              <w:t>4%</w:t>
            </w:r>
          </w:p>
        </w:tc>
        <w:tc>
          <w:tcPr>
            <w:tcW w:w="2310" w:type="dxa"/>
          </w:tcPr>
          <w:p w14:paraId="084E532C" w14:textId="77777777" w:rsidR="004462A0" w:rsidRPr="008912CF" w:rsidRDefault="00615769" w:rsidP="00F675CF">
            <w:pPr>
              <w:keepNext/>
              <w:jc w:val="center"/>
            </w:pPr>
            <w:r w:rsidRPr="008912CF">
              <w:rPr>
                <w:sz w:val="22"/>
                <w:szCs w:val="22"/>
              </w:rPr>
              <w:t>20%***</w:t>
            </w:r>
          </w:p>
        </w:tc>
      </w:tr>
      <w:tr w:rsidR="00A7162A" w14:paraId="655AB52C" w14:textId="77777777" w:rsidTr="00F675CF">
        <w:tc>
          <w:tcPr>
            <w:tcW w:w="2750" w:type="dxa"/>
          </w:tcPr>
          <w:p w14:paraId="14B562C8" w14:textId="77777777" w:rsidR="004462A0" w:rsidRPr="008912CF" w:rsidRDefault="00615769" w:rsidP="00F675CF">
            <w:pPr>
              <w:keepNext/>
              <w:ind w:left="720"/>
            </w:pPr>
            <w:r w:rsidRPr="008912CF">
              <w:rPr>
                <w:sz w:val="22"/>
                <w:szCs w:val="22"/>
              </w:rPr>
              <w:t xml:space="preserve">Semana 12 </w:t>
            </w:r>
          </w:p>
        </w:tc>
        <w:tc>
          <w:tcPr>
            <w:tcW w:w="2090" w:type="dxa"/>
          </w:tcPr>
          <w:p w14:paraId="0D9B5AF7" w14:textId="77777777" w:rsidR="004462A0" w:rsidRPr="008912CF" w:rsidRDefault="00615769" w:rsidP="00F675CF">
            <w:pPr>
              <w:keepNext/>
              <w:jc w:val="center"/>
            </w:pPr>
            <w:r w:rsidRPr="008912CF">
              <w:rPr>
                <w:sz w:val="22"/>
                <w:szCs w:val="22"/>
              </w:rPr>
              <w:t>16%</w:t>
            </w:r>
          </w:p>
        </w:tc>
        <w:tc>
          <w:tcPr>
            <w:tcW w:w="2310" w:type="dxa"/>
          </w:tcPr>
          <w:p w14:paraId="1BFD7413" w14:textId="77777777" w:rsidR="004462A0" w:rsidRPr="008912CF" w:rsidRDefault="00615769" w:rsidP="00F675CF">
            <w:pPr>
              <w:keepNext/>
              <w:jc w:val="center"/>
            </w:pPr>
            <w:r w:rsidRPr="008912CF">
              <w:rPr>
                <w:sz w:val="22"/>
                <w:szCs w:val="22"/>
              </w:rPr>
              <w:t>45%***</w:t>
            </w:r>
          </w:p>
        </w:tc>
      </w:tr>
      <w:tr w:rsidR="00A7162A" w14:paraId="592B2C81" w14:textId="77777777" w:rsidTr="00F675CF">
        <w:tc>
          <w:tcPr>
            <w:tcW w:w="2750" w:type="dxa"/>
          </w:tcPr>
          <w:p w14:paraId="63E542A2" w14:textId="77777777" w:rsidR="004462A0" w:rsidRPr="008912CF" w:rsidRDefault="00615769" w:rsidP="00F675CF">
            <w:pPr>
              <w:keepNext/>
              <w:ind w:left="720"/>
            </w:pPr>
            <w:r w:rsidRPr="008912CF">
              <w:rPr>
                <w:sz w:val="22"/>
                <w:szCs w:val="22"/>
              </w:rPr>
              <w:t xml:space="preserve">Semana 24 </w:t>
            </w:r>
          </w:p>
        </w:tc>
        <w:tc>
          <w:tcPr>
            <w:tcW w:w="2090" w:type="dxa"/>
          </w:tcPr>
          <w:p w14:paraId="6D3A1F09" w14:textId="77777777" w:rsidR="004462A0" w:rsidRPr="008912CF" w:rsidRDefault="00615769" w:rsidP="00F675CF">
            <w:pPr>
              <w:keepNext/>
              <w:jc w:val="center"/>
            </w:pPr>
            <w:r w:rsidRPr="008912CF">
              <w:rPr>
                <w:sz w:val="22"/>
                <w:szCs w:val="22"/>
              </w:rPr>
              <w:t>15%</w:t>
            </w:r>
          </w:p>
        </w:tc>
        <w:tc>
          <w:tcPr>
            <w:tcW w:w="2310" w:type="dxa"/>
          </w:tcPr>
          <w:p w14:paraId="69C58278" w14:textId="77777777" w:rsidR="004462A0" w:rsidRPr="008912CF" w:rsidRDefault="00615769" w:rsidP="00F675CF">
            <w:pPr>
              <w:keepNext/>
              <w:jc w:val="center"/>
            </w:pPr>
            <w:r w:rsidRPr="008912CF">
              <w:rPr>
                <w:sz w:val="22"/>
                <w:szCs w:val="22"/>
              </w:rPr>
              <w:t>42%***</w:t>
            </w:r>
          </w:p>
        </w:tc>
      </w:tr>
    </w:tbl>
    <w:p w14:paraId="685734D1" w14:textId="77777777" w:rsidR="004462A0" w:rsidRPr="008912CF" w:rsidRDefault="00615769" w:rsidP="004462A0">
      <w:pPr>
        <w:pStyle w:val="DefaultText"/>
        <w:keepNext/>
        <w:ind w:left="990"/>
        <w:rPr>
          <w:rFonts w:ascii="Times New Roman" w:hAnsi="Times New Roman"/>
          <w:szCs w:val="22"/>
          <w:lang w:val="pt-PT"/>
        </w:rPr>
      </w:pPr>
      <w:r w:rsidRPr="008912CF">
        <w:rPr>
          <w:rFonts w:ascii="Times New Roman" w:hAnsi="Times New Roman"/>
          <w:szCs w:val="22"/>
          <w:lang w:val="pt-PT"/>
        </w:rPr>
        <w:t>***,** Estatisticamente significativ</w:t>
      </w:r>
      <w:r w:rsidR="00B542C8">
        <w:rPr>
          <w:rFonts w:ascii="Times New Roman" w:hAnsi="Times New Roman"/>
          <w:szCs w:val="22"/>
          <w:lang w:val="pt-PT"/>
        </w:rPr>
        <w:t>o</w:t>
      </w:r>
      <w:r w:rsidRPr="008912CF">
        <w:rPr>
          <w:rFonts w:ascii="Times New Roman" w:hAnsi="Times New Roman"/>
          <w:szCs w:val="22"/>
          <w:lang w:val="pt-PT"/>
        </w:rPr>
        <w:t xml:space="preserve"> p &lt; 0</w:t>
      </w:r>
      <w:r w:rsidR="009343EF">
        <w:rPr>
          <w:rFonts w:ascii="Times New Roman" w:hAnsi="Times New Roman"/>
          <w:szCs w:val="22"/>
          <w:lang w:val="pt-PT"/>
        </w:rPr>
        <w:t>,</w:t>
      </w:r>
      <w:r w:rsidRPr="008912CF">
        <w:rPr>
          <w:rFonts w:ascii="Times New Roman" w:hAnsi="Times New Roman"/>
          <w:szCs w:val="22"/>
          <w:lang w:val="pt-PT"/>
        </w:rPr>
        <w:t>001, &lt; 0</w:t>
      </w:r>
      <w:r w:rsidR="009343EF">
        <w:rPr>
          <w:rFonts w:ascii="Times New Roman" w:hAnsi="Times New Roman"/>
          <w:szCs w:val="22"/>
          <w:lang w:val="pt-PT"/>
        </w:rPr>
        <w:t>,</w:t>
      </w:r>
      <w:r w:rsidRPr="008912CF">
        <w:rPr>
          <w:rFonts w:ascii="Times New Roman" w:hAnsi="Times New Roman"/>
          <w:szCs w:val="22"/>
          <w:lang w:val="pt-PT"/>
        </w:rPr>
        <w:t>01 para todas as comparações entre Humira e placebo nas Semanas 2, 12 e 24</w:t>
      </w:r>
    </w:p>
    <w:p w14:paraId="74921B9A" w14:textId="77777777" w:rsidR="004462A0" w:rsidRPr="008912CF" w:rsidRDefault="00615769" w:rsidP="004462A0">
      <w:pPr>
        <w:keepNext/>
        <w:autoSpaceDE w:val="0"/>
        <w:autoSpaceDN w:val="0"/>
        <w:adjustRightInd w:val="0"/>
        <w:ind w:left="990"/>
        <w:rPr>
          <w:sz w:val="22"/>
          <w:szCs w:val="22"/>
        </w:rPr>
      </w:pPr>
      <w:r w:rsidRPr="008912CF">
        <w:rPr>
          <w:color w:val="000000"/>
          <w:sz w:val="22"/>
          <w:szCs w:val="22"/>
          <w:vertAlign w:val="superscript"/>
        </w:rPr>
        <w:t>a</w:t>
      </w:r>
      <w:r w:rsidRPr="008912CF">
        <w:rPr>
          <w:color w:val="000000"/>
          <w:sz w:val="22"/>
          <w:szCs w:val="22"/>
        </w:rPr>
        <w:t xml:space="preserve"> Avaliação da Espondilite Anquilosante</w:t>
      </w:r>
    </w:p>
    <w:p w14:paraId="2439CF72" w14:textId="77777777" w:rsidR="004462A0" w:rsidRPr="008912CF" w:rsidRDefault="00615769" w:rsidP="004462A0">
      <w:pPr>
        <w:pStyle w:val="EMEANormal"/>
        <w:keepNext/>
        <w:ind w:left="990"/>
        <w:rPr>
          <w:szCs w:val="22"/>
          <w:lang w:val="pt-PT"/>
        </w:rPr>
      </w:pPr>
      <w:r w:rsidRPr="008912CF">
        <w:rPr>
          <w:color w:val="000000"/>
          <w:szCs w:val="22"/>
          <w:vertAlign w:val="superscript"/>
          <w:lang w:val="pt-PT"/>
        </w:rPr>
        <w:t>b</w:t>
      </w:r>
      <w:r w:rsidRPr="008912CF">
        <w:rPr>
          <w:color w:val="000000"/>
          <w:szCs w:val="22"/>
          <w:lang w:val="pt-PT"/>
        </w:rPr>
        <w:t xml:space="preserve"> </w:t>
      </w:r>
      <w:r w:rsidRPr="008912CF">
        <w:rPr>
          <w:i/>
          <w:szCs w:val="22"/>
          <w:lang w:val="pt-PT"/>
        </w:rPr>
        <w:t>Bath Ankylosing Spondylitis Disease Activity Index</w:t>
      </w:r>
    </w:p>
    <w:p w14:paraId="58D7FC7D" w14:textId="77777777" w:rsidR="004462A0" w:rsidRPr="008912CF" w:rsidRDefault="004462A0" w:rsidP="004462A0">
      <w:pPr>
        <w:pStyle w:val="EMEANormal"/>
        <w:rPr>
          <w:szCs w:val="22"/>
          <w:lang w:val="pt-PT"/>
        </w:rPr>
      </w:pPr>
    </w:p>
    <w:p w14:paraId="70FE2A76" w14:textId="77777777" w:rsidR="004462A0" w:rsidRPr="008912CF" w:rsidRDefault="00615769" w:rsidP="004462A0">
      <w:pPr>
        <w:pStyle w:val="EMEANormal"/>
        <w:rPr>
          <w:szCs w:val="22"/>
          <w:lang w:val="pt-PT"/>
        </w:rPr>
      </w:pPr>
      <w:r w:rsidRPr="008912CF">
        <w:rPr>
          <w:szCs w:val="22"/>
          <w:lang w:val="pt-PT"/>
        </w:rPr>
        <w:t>Os doentes tratados com Humira apresentaram uma melhoria significativamente superior na Semana 12</w:t>
      </w:r>
      <w:r w:rsidR="00B542C8">
        <w:rPr>
          <w:szCs w:val="22"/>
          <w:lang w:val="pt-PT"/>
        </w:rPr>
        <w:t>,</w:t>
      </w:r>
      <w:r w:rsidRPr="008912CF">
        <w:rPr>
          <w:szCs w:val="22"/>
          <w:lang w:val="pt-PT"/>
        </w:rPr>
        <w:t xml:space="preserve"> a qual foi mantida até à Semana 24, no SF36 e no Questionário de Qualidade de Vida da Espondilite Anquilosante (ASQoL).</w:t>
      </w:r>
    </w:p>
    <w:p w14:paraId="61AFF603" w14:textId="77777777" w:rsidR="004462A0" w:rsidRPr="008912CF" w:rsidRDefault="004462A0" w:rsidP="004462A0">
      <w:pPr>
        <w:pStyle w:val="EMEANormal"/>
        <w:rPr>
          <w:szCs w:val="22"/>
          <w:lang w:val="pt-PT"/>
        </w:rPr>
      </w:pPr>
    </w:p>
    <w:p w14:paraId="367DC8C0" w14:textId="77777777" w:rsidR="004462A0" w:rsidRPr="008912CF" w:rsidRDefault="00615769" w:rsidP="004462A0">
      <w:pPr>
        <w:rPr>
          <w:color w:val="000000"/>
          <w:sz w:val="22"/>
          <w:szCs w:val="22"/>
        </w:rPr>
      </w:pPr>
      <w:r w:rsidRPr="008912CF">
        <w:rPr>
          <w:sz w:val="22"/>
          <w:szCs w:val="22"/>
        </w:rPr>
        <w:t>Observaram-se resultados similares (nem todos estatisticamente significativos) n</w:t>
      </w:r>
      <w:r w:rsidR="00B542C8">
        <w:rPr>
          <w:sz w:val="22"/>
          <w:szCs w:val="22"/>
        </w:rPr>
        <w:t>o</w:t>
      </w:r>
      <w:r w:rsidRPr="008912CF">
        <w:rPr>
          <w:sz w:val="22"/>
          <w:szCs w:val="22"/>
        </w:rPr>
        <w:t xml:space="preserve"> estudo aleat</w:t>
      </w:r>
      <w:r w:rsidR="00B542C8">
        <w:rPr>
          <w:sz w:val="22"/>
          <w:szCs w:val="22"/>
        </w:rPr>
        <w:t>orizado</w:t>
      </w:r>
      <w:r w:rsidRPr="008912CF">
        <w:rPr>
          <w:sz w:val="22"/>
          <w:szCs w:val="22"/>
        </w:rPr>
        <w:t xml:space="preserve"> mais pequeno, em dupla ocultação, controlado com placebo, EA II envolvendo 82 doentes adultos com espondilite anquilosante ativa.</w:t>
      </w:r>
    </w:p>
    <w:p w14:paraId="128B4AAA" w14:textId="77777777" w:rsidR="004462A0" w:rsidRPr="008912CF" w:rsidRDefault="004462A0" w:rsidP="004462A0">
      <w:pPr>
        <w:pStyle w:val="BodyText2"/>
        <w:autoSpaceDE/>
        <w:autoSpaceDN/>
        <w:adjustRightInd/>
        <w:rPr>
          <w:color w:val="000000"/>
          <w:szCs w:val="22"/>
        </w:rPr>
      </w:pPr>
    </w:p>
    <w:p w14:paraId="04BC183B" w14:textId="77777777" w:rsidR="004462A0" w:rsidRPr="008912CF" w:rsidRDefault="00615769" w:rsidP="004462A0">
      <w:pPr>
        <w:pStyle w:val="BodyText2"/>
        <w:autoSpaceDE/>
        <w:autoSpaceDN/>
        <w:adjustRightInd/>
        <w:rPr>
          <w:i/>
          <w:color w:val="000000"/>
          <w:szCs w:val="22"/>
          <w:u w:val="single"/>
        </w:rPr>
      </w:pPr>
      <w:r w:rsidRPr="008912CF">
        <w:rPr>
          <w:i/>
          <w:color w:val="000000"/>
          <w:szCs w:val="22"/>
          <w:u w:val="single"/>
        </w:rPr>
        <w:t>Espondilartrite axial sem evidência radiográfica de EA</w:t>
      </w:r>
    </w:p>
    <w:p w14:paraId="3EFA32F3" w14:textId="77777777" w:rsidR="004462A0" w:rsidRDefault="004462A0" w:rsidP="004462A0">
      <w:pPr>
        <w:pStyle w:val="BodyText2"/>
        <w:autoSpaceDE/>
        <w:autoSpaceDN/>
        <w:adjustRightInd/>
        <w:rPr>
          <w:color w:val="000000"/>
          <w:szCs w:val="22"/>
          <w:u w:val="single"/>
        </w:rPr>
      </w:pPr>
    </w:p>
    <w:p w14:paraId="1F8171DD" w14:textId="77777777" w:rsidR="00A347AC" w:rsidRDefault="00615769" w:rsidP="00A347AC">
      <w:pPr>
        <w:pStyle w:val="EMEANormal"/>
        <w:rPr>
          <w:szCs w:val="22"/>
          <w:lang w:val="pt-PT"/>
        </w:rPr>
      </w:pPr>
      <w:r w:rsidRPr="00DF02FD">
        <w:rPr>
          <w:szCs w:val="22"/>
          <w:lang w:val="pt-PT"/>
        </w:rPr>
        <w:t xml:space="preserve">A segurança e eficácia de Humira foram avaliadas em </w:t>
      </w:r>
      <w:r>
        <w:rPr>
          <w:szCs w:val="22"/>
          <w:lang w:val="pt-PT"/>
        </w:rPr>
        <w:t xml:space="preserve">dois </w:t>
      </w:r>
      <w:r w:rsidRPr="00DF02FD">
        <w:rPr>
          <w:szCs w:val="22"/>
          <w:lang w:val="pt-PT"/>
        </w:rPr>
        <w:t>estudos</w:t>
      </w:r>
      <w:r w:rsidR="00FE259B" w:rsidRPr="00FE259B">
        <w:rPr>
          <w:lang w:val="pt-PT"/>
        </w:rPr>
        <w:t xml:space="preserve"> </w:t>
      </w:r>
      <w:r w:rsidR="00FE259B">
        <w:rPr>
          <w:lang w:val="pt-PT"/>
        </w:rPr>
        <w:t>aleatorizados</w:t>
      </w:r>
      <w:r w:rsidRPr="00DF02FD">
        <w:rPr>
          <w:szCs w:val="22"/>
          <w:lang w:val="pt-PT"/>
        </w:rPr>
        <w:t xml:space="preserve">, </w:t>
      </w:r>
      <w:r w:rsidR="008C04F1">
        <w:rPr>
          <w:szCs w:val="22"/>
          <w:lang w:val="pt-PT"/>
        </w:rPr>
        <w:t>e</w:t>
      </w:r>
      <w:r w:rsidRPr="00DF02FD">
        <w:rPr>
          <w:szCs w:val="22"/>
          <w:lang w:val="pt-PT"/>
        </w:rPr>
        <w:t>m dupla ocultação</w:t>
      </w:r>
      <w:r w:rsidR="00FE259B">
        <w:rPr>
          <w:szCs w:val="22"/>
          <w:lang w:val="pt-PT"/>
        </w:rPr>
        <w:t xml:space="preserve"> controlados com placebo</w:t>
      </w:r>
      <w:r w:rsidRPr="00DF02FD">
        <w:rPr>
          <w:szCs w:val="22"/>
          <w:lang w:val="pt-PT"/>
        </w:rPr>
        <w:t>, em doentes com</w:t>
      </w:r>
      <w:r>
        <w:rPr>
          <w:lang w:val="pt-PT"/>
        </w:rPr>
        <w:t xml:space="preserve"> </w:t>
      </w:r>
      <w:r w:rsidRPr="008912CF">
        <w:rPr>
          <w:lang w:val="pt-PT"/>
        </w:rPr>
        <w:t xml:space="preserve">espondilartrite axial </w:t>
      </w:r>
      <w:r w:rsidR="00C97EA8">
        <w:rPr>
          <w:lang w:val="pt-PT"/>
        </w:rPr>
        <w:t xml:space="preserve">sem evidência radiográfica de EA </w:t>
      </w:r>
      <w:r>
        <w:rPr>
          <w:lang w:val="pt-PT"/>
        </w:rPr>
        <w:t>(</w:t>
      </w:r>
      <w:r w:rsidRPr="00DF02FD">
        <w:rPr>
          <w:szCs w:val="22"/>
          <w:lang w:val="pt-PT"/>
        </w:rPr>
        <w:t>E</w:t>
      </w:r>
      <w:r w:rsidR="003E3AA9" w:rsidRPr="00DF02FD">
        <w:rPr>
          <w:szCs w:val="22"/>
          <w:lang w:val="pt-PT"/>
        </w:rPr>
        <w:t>a</w:t>
      </w:r>
      <w:r w:rsidRPr="00DF02FD">
        <w:rPr>
          <w:szCs w:val="22"/>
          <w:lang w:val="pt-PT"/>
        </w:rPr>
        <w:t>x</w:t>
      </w:r>
      <w:r w:rsidR="00C97EA8">
        <w:rPr>
          <w:szCs w:val="22"/>
          <w:lang w:val="pt-PT"/>
        </w:rPr>
        <w:t>-nr</w:t>
      </w:r>
      <w:r>
        <w:rPr>
          <w:szCs w:val="22"/>
          <w:lang w:val="pt-PT"/>
        </w:rPr>
        <w:t>). O estudo I na E</w:t>
      </w:r>
      <w:r w:rsidR="003E3AA9">
        <w:rPr>
          <w:szCs w:val="22"/>
          <w:lang w:val="pt-PT"/>
        </w:rPr>
        <w:t>a</w:t>
      </w:r>
      <w:r>
        <w:rPr>
          <w:szCs w:val="22"/>
          <w:lang w:val="pt-PT"/>
        </w:rPr>
        <w:t>x</w:t>
      </w:r>
      <w:r w:rsidR="00C97EA8">
        <w:rPr>
          <w:szCs w:val="22"/>
          <w:lang w:val="pt-PT"/>
        </w:rPr>
        <w:t xml:space="preserve">-nr </w:t>
      </w:r>
      <w:r>
        <w:rPr>
          <w:szCs w:val="22"/>
          <w:lang w:val="pt-PT"/>
        </w:rPr>
        <w:t xml:space="preserve">avaliou doentes com </w:t>
      </w:r>
      <w:r w:rsidRPr="00331062">
        <w:rPr>
          <w:szCs w:val="22"/>
          <w:lang w:val="pt-PT"/>
        </w:rPr>
        <w:t>E</w:t>
      </w:r>
      <w:r w:rsidR="003E3AA9" w:rsidRPr="00331062">
        <w:rPr>
          <w:szCs w:val="22"/>
          <w:lang w:val="pt-PT"/>
        </w:rPr>
        <w:t>a</w:t>
      </w:r>
      <w:r w:rsidRPr="00331062">
        <w:rPr>
          <w:szCs w:val="22"/>
          <w:lang w:val="pt-PT"/>
        </w:rPr>
        <w:t>x</w:t>
      </w:r>
      <w:r w:rsidR="00C97EA8">
        <w:rPr>
          <w:szCs w:val="22"/>
          <w:lang w:val="pt-PT"/>
        </w:rPr>
        <w:t>-nr</w:t>
      </w:r>
      <w:r>
        <w:rPr>
          <w:szCs w:val="22"/>
          <w:lang w:val="pt-PT"/>
        </w:rPr>
        <w:t xml:space="preserve"> ativa. O estudo II na E</w:t>
      </w:r>
      <w:r w:rsidR="003E3AA9">
        <w:rPr>
          <w:szCs w:val="22"/>
          <w:lang w:val="pt-PT"/>
        </w:rPr>
        <w:t>a</w:t>
      </w:r>
      <w:r>
        <w:rPr>
          <w:szCs w:val="22"/>
          <w:lang w:val="pt-PT"/>
        </w:rPr>
        <w:t>x</w:t>
      </w:r>
      <w:r w:rsidR="00C97EA8">
        <w:rPr>
          <w:szCs w:val="22"/>
          <w:lang w:val="pt-PT"/>
        </w:rPr>
        <w:t>-nr</w:t>
      </w:r>
      <w:r>
        <w:rPr>
          <w:szCs w:val="22"/>
          <w:lang w:val="pt-PT"/>
        </w:rPr>
        <w:t xml:space="preserve"> consistiu num estudo de descontinuação do tratamento em doentes com E</w:t>
      </w:r>
      <w:r w:rsidR="003E3AA9">
        <w:rPr>
          <w:szCs w:val="22"/>
          <w:lang w:val="pt-PT"/>
        </w:rPr>
        <w:t>a</w:t>
      </w:r>
      <w:r>
        <w:rPr>
          <w:szCs w:val="22"/>
          <w:lang w:val="pt-PT"/>
        </w:rPr>
        <w:t>x</w:t>
      </w:r>
      <w:r w:rsidR="00C97EA8">
        <w:rPr>
          <w:szCs w:val="22"/>
          <w:lang w:val="pt-PT"/>
        </w:rPr>
        <w:t xml:space="preserve">-nr </w:t>
      </w:r>
      <w:r>
        <w:rPr>
          <w:szCs w:val="22"/>
          <w:lang w:val="pt-PT"/>
        </w:rPr>
        <w:t>ativa que atingiram remissão durante a fase aberta do tratamento com Humira.</w:t>
      </w:r>
    </w:p>
    <w:p w14:paraId="43FA001B" w14:textId="77777777" w:rsidR="00A347AC" w:rsidRDefault="00A347AC" w:rsidP="00A347AC">
      <w:pPr>
        <w:pStyle w:val="EMEANormal"/>
        <w:rPr>
          <w:szCs w:val="22"/>
          <w:lang w:val="pt-PT"/>
        </w:rPr>
      </w:pPr>
    </w:p>
    <w:p w14:paraId="68E2D6F6" w14:textId="77777777" w:rsidR="00A347AC" w:rsidRPr="00C12FF2" w:rsidRDefault="00615769" w:rsidP="00A347AC">
      <w:pPr>
        <w:pStyle w:val="EMEANormal"/>
        <w:rPr>
          <w:lang w:val="pt-PT"/>
        </w:rPr>
      </w:pPr>
      <w:r>
        <w:rPr>
          <w:szCs w:val="22"/>
          <w:lang w:val="pt-PT"/>
        </w:rPr>
        <w:t xml:space="preserve">Estudo I na </w:t>
      </w:r>
      <w:r w:rsidRPr="00331062">
        <w:rPr>
          <w:szCs w:val="22"/>
          <w:lang w:val="pt-PT"/>
        </w:rPr>
        <w:t>E</w:t>
      </w:r>
      <w:r w:rsidR="003E3AA9" w:rsidRPr="00331062">
        <w:rPr>
          <w:szCs w:val="22"/>
          <w:lang w:val="pt-PT"/>
        </w:rPr>
        <w:t>a</w:t>
      </w:r>
      <w:r w:rsidRPr="00331062">
        <w:rPr>
          <w:szCs w:val="22"/>
          <w:lang w:val="pt-PT"/>
        </w:rPr>
        <w:t>x</w:t>
      </w:r>
      <w:r w:rsidR="00C97EA8">
        <w:rPr>
          <w:szCs w:val="22"/>
          <w:lang w:val="pt-PT"/>
        </w:rPr>
        <w:t>-nr</w:t>
      </w:r>
    </w:p>
    <w:p w14:paraId="615D7C53" w14:textId="77777777" w:rsidR="00A347AC" w:rsidRPr="008912CF" w:rsidRDefault="00A347AC" w:rsidP="004462A0">
      <w:pPr>
        <w:pStyle w:val="BodyText2"/>
        <w:autoSpaceDE/>
        <w:autoSpaceDN/>
        <w:adjustRightInd/>
        <w:rPr>
          <w:color w:val="000000"/>
          <w:szCs w:val="22"/>
          <w:u w:val="single"/>
        </w:rPr>
      </w:pPr>
    </w:p>
    <w:p w14:paraId="5A7757A3" w14:textId="77777777" w:rsidR="004462A0" w:rsidRPr="008912CF" w:rsidRDefault="00615769" w:rsidP="004462A0">
      <w:pPr>
        <w:pStyle w:val="EMEANormal"/>
        <w:rPr>
          <w:lang w:val="pt-PT"/>
        </w:rPr>
      </w:pPr>
      <w:r>
        <w:rPr>
          <w:lang w:val="pt-PT"/>
        </w:rPr>
        <w:t xml:space="preserve">No Estudo I </w:t>
      </w:r>
      <w:r>
        <w:rPr>
          <w:szCs w:val="22"/>
          <w:lang w:val="pt-PT"/>
        </w:rPr>
        <w:t xml:space="preserve">na </w:t>
      </w:r>
      <w:r w:rsidRPr="00331062">
        <w:rPr>
          <w:szCs w:val="22"/>
          <w:lang w:val="pt-PT"/>
        </w:rPr>
        <w:t>E</w:t>
      </w:r>
      <w:r w:rsidR="003E3AA9" w:rsidRPr="00331062">
        <w:rPr>
          <w:szCs w:val="22"/>
          <w:lang w:val="pt-PT"/>
        </w:rPr>
        <w:t>a</w:t>
      </w:r>
      <w:r w:rsidRPr="00331062">
        <w:rPr>
          <w:szCs w:val="22"/>
          <w:lang w:val="pt-PT"/>
        </w:rPr>
        <w:t>x</w:t>
      </w:r>
      <w:r w:rsidR="00C97EA8">
        <w:rPr>
          <w:szCs w:val="22"/>
          <w:lang w:val="pt-PT"/>
        </w:rPr>
        <w:t>-nr</w:t>
      </w:r>
      <w:r>
        <w:rPr>
          <w:szCs w:val="22"/>
          <w:lang w:val="pt-PT"/>
        </w:rPr>
        <w:t xml:space="preserve">, </w:t>
      </w:r>
      <w:r w:rsidRPr="008912CF">
        <w:rPr>
          <w:lang w:val="pt-PT"/>
        </w:rPr>
        <w:t>Humira 40</w:t>
      </w:r>
      <w:r>
        <w:rPr>
          <w:lang w:val="pt-PT"/>
        </w:rPr>
        <w:t> </w:t>
      </w:r>
      <w:r w:rsidRPr="008912CF">
        <w:rPr>
          <w:lang w:val="pt-PT"/>
        </w:rPr>
        <w:t xml:space="preserve">mg em semanas alternadas foi avaliado num estudo </w:t>
      </w:r>
      <w:r w:rsidR="0013275C">
        <w:rPr>
          <w:lang w:val="pt-PT"/>
        </w:rPr>
        <w:t>aleatorizado</w:t>
      </w:r>
      <w:r w:rsidRPr="008912CF">
        <w:rPr>
          <w:lang w:val="pt-PT"/>
        </w:rPr>
        <w:t xml:space="preserve">, em dupla ocultação, controlado com placebo, durante 12 semanas em </w:t>
      </w:r>
      <w:r>
        <w:rPr>
          <w:lang w:val="pt-PT"/>
        </w:rPr>
        <w:t xml:space="preserve">185 </w:t>
      </w:r>
      <w:r w:rsidRPr="008912CF">
        <w:rPr>
          <w:lang w:val="pt-PT"/>
        </w:rPr>
        <w:t xml:space="preserve">doentes com </w:t>
      </w:r>
      <w:r w:rsidRPr="00331062">
        <w:rPr>
          <w:szCs w:val="22"/>
          <w:lang w:val="pt-PT"/>
        </w:rPr>
        <w:t>E</w:t>
      </w:r>
      <w:r w:rsidR="003E3AA9" w:rsidRPr="00331062">
        <w:rPr>
          <w:szCs w:val="22"/>
          <w:lang w:val="pt-PT"/>
        </w:rPr>
        <w:t>a</w:t>
      </w:r>
      <w:r w:rsidRPr="00331062">
        <w:rPr>
          <w:szCs w:val="22"/>
          <w:lang w:val="pt-PT"/>
        </w:rPr>
        <w:t>x</w:t>
      </w:r>
      <w:r w:rsidR="00C97EA8">
        <w:rPr>
          <w:szCs w:val="22"/>
          <w:lang w:val="pt-PT"/>
        </w:rPr>
        <w:t xml:space="preserve">-nr </w:t>
      </w:r>
      <w:r>
        <w:rPr>
          <w:szCs w:val="22"/>
          <w:lang w:val="pt-PT"/>
        </w:rPr>
        <w:t>ativa</w:t>
      </w:r>
      <w:r w:rsidRPr="008912CF">
        <w:rPr>
          <w:lang w:val="pt-PT"/>
        </w:rPr>
        <w:t xml:space="preserve"> (os valores médios basais da atividade da doença </w:t>
      </w:r>
      <w:r w:rsidRPr="008912CF">
        <w:rPr>
          <w:rFonts w:ascii="Symbol" w:hAnsi="Symbol"/>
          <w:lang w:val="pt-PT"/>
        </w:rPr>
        <w:sym w:font="Symbol" w:char="F05B"/>
      </w:r>
      <w:r w:rsidRPr="008912CF">
        <w:rPr>
          <w:i/>
          <w:lang w:val="pt-PT"/>
        </w:rPr>
        <w:t>Bath Ankylosing Spondylitis Disease Activity Index</w:t>
      </w:r>
      <w:r w:rsidRPr="008912CF">
        <w:rPr>
          <w:lang w:val="pt-PT"/>
        </w:rPr>
        <w:t xml:space="preserve"> (BASDAI)</w:t>
      </w:r>
      <w:r w:rsidRPr="008912CF">
        <w:rPr>
          <w:rFonts w:ascii="Symbol" w:hAnsi="Symbol"/>
          <w:lang w:val="pt-PT"/>
        </w:rPr>
        <w:sym w:font="Symbol" w:char="F05D"/>
      </w:r>
      <w:r w:rsidRPr="008912CF">
        <w:rPr>
          <w:lang w:val="pt-PT"/>
        </w:rPr>
        <w:t xml:space="preserve"> </w:t>
      </w:r>
      <w:r w:rsidR="00504ADB">
        <w:rPr>
          <w:lang w:val="pt-PT"/>
        </w:rPr>
        <w:t>eram de</w:t>
      </w:r>
      <w:r w:rsidR="00504ADB" w:rsidRPr="008912CF">
        <w:rPr>
          <w:lang w:val="pt-PT"/>
        </w:rPr>
        <w:t xml:space="preserve"> </w:t>
      </w:r>
      <w:r w:rsidRPr="008912CF">
        <w:rPr>
          <w:lang w:val="pt-PT"/>
        </w:rPr>
        <w:t>6,4 nos doentes tratados com Humira e 6,5 nos doentes que receberam placebo), que tiveram uma resposta inadequada, ou uma intolerância a </w:t>
      </w:r>
      <w:r w:rsidRPr="008912CF">
        <w:rPr>
          <w:rFonts w:ascii="Arial" w:hAnsi="Arial" w:cs="Arial"/>
          <w:lang w:val="pt-PT"/>
        </w:rPr>
        <w:t>≥</w:t>
      </w:r>
      <w:r w:rsidRPr="008912CF">
        <w:rPr>
          <w:lang w:val="pt-PT"/>
        </w:rPr>
        <w:t xml:space="preserve"> 1 AINEs, ou uma contraindicação aos AINEs.</w:t>
      </w:r>
    </w:p>
    <w:p w14:paraId="2F6A001A" w14:textId="77777777" w:rsidR="004462A0" w:rsidRPr="008912CF" w:rsidRDefault="004462A0" w:rsidP="004462A0">
      <w:pPr>
        <w:pStyle w:val="EMEANormal"/>
        <w:rPr>
          <w:lang w:val="pt-PT"/>
        </w:rPr>
      </w:pPr>
    </w:p>
    <w:p w14:paraId="1092B0E7" w14:textId="77777777" w:rsidR="004462A0" w:rsidRPr="008912CF" w:rsidRDefault="00615769" w:rsidP="004462A0">
      <w:pPr>
        <w:pStyle w:val="EMEANormal"/>
        <w:rPr>
          <w:szCs w:val="22"/>
          <w:lang w:val="pt-PT"/>
        </w:rPr>
      </w:pPr>
      <w:r w:rsidRPr="008912CF">
        <w:rPr>
          <w:lang w:val="pt-PT"/>
        </w:rPr>
        <w:t>Trinta e três doentes (18</w:t>
      </w:r>
      <w:r w:rsidR="009343EF">
        <w:rPr>
          <w:lang w:val="pt-PT"/>
        </w:rPr>
        <w:t>%</w:t>
      </w:r>
      <w:r w:rsidRPr="008912CF">
        <w:rPr>
          <w:lang w:val="pt-PT"/>
        </w:rPr>
        <w:t>) foram tratados concomitantemente com medicamentos anti</w:t>
      </w:r>
      <w:r w:rsidR="00F96DDF">
        <w:rPr>
          <w:lang w:val="pt-PT"/>
        </w:rPr>
        <w:t>-</w:t>
      </w:r>
      <w:r w:rsidRPr="008912CF">
        <w:rPr>
          <w:lang w:val="pt-PT"/>
        </w:rPr>
        <w:t>reumatismais modificadores da doença e 146 (79</w:t>
      </w:r>
      <w:r w:rsidR="009343EF">
        <w:rPr>
          <w:lang w:val="pt-PT"/>
        </w:rPr>
        <w:t>%</w:t>
      </w:r>
      <w:r w:rsidRPr="008912CF">
        <w:rPr>
          <w:lang w:val="pt-PT"/>
        </w:rPr>
        <w:t>) com AINEs aquando da avaliação basal. Após o período de dupla</w:t>
      </w:r>
      <w:r w:rsidR="00504ADB">
        <w:rPr>
          <w:lang w:val="pt-PT"/>
        </w:rPr>
        <w:t xml:space="preserve"> </w:t>
      </w:r>
      <w:r w:rsidRPr="008912CF">
        <w:rPr>
          <w:lang w:val="pt-PT"/>
        </w:rPr>
        <w:t>ocultação, seguiu-se um período de fase aberta durante o qual os doentes receberam Humira 40 mg por via subcutânea, em semanas alternadas, por mais 144 semanas. Os resultados na semana 12 mostraram uma melhoria estatisticamente significativa dos sinais e sintomas d</w:t>
      </w:r>
      <w:r w:rsidR="00504ADB">
        <w:rPr>
          <w:lang w:val="pt-PT"/>
        </w:rPr>
        <w:t>e</w:t>
      </w:r>
      <w:r w:rsidRPr="008912CF">
        <w:rPr>
          <w:lang w:val="pt-PT"/>
        </w:rPr>
        <w:t xml:space="preserve"> </w:t>
      </w:r>
      <w:r w:rsidR="00A347AC" w:rsidRPr="00331062">
        <w:rPr>
          <w:szCs w:val="22"/>
          <w:lang w:val="pt-PT"/>
        </w:rPr>
        <w:t>E</w:t>
      </w:r>
      <w:r w:rsidR="003E3AA9" w:rsidRPr="00331062">
        <w:rPr>
          <w:szCs w:val="22"/>
          <w:lang w:val="pt-PT"/>
        </w:rPr>
        <w:t>a</w:t>
      </w:r>
      <w:r w:rsidR="00A347AC" w:rsidRPr="00331062">
        <w:rPr>
          <w:szCs w:val="22"/>
          <w:lang w:val="pt-PT"/>
        </w:rPr>
        <w:t>x</w:t>
      </w:r>
      <w:r w:rsidR="00C97EA8">
        <w:rPr>
          <w:szCs w:val="22"/>
          <w:lang w:val="pt-PT"/>
        </w:rPr>
        <w:t>-nr</w:t>
      </w:r>
      <w:r w:rsidR="00A347AC" w:rsidRPr="00331062">
        <w:rPr>
          <w:szCs w:val="22"/>
          <w:lang w:val="pt-PT"/>
        </w:rPr>
        <w:t xml:space="preserve"> </w:t>
      </w:r>
      <w:r w:rsidR="00A347AC">
        <w:rPr>
          <w:szCs w:val="22"/>
          <w:lang w:val="pt-PT"/>
        </w:rPr>
        <w:t xml:space="preserve">ativa </w:t>
      </w:r>
      <w:r w:rsidRPr="008912CF">
        <w:rPr>
          <w:lang w:val="pt-PT"/>
        </w:rPr>
        <w:t>em doentes tratados com Humira, comparativamente com doentes tr</w:t>
      </w:r>
      <w:r w:rsidRPr="008912CF">
        <w:rPr>
          <w:lang w:val="pt-PT"/>
        </w:rPr>
        <w:t xml:space="preserve">atados com placebo (Tabela </w:t>
      </w:r>
      <w:r w:rsidR="00E60C95">
        <w:rPr>
          <w:lang w:val="pt-PT"/>
        </w:rPr>
        <w:t>1</w:t>
      </w:r>
      <w:r w:rsidR="00E549E4">
        <w:rPr>
          <w:lang w:val="pt-PT"/>
        </w:rPr>
        <w:t>3</w:t>
      </w:r>
      <w:r w:rsidRPr="008912CF">
        <w:rPr>
          <w:lang w:val="pt-PT"/>
        </w:rPr>
        <w:t xml:space="preserve">).  </w:t>
      </w:r>
    </w:p>
    <w:p w14:paraId="66993E05" w14:textId="77777777" w:rsidR="00504ADB" w:rsidRDefault="00504ADB" w:rsidP="004462A0">
      <w:pPr>
        <w:pStyle w:val="EMEANormal"/>
        <w:keepNext/>
        <w:jc w:val="center"/>
        <w:rPr>
          <w:b/>
          <w:bCs/>
          <w:szCs w:val="22"/>
          <w:lang w:val="pt-PT"/>
        </w:rPr>
      </w:pPr>
    </w:p>
    <w:p w14:paraId="1FED372F" w14:textId="77777777" w:rsidR="004462A0" w:rsidRPr="00342BDA" w:rsidRDefault="00615769" w:rsidP="004462A0">
      <w:pPr>
        <w:pStyle w:val="EMEANormal"/>
        <w:keepNext/>
        <w:jc w:val="center"/>
        <w:rPr>
          <w:bCs/>
          <w:szCs w:val="22"/>
          <w:lang w:val="pt-PT"/>
        </w:rPr>
      </w:pPr>
      <w:r w:rsidRPr="008912CF">
        <w:rPr>
          <w:b/>
          <w:bCs/>
          <w:szCs w:val="22"/>
          <w:lang w:val="pt-PT"/>
        </w:rPr>
        <w:t xml:space="preserve">Tabela </w:t>
      </w:r>
      <w:r w:rsidR="00E60C95">
        <w:rPr>
          <w:b/>
          <w:bCs/>
          <w:szCs w:val="22"/>
          <w:lang w:val="pt-PT"/>
        </w:rPr>
        <w:t>1</w:t>
      </w:r>
      <w:r w:rsidR="00E549E4">
        <w:rPr>
          <w:b/>
          <w:bCs/>
          <w:szCs w:val="22"/>
          <w:lang w:val="pt-PT"/>
        </w:rPr>
        <w:t>3</w:t>
      </w:r>
    </w:p>
    <w:p w14:paraId="6A6AD918" w14:textId="77777777" w:rsidR="004462A0" w:rsidRPr="00342BDA" w:rsidRDefault="00615769" w:rsidP="004462A0">
      <w:pPr>
        <w:pStyle w:val="EMEANormal"/>
        <w:keepNext/>
        <w:jc w:val="center"/>
        <w:rPr>
          <w:bCs/>
          <w:szCs w:val="22"/>
          <w:lang w:val="pt-PT"/>
        </w:rPr>
      </w:pPr>
      <w:r w:rsidRPr="008912CF">
        <w:rPr>
          <w:b/>
          <w:bCs/>
          <w:szCs w:val="22"/>
          <w:lang w:val="pt-PT"/>
        </w:rPr>
        <w:t>Resultados de Eficácia n</w:t>
      </w:r>
      <w:r w:rsidR="00A347AC">
        <w:rPr>
          <w:b/>
          <w:bCs/>
          <w:szCs w:val="22"/>
          <w:lang w:val="pt-PT"/>
        </w:rPr>
        <w:t>o</w:t>
      </w:r>
      <w:r w:rsidRPr="008912CF">
        <w:rPr>
          <w:b/>
          <w:bCs/>
          <w:szCs w:val="22"/>
          <w:lang w:val="pt-PT"/>
        </w:rPr>
        <w:t xml:space="preserve"> Estudo</w:t>
      </w:r>
      <w:r w:rsidR="00A347AC">
        <w:rPr>
          <w:b/>
          <w:bCs/>
          <w:szCs w:val="22"/>
          <w:lang w:val="pt-PT"/>
        </w:rPr>
        <w:t xml:space="preserve"> I</w:t>
      </w:r>
      <w:r w:rsidRPr="008912CF">
        <w:rPr>
          <w:b/>
          <w:bCs/>
          <w:szCs w:val="22"/>
          <w:lang w:val="pt-PT"/>
        </w:rPr>
        <w:t xml:space="preserve"> Controlado com Placebo na </w:t>
      </w:r>
      <w:r w:rsidR="00A347AC" w:rsidRPr="00A44E27">
        <w:rPr>
          <w:b/>
          <w:szCs w:val="22"/>
          <w:lang w:val="pt-PT"/>
        </w:rPr>
        <w:t>E</w:t>
      </w:r>
      <w:r w:rsidR="003E3AA9" w:rsidRPr="00A44E27">
        <w:rPr>
          <w:b/>
          <w:szCs w:val="22"/>
          <w:lang w:val="pt-PT"/>
        </w:rPr>
        <w:t>a</w:t>
      </w:r>
      <w:r w:rsidR="00A347AC" w:rsidRPr="00A44E27">
        <w:rPr>
          <w:b/>
          <w:szCs w:val="22"/>
          <w:lang w:val="pt-PT"/>
        </w:rPr>
        <w:t>x</w:t>
      </w:r>
      <w:r w:rsidR="00C97EA8">
        <w:rPr>
          <w:b/>
          <w:szCs w:val="22"/>
          <w:lang w:val="pt-PT"/>
        </w:rPr>
        <w:t>-nr</w:t>
      </w:r>
    </w:p>
    <w:p w14:paraId="20175173" w14:textId="77777777" w:rsidR="004462A0" w:rsidRPr="008912CF" w:rsidRDefault="004462A0" w:rsidP="004462A0">
      <w:pPr>
        <w:pStyle w:val="EMEANormal"/>
        <w:keepNext/>
        <w:rPr>
          <w:szCs w:val="22"/>
          <w:lang w:val="pt-P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27"/>
        <w:gridCol w:w="1207"/>
        <w:gridCol w:w="1283"/>
      </w:tblGrid>
      <w:tr w:rsidR="00A7162A" w14:paraId="0D835710" w14:textId="77777777" w:rsidTr="00F675CF">
        <w:trPr>
          <w:jc w:val="center"/>
        </w:trPr>
        <w:tc>
          <w:tcPr>
            <w:tcW w:w="0" w:type="auto"/>
            <w:tcBorders>
              <w:top w:val="single" w:sz="4" w:space="0" w:color="auto"/>
              <w:left w:val="single" w:sz="4" w:space="0" w:color="auto"/>
              <w:bottom w:val="single" w:sz="4" w:space="0" w:color="auto"/>
              <w:right w:val="single" w:sz="4" w:space="0" w:color="auto"/>
            </w:tcBorders>
          </w:tcPr>
          <w:p w14:paraId="399C798D" w14:textId="77777777" w:rsidR="004462A0" w:rsidRPr="008912CF" w:rsidRDefault="00615769" w:rsidP="00F675CF">
            <w:pPr>
              <w:keepNext/>
              <w:rPr>
                <w:b/>
                <w:bCs/>
                <w:sz w:val="22"/>
                <w:szCs w:val="22"/>
              </w:rPr>
            </w:pPr>
            <w:r w:rsidRPr="008912CF">
              <w:rPr>
                <w:b/>
                <w:bCs/>
                <w:sz w:val="22"/>
                <w:szCs w:val="22"/>
              </w:rPr>
              <w:t>Dupla-Ocultação</w:t>
            </w:r>
          </w:p>
          <w:p w14:paraId="42EFE8B8" w14:textId="77777777" w:rsidR="004462A0" w:rsidRPr="008912CF" w:rsidRDefault="00615769" w:rsidP="00F675CF">
            <w:pPr>
              <w:keepNext/>
              <w:rPr>
                <w:b/>
                <w:bCs/>
                <w:sz w:val="22"/>
                <w:szCs w:val="22"/>
              </w:rPr>
            </w:pPr>
            <w:r w:rsidRPr="008912CF">
              <w:rPr>
                <w:b/>
                <w:bCs/>
                <w:sz w:val="22"/>
                <w:szCs w:val="22"/>
              </w:rPr>
              <w:t>Resposta na Semana 12</w:t>
            </w:r>
          </w:p>
        </w:tc>
        <w:tc>
          <w:tcPr>
            <w:tcW w:w="0" w:type="auto"/>
            <w:tcBorders>
              <w:top w:val="single" w:sz="4" w:space="0" w:color="auto"/>
              <w:left w:val="single" w:sz="4" w:space="0" w:color="auto"/>
              <w:bottom w:val="single" w:sz="4" w:space="0" w:color="auto"/>
              <w:right w:val="single" w:sz="4" w:space="0" w:color="auto"/>
            </w:tcBorders>
          </w:tcPr>
          <w:p w14:paraId="08BFB429" w14:textId="77777777" w:rsidR="004462A0" w:rsidRPr="008912CF" w:rsidRDefault="00615769" w:rsidP="00F675CF">
            <w:pPr>
              <w:keepNext/>
              <w:jc w:val="center"/>
              <w:rPr>
                <w:b/>
                <w:bCs/>
                <w:sz w:val="22"/>
                <w:szCs w:val="22"/>
              </w:rPr>
            </w:pPr>
            <w:r w:rsidRPr="008912CF">
              <w:rPr>
                <w:b/>
                <w:bCs/>
                <w:sz w:val="22"/>
                <w:szCs w:val="22"/>
              </w:rPr>
              <w:t>Placebo</w:t>
            </w:r>
          </w:p>
          <w:p w14:paraId="3D6F5027" w14:textId="77777777" w:rsidR="004462A0" w:rsidRPr="008912CF" w:rsidRDefault="00615769" w:rsidP="00F675CF">
            <w:pPr>
              <w:keepNext/>
              <w:jc w:val="center"/>
              <w:rPr>
                <w:b/>
                <w:bCs/>
                <w:sz w:val="22"/>
                <w:szCs w:val="22"/>
              </w:rPr>
            </w:pPr>
            <w:r w:rsidRPr="008912CF">
              <w:rPr>
                <w:b/>
                <w:bCs/>
                <w:sz w:val="22"/>
                <w:szCs w:val="22"/>
              </w:rPr>
              <w:t>N=94</w:t>
            </w:r>
          </w:p>
        </w:tc>
        <w:tc>
          <w:tcPr>
            <w:tcW w:w="0" w:type="auto"/>
            <w:tcBorders>
              <w:top w:val="single" w:sz="4" w:space="0" w:color="auto"/>
              <w:left w:val="single" w:sz="4" w:space="0" w:color="auto"/>
              <w:bottom w:val="single" w:sz="4" w:space="0" w:color="auto"/>
              <w:right w:val="single" w:sz="4" w:space="0" w:color="auto"/>
            </w:tcBorders>
          </w:tcPr>
          <w:p w14:paraId="7262B80A" w14:textId="77777777" w:rsidR="004462A0" w:rsidRPr="008912CF" w:rsidRDefault="00615769" w:rsidP="00F675CF">
            <w:pPr>
              <w:keepNext/>
              <w:jc w:val="center"/>
              <w:rPr>
                <w:b/>
                <w:bCs/>
                <w:sz w:val="22"/>
                <w:szCs w:val="22"/>
              </w:rPr>
            </w:pPr>
            <w:r w:rsidRPr="008912CF">
              <w:rPr>
                <w:b/>
                <w:bCs/>
                <w:sz w:val="22"/>
                <w:szCs w:val="22"/>
              </w:rPr>
              <w:t>Humira</w:t>
            </w:r>
          </w:p>
          <w:p w14:paraId="503B4999" w14:textId="77777777" w:rsidR="004462A0" w:rsidRPr="008912CF" w:rsidRDefault="00615769" w:rsidP="00F675CF">
            <w:pPr>
              <w:keepNext/>
              <w:jc w:val="center"/>
              <w:rPr>
                <w:b/>
                <w:bCs/>
                <w:sz w:val="22"/>
                <w:szCs w:val="22"/>
              </w:rPr>
            </w:pPr>
            <w:r w:rsidRPr="008912CF">
              <w:rPr>
                <w:b/>
                <w:bCs/>
                <w:sz w:val="22"/>
                <w:szCs w:val="22"/>
              </w:rPr>
              <w:t>N=91</w:t>
            </w:r>
          </w:p>
        </w:tc>
      </w:tr>
      <w:tr w:rsidR="00A7162A" w14:paraId="0CFCB446" w14:textId="77777777" w:rsidTr="00F675CF">
        <w:trPr>
          <w:jc w:val="center"/>
        </w:trPr>
        <w:tc>
          <w:tcPr>
            <w:tcW w:w="0" w:type="auto"/>
            <w:tcBorders>
              <w:top w:val="single" w:sz="4" w:space="0" w:color="auto"/>
              <w:left w:val="single" w:sz="4" w:space="0" w:color="auto"/>
              <w:bottom w:val="single" w:sz="4" w:space="0" w:color="auto"/>
              <w:right w:val="single" w:sz="4" w:space="0" w:color="auto"/>
            </w:tcBorders>
          </w:tcPr>
          <w:p w14:paraId="02AFCA8C" w14:textId="77777777" w:rsidR="004462A0" w:rsidRPr="008912CF" w:rsidRDefault="00615769" w:rsidP="00F675CF">
            <w:pPr>
              <w:keepNext/>
              <w:rPr>
                <w:bCs/>
                <w:sz w:val="22"/>
                <w:szCs w:val="22"/>
              </w:rPr>
            </w:pPr>
            <w:r w:rsidRPr="008912CF">
              <w:rPr>
                <w:bCs/>
                <w:sz w:val="22"/>
                <w:szCs w:val="22"/>
              </w:rPr>
              <w:t>ASAS</w:t>
            </w:r>
            <w:r w:rsidRPr="008912CF">
              <w:rPr>
                <w:bCs/>
                <w:sz w:val="22"/>
                <w:szCs w:val="22"/>
                <w:vertAlign w:val="superscript"/>
              </w:rPr>
              <w:t>a</w:t>
            </w:r>
            <w:r w:rsidRPr="008912CF">
              <w:rPr>
                <w:bCs/>
                <w:sz w:val="22"/>
                <w:szCs w:val="22"/>
              </w:rPr>
              <w:t xml:space="preserve"> 40</w:t>
            </w:r>
          </w:p>
        </w:tc>
        <w:tc>
          <w:tcPr>
            <w:tcW w:w="0" w:type="auto"/>
            <w:tcBorders>
              <w:top w:val="single" w:sz="4" w:space="0" w:color="auto"/>
              <w:left w:val="single" w:sz="4" w:space="0" w:color="auto"/>
              <w:bottom w:val="single" w:sz="4" w:space="0" w:color="auto"/>
              <w:right w:val="single" w:sz="4" w:space="0" w:color="auto"/>
            </w:tcBorders>
          </w:tcPr>
          <w:p w14:paraId="2CFA0625" w14:textId="77777777" w:rsidR="004462A0" w:rsidRPr="008912CF" w:rsidRDefault="00615769" w:rsidP="00F675CF">
            <w:pPr>
              <w:keepNext/>
              <w:jc w:val="center"/>
              <w:rPr>
                <w:bCs/>
                <w:sz w:val="22"/>
                <w:szCs w:val="22"/>
              </w:rPr>
            </w:pPr>
            <w:r w:rsidRPr="008912CF">
              <w:rPr>
                <w:bCs/>
                <w:sz w:val="22"/>
                <w:szCs w:val="22"/>
              </w:rPr>
              <w:t>15%</w:t>
            </w:r>
          </w:p>
        </w:tc>
        <w:tc>
          <w:tcPr>
            <w:tcW w:w="0" w:type="auto"/>
            <w:tcBorders>
              <w:top w:val="single" w:sz="4" w:space="0" w:color="auto"/>
              <w:left w:val="single" w:sz="4" w:space="0" w:color="auto"/>
              <w:bottom w:val="single" w:sz="4" w:space="0" w:color="auto"/>
              <w:right w:val="single" w:sz="4" w:space="0" w:color="auto"/>
            </w:tcBorders>
          </w:tcPr>
          <w:p w14:paraId="0ECA9682" w14:textId="77777777" w:rsidR="004462A0" w:rsidRPr="008912CF" w:rsidRDefault="00615769" w:rsidP="00F675CF">
            <w:pPr>
              <w:keepNext/>
              <w:jc w:val="center"/>
              <w:rPr>
                <w:bCs/>
                <w:sz w:val="22"/>
                <w:szCs w:val="22"/>
              </w:rPr>
            </w:pPr>
            <w:r w:rsidRPr="008912CF">
              <w:rPr>
                <w:bCs/>
                <w:sz w:val="22"/>
                <w:szCs w:val="22"/>
              </w:rPr>
              <w:t>36%***</w:t>
            </w:r>
          </w:p>
        </w:tc>
      </w:tr>
      <w:tr w:rsidR="00A7162A" w14:paraId="520EB1FE" w14:textId="77777777" w:rsidTr="00F675CF">
        <w:trPr>
          <w:jc w:val="center"/>
        </w:trPr>
        <w:tc>
          <w:tcPr>
            <w:tcW w:w="0" w:type="auto"/>
            <w:tcBorders>
              <w:top w:val="single" w:sz="4" w:space="0" w:color="auto"/>
              <w:left w:val="single" w:sz="4" w:space="0" w:color="auto"/>
              <w:bottom w:val="single" w:sz="4" w:space="0" w:color="auto"/>
              <w:right w:val="single" w:sz="4" w:space="0" w:color="auto"/>
            </w:tcBorders>
          </w:tcPr>
          <w:p w14:paraId="559C9A00" w14:textId="77777777" w:rsidR="004462A0" w:rsidRPr="008912CF" w:rsidRDefault="00615769" w:rsidP="00F675CF">
            <w:pPr>
              <w:keepNext/>
              <w:rPr>
                <w:bCs/>
                <w:sz w:val="22"/>
                <w:szCs w:val="22"/>
              </w:rPr>
            </w:pPr>
            <w:r w:rsidRPr="008912CF">
              <w:rPr>
                <w:bCs/>
                <w:sz w:val="22"/>
                <w:szCs w:val="22"/>
              </w:rPr>
              <w:t>ASAS 20</w:t>
            </w:r>
          </w:p>
        </w:tc>
        <w:tc>
          <w:tcPr>
            <w:tcW w:w="0" w:type="auto"/>
            <w:tcBorders>
              <w:top w:val="single" w:sz="4" w:space="0" w:color="auto"/>
              <w:left w:val="single" w:sz="4" w:space="0" w:color="auto"/>
              <w:bottom w:val="single" w:sz="4" w:space="0" w:color="auto"/>
              <w:right w:val="single" w:sz="4" w:space="0" w:color="auto"/>
            </w:tcBorders>
          </w:tcPr>
          <w:p w14:paraId="73CCD128" w14:textId="77777777" w:rsidR="004462A0" w:rsidRPr="008912CF" w:rsidRDefault="00615769" w:rsidP="00F675CF">
            <w:pPr>
              <w:keepNext/>
              <w:jc w:val="center"/>
              <w:rPr>
                <w:bCs/>
                <w:sz w:val="22"/>
                <w:szCs w:val="22"/>
              </w:rPr>
            </w:pPr>
            <w:r w:rsidRPr="008912CF">
              <w:rPr>
                <w:bCs/>
                <w:sz w:val="22"/>
                <w:szCs w:val="22"/>
              </w:rPr>
              <w:t>31%</w:t>
            </w:r>
          </w:p>
        </w:tc>
        <w:tc>
          <w:tcPr>
            <w:tcW w:w="0" w:type="auto"/>
            <w:tcBorders>
              <w:top w:val="single" w:sz="4" w:space="0" w:color="auto"/>
              <w:left w:val="single" w:sz="4" w:space="0" w:color="auto"/>
              <w:bottom w:val="single" w:sz="4" w:space="0" w:color="auto"/>
              <w:right w:val="single" w:sz="4" w:space="0" w:color="auto"/>
            </w:tcBorders>
          </w:tcPr>
          <w:p w14:paraId="1380DF99" w14:textId="77777777" w:rsidR="004462A0" w:rsidRPr="008912CF" w:rsidRDefault="00615769" w:rsidP="00F675CF">
            <w:pPr>
              <w:keepNext/>
              <w:jc w:val="center"/>
              <w:rPr>
                <w:bCs/>
                <w:sz w:val="22"/>
                <w:szCs w:val="22"/>
              </w:rPr>
            </w:pPr>
            <w:r w:rsidRPr="008912CF">
              <w:rPr>
                <w:bCs/>
                <w:sz w:val="22"/>
                <w:szCs w:val="22"/>
              </w:rPr>
              <w:t>52%**</w:t>
            </w:r>
          </w:p>
        </w:tc>
      </w:tr>
      <w:tr w:rsidR="00A7162A" w14:paraId="4486C294" w14:textId="77777777" w:rsidTr="00F675CF">
        <w:trPr>
          <w:jc w:val="center"/>
        </w:trPr>
        <w:tc>
          <w:tcPr>
            <w:tcW w:w="0" w:type="auto"/>
            <w:tcBorders>
              <w:top w:val="single" w:sz="4" w:space="0" w:color="auto"/>
              <w:left w:val="single" w:sz="4" w:space="0" w:color="auto"/>
              <w:bottom w:val="single" w:sz="4" w:space="0" w:color="auto"/>
              <w:right w:val="single" w:sz="4" w:space="0" w:color="auto"/>
            </w:tcBorders>
          </w:tcPr>
          <w:p w14:paraId="18CF4D12" w14:textId="77777777" w:rsidR="004462A0" w:rsidRPr="008912CF" w:rsidRDefault="00615769" w:rsidP="00F675CF">
            <w:pPr>
              <w:keepNext/>
              <w:rPr>
                <w:bCs/>
                <w:sz w:val="22"/>
                <w:szCs w:val="22"/>
              </w:rPr>
            </w:pPr>
            <w:r w:rsidRPr="008912CF">
              <w:rPr>
                <w:bCs/>
                <w:sz w:val="22"/>
                <w:szCs w:val="22"/>
              </w:rPr>
              <w:t>ASAS 5/6</w:t>
            </w:r>
          </w:p>
        </w:tc>
        <w:tc>
          <w:tcPr>
            <w:tcW w:w="0" w:type="auto"/>
            <w:tcBorders>
              <w:top w:val="single" w:sz="4" w:space="0" w:color="auto"/>
              <w:left w:val="single" w:sz="4" w:space="0" w:color="auto"/>
              <w:bottom w:val="single" w:sz="4" w:space="0" w:color="auto"/>
              <w:right w:val="single" w:sz="4" w:space="0" w:color="auto"/>
            </w:tcBorders>
          </w:tcPr>
          <w:p w14:paraId="63CC5F50" w14:textId="77777777" w:rsidR="004462A0" w:rsidRPr="008912CF" w:rsidRDefault="00615769" w:rsidP="00F675CF">
            <w:pPr>
              <w:keepNext/>
              <w:jc w:val="center"/>
              <w:rPr>
                <w:bCs/>
                <w:sz w:val="22"/>
                <w:szCs w:val="22"/>
              </w:rPr>
            </w:pPr>
            <w:r w:rsidRPr="008912CF">
              <w:rPr>
                <w:bCs/>
                <w:sz w:val="22"/>
                <w:szCs w:val="22"/>
              </w:rPr>
              <w:t>6%</w:t>
            </w:r>
          </w:p>
        </w:tc>
        <w:tc>
          <w:tcPr>
            <w:tcW w:w="0" w:type="auto"/>
            <w:tcBorders>
              <w:top w:val="single" w:sz="4" w:space="0" w:color="auto"/>
              <w:left w:val="single" w:sz="4" w:space="0" w:color="auto"/>
              <w:bottom w:val="single" w:sz="4" w:space="0" w:color="auto"/>
              <w:right w:val="single" w:sz="4" w:space="0" w:color="auto"/>
            </w:tcBorders>
          </w:tcPr>
          <w:p w14:paraId="32716D9C" w14:textId="77777777" w:rsidR="004462A0" w:rsidRPr="008912CF" w:rsidRDefault="00615769" w:rsidP="00F675CF">
            <w:pPr>
              <w:keepNext/>
              <w:jc w:val="center"/>
              <w:rPr>
                <w:bCs/>
                <w:sz w:val="22"/>
                <w:szCs w:val="22"/>
              </w:rPr>
            </w:pPr>
            <w:r w:rsidRPr="008912CF">
              <w:rPr>
                <w:bCs/>
                <w:sz w:val="22"/>
                <w:szCs w:val="22"/>
              </w:rPr>
              <w:t>31%***</w:t>
            </w:r>
          </w:p>
        </w:tc>
      </w:tr>
      <w:tr w:rsidR="00A7162A" w14:paraId="71629BC1" w14:textId="77777777" w:rsidTr="00F675CF">
        <w:trPr>
          <w:jc w:val="center"/>
        </w:trPr>
        <w:tc>
          <w:tcPr>
            <w:tcW w:w="0" w:type="auto"/>
            <w:tcBorders>
              <w:top w:val="single" w:sz="4" w:space="0" w:color="auto"/>
              <w:left w:val="single" w:sz="4" w:space="0" w:color="auto"/>
              <w:bottom w:val="single" w:sz="4" w:space="0" w:color="auto"/>
              <w:right w:val="single" w:sz="4" w:space="0" w:color="auto"/>
            </w:tcBorders>
          </w:tcPr>
          <w:p w14:paraId="00E3777E" w14:textId="77777777" w:rsidR="004462A0" w:rsidRPr="008912CF" w:rsidRDefault="00615769" w:rsidP="00F675CF">
            <w:pPr>
              <w:keepNext/>
              <w:rPr>
                <w:bCs/>
                <w:sz w:val="22"/>
                <w:szCs w:val="22"/>
              </w:rPr>
            </w:pPr>
            <w:r w:rsidRPr="008912CF">
              <w:rPr>
                <w:bCs/>
                <w:sz w:val="22"/>
                <w:szCs w:val="22"/>
              </w:rPr>
              <w:t>ASAS R</w:t>
            </w:r>
            <w:r w:rsidRPr="008912CF">
              <w:rPr>
                <w:sz w:val="22"/>
                <w:szCs w:val="22"/>
              </w:rPr>
              <w:t>emissão Parcial</w:t>
            </w:r>
          </w:p>
        </w:tc>
        <w:tc>
          <w:tcPr>
            <w:tcW w:w="0" w:type="auto"/>
            <w:tcBorders>
              <w:top w:val="single" w:sz="4" w:space="0" w:color="auto"/>
              <w:left w:val="single" w:sz="4" w:space="0" w:color="auto"/>
              <w:bottom w:val="single" w:sz="4" w:space="0" w:color="auto"/>
              <w:right w:val="single" w:sz="4" w:space="0" w:color="auto"/>
            </w:tcBorders>
          </w:tcPr>
          <w:p w14:paraId="316BDA71" w14:textId="77777777" w:rsidR="004462A0" w:rsidRPr="008912CF" w:rsidRDefault="00615769" w:rsidP="00F675CF">
            <w:pPr>
              <w:keepNext/>
              <w:jc w:val="center"/>
              <w:rPr>
                <w:bCs/>
                <w:sz w:val="22"/>
                <w:szCs w:val="22"/>
              </w:rPr>
            </w:pPr>
            <w:r w:rsidRPr="008912CF">
              <w:rPr>
                <w:bCs/>
                <w:sz w:val="22"/>
                <w:szCs w:val="22"/>
              </w:rPr>
              <w:t>5%</w:t>
            </w:r>
          </w:p>
        </w:tc>
        <w:tc>
          <w:tcPr>
            <w:tcW w:w="0" w:type="auto"/>
            <w:tcBorders>
              <w:top w:val="single" w:sz="4" w:space="0" w:color="auto"/>
              <w:left w:val="single" w:sz="4" w:space="0" w:color="auto"/>
              <w:bottom w:val="single" w:sz="4" w:space="0" w:color="auto"/>
              <w:right w:val="single" w:sz="4" w:space="0" w:color="auto"/>
            </w:tcBorders>
          </w:tcPr>
          <w:p w14:paraId="11A7E756" w14:textId="77777777" w:rsidR="004462A0" w:rsidRPr="008912CF" w:rsidRDefault="00615769" w:rsidP="00F675CF">
            <w:pPr>
              <w:keepNext/>
              <w:jc w:val="center"/>
              <w:rPr>
                <w:bCs/>
                <w:sz w:val="22"/>
                <w:szCs w:val="22"/>
              </w:rPr>
            </w:pPr>
            <w:r w:rsidRPr="008912CF">
              <w:rPr>
                <w:bCs/>
                <w:sz w:val="22"/>
                <w:szCs w:val="22"/>
              </w:rPr>
              <w:t xml:space="preserve">  16%*</w:t>
            </w:r>
          </w:p>
        </w:tc>
      </w:tr>
      <w:tr w:rsidR="00A7162A" w14:paraId="5D6BAB75" w14:textId="77777777" w:rsidTr="00F675CF">
        <w:trPr>
          <w:jc w:val="center"/>
        </w:trPr>
        <w:tc>
          <w:tcPr>
            <w:tcW w:w="0" w:type="auto"/>
            <w:tcBorders>
              <w:top w:val="single" w:sz="4" w:space="0" w:color="auto"/>
              <w:left w:val="single" w:sz="4" w:space="0" w:color="auto"/>
              <w:bottom w:val="single" w:sz="4" w:space="0" w:color="auto"/>
              <w:right w:val="single" w:sz="4" w:space="0" w:color="auto"/>
            </w:tcBorders>
          </w:tcPr>
          <w:p w14:paraId="6EFE2493" w14:textId="77777777" w:rsidR="004462A0" w:rsidRPr="008912CF" w:rsidRDefault="00615769" w:rsidP="00F675CF">
            <w:pPr>
              <w:keepNext/>
              <w:rPr>
                <w:bCs/>
                <w:sz w:val="22"/>
                <w:szCs w:val="22"/>
              </w:rPr>
            </w:pPr>
            <w:r w:rsidRPr="008912CF">
              <w:rPr>
                <w:bCs/>
                <w:sz w:val="22"/>
                <w:szCs w:val="22"/>
              </w:rPr>
              <w:t>BASDAI</w:t>
            </w:r>
            <w:r w:rsidRPr="008912CF">
              <w:rPr>
                <w:bCs/>
                <w:sz w:val="22"/>
                <w:szCs w:val="22"/>
                <w:vertAlign w:val="superscript"/>
              </w:rPr>
              <w:t>b</w:t>
            </w:r>
            <w:r w:rsidRPr="008912CF">
              <w:rPr>
                <w:bCs/>
                <w:sz w:val="22"/>
                <w:szCs w:val="22"/>
              </w:rPr>
              <w:t xml:space="preserve"> 50</w:t>
            </w:r>
          </w:p>
        </w:tc>
        <w:tc>
          <w:tcPr>
            <w:tcW w:w="0" w:type="auto"/>
            <w:tcBorders>
              <w:top w:val="single" w:sz="4" w:space="0" w:color="auto"/>
              <w:left w:val="single" w:sz="4" w:space="0" w:color="auto"/>
              <w:bottom w:val="single" w:sz="4" w:space="0" w:color="auto"/>
              <w:right w:val="single" w:sz="4" w:space="0" w:color="auto"/>
            </w:tcBorders>
          </w:tcPr>
          <w:p w14:paraId="26CDFB63" w14:textId="77777777" w:rsidR="004462A0" w:rsidRPr="008912CF" w:rsidRDefault="00615769" w:rsidP="00F675CF">
            <w:pPr>
              <w:keepNext/>
              <w:jc w:val="center"/>
              <w:rPr>
                <w:bCs/>
                <w:sz w:val="22"/>
                <w:szCs w:val="22"/>
              </w:rPr>
            </w:pPr>
            <w:r w:rsidRPr="008912CF">
              <w:rPr>
                <w:bCs/>
                <w:sz w:val="22"/>
                <w:szCs w:val="22"/>
              </w:rPr>
              <w:t xml:space="preserve">    15%</w:t>
            </w:r>
          </w:p>
        </w:tc>
        <w:tc>
          <w:tcPr>
            <w:tcW w:w="0" w:type="auto"/>
            <w:tcBorders>
              <w:top w:val="single" w:sz="4" w:space="0" w:color="auto"/>
              <w:left w:val="single" w:sz="4" w:space="0" w:color="auto"/>
              <w:bottom w:val="single" w:sz="4" w:space="0" w:color="auto"/>
              <w:right w:val="single" w:sz="4" w:space="0" w:color="auto"/>
            </w:tcBorders>
          </w:tcPr>
          <w:p w14:paraId="4731D2AA" w14:textId="77777777" w:rsidR="004462A0" w:rsidRPr="008912CF" w:rsidRDefault="00615769" w:rsidP="00F675CF">
            <w:pPr>
              <w:keepNext/>
              <w:jc w:val="center"/>
              <w:rPr>
                <w:bCs/>
                <w:sz w:val="22"/>
                <w:szCs w:val="22"/>
              </w:rPr>
            </w:pPr>
            <w:r w:rsidRPr="008912CF">
              <w:rPr>
                <w:bCs/>
                <w:sz w:val="22"/>
                <w:szCs w:val="22"/>
              </w:rPr>
              <w:t xml:space="preserve">   35%**</w:t>
            </w:r>
          </w:p>
        </w:tc>
      </w:tr>
      <w:tr w:rsidR="00A7162A" w14:paraId="53742ADF" w14:textId="77777777" w:rsidTr="00F675CF">
        <w:trPr>
          <w:jc w:val="center"/>
        </w:trPr>
        <w:tc>
          <w:tcPr>
            <w:tcW w:w="0" w:type="auto"/>
            <w:tcBorders>
              <w:top w:val="single" w:sz="4" w:space="0" w:color="auto"/>
              <w:left w:val="single" w:sz="4" w:space="0" w:color="auto"/>
              <w:bottom w:val="single" w:sz="4" w:space="0" w:color="auto"/>
              <w:right w:val="single" w:sz="4" w:space="0" w:color="auto"/>
            </w:tcBorders>
          </w:tcPr>
          <w:p w14:paraId="069D9055" w14:textId="77777777" w:rsidR="004462A0" w:rsidRPr="008912CF" w:rsidRDefault="00615769" w:rsidP="00F675CF">
            <w:pPr>
              <w:keepNext/>
              <w:rPr>
                <w:bCs/>
                <w:sz w:val="22"/>
                <w:szCs w:val="22"/>
              </w:rPr>
            </w:pPr>
            <w:r w:rsidRPr="008912CF">
              <w:rPr>
                <w:sz w:val="22"/>
                <w:szCs w:val="22"/>
              </w:rPr>
              <w:t>ASDAS</w:t>
            </w:r>
            <w:r w:rsidRPr="008912CF">
              <w:rPr>
                <w:sz w:val="22"/>
                <w:szCs w:val="22"/>
                <w:vertAlign w:val="superscript"/>
              </w:rPr>
              <w:t>c,d,e</w:t>
            </w:r>
          </w:p>
        </w:tc>
        <w:tc>
          <w:tcPr>
            <w:tcW w:w="0" w:type="auto"/>
            <w:tcBorders>
              <w:top w:val="single" w:sz="4" w:space="0" w:color="auto"/>
              <w:left w:val="single" w:sz="4" w:space="0" w:color="auto"/>
              <w:bottom w:val="single" w:sz="4" w:space="0" w:color="auto"/>
              <w:right w:val="single" w:sz="4" w:space="0" w:color="auto"/>
            </w:tcBorders>
          </w:tcPr>
          <w:p w14:paraId="65B6C4C6" w14:textId="77777777" w:rsidR="004462A0" w:rsidRPr="008912CF" w:rsidRDefault="00615769" w:rsidP="00F675CF">
            <w:pPr>
              <w:keepNext/>
              <w:jc w:val="center"/>
              <w:rPr>
                <w:bCs/>
                <w:sz w:val="22"/>
                <w:szCs w:val="22"/>
              </w:rPr>
            </w:pPr>
            <w:r w:rsidRPr="008912CF">
              <w:rPr>
                <w:sz w:val="22"/>
                <w:szCs w:val="22"/>
              </w:rPr>
              <w:t>-0,3</w:t>
            </w:r>
          </w:p>
        </w:tc>
        <w:tc>
          <w:tcPr>
            <w:tcW w:w="0" w:type="auto"/>
            <w:tcBorders>
              <w:top w:val="single" w:sz="4" w:space="0" w:color="auto"/>
              <w:left w:val="single" w:sz="4" w:space="0" w:color="auto"/>
              <w:bottom w:val="single" w:sz="4" w:space="0" w:color="auto"/>
              <w:right w:val="single" w:sz="4" w:space="0" w:color="auto"/>
            </w:tcBorders>
          </w:tcPr>
          <w:p w14:paraId="2FA7CD1A" w14:textId="77777777" w:rsidR="004462A0" w:rsidRPr="008912CF" w:rsidRDefault="00615769" w:rsidP="00F675CF">
            <w:pPr>
              <w:keepNext/>
              <w:jc w:val="center"/>
              <w:rPr>
                <w:bCs/>
                <w:sz w:val="22"/>
                <w:szCs w:val="22"/>
              </w:rPr>
            </w:pPr>
            <w:r w:rsidRPr="008912CF">
              <w:rPr>
                <w:sz w:val="22"/>
                <w:szCs w:val="22"/>
              </w:rPr>
              <w:t>-1,0***</w:t>
            </w:r>
          </w:p>
        </w:tc>
      </w:tr>
      <w:tr w:rsidR="00A7162A" w14:paraId="68050A51" w14:textId="77777777" w:rsidTr="00F675CF">
        <w:trPr>
          <w:jc w:val="center"/>
        </w:trPr>
        <w:tc>
          <w:tcPr>
            <w:tcW w:w="0" w:type="auto"/>
            <w:tcBorders>
              <w:top w:val="single" w:sz="4" w:space="0" w:color="auto"/>
              <w:left w:val="single" w:sz="4" w:space="0" w:color="auto"/>
              <w:bottom w:val="single" w:sz="4" w:space="0" w:color="auto"/>
              <w:right w:val="single" w:sz="4" w:space="0" w:color="auto"/>
            </w:tcBorders>
          </w:tcPr>
          <w:p w14:paraId="2A9D9158" w14:textId="77777777" w:rsidR="004462A0" w:rsidRPr="008912CF" w:rsidRDefault="00615769" w:rsidP="00F675CF">
            <w:pPr>
              <w:keepNext/>
              <w:rPr>
                <w:bCs/>
                <w:sz w:val="22"/>
                <w:szCs w:val="22"/>
              </w:rPr>
            </w:pPr>
            <w:r w:rsidRPr="008912CF">
              <w:rPr>
                <w:sz w:val="22"/>
                <w:szCs w:val="22"/>
              </w:rPr>
              <w:t>ASDAS Doença Inativa</w:t>
            </w:r>
          </w:p>
        </w:tc>
        <w:tc>
          <w:tcPr>
            <w:tcW w:w="0" w:type="auto"/>
            <w:tcBorders>
              <w:top w:val="single" w:sz="4" w:space="0" w:color="auto"/>
              <w:left w:val="single" w:sz="4" w:space="0" w:color="auto"/>
              <w:bottom w:val="single" w:sz="4" w:space="0" w:color="auto"/>
              <w:right w:val="single" w:sz="4" w:space="0" w:color="auto"/>
            </w:tcBorders>
          </w:tcPr>
          <w:p w14:paraId="79DD98C2" w14:textId="77777777" w:rsidR="004462A0" w:rsidRPr="008912CF" w:rsidRDefault="00615769" w:rsidP="00F675CF">
            <w:pPr>
              <w:keepNext/>
              <w:jc w:val="center"/>
              <w:rPr>
                <w:bCs/>
                <w:sz w:val="22"/>
                <w:szCs w:val="22"/>
              </w:rPr>
            </w:pPr>
            <w:r w:rsidRPr="008912CF">
              <w:rPr>
                <w:sz w:val="22"/>
                <w:szCs w:val="22"/>
              </w:rPr>
              <w:t>4%</w:t>
            </w:r>
          </w:p>
        </w:tc>
        <w:tc>
          <w:tcPr>
            <w:tcW w:w="0" w:type="auto"/>
            <w:tcBorders>
              <w:top w:val="single" w:sz="4" w:space="0" w:color="auto"/>
              <w:left w:val="single" w:sz="4" w:space="0" w:color="auto"/>
              <w:bottom w:val="single" w:sz="4" w:space="0" w:color="auto"/>
              <w:right w:val="single" w:sz="4" w:space="0" w:color="auto"/>
            </w:tcBorders>
          </w:tcPr>
          <w:p w14:paraId="453A48BB" w14:textId="77777777" w:rsidR="004462A0" w:rsidRPr="008912CF" w:rsidRDefault="00615769" w:rsidP="00F675CF">
            <w:pPr>
              <w:keepNext/>
              <w:jc w:val="center"/>
              <w:rPr>
                <w:bCs/>
                <w:sz w:val="22"/>
                <w:szCs w:val="22"/>
              </w:rPr>
            </w:pPr>
            <w:r w:rsidRPr="008912CF">
              <w:rPr>
                <w:sz w:val="22"/>
                <w:szCs w:val="22"/>
              </w:rPr>
              <w:t>24%***</w:t>
            </w:r>
          </w:p>
        </w:tc>
      </w:tr>
      <w:tr w:rsidR="00A7162A" w14:paraId="5FACEBE4" w14:textId="77777777" w:rsidTr="00F675CF">
        <w:trPr>
          <w:jc w:val="center"/>
        </w:trPr>
        <w:tc>
          <w:tcPr>
            <w:tcW w:w="0" w:type="auto"/>
            <w:tcBorders>
              <w:top w:val="single" w:sz="4" w:space="0" w:color="auto"/>
              <w:left w:val="single" w:sz="4" w:space="0" w:color="auto"/>
              <w:bottom w:val="single" w:sz="4" w:space="0" w:color="auto"/>
              <w:right w:val="single" w:sz="4" w:space="0" w:color="auto"/>
            </w:tcBorders>
          </w:tcPr>
          <w:p w14:paraId="2469C435" w14:textId="77777777" w:rsidR="004462A0" w:rsidRPr="008912CF" w:rsidRDefault="00615769" w:rsidP="00F675CF">
            <w:pPr>
              <w:keepNext/>
              <w:rPr>
                <w:sz w:val="22"/>
                <w:szCs w:val="22"/>
              </w:rPr>
            </w:pPr>
            <w:r w:rsidRPr="008912CF">
              <w:rPr>
                <w:sz w:val="22"/>
                <w:szCs w:val="22"/>
              </w:rPr>
              <w:t>PCR-as</w:t>
            </w:r>
            <w:r w:rsidRPr="008912CF">
              <w:rPr>
                <w:sz w:val="22"/>
                <w:szCs w:val="22"/>
                <w:vertAlign w:val="superscript"/>
              </w:rPr>
              <w:t>d,f,g</w:t>
            </w:r>
          </w:p>
        </w:tc>
        <w:tc>
          <w:tcPr>
            <w:tcW w:w="0" w:type="auto"/>
            <w:tcBorders>
              <w:top w:val="single" w:sz="4" w:space="0" w:color="auto"/>
              <w:left w:val="single" w:sz="4" w:space="0" w:color="auto"/>
              <w:bottom w:val="single" w:sz="4" w:space="0" w:color="auto"/>
              <w:right w:val="single" w:sz="4" w:space="0" w:color="auto"/>
            </w:tcBorders>
          </w:tcPr>
          <w:p w14:paraId="0898E59F" w14:textId="77777777" w:rsidR="004462A0" w:rsidRPr="008912CF" w:rsidRDefault="00615769" w:rsidP="00F675CF">
            <w:pPr>
              <w:keepNext/>
              <w:jc w:val="center"/>
              <w:rPr>
                <w:sz w:val="22"/>
                <w:szCs w:val="22"/>
              </w:rPr>
            </w:pPr>
            <w:r w:rsidRPr="008912CF">
              <w:rPr>
                <w:sz w:val="22"/>
                <w:szCs w:val="22"/>
              </w:rPr>
              <w:t>-0,3</w:t>
            </w:r>
          </w:p>
        </w:tc>
        <w:tc>
          <w:tcPr>
            <w:tcW w:w="0" w:type="auto"/>
            <w:tcBorders>
              <w:top w:val="single" w:sz="4" w:space="0" w:color="auto"/>
              <w:left w:val="single" w:sz="4" w:space="0" w:color="auto"/>
              <w:bottom w:val="single" w:sz="4" w:space="0" w:color="auto"/>
              <w:right w:val="single" w:sz="4" w:space="0" w:color="auto"/>
            </w:tcBorders>
          </w:tcPr>
          <w:p w14:paraId="6CADB95C" w14:textId="77777777" w:rsidR="004462A0" w:rsidRPr="008912CF" w:rsidRDefault="00615769" w:rsidP="00F675CF">
            <w:pPr>
              <w:keepNext/>
              <w:jc w:val="center"/>
              <w:rPr>
                <w:sz w:val="22"/>
                <w:szCs w:val="22"/>
              </w:rPr>
            </w:pPr>
            <w:r w:rsidRPr="008912CF">
              <w:rPr>
                <w:sz w:val="22"/>
                <w:szCs w:val="22"/>
              </w:rPr>
              <w:t>-4,7***</w:t>
            </w:r>
          </w:p>
        </w:tc>
      </w:tr>
      <w:tr w:rsidR="00A7162A" w14:paraId="053C8D48" w14:textId="77777777" w:rsidTr="00F675CF">
        <w:trPr>
          <w:jc w:val="center"/>
        </w:trPr>
        <w:tc>
          <w:tcPr>
            <w:tcW w:w="0" w:type="auto"/>
            <w:tcBorders>
              <w:top w:val="single" w:sz="4" w:space="0" w:color="auto"/>
              <w:left w:val="single" w:sz="4" w:space="0" w:color="auto"/>
              <w:bottom w:val="single" w:sz="4" w:space="0" w:color="auto"/>
              <w:right w:val="single" w:sz="4" w:space="0" w:color="auto"/>
            </w:tcBorders>
          </w:tcPr>
          <w:p w14:paraId="07E27235" w14:textId="77777777" w:rsidR="004462A0" w:rsidRPr="008912CF" w:rsidRDefault="00615769">
            <w:pPr>
              <w:keepNext/>
              <w:rPr>
                <w:sz w:val="22"/>
                <w:szCs w:val="22"/>
              </w:rPr>
            </w:pPr>
            <w:r w:rsidRPr="008912CF">
              <w:rPr>
                <w:sz w:val="22"/>
                <w:szCs w:val="22"/>
              </w:rPr>
              <w:t>SPARCC</w:t>
            </w:r>
            <w:r w:rsidRPr="008912CF">
              <w:rPr>
                <w:sz w:val="22"/>
                <w:szCs w:val="22"/>
                <w:vertAlign w:val="superscript"/>
              </w:rPr>
              <w:t>h</w:t>
            </w:r>
            <w:r w:rsidRPr="008912CF">
              <w:rPr>
                <w:sz w:val="22"/>
                <w:szCs w:val="22"/>
              </w:rPr>
              <w:t xml:space="preserve"> </w:t>
            </w:r>
            <w:r w:rsidR="00C97EA8">
              <w:rPr>
                <w:sz w:val="22"/>
                <w:szCs w:val="22"/>
              </w:rPr>
              <w:t>RMN</w:t>
            </w:r>
            <w:r w:rsidR="00C97EA8" w:rsidRPr="008912CF">
              <w:rPr>
                <w:sz w:val="22"/>
                <w:szCs w:val="22"/>
              </w:rPr>
              <w:t xml:space="preserve"> </w:t>
            </w:r>
            <w:r w:rsidRPr="008912CF">
              <w:rPr>
                <w:sz w:val="22"/>
                <w:szCs w:val="22"/>
              </w:rPr>
              <w:t>Articulações sacroíliacas</w:t>
            </w:r>
            <w:r w:rsidRPr="008912CF">
              <w:rPr>
                <w:sz w:val="22"/>
                <w:szCs w:val="22"/>
                <w:vertAlign w:val="superscript"/>
              </w:rPr>
              <w:t>d,i</w:t>
            </w:r>
          </w:p>
        </w:tc>
        <w:tc>
          <w:tcPr>
            <w:tcW w:w="0" w:type="auto"/>
            <w:tcBorders>
              <w:top w:val="single" w:sz="4" w:space="0" w:color="auto"/>
              <w:left w:val="single" w:sz="4" w:space="0" w:color="auto"/>
              <w:bottom w:val="single" w:sz="4" w:space="0" w:color="auto"/>
              <w:right w:val="single" w:sz="4" w:space="0" w:color="auto"/>
            </w:tcBorders>
          </w:tcPr>
          <w:p w14:paraId="15440FB5" w14:textId="77777777" w:rsidR="004462A0" w:rsidRPr="008912CF" w:rsidRDefault="00615769" w:rsidP="00F675CF">
            <w:pPr>
              <w:keepNext/>
              <w:jc w:val="center"/>
              <w:rPr>
                <w:sz w:val="22"/>
                <w:szCs w:val="22"/>
              </w:rPr>
            </w:pPr>
            <w:r w:rsidRPr="008912CF">
              <w:rPr>
                <w:sz w:val="22"/>
                <w:szCs w:val="22"/>
              </w:rPr>
              <w:t>-0,6</w:t>
            </w:r>
          </w:p>
        </w:tc>
        <w:tc>
          <w:tcPr>
            <w:tcW w:w="0" w:type="auto"/>
            <w:tcBorders>
              <w:top w:val="single" w:sz="4" w:space="0" w:color="auto"/>
              <w:left w:val="single" w:sz="4" w:space="0" w:color="auto"/>
              <w:bottom w:val="single" w:sz="4" w:space="0" w:color="auto"/>
              <w:right w:val="single" w:sz="4" w:space="0" w:color="auto"/>
            </w:tcBorders>
          </w:tcPr>
          <w:p w14:paraId="6F1B4BEC" w14:textId="77777777" w:rsidR="004462A0" w:rsidRPr="008912CF" w:rsidRDefault="00615769" w:rsidP="00F675CF">
            <w:pPr>
              <w:keepNext/>
              <w:jc w:val="center"/>
              <w:rPr>
                <w:sz w:val="22"/>
                <w:szCs w:val="22"/>
              </w:rPr>
            </w:pPr>
            <w:r w:rsidRPr="008912CF">
              <w:rPr>
                <w:sz w:val="22"/>
                <w:szCs w:val="22"/>
              </w:rPr>
              <w:t>-3,2**</w:t>
            </w:r>
          </w:p>
        </w:tc>
      </w:tr>
      <w:tr w:rsidR="00A7162A" w14:paraId="7D438ABC" w14:textId="77777777" w:rsidTr="00F675CF">
        <w:trPr>
          <w:jc w:val="center"/>
        </w:trPr>
        <w:tc>
          <w:tcPr>
            <w:tcW w:w="0" w:type="auto"/>
            <w:tcBorders>
              <w:top w:val="single" w:sz="4" w:space="0" w:color="auto"/>
              <w:left w:val="single" w:sz="4" w:space="0" w:color="auto"/>
              <w:bottom w:val="single" w:sz="4" w:space="0" w:color="auto"/>
              <w:right w:val="single" w:sz="4" w:space="0" w:color="auto"/>
            </w:tcBorders>
          </w:tcPr>
          <w:p w14:paraId="7F04B009" w14:textId="77777777" w:rsidR="004462A0" w:rsidRPr="008912CF" w:rsidRDefault="00615769">
            <w:pPr>
              <w:keepNext/>
              <w:rPr>
                <w:sz w:val="22"/>
                <w:szCs w:val="22"/>
              </w:rPr>
            </w:pPr>
            <w:r w:rsidRPr="008912CF">
              <w:rPr>
                <w:sz w:val="22"/>
                <w:szCs w:val="22"/>
              </w:rPr>
              <w:t xml:space="preserve">SPARCC </w:t>
            </w:r>
            <w:r w:rsidR="00C97EA8">
              <w:rPr>
                <w:sz w:val="22"/>
                <w:szCs w:val="22"/>
              </w:rPr>
              <w:t xml:space="preserve">RMN </w:t>
            </w:r>
            <w:r w:rsidRPr="008912CF">
              <w:rPr>
                <w:sz w:val="22"/>
                <w:szCs w:val="22"/>
              </w:rPr>
              <w:t>Coluna Vertebral</w:t>
            </w:r>
            <w:r w:rsidRPr="008912CF">
              <w:rPr>
                <w:sz w:val="22"/>
                <w:szCs w:val="22"/>
                <w:vertAlign w:val="superscript"/>
              </w:rPr>
              <w:t>d,j</w:t>
            </w:r>
          </w:p>
        </w:tc>
        <w:tc>
          <w:tcPr>
            <w:tcW w:w="0" w:type="auto"/>
            <w:tcBorders>
              <w:top w:val="single" w:sz="4" w:space="0" w:color="auto"/>
              <w:left w:val="single" w:sz="4" w:space="0" w:color="auto"/>
              <w:bottom w:val="single" w:sz="4" w:space="0" w:color="auto"/>
              <w:right w:val="single" w:sz="4" w:space="0" w:color="auto"/>
            </w:tcBorders>
          </w:tcPr>
          <w:p w14:paraId="71E241E7" w14:textId="77777777" w:rsidR="004462A0" w:rsidRPr="008912CF" w:rsidRDefault="00615769" w:rsidP="00F675CF">
            <w:pPr>
              <w:keepNext/>
              <w:jc w:val="center"/>
              <w:rPr>
                <w:sz w:val="22"/>
                <w:szCs w:val="22"/>
              </w:rPr>
            </w:pPr>
            <w:r w:rsidRPr="008912CF">
              <w:rPr>
                <w:sz w:val="22"/>
                <w:szCs w:val="22"/>
              </w:rPr>
              <w:t>-0,2</w:t>
            </w:r>
          </w:p>
        </w:tc>
        <w:tc>
          <w:tcPr>
            <w:tcW w:w="0" w:type="auto"/>
            <w:tcBorders>
              <w:top w:val="single" w:sz="4" w:space="0" w:color="auto"/>
              <w:left w:val="single" w:sz="4" w:space="0" w:color="auto"/>
              <w:bottom w:val="single" w:sz="4" w:space="0" w:color="auto"/>
              <w:right w:val="single" w:sz="4" w:space="0" w:color="auto"/>
            </w:tcBorders>
          </w:tcPr>
          <w:p w14:paraId="100725D8" w14:textId="77777777" w:rsidR="004462A0" w:rsidRPr="008912CF" w:rsidRDefault="00615769" w:rsidP="00F675CF">
            <w:pPr>
              <w:keepNext/>
              <w:jc w:val="center"/>
              <w:rPr>
                <w:sz w:val="22"/>
                <w:szCs w:val="22"/>
              </w:rPr>
            </w:pPr>
            <w:r w:rsidRPr="008912CF">
              <w:rPr>
                <w:sz w:val="22"/>
                <w:szCs w:val="22"/>
              </w:rPr>
              <w:t>-1,8**</w:t>
            </w:r>
          </w:p>
        </w:tc>
      </w:tr>
      <w:tr w:rsidR="00A7162A" w14:paraId="77ACF2AF" w14:textId="77777777" w:rsidTr="00F675CF">
        <w:trPr>
          <w:jc w:val="center"/>
        </w:trPr>
        <w:tc>
          <w:tcPr>
            <w:tcW w:w="0" w:type="auto"/>
            <w:gridSpan w:val="3"/>
            <w:tcBorders>
              <w:left w:val="nil"/>
              <w:bottom w:val="nil"/>
              <w:right w:val="nil"/>
            </w:tcBorders>
          </w:tcPr>
          <w:p w14:paraId="232E4223" w14:textId="77777777" w:rsidR="004462A0" w:rsidRPr="00821AA1" w:rsidRDefault="00615769" w:rsidP="00F675CF">
            <w:pPr>
              <w:keepNext/>
              <w:autoSpaceDE w:val="0"/>
              <w:autoSpaceDN w:val="0"/>
              <w:adjustRightInd w:val="0"/>
              <w:rPr>
                <w:sz w:val="22"/>
                <w:szCs w:val="22"/>
                <w:lang w:val="en-US"/>
              </w:rPr>
            </w:pPr>
            <w:r w:rsidRPr="00821AA1">
              <w:rPr>
                <w:sz w:val="22"/>
                <w:szCs w:val="22"/>
                <w:vertAlign w:val="superscript"/>
                <w:lang w:val="en-US"/>
              </w:rPr>
              <w:t>a</w:t>
            </w:r>
            <w:r w:rsidRPr="00821AA1">
              <w:rPr>
                <w:sz w:val="22"/>
                <w:szCs w:val="22"/>
                <w:lang w:val="en-US"/>
              </w:rPr>
              <w:t xml:space="preserve"> ASAS = </w:t>
            </w:r>
            <w:r w:rsidRPr="00821AA1">
              <w:rPr>
                <w:i/>
                <w:sz w:val="22"/>
                <w:szCs w:val="22"/>
                <w:lang w:val="en-US"/>
              </w:rPr>
              <w:t>Assessment of Spondylo</w:t>
            </w:r>
            <w:r w:rsidR="002A3BA6">
              <w:rPr>
                <w:i/>
                <w:sz w:val="22"/>
                <w:szCs w:val="22"/>
                <w:lang w:val="en-US"/>
              </w:rPr>
              <w:t>A</w:t>
            </w:r>
            <w:r w:rsidRPr="00821AA1">
              <w:rPr>
                <w:i/>
                <w:sz w:val="22"/>
                <w:szCs w:val="22"/>
                <w:lang w:val="en-US"/>
              </w:rPr>
              <w:t xml:space="preserve">rthritis </w:t>
            </w:r>
            <w:r w:rsidR="002A3BA6">
              <w:rPr>
                <w:i/>
                <w:sz w:val="22"/>
                <w:szCs w:val="22"/>
                <w:lang w:val="en-US"/>
              </w:rPr>
              <w:t>i</w:t>
            </w:r>
            <w:r w:rsidRPr="00821AA1">
              <w:rPr>
                <w:i/>
                <w:sz w:val="22"/>
                <w:szCs w:val="22"/>
                <w:lang w:val="en-US"/>
              </w:rPr>
              <w:t>nternational Society</w:t>
            </w:r>
            <w:r w:rsidRPr="00821AA1">
              <w:rPr>
                <w:sz w:val="22"/>
                <w:szCs w:val="22"/>
                <w:lang w:val="en-US"/>
              </w:rPr>
              <w:t xml:space="preserve"> </w:t>
            </w:r>
          </w:p>
          <w:p w14:paraId="40AC0BA9" w14:textId="77777777" w:rsidR="004462A0" w:rsidRPr="00821AA1" w:rsidRDefault="00615769" w:rsidP="00F675CF">
            <w:pPr>
              <w:pStyle w:val="EMEANormal"/>
              <w:keepNext/>
              <w:ind w:left="20"/>
              <w:rPr>
                <w:i/>
                <w:szCs w:val="22"/>
              </w:rPr>
            </w:pPr>
            <w:r w:rsidRPr="00821AA1">
              <w:rPr>
                <w:szCs w:val="22"/>
                <w:vertAlign w:val="superscript"/>
              </w:rPr>
              <w:t>b</w:t>
            </w:r>
            <w:r w:rsidRPr="00821AA1">
              <w:rPr>
                <w:szCs w:val="22"/>
              </w:rPr>
              <w:t xml:space="preserve"> </w:t>
            </w:r>
            <w:r w:rsidRPr="00821AA1">
              <w:rPr>
                <w:i/>
                <w:szCs w:val="22"/>
              </w:rPr>
              <w:t>Bath Ankylosing Spondylitis Disease Activity Index</w:t>
            </w:r>
          </w:p>
          <w:p w14:paraId="23482F28" w14:textId="77777777" w:rsidR="004462A0" w:rsidRPr="00821AA1" w:rsidRDefault="00615769" w:rsidP="00F675CF">
            <w:pPr>
              <w:pStyle w:val="EMEANormal"/>
              <w:ind w:left="20"/>
              <w:rPr>
                <w:szCs w:val="22"/>
                <w:vertAlign w:val="superscript"/>
              </w:rPr>
            </w:pPr>
            <w:r w:rsidRPr="00821AA1">
              <w:rPr>
                <w:szCs w:val="22"/>
                <w:vertAlign w:val="superscript"/>
              </w:rPr>
              <w:t>c</w:t>
            </w:r>
            <w:r w:rsidRPr="00821AA1">
              <w:rPr>
                <w:szCs w:val="22"/>
              </w:rPr>
              <w:t xml:space="preserve"> </w:t>
            </w:r>
            <w:r w:rsidRPr="00821AA1">
              <w:rPr>
                <w:i/>
                <w:szCs w:val="22"/>
              </w:rPr>
              <w:t>Ankylosing Spondylitis Disease Activity Score</w:t>
            </w:r>
          </w:p>
          <w:p w14:paraId="2345E66D" w14:textId="77777777" w:rsidR="004462A0" w:rsidRPr="008912CF" w:rsidRDefault="00615769" w:rsidP="00F675CF">
            <w:pPr>
              <w:pStyle w:val="EMEANormal"/>
              <w:ind w:left="20"/>
              <w:rPr>
                <w:szCs w:val="22"/>
                <w:lang w:val="pt-PT"/>
              </w:rPr>
            </w:pPr>
            <w:r w:rsidRPr="008912CF">
              <w:rPr>
                <w:szCs w:val="22"/>
                <w:vertAlign w:val="superscript"/>
                <w:lang w:val="pt-PT"/>
              </w:rPr>
              <w:t>d</w:t>
            </w:r>
            <w:r w:rsidRPr="008912CF">
              <w:rPr>
                <w:szCs w:val="22"/>
                <w:lang w:val="pt-PT"/>
              </w:rPr>
              <w:t xml:space="preserve"> </w:t>
            </w:r>
            <w:r w:rsidR="00965800">
              <w:rPr>
                <w:szCs w:val="22"/>
                <w:lang w:val="pt-PT"/>
              </w:rPr>
              <w:t>alteração média relativamente à</w:t>
            </w:r>
            <w:r w:rsidRPr="008912CF">
              <w:rPr>
                <w:szCs w:val="22"/>
                <w:lang w:val="pt-PT"/>
              </w:rPr>
              <w:t xml:space="preserve"> avaliação inicial</w:t>
            </w:r>
          </w:p>
          <w:p w14:paraId="4BA5B5B8" w14:textId="77777777" w:rsidR="004462A0" w:rsidRPr="008912CF" w:rsidRDefault="00615769" w:rsidP="00F675CF">
            <w:pPr>
              <w:pStyle w:val="EMEANormal"/>
              <w:ind w:left="20"/>
              <w:rPr>
                <w:szCs w:val="22"/>
                <w:lang w:val="pt-PT"/>
              </w:rPr>
            </w:pPr>
            <w:r w:rsidRPr="008912CF">
              <w:rPr>
                <w:szCs w:val="22"/>
                <w:vertAlign w:val="superscript"/>
                <w:lang w:val="pt-PT"/>
              </w:rPr>
              <w:t>e</w:t>
            </w:r>
            <w:r w:rsidRPr="008912CF">
              <w:rPr>
                <w:szCs w:val="22"/>
                <w:lang w:val="pt-PT"/>
              </w:rPr>
              <w:t xml:space="preserve"> n=91 placebo e n=87 Humira</w:t>
            </w:r>
          </w:p>
          <w:p w14:paraId="2F3930AE" w14:textId="77777777" w:rsidR="004462A0" w:rsidRPr="008912CF" w:rsidRDefault="00615769" w:rsidP="00F675CF">
            <w:pPr>
              <w:pStyle w:val="EMEANormal"/>
              <w:ind w:left="20"/>
              <w:rPr>
                <w:szCs w:val="22"/>
                <w:lang w:val="pt-PT"/>
              </w:rPr>
            </w:pPr>
            <w:r w:rsidRPr="008912CF">
              <w:rPr>
                <w:szCs w:val="22"/>
                <w:vertAlign w:val="superscript"/>
                <w:lang w:val="pt-PT"/>
              </w:rPr>
              <w:t>f</w:t>
            </w:r>
            <w:r w:rsidRPr="008912CF">
              <w:rPr>
                <w:szCs w:val="22"/>
                <w:lang w:val="pt-PT"/>
              </w:rPr>
              <w:t xml:space="preserve"> Proteína C Reativa de alta sensibilidade (mg/</w:t>
            </w:r>
            <w:r w:rsidR="00965800">
              <w:rPr>
                <w:szCs w:val="22"/>
                <w:lang w:val="pt-PT"/>
              </w:rPr>
              <w:t>l</w:t>
            </w:r>
            <w:r w:rsidRPr="008912CF">
              <w:rPr>
                <w:szCs w:val="22"/>
                <w:lang w:val="pt-PT"/>
              </w:rPr>
              <w:t>)</w:t>
            </w:r>
          </w:p>
          <w:p w14:paraId="400D5F13" w14:textId="77777777" w:rsidR="004462A0" w:rsidRPr="008912CF" w:rsidRDefault="00615769" w:rsidP="00F675CF">
            <w:pPr>
              <w:pStyle w:val="EMEANormal"/>
              <w:ind w:left="20"/>
              <w:rPr>
                <w:szCs w:val="22"/>
                <w:lang w:val="pt-PT"/>
              </w:rPr>
            </w:pPr>
            <w:r w:rsidRPr="008912CF">
              <w:rPr>
                <w:szCs w:val="22"/>
                <w:vertAlign w:val="superscript"/>
                <w:lang w:val="pt-PT"/>
              </w:rPr>
              <w:t>g</w:t>
            </w:r>
            <w:r w:rsidRPr="008912CF">
              <w:rPr>
                <w:szCs w:val="22"/>
                <w:lang w:val="pt-PT"/>
              </w:rPr>
              <w:t xml:space="preserve"> n=73 placebo e  n=70 Humira</w:t>
            </w:r>
          </w:p>
          <w:p w14:paraId="5C0529E7" w14:textId="77777777" w:rsidR="004462A0" w:rsidRPr="00821AA1" w:rsidRDefault="00615769" w:rsidP="00F675CF">
            <w:pPr>
              <w:pStyle w:val="EMEANormal"/>
              <w:ind w:left="20"/>
              <w:rPr>
                <w:szCs w:val="22"/>
              </w:rPr>
            </w:pPr>
            <w:r w:rsidRPr="00821AA1">
              <w:rPr>
                <w:szCs w:val="22"/>
                <w:vertAlign w:val="superscript"/>
              </w:rPr>
              <w:t>h</w:t>
            </w:r>
            <w:r w:rsidRPr="00821AA1">
              <w:rPr>
                <w:szCs w:val="22"/>
              </w:rPr>
              <w:t xml:space="preserve"> </w:t>
            </w:r>
            <w:r w:rsidRPr="00821AA1">
              <w:rPr>
                <w:i/>
                <w:szCs w:val="22"/>
              </w:rPr>
              <w:t>Spondyloarthritis</w:t>
            </w:r>
            <w:r w:rsidRPr="00821AA1">
              <w:rPr>
                <w:i/>
                <w:szCs w:val="22"/>
              </w:rPr>
              <w:t xml:space="preserve"> Research Consortium of Canada</w:t>
            </w:r>
          </w:p>
          <w:p w14:paraId="4D256021" w14:textId="77777777" w:rsidR="004462A0" w:rsidRPr="008912CF" w:rsidRDefault="00615769" w:rsidP="00F675CF">
            <w:pPr>
              <w:pStyle w:val="EMEANormal"/>
              <w:ind w:left="20"/>
              <w:rPr>
                <w:szCs w:val="22"/>
                <w:lang w:val="pt-PT"/>
              </w:rPr>
            </w:pPr>
            <w:r w:rsidRPr="008912CF">
              <w:rPr>
                <w:szCs w:val="22"/>
                <w:vertAlign w:val="superscript"/>
                <w:lang w:val="pt-PT"/>
              </w:rPr>
              <w:t>i</w:t>
            </w:r>
            <w:r w:rsidRPr="008912CF">
              <w:rPr>
                <w:szCs w:val="22"/>
                <w:lang w:val="pt-PT"/>
              </w:rPr>
              <w:t xml:space="preserve"> n=84 placebo e Humira</w:t>
            </w:r>
          </w:p>
          <w:p w14:paraId="2DE5AA55" w14:textId="77777777" w:rsidR="004462A0" w:rsidRPr="008912CF" w:rsidRDefault="00615769" w:rsidP="00F675CF">
            <w:pPr>
              <w:pStyle w:val="EMEANormal"/>
              <w:ind w:left="20"/>
              <w:rPr>
                <w:szCs w:val="22"/>
                <w:lang w:val="pt-PT"/>
              </w:rPr>
            </w:pPr>
            <w:r w:rsidRPr="008912CF">
              <w:rPr>
                <w:szCs w:val="22"/>
                <w:vertAlign w:val="superscript"/>
                <w:lang w:val="pt-PT"/>
              </w:rPr>
              <w:t>j</w:t>
            </w:r>
            <w:r w:rsidRPr="008912CF">
              <w:rPr>
                <w:szCs w:val="22"/>
                <w:lang w:val="pt-PT"/>
              </w:rPr>
              <w:t xml:space="preserve"> n=82 placebo e n=85 Humira</w:t>
            </w:r>
          </w:p>
          <w:p w14:paraId="5EC43846" w14:textId="77777777" w:rsidR="004462A0" w:rsidRPr="008912CF" w:rsidRDefault="00615769" w:rsidP="00F675CF">
            <w:pPr>
              <w:pStyle w:val="EMEANormal"/>
              <w:keepNext/>
              <w:ind w:left="20"/>
              <w:rPr>
                <w:szCs w:val="22"/>
                <w:lang w:val="pt-PT"/>
              </w:rPr>
            </w:pPr>
            <w:r w:rsidRPr="008912CF">
              <w:rPr>
                <w:szCs w:val="22"/>
                <w:lang w:val="pt-PT"/>
              </w:rPr>
              <w:t>***, **, * Estatisticamente significativ</w:t>
            </w:r>
            <w:r w:rsidR="00965800">
              <w:rPr>
                <w:szCs w:val="22"/>
                <w:lang w:val="pt-PT"/>
              </w:rPr>
              <w:t>o</w:t>
            </w:r>
            <w:r w:rsidRPr="008912CF">
              <w:rPr>
                <w:szCs w:val="22"/>
                <w:lang w:val="pt-PT"/>
              </w:rPr>
              <w:t xml:space="preserve"> p &lt; 0,001, &lt; 0,01, e &lt; 0,05, respetivamente, para</w:t>
            </w:r>
          </w:p>
          <w:p w14:paraId="28AFB484" w14:textId="77777777" w:rsidR="004462A0" w:rsidRPr="008912CF" w:rsidRDefault="00615769" w:rsidP="00F675CF">
            <w:pPr>
              <w:pStyle w:val="EMEANormal"/>
              <w:keepNext/>
              <w:ind w:left="20"/>
              <w:rPr>
                <w:szCs w:val="22"/>
                <w:lang w:val="pt-PT"/>
              </w:rPr>
            </w:pPr>
            <w:r w:rsidRPr="008912CF">
              <w:rPr>
                <w:szCs w:val="22"/>
                <w:lang w:val="pt-PT"/>
              </w:rPr>
              <w:t xml:space="preserve">todas as comparações entre Humira e placebo </w:t>
            </w:r>
          </w:p>
        </w:tc>
      </w:tr>
    </w:tbl>
    <w:p w14:paraId="40E70F65" w14:textId="77777777" w:rsidR="004462A0" w:rsidRPr="008912CF" w:rsidRDefault="004462A0" w:rsidP="004462A0">
      <w:pPr>
        <w:pStyle w:val="EMEANormal"/>
        <w:rPr>
          <w:szCs w:val="22"/>
          <w:lang w:val="pt-PT"/>
        </w:rPr>
      </w:pPr>
    </w:p>
    <w:p w14:paraId="7B467E37" w14:textId="77777777" w:rsidR="004462A0" w:rsidRPr="008912CF" w:rsidRDefault="00615769" w:rsidP="004462A0">
      <w:pPr>
        <w:pStyle w:val="EMEANormal"/>
        <w:rPr>
          <w:szCs w:val="22"/>
          <w:lang w:val="pt-PT"/>
        </w:rPr>
      </w:pPr>
      <w:r>
        <w:rPr>
          <w:szCs w:val="22"/>
          <w:lang w:val="pt-PT"/>
        </w:rPr>
        <w:t>Na</w:t>
      </w:r>
      <w:r w:rsidRPr="008912CF">
        <w:rPr>
          <w:szCs w:val="22"/>
          <w:lang w:val="pt-PT"/>
        </w:rPr>
        <w:t xml:space="preserve"> extensão de fase aberta, a melhoria nos sinais e sintomas foi mantida em doentes em tratamento com Humira até à Semana 156.</w:t>
      </w:r>
    </w:p>
    <w:p w14:paraId="5A64ECBB" w14:textId="77777777" w:rsidR="004462A0" w:rsidRPr="008912CF" w:rsidRDefault="004462A0" w:rsidP="004462A0">
      <w:pPr>
        <w:pStyle w:val="EMEANormal"/>
        <w:rPr>
          <w:szCs w:val="22"/>
          <w:lang w:val="pt-PT"/>
        </w:rPr>
      </w:pPr>
    </w:p>
    <w:p w14:paraId="6CDA995F" w14:textId="77777777" w:rsidR="004462A0" w:rsidRPr="008912CF" w:rsidRDefault="00615769" w:rsidP="004462A0">
      <w:pPr>
        <w:pStyle w:val="EMEANormal"/>
        <w:rPr>
          <w:szCs w:val="22"/>
          <w:lang w:val="pt-PT"/>
        </w:rPr>
      </w:pPr>
      <w:r w:rsidRPr="008912CF">
        <w:rPr>
          <w:szCs w:val="22"/>
          <w:lang w:val="pt-PT"/>
        </w:rPr>
        <w:t>Inibição da inflamação</w:t>
      </w:r>
    </w:p>
    <w:p w14:paraId="193AD0BE" w14:textId="77777777" w:rsidR="004462A0" w:rsidRPr="008912CF" w:rsidRDefault="004462A0" w:rsidP="004462A0">
      <w:pPr>
        <w:pStyle w:val="EMEANormal"/>
        <w:rPr>
          <w:szCs w:val="22"/>
          <w:lang w:val="pt-PT"/>
        </w:rPr>
      </w:pPr>
    </w:p>
    <w:p w14:paraId="0066CCFD" w14:textId="77777777" w:rsidR="004462A0" w:rsidRPr="008912CF" w:rsidRDefault="00615769" w:rsidP="004462A0">
      <w:pPr>
        <w:pStyle w:val="EMEANormal"/>
        <w:rPr>
          <w:szCs w:val="22"/>
          <w:lang w:val="pt-PT"/>
        </w:rPr>
      </w:pPr>
      <w:r>
        <w:rPr>
          <w:szCs w:val="22"/>
          <w:lang w:val="pt-PT"/>
        </w:rPr>
        <w:t>A m</w:t>
      </w:r>
      <w:r w:rsidRPr="008912CF">
        <w:rPr>
          <w:szCs w:val="22"/>
          <w:lang w:val="pt-PT"/>
        </w:rPr>
        <w:t>elhoria significativa dos sinais da inflamação avaliados p</w:t>
      </w:r>
      <w:r>
        <w:rPr>
          <w:szCs w:val="22"/>
          <w:lang w:val="pt-PT"/>
        </w:rPr>
        <w:t>or</w:t>
      </w:r>
      <w:r w:rsidRPr="008912CF">
        <w:rPr>
          <w:szCs w:val="22"/>
          <w:lang w:val="pt-PT"/>
        </w:rPr>
        <w:t xml:space="preserve"> PCR</w:t>
      </w:r>
      <w:r>
        <w:rPr>
          <w:szCs w:val="22"/>
          <w:lang w:val="pt-PT"/>
        </w:rPr>
        <w:t>-</w:t>
      </w:r>
      <w:r w:rsidRPr="008912CF">
        <w:rPr>
          <w:szCs w:val="22"/>
          <w:lang w:val="pt-PT"/>
        </w:rPr>
        <w:t>as e ressonância magnética das  duas articulações sacroilíacas e da coluna vertebral</w:t>
      </w:r>
      <w:r>
        <w:rPr>
          <w:szCs w:val="22"/>
          <w:lang w:val="pt-PT"/>
        </w:rPr>
        <w:t xml:space="preserve"> foi</w:t>
      </w:r>
      <w:r w:rsidRPr="008912CF">
        <w:rPr>
          <w:szCs w:val="22"/>
          <w:lang w:val="pt-PT"/>
        </w:rPr>
        <w:t xml:space="preserve"> mantida em doentes tratados com Humira até à Semana 156 e Semana 104, respetivamente. </w:t>
      </w:r>
    </w:p>
    <w:p w14:paraId="02D2AFB9" w14:textId="77777777" w:rsidR="004462A0" w:rsidRPr="008912CF" w:rsidRDefault="004462A0" w:rsidP="004462A0">
      <w:pPr>
        <w:pStyle w:val="EMEANormal"/>
        <w:rPr>
          <w:szCs w:val="22"/>
          <w:lang w:val="pt-PT"/>
        </w:rPr>
      </w:pPr>
    </w:p>
    <w:p w14:paraId="67AC0D52" w14:textId="77777777" w:rsidR="004462A0" w:rsidRPr="008912CF" w:rsidRDefault="00615769" w:rsidP="004462A0">
      <w:pPr>
        <w:rPr>
          <w:sz w:val="22"/>
          <w:szCs w:val="22"/>
        </w:rPr>
      </w:pPr>
      <w:r w:rsidRPr="008912CF">
        <w:rPr>
          <w:sz w:val="22"/>
          <w:szCs w:val="22"/>
        </w:rPr>
        <w:t>Qualidade de vida e função física</w:t>
      </w:r>
    </w:p>
    <w:p w14:paraId="4E87E515" w14:textId="77777777" w:rsidR="004462A0" w:rsidRPr="008912CF" w:rsidRDefault="004462A0" w:rsidP="004462A0">
      <w:pPr>
        <w:rPr>
          <w:sz w:val="22"/>
          <w:szCs w:val="22"/>
        </w:rPr>
      </w:pPr>
    </w:p>
    <w:p w14:paraId="4E6C3C88" w14:textId="77777777" w:rsidR="004462A0" w:rsidRPr="008912CF" w:rsidRDefault="00615769" w:rsidP="004462A0">
      <w:pPr>
        <w:rPr>
          <w:sz w:val="22"/>
          <w:szCs w:val="22"/>
        </w:rPr>
      </w:pPr>
      <w:r w:rsidRPr="008912CF">
        <w:rPr>
          <w:sz w:val="22"/>
          <w:szCs w:val="22"/>
        </w:rPr>
        <w:t>A qualidade de vida relacionada com a saúde e a função física foram avaliadas utilizando os questionários HAQ-S e SF-36. Humira demonstrou uma melhoria estatisticamente significativa na pontuação total do HAQ-S e na Pontuação do Componente Físico (PC</w:t>
      </w:r>
      <w:r w:rsidR="00965800">
        <w:rPr>
          <w:sz w:val="22"/>
          <w:szCs w:val="22"/>
        </w:rPr>
        <w:t>S</w:t>
      </w:r>
      <w:r w:rsidRPr="008912CF">
        <w:rPr>
          <w:sz w:val="22"/>
          <w:szCs w:val="22"/>
        </w:rPr>
        <w:t xml:space="preserve">) do SF-36, desde a avaliação inicial até à </w:t>
      </w:r>
      <w:r>
        <w:rPr>
          <w:sz w:val="22"/>
          <w:szCs w:val="22"/>
        </w:rPr>
        <w:t>S</w:t>
      </w:r>
      <w:r w:rsidRPr="008912CF">
        <w:rPr>
          <w:sz w:val="22"/>
          <w:szCs w:val="22"/>
        </w:rPr>
        <w:t xml:space="preserve">emana 12 comparativamente com placebo. A melhoria na qualidade de vida relacionada com a saúde e função física foi mantida durante </w:t>
      </w:r>
      <w:r w:rsidR="00965800">
        <w:rPr>
          <w:sz w:val="22"/>
          <w:szCs w:val="22"/>
        </w:rPr>
        <w:t>a</w:t>
      </w:r>
      <w:r w:rsidRPr="008912CF">
        <w:rPr>
          <w:sz w:val="22"/>
          <w:szCs w:val="22"/>
        </w:rPr>
        <w:t xml:space="preserve"> extensão de fase aberta até à Semana 156.</w:t>
      </w:r>
    </w:p>
    <w:p w14:paraId="295B0872" w14:textId="77777777" w:rsidR="004462A0" w:rsidRDefault="004462A0" w:rsidP="004462A0">
      <w:pPr>
        <w:rPr>
          <w:sz w:val="22"/>
          <w:szCs w:val="22"/>
          <w:u w:val="single"/>
        </w:rPr>
      </w:pPr>
    </w:p>
    <w:p w14:paraId="245FCB7E" w14:textId="77777777" w:rsidR="00B067C6" w:rsidRPr="00331062" w:rsidRDefault="00615769" w:rsidP="00B538F3">
      <w:pPr>
        <w:pStyle w:val="EMEANormal"/>
        <w:keepNext/>
        <w:rPr>
          <w:lang w:val="pt-PT"/>
        </w:rPr>
      </w:pPr>
      <w:r>
        <w:rPr>
          <w:szCs w:val="22"/>
          <w:lang w:val="pt-PT"/>
        </w:rPr>
        <w:t xml:space="preserve">Estudo II na </w:t>
      </w:r>
      <w:r w:rsidRPr="00331062">
        <w:rPr>
          <w:szCs w:val="22"/>
          <w:lang w:val="pt-PT"/>
        </w:rPr>
        <w:t>E</w:t>
      </w:r>
      <w:r w:rsidR="003E3AA9" w:rsidRPr="00331062">
        <w:rPr>
          <w:szCs w:val="22"/>
          <w:lang w:val="pt-PT"/>
        </w:rPr>
        <w:t>a</w:t>
      </w:r>
      <w:r w:rsidRPr="00331062">
        <w:rPr>
          <w:szCs w:val="22"/>
          <w:lang w:val="pt-PT"/>
        </w:rPr>
        <w:t>x</w:t>
      </w:r>
      <w:r w:rsidR="00C97EA8">
        <w:rPr>
          <w:szCs w:val="22"/>
          <w:lang w:val="pt-PT"/>
        </w:rPr>
        <w:t>-nr</w:t>
      </w:r>
    </w:p>
    <w:p w14:paraId="0A0E5E98" w14:textId="77777777" w:rsidR="00B067C6" w:rsidRDefault="00B067C6" w:rsidP="00B538F3">
      <w:pPr>
        <w:pStyle w:val="BodyText2"/>
        <w:keepNext/>
        <w:autoSpaceDE/>
        <w:autoSpaceDN/>
        <w:adjustRightInd/>
        <w:rPr>
          <w:szCs w:val="20"/>
        </w:rPr>
      </w:pPr>
    </w:p>
    <w:p w14:paraId="644F9B13" w14:textId="77777777" w:rsidR="00B067C6" w:rsidRDefault="00615769" w:rsidP="00B067C6">
      <w:pPr>
        <w:pStyle w:val="BodyText2"/>
        <w:autoSpaceDE/>
        <w:autoSpaceDN/>
        <w:adjustRightInd/>
        <w:rPr>
          <w:szCs w:val="22"/>
        </w:rPr>
      </w:pPr>
      <w:r w:rsidRPr="00DF02FD">
        <w:rPr>
          <w:szCs w:val="20"/>
        </w:rPr>
        <w:t xml:space="preserve">673 doentes com </w:t>
      </w:r>
      <w:r w:rsidRPr="00331062">
        <w:rPr>
          <w:szCs w:val="22"/>
        </w:rPr>
        <w:t>E</w:t>
      </w:r>
      <w:r w:rsidR="003E3AA9" w:rsidRPr="00331062">
        <w:rPr>
          <w:szCs w:val="22"/>
        </w:rPr>
        <w:t>a</w:t>
      </w:r>
      <w:r w:rsidRPr="00331062">
        <w:rPr>
          <w:szCs w:val="22"/>
        </w:rPr>
        <w:t>x</w:t>
      </w:r>
      <w:r w:rsidR="00C97EA8">
        <w:rPr>
          <w:szCs w:val="22"/>
        </w:rPr>
        <w:t xml:space="preserve">-nr </w:t>
      </w:r>
      <w:r w:rsidRPr="00DF02FD">
        <w:rPr>
          <w:szCs w:val="22"/>
        </w:rPr>
        <w:t>ativa (</w:t>
      </w:r>
      <w:r w:rsidRPr="008912CF">
        <w:t xml:space="preserve">o valor médio </w:t>
      </w:r>
      <w:r w:rsidR="00C97EA8">
        <w:t xml:space="preserve">inicial </w:t>
      </w:r>
      <w:r w:rsidRPr="008912CF">
        <w:t xml:space="preserve">da atividade da doença </w:t>
      </w:r>
      <w:r w:rsidRPr="008912CF">
        <w:rPr>
          <w:rFonts w:ascii="Symbol" w:hAnsi="Symbol"/>
        </w:rPr>
        <w:sym w:font="Symbol" w:char="F05B"/>
      </w:r>
      <w:r w:rsidRPr="008912CF">
        <w:t>BASDAI</w:t>
      </w:r>
      <w:r w:rsidRPr="008912CF">
        <w:rPr>
          <w:rFonts w:ascii="Symbol" w:hAnsi="Symbol"/>
        </w:rPr>
        <w:sym w:font="Symbol" w:char="F05D"/>
      </w:r>
      <w:r w:rsidRPr="008912CF">
        <w:t xml:space="preserve"> </w:t>
      </w:r>
      <w:r w:rsidR="00965800">
        <w:t>era de</w:t>
      </w:r>
      <w:r w:rsidRPr="008912CF">
        <w:t xml:space="preserve"> </w:t>
      </w:r>
      <w:r>
        <w:t xml:space="preserve">7,0) </w:t>
      </w:r>
      <w:r w:rsidRPr="008912CF">
        <w:t>que tiveram uma resposta inadequada</w:t>
      </w:r>
      <w:r>
        <w:t xml:space="preserve"> a </w:t>
      </w:r>
      <w:r w:rsidRPr="00F8563F">
        <w:rPr>
          <w:rFonts w:ascii="Symbol" w:hAnsi="Symbol"/>
          <w:szCs w:val="22"/>
        </w:rPr>
        <w:sym w:font="Symbol" w:char="F0B3"/>
      </w:r>
      <w:r w:rsidRPr="00DF02FD">
        <w:rPr>
          <w:szCs w:val="22"/>
        </w:rPr>
        <w:t> 2</w:t>
      </w:r>
      <w:r>
        <w:rPr>
          <w:szCs w:val="22"/>
        </w:rPr>
        <w:t xml:space="preserve"> </w:t>
      </w:r>
      <w:r w:rsidRPr="008912CF">
        <w:t>AINEs, ou uma intolerância o</w:t>
      </w:r>
      <w:r>
        <w:t xml:space="preserve">u uma contraindicação aos AINEs, </w:t>
      </w:r>
      <w:r w:rsidR="00DC21D7">
        <w:t>foram incluídos</w:t>
      </w:r>
      <w:r w:rsidRPr="008912CF">
        <w:t xml:space="preserve"> </w:t>
      </w:r>
      <w:r w:rsidR="00DC21D7">
        <w:t xml:space="preserve">no período </w:t>
      </w:r>
      <w:r>
        <w:t xml:space="preserve">de fase aberta do Estudo II na </w:t>
      </w:r>
      <w:r w:rsidRPr="00331062">
        <w:rPr>
          <w:szCs w:val="22"/>
        </w:rPr>
        <w:t>E</w:t>
      </w:r>
      <w:r w:rsidR="003E3AA9" w:rsidRPr="00331062">
        <w:rPr>
          <w:szCs w:val="22"/>
        </w:rPr>
        <w:t>a</w:t>
      </w:r>
      <w:r w:rsidRPr="00331062">
        <w:rPr>
          <w:szCs w:val="22"/>
        </w:rPr>
        <w:t>x</w:t>
      </w:r>
      <w:r w:rsidR="00C97EA8">
        <w:rPr>
          <w:szCs w:val="22"/>
        </w:rPr>
        <w:t>-nr</w:t>
      </w:r>
      <w:r>
        <w:rPr>
          <w:szCs w:val="22"/>
        </w:rPr>
        <w:t xml:space="preserve">, </w:t>
      </w:r>
      <w:r w:rsidR="00965800">
        <w:rPr>
          <w:szCs w:val="22"/>
        </w:rPr>
        <w:t xml:space="preserve">durante o qual </w:t>
      </w:r>
      <w:r>
        <w:rPr>
          <w:szCs w:val="22"/>
        </w:rPr>
        <w:t xml:space="preserve">receberam Humira 40 mg em semanas alternadas durante 28 semanas. Estes doentes apresentaram também uma evidência objetiva de inflamação nas articulações </w:t>
      </w:r>
      <w:r w:rsidRPr="008912CF">
        <w:rPr>
          <w:szCs w:val="22"/>
        </w:rPr>
        <w:t xml:space="preserve">sacroilíacas </w:t>
      </w:r>
      <w:r w:rsidR="00DC21D7">
        <w:rPr>
          <w:szCs w:val="22"/>
        </w:rPr>
        <w:t>ou</w:t>
      </w:r>
      <w:r w:rsidRPr="008912CF">
        <w:rPr>
          <w:szCs w:val="22"/>
        </w:rPr>
        <w:t xml:space="preserve"> da coluna vertebral</w:t>
      </w:r>
      <w:r>
        <w:rPr>
          <w:szCs w:val="22"/>
        </w:rPr>
        <w:t xml:space="preserve"> por</w:t>
      </w:r>
      <w:r w:rsidRPr="008912CF">
        <w:rPr>
          <w:szCs w:val="22"/>
        </w:rPr>
        <w:t xml:space="preserve"> Ressonância Magnética (</w:t>
      </w:r>
      <w:r>
        <w:rPr>
          <w:szCs w:val="22"/>
        </w:rPr>
        <w:t>RM</w:t>
      </w:r>
      <w:r w:rsidR="00965800">
        <w:rPr>
          <w:szCs w:val="22"/>
        </w:rPr>
        <w:t>N</w:t>
      </w:r>
      <w:r>
        <w:rPr>
          <w:szCs w:val="22"/>
        </w:rPr>
        <w:t>) ou</w:t>
      </w:r>
      <w:r w:rsidRPr="008912CF">
        <w:rPr>
          <w:szCs w:val="22"/>
        </w:rPr>
        <w:t xml:space="preserve"> PCR</w:t>
      </w:r>
      <w:r>
        <w:rPr>
          <w:szCs w:val="22"/>
        </w:rPr>
        <w:t>-as</w:t>
      </w:r>
      <w:r w:rsidRPr="008912CF">
        <w:rPr>
          <w:szCs w:val="22"/>
        </w:rPr>
        <w:t xml:space="preserve"> elevada</w:t>
      </w:r>
      <w:r>
        <w:rPr>
          <w:szCs w:val="22"/>
        </w:rPr>
        <w:t xml:space="preserve">. Os doentes que alcançaram uma remissão sustentada durante pelo menos 12 semanas (N=305) (ASDAS &lt;1,3 </w:t>
      </w:r>
      <w:r w:rsidR="00DC21D7">
        <w:rPr>
          <w:szCs w:val="22"/>
        </w:rPr>
        <w:t>às</w:t>
      </w:r>
      <w:r>
        <w:rPr>
          <w:szCs w:val="22"/>
        </w:rPr>
        <w:t xml:space="preserve"> Semanas 16, 20, 24 e 28) durante o período de fase aberta foram então </w:t>
      </w:r>
      <w:r w:rsidR="00DC21D7">
        <w:rPr>
          <w:szCs w:val="22"/>
        </w:rPr>
        <w:t>aleatorizados</w:t>
      </w:r>
      <w:r>
        <w:rPr>
          <w:szCs w:val="22"/>
        </w:rPr>
        <w:t xml:space="preserve"> para continuarem o tratamento com Humira 40 mg em semanas alternadas (N=152) ou </w:t>
      </w:r>
      <w:r w:rsidR="00DC21D7">
        <w:rPr>
          <w:szCs w:val="22"/>
        </w:rPr>
        <w:t xml:space="preserve">receberem </w:t>
      </w:r>
      <w:r>
        <w:rPr>
          <w:szCs w:val="22"/>
        </w:rPr>
        <w:t xml:space="preserve">placebo (N=153) durante </w:t>
      </w:r>
      <w:r w:rsidR="00DC21D7">
        <w:rPr>
          <w:szCs w:val="22"/>
        </w:rPr>
        <w:t xml:space="preserve">um período adicional de </w:t>
      </w:r>
      <w:r>
        <w:rPr>
          <w:szCs w:val="22"/>
        </w:rPr>
        <w:t xml:space="preserve">40 semanas </w:t>
      </w:r>
      <w:r w:rsidR="00DC21D7">
        <w:rPr>
          <w:szCs w:val="22"/>
        </w:rPr>
        <w:t xml:space="preserve">em dupla-ocultação controlado com placebo </w:t>
      </w:r>
      <w:r>
        <w:rPr>
          <w:szCs w:val="22"/>
        </w:rPr>
        <w:t>(duração total do estudo 68 semanas). Os indivíduos que tiveram um agravamento durante o período em dupla-ocultação receberam Humira 40 mg em semanas alternadas, como terapêutica de emergência, durante pe</w:t>
      </w:r>
      <w:r w:rsidR="004F7F3A">
        <w:rPr>
          <w:szCs w:val="22"/>
        </w:rPr>
        <w:t>l</w:t>
      </w:r>
      <w:r>
        <w:rPr>
          <w:szCs w:val="22"/>
        </w:rPr>
        <w:t xml:space="preserve">o menos 12 semanas. </w:t>
      </w:r>
    </w:p>
    <w:p w14:paraId="5CFD0809" w14:textId="77777777" w:rsidR="00B067C6" w:rsidRDefault="00B067C6" w:rsidP="00B067C6">
      <w:pPr>
        <w:pStyle w:val="BodyText2"/>
        <w:autoSpaceDE/>
        <w:autoSpaceDN/>
        <w:adjustRightInd/>
        <w:rPr>
          <w:szCs w:val="22"/>
        </w:rPr>
      </w:pPr>
    </w:p>
    <w:p w14:paraId="722A1CD4" w14:textId="77777777" w:rsidR="00B067C6" w:rsidRDefault="00615769" w:rsidP="00B067C6">
      <w:pPr>
        <w:pStyle w:val="BodyText2"/>
        <w:autoSpaceDE/>
        <w:autoSpaceDN/>
        <w:adjustRightInd/>
      </w:pPr>
      <w:r>
        <w:rPr>
          <w:szCs w:val="22"/>
        </w:rPr>
        <w:t>O objetivo primário de eficácia foi a proporção de doentes sem agravamento à Semana 6</w:t>
      </w:r>
      <w:r w:rsidR="00DC21D7">
        <w:rPr>
          <w:szCs w:val="22"/>
        </w:rPr>
        <w:t>8</w:t>
      </w:r>
      <w:r>
        <w:rPr>
          <w:szCs w:val="22"/>
        </w:rPr>
        <w:t xml:space="preserve"> do estudo. O agravamento foi definido como ASDAS </w:t>
      </w:r>
      <w:r>
        <w:t xml:space="preserve">≥ 2,1 em duas visitas consecutivas com quatro semanas de intervalo. Uma maior proporção de doentes tratados com Humira não </w:t>
      </w:r>
      <w:r w:rsidR="00DC21D7">
        <w:t xml:space="preserve">apresentou </w:t>
      </w:r>
      <w:r>
        <w:t>agravamento da doença durante o período em dupla-ocultação, quando comparados com os doentes que receberam placebo (70,4% vs. 47,1%, p&lt;0,001) (Figura 1).</w:t>
      </w:r>
    </w:p>
    <w:p w14:paraId="54A0EFDE" w14:textId="77777777" w:rsidR="00B067C6" w:rsidRDefault="00B067C6" w:rsidP="00B067C6">
      <w:pPr>
        <w:pStyle w:val="BodyText2"/>
        <w:autoSpaceDE/>
        <w:autoSpaceDN/>
        <w:adjustRightInd/>
      </w:pPr>
    </w:p>
    <w:p w14:paraId="3D1F056B" w14:textId="77777777" w:rsidR="00B067C6" w:rsidRPr="00342BDA" w:rsidRDefault="00615769" w:rsidP="00B067C6">
      <w:pPr>
        <w:keepNext/>
        <w:tabs>
          <w:tab w:val="left" w:pos="562"/>
        </w:tabs>
        <w:suppressAutoHyphens/>
        <w:jc w:val="center"/>
        <w:rPr>
          <w:sz w:val="22"/>
          <w:szCs w:val="22"/>
        </w:rPr>
      </w:pPr>
      <w:r w:rsidRPr="00DF02FD">
        <w:rPr>
          <w:rFonts w:eastAsia="Times New Roman"/>
          <w:b/>
          <w:sz w:val="22"/>
          <w:szCs w:val="20"/>
        </w:rPr>
        <w:t xml:space="preserve">Figura 1: </w:t>
      </w:r>
      <w:r w:rsidRPr="004D010F">
        <w:rPr>
          <w:b/>
          <w:sz w:val="22"/>
          <w:szCs w:val="22"/>
        </w:rPr>
        <w:t xml:space="preserve">Curvas de Kaplan-Meier resumindo o Tempo </w:t>
      </w:r>
      <w:r w:rsidR="00DC21D7">
        <w:rPr>
          <w:b/>
          <w:sz w:val="22"/>
          <w:szCs w:val="22"/>
        </w:rPr>
        <w:t xml:space="preserve">até </w:t>
      </w:r>
      <w:r w:rsidR="00C97EA8" w:rsidRPr="00C97EA8">
        <w:rPr>
          <w:b/>
          <w:sz w:val="22"/>
          <w:szCs w:val="22"/>
        </w:rPr>
        <w:t>recidiva</w:t>
      </w:r>
      <w:r>
        <w:rPr>
          <w:b/>
          <w:sz w:val="22"/>
          <w:szCs w:val="22"/>
        </w:rPr>
        <w:t xml:space="preserve"> no Estudo II </w:t>
      </w:r>
      <w:r w:rsidRPr="00DF02FD">
        <w:rPr>
          <w:b/>
          <w:sz w:val="22"/>
          <w:szCs w:val="22"/>
        </w:rPr>
        <w:t>na E</w:t>
      </w:r>
      <w:r w:rsidR="003E3AA9" w:rsidRPr="00DF02FD">
        <w:rPr>
          <w:b/>
          <w:sz w:val="22"/>
          <w:szCs w:val="22"/>
        </w:rPr>
        <w:t>a</w:t>
      </w:r>
      <w:r w:rsidRPr="00DF02FD">
        <w:rPr>
          <w:b/>
          <w:sz w:val="22"/>
          <w:szCs w:val="22"/>
        </w:rPr>
        <w:t>x</w:t>
      </w:r>
      <w:r w:rsidR="00C76546">
        <w:rPr>
          <w:b/>
          <w:sz w:val="22"/>
          <w:szCs w:val="22"/>
        </w:rPr>
        <w:t>-nr</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362"/>
      </w:tblGrid>
      <w:tr w:rsidR="00A7162A" w14:paraId="07C3F0FB" w14:textId="77777777" w:rsidTr="00DF5632">
        <w:trPr>
          <w:cantSplit/>
          <w:trHeight w:val="1134"/>
        </w:trPr>
        <w:tc>
          <w:tcPr>
            <w:tcW w:w="709" w:type="dxa"/>
            <w:textDirection w:val="btLr"/>
            <w:vAlign w:val="center"/>
          </w:tcPr>
          <w:p w14:paraId="6A1FB7AE" w14:textId="77777777" w:rsidR="00B067C6" w:rsidRPr="00DF02FD" w:rsidRDefault="00615769" w:rsidP="005C6FE0">
            <w:pPr>
              <w:ind w:left="113" w:right="113"/>
              <w:jc w:val="center"/>
              <w:rPr>
                <w:rFonts w:eastAsia="Times New Roman"/>
                <w:sz w:val="20"/>
                <w:lang w:val="pt-PT" w:eastAsia="en-GB"/>
              </w:rPr>
            </w:pPr>
            <w:r w:rsidRPr="00DF02FD">
              <w:rPr>
                <w:rFonts w:eastAsia="Times New Roman"/>
                <w:sz w:val="20"/>
                <w:lang w:val="pt-PT" w:eastAsia="en-GB"/>
              </w:rPr>
              <w:t xml:space="preserve">                   PROBABILIDADE DE </w:t>
            </w:r>
            <w:r>
              <w:rPr>
                <w:rFonts w:eastAsia="Times New Roman"/>
                <w:sz w:val="20"/>
                <w:lang w:val="pt-PT" w:eastAsia="en-GB"/>
              </w:rPr>
              <w:t>NÃO TER AGRAVAMENTO</w:t>
            </w:r>
          </w:p>
        </w:tc>
        <w:tc>
          <w:tcPr>
            <w:tcW w:w="8362" w:type="dxa"/>
          </w:tcPr>
          <w:p w14:paraId="5DD677EF" w14:textId="77777777" w:rsidR="00B067C6" w:rsidRPr="00FD6D0F" w:rsidRDefault="00615769" w:rsidP="005C6FE0">
            <w:pPr>
              <w:rPr>
                <w:rFonts w:eastAsia="Times New Roman"/>
                <w:sz w:val="20"/>
                <w:lang w:eastAsia="en-GB"/>
              </w:rPr>
            </w:pPr>
            <w:r w:rsidRPr="00FD6D0F">
              <w:rPr>
                <w:rFonts w:eastAsia="Times New Roman"/>
                <w:noProof/>
                <w:sz w:val="20"/>
                <w:lang w:eastAsia="en-GB"/>
              </w:rPr>
              <w:drawing>
                <wp:inline distT="0" distB="0" distL="0" distR="0" wp14:anchorId="402AF3FA" wp14:editId="1616AC2C">
                  <wp:extent cx="5616000" cy="3006000"/>
                  <wp:effectExtent l="0" t="0" r="3810" b="444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m13375_flare_km_db_f.14.2__1.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16000" cy="3006000"/>
                          </a:xfrm>
                          <a:prstGeom prst="rect">
                            <a:avLst/>
                          </a:prstGeom>
                        </pic:spPr>
                      </pic:pic>
                    </a:graphicData>
                  </a:graphic>
                </wp:inline>
              </w:drawing>
            </w:r>
          </w:p>
        </w:tc>
      </w:tr>
      <w:tr w:rsidR="00A7162A" w14:paraId="3D8ED68A" w14:textId="77777777" w:rsidTr="00DF5632">
        <w:tc>
          <w:tcPr>
            <w:tcW w:w="709" w:type="dxa"/>
          </w:tcPr>
          <w:p w14:paraId="030088E8" w14:textId="77777777" w:rsidR="00B067C6" w:rsidRPr="00FD6D0F" w:rsidRDefault="00B067C6" w:rsidP="005C6FE0">
            <w:pPr>
              <w:rPr>
                <w:rFonts w:eastAsia="Times New Roman"/>
                <w:sz w:val="20"/>
                <w:lang w:eastAsia="en-GB"/>
              </w:rPr>
            </w:pPr>
          </w:p>
        </w:tc>
        <w:tc>
          <w:tcPr>
            <w:tcW w:w="8362" w:type="dxa"/>
            <w:vAlign w:val="center"/>
          </w:tcPr>
          <w:p w14:paraId="4690D6D7" w14:textId="77777777" w:rsidR="00B067C6" w:rsidRPr="00FD6D0F" w:rsidRDefault="00615769" w:rsidP="005C6FE0">
            <w:pPr>
              <w:jc w:val="center"/>
              <w:rPr>
                <w:rFonts w:eastAsia="Times New Roman"/>
                <w:sz w:val="20"/>
                <w:lang w:eastAsia="en-GB"/>
              </w:rPr>
            </w:pPr>
            <w:r w:rsidRPr="00FD6D0F">
              <w:rPr>
                <w:rFonts w:eastAsia="Times New Roman"/>
                <w:sz w:val="20"/>
                <w:lang w:eastAsia="en-GB"/>
              </w:rPr>
              <w:t>T</w:t>
            </w:r>
            <w:r>
              <w:rPr>
                <w:rFonts w:eastAsia="Times New Roman"/>
                <w:sz w:val="20"/>
                <w:lang w:eastAsia="en-GB"/>
              </w:rPr>
              <w:t>EMPO</w:t>
            </w:r>
            <w:r w:rsidRPr="00FD6D0F">
              <w:rPr>
                <w:rFonts w:eastAsia="Times New Roman"/>
                <w:sz w:val="20"/>
                <w:lang w:eastAsia="en-GB"/>
              </w:rPr>
              <w:t xml:space="preserve"> (</w:t>
            </w:r>
            <w:r>
              <w:rPr>
                <w:rFonts w:eastAsia="Times New Roman"/>
                <w:sz w:val="20"/>
                <w:lang w:eastAsia="en-GB"/>
              </w:rPr>
              <w:t>SEMANAS</w:t>
            </w:r>
            <w:r w:rsidRPr="00FD6D0F">
              <w:rPr>
                <w:rFonts w:eastAsia="Times New Roman"/>
                <w:sz w:val="20"/>
                <w:lang w:eastAsia="en-GB"/>
              </w:rPr>
              <w:t>)</w:t>
            </w:r>
          </w:p>
        </w:tc>
      </w:tr>
      <w:tr w:rsidR="00A7162A" w14:paraId="65B05A8E" w14:textId="77777777" w:rsidTr="00DF5632">
        <w:tc>
          <w:tcPr>
            <w:tcW w:w="9071" w:type="dxa"/>
            <w:gridSpan w:val="2"/>
          </w:tcPr>
          <w:p w14:paraId="2BC95436" w14:textId="77777777" w:rsidR="00B067C6" w:rsidRPr="00FD6D0F" w:rsidRDefault="00615769" w:rsidP="005C6FE0">
            <w:pPr>
              <w:rPr>
                <w:rFonts w:eastAsia="Times New Roman"/>
                <w:sz w:val="20"/>
                <w:lang w:eastAsia="en-GB"/>
              </w:rPr>
            </w:pPr>
            <w:r w:rsidRPr="00FD6D0F">
              <w:rPr>
                <w:rFonts w:eastAsia="Times New Roman"/>
                <w:sz w:val="20"/>
                <w:lang w:eastAsia="en-GB"/>
              </w:rPr>
              <w:t xml:space="preserve">                                  </w:t>
            </w:r>
            <w:r>
              <w:rPr>
                <w:rFonts w:eastAsia="Times New Roman"/>
                <w:sz w:val="20"/>
                <w:lang w:eastAsia="en-GB"/>
              </w:rPr>
              <w:t>Tr</w:t>
            </w:r>
            <w:r w:rsidRPr="00FD6D0F">
              <w:rPr>
                <w:rFonts w:eastAsia="Times New Roman"/>
                <w:sz w:val="20"/>
                <w:lang w:eastAsia="en-GB"/>
              </w:rPr>
              <w:t>at</w:t>
            </w:r>
            <w:r>
              <w:rPr>
                <w:rFonts w:eastAsia="Times New Roman"/>
                <w:sz w:val="20"/>
                <w:lang w:eastAsia="en-GB"/>
              </w:rPr>
              <w:t>a</w:t>
            </w:r>
            <w:r w:rsidRPr="00FD6D0F">
              <w:rPr>
                <w:rFonts w:eastAsia="Times New Roman"/>
                <w:sz w:val="20"/>
                <w:lang w:eastAsia="en-GB"/>
              </w:rPr>
              <w:t>ment</w:t>
            </w:r>
            <w:r>
              <w:rPr>
                <w:rFonts w:eastAsia="Times New Roman"/>
                <w:sz w:val="20"/>
                <w:lang w:eastAsia="en-GB"/>
              </w:rPr>
              <w:t>o</w:t>
            </w:r>
            <w:r w:rsidRPr="00FD6D0F">
              <w:rPr>
                <w:rFonts w:eastAsia="Times New Roman"/>
                <w:sz w:val="20"/>
                <w:lang w:eastAsia="en-GB"/>
              </w:rPr>
              <w:t xml:space="preserve">      </w:t>
            </w:r>
            <w:r w:rsidRPr="00FD6D0F">
              <w:rPr>
                <w:rFonts w:eastAsia="Times New Roman"/>
                <w:noProof/>
                <w:sz w:val="20"/>
                <w:lang w:eastAsia="en-GB"/>
              </w:rPr>
              <w:t xml:space="preserve"> </w:t>
            </w:r>
            <w:r w:rsidRPr="00FD6D0F">
              <w:rPr>
                <w:rFonts w:eastAsia="Times New Roman"/>
                <w:noProof/>
                <w:sz w:val="20"/>
                <w:lang w:eastAsia="en-GB"/>
              </w:rPr>
              <mc:AlternateContent>
                <mc:Choice Requires="wps">
                  <w:drawing>
                    <wp:inline distT="0" distB="0" distL="0" distR="0" wp14:anchorId="571CAF32" wp14:editId="027A005D">
                      <wp:extent cx="381000" cy="0"/>
                      <wp:effectExtent l="0" t="19050" r="0" b="19050"/>
                      <wp:docPr id="104" name="Straight Connector 104"/>
                      <wp:cNvGraphicFramePr/>
                      <a:graphic xmlns:a="http://schemas.openxmlformats.org/drawingml/2006/main">
                        <a:graphicData uri="http://schemas.microsoft.com/office/word/2010/wordprocessingShape">
                          <wps:wsp>
                            <wps:cNvCnPr/>
                            <wps:spPr>
                              <a:xfrm>
                                <a:off x="0" y="0"/>
                                <a:ext cx="381000" cy="0"/>
                              </a:xfrm>
                              <a:prstGeom prst="line">
                                <a:avLst/>
                              </a:prstGeom>
                              <a:noFill/>
                              <a:ln w="28575">
                                <a:solidFill>
                                  <a:sysClr val="windowText" lastClr="000000">
                                    <a:lumMod val="65000"/>
                                    <a:lumOff val="35000"/>
                                  </a:sysClr>
                                </a:solidFill>
                                <a:prstDash val="sysDot"/>
                              </a:ln>
                              <a:effectLst/>
                            </wps:spPr>
                            <wps:bodyPr/>
                          </wps:wsp>
                        </a:graphicData>
                      </a:graphic>
                    </wp:inline>
                  </w:drawing>
                </mc:Choice>
                <mc:Fallback>
                  <w:pict>
                    <v:line id="Straight Connector 104" o:spid="_x0000_i1032" style="mso-left-percent:-10001;mso-position-horizontal-relative:char;mso-position-vertical-relative:line;mso-top-percent:-10001;mso-wrap-style:square;visibility:visible" from="0,0" to="30pt,0" strokecolor="#595959" strokeweight="2.25pt">
                      <v:stroke dashstyle="1 1"/>
                      <w10:anchorlock/>
                    </v:line>
                  </w:pict>
                </mc:Fallback>
              </mc:AlternateContent>
            </w:r>
            <w:r w:rsidRPr="00FD6D0F">
              <w:rPr>
                <w:rFonts w:eastAsia="Times New Roman"/>
                <w:noProof/>
                <w:sz w:val="20"/>
                <w:lang w:eastAsia="en-GB"/>
              </w:rPr>
              <w:t xml:space="preserve"> </w:t>
            </w:r>
            <w:r w:rsidRPr="00FD6D0F">
              <w:rPr>
                <w:rFonts w:eastAsia="Times New Roman"/>
                <w:sz w:val="20"/>
                <w:lang w:eastAsia="en-GB"/>
              </w:rPr>
              <w:t xml:space="preserve">Placebo     </w:t>
            </w:r>
            <w:r w:rsidRPr="00FD6D0F">
              <w:rPr>
                <w:rFonts w:eastAsia="Times New Roman"/>
                <w:noProof/>
                <w:sz w:val="20"/>
                <w:lang w:eastAsia="en-GB"/>
              </w:rPr>
              <mc:AlternateContent>
                <mc:Choice Requires="wps">
                  <w:drawing>
                    <wp:inline distT="0" distB="0" distL="0" distR="0" wp14:anchorId="1D6C922E" wp14:editId="6930B080">
                      <wp:extent cx="401320" cy="0"/>
                      <wp:effectExtent l="0" t="0" r="17780" b="19050"/>
                      <wp:docPr id="105" name="Straight Connector 105"/>
                      <wp:cNvGraphicFramePr/>
                      <a:graphic xmlns:a="http://schemas.openxmlformats.org/drawingml/2006/main">
                        <a:graphicData uri="http://schemas.microsoft.com/office/word/2010/wordprocessingShape">
                          <wps:wsp>
                            <wps:cNvCnPr/>
                            <wps:spPr>
                              <a:xfrm>
                                <a:off x="0" y="0"/>
                                <a:ext cx="401320" cy="0"/>
                              </a:xfrm>
                              <a:prstGeom prst="line">
                                <a:avLst/>
                              </a:prstGeom>
                              <a:noFill/>
                              <a:ln w="19050">
                                <a:solidFill>
                                  <a:sysClr val="windowText" lastClr="000000">
                                    <a:lumMod val="75000"/>
                                    <a:lumOff val="25000"/>
                                  </a:sysClr>
                                </a:solidFill>
                                <a:prstDash val="solid"/>
                              </a:ln>
                              <a:effectLst/>
                            </wps:spPr>
                            <wps:bodyPr/>
                          </wps:wsp>
                        </a:graphicData>
                      </a:graphic>
                    </wp:inline>
                  </w:drawing>
                </mc:Choice>
                <mc:Fallback>
                  <w:pict>
                    <v:line id="Straight Connector 105" o:spid="_x0000_i1033" style="mso-left-percent:-10001;mso-position-horizontal-relative:char;mso-position-vertical-relative:line;mso-top-percent:-10001;mso-wrap-style:square;visibility:visible" from="0,0" to="31.6pt,0" strokecolor="#404040" strokeweight="1.5pt">
                      <w10:anchorlock/>
                    </v:line>
                  </w:pict>
                </mc:Fallback>
              </mc:AlternateContent>
            </w:r>
            <w:r w:rsidRPr="00FD6D0F">
              <w:rPr>
                <w:rFonts w:eastAsia="Times New Roman"/>
                <w:sz w:val="20"/>
                <w:lang w:eastAsia="en-GB"/>
              </w:rPr>
              <w:t xml:space="preserve"> Humira     ∆ Cens</w:t>
            </w:r>
            <w:r>
              <w:rPr>
                <w:rFonts w:eastAsia="Times New Roman"/>
                <w:sz w:val="20"/>
                <w:lang w:eastAsia="en-GB"/>
              </w:rPr>
              <w:t>urado</w:t>
            </w:r>
          </w:p>
        </w:tc>
      </w:tr>
    </w:tbl>
    <w:p w14:paraId="398EE99B" w14:textId="77777777" w:rsidR="00B067C6" w:rsidRDefault="00B067C6" w:rsidP="00B067C6">
      <w:pPr>
        <w:pStyle w:val="BodyText2"/>
        <w:autoSpaceDE/>
        <w:autoSpaceDN/>
        <w:adjustRightInd/>
      </w:pPr>
    </w:p>
    <w:p w14:paraId="3AA4A7FD" w14:textId="77777777" w:rsidR="00B067C6" w:rsidRDefault="00615769" w:rsidP="00B067C6">
      <w:pPr>
        <w:pStyle w:val="BodyText2"/>
        <w:autoSpaceDE/>
        <w:autoSpaceDN/>
        <w:adjustRightInd/>
      </w:pPr>
      <w:r>
        <w:t>Nota: P = Placebo (Número em Risco (</w:t>
      </w:r>
      <w:r w:rsidR="00C97EA8" w:rsidRPr="00C97EA8">
        <w:t>recidiva</w:t>
      </w:r>
      <w:r>
        <w:t>)</w:t>
      </w:r>
      <w:r w:rsidR="00965800">
        <w:t>)</w:t>
      </w:r>
      <w:r>
        <w:t>; A = HUMIRA (Número em Risco (</w:t>
      </w:r>
      <w:r w:rsidR="00C97EA8" w:rsidRPr="00C97EA8">
        <w:t>recidiva</w:t>
      </w:r>
      <w:r>
        <w:t>)).</w:t>
      </w:r>
    </w:p>
    <w:p w14:paraId="59CD7617" w14:textId="77777777" w:rsidR="00B067C6" w:rsidRDefault="00B067C6" w:rsidP="00B067C6">
      <w:pPr>
        <w:pStyle w:val="BodyText2"/>
        <w:autoSpaceDE/>
        <w:autoSpaceDN/>
        <w:adjustRightInd/>
      </w:pPr>
    </w:p>
    <w:p w14:paraId="3A3840C0" w14:textId="77777777" w:rsidR="00B067C6" w:rsidRDefault="00615769" w:rsidP="00B067C6">
      <w:pPr>
        <w:pStyle w:val="BodyText2"/>
        <w:autoSpaceDE/>
        <w:autoSpaceDN/>
        <w:adjustRightInd/>
      </w:pPr>
      <w:r>
        <w:t xml:space="preserve">Entre os 68 doentes que apresentaram </w:t>
      </w:r>
      <w:r w:rsidR="00C97EA8" w:rsidRPr="00C97EA8">
        <w:t>recidiva</w:t>
      </w:r>
      <w:r w:rsidR="00C97EA8">
        <w:t xml:space="preserve"> </w:t>
      </w:r>
      <w:r>
        <w:t xml:space="preserve">no grupo alocado </w:t>
      </w:r>
      <w:r w:rsidR="004F7F3A">
        <w:t>para d</w:t>
      </w:r>
      <w:r>
        <w:t>escontinuação do tratamento, 65 completaram as 12 semanas de tratamento de emergência com Humira, dos quais 37 (56,9%) recuperaram a remissão (ASDAS &lt; 1,3) após 12 semanas do reinício d</w:t>
      </w:r>
      <w:r w:rsidR="00DC21D7">
        <w:t>o</w:t>
      </w:r>
      <w:r>
        <w:t xml:space="preserve"> tratamento em fase aberta.</w:t>
      </w:r>
    </w:p>
    <w:p w14:paraId="1B18CAE9" w14:textId="77777777" w:rsidR="00B067C6" w:rsidRDefault="00B067C6" w:rsidP="00B067C6">
      <w:pPr>
        <w:pStyle w:val="BodyText2"/>
        <w:autoSpaceDE/>
        <w:autoSpaceDN/>
        <w:adjustRightInd/>
      </w:pPr>
    </w:p>
    <w:p w14:paraId="212D1939" w14:textId="77777777" w:rsidR="00B067C6" w:rsidRPr="00DF02FD" w:rsidRDefault="00615769" w:rsidP="00B067C6">
      <w:pPr>
        <w:pStyle w:val="BodyText2"/>
        <w:autoSpaceDE/>
        <w:autoSpaceDN/>
        <w:adjustRightInd/>
      </w:pPr>
      <w:r>
        <w:t xml:space="preserve">À Semana 68, os doentes que receberam tratamento contínuo com Humira apresentaram uma melhoria superior dos sinais e sintomas da </w:t>
      </w:r>
      <w:r w:rsidRPr="00331062">
        <w:rPr>
          <w:szCs w:val="22"/>
        </w:rPr>
        <w:t>E</w:t>
      </w:r>
      <w:r w:rsidR="003E3AA9" w:rsidRPr="00331062">
        <w:rPr>
          <w:szCs w:val="22"/>
        </w:rPr>
        <w:t>a</w:t>
      </w:r>
      <w:r w:rsidRPr="00331062">
        <w:rPr>
          <w:szCs w:val="22"/>
        </w:rPr>
        <w:t>x não-radiográfica</w:t>
      </w:r>
      <w:r w:rsidRPr="00DF02FD">
        <w:rPr>
          <w:szCs w:val="22"/>
        </w:rPr>
        <w:t xml:space="preserve"> ativa </w:t>
      </w:r>
      <w:r w:rsidR="00C97EA8">
        <w:t xml:space="preserve">estatisticamente significativa </w:t>
      </w:r>
      <w:r>
        <w:t>comparativamente com os doentes alocados à descontinuação do tratamento durante o período em dupla-ocultação do estudo (Tabela 1</w:t>
      </w:r>
      <w:r w:rsidR="00E549E4">
        <w:t>4</w:t>
      </w:r>
      <w:r>
        <w:t xml:space="preserve">). </w:t>
      </w:r>
    </w:p>
    <w:p w14:paraId="5A2D6B9C" w14:textId="77777777" w:rsidR="00B067C6" w:rsidRPr="00DF02FD" w:rsidRDefault="00B067C6" w:rsidP="00B067C6">
      <w:pPr>
        <w:pStyle w:val="BodyText2"/>
        <w:autoSpaceDE/>
        <w:autoSpaceDN/>
        <w:adjustRightInd/>
        <w:rPr>
          <w:szCs w:val="20"/>
        </w:rPr>
      </w:pPr>
    </w:p>
    <w:p w14:paraId="1B861997" w14:textId="77777777" w:rsidR="00B067C6" w:rsidRPr="00342BDA" w:rsidRDefault="00615769" w:rsidP="00486179">
      <w:pPr>
        <w:keepNext/>
        <w:tabs>
          <w:tab w:val="left" w:pos="562"/>
        </w:tabs>
        <w:suppressAutoHyphens/>
        <w:ind w:left="720"/>
        <w:jc w:val="center"/>
        <w:rPr>
          <w:rFonts w:eastAsia="Times New Roman"/>
          <w:sz w:val="22"/>
          <w:szCs w:val="20"/>
        </w:rPr>
      </w:pPr>
      <w:r w:rsidRPr="00DF02FD">
        <w:rPr>
          <w:rFonts w:eastAsia="Times New Roman"/>
          <w:b/>
          <w:sz w:val="22"/>
          <w:szCs w:val="20"/>
        </w:rPr>
        <w:t>Tabela 1</w:t>
      </w:r>
      <w:r w:rsidR="00E549E4">
        <w:rPr>
          <w:rFonts w:eastAsia="Times New Roman"/>
          <w:b/>
          <w:sz w:val="22"/>
          <w:szCs w:val="20"/>
        </w:rPr>
        <w:t>4</w:t>
      </w:r>
    </w:p>
    <w:p w14:paraId="02906823" w14:textId="77777777" w:rsidR="00B067C6" w:rsidRPr="00342BDA" w:rsidRDefault="00615769" w:rsidP="00486179">
      <w:pPr>
        <w:keepNext/>
        <w:tabs>
          <w:tab w:val="left" w:pos="562"/>
        </w:tabs>
        <w:suppressAutoHyphens/>
        <w:ind w:left="720"/>
        <w:jc w:val="center"/>
        <w:rPr>
          <w:rFonts w:eastAsia="Times New Roman"/>
          <w:sz w:val="22"/>
          <w:szCs w:val="20"/>
        </w:rPr>
      </w:pPr>
      <w:r w:rsidRPr="00DF02FD">
        <w:rPr>
          <w:rFonts w:eastAsia="Times New Roman"/>
          <w:b/>
          <w:sz w:val="22"/>
          <w:szCs w:val="20"/>
        </w:rPr>
        <w:t xml:space="preserve">Resultados de Eficácia no </w:t>
      </w:r>
      <w:r w:rsidR="00DC21D7">
        <w:rPr>
          <w:rFonts w:eastAsia="Times New Roman"/>
          <w:b/>
          <w:sz w:val="22"/>
          <w:szCs w:val="20"/>
        </w:rPr>
        <w:t xml:space="preserve">Período </w:t>
      </w:r>
      <w:r w:rsidR="00DC21D7" w:rsidRPr="00DF02FD">
        <w:rPr>
          <w:rFonts w:eastAsia="Times New Roman"/>
          <w:b/>
          <w:sz w:val="22"/>
          <w:szCs w:val="20"/>
        </w:rPr>
        <w:t xml:space="preserve">Controlado com Placebo </w:t>
      </w:r>
      <w:r w:rsidR="00DC21D7">
        <w:rPr>
          <w:rFonts w:eastAsia="Times New Roman"/>
          <w:b/>
          <w:sz w:val="22"/>
          <w:szCs w:val="20"/>
        </w:rPr>
        <w:t xml:space="preserve">do </w:t>
      </w:r>
      <w:r w:rsidRPr="00DF02FD">
        <w:rPr>
          <w:rFonts w:eastAsia="Times New Roman"/>
          <w:b/>
          <w:sz w:val="22"/>
          <w:szCs w:val="20"/>
        </w:rPr>
        <w:t xml:space="preserve">Estudo </w:t>
      </w:r>
      <w:r>
        <w:rPr>
          <w:rFonts w:eastAsia="Times New Roman"/>
          <w:b/>
          <w:sz w:val="22"/>
          <w:szCs w:val="20"/>
        </w:rPr>
        <w:t xml:space="preserve">II na </w:t>
      </w:r>
      <w:r w:rsidRPr="00DF02FD">
        <w:rPr>
          <w:b/>
          <w:szCs w:val="22"/>
        </w:rPr>
        <w:t>E</w:t>
      </w:r>
      <w:r w:rsidR="003E3AA9" w:rsidRPr="00DF02FD">
        <w:rPr>
          <w:b/>
          <w:szCs w:val="22"/>
        </w:rPr>
        <w:t>a</w:t>
      </w:r>
      <w:r w:rsidRPr="00DF02FD">
        <w:rPr>
          <w:b/>
          <w:szCs w:val="22"/>
        </w:rPr>
        <w:t>x</w:t>
      </w:r>
      <w:r w:rsidR="00C76546">
        <w:rPr>
          <w:b/>
          <w:szCs w:val="22"/>
        </w:rPr>
        <w:t>-nr</w:t>
      </w:r>
    </w:p>
    <w:p w14:paraId="78F7B59E" w14:textId="77777777" w:rsidR="00B067C6" w:rsidRPr="00342BDA" w:rsidRDefault="00B067C6" w:rsidP="00486179">
      <w:pPr>
        <w:keepNext/>
        <w:tabs>
          <w:tab w:val="left" w:pos="562"/>
        </w:tabs>
        <w:suppressAutoHyphens/>
        <w:ind w:left="720"/>
        <w:rPr>
          <w:rFonts w:eastAsia="Times New Roman"/>
          <w:sz w:val="22"/>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58"/>
        <w:gridCol w:w="1682"/>
        <w:gridCol w:w="1821"/>
      </w:tblGrid>
      <w:tr w:rsidR="00A7162A" w14:paraId="1A1D9A79" w14:textId="77777777" w:rsidTr="005C6FE0">
        <w:trPr>
          <w:jc w:val="center"/>
        </w:trPr>
        <w:tc>
          <w:tcPr>
            <w:tcW w:w="3067" w:type="pct"/>
          </w:tcPr>
          <w:p w14:paraId="51FF635D" w14:textId="77777777" w:rsidR="00B067C6" w:rsidRPr="00DF02FD" w:rsidRDefault="00615769" w:rsidP="00486179">
            <w:pPr>
              <w:keepNext/>
              <w:tabs>
                <w:tab w:val="left" w:pos="562"/>
              </w:tabs>
              <w:suppressAutoHyphens/>
              <w:rPr>
                <w:rFonts w:eastAsia="Times New Roman"/>
                <w:b/>
                <w:bCs/>
                <w:sz w:val="22"/>
              </w:rPr>
            </w:pPr>
            <w:r w:rsidRPr="00DF02FD">
              <w:rPr>
                <w:rFonts w:eastAsia="Times New Roman"/>
                <w:b/>
                <w:bCs/>
                <w:sz w:val="22"/>
              </w:rPr>
              <w:t>Dupla-Ocultação</w:t>
            </w:r>
          </w:p>
          <w:p w14:paraId="4D93C605" w14:textId="77777777" w:rsidR="00B067C6" w:rsidRPr="00DF02FD" w:rsidRDefault="00615769" w:rsidP="00486179">
            <w:pPr>
              <w:keepNext/>
              <w:tabs>
                <w:tab w:val="left" w:pos="562"/>
              </w:tabs>
              <w:suppressAutoHyphens/>
              <w:rPr>
                <w:rFonts w:eastAsia="Times New Roman"/>
                <w:b/>
                <w:bCs/>
                <w:sz w:val="22"/>
              </w:rPr>
            </w:pPr>
            <w:r w:rsidRPr="00DF02FD">
              <w:rPr>
                <w:rFonts w:eastAsia="Times New Roman"/>
                <w:b/>
                <w:bCs/>
                <w:sz w:val="22"/>
              </w:rPr>
              <w:t xml:space="preserve">Resposta </w:t>
            </w:r>
            <w:r w:rsidR="000815CE">
              <w:rPr>
                <w:rFonts w:eastAsia="Times New Roman"/>
                <w:b/>
                <w:bCs/>
                <w:sz w:val="22"/>
              </w:rPr>
              <w:t>à</w:t>
            </w:r>
            <w:r w:rsidRPr="00DF02FD">
              <w:rPr>
                <w:rFonts w:eastAsia="Times New Roman"/>
                <w:b/>
                <w:bCs/>
                <w:sz w:val="22"/>
              </w:rPr>
              <w:t xml:space="preserve"> Semana 68</w:t>
            </w:r>
          </w:p>
        </w:tc>
        <w:tc>
          <w:tcPr>
            <w:tcW w:w="928" w:type="pct"/>
          </w:tcPr>
          <w:p w14:paraId="3920827C" w14:textId="77777777" w:rsidR="00B067C6" w:rsidRPr="00D02F83" w:rsidRDefault="00615769" w:rsidP="00486179">
            <w:pPr>
              <w:keepNext/>
              <w:tabs>
                <w:tab w:val="left" w:pos="562"/>
              </w:tabs>
              <w:suppressAutoHyphens/>
              <w:jc w:val="center"/>
              <w:rPr>
                <w:rFonts w:eastAsia="Times New Roman"/>
                <w:b/>
                <w:bCs/>
                <w:sz w:val="20"/>
                <w:szCs w:val="20"/>
                <w:lang w:val="fr-FR"/>
              </w:rPr>
            </w:pPr>
            <w:r w:rsidRPr="00D02F83">
              <w:rPr>
                <w:rFonts w:eastAsia="Times New Roman"/>
                <w:b/>
                <w:bCs/>
                <w:sz w:val="20"/>
                <w:szCs w:val="20"/>
                <w:lang w:val="fr-FR"/>
              </w:rPr>
              <w:t>Placebo</w:t>
            </w:r>
          </w:p>
          <w:p w14:paraId="2F3AB2A1" w14:textId="77777777" w:rsidR="00B067C6" w:rsidRPr="00D02F83" w:rsidRDefault="00615769" w:rsidP="00486179">
            <w:pPr>
              <w:keepNext/>
              <w:tabs>
                <w:tab w:val="left" w:pos="562"/>
              </w:tabs>
              <w:suppressAutoHyphens/>
              <w:jc w:val="center"/>
              <w:rPr>
                <w:rFonts w:eastAsia="Times New Roman"/>
                <w:b/>
                <w:bCs/>
                <w:sz w:val="20"/>
                <w:szCs w:val="20"/>
                <w:lang w:val="fr-FR"/>
              </w:rPr>
            </w:pPr>
            <w:r w:rsidRPr="00D02F83">
              <w:rPr>
                <w:rFonts w:eastAsia="Times New Roman"/>
                <w:b/>
                <w:bCs/>
                <w:sz w:val="20"/>
                <w:szCs w:val="20"/>
                <w:lang w:val="fr-FR"/>
              </w:rPr>
              <w:t>N=153</w:t>
            </w:r>
          </w:p>
        </w:tc>
        <w:tc>
          <w:tcPr>
            <w:tcW w:w="1005" w:type="pct"/>
          </w:tcPr>
          <w:p w14:paraId="79E38D52" w14:textId="77777777" w:rsidR="00B067C6" w:rsidRPr="00D02F83" w:rsidRDefault="00615769" w:rsidP="00486179">
            <w:pPr>
              <w:keepNext/>
              <w:tabs>
                <w:tab w:val="left" w:pos="562"/>
              </w:tabs>
              <w:suppressAutoHyphens/>
              <w:jc w:val="center"/>
              <w:rPr>
                <w:rFonts w:eastAsia="Times New Roman"/>
                <w:b/>
                <w:bCs/>
                <w:sz w:val="20"/>
                <w:szCs w:val="20"/>
                <w:lang w:val="fr-FR"/>
              </w:rPr>
            </w:pPr>
            <w:r w:rsidRPr="00D02F83">
              <w:rPr>
                <w:rFonts w:eastAsia="Times New Roman"/>
                <w:b/>
                <w:bCs/>
                <w:sz w:val="20"/>
                <w:szCs w:val="20"/>
                <w:lang w:val="fr-FR"/>
              </w:rPr>
              <w:t>Humira</w:t>
            </w:r>
          </w:p>
          <w:p w14:paraId="29B183E4" w14:textId="77777777" w:rsidR="00B067C6" w:rsidRPr="00D02F83" w:rsidRDefault="00615769" w:rsidP="00486179">
            <w:pPr>
              <w:keepNext/>
              <w:tabs>
                <w:tab w:val="left" w:pos="562"/>
              </w:tabs>
              <w:suppressAutoHyphens/>
              <w:jc w:val="center"/>
              <w:rPr>
                <w:rFonts w:eastAsia="Times New Roman"/>
                <w:b/>
                <w:bCs/>
                <w:sz w:val="20"/>
                <w:szCs w:val="20"/>
                <w:lang w:val="fr-FR"/>
              </w:rPr>
            </w:pPr>
            <w:r w:rsidRPr="00D02F83">
              <w:rPr>
                <w:rFonts w:eastAsia="Times New Roman"/>
                <w:b/>
                <w:bCs/>
                <w:sz w:val="20"/>
                <w:szCs w:val="20"/>
                <w:lang w:val="en-GB"/>
              </w:rPr>
              <w:t>N=152</w:t>
            </w:r>
          </w:p>
        </w:tc>
      </w:tr>
      <w:tr w:rsidR="00A7162A" w14:paraId="44F79C45" w14:textId="77777777" w:rsidTr="005C6FE0">
        <w:trPr>
          <w:jc w:val="center"/>
        </w:trPr>
        <w:tc>
          <w:tcPr>
            <w:tcW w:w="3067" w:type="pct"/>
          </w:tcPr>
          <w:p w14:paraId="7CBBC2DC" w14:textId="77777777" w:rsidR="00B067C6" w:rsidRPr="00D02F83" w:rsidRDefault="00615769" w:rsidP="00486179">
            <w:pPr>
              <w:keepNext/>
              <w:tabs>
                <w:tab w:val="left" w:pos="562"/>
              </w:tabs>
              <w:suppressAutoHyphens/>
              <w:rPr>
                <w:rFonts w:eastAsia="Times New Roman"/>
                <w:sz w:val="22"/>
                <w:lang w:val="en-GB"/>
              </w:rPr>
            </w:pPr>
            <w:r w:rsidRPr="00D02F83">
              <w:rPr>
                <w:rFonts w:eastAsia="Times New Roman"/>
                <w:sz w:val="22"/>
                <w:lang w:val="en-GB"/>
              </w:rPr>
              <w:t>ASAS</w:t>
            </w:r>
            <w:r w:rsidRPr="00D02F83">
              <w:rPr>
                <w:rFonts w:eastAsia="Times New Roman"/>
                <w:sz w:val="22"/>
                <w:vertAlign w:val="superscript"/>
                <w:lang w:val="en-GB"/>
              </w:rPr>
              <w:t>a,b</w:t>
            </w:r>
            <w:r w:rsidRPr="00D02F83">
              <w:rPr>
                <w:rFonts w:eastAsia="Times New Roman"/>
                <w:sz w:val="22"/>
                <w:lang w:val="en-GB"/>
              </w:rPr>
              <w:t xml:space="preserve"> 20</w:t>
            </w:r>
          </w:p>
        </w:tc>
        <w:tc>
          <w:tcPr>
            <w:tcW w:w="928" w:type="pct"/>
          </w:tcPr>
          <w:p w14:paraId="4A2F66E2" w14:textId="77777777" w:rsidR="00B067C6" w:rsidRPr="00D02F83" w:rsidRDefault="00615769" w:rsidP="00486179">
            <w:pPr>
              <w:keepNext/>
              <w:tabs>
                <w:tab w:val="left" w:pos="562"/>
              </w:tabs>
              <w:suppressAutoHyphens/>
              <w:jc w:val="center"/>
              <w:rPr>
                <w:rFonts w:eastAsia="Times New Roman"/>
                <w:sz w:val="22"/>
                <w:lang w:val="en-GB"/>
              </w:rPr>
            </w:pPr>
            <w:r w:rsidRPr="00D02F83">
              <w:rPr>
                <w:rFonts w:eastAsia="Times New Roman"/>
                <w:sz w:val="22"/>
                <w:lang w:val="en-GB"/>
              </w:rPr>
              <w:t>47</w:t>
            </w:r>
            <w:r>
              <w:rPr>
                <w:rFonts w:eastAsia="Times New Roman"/>
                <w:sz w:val="22"/>
                <w:lang w:val="en-GB"/>
              </w:rPr>
              <w:t>,</w:t>
            </w:r>
            <w:r w:rsidRPr="00D02F83">
              <w:rPr>
                <w:rFonts w:eastAsia="Times New Roman"/>
                <w:sz w:val="22"/>
                <w:lang w:val="en-GB"/>
              </w:rPr>
              <w:t>1%</w:t>
            </w:r>
          </w:p>
        </w:tc>
        <w:tc>
          <w:tcPr>
            <w:tcW w:w="1005" w:type="pct"/>
          </w:tcPr>
          <w:p w14:paraId="178ADAC6" w14:textId="77777777" w:rsidR="00B067C6" w:rsidRPr="00D02F83" w:rsidRDefault="00615769" w:rsidP="00486179">
            <w:pPr>
              <w:keepNext/>
              <w:tabs>
                <w:tab w:val="left" w:pos="562"/>
              </w:tabs>
              <w:suppressAutoHyphens/>
              <w:jc w:val="center"/>
              <w:rPr>
                <w:rFonts w:eastAsia="Times New Roman"/>
                <w:sz w:val="22"/>
                <w:lang w:val="en-GB"/>
              </w:rPr>
            </w:pPr>
            <w:r w:rsidRPr="00D02F83">
              <w:rPr>
                <w:rFonts w:eastAsia="Times New Roman"/>
                <w:sz w:val="22"/>
                <w:lang w:val="en-GB"/>
              </w:rPr>
              <w:t>70</w:t>
            </w:r>
            <w:r>
              <w:rPr>
                <w:rFonts w:eastAsia="Times New Roman"/>
                <w:sz w:val="22"/>
                <w:lang w:val="en-GB"/>
              </w:rPr>
              <w:t>,</w:t>
            </w:r>
            <w:r w:rsidRPr="00D02F83">
              <w:rPr>
                <w:rFonts w:eastAsia="Times New Roman"/>
                <w:sz w:val="22"/>
                <w:lang w:val="en-GB"/>
              </w:rPr>
              <w:t>4%***</w:t>
            </w:r>
          </w:p>
        </w:tc>
      </w:tr>
      <w:tr w:rsidR="00A7162A" w14:paraId="6C0CD91B" w14:textId="77777777" w:rsidTr="005C6FE0">
        <w:trPr>
          <w:jc w:val="center"/>
        </w:trPr>
        <w:tc>
          <w:tcPr>
            <w:tcW w:w="3067" w:type="pct"/>
          </w:tcPr>
          <w:p w14:paraId="6A32E1B3" w14:textId="77777777" w:rsidR="00B067C6" w:rsidRPr="00D02F83" w:rsidRDefault="00615769" w:rsidP="00486179">
            <w:pPr>
              <w:keepNext/>
              <w:tabs>
                <w:tab w:val="left" w:pos="562"/>
              </w:tabs>
              <w:suppressAutoHyphens/>
              <w:rPr>
                <w:rFonts w:eastAsia="Times New Roman"/>
                <w:sz w:val="22"/>
                <w:lang w:val="en-GB"/>
              </w:rPr>
            </w:pPr>
            <w:r w:rsidRPr="00D02F83">
              <w:rPr>
                <w:rFonts w:eastAsia="Times New Roman"/>
                <w:sz w:val="22"/>
                <w:lang w:val="en-GB"/>
              </w:rPr>
              <w:t>ASAS</w:t>
            </w:r>
            <w:r w:rsidRPr="00D02F83">
              <w:rPr>
                <w:rFonts w:eastAsia="Times New Roman"/>
                <w:sz w:val="22"/>
                <w:vertAlign w:val="superscript"/>
                <w:lang w:val="en-GB"/>
              </w:rPr>
              <w:t>a,b</w:t>
            </w:r>
            <w:r w:rsidRPr="00D02F83">
              <w:rPr>
                <w:rFonts w:eastAsia="Times New Roman"/>
                <w:sz w:val="22"/>
                <w:lang w:val="en-GB"/>
              </w:rPr>
              <w:t xml:space="preserve"> 40</w:t>
            </w:r>
          </w:p>
        </w:tc>
        <w:tc>
          <w:tcPr>
            <w:tcW w:w="928" w:type="pct"/>
          </w:tcPr>
          <w:p w14:paraId="3D0979AD" w14:textId="77777777" w:rsidR="00B067C6" w:rsidRPr="00D02F83" w:rsidRDefault="00615769" w:rsidP="00486179">
            <w:pPr>
              <w:keepNext/>
              <w:tabs>
                <w:tab w:val="left" w:pos="562"/>
              </w:tabs>
              <w:suppressAutoHyphens/>
              <w:jc w:val="center"/>
              <w:rPr>
                <w:rFonts w:eastAsia="Times New Roman"/>
                <w:sz w:val="22"/>
                <w:lang w:val="en-GB"/>
              </w:rPr>
            </w:pPr>
            <w:r w:rsidRPr="00D02F83">
              <w:rPr>
                <w:rFonts w:eastAsia="Times New Roman"/>
                <w:sz w:val="22"/>
                <w:lang w:val="en-GB"/>
              </w:rPr>
              <w:t>45</w:t>
            </w:r>
            <w:r>
              <w:rPr>
                <w:rFonts w:eastAsia="Times New Roman"/>
                <w:sz w:val="22"/>
                <w:lang w:val="en-GB"/>
              </w:rPr>
              <w:t>,</w:t>
            </w:r>
            <w:r w:rsidRPr="00D02F83">
              <w:rPr>
                <w:rFonts w:eastAsia="Times New Roman"/>
                <w:sz w:val="22"/>
                <w:lang w:val="en-GB"/>
              </w:rPr>
              <w:t>8%</w:t>
            </w:r>
          </w:p>
        </w:tc>
        <w:tc>
          <w:tcPr>
            <w:tcW w:w="1005" w:type="pct"/>
          </w:tcPr>
          <w:p w14:paraId="2F8DC009" w14:textId="77777777" w:rsidR="00B067C6" w:rsidRPr="00D02F83" w:rsidRDefault="00615769" w:rsidP="00486179">
            <w:pPr>
              <w:keepNext/>
              <w:tabs>
                <w:tab w:val="left" w:pos="562"/>
              </w:tabs>
              <w:suppressAutoHyphens/>
              <w:jc w:val="center"/>
              <w:rPr>
                <w:rFonts w:eastAsia="Times New Roman"/>
                <w:sz w:val="22"/>
                <w:lang w:val="en-GB"/>
              </w:rPr>
            </w:pPr>
            <w:r w:rsidRPr="00D02F83">
              <w:rPr>
                <w:rFonts w:eastAsia="Times New Roman"/>
                <w:sz w:val="22"/>
                <w:lang w:val="en-GB"/>
              </w:rPr>
              <w:t>65</w:t>
            </w:r>
            <w:r>
              <w:rPr>
                <w:rFonts w:eastAsia="Times New Roman"/>
                <w:sz w:val="22"/>
                <w:lang w:val="en-GB"/>
              </w:rPr>
              <w:t>,</w:t>
            </w:r>
            <w:r w:rsidRPr="00D02F83">
              <w:rPr>
                <w:rFonts w:eastAsia="Times New Roman"/>
                <w:sz w:val="22"/>
                <w:lang w:val="en-GB"/>
              </w:rPr>
              <w:t>8%***</w:t>
            </w:r>
          </w:p>
        </w:tc>
      </w:tr>
      <w:tr w:rsidR="00A7162A" w14:paraId="10798969" w14:textId="77777777" w:rsidTr="005C6FE0">
        <w:trPr>
          <w:jc w:val="center"/>
        </w:trPr>
        <w:tc>
          <w:tcPr>
            <w:tcW w:w="3067" w:type="pct"/>
          </w:tcPr>
          <w:p w14:paraId="43F1D7B8" w14:textId="77777777" w:rsidR="00B067C6" w:rsidRPr="00D02F83" w:rsidRDefault="00615769" w:rsidP="00486179">
            <w:pPr>
              <w:keepNext/>
              <w:tabs>
                <w:tab w:val="left" w:pos="562"/>
              </w:tabs>
              <w:suppressAutoHyphens/>
              <w:rPr>
                <w:rFonts w:eastAsia="Times New Roman"/>
                <w:sz w:val="22"/>
                <w:lang w:val="en-GB"/>
              </w:rPr>
            </w:pPr>
            <w:r w:rsidRPr="00D02F83">
              <w:rPr>
                <w:rFonts w:eastAsia="Times New Roman"/>
                <w:sz w:val="22"/>
                <w:lang w:val="en-GB"/>
              </w:rPr>
              <w:t>ASAS</w:t>
            </w:r>
            <w:r w:rsidRPr="00D02F83">
              <w:rPr>
                <w:rFonts w:eastAsia="Times New Roman"/>
                <w:sz w:val="22"/>
                <w:vertAlign w:val="superscript"/>
                <w:lang w:val="en-GB"/>
              </w:rPr>
              <w:t>a</w:t>
            </w:r>
            <w:r w:rsidRPr="00D02F83">
              <w:rPr>
                <w:rFonts w:eastAsia="Times New Roman"/>
                <w:sz w:val="22"/>
                <w:lang w:val="en-GB"/>
              </w:rPr>
              <w:t xml:space="preserve"> </w:t>
            </w:r>
            <w:r>
              <w:rPr>
                <w:rFonts w:eastAsia="Times New Roman"/>
                <w:sz w:val="22"/>
                <w:lang w:val="en-GB"/>
              </w:rPr>
              <w:t>Remissão Parcial</w:t>
            </w:r>
          </w:p>
        </w:tc>
        <w:tc>
          <w:tcPr>
            <w:tcW w:w="928" w:type="pct"/>
          </w:tcPr>
          <w:p w14:paraId="2FED91E0" w14:textId="77777777" w:rsidR="00B067C6" w:rsidRPr="00D02F83" w:rsidRDefault="00615769" w:rsidP="00486179">
            <w:pPr>
              <w:keepNext/>
              <w:tabs>
                <w:tab w:val="left" w:pos="562"/>
              </w:tabs>
              <w:suppressAutoHyphens/>
              <w:jc w:val="center"/>
              <w:rPr>
                <w:rFonts w:eastAsia="Times New Roman"/>
                <w:sz w:val="22"/>
                <w:lang w:val="en-GB"/>
              </w:rPr>
            </w:pPr>
            <w:r>
              <w:rPr>
                <w:rFonts w:eastAsia="Times New Roman"/>
                <w:sz w:val="22"/>
                <w:lang w:val="en-GB"/>
              </w:rPr>
              <w:t>26,</w:t>
            </w:r>
            <w:r w:rsidRPr="00D02F83">
              <w:rPr>
                <w:rFonts w:eastAsia="Times New Roman"/>
                <w:sz w:val="22"/>
                <w:lang w:val="en-GB"/>
              </w:rPr>
              <w:t>8%</w:t>
            </w:r>
          </w:p>
        </w:tc>
        <w:tc>
          <w:tcPr>
            <w:tcW w:w="1005" w:type="pct"/>
          </w:tcPr>
          <w:p w14:paraId="480204A8" w14:textId="77777777" w:rsidR="00B067C6" w:rsidRPr="00D02F83" w:rsidRDefault="00615769" w:rsidP="00486179">
            <w:pPr>
              <w:keepNext/>
              <w:tabs>
                <w:tab w:val="left" w:pos="562"/>
              </w:tabs>
              <w:suppressAutoHyphens/>
              <w:jc w:val="center"/>
              <w:rPr>
                <w:rFonts w:eastAsia="Times New Roman"/>
                <w:sz w:val="22"/>
                <w:lang w:val="en-GB"/>
              </w:rPr>
            </w:pPr>
            <w:r w:rsidRPr="00D02F83">
              <w:rPr>
                <w:rFonts w:eastAsia="Times New Roman"/>
                <w:sz w:val="22"/>
                <w:lang w:val="en-GB"/>
              </w:rPr>
              <w:t>42</w:t>
            </w:r>
            <w:r>
              <w:rPr>
                <w:rFonts w:eastAsia="Times New Roman"/>
                <w:sz w:val="22"/>
                <w:lang w:val="en-GB"/>
              </w:rPr>
              <w:t>,</w:t>
            </w:r>
            <w:r w:rsidRPr="00D02F83">
              <w:rPr>
                <w:rFonts w:eastAsia="Times New Roman"/>
                <w:sz w:val="22"/>
                <w:lang w:val="en-GB"/>
              </w:rPr>
              <w:t>1%**</w:t>
            </w:r>
          </w:p>
        </w:tc>
      </w:tr>
      <w:tr w:rsidR="00A7162A" w14:paraId="2D348D58" w14:textId="77777777" w:rsidTr="005C6FE0">
        <w:trPr>
          <w:jc w:val="center"/>
        </w:trPr>
        <w:tc>
          <w:tcPr>
            <w:tcW w:w="3067" w:type="pct"/>
          </w:tcPr>
          <w:p w14:paraId="21993599" w14:textId="77777777" w:rsidR="00B067C6" w:rsidRPr="00D02F83" w:rsidRDefault="00615769" w:rsidP="00486179">
            <w:pPr>
              <w:keepNext/>
              <w:tabs>
                <w:tab w:val="left" w:pos="562"/>
              </w:tabs>
              <w:suppressAutoHyphens/>
              <w:rPr>
                <w:rFonts w:eastAsia="Times New Roman"/>
                <w:sz w:val="22"/>
                <w:lang w:val="en-GB"/>
              </w:rPr>
            </w:pPr>
            <w:r w:rsidRPr="00D02F83">
              <w:rPr>
                <w:rFonts w:eastAsia="Times New Roman"/>
                <w:sz w:val="22"/>
                <w:lang w:val="en-GB"/>
              </w:rPr>
              <w:t>ASDAS</w:t>
            </w:r>
            <w:r w:rsidRPr="00D02F83">
              <w:rPr>
                <w:rFonts w:eastAsia="Times New Roman"/>
                <w:sz w:val="22"/>
                <w:vertAlign w:val="superscript"/>
                <w:lang w:val="en-GB"/>
              </w:rPr>
              <w:t>c</w:t>
            </w:r>
            <w:r w:rsidRPr="00D02F83">
              <w:rPr>
                <w:rFonts w:eastAsia="Times New Roman"/>
                <w:sz w:val="22"/>
                <w:lang w:val="en-GB"/>
              </w:rPr>
              <w:t xml:space="preserve"> </w:t>
            </w:r>
            <w:r>
              <w:rPr>
                <w:rFonts w:eastAsia="Times New Roman"/>
                <w:sz w:val="22"/>
                <w:lang w:val="en-GB"/>
              </w:rPr>
              <w:t>Doença Inativa</w:t>
            </w:r>
          </w:p>
        </w:tc>
        <w:tc>
          <w:tcPr>
            <w:tcW w:w="928" w:type="pct"/>
          </w:tcPr>
          <w:p w14:paraId="0DA9E7C1" w14:textId="77777777" w:rsidR="00B067C6" w:rsidRPr="00D02F83" w:rsidRDefault="00615769" w:rsidP="00486179">
            <w:pPr>
              <w:keepNext/>
              <w:tabs>
                <w:tab w:val="left" w:pos="562"/>
              </w:tabs>
              <w:suppressAutoHyphens/>
              <w:jc w:val="center"/>
              <w:rPr>
                <w:rFonts w:eastAsia="Times New Roman"/>
                <w:sz w:val="22"/>
                <w:lang w:val="en-GB"/>
              </w:rPr>
            </w:pPr>
            <w:r w:rsidRPr="00D02F83">
              <w:rPr>
                <w:rFonts w:eastAsia="Times New Roman"/>
                <w:sz w:val="22"/>
                <w:lang w:val="en-GB"/>
              </w:rPr>
              <w:t>33</w:t>
            </w:r>
            <w:r>
              <w:rPr>
                <w:rFonts w:eastAsia="Times New Roman"/>
                <w:sz w:val="22"/>
                <w:lang w:val="en-GB"/>
              </w:rPr>
              <w:t>,</w:t>
            </w:r>
            <w:r w:rsidRPr="00D02F83">
              <w:rPr>
                <w:rFonts w:eastAsia="Times New Roman"/>
                <w:sz w:val="22"/>
                <w:lang w:val="en-GB"/>
              </w:rPr>
              <w:t>3%</w:t>
            </w:r>
          </w:p>
        </w:tc>
        <w:tc>
          <w:tcPr>
            <w:tcW w:w="1005" w:type="pct"/>
          </w:tcPr>
          <w:p w14:paraId="4A2CA14B" w14:textId="77777777" w:rsidR="00B067C6" w:rsidRPr="00D02F83" w:rsidRDefault="00615769" w:rsidP="00486179">
            <w:pPr>
              <w:keepNext/>
              <w:tabs>
                <w:tab w:val="left" w:pos="562"/>
              </w:tabs>
              <w:suppressAutoHyphens/>
              <w:jc w:val="center"/>
              <w:rPr>
                <w:rFonts w:eastAsia="Times New Roman"/>
                <w:sz w:val="22"/>
                <w:lang w:val="en-GB"/>
              </w:rPr>
            </w:pPr>
            <w:r w:rsidRPr="00D02F83">
              <w:rPr>
                <w:rFonts w:eastAsia="Times New Roman"/>
                <w:sz w:val="22"/>
                <w:lang w:val="en-GB"/>
              </w:rPr>
              <w:t>57</w:t>
            </w:r>
            <w:r>
              <w:rPr>
                <w:rFonts w:eastAsia="Times New Roman"/>
                <w:sz w:val="22"/>
                <w:lang w:val="en-GB"/>
              </w:rPr>
              <w:t>,</w:t>
            </w:r>
            <w:r w:rsidRPr="00D02F83">
              <w:rPr>
                <w:rFonts w:eastAsia="Times New Roman"/>
                <w:sz w:val="22"/>
                <w:lang w:val="en-GB"/>
              </w:rPr>
              <w:t>2%***</w:t>
            </w:r>
          </w:p>
        </w:tc>
      </w:tr>
      <w:tr w:rsidR="00A7162A" w14:paraId="790A5772" w14:textId="77777777" w:rsidTr="005C6FE0">
        <w:trPr>
          <w:jc w:val="center"/>
        </w:trPr>
        <w:tc>
          <w:tcPr>
            <w:tcW w:w="3067" w:type="pct"/>
          </w:tcPr>
          <w:p w14:paraId="541F2D4D" w14:textId="77777777" w:rsidR="00B067C6" w:rsidRPr="00D02F83" w:rsidRDefault="00615769" w:rsidP="00486179">
            <w:pPr>
              <w:keepNext/>
              <w:tabs>
                <w:tab w:val="left" w:pos="562"/>
              </w:tabs>
              <w:suppressAutoHyphens/>
              <w:rPr>
                <w:rFonts w:eastAsia="Times New Roman"/>
                <w:sz w:val="22"/>
                <w:lang w:val="en-GB"/>
              </w:rPr>
            </w:pPr>
            <w:r>
              <w:rPr>
                <w:rFonts w:eastAsia="Times New Roman"/>
                <w:sz w:val="22"/>
                <w:lang w:val="en-GB"/>
              </w:rPr>
              <w:t>Agravamento Parcial</w:t>
            </w:r>
            <w:r w:rsidRPr="00D02F83">
              <w:rPr>
                <w:rFonts w:eastAsia="Times New Roman"/>
                <w:sz w:val="22"/>
                <w:szCs w:val="22"/>
                <w:vertAlign w:val="superscript"/>
                <w:lang w:val="en-GB"/>
              </w:rPr>
              <w:t>d</w:t>
            </w:r>
          </w:p>
        </w:tc>
        <w:tc>
          <w:tcPr>
            <w:tcW w:w="928" w:type="pct"/>
          </w:tcPr>
          <w:p w14:paraId="4B19D5FD" w14:textId="77777777" w:rsidR="00B067C6" w:rsidRPr="00D02F83" w:rsidRDefault="00615769" w:rsidP="00486179">
            <w:pPr>
              <w:keepNext/>
              <w:tabs>
                <w:tab w:val="left" w:pos="562"/>
              </w:tabs>
              <w:suppressAutoHyphens/>
              <w:jc w:val="center"/>
              <w:rPr>
                <w:rFonts w:eastAsia="Times New Roman"/>
                <w:sz w:val="22"/>
                <w:lang w:val="en-GB"/>
              </w:rPr>
            </w:pPr>
            <w:r w:rsidRPr="00D02F83">
              <w:rPr>
                <w:rFonts w:eastAsia="Times New Roman"/>
                <w:sz w:val="22"/>
                <w:lang w:val="en-GB"/>
              </w:rPr>
              <w:t>64</w:t>
            </w:r>
            <w:r>
              <w:rPr>
                <w:rFonts w:eastAsia="Times New Roman"/>
                <w:sz w:val="22"/>
                <w:lang w:val="en-GB"/>
              </w:rPr>
              <w:t>,</w:t>
            </w:r>
            <w:r w:rsidRPr="00D02F83">
              <w:rPr>
                <w:rFonts w:eastAsia="Times New Roman"/>
                <w:sz w:val="22"/>
                <w:lang w:val="en-GB"/>
              </w:rPr>
              <w:t>1%</w:t>
            </w:r>
          </w:p>
        </w:tc>
        <w:tc>
          <w:tcPr>
            <w:tcW w:w="1005" w:type="pct"/>
          </w:tcPr>
          <w:p w14:paraId="39331DC8" w14:textId="77777777" w:rsidR="00B067C6" w:rsidRPr="00D02F83" w:rsidRDefault="00615769" w:rsidP="00486179">
            <w:pPr>
              <w:keepNext/>
              <w:tabs>
                <w:tab w:val="left" w:pos="562"/>
              </w:tabs>
              <w:suppressAutoHyphens/>
              <w:jc w:val="center"/>
              <w:rPr>
                <w:rFonts w:eastAsia="Times New Roman"/>
                <w:sz w:val="22"/>
                <w:lang w:val="en-GB"/>
              </w:rPr>
            </w:pPr>
            <w:r w:rsidRPr="00D02F83">
              <w:rPr>
                <w:rFonts w:eastAsia="Times New Roman"/>
                <w:sz w:val="22"/>
                <w:lang w:val="en-GB"/>
              </w:rPr>
              <w:t>40</w:t>
            </w:r>
            <w:r>
              <w:rPr>
                <w:rFonts w:eastAsia="Times New Roman"/>
                <w:sz w:val="22"/>
                <w:lang w:val="en-GB"/>
              </w:rPr>
              <w:t>,</w:t>
            </w:r>
            <w:r w:rsidRPr="00D02F83">
              <w:rPr>
                <w:rFonts w:eastAsia="Times New Roman"/>
                <w:sz w:val="22"/>
                <w:lang w:val="en-GB"/>
              </w:rPr>
              <w:t>8%***</w:t>
            </w:r>
          </w:p>
        </w:tc>
      </w:tr>
      <w:tr w:rsidR="00A7162A" w14:paraId="30F26659" w14:textId="77777777" w:rsidTr="005C6FE0">
        <w:trPr>
          <w:jc w:val="center"/>
        </w:trPr>
        <w:tc>
          <w:tcPr>
            <w:tcW w:w="5000" w:type="pct"/>
            <w:gridSpan w:val="3"/>
            <w:tcBorders>
              <w:left w:val="nil"/>
              <w:bottom w:val="nil"/>
              <w:right w:val="nil"/>
            </w:tcBorders>
          </w:tcPr>
          <w:p w14:paraId="1CC9AFCB" w14:textId="77777777" w:rsidR="00B067C6" w:rsidRPr="00DF02FD" w:rsidRDefault="00615769" w:rsidP="00486179">
            <w:pPr>
              <w:keepNext/>
              <w:autoSpaceDE w:val="0"/>
              <w:autoSpaceDN w:val="0"/>
              <w:adjustRightInd w:val="0"/>
              <w:rPr>
                <w:rFonts w:eastAsia="Times New Roman"/>
                <w:i/>
                <w:sz w:val="22"/>
                <w:szCs w:val="22"/>
                <w:lang w:val="en-GB"/>
              </w:rPr>
            </w:pPr>
            <w:r w:rsidRPr="00D02F83">
              <w:rPr>
                <w:rFonts w:eastAsia="Times New Roman"/>
                <w:sz w:val="22"/>
                <w:szCs w:val="22"/>
                <w:vertAlign w:val="superscript"/>
                <w:lang w:val="en-GB"/>
              </w:rPr>
              <w:t>a</w:t>
            </w:r>
            <w:r w:rsidRPr="00D02F83">
              <w:rPr>
                <w:rFonts w:eastAsia="Times New Roman"/>
                <w:sz w:val="22"/>
                <w:szCs w:val="22"/>
                <w:lang w:val="en-GB"/>
              </w:rPr>
              <w:t xml:space="preserve"> </w:t>
            </w:r>
            <w:r w:rsidRPr="00DF02FD">
              <w:rPr>
                <w:rFonts w:eastAsia="Times New Roman"/>
                <w:i/>
                <w:sz w:val="22"/>
                <w:szCs w:val="22"/>
                <w:lang w:val="en-GB"/>
              </w:rPr>
              <w:t>Assessment of SpondyloArthritis international Society</w:t>
            </w:r>
          </w:p>
          <w:p w14:paraId="0069D07F" w14:textId="77777777" w:rsidR="00B067C6" w:rsidRPr="00DF02FD" w:rsidRDefault="00615769" w:rsidP="00486179">
            <w:pPr>
              <w:keepNext/>
              <w:tabs>
                <w:tab w:val="left" w:pos="562"/>
              </w:tabs>
              <w:suppressAutoHyphens/>
              <w:ind w:left="20"/>
              <w:rPr>
                <w:rFonts w:eastAsia="Times New Roman"/>
                <w:sz w:val="22"/>
                <w:szCs w:val="22"/>
                <w:vertAlign w:val="superscript"/>
              </w:rPr>
            </w:pPr>
            <w:r w:rsidRPr="00DF02FD">
              <w:rPr>
                <w:rFonts w:eastAsia="Times New Roman"/>
                <w:sz w:val="22"/>
                <w:szCs w:val="22"/>
                <w:vertAlign w:val="superscript"/>
              </w:rPr>
              <w:t>b</w:t>
            </w:r>
            <w:r w:rsidRPr="00DF02FD">
              <w:rPr>
                <w:rFonts w:eastAsia="Times New Roman"/>
                <w:sz w:val="22"/>
                <w:szCs w:val="22"/>
              </w:rPr>
              <w:t xml:space="preserve"> A avaliação inicial é definida como </w:t>
            </w:r>
            <w:r>
              <w:rPr>
                <w:rFonts w:eastAsia="Times New Roman"/>
                <w:sz w:val="22"/>
                <w:szCs w:val="22"/>
              </w:rPr>
              <w:t xml:space="preserve">a </w:t>
            </w:r>
            <w:r w:rsidRPr="00DF02FD">
              <w:rPr>
                <w:rFonts w:eastAsia="Times New Roman"/>
                <w:sz w:val="22"/>
                <w:szCs w:val="22"/>
              </w:rPr>
              <w:t>avaliação inicial em fase aberta quando o</w:t>
            </w:r>
            <w:r w:rsidR="00B606DA">
              <w:rPr>
                <w:rFonts w:eastAsia="Times New Roman"/>
                <w:sz w:val="22"/>
                <w:szCs w:val="22"/>
              </w:rPr>
              <w:t>s</w:t>
            </w:r>
            <w:r w:rsidRPr="00DF02FD">
              <w:rPr>
                <w:rFonts w:eastAsia="Times New Roman"/>
                <w:sz w:val="22"/>
                <w:szCs w:val="22"/>
              </w:rPr>
              <w:t xml:space="preserve"> doente</w:t>
            </w:r>
            <w:r w:rsidR="00B606DA">
              <w:rPr>
                <w:rFonts w:eastAsia="Times New Roman"/>
                <w:sz w:val="22"/>
                <w:szCs w:val="22"/>
              </w:rPr>
              <w:t>s</w:t>
            </w:r>
            <w:r w:rsidRPr="00DF02FD">
              <w:rPr>
                <w:rFonts w:eastAsia="Times New Roman"/>
                <w:sz w:val="22"/>
                <w:szCs w:val="22"/>
              </w:rPr>
              <w:t xml:space="preserve"> t</w:t>
            </w:r>
            <w:r w:rsidR="00B606DA">
              <w:rPr>
                <w:rFonts w:eastAsia="Times New Roman"/>
                <w:sz w:val="22"/>
                <w:szCs w:val="22"/>
              </w:rPr>
              <w:t>ê</w:t>
            </w:r>
            <w:r w:rsidRPr="00DF02FD">
              <w:rPr>
                <w:rFonts w:eastAsia="Times New Roman"/>
                <w:sz w:val="22"/>
                <w:szCs w:val="22"/>
              </w:rPr>
              <w:t>m doença ativa</w:t>
            </w:r>
            <w:r>
              <w:rPr>
                <w:rFonts w:eastAsia="Times New Roman"/>
                <w:sz w:val="22"/>
                <w:szCs w:val="22"/>
              </w:rPr>
              <w:t>.</w:t>
            </w:r>
          </w:p>
          <w:p w14:paraId="76705221" w14:textId="77777777" w:rsidR="00B067C6" w:rsidRPr="00D02F83" w:rsidRDefault="00615769" w:rsidP="00486179">
            <w:pPr>
              <w:keepNext/>
              <w:tabs>
                <w:tab w:val="left" w:pos="562"/>
              </w:tabs>
              <w:suppressAutoHyphens/>
              <w:ind w:left="20"/>
              <w:rPr>
                <w:rFonts w:eastAsia="Times New Roman"/>
                <w:sz w:val="22"/>
                <w:szCs w:val="22"/>
                <w:vertAlign w:val="superscript"/>
                <w:lang w:val="en-GB"/>
              </w:rPr>
            </w:pPr>
            <w:r w:rsidRPr="00D02F83">
              <w:rPr>
                <w:rFonts w:eastAsia="Times New Roman"/>
                <w:sz w:val="22"/>
                <w:szCs w:val="22"/>
                <w:vertAlign w:val="superscript"/>
                <w:lang w:val="en-GB"/>
              </w:rPr>
              <w:t>c</w:t>
            </w:r>
            <w:r w:rsidRPr="00D02F83">
              <w:rPr>
                <w:rFonts w:eastAsia="Times New Roman"/>
                <w:sz w:val="22"/>
                <w:szCs w:val="22"/>
                <w:lang w:val="en-GB"/>
              </w:rPr>
              <w:t xml:space="preserve"> </w:t>
            </w:r>
            <w:r w:rsidRPr="00DF02FD">
              <w:rPr>
                <w:rFonts w:eastAsia="Times New Roman"/>
                <w:i/>
                <w:sz w:val="22"/>
                <w:szCs w:val="22"/>
                <w:lang w:val="en-GB"/>
              </w:rPr>
              <w:t>Ankylosing Spondylitis Disease Activity Score</w:t>
            </w:r>
          </w:p>
          <w:p w14:paraId="4E0BAC75" w14:textId="77777777" w:rsidR="00B067C6" w:rsidRPr="00DF02FD" w:rsidRDefault="00615769" w:rsidP="00486179">
            <w:pPr>
              <w:keepNext/>
              <w:autoSpaceDE w:val="0"/>
              <w:autoSpaceDN w:val="0"/>
              <w:adjustRightInd w:val="0"/>
              <w:rPr>
                <w:rFonts w:eastAsia="Times New Roman"/>
                <w:sz w:val="22"/>
                <w:szCs w:val="22"/>
              </w:rPr>
            </w:pPr>
            <w:r w:rsidRPr="00DF02FD">
              <w:rPr>
                <w:rFonts w:eastAsia="Times New Roman"/>
                <w:sz w:val="22"/>
                <w:szCs w:val="22"/>
                <w:vertAlign w:val="superscript"/>
              </w:rPr>
              <w:t>d</w:t>
            </w:r>
            <w:r w:rsidRPr="00DF02FD">
              <w:rPr>
                <w:rFonts w:eastAsia="Times New Roman"/>
                <w:sz w:val="22"/>
                <w:szCs w:val="22"/>
              </w:rPr>
              <w:t xml:space="preserve"> O agravamento parcial é definido </w:t>
            </w:r>
            <w:r w:rsidR="00B606DA">
              <w:rPr>
                <w:rFonts w:eastAsia="Times New Roman"/>
                <w:sz w:val="22"/>
                <w:szCs w:val="22"/>
              </w:rPr>
              <w:t>como</w:t>
            </w:r>
            <w:r w:rsidRPr="00DF02FD">
              <w:rPr>
                <w:rFonts w:eastAsia="Times New Roman"/>
                <w:sz w:val="22"/>
                <w:szCs w:val="22"/>
              </w:rPr>
              <w:t xml:space="preserve"> </w:t>
            </w:r>
            <w:r w:rsidRPr="00DF02FD">
              <w:rPr>
                <w:rFonts w:eastAsiaTheme="minorHAnsi"/>
                <w:sz w:val="22"/>
                <w:szCs w:val="22"/>
              </w:rPr>
              <w:t xml:space="preserve">ASDAS ≥ 1,3 </w:t>
            </w:r>
            <w:r>
              <w:rPr>
                <w:rFonts w:eastAsiaTheme="minorHAnsi"/>
                <w:sz w:val="22"/>
                <w:szCs w:val="22"/>
              </w:rPr>
              <w:t>mas</w:t>
            </w:r>
            <w:r w:rsidRPr="00DF02FD">
              <w:rPr>
                <w:rFonts w:eastAsiaTheme="minorHAnsi"/>
                <w:sz w:val="22"/>
                <w:szCs w:val="22"/>
              </w:rPr>
              <w:t xml:space="preserve"> &lt; 2</w:t>
            </w:r>
            <w:r>
              <w:rPr>
                <w:rFonts w:eastAsiaTheme="minorHAnsi"/>
                <w:sz w:val="22"/>
                <w:szCs w:val="22"/>
              </w:rPr>
              <w:t>,</w:t>
            </w:r>
            <w:r w:rsidRPr="00DF02FD">
              <w:rPr>
                <w:rFonts w:eastAsiaTheme="minorHAnsi"/>
                <w:sz w:val="22"/>
                <w:szCs w:val="22"/>
              </w:rPr>
              <w:t xml:space="preserve">1 </w:t>
            </w:r>
            <w:r>
              <w:rPr>
                <w:rFonts w:eastAsiaTheme="minorHAnsi"/>
                <w:sz w:val="22"/>
                <w:szCs w:val="22"/>
              </w:rPr>
              <w:t>em 2 visitas consecutivas</w:t>
            </w:r>
            <w:r w:rsidRPr="00DF02FD">
              <w:rPr>
                <w:rFonts w:eastAsiaTheme="minorHAnsi"/>
                <w:sz w:val="22"/>
                <w:szCs w:val="22"/>
              </w:rPr>
              <w:t>.</w:t>
            </w:r>
          </w:p>
          <w:p w14:paraId="30E3DF18" w14:textId="77777777" w:rsidR="00B067C6" w:rsidRPr="00DF02FD" w:rsidRDefault="00615769" w:rsidP="00486179">
            <w:pPr>
              <w:pStyle w:val="EMEANormal"/>
              <w:keepNext/>
              <w:ind w:left="20"/>
              <w:rPr>
                <w:rFonts w:eastAsia="Times New Roman"/>
                <w:lang w:val="pt-PT"/>
              </w:rPr>
            </w:pPr>
            <w:r w:rsidRPr="00DF02FD">
              <w:rPr>
                <w:rFonts w:eastAsia="Times New Roman"/>
                <w:szCs w:val="22"/>
                <w:lang w:val="pt-PT"/>
              </w:rPr>
              <w:t xml:space="preserve">***, **Estatisticamente significativo p &lt; 0,001 e &lt; 0,01, </w:t>
            </w:r>
            <w:r w:rsidRPr="008912CF">
              <w:rPr>
                <w:szCs w:val="22"/>
                <w:lang w:val="pt-PT"/>
              </w:rPr>
              <w:t>respetivamente, para</w:t>
            </w:r>
            <w:r>
              <w:rPr>
                <w:szCs w:val="22"/>
                <w:lang w:val="pt-PT"/>
              </w:rPr>
              <w:t xml:space="preserve"> </w:t>
            </w:r>
            <w:r w:rsidRPr="008912CF">
              <w:rPr>
                <w:szCs w:val="22"/>
                <w:lang w:val="pt-PT"/>
              </w:rPr>
              <w:t>todas as comparações entre Humira e placebo</w:t>
            </w:r>
            <w:r w:rsidRPr="00DF02FD">
              <w:rPr>
                <w:rFonts w:eastAsia="Times New Roman"/>
                <w:szCs w:val="22"/>
                <w:lang w:val="pt-PT"/>
              </w:rPr>
              <w:t>.</w:t>
            </w:r>
          </w:p>
        </w:tc>
      </w:tr>
    </w:tbl>
    <w:p w14:paraId="5E4D3ADF" w14:textId="77777777" w:rsidR="00B067C6" w:rsidRPr="008912CF" w:rsidRDefault="00B067C6" w:rsidP="004462A0">
      <w:pPr>
        <w:rPr>
          <w:sz w:val="22"/>
          <w:szCs w:val="22"/>
          <w:u w:val="single"/>
        </w:rPr>
      </w:pPr>
    </w:p>
    <w:p w14:paraId="53D87558" w14:textId="77777777" w:rsidR="004462A0" w:rsidRPr="008912CF" w:rsidRDefault="00615769" w:rsidP="004462A0">
      <w:pPr>
        <w:rPr>
          <w:sz w:val="22"/>
          <w:szCs w:val="22"/>
        </w:rPr>
      </w:pPr>
      <w:r w:rsidRPr="008912CF">
        <w:rPr>
          <w:i/>
          <w:sz w:val="22"/>
          <w:szCs w:val="22"/>
        </w:rPr>
        <w:t>Artrite psoriática</w:t>
      </w:r>
    </w:p>
    <w:p w14:paraId="321AA63C" w14:textId="77777777" w:rsidR="004462A0" w:rsidRPr="008912CF" w:rsidRDefault="004462A0" w:rsidP="004462A0">
      <w:pPr>
        <w:pStyle w:val="EMEAHeadingUnderline"/>
        <w:tabs>
          <w:tab w:val="clear" w:pos="562"/>
        </w:tabs>
        <w:suppressAutoHyphens w:val="0"/>
        <w:spacing w:before="0" w:after="0"/>
        <w:rPr>
          <w:szCs w:val="22"/>
          <w:lang w:val="pt-PT"/>
        </w:rPr>
      </w:pPr>
    </w:p>
    <w:p w14:paraId="4368098A" w14:textId="77777777" w:rsidR="004462A0" w:rsidRPr="008912CF" w:rsidRDefault="00615769" w:rsidP="004462A0">
      <w:pPr>
        <w:pStyle w:val="EMEAHeadingUnderline"/>
        <w:tabs>
          <w:tab w:val="clear" w:pos="562"/>
        </w:tabs>
        <w:suppressAutoHyphens w:val="0"/>
        <w:spacing w:before="0" w:after="0"/>
        <w:rPr>
          <w:szCs w:val="22"/>
          <w:u w:val="none"/>
          <w:lang w:val="pt-PT"/>
        </w:rPr>
      </w:pPr>
      <w:r w:rsidRPr="008912CF">
        <w:rPr>
          <w:szCs w:val="22"/>
          <w:u w:val="none"/>
          <w:lang w:val="pt-PT"/>
        </w:rPr>
        <w:t>Humira 40 mg em semanas alternadas foi estudado em doentes com artrite psoriática ativa moderada a grave em dois estudos controlados com placebo, estudos A</w:t>
      </w:r>
      <w:r w:rsidR="003E3AA9" w:rsidRPr="008912CF">
        <w:rPr>
          <w:szCs w:val="22"/>
          <w:u w:val="none"/>
          <w:lang w:val="pt-PT"/>
        </w:rPr>
        <w:t>p</w:t>
      </w:r>
      <w:r w:rsidRPr="008912CF">
        <w:rPr>
          <w:szCs w:val="22"/>
          <w:u w:val="none"/>
          <w:lang w:val="pt-PT"/>
        </w:rPr>
        <w:t>s I e II. No estudo A</w:t>
      </w:r>
      <w:r w:rsidR="003E3AA9" w:rsidRPr="008912CF">
        <w:rPr>
          <w:szCs w:val="22"/>
          <w:u w:val="none"/>
          <w:lang w:val="pt-PT"/>
        </w:rPr>
        <w:t>p</w:t>
      </w:r>
      <w:r w:rsidRPr="008912CF">
        <w:rPr>
          <w:szCs w:val="22"/>
          <w:u w:val="none"/>
          <w:lang w:val="pt-PT"/>
        </w:rPr>
        <w:t>s I com 24 semanas de duração, foram tratados 313 doentes adultos que apresentaram uma resposta inadequada a uma terapêutica anti-inflamatória não esteroide e destes, aproximadamente 50</w:t>
      </w:r>
      <w:r w:rsidR="009343EF">
        <w:rPr>
          <w:szCs w:val="22"/>
          <w:u w:val="none"/>
          <w:lang w:val="pt-PT"/>
        </w:rPr>
        <w:t>%</w:t>
      </w:r>
      <w:r w:rsidRPr="008912CF">
        <w:rPr>
          <w:szCs w:val="22"/>
          <w:u w:val="none"/>
          <w:lang w:val="pt-PT"/>
        </w:rPr>
        <w:t xml:space="preserve"> </w:t>
      </w:r>
      <w:r w:rsidR="007D25DB">
        <w:rPr>
          <w:szCs w:val="22"/>
          <w:u w:val="none"/>
          <w:lang w:val="pt-PT"/>
        </w:rPr>
        <w:t>estavam a receber</w:t>
      </w:r>
      <w:r w:rsidRPr="008912CF">
        <w:rPr>
          <w:szCs w:val="22"/>
          <w:u w:val="none"/>
          <w:lang w:val="pt-PT"/>
        </w:rPr>
        <w:t xml:space="preserve"> metotrexato. No estudo A</w:t>
      </w:r>
      <w:r w:rsidR="003E3AA9" w:rsidRPr="008912CF">
        <w:rPr>
          <w:szCs w:val="22"/>
          <w:u w:val="none"/>
          <w:lang w:val="pt-PT"/>
        </w:rPr>
        <w:t>p</w:t>
      </w:r>
      <w:r w:rsidRPr="008912CF">
        <w:rPr>
          <w:szCs w:val="22"/>
          <w:u w:val="none"/>
          <w:lang w:val="pt-PT"/>
        </w:rPr>
        <w:t>s II com 12 semanas de duração, foram tratados 100 doentes que apresentaram uma resposta inadequada a uma terapêutica com DMARD. Após conclusão dos dois estudos, Humira 40 mg foi administrado em semanas alternadas em 383 doentes envolvidos num estudo de extensão de fase aberta.</w:t>
      </w:r>
    </w:p>
    <w:p w14:paraId="0942C063" w14:textId="77777777" w:rsidR="004462A0" w:rsidRPr="008912CF" w:rsidRDefault="004462A0" w:rsidP="004462A0">
      <w:pPr>
        <w:rPr>
          <w:sz w:val="22"/>
          <w:szCs w:val="22"/>
        </w:rPr>
      </w:pPr>
    </w:p>
    <w:p w14:paraId="60DB53DB" w14:textId="77777777" w:rsidR="004462A0" w:rsidRPr="008912CF" w:rsidRDefault="00615769" w:rsidP="004462A0">
      <w:pPr>
        <w:rPr>
          <w:sz w:val="22"/>
          <w:szCs w:val="22"/>
          <w:u w:val="single"/>
        </w:rPr>
      </w:pPr>
      <w:r w:rsidRPr="008912CF">
        <w:rPr>
          <w:sz w:val="22"/>
          <w:szCs w:val="22"/>
        </w:rPr>
        <w:t>Não há evidência suficiente da eficácia de Humira em doentes com artropatia psoriática de tipo espondilite anquilosante devido ao pequeno número de doentes estudados.</w:t>
      </w:r>
    </w:p>
    <w:p w14:paraId="592CD3BF" w14:textId="77777777" w:rsidR="004462A0" w:rsidRPr="008912CF" w:rsidRDefault="004462A0" w:rsidP="004462A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1"/>
      </w:tblGrid>
      <w:tr w:rsidR="00A7162A" w14:paraId="7DA2429C" w14:textId="77777777" w:rsidTr="00F675CF">
        <w:trPr>
          <w:jc w:val="center"/>
        </w:trPr>
        <w:tc>
          <w:tcPr>
            <w:tcW w:w="9211" w:type="dxa"/>
            <w:tcBorders>
              <w:top w:val="nil"/>
              <w:left w:val="nil"/>
              <w:bottom w:val="nil"/>
              <w:right w:val="nil"/>
            </w:tcBorders>
            <w:vAlign w:val="center"/>
          </w:tcPr>
          <w:p w14:paraId="27C42267" w14:textId="77777777" w:rsidR="004462A0" w:rsidRPr="008912CF" w:rsidRDefault="00615769" w:rsidP="00F675CF">
            <w:pPr>
              <w:pStyle w:val="EMEANormal"/>
              <w:jc w:val="center"/>
              <w:rPr>
                <w:b/>
                <w:bCs/>
                <w:szCs w:val="22"/>
                <w:lang w:val="pt-PT"/>
              </w:rPr>
            </w:pPr>
            <w:r w:rsidRPr="008912CF">
              <w:rPr>
                <w:b/>
                <w:bCs/>
                <w:szCs w:val="22"/>
                <w:lang w:val="pt-PT"/>
              </w:rPr>
              <w:t xml:space="preserve">Tabela </w:t>
            </w:r>
            <w:r w:rsidR="00E60C95">
              <w:rPr>
                <w:b/>
                <w:bCs/>
                <w:szCs w:val="22"/>
                <w:lang w:val="pt-PT"/>
              </w:rPr>
              <w:t>1</w:t>
            </w:r>
            <w:r w:rsidR="00E549E4">
              <w:rPr>
                <w:b/>
                <w:bCs/>
                <w:szCs w:val="22"/>
                <w:lang w:val="pt-PT"/>
              </w:rPr>
              <w:t>5</w:t>
            </w:r>
          </w:p>
          <w:p w14:paraId="2A687EFE" w14:textId="77777777" w:rsidR="004462A0" w:rsidRPr="008912CF" w:rsidRDefault="00615769" w:rsidP="00F675CF">
            <w:pPr>
              <w:pStyle w:val="EMEANormal"/>
              <w:jc w:val="center"/>
              <w:rPr>
                <w:b/>
                <w:bCs/>
                <w:szCs w:val="22"/>
                <w:lang w:val="pt-PT"/>
              </w:rPr>
            </w:pPr>
            <w:r w:rsidRPr="008912CF">
              <w:rPr>
                <w:b/>
                <w:bCs/>
                <w:szCs w:val="22"/>
                <w:lang w:val="pt-PT"/>
              </w:rPr>
              <w:t>Respostas ACR nos Ensaios controlados com Placebo em doentes com Artrite Psoriática</w:t>
            </w:r>
          </w:p>
          <w:p w14:paraId="05DCAB3F" w14:textId="77777777" w:rsidR="004462A0" w:rsidRPr="008912CF" w:rsidRDefault="00615769" w:rsidP="00F675CF">
            <w:pPr>
              <w:pStyle w:val="EMEANormal"/>
              <w:jc w:val="center"/>
              <w:rPr>
                <w:b/>
                <w:bCs/>
                <w:szCs w:val="22"/>
                <w:lang w:val="pt-PT"/>
              </w:rPr>
            </w:pPr>
            <w:r w:rsidRPr="008912CF">
              <w:rPr>
                <w:b/>
                <w:bCs/>
                <w:szCs w:val="22"/>
                <w:lang w:val="pt-PT"/>
              </w:rPr>
              <w:t>(Percentagem de doentes)</w:t>
            </w:r>
          </w:p>
        </w:tc>
      </w:tr>
    </w:tbl>
    <w:p w14:paraId="54E259C0" w14:textId="77777777" w:rsidR="004462A0" w:rsidRPr="008912CF" w:rsidRDefault="004462A0" w:rsidP="004462A0">
      <w:pPr>
        <w:pStyle w:val="EMEANormal"/>
        <w:ind w:left="2160"/>
        <w:jc w:val="center"/>
        <w:rPr>
          <w:szCs w:val="22"/>
          <w:lang w:val="pt-PT"/>
        </w:rPr>
      </w:pPr>
    </w:p>
    <w:tbl>
      <w:tblPr>
        <w:tblW w:w="7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
        <w:gridCol w:w="1757"/>
        <w:gridCol w:w="1325"/>
        <w:gridCol w:w="1316"/>
        <w:gridCol w:w="1343"/>
        <w:gridCol w:w="1346"/>
      </w:tblGrid>
      <w:tr w:rsidR="00A7162A" w14:paraId="68440109" w14:textId="77777777" w:rsidTr="00F675CF">
        <w:trPr>
          <w:jc w:val="center"/>
        </w:trPr>
        <w:tc>
          <w:tcPr>
            <w:tcW w:w="1770" w:type="dxa"/>
            <w:gridSpan w:val="2"/>
            <w:vAlign w:val="center"/>
          </w:tcPr>
          <w:p w14:paraId="0A99F6FE" w14:textId="77777777" w:rsidR="004462A0" w:rsidRPr="008912CF" w:rsidRDefault="004462A0" w:rsidP="00F675CF">
            <w:pPr>
              <w:pStyle w:val="EMEANormal"/>
              <w:jc w:val="center"/>
              <w:rPr>
                <w:szCs w:val="22"/>
                <w:lang w:val="pt-PT"/>
              </w:rPr>
            </w:pPr>
          </w:p>
        </w:tc>
        <w:tc>
          <w:tcPr>
            <w:tcW w:w="2641" w:type="dxa"/>
            <w:gridSpan w:val="2"/>
            <w:vAlign w:val="center"/>
          </w:tcPr>
          <w:p w14:paraId="4FA51263" w14:textId="77777777" w:rsidR="004462A0" w:rsidRPr="008912CF" w:rsidRDefault="00615769" w:rsidP="00F675CF">
            <w:pPr>
              <w:pStyle w:val="EMEANormal"/>
              <w:jc w:val="center"/>
              <w:rPr>
                <w:szCs w:val="22"/>
                <w:lang w:val="pt-PT"/>
              </w:rPr>
            </w:pPr>
            <w:r w:rsidRPr="008912CF">
              <w:rPr>
                <w:szCs w:val="22"/>
                <w:lang w:val="pt-PT"/>
              </w:rPr>
              <w:t>Estudo A</w:t>
            </w:r>
            <w:r w:rsidR="003E3AA9" w:rsidRPr="008912CF">
              <w:rPr>
                <w:szCs w:val="22"/>
                <w:lang w:val="pt-PT"/>
              </w:rPr>
              <w:t>p</w:t>
            </w:r>
            <w:r w:rsidRPr="008912CF">
              <w:rPr>
                <w:szCs w:val="22"/>
                <w:lang w:val="pt-PT"/>
              </w:rPr>
              <w:t>s I</w:t>
            </w:r>
          </w:p>
        </w:tc>
        <w:tc>
          <w:tcPr>
            <w:tcW w:w="2689" w:type="dxa"/>
            <w:gridSpan w:val="2"/>
          </w:tcPr>
          <w:p w14:paraId="0ABF4EF0" w14:textId="77777777" w:rsidR="004462A0" w:rsidRPr="008912CF" w:rsidRDefault="00615769" w:rsidP="00F675CF">
            <w:pPr>
              <w:pStyle w:val="EMEANormal"/>
              <w:jc w:val="center"/>
              <w:rPr>
                <w:szCs w:val="22"/>
                <w:lang w:val="pt-PT"/>
              </w:rPr>
            </w:pPr>
            <w:r w:rsidRPr="008912CF">
              <w:rPr>
                <w:szCs w:val="22"/>
                <w:lang w:val="pt-PT"/>
              </w:rPr>
              <w:t>Estudo A</w:t>
            </w:r>
            <w:r w:rsidR="003E3AA9" w:rsidRPr="008912CF">
              <w:rPr>
                <w:szCs w:val="22"/>
                <w:lang w:val="pt-PT"/>
              </w:rPr>
              <w:t>p</w:t>
            </w:r>
            <w:r w:rsidRPr="008912CF">
              <w:rPr>
                <w:szCs w:val="22"/>
                <w:lang w:val="pt-PT"/>
              </w:rPr>
              <w:t>s II</w:t>
            </w:r>
          </w:p>
        </w:tc>
      </w:tr>
      <w:tr w:rsidR="00A7162A" w14:paraId="5C19AB98" w14:textId="77777777" w:rsidTr="00F675CF">
        <w:trPr>
          <w:jc w:val="center"/>
        </w:trPr>
        <w:tc>
          <w:tcPr>
            <w:tcW w:w="1770" w:type="dxa"/>
            <w:gridSpan w:val="2"/>
            <w:vAlign w:val="center"/>
          </w:tcPr>
          <w:p w14:paraId="13E8AAC9" w14:textId="77777777" w:rsidR="004462A0" w:rsidRPr="008912CF" w:rsidRDefault="00615769" w:rsidP="00F675CF">
            <w:pPr>
              <w:pStyle w:val="EMEANormal"/>
              <w:jc w:val="center"/>
              <w:rPr>
                <w:szCs w:val="22"/>
                <w:lang w:val="pt-PT"/>
              </w:rPr>
            </w:pPr>
            <w:r w:rsidRPr="008912CF">
              <w:rPr>
                <w:szCs w:val="22"/>
                <w:lang w:val="pt-PT"/>
              </w:rPr>
              <w:t>Resposta</w:t>
            </w:r>
          </w:p>
        </w:tc>
        <w:tc>
          <w:tcPr>
            <w:tcW w:w="1325" w:type="dxa"/>
            <w:vAlign w:val="center"/>
          </w:tcPr>
          <w:p w14:paraId="5FECA5CD" w14:textId="77777777" w:rsidR="004462A0" w:rsidRPr="008912CF" w:rsidRDefault="00615769" w:rsidP="00F675CF">
            <w:pPr>
              <w:pStyle w:val="EMEANormal"/>
              <w:jc w:val="center"/>
              <w:rPr>
                <w:szCs w:val="22"/>
                <w:lang w:val="pt-PT"/>
              </w:rPr>
            </w:pPr>
            <w:r w:rsidRPr="008912CF">
              <w:rPr>
                <w:szCs w:val="22"/>
                <w:lang w:val="pt-PT"/>
              </w:rPr>
              <w:t>Placebo</w:t>
            </w:r>
          </w:p>
          <w:p w14:paraId="14A19FF0" w14:textId="77777777" w:rsidR="004462A0" w:rsidRPr="008912CF" w:rsidRDefault="00615769" w:rsidP="00F675CF">
            <w:pPr>
              <w:pStyle w:val="EMEANormal"/>
              <w:jc w:val="center"/>
              <w:rPr>
                <w:szCs w:val="22"/>
                <w:lang w:val="pt-PT"/>
              </w:rPr>
            </w:pPr>
            <w:r w:rsidRPr="008912CF">
              <w:rPr>
                <w:szCs w:val="22"/>
                <w:lang w:val="pt-PT"/>
              </w:rPr>
              <w:t>N = 162</w:t>
            </w:r>
          </w:p>
        </w:tc>
        <w:tc>
          <w:tcPr>
            <w:tcW w:w="1316" w:type="dxa"/>
            <w:tcBorders>
              <w:right w:val="nil"/>
            </w:tcBorders>
            <w:vAlign w:val="center"/>
          </w:tcPr>
          <w:p w14:paraId="17817456" w14:textId="77777777" w:rsidR="004462A0" w:rsidRPr="008912CF" w:rsidRDefault="00615769" w:rsidP="00F675CF">
            <w:pPr>
              <w:pStyle w:val="EMEANormal"/>
              <w:jc w:val="center"/>
              <w:rPr>
                <w:szCs w:val="22"/>
                <w:lang w:val="pt-PT"/>
              </w:rPr>
            </w:pPr>
            <w:r w:rsidRPr="008912CF">
              <w:rPr>
                <w:szCs w:val="22"/>
                <w:lang w:val="pt-PT"/>
              </w:rPr>
              <w:t>Humira</w:t>
            </w:r>
          </w:p>
          <w:p w14:paraId="5C58B8EB" w14:textId="77777777" w:rsidR="004462A0" w:rsidRPr="008912CF" w:rsidRDefault="00615769" w:rsidP="00F675CF">
            <w:pPr>
              <w:pStyle w:val="EMEANormal"/>
              <w:jc w:val="center"/>
              <w:rPr>
                <w:szCs w:val="22"/>
                <w:lang w:val="pt-PT"/>
              </w:rPr>
            </w:pPr>
            <w:r w:rsidRPr="008912CF">
              <w:rPr>
                <w:szCs w:val="22"/>
                <w:lang w:val="pt-PT"/>
              </w:rPr>
              <w:t>N = 151</w:t>
            </w:r>
          </w:p>
        </w:tc>
        <w:tc>
          <w:tcPr>
            <w:tcW w:w="1343" w:type="dxa"/>
          </w:tcPr>
          <w:p w14:paraId="52BAF99E" w14:textId="77777777" w:rsidR="004462A0" w:rsidRPr="008912CF" w:rsidRDefault="00615769" w:rsidP="00F675CF">
            <w:pPr>
              <w:pStyle w:val="EMEANormal"/>
              <w:jc w:val="center"/>
              <w:rPr>
                <w:szCs w:val="22"/>
                <w:lang w:val="pt-PT"/>
              </w:rPr>
            </w:pPr>
            <w:r w:rsidRPr="008912CF">
              <w:rPr>
                <w:szCs w:val="22"/>
                <w:lang w:val="pt-PT"/>
              </w:rPr>
              <w:t>Placebo</w:t>
            </w:r>
          </w:p>
          <w:p w14:paraId="6A0711F7" w14:textId="77777777" w:rsidR="004462A0" w:rsidRPr="008912CF" w:rsidRDefault="00615769" w:rsidP="00F675CF">
            <w:pPr>
              <w:pStyle w:val="EMEANormal"/>
              <w:jc w:val="center"/>
              <w:rPr>
                <w:szCs w:val="22"/>
                <w:lang w:val="pt-PT"/>
              </w:rPr>
            </w:pPr>
            <w:r w:rsidRPr="008912CF">
              <w:rPr>
                <w:szCs w:val="22"/>
                <w:lang w:val="pt-PT"/>
              </w:rPr>
              <w:t>N = 49</w:t>
            </w:r>
          </w:p>
        </w:tc>
        <w:tc>
          <w:tcPr>
            <w:tcW w:w="1346" w:type="dxa"/>
          </w:tcPr>
          <w:p w14:paraId="2C491C54" w14:textId="77777777" w:rsidR="004462A0" w:rsidRPr="008912CF" w:rsidRDefault="00615769" w:rsidP="00F675CF">
            <w:pPr>
              <w:pStyle w:val="EMEANormal"/>
              <w:jc w:val="center"/>
              <w:rPr>
                <w:szCs w:val="22"/>
                <w:lang w:val="pt-PT"/>
              </w:rPr>
            </w:pPr>
            <w:r w:rsidRPr="008912CF">
              <w:rPr>
                <w:szCs w:val="22"/>
                <w:lang w:val="pt-PT"/>
              </w:rPr>
              <w:t>Humira</w:t>
            </w:r>
          </w:p>
          <w:p w14:paraId="0BD09610" w14:textId="77777777" w:rsidR="004462A0" w:rsidRPr="008912CF" w:rsidRDefault="00615769" w:rsidP="00F675CF">
            <w:pPr>
              <w:pStyle w:val="EMEANormal"/>
              <w:jc w:val="center"/>
              <w:rPr>
                <w:szCs w:val="22"/>
                <w:lang w:val="pt-PT"/>
              </w:rPr>
            </w:pPr>
            <w:r w:rsidRPr="008912CF">
              <w:rPr>
                <w:szCs w:val="22"/>
                <w:lang w:val="pt-PT"/>
              </w:rPr>
              <w:t>N = 51</w:t>
            </w:r>
          </w:p>
        </w:tc>
      </w:tr>
      <w:tr w:rsidR="00A7162A" w14:paraId="51A85854" w14:textId="77777777" w:rsidTr="00F675CF">
        <w:trPr>
          <w:jc w:val="center"/>
        </w:trPr>
        <w:tc>
          <w:tcPr>
            <w:tcW w:w="1770" w:type="dxa"/>
            <w:gridSpan w:val="2"/>
            <w:tcBorders>
              <w:bottom w:val="nil"/>
            </w:tcBorders>
          </w:tcPr>
          <w:p w14:paraId="5FD8C081" w14:textId="77777777" w:rsidR="004462A0" w:rsidRPr="008912CF" w:rsidRDefault="00615769" w:rsidP="00F675CF">
            <w:pPr>
              <w:pStyle w:val="EMEANormal"/>
              <w:rPr>
                <w:szCs w:val="22"/>
                <w:lang w:val="pt-PT"/>
              </w:rPr>
            </w:pPr>
            <w:r w:rsidRPr="008912CF">
              <w:rPr>
                <w:szCs w:val="22"/>
                <w:lang w:val="pt-PT"/>
              </w:rPr>
              <w:t>ACR 20</w:t>
            </w:r>
          </w:p>
        </w:tc>
        <w:tc>
          <w:tcPr>
            <w:tcW w:w="1325" w:type="dxa"/>
            <w:tcBorders>
              <w:bottom w:val="nil"/>
            </w:tcBorders>
          </w:tcPr>
          <w:p w14:paraId="195E1059" w14:textId="77777777" w:rsidR="004462A0" w:rsidRPr="008912CF" w:rsidRDefault="004462A0" w:rsidP="00F675CF">
            <w:pPr>
              <w:pStyle w:val="EMEANormal"/>
              <w:jc w:val="center"/>
              <w:rPr>
                <w:szCs w:val="22"/>
                <w:lang w:val="pt-PT"/>
              </w:rPr>
            </w:pPr>
          </w:p>
        </w:tc>
        <w:tc>
          <w:tcPr>
            <w:tcW w:w="1316" w:type="dxa"/>
            <w:tcBorders>
              <w:bottom w:val="nil"/>
              <w:right w:val="nil"/>
            </w:tcBorders>
          </w:tcPr>
          <w:p w14:paraId="48A5E6FF" w14:textId="77777777" w:rsidR="004462A0" w:rsidRPr="008912CF" w:rsidRDefault="004462A0" w:rsidP="00F675CF">
            <w:pPr>
              <w:pStyle w:val="EMEANormal"/>
              <w:jc w:val="center"/>
              <w:rPr>
                <w:szCs w:val="22"/>
                <w:lang w:val="pt-PT"/>
              </w:rPr>
            </w:pPr>
          </w:p>
        </w:tc>
        <w:tc>
          <w:tcPr>
            <w:tcW w:w="1343" w:type="dxa"/>
            <w:tcBorders>
              <w:bottom w:val="nil"/>
            </w:tcBorders>
          </w:tcPr>
          <w:p w14:paraId="1F9B951D" w14:textId="77777777" w:rsidR="004462A0" w:rsidRPr="008912CF" w:rsidRDefault="004462A0" w:rsidP="00F675CF">
            <w:pPr>
              <w:pStyle w:val="EMEANormal"/>
              <w:jc w:val="center"/>
              <w:rPr>
                <w:szCs w:val="22"/>
                <w:lang w:val="pt-PT"/>
              </w:rPr>
            </w:pPr>
          </w:p>
        </w:tc>
        <w:tc>
          <w:tcPr>
            <w:tcW w:w="1346" w:type="dxa"/>
            <w:tcBorders>
              <w:bottom w:val="nil"/>
            </w:tcBorders>
          </w:tcPr>
          <w:p w14:paraId="2EB43029" w14:textId="77777777" w:rsidR="004462A0" w:rsidRPr="008912CF" w:rsidRDefault="004462A0" w:rsidP="00F675CF">
            <w:pPr>
              <w:pStyle w:val="EMEANormal"/>
              <w:jc w:val="center"/>
              <w:rPr>
                <w:szCs w:val="22"/>
                <w:lang w:val="pt-PT"/>
              </w:rPr>
            </w:pPr>
          </w:p>
        </w:tc>
      </w:tr>
      <w:tr w:rsidR="00A7162A" w14:paraId="15AE2A6D" w14:textId="77777777" w:rsidTr="00F675CF">
        <w:trPr>
          <w:jc w:val="center"/>
        </w:trPr>
        <w:tc>
          <w:tcPr>
            <w:tcW w:w="1770" w:type="dxa"/>
            <w:gridSpan w:val="2"/>
            <w:tcBorders>
              <w:top w:val="nil"/>
              <w:bottom w:val="nil"/>
            </w:tcBorders>
          </w:tcPr>
          <w:p w14:paraId="42517AA3" w14:textId="77777777" w:rsidR="004462A0" w:rsidRPr="008912CF" w:rsidRDefault="00615769" w:rsidP="00F675CF">
            <w:pPr>
              <w:pStyle w:val="EMEANormal"/>
              <w:jc w:val="center"/>
              <w:rPr>
                <w:szCs w:val="22"/>
                <w:lang w:val="pt-PT"/>
              </w:rPr>
            </w:pPr>
            <w:r w:rsidRPr="008912CF">
              <w:rPr>
                <w:szCs w:val="22"/>
                <w:lang w:val="pt-PT"/>
              </w:rPr>
              <w:t>Semana 12</w:t>
            </w:r>
          </w:p>
        </w:tc>
        <w:tc>
          <w:tcPr>
            <w:tcW w:w="1325" w:type="dxa"/>
            <w:tcBorders>
              <w:top w:val="nil"/>
              <w:bottom w:val="nil"/>
            </w:tcBorders>
          </w:tcPr>
          <w:p w14:paraId="4ADA9D2D" w14:textId="77777777" w:rsidR="004462A0" w:rsidRPr="008912CF" w:rsidRDefault="00615769" w:rsidP="00F675CF">
            <w:pPr>
              <w:pStyle w:val="EMEANormal"/>
              <w:jc w:val="center"/>
              <w:rPr>
                <w:szCs w:val="22"/>
                <w:lang w:val="pt-PT"/>
              </w:rPr>
            </w:pPr>
            <w:r w:rsidRPr="008912CF">
              <w:rPr>
                <w:szCs w:val="22"/>
                <w:lang w:val="pt-PT"/>
              </w:rPr>
              <w:t>14</w:t>
            </w:r>
            <w:r w:rsidR="009343EF">
              <w:rPr>
                <w:szCs w:val="22"/>
                <w:lang w:val="pt-PT"/>
              </w:rPr>
              <w:t>%</w:t>
            </w:r>
          </w:p>
        </w:tc>
        <w:tc>
          <w:tcPr>
            <w:tcW w:w="1316" w:type="dxa"/>
            <w:tcBorders>
              <w:top w:val="nil"/>
              <w:bottom w:val="nil"/>
              <w:right w:val="nil"/>
            </w:tcBorders>
          </w:tcPr>
          <w:p w14:paraId="3FCC98A5" w14:textId="77777777" w:rsidR="004462A0" w:rsidRPr="008912CF" w:rsidRDefault="00615769" w:rsidP="00F675CF">
            <w:pPr>
              <w:pStyle w:val="EMEANormal"/>
              <w:jc w:val="center"/>
              <w:rPr>
                <w:szCs w:val="22"/>
                <w:lang w:val="pt-PT"/>
              </w:rPr>
            </w:pPr>
            <w:r w:rsidRPr="008912CF">
              <w:rPr>
                <w:szCs w:val="22"/>
                <w:lang w:val="pt-PT"/>
              </w:rPr>
              <w:t>58%</w:t>
            </w:r>
            <w:r w:rsidRPr="008912CF">
              <w:rPr>
                <w:szCs w:val="22"/>
                <w:vertAlign w:val="superscript"/>
                <w:lang w:val="pt-PT"/>
              </w:rPr>
              <w:t>***</w:t>
            </w:r>
          </w:p>
        </w:tc>
        <w:tc>
          <w:tcPr>
            <w:tcW w:w="1343" w:type="dxa"/>
            <w:tcBorders>
              <w:top w:val="nil"/>
              <w:bottom w:val="nil"/>
            </w:tcBorders>
          </w:tcPr>
          <w:p w14:paraId="2708CEDB" w14:textId="77777777" w:rsidR="004462A0" w:rsidRPr="008912CF" w:rsidRDefault="00615769" w:rsidP="00F675CF">
            <w:pPr>
              <w:pStyle w:val="EMEANormal"/>
              <w:jc w:val="center"/>
              <w:rPr>
                <w:szCs w:val="22"/>
                <w:lang w:val="pt-PT"/>
              </w:rPr>
            </w:pPr>
            <w:r w:rsidRPr="008912CF">
              <w:rPr>
                <w:szCs w:val="22"/>
                <w:lang w:val="pt-PT"/>
              </w:rPr>
              <w:t>16%</w:t>
            </w:r>
          </w:p>
        </w:tc>
        <w:tc>
          <w:tcPr>
            <w:tcW w:w="1346" w:type="dxa"/>
            <w:tcBorders>
              <w:top w:val="nil"/>
              <w:bottom w:val="nil"/>
            </w:tcBorders>
          </w:tcPr>
          <w:p w14:paraId="17F46407" w14:textId="77777777" w:rsidR="004462A0" w:rsidRPr="008912CF" w:rsidRDefault="00615769" w:rsidP="00F675CF">
            <w:pPr>
              <w:pStyle w:val="EMEANormal"/>
              <w:jc w:val="center"/>
              <w:rPr>
                <w:szCs w:val="22"/>
                <w:lang w:val="pt-PT"/>
              </w:rPr>
            </w:pPr>
            <w:r w:rsidRPr="008912CF">
              <w:rPr>
                <w:szCs w:val="22"/>
                <w:lang w:val="pt-PT"/>
              </w:rPr>
              <w:t>39%</w:t>
            </w:r>
            <w:r w:rsidR="00DA2140">
              <w:rPr>
                <w:szCs w:val="22"/>
                <w:vertAlign w:val="superscript"/>
                <w:lang w:val="pt-PT"/>
              </w:rPr>
              <w:t>*</w:t>
            </w:r>
          </w:p>
        </w:tc>
      </w:tr>
      <w:tr w:rsidR="00A7162A" w14:paraId="5DEC7AEA" w14:textId="77777777" w:rsidTr="00F675CF">
        <w:trPr>
          <w:jc w:val="center"/>
        </w:trPr>
        <w:tc>
          <w:tcPr>
            <w:tcW w:w="1770" w:type="dxa"/>
            <w:gridSpan w:val="2"/>
            <w:tcBorders>
              <w:top w:val="nil"/>
              <w:bottom w:val="nil"/>
            </w:tcBorders>
          </w:tcPr>
          <w:p w14:paraId="559E4ED2" w14:textId="77777777" w:rsidR="004462A0" w:rsidRPr="008912CF" w:rsidRDefault="00615769" w:rsidP="00F675CF">
            <w:pPr>
              <w:pStyle w:val="EMEANormal"/>
              <w:jc w:val="center"/>
              <w:rPr>
                <w:szCs w:val="22"/>
                <w:lang w:val="pt-PT"/>
              </w:rPr>
            </w:pPr>
            <w:r w:rsidRPr="008912CF">
              <w:rPr>
                <w:szCs w:val="22"/>
                <w:lang w:val="pt-PT"/>
              </w:rPr>
              <w:t>Semana 24</w:t>
            </w:r>
          </w:p>
        </w:tc>
        <w:tc>
          <w:tcPr>
            <w:tcW w:w="1325" w:type="dxa"/>
            <w:tcBorders>
              <w:top w:val="nil"/>
              <w:bottom w:val="nil"/>
            </w:tcBorders>
          </w:tcPr>
          <w:p w14:paraId="3542A31C" w14:textId="77777777" w:rsidR="004462A0" w:rsidRPr="008912CF" w:rsidRDefault="00615769" w:rsidP="00F675CF">
            <w:pPr>
              <w:pStyle w:val="EMEANormal"/>
              <w:jc w:val="center"/>
              <w:rPr>
                <w:szCs w:val="22"/>
                <w:lang w:val="pt-PT"/>
              </w:rPr>
            </w:pPr>
            <w:r w:rsidRPr="008912CF">
              <w:rPr>
                <w:szCs w:val="22"/>
                <w:lang w:val="pt-PT"/>
              </w:rPr>
              <w:t>15</w:t>
            </w:r>
            <w:r w:rsidR="009343EF">
              <w:rPr>
                <w:szCs w:val="22"/>
                <w:lang w:val="pt-PT"/>
              </w:rPr>
              <w:t>%</w:t>
            </w:r>
          </w:p>
        </w:tc>
        <w:tc>
          <w:tcPr>
            <w:tcW w:w="1316" w:type="dxa"/>
            <w:tcBorders>
              <w:top w:val="nil"/>
              <w:bottom w:val="nil"/>
              <w:right w:val="nil"/>
            </w:tcBorders>
          </w:tcPr>
          <w:p w14:paraId="58783453" w14:textId="77777777" w:rsidR="004462A0" w:rsidRPr="008912CF" w:rsidRDefault="00615769" w:rsidP="00F675CF">
            <w:pPr>
              <w:pStyle w:val="EMEANormal"/>
              <w:jc w:val="center"/>
              <w:rPr>
                <w:szCs w:val="22"/>
                <w:lang w:val="pt-PT"/>
              </w:rPr>
            </w:pPr>
            <w:r w:rsidRPr="008912CF">
              <w:rPr>
                <w:szCs w:val="22"/>
                <w:lang w:val="pt-PT"/>
              </w:rPr>
              <w:t>57%</w:t>
            </w:r>
            <w:r w:rsidRPr="008912CF">
              <w:rPr>
                <w:szCs w:val="22"/>
                <w:vertAlign w:val="superscript"/>
                <w:lang w:val="pt-PT"/>
              </w:rPr>
              <w:t>***</w:t>
            </w:r>
          </w:p>
        </w:tc>
        <w:tc>
          <w:tcPr>
            <w:tcW w:w="1343" w:type="dxa"/>
            <w:tcBorders>
              <w:top w:val="nil"/>
              <w:bottom w:val="nil"/>
            </w:tcBorders>
          </w:tcPr>
          <w:p w14:paraId="167C351D" w14:textId="77777777" w:rsidR="004462A0" w:rsidRPr="008912CF" w:rsidRDefault="00615769" w:rsidP="00F675CF">
            <w:pPr>
              <w:pStyle w:val="EMEANormal"/>
              <w:jc w:val="center"/>
              <w:rPr>
                <w:szCs w:val="22"/>
                <w:lang w:val="pt-PT"/>
              </w:rPr>
            </w:pPr>
            <w:r w:rsidRPr="008912CF">
              <w:rPr>
                <w:szCs w:val="22"/>
                <w:lang w:val="pt-PT"/>
              </w:rPr>
              <w:t>N/A</w:t>
            </w:r>
          </w:p>
        </w:tc>
        <w:tc>
          <w:tcPr>
            <w:tcW w:w="1346" w:type="dxa"/>
            <w:tcBorders>
              <w:top w:val="nil"/>
              <w:bottom w:val="nil"/>
            </w:tcBorders>
          </w:tcPr>
          <w:p w14:paraId="360E4EA9" w14:textId="77777777" w:rsidR="004462A0" w:rsidRPr="008912CF" w:rsidRDefault="00615769" w:rsidP="00F675CF">
            <w:pPr>
              <w:pStyle w:val="EMEANormal"/>
              <w:jc w:val="center"/>
              <w:rPr>
                <w:szCs w:val="22"/>
                <w:lang w:val="pt-PT"/>
              </w:rPr>
            </w:pPr>
            <w:r w:rsidRPr="008912CF">
              <w:rPr>
                <w:szCs w:val="22"/>
                <w:lang w:val="pt-PT"/>
              </w:rPr>
              <w:t>N/A</w:t>
            </w:r>
          </w:p>
        </w:tc>
      </w:tr>
      <w:tr w:rsidR="00A7162A" w14:paraId="110291BA" w14:textId="77777777" w:rsidTr="00F675CF">
        <w:trPr>
          <w:jc w:val="center"/>
        </w:trPr>
        <w:tc>
          <w:tcPr>
            <w:tcW w:w="1770" w:type="dxa"/>
            <w:gridSpan w:val="2"/>
            <w:tcBorders>
              <w:top w:val="nil"/>
              <w:bottom w:val="nil"/>
            </w:tcBorders>
          </w:tcPr>
          <w:p w14:paraId="543454D3" w14:textId="77777777" w:rsidR="004462A0" w:rsidRPr="008912CF" w:rsidRDefault="00615769" w:rsidP="00F675CF">
            <w:pPr>
              <w:pStyle w:val="EMEANormal"/>
              <w:rPr>
                <w:szCs w:val="22"/>
                <w:lang w:val="pt-PT"/>
              </w:rPr>
            </w:pPr>
            <w:r w:rsidRPr="008912CF">
              <w:rPr>
                <w:szCs w:val="22"/>
                <w:lang w:val="pt-PT"/>
              </w:rPr>
              <w:t>ACR 50</w:t>
            </w:r>
          </w:p>
        </w:tc>
        <w:tc>
          <w:tcPr>
            <w:tcW w:w="1325" w:type="dxa"/>
            <w:tcBorders>
              <w:top w:val="nil"/>
              <w:bottom w:val="nil"/>
            </w:tcBorders>
          </w:tcPr>
          <w:p w14:paraId="76A6F91E" w14:textId="77777777" w:rsidR="004462A0" w:rsidRPr="008912CF" w:rsidRDefault="004462A0" w:rsidP="00F675CF">
            <w:pPr>
              <w:pStyle w:val="EMEANormal"/>
              <w:jc w:val="center"/>
              <w:rPr>
                <w:szCs w:val="22"/>
                <w:lang w:val="pt-PT"/>
              </w:rPr>
            </w:pPr>
          </w:p>
        </w:tc>
        <w:tc>
          <w:tcPr>
            <w:tcW w:w="1316" w:type="dxa"/>
            <w:tcBorders>
              <w:top w:val="nil"/>
              <w:bottom w:val="nil"/>
              <w:right w:val="nil"/>
            </w:tcBorders>
          </w:tcPr>
          <w:p w14:paraId="7EAFE543" w14:textId="77777777" w:rsidR="004462A0" w:rsidRPr="008912CF" w:rsidRDefault="004462A0" w:rsidP="00F675CF">
            <w:pPr>
              <w:pStyle w:val="EMEANormal"/>
              <w:jc w:val="center"/>
              <w:rPr>
                <w:szCs w:val="22"/>
                <w:lang w:val="pt-PT"/>
              </w:rPr>
            </w:pPr>
          </w:p>
        </w:tc>
        <w:tc>
          <w:tcPr>
            <w:tcW w:w="1343" w:type="dxa"/>
            <w:tcBorders>
              <w:top w:val="nil"/>
              <w:bottom w:val="nil"/>
            </w:tcBorders>
          </w:tcPr>
          <w:p w14:paraId="3CFB34CD" w14:textId="77777777" w:rsidR="004462A0" w:rsidRPr="008912CF" w:rsidRDefault="004462A0" w:rsidP="00F675CF">
            <w:pPr>
              <w:pStyle w:val="EMEANormal"/>
              <w:jc w:val="center"/>
              <w:rPr>
                <w:szCs w:val="22"/>
                <w:lang w:val="pt-PT"/>
              </w:rPr>
            </w:pPr>
          </w:p>
        </w:tc>
        <w:tc>
          <w:tcPr>
            <w:tcW w:w="1346" w:type="dxa"/>
            <w:tcBorders>
              <w:top w:val="nil"/>
              <w:bottom w:val="nil"/>
            </w:tcBorders>
          </w:tcPr>
          <w:p w14:paraId="0C2560E3" w14:textId="77777777" w:rsidR="004462A0" w:rsidRPr="008912CF" w:rsidRDefault="004462A0" w:rsidP="00F675CF">
            <w:pPr>
              <w:pStyle w:val="EMEANormal"/>
              <w:jc w:val="center"/>
              <w:rPr>
                <w:szCs w:val="22"/>
                <w:lang w:val="pt-PT"/>
              </w:rPr>
            </w:pPr>
          </w:p>
        </w:tc>
      </w:tr>
      <w:tr w:rsidR="00A7162A" w14:paraId="7348CBD9" w14:textId="77777777" w:rsidTr="00F675CF">
        <w:trPr>
          <w:jc w:val="center"/>
        </w:trPr>
        <w:tc>
          <w:tcPr>
            <w:tcW w:w="1770" w:type="dxa"/>
            <w:gridSpan w:val="2"/>
            <w:tcBorders>
              <w:top w:val="nil"/>
              <w:bottom w:val="nil"/>
            </w:tcBorders>
          </w:tcPr>
          <w:p w14:paraId="2A9D34F5" w14:textId="77777777" w:rsidR="004462A0" w:rsidRPr="008912CF" w:rsidRDefault="00615769" w:rsidP="00F675CF">
            <w:pPr>
              <w:pStyle w:val="EMEANormal"/>
              <w:jc w:val="center"/>
              <w:rPr>
                <w:szCs w:val="22"/>
                <w:lang w:val="pt-PT"/>
              </w:rPr>
            </w:pPr>
            <w:r w:rsidRPr="008912CF">
              <w:rPr>
                <w:szCs w:val="22"/>
                <w:lang w:val="pt-PT"/>
              </w:rPr>
              <w:t>Semana 12</w:t>
            </w:r>
          </w:p>
        </w:tc>
        <w:tc>
          <w:tcPr>
            <w:tcW w:w="1325" w:type="dxa"/>
            <w:tcBorders>
              <w:top w:val="nil"/>
              <w:bottom w:val="nil"/>
            </w:tcBorders>
          </w:tcPr>
          <w:p w14:paraId="6C05712B" w14:textId="77777777" w:rsidR="004462A0" w:rsidRPr="008912CF" w:rsidRDefault="00615769" w:rsidP="00F675CF">
            <w:pPr>
              <w:pStyle w:val="EMEANormal"/>
              <w:jc w:val="center"/>
              <w:rPr>
                <w:szCs w:val="22"/>
                <w:lang w:val="pt-PT"/>
              </w:rPr>
            </w:pPr>
            <w:r w:rsidRPr="008912CF">
              <w:rPr>
                <w:szCs w:val="22"/>
                <w:lang w:val="pt-PT"/>
              </w:rPr>
              <w:t>4</w:t>
            </w:r>
            <w:r w:rsidR="009343EF">
              <w:rPr>
                <w:szCs w:val="22"/>
                <w:lang w:val="pt-PT"/>
              </w:rPr>
              <w:t>%</w:t>
            </w:r>
          </w:p>
        </w:tc>
        <w:tc>
          <w:tcPr>
            <w:tcW w:w="1316" w:type="dxa"/>
            <w:tcBorders>
              <w:top w:val="nil"/>
              <w:bottom w:val="nil"/>
              <w:right w:val="nil"/>
            </w:tcBorders>
          </w:tcPr>
          <w:p w14:paraId="27D37A7B" w14:textId="77777777" w:rsidR="004462A0" w:rsidRPr="008912CF" w:rsidRDefault="00615769" w:rsidP="00F675CF">
            <w:pPr>
              <w:pStyle w:val="EMEANormal"/>
              <w:jc w:val="center"/>
              <w:rPr>
                <w:szCs w:val="22"/>
                <w:lang w:val="pt-PT"/>
              </w:rPr>
            </w:pPr>
            <w:r w:rsidRPr="008912CF">
              <w:rPr>
                <w:szCs w:val="22"/>
                <w:lang w:val="pt-PT"/>
              </w:rPr>
              <w:t>36%</w:t>
            </w:r>
            <w:r w:rsidRPr="008912CF">
              <w:rPr>
                <w:szCs w:val="22"/>
                <w:vertAlign w:val="superscript"/>
                <w:lang w:val="pt-PT"/>
              </w:rPr>
              <w:t>***</w:t>
            </w:r>
          </w:p>
        </w:tc>
        <w:tc>
          <w:tcPr>
            <w:tcW w:w="1343" w:type="dxa"/>
            <w:tcBorders>
              <w:top w:val="nil"/>
              <w:bottom w:val="nil"/>
            </w:tcBorders>
          </w:tcPr>
          <w:p w14:paraId="770E7DE6" w14:textId="77777777" w:rsidR="004462A0" w:rsidRPr="008912CF" w:rsidRDefault="00615769" w:rsidP="00F675CF">
            <w:pPr>
              <w:pStyle w:val="EMEANormal"/>
              <w:jc w:val="center"/>
              <w:rPr>
                <w:szCs w:val="22"/>
                <w:lang w:val="pt-PT"/>
              </w:rPr>
            </w:pPr>
            <w:r w:rsidRPr="008912CF">
              <w:rPr>
                <w:szCs w:val="22"/>
                <w:lang w:val="pt-PT"/>
              </w:rPr>
              <w:t>2%</w:t>
            </w:r>
          </w:p>
        </w:tc>
        <w:tc>
          <w:tcPr>
            <w:tcW w:w="1346" w:type="dxa"/>
            <w:tcBorders>
              <w:top w:val="nil"/>
              <w:bottom w:val="nil"/>
            </w:tcBorders>
          </w:tcPr>
          <w:p w14:paraId="0200C9C2" w14:textId="77777777" w:rsidR="004462A0" w:rsidRPr="008912CF" w:rsidRDefault="00615769" w:rsidP="00F675CF">
            <w:pPr>
              <w:pStyle w:val="EMEANormal"/>
              <w:jc w:val="center"/>
              <w:rPr>
                <w:szCs w:val="22"/>
                <w:lang w:val="pt-PT"/>
              </w:rPr>
            </w:pPr>
            <w:r w:rsidRPr="008912CF">
              <w:rPr>
                <w:szCs w:val="22"/>
                <w:lang w:val="pt-PT"/>
              </w:rPr>
              <w:t>25%</w:t>
            </w:r>
            <w:r w:rsidRPr="008912CF">
              <w:rPr>
                <w:szCs w:val="22"/>
                <w:vertAlign w:val="superscript"/>
                <w:lang w:val="pt-PT"/>
              </w:rPr>
              <w:t>***</w:t>
            </w:r>
          </w:p>
        </w:tc>
      </w:tr>
      <w:tr w:rsidR="00A7162A" w14:paraId="32153994" w14:textId="77777777" w:rsidTr="00F675CF">
        <w:trPr>
          <w:jc w:val="center"/>
        </w:trPr>
        <w:tc>
          <w:tcPr>
            <w:tcW w:w="1770" w:type="dxa"/>
            <w:gridSpan w:val="2"/>
            <w:tcBorders>
              <w:top w:val="nil"/>
              <w:bottom w:val="nil"/>
            </w:tcBorders>
          </w:tcPr>
          <w:p w14:paraId="4AC142C3" w14:textId="77777777" w:rsidR="004462A0" w:rsidRPr="008912CF" w:rsidRDefault="00615769" w:rsidP="00F675CF">
            <w:pPr>
              <w:pStyle w:val="EMEANormal"/>
              <w:jc w:val="center"/>
              <w:rPr>
                <w:szCs w:val="22"/>
                <w:lang w:val="pt-PT"/>
              </w:rPr>
            </w:pPr>
            <w:r w:rsidRPr="008912CF">
              <w:rPr>
                <w:szCs w:val="22"/>
                <w:lang w:val="pt-PT"/>
              </w:rPr>
              <w:t>Semana 24</w:t>
            </w:r>
          </w:p>
        </w:tc>
        <w:tc>
          <w:tcPr>
            <w:tcW w:w="1325" w:type="dxa"/>
            <w:tcBorders>
              <w:top w:val="nil"/>
              <w:bottom w:val="nil"/>
            </w:tcBorders>
          </w:tcPr>
          <w:p w14:paraId="732B1837" w14:textId="77777777" w:rsidR="004462A0" w:rsidRPr="008912CF" w:rsidRDefault="00615769" w:rsidP="00F675CF">
            <w:pPr>
              <w:pStyle w:val="EMEANormal"/>
              <w:jc w:val="center"/>
              <w:rPr>
                <w:szCs w:val="22"/>
                <w:lang w:val="pt-PT"/>
              </w:rPr>
            </w:pPr>
            <w:r w:rsidRPr="008912CF">
              <w:rPr>
                <w:szCs w:val="22"/>
                <w:lang w:val="pt-PT"/>
              </w:rPr>
              <w:t>6%</w:t>
            </w:r>
          </w:p>
        </w:tc>
        <w:tc>
          <w:tcPr>
            <w:tcW w:w="1316" w:type="dxa"/>
            <w:tcBorders>
              <w:top w:val="nil"/>
              <w:bottom w:val="nil"/>
              <w:right w:val="nil"/>
            </w:tcBorders>
          </w:tcPr>
          <w:p w14:paraId="574CECF7" w14:textId="77777777" w:rsidR="004462A0" w:rsidRPr="008912CF" w:rsidRDefault="00615769" w:rsidP="00F675CF">
            <w:pPr>
              <w:pStyle w:val="EMEANormal"/>
              <w:jc w:val="center"/>
              <w:rPr>
                <w:szCs w:val="22"/>
                <w:lang w:val="pt-PT"/>
              </w:rPr>
            </w:pPr>
            <w:r w:rsidRPr="008912CF">
              <w:rPr>
                <w:szCs w:val="22"/>
                <w:lang w:val="pt-PT"/>
              </w:rPr>
              <w:t>39%</w:t>
            </w:r>
            <w:r w:rsidRPr="008912CF">
              <w:rPr>
                <w:szCs w:val="22"/>
                <w:vertAlign w:val="superscript"/>
                <w:lang w:val="pt-PT"/>
              </w:rPr>
              <w:t>***</w:t>
            </w:r>
          </w:p>
        </w:tc>
        <w:tc>
          <w:tcPr>
            <w:tcW w:w="1343" w:type="dxa"/>
            <w:tcBorders>
              <w:top w:val="nil"/>
              <w:bottom w:val="nil"/>
            </w:tcBorders>
          </w:tcPr>
          <w:p w14:paraId="3D2BAAA7" w14:textId="77777777" w:rsidR="004462A0" w:rsidRPr="008912CF" w:rsidRDefault="00615769" w:rsidP="00F675CF">
            <w:pPr>
              <w:pStyle w:val="EMEANormal"/>
              <w:jc w:val="center"/>
              <w:rPr>
                <w:szCs w:val="22"/>
                <w:lang w:val="pt-PT"/>
              </w:rPr>
            </w:pPr>
            <w:r w:rsidRPr="008912CF">
              <w:rPr>
                <w:szCs w:val="22"/>
                <w:lang w:val="pt-PT"/>
              </w:rPr>
              <w:t>N/A</w:t>
            </w:r>
          </w:p>
        </w:tc>
        <w:tc>
          <w:tcPr>
            <w:tcW w:w="1346" w:type="dxa"/>
            <w:tcBorders>
              <w:top w:val="nil"/>
              <w:bottom w:val="nil"/>
            </w:tcBorders>
          </w:tcPr>
          <w:p w14:paraId="4F3EAA39" w14:textId="77777777" w:rsidR="004462A0" w:rsidRPr="008912CF" w:rsidRDefault="00615769" w:rsidP="00F675CF">
            <w:pPr>
              <w:pStyle w:val="EMEANormal"/>
              <w:jc w:val="center"/>
              <w:rPr>
                <w:szCs w:val="22"/>
                <w:lang w:val="pt-PT"/>
              </w:rPr>
            </w:pPr>
            <w:r w:rsidRPr="008912CF">
              <w:rPr>
                <w:szCs w:val="22"/>
                <w:lang w:val="pt-PT"/>
              </w:rPr>
              <w:t>N/A</w:t>
            </w:r>
          </w:p>
        </w:tc>
      </w:tr>
      <w:tr w:rsidR="00A7162A" w14:paraId="77DA4317" w14:textId="77777777" w:rsidTr="00F675CF">
        <w:trPr>
          <w:jc w:val="center"/>
        </w:trPr>
        <w:tc>
          <w:tcPr>
            <w:tcW w:w="1770" w:type="dxa"/>
            <w:gridSpan w:val="2"/>
            <w:tcBorders>
              <w:top w:val="nil"/>
              <w:bottom w:val="nil"/>
            </w:tcBorders>
          </w:tcPr>
          <w:p w14:paraId="734EB9AE" w14:textId="77777777" w:rsidR="004462A0" w:rsidRPr="008912CF" w:rsidRDefault="00615769" w:rsidP="00F675CF">
            <w:pPr>
              <w:pStyle w:val="EMEANormal"/>
              <w:rPr>
                <w:szCs w:val="22"/>
                <w:lang w:val="pt-PT"/>
              </w:rPr>
            </w:pPr>
            <w:r w:rsidRPr="008912CF">
              <w:rPr>
                <w:szCs w:val="22"/>
                <w:lang w:val="pt-PT"/>
              </w:rPr>
              <w:t>ACR 70</w:t>
            </w:r>
          </w:p>
        </w:tc>
        <w:tc>
          <w:tcPr>
            <w:tcW w:w="1325" w:type="dxa"/>
            <w:tcBorders>
              <w:top w:val="nil"/>
              <w:bottom w:val="nil"/>
            </w:tcBorders>
          </w:tcPr>
          <w:p w14:paraId="2E363D07" w14:textId="77777777" w:rsidR="004462A0" w:rsidRPr="008912CF" w:rsidRDefault="004462A0" w:rsidP="00F675CF">
            <w:pPr>
              <w:pStyle w:val="EMEANormal"/>
              <w:jc w:val="center"/>
              <w:rPr>
                <w:szCs w:val="22"/>
                <w:lang w:val="pt-PT"/>
              </w:rPr>
            </w:pPr>
          </w:p>
        </w:tc>
        <w:tc>
          <w:tcPr>
            <w:tcW w:w="1316" w:type="dxa"/>
            <w:tcBorders>
              <w:top w:val="nil"/>
              <w:bottom w:val="nil"/>
              <w:right w:val="nil"/>
            </w:tcBorders>
          </w:tcPr>
          <w:p w14:paraId="71CFEFE9" w14:textId="77777777" w:rsidR="004462A0" w:rsidRPr="008912CF" w:rsidRDefault="004462A0" w:rsidP="00F675CF">
            <w:pPr>
              <w:pStyle w:val="EMEANormal"/>
              <w:jc w:val="center"/>
              <w:rPr>
                <w:szCs w:val="22"/>
                <w:lang w:val="pt-PT"/>
              </w:rPr>
            </w:pPr>
          </w:p>
        </w:tc>
        <w:tc>
          <w:tcPr>
            <w:tcW w:w="1343" w:type="dxa"/>
            <w:tcBorders>
              <w:top w:val="nil"/>
              <w:bottom w:val="nil"/>
            </w:tcBorders>
          </w:tcPr>
          <w:p w14:paraId="5133AA97" w14:textId="77777777" w:rsidR="004462A0" w:rsidRPr="008912CF" w:rsidRDefault="004462A0" w:rsidP="00F675CF">
            <w:pPr>
              <w:pStyle w:val="EMEANormal"/>
              <w:jc w:val="center"/>
              <w:rPr>
                <w:szCs w:val="22"/>
                <w:lang w:val="pt-PT"/>
              </w:rPr>
            </w:pPr>
          </w:p>
        </w:tc>
        <w:tc>
          <w:tcPr>
            <w:tcW w:w="1346" w:type="dxa"/>
            <w:tcBorders>
              <w:top w:val="nil"/>
              <w:bottom w:val="nil"/>
            </w:tcBorders>
          </w:tcPr>
          <w:p w14:paraId="462440E4" w14:textId="77777777" w:rsidR="004462A0" w:rsidRPr="008912CF" w:rsidRDefault="004462A0" w:rsidP="00F675CF">
            <w:pPr>
              <w:pStyle w:val="EMEANormal"/>
              <w:jc w:val="center"/>
              <w:rPr>
                <w:szCs w:val="22"/>
                <w:lang w:val="pt-PT"/>
              </w:rPr>
            </w:pPr>
          </w:p>
        </w:tc>
      </w:tr>
      <w:tr w:rsidR="00A7162A" w14:paraId="16B2C113" w14:textId="77777777" w:rsidTr="00F675CF">
        <w:trPr>
          <w:jc w:val="center"/>
        </w:trPr>
        <w:tc>
          <w:tcPr>
            <w:tcW w:w="1770" w:type="dxa"/>
            <w:gridSpan w:val="2"/>
            <w:tcBorders>
              <w:top w:val="nil"/>
              <w:bottom w:val="nil"/>
            </w:tcBorders>
          </w:tcPr>
          <w:p w14:paraId="0B4CC883" w14:textId="77777777" w:rsidR="004462A0" w:rsidRPr="008912CF" w:rsidRDefault="00615769" w:rsidP="00F675CF">
            <w:pPr>
              <w:pStyle w:val="EMEANormal"/>
              <w:jc w:val="center"/>
              <w:rPr>
                <w:szCs w:val="22"/>
                <w:lang w:val="pt-PT"/>
              </w:rPr>
            </w:pPr>
            <w:r w:rsidRPr="008912CF">
              <w:rPr>
                <w:szCs w:val="22"/>
                <w:lang w:val="pt-PT"/>
              </w:rPr>
              <w:t>Semana 12</w:t>
            </w:r>
          </w:p>
        </w:tc>
        <w:tc>
          <w:tcPr>
            <w:tcW w:w="1325" w:type="dxa"/>
            <w:tcBorders>
              <w:top w:val="nil"/>
              <w:bottom w:val="nil"/>
            </w:tcBorders>
          </w:tcPr>
          <w:p w14:paraId="1BB50682" w14:textId="77777777" w:rsidR="004462A0" w:rsidRPr="008912CF" w:rsidRDefault="00615769" w:rsidP="00F675CF">
            <w:pPr>
              <w:pStyle w:val="EMEANormal"/>
              <w:jc w:val="center"/>
              <w:rPr>
                <w:szCs w:val="22"/>
                <w:lang w:val="pt-PT"/>
              </w:rPr>
            </w:pPr>
            <w:r w:rsidRPr="008912CF">
              <w:rPr>
                <w:szCs w:val="22"/>
                <w:lang w:val="pt-PT"/>
              </w:rPr>
              <w:t>1%</w:t>
            </w:r>
          </w:p>
        </w:tc>
        <w:tc>
          <w:tcPr>
            <w:tcW w:w="1316" w:type="dxa"/>
            <w:tcBorders>
              <w:top w:val="nil"/>
              <w:bottom w:val="nil"/>
              <w:right w:val="nil"/>
            </w:tcBorders>
          </w:tcPr>
          <w:p w14:paraId="0AC7768E" w14:textId="77777777" w:rsidR="004462A0" w:rsidRPr="008912CF" w:rsidRDefault="00615769" w:rsidP="00F675CF">
            <w:pPr>
              <w:pStyle w:val="EMEANormal"/>
              <w:jc w:val="center"/>
              <w:rPr>
                <w:szCs w:val="22"/>
                <w:lang w:val="pt-PT"/>
              </w:rPr>
            </w:pPr>
            <w:r w:rsidRPr="008912CF">
              <w:rPr>
                <w:szCs w:val="22"/>
                <w:lang w:val="pt-PT"/>
              </w:rPr>
              <w:t>20%</w:t>
            </w:r>
            <w:r w:rsidRPr="008912CF">
              <w:rPr>
                <w:szCs w:val="22"/>
                <w:vertAlign w:val="superscript"/>
                <w:lang w:val="pt-PT"/>
              </w:rPr>
              <w:t>***</w:t>
            </w:r>
          </w:p>
        </w:tc>
        <w:tc>
          <w:tcPr>
            <w:tcW w:w="1343" w:type="dxa"/>
            <w:tcBorders>
              <w:top w:val="nil"/>
              <w:bottom w:val="nil"/>
            </w:tcBorders>
          </w:tcPr>
          <w:p w14:paraId="211BEA72" w14:textId="77777777" w:rsidR="004462A0" w:rsidRPr="008912CF" w:rsidRDefault="00615769" w:rsidP="00F675CF">
            <w:pPr>
              <w:pStyle w:val="EMEANormal"/>
              <w:jc w:val="center"/>
              <w:rPr>
                <w:szCs w:val="22"/>
                <w:lang w:val="pt-PT"/>
              </w:rPr>
            </w:pPr>
            <w:r w:rsidRPr="008912CF">
              <w:rPr>
                <w:szCs w:val="22"/>
                <w:lang w:val="pt-PT"/>
              </w:rPr>
              <w:t>0%</w:t>
            </w:r>
          </w:p>
        </w:tc>
        <w:tc>
          <w:tcPr>
            <w:tcW w:w="1346" w:type="dxa"/>
            <w:tcBorders>
              <w:top w:val="nil"/>
              <w:bottom w:val="nil"/>
            </w:tcBorders>
          </w:tcPr>
          <w:p w14:paraId="46FDEE7B" w14:textId="77777777" w:rsidR="004462A0" w:rsidRPr="008912CF" w:rsidRDefault="00615769" w:rsidP="00F675CF">
            <w:pPr>
              <w:pStyle w:val="EMEANormal"/>
              <w:jc w:val="center"/>
              <w:rPr>
                <w:szCs w:val="22"/>
                <w:lang w:val="pt-PT"/>
              </w:rPr>
            </w:pPr>
            <w:r w:rsidRPr="008912CF">
              <w:rPr>
                <w:szCs w:val="22"/>
                <w:lang w:val="pt-PT"/>
              </w:rPr>
              <w:t>14%</w:t>
            </w:r>
            <w:r w:rsidRPr="008912CF">
              <w:rPr>
                <w:szCs w:val="22"/>
                <w:vertAlign w:val="superscript"/>
                <w:lang w:val="pt-PT"/>
              </w:rPr>
              <w:t xml:space="preserve"> *</w:t>
            </w:r>
          </w:p>
        </w:tc>
      </w:tr>
      <w:tr w:rsidR="00A7162A" w14:paraId="3A740895" w14:textId="77777777" w:rsidTr="00F675CF">
        <w:trPr>
          <w:jc w:val="center"/>
        </w:trPr>
        <w:tc>
          <w:tcPr>
            <w:tcW w:w="1770" w:type="dxa"/>
            <w:gridSpan w:val="2"/>
            <w:tcBorders>
              <w:top w:val="nil"/>
            </w:tcBorders>
          </w:tcPr>
          <w:p w14:paraId="62A5A7F4" w14:textId="77777777" w:rsidR="004462A0" w:rsidRPr="008912CF" w:rsidRDefault="00615769" w:rsidP="00F675CF">
            <w:pPr>
              <w:pStyle w:val="EMEANormal"/>
              <w:jc w:val="center"/>
              <w:rPr>
                <w:szCs w:val="22"/>
                <w:lang w:val="pt-PT"/>
              </w:rPr>
            </w:pPr>
            <w:r w:rsidRPr="008912CF">
              <w:rPr>
                <w:szCs w:val="22"/>
                <w:lang w:val="pt-PT"/>
              </w:rPr>
              <w:t>Semana 24</w:t>
            </w:r>
          </w:p>
        </w:tc>
        <w:tc>
          <w:tcPr>
            <w:tcW w:w="1325" w:type="dxa"/>
            <w:tcBorders>
              <w:top w:val="nil"/>
            </w:tcBorders>
          </w:tcPr>
          <w:p w14:paraId="0829225F" w14:textId="77777777" w:rsidR="004462A0" w:rsidRPr="008912CF" w:rsidRDefault="00615769" w:rsidP="00F675CF">
            <w:pPr>
              <w:pStyle w:val="EMEANormal"/>
              <w:jc w:val="center"/>
              <w:rPr>
                <w:szCs w:val="22"/>
                <w:lang w:val="pt-PT"/>
              </w:rPr>
            </w:pPr>
            <w:r w:rsidRPr="008912CF">
              <w:rPr>
                <w:szCs w:val="22"/>
                <w:lang w:val="pt-PT"/>
              </w:rPr>
              <w:t>1%</w:t>
            </w:r>
          </w:p>
        </w:tc>
        <w:tc>
          <w:tcPr>
            <w:tcW w:w="1316" w:type="dxa"/>
            <w:tcBorders>
              <w:top w:val="nil"/>
              <w:right w:val="nil"/>
            </w:tcBorders>
          </w:tcPr>
          <w:p w14:paraId="2D184B1D" w14:textId="77777777" w:rsidR="004462A0" w:rsidRPr="008912CF" w:rsidRDefault="00615769" w:rsidP="00F675CF">
            <w:pPr>
              <w:pStyle w:val="EMEANormal"/>
              <w:jc w:val="center"/>
              <w:rPr>
                <w:szCs w:val="22"/>
                <w:lang w:val="pt-PT"/>
              </w:rPr>
            </w:pPr>
            <w:r w:rsidRPr="008912CF">
              <w:rPr>
                <w:szCs w:val="22"/>
                <w:lang w:val="pt-PT"/>
              </w:rPr>
              <w:t>23%</w:t>
            </w:r>
            <w:r w:rsidRPr="008912CF">
              <w:rPr>
                <w:szCs w:val="22"/>
                <w:vertAlign w:val="superscript"/>
                <w:lang w:val="pt-PT"/>
              </w:rPr>
              <w:t>***</w:t>
            </w:r>
          </w:p>
        </w:tc>
        <w:tc>
          <w:tcPr>
            <w:tcW w:w="1343" w:type="dxa"/>
            <w:tcBorders>
              <w:top w:val="nil"/>
            </w:tcBorders>
          </w:tcPr>
          <w:p w14:paraId="18065EA5" w14:textId="77777777" w:rsidR="004462A0" w:rsidRPr="008912CF" w:rsidRDefault="00615769" w:rsidP="00F675CF">
            <w:pPr>
              <w:pStyle w:val="EMEANormal"/>
              <w:jc w:val="center"/>
              <w:rPr>
                <w:szCs w:val="22"/>
                <w:lang w:val="pt-PT"/>
              </w:rPr>
            </w:pPr>
            <w:r w:rsidRPr="008912CF">
              <w:rPr>
                <w:szCs w:val="22"/>
                <w:lang w:val="pt-PT"/>
              </w:rPr>
              <w:t>N/A</w:t>
            </w:r>
          </w:p>
        </w:tc>
        <w:tc>
          <w:tcPr>
            <w:tcW w:w="1346" w:type="dxa"/>
            <w:tcBorders>
              <w:top w:val="nil"/>
            </w:tcBorders>
          </w:tcPr>
          <w:p w14:paraId="4769A1E1" w14:textId="77777777" w:rsidR="004462A0" w:rsidRPr="008912CF" w:rsidRDefault="00615769" w:rsidP="00F675CF">
            <w:pPr>
              <w:pStyle w:val="EMEANormal"/>
              <w:jc w:val="center"/>
              <w:rPr>
                <w:szCs w:val="22"/>
                <w:lang w:val="pt-PT"/>
              </w:rPr>
            </w:pPr>
            <w:r w:rsidRPr="008912CF">
              <w:rPr>
                <w:szCs w:val="22"/>
                <w:lang w:val="pt-PT"/>
              </w:rPr>
              <w:t>N/A</w:t>
            </w:r>
          </w:p>
        </w:tc>
      </w:tr>
      <w:tr w:rsidR="00A7162A" w14:paraId="752E7401" w14:textId="77777777" w:rsidTr="00F675CF">
        <w:trPr>
          <w:gridBefore w:val="1"/>
          <w:wBefore w:w="13" w:type="dxa"/>
          <w:jc w:val="center"/>
        </w:trPr>
        <w:tc>
          <w:tcPr>
            <w:tcW w:w="7087" w:type="dxa"/>
            <w:gridSpan w:val="5"/>
            <w:tcBorders>
              <w:top w:val="nil"/>
              <w:left w:val="nil"/>
              <w:bottom w:val="nil"/>
              <w:right w:val="nil"/>
            </w:tcBorders>
          </w:tcPr>
          <w:p w14:paraId="107A1FC9" w14:textId="77777777" w:rsidR="004462A0" w:rsidRPr="008912CF" w:rsidRDefault="00615769" w:rsidP="00F675CF">
            <w:pPr>
              <w:pStyle w:val="EMEANormal"/>
              <w:rPr>
                <w:szCs w:val="22"/>
                <w:lang w:val="pt-PT"/>
              </w:rPr>
            </w:pPr>
            <w:r w:rsidRPr="008912CF">
              <w:rPr>
                <w:szCs w:val="22"/>
                <w:lang w:val="pt-PT"/>
              </w:rPr>
              <w:t>***</w:t>
            </w:r>
            <w:r w:rsidRPr="008912CF">
              <w:rPr>
                <w:szCs w:val="22"/>
                <w:lang w:val="pt-PT"/>
              </w:rPr>
              <w:tab/>
            </w:r>
            <w:r w:rsidRPr="008912CF">
              <w:rPr>
                <w:szCs w:val="22"/>
                <w:lang w:val="pt-PT"/>
              </w:rPr>
              <w:t>p &lt; 0,001 para todas as comparações entre Humira e placebo</w:t>
            </w:r>
          </w:p>
          <w:p w14:paraId="38222BD3" w14:textId="77777777" w:rsidR="004462A0" w:rsidRPr="008912CF" w:rsidRDefault="00615769" w:rsidP="00F675CF">
            <w:pPr>
              <w:pStyle w:val="EMEANormal"/>
              <w:rPr>
                <w:szCs w:val="22"/>
                <w:lang w:val="pt-PT"/>
              </w:rPr>
            </w:pPr>
            <w:r w:rsidRPr="008912CF">
              <w:rPr>
                <w:szCs w:val="22"/>
                <w:lang w:val="pt-PT"/>
              </w:rPr>
              <w:t>*</w:t>
            </w:r>
            <w:r w:rsidRPr="008912CF">
              <w:rPr>
                <w:szCs w:val="22"/>
                <w:lang w:val="pt-PT"/>
              </w:rPr>
              <w:tab/>
              <w:t>p &lt; 0,05 para todas as comparações entre Humira e placebo</w:t>
            </w:r>
          </w:p>
          <w:p w14:paraId="11F81446" w14:textId="77777777" w:rsidR="004462A0" w:rsidRPr="008912CF" w:rsidRDefault="00615769" w:rsidP="00F675CF">
            <w:pPr>
              <w:pStyle w:val="EMEANormal"/>
              <w:rPr>
                <w:szCs w:val="22"/>
                <w:lang w:val="pt-PT"/>
              </w:rPr>
            </w:pPr>
            <w:r w:rsidRPr="008912CF">
              <w:rPr>
                <w:szCs w:val="22"/>
                <w:lang w:val="pt-PT"/>
              </w:rPr>
              <w:t>N/A  não aplicável</w:t>
            </w:r>
          </w:p>
        </w:tc>
      </w:tr>
    </w:tbl>
    <w:p w14:paraId="12253B82" w14:textId="77777777" w:rsidR="004462A0" w:rsidRPr="008912CF" w:rsidRDefault="004462A0" w:rsidP="004462A0">
      <w:pPr>
        <w:pStyle w:val="EMEANormal"/>
        <w:rPr>
          <w:szCs w:val="22"/>
          <w:lang w:val="pt-PT"/>
        </w:rPr>
      </w:pPr>
    </w:p>
    <w:p w14:paraId="3968A87E" w14:textId="77777777" w:rsidR="004462A0" w:rsidRPr="008912CF" w:rsidRDefault="00615769" w:rsidP="004462A0">
      <w:pPr>
        <w:pStyle w:val="EMEANormal"/>
        <w:rPr>
          <w:color w:val="000000"/>
          <w:szCs w:val="22"/>
          <w:lang w:val="pt-PT"/>
        </w:rPr>
      </w:pPr>
      <w:r w:rsidRPr="008912CF">
        <w:rPr>
          <w:color w:val="000000"/>
          <w:szCs w:val="22"/>
          <w:lang w:val="pt-PT"/>
        </w:rPr>
        <w:t>A</w:t>
      </w:r>
      <w:r w:rsidR="00C41293">
        <w:rPr>
          <w:color w:val="000000"/>
          <w:szCs w:val="22"/>
          <w:lang w:val="pt-PT"/>
        </w:rPr>
        <w:t>s</w:t>
      </w:r>
      <w:r w:rsidRPr="008912CF">
        <w:rPr>
          <w:color w:val="000000"/>
          <w:szCs w:val="22"/>
          <w:lang w:val="pt-PT"/>
        </w:rPr>
        <w:t xml:space="preserve"> resposta</w:t>
      </w:r>
      <w:r w:rsidR="00C41293">
        <w:rPr>
          <w:color w:val="000000"/>
          <w:szCs w:val="22"/>
          <w:lang w:val="pt-PT"/>
        </w:rPr>
        <w:t>s</w:t>
      </w:r>
      <w:r w:rsidRPr="008912CF">
        <w:rPr>
          <w:color w:val="000000"/>
          <w:szCs w:val="22"/>
          <w:lang w:val="pt-PT"/>
        </w:rPr>
        <w:t xml:space="preserve"> ACR no estudo A</w:t>
      </w:r>
      <w:r w:rsidR="003E3AA9" w:rsidRPr="008912CF">
        <w:rPr>
          <w:color w:val="000000"/>
          <w:szCs w:val="22"/>
          <w:lang w:val="pt-PT"/>
        </w:rPr>
        <w:t>p</w:t>
      </w:r>
      <w:r w:rsidRPr="008912CF">
        <w:rPr>
          <w:color w:val="000000"/>
          <w:szCs w:val="22"/>
          <w:lang w:val="pt-PT"/>
        </w:rPr>
        <w:t>s I fo</w:t>
      </w:r>
      <w:r w:rsidR="00C41293">
        <w:rPr>
          <w:color w:val="000000"/>
          <w:szCs w:val="22"/>
          <w:lang w:val="pt-PT"/>
        </w:rPr>
        <w:t>ram</w:t>
      </w:r>
      <w:r w:rsidRPr="008912CF">
        <w:rPr>
          <w:color w:val="000000"/>
          <w:szCs w:val="22"/>
          <w:lang w:val="pt-PT"/>
        </w:rPr>
        <w:t xml:space="preserve"> similar</w:t>
      </w:r>
      <w:r w:rsidR="00C41293">
        <w:rPr>
          <w:color w:val="000000"/>
          <w:szCs w:val="22"/>
          <w:lang w:val="pt-PT"/>
        </w:rPr>
        <w:t>es</w:t>
      </w:r>
      <w:r w:rsidRPr="008912CF">
        <w:rPr>
          <w:color w:val="000000"/>
          <w:szCs w:val="22"/>
          <w:lang w:val="pt-PT"/>
        </w:rPr>
        <w:t xml:space="preserve"> com e sem terapêutica concomitante de metotrexato.</w:t>
      </w:r>
    </w:p>
    <w:p w14:paraId="7F14C170" w14:textId="77777777" w:rsidR="004462A0" w:rsidRPr="008912CF" w:rsidRDefault="00615769" w:rsidP="004462A0">
      <w:pPr>
        <w:pStyle w:val="EMEANormal"/>
        <w:rPr>
          <w:szCs w:val="22"/>
          <w:lang w:val="pt-PT"/>
        </w:rPr>
      </w:pPr>
      <w:r w:rsidRPr="008912CF">
        <w:rPr>
          <w:szCs w:val="22"/>
          <w:lang w:val="pt-PT"/>
        </w:rPr>
        <w:t>As respostas ACR foram mantidas no estudo de extensão de fase aberta por mais 136 semanas.</w:t>
      </w:r>
    </w:p>
    <w:p w14:paraId="5A4DD375" w14:textId="77777777" w:rsidR="004462A0" w:rsidRPr="008912CF" w:rsidRDefault="004462A0" w:rsidP="004462A0">
      <w:pPr>
        <w:pStyle w:val="EMEANormal"/>
        <w:rPr>
          <w:szCs w:val="22"/>
          <w:lang w:val="pt-PT"/>
        </w:rPr>
      </w:pPr>
    </w:p>
    <w:p w14:paraId="76B60D63" w14:textId="77777777" w:rsidR="004462A0" w:rsidRPr="008912CF" w:rsidRDefault="00615769" w:rsidP="004462A0">
      <w:pPr>
        <w:pStyle w:val="EMEANormal"/>
        <w:rPr>
          <w:szCs w:val="22"/>
          <w:lang w:val="pt-PT"/>
        </w:rPr>
      </w:pPr>
      <w:r w:rsidRPr="008912CF">
        <w:rPr>
          <w:szCs w:val="22"/>
          <w:lang w:val="pt-PT"/>
        </w:rPr>
        <w:t xml:space="preserve">Nos estudos na artrite psoriática foram avaliadas as alterações radiográficas. Obtiveram-se radiografias das mãos, punhos e pés na avaliação basal e na Semana 24, durante a fase de dupla ocultação quando os doentes receberam Humira ou placebo e na Semana 48 quando todos os doentes </w:t>
      </w:r>
      <w:r w:rsidR="00C41293">
        <w:rPr>
          <w:szCs w:val="22"/>
          <w:lang w:val="pt-PT"/>
        </w:rPr>
        <w:t>estavam a receber</w:t>
      </w:r>
      <w:r w:rsidRPr="008912CF">
        <w:rPr>
          <w:szCs w:val="22"/>
          <w:lang w:val="pt-PT"/>
        </w:rPr>
        <w:t xml:space="preserve"> Humira</w:t>
      </w:r>
      <w:r w:rsidR="00C41293">
        <w:rPr>
          <w:szCs w:val="22"/>
          <w:lang w:val="pt-PT"/>
        </w:rPr>
        <w:t xml:space="preserve"> em fase aberta</w:t>
      </w:r>
      <w:r w:rsidRPr="008912CF">
        <w:rPr>
          <w:szCs w:val="22"/>
          <w:lang w:val="pt-PT"/>
        </w:rPr>
        <w:t>. Foi utilizada a Escala Total de Sharp modificada (mTSS), que incluiu articulações interfalângicas distais (não idêntica à TSS utilizada na artrite reumatoide).</w:t>
      </w:r>
    </w:p>
    <w:p w14:paraId="412C7FA8" w14:textId="77777777" w:rsidR="004462A0" w:rsidRPr="008912CF" w:rsidRDefault="004462A0" w:rsidP="004462A0">
      <w:pPr>
        <w:pStyle w:val="EMEANormal"/>
        <w:rPr>
          <w:szCs w:val="22"/>
          <w:lang w:val="pt-PT"/>
        </w:rPr>
      </w:pPr>
    </w:p>
    <w:p w14:paraId="632A3110" w14:textId="77777777" w:rsidR="004462A0" w:rsidRPr="008912CF" w:rsidRDefault="00615769" w:rsidP="004462A0">
      <w:pPr>
        <w:pStyle w:val="EMEANormal"/>
        <w:rPr>
          <w:szCs w:val="22"/>
          <w:lang w:val="pt-PT"/>
        </w:rPr>
      </w:pPr>
      <w:r w:rsidRPr="008912CF">
        <w:rPr>
          <w:szCs w:val="22"/>
          <w:lang w:val="pt-PT"/>
        </w:rPr>
        <w:t xml:space="preserve">O tratamento com Humira reduziu a taxa de progressão das lesões articulares periféricas, quando comparado com o tratamento com placebo, medido pela alteração </w:t>
      </w:r>
      <w:r w:rsidR="00C41293">
        <w:rPr>
          <w:szCs w:val="22"/>
          <w:lang w:val="pt-PT"/>
        </w:rPr>
        <w:t xml:space="preserve">na </w:t>
      </w:r>
      <w:r w:rsidRPr="008912CF">
        <w:rPr>
          <w:szCs w:val="22"/>
          <w:lang w:val="pt-PT"/>
        </w:rPr>
        <w:t>mTSS</w:t>
      </w:r>
      <w:r w:rsidR="00C41293">
        <w:rPr>
          <w:szCs w:val="22"/>
          <w:lang w:val="pt-PT"/>
        </w:rPr>
        <w:t xml:space="preserve"> relativamente à avaliação inicial</w:t>
      </w:r>
      <w:r w:rsidRPr="008912CF">
        <w:rPr>
          <w:szCs w:val="22"/>
          <w:lang w:val="pt-PT"/>
        </w:rPr>
        <w:t xml:space="preserve"> (média ± DP) de 0,8 ± 2,5 no grupo placebo (à Semana 24) comparativamente a 0,0 ± 1,9 (p &lt; 0,001) no grupo Humira (à Semana 48).</w:t>
      </w:r>
    </w:p>
    <w:p w14:paraId="64A91544" w14:textId="77777777" w:rsidR="004462A0" w:rsidRPr="008912CF" w:rsidRDefault="004462A0" w:rsidP="004462A0">
      <w:pPr>
        <w:pStyle w:val="EMEANormal"/>
        <w:rPr>
          <w:szCs w:val="22"/>
          <w:lang w:val="pt-PT"/>
        </w:rPr>
      </w:pPr>
    </w:p>
    <w:p w14:paraId="45A1C578" w14:textId="77777777" w:rsidR="004462A0" w:rsidRPr="008912CF" w:rsidRDefault="00615769" w:rsidP="004462A0">
      <w:pPr>
        <w:pStyle w:val="EMEANormal"/>
        <w:rPr>
          <w:szCs w:val="22"/>
          <w:lang w:val="pt-PT"/>
        </w:rPr>
      </w:pPr>
      <w:r w:rsidRPr="008912CF">
        <w:rPr>
          <w:szCs w:val="22"/>
          <w:lang w:val="pt-PT"/>
        </w:rPr>
        <w:t>Nos doentes tratados com Humira sem progressão radiográfica desde a avaliação basal à Semana 48 (n = 102), 84</w:t>
      </w:r>
      <w:r w:rsidR="009343EF">
        <w:rPr>
          <w:szCs w:val="22"/>
          <w:lang w:val="pt-PT"/>
        </w:rPr>
        <w:t>%</w:t>
      </w:r>
      <w:r w:rsidRPr="008912CF">
        <w:rPr>
          <w:szCs w:val="22"/>
          <w:lang w:val="pt-PT"/>
        </w:rPr>
        <w:t xml:space="preserve"> continuaram a mostrar </w:t>
      </w:r>
      <w:r w:rsidR="00C41293">
        <w:rPr>
          <w:szCs w:val="22"/>
          <w:lang w:val="pt-PT"/>
        </w:rPr>
        <w:t>ausência de</w:t>
      </w:r>
      <w:r w:rsidRPr="008912CF">
        <w:rPr>
          <w:szCs w:val="22"/>
          <w:lang w:val="pt-PT"/>
        </w:rPr>
        <w:t xml:space="preserve"> progressão radiográfica durante 144 semanas de tratamento.</w:t>
      </w:r>
    </w:p>
    <w:p w14:paraId="6A21586B" w14:textId="77777777" w:rsidR="004462A0" w:rsidRPr="008912CF" w:rsidRDefault="00615769" w:rsidP="004462A0">
      <w:pPr>
        <w:pStyle w:val="EMEANormal"/>
        <w:rPr>
          <w:szCs w:val="22"/>
          <w:lang w:val="pt-PT"/>
        </w:rPr>
      </w:pPr>
      <w:r w:rsidRPr="008912CF">
        <w:rPr>
          <w:szCs w:val="22"/>
          <w:lang w:val="pt-PT"/>
        </w:rPr>
        <w:t xml:space="preserve">Os doentes tratados com Humira demonstraram uma melhoria estatisticamente significativa na função física avaliada por HAQ e por </w:t>
      </w:r>
      <w:r w:rsidRPr="008912CF">
        <w:rPr>
          <w:i/>
          <w:szCs w:val="22"/>
          <w:lang w:val="pt-PT"/>
        </w:rPr>
        <w:t>Short Form Health Survey</w:t>
      </w:r>
      <w:r w:rsidRPr="008912CF">
        <w:rPr>
          <w:szCs w:val="22"/>
          <w:lang w:val="pt-PT"/>
        </w:rPr>
        <w:t xml:space="preserve"> (SF 36) comparativamente ao placebo à Semana 24. A melhoria da função física continuou durante a extensão de fase aberta até á Semana 136.</w:t>
      </w:r>
    </w:p>
    <w:p w14:paraId="1C49FA2F" w14:textId="77777777" w:rsidR="004462A0" w:rsidRPr="008912CF" w:rsidRDefault="004462A0" w:rsidP="004462A0">
      <w:pPr>
        <w:pStyle w:val="Heading9"/>
        <w:keepNext w:val="0"/>
        <w:rPr>
          <w:szCs w:val="22"/>
        </w:rPr>
      </w:pPr>
    </w:p>
    <w:p w14:paraId="5D0F9379" w14:textId="77777777" w:rsidR="004462A0" w:rsidRPr="008912CF" w:rsidRDefault="00615769" w:rsidP="00047604">
      <w:pPr>
        <w:pStyle w:val="Heading9"/>
        <w:rPr>
          <w:szCs w:val="22"/>
          <w:u w:val="none"/>
        </w:rPr>
      </w:pPr>
      <w:r w:rsidRPr="008912CF">
        <w:rPr>
          <w:i/>
          <w:szCs w:val="22"/>
          <w:u w:val="none"/>
        </w:rPr>
        <w:t>Psoríase</w:t>
      </w:r>
      <w:r w:rsidRPr="008912CF">
        <w:rPr>
          <w:szCs w:val="22"/>
          <w:u w:val="none"/>
        </w:rPr>
        <w:t xml:space="preserve"> </w:t>
      </w:r>
    </w:p>
    <w:p w14:paraId="39995DDA" w14:textId="77777777" w:rsidR="004462A0" w:rsidRPr="008912CF" w:rsidRDefault="004462A0" w:rsidP="00047604">
      <w:pPr>
        <w:keepNext/>
        <w:rPr>
          <w:sz w:val="22"/>
          <w:szCs w:val="22"/>
          <w:u w:val="single"/>
        </w:rPr>
      </w:pPr>
    </w:p>
    <w:p w14:paraId="4BB24651" w14:textId="77777777" w:rsidR="004462A0" w:rsidRPr="008912CF" w:rsidRDefault="00615769" w:rsidP="00047604">
      <w:pPr>
        <w:keepNext/>
        <w:rPr>
          <w:sz w:val="22"/>
          <w:szCs w:val="22"/>
        </w:rPr>
      </w:pPr>
      <w:r w:rsidRPr="008912CF">
        <w:rPr>
          <w:sz w:val="22"/>
          <w:szCs w:val="22"/>
        </w:rPr>
        <w:t xml:space="preserve">A segurança e eficácia de Humira foram avaliadas em estudos </w:t>
      </w:r>
      <w:r w:rsidR="0013275C">
        <w:rPr>
          <w:sz w:val="22"/>
          <w:szCs w:val="22"/>
        </w:rPr>
        <w:t>aleatorizado</w:t>
      </w:r>
      <w:r w:rsidRPr="008912CF">
        <w:rPr>
          <w:sz w:val="22"/>
          <w:szCs w:val="22"/>
        </w:rPr>
        <w:t>s, com dupla ocultação, em doentes adultos com psoríase crónica em placas (BSA </w:t>
      </w:r>
      <w:r w:rsidRPr="008912CF">
        <w:rPr>
          <w:rFonts w:ascii="Symbol" w:hAnsi="Symbol"/>
          <w:sz w:val="22"/>
          <w:szCs w:val="22"/>
        </w:rPr>
        <w:sym w:font="Symbol" w:char="F0B3"/>
      </w:r>
      <w:r w:rsidRPr="008912CF">
        <w:rPr>
          <w:sz w:val="22"/>
          <w:szCs w:val="22"/>
        </w:rPr>
        <w:t> 10</w:t>
      </w:r>
      <w:r w:rsidR="009343EF">
        <w:rPr>
          <w:sz w:val="22"/>
          <w:szCs w:val="22"/>
        </w:rPr>
        <w:t>%</w:t>
      </w:r>
      <w:r w:rsidRPr="008912CF">
        <w:rPr>
          <w:sz w:val="22"/>
          <w:szCs w:val="22"/>
        </w:rPr>
        <w:t xml:space="preserve"> e </w:t>
      </w:r>
      <w:r w:rsidRPr="008912CF">
        <w:rPr>
          <w:i/>
          <w:sz w:val="22"/>
          <w:szCs w:val="22"/>
        </w:rPr>
        <w:t>Psoriasis Area and Severity Index</w:t>
      </w:r>
      <w:r w:rsidRPr="008912CF">
        <w:rPr>
          <w:sz w:val="22"/>
          <w:szCs w:val="22"/>
        </w:rPr>
        <w:t xml:space="preserve"> (PASI) </w:t>
      </w:r>
      <w:r w:rsidRPr="008912CF">
        <w:rPr>
          <w:rFonts w:ascii="Symbol" w:hAnsi="Symbol"/>
          <w:sz w:val="22"/>
          <w:szCs w:val="22"/>
        </w:rPr>
        <w:sym w:font="Symbol" w:char="F0B3"/>
      </w:r>
      <w:r w:rsidRPr="008912CF">
        <w:rPr>
          <w:sz w:val="22"/>
          <w:szCs w:val="22"/>
        </w:rPr>
        <w:t xml:space="preserve"> 12 ou </w:t>
      </w:r>
      <w:r w:rsidRPr="008912CF">
        <w:rPr>
          <w:rFonts w:ascii="Symbol" w:hAnsi="Symbol"/>
          <w:sz w:val="22"/>
          <w:szCs w:val="22"/>
        </w:rPr>
        <w:sym w:font="Symbol" w:char="F0B3"/>
      </w:r>
      <w:r w:rsidRPr="008912CF">
        <w:rPr>
          <w:sz w:val="22"/>
          <w:szCs w:val="22"/>
        </w:rPr>
        <w:t xml:space="preserve"> 10), que </w:t>
      </w:r>
      <w:r w:rsidR="005049F7">
        <w:rPr>
          <w:sz w:val="22"/>
          <w:szCs w:val="22"/>
        </w:rPr>
        <w:t>e</w:t>
      </w:r>
      <w:r w:rsidRPr="008912CF">
        <w:rPr>
          <w:sz w:val="22"/>
          <w:szCs w:val="22"/>
        </w:rPr>
        <w:t>ram candidatos a uma terapêutica sistémica ou fototerapia. 73</w:t>
      </w:r>
      <w:r w:rsidR="009343EF">
        <w:rPr>
          <w:sz w:val="22"/>
          <w:szCs w:val="22"/>
        </w:rPr>
        <w:t>%</w:t>
      </w:r>
      <w:r w:rsidRPr="008912CF">
        <w:rPr>
          <w:sz w:val="22"/>
          <w:szCs w:val="22"/>
        </w:rPr>
        <w:t xml:space="preserve"> dos doentes envolvidos nos estudos I e II da Psoríase receberam previamente terapêutica sistémica ou fototerapia. A segurança e eficácia de Humira foram também avaliadas num estudo </w:t>
      </w:r>
      <w:r w:rsidR="0013275C">
        <w:rPr>
          <w:sz w:val="22"/>
          <w:szCs w:val="22"/>
        </w:rPr>
        <w:t>aleatorizado</w:t>
      </w:r>
      <w:r w:rsidRPr="008912CF">
        <w:rPr>
          <w:sz w:val="22"/>
          <w:szCs w:val="22"/>
        </w:rPr>
        <w:t xml:space="preserve"> em dupla ocultação (Estudo III na Psoríase) em doentes adultos com psoríase crónica em placas m</w:t>
      </w:r>
      <w:r w:rsidRPr="008912CF">
        <w:rPr>
          <w:sz w:val="22"/>
          <w:szCs w:val="22"/>
        </w:rPr>
        <w:t xml:space="preserve">oderada a grave </w:t>
      </w:r>
      <w:r w:rsidR="00331F8A">
        <w:rPr>
          <w:sz w:val="22"/>
          <w:szCs w:val="22"/>
        </w:rPr>
        <w:t>e</w:t>
      </w:r>
      <w:r w:rsidRPr="008912CF">
        <w:rPr>
          <w:sz w:val="22"/>
          <w:szCs w:val="22"/>
        </w:rPr>
        <w:t xml:space="preserve"> psoríase palmar e/ou plantar concomitante, que </w:t>
      </w:r>
      <w:r w:rsidR="00331F8A">
        <w:rPr>
          <w:sz w:val="22"/>
          <w:szCs w:val="22"/>
        </w:rPr>
        <w:t>e</w:t>
      </w:r>
      <w:r w:rsidRPr="008912CF">
        <w:rPr>
          <w:sz w:val="22"/>
          <w:szCs w:val="22"/>
        </w:rPr>
        <w:t>ram candidatos a uma terapêutica sistémica.</w:t>
      </w:r>
    </w:p>
    <w:p w14:paraId="11406E44" w14:textId="77777777" w:rsidR="004462A0" w:rsidRPr="008912CF" w:rsidRDefault="004462A0" w:rsidP="004462A0">
      <w:pPr>
        <w:rPr>
          <w:sz w:val="22"/>
          <w:szCs w:val="22"/>
        </w:rPr>
      </w:pPr>
    </w:p>
    <w:p w14:paraId="6FD2DC33" w14:textId="77777777" w:rsidR="004462A0" w:rsidRPr="008912CF" w:rsidRDefault="00615769" w:rsidP="004462A0">
      <w:pPr>
        <w:rPr>
          <w:sz w:val="22"/>
          <w:szCs w:val="22"/>
        </w:rPr>
      </w:pPr>
      <w:r w:rsidRPr="008912CF">
        <w:rPr>
          <w:sz w:val="22"/>
          <w:szCs w:val="22"/>
        </w:rPr>
        <w:t>O estudo I na Psoríase (REVEAL) avaliou 1.212 doentes em três períodos de tratamento. No período A, os doentes receberam placebo ou Humira numa dose inicial de 80 mg seguida de 40 mg em semanas alternadas, uma semana após a dose inicial. Os doentes que atingiram pelo menos uma resposta PASI 75 (melhoria de pelo menos 75</w:t>
      </w:r>
      <w:r w:rsidR="009343EF">
        <w:rPr>
          <w:sz w:val="22"/>
          <w:szCs w:val="22"/>
        </w:rPr>
        <w:t>%</w:t>
      </w:r>
      <w:r w:rsidRPr="008912CF">
        <w:rPr>
          <w:sz w:val="22"/>
          <w:szCs w:val="22"/>
        </w:rPr>
        <w:t xml:space="preserve"> no PASI em relação à avaliação basal), após 16 semanas de terapêutica, entraram no período B e receberam 40 mg de Humira em fase aberta, em semanas alternadas. Os doentes que mantiveram uma resposta </w:t>
      </w:r>
      <w:r w:rsidRPr="008912CF">
        <w:rPr>
          <w:rFonts w:ascii="Symbol" w:hAnsi="Symbol"/>
          <w:sz w:val="22"/>
          <w:szCs w:val="22"/>
        </w:rPr>
        <w:sym w:font="Symbol" w:char="F0B3"/>
      </w:r>
      <w:r w:rsidRPr="008912CF">
        <w:rPr>
          <w:sz w:val="22"/>
          <w:szCs w:val="22"/>
        </w:rPr>
        <w:t xml:space="preserve"> PASI 75 à Semana 33 e </w:t>
      </w:r>
      <w:r w:rsidR="005049F7">
        <w:rPr>
          <w:sz w:val="22"/>
          <w:szCs w:val="22"/>
        </w:rPr>
        <w:t>tinham sido</w:t>
      </w:r>
      <w:r w:rsidR="005049F7" w:rsidRPr="008912CF">
        <w:rPr>
          <w:sz w:val="22"/>
          <w:szCs w:val="22"/>
        </w:rPr>
        <w:t xml:space="preserve"> </w:t>
      </w:r>
      <w:r w:rsidRPr="008912CF">
        <w:rPr>
          <w:sz w:val="22"/>
          <w:szCs w:val="22"/>
        </w:rPr>
        <w:t xml:space="preserve">originalmente </w:t>
      </w:r>
      <w:r w:rsidR="0013275C">
        <w:rPr>
          <w:sz w:val="22"/>
          <w:szCs w:val="22"/>
        </w:rPr>
        <w:t>aleatorizado</w:t>
      </w:r>
      <w:r w:rsidRPr="008912CF">
        <w:rPr>
          <w:sz w:val="22"/>
          <w:szCs w:val="22"/>
        </w:rPr>
        <w:t xml:space="preserve">s para uma terapêutica ativa no Período A, foram de novo </w:t>
      </w:r>
      <w:r w:rsidR="0013275C">
        <w:rPr>
          <w:sz w:val="22"/>
          <w:szCs w:val="22"/>
        </w:rPr>
        <w:t>aleatorizado</w:t>
      </w:r>
      <w:r w:rsidRPr="008912CF">
        <w:rPr>
          <w:sz w:val="22"/>
          <w:szCs w:val="22"/>
        </w:rPr>
        <w:t xml:space="preserve">s no período C para receberem 40 mg de Humira em semanas alternadas ou placebo, por um período adicional de 19 semanas. Em todos os grupos de tratamento, a pontuação basal média PASI foi 18,9 e o </w:t>
      </w:r>
      <w:r w:rsidRPr="008912CF">
        <w:rPr>
          <w:i/>
          <w:sz w:val="22"/>
          <w:szCs w:val="22"/>
        </w:rPr>
        <w:t>Physician’s Global Assessment</w:t>
      </w:r>
      <w:r w:rsidRPr="008912CF">
        <w:rPr>
          <w:sz w:val="22"/>
          <w:szCs w:val="22"/>
        </w:rPr>
        <w:t xml:space="preserve"> (PGA) foi classificado entre “moderada” (53</w:t>
      </w:r>
      <w:r w:rsidR="009343EF">
        <w:rPr>
          <w:sz w:val="22"/>
          <w:szCs w:val="22"/>
        </w:rPr>
        <w:t>%</w:t>
      </w:r>
      <w:r w:rsidRPr="008912CF">
        <w:rPr>
          <w:sz w:val="22"/>
          <w:szCs w:val="22"/>
        </w:rPr>
        <w:t xml:space="preserve"> dos doentes incluídos) a “grave” (41</w:t>
      </w:r>
      <w:r w:rsidR="009343EF">
        <w:rPr>
          <w:sz w:val="22"/>
          <w:szCs w:val="22"/>
        </w:rPr>
        <w:t>%</w:t>
      </w:r>
      <w:r w:rsidRPr="008912CF">
        <w:rPr>
          <w:sz w:val="22"/>
          <w:szCs w:val="22"/>
        </w:rPr>
        <w:t>) a “muito grave” (6</w:t>
      </w:r>
      <w:r w:rsidR="009343EF">
        <w:rPr>
          <w:sz w:val="22"/>
          <w:szCs w:val="22"/>
        </w:rPr>
        <w:t>%</w:t>
      </w:r>
      <w:r w:rsidRPr="008912CF">
        <w:rPr>
          <w:sz w:val="22"/>
          <w:szCs w:val="22"/>
        </w:rPr>
        <w:t>).</w:t>
      </w:r>
    </w:p>
    <w:p w14:paraId="075684E5" w14:textId="77777777" w:rsidR="004462A0" w:rsidRPr="008912CF" w:rsidRDefault="004462A0" w:rsidP="004462A0">
      <w:pPr>
        <w:rPr>
          <w:sz w:val="22"/>
          <w:szCs w:val="22"/>
        </w:rPr>
      </w:pPr>
    </w:p>
    <w:p w14:paraId="1D34FC1E" w14:textId="77777777" w:rsidR="004462A0" w:rsidRPr="008912CF" w:rsidRDefault="00615769" w:rsidP="004462A0">
      <w:pPr>
        <w:autoSpaceDE w:val="0"/>
        <w:autoSpaceDN w:val="0"/>
        <w:adjustRightInd w:val="0"/>
        <w:rPr>
          <w:sz w:val="22"/>
          <w:szCs w:val="22"/>
        </w:rPr>
      </w:pPr>
      <w:r w:rsidRPr="008912CF">
        <w:rPr>
          <w:sz w:val="22"/>
          <w:szCs w:val="22"/>
        </w:rPr>
        <w:t xml:space="preserve">O estudo II na Psoríase (CHAMPION) comparou a eficácia e segurança de Humira versus metotrexato e placebo em 271 doentes. Os doentes receberam placebo, numa dose inicial de 7,5 mg de MTX com um aumento de dose </w:t>
      </w:r>
      <w:r w:rsidR="005049F7">
        <w:rPr>
          <w:sz w:val="22"/>
          <w:szCs w:val="22"/>
        </w:rPr>
        <w:t xml:space="preserve">até </w:t>
      </w:r>
      <w:r w:rsidRPr="008912CF">
        <w:rPr>
          <w:sz w:val="22"/>
          <w:szCs w:val="22"/>
        </w:rPr>
        <w:t xml:space="preserve">à Semana 12, com uma dose máxima de 25 mg ou uma dose inicial de 80 mg de Humira seguida de 40 mg em semanas alternadas (uma semana após a dose inicial), durante 16 semanas. Não existem dados disponíveis sobre a comparação de Humira e MTX para além de 16 semanas de terapêutica. Os doentes tratados com MTX que atingiram uma resposta </w:t>
      </w:r>
      <w:r w:rsidRPr="008912CF">
        <w:rPr>
          <w:rFonts w:ascii="Symbol" w:hAnsi="Symbol"/>
          <w:sz w:val="22"/>
          <w:szCs w:val="22"/>
        </w:rPr>
        <w:sym w:font="Symbol" w:char="F0B3"/>
      </w:r>
      <w:r w:rsidRPr="008912CF">
        <w:rPr>
          <w:sz w:val="22"/>
          <w:szCs w:val="22"/>
        </w:rPr>
        <w:t xml:space="preserve"> PASI 50 na Semana 8 e/ou 12, não receberam mais aumentos de dose. Em todos os grupos de tratamento, a pontuação basal média </w:t>
      </w:r>
      <w:r w:rsidRPr="008912CF">
        <w:rPr>
          <w:caps/>
          <w:sz w:val="22"/>
          <w:szCs w:val="22"/>
        </w:rPr>
        <w:t>Pasi</w:t>
      </w:r>
      <w:r w:rsidRPr="008912CF">
        <w:rPr>
          <w:sz w:val="22"/>
          <w:szCs w:val="22"/>
        </w:rPr>
        <w:t xml:space="preserve"> foi 19,7 e o PGA foi classificado entre “li</w:t>
      </w:r>
      <w:r w:rsidRPr="008912CF">
        <w:rPr>
          <w:sz w:val="22"/>
          <w:szCs w:val="22"/>
        </w:rPr>
        <w:t>geira” (&lt; 1%) a “moderada” (48</w:t>
      </w:r>
      <w:r w:rsidR="009343EF">
        <w:rPr>
          <w:sz w:val="22"/>
          <w:szCs w:val="22"/>
        </w:rPr>
        <w:t>%</w:t>
      </w:r>
      <w:r w:rsidRPr="008912CF">
        <w:rPr>
          <w:sz w:val="22"/>
          <w:szCs w:val="22"/>
        </w:rPr>
        <w:t>) a “grave” (46</w:t>
      </w:r>
      <w:r w:rsidR="009343EF">
        <w:rPr>
          <w:sz w:val="22"/>
          <w:szCs w:val="22"/>
        </w:rPr>
        <w:t>%</w:t>
      </w:r>
      <w:r w:rsidRPr="008912CF">
        <w:rPr>
          <w:sz w:val="22"/>
          <w:szCs w:val="22"/>
        </w:rPr>
        <w:t>) a “muito grave” (6</w:t>
      </w:r>
      <w:r w:rsidR="009343EF">
        <w:rPr>
          <w:sz w:val="22"/>
          <w:szCs w:val="22"/>
        </w:rPr>
        <w:t>%</w:t>
      </w:r>
      <w:r w:rsidRPr="008912CF">
        <w:rPr>
          <w:sz w:val="22"/>
          <w:szCs w:val="22"/>
        </w:rPr>
        <w:t>).</w:t>
      </w:r>
    </w:p>
    <w:p w14:paraId="14B8C3D9" w14:textId="77777777" w:rsidR="004462A0" w:rsidRPr="008912CF" w:rsidRDefault="004462A0" w:rsidP="004462A0">
      <w:pPr>
        <w:autoSpaceDE w:val="0"/>
        <w:autoSpaceDN w:val="0"/>
        <w:adjustRightInd w:val="0"/>
        <w:rPr>
          <w:sz w:val="22"/>
          <w:szCs w:val="22"/>
        </w:rPr>
      </w:pPr>
    </w:p>
    <w:p w14:paraId="0F3E111C" w14:textId="77777777" w:rsidR="004462A0" w:rsidRPr="008912CF" w:rsidRDefault="00615769" w:rsidP="004462A0">
      <w:pPr>
        <w:rPr>
          <w:sz w:val="22"/>
          <w:szCs w:val="22"/>
        </w:rPr>
      </w:pPr>
      <w:r w:rsidRPr="008912CF">
        <w:rPr>
          <w:sz w:val="22"/>
          <w:szCs w:val="22"/>
        </w:rPr>
        <w:t>Os doentes que participaram em todos os estudos de Fase 2 e Fase 3 na psoríase foram elegíveis para inclusão num ensaio de extensão de fase aberta, no qual Humira foi administrado durante, pelo menos, 108 semanas adicionais.</w:t>
      </w:r>
    </w:p>
    <w:p w14:paraId="5B231844" w14:textId="77777777" w:rsidR="004462A0" w:rsidRPr="008912CF" w:rsidRDefault="004462A0" w:rsidP="004462A0">
      <w:pPr>
        <w:rPr>
          <w:iCs/>
          <w:sz w:val="22"/>
          <w:szCs w:val="22"/>
        </w:rPr>
      </w:pPr>
    </w:p>
    <w:p w14:paraId="6C66D246" w14:textId="77777777" w:rsidR="004462A0" w:rsidRPr="008912CF" w:rsidRDefault="00615769" w:rsidP="004462A0">
      <w:pPr>
        <w:rPr>
          <w:sz w:val="22"/>
          <w:szCs w:val="22"/>
        </w:rPr>
      </w:pPr>
      <w:r w:rsidRPr="008912CF">
        <w:rPr>
          <w:iCs/>
          <w:sz w:val="22"/>
          <w:szCs w:val="22"/>
        </w:rPr>
        <w:t xml:space="preserve">Nos estudos I e II na Psoríase, o objetivo primário foi a percentagem de doentes que atingiram uma resposta PASI 75, desde a avaliação basal, à Semana 16 </w:t>
      </w:r>
      <w:r w:rsidRPr="008912CF">
        <w:rPr>
          <w:sz w:val="22"/>
          <w:szCs w:val="22"/>
        </w:rPr>
        <w:t xml:space="preserve">(ver Tabelas </w:t>
      </w:r>
      <w:r w:rsidR="00E60C95">
        <w:rPr>
          <w:sz w:val="22"/>
          <w:szCs w:val="22"/>
        </w:rPr>
        <w:t>1</w:t>
      </w:r>
      <w:r w:rsidR="00E549E4">
        <w:rPr>
          <w:sz w:val="22"/>
          <w:szCs w:val="22"/>
        </w:rPr>
        <w:t>6</w:t>
      </w:r>
      <w:r w:rsidRPr="008912CF">
        <w:rPr>
          <w:sz w:val="22"/>
          <w:szCs w:val="22"/>
        </w:rPr>
        <w:t xml:space="preserve"> e </w:t>
      </w:r>
      <w:r w:rsidR="00E60C95">
        <w:rPr>
          <w:sz w:val="22"/>
          <w:szCs w:val="22"/>
        </w:rPr>
        <w:t>1</w:t>
      </w:r>
      <w:r w:rsidR="00E549E4">
        <w:rPr>
          <w:sz w:val="22"/>
          <w:szCs w:val="22"/>
        </w:rPr>
        <w:t>7</w:t>
      </w:r>
      <w:r w:rsidRPr="008912CF">
        <w:rPr>
          <w:sz w:val="22"/>
          <w:szCs w:val="22"/>
        </w:rPr>
        <w:t>).</w:t>
      </w:r>
    </w:p>
    <w:p w14:paraId="3F9DC503" w14:textId="77777777" w:rsidR="004462A0" w:rsidRPr="008912CF" w:rsidRDefault="004462A0" w:rsidP="004462A0">
      <w:pPr>
        <w:rPr>
          <w:sz w:val="22"/>
          <w:szCs w:val="22"/>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A7162A" w14:paraId="0D299842" w14:textId="77777777" w:rsidTr="00F675CF">
        <w:trPr>
          <w:cantSplit/>
          <w:jc w:val="center"/>
        </w:trPr>
        <w:tc>
          <w:tcPr>
            <w:tcW w:w="6949" w:type="dxa"/>
            <w:gridSpan w:val="3"/>
            <w:tcBorders>
              <w:top w:val="nil"/>
              <w:left w:val="nil"/>
              <w:right w:val="nil"/>
            </w:tcBorders>
          </w:tcPr>
          <w:p w14:paraId="229BC80D" w14:textId="77777777" w:rsidR="004462A0" w:rsidRPr="008912CF" w:rsidRDefault="00615769" w:rsidP="00F675CF">
            <w:pPr>
              <w:pStyle w:val="DefaultText"/>
              <w:jc w:val="center"/>
              <w:rPr>
                <w:rFonts w:ascii="Times New Roman" w:hAnsi="Times New Roman"/>
                <w:b/>
                <w:bCs w:val="0"/>
                <w:szCs w:val="22"/>
                <w:lang w:val="pt-PT"/>
              </w:rPr>
            </w:pPr>
            <w:r w:rsidRPr="008912CF">
              <w:rPr>
                <w:rFonts w:ascii="Times New Roman" w:hAnsi="Times New Roman"/>
                <w:b/>
                <w:bCs w:val="0"/>
                <w:szCs w:val="22"/>
                <w:lang w:val="pt-PT"/>
              </w:rPr>
              <w:t xml:space="preserve">Tabela </w:t>
            </w:r>
            <w:r w:rsidR="00E60C95">
              <w:rPr>
                <w:rFonts w:ascii="Times New Roman" w:hAnsi="Times New Roman"/>
                <w:b/>
                <w:bCs w:val="0"/>
                <w:szCs w:val="22"/>
                <w:lang w:val="pt-PT"/>
              </w:rPr>
              <w:t>1</w:t>
            </w:r>
            <w:r w:rsidR="00E549E4">
              <w:rPr>
                <w:rFonts w:ascii="Times New Roman" w:hAnsi="Times New Roman"/>
                <w:b/>
                <w:bCs w:val="0"/>
                <w:szCs w:val="22"/>
                <w:lang w:val="pt-PT"/>
              </w:rPr>
              <w:t>6</w:t>
            </w:r>
          </w:p>
          <w:p w14:paraId="4D566AE5" w14:textId="77777777" w:rsidR="004462A0" w:rsidRPr="008912CF" w:rsidRDefault="00615769" w:rsidP="00F675CF">
            <w:pPr>
              <w:pStyle w:val="DefaultText"/>
              <w:jc w:val="center"/>
              <w:rPr>
                <w:rFonts w:ascii="Times New Roman" w:hAnsi="Times New Roman"/>
                <w:b/>
                <w:bCs w:val="0"/>
                <w:szCs w:val="22"/>
                <w:lang w:val="pt-PT"/>
              </w:rPr>
            </w:pPr>
            <w:r w:rsidRPr="008912CF">
              <w:rPr>
                <w:rFonts w:ascii="Times New Roman" w:hAnsi="Times New Roman"/>
                <w:b/>
                <w:bCs w:val="0"/>
                <w:szCs w:val="22"/>
                <w:lang w:val="pt-PT"/>
              </w:rPr>
              <w:t>Estudo I na Psoríase (REVEAL)</w:t>
            </w:r>
          </w:p>
          <w:p w14:paraId="074FBAAC" w14:textId="77777777" w:rsidR="004462A0" w:rsidRPr="008912CF" w:rsidRDefault="00615769" w:rsidP="00F675CF">
            <w:pPr>
              <w:pStyle w:val="DefaultText"/>
              <w:jc w:val="center"/>
              <w:rPr>
                <w:rFonts w:ascii="Times New Roman" w:hAnsi="Times New Roman"/>
                <w:b/>
                <w:bCs w:val="0"/>
                <w:szCs w:val="22"/>
                <w:lang w:val="pt-PT"/>
              </w:rPr>
            </w:pPr>
            <w:r w:rsidRPr="008912CF">
              <w:rPr>
                <w:rFonts w:ascii="Times New Roman" w:hAnsi="Times New Roman"/>
                <w:b/>
                <w:bCs w:val="0"/>
                <w:szCs w:val="22"/>
                <w:lang w:val="pt-PT"/>
              </w:rPr>
              <w:t>Resultados de Eficácia à</w:t>
            </w:r>
            <w:r w:rsidR="005049F7">
              <w:rPr>
                <w:rFonts w:ascii="Times New Roman" w:hAnsi="Times New Roman"/>
                <w:b/>
                <w:bCs w:val="0"/>
                <w:szCs w:val="22"/>
                <w:lang w:val="pt-PT"/>
              </w:rPr>
              <w:t xml:space="preserve"> Semana</w:t>
            </w:r>
            <w:r w:rsidRPr="008912CF">
              <w:rPr>
                <w:rFonts w:ascii="Times New Roman" w:hAnsi="Times New Roman"/>
                <w:b/>
                <w:bCs w:val="0"/>
                <w:szCs w:val="22"/>
                <w:lang w:val="pt-PT"/>
              </w:rPr>
              <w:t xml:space="preserve"> 16</w:t>
            </w:r>
          </w:p>
          <w:p w14:paraId="18B9060B" w14:textId="77777777" w:rsidR="004462A0" w:rsidRPr="008912CF" w:rsidRDefault="004462A0" w:rsidP="00F675CF">
            <w:pPr>
              <w:pStyle w:val="DefaultText"/>
              <w:jc w:val="center"/>
              <w:rPr>
                <w:rFonts w:ascii="Times New Roman" w:hAnsi="Times New Roman"/>
                <w:b/>
                <w:bCs w:val="0"/>
                <w:szCs w:val="22"/>
                <w:u w:val="single"/>
                <w:lang w:val="pt-PT"/>
              </w:rPr>
            </w:pPr>
          </w:p>
        </w:tc>
      </w:tr>
      <w:tr w:rsidR="00A7162A" w14:paraId="50D1223C" w14:textId="77777777" w:rsidTr="00F675CF">
        <w:trPr>
          <w:cantSplit/>
          <w:jc w:val="center"/>
        </w:trPr>
        <w:tc>
          <w:tcPr>
            <w:tcW w:w="2977" w:type="dxa"/>
            <w:vAlign w:val="center"/>
          </w:tcPr>
          <w:p w14:paraId="0FC2E1AA" w14:textId="77777777" w:rsidR="004462A0" w:rsidRPr="008912CF" w:rsidRDefault="004462A0" w:rsidP="00F675CF">
            <w:pPr>
              <w:pStyle w:val="DefaultText"/>
              <w:rPr>
                <w:rFonts w:ascii="Times New Roman" w:hAnsi="Times New Roman"/>
                <w:b/>
                <w:bCs w:val="0"/>
                <w:szCs w:val="22"/>
                <w:lang w:val="pt-PT"/>
              </w:rPr>
            </w:pPr>
          </w:p>
        </w:tc>
        <w:tc>
          <w:tcPr>
            <w:tcW w:w="1620" w:type="dxa"/>
            <w:vAlign w:val="center"/>
          </w:tcPr>
          <w:p w14:paraId="4257E763" w14:textId="77777777" w:rsidR="004462A0" w:rsidRPr="008912CF" w:rsidRDefault="00615769" w:rsidP="00F675CF">
            <w:pPr>
              <w:pStyle w:val="DefaultText"/>
              <w:jc w:val="center"/>
              <w:rPr>
                <w:rFonts w:ascii="Times New Roman" w:hAnsi="Times New Roman"/>
                <w:b/>
                <w:bCs w:val="0"/>
                <w:szCs w:val="22"/>
                <w:lang w:val="pt-PT"/>
              </w:rPr>
            </w:pPr>
            <w:r w:rsidRPr="008912CF">
              <w:rPr>
                <w:rFonts w:ascii="Times New Roman" w:hAnsi="Times New Roman"/>
                <w:b/>
                <w:bCs w:val="0"/>
                <w:szCs w:val="22"/>
                <w:lang w:val="pt-PT"/>
              </w:rPr>
              <w:t>Placebo</w:t>
            </w:r>
          </w:p>
          <w:p w14:paraId="41549662" w14:textId="77777777" w:rsidR="004462A0" w:rsidRPr="008912CF" w:rsidRDefault="00615769" w:rsidP="00F675CF">
            <w:pPr>
              <w:pStyle w:val="DefaultText"/>
              <w:jc w:val="center"/>
              <w:rPr>
                <w:rFonts w:ascii="Times New Roman" w:hAnsi="Times New Roman"/>
                <w:b/>
                <w:bCs w:val="0"/>
                <w:szCs w:val="22"/>
                <w:lang w:val="pt-PT"/>
              </w:rPr>
            </w:pPr>
            <w:r w:rsidRPr="008912CF">
              <w:rPr>
                <w:rFonts w:ascii="Times New Roman" w:hAnsi="Times New Roman"/>
                <w:b/>
                <w:bCs w:val="0"/>
                <w:szCs w:val="22"/>
                <w:lang w:val="pt-PT"/>
              </w:rPr>
              <w:t>N=398</w:t>
            </w:r>
          </w:p>
          <w:p w14:paraId="651A0A23" w14:textId="77777777" w:rsidR="004462A0" w:rsidRPr="008912CF" w:rsidRDefault="00615769" w:rsidP="00F675CF">
            <w:pPr>
              <w:pStyle w:val="DefaultText"/>
              <w:jc w:val="center"/>
              <w:rPr>
                <w:rFonts w:ascii="Times New Roman" w:hAnsi="Times New Roman"/>
                <w:b/>
                <w:bCs w:val="0"/>
                <w:szCs w:val="22"/>
                <w:lang w:val="pt-PT"/>
              </w:rPr>
            </w:pPr>
            <w:r w:rsidRPr="008912CF">
              <w:rPr>
                <w:rFonts w:ascii="Times New Roman" w:hAnsi="Times New Roman"/>
                <w:b/>
                <w:bCs w:val="0"/>
                <w:szCs w:val="22"/>
                <w:lang w:val="pt-PT"/>
              </w:rPr>
              <w:t>n (%)</w:t>
            </w:r>
          </w:p>
        </w:tc>
        <w:tc>
          <w:tcPr>
            <w:tcW w:w="2352" w:type="dxa"/>
            <w:vAlign w:val="center"/>
          </w:tcPr>
          <w:p w14:paraId="3303C711" w14:textId="77777777" w:rsidR="004462A0" w:rsidRPr="008912CF" w:rsidRDefault="00615769" w:rsidP="00F675CF">
            <w:pPr>
              <w:pStyle w:val="DefaultText"/>
              <w:jc w:val="center"/>
              <w:rPr>
                <w:rFonts w:ascii="Times New Roman" w:hAnsi="Times New Roman"/>
                <w:b/>
                <w:bCs w:val="0"/>
                <w:szCs w:val="22"/>
                <w:lang w:val="pt-PT"/>
              </w:rPr>
            </w:pPr>
            <w:r w:rsidRPr="008912CF">
              <w:rPr>
                <w:rFonts w:ascii="Times New Roman" w:hAnsi="Times New Roman"/>
                <w:b/>
                <w:bCs w:val="0"/>
                <w:szCs w:val="22"/>
                <w:lang w:val="pt-PT"/>
              </w:rPr>
              <w:t>Humira 40 mg em semanas alternadas</w:t>
            </w:r>
          </w:p>
          <w:p w14:paraId="32F8B5A9" w14:textId="77777777" w:rsidR="004462A0" w:rsidRPr="008912CF" w:rsidRDefault="00615769" w:rsidP="00F675CF">
            <w:pPr>
              <w:pStyle w:val="DefaultText"/>
              <w:jc w:val="center"/>
              <w:rPr>
                <w:rFonts w:ascii="Times New Roman" w:hAnsi="Times New Roman"/>
                <w:b/>
                <w:bCs w:val="0"/>
                <w:szCs w:val="22"/>
                <w:lang w:val="pt-PT"/>
              </w:rPr>
            </w:pPr>
            <w:r w:rsidRPr="008912CF">
              <w:rPr>
                <w:rFonts w:ascii="Times New Roman" w:hAnsi="Times New Roman"/>
                <w:b/>
                <w:bCs w:val="0"/>
                <w:szCs w:val="22"/>
                <w:lang w:val="pt-PT"/>
              </w:rPr>
              <w:t>N=814</w:t>
            </w:r>
          </w:p>
          <w:p w14:paraId="0A5DF01C" w14:textId="77777777" w:rsidR="004462A0" w:rsidRPr="008912CF" w:rsidRDefault="00615769" w:rsidP="00F675CF">
            <w:pPr>
              <w:pStyle w:val="DefaultText"/>
              <w:jc w:val="center"/>
              <w:rPr>
                <w:rFonts w:ascii="Times New Roman" w:hAnsi="Times New Roman"/>
                <w:b/>
                <w:bCs w:val="0"/>
                <w:szCs w:val="22"/>
                <w:lang w:val="pt-PT"/>
              </w:rPr>
            </w:pPr>
            <w:r>
              <w:rPr>
                <w:rFonts w:ascii="Times New Roman" w:hAnsi="Times New Roman"/>
                <w:b/>
                <w:bCs w:val="0"/>
                <w:szCs w:val="22"/>
                <w:lang w:val="pt-PT"/>
              </w:rPr>
              <w:t>n</w:t>
            </w:r>
            <w:r w:rsidRPr="008912CF">
              <w:rPr>
                <w:rFonts w:ascii="Times New Roman" w:hAnsi="Times New Roman"/>
                <w:b/>
                <w:bCs w:val="0"/>
                <w:szCs w:val="22"/>
                <w:lang w:val="pt-PT"/>
              </w:rPr>
              <w:t xml:space="preserve"> (%)</w:t>
            </w:r>
          </w:p>
        </w:tc>
      </w:tr>
      <w:tr w:rsidR="00A7162A" w14:paraId="2C0A3238" w14:textId="77777777" w:rsidTr="00F675CF">
        <w:trPr>
          <w:cantSplit/>
          <w:jc w:val="center"/>
        </w:trPr>
        <w:tc>
          <w:tcPr>
            <w:tcW w:w="2977" w:type="dxa"/>
          </w:tcPr>
          <w:p w14:paraId="021B3D41" w14:textId="77777777" w:rsidR="004462A0" w:rsidRPr="008912CF" w:rsidRDefault="00615769" w:rsidP="00F675CF">
            <w:pPr>
              <w:pStyle w:val="DefaultText"/>
              <w:rPr>
                <w:rFonts w:ascii="Times New Roman" w:hAnsi="Times New Roman"/>
                <w:b/>
                <w:bCs w:val="0"/>
                <w:szCs w:val="22"/>
                <w:lang w:val="pt-PT"/>
              </w:rPr>
            </w:pPr>
            <w:r w:rsidRPr="008912CF">
              <w:rPr>
                <w:rFonts w:ascii="Symbol" w:hAnsi="Symbol"/>
                <w:b/>
                <w:bCs w:val="0"/>
                <w:szCs w:val="22"/>
                <w:lang w:val="pt-PT"/>
              </w:rPr>
              <w:sym w:font="Symbol" w:char="F0B3"/>
            </w:r>
            <w:r w:rsidR="00601734">
              <w:rPr>
                <w:rFonts w:ascii="Symbol" w:hAnsi="Symbol"/>
                <w:b/>
                <w:bCs w:val="0"/>
                <w:szCs w:val="22"/>
                <w:lang w:val="pt-PT"/>
              </w:rPr>
              <w:sym w:font="Symbol" w:char="F020"/>
            </w:r>
            <w:r w:rsidRPr="008912CF">
              <w:rPr>
                <w:rFonts w:ascii="Times New Roman" w:hAnsi="Times New Roman"/>
                <w:b/>
                <w:bCs w:val="0"/>
                <w:szCs w:val="22"/>
                <w:lang w:val="pt-PT"/>
              </w:rPr>
              <w:t>PASI 75</w:t>
            </w:r>
            <w:r w:rsidRPr="008912CF">
              <w:rPr>
                <w:rFonts w:ascii="Times New Roman" w:hAnsi="Times New Roman"/>
                <w:b/>
                <w:bCs w:val="0"/>
                <w:szCs w:val="22"/>
                <w:vertAlign w:val="superscript"/>
                <w:lang w:val="pt-PT"/>
              </w:rPr>
              <w:t>a</w:t>
            </w:r>
          </w:p>
        </w:tc>
        <w:tc>
          <w:tcPr>
            <w:tcW w:w="1620" w:type="dxa"/>
          </w:tcPr>
          <w:p w14:paraId="6A0997D7" w14:textId="77777777" w:rsidR="004462A0" w:rsidRPr="008912CF" w:rsidRDefault="00615769" w:rsidP="00F675CF">
            <w:pPr>
              <w:pStyle w:val="DefaultText"/>
              <w:jc w:val="center"/>
              <w:rPr>
                <w:rFonts w:ascii="Times New Roman" w:hAnsi="Times New Roman"/>
                <w:szCs w:val="22"/>
                <w:lang w:val="pt-PT"/>
              </w:rPr>
            </w:pPr>
            <w:r w:rsidRPr="008912CF">
              <w:rPr>
                <w:rFonts w:ascii="Times New Roman" w:hAnsi="Times New Roman"/>
                <w:szCs w:val="22"/>
                <w:lang w:val="pt-PT"/>
              </w:rPr>
              <w:t>26 (6,5)</w:t>
            </w:r>
          </w:p>
        </w:tc>
        <w:tc>
          <w:tcPr>
            <w:tcW w:w="2352" w:type="dxa"/>
          </w:tcPr>
          <w:p w14:paraId="0D12F9EA" w14:textId="77777777" w:rsidR="004462A0" w:rsidRPr="008912CF" w:rsidRDefault="00615769" w:rsidP="00F675CF">
            <w:pPr>
              <w:pStyle w:val="DefaultText"/>
              <w:jc w:val="center"/>
              <w:rPr>
                <w:rFonts w:ascii="Times New Roman" w:hAnsi="Times New Roman"/>
                <w:szCs w:val="22"/>
                <w:lang w:val="pt-PT"/>
              </w:rPr>
            </w:pPr>
            <w:r w:rsidRPr="008912CF">
              <w:rPr>
                <w:rFonts w:ascii="Times New Roman" w:hAnsi="Times New Roman"/>
                <w:szCs w:val="22"/>
                <w:lang w:val="pt-PT"/>
              </w:rPr>
              <w:t>578 (70,9)</w:t>
            </w:r>
            <w:r w:rsidRPr="008912CF">
              <w:rPr>
                <w:rFonts w:ascii="Times New Roman" w:hAnsi="Times New Roman"/>
                <w:szCs w:val="22"/>
                <w:vertAlign w:val="superscript"/>
                <w:lang w:val="pt-PT"/>
              </w:rPr>
              <w:t>b</w:t>
            </w:r>
          </w:p>
        </w:tc>
      </w:tr>
      <w:tr w:rsidR="00A7162A" w14:paraId="3C5C8637" w14:textId="77777777" w:rsidTr="00F675CF">
        <w:trPr>
          <w:cantSplit/>
          <w:trHeight w:val="70"/>
          <w:jc w:val="center"/>
        </w:trPr>
        <w:tc>
          <w:tcPr>
            <w:tcW w:w="2977" w:type="dxa"/>
          </w:tcPr>
          <w:p w14:paraId="1E354844" w14:textId="77777777" w:rsidR="004462A0" w:rsidRPr="008912CF" w:rsidRDefault="00615769" w:rsidP="00F675CF">
            <w:pPr>
              <w:pStyle w:val="DefaultText"/>
              <w:rPr>
                <w:rFonts w:ascii="Times New Roman" w:hAnsi="Times New Roman"/>
                <w:b/>
                <w:bCs w:val="0"/>
                <w:szCs w:val="22"/>
                <w:lang w:val="pt-PT"/>
              </w:rPr>
            </w:pPr>
            <w:r w:rsidRPr="008912CF">
              <w:rPr>
                <w:rFonts w:ascii="Times New Roman" w:hAnsi="Times New Roman"/>
                <w:b/>
                <w:bCs w:val="0"/>
                <w:szCs w:val="22"/>
                <w:lang w:val="pt-PT"/>
              </w:rPr>
              <w:t>PASI 100</w:t>
            </w:r>
          </w:p>
        </w:tc>
        <w:tc>
          <w:tcPr>
            <w:tcW w:w="1620" w:type="dxa"/>
          </w:tcPr>
          <w:p w14:paraId="7D221BD6" w14:textId="77777777" w:rsidR="004462A0" w:rsidRPr="008912CF" w:rsidRDefault="00615769" w:rsidP="00F675CF">
            <w:pPr>
              <w:pStyle w:val="DefaultText"/>
              <w:jc w:val="center"/>
              <w:rPr>
                <w:rFonts w:ascii="Times New Roman" w:hAnsi="Times New Roman"/>
                <w:szCs w:val="22"/>
                <w:lang w:val="pt-PT"/>
              </w:rPr>
            </w:pPr>
            <w:r w:rsidRPr="008912CF">
              <w:rPr>
                <w:rFonts w:ascii="Times New Roman" w:hAnsi="Times New Roman"/>
                <w:szCs w:val="22"/>
                <w:lang w:val="pt-PT"/>
              </w:rPr>
              <w:t>3 (0,8)</w:t>
            </w:r>
          </w:p>
        </w:tc>
        <w:tc>
          <w:tcPr>
            <w:tcW w:w="2352" w:type="dxa"/>
          </w:tcPr>
          <w:p w14:paraId="2092D75B" w14:textId="77777777" w:rsidR="004462A0" w:rsidRPr="008912CF" w:rsidRDefault="00615769" w:rsidP="00F675CF">
            <w:pPr>
              <w:pStyle w:val="DefaultText"/>
              <w:jc w:val="center"/>
              <w:rPr>
                <w:rFonts w:ascii="Times New Roman" w:hAnsi="Times New Roman"/>
                <w:szCs w:val="22"/>
                <w:lang w:val="pt-PT"/>
              </w:rPr>
            </w:pPr>
            <w:r w:rsidRPr="008912CF">
              <w:rPr>
                <w:rFonts w:ascii="Times New Roman" w:hAnsi="Times New Roman"/>
                <w:szCs w:val="22"/>
                <w:lang w:val="pt-PT"/>
              </w:rPr>
              <w:t>163 (20,0)</w:t>
            </w:r>
            <w:r w:rsidRPr="008912CF">
              <w:rPr>
                <w:rFonts w:ascii="Times New Roman" w:hAnsi="Times New Roman"/>
                <w:szCs w:val="22"/>
                <w:vertAlign w:val="superscript"/>
                <w:lang w:val="pt-PT"/>
              </w:rPr>
              <w:t>b</w:t>
            </w:r>
          </w:p>
        </w:tc>
      </w:tr>
      <w:tr w:rsidR="00A7162A" w14:paraId="0C835064" w14:textId="77777777" w:rsidTr="00F675CF">
        <w:trPr>
          <w:cantSplit/>
          <w:jc w:val="center"/>
        </w:trPr>
        <w:tc>
          <w:tcPr>
            <w:tcW w:w="2977" w:type="dxa"/>
          </w:tcPr>
          <w:p w14:paraId="4495C2BF" w14:textId="77777777" w:rsidR="004462A0" w:rsidRPr="008912CF" w:rsidRDefault="00615769" w:rsidP="00F675CF">
            <w:pPr>
              <w:pStyle w:val="DefaultText"/>
              <w:rPr>
                <w:rFonts w:ascii="Times New Roman" w:hAnsi="Times New Roman"/>
                <w:b/>
                <w:bCs w:val="0"/>
                <w:szCs w:val="22"/>
                <w:lang w:val="pt-PT"/>
              </w:rPr>
            </w:pPr>
            <w:r w:rsidRPr="008912CF">
              <w:rPr>
                <w:rFonts w:ascii="Times New Roman" w:hAnsi="Times New Roman"/>
                <w:b/>
                <w:bCs w:val="0"/>
                <w:szCs w:val="22"/>
                <w:lang w:val="pt-PT"/>
              </w:rPr>
              <w:t>PGA: Limp</w:t>
            </w:r>
            <w:r w:rsidR="005049F7">
              <w:rPr>
                <w:rFonts w:ascii="Times New Roman" w:hAnsi="Times New Roman"/>
                <w:b/>
                <w:bCs w:val="0"/>
                <w:szCs w:val="22"/>
                <w:lang w:val="pt-PT"/>
              </w:rPr>
              <w:t>a</w:t>
            </w:r>
            <w:r w:rsidRPr="008912CF">
              <w:rPr>
                <w:rFonts w:ascii="Times New Roman" w:hAnsi="Times New Roman"/>
                <w:b/>
                <w:bCs w:val="0"/>
                <w:szCs w:val="22"/>
                <w:lang w:val="pt-PT"/>
              </w:rPr>
              <w:t>/</w:t>
            </w:r>
            <w:r w:rsidR="00E57BBD">
              <w:rPr>
                <w:rFonts w:ascii="Times New Roman" w:hAnsi="Times New Roman"/>
                <w:b/>
                <w:bCs w:val="0"/>
                <w:szCs w:val="22"/>
                <w:lang w:val="pt-PT"/>
              </w:rPr>
              <w:t>quase limpa</w:t>
            </w:r>
          </w:p>
        </w:tc>
        <w:tc>
          <w:tcPr>
            <w:tcW w:w="1620" w:type="dxa"/>
          </w:tcPr>
          <w:p w14:paraId="405D0043" w14:textId="77777777" w:rsidR="004462A0" w:rsidRPr="008912CF" w:rsidRDefault="00615769" w:rsidP="00F675CF">
            <w:pPr>
              <w:pStyle w:val="DefaultText"/>
              <w:jc w:val="center"/>
              <w:rPr>
                <w:rFonts w:ascii="Times New Roman" w:hAnsi="Times New Roman"/>
                <w:szCs w:val="22"/>
                <w:lang w:val="pt-PT"/>
              </w:rPr>
            </w:pPr>
            <w:r w:rsidRPr="008912CF">
              <w:rPr>
                <w:rFonts w:ascii="Times New Roman" w:hAnsi="Times New Roman"/>
                <w:szCs w:val="22"/>
                <w:lang w:val="pt-PT"/>
              </w:rPr>
              <w:t>17 (4,3)</w:t>
            </w:r>
          </w:p>
        </w:tc>
        <w:tc>
          <w:tcPr>
            <w:tcW w:w="2352" w:type="dxa"/>
          </w:tcPr>
          <w:p w14:paraId="4ADFF33D" w14:textId="77777777" w:rsidR="004462A0" w:rsidRPr="008912CF" w:rsidRDefault="00615769" w:rsidP="00F675CF">
            <w:pPr>
              <w:pStyle w:val="DefaultText"/>
              <w:jc w:val="center"/>
              <w:rPr>
                <w:rFonts w:ascii="Times New Roman" w:hAnsi="Times New Roman"/>
                <w:szCs w:val="22"/>
                <w:lang w:val="pt-PT"/>
              </w:rPr>
            </w:pPr>
            <w:r w:rsidRPr="008912CF">
              <w:rPr>
                <w:rFonts w:ascii="Times New Roman" w:hAnsi="Times New Roman"/>
                <w:szCs w:val="22"/>
                <w:lang w:val="pt-PT"/>
              </w:rPr>
              <w:t>506 (62,2)</w:t>
            </w:r>
            <w:r w:rsidRPr="008912CF">
              <w:rPr>
                <w:rFonts w:ascii="Times New Roman" w:hAnsi="Times New Roman"/>
                <w:szCs w:val="22"/>
                <w:vertAlign w:val="superscript"/>
                <w:lang w:val="pt-PT"/>
              </w:rPr>
              <w:t>b</w:t>
            </w:r>
          </w:p>
        </w:tc>
      </w:tr>
      <w:tr w:rsidR="00A7162A" w14:paraId="76F5336B" w14:textId="77777777" w:rsidTr="00F675CF">
        <w:trPr>
          <w:cantSplit/>
          <w:jc w:val="center"/>
        </w:trPr>
        <w:tc>
          <w:tcPr>
            <w:tcW w:w="6949" w:type="dxa"/>
            <w:gridSpan w:val="3"/>
          </w:tcPr>
          <w:p w14:paraId="24AFCF04" w14:textId="77777777" w:rsidR="004462A0" w:rsidRPr="008912CF" w:rsidRDefault="00615769" w:rsidP="00F675CF">
            <w:pPr>
              <w:pStyle w:val="DefaultText"/>
              <w:rPr>
                <w:rFonts w:ascii="Times New Roman" w:hAnsi="Times New Roman"/>
                <w:szCs w:val="22"/>
                <w:lang w:val="pt-PT"/>
              </w:rPr>
            </w:pPr>
            <w:r w:rsidRPr="008912CF">
              <w:rPr>
                <w:rFonts w:ascii="Times New Roman" w:hAnsi="Times New Roman"/>
                <w:szCs w:val="22"/>
                <w:vertAlign w:val="superscript"/>
                <w:lang w:val="pt-PT"/>
              </w:rPr>
              <w:t>a</w:t>
            </w:r>
            <w:r w:rsidRPr="008912CF">
              <w:rPr>
                <w:rFonts w:ascii="Times New Roman" w:hAnsi="Times New Roman"/>
                <w:szCs w:val="22"/>
                <w:lang w:val="pt-PT"/>
              </w:rPr>
              <w:t xml:space="preserve"> Percentagem de doentes que atingiram uma resposta PASI75 calculada como uma taxa ajustada</w:t>
            </w:r>
          </w:p>
          <w:p w14:paraId="07A59942" w14:textId="77777777" w:rsidR="004462A0" w:rsidRPr="008912CF" w:rsidRDefault="00615769" w:rsidP="00F675CF">
            <w:pPr>
              <w:pStyle w:val="DefaultText"/>
              <w:rPr>
                <w:rFonts w:ascii="Times New Roman" w:hAnsi="Times New Roman"/>
                <w:szCs w:val="22"/>
                <w:lang w:val="pt-PT"/>
              </w:rPr>
            </w:pPr>
            <w:r w:rsidRPr="008912CF">
              <w:rPr>
                <w:rFonts w:ascii="Times New Roman" w:hAnsi="Times New Roman"/>
                <w:szCs w:val="22"/>
                <w:vertAlign w:val="superscript"/>
                <w:lang w:val="pt-PT"/>
              </w:rPr>
              <w:t>b</w:t>
            </w:r>
            <w:r w:rsidRPr="008912CF">
              <w:rPr>
                <w:rFonts w:ascii="Times New Roman" w:hAnsi="Times New Roman"/>
                <w:szCs w:val="22"/>
                <w:lang w:val="pt-PT"/>
              </w:rPr>
              <w:t xml:space="preserve"> p&lt;0,001, Humira vs. Placebo</w:t>
            </w:r>
          </w:p>
        </w:tc>
      </w:tr>
    </w:tbl>
    <w:p w14:paraId="37C283C9" w14:textId="77777777" w:rsidR="004462A0" w:rsidRPr="008912CF" w:rsidRDefault="004462A0" w:rsidP="004462A0"/>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9"/>
        <w:gridCol w:w="1668"/>
        <w:gridCol w:w="1347"/>
        <w:gridCol w:w="2392"/>
      </w:tblGrid>
      <w:tr w:rsidR="00A7162A" w14:paraId="4354252E" w14:textId="77777777" w:rsidTr="00F675CF">
        <w:trPr>
          <w:cantSplit/>
          <w:jc w:val="center"/>
        </w:trPr>
        <w:tc>
          <w:tcPr>
            <w:tcW w:w="7046" w:type="dxa"/>
            <w:gridSpan w:val="4"/>
            <w:tcBorders>
              <w:top w:val="nil"/>
              <w:left w:val="nil"/>
              <w:right w:val="nil"/>
            </w:tcBorders>
          </w:tcPr>
          <w:p w14:paraId="3C468FDC" w14:textId="77777777" w:rsidR="004462A0" w:rsidRPr="008912CF" w:rsidRDefault="00615769" w:rsidP="00F675CF">
            <w:pPr>
              <w:pStyle w:val="DefaultText"/>
              <w:keepNext/>
              <w:jc w:val="center"/>
              <w:rPr>
                <w:rFonts w:ascii="Times New Roman" w:hAnsi="Times New Roman"/>
                <w:b/>
                <w:bCs w:val="0"/>
                <w:szCs w:val="22"/>
                <w:lang w:val="pt-PT"/>
              </w:rPr>
            </w:pPr>
            <w:r w:rsidRPr="008912CF">
              <w:rPr>
                <w:rFonts w:ascii="Times New Roman" w:hAnsi="Times New Roman"/>
                <w:b/>
                <w:bCs w:val="0"/>
                <w:szCs w:val="22"/>
                <w:lang w:val="pt-PT"/>
              </w:rPr>
              <w:t xml:space="preserve">Tabela </w:t>
            </w:r>
            <w:r w:rsidR="00E60C95">
              <w:rPr>
                <w:rFonts w:ascii="Times New Roman" w:hAnsi="Times New Roman"/>
                <w:b/>
                <w:bCs w:val="0"/>
                <w:szCs w:val="22"/>
                <w:lang w:val="pt-PT"/>
              </w:rPr>
              <w:t>1</w:t>
            </w:r>
            <w:r w:rsidR="00E549E4">
              <w:rPr>
                <w:rFonts w:ascii="Times New Roman" w:hAnsi="Times New Roman"/>
                <w:b/>
                <w:bCs w:val="0"/>
                <w:szCs w:val="22"/>
                <w:lang w:val="pt-PT"/>
              </w:rPr>
              <w:t>7</w:t>
            </w:r>
          </w:p>
          <w:p w14:paraId="7A09BC97" w14:textId="77777777" w:rsidR="004462A0" w:rsidRPr="008912CF" w:rsidRDefault="00615769" w:rsidP="00F675CF">
            <w:pPr>
              <w:pStyle w:val="DefaultText"/>
              <w:keepNext/>
              <w:jc w:val="center"/>
              <w:rPr>
                <w:rFonts w:ascii="Times New Roman" w:hAnsi="Times New Roman"/>
                <w:b/>
                <w:bCs w:val="0"/>
                <w:szCs w:val="22"/>
                <w:lang w:val="pt-PT"/>
              </w:rPr>
            </w:pPr>
            <w:r w:rsidRPr="008912CF">
              <w:rPr>
                <w:rFonts w:ascii="Times New Roman" w:hAnsi="Times New Roman"/>
                <w:b/>
                <w:bCs w:val="0"/>
                <w:szCs w:val="22"/>
                <w:lang w:val="pt-PT"/>
              </w:rPr>
              <w:t>Estudo II na Psoríase (CHAMPION)</w:t>
            </w:r>
          </w:p>
          <w:p w14:paraId="6294EC9B" w14:textId="77777777" w:rsidR="004462A0" w:rsidRPr="008912CF" w:rsidRDefault="00615769" w:rsidP="00F675CF">
            <w:pPr>
              <w:pStyle w:val="DefaultText"/>
              <w:keepNext/>
              <w:jc w:val="center"/>
              <w:rPr>
                <w:rFonts w:ascii="Times New Roman" w:hAnsi="Times New Roman"/>
                <w:b/>
                <w:bCs w:val="0"/>
                <w:szCs w:val="22"/>
                <w:lang w:val="pt-PT"/>
              </w:rPr>
            </w:pPr>
            <w:r w:rsidRPr="008912CF">
              <w:rPr>
                <w:rFonts w:ascii="Times New Roman" w:hAnsi="Times New Roman"/>
                <w:b/>
                <w:bCs w:val="0"/>
                <w:szCs w:val="22"/>
                <w:lang w:val="pt-PT"/>
              </w:rPr>
              <w:t>Resultados de Eficácia à</w:t>
            </w:r>
            <w:r w:rsidR="005049F7">
              <w:rPr>
                <w:rFonts w:ascii="Times New Roman" w:hAnsi="Times New Roman"/>
                <w:b/>
                <w:bCs w:val="0"/>
                <w:szCs w:val="22"/>
                <w:lang w:val="pt-PT"/>
              </w:rPr>
              <w:t xml:space="preserve"> Semana</w:t>
            </w:r>
            <w:r w:rsidRPr="008912CF">
              <w:rPr>
                <w:rFonts w:ascii="Times New Roman" w:hAnsi="Times New Roman"/>
                <w:b/>
                <w:bCs w:val="0"/>
                <w:szCs w:val="22"/>
                <w:lang w:val="pt-PT"/>
              </w:rPr>
              <w:t xml:space="preserve"> 16</w:t>
            </w:r>
          </w:p>
          <w:p w14:paraId="0645EAFA" w14:textId="77777777" w:rsidR="004462A0" w:rsidRPr="008912CF" w:rsidRDefault="00615769" w:rsidP="00F675CF">
            <w:pPr>
              <w:pStyle w:val="DefaultText"/>
              <w:keepNext/>
              <w:jc w:val="center"/>
              <w:rPr>
                <w:rFonts w:ascii="Times New Roman" w:hAnsi="Times New Roman"/>
                <w:szCs w:val="22"/>
                <w:u w:val="single"/>
                <w:lang w:val="pt-PT"/>
              </w:rPr>
            </w:pPr>
            <w:r w:rsidRPr="008912CF">
              <w:rPr>
                <w:rFonts w:ascii="Times New Roman" w:hAnsi="Times New Roman"/>
                <w:b/>
                <w:bCs w:val="0"/>
                <w:szCs w:val="22"/>
                <w:lang w:val="pt-PT"/>
              </w:rPr>
              <w:t xml:space="preserve"> </w:t>
            </w:r>
          </w:p>
        </w:tc>
      </w:tr>
      <w:tr w:rsidR="00A7162A" w14:paraId="27717E86" w14:textId="77777777" w:rsidTr="00F675CF">
        <w:trPr>
          <w:cantSplit/>
          <w:jc w:val="center"/>
        </w:trPr>
        <w:tc>
          <w:tcPr>
            <w:tcW w:w="1639" w:type="dxa"/>
          </w:tcPr>
          <w:p w14:paraId="0E231D92" w14:textId="77777777" w:rsidR="004462A0" w:rsidRPr="008912CF" w:rsidRDefault="004462A0" w:rsidP="00F675CF">
            <w:pPr>
              <w:pStyle w:val="DefaultText"/>
              <w:keepNext/>
              <w:jc w:val="center"/>
              <w:rPr>
                <w:rFonts w:ascii="Times New Roman" w:hAnsi="Times New Roman"/>
                <w:b/>
                <w:bCs w:val="0"/>
                <w:szCs w:val="22"/>
                <w:lang w:val="pt-PT"/>
              </w:rPr>
            </w:pPr>
          </w:p>
        </w:tc>
        <w:tc>
          <w:tcPr>
            <w:tcW w:w="1668" w:type="dxa"/>
            <w:vAlign w:val="center"/>
          </w:tcPr>
          <w:p w14:paraId="743224EE" w14:textId="77777777" w:rsidR="004462A0" w:rsidRPr="008912CF" w:rsidRDefault="00615769" w:rsidP="00F675CF">
            <w:pPr>
              <w:pStyle w:val="DefaultText"/>
              <w:keepNext/>
              <w:jc w:val="center"/>
              <w:rPr>
                <w:rFonts w:ascii="Times New Roman" w:hAnsi="Times New Roman"/>
                <w:b/>
                <w:bCs w:val="0"/>
                <w:szCs w:val="22"/>
                <w:lang w:val="pt-PT"/>
              </w:rPr>
            </w:pPr>
            <w:r w:rsidRPr="008912CF">
              <w:rPr>
                <w:rFonts w:ascii="Times New Roman" w:hAnsi="Times New Roman"/>
                <w:b/>
                <w:bCs w:val="0"/>
                <w:szCs w:val="22"/>
                <w:lang w:val="pt-PT"/>
              </w:rPr>
              <w:t>Placebo</w:t>
            </w:r>
          </w:p>
          <w:p w14:paraId="42BFB5D2" w14:textId="77777777" w:rsidR="004462A0" w:rsidRPr="008912CF" w:rsidRDefault="00615769" w:rsidP="00F675CF">
            <w:pPr>
              <w:pStyle w:val="DefaultText"/>
              <w:keepNext/>
              <w:jc w:val="center"/>
              <w:rPr>
                <w:rFonts w:ascii="Times New Roman" w:hAnsi="Times New Roman"/>
                <w:b/>
                <w:bCs w:val="0"/>
                <w:szCs w:val="22"/>
                <w:lang w:val="pt-PT"/>
              </w:rPr>
            </w:pPr>
            <w:r w:rsidRPr="008912CF">
              <w:rPr>
                <w:rFonts w:ascii="Times New Roman" w:hAnsi="Times New Roman"/>
                <w:b/>
                <w:bCs w:val="0"/>
                <w:szCs w:val="22"/>
                <w:lang w:val="pt-PT"/>
              </w:rPr>
              <w:t>N=53</w:t>
            </w:r>
          </w:p>
          <w:p w14:paraId="4FAF20C4" w14:textId="77777777" w:rsidR="004462A0" w:rsidRPr="008912CF" w:rsidRDefault="00615769" w:rsidP="00F675CF">
            <w:pPr>
              <w:pStyle w:val="DefaultText"/>
              <w:keepNext/>
              <w:jc w:val="center"/>
              <w:rPr>
                <w:rFonts w:ascii="Times New Roman" w:hAnsi="Times New Roman"/>
                <w:b/>
                <w:bCs w:val="0"/>
                <w:szCs w:val="22"/>
                <w:lang w:val="pt-PT"/>
              </w:rPr>
            </w:pPr>
            <w:r w:rsidRPr="008912CF">
              <w:rPr>
                <w:rFonts w:ascii="Times New Roman" w:hAnsi="Times New Roman"/>
                <w:b/>
                <w:bCs w:val="0"/>
                <w:szCs w:val="22"/>
                <w:lang w:val="pt-PT"/>
              </w:rPr>
              <w:t>n (%)</w:t>
            </w:r>
          </w:p>
        </w:tc>
        <w:tc>
          <w:tcPr>
            <w:tcW w:w="1347" w:type="dxa"/>
            <w:vAlign w:val="center"/>
          </w:tcPr>
          <w:p w14:paraId="0C88D320" w14:textId="77777777" w:rsidR="004462A0" w:rsidRPr="008912CF" w:rsidRDefault="00615769" w:rsidP="00F675CF">
            <w:pPr>
              <w:pStyle w:val="DefaultText"/>
              <w:keepNext/>
              <w:jc w:val="center"/>
              <w:rPr>
                <w:rFonts w:ascii="Times New Roman" w:hAnsi="Times New Roman"/>
                <w:b/>
                <w:bCs w:val="0"/>
                <w:szCs w:val="22"/>
                <w:lang w:val="pt-PT"/>
              </w:rPr>
            </w:pPr>
            <w:r w:rsidRPr="008912CF">
              <w:rPr>
                <w:rFonts w:ascii="Times New Roman" w:hAnsi="Times New Roman"/>
                <w:b/>
                <w:bCs w:val="0"/>
                <w:szCs w:val="22"/>
                <w:lang w:val="pt-PT"/>
              </w:rPr>
              <w:t>MTX</w:t>
            </w:r>
          </w:p>
          <w:p w14:paraId="781836E2" w14:textId="77777777" w:rsidR="004462A0" w:rsidRPr="008912CF" w:rsidRDefault="00615769" w:rsidP="00F675CF">
            <w:pPr>
              <w:pStyle w:val="DefaultText"/>
              <w:keepNext/>
              <w:jc w:val="center"/>
              <w:rPr>
                <w:rFonts w:ascii="Times New Roman" w:hAnsi="Times New Roman"/>
                <w:b/>
                <w:bCs w:val="0"/>
                <w:szCs w:val="22"/>
                <w:lang w:val="pt-PT"/>
              </w:rPr>
            </w:pPr>
            <w:r w:rsidRPr="008912CF">
              <w:rPr>
                <w:rFonts w:ascii="Times New Roman" w:hAnsi="Times New Roman"/>
                <w:b/>
                <w:bCs w:val="0"/>
                <w:szCs w:val="22"/>
                <w:lang w:val="pt-PT"/>
              </w:rPr>
              <w:t>N=110</w:t>
            </w:r>
          </w:p>
          <w:p w14:paraId="53FE6826" w14:textId="77777777" w:rsidR="004462A0" w:rsidRPr="008912CF" w:rsidRDefault="00615769" w:rsidP="00F675CF">
            <w:pPr>
              <w:pStyle w:val="DefaultText"/>
              <w:keepNext/>
              <w:jc w:val="center"/>
              <w:rPr>
                <w:rFonts w:ascii="Times New Roman" w:hAnsi="Times New Roman"/>
                <w:b/>
                <w:bCs w:val="0"/>
                <w:szCs w:val="22"/>
                <w:lang w:val="pt-PT"/>
              </w:rPr>
            </w:pPr>
            <w:r w:rsidRPr="008912CF">
              <w:rPr>
                <w:rFonts w:ascii="Times New Roman" w:hAnsi="Times New Roman"/>
                <w:b/>
                <w:bCs w:val="0"/>
                <w:szCs w:val="22"/>
                <w:lang w:val="pt-PT"/>
              </w:rPr>
              <w:t>n (%)</w:t>
            </w:r>
          </w:p>
        </w:tc>
        <w:tc>
          <w:tcPr>
            <w:tcW w:w="2392" w:type="dxa"/>
            <w:vAlign w:val="center"/>
          </w:tcPr>
          <w:p w14:paraId="61EE50F2" w14:textId="77777777" w:rsidR="004462A0" w:rsidRPr="008912CF" w:rsidRDefault="00615769" w:rsidP="00F675CF">
            <w:pPr>
              <w:pStyle w:val="DefaultText"/>
              <w:keepNext/>
              <w:jc w:val="center"/>
              <w:rPr>
                <w:rFonts w:ascii="Times New Roman" w:hAnsi="Times New Roman"/>
                <w:b/>
                <w:bCs w:val="0"/>
                <w:szCs w:val="22"/>
                <w:lang w:val="pt-PT"/>
              </w:rPr>
            </w:pPr>
            <w:r w:rsidRPr="008912CF">
              <w:rPr>
                <w:rFonts w:ascii="Times New Roman" w:hAnsi="Times New Roman"/>
                <w:b/>
                <w:bCs w:val="0"/>
                <w:szCs w:val="22"/>
                <w:lang w:val="pt-PT"/>
              </w:rPr>
              <w:t>Humira 40 mg em semanas alternadas</w:t>
            </w:r>
          </w:p>
          <w:p w14:paraId="0EA43746" w14:textId="77777777" w:rsidR="004462A0" w:rsidRPr="008912CF" w:rsidRDefault="00615769" w:rsidP="00F675CF">
            <w:pPr>
              <w:pStyle w:val="DefaultText"/>
              <w:keepNext/>
              <w:jc w:val="center"/>
              <w:rPr>
                <w:rFonts w:ascii="Times New Roman" w:hAnsi="Times New Roman"/>
                <w:b/>
                <w:bCs w:val="0"/>
                <w:szCs w:val="22"/>
                <w:lang w:val="pt-PT"/>
              </w:rPr>
            </w:pPr>
            <w:r w:rsidRPr="008912CF">
              <w:rPr>
                <w:rFonts w:ascii="Times New Roman" w:hAnsi="Times New Roman"/>
                <w:b/>
                <w:bCs w:val="0"/>
                <w:szCs w:val="22"/>
                <w:lang w:val="pt-PT"/>
              </w:rPr>
              <w:t>N=108</w:t>
            </w:r>
          </w:p>
          <w:p w14:paraId="4CE9265C" w14:textId="77777777" w:rsidR="004462A0" w:rsidRPr="008912CF" w:rsidRDefault="00615769" w:rsidP="00F675CF">
            <w:pPr>
              <w:pStyle w:val="DefaultText"/>
              <w:keepNext/>
              <w:jc w:val="center"/>
              <w:rPr>
                <w:rFonts w:ascii="Times New Roman" w:hAnsi="Times New Roman"/>
                <w:b/>
                <w:bCs w:val="0"/>
                <w:szCs w:val="22"/>
                <w:lang w:val="pt-PT"/>
              </w:rPr>
            </w:pPr>
            <w:r w:rsidRPr="008912CF">
              <w:rPr>
                <w:rFonts w:ascii="Times New Roman" w:hAnsi="Times New Roman"/>
                <w:b/>
                <w:bCs w:val="0"/>
                <w:szCs w:val="22"/>
                <w:lang w:val="pt-PT"/>
              </w:rPr>
              <w:t>n (%)</w:t>
            </w:r>
          </w:p>
        </w:tc>
      </w:tr>
      <w:tr w:rsidR="00A7162A" w14:paraId="3DCD467A" w14:textId="77777777" w:rsidTr="00F675CF">
        <w:trPr>
          <w:cantSplit/>
          <w:jc w:val="center"/>
        </w:trPr>
        <w:tc>
          <w:tcPr>
            <w:tcW w:w="1639" w:type="dxa"/>
          </w:tcPr>
          <w:p w14:paraId="480FB21F" w14:textId="77777777" w:rsidR="004462A0" w:rsidRPr="008912CF" w:rsidRDefault="00615769" w:rsidP="00F675CF">
            <w:pPr>
              <w:pStyle w:val="DefaultText"/>
              <w:keepNext/>
              <w:rPr>
                <w:rFonts w:ascii="Times New Roman" w:hAnsi="Times New Roman"/>
                <w:b/>
                <w:bCs w:val="0"/>
                <w:szCs w:val="22"/>
                <w:lang w:val="pt-PT"/>
              </w:rPr>
            </w:pPr>
            <w:r w:rsidRPr="008912CF">
              <w:rPr>
                <w:rFonts w:ascii="Symbol" w:hAnsi="Symbol"/>
                <w:b/>
                <w:bCs w:val="0"/>
                <w:szCs w:val="22"/>
                <w:lang w:val="pt-PT"/>
              </w:rPr>
              <w:sym w:font="Symbol" w:char="F0B3"/>
            </w:r>
            <w:r w:rsidR="00601734">
              <w:rPr>
                <w:rFonts w:ascii="Symbol" w:hAnsi="Symbol"/>
                <w:b/>
                <w:bCs w:val="0"/>
                <w:szCs w:val="22"/>
                <w:lang w:val="pt-PT"/>
              </w:rPr>
              <w:sym w:font="Symbol" w:char="F020"/>
            </w:r>
            <w:r w:rsidRPr="008912CF">
              <w:rPr>
                <w:rFonts w:ascii="Times New Roman" w:hAnsi="Times New Roman"/>
                <w:b/>
                <w:bCs w:val="0"/>
                <w:szCs w:val="22"/>
                <w:lang w:val="pt-PT"/>
              </w:rPr>
              <w:t>PASI 75</w:t>
            </w:r>
          </w:p>
        </w:tc>
        <w:tc>
          <w:tcPr>
            <w:tcW w:w="1668" w:type="dxa"/>
          </w:tcPr>
          <w:p w14:paraId="1D312821" w14:textId="77777777" w:rsidR="004462A0" w:rsidRPr="008912CF" w:rsidRDefault="00615769" w:rsidP="00F675CF">
            <w:pPr>
              <w:pStyle w:val="DefaultText"/>
              <w:keepNext/>
              <w:jc w:val="center"/>
              <w:rPr>
                <w:rFonts w:ascii="Times New Roman" w:hAnsi="Times New Roman"/>
                <w:szCs w:val="22"/>
                <w:lang w:val="pt-PT"/>
              </w:rPr>
            </w:pPr>
            <w:r w:rsidRPr="008912CF">
              <w:rPr>
                <w:rFonts w:ascii="Times New Roman" w:hAnsi="Times New Roman"/>
                <w:szCs w:val="22"/>
                <w:lang w:val="pt-PT"/>
              </w:rPr>
              <w:t>10 (18,9)</w:t>
            </w:r>
          </w:p>
        </w:tc>
        <w:tc>
          <w:tcPr>
            <w:tcW w:w="1347" w:type="dxa"/>
          </w:tcPr>
          <w:p w14:paraId="01DD3DCD" w14:textId="77777777" w:rsidR="004462A0" w:rsidRPr="008912CF" w:rsidRDefault="00615769" w:rsidP="00F675CF">
            <w:pPr>
              <w:pStyle w:val="DefaultText"/>
              <w:keepNext/>
              <w:jc w:val="center"/>
              <w:rPr>
                <w:rFonts w:ascii="Times New Roman" w:hAnsi="Times New Roman"/>
                <w:szCs w:val="22"/>
                <w:lang w:val="pt-PT"/>
              </w:rPr>
            </w:pPr>
            <w:r w:rsidRPr="008912CF">
              <w:rPr>
                <w:rFonts w:ascii="Times New Roman" w:hAnsi="Times New Roman"/>
                <w:szCs w:val="22"/>
                <w:lang w:val="pt-PT"/>
              </w:rPr>
              <w:t>39 (35,5)</w:t>
            </w:r>
          </w:p>
        </w:tc>
        <w:tc>
          <w:tcPr>
            <w:tcW w:w="2392" w:type="dxa"/>
          </w:tcPr>
          <w:p w14:paraId="1F98A3B6" w14:textId="77777777" w:rsidR="004462A0" w:rsidRPr="008912CF" w:rsidRDefault="00615769" w:rsidP="00F675CF">
            <w:pPr>
              <w:pStyle w:val="DefaultText"/>
              <w:keepNext/>
              <w:jc w:val="center"/>
              <w:rPr>
                <w:rFonts w:ascii="Times New Roman" w:hAnsi="Times New Roman"/>
                <w:szCs w:val="22"/>
                <w:lang w:val="pt-PT"/>
              </w:rPr>
            </w:pPr>
            <w:r w:rsidRPr="008912CF">
              <w:rPr>
                <w:rFonts w:ascii="Times New Roman" w:hAnsi="Times New Roman"/>
                <w:szCs w:val="22"/>
                <w:lang w:val="pt-PT"/>
              </w:rPr>
              <w:t>86 (79,6)</w:t>
            </w:r>
            <w:r w:rsidRPr="008912CF">
              <w:rPr>
                <w:rFonts w:ascii="Times New Roman" w:hAnsi="Times New Roman"/>
                <w:szCs w:val="22"/>
                <w:vertAlign w:val="superscript"/>
                <w:lang w:val="pt-PT"/>
              </w:rPr>
              <w:t xml:space="preserve"> a, b</w:t>
            </w:r>
          </w:p>
        </w:tc>
      </w:tr>
      <w:tr w:rsidR="00A7162A" w14:paraId="6AD828AF" w14:textId="77777777" w:rsidTr="00F675CF">
        <w:trPr>
          <w:cantSplit/>
          <w:jc w:val="center"/>
        </w:trPr>
        <w:tc>
          <w:tcPr>
            <w:tcW w:w="1639" w:type="dxa"/>
          </w:tcPr>
          <w:p w14:paraId="07157A22" w14:textId="77777777" w:rsidR="004462A0" w:rsidRPr="008912CF" w:rsidRDefault="00615769" w:rsidP="00F675CF">
            <w:pPr>
              <w:pStyle w:val="DefaultText"/>
              <w:keepNext/>
              <w:rPr>
                <w:rFonts w:ascii="Times New Roman" w:hAnsi="Times New Roman"/>
                <w:b/>
                <w:bCs w:val="0"/>
                <w:szCs w:val="22"/>
                <w:lang w:val="pt-PT"/>
              </w:rPr>
            </w:pPr>
            <w:r w:rsidRPr="008912CF">
              <w:rPr>
                <w:rFonts w:ascii="Times New Roman" w:hAnsi="Times New Roman"/>
                <w:b/>
                <w:bCs w:val="0"/>
                <w:szCs w:val="22"/>
                <w:lang w:val="pt-PT"/>
              </w:rPr>
              <w:t>PASI 100</w:t>
            </w:r>
          </w:p>
        </w:tc>
        <w:tc>
          <w:tcPr>
            <w:tcW w:w="1668" w:type="dxa"/>
          </w:tcPr>
          <w:p w14:paraId="5DFB2C96" w14:textId="77777777" w:rsidR="004462A0" w:rsidRPr="008912CF" w:rsidRDefault="00615769" w:rsidP="00F675CF">
            <w:pPr>
              <w:pStyle w:val="DefaultText"/>
              <w:keepNext/>
              <w:jc w:val="center"/>
              <w:rPr>
                <w:rFonts w:ascii="Times New Roman" w:hAnsi="Times New Roman"/>
                <w:szCs w:val="22"/>
                <w:lang w:val="pt-PT"/>
              </w:rPr>
            </w:pPr>
            <w:r w:rsidRPr="008912CF">
              <w:rPr>
                <w:rFonts w:ascii="Times New Roman" w:hAnsi="Times New Roman"/>
                <w:szCs w:val="22"/>
                <w:lang w:val="pt-PT"/>
              </w:rPr>
              <w:t>1 (1,9)</w:t>
            </w:r>
          </w:p>
        </w:tc>
        <w:tc>
          <w:tcPr>
            <w:tcW w:w="1347" w:type="dxa"/>
          </w:tcPr>
          <w:p w14:paraId="07EA6637" w14:textId="77777777" w:rsidR="004462A0" w:rsidRPr="008912CF" w:rsidRDefault="00615769" w:rsidP="00F675CF">
            <w:pPr>
              <w:pStyle w:val="DefaultText"/>
              <w:keepNext/>
              <w:jc w:val="center"/>
              <w:rPr>
                <w:rFonts w:ascii="Times New Roman" w:hAnsi="Times New Roman"/>
                <w:szCs w:val="22"/>
                <w:lang w:val="pt-PT"/>
              </w:rPr>
            </w:pPr>
            <w:r w:rsidRPr="008912CF">
              <w:rPr>
                <w:rFonts w:ascii="Times New Roman" w:hAnsi="Times New Roman"/>
                <w:szCs w:val="22"/>
                <w:lang w:val="pt-PT"/>
              </w:rPr>
              <w:t>8 (7,3)</w:t>
            </w:r>
          </w:p>
        </w:tc>
        <w:tc>
          <w:tcPr>
            <w:tcW w:w="2392" w:type="dxa"/>
          </w:tcPr>
          <w:p w14:paraId="465FF8CA" w14:textId="77777777" w:rsidR="004462A0" w:rsidRPr="008912CF" w:rsidRDefault="00615769" w:rsidP="00F675CF">
            <w:pPr>
              <w:pStyle w:val="DefaultText"/>
              <w:keepNext/>
              <w:jc w:val="center"/>
              <w:rPr>
                <w:rFonts w:ascii="Times New Roman" w:hAnsi="Times New Roman"/>
                <w:szCs w:val="22"/>
                <w:lang w:val="pt-PT"/>
              </w:rPr>
            </w:pPr>
            <w:r w:rsidRPr="008912CF">
              <w:rPr>
                <w:rFonts w:ascii="Times New Roman" w:hAnsi="Times New Roman"/>
                <w:szCs w:val="22"/>
                <w:lang w:val="pt-PT"/>
              </w:rPr>
              <w:t>18 (16,7)</w:t>
            </w:r>
            <w:r w:rsidRPr="008912CF">
              <w:rPr>
                <w:rFonts w:ascii="Times New Roman" w:hAnsi="Times New Roman"/>
                <w:szCs w:val="22"/>
                <w:vertAlign w:val="superscript"/>
                <w:lang w:val="pt-PT"/>
              </w:rPr>
              <w:t xml:space="preserve"> c, d</w:t>
            </w:r>
          </w:p>
        </w:tc>
      </w:tr>
      <w:tr w:rsidR="00A7162A" w14:paraId="360D7913" w14:textId="77777777" w:rsidTr="00F675CF">
        <w:trPr>
          <w:cantSplit/>
          <w:jc w:val="center"/>
        </w:trPr>
        <w:tc>
          <w:tcPr>
            <w:tcW w:w="1639" w:type="dxa"/>
          </w:tcPr>
          <w:p w14:paraId="019DB079" w14:textId="77777777" w:rsidR="004462A0" w:rsidRPr="008912CF" w:rsidRDefault="00615769" w:rsidP="00F675CF">
            <w:pPr>
              <w:pStyle w:val="DefaultText"/>
              <w:keepNext/>
              <w:rPr>
                <w:rFonts w:ascii="Times New Roman" w:hAnsi="Times New Roman"/>
                <w:b/>
                <w:bCs w:val="0"/>
                <w:szCs w:val="22"/>
                <w:lang w:val="pt-PT"/>
              </w:rPr>
            </w:pPr>
            <w:r w:rsidRPr="008912CF">
              <w:rPr>
                <w:rFonts w:ascii="Times New Roman" w:hAnsi="Times New Roman"/>
                <w:b/>
                <w:bCs w:val="0"/>
                <w:szCs w:val="22"/>
                <w:lang w:val="pt-PT"/>
              </w:rPr>
              <w:t>PGA: Limp</w:t>
            </w:r>
            <w:r w:rsidR="005049F7">
              <w:rPr>
                <w:rFonts w:ascii="Times New Roman" w:hAnsi="Times New Roman"/>
                <w:b/>
                <w:bCs w:val="0"/>
                <w:szCs w:val="22"/>
                <w:lang w:val="pt-PT"/>
              </w:rPr>
              <w:t>a</w:t>
            </w:r>
            <w:r w:rsidRPr="008912CF">
              <w:rPr>
                <w:rFonts w:ascii="Times New Roman" w:hAnsi="Times New Roman"/>
                <w:b/>
                <w:bCs w:val="0"/>
                <w:szCs w:val="22"/>
                <w:lang w:val="pt-PT"/>
              </w:rPr>
              <w:t>/</w:t>
            </w:r>
            <w:r w:rsidR="00E57BBD">
              <w:rPr>
                <w:rFonts w:ascii="Times New Roman" w:hAnsi="Times New Roman"/>
                <w:b/>
                <w:bCs w:val="0"/>
                <w:szCs w:val="22"/>
                <w:lang w:val="pt-PT"/>
              </w:rPr>
              <w:t>quase limpa</w:t>
            </w:r>
          </w:p>
        </w:tc>
        <w:tc>
          <w:tcPr>
            <w:tcW w:w="1668" w:type="dxa"/>
          </w:tcPr>
          <w:p w14:paraId="1987BED7" w14:textId="77777777" w:rsidR="004462A0" w:rsidRPr="008912CF" w:rsidRDefault="00615769" w:rsidP="00F675CF">
            <w:pPr>
              <w:pStyle w:val="DefaultText"/>
              <w:keepNext/>
              <w:jc w:val="center"/>
              <w:rPr>
                <w:rFonts w:ascii="Times New Roman" w:hAnsi="Times New Roman"/>
                <w:szCs w:val="22"/>
                <w:lang w:val="pt-PT"/>
              </w:rPr>
            </w:pPr>
            <w:r w:rsidRPr="008912CF">
              <w:rPr>
                <w:rFonts w:ascii="Times New Roman" w:hAnsi="Times New Roman"/>
                <w:szCs w:val="22"/>
                <w:lang w:val="pt-PT"/>
              </w:rPr>
              <w:t>6 (11,3)</w:t>
            </w:r>
          </w:p>
        </w:tc>
        <w:tc>
          <w:tcPr>
            <w:tcW w:w="1347" w:type="dxa"/>
          </w:tcPr>
          <w:p w14:paraId="07B11062" w14:textId="77777777" w:rsidR="004462A0" w:rsidRPr="008912CF" w:rsidRDefault="00615769" w:rsidP="00F675CF">
            <w:pPr>
              <w:pStyle w:val="DefaultText"/>
              <w:keepNext/>
              <w:jc w:val="center"/>
              <w:rPr>
                <w:rFonts w:ascii="Times New Roman" w:hAnsi="Times New Roman"/>
                <w:szCs w:val="22"/>
                <w:lang w:val="pt-PT"/>
              </w:rPr>
            </w:pPr>
            <w:r w:rsidRPr="008912CF">
              <w:rPr>
                <w:rFonts w:ascii="Times New Roman" w:hAnsi="Times New Roman"/>
                <w:szCs w:val="22"/>
                <w:lang w:val="pt-PT"/>
              </w:rPr>
              <w:t>33 (30,0)</w:t>
            </w:r>
          </w:p>
        </w:tc>
        <w:tc>
          <w:tcPr>
            <w:tcW w:w="2392" w:type="dxa"/>
          </w:tcPr>
          <w:p w14:paraId="2ECE2927" w14:textId="77777777" w:rsidR="004462A0" w:rsidRPr="008912CF" w:rsidRDefault="00615769" w:rsidP="00F675CF">
            <w:pPr>
              <w:pStyle w:val="DefaultText"/>
              <w:keepNext/>
              <w:jc w:val="center"/>
              <w:rPr>
                <w:rFonts w:ascii="Times New Roman" w:hAnsi="Times New Roman"/>
                <w:szCs w:val="22"/>
                <w:lang w:val="pt-PT"/>
              </w:rPr>
            </w:pPr>
            <w:r w:rsidRPr="008912CF">
              <w:rPr>
                <w:rFonts w:ascii="Times New Roman" w:hAnsi="Times New Roman"/>
                <w:szCs w:val="22"/>
                <w:lang w:val="pt-PT"/>
              </w:rPr>
              <w:t>79 (73,1)</w:t>
            </w:r>
            <w:r w:rsidRPr="008912CF">
              <w:rPr>
                <w:rFonts w:ascii="Times New Roman" w:hAnsi="Times New Roman"/>
                <w:szCs w:val="22"/>
                <w:vertAlign w:val="superscript"/>
                <w:lang w:val="pt-PT"/>
              </w:rPr>
              <w:t xml:space="preserve"> a, b</w:t>
            </w:r>
          </w:p>
        </w:tc>
      </w:tr>
      <w:tr w:rsidR="00A7162A" w14:paraId="4E45D8B4" w14:textId="77777777" w:rsidTr="00F675CF">
        <w:trPr>
          <w:cantSplit/>
          <w:jc w:val="center"/>
        </w:trPr>
        <w:tc>
          <w:tcPr>
            <w:tcW w:w="7046" w:type="dxa"/>
            <w:gridSpan w:val="4"/>
          </w:tcPr>
          <w:p w14:paraId="3DEA9D11" w14:textId="77777777" w:rsidR="004462A0" w:rsidRPr="008912CF" w:rsidRDefault="00615769" w:rsidP="00F675CF">
            <w:pPr>
              <w:pStyle w:val="DefaultText"/>
              <w:keepNext/>
              <w:rPr>
                <w:rFonts w:ascii="Times New Roman" w:hAnsi="Times New Roman"/>
                <w:szCs w:val="22"/>
                <w:lang w:val="pt-PT"/>
              </w:rPr>
            </w:pPr>
            <w:r w:rsidRPr="008912CF">
              <w:rPr>
                <w:rFonts w:ascii="Times New Roman" w:hAnsi="Times New Roman"/>
                <w:szCs w:val="22"/>
                <w:vertAlign w:val="superscript"/>
                <w:lang w:val="pt-PT"/>
              </w:rPr>
              <w:t>a</w:t>
            </w:r>
            <w:r w:rsidRPr="008912CF">
              <w:rPr>
                <w:rFonts w:ascii="Times New Roman" w:hAnsi="Times New Roman"/>
                <w:szCs w:val="22"/>
                <w:lang w:val="pt-PT"/>
              </w:rPr>
              <w:t xml:space="preserve"> p&lt;0,001 Humira vs. placebo</w:t>
            </w:r>
          </w:p>
          <w:p w14:paraId="6C985829" w14:textId="77777777" w:rsidR="004462A0" w:rsidRPr="008912CF" w:rsidRDefault="00615769" w:rsidP="00F675CF">
            <w:pPr>
              <w:pStyle w:val="DefaultText"/>
              <w:keepNext/>
              <w:rPr>
                <w:rFonts w:ascii="Times New Roman" w:hAnsi="Times New Roman"/>
                <w:szCs w:val="22"/>
                <w:lang w:val="pt-PT"/>
              </w:rPr>
            </w:pPr>
            <w:r w:rsidRPr="008912CF">
              <w:rPr>
                <w:rFonts w:ascii="Times New Roman" w:hAnsi="Times New Roman"/>
                <w:szCs w:val="22"/>
                <w:vertAlign w:val="superscript"/>
                <w:lang w:val="pt-PT"/>
              </w:rPr>
              <w:t>b</w:t>
            </w:r>
            <w:r w:rsidRPr="008912CF">
              <w:rPr>
                <w:rFonts w:ascii="Times New Roman" w:hAnsi="Times New Roman"/>
                <w:szCs w:val="22"/>
                <w:lang w:val="pt-PT"/>
              </w:rPr>
              <w:t xml:space="preserve"> p&lt;0,001 Humira vs. metotrexato</w:t>
            </w:r>
          </w:p>
          <w:p w14:paraId="2B7B0592" w14:textId="77777777" w:rsidR="004462A0" w:rsidRPr="008912CF" w:rsidRDefault="00615769" w:rsidP="00F675CF">
            <w:pPr>
              <w:pStyle w:val="DefaultText"/>
              <w:keepNext/>
              <w:rPr>
                <w:rFonts w:ascii="Times New Roman" w:hAnsi="Times New Roman"/>
                <w:szCs w:val="22"/>
                <w:lang w:val="pt-PT"/>
              </w:rPr>
            </w:pPr>
            <w:r w:rsidRPr="008912CF">
              <w:rPr>
                <w:rFonts w:ascii="Times New Roman" w:hAnsi="Times New Roman"/>
                <w:szCs w:val="22"/>
                <w:vertAlign w:val="superscript"/>
                <w:lang w:val="pt-PT"/>
              </w:rPr>
              <w:t>c</w:t>
            </w:r>
            <w:r w:rsidRPr="008912CF">
              <w:rPr>
                <w:rFonts w:ascii="Times New Roman" w:hAnsi="Times New Roman"/>
                <w:szCs w:val="22"/>
                <w:lang w:val="pt-PT"/>
              </w:rPr>
              <w:t xml:space="preserve"> p&lt;0,01 Humira vs. placebo</w:t>
            </w:r>
          </w:p>
          <w:p w14:paraId="29918270" w14:textId="77777777" w:rsidR="004462A0" w:rsidRPr="008912CF" w:rsidRDefault="00615769" w:rsidP="00F675CF">
            <w:pPr>
              <w:pStyle w:val="DefaultText"/>
              <w:keepNext/>
              <w:rPr>
                <w:rFonts w:ascii="Times New Roman" w:hAnsi="Times New Roman"/>
                <w:szCs w:val="22"/>
                <w:lang w:val="pt-PT"/>
              </w:rPr>
            </w:pPr>
            <w:r w:rsidRPr="008912CF">
              <w:rPr>
                <w:rFonts w:ascii="Times New Roman" w:hAnsi="Times New Roman"/>
                <w:szCs w:val="22"/>
                <w:vertAlign w:val="superscript"/>
                <w:lang w:val="pt-PT"/>
              </w:rPr>
              <w:t>d</w:t>
            </w:r>
            <w:r w:rsidRPr="008912CF">
              <w:rPr>
                <w:rFonts w:ascii="Times New Roman" w:hAnsi="Times New Roman"/>
                <w:szCs w:val="22"/>
                <w:lang w:val="pt-PT"/>
              </w:rPr>
              <w:t xml:space="preserve"> p&lt;0,05 Humira vs. Metotrexato</w:t>
            </w:r>
          </w:p>
        </w:tc>
      </w:tr>
    </w:tbl>
    <w:p w14:paraId="68975F4F" w14:textId="77777777" w:rsidR="004462A0" w:rsidRPr="008912CF" w:rsidRDefault="004462A0" w:rsidP="004462A0">
      <w:pPr>
        <w:rPr>
          <w:b/>
          <w:bCs/>
          <w:sz w:val="22"/>
          <w:szCs w:val="22"/>
        </w:rPr>
      </w:pPr>
    </w:p>
    <w:p w14:paraId="12304573" w14:textId="77777777" w:rsidR="004462A0" w:rsidRPr="008912CF" w:rsidRDefault="00615769" w:rsidP="004462A0">
      <w:pPr>
        <w:rPr>
          <w:sz w:val="22"/>
          <w:szCs w:val="22"/>
        </w:rPr>
      </w:pPr>
      <w:r w:rsidRPr="008912CF">
        <w:rPr>
          <w:sz w:val="22"/>
          <w:szCs w:val="22"/>
        </w:rPr>
        <w:t xml:space="preserve">No Estudo I na </w:t>
      </w:r>
      <w:r w:rsidRPr="008912CF">
        <w:rPr>
          <w:iCs/>
          <w:sz w:val="22"/>
          <w:szCs w:val="22"/>
        </w:rPr>
        <w:t>Psoríase</w:t>
      </w:r>
      <w:r w:rsidRPr="008912CF">
        <w:rPr>
          <w:sz w:val="22"/>
          <w:szCs w:val="22"/>
        </w:rPr>
        <w:t>, 28</w:t>
      </w:r>
      <w:r w:rsidR="009343EF">
        <w:rPr>
          <w:sz w:val="22"/>
          <w:szCs w:val="22"/>
        </w:rPr>
        <w:t>%</w:t>
      </w:r>
      <w:r w:rsidRPr="008912CF">
        <w:rPr>
          <w:sz w:val="22"/>
          <w:szCs w:val="22"/>
        </w:rPr>
        <w:t xml:space="preserve"> dos doentes que tiveram resposta PASI 75 e que foram de novo </w:t>
      </w:r>
      <w:r w:rsidR="0013275C">
        <w:rPr>
          <w:sz w:val="22"/>
          <w:szCs w:val="22"/>
        </w:rPr>
        <w:t>aleatorizado</w:t>
      </w:r>
      <w:r w:rsidRPr="008912CF">
        <w:rPr>
          <w:sz w:val="22"/>
          <w:szCs w:val="22"/>
        </w:rPr>
        <w:t xml:space="preserve">s </w:t>
      </w:r>
      <w:r w:rsidR="00547396">
        <w:rPr>
          <w:sz w:val="22"/>
          <w:szCs w:val="22"/>
        </w:rPr>
        <w:t>para</w:t>
      </w:r>
      <w:r w:rsidR="00547396" w:rsidRPr="008912CF">
        <w:rPr>
          <w:sz w:val="22"/>
          <w:szCs w:val="22"/>
        </w:rPr>
        <w:t xml:space="preserve"> </w:t>
      </w:r>
      <w:r w:rsidRPr="008912CF">
        <w:rPr>
          <w:sz w:val="22"/>
          <w:szCs w:val="22"/>
        </w:rPr>
        <w:t>placebo à Semana 33, comparativamente a 5</w:t>
      </w:r>
      <w:r w:rsidR="009343EF">
        <w:rPr>
          <w:sz w:val="22"/>
          <w:szCs w:val="22"/>
        </w:rPr>
        <w:t>%</w:t>
      </w:r>
      <w:r w:rsidRPr="008912CF">
        <w:rPr>
          <w:sz w:val="22"/>
          <w:szCs w:val="22"/>
        </w:rPr>
        <w:t xml:space="preserve"> dos que continuaram Humira, p &lt; 0,001, atingiram “perda de resposta adequada”</w:t>
      </w:r>
      <w:r w:rsidRPr="008912CF">
        <w:rPr>
          <w:iCs/>
          <w:sz w:val="22"/>
          <w:szCs w:val="22"/>
        </w:rPr>
        <w:t xml:space="preserve"> (pontuação PASI após a Semana 33 e ou antes da Semana 52 que resultou numa resposta &lt; PASI 50 em relação à avaliação basal, com um mínimo de 6-pontos de aumento na pontuação PASI em relação à Semana 33)</w:t>
      </w:r>
      <w:r w:rsidRPr="008912CF">
        <w:rPr>
          <w:sz w:val="22"/>
          <w:szCs w:val="22"/>
        </w:rPr>
        <w:t xml:space="preserve">. Dos doentes que não tiveram uma resposta adequada após a nova </w:t>
      </w:r>
      <w:r w:rsidR="00547396">
        <w:rPr>
          <w:sz w:val="22"/>
          <w:szCs w:val="22"/>
        </w:rPr>
        <w:t>aleatori</w:t>
      </w:r>
      <w:r w:rsidRPr="008912CF">
        <w:rPr>
          <w:sz w:val="22"/>
          <w:szCs w:val="22"/>
        </w:rPr>
        <w:t xml:space="preserve">zação </w:t>
      </w:r>
      <w:r w:rsidR="00547396">
        <w:rPr>
          <w:sz w:val="22"/>
          <w:szCs w:val="22"/>
        </w:rPr>
        <w:t>para</w:t>
      </w:r>
      <w:r w:rsidR="00547396" w:rsidRPr="008912CF">
        <w:rPr>
          <w:sz w:val="22"/>
          <w:szCs w:val="22"/>
        </w:rPr>
        <w:t xml:space="preserve"> </w:t>
      </w:r>
      <w:r w:rsidRPr="008912CF">
        <w:rPr>
          <w:sz w:val="22"/>
          <w:szCs w:val="22"/>
        </w:rPr>
        <w:t xml:space="preserve">placebo e que depois foram </w:t>
      </w:r>
      <w:r w:rsidR="00547396">
        <w:rPr>
          <w:sz w:val="22"/>
          <w:szCs w:val="22"/>
        </w:rPr>
        <w:t>integrados</w:t>
      </w:r>
      <w:r w:rsidR="00547396" w:rsidRPr="008912CF">
        <w:rPr>
          <w:sz w:val="22"/>
          <w:szCs w:val="22"/>
        </w:rPr>
        <w:t xml:space="preserve"> </w:t>
      </w:r>
      <w:r w:rsidRPr="008912CF">
        <w:rPr>
          <w:sz w:val="22"/>
          <w:szCs w:val="22"/>
        </w:rPr>
        <w:t>em ensaios de extensão de fase aberta, 38</w:t>
      </w:r>
      <w:r w:rsidR="009343EF">
        <w:rPr>
          <w:sz w:val="22"/>
          <w:szCs w:val="22"/>
        </w:rPr>
        <w:t>%</w:t>
      </w:r>
      <w:r w:rsidRPr="008912CF">
        <w:rPr>
          <w:sz w:val="22"/>
          <w:szCs w:val="22"/>
        </w:rPr>
        <w:t xml:space="preserve"> (25/66) e 55</w:t>
      </w:r>
      <w:r w:rsidR="009343EF">
        <w:rPr>
          <w:sz w:val="22"/>
          <w:szCs w:val="22"/>
        </w:rPr>
        <w:t>%</w:t>
      </w:r>
      <w:r w:rsidRPr="008912CF">
        <w:rPr>
          <w:sz w:val="22"/>
          <w:szCs w:val="22"/>
        </w:rPr>
        <w:t xml:space="preserve"> (36/66) rec</w:t>
      </w:r>
      <w:r w:rsidRPr="008912CF">
        <w:rPr>
          <w:sz w:val="22"/>
          <w:szCs w:val="22"/>
        </w:rPr>
        <w:t>uperaram resposta PASI 75 após 12 e 24 semanas do novo tratamento, respetivamente.</w:t>
      </w:r>
    </w:p>
    <w:p w14:paraId="60E507E5" w14:textId="77777777" w:rsidR="004462A0" w:rsidRPr="008912CF" w:rsidRDefault="004462A0" w:rsidP="004462A0">
      <w:pPr>
        <w:rPr>
          <w:sz w:val="22"/>
          <w:szCs w:val="22"/>
        </w:rPr>
      </w:pPr>
    </w:p>
    <w:p w14:paraId="4D6CC218" w14:textId="77777777" w:rsidR="004462A0" w:rsidRPr="008912CF" w:rsidRDefault="00615769" w:rsidP="004462A0">
      <w:pPr>
        <w:rPr>
          <w:sz w:val="22"/>
          <w:szCs w:val="22"/>
        </w:rPr>
      </w:pPr>
      <w:r w:rsidRPr="008912CF">
        <w:rPr>
          <w:sz w:val="22"/>
          <w:szCs w:val="22"/>
        </w:rPr>
        <w:t xml:space="preserve">Um total de 233 doentes que tiveram uma resposta PASI 75 à </w:t>
      </w:r>
      <w:r w:rsidR="00547396">
        <w:rPr>
          <w:sz w:val="22"/>
          <w:szCs w:val="22"/>
        </w:rPr>
        <w:t>S</w:t>
      </w:r>
      <w:r w:rsidRPr="008912CF">
        <w:rPr>
          <w:sz w:val="22"/>
          <w:szCs w:val="22"/>
        </w:rPr>
        <w:t xml:space="preserve">emana 16 e à </w:t>
      </w:r>
      <w:r w:rsidR="00547396">
        <w:rPr>
          <w:sz w:val="22"/>
          <w:szCs w:val="22"/>
        </w:rPr>
        <w:t>S</w:t>
      </w:r>
      <w:r w:rsidRPr="008912CF">
        <w:rPr>
          <w:sz w:val="22"/>
          <w:szCs w:val="22"/>
        </w:rPr>
        <w:t>emana 33 receberam tratamento contínuo com Humira no Estudo I na Psoríase, durante 52 semanas, e continuaram com Humira no ensaio de extensão de fase aberta. A taxa de resposta PASI 75 e PGA “limp</w:t>
      </w:r>
      <w:r w:rsidR="00E57BBD">
        <w:rPr>
          <w:sz w:val="22"/>
          <w:szCs w:val="22"/>
        </w:rPr>
        <w:t>a</w:t>
      </w:r>
      <w:r w:rsidRPr="008912CF">
        <w:rPr>
          <w:sz w:val="22"/>
          <w:szCs w:val="22"/>
        </w:rPr>
        <w:t>” ou “</w:t>
      </w:r>
      <w:r w:rsidR="00E57BBD">
        <w:rPr>
          <w:sz w:val="22"/>
          <w:szCs w:val="22"/>
        </w:rPr>
        <w:t>quase limpa</w:t>
      </w:r>
      <w:r w:rsidRPr="008912CF">
        <w:rPr>
          <w:sz w:val="22"/>
          <w:szCs w:val="22"/>
        </w:rPr>
        <w:t>” nestes doentes foi de 74,7</w:t>
      </w:r>
      <w:r w:rsidR="009343EF">
        <w:rPr>
          <w:sz w:val="22"/>
          <w:szCs w:val="22"/>
        </w:rPr>
        <w:t>%</w:t>
      </w:r>
      <w:r w:rsidRPr="008912CF">
        <w:rPr>
          <w:sz w:val="22"/>
          <w:szCs w:val="22"/>
        </w:rPr>
        <w:t xml:space="preserve"> e 59,0</w:t>
      </w:r>
      <w:r w:rsidR="009343EF">
        <w:rPr>
          <w:sz w:val="22"/>
          <w:szCs w:val="22"/>
        </w:rPr>
        <w:t>%</w:t>
      </w:r>
      <w:r w:rsidRPr="008912CF">
        <w:rPr>
          <w:sz w:val="22"/>
          <w:szCs w:val="22"/>
        </w:rPr>
        <w:t xml:space="preserve"> respetivamente, após um tratamento adicional de 108 semanas em fase aberta (total de 160 semanas). Numa análise em que todos os doentes que abandonaram o estudo, devido a acontecimentos adversos ou por falta de eficácia, ou </w:t>
      </w:r>
      <w:r w:rsidR="00547396">
        <w:rPr>
          <w:sz w:val="22"/>
          <w:szCs w:val="22"/>
        </w:rPr>
        <w:t>que tiveram</w:t>
      </w:r>
      <w:r w:rsidR="00547396" w:rsidRPr="008912CF">
        <w:rPr>
          <w:sz w:val="22"/>
          <w:szCs w:val="22"/>
        </w:rPr>
        <w:t xml:space="preserve"> </w:t>
      </w:r>
      <w:r w:rsidRPr="008912CF">
        <w:rPr>
          <w:sz w:val="22"/>
          <w:szCs w:val="22"/>
        </w:rPr>
        <w:t>escalonam</w:t>
      </w:r>
      <w:r w:rsidRPr="008912CF">
        <w:rPr>
          <w:sz w:val="22"/>
          <w:szCs w:val="22"/>
        </w:rPr>
        <w:t>ento de dose, foram considerados não-respondedores, as taxas de resposta PASI 75 e PGA “limp</w:t>
      </w:r>
      <w:r w:rsidR="00547396">
        <w:rPr>
          <w:sz w:val="22"/>
          <w:szCs w:val="22"/>
        </w:rPr>
        <w:t>a</w:t>
      </w:r>
      <w:r w:rsidRPr="008912CF">
        <w:rPr>
          <w:sz w:val="22"/>
          <w:szCs w:val="22"/>
        </w:rPr>
        <w:t>” ou “</w:t>
      </w:r>
      <w:r w:rsidR="00E57BBD">
        <w:rPr>
          <w:sz w:val="22"/>
          <w:szCs w:val="22"/>
        </w:rPr>
        <w:t>quase limpa</w:t>
      </w:r>
      <w:r w:rsidRPr="008912CF">
        <w:rPr>
          <w:sz w:val="22"/>
          <w:szCs w:val="22"/>
        </w:rPr>
        <w:t>” nestes doentes foram de 69,6% e 55,7% respetivamente, após um tratamento adicional de 108 semanas em fase aberta (total de 160 semanas).</w:t>
      </w:r>
    </w:p>
    <w:p w14:paraId="605EEDC1" w14:textId="77777777" w:rsidR="004462A0" w:rsidRPr="008912CF" w:rsidRDefault="004462A0" w:rsidP="004462A0">
      <w:pPr>
        <w:rPr>
          <w:sz w:val="22"/>
          <w:szCs w:val="22"/>
        </w:rPr>
      </w:pPr>
    </w:p>
    <w:p w14:paraId="34D3F98E" w14:textId="77777777" w:rsidR="004462A0" w:rsidRPr="008912CF" w:rsidRDefault="00615769" w:rsidP="004462A0">
      <w:pPr>
        <w:rPr>
          <w:sz w:val="22"/>
          <w:szCs w:val="22"/>
        </w:rPr>
      </w:pPr>
      <w:r w:rsidRPr="008912CF">
        <w:rPr>
          <w:sz w:val="22"/>
          <w:szCs w:val="22"/>
        </w:rPr>
        <w:t xml:space="preserve">Um total de 347 doentes respondedores estáveis participaram numa avaliação da suspensão do tratamento e novo tratamento, no estudo de extensão de fase aberta. Durante o período de suspensão, os sintomas da psoríase reaparecem, com um tempo médio de recidiva (diminuição para um PGA </w:t>
      </w:r>
      <w:r w:rsidR="003E3AA9">
        <w:rPr>
          <w:sz w:val="22"/>
          <w:szCs w:val="22"/>
        </w:rPr>
        <w:t>“</w:t>
      </w:r>
      <w:r w:rsidRPr="008912CF">
        <w:rPr>
          <w:sz w:val="22"/>
          <w:szCs w:val="22"/>
        </w:rPr>
        <w:t>moderad</w:t>
      </w:r>
      <w:r w:rsidR="00601734">
        <w:rPr>
          <w:sz w:val="22"/>
          <w:szCs w:val="22"/>
        </w:rPr>
        <w:t>a</w:t>
      </w:r>
      <w:r w:rsidR="003E3AA9">
        <w:rPr>
          <w:sz w:val="22"/>
          <w:szCs w:val="22"/>
        </w:rPr>
        <w:t>”</w:t>
      </w:r>
      <w:r w:rsidRPr="008912CF">
        <w:rPr>
          <w:sz w:val="22"/>
          <w:szCs w:val="22"/>
        </w:rPr>
        <w:t xml:space="preserve"> ou “pior”) de aproximadamente 5 meses. Nenhum destes doentes apresentaram efeito </w:t>
      </w:r>
      <w:r w:rsidRPr="008912CF">
        <w:rPr>
          <w:i/>
          <w:sz w:val="22"/>
          <w:szCs w:val="22"/>
        </w:rPr>
        <w:t>rebound</w:t>
      </w:r>
      <w:r w:rsidRPr="008912CF">
        <w:rPr>
          <w:sz w:val="22"/>
          <w:szCs w:val="22"/>
        </w:rPr>
        <w:t xml:space="preserve"> durante o período de suspensão. Um total de 76,5% (218/285) dos doentes que entraram no período de novo tratamento apresentaram uma resposta de PGA </w:t>
      </w:r>
      <w:r w:rsidR="003E3AA9">
        <w:rPr>
          <w:sz w:val="22"/>
          <w:szCs w:val="22"/>
        </w:rPr>
        <w:t>“</w:t>
      </w:r>
      <w:r w:rsidRPr="008912CF">
        <w:rPr>
          <w:sz w:val="22"/>
          <w:szCs w:val="22"/>
        </w:rPr>
        <w:t>limp</w:t>
      </w:r>
      <w:r w:rsidR="00E57BBD">
        <w:rPr>
          <w:sz w:val="22"/>
          <w:szCs w:val="22"/>
        </w:rPr>
        <w:t>a</w:t>
      </w:r>
      <w:r w:rsidR="003E3AA9">
        <w:rPr>
          <w:sz w:val="22"/>
          <w:szCs w:val="22"/>
        </w:rPr>
        <w:t>”</w:t>
      </w:r>
      <w:r w:rsidRPr="008912CF">
        <w:rPr>
          <w:sz w:val="22"/>
          <w:szCs w:val="22"/>
        </w:rPr>
        <w:t xml:space="preserve"> ou </w:t>
      </w:r>
      <w:r w:rsidR="003E3AA9">
        <w:rPr>
          <w:sz w:val="22"/>
          <w:szCs w:val="22"/>
        </w:rPr>
        <w:t>“</w:t>
      </w:r>
      <w:r w:rsidR="00E57BBD">
        <w:rPr>
          <w:sz w:val="22"/>
          <w:szCs w:val="22"/>
        </w:rPr>
        <w:t>quase limpa</w:t>
      </w:r>
      <w:r w:rsidR="003E3AA9">
        <w:rPr>
          <w:sz w:val="22"/>
          <w:szCs w:val="22"/>
        </w:rPr>
        <w:t>”</w:t>
      </w:r>
      <w:r w:rsidRPr="008912CF">
        <w:rPr>
          <w:sz w:val="22"/>
          <w:szCs w:val="22"/>
        </w:rPr>
        <w:t xml:space="preserve">, após 16 semanas de novo tratamento, independentemente de recidiva durante a suspensão (69,1% [123/178] e 88,8% [95/107], para doentes que tiveram ou não recidiva durante o período de suspensão, respetivamente). Durante o novo tratamento, </w:t>
      </w:r>
      <w:r w:rsidRPr="008912CF">
        <w:rPr>
          <w:sz w:val="22"/>
          <w:szCs w:val="22"/>
        </w:rPr>
        <w:t>foi observado um perfil de segurança semelhante ao observado antes da suspensão.</w:t>
      </w:r>
    </w:p>
    <w:p w14:paraId="43197A67" w14:textId="77777777" w:rsidR="004462A0" w:rsidRPr="008912CF" w:rsidRDefault="004462A0" w:rsidP="004462A0">
      <w:pPr>
        <w:autoSpaceDE w:val="0"/>
        <w:autoSpaceDN w:val="0"/>
        <w:adjustRightInd w:val="0"/>
        <w:rPr>
          <w:sz w:val="22"/>
          <w:szCs w:val="22"/>
        </w:rPr>
      </w:pPr>
    </w:p>
    <w:p w14:paraId="437995A3" w14:textId="77777777" w:rsidR="004462A0" w:rsidRPr="008912CF" w:rsidRDefault="00615769" w:rsidP="004462A0">
      <w:pPr>
        <w:autoSpaceDE w:val="0"/>
        <w:autoSpaceDN w:val="0"/>
        <w:adjustRightInd w:val="0"/>
        <w:rPr>
          <w:sz w:val="22"/>
          <w:szCs w:val="22"/>
        </w:rPr>
      </w:pPr>
      <w:r w:rsidRPr="008912CF">
        <w:rPr>
          <w:sz w:val="22"/>
          <w:szCs w:val="22"/>
        </w:rPr>
        <w:t xml:space="preserve">Foram demonstradas melhorias significativas </w:t>
      </w:r>
      <w:r w:rsidR="00E74988">
        <w:rPr>
          <w:sz w:val="22"/>
          <w:szCs w:val="22"/>
        </w:rPr>
        <w:t>à</w:t>
      </w:r>
      <w:r w:rsidR="00E74988" w:rsidRPr="008912CF">
        <w:rPr>
          <w:sz w:val="22"/>
          <w:szCs w:val="22"/>
        </w:rPr>
        <w:t xml:space="preserve"> </w:t>
      </w:r>
      <w:r w:rsidRPr="008912CF">
        <w:rPr>
          <w:sz w:val="22"/>
          <w:szCs w:val="22"/>
        </w:rPr>
        <w:t>semana 16 em relação à avaliação basal comparativamente com placebo (Estudos I e II) e MTX (Estudo II), no DLQI (</w:t>
      </w:r>
      <w:r w:rsidRPr="008912CF">
        <w:rPr>
          <w:i/>
          <w:sz w:val="22"/>
          <w:szCs w:val="22"/>
        </w:rPr>
        <w:t>Dermatology Life Quality Index</w:t>
      </w:r>
      <w:r w:rsidRPr="008912CF">
        <w:rPr>
          <w:sz w:val="22"/>
          <w:szCs w:val="22"/>
        </w:rPr>
        <w:t>). No Estudo I, foram também demonstradas melhorias nas pontuações das componentes física e mental do SF-36, comparativamente com placebo.</w:t>
      </w:r>
    </w:p>
    <w:p w14:paraId="2A6E6E59" w14:textId="77777777" w:rsidR="004462A0" w:rsidRPr="008912CF" w:rsidRDefault="004462A0" w:rsidP="004462A0">
      <w:pPr>
        <w:pStyle w:val="EMEANormal"/>
        <w:rPr>
          <w:szCs w:val="22"/>
          <w:lang w:val="pt-PT"/>
        </w:rPr>
      </w:pPr>
    </w:p>
    <w:p w14:paraId="698C27E4" w14:textId="77777777" w:rsidR="004462A0" w:rsidRPr="008912CF" w:rsidRDefault="00615769" w:rsidP="004462A0">
      <w:pPr>
        <w:pStyle w:val="EMEANormal"/>
        <w:rPr>
          <w:szCs w:val="22"/>
          <w:lang w:val="pt-PT"/>
        </w:rPr>
      </w:pPr>
      <w:r w:rsidRPr="008912CF">
        <w:rPr>
          <w:szCs w:val="22"/>
          <w:lang w:val="pt-PT"/>
        </w:rPr>
        <w:t>Num estudo de extensão de fase aberta, em doentes em que houve escalonamento da dose de 40 mg em semanas alternadas para 40 mg todas as semanas, devido a uma resposta PASI inferior a 50%, 26,4</w:t>
      </w:r>
      <w:r w:rsidR="009343EF">
        <w:rPr>
          <w:szCs w:val="22"/>
          <w:lang w:val="pt-PT"/>
        </w:rPr>
        <w:t>%</w:t>
      </w:r>
      <w:r w:rsidRPr="008912CF">
        <w:rPr>
          <w:szCs w:val="22"/>
          <w:lang w:val="pt-PT"/>
        </w:rPr>
        <w:t xml:space="preserve"> (92/349) e 37,8</w:t>
      </w:r>
      <w:r w:rsidR="009343EF">
        <w:rPr>
          <w:szCs w:val="22"/>
          <w:lang w:val="pt-PT"/>
        </w:rPr>
        <w:t>%</w:t>
      </w:r>
      <w:r w:rsidRPr="008912CF">
        <w:rPr>
          <w:szCs w:val="22"/>
          <w:lang w:val="pt-PT"/>
        </w:rPr>
        <w:t xml:space="preserve"> (132/349) dos doentes alcançaram uma resposta PASI 75 às semanas 12 e 24</w:t>
      </w:r>
      <w:r w:rsidR="00E74988">
        <w:rPr>
          <w:szCs w:val="22"/>
          <w:lang w:val="pt-PT"/>
        </w:rPr>
        <w:t>,</w:t>
      </w:r>
      <w:r w:rsidRPr="008912CF">
        <w:rPr>
          <w:szCs w:val="22"/>
          <w:lang w:val="pt-PT"/>
        </w:rPr>
        <w:t xml:space="preserve"> respetivamente.</w:t>
      </w:r>
    </w:p>
    <w:p w14:paraId="40E354AF" w14:textId="77777777" w:rsidR="004462A0" w:rsidRPr="008912CF" w:rsidRDefault="004462A0" w:rsidP="004462A0">
      <w:pPr>
        <w:pStyle w:val="EMEANormal"/>
        <w:rPr>
          <w:szCs w:val="22"/>
          <w:lang w:val="pt-PT"/>
        </w:rPr>
      </w:pPr>
    </w:p>
    <w:p w14:paraId="6C3484E7" w14:textId="77777777" w:rsidR="004462A0" w:rsidRPr="008912CF" w:rsidRDefault="00615769" w:rsidP="004462A0">
      <w:pPr>
        <w:pStyle w:val="EMEANormal"/>
        <w:rPr>
          <w:szCs w:val="22"/>
          <w:lang w:val="pt-PT"/>
        </w:rPr>
      </w:pPr>
      <w:r w:rsidRPr="008912CF">
        <w:rPr>
          <w:szCs w:val="22"/>
          <w:lang w:val="pt-PT"/>
        </w:rPr>
        <w:t xml:space="preserve">O Estudo III na Psoríase (REACH) comparou a eficácia e segurança de Humira </w:t>
      </w:r>
      <w:r w:rsidRPr="008912CF">
        <w:rPr>
          <w:i/>
          <w:szCs w:val="22"/>
          <w:lang w:val="pt-PT"/>
        </w:rPr>
        <w:t>versus</w:t>
      </w:r>
      <w:r w:rsidRPr="008912CF">
        <w:rPr>
          <w:szCs w:val="22"/>
          <w:lang w:val="pt-PT"/>
        </w:rPr>
        <w:t xml:space="preserve"> placebo em 72 doentes com psoríase crónica em placas moderada a grave e psoríase palmar e/ou plantar. Os doentes receberam Humira numa dose inicial de 80 mg, seguid</w:t>
      </w:r>
      <w:r>
        <w:rPr>
          <w:szCs w:val="22"/>
          <w:lang w:val="pt-PT"/>
        </w:rPr>
        <w:t>a</w:t>
      </w:r>
      <w:r w:rsidRPr="008912CF">
        <w:rPr>
          <w:szCs w:val="22"/>
          <w:lang w:val="pt-PT"/>
        </w:rPr>
        <w:t xml:space="preserve"> de 40 mg em semanas alternadas (uma semana após a dose inicial) ou placebo, durante 16 semanas. Na semana 16, os doentes que receberam Humira apresentaram uma resposta de PGA “limp</w:t>
      </w:r>
      <w:r w:rsidR="00E57BBD">
        <w:rPr>
          <w:szCs w:val="22"/>
          <w:lang w:val="pt-PT"/>
        </w:rPr>
        <w:t>a</w:t>
      </w:r>
      <w:r w:rsidRPr="008912CF">
        <w:rPr>
          <w:szCs w:val="22"/>
          <w:lang w:val="pt-PT"/>
        </w:rPr>
        <w:t>” ou “quase limp</w:t>
      </w:r>
      <w:r w:rsidR="00E57BBD">
        <w:rPr>
          <w:szCs w:val="22"/>
          <w:lang w:val="pt-PT"/>
        </w:rPr>
        <w:t>a</w:t>
      </w:r>
      <w:r w:rsidRPr="008912CF">
        <w:rPr>
          <w:szCs w:val="22"/>
          <w:lang w:val="pt-PT"/>
        </w:rPr>
        <w:t>” nas mãos e/ou pés numa proporção superior, estatisticamente significativa, quando comparado com os doentes que receberam placebo (30,6</w:t>
      </w:r>
      <w:r w:rsidR="009343EF">
        <w:rPr>
          <w:szCs w:val="22"/>
          <w:lang w:val="pt-PT"/>
        </w:rPr>
        <w:t>%</w:t>
      </w:r>
      <w:r w:rsidRPr="008912CF">
        <w:rPr>
          <w:szCs w:val="22"/>
          <w:lang w:val="pt-PT"/>
        </w:rPr>
        <w:t xml:space="preserve"> ver</w:t>
      </w:r>
      <w:r w:rsidRPr="008912CF">
        <w:rPr>
          <w:szCs w:val="22"/>
          <w:lang w:val="pt-PT"/>
        </w:rPr>
        <w:t>sus 4,3</w:t>
      </w:r>
      <w:r w:rsidR="009343EF">
        <w:rPr>
          <w:szCs w:val="22"/>
          <w:lang w:val="pt-PT"/>
        </w:rPr>
        <w:t>%</w:t>
      </w:r>
      <w:r w:rsidRPr="008912CF">
        <w:rPr>
          <w:szCs w:val="22"/>
          <w:lang w:val="pt-PT"/>
        </w:rPr>
        <w:t>, respetivamente [</w:t>
      </w:r>
      <w:r w:rsidR="00092159">
        <w:rPr>
          <w:szCs w:val="22"/>
          <w:lang w:val="pt-PT"/>
        </w:rPr>
        <w:t>p</w:t>
      </w:r>
      <w:r w:rsidRPr="008912CF">
        <w:rPr>
          <w:szCs w:val="22"/>
          <w:lang w:val="pt-PT"/>
        </w:rPr>
        <w:t>=0,014]).</w:t>
      </w:r>
    </w:p>
    <w:p w14:paraId="35DB8F20" w14:textId="77777777" w:rsidR="004462A0" w:rsidRDefault="004462A0" w:rsidP="004462A0">
      <w:pPr>
        <w:rPr>
          <w:sz w:val="22"/>
          <w:szCs w:val="22"/>
          <w:u w:val="single"/>
        </w:rPr>
      </w:pPr>
    </w:p>
    <w:p w14:paraId="430E862F" w14:textId="77777777" w:rsidR="004462A0" w:rsidRPr="00102FC8" w:rsidRDefault="00615769" w:rsidP="004462A0">
      <w:pPr>
        <w:autoSpaceDE w:val="0"/>
        <w:autoSpaceDN w:val="0"/>
        <w:adjustRightInd w:val="0"/>
        <w:rPr>
          <w:sz w:val="22"/>
          <w:szCs w:val="22"/>
        </w:rPr>
      </w:pPr>
      <w:r w:rsidRPr="00C34A4F">
        <w:rPr>
          <w:sz w:val="22"/>
          <w:szCs w:val="22"/>
        </w:rPr>
        <w:t>O Estudo IV na Psor</w:t>
      </w:r>
      <w:r w:rsidR="008F2FAC">
        <w:rPr>
          <w:sz w:val="22"/>
          <w:szCs w:val="22"/>
        </w:rPr>
        <w:t>í</w:t>
      </w:r>
      <w:r w:rsidRPr="00C34A4F">
        <w:rPr>
          <w:sz w:val="22"/>
          <w:szCs w:val="22"/>
        </w:rPr>
        <w:t xml:space="preserve">ase comparou a eficácia e segurança de Humira </w:t>
      </w:r>
      <w:r w:rsidRPr="00C34A4F">
        <w:rPr>
          <w:i/>
          <w:sz w:val="22"/>
          <w:szCs w:val="22"/>
        </w:rPr>
        <w:t>versus</w:t>
      </w:r>
      <w:r w:rsidRPr="00C34A4F">
        <w:rPr>
          <w:sz w:val="22"/>
          <w:szCs w:val="22"/>
        </w:rPr>
        <w:t xml:space="preserve"> placebo em 217 doentes adultos com psoríase ungueal moderada a grave. Os doentes receberam Humira numa dose inicial de 80</w:t>
      </w:r>
      <w:r>
        <w:rPr>
          <w:sz w:val="22"/>
          <w:szCs w:val="22"/>
        </w:rPr>
        <w:t> </w:t>
      </w:r>
      <w:r w:rsidRPr="00C34A4F">
        <w:rPr>
          <w:sz w:val="22"/>
          <w:szCs w:val="22"/>
        </w:rPr>
        <w:t>mg, seguida de 40</w:t>
      </w:r>
      <w:r>
        <w:rPr>
          <w:sz w:val="22"/>
          <w:szCs w:val="22"/>
        </w:rPr>
        <w:t> </w:t>
      </w:r>
      <w:r w:rsidRPr="00C34A4F">
        <w:rPr>
          <w:sz w:val="22"/>
          <w:szCs w:val="22"/>
        </w:rPr>
        <w:t>mg em semanas alternadas (uma semana após a dose inicial) ou placebo, durante 26 semanas, seguid</w:t>
      </w:r>
      <w:r w:rsidR="008F2FAC">
        <w:rPr>
          <w:sz w:val="22"/>
          <w:szCs w:val="22"/>
        </w:rPr>
        <w:t>o</w:t>
      </w:r>
      <w:r w:rsidRPr="00C34A4F">
        <w:rPr>
          <w:sz w:val="22"/>
          <w:szCs w:val="22"/>
        </w:rPr>
        <w:t xml:space="preserve"> de um tratamento em fase aberta com Humira durante mais 26 semanas. </w:t>
      </w:r>
      <w:r w:rsidRPr="00102FC8">
        <w:rPr>
          <w:sz w:val="22"/>
          <w:szCs w:val="22"/>
          <w:lang w:eastAsia="zh-CN"/>
        </w:rPr>
        <w:t>As avaliações da psoríase ungueal inclu</w:t>
      </w:r>
      <w:r w:rsidR="008F2FAC">
        <w:rPr>
          <w:sz w:val="22"/>
          <w:szCs w:val="22"/>
          <w:lang w:eastAsia="zh-CN"/>
        </w:rPr>
        <w:t>í</w:t>
      </w:r>
      <w:r w:rsidRPr="00102FC8">
        <w:rPr>
          <w:sz w:val="22"/>
          <w:szCs w:val="22"/>
          <w:lang w:eastAsia="zh-CN"/>
        </w:rPr>
        <w:t xml:space="preserve">ram o Índice de </w:t>
      </w:r>
      <w:r>
        <w:rPr>
          <w:sz w:val="22"/>
          <w:szCs w:val="22"/>
          <w:lang w:eastAsia="zh-CN"/>
        </w:rPr>
        <w:t>Gravidade</w:t>
      </w:r>
      <w:r w:rsidRPr="00102FC8">
        <w:rPr>
          <w:sz w:val="22"/>
          <w:szCs w:val="22"/>
          <w:lang w:eastAsia="zh-CN"/>
        </w:rPr>
        <w:t xml:space="preserve"> da Psoríase Ungueal</w:t>
      </w:r>
      <w:r w:rsidR="008F2FAC">
        <w:rPr>
          <w:sz w:val="22"/>
          <w:szCs w:val="22"/>
          <w:lang w:eastAsia="zh-CN"/>
        </w:rPr>
        <w:t xml:space="preserve"> modificado</w:t>
      </w:r>
      <w:r w:rsidRPr="00102FC8">
        <w:rPr>
          <w:sz w:val="22"/>
          <w:szCs w:val="22"/>
          <w:lang w:eastAsia="zh-CN"/>
        </w:rPr>
        <w:t xml:space="preserve"> (mNAPSI),</w:t>
      </w:r>
      <w:r w:rsidRPr="00102FC8">
        <w:rPr>
          <w:sz w:val="22"/>
          <w:szCs w:val="22"/>
        </w:rPr>
        <w:t xml:space="preserve"> a Avaliação Global dos Médicos da Psoríase Ungueal (PGA-F) e o Índice de </w:t>
      </w:r>
      <w:r>
        <w:rPr>
          <w:sz w:val="22"/>
          <w:szCs w:val="22"/>
        </w:rPr>
        <w:t>Gravidade</w:t>
      </w:r>
      <w:r w:rsidRPr="00102FC8">
        <w:rPr>
          <w:sz w:val="22"/>
          <w:szCs w:val="22"/>
        </w:rPr>
        <w:t xml:space="preserve"> da Psoríase Ungueal (NAPSI) (ver Tabela </w:t>
      </w:r>
      <w:r w:rsidR="00E60C95">
        <w:rPr>
          <w:sz w:val="22"/>
          <w:szCs w:val="22"/>
        </w:rPr>
        <w:t>1</w:t>
      </w:r>
      <w:r w:rsidR="00492E45">
        <w:rPr>
          <w:sz w:val="22"/>
          <w:szCs w:val="22"/>
        </w:rPr>
        <w:t>8</w:t>
      </w:r>
      <w:r w:rsidRPr="00102FC8">
        <w:rPr>
          <w:sz w:val="22"/>
          <w:szCs w:val="22"/>
        </w:rPr>
        <w:t>). Humira demonstrou um benefício de tratamento em doentes com psoríase ungueal com diferentes graus de envolvimento cutâneo (BSA</w:t>
      </w:r>
      <w:r w:rsidRPr="00C34A4F">
        <w:rPr>
          <w:sz w:val="22"/>
          <w:szCs w:val="22"/>
        </w:rPr>
        <w:t>≥10</w:t>
      </w:r>
      <w:r w:rsidR="009343EF">
        <w:rPr>
          <w:sz w:val="22"/>
          <w:szCs w:val="22"/>
        </w:rPr>
        <w:t>%</w:t>
      </w:r>
      <w:r w:rsidRPr="00C34A4F">
        <w:rPr>
          <w:sz w:val="22"/>
          <w:szCs w:val="22"/>
        </w:rPr>
        <w:t xml:space="preserve"> </w:t>
      </w:r>
      <w:r w:rsidRPr="00464189">
        <w:rPr>
          <w:sz w:val="22"/>
          <w:szCs w:val="22"/>
        </w:rPr>
        <w:t>(60</w:t>
      </w:r>
      <w:r w:rsidR="009343EF">
        <w:rPr>
          <w:sz w:val="22"/>
          <w:szCs w:val="22"/>
        </w:rPr>
        <w:t>%</w:t>
      </w:r>
      <w:r w:rsidRPr="00464189">
        <w:rPr>
          <w:sz w:val="22"/>
          <w:szCs w:val="22"/>
        </w:rPr>
        <w:t xml:space="preserve"> dos doentes) </w:t>
      </w:r>
      <w:r w:rsidRPr="00C34A4F">
        <w:rPr>
          <w:sz w:val="22"/>
          <w:szCs w:val="22"/>
        </w:rPr>
        <w:t>e BSA&lt;10</w:t>
      </w:r>
      <w:r w:rsidR="009343EF">
        <w:rPr>
          <w:sz w:val="22"/>
          <w:szCs w:val="22"/>
        </w:rPr>
        <w:t>%</w:t>
      </w:r>
      <w:r w:rsidRPr="00C34A4F">
        <w:rPr>
          <w:sz w:val="22"/>
          <w:szCs w:val="22"/>
        </w:rPr>
        <w:t xml:space="preserve"> e ≥5</w:t>
      </w:r>
      <w:r w:rsidR="009343EF">
        <w:rPr>
          <w:sz w:val="22"/>
          <w:szCs w:val="22"/>
        </w:rPr>
        <w:t>%</w:t>
      </w:r>
      <w:r>
        <w:rPr>
          <w:sz w:val="22"/>
          <w:szCs w:val="22"/>
        </w:rPr>
        <w:t xml:space="preserve"> (4</w:t>
      </w:r>
      <w:r w:rsidRPr="00464189">
        <w:rPr>
          <w:sz w:val="22"/>
          <w:szCs w:val="22"/>
        </w:rPr>
        <w:t>0</w:t>
      </w:r>
      <w:r w:rsidR="009343EF">
        <w:rPr>
          <w:sz w:val="22"/>
          <w:szCs w:val="22"/>
        </w:rPr>
        <w:t>%</w:t>
      </w:r>
      <w:r w:rsidRPr="00464189">
        <w:rPr>
          <w:sz w:val="22"/>
          <w:szCs w:val="22"/>
        </w:rPr>
        <w:t xml:space="preserve"> dos doentes)</w:t>
      </w:r>
      <w:r w:rsidRPr="00C34A4F">
        <w:rPr>
          <w:sz w:val="22"/>
          <w:szCs w:val="22"/>
        </w:rPr>
        <w:t xml:space="preserve">).    </w:t>
      </w:r>
    </w:p>
    <w:p w14:paraId="1F3E7E76" w14:textId="77777777" w:rsidR="004462A0" w:rsidRPr="00612E98" w:rsidRDefault="00615769" w:rsidP="004462A0">
      <w:pPr>
        <w:keepNext/>
        <w:tabs>
          <w:tab w:val="center" w:pos="4536"/>
          <w:tab w:val="left" w:pos="5475"/>
        </w:tabs>
        <w:rPr>
          <w:rFonts w:eastAsia="Times New Roman"/>
          <w:b/>
          <w:sz w:val="22"/>
          <w:szCs w:val="22"/>
        </w:rPr>
      </w:pPr>
      <w:r w:rsidRPr="005C49DA">
        <w:rPr>
          <w:rFonts w:eastAsia="Times New Roman"/>
          <w:b/>
          <w:sz w:val="22"/>
          <w:szCs w:val="22"/>
        </w:rPr>
        <w:tab/>
      </w:r>
    </w:p>
    <w:p w14:paraId="3B862FFC" w14:textId="77777777" w:rsidR="004462A0" w:rsidRDefault="00615769" w:rsidP="004462A0">
      <w:pPr>
        <w:jc w:val="center"/>
        <w:rPr>
          <w:b/>
          <w:sz w:val="22"/>
          <w:szCs w:val="22"/>
        </w:rPr>
      </w:pPr>
      <w:r w:rsidRPr="008912CF">
        <w:rPr>
          <w:b/>
          <w:sz w:val="22"/>
          <w:szCs w:val="22"/>
        </w:rPr>
        <w:t>Tabela 1</w:t>
      </w:r>
      <w:r w:rsidR="00E549E4">
        <w:rPr>
          <w:b/>
          <w:sz w:val="22"/>
          <w:szCs w:val="22"/>
        </w:rPr>
        <w:t>8</w:t>
      </w:r>
      <w:r w:rsidRPr="008912CF">
        <w:rPr>
          <w:b/>
          <w:sz w:val="22"/>
          <w:szCs w:val="22"/>
        </w:rPr>
        <w:t xml:space="preserve">: Estudo </w:t>
      </w:r>
      <w:r>
        <w:rPr>
          <w:b/>
          <w:sz w:val="22"/>
          <w:szCs w:val="22"/>
        </w:rPr>
        <w:t>IV na Psoríase</w:t>
      </w:r>
      <w:r w:rsidRPr="008912CF">
        <w:rPr>
          <w:b/>
          <w:sz w:val="22"/>
          <w:szCs w:val="22"/>
        </w:rPr>
        <w:t xml:space="preserve"> Resultados de </w:t>
      </w:r>
      <w:r>
        <w:rPr>
          <w:b/>
          <w:sz w:val="22"/>
          <w:szCs w:val="22"/>
        </w:rPr>
        <w:t>E</w:t>
      </w:r>
      <w:r w:rsidRPr="008912CF">
        <w:rPr>
          <w:b/>
          <w:sz w:val="22"/>
          <w:szCs w:val="22"/>
        </w:rPr>
        <w:t xml:space="preserve">ficácia às </w:t>
      </w:r>
      <w:r w:rsidR="008F2FAC" w:rsidRPr="008912CF">
        <w:rPr>
          <w:b/>
          <w:sz w:val="22"/>
          <w:szCs w:val="22"/>
        </w:rPr>
        <w:t xml:space="preserve">Semanas </w:t>
      </w:r>
      <w:r w:rsidRPr="008912CF">
        <w:rPr>
          <w:b/>
          <w:sz w:val="22"/>
          <w:szCs w:val="22"/>
        </w:rPr>
        <w:t>1</w:t>
      </w:r>
      <w:r>
        <w:rPr>
          <w:b/>
          <w:sz w:val="22"/>
          <w:szCs w:val="22"/>
        </w:rPr>
        <w:t>6, 26 e 52 </w:t>
      </w:r>
    </w:p>
    <w:p w14:paraId="25EBBC74" w14:textId="77777777" w:rsidR="003E1601" w:rsidRPr="00612E98" w:rsidRDefault="003E1601" w:rsidP="004462A0">
      <w:pPr>
        <w:jc w:val="center"/>
        <w:rPr>
          <w:rFonts w:eastAsia="Times New Roman"/>
          <w:b/>
          <w:bCs/>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080"/>
        <w:gridCol w:w="1260"/>
        <w:gridCol w:w="990"/>
        <w:gridCol w:w="1260"/>
        <w:gridCol w:w="2014"/>
      </w:tblGrid>
      <w:tr w:rsidR="00A7162A" w14:paraId="124C5C68" w14:textId="77777777" w:rsidTr="00F675CF">
        <w:tc>
          <w:tcPr>
            <w:tcW w:w="2718" w:type="dxa"/>
            <w:vMerge w:val="restart"/>
          </w:tcPr>
          <w:p w14:paraId="5FA962D0" w14:textId="77777777" w:rsidR="004462A0" w:rsidRPr="00612E98" w:rsidRDefault="00615769" w:rsidP="00F675CF">
            <w:pPr>
              <w:rPr>
                <w:rFonts w:eastAsia="Times New Roman"/>
                <w:sz w:val="22"/>
                <w:szCs w:val="22"/>
                <w:lang w:val="en-US"/>
              </w:rPr>
            </w:pPr>
            <w:r>
              <w:rPr>
                <w:rFonts w:eastAsia="Times New Roman"/>
                <w:sz w:val="22"/>
                <w:szCs w:val="22"/>
                <w:lang w:val="en-US"/>
              </w:rPr>
              <w:t>Objetivo</w:t>
            </w:r>
          </w:p>
        </w:tc>
        <w:tc>
          <w:tcPr>
            <w:tcW w:w="2340" w:type="dxa"/>
            <w:gridSpan w:val="2"/>
          </w:tcPr>
          <w:p w14:paraId="0040BA01" w14:textId="77777777" w:rsidR="004462A0" w:rsidRPr="00612E98" w:rsidRDefault="00615769" w:rsidP="00F675CF">
            <w:pPr>
              <w:jc w:val="center"/>
              <w:rPr>
                <w:rFonts w:eastAsia="Times New Roman"/>
                <w:sz w:val="22"/>
                <w:szCs w:val="22"/>
                <w:lang w:val="en-US"/>
              </w:rPr>
            </w:pPr>
            <w:r>
              <w:rPr>
                <w:rFonts w:eastAsia="Times New Roman"/>
                <w:sz w:val="22"/>
                <w:szCs w:val="22"/>
                <w:lang w:val="en-US"/>
              </w:rPr>
              <w:t>Semana </w:t>
            </w:r>
            <w:r w:rsidRPr="00612E98">
              <w:rPr>
                <w:rFonts w:eastAsia="Times New Roman"/>
                <w:sz w:val="22"/>
                <w:szCs w:val="22"/>
                <w:lang w:val="en-US"/>
              </w:rPr>
              <w:t>16</w:t>
            </w:r>
          </w:p>
          <w:p w14:paraId="4E2C762E" w14:textId="77777777" w:rsidR="004462A0" w:rsidRPr="00612E98" w:rsidRDefault="00615769" w:rsidP="00F675CF">
            <w:pPr>
              <w:jc w:val="center"/>
              <w:rPr>
                <w:rFonts w:eastAsia="Times New Roman"/>
                <w:sz w:val="22"/>
                <w:szCs w:val="22"/>
                <w:lang w:val="en-US"/>
              </w:rPr>
            </w:pPr>
            <w:r>
              <w:rPr>
                <w:rFonts w:eastAsia="Times New Roman"/>
                <w:sz w:val="22"/>
                <w:szCs w:val="22"/>
                <w:lang w:val="en-US"/>
              </w:rPr>
              <w:t>Controlado por Placebo</w:t>
            </w:r>
          </w:p>
        </w:tc>
        <w:tc>
          <w:tcPr>
            <w:tcW w:w="2250" w:type="dxa"/>
            <w:gridSpan w:val="2"/>
          </w:tcPr>
          <w:p w14:paraId="1ABE96EF" w14:textId="77777777" w:rsidR="004462A0" w:rsidRPr="00612E98" w:rsidRDefault="00615769" w:rsidP="00F675CF">
            <w:pPr>
              <w:jc w:val="center"/>
              <w:rPr>
                <w:rFonts w:eastAsia="Times New Roman"/>
                <w:sz w:val="22"/>
                <w:szCs w:val="22"/>
                <w:lang w:val="en-US"/>
              </w:rPr>
            </w:pPr>
            <w:r>
              <w:rPr>
                <w:rFonts w:eastAsia="Times New Roman"/>
                <w:sz w:val="22"/>
                <w:szCs w:val="22"/>
                <w:lang w:val="en-US"/>
              </w:rPr>
              <w:t>Semana </w:t>
            </w:r>
            <w:r w:rsidRPr="00612E98">
              <w:rPr>
                <w:rFonts w:eastAsia="Times New Roman"/>
                <w:sz w:val="22"/>
                <w:szCs w:val="22"/>
                <w:lang w:val="en-US"/>
              </w:rPr>
              <w:t>26</w:t>
            </w:r>
          </w:p>
          <w:p w14:paraId="1CB116FC" w14:textId="77777777" w:rsidR="004462A0" w:rsidRPr="00612E98" w:rsidRDefault="00615769" w:rsidP="00F675CF">
            <w:pPr>
              <w:jc w:val="center"/>
              <w:rPr>
                <w:rFonts w:eastAsia="Times New Roman"/>
                <w:sz w:val="22"/>
                <w:szCs w:val="22"/>
                <w:lang w:val="en-US"/>
              </w:rPr>
            </w:pPr>
            <w:r>
              <w:rPr>
                <w:rFonts w:eastAsia="Times New Roman"/>
                <w:sz w:val="22"/>
                <w:szCs w:val="22"/>
                <w:lang w:val="en-US"/>
              </w:rPr>
              <w:t>Controlado por Placebo</w:t>
            </w:r>
          </w:p>
        </w:tc>
        <w:tc>
          <w:tcPr>
            <w:tcW w:w="2014" w:type="dxa"/>
          </w:tcPr>
          <w:p w14:paraId="50CB71F3" w14:textId="77777777" w:rsidR="004462A0" w:rsidRPr="00612E98" w:rsidRDefault="00615769" w:rsidP="00F675CF">
            <w:pPr>
              <w:jc w:val="center"/>
              <w:rPr>
                <w:rFonts w:eastAsia="Times New Roman"/>
                <w:sz w:val="22"/>
                <w:szCs w:val="22"/>
                <w:lang w:val="en-US"/>
              </w:rPr>
            </w:pPr>
            <w:r>
              <w:rPr>
                <w:rFonts w:eastAsia="Times New Roman"/>
                <w:sz w:val="22"/>
                <w:szCs w:val="22"/>
                <w:lang w:val="en-US"/>
              </w:rPr>
              <w:t>Semana </w:t>
            </w:r>
            <w:r w:rsidRPr="00612E98">
              <w:rPr>
                <w:rFonts w:eastAsia="Times New Roman"/>
                <w:sz w:val="22"/>
                <w:szCs w:val="22"/>
                <w:lang w:val="en-US"/>
              </w:rPr>
              <w:t>52</w:t>
            </w:r>
          </w:p>
          <w:p w14:paraId="27DF5E28" w14:textId="77777777" w:rsidR="004462A0" w:rsidRDefault="00615769" w:rsidP="00F675CF">
            <w:pPr>
              <w:jc w:val="center"/>
              <w:rPr>
                <w:rFonts w:eastAsia="Times New Roman"/>
                <w:sz w:val="22"/>
                <w:szCs w:val="22"/>
                <w:lang w:val="en-US"/>
              </w:rPr>
            </w:pPr>
            <w:r>
              <w:rPr>
                <w:rFonts w:eastAsia="Times New Roman"/>
                <w:sz w:val="22"/>
                <w:szCs w:val="22"/>
                <w:lang w:val="en-US"/>
              </w:rPr>
              <w:t>Fase aberta</w:t>
            </w:r>
          </w:p>
          <w:p w14:paraId="3F2BE711" w14:textId="77777777" w:rsidR="004462A0" w:rsidRPr="00612E98" w:rsidRDefault="004462A0" w:rsidP="00F675CF">
            <w:pPr>
              <w:jc w:val="center"/>
              <w:rPr>
                <w:rFonts w:eastAsia="Times New Roman"/>
                <w:sz w:val="22"/>
                <w:szCs w:val="22"/>
                <w:lang w:val="en-US"/>
              </w:rPr>
            </w:pPr>
          </w:p>
        </w:tc>
      </w:tr>
      <w:tr w:rsidR="00A7162A" w14:paraId="0F007AB1" w14:textId="77777777" w:rsidTr="00F675CF">
        <w:tc>
          <w:tcPr>
            <w:tcW w:w="2718" w:type="dxa"/>
            <w:vMerge/>
          </w:tcPr>
          <w:p w14:paraId="1681C478" w14:textId="77777777" w:rsidR="004462A0" w:rsidRPr="00612E98" w:rsidRDefault="004462A0" w:rsidP="00F675CF">
            <w:pPr>
              <w:rPr>
                <w:rFonts w:eastAsia="Times New Roman"/>
                <w:sz w:val="22"/>
                <w:szCs w:val="22"/>
                <w:lang w:val="en-US"/>
              </w:rPr>
            </w:pPr>
          </w:p>
        </w:tc>
        <w:tc>
          <w:tcPr>
            <w:tcW w:w="1080" w:type="dxa"/>
          </w:tcPr>
          <w:p w14:paraId="0B5AFC66" w14:textId="77777777" w:rsidR="004462A0" w:rsidRPr="00612E98" w:rsidRDefault="00615769" w:rsidP="00F675CF">
            <w:pPr>
              <w:jc w:val="center"/>
              <w:rPr>
                <w:rFonts w:eastAsia="Times New Roman"/>
                <w:sz w:val="22"/>
                <w:szCs w:val="22"/>
                <w:lang w:val="en-US"/>
              </w:rPr>
            </w:pPr>
            <w:r w:rsidRPr="00612E98">
              <w:rPr>
                <w:rFonts w:eastAsia="Times New Roman"/>
                <w:sz w:val="22"/>
                <w:szCs w:val="2"/>
                <w:lang w:val="en-US"/>
              </w:rPr>
              <w:t>Placebo</w:t>
            </w:r>
            <w:r w:rsidRPr="00612E98">
              <w:rPr>
                <w:rFonts w:eastAsia="Times New Roman"/>
                <w:sz w:val="22"/>
                <w:szCs w:val="2"/>
                <w:lang w:val="en-US"/>
              </w:rPr>
              <w:br/>
              <w:t>N=108</w:t>
            </w:r>
          </w:p>
        </w:tc>
        <w:tc>
          <w:tcPr>
            <w:tcW w:w="1260" w:type="dxa"/>
          </w:tcPr>
          <w:p w14:paraId="3C918F80" w14:textId="77777777" w:rsidR="004462A0" w:rsidRPr="00B427DD" w:rsidRDefault="00615769" w:rsidP="00F675CF">
            <w:pPr>
              <w:suppressAutoHyphens/>
              <w:overflowPunct w:val="0"/>
              <w:autoSpaceDE w:val="0"/>
              <w:autoSpaceDN w:val="0"/>
              <w:adjustRightInd w:val="0"/>
              <w:jc w:val="center"/>
              <w:textAlignment w:val="baseline"/>
              <w:rPr>
                <w:rFonts w:eastAsia="Times New Roman"/>
                <w:sz w:val="22"/>
              </w:rPr>
            </w:pPr>
            <w:r w:rsidRPr="00B427DD">
              <w:rPr>
                <w:rFonts w:eastAsia="Times New Roman"/>
                <w:sz w:val="22"/>
              </w:rPr>
              <w:t>Humira</w:t>
            </w:r>
          </w:p>
          <w:p w14:paraId="373AEF0D" w14:textId="77777777" w:rsidR="004462A0" w:rsidRPr="00B427DD" w:rsidRDefault="00615769" w:rsidP="00F675CF">
            <w:pPr>
              <w:jc w:val="center"/>
              <w:rPr>
                <w:rFonts w:eastAsia="Times New Roman"/>
                <w:sz w:val="22"/>
                <w:szCs w:val="22"/>
              </w:rPr>
            </w:pPr>
            <w:r w:rsidRPr="00B427DD">
              <w:rPr>
                <w:rFonts w:eastAsia="Times New Roman"/>
                <w:sz w:val="22"/>
                <w:szCs w:val="2"/>
              </w:rPr>
              <w:t xml:space="preserve">40 mg em semanas alternadas  </w:t>
            </w:r>
            <w:r w:rsidRPr="00B427DD">
              <w:rPr>
                <w:rFonts w:eastAsia="Times New Roman"/>
                <w:sz w:val="22"/>
                <w:szCs w:val="2"/>
              </w:rPr>
              <w:br/>
              <w:t>N=109</w:t>
            </w:r>
          </w:p>
        </w:tc>
        <w:tc>
          <w:tcPr>
            <w:tcW w:w="990" w:type="dxa"/>
          </w:tcPr>
          <w:p w14:paraId="6AF19F7C" w14:textId="77777777" w:rsidR="004462A0" w:rsidRPr="00612E98" w:rsidRDefault="00615769" w:rsidP="00F675CF">
            <w:pPr>
              <w:jc w:val="center"/>
              <w:rPr>
                <w:rFonts w:eastAsia="Times New Roman"/>
                <w:sz w:val="22"/>
                <w:szCs w:val="22"/>
                <w:lang w:val="en-US"/>
              </w:rPr>
            </w:pPr>
            <w:r w:rsidRPr="00612E98">
              <w:rPr>
                <w:rFonts w:eastAsia="Times New Roman"/>
                <w:sz w:val="22"/>
                <w:szCs w:val="2"/>
                <w:lang w:val="en-US"/>
              </w:rPr>
              <w:t>Placebo</w:t>
            </w:r>
            <w:r w:rsidRPr="00612E98">
              <w:rPr>
                <w:rFonts w:eastAsia="Times New Roman"/>
                <w:sz w:val="22"/>
                <w:szCs w:val="2"/>
                <w:lang w:val="en-US"/>
              </w:rPr>
              <w:br/>
              <w:t>N=108</w:t>
            </w:r>
          </w:p>
        </w:tc>
        <w:tc>
          <w:tcPr>
            <w:tcW w:w="1260" w:type="dxa"/>
          </w:tcPr>
          <w:p w14:paraId="5280491D" w14:textId="77777777" w:rsidR="004462A0" w:rsidRPr="00B427DD" w:rsidRDefault="00615769" w:rsidP="00F675CF">
            <w:pPr>
              <w:suppressAutoHyphens/>
              <w:overflowPunct w:val="0"/>
              <w:autoSpaceDE w:val="0"/>
              <w:autoSpaceDN w:val="0"/>
              <w:adjustRightInd w:val="0"/>
              <w:jc w:val="center"/>
              <w:textAlignment w:val="baseline"/>
              <w:rPr>
                <w:rFonts w:eastAsia="Times New Roman"/>
                <w:sz w:val="22"/>
              </w:rPr>
            </w:pPr>
            <w:r w:rsidRPr="00B427DD">
              <w:rPr>
                <w:rFonts w:eastAsia="Times New Roman"/>
                <w:sz w:val="22"/>
              </w:rPr>
              <w:t>Humira</w:t>
            </w:r>
          </w:p>
          <w:p w14:paraId="1E81BB1F" w14:textId="77777777" w:rsidR="004462A0" w:rsidRPr="00B427DD" w:rsidRDefault="00615769" w:rsidP="00F675CF">
            <w:pPr>
              <w:jc w:val="center"/>
              <w:rPr>
                <w:rFonts w:eastAsia="Times New Roman"/>
                <w:sz w:val="22"/>
                <w:szCs w:val="22"/>
              </w:rPr>
            </w:pPr>
            <w:r w:rsidRPr="00B427DD">
              <w:rPr>
                <w:rFonts w:eastAsia="Times New Roman"/>
                <w:sz w:val="22"/>
                <w:szCs w:val="2"/>
              </w:rPr>
              <w:t xml:space="preserve">40 mg em semanas alternadas </w:t>
            </w:r>
            <w:r w:rsidRPr="00B427DD">
              <w:rPr>
                <w:rFonts w:eastAsia="Times New Roman"/>
                <w:sz w:val="22"/>
                <w:szCs w:val="2"/>
              </w:rPr>
              <w:br/>
              <w:t>N=109</w:t>
            </w:r>
          </w:p>
        </w:tc>
        <w:tc>
          <w:tcPr>
            <w:tcW w:w="2014" w:type="dxa"/>
          </w:tcPr>
          <w:p w14:paraId="71F46914" w14:textId="77777777" w:rsidR="004462A0" w:rsidRPr="00B427DD" w:rsidRDefault="00615769" w:rsidP="00F675CF">
            <w:pPr>
              <w:suppressAutoHyphens/>
              <w:overflowPunct w:val="0"/>
              <w:autoSpaceDE w:val="0"/>
              <w:autoSpaceDN w:val="0"/>
              <w:adjustRightInd w:val="0"/>
              <w:jc w:val="center"/>
              <w:textAlignment w:val="baseline"/>
              <w:rPr>
                <w:rFonts w:eastAsia="Times New Roman"/>
                <w:sz w:val="22"/>
              </w:rPr>
            </w:pPr>
            <w:r w:rsidRPr="00B427DD">
              <w:rPr>
                <w:rFonts w:eastAsia="Times New Roman"/>
                <w:sz w:val="22"/>
              </w:rPr>
              <w:t>Humira</w:t>
            </w:r>
          </w:p>
          <w:p w14:paraId="487015C8" w14:textId="77777777" w:rsidR="004462A0" w:rsidRPr="00B427DD" w:rsidRDefault="00615769" w:rsidP="00F675CF">
            <w:pPr>
              <w:jc w:val="center"/>
              <w:rPr>
                <w:rFonts w:eastAsia="Times New Roman"/>
                <w:sz w:val="22"/>
                <w:szCs w:val="22"/>
              </w:rPr>
            </w:pPr>
            <w:r w:rsidRPr="00B427DD">
              <w:rPr>
                <w:rFonts w:eastAsia="Times New Roman"/>
                <w:sz w:val="22"/>
                <w:szCs w:val="2"/>
              </w:rPr>
              <w:t xml:space="preserve">40 mg em semanas alternadas </w:t>
            </w:r>
            <w:r w:rsidRPr="00B427DD">
              <w:rPr>
                <w:rFonts w:eastAsia="Times New Roman"/>
                <w:sz w:val="22"/>
                <w:szCs w:val="2"/>
              </w:rPr>
              <w:br/>
              <w:t>N=80</w:t>
            </w:r>
          </w:p>
        </w:tc>
      </w:tr>
      <w:tr w:rsidR="00A7162A" w14:paraId="74FEB084" w14:textId="77777777" w:rsidTr="00F675CF">
        <w:tc>
          <w:tcPr>
            <w:tcW w:w="2718" w:type="dxa"/>
          </w:tcPr>
          <w:p w14:paraId="206F9465" w14:textId="77777777" w:rsidR="004462A0" w:rsidRPr="00612E98" w:rsidRDefault="00615769" w:rsidP="00F675CF">
            <w:pPr>
              <w:rPr>
                <w:rFonts w:eastAsia="Times New Roman"/>
                <w:sz w:val="22"/>
                <w:szCs w:val="22"/>
                <w:lang w:val="en-US"/>
              </w:rPr>
            </w:pPr>
            <w:r w:rsidRPr="00612E98">
              <w:rPr>
                <w:rFonts w:eastAsia="Times New Roman"/>
                <w:sz w:val="22"/>
                <w:szCs w:val="2"/>
                <w:lang w:val="en-US"/>
              </w:rPr>
              <w:t>≥ mNAPSI 75 (%)</w:t>
            </w:r>
          </w:p>
        </w:tc>
        <w:tc>
          <w:tcPr>
            <w:tcW w:w="1080" w:type="dxa"/>
          </w:tcPr>
          <w:p w14:paraId="739CB417" w14:textId="77777777" w:rsidR="004462A0" w:rsidRPr="00612E98" w:rsidRDefault="00615769" w:rsidP="00F675CF">
            <w:pPr>
              <w:jc w:val="center"/>
              <w:rPr>
                <w:rFonts w:eastAsia="Times New Roman"/>
                <w:sz w:val="22"/>
                <w:szCs w:val="22"/>
                <w:lang w:val="en-US"/>
              </w:rPr>
            </w:pPr>
            <w:r w:rsidRPr="00612E98">
              <w:rPr>
                <w:rFonts w:eastAsia="Times New Roman"/>
                <w:sz w:val="22"/>
                <w:szCs w:val="22"/>
                <w:lang w:val="en-US"/>
              </w:rPr>
              <w:t>2</w:t>
            </w:r>
            <w:r>
              <w:rPr>
                <w:rFonts w:eastAsia="Times New Roman"/>
                <w:sz w:val="22"/>
                <w:szCs w:val="22"/>
                <w:lang w:val="en-US"/>
              </w:rPr>
              <w:t>,</w:t>
            </w:r>
            <w:r w:rsidRPr="00612E98">
              <w:rPr>
                <w:rFonts w:eastAsia="Times New Roman"/>
                <w:sz w:val="22"/>
                <w:szCs w:val="22"/>
                <w:lang w:val="en-US"/>
              </w:rPr>
              <w:t>9</w:t>
            </w:r>
          </w:p>
        </w:tc>
        <w:tc>
          <w:tcPr>
            <w:tcW w:w="1260" w:type="dxa"/>
          </w:tcPr>
          <w:p w14:paraId="5DB5C88B" w14:textId="77777777" w:rsidR="004462A0" w:rsidRPr="00612E98" w:rsidRDefault="00615769" w:rsidP="00F675CF">
            <w:pPr>
              <w:jc w:val="center"/>
              <w:rPr>
                <w:rFonts w:eastAsia="Times New Roman"/>
                <w:sz w:val="22"/>
                <w:szCs w:val="22"/>
                <w:lang w:val="en-US"/>
              </w:rPr>
            </w:pPr>
            <w:r w:rsidRPr="00612E98">
              <w:rPr>
                <w:rFonts w:eastAsia="Times New Roman"/>
                <w:sz w:val="22"/>
                <w:szCs w:val="22"/>
                <w:lang w:val="en-US"/>
              </w:rPr>
              <w:t>26</w:t>
            </w:r>
            <w:r>
              <w:rPr>
                <w:rFonts w:eastAsia="Times New Roman"/>
                <w:sz w:val="22"/>
                <w:szCs w:val="22"/>
                <w:lang w:val="en-US"/>
              </w:rPr>
              <w:t>,</w:t>
            </w:r>
            <w:r w:rsidRPr="00612E98">
              <w:rPr>
                <w:rFonts w:eastAsia="Times New Roman"/>
                <w:sz w:val="22"/>
                <w:szCs w:val="22"/>
                <w:lang w:val="en-US"/>
              </w:rPr>
              <w:t>0</w:t>
            </w:r>
            <w:r w:rsidRPr="00612E98">
              <w:rPr>
                <w:rFonts w:eastAsia="Times New Roman"/>
                <w:sz w:val="22"/>
                <w:szCs w:val="22"/>
                <w:vertAlign w:val="superscript"/>
                <w:lang w:val="en-US"/>
              </w:rPr>
              <w:t>a</w:t>
            </w:r>
          </w:p>
        </w:tc>
        <w:tc>
          <w:tcPr>
            <w:tcW w:w="990" w:type="dxa"/>
          </w:tcPr>
          <w:p w14:paraId="21DB75CF" w14:textId="77777777" w:rsidR="004462A0" w:rsidRPr="00612E98" w:rsidRDefault="00615769" w:rsidP="00F675CF">
            <w:pPr>
              <w:keepNext/>
              <w:tabs>
                <w:tab w:val="left" w:pos="562"/>
              </w:tabs>
              <w:suppressAutoHyphens/>
              <w:jc w:val="center"/>
              <w:rPr>
                <w:rFonts w:eastAsia="Times New Roman"/>
                <w:sz w:val="22"/>
                <w:szCs w:val="22"/>
                <w:lang w:val="en-US"/>
              </w:rPr>
            </w:pPr>
            <w:r w:rsidRPr="00612E98">
              <w:rPr>
                <w:rFonts w:eastAsia="Times New Roman"/>
                <w:sz w:val="22"/>
                <w:szCs w:val="22"/>
                <w:lang w:val="en-US"/>
              </w:rPr>
              <w:t>3</w:t>
            </w:r>
            <w:r>
              <w:rPr>
                <w:rFonts w:eastAsia="Times New Roman"/>
                <w:sz w:val="22"/>
                <w:szCs w:val="22"/>
                <w:lang w:val="en-US"/>
              </w:rPr>
              <w:t>,</w:t>
            </w:r>
            <w:r w:rsidRPr="00612E98">
              <w:rPr>
                <w:rFonts w:eastAsia="Times New Roman"/>
                <w:sz w:val="22"/>
                <w:szCs w:val="22"/>
                <w:lang w:val="en-US"/>
              </w:rPr>
              <w:t>4</w:t>
            </w:r>
          </w:p>
        </w:tc>
        <w:tc>
          <w:tcPr>
            <w:tcW w:w="1260" w:type="dxa"/>
          </w:tcPr>
          <w:p w14:paraId="7B433C98" w14:textId="77777777" w:rsidR="004462A0" w:rsidRPr="00612E98" w:rsidRDefault="00615769" w:rsidP="00F675CF">
            <w:pPr>
              <w:keepNext/>
              <w:tabs>
                <w:tab w:val="left" w:pos="562"/>
              </w:tabs>
              <w:suppressAutoHyphens/>
              <w:jc w:val="center"/>
              <w:rPr>
                <w:rFonts w:eastAsia="Times New Roman"/>
                <w:sz w:val="22"/>
                <w:szCs w:val="22"/>
                <w:lang w:val="en-US"/>
              </w:rPr>
            </w:pPr>
            <w:r w:rsidRPr="00612E98">
              <w:rPr>
                <w:rFonts w:eastAsia="Times New Roman"/>
                <w:sz w:val="22"/>
                <w:szCs w:val="22"/>
                <w:lang w:val="en-US"/>
              </w:rPr>
              <w:t>46</w:t>
            </w:r>
            <w:r>
              <w:rPr>
                <w:rFonts w:eastAsia="Times New Roman"/>
                <w:sz w:val="22"/>
                <w:szCs w:val="22"/>
                <w:lang w:val="en-US"/>
              </w:rPr>
              <w:t>,</w:t>
            </w:r>
            <w:r w:rsidRPr="00612E98">
              <w:rPr>
                <w:rFonts w:eastAsia="Times New Roman"/>
                <w:sz w:val="22"/>
                <w:szCs w:val="22"/>
                <w:lang w:val="en-US"/>
              </w:rPr>
              <w:t>6</w:t>
            </w:r>
            <w:r w:rsidRPr="00612E98">
              <w:rPr>
                <w:rFonts w:eastAsia="Times New Roman"/>
                <w:sz w:val="22"/>
                <w:szCs w:val="22"/>
                <w:vertAlign w:val="superscript"/>
                <w:lang w:val="en-US"/>
              </w:rPr>
              <w:t>a</w:t>
            </w:r>
          </w:p>
        </w:tc>
        <w:tc>
          <w:tcPr>
            <w:tcW w:w="2014" w:type="dxa"/>
          </w:tcPr>
          <w:p w14:paraId="5D788E79" w14:textId="77777777" w:rsidR="004462A0" w:rsidRPr="00612E98" w:rsidRDefault="00615769" w:rsidP="00F675CF">
            <w:pPr>
              <w:jc w:val="center"/>
              <w:rPr>
                <w:rFonts w:eastAsia="Times New Roman"/>
                <w:sz w:val="22"/>
                <w:szCs w:val="22"/>
                <w:lang w:val="en-US"/>
              </w:rPr>
            </w:pPr>
            <w:r w:rsidRPr="00612E98">
              <w:rPr>
                <w:rFonts w:eastAsia="Times New Roman"/>
                <w:sz w:val="22"/>
                <w:szCs w:val="22"/>
                <w:lang w:val="en-US"/>
              </w:rPr>
              <w:t>65</w:t>
            </w:r>
            <w:r>
              <w:rPr>
                <w:rFonts w:eastAsia="Times New Roman"/>
                <w:sz w:val="22"/>
                <w:szCs w:val="22"/>
                <w:lang w:val="en-US"/>
              </w:rPr>
              <w:t>,</w:t>
            </w:r>
            <w:r w:rsidRPr="00612E98">
              <w:rPr>
                <w:rFonts w:eastAsia="Times New Roman"/>
                <w:sz w:val="22"/>
                <w:szCs w:val="22"/>
                <w:lang w:val="en-US"/>
              </w:rPr>
              <w:t>0</w:t>
            </w:r>
          </w:p>
        </w:tc>
      </w:tr>
      <w:tr w:rsidR="00A7162A" w14:paraId="7B9504CD" w14:textId="77777777" w:rsidTr="00F675CF">
        <w:tc>
          <w:tcPr>
            <w:tcW w:w="2718" w:type="dxa"/>
          </w:tcPr>
          <w:p w14:paraId="69C69BC1" w14:textId="77777777" w:rsidR="004462A0" w:rsidRPr="00612E98" w:rsidRDefault="00615769" w:rsidP="00F675CF">
            <w:pPr>
              <w:rPr>
                <w:rFonts w:eastAsia="Times New Roman"/>
                <w:sz w:val="22"/>
                <w:szCs w:val="22"/>
              </w:rPr>
            </w:pPr>
            <w:r w:rsidRPr="00612E98">
              <w:rPr>
                <w:rFonts w:eastAsia="Times New Roman"/>
                <w:sz w:val="22"/>
                <w:szCs w:val="22"/>
              </w:rPr>
              <w:t xml:space="preserve">PGA-F limpo/mínimo e </w:t>
            </w:r>
            <w:r w:rsidR="008F2FAC" w:rsidRPr="00612E98">
              <w:rPr>
                <w:rFonts w:eastAsia="Times New Roman"/>
                <w:sz w:val="22"/>
                <w:szCs w:val="22"/>
              </w:rPr>
              <w:t xml:space="preserve">melhoria </w:t>
            </w:r>
            <w:r w:rsidRPr="00612E98">
              <w:rPr>
                <w:rFonts w:eastAsia="Times New Roman"/>
                <w:sz w:val="22"/>
                <w:szCs w:val="22"/>
              </w:rPr>
              <w:t>≥2</w:t>
            </w:r>
            <w:r w:rsidR="008F2FAC">
              <w:rPr>
                <w:rFonts w:eastAsia="Times New Roman"/>
                <w:sz w:val="22"/>
                <w:szCs w:val="22"/>
              </w:rPr>
              <w:t xml:space="preserve"> graus</w:t>
            </w:r>
            <w:r w:rsidRPr="00612E98">
              <w:rPr>
                <w:rFonts w:eastAsia="Times New Roman"/>
                <w:sz w:val="22"/>
                <w:szCs w:val="22"/>
              </w:rPr>
              <w:t xml:space="preserve"> (%)</w:t>
            </w:r>
          </w:p>
        </w:tc>
        <w:tc>
          <w:tcPr>
            <w:tcW w:w="1080" w:type="dxa"/>
          </w:tcPr>
          <w:p w14:paraId="03523939" w14:textId="77777777" w:rsidR="004462A0" w:rsidRPr="00612E98" w:rsidRDefault="00615769" w:rsidP="00F675CF">
            <w:pPr>
              <w:jc w:val="center"/>
              <w:rPr>
                <w:rFonts w:eastAsia="Times New Roman"/>
                <w:sz w:val="22"/>
                <w:szCs w:val="22"/>
                <w:lang w:val="en-US"/>
              </w:rPr>
            </w:pPr>
            <w:r w:rsidRPr="00612E98">
              <w:rPr>
                <w:rFonts w:eastAsia="Times New Roman"/>
                <w:sz w:val="22"/>
                <w:szCs w:val="22"/>
                <w:lang w:val="en-US"/>
              </w:rPr>
              <w:t>2</w:t>
            </w:r>
            <w:r>
              <w:rPr>
                <w:rFonts w:eastAsia="Times New Roman"/>
                <w:sz w:val="22"/>
                <w:szCs w:val="22"/>
                <w:lang w:val="en-US"/>
              </w:rPr>
              <w:t>,</w:t>
            </w:r>
            <w:r w:rsidRPr="00612E98">
              <w:rPr>
                <w:rFonts w:eastAsia="Times New Roman"/>
                <w:sz w:val="22"/>
                <w:szCs w:val="22"/>
                <w:lang w:val="en-US"/>
              </w:rPr>
              <w:t>9</w:t>
            </w:r>
          </w:p>
        </w:tc>
        <w:tc>
          <w:tcPr>
            <w:tcW w:w="1260" w:type="dxa"/>
          </w:tcPr>
          <w:p w14:paraId="0469E7B9" w14:textId="77777777" w:rsidR="004462A0" w:rsidRPr="00612E98" w:rsidRDefault="00615769" w:rsidP="00F675CF">
            <w:pPr>
              <w:jc w:val="center"/>
              <w:rPr>
                <w:rFonts w:eastAsia="Times New Roman"/>
                <w:sz w:val="22"/>
                <w:szCs w:val="22"/>
                <w:lang w:val="en-US"/>
              </w:rPr>
            </w:pPr>
            <w:r w:rsidRPr="00612E98">
              <w:rPr>
                <w:rFonts w:eastAsia="Times New Roman"/>
                <w:sz w:val="22"/>
                <w:szCs w:val="22"/>
                <w:lang w:val="en-US"/>
              </w:rPr>
              <w:t>29</w:t>
            </w:r>
            <w:r>
              <w:rPr>
                <w:rFonts w:eastAsia="Times New Roman"/>
                <w:sz w:val="22"/>
                <w:szCs w:val="22"/>
                <w:lang w:val="en-US"/>
              </w:rPr>
              <w:t>,</w:t>
            </w:r>
            <w:r w:rsidRPr="00612E98">
              <w:rPr>
                <w:rFonts w:eastAsia="Times New Roman"/>
                <w:sz w:val="22"/>
                <w:szCs w:val="22"/>
                <w:lang w:val="en-US"/>
              </w:rPr>
              <w:t>7</w:t>
            </w:r>
            <w:r w:rsidRPr="00612E98">
              <w:rPr>
                <w:rFonts w:eastAsia="Times New Roman"/>
                <w:sz w:val="22"/>
                <w:szCs w:val="22"/>
                <w:vertAlign w:val="superscript"/>
                <w:lang w:val="en-US"/>
              </w:rPr>
              <w:t>a</w:t>
            </w:r>
          </w:p>
        </w:tc>
        <w:tc>
          <w:tcPr>
            <w:tcW w:w="990" w:type="dxa"/>
          </w:tcPr>
          <w:p w14:paraId="6DEB5788" w14:textId="77777777" w:rsidR="004462A0" w:rsidRPr="00612E98" w:rsidRDefault="00615769" w:rsidP="00F675CF">
            <w:pPr>
              <w:keepNext/>
              <w:tabs>
                <w:tab w:val="left" w:pos="562"/>
              </w:tabs>
              <w:suppressAutoHyphens/>
              <w:jc w:val="center"/>
              <w:rPr>
                <w:rFonts w:eastAsia="Times New Roman"/>
                <w:sz w:val="22"/>
                <w:szCs w:val="22"/>
                <w:lang w:val="en-US"/>
              </w:rPr>
            </w:pPr>
            <w:r w:rsidRPr="00612E98">
              <w:rPr>
                <w:rFonts w:eastAsia="Times New Roman"/>
                <w:sz w:val="22"/>
                <w:szCs w:val="22"/>
                <w:lang w:val="en-US"/>
              </w:rPr>
              <w:t>6</w:t>
            </w:r>
            <w:r>
              <w:rPr>
                <w:rFonts w:eastAsia="Times New Roman"/>
                <w:sz w:val="22"/>
                <w:szCs w:val="22"/>
                <w:lang w:val="en-US"/>
              </w:rPr>
              <w:t>,</w:t>
            </w:r>
            <w:r w:rsidRPr="00612E98">
              <w:rPr>
                <w:rFonts w:eastAsia="Times New Roman"/>
                <w:sz w:val="22"/>
                <w:szCs w:val="22"/>
                <w:lang w:val="en-US"/>
              </w:rPr>
              <w:t>9</w:t>
            </w:r>
          </w:p>
        </w:tc>
        <w:tc>
          <w:tcPr>
            <w:tcW w:w="1260" w:type="dxa"/>
          </w:tcPr>
          <w:p w14:paraId="7889FD7F" w14:textId="77777777" w:rsidR="004462A0" w:rsidRPr="00612E98" w:rsidRDefault="00615769" w:rsidP="00F675CF">
            <w:pPr>
              <w:keepNext/>
              <w:tabs>
                <w:tab w:val="left" w:pos="562"/>
              </w:tabs>
              <w:suppressAutoHyphens/>
              <w:jc w:val="center"/>
              <w:rPr>
                <w:rFonts w:eastAsia="Times New Roman"/>
                <w:sz w:val="22"/>
                <w:szCs w:val="22"/>
                <w:lang w:val="en-US"/>
              </w:rPr>
            </w:pPr>
            <w:r w:rsidRPr="00612E98">
              <w:rPr>
                <w:rFonts w:eastAsia="Times New Roman"/>
                <w:sz w:val="22"/>
                <w:szCs w:val="22"/>
                <w:lang w:val="en-US"/>
              </w:rPr>
              <w:t>48</w:t>
            </w:r>
            <w:r>
              <w:rPr>
                <w:rFonts w:eastAsia="Times New Roman"/>
                <w:sz w:val="22"/>
                <w:szCs w:val="22"/>
                <w:lang w:val="en-US"/>
              </w:rPr>
              <w:t>,</w:t>
            </w:r>
            <w:r w:rsidRPr="00612E98">
              <w:rPr>
                <w:rFonts w:eastAsia="Times New Roman"/>
                <w:sz w:val="22"/>
                <w:szCs w:val="22"/>
                <w:lang w:val="en-US"/>
              </w:rPr>
              <w:t>9</w:t>
            </w:r>
            <w:r w:rsidRPr="00612E98">
              <w:rPr>
                <w:rFonts w:eastAsia="Times New Roman"/>
                <w:sz w:val="22"/>
                <w:szCs w:val="22"/>
                <w:vertAlign w:val="superscript"/>
                <w:lang w:val="en-US"/>
              </w:rPr>
              <w:t>a</w:t>
            </w:r>
          </w:p>
        </w:tc>
        <w:tc>
          <w:tcPr>
            <w:tcW w:w="2014" w:type="dxa"/>
          </w:tcPr>
          <w:p w14:paraId="60CEE0DA" w14:textId="77777777" w:rsidR="004462A0" w:rsidRPr="00612E98" w:rsidRDefault="00615769" w:rsidP="00F675CF">
            <w:pPr>
              <w:jc w:val="center"/>
              <w:rPr>
                <w:rFonts w:eastAsia="Times New Roman"/>
                <w:sz w:val="22"/>
                <w:szCs w:val="22"/>
                <w:lang w:val="en-US"/>
              </w:rPr>
            </w:pPr>
            <w:r w:rsidRPr="00612E98">
              <w:rPr>
                <w:rFonts w:eastAsia="Times New Roman"/>
                <w:sz w:val="22"/>
                <w:szCs w:val="22"/>
                <w:lang w:val="en-US"/>
              </w:rPr>
              <w:t>61</w:t>
            </w:r>
            <w:r>
              <w:rPr>
                <w:rFonts w:eastAsia="Times New Roman"/>
                <w:sz w:val="22"/>
                <w:szCs w:val="22"/>
                <w:lang w:val="en-US"/>
              </w:rPr>
              <w:t>,</w:t>
            </w:r>
            <w:r w:rsidRPr="00612E98">
              <w:rPr>
                <w:rFonts w:eastAsia="Times New Roman"/>
                <w:sz w:val="22"/>
                <w:szCs w:val="22"/>
                <w:lang w:val="en-US"/>
              </w:rPr>
              <w:t>3</w:t>
            </w:r>
          </w:p>
        </w:tc>
      </w:tr>
      <w:tr w:rsidR="00A7162A" w14:paraId="4EB04BC2" w14:textId="77777777" w:rsidTr="00F675CF">
        <w:tc>
          <w:tcPr>
            <w:tcW w:w="2718" w:type="dxa"/>
          </w:tcPr>
          <w:p w14:paraId="1EE6251C" w14:textId="77777777" w:rsidR="004462A0" w:rsidRPr="00475D7E" w:rsidRDefault="00615769" w:rsidP="00F675CF">
            <w:pPr>
              <w:rPr>
                <w:rFonts w:eastAsia="Times New Roman"/>
                <w:sz w:val="22"/>
                <w:szCs w:val="22"/>
              </w:rPr>
            </w:pPr>
            <w:r>
              <w:rPr>
                <w:rFonts w:eastAsia="Times New Roman"/>
                <w:sz w:val="22"/>
                <w:szCs w:val="22"/>
              </w:rPr>
              <w:t>Alteração</w:t>
            </w:r>
            <w:r w:rsidRPr="00475D7E">
              <w:rPr>
                <w:rFonts w:eastAsia="Times New Roman"/>
                <w:sz w:val="22"/>
                <w:szCs w:val="22"/>
              </w:rPr>
              <w:t xml:space="preserve"> percentual na </w:t>
            </w:r>
            <w:r>
              <w:rPr>
                <w:rFonts w:eastAsia="Times New Roman"/>
                <w:sz w:val="22"/>
                <w:szCs w:val="22"/>
              </w:rPr>
              <w:t xml:space="preserve">Avaliação Ungueal Total </w:t>
            </w:r>
            <w:r w:rsidRPr="00475D7E">
              <w:rPr>
                <w:rFonts w:eastAsia="Times New Roman"/>
                <w:sz w:val="22"/>
                <w:szCs w:val="22"/>
              </w:rPr>
              <w:t xml:space="preserve"> NAPSI (%)</w:t>
            </w:r>
          </w:p>
        </w:tc>
        <w:tc>
          <w:tcPr>
            <w:tcW w:w="1080" w:type="dxa"/>
          </w:tcPr>
          <w:p w14:paraId="7E2A67BA" w14:textId="77777777" w:rsidR="004462A0" w:rsidRPr="00612E98" w:rsidRDefault="00615769" w:rsidP="00F675CF">
            <w:pPr>
              <w:jc w:val="center"/>
              <w:rPr>
                <w:rFonts w:eastAsia="Times New Roman"/>
                <w:sz w:val="22"/>
                <w:szCs w:val="22"/>
                <w:lang w:val="en-US"/>
              </w:rPr>
            </w:pPr>
            <w:r w:rsidRPr="00612E98">
              <w:rPr>
                <w:rFonts w:eastAsia="Times New Roman"/>
                <w:sz w:val="22"/>
                <w:szCs w:val="22"/>
                <w:lang w:val="en-US"/>
              </w:rPr>
              <w:t>-7</w:t>
            </w:r>
            <w:r>
              <w:rPr>
                <w:rFonts w:eastAsia="Times New Roman"/>
                <w:sz w:val="22"/>
                <w:szCs w:val="22"/>
                <w:lang w:val="en-US"/>
              </w:rPr>
              <w:t>,</w:t>
            </w:r>
            <w:r w:rsidRPr="00612E98">
              <w:rPr>
                <w:rFonts w:eastAsia="Times New Roman"/>
                <w:sz w:val="22"/>
                <w:szCs w:val="22"/>
                <w:lang w:val="en-US"/>
              </w:rPr>
              <w:t>8</w:t>
            </w:r>
          </w:p>
        </w:tc>
        <w:tc>
          <w:tcPr>
            <w:tcW w:w="1260" w:type="dxa"/>
          </w:tcPr>
          <w:p w14:paraId="3BDA527E" w14:textId="77777777" w:rsidR="004462A0" w:rsidRPr="00612E98" w:rsidRDefault="00615769" w:rsidP="00F675CF">
            <w:pPr>
              <w:jc w:val="center"/>
              <w:rPr>
                <w:rFonts w:eastAsia="Times New Roman"/>
                <w:sz w:val="22"/>
                <w:szCs w:val="22"/>
                <w:lang w:val="en-US"/>
              </w:rPr>
            </w:pPr>
            <w:r w:rsidRPr="00612E98">
              <w:rPr>
                <w:rFonts w:eastAsia="Times New Roman"/>
                <w:sz w:val="22"/>
                <w:szCs w:val="22"/>
                <w:lang w:val="en-US"/>
              </w:rPr>
              <w:t>-44</w:t>
            </w:r>
            <w:r>
              <w:rPr>
                <w:rFonts w:eastAsia="Times New Roman"/>
                <w:sz w:val="22"/>
                <w:szCs w:val="22"/>
                <w:lang w:val="en-US"/>
              </w:rPr>
              <w:t>,</w:t>
            </w:r>
            <w:r w:rsidRPr="00612E98">
              <w:rPr>
                <w:rFonts w:eastAsia="Times New Roman"/>
                <w:sz w:val="22"/>
                <w:szCs w:val="22"/>
                <w:lang w:val="en-US"/>
              </w:rPr>
              <w:t>2</w:t>
            </w:r>
            <w:r w:rsidRPr="00612E98">
              <w:rPr>
                <w:rFonts w:eastAsia="Times New Roman"/>
                <w:sz w:val="22"/>
                <w:szCs w:val="22"/>
                <w:vertAlign w:val="superscript"/>
                <w:lang w:val="en-US"/>
              </w:rPr>
              <w:t xml:space="preserve"> a</w:t>
            </w:r>
          </w:p>
        </w:tc>
        <w:tc>
          <w:tcPr>
            <w:tcW w:w="990" w:type="dxa"/>
          </w:tcPr>
          <w:p w14:paraId="419B726E" w14:textId="77777777" w:rsidR="004462A0" w:rsidRPr="00612E98" w:rsidRDefault="00615769" w:rsidP="00F675CF">
            <w:pPr>
              <w:keepNext/>
              <w:tabs>
                <w:tab w:val="left" w:pos="562"/>
              </w:tabs>
              <w:suppressAutoHyphens/>
              <w:jc w:val="center"/>
              <w:rPr>
                <w:rFonts w:eastAsia="Times New Roman"/>
                <w:sz w:val="22"/>
                <w:szCs w:val="22"/>
                <w:lang w:val="en-US"/>
              </w:rPr>
            </w:pPr>
            <w:r w:rsidRPr="00612E98">
              <w:rPr>
                <w:rFonts w:eastAsia="Times New Roman"/>
                <w:sz w:val="22"/>
                <w:szCs w:val="22"/>
                <w:lang w:val="en-US"/>
              </w:rPr>
              <w:t>-11</w:t>
            </w:r>
            <w:r>
              <w:rPr>
                <w:rFonts w:eastAsia="Times New Roman"/>
                <w:sz w:val="22"/>
                <w:szCs w:val="22"/>
                <w:lang w:val="en-US"/>
              </w:rPr>
              <w:t>,</w:t>
            </w:r>
            <w:r w:rsidRPr="00612E98">
              <w:rPr>
                <w:rFonts w:eastAsia="Times New Roman"/>
                <w:sz w:val="22"/>
                <w:szCs w:val="22"/>
                <w:lang w:val="en-US"/>
              </w:rPr>
              <w:t>5</w:t>
            </w:r>
          </w:p>
        </w:tc>
        <w:tc>
          <w:tcPr>
            <w:tcW w:w="1260" w:type="dxa"/>
          </w:tcPr>
          <w:p w14:paraId="0381CAD2" w14:textId="77777777" w:rsidR="004462A0" w:rsidRPr="00612E98" w:rsidRDefault="00615769" w:rsidP="00F675CF">
            <w:pPr>
              <w:keepNext/>
              <w:tabs>
                <w:tab w:val="left" w:pos="562"/>
              </w:tabs>
              <w:suppressAutoHyphens/>
              <w:jc w:val="center"/>
              <w:rPr>
                <w:rFonts w:eastAsia="Times New Roman"/>
                <w:sz w:val="22"/>
                <w:szCs w:val="22"/>
                <w:lang w:val="en-US"/>
              </w:rPr>
            </w:pPr>
            <w:r w:rsidRPr="00612E98">
              <w:rPr>
                <w:rFonts w:eastAsia="Times New Roman"/>
                <w:sz w:val="22"/>
                <w:szCs w:val="22"/>
                <w:lang w:val="en-US"/>
              </w:rPr>
              <w:t>-56</w:t>
            </w:r>
            <w:r>
              <w:rPr>
                <w:rFonts w:eastAsia="Times New Roman"/>
                <w:sz w:val="22"/>
                <w:szCs w:val="22"/>
                <w:lang w:val="en-US"/>
              </w:rPr>
              <w:t>,</w:t>
            </w:r>
            <w:r w:rsidRPr="00612E98">
              <w:rPr>
                <w:rFonts w:eastAsia="Times New Roman"/>
                <w:sz w:val="22"/>
                <w:szCs w:val="22"/>
                <w:lang w:val="en-US"/>
              </w:rPr>
              <w:t>2</w:t>
            </w:r>
            <w:r w:rsidRPr="00612E98">
              <w:rPr>
                <w:rFonts w:eastAsia="Times New Roman"/>
                <w:sz w:val="22"/>
                <w:szCs w:val="22"/>
                <w:vertAlign w:val="superscript"/>
                <w:lang w:val="en-US"/>
              </w:rPr>
              <w:t>a</w:t>
            </w:r>
          </w:p>
        </w:tc>
        <w:tc>
          <w:tcPr>
            <w:tcW w:w="2014" w:type="dxa"/>
          </w:tcPr>
          <w:p w14:paraId="254E7A23" w14:textId="77777777" w:rsidR="004462A0" w:rsidRPr="00612E98" w:rsidRDefault="00615769" w:rsidP="00F675CF">
            <w:pPr>
              <w:jc w:val="center"/>
              <w:rPr>
                <w:rFonts w:eastAsia="Times New Roman"/>
                <w:sz w:val="22"/>
                <w:szCs w:val="22"/>
                <w:lang w:val="en-US"/>
              </w:rPr>
            </w:pPr>
            <w:r w:rsidRPr="00612E98">
              <w:rPr>
                <w:rFonts w:eastAsia="Times New Roman"/>
                <w:sz w:val="22"/>
                <w:szCs w:val="22"/>
                <w:lang w:val="en-US"/>
              </w:rPr>
              <w:t>-72</w:t>
            </w:r>
            <w:r>
              <w:rPr>
                <w:rFonts w:eastAsia="Times New Roman"/>
                <w:sz w:val="22"/>
                <w:szCs w:val="22"/>
                <w:lang w:val="en-US"/>
              </w:rPr>
              <w:t>,</w:t>
            </w:r>
            <w:r w:rsidRPr="00612E98">
              <w:rPr>
                <w:rFonts w:eastAsia="Times New Roman"/>
                <w:sz w:val="22"/>
                <w:szCs w:val="22"/>
                <w:lang w:val="en-US"/>
              </w:rPr>
              <w:t>2</w:t>
            </w:r>
          </w:p>
        </w:tc>
      </w:tr>
      <w:tr w:rsidR="00A7162A" w14:paraId="17E90B4E" w14:textId="77777777" w:rsidTr="00F675CF">
        <w:tc>
          <w:tcPr>
            <w:tcW w:w="9322" w:type="dxa"/>
            <w:gridSpan w:val="6"/>
          </w:tcPr>
          <w:p w14:paraId="5C573069" w14:textId="77777777" w:rsidR="004462A0" w:rsidRPr="00612E98" w:rsidRDefault="00615769" w:rsidP="00F675CF">
            <w:pPr>
              <w:rPr>
                <w:rFonts w:eastAsia="Times New Roman"/>
                <w:sz w:val="22"/>
                <w:szCs w:val="22"/>
              </w:rPr>
            </w:pPr>
            <w:r w:rsidRPr="00612E98">
              <w:rPr>
                <w:rFonts w:eastAsia="Times New Roman"/>
                <w:sz w:val="22"/>
                <w:szCs w:val="22"/>
                <w:vertAlign w:val="superscript"/>
              </w:rPr>
              <w:t>a</w:t>
            </w:r>
            <w:r w:rsidRPr="00612E98">
              <w:rPr>
                <w:rFonts w:eastAsia="Times New Roman"/>
                <w:sz w:val="22"/>
                <w:szCs w:val="22"/>
              </w:rPr>
              <w:t xml:space="preserve"> p&lt;0</w:t>
            </w:r>
            <w:r>
              <w:rPr>
                <w:rFonts w:eastAsia="Times New Roman"/>
                <w:sz w:val="22"/>
                <w:szCs w:val="22"/>
              </w:rPr>
              <w:t>,</w:t>
            </w:r>
            <w:r w:rsidRPr="00612E98">
              <w:rPr>
                <w:rFonts w:eastAsia="Times New Roman"/>
                <w:sz w:val="22"/>
                <w:szCs w:val="22"/>
              </w:rPr>
              <w:t xml:space="preserve">001, Humira </w:t>
            </w:r>
            <w:r w:rsidRPr="00612E98">
              <w:rPr>
                <w:rFonts w:eastAsia="Times New Roman"/>
                <w:i/>
                <w:sz w:val="22"/>
                <w:szCs w:val="22"/>
              </w:rPr>
              <w:t>vs.</w:t>
            </w:r>
            <w:r w:rsidRPr="00612E98">
              <w:rPr>
                <w:rFonts w:eastAsia="Times New Roman"/>
                <w:sz w:val="22"/>
                <w:szCs w:val="22"/>
              </w:rPr>
              <w:t xml:space="preserve"> placebo </w:t>
            </w:r>
          </w:p>
        </w:tc>
      </w:tr>
    </w:tbl>
    <w:p w14:paraId="62637D09" w14:textId="77777777" w:rsidR="004462A0" w:rsidRPr="00612E98" w:rsidRDefault="004462A0" w:rsidP="004462A0">
      <w:pPr>
        <w:rPr>
          <w:rFonts w:eastAsia="Times New Roman"/>
          <w:sz w:val="22"/>
          <w:szCs w:val="22"/>
        </w:rPr>
      </w:pPr>
    </w:p>
    <w:p w14:paraId="1DC0A9F9" w14:textId="77777777" w:rsidR="004462A0" w:rsidRPr="00CB25CC" w:rsidRDefault="00615769" w:rsidP="004462A0">
      <w:pPr>
        <w:tabs>
          <w:tab w:val="left" w:pos="562"/>
        </w:tabs>
        <w:suppressAutoHyphens/>
        <w:rPr>
          <w:rFonts w:eastAsia="Times New Roman"/>
          <w:sz w:val="22"/>
          <w:szCs w:val="22"/>
        </w:rPr>
      </w:pPr>
      <w:r w:rsidRPr="00CB25CC">
        <w:rPr>
          <w:rFonts w:eastAsia="Times New Roman"/>
          <w:sz w:val="22"/>
          <w:szCs w:val="22"/>
        </w:rPr>
        <w:t>Os doentes tratados com Humira revelaram melho</w:t>
      </w:r>
      <w:r>
        <w:rPr>
          <w:rFonts w:eastAsia="Times New Roman"/>
          <w:sz w:val="22"/>
          <w:szCs w:val="22"/>
        </w:rPr>
        <w:t>ri</w:t>
      </w:r>
      <w:r w:rsidRPr="00CB25CC">
        <w:rPr>
          <w:rFonts w:eastAsia="Times New Roman"/>
          <w:sz w:val="22"/>
          <w:szCs w:val="22"/>
        </w:rPr>
        <w:t>as estatisticamente significativas</w:t>
      </w:r>
      <w:r>
        <w:rPr>
          <w:rFonts w:eastAsia="Times New Roman"/>
          <w:sz w:val="22"/>
          <w:szCs w:val="22"/>
        </w:rPr>
        <w:t xml:space="preserve"> à Semana 26 comparativamente com placebo </w:t>
      </w:r>
      <w:r w:rsidR="008F2FAC">
        <w:rPr>
          <w:sz w:val="22"/>
          <w:szCs w:val="22"/>
        </w:rPr>
        <w:t>no</w:t>
      </w:r>
      <w:r w:rsidRPr="008912CF">
        <w:rPr>
          <w:sz w:val="22"/>
          <w:szCs w:val="22"/>
        </w:rPr>
        <w:t xml:space="preserve"> </w:t>
      </w:r>
      <w:r w:rsidRPr="008912CF">
        <w:rPr>
          <w:i/>
          <w:sz w:val="22"/>
          <w:szCs w:val="22"/>
        </w:rPr>
        <w:t xml:space="preserve">Dermatology Life Quality Index </w:t>
      </w:r>
      <w:r w:rsidRPr="008912CF">
        <w:rPr>
          <w:sz w:val="22"/>
          <w:szCs w:val="22"/>
        </w:rPr>
        <w:t>(DLQI</w:t>
      </w:r>
      <w:r>
        <w:rPr>
          <w:sz w:val="22"/>
          <w:szCs w:val="22"/>
        </w:rPr>
        <w:t>)</w:t>
      </w:r>
      <w:r w:rsidRPr="00CB25CC">
        <w:rPr>
          <w:rFonts w:eastAsia="Times New Roman"/>
          <w:sz w:val="22"/>
          <w:szCs w:val="22"/>
        </w:rPr>
        <w:t xml:space="preserve">. </w:t>
      </w:r>
    </w:p>
    <w:p w14:paraId="034577EC" w14:textId="77777777" w:rsidR="004462A0" w:rsidRPr="008912CF" w:rsidRDefault="004462A0" w:rsidP="004462A0">
      <w:pPr>
        <w:rPr>
          <w:sz w:val="22"/>
          <w:szCs w:val="22"/>
          <w:u w:val="single"/>
        </w:rPr>
      </w:pPr>
    </w:p>
    <w:p w14:paraId="1B1650A2" w14:textId="77777777" w:rsidR="004462A0" w:rsidRPr="008912CF" w:rsidRDefault="00615769" w:rsidP="004462A0">
      <w:pPr>
        <w:rPr>
          <w:i/>
          <w:sz w:val="22"/>
          <w:szCs w:val="22"/>
        </w:rPr>
      </w:pPr>
      <w:r w:rsidRPr="008912CF">
        <w:rPr>
          <w:i/>
          <w:sz w:val="22"/>
          <w:szCs w:val="22"/>
        </w:rPr>
        <w:t>Hidradenite supurativa</w:t>
      </w:r>
    </w:p>
    <w:p w14:paraId="42201DA9" w14:textId="77777777" w:rsidR="004462A0" w:rsidRPr="008912CF" w:rsidRDefault="004462A0" w:rsidP="004462A0">
      <w:pPr>
        <w:rPr>
          <w:sz w:val="22"/>
          <w:szCs w:val="22"/>
          <w:u w:val="single"/>
        </w:rPr>
      </w:pPr>
    </w:p>
    <w:p w14:paraId="651EBFD3" w14:textId="77777777" w:rsidR="004462A0" w:rsidRPr="008912CF" w:rsidRDefault="00615769" w:rsidP="004462A0">
      <w:pPr>
        <w:rPr>
          <w:sz w:val="22"/>
          <w:szCs w:val="22"/>
        </w:rPr>
      </w:pPr>
      <w:r w:rsidRPr="008912CF">
        <w:rPr>
          <w:sz w:val="22"/>
          <w:szCs w:val="22"/>
        </w:rPr>
        <w:t xml:space="preserve">A segurança e eficácia de Humira foram avaliadas em estudos </w:t>
      </w:r>
      <w:r w:rsidR="0013275C">
        <w:rPr>
          <w:sz w:val="22"/>
          <w:szCs w:val="22"/>
        </w:rPr>
        <w:t>aleatorizado</w:t>
      </w:r>
      <w:r w:rsidRPr="008912CF">
        <w:rPr>
          <w:sz w:val="22"/>
          <w:szCs w:val="22"/>
        </w:rPr>
        <w:t>s, em dupla ocultação, controlados por placebo e num estudo de extensão de fase aberta, em doentes adultos com hidradenite supurativa (HS) moderada a grave, que eram intolerantes, contraindicados ou com uma resposta inadequada a pelo menos 3 meses de antibioterapia sistémica. Os doentes nos estudos HS-I e HS-II tinham doença em estadio de Hurley II ou III, com pelo menos 3 abcessos ou nódulos inflamatórios.</w:t>
      </w:r>
    </w:p>
    <w:p w14:paraId="67B1DCEA" w14:textId="77777777" w:rsidR="004462A0" w:rsidRPr="008912CF" w:rsidRDefault="004462A0" w:rsidP="004462A0">
      <w:pPr>
        <w:rPr>
          <w:sz w:val="22"/>
          <w:szCs w:val="22"/>
        </w:rPr>
      </w:pPr>
    </w:p>
    <w:p w14:paraId="2D74DFFD" w14:textId="77777777" w:rsidR="004462A0" w:rsidRPr="008912CF" w:rsidRDefault="00615769" w:rsidP="004462A0">
      <w:pPr>
        <w:rPr>
          <w:sz w:val="22"/>
          <w:szCs w:val="22"/>
        </w:rPr>
      </w:pPr>
      <w:r w:rsidRPr="008912CF">
        <w:rPr>
          <w:sz w:val="22"/>
          <w:szCs w:val="22"/>
        </w:rPr>
        <w:t>No estudo HS-I (PIONEER I) foram avaliados 307 doentes em 2 períodos de tratamento. No período A, os doentes receberam placebo ou Humira, numa dose inicial de 160</w:t>
      </w:r>
      <w:r>
        <w:rPr>
          <w:sz w:val="22"/>
          <w:szCs w:val="22"/>
        </w:rPr>
        <w:t> </w:t>
      </w:r>
      <w:r w:rsidRPr="008912CF">
        <w:rPr>
          <w:sz w:val="22"/>
          <w:szCs w:val="22"/>
        </w:rPr>
        <w:t>mg na Semana 0, 80 mg na Semana 2 e 40 mg por semana</w:t>
      </w:r>
      <w:r w:rsidR="0082206C">
        <w:rPr>
          <w:sz w:val="22"/>
          <w:szCs w:val="22"/>
        </w:rPr>
        <w:t>, d</w:t>
      </w:r>
      <w:r w:rsidRPr="008912CF">
        <w:rPr>
          <w:sz w:val="22"/>
          <w:szCs w:val="22"/>
        </w:rPr>
        <w:t>a semana 4 à semana 11. O uso concomitante de antibióticos não foi permitido durante o estudo. Após 12 semanas de tratamento, os doentes que receberam Humira no Período A foram re-</w:t>
      </w:r>
      <w:r w:rsidR="0013275C">
        <w:rPr>
          <w:sz w:val="22"/>
          <w:szCs w:val="22"/>
        </w:rPr>
        <w:t>aleatorizado</w:t>
      </w:r>
      <w:r w:rsidRPr="008912CF">
        <w:rPr>
          <w:sz w:val="22"/>
          <w:szCs w:val="22"/>
        </w:rPr>
        <w:t xml:space="preserve">s no Período B para 1 de 3 grupos de tratamento (Humira 40 mg todas as semanas, Humira 40 mg em semanas alternadas, ou placebo da Semana 12 à Semana 35). Os doentes que foram </w:t>
      </w:r>
      <w:r w:rsidR="0013275C">
        <w:rPr>
          <w:sz w:val="22"/>
          <w:szCs w:val="22"/>
        </w:rPr>
        <w:t>aleatorizado</w:t>
      </w:r>
      <w:r w:rsidRPr="008912CF">
        <w:rPr>
          <w:sz w:val="22"/>
          <w:szCs w:val="22"/>
        </w:rPr>
        <w:t>s para placebo no Período A, receberam Humira 40 mg todas as semanas no perío</w:t>
      </w:r>
      <w:r w:rsidRPr="008912CF">
        <w:rPr>
          <w:sz w:val="22"/>
          <w:szCs w:val="22"/>
        </w:rPr>
        <w:t>do B.</w:t>
      </w:r>
    </w:p>
    <w:p w14:paraId="77C1C4B9" w14:textId="77777777" w:rsidR="004462A0" w:rsidRPr="008912CF" w:rsidRDefault="004462A0" w:rsidP="004462A0">
      <w:pPr>
        <w:rPr>
          <w:sz w:val="22"/>
          <w:szCs w:val="22"/>
        </w:rPr>
      </w:pPr>
    </w:p>
    <w:p w14:paraId="5FA4E8E9" w14:textId="77777777" w:rsidR="004462A0" w:rsidRPr="008912CF" w:rsidRDefault="00615769" w:rsidP="004462A0">
      <w:pPr>
        <w:rPr>
          <w:sz w:val="22"/>
          <w:szCs w:val="22"/>
        </w:rPr>
      </w:pPr>
      <w:r w:rsidRPr="008912CF">
        <w:rPr>
          <w:sz w:val="22"/>
          <w:szCs w:val="22"/>
        </w:rPr>
        <w:t>No estudo HS-II (PIONEER II) foram avaliados 326 doentes em 2 períodos de tratamento. No Período A, os doentes receberam placebo ou Humira numa dose inicial de 160</w:t>
      </w:r>
      <w:r>
        <w:rPr>
          <w:sz w:val="22"/>
          <w:szCs w:val="22"/>
        </w:rPr>
        <w:t> </w:t>
      </w:r>
      <w:r w:rsidRPr="008912CF">
        <w:rPr>
          <w:sz w:val="22"/>
          <w:szCs w:val="22"/>
        </w:rPr>
        <w:t>mg na Semana 0 e 80 mg na Semana 2 e 40 mg por semana, da Semana 4 à Semana 11. 19,3</w:t>
      </w:r>
      <w:r w:rsidR="009343EF">
        <w:rPr>
          <w:sz w:val="22"/>
          <w:szCs w:val="22"/>
        </w:rPr>
        <w:t>%</w:t>
      </w:r>
      <w:r w:rsidRPr="008912CF">
        <w:rPr>
          <w:sz w:val="22"/>
          <w:szCs w:val="22"/>
        </w:rPr>
        <w:t xml:space="preserve"> dos doentes continuaram antibioterapia oral durante o estudo. Após 12 semanas de tratamento, os doentes que receberam Humira no Período A foram re-</w:t>
      </w:r>
      <w:r w:rsidR="0013275C">
        <w:rPr>
          <w:sz w:val="22"/>
          <w:szCs w:val="22"/>
        </w:rPr>
        <w:t>aleatorizado</w:t>
      </w:r>
      <w:r w:rsidR="0082206C">
        <w:rPr>
          <w:sz w:val="22"/>
          <w:szCs w:val="22"/>
        </w:rPr>
        <w:t>s</w:t>
      </w:r>
      <w:r w:rsidRPr="008912CF">
        <w:rPr>
          <w:sz w:val="22"/>
          <w:szCs w:val="22"/>
        </w:rPr>
        <w:t xml:space="preserve"> no Período B para 1 de 3 grupos de tratamento (Humira 40 mg todas as semanas, Humira 40 mg em semanas alternadas, ou placebo da Semana 12 à Semana 35). Os doentes que foram </w:t>
      </w:r>
      <w:r w:rsidR="0013275C">
        <w:rPr>
          <w:sz w:val="22"/>
          <w:szCs w:val="22"/>
        </w:rPr>
        <w:t>aleatorizado</w:t>
      </w:r>
      <w:r w:rsidRPr="008912CF">
        <w:rPr>
          <w:sz w:val="22"/>
          <w:szCs w:val="22"/>
        </w:rPr>
        <w:t>s para placebo no Período A, receberam placebo no período B.</w:t>
      </w:r>
    </w:p>
    <w:p w14:paraId="54882EA6" w14:textId="77777777" w:rsidR="004462A0" w:rsidRPr="008912CF" w:rsidRDefault="004462A0" w:rsidP="004462A0">
      <w:pPr>
        <w:rPr>
          <w:sz w:val="22"/>
          <w:szCs w:val="22"/>
          <w:u w:val="single"/>
        </w:rPr>
      </w:pPr>
    </w:p>
    <w:p w14:paraId="077287C0" w14:textId="77777777" w:rsidR="004462A0" w:rsidRPr="008912CF" w:rsidRDefault="00615769" w:rsidP="004462A0">
      <w:pPr>
        <w:rPr>
          <w:sz w:val="22"/>
          <w:szCs w:val="22"/>
        </w:rPr>
      </w:pPr>
      <w:r w:rsidRPr="008912CF">
        <w:rPr>
          <w:sz w:val="22"/>
          <w:szCs w:val="22"/>
        </w:rPr>
        <w:t xml:space="preserve">Os doentes que participaram nos estudos HS-I e HS-II foram elegíveis para participação num estudo de extensão de fase aberta, no qual Humira 40 mg foi administrado todas as semanas. </w:t>
      </w:r>
      <w:r w:rsidR="00CF2AE4">
        <w:rPr>
          <w:sz w:val="22"/>
          <w:szCs w:val="22"/>
        </w:rPr>
        <w:t xml:space="preserve">A exposição média em toda a população de adalimumab foi de 762 dias. </w:t>
      </w:r>
      <w:r w:rsidRPr="008912CF">
        <w:rPr>
          <w:sz w:val="22"/>
          <w:szCs w:val="22"/>
        </w:rPr>
        <w:t>Nos três estudos, os doentes usaram anti-séptico tópico de lavagem diária.</w:t>
      </w:r>
    </w:p>
    <w:p w14:paraId="4FCE8460" w14:textId="77777777" w:rsidR="004462A0" w:rsidRPr="008912CF" w:rsidRDefault="004462A0" w:rsidP="004462A0">
      <w:pPr>
        <w:rPr>
          <w:sz w:val="22"/>
          <w:szCs w:val="22"/>
          <w:u w:val="single"/>
        </w:rPr>
      </w:pPr>
    </w:p>
    <w:p w14:paraId="40B9367C" w14:textId="77777777" w:rsidR="004462A0" w:rsidRPr="008912CF" w:rsidRDefault="00615769" w:rsidP="004462A0">
      <w:pPr>
        <w:rPr>
          <w:i/>
          <w:sz w:val="22"/>
          <w:szCs w:val="22"/>
          <w:u w:val="single"/>
        </w:rPr>
      </w:pPr>
      <w:r w:rsidRPr="008912CF">
        <w:rPr>
          <w:i/>
          <w:sz w:val="22"/>
          <w:szCs w:val="22"/>
          <w:u w:val="single"/>
        </w:rPr>
        <w:t>Resposta clínica</w:t>
      </w:r>
    </w:p>
    <w:p w14:paraId="1C6C0432" w14:textId="77777777" w:rsidR="004462A0" w:rsidRPr="008912CF" w:rsidRDefault="004462A0" w:rsidP="004462A0">
      <w:pPr>
        <w:rPr>
          <w:sz w:val="22"/>
          <w:szCs w:val="22"/>
          <w:u w:val="single"/>
        </w:rPr>
      </w:pPr>
    </w:p>
    <w:p w14:paraId="76E9C123" w14:textId="77777777" w:rsidR="004462A0" w:rsidRPr="008912CF" w:rsidRDefault="00615769" w:rsidP="004462A0">
      <w:pPr>
        <w:rPr>
          <w:sz w:val="22"/>
          <w:szCs w:val="22"/>
        </w:rPr>
      </w:pPr>
      <w:r w:rsidRPr="008912CF">
        <w:rPr>
          <w:sz w:val="22"/>
          <w:szCs w:val="22"/>
        </w:rPr>
        <w:t xml:space="preserve">A redução de lesões inflamatórias e prevenção do agravamento de abcessos e fístulas drenantes foram avaliadas utilizando o índice </w:t>
      </w:r>
      <w:r w:rsidRPr="008912CF">
        <w:rPr>
          <w:i/>
          <w:sz w:val="22"/>
          <w:szCs w:val="22"/>
        </w:rPr>
        <w:t xml:space="preserve">Hidradenitis Suppurativa Clinical Response </w:t>
      </w:r>
      <w:r w:rsidRPr="008912CF">
        <w:rPr>
          <w:sz w:val="22"/>
          <w:szCs w:val="22"/>
        </w:rPr>
        <w:t>(HiSCR; pelo menos 50</w:t>
      </w:r>
      <w:r w:rsidR="009343EF">
        <w:rPr>
          <w:sz w:val="22"/>
          <w:szCs w:val="22"/>
        </w:rPr>
        <w:t>%</w:t>
      </w:r>
      <w:r w:rsidRPr="008912CF">
        <w:rPr>
          <w:sz w:val="22"/>
          <w:szCs w:val="22"/>
        </w:rPr>
        <w:t xml:space="preserve"> de redução na contagem do número total de abcessos e nódulos inflamatórios, sem aumento na contagem de abcessos e sem aumento de fístulas drenantes, relativamente ao valor inicial). A redução da dor na pele, relacionada com HS, foi avaliada utilizando uma escala numérica </w:t>
      </w:r>
      <w:r w:rsidR="003E3AA9">
        <w:rPr>
          <w:sz w:val="22"/>
          <w:szCs w:val="22"/>
        </w:rPr>
        <w:t>–</w:t>
      </w:r>
      <w:r w:rsidRPr="008912CF">
        <w:rPr>
          <w:sz w:val="22"/>
          <w:szCs w:val="22"/>
        </w:rPr>
        <w:t xml:space="preserve"> </w:t>
      </w:r>
      <w:r w:rsidRPr="008912CF">
        <w:rPr>
          <w:i/>
          <w:sz w:val="22"/>
          <w:szCs w:val="22"/>
        </w:rPr>
        <w:t>Numeric Rating Scale,</w:t>
      </w:r>
      <w:r w:rsidRPr="008912CF">
        <w:rPr>
          <w:sz w:val="22"/>
          <w:szCs w:val="22"/>
        </w:rPr>
        <w:t xml:space="preserve"> em doentes que participaram no estudo com uma pontuação inicial de 3 ou mais, numa escala de 11 pontos.</w:t>
      </w:r>
    </w:p>
    <w:p w14:paraId="00A346CB" w14:textId="77777777" w:rsidR="004462A0" w:rsidRPr="008912CF" w:rsidRDefault="004462A0" w:rsidP="004462A0">
      <w:pPr>
        <w:rPr>
          <w:sz w:val="22"/>
          <w:szCs w:val="22"/>
        </w:rPr>
      </w:pPr>
    </w:p>
    <w:p w14:paraId="12DF7C97" w14:textId="77777777" w:rsidR="004462A0" w:rsidRPr="008912CF" w:rsidRDefault="00615769" w:rsidP="004462A0">
      <w:pPr>
        <w:rPr>
          <w:sz w:val="22"/>
          <w:szCs w:val="22"/>
        </w:rPr>
      </w:pPr>
      <w:r w:rsidRPr="008912CF">
        <w:rPr>
          <w:sz w:val="22"/>
          <w:szCs w:val="22"/>
        </w:rPr>
        <w:t xml:space="preserve">Na Semana 12, uma percentagem significativamente superior de doentes tratados com Humira </w:t>
      </w:r>
      <w:r w:rsidRPr="00DF5632">
        <w:rPr>
          <w:i/>
          <w:sz w:val="22"/>
          <w:szCs w:val="22"/>
        </w:rPr>
        <w:t>versus</w:t>
      </w:r>
      <w:r w:rsidRPr="008912CF">
        <w:rPr>
          <w:sz w:val="22"/>
          <w:szCs w:val="22"/>
        </w:rPr>
        <w:t xml:space="preserve"> placebo alcançaram o HiSCR. Na semana 12, no Estudo HS-II, uma percentagem significativamente superior de doentes apresentaram uma diminuição clinicamente relevante da dor na pele, relacionada com HS (ver Tabela </w:t>
      </w:r>
      <w:r w:rsidR="00E549E4">
        <w:rPr>
          <w:sz w:val="22"/>
          <w:szCs w:val="22"/>
        </w:rPr>
        <w:t>19</w:t>
      </w:r>
      <w:r w:rsidRPr="008912CF">
        <w:rPr>
          <w:sz w:val="22"/>
          <w:szCs w:val="22"/>
        </w:rPr>
        <w:t>). Os doentes tratados com Humira apresentaram uma redução significativa do risco de agravamento da doença, durante as primeiras 12 semanas de tratamento.</w:t>
      </w:r>
    </w:p>
    <w:p w14:paraId="22BB7218" w14:textId="77777777" w:rsidR="004462A0" w:rsidRPr="008912CF" w:rsidRDefault="004462A0" w:rsidP="004462A0">
      <w:pPr>
        <w:rPr>
          <w:sz w:val="22"/>
          <w:szCs w:val="22"/>
          <w:u w:val="single"/>
        </w:rPr>
      </w:pPr>
    </w:p>
    <w:p w14:paraId="0C14BB68" w14:textId="77777777" w:rsidR="004462A0" w:rsidRPr="008912CF" w:rsidRDefault="00615769" w:rsidP="002F486F">
      <w:pPr>
        <w:keepNext/>
        <w:jc w:val="center"/>
        <w:rPr>
          <w:b/>
          <w:sz w:val="22"/>
          <w:szCs w:val="22"/>
        </w:rPr>
      </w:pPr>
      <w:r w:rsidRPr="008912CF">
        <w:rPr>
          <w:b/>
          <w:sz w:val="22"/>
          <w:szCs w:val="22"/>
        </w:rPr>
        <w:t xml:space="preserve">Tabela </w:t>
      </w:r>
      <w:r w:rsidR="00E549E4">
        <w:rPr>
          <w:b/>
          <w:sz w:val="22"/>
          <w:szCs w:val="22"/>
        </w:rPr>
        <w:t>19</w:t>
      </w:r>
      <w:r w:rsidRPr="008912CF">
        <w:rPr>
          <w:b/>
          <w:sz w:val="22"/>
          <w:szCs w:val="22"/>
        </w:rPr>
        <w:t>: Resultados de eficácia à</w:t>
      </w:r>
      <w:r w:rsidR="0082206C">
        <w:rPr>
          <w:b/>
          <w:sz w:val="22"/>
          <w:szCs w:val="22"/>
        </w:rPr>
        <w:t xml:space="preserve"> Semana</w:t>
      </w:r>
      <w:r w:rsidRPr="008912CF">
        <w:rPr>
          <w:b/>
          <w:sz w:val="22"/>
          <w:szCs w:val="22"/>
        </w:rPr>
        <w:t xml:space="preserve"> 12, Estudos HS I e II</w:t>
      </w:r>
    </w:p>
    <w:p w14:paraId="126634DA" w14:textId="77777777" w:rsidR="004462A0" w:rsidRPr="008912CF" w:rsidRDefault="004462A0" w:rsidP="002F486F">
      <w:pPr>
        <w:keepNext/>
        <w:rPr>
          <w:sz w:val="22"/>
          <w:szCs w:val="22"/>
          <w:u w:val="single"/>
        </w:rPr>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A7162A" w14:paraId="7215F339" w14:textId="77777777" w:rsidTr="00F675CF">
        <w:trPr>
          <w:jc w:val="center"/>
        </w:trPr>
        <w:tc>
          <w:tcPr>
            <w:tcW w:w="2847" w:type="dxa"/>
            <w:vMerge w:val="restart"/>
            <w:tcMar>
              <w:top w:w="0" w:type="dxa"/>
              <w:left w:w="115" w:type="dxa"/>
              <w:bottom w:w="0" w:type="dxa"/>
              <w:right w:w="115" w:type="dxa"/>
            </w:tcMar>
            <w:vAlign w:val="bottom"/>
          </w:tcPr>
          <w:p w14:paraId="76064388" w14:textId="77777777" w:rsidR="004462A0" w:rsidRPr="008912CF" w:rsidRDefault="004462A0" w:rsidP="002F486F">
            <w:pPr>
              <w:keepNext/>
              <w:widowControl w:val="0"/>
              <w:tabs>
                <w:tab w:val="left" w:pos="562"/>
                <w:tab w:val="left" w:pos="4120"/>
              </w:tabs>
              <w:suppressAutoHyphens/>
              <w:rPr>
                <w:b/>
                <w:color w:val="000000"/>
                <w:sz w:val="22"/>
              </w:rPr>
            </w:pPr>
          </w:p>
        </w:tc>
        <w:tc>
          <w:tcPr>
            <w:tcW w:w="3186" w:type="dxa"/>
            <w:gridSpan w:val="2"/>
            <w:tcMar>
              <w:top w:w="0" w:type="dxa"/>
              <w:left w:w="115" w:type="dxa"/>
              <w:bottom w:w="0" w:type="dxa"/>
              <w:right w:w="115" w:type="dxa"/>
            </w:tcMar>
            <w:vAlign w:val="bottom"/>
          </w:tcPr>
          <w:p w14:paraId="6959A0AB" w14:textId="77777777" w:rsidR="004462A0" w:rsidRPr="008912CF" w:rsidRDefault="00615769" w:rsidP="002F486F">
            <w:pPr>
              <w:keepNext/>
              <w:widowControl w:val="0"/>
              <w:tabs>
                <w:tab w:val="left" w:pos="562"/>
                <w:tab w:val="left" w:pos="4120"/>
              </w:tabs>
              <w:suppressAutoHyphens/>
              <w:jc w:val="center"/>
              <w:rPr>
                <w:b/>
                <w:bCs/>
                <w:color w:val="000000"/>
                <w:sz w:val="22"/>
              </w:rPr>
            </w:pPr>
            <w:r w:rsidRPr="008912CF">
              <w:rPr>
                <w:b/>
                <w:bCs/>
                <w:color w:val="000000"/>
                <w:sz w:val="22"/>
              </w:rPr>
              <w:t>HS Estudo I</w:t>
            </w:r>
          </w:p>
        </w:tc>
        <w:tc>
          <w:tcPr>
            <w:tcW w:w="3260" w:type="dxa"/>
            <w:gridSpan w:val="2"/>
            <w:tcMar>
              <w:top w:w="0" w:type="dxa"/>
              <w:left w:w="115" w:type="dxa"/>
              <w:bottom w:w="0" w:type="dxa"/>
              <w:right w:w="115" w:type="dxa"/>
            </w:tcMar>
            <w:vAlign w:val="bottom"/>
          </w:tcPr>
          <w:p w14:paraId="2E75A3B4" w14:textId="77777777" w:rsidR="004462A0" w:rsidRPr="008912CF" w:rsidRDefault="00615769" w:rsidP="002F486F">
            <w:pPr>
              <w:keepNext/>
              <w:widowControl w:val="0"/>
              <w:tabs>
                <w:tab w:val="left" w:pos="562"/>
                <w:tab w:val="left" w:pos="4120"/>
              </w:tabs>
              <w:suppressAutoHyphens/>
              <w:jc w:val="center"/>
              <w:rPr>
                <w:b/>
                <w:bCs/>
                <w:color w:val="000000"/>
                <w:sz w:val="22"/>
              </w:rPr>
            </w:pPr>
            <w:r w:rsidRPr="008912CF">
              <w:rPr>
                <w:b/>
                <w:bCs/>
                <w:color w:val="000000"/>
                <w:sz w:val="22"/>
              </w:rPr>
              <w:t>HS Estudo II</w:t>
            </w:r>
          </w:p>
        </w:tc>
      </w:tr>
      <w:tr w:rsidR="00A7162A" w14:paraId="79AF5FF4" w14:textId="77777777" w:rsidTr="00F675CF">
        <w:trPr>
          <w:jc w:val="center"/>
        </w:trPr>
        <w:tc>
          <w:tcPr>
            <w:tcW w:w="2847" w:type="dxa"/>
            <w:vMerge/>
            <w:tcMar>
              <w:top w:w="0" w:type="dxa"/>
              <w:left w:w="115" w:type="dxa"/>
              <w:bottom w:w="0" w:type="dxa"/>
              <w:right w:w="115" w:type="dxa"/>
            </w:tcMar>
            <w:vAlign w:val="center"/>
            <w:hideMark/>
          </w:tcPr>
          <w:p w14:paraId="4F20D2CF" w14:textId="77777777" w:rsidR="004462A0" w:rsidRPr="008912CF" w:rsidRDefault="004462A0" w:rsidP="002F486F">
            <w:pPr>
              <w:keepNext/>
              <w:widowControl w:val="0"/>
              <w:tabs>
                <w:tab w:val="left" w:pos="562"/>
                <w:tab w:val="left" w:pos="4120"/>
              </w:tabs>
              <w:suppressAutoHyphens/>
              <w:rPr>
                <w:color w:val="000000"/>
                <w:sz w:val="22"/>
              </w:rPr>
            </w:pPr>
          </w:p>
        </w:tc>
        <w:tc>
          <w:tcPr>
            <w:tcW w:w="1440" w:type="dxa"/>
            <w:tcMar>
              <w:top w:w="0" w:type="dxa"/>
              <w:left w:w="115" w:type="dxa"/>
              <w:bottom w:w="0" w:type="dxa"/>
              <w:right w:w="115" w:type="dxa"/>
            </w:tcMar>
            <w:vAlign w:val="bottom"/>
            <w:hideMark/>
          </w:tcPr>
          <w:p w14:paraId="394427D7" w14:textId="77777777" w:rsidR="004462A0" w:rsidRPr="008912CF" w:rsidRDefault="00615769" w:rsidP="002F486F">
            <w:pPr>
              <w:keepNext/>
              <w:widowControl w:val="0"/>
              <w:tabs>
                <w:tab w:val="left" w:pos="562"/>
                <w:tab w:val="left" w:pos="4120"/>
              </w:tabs>
              <w:suppressAutoHyphens/>
              <w:jc w:val="center"/>
              <w:rPr>
                <w:color w:val="000000"/>
                <w:sz w:val="22"/>
              </w:rPr>
            </w:pPr>
            <w:r w:rsidRPr="008912CF">
              <w:rPr>
                <w:b/>
                <w:bCs/>
                <w:color w:val="000000"/>
                <w:sz w:val="22"/>
              </w:rPr>
              <w:t>Placebo</w:t>
            </w:r>
          </w:p>
        </w:tc>
        <w:tc>
          <w:tcPr>
            <w:tcW w:w="1746" w:type="dxa"/>
            <w:tcMar>
              <w:top w:w="0" w:type="dxa"/>
              <w:left w:w="115" w:type="dxa"/>
              <w:bottom w:w="0" w:type="dxa"/>
              <w:right w:w="115" w:type="dxa"/>
            </w:tcMar>
            <w:vAlign w:val="bottom"/>
            <w:hideMark/>
          </w:tcPr>
          <w:p w14:paraId="06B93861" w14:textId="77777777" w:rsidR="004462A0" w:rsidRPr="008912CF" w:rsidRDefault="00615769" w:rsidP="002F486F">
            <w:pPr>
              <w:keepNext/>
              <w:widowControl w:val="0"/>
              <w:tabs>
                <w:tab w:val="left" w:pos="562"/>
                <w:tab w:val="left" w:pos="4120"/>
              </w:tabs>
              <w:suppressAutoHyphens/>
              <w:jc w:val="center"/>
              <w:rPr>
                <w:b/>
                <w:bCs/>
                <w:color w:val="000000"/>
                <w:sz w:val="22"/>
              </w:rPr>
            </w:pPr>
            <w:r w:rsidRPr="008912CF">
              <w:rPr>
                <w:b/>
                <w:bCs/>
                <w:color w:val="000000"/>
                <w:sz w:val="22"/>
              </w:rPr>
              <w:t>Humira 40 mg Semanalmente</w:t>
            </w:r>
          </w:p>
        </w:tc>
        <w:tc>
          <w:tcPr>
            <w:tcW w:w="1404" w:type="dxa"/>
            <w:tcMar>
              <w:top w:w="0" w:type="dxa"/>
              <w:left w:w="115" w:type="dxa"/>
              <w:bottom w:w="0" w:type="dxa"/>
              <w:right w:w="115" w:type="dxa"/>
            </w:tcMar>
            <w:vAlign w:val="bottom"/>
            <w:hideMark/>
          </w:tcPr>
          <w:p w14:paraId="0AB4897A" w14:textId="77777777" w:rsidR="004462A0" w:rsidRPr="008912CF" w:rsidRDefault="00615769" w:rsidP="002F486F">
            <w:pPr>
              <w:keepNext/>
              <w:widowControl w:val="0"/>
              <w:tabs>
                <w:tab w:val="left" w:pos="562"/>
                <w:tab w:val="left" w:pos="4120"/>
              </w:tabs>
              <w:suppressAutoHyphens/>
              <w:jc w:val="center"/>
              <w:rPr>
                <w:b/>
                <w:bCs/>
                <w:color w:val="000000"/>
                <w:sz w:val="22"/>
              </w:rPr>
            </w:pPr>
            <w:r w:rsidRPr="008912CF">
              <w:rPr>
                <w:b/>
                <w:bCs/>
                <w:color w:val="000000"/>
                <w:sz w:val="22"/>
              </w:rPr>
              <w:t xml:space="preserve">Placebo </w:t>
            </w:r>
          </w:p>
        </w:tc>
        <w:tc>
          <w:tcPr>
            <w:tcW w:w="1856" w:type="dxa"/>
            <w:tcMar>
              <w:top w:w="0" w:type="dxa"/>
              <w:left w:w="115" w:type="dxa"/>
              <w:bottom w:w="0" w:type="dxa"/>
              <w:right w:w="115" w:type="dxa"/>
            </w:tcMar>
            <w:vAlign w:val="bottom"/>
            <w:hideMark/>
          </w:tcPr>
          <w:p w14:paraId="4B0AD58D" w14:textId="77777777" w:rsidR="004462A0" w:rsidRPr="008912CF" w:rsidRDefault="00615769" w:rsidP="002F486F">
            <w:pPr>
              <w:keepNext/>
              <w:widowControl w:val="0"/>
              <w:tabs>
                <w:tab w:val="left" w:pos="562"/>
                <w:tab w:val="left" w:pos="4120"/>
              </w:tabs>
              <w:suppressAutoHyphens/>
              <w:jc w:val="center"/>
              <w:rPr>
                <w:b/>
                <w:bCs/>
                <w:color w:val="000000"/>
                <w:sz w:val="22"/>
              </w:rPr>
            </w:pPr>
            <w:r w:rsidRPr="008912CF">
              <w:rPr>
                <w:b/>
                <w:bCs/>
                <w:color w:val="000000"/>
                <w:sz w:val="22"/>
              </w:rPr>
              <w:t>Humira 40 mg Semanalmente</w:t>
            </w:r>
          </w:p>
        </w:tc>
      </w:tr>
      <w:tr w:rsidR="00A7162A" w14:paraId="7E62AB63" w14:textId="77777777" w:rsidTr="00F675CF">
        <w:trPr>
          <w:trHeight w:val="755"/>
          <w:jc w:val="center"/>
        </w:trPr>
        <w:tc>
          <w:tcPr>
            <w:tcW w:w="2847" w:type="dxa"/>
            <w:tcMar>
              <w:top w:w="0" w:type="dxa"/>
              <w:left w:w="115" w:type="dxa"/>
              <w:bottom w:w="0" w:type="dxa"/>
              <w:right w:w="115" w:type="dxa"/>
            </w:tcMar>
            <w:vAlign w:val="center"/>
            <w:hideMark/>
          </w:tcPr>
          <w:p w14:paraId="58011CC2" w14:textId="77777777" w:rsidR="004462A0" w:rsidRPr="008912CF" w:rsidRDefault="00615769" w:rsidP="002F486F">
            <w:pPr>
              <w:keepNext/>
              <w:widowControl w:val="0"/>
              <w:tabs>
                <w:tab w:val="left" w:pos="562"/>
                <w:tab w:val="left" w:pos="4120"/>
              </w:tabs>
              <w:suppressAutoHyphens/>
              <w:rPr>
                <w:color w:val="000000"/>
                <w:sz w:val="22"/>
              </w:rPr>
            </w:pPr>
            <w:r w:rsidRPr="008912CF">
              <w:rPr>
                <w:color w:val="000000"/>
                <w:sz w:val="22"/>
              </w:rPr>
              <w:t>Hidradenite Supurativa Resposta Clinica (HiSCR)</w:t>
            </w:r>
            <w:r w:rsidRPr="008912CF">
              <w:rPr>
                <w:color w:val="000000"/>
                <w:sz w:val="22"/>
                <w:vertAlign w:val="superscript"/>
              </w:rPr>
              <w:t>a</w:t>
            </w:r>
            <w:r w:rsidRPr="008912CF">
              <w:rPr>
                <w:color w:val="000000"/>
                <w:sz w:val="22"/>
              </w:rPr>
              <w:t xml:space="preserve"> </w:t>
            </w:r>
          </w:p>
          <w:p w14:paraId="3DB927E7" w14:textId="77777777" w:rsidR="004462A0" w:rsidRPr="008912CF" w:rsidRDefault="004462A0" w:rsidP="002F486F">
            <w:pPr>
              <w:keepNext/>
              <w:widowControl w:val="0"/>
              <w:tabs>
                <w:tab w:val="left" w:pos="562"/>
                <w:tab w:val="left" w:pos="4120"/>
              </w:tabs>
              <w:suppressAutoHyphens/>
              <w:rPr>
                <w:color w:val="000000"/>
                <w:sz w:val="22"/>
              </w:rPr>
            </w:pPr>
          </w:p>
        </w:tc>
        <w:tc>
          <w:tcPr>
            <w:tcW w:w="1440" w:type="dxa"/>
            <w:tcMar>
              <w:top w:w="0" w:type="dxa"/>
              <w:left w:w="115" w:type="dxa"/>
              <w:bottom w:w="0" w:type="dxa"/>
              <w:right w:w="115" w:type="dxa"/>
            </w:tcMar>
            <w:hideMark/>
          </w:tcPr>
          <w:p w14:paraId="033C9234" w14:textId="77777777" w:rsidR="004462A0" w:rsidRPr="008912CF" w:rsidRDefault="00615769" w:rsidP="002F486F">
            <w:pPr>
              <w:keepNext/>
              <w:widowControl w:val="0"/>
              <w:tabs>
                <w:tab w:val="left" w:pos="562"/>
                <w:tab w:val="left" w:pos="4120"/>
              </w:tabs>
              <w:suppressAutoHyphens/>
              <w:jc w:val="center"/>
              <w:rPr>
                <w:color w:val="000000"/>
                <w:sz w:val="22"/>
              </w:rPr>
            </w:pPr>
            <w:r w:rsidRPr="008912CF">
              <w:rPr>
                <w:color w:val="000000"/>
                <w:sz w:val="22"/>
              </w:rPr>
              <w:t>N = 154</w:t>
            </w:r>
          </w:p>
          <w:p w14:paraId="45C17ABB" w14:textId="77777777" w:rsidR="004462A0" w:rsidRPr="008912CF" w:rsidRDefault="00615769" w:rsidP="002F486F">
            <w:pPr>
              <w:keepNext/>
              <w:widowControl w:val="0"/>
              <w:tabs>
                <w:tab w:val="left" w:pos="562"/>
                <w:tab w:val="left" w:pos="4120"/>
              </w:tabs>
              <w:suppressAutoHyphens/>
              <w:jc w:val="center"/>
              <w:rPr>
                <w:color w:val="000000"/>
                <w:sz w:val="22"/>
              </w:rPr>
            </w:pPr>
            <w:r w:rsidRPr="008912CF">
              <w:rPr>
                <w:color w:val="000000"/>
                <w:sz w:val="22"/>
              </w:rPr>
              <w:t>40 (26,0%)</w:t>
            </w:r>
          </w:p>
        </w:tc>
        <w:tc>
          <w:tcPr>
            <w:tcW w:w="1746" w:type="dxa"/>
            <w:tcMar>
              <w:top w:w="0" w:type="dxa"/>
              <w:left w:w="115" w:type="dxa"/>
              <w:bottom w:w="0" w:type="dxa"/>
              <w:right w:w="115" w:type="dxa"/>
            </w:tcMar>
            <w:hideMark/>
          </w:tcPr>
          <w:p w14:paraId="2A8E275D" w14:textId="77777777" w:rsidR="004462A0" w:rsidRPr="008912CF" w:rsidRDefault="00615769" w:rsidP="002F486F">
            <w:pPr>
              <w:keepNext/>
              <w:widowControl w:val="0"/>
              <w:tabs>
                <w:tab w:val="left" w:pos="562"/>
                <w:tab w:val="left" w:pos="4120"/>
              </w:tabs>
              <w:suppressAutoHyphens/>
              <w:jc w:val="center"/>
              <w:rPr>
                <w:color w:val="000000"/>
                <w:sz w:val="22"/>
              </w:rPr>
            </w:pPr>
            <w:r w:rsidRPr="008912CF">
              <w:rPr>
                <w:color w:val="000000"/>
                <w:sz w:val="22"/>
              </w:rPr>
              <w:t>N = 153</w:t>
            </w:r>
          </w:p>
          <w:p w14:paraId="2A88D395" w14:textId="77777777" w:rsidR="004462A0" w:rsidRPr="008912CF" w:rsidRDefault="00615769" w:rsidP="002F486F">
            <w:pPr>
              <w:keepNext/>
              <w:widowControl w:val="0"/>
              <w:tabs>
                <w:tab w:val="left" w:pos="562"/>
                <w:tab w:val="left" w:pos="4120"/>
              </w:tabs>
              <w:suppressAutoHyphens/>
              <w:jc w:val="center"/>
              <w:rPr>
                <w:color w:val="000000"/>
                <w:sz w:val="22"/>
              </w:rPr>
            </w:pPr>
            <w:r w:rsidRPr="008912CF">
              <w:rPr>
                <w:color w:val="000000"/>
                <w:sz w:val="22"/>
              </w:rPr>
              <w:t xml:space="preserve">64 (41,8%) </w:t>
            </w:r>
            <w:r w:rsidRPr="008912CF">
              <w:rPr>
                <w:color w:val="000000"/>
                <w:sz w:val="22"/>
                <w:vertAlign w:val="superscript"/>
              </w:rPr>
              <w:t>*</w:t>
            </w:r>
          </w:p>
        </w:tc>
        <w:tc>
          <w:tcPr>
            <w:tcW w:w="1404" w:type="dxa"/>
            <w:tcMar>
              <w:top w:w="0" w:type="dxa"/>
              <w:left w:w="115" w:type="dxa"/>
              <w:bottom w:w="0" w:type="dxa"/>
              <w:right w:w="115" w:type="dxa"/>
            </w:tcMar>
          </w:tcPr>
          <w:p w14:paraId="5E29C8D4" w14:textId="77777777" w:rsidR="004462A0" w:rsidRPr="008912CF" w:rsidRDefault="00615769" w:rsidP="002F486F">
            <w:pPr>
              <w:keepNext/>
              <w:widowControl w:val="0"/>
              <w:tabs>
                <w:tab w:val="left" w:pos="562"/>
                <w:tab w:val="left" w:pos="4120"/>
              </w:tabs>
              <w:suppressAutoHyphens/>
              <w:jc w:val="center"/>
              <w:rPr>
                <w:color w:val="000000"/>
                <w:sz w:val="22"/>
              </w:rPr>
            </w:pPr>
            <w:r w:rsidRPr="008912CF">
              <w:rPr>
                <w:color w:val="000000"/>
                <w:sz w:val="22"/>
              </w:rPr>
              <w:t>N=163</w:t>
            </w:r>
          </w:p>
          <w:p w14:paraId="040A54B8" w14:textId="77777777" w:rsidR="004462A0" w:rsidRPr="008912CF" w:rsidRDefault="00615769" w:rsidP="002F486F">
            <w:pPr>
              <w:keepNext/>
              <w:widowControl w:val="0"/>
              <w:tabs>
                <w:tab w:val="left" w:pos="562"/>
                <w:tab w:val="left" w:pos="4120"/>
              </w:tabs>
              <w:suppressAutoHyphens/>
              <w:jc w:val="center"/>
              <w:rPr>
                <w:color w:val="000000"/>
                <w:sz w:val="22"/>
              </w:rPr>
            </w:pPr>
            <w:r w:rsidRPr="008912CF">
              <w:rPr>
                <w:color w:val="000000"/>
                <w:sz w:val="22"/>
              </w:rPr>
              <w:t>45 (27,6%)</w:t>
            </w:r>
          </w:p>
        </w:tc>
        <w:tc>
          <w:tcPr>
            <w:tcW w:w="1856" w:type="dxa"/>
            <w:tcMar>
              <w:top w:w="0" w:type="dxa"/>
              <w:left w:w="115" w:type="dxa"/>
              <w:bottom w:w="0" w:type="dxa"/>
              <w:right w:w="115" w:type="dxa"/>
            </w:tcMar>
          </w:tcPr>
          <w:p w14:paraId="1B60D94F" w14:textId="77777777" w:rsidR="004462A0" w:rsidRPr="008912CF" w:rsidRDefault="00615769" w:rsidP="002F486F">
            <w:pPr>
              <w:keepNext/>
              <w:widowControl w:val="0"/>
              <w:tabs>
                <w:tab w:val="left" w:pos="562"/>
                <w:tab w:val="left" w:pos="4120"/>
              </w:tabs>
              <w:suppressAutoHyphens/>
              <w:jc w:val="center"/>
              <w:rPr>
                <w:color w:val="000000"/>
                <w:sz w:val="22"/>
              </w:rPr>
            </w:pPr>
            <w:r w:rsidRPr="008912CF">
              <w:rPr>
                <w:color w:val="000000"/>
                <w:sz w:val="22"/>
              </w:rPr>
              <w:t>N=163</w:t>
            </w:r>
          </w:p>
          <w:p w14:paraId="6D7D6398" w14:textId="77777777" w:rsidR="004462A0" w:rsidRPr="008912CF" w:rsidRDefault="00615769" w:rsidP="002F486F">
            <w:pPr>
              <w:keepNext/>
              <w:widowControl w:val="0"/>
              <w:tabs>
                <w:tab w:val="left" w:pos="562"/>
                <w:tab w:val="left" w:pos="4120"/>
              </w:tabs>
              <w:suppressAutoHyphens/>
              <w:jc w:val="center"/>
              <w:rPr>
                <w:color w:val="000000"/>
                <w:sz w:val="22"/>
              </w:rPr>
            </w:pPr>
            <w:r w:rsidRPr="008912CF">
              <w:rPr>
                <w:color w:val="000000"/>
                <w:sz w:val="22"/>
              </w:rPr>
              <w:t xml:space="preserve">96 (58,9%) </w:t>
            </w:r>
            <w:r w:rsidRPr="008912CF">
              <w:rPr>
                <w:color w:val="000000"/>
                <w:sz w:val="22"/>
                <w:vertAlign w:val="superscript"/>
              </w:rPr>
              <w:t>***</w:t>
            </w:r>
          </w:p>
        </w:tc>
      </w:tr>
      <w:tr w:rsidR="00A7162A" w14:paraId="7ADFE5CF" w14:textId="77777777" w:rsidTr="00F675CF">
        <w:trPr>
          <w:jc w:val="center"/>
        </w:trPr>
        <w:tc>
          <w:tcPr>
            <w:tcW w:w="2847" w:type="dxa"/>
            <w:tcMar>
              <w:top w:w="0" w:type="dxa"/>
              <w:left w:w="115" w:type="dxa"/>
              <w:bottom w:w="0" w:type="dxa"/>
              <w:right w:w="115" w:type="dxa"/>
            </w:tcMar>
            <w:vAlign w:val="center"/>
            <w:hideMark/>
          </w:tcPr>
          <w:p w14:paraId="2A55E7D5" w14:textId="77777777" w:rsidR="004462A0" w:rsidRPr="008912CF" w:rsidRDefault="00615769" w:rsidP="002F486F">
            <w:pPr>
              <w:keepNext/>
              <w:widowControl w:val="0"/>
              <w:tabs>
                <w:tab w:val="left" w:pos="562"/>
                <w:tab w:val="left" w:pos="4120"/>
              </w:tabs>
              <w:suppressAutoHyphens/>
              <w:rPr>
                <w:color w:val="000000"/>
                <w:sz w:val="22"/>
              </w:rPr>
            </w:pPr>
            <w:r w:rsidRPr="008912CF">
              <w:rPr>
                <w:color w:val="000000"/>
                <w:sz w:val="22"/>
              </w:rPr>
              <w:t>≥30% Redução da dor na pele</w:t>
            </w:r>
            <w:r w:rsidRPr="008912CF">
              <w:rPr>
                <w:color w:val="000000"/>
                <w:sz w:val="22"/>
                <w:vertAlign w:val="superscript"/>
              </w:rPr>
              <w:t>b</w:t>
            </w:r>
          </w:p>
        </w:tc>
        <w:tc>
          <w:tcPr>
            <w:tcW w:w="1440" w:type="dxa"/>
            <w:tcMar>
              <w:top w:w="0" w:type="dxa"/>
              <w:left w:w="115" w:type="dxa"/>
              <w:bottom w:w="0" w:type="dxa"/>
              <w:right w:w="115" w:type="dxa"/>
            </w:tcMar>
            <w:hideMark/>
          </w:tcPr>
          <w:p w14:paraId="3CAB9B63" w14:textId="77777777" w:rsidR="004462A0" w:rsidRPr="008912CF" w:rsidRDefault="00615769" w:rsidP="002F486F">
            <w:pPr>
              <w:keepNext/>
              <w:widowControl w:val="0"/>
              <w:tabs>
                <w:tab w:val="left" w:pos="562"/>
                <w:tab w:val="left" w:pos="4120"/>
              </w:tabs>
              <w:suppressAutoHyphens/>
              <w:jc w:val="center"/>
              <w:rPr>
                <w:color w:val="000000"/>
                <w:sz w:val="22"/>
              </w:rPr>
            </w:pPr>
            <w:r w:rsidRPr="008912CF">
              <w:rPr>
                <w:color w:val="000000"/>
                <w:sz w:val="22"/>
              </w:rPr>
              <w:t>N = 109</w:t>
            </w:r>
          </w:p>
          <w:p w14:paraId="1E7509F8" w14:textId="77777777" w:rsidR="004462A0" w:rsidRPr="008912CF" w:rsidRDefault="00615769" w:rsidP="002F486F">
            <w:pPr>
              <w:keepNext/>
              <w:widowControl w:val="0"/>
              <w:tabs>
                <w:tab w:val="left" w:pos="562"/>
                <w:tab w:val="left" w:pos="4120"/>
              </w:tabs>
              <w:suppressAutoHyphens/>
              <w:jc w:val="center"/>
              <w:rPr>
                <w:color w:val="000000"/>
                <w:sz w:val="22"/>
              </w:rPr>
            </w:pPr>
            <w:r w:rsidRPr="008912CF">
              <w:rPr>
                <w:color w:val="000000"/>
                <w:sz w:val="22"/>
              </w:rPr>
              <w:t>27 (24,8%)</w:t>
            </w:r>
          </w:p>
        </w:tc>
        <w:tc>
          <w:tcPr>
            <w:tcW w:w="1746" w:type="dxa"/>
            <w:tcMar>
              <w:top w:w="0" w:type="dxa"/>
              <w:left w:w="115" w:type="dxa"/>
              <w:bottom w:w="0" w:type="dxa"/>
              <w:right w:w="115" w:type="dxa"/>
            </w:tcMar>
            <w:hideMark/>
          </w:tcPr>
          <w:p w14:paraId="0B0C433E" w14:textId="77777777" w:rsidR="004462A0" w:rsidRPr="008912CF" w:rsidRDefault="00615769" w:rsidP="002F486F">
            <w:pPr>
              <w:keepNext/>
              <w:widowControl w:val="0"/>
              <w:tabs>
                <w:tab w:val="left" w:pos="562"/>
                <w:tab w:val="left" w:pos="4120"/>
              </w:tabs>
              <w:suppressAutoHyphens/>
              <w:jc w:val="center"/>
              <w:rPr>
                <w:color w:val="000000"/>
                <w:sz w:val="22"/>
              </w:rPr>
            </w:pPr>
            <w:r w:rsidRPr="008912CF">
              <w:rPr>
                <w:color w:val="000000"/>
                <w:sz w:val="22"/>
              </w:rPr>
              <w:t>N = 122</w:t>
            </w:r>
          </w:p>
          <w:p w14:paraId="707C5452" w14:textId="77777777" w:rsidR="004462A0" w:rsidRPr="008912CF" w:rsidRDefault="00615769" w:rsidP="002F486F">
            <w:pPr>
              <w:keepNext/>
              <w:widowControl w:val="0"/>
              <w:tabs>
                <w:tab w:val="left" w:pos="562"/>
                <w:tab w:val="left" w:pos="4120"/>
              </w:tabs>
              <w:suppressAutoHyphens/>
              <w:jc w:val="center"/>
              <w:rPr>
                <w:color w:val="000000"/>
                <w:sz w:val="22"/>
              </w:rPr>
            </w:pPr>
            <w:r w:rsidRPr="008912CF">
              <w:rPr>
                <w:color w:val="000000"/>
                <w:sz w:val="22"/>
              </w:rPr>
              <w:t>34 (27</w:t>
            </w:r>
            <w:r w:rsidR="0082206C">
              <w:rPr>
                <w:color w:val="000000"/>
                <w:sz w:val="22"/>
              </w:rPr>
              <w:t>,</w:t>
            </w:r>
            <w:r w:rsidRPr="008912CF">
              <w:rPr>
                <w:color w:val="000000"/>
                <w:sz w:val="22"/>
              </w:rPr>
              <w:t>9%)</w:t>
            </w:r>
          </w:p>
        </w:tc>
        <w:tc>
          <w:tcPr>
            <w:tcW w:w="1404" w:type="dxa"/>
            <w:tcMar>
              <w:top w:w="0" w:type="dxa"/>
              <w:left w:w="115" w:type="dxa"/>
              <w:bottom w:w="0" w:type="dxa"/>
              <w:right w:w="115" w:type="dxa"/>
            </w:tcMar>
          </w:tcPr>
          <w:p w14:paraId="6CBBD3D5" w14:textId="77777777" w:rsidR="004462A0" w:rsidRPr="008912CF" w:rsidRDefault="00615769" w:rsidP="002F486F">
            <w:pPr>
              <w:keepNext/>
              <w:widowControl w:val="0"/>
              <w:tabs>
                <w:tab w:val="left" w:pos="562"/>
                <w:tab w:val="left" w:pos="4120"/>
              </w:tabs>
              <w:suppressAutoHyphens/>
              <w:jc w:val="center"/>
              <w:rPr>
                <w:color w:val="000000"/>
                <w:sz w:val="22"/>
              </w:rPr>
            </w:pPr>
            <w:r w:rsidRPr="008912CF">
              <w:rPr>
                <w:color w:val="000000"/>
                <w:sz w:val="22"/>
              </w:rPr>
              <w:t>N=111</w:t>
            </w:r>
          </w:p>
          <w:p w14:paraId="7CBA90EE" w14:textId="77777777" w:rsidR="004462A0" w:rsidRPr="008912CF" w:rsidRDefault="00615769" w:rsidP="002F486F">
            <w:pPr>
              <w:keepNext/>
              <w:widowControl w:val="0"/>
              <w:tabs>
                <w:tab w:val="left" w:pos="562"/>
                <w:tab w:val="left" w:pos="4120"/>
              </w:tabs>
              <w:suppressAutoHyphens/>
              <w:jc w:val="center"/>
              <w:rPr>
                <w:color w:val="000000"/>
                <w:sz w:val="22"/>
              </w:rPr>
            </w:pPr>
            <w:r w:rsidRPr="008912CF">
              <w:rPr>
                <w:color w:val="000000"/>
                <w:sz w:val="22"/>
              </w:rPr>
              <w:t>23 (20,7%)</w:t>
            </w:r>
          </w:p>
        </w:tc>
        <w:tc>
          <w:tcPr>
            <w:tcW w:w="1856" w:type="dxa"/>
            <w:tcMar>
              <w:top w:w="0" w:type="dxa"/>
              <w:left w:w="115" w:type="dxa"/>
              <w:bottom w:w="0" w:type="dxa"/>
              <w:right w:w="115" w:type="dxa"/>
            </w:tcMar>
          </w:tcPr>
          <w:p w14:paraId="1C56F2B9" w14:textId="77777777" w:rsidR="004462A0" w:rsidRPr="008912CF" w:rsidRDefault="00615769" w:rsidP="002F486F">
            <w:pPr>
              <w:keepNext/>
              <w:widowControl w:val="0"/>
              <w:tabs>
                <w:tab w:val="left" w:pos="562"/>
                <w:tab w:val="left" w:pos="4120"/>
              </w:tabs>
              <w:suppressAutoHyphens/>
              <w:jc w:val="center"/>
              <w:rPr>
                <w:color w:val="000000"/>
                <w:sz w:val="22"/>
              </w:rPr>
            </w:pPr>
            <w:r w:rsidRPr="008912CF">
              <w:rPr>
                <w:color w:val="000000"/>
                <w:sz w:val="22"/>
              </w:rPr>
              <w:t>N=105</w:t>
            </w:r>
          </w:p>
          <w:p w14:paraId="4EAA6B36" w14:textId="77777777" w:rsidR="004462A0" w:rsidRPr="008912CF" w:rsidRDefault="00615769" w:rsidP="002F486F">
            <w:pPr>
              <w:keepNext/>
              <w:widowControl w:val="0"/>
              <w:tabs>
                <w:tab w:val="left" w:pos="562"/>
                <w:tab w:val="left" w:pos="4120"/>
              </w:tabs>
              <w:suppressAutoHyphens/>
              <w:jc w:val="center"/>
              <w:rPr>
                <w:color w:val="000000"/>
                <w:sz w:val="22"/>
              </w:rPr>
            </w:pPr>
            <w:r w:rsidRPr="008912CF">
              <w:rPr>
                <w:color w:val="000000"/>
                <w:sz w:val="22"/>
              </w:rPr>
              <w:t xml:space="preserve">48 (45,7%) </w:t>
            </w:r>
            <w:r w:rsidRPr="008912CF">
              <w:rPr>
                <w:color w:val="000000"/>
                <w:sz w:val="22"/>
                <w:vertAlign w:val="superscript"/>
              </w:rPr>
              <w:t>***</w:t>
            </w:r>
          </w:p>
        </w:tc>
      </w:tr>
      <w:tr w:rsidR="00A7162A" w14:paraId="0E659F25" w14:textId="77777777" w:rsidTr="00F675CF">
        <w:trPr>
          <w:jc w:val="center"/>
        </w:trPr>
        <w:tc>
          <w:tcPr>
            <w:tcW w:w="9293" w:type="dxa"/>
            <w:gridSpan w:val="5"/>
            <w:tcMar>
              <w:top w:w="0" w:type="dxa"/>
              <w:left w:w="115" w:type="dxa"/>
              <w:bottom w:w="0" w:type="dxa"/>
              <w:right w:w="115" w:type="dxa"/>
            </w:tcMar>
            <w:vAlign w:val="center"/>
          </w:tcPr>
          <w:p w14:paraId="7A802551" w14:textId="77777777" w:rsidR="004462A0" w:rsidRPr="008912CF" w:rsidRDefault="00615769" w:rsidP="00D31037">
            <w:pPr>
              <w:keepNext/>
              <w:widowControl w:val="0"/>
              <w:tabs>
                <w:tab w:val="left" w:pos="562"/>
                <w:tab w:val="left" w:pos="4120"/>
              </w:tabs>
              <w:suppressAutoHyphens/>
              <w:ind w:left="360"/>
              <w:rPr>
                <w:color w:val="000000"/>
                <w:sz w:val="22"/>
              </w:rPr>
            </w:pPr>
            <w:r w:rsidRPr="008912CF">
              <w:rPr>
                <w:color w:val="000000"/>
                <w:sz w:val="22"/>
              </w:rPr>
              <w:t xml:space="preserve">* </w:t>
            </w:r>
            <w:r w:rsidR="00092159">
              <w:rPr>
                <w:i/>
                <w:color w:val="000000"/>
                <w:sz w:val="22"/>
              </w:rPr>
              <w:t>p</w:t>
            </w:r>
            <w:r w:rsidRPr="008912CF">
              <w:rPr>
                <w:color w:val="000000"/>
                <w:sz w:val="22"/>
              </w:rPr>
              <w:t xml:space="preserve"> &lt; 0</w:t>
            </w:r>
            <w:r w:rsidR="009343EF">
              <w:rPr>
                <w:color w:val="000000"/>
                <w:sz w:val="22"/>
              </w:rPr>
              <w:t>,</w:t>
            </w:r>
            <w:r w:rsidRPr="008912CF">
              <w:rPr>
                <w:color w:val="000000"/>
                <w:sz w:val="22"/>
              </w:rPr>
              <w:t>05, ***</w:t>
            </w:r>
            <w:r w:rsidR="00092159">
              <w:rPr>
                <w:i/>
                <w:color w:val="000000"/>
                <w:sz w:val="22"/>
              </w:rPr>
              <w:t>p</w:t>
            </w:r>
            <w:r w:rsidRPr="008912CF">
              <w:rPr>
                <w:i/>
                <w:color w:val="000000"/>
                <w:sz w:val="22"/>
              </w:rPr>
              <w:t xml:space="preserve"> </w:t>
            </w:r>
            <w:r w:rsidRPr="008912CF">
              <w:rPr>
                <w:color w:val="000000"/>
                <w:sz w:val="22"/>
              </w:rPr>
              <w:t>&lt; 0</w:t>
            </w:r>
            <w:r w:rsidR="009343EF">
              <w:rPr>
                <w:color w:val="000000"/>
                <w:sz w:val="22"/>
              </w:rPr>
              <w:t>,</w:t>
            </w:r>
            <w:r w:rsidRPr="008912CF">
              <w:rPr>
                <w:color w:val="000000"/>
                <w:sz w:val="22"/>
              </w:rPr>
              <w:t xml:space="preserve">001, Humira </w:t>
            </w:r>
            <w:r w:rsidRPr="00DF5632">
              <w:rPr>
                <w:i/>
                <w:color w:val="000000"/>
                <w:sz w:val="22"/>
              </w:rPr>
              <w:t>versus</w:t>
            </w:r>
            <w:r w:rsidRPr="008912CF">
              <w:rPr>
                <w:color w:val="000000"/>
                <w:sz w:val="22"/>
              </w:rPr>
              <w:t xml:space="preserve"> placebo </w:t>
            </w:r>
          </w:p>
          <w:p w14:paraId="21247CA7" w14:textId="77777777" w:rsidR="004462A0" w:rsidRPr="0082206C" w:rsidRDefault="00615769" w:rsidP="00D31037">
            <w:pPr>
              <w:keepNext/>
              <w:keepLines/>
              <w:widowControl w:val="0"/>
              <w:numPr>
                <w:ilvl w:val="0"/>
                <w:numId w:val="102"/>
              </w:numPr>
              <w:tabs>
                <w:tab w:val="left" w:pos="562"/>
                <w:tab w:val="left" w:pos="4120"/>
              </w:tabs>
              <w:suppressAutoHyphens/>
              <w:spacing w:line="240" w:lineRule="exact"/>
              <w:rPr>
                <w:color w:val="000000"/>
                <w:sz w:val="22"/>
              </w:rPr>
            </w:pPr>
            <w:r w:rsidRPr="008912CF">
              <w:rPr>
                <w:color w:val="000000"/>
                <w:sz w:val="22"/>
              </w:rPr>
              <w:t xml:space="preserve">Em todos os doentes </w:t>
            </w:r>
            <w:r w:rsidR="0013275C">
              <w:rPr>
                <w:color w:val="000000"/>
                <w:sz w:val="22"/>
              </w:rPr>
              <w:t>aleatorizado</w:t>
            </w:r>
            <w:r w:rsidRPr="008912CF">
              <w:rPr>
                <w:color w:val="000000"/>
                <w:sz w:val="22"/>
              </w:rPr>
              <w:t>s.</w:t>
            </w:r>
          </w:p>
          <w:p w14:paraId="0FCEDF9F" w14:textId="77777777" w:rsidR="004462A0" w:rsidRPr="008912CF" w:rsidRDefault="00615769" w:rsidP="00D31037">
            <w:pPr>
              <w:keepNext/>
              <w:keepLines/>
              <w:widowControl w:val="0"/>
              <w:numPr>
                <w:ilvl w:val="0"/>
                <w:numId w:val="102"/>
              </w:numPr>
              <w:tabs>
                <w:tab w:val="left" w:pos="562"/>
                <w:tab w:val="left" w:pos="4120"/>
              </w:tabs>
              <w:suppressAutoHyphens/>
              <w:spacing w:line="240" w:lineRule="exact"/>
              <w:ind w:left="589" w:hanging="589"/>
              <w:rPr>
                <w:color w:val="000000"/>
                <w:sz w:val="22"/>
              </w:rPr>
            </w:pPr>
            <w:r w:rsidRPr="008912CF">
              <w:rPr>
                <w:rFonts w:eastAsia="Calibri"/>
                <w:color w:val="000000"/>
                <w:sz w:val="22"/>
                <w:szCs w:val="22"/>
              </w:rPr>
              <w:t xml:space="preserve">Entre os doentes com a avaliação inicial da dor da pele, relacionada com HS ≥ 3, baseado na escala numérica </w:t>
            </w:r>
            <w:r w:rsidR="003E3AA9">
              <w:rPr>
                <w:rFonts w:eastAsia="Calibri"/>
                <w:color w:val="000000"/>
                <w:sz w:val="22"/>
                <w:szCs w:val="22"/>
              </w:rPr>
              <w:t>–</w:t>
            </w:r>
            <w:r w:rsidRPr="008912CF">
              <w:rPr>
                <w:rFonts w:eastAsia="Calibri"/>
                <w:color w:val="000000"/>
                <w:sz w:val="22"/>
                <w:szCs w:val="22"/>
              </w:rPr>
              <w:t xml:space="preserve"> </w:t>
            </w:r>
            <w:r w:rsidRPr="008912CF">
              <w:rPr>
                <w:rFonts w:eastAsia="Calibri"/>
                <w:i/>
                <w:color w:val="000000"/>
                <w:sz w:val="22"/>
                <w:szCs w:val="22"/>
              </w:rPr>
              <w:t>Numeric Rating Scale</w:t>
            </w:r>
            <w:r w:rsidRPr="008912CF">
              <w:rPr>
                <w:rFonts w:eastAsia="Calibri"/>
                <w:color w:val="000000"/>
                <w:sz w:val="22"/>
                <w:szCs w:val="22"/>
              </w:rPr>
              <w:t xml:space="preserve"> 0-10; 0 = sem dor na pele, 10 = dor muito intensa e acentuada na pele </w:t>
            </w:r>
          </w:p>
        </w:tc>
      </w:tr>
    </w:tbl>
    <w:p w14:paraId="6B9713BF" w14:textId="77777777" w:rsidR="004462A0" w:rsidRPr="008912CF" w:rsidRDefault="004462A0" w:rsidP="004462A0">
      <w:pPr>
        <w:rPr>
          <w:sz w:val="22"/>
          <w:szCs w:val="22"/>
          <w:u w:val="single"/>
        </w:rPr>
      </w:pPr>
    </w:p>
    <w:p w14:paraId="1DDD8744" w14:textId="77777777" w:rsidR="004462A0" w:rsidRPr="008912CF" w:rsidRDefault="00615769" w:rsidP="004462A0">
      <w:pPr>
        <w:rPr>
          <w:sz w:val="22"/>
          <w:szCs w:val="22"/>
        </w:rPr>
      </w:pPr>
      <w:r w:rsidRPr="008912CF">
        <w:rPr>
          <w:sz w:val="22"/>
          <w:szCs w:val="22"/>
        </w:rPr>
        <w:t>O tratamento com Humira 40 mg todas as semanas, reduziu significativamente o risco de agravamento de abcessos e fístulas drenantes. Nos Estudos HS-I e HS-II,</w:t>
      </w:r>
      <w:r w:rsidRPr="008912CF">
        <w:t xml:space="preserve"> </w:t>
      </w:r>
      <w:r w:rsidRPr="008912CF">
        <w:rPr>
          <w:sz w:val="22"/>
          <w:szCs w:val="22"/>
        </w:rPr>
        <w:t>nas primeiras 12 semanas,</w:t>
      </w:r>
      <w:r w:rsidRPr="008912CF">
        <w:t xml:space="preserve"> a</w:t>
      </w:r>
      <w:r w:rsidRPr="008912CF">
        <w:rPr>
          <w:sz w:val="22"/>
          <w:szCs w:val="22"/>
        </w:rPr>
        <w:t>proximadamente o dobro da percentagem de doentes do grupo d</w:t>
      </w:r>
      <w:r w:rsidR="0082206C">
        <w:rPr>
          <w:sz w:val="22"/>
          <w:szCs w:val="22"/>
        </w:rPr>
        <w:t>e</w:t>
      </w:r>
      <w:r w:rsidRPr="008912CF">
        <w:rPr>
          <w:sz w:val="22"/>
          <w:szCs w:val="22"/>
        </w:rPr>
        <w:t xml:space="preserve"> placebo,</w:t>
      </w:r>
      <w:r w:rsidRPr="008912CF">
        <w:t xml:space="preserve"> </w:t>
      </w:r>
      <w:r w:rsidRPr="008912CF">
        <w:rPr>
          <w:sz w:val="22"/>
          <w:szCs w:val="22"/>
        </w:rPr>
        <w:t>em comparação com os do grupo Humira, apresentaram agravamento de abcessos (23,0</w:t>
      </w:r>
      <w:r w:rsidR="009343EF">
        <w:rPr>
          <w:sz w:val="22"/>
          <w:szCs w:val="22"/>
        </w:rPr>
        <w:t>%</w:t>
      </w:r>
      <w:r w:rsidRPr="008912CF">
        <w:rPr>
          <w:sz w:val="22"/>
          <w:szCs w:val="22"/>
        </w:rPr>
        <w:t xml:space="preserve"> vs 11,4 </w:t>
      </w:r>
      <w:r w:rsidR="009343EF">
        <w:rPr>
          <w:sz w:val="22"/>
          <w:szCs w:val="22"/>
        </w:rPr>
        <w:t>%</w:t>
      </w:r>
      <w:r w:rsidRPr="008912CF">
        <w:rPr>
          <w:sz w:val="22"/>
          <w:szCs w:val="22"/>
        </w:rPr>
        <w:t>, respetivamente) e de fístulas drenantes (30,0</w:t>
      </w:r>
      <w:r w:rsidR="009343EF">
        <w:rPr>
          <w:sz w:val="22"/>
          <w:szCs w:val="22"/>
        </w:rPr>
        <w:t>%</w:t>
      </w:r>
      <w:r w:rsidRPr="008912CF">
        <w:rPr>
          <w:sz w:val="22"/>
          <w:szCs w:val="22"/>
        </w:rPr>
        <w:t xml:space="preserve"> vs 13,9</w:t>
      </w:r>
      <w:r w:rsidR="009343EF">
        <w:rPr>
          <w:sz w:val="22"/>
          <w:szCs w:val="22"/>
        </w:rPr>
        <w:t>%</w:t>
      </w:r>
      <w:r w:rsidRPr="008912CF">
        <w:rPr>
          <w:sz w:val="22"/>
          <w:szCs w:val="22"/>
        </w:rPr>
        <w:t>, respetivamente).</w:t>
      </w:r>
      <w:r w:rsidRPr="008912CF">
        <w:t xml:space="preserve"> </w:t>
      </w:r>
    </w:p>
    <w:p w14:paraId="569AFF5D" w14:textId="77777777" w:rsidR="004462A0" w:rsidRPr="008912CF" w:rsidRDefault="004462A0" w:rsidP="004462A0">
      <w:pPr>
        <w:rPr>
          <w:sz w:val="22"/>
          <w:szCs w:val="22"/>
        </w:rPr>
      </w:pPr>
    </w:p>
    <w:p w14:paraId="13436D74" w14:textId="77777777" w:rsidR="004462A0" w:rsidRPr="008912CF" w:rsidRDefault="00615769" w:rsidP="004462A0">
      <w:pPr>
        <w:rPr>
          <w:sz w:val="22"/>
          <w:szCs w:val="22"/>
        </w:rPr>
      </w:pPr>
      <w:r w:rsidRPr="008912CF">
        <w:rPr>
          <w:sz w:val="22"/>
          <w:szCs w:val="22"/>
        </w:rPr>
        <w:t>Observaram-se melhorias significativas</w:t>
      </w:r>
      <w:r w:rsidR="0082206C">
        <w:rPr>
          <w:sz w:val="22"/>
          <w:szCs w:val="22"/>
        </w:rPr>
        <w:t xml:space="preserve"> relativamente ao valor inicial</w:t>
      </w:r>
      <w:r w:rsidRPr="008912CF">
        <w:rPr>
          <w:sz w:val="22"/>
          <w:szCs w:val="22"/>
        </w:rPr>
        <w:t xml:space="preserve"> no grupo Humira, comparativamente ao placebo, à Semana</w:t>
      </w:r>
      <w:r w:rsidR="0082206C">
        <w:rPr>
          <w:sz w:val="22"/>
          <w:szCs w:val="22"/>
        </w:rPr>
        <w:t xml:space="preserve"> </w:t>
      </w:r>
      <w:r w:rsidRPr="008912CF">
        <w:rPr>
          <w:sz w:val="22"/>
          <w:szCs w:val="22"/>
        </w:rPr>
        <w:t xml:space="preserve">12, na qualidade de vida relacionada com a saúde da pele, avaliada pelo </w:t>
      </w:r>
      <w:r w:rsidRPr="008912CF">
        <w:rPr>
          <w:i/>
          <w:sz w:val="22"/>
          <w:szCs w:val="22"/>
        </w:rPr>
        <w:t xml:space="preserve">Dermatology Life Quality Index </w:t>
      </w:r>
      <w:r w:rsidRPr="008912CF">
        <w:rPr>
          <w:sz w:val="22"/>
          <w:szCs w:val="22"/>
        </w:rPr>
        <w:t xml:space="preserve">(DLQI; Estudos HS-I e HS-II), na satisfação global do doente com o tratamento, avaliado pelo </w:t>
      </w:r>
      <w:r w:rsidRPr="008912CF">
        <w:rPr>
          <w:i/>
          <w:sz w:val="22"/>
          <w:szCs w:val="22"/>
        </w:rPr>
        <w:t>Treatment Satisfaction Questionnaire (</w:t>
      </w:r>
      <w:r w:rsidRPr="008912CF">
        <w:rPr>
          <w:sz w:val="22"/>
          <w:szCs w:val="22"/>
        </w:rPr>
        <w:t xml:space="preserve">QSTM; Estudos HS-I e HS-II), e na saúde física, avaliada pela pontuação do SF-36 (Estudo HS-I). </w:t>
      </w:r>
    </w:p>
    <w:p w14:paraId="1CCAA660" w14:textId="77777777" w:rsidR="004462A0" w:rsidRPr="008912CF" w:rsidRDefault="004462A0" w:rsidP="004462A0">
      <w:pPr>
        <w:rPr>
          <w:sz w:val="22"/>
          <w:szCs w:val="22"/>
        </w:rPr>
      </w:pPr>
    </w:p>
    <w:p w14:paraId="255D834C" w14:textId="77777777" w:rsidR="004462A0" w:rsidRPr="008912CF" w:rsidRDefault="00615769" w:rsidP="004462A0">
      <w:pPr>
        <w:rPr>
          <w:sz w:val="22"/>
          <w:szCs w:val="22"/>
        </w:rPr>
      </w:pPr>
      <w:r w:rsidRPr="008912CF">
        <w:rPr>
          <w:sz w:val="22"/>
          <w:szCs w:val="22"/>
        </w:rPr>
        <w:t xml:space="preserve">Nos doentes que apresentaram pelo menos uma resposta parcial à Semana 12, </w:t>
      </w:r>
      <w:r w:rsidR="00212B10">
        <w:rPr>
          <w:sz w:val="22"/>
          <w:szCs w:val="22"/>
        </w:rPr>
        <w:t>com</w:t>
      </w:r>
      <w:r w:rsidRPr="008912CF">
        <w:rPr>
          <w:sz w:val="22"/>
          <w:szCs w:val="22"/>
        </w:rPr>
        <w:t xml:space="preserve"> Humira 40 mg todas as semanas, a taxa de HiSCR à semana 36 foi superior nos doentes que continuaram com Humira semanal, comparativamente com os doentes nos quais a frequência de administração foi reduzida para semanas alternadas, ou nos quais o tratamento foi suspenso (ver Tabela </w:t>
      </w:r>
      <w:r w:rsidR="00E60C95">
        <w:rPr>
          <w:sz w:val="22"/>
          <w:szCs w:val="22"/>
        </w:rPr>
        <w:t>2</w:t>
      </w:r>
      <w:r w:rsidR="00E549E4">
        <w:rPr>
          <w:sz w:val="22"/>
          <w:szCs w:val="22"/>
        </w:rPr>
        <w:t>0</w:t>
      </w:r>
      <w:r w:rsidRPr="008912CF">
        <w:rPr>
          <w:sz w:val="22"/>
          <w:szCs w:val="22"/>
        </w:rPr>
        <w:t>).</w:t>
      </w:r>
    </w:p>
    <w:p w14:paraId="0F82CCF5" w14:textId="77777777" w:rsidR="004462A0" w:rsidRPr="008912CF" w:rsidRDefault="004462A0" w:rsidP="004462A0">
      <w:pPr>
        <w:rPr>
          <w:sz w:val="22"/>
          <w:szCs w:val="22"/>
        </w:rPr>
      </w:pPr>
    </w:p>
    <w:p w14:paraId="27FD9E62" w14:textId="77777777" w:rsidR="004462A0" w:rsidRPr="008912CF" w:rsidRDefault="00615769" w:rsidP="004462A0">
      <w:pPr>
        <w:keepNext/>
        <w:jc w:val="center"/>
        <w:rPr>
          <w:b/>
          <w:sz w:val="22"/>
          <w:szCs w:val="22"/>
        </w:rPr>
      </w:pPr>
      <w:r w:rsidRPr="008912CF">
        <w:rPr>
          <w:b/>
          <w:sz w:val="22"/>
          <w:szCs w:val="22"/>
        </w:rPr>
        <w:t xml:space="preserve">Tabela </w:t>
      </w:r>
      <w:r w:rsidR="00E60C95">
        <w:rPr>
          <w:b/>
          <w:sz w:val="22"/>
          <w:szCs w:val="22"/>
        </w:rPr>
        <w:t>2</w:t>
      </w:r>
      <w:r w:rsidR="00E549E4">
        <w:rPr>
          <w:b/>
          <w:sz w:val="22"/>
          <w:szCs w:val="22"/>
        </w:rPr>
        <w:t>0</w:t>
      </w:r>
      <w:r w:rsidRPr="008912CF">
        <w:rPr>
          <w:b/>
          <w:sz w:val="22"/>
          <w:szCs w:val="22"/>
        </w:rPr>
        <w:t>:</w:t>
      </w:r>
      <w:r w:rsidRPr="008912CF">
        <w:rPr>
          <w:b/>
          <w:sz w:val="22"/>
          <w:szCs w:val="22"/>
        </w:rPr>
        <w:tab/>
        <w:t xml:space="preserve">Re-alocação de tratamento de Humira semanal à Semana 12 </w:t>
      </w:r>
      <w:r w:rsidR="003E3AA9">
        <w:rPr>
          <w:b/>
          <w:sz w:val="22"/>
          <w:szCs w:val="22"/>
        </w:rPr>
        <w:t>–</w:t>
      </w:r>
      <w:r w:rsidRPr="008912CF">
        <w:rPr>
          <w:b/>
          <w:sz w:val="22"/>
          <w:szCs w:val="22"/>
        </w:rPr>
        <w:t xml:space="preserve"> Percentagem de doentes</w:t>
      </w:r>
      <w:r w:rsidRPr="008912CF">
        <w:rPr>
          <w:b/>
          <w:sz w:val="22"/>
          <w:szCs w:val="22"/>
          <w:vertAlign w:val="superscript"/>
        </w:rPr>
        <w:t>a</w:t>
      </w:r>
      <w:r w:rsidRPr="008912CF">
        <w:rPr>
          <w:b/>
          <w:sz w:val="22"/>
          <w:szCs w:val="22"/>
        </w:rPr>
        <w:t xml:space="preserve"> que alcançaram HiSCR</w:t>
      </w:r>
      <w:r w:rsidRPr="008912CF">
        <w:rPr>
          <w:b/>
          <w:sz w:val="22"/>
          <w:szCs w:val="22"/>
          <w:vertAlign w:val="superscript"/>
        </w:rPr>
        <w:t>b</w:t>
      </w:r>
      <w:r w:rsidRPr="008912CF">
        <w:rPr>
          <w:b/>
          <w:sz w:val="22"/>
          <w:szCs w:val="22"/>
        </w:rPr>
        <w:t xml:space="preserve"> às Semanas 24 e 36</w:t>
      </w:r>
    </w:p>
    <w:p w14:paraId="47B1E51A" w14:textId="77777777" w:rsidR="004462A0" w:rsidRPr="008912CF" w:rsidRDefault="004462A0" w:rsidP="004462A0">
      <w:pPr>
        <w:keepNext/>
        <w:rPr>
          <w:sz w:val="22"/>
          <w:szCs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1980"/>
        <w:gridCol w:w="1980"/>
        <w:gridCol w:w="1855"/>
      </w:tblGrid>
      <w:tr w:rsidR="00A7162A" w14:paraId="722ED263" w14:textId="77777777" w:rsidTr="00F675CF">
        <w:trPr>
          <w:tblHeader/>
          <w:jc w:val="center"/>
        </w:trPr>
        <w:tc>
          <w:tcPr>
            <w:tcW w:w="1437" w:type="dxa"/>
            <w:vAlign w:val="bottom"/>
          </w:tcPr>
          <w:p w14:paraId="0EAEE593" w14:textId="77777777" w:rsidR="004462A0" w:rsidRPr="008912CF" w:rsidRDefault="004462A0" w:rsidP="00F675CF">
            <w:pPr>
              <w:keepNext/>
              <w:spacing w:before="40" w:after="40" w:line="240" w:lineRule="exact"/>
              <w:rPr>
                <w:rFonts w:eastAsia="Calibri"/>
                <w:b/>
                <w:sz w:val="22"/>
                <w:szCs w:val="22"/>
                <w:lang w:eastAsia="ja-JP"/>
              </w:rPr>
            </w:pPr>
          </w:p>
        </w:tc>
        <w:tc>
          <w:tcPr>
            <w:tcW w:w="1980" w:type="dxa"/>
            <w:vAlign w:val="bottom"/>
          </w:tcPr>
          <w:p w14:paraId="66A9E4AF" w14:textId="77777777" w:rsidR="004462A0" w:rsidRPr="008912CF" w:rsidRDefault="00615769" w:rsidP="00F675CF">
            <w:pPr>
              <w:keepNext/>
              <w:spacing w:before="40" w:after="40" w:line="240" w:lineRule="exact"/>
              <w:jc w:val="center"/>
              <w:rPr>
                <w:rFonts w:eastAsia="Calibri"/>
                <w:b/>
                <w:sz w:val="22"/>
                <w:szCs w:val="22"/>
                <w:lang w:eastAsia="ja-JP"/>
              </w:rPr>
            </w:pPr>
            <w:r w:rsidRPr="008912CF">
              <w:rPr>
                <w:rFonts w:eastAsia="Calibri"/>
                <w:b/>
                <w:sz w:val="22"/>
                <w:szCs w:val="22"/>
                <w:lang w:eastAsia="ja-JP"/>
              </w:rPr>
              <w:t>Placebo</w:t>
            </w:r>
          </w:p>
          <w:p w14:paraId="1EB6F4D4" w14:textId="77777777" w:rsidR="004462A0" w:rsidRPr="008912CF" w:rsidRDefault="00615769" w:rsidP="00F675CF">
            <w:pPr>
              <w:keepNext/>
              <w:spacing w:before="40" w:after="40" w:line="240" w:lineRule="exact"/>
              <w:jc w:val="center"/>
              <w:rPr>
                <w:rFonts w:eastAsia="Calibri"/>
                <w:b/>
                <w:sz w:val="22"/>
                <w:szCs w:val="22"/>
                <w:lang w:eastAsia="ja-JP"/>
              </w:rPr>
            </w:pPr>
            <w:r w:rsidRPr="008912CF">
              <w:rPr>
                <w:rFonts w:eastAsia="Calibri"/>
                <w:b/>
                <w:sz w:val="22"/>
                <w:szCs w:val="22"/>
                <w:lang w:eastAsia="ja-JP"/>
              </w:rPr>
              <w:t>(suspensão de tratamento)</w:t>
            </w:r>
          </w:p>
          <w:p w14:paraId="6BDB2807" w14:textId="77777777" w:rsidR="004462A0" w:rsidRPr="008912CF" w:rsidRDefault="00615769" w:rsidP="00F675CF">
            <w:pPr>
              <w:keepNext/>
              <w:spacing w:before="40" w:after="40" w:line="240" w:lineRule="exact"/>
              <w:jc w:val="center"/>
              <w:rPr>
                <w:rFonts w:eastAsia="Calibri"/>
                <w:b/>
                <w:sz w:val="22"/>
                <w:szCs w:val="22"/>
                <w:lang w:eastAsia="ja-JP"/>
              </w:rPr>
            </w:pPr>
            <w:r w:rsidRPr="008912CF">
              <w:rPr>
                <w:rFonts w:eastAsia="Calibri"/>
                <w:b/>
                <w:sz w:val="22"/>
                <w:szCs w:val="22"/>
                <w:lang w:eastAsia="ja-JP"/>
              </w:rPr>
              <w:t>N = 73</w:t>
            </w:r>
          </w:p>
        </w:tc>
        <w:tc>
          <w:tcPr>
            <w:tcW w:w="1980" w:type="dxa"/>
            <w:vAlign w:val="bottom"/>
          </w:tcPr>
          <w:p w14:paraId="519B8B87" w14:textId="77777777" w:rsidR="004462A0" w:rsidRPr="008912CF" w:rsidRDefault="00615769" w:rsidP="00F675CF">
            <w:pPr>
              <w:keepNext/>
              <w:spacing w:before="40" w:after="40" w:line="240" w:lineRule="exact"/>
              <w:jc w:val="center"/>
              <w:rPr>
                <w:rFonts w:eastAsia="Calibri"/>
                <w:b/>
                <w:sz w:val="22"/>
                <w:szCs w:val="22"/>
                <w:lang w:eastAsia="ja-JP"/>
              </w:rPr>
            </w:pPr>
            <w:r w:rsidRPr="008912CF">
              <w:rPr>
                <w:rFonts w:eastAsia="Calibri"/>
                <w:b/>
                <w:sz w:val="22"/>
                <w:szCs w:val="22"/>
                <w:lang w:eastAsia="ja-JP"/>
              </w:rPr>
              <w:t>Humira 40 mg</w:t>
            </w:r>
            <w:r w:rsidRPr="008912CF">
              <w:rPr>
                <w:rFonts w:eastAsia="Calibri"/>
                <w:b/>
                <w:sz w:val="22"/>
                <w:szCs w:val="22"/>
                <w:lang w:eastAsia="ja-JP"/>
              </w:rPr>
              <w:br/>
              <w:t>em semanas alternadas</w:t>
            </w:r>
          </w:p>
          <w:p w14:paraId="5744A4F7" w14:textId="77777777" w:rsidR="004462A0" w:rsidRPr="008912CF" w:rsidRDefault="00615769" w:rsidP="00F675CF">
            <w:pPr>
              <w:keepNext/>
              <w:spacing w:before="40" w:after="40" w:line="240" w:lineRule="exact"/>
              <w:jc w:val="center"/>
              <w:rPr>
                <w:rFonts w:eastAsia="Calibri"/>
                <w:b/>
                <w:sz w:val="22"/>
                <w:szCs w:val="22"/>
                <w:lang w:eastAsia="ja-JP"/>
              </w:rPr>
            </w:pPr>
            <w:r w:rsidRPr="008912CF">
              <w:rPr>
                <w:rFonts w:eastAsia="Calibri"/>
                <w:b/>
                <w:sz w:val="22"/>
                <w:szCs w:val="22"/>
                <w:lang w:eastAsia="ja-JP"/>
              </w:rPr>
              <w:t>N = 70</w:t>
            </w:r>
          </w:p>
        </w:tc>
        <w:tc>
          <w:tcPr>
            <w:tcW w:w="1855" w:type="dxa"/>
            <w:vAlign w:val="bottom"/>
          </w:tcPr>
          <w:p w14:paraId="7F797949" w14:textId="77777777" w:rsidR="004462A0" w:rsidRPr="008912CF" w:rsidRDefault="00615769" w:rsidP="00F675CF">
            <w:pPr>
              <w:keepNext/>
              <w:spacing w:before="40" w:after="40" w:line="240" w:lineRule="exact"/>
              <w:jc w:val="center"/>
              <w:rPr>
                <w:rFonts w:eastAsia="Calibri"/>
                <w:b/>
                <w:sz w:val="22"/>
                <w:szCs w:val="22"/>
                <w:lang w:eastAsia="ja-JP"/>
              </w:rPr>
            </w:pPr>
            <w:r w:rsidRPr="008912CF">
              <w:rPr>
                <w:rFonts w:eastAsia="Calibri"/>
                <w:b/>
                <w:sz w:val="22"/>
                <w:szCs w:val="22"/>
                <w:lang w:eastAsia="ja-JP"/>
              </w:rPr>
              <w:t>Humira 40 mg</w:t>
            </w:r>
            <w:r w:rsidRPr="008912CF">
              <w:rPr>
                <w:rFonts w:eastAsia="Calibri"/>
                <w:b/>
                <w:sz w:val="22"/>
                <w:szCs w:val="22"/>
                <w:lang w:eastAsia="ja-JP"/>
              </w:rPr>
              <w:br/>
              <w:t>todas as semanas</w:t>
            </w:r>
            <w:r w:rsidRPr="008912CF">
              <w:rPr>
                <w:rFonts w:eastAsia="Calibri"/>
                <w:b/>
                <w:sz w:val="22"/>
                <w:szCs w:val="22"/>
                <w:lang w:eastAsia="ja-JP"/>
              </w:rPr>
              <w:br/>
              <w:t>N = 70</w:t>
            </w:r>
          </w:p>
        </w:tc>
      </w:tr>
      <w:tr w:rsidR="00A7162A" w14:paraId="331636FC" w14:textId="77777777" w:rsidTr="00F675CF">
        <w:trPr>
          <w:jc w:val="center"/>
        </w:trPr>
        <w:tc>
          <w:tcPr>
            <w:tcW w:w="1437" w:type="dxa"/>
          </w:tcPr>
          <w:p w14:paraId="094A1D53" w14:textId="77777777" w:rsidR="004462A0" w:rsidRPr="008912CF" w:rsidRDefault="00615769" w:rsidP="00F675CF">
            <w:pPr>
              <w:keepNext/>
              <w:spacing w:before="40" w:after="40" w:line="240" w:lineRule="exact"/>
              <w:rPr>
                <w:rFonts w:eastAsia="Calibri"/>
                <w:sz w:val="22"/>
                <w:szCs w:val="22"/>
                <w:lang w:eastAsia="ja-JP"/>
              </w:rPr>
            </w:pPr>
            <w:r w:rsidRPr="008912CF">
              <w:rPr>
                <w:rFonts w:eastAsia="Calibri"/>
                <w:sz w:val="22"/>
                <w:szCs w:val="22"/>
                <w:lang w:eastAsia="ja-JP"/>
              </w:rPr>
              <w:t>Semana 24</w:t>
            </w:r>
          </w:p>
        </w:tc>
        <w:tc>
          <w:tcPr>
            <w:tcW w:w="1980" w:type="dxa"/>
          </w:tcPr>
          <w:p w14:paraId="7B53A847" w14:textId="77777777" w:rsidR="004462A0" w:rsidRPr="008912CF" w:rsidRDefault="00615769" w:rsidP="00F675CF">
            <w:pPr>
              <w:keepNext/>
              <w:spacing w:before="40" w:after="40" w:line="240" w:lineRule="exact"/>
              <w:jc w:val="center"/>
              <w:rPr>
                <w:rFonts w:eastAsia="Calibri"/>
                <w:sz w:val="22"/>
                <w:szCs w:val="22"/>
                <w:lang w:eastAsia="ja-JP"/>
              </w:rPr>
            </w:pPr>
            <w:r w:rsidRPr="008912CF">
              <w:rPr>
                <w:rFonts w:eastAsia="Calibri"/>
                <w:sz w:val="22"/>
                <w:szCs w:val="22"/>
                <w:lang w:eastAsia="ja-JP"/>
              </w:rPr>
              <w:t>24 (32,9%)</w:t>
            </w:r>
          </w:p>
        </w:tc>
        <w:tc>
          <w:tcPr>
            <w:tcW w:w="1980" w:type="dxa"/>
          </w:tcPr>
          <w:p w14:paraId="536BB5A9" w14:textId="77777777" w:rsidR="004462A0" w:rsidRPr="008912CF" w:rsidRDefault="00615769" w:rsidP="00F675CF">
            <w:pPr>
              <w:keepNext/>
              <w:spacing w:before="40" w:after="40" w:line="240" w:lineRule="exact"/>
              <w:jc w:val="center"/>
              <w:rPr>
                <w:rFonts w:eastAsia="Calibri"/>
                <w:sz w:val="22"/>
                <w:szCs w:val="22"/>
                <w:lang w:eastAsia="ja-JP"/>
              </w:rPr>
            </w:pPr>
            <w:r w:rsidRPr="008912CF">
              <w:rPr>
                <w:rFonts w:eastAsia="Calibri"/>
                <w:sz w:val="22"/>
                <w:szCs w:val="22"/>
                <w:lang w:eastAsia="ja-JP"/>
              </w:rPr>
              <w:t>36 (51,4%)</w:t>
            </w:r>
          </w:p>
        </w:tc>
        <w:tc>
          <w:tcPr>
            <w:tcW w:w="1855" w:type="dxa"/>
          </w:tcPr>
          <w:p w14:paraId="6624F6A0" w14:textId="77777777" w:rsidR="004462A0" w:rsidRPr="008912CF" w:rsidRDefault="00615769" w:rsidP="00F675CF">
            <w:pPr>
              <w:keepNext/>
              <w:spacing w:before="40" w:after="40" w:line="240" w:lineRule="exact"/>
              <w:jc w:val="center"/>
              <w:rPr>
                <w:rFonts w:eastAsia="Calibri"/>
                <w:sz w:val="22"/>
                <w:szCs w:val="22"/>
                <w:lang w:eastAsia="ja-JP"/>
              </w:rPr>
            </w:pPr>
            <w:r w:rsidRPr="008912CF">
              <w:rPr>
                <w:rFonts w:eastAsia="Calibri"/>
                <w:sz w:val="22"/>
                <w:szCs w:val="22"/>
                <w:lang w:eastAsia="ja-JP"/>
              </w:rPr>
              <w:t>40 (57,1%)</w:t>
            </w:r>
          </w:p>
        </w:tc>
      </w:tr>
      <w:tr w:rsidR="00A7162A" w14:paraId="153F1D68" w14:textId="77777777" w:rsidTr="00F675CF">
        <w:trPr>
          <w:jc w:val="center"/>
        </w:trPr>
        <w:tc>
          <w:tcPr>
            <w:tcW w:w="1437" w:type="dxa"/>
          </w:tcPr>
          <w:p w14:paraId="764839BC" w14:textId="77777777" w:rsidR="004462A0" w:rsidRPr="008912CF" w:rsidRDefault="00615769" w:rsidP="00F675CF">
            <w:pPr>
              <w:keepNext/>
              <w:spacing w:before="40" w:after="40" w:line="240" w:lineRule="exact"/>
              <w:rPr>
                <w:rFonts w:eastAsia="Calibri"/>
                <w:sz w:val="22"/>
                <w:szCs w:val="22"/>
                <w:lang w:eastAsia="ja-JP"/>
              </w:rPr>
            </w:pPr>
            <w:r w:rsidRPr="008912CF">
              <w:rPr>
                <w:rFonts w:eastAsia="Calibri"/>
                <w:sz w:val="22"/>
                <w:szCs w:val="22"/>
                <w:lang w:eastAsia="ja-JP"/>
              </w:rPr>
              <w:t>Semana 36</w:t>
            </w:r>
          </w:p>
        </w:tc>
        <w:tc>
          <w:tcPr>
            <w:tcW w:w="1980" w:type="dxa"/>
          </w:tcPr>
          <w:p w14:paraId="4BDBD97B" w14:textId="77777777" w:rsidR="004462A0" w:rsidRPr="008912CF" w:rsidRDefault="00615769" w:rsidP="00F675CF">
            <w:pPr>
              <w:keepNext/>
              <w:spacing w:before="40" w:after="40" w:line="240" w:lineRule="exact"/>
              <w:jc w:val="center"/>
              <w:rPr>
                <w:rFonts w:eastAsia="Calibri"/>
                <w:sz w:val="22"/>
                <w:szCs w:val="22"/>
                <w:lang w:eastAsia="ja-JP"/>
              </w:rPr>
            </w:pPr>
            <w:r w:rsidRPr="008912CF">
              <w:rPr>
                <w:rFonts w:eastAsia="Calibri"/>
                <w:sz w:val="22"/>
                <w:szCs w:val="22"/>
                <w:lang w:eastAsia="ja-JP"/>
              </w:rPr>
              <w:t>22 (30,1%)</w:t>
            </w:r>
          </w:p>
        </w:tc>
        <w:tc>
          <w:tcPr>
            <w:tcW w:w="1980" w:type="dxa"/>
          </w:tcPr>
          <w:p w14:paraId="4C332B02" w14:textId="77777777" w:rsidR="004462A0" w:rsidRPr="008912CF" w:rsidRDefault="00615769" w:rsidP="00F675CF">
            <w:pPr>
              <w:keepNext/>
              <w:spacing w:before="40" w:after="40" w:line="240" w:lineRule="exact"/>
              <w:jc w:val="center"/>
              <w:rPr>
                <w:rFonts w:eastAsia="Calibri"/>
                <w:sz w:val="22"/>
                <w:szCs w:val="22"/>
                <w:lang w:eastAsia="ja-JP"/>
              </w:rPr>
            </w:pPr>
            <w:r w:rsidRPr="008912CF">
              <w:rPr>
                <w:rFonts w:eastAsia="Calibri"/>
                <w:sz w:val="22"/>
                <w:szCs w:val="22"/>
                <w:lang w:eastAsia="ja-JP"/>
              </w:rPr>
              <w:t>28 (40,0%)</w:t>
            </w:r>
          </w:p>
        </w:tc>
        <w:tc>
          <w:tcPr>
            <w:tcW w:w="1855" w:type="dxa"/>
          </w:tcPr>
          <w:p w14:paraId="6205D812" w14:textId="77777777" w:rsidR="004462A0" w:rsidRPr="008912CF" w:rsidRDefault="00615769" w:rsidP="00F675CF">
            <w:pPr>
              <w:keepNext/>
              <w:spacing w:before="40" w:after="40" w:line="240" w:lineRule="exact"/>
              <w:jc w:val="center"/>
              <w:rPr>
                <w:rFonts w:eastAsia="Calibri"/>
                <w:sz w:val="22"/>
                <w:szCs w:val="22"/>
                <w:lang w:eastAsia="ja-JP"/>
              </w:rPr>
            </w:pPr>
            <w:r w:rsidRPr="008912CF">
              <w:rPr>
                <w:rFonts w:eastAsia="Calibri"/>
                <w:sz w:val="22"/>
                <w:szCs w:val="22"/>
                <w:lang w:eastAsia="ja-JP"/>
              </w:rPr>
              <w:t>39 (55,7%)</w:t>
            </w:r>
          </w:p>
        </w:tc>
      </w:tr>
      <w:tr w:rsidR="00A7162A" w14:paraId="4E02E622" w14:textId="77777777" w:rsidTr="00F675CF">
        <w:trPr>
          <w:jc w:val="center"/>
        </w:trPr>
        <w:tc>
          <w:tcPr>
            <w:tcW w:w="7252" w:type="dxa"/>
            <w:gridSpan w:val="4"/>
          </w:tcPr>
          <w:p w14:paraId="3157E3B7" w14:textId="77777777" w:rsidR="004462A0" w:rsidRPr="00030971" w:rsidRDefault="00615769" w:rsidP="00F675CF">
            <w:pPr>
              <w:keepNext/>
              <w:keepLines/>
              <w:numPr>
                <w:ilvl w:val="0"/>
                <w:numId w:val="103"/>
              </w:numPr>
              <w:tabs>
                <w:tab w:val="left" w:pos="562"/>
              </w:tabs>
              <w:suppressAutoHyphens/>
              <w:spacing w:line="240" w:lineRule="exact"/>
              <w:rPr>
                <w:rFonts w:eastAsia="MS Mincho"/>
                <w:sz w:val="22"/>
                <w:szCs w:val="22"/>
                <w:lang w:eastAsia="ja-JP"/>
              </w:rPr>
            </w:pPr>
            <w:r>
              <w:rPr>
                <w:rFonts w:eastAsia="MS Mincho"/>
                <w:sz w:val="22"/>
                <w:szCs w:val="22"/>
                <w:lang w:eastAsia="ja-JP"/>
              </w:rPr>
              <w:t xml:space="preserve">   </w:t>
            </w:r>
            <w:r w:rsidRPr="008912CF">
              <w:rPr>
                <w:rFonts w:eastAsia="MS Mincho"/>
                <w:sz w:val="22"/>
                <w:szCs w:val="22"/>
                <w:lang w:eastAsia="ja-JP"/>
              </w:rPr>
              <w:t>D</w:t>
            </w:r>
            <w:r w:rsidRPr="008912CF">
              <w:rPr>
                <w:sz w:val="22"/>
                <w:szCs w:val="22"/>
              </w:rPr>
              <w:t>oentes com pelo menos uma resposta parcial a Humira 40</w:t>
            </w:r>
            <w:r>
              <w:rPr>
                <w:sz w:val="22"/>
                <w:szCs w:val="22"/>
              </w:rPr>
              <w:t> </w:t>
            </w:r>
            <w:r w:rsidRPr="008912CF">
              <w:rPr>
                <w:sz w:val="22"/>
                <w:szCs w:val="22"/>
              </w:rPr>
              <w:t>mg todas as semanas, após 12 semanas de tratamento</w:t>
            </w:r>
          </w:p>
          <w:p w14:paraId="13C7C185" w14:textId="77777777" w:rsidR="004462A0" w:rsidRPr="008912CF" w:rsidRDefault="004462A0" w:rsidP="00F675CF">
            <w:pPr>
              <w:keepNext/>
              <w:keepLines/>
              <w:tabs>
                <w:tab w:val="left" w:pos="562"/>
              </w:tabs>
              <w:suppressAutoHyphens/>
              <w:spacing w:line="240" w:lineRule="exact"/>
              <w:ind w:left="720"/>
              <w:rPr>
                <w:rFonts w:eastAsia="MS Mincho"/>
                <w:sz w:val="22"/>
                <w:szCs w:val="22"/>
                <w:lang w:eastAsia="ja-JP"/>
              </w:rPr>
            </w:pPr>
          </w:p>
          <w:p w14:paraId="7157BD37" w14:textId="77777777" w:rsidR="004462A0" w:rsidRPr="008912CF" w:rsidRDefault="00615769" w:rsidP="00F675CF">
            <w:pPr>
              <w:keepNext/>
              <w:keepLines/>
              <w:numPr>
                <w:ilvl w:val="0"/>
                <w:numId w:val="103"/>
              </w:numPr>
              <w:tabs>
                <w:tab w:val="left" w:pos="562"/>
              </w:tabs>
              <w:suppressAutoHyphens/>
              <w:spacing w:line="240" w:lineRule="exact"/>
              <w:rPr>
                <w:rFonts w:eastAsia="MS Mincho"/>
                <w:sz w:val="22"/>
                <w:szCs w:val="22"/>
                <w:lang w:eastAsia="ja-JP"/>
              </w:rPr>
            </w:pPr>
            <w:r>
              <w:rPr>
                <w:rFonts w:eastAsia="MS Mincho"/>
                <w:sz w:val="22"/>
                <w:szCs w:val="22"/>
                <w:lang w:eastAsia="ja-JP"/>
              </w:rPr>
              <w:t xml:space="preserve">   </w:t>
            </w:r>
            <w:r w:rsidRPr="008912CF">
              <w:rPr>
                <w:rFonts w:eastAsia="MS Mincho"/>
                <w:sz w:val="22"/>
                <w:szCs w:val="22"/>
                <w:lang w:eastAsia="ja-JP"/>
              </w:rPr>
              <w:t>Aos doentes que apresentaram perda de resposta ou sem melhoria (de acordo com os critérios específicos do protocolo) foi solicitada a descontinuação dos estudos e foram considerados como não respondedores.</w:t>
            </w:r>
          </w:p>
        </w:tc>
      </w:tr>
    </w:tbl>
    <w:p w14:paraId="604389A1" w14:textId="77777777" w:rsidR="004462A0" w:rsidRPr="008912CF" w:rsidRDefault="004462A0" w:rsidP="004462A0">
      <w:pPr>
        <w:rPr>
          <w:sz w:val="22"/>
          <w:szCs w:val="22"/>
          <w:u w:val="single"/>
        </w:rPr>
      </w:pPr>
    </w:p>
    <w:p w14:paraId="1A03D92E" w14:textId="77777777" w:rsidR="004462A0" w:rsidRPr="008912CF" w:rsidRDefault="00615769" w:rsidP="008651D0">
      <w:pPr>
        <w:rPr>
          <w:sz w:val="22"/>
          <w:szCs w:val="22"/>
        </w:rPr>
      </w:pPr>
      <w:r w:rsidRPr="008912CF">
        <w:rPr>
          <w:sz w:val="22"/>
          <w:szCs w:val="22"/>
        </w:rPr>
        <w:t xml:space="preserve">Entre os doentes que foram pelo menos respondedores parciais </w:t>
      </w:r>
      <w:r w:rsidR="0082206C">
        <w:rPr>
          <w:sz w:val="22"/>
          <w:szCs w:val="22"/>
        </w:rPr>
        <w:t>à</w:t>
      </w:r>
      <w:r w:rsidR="0082206C" w:rsidRPr="008912CF">
        <w:rPr>
          <w:sz w:val="22"/>
          <w:szCs w:val="22"/>
        </w:rPr>
        <w:t xml:space="preserve"> </w:t>
      </w:r>
      <w:r w:rsidRPr="008912CF">
        <w:rPr>
          <w:sz w:val="22"/>
          <w:szCs w:val="22"/>
        </w:rPr>
        <w:t>Semana 12, e que receberam o tratamento com Humira todas as semanas</w:t>
      </w:r>
      <w:r w:rsidR="00642655">
        <w:rPr>
          <w:sz w:val="22"/>
          <w:szCs w:val="22"/>
        </w:rPr>
        <w:t>, em contínuo, a taxa HiSCR na S</w:t>
      </w:r>
      <w:r w:rsidRPr="008912CF">
        <w:rPr>
          <w:sz w:val="22"/>
          <w:szCs w:val="22"/>
        </w:rPr>
        <w:t xml:space="preserve">emana 48 foi de </w:t>
      </w:r>
      <w:r w:rsidR="00CF2AE4">
        <w:rPr>
          <w:sz w:val="22"/>
          <w:szCs w:val="22"/>
        </w:rPr>
        <w:t xml:space="preserve">68,3% e na </w:t>
      </w:r>
      <w:r w:rsidR="00642655">
        <w:rPr>
          <w:sz w:val="22"/>
          <w:szCs w:val="22"/>
        </w:rPr>
        <w:t>S</w:t>
      </w:r>
      <w:r w:rsidR="00CF2AE4">
        <w:rPr>
          <w:sz w:val="22"/>
          <w:szCs w:val="22"/>
        </w:rPr>
        <w:t>emana 96 foi de 65,1%</w:t>
      </w:r>
      <w:r w:rsidR="00CF2AE4" w:rsidRPr="008912CF">
        <w:rPr>
          <w:sz w:val="22"/>
          <w:szCs w:val="22"/>
        </w:rPr>
        <w:t>.</w:t>
      </w:r>
      <w:r w:rsidR="00CF2AE4">
        <w:rPr>
          <w:sz w:val="22"/>
          <w:szCs w:val="22"/>
        </w:rPr>
        <w:t xml:space="preserve"> O tratamento a longo prazo com Humira 40 mg todas as semanas durante 96 semanas </w:t>
      </w:r>
      <w:r w:rsidR="00CF2AE4" w:rsidRPr="008912CF">
        <w:rPr>
          <w:sz w:val="22"/>
          <w:szCs w:val="22"/>
        </w:rPr>
        <w:t>não revel</w:t>
      </w:r>
      <w:r w:rsidR="00CF2AE4">
        <w:rPr>
          <w:sz w:val="22"/>
          <w:szCs w:val="22"/>
        </w:rPr>
        <w:t>ou</w:t>
      </w:r>
      <w:r w:rsidR="00CF2AE4" w:rsidRPr="008912CF">
        <w:rPr>
          <w:sz w:val="22"/>
          <w:szCs w:val="22"/>
        </w:rPr>
        <w:t xml:space="preserve"> quaisquer novas informações de segurança.</w:t>
      </w:r>
    </w:p>
    <w:p w14:paraId="20AF7E93" w14:textId="77777777" w:rsidR="004462A0" w:rsidRPr="008912CF" w:rsidRDefault="004462A0" w:rsidP="004462A0">
      <w:pPr>
        <w:rPr>
          <w:sz w:val="22"/>
          <w:szCs w:val="22"/>
        </w:rPr>
      </w:pPr>
    </w:p>
    <w:p w14:paraId="07977E1C" w14:textId="77777777" w:rsidR="004462A0" w:rsidRPr="008912CF" w:rsidRDefault="00615769" w:rsidP="004462A0">
      <w:pPr>
        <w:rPr>
          <w:sz w:val="22"/>
          <w:szCs w:val="22"/>
        </w:rPr>
      </w:pPr>
      <w:r w:rsidRPr="008912CF">
        <w:rPr>
          <w:sz w:val="22"/>
          <w:szCs w:val="22"/>
        </w:rPr>
        <w:t>Nos Estudos HS-I e HS-II, nos doentes cujo tratamento com Humira foi supenso na semana 12, a taxa de HiSCR, 12 semanas após a re-introdução de Humira 40 mg semanal, voltou a atingir níveis semelhantes aos observados antes da suspensão (56,0</w:t>
      </w:r>
      <w:r w:rsidR="009343EF">
        <w:rPr>
          <w:sz w:val="22"/>
          <w:szCs w:val="22"/>
        </w:rPr>
        <w:t>%</w:t>
      </w:r>
      <w:r w:rsidRPr="008912CF">
        <w:rPr>
          <w:sz w:val="22"/>
          <w:szCs w:val="22"/>
        </w:rPr>
        <w:t>).</w:t>
      </w:r>
    </w:p>
    <w:p w14:paraId="59CDAE32" w14:textId="77777777" w:rsidR="004462A0" w:rsidRPr="008912CF" w:rsidRDefault="004462A0" w:rsidP="004462A0">
      <w:pPr>
        <w:rPr>
          <w:sz w:val="22"/>
          <w:szCs w:val="22"/>
          <w:u w:val="single"/>
        </w:rPr>
      </w:pPr>
    </w:p>
    <w:p w14:paraId="42A08C94" w14:textId="77777777" w:rsidR="004462A0" w:rsidRPr="008912CF" w:rsidRDefault="00615769" w:rsidP="004462A0">
      <w:pPr>
        <w:rPr>
          <w:sz w:val="22"/>
          <w:szCs w:val="22"/>
        </w:rPr>
      </w:pPr>
      <w:r w:rsidRPr="008912CF">
        <w:rPr>
          <w:i/>
          <w:sz w:val="22"/>
          <w:szCs w:val="22"/>
        </w:rPr>
        <w:t>Doença de Crohn</w:t>
      </w:r>
    </w:p>
    <w:p w14:paraId="243DF07F" w14:textId="77777777" w:rsidR="004462A0" w:rsidRPr="008912CF" w:rsidRDefault="004462A0" w:rsidP="004462A0">
      <w:pPr>
        <w:jc w:val="both"/>
        <w:rPr>
          <w:sz w:val="22"/>
          <w:szCs w:val="22"/>
        </w:rPr>
      </w:pPr>
    </w:p>
    <w:p w14:paraId="773FECBC" w14:textId="77777777" w:rsidR="004462A0" w:rsidRPr="008912CF" w:rsidRDefault="00615769" w:rsidP="004462A0">
      <w:pPr>
        <w:rPr>
          <w:sz w:val="22"/>
          <w:szCs w:val="22"/>
        </w:rPr>
      </w:pPr>
      <w:r w:rsidRPr="008912CF">
        <w:rPr>
          <w:sz w:val="22"/>
          <w:szCs w:val="22"/>
        </w:rPr>
        <w:t>A segurança e eficácia de Humira foram avaliadas em mais de 1.500 doentes com doença de Crohn (DC) ativa moderada a grave (</w:t>
      </w:r>
      <w:r w:rsidRPr="008912CF">
        <w:rPr>
          <w:i/>
          <w:sz w:val="22"/>
          <w:szCs w:val="22"/>
        </w:rPr>
        <w:t>Crohn’s Disease Activity Index</w:t>
      </w:r>
      <w:r w:rsidRPr="008912CF">
        <w:rPr>
          <w:sz w:val="22"/>
          <w:szCs w:val="22"/>
        </w:rPr>
        <w:t xml:space="preserve"> (CDAI) </w:t>
      </w:r>
      <w:r w:rsidRPr="008912CF">
        <w:rPr>
          <w:rFonts w:ascii="Symbol" w:hAnsi="Symbol"/>
          <w:sz w:val="22"/>
          <w:szCs w:val="22"/>
        </w:rPr>
        <w:sym w:font="Symbol" w:char="F0B3"/>
      </w:r>
      <w:r w:rsidRPr="008912CF">
        <w:rPr>
          <w:sz w:val="22"/>
          <w:szCs w:val="22"/>
        </w:rPr>
        <w:t xml:space="preserve"> 220 e </w:t>
      </w:r>
      <w:r w:rsidRPr="008912CF">
        <w:rPr>
          <w:rFonts w:ascii="Symbol" w:hAnsi="Symbol"/>
          <w:sz w:val="22"/>
          <w:szCs w:val="22"/>
        </w:rPr>
        <w:sym w:font="Symbol" w:char="F0A3"/>
      </w:r>
      <w:r w:rsidRPr="008912CF">
        <w:rPr>
          <w:sz w:val="22"/>
          <w:szCs w:val="22"/>
        </w:rPr>
        <w:t xml:space="preserve"> 450) em estudos </w:t>
      </w:r>
      <w:r w:rsidR="0013275C">
        <w:rPr>
          <w:sz w:val="22"/>
          <w:szCs w:val="22"/>
        </w:rPr>
        <w:t>aleatorizado</w:t>
      </w:r>
      <w:r w:rsidRPr="008912CF">
        <w:rPr>
          <w:sz w:val="22"/>
          <w:szCs w:val="22"/>
        </w:rPr>
        <w:t>s, em dupla ocultação, controlados com placebo. Foi permitida a utilização concomitante de doses estáveis de aminosalicilatos, corticosteroides, e/ou agentes imunomoduladores e 80</w:t>
      </w:r>
      <w:r w:rsidR="009343EF">
        <w:rPr>
          <w:sz w:val="22"/>
          <w:szCs w:val="22"/>
        </w:rPr>
        <w:t>%</w:t>
      </w:r>
      <w:r w:rsidRPr="008912CF">
        <w:rPr>
          <w:sz w:val="22"/>
          <w:szCs w:val="22"/>
        </w:rPr>
        <w:t xml:space="preserve"> dos doentes continuaram a receber pelo menos um destes medicamentos.</w:t>
      </w:r>
    </w:p>
    <w:p w14:paraId="6A69D5C4" w14:textId="77777777" w:rsidR="004462A0" w:rsidRPr="008912CF" w:rsidRDefault="004462A0" w:rsidP="004462A0">
      <w:pPr>
        <w:rPr>
          <w:sz w:val="22"/>
          <w:szCs w:val="22"/>
        </w:rPr>
      </w:pPr>
    </w:p>
    <w:p w14:paraId="793AA893" w14:textId="77777777" w:rsidR="004462A0" w:rsidRPr="008912CF" w:rsidRDefault="00615769" w:rsidP="004462A0">
      <w:pPr>
        <w:rPr>
          <w:sz w:val="22"/>
          <w:szCs w:val="22"/>
        </w:rPr>
      </w:pPr>
      <w:r w:rsidRPr="008912CF">
        <w:rPr>
          <w:sz w:val="22"/>
          <w:szCs w:val="22"/>
        </w:rPr>
        <w:t xml:space="preserve">A indução da remissão clínica (definida como CDAI &lt; 150) foi avaliada em dois estudos, Estudo DC I (CLASSIC I) e Estudo DC II (GAIN). No Estudo DC I, 299 doentes não tratados previamente com antagonistas-TNF foram </w:t>
      </w:r>
      <w:r w:rsidR="0013275C">
        <w:rPr>
          <w:sz w:val="22"/>
          <w:szCs w:val="22"/>
        </w:rPr>
        <w:t>aleatorizado</w:t>
      </w:r>
      <w:r w:rsidRPr="008912CF">
        <w:rPr>
          <w:sz w:val="22"/>
          <w:szCs w:val="22"/>
        </w:rPr>
        <w:t xml:space="preserve">s para um dos quatro grupos de tratamento; placebo nas Semanas 0 e 2, 160 mg de Humira na Semana 0 e 80 mg na Semana 2, 80 mg na Semana 0 e 40 mg na Semana 2, e 40 mg na Semana 0 e 20 mg na Semana 2. No Estudo DC II, 325 doentes que </w:t>
      </w:r>
      <w:r w:rsidR="00891B19">
        <w:rPr>
          <w:sz w:val="22"/>
          <w:szCs w:val="22"/>
        </w:rPr>
        <w:t xml:space="preserve">deixaram de </w:t>
      </w:r>
      <w:r w:rsidRPr="008912CF">
        <w:rPr>
          <w:sz w:val="22"/>
          <w:szCs w:val="22"/>
        </w:rPr>
        <w:t xml:space="preserve">responder ou foram intolerantes a infliximab foram </w:t>
      </w:r>
      <w:r w:rsidR="0013275C">
        <w:rPr>
          <w:sz w:val="22"/>
          <w:szCs w:val="22"/>
        </w:rPr>
        <w:t>aleatorizado</w:t>
      </w:r>
      <w:r w:rsidRPr="008912CF">
        <w:rPr>
          <w:sz w:val="22"/>
          <w:szCs w:val="22"/>
        </w:rPr>
        <w:t>s para receber ou 160 mg de Humira na semana 0 e 80 mg na Semana 2 ou placebo nas Semanas 0 e 2. Foram excluídos do estudo os não respondedores primários e estes doentes não foram avaliados.</w:t>
      </w:r>
    </w:p>
    <w:p w14:paraId="5A621094" w14:textId="77777777" w:rsidR="004462A0" w:rsidRPr="008912CF" w:rsidRDefault="004462A0" w:rsidP="004462A0">
      <w:pPr>
        <w:jc w:val="both"/>
        <w:rPr>
          <w:sz w:val="22"/>
          <w:szCs w:val="22"/>
        </w:rPr>
      </w:pPr>
    </w:p>
    <w:p w14:paraId="7F22DD4C" w14:textId="77777777" w:rsidR="004462A0" w:rsidRPr="008912CF" w:rsidRDefault="00615769" w:rsidP="004462A0">
      <w:pPr>
        <w:pStyle w:val="EMEANormal"/>
        <w:rPr>
          <w:szCs w:val="22"/>
          <w:lang w:val="pt-PT"/>
        </w:rPr>
      </w:pPr>
      <w:r w:rsidRPr="008912CF">
        <w:rPr>
          <w:szCs w:val="22"/>
          <w:lang w:val="pt-PT"/>
        </w:rPr>
        <w:t xml:space="preserve">A manutenção da remissão clínica foi avaliada no Estudo DC III (CHARM). No Estudo DC III, 854 doentes receberam </w:t>
      </w:r>
      <w:r w:rsidR="00891B19" w:rsidRPr="008912CF">
        <w:rPr>
          <w:szCs w:val="22"/>
          <w:lang w:val="pt-PT"/>
        </w:rPr>
        <w:t xml:space="preserve">em fase aberta </w:t>
      </w:r>
      <w:r w:rsidRPr="008912CF">
        <w:rPr>
          <w:szCs w:val="22"/>
          <w:lang w:val="pt-PT"/>
        </w:rPr>
        <w:t xml:space="preserve">80 mg na Semana 0 e 40 mg na Semana 2. Na </w:t>
      </w:r>
      <w:r w:rsidR="00891B19">
        <w:rPr>
          <w:szCs w:val="22"/>
          <w:lang w:val="pt-PT"/>
        </w:rPr>
        <w:t>S</w:t>
      </w:r>
      <w:r w:rsidRPr="008912CF">
        <w:rPr>
          <w:szCs w:val="22"/>
          <w:lang w:val="pt-PT"/>
        </w:rPr>
        <w:t xml:space="preserve">emana 4, os doentes foram </w:t>
      </w:r>
      <w:r w:rsidR="0013275C">
        <w:rPr>
          <w:szCs w:val="22"/>
          <w:lang w:val="pt-PT"/>
        </w:rPr>
        <w:t>aleatorizado</w:t>
      </w:r>
      <w:r w:rsidRPr="008912CF">
        <w:rPr>
          <w:szCs w:val="22"/>
          <w:lang w:val="pt-PT"/>
        </w:rPr>
        <w:t>s para 40 mg em semanas alternadas, 40 mg todas as semanas, ou placebo com uma duração total de 56 semanas. Doentes em resposta clínica (diminuição de CDAI </w:t>
      </w:r>
      <w:r w:rsidRPr="008912CF">
        <w:rPr>
          <w:rFonts w:ascii="Symbol" w:hAnsi="Symbol"/>
          <w:szCs w:val="22"/>
          <w:lang w:val="pt-PT"/>
        </w:rPr>
        <w:sym w:font="Symbol" w:char="F0B3"/>
      </w:r>
      <w:r w:rsidRPr="008912CF">
        <w:rPr>
          <w:szCs w:val="22"/>
          <w:lang w:val="pt-PT"/>
        </w:rPr>
        <w:t> 70) na Semana 4 foram estratificados e analisados separadamente dos que não responderam clinicamente na Semana 4. A redução de corticosteroides foi permitida após a Semana 8.</w:t>
      </w:r>
    </w:p>
    <w:p w14:paraId="77909D26" w14:textId="77777777" w:rsidR="004462A0" w:rsidRPr="008912CF" w:rsidRDefault="004462A0" w:rsidP="004462A0">
      <w:pPr>
        <w:pStyle w:val="EMEANormal"/>
        <w:rPr>
          <w:szCs w:val="22"/>
          <w:lang w:val="pt-PT"/>
        </w:rPr>
      </w:pPr>
    </w:p>
    <w:p w14:paraId="01E9B46B" w14:textId="77777777" w:rsidR="004462A0" w:rsidRPr="008912CF" w:rsidRDefault="00615769" w:rsidP="004462A0">
      <w:pPr>
        <w:jc w:val="both"/>
        <w:rPr>
          <w:sz w:val="22"/>
          <w:szCs w:val="22"/>
        </w:rPr>
      </w:pPr>
      <w:r w:rsidRPr="008912CF">
        <w:rPr>
          <w:sz w:val="22"/>
          <w:szCs w:val="22"/>
        </w:rPr>
        <w:t xml:space="preserve">As taxas de indução de remissão e de resposta </w:t>
      </w:r>
      <w:r w:rsidR="00FD7DDE" w:rsidRPr="008912CF">
        <w:rPr>
          <w:sz w:val="22"/>
          <w:szCs w:val="22"/>
        </w:rPr>
        <w:t>dos estudos D</w:t>
      </w:r>
      <w:r w:rsidR="00FD7DDE">
        <w:rPr>
          <w:sz w:val="22"/>
          <w:szCs w:val="22"/>
        </w:rPr>
        <w:t>C</w:t>
      </w:r>
      <w:r w:rsidR="00FD7DDE" w:rsidRPr="008912CF">
        <w:rPr>
          <w:sz w:val="22"/>
          <w:szCs w:val="22"/>
        </w:rPr>
        <w:t xml:space="preserve"> I e D</w:t>
      </w:r>
      <w:r w:rsidR="00FD7DDE">
        <w:rPr>
          <w:sz w:val="22"/>
          <w:szCs w:val="22"/>
        </w:rPr>
        <w:t>C</w:t>
      </w:r>
      <w:r w:rsidR="00FD7DDE" w:rsidRPr="008912CF">
        <w:rPr>
          <w:sz w:val="22"/>
          <w:szCs w:val="22"/>
        </w:rPr>
        <w:t xml:space="preserve"> II </w:t>
      </w:r>
      <w:r w:rsidRPr="008912CF">
        <w:rPr>
          <w:sz w:val="22"/>
          <w:szCs w:val="22"/>
        </w:rPr>
        <w:t xml:space="preserve">são apresentadas na Tabela </w:t>
      </w:r>
      <w:r w:rsidR="00E60C95">
        <w:rPr>
          <w:sz w:val="22"/>
          <w:szCs w:val="22"/>
        </w:rPr>
        <w:t>2</w:t>
      </w:r>
      <w:r w:rsidR="00E549E4">
        <w:rPr>
          <w:sz w:val="22"/>
          <w:szCs w:val="22"/>
        </w:rPr>
        <w:t>1</w:t>
      </w:r>
      <w:r w:rsidRPr="008912CF">
        <w:rPr>
          <w:sz w:val="22"/>
          <w:szCs w:val="22"/>
        </w:rPr>
        <w:t xml:space="preserve">. </w:t>
      </w:r>
    </w:p>
    <w:p w14:paraId="7DBB18DA" w14:textId="77777777" w:rsidR="004462A0" w:rsidRPr="008912CF" w:rsidRDefault="004462A0" w:rsidP="004462A0">
      <w:pPr>
        <w:keepNext/>
        <w:widowControl w:val="0"/>
        <w:jc w:val="both"/>
        <w:rPr>
          <w:sz w:val="22"/>
          <w:szCs w:val="22"/>
        </w:rPr>
      </w:pPr>
    </w:p>
    <w:tbl>
      <w:tblPr>
        <w:tblW w:w="91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9"/>
        <w:gridCol w:w="1201"/>
        <w:gridCol w:w="1255"/>
        <w:gridCol w:w="1176"/>
        <w:gridCol w:w="1409"/>
        <w:gridCol w:w="1840"/>
      </w:tblGrid>
      <w:tr w:rsidR="00A7162A" w14:paraId="74B6AAB5" w14:textId="77777777" w:rsidTr="00F675CF">
        <w:trPr>
          <w:cantSplit/>
        </w:trPr>
        <w:tc>
          <w:tcPr>
            <w:tcW w:w="9130" w:type="dxa"/>
            <w:gridSpan w:val="6"/>
            <w:tcBorders>
              <w:top w:val="nil"/>
              <w:left w:val="nil"/>
              <w:right w:val="nil"/>
            </w:tcBorders>
          </w:tcPr>
          <w:p w14:paraId="0DB554F1" w14:textId="77777777" w:rsidR="004462A0" w:rsidRPr="008912CF" w:rsidRDefault="00615769" w:rsidP="00F675CF">
            <w:pPr>
              <w:pStyle w:val="TableText"/>
              <w:widowControl w:val="0"/>
              <w:spacing w:line="240" w:lineRule="auto"/>
              <w:jc w:val="center"/>
              <w:rPr>
                <w:b/>
                <w:bCs/>
                <w:sz w:val="22"/>
                <w:szCs w:val="22"/>
                <w:lang w:val="pt-PT"/>
              </w:rPr>
            </w:pPr>
            <w:r w:rsidRPr="008912CF">
              <w:rPr>
                <w:b/>
                <w:bCs/>
                <w:sz w:val="22"/>
                <w:szCs w:val="22"/>
                <w:lang w:val="pt-PT"/>
              </w:rPr>
              <w:t xml:space="preserve">Tabela </w:t>
            </w:r>
            <w:r w:rsidR="00E60C95">
              <w:rPr>
                <w:b/>
                <w:bCs/>
                <w:sz w:val="22"/>
                <w:szCs w:val="22"/>
                <w:lang w:val="pt-PT"/>
              </w:rPr>
              <w:t>2</w:t>
            </w:r>
            <w:r w:rsidR="00E549E4">
              <w:rPr>
                <w:b/>
                <w:bCs/>
                <w:sz w:val="22"/>
                <w:szCs w:val="22"/>
                <w:lang w:val="pt-PT"/>
              </w:rPr>
              <w:t>1</w:t>
            </w:r>
          </w:p>
          <w:p w14:paraId="008861C5" w14:textId="77777777" w:rsidR="004462A0" w:rsidRPr="008912CF" w:rsidRDefault="00615769" w:rsidP="00F675CF">
            <w:pPr>
              <w:pStyle w:val="TableText"/>
              <w:widowControl w:val="0"/>
              <w:spacing w:line="240" w:lineRule="auto"/>
              <w:jc w:val="center"/>
              <w:rPr>
                <w:b/>
                <w:bCs/>
                <w:sz w:val="22"/>
                <w:szCs w:val="22"/>
                <w:lang w:val="pt-PT"/>
              </w:rPr>
            </w:pPr>
            <w:r w:rsidRPr="008912CF">
              <w:rPr>
                <w:b/>
                <w:bCs/>
                <w:sz w:val="22"/>
                <w:szCs w:val="22"/>
                <w:lang w:val="pt-PT"/>
              </w:rPr>
              <w:t>Indução da remissão e resposta clínica</w:t>
            </w:r>
          </w:p>
          <w:p w14:paraId="0B1B693C" w14:textId="77777777" w:rsidR="004462A0" w:rsidRPr="008912CF" w:rsidRDefault="00615769" w:rsidP="00F675CF">
            <w:pPr>
              <w:pStyle w:val="TableText"/>
              <w:widowControl w:val="0"/>
              <w:spacing w:line="240" w:lineRule="auto"/>
              <w:jc w:val="center"/>
              <w:rPr>
                <w:b/>
                <w:bCs/>
                <w:sz w:val="22"/>
                <w:szCs w:val="22"/>
                <w:lang w:val="pt-PT"/>
              </w:rPr>
            </w:pPr>
            <w:r w:rsidRPr="008912CF">
              <w:rPr>
                <w:b/>
                <w:bCs/>
                <w:sz w:val="22"/>
                <w:szCs w:val="22"/>
                <w:lang w:val="pt-PT"/>
              </w:rPr>
              <w:t>(Percentagem de Doentes)</w:t>
            </w:r>
          </w:p>
          <w:p w14:paraId="35A0CBC9" w14:textId="77777777" w:rsidR="004462A0" w:rsidRPr="008912CF" w:rsidRDefault="004462A0" w:rsidP="00F675CF">
            <w:pPr>
              <w:pStyle w:val="TableText"/>
              <w:widowControl w:val="0"/>
              <w:spacing w:line="240" w:lineRule="auto"/>
              <w:jc w:val="center"/>
              <w:rPr>
                <w:b/>
                <w:bCs/>
                <w:sz w:val="22"/>
                <w:szCs w:val="22"/>
                <w:lang w:val="pt-PT"/>
              </w:rPr>
            </w:pPr>
          </w:p>
        </w:tc>
      </w:tr>
      <w:tr w:rsidR="00A7162A" w14:paraId="2A101FF3" w14:textId="77777777" w:rsidTr="00F675CF">
        <w:trPr>
          <w:cantSplit/>
        </w:trPr>
        <w:tc>
          <w:tcPr>
            <w:tcW w:w="2249" w:type="dxa"/>
          </w:tcPr>
          <w:p w14:paraId="1EBFCB41" w14:textId="77777777" w:rsidR="004462A0" w:rsidRPr="008912CF" w:rsidRDefault="004462A0" w:rsidP="00F675CF">
            <w:pPr>
              <w:pStyle w:val="TableText"/>
              <w:widowControl w:val="0"/>
              <w:spacing w:line="240" w:lineRule="auto"/>
              <w:rPr>
                <w:b/>
                <w:bCs/>
                <w:sz w:val="22"/>
                <w:szCs w:val="22"/>
                <w:lang w:val="pt-PT"/>
              </w:rPr>
            </w:pPr>
          </w:p>
        </w:tc>
        <w:tc>
          <w:tcPr>
            <w:tcW w:w="3632" w:type="dxa"/>
            <w:gridSpan w:val="3"/>
          </w:tcPr>
          <w:p w14:paraId="3EE54CDD" w14:textId="77777777" w:rsidR="004462A0" w:rsidRPr="008912CF" w:rsidRDefault="00615769" w:rsidP="00F675CF">
            <w:pPr>
              <w:pStyle w:val="TableText"/>
              <w:widowControl w:val="0"/>
              <w:spacing w:line="240" w:lineRule="auto"/>
              <w:rPr>
                <w:b/>
                <w:bCs/>
                <w:sz w:val="22"/>
                <w:szCs w:val="22"/>
                <w:lang w:val="pt-PT"/>
              </w:rPr>
            </w:pPr>
            <w:r w:rsidRPr="008912CF">
              <w:rPr>
                <w:b/>
                <w:bCs/>
                <w:sz w:val="22"/>
                <w:szCs w:val="22"/>
                <w:lang w:val="pt-PT"/>
              </w:rPr>
              <w:t>Estudo DC I: Doentes não tratados previamente com Infliximab</w:t>
            </w:r>
          </w:p>
        </w:tc>
        <w:tc>
          <w:tcPr>
            <w:tcW w:w="3249" w:type="dxa"/>
            <w:gridSpan w:val="2"/>
          </w:tcPr>
          <w:p w14:paraId="7DC2825D" w14:textId="77777777" w:rsidR="004462A0" w:rsidRPr="008912CF" w:rsidRDefault="00615769" w:rsidP="00F675CF">
            <w:pPr>
              <w:pStyle w:val="TableText"/>
              <w:widowControl w:val="0"/>
              <w:spacing w:line="240" w:lineRule="auto"/>
              <w:rPr>
                <w:b/>
                <w:bCs/>
                <w:sz w:val="22"/>
                <w:szCs w:val="22"/>
                <w:lang w:val="pt-PT"/>
              </w:rPr>
            </w:pPr>
            <w:r w:rsidRPr="008912CF">
              <w:rPr>
                <w:b/>
                <w:bCs/>
                <w:sz w:val="22"/>
                <w:szCs w:val="22"/>
                <w:lang w:val="pt-PT"/>
              </w:rPr>
              <w:t xml:space="preserve">Estudo DC II: Doentes tratados </w:t>
            </w:r>
            <w:r w:rsidR="001E16B7">
              <w:rPr>
                <w:b/>
                <w:bCs/>
                <w:sz w:val="22"/>
                <w:szCs w:val="22"/>
                <w:lang w:val="pt-PT"/>
              </w:rPr>
              <w:t xml:space="preserve">previamente </w:t>
            </w:r>
            <w:r w:rsidRPr="008912CF">
              <w:rPr>
                <w:b/>
                <w:bCs/>
                <w:sz w:val="22"/>
                <w:szCs w:val="22"/>
                <w:lang w:val="pt-PT"/>
              </w:rPr>
              <w:t>com Infliximab</w:t>
            </w:r>
          </w:p>
        </w:tc>
      </w:tr>
      <w:tr w:rsidR="00A7162A" w14:paraId="48D2FD35" w14:textId="77777777" w:rsidTr="00F675CF">
        <w:trPr>
          <w:cantSplit/>
        </w:trPr>
        <w:tc>
          <w:tcPr>
            <w:tcW w:w="2249" w:type="dxa"/>
          </w:tcPr>
          <w:p w14:paraId="47A671FD" w14:textId="77777777" w:rsidR="004462A0" w:rsidRPr="008912CF" w:rsidRDefault="004462A0" w:rsidP="00F675CF">
            <w:pPr>
              <w:pStyle w:val="TableText"/>
              <w:widowControl w:val="0"/>
              <w:spacing w:line="240" w:lineRule="auto"/>
              <w:jc w:val="center"/>
              <w:rPr>
                <w:b/>
                <w:bCs/>
                <w:sz w:val="22"/>
                <w:szCs w:val="22"/>
                <w:lang w:val="pt-PT"/>
              </w:rPr>
            </w:pPr>
          </w:p>
        </w:tc>
        <w:tc>
          <w:tcPr>
            <w:tcW w:w="1201" w:type="dxa"/>
          </w:tcPr>
          <w:p w14:paraId="576FC00A" w14:textId="77777777" w:rsidR="004462A0" w:rsidRPr="008912CF" w:rsidRDefault="00615769" w:rsidP="00F675CF">
            <w:pPr>
              <w:pStyle w:val="TableText"/>
              <w:widowControl w:val="0"/>
              <w:spacing w:line="240" w:lineRule="auto"/>
              <w:jc w:val="center"/>
              <w:rPr>
                <w:b/>
                <w:bCs/>
                <w:sz w:val="22"/>
                <w:szCs w:val="22"/>
                <w:lang w:val="pt-PT"/>
              </w:rPr>
            </w:pPr>
            <w:r w:rsidRPr="008912CF">
              <w:rPr>
                <w:b/>
                <w:bCs/>
                <w:sz w:val="22"/>
                <w:szCs w:val="22"/>
                <w:lang w:val="pt-PT"/>
              </w:rPr>
              <w:t>Placebo</w:t>
            </w:r>
          </w:p>
          <w:p w14:paraId="75272442" w14:textId="77777777" w:rsidR="004462A0" w:rsidRPr="008912CF" w:rsidRDefault="00615769" w:rsidP="00F675CF">
            <w:pPr>
              <w:pStyle w:val="TableText"/>
              <w:widowControl w:val="0"/>
              <w:spacing w:line="240" w:lineRule="auto"/>
              <w:jc w:val="center"/>
              <w:rPr>
                <w:b/>
                <w:bCs/>
                <w:sz w:val="22"/>
                <w:szCs w:val="22"/>
                <w:lang w:val="pt-PT"/>
              </w:rPr>
            </w:pPr>
            <w:r w:rsidRPr="008912CF">
              <w:rPr>
                <w:b/>
                <w:bCs/>
                <w:sz w:val="22"/>
                <w:szCs w:val="22"/>
                <w:lang w:val="pt-PT"/>
              </w:rPr>
              <w:t>N =74</w:t>
            </w:r>
          </w:p>
        </w:tc>
        <w:tc>
          <w:tcPr>
            <w:tcW w:w="1255" w:type="dxa"/>
          </w:tcPr>
          <w:p w14:paraId="79A6F601" w14:textId="77777777" w:rsidR="004462A0" w:rsidRPr="008912CF" w:rsidRDefault="00615769" w:rsidP="00F675CF">
            <w:pPr>
              <w:pStyle w:val="TableText"/>
              <w:widowControl w:val="0"/>
              <w:spacing w:line="240" w:lineRule="auto"/>
              <w:jc w:val="center"/>
              <w:rPr>
                <w:b/>
                <w:bCs/>
                <w:sz w:val="22"/>
                <w:szCs w:val="22"/>
                <w:lang w:val="pt-PT"/>
              </w:rPr>
            </w:pPr>
            <w:r w:rsidRPr="008912CF">
              <w:rPr>
                <w:b/>
                <w:bCs/>
                <w:sz w:val="22"/>
                <w:szCs w:val="22"/>
                <w:lang w:val="pt-PT"/>
              </w:rPr>
              <w:t>Humira</w:t>
            </w:r>
          </w:p>
          <w:p w14:paraId="15387249" w14:textId="77777777" w:rsidR="004462A0" w:rsidRPr="008912CF" w:rsidRDefault="00615769" w:rsidP="00F675CF">
            <w:pPr>
              <w:pStyle w:val="TableText"/>
              <w:widowControl w:val="0"/>
              <w:spacing w:line="240" w:lineRule="auto"/>
              <w:jc w:val="center"/>
              <w:rPr>
                <w:b/>
                <w:bCs/>
                <w:sz w:val="22"/>
                <w:szCs w:val="22"/>
                <w:lang w:val="pt-PT"/>
              </w:rPr>
            </w:pPr>
            <w:r w:rsidRPr="008912CF">
              <w:rPr>
                <w:b/>
                <w:bCs/>
                <w:sz w:val="22"/>
                <w:szCs w:val="22"/>
                <w:lang w:val="pt-PT"/>
              </w:rPr>
              <w:t>80/40 mg</w:t>
            </w:r>
          </w:p>
          <w:p w14:paraId="31851FFB" w14:textId="77777777" w:rsidR="004462A0" w:rsidRPr="008912CF" w:rsidRDefault="00615769" w:rsidP="00F675CF">
            <w:pPr>
              <w:pStyle w:val="TableText"/>
              <w:widowControl w:val="0"/>
              <w:spacing w:line="240" w:lineRule="auto"/>
              <w:jc w:val="center"/>
              <w:rPr>
                <w:b/>
                <w:bCs/>
                <w:sz w:val="22"/>
                <w:szCs w:val="22"/>
                <w:lang w:val="pt-PT"/>
              </w:rPr>
            </w:pPr>
            <w:r w:rsidRPr="008912CF">
              <w:rPr>
                <w:b/>
                <w:bCs/>
                <w:sz w:val="22"/>
                <w:szCs w:val="22"/>
                <w:lang w:val="pt-PT"/>
              </w:rPr>
              <w:t>N =75</w:t>
            </w:r>
          </w:p>
        </w:tc>
        <w:tc>
          <w:tcPr>
            <w:tcW w:w="1176" w:type="dxa"/>
          </w:tcPr>
          <w:p w14:paraId="5B28A245" w14:textId="77777777" w:rsidR="004462A0" w:rsidRPr="008912CF" w:rsidRDefault="00615769" w:rsidP="00F675CF">
            <w:pPr>
              <w:pStyle w:val="TableText"/>
              <w:widowControl w:val="0"/>
              <w:spacing w:line="240" w:lineRule="auto"/>
              <w:jc w:val="center"/>
              <w:rPr>
                <w:b/>
                <w:bCs/>
                <w:sz w:val="22"/>
                <w:szCs w:val="22"/>
                <w:lang w:val="pt-PT"/>
              </w:rPr>
            </w:pPr>
            <w:r w:rsidRPr="008912CF">
              <w:rPr>
                <w:b/>
                <w:bCs/>
                <w:sz w:val="22"/>
                <w:szCs w:val="22"/>
                <w:lang w:val="pt-PT"/>
              </w:rPr>
              <w:t xml:space="preserve">Humira </w:t>
            </w:r>
          </w:p>
          <w:p w14:paraId="40E612D9" w14:textId="77777777" w:rsidR="004462A0" w:rsidRPr="008912CF" w:rsidRDefault="00615769" w:rsidP="00F675CF">
            <w:pPr>
              <w:pStyle w:val="TableText"/>
              <w:widowControl w:val="0"/>
              <w:spacing w:line="240" w:lineRule="auto"/>
              <w:jc w:val="center"/>
              <w:rPr>
                <w:b/>
                <w:bCs/>
                <w:sz w:val="22"/>
                <w:szCs w:val="22"/>
                <w:lang w:val="pt-PT"/>
              </w:rPr>
            </w:pPr>
            <w:r w:rsidRPr="008912CF">
              <w:rPr>
                <w:b/>
                <w:bCs/>
                <w:sz w:val="22"/>
                <w:szCs w:val="22"/>
                <w:lang w:val="pt-PT"/>
              </w:rPr>
              <w:t>160/80 mg N =76</w:t>
            </w:r>
          </w:p>
        </w:tc>
        <w:tc>
          <w:tcPr>
            <w:tcW w:w="1409" w:type="dxa"/>
          </w:tcPr>
          <w:p w14:paraId="556DEA3E" w14:textId="77777777" w:rsidR="004462A0" w:rsidRPr="008912CF" w:rsidRDefault="00615769" w:rsidP="00F675CF">
            <w:pPr>
              <w:pStyle w:val="TableText"/>
              <w:widowControl w:val="0"/>
              <w:spacing w:line="240" w:lineRule="auto"/>
              <w:jc w:val="center"/>
              <w:rPr>
                <w:b/>
                <w:bCs/>
                <w:sz w:val="22"/>
                <w:szCs w:val="22"/>
                <w:lang w:val="pt-PT"/>
              </w:rPr>
            </w:pPr>
            <w:r w:rsidRPr="008912CF">
              <w:rPr>
                <w:b/>
                <w:bCs/>
                <w:sz w:val="22"/>
                <w:szCs w:val="22"/>
                <w:lang w:val="pt-PT"/>
              </w:rPr>
              <w:t>Placebo</w:t>
            </w:r>
          </w:p>
          <w:p w14:paraId="74C03D70" w14:textId="77777777" w:rsidR="004462A0" w:rsidRPr="008912CF" w:rsidRDefault="00615769" w:rsidP="00F675CF">
            <w:pPr>
              <w:pStyle w:val="TableText"/>
              <w:widowControl w:val="0"/>
              <w:spacing w:line="240" w:lineRule="auto"/>
              <w:jc w:val="center"/>
              <w:rPr>
                <w:b/>
                <w:bCs/>
                <w:sz w:val="22"/>
                <w:szCs w:val="22"/>
                <w:lang w:val="pt-PT"/>
              </w:rPr>
            </w:pPr>
            <w:r w:rsidRPr="008912CF">
              <w:rPr>
                <w:b/>
                <w:bCs/>
                <w:sz w:val="22"/>
                <w:szCs w:val="22"/>
                <w:lang w:val="pt-PT"/>
              </w:rPr>
              <w:t>N =166</w:t>
            </w:r>
          </w:p>
        </w:tc>
        <w:tc>
          <w:tcPr>
            <w:tcW w:w="1840" w:type="dxa"/>
          </w:tcPr>
          <w:p w14:paraId="0E01E7A1" w14:textId="77777777" w:rsidR="004462A0" w:rsidRPr="008912CF" w:rsidRDefault="00615769" w:rsidP="00F675CF">
            <w:pPr>
              <w:pStyle w:val="TableText"/>
              <w:widowControl w:val="0"/>
              <w:spacing w:line="240" w:lineRule="auto"/>
              <w:jc w:val="center"/>
              <w:rPr>
                <w:b/>
                <w:bCs/>
                <w:sz w:val="22"/>
                <w:szCs w:val="22"/>
                <w:lang w:val="pt-PT"/>
              </w:rPr>
            </w:pPr>
            <w:r w:rsidRPr="008912CF">
              <w:rPr>
                <w:b/>
                <w:bCs/>
                <w:sz w:val="22"/>
                <w:szCs w:val="22"/>
                <w:lang w:val="pt-PT"/>
              </w:rPr>
              <w:t xml:space="preserve">Humira </w:t>
            </w:r>
          </w:p>
          <w:p w14:paraId="7A1FBB5D" w14:textId="77777777" w:rsidR="004462A0" w:rsidRPr="008912CF" w:rsidRDefault="00615769" w:rsidP="00F675CF">
            <w:pPr>
              <w:pStyle w:val="TableText"/>
              <w:widowControl w:val="0"/>
              <w:spacing w:line="240" w:lineRule="auto"/>
              <w:jc w:val="center"/>
              <w:rPr>
                <w:b/>
                <w:bCs/>
                <w:sz w:val="22"/>
                <w:szCs w:val="22"/>
                <w:lang w:val="pt-PT"/>
              </w:rPr>
            </w:pPr>
            <w:r w:rsidRPr="008912CF">
              <w:rPr>
                <w:b/>
                <w:bCs/>
                <w:sz w:val="22"/>
                <w:szCs w:val="22"/>
                <w:lang w:val="pt-PT"/>
              </w:rPr>
              <w:t>160/80 mg</w:t>
            </w:r>
          </w:p>
          <w:p w14:paraId="2E63E19D" w14:textId="77777777" w:rsidR="004462A0" w:rsidRPr="008912CF" w:rsidRDefault="00615769" w:rsidP="00F675CF">
            <w:pPr>
              <w:pStyle w:val="TableText"/>
              <w:widowControl w:val="0"/>
              <w:spacing w:line="240" w:lineRule="auto"/>
              <w:jc w:val="center"/>
              <w:rPr>
                <w:b/>
                <w:bCs/>
                <w:sz w:val="22"/>
                <w:szCs w:val="22"/>
                <w:lang w:val="pt-PT"/>
              </w:rPr>
            </w:pPr>
            <w:r w:rsidRPr="008912CF">
              <w:rPr>
                <w:b/>
                <w:bCs/>
                <w:sz w:val="22"/>
                <w:szCs w:val="22"/>
                <w:lang w:val="pt-PT"/>
              </w:rPr>
              <w:t>N =159</w:t>
            </w:r>
          </w:p>
        </w:tc>
      </w:tr>
      <w:tr w:rsidR="00A7162A" w14:paraId="72C73E4E" w14:textId="77777777" w:rsidTr="00F675CF">
        <w:trPr>
          <w:cantSplit/>
        </w:trPr>
        <w:tc>
          <w:tcPr>
            <w:tcW w:w="2249" w:type="dxa"/>
            <w:vAlign w:val="bottom"/>
          </w:tcPr>
          <w:p w14:paraId="6148A46E" w14:textId="77777777" w:rsidR="004462A0" w:rsidRPr="008912CF" w:rsidRDefault="00615769" w:rsidP="00F675CF">
            <w:pPr>
              <w:pStyle w:val="TableText"/>
              <w:widowControl w:val="0"/>
              <w:spacing w:line="240" w:lineRule="auto"/>
              <w:rPr>
                <w:sz w:val="22"/>
                <w:szCs w:val="22"/>
                <w:lang w:val="pt-PT"/>
              </w:rPr>
            </w:pPr>
            <w:r w:rsidRPr="008912CF">
              <w:rPr>
                <w:sz w:val="22"/>
                <w:szCs w:val="22"/>
                <w:lang w:val="pt-PT"/>
              </w:rPr>
              <w:t>Semana 4</w:t>
            </w:r>
          </w:p>
        </w:tc>
        <w:tc>
          <w:tcPr>
            <w:tcW w:w="1201" w:type="dxa"/>
            <w:vAlign w:val="bottom"/>
          </w:tcPr>
          <w:p w14:paraId="3AD9096C" w14:textId="77777777" w:rsidR="004462A0" w:rsidRPr="008912CF" w:rsidRDefault="004462A0" w:rsidP="00F675CF">
            <w:pPr>
              <w:pStyle w:val="TableText"/>
              <w:widowControl w:val="0"/>
              <w:spacing w:line="240" w:lineRule="auto"/>
              <w:rPr>
                <w:sz w:val="22"/>
                <w:szCs w:val="22"/>
                <w:lang w:val="pt-PT"/>
              </w:rPr>
            </w:pPr>
          </w:p>
        </w:tc>
        <w:tc>
          <w:tcPr>
            <w:tcW w:w="1255" w:type="dxa"/>
            <w:vAlign w:val="bottom"/>
          </w:tcPr>
          <w:p w14:paraId="334B3892" w14:textId="77777777" w:rsidR="004462A0" w:rsidRPr="008912CF" w:rsidRDefault="004462A0" w:rsidP="00F675CF">
            <w:pPr>
              <w:pStyle w:val="TableText"/>
              <w:widowControl w:val="0"/>
              <w:spacing w:line="240" w:lineRule="auto"/>
              <w:rPr>
                <w:sz w:val="22"/>
                <w:szCs w:val="22"/>
                <w:lang w:val="pt-PT"/>
              </w:rPr>
            </w:pPr>
          </w:p>
        </w:tc>
        <w:tc>
          <w:tcPr>
            <w:tcW w:w="1176" w:type="dxa"/>
            <w:vAlign w:val="bottom"/>
          </w:tcPr>
          <w:p w14:paraId="67C605B0" w14:textId="77777777" w:rsidR="004462A0" w:rsidRPr="008912CF" w:rsidRDefault="004462A0" w:rsidP="00F675CF">
            <w:pPr>
              <w:pStyle w:val="TableText"/>
              <w:widowControl w:val="0"/>
              <w:spacing w:line="240" w:lineRule="auto"/>
              <w:rPr>
                <w:sz w:val="22"/>
                <w:szCs w:val="22"/>
                <w:lang w:val="pt-PT"/>
              </w:rPr>
            </w:pPr>
          </w:p>
        </w:tc>
        <w:tc>
          <w:tcPr>
            <w:tcW w:w="1409" w:type="dxa"/>
            <w:vAlign w:val="bottom"/>
          </w:tcPr>
          <w:p w14:paraId="32D52A2C" w14:textId="77777777" w:rsidR="004462A0" w:rsidRPr="008912CF" w:rsidRDefault="004462A0" w:rsidP="00F675CF">
            <w:pPr>
              <w:pStyle w:val="TableText"/>
              <w:widowControl w:val="0"/>
              <w:spacing w:line="240" w:lineRule="auto"/>
              <w:rPr>
                <w:sz w:val="22"/>
                <w:szCs w:val="22"/>
                <w:lang w:val="pt-PT"/>
              </w:rPr>
            </w:pPr>
          </w:p>
        </w:tc>
        <w:tc>
          <w:tcPr>
            <w:tcW w:w="1840" w:type="dxa"/>
            <w:vAlign w:val="bottom"/>
          </w:tcPr>
          <w:p w14:paraId="36BFAFC7" w14:textId="77777777" w:rsidR="004462A0" w:rsidRPr="008912CF" w:rsidRDefault="004462A0" w:rsidP="00F675CF">
            <w:pPr>
              <w:pStyle w:val="TableText"/>
              <w:widowControl w:val="0"/>
              <w:spacing w:line="240" w:lineRule="auto"/>
              <w:rPr>
                <w:sz w:val="22"/>
                <w:szCs w:val="22"/>
                <w:lang w:val="pt-PT"/>
              </w:rPr>
            </w:pPr>
          </w:p>
        </w:tc>
      </w:tr>
      <w:tr w:rsidR="00A7162A" w14:paraId="527DADF2" w14:textId="77777777" w:rsidTr="00F675CF">
        <w:trPr>
          <w:cantSplit/>
        </w:trPr>
        <w:tc>
          <w:tcPr>
            <w:tcW w:w="2249" w:type="dxa"/>
            <w:vAlign w:val="bottom"/>
          </w:tcPr>
          <w:p w14:paraId="60AE2E72" w14:textId="77777777" w:rsidR="004462A0" w:rsidRPr="008912CF" w:rsidRDefault="00615769" w:rsidP="00F675CF">
            <w:pPr>
              <w:pStyle w:val="TableText"/>
              <w:widowControl w:val="0"/>
              <w:spacing w:line="240" w:lineRule="auto"/>
              <w:rPr>
                <w:sz w:val="22"/>
                <w:szCs w:val="22"/>
                <w:lang w:val="pt-PT"/>
              </w:rPr>
            </w:pPr>
            <w:r w:rsidRPr="008912CF">
              <w:rPr>
                <w:sz w:val="22"/>
                <w:szCs w:val="22"/>
                <w:lang w:val="pt-PT"/>
              </w:rPr>
              <w:t>Remissão clínica</w:t>
            </w:r>
          </w:p>
        </w:tc>
        <w:tc>
          <w:tcPr>
            <w:tcW w:w="1201" w:type="dxa"/>
            <w:vAlign w:val="bottom"/>
          </w:tcPr>
          <w:p w14:paraId="1538ABDA" w14:textId="77777777" w:rsidR="004462A0" w:rsidRPr="008912CF" w:rsidRDefault="00615769" w:rsidP="00F675CF">
            <w:pPr>
              <w:pStyle w:val="TableText"/>
              <w:widowControl w:val="0"/>
              <w:spacing w:line="240" w:lineRule="auto"/>
              <w:jc w:val="center"/>
              <w:rPr>
                <w:sz w:val="22"/>
                <w:szCs w:val="22"/>
                <w:lang w:val="pt-PT"/>
              </w:rPr>
            </w:pPr>
            <w:r w:rsidRPr="008912CF">
              <w:rPr>
                <w:sz w:val="22"/>
                <w:szCs w:val="22"/>
                <w:lang w:val="pt-PT"/>
              </w:rPr>
              <w:t>12%</w:t>
            </w:r>
          </w:p>
        </w:tc>
        <w:tc>
          <w:tcPr>
            <w:tcW w:w="1255" w:type="dxa"/>
            <w:vAlign w:val="bottom"/>
          </w:tcPr>
          <w:p w14:paraId="3A2574E8" w14:textId="77777777" w:rsidR="004462A0" w:rsidRPr="008912CF" w:rsidRDefault="00615769" w:rsidP="00F675CF">
            <w:pPr>
              <w:pStyle w:val="TableText"/>
              <w:widowControl w:val="0"/>
              <w:spacing w:line="240" w:lineRule="auto"/>
              <w:jc w:val="center"/>
              <w:rPr>
                <w:bCs/>
                <w:iCs/>
                <w:sz w:val="22"/>
                <w:szCs w:val="22"/>
                <w:lang w:val="pt-PT"/>
              </w:rPr>
            </w:pPr>
            <w:r w:rsidRPr="008912CF">
              <w:rPr>
                <w:bCs/>
                <w:iCs/>
                <w:sz w:val="22"/>
                <w:szCs w:val="22"/>
                <w:lang w:val="pt-PT"/>
              </w:rPr>
              <w:t>24%</w:t>
            </w:r>
          </w:p>
        </w:tc>
        <w:tc>
          <w:tcPr>
            <w:tcW w:w="1176" w:type="dxa"/>
            <w:vAlign w:val="bottom"/>
          </w:tcPr>
          <w:p w14:paraId="4A02B049" w14:textId="77777777" w:rsidR="004462A0" w:rsidRPr="008912CF" w:rsidRDefault="00615769" w:rsidP="00F675CF">
            <w:pPr>
              <w:pStyle w:val="TableText"/>
              <w:widowControl w:val="0"/>
              <w:spacing w:line="240" w:lineRule="auto"/>
              <w:jc w:val="center"/>
              <w:rPr>
                <w:bCs/>
                <w:iCs/>
                <w:sz w:val="22"/>
                <w:szCs w:val="22"/>
                <w:lang w:val="pt-PT"/>
              </w:rPr>
            </w:pPr>
            <w:r w:rsidRPr="008912CF">
              <w:rPr>
                <w:sz w:val="22"/>
                <w:szCs w:val="22"/>
                <w:lang w:val="pt-PT"/>
              </w:rPr>
              <w:t>36%</w:t>
            </w:r>
            <w:r w:rsidRPr="008912CF">
              <w:rPr>
                <w:sz w:val="22"/>
                <w:szCs w:val="22"/>
                <w:vertAlign w:val="superscript"/>
                <w:lang w:val="pt-PT"/>
              </w:rPr>
              <w:t>*</w:t>
            </w:r>
          </w:p>
        </w:tc>
        <w:tc>
          <w:tcPr>
            <w:tcW w:w="1409" w:type="dxa"/>
            <w:vAlign w:val="bottom"/>
          </w:tcPr>
          <w:p w14:paraId="6431CFB6" w14:textId="77777777" w:rsidR="004462A0" w:rsidRPr="008912CF" w:rsidRDefault="00615769" w:rsidP="00F675CF">
            <w:pPr>
              <w:pStyle w:val="TableText"/>
              <w:widowControl w:val="0"/>
              <w:spacing w:line="240" w:lineRule="auto"/>
              <w:jc w:val="center"/>
              <w:rPr>
                <w:sz w:val="22"/>
                <w:szCs w:val="22"/>
                <w:lang w:val="pt-PT"/>
              </w:rPr>
            </w:pPr>
            <w:r w:rsidRPr="008912CF">
              <w:rPr>
                <w:sz w:val="22"/>
                <w:szCs w:val="22"/>
                <w:lang w:val="pt-PT"/>
              </w:rPr>
              <w:t>7%</w:t>
            </w:r>
          </w:p>
        </w:tc>
        <w:tc>
          <w:tcPr>
            <w:tcW w:w="1840" w:type="dxa"/>
            <w:vAlign w:val="bottom"/>
          </w:tcPr>
          <w:p w14:paraId="65FA683C" w14:textId="77777777" w:rsidR="004462A0" w:rsidRPr="008912CF" w:rsidRDefault="00615769" w:rsidP="00F675CF">
            <w:pPr>
              <w:pStyle w:val="TableText"/>
              <w:widowControl w:val="0"/>
              <w:spacing w:line="240" w:lineRule="auto"/>
              <w:jc w:val="center"/>
              <w:rPr>
                <w:sz w:val="22"/>
                <w:szCs w:val="22"/>
                <w:lang w:val="pt-PT"/>
              </w:rPr>
            </w:pPr>
            <w:r w:rsidRPr="008912CF">
              <w:rPr>
                <w:sz w:val="22"/>
                <w:szCs w:val="22"/>
                <w:lang w:val="pt-PT"/>
              </w:rPr>
              <w:t>21%</w:t>
            </w:r>
            <w:r w:rsidRPr="008912CF">
              <w:rPr>
                <w:sz w:val="22"/>
                <w:szCs w:val="22"/>
                <w:vertAlign w:val="superscript"/>
                <w:lang w:val="pt-PT"/>
              </w:rPr>
              <w:t>*</w:t>
            </w:r>
          </w:p>
        </w:tc>
      </w:tr>
      <w:tr w:rsidR="00A7162A" w14:paraId="4FB39717" w14:textId="77777777" w:rsidTr="00F675CF">
        <w:trPr>
          <w:cantSplit/>
        </w:trPr>
        <w:tc>
          <w:tcPr>
            <w:tcW w:w="2249" w:type="dxa"/>
          </w:tcPr>
          <w:p w14:paraId="3A870930" w14:textId="77777777" w:rsidR="004462A0" w:rsidRPr="008912CF" w:rsidRDefault="00615769" w:rsidP="00F675CF">
            <w:pPr>
              <w:pStyle w:val="TableText"/>
              <w:widowControl w:val="0"/>
              <w:spacing w:line="240" w:lineRule="auto"/>
              <w:rPr>
                <w:sz w:val="22"/>
                <w:szCs w:val="22"/>
                <w:lang w:val="pt-PT"/>
              </w:rPr>
            </w:pPr>
            <w:r w:rsidRPr="008912CF">
              <w:rPr>
                <w:sz w:val="22"/>
                <w:szCs w:val="22"/>
                <w:lang w:val="pt-PT"/>
              </w:rPr>
              <w:t>Resposta clínica (CR-100)</w:t>
            </w:r>
          </w:p>
        </w:tc>
        <w:tc>
          <w:tcPr>
            <w:tcW w:w="1201" w:type="dxa"/>
          </w:tcPr>
          <w:p w14:paraId="69783BF8" w14:textId="77777777" w:rsidR="004462A0" w:rsidRPr="008912CF" w:rsidRDefault="00615769" w:rsidP="00F675CF">
            <w:pPr>
              <w:pStyle w:val="TableText"/>
              <w:widowControl w:val="0"/>
              <w:spacing w:line="240" w:lineRule="auto"/>
              <w:jc w:val="center"/>
              <w:rPr>
                <w:sz w:val="22"/>
                <w:szCs w:val="22"/>
                <w:lang w:val="pt-PT"/>
              </w:rPr>
            </w:pPr>
            <w:r w:rsidRPr="008912CF">
              <w:rPr>
                <w:sz w:val="22"/>
                <w:szCs w:val="22"/>
                <w:lang w:val="pt-PT"/>
              </w:rPr>
              <w:t>24%</w:t>
            </w:r>
          </w:p>
        </w:tc>
        <w:tc>
          <w:tcPr>
            <w:tcW w:w="1255" w:type="dxa"/>
          </w:tcPr>
          <w:p w14:paraId="44A18883" w14:textId="77777777" w:rsidR="004462A0" w:rsidRPr="008912CF" w:rsidRDefault="00615769" w:rsidP="00F675CF">
            <w:pPr>
              <w:pStyle w:val="TableText"/>
              <w:widowControl w:val="0"/>
              <w:spacing w:line="240" w:lineRule="auto"/>
              <w:jc w:val="center"/>
              <w:rPr>
                <w:sz w:val="22"/>
                <w:szCs w:val="22"/>
                <w:lang w:val="pt-PT"/>
              </w:rPr>
            </w:pPr>
            <w:r w:rsidRPr="008912CF">
              <w:rPr>
                <w:sz w:val="22"/>
                <w:szCs w:val="22"/>
                <w:lang w:val="pt-PT"/>
              </w:rPr>
              <w:t>37%</w:t>
            </w:r>
          </w:p>
        </w:tc>
        <w:tc>
          <w:tcPr>
            <w:tcW w:w="1176" w:type="dxa"/>
          </w:tcPr>
          <w:p w14:paraId="03FEE741" w14:textId="77777777" w:rsidR="004462A0" w:rsidRPr="008912CF" w:rsidRDefault="00615769" w:rsidP="00F675CF">
            <w:pPr>
              <w:pStyle w:val="TableText"/>
              <w:widowControl w:val="0"/>
              <w:spacing w:line="240" w:lineRule="auto"/>
              <w:jc w:val="center"/>
              <w:rPr>
                <w:sz w:val="22"/>
                <w:szCs w:val="22"/>
                <w:lang w:val="pt-PT"/>
              </w:rPr>
            </w:pPr>
            <w:r w:rsidRPr="008912CF">
              <w:rPr>
                <w:sz w:val="22"/>
                <w:szCs w:val="22"/>
                <w:lang w:val="pt-PT"/>
              </w:rPr>
              <w:t>49%</w:t>
            </w:r>
            <w:r w:rsidRPr="008912CF">
              <w:rPr>
                <w:sz w:val="22"/>
                <w:szCs w:val="22"/>
                <w:vertAlign w:val="superscript"/>
                <w:lang w:val="pt-PT"/>
              </w:rPr>
              <w:t>**</w:t>
            </w:r>
          </w:p>
        </w:tc>
        <w:tc>
          <w:tcPr>
            <w:tcW w:w="1409" w:type="dxa"/>
          </w:tcPr>
          <w:p w14:paraId="64FA5E09" w14:textId="77777777" w:rsidR="004462A0" w:rsidRPr="008912CF" w:rsidRDefault="00615769" w:rsidP="00F675CF">
            <w:pPr>
              <w:pStyle w:val="TableText"/>
              <w:widowControl w:val="0"/>
              <w:spacing w:line="240" w:lineRule="auto"/>
              <w:jc w:val="center"/>
              <w:rPr>
                <w:sz w:val="22"/>
                <w:szCs w:val="22"/>
                <w:lang w:val="pt-PT"/>
              </w:rPr>
            </w:pPr>
            <w:r w:rsidRPr="008912CF">
              <w:rPr>
                <w:sz w:val="22"/>
                <w:szCs w:val="22"/>
                <w:lang w:val="pt-PT"/>
              </w:rPr>
              <w:t>25%</w:t>
            </w:r>
          </w:p>
        </w:tc>
        <w:tc>
          <w:tcPr>
            <w:tcW w:w="1840" w:type="dxa"/>
          </w:tcPr>
          <w:p w14:paraId="73F66CA9" w14:textId="77777777" w:rsidR="004462A0" w:rsidRPr="008912CF" w:rsidRDefault="00615769" w:rsidP="00F675CF">
            <w:pPr>
              <w:pStyle w:val="TableText"/>
              <w:widowControl w:val="0"/>
              <w:spacing w:line="240" w:lineRule="auto"/>
              <w:jc w:val="center"/>
              <w:rPr>
                <w:sz w:val="22"/>
                <w:szCs w:val="22"/>
                <w:lang w:val="pt-PT"/>
              </w:rPr>
            </w:pPr>
            <w:r w:rsidRPr="008912CF">
              <w:rPr>
                <w:sz w:val="22"/>
                <w:szCs w:val="22"/>
                <w:lang w:val="pt-PT"/>
              </w:rPr>
              <w:t>38%</w:t>
            </w:r>
            <w:r w:rsidRPr="008912CF">
              <w:rPr>
                <w:sz w:val="22"/>
                <w:szCs w:val="22"/>
                <w:vertAlign w:val="superscript"/>
                <w:lang w:val="pt-PT"/>
              </w:rPr>
              <w:t>**</w:t>
            </w:r>
          </w:p>
        </w:tc>
      </w:tr>
      <w:tr w:rsidR="00A7162A" w14:paraId="22738AB6" w14:textId="77777777" w:rsidTr="00F675CF">
        <w:trPr>
          <w:cantSplit/>
        </w:trPr>
        <w:tc>
          <w:tcPr>
            <w:tcW w:w="9130" w:type="dxa"/>
            <w:gridSpan w:val="6"/>
            <w:tcBorders>
              <w:left w:val="nil"/>
              <w:bottom w:val="nil"/>
              <w:right w:val="nil"/>
            </w:tcBorders>
          </w:tcPr>
          <w:p w14:paraId="37B82566" w14:textId="77777777" w:rsidR="004462A0" w:rsidRPr="008912CF" w:rsidRDefault="00615769" w:rsidP="00F675CF">
            <w:pPr>
              <w:pStyle w:val="TableText"/>
              <w:widowControl w:val="0"/>
              <w:spacing w:line="240" w:lineRule="auto"/>
              <w:rPr>
                <w:sz w:val="22"/>
                <w:szCs w:val="22"/>
                <w:lang w:val="pt-PT"/>
              </w:rPr>
            </w:pPr>
            <w:r w:rsidRPr="008912CF">
              <w:rPr>
                <w:sz w:val="22"/>
                <w:szCs w:val="22"/>
                <w:lang w:val="pt-PT"/>
              </w:rPr>
              <w:t xml:space="preserve">Todos os valores-p são comparativos emparelhados entre Humira </w:t>
            </w:r>
            <w:r w:rsidRPr="008912CF">
              <w:rPr>
                <w:i/>
                <w:iCs/>
                <w:sz w:val="22"/>
                <w:szCs w:val="22"/>
                <w:lang w:val="pt-PT"/>
              </w:rPr>
              <w:t>versus</w:t>
            </w:r>
            <w:r w:rsidRPr="008912CF">
              <w:rPr>
                <w:sz w:val="22"/>
                <w:szCs w:val="22"/>
                <w:lang w:val="pt-PT"/>
              </w:rPr>
              <w:t xml:space="preserve"> placebo</w:t>
            </w:r>
          </w:p>
          <w:p w14:paraId="2E7F7DF1" w14:textId="77777777" w:rsidR="004462A0" w:rsidRPr="008912CF" w:rsidRDefault="00615769" w:rsidP="00F675CF">
            <w:pPr>
              <w:pStyle w:val="TableText"/>
              <w:widowControl w:val="0"/>
              <w:spacing w:line="240" w:lineRule="auto"/>
              <w:rPr>
                <w:sz w:val="22"/>
                <w:szCs w:val="22"/>
                <w:lang w:val="pt-PT"/>
              </w:rPr>
            </w:pPr>
            <w:r w:rsidRPr="008912CF">
              <w:rPr>
                <w:sz w:val="22"/>
                <w:szCs w:val="22"/>
                <w:vertAlign w:val="superscript"/>
                <w:lang w:val="pt-PT"/>
              </w:rPr>
              <w:t>*</w:t>
            </w:r>
            <w:r w:rsidRPr="008912CF">
              <w:rPr>
                <w:sz w:val="22"/>
                <w:szCs w:val="22"/>
                <w:lang w:val="pt-PT"/>
              </w:rPr>
              <w:tab/>
              <w:t>p &lt; 0,001</w:t>
            </w:r>
          </w:p>
          <w:p w14:paraId="6C0F4FC1" w14:textId="77777777" w:rsidR="004462A0" w:rsidRPr="008912CF" w:rsidRDefault="00615769" w:rsidP="00F675CF">
            <w:pPr>
              <w:pStyle w:val="TableText"/>
              <w:widowControl w:val="0"/>
              <w:spacing w:line="240" w:lineRule="auto"/>
              <w:rPr>
                <w:sz w:val="22"/>
                <w:szCs w:val="22"/>
                <w:lang w:val="pt-PT"/>
              </w:rPr>
            </w:pPr>
            <w:r w:rsidRPr="008912CF">
              <w:rPr>
                <w:sz w:val="22"/>
                <w:szCs w:val="22"/>
                <w:vertAlign w:val="superscript"/>
                <w:lang w:val="pt-PT"/>
              </w:rPr>
              <w:t>**</w:t>
            </w:r>
            <w:r w:rsidRPr="008912CF">
              <w:rPr>
                <w:sz w:val="22"/>
                <w:szCs w:val="22"/>
                <w:lang w:val="pt-PT"/>
              </w:rPr>
              <w:tab/>
              <w:t>p &lt; 0,01</w:t>
            </w:r>
          </w:p>
        </w:tc>
      </w:tr>
    </w:tbl>
    <w:p w14:paraId="459D3BAA" w14:textId="77777777" w:rsidR="004462A0" w:rsidRPr="008912CF" w:rsidRDefault="004462A0" w:rsidP="004462A0">
      <w:pPr>
        <w:pStyle w:val="EMEANormal"/>
        <w:keepNext/>
        <w:widowControl w:val="0"/>
        <w:rPr>
          <w:szCs w:val="22"/>
          <w:lang w:val="pt-PT"/>
        </w:rPr>
      </w:pPr>
    </w:p>
    <w:p w14:paraId="3C06B08A" w14:textId="77777777" w:rsidR="004462A0" w:rsidRPr="008912CF" w:rsidRDefault="00615769" w:rsidP="004462A0">
      <w:pPr>
        <w:pStyle w:val="EMEANormal"/>
        <w:rPr>
          <w:szCs w:val="22"/>
          <w:lang w:val="pt-PT"/>
        </w:rPr>
      </w:pPr>
      <w:r w:rsidRPr="008912CF">
        <w:rPr>
          <w:szCs w:val="22"/>
          <w:lang w:val="pt-PT"/>
        </w:rPr>
        <w:t>Foram observadas taxas de remissão similares para 160/80 mg e 80/40 mg em dose de indução na Semana 8 e os acontecimentos adversos foram mais frequentemente observados no grupo 160/80 mg.</w:t>
      </w:r>
    </w:p>
    <w:p w14:paraId="67AF786B" w14:textId="77777777" w:rsidR="004462A0" w:rsidRPr="008912CF" w:rsidRDefault="004462A0" w:rsidP="004462A0">
      <w:pPr>
        <w:pStyle w:val="EMEANormal"/>
        <w:rPr>
          <w:szCs w:val="22"/>
          <w:lang w:val="pt-PT"/>
        </w:rPr>
      </w:pPr>
    </w:p>
    <w:p w14:paraId="51AB9C5A" w14:textId="77777777" w:rsidR="004462A0" w:rsidRPr="008912CF" w:rsidRDefault="00615769" w:rsidP="004462A0">
      <w:pPr>
        <w:pStyle w:val="EMEANormal"/>
        <w:rPr>
          <w:szCs w:val="22"/>
          <w:lang w:val="pt-PT"/>
        </w:rPr>
      </w:pPr>
      <w:r w:rsidRPr="008912CF">
        <w:rPr>
          <w:szCs w:val="22"/>
          <w:lang w:val="pt-PT"/>
        </w:rPr>
        <w:t xml:space="preserve">No Estudo DC III, na Semana 4, 58% (499/854) dos doentes apresentaram resposta clínica e foram avaliados na análise primária. Dos doentes com resposta clínica na </w:t>
      </w:r>
      <w:r w:rsidR="001E16B7">
        <w:rPr>
          <w:szCs w:val="22"/>
          <w:lang w:val="pt-PT"/>
        </w:rPr>
        <w:t>S</w:t>
      </w:r>
      <w:r w:rsidRPr="008912CF">
        <w:rPr>
          <w:szCs w:val="22"/>
          <w:lang w:val="pt-PT"/>
        </w:rPr>
        <w:t>emana 4, 48</w:t>
      </w:r>
      <w:r w:rsidR="009343EF">
        <w:rPr>
          <w:szCs w:val="22"/>
          <w:lang w:val="pt-PT"/>
        </w:rPr>
        <w:t>%</w:t>
      </w:r>
      <w:r w:rsidRPr="008912CF">
        <w:rPr>
          <w:szCs w:val="22"/>
          <w:lang w:val="pt-PT"/>
        </w:rPr>
        <w:t xml:space="preserve"> foram previamente expostos a outros antagonistas-TNF. As taxas de manutenção da remissão e de resposta são apresentadas na Tabela </w:t>
      </w:r>
      <w:r w:rsidR="00E60C95">
        <w:rPr>
          <w:szCs w:val="22"/>
          <w:lang w:val="pt-PT"/>
        </w:rPr>
        <w:t>2</w:t>
      </w:r>
      <w:r w:rsidR="00E549E4">
        <w:rPr>
          <w:szCs w:val="22"/>
          <w:lang w:val="pt-PT"/>
        </w:rPr>
        <w:t>2</w:t>
      </w:r>
      <w:r w:rsidRPr="008912CF">
        <w:rPr>
          <w:szCs w:val="22"/>
          <w:lang w:val="pt-PT"/>
        </w:rPr>
        <w:t>. Os resultados de remissão clínica permaneceram relativamente constantes independentemente de uma exposição prévia a antagonistas de TNF.</w:t>
      </w:r>
    </w:p>
    <w:p w14:paraId="3F9A0FB9" w14:textId="77777777" w:rsidR="004462A0" w:rsidRPr="008912CF" w:rsidRDefault="004462A0" w:rsidP="004462A0">
      <w:pPr>
        <w:pStyle w:val="EMEANormal"/>
        <w:rPr>
          <w:szCs w:val="22"/>
          <w:lang w:val="pt-PT"/>
        </w:rPr>
      </w:pPr>
    </w:p>
    <w:p w14:paraId="1459FCAF" w14:textId="77777777" w:rsidR="004462A0" w:rsidRPr="008912CF" w:rsidRDefault="00615769" w:rsidP="004462A0">
      <w:pPr>
        <w:pStyle w:val="EMEANormal"/>
        <w:rPr>
          <w:szCs w:val="22"/>
          <w:lang w:val="pt-PT"/>
        </w:rPr>
      </w:pPr>
      <w:r w:rsidRPr="008912CF">
        <w:rPr>
          <w:szCs w:val="22"/>
          <w:lang w:val="pt-PT"/>
        </w:rPr>
        <w:t>As cirurgias e as hospitalizações relacionadas com a doença foram, do ponto de vista estatístico, significativamente reduzidas com adalimumab quando comparadas com placebo, na Semana 56.</w:t>
      </w:r>
    </w:p>
    <w:p w14:paraId="5B3F7C32" w14:textId="77777777" w:rsidR="004462A0" w:rsidRPr="008912CF" w:rsidRDefault="004462A0" w:rsidP="004462A0">
      <w:pPr>
        <w:pStyle w:val="EMEANormal"/>
        <w:keepNext/>
        <w:rPr>
          <w:szCs w:val="22"/>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8"/>
        <w:gridCol w:w="1624"/>
        <w:gridCol w:w="1980"/>
        <w:gridCol w:w="1821"/>
      </w:tblGrid>
      <w:tr w:rsidR="00A7162A" w14:paraId="68A19A7F" w14:textId="77777777" w:rsidTr="00F675CF">
        <w:trPr>
          <w:cantSplit/>
        </w:trPr>
        <w:tc>
          <w:tcPr>
            <w:tcW w:w="9179" w:type="dxa"/>
            <w:gridSpan w:val="4"/>
            <w:tcBorders>
              <w:top w:val="nil"/>
              <w:left w:val="nil"/>
              <w:right w:val="nil"/>
            </w:tcBorders>
          </w:tcPr>
          <w:p w14:paraId="2D8C73F7" w14:textId="77777777" w:rsidR="004462A0" w:rsidRPr="008912CF" w:rsidRDefault="00615769" w:rsidP="00F675CF">
            <w:pPr>
              <w:pStyle w:val="TableText"/>
              <w:spacing w:before="0" w:after="0" w:line="240" w:lineRule="auto"/>
              <w:jc w:val="center"/>
              <w:rPr>
                <w:b/>
                <w:bCs/>
                <w:sz w:val="22"/>
                <w:szCs w:val="22"/>
                <w:lang w:val="pt-PT"/>
              </w:rPr>
            </w:pPr>
            <w:r w:rsidRPr="008912CF">
              <w:rPr>
                <w:sz w:val="24"/>
                <w:szCs w:val="24"/>
                <w:lang w:val="pt-PT"/>
              </w:rPr>
              <w:br w:type="page"/>
            </w:r>
            <w:r w:rsidRPr="008912CF">
              <w:rPr>
                <w:sz w:val="24"/>
                <w:szCs w:val="24"/>
                <w:lang w:val="pt-PT"/>
              </w:rPr>
              <w:br w:type="page"/>
            </w:r>
            <w:r w:rsidRPr="008912CF">
              <w:rPr>
                <w:sz w:val="24"/>
                <w:szCs w:val="24"/>
                <w:lang w:val="pt-PT"/>
              </w:rPr>
              <w:br w:type="page"/>
            </w:r>
            <w:r w:rsidRPr="008912CF">
              <w:rPr>
                <w:sz w:val="24"/>
                <w:szCs w:val="24"/>
                <w:lang w:val="pt-PT"/>
              </w:rPr>
              <w:br w:type="page"/>
            </w:r>
            <w:r w:rsidRPr="008912CF">
              <w:rPr>
                <w:b/>
                <w:bCs/>
                <w:sz w:val="22"/>
                <w:szCs w:val="22"/>
                <w:lang w:val="pt-PT"/>
              </w:rPr>
              <w:t xml:space="preserve">Tabela </w:t>
            </w:r>
            <w:r w:rsidR="00E60C95">
              <w:rPr>
                <w:b/>
                <w:bCs/>
                <w:sz w:val="22"/>
                <w:szCs w:val="22"/>
                <w:lang w:val="pt-PT"/>
              </w:rPr>
              <w:t>2</w:t>
            </w:r>
            <w:r w:rsidR="00E549E4">
              <w:rPr>
                <w:b/>
                <w:bCs/>
                <w:sz w:val="22"/>
                <w:szCs w:val="22"/>
                <w:lang w:val="pt-PT"/>
              </w:rPr>
              <w:t>2</w:t>
            </w:r>
          </w:p>
          <w:p w14:paraId="0049907E" w14:textId="77777777" w:rsidR="004462A0" w:rsidRPr="008912CF" w:rsidRDefault="00615769" w:rsidP="00F675CF">
            <w:pPr>
              <w:pStyle w:val="TableText"/>
              <w:spacing w:before="0" w:after="0" w:line="240" w:lineRule="auto"/>
              <w:jc w:val="center"/>
              <w:rPr>
                <w:b/>
                <w:bCs/>
                <w:sz w:val="22"/>
                <w:szCs w:val="22"/>
                <w:lang w:val="pt-PT"/>
              </w:rPr>
            </w:pPr>
            <w:r w:rsidRPr="008912CF">
              <w:rPr>
                <w:b/>
                <w:bCs/>
                <w:sz w:val="22"/>
                <w:szCs w:val="22"/>
                <w:lang w:val="pt-PT"/>
              </w:rPr>
              <w:t>Manutenção da Remissão e Resposta Clínica</w:t>
            </w:r>
            <w:r w:rsidR="002B24DC">
              <w:rPr>
                <w:b/>
                <w:bCs/>
                <w:sz w:val="22"/>
                <w:szCs w:val="22"/>
                <w:lang w:val="pt-PT"/>
              </w:rPr>
              <w:t>s</w:t>
            </w:r>
          </w:p>
          <w:p w14:paraId="2138E95F" w14:textId="77777777" w:rsidR="004462A0" w:rsidRPr="008912CF" w:rsidRDefault="00615769" w:rsidP="00F675CF">
            <w:pPr>
              <w:pStyle w:val="TableText"/>
              <w:spacing w:before="0" w:after="0" w:line="240" w:lineRule="auto"/>
              <w:jc w:val="center"/>
              <w:rPr>
                <w:b/>
                <w:bCs/>
                <w:sz w:val="22"/>
                <w:szCs w:val="22"/>
                <w:lang w:val="pt-PT"/>
              </w:rPr>
            </w:pPr>
            <w:r w:rsidRPr="008912CF">
              <w:rPr>
                <w:b/>
                <w:bCs/>
                <w:sz w:val="22"/>
                <w:szCs w:val="22"/>
                <w:lang w:val="pt-PT"/>
              </w:rPr>
              <w:t>(Percentagem de Doentes)</w:t>
            </w:r>
          </w:p>
          <w:p w14:paraId="1F5DB2D0" w14:textId="77777777" w:rsidR="004462A0" w:rsidRPr="008912CF" w:rsidRDefault="004462A0" w:rsidP="00F675CF">
            <w:pPr>
              <w:pStyle w:val="TableText"/>
              <w:spacing w:before="0" w:after="0" w:line="240" w:lineRule="auto"/>
              <w:jc w:val="center"/>
              <w:rPr>
                <w:b/>
                <w:bCs/>
                <w:sz w:val="22"/>
                <w:szCs w:val="22"/>
                <w:lang w:val="pt-PT"/>
              </w:rPr>
            </w:pPr>
          </w:p>
        </w:tc>
      </w:tr>
      <w:tr w:rsidR="00A7162A" w14:paraId="6F6A1076" w14:textId="77777777" w:rsidTr="00F675CF">
        <w:tc>
          <w:tcPr>
            <w:tcW w:w="3641" w:type="dxa"/>
          </w:tcPr>
          <w:p w14:paraId="1AB0D82D" w14:textId="77777777" w:rsidR="004462A0" w:rsidRPr="008912CF" w:rsidRDefault="004462A0" w:rsidP="00F675CF">
            <w:pPr>
              <w:pStyle w:val="TableText"/>
              <w:spacing w:line="240" w:lineRule="auto"/>
              <w:rPr>
                <w:b/>
                <w:bCs/>
                <w:sz w:val="22"/>
                <w:szCs w:val="22"/>
                <w:lang w:val="pt-PT"/>
              </w:rPr>
            </w:pPr>
          </w:p>
        </w:tc>
        <w:tc>
          <w:tcPr>
            <w:tcW w:w="1659" w:type="dxa"/>
          </w:tcPr>
          <w:p w14:paraId="0D61E841" w14:textId="77777777" w:rsidR="004462A0" w:rsidRPr="008912CF" w:rsidRDefault="00615769" w:rsidP="00F675CF">
            <w:pPr>
              <w:pStyle w:val="TableText"/>
              <w:spacing w:line="240" w:lineRule="auto"/>
              <w:jc w:val="center"/>
              <w:rPr>
                <w:b/>
                <w:bCs/>
                <w:sz w:val="22"/>
                <w:szCs w:val="22"/>
                <w:lang w:val="pt-PT"/>
              </w:rPr>
            </w:pPr>
            <w:r w:rsidRPr="008912CF">
              <w:rPr>
                <w:b/>
                <w:bCs/>
                <w:sz w:val="22"/>
                <w:szCs w:val="22"/>
                <w:lang w:val="pt-PT"/>
              </w:rPr>
              <w:t>Placebo</w:t>
            </w:r>
          </w:p>
        </w:tc>
        <w:tc>
          <w:tcPr>
            <w:tcW w:w="2020" w:type="dxa"/>
          </w:tcPr>
          <w:p w14:paraId="0017B80B" w14:textId="77777777" w:rsidR="004462A0" w:rsidRPr="008912CF" w:rsidRDefault="00615769" w:rsidP="00F675CF">
            <w:pPr>
              <w:pStyle w:val="TableText"/>
              <w:spacing w:line="240" w:lineRule="auto"/>
              <w:jc w:val="center"/>
              <w:rPr>
                <w:b/>
                <w:bCs/>
                <w:sz w:val="22"/>
                <w:szCs w:val="22"/>
                <w:lang w:val="pt-PT"/>
              </w:rPr>
            </w:pPr>
            <w:r w:rsidRPr="008912CF">
              <w:rPr>
                <w:b/>
                <w:bCs/>
                <w:sz w:val="22"/>
                <w:szCs w:val="22"/>
                <w:lang w:val="pt-PT"/>
              </w:rPr>
              <w:t>40 mg Humira</w:t>
            </w:r>
            <w:r w:rsidRPr="008912CF">
              <w:rPr>
                <w:b/>
                <w:bCs/>
                <w:sz w:val="22"/>
                <w:szCs w:val="22"/>
                <w:lang w:val="pt-PT"/>
              </w:rPr>
              <w:br/>
              <w:t>em semanas alternadas</w:t>
            </w:r>
          </w:p>
        </w:tc>
        <w:tc>
          <w:tcPr>
            <w:tcW w:w="1859" w:type="dxa"/>
          </w:tcPr>
          <w:p w14:paraId="28FC3AD7" w14:textId="77777777" w:rsidR="004462A0" w:rsidRPr="008912CF" w:rsidRDefault="00615769" w:rsidP="00F675CF">
            <w:pPr>
              <w:pStyle w:val="TableText"/>
              <w:spacing w:line="240" w:lineRule="auto"/>
              <w:jc w:val="center"/>
              <w:rPr>
                <w:b/>
                <w:bCs/>
                <w:sz w:val="22"/>
                <w:szCs w:val="22"/>
                <w:lang w:val="pt-PT"/>
              </w:rPr>
            </w:pPr>
            <w:r w:rsidRPr="008912CF">
              <w:rPr>
                <w:b/>
                <w:bCs/>
                <w:sz w:val="22"/>
                <w:szCs w:val="22"/>
                <w:lang w:val="pt-PT"/>
              </w:rPr>
              <w:t>40 mg Humira</w:t>
            </w:r>
            <w:r w:rsidRPr="008912CF">
              <w:rPr>
                <w:b/>
                <w:bCs/>
                <w:sz w:val="22"/>
                <w:szCs w:val="22"/>
                <w:lang w:val="pt-PT"/>
              </w:rPr>
              <w:br/>
              <w:t>todas as semanas</w:t>
            </w:r>
          </w:p>
        </w:tc>
      </w:tr>
      <w:tr w:rsidR="00A7162A" w14:paraId="03FE1D9B" w14:textId="77777777" w:rsidTr="00F675CF">
        <w:tc>
          <w:tcPr>
            <w:tcW w:w="3641" w:type="dxa"/>
          </w:tcPr>
          <w:p w14:paraId="53067BD9" w14:textId="77777777" w:rsidR="004462A0" w:rsidRPr="008912CF" w:rsidRDefault="00615769" w:rsidP="00F675CF">
            <w:pPr>
              <w:pStyle w:val="TableText"/>
              <w:spacing w:line="240" w:lineRule="auto"/>
              <w:rPr>
                <w:b/>
                <w:bCs/>
                <w:sz w:val="22"/>
                <w:szCs w:val="22"/>
                <w:lang w:val="pt-PT"/>
              </w:rPr>
            </w:pPr>
            <w:r w:rsidRPr="008912CF">
              <w:rPr>
                <w:b/>
                <w:bCs/>
                <w:sz w:val="22"/>
                <w:szCs w:val="22"/>
                <w:lang w:val="pt-PT"/>
              </w:rPr>
              <w:t>Semana 26</w:t>
            </w:r>
          </w:p>
        </w:tc>
        <w:tc>
          <w:tcPr>
            <w:tcW w:w="1659" w:type="dxa"/>
          </w:tcPr>
          <w:p w14:paraId="3ACA0CC6" w14:textId="77777777" w:rsidR="004462A0" w:rsidRPr="008912CF" w:rsidRDefault="00615769" w:rsidP="00F675CF">
            <w:pPr>
              <w:pStyle w:val="TableText"/>
              <w:spacing w:line="240" w:lineRule="auto"/>
              <w:jc w:val="center"/>
              <w:rPr>
                <w:b/>
                <w:bCs/>
                <w:sz w:val="22"/>
                <w:szCs w:val="22"/>
                <w:lang w:val="pt-PT"/>
              </w:rPr>
            </w:pPr>
            <w:r w:rsidRPr="008912CF">
              <w:rPr>
                <w:b/>
                <w:bCs/>
                <w:sz w:val="22"/>
                <w:szCs w:val="22"/>
                <w:lang w:val="pt-PT"/>
              </w:rPr>
              <w:t>N =170</w:t>
            </w:r>
          </w:p>
        </w:tc>
        <w:tc>
          <w:tcPr>
            <w:tcW w:w="2020" w:type="dxa"/>
          </w:tcPr>
          <w:p w14:paraId="7458D2B5" w14:textId="77777777" w:rsidR="004462A0" w:rsidRPr="008912CF" w:rsidRDefault="00615769" w:rsidP="00F675CF">
            <w:pPr>
              <w:pStyle w:val="TableText"/>
              <w:spacing w:line="240" w:lineRule="auto"/>
              <w:jc w:val="center"/>
              <w:rPr>
                <w:b/>
                <w:bCs/>
                <w:sz w:val="22"/>
                <w:szCs w:val="22"/>
                <w:lang w:val="pt-PT"/>
              </w:rPr>
            </w:pPr>
            <w:r w:rsidRPr="008912CF">
              <w:rPr>
                <w:b/>
                <w:bCs/>
                <w:sz w:val="22"/>
                <w:szCs w:val="22"/>
                <w:lang w:val="pt-PT"/>
              </w:rPr>
              <w:t>N =172</w:t>
            </w:r>
          </w:p>
        </w:tc>
        <w:tc>
          <w:tcPr>
            <w:tcW w:w="1859" w:type="dxa"/>
          </w:tcPr>
          <w:p w14:paraId="0E984E3C" w14:textId="77777777" w:rsidR="004462A0" w:rsidRPr="008912CF" w:rsidRDefault="00615769" w:rsidP="00F675CF">
            <w:pPr>
              <w:pStyle w:val="TableText"/>
              <w:spacing w:line="240" w:lineRule="auto"/>
              <w:jc w:val="center"/>
              <w:rPr>
                <w:b/>
                <w:bCs/>
                <w:sz w:val="22"/>
                <w:szCs w:val="22"/>
                <w:lang w:val="pt-PT"/>
              </w:rPr>
            </w:pPr>
            <w:r w:rsidRPr="008912CF">
              <w:rPr>
                <w:b/>
                <w:bCs/>
                <w:sz w:val="22"/>
                <w:szCs w:val="22"/>
                <w:lang w:val="pt-PT"/>
              </w:rPr>
              <w:t>N =157</w:t>
            </w:r>
          </w:p>
        </w:tc>
      </w:tr>
      <w:tr w:rsidR="00A7162A" w14:paraId="1B7DFB02" w14:textId="77777777" w:rsidTr="00F675CF">
        <w:tc>
          <w:tcPr>
            <w:tcW w:w="3641" w:type="dxa"/>
          </w:tcPr>
          <w:p w14:paraId="46C27390" w14:textId="77777777" w:rsidR="004462A0" w:rsidRPr="008912CF" w:rsidRDefault="00615769" w:rsidP="00F675CF">
            <w:pPr>
              <w:pStyle w:val="TableText"/>
              <w:spacing w:line="240" w:lineRule="auto"/>
              <w:rPr>
                <w:sz w:val="22"/>
                <w:szCs w:val="22"/>
                <w:lang w:val="pt-PT"/>
              </w:rPr>
            </w:pPr>
            <w:r w:rsidRPr="008912CF">
              <w:rPr>
                <w:sz w:val="22"/>
                <w:szCs w:val="22"/>
                <w:lang w:val="pt-PT"/>
              </w:rPr>
              <w:t>Remissão clínica</w:t>
            </w:r>
          </w:p>
        </w:tc>
        <w:tc>
          <w:tcPr>
            <w:tcW w:w="1659" w:type="dxa"/>
          </w:tcPr>
          <w:p w14:paraId="2CD83441" w14:textId="77777777" w:rsidR="004462A0" w:rsidRPr="008912CF" w:rsidRDefault="00615769" w:rsidP="00F675CF">
            <w:pPr>
              <w:pStyle w:val="TableText"/>
              <w:spacing w:line="240" w:lineRule="auto"/>
              <w:jc w:val="center"/>
              <w:rPr>
                <w:sz w:val="22"/>
                <w:szCs w:val="22"/>
                <w:lang w:val="pt-PT"/>
              </w:rPr>
            </w:pPr>
            <w:r w:rsidRPr="008912CF">
              <w:rPr>
                <w:sz w:val="22"/>
                <w:szCs w:val="22"/>
                <w:lang w:val="pt-PT"/>
              </w:rPr>
              <w:t>17%</w:t>
            </w:r>
          </w:p>
        </w:tc>
        <w:tc>
          <w:tcPr>
            <w:tcW w:w="2020" w:type="dxa"/>
          </w:tcPr>
          <w:p w14:paraId="7D596C63" w14:textId="77777777" w:rsidR="004462A0" w:rsidRPr="008912CF" w:rsidRDefault="00615769" w:rsidP="00F675CF">
            <w:pPr>
              <w:pStyle w:val="TableText"/>
              <w:spacing w:line="240" w:lineRule="auto"/>
              <w:jc w:val="center"/>
              <w:rPr>
                <w:sz w:val="22"/>
                <w:szCs w:val="22"/>
                <w:lang w:val="pt-PT"/>
              </w:rPr>
            </w:pPr>
            <w:r w:rsidRPr="008912CF">
              <w:rPr>
                <w:sz w:val="22"/>
                <w:szCs w:val="22"/>
                <w:lang w:val="pt-PT"/>
              </w:rPr>
              <w:t>40%*</w:t>
            </w:r>
          </w:p>
        </w:tc>
        <w:tc>
          <w:tcPr>
            <w:tcW w:w="1859" w:type="dxa"/>
          </w:tcPr>
          <w:p w14:paraId="6AA01CCE" w14:textId="77777777" w:rsidR="004462A0" w:rsidRPr="008912CF" w:rsidRDefault="00615769" w:rsidP="00F675CF">
            <w:pPr>
              <w:pStyle w:val="TableText"/>
              <w:spacing w:line="240" w:lineRule="auto"/>
              <w:jc w:val="center"/>
              <w:rPr>
                <w:sz w:val="22"/>
                <w:szCs w:val="22"/>
                <w:lang w:val="pt-PT"/>
              </w:rPr>
            </w:pPr>
            <w:r w:rsidRPr="008912CF">
              <w:rPr>
                <w:sz w:val="22"/>
                <w:szCs w:val="22"/>
                <w:lang w:val="pt-PT"/>
              </w:rPr>
              <w:t>47%*</w:t>
            </w:r>
          </w:p>
        </w:tc>
      </w:tr>
      <w:tr w:rsidR="00A7162A" w14:paraId="66779748" w14:textId="77777777" w:rsidTr="00F675CF">
        <w:tc>
          <w:tcPr>
            <w:tcW w:w="3641" w:type="dxa"/>
          </w:tcPr>
          <w:p w14:paraId="4B132BFB" w14:textId="77777777" w:rsidR="004462A0" w:rsidRPr="008912CF" w:rsidRDefault="00615769" w:rsidP="00F675CF">
            <w:pPr>
              <w:pStyle w:val="TableText"/>
              <w:spacing w:line="240" w:lineRule="auto"/>
              <w:rPr>
                <w:sz w:val="22"/>
                <w:szCs w:val="22"/>
                <w:lang w:val="pt-PT"/>
              </w:rPr>
            </w:pPr>
            <w:r w:rsidRPr="008912CF">
              <w:rPr>
                <w:sz w:val="22"/>
                <w:szCs w:val="22"/>
                <w:lang w:val="pt-PT"/>
              </w:rPr>
              <w:t>Resposta clínica (CR-100)</w:t>
            </w:r>
          </w:p>
        </w:tc>
        <w:tc>
          <w:tcPr>
            <w:tcW w:w="1659" w:type="dxa"/>
          </w:tcPr>
          <w:p w14:paraId="398B1520" w14:textId="77777777" w:rsidR="004462A0" w:rsidRPr="008912CF" w:rsidRDefault="00615769" w:rsidP="00F675CF">
            <w:pPr>
              <w:pStyle w:val="TableText"/>
              <w:spacing w:line="240" w:lineRule="auto"/>
              <w:jc w:val="center"/>
              <w:rPr>
                <w:sz w:val="22"/>
                <w:szCs w:val="22"/>
                <w:lang w:val="pt-PT"/>
              </w:rPr>
            </w:pPr>
            <w:r w:rsidRPr="008912CF">
              <w:rPr>
                <w:sz w:val="22"/>
                <w:szCs w:val="22"/>
                <w:lang w:val="pt-PT"/>
              </w:rPr>
              <w:t>27%</w:t>
            </w:r>
          </w:p>
        </w:tc>
        <w:tc>
          <w:tcPr>
            <w:tcW w:w="2020" w:type="dxa"/>
          </w:tcPr>
          <w:p w14:paraId="27B63768" w14:textId="77777777" w:rsidR="004462A0" w:rsidRPr="008912CF" w:rsidRDefault="00615769" w:rsidP="00F675CF">
            <w:pPr>
              <w:pStyle w:val="TableText"/>
              <w:spacing w:line="240" w:lineRule="auto"/>
              <w:jc w:val="center"/>
              <w:rPr>
                <w:sz w:val="22"/>
                <w:szCs w:val="22"/>
                <w:lang w:val="pt-PT"/>
              </w:rPr>
            </w:pPr>
            <w:r w:rsidRPr="008912CF">
              <w:rPr>
                <w:sz w:val="22"/>
                <w:szCs w:val="22"/>
                <w:lang w:val="pt-PT"/>
              </w:rPr>
              <w:t>52%*</w:t>
            </w:r>
          </w:p>
        </w:tc>
        <w:tc>
          <w:tcPr>
            <w:tcW w:w="1859" w:type="dxa"/>
          </w:tcPr>
          <w:p w14:paraId="14784EE6" w14:textId="77777777" w:rsidR="004462A0" w:rsidRPr="008912CF" w:rsidRDefault="00615769" w:rsidP="00F675CF">
            <w:pPr>
              <w:pStyle w:val="TableText"/>
              <w:spacing w:line="240" w:lineRule="auto"/>
              <w:jc w:val="center"/>
              <w:rPr>
                <w:sz w:val="22"/>
                <w:szCs w:val="22"/>
                <w:lang w:val="pt-PT"/>
              </w:rPr>
            </w:pPr>
            <w:r w:rsidRPr="008912CF">
              <w:rPr>
                <w:sz w:val="22"/>
                <w:szCs w:val="22"/>
                <w:lang w:val="pt-PT"/>
              </w:rPr>
              <w:t>52%*</w:t>
            </w:r>
          </w:p>
        </w:tc>
      </w:tr>
      <w:tr w:rsidR="00A7162A" w14:paraId="36D3E8A0" w14:textId="77777777" w:rsidTr="00F675CF">
        <w:tc>
          <w:tcPr>
            <w:tcW w:w="3641" w:type="dxa"/>
          </w:tcPr>
          <w:p w14:paraId="14F39B2C" w14:textId="77777777" w:rsidR="004462A0" w:rsidRPr="008912CF" w:rsidRDefault="00615769" w:rsidP="00F675CF">
            <w:pPr>
              <w:pStyle w:val="TableText"/>
              <w:spacing w:line="240" w:lineRule="auto"/>
              <w:ind w:left="360"/>
              <w:rPr>
                <w:sz w:val="22"/>
                <w:szCs w:val="22"/>
                <w:lang w:val="pt-PT"/>
              </w:rPr>
            </w:pPr>
            <w:r w:rsidRPr="008912CF">
              <w:rPr>
                <w:sz w:val="22"/>
                <w:szCs w:val="22"/>
                <w:lang w:val="pt-PT"/>
              </w:rPr>
              <w:t>Doentes em remissão sem tratamento com esteroides em &gt;=90 dias</w:t>
            </w:r>
            <w:r w:rsidRPr="008912CF">
              <w:rPr>
                <w:sz w:val="22"/>
                <w:szCs w:val="22"/>
                <w:vertAlign w:val="superscript"/>
                <w:lang w:val="pt-PT"/>
              </w:rPr>
              <w:t>a</w:t>
            </w:r>
          </w:p>
        </w:tc>
        <w:tc>
          <w:tcPr>
            <w:tcW w:w="1659" w:type="dxa"/>
          </w:tcPr>
          <w:p w14:paraId="60949DAE" w14:textId="77777777" w:rsidR="004462A0" w:rsidRPr="008912CF" w:rsidRDefault="00615769" w:rsidP="00F675CF">
            <w:pPr>
              <w:pStyle w:val="TableText"/>
              <w:spacing w:line="240" w:lineRule="auto"/>
              <w:jc w:val="center"/>
              <w:rPr>
                <w:sz w:val="22"/>
                <w:szCs w:val="22"/>
                <w:lang w:val="pt-PT"/>
              </w:rPr>
            </w:pPr>
            <w:r w:rsidRPr="008912CF">
              <w:rPr>
                <w:sz w:val="22"/>
                <w:szCs w:val="22"/>
                <w:lang w:val="pt-PT"/>
              </w:rPr>
              <w:t>3% (2/66)</w:t>
            </w:r>
          </w:p>
        </w:tc>
        <w:tc>
          <w:tcPr>
            <w:tcW w:w="2020" w:type="dxa"/>
          </w:tcPr>
          <w:p w14:paraId="40720CFA" w14:textId="77777777" w:rsidR="004462A0" w:rsidRPr="008912CF" w:rsidRDefault="00615769" w:rsidP="00F675CF">
            <w:pPr>
              <w:pStyle w:val="TableText"/>
              <w:spacing w:line="240" w:lineRule="auto"/>
              <w:jc w:val="center"/>
              <w:rPr>
                <w:sz w:val="22"/>
                <w:szCs w:val="22"/>
                <w:lang w:val="pt-PT"/>
              </w:rPr>
            </w:pPr>
            <w:r w:rsidRPr="008912CF">
              <w:rPr>
                <w:sz w:val="22"/>
                <w:szCs w:val="22"/>
                <w:lang w:val="pt-PT"/>
              </w:rPr>
              <w:t>19% (11/58)**</w:t>
            </w:r>
          </w:p>
        </w:tc>
        <w:tc>
          <w:tcPr>
            <w:tcW w:w="1859" w:type="dxa"/>
          </w:tcPr>
          <w:p w14:paraId="7268BAD1" w14:textId="77777777" w:rsidR="004462A0" w:rsidRPr="008912CF" w:rsidRDefault="00615769" w:rsidP="00F675CF">
            <w:pPr>
              <w:pStyle w:val="TableText"/>
              <w:spacing w:line="240" w:lineRule="auto"/>
              <w:jc w:val="center"/>
              <w:rPr>
                <w:sz w:val="22"/>
                <w:szCs w:val="22"/>
                <w:lang w:val="pt-PT"/>
              </w:rPr>
            </w:pPr>
            <w:r w:rsidRPr="008912CF">
              <w:rPr>
                <w:sz w:val="22"/>
                <w:szCs w:val="22"/>
                <w:lang w:val="pt-PT"/>
              </w:rPr>
              <w:t>15% (11/74)**</w:t>
            </w:r>
          </w:p>
        </w:tc>
      </w:tr>
      <w:tr w:rsidR="00A7162A" w14:paraId="05A1BD19" w14:textId="77777777" w:rsidTr="00F675CF">
        <w:tc>
          <w:tcPr>
            <w:tcW w:w="3641" w:type="dxa"/>
          </w:tcPr>
          <w:p w14:paraId="7A900FF9" w14:textId="77777777" w:rsidR="004462A0" w:rsidRPr="008912CF" w:rsidRDefault="00615769" w:rsidP="00F675CF">
            <w:pPr>
              <w:pStyle w:val="TableText"/>
              <w:spacing w:line="240" w:lineRule="auto"/>
              <w:rPr>
                <w:b/>
                <w:bCs/>
                <w:sz w:val="22"/>
                <w:szCs w:val="22"/>
                <w:lang w:val="pt-PT"/>
              </w:rPr>
            </w:pPr>
            <w:r w:rsidRPr="008912CF">
              <w:rPr>
                <w:b/>
                <w:bCs/>
                <w:sz w:val="22"/>
                <w:szCs w:val="22"/>
                <w:lang w:val="pt-PT"/>
              </w:rPr>
              <w:t>Semana 56</w:t>
            </w:r>
          </w:p>
        </w:tc>
        <w:tc>
          <w:tcPr>
            <w:tcW w:w="1659" w:type="dxa"/>
          </w:tcPr>
          <w:p w14:paraId="03C1B919" w14:textId="77777777" w:rsidR="004462A0" w:rsidRPr="008912CF" w:rsidRDefault="00615769" w:rsidP="00F675CF">
            <w:pPr>
              <w:pStyle w:val="TableText"/>
              <w:spacing w:line="240" w:lineRule="auto"/>
              <w:jc w:val="center"/>
              <w:rPr>
                <w:b/>
                <w:bCs/>
                <w:sz w:val="22"/>
                <w:szCs w:val="22"/>
                <w:lang w:val="pt-PT"/>
              </w:rPr>
            </w:pPr>
            <w:r w:rsidRPr="008912CF">
              <w:rPr>
                <w:b/>
                <w:bCs/>
                <w:sz w:val="22"/>
                <w:szCs w:val="22"/>
                <w:lang w:val="pt-PT"/>
              </w:rPr>
              <w:t>N =170</w:t>
            </w:r>
          </w:p>
        </w:tc>
        <w:tc>
          <w:tcPr>
            <w:tcW w:w="2020" w:type="dxa"/>
          </w:tcPr>
          <w:p w14:paraId="39E6AE74" w14:textId="77777777" w:rsidR="004462A0" w:rsidRPr="008912CF" w:rsidRDefault="00615769" w:rsidP="00F675CF">
            <w:pPr>
              <w:pStyle w:val="TableText"/>
              <w:spacing w:line="240" w:lineRule="auto"/>
              <w:jc w:val="center"/>
              <w:rPr>
                <w:b/>
                <w:bCs/>
                <w:sz w:val="22"/>
                <w:szCs w:val="22"/>
                <w:lang w:val="pt-PT"/>
              </w:rPr>
            </w:pPr>
            <w:r w:rsidRPr="008912CF">
              <w:rPr>
                <w:b/>
                <w:bCs/>
                <w:sz w:val="22"/>
                <w:szCs w:val="22"/>
                <w:lang w:val="pt-PT"/>
              </w:rPr>
              <w:t>N =172</w:t>
            </w:r>
          </w:p>
        </w:tc>
        <w:tc>
          <w:tcPr>
            <w:tcW w:w="1859" w:type="dxa"/>
          </w:tcPr>
          <w:p w14:paraId="61BF5EB9" w14:textId="77777777" w:rsidR="004462A0" w:rsidRPr="008912CF" w:rsidRDefault="00615769" w:rsidP="00F675CF">
            <w:pPr>
              <w:pStyle w:val="TableText"/>
              <w:spacing w:line="240" w:lineRule="auto"/>
              <w:jc w:val="center"/>
              <w:rPr>
                <w:b/>
                <w:bCs/>
                <w:sz w:val="22"/>
                <w:szCs w:val="22"/>
                <w:lang w:val="pt-PT"/>
              </w:rPr>
            </w:pPr>
            <w:r w:rsidRPr="008912CF">
              <w:rPr>
                <w:b/>
                <w:bCs/>
                <w:sz w:val="22"/>
                <w:szCs w:val="22"/>
                <w:lang w:val="pt-PT"/>
              </w:rPr>
              <w:t>N =157</w:t>
            </w:r>
          </w:p>
        </w:tc>
      </w:tr>
      <w:tr w:rsidR="00A7162A" w14:paraId="6FB3320F" w14:textId="77777777" w:rsidTr="00F675CF">
        <w:tc>
          <w:tcPr>
            <w:tcW w:w="3641" w:type="dxa"/>
          </w:tcPr>
          <w:p w14:paraId="28E00C0D" w14:textId="77777777" w:rsidR="004462A0" w:rsidRPr="008912CF" w:rsidRDefault="00615769" w:rsidP="00F675CF">
            <w:pPr>
              <w:pStyle w:val="TableText"/>
              <w:spacing w:line="240" w:lineRule="auto"/>
              <w:rPr>
                <w:sz w:val="22"/>
                <w:szCs w:val="22"/>
                <w:lang w:val="pt-PT"/>
              </w:rPr>
            </w:pPr>
            <w:r w:rsidRPr="008912CF">
              <w:rPr>
                <w:sz w:val="22"/>
                <w:szCs w:val="22"/>
                <w:lang w:val="pt-PT"/>
              </w:rPr>
              <w:t>Remissão clínica</w:t>
            </w:r>
          </w:p>
        </w:tc>
        <w:tc>
          <w:tcPr>
            <w:tcW w:w="1659" w:type="dxa"/>
          </w:tcPr>
          <w:p w14:paraId="363B0964" w14:textId="77777777" w:rsidR="004462A0" w:rsidRPr="008912CF" w:rsidRDefault="00615769" w:rsidP="00F675CF">
            <w:pPr>
              <w:pStyle w:val="TableText"/>
              <w:spacing w:line="240" w:lineRule="auto"/>
              <w:jc w:val="center"/>
              <w:rPr>
                <w:sz w:val="22"/>
                <w:szCs w:val="22"/>
                <w:lang w:val="pt-PT"/>
              </w:rPr>
            </w:pPr>
            <w:r w:rsidRPr="008912CF">
              <w:rPr>
                <w:sz w:val="22"/>
                <w:szCs w:val="22"/>
                <w:lang w:val="pt-PT"/>
              </w:rPr>
              <w:t>12%</w:t>
            </w:r>
          </w:p>
        </w:tc>
        <w:tc>
          <w:tcPr>
            <w:tcW w:w="2020" w:type="dxa"/>
          </w:tcPr>
          <w:p w14:paraId="11E423C9" w14:textId="77777777" w:rsidR="004462A0" w:rsidRPr="008912CF" w:rsidRDefault="00615769" w:rsidP="00F675CF">
            <w:pPr>
              <w:pStyle w:val="TableText"/>
              <w:spacing w:line="240" w:lineRule="auto"/>
              <w:jc w:val="center"/>
              <w:rPr>
                <w:sz w:val="22"/>
                <w:szCs w:val="22"/>
                <w:lang w:val="pt-PT"/>
              </w:rPr>
            </w:pPr>
            <w:r w:rsidRPr="008912CF">
              <w:rPr>
                <w:sz w:val="22"/>
                <w:szCs w:val="22"/>
                <w:lang w:val="pt-PT"/>
              </w:rPr>
              <w:t>36%*</w:t>
            </w:r>
          </w:p>
        </w:tc>
        <w:tc>
          <w:tcPr>
            <w:tcW w:w="1859" w:type="dxa"/>
          </w:tcPr>
          <w:p w14:paraId="783DA36B" w14:textId="77777777" w:rsidR="004462A0" w:rsidRPr="008912CF" w:rsidRDefault="00615769" w:rsidP="00F675CF">
            <w:pPr>
              <w:pStyle w:val="TableText"/>
              <w:spacing w:line="240" w:lineRule="auto"/>
              <w:jc w:val="center"/>
              <w:rPr>
                <w:sz w:val="22"/>
                <w:szCs w:val="22"/>
                <w:lang w:val="pt-PT"/>
              </w:rPr>
            </w:pPr>
            <w:r w:rsidRPr="008912CF">
              <w:rPr>
                <w:sz w:val="22"/>
                <w:szCs w:val="22"/>
                <w:lang w:val="pt-PT"/>
              </w:rPr>
              <w:t>41%*</w:t>
            </w:r>
          </w:p>
        </w:tc>
      </w:tr>
      <w:tr w:rsidR="00A7162A" w14:paraId="69E56B08" w14:textId="77777777" w:rsidTr="00F675CF">
        <w:tc>
          <w:tcPr>
            <w:tcW w:w="3641" w:type="dxa"/>
          </w:tcPr>
          <w:p w14:paraId="489462C2" w14:textId="77777777" w:rsidR="004462A0" w:rsidRPr="008912CF" w:rsidRDefault="00615769" w:rsidP="00F675CF">
            <w:pPr>
              <w:pStyle w:val="TableText"/>
              <w:spacing w:line="240" w:lineRule="auto"/>
              <w:rPr>
                <w:sz w:val="22"/>
                <w:szCs w:val="22"/>
                <w:lang w:val="pt-PT"/>
              </w:rPr>
            </w:pPr>
            <w:r w:rsidRPr="008912CF">
              <w:rPr>
                <w:sz w:val="22"/>
                <w:szCs w:val="22"/>
                <w:lang w:val="pt-PT"/>
              </w:rPr>
              <w:t>Resposta clínica (CR-100)</w:t>
            </w:r>
          </w:p>
        </w:tc>
        <w:tc>
          <w:tcPr>
            <w:tcW w:w="1659" w:type="dxa"/>
          </w:tcPr>
          <w:p w14:paraId="7F9D894F" w14:textId="77777777" w:rsidR="004462A0" w:rsidRPr="008912CF" w:rsidRDefault="00615769" w:rsidP="00F675CF">
            <w:pPr>
              <w:pStyle w:val="TableText"/>
              <w:spacing w:line="240" w:lineRule="auto"/>
              <w:jc w:val="center"/>
              <w:rPr>
                <w:sz w:val="22"/>
                <w:szCs w:val="22"/>
                <w:lang w:val="pt-PT"/>
              </w:rPr>
            </w:pPr>
            <w:r w:rsidRPr="008912CF">
              <w:rPr>
                <w:sz w:val="22"/>
                <w:szCs w:val="22"/>
                <w:lang w:val="pt-PT"/>
              </w:rPr>
              <w:t>17%</w:t>
            </w:r>
          </w:p>
        </w:tc>
        <w:tc>
          <w:tcPr>
            <w:tcW w:w="2020" w:type="dxa"/>
          </w:tcPr>
          <w:p w14:paraId="59A99DEC" w14:textId="77777777" w:rsidR="004462A0" w:rsidRPr="008912CF" w:rsidRDefault="00615769" w:rsidP="00F675CF">
            <w:pPr>
              <w:pStyle w:val="TableText"/>
              <w:spacing w:line="240" w:lineRule="auto"/>
              <w:jc w:val="center"/>
              <w:rPr>
                <w:sz w:val="22"/>
                <w:szCs w:val="22"/>
                <w:lang w:val="pt-PT"/>
              </w:rPr>
            </w:pPr>
            <w:r w:rsidRPr="008912CF">
              <w:rPr>
                <w:sz w:val="22"/>
                <w:szCs w:val="22"/>
                <w:lang w:val="pt-PT"/>
              </w:rPr>
              <w:t>41%*</w:t>
            </w:r>
          </w:p>
        </w:tc>
        <w:tc>
          <w:tcPr>
            <w:tcW w:w="1859" w:type="dxa"/>
          </w:tcPr>
          <w:p w14:paraId="5B1C5B3F" w14:textId="77777777" w:rsidR="004462A0" w:rsidRPr="008912CF" w:rsidRDefault="00615769" w:rsidP="00F675CF">
            <w:pPr>
              <w:pStyle w:val="TableText"/>
              <w:spacing w:line="240" w:lineRule="auto"/>
              <w:jc w:val="center"/>
              <w:rPr>
                <w:sz w:val="22"/>
                <w:szCs w:val="22"/>
                <w:lang w:val="pt-PT"/>
              </w:rPr>
            </w:pPr>
            <w:r w:rsidRPr="008912CF">
              <w:rPr>
                <w:sz w:val="22"/>
                <w:szCs w:val="22"/>
                <w:lang w:val="pt-PT"/>
              </w:rPr>
              <w:t>48%*</w:t>
            </w:r>
          </w:p>
        </w:tc>
      </w:tr>
      <w:tr w:rsidR="00A7162A" w14:paraId="5F46FD96" w14:textId="77777777" w:rsidTr="00F675CF">
        <w:tc>
          <w:tcPr>
            <w:tcW w:w="3641" w:type="dxa"/>
          </w:tcPr>
          <w:p w14:paraId="2148085F" w14:textId="77777777" w:rsidR="004462A0" w:rsidRPr="008912CF" w:rsidRDefault="00615769" w:rsidP="00F675CF">
            <w:pPr>
              <w:pStyle w:val="TableText"/>
              <w:spacing w:line="240" w:lineRule="auto"/>
              <w:ind w:left="360"/>
              <w:rPr>
                <w:sz w:val="22"/>
                <w:szCs w:val="22"/>
                <w:lang w:val="pt-PT"/>
              </w:rPr>
            </w:pPr>
            <w:r w:rsidRPr="008912CF">
              <w:rPr>
                <w:sz w:val="22"/>
                <w:szCs w:val="22"/>
                <w:lang w:val="pt-PT"/>
              </w:rPr>
              <w:t>Doentes em remissão sem tratamento com esteroides em &gt;=90 dias</w:t>
            </w:r>
            <w:r w:rsidRPr="008912CF">
              <w:rPr>
                <w:sz w:val="22"/>
                <w:szCs w:val="22"/>
                <w:vertAlign w:val="superscript"/>
                <w:lang w:val="pt-PT"/>
              </w:rPr>
              <w:t>a</w:t>
            </w:r>
          </w:p>
        </w:tc>
        <w:tc>
          <w:tcPr>
            <w:tcW w:w="1659" w:type="dxa"/>
          </w:tcPr>
          <w:p w14:paraId="6375DEA7" w14:textId="77777777" w:rsidR="004462A0" w:rsidRPr="008912CF" w:rsidRDefault="00615769" w:rsidP="00F675CF">
            <w:pPr>
              <w:pStyle w:val="TableText"/>
              <w:spacing w:line="240" w:lineRule="auto"/>
              <w:jc w:val="center"/>
              <w:rPr>
                <w:sz w:val="22"/>
                <w:szCs w:val="22"/>
                <w:lang w:val="pt-PT"/>
              </w:rPr>
            </w:pPr>
            <w:r w:rsidRPr="008912CF">
              <w:rPr>
                <w:sz w:val="22"/>
                <w:szCs w:val="22"/>
                <w:lang w:val="pt-PT"/>
              </w:rPr>
              <w:t>5% (3/66)</w:t>
            </w:r>
          </w:p>
        </w:tc>
        <w:tc>
          <w:tcPr>
            <w:tcW w:w="2020" w:type="dxa"/>
          </w:tcPr>
          <w:p w14:paraId="3BEBAB13" w14:textId="77777777" w:rsidR="004462A0" w:rsidRPr="008912CF" w:rsidRDefault="00615769" w:rsidP="00F675CF">
            <w:pPr>
              <w:pStyle w:val="TableText"/>
              <w:spacing w:line="240" w:lineRule="auto"/>
              <w:jc w:val="center"/>
              <w:rPr>
                <w:sz w:val="22"/>
                <w:szCs w:val="22"/>
                <w:lang w:val="pt-PT"/>
              </w:rPr>
            </w:pPr>
            <w:r w:rsidRPr="008912CF">
              <w:rPr>
                <w:sz w:val="22"/>
                <w:szCs w:val="22"/>
                <w:lang w:val="pt-PT"/>
              </w:rPr>
              <w:t>29% (17/58)*</w:t>
            </w:r>
          </w:p>
        </w:tc>
        <w:tc>
          <w:tcPr>
            <w:tcW w:w="1859" w:type="dxa"/>
          </w:tcPr>
          <w:p w14:paraId="5B0EBBC9" w14:textId="77777777" w:rsidR="004462A0" w:rsidRPr="008912CF" w:rsidRDefault="00615769" w:rsidP="00F675CF">
            <w:pPr>
              <w:pStyle w:val="TableText"/>
              <w:spacing w:line="240" w:lineRule="auto"/>
              <w:jc w:val="center"/>
              <w:rPr>
                <w:sz w:val="22"/>
                <w:szCs w:val="22"/>
                <w:lang w:val="pt-PT"/>
              </w:rPr>
            </w:pPr>
            <w:r w:rsidRPr="008912CF">
              <w:rPr>
                <w:sz w:val="22"/>
                <w:szCs w:val="22"/>
                <w:lang w:val="pt-PT"/>
              </w:rPr>
              <w:t>20% (15/74)**</w:t>
            </w:r>
          </w:p>
        </w:tc>
      </w:tr>
      <w:tr w:rsidR="00A7162A" w14:paraId="7C351650" w14:textId="77777777" w:rsidTr="00F675CF">
        <w:trPr>
          <w:cantSplit/>
        </w:trPr>
        <w:tc>
          <w:tcPr>
            <w:tcW w:w="9179" w:type="dxa"/>
            <w:gridSpan w:val="4"/>
            <w:tcBorders>
              <w:left w:val="nil"/>
              <w:right w:val="nil"/>
            </w:tcBorders>
          </w:tcPr>
          <w:p w14:paraId="417B4F17" w14:textId="77777777" w:rsidR="004462A0" w:rsidRPr="008912CF" w:rsidRDefault="00615769" w:rsidP="00F675CF">
            <w:pPr>
              <w:pStyle w:val="TableText"/>
              <w:spacing w:line="240" w:lineRule="auto"/>
              <w:rPr>
                <w:sz w:val="22"/>
                <w:szCs w:val="22"/>
                <w:lang w:val="pt-PT"/>
              </w:rPr>
            </w:pPr>
            <w:r w:rsidRPr="008912CF">
              <w:rPr>
                <w:sz w:val="22"/>
                <w:szCs w:val="22"/>
                <w:lang w:val="pt-PT"/>
              </w:rPr>
              <w:t>*</w:t>
            </w:r>
            <w:r w:rsidRPr="008912CF">
              <w:rPr>
                <w:sz w:val="22"/>
                <w:szCs w:val="22"/>
                <w:lang w:val="pt-PT"/>
              </w:rPr>
              <w:tab/>
              <w:t xml:space="preserve">p &lt; 0,001 para Humira </w:t>
            </w:r>
            <w:r w:rsidRPr="008912CF">
              <w:rPr>
                <w:i/>
                <w:iCs/>
                <w:sz w:val="22"/>
                <w:szCs w:val="22"/>
                <w:lang w:val="pt-PT"/>
              </w:rPr>
              <w:t>versus</w:t>
            </w:r>
            <w:r w:rsidRPr="008912CF">
              <w:rPr>
                <w:sz w:val="22"/>
                <w:szCs w:val="22"/>
                <w:lang w:val="pt-PT"/>
              </w:rPr>
              <w:t xml:space="preserve"> placebo em proporções comparativas emparelhadas</w:t>
            </w:r>
          </w:p>
          <w:p w14:paraId="3295F8E7" w14:textId="77777777" w:rsidR="004462A0" w:rsidRPr="008912CF" w:rsidRDefault="00615769" w:rsidP="00F675CF">
            <w:pPr>
              <w:pStyle w:val="TableText"/>
              <w:spacing w:line="240" w:lineRule="auto"/>
              <w:rPr>
                <w:sz w:val="22"/>
                <w:szCs w:val="22"/>
                <w:lang w:val="pt-PT"/>
              </w:rPr>
            </w:pPr>
            <w:r w:rsidRPr="008912CF">
              <w:rPr>
                <w:sz w:val="22"/>
                <w:szCs w:val="22"/>
                <w:lang w:val="pt-PT"/>
              </w:rPr>
              <w:t>**</w:t>
            </w:r>
            <w:r w:rsidRPr="008912CF">
              <w:rPr>
                <w:sz w:val="22"/>
                <w:szCs w:val="22"/>
                <w:lang w:val="pt-PT"/>
              </w:rPr>
              <w:tab/>
            </w:r>
            <w:r w:rsidRPr="008912CF">
              <w:rPr>
                <w:sz w:val="22"/>
                <w:szCs w:val="22"/>
                <w:lang w:val="pt-PT"/>
              </w:rPr>
              <w:t xml:space="preserve">p &lt; 0,02 para Humira </w:t>
            </w:r>
            <w:r w:rsidRPr="008912CF">
              <w:rPr>
                <w:i/>
                <w:iCs/>
                <w:sz w:val="22"/>
                <w:szCs w:val="22"/>
                <w:lang w:val="pt-PT"/>
              </w:rPr>
              <w:t>versus</w:t>
            </w:r>
            <w:r w:rsidRPr="008912CF">
              <w:rPr>
                <w:sz w:val="22"/>
                <w:szCs w:val="22"/>
                <w:lang w:val="pt-PT"/>
              </w:rPr>
              <w:t xml:space="preserve"> placebo em proporções comparativas emparelhadas</w:t>
            </w:r>
          </w:p>
          <w:p w14:paraId="3E7A7DB3" w14:textId="77777777" w:rsidR="004462A0" w:rsidRPr="008912CF" w:rsidRDefault="00615769" w:rsidP="00F675CF">
            <w:pPr>
              <w:pStyle w:val="TableText"/>
              <w:spacing w:line="240" w:lineRule="auto"/>
              <w:rPr>
                <w:sz w:val="22"/>
                <w:szCs w:val="22"/>
                <w:lang w:val="pt-PT"/>
              </w:rPr>
            </w:pPr>
            <w:r w:rsidRPr="008912CF">
              <w:rPr>
                <w:sz w:val="22"/>
                <w:szCs w:val="22"/>
                <w:vertAlign w:val="superscript"/>
                <w:lang w:val="pt-PT"/>
              </w:rPr>
              <w:t>a</w:t>
            </w:r>
            <w:r w:rsidRPr="008912CF">
              <w:rPr>
                <w:sz w:val="22"/>
                <w:szCs w:val="22"/>
                <w:vertAlign w:val="superscript"/>
                <w:lang w:val="pt-PT"/>
              </w:rPr>
              <w:tab/>
            </w:r>
            <w:r w:rsidRPr="008912CF">
              <w:rPr>
                <w:sz w:val="22"/>
                <w:szCs w:val="22"/>
                <w:lang w:val="pt-PT"/>
              </w:rPr>
              <w:t>Dos que receberam corticosteroides no início do estudo</w:t>
            </w:r>
          </w:p>
        </w:tc>
      </w:tr>
    </w:tbl>
    <w:p w14:paraId="1BA5F68C" w14:textId="77777777" w:rsidR="004462A0" w:rsidRPr="008912CF" w:rsidRDefault="004462A0" w:rsidP="004462A0">
      <w:pPr>
        <w:pStyle w:val="EMEANormal"/>
        <w:rPr>
          <w:szCs w:val="22"/>
          <w:lang w:val="pt-PT"/>
        </w:rPr>
      </w:pPr>
    </w:p>
    <w:p w14:paraId="48F01986" w14:textId="77777777" w:rsidR="004462A0" w:rsidRPr="008912CF" w:rsidRDefault="00615769" w:rsidP="004462A0">
      <w:pPr>
        <w:pStyle w:val="EMEANormal"/>
        <w:rPr>
          <w:szCs w:val="22"/>
          <w:lang w:val="pt-PT"/>
        </w:rPr>
      </w:pPr>
      <w:r w:rsidRPr="008912CF">
        <w:rPr>
          <w:szCs w:val="22"/>
          <w:lang w:val="pt-PT"/>
        </w:rPr>
        <w:t>Entre os doentes que não responderam na Semana 4, 43</w:t>
      </w:r>
      <w:r w:rsidR="009343EF">
        <w:rPr>
          <w:szCs w:val="22"/>
          <w:lang w:val="pt-PT"/>
        </w:rPr>
        <w:t>%</w:t>
      </w:r>
      <w:r w:rsidRPr="008912CF">
        <w:rPr>
          <w:szCs w:val="22"/>
          <w:lang w:val="pt-PT"/>
        </w:rPr>
        <w:t xml:space="preserve"> dos doentes em manutenção com Humira responderam na </w:t>
      </w:r>
      <w:r w:rsidR="002B24DC">
        <w:rPr>
          <w:szCs w:val="22"/>
          <w:lang w:val="pt-PT"/>
        </w:rPr>
        <w:t>S</w:t>
      </w:r>
      <w:r w:rsidRPr="008912CF">
        <w:rPr>
          <w:szCs w:val="22"/>
          <w:lang w:val="pt-PT"/>
        </w:rPr>
        <w:t>emana 12 comparativamente com 30</w:t>
      </w:r>
      <w:r w:rsidR="009343EF">
        <w:rPr>
          <w:szCs w:val="22"/>
          <w:lang w:val="pt-PT"/>
        </w:rPr>
        <w:t>%</w:t>
      </w:r>
      <w:r w:rsidRPr="008912CF">
        <w:rPr>
          <w:szCs w:val="22"/>
          <w:lang w:val="pt-PT"/>
        </w:rPr>
        <w:t xml:space="preserve"> dos doentes em manutenção com placebo. Estes resultados sugerem que alguns doentes que não responderam na </w:t>
      </w:r>
      <w:r w:rsidR="002B24DC">
        <w:rPr>
          <w:szCs w:val="22"/>
          <w:lang w:val="pt-PT"/>
        </w:rPr>
        <w:t>S</w:t>
      </w:r>
      <w:r w:rsidRPr="008912CF">
        <w:rPr>
          <w:szCs w:val="22"/>
          <w:lang w:val="pt-PT"/>
        </w:rPr>
        <w:t xml:space="preserve">emana 4 beneficiam de uma terapêutica de manutenção continuada </w:t>
      </w:r>
      <w:r w:rsidR="00896C27">
        <w:rPr>
          <w:szCs w:val="22"/>
          <w:lang w:val="pt-PT"/>
        </w:rPr>
        <w:t>até à</w:t>
      </w:r>
      <w:r w:rsidRPr="008912CF">
        <w:rPr>
          <w:szCs w:val="22"/>
          <w:lang w:val="pt-PT"/>
        </w:rPr>
        <w:t xml:space="preserve"> </w:t>
      </w:r>
      <w:r w:rsidR="002B24DC">
        <w:rPr>
          <w:szCs w:val="22"/>
          <w:lang w:val="pt-PT"/>
        </w:rPr>
        <w:t>S</w:t>
      </w:r>
      <w:r w:rsidRPr="008912CF">
        <w:rPr>
          <w:szCs w:val="22"/>
          <w:lang w:val="pt-PT"/>
        </w:rPr>
        <w:t>emana 12. A terapêutica combinada para além das 12 semanas não resultou em significativamente mais respostas (ver secção 4.2).</w:t>
      </w:r>
    </w:p>
    <w:p w14:paraId="3E0FFA27" w14:textId="77777777" w:rsidR="004462A0" w:rsidRPr="008912CF" w:rsidRDefault="004462A0" w:rsidP="004462A0">
      <w:pPr>
        <w:jc w:val="both"/>
        <w:rPr>
          <w:bCs/>
          <w:sz w:val="22"/>
          <w:szCs w:val="22"/>
        </w:rPr>
      </w:pPr>
    </w:p>
    <w:p w14:paraId="05FC8728" w14:textId="77777777" w:rsidR="004462A0" w:rsidRPr="008912CF" w:rsidRDefault="00615769" w:rsidP="004462A0">
      <w:pPr>
        <w:jc w:val="both"/>
        <w:rPr>
          <w:sz w:val="22"/>
          <w:szCs w:val="22"/>
        </w:rPr>
      </w:pPr>
      <w:r w:rsidRPr="008912CF">
        <w:rPr>
          <w:bCs/>
          <w:sz w:val="22"/>
          <w:szCs w:val="22"/>
        </w:rPr>
        <w:t>117/276 doentes do Estudo DC I e 272/777 doentes dos Estudos DC II e III, medicados com adalimumab, foram seguidos pelo menos durante 3 anos em estudo aberto. 88 e 189 doentes, respetivamente, continuaram em remissão clínica. A resposta clínica (CR-100) foi mantida em 102 e 233 doentes, respetivamente.</w:t>
      </w:r>
    </w:p>
    <w:p w14:paraId="43D9CCF8" w14:textId="77777777" w:rsidR="004462A0" w:rsidRPr="008912CF" w:rsidRDefault="004462A0" w:rsidP="004462A0">
      <w:pPr>
        <w:jc w:val="both"/>
        <w:rPr>
          <w:sz w:val="22"/>
          <w:szCs w:val="22"/>
          <w:u w:val="single"/>
        </w:rPr>
      </w:pPr>
    </w:p>
    <w:p w14:paraId="15990BDB" w14:textId="77777777" w:rsidR="004462A0" w:rsidRPr="008912CF" w:rsidRDefault="00615769" w:rsidP="004462A0">
      <w:pPr>
        <w:jc w:val="both"/>
        <w:rPr>
          <w:sz w:val="22"/>
          <w:szCs w:val="22"/>
          <w:u w:val="single"/>
        </w:rPr>
      </w:pPr>
      <w:r w:rsidRPr="008912CF">
        <w:rPr>
          <w:i/>
          <w:sz w:val="22"/>
          <w:szCs w:val="22"/>
          <w:u w:val="single"/>
        </w:rPr>
        <w:t>Qualidade de vida</w:t>
      </w:r>
    </w:p>
    <w:p w14:paraId="2B688828" w14:textId="77777777" w:rsidR="004462A0" w:rsidRPr="008912CF" w:rsidRDefault="004462A0" w:rsidP="004462A0">
      <w:pPr>
        <w:rPr>
          <w:sz w:val="22"/>
          <w:szCs w:val="22"/>
        </w:rPr>
      </w:pPr>
    </w:p>
    <w:p w14:paraId="643C37D4" w14:textId="77777777" w:rsidR="004462A0" w:rsidRPr="008912CF" w:rsidRDefault="00615769" w:rsidP="004462A0">
      <w:pPr>
        <w:rPr>
          <w:sz w:val="22"/>
          <w:szCs w:val="22"/>
        </w:rPr>
      </w:pPr>
      <w:r w:rsidRPr="008912CF">
        <w:rPr>
          <w:sz w:val="22"/>
          <w:szCs w:val="22"/>
        </w:rPr>
        <w:t>No Estudo DC I e no Estudo DC II observou-se uma melhoria estatisticamente significativa na escala total do questionário da doença inflamatória intestinal específic</w:t>
      </w:r>
      <w:r w:rsidR="0053002F">
        <w:rPr>
          <w:sz w:val="22"/>
          <w:szCs w:val="22"/>
        </w:rPr>
        <w:t>o</w:t>
      </w:r>
      <w:r w:rsidRPr="008912CF">
        <w:rPr>
          <w:sz w:val="22"/>
          <w:szCs w:val="22"/>
        </w:rPr>
        <w:t xml:space="preserve"> da doença (IBDQ) na Semana 4 em doentes </w:t>
      </w:r>
      <w:r w:rsidR="0013275C">
        <w:rPr>
          <w:sz w:val="22"/>
          <w:szCs w:val="22"/>
        </w:rPr>
        <w:t>aleatorizado</w:t>
      </w:r>
      <w:r w:rsidRPr="008912CF">
        <w:rPr>
          <w:sz w:val="22"/>
          <w:szCs w:val="22"/>
        </w:rPr>
        <w:t>s para Humira 80/40 mg e 160/80 mg comparativamente com placebo e foi também observado nas Semanas 26 e 56 no Estudo DC III entre os grupos de tratamento com adalimumab comparativamente com o grupo placebo.</w:t>
      </w:r>
    </w:p>
    <w:p w14:paraId="75369CEC" w14:textId="77777777" w:rsidR="004462A0" w:rsidRPr="008912CF" w:rsidRDefault="004462A0" w:rsidP="004462A0">
      <w:pPr>
        <w:rPr>
          <w:b/>
          <w:bCs/>
          <w:sz w:val="22"/>
          <w:szCs w:val="22"/>
        </w:rPr>
      </w:pPr>
    </w:p>
    <w:p w14:paraId="4B2F12ED" w14:textId="77777777" w:rsidR="004462A0" w:rsidRPr="008912CF" w:rsidRDefault="00615769" w:rsidP="004462A0">
      <w:pPr>
        <w:rPr>
          <w:sz w:val="22"/>
          <w:szCs w:val="22"/>
        </w:rPr>
      </w:pPr>
      <w:r w:rsidRPr="008912CF">
        <w:rPr>
          <w:i/>
          <w:sz w:val="22"/>
          <w:szCs w:val="22"/>
        </w:rPr>
        <w:t>Colite ulcerosa</w:t>
      </w:r>
    </w:p>
    <w:p w14:paraId="67F5FE6A" w14:textId="77777777" w:rsidR="004462A0" w:rsidRPr="008912CF" w:rsidRDefault="004462A0" w:rsidP="004462A0">
      <w:pPr>
        <w:rPr>
          <w:sz w:val="22"/>
          <w:szCs w:val="22"/>
        </w:rPr>
      </w:pPr>
    </w:p>
    <w:p w14:paraId="632E0D0F" w14:textId="77777777" w:rsidR="004462A0" w:rsidRPr="008912CF" w:rsidRDefault="00615769" w:rsidP="004462A0">
      <w:pPr>
        <w:autoSpaceDE w:val="0"/>
        <w:autoSpaceDN w:val="0"/>
        <w:adjustRightInd w:val="0"/>
        <w:rPr>
          <w:sz w:val="22"/>
          <w:szCs w:val="22"/>
        </w:rPr>
      </w:pPr>
      <w:r w:rsidRPr="008912CF">
        <w:rPr>
          <w:sz w:val="22"/>
          <w:szCs w:val="22"/>
        </w:rPr>
        <w:t xml:space="preserve">A segurança e eficácia de doses múltiplas de Humira foram avaliadas em doentes adultos com colite ulcerosa ativa moderada a grave (pontuação Mayo de 6 a 12 com subpontuação endoscópica de 2 a 3) em estudos </w:t>
      </w:r>
      <w:r w:rsidR="0013275C">
        <w:rPr>
          <w:sz w:val="22"/>
          <w:szCs w:val="22"/>
        </w:rPr>
        <w:t>aleatorizado</w:t>
      </w:r>
      <w:r w:rsidRPr="008912CF">
        <w:rPr>
          <w:sz w:val="22"/>
          <w:szCs w:val="22"/>
        </w:rPr>
        <w:t>s, com dupla ocultação e controlados com placebo.</w:t>
      </w:r>
    </w:p>
    <w:p w14:paraId="78B7EF82" w14:textId="77777777" w:rsidR="004462A0" w:rsidRPr="008912CF" w:rsidRDefault="004462A0" w:rsidP="004462A0">
      <w:pPr>
        <w:rPr>
          <w:sz w:val="22"/>
          <w:szCs w:val="22"/>
        </w:rPr>
      </w:pPr>
    </w:p>
    <w:p w14:paraId="436C401E" w14:textId="77777777" w:rsidR="004462A0" w:rsidRPr="008912CF" w:rsidRDefault="00615769" w:rsidP="004462A0">
      <w:pPr>
        <w:rPr>
          <w:rFonts w:eastAsia="Arial Unicode MS"/>
          <w:sz w:val="22"/>
          <w:szCs w:val="22"/>
        </w:rPr>
      </w:pPr>
      <w:r w:rsidRPr="008912CF">
        <w:rPr>
          <w:sz w:val="22"/>
          <w:szCs w:val="22"/>
        </w:rPr>
        <w:t xml:space="preserve">No estudo UC-I, 390 doentes sem exposição prévia a antagonistas-TNF foram </w:t>
      </w:r>
      <w:r w:rsidR="0013275C">
        <w:rPr>
          <w:sz w:val="22"/>
          <w:szCs w:val="22"/>
        </w:rPr>
        <w:t>aleatorizado</w:t>
      </w:r>
      <w:r w:rsidRPr="008912CF">
        <w:rPr>
          <w:sz w:val="22"/>
          <w:szCs w:val="22"/>
        </w:rPr>
        <w:t>s para receberem ou tratamento com placebo nas Semanas 0 e 2, 160 mg de Humira na Semana 0, seguid</w:t>
      </w:r>
      <w:r>
        <w:rPr>
          <w:sz w:val="22"/>
          <w:szCs w:val="22"/>
        </w:rPr>
        <w:t>a</w:t>
      </w:r>
      <w:r w:rsidRPr="008912CF">
        <w:rPr>
          <w:sz w:val="22"/>
          <w:szCs w:val="22"/>
        </w:rPr>
        <w:t xml:space="preserve"> de 80 mg na Semana 2, ou 80 mg de Humira na Semana 0 seguid</w:t>
      </w:r>
      <w:r>
        <w:rPr>
          <w:sz w:val="22"/>
          <w:szCs w:val="22"/>
        </w:rPr>
        <w:t>a</w:t>
      </w:r>
      <w:r w:rsidRPr="008912CF">
        <w:rPr>
          <w:sz w:val="22"/>
          <w:szCs w:val="22"/>
        </w:rPr>
        <w:t xml:space="preserve"> de 40 mg na Semana 2. Ao fim de 2 Semanas, os doentes em ambos os braços de adalimumab receberam 40 mg em semanas alternadas. A remissão clínica (definida </w:t>
      </w:r>
      <w:r w:rsidR="00384E8F">
        <w:rPr>
          <w:sz w:val="22"/>
          <w:szCs w:val="22"/>
        </w:rPr>
        <w:t>por</w:t>
      </w:r>
      <w:r w:rsidRPr="008912CF">
        <w:rPr>
          <w:sz w:val="22"/>
          <w:szCs w:val="22"/>
        </w:rPr>
        <w:t xml:space="preserve"> pontuação Mayo </w:t>
      </w:r>
      <w:r w:rsidRPr="008912CF">
        <w:rPr>
          <w:rFonts w:eastAsia="Arial Unicode MS"/>
          <w:sz w:val="22"/>
          <w:szCs w:val="22"/>
        </w:rPr>
        <w:t>≤ </w:t>
      </w:r>
      <w:r w:rsidRPr="008912CF">
        <w:rPr>
          <w:rFonts w:eastAsia="Arial Unicode MS"/>
          <w:szCs w:val="22"/>
        </w:rPr>
        <w:t xml:space="preserve">2 sem subpontuação </w:t>
      </w:r>
      <w:r w:rsidRPr="008912CF">
        <w:rPr>
          <w:rFonts w:eastAsia="Arial Unicode MS"/>
          <w:sz w:val="22"/>
          <w:szCs w:val="22"/>
        </w:rPr>
        <w:t>&gt; 1) foi avaliada na Semana 8.</w:t>
      </w:r>
    </w:p>
    <w:p w14:paraId="2AE49C56" w14:textId="77777777" w:rsidR="004462A0" w:rsidRPr="008912CF" w:rsidRDefault="004462A0" w:rsidP="004462A0">
      <w:pPr>
        <w:rPr>
          <w:rFonts w:eastAsia="Arial Unicode MS"/>
          <w:sz w:val="22"/>
          <w:szCs w:val="22"/>
        </w:rPr>
      </w:pPr>
    </w:p>
    <w:p w14:paraId="1F4E5620" w14:textId="77777777" w:rsidR="004462A0" w:rsidRPr="008912CF" w:rsidRDefault="00615769" w:rsidP="004462A0">
      <w:pPr>
        <w:rPr>
          <w:rFonts w:eastAsia="Arial Unicode MS"/>
          <w:sz w:val="22"/>
          <w:szCs w:val="22"/>
        </w:rPr>
      </w:pPr>
      <w:r w:rsidRPr="008912CF">
        <w:rPr>
          <w:rFonts w:eastAsia="Arial Unicode MS"/>
          <w:sz w:val="22"/>
          <w:szCs w:val="22"/>
        </w:rPr>
        <w:t>No estudo UC-II, 248 doentes receberam 160 mg de Humira na Semana 0, 80 mg na Semana 2, seguida de 40 mg em semanas alternadas, e 246 doentes receberam placebo. Os resultados clínicos foram avaliados por indução da remissão na Semana 8 e manutenção de remissão na Semana 52.</w:t>
      </w:r>
    </w:p>
    <w:p w14:paraId="1B4ADD06" w14:textId="77777777" w:rsidR="004462A0" w:rsidRPr="008912CF" w:rsidRDefault="004462A0" w:rsidP="004462A0">
      <w:pPr>
        <w:rPr>
          <w:rFonts w:eastAsia="Arial Unicode MS"/>
          <w:sz w:val="22"/>
          <w:szCs w:val="22"/>
        </w:rPr>
      </w:pPr>
    </w:p>
    <w:p w14:paraId="220DE907" w14:textId="77777777" w:rsidR="004462A0" w:rsidRPr="008912CF" w:rsidRDefault="00615769" w:rsidP="004462A0">
      <w:pPr>
        <w:rPr>
          <w:rFonts w:eastAsia="Arial Unicode MS"/>
          <w:sz w:val="22"/>
          <w:szCs w:val="22"/>
        </w:rPr>
      </w:pPr>
      <w:r w:rsidRPr="008912CF">
        <w:rPr>
          <w:rFonts w:eastAsia="Arial Unicode MS"/>
          <w:sz w:val="22"/>
          <w:szCs w:val="22"/>
        </w:rPr>
        <w:t xml:space="preserve">Os doentes tratados com 160/80 mg de Humira </w:t>
      </w:r>
      <w:r w:rsidRPr="008912CF">
        <w:rPr>
          <w:rFonts w:eastAsia="Arial Unicode MS"/>
          <w:i/>
          <w:sz w:val="22"/>
          <w:szCs w:val="22"/>
        </w:rPr>
        <w:t>versus</w:t>
      </w:r>
      <w:r w:rsidRPr="008912CF">
        <w:rPr>
          <w:rFonts w:eastAsia="Arial Unicode MS"/>
          <w:sz w:val="22"/>
          <w:szCs w:val="22"/>
        </w:rPr>
        <w:t xml:space="preserve"> placebo atingiram a remissão clínica na Semana 8, de forma estatisticamente significativa, apresentando percentagens mais elevadas no estudo UC-I (18</w:t>
      </w:r>
      <w:r w:rsidR="009343EF">
        <w:rPr>
          <w:rFonts w:eastAsia="Arial Unicode MS"/>
          <w:sz w:val="22"/>
          <w:szCs w:val="22"/>
        </w:rPr>
        <w:t>%</w:t>
      </w:r>
      <w:r w:rsidRPr="008912CF">
        <w:rPr>
          <w:rFonts w:eastAsia="Arial Unicode MS"/>
          <w:sz w:val="22"/>
          <w:szCs w:val="22"/>
        </w:rPr>
        <w:t xml:space="preserve"> </w:t>
      </w:r>
      <w:r w:rsidRPr="008912CF">
        <w:rPr>
          <w:rFonts w:eastAsia="Arial Unicode MS"/>
          <w:i/>
          <w:sz w:val="22"/>
          <w:szCs w:val="22"/>
        </w:rPr>
        <w:t xml:space="preserve">versus </w:t>
      </w:r>
      <w:r w:rsidRPr="008912CF">
        <w:rPr>
          <w:rFonts w:eastAsia="Arial Unicode MS"/>
          <w:sz w:val="22"/>
          <w:szCs w:val="22"/>
        </w:rPr>
        <w:t>9</w:t>
      </w:r>
      <w:r w:rsidR="009343EF">
        <w:rPr>
          <w:rFonts w:eastAsia="Arial Unicode MS"/>
          <w:sz w:val="22"/>
          <w:szCs w:val="22"/>
        </w:rPr>
        <w:t>%</w:t>
      </w:r>
      <w:r w:rsidRPr="008912CF">
        <w:rPr>
          <w:rFonts w:eastAsia="Arial Unicode MS"/>
          <w:sz w:val="22"/>
          <w:szCs w:val="22"/>
        </w:rPr>
        <w:t xml:space="preserve"> respetivamente, p=0,031) e no estudo UC-II (17</w:t>
      </w:r>
      <w:r w:rsidR="009343EF">
        <w:rPr>
          <w:rFonts w:eastAsia="Arial Unicode MS"/>
          <w:sz w:val="22"/>
          <w:szCs w:val="22"/>
        </w:rPr>
        <w:t>%</w:t>
      </w:r>
      <w:r w:rsidRPr="008912CF">
        <w:rPr>
          <w:rFonts w:eastAsia="Arial Unicode MS"/>
          <w:sz w:val="22"/>
          <w:szCs w:val="22"/>
        </w:rPr>
        <w:t xml:space="preserve"> </w:t>
      </w:r>
      <w:r w:rsidRPr="008912CF">
        <w:rPr>
          <w:rFonts w:eastAsia="Arial Unicode MS"/>
          <w:i/>
          <w:sz w:val="22"/>
          <w:szCs w:val="22"/>
        </w:rPr>
        <w:t xml:space="preserve">versus </w:t>
      </w:r>
      <w:r w:rsidRPr="008912CF">
        <w:rPr>
          <w:rFonts w:eastAsia="Arial Unicode MS"/>
          <w:sz w:val="22"/>
          <w:szCs w:val="22"/>
        </w:rPr>
        <w:t>9</w:t>
      </w:r>
      <w:r w:rsidR="009343EF">
        <w:rPr>
          <w:rFonts w:eastAsia="Arial Unicode MS"/>
          <w:sz w:val="22"/>
          <w:szCs w:val="22"/>
        </w:rPr>
        <w:t>%</w:t>
      </w:r>
      <w:r w:rsidRPr="008912CF">
        <w:rPr>
          <w:rFonts w:eastAsia="Arial Unicode MS"/>
          <w:sz w:val="22"/>
          <w:szCs w:val="22"/>
        </w:rPr>
        <w:t xml:space="preserve"> respetivamente, p=0,019). No estudo UC-II, entre os doentes que receberam Humira e que atingiram a remissão na Semana 8, 21/41 (51</w:t>
      </w:r>
      <w:r w:rsidR="009343EF">
        <w:rPr>
          <w:rFonts w:eastAsia="Arial Unicode MS"/>
          <w:sz w:val="22"/>
          <w:szCs w:val="22"/>
        </w:rPr>
        <w:t>%</w:t>
      </w:r>
      <w:r w:rsidRPr="008912CF">
        <w:rPr>
          <w:rFonts w:eastAsia="Arial Unicode MS"/>
          <w:sz w:val="22"/>
          <w:szCs w:val="22"/>
        </w:rPr>
        <w:t>) atingiram a remissão na Semana 52.</w:t>
      </w:r>
    </w:p>
    <w:p w14:paraId="0AB16DB7" w14:textId="77777777" w:rsidR="004462A0" w:rsidRPr="008912CF" w:rsidRDefault="004462A0" w:rsidP="004462A0">
      <w:pPr>
        <w:rPr>
          <w:rFonts w:eastAsia="Arial Unicode MS"/>
          <w:sz w:val="22"/>
          <w:szCs w:val="22"/>
        </w:rPr>
      </w:pPr>
    </w:p>
    <w:p w14:paraId="53CAB37C" w14:textId="77777777" w:rsidR="004462A0" w:rsidRPr="008912CF" w:rsidRDefault="00615769" w:rsidP="004462A0">
      <w:pPr>
        <w:jc w:val="both"/>
        <w:rPr>
          <w:sz w:val="22"/>
          <w:szCs w:val="22"/>
        </w:rPr>
      </w:pPr>
      <w:r w:rsidRPr="008912CF">
        <w:rPr>
          <w:sz w:val="22"/>
          <w:szCs w:val="22"/>
        </w:rPr>
        <w:t xml:space="preserve">Os resultados da população global do estudo UC-II estão apresentados na Tabela </w:t>
      </w:r>
      <w:r w:rsidR="00444043">
        <w:rPr>
          <w:sz w:val="22"/>
          <w:szCs w:val="22"/>
        </w:rPr>
        <w:t>2</w:t>
      </w:r>
      <w:r w:rsidR="00E549E4">
        <w:rPr>
          <w:sz w:val="22"/>
          <w:szCs w:val="22"/>
        </w:rPr>
        <w:t>3</w:t>
      </w:r>
      <w:r w:rsidRPr="008912CF">
        <w:rPr>
          <w:sz w:val="22"/>
          <w:szCs w:val="22"/>
        </w:rPr>
        <w:t>.</w:t>
      </w:r>
    </w:p>
    <w:p w14:paraId="22548A1E" w14:textId="77777777" w:rsidR="004462A0" w:rsidRPr="008912CF" w:rsidRDefault="004462A0" w:rsidP="004462A0">
      <w:pPr>
        <w:jc w:val="both"/>
        <w:rPr>
          <w:sz w:val="22"/>
          <w:szCs w:val="22"/>
        </w:rPr>
      </w:pPr>
    </w:p>
    <w:p w14:paraId="20437439" w14:textId="77777777" w:rsidR="004462A0" w:rsidRPr="008912CF" w:rsidRDefault="00615769" w:rsidP="004462A0">
      <w:pPr>
        <w:pStyle w:val="TableText"/>
        <w:spacing w:before="0" w:after="0" w:line="240" w:lineRule="auto"/>
        <w:jc w:val="center"/>
        <w:rPr>
          <w:b/>
          <w:bCs/>
          <w:sz w:val="22"/>
          <w:szCs w:val="22"/>
          <w:lang w:val="pt-PT"/>
        </w:rPr>
      </w:pPr>
      <w:r w:rsidRPr="008912CF">
        <w:rPr>
          <w:b/>
          <w:bCs/>
          <w:sz w:val="22"/>
          <w:szCs w:val="22"/>
          <w:lang w:val="pt-PT"/>
        </w:rPr>
        <w:t xml:space="preserve">Tabela </w:t>
      </w:r>
      <w:r w:rsidR="00444043">
        <w:rPr>
          <w:b/>
          <w:bCs/>
          <w:sz w:val="22"/>
          <w:szCs w:val="22"/>
          <w:lang w:val="pt-PT"/>
        </w:rPr>
        <w:t>2</w:t>
      </w:r>
      <w:r w:rsidR="00E549E4">
        <w:rPr>
          <w:b/>
          <w:bCs/>
          <w:sz w:val="22"/>
          <w:szCs w:val="22"/>
          <w:lang w:val="pt-PT"/>
        </w:rPr>
        <w:t>3</w:t>
      </w:r>
    </w:p>
    <w:p w14:paraId="56CE6195" w14:textId="77777777" w:rsidR="004462A0" w:rsidRPr="008912CF" w:rsidRDefault="00615769" w:rsidP="004462A0">
      <w:pPr>
        <w:pStyle w:val="TableText"/>
        <w:spacing w:before="0" w:after="0" w:line="240" w:lineRule="auto"/>
        <w:jc w:val="center"/>
        <w:rPr>
          <w:b/>
          <w:bCs/>
          <w:sz w:val="22"/>
          <w:szCs w:val="22"/>
          <w:lang w:val="pt-PT"/>
        </w:rPr>
      </w:pPr>
      <w:r w:rsidRPr="008912CF">
        <w:rPr>
          <w:b/>
          <w:bCs/>
          <w:sz w:val="22"/>
          <w:szCs w:val="22"/>
          <w:lang w:val="pt-PT"/>
        </w:rPr>
        <w:t>Resposta Clínica, Remissão e Cicatrização da Mucosa no Estudo UC-II</w:t>
      </w:r>
    </w:p>
    <w:p w14:paraId="468277C8" w14:textId="77777777" w:rsidR="004462A0" w:rsidRPr="008912CF" w:rsidRDefault="00615769" w:rsidP="004462A0">
      <w:pPr>
        <w:pStyle w:val="TableText"/>
        <w:spacing w:before="0" w:after="0" w:line="240" w:lineRule="auto"/>
        <w:jc w:val="center"/>
        <w:rPr>
          <w:b/>
          <w:bCs/>
          <w:sz w:val="22"/>
          <w:szCs w:val="22"/>
          <w:lang w:val="pt-PT"/>
        </w:rPr>
      </w:pPr>
      <w:r w:rsidRPr="008912CF">
        <w:rPr>
          <w:b/>
          <w:bCs/>
          <w:sz w:val="22"/>
          <w:szCs w:val="22"/>
          <w:lang w:val="pt-PT"/>
        </w:rPr>
        <w:t>(Percentagem de Doentes)</w:t>
      </w:r>
    </w:p>
    <w:p w14:paraId="163A07A7" w14:textId="77777777" w:rsidR="004462A0" w:rsidRPr="008912CF" w:rsidRDefault="004462A0" w:rsidP="004462A0">
      <w:pPr>
        <w:pStyle w:val="TableText"/>
        <w:spacing w:line="240" w:lineRule="auto"/>
        <w:jc w:val="center"/>
        <w:rPr>
          <w:b/>
          <w:bCs/>
          <w:sz w:val="22"/>
          <w:szCs w:val="22"/>
          <w:lang w:val="pt-PT"/>
        </w:rPr>
      </w:pPr>
    </w:p>
    <w:tbl>
      <w:tblPr>
        <w:tblW w:w="4309" w:type="pct"/>
        <w:jc w:val="center"/>
        <w:tblCellMar>
          <w:top w:w="15" w:type="dxa"/>
          <w:left w:w="15" w:type="dxa"/>
          <w:bottom w:w="15" w:type="dxa"/>
          <w:right w:w="15" w:type="dxa"/>
        </w:tblCellMar>
        <w:tblLook w:val="0000" w:firstRow="0" w:lastRow="0" w:firstColumn="0" w:lastColumn="0" w:noHBand="0" w:noVBand="0"/>
      </w:tblPr>
      <w:tblGrid>
        <w:gridCol w:w="4604"/>
        <w:gridCol w:w="1007"/>
        <w:gridCol w:w="2206"/>
      </w:tblGrid>
      <w:tr w:rsidR="00A7162A" w14:paraId="6F2D54E0" w14:textId="77777777" w:rsidTr="00F675CF">
        <w:trPr>
          <w:jc w:val="center"/>
        </w:trPr>
        <w:tc>
          <w:tcPr>
            <w:tcW w:w="2945" w:type="pct"/>
            <w:tcBorders>
              <w:top w:val="single" w:sz="6" w:space="0" w:color="000000"/>
              <w:left w:val="nil"/>
              <w:bottom w:val="single" w:sz="6" w:space="0" w:color="000000"/>
              <w:right w:val="nil"/>
            </w:tcBorders>
          </w:tcPr>
          <w:p w14:paraId="4B445CE5" w14:textId="77777777" w:rsidR="004462A0" w:rsidRPr="008912CF" w:rsidRDefault="004462A0" w:rsidP="00F675CF">
            <w:pPr>
              <w:keepNext/>
              <w:jc w:val="center"/>
              <w:rPr>
                <w:rFonts w:eastAsia="Arial Unicode MS"/>
              </w:rPr>
            </w:pPr>
          </w:p>
        </w:tc>
        <w:tc>
          <w:tcPr>
            <w:tcW w:w="644" w:type="pct"/>
            <w:tcBorders>
              <w:top w:val="single" w:sz="6" w:space="0" w:color="000000"/>
              <w:left w:val="nil"/>
              <w:bottom w:val="single" w:sz="6" w:space="0" w:color="000000"/>
              <w:right w:val="nil"/>
            </w:tcBorders>
          </w:tcPr>
          <w:p w14:paraId="18ACA51F" w14:textId="77777777" w:rsidR="004462A0" w:rsidRPr="008912CF" w:rsidRDefault="00615769" w:rsidP="00F675CF">
            <w:pPr>
              <w:keepNext/>
              <w:jc w:val="center"/>
              <w:rPr>
                <w:rFonts w:eastAsia="Arial Unicode MS"/>
              </w:rPr>
            </w:pPr>
            <w:r w:rsidRPr="008912CF">
              <w:rPr>
                <w:rStyle w:val="bold4"/>
                <w:rFonts w:eastAsia="Arial Unicode MS"/>
                <w:sz w:val="22"/>
                <w:szCs w:val="22"/>
              </w:rPr>
              <w:t>Placebo</w:t>
            </w:r>
            <w:r w:rsidRPr="008912CF">
              <w:rPr>
                <w:rFonts w:eastAsia="Arial Unicode MS"/>
                <w:sz w:val="22"/>
                <w:szCs w:val="22"/>
              </w:rPr>
              <w:br/>
            </w:r>
          </w:p>
        </w:tc>
        <w:tc>
          <w:tcPr>
            <w:tcW w:w="1411" w:type="pct"/>
            <w:tcBorders>
              <w:top w:val="single" w:sz="6" w:space="0" w:color="000000"/>
              <w:left w:val="nil"/>
              <w:bottom w:val="single" w:sz="6" w:space="0" w:color="000000"/>
              <w:right w:val="nil"/>
            </w:tcBorders>
          </w:tcPr>
          <w:p w14:paraId="32474744" w14:textId="77777777" w:rsidR="004462A0" w:rsidRPr="008912CF" w:rsidRDefault="00615769" w:rsidP="00F675CF">
            <w:pPr>
              <w:keepNext/>
              <w:jc w:val="center"/>
              <w:rPr>
                <w:rStyle w:val="bold4"/>
                <w:rFonts w:eastAsia="Arial Unicode MS"/>
              </w:rPr>
            </w:pPr>
            <w:r w:rsidRPr="008912CF">
              <w:rPr>
                <w:rStyle w:val="bold4"/>
                <w:rFonts w:eastAsia="Arial Unicode MS"/>
                <w:sz w:val="22"/>
                <w:szCs w:val="22"/>
              </w:rPr>
              <w:t xml:space="preserve">Humira 40 mg </w:t>
            </w:r>
          </w:p>
          <w:p w14:paraId="7385CD99" w14:textId="77777777" w:rsidR="004462A0" w:rsidRPr="008912CF" w:rsidRDefault="00615769" w:rsidP="00F675CF">
            <w:pPr>
              <w:keepNext/>
              <w:jc w:val="center"/>
              <w:rPr>
                <w:rFonts w:eastAsia="Arial Unicode MS"/>
              </w:rPr>
            </w:pPr>
            <w:r w:rsidRPr="008912CF">
              <w:rPr>
                <w:rStyle w:val="bold4"/>
                <w:rFonts w:eastAsia="Arial Unicode MS"/>
                <w:sz w:val="22"/>
                <w:szCs w:val="22"/>
              </w:rPr>
              <w:t>em semanas alternadas</w:t>
            </w:r>
          </w:p>
        </w:tc>
      </w:tr>
      <w:tr w:rsidR="00A7162A" w14:paraId="7C7D707E" w14:textId="77777777" w:rsidTr="00F675CF">
        <w:trPr>
          <w:jc w:val="center"/>
        </w:trPr>
        <w:tc>
          <w:tcPr>
            <w:tcW w:w="2945" w:type="pct"/>
            <w:tcBorders>
              <w:top w:val="single" w:sz="6" w:space="0" w:color="000000"/>
              <w:left w:val="nil"/>
              <w:bottom w:val="single" w:sz="6" w:space="0" w:color="000000"/>
              <w:right w:val="nil"/>
            </w:tcBorders>
          </w:tcPr>
          <w:p w14:paraId="391DFD9A" w14:textId="77777777" w:rsidR="004462A0" w:rsidRPr="008912CF" w:rsidRDefault="00615769" w:rsidP="00F675CF">
            <w:pPr>
              <w:keepNext/>
              <w:rPr>
                <w:rFonts w:eastAsia="Arial Unicode MS"/>
              </w:rPr>
            </w:pPr>
            <w:r w:rsidRPr="008912CF">
              <w:rPr>
                <w:rFonts w:eastAsia="Arial Unicode MS"/>
                <w:sz w:val="22"/>
                <w:szCs w:val="22"/>
              </w:rPr>
              <w:t>Semana 52</w:t>
            </w:r>
          </w:p>
        </w:tc>
        <w:tc>
          <w:tcPr>
            <w:tcW w:w="644" w:type="pct"/>
            <w:tcBorders>
              <w:top w:val="single" w:sz="6" w:space="0" w:color="000000"/>
              <w:left w:val="nil"/>
              <w:bottom w:val="single" w:sz="6" w:space="0" w:color="000000"/>
              <w:right w:val="nil"/>
            </w:tcBorders>
          </w:tcPr>
          <w:p w14:paraId="4E96C9E5" w14:textId="77777777" w:rsidR="004462A0" w:rsidRPr="008912CF" w:rsidRDefault="00615769" w:rsidP="00F675CF">
            <w:pPr>
              <w:keepNext/>
              <w:jc w:val="center"/>
              <w:rPr>
                <w:rStyle w:val="bold4"/>
                <w:rFonts w:eastAsia="Arial Unicode MS"/>
              </w:rPr>
            </w:pPr>
            <w:r w:rsidRPr="008912CF">
              <w:rPr>
                <w:rStyle w:val="bold4"/>
                <w:rFonts w:eastAsia="Arial Unicode MS"/>
                <w:sz w:val="22"/>
                <w:szCs w:val="22"/>
              </w:rPr>
              <w:t>N=246</w:t>
            </w:r>
          </w:p>
        </w:tc>
        <w:tc>
          <w:tcPr>
            <w:tcW w:w="1411" w:type="pct"/>
            <w:tcBorders>
              <w:top w:val="single" w:sz="6" w:space="0" w:color="000000"/>
              <w:left w:val="nil"/>
              <w:bottom w:val="single" w:sz="6" w:space="0" w:color="000000"/>
              <w:right w:val="nil"/>
            </w:tcBorders>
          </w:tcPr>
          <w:p w14:paraId="09CC44F0" w14:textId="77777777" w:rsidR="004462A0" w:rsidRPr="008912CF" w:rsidRDefault="00615769" w:rsidP="00F675CF">
            <w:pPr>
              <w:keepNext/>
              <w:jc w:val="center"/>
              <w:rPr>
                <w:rStyle w:val="bold4"/>
                <w:rFonts w:eastAsia="Arial Unicode MS"/>
              </w:rPr>
            </w:pPr>
            <w:r w:rsidRPr="008912CF">
              <w:rPr>
                <w:rStyle w:val="bold4"/>
                <w:rFonts w:eastAsia="Arial Unicode MS"/>
                <w:sz w:val="22"/>
                <w:szCs w:val="22"/>
              </w:rPr>
              <w:t>N=248</w:t>
            </w:r>
          </w:p>
        </w:tc>
      </w:tr>
      <w:tr w:rsidR="00A7162A" w14:paraId="7790172D" w14:textId="77777777" w:rsidTr="00F675CF">
        <w:trPr>
          <w:jc w:val="center"/>
        </w:trPr>
        <w:tc>
          <w:tcPr>
            <w:tcW w:w="2945" w:type="pct"/>
            <w:tcBorders>
              <w:top w:val="nil"/>
              <w:left w:val="nil"/>
              <w:right w:val="nil"/>
            </w:tcBorders>
          </w:tcPr>
          <w:p w14:paraId="735192A6" w14:textId="77777777" w:rsidR="004462A0" w:rsidRPr="008912CF" w:rsidRDefault="00615769" w:rsidP="00F675CF">
            <w:pPr>
              <w:keepNext/>
              <w:rPr>
                <w:rFonts w:eastAsia="Arial Unicode MS"/>
              </w:rPr>
            </w:pPr>
            <w:r w:rsidRPr="008912CF">
              <w:rPr>
                <w:rFonts w:eastAsia="Arial Unicode MS"/>
                <w:sz w:val="22"/>
                <w:szCs w:val="22"/>
              </w:rPr>
              <w:t xml:space="preserve">  Resposta Clínica </w:t>
            </w:r>
          </w:p>
        </w:tc>
        <w:tc>
          <w:tcPr>
            <w:tcW w:w="644" w:type="pct"/>
            <w:tcBorders>
              <w:top w:val="nil"/>
              <w:left w:val="nil"/>
              <w:right w:val="nil"/>
            </w:tcBorders>
          </w:tcPr>
          <w:p w14:paraId="1B73D455" w14:textId="77777777" w:rsidR="004462A0" w:rsidRPr="008912CF" w:rsidRDefault="00615769" w:rsidP="00F675CF">
            <w:pPr>
              <w:keepNext/>
              <w:jc w:val="center"/>
              <w:rPr>
                <w:rFonts w:eastAsia="Arial Unicode MS"/>
              </w:rPr>
            </w:pPr>
            <w:r w:rsidRPr="008912CF">
              <w:rPr>
                <w:rFonts w:eastAsia="Arial Unicode MS"/>
                <w:sz w:val="22"/>
                <w:szCs w:val="22"/>
              </w:rPr>
              <w:t>18</w:t>
            </w:r>
            <w:r w:rsidR="009343EF">
              <w:rPr>
                <w:rFonts w:eastAsia="Arial Unicode MS"/>
                <w:sz w:val="22"/>
                <w:szCs w:val="22"/>
              </w:rPr>
              <w:t>%</w:t>
            </w:r>
            <w:r w:rsidRPr="008912CF">
              <w:rPr>
                <w:rFonts w:eastAsia="Arial Unicode MS"/>
                <w:sz w:val="22"/>
                <w:szCs w:val="22"/>
              </w:rPr>
              <w:t xml:space="preserve"> </w:t>
            </w:r>
          </w:p>
        </w:tc>
        <w:tc>
          <w:tcPr>
            <w:tcW w:w="1411" w:type="pct"/>
            <w:tcBorders>
              <w:top w:val="nil"/>
              <w:left w:val="nil"/>
              <w:right w:val="nil"/>
            </w:tcBorders>
          </w:tcPr>
          <w:p w14:paraId="45A57541" w14:textId="77777777" w:rsidR="004462A0" w:rsidRPr="008912CF" w:rsidRDefault="00615769" w:rsidP="00F675CF">
            <w:pPr>
              <w:keepNext/>
              <w:jc w:val="center"/>
              <w:rPr>
                <w:rFonts w:eastAsia="Arial Unicode MS"/>
              </w:rPr>
            </w:pPr>
            <w:r w:rsidRPr="008912CF">
              <w:rPr>
                <w:rFonts w:eastAsia="Arial Unicode MS"/>
                <w:sz w:val="22"/>
                <w:szCs w:val="22"/>
              </w:rPr>
              <w:t xml:space="preserve">   30</w:t>
            </w:r>
            <w:r w:rsidR="009343EF">
              <w:rPr>
                <w:rFonts w:eastAsia="Arial Unicode MS"/>
                <w:sz w:val="22"/>
                <w:szCs w:val="22"/>
              </w:rPr>
              <w:t>%</w:t>
            </w:r>
            <w:r w:rsidRPr="008912CF">
              <w:rPr>
                <w:rFonts w:eastAsia="Arial Unicode MS"/>
                <w:sz w:val="22"/>
                <w:szCs w:val="22"/>
              </w:rPr>
              <w:t>*</w:t>
            </w:r>
          </w:p>
        </w:tc>
      </w:tr>
      <w:tr w:rsidR="00A7162A" w14:paraId="5CE9EDE3" w14:textId="77777777" w:rsidTr="00F675CF">
        <w:trPr>
          <w:jc w:val="center"/>
        </w:trPr>
        <w:tc>
          <w:tcPr>
            <w:tcW w:w="2945" w:type="pct"/>
            <w:tcBorders>
              <w:top w:val="nil"/>
              <w:left w:val="nil"/>
              <w:right w:val="nil"/>
            </w:tcBorders>
          </w:tcPr>
          <w:p w14:paraId="6DD60E02" w14:textId="77777777" w:rsidR="004462A0" w:rsidRPr="008912CF" w:rsidRDefault="00615769" w:rsidP="00F675CF">
            <w:pPr>
              <w:keepNext/>
              <w:rPr>
                <w:rFonts w:eastAsia="Arial Unicode MS"/>
              </w:rPr>
            </w:pPr>
            <w:r w:rsidRPr="008912CF">
              <w:rPr>
                <w:rFonts w:eastAsia="Arial Unicode MS"/>
                <w:sz w:val="22"/>
                <w:szCs w:val="22"/>
              </w:rPr>
              <w:t xml:space="preserve">  Remissão Clínica</w:t>
            </w:r>
          </w:p>
        </w:tc>
        <w:tc>
          <w:tcPr>
            <w:tcW w:w="644" w:type="pct"/>
            <w:tcBorders>
              <w:top w:val="nil"/>
              <w:left w:val="nil"/>
              <w:right w:val="nil"/>
            </w:tcBorders>
          </w:tcPr>
          <w:p w14:paraId="47E45BE3" w14:textId="77777777" w:rsidR="004462A0" w:rsidRPr="008912CF" w:rsidRDefault="00615769" w:rsidP="00F675CF">
            <w:pPr>
              <w:keepNext/>
              <w:jc w:val="center"/>
              <w:rPr>
                <w:rFonts w:eastAsia="Arial Unicode MS"/>
              </w:rPr>
            </w:pPr>
            <w:r w:rsidRPr="008912CF">
              <w:rPr>
                <w:rFonts w:eastAsia="Arial Unicode MS"/>
                <w:sz w:val="22"/>
                <w:szCs w:val="22"/>
              </w:rPr>
              <w:t>9</w:t>
            </w:r>
            <w:r w:rsidR="009343EF">
              <w:rPr>
                <w:rFonts w:eastAsia="Arial Unicode MS"/>
                <w:sz w:val="22"/>
                <w:szCs w:val="22"/>
              </w:rPr>
              <w:t>%</w:t>
            </w:r>
          </w:p>
        </w:tc>
        <w:tc>
          <w:tcPr>
            <w:tcW w:w="1411" w:type="pct"/>
            <w:tcBorders>
              <w:top w:val="nil"/>
              <w:left w:val="nil"/>
              <w:right w:val="nil"/>
            </w:tcBorders>
          </w:tcPr>
          <w:p w14:paraId="1EA5E25E" w14:textId="77777777" w:rsidR="004462A0" w:rsidRPr="008912CF" w:rsidRDefault="00615769" w:rsidP="00F675CF">
            <w:pPr>
              <w:keepNext/>
              <w:jc w:val="center"/>
              <w:rPr>
                <w:rFonts w:eastAsia="Arial Unicode MS"/>
              </w:rPr>
            </w:pPr>
            <w:r w:rsidRPr="008912CF">
              <w:rPr>
                <w:rFonts w:eastAsia="Arial Unicode MS"/>
                <w:sz w:val="22"/>
                <w:szCs w:val="22"/>
              </w:rPr>
              <w:t xml:space="preserve">   17</w:t>
            </w:r>
            <w:r w:rsidR="009343EF">
              <w:rPr>
                <w:rFonts w:eastAsia="Arial Unicode MS"/>
                <w:sz w:val="22"/>
                <w:szCs w:val="22"/>
              </w:rPr>
              <w:t>%</w:t>
            </w:r>
            <w:r w:rsidRPr="008912CF">
              <w:rPr>
                <w:rFonts w:eastAsia="Arial Unicode MS"/>
                <w:sz w:val="22"/>
                <w:szCs w:val="22"/>
              </w:rPr>
              <w:t>*</w:t>
            </w:r>
          </w:p>
        </w:tc>
      </w:tr>
      <w:tr w:rsidR="00A7162A" w14:paraId="65EFC5F3" w14:textId="77777777" w:rsidTr="00F675CF">
        <w:trPr>
          <w:jc w:val="center"/>
        </w:trPr>
        <w:tc>
          <w:tcPr>
            <w:tcW w:w="2945" w:type="pct"/>
            <w:tcBorders>
              <w:top w:val="nil"/>
              <w:left w:val="nil"/>
              <w:right w:val="nil"/>
            </w:tcBorders>
          </w:tcPr>
          <w:p w14:paraId="15581115" w14:textId="77777777" w:rsidR="004462A0" w:rsidRPr="008912CF" w:rsidRDefault="00615769" w:rsidP="00F675CF">
            <w:pPr>
              <w:keepNext/>
              <w:rPr>
                <w:rFonts w:eastAsia="Arial Unicode MS"/>
              </w:rPr>
            </w:pPr>
            <w:r w:rsidRPr="008912CF">
              <w:rPr>
                <w:rFonts w:eastAsia="Arial Unicode MS"/>
                <w:sz w:val="22"/>
                <w:szCs w:val="22"/>
              </w:rPr>
              <w:t xml:space="preserve">  Cicatrização da Mucosa </w:t>
            </w:r>
          </w:p>
        </w:tc>
        <w:tc>
          <w:tcPr>
            <w:tcW w:w="644" w:type="pct"/>
            <w:tcBorders>
              <w:top w:val="nil"/>
              <w:left w:val="nil"/>
              <w:right w:val="nil"/>
            </w:tcBorders>
          </w:tcPr>
          <w:p w14:paraId="6E941084" w14:textId="77777777" w:rsidR="004462A0" w:rsidRPr="008912CF" w:rsidRDefault="00615769" w:rsidP="00F675CF">
            <w:pPr>
              <w:keepNext/>
              <w:jc w:val="center"/>
              <w:rPr>
                <w:rFonts w:eastAsia="Arial Unicode MS"/>
              </w:rPr>
            </w:pPr>
            <w:r w:rsidRPr="008912CF">
              <w:rPr>
                <w:rFonts w:eastAsia="Arial Unicode MS"/>
                <w:sz w:val="22"/>
                <w:szCs w:val="22"/>
              </w:rPr>
              <w:t>15</w:t>
            </w:r>
            <w:r w:rsidR="009343EF">
              <w:rPr>
                <w:rFonts w:eastAsia="Arial Unicode MS"/>
                <w:sz w:val="22"/>
                <w:szCs w:val="22"/>
              </w:rPr>
              <w:t>%</w:t>
            </w:r>
          </w:p>
        </w:tc>
        <w:tc>
          <w:tcPr>
            <w:tcW w:w="1411" w:type="pct"/>
            <w:tcBorders>
              <w:top w:val="nil"/>
              <w:left w:val="nil"/>
              <w:right w:val="nil"/>
            </w:tcBorders>
          </w:tcPr>
          <w:p w14:paraId="414A9981" w14:textId="77777777" w:rsidR="004462A0" w:rsidRPr="008912CF" w:rsidRDefault="00615769" w:rsidP="00F675CF">
            <w:pPr>
              <w:keepNext/>
              <w:jc w:val="center"/>
              <w:rPr>
                <w:rFonts w:eastAsia="Arial Unicode MS"/>
              </w:rPr>
            </w:pPr>
            <w:r w:rsidRPr="008912CF">
              <w:rPr>
                <w:rFonts w:eastAsia="Arial Unicode MS"/>
                <w:sz w:val="22"/>
                <w:szCs w:val="22"/>
              </w:rPr>
              <w:t xml:space="preserve">   25</w:t>
            </w:r>
            <w:r w:rsidR="009343EF">
              <w:rPr>
                <w:rFonts w:eastAsia="Arial Unicode MS"/>
                <w:sz w:val="22"/>
                <w:szCs w:val="22"/>
              </w:rPr>
              <w:t>%</w:t>
            </w:r>
            <w:r w:rsidRPr="008912CF">
              <w:rPr>
                <w:rFonts w:eastAsia="Arial Unicode MS"/>
                <w:sz w:val="22"/>
                <w:szCs w:val="22"/>
              </w:rPr>
              <w:t>*</w:t>
            </w:r>
          </w:p>
        </w:tc>
      </w:tr>
      <w:tr w:rsidR="00A7162A" w14:paraId="2DD60ADE" w14:textId="77777777" w:rsidTr="00F675CF">
        <w:trPr>
          <w:jc w:val="center"/>
        </w:trPr>
        <w:tc>
          <w:tcPr>
            <w:tcW w:w="2945" w:type="pct"/>
            <w:tcBorders>
              <w:top w:val="nil"/>
              <w:left w:val="nil"/>
              <w:right w:val="nil"/>
            </w:tcBorders>
          </w:tcPr>
          <w:p w14:paraId="3A89DE2F" w14:textId="77777777" w:rsidR="004462A0" w:rsidRPr="008912CF" w:rsidRDefault="00615769" w:rsidP="00F675CF">
            <w:pPr>
              <w:keepNext/>
              <w:rPr>
                <w:rFonts w:eastAsia="Arial Unicode MS"/>
              </w:rPr>
            </w:pPr>
            <w:r w:rsidRPr="008912CF">
              <w:rPr>
                <w:rFonts w:eastAsia="Arial Unicode MS"/>
                <w:sz w:val="22"/>
                <w:szCs w:val="22"/>
              </w:rPr>
              <w:t xml:space="preserve">  Remissão sem esteroides </w:t>
            </w:r>
            <w:r w:rsidR="00384E8F">
              <w:rPr>
                <w:rFonts w:eastAsia="Arial Unicode MS"/>
                <w:sz w:val="22"/>
                <w:szCs w:val="22"/>
              </w:rPr>
              <w:t>por</w:t>
            </w:r>
            <w:r w:rsidRPr="008912CF">
              <w:rPr>
                <w:rFonts w:eastAsia="Arial Unicode MS"/>
                <w:sz w:val="22"/>
                <w:szCs w:val="22"/>
              </w:rPr>
              <w:t xml:space="preserve"> ≥ 90 dias</w:t>
            </w:r>
            <w:r w:rsidRPr="008912CF">
              <w:rPr>
                <w:sz w:val="22"/>
                <w:szCs w:val="22"/>
                <w:vertAlign w:val="superscript"/>
              </w:rPr>
              <w:t xml:space="preserve"> a</w:t>
            </w:r>
            <w:r w:rsidRPr="008912CF">
              <w:rPr>
                <w:rFonts w:eastAsia="Arial Unicode MS"/>
                <w:sz w:val="22"/>
                <w:szCs w:val="22"/>
              </w:rPr>
              <w:t xml:space="preserve"> </w:t>
            </w:r>
          </w:p>
        </w:tc>
        <w:tc>
          <w:tcPr>
            <w:tcW w:w="644" w:type="pct"/>
            <w:tcBorders>
              <w:top w:val="nil"/>
              <w:left w:val="nil"/>
              <w:right w:val="nil"/>
            </w:tcBorders>
          </w:tcPr>
          <w:p w14:paraId="561D81EC" w14:textId="77777777" w:rsidR="004462A0" w:rsidRPr="008912CF" w:rsidRDefault="00615769" w:rsidP="00F675CF">
            <w:pPr>
              <w:keepNext/>
              <w:jc w:val="center"/>
              <w:rPr>
                <w:rFonts w:eastAsia="Arial Unicode MS"/>
              </w:rPr>
            </w:pPr>
            <w:r w:rsidRPr="008912CF">
              <w:rPr>
                <w:rFonts w:eastAsia="Arial Unicode MS"/>
                <w:sz w:val="22"/>
                <w:szCs w:val="22"/>
              </w:rPr>
              <w:t>6</w:t>
            </w:r>
            <w:r w:rsidR="009343EF">
              <w:rPr>
                <w:rFonts w:eastAsia="Arial Unicode MS"/>
                <w:sz w:val="22"/>
                <w:szCs w:val="22"/>
              </w:rPr>
              <w:t>%</w:t>
            </w:r>
            <w:r w:rsidRPr="008912CF">
              <w:rPr>
                <w:rFonts w:eastAsia="Arial Unicode MS"/>
                <w:sz w:val="22"/>
                <w:szCs w:val="22"/>
              </w:rPr>
              <w:t xml:space="preserve"> </w:t>
            </w:r>
          </w:p>
          <w:p w14:paraId="450E1433" w14:textId="77777777" w:rsidR="004462A0" w:rsidRPr="008912CF" w:rsidRDefault="00615769" w:rsidP="00F675CF">
            <w:pPr>
              <w:keepNext/>
              <w:jc w:val="center"/>
              <w:rPr>
                <w:rFonts w:eastAsia="Arial Unicode MS"/>
              </w:rPr>
            </w:pPr>
            <w:r w:rsidRPr="008912CF">
              <w:rPr>
                <w:rFonts w:eastAsia="Arial Unicode MS"/>
                <w:sz w:val="22"/>
                <w:szCs w:val="22"/>
              </w:rPr>
              <w:t>(N=140)</w:t>
            </w:r>
          </w:p>
        </w:tc>
        <w:tc>
          <w:tcPr>
            <w:tcW w:w="1411" w:type="pct"/>
            <w:tcBorders>
              <w:top w:val="nil"/>
              <w:left w:val="nil"/>
              <w:right w:val="nil"/>
            </w:tcBorders>
          </w:tcPr>
          <w:p w14:paraId="4829BDB8" w14:textId="77777777" w:rsidR="004462A0" w:rsidRPr="008912CF" w:rsidRDefault="00615769" w:rsidP="00F675CF">
            <w:pPr>
              <w:keepNext/>
              <w:jc w:val="center"/>
              <w:rPr>
                <w:rFonts w:eastAsia="Arial Unicode MS"/>
              </w:rPr>
            </w:pPr>
            <w:r w:rsidRPr="008912CF">
              <w:rPr>
                <w:rFonts w:eastAsia="Arial Unicode MS"/>
                <w:sz w:val="22"/>
                <w:szCs w:val="22"/>
              </w:rPr>
              <w:t xml:space="preserve">     13</w:t>
            </w:r>
            <w:r w:rsidR="009343EF">
              <w:rPr>
                <w:rFonts w:eastAsia="Arial Unicode MS"/>
                <w:sz w:val="22"/>
                <w:szCs w:val="22"/>
              </w:rPr>
              <w:t>%</w:t>
            </w:r>
            <w:r w:rsidRPr="008912CF">
              <w:rPr>
                <w:rFonts w:eastAsia="Arial Unicode MS"/>
                <w:sz w:val="22"/>
                <w:szCs w:val="22"/>
              </w:rPr>
              <w:t xml:space="preserve"> *</w:t>
            </w:r>
          </w:p>
          <w:p w14:paraId="046029D8" w14:textId="77777777" w:rsidR="004462A0" w:rsidRPr="008912CF" w:rsidRDefault="00615769" w:rsidP="00F675CF">
            <w:pPr>
              <w:keepNext/>
              <w:jc w:val="center"/>
              <w:rPr>
                <w:rFonts w:eastAsia="Arial Unicode MS"/>
              </w:rPr>
            </w:pPr>
            <w:r w:rsidRPr="008912CF">
              <w:rPr>
                <w:rFonts w:eastAsia="Arial Unicode MS"/>
                <w:sz w:val="22"/>
                <w:szCs w:val="22"/>
              </w:rPr>
              <w:t>(N=150)</w:t>
            </w:r>
          </w:p>
          <w:p w14:paraId="7831E974" w14:textId="77777777" w:rsidR="004462A0" w:rsidRPr="008912CF" w:rsidRDefault="004462A0" w:rsidP="00F675CF">
            <w:pPr>
              <w:keepNext/>
              <w:rPr>
                <w:rFonts w:eastAsia="Arial Unicode MS"/>
              </w:rPr>
            </w:pPr>
          </w:p>
        </w:tc>
      </w:tr>
      <w:tr w:rsidR="00A7162A" w14:paraId="3E24E04A" w14:textId="77777777" w:rsidTr="00F675CF">
        <w:trPr>
          <w:jc w:val="center"/>
        </w:trPr>
        <w:tc>
          <w:tcPr>
            <w:tcW w:w="2945" w:type="pct"/>
            <w:tcBorders>
              <w:top w:val="nil"/>
              <w:left w:val="nil"/>
              <w:right w:val="nil"/>
            </w:tcBorders>
          </w:tcPr>
          <w:p w14:paraId="076BA6B7" w14:textId="77777777" w:rsidR="004462A0" w:rsidRPr="008912CF" w:rsidRDefault="00615769" w:rsidP="00F675CF">
            <w:pPr>
              <w:keepNext/>
              <w:rPr>
                <w:rFonts w:eastAsia="Arial Unicode MS"/>
              </w:rPr>
            </w:pPr>
            <w:r w:rsidRPr="008912CF">
              <w:rPr>
                <w:rFonts w:eastAsia="Arial Unicode MS"/>
                <w:sz w:val="22"/>
                <w:szCs w:val="22"/>
              </w:rPr>
              <w:t>Semana 8 e 52</w:t>
            </w:r>
          </w:p>
        </w:tc>
        <w:tc>
          <w:tcPr>
            <w:tcW w:w="644" w:type="pct"/>
            <w:tcBorders>
              <w:top w:val="nil"/>
              <w:left w:val="nil"/>
              <w:right w:val="nil"/>
            </w:tcBorders>
          </w:tcPr>
          <w:p w14:paraId="47E77992" w14:textId="77777777" w:rsidR="004462A0" w:rsidRPr="008912CF" w:rsidRDefault="004462A0" w:rsidP="00F675CF">
            <w:pPr>
              <w:keepNext/>
              <w:jc w:val="center"/>
              <w:rPr>
                <w:rFonts w:eastAsia="Arial Unicode MS"/>
              </w:rPr>
            </w:pPr>
          </w:p>
        </w:tc>
        <w:tc>
          <w:tcPr>
            <w:tcW w:w="1411" w:type="pct"/>
            <w:tcBorders>
              <w:top w:val="nil"/>
              <w:left w:val="nil"/>
              <w:right w:val="nil"/>
            </w:tcBorders>
          </w:tcPr>
          <w:p w14:paraId="162FADA2" w14:textId="77777777" w:rsidR="004462A0" w:rsidRPr="008912CF" w:rsidRDefault="004462A0" w:rsidP="00F675CF">
            <w:pPr>
              <w:keepNext/>
              <w:jc w:val="center"/>
              <w:rPr>
                <w:rFonts w:eastAsia="Arial Unicode MS"/>
              </w:rPr>
            </w:pPr>
          </w:p>
        </w:tc>
      </w:tr>
      <w:tr w:rsidR="00A7162A" w14:paraId="1C9D2D1D" w14:textId="77777777" w:rsidTr="00F675CF">
        <w:trPr>
          <w:jc w:val="center"/>
        </w:trPr>
        <w:tc>
          <w:tcPr>
            <w:tcW w:w="2945" w:type="pct"/>
            <w:tcBorders>
              <w:top w:val="nil"/>
              <w:left w:val="nil"/>
              <w:right w:val="nil"/>
            </w:tcBorders>
          </w:tcPr>
          <w:p w14:paraId="27BD58D1" w14:textId="77777777" w:rsidR="004462A0" w:rsidRPr="008912CF" w:rsidRDefault="00615769" w:rsidP="00F675CF">
            <w:pPr>
              <w:keepNext/>
              <w:rPr>
                <w:rFonts w:eastAsia="Arial Unicode MS"/>
              </w:rPr>
            </w:pPr>
            <w:r w:rsidRPr="008912CF">
              <w:rPr>
                <w:rFonts w:eastAsia="Arial Unicode MS"/>
                <w:sz w:val="22"/>
                <w:szCs w:val="22"/>
              </w:rPr>
              <w:t xml:space="preserve"> Resposta Sustentada </w:t>
            </w:r>
          </w:p>
        </w:tc>
        <w:tc>
          <w:tcPr>
            <w:tcW w:w="644" w:type="pct"/>
            <w:tcBorders>
              <w:top w:val="nil"/>
              <w:left w:val="nil"/>
              <w:right w:val="nil"/>
            </w:tcBorders>
          </w:tcPr>
          <w:p w14:paraId="26050CEA" w14:textId="77777777" w:rsidR="004462A0" w:rsidRPr="008912CF" w:rsidRDefault="00615769" w:rsidP="00F675CF">
            <w:pPr>
              <w:keepNext/>
              <w:jc w:val="center"/>
              <w:rPr>
                <w:rFonts w:eastAsia="Arial Unicode MS"/>
              </w:rPr>
            </w:pPr>
            <w:r w:rsidRPr="008912CF">
              <w:rPr>
                <w:rFonts w:eastAsia="Arial Unicode MS"/>
                <w:sz w:val="22"/>
                <w:szCs w:val="22"/>
              </w:rPr>
              <w:t>12</w:t>
            </w:r>
            <w:r w:rsidR="009343EF">
              <w:rPr>
                <w:rFonts w:eastAsia="Arial Unicode MS"/>
                <w:sz w:val="22"/>
                <w:szCs w:val="22"/>
              </w:rPr>
              <w:t>%</w:t>
            </w:r>
          </w:p>
        </w:tc>
        <w:tc>
          <w:tcPr>
            <w:tcW w:w="1411" w:type="pct"/>
            <w:tcBorders>
              <w:top w:val="nil"/>
              <w:left w:val="nil"/>
              <w:right w:val="nil"/>
            </w:tcBorders>
          </w:tcPr>
          <w:p w14:paraId="2ACD2F52" w14:textId="77777777" w:rsidR="004462A0" w:rsidRPr="008912CF" w:rsidRDefault="00615769" w:rsidP="00F675CF">
            <w:pPr>
              <w:keepNext/>
              <w:jc w:val="center"/>
              <w:rPr>
                <w:rFonts w:eastAsia="Arial Unicode MS"/>
              </w:rPr>
            </w:pPr>
            <w:r w:rsidRPr="008912CF">
              <w:rPr>
                <w:rFonts w:eastAsia="Arial Unicode MS"/>
                <w:sz w:val="22"/>
                <w:szCs w:val="22"/>
              </w:rPr>
              <w:t xml:space="preserve">   24</w:t>
            </w:r>
            <w:r w:rsidR="009343EF">
              <w:rPr>
                <w:rFonts w:eastAsia="Arial Unicode MS"/>
                <w:sz w:val="22"/>
                <w:szCs w:val="22"/>
              </w:rPr>
              <w:t>%</w:t>
            </w:r>
            <w:r w:rsidRPr="008912CF">
              <w:rPr>
                <w:rFonts w:eastAsia="Arial Unicode MS"/>
                <w:sz w:val="22"/>
                <w:szCs w:val="22"/>
              </w:rPr>
              <w:t>**</w:t>
            </w:r>
          </w:p>
        </w:tc>
      </w:tr>
      <w:tr w:rsidR="00A7162A" w14:paraId="307DD747" w14:textId="77777777" w:rsidTr="00384E8F">
        <w:trPr>
          <w:jc w:val="center"/>
        </w:trPr>
        <w:tc>
          <w:tcPr>
            <w:tcW w:w="2945" w:type="pct"/>
            <w:tcBorders>
              <w:top w:val="nil"/>
              <w:left w:val="nil"/>
              <w:right w:val="nil"/>
            </w:tcBorders>
          </w:tcPr>
          <w:p w14:paraId="54D88095" w14:textId="77777777" w:rsidR="004462A0" w:rsidRPr="008912CF" w:rsidRDefault="00615769" w:rsidP="00F675CF">
            <w:pPr>
              <w:keepNext/>
              <w:rPr>
                <w:rFonts w:eastAsia="Arial Unicode MS"/>
              </w:rPr>
            </w:pPr>
            <w:r w:rsidRPr="008912CF">
              <w:rPr>
                <w:rFonts w:eastAsia="Arial Unicode MS"/>
                <w:sz w:val="22"/>
                <w:szCs w:val="22"/>
              </w:rPr>
              <w:t xml:space="preserve"> Remissão Sustentada </w:t>
            </w:r>
          </w:p>
        </w:tc>
        <w:tc>
          <w:tcPr>
            <w:tcW w:w="644" w:type="pct"/>
            <w:tcBorders>
              <w:top w:val="nil"/>
              <w:left w:val="nil"/>
              <w:right w:val="nil"/>
            </w:tcBorders>
          </w:tcPr>
          <w:p w14:paraId="10C9C62C" w14:textId="77777777" w:rsidR="004462A0" w:rsidRPr="008912CF" w:rsidRDefault="00615769" w:rsidP="00F675CF">
            <w:pPr>
              <w:keepNext/>
              <w:jc w:val="center"/>
              <w:rPr>
                <w:rFonts w:eastAsia="Arial Unicode MS"/>
              </w:rPr>
            </w:pPr>
            <w:r w:rsidRPr="008912CF">
              <w:rPr>
                <w:rFonts w:eastAsia="Arial Unicode MS"/>
                <w:sz w:val="22"/>
                <w:szCs w:val="22"/>
              </w:rPr>
              <w:t>4</w:t>
            </w:r>
            <w:r w:rsidR="009343EF">
              <w:rPr>
                <w:rFonts w:eastAsia="Arial Unicode MS"/>
                <w:sz w:val="22"/>
                <w:szCs w:val="22"/>
              </w:rPr>
              <w:t>%</w:t>
            </w:r>
          </w:p>
        </w:tc>
        <w:tc>
          <w:tcPr>
            <w:tcW w:w="1411" w:type="pct"/>
            <w:tcBorders>
              <w:top w:val="nil"/>
              <w:left w:val="nil"/>
              <w:right w:val="nil"/>
            </w:tcBorders>
          </w:tcPr>
          <w:p w14:paraId="27C44AFF" w14:textId="77777777" w:rsidR="004462A0" w:rsidRPr="008912CF" w:rsidRDefault="00615769" w:rsidP="00F675CF">
            <w:pPr>
              <w:keepNext/>
              <w:jc w:val="center"/>
              <w:rPr>
                <w:rFonts w:eastAsia="Arial Unicode MS"/>
              </w:rPr>
            </w:pPr>
            <w:r w:rsidRPr="008912CF">
              <w:rPr>
                <w:rFonts w:eastAsia="Arial Unicode MS"/>
                <w:sz w:val="22"/>
                <w:szCs w:val="22"/>
              </w:rPr>
              <w:t xml:space="preserve">   8</w:t>
            </w:r>
            <w:r w:rsidR="009343EF">
              <w:rPr>
                <w:rFonts w:eastAsia="Arial Unicode MS"/>
                <w:sz w:val="22"/>
                <w:szCs w:val="22"/>
              </w:rPr>
              <w:t>%</w:t>
            </w:r>
            <w:r w:rsidRPr="008912CF">
              <w:rPr>
                <w:rFonts w:eastAsia="Arial Unicode MS"/>
                <w:sz w:val="22"/>
                <w:szCs w:val="22"/>
              </w:rPr>
              <w:t>*</w:t>
            </w:r>
          </w:p>
        </w:tc>
      </w:tr>
      <w:tr w:rsidR="00A7162A" w14:paraId="79E4F75A" w14:textId="77777777" w:rsidTr="00384E8F">
        <w:trPr>
          <w:jc w:val="center"/>
        </w:trPr>
        <w:tc>
          <w:tcPr>
            <w:tcW w:w="2945" w:type="pct"/>
            <w:tcBorders>
              <w:top w:val="nil"/>
              <w:left w:val="nil"/>
              <w:bottom w:val="single" w:sz="4" w:space="0" w:color="auto"/>
              <w:right w:val="nil"/>
            </w:tcBorders>
          </w:tcPr>
          <w:p w14:paraId="66B892EF" w14:textId="77777777" w:rsidR="004462A0" w:rsidRPr="008912CF" w:rsidRDefault="00615769" w:rsidP="00F675CF">
            <w:pPr>
              <w:keepNext/>
              <w:rPr>
                <w:rFonts w:eastAsia="Arial Unicode MS"/>
              </w:rPr>
            </w:pPr>
            <w:r w:rsidRPr="008912CF">
              <w:rPr>
                <w:rFonts w:eastAsia="Arial Unicode MS"/>
                <w:sz w:val="22"/>
                <w:szCs w:val="22"/>
              </w:rPr>
              <w:t xml:space="preserve"> Cicatrização da Mucosa Sustentada </w:t>
            </w:r>
          </w:p>
        </w:tc>
        <w:tc>
          <w:tcPr>
            <w:tcW w:w="644" w:type="pct"/>
            <w:tcBorders>
              <w:top w:val="nil"/>
              <w:left w:val="nil"/>
              <w:bottom w:val="single" w:sz="4" w:space="0" w:color="auto"/>
              <w:right w:val="nil"/>
            </w:tcBorders>
          </w:tcPr>
          <w:p w14:paraId="51E9DA5A" w14:textId="77777777" w:rsidR="004462A0" w:rsidRPr="008912CF" w:rsidRDefault="00615769" w:rsidP="00F675CF">
            <w:pPr>
              <w:keepNext/>
              <w:jc w:val="center"/>
              <w:rPr>
                <w:rFonts w:eastAsia="Arial Unicode MS"/>
              </w:rPr>
            </w:pPr>
            <w:r w:rsidRPr="008912CF">
              <w:rPr>
                <w:rFonts w:eastAsia="Arial Unicode MS"/>
                <w:sz w:val="22"/>
                <w:szCs w:val="22"/>
              </w:rPr>
              <w:t>11</w:t>
            </w:r>
            <w:r w:rsidR="009343EF">
              <w:rPr>
                <w:rFonts w:eastAsia="Arial Unicode MS"/>
                <w:sz w:val="22"/>
                <w:szCs w:val="22"/>
              </w:rPr>
              <w:t>%</w:t>
            </w:r>
          </w:p>
        </w:tc>
        <w:tc>
          <w:tcPr>
            <w:tcW w:w="1411" w:type="pct"/>
            <w:tcBorders>
              <w:top w:val="nil"/>
              <w:left w:val="nil"/>
              <w:bottom w:val="single" w:sz="4" w:space="0" w:color="auto"/>
              <w:right w:val="nil"/>
            </w:tcBorders>
          </w:tcPr>
          <w:p w14:paraId="136A8E62" w14:textId="77777777" w:rsidR="004462A0" w:rsidRPr="008912CF" w:rsidRDefault="00615769" w:rsidP="00F675CF">
            <w:pPr>
              <w:keepNext/>
              <w:jc w:val="center"/>
              <w:rPr>
                <w:rFonts w:eastAsia="Arial Unicode MS"/>
              </w:rPr>
            </w:pPr>
            <w:r w:rsidRPr="008912CF">
              <w:rPr>
                <w:rFonts w:eastAsia="Arial Unicode MS"/>
                <w:sz w:val="22"/>
                <w:szCs w:val="22"/>
              </w:rPr>
              <w:t xml:space="preserve">  19</w:t>
            </w:r>
            <w:r w:rsidR="009343EF">
              <w:rPr>
                <w:rFonts w:eastAsia="Arial Unicode MS"/>
                <w:sz w:val="22"/>
                <w:szCs w:val="22"/>
              </w:rPr>
              <w:t>%</w:t>
            </w:r>
            <w:r w:rsidRPr="008912CF">
              <w:rPr>
                <w:rFonts w:eastAsia="Arial Unicode MS"/>
                <w:sz w:val="22"/>
                <w:szCs w:val="22"/>
              </w:rPr>
              <w:t>*</w:t>
            </w:r>
          </w:p>
        </w:tc>
      </w:tr>
      <w:tr w:rsidR="00A7162A" w14:paraId="6CB72F03" w14:textId="77777777" w:rsidTr="00384E8F">
        <w:trPr>
          <w:jc w:val="center"/>
        </w:trPr>
        <w:tc>
          <w:tcPr>
            <w:tcW w:w="5000" w:type="pct"/>
            <w:gridSpan w:val="3"/>
            <w:tcBorders>
              <w:top w:val="single" w:sz="4" w:space="0" w:color="auto"/>
              <w:left w:val="nil"/>
              <w:bottom w:val="nil"/>
              <w:right w:val="nil"/>
            </w:tcBorders>
          </w:tcPr>
          <w:p w14:paraId="5FF228E9" w14:textId="77777777" w:rsidR="004462A0" w:rsidRPr="008912CF" w:rsidRDefault="00615769" w:rsidP="00F675CF">
            <w:pPr>
              <w:keepNext/>
              <w:spacing w:line="264" w:lineRule="atLeast"/>
              <w:rPr>
                <w:rFonts w:eastAsia="Arial Unicode MS"/>
                <w:sz w:val="22"/>
                <w:szCs w:val="22"/>
              </w:rPr>
            </w:pPr>
            <w:r w:rsidRPr="008912CF">
              <w:rPr>
                <w:rFonts w:eastAsia="Arial Unicode MS"/>
                <w:sz w:val="22"/>
                <w:szCs w:val="22"/>
              </w:rPr>
              <w:t xml:space="preserve">Remissão Clínica </w:t>
            </w:r>
            <w:r w:rsidR="00384E8F">
              <w:rPr>
                <w:rFonts w:eastAsia="Arial Unicode MS"/>
                <w:sz w:val="22"/>
                <w:szCs w:val="22"/>
              </w:rPr>
              <w:t>é</w:t>
            </w:r>
            <w:r w:rsidRPr="008912CF">
              <w:rPr>
                <w:rFonts w:eastAsia="Arial Unicode MS"/>
                <w:sz w:val="22"/>
                <w:szCs w:val="22"/>
              </w:rPr>
              <w:t xml:space="preserve"> pontuação Mayo ≤ 2 sem subpontuação &gt; 1;</w:t>
            </w:r>
          </w:p>
          <w:p w14:paraId="68185E2A" w14:textId="77777777" w:rsidR="00384E8F" w:rsidRDefault="00615769" w:rsidP="00F675CF">
            <w:pPr>
              <w:keepNext/>
              <w:spacing w:line="264" w:lineRule="atLeast"/>
              <w:rPr>
                <w:sz w:val="22"/>
              </w:rPr>
            </w:pPr>
            <w:r>
              <w:rPr>
                <w:sz w:val="22"/>
              </w:rPr>
              <w:t>Resposta clínica é d</w:t>
            </w:r>
            <w:r w:rsidRPr="008912CF">
              <w:rPr>
                <w:sz w:val="22"/>
              </w:rPr>
              <w:t xml:space="preserve">iminuição </w:t>
            </w:r>
            <w:r w:rsidR="004462A0" w:rsidRPr="008912CF">
              <w:rPr>
                <w:sz w:val="22"/>
              </w:rPr>
              <w:t>desde a linha de base da pontuação de Mayo ≥ 3 pontos e ≥ 30</w:t>
            </w:r>
            <w:r w:rsidR="009343EF">
              <w:rPr>
                <w:sz w:val="22"/>
              </w:rPr>
              <w:t>%</w:t>
            </w:r>
            <w:r w:rsidR="004462A0" w:rsidRPr="008912CF">
              <w:rPr>
                <w:sz w:val="22"/>
              </w:rPr>
              <w:t xml:space="preserve">, acompanhado de uma redução na subpontuação de hemorragia retal de ≥ 1 ou um resultado absoluto de hemorragia retal de 0 ou 1.  </w:t>
            </w:r>
          </w:p>
          <w:p w14:paraId="09E16434" w14:textId="77777777" w:rsidR="004462A0" w:rsidRPr="008912CF" w:rsidRDefault="00615769" w:rsidP="00F675CF">
            <w:pPr>
              <w:keepNext/>
              <w:spacing w:line="264" w:lineRule="atLeast"/>
              <w:rPr>
                <w:rFonts w:eastAsia="Arial Unicode MS"/>
              </w:rPr>
            </w:pPr>
            <w:r w:rsidRPr="008912CF">
              <w:rPr>
                <w:rStyle w:val="sup1"/>
                <w:rFonts w:eastAsia="Arial Unicode MS"/>
                <w:sz w:val="22"/>
                <w:szCs w:val="22"/>
                <w:vertAlign w:val="superscript"/>
              </w:rPr>
              <w:t>*</w:t>
            </w:r>
            <w:r w:rsidRPr="008912CF">
              <w:rPr>
                <w:rFonts w:eastAsia="Arial Unicode MS"/>
                <w:sz w:val="22"/>
                <w:szCs w:val="22"/>
              </w:rPr>
              <w:t xml:space="preserve">p&lt; 0,05 para Humira </w:t>
            </w:r>
            <w:r w:rsidRPr="008912CF">
              <w:rPr>
                <w:rStyle w:val="italics5"/>
                <w:rFonts w:eastAsia="Arial Unicode MS"/>
                <w:sz w:val="22"/>
                <w:szCs w:val="22"/>
              </w:rPr>
              <w:t>versus</w:t>
            </w:r>
            <w:r w:rsidRPr="008912CF">
              <w:rPr>
                <w:rFonts w:eastAsia="Arial Unicode MS"/>
                <w:sz w:val="22"/>
                <w:szCs w:val="22"/>
              </w:rPr>
              <w:t xml:space="preserve"> placebo em proporções comparativas emparelhadas </w:t>
            </w:r>
          </w:p>
          <w:p w14:paraId="26CDC46E" w14:textId="77777777" w:rsidR="004462A0" w:rsidRPr="008912CF" w:rsidRDefault="00615769" w:rsidP="00F675CF">
            <w:pPr>
              <w:keepNext/>
              <w:spacing w:line="264" w:lineRule="atLeast"/>
              <w:rPr>
                <w:rFonts w:eastAsia="Arial Unicode MS"/>
              </w:rPr>
            </w:pPr>
            <w:r w:rsidRPr="008912CF">
              <w:rPr>
                <w:rFonts w:eastAsia="Arial Unicode MS"/>
                <w:sz w:val="22"/>
                <w:szCs w:val="22"/>
              </w:rPr>
              <w:t xml:space="preserve">**p&lt; 0,001 para  Humira </w:t>
            </w:r>
            <w:r w:rsidRPr="008912CF">
              <w:rPr>
                <w:rFonts w:eastAsia="Arial Unicode MS"/>
                <w:i/>
                <w:sz w:val="22"/>
                <w:szCs w:val="22"/>
              </w:rPr>
              <w:t>versus</w:t>
            </w:r>
            <w:r w:rsidRPr="008912CF">
              <w:rPr>
                <w:rFonts w:eastAsia="Arial Unicode MS"/>
                <w:sz w:val="22"/>
                <w:szCs w:val="22"/>
              </w:rPr>
              <w:t xml:space="preserve"> placebo em proporções comparativas emparelhadas</w:t>
            </w:r>
          </w:p>
          <w:p w14:paraId="3EF589E0" w14:textId="77777777" w:rsidR="004462A0" w:rsidRPr="008912CF" w:rsidRDefault="00615769" w:rsidP="00F675CF">
            <w:pPr>
              <w:keepNext/>
              <w:spacing w:line="264" w:lineRule="atLeast"/>
              <w:rPr>
                <w:rFonts w:eastAsia="Arial Unicode MS"/>
                <w:b/>
              </w:rPr>
            </w:pPr>
            <w:r w:rsidRPr="008912CF">
              <w:rPr>
                <w:sz w:val="22"/>
                <w:szCs w:val="22"/>
                <w:vertAlign w:val="superscript"/>
              </w:rPr>
              <w:t xml:space="preserve">a </w:t>
            </w:r>
            <w:r w:rsidRPr="008912CF">
              <w:rPr>
                <w:sz w:val="22"/>
                <w:szCs w:val="22"/>
              </w:rPr>
              <w:t xml:space="preserve">  Dos que receberam corticosteroides no início do estudo</w:t>
            </w:r>
          </w:p>
        </w:tc>
      </w:tr>
    </w:tbl>
    <w:p w14:paraId="4A9381B9" w14:textId="77777777" w:rsidR="004462A0" w:rsidRPr="008912CF" w:rsidRDefault="004462A0" w:rsidP="004462A0">
      <w:pPr>
        <w:pStyle w:val="EMEANormal"/>
        <w:rPr>
          <w:iCs/>
          <w:szCs w:val="22"/>
          <w:lang w:val="pt-PT"/>
        </w:rPr>
      </w:pPr>
    </w:p>
    <w:p w14:paraId="17E464F6" w14:textId="77777777" w:rsidR="004462A0" w:rsidRPr="008912CF" w:rsidRDefault="00615769" w:rsidP="004462A0">
      <w:pPr>
        <w:tabs>
          <w:tab w:val="left" w:pos="562"/>
        </w:tabs>
        <w:suppressAutoHyphens/>
        <w:rPr>
          <w:sz w:val="22"/>
        </w:rPr>
      </w:pPr>
      <w:r w:rsidRPr="008912CF">
        <w:rPr>
          <w:sz w:val="22"/>
        </w:rPr>
        <w:t>Dos doentes que demonstraram uma resposta à Semana 8, 47</w:t>
      </w:r>
      <w:r w:rsidR="009343EF">
        <w:rPr>
          <w:sz w:val="22"/>
        </w:rPr>
        <w:t>%</w:t>
      </w:r>
      <w:r w:rsidRPr="008912CF">
        <w:rPr>
          <w:sz w:val="22"/>
        </w:rPr>
        <w:t xml:space="preserve"> mantiveram a resposta, 29</w:t>
      </w:r>
      <w:r w:rsidR="009343EF">
        <w:rPr>
          <w:sz w:val="22"/>
        </w:rPr>
        <w:t>%</w:t>
      </w:r>
      <w:r w:rsidRPr="008912CF">
        <w:rPr>
          <w:sz w:val="22"/>
        </w:rPr>
        <w:t xml:space="preserve"> estavam em remissão, 41</w:t>
      </w:r>
      <w:r w:rsidR="009343EF">
        <w:rPr>
          <w:sz w:val="22"/>
        </w:rPr>
        <w:t>%</w:t>
      </w:r>
      <w:r w:rsidRPr="008912CF">
        <w:rPr>
          <w:sz w:val="22"/>
        </w:rPr>
        <w:t xml:space="preserve"> demonstraram cicatrização da mucosa e 20</w:t>
      </w:r>
      <w:r w:rsidR="009343EF">
        <w:rPr>
          <w:sz w:val="22"/>
        </w:rPr>
        <w:t>%</w:t>
      </w:r>
      <w:r w:rsidRPr="008912CF">
        <w:rPr>
          <w:sz w:val="22"/>
        </w:rPr>
        <w:t xml:space="preserve"> demonstraram remissão livre de costicosteroides durante ≥ 90 dias </w:t>
      </w:r>
      <w:r w:rsidR="00384E8F">
        <w:rPr>
          <w:sz w:val="22"/>
        </w:rPr>
        <w:t>à</w:t>
      </w:r>
      <w:r w:rsidRPr="008912CF">
        <w:rPr>
          <w:sz w:val="22"/>
        </w:rPr>
        <w:t xml:space="preserve"> Semana 52.</w:t>
      </w:r>
    </w:p>
    <w:p w14:paraId="3001E12C" w14:textId="77777777" w:rsidR="004462A0" w:rsidRPr="008912CF" w:rsidRDefault="004462A0" w:rsidP="004462A0">
      <w:pPr>
        <w:autoSpaceDE w:val="0"/>
        <w:autoSpaceDN w:val="0"/>
        <w:adjustRightInd w:val="0"/>
        <w:rPr>
          <w:iCs/>
          <w:sz w:val="22"/>
          <w:szCs w:val="22"/>
        </w:rPr>
      </w:pPr>
    </w:p>
    <w:p w14:paraId="53282A7A" w14:textId="77777777" w:rsidR="004462A0" w:rsidRPr="008912CF" w:rsidRDefault="00615769" w:rsidP="004462A0">
      <w:pPr>
        <w:autoSpaceDE w:val="0"/>
        <w:autoSpaceDN w:val="0"/>
        <w:adjustRightInd w:val="0"/>
        <w:rPr>
          <w:iCs/>
          <w:sz w:val="22"/>
          <w:szCs w:val="22"/>
        </w:rPr>
      </w:pPr>
      <w:r w:rsidRPr="008912CF">
        <w:rPr>
          <w:iCs/>
          <w:sz w:val="22"/>
          <w:szCs w:val="22"/>
        </w:rPr>
        <w:t>Aproximadamente 40</w:t>
      </w:r>
      <w:r w:rsidR="009343EF">
        <w:rPr>
          <w:iCs/>
          <w:sz w:val="22"/>
          <w:szCs w:val="22"/>
        </w:rPr>
        <w:t>%</w:t>
      </w:r>
      <w:r w:rsidRPr="008912CF">
        <w:rPr>
          <w:iCs/>
          <w:sz w:val="22"/>
          <w:szCs w:val="22"/>
        </w:rPr>
        <w:t xml:space="preserve"> dos doentes incluídos no estudo UC-II não responderam à terapêutica prévia com o antagonista-TNF infliximab. A eficácia de adalimumab nestes doentes foi reduzida comparativamente com os doentes que não tiveram exposição prévia a tratamentos com antagonistas-TNF. Entre os doentes que não responderam à terapêutica prévia com antagonistas-TNF, a remissão na semana 52 foi atingida </w:t>
      </w:r>
      <w:r w:rsidR="00415E2D">
        <w:rPr>
          <w:iCs/>
          <w:sz w:val="22"/>
          <w:szCs w:val="22"/>
        </w:rPr>
        <w:t xml:space="preserve">em </w:t>
      </w:r>
      <w:r w:rsidRPr="008912CF">
        <w:rPr>
          <w:iCs/>
          <w:sz w:val="22"/>
          <w:szCs w:val="22"/>
        </w:rPr>
        <w:t>3</w:t>
      </w:r>
      <w:r w:rsidR="009343EF">
        <w:rPr>
          <w:iCs/>
          <w:sz w:val="22"/>
          <w:szCs w:val="22"/>
        </w:rPr>
        <w:t>%</w:t>
      </w:r>
      <w:r w:rsidRPr="008912CF">
        <w:rPr>
          <w:iCs/>
          <w:sz w:val="22"/>
          <w:szCs w:val="22"/>
        </w:rPr>
        <w:t xml:space="preserve"> no grupo placebo e </w:t>
      </w:r>
      <w:r w:rsidR="00415E2D">
        <w:rPr>
          <w:iCs/>
          <w:sz w:val="22"/>
          <w:szCs w:val="22"/>
        </w:rPr>
        <w:t xml:space="preserve">em </w:t>
      </w:r>
      <w:r w:rsidRPr="008912CF">
        <w:rPr>
          <w:iCs/>
          <w:sz w:val="22"/>
          <w:szCs w:val="22"/>
        </w:rPr>
        <w:t xml:space="preserve">10% no </w:t>
      </w:r>
      <w:r w:rsidR="00415E2D">
        <w:rPr>
          <w:iCs/>
          <w:sz w:val="22"/>
          <w:szCs w:val="22"/>
        </w:rPr>
        <w:t xml:space="preserve">grupo </w:t>
      </w:r>
      <w:r w:rsidRPr="008912CF">
        <w:rPr>
          <w:iCs/>
          <w:sz w:val="22"/>
          <w:szCs w:val="22"/>
        </w:rPr>
        <w:t>adalimumab.</w:t>
      </w:r>
    </w:p>
    <w:p w14:paraId="46F26DD3" w14:textId="77777777" w:rsidR="004462A0" w:rsidRPr="008912CF" w:rsidRDefault="004462A0" w:rsidP="004462A0">
      <w:pPr>
        <w:rPr>
          <w:sz w:val="22"/>
          <w:szCs w:val="22"/>
        </w:rPr>
      </w:pPr>
    </w:p>
    <w:p w14:paraId="5D6C19E2" w14:textId="77777777" w:rsidR="004462A0" w:rsidRPr="008912CF" w:rsidRDefault="00615769" w:rsidP="004462A0">
      <w:pPr>
        <w:rPr>
          <w:sz w:val="22"/>
          <w:szCs w:val="22"/>
        </w:rPr>
      </w:pPr>
      <w:r w:rsidRPr="008912CF">
        <w:rPr>
          <w:sz w:val="22"/>
          <w:szCs w:val="22"/>
        </w:rPr>
        <w:t>Os doentes que participaram nos estudos UC-I e UC-II tiveram a opção de serem envolvidos num estudo de extensão de fase aberta a longo prazo (UC III). Após terapêutica com adalimumab durante 3 anos, 75</w:t>
      </w:r>
      <w:r w:rsidR="009343EF">
        <w:rPr>
          <w:sz w:val="22"/>
          <w:szCs w:val="22"/>
        </w:rPr>
        <w:t>%</w:t>
      </w:r>
      <w:r w:rsidRPr="008912CF">
        <w:rPr>
          <w:sz w:val="22"/>
          <w:szCs w:val="22"/>
        </w:rPr>
        <w:t xml:space="preserve"> dos doentes (301/402) continuaram em remissão clínica na pontuação parcial de Mayo. </w:t>
      </w:r>
    </w:p>
    <w:p w14:paraId="1729D1F7" w14:textId="77777777" w:rsidR="004462A0" w:rsidRPr="008912CF" w:rsidRDefault="004462A0" w:rsidP="004462A0">
      <w:pPr>
        <w:rPr>
          <w:sz w:val="22"/>
          <w:szCs w:val="22"/>
          <w:u w:val="single"/>
        </w:rPr>
      </w:pPr>
    </w:p>
    <w:p w14:paraId="3A68A28F" w14:textId="77777777" w:rsidR="004462A0" w:rsidRPr="008912CF" w:rsidRDefault="00615769" w:rsidP="004462A0">
      <w:pPr>
        <w:rPr>
          <w:i/>
          <w:sz w:val="22"/>
          <w:szCs w:val="22"/>
        </w:rPr>
      </w:pPr>
      <w:r w:rsidRPr="008912CF">
        <w:rPr>
          <w:i/>
          <w:sz w:val="22"/>
          <w:szCs w:val="22"/>
          <w:u w:val="single"/>
        </w:rPr>
        <w:t>Taxas de hospitalização</w:t>
      </w:r>
    </w:p>
    <w:p w14:paraId="5B3119C5" w14:textId="77777777" w:rsidR="004462A0" w:rsidRPr="008912CF" w:rsidRDefault="004462A0" w:rsidP="004462A0">
      <w:pPr>
        <w:rPr>
          <w:i/>
          <w:sz w:val="22"/>
          <w:szCs w:val="22"/>
        </w:rPr>
      </w:pPr>
    </w:p>
    <w:p w14:paraId="05B681E5" w14:textId="77777777" w:rsidR="004462A0" w:rsidRPr="008912CF" w:rsidRDefault="00615769" w:rsidP="004462A0">
      <w:pPr>
        <w:rPr>
          <w:sz w:val="22"/>
          <w:szCs w:val="22"/>
        </w:rPr>
      </w:pPr>
      <w:r w:rsidRPr="008912CF">
        <w:rPr>
          <w:sz w:val="22"/>
          <w:szCs w:val="22"/>
        </w:rPr>
        <w:t>Ao longo de 52 semanas dos estudos UC-I e UC-II, foram observadas taxas inferiores de hospitalizações por todas as causas e hospitalizações relacionadas com a Colite Ulcerosa para o grupo tratado com adalimumab em comparação com o grupo placebo. O número de hospitalizações por todas as causas no grupo tratado com adalimumab foi de 0,18 por doente por ano versus 0,26 por doente por ano no grupo placebo e os valores correspondentes para as hospitalizações relacionadas com a Colite Ulcerosa foram de 0,12 por d</w:t>
      </w:r>
      <w:r w:rsidRPr="008912CF">
        <w:rPr>
          <w:sz w:val="22"/>
          <w:szCs w:val="22"/>
        </w:rPr>
        <w:t>oente ano versus 0,22 por doente ano.</w:t>
      </w:r>
    </w:p>
    <w:p w14:paraId="45A1F42D" w14:textId="77777777" w:rsidR="004462A0" w:rsidRPr="008912CF" w:rsidRDefault="004462A0" w:rsidP="004462A0">
      <w:pPr>
        <w:rPr>
          <w:sz w:val="22"/>
          <w:szCs w:val="22"/>
        </w:rPr>
      </w:pPr>
    </w:p>
    <w:p w14:paraId="71212ED9" w14:textId="77777777" w:rsidR="004462A0" w:rsidRPr="008912CF" w:rsidRDefault="00615769" w:rsidP="004462A0">
      <w:pPr>
        <w:rPr>
          <w:i/>
          <w:sz w:val="22"/>
          <w:szCs w:val="22"/>
          <w:u w:val="single"/>
        </w:rPr>
      </w:pPr>
      <w:r w:rsidRPr="008912CF">
        <w:rPr>
          <w:i/>
          <w:sz w:val="22"/>
          <w:szCs w:val="22"/>
          <w:u w:val="single"/>
        </w:rPr>
        <w:t>Qualidade de vida</w:t>
      </w:r>
    </w:p>
    <w:p w14:paraId="210F2622" w14:textId="77777777" w:rsidR="004462A0" w:rsidRPr="008912CF" w:rsidRDefault="004462A0" w:rsidP="004462A0">
      <w:pPr>
        <w:rPr>
          <w:sz w:val="22"/>
          <w:szCs w:val="22"/>
        </w:rPr>
      </w:pPr>
    </w:p>
    <w:p w14:paraId="5D369E06" w14:textId="77777777" w:rsidR="004462A0" w:rsidRPr="008912CF" w:rsidRDefault="00615769" w:rsidP="004462A0">
      <w:pPr>
        <w:rPr>
          <w:sz w:val="22"/>
          <w:szCs w:val="22"/>
        </w:rPr>
      </w:pPr>
      <w:r w:rsidRPr="008912CF">
        <w:rPr>
          <w:sz w:val="22"/>
          <w:szCs w:val="22"/>
        </w:rPr>
        <w:t>No estudo UC-II, o tratamento com adalimumab demonstrou melhorias na pontuação do Questionário de Doença Inflamatória Intestinal (</w:t>
      </w:r>
      <w:r w:rsidR="00384E8F">
        <w:rPr>
          <w:sz w:val="22"/>
          <w:szCs w:val="22"/>
        </w:rPr>
        <w:t>IBDQ</w:t>
      </w:r>
      <w:r w:rsidRPr="008912CF">
        <w:rPr>
          <w:sz w:val="22"/>
          <w:szCs w:val="22"/>
        </w:rPr>
        <w:t>).</w:t>
      </w:r>
    </w:p>
    <w:p w14:paraId="13592473" w14:textId="77777777" w:rsidR="004462A0" w:rsidRDefault="004462A0" w:rsidP="004462A0">
      <w:pPr>
        <w:rPr>
          <w:i/>
          <w:sz w:val="22"/>
          <w:szCs w:val="22"/>
        </w:rPr>
      </w:pPr>
    </w:p>
    <w:p w14:paraId="5DD80234" w14:textId="77777777" w:rsidR="004462A0" w:rsidRPr="00A14E04" w:rsidRDefault="00615769" w:rsidP="004462A0">
      <w:pPr>
        <w:rPr>
          <w:i/>
          <w:sz w:val="22"/>
          <w:szCs w:val="22"/>
        </w:rPr>
      </w:pPr>
      <w:r w:rsidRPr="00A14E04">
        <w:rPr>
          <w:i/>
          <w:sz w:val="22"/>
          <w:szCs w:val="22"/>
        </w:rPr>
        <w:t>Uveíte</w:t>
      </w:r>
    </w:p>
    <w:p w14:paraId="42D96819" w14:textId="77777777" w:rsidR="004462A0" w:rsidRPr="00593BA5" w:rsidRDefault="004462A0" w:rsidP="004462A0">
      <w:pPr>
        <w:rPr>
          <w:sz w:val="22"/>
          <w:szCs w:val="22"/>
        </w:rPr>
      </w:pPr>
    </w:p>
    <w:p w14:paraId="297B4D71" w14:textId="77777777" w:rsidR="004462A0" w:rsidRPr="00593BA5" w:rsidRDefault="00615769" w:rsidP="004462A0">
      <w:pPr>
        <w:rPr>
          <w:sz w:val="22"/>
          <w:szCs w:val="22"/>
        </w:rPr>
      </w:pPr>
      <w:r w:rsidRPr="00593BA5">
        <w:rPr>
          <w:sz w:val="22"/>
          <w:szCs w:val="22"/>
        </w:rPr>
        <w:t xml:space="preserve">A segurança e eficácia de Humira foram avaliadas em doentes adultos com uveíte não infecciosa intermédia, posterior, e panuveíte, excluindo doentes com uveíte anterior isolada, em dois estudos </w:t>
      </w:r>
      <w:r w:rsidR="0013275C">
        <w:rPr>
          <w:sz w:val="22"/>
          <w:szCs w:val="22"/>
        </w:rPr>
        <w:t>aleatorizado</w:t>
      </w:r>
      <w:r w:rsidRPr="00593BA5">
        <w:rPr>
          <w:sz w:val="22"/>
          <w:szCs w:val="22"/>
        </w:rPr>
        <w:t>s, em dupla ocultação, controlados com placebo (UV I e II). Os doentes receberam placebo ou Humira numa dose inicial de 80</w:t>
      </w:r>
      <w:r>
        <w:rPr>
          <w:sz w:val="22"/>
          <w:szCs w:val="22"/>
        </w:rPr>
        <w:t> </w:t>
      </w:r>
      <w:r w:rsidRPr="00593BA5">
        <w:rPr>
          <w:sz w:val="22"/>
          <w:szCs w:val="22"/>
        </w:rPr>
        <w:t>mg seguid</w:t>
      </w:r>
      <w:r>
        <w:rPr>
          <w:sz w:val="22"/>
          <w:szCs w:val="22"/>
        </w:rPr>
        <w:t>a</w:t>
      </w:r>
      <w:r w:rsidRPr="00593BA5">
        <w:rPr>
          <w:sz w:val="22"/>
          <w:szCs w:val="22"/>
        </w:rPr>
        <w:t xml:space="preserve"> de 40</w:t>
      </w:r>
      <w:r>
        <w:rPr>
          <w:sz w:val="22"/>
          <w:szCs w:val="22"/>
        </w:rPr>
        <w:t> </w:t>
      </w:r>
      <w:r w:rsidRPr="00593BA5">
        <w:rPr>
          <w:sz w:val="22"/>
          <w:szCs w:val="22"/>
        </w:rPr>
        <w:t>mg em semanas alternadas, uma semana após a dose inicial. Foram permitidas doses concomitantes estáveis de um imunossupressor não biológico.</w:t>
      </w:r>
    </w:p>
    <w:p w14:paraId="7A56B107" w14:textId="77777777" w:rsidR="004462A0" w:rsidRPr="00593BA5" w:rsidRDefault="004462A0" w:rsidP="004462A0">
      <w:pPr>
        <w:rPr>
          <w:sz w:val="22"/>
          <w:szCs w:val="22"/>
        </w:rPr>
      </w:pPr>
    </w:p>
    <w:p w14:paraId="6AD25699" w14:textId="77777777" w:rsidR="004462A0" w:rsidRPr="00593BA5" w:rsidRDefault="00615769" w:rsidP="004462A0">
      <w:pPr>
        <w:rPr>
          <w:sz w:val="22"/>
          <w:szCs w:val="22"/>
        </w:rPr>
      </w:pPr>
      <w:r w:rsidRPr="00593BA5">
        <w:rPr>
          <w:sz w:val="22"/>
          <w:szCs w:val="22"/>
        </w:rPr>
        <w:t>O estudo UV I avaliou 217 doentes com uveíte ativa, apesar do tratamento com corticosteroides (prednisona oral numa dose de 10 a 60</w:t>
      </w:r>
      <w:r>
        <w:rPr>
          <w:sz w:val="22"/>
          <w:szCs w:val="22"/>
        </w:rPr>
        <w:t> </w:t>
      </w:r>
      <w:r w:rsidRPr="00593BA5">
        <w:rPr>
          <w:sz w:val="22"/>
          <w:szCs w:val="22"/>
        </w:rPr>
        <w:t>mg/dia). Ao entrarem no estudo, todos os doentes receberam durante 2 semanas uma</w:t>
      </w:r>
      <w:r>
        <w:rPr>
          <w:sz w:val="22"/>
          <w:szCs w:val="22"/>
        </w:rPr>
        <w:t xml:space="preserve"> dose padrão de prednisona 60 </w:t>
      </w:r>
      <w:r w:rsidRPr="00593BA5">
        <w:rPr>
          <w:sz w:val="22"/>
          <w:szCs w:val="22"/>
        </w:rPr>
        <w:t xml:space="preserve">mg/dia, seguida de uma redução obrigatória, com descontinuação completa dos corticosteroides até à </w:t>
      </w:r>
      <w:r w:rsidR="00B150A1">
        <w:rPr>
          <w:sz w:val="22"/>
          <w:szCs w:val="22"/>
        </w:rPr>
        <w:t>S</w:t>
      </w:r>
      <w:r w:rsidRPr="00593BA5">
        <w:rPr>
          <w:sz w:val="22"/>
          <w:szCs w:val="22"/>
        </w:rPr>
        <w:t>emana 15.</w:t>
      </w:r>
    </w:p>
    <w:p w14:paraId="22510B91" w14:textId="77777777" w:rsidR="004462A0" w:rsidRPr="00593BA5" w:rsidRDefault="004462A0" w:rsidP="004462A0">
      <w:pPr>
        <w:rPr>
          <w:sz w:val="22"/>
          <w:szCs w:val="22"/>
        </w:rPr>
      </w:pPr>
    </w:p>
    <w:p w14:paraId="1A358761" w14:textId="77777777" w:rsidR="004462A0" w:rsidRPr="00593BA5" w:rsidRDefault="00615769" w:rsidP="004462A0">
      <w:pPr>
        <w:rPr>
          <w:sz w:val="22"/>
          <w:szCs w:val="22"/>
        </w:rPr>
      </w:pPr>
      <w:r w:rsidRPr="00593BA5">
        <w:rPr>
          <w:sz w:val="22"/>
          <w:szCs w:val="22"/>
        </w:rPr>
        <w:t>O estudo UV II avaliou 226 doentes com uveíte inativa, que requeriam tratamento crónico com corticosteroide (prednisona oral 10 a 35</w:t>
      </w:r>
      <w:r>
        <w:rPr>
          <w:sz w:val="22"/>
          <w:szCs w:val="22"/>
        </w:rPr>
        <w:t> </w:t>
      </w:r>
      <w:r w:rsidRPr="00593BA5">
        <w:rPr>
          <w:sz w:val="22"/>
          <w:szCs w:val="22"/>
        </w:rPr>
        <w:t xml:space="preserve">mg/dia) no início do estudo, para controlo da doença. Subsequentemente, os doentes tiveram uma redução obrigatória, com descontinuação completa dos corticosteroides até à </w:t>
      </w:r>
      <w:r w:rsidR="00B150A1">
        <w:rPr>
          <w:sz w:val="22"/>
          <w:szCs w:val="22"/>
        </w:rPr>
        <w:t>S</w:t>
      </w:r>
      <w:r w:rsidRPr="00593BA5">
        <w:rPr>
          <w:sz w:val="22"/>
          <w:szCs w:val="22"/>
        </w:rPr>
        <w:t>emana 19.</w:t>
      </w:r>
    </w:p>
    <w:p w14:paraId="12975594" w14:textId="77777777" w:rsidR="004462A0" w:rsidRPr="00593BA5" w:rsidRDefault="004462A0" w:rsidP="004462A0">
      <w:pPr>
        <w:rPr>
          <w:sz w:val="22"/>
          <w:szCs w:val="22"/>
        </w:rPr>
      </w:pPr>
    </w:p>
    <w:p w14:paraId="52BAD13A" w14:textId="77777777" w:rsidR="004462A0" w:rsidRPr="00593BA5" w:rsidRDefault="00615769" w:rsidP="004462A0">
      <w:pPr>
        <w:rPr>
          <w:sz w:val="22"/>
          <w:szCs w:val="22"/>
        </w:rPr>
      </w:pPr>
      <w:r w:rsidRPr="00593BA5">
        <w:rPr>
          <w:sz w:val="22"/>
          <w:szCs w:val="22"/>
        </w:rPr>
        <w:t>O objetivo primário de eficácia em ambos os estudos foi o “tempo até falha do tratamento”. A falha do tratamento foi definida por um resultado multi-componente baseado em lesões inflamatórias coriorretinianas e/ou lesões inflamatórias vasculares da retina, grau de células da câmara anterior (CA), grau de turvação vítrea (VH) e melhor acuidade visual corrigida (MAVC).</w:t>
      </w:r>
    </w:p>
    <w:p w14:paraId="63F97C54" w14:textId="77777777" w:rsidR="004462A0" w:rsidRDefault="004462A0" w:rsidP="004462A0">
      <w:pPr>
        <w:rPr>
          <w:sz w:val="22"/>
          <w:szCs w:val="22"/>
        </w:rPr>
      </w:pPr>
    </w:p>
    <w:p w14:paraId="75238FAF" w14:textId="77777777" w:rsidR="00A01E0B" w:rsidRPr="00A01E0B" w:rsidRDefault="00615769" w:rsidP="00A01E0B">
      <w:pPr>
        <w:rPr>
          <w:sz w:val="22"/>
          <w:szCs w:val="22"/>
        </w:rPr>
      </w:pPr>
      <w:r w:rsidRPr="00A01E0B">
        <w:rPr>
          <w:sz w:val="22"/>
          <w:szCs w:val="22"/>
        </w:rPr>
        <w:t xml:space="preserve">Os doentes que completaram os </w:t>
      </w:r>
      <w:r w:rsidR="00B054DD">
        <w:rPr>
          <w:sz w:val="22"/>
          <w:szCs w:val="22"/>
        </w:rPr>
        <w:t>E</w:t>
      </w:r>
      <w:r w:rsidRPr="00A01E0B">
        <w:rPr>
          <w:sz w:val="22"/>
          <w:szCs w:val="22"/>
        </w:rPr>
        <w:t>studos UV I e UV II foram elegíveis para participar num estudo de extensão</w:t>
      </w:r>
      <w:r w:rsidR="00961DA7">
        <w:rPr>
          <w:sz w:val="22"/>
          <w:szCs w:val="22"/>
        </w:rPr>
        <w:t xml:space="preserve"> </w:t>
      </w:r>
      <w:r w:rsidRPr="00A01E0B">
        <w:rPr>
          <w:sz w:val="22"/>
          <w:szCs w:val="22"/>
        </w:rPr>
        <w:t>a longo prazo</w:t>
      </w:r>
      <w:r w:rsidR="00B054DD" w:rsidRPr="00A01E0B">
        <w:rPr>
          <w:sz w:val="22"/>
          <w:szCs w:val="22"/>
        </w:rPr>
        <w:t>, não-controlado</w:t>
      </w:r>
      <w:r w:rsidRPr="00A01E0B">
        <w:rPr>
          <w:sz w:val="22"/>
          <w:szCs w:val="22"/>
        </w:rPr>
        <w:t xml:space="preserve">, com uma duração </w:t>
      </w:r>
      <w:r w:rsidR="00B054DD">
        <w:rPr>
          <w:sz w:val="22"/>
          <w:szCs w:val="22"/>
        </w:rPr>
        <w:t>inici</w:t>
      </w:r>
      <w:r w:rsidRPr="00A01E0B">
        <w:rPr>
          <w:sz w:val="22"/>
          <w:szCs w:val="22"/>
        </w:rPr>
        <w:t xml:space="preserve">almente planeada de 78 semanas. Foi permitido aos doentes continuarem com a medicação do estudo para além da Semana 78 até </w:t>
      </w:r>
      <w:r w:rsidR="00FC7E81">
        <w:rPr>
          <w:sz w:val="22"/>
          <w:szCs w:val="22"/>
        </w:rPr>
        <w:t>terem</w:t>
      </w:r>
      <w:r w:rsidRPr="00A01E0B">
        <w:rPr>
          <w:sz w:val="22"/>
          <w:szCs w:val="22"/>
        </w:rPr>
        <w:t xml:space="preserve"> acesso a Humira.</w:t>
      </w:r>
    </w:p>
    <w:p w14:paraId="704C1F5D" w14:textId="77777777" w:rsidR="0070495A" w:rsidRPr="00593BA5" w:rsidRDefault="0070495A" w:rsidP="004462A0">
      <w:pPr>
        <w:rPr>
          <w:sz w:val="22"/>
          <w:szCs w:val="22"/>
        </w:rPr>
      </w:pPr>
    </w:p>
    <w:p w14:paraId="335C171E" w14:textId="77777777" w:rsidR="004462A0" w:rsidRPr="00AD5225" w:rsidRDefault="00615769" w:rsidP="004462A0">
      <w:pPr>
        <w:rPr>
          <w:i/>
          <w:sz w:val="22"/>
          <w:szCs w:val="22"/>
          <w:u w:val="single"/>
        </w:rPr>
      </w:pPr>
      <w:r w:rsidRPr="00AD5225">
        <w:rPr>
          <w:i/>
          <w:sz w:val="22"/>
          <w:szCs w:val="22"/>
          <w:u w:val="single"/>
        </w:rPr>
        <w:t xml:space="preserve">Resposta </w:t>
      </w:r>
      <w:r w:rsidR="00B150A1">
        <w:rPr>
          <w:i/>
          <w:sz w:val="22"/>
          <w:szCs w:val="22"/>
          <w:u w:val="single"/>
        </w:rPr>
        <w:t>c</w:t>
      </w:r>
      <w:r w:rsidRPr="00AD5225">
        <w:rPr>
          <w:i/>
          <w:sz w:val="22"/>
          <w:szCs w:val="22"/>
          <w:u w:val="single"/>
        </w:rPr>
        <w:t>línica</w:t>
      </w:r>
    </w:p>
    <w:p w14:paraId="6EEF95C3" w14:textId="77777777" w:rsidR="004462A0" w:rsidRPr="00593BA5" w:rsidRDefault="004462A0" w:rsidP="004462A0">
      <w:pPr>
        <w:rPr>
          <w:sz w:val="22"/>
          <w:szCs w:val="22"/>
        </w:rPr>
      </w:pPr>
    </w:p>
    <w:p w14:paraId="78515F0F" w14:textId="77777777" w:rsidR="004462A0" w:rsidRDefault="00615769" w:rsidP="004462A0">
      <w:pPr>
        <w:rPr>
          <w:sz w:val="22"/>
          <w:szCs w:val="22"/>
        </w:rPr>
      </w:pPr>
      <w:r w:rsidRPr="00593BA5">
        <w:rPr>
          <w:sz w:val="22"/>
          <w:szCs w:val="22"/>
        </w:rPr>
        <w:t xml:space="preserve">Os resultados de ambos os estudos demonstraram uma redução estatisticamente significativa do risco de falha do tratamento em doentes tratados com Humira versus doentes que receberam placebo (Ver Tabela </w:t>
      </w:r>
      <w:r w:rsidR="00444043">
        <w:rPr>
          <w:sz w:val="22"/>
          <w:szCs w:val="22"/>
        </w:rPr>
        <w:t>2</w:t>
      </w:r>
      <w:r w:rsidR="00E549E4">
        <w:rPr>
          <w:sz w:val="22"/>
          <w:szCs w:val="22"/>
        </w:rPr>
        <w:t>4</w:t>
      </w:r>
      <w:r w:rsidRPr="00593BA5">
        <w:rPr>
          <w:sz w:val="22"/>
          <w:szCs w:val="22"/>
        </w:rPr>
        <w:t>). Ambos os estudos demonstraram um efeito precoce e sustentado d</w:t>
      </w:r>
      <w:r w:rsidR="003A4C51">
        <w:rPr>
          <w:sz w:val="22"/>
          <w:szCs w:val="22"/>
        </w:rPr>
        <w:t>e</w:t>
      </w:r>
      <w:r w:rsidRPr="00593BA5">
        <w:rPr>
          <w:sz w:val="22"/>
          <w:szCs w:val="22"/>
        </w:rPr>
        <w:t xml:space="preserve"> Humira, na taxa de falha do tratamento versus placebo (ver Figura </w:t>
      </w:r>
      <w:r w:rsidR="00AD0C73">
        <w:rPr>
          <w:sz w:val="22"/>
          <w:szCs w:val="22"/>
        </w:rPr>
        <w:t>2</w:t>
      </w:r>
      <w:r w:rsidRPr="00593BA5">
        <w:rPr>
          <w:sz w:val="22"/>
          <w:szCs w:val="22"/>
        </w:rPr>
        <w:t>).</w:t>
      </w:r>
    </w:p>
    <w:p w14:paraId="64B8C127" w14:textId="77777777" w:rsidR="004462A0" w:rsidRDefault="004462A0" w:rsidP="004462A0">
      <w:pPr>
        <w:rPr>
          <w:sz w:val="22"/>
          <w:szCs w:val="22"/>
        </w:rPr>
      </w:pPr>
    </w:p>
    <w:p w14:paraId="1ED6D501" w14:textId="77777777" w:rsidR="004462A0" w:rsidRPr="00635048" w:rsidRDefault="00615769" w:rsidP="002F486F">
      <w:pPr>
        <w:keepNext/>
        <w:jc w:val="center"/>
        <w:rPr>
          <w:b/>
          <w:sz w:val="22"/>
          <w:szCs w:val="22"/>
        </w:rPr>
      </w:pPr>
      <w:r w:rsidRPr="00635048">
        <w:rPr>
          <w:b/>
          <w:sz w:val="22"/>
          <w:szCs w:val="22"/>
        </w:rPr>
        <w:t xml:space="preserve">Tabela </w:t>
      </w:r>
      <w:r w:rsidR="00444043">
        <w:rPr>
          <w:b/>
          <w:sz w:val="22"/>
          <w:szCs w:val="22"/>
        </w:rPr>
        <w:t>2</w:t>
      </w:r>
      <w:r w:rsidR="00E549E4">
        <w:rPr>
          <w:b/>
          <w:sz w:val="22"/>
          <w:szCs w:val="22"/>
        </w:rPr>
        <w:t>4</w:t>
      </w:r>
    </w:p>
    <w:p w14:paraId="32B6470E" w14:textId="77777777" w:rsidR="004462A0" w:rsidRPr="00635048" w:rsidRDefault="00615769" w:rsidP="002F486F">
      <w:pPr>
        <w:keepNext/>
        <w:jc w:val="center"/>
        <w:rPr>
          <w:b/>
          <w:sz w:val="22"/>
          <w:szCs w:val="22"/>
        </w:rPr>
      </w:pPr>
      <w:r w:rsidRPr="00635048">
        <w:rPr>
          <w:b/>
          <w:sz w:val="22"/>
          <w:szCs w:val="22"/>
        </w:rPr>
        <w:t>Tempo até Falha do Tratamento nos Estudos UV I e UV II</w:t>
      </w:r>
    </w:p>
    <w:p w14:paraId="15D0A6B3" w14:textId="77777777" w:rsidR="004462A0" w:rsidRPr="00635048" w:rsidRDefault="004462A0" w:rsidP="002F486F">
      <w:pPr>
        <w:keepNext/>
        <w:rPr>
          <w:b/>
          <w:sz w:val="22"/>
          <w:szCs w:val="22"/>
        </w:rPr>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A7162A" w14:paraId="6881AD39" w14:textId="77777777" w:rsidTr="00F675CF">
        <w:tc>
          <w:tcPr>
            <w:tcW w:w="2268" w:type="dxa"/>
            <w:tcBorders>
              <w:top w:val="single" w:sz="4" w:space="0" w:color="auto"/>
              <w:bottom w:val="single" w:sz="4" w:space="0" w:color="auto"/>
            </w:tcBorders>
          </w:tcPr>
          <w:p w14:paraId="0097E6DD" w14:textId="77777777" w:rsidR="004462A0" w:rsidRPr="00A14E04" w:rsidRDefault="00615769" w:rsidP="002F486F">
            <w:pPr>
              <w:keepNext/>
              <w:rPr>
                <w:b/>
                <w:sz w:val="22"/>
                <w:szCs w:val="22"/>
                <w:lang w:val="en-US"/>
              </w:rPr>
            </w:pPr>
            <w:r w:rsidRPr="00A14E04">
              <w:rPr>
                <w:b/>
                <w:sz w:val="22"/>
                <w:szCs w:val="22"/>
                <w:lang w:val="en-US"/>
              </w:rPr>
              <w:t>An</w:t>
            </w:r>
            <w:r>
              <w:rPr>
                <w:b/>
                <w:sz w:val="22"/>
                <w:szCs w:val="22"/>
                <w:lang w:val="en-US"/>
              </w:rPr>
              <w:t>álise</w:t>
            </w:r>
          </w:p>
          <w:p w14:paraId="5E806AD9" w14:textId="77777777" w:rsidR="004462A0" w:rsidRPr="00A14E04" w:rsidRDefault="00615769" w:rsidP="002F486F">
            <w:pPr>
              <w:keepNext/>
              <w:rPr>
                <w:b/>
                <w:sz w:val="22"/>
                <w:szCs w:val="22"/>
                <w:lang w:val="en-US"/>
              </w:rPr>
            </w:pPr>
            <w:r>
              <w:rPr>
                <w:b/>
                <w:sz w:val="22"/>
                <w:szCs w:val="22"/>
                <w:lang w:val="en-US"/>
              </w:rPr>
              <w:tab/>
              <w:t>Tr</w:t>
            </w:r>
            <w:r w:rsidRPr="00A14E04">
              <w:rPr>
                <w:b/>
                <w:sz w:val="22"/>
                <w:szCs w:val="22"/>
                <w:lang w:val="en-US"/>
              </w:rPr>
              <w:t>at</w:t>
            </w:r>
            <w:r>
              <w:rPr>
                <w:b/>
                <w:sz w:val="22"/>
                <w:szCs w:val="22"/>
                <w:lang w:val="en-US"/>
              </w:rPr>
              <w:t>a</w:t>
            </w:r>
            <w:r w:rsidRPr="00A14E04">
              <w:rPr>
                <w:b/>
                <w:sz w:val="22"/>
                <w:szCs w:val="22"/>
                <w:lang w:val="en-US"/>
              </w:rPr>
              <w:t>ment</w:t>
            </w:r>
            <w:r>
              <w:rPr>
                <w:b/>
                <w:sz w:val="22"/>
                <w:szCs w:val="22"/>
                <w:lang w:val="en-US"/>
              </w:rPr>
              <w:t>o</w:t>
            </w:r>
          </w:p>
        </w:tc>
        <w:tc>
          <w:tcPr>
            <w:tcW w:w="720" w:type="dxa"/>
            <w:tcBorders>
              <w:top w:val="single" w:sz="4" w:space="0" w:color="auto"/>
              <w:bottom w:val="single" w:sz="4" w:space="0" w:color="auto"/>
            </w:tcBorders>
          </w:tcPr>
          <w:p w14:paraId="7F8FFA5E" w14:textId="77777777" w:rsidR="004462A0" w:rsidRPr="00A14E04" w:rsidRDefault="00615769" w:rsidP="002F486F">
            <w:pPr>
              <w:keepNext/>
              <w:rPr>
                <w:b/>
                <w:sz w:val="22"/>
                <w:szCs w:val="22"/>
                <w:lang w:val="en-US"/>
              </w:rPr>
            </w:pPr>
            <w:r w:rsidRPr="00A14E04">
              <w:rPr>
                <w:b/>
                <w:sz w:val="22"/>
                <w:szCs w:val="22"/>
                <w:lang w:val="en-US"/>
              </w:rPr>
              <w:t>N</w:t>
            </w:r>
          </w:p>
        </w:tc>
        <w:tc>
          <w:tcPr>
            <w:tcW w:w="1170" w:type="dxa"/>
            <w:tcBorders>
              <w:top w:val="single" w:sz="4" w:space="0" w:color="auto"/>
              <w:bottom w:val="single" w:sz="4" w:space="0" w:color="auto"/>
            </w:tcBorders>
          </w:tcPr>
          <w:p w14:paraId="5184F743" w14:textId="77777777" w:rsidR="004462A0" w:rsidRPr="00A14E04" w:rsidRDefault="00615769" w:rsidP="002F486F">
            <w:pPr>
              <w:keepNext/>
              <w:rPr>
                <w:b/>
                <w:sz w:val="22"/>
                <w:szCs w:val="22"/>
                <w:lang w:val="en-US"/>
              </w:rPr>
            </w:pPr>
            <w:r w:rsidRPr="00A14E04">
              <w:rPr>
                <w:b/>
                <w:sz w:val="22"/>
                <w:szCs w:val="22"/>
                <w:lang w:val="en-US"/>
              </w:rPr>
              <w:t>Fa</w:t>
            </w:r>
            <w:r>
              <w:rPr>
                <w:b/>
                <w:sz w:val="22"/>
                <w:szCs w:val="22"/>
                <w:lang w:val="en-US"/>
              </w:rPr>
              <w:t>lha</w:t>
            </w:r>
            <w:r w:rsidRPr="00A14E04">
              <w:rPr>
                <w:b/>
                <w:sz w:val="22"/>
                <w:szCs w:val="22"/>
                <w:lang w:val="en-US"/>
              </w:rPr>
              <w:br/>
              <w:t>N (%)</w:t>
            </w:r>
          </w:p>
        </w:tc>
        <w:tc>
          <w:tcPr>
            <w:tcW w:w="1890" w:type="dxa"/>
            <w:tcBorders>
              <w:top w:val="single" w:sz="4" w:space="0" w:color="auto"/>
              <w:bottom w:val="single" w:sz="4" w:space="0" w:color="auto"/>
            </w:tcBorders>
          </w:tcPr>
          <w:p w14:paraId="750E9CC7" w14:textId="77777777" w:rsidR="004462A0" w:rsidRPr="00635048" w:rsidRDefault="00615769" w:rsidP="002F486F">
            <w:pPr>
              <w:keepNext/>
              <w:rPr>
                <w:b/>
                <w:sz w:val="22"/>
                <w:szCs w:val="22"/>
              </w:rPr>
            </w:pPr>
            <w:r>
              <w:rPr>
                <w:b/>
                <w:sz w:val="22"/>
                <w:szCs w:val="22"/>
              </w:rPr>
              <w:t xml:space="preserve">Mediana do </w:t>
            </w:r>
            <w:r w:rsidRPr="00635048">
              <w:rPr>
                <w:b/>
                <w:sz w:val="22"/>
                <w:szCs w:val="22"/>
              </w:rPr>
              <w:t>Tempo até Falha do Tratamento</w:t>
            </w:r>
            <w:r>
              <w:rPr>
                <w:b/>
                <w:sz w:val="22"/>
                <w:szCs w:val="22"/>
              </w:rPr>
              <w:t xml:space="preserve"> </w:t>
            </w:r>
            <w:r w:rsidRPr="00635048">
              <w:rPr>
                <w:b/>
                <w:sz w:val="22"/>
                <w:szCs w:val="22"/>
              </w:rPr>
              <w:t>(meses)</w:t>
            </w:r>
          </w:p>
        </w:tc>
        <w:tc>
          <w:tcPr>
            <w:tcW w:w="720" w:type="dxa"/>
            <w:tcBorders>
              <w:top w:val="single" w:sz="4" w:space="0" w:color="auto"/>
              <w:bottom w:val="single" w:sz="4" w:space="0" w:color="auto"/>
            </w:tcBorders>
          </w:tcPr>
          <w:p w14:paraId="4CA17D85" w14:textId="77777777" w:rsidR="004462A0" w:rsidRPr="00A14E04" w:rsidRDefault="00615769" w:rsidP="002F486F">
            <w:pPr>
              <w:keepNext/>
              <w:rPr>
                <w:b/>
                <w:sz w:val="22"/>
                <w:szCs w:val="22"/>
                <w:lang w:val="en-US"/>
              </w:rPr>
            </w:pPr>
            <w:r>
              <w:rPr>
                <w:b/>
                <w:sz w:val="22"/>
                <w:szCs w:val="22"/>
                <w:lang w:val="en-US"/>
              </w:rPr>
              <w:t>TR</w:t>
            </w:r>
            <w:r w:rsidRPr="00A14E04">
              <w:rPr>
                <w:b/>
                <w:sz w:val="22"/>
                <w:szCs w:val="22"/>
                <w:vertAlign w:val="superscript"/>
                <w:lang w:val="en-US"/>
              </w:rPr>
              <w:t>a</w:t>
            </w:r>
          </w:p>
        </w:tc>
        <w:tc>
          <w:tcPr>
            <w:tcW w:w="1170" w:type="dxa"/>
            <w:tcBorders>
              <w:top w:val="single" w:sz="4" w:space="0" w:color="auto"/>
              <w:bottom w:val="single" w:sz="4" w:space="0" w:color="auto"/>
            </w:tcBorders>
          </w:tcPr>
          <w:p w14:paraId="6A5941A3" w14:textId="77777777" w:rsidR="004462A0" w:rsidRPr="00A14E04" w:rsidRDefault="00615769" w:rsidP="002F486F">
            <w:pPr>
              <w:keepNext/>
              <w:rPr>
                <w:b/>
                <w:sz w:val="22"/>
                <w:szCs w:val="22"/>
                <w:lang w:val="en-US"/>
              </w:rPr>
            </w:pPr>
            <w:r>
              <w:rPr>
                <w:b/>
                <w:sz w:val="22"/>
                <w:szCs w:val="22"/>
                <w:lang w:val="en-US"/>
              </w:rPr>
              <w:t>I</w:t>
            </w:r>
            <w:r w:rsidRPr="00A14E04">
              <w:rPr>
                <w:b/>
                <w:sz w:val="22"/>
                <w:szCs w:val="22"/>
                <w:lang w:val="en-US"/>
              </w:rPr>
              <w:t xml:space="preserve">C 95% </w:t>
            </w:r>
            <w:r>
              <w:rPr>
                <w:b/>
                <w:sz w:val="22"/>
                <w:szCs w:val="22"/>
                <w:lang w:val="en-US"/>
              </w:rPr>
              <w:t>para</w:t>
            </w:r>
            <w:r w:rsidRPr="00A14E04">
              <w:rPr>
                <w:b/>
                <w:sz w:val="22"/>
                <w:szCs w:val="22"/>
                <w:lang w:val="en-US"/>
              </w:rPr>
              <w:t xml:space="preserve"> </w:t>
            </w:r>
            <w:r>
              <w:rPr>
                <w:b/>
                <w:sz w:val="22"/>
                <w:szCs w:val="22"/>
                <w:lang w:val="en-US"/>
              </w:rPr>
              <w:t>T</w:t>
            </w:r>
            <w:r w:rsidRPr="00A14E04">
              <w:rPr>
                <w:b/>
                <w:sz w:val="22"/>
                <w:szCs w:val="22"/>
                <w:lang w:val="en-US"/>
              </w:rPr>
              <w:t>R</w:t>
            </w:r>
            <w:r w:rsidRPr="00A14E04">
              <w:rPr>
                <w:b/>
                <w:sz w:val="22"/>
                <w:szCs w:val="22"/>
                <w:vertAlign w:val="superscript"/>
                <w:lang w:val="en-US"/>
              </w:rPr>
              <w:t>a</w:t>
            </w:r>
          </w:p>
        </w:tc>
        <w:tc>
          <w:tcPr>
            <w:tcW w:w="1080" w:type="dxa"/>
            <w:tcBorders>
              <w:top w:val="single" w:sz="4" w:space="0" w:color="auto"/>
              <w:bottom w:val="single" w:sz="4" w:space="0" w:color="auto"/>
            </w:tcBorders>
          </w:tcPr>
          <w:p w14:paraId="7D3800BF" w14:textId="77777777" w:rsidR="004462A0" w:rsidRPr="00A14E04" w:rsidRDefault="00615769" w:rsidP="002F486F">
            <w:pPr>
              <w:keepNext/>
              <w:rPr>
                <w:b/>
                <w:sz w:val="22"/>
                <w:szCs w:val="22"/>
                <w:lang w:val="en-US"/>
              </w:rPr>
            </w:pPr>
            <w:r w:rsidRPr="00635048">
              <w:rPr>
                <w:b/>
                <w:sz w:val="22"/>
                <w:szCs w:val="22"/>
                <w:lang w:val="en-US"/>
              </w:rPr>
              <w:t>Valor</w:t>
            </w:r>
            <w:r w:rsidR="00C9386F">
              <w:rPr>
                <w:b/>
                <w:sz w:val="22"/>
                <w:szCs w:val="22"/>
                <w:lang w:val="en-US"/>
              </w:rPr>
              <w:t>-p</w:t>
            </w:r>
            <w:r w:rsidRPr="00635048">
              <w:rPr>
                <w:b/>
                <w:sz w:val="22"/>
                <w:szCs w:val="22"/>
                <w:vertAlign w:val="superscript"/>
                <w:lang w:val="en-US"/>
              </w:rPr>
              <w:t>b</w:t>
            </w:r>
          </w:p>
        </w:tc>
      </w:tr>
      <w:tr w:rsidR="00A7162A" w14:paraId="01287D68" w14:textId="77777777" w:rsidTr="00F675CF">
        <w:tc>
          <w:tcPr>
            <w:tcW w:w="9018" w:type="dxa"/>
            <w:gridSpan w:val="7"/>
            <w:tcBorders>
              <w:top w:val="single" w:sz="4" w:space="0" w:color="auto"/>
              <w:bottom w:val="nil"/>
            </w:tcBorders>
          </w:tcPr>
          <w:p w14:paraId="51DF5E10" w14:textId="77777777" w:rsidR="004462A0" w:rsidRPr="00635048" w:rsidRDefault="00615769" w:rsidP="002F486F">
            <w:pPr>
              <w:keepNext/>
              <w:rPr>
                <w:b/>
                <w:sz w:val="22"/>
                <w:szCs w:val="22"/>
              </w:rPr>
            </w:pPr>
            <w:r w:rsidRPr="00635048">
              <w:rPr>
                <w:b/>
                <w:sz w:val="22"/>
                <w:szCs w:val="22"/>
              </w:rPr>
              <w:t xml:space="preserve">Tempo até Falha do Tratamento </w:t>
            </w:r>
            <w:r>
              <w:rPr>
                <w:b/>
                <w:sz w:val="22"/>
                <w:szCs w:val="22"/>
              </w:rPr>
              <w:t xml:space="preserve">na ou após a Semana 6 no Estudo </w:t>
            </w:r>
            <w:r w:rsidRPr="00635048">
              <w:rPr>
                <w:b/>
                <w:sz w:val="22"/>
                <w:szCs w:val="22"/>
              </w:rPr>
              <w:t xml:space="preserve">UV I  </w:t>
            </w:r>
          </w:p>
        </w:tc>
      </w:tr>
      <w:tr w:rsidR="00A7162A" w14:paraId="299F78F9" w14:textId="77777777" w:rsidTr="00F675CF">
        <w:tc>
          <w:tcPr>
            <w:tcW w:w="2988" w:type="dxa"/>
            <w:gridSpan w:val="2"/>
            <w:tcBorders>
              <w:top w:val="nil"/>
              <w:bottom w:val="nil"/>
            </w:tcBorders>
          </w:tcPr>
          <w:p w14:paraId="095FC059" w14:textId="77777777" w:rsidR="004462A0" w:rsidRPr="00A14E04" w:rsidRDefault="00615769" w:rsidP="00F675CF">
            <w:pPr>
              <w:rPr>
                <w:sz w:val="22"/>
                <w:szCs w:val="22"/>
                <w:lang w:val="en-US"/>
              </w:rPr>
            </w:pPr>
            <w:r>
              <w:rPr>
                <w:sz w:val="22"/>
                <w:szCs w:val="22"/>
                <w:lang w:val="en-US"/>
              </w:rPr>
              <w:t>Análise primária</w:t>
            </w:r>
            <w:r w:rsidRPr="00A14E04">
              <w:rPr>
                <w:sz w:val="22"/>
                <w:szCs w:val="22"/>
                <w:lang w:val="en-US"/>
              </w:rPr>
              <w:t xml:space="preserve"> (ITT)</w:t>
            </w:r>
          </w:p>
        </w:tc>
        <w:tc>
          <w:tcPr>
            <w:tcW w:w="1170" w:type="dxa"/>
            <w:tcBorders>
              <w:top w:val="nil"/>
              <w:bottom w:val="nil"/>
            </w:tcBorders>
          </w:tcPr>
          <w:p w14:paraId="3962C756" w14:textId="77777777" w:rsidR="004462A0" w:rsidRPr="00A14E04" w:rsidRDefault="004462A0" w:rsidP="00F675CF">
            <w:pPr>
              <w:rPr>
                <w:sz w:val="22"/>
                <w:szCs w:val="22"/>
                <w:lang w:val="en-US"/>
              </w:rPr>
            </w:pPr>
          </w:p>
        </w:tc>
        <w:tc>
          <w:tcPr>
            <w:tcW w:w="1890" w:type="dxa"/>
            <w:tcBorders>
              <w:top w:val="nil"/>
              <w:bottom w:val="nil"/>
            </w:tcBorders>
          </w:tcPr>
          <w:p w14:paraId="1D860BA5" w14:textId="77777777" w:rsidR="004462A0" w:rsidRPr="00A14E04" w:rsidRDefault="004462A0" w:rsidP="00F675CF">
            <w:pPr>
              <w:rPr>
                <w:sz w:val="22"/>
                <w:szCs w:val="22"/>
                <w:lang w:val="en-US"/>
              </w:rPr>
            </w:pPr>
          </w:p>
        </w:tc>
        <w:tc>
          <w:tcPr>
            <w:tcW w:w="720" w:type="dxa"/>
            <w:tcBorders>
              <w:top w:val="nil"/>
              <w:bottom w:val="nil"/>
            </w:tcBorders>
          </w:tcPr>
          <w:p w14:paraId="3A796932" w14:textId="77777777" w:rsidR="004462A0" w:rsidRPr="00A14E04" w:rsidRDefault="004462A0" w:rsidP="00F675CF">
            <w:pPr>
              <w:rPr>
                <w:sz w:val="22"/>
                <w:szCs w:val="22"/>
                <w:lang w:val="en-US"/>
              </w:rPr>
            </w:pPr>
          </w:p>
        </w:tc>
        <w:tc>
          <w:tcPr>
            <w:tcW w:w="1170" w:type="dxa"/>
            <w:tcBorders>
              <w:top w:val="nil"/>
              <w:bottom w:val="nil"/>
            </w:tcBorders>
          </w:tcPr>
          <w:p w14:paraId="5EC57C1A" w14:textId="77777777" w:rsidR="004462A0" w:rsidRPr="00A14E04" w:rsidRDefault="004462A0" w:rsidP="00F675CF">
            <w:pPr>
              <w:rPr>
                <w:sz w:val="22"/>
                <w:szCs w:val="22"/>
                <w:lang w:val="en-US"/>
              </w:rPr>
            </w:pPr>
          </w:p>
        </w:tc>
        <w:tc>
          <w:tcPr>
            <w:tcW w:w="1080" w:type="dxa"/>
            <w:tcBorders>
              <w:top w:val="nil"/>
              <w:bottom w:val="nil"/>
            </w:tcBorders>
          </w:tcPr>
          <w:p w14:paraId="5936E296" w14:textId="77777777" w:rsidR="004462A0" w:rsidRPr="00A14E04" w:rsidRDefault="004462A0" w:rsidP="00F675CF">
            <w:pPr>
              <w:rPr>
                <w:sz w:val="22"/>
                <w:szCs w:val="22"/>
                <w:lang w:val="en-US"/>
              </w:rPr>
            </w:pPr>
          </w:p>
        </w:tc>
      </w:tr>
      <w:tr w:rsidR="00A7162A" w14:paraId="4DC7A760" w14:textId="77777777" w:rsidTr="00F675CF">
        <w:tc>
          <w:tcPr>
            <w:tcW w:w="2268" w:type="dxa"/>
            <w:tcBorders>
              <w:top w:val="nil"/>
              <w:bottom w:val="nil"/>
            </w:tcBorders>
          </w:tcPr>
          <w:p w14:paraId="65F0B22F" w14:textId="77777777" w:rsidR="004462A0" w:rsidRPr="00A14E04" w:rsidRDefault="00615769" w:rsidP="00F675CF">
            <w:pPr>
              <w:rPr>
                <w:sz w:val="22"/>
                <w:szCs w:val="22"/>
                <w:lang w:val="en-US"/>
              </w:rPr>
            </w:pPr>
            <w:r w:rsidRPr="00A14E04">
              <w:rPr>
                <w:sz w:val="22"/>
                <w:szCs w:val="22"/>
                <w:lang w:val="en-US"/>
              </w:rPr>
              <w:tab/>
              <w:t>Placebo</w:t>
            </w:r>
          </w:p>
        </w:tc>
        <w:tc>
          <w:tcPr>
            <w:tcW w:w="720" w:type="dxa"/>
            <w:tcBorders>
              <w:top w:val="nil"/>
              <w:bottom w:val="nil"/>
            </w:tcBorders>
          </w:tcPr>
          <w:p w14:paraId="5DF0AB16" w14:textId="77777777" w:rsidR="004462A0" w:rsidRPr="00A14E04" w:rsidRDefault="00615769" w:rsidP="00F675CF">
            <w:pPr>
              <w:rPr>
                <w:sz w:val="22"/>
                <w:szCs w:val="22"/>
                <w:lang w:val="en-US"/>
              </w:rPr>
            </w:pPr>
            <w:r w:rsidRPr="00A14E04">
              <w:rPr>
                <w:sz w:val="22"/>
                <w:szCs w:val="22"/>
                <w:lang w:val="en-US"/>
              </w:rPr>
              <w:t>107</w:t>
            </w:r>
          </w:p>
        </w:tc>
        <w:tc>
          <w:tcPr>
            <w:tcW w:w="1170" w:type="dxa"/>
            <w:tcBorders>
              <w:top w:val="nil"/>
              <w:bottom w:val="nil"/>
            </w:tcBorders>
          </w:tcPr>
          <w:p w14:paraId="74E0480D" w14:textId="77777777" w:rsidR="004462A0" w:rsidRPr="00A14E04" w:rsidRDefault="00615769" w:rsidP="00F675CF">
            <w:pPr>
              <w:rPr>
                <w:sz w:val="22"/>
                <w:szCs w:val="22"/>
                <w:lang w:val="en-US"/>
              </w:rPr>
            </w:pPr>
            <w:r w:rsidRPr="00A14E04">
              <w:rPr>
                <w:sz w:val="22"/>
                <w:szCs w:val="22"/>
                <w:lang w:val="en-US"/>
              </w:rPr>
              <w:t>84 (78</w:t>
            </w:r>
            <w:r>
              <w:rPr>
                <w:sz w:val="22"/>
                <w:szCs w:val="22"/>
                <w:lang w:val="en-US"/>
              </w:rPr>
              <w:t>,</w:t>
            </w:r>
            <w:r w:rsidRPr="00A14E04">
              <w:rPr>
                <w:sz w:val="22"/>
                <w:szCs w:val="22"/>
                <w:lang w:val="en-US"/>
              </w:rPr>
              <w:t>5)</w:t>
            </w:r>
          </w:p>
        </w:tc>
        <w:tc>
          <w:tcPr>
            <w:tcW w:w="1890" w:type="dxa"/>
            <w:tcBorders>
              <w:top w:val="nil"/>
              <w:bottom w:val="nil"/>
            </w:tcBorders>
          </w:tcPr>
          <w:p w14:paraId="5B390B7D" w14:textId="77777777" w:rsidR="004462A0" w:rsidRPr="00A14E04" w:rsidRDefault="00615769" w:rsidP="00F675CF">
            <w:pPr>
              <w:rPr>
                <w:sz w:val="22"/>
                <w:szCs w:val="22"/>
                <w:lang w:val="en-US"/>
              </w:rPr>
            </w:pPr>
            <w:r>
              <w:rPr>
                <w:sz w:val="22"/>
                <w:szCs w:val="22"/>
                <w:lang w:val="en-US"/>
              </w:rPr>
              <w:t>3,</w:t>
            </w:r>
            <w:r w:rsidRPr="00A14E04">
              <w:rPr>
                <w:sz w:val="22"/>
                <w:szCs w:val="22"/>
                <w:lang w:val="en-US"/>
              </w:rPr>
              <w:t>0</w:t>
            </w:r>
          </w:p>
        </w:tc>
        <w:tc>
          <w:tcPr>
            <w:tcW w:w="720" w:type="dxa"/>
            <w:tcBorders>
              <w:top w:val="nil"/>
              <w:bottom w:val="nil"/>
            </w:tcBorders>
          </w:tcPr>
          <w:p w14:paraId="367AA27D" w14:textId="77777777" w:rsidR="004462A0" w:rsidRPr="00A14E04" w:rsidRDefault="00615769" w:rsidP="00F675CF">
            <w:pPr>
              <w:rPr>
                <w:sz w:val="22"/>
                <w:szCs w:val="22"/>
                <w:lang w:val="en-US"/>
              </w:rPr>
            </w:pPr>
            <w:r w:rsidRPr="00A14E04">
              <w:rPr>
                <w:sz w:val="22"/>
                <w:szCs w:val="22"/>
                <w:lang w:val="en-US"/>
              </w:rPr>
              <w:t>--</w:t>
            </w:r>
          </w:p>
        </w:tc>
        <w:tc>
          <w:tcPr>
            <w:tcW w:w="1170" w:type="dxa"/>
            <w:tcBorders>
              <w:top w:val="nil"/>
              <w:bottom w:val="nil"/>
            </w:tcBorders>
          </w:tcPr>
          <w:p w14:paraId="19B8545A" w14:textId="77777777" w:rsidR="004462A0" w:rsidRPr="00A14E04" w:rsidRDefault="00615769" w:rsidP="00F675CF">
            <w:pPr>
              <w:rPr>
                <w:sz w:val="22"/>
                <w:szCs w:val="22"/>
                <w:lang w:val="en-US"/>
              </w:rPr>
            </w:pPr>
            <w:r w:rsidRPr="00A14E04">
              <w:rPr>
                <w:sz w:val="22"/>
                <w:szCs w:val="22"/>
                <w:lang w:val="en-US"/>
              </w:rPr>
              <w:t>--</w:t>
            </w:r>
          </w:p>
        </w:tc>
        <w:tc>
          <w:tcPr>
            <w:tcW w:w="1080" w:type="dxa"/>
            <w:tcBorders>
              <w:top w:val="nil"/>
              <w:bottom w:val="nil"/>
            </w:tcBorders>
          </w:tcPr>
          <w:p w14:paraId="4F88CA59" w14:textId="77777777" w:rsidR="004462A0" w:rsidRPr="00A14E04" w:rsidRDefault="00615769" w:rsidP="00F675CF">
            <w:pPr>
              <w:rPr>
                <w:sz w:val="22"/>
                <w:szCs w:val="22"/>
                <w:lang w:val="en-US"/>
              </w:rPr>
            </w:pPr>
            <w:r w:rsidRPr="00A14E04">
              <w:rPr>
                <w:sz w:val="22"/>
                <w:szCs w:val="22"/>
                <w:lang w:val="en-US"/>
              </w:rPr>
              <w:t>--</w:t>
            </w:r>
          </w:p>
        </w:tc>
      </w:tr>
      <w:tr w:rsidR="00A7162A" w14:paraId="567F3B1A" w14:textId="77777777" w:rsidTr="00F675CF">
        <w:tc>
          <w:tcPr>
            <w:tcW w:w="2268" w:type="dxa"/>
            <w:tcBorders>
              <w:top w:val="nil"/>
              <w:bottom w:val="single" w:sz="4" w:space="0" w:color="auto"/>
            </w:tcBorders>
          </w:tcPr>
          <w:p w14:paraId="7F6CEF0E" w14:textId="77777777" w:rsidR="004462A0" w:rsidRPr="00A14E04" w:rsidRDefault="00615769" w:rsidP="00F675CF">
            <w:pPr>
              <w:rPr>
                <w:sz w:val="22"/>
                <w:szCs w:val="22"/>
                <w:lang w:val="en-US"/>
              </w:rPr>
            </w:pPr>
            <w:r w:rsidRPr="00A14E04">
              <w:rPr>
                <w:sz w:val="22"/>
                <w:szCs w:val="22"/>
                <w:lang w:val="en-US"/>
              </w:rPr>
              <w:tab/>
              <w:t>Adalimumab</w:t>
            </w:r>
          </w:p>
        </w:tc>
        <w:tc>
          <w:tcPr>
            <w:tcW w:w="720" w:type="dxa"/>
            <w:tcBorders>
              <w:top w:val="nil"/>
              <w:bottom w:val="single" w:sz="4" w:space="0" w:color="auto"/>
            </w:tcBorders>
          </w:tcPr>
          <w:p w14:paraId="111BDC7B" w14:textId="77777777" w:rsidR="004462A0" w:rsidRPr="00A14E04" w:rsidRDefault="00615769" w:rsidP="00F675CF">
            <w:pPr>
              <w:rPr>
                <w:sz w:val="22"/>
                <w:szCs w:val="22"/>
                <w:lang w:val="en-US"/>
              </w:rPr>
            </w:pPr>
            <w:r w:rsidRPr="00A14E04">
              <w:rPr>
                <w:sz w:val="22"/>
                <w:szCs w:val="22"/>
                <w:lang w:val="en-US"/>
              </w:rPr>
              <w:t>110</w:t>
            </w:r>
          </w:p>
        </w:tc>
        <w:tc>
          <w:tcPr>
            <w:tcW w:w="1170" w:type="dxa"/>
            <w:tcBorders>
              <w:top w:val="nil"/>
              <w:bottom w:val="single" w:sz="4" w:space="0" w:color="auto"/>
            </w:tcBorders>
          </w:tcPr>
          <w:p w14:paraId="74E61FD7" w14:textId="77777777" w:rsidR="004462A0" w:rsidRPr="00A14E04" w:rsidRDefault="00615769" w:rsidP="00F675CF">
            <w:pPr>
              <w:rPr>
                <w:sz w:val="22"/>
                <w:szCs w:val="22"/>
                <w:lang w:val="en-US"/>
              </w:rPr>
            </w:pPr>
            <w:r w:rsidRPr="00A14E04">
              <w:rPr>
                <w:sz w:val="22"/>
                <w:szCs w:val="22"/>
                <w:lang w:val="en-US"/>
              </w:rPr>
              <w:t>60 (54</w:t>
            </w:r>
            <w:r>
              <w:rPr>
                <w:sz w:val="22"/>
                <w:szCs w:val="22"/>
                <w:lang w:val="en-US"/>
              </w:rPr>
              <w:t>,</w:t>
            </w:r>
            <w:r w:rsidRPr="00A14E04">
              <w:rPr>
                <w:sz w:val="22"/>
                <w:szCs w:val="22"/>
                <w:lang w:val="en-US"/>
              </w:rPr>
              <w:t>5)</w:t>
            </w:r>
          </w:p>
        </w:tc>
        <w:tc>
          <w:tcPr>
            <w:tcW w:w="1890" w:type="dxa"/>
            <w:tcBorders>
              <w:top w:val="nil"/>
              <w:bottom w:val="single" w:sz="4" w:space="0" w:color="auto"/>
            </w:tcBorders>
          </w:tcPr>
          <w:p w14:paraId="3B606E0C" w14:textId="77777777" w:rsidR="004462A0" w:rsidRPr="00A14E04" w:rsidRDefault="00615769" w:rsidP="00F675CF">
            <w:pPr>
              <w:rPr>
                <w:sz w:val="22"/>
                <w:szCs w:val="22"/>
                <w:lang w:val="en-US"/>
              </w:rPr>
            </w:pPr>
            <w:r>
              <w:rPr>
                <w:sz w:val="22"/>
                <w:szCs w:val="22"/>
                <w:lang w:val="en-US"/>
              </w:rPr>
              <w:t>5,</w:t>
            </w:r>
            <w:r w:rsidRPr="00A14E04">
              <w:rPr>
                <w:sz w:val="22"/>
                <w:szCs w:val="22"/>
                <w:lang w:val="en-US"/>
              </w:rPr>
              <w:t>6</w:t>
            </w:r>
          </w:p>
        </w:tc>
        <w:tc>
          <w:tcPr>
            <w:tcW w:w="720" w:type="dxa"/>
            <w:tcBorders>
              <w:top w:val="nil"/>
              <w:bottom w:val="single" w:sz="4" w:space="0" w:color="auto"/>
            </w:tcBorders>
          </w:tcPr>
          <w:p w14:paraId="7D6A8E68" w14:textId="77777777" w:rsidR="004462A0" w:rsidRPr="00A14E04" w:rsidRDefault="00615769" w:rsidP="00F675CF">
            <w:pPr>
              <w:rPr>
                <w:sz w:val="22"/>
                <w:szCs w:val="22"/>
                <w:lang w:val="en-US"/>
              </w:rPr>
            </w:pPr>
            <w:r w:rsidRPr="00A14E04">
              <w:rPr>
                <w:sz w:val="22"/>
                <w:szCs w:val="22"/>
                <w:lang w:val="en-US"/>
              </w:rPr>
              <w:t>0</w:t>
            </w:r>
            <w:r>
              <w:rPr>
                <w:sz w:val="22"/>
                <w:szCs w:val="22"/>
                <w:lang w:val="en-US"/>
              </w:rPr>
              <w:t>,</w:t>
            </w:r>
            <w:r w:rsidRPr="00A14E04">
              <w:rPr>
                <w:sz w:val="22"/>
                <w:szCs w:val="22"/>
                <w:lang w:val="en-US"/>
              </w:rPr>
              <w:t>50</w:t>
            </w:r>
          </w:p>
        </w:tc>
        <w:tc>
          <w:tcPr>
            <w:tcW w:w="1170" w:type="dxa"/>
            <w:tcBorders>
              <w:top w:val="nil"/>
              <w:bottom w:val="single" w:sz="4" w:space="0" w:color="auto"/>
            </w:tcBorders>
          </w:tcPr>
          <w:p w14:paraId="7BE639FE" w14:textId="77777777" w:rsidR="004462A0" w:rsidRPr="00A14E04" w:rsidRDefault="00615769" w:rsidP="00F675CF">
            <w:pPr>
              <w:rPr>
                <w:sz w:val="22"/>
                <w:szCs w:val="22"/>
                <w:lang w:val="en-US"/>
              </w:rPr>
            </w:pPr>
            <w:r>
              <w:rPr>
                <w:sz w:val="22"/>
                <w:szCs w:val="22"/>
                <w:lang w:val="en-US"/>
              </w:rPr>
              <w:t>0,</w:t>
            </w:r>
            <w:r w:rsidRPr="00A14E04">
              <w:rPr>
                <w:sz w:val="22"/>
                <w:szCs w:val="22"/>
                <w:lang w:val="en-US"/>
              </w:rPr>
              <w:t>36, 0</w:t>
            </w:r>
            <w:r>
              <w:rPr>
                <w:sz w:val="22"/>
                <w:szCs w:val="22"/>
                <w:lang w:val="en-US"/>
              </w:rPr>
              <w:t>,</w:t>
            </w:r>
            <w:r w:rsidRPr="00A14E04">
              <w:rPr>
                <w:sz w:val="22"/>
                <w:szCs w:val="22"/>
                <w:lang w:val="en-US"/>
              </w:rPr>
              <w:t>70</w:t>
            </w:r>
            <w:r w:rsidRPr="00A14E04">
              <w:rPr>
                <w:sz w:val="22"/>
                <w:szCs w:val="22"/>
                <w:vertAlign w:val="superscript"/>
                <w:lang w:val="en-US"/>
              </w:rPr>
              <w:t xml:space="preserve"> </w:t>
            </w:r>
          </w:p>
        </w:tc>
        <w:tc>
          <w:tcPr>
            <w:tcW w:w="1080" w:type="dxa"/>
            <w:tcBorders>
              <w:top w:val="nil"/>
              <w:bottom w:val="single" w:sz="4" w:space="0" w:color="auto"/>
            </w:tcBorders>
          </w:tcPr>
          <w:p w14:paraId="4A4BBC2F" w14:textId="77777777" w:rsidR="004462A0" w:rsidRPr="00A14E04" w:rsidRDefault="00615769" w:rsidP="00F675CF">
            <w:pPr>
              <w:rPr>
                <w:sz w:val="22"/>
                <w:szCs w:val="22"/>
                <w:lang w:val="en-US"/>
              </w:rPr>
            </w:pPr>
            <w:r w:rsidRPr="00A14E04">
              <w:rPr>
                <w:sz w:val="22"/>
                <w:szCs w:val="22"/>
                <w:lang w:val="en-US"/>
              </w:rPr>
              <w:t>&lt; 0</w:t>
            </w:r>
            <w:r>
              <w:rPr>
                <w:sz w:val="22"/>
                <w:szCs w:val="22"/>
                <w:lang w:val="en-US"/>
              </w:rPr>
              <w:t>,</w:t>
            </w:r>
            <w:r w:rsidRPr="00A14E04">
              <w:rPr>
                <w:sz w:val="22"/>
                <w:szCs w:val="22"/>
                <w:lang w:val="en-US"/>
              </w:rPr>
              <w:t>001</w:t>
            </w:r>
          </w:p>
        </w:tc>
      </w:tr>
      <w:tr w:rsidR="00A7162A" w14:paraId="4CCCF7BB" w14:textId="77777777" w:rsidTr="00F675CF">
        <w:tblPrEx>
          <w:tblBorders>
            <w:left w:val="single" w:sz="4" w:space="0" w:color="auto"/>
            <w:right w:val="single" w:sz="4" w:space="0" w:color="auto"/>
            <w:insideH w:val="single" w:sz="4" w:space="0" w:color="auto"/>
            <w:insideV w:val="single" w:sz="4" w:space="0" w:color="auto"/>
          </w:tblBorders>
        </w:tblPrEx>
        <w:tc>
          <w:tcPr>
            <w:tcW w:w="9018" w:type="dxa"/>
            <w:gridSpan w:val="7"/>
            <w:tcBorders>
              <w:left w:val="nil"/>
              <w:bottom w:val="nil"/>
              <w:right w:val="nil"/>
            </w:tcBorders>
          </w:tcPr>
          <w:p w14:paraId="6A0B4117" w14:textId="77777777" w:rsidR="004462A0" w:rsidRPr="00BB2CEC" w:rsidRDefault="00615769" w:rsidP="00F675CF">
            <w:pPr>
              <w:rPr>
                <w:b/>
                <w:sz w:val="22"/>
                <w:szCs w:val="22"/>
              </w:rPr>
            </w:pPr>
            <w:r w:rsidRPr="00635048">
              <w:rPr>
                <w:b/>
                <w:sz w:val="22"/>
                <w:szCs w:val="22"/>
              </w:rPr>
              <w:t xml:space="preserve">Tempo até Falha do Tratamento </w:t>
            </w:r>
            <w:r>
              <w:rPr>
                <w:b/>
                <w:sz w:val="22"/>
                <w:szCs w:val="22"/>
              </w:rPr>
              <w:t>na</w:t>
            </w:r>
            <w:r w:rsidRPr="00635048">
              <w:rPr>
                <w:b/>
                <w:sz w:val="22"/>
                <w:szCs w:val="22"/>
              </w:rPr>
              <w:t xml:space="preserve"> ou após a Semana </w:t>
            </w:r>
            <w:r w:rsidRPr="00BB2CEC">
              <w:rPr>
                <w:b/>
                <w:sz w:val="22"/>
                <w:szCs w:val="22"/>
              </w:rPr>
              <w:t>2 no Estudo UV II</w:t>
            </w:r>
          </w:p>
        </w:tc>
      </w:tr>
      <w:tr w:rsidR="00A7162A" w14:paraId="57CA5933" w14:textId="77777777" w:rsidTr="00F675CF">
        <w:tblPrEx>
          <w:tblBorders>
            <w:left w:val="single" w:sz="4" w:space="0" w:color="auto"/>
            <w:right w:val="single" w:sz="4" w:space="0" w:color="auto"/>
            <w:insideH w:val="single" w:sz="4" w:space="0" w:color="auto"/>
            <w:insideV w:val="single" w:sz="4" w:space="0" w:color="auto"/>
          </w:tblBorders>
        </w:tblPrEx>
        <w:tc>
          <w:tcPr>
            <w:tcW w:w="2988" w:type="dxa"/>
            <w:gridSpan w:val="2"/>
            <w:tcBorders>
              <w:top w:val="nil"/>
              <w:left w:val="nil"/>
              <w:bottom w:val="nil"/>
              <w:right w:val="nil"/>
            </w:tcBorders>
          </w:tcPr>
          <w:p w14:paraId="6E489BBF" w14:textId="77777777" w:rsidR="004462A0" w:rsidRPr="00A14E04" w:rsidRDefault="00615769" w:rsidP="00F675CF">
            <w:pPr>
              <w:rPr>
                <w:sz w:val="22"/>
                <w:szCs w:val="22"/>
                <w:lang w:val="en-US"/>
              </w:rPr>
            </w:pPr>
            <w:r>
              <w:rPr>
                <w:sz w:val="22"/>
                <w:szCs w:val="22"/>
              </w:rPr>
              <w:t>Análise primária</w:t>
            </w:r>
            <w:r w:rsidRPr="00A14E04">
              <w:rPr>
                <w:sz w:val="22"/>
                <w:szCs w:val="22"/>
                <w:lang w:val="en-US"/>
              </w:rPr>
              <w:t xml:space="preserve"> (ITT)</w:t>
            </w:r>
          </w:p>
        </w:tc>
        <w:tc>
          <w:tcPr>
            <w:tcW w:w="1170" w:type="dxa"/>
            <w:tcBorders>
              <w:top w:val="nil"/>
              <w:left w:val="nil"/>
              <w:bottom w:val="nil"/>
              <w:right w:val="nil"/>
            </w:tcBorders>
          </w:tcPr>
          <w:p w14:paraId="728BCDEB" w14:textId="77777777" w:rsidR="004462A0" w:rsidRPr="00A14E04" w:rsidRDefault="004462A0" w:rsidP="00F675CF">
            <w:pPr>
              <w:rPr>
                <w:sz w:val="22"/>
                <w:szCs w:val="22"/>
                <w:lang w:val="en-US"/>
              </w:rPr>
            </w:pPr>
          </w:p>
        </w:tc>
        <w:tc>
          <w:tcPr>
            <w:tcW w:w="1890" w:type="dxa"/>
            <w:tcBorders>
              <w:top w:val="nil"/>
              <w:left w:val="nil"/>
              <w:bottom w:val="nil"/>
              <w:right w:val="nil"/>
            </w:tcBorders>
          </w:tcPr>
          <w:p w14:paraId="7867A0FC" w14:textId="77777777" w:rsidR="004462A0" w:rsidRPr="00A14E04" w:rsidRDefault="004462A0" w:rsidP="00F675CF">
            <w:pPr>
              <w:rPr>
                <w:sz w:val="22"/>
                <w:szCs w:val="22"/>
                <w:lang w:val="en-US"/>
              </w:rPr>
            </w:pPr>
          </w:p>
        </w:tc>
        <w:tc>
          <w:tcPr>
            <w:tcW w:w="720" w:type="dxa"/>
            <w:tcBorders>
              <w:top w:val="nil"/>
              <w:left w:val="nil"/>
              <w:bottom w:val="nil"/>
              <w:right w:val="nil"/>
            </w:tcBorders>
          </w:tcPr>
          <w:p w14:paraId="3A97E40D" w14:textId="77777777" w:rsidR="004462A0" w:rsidRPr="00A14E04" w:rsidRDefault="004462A0" w:rsidP="00F675CF">
            <w:pPr>
              <w:rPr>
                <w:sz w:val="22"/>
                <w:szCs w:val="22"/>
                <w:lang w:val="en-US"/>
              </w:rPr>
            </w:pPr>
          </w:p>
        </w:tc>
        <w:tc>
          <w:tcPr>
            <w:tcW w:w="1170" w:type="dxa"/>
            <w:tcBorders>
              <w:top w:val="nil"/>
              <w:left w:val="nil"/>
              <w:bottom w:val="nil"/>
              <w:right w:val="nil"/>
            </w:tcBorders>
          </w:tcPr>
          <w:p w14:paraId="70148DFA" w14:textId="77777777" w:rsidR="004462A0" w:rsidRPr="00A14E04" w:rsidRDefault="004462A0" w:rsidP="00F675CF">
            <w:pPr>
              <w:rPr>
                <w:sz w:val="22"/>
                <w:szCs w:val="22"/>
                <w:lang w:val="en-US"/>
              </w:rPr>
            </w:pPr>
          </w:p>
        </w:tc>
        <w:tc>
          <w:tcPr>
            <w:tcW w:w="1080" w:type="dxa"/>
            <w:tcBorders>
              <w:top w:val="nil"/>
              <w:left w:val="nil"/>
              <w:bottom w:val="nil"/>
              <w:right w:val="nil"/>
            </w:tcBorders>
          </w:tcPr>
          <w:p w14:paraId="5F97A60E" w14:textId="77777777" w:rsidR="004462A0" w:rsidRPr="00A14E04" w:rsidRDefault="004462A0" w:rsidP="00F675CF">
            <w:pPr>
              <w:rPr>
                <w:sz w:val="22"/>
                <w:szCs w:val="22"/>
                <w:lang w:val="en-US"/>
              </w:rPr>
            </w:pPr>
          </w:p>
        </w:tc>
      </w:tr>
      <w:tr w:rsidR="00A7162A" w14:paraId="65FD67F8" w14:textId="77777777" w:rsidTr="00F675CF">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nil"/>
              <w:right w:val="nil"/>
            </w:tcBorders>
          </w:tcPr>
          <w:p w14:paraId="08CCEBDF" w14:textId="77777777" w:rsidR="004462A0" w:rsidRPr="00A14E04" w:rsidRDefault="00615769" w:rsidP="00F675CF">
            <w:pPr>
              <w:rPr>
                <w:sz w:val="22"/>
                <w:szCs w:val="22"/>
                <w:lang w:val="en-US"/>
              </w:rPr>
            </w:pPr>
            <w:r w:rsidRPr="00A14E04">
              <w:rPr>
                <w:sz w:val="22"/>
                <w:szCs w:val="22"/>
                <w:lang w:val="en-US"/>
              </w:rPr>
              <w:tab/>
              <w:t>Placebo</w:t>
            </w:r>
          </w:p>
        </w:tc>
        <w:tc>
          <w:tcPr>
            <w:tcW w:w="720" w:type="dxa"/>
            <w:tcBorders>
              <w:top w:val="nil"/>
              <w:left w:val="nil"/>
              <w:bottom w:val="nil"/>
              <w:right w:val="nil"/>
            </w:tcBorders>
          </w:tcPr>
          <w:p w14:paraId="38818488" w14:textId="77777777" w:rsidR="004462A0" w:rsidRPr="00A14E04" w:rsidRDefault="00615769" w:rsidP="00F675CF">
            <w:pPr>
              <w:rPr>
                <w:sz w:val="22"/>
                <w:szCs w:val="22"/>
                <w:lang w:val="en-US"/>
              </w:rPr>
            </w:pPr>
            <w:r w:rsidRPr="00A14E04">
              <w:rPr>
                <w:sz w:val="22"/>
                <w:szCs w:val="22"/>
                <w:lang w:val="en-US"/>
              </w:rPr>
              <w:t>111</w:t>
            </w:r>
          </w:p>
        </w:tc>
        <w:tc>
          <w:tcPr>
            <w:tcW w:w="1170" w:type="dxa"/>
            <w:tcBorders>
              <w:top w:val="nil"/>
              <w:left w:val="nil"/>
              <w:bottom w:val="nil"/>
              <w:right w:val="nil"/>
            </w:tcBorders>
          </w:tcPr>
          <w:p w14:paraId="5BC629ED" w14:textId="77777777" w:rsidR="004462A0" w:rsidRPr="00A14E04" w:rsidRDefault="00615769" w:rsidP="00F675CF">
            <w:pPr>
              <w:rPr>
                <w:sz w:val="22"/>
                <w:szCs w:val="22"/>
                <w:lang w:val="en-US"/>
              </w:rPr>
            </w:pPr>
            <w:r w:rsidRPr="00A14E04">
              <w:rPr>
                <w:sz w:val="22"/>
                <w:szCs w:val="22"/>
                <w:lang w:val="en-US"/>
              </w:rPr>
              <w:t>61 (55</w:t>
            </w:r>
            <w:r>
              <w:rPr>
                <w:sz w:val="22"/>
                <w:szCs w:val="22"/>
                <w:lang w:val="en-US"/>
              </w:rPr>
              <w:t>,</w:t>
            </w:r>
            <w:r w:rsidRPr="00A14E04">
              <w:rPr>
                <w:sz w:val="22"/>
                <w:szCs w:val="22"/>
                <w:lang w:val="en-US"/>
              </w:rPr>
              <w:t>0)</w:t>
            </w:r>
          </w:p>
        </w:tc>
        <w:tc>
          <w:tcPr>
            <w:tcW w:w="1890" w:type="dxa"/>
            <w:tcBorders>
              <w:top w:val="nil"/>
              <w:left w:val="nil"/>
              <w:bottom w:val="nil"/>
              <w:right w:val="nil"/>
            </w:tcBorders>
          </w:tcPr>
          <w:p w14:paraId="5C433EBD" w14:textId="77777777" w:rsidR="004462A0" w:rsidRPr="00A14E04" w:rsidRDefault="00615769" w:rsidP="00F675CF">
            <w:pPr>
              <w:rPr>
                <w:sz w:val="22"/>
                <w:szCs w:val="22"/>
                <w:lang w:val="en-US"/>
              </w:rPr>
            </w:pPr>
            <w:r w:rsidRPr="00A14E04">
              <w:rPr>
                <w:sz w:val="22"/>
                <w:szCs w:val="22"/>
                <w:lang w:val="en-US"/>
              </w:rPr>
              <w:t>8</w:t>
            </w:r>
            <w:r>
              <w:rPr>
                <w:sz w:val="22"/>
                <w:szCs w:val="22"/>
                <w:lang w:val="en-US"/>
              </w:rPr>
              <w:t>,</w:t>
            </w:r>
            <w:r w:rsidRPr="00A14E04">
              <w:rPr>
                <w:sz w:val="22"/>
                <w:szCs w:val="22"/>
                <w:lang w:val="en-US"/>
              </w:rPr>
              <w:t>3</w:t>
            </w:r>
          </w:p>
        </w:tc>
        <w:tc>
          <w:tcPr>
            <w:tcW w:w="720" w:type="dxa"/>
            <w:tcBorders>
              <w:top w:val="nil"/>
              <w:left w:val="nil"/>
              <w:bottom w:val="nil"/>
              <w:right w:val="nil"/>
            </w:tcBorders>
          </w:tcPr>
          <w:p w14:paraId="1ACACA1B" w14:textId="77777777" w:rsidR="004462A0" w:rsidRPr="00A14E04" w:rsidRDefault="00615769" w:rsidP="00F675CF">
            <w:pPr>
              <w:rPr>
                <w:sz w:val="22"/>
                <w:szCs w:val="22"/>
                <w:lang w:val="en-US"/>
              </w:rPr>
            </w:pPr>
            <w:r w:rsidRPr="00A14E04">
              <w:rPr>
                <w:sz w:val="22"/>
                <w:szCs w:val="22"/>
                <w:lang w:val="en-US"/>
              </w:rPr>
              <w:t>--</w:t>
            </w:r>
          </w:p>
        </w:tc>
        <w:tc>
          <w:tcPr>
            <w:tcW w:w="1170" w:type="dxa"/>
            <w:tcBorders>
              <w:top w:val="nil"/>
              <w:left w:val="nil"/>
              <w:bottom w:val="nil"/>
              <w:right w:val="nil"/>
            </w:tcBorders>
          </w:tcPr>
          <w:p w14:paraId="70B8216E" w14:textId="77777777" w:rsidR="004462A0" w:rsidRPr="00A14E04" w:rsidRDefault="00615769" w:rsidP="00F675CF">
            <w:pPr>
              <w:rPr>
                <w:sz w:val="22"/>
                <w:szCs w:val="22"/>
                <w:lang w:val="en-US"/>
              </w:rPr>
            </w:pPr>
            <w:r w:rsidRPr="00A14E04">
              <w:rPr>
                <w:sz w:val="22"/>
                <w:szCs w:val="22"/>
                <w:lang w:val="en-US"/>
              </w:rPr>
              <w:t>--</w:t>
            </w:r>
          </w:p>
        </w:tc>
        <w:tc>
          <w:tcPr>
            <w:tcW w:w="1080" w:type="dxa"/>
            <w:tcBorders>
              <w:top w:val="nil"/>
              <w:left w:val="nil"/>
              <w:bottom w:val="nil"/>
              <w:right w:val="nil"/>
            </w:tcBorders>
          </w:tcPr>
          <w:p w14:paraId="62E77EEE" w14:textId="77777777" w:rsidR="004462A0" w:rsidRPr="00A14E04" w:rsidRDefault="00615769" w:rsidP="00F675CF">
            <w:pPr>
              <w:rPr>
                <w:sz w:val="22"/>
                <w:szCs w:val="22"/>
                <w:lang w:val="en-US"/>
              </w:rPr>
            </w:pPr>
            <w:r w:rsidRPr="00A14E04">
              <w:rPr>
                <w:sz w:val="22"/>
                <w:szCs w:val="22"/>
                <w:lang w:val="en-US"/>
              </w:rPr>
              <w:t>--</w:t>
            </w:r>
          </w:p>
        </w:tc>
      </w:tr>
      <w:tr w:rsidR="00A7162A" w14:paraId="207FEECB" w14:textId="77777777" w:rsidTr="00F675CF">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single" w:sz="4" w:space="0" w:color="auto"/>
              <w:right w:val="nil"/>
            </w:tcBorders>
          </w:tcPr>
          <w:p w14:paraId="458A8A6E" w14:textId="77777777" w:rsidR="004462A0" w:rsidRPr="00A14E04" w:rsidRDefault="00615769" w:rsidP="00F675CF">
            <w:pPr>
              <w:rPr>
                <w:sz w:val="22"/>
                <w:szCs w:val="22"/>
                <w:lang w:val="en-US"/>
              </w:rPr>
            </w:pPr>
            <w:r w:rsidRPr="00A14E04">
              <w:rPr>
                <w:sz w:val="22"/>
                <w:szCs w:val="22"/>
                <w:lang w:val="en-US"/>
              </w:rPr>
              <w:tab/>
              <w:t>Adalimumab</w:t>
            </w:r>
          </w:p>
        </w:tc>
        <w:tc>
          <w:tcPr>
            <w:tcW w:w="720" w:type="dxa"/>
            <w:tcBorders>
              <w:top w:val="nil"/>
              <w:left w:val="nil"/>
              <w:bottom w:val="single" w:sz="4" w:space="0" w:color="auto"/>
              <w:right w:val="nil"/>
            </w:tcBorders>
          </w:tcPr>
          <w:p w14:paraId="6EED8908" w14:textId="77777777" w:rsidR="004462A0" w:rsidRPr="00A14E04" w:rsidRDefault="00615769" w:rsidP="00F675CF">
            <w:pPr>
              <w:rPr>
                <w:sz w:val="22"/>
                <w:szCs w:val="22"/>
                <w:lang w:val="en-US"/>
              </w:rPr>
            </w:pPr>
            <w:r w:rsidRPr="00A14E04">
              <w:rPr>
                <w:sz w:val="22"/>
                <w:szCs w:val="22"/>
                <w:lang w:val="en-US"/>
              </w:rPr>
              <w:t>115</w:t>
            </w:r>
          </w:p>
        </w:tc>
        <w:tc>
          <w:tcPr>
            <w:tcW w:w="1170" w:type="dxa"/>
            <w:tcBorders>
              <w:top w:val="nil"/>
              <w:left w:val="nil"/>
              <w:bottom w:val="single" w:sz="4" w:space="0" w:color="auto"/>
              <w:right w:val="nil"/>
            </w:tcBorders>
          </w:tcPr>
          <w:p w14:paraId="29AEE767" w14:textId="77777777" w:rsidR="004462A0" w:rsidRPr="00A14E04" w:rsidRDefault="00615769" w:rsidP="00F675CF">
            <w:pPr>
              <w:rPr>
                <w:sz w:val="22"/>
                <w:szCs w:val="22"/>
                <w:lang w:val="en-US"/>
              </w:rPr>
            </w:pPr>
            <w:r w:rsidRPr="00A14E04">
              <w:rPr>
                <w:sz w:val="22"/>
                <w:szCs w:val="22"/>
                <w:lang w:val="en-US"/>
              </w:rPr>
              <w:t>45 (39</w:t>
            </w:r>
            <w:r>
              <w:rPr>
                <w:sz w:val="22"/>
                <w:szCs w:val="22"/>
                <w:lang w:val="en-US"/>
              </w:rPr>
              <w:t>,</w:t>
            </w:r>
            <w:r w:rsidRPr="00A14E04">
              <w:rPr>
                <w:sz w:val="22"/>
                <w:szCs w:val="22"/>
                <w:lang w:val="en-US"/>
              </w:rPr>
              <w:t>1)</w:t>
            </w:r>
          </w:p>
        </w:tc>
        <w:tc>
          <w:tcPr>
            <w:tcW w:w="1890" w:type="dxa"/>
            <w:tcBorders>
              <w:top w:val="nil"/>
              <w:left w:val="nil"/>
              <w:bottom w:val="single" w:sz="4" w:space="0" w:color="auto"/>
              <w:right w:val="nil"/>
            </w:tcBorders>
          </w:tcPr>
          <w:p w14:paraId="35F018AF" w14:textId="77777777" w:rsidR="004462A0" w:rsidRPr="00A14E04" w:rsidRDefault="00615769" w:rsidP="00F675CF">
            <w:pPr>
              <w:rPr>
                <w:sz w:val="22"/>
                <w:szCs w:val="22"/>
                <w:lang w:val="en-US"/>
              </w:rPr>
            </w:pPr>
            <w:r w:rsidRPr="00A14E04">
              <w:rPr>
                <w:sz w:val="22"/>
                <w:szCs w:val="22"/>
                <w:lang w:val="en-US"/>
              </w:rPr>
              <w:t>NE</w:t>
            </w:r>
            <w:r w:rsidRPr="00A14E04">
              <w:rPr>
                <w:sz w:val="22"/>
                <w:szCs w:val="22"/>
                <w:vertAlign w:val="superscript"/>
                <w:lang w:val="en-US"/>
              </w:rPr>
              <w:t>c</w:t>
            </w:r>
          </w:p>
        </w:tc>
        <w:tc>
          <w:tcPr>
            <w:tcW w:w="720" w:type="dxa"/>
            <w:tcBorders>
              <w:top w:val="nil"/>
              <w:left w:val="nil"/>
              <w:bottom w:val="single" w:sz="4" w:space="0" w:color="auto"/>
              <w:right w:val="nil"/>
            </w:tcBorders>
          </w:tcPr>
          <w:p w14:paraId="56EFC93D" w14:textId="77777777" w:rsidR="004462A0" w:rsidRPr="00A14E04" w:rsidRDefault="00615769" w:rsidP="00F675CF">
            <w:pPr>
              <w:rPr>
                <w:sz w:val="22"/>
                <w:szCs w:val="22"/>
                <w:lang w:val="en-US"/>
              </w:rPr>
            </w:pPr>
            <w:r w:rsidRPr="00A14E04">
              <w:rPr>
                <w:sz w:val="22"/>
                <w:szCs w:val="22"/>
                <w:lang w:val="en-US"/>
              </w:rPr>
              <w:t>0</w:t>
            </w:r>
            <w:r>
              <w:rPr>
                <w:sz w:val="22"/>
                <w:szCs w:val="22"/>
                <w:lang w:val="en-US"/>
              </w:rPr>
              <w:t>,</w:t>
            </w:r>
            <w:r w:rsidRPr="00A14E04">
              <w:rPr>
                <w:sz w:val="22"/>
                <w:szCs w:val="22"/>
                <w:lang w:val="en-US"/>
              </w:rPr>
              <w:t>57</w:t>
            </w:r>
          </w:p>
        </w:tc>
        <w:tc>
          <w:tcPr>
            <w:tcW w:w="1170" w:type="dxa"/>
            <w:tcBorders>
              <w:top w:val="nil"/>
              <w:left w:val="nil"/>
              <w:bottom w:val="single" w:sz="4" w:space="0" w:color="auto"/>
              <w:right w:val="nil"/>
            </w:tcBorders>
          </w:tcPr>
          <w:p w14:paraId="480816EE" w14:textId="77777777" w:rsidR="004462A0" w:rsidRPr="00A14E04" w:rsidRDefault="00615769" w:rsidP="00F675CF">
            <w:pPr>
              <w:rPr>
                <w:sz w:val="22"/>
                <w:szCs w:val="22"/>
                <w:lang w:val="en-US"/>
              </w:rPr>
            </w:pPr>
            <w:r w:rsidRPr="00A14E04">
              <w:rPr>
                <w:sz w:val="22"/>
                <w:szCs w:val="22"/>
                <w:lang w:val="en-US"/>
              </w:rPr>
              <w:t>0</w:t>
            </w:r>
            <w:r>
              <w:rPr>
                <w:sz w:val="22"/>
                <w:szCs w:val="22"/>
                <w:lang w:val="en-US"/>
              </w:rPr>
              <w:t>,</w:t>
            </w:r>
            <w:r w:rsidRPr="00A14E04">
              <w:rPr>
                <w:sz w:val="22"/>
                <w:szCs w:val="22"/>
                <w:lang w:val="en-US"/>
              </w:rPr>
              <w:t>39, 0</w:t>
            </w:r>
            <w:r>
              <w:rPr>
                <w:sz w:val="22"/>
                <w:szCs w:val="22"/>
                <w:lang w:val="en-US"/>
              </w:rPr>
              <w:t>,</w:t>
            </w:r>
            <w:r w:rsidRPr="00A14E04">
              <w:rPr>
                <w:sz w:val="22"/>
                <w:szCs w:val="22"/>
                <w:lang w:val="en-US"/>
              </w:rPr>
              <w:t>84</w:t>
            </w:r>
          </w:p>
        </w:tc>
        <w:tc>
          <w:tcPr>
            <w:tcW w:w="1080" w:type="dxa"/>
            <w:tcBorders>
              <w:top w:val="nil"/>
              <w:left w:val="nil"/>
              <w:bottom w:val="single" w:sz="4" w:space="0" w:color="auto"/>
              <w:right w:val="nil"/>
            </w:tcBorders>
          </w:tcPr>
          <w:p w14:paraId="79648645" w14:textId="77777777" w:rsidR="004462A0" w:rsidRPr="00A14E04" w:rsidRDefault="00615769" w:rsidP="00F675CF">
            <w:pPr>
              <w:rPr>
                <w:sz w:val="22"/>
                <w:szCs w:val="22"/>
                <w:lang w:val="en-US"/>
              </w:rPr>
            </w:pPr>
            <w:r w:rsidRPr="00A14E04">
              <w:rPr>
                <w:sz w:val="22"/>
                <w:szCs w:val="22"/>
                <w:lang w:val="en-US"/>
              </w:rPr>
              <w:t>0</w:t>
            </w:r>
            <w:r>
              <w:rPr>
                <w:sz w:val="22"/>
                <w:szCs w:val="22"/>
                <w:lang w:val="en-US"/>
              </w:rPr>
              <w:t>,</w:t>
            </w:r>
            <w:r w:rsidRPr="00A14E04">
              <w:rPr>
                <w:sz w:val="22"/>
                <w:szCs w:val="22"/>
                <w:lang w:val="en-US"/>
              </w:rPr>
              <w:t>004</w:t>
            </w:r>
          </w:p>
        </w:tc>
      </w:tr>
    </w:tbl>
    <w:p w14:paraId="66F8A09C" w14:textId="77777777" w:rsidR="004462A0" w:rsidRPr="00F42903" w:rsidRDefault="00615769" w:rsidP="004462A0">
      <w:pPr>
        <w:rPr>
          <w:sz w:val="22"/>
          <w:szCs w:val="22"/>
        </w:rPr>
      </w:pPr>
      <w:r w:rsidRPr="00B365CE">
        <w:rPr>
          <w:sz w:val="22"/>
          <w:szCs w:val="22"/>
        </w:rPr>
        <w:t xml:space="preserve">Nota:  </w:t>
      </w:r>
      <w:r w:rsidR="00FB6C29">
        <w:rPr>
          <w:sz w:val="22"/>
          <w:szCs w:val="22"/>
        </w:rPr>
        <w:t>A</w:t>
      </w:r>
      <w:r w:rsidRPr="00B365CE">
        <w:rPr>
          <w:sz w:val="22"/>
          <w:szCs w:val="22"/>
        </w:rPr>
        <w:t xml:space="preserve"> falha do tratamento à ou após a Semana 6 (Estudo UV I), ou à ou após a Semana 2 (Estudo UV II), foi registad</w:t>
      </w:r>
      <w:r w:rsidR="00FB6C29">
        <w:rPr>
          <w:sz w:val="22"/>
          <w:szCs w:val="22"/>
        </w:rPr>
        <w:t>a</w:t>
      </w:r>
      <w:r w:rsidRPr="00B365CE">
        <w:rPr>
          <w:sz w:val="22"/>
          <w:szCs w:val="22"/>
        </w:rPr>
        <w:t xml:space="preserve"> como evento. </w:t>
      </w:r>
      <w:r w:rsidRPr="00F42903">
        <w:rPr>
          <w:sz w:val="22"/>
          <w:szCs w:val="22"/>
        </w:rPr>
        <w:t>Os doentes que abandonaram o estudo por outras razões que não a falha d</w:t>
      </w:r>
      <w:r w:rsidR="00FB6C29">
        <w:rPr>
          <w:sz w:val="22"/>
          <w:szCs w:val="22"/>
        </w:rPr>
        <w:t>o</w:t>
      </w:r>
      <w:r w:rsidRPr="00F42903">
        <w:rPr>
          <w:sz w:val="22"/>
          <w:szCs w:val="22"/>
        </w:rPr>
        <w:t xml:space="preserve"> tratamento foram </w:t>
      </w:r>
      <w:r w:rsidR="00FB6C29">
        <w:rPr>
          <w:sz w:val="22"/>
          <w:szCs w:val="22"/>
        </w:rPr>
        <w:t xml:space="preserve">censurados </w:t>
      </w:r>
      <w:r w:rsidRPr="00F42903">
        <w:rPr>
          <w:sz w:val="22"/>
          <w:szCs w:val="22"/>
        </w:rPr>
        <w:t>no momento dos abandonos.</w:t>
      </w:r>
    </w:p>
    <w:p w14:paraId="6B3669B8" w14:textId="77777777" w:rsidR="004462A0" w:rsidRPr="00C878A8" w:rsidRDefault="00615769" w:rsidP="00DF5632">
      <w:pPr>
        <w:numPr>
          <w:ilvl w:val="0"/>
          <w:numId w:val="174"/>
        </w:numPr>
        <w:rPr>
          <w:sz w:val="22"/>
          <w:szCs w:val="22"/>
        </w:rPr>
      </w:pPr>
      <w:r>
        <w:rPr>
          <w:sz w:val="22"/>
          <w:szCs w:val="22"/>
        </w:rPr>
        <w:t>TR(Taxa de Risco)</w:t>
      </w:r>
      <w:r w:rsidRPr="00C878A8">
        <w:rPr>
          <w:sz w:val="22"/>
          <w:szCs w:val="22"/>
        </w:rPr>
        <w:t xml:space="preserve"> de</w:t>
      </w:r>
      <w:r>
        <w:rPr>
          <w:sz w:val="22"/>
          <w:szCs w:val="22"/>
        </w:rPr>
        <w:t xml:space="preserve"> adalimumab vs placebo através da </w:t>
      </w:r>
      <w:r w:rsidRPr="00C878A8">
        <w:rPr>
          <w:sz w:val="22"/>
          <w:szCs w:val="22"/>
        </w:rPr>
        <w:t>regressão de risco proporcion</w:t>
      </w:r>
      <w:r>
        <w:rPr>
          <w:sz w:val="22"/>
          <w:szCs w:val="22"/>
        </w:rPr>
        <w:t>l</w:t>
      </w:r>
      <w:r w:rsidRPr="00C878A8">
        <w:rPr>
          <w:sz w:val="22"/>
          <w:szCs w:val="22"/>
        </w:rPr>
        <w:t xml:space="preserve"> com </w:t>
      </w:r>
      <w:r>
        <w:rPr>
          <w:sz w:val="22"/>
          <w:szCs w:val="22"/>
        </w:rPr>
        <w:t xml:space="preserve">fator </w:t>
      </w:r>
      <w:r w:rsidRPr="00C878A8">
        <w:rPr>
          <w:sz w:val="22"/>
          <w:szCs w:val="22"/>
        </w:rPr>
        <w:t>tratamento.</w:t>
      </w:r>
    </w:p>
    <w:p w14:paraId="2182AB03" w14:textId="77777777" w:rsidR="004462A0" w:rsidRPr="00966B42" w:rsidRDefault="00615769" w:rsidP="00DF5632">
      <w:pPr>
        <w:numPr>
          <w:ilvl w:val="0"/>
          <w:numId w:val="174"/>
        </w:numPr>
        <w:rPr>
          <w:sz w:val="22"/>
          <w:szCs w:val="22"/>
        </w:rPr>
      </w:pPr>
      <w:r w:rsidRPr="00966B42">
        <w:rPr>
          <w:sz w:val="22"/>
          <w:szCs w:val="22"/>
        </w:rPr>
        <w:t xml:space="preserve">2-lados valor </w:t>
      </w:r>
      <w:r w:rsidRPr="00966B42">
        <w:rPr>
          <w:i/>
          <w:sz w:val="22"/>
          <w:szCs w:val="22"/>
        </w:rPr>
        <w:t>P</w:t>
      </w:r>
      <w:r w:rsidRPr="00966B42">
        <w:rPr>
          <w:sz w:val="22"/>
          <w:szCs w:val="22"/>
        </w:rPr>
        <w:t xml:space="preserve"> do teste logarítmico.</w:t>
      </w:r>
    </w:p>
    <w:p w14:paraId="2CE74C9C" w14:textId="77777777" w:rsidR="004462A0" w:rsidRPr="00966B42" w:rsidRDefault="00615769" w:rsidP="00DF5632">
      <w:pPr>
        <w:numPr>
          <w:ilvl w:val="0"/>
          <w:numId w:val="174"/>
        </w:numPr>
        <w:rPr>
          <w:sz w:val="22"/>
          <w:szCs w:val="22"/>
        </w:rPr>
      </w:pPr>
      <w:r w:rsidRPr="00966B42">
        <w:rPr>
          <w:sz w:val="22"/>
          <w:szCs w:val="22"/>
        </w:rPr>
        <w:t>NE = não estimado. Menos d</w:t>
      </w:r>
      <w:r>
        <w:rPr>
          <w:sz w:val="22"/>
          <w:szCs w:val="22"/>
        </w:rPr>
        <w:t>e</w:t>
      </w:r>
      <w:r w:rsidRPr="00966B42">
        <w:rPr>
          <w:sz w:val="22"/>
          <w:szCs w:val="22"/>
        </w:rPr>
        <w:t xml:space="preserve"> metade dos indivíduos em situação de risco teve um evento</w:t>
      </w:r>
      <w:r>
        <w:rPr>
          <w:sz w:val="22"/>
          <w:szCs w:val="22"/>
        </w:rPr>
        <w:t>.</w:t>
      </w:r>
      <w:r w:rsidRPr="00966B42">
        <w:rPr>
          <w:sz w:val="22"/>
          <w:szCs w:val="22"/>
        </w:rPr>
        <w:t xml:space="preserve"> </w:t>
      </w:r>
    </w:p>
    <w:p w14:paraId="4072D131" w14:textId="77777777" w:rsidR="004462A0" w:rsidRPr="00966B42" w:rsidRDefault="004462A0" w:rsidP="004462A0">
      <w:pPr>
        <w:rPr>
          <w:sz w:val="22"/>
          <w:szCs w:val="22"/>
        </w:rPr>
      </w:pPr>
    </w:p>
    <w:p w14:paraId="0FD01A72" w14:textId="77777777" w:rsidR="004462A0" w:rsidRPr="004D010F" w:rsidRDefault="00615769" w:rsidP="00B538F3">
      <w:pPr>
        <w:jc w:val="center"/>
        <w:rPr>
          <w:b/>
          <w:sz w:val="22"/>
          <w:szCs w:val="22"/>
        </w:rPr>
      </w:pPr>
      <w:r w:rsidRPr="004D010F">
        <w:rPr>
          <w:b/>
          <w:sz w:val="22"/>
          <w:szCs w:val="22"/>
        </w:rPr>
        <w:t xml:space="preserve">Figura </w:t>
      </w:r>
      <w:r w:rsidR="00AD0C73">
        <w:rPr>
          <w:b/>
          <w:sz w:val="22"/>
          <w:szCs w:val="22"/>
        </w:rPr>
        <w:t>2</w:t>
      </w:r>
      <w:r w:rsidRPr="004D010F">
        <w:rPr>
          <w:b/>
          <w:sz w:val="22"/>
          <w:szCs w:val="22"/>
        </w:rPr>
        <w:t xml:space="preserve">: Curvas de Kaplan-Meier resumindo o Tempo </w:t>
      </w:r>
      <w:r w:rsidR="00C9386F">
        <w:rPr>
          <w:b/>
          <w:sz w:val="22"/>
          <w:szCs w:val="22"/>
        </w:rPr>
        <w:t>até</w:t>
      </w:r>
      <w:r w:rsidR="00C9386F" w:rsidRPr="004D010F">
        <w:rPr>
          <w:b/>
          <w:sz w:val="22"/>
          <w:szCs w:val="22"/>
        </w:rPr>
        <w:t xml:space="preserve"> </w:t>
      </w:r>
      <w:r w:rsidRPr="004D010F">
        <w:rPr>
          <w:b/>
          <w:sz w:val="22"/>
          <w:szCs w:val="22"/>
        </w:rPr>
        <w:t>Falha do Tratamento na ou após a Semana 6 (Estudo UV I) ou Semana 2 (Estudo UV II)</w:t>
      </w:r>
    </w:p>
    <w:tbl>
      <w:tblPr>
        <w:tblW w:w="9288" w:type="dxa"/>
        <w:tblLayout w:type="fixed"/>
        <w:tblLook w:val="04A0" w:firstRow="1" w:lastRow="0" w:firstColumn="1" w:lastColumn="0" w:noHBand="0" w:noVBand="1"/>
      </w:tblPr>
      <w:tblGrid>
        <w:gridCol w:w="482"/>
        <w:gridCol w:w="3496"/>
        <w:gridCol w:w="1170"/>
        <w:gridCol w:w="1350"/>
        <w:gridCol w:w="900"/>
        <w:gridCol w:w="1890"/>
      </w:tblGrid>
      <w:tr w:rsidR="00A7162A" w14:paraId="75A86972" w14:textId="77777777" w:rsidTr="00F675CF">
        <w:trPr>
          <w:cantSplit/>
          <w:trHeight w:val="4173"/>
        </w:trPr>
        <w:tc>
          <w:tcPr>
            <w:tcW w:w="482" w:type="dxa"/>
            <w:textDirection w:val="btLr"/>
            <w:vAlign w:val="bottom"/>
          </w:tcPr>
          <w:p w14:paraId="3D93527E" w14:textId="77777777" w:rsidR="004462A0" w:rsidRPr="00EA0F56" w:rsidRDefault="00615769" w:rsidP="00B538F3">
            <w:pPr>
              <w:rPr>
                <w:b/>
                <w:sz w:val="20"/>
                <w:szCs w:val="20"/>
              </w:rPr>
            </w:pPr>
            <w:r w:rsidRPr="00EA0F56">
              <w:rPr>
                <w:b/>
                <w:sz w:val="20"/>
                <w:szCs w:val="20"/>
              </w:rPr>
              <w:t>TAXA DE FALHA DO TR</w:t>
            </w:r>
            <w:r>
              <w:rPr>
                <w:b/>
                <w:sz w:val="20"/>
                <w:szCs w:val="20"/>
              </w:rPr>
              <w:t>A</w:t>
            </w:r>
            <w:r w:rsidRPr="00EA0F56">
              <w:rPr>
                <w:b/>
                <w:sz w:val="20"/>
                <w:szCs w:val="20"/>
              </w:rPr>
              <w:t>TAMENTO</w:t>
            </w:r>
            <w:r>
              <w:rPr>
                <w:b/>
                <w:sz w:val="20"/>
                <w:szCs w:val="20"/>
              </w:rPr>
              <w:t xml:space="preserve"> (%)</w:t>
            </w:r>
          </w:p>
        </w:tc>
        <w:tc>
          <w:tcPr>
            <w:tcW w:w="8806" w:type="dxa"/>
            <w:gridSpan w:val="5"/>
            <w:vAlign w:val="bottom"/>
          </w:tcPr>
          <w:p w14:paraId="57D085C3" w14:textId="77777777" w:rsidR="004462A0" w:rsidRPr="004D010F" w:rsidRDefault="00615769" w:rsidP="00B538F3">
            <w:pPr>
              <w:rPr>
                <w:sz w:val="22"/>
                <w:szCs w:val="22"/>
                <w:lang w:val="en-US"/>
              </w:rPr>
            </w:pPr>
            <w:r>
              <w:rPr>
                <w:noProof/>
                <w:lang w:val="en-GB" w:eastAsia="en-GB"/>
              </w:rPr>
              <w:drawing>
                <wp:inline distT="0" distB="0" distL="0" distR="0" wp14:anchorId="0BEFFB6A" wp14:editId="108CCDFA">
                  <wp:extent cx="5486400" cy="2206625"/>
                  <wp:effectExtent l="0" t="0" r="0" b="3175"/>
                  <wp:docPr id="61" name="Picture 61"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1" descr="Humira Uveitis Figure 5_6"/>
                          <pic:cNvPicPr>
                            <a:picLocks noChangeAspect="1" noChangeArrowheads="1"/>
                          </pic:cNvPicPr>
                        </pic:nvPicPr>
                        <pic:blipFill>
                          <a:blip r:embed="rId11" r:link="rId12">
                            <a:extLst>
                              <a:ext uri="{28A0092B-C50C-407E-A947-70E740481C1C}">
                                <a14:useLocalDpi xmlns:a14="http://schemas.microsoft.com/office/drawing/2010/main" val="0"/>
                              </a:ext>
                            </a:extLst>
                          </a:blip>
                          <a:stretch>
                            <a:fillRect/>
                          </a:stretch>
                        </pic:blipFill>
                        <pic:spPr bwMode="auto">
                          <a:xfrm>
                            <a:off x="0" y="0"/>
                            <a:ext cx="5486400" cy="2206625"/>
                          </a:xfrm>
                          <a:prstGeom prst="rect">
                            <a:avLst/>
                          </a:prstGeom>
                          <a:noFill/>
                          <a:ln>
                            <a:noFill/>
                          </a:ln>
                        </pic:spPr>
                      </pic:pic>
                    </a:graphicData>
                  </a:graphic>
                </wp:inline>
              </w:drawing>
            </w:r>
          </w:p>
        </w:tc>
      </w:tr>
      <w:tr w:rsidR="00A7162A" w14:paraId="7EB81D7B" w14:textId="77777777" w:rsidTr="00F675CF">
        <w:tc>
          <w:tcPr>
            <w:tcW w:w="482" w:type="dxa"/>
          </w:tcPr>
          <w:p w14:paraId="58E231EC" w14:textId="77777777" w:rsidR="004462A0" w:rsidRPr="004D010F" w:rsidRDefault="004462A0" w:rsidP="00B538F3">
            <w:pPr>
              <w:rPr>
                <w:sz w:val="22"/>
                <w:szCs w:val="22"/>
                <w:lang w:val="en-US"/>
              </w:rPr>
            </w:pPr>
          </w:p>
        </w:tc>
        <w:tc>
          <w:tcPr>
            <w:tcW w:w="8806" w:type="dxa"/>
            <w:gridSpan w:val="5"/>
          </w:tcPr>
          <w:p w14:paraId="78A22025" w14:textId="77777777" w:rsidR="004462A0" w:rsidRPr="004D010F" w:rsidRDefault="00615769" w:rsidP="00B538F3">
            <w:pPr>
              <w:jc w:val="center"/>
              <w:rPr>
                <w:b/>
                <w:sz w:val="22"/>
                <w:szCs w:val="22"/>
                <w:lang w:val="en-US"/>
              </w:rPr>
            </w:pPr>
            <w:r w:rsidRPr="004D010F">
              <w:rPr>
                <w:b/>
                <w:sz w:val="22"/>
                <w:szCs w:val="22"/>
                <w:lang w:val="en-US"/>
              </w:rPr>
              <w:t>T</w:t>
            </w:r>
            <w:r>
              <w:rPr>
                <w:b/>
                <w:sz w:val="22"/>
                <w:szCs w:val="22"/>
                <w:lang w:val="en-US"/>
              </w:rPr>
              <w:t>EMPO</w:t>
            </w:r>
            <w:r w:rsidRPr="004D010F">
              <w:rPr>
                <w:b/>
                <w:sz w:val="22"/>
                <w:szCs w:val="22"/>
                <w:lang w:val="en-US"/>
              </w:rPr>
              <w:t xml:space="preserve"> (M</w:t>
            </w:r>
            <w:r>
              <w:rPr>
                <w:b/>
                <w:sz w:val="22"/>
                <w:szCs w:val="22"/>
                <w:lang w:val="en-US"/>
              </w:rPr>
              <w:t>ESES</w:t>
            </w:r>
            <w:r w:rsidRPr="004D010F">
              <w:rPr>
                <w:b/>
                <w:sz w:val="22"/>
                <w:szCs w:val="22"/>
                <w:lang w:val="en-US"/>
              </w:rPr>
              <w:t>)</w:t>
            </w:r>
          </w:p>
        </w:tc>
      </w:tr>
      <w:tr w:rsidR="00A7162A" w14:paraId="2EA47CEE" w14:textId="77777777" w:rsidTr="00F675CF">
        <w:tc>
          <w:tcPr>
            <w:tcW w:w="482" w:type="dxa"/>
          </w:tcPr>
          <w:p w14:paraId="784FE334" w14:textId="77777777" w:rsidR="004462A0" w:rsidRPr="004D010F" w:rsidRDefault="004462A0" w:rsidP="00B538F3">
            <w:pPr>
              <w:rPr>
                <w:sz w:val="22"/>
                <w:szCs w:val="22"/>
                <w:lang w:val="en-US"/>
              </w:rPr>
            </w:pPr>
          </w:p>
        </w:tc>
        <w:tc>
          <w:tcPr>
            <w:tcW w:w="3496" w:type="dxa"/>
          </w:tcPr>
          <w:p w14:paraId="2BCC34E8" w14:textId="77777777" w:rsidR="004462A0" w:rsidRPr="004D010F" w:rsidRDefault="00615769" w:rsidP="00B538F3">
            <w:pPr>
              <w:rPr>
                <w:sz w:val="22"/>
                <w:szCs w:val="22"/>
                <w:lang w:val="en-US"/>
              </w:rPr>
            </w:pPr>
            <w:r>
              <w:rPr>
                <w:sz w:val="22"/>
                <w:szCs w:val="22"/>
                <w:lang w:val="en-US"/>
              </w:rPr>
              <w:t>Estudo UV I           Tr</w:t>
            </w:r>
            <w:r w:rsidRPr="004D010F">
              <w:rPr>
                <w:sz w:val="22"/>
                <w:szCs w:val="22"/>
                <w:lang w:val="en-US"/>
              </w:rPr>
              <w:t>at</w:t>
            </w:r>
            <w:r>
              <w:rPr>
                <w:sz w:val="22"/>
                <w:szCs w:val="22"/>
                <w:lang w:val="en-US"/>
              </w:rPr>
              <w:t>a</w:t>
            </w:r>
            <w:r w:rsidRPr="004D010F">
              <w:rPr>
                <w:sz w:val="22"/>
                <w:szCs w:val="22"/>
                <w:lang w:val="en-US"/>
              </w:rPr>
              <w:t>ment</w:t>
            </w:r>
            <w:r>
              <w:rPr>
                <w:sz w:val="22"/>
                <w:szCs w:val="22"/>
                <w:lang w:val="en-US"/>
              </w:rPr>
              <w:t>o</w:t>
            </w:r>
          </w:p>
        </w:tc>
        <w:tc>
          <w:tcPr>
            <w:tcW w:w="1170" w:type="dxa"/>
          </w:tcPr>
          <w:p w14:paraId="54167B3A" w14:textId="77777777" w:rsidR="004462A0" w:rsidRPr="004D010F" w:rsidRDefault="00615769" w:rsidP="00B538F3">
            <w:pPr>
              <w:rPr>
                <w:sz w:val="22"/>
                <w:szCs w:val="22"/>
                <w:lang w:val="en-US"/>
              </w:rPr>
            </w:pPr>
            <w:r>
              <w:rPr>
                <w:noProof/>
                <w:sz w:val="22"/>
                <w:szCs w:val="22"/>
                <w:lang w:val="en-GB" w:eastAsia="en-GB"/>
              </w:rPr>
              <w:drawing>
                <wp:inline distT="0" distB="0" distL="0" distR="0" wp14:anchorId="04C6B9B4" wp14:editId="56CEE59D">
                  <wp:extent cx="397510" cy="179070"/>
                  <wp:effectExtent l="0" t="0" r="2540" b="0"/>
                  <wp:docPr id="60" name="Picture 60"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8"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97510" cy="179070"/>
                          </a:xfrm>
                          <a:prstGeom prst="rect">
                            <a:avLst/>
                          </a:prstGeom>
                          <a:noFill/>
                          <a:ln>
                            <a:noFill/>
                          </a:ln>
                        </pic:spPr>
                      </pic:pic>
                    </a:graphicData>
                  </a:graphic>
                </wp:inline>
              </w:drawing>
            </w:r>
          </w:p>
        </w:tc>
        <w:tc>
          <w:tcPr>
            <w:tcW w:w="1350" w:type="dxa"/>
          </w:tcPr>
          <w:p w14:paraId="7D823CD4" w14:textId="77777777" w:rsidR="004462A0" w:rsidRPr="004D010F" w:rsidRDefault="00615769" w:rsidP="00B538F3">
            <w:pPr>
              <w:rPr>
                <w:sz w:val="22"/>
                <w:szCs w:val="22"/>
                <w:lang w:val="en-US"/>
              </w:rPr>
            </w:pPr>
            <w:r w:rsidRPr="004D010F">
              <w:rPr>
                <w:sz w:val="22"/>
                <w:szCs w:val="22"/>
                <w:lang w:val="en-US"/>
              </w:rPr>
              <w:t>Placebo</w:t>
            </w:r>
          </w:p>
        </w:tc>
        <w:tc>
          <w:tcPr>
            <w:tcW w:w="900" w:type="dxa"/>
          </w:tcPr>
          <w:p w14:paraId="08648C47" w14:textId="77777777" w:rsidR="004462A0" w:rsidRPr="004D010F" w:rsidRDefault="00615769" w:rsidP="00B538F3">
            <w:pPr>
              <w:rPr>
                <w:sz w:val="22"/>
                <w:szCs w:val="22"/>
                <w:lang w:val="en-US"/>
              </w:rPr>
            </w:pPr>
            <w:r>
              <w:rPr>
                <w:noProof/>
                <w:sz w:val="22"/>
                <w:szCs w:val="22"/>
                <w:lang w:val="en-GB" w:eastAsia="en-GB"/>
              </w:rPr>
              <w:drawing>
                <wp:inline distT="0" distB="0" distL="0" distR="0" wp14:anchorId="5A4B8CDA" wp14:editId="1F6778B7">
                  <wp:extent cx="556895" cy="179070"/>
                  <wp:effectExtent l="0" t="0" r="0" b="0"/>
                  <wp:docPr id="59" name="Picture 59"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9" descr="Humira Uveitis Figure 5_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56895" cy="179070"/>
                          </a:xfrm>
                          <a:prstGeom prst="rect">
                            <a:avLst/>
                          </a:prstGeom>
                          <a:noFill/>
                          <a:ln>
                            <a:noFill/>
                          </a:ln>
                        </pic:spPr>
                      </pic:pic>
                    </a:graphicData>
                  </a:graphic>
                </wp:inline>
              </w:drawing>
            </w:r>
          </w:p>
        </w:tc>
        <w:tc>
          <w:tcPr>
            <w:tcW w:w="1890" w:type="dxa"/>
          </w:tcPr>
          <w:p w14:paraId="14662BA1" w14:textId="77777777" w:rsidR="004462A0" w:rsidRPr="004D010F" w:rsidRDefault="00615769" w:rsidP="00B538F3">
            <w:pPr>
              <w:rPr>
                <w:sz w:val="22"/>
                <w:szCs w:val="22"/>
                <w:lang w:val="en-US"/>
              </w:rPr>
            </w:pPr>
            <w:r w:rsidRPr="004D010F">
              <w:rPr>
                <w:sz w:val="22"/>
                <w:szCs w:val="22"/>
                <w:lang w:val="en-US"/>
              </w:rPr>
              <w:t>Adalimumab</w:t>
            </w:r>
          </w:p>
        </w:tc>
      </w:tr>
      <w:tr w:rsidR="00A7162A" w14:paraId="456F1D8B" w14:textId="77777777" w:rsidTr="00F675CF">
        <w:trPr>
          <w:trHeight w:val="4085"/>
        </w:trPr>
        <w:tc>
          <w:tcPr>
            <w:tcW w:w="482" w:type="dxa"/>
            <w:textDirection w:val="btLr"/>
            <w:vAlign w:val="bottom"/>
          </w:tcPr>
          <w:p w14:paraId="77598E33" w14:textId="77777777" w:rsidR="004462A0" w:rsidRPr="00EA0F56" w:rsidRDefault="00615769" w:rsidP="00B538F3">
            <w:pPr>
              <w:keepNext/>
              <w:rPr>
                <w:sz w:val="20"/>
                <w:szCs w:val="20"/>
              </w:rPr>
            </w:pPr>
            <w:r w:rsidRPr="00EA0F56">
              <w:rPr>
                <w:b/>
                <w:sz w:val="20"/>
                <w:szCs w:val="20"/>
              </w:rPr>
              <w:t>TAXA DE FALHA DE TRATAME</w:t>
            </w:r>
            <w:r>
              <w:rPr>
                <w:b/>
                <w:sz w:val="20"/>
                <w:szCs w:val="20"/>
              </w:rPr>
              <w:t>N</w:t>
            </w:r>
            <w:r w:rsidRPr="00EA0F56">
              <w:rPr>
                <w:b/>
                <w:sz w:val="20"/>
                <w:szCs w:val="20"/>
              </w:rPr>
              <w:t>TO (%)</w:t>
            </w:r>
          </w:p>
        </w:tc>
        <w:tc>
          <w:tcPr>
            <w:tcW w:w="8806" w:type="dxa"/>
            <w:gridSpan w:val="5"/>
            <w:vAlign w:val="bottom"/>
          </w:tcPr>
          <w:p w14:paraId="41B12F44" w14:textId="77777777" w:rsidR="004462A0" w:rsidRPr="004D010F" w:rsidRDefault="00615769" w:rsidP="00B538F3">
            <w:pPr>
              <w:keepNext/>
              <w:rPr>
                <w:sz w:val="22"/>
                <w:szCs w:val="22"/>
                <w:lang w:val="en-US"/>
              </w:rPr>
            </w:pPr>
            <w:r>
              <w:rPr>
                <w:noProof/>
                <w:szCs w:val="22"/>
                <w:lang w:val="en-GB" w:eastAsia="en-GB"/>
              </w:rPr>
              <w:drawing>
                <wp:inline distT="0" distB="0" distL="0" distR="0" wp14:anchorId="5F8EBF13" wp14:editId="02451765">
                  <wp:extent cx="5486400" cy="2176780"/>
                  <wp:effectExtent l="0" t="0" r="0" b="0"/>
                  <wp:docPr id="58" name="Picture 58"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10" descr="Humira Uveitis Figure 5_7"/>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486400" cy="2176780"/>
                          </a:xfrm>
                          <a:prstGeom prst="rect">
                            <a:avLst/>
                          </a:prstGeom>
                          <a:noFill/>
                          <a:ln>
                            <a:noFill/>
                          </a:ln>
                        </pic:spPr>
                      </pic:pic>
                    </a:graphicData>
                  </a:graphic>
                </wp:inline>
              </w:drawing>
            </w:r>
          </w:p>
        </w:tc>
      </w:tr>
      <w:tr w:rsidR="00A7162A" w14:paraId="5DFE6750" w14:textId="77777777" w:rsidTr="00F675CF">
        <w:tc>
          <w:tcPr>
            <w:tcW w:w="482" w:type="dxa"/>
          </w:tcPr>
          <w:p w14:paraId="52CD2F2B" w14:textId="77777777" w:rsidR="004462A0" w:rsidRPr="004D010F" w:rsidRDefault="004462A0" w:rsidP="00B538F3">
            <w:pPr>
              <w:keepNext/>
              <w:rPr>
                <w:sz w:val="22"/>
                <w:szCs w:val="22"/>
                <w:lang w:val="en-US"/>
              </w:rPr>
            </w:pPr>
          </w:p>
        </w:tc>
        <w:tc>
          <w:tcPr>
            <w:tcW w:w="8806" w:type="dxa"/>
            <w:gridSpan w:val="5"/>
          </w:tcPr>
          <w:p w14:paraId="24975E03" w14:textId="77777777" w:rsidR="004462A0" w:rsidRPr="004D010F" w:rsidRDefault="00615769" w:rsidP="00B538F3">
            <w:pPr>
              <w:keepNext/>
              <w:jc w:val="center"/>
              <w:rPr>
                <w:b/>
                <w:sz w:val="22"/>
                <w:szCs w:val="22"/>
                <w:lang w:val="en-US"/>
              </w:rPr>
            </w:pPr>
            <w:r w:rsidRPr="004D010F">
              <w:rPr>
                <w:b/>
                <w:sz w:val="22"/>
                <w:szCs w:val="22"/>
                <w:lang w:val="en-US"/>
              </w:rPr>
              <w:t>T</w:t>
            </w:r>
            <w:r>
              <w:rPr>
                <w:b/>
                <w:sz w:val="22"/>
                <w:szCs w:val="22"/>
                <w:lang w:val="en-US"/>
              </w:rPr>
              <w:t>EMPO</w:t>
            </w:r>
            <w:r w:rsidRPr="004D010F">
              <w:rPr>
                <w:b/>
                <w:sz w:val="22"/>
                <w:szCs w:val="22"/>
                <w:lang w:val="en-US"/>
              </w:rPr>
              <w:t xml:space="preserve"> (M</w:t>
            </w:r>
            <w:r>
              <w:rPr>
                <w:b/>
                <w:sz w:val="22"/>
                <w:szCs w:val="22"/>
                <w:lang w:val="en-US"/>
              </w:rPr>
              <w:t>ESES</w:t>
            </w:r>
            <w:r w:rsidRPr="004D010F">
              <w:rPr>
                <w:b/>
                <w:sz w:val="22"/>
                <w:szCs w:val="22"/>
                <w:lang w:val="en-US"/>
              </w:rPr>
              <w:t>)</w:t>
            </w:r>
          </w:p>
        </w:tc>
      </w:tr>
      <w:tr w:rsidR="00A7162A" w14:paraId="37C95A00" w14:textId="77777777" w:rsidTr="00F675CF">
        <w:trPr>
          <w:trHeight w:val="369"/>
        </w:trPr>
        <w:tc>
          <w:tcPr>
            <w:tcW w:w="482" w:type="dxa"/>
          </w:tcPr>
          <w:p w14:paraId="03CE5A2F" w14:textId="77777777" w:rsidR="004462A0" w:rsidRPr="004D010F" w:rsidRDefault="004462A0" w:rsidP="00B538F3">
            <w:pPr>
              <w:keepNext/>
              <w:rPr>
                <w:sz w:val="22"/>
                <w:szCs w:val="22"/>
                <w:lang w:val="en-US"/>
              </w:rPr>
            </w:pPr>
          </w:p>
        </w:tc>
        <w:tc>
          <w:tcPr>
            <w:tcW w:w="3496" w:type="dxa"/>
          </w:tcPr>
          <w:p w14:paraId="1E6662B1" w14:textId="77777777" w:rsidR="004462A0" w:rsidRPr="004D010F" w:rsidRDefault="00615769" w:rsidP="00B538F3">
            <w:pPr>
              <w:keepNext/>
              <w:rPr>
                <w:sz w:val="22"/>
                <w:szCs w:val="22"/>
                <w:lang w:val="en-US"/>
              </w:rPr>
            </w:pPr>
            <w:r>
              <w:rPr>
                <w:sz w:val="22"/>
                <w:szCs w:val="22"/>
                <w:lang w:val="en-US"/>
              </w:rPr>
              <w:t>Estudo</w:t>
            </w:r>
            <w:r w:rsidRPr="004D010F">
              <w:rPr>
                <w:sz w:val="22"/>
                <w:szCs w:val="22"/>
                <w:lang w:val="en-US"/>
              </w:rPr>
              <w:t xml:space="preserve"> UV II        </w:t>
            </w:r>
            <w:r>
              <w:rPr>
                <w:sz w:val="22"/>
                <w:szCs w:val="22"/>
                <w:lang w:val="en-US"/>
              </w:rPr>
              <w:t xml:space="preserve">        Tr</w:t>
            </w:r>
            <w:r w:rsidRPr="004D010F">
              <w:rPr>
                <w:sz w:val="22"/>
                <w:szCs w:val="22"/>
                <w:lang w:val="en-US"/>
              </w:rPr>
              <w:t>at</w:t>
            </w:r>
            <w:r>
              <w:rPr>
                <w:sz w:val="22"/>
                <w:szCs w:val="22"/>
                <w:lang w:val="en-US"/>
              </w:rPr>
              <w:t>a</w:t>
            </w:r>
            <w:r w:rsidRPr="004D010F">
              <w:rPr>
                <w:sz w:val="22"/>
                <w:szCs w:val="22"/>
                <w:lang w:val="en-US"/>
              </w:rPr>
              <w:t>ment</w:t>
            </w:r>
            <w:r>
              <w:rPr>
                <w:sz w:val="22"/>
                <w:szCs w:val="22"/>
                <w:lang w:val="en-US"/>
              </w:rPr>
              <w:t>o</w:t>
            </w:r>
          </w:p>
        </w:tc>
        <w:tc>
          <w:tcPr>
            <w:tcW w:w="1170" w:type="dxa"/>
          </w:tcPr>
          <w:p w14:paraId="58E4DAD2" w14:textId="77777777" w:rsidR="004462A0" w:rsidRPr="004D010F" w:rsidRDefault="00615769" w:rsidP="00B538F3">
            <w:pPr>
              <w:keepNext/>
              <w:rPr>
                <w:sz w:val="22"/>
                <w:szCs w:val="22"/>
                <w:lang w:val="en-US"/>
              </w:rPr>
            </w:pPr>
            <w:r>
              <w:rPr>
                <w:noProof/>
                <w:sz w:val="22"/>
                <w:szCs w:val="22"/>
                <w:lang w:val="en-GB" w:eastAsia="en-GB"/>
              </w:rPr>
              <w:drawing>
                <wp:inline distT="0" distB="0" distL="0" distR="0" wp14:anchorId="2F9F28DA" wp14:editId="07EEFEA7">
                  <wp:extent cx="397510" cy="179070"/>
                  <wp:effectExtent l="0" t="0" r="2540" b="0"/>
                  <wp:docPr id="57" name="Picture 57"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11"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97510" cy="179070"/>
                          </a:xfrm>
                          <a:prstGeom prst="rect">
                            <a:avLst/>
                          </a:prstGeom>
                          <a:noFill/>
                          <a:ln>
                            <a:noFill/>
                          </a:ln>
                        </pic:spPr>
                      </pic:pic>
                    </a:graphicData>
                  </a:graphic>
                </wp:inline>
              </w:drawing>
            </w:r>
          </w:p>
        </w:tc>
        <w:tc>
          <w:tcPr>
            <w:tcW w:w="1350" w:type="dxa"/>
          </w:tcPr>
          <w:p w14:paraId="5EAB7ECE" w14:textId="77777777" w:rsidR="004462A0" w:rsidRPr="004D010F" w:rsidRDefault="00615769" w:rsidP="00B538F3">
            <w:pPr>
              <w:keepNext/>
              <w:rPr>
                <w:sz w:val="22"/>
                <w:szCs w:val="22"/>
                <w:lang w:val="en-US"/>
              </w:rPr>
            </w:pPr>
            <w:r w:rsidRPr="004D010F">
              <w:rPr>
                <w:sz w:val="22"/>
                <w:szCs w:val="22"/>
                <w:lang w:val="en-US"/>
              </w:rPr>
              <w:t>Placebo</w:t>
            </w:r>
          </w:p>
        </w:tc>
        <w:tc>
          <w:tcPr>
            <w:tcW w:w="900" w:type="dxa"/>
          </w:tcPr>
          <w:p w14:paraId="742CA0D7" w14:textId="77777777" w:rsidR="004462A0" w:rsidRPr="004D010F" w:rsidRDefault="00615769" w:rsidP="00B538F3">
            <w:pPr>
              <w:keepNext/>
              <w:rPr>
                <w:sz w:val="22"/>
                <w:szCs w:val="22"/>
                <w:lang w:val="en-US"/>
              </w:rPr>
            </w:pPr>
            <w:r>
              <w:rPr>
                <w:noProof/>
                <w:sz w:val="22"/>
                <w:szCs w:val="22"/>
                <w:lang w:val="en-GB" w:eastAsia="en-GB"/>
              </w:rPr>
              <w:drawing>
                <wp:inline distT="0" distB="0" distL="0" distR="0" wp14:anchorId="76AC13C6" wp14:editId="427F7B3B">
                  <wp:extent cx="556895" cy="179070"/>
                  <wp:effectExtent l="0" t="0" r="0" b="0"/>
                  <wp:docPr id="56" name="Picture 56"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12" descr="Humira Uveitis Figure 5_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56895" cy="179070"/>
                          </a:xfrm>
                          <a:prstGeom prst="rect">
                            <a:avLst/>
                          </a:prstGeom>
                          <a:noFill/>
                          <a:ln>
                            <a:noFill/>
                          </a:ln>
                        </pic:spPr>
                      </pic:pic>
                    </a:graphicData>
                  </a:graphic>
                </wp:inline>
              </w:drawing>
            </w:r>
          </w:p>
        </w:tc>
        <w:tc>
          <w:tcPr>
            <w:tcW w:w="1890" w:type="dxa"/>
          </w:tcPr>
          <w:p w14:paraId="6F23498B" w14:textId="77777777" w:rsidR="004462A0" w:rsidRPr="004D010F" w:rsidRDefault="00615769" w:rsidP="00B538F3">
            <w:pPr>
              <w:keepNext/>
              <w:rPr>
                <w:sz w:val="22"/>
                <w:szCs w:val="22"/>
                <w:lang w:val="en-US"/>
              </w:rPr>
            </w:pPr>
            <w:r w:rsidRPr="004D010F">
              <w:rPr>
                <w:sz w:val="22"/>
                <w:szCs w:val="22"/>
                <w:lang w:val="en-US"/>
              </w:rPr>
              <w:t>Adalimumab</w:t>
            </w:r>
          </w:p>
        </w:tc>
      </w:tr>
      <w:tr w:rsidR="00A7162A" w14:paraId="6ECEA8D9" w14:textId="77777777" w:rsidTr="00F675CF">
        <w:trPr>
          <w:trHeight w:val="629"/>
        </w:trPr>
        <w:tc>
          <w:tcPr>
            <w:tcW w:w="9288" w:type="dxa"/>
            <w:gridSpan w:val="6"/>
            <w:vAlign w:val="center"/>
          </w:tcPr>
          <w:p w14:paraId="428E7942" w14:textId="77777777" w:rsidR="004462A0" w:rsidRPr="00E91933" w:rsidRDefault="00615769" w:rsidP="00B538F3">
            <w:pPr>
              <w:keepNext/>
              <w:rPr>
                <w:sz w:val="22"/>
                <w:szCs w:val="22"/>
              </w:rPr>
            </w:pPr>
            <w:r w:rsidRPr="00E91933">
              <w:rPr>
                <w:sz w:val="22"/>
                <w:szCs w:val="22"/>
              </w:rPr>
              <w:t>Nota: P# = Placebo (Número de Eventos/Número em Risco); A# = HUMIRA (Número de Eventos/Número em Risco).</w:t>
            </w:r>
          </w:p>
        </w:tc>
      </w:tr>
    </w:tbl>
    <w:p w14:paraId="09307ECD" w14:textId="77777777" w:rsidR="004462A0" w:rsidRPr="00E91933" w:rsidRDefault="004462A0" w:rsidP="004462A0">
      <w:pPr>
        <w:rPr>
          <w:sz w:val="22"/>
          <w:szCs w:val="22"/>
        </w:rPr>
      </w:pPr>
    </w:p>
    <w:p w14:paraId="247D3C97" w14:textId="77777777" w:rsidR="004462A0" w:rsidRPr="009719CD" w:rsidRDefault="00615769" w:rsidP="004462A0">
      <w:pPr>
        <w:rPr>
          <w:sz w:val="22"/>
          <w:szCs w:val="22"/>
        </w:rPr>
      </w:pPr>
      <w:r w:rsidRPr="009719CD">
        <w:rPr>
          <w:sz w:val="22"/>
          <w:szCs w:val="22"/>
        </w:rPr>
        <w:t>No Estudo UV I foram observadas diferenças estatisticamente significativas favoráveis a adalimumab versus placebo para cada componente da falha de tratamento. No Estudo UV II, foram observadas diferenças estatisticamente significativas apenas para a acuidade visual, mas os outros componentes foram numericamente favoráveis a adalimumab.</w:t>
      </w:r>
    </w:p>
    <w:p w14:paraId="738A3695" w14:textId="77777777" w:rsidR="004462A0" w:rsidRDefault="004462A0" w:rsidP="004462A0">
      <w:pPr>
        <w:rPr>
          <w:sz w:val="22"/>
          <w:szCs w:val="22"/>
        </w:rPr>
      </w:pPr>
    </w:p>
    <w:p w14:paraId="185CE825" w14:textId="77777777" w:rsidR="00444043" w:rsidRDefault="00615769" w:rsidP="004462A0">
      <w:pPr>
        <w:rPr>
          <w:sz w:val="22"/>
          <w:szCs w:val="22"/>
        </w:rPr>
      </w:pPr>
      <w:r w:rsidRPr="008C3DD3">
        <w:rPr>
          <w:sz w:val="22"/>
          <w:szCs w:val="22"/>
        </w:rPr>
        <w:t xml:space="preserve">Dos </w:t>
      </w:r>
      <w:r w:rsidR="00961DA7">
        <w:rPr>
          <w:sz w:val="22"/>
          <w:szCs w:val="22"/>
        </w:rPr>
        <w:t>424</w:t>
      </w:r>
      <w:r w:rsidRPr="008C3DD3">
        <w:rPr>
          <w:sz w:val="22"/>
          <w:szCs w:val="22"/>
        </w:rPr>
        <w:t xml:space="preserve"> indivíduos incluídos na extensão a longo prazo</w:t>
      </w:r>
      <w:r w:rsidR="003C5B52">
        <w:rPr>
          <w:sz w:val="22"/>
          <w:szCs w:val="22"/>
        </w:rPr>
        <w:t>, não-controlada,</w:t>
      </w:r>
      <w:r w:rsidRPr="008C3DD3">
        <w:rPr>
          <w:sz w:val="22"/>
          <w:szCs w:val="22"/>
        </w:rPr>
        <w:t xml:space="preserve"> dos Estudos UV I e UV II, </w:t>
      </w:r>
      <w:r w:rsidR="006663BA">
        <w:rPr>
          <w:sz w:val="22"/>
          <w:szCs w:val="22"/>
        </w:rPr>
        <w:t>60</w:t>
      </w:r>
      <w:r w:rsidRPr="008C3DD3">
        <w:rPr>
          <w:sz w:val="22"/>
          <w:szCs w:val="22"/>
        </w:rPr>
        <w:t xml:space="preserve"> indivíduos foram considerados inelegíveis (p.ex. </w:t>
      </w:r>
      <w:r w:rsidR="006663BA">
        <w:rPr>
          <w:sz w:val="22"/>
          <w:szCs w:val="22"/>
        </w:rPr>
        <w:t xml:space="preserve">devido a desvios ou devido a </w:t>
      </w:r>
      <w:r w:rsidRPr="008C3DD3">
        <w:rPr>
          <w:sz w:val="22"/>
          <w:szCs w:val="22"/>
        </w:rPr>
        <w:t xml:space="preserve">complicações secundárias à retinopatia diabética, devido a cirurgia de catarata ou vitrectomia) e foram excluídos da análise de eficácia primária. Dos </w:t>
      </w:r>
      <w:r w:rsidR="006663BA">
        <w:rPr>
          <w:sz w:val="22"/>
          <w:szCs w:val="22"/>
        </w:rPr>
        <w:t>364</w:t>
      </w:r>
      <w:r w:rsidRPr="008C3DD3">
        <w:rPr>
          <w:sz w:val="22"/>
          <w:szCs w:val="22"/>
        </w:rPr>
        <w:t xml:space="preserve"> doentes restantes, </w:t>
      </w:r>
      <w:r w:rsidR="006663BA">
        <w:rPr>
          <w:sz w:val="22"/>
          <w:szCs w:val="22"/>
        </w:rPr>
        <w:t>269</w:t>
      </w:r>
      <w:r w:rsidRPr="008C3DD3">
        <w:rPr>
          <w:sz w:val="22"/>
          <w:szCs w:val="22"/>
        </w:rPr>
        <w:t xml:space="preserve"> doentes avaliáveis </w:t>
      </w:r>
      <w:r w:rsidR="006663BA">
        <w:rPr>
          <w:sz w:val="22"/>
          <w:szCs w:val="22"/>
        </w:rPr>
        <w:t xml:space="preserve">(74%) </w:t>
      </w:r>
      <w:r w:rsidRPr="008C3DD3">
        <w:rPr>
          <w:sz w:val="22"/>
          <w:szCs w:val="22"/>
        </w:rPr>
        <w:t xml:space="preserve">atingiram as 78 semanas de tratamento com adalimumab </w:t>
      </w:r>
      <w:r w:rsidR="003C5B52">
        <w:rPr>
          <w:sz w:val="22"/>
          <w:szCs w:val="22"/>
        </w:rPr>
        <w:t>em</w:t>
      </w:r>
      <w:r w:rsidR="003C5B52" w:rsidRPr="008C3DD3">
        <w:rPr>
          <w:sz w:val="22"/>
          <w:szCs w:val="22"/>
        </w:rPr>
        <w:t xml:space="preserve"> </w:t>
      </w:r>
      <w:r w:rsidRPr="008C3DD3">
        <w:rPr>
          <w:sz w:val="22"/>
          <w:szCs w:val="22"/>
        </w:rPr>
        <w:t>fase aberta. Com base na abordagem d</w:t>
      </w:r>
      <w:r w:rsidR="00FC7E81">
        <w:rPr>
          <w:sz w:val="22"/>
          <w:szCs w:val="22"/>
        </w:rPr>
        <w:t>os</w:t>
      </w:r>
      <w:r w:rsidRPr="008C3DD3">
        <w:rPr>
          <w:sz w:val="22"/>
          <w:szCs w:val="22"/>
        </w:rPr>
        <w:t xml:space="preserve"> dados observad</w:t>
      </w:r>
      <w:r w:rsidR="00FC7E81">
        <w:rPr>
          <w:sz w:val="22"/>
          <w:szCs w:val="22"/>
        </w:rPr>
        <w:t>os</w:t>
      </w:r>
      <w:r w:rsidRPr="008C3DD3">
        <w:rPr>
          <w:sz w:val="22"/>
          <w:szCs w:val="22"/>
        </w:rPr>
        <w:t xml:space="preserve">, </w:t>
      </w:r>
      <w:r w:rsidR="006663BA">
        <w:rPr>
          <w:sz w:val="22"/>
          <w:szCs w:val="22"/>
        </w:rPr>
        <w:t>216</w:t>
      </w:r>
      <w:r w:rsidRPr="008C3DD3">
        <w:rPr>
          <w:sz w:val="22"/>
          <w:szCs w:val="22"/>
        </w:rPr>
        <w:t xml:space="preserve"> (</w:t>
      </w:r>
      <w:r w:rsidR="006663BA">
        <w:rPr>
          <w:sz w:val="22"/>
          <w:szCs w:val="22"/>
        </w:rPr>
        <w:t>80,3%</w:t>
      </w:r>
      <w:r w:rsidRPr="008C3DD3">
        <w:rPr>
          <w:sz w:val="22"/>
          <w:szCs w:val="22"/>
        </w:rPr>
        <w:t>) estavam e</w:t>
      </w:r>
      <w:r w:rsidRPr="008C3DD3">
        <w:rPr>
          <w:sz w:val="22"/>
          <w:szCs w:val="22"/>
        </w:rPr>
        <w:t>m fase de repouso (sem lesões inflamatórias ativas, grau de células AC ≤ 0,5+, grau VH ≤ 0,5+) com uma dose concomitante de ester</w:t>
      </w:r>
      <w:r w:rsidR="003C5B52">
        <w:rPr>
          <w:sz w:val="22"/>
          <w:szCs w:val="22"/>
        </w:rPr>
        <w:t>o</w:t>
      </w:r>
      <w:r w:rsidRPr="008C3DD3">
        <w:rPr>
          <w:sz w:val="22"/>
          <w:szCs w:val="22"/>
        </w:rPr>
        <w:t xml:space="preserve">ides ≤ 7,5 mg por dia, e </w:t>
      </w:r>
      <w:r w:rsidR="006663BA">
        <w:rPr>
          <w:sz w:val="22"/>
          <w:szCs w:val="22"/>
        </w:rPr>
        <w:t>178</w:t>
      </w:r>
      <w:r w:rsidRPr="008C3DD3">
        <w:rPr>
          <w:sz w:val="22"/>
          <w:szCs w:val="22"/>
        </w:rPr>
        <w:t xml:space="preserve"> (</w:t>
      </w:r>
      <w:r w:rsidR="006663BA">
        <w:rPr>
          <w:sz w:val="22"/>
          <w:szCs w:val="22"/>
        </w:rPr>
        <w:t>66,2%</w:t>
      </w:r>
      <w:r w:rsidRPr="008C3DD3">
        <w:rPr>
          <w:sz w:val="22"/>
          <w:szCs w:val="22"/>
        </w:rPr>
        <w:t xml:space="preserve">) estavam em repouso isentos de esteroides. Na semana 78, </w:t>
      </w:r>
      <w:r w:rsidR="003C5B52">
        <w:rPr>
          <w:sz w:val="22"/>
          <w:szCs w:val="22"/>
        </w:rPr>
        <w:t>a MAVC</w:t>
      </w:r>
      <w:r w:rsidRPr="008C3DD3">
        <w:rPr>
          <w:sz w:val="22"/>
          <w:szCs w:val="22"/>
        </w:rPr>
        <w:t xml:space="preserve"> foi melhorad</w:t>
      </w:r>
      <w:r w:rsidR="003C5B52">
        <w:rPr>
          <w:sz w:val="22"/>
          <w:szCs w:val="22"/>
        </w:rPr>
        <w:t>a</w:t>
      </w:r>
      <w:r w:rsidRPr="008C3DD3">
        <w:rPr>
          <w:sz w:val="22"/>
          <w:szCs w:val="22"/>
        </w:rPr>
        <w:t xml:space="preserve"> ou mantid</w:t>
      </w:r>
      <w:r w:rsidR="003C5B52">
        <w:rPr>
          <w:sz w:val="22"/>
          <w:szCs w:val="22"/>
        </w:rPr>
        <w:t>a</w:t>
      </w:r>
      <w:r w:rsidRPr="008C3DD3">
        <w:rPr>
          <w:sz w:val="22"/>
          <w:szCs w:val="22"/>
        </w:rPr>
        <w:t xml:space="preserve"> (</w:t>
      </w:r>
      <w:r w:rsidR="003C5B52">
        <w:rPr>
          <w:sz w:val="22"/>
          <w:szCs w:val="22"/>
        </w:rPr>
        <w:t xml:space="preserve">deterioração de </w:t>
      </w:r>
      <w:r w:rsidRPr="008C3DD3">
        <w:rPr>
          <w:sz w:val="22"/>
          <w:szCs w:val="22"/>
        </w:rPr>
        <w:t>&lt; 5 letras) em 88,</w:t>
      </w:r>
      <w:r w:rsidR="006663BA">
        <w:rPr>
          <w:sz w:val="22"/>
          <w:szCs w:val="22"/>
        </w:rPr>
        <w:t>6</w:t>
      </w:r>
      <w:r w:rsidRPr="008C3DD3">
        <w:rPr>
          <w:sz w:val="22"/>
          <w:szCs w:val="22"/>
        </w:rPr>
        <w:t>%</w:t>
      </w:r>
      <w:r w:rsidR="003C5B52">
        <w:rPr>
          <w:sz w:val="22"/>
          <w:szCs w:val="22"/>
        </w:rPr>
        <w:t xml:space="preserve"> dos olhos</w:t>
      </w:r>
      <w:r w:rsidRPr="008C3DD3">
        <w:rPr>
          <w:sz w:val="22"/>
          <w:szCs w:val="22"/>
        </w:rPr>
        <w:t xml:space="preserve">. </w:t>
      </w:r>
      <w:r w:rsidR="00B747B4" w:rsidRPr="00B747B4">
        <w:rPr>
          <w:sz w:val="22"/>
          <w:szCs w:val="22"/>
        </w:rPr>
        <w:t xml:space="preserve">Os dados para além da semana 78 foram </w:t>
      </w:r>
      <w:r w:rsidR="003C5B52">
        <w:rPr>
          <w:sz w:val="22"/>
          <w:szCs w:val="22"/>
        </w:rPr>
        <w:t>na generalidade</w:t>
      </w:r>
      <w:r w:rsidR="00B747B4" w:rsidRPr="00B747B4">
        <w:rPr>
          <w:sz w:val="22"/>
          <w:szCs w:val="22"/>
        </w:rPr>
        <w:t xml:space="preserve"> consistentes com estes resultados, mas o número de indivíduos inscritos diminuiu após esse tempo. Globalmente, </w:t>
      </w:r>
      <w:r w:rsidR="00B747B4">
        <w:rPr>
          <w:sz w:val="22"/>
          <w:szCs w:val="22"/>
        </w:rPr>
        <w:t>e</w:t>
      </w:r>
      <w:r w:rsidRPr="008C3DD3">
        <w:rPr>
          <w:sz w:val="22"/>
          <w:szCs w:val="22"/>
        </w:rPr>
        <w:t xml:space="preserve">ntre os doentes que descontinuaram o estudo , </w:t>
      </w:r>
      <w:r w:rsidR="0085794C">
        <w:rPr>
          <w:sz w:val="22"/>
          <w:szCs w:val="22"/>
        </w:rPr>
        <w:t>18</w:t>
      </w:r>
      <w:r w:rsidRPr="008C3DD3">
        <w:rPr>
          <w:sz w:val="22"/>
          <w:szCs w:val="22"/>
        </w:rPr>
        <w:t xml:space="preserve">% descontinuaram devido a acontecimentos adversos, e </w:t>
      </w:r>
      <w:r w:rsidR="0085794C">
        <w:rPr>
          <w:sz w:val="22"/>
          <w:szCs w:val="22"/>
        </w:rPr>
        <w:t>8</w:t>
      </w:r>
      <w:r w:rsidRPr="008C3DD3">
        <w:rPr>
          <w:sz w:val="22"/>
          <w:szCs w:val="22"/>
        </w:rPr>
        <w:t>% devido a uma resposta terapêutica insuficiente com adalimumab</w:t>
      </w:r>
      <w:r>
        <w:rPr>
          <w:sz w:val="22"/>
          <w:szCs w:val="22"/>
        </w:rPr>
        <w:t>.</w:t>
      </w:r>
    </w:p>
    <w:p w14:paraId="3F428A37" w14:textId="77777777" w:rsidR="008C3DD3" w:rsidRPr="009719CD" w:rsidRDefault="008C3DD3" w:rsidP="004462A0">
      <w:pPr>
        <w:rPr>
          <w:sz w:val="22"/>
          <w:szCs w:val="22"/>
        </w:rPr>
      </w:pPr>
    </w:p>
    <w:p w14:paraId="76BD3159" w14:textId="77777777" w:rsidR="004462A0" w:rsidRPr="00DF5632" w:rsidRDefault="00615769" w:rsidP="004462A0">
      <w:pPr>
        <w:rPr>
          <w:i/>
          <w:sz w:val="22"/>
          <w:szCs w:val="22"/>
          <w:u w:val="single"/>
        </w:rPr>
      </w:pPr>
      <w:r w:rsidRPr="00DF5632">
        <w:rPr>
          <w:i/>
          <w:sz w:val="22"/>
          <w:szCs w:val="22"/>
          <w:u w:val="single"/>
        </w:rPr>
        <w:t xml:space="preserve">Qualidade de </w:t>
      </w:r>
      <w:r w:rsidR="00FB6C29" w:rsidRPr="00DF5632">
        <w:rPr>
          <w:i/>
          <w:sz w:val="22"/>
          <w:szCs w:val="22"/>
          <w:u w:val="single"/>
        </w:rPr>
        <w:t>v</w:t>
      </w:r>
      <w:r w:rsidRPr="00DF5632">
        <w:rPr>
          <w:i/>
          <w:sz w:val="22"/>
          <w:szCs w:val="22"/>
          <w:u w:val="single"/>
        </w:rPr>
        <w:t>ida</w:t>
      </w:r>
    </w:p>
    <w:p w14:paraId="531B2D93" w14:textId="77777777" w:rsidR="004462A0" w:rsidRPr="009719CD" w:rsidRDefault="004462A0" w:rsidP="004462A0">
      <w:pPr>
        <w:rPr>
          <w:sz w:val="22"/>
          <w:szCs w:val="22"/>
        </w:rPr>
      </w:pPr>
    </w:p>
    <w:p w14:paraId="54B03F30" w14:textId="77777777" w:rsidR="004462A0" w:rsidRPr="00AD5225" w:rsidRDefault="00615769" w:rsidP="004462A0">
      <w:pPr>
        <w:pStyle w:val="Heading9"/>
        <w:keepNext w:val="0"/>
        <w:autoSpaceDE w:val="0"/>
        <w:autoSpaceDN w:val="0"/>
        <w:adjustRightInd w:val="0"/>
        <w:rPr>
          <w:szCs w:val="22"/>
          <w:u w:val="none"/>
        </w:rPr>
      </w:pPr>
      <w:r w:rsidRPr="00AD5225">
        <w:rPr>
          <w:szCs w:val="22"/>
          <w:u w:val="none"/>
        </w:rPr>
        <w:t>Os resultados reportados pelos doentes relativamente aos aspetos relacionados com o funcionamento da visão foram avaliados em ambos os estudos clínicos, usando a NEI VFQ-25. Humira foi numericamente favorável para a maioria das subpontuações com uma média de diferenças estatisticamente significativas para a visão em geral, dor ocular, visão de perto, saúde mental, e pontuação total no Estudo UV I, e para a visão geral e saúde mental no Estudo UV II. Os efeitos relacionados com a visão não foram numericament</w:t>
      </w:r>
      <w:r w:rsidRPr="00AD5225">
        <w:rPr>
          <w:szCs w:val="22"/>
          <w:u w:val="none"/>
        </w:rPr>
        <w:t>e favoráveis a Humira na visão colorida no Estudo UV I e na visão colorida, visão periférica e visão de perto no Estudo UV II.</w:t>
      </w:r>
    </w:p>
    <w:p w14:paraId="0874E5AA" w14:textId="77777777" w:rsidR="004462A0" w:rsidRDefault="004462A0" w:rsidP="004462A0">
      <w:pPr>
        <w:pStyle w:val="Heading9"/>
        <w:autoSpaceDE w:val="0"/>
        <w:autoSpaceDN w:val="0"/>
        <w:adjustRightInd w:val="0"/>
        <w:rPr>
          <w:szCs w:val="22"/>
        </w:rPr>
      </w:pPr>
    </w:p>
    <w:p w14:paraId="079B5A57" w14:textId="77777777" w:rsidR="004462A0" w:rsidRPr="008912CF" w:rsidRDefault="00615769" w:rsidP="004462A0">
      <w:pPr>
        <w:pStyle w:val="Heading9"/>
        <w:autoSpaceDE w:val="0"/>
        <w:autoSpaceDN w:val="0"/>
        <w:adjustRightInd w:val="0"/>
        <w:rPr>
          <w:szCs w:val="22"/>
        </w:rPr>
      </w:pPr>
      <w:r w:rsidRPr="008912CF">
        <w:rPr>
          <w:szCs w:val="22"/>
        </w:rPr>
        <w:t>Imunogenicidade</w:t>
      </w:r>
    </w:p>
    <w:p w14:paraId="6DE57C31" w14:textId="77777777" w:rsidR="004462A0" w:rsidRPr="008912CF" w:rsidRDefault="004462A0" w:rsidP="004462A0">
      <w:pPr>
        <w:keepNext/>
        <w:autoSpaceDE w:val="0"/>
        <w:autoSpaceDN w:val="0"/>
        <w:adjustRightInd w:val="0"/>
        <w:rPr>
          <w:sz w:val="22"/>
          <w:szCs w:val="22"/>
        </w:rPr>
      </w:pPr>
    </w:p>
    <w:p w14:paraId="17DA53AC" w14:textId="77777777" w:rsidR="004462A0" w:rsidRPr="008912CF" w:rsidRDefault="00615769" w:rsidP="004462A0">
      <w:pPr>
        <w:keepNext/>
        <w:autoSpaceDE w:val="0"/>
        <w:autoSpaceDN w:val="0"/>
        <w:adjustRightInd w:val="0"/>
        <w:rPr>
          <w:sz w:val="22"/>
          <w:szCs w:val="22"/>
        </w:rPr>
      </w:pPr>
      <w:r w:rsidRPr="008912CF">
        <w:rPr>
          <w:sz w:val="22"/>
          <w:szCs w:val="22"/>
        </w:rPr>
        <w:t>A formação de anticorpos anti</w:t>
      </w:r>
      <w:r w:rsidR="00840424">
        <w:rPr>
          <w:sz w:val="22"/>
          <w:szCs w:val="22"/>
        </w:rPr>
        <w:t>-</w:t>
      </w:r>
      <w:r w:rsidRPr="008912CF">
        <w:rPr>
          <w:sz w:val="22"/>
          <w:szCs w:val="22"/>
        </w:rPr>
        <w:t>adalimumab está associada com a depuração aumentada e eficácia reduzida de adalimumab. Não há aparente correlação entre a presença de anticorpos anti</w:t>
      </w:r>
      <w:r w:rsidR="00840424">
        <w:rPr>
          <w:sz w:val="22"/>
          <w:szCs w:val="22"/>
        </w:rPr>
        <w:t>-</w:t>
      </w:r>
      <w:r w:rsidRPr="008912CF">
        <w:rPr>
          <w:sz w:val="22"/>
          <w:szCs w:val="22"/>
        </w:rPr>
        <w:t>adalimumab e a ocorrência de acontecimentos adversos.</w:t>
      </w:r>
    </w:p>
    <w:p w14:paraId="2DC8A84E" w14:textId="77777777" w:rsidR="004462A0" w:rsidRPr="008912CF" w:rsidRDefault="004462A0" w:rsidP="004462A0">
      <w:pPr>
        <w:pStyle w:val="EndnoteText"/>
        <w:tabs>
          <w:tab w:val="clear" w:pos="567"/>
        </w:tabs>
        <w:autoSpaceDE w:val="0"/>
        <w:autoSpaceDN w:val="0"/>
        <w:adjustRightInd w:val="0"/>
        <w:rPr>
          <w:szCs w:val="22"/>
        </w:rPr>
      </w:pPr>
    </w:p>
    <w:p w14:paraId="05ED825E" w14:textId="77777777" w:rsidR="004462A0" w:rsidRPr="008912CF" w:rsidRDefault="00615769" w:rsidP="004462A0">
      <w:pPr>
        <w:tabs>
          <w:tab w:val="left" w:pos="1294"/>
        </w:tabs>
        <w:autoSpaceDE w:val="0"/>
        <w:autoSpaceDN w:val="0"/>
        <w:adjustRightInd w:val="0"/>
        <w:rPr>
          <w:sz w:val="22"/>
          <w:szCs w:val="22"/>
        </w:rPr>
      </w:pPr>
      <w:r w:rsidRPr="008912CF">
        <w:rPr>
          <w:sz w:val="22"/>
          <w:szCs w:val="22"/>
        </w:rPr>
        <w:t>Os doentes nos estudos de artrite reumatoide I, II e III foram analisados em múltiplos pontos temporais para pesquisa de anticorpos anti</w:t>
      </w:r>
      <w:r w:rsidR="00840424">
        <w:rPr>
          <w:sz w:val="22"/>
          <w:szCs w:val="22"/>
        </w:rPr>
        <w:t>-</w:t>
      </w:r>
      <w:r w:rsidRPr="008912CF">
        <w:rPr>
          <w:sz w:val="22"/>
          <w:szCs w:val="22"/>
        </w:rPr>
        <w:t>adalimumab durante o período de 6 a 12 meses. Nos ensaios centrais, foram identificados anticorpos anti</w:t>
      </w:r>
      <w:r w:rsidR="00840424">
        <w:rPr>
          <w:sz w:val="22"/>
          <w:szCs w:val="22"/>
        </w:rPr>
        <w:t>-</w:t>
      </w:r>
      <w:r w:rsidRPr="008912CF">
        <w:rPr>
          <w:sz w:val="22"/>
          <w:szCs w:val="22"/>
        </w:rPr>
        <w:t>adalimumab em 5,5</w:t>
      </w:r>
      <w:r w:rsidR="009343EF">
        <w:rPr>
          <w:sz w:val="22"/>
          <w:szCs w:val="22"/>
        </w:rPr>
        <w:t>%</w:t>
      </w:r>
      <w:r w:rsidRPr="008912CF">
        <w:rPr>
          <w:sz w:val="22"/>
          <w:szCs w:val="22"/>
        </w:rPr>
        <w:t xml:space="preserve"> (58/1053) dos doentes tratados com adalimumab comparativamente a</w:t>
      </w:r>
      <w:r w:rsidRPr="008912CF">
        <w:rPr>
          <w:i/>
          <w:iCs/>
          <w:sz w:val="22"/>
          <w:szCs w:val="22"/>
        </w:rPr>
        <w:t xml:space="preserve"> </w:t>
      </w:r>
      <w:r w:rsidRPr="008912CF">
        <w:rPr>
          <w:sz w:val="22"/>
          <w:szCs w:val="22"/>
        </w:rPr>
        <w:t>0,5</w:t>
      </w:r>
      <w:r w:rsidR="009343EF">
        <w:rPr>
          <w:sz w:val="22"/>
          <w:szCs w:val="22"/>
        </w:rPr>
        <w:t>%</w:t>
      </w:r>
      <w:r w:rsidRPr="008912CF">
        <w:rPr>
          <w:sz w:val="22"/>
          <w:szCs w:val="22"/>
        </w:rPr>
        <w:t xml:space="preserve"> (2/370) com placebo. Nos doentes não submetidos a um tratamento concomitante com metotrexato, a incidência foi de 12,4</w:t>
      </w:r>
      <w:r w:rsidR="009343EF">
        <w:rPr>
          <w:sz w:val="22"/>
          <w:szCs w:val="22"/>
        </w:rPr>
        <w:t>%</w:t>
      </w:r>
      <w:r w:rsidRPr="008912CF">
        <w:rPr>
          <w:sz w:val="22"/>
          <w:szCs w:val="22"/>
        </w:rPr>
        <w:t>, comparativamente a 0,6</w:t>
      </w:r>
      <w:r w:rsidR="009343EF">
        <w:rPr>
          <w:sz w:val="22"/>
          <w:szCs w:val="22"/>
        </w:rPr>
        <w:t>%</w:t>
      </w:r>
      <w:r w:rsidRPr="008912CF">
        <w:rPr>
          <w:sz w:val="22"/>
          <w:szCs w:val="22"/>
        </w:rPr>
        <w:t xml:space="preserve"> quando adalimumab foi utilizado como terapêutica adjuvante a metotrexato. </w:t>
      </w:r>
    </w:p>
    <w:p w14:paraId="03AF1550" w14:textId="77777777" w:rsidR="004462A0" w:rsidRPr="008912CF" w:rsidRDefault="004462A0" w:rsidP="004462A0">
      <w:pPr>
        <w:pStyle w:val="EndnoteText"/>
        <w:tabs>
          <w:tab w:val="clear" w:pos="567"/>
          <w:tab w:val="left" w:pos="1294"/>
        </w:tabs>
        <w:autoSpaceDE w:val="0"/>
        <w:autoSpaceDN w:val="0"/>
        <w:adjustRightInd w:val="0"/>
        <w:rPr>
          <w:szCs w:val="22"/>
        </w:rPr>
      </w:pPr>
    </w:p>
    <w:p w14:paraId="6ED14446" w14:textId="77777777" w:rsidR="004462A0" w:rsidRPr="008912CF" w:rsidRDefault="00615769" w:rsidP="004462A0">
      <w:pPr>
        <w:pStyle w:val="Heading3"/>
        <w:keepNext w:val="0"/>
        <w:keepLines w:val="0"/>
        <w:tabs>
          <w:tab w:val="clear" w:pos="567"/>
        </w:tabs>
        <w:spacing w:before="0" w:after="0" w:line="240" w:lineRule="auto"/>
        <w:rPr>
          <w:b w:val="0"/>
          <w:bCs/>
          <w:kern w:val="0"/>
          <w:sz w:val="22"/>
          <w:szCs w:val="22"/>
          <w:lang w:val="pt-PT"/>
        </w:rPr>
      </w:pPr>
      <w:r w:rsidRPr="008912CF">
        <w:rPr>
          <w:b w:val="0"/>
          <w:bCs/>
          <w:kern w:val="0"/>
          <w:sz w:val="22"/>
          <w:szCs w:val="22"/>
          <w:lang w:val="pt-PT"/>
        </w:rPr>
        <w:t>Nos doentes com artrite idiopática juvenil poliarticular com idades compreendidas entre os 4 e os 17 anos foram identificados anticorpos a adalimumab em 15,8</w:t>
      </w:r>
      <w:r w:rsidR="009343EF">
        <w:rPr>
          <w:b w:val="0"/>
          <w:bCs/>
          <w:kern w:val="0"/>
          <w:sz w:val="22"/>
          <w:szCs w:val="22"/>
          <w:lang w:val="pt-PT"/>
        </w:rPr>
        <w:t>%</w:t>
      </w:r>
      <w:r w:rsidRPr="008912CF">
        <w:rPr>
          <w:b w:val="0"/>
          <w:bCs/>
          <w:kern w:val="0"/>
          <w:sz w:val="22"/>
          <w:szCs w:val="22"/>
          <w:lang w:val="pt-PT"/>
        </w:rPr>
        <w:t xml:space="preserve"> (27/171) dos doentes tratados com adalimumab. Nos doentes que não receberam metotrexato concomitante, a incidência foi de 25,6</w:t>
      </w:r>
      <w:r w:rsidR="009343EF">
        <w:rPr>
          <w:b w:val="0"/>
          <w:bCs/>
          <w:kern w:val="0"/>
          <w:sz w:val="22"/>
          <w:szCs w:val="22"/>
          <w:lang w:val="pt-PT"/>
        </w:rPr>
        <w:t>%</w:t>
      </w:r>
      <w:r w:rsidRPr="008912CF">
        <w:rPr>
          <w:b w:val="0"/>
          <w:bCs/>
          <w:kern w:val="0"/>
          <w:sz w:val="22"/>
          <w:szCs w:val="22"/>
          <w:lang w:val="pt-PT"/>
        </w:rPr>
        <w:t xml:space="preserve"> (22/86)</w:t>
      </w:r>
      <w:r w:rsidR="00A85772">
        <w:rPr>
          <w:b w:val="0"/>
          <w:bCs/>
          <w:kern w:val="0"/>
          <w:sz w:val="22"/>
          <w:szCs w:val="22"/>
          <w:lang w:val="pt-PT"/>
        </w:rPr>
        <w:t>,</w:t>
      </w:r>
      <w:r w:rsidRPr="008912CF">
        <w:rPr>
          <w:b w:val="0"/>
          <w:bCs/>
          <w:kern w:val="0"/>
          <w:sz w:val="22"/>
          <w:szCs w:val="22"/>
          <w:lang w:val="pt-PT"/>
        </w:rPr>
        <w:t xml:space="preserve"> comparativamente a 5,9</w:t>
      </w:r>
      <w:r w:rsidR="009343EF">
        <w:rPr>
          <w:b w:val="0"/>
          <w:bCs/>
          <w:kern w:val="0"/>
          <w:sz w:val="22"/>
          <w:szCs w:val="22"/>
          <w:lang w:val="pt-PT"/>
        </w:rPr>
        <w:t>%</w:t>
      </w:r>
      <w:r w:rsidRPr="008912CF">
        <w:rPr>
          <w:b w:val="0"/>
          <w:bCs/>
          <w:kern w:val="0"/>
          <w:sz w:val="22"/>
          <w:szCs w:val="22"/>
          <w:lang w:val="pt-PT"/>
        </w:rPr>
        <w:t xml:space="preserve"> (5/85) quando adalimumab foi utilizado como terapêutica adjuvante a metotrexato.</w:t>
      </w:r>
      <w:r w:rsidR="00211E06" w:rsidRPr="00211E06">
        <w:rPr>
          <w:b w:val="0"/>
          <w:bCs/>
          <w:kern w:val="0"/>
          <w:sz w:val="22"/>
          <w:szCs w:val="22"/>
          <w:lang w:val="pt-PT"/>
        </w:rPr>
        <w:t xml:space="preserve"> </w:t>
      </w:r>
      <w:r w:rsidR="00211E06" w:rsidRPr="008912CF">
        <w:rPr>
          <w:b w:val="0"/>
          <w:bCs/>
          <w:kern w:val="0"/>
          <w:sz w:val="22"/>
          <w:szCs w:val="22"/>
          <w:lang w:val="pt-PT"/>
        </w:rPr>
        <w:t xml:space="preserve">Nos doentes com artrite idiopática juvenil poliarticular com idades compreendidas entre </w:t>
      </w:r>
      <w:r w:rsidR="00211E06">
        <w:rPr>
          <w:b w:val="0"/>
          <w:bCs/>
          <w:kern w:val="0"/>
          <w:sz w:val="22"/>
          <w:szCs w:val="22"/>
          <w:lang w:val="pt-PT"/>
        </w:rPr>
        <w:t>2</w:t>
      </w:r>
      <w:r w:rsidR="00211E06" w:rsidRPr="008912CF">
        <w:rPr>
          <w:b w:val="0"/>
          <w:bCs/>
          <w:kern w:val="0"/>
          <w:sz w:val="22"/>
          <w:szCs w:val="22"/>
          <w:lang w:val="pt-PT"/>
        </w:rPr>
        <w:t xml:space="preserve"> e </w:t>
      </w:r>
      <w:r w:rsidR="00211E06">
        <w:rPr>
          <w:b w:val="0"/>
          <w:bCs/>
          <w:kern w:val="0"/>
          <w:sz w:val="22"/>
          <w:szCs w:val="22"/>
          <w:lang w:val="pt-PT"/>
        </w:rPr>
        <w:t>&lt;</w:t>
      </w:r>
      <w:r w:rsidR="00211E06" w:rsidRPr="008912CF">
        <w:rPr>
          <w:b w:val="0"/>
          <w:bCs/>
          <w:kern w:val="0"/>
          <w:sz w:val="22"/>
          <w:szCs w:val="22"/>
          <w:lang w:val="pt-PT"/>
        </w:rPr>
        <w:t xml:space="preserve"> </w:t>
      </w:r>
      <w:r w:rsidR="00211E06">
        <w:rPr>
          <w:b w:val="0"/>
          <w:bCs/>
          <w:kern w:val="0"/>
          <w:sz w:val="22"/>
          <w:szCs w:val="22"/>
          <w:lang w:val="pt-PT"/>
        </w:rPr>
        <w:t>4 </w:t>
      </w:r>
      <w:r w:rsidR="00211E06" w:rsidRPr="008912CF">
        <w:rPr>
          <w:b w:val="0"/>
          <w:bCs/>
          <w:kern w:val="0"/>
          <w:sz w:val="22"/>
          <w:szCs w:val="22"/>
          <w:lang w:val="pt-PT"/>
        </w:rPr>
        <w:t>anos</w:t>
      </w:r>
      <w:r w:rsidR="00211E06">
        <w:rPr>
          <w:b w:val="0"/>
          <w:bCs/>
          <w:kern w:val="0"/>
          <w:sz w:val="22"/>
          <w:szCs w:val="22"/>
          <w:lang w:val="pt-PT"/>
        </w:rPr>
        <w:t xml:space="preserve"> de idade</w:t>
      </w:r>
      <w:r w:rsidR="00211E06" w:rsidRPr="008912CF">
        <w:rPr>
          <w:b w:val="0"/>
          <w:bCs/>
          <w:kern w:val="0"/>
          <w:sz w:val="22"/>
          <w:szCs w:val="22"/>
          <w:lang w:val="pt-PT"/>
        </w:rPr>
        <w:t>,</w:t>
      </w:r>
      <w:r w:rsidR="00211E06">
        <w:rPr>
          <w:b w:val="0"/>
          <w:bCs/>
          <w:kern w:val="0"/>
          <w:sz w:val="22"/>
          <w:szCs w:val="22"/>
          <w:lang w:val="pt-PT"/>
        </w:rPr>
        <w:t xml:space="preserve"> ou idade igual ou superior a 4 anos, </w:t>
      </w:r>
      <w:r w:rsidR="008622FE">
        <w:rPr>
          <w:b w:val="0"/>
          <w:bCs/>
          <w:kern w:val="0"/>
          <w:sz w:val="22"/>
          <w:szCs w:val="22"/>
          <w:lang w:val="pt-PT"/>
        </w:rPr>
        <w:t xml:space="preserve">com </w:t>
      </w:r>
      <w:r w:rsidR="00211E06">
        <w:rPr>
          <w:b w:val="0"/>
          <w:bCs/>
          <w:kern w:val="0"/>
          <w:sz w:val="22"/>
          <w:szCs w:val="22"/>
          <w:lang w:val="pt-PT"/>
        </w:rPr>
        <w:t>pes</w:t>
      </w:r>
      <w:r w:rsidR="008622FE">
        <w:rPr>
          <w:b w:val="0"/>
          <w:bCs/>
          <w:kern w:val="0"/>
          <w:sz w:val="22"/>
          <w:szCs w:val="22"/>
          <w:lang w:val="pt-PT"/>
        </w:rPr>
        <w:t>o</w:t>
      </w:r>
      <w:r w:rsidR="00211E06">
        <w:rPr>
          <w:b w:val="0"/>
          <w:bCs/>
          <w:kern w:val="0"/>
          <w:sz w:val="22"/>
          <w:szCs w:val="22"/>
          <w:lang w:val="pt-PT"/>
        </w:rPr>
        <w:t xml:space="preserve"> &lt; 15 kg, </w:t>
      </w:r>
      <w:r w:rsidR="00211E06" w:rsidRPr="00395D60">
        <w:rPr>
          <w:b w:val="0"/>
          <w:bCs/>
          <w:kern w:val="0"/>
          <w:sz w:val="22"/>
          <w:szCs w:val="22"/>
          <w:lang w:val="pt-PT"/>
        </w:rPr>
        <w:t>foram identificados anticorpos anti</w:t>
      </w:r>
      <w:r w:rsidR="00840424">
        <w:rPr>
          <w:b w:val="0"/>
          <w:bCs/>
          <w:kern w:val="0"/>
          <w:sz w:val="22"/>
          <w:szCs w:val="22"/>
          <w:lang w:val="pt-PT"/>
        </w:rPr>
        <w:t>-</w:t>
      </w:r>
      <w:r w:rsidR="00211E06" w:rsidRPr="00395D60">
        <w:rPr>
          <w:b w:val="0"/>
          <w:bCs/>
          <w:kern w:val="0"/>
          <w:sz w:val="22"/>
          <w:szCs w:val="22"/>
          <w:lang w:val="pt-PT"/>
        </w:rPr>
        <w:t>adalimumab em</w:t>
      </w:r>
      <w:r w:rsidR="00211E06">
        <w:rPr>
          <w:b w:val="0"/>
          <w:bCs/>
          <w:kern w:val="0"/>
          <w:sz w:val="22"/>
          <w:szCs w:val="22"/>
          <w:lang w:val="pt-PT"/>
        </w:rPr>
        <w:t xml:space="preserve"> 7% (1/15) dos doentes, </w:t>
      </w:r>
      <w:r w:rsidR="00A85772">
        <w:rPr>
          <w:b w:val="0"/>
          <w:bCs/>
          <w:kern w:val="0"/>
          <w:sz w:val="22"/>
          <w:szCs w:val="22"/>
          <w:lang w:val="pt-PT"/>
        </w:rPr>
        <w:t>o qual</w:t>
      </w:r>
      <w:r w:rsidR="00211E06">
        <w:rPr>
          <w:b w:val="0"/>
          <w:bCs/>
          <w:kern w:val="0"/>
          <w:sz w:val="22"/>
          <w:szCs w:val="22"/>
          <w:lang w:val="pt-PT"/>
        </w:rPr>
        <w:t xml:space="preserve"> estava a receber terapêutica concomitante com metotrexato.</w:t>
      </w:r>
    </w:p>
    <w:p w14:paraId="6D3523B1" w14:textId="77777777" w:rsidR="004462A0" w:rsidRPr="008912CF" w:rsidRDefault="004462A0" w:rsidP="004462A0"/>
    <w:p w14:paraId="2AA73DA8" w14:textId="77777777" w:rsidR="004462A0" w:rsidRPr="008912CF" w:rsidRDefault="00615769" w:rsidP="004462A0">
      <w:pPr>
        <w:rPr>
          <w:bCs/>
          <w:sz w:val="22"/>
          <w:szCs w:val="22"/>
        </w:rPr>
      </w:pPr>
      <w:r w:rsidRPr="008912CF">
        <w:rPr>
          <w:sz w:val="22"/>
          <w:szCs w:val="22"/>
        </w:rPr>
        <w:t>Em doentes com artrite relacionada com entesite foram identificados anticorpos anti</w:t>
      </w:r>
      <w:r w:rsidR="00840424">
        <w:rPr>
          <w:sz w:val="22"/>
          <w:szCs w:val="22"/>
        </w:rPr>
        <w:t>-</w:t>
      </w:r>
      <w:r w:rsidRPr="008912CF">
        <w:rPr>
          <w:sz w:val="22"/>
          <w:szCs w:val="22"/>
        </w:rPr>
        <w:t xml:space="preserve">adalimumab em 10,9% (5/46) dos doentes tratados com </w:t>
      </w:r>
      <w:r w:rsidRPr="008912CF">
        <w:rPr>
          <w:bCs/>
          <w:sz w:val="22"/>
          <w:szCs w:val="22"/>
        </w:rPr>
        <w:t>adalimumab. Nos doentes que não receberam metotrexato concomitante a incidência foi de 13,6% (3/22)</w:t>
      </w:r>
      <w:r w:rsidR="00840424">
        <w:rPr>
          <w:bCs/>
          <w:sz w:val="22"/>
          <w:szCs w:val="22"/>
        </w:rPr>
        <w:t>, comparativamente a 8,3% (2/24)</w:t>
      </w:r>
      <w:r w:rsidRPr="008912CF">
        <w:rPr>
          <w:bCs/>
          <w:sz w:val="22"/>
          <w:szCs w:val="22"/>
        </w:rPr>
        <w:t xml:space="preserve"> quando adalimumab foi utilizado como terapêutica concomitante a metotrexato.</w:t>
      </w:r>
    </w:p>
    <w:p w14:paraId="6CF50F59" w14:textId="77777777" w:rsidR="004462A0" w:rsidRPr="008912CF" w:rsidRDefault="004462A0" w:rsidP="004462A0">
      <w:pPr>
        <w:rPr>
          <w:sz w:val="22"/>
          <w:szCs w:val="22"/>
        </w:rPr>
      </w:pPr>
    </w:p>
    <w:p w14:paraId="105AC7D0" w14:textId="77777777" w:rsidR="004462A0" w:rsidRPr="008912CF" w:rsidRDefault="00615769" w:rsidP="004462A0">
      <w:pPr>
        <w:tabs>
          <w:tab w:val="left" w:pos="1294"/>
        </w:tabs>
        <w:autoSpaceDE w:val="0"/>
        <w:autoSpaceDN w:val="0"/>
        <w:adjustRightInd w:val="0"/>
        <w:rPr>
          <w:sz w:val="22"/>
          <w:szCs w:val="22"/>
        </w:rPr>
      </w:pPr>
      <w:r w:rsidRPr="008912CF">
        <w:rPr>
          <w:sz w:val="22"/>
          <w:szCs w:val="22"/>
        </w:rPr>
        <w:t>Em doentes com artrite psoriática foram identificados anticorpos anti</w:t>
      </w:r>
      <w:r w:rsidR="00840424">
        <w:rPr>
          <w:sz w:val="22"/>
          <w:szCs w:val="22"/>
        </w:rPr>
        <w:t>-</w:t>
      </w:r>
      <w:r w:rsidRPr="008912CF">
        <w:rPr>
          <w:sz w:val="22"/>
          <w:szCs w:val="22"/>
        </w:rPr>
        <w:t>adalimumab em 38/376 (10</w:t>
      </w:r>
      <w:r w:rsidR="009343EF">
        <w:rPr>
          <w:sz w:val="22"/>
          <w:szCs w:val="22"/>
        </w:rPr>
        <w:t>%</w:t>
      </w:r>
      <w:r w:rsidRPr="008912CF">
        <w:rPr>
          <w:sz w:val="22"/>
          <w:szCs w:val="22"/>
        </w:rPr>
        <w:t>) dos doentes tratados com adalimumab. Nos doentes não submetidos a um tratamento concomitante com metotrexato, a incidência foi de 13,5</w:t>
      </w:r>
      <w:r w:rsidR="009343EF">
        <w:rPr>
          <w:sz w:val="22"/>
          <w:szCs w:val="22"/>
        </w:rPr>
        <w:t>%</w:t>
      </w:r>
      <w:r w:rsidRPr="008912CF">
        <w:rPr>
          <w:sz w:val="22"/>
          <w:szCs w:val="22"/>
        </w:rPr>
        <w:t xml:space="preserve"> (24/178 doentes), comparativamente a 7</w:t>
      </w:r>
      <w:r w:rsidR="009343EF">
        <w:rPr>
          <w:sz w:val="22"/>
          <w:szCs w:val="22"/>
        </w:rPr>
        <w:t>%</w:t>
      </w:r>
      <w:r w:rsidRPr="008912CF">
        <w:rPr>
          <w:sz w:val="22"/>
          <w:szCs w:val="22"/>
        </w:rPr>
        <w:t xml:space="preserve"> (14 de 198 doentes) quando adalimumab foi utilizado como terapêutica adjuvante a metotrexato.</w:t>
      </w:r>
    </w:p>
    <w:p w14:paraId="05B0416B" w14:textId="77777777" w:rsidR="004462A0" w:rsidRPr="008912CF" w:rsidRDefault="004462A0" w:rsidP="004462A0">
      <w:pPr>
        <w:tabs>
          <w:tab w:val="left" w:pos="1294"/>
        </w:tabs>
        <w:autoSpaceDE w:val="0"/>
        <w:autoSpaceDN w:val="0"/>
        <w:adjustRightInd w:val="0"/>
        <w:rPr>
          <w:sz w:val="22"/>
          <w:szCs w:val="22"/>
        </w:rPr>
      </w:pPr>
    </w:p>
    <w:p w14:paraId="55CA6AF4" w14:textId="77777777" w:rsidR="004462A0" w:rsidRPr="008912CF" w:rsidRDefault="00615769" w:rsidP="004462A0">
      <w:pPr>
        <w:tabs>
          <w:tab w:val="left" w:pos="1294"/>
        </w:tabs>
        <w:autoSpaceDE w:val="0"/>
        <w:autoSpaceDN w:val="0"/>
        <w:adjustRightInd w:val="0"/>
        <w:rPr>
          <w:sz w:val="22"/>
          <w:szCs w:val="22"/>
        </w:rPr>
      </w:pPr>
      <w:r w:rsidRPr="008912CF">
        <w:rPr>
          <w:sz w:val="22"/>
          <w:szCs w:val="22"/>
        </w:rPr>
        <w:t>Em doentes com espondilite anquilosante foram identificados anticorpos anti</w:t>
      </w:r>
      <w:r w:rsidR="00840424">
        <w:rPr>
          <w:sz w:val="22"/>
          <w:szCs w:val="22"/>
        </w:rPr>
        <w:t>-</w:t>
      </w:r>
      <w:r w:rsidRPr="008912CF">
        <w:rPr>
          <w:sz w:val="22"/>
          <w:szCs w:val="22"/>
        </w:rPr>
        <w:t>adalimumab em 17/204 (8,3</w:t>
      </w:r>
      <w:r w:rsidR="009343EF">
        <w:rPr>
          <w:sz w:val="22"/>
          <w:szCs w:val="22"/>
        </w:rPr>
        <w:t>%</w:t>
      </w:r>
      <w:r w:rsidRPr="008912CF">
        <w:rPr>
          <w:sz w:val="22"/>
          <w:szCs w:val="22"/>
        </w:rPr>
        <w:t>) dos doentes tratados com adalimumab. Nos doentes não submetidos a um tratamento concomitante com metotrexato, a incidência foi de 16/185 (8,6</w:t>
      </w:r>
      <w:r w:rsidR="009343EF">
        <w:rPr>
          <w:sz w:val="22"/>
          <w:szCs w:val="22"/>
        </w:rPr>
        <w:t>%</w:t>
      </w:r>
      <w:r w:rsidRPr="008912CF">
        <w:rPr>
          <w:sz w:val="22"/>
          <w:szCs w:val="22"/>
        </w:rPr>
        <w:t>), comparativamente a 1/19 (5,3</w:t>
      </w:r>
      <w:r w:rsidR="009343EF">
        <w:rPr>
          <w:sz w:val="22"/>
          <w:szCs w:val="22"/>
        </w:rPr>
        <w:t>%</w:t>
      </w:r>
      <w:r w:rsidRPr="008912CF">
        <w:rPr>
          <w:sz w:val="22"/>
          <w:szCs w:val="22"/>
        </w:rPr>
        <w:t>), quando adalimumab foi utilizado como terapêutica adjuvante a metotrexato.</w:t>
      </w:r>
    </w:p>
    <w:p w14:paraId="5175FE9D" w14:textId="77777777" w:rsidR="004462A0" w:rsidRDefault="004462A0" w:rsidP="004462A0">
      <w:pPr>
        <w:rPr>
          <w:sz w:val="22"/>
          <w:szCs w:val="22"/>
        </w:rPr>
      </w:pPr>
    </w:p>
    <w:p w14:paraId="36B59D0F" w14:textId="77777777" w:rsidR="00AD0C73" w:rsidRPr="00DF02FD" w:rsidRDefault="00615769" w:rsidP="00AD0C73">
      <w:pPr>
        <w:rPr>
          <w:sz w:val="22"/>
          <w:szCs w:val="22"/>
        </w:rPr>
      </w:pPr>
      <w:r w:rsidRPr="00DF02FD">
        <w:rPr>
          <w:sz w:val="22"/>
          <w:szCs w:val="22"/>
        </w:rPr>
        <w:t>Em doentes com espondilartrite axial não-radiográfica foram identificados anticorpos anti</w:t>
      </w:r>
      <w:r w:rsidR="00C97EA8">
        <w:rPr>
          <w:sz w:val="22"/>
          <w:szCs w:val="22"/>
        </w:rPr>
        <w:t>-</w:t>
      </w:r>
      <w:r w:rsidRPr="00DF02FD">
        <w:rPr>
          <w:sz w:val="22"/>
          <w:szCs w:val="22"/>
        </w:rPr>
        <w:t>adalimumab em 8/152 doentes (5,3%)</w:t>
      </w:r>
      <w:r>
        <w:rPr>
          <w:sz w:val="22"/>
          <w:szCs w:val="22"/>
        </w:rPr>
        <w:t xml:space="preserve"> tratados continuamente com adalimumab.</w:t>
      </w:r>
      <w:r w:rsidRPr="00DF02FD">
        <w:rPr>
          <w:sz w:val="22"/>
          <w:szCs w:val="22"/>
        </w:rPr>
        <w:t xml:space="preserve">  </w:t>
      </w:r>
    </w:p>
    <w:p w14:paraId="705721FC" w14:textId="77777777" w:rsidR="00AD0C73" w:rsidRPr="008912CF" w:rsidRDefault="00AD0C73" w:rsidP="004462A0">
      <w:pPr>
        <w:rPr>
          <w:sz w:val="22"/>
          <w:szCs w:val="22"/>
        </w:rPr>
      </w:pPr>
    </w:p>
    <w:p w14:paraId="59BFC312" w14:textId="77777777" w:rsidR="004462A0" w:rsidRPr="008912CF" w:rsidRDefault="00615769" w:rsidP="004462A0">
      <w:pPr>
        <w:rPr>
          <w:sz w:val="22"/>
          <w:szCs w:val="22"/>
        </w:rPr>
      </w:pPr>
      <w:r w:rsidRPr="008912CF">
        <w:rPr>
          <w:sz w:val="22"/>
          <w:szCs w:val="22"/>
        </w:rPr>
        <w:t>Em doentes com doença de Crohn e em doentes com colite ulcerosa foram identificados anticorpos anti</w:t>
      </w:r>
      <w:r w:rsidR="00840424">
        <w:rPr>
          <w:sz w:val="22"/>
          <w:szCs w:val="22"/>
        </w:rPr>
        <w:t>-</w:t>
      </w:r>
      <w:r w:rsidRPr="008912CF">
        <w:rPr>
          <w:sz w:val="22"/>
          <w:szCs w:val="22"/>
        </w:rPr>
        <w:t>adalimumab em 7/269 doentes (2,6%) e em 19/487 doentes (3,9</w:t>
      </w:r>
      <w:r w:rsidR="009343EF">
        <w:rPr>
          <w:sz w:val="22"/>
          <w:szCs w:val="22"/>
        </w:rPr>
        <w:t>%</w:t>
      </w:r>
      <w:r w:rsidRPr="008912CF">
        <w:rPr>
          <w:sz w:val="22"/>
          <w:szCs w:val="22"/>
        </w:rPr>
        <w:t>) respetivamente.</w:t>
      </w:r>
    </w:p>
    <w:p w14:paraId="2CAB7390" w14:textId="77777777" w:rsidR="004462A0" w:rsidRPr="008912CF" w:rsidRDefault="004462A0" w:rsidP="004462A0">
      <w:pPr>
        <w:rPr>
          <w:sz w:val="22"/>
          <w:szCs w:val="22"/>
        </w:rPr>
      </w:pPr>
    </w:p>
    <w:p w14:paraId="487D35FA" w14:textId="77777777" w:rsidR="004462A0" w:rsidRPr="008912CF" w:rsidRDefault="00615769" w:rsidP="004462A0">
      <w:pPr>
        <w:rPr>
          <w:sz w:val="22"/>
          <w:szCs w:val="22"/>
        </w:rPr>
      </w:pPr>
      <w:r w:rsidRPr="008912CF">
        <w:rPr>
          <w:sz w:val="22"/>
          <w:szCs w:val="22"/>
        </w:rPr>
        <w:t>Em doentes adultos com psoríase</w:t>
      </w:r>
      <w:r w:rsidR="00A85772">
        <w:rPr>
          <w:sz w:val="22"/>
          <w:szCs w:val="22"/>
        </w:rPr>
        <w:t>,</w:t>
      </w:r>
      <w:r w:rsidRPr="008912CF">
        <w:rPr>
          <w:sz w:val="22"/>
          <w:szCs w:val="22"/>
        </w:rPr>
        <w:t xml:space="preserve"> tratados com adalimumab em monoterapia, foram identificados anticorpos anti</w:t>
      </w:r>
      <w:r w:rsidR="00840424">
        <w:rPr>
          <w:sz w:val="22"/>
          <w:szCs w:val="22"/>
        </w:rPr>
        <w:t>-</w:t>
      </w:r>
      <w:r w:rsidRPr="008912CF">
        <w:rPr>
          <w:sz w:val="22"/>
          <w:szCs w:val="22"/>
        </w:rPr>
        <w:t>adalimumab em 77/920 doentes (8,4</w:t>
      </w:r>
      <w:r w:rsidR="009343EF">
        <w:rPr>
          <w:sz w:val="22"/>
          <w:szCs w:val="22"/>
        </w:rPr>
        <w:t>%</w:t>
      </w:r>
      <w:r w:rsidRPr="008912CF">
        <w:rPr>
          <w:sz w:val="22"/>
          <w:szCs w:val="22"/>
        </w:rPr>
        <w:t>).</w:t>
      </w:r>
    </w:p>
    <w:p w14:paraId="068C896C" w14:textId="77777777" w:rsidR="004462A0" w:rsidRPr="008912CF" w:rsidRDefault="004462A0" w:rsidP="004462A0">
      <w:pPr>
        <w:rPr>
          <w:sz w:val="22"/>
          <w:szCs w:val="22"/>
        </w:rPr>
      </w:pPr>
    </w:p>
    <w:p w14:paraId="5880A04B" w14:textId="77777777" w:rsidR="004462A0" w:rsidRPr="008912CF" w:rsidRDefault="00615769" w:rsidP="004462A0">
      <w:pPr>
        <w:rPr>
          <w:sz w:val="22"/>
          <w:szCs w:val="22"/>
        </w:rPr>
      </w:pPr>
      <w:r w:rsidRPr="008912CF">
        <w:rPr>
          <w:sz w:val="22"/>
          <w:szCs w:val="22"/>
        </w:rPr>
        <w:t xml:space="preserve">Em doentes adultos com psoríase em placas, tratados </w:t>
      </w:r>
      <w:r w:rsidR="00F21025">
        <w:rPr>
          <w:sz w:val="22"/>
          <w:szCs w:val="22"/>
        </w:rPr>
        <w:t xml:space="preserve">com adalimumab </w:t>
      </w:r>
      <w:r w:rsidRPr="008912CF">
        <w:rPr>
          <w:sz w:val="22"/>
          <w:szCs w:val="22"/>
        </w:rPr>
        <w:t>em monoterapia a longo prazo, que participaram n</w:t>
      </w:r>
      <w:r w:rsidR="00F21025">
        <w:rPr>
          <w:sz w:val="22"/>
          <w:szCs w:val="22"/>
        </w:rPr>
        <w:t>um</w:t>
      </w:r>
      <w:r w:rsidRPr="008912CF">
        <w:rPr>
          <w:sz w:val="22"/>
          <w:szCs w:val="22"/>
        </w:rPr>
        <w:t xml:space="preserve"> estudo de suspensão do tratamento e </w:t>
      </w:r>
      <w:r w:rsidR="00F21025">
        <w:rPr>
          <w:sz w:val="22"/>
          <w:szCs w:val="22"/>
        </w:rPr>
        <w:t>re-</w:t>
      </w:r>
      <w:r w:rsidRPr="008912CF">
        <w:rPr>
          <w:sz w:val="22"/>
          <w:szCs w:val="22"/>
        </w:rPr>
        <w:t xml:space="preserve">tratamento, a taxa de anticorpos a adalimumab após o </w:t>
      </w:r>
      <w:r w:rsidR="00F21025">
        <w:rPr>
          <w:sz w:val="22"/>
          <w:szCs w:val="22"/>
        </w:rPr>
        <w:t>re-</w:t>
      </w:r>
      <w:r w:rsidRPr="008912CF">
        <w:rPr>
          <w:sz w:val="22"/>
          <w:szCs w:val="22"/>
        </w:rPr>
        <w:t>tratamento (11 de 482 doentes, 2,3</w:t>
      </w:r>
      <w:r w:rsidR="009343EF">
        <w:rPr>
          <w:sz w:val="22"/>
          <w:szCs w:val="22"/>
        </w:rPr>
        <w:t>%</w:t>
      </w:r>
      <w:r w:rsidRPr="008912CF">
        <w:rPr>
          <w:sz w:val="22"/>
          <w:szCs w:val="22"/>
        </w:rPr>
        <w:t>) foi semelhante à taxa observada antes da suspensão (11 de 590 doentes, 1,9</w:t>
      </w:r>
      <w:r w:rsidR="009343EF">
        <w:rPr>
          <w:sz w:val="22"/>
          <w:szCs w:val="22"/>
        </w:rPr>
        <w:t>%</w:t>
      </w:r>
      <w:r w:rsidRPr="008912CF">
        <w:rPr>
          <w:sz w:val="22"/>
          <w:szCs w:val="22"/>
        </w:rPr>
        <w:t>).</w:t>
      </w:r>
    </w:p>
    <w:p w14:paraId="59922F97" w14:textId="77777777" w:rsidR="004462A0" w:rsidRPr="008912CF" w:rsidRDefault="004462A0" w:rsidP="004462A0">
      <w:pPr>
        <w:rPr>
          <w:sz w:val="22"/>
          <w:szCs w:val="22"/>
        </w:rPr>
      </w:pPr>
    </w:p>
    <w:p w14:paraId="5838A598" w14:textId="77777777" w:rsidR="004462A0" w:rsidRPr="008912CF" w:rsidRDefault="00615769" w:rsidP="004462A0">
      <w:pPr>
        <w:rPr>
          <w:bCs/>
          <w:sz w:val="22"/>
          <w:szCs w:val="22"/>
        </w:rPr>
      </w:pPr>
      <w:r w:rsidRPr="008912CF">
        <w:rPr>
          <w:sz w:val="22"/>
          <w:szCs w:val="22"/>
        </w:rPr>
        <w:t>Em doentes com psoríase pediátrica foram identificados anticorpos anti</w:t>
      </w:r>
      <w:r w:rsidR="00840424">
        <w:rPr>
          <w:sz w:val="22"/>
          <w:szCs w:val="22"/>
        </w:rPr>
        <w:t>-</w:t>
      </w:r>
      <w:r w:rsidRPr="008912CF">
        <w:rPr>
          <w:sz w:val="22"/>
          <w:szCs w:val="22"/>
        </w:rPr>
        <w:t>adalimumab em 5/38 doentes</w:t>
      </w:r>
      <w:r w:rsidR="00840424">
        <w:rPr>
          <w:sz w:val="22"/>
          <w:szCs w:val="22"/>
        </w:rPr>
        <w:t xml:space="preserve"> (13%)</w:t>
      </w:r>
      <w:r w:rsidRPr="008912CF">
        <w:rPr>
          <w:sz w:val="22"/>
          <w:szCs w:val="22"/>
        </w:rPr>
        <w:t xml:space="preserve"> tratados com </w:t>
      </w:r>
      <w:r w:rsidRPr="008912CF">
        <w:rPr>
          <w:bCs/>
          <w:sz w:val="22"/>
          <w:szCs w:val="22"/>
        </w:rPr>
        <w:t>adalimumab 0,8 mg/kg em monoterapia.</w:t>
      </w:r>
    </w:p>
    <w:p w14:paraId="1035AE16" w14:textId="77777777" w:rsidR="004462A0" w:rsidRPr="008912CF" w:rsidRDefault="004462A0" w:rsidP="004462A0">
      <w:pPr>
        <w:rPr>
          <w:bCs/>
          <w:sz w:val="22"/>
          <w:szCs w:val="22"/>
        </w:rPr>
      </w:pPr>
    </w:p>
    <w:p w14:paraId="76642AC0" w14:textId="77777777" w:rsidR="004462A0" w:rsidRPr="008912CF" w:rsidRDefault="00615769" w:rsidP="004462A0">
      <w:pPr>
        <w:rPr>
          <w:bCs/>
          <w:sz w:val="22"/>
          <w:szCs w:val="22"/>
        </w:rPr>
      </w:pPr>
      <w:r w:rsidRPr="008912CF">
        <w:rPr>
          <w:bCs/>
          <w:sz w:val="22"/>
          <w:szCs w:val="22"/>
        </w:rPr>
        <w:t>Em doentes com hidradenite supurativa moderada a grave foram identificados anticorpos anti</w:t>
      </w:r>
      <w:r w:rsidR="00840424">
        <w:rPr>
          <w:bCs/>
          <w:sz w:val="22"/>
          <w:szCs w:val="22"/>
        </w:rPr>
        <w:t>-</w:t>
      </w:r>
      <w:r w:rsidRPr="008912CF">
        <w:rPr>
          <w:bCs/>
          <w:sz w:val="22"/>
          <w:szCs w:val="22"/>
        </w:rPr>
        <w:t>adalimumab em 10/99 dos doentes (10,1%) tratados com adalimumab.</w:t>
      </w:r>
    </w:p>
    <w:p w14:paraId="7BC900C2" w14:textId="77777777" w:rsidR="004462A0" w:rsidRPr="008912CF" w:rsidRDefault="004462A0" w:rsidP="004462A0">
      <w:pPr>
        <w:rPr>
          <w:sz w:val="22"/>
          <w:szCs w:val="22"/>
        </w:rPr>
      </w:pPr>
    </w:p>
    <w:p w14:paraId="692EF9CD" w14:textId="77777777" w:rsidR="004462A0" w:rsidRPr="008912CF" w:rsidRDefault="00615769" w:rsidP="004462A0">
      <w:pPr>
        <w:rPr>
          <w:sz w:val="22"/>
          <w:szCs w:val="22"/>
        </w:rPr>
      </w:pPr>
      <w:r w:rsidRPr="008912CF">
        <w:rPr>
          <w:sz w:val="22"/>
          <w:szCs w:val="22"/>
        </w:rPr>
        <w:t>Em doentes com doença de Crohn pediátrica ativa moderada a grave, a taxa de desenvolvimento de anticorpos de adalimumab em doentes tratados com adalimumab foi de 3,3</w:t>
      </w:r>
      <w:r w:rsidR="009343EF">
        <w:rPr>
          <w:sz w:val="22"/>
          <w:szCs w:val="22"/>
        </w:rPr>
        <w:t>%</w:t>
      </w:r>
      <w:r w:rsidRPr="008912CF">
        <w:rPr>
          <w:sz w:val="22"/>
          <w:szCs w:val="22"/>
        </w:rPr>
        <w:t>.</w:t>
      </w:r>
    </w:p>
    <w:p w14:paraId="4A3219E5" w14:textId="77777777" w:rsidR="004462A0" w:rsidRDefault="004462A0" w:rsidP="004462A0">
      <w:pPr>
        <w:rPr>
          <w:sz w:val="22"/>
          <w:szCs w:val="22"/>
        </w:rPr>
      </w:pPr>
    </w:p>
    <w:p w14:paraId="7F1839A8" w14:textId="77777777" w:rsidR="004462A0" w:rsidRDefault="00615769" w:rsidP="004462A0">
      <w:pPr>
        <w:rPr>
          <w:sz w:val="22"/>
          <w:szCs w:val="22"/>
        </w:rPr>
      </w:pPr>
      <w:r w:rsidRPr="00B904F9">
        <w:rPr>
          <w:sz w:val="22"/>
          <w:szCs w:val="22"/>
        </w:rPr>
        <w:t xml:space="preserve">Em doentes </w:t>
      </w:r>
      <w:r w:rsidR="00211E06">
        <w:rPr>
          <w:sz w:val="22"/>
          <w:szCs w:val="22"/>
        </w:rPr>
        <w:t xml:space="preserve">adultos </w:t>
      </w:r>
      <w:r w:rsidRPr="00B904F9">
        <w:rPr>
          <w:sz w:val="22"/>
          <w:szCs w:val="22"/>
        </w:rPr>
        <w:t>com uveíte não</w:t>
      </w:r>
      <w:r>
        <w:rPr>
          <w:sz w:val="22"/>
          <w:szCs w:val="22"/>
        </w:rPr>
        <w:t xml:space="preserve"> </w:t>
      </w:r>
      <w:r w:rsidRPr="00B904F9">
        <w:rPr>
          <w:sz w:val="22"/>
          <w:szCs w:val="22"/>
        </w:rPr>
        <w:t>infec</w:t>
      </w:r>
      <w:r>
        <w:rPr>
          <w:sz w:val="22"/>
          <w:szCs w:val="22"/>
        </w:rPr>
        <w:t>c</w:t>
      </w:r>
      <w:r w:rsidRPr="00B904F9">
        <w:rPr>
          <w:sz w:val="22"/>
          <w:szCs w:val="22"/>
        </w:rPr>
        <w:t xml:space="preserve">iosa foram identificados anticorpos anti-adalimumab </w:t>
      </w:r>
      <w:r>
        <w:rPr>
          <w:sz w:val="22"/>
          <w:szCs w:val="22"/>
        </w:rPr>
        <w:t>e</w:t>
      </w:r>
      <w:r w:rsidRPr="00B904F9">
        <w:rPr>
          <w:sz w:val="22"/>
          <w:szCs w:val="22"/>
        </w:rPr>
        <w:t>m 4,8</w:t>
      </w:r>
      <w:r w:rsidR="009343EF">
        <w:rPr>
          <w:sz w:val="22"/>
          <w:szCs w:val="22"/>
        </w:rPr>
        <w:t>%</w:t>
      </w:r>
      <w:r w:rsidRPr="00B904F9">
        <w:rPr>
          <w:sz w:val="22"/>
          <w:szCs w:val="22"/>
        </w:rPr>
        <w:t xml:space="preserve"> (12/249) dos doentes tratados com adalimumab.</w:t>
      </w:r>
    </w:p>
    <w:p w14:paraId="5F68EF92" w14:textId="77777777" w:rsidR="004462A0" w:rsidRPr="008912CF" w:rsidRDefault="004462A0" w:rsidP="004462A0">
      <w:pPr>
        <w:rPr>
          <w:sz w:val="22"/>
          <w:szCs w:val="22"/>
        </w:rPr>
      </w:pPr>
    </w:p>
    <w:p w14:paraId="57BB9286" w14:textId="77777777" w:rsidR="00120C36" w:rsidRDefault="00615769" w:rsidP="004462A0">
      <w:pPr>
        <w:rPr>
          <w:sz w:val="22"/>
          <w:szCs w:val="22"/>
        </w:rPr>
      </w:pPr>
      <w:r w:rsidRPr="00120C36">
        <w:rPr>
          <w:sz w:val="22"/>
          <w:szCs w:val="22"/>
        </w:rPr>
        <w:t xml:space="preserve">Em doentes com colite ulcerosa </w:t>
      </w:r>
      <w:r w:rsidR="004B66CF">
        <w:rPr>
          <w:sz w:val="22"/>
          <w:szCs w:val="22"/>
        </w:rPr>
        <w:t xml:space="preserve">pediátrica </w:t>
      </w:r>
      <w:r w:rsidRPr="00120C36">
        <w:rPr>
          <w:sz w:val="22"/>
          <w:szCs w:val="22"/>
        </w:rPr>
        <w:t>ativa moderada a grave, a taxa de des</w:t>
      </w:r>
      <w:r>
        <w:rPr>
          <w:sz w:val="22"/>
          <w:szCs w:val="22"/>
        </w:rPr>
        <w:t>envolvimento de anticorpos anti</w:t>
      </w:r>
      <w:r>
        <w:rPr>
          <w:sz w:val="22"/>
          <w:szCs w:val="22"/>
        </w:rPr>
        <w:noBreakHyphen/>
      </w:r>
      <w:r w:rsidRPr="00120C36">
        <w:rPr>
          <w:sz w:val="22"/>
          <w:szCs w:val="22"/>
        </w:rPr>
        <w:t>adalimumab em doentes tratados com adalimumab foi de 3%.</w:t>
      </w:r>
    </w:p>
    <w:p w14:paraId="51F0FA64" w14:textId="77777777" w:rsidR="00120C36" w:rsidRDefault="00120C36" w:rsidP="004462A0">
      <w:pPr>
        <w:rPr>
          <w:sz w:val="22"/>
          <w:szCs w:val="22"/>
        </w:rPr>
      </w:pPr>
    </w:p>
    <w:p w14:paraId="24C2B4C2" w14:textId="77777777" w:rsidR="004462A0" w:rsidRPr="008912CF" w:rsidRDefault="00615769" w:rsidP="004462A0">
      <w:pPr>
        <w:rPr>
          <w:sz w:val="22"/>
          <w:szCs w:val="22"/>
        </w:rPr>
      </w:pPr>
      <w:r w:rsidRPr="008912CF">
        <w:rPr>
          <w:sz w:val="22"/>
          <w:szCs w:val="22"/>
        </w:rPr>
        <w:t>Uma vez que as análises de imunogenicidade são específicas do produto, não é apropriado comparar as taxas de anticorpos com as de outros produtos.</w:t>
      </w:r>
    </w:p>
    <w:p w14:paraId="5C9D3591" w14:textId="77777777" w:rsidR="004462A0" w:rsidRPr="008912CF" w:rsidRDefault="004462A0" w:rsidP="004462A0">
      <w:pPr>
        <w:rPr>
          <w:rFonts w:eastAsia="SimSun"/>
          <w:sz w:val="22"/>
          <w:szCs w:val="22"/>
          <w:lang w:eastAsia="zh-CN"/>
        </w:rPr>
      </w:pPr>
    </w:p>
    <w:p w14:paraId="161CD345" w14:textId="77777777" w:rsidR="004462A0" w:rsidRPr="008912CF" w:rsidRDefault="00615769" w:rsidP="004462A0">
      <w:pPr>
        <w:keepNext/>
        <w:rPr>
          <w:rFonts w:eastAsia="SimSun"/>
          <w:sz w:val="22"/>
          <w:szCs w:val="22"/>
          <w:u w:val="single"/>
          <w:lang w:eastAsia="zh-CN"/>
        </w:rPr>
      </w:pPr>
      <w:r w:rsidRPr="008912CF">
        <w:rPr>
          <w:rFonts w:eastAsia="SimSun"/>
          <w:sz w:val="22"/>
          <w:szCs w:val="22"/>
          <w:u w:val="single"/>
          <w:lang w:eastAsia="zh-CN"/>
        </w:rPr>
        <w:t>População pediátrica</w:t>
      </w:r>
    </w:p>
    <w:p w14:paraId="6AE1BE81" w14:textId="77777777" w:rsidR="00E549E4" w:rsidRPr="008912CF" w:rsidRDefault="00E549E4" w:rsidP="00E549E4"/>
    <w:p w14:paraId="71563CCB" w14:textId="77777777" w:rsidR="00E549E4" w:rsidRPr="008912CF" w:rsidRDefault="00615769" w:rsidP="00E549E4">
      <w:pPr>
        <w:pStyle w:val="EMEAHeadingUnderline"/>
        <w:keepNext/>
        <w:tabs>
          <w:tab w:val="clear" w:pos="562"/>
        </w:tabs>
        <w:suppressAutoHyphens w:val="0"/>
        <w:spacing w:before="0" w:after="0"/>
        <w:rPr>
          <w:szCs w:val="22"/>
          <w:u w:val="none"/>
          <w:lang w:val="pt-PT"/>
        </w:rPr>
      </w:pPr>
      <w:r w:rsidRPr="008912CF">
        <w:rPr>
          <w:i/>
          <w:szCs w:val="22"/>
          <w:u w:val="none"/>
          <w:lang w:val="pt-PT"/>
        </w:rPr>
        <w:t>Artrite idiopática juvenil (AIJ)</w:t>
      </w:r>
    </w:p>
    <w:p w14:paraId="1467212C" w14:textId="77777777" w:rsidR="00E549E4" w:rsidRPr="008912CF" w:rsidRDefault="00E549E4" w:rsidP="00E549E4">
      <w:pPr>
        <w:pStyle w:val="EMEAHeadingUnderline"/>
        <w:keepNext/>
        <w:tabs>
          <w:tab w:val="clear" w:pos="562"/>
        </w:tabs>
        <w:suppressAutoHyphens w:val="0"/>
        <w:spacing w:before="0" w:after="0"/>
        <w:rPr>
          <w:szCs w:val="22"/>
          <w:lang w:val="pt-PT"/>
        </w:rPr>
      </w:pPr>
    </w:p>
    <w:p w14:paraId="53705E57" w14:textId="77777777" w:rsidR="00E549E4" w:rsidRPr="008912CF" w:rsidRDefault="00615769" w:rsidP="00E549E4">
      <w:pPr>
        <w:pStyle w:val="EMEAHeadingUnderline"/>
        <w:keepNext/>
        <w:tabs>
          <w:tab w:val="clear" w:pos="562"/>
        </w:tabs>
        <w:suppressAutoHyphens w:val="0"/>
        <w:spacing w:before="0" w:after="0"/>
        <w:rPr>
          <w:i/>
          <w:szCs w:val="22"/>
          <w:lang w:val="pt-PT"/>
        </w:rPr>
      </w:pPr>
      <w:r w:rsidRPr="008912CF">
        <w:rPr>
          <w:i/>
          <w:szCs w:val="22"/>
          <w:lang w:val="pt-PT"/>
        </w:rPr>
        <w:t>Artrite idiopática juvenil poliarticular (AIJp)</w:t>
      </w:r>
    </w:p>
    <w:p w14:paraId="18E002C7" w14:textId="77777777" w:rsidR="00E549E4" w:rsidRPr="008912CF" w:rsidRDefault="00E549E4" w:rsidP="00E549E4">
      <w:pPr>
        <w:pStyle w:val="EMEAHeadingUnderline"/>
        <w:keepNext/>
        <w:tabs>
          <w:tab w:val="clear" w:pos="562"/>
        </w:tabs>
        <w:suppressAutoHyphens w:val="0"/>
        <w:spacing w:before="0" w:after="0"/>
        <w:rPr>
          <w:szCs w:val="22"/>
          <w:lang w:val="pt-PT"/>
        </w:rPr>
      </w:pPr>
    </w:p>
    <w:p w14:paraId="64D75798" w14:textId="77777777" w:rsidR="00E549E4" w:rsidRPr="008912CF" w:rsidRDefault="00615769" w:rsidP="00E549E4">
      <w:pPr>
        <w:pStyle w:val="BodyText3"/>
        <w:keepNext/>
      </w:pPr>
      <w:r w:rsidRPr="008912CF">
        <w:rPr>
          <w:szCs w:val="22"/>
        </w:rPr>
        <w:t>A segurança e eficácia d</w:t>
      </w:r>
      <w:r>
        <w:rPr>
          <w:szCs w:val="22"/>
        </w:rPr>
        <w:t>e</w:t>
      </w:r>
      <w:r w:rsidRPr="008912CF">
        <w:rPr>
          <w:szCs w:val="22"/>
        </w:rPr>
        <w:t xml:space="preserve"> Humira fo</w:t>
      </w:r>
      <w:r>
        <w:rPr>
          <w:szCs w:val="22"/>
        </w:rPr>
        <w:t>ram</w:t>
      </w:r>
      <w:r w:rsidRPr="008912CF">
        <w:rPr>
          <w:szCs w:val="22"/>
        </w:rPr>
        <w:t xml:space="preserve"> avaliada</w:t>
      </w:r>
      <w:r>
        <w:rPr>
          <w:szCs w:val="22"/>
        </w:rPr>
        <w:t>s</w:t>
      </w:r>
      <w:r w:rsidRPr="008912CF">
        <w:rPr>
          <w:szCs w:val="22"/>
        </w:rPr>
        <w:t xml:space="preserve"> em dois estudos (AIJp I e II) em crianças com artrite idiopática juvenil poliarticular ativa ou curso poliarticular, que apresentavam vários tipos de início de AIJ (mais frequentemente poliartrite com fator reumatoide negativo ou positivo e oligoartrite e</w:t>
      </w:r>
      <w:r>
        <w:rPr>
          <w:szCs w:val="22"/>
        </w:rPr>
        <w:t>xtensa)</w:t>
      </w:r>
      <w:r w:rsidRPr="008912CF">
        <w:rPr>
          <w:szCs w:val="22"/>
        </w:rPr>
        <w:t>.</w:t>
      </w:r>
    </w:p>
    <w:p w14:paraId="3448511D" w14:textId="77777777" w:rsidR="00E549E4" w:rsidRPr="008912CF" w:rsidRDefault="00E549E4" w:rsidP="00E549E4">
      <w:pPr>
        <w:pStyle w:val="BodyText3"/>
        <w:rPr>
          <w:u w:val="single"/>
        </w:rPr>
      </w:pPr>
    </w:p>
    <w:p w14:paraId="555C98C8" w14:textId="77777777" w:rsidR="00E549E4" w:rsidRPr="008912CF" w:rsidRDefault="00615769" w:rsidP="00E549E4">
      <w:pPr>
        <w:pStyle w:val="BodyText3"/>
      </w:pPr>
      <w:r w:rsidRPr="008912CF">
        <w:t>AIJp I</w:t>
      </w:r>
    </w:p>
    <w:p w14:paraId="5C5E02ED" w14:textId="77777777" w:rsidR="00E549E4" w:rsidRPr="008912CF" w:rsidRDefault="00E549E4" w:rsidP="00E549E4">
      <w:pPr>
        <w:rPr>
          <w:sz w:val="22"/>
          <w:szCs w:val="22"/>
          <w:u w:val="single"/>
        </w:rPr>
      </w:pPr>
    </w:p>
    <w:p w14:paraId="1DA328DF" w14:textId="77777777" w:rsidR="00E549E4" w:rsidRPr="008912CF" w:rsidRDefault="00615769" w:rsidP="00E549E4">
      <w:pPr>
        <w:rPr>
          <w:sz w:val="22"/>
          <w:szCs w:val="22"/>
          <w:u w:val="single"/>
        </w:rPr>
      </w:pPr>
      <w:r w:rsidRPr="008912CF">
        <w:rPr>
          <w:sz w:val="22"/>
          <w:szCs w:val="22"/>
        </w:rPr>
        <w:t xml:space="preserve">A segurança e eficácia de Humira foram avaliadas num estudo multicêntrico, aleatorizado, </w:t>
      </w:r>
      <w:r>
        <w:rPr>
          <w:sz w:val="22"/>
          <w:szCs w:val="22"/>
        </w:rPr>
        <w:t>em dupla ocultação</w:t>
      </w:r>
      <w:r w:rsidRPr="008912CF">
        <w:rPr>
          <w:sz w:val="22"/>
          <w:szCs w:val="22"/>
        </w:rPr>
        <w:t xml:space="preserve">, </w:t>
      </w:r>
      <w:r>
        <w:rPr>
          <w:sz w:val="22"/>
          <w:szCs w:val="22"/>
        </w:rPr>
        <w:t xml:space="preserve">de grupo </w:t>
      </w:r>
      <w:r w:rsidRPr="008912CF">
        <w:rPr>
          <w:sz w:val="22"/>
          <w:szCs w:val="22"/>
        </w:rPr>
        <w:t>paralelo, em 171 crianças (4</w:t>
      </w:r>
      <w:r w:rsidRPr="008912CF">
        <w:rPr>
          <w:sz w:val="22"/>
          <w:szCs w:val="22"/>
        </w:rPr>
        <w:noBreakHyphen/>
        <w:t>17 anos de idade) com AIJ poliarticular. Na fase aberta de introdução (OL LI) os doentes foram distribuídos por dois grupos, tratados com MTX (metotrexato) e não tratados com MTX. Os doentes que se encontravam no grupo dos não tratados com MTX eram doentes sem terapêutica</w:t>
      </w:r>
      <w:r>
        <w:rPr>
          <w:sz w:val="22"/>
          <w:szCs w:val="22"/>
        </w:rPr>
        <w:t xml:space="preserve"> prévia</w:t>
      </w:r>
      <w:r w:rsidRPr="008912CF">
        <w:rPr>
          <w:sz w:val="22"/>
          <w:szCs w:val="22"/>
        </w:rPr>
        <w:t xml:space="preserve"> com MTX ou que haviam abandonado MTX pelo menos duas semanas antes da administração do medicamento em estudo. Os doentes permaneceram com doses estáveis de AINEs e ou prednis</w:t>
      </w:r>
      <w:r w:rsidRPr="008912CF">
        <w:rPr>
          <w:sz w:val="22"/>
          <w:szCs w:val="22"/>
        </w:rPr>
        <w:t>ona (</w:t>
      </w:r>
      <w:r w:rsidRPr="008912CF">
        <w:rPr>
          <w:rFonts w:ascii="Symbol" w:hAnsi="Symbol"/>
          <w:sz w:val="22"/>
          <w:szCs w:val="22"/>
        </w:rPr>
        <w:sym w:font="Symbol" w:char="F0A3"/>
      </w:r>
      <w:r w:rsidRPr="008912CF">
        <w:rPr>
          <w:sz w:val="22"/>
          <w:szCs w:val="22"/>
        </w:rPr>
        <w:t> 0,2</w:t>
      </w:r>
      <w:r>
        <w:rPr>
          <w:sz w:val="22"/>
          <w:szCs w:val="22"/>
        </w:rPr>
        <w:t> </w:t>
      </w:r>
      <w:r w:rsidRPr="008912CF">
        <w:rPr>
          <w:sz w:val="22"/>
          <w:szCs w:val="22"/>
        </w:rPr>
        <w:t>mg/kg/dia ou 10</w:t>
      </w:r>
      <w:r>
        <w:rPr>
          <w:sz w:val="22"/>
          <w:szCs w:val="22"/>
        </w:rPr>
        <w:t> </w:t>
      </w:r>
      <w:r w:rsidRPr="008912CF">
        <w:rPr>
          <w:sz w:val="22"/>
          <w:szCs w:val="22"/>
        </w:rPr>
        <w:t>mg/dia no máximo). Na fase OL LI todos os doentes receberam 24 mg/m</w:t>
      </w:r>
      <w:r w:rsidRPr="008912CF">
        <w:rPr>
          <w:sz w:val="22"/>
          <w:szCs w:val="22"/>
          <w:vertAlign w:val="superscript"/>
        </w:rPr>
        <w:t>2</w:t>
      </w:r>
      <w:r w:rsidRPr="008912CF">
        <w:rPr>
          <w:sz w:val="22"/>
          <w:szCs w:val="22"/>
        </w:rPr>
        <w:t xml:space="preserve"> até um máximo de 40</w:t>
      </w:r>
      <w:r>
        <w:rPr>
          <w:sz w:val="22"/>
          <w:szCs w:val="22"/>
        </w:rPr>
        <w:t> </w:t>
      </w:r>
      <w:r w:rsidRPr="008912CF">
        <w:rPr>
          <w:sz w:val="22"/>
          <w:szCs w:val="22"/>
        </w:rPr>
        <w:t>mg de Humira, em semanas alternadas, durante 16 semanas. A distribuição dos doentes por idade e a</w:t>
      </w:r>
      <w:r>
        <w:rPr>
          <w:sz w:val="22"/>
          <w:szCs w:val="22"/>
        </w:rPr>
        <w:t>s</w:t>
      </w:r>
      <w:r w:rsidRPr="008912CF">
        <w:rPr>
          <w:sz w:val="22"/>
          <w:szCs w:val="22"/>
        </w:rPr>
        <w:t xml:space="preserve"> dose</w:t>
      </w:r>
      <w:r>
        <w:rPr>
          <w:sz w:val="22"/>
          <w:szCs w:val="22"/>
        </w:rPr>
        <w:t>s</w:t>
      </w:r>
      <w:r w:rsidRPr="008912CF">
        <w:rPr>
          <w:sz w:val="22"/>
          <w:szCs w:val="22"/>
        </w:rPr>
        <w:t xml:space="preserve"> mínima, média e máxima recebida</w:t>
      </w:r>
      <w:r>
        <w:rPr>
          <w:sz w:val="22"/>
          <w:szCs w:val="22"/>
        </w:rPr>
        <w:t>s</w:t>
      </w:r>
      <w:r w:rsidRPr="008912CF">
        <w:rPr>
          <w:sz w:val="22"/>
          <w:szCs w:val="22"/>
        </w:rPr>
        <w:t xml:space="preserve"> durante a fase OL LI são apresentadas na Tabela </w:t>
      </w:r>
      <w:r w:rsidR="00120C36">
        <w:rPr>
          <w:sz w:val="22"/>
          <w:szCs w:val="22"/>
        </w:rPr>
        <w:t>25</w:t>
      </w:r>
      <w:r w:rsidRPr="008912CF">
        <w:rPr>
          <w:sz w:val="22"/>
          <w:szCs w:val="22"/>
        </w:rPr>
        <w:t>.</w:t>
      </w:r>
    </w:p>
    <w:p w14:paraId="1763C6A2" w14:textId="77777777" w:rsidR="00E549E4" w:rsidRPr="008912CF" w:rsidRDefault="00E549E4" w:rsidP="00E549E4">
      <w:pPr>
        <w:rPr>
          <w:sz w:val="22"/>
          <w:szCs w:val="22"/>
          <w:u w:val="single"/>
        </w:rPr>
      </w:pPr>
    </w:p>
    <w:p w14:paraId="69C80399" w14:textId="77777777" w:rsidR="00E549E4" w:rsidRPr="008912CF" w:rsidRDefault="00615769" w:rsidP="002F486F">
      <w:pPr>
        <w:pStyle w:val="EMEATitle"/>
        <w:keepNext/>
        <w:tabs>
          <w:tab w:val="clear" w:pos="562"/>
        </w:tabs>
        <w:suppressAutoHyphens w:val="0"/>
        <w:rPr>
          <w:rFonts w:ascii="Times New Roman" w:hAnsi="Times New Roman"/>
          <w:bCs/>
          <w:caps w:val="0"/>
          <w:szCs w:val="22"/>
          <w:lang w:val="pt-PT"/>
        </w:rPr>
      </w:pPr>
      <w:r w:rsidRPr="008912CF">
        <w:rPr>
          <w:rFonts w:ascii="Times New Roman" w:hAnsi="Times New Roman"/>
          <w:bCs/>
          <w:caps w:val="0"/>
          <w:szCs w:val="22"/>
          <w:lang w:val="pt-PT"/>
        </w:rPr>
        <w:t xml:space="preserve">Tabela </w:t>
      </w:r>
      <w:r w:rsidR="00120C36">
        <w:rPr>
          <w:rFonts w:ascii="Times New Roman" w:hAnsi="Times New Roman"/>
          <w:bCs/>
          <w:caps w:val="0"/>
          <w:szCs w:val="22"/>
          <w:lang w:val="pt-PT"/>
        </w:rPr>
        <w:t>25</w:t>
      </w:r>
    </w:p>
    <w:p w14:paraId="393F011D" w14:textId="77777777" w:rsidR="00E549E4" w:rsidRPr="008912CF" w:rsidRDefault="00615769" w:rsidP="002F486F">
      <w:pPr>
        <w:keepNext/>
        <w:jc w:val="center"/>
        <w:rPr>
          <w:sz w:val="22"/>
          <w:szCs w:val="22"/>
          <w:u w:val="single"/>
        </w:rPr>
      </w:pPr>
      <w:r w:rsidRPr="008912CF">
        <w:rPr>
          <w:b/>
          <w:bCs/>
          <w:sz w:val="22"/>
          <w:szCs w:val="22"/>
        </w:rPr>
        <w:t>Distribuição dos doentes por idade e dose de adalimumab recebida durante a fase OL LI</w:t>
      </w:r>
    </w:p>
    <w:p w14:paraId="411A8B07" w14:textId="77777777" w:rsidR="00E549E4" w:rsidRPr="008912CF" w:rsidRDefault="00E549E4" w:rsidP="002F486F">
      <w:pPr>
        <w:keepNext/>
        <w:jc w:val="center"/>
        <w:rPr>
          <w:sz w:val="22"/>
          <w:szCs w:val="22"/>
          <w:u w:val="single"/>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1"/>
        <w:gridCol w:w="3432"/>
        <w:gridCol w:w="3158"/>
      </w:tblGrid>
      <w:tr w:rsidR="00A7162A" w14:paraId="124230D3" w14:textId="77777777" w:rsidTr="00AB0B1F">
        <w:trPr>
          <w:cantSplit/>
        </w:trPr>
        <w:tc>
          <w:tcPr>
            <w:tcW w:w="2418" w:type="dxa"/>
          </w:tcPr>
          <w:p w14:paraId="32546F0D" w14:textId="77777777" w:rsidR="00E549E4" w:rsidRPr="008912CF" w:rsidRDefault="00615769" w:rsidP="002F486F">
            <w:pPr>
              <w:pStyle w:val="BodyTextIndent"/>
              <w:keepNext/>
              <w:ind w:left="0" w:right="53" w:firstLine="0"/>
              <w:rPr>
                <w:b w:val="0"/>
                <w:bCs/>
                <w:color w:val="auto"/>
                <w:szCs w:val="22"/>
              </w:rPr>
            </w:pPr>
            <w:r w:rsidRPr="008912CF">
              <w:rPr>
                <w:b w:val="0"/>
                <w:bCs/>
                <w:color w:val="auto"/>
                <w:szCs w:val="22"/>
              </w:rPr>
              <w:t>Grupo etário</w:t>
            </w:r>
          </w:p>
        </w:tc>
        <w:tc>
          <w:tcPr>
            <w:tcW w:w="3520" w:type="dxa"/>
          </w:tcPr>
          <w:p w14:paraId="6C350197" w14:textId="77777777" w:rsidR="00E549E4" w:rsidRPr="008912CF" w:rsidRDefault="00615769" w:rsidP="002F486F">
            <w:pPr>
              <w:pStyle w:val="BodyTextIndent"/>
              <w:keepNext/>
              <w:ind w:left="0" w:right="53" w:firstLine="0"/>
              <w:rPr>
                <w:b w:val="0"/>
                <w:bCs/>
                <w:color w:val="auto"/>
                <w:szCs w:val="22"/>
              </w:rPr>
            </w:pPr>
            <w:r w:rsidRPr="008912CF">
              <w:rPr>
                <w:b w:val="0"/>
                <w:bCs/>
                <w:color w:val="auto"/>
                <w:szCs w:val="22"/>
              </w:rPr>
              <w:t>Número de doentes na avaliação basal n (%)</w:t>
            </w:r>
          </w:p>
        </w:tc>
        <w:tc>
          <w:tcPr>
            <w:tcW w:w="3239" w:type="dxa"/>
          </w:tcPr>
          <w:p w14:paraId="488ADCB7" w14:textId="77777777" w:rsidR="00E549E4" w:rsidRPr="008912CF" w:rsidRDefault="00615769" w:rsidP="002F486F">
            <w:pPr>
              <w:pStyle w:val="BodyTextIndent"/>
              <w:keepNext/>
              <w:ind w:left="0" w:right="53" w:firstLine="0"/>
              <w:rPr>
                <w:b w:val="0"/>
                <w:bCs/>
                <w:color w:val="auto"/>
                <w:szCs w:val="22"/>
              </w:rPr>
            </w:pPr>
            <w:r w:rsidRPr="008912CF">
              <w:rPr>
                <w:b w:val="0"/>
                <w:bCs/>
                <w:color w:val="auto"/>
                <w:szCs w:val="22"/>
              </w:rPr>
              <w:t>Dose mínima, média e máxima</w:t>
            </w:r>
          </w:p>
        </w:tc>
      </w:tr>
      <w:tr w:rsidR="00A7162A" w14:paraId="494D8E43" w14:textId="77777777" w:rsidTr="00AB0B1F">
        <w:trPr>
          <w:cantSplit/>
        </w:trPr>
        <w:tc>
          <w:tcPr>
            <w:tcW w:w="2418" w:type="dxa"/>
          </w:tcPr>
          <w:p w14:paraId="1057C80D" w14:textId="77777777" w:rsidR="00E549E4" w:rsidRPr="008912CF" w:rsidRDefault="00615769" w:rsidP="002F486F">
            <w:pPr>
              <w:pStyle w:val="BodyTextIndent"/>
              <w:keepNext/>
              <w:ind w:left="0" w:right="53" w:firstLine="0"/>
              <w:rPr>
                <w:b w:val="0"/>
                <w:bCs/>
                <w:color w:val="auto"/>
                <w:szCs w:val="22"/>
              </w:rPr>
            </w:pPr>
            <w:r w:rsidRPr="008912CF">
              <w:rPr>
                <w:b w:val="0"/>
                <w:bCs/>
                <w:color w:val="auto"/>
                <w:szCs w:val="22"/>
              </w:rPr>
              <w:t>4 a 7 anos</w:t>
            </w:r>
          </w:p>
        </w:tc>
        <w:tc>
          <w:tcPr>
            <w:tcW w:w="3520" w:type="dxa"/>
          </w:tcPr>
          <w:p w14:paraId="12A25372" w14:textId="77777777" w:rsidR="00E549E4" w:rsidRPr="008912CF" w:rsidRDefault="00615769" w:rsidP="002F486F">
            <w:pPr>
              <w:pStyle w:val="BodyTextIndent"/>
              <w:keepNext/>
              <w:ind w:left="0" w:right="53" w:firstLine="0"/>
              <w:rPr>
                <w:b w:val="0"/>
                <w:bCs/>
                <w:color w:val="auto"/>
                <w:szCs w:val="22"/>
              </w:rPr>
            </w:pPr>
            <w:r w:rsidRPr="008912CF">
              <w:rPr>
                <w:b w:val="0"/>
                <w:bCs/>
                <w:color w:val="auto"/>
                <w:szCs w:val="22"/>
              </w:rPr>
              <w:t>31 (18,1)</w:t>
            </w:r>
          </w:p>
        </w:tc>
        <w:tc>
          <w:tcPr>
            <w:tcW w:w="3239" w:type="dxa"/>
          </w:tcPr>
          <w:p w14:paraId="78680325" w14:textId="77777777" w:rsidR="00E549E4" w:rsidRPr="008912CF" w:rsidRDefault="00615769" w:rsidP="002F486F">
            <w:pPr>
              <w:pStyle w:val="BodyTextIndent"/>
              <w:keepNext/>
              <w:ind w:left="0" w:right="53" w:firstLine="0"/>
              <w:rPr>
                <w:b w:val="0"/>
                <w:bCs/>
                <w:color w:val="auto"/>
                <w:szCs w:val="22"/>
              </w:rPr>
            </w:pPr>
            <w:r w:rsidRPr="008912CF">
              <w:rPr>
                <w:b w:val="0"/>
                <w:bCs/>
                <w:color w:val="auto"/>
                <w:szCs w:val="22"/>
              </w:rPr>
              <w:t>10, 20 e 25 mg</w:t>
            </w:r>
          </w:p>
        </w:tc>
      </w:tr>
      <w:tr w:rsidR="00A7162A" w14:paraId="4CADF63E" w14:textId="77777777" w:rsidTr="00AB0B1F">
        <w:trPr>
          <w:cantSplit/>
        </w:trPr>
        <w:tc>
          <w:tcPr>
            <w:tcW w:w="2418" w:type="dxa"/>
          </w:tcPr>
          <w:p w14:paraId="3F5788DD" w14:textId="77777777" w:rsidR="00E549E4" w:rsidRPr="008912CF" w:rsidRDefault="00615769" w:rsidP="002F486F">
            <w:pPr>
              <w:pStyle w:val="BodyTextIndent"/>
              <w:keepNext/>
              <w:ind w:left="0" w:right="53" w:firstLine="0"/>
              <w:rPr>
                <w:b w:val="0"/>
                <w:bCs/>
                <w:color w:val="auto"/>
                <w:szCs w:val="22"/>
              </w:rPr>
            </w:pPr>
            <w:r w:rsidRPr="008912CF">
              <w:rPr>
                <w:b w:val="0"/>
                <w:bCs/>
                <w:color w:val="auto"/>
                <w:szCs w:val="22"/>
              </w:rPr>
              <w:t>8 a 12 anos</w:t>
            </w:r>
          </w:p>
        </w:tc>
        <w:tc>
          <w:tcPr>
            <w:tcW w:w="3520" w:type="dxa"/>
          </w:tcPr>
          <w:p w14:paraId="1C2A6F0A" w14:textId="77777777" w:rsidR="00E549E4" w:rsidRPr="008912CF" w:rsidRDefault="00615769" w:rsidP="002F486F">
            <w:pPr>
              <w:pStyle w:val="BodyTextIndent"/>
              <w:keepNext/>
              <w:ind w:left="0" w:right="53" w:firstLine="0"/>
              <w:rPr>
                <w:b w:val="0"/>
                <w:bCs/>
                <w:color w:val="auto"/>
                <w:szCs w:val="22"/>
              </w:rPr>
            </w:pPr>
            <w:r w:rsidRPr="008912CF">
              <w:rPr>
                <w:b w:val="0"/>
                <w:bCs/>
                <w:color w:val="auto"/>
                <w:szCs w:val="22"/>
              </w:rPr>
              <w:t>71 (41,5)</w:t>
            </w:r>
          </w:p>
        </w:tc>
        <w:tc>
          <w:tcPr>
            <w:tcW w:w="3239" w:type="dxa"/>
          </w:tcPr>
          <w:p w14:paraId="22F28390" w14:textId="77777777" w:rsidR="00E549E4" w:rsidRPr="008912CF" w:rsidRDefault="00615769" w:rsidP="002F486F">
            <w:pPr>
              <w:pStyle w:val="BodyTextIndent"/>
              <w:keepNext/>
              <w:ind w:left="0" w:right="53" w:firstLine="0"/>
              <w:rPr>
                <w:b w:val="0"/>
                <w:bCs/>
                <w:color w:val="auto"/>
                <w:szCs w:val="22"/>
              </w:rPr>
            </w:pPr>
            <w:r w:rsidRPr="008912CF">
              <w:rPr>
                <w:b w:val="0"/>
                <w:bCs/>
                <w:color w:val="auto"/>
                <w:szCs w:val="22"/>
              </w:rPr>
              <w:t>20, 25 e 40 mg</w:t>
            </w:r>
          </w:p>
        </w:tc>
      </w:tr>
      <w:tr w:rsidR="00A7162A" w14:paraId="77D1CA1B" w14:textId="77777777" w:rsidTr="00AB0B1F">
        <w:trPr>
          <w:cantSplit/>
        </w:trPr>
        <w:tc>
          <w:tcPr>
            <w:tcW w:w="2418" w:type="dxa"/>
          </w:tcPr>
          <w:p w14:paraId="48CC7493" w14:textId="77777777" w:rsidR="00E549E4" w:rsidRPr="008912CF" w:rsidRDefault="00615769" w:rsidP="002F486F">
            <w:pPr>
              <w:pStyle w:val="BodyTextIndent"/>
              <w:keepNext/>
              <w:ind w:left="0" w:right="53" w:firstLine="0"/>
              <w:rPr>
                <w:b w:val="0"/>
                <w:bCs/>
                <w:color w:val="auto"/>
                <w:szCs w:val="22"/>
              </w:rPr>
            </w:pPr>
            <w:r w:rsidRPr="008912CF">
              <w:rPr>
                <w:b w:val="0"/>
                <w:bCs/>
                <w:color w:val="auto"/>
                <w:szCs w:val="22"/>
              </w:rPr>
              <w:t>13 a 17 anos</w:t>
            </w:r>
          </w:p>
        </w:tc>
        <w:tc>
          <w:tcPr>
            <w:tcW w:w="3520" w:type="dxa"/>
          </w:tcPr>
          <w:p w14:paraId="66A11340" w14:textId="77777777" w:rsidR="00E549E4" w:rsidRPr="008912CF" w:rsidRDefault="00615769" w:rsidP="002F486F">
            <w:pPr>
              <w:pStyle w:val="BodyTextIndent"/>
              <w:keepNext/>
              <w:ind w:left="0" w:right="53" w:firstLine="0"/>
              <w:rPr>
                <w:b w:val="0"/>
                <w:bCs/>
                <w:color w:val="auto"/>
                <w:szCs w:val="22"/>
              </w:rPr>
            </w:pPr>
            <w:r w:rsidRPr="008912CF">
              <w:rPr>
                <w:b w:val="0"/>
                <w:bCs/>
                <w:color w:val="auto"/>
                <w:szCs w:val="22"/>
              </w:rPr>
              <w:t>69 (40,4)</w:t>
            </w:r>
          </w:p>
        </w:tc>
        <w:tc>
          <w:tcPr>
            <w:tcW w:w="3239" w:type="dxa"/>
          </w:tcPr>
          <w:p w14:paraId="4C6C7503" w14:textId="77777777" w:rsidR="00E549E4" w:rsidRPr="008912CF" w:rsidRDefault="00615769" w:rsidP="002F486F">
            <w:pPr>
              <w:pStyle w:val="BodyTextIndent"/>
              <w:keepNext/>
              <w:ind w:left="0" w:right="53" w:firstLine="0"/>
              <w:rPr>
                <w:b w:val="0"/>
                <w:bCs/>
                <w:color w:val="auto"/>
                <w:szCs w:val="22"/>
              </w:rPr>
            </w:pPr>
            <w:r w:rsidRPr="008912CF">
              <w:rPr>
                <w:b w:val="0"/>
                <w:bCs/>
                <w:color w:val="auto"/>
                <w:szCs w:val="22"/>
              </w:rPr>
              <w:t>25, 40 e 40 mg</w:t>
            </w:r>
          </w:p>
        </w:tc>
      </w:tr>
    </w:tbl>
    <w:p w14:paraId="46435BBA" w14:textId="77777777" w:rsidR="00E549E4" w:rsidRPr="008912CF" w:rsidRDefault="00E549E4" w:rsidP="00E549E4">
      <w:pPr>
        <w:rPr>
          <w:sz w:val="22"/>
          <w:szCs w:val="22"/>
          <w:u w:val="single"/>
        </w:rPr>
      </w:pPr>
    </w:p>
    <w:p w14:paraId="2122DA65" w14:textId="77777777" w:rsidR="00E549E4" w:rsidRPr="008912CF" w:rsidRDefault="00615769" w:rsidP="00E549E4">
      <w:pPr>
        <w:rPr>
          <w:sz w:val="22"/>
          <w:szCs w:val="22"/>
        </w:rPr>
      </w:pPr>
      <w:r w:rsidRPr="008912CF">
        <w:rPr>
          <w:sz w:val="22"/>
          <w:szCs w:val="22"/>
        </w:rPr>
        <w:t xml:space="preserve">Os doentes com uma resposta ACR </w:t>
      </w:r>
      <w:r>
        <w:rPr>
          <w:sz w:val="22"/>
          <w:szCs w:val="22"/>
        </w:rPr>
        <w:t xml:space="preserve">Pediátrico </w:t>
      </w:r>
      <w:r w:rsidRPr="008912CF">
        <w:rPr>
          <w:sz w:val="22"/>
          <w:szCs w:val="22"/>
        </w:rPr>
        <w:t xml:space="preserve">30 à Semana 16 foram elegíveis para aleatorização na fase </w:t>
      </w:r>
      <w:r>
        <w:rPr>
          <w:sz w:val="22"/>
          <w:szCs w:val="22"/>
        </w:rPr>
        <w:t>em dupla ocultação</w:t>
      </w:r>
      <w:r w:rsidRPr="008912CF">
        <w:rPr>
          <w:sz w:val="22"/>
          <w:szCs w:val="22"/>
        </w:rPr>
        <w:t xml:space="preserve"> (DB) e receberam 24 mg/m</w:t>
      </w:r>
      <w:r w:rsidRPr="008912CF">
        <w:rPr>
          <w:sz w:val="22"/>
          <w:szCs w:val="22"/>
          <w:vertAlign w:val="superscript"/>
        </w:rPr>
        <w:t>2</w:t>
      </w:r>
      <w:r w:rsidRPr="008912CF">
        <w:rPr>
          <w:sz w:val="22"/>
          <w:szCs w:val="22"/>
        </w:rPr>
        <w:t xml:space="preserve"> de Humira até um máximo de 40</w:t>
      </w:r>
      <w:r>
        <w:rPr>
          <w:sz w:val="22"/>
          <w:szCs w:val="22"/>
        </w:rPr>
        <w:t> </w:t>
      </w:r>
      <w:r w:rsidRPr="008912CF">
        <w:rPr>
          <w:sz w:val="22"/>
          <w:szCs w:val="22"/>
        </w:rPr>
        <w:t xml:space="preserve">mg, ou placebo, em semanas alternadas, por mais 32 semanas ou até agravamento da doença. Os critérios de agravamento da doença foram definidos como um agravamento </w:t>
      </w:r>
      <w:r w:rsidRPr="008912CF">
        <w:rPr>
          <w:rFonts w:ascii="Symbol" w:hAnsi="Symbol"/>
          <w:sz w:val="22"/>
          <w:szCs w:val="22"/>
        </w:rPr>
        <w:sym w:font="Symbol" w:char="F0B3"/>
      </w:r>
      <w:r w:rsidRPr="008912CF">
        <w:rPr>
          <w:sz w:val="22"/>
          <w:szCs w:val="22"/>
        </w:rPr>
        <w:t> 30</w:t>
      </w:r>
      <w:r>
        <w:rPr>
          <w:sz w:val="22"/>
          <w:szCs w:val="22"/>
        </w:rPr>
        <w:t>%</w:t>
      </w:r>
      <w:r w:rsidRPr="008912CF">
        <w:rPr>
          <w:sz w:val="22"/>
          <w:szCs w:val="22"/>
        </w:rPr>
        <w:t xml:space="preserve"> na avaliação basal em </w:t>
      </w:r>
      <w:r w:rsidRPr="008912CF">
        <w:rPr>
          <w:rFonts w:ascii="Symbol" w:hAnsi="Symbol"/>
          <w:sz w:val="22"/>
          <w:szCs w:val="22"/>
        </w:rPr>
        <w:sym w:font="Symbol" w:char="F0B3"/>
      </w:r>
      <w:r w:rsidRPr="008912CF">
        <w:rPr>
          <w:sz w:val="22"/>
          <w:szCs w:val="22"/>
        </w:rPr>
        <w:t> 3 d</w:t>
      </w:r>
      <w:r>
        <w:rPr>
          <w:sz w:val="22"/>
          <w:szCs w:val="22"/>
        </w:rPr>
        <w:t>os</w:t>
      </w:r>
      <w:r w:rsidRPr="008912CF">
        <w:rPr>
          <w:sz w:val="22"/>
          <w:szCs w:val="22"/>
        </w:rPr>
        <w:t xml:space="preserve"> 6 critérios principais do ACR </w:t>
      </w:r>
      <w:r>
        <w:rPr>
          <w:sz w:val="22"/>
          <w:szCs w:val="22"/>
        </w:rPr>
        <w:t>P</w:t>
      </w:r>
      <w:r w:rsidRPr="008912CF">
        <w:rPr>
          <w:sz w:val="22"/>
          <w:szCs w:val="22"/>
        </w:rPr>
        <w:t xml:space="preserve">ediátrico, </w:t>
      </w:r>
      <w:r w:rsidRPr="008912CF">
        <w:rPr>
          <w:rFonts w:ascii="Symbol" w:hAnsi="Symbol"/>
          <w:sz w:val="22"/>
          <w:szCs w:val="22"/>
        </w:rPr>
        <w:sym w:font="Symbol" w:char="F0B3"/>
      </w:r>
      <w:r w:rsidRPr="008912CF">
        <w:rPr>
          <w:sz w:val="22"/>
          <w:szCs w:val="22"/>
        </w:rPr>
        <w:t xml:space="preserve"> 2 articulações ativas e melhoria </w:t>
      </w:r>
      <w:r w:rsidRPr="008912CF">
        <w:rPr>
          <w:rFonts w:ascii="Symbol" w:hAnsi="Symbol"/>
          <w:sz w:val="22"/>
          <w:szCs w:val="22"/>
        </w:rPr>
        <w:sym w:font="Symbol" w:char="F03E"/>
      </w:r>
      <w:r w:rsidRPr="008912CF">
        <w:rPr>
          <w:sz w:val="22"/>
          <w:szCs w:val="22"/>
        </w:rPr>
        <w:t> 30</w:t>
      </w:r>
      <w:r>
        <w:rPr>
          <w:sz w:val="22"/>
          <w:szCs w:val="22"/>
        </w:rPr>
        <w:t>%</w:t>
      </w:r>
      <w:r w:rsidRPr="008912CF">
        <w:rPr>
          <w:sz w:val="22"/>
          <w:szCs w:val="22"/>
        </w:rPr>
        <w:t xml:space="preserve"> em não mais de 1 </w:t>
      </w:r>
      <w:r>
        <w:rPr>
          <w:sz w:val="22"/>
          <w:szCs w:val="22"/>
        </w:rPr>
        <w:t>dos</w:t>
      </w:r>
      <w:r w:rsidRPr="008912CF">
        <w:rPr>
          <w:sz w:val="22"/>
          <w:szCs w:val="22"/>
        </w:rPr>
        <w:t xml:space="preserve"> 6 critérios. Após 32 semanas ou em caso de agravamento da doença, os doentes eram elegíveis para participação na extensão d</w:t>
      </w:r>
      <w:r>
        <w:rPr>
          <w:sz w:val="22"/>
          <w:szCs w:val="22"/>
        </w:rPr>
        <w:t>e</w:t>
      </w:r>
      <w:r w:rsidRPr="008912CF">
        <w:rPr>
          <w:sz w:val="22"/>
          <w:szCs w:val="22"/>
        </w:rPr>
        <w:t xml:space="preserve"> fase aberta.</w:t>
      </w:r>
    </w:p>
    <w:p w14:paraId="512116C7" w14:textId="77777777" w:rsidR="00E549E4" w:rsidRPr="008912CF" w:rsidRDefault="00E549E4" w:rsidP="00E549E4">
      <w:pPr>
        <w:rPr>
          <w:sz w:val="22"/>
          <w:szCs w:val="22"/>
        </w:rPr>
      </w:pPr>
    </w:p>
    <w:p w14:paraId="7D73B212" w14:textId="77777777" w:rsidR="00E549E4" w:rsidRPr="008912CF" w:rsidRDefault="00615769" w:rsidP="00E549E4">
      <w:pPr>
        <w:keepNext/>
        <w:jc w:val="center"/>
        <w:rPr>
          <w:b/>
          <w:bCs/>
          <w:sz w:val="22"/>
          <w:szCs w:val="22"/>
        </w:rPr>
      </w:pPr>
      <w:r w:rsidRPr="008912CF">
        <w:rPr>
          <w:b/>
          <w:bCs/>
          <w:sz w:val="22"/>
          <w:szCs w:val="22"/>
        </w:rPr>
        <w:t xml:space="preserve">Tabela </w:t>
      </w:r>
      <w:r w:rsidR="00120C36">
        <w:rPr>
          <w:b/>
          <w:bCs/>
          <w:sz w:val="22"/>
          <w:szCs w:val="22"/>
        </w:rPr>
        <w:t>26</w:t>
      </w:r>
    </w:p>
    <w:p w14:paraId="5A835E50" w14:textId="77777777" w:rsidR="00E549E4" w:rsidRPr="008912CF" w:rsidRDefault="00615769" w:rsidP="00E549E4">
      <w:pPr>
        <w:pStyle w:val="EMEATitle"/>
        <w:keepNext/>
        <w:tabs>
          <w:tab w:val="clear" w:pos="562"/>
        </w:tabs>
        <w:suppressAutoHyphens w:val="0"/>
        <w:rPr>
          <w:rFonts w:ascii="Times New Roman" w:hAnsi="Times New Roman"/>
          <w:bCs/>
          <w:caps w:val="0"/>
          <w:szCs w:val="22"/>
          <w:lang w:val="pt-PT"/>
        </w:rPr>
      </w:pPr>
      <w:r w:rsidRPr="008912CF">
        <w:rPr>
          <w:rFonts w:ascii="Times New Roman" w:hAnsi="Times New Roman"/>
          <w:bCs/>
          <w:caps w:val="0"/>
          <w:szCs w:val="22"/>
          <w:lang w:val="pt-PT"/>
        </w:rPr>
        <w:t>Respostas ACR</w:t>
      </w:r>
      <w:r>
        <w:rPr>
          <w:rFonts w:ascii="Times New Roman" w:hAnsi="Times New Roman"/>
          <w:bCs/>
          <w:caps w:val="0"/>
          <w:szCs w:val="22"/>
          <w:lang w:val="pt-PT"/>
        </w:rPr>
        <w:t xml:space="preserve"> Pediátrico</w:t>
      </w:r>
      <w:r w:rsidRPr="008912CF">
        <w:rPr>
          <w:rFonts w:ascii="Times New Roman" w:hAnsi="Times New Roman"/>
          <w:bCs/>
          <w:caps w:val="0"/>
          <w:szCs w:val="22"/>
          <w:lang w:val="pt-PT"/>
        </w:rPr>
        <w:t xml:space="preserve"> 30 no estudo AIJ</w:t>
      </w:r>
    </w:p>
    <w:p w14:paraId="7CC613FA" w14:textId="77777777" w:rsidR="00E549E4" w:rsidRPr="008912CF" w:rsidRDefault="00E549E4" w:rsidP="00E549E4">
      <w:pPr>
        <w:keepNext/>
        <w:jc w:val="center"/>
        <w:rPr>
          <w:sz w:val="22"/>
          <w:szCs w:val="22"/>
          <w:u w:val="single"/>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7"/>
        <w:gridCol w:w="1731"/>
        <w:gridCol w:w="1734"/>
        <w:gridCol w:w="1582"/>
        <w:gridCol w:w="1527"/>
      </w:tblGrid>
      <w:tr w:rsidR="00A7162A" w14:paraId="3528A9B8" w14:textId="77777777" w:rsidTr="00AB0B1F">
        <w:trPr>
          <w:cantSplit/>
        </w:trPr>
        <w:tc>
          <w:tcPr>
            <w:tcW w:w="2418" w:type="dxa"/>
          </w:tcPr>
          <w:p w14:paraId="55F953C2" w14:textId="77777777" w:rsidR="00E549E4" w:rsidRPr="008912CF" w:rsidRDefault="00615769" w:rsidP="00AB0B1F">
            <w:pPr>
              <w:pStyle w:val="BodyTextIndent"/>
              <w:keepNext/>
              <w:ind w:left="0" w:right="53" w:firstLine="0"/>
              <w:rPr>
                <w:b w:val="0"/>
                <w:bCs/>
                <w:color w:val="auto"/>
                <w:szCs w:val="22"/>
              </w:rPr>
            </w:pPr>
            <w:r w:rsidRPr="008912CF">
              <w:rPr>
                <w:b w:val="0"/>
                <w:bCs/>
                <w:color w:val="auto"/>
                <w:szCs w:val="22"/>
              </w:rPr>
              <w:t>Estratificação</w:t>
            </w:r>
          </w:p>
        </w:tc>
        <w:tc>
          <w:tcPr>
            <w:tcW w:w="3520" w:type="dxa"/>
            <w:gridSpan w:val="2"/>
          </w:tcPr>
          <w:p w14:paraId="590F0FB8" w14:textId="77777777" w:rsidR="00E549E4" w:rsidRPr="008912CF" w:rsidRDefault="00615769" w:rsidP="00AB0B1F">
            <w:pPr>
              <w:pStyle w:val="BodyTextIndent"/>
              <w:keepNext/>
              <w:ind w:left="0" w:right="53" w:firstLine="0"/>
              <w:jc w:val="center"/>
              <w:rPr>
                <w:b w:val="0"/>
                <w:bCs/>
                <w:color w:val="auto"/>
                <w:szCs w:val="22"/>
              </w:rPr>
            </w:pPr>
            <w:r w:rsidRPr="008912CF">
              <w:rPr>
                <w:b w:val="0"/>
                <w:bCs/>
                <w:color w:val="auto"/>
                <w:szCs w:val="22"/>
              </w:rPr>
              <w:t>MTX</w:t>
            </w:r>
          </w:p>
        </w:tc>
        <w:tc>
          <w:tcPr>
            <w:tcW w:w="3239" w:type="dxa"/>
            <w:gridSpan w:val="2"/>
          </w:tcPr>
          <w:p w14:paraId="31DAE24E" w14:textId="77777777" w:rsidR="00E549E4" w:rsidRPr="008912CF" w:rsidRDefault="00615769" w:rsidP="00AB0B1F">
            <w:pPr>
              <w:pStyle w:val="BodyTextIndent"/>
              <w:keepNext/>
              <w:ind w:left="0" w:right="53" w:firstLine="0"/>
              <w:jc w:val="center"/>
              <w:rPr>
                <w:b w:val="0"/>
                <w:bCs/>
                <w:color w:val="auto"/>
                <w:szCs w:val="22"/>
              </w:rPr>
            </w:pPr>
            <w:r w:rsidRPr="008912CF">
              <w:rPr>
                <w:b w:val="0"/>
                <w:bCs/>
                <w:color w:val="auto"/>
                <w:szCs w:val="22"/>
              </w:rPr>
              <w:t>Sem MTX</w:t>
            </w:r>
          </w:p>
        </w:tc>
      </w:tr>
      <w:tr w:rsidR="00A7162A" w14:paraId="1F31939D" w14:textId="77777777" w:rsidTr="00AB0B1F">
        <w:trPr>
          <w:cantSplit/>
        </w:trPr>
        <w:tc>
          <w:tcPr>
            <w:tcW w:w="2418" w:type="dxa"/>
          </w:tcPr>
          <w:p w14:paraId="7403DA72" w14:textId="77777777" w:rsidR="00E549E4" w:rsidRPr="008912CF" w:rsidRDefault="00615769" w:rsidP="00AB0B1F">
            <w:pPr>
              <w:pStyle w:val="BodyTextIndent"/>
              <w:keepNext/>
              <w:ind w:left="0" w:right="53" w:firstLine="0"/>
              <w:rPr>
                <w:b w:val="0"/>
                <w:bCs/>
                <w:color w:val="auto"/>
                <w:szCs w:val="22"/>
              </w:rPr>
            </w:pPr>
            <w:r w:rsidRPr="008912CF">
              <w:rPr>
                <w:b w:val="0"/>
                <w:bCs/>
                <w:color w:val="auto"/>
                <w:szCs w:val="22"/>
              </w:rPr>
              <w:t>Fase</w:t>
            </w:r>
          </w:p>
        </w:tc>
        <w:tc>
          <w:tcPr>
            <w:tcW w:w="3520" w:type="dxa"/>
            <w:gridSpan w:val="2"/>
          </w:tcPr>
          <w:p w14:paraId="52E0491D" w14:textId="77777777" w:rsidR="00E549E4" w:rsidRPr="008912CF" w:rsidRDefault="00E549E4" w:rsidP="00AB0B1F">
            <w:pPr>
              <w:pStyle w:val="BodyTextIndent"/>
              <w:keepNext/>
              <w:ind w:left="0" w:right="53" w:firstLine="0"/>
              <w:jc w:val="center"/>
              <w:rPr>
                <w:b w:val="0"/>
                <w:bCs/>
                <w:color w:val="auto"/>
                <w:szCs w:val="22"/>
              </w:rPr>
            </w:pPr>
          </w:p>
        </w:tc>
        <w:tc>
          <w:tcPr>
            <w:tcW w:w="3239" w:type="dxa"/>
            <w:gridSpan w:val="2"/>
          </w:tcPr>
          <w:p w14:paraId="0161C790" w14:textId="77777777" w:rsidR="00E549E4" w:rsidRPr="008912CF" w:rsidRDefault="00E549E4" w:rsidP="00AB0B1F">
            <w:pPr>
              <w:pStyle w:val="BodyTextIndent"/>
              <w:keepNext/>
              <w:ind w:left="0" w:right="53" w:firstLine="0"/>
              <w:jc w:val="center"/>
              <w:rPr>
                <w:b w:val="0"/>
                <w:bCs/>
                <w:color w:val="auto"/>
                <w:szCs w:val="22"/>
              </w:rPr>
            </w:pPr>
          </w:p>
        </w:tc>
      </w:tr>
      <w:tr w:rsidR="00A7162A" w14:paraId="203CBAF4" w14:textId="77777777" w:rsidTr="00AB0B1F">
        <w:trPr>
          <w:cantSplit/>
        </w:trPr>
        <w:tc>
          <w:tcPr>
            <w:tcW w:w="2418" w:type="dxa"/>
          </w:tcPr>
          <w:p w14:paraId="4BF8BFA2" w14:textId="77777777" w:rsidR="00E549E4" w:rsidRPr="008912CF" w:rsidRDefault="00615769" w:rsidP="00AB0B1F">
            <w:pPr>
              <w:pStyle w:val="BodyTextIndent"/>
              <w:keepNext/>
              <w:ind w:left="0" w:right="53" w:firstLine="0"/>
              <w:rPr>
                <w:b w:val="0"/>
                <w:bCs/>
                <w:color w:val="auto"/>
                <w:szCs w:val="22"/>
              </w:rPr>
            </w:pPr>
            <w:r w:rsidRPr="008912CF">
              <w:rPr>
                <w:b w:val="0"/>
                <w:bCs/>
                <w:color w:val="auto"/>
                <w:szCs w:val="22"/>
              </w:rPr>
              <w:t xml:space="preserve">OL-LI à </w:t>
            </w:r>
            <w:r>
              <w:rPr>
                <w:b w:val="0"/>
                <w:bCs/>
                <w:color w:val="auto"/>
                <w:szCs w:val="22"/>
              </w:rPr>
              <w:t>S</w:t>
            </w:r>
            <w:r w:rsidRPr="008912CF">
              <w:rPr>
                <w:b w:val="0"/>
                <w:bCs/>
                <w:color w:val="auto"/>
                <w:szCs w:val="22"/>
              </w:rPr>
              <w:t>emana 16</w:t>
            </w:r>
          </w:p>
        </w:tc>
        <w:tc>
          <w:tcPr>
            <w:tcW w:w="3520" w:type="dxa"/>
            <w:gridSpan w:val="2"/>
          </w:tcPr>
          <w:p w14:paraId="20DC87C7" w14:textId="77777777" w:rsidR="00E549E4" w:rsidRPr="008912CF" w:rsidRDefault="00E549E4" w:rsidP="00AB0B1F">
            <w:pPr>
              <w:pStyle w:val="BodyTextIndent"/>
              <w:keepNext/>
              <w:ind w:left="0" w:right="53" w:firstLine="0"/>
              <w:jc w:val="center"/>
              <w:rPr>
                <w:b w:val="0"/>
                <w:bCs/>
                <w:color w:val="auto"/>
                <w:szCs w:val="22"/>
              </w:rPr>
            </w:pPr>
          </w:p>
        </w:tc>
        <w:tc>
          <w:tcPr>
            <w:tcW w:w="3239" w:type="dxa"/>
            <w:gridSpan w:val="2"/>
          </w:tcPr>
          <w:p w14:paraId="475197E3" w14:textId="77777777" w:rsidR="00E549E4" w:rsidRPr="008912CF" w:rsidRDefault="00E549E4" w:rsidP="00AB0B1F">
            <w:pPr>
              <w:pStyle w:val="BodyTextIndent"/>
              <w:keepNext/>
              <w:ind w:left="0" w:right="53" w:firstLine="0"/>
              <w:jc w:val="center"/>
              <w:rPr>
                <w:b w:val="0"/>
                <w:bCs/>
                <w:color w:val="auto"/>
                <w:szCs w:val="22"/>
              </w:rPr>
            </w:pPr>
          </w:p>
        </w:tc>
      </w:tr>
      <w:tr w:rsidR="00A7162A" w14:paraId="13087B80" w14:textId="77777777" w:rsidTr="00AB0B1F">
        <w:trPr>
          <w:cantSplit/>
        </w:trPr>
        <w:tc>
          <w:tcPr>
            <w:tcW w:w="2418" w:type="dxa"/>
          </w:tcPr>
          <w:p w14:paraId="54DCF429" w14:textId="77777777" w:rsidR="00E549E4" w:rsidRPr="008912CF" w:rsidRDefault="00615769" w:rsidP="00AB0B1F">
            <w:pPr>
              <w:pStyle w:val="BodyTextIndent"/>
              <w:keepNext/>
              <w:ind w:right="53" w:firstLine="0"/>
              <w:rPr>
                <w:b w:val="0"/>
                <w:bCs/>
                <w:color w:val="auto"/>
                <w:szCs w:val="22"/>
              </w:rPr>
            </w:pPr>
            <w:r w:rsidRPr="008912CF">
              <w:rPr>
                <w:b w:val="0"/>
                <w:bCs/>
                <w:color w:val="auto"/>
                <w:szCs w:val="22"/>
              </w:rPr>
              <w:t>Resposta ACR Ped 30 (n/N)</w:t>
            </w:r>
          </w:p>
        </w:tc>
        <w:tc>
          <w:tcPr>
            <w:tcW w:w="3520" w:type="dxa"/>
            <w:gridSpan w:val="2"/>
          </w:tcPr>
          <w:p w14:paraId="3B8FBAB6" w14:textId="77777777" w:rsidR="00E549E4" w:rsidRPr="008912CF" w:rsidRDefault="00615769" w:rsidP="00AB0B1F">
            <w:pPr>
              <w:pStyle w:val="BodyTextIndent"/>
              <w:keepNext/>
              <w:ind w:left="0" w:right="53" w:firstLine="0"/>
              <w:jc w:val="center"/>
              <w:rPr>
                <w:b w:val="0"/>
                <w:bCs/>
                <w:color w:val="auto"/>
                <w:szCs w:val="22"/>
              </w:rPr>
            </w:pPr>
            <w:r w:rsidRPr="008912CF">
              <w:rPr>
                <w:b w:val="0"/>
                <w:bCs/>
                <w:color w:val="auto"/>
                <w:szCs w:val="22"/>
              </w:rPr>
              <w:t>94,1% (80/85)</w:t>
            </w:r>
          </w:p>
        </w:tc>
        <w:tc>
          <w:tcPr>
            <w:tcW w:w="3239" w:type="dxa"/>
            <w:gridSpan w:val="2"/>
          </w:tcPr>
          <w:p w14:paraId="13FAAE96" w14:textId="77777777" w:rsidR="00E549E4" w:rsidRPr="008912CF" w:rsidRDefault="00615769" w:rsidP="00AB0B1F">
            <w:pPr>
              <w:pStyle w:val="BodyTextIndent"/>
              <w:keepNext/>
              <w:ind w:left="0" w:right="53" w:firstLine="0"/>
              <w:jc w:val="center"/>
              <w:rPr>
                <w:b w:val="0"/>
                <w:bCs/>
                <w:color w:val="auto"/>
                <w:szCs w:val="22"/>
              </w:rPr>
            </w:pPr>
            <w:r w:rsidRPr="008912CF">
              <w:rPr>
                <w:b w:val="0"/>
                <w:bCs/>
                <w:color w:val="auto"/>
                <w:szCs w:val="22"/>
              </w:rPr>
              <w:t>74,4% (64/86)</w:t>
            </w:r>
          </w:p>
        </w:tc>
      </w:tr>
      <w:tr w:rsidR="00A7162A" w14:paraId="299F0443" w14:textId="77777777" w:rsidTr="00AB0B1F">
        <w:trPr>
          <w:cantSplit/>
        </w:trPr>
        <w:tc>
          <w:tcPr>
            <w:tcW w:w="9177" w:type="dxa"/>
            <w:gridSpan w:val="5"/>
          </w:tcPr>
          <w:p w14:paraId="47768A28" w14:textId="77777777" w:rsidR="00E549E4" w:rsidRPr="008912CF" w:rsidRDefault="00615769" w:rsidP="00AB0B1F">
            <w:pPr>
              <w:pStyle w:val="BodyTextIndent"/>
              <w:keepNext/>
              <w:ind w:left="0" w:right="53" w:firstLine="0"/>
              <w:jc w:val="center"/>
              <w:rPr>
                <w:b w:val="0"/>
                <w:bCs/>
                <w:color w:val="auto"/>
                <w:szCs w:val="22"/>
              </w:rPr>
            </w:pPr>
            <w:r>
              <w:rPr>
                <w:b w:val="0"/>
                <w:bCs/>
                <w:color w:val="auto"/>
                <w:szCs w:val="22"/>
              </w:rPr>
              <w:t>Resultados de</w:t>
            </w:r>
            <w:r w:rsidRPr="008912CF">
              <w:rPr>
                <w:b w:val="0"/>
                <w:bCs/>
                <w:color w:val="auto"/>
                <w:szCs w:val="22"/>
              </w:rPr>
              <w:t xml:space="preserve"> eficácia</w:t>
            </w:r>
          </w:p>
        </w:tc>
      </w:tr>
      <w:tr w:rsidR="00A7162A" w14:paraId="20F777DA" w14:textId="77777777" w:rsidTr="00AB0B1F">
        <w:tc>
          <w:tcPr>
            <w:tcW w:w="2418" w:type="dxa"/>
          </w:tcPr>
          <w:p w14:paraId="54734F1D" w14:textId="77777777" w:rsidR="00E549E4" w:rsidRPr="008912CF" w:rsidRDefault="00615769" w:rsidP="00AB0B1F">
            <w:pPr>
              <w:pStyle w:val="BodyTextIndent"/>
              <w:keepNext/>
              <w:ind w:left="0" w:right="53" w:firstLine="0"/>
              <w:rPr>
                <w:b w:val="0"/>
                <w:bCs/>
                <w:color w:val="auto"/>
                <w:szCs w:val="22"/>
              </w:rPr>
            </w:pPr>
            <w:r w:rsidRPr="008912CF">
              <w:rPr>
                <w:b w:val="0"/>
                <w:bCs/>
                <w:color w:val="auto"/>
                <w:szCs w:val="22"/>
              </w:rPr>
              <w:t>Dupla</w:t>
            </w:r>
            <w:r>
              <w:rPr>
                <w:b w:val="0"/>
                <w:bCs/>
                <w:color w:val="auto"/>
                <w:szCs w:val="22"/>
              </w:rPr>
              <w:t xml:space="preserve"> ocultação</w:t>
            </w:r>
            <w:r w:rsidRPr="008912CF">
              <w:rPr>
                <w:b w:val="0"/>
                <w:bCs/>
                <w:color w:val="auto"/>
                <w:szCs w:val="22"/>
              </w:rPr>
              <w:t xml:space="preserve"> à </w:t>
            </w:r>
            <w:r>
              <w:rPr>
                <w:b w:val="0"/>
                <w:bCs/>
                <w:color w:val="auto"/>
                <w:szCs w:val="22"/>
              </w:rPr>
              <w:t>S</w:t>
            </w:r>
            <w:r w:rsidRPr="008912CF">
              <w:rPr>
                <w:b w:val="0"/>
                <w:bCs/>
                <w:color w:val="auto"/>
                <w:szCs w:val="22"/>
              </w:rPr>
              <w:t>emana 32</w:t>
            </w:r>
          </w:p>
        </w:tc>
        <w:tc>
          <w:tcPr>
            <w:tcW w:w="1760" w:type="dxa"/>
          </w:tcPr>
          <w:p w14:paraId="66AEDE07" w14:textId="77777777" w:rsidR="00E549E4" w:rsidRPr="008912CF" w:rsidRDefault="00615769" w:rsidP="00AB0B1F">
            <w:pPr>
              <w:pStyle w:val="BodyTextIndent"/>
              <w:keepNext/>
              <w:ind w:left="0" w:right="53" w:firstLine="0"/>
              <w:rPr>
                <w:b w:val="0"/>
                <w:bCs/>
                <w:color w:val="auto"/>
                <w:szCs w:val="22"/>
              </w:rPr>
            </w:pPr>
            <w:r w:rsidRPr="008912CF">
              <w:rPr>
                <w:b w:val="0"/>
                <w:bCs/>
                <w:color w:val="auto"/>
                <w:szCs w:val="22"/>
              </w:rPr>
              <w:t>Humira/MTX</w:t>
            </w:r>
          </w:p>
          <w:p w14:paraId="5D88B238" w14:textId="77777777" w:rsidR="00E549E4" w:rsidRPr="008912CF" w:rsidRDefault="00615769" w:rsidP="00AB0B1F">
            <w:pPr>
              <w:pStyle w:val="BodyTextIndent"/>
              <w:keepNext/>
              <w:ind w:left="0" w:right="53" w:firstLine="0"/>
              <w:rPr>
                <w:b w:val="0"/>
                <w:bCs/>
                <w:color w:val="auto"/>
                <w:szCs w:val="22"/>
              </w:rPr>
            </w:pPr>
            <w:r w:rsidRPr="008912CF">
              <w:rPr>
                <w:b w:val="0"/>
                <w:bCs/>
                <w:color w:val="auto"/>
                <w:szCs w:val="22"/>
              </w:rPr>
              <w:t>(N = 38)</w:t>
            </w:r>
          </w:p>
          <w:p w14:paraId="6029FBF6" w14:textId="77777777" w:rsidR="00E549E4" w:rsidRPr="008912CF" w:rsidRDefault="00E549E4" w:rsidP="00AB0B1F">
            <w:pPr>
              <w:pStyle w:val="BodyTextIndent"/>
              <w:keepNext/>
              <w:ind w:left="0" w:right="53" w:firstLine="0"/>
              <w:rPr>
                <w:b w:val="0"/>
                <w:bCs/>
                <w:color w:val="auto"/>
                <w:szCs w:val="22"/>
              </w:rPr>
            </w:pPr>
          </w:p>
        </w:tc>
        <w:tc>
          <w:tcPr>
            <w:tcW w:w="1760" w:type="dxa"/>
          </w:tcPr>
          <w:p w14:paraId="45B4029B" w14:textId="77777777" w:rsidR="00E549E4" w:rsidRPr="008912CF" w:rsidRDefault="00615769" w:rsidP="00AB0B1F">
            <w:pPr>
              <w:pStyle w:val="BodyTextIndent"/>
              <w:keepNext/>
              <w:ind w:left="0" w:right="53" w:firstLine="0"/>
              <w:rPr>
                <w:b w:val="0"/>
                <w:bCs/>
                <w:color w:val="auto"/>
                <w:szCs w:val="22"/>
              </w:rPr>
            </w:pPr>
            <w:r w:rsidRPr="008912CF">
              <w:rPr>
                <w:b w:val="0"/>
                <w:bCs/>
                <w:color w:val="auto"/>
                <w:szCs w:val="22"/>
              </w:rPr>
              <w:t>Placebo/MTX</w:t>
            </w:r>
          </w:p>
          <w:p w14:paraId="25D4BFEA" w14:textId="77777777" w:rsidR="00E549E4" w:rsidRPr="008912CF" w:rsidRDefault="00615769" w:rsidP="00AB0B1F">
            <w:pPr>
              <w:pStyle w:val="BodyTextIndent"/>
              <w:keepNext/>
              <w:ind w:left="0" w:right="53" w:firstLine="0"/>
              <w:rPr>
                <w:b w:val="0"/>
                <w:bCs/>
                <w:color w:val="auto"/>
                <w:szCs w:val="22"/>
              </w:rPr>
            </w:pPr>
            <w:r w:rsidRPr="008912CF">
              <w:rPr>
                <w:b w:val="0"/>
                <w:bCs/>
                <w:color w:val="auto"/>
                <w:szCs w:val="22"/>
              </w:rPr>
              <w:t>(N = 37)</w:t>
            </w:r>
          </w:p>
        </w:tc>
        <w:tc>
          <w:tcPr>
            <w:tcW w:w="1650" w:type="dxa"/>
          </w:tcPr>
          <w:p w14:paraId="6DD3320C" w14:textId="77777777" w:rsidR="00E549E4" w:rsidRPr="008912CF" w:rsidRDefault="00615769" w:rsidP="00AB0B1F">
            <w:pPr>
              <w:pStyle w:val="BodyTextIndent"/>
              <w:keepNext/>
              <w:ind w:left="0" w:right="53" w:firstLine="0"/>
              <w:rPr>
                <w:b w:val="0"/>
                <w:bCs/>
                <w:color w:val="auto"/>
                <w:szCs w:val="22"/>
              </w:rPr>
            </w:pPr>
            <w:r w:rsidRPr="008912CF">
              <w:rPr>
                <w:b w:val="0"/>
                <w:bCs/>
                <w:color w:val="auto"/>
                <w:szCs w:val="22"/>
              </w:rPr>
              <w:t xml:space="preserve">Humira </w:t>
            </w:r>
          </w:p>
          <w:p w14:paraId="5A33DF7C" w14:textId="77777777" w:rsidR="00E549E4" w:rsidRPr="008912CF" w:rsidRDefault="00615769" w:rsidP="00AB0B1F">
            <w:pPr>
              <w:pStyle w:val="BodyTextIndent"/>
              <w:keepNext/>
              <w:ind w:left="0" w:right="53" w:firstLine="0"/>
              <w:rPr>
                <w:b w:val="0"/>
                <w:bCs/>
                <w:color w:val="auto"/>
                <w:szCs w:val="22"/>
              </w:rPr>
            </w:pPr>
            <w:r w:rsidRPr="008912CF">
              <w:rPr>
                <w:b w:val="0"/>
                <w:bCs/>
                <w:color w:val="auto"/>
                <w:szCs w:val="22"/>
              </w:rPr>
              <w:t>(N = 30)</w:t>
            </w:r>
          </w:p>
        </w:tc>
        <w:tc>
          <w:tcPr>
            <w:tcW w:w="1589" w:type="dxa"/>
          </w:tcPr>
          <w:p w14:paraId="13116BE5" w14:textId="77777777" w:rsidR="00E549E4" w:rsidRPr="008912CF" w:rsidRDefault="00615769" w:rsidP="00AB0B1F">
            <w:pPr>
              <w:pStyle w:val="BodyTextIndent"/>
              <w:keepNext/>
              <w:ind w:left="0" w:right="53" w:firstLine="0"/>
              <w:rPr>
                <w:b w:val="0"/>
                <w:bCs/>
                <w:color w:val="auto"/>
                <w:szCs w:val="22"/>
              </w:rPr>
            </w:pPr>
            <w:r w:rsidRPr="008912CF">
              <w:rPr>
                <w:b w:val="0"/>
                <w:bCs/>
                <w:color w:val="auto"/>
                <w:szCs w:val="22"/>
              </w:rPr>
              <w:t>Placebo</w:t>
            </w:r>
          </w:p>
          <w:p w14:paraId="1E64ED7C" w14:textId="77777777" w:rsidR="00E549E4" w:rsidRPr="008912CF" w:rsidRDefault="00615769" w:rsidP="00AB0B1F">
            <w:pPr>
              <w:pStyle w:val="BodyTextIndent"/>
              <w:keepNext/>
              <w:ind w:left="0" w:right="53" w:firstLine="0"/>
              <w:rPr>
                <w:b w:val="0"/>
                <w:bCs/>
                <w:color w:val="auto"/>
                <w:szCs w:val="22"/>
              </w:rPr>
            </w:pPr>
            <w:r w:rsidRPr="008912CF">
              <w:rPr>
                <w:b w:val="0"/>
                <w:bCs/>
                <w:color w:val="auto"/>
                <w:szCs w:val="22"/>
              </w:rPr>
              <w:t>(N = 28)</w:t>
            </w:r>
          </w:p>
        </w:tc>
      </w:tr>
      <w:tr w:rsidR="00A7162A" w14:paraId="1BFE1C5D" w14:textId="77777777" w:rsidTr="00AB0B1F">
        <w:tc>
          <w:tcPr>
            <w:tcW w:w="2418" w:type="dxa"/>
          </w:tcPr>
          <w:p w14:paraId="50BDBCD0" w14:textId="77777777" w:rsidR="00E549E4" w:rsidRPr="008912CF" w:rsidRDefault="00615769" w:rsidP="00AB0B1F">
            <w:pPr>
              <w:pStyle w:val="BodyTextIndent"/>
              <w:keepNext/>
              <w:ind w:right="53" w:firstLine="0"/>
              <w:rPr>
                <w:b w:val="0"/>
                <w:bCs/>
                <w:color w:val="auto"/>
                <w:szCs w:val="22"/>
              </w:rPr>
            </w:pPr>
            <w:r w:rsidRPr="008912CF">
              <w:rPr>
                <w:b w:val="0"/>
                <w:bCs/>
                <w:color w:val="auto"/>
                <w:szCs w:val="22"/>
              </w:rPr>
              <w:t>Agravamento da doença no final das 32 semanas</w:t>
            </w:r>
            <w:r w:rsidRPr="008912CF">
              <w:rPr>
                <w:b w:val="0"/>
                <w:bCs/>
                <w:color w:val="auto"/>
                <w:szCs w:val="22"/>
                <w:vertAlign w:val="superscript"/>
              </w:rPr>
              <w:t>a</w:t>
            </w:r>
            <w:r w:rsidRPr="008912CF">
              <w:rPr>
                <w:b w:val="0"/>
                <w:bCs/>
                <w:color w:val="auto"/>
                <w:szCs w:val="22"/>
              </w:rPr>
              <w:t xml:space="preserve"> (n/N)</w:t>
            </w:r>
          </w:p>
        </w:tc>
        <w:tc>
          <w:tcPr>
            <w:tcW w:w="1760" w:type="dxa"/>
          </w:tcPr>
          <w:p w14:paraId="1A015081" w14:textId="77777777" w:rsidR="00E549E4" w:rsidRPr="008912CF" w:rsidRDefault="00615769" w:rsidP="00AB0B1F">
            <w:pPr>
              <w:pStyle w:val="BodyTextIndent"/>
              <w:keepNext/>
              <w:ind w:left="0" w:right="53" w:firstLine="0"/>
              <w:rPr>
                <w:b w:val="0"/>
                <w:bCs/>
                <w:color w:val="auto"/>
                <w:szCs w:val="22"/>
              </w:rPr>
            </w:pPr>
            <w:r w:rsidRPr="008912CF">
              <w:rPr>
                <w:b w:val="0"/>
                <w:bCs/>
                <w:color w:val="auto"/>
                <w:szCs w:val="22"/>
              </w:rPr>
              <w:t>36,8% (14/38)</w:t>
            </w:r>
          </w:p>
        </w:tc>
        <w:tc>
          <w:tcPr>
            <w:tcW w:w="1760" w:type="dxa"/>
          </w:tcPr>
          <w:p w14:paraId="3F7A2FA4" w14:textId="77777777" w:rsidR="00E549E4" w:rsidRPr="008912CF" w:rsidRDefault="00615769" w:rsidP="00AB0B1F">
            <w:pPr>
              <w:pStyle w:val="BodyTextIndent"/>
              <w:keepNext/>
              <w:ind w:left="0" w:right="53" w:firstLine="0"/>
              <w:rPr>
                <w:b w:val="0"/>
                <w:bCs/>
                <w:color w:val="auto"/>
                <w:szCs w:val="22"/>
              </w:rPr>
            </w:pPr>
            <w:r w:rsidRPr="008912CF">
              <w:rPr>
                <w:b w:val="0"/>
                <w:bCs/>
                <w:color w:val="auto"/>
                <w:szCs w:val="22"/>
              </w:rPr>
              <w:t>64,9% (24/37)</w:t>
            </w:r>
            <w:r w:rsidRPr="008912CF">
              <w:rPr>
                <w:b w:val="0"/>
                <w:bCs/>
                <w:color w:val="auto"/>
                <w:szCs w:val="22"/>
                <w:vertAlign w:val="superscript"/>
              </w:rPr>
              <w:t>b</w:t>
            </w:r>
          </w:p>
        </w:tc>
        <w:tc>
          <w:tcPr>
            <w:tcW w:w="1650" w:type="dxa"/>
          </w:tcPr>
          <w:p w14:paraId="4D828B0E" w14:textId="77777777" w:rsidR="00E549E4" w:rsidRPr="008912CF" w:rsidRDefault="00615769" w:rsidP="00AB0B1F">
            <w:pPr>
              <w:pStyle w:val="BodyTextIndent"/>
              <w:keepNext/>
              <w:ind w:left="0" w:right="53" w:firstLine="0"/>
              <w:rPr>
                <w:b w:val="0"/>
                <w:bCs/>
                <w:color w:val="auto"/>
                <w:szCs w:val="22"/>
              </w:rPr>
            </w:pPr>
            <w:r w:rsidRPr="008912CF">
              <w:rPr>
                <w:b w:val="0"/>
                <w:bCs/>
                <w:color w:val="auto"/>
                <w:szCs w:val="22"/>
              </w:rPr>
              <w:t>43,3% (13/30)</w:t>
            </w:r>
          </w:p>
        </w:tc>
        <w:tc>
          <w:tcPr>
            <w:tcW w:w="1589" w:type="dxa"/>
          </w:tcPr>
          <w:p w14:paraId="241D882E" w14:textId="77777777" w:rsidR="00E549E4" w:rsidRPr="008912CF" w:rsidRDefault="00615769" w:rsidP="00AB0B1F">
            <w:pPr>
              <w:pStyle w:val="BodyTextIndent"/>
              <w:keepNext/>
              <w:ind w:left="0" w:right="53" w:firstLine="0"/>
              <w:rPr>
                <w:b w:val="0"/>
                <w:bCs/>
                <w:color w:val="auto"/>
                <w:szCs w:val="22"/>
              </w:rPr>
            </w:pPr>
            <w:r w:rsidRPr="008912CF">
              <w:rPr>
                <w:b w:val="0"/>
                <w:bCs/>
                <w:color w:val="auto"/>
                <w:szCs w:val="22"/>
              </w:rPr>
              <w:t>71,4% (20/28)</w:t>
            </w:r>
            <w:r w:rsidRPr="008912CF">
              <w:rPr>
                <w:b w:val="0"/>
                <w:bCs/>
                <w:color w:val="auto"/>
                <w:szCs w:val="22"/>
                <w:vertAlign w:val="superscript"/>
              </w:rPr>
              <w:t>c</w:t>
            </w:r>
          </w:p>
        </w:tc>
      </w:tr>
      <w:tr w:rsidR="00A7162A" w14:paraId="6A7E9736" w14:textId="77777777" w:rsidTr="00AB0B1F">
        <w:tc>
          <w:tcPr>
            <w:tcW w:w="2418" w:type="dxa"/>
          </w:tcPr>
          <w:p w14:paraId="7E92D27B" w14:textId="77777777" w:rsidR="00E549E4" w:rsidRPr="008912CF" w:rsidRDefault="00615769" w:rsidP="00AB0B1F">
            <w:pPr>
              <w:pStyle w:val="BodyTextIndent"/>
              <w:keepNext/>
              <w:ind w:right="53" w:firstLine="0"/>
              <w:rPr>
                <w:b w:val="0"/>
                <w:bCs/>
                <w:color w:val="auto"/>
                <w:szCs w:val="22"/>
              </w:rPr>
            </w:pPr>
            <w:r w:rsidRPr="008912CF">
              <w:rPr>
                <w:b w:val="0"/>
                <w:bCs/>
                <w:color w:val="auto"/>
                <w:szCs w:val="22"/>
              </w:rPr>
              <w:t xml:space="preserve">Tempo </w:t>
            </w:r>
            <w:r>
              <w:rPr>
                <w:b w:val="0"/>
                <w:bCs/>
                <w:color w:val="auto"/>
                <w:szCs w:val="22"/>
              </w:rPr>
              <w:t>mediano</w:t>
            </w:r>
            <w:r w:rsidRPr="008912CF">
              <w:rPr>
                <w:b w:val="0"/>
                <w:bCs/>
                <w:color w:val="auto"/>
                <w:szCs w:val="22"/>
              </w:rPr>
              <w:t xml:space="preserve"> para agravamento da doença</w:t>
            </w:r>
          </w:p>
        </w:tc>
        <w:tc>
          <w:tcPr>
            <w:tcW w:w="1760" w:type="dxa"/>
          </w:tcPr>
          <w:p w14:paraId="61A1A973" w14:textId="77777777" w:rsidR="00E549E4" w:rsidRPr="008912CF" w:rsidRDefault="00615769" w:rsidP="00AB0B1F">
            <w:pPr>
              <w:pStyle w:val="BodyTextIndent"/>
              <w:keepNext/>
              <w:ind w:left="0" w:right="53" w:firstLine="0"/>
              <w:rPr>
                <w:b w:val="0"/>
                <w:bCs/>
                <w:color w:val="auto"/>
                <w:szCs w:val="22"/>
              </w:rPr>
            </w:pPr>
            <w:r w:rsidRPr="008912CF">
              <w:rPr>
                <w:b w:val="0"/>
                <w:bCs/>
                <w:color w:val="auto"/>
                <w:szCs w:val="22"/>
              </w:rPr>
              <w:t>&gt;32 semanas</w:t>
            </w:r>
          </w:p>
        </w:tc>
        <w:tc>
          <w:tcPr>
            <w:tcW w:w="1760" w:type="dxa"/>
          </w:tcPr>
          <w:p w14:paraId="11EE88DB" w14:textId="77777777" w:rsidR="00E549E4" w:rsidRPr="008912CF" w:rsidRDefault="00615769" w:rsidP="00AB0B1F">
            <w:pPr>
              <w:pStyle w:val="BodyTextIndent"/>
              <w:keepNext/>
              <w:ind w:left="0" w:right="53" w:firstLine="0"/>
              <w:rPr>
                <w:b w:val="0"/>
                <w:bCs/>
                <w:color w:val="auto"/>
                <w:szCs w:val="22"/>
              </w:rPr>
            </w:pPr>
            <w:r w:rsidRPr="008912CF">
              <w:rPr>
                <w:b w:val="0"/>
                <w:bCs/>
                <w:color w:val="auto"/>
                <w:szCs w:val="22"/>
              </w:rPr>
              <w:t>20 semanas</w:t>
            </w:r>
          </w:p>
        </w:tc>
        <w:tc>
          <w:tcPr>
            <w:tcW w:w="1650" w:type="dxa"/>
          </w:tcPr>
          <w:p w14:paraId="0704F881" w14:textId="77777777" w:rsidR="00E549E4" w:rsidRPr="008912CF" w:rsidRDefault="00615769" w:rsidP="00AB0B1F">
            <w:pPr>
              <w:pStyle w:val="BodyTextIndent"/>
              <w:keepNext/>
              <w:ind w:left="0" w:right="53" w:firstLine="0"/>
              <w:rPr>
                <w:b w:val="0"/>
                <w:bCs/>
                <w:color w:val="auto"/>
                <w:szCs w:val="22"/>
              </w:rPr>
            </w:pPr>
            <w:r w:rsidRPr="008912CF">
              <w:rPr>
                <w:b w:val="0"/>
                <w:bCs/>
                <w:color w:val="auto"/>
                <w:szCs w:val="22"/>
              </w:rPr>
              <w:t>&gt;32 semanas</w:t>
            </w:r>
          </w:p>
        </w:tc>
        <w:tc>
          <w:tcPr>
            <w:tcW w:w="1589" w:type="dxa"/>
          </w:tcPr>
          <w:p w14:paraId="64BE1027" w14:textId="77777777" w:rsidR="00E549E4" w:rsidRPr="008912CF" w:rsidRDefault="00615769" w:rsidP="00AB0B1F">
            <w:pPr>
              <w:pStyle w:val="BodyTextIndent"/>
              <w:keepNext/>
              <w:ind w:left="0" w:right="53" w:firstLine="0"/>
              <w:rPr>
                <w:b w:val="0"/>
                <w:bCs/>
                <w:color w:val="auto"/>
                <w:szCs w:val="22"/>
              </w:rPr>
            </w:pPr>
            <w:r w:rsidRPr="008912CF">
              <w:rPr>
                <w:b w:val="0"/>
                <w:bCs/>
                <w:color w:val="auto"/>
                <w:szCs w:val="22"/>
              </w:rPr>
              <w:t>14 semanas</w:t>
            </w:r>
          </w:p>
        </w:tc>
      </w:tr>
    </w:tbl>
    <w:p w14:paraId="157BD3CD" w14:textId="77777777" w:rsidR="00E549E4" w:rsidRPr="008912CF" w:rsidRDefault="00615769" w:rsidP="00E549E4">
      <w:pPr>
        <w:pStyle w:val="BodyTextIndent"/>
        <w:ind w:left="110" w:right="53" w:firstLine="0"/>
        <w:rPr>
          <w:b w:val="0"/>
          <w:bCs/>
          <w:i/>
          <w:iCs/>
          <w:color w:val="auto"/>
          <w:szCs w:val="22"/>
        </w:rPr>
      </w:pPr>
      <w:r w:rsidRPr="008912CF">
        <w:rPr>
          <w:b w:val="0"/>
          <w:bCs/>
          <w:color w:val="auto"/>
          <w:szCs w:val="22"/>
          <w:vertAlign w:val="superscript"/>
        </w:rPr>
        <w:t xml:space="preserve">a </w:t>
      </w:r>
      <w:r w:rsidRPr="008912CF">
        <w:rPr>
          <w:b w:val="0"/>
          <w:bCs/>
          <w:color w:val="auto"/>
          <w:szCs w:val="22"/>
        </w:rPr>
        <w:t xml:space="preserve">Respostas ACR Ped 30/50/70 à Semana 48 significativamente superiores às observadas nos doentes tratados com placebo </w:t>
      </w:r>
    </w:p>
    <w:p w14:paraId="4A792980" w14:textId="77777777" w:rsidR="00E549E4" w:rsidRPr="008912CF" w:rsidRDefault="00615769" w:rsidP="00E549E4">
      <w:pPr>
        <w:pStyle w:val="BodyTextIndent"/>
        <w:ind w:left="110" w:right="53" w:firstLine="0"/>
        <w:rPr>
          <w:b w:val="0"/>
          <w:bCs/>
          <w:color w:val="auto"/>
          <w:szCs w:val="22"/>
        </w:rPr>
      </w:pPr>
      <w:r w:rsidRPr="008912CF">
        <w:rPr>
          <w:b w:val="0"/>
          <w:bCs/>
          <w:color w:val="auto"/>
          <w:szCs w:val="22"/>
          <w:vertAlign w:val="superscript"/>
        </w:rPr>
        <w:t>b</w:t>
      </w:r>
      <w:r w:rsidRPr="008912CF">
        <w:rPr>
          <w:b w:val="0"/>
          <w:bCs/>
          <w:color w:val="auto"/>
          <w:szCs w:val="22"/>
        </w:rPr>
        <w:t xml:space="preserve"> p = 0,015</w:t>
      </w:r>
    </w:p>
    <w:p w14:paraId="2539FF06" w14:textId="77777777" w:rsidR="00E549E4" w:rsidRPr="008912CF" w:rsidRDefault="00615769" w:rsidP="00E549E4">
      <w:pPr>
        <w:pStyle w:val="BodyTextIndent"/>
        <w:ind w:left="110" w:right="53" w:firstLine="0"/>
        <w:rPr>
          <w:b w:val="0"/>
          <w:bCs/>
          <w:color w:val="auto"/>
          <w:szCs w:val="22"/>
        </w:rPr>
      </w:pPr>
      <w:r w:rsidRPr="008912CF">
        <w:rPr>
          <w:b w:val="0"/>
          <w:bCs/>
          <w:color w:val="auto"/>
          <w:szCs w:val="22"/>
          <w:vertAlign w:val="superscript"/>
        </w:rPr>
        <w:t>c</w:t>
      </w:r>
      <w:r w:rsidRPr="008912CF">
        <w:rPr>
          <w:b w:val="0"/>
          <w:bCs/>
          <w:color w:val="auto"/>
          <w:szCs w:val="22"/>
        </w:rPr>
        <w:t xml:space="preserve"> p = 0,031</w:t>
      </w:r>
    </w:p>
    <w:p w14:paraId="3CF955C2" w14:textId="77777777" w:rsidR="00E549E4" w:rsidRPr="008912CF" w:rsidRDefault="00E549E4" w:rsidP="00E549E4">
      <w:pPr>
        <w:rPr>
          <w:sz w:val="22"/>
          <w:szCs w:val="22"/>
          <w:u w:val="single"/>
        </w:rPr>
      </w:pPr>
    </w:p>
    <w:p w14:paraId="445BBF61" w14:textId="77777777" w:rsidR="00E549E4" w:rsidRPr="008912CF" w:rsidRDefault="00615769" w:rsidP="00E549E4">
      <w:pPr>
        <w:pStyle w:val="EMEAHeadingUnderline"/>
        <w:tabs>
          <w:tab w:val="clear" w:pos="562"/>
        </w:tabs>
        <w:suppressAutoHyphens w:val="0"/>
        <w:spacing w:before="0" w:after="0"/>
        <w:rPr>
          <w:szCs w:val="22"/>
          <w:u w:val="none"/>
          <w:lang w:val="pt-PT"/>
        </w:rPr>
      </w:pPr>
      <w:r w:rsidRPr="008912CF">
        <w:rPr>
          <w:szCs w:val="22"/>
          <w:u w:val="none"/>
          <w:lang w:val="pt-PT"/>
        </w:rPr>
        <w:t xml:space="preserve">Entre os doentes que responderam à Semana 16 (n=144), as respostas ACR </w:t>
      </w:r>
      <w:r>
        <w:rPr>
          <w:szCs w:val="22"/>
          <w:u w:val="none"/>
          <w:lang w:val="pt-PT"/>
        </w:rPr>
        <w:t xml:space="preserve">Pediátrico </w:t>
      </w:r>
      <w:r w:rsidRPr="008912CF">
        <w:rPr>
          <w:szCs w:val="22"/>
          <w:u w:val="none"/>
          <w:lang w:val="pt-PT"/>
        </w:rPr>
        <w:t xml:space="preserve">30/50/70/90 foram mantidas até seis anos na fase OLE nos doentes que receberam Humira durante o estudo. Um total de </w:t>
      </w:r>
      <w:r w:rsidRPr="008912CF">
        <w:rPr>
          <w:rStyle w:val="longtext"/>
          <w:color w:val="000000"/>
          <w:szCs w:val="22"/>
          <w:u w:val="none"/>
          <w:shd w:val="clear" w:color="auto" w:fill="FFFFFF"/>
          <w:lang w:val="pt-PT"/>
        </w:rPr>
        <w:t xml:space="preserve">19 doentes, dos quais 11 do grupo etário de base 4-12 </w:t>
      </w:r>
      <w:r>
        <w:rPr>
          <w:rStyle w:val="longtext"/>
          <w:color w:val="000000"/>
          <w:szCs w:val="22"/>
          <w:u w:val="none"/>
          <w:shd w:val="clear" w:color="auto" w:fill="FFFFFF"/>
          <w:lang w:val="pt-PT"/>
        </w:rPr>
        <w:t xml:space="preserve">anos </w:t>
      </w:r>
      <w:r w:rsidRPr="008912CF">
        <w:rPr>
          <w:rStyle w:val="longtext"/>
          <w:color w:val="000000"/>
          <w:szCs w:val="22"/>
          <w:u w:val="none"/>
          <w:shd w:val="clear" w:color="auto" w:fill="FFFFFF"/>
          <w:lang w:val="pt-PT"/>
        </w:rPr>
        <w:t xml:space="preserve">e 8 do grupo etário de </w:t>
      </w:r>
      <w:r>
        <w:rPr>
          <w:rStyle w:val="longtext"/>
          <w:color w:val="000000"/>
          <w:szCs w:val="22"/>
          <w:u w:val="none"/>
          <w:shd w:val="clear" w:color="auto" w:fill="FFFFFF"/>
          <w:lang w:val="pt-PT"/>
        </w:rPr>
        <w:t>base</w:t>
      </w:r>
      <w:r w:rsidRPr="008912CF">
        <w:rPr>
          <w:rStyle w:val="longtext"/>
          <w:color w:val="000000"/>
          <w:szCs w:val="22"/>
          <w:u w:val="none"/>
          <w:shd w:val="clear" w:color="auto" w:fill="FFFFFF"/>
          <w:lang w:val="pt-PT"/>
        </w:rPr>
        <w:t xml:space="preserve"> de 13 a 17 anos, foram tratados durante 6 anos ou mais.</w:t>
      </w:r>
    </w:p>
    <w:p w14:paraId="0EC9C628" w14:textId="77777777" w:rsidR="00E549E4" w:rsidRPr="008912CF" w:rsidRDefault="00E549E4" w:rsidP="00E549E4">
      <w:pPr>
        <w:rPr>
          <w:sz w:val="22"/>
          <w:szCs w:val="22"/>
        </w:rPr>
      </w:pPr>
    </w:p>
    <w:p w14:paraId="6DC39ECE" w14:textId="77777777" w:rsidR="00E549E4" w:rsidRPr="008912CF" w:rsidRDefault="00615769" w:rsidP="00E549E4">
      <w:pPr>
        <w:rPr>
          <w:sz w:val="22"/>
          <w:szCs w:val="22"/>
        </w:rPr>
      </w:pPr>
      <w:r w:rsidRPr="008912CF">
        <w:rPr>
          <w:sz w:val="22"/>
          <w:szCs w:val="22"/>
        </w:rPr>
        <w:t xml:space="preserve">As respostas globais foram geralmente melhores e </w:t>
      </w:r>
      <w:r>
        <w:rPr>
          <w:sz w:val="22"/>
          <w:szCs w:val="22"/>
        </w:rPr>
        <w:t>um menor número de</w:t>
      </w:r>
      <w:r w:rsidRPr="008912CF">
        <w:rPr>
          <w:sz w:val="22"/>
          <w:szCs w:val="22"/>
        </w:rPr>
        <w:t xml:space="preserve"> doentes desenvolve</w:t>
      </w:r>
      <w:r>
        <w:rPr>
          <w:sz w:val="22"/>
          <w:szCs w:val="22"/>
        </w:rPr>
        <w:t>u</w:t>
      </w:r>
      <w:r w:rsidRPr="008912CF">
        <w:rPr>
          <w:sz w:val="22"/>
          <w:szCs w:val="22"/>
        </w:rPr>
        <w:t xml:space="preserve"> anticorpos quando tratados com a associação de Humira e MTX, comparativamente com Humira em monoterapia. Considerando estes resultados, Humira é recomendado para utilização em associação com MTX e para utilização em monoterapia, em doentes para os quais a utilização de MTX não é apropriada (ver secção 4.2).</w:t>
      </w:r>
    </w:p>
    <w:p w14:paraId="04B04079" w14:textId="77777777" w:rsidR="00E549E4" w:rsidRPr="008912CF" w:rsidRDefault="00E549E4" w:rsidP="00E549E4">
      <w:pPr>
        <w:pStyle w:val="EMEAHeadingUnderline"/>
        <w:tabs>
          <w:tab w:val="clear" w:pos="562"/>
        </w:tabs>
        <w:suppressAutoHyphens w:val="0"/>
        <w:spacing w:before="0" w:after="0"/>
        <w:rPr>
          <w:szCs w:val="22"/>
          <w:lang w:val="pt-PT"/>
        </w:rPr>
      </w:pPr>
    </w:p>
    <w:p w14:paraId="78A60A57" w14:textId="77777777" w:rsidR="00E549E4" w:rsidRPr="008912CF" w:rsidRDefault="00615769" w:rsidP="00E549E4">
      <w:pPr>
        <w:keepNext/>
        <w:rPr>
          <w:sz w:val="22"/>
          <w:szCs w:val="22"/>
        </w:rPr>
      </w:pPr>
      <w:r w:rsidRPr="008912CF">
        <w:rPr>
          <w:sz w:val="22"/>
          <w:szCs w:val="22"/>
        </w:rPr>
        <w:t>AIJp II</w:t>
      </w:r>
    </w:p>
    <w:p w14:paraId="14E7A824" w14:textId="77777777" w:rsidR="00E549E4" w:rsidRPr="008912CF" w:rsidRDefault="00E549E4" w:rsidP="00E549E4">
      <w:pPr>
        <w:keepNext/>
        <w:rPr>
          <w:sz w:val="22"/>
          <w:szCs w:val="22"/>
          <w:u w:val="single"/>
        </w:rPr>
      </w:pPr>
    </w:p>
    <w:p w14:paraId="162A1C5C" w14:textId="77777777" w:rsidR="00E549E4" w:rsidRPr="008912CF" w:rsidRDefault="00615769" w:rsidP="00E549E4">
      <w:pPr>
        <w:keepNext/>
        <w:rPr>
          <w:sz w:val="22"/>
          <w:szCs w:val="22"/>
        </w:rPr>
      </w:pPr>
      <w:r w:rsidRPr="008912CF">
        <w:rPr>
          <w:sz w:val="22"/>
          <w:szCs w:val="22"/>
        </w:rPr>
        <w:t>A segurança e eficácia de Humira foram avaliadas num estudo multicêntrico aberto em 32 crianças (com 2 e menos de 4 anos ou com 4 ou mais</w:t>
      </w:r>
      <w:r>
        <w:rPr>
          <w:sz w:val="22"/>
          <w:szCs w:val="22"/>
        </w:rPr>
        <w:t xml:space="preserve"> de</w:t>
      </w:r>
      <w:r w:rsidRPr="008912CF">
        <w:rPr>
          <w:sz w:val="22"/>
          <w:szCs w:val="22"/>
        </w:rPr>
        <w:t xml:space="preserve"> 4 anos de idade e com peso &lt; 15 kg) com AIJ poliarticular ativa moderada a grave. Os doentes receberam 24 mg/m</w:t>
      </w:r>
      <w:r w:rsidRPr="008912CF">
        <w:rPr>
          <w:sz w:val="22"/>
          <w:szCs w:val="22"/>
          <w:vertAlign w:val="superscript"/>
        </w:rPr>
        <w:t>2</w:t>
      </w:r>
      <w:r w:rsidRPr="008912CF">
        <w:rPr>
          <w:sz w:val="22"/>
          <w:szCs w:val="22"/>
        </w:rPr>
        <w:t xml:space="preserve"> de área de superfície corporal até uma dose máxima única de 20 mg de Humira administrada em semanas alternadas, por injeção subcutânea durante cerca de 24 semanas. Durante o estudo a maior parte dos doentes foi tratada concomitantemente com MTX e poucos reportaram o uso de corticoides ou AINEs.</w:t>
      </w:r>
    </w:p>
    <w:p w14:paraId="688EC07F" w14:textId="77777777" w:rsidR="00E549E4" w:rsidRPr="008912CF" w:rsidRDefault="00E549E4" w:rsidP="00E549E4">
      <w:pPr>
        <w:rPr>
          <w:sz w:val="22"/>
          <w:szCs w:val="22"/>
        </w:rPr>
      </w:pPr>
    </w:p>
    <w:p w14:paraId="477BC87D" w14:textId="77777777" w:rsidR="00E549E4" w:rsidRPr="008912CF" w:rsidRDefault="00615769" w:rsidP="00E549E4">
      <w:pPr>
        <w:pStyle w:val="EMEANormal"/>
        <w:rPr>
          <w:szCs w:val="22"/>
          <w:lang w:val="pt-PT"/>
        </w:rPr>
      </w:pPr>
      <w:r w:rsidRPr="008912CF">
        <w:rPr>
          <w:szCs w:val="22"/>
          <w:lang w:val="pt-PT"/>
        </w:rPr>
        <w:t>À</w:t>
      </w:r>
      <w:r>
        <w:rPr>
          <w:szCs w:val="22"/>
          <w:lang w:val="pt-PT"/>
        </w:rPr>
        <w:t>s</w:t>
      </w:r>
      <w:r w:rsidRPr="008912CF">
        <w:rPr>
          <w:szCs w:val="22"/>
          <w:lang w:val="pt-PT"/>
        </w:rPr>
        <w:t xml:space="preserve"> semana</w:t>
      </w:r>
      <w:r>
        <w:rPr>
          <w:szCs w:val="22"/>
          <w:lang w:val="pt-PT"/>
        </w:rPr>
        <w:t>s</w:t>
      </w:r>
      <w:r w:rsidRPr="008912CF">
        <w:rPr>
          <w:szCs w:val="22"/>
          <w:lang w:val="pt-PT"/>
        </w:rPr>
        <w:t xml:space="preserve"> 12 e 24</w:t>
      </w:r>
      <w:r>
        <w:rPr>
          <w:szCs w:val="22"/>
          <w:lang w:val="pt-PT"/>
        </w:rPr>
        <w:t>,</w:t>
      </w:r>
      <w:r w:rsidRPr="008912CF">
        <w:rPr>
          <w:szCs w:val="22"/>
          <w:lang w:val="pt-PT"/>
        </w:rPr>
        <w:t xml:space="preserve"> a resposta ACR</w:t>
      </w:r>
      <w:r>
        <w:rPr>
          <w:szCs w:val="22"/>
          <w:lang w:val="pt-PT"/>
        </w:rPr>
        <w:t xml:space="preserve"> Pediátrico</w:t>
      </w:r>
      <w:r w:rsidRPr="008912CF">
        <w:rPr>
          <w:szCs w:val="22"/>
          <w:lang w:val="pt-PT"/>
        </w:rPr>
        <w:t xml:space="preserve"> 30 (ACR Ped 30) foi de 93,5</w:t>
      </w:r>
      <w:r>
        <w:rPr>
          <w:szCs w:val="22"/>
          <w:lang w:val="pt-PT"/>
        </w:rPr>
        <w:t>%</w:t>
      </w:r>
      <w:r w:rsidRPr="008912CF">
        <w:rPr>
          <w:szCs w:val="22"/>
          <w:lang w:val="pt-PT"/>
        </w:rPr>
        <w:t xml:space="preserve"> e 90</w:t>
      </w:r>
      <w:r>
        <w:rPr>
          <w:szCs w:val="22"/>
          <w:lang w:val="pt-PT"/>
        </w:rPr>
        <w:t>%,</w:t>
      </w:r>
      <w:r w:rsidRPr="008912CF">
        <w:rPr>
          <w:szCs w:val="22"/>
          <w:lang w:val="pt-PT"/>
        </w:rPr>
        <w:t xml:space="preserve"> respetivamente</w:t>
      </w:r>
      <w:r>
        <w:rPr>
          <w:szCs w:val="22"/>
          <w:lang w:val="pt-PT"/>
        </w:rPr>
        <w:t>,</w:t>
      </w:r>
      <w:r w:rsidRPr="008912CF">
        <w:rPr>
          <w:szCs w:val="22"/>
          <w:lang w:val="pt-PT"/>
        </w:rPr>
        <w:t xml:space="preserve"> com base na abordagem de dados observados. A proporção de doentes com resposta ACR Ped 50/70/90 à</w:t>
      </w:r>
      <w:r>
        <w:rPr>
          <w:szCs w:val="22"/>
          <w:lang w:val="pt-PT"/>
        </w:rPr>
        <w:t>s</w:t>
      </w:r>
      <w:r w:rsidRPr="008912CF">
        <w:rPr>
          <w:szCs w:val="22"/>
          <w:lang w:val="pt-PT"/>
        </w:rPr>
        <w:t xml:space="preserve"> semana</w:t>
      </w:r>
      <w:r>
        <w:rPr>
          <w:szCs w:val="22"/>
          <w:lang w:val="pt-PT"/>
        </w:rPr>
        <w:t>s</w:t>
      </w:r>
      <w:r w:rsidRPr="008912CF">
        <w:rPr>
          <w:szCs w:val="22"/>
          <w:lang w:val="pt-PT"/>
        </w:rPr>
        <w:t xml:space="preserve"> 12 e 24 foi de 90,3</w:t>
      </w:r>
      <w:r>
        <w:rPr>
          <w:szCs w:val="22"/>
          <w:lang w:val="pt-PT"/>
        </w:rPr>
        <w:t>%</w:t>
      </w:r>
      <w:r w:rsidRPr="008912CF">
        <w:rPr>
          <w:szCs w:val="22"/>
          <w:lang w:val="pt-PT"/>
        </w:rPr>
        <w:t>, 61,3</w:t>
      </w:r>
      <w:r>
        <w:rPr>
          <w:szCs w:val="22"/>
          <w:lang w:val="pt-PT"/>
        </w:rPr>
        <w:t>%</w:t>
      </w:r>
      <w:r w:rsidRPr="008912CF">
        <w:rPr>
          <w:szCs w:val="22"/>
          <w:lang w:val="pt-PT"/>
        </w:rPr>
        <w:t>, 38,7% e 83,3%, 73,3%, 36,7%</w:t>
      </w:r>
      <w:r>
        <w:rPr>
          <w:szCs w:val="22"/>
          <w:lang w:val="pt-PT"/>
        </w:rPr>
        <w:t>,</w:t>
      </w:r>
      <w:r w:rsidRPr="008912CF">
        <w:rPr>
          <w:szCs w:val="22"/>
          <w:lang w:val="pt-PT"/>
        </w:rPr>
        <w:t xml:space="preserve"> respetivamente. Entre os doentes que responderam à semana 24 (n=27 dos 30 doentes), a resposta ACR Ped 30 manteve-se durante um período de 60 semanas na fase OLE em doentes que receberam Humira durante este período de tempo. Foram tratados um total d</w:t>
      </w:r>
      <w:r w:rsidRPr="008912CF">
        <w:rPr>
          <w:szCs w:val="22"/>
          <w:lang w:val="pt-PT"/>
        </w:rPr>
        <w:t>e 20 doentes, durante 60 semanas ou mais.</w:t>
      </w:r>
    </w:p>
    <w:p w14:paraId="72C74304" w14:textId="77777777" w:rsidR="00E549E4" w:rsidRPr="008912CF" w:rsidRDefault="00E549E4" w:rsidP="00E549E4">
      <w:pPr>
        <w:rPr>
          <w:sz w:val="22"/>
          <w:szCs w:val="22"/>
        </w:rPr>
      </w:pPr>
    </w:p>
    <w:p w14:paraId="6162E7F6" w14:textId="77777777" w:rsidR="00E549E4" w:rsidRPr="008912CF" w:rsidRDefault="00615769" w:rsidP="00E549E4">
      <w:pPr>
        <w:rPr>
          <w:sz w:val="22"/>
          <w:szCs w:val="22"/>
          <w:u w:val="single"/>
        </w:rPr>
      </w:pPr>
      <w:r w:rsidRPr="008912CF">
        <w:rPr>
          <w:i/>
          <w:sz w:val="22"/>
          <w:szCs w:val="22"/>
          <w:u w:val="single"/>
        </w:rPr>
        <w:t>Artrite relacionada com entesite</w:t>
      </w:r>
    </w:p>
    <w:p w14:paraId="2A69BDC8" w14:textId="77777777" w:rsidR="00E549E4" w:rsidRPr="008912CF" w:rsidRDefault="00E549E4" w:rsidP="00E549E4">
      <w:pPr>
        <w:rPr>
          <w:sz w:val="22"/>
          <w:szCs w:val="22"/>
          <w:u w:val="single"/>
        </w:rPr>
      </w:pPr>
    </w:p>
    <w:p w14:paraId="35A26D56" w14:textId="77777777" w:rsidR="00E549E4" w:rsidRPr="008912CF" w:rsidRDefault="00615769" w:rsidP="00E549E4">
      <w:pPr>
        <w:rPr>
          <w:sz w:val="22"/>
          <w:szCs w:val="22"/>
        </w:rPr>
      </w:pPr>
      <w:r w:rsidRPr="008912CF">
        <w:rPr>
          <w:sz w:val="22"/>
          <w:szCs w:val="22"/>
        </w:rPr>
        <w:t xml:space="preserve">A segurança e eficácia de Humira foram avaliadas num estudo multicêntrico, aleatorizado, com dupla ocultação, em 46 doentes pediátricos (entre os 6 e os 17 anos de idade) com artrite relacionada com entesite moderada. Os doentes foram </w:t>
      </w:r>
      <w:r>
        <w:rPr>
          <w:sz w:val="22"/>
          <w:szCs w:val="22"/>
        </w:rPr>
        <w:t>aleatorizados</w:t>
      </w:r>
      <w:r w:rsidRPr="008912CF">
        <w:rPr>
          <w:sz w:val="22"/>
          <w:szCs w:val="22"/>
        </w:rPr>
        <w:t xml:space="preserve"> para receberem 24 mg/m</w:t>
      </w:r>
      <w:r w:rsidRPr="008912CF">
        <w:rPr>
          <w:sz w:val="22"/>
          <w:szCs w:val="22"/>
          <w:vertAlign w:val="superscript"/>
        </w:rPr>
        <w:t>2</w:t>
      </w:r>
      <w:r w:rsidRPr="008912CF">
        <w:rPr>
          <w:sz w:val="22"/>
          <w:szCs w:val="22"/>
        </w:rPr>
        <w:t xml:space="preserve"> de área de superfície corporal (BSA) de Humira até uma dose máxima de 40 mg, ou placebo, em semanas alternadas, durante 12 semanas. O período em dupla-ocultação é seguido de um período aberto (OL), durante o qual os doentes receberam 24 mg/m</w:t>
      </w:r>
      <w:r w:rsidRPr="008912CF">
        <w:rPr>
          <w:sz w:val="22"/>
          <w:szCs w:val="22"/>
          <w:vertAlign w:val="superscript"/>
        </w:rPr>
        <w:t>2</w:t>
      </w:r>
      <w:r w:rsidRPr="008912CF">
        <w:rPr>
          <w:sz w:val="22"/>
          <w:szCs w:val="22"/>
        </w:rPr>
        <w:t xml:space="preserve"> de área de superfície corporal </w:t>
      </w:r>
      <w:r>
        <w:rPr>
          <w:sz w:val="22"/>
          <w:szCs w:val="22"/>
        </w:rPr>
        <w:t>(</w:t>
      </w:r>
      <w:r w:rsidRPr="008912CF">
        <w:rPr>
          <w:sz w:val="22"/>
          <w:szCs w:val="22"/>
        </w:rPr>
        <w:t>BSA</w:t>
      </w:r>
      <w:r>
        <w:rPr>
          <w:sz w:val="22"/>
          <w:szCs w:val="22"/>
        </w:rPr>
        <w:t>)</w:t>
      </w:r>
      <w:r w:rsidRPr="008912CF">
        <w:rPr>
          <w:sz w:val="22"/>
          <w:szCs w:val="22"/>
        </w:rPr>
        <w:t xml:space="preserve"> de Humira até uma dose máxima de 40 mg, em semanas alternadas, por via subcutânea, adicionalmente até um máximo de 192 semanas. O objetivo primário foi a variação percentual, da avaliação inicia</w:t>
      </w:r>
      <w:r w:rsidRPr="008912CF">
        <w:rPr>
          <w:sz w:val="22"/>
          <w:szCs w:val="22"/>
        </w:rPr>
        <w:t>l à Semana 12, do número de articulações ativas com artrite (tumefação não devid</w:t>
      </w:r>
      <w:r>
        <w:rPr>
          <w:sz w:val="22"/>
          <w:szCs w:val="22"/>
        </w:rPr>
        <w:t>a</w:t>
      </w:r>
      <w:r w:rsidRPr="008912CF">
        <w:rPr>
          <w:sz w:val="22"/>
          <w:szCs w:val="22"/>
        </w:rPr>
        <w:t xml:space="preserve"> a deformidade ou articulações com limitação de movimento além de dor e/ou dor à palpação</w:t>
      </w:r>
      <w:r>
        <w:rPr>
          <w:sz w:val="22"/>
          <w:szCs w:val="22"/>
        </w:rPr>
        <w:t>)</w:t>
      </w:r>
      <w:r w:rsidRPr="008912CF">
        <w:rPr>
          <w:sz w:val="22"/>
          <w:szCs w:val="22"/>
        </w:rPr>
        <w:t xml:space="preserve">, a qual foi conseguida com uma diminuição percentual média de -62,6% (variação percentual </w:t>
      </w:r>
      <w:r>
        <w:rPr>
          <w:sz w:val="22"/>
          <w:szCs w:val="22"/>
        </w:rPr>
        <w:t>mediana de</w:t>
      </w:r>
      <w:r w:rsidRPr="008912CF">
        <w:rPr>
          <w:sz w:val="22"/>
          <w:szCs w:val="22"/>
        </w:rPr>
        <w:t xml:space="preserve"> -88,9%) no grupo de doentes que receberam Humira, comparativamente com -11,6% (variação percentual </w:t>
      </w:r>
      <w:r>
        <w:rPr>
          <w:sz w:val="22"/>
          <w:szCs w:val="22"/>
        </w:rPr>
        <w:t>mediana de</w:t>
      </w:r>
      <w:r w:rsidRPr="008912CF">
        <w:rPr>
          <w:sz w:val="22"/>
          <w:szCs w:val="22"/>
        </w:rPr>
        <w:t xml:space="preserve"> -50%) no grupo de doentes tratados com placebo. A melhoria no número de articulações ativas com artrite foi mantida durante o per</w:t>
      </w:r>
      <w:r w:rsidRPr="008912CF">
        <w:rPr>
          <w:sz w:val="22"/>
          <w:szCs w:val="22"/>
        </w:rPr>
        <w:t xml:space="preserve">íodo aberto (OL) até à Semana </w:t>
      </w:r>
      <w:r>
        <w:rPr>
          <w:sz w:val="22"/>
          <w:szCs w:val="22"/>
        </w:rPr>
        <w:t>156 para 26 dos 31 doentes (84%) do grupo Humira que permaneceram</w:t>
      </w:r>
      <w:r w:rsidRPr="008912CF">
        <w:rPr>
          <w:sz w:val="22"/>
          <w:szCs w:val="22"/>
        </w:rPr>
        <w:t xml:space="preserve"> </w:t>
      </w:r>
      <w:r>
        <w:rPr>
          <w:sz w:val="22"/>
          <w:szCs w:val="22"/>
        </w:rPr>
        <w:t>n</w:t>
      </w:r>
      <w:r w:rsidRPr="008912CF">
        <w:rPr>
          <w:sz w:val="22"/>
          <w:szCs w:val="22"/>
        </w:rPr>
        <w:t xml:space="preserve">o estudo. Embora sem significância estatística, a maioria dos doentes demonstraram melhoria clínica nos objetivos secundários, tais como número </w:t>
      </w:r>
      <w:r>
        <w:rPr>
          <w:sz w:val="22"/>
          <w:szCs w:val="22"/>
        </w:rPr>
        <w:t xml:space="preserve">de </w:t>
      </w:r>
      <w:r w:rsidRPr="008912CF">
        <w:rPr>
          <w:sz w:val="22"/>
          <w:szCs w:val="22"/>
        </w:rPr>
        <w:t xml:space="preserve">locais </w:t>
      </w:r>
      <w:r>
        <w:rPr>
          <w:sz w:val="22"/>
          <w:szCs w:val="22"/>
        </w:rPr>
        <w:t>com</w:t>
      </w:r>
      <w:r w:rsidRPr="008912CF">
        <w:rPr>
          <w:sz w:val="22"/>
          <w:szCs w:val="22"/>
        </w:rPr>
        <w:t xml:space="preserve"> entesite, contagem de articulações dolorosas (TJC), contagem de articulações tumefactas (SJC),</w:t>
      </w:r>
      <w:r w:rsidRPr="008912CF">
        <w:rPr>
          <w:szCs w:val="22"/>
        </w:rPr>
        <w:t xml:space="preserve"> </w:t>
      </w:r>
      <w:r w:rsidRPr="008912CF">
        <w:rPr>
          <w:sz w:val="22"/>
          <w:szCs w:val="22"/>
        </w:rPr>
        <w:t>respostas ACR</w:t>
      </w:r>
      <w:r>
        <w:rPr>
          <w:sz w:val="22"/>
          <w:szCs w:val="22"/>
        </w:rPr>
        <w:t xml:space="preserve"> Pediátrico</w:t>
      </w:r>
      <w:r w:rsidRPr="008912CF">
        <w:rPr>
          <w:sz w:val="22"/>
          <w:szCs w:val="22"/>
        </w:rPr>
        <w:t xml:space="preserve"> 50 e respostas ACR</w:t>
      </w:r>
      <w:r>
        <w:rPr>
          <w:sz w:val="22"/>
          <w:szCs w:val="22"/>
        </w:rPr>
        <w:t xml:space="preserve"> Pediátrico</w:t>
      </w:r>
      <w:r w:rsidRPr="008912CF">
        <w:rPr>
          <w:sz w:val="22"/>
          <w:szCs w:val="22"/>
        </w:rPr>
        <w:t xml:space="preserve"> 70.</w:t>
      </w:r>
    </w:p>
    <w:p w14:paraId="33494141" w14:textId="77777777" w:rsidR="00E549E4" w:rsidRPr="008912CF" w:rsidRDefault="00E549E4" w:rsidP="00E549E4">
      <w:pPr>
        <w:rPr>
          <w:sz w:val="22"/>
          <w:szCs w:val="22"/>
          <w:u w:val="single"/>
        </w:rPr>
      </w:pPr>
    </w:p>
    <w:p w14:paraId="1C591941" w14:textId="77777777" w:rsidR="00E549E4" w:rsidRPr="008912CF" w:rsidRDefault="00615769" w:rsidP="00E549E4">
      <w:pPr>
        <w:keepNext/>
        <w:rPr>
          <w:sz w:val="22"/>
          <w:szCs w:val="22"/>
        </w:rPr>
      </w:pPr>
      <w:r w:rsidRPr="008912CF">
        <w:rPr>
          <w:i/>
          <w:sz w:val="22"/>
          <w:szCs w:val="22"/>
        </w:rPr>
        <w:t>Psoríase pediátrica em placas</w:t>
      </w:r>
    </w:p>
    <w:p w14:paraId="212AA6C3" w14:textId="77777777" w:rsidR="00E549E4" w:rsidRPr="008912CF" w:rsidRDefault="00E549E4" w:rsidP="00E549E4">
      <w:pPr>
        <w:keepNext/>
        <w:rPr>
          <w:sz w:val="22"/>
          <w:szCs w:val="22"/>
          <w:u w:val="single"/>
        </w:rPr>
      </w:pPr>
    </w:p>
    <w:p w14:paraId="7C4C39A3" w14:textId="77777777" w:rsidR="00E549E4" w:rsidRPr="008912CF" w:rsidRDefault="00615769" w:rsidP="00E549E4">
      <w:pPr>
        <w:keepNext/>
        <w:rPr>
          <w:sz w:val="22"/>
          <w:szCs w:val="22"/>
        </w:rPr>
      </w:pPr>
      <w:r w:rsidRPr="008912CF">
        <w:rPr>
          <w:sz w:val="22"/>
          <w:szCs w:val="22"/>
        </w:rPr>
        <w:t>A eficácia d</w:t>
      </w:r>
      <w:r>
        <w:rPr>
          <w:sz w:val="22"/>
          <w:szCs w:val="22"/>
        </w:rPr>
        <w:t>e</w:t>
      </w:r>
      <w:r w:rsidRPr="008912CF">
        <w:rPr>
          <w:sz w:val="22"/>
          <w:szCs w:val="22"/>
        </w:rPr>
        <w:t xml:space="preserve"> Humira foi avaliada num estudo </w:t>
      </w:r>
      <w:r>
        <w:rPr>
          <w:sz w:val="22"/>
          <w:szCs w:val="22"/>
        </w:rPr>
        <w:t>aleatorizado,</w:t>
      </w:r>
      <w:r w:rsidRPr="008912CF">
        <w:rPr>
          <w:sz w:val="22"/>
          <w:szCs w:val="22"/>
        </w:rPr>
        <w:t xml:space="preserve"> em dupla ocultação, controlado, em 114 doentes pediátricos a partir dos 4 anos de idade, com psoríase crónica em placas grave (definida por PGA ≥ 4 ou envolvimento BSA &gt;20% ou envolvimento BSA &gt;10% com lesões muito espessas, ou PASI ≥20 ou ≥10 com envolvimento clinicamente relevante facial, genital ou das mãos/pés), que não estavam controlados adequadamente com tratamento tópico e helioterapia ou fototerapia.</w:t>
      </w:r>
    </w:p>
    <w:p w14:paraId="134C2844" w14:textId="77777777" w:rsidR="00E549E4" w:rsidRPr="008912CF" w:rsidRDefault="00E549E4" w:rsidP="00E549E4">
      <w:pPr>
        <w:rPr>
          <w:sz w:val="22"/>
          <w:szCs w:val="22"/>
        </w:rPr>
      </w:pPr>
    </w:p>
    <w:p w14:paraId="6BB16A87" w14:textId="77777777" w:rsidR="00E549E4" w:rsidRPr="008912CF" w:rsidRDefault="00615769" w:rsidP="00E549E4">
      <w:pPr>
        <w:rPr>
          <w:sz w:val="22"/>
          <w:szCs w:val="22"/>
        </w:rPr>
      </w:pPr>
      <w:r w:rsidRPr="008912CF">
        <w:rPr>
          <w:sz w:val="22"/>
          <w:szCs w:val="22"/>
        </w:rPr>
        <w:t xml:space="preserve">Os doentes receberam Humira 0,8 mg/kg em semanas alternadas (até ao máximo de 40 mg), 0,4 mg/kg em semanas alternadas (até ao máximo de 20 mg), ou metotrexato 0,1 – 0,4 mg/kg por semana (até ao máximo de 25 mg). Na </w:t>
      </w:r>
      <w:r>
        <w:rPr>
          <w:sz w:val="22"/>
          <w:szCs w:val="22"/>
        </w:rPr>
        <w:t>S</w:t>
      </w:r>
      <w:r w:rsidRPr="008912CF">
        <w:rPr>
          <w:sz w:val="22"/>
          <w:szCs w:val="22"/>
        </w:rPr>
        <w:t>emana 16, os doentes que receberam Humira 0,8 mg/kg apresentaram um maior número de respostas de eficácia positivas (p.ex. PASI 75), comparativamente com os doentes que receberam 0,4 mg/kg em semanas alternadas ou MTX.</w:t>
      </w:r>
    </w:p>
    <w:p w14:paraId="1050B53B" w14:textId="77777777" w:rsidR="00E549E4" w:rsidRPr="008912CF" w:rsidRDefault="00E549E4" w:rsidP="00E549E4"/>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589"/>
        <w:gridCol w:w="1429"/>
        <w:gridCol w:w="3070"/>
      </w:tblGrid>
      <w:tr w:rsidR="00A7162A" w14:paraId="49A1A023" w14:textId="77777777" w:rsidTr="00AB0B1F">
        <w:trPr>
          <w:jc w:val="center"/>
        </w:trPr>
        <w:tc>
          <w:tcPr>
            <w:tcW w:w="5000" w:type="pct"/>
            <w:gridSpan w:val="3"/>
            <w:tcBorders>
              <w:top w:val="nil"/>
              <w:left w:val="nil"/>
              <w:bottom w:val="nil"/>
              <w:right w:val="nil"/>
            </w:tcBorders>
            <w:vAlign w:val="center"/>
          </w:tcPr>
          <w:p w14:paraId="03455967" w14:textId="77777777" w:rsidR="00E549E4" w:rsidRPr="008912CF" w:rsidRDefault="00615769" w:rsidP="00AB0B1F">
            <w:pPr>
              <w:keepNext/>
              <w:tabs>
                <w:tab w:val="left" w:pos="562"/>
              </w:tabs>
              <w:suppressAutoHyphens/>
              <w:autoSpaceDE w:val="0"/>
              <w:autoSpaceDN w:val="0"/>
              <w:adjustRightInd w:val="0"/>
              <w:jc w:val="center"/>
              <w:rPr>
                <w:b/>
                <w:bCs/>
                <w:sz w:val="22"/>
                <w:szCs w:val="22"/>
              </w:rPr>
            </w:pPr>
            <w:r w:rsidRPr="008912CF">
              <w:rPr>
                <w:b/>
                <w:sz w:val="22"/>
                <w:szCs w:val="22"/>
              </w:rPr>
              <w:t xml:space="preserve">Tabela </w:t>
            </w:r>
            <w:r w:rsidR="00120C36">
              <w:rPr>
                <w:b/>
                <w:sz w:val="22"/>
                <w:szCs w:val="22"/>
              </w:rPr>
              <w:t>27</w:t>
            </w:r>
            <w:r w:rsidRPr="008912CF">
              <w:rPr>
                <w:b/>
                <w:sz w:val="22"/>
                <w:szCs w:val="22"/>
              </w:rPr>
              <w:t>: Resultados de Eficácia à</w:t>
            </w:r>
            <w:r>
              <w:rPr>
                <w:b/>
                <w:sz w:val="22"/>
                <w:szCs w:val="22"/>
              </w:rPr>
              <w:t xml:space="preserve"> Semana</w:t>
            </w:r>
            <w:r w:rsidRPr="008912CF">
              <w:rPr>
                <w:b/>
                <w:sz w:val="22"/>
                <w:szCs w:val="22"/>
              </w:rPr>
              <w:t xml:space="preserve"> 16 na Psoríase Pediátrica em Placas</w:t>
            </w:r>
          </w:p>
          <w:p w14:paraId="1683640A" w14:textId="77777777" w:rsidR="00E549E4" w:rsidRPr="008912CF" w:rsidRDefault="00E549E4" w:rsidP="00AB0B1F">
            <w:pPr>
              <w:keepNext/>
              <w:tabs>
                <w:tab w:val="left" w:pos="562"/>
              </w:tabs>
              <w:suppressAutoHyphens/>
              <w:jc w:val="center"/>
              <w:rPr>
                <w:b/>
                <w:sz w:val="22"/>
                <w:szCs w:val="22"/>
              </w:rPr>
            </w:pPr>
          </w:p>
        </w:tc>
      </w:tr>
      <w:tr w:rsidR="00A7162A" w14:paraId="03A0E9DA" w14:textId="77777777" w:rsidTr="00AB0B1F">
        <w:trPr>
          <w:jc w:val="center"/>
        </w:trPr>
        <w:tc>
          <w:tcPr>
            <w:tcW w:w="0" w:type="auto"/>
            <w:tcBorders>
              <w:top w:val="single" w:sz="6" w:space="0" w:color="000000"/>
              <w:left w:val="single" w:sz="6" w:space="0" w:color="000000"/>
              <w:bottom w:val="outset" w:sz="6" w:space="0" w:color="auto"/>
              <w:right w:val="outset" w:sz="6" w:space="0" w:color="auto"/>
            </w:tcBorders>
            <w:vAlign w:val="center"/>
          </w:tcPr>
          <w:p w14:paraId="58893AA7" w14:textId="77777777" w:rsidR="00E549E4" w:rsidRPr="008912CF" w:rsidRDefault="00E549E4" w:rsidP="00AB0B1F">
            <w:pPr>
              <w:keepNext/>
              <w:tabs>
                <w:tab w:val="left" w:pos="562"/>
              </w:tabs>
              <w:suppressAutoHyphens/>
              <w:rPr>
                <w:sz w:val="22"/>
                <w:szCs w:val="22"/>
              </w:rPr>
            </w:pPr>
          </w:p>
        </w:tc>
        <w:tc>
          <w:tcPr>
            <w:tcW w:w="0" w:type="auto"/>
            <w:tcBorders>
              <w:top w:val="single" w:sz="6" w:space="0" w:color="000000"/>
              <w:left w:val="single" w:sz="6" w:space="0" w:color="000000"/>
              <w:bottom w:val="outset" w:sz="6" w:space="0" w:color="auto"/>
              <w:right w:val="outset" w:sz="6" w:space="0" w:color="auto"/>
            </w:tcBorders>
            <w:vAlign w:val="center"/>
          </w:tcPr>
          <w:p w14:paraId="239BEDA4" w14:textId="77777777" w:rsidR="00E549E4" w:rsidRPr="008912CF" w:rsidRDefault="00615769" w:rsidP="00AB0B1F">
            <w:pPr>
              <w:keepNext/>
              <w:tabs>
                <w:tab w:val="left" w:pos="562"/>
              </w:tabs>
              <w:suppressAutoHyphens/>
              <w:jc w:val="center"/>
              <w:rPr>
                <w:sz w:val="22"/>
                <w:szCs w:val="22"/>
                <w:vertAlign w:val="superscript"/>
              </w:rPr>
            </w:pPr>
            <w:r w:rsidRPr="008912CF">
              <w:rPr>
                <w:sz w:val="22"/>
                <w:szCs w:val="22"/>
              </w:rPr>
              <w:t>MTX</w:t>
            </w:r>
            <w:r w:rsidRPr="008912CF">
              <w:rPr>
                <w:sz w:val="22"/>
                <w:szCs w:val="22"/>
                <w:vertAlign w:val="superscript"/>
              </w:rPr>
              <w:t>a</w:t>
            </w:r>
          </w:p>
          <w:p w14:paraId="2FF85F4E" w14:textId="77777777" w:rsidR="00E549E4" w:rsidRPr="008912CF" w:rsidRDefault="00615769" w:rsidP="00AB0B1F">
            <w:pPr>
              <w:keepNext/>
              <w:tabs>
                <w:tab w:val="left" w:pos="562"/>
              </w:tabs>
              <w:suppressAutoHyphens/>
              <w:jc w:val="center"/>
              <w:rPr>
                <w:sz w:val="22"/>
                <w:szCs w:val="22"/>
              </w:rPr>
            </w:pPr>
            <w:r w:rsidRPr="008912CF">
              <w:rPr>
                <w:sz w:val="22"/>
                <w:szCs w:val="22"/>
              </w:rPr>
              <w:t xml:space="preserve">N=37 </w:t>
            </w:r>
          </w:p>
        </w:tc>
        <w:tc>
          <w:tcPr>
            <w:tcW w:w="1898" w:type="pct"/>
            <w:tcBorders>
              <w:top w:val="single" w:sz="6" w:space="0" w:color="000000"/>
              <w:left w:val="single" w:sz="6" w:space="0" w:color="000000"/>
              <w:bottom w:val="outset" w:sz="6" w:space="0" w:color="auto"/>
              <w:right w:val="single" w:sz="6" w:space="0" w:color="000000"/>
            </w:tcBorders>
            <w:vAlign w:val="center"/>
          </w:tcPr>
          <w:p w14:paraId="666D0C0D" w14:textId="77777777" w:rsidR="00E549E4" w:rsidRPr="008912CF" w:rsidRDefault="00615769" w:rsidP="00AB0B1F">
            <w:pPr>
              <w:keepNext/>
              <w:tabs>
                <w:tab w:val="left" w:pos="562"/>
              </w:tabs>
              <w:suppressAutoHyphens/>
              <w:jc w:val="center"/>
              <w:rPr>
                <w:sz w:val="22"/>
                <w:szCs w:val="22"/>
              </w:rPr>
            </w:pPr>
            <w:r w:rsidRPr="008912CF">
              <w:rPr>
                <w:sz w:val="22"/>
                <w:szCs w:val="22"/>
              </w:rPr>
              <w:t>Humira 0,8 mg/kg em semanas alternadas</w:t>
            </w:r>
          </w:p>
          <w:p w14:paraId="00742AF7" w14:textId="77777777" w:rsidR="00E549E4" w:rsidRPr="008912CF" w:rsidRDefault="00615769" w:rsidP="00AB0B1F">
            <w:pPr>
              <w:keepNext/>
              <w:tabs>
                <w:tab w:val="left" w:pos="562"/>
              </w:tabs>
              <w:suppressAutoHyphens/>
              <w:jc w:val="center"/>
              <w:rPr>
                <w:sz w:val="22"/>
                <w:szCs w:val="22"/>
              </w:rPr>
            </w:pPr>
            <w:r w:rsidRPr="008912CF">
              <w:rPr>
                <w:sz w:val="22"/>
                <w:szCs w:val="22"/>
              </w:rPr>
              <w:t xml:space="preserve">N=38 </w:t>
            </w:r>
          </w:p>
        </w:tc>
      </w:tr>
      <w:tr w:rsidR="00A7162A" w14:paraId="5DAC9CE1" w14:textId="77777777" w:rsidTr="00AB0B1F">
        <w:trPr>
          <w:jc w:val="center"/>
        </w:trPr>
        <w:tc>
          <w:tcPr>
            <w:tcW w:w="0" w:type="auto"/>
            <w:tcBorders>
              <w:top w:val="single" w:sz="6" w:space="0" w:color="000000"/>
              <w:left w:val="single" w:sz="6" w:space="0" w:color="000000"/>
              <w:bottom w:val="outset" w:sz="6" w:space="0" w:color="auto"/>
              <w:right w:val="outset" w:sz="6" w:space="0" w:color="auto"/>
            </w:tcBorders>
            <w:vAlign w:val="center"/>
          </w:tcPr>
          <w:p w14:paraId="4F37F270" w14:textId="77777777" w:rsidR="00E549E4" w:rsidRPr="008912CF" w:rsidRDefault="00615769" w:rsidP="00AB0B1F">
            <w:pPr>
              <w:keepNext/>
              <w:tabs>
                <w:tab w:val="left" w:pos="562"/>
              </w:tabs>
              <w:suppressAutoHyphens/>
              <w:rPr>
                <w:sz w:val="22"/>
                <w:szCs w:val="22"/>
              </w:rPr>
            </w:pPr>
            <w:r w:rsidRPr="008912CF">
              <w:rPr>
                <w:sz w:val="22"/>
                <w:szCs w:val="22"/>
              </w:rPr>
              <w:t> </w:t>
            </w:r>
            <w:r w:rsidRPr="008912CF">
              <w:rPr>
                <w:sz w:val="22"/>
                <w:szCs w:val="22"/>
              </w:rPr>
              <w:t>PASI 75</w:t>
            </w:r>
            <w:r w:rsidRPr="008912CF">
              <w:rPr>
                <w:sz w:val="22"/>
                <w:szCs w:val="22"/>
                <w:vertAlign w:val="superscript"/>
              </w:rPr>
              <w:t>b</w:t>
            </w:r>
          </w:p>
        </w:tc>
        <w:tc>
          <w:tcPr>
            <w:tcW w:w="0" w:type="auto"/>
            <w:tcBorders>
              <w:top w:val="single" w:sz="6" w:space="0" w:color="000000"/>
              <w:left w:val="single" w:sz="6" w:space="0" w:color="000000"/>
              <w:bottom w:val="outset" w:sz="6" w:space="0" w:color="auto"/>
              <w:right w:val="outset" w:sz="6" w:space="0" w:color="auto"/>
            </w:tcBorders>
            <w:vAlign w:val="center"/>
          </w:tcPr>
          <w:p w14:paraId="305C9866" w14:textId="77777777" w:rsidR="00E549E4" w:rsidRPr="008912CF" w:rsidRDefault="00615769" w:rsidP="00AB0B1F">
            <w:pPr>
              <w:keepNext/>
              <w:tabs>
                <w:tab w:val="left" w:pos="562"/>
              </w:tabs>
              <w:suppressAutoHyphens/>
              <w:jc w:val="center"/>
              <w:rPr>
                <w:sz w:val="22"/>
                <w:szCs w:val="22"/>
              </w:rPr>
            </w:pPr>
            <w:r w:rsidRPr="008912CF">
              <w:rPr>
                <w:sz w:val="22"/>
                <w:szCs w:val="22"/>
              </w:rPr>
              <w:t>12 (32,4</w:t>
            </w:r>
            <w:r>
              <w:rPr>
                <w:sz w:val="22"/>
                <w:szCs w:val="22"/>
              </w:rPr>
              <w:t>%</w:t>
            </w:r>
            <w:r w:rsidRPr="008912CF">
              <w:rPr>
                <w:sz w:val="22"/>
                <w:szCs w:val="22"/>
              </w:rPr>
              <w:t>)</w:t>
            </w:r>
          </w:p>
        </w:tc>
        <w:tc>
          <w:tcPr>
            <w:tcW w:w="1898" w:type="pct"/>
            <w:tcBorders>
              <w:top w:val="single" w:sz="6" w:space="0" w:color="000000"/>
              <w:left w:val="single" w:sz="6" w:space="0" w:color="000000"/>
              <w:bottom w:val="outset" w:sz="6" w:space="0" w:color="auto"/>
              <w:right w:val="single" w:sz="6" w:space="0" w:color="000000"/>
            </w:tcBorders>
            <w:vAlign w:val="center"/>
          </w:tcPr>
          <w:p w14:paraId="6B4F563F" w14:textId="77777777" w:rsidR="00E549E4" w:rsidRPr="008912CF" w:rsidRDefault="00615769" w:rsidP="00AB0B1F">
            <w:pPr>
              <w:keepNext/>
              <w:tabs>
                <w:tab w:val="left" w:pos="562"/>
              </w:tabs>
              <w:suppressAutoHyphens/>
              <w:jc w:val="center"/>
              <w:rPr>
                <w:sz w:val="22"/>
                <w:szCs w:val="22"/>
              </w:rPr>
            </w:pPr>
            <w:r w:rsidRPr="008912CF">
              <w:rPr>
                <w:sz w:val="22"/>
                <w:szCs w:val="22"/>
              </w:rPr>
              <w:t>22 (57,9</w:t>
            </w:r>
            <w:r>
              <w:rPr>
                <w:sz w:val="22"/>
                <w:szCs w:val="22"/>
              </w:rPr>
              <w:t>%</w:t>
            </w:r>
            <w:r w:rsidRPr="008912CF">
              <w:rPr>
                <w:sz w:val="22"/>
                <w:szCs w:val="22"/>
              </w:rPr>
              <w:t>)</w:t>
            </w:r>
          </w:p>
        </w:tc>
      </w:tr>
      <w:tr w:rsidR="00A7162A" w14:paraId="607512CF" w14:textId="77777777" w:rsidTr="00AB0B1F">
        <w:trPr>
          <w:jc w:val="center"/>
        </w:trPr>
        <w:tc>
          <w:tcPr>
            <w:tcW w:w="0" w:type="auto"/>
            <w:tcBorders>
              <w:top w:val="single" w:sz="6" w:space="0" w:color="000000"/>
              <w:left w:val="single" w:sz="6" w:space="0" w:color="000000"/>
              <w:bottom w:val="single" w:sz="6" w:space="0" w:color="000000"/>
              <w:right w:val="outset" w:sz="6" w:space="0" w:color="auto"/>
            </w:tcBorders>
            <w:vAlign w:val="center"/>
          </w:tcPr>
          <w:p w14:paraId="420B5674" w14:textId="77777777" w:rsidR="00E549E4" w:rsidRPr="008912CF" w:rsidRDefault="00615769" w:rsidP="00AB0B1F">
            <w:pPr>
              <w:keepNext/>
              <w:tabs>
                <w:tab w:val="left" w:pos="562"/>
              </w:tabs>
              <w:suppressAutoHyphens/>
              <w:rPr>
                <w:sz w:val="22"/>
                <w:szCs w:val="22"/>
              </w:rPr>
            </w:pPr>
            <w:r w:rsidRPr="008912CF">
              <w:rPr>
                <w:sz w:val="22"/>
                <w:szCs w:val="22"/>
              </w:rPr>
              <w:t> </w:t>
            </w:r>
            <w:r w:rsidRPr="008912CF">
              <w:rPr>
                <w:sz w:val="22"/>
                <w:szCs w:val="22"/>
              </w:rPr>
              <w:t>PGA: Limp</w:t>
            </w:r>
            <w:r>
              <w:rPr>
                <w:sz w:val="22"/>
                <w:szCs w:val="22"/>
              </w:rPr>
              <w:t>a</w:t>
            </w:r>
            <w:r w:rsidRPr="008912CF">
              <w:rPr>
                <w:sz w:val="22"/>
                <w:szCs w:val="22"/>
              </w:rPr>
              <w:t>/</w:t>
            </w:r>
            <w:r>
              <w:rPr>
                <w:sz w:val="22"/>
                <w:szCs w:val="22"/>
              </w:rPr>
              <w:t>quase limpa</w:t>
            </w:r>
            <w:r w:rsidRPr="008912CF">
              <w:rPr>
                <w:sz w:val="22"/>
                <w:szCs w:val="22"/>
                <w:vertAlign w:val="superscript"/>
              </w:rPr>
              <w:t>c</w:t>
            </w:r>
          </w:p>
        </w:tc>
        <w:tc>
          <w:tcPr>
            <w:tcW w:w="0" w:type="auto"/>
            <w:tcBorders>
              <w:top w:val="single" w:sz="6" w:space="0" w:color="000000"/>
              <w:left w:val="single" w:sz="6" w:space="0" w:color="000000"/>
              <w:bottom w:val="single" w:sz="6" w:space="0" w:color="000000"/>
              <w:right w:val="outset" w:sz="6" w:space="0" w:color="auto"/>
            </w:tcBorders>
            <w:vAlign w:val="center"/>
          </w:tcPr>
          <w:p w14:paraId="48007D80" w14:textId="77777777" w:rsidR="00E549E4" w:rsidRPr="008912CF" w:rsidRDefault="00615769" w:rsidP="00AB0B1F">
            <w:pPr>
              <w:keepNext/>
              <w:tabs>
                <w:tab w:val="left" w:pos="562"/>
              </w:tabs>
              <w:suppressAutoHyphens/>
              <w:jc w:val="center"/>
              <w:rPr>
                <w:sz w:val="22"/>
                <w:szCs w:val="22"/>
              </w:rPr>
            </w:pPr>
            <w:r w:rsidRPr="008912CF">
              <w:rPr>
                <w:sz w:val="22"/>
                <w:szCs w:val="22"/>
              </w:rPr>
              <w:t>15 (40,5</w:t>
            </w:r>
            <w:r>
              <w:rPr>
                <w:sz w:val="22"/>
                <w:szCs w:val="22"/>
              </w:rPr>
              <w:t>%</w:t>
            </w:r>
            <w:r w:rsidRPr="008912CF">
              <w:rPr>
                <w:sz w:val="22"/>
                <w:szCs w:val="22"/>
              </w:rPr>
              <w:t>)</w:t>
            </w:r>
          </w:p>
        </w:tc>
        <w:tc>
          <w:tcPr>
            <w:tcW w:w="1898" w:type="pct"/>
            <w:tcBorders>
              <w:top w:val="single" w:sz="6" w:space="0" w:color="000000"/>
              <w:left w:val="single" w:sz="6" w:space="0" w:color="000000"/>
              <w:bottom w:val="single" w:sz="6" w:space="0" w:color="000000"/>
              <w:right w:val="single" w:sz="6" w:space="0" w:color="000000"/>
            </w:tcBorders>
            <w:vAlign w:val="center"/>
          </w:tcPr>
          <w:p w14:paraId="55DB7DC7" w14:textId="77777777" w:rsidR="00E549E4" w:rsidRPr="008912CF" w:rsidRDefault="00615769" w:rsidP="00AB0B1F">
            <w:pPr>
              <w:keepNext/>
              <w:tabs>
                <w:tab w:val="left" w:pos="562"/>
              </w:tabs>
              <w:suppressAutoHyphens/>
              <w:jc w:val="center"/>
              <w:rPr>
                <w:sz w:val="22"/>
                <w:szCs w:val="22"/>
              </w:rPr>
            </w:pPr>
            <w:r w:rsidRPr="008912CF">
              <w:rPr>
                <w:sz w:val="22"/>
                <w:szCs w:val="22"/>
              </w:rPr>
              <w:t>23 (60,5</w:t>
            </w:r>
            <w:r>
              <w:rPr>
                <w:sz w:val="22"/>
                <w:szCs w:val="22"/>
              </w:rPr>
              <w:t>%</w:t>
            </w:r>
            <w:r w:rsidRPr="008912CF">
              <w:rPr>
                <w:sz w:val="22"/>
                <w:szCs w:val="22"/>
              </w:rPr>
              <w:t>)</w:t>
            </w:r>
          </w:p>
        </w:tc>
      </w:tr>
      <w:tr w:rsidR="00A7162A" w14:paraId="13312905" w14:textId="77777777" w:rsidTr="00AB0B1F">
        <w:trPr>
          <w:jc w:val="center"/>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065F6F09" w14:textId="77777777" w:rsidR="00E549E4" w:rsidRPr="008912CF" w:rsidRDefault="00615769" w:rsidP="00AB0B1F">
            <w:pPr>
              <w:keepNext/>
              <w:tabs>
                <w:tab w:val="left" w:pos="562"/>
              </w:tabs>
              <w:suppressAutoHyphens/>
              <w:rPr>
                <w:sz w:val="22"/>
                <w:szCs w:val="22"/>
              </w:rPr>
            </w:pPr>
            <w:r w:rsidRPr="008912CF">
              <w:rPr>
                <w:sz w:val="22"/>
                <w:szCs w:val="22"/>
                <w:vertAlign w:val="superscript"/>
              </w:rPr>
              <w:t xml:space="preserve">a </w:t>
            </w:r>
            <w:r w:rsidRPr="008912CF">
              <w:rPr>
                <w:sz w:val="22"/>
                <w:szCs w:val="22"/>
              </w:rPr>
              <w:t>MTX = metotrexato</w:t>
            </w:r>
          </w:p>
          <w:p w14:paraId="16336BF6" w14:textId="77777777" w:rsidR="00E549E4" w:rsidRPr="008912CF" w:rsidRDefault="00615769" w:rsidP="00AB0B1F">
            <w:pPr>
              <w:keepNext/>
              <w:tabs>
                <w:tab w:val="left" w:pos="562"/>
              </w:tabs>
              <w:suppressAutoHyphens/>
              <w:rPr>
                <w:sz w:val="22"/>
                <w:szCs w:val="22"/>
              </w:rPr>
            </w:pPr>
            <w:r w:rsidRPr="008912CF">
              <w:rPr>
                <w:sz w:val="22"/>
                <w:szCs w:val="22"/>
                <w:vertAlign w:val="superscript"/>
              </w:rPr>
              <w:t>b</w:t>
            </w:r>
            <w:r w:rsidRPr="008912CF">
              <w:rPr>
                <w:sz w:val="22"/>
                <w:szCs w:val="22"/>
              </w:rPr>
              <w:t xml:space="preserve"> </w:t>
            </w:r>
            <w:r>
              <w:rPr>
                <w:sz w:val="22"/>
                <w:szCs w:val="22"/>
              </w:rPr>
              <w:t>p</w:t>
            </w:r>
            <w:r w:rsidRPr="008912CF">
              <w:rPr>
                <w:sz w:val="22"/>
                <w:szCs w:val="22"/>
              </w:rPr>
              <w:t>=0,027, Humira 0,8 mg/kg versus MTX</w:t>
            </w:r>
          </w:p>
          <w:p w14:paraId="4DC17EFA" w14:textId="77777777" w:rsidR="00E549E4" w:rsidRPr="008912CF" w:rsidRDefault="00615769" w:rsidP="00AB0B1F">
            <w:pPr>
              <w:keepNext/>
              <w:tabs>
                <w:tab w:val="left" w:pos="562"/>
              </w:tabs>
              <w:suppressAutoHyphens/>
              <w:rPr>
                <w:sz w:val="22"/>
                <w:szCs w:val="22"/>
              </w:rPr>
            </w:pPr>
            <w:r w:rsidRPr="008912CF">
              <w:rPr>
                <w:sz w:val="22"/>
                <w:szCs w:val="22"/>
                <w:vertAlign w:val="superscript"/>
              </w:rPr>
              <w:t>c</w:t>
            </w:r>
            <w:r w:rsidRPr="008912CF">
              <w:rPr>
                <w:sz w:val="22"/>
                <w:szCs w:val="22"/>
              </w:rPr>
              <w:t xml:space="preserve"> </w:t>
            </w:r>
            <w:r>
              <w:rPr>
                <w:sz w:val="22"/>
                <w:szCs w:val="22"/>
              </w:rPr>
              <w:t>p</w:t>
            </w:r>
            <w:r w:rsidRPr="008912CF">
              <w:rPr>
                <w:sz w:val="22"/>
                <w:szCs w:val="22"/>
              </w:rPr>
              <w:t>=0,083, Humira 0,8 mg/kg versus MTX</w:t>
            </w:r>
          </w:p>
        </w:tc>
      </w:tr>
    </w:tbl>
    <w:p w14:paraId="5FFF6361" w14:textId="77777777" w:rsidR="00E549E4" w:rsidRPr="008912CF" w:rsidRDefault="00615769" w:rsidP="00E549E4">
      <w:pPr>
        <w:rPr>
          <w:rFonts w:ascii="TimesNewRoman" w:hAnsi="TimesNewRoman" w:cs="TimesNewRoman"/>
          <w:sz w:val="22"/>
          <w:szCs w:val="22"/>
          <w:lang w:eastAsia="pt-PT"/>
        </w:rPr>
      </w:pPr>
      <w:r w:rsidRPr="008912CF">
        <w:rPr>
          <w:rFonts w:ascii="TimesNewRoman" w:hAnsi="TimesNewRoman" w:cs="TimesNewRoman"/>
          <w:sz w:val="22"/>
          <w:szCs w:val="22"/>
          <w:lang w:eastAsia="pt-PT"/>
        </w:rPr>
        <w:t xml:space="preserve"> </w:t>
      </w:r>
    </w:p>
    <w:p w14:paraId="639473C7" w14:textId="77777777" w:rsidR="00E549E4" w:rsidRPr="008912CF" w:rsidRDefault="00615769" w:rsidP="00E549E4">
      <w:pPr>
        <w:autoSpaceDE w:val="0"/>
        <w:autoSpaceDN w:val="0"/>
        <w:adjustRightInd w:val="0"/>
        <w:rPr>
          <w:sz w:val="22"/>
          <w:szCs w:val="22"/>
        </w:rPr>
      </w:pPr>
      <w:r w:rsidRPr="008912CF">
        <w:rPr>
          <w:sz w:val="22"/>
          <w:szCs w:val="22"/>
        </w:rPr>
        <w:t xml:space="preserve">Os doentes que obtiveram PASI 75 e PGA </w:t>
      </w:r>
      <w:r>
        <w:rPr>
          <w:sz w:val="22"/>
          <w:szCs w:val="22"/>
        </w:rPr>
        <w:t>“</w:t>
      </w:r>
      <w:r w:rsidRPr="008912CF">
        <w:rPr>
          <w:sz w:val="22"/>
          <w:szCs w:val="22"/>
        </w:rPr>
        <w:t>limp</w:t>
      </w:r>
      <w:r>
        <w:rPr>
          <w:sz w:val="22"/>
          <w:szCs w:val="22"/>
        </w:rPr>
        <w:t>a”</w:t>
      </w:r>
      <w:r w:rsidRPr="008912CF">
        <w:rPr>
          <w:sz w:val="22"/>
          <w:szCs w:val="22"/>
        </w:rPr>
        <w:t xml:space="preserve"> ou </w:t>
      </w:r>
      <w:r>
        <w:rPr>
          <w:sz w:val="22"/>
          <w:szCs w:val="22"/>
        </w:rPr>
        <w:t>“quase limpa”</w:t>
      </w:r>
      <w:r w:rsidRPr="008912CF">
        <w:rPr>
          <w:sz w:val="22"/>
          <w:szCs w:val="22"/>
        </w:rPr>
        <w:t xml:space="preserve"> </w:t>
      </w:r>
      <w:r>
        <w:rPr>
          <w:sz w:val="22"/>
          <w:szCs w:val="22"/>
        </w:rPr>
        <w:t>suspenderam o tratamento</w:t>
      </w:r>
      <w:r w:rsidRPr="008912CF">
        <w:rPr>
          <w:sz w:val="22"/>
          <w:szCs w:val="22"/>
        </w:rPr>
        <w:t xml:space="preserve"> até um período máximo de 36 semanas e </w:t>
      </w:r>
      <w:r>
        <w:rPr>
          <w:sz w:val="22"/>
          <w:szCs w:val="22"/>
        </w:rPr>
        <w:t xml:space="preserve">foram </w:t>
      </w:r>
      <w:r w:rsidRPr="008912CF">
        <w:rPr>
          <w:sz w:val="22"/>
          <w:szCs w:val="22"/>
        </w:rPr>
        <w:t>monitorizados relativamente à perda de controlo da doença (i.e. agravamento de PGA em pelo menos 2 graus). Os doentes reiniciaram o tratamento com adalimumab 0,8 mg/kg em semanas alternadas, durante um período adicional de 16 semanas e as respostas observadas durante o novo tratamento foram semelhantes às observadas no período de dupla ocultação: resposta PASI 75 de 78,9</w:t>
      </w:r>
      <w:r>
        <w:rPr>
          <w:sz w:val="22"/>
          <w:szCs w:val="22"/>
        </w:rPr>
        <w:t>%</w:t>
      </w:r>
      <w:r w:rsidRPr="008912CF">
        <w:rPr>
          <w:sz w:val="22"/>
          <w:szCs w:val="22"/>
        </w:rPr>
        <w:t xml:space="preserve"> (15 de 19 indivíduos) e PGA </w:t>
      </w:r>
      <w:r>
        <w:rPr>
          <w:sz w:val="22"/>
          <w:szCs w:val="22"/>
        </w:rPr>
        <w:t>“</w:t>
      </w:r>
      <w:r w:rsidRPr="008912CF">
        <w:rPr>
          <w:sz w:val="22"/>
          <w:szCs w:val="22"/>
        </w:rPr>
        <w:t>limp</w:t>
      </w:r>
      <w:r>
        <w:rPr>
          <w:sz w:val="22"/>
          <w:szCs w:val="22"/>
        </w:rPr>
        <w:t>a”</w:t>
      </w:r>
      <w:r w:rsidRPr="008912CF">
        <w:rPr>
          <w:sz w:val="22"/>
          <w:szCs w:val="22"/>
        </w:rPr>
        <w:t xml:space="preserve"> ou </w:t>
      </w:r>
      <w:r>
        <w:rPr>
          <w:sz w:val="22"/>
          <w:szCs w:val="22"/>
        </w:rPr>
        <w:t>“quase limpa”</w:t>
      </w:r>
      <w:r w:rsidRPr="008912CF">
        <w:rPr>
          <w:sz w:val="22"/>
          <w:szCs w:val="22"/>
        </w:rPr>
        <w:t xml:space="preserve"> de 52,6</w:t>
      </w:r>
      <w:r>
        <w:rPr>
          <w:sz w:val="22"/>
          <w:szCs w:val="22"/>
        </w:rPr>
        <w:t>%</w:t>
      </w:r>
      <w:r w:rsidRPr="008912CF">
        <w:rPr>
          <w:sz w:val="22"/>
          <w:szCs w:val="22"/>
        </w:rPr>
        <w:t xml:space="preserve"> (10 de 19 indivíduos).</w:t>
      </w:r>
    </w:p>
    <w:p w14:paraId="512A7694" w14:textId="77777777" w:rsidR="00E549E4" w:rsidRPr="008912CF" w:rsidRDefault="00E549E4" w:rsidP="00E549E4">
      <w:pPr>
        <w:autoSpaceDE w:val="0"/>
        <w:autoSpaceDN w:val="0"/>
        <w:adjustRightInd w:val="0"/>
        <w:rPr>
          <w:sz w:val="22"/>
          <w:szCs w:val="22"/>
        </w:rPr>
      </w:pPr>
    </w:p>
    <w:p w14:paraId="6513EB13" w14:textId="77777777" w:rsidR="00E549E4" w:rsidRPr="008912CF" w:rsidRDefault="00615769" w:rsidP="00E549E4">
      <w:pPr>
        <w:rPr>
          <w:sz w:val="22"/>
          <w:szCs w:val="22"/>
        </w:rPr>
      </w:pPr>
      <w:r w:rsidRPr="008912CF">
        <w:rPr>
          <w:sz w:val="22"/>
          <w:szCs w:val="22"/>
        </w:rPr>
        <w:t xml:space="preserve">No período do estudo em fase aberta, as respostas PASI 75 e PGA </w:t>
      </w:r>
      <w:r>
        <w:rPr>
          <w:sz w:val="22"/>
          <w:szCs w:val="22"/>
        </w:rPr>
        <w:t>“</w:t>
      </w:r>
      <w:r w:rsidRPr="008912CF">
        <w:rPr>
          <w:sz w:val="22"/>
          <w:szCs w:val="22"/>
        </w:rPr>
        <w:t>limp</w:t>
      </w:r>
      <w:r>
        <w:rPr>
          <w:sz w:val="22"/>
          <w:szCs w:val="22"/>
        </w:rPr>
        <w:t>a”</w:t>
      </w:r>
      <w:r w:rsidRPr="008912CF">
        <w:rPr>
          <w:sz w:val="22"/>
          <w:szCs w:val="22"/>
        </w:rPr>
        <w:t xml:space="preserve"> ou </w:t>
      </w:r>
      <w:r>
        <w:rPr>
          <w:sz w:val="22"/>
          <w:szCs w:val="22"/>
        </w:rPr>
        <w:t>“quase limpa”</w:t>
      </w:r>
      <w:r w:rsidRPr="008912CF">
        <w:rPr>
          <w:sz w:val="22"/>
          <w:szCs w:val="22"/>
        </w:rPr>
        <w:t xml:space="preserve"> foram mantidas durante um período adicional de 52 semanas e não revelaram quaisquer novas informações de segurança.</w:t>
      </w:r>
    </w:p>
    <w:p w14:paraId="482E138A" w14:textId="77777777" w:rsidR="00E549E4" w:rsidRDefault="00E549E4" w:rsidP="00E549E4">
      <w:pPr>
        <w:rPr>
          <w:sz w:val="22"/>
          <w:szCs w:val="22"/>
          <w:u w:val="single"/>
        </w:rPr>
      </w:pPr>
    </w:p>
    <w:p w14:paraId="2AB07498" w14:textId="77777777" w:rsidR="00E549E4" w:rsidRPr="00005E0C" w:rsidRDefault="00615769" w:rsidP="00B538F3">
      <w:pPr>
        <w:keepNext/>
        <w:rPr>
          <w:i/>
          <w:sz w:val="22"/>
          <w:szCs w:val="22"/>
        </w:rPr>
      </w:pPr>
      <w:r w:rsidRPr="00005E0C">
        <w:rPr>
          <w:i/>
          <w:sz w:val="22"/>
          <w:szCs w:val="22"/>
        </w:rPr>
        <w:t>Hidradenite supurativa no adolescente</w:t>
      </w:r>
    </w:p>
    <w:p w14:paraId="4E75AE6E" w14:textId="77777777" w:rsidR="00E549E4" w:rsidRDefault="00E549E4" w:rsidP="00B538F3">
      <w:pPr>
        <w:keepNext/>
        <w:rPr>
          <w:sz w:val="22"/>
          <w:szCs w:val="22"/>
          <w:u w:val="single"/>
        </w:rPr>
      </w:pPr>
    </w:p>
    <w:p w14:paraId="13B1892E" w14:textId="77777777" w:rsidR="00E549E4" w:rsidRPr="00F1550B" w:rsidRDefault="00615769" w:rsidP="00E549E4">
      <w:pPr>
        <w:rPr>
          <w:sz w:val="22"/>
          <w:szCs w:val="22"/>
        </w:rPr>
      </w:pPr>
      <w:r w:rsidRPr="00F1550B">
        <w:rPr>
          <w:sz w:val="22"/>
          <w:szCs w:val="22"/>
        </w:rPr>
        <w:t xml:space="preserve">Não existem estudos clínicos com Humira em doentes adolescentes com hidradenite supurativa. A eficácia de adalimumab no tratamento de doentes adolescentes com HS é avaliada com base na eficácia e </w:t>
      </w:r>
      <w:r>
        <w:rPr>
          <w:sz w:val="22"/>
          <w:szCs w:val="22"/>
        </w:rPr>
        <w:t xml:space="preserve">na </w:t>
      </w:r>
      <w:r w:rsidRPr="00F1550B">
        <w:rPr>
          <w:sz w:val="22"/>
          <w:szCs w:val="22"/>
        </w:rPr>
        <w:t>relação de exposição-resposta demonstrada</w:t>
      </w:r>
      <w:r>
        <w:rPr>
          <w:sz w:val="22"/>
          <w:szCs w:val="22"/>
        </w:rPr>
        <w:t>s</w:t>
      </w:r>
      <w:r w:rsidRPr="00F1550B">
        <w:rPr>
          <w:sz w:val="22"/>
          <w:szCs w:val="22"/>
        </w:rPr>
        <w:t xml:space="preserve"> em doentes adultos com HS</w:t>
      </w:r>
      <w:r>
        <w:rPr>
          <w:sz w:val="22"/>
          <w:szCs w:val="22"/>
        </w:rPr>
        <w:t xml:space="preserve">, considerando </w:t>
      </w:r>
      <w:r w:rsidRPr="00F1550B">
        <w:rPr>
          <w:sz w:val="22"/>
          <w:szCs w:val="22"/>
        </w:rPr>
        <w:t>a probabilidade de que o curso da doença, fisiopatologia e efeitos de medicação sejam substancialmente semelhantes aos dos adultos, com os mesmos níveis de exposição. A segurança da dose recomendada de adalimumab nos adolescentes com HS é baseada no perfil de segurança de adalimumab nas várias indicações, em doentes adultos e pediátricos em doses semelhantes ou mais frequentes (ver secção 5.2).</w:t>
      </w:r>
    </w:p>
    <w:p w14:paraId="1CE86DAC" w14:textId="77777777" w:rsidR="00E549E4" w:rsidRPr="008912CF" w:rsidRDefault="00E549E4" w:rsidP="00E549E4">
      <w:pPr>
        <w:pStyle w:val="EMEAHeadingUnderline"/>
        <w:tabs>
          <w:tab w:val="clear" w:pos="562"/>
        </w:tabs>
        <w:suppressAutoHyphens w:val="0"/>
        <w:spacing w:before="0" w:after="0"/>
        <w:rPr>
          <w:szCs w:val="22"/>
          <w:lang w:val="pt-PT"/>
        </w:rPr>
      </w:pPr>
    </w:p>
    <w:p w14:paraId="1BC42FA9" w14:textId="77777777" w:rsidR="00E549E4" w:rsidRPr="008912CF" w:rsidRDefault="00615769" w:rsidP="00E549E4">
      <w:pPr>
        <w:rPr>
          <w:sz w:val="22"/>
          <w:szCs w:val="22"/>
        </w:rPr>
      </w:pPr>
      <w:r w:rsidRPr="008912CF">
        <w:rPr>
          <w:i/>
          <w:sz w:val="22"/>
          <w:szCs w:val="22"/>
        </w:rPr>
        <w:t>Doença de Crohn pediátrica</w:t>
      </w:r>
    </w:p>
    <w:p w14:paraId="50652782" w14:textId="77777777" w:rsidR="00E549E4" w:rsidRPr="008912CF" w:rsidRDefault="00E549E4" w:rsidP="00E549E4">
      <w:pPr>
        <w:rPr>
          <w:sz w:val="22"/>
          <w:szCs w:val="22"/>
          <w:u w:val="single"/>
        </w:rPr>
      </w:pPr>
    </w:p>
    <w:p w14:paraId="53A97A25" w14:textId="77777777" w:rsidR="00E549E4" w:rsidRPr="008912CF" w:rsidRDefault="00615769" w:rsidP="00E549E4">
      <w:pPr>
        <w:rPr>
          <w:sz w:val="22"/>
          <w:szCs w:val="22"/>
        </w:rPr>
      </w:pPr>
      <w:r w:rsidRPr="008912CF">
        <w:rPr>
          <w:sz w:val="22"/>
          <w:szCs w:val="22"/>
        </w:rPr>
        <w:t xml:space="preserve">Humira foi avaliado num estudo multicêntrico, </w:t>
      </w:r>
      <w:r>
        <w:rPr>
          <w:sz w:val="22"/>
          <w:szCs w:val="22"/>
        </w:rPr>
        <w:t>aleatorizado</w:t>
      </w:r>
      <w:r w:rsidRPr="008912CF">
        <w:rPr>
          <w:sz w:val="22"/>
          <w:szCs w:val="22"/>
        </w:rPr>
        <w:t>, em dupla ocultação, desenhado para avaliar a eficácia e segurança do tratamento inicial e de manutenção, com doses dependentes do peso corporal (&lt; 40</w:t>
      </w:r>
      <w:r>
        <w:rPr>
          <w:sz w:val="22"/>
          <w:szCs w:val="22"/>
        </w:rPr>
        <w:t> </w:t>
      </w:r>
      <w:r w:rsidRPr="008912CF">
        <w:rPr>
          <w:sz w:val="22"/>
          <w:szCs w:val="22"/>
        </w:rPr>
        <w:t>kg ou ≥ 40</w:t>
      </w:r>
      <w:r>
        <w:rPr>
          <w:sz w:val="22"/>
          <w:szCs w:val="22"/>
        </w:rPr>
        <w:t> </w:t>
      </w:r>
      <w:r w:rsidRPr="008912CF">
        <w:rPr>
          <w:sz w:val="22"/>
          <w:szCs w:val="22"/>
        </w:rPr>
        <w:t>kg), em 192 doentes pediátricos com idade</w:t>
      </w:r>
      <w:r>
        <w:rPr>
          <w:sz w:val="22"/>
          <w:szCs w:val="22"/>
        </w:rPr>
        <w:t>s</w:t>
      </w:r>
      <w:r w:rsidRPr="008912CF">
        <w:rPr>
          <w:sz w:val="22"/>
          <w:szCs w:val="22"/>
        </w:rPr>
        <w:t xml:space="preserve"> compreendida</w:t>
      </w:r>
      <w:r>
        <w:rPr>
          <w:sz w:val="22"/>
          <w:szCs w:val="22"/>
        </w:rPr>
        <w:t>s</w:t>
      </w:r>
      <w:r w:rsidRPr="008912CF">
        <w:rPr>
          <w:sz w:val="22"/>
          <w:szCs w:val="22"/>
        </w:rPr>
        <w:t xml:space="preserve"> entre os 6 e 17 anos (inclusive), com doença de Crohn (DC) moderada a grave definida </w:t>
      </w:r>
      <w:r>
        <w:rPr>
          <w:sz w:val="22"/>
          <w:szCs w:val="22"/>
        </w:rPr>
        <w:t>pelo</w:t>
      </w:r>
      <w:r w:rsidRPr="008912CF">
        <w:rPr>
          <w:sz w:val="22"/>
          <w:szCs w:val="22"/>
        </w:rPr>
        <w:t xml:space="preserve"> índice de Atividade de Doença Pediátrica de Crohn (</w:t>
      </w:r>
      <w:r w:rsidRPr="008912CF">
        <w:rPr>
          <w:i/>
          <w:sz w:val="22"/>
          <w:szCs w:val="22"/>
        </w:rPr>
        <w:t>Paediatric Crohn</w:t>
      </w:r>
      <w:r>
        <w:rPr>
          <w:i/>
          <w:sz w:val="22"/>
          <w:szCs w:val="22"/>
        </w:rPr>
        <w:t>’</w:t>
      </w:r>
      <w:r w:rsidRPr="008912CF">
        <w:rPr>
          <w:i/>
          <w:sz w:val="22"/>
          <w:szCs w:val="22"/>
        </w:rPr>
        <w:t>s Disease Activity Index</w:t>
      </w:r>
      <w:r w:rsidRPr="008912CF">
        <w:rPr>
          <w:sz w:val="22"/>
          <w:szCs w:val="22"/>
        </w:rPr>
        <w:t xml:space="preserve"> (PCDAI)) &gt; 30. </w:t>
      </w:r>
      <w:r>
        <w:rPr>
          <w:sz w:val="22"/>
          <w:szCs w:val="22"/>
        </w:rPr>
        <w:t>Os d</w:t>
      </w:r>
      <w:r w:rsidRPr="008912CF">
        <w:rPr>
          <w:sz w:val="22"/>
          <w:szCs w:val="22"/>
        </w:rPr>
        <w:t>oentes não</w:t>
      </w:r>
      <w:r>
        <w:rPr>
          <w:sz w:val="22"/>
          <w:szCs w:val="22"/>
        </w:rPr>
        <w:t xml:space="preserve"> tinham</w:t>
      </w:r>
      <w:r w:rsidRPr="008912CF">
        <w:rPr>
          <w:sz w:val="22"/>
          <w:szCs w:val="22"/>
        </w:rPr>
        <w:t xml:space="preserve"> respond</w:t>
      </w:r>
      <w:r>
        <w:rPr>
          <w:sz w:val="22"/>
          <w:szCs w:val="22"/>
        </w:rPr>
        <w:t>ido</w:t>
      </w:r>
      <w:r w:rsidRPr="008912CF">
        <w:rPr>
          <w:sz w:val="22"/>
          <w:szCs w:val="22"/>
        </w:rPr>
        <w:t xml:space="preserve"> a uma terapêutica convencional (incluindo um cort</w:t>
      </w:r>
      <w:r w:rsidRPr="008912CF">
        <w:rPr>
          <w:sz w:val="22"/>
          <w:szCs w:val="22"/>
        </w:rPr>
        <w:t>icosteroide e/ou um imunomodulador) na DC</w:t>
      </w:r>
      <w:r>
        <w:rPr>
          <w:sz w:val="22"/>
          <w:szCs w:val="22"/>
        </w:rPr>
        <w:t xml:space="preserve"> ou tinham</w:t>
      </w:r>
      <w:r w:rsidRPr="008912CF">
        <w:rPr>
          <w:sz w:val="22"/>
          <w:szCs w:val="22"/>
        </w:rPr>
        <w:t xml:space="preserve"> deixa</w:t>
      </w:r>
      <w:r>
        <w:rPr>
          <w:sz w:val="22"/>
          <w:szCs w:val="22"/>
        </w:rPr>
        <w:t>do</w:t>
      </w:r>
      <w:r w:rsidRPr="008912CF">
        <w:rPr>
          <w:sz w:val="22"/>
          <w:szCs w:val="22"/>
        </w:rPr>
        <w:t xml:space="preserve"> de responder ou tornaram-se intolerantes ao infliximab.</w:t>
      </w:r>
      <w:r w:rsidRPr="008912CF">
        <w:rPr>
          <w:szCs w:val="22"/>
        </w:rPr>
        <w:t xml:space="preserve"> </w:t>
      </w:r>
    </w:p>
    <w:p w14:paraId="27BFC811" w14:textId="77777777" w:rsidR="00E549E4" w:rsidRPr="008912CF" w:rsidRDefault="00E549E4" w:rsidP="00E549E4">
      <w:pPr>
        <w:rPr>
          <w:sz w:val="22"/>
          <w:szCs w:val="22"/>
        </w:rPr>
      </w:pPr>
    </w:p>
    <w:p w14:paraId="036AF9DD" w14:textId="77777777" w:rsidR="00E549E4" w:rsidRPr="008912CF" w:rsidRDefault="00615769" w:rsidP="00E549E4">
      <w:pPr>
        <w:rPr>
          <w:sz w:val="22"/>
          <w:szCs w:val="22"/>
        </w:rPr>
      </w:pPr>
      <w:r w:rsidRPr="008912CF">
        <w:rPr>
          <w:sz w:val="22"/>
          <w:szCs w:val="22"/>
        </w:rPr>
        <w:t>Todos os doentes receberam terapêutica de indução em fase aberta com uma dose baseada no peso corporal basal: 160</w:t>
      </w:r>
      <w:r>
        <w:rPr>
          <w:sz w:val="22"/>
          <w:szCs w:val="22"/>
        </w:rPr>
        <w:t> </w:t>
      </w:r>
      <w:r w:rsidRPr="008912CF">
        <w:rPr>
          <w:sz w:val="22"/>
          <w:szCs w:val="22"/>
        </w:rPr>
        <w:t>mg na Semana 0 e 80</w:t>
      </w:r>
      <w:r>
        <w:rPr>
          <w:sz w:val="22"/>
          <w:szCs w:val="22"/>
        </w:rPr>
        <w:t> </w:t>
      </w:r>
      <w:r w:rsidRPr="008912CF">
        <w:rPr>
          <w:sz w:val="22"/>
          <w:szCs w:val="22"/>
        </w:rPr>
        <w:t>mg na Semana 2 para doentes ≥ 40</w:t>
      </w:r>
      <w:r>
        <w:rPr>
          <w:sz w:val="22"/>
          <w:szCs w:val="22"/>
        </w:rPr>
        <w:t> </w:t>
      </w:r>
      <w:r w:rsidRPr="008912CF">
        <w:rPr>
          <w:sz w:val="22"/>
          <w:szCs w:val="22"/>
        </w:rPr>
        <w:t>kg e 80</w:t>
      </w:r>
      <w:r>
        <w:rPr>
          <w:sz w:val="22"/>
          <w:szCs w:val="22"/>
        </w:rPr>
        <w:t> </w:t>
      </w:r>
      <w:r w:rsidRPr="008912CF">
        <w:rPr>
          <w:sz w:val="22"/>
          <w:szCs w:val="22"/>
        </w:rPr>
        <w:t>mg e 40</w:t>
      </w:r>
      <w:r>
        <w:rPr>
          <w:sz w:val="22"/>
          <w:szCs w:val="22"/>
        </w:rPr>
        <w:t> </w:t>
      </w:r>
      <w:r w:rsidRPr="008912CF">
        <w:rPr>
          <w:sz w:val="22"/>
          <w:szCs w:val="22"/>
        </w:rPr>
        <w:t>mg, respetivamente, para doentes &lt; 40 kg.</w:t>
      </w:r>
    </w:p>
    <w:p w14:paraId="3A0043EA" w14:textId="77777777" w:rsidR="00E549E4" w:rsidRPr="008912CF" w:rsidRDefault="00E549E4" w:rsidP="00E549E4">
      <w:pPr>
        <w:rPr>
          <w:sz w:val="22"/>
          <w:szCs w:val="22"/>
        </w:rPr>
      </w:pPr>
    </w:p>
    <w:p w14:paraId="373A3D6D" w14:textId="77777777" w:rsidR="00E549E4" w:rsidRPr="008912CF" w:rsidRDefault="00615769" w:rsidP="00E549E4">
      <w:pPr>
        <w:rPr>
          <w:b/>
          <w:bCs/>
          <w:sz w:val="22"/>
          <w:szCs w:val="22"/>
        </w:rPr>
      </w:pPr>
      <w:r w:rsidRPr="008912CF">
        <w:rPr>
          <w:sz w:val="22"/>
          <w:szCs w:val="22"/>
        </w:rPr>
        <w:t xml:space="preserve">Na Semana 4, os doentes foram </w:t>
      </w:r>
      <w:r>
        <w:rPr>
          <w:sz w:val="22"/>
          <w:szCs w:val="22"/>
        </w:rPr>
        <w:t>aleatorizado</w:t>
      </w:r>
      <w:r w:rsidRPr="008912CF">
        <w:rPr>
          <w:sz w:val="22"/>
          <w:szCs w:val="22"/>
        </w:rPr>
        <w:t xml:space="preserve">s 1:1 com base no seu peso corporal aquando da definição do regime de manutenção da Baixa Dose ou da Dose Padrão, conforme Tabela </w:t>
      </w:r>
      <w:r>
        <w:rPr>
          <w:sz w:val="22"/>
          <w:szCs w:val="22"/>
        </w:rPr>
        <w:t>2</w:t>
      </w:r>
      <w:r w:rsidR="00120C36">
        <w:rPr>
          <w:sz w:val="22"/>
          <w:szCs w:val="22"/>
        </w:rPr>
        <w:t>8</w:t>
      </w:r>
      <w:r w:rsidRPr="008912CF">
        <w:rPr>
          <w:sz w:val="22"/>
          <w:szCs w:val="22"/>
        </w:rPr>
        <w:t>.</w:t>
      </w:r>
    </w:p>
    <w:p w14:paraId="50535B22" w14:textId="77777777" w:rsidR="00E549E4" w:rsidRPr="008912CF" w:rsidRDefault="00E549E4" w:rsidP="00E549E4">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
        <w:gridCol w:w="2843"/>
        <w:gridCol w:w="2843"/>
      </w:tblGrid>
      <w:tr w:rsidR="00A7162A" w14:paraId="1FF0BD17" w14:textId="77777777" w:rsidTr="00B538F3">
        <w:trPr>
          <w:trHeight w:val="263"/>
          <w:jc w:val="center"/>
        </w:trPr>
        <w:tc>
          <w:tcPr>
            <w:tcW w:w="0" w:type="auto"/>
            <w:gridSpan w:val="3"/>
            <w:vAlign w:val="center"/>
          </w:tcPr>
          <w:p w14:paraId="28DC0DB5" w14:textId="77777777" w:rsidR="00E549E4" w:rsidRPr="008912CF" w:rsidRDefault="00615769" w:rsidP="00B538F3">
            <w:pPr>
              <w:pStyle w:val="EMEANormal"/>
              <w:keepNext/>
              <w:jc w:val="center"/>
              <w:rPr>
                <w:b/>
                <w:szCs w:val="24"/>
                <w:lang w:val="pt-PT"/>
              </w:rPr>
            </w:pPr>
            <w:r w:rsidRPr="008912CF">
              <w:rPr>
                <w:b/>
                <w:szCs w:val="24"/>
                <w:lang w:val="pt-PT"/>
              </w:rPr>
              <w:t xml:space="preserve">Tabela </w:t>
            </w:r>
            <w:r>
              <w:rPr>
                <w:b/>
                <w:szCs w:val="24"/>
                <w:lang w:val="pt-PT"/>
              </w:rPr>
              <w:t>2</w:t>
            </w:r>
            <w:r w:rsidR="00120C36">
              <w:rPr>
                <w:b/>
                <w:szCs w:val="24"/>
                <w:lang w:val="pt-PT"/>
              </w:rPr>
              <w:t>8</w:t>
            </w:r>
          </w:p>
          <w:p w14:paraId="1D0690E1" w14:textId="77777777" w:rsidR="00E549E4" w:rsidRPr="008912CF" w:rsidRDefault="00615769" w:rsidP="00B538F3">
            <w:pPr>
              <w:pStyle w:val="EMEANormal"/>
              <w:keepNext/>
              <w:jc w:val="center"/>
              <w:rPr>
                <w:szCs w:val="24"/>
                <w:lang w:val="pt-PT"/>
              </w:rPr>
            </w:pPr>
            <w:r w:rsidRPr="008912CF">
              <w:rPr>
                <w:b/>
                <w:szCs w:val="24"/>
                <w:lang w:val="pt-PT"/>
              </w:rPr>
              <w:t>Regime de manutenção</w:t>
            </w:r>
          </w:p>
        </w:tc>
      </w:tr>
      <w:tr w:rsidR="00A7162A" w14:paraId="05A464E3" w14:textId="77777777" w:rsidTr="00B538F3">
        <w:trPr>
          <w:jc w:val="center"/>
        </w:trPr>
        <w:tc>
          <w:tcPr>
            <w:tcW w:w="0" w:type="auto"/>
            <w:vAlign w:val="center"/>
          </w:tcPr>
          <w:p w14:paraId="7192DB6B" w14:textId="77777777" w:rsidR="00E549E4" w:rsidRPr="008912CF" w:rsidRDefault="00615769" w:rsidP="00B538F3">
            <w:pPr>
              <w:pStyle w:val="EMEANormal"/>
              <w:keepNext/>
              <w:jc w:val="center"/>
              <w:rPr>
                <w:b/>
                <w:szCs w:val="24"/>
                <w:lang w:val="pt-PT"/>
              </w:rPr>
            </w:pPr>
            <w:r w:rsidRPr="008912CF">
              <w:rPr>
                <w:b/>
                <w:szCs w:val="24"/>
                <w:lang w:val="pt-PT"/>
              </w:rPr>
              <w:t>Peso</w:t>
            </w:r>
          </w:p>
          <w:p w14:paraId="29F87D53" w14:textId="77777777" w:rsidR="00E549E4" w:rsidRPr="008912CF" w:rsidRDefault="00615769" w:rsidP="00B538F3">
            <w:pPr>
              <w:pStyle w:val="EMEANormal"/>
              <w:keepNext/>
              <w:jc w:val="center"/>
              <w:rPr>
                <w:b/>
                <w:szCs w:val="24"/>
                <w:lang w:val="pt-PT"/>
              </w:rPr>
            </w:pPr>
            <w:r w:rsidRPr="008912CF">
              <w:rPr>
                <w:b/>
                <w:szCs w:val="24"/>
                <w:lang w:val="pt-PT"/>
              </w:rPr>
              <w:t>Doente</w:t>
            </w:r>
          </w:p>
        </w:tc>
        <w:tc>
          <w:tcPr>
            <w:tcW w:w="0" w:type="auto"/>
            <w:vAlign w:val="center"/>
          </w:tcPr>
          <w:p w14:paraId="3CECB0E5" w14:textId="77777777" w:rsidR="00E549E4" w:rsidRPr="008912CF" w:rsidRDefault="00615769" w:rsidP="00B538F3">
            <w:pPr>
              <w:pStyle w:val="EMEANormal"/>
              <w:keepNext/>
              <w:jc w:val="center"/>
              <w:rPr>
                <w:b/>
                <w:szCs w:val="24"/>
                <w:lang w:val="pt-PT"/>
              </w:rPr>
            </w:pPr>
            <w:r w:rsidRPr="008912CF">
              <w:rPr>
                <w:b/>
                <w:szCs w:val="24"/>
                <w:lang w:val="pt-PT"/>
              </w:rPr>
              <w:t xml:space="preserve">Baixa </w:t>
            </w:r>
            <w:r>
              <w:rPr>
                <w:b/>
                <w:szCs w:val="24"/>
                <w:lang w:val="pt-PT"/>
              </w:rPr>
              <w:t>D</w:t>
            </w:r>
            <w:r w:rsidRPr="008912CF">
              <w:rPr>
                <w:b/>
                <w:szCs w:val="24"/>
                <w:lang w:val="pt-PT"/>
              </w:rPr>
              <w:t>ose</w:t>
            </w:r>
          </w:p>
        </w:tc>
        <w:tc>
          <w:tcPr>
            <w:tcW w:w="0" w:type="auto"/>
            <w:vAlign w:val="center"/>
          </w:tcPr>
          <w:p w14:paraId="5F4B0F91" w14:textId="77777777" w:rsidR="00E549E4" w:rsidRPr="008912CF" w:rsidRDefault="00615769" w:rsidP="00B538F3">
            <w:pPr>
              <w:pStyle w:val="EMEANormal"/>
              <w:keepNext/>
              <w:jc w:val="center"/>
              <w:rPr>
                <w:b/>
                <w:szCs w:val="24"/>
                <w:lang w:val="pt-PT"/>
              </w:rPr>
            </w:pPr>
            <w:r w:rsidRPr="008912CF">
              <w:rPr>
                <w:b/>
                <w:szCs w:val="24"/>
                <w:lang w:val="pt-PT"/>
              </w:rPr>
              <w:t>Dose</w:t>
            </w:r>
          </w:p>
          <w:p w14:paraId="5DA1075D" w14:textId="77777777" w:rsidR="00E549E4" w:rsidRPr="008912CF" w:rsidRDefault="00615769" w:rsidP="00B538F3">
            <w:pPr>
              <w:pStyle w:val="EMEANormal"/>
              <w:keepNext/>
              <w:jc w:val="center"/>
              <w:rPr>
                <w:b/>
                <w:szCs w:val="24"/>
                <w:lang w:val="pt-PT"/>
              </w:rPr>
            </w:pPr>
            <w:r w:rsidRPr="008912CF">
              <w:rPr>
                <w:b/>
                <w:szCs w:val="24"/>
                <w:lang w:val="pt-PT"/>
              </w:rPr>
              <w:t>padrão</w:t>
            </w:r>
          </w:p>
        </w:tc>
      </w:tr>
      <w:tr w:rsidR="00A7162A" w14:paraId="5BE05465" w14:textId="77777777" w:rsidTr="00B538F3">
        <w:trPr>
          <w:jc w:val="center"/>
        </w:trPr>
        <w:tc>
          <w:tcPr>
            <w:tcW w:w="0" w:type="auto"/>
            <w:vAlign w:val="center"/>
          </w:tcPr>
          <w:p w14:paraId="0EBF13BD" w14:textId="77777777" w:rsidR="00E549E4" w:rsidRPr="008912CF" w:rsidRDefault="00615769" w:rsidP="00B538F3">
            <w:pPr>
              <w:pStyle w:val="EMEANormal"/>
              <w:keepNext/>
              <w:jc w:val="center"/>
              <w:rPr>
                <w:szCs w:val="24"/>
                <w:lang w:val="pt-PT"/>
              </w:rPr>
            </w:pPr>
            <w:r w:rsidRPr="008912CF">
              <w:rPr>
                <w:szCs w:val="24"/>
                <w:lang w:val="pt-PT"/>
              </w:rPr>
              <w:t>&lt; 40 kg</w:t>
            </w:r>
          </w:p>
        </w:tc>
        <w:tc>
          <w:tcPr>
            <w:tcW w:w="0" w:type="auto"/>
            <w:vAlign w:val="center"/>
          </w:tcPr>
          <w:p w14:paraId="5364E0C6" w14:textId="77777777" w:rsidR="00E549E4" w:rsidRPr="008912CF" w:rsidRDefault="00615769" w:rsidP="00B538F3">
            <w:pPr>
              <w:pStyle w:val="EMEANormal"/>
              <w:keepNext/>
              <w:jc w:val="center"/>
              <w:rPr>
                <w:szCs w:val="24"/>
                <w:lang w:val="pt-PT"/>
              </w:rPr>
            </w:pPr>
            <w:r w:rsidRPr="008912CF">
              <w:rPr>
                <w:szCs w:val="24"/>
                <w:lang w:val="pt-PT"/>
              </w:rPr>
              <w:t>10 mg em semanas alternadas</w:t>
            </w:r>
          </w:p>
        </w:tc>
        <w:tc>
          <w:tcPr>
            <w:tcW w:w="0" w:type="auto"/>
            <w:vAlign w:val="center"/>
          </w:tcPr>
          <w:p w14:paraId="600FDEB9" w14:textId="77777777" w:rsidR="00E549E4" w:rsidRPr="008912CF" w:rsidRDefault="00615769" w:rsidP="00B538F3">
            <w:pPr>
              <w:pStyle w:val="EMEANormal"/>
              <w:keepNext/>
              <w:jc w:val="center"/>
              <w:rPr>
                <w:szCs w:val="24"/>
                <w:lang w:val="pt-PT"/>
              </w:rPr>
            </w:pPr>
            <w:r w:rsidRPr="008912CF">
              <w:rPr>
                <w:szCs w:val="24"/>
                <w:lang w:val="pt-PT"/>
              </w:rPr>
              <w:t>20 mg em semanas alternadas</w:t>
            </w:r>
          </w:p>
        </w:tc>
      </w:tr>
      <w:tr w:rsidR="00A7162A" w14:paraId="1429C72E" w14:textId="77777777" w:rsidTr="00B538F3">
        <w:trPr>
          <w:jc w:val="center"/>
        </w:trPr>
        <w:tc>
          <w:tcPr>
            <w:tcW w:w="0" w:type="auto"/>
            <w:vAlign w:val="center"/>
          </w:tcPr>
          <w:p w14:paraId="481283D4" w14:textId="77777777" w:rsidR="00E549E4" w:rsidRPr="008912CF" w:rsidRDefault="00615769" w:rsidP="00B538F3">
            <w:pPr>
              <w:pStyle w:val="EMEANormal"/>
              <w:keepNext/>
              <w:jc w:val="center"/>
              <w:rPr>
                <w:szCs w:val="24"/>
                <w:lang w:val="pt-PT"/>
              </w:rPr>
            </w:pPr>
            <w:r w:rsidRPr="008912CF">
              <w:rPr>
                <w:szCs w:val="24"/>
                <w:lang w:val="pt-PT"/>
              </w:rPr>
              <w:t>≥ 40 kg</w:t>
            </w:r>
          </w:p>
        </w:tc>
        <w:tc>
          <w:tcPr>
            <w:tcW w:w="0" w:type="auto"/>
            <w:vAlign w:val="center"/>
          </w:tcPr>
          <w:p w14:paraId="09582D64" w14:textId="77777777" w:rsidR="00E549E4" w:rsidRPr="008912CF" w:rsidRDefault="00615769" w:rsidP="00B538F3">
            <w:pPr>
              <w:pStyle w:val="EMEANormal"/>
              <w:keepNext/>
              <w:jc w:val="center"/>
              <w:rPr>
                <w:szCs w:val="24"/>
                <w:lang w:val="pt-PT"/>
              </w:rPr>
            </w:pPr>
            <w:r w:rsidRPr="008912CF">
              <w:rPr>
                <w:szCs w:val="24"/>
                <w:lang w:val="pt-PT"/>
              </w:rPr>
              <w:t>20 mg em semanas alternadas</w:t>
            </w:r>
          </w:p>
        </w:tc>
        <w:tc>
          <w:tcPr>
            <w:tcW w:w="0" w:type="auto"/>
            <w:vAlign w:val="center"/>
          </w:tcPr>
          <w:p w14:paraId="16D212D9" w14:textId="77777777" w:rsidR="00E549E4" w:rsidRPr="008912CF" w:rsidRDefault="00615769" w:rsidP="00B538F3">
            <w:pPr>
              <w:pStyle w:val="EMEANormal"/>
              <w:keepNext/>
              <w:jc w:val="center"/>
              <w:rPr>
                <w:szCs w:val="24"/>
                <w:lang w:val="pt-PT"/>
              </w:rPr>
            </w:pPr>
            <w:r w:rsidRPr="008912CF">
              <w:rPr>
                <w:szCs w:val="24"/>
                <w:lang w:val="pt-PT"/>
              </w:rPr>
              <w:t>40 mg em semanas alternadas</w:t>
            </w:r>
          </w:p>
        </w:tc>
      </w:tr>
    </w:tbl>
    <w:p w14:paraId="21CAF9F8" w14:textId="77777777" w:rsidR="00E549E4" w:rsidRPr="008912CF" w:rsidRDefault="00E549E4" w:rsidP="00E549E4">
      <w:pPr>
        <w:rPr>
          <w:sz w:val="22"/>
          <w:szCs w:val="22"/>
        </w:rPr>
      </w:pPr>
    </w:p>
    <w:p w14:paraId="02E452CC" w14:textId="77777777" w:rsidR="00E549E4" w:rsidRPr="008912CF" w:rsidRDefault="00615769" w:rsidP="00E549E4">
      <w:pPr>
        <w:rPr>
          <w:i/>
          <w:sz w:val="22"/>
          <w:szCs w:val="22"/>
          <w:u w:val="single"/>
        </w:rPr>
      </w:pPr>
      <w:r w:rsidRPr="008912CF">
        <w:rPr>
          <w:i/>
          <w:sz w:val="22"/>
          <w:szCs w:val="22"/>
          <w:u w:val="single"/>
        </w:rPr>
        <w:t>Resultados de eficácia</w:t>
      </w:r>
    </w:p>
    <w:p w14:paraId="0C491C54" w14:textId="77777777" w:rsidR="00E549E4" w:rsidRPr="008912CF" w:rsidRDefault="00E549E4" w:rsidP="00E549E4">
      <w:pPr>
        <w:rPr>
          <w:i/>
          <w:sz w:val="22"/>
          <w:szCs w:val="22"/>
        </w:rPr>
      </w:pPr>
    </w:p>
    <w:p w14:paraId="6BD0692E" w14:textId="77777777" w:rsidR="00E549E4" w:rsidRPr="008912CF" w:rsidRDefault="00615769" w:rsidP="00E549E4">
      <w:r w:rsidRPr="008912CF">
        <w:rPr>
          <w:sz w:val="22"/>
          <w:szCs w:val="22"/>
        </w:rPr>
        <w:t xml:space="preserve">O objetivo primário do estudo foi a remissão clínica na Semana 26, definida como escala PCDAI </w:t>
      </w:r>
      <w:r w:rsidRPr="008912CF">
        <w:rPr>
          <w:rFonts w:ascii="Symbol" w:hAnsi="Symbol"/>
        </w:rPr>
        <w:sym w:font="Symbol" w:char="F0A3"/>
      </w:r>
      <w:r w:rsidRPr="008912CF">
        <w:t xml:space="preserve"> 10.</w:t>
      </w:r>
    </w:p>
    <w:p w14:paraId="355FF00E" w14:textId="77777777" w:rsidR="00E549E4" w:rsidRPr="008912CF" w:rsidRDefault="00E549E4" w:rsidP="00E549E4"/>
    <w:p w14:paraId="3C89186F" w14:textId="77777777" w:rsidR="00E549E4" w:rsidRPr="008912CF" w:rsidRDefault="00615769" w:rsidP="00E549E4">
      <w:pPr>
        <w:rPr>
          <w:sz w:val="22"/>
          <w:szCs w:val="22"/>
        </w:rPr>
      </w:pPr>
      <w:r w:rsidRPr="008912CF">
        <w:rPr>
          <w:sz w:val="22"/>
          <w:szCs w:val="22"/>
        </w:rPr>
        <w:t xml:space="preserve">Taxas de remissão clínica e de resposta clínica (definida como uma redução na escala PCDAI de pelo menos 15 pontos desde a avaliação basal) são apresentadas na Tabela </w:t>
      </w:r>
      <w:r>
        <w:rPr>
          <w:sz w:val="22"/>
          <w:szCs w:val="22"/>
        </w:rPr>
        <w:t>2</w:t>
      </w:r>
      <w:r w:rsidR="00120C36">
        <w:rPr>
          <w:sz w:val="22"/>
          <w:szCs w:val="22"/>
        </w:rPr>
        <w:t>9</w:t>
      </w:r>
      <w:r w:rsidRPr="008912CF">
        <w:rPr>
          <w:sz w:val="22"/>
          <w:szCs w:val="22"/>
        </w:rPr>
        <w:t>. Taxas de descontinuação de corticosteroides ou imunomoduladores são apresentad</w:t>
      </w:r>
      <w:r>
        <w:rPr>
          <w:sz w:val="22"/>
          <w:szCs w:val="22"/>
        </w:rPr>
        <w:t>a</w:t>
      </w:r>
      <w:r w:rsidRPr="008912CF">
        <w:rPr>
          <w:sz w:val="22"/>
          <w:szCs w:val="22"/>
        </w:rPr>
        <w:t xml:space="preserve">s na Tabela </w:t>
      </w:r>
      <w:r w:rsidR="00120C36">
        <w:rPr>
          <w:sz w:val="22"/>
          <w:szCs w:val="22"/>
        </w:rPr>
        <w:t>30</w:t>
      </w:r>
      <w:r w:rsidRPr="008912CF">
        <w:rPr>
          <w:sz w:val="22"/>
          <w:szCs w:val="22"/>
        </w:rPr>
        <w:t xml:space="preserve">. </w:t>
      </w:r>
    </w:p>
    <w:p w14:paraId="727B41DF" w14:textId="77777777" w:rsidR="00E549E4" w:rsidRPr="008912CF" w:rsidRDefault="00E549E4" w:rsidP="00E549E4">
      <w:pPr>
        <w:rPr>
          <w:sz w:val="22"/>
          <w:szCs w:val="22"/>
        </w:rPr>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A7162A" w14:paraId="5E6A0946" w14:textId="77777777" w:rsidTr="00AB0B1F">
        <w:trPr>
          <w:jc w:val="center"/>
        </w:trPr>
        <w:tc>
          <w:tcPr>
            <w:tcW w:w="6673" w:type="dxa"/>
            <w:gridSpan w:val="4"/>
            <w:tcBorders>
              <w:top w:val="single" w:sz="6" w:space="0" w:color="000000"/>
              <w:left w:val="single" w:sz="6" w:space="0" w:color="000000"/>
              <w:bottom w:val="single" w:sz="6" w:space="0" w:color="000000"/>
              <w:right w:val="single" w:sz="6" w:space="0" w:color="000000"/>
            </w:tcBorders>
          </w:tcPr>
          <w:p w14:paraId="7D9B0942" w14:textId="77777777" w:rsidR="00E549E4" w:rsidRPr="008912CF" w:rsidRDefault="00615769" w:rsidP="00B538F3">
            <w:pPr>
              <w:keepNext/>
              <w:tabs>
                <w:tab w:val="left" w:pos="-878"/>
              </w:tabs>
              <w:autoSpaceDE w:val="0"/>
              <w:autoSpaceDN w:val="0"/>
              <w:adjustRightInd w:val="0"/>
              <w:ind w:left="15"/>
              <w:jc w:val="center"/>
              <w:rPr>
                <w:b/>
                <w:bCs/>
                <w:sz w:val="22"/>
                <w:szCs w:val="22"/>
              </w:rPr>
            </w:pPr>
            <w:r w:rsidRPr="008912CF">
              <w:rPr>
                <w:b/>
                <w:bCs/>
                <w:sz w:val="22"/>
                <w:szCs w:val="22"/>
              </w:rPr>
              <w:t xml:space="preserve">Tabela </w:t>
            </w:r>
            <w:r>
              <w:rPr>
                <w:b/>
                <w:bCs/>
                <w:sz w:val="22"/>
                <w:szCs w:val="22"/>
              </w:rPr>
              <w:t>2</w:t>
            </w:r>
            <w:r w:rsidR="00120C36">
              <w:rPr>
                <w:b/>
                <w:bCs/>
                <w:sz w:val="22"/>
                <w:szCs w:val="22"/>
              </w:rPr>
              <w:t>9</w:t>
            </w:r>
          </w:p>
          <w:p w14:paraId="3FBF35EB" w14:textId="77777777" w:rsidR="00E549E4" w:rsidRPr="008912CF" w:rsidRDefault="00615769" w:rsidP="00B538F3">
            <w:pPr>
              <w:pStyle w:val="BodyText2"/>
              <w:keepNext/>
              <w:autoSpaceDE/>
              <w:autoSpaceDN/>
              <w:adjustRightInd/>
              <w:jc w:val="center"/>
              <w:rPr>
                <w:b/>
                <w:bCs/>
                <w:szCs w:val="22"/>
              </w:rPr>
            </w:pPr>
            <w:r w:rsidRPr="008912CF">
              <w:rPr>
                <w:b/>
                <w:szCs w:val="22"/>
              </w:rPr>
              <w:t>Estudo de DC Pediátrica</w:t>
            </w:r>
          </w:p>
          <w:p w14:paraId="25844579" w14:textId="77777777" w:rsidR="00E549E4" w:rsidRPr="008912CF" w:rsidRDefault="00615769" w:rsidP="00B538F3">
            <w:pPr>
              <w:keepNext/>
              <w:tabs>
                <w:tab w:val="left" w:pos="-878"/>
              </w:tabs>
              <w:autoSpaceDE w:val="0"/>
              <w:autoSpaceDN w:val="0"/>
              <w:adjustRightInd w:val="0"/>
              <w:ind w:left="15"/>
              <w:jc w:val="center"/>
              <w:rPr>
                <w:b/>
                <w:bCs/>
                <w:sz w:val="22"/>
                <w:szCs w:val="22"/>
              </w:rPr>
            </w:pPr>
            <w:r w:rsidRPr="008912CF">
              <w:rPr>
                <w:b/>
                <w:bCs/>
                <w:sz w:val="22"/>
                <w:szCs w:val="22"/>
              </w:rPr>
              <w:t>Resposta e Remissão Clínica</w:t>
            </w:r>
            <w:r>
              <w:rPr>
                <w:b/>
                <w:bCs/>
                <w:sz w:val="22"/>
                <w:szCs w:val="22"/>
              </w:rPr>
              <w:t>s</w:t>
            </w:r>
            <w:r w:rsidRPr="008912CF">
              <w:rPr>
                <w:b/>
                <w:bCs/>
                <w:sz w:val="22"/>
                <w:szCs w:val="22"/>
              </w:rPr>
              <w:t xml:space="preserve"> PCDAI</w:t>
            </w:r>
          </w:p>
        </w:tc>
      </w:tr>
      <w:tr w:rsidR="00A7162A" w14:paraId="3BE929F1" w14:textId="77777777" w:rsidTr="00AB0B1F">
        <w:trPr>
          <w:jc w:val="center"/>
        </w:trPr>
        <w:tc>
          <w:tcPr>
            <w:tcW w:w="2321" w:type="dxa"/>
            <w:tcBorders>
              <w:top w:val="single" w:sz="6" w:space="0" w:color="000000"/>
              <w:left w:val="single" w:sz="6" w:space="0" w:color="000000"/>
              <w:bottom w:val="single" w:sz="6" w:space="0" w:color="000000"/>
              <w:right w:val="single" w:sz="6" w:space="0" w:color="000000"/>
            </w:tcBorders>
          </w:tcPr>
          <w:p w14:paraId="24F2A5DD" w14:textId="77777777" w:rsidR="00E549E4" w:rsidRPr="008912CF" w:rsidRDefault="00E549E4" w:rsidP="00B538F3">
            <w:pPr>
              <w:keepNext/>
              <w:keepLines/>
              <w:tabs>
                <w:tab w:val="left" w:pos="-1080"/>
              </w:tabs>
              <w:autoSpaceDE w:val="0"/>
              <w:autoSpaceDN w:val="0"/>
              <w:adjustRightInd w:val="0"/>
              <w:ind w:left="15"/>
              <w:jc w:val="center"/>
              <w:rPr>
                <w:b/>
                <w:bCs/>
                <w:sz w:val="22"/>
                <w:szCs w:val="22"/>
              </w:rPr>
            </w:pPr>
          </w:p>
        </w:tc>
        <w:tc>
          <w:tcPr>
            <w:tcW w:w="1614" w:type="dxa"/>
            <w:tcBorders>
              <w:top w:val="single" w:sz="6" w:space="0" w:color="000000"/>
              <w:left w:val="single" w:sz="6" w:space="0" w:color="000000"/>
              <w:bottom w:val="single" w:sz="6" w:space="0" w:color="000000"/>
              <w:right w:val="single" w:sz="6" w:space="0" w:color="000000"/>
            </w:tcBorders>
          </w:tcPr>
          <w:p w14:paraId="0BD1C430" w14:textId="77777777" w:rsidR="00E549E4" w:rsidRPr="008912CF" w:rsidRDefault="00615769" w:rsidP="00B538F3">
            <w:pPr>
              <w:keepNext/>
              <w:keepLines/>
              <w:tabs>
                <w:tab w:val="left" w:pos="-1080"/>
              </w:tabs>
              <w:autoSpaceDE w:val="0"/>
              <w:autoSpaceDN w:val="0"/>
              <w:adjustRightInd w:val="0"/>
              <w:ind w:left="15"/>
              <w:jc w:val="center"/>
              <w:rPr>
                <w:b/>
                <w:bCs/>
                <w:sz w:val="22"/>
                <w:szCs w:val="22"/>
              </w:rPr>
            </w:pPr>
            <w:r w:rsidRPr="008912CF">
              <w:rPr>
                <w:b/>
                <w:bCs/>
                <w:sz w:val="22"/>
                <w:szCs w:val="22"/>
              </w:rPr>
              <w:t>Dose Padrão</w:t>
            </w:r>
          </w:p>
          <w:p w14:paraId="0960220F" w14:textId="77777777" w:rsidR="00E549E4" w:rsidRPr="008912CF" w:rsidRDefault="00615769" w:rsidP="00B538F3">
            <w:pPr>
              <w:keepNext/>
              <w:keepLines/>
              <w:tabs>
                <w:tab w:val="left" w:pos="-1080"/>
              </w:tabs>
              <w:autoSpaceDE w:val="0"/>
              <w:autoSpaceDN w:val="0"/>
              <w:adjustRightInd w:val="0"/>
              <w:ind w:left="15"/>
              <w:jc w:val="center"/>
              <w:rPr>
                <w:b/>
                <w:bCs/>
                <w:sz w:val="22"/>
                <w:szCs w:val="22"/>
              </w:rPr>
            </w:pPr>
            <w:r w:rsidRPr="008912CF">
              <w:rPr>
                <w:b/>
                <w:bCs/>
                <w:sz w:val="22"/>
                <w:szCs w:val="22"/>
              </w:rPr>
              <w:t xml:space="preserve">40/20 mg em semanas alternadas </w:t>
            </w:r>
          </w:p>
          <w:p w14:paraId="48074AE7" w14:textId="77777777" w:rsidR="00E549E4" w:rsidRPr="008912CF" w:rsidRDefault="00615769" w:rsidP="00B538F3">
            <w:pPr>
              <w:keepNext/>
              <w:keepLines/>
              <w:tabs>
                <w:tab w:val="left" w:pos="-1080"/>
              </w:tabs>
              <w:autoSpaceDE w:val="0"/>
              <w:autoSpaceDN w:val="0"/>
              <w:adjustRightInd w:val="0"/>
              <w:ind w:left="15"/>
              <w:jc w:val="center"/>
              <w:rPr>
                <w:b/>
                <w:bCs/>
                <w:sz w:val="22"/>
                <w:szCs w:val="22"/>
              </w:rPr>
            </w:pPr>
            <w:r w:rsidRPr="008912CF">
              <w:rPr>
                <w:b/>
                <w:bCs/>
                <w:sz w:val="22"/>
                <w:szCs w:val="22"/>
              </w:rPr>
              <w:t>N = 93</w:t>
            </w:r>
          </w:p>
        </w:tc>
        <w:tc>
          <w:tcPr>
            <w:tcW w:w="1591" w:type="dxa"/>
            <w:tcBorders>
              <w:top w:val="single" w:sz="6" w:space="0" w:color="000000"/>
              <w:left w:val="single" w:sz="6" w:space="0" w:color="000000"/>
              <w:bottom w:val="single" w:sz="6" w:space="0" w:color="000000"/>
              <w:right w:val="single" w:sz="6" w:space="0" w:color="000000"/>
            </w:tcBorders>
          </w:tcPr>
          <w:p w14:paraId="5AD15543" w14:textId="77777777" w:rsidR="00E549E4" w:rsidRPr="008912CF" w:rsidRDefault="00615769" w:rsidP="00B538F3">
            <w:pPr>
              <w:keepNext/>
              <w:keepLines/>
              <w:tabs>
                <w:tab w:val="left" w:pos="-1080"/>
              </w:tabs>
              <w:autoSpaceDE w:val="0"/>
              <w:autoSpaceDN w:val="0"/>
              <w:adjustRightInd w:val="0"/>
              <w:ind w:left="15"/>
              <w:jc w:val="center"/>
              <w:rPr>
                <w:b/>
                <w:bCs/>
                <w:sz w:val="22"/>
                <w:szCs w:val="22"/>
              </w:rPr>
            </w:pPr>
            <w:r w:rsidRPr="008912CF">
              <w:rPr>
                <w:b/>
                <w:bCs/>
                <w:sz w:val="22"/>
                <w:szCs w:val="22"/>
              </w:rPr>
              <w:t>Baixa Dose</w:t>
            </w:r>
          </w:p>
          <w:p w14:paraId="2BC0C0E9" w14:textId="77777777" w:rsidR="00E549E4" w:rsidRPr="008912CF" w:rsidRDefault="00615769" w:rsidP="00B538F3">
            <w:pPr>
              <w:keepNext/>
              <w:keepLines/>
              <w:tabs>
                <w:tab w:val="left" w:pos="-1080"/>
              </w:tabs>
              <w:autoSpaceDE w:val="0"/>
              <w:autoSpaceDN w:val="0"/>
              <w:adjustRightInd w:val="0"/>
              <w:ind w:left="15"/>
              <w:jc w:val="center"/>
              <w:rPr>
                <w:b/>
                <w:bCs/>
                <w:sz w:val="22"/>
                <w:szCs w:val="22"/>
              </w:rPr>
            </w:pPr>
            <w:r w:rsidRPr="008912CF">
              <w:rPr>
                <w:b/>
                <w:bCs/>
                <w:sz w:val="22"/>
                <w:szCs w:val="22"/>
              </w:rPr>
              <w:t xml:space="preserve">20/10 mg em semanas alternadas </w:t>
            </w:r>
          </w:p>
          <w:p w14:paraId="1CB56EC2" w14:textId="77777777" w:rsidR="00E549E4" w:rsidRPr="008912CF" w:rsidRDefault="00615769" w:rsidP="00B538F3">
            <w:pPr>
              <w:keepNext/>
              <w:keepLines/>
              <w:tabs>
                <w:tab w:val="left" w:pos="-1080"/>
              </w:tabs>
              <w:autoSpaceDE w:val="0"/>
              <w:autoSpaceDN w:val="0"/>
              <w:adjustRightInd w:val="0"/>
              <w:ind w:left="15"/>
              <w:jc w:val="center"/>
              <w:rPr>
                <w:b/>
                <w:bCs/>
                <w:sz w:val="22"/>
                <w:szCs w:val="22"/>
              </w:rPr>
            </w:pPr>
            <w:r w:rsidRPr="008912CF">
              <w:rPr>
                <w:b/>
                <w:bCs/>
                <w:sz w:val="22"/>
                <w:szCs w:val="22"/>
              </w:rPr>
              <w:t>N = 95</w:t>
            </w:r>
          </w:p>
        </w:tc>
        <w:tc>
          <w:tcPr>
            <w:tcW w:w="1147" w:type="dxa"/>
            <w:tcBorders>
              <w:top w:val="single" w:sz="6" w:space="0" w:color="000000"/>
              <w:left w:val="single" w:sz="6" w:space="0" w:color="000000"/>
              <w:bottom w:val="single" w:sz="6" w:space="0" w:color="000000"/>
              <w:right w:val="single" w:sz="6" w:space="0" w:color="000000"/>
            </w:tcBorders>
          </w:tcPr>
          <w:p w14:paraId="7766C038" w14:textId="77777777" w:rsidR="00E549E4" w:rsidRPr="008912CF" w:rsidRDefault="00615769" w:rsidP="00B538F3">
            <w:pPr>
              <w:keepNext/>
              <w:keepLines/>
              <w:tabs>
                <w:tab w:val="left" w:pos="-1080"/>
              </w:tabs>
              <w:autoSpaceDE w:val="0"/>
              <w:autoSpaceDN w:val="0"/>
              <w:adjustRightInd w:val="0"/>
              <w:ind w:left="15"/>
              <w:jc w:val="center"/>
              <w:rPr>
                <w:sz w:val="22"/>
                <w:szCs w:val="22"/>
              </w:rPr>
            </w:pPr>
            <w:r w:rsidRPr="008912CF">
              <w:rPr>
                <w:b/>
                <w:bCs/>
                <w:sz w:val="22"/>
                <w:szCs w:val="22"/>
              </w:rPr>
              <w:t>valor</w:t>
            </w:r>
            <w:r>
              <w:rPr>
                <w:b/>
                <w:bCs/>
                <w:sz w:val="22"/>
                <w:szCs w:val="22"/>
              </w:rPr>
              <w:t>-p</w:t>
            </w:r>
            <w:r w:rsidRPr="008912CF">
              <w:rPr>
                <w:sz w:val="22"/>
                <w:szCs w:val="22"/>
              </w:rPr>
              <w:t>*</w:t>
            </w:r>
          </w:p>
        </w:tc>
      </w:tr>
      <w:tr w:rsidR="00A7162A" w14:paraId="2E221708" w14:textId="77777777" w:rsidTr="00AB0B1F">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7AFAD74B" w14:textId="77777777" w:rsidR="00E549E4" w:rsidRPr="008912CF" w:rsidRDefault="00615769" w:rsidP="00B538F3">
            <w:pPr>
              <w:keepNext/>
              <w:keepLines/>
              <w:tabs>
                <w:tab w:val="left" w:pos="-1080"/>
              </w:tabs>
              <w:autoSpaceDE w:val="0"/>
              <w:autoSpaceDN w:val="0"/>
              <w:adjustRightInd w:val="0"/>
              <w:ind w:left="15"/>
              <w:rPr>
                <w:b/>
                <w:bCs/>
                <w:sz w:val="22"/>
                <w:szCs w:val="22"/>
              </w:rPr>
            </w:pPr>
            <w:r w:rsidRPr="008912CF">
              <w:rPr>
                <w:b/>
                <w:bCs/>
                <w:sz w:val="22"/>
                <w:szCs w:val="22"/>
              </w:rPr>
              <w:t>Semana 26</w:t>
            </w:r>
          </w:p>
        </w:tc>
        <w:tc>
          <w:tcPr>
            <w:tcW w:w="1614" w:type="dxa"/>
            <w:tcBorders>
              <w:top w:val="single" w:sz="6" w:space="0" w:color="000000"/>
              <w:left w:val="single" w:sz="6" w:space="0" w:color="000000"/>
              <w:bottom w:val="single" w:sz="6" w:space="0" w:color="000000"/>
              <w:right w:val="single" w:sz="6" w:space="0" w:color="000000"/>
            </w:tcBorders>
            <w:vAlign w:val="bottom"/>
          </w:tcPr>
          <w:p w14:paraId="042242CC" w14:textId="77777777" w:rsidR="00E549E4" w:rsidRPr="008912CF" w:rsidRDefault="00E549E4" w:rsidP="00B538F3">
            <w:pPr>
              <w:keepNext/>
              <w:keepLines/>
              <w:tabs>
                <w:tab w:val="left" w:pos="-1080"/>
              </w:tabs>
              <w:autoSpaceDE w:val="0"/>
              <w:autoSpaceDN w:val="0"/>
              <w:adjustRightInd w:val="0"/>
              <w:ind w:left="15"/>
              <w:jc w:val="center"/>
              <w:rPr>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31694AFA" w14:textId="77777777" w:rsidR="00E549E4" w:rsidRPr="008912CF" w:rsidRDefault="00E549E4" w:rsidP="00B538F3">
            <w:pPr>
              <w:keepNext/>
              <w:keepLines/>
              <w:tabs>
                <w:tab w:val="left" w:pos="-1080"/>
              </w:tabs>
              <w:autoSpaceDE w:val="0"/>
              <w:autoSpaceDN w:val="0"/>
              <w:adjustRightInd w:val="0"/>
              <w:ind w:left="15"/>
              <w:jc w:val="center"/>
              <w:rPr>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2F6E1B82" w14:textId="77777777" w:rsidR="00E549E4" w:rsidRPr="008912CF" w:rsidRDefault="00E549E4" w:rsidP="00B538F3">
            <w:pPr>
              <w:keepNext/>
              <w:autoSpaceDE w:val="0"/>
              <w:autoSpaceDN w:val="0"/>
              <w:adjustRightInd w:val="0"/>
              <w:ind w:left="15"/>
              <w:rPr>
                <w:b/>
                <w:bCs/>
                <w:sz w:val="22"/>
                <w:szCs w:val="22"/>
              </w:rPr>
            </w:pPr>
          </w:p>
        </w:tc>
      </w:tr>
      <w:tr w:rsidR="00A7162A" w14:paraId="32C6C4EA" w14:textId="77777777" w:rsidTr="00AB0B1F">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6CDA4859" w14:textId="77777777" w:rsidR="00E549E4" w:rsidRPr="008912CF" w:rsidRDefault="00615769" w:rsidP="00B538F3">
            <w:pPr>
              <w:keepNext/>
              <w:keepLines/>
              <w:tabs>
                <w:tab w:val="left" w:pos="-1080"/>
              </w:tabs>
              <w:autoSpaceDE w:val="0"/>
              <w:autoSpaceDN w:val="0"/>
              <w:adjustRightInd w:val="0"/>
              <w:ind w:left="15"/>
              <w:rPr>
                <w:sz w:val="22"/>
                <w:szCs w:val="22"/>
              </w:rPr>
            </w:pPr>
            <w:r w:rsidRPr="008912CF">
              <w:rPr>
                <w:sz w:val="22"/>
                <w:szCs w:val="22"/>
              </w:rPr>
              <w:t xml:space="preserve">   Remissão clínica</w:t>
            </w:r>
          </w:p>
        </w:tc>
        <w:tc>
          <w:tcPr>
            <w:tcW w:w="1614" w:type="dxa"/>
            <w:tcBorders>
              <w:top w:val="single" w:sz="6" w:space="0" w:color="000000"/>
              <w:left w:val="single" w:sz="6" w:space="0" w:color="000000"/>
              <w:bottom w:val="single" w:sz="6" w:space="0" w:color="000000"/>
              <w:right w:val="single" w:sz="6" w:space="0" w:color="000000"/>
            </w:tcBorders>
            <w:vAlign w:val="bottom"/>
          </w:tcPr>
          <w:p w14:paraId="0D167240" w14:textId="77777777" w:rsidR="00E549E4" w:rsidRPr="008912CF" w:rsidRDefault="00615769" w:rsidP="00B538F3">
            <w:pPr>
              <w:keepNext/>
              <w:keepLines/>
              <w:tabs>
                <w:tab w:val="left" w:pos="-1080"/>
              </w:tabs>
              <w:autoSpaceDE w:val="0"/>
              <w:autoSpaceDN w:val="0"/>
              <w:adjustRightInd w:val="0"/>
              <w:ind w:left="15"/>
              <w:jc w:val="center"/>
              <w:rPr>
                <w:sz w:val="22"/>
                <w:szCs w:val="22"/>
              </w:rPr>
            </w:pPr>
            <w:r w:rsidRPr="008912CF">
              <w:rPr>
                <w:sz w:val="22"/>
                <w:szCs w:val="22"/>
              </w:rPr>
              <w:t>38,7%</w:t>
            </w:r>
          </w:p>
        </w:tc>
        <w:tc>
          <w:tcPr>
            <w:tcW w:w="1591" w:type="dxa"/>
            <w:tcBorders>
              <w:top w:val="single" w:sz="6" w:space="0" w:color="000000"/>
              <w:left w:val="single" w:sz="6" w:space="0" w:color="000000"/>
              <w:bottom w:val="single" w:sz="6" w:space="0" w:color="000000"/>
              <w:right w:val="single" w:sz="6" w:space="0" w:color="000000"/>
            </w:tcBorders>
            <w:vAlign w:val="bottom"/>
          </w:tcPr>
          <w:p w14:paraId="3129B4BA" w14:textId="77777777" w:rsidR="00E549E4" w:rsidRPr="008912CF" w:rsidRDefault="00615769" w:rsidP="00B538F3">
            <w:pPr>
              <w:keepNext/>
              <w:keepLines/>
              <w:tabs>
                <w:tab w:val="left" w:pos="-1080"/>
              </w:tabs>
              <w:autoSpaceDE w:val="0"/>
              <w:autoSpaceDN w:val="0"/>
              <w:adjustRightInd w:val="0"/>
              <w:ind w:left="15"/>
              <w:jc w:val="center"/>
              <w:rPr>
                <w:sz w:val="22"/>
                <w:szCs w:val="22"/>
              </w:rPr>
            </w:pPr>
            <w:r w:rsidRPr="008912CF">
              <w:rPr>
                <w:sz w:val="22"/>
                <w:szCs w:val="22"/>
              </w:rPr>
              <w:t>28,4%</w:t>
            </w:r>
          </w:p>
        </w:tc>
        <w:tc>
          <w:tcPr>
            <w:tcW w:w="1147" w:type="dxa"/>
            <w:tcBorders>
              <w:top w:val="single" w:sz="6" w:space="0" w:color="000000"/>
              <w:left w:val="single" w:sz="6" w:space="0" w:color="000000"/>
              <w:bottom w:val="single" w:sz="6" w:space="0" w:color="000000"/>
              <w:right w:val="single" w:sz="6" w:space="0" w:color="000000"/>
            </w:tcBorders>
            <w:vAlign w:val="bottom"/>
          </w:tcPr>
          <w:p w14:paraId="2807153E" w14:textId="77777777" w:rsidR="00E549E4" w:rsidRPr="008912CF" w:rsidRDefault="00615769" w:rsidP="00B538F3">
            <w:pPr>
              <w:keepNext/>
              <w:keepLines/>
              <w:tabs>
                <w:tab w:val="left" w:pos="-1080"/>
              </w:tabs>
              <w:autoSpaceDE w:val="0"/>
              <w:autoSpaceDN w:val="0"/>
              <w:adjustRightInd w:val="0"/>
              <w:ind w:left="15"/>
              <w:jc w:val="center"/>
              <w:rPr>
                <w:sz w:val="22"/>
                <w:szCs w:val="22"/>
              </w:rPr>
            </w:pPr>
            <w:r w:rsidRPr="008912CF">
              <w:rPr>
                <w:sz w:val="22"/>
                <w:szCs w:val="22"/>
              </w:rPr>
              <w:t>0,075</w:t>
            </w:r>
          </w:p>
        </w:tc>
      </w:tr>
      <w:tr w:rsidR="00A7162A" w14:paraId="68272667" w14:textId="77777777" w:rsidTr="00AB0B1F">
        <w:trPr>
          <w:jc w:val="center"/>
        </w:trPr>
        <w:tc>
          <w:tcPr>
            <w:tcW w:w="2321" w:type="dxa"/>
            <w:tcBorders>
              <w:top w:val="single" w:sz="6" w:space="0" w:color="000000"/>
              <w:left w:val="single" w:sz="6" w:space="0" w:color="000000"/>
              <w:bottom w:val="single" w:sz="6" w:space="0" w:color="000000"/>
              <w:right w:val="single" w:sz="6" w:space="0" w:color="000000"/>
            </w:tcBorders>
          </w:tcPr>
          <w:p w14:paraId="0E7D133C" w14:textId="77777777" w:rsidR="00E549E4" w:rsidRPr="008912CF" w:rsidRDefault="00615769" w:rsidP="00B538F3">
            <w:pPr>
              <w:keepNext/>
              <w:keepLines/>
              <w:tabs>
                <w:tab w:val="left" w:pos="-1080"/>
              </w:tabs>
              <w:autoSpaceDE w:val="0"/>
              <w:autoSpaceDN w:val="0"/>
              <w:adjustRightInd w:val="0"/>
              <w:ind w:left="15"/>
              <w:rPr>
                <w:sz w:val="22"/>
                <w:szCs w:val="22"/>
              </w:rPr>
            </w:pPr>
            <w:r w:rsidRPr="008912CF">
              <w:rPr>
                <w:sz w:val="22"/>
                <w:szCs w:val="22"/>
              </w:rPr>
              <w:t xml:space="preserve">   Resposta clínica</w:t>
            </w:r>
          </w:p>
        </w:tc>
        <w:tc>
          <w:tcPr>
            <w:tcW w:w="1614" w:type="dxa"/>
            <w:tcBorders>
              <w:top w:val="single" w:sz="6" w:space="0" w:color="000000"/>
              <w:left w:val="single" w:sz="6" w:space="0" w:color="000000"/>
              <w:bottom w:val="single" w:sz="6" w:space="0" w:color="000000"/>
              <w:right w:val="single" w:sz="6" w:space="0" w:color="000000"/>
            </w:tcBorders>
          </w:tcPr>
          <w:p w14:paraId="6F57B08C" w14:textId="77777777" w:rsidR="00E549E4" w:rsidRPr="008912CF" w:rsidRDefault="00615769" w:rsidP="00B538F3">
            <w:pPr>
              <w:keepNext/>
              <w:keepLines/>
              <w:tabs>
                <w:tab w:val="left" w:pos="-1080"/>
              </w:tabs>
              <w:autoSpaceDE w:val="0"/>
              <w:autoSpaceDN w:val="0"/>
              <w:adjustRightInd w:val="0"/>
              <w:ind w:left="15"/>
              <w:jc w:val="center"/>
              <w:rPr>
                <w:sz w:val="22"/>
                <w:szCs w:val="22"/>
              </w:rPr>
            </w:pPr>
            <w:r w:rsidRPr="008912CF">
              <w:rPr>
                <w:sz w:val="22"/>
                <w:szCs w:val="22"/>
              </w:rPr>
              <w:t>59,1%</w:t>
            </w:r>
          </w:p>
        </w:tc>
        <w:tc>
          <w:tcPr>
            <w:tcW w:w="1591" w:type="dxa"/>
            <w:tcBorders>
              <w:top w:val="single" w:sz="6" w:space="0" w:color="000000"/>
              <w:left w:val="single" w:sz="6" w:space="0" w:color="000000"/>
              <w:bottom w:val="single" w:sz="6" w:space="0" w:color="000000"/>
              <w:right w:val="single" w:sz="6" w:space="0" w:color="000000"/>
            </w:tcBorders>
          </w:tcPr>
          <w:p w14:paraId="121CDD34" w14:textId="77777777" w:rsidR="00E549E4" w:rsidRPr="008912CF" w:rsidRDefault="00615769" w:rsidP="00B538F3">
            <w:pPr>
              <w:keepNext/>
              <w:keepLines/>
              <w:tabs>
                <w:tab w:val="left" w:pos="-1080"/>
              </w:tabs>
              <w:autoSpaceDE w:val="0"/>
              <w:autoSpaceDN w:val="0"/>
              <w:adjustRightInd w:val="0"/>
              <w:ind w:left="15"/>
              <w:jc w:val="center"/>
              <w:rPr>
                <w:sz w:val="22"/>
                <w:szCs w:val="22"/>
              </w:rPr>
            </w:pPr>
            <w:r w:rsidRPr="008912CF">
              <w:rPr>
                <w:sz w:val="22"/>
                <w:szCs w:val="22"/>
              </w:rPr>
              <w:t>48,4%</w:t>
            </w:r>
          </w:p>
        </w:tc>
        <w:tc>
          <w:tcPr>
            <w:tcW w:w="1147" w:type="dxa"/>
            <w:tcBorders>
              <w:top w:val="single" w:sz="6" w:space="0" w:color="000000"/>
              <w:left w:val="single" w:sz="6" w:space="0" w:color="000000"/>
              <w:bottom w:val="single" w:sz="6" w:space="0" w:color="000000"/>
              <w:right w:val="single" w:sz="6" w:space="0" w:color="000000"/>
            </w:tcBorders>
          </w:tcPr>
          <w:p w14:paraId="785ECE8E" w14:textId="77777777" w:rsidR="00E549E4" w:rsidRPr="008912CF" w:rsidRDefault="00615769" w:rsidP="00B538F3">
            <w:pPr>
              <w:keepNext/>
              <w:keepLines/>
              <w:tabs>
                <w:tab w:val="left" w:pos="-1080"/>
              </w:tabs>
              <w:autoSpaceDE w:val="0"/>
              <w:autoSpaceDN w:val="0"/>
              <w:adjustRightInd w:val="0"/>
              <w:ind w:left="15"/>
              <w:jc w:val="center"/>
              <w:rPr>
                <w:sz w:val="22"/>
                <w:szCs w:val="22"/>
              </w:rPr>
            </w:pPr>
            <w:r w:rsidRPr="008912CF">
              <w:rPr>
                <w:sz w:val="22"/>
                <w:szCs w:val="22"/>
              </w:rPr>
              <w:t>0,073</w:t>
            </w:r>
          </w:p>
        </w:tc>
      </w:tr>
      <w:tr w:rsidR="00A7162A" w14:paraId="1FF09DFE" w14:textId="77777777" w:rsidTr="00AB0B1F">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40F93155" w14:textId="77777777" w:rsidR="00E549E4" w:rsidRPr="008912CF" w:rsidRDefault="00615769" w:rsidP="00B538F3">
            <w:pPr>
              <w:keepNext/>
              <w:keepLines/>
              <w:tabs>
                <w:tab w:val="left" w:pos="-1080"/>
              </w:tabs>
              <w:autoSpaceDE w:val="0"/>
              <w:autoSpaceDN w:val="0"/>
              <w:adjustRightInd w:val="0"/>
              <w:ind w:left="15"/>
              <w:rPr>
                <w:b/>
                <w:bCs/>
                <w:sz w:val="22"/>
                <w:szCs w:val="22"/>
              </w:rPr>
            </w:pPr>
            <w:r w:rsidRPr="008912CF">
              <w:rPr>
                <w:b/>
                <w:bCs/>
                <w:sz w:val="22"/>
                <w:szCs w:val="22"/>
              </w:rPr>
              <w:t>Semana 52</w:t>
            </w:r>
          </w:p>
        </w:tc>
        <w:tc>
          <w:tcPr>
            <w:tcW w:w="1614" w:type="dxa"/>
            <w:tcBorders>
              <w:top w:val="single" w:sz="6" w:space="0" w:color="000000"/>
              <w:left w:val="single" w:sz="6" w:space="0" w:color="000000"/>
              <w:bottom w:val="single" w:sz="6" w:space="0" w:color="000000"/>
              <w:right w:val="single" w:sz="6" w:space="0" w:color="000000"/>
            </w:tcBorders>
            <w:vAlign w:val="bottom"/>
          </w:tcPr>
          <w:p w14:paraId="32E663A5" w14:textId="77777777" w:rsidR="00E549E4" w:rsidRPr="008912CF" w:rsidRDefault="00E549E4" w:rsidP="00B538F3">
            <w:pPr>
              <w:keepNext/>
              <w:keepLines/>
              <w:tabs>
                <w:tab w:val="left" w:pos="-1080"/>
              </w:tabs>
              <w:autoSpaceDE w:val="0"/>
              <w:autoSpaceDN w:val="0"/>
              <w:adjustRightInd w:val="0"/>
              <w:ind w:left="15"/>
              <w:jc w:val="center"/>
              <w:rPr>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4B897BA5" w14:textId="77777777" w:rsidR="00E549E4" w:rsidRPr="008912CF" w:rsidRDefault="00E549E4" w:rsidP="00B538F3">
            <w:pPr>
              <w:keepNext/>
              <w:keepLines/>
              <w:tabs>
                <w:tab w:val="left" w:pos="-1080"/>
              </w:tabs>
              <w:autoSpaceDE w:val="0"/>
              <w:autoSpaceDN w:val="0"/>
              <w:adjustRightInd w:val="0"/>
              <w:ind w:left="15"/>
              <w:jc w:val="center"/>
              <w:rPr>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74594673" w14:textId="77777777" w:rsidR="00E549E4" w:rsidRPr="008912CF" w:rsidRDefault="00E549E4" w:rsidP="00B538F3">
            <w:pPr>
              <w:keepNext/>
              <w:autoSpaceDE w:val="0"/>
              <w:autoSpaceDN w:val="0"/>
              <w:adjustRightInd w:val="0"/>
              <w:ind w:left="15"/>
              <w:rPr>
                <w:b/>
                <w:bCs/>
                <w:sz w:val="22"/>
                <w:szCs w:val="22"/>
              </w:rPr>
            </w:pPr>
          </w:p>
        </w:tc>
      </w:tr>
      <w:tr w:rsidR="00A7162A" w14:paraId="12DB8080" w14:textId="77777777" w:rsidTr="00AB0B1F">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6CE9E89F" w14:textId="77777777" w:rsidR="00E549E4" w:rsidRPr="008912CF" w:rsidRDefault="00615769" w:rsidP="00B538F3">
            <w:pPr>
              <w:keepNext/>
              <w:keepLines/>
              <w:tabs>
                <w:tab w:val="left" w:pos="-1080"/>
              </w:tabs>
              <w:autoSpaceDE w:val="0"/>
              <w:autoSpaceDN w:val="0"/>
              <w:adjustRightInd w:val="0"/>
              <w:ind w:left="15"/>
              <w:rPr>
                <w:sz w:val="22"/>
                <w:szCs w:val="22"/>
              </w:rPr>
            </w:pPr>
            <w:r w:rsidRPr="008912CF">
              <w:rPr>
                <w:sz w:val="22"/>
                <w:szCs w:val="22"/>
              </w:rPr>
              <w:t xml:space="preserve">   Remissão clínica</w:t>
            </w:r>
          </w:p>
        </w:tc>
        <w:tc>
          <w:tcPr>
            <w:tcW w:w="1614" w:type="dxa"/>
            <w:tcBorders>
              <w:top w:val="single" w:sz="6" w:space="0" w:color="000000"/>
              <w:left w:val="single" w:sz="6" w:space="0" w:color="000000"/>
              <w:bottom w:val="single" w:sz="6" w:space="0" w:color="000000"/>
              <w:right w:val="single" w:sz="6" w:space="0" w:color="000000"/>
            </w:tcBorders>
            <w:vAlign w:val="bottom"/>
          </w:tcPr>
          <w:p w14:paraId="648E0350" w14:textId="77777777" w:rsidR="00E549E4" w:rsidRPr="008912CF" w:rsidRDefault="00615769" w:rsidP="00B538F3">
            <w:pPr>
              <w:keepNext/>
              <w:keepLines/>
              <w:tabs>
                <w:tab w:val="left" w:pos="-1080"/>
              </w:tabs>
              <w:autoSpaceDE w:val="0"/>
              <w:autoSpaceDN w:val="0"/>
              <w:adjustRightInd w:val="0"/>
              <w:ind w:left="15"/>
              <w:jc w:val="center"/>
              <w:rPr>
                <w:sz w:val="22"/>
                <w:szCs w:val="22"/>
              </w:rPr>
            </w:pPr>
            <w:r w:rsidRPr="008912CF">
              <w:rPr>
                <w:sz w:val="22"/>
                <w:szCs w:val="22"/>
              </w:rPr>
              <w:t>33,3%</w:t>
            </w:r>
          </w:p>
        </w:tc>
        <w:tc>
          <w:tcPr>
            <w:tcW w:w="1591" w:type="dxa"/>
            <w:tcBorders>
              <w:top w:val="single" w:sz="6" w:space="0" w:color="000000"/>
              <w:left w:val="single" w:sz="6" w:space="0" w:color="000000"/>
              <w:bottom w:val="single" w:sz="6" w:space="0" w:color="000000"/>
              <w:right w:val="single" w:sz="6" w:space="0" w:color="000000"/>
            </w:tcBorders>
            <w:vAlign w:val="bottom"/>
          </w:tcPr>
          <w:p w14:paraId="3721EF1A" w14:textId="77777777" w:rsidR="00E549E4" w:rsidRPr="008912CF" w:rsidRDefault="00615769" w:rsidP="00B538F3">
            <w:pPr>
              <w:keepNext/>
              <w:keepLines/>
              <w:tabs>
                <w:tab w:val="left" w:pos="-1080"/>
              </w:tabs>
              <w:autoSpaceDE w:val="0"/>
              <w:autoSpaceDN w:val="0"/>
              <w:adjustRightInd w:val="0"/>
              <w:ind w:left="15"/>
              <w:jc w:val="center"/>
              <w:rPr>
                <w:sz w:val="22"/>
                <w:szCs w:val="22"/>
              </w:rPr>
            </w:pPr>
            <w:r w:rsidRPr="008912CF">
              <w:rPr>
                <w:sz w:val="22"/>
                <w:szCs w:val="22"/>
              </w:rPr>
              <w:t>23,2%</w:t>
            </w:r>
          </w:p>
        </w:tc>
        <w:tc>
          <w:tcPr>
            <w:tcW w:w="1147" w:type="dxa"/>
            <w:tcBorders>
              <w:top w:val="single" w:sz="6" w:space="0" w:color="000000"/>
              <w:left w:val="single" w:sz="6" w:space="0" w:color="000000"/>
              <w:bottom w:val="single" w:sz="6" w:space="0" w:color="000000"/>
              <w:right w:val="single" w:sz="6" w:space="0" w:color="000000"/>
            </w:tcBorders>
            <w:vAlign w:val="bottom"/>
          </w:tcPr>
          <w:p w14:paraId="2BDE8686" w14:textId="77777777" w:rsidR="00E549E4" w:rsidRPr="008912CF" w:rsidRDefault="00615769" w:rsidP="00B538F3">
            <w:pPr>
              <w:keepNext/>
              <w:keepLines/>
              <w:tabs>
                <w:tab w:val="left" w:pos="-1080"/>
              </w:tabs>
              <w:autoSpaceDE w:val="0"/>
              <w:autoSpaceDN w:val="0"/>
              <w:adjustRightInd w:val="0"/>
              <w:ind w:left="15"/>
              <w:jc w:val="center"/>
              <w:rPr>
                <w:sz w:val="22"/>
                <w:szCs w:val="22"/>
              </w:rPr>
            </w:pPr>
            <w:r w:rsidRPr="008912CF">
              <w:rPr>
                <w:sz w:val="22"/>
                <w:szCs w:val="22"/>
              </w:rPr>
              <w:t>0,100</w:t>
            </w:r>
          </w:p>
        </w:tc>
      </w:tr>
      <w:tr w:rsidR="00A7162A" w14:paraId="7B9DC91F" w14:textId="77777777" w:rsidTr="00AB0B1F">
        <w:trPr>
          <w:jc w:val="center"/>
        </w:trPr>
        <w:tc>
          <w:tcPr>
            <w:tcW w:w="2321" w:type="dxa"/>
            <w:tcBorders>
              <w:top w:val="single" w:sz="6" w:space="0" w:color="000000"/>
              <w:left w:val="single" w:sz="6" w:space="0" w:color="000000"/>
              <w:bottom w:val="single" w:sz="6" w:space="0" w:color="000000"/>
              <w:right w:val="single" w:sz="6" w:space="0" w:color="000000"/>
            </w:tcBorders>
          </w:tcPr>
          <w:p w14:paraId="09DD5C5C" w14:textId="77777777" w:rsidR="00E549E4" w:rsidRPr="008912CF" w:rsidRDefault="00615769" w:rsidP="00B538F3">
            <w:pPr>
              <w:keepNext/>
              <w:keepLines/>
              <w:tabs>
                <w:tab w:val="left" w:pos="-1080"/>
              </w:tabs>
              <w:autoSpaceDE w:val="0"/>
              <w:autoSpaceDN w:val="0"/>
              <w:adjustRightInd w:val="0"/>
              <w:ind w:left="15"/>
              <w:rPr>
                <w:sz w:val="22"/>
                <w:szCs w:val="22"/>
              </w:rPr>
            </w:pPr>
            <w:r w:rsidRPr="008912CF">
              <w:rPr>
                <w:sz w:val="22"/>
                <w:szCs w:val="22"/>
              </w:rPr>
              <w:t xml:space="preserve">   Resposta clínica</w:t>
            </w:r>
          </w:p>
        </w:tc>
        <w:tc>
          <w:tcPr>
            <w:tcW w:w="1614" w:type="dxa"/>
            <w:tcBorders>
              <w:top w:val="single" w:sz="6" w:space="0" w:color="000000"/>
              <w:left w:val="single" w:sz="6" w:space="0" w:color="000000"/>
              <w:bottom w:val="single" w:sz="6" w:space="0" w:color="000000"/>
              <w:right w:val="single" w:sz="6" w:space="0" w:color="000000"/>
            </w:tcBorders>
          </w:tcPr>
          <w:p w14:paraId="0C2CEF32" w14:textId="77777777" w:rsidR="00E549E4" w:rsidRPr="008912CF" w:rsidRDefault="00615769" w:rsidP="00B538F3">
            <w:pPr>
              <w:keepNext/>
              <w:keepLines/>
              <w:tabs>
                <w:tab w:val="left" w:pos="-1080"/>
              </w:tabs>
              <w:autoSpaceDE w:val="0"/>
              <w:autoSpaceDN w:val="0"/>
              <w:adjustRightInd w:val="0"/>
              <w:ind w:left="15"/>
              <w:jc w:val="center"/>
              <w:rPr>
                <w:sz w:val="22"/>
                <w:szCs w:val="22"/>
              </w:rPr>
            </w:pPr>
            <w:r w:rsidRPr="008912CF">
              <w:rPr>
                <w:sz w:val="22"/>
                <w:szCs w:val="22"/>
              </w:rPr>
              <w:t>41,9%</w:t>
            </w:r>
          </w:p>
        </w:tc>
        <w:tc>
          <w:tcPr>
            <w:tcW w:w="1591" w:type="dxa"/>
            <w:tcBorders>
              <w:top w:val="single" w:sz="6" w:space="0" w:color="000000"/>
              <w:left w:val="single" w:sz="6" w:space="0" w:color="000000"/>
              <w:bottom w:val="single" w:sz="6" w:space="0" w:color="000000"/>
              <w:right w:val="single" w:sz="6" w:space="0" w:color="000000"/>
            </w:tcBorders>
          </w:tcPr>
          <w:p w14:paraId="32E1065D" w14:textId="77777777" w:rsidR="00E549E4" w:rsidRPr="008912CF" w:rsidRDefault="00615769" w:rsidP="00B538F3">
            <w:pPr>
              <w:keepNext/>
              <w:keepLines/>
              <w:tabs>
                <w:tab w:val="left" w:pos="-1080"/>
              </w:tabs>
              <w:autoSpaceDE w:val="0"/>
              <w:autoSpaceDN w:val="0"/>
              <w:adjustRightInd w:val="0"/>
              <w:ind w:left="15"/>
              <w:jc w:val="center"/>
              <w:rPr>
                <w:sz w:val="22"/>
                <w:szCs w:val="22"/>
              </w:rPr>
            </w:pPr>
            <w:r w:rsidRPr="008912CF">
              <w:rPr>
                <w:sz w:val="22"/>
                <w:szCs w:val="22"/>
              </w:rPr>
              <w:t>28,4%</w:t>
            </w:r>
          </w:p>
        </w:tc>
        <w:tc>
          <w:tcPr>
            <w:tcW w:w="1147" w:type="dxa"/>
            <w:tcBorders>
              <w:top w:val="single" w:sz="6" w:space="0" w:color="000000"/>
              <w:left w:val="single" w:sz="6" w:space="0" w:color="000000"/>
              <w:bottom w:val="single" w:sz="6" w:space="0" w:color="000000"/>
              <w:right w:val="single" w:sz="6" w:space="0" w:color="000000"/>
            </w:tcBorders>
          </w:tcPr>
          <w:p w14:paraId="7DBDF646" w14:textId="77777777" w:rsidR="00E549E4" w:rsidRPr="008912CF" w:rsidRDefault="00615769" w:rsidP="00B538F3">
            <w:pPr>
              <w:keepNext/>
              <w:keepLines/>
              <w:tabs>
                <w:tab w:val="left" w:pos="-1080"/>
              </w:tabs>
              <w:autoSpaceDE w:val="0"/>
              <w:autoSpaceDN w:val="0"/>
              <w:adjustRightInd w:val="0"/>
              <w:ind w:left="15"/>
              <w:jc w:val="center"/>
              <w:rPr>
                <w:sz w:val="22"/>
                <w:szCs w:val="22"/>
              </w:rPr>
            </w:pPr>
            <w:r w:rsidRPr="008912CF">
              <w:rPr>
                <w:sz w:val="22"/>
                <w:szCs w:val="22"/>
              </w:rPr>
              <w:t>0,038</w:t>
            </w:r>
          </w:p>
        </w:tc>
      </w:tr>
      <w:tr w:rsidR="00A7162A" w14:paraId="11DA6E27" w14:textId="77777777" w:rsidTr="00AB0B1F">
        <w:trPr>
          <w:jc w:val="center"/>
        </w:trPr>
        <w:tc>
          <w:tcPr>
            <w:tcW w:w="6673" w:type="dxa"/>
            <w:gridSpan w:val="4"/>
            <w:tcBorders>
              <w:top w:val="single" w:sz="6" w:space="0" w:color="000000"/>
              <w:left w:val="single" w:sz="6" w:space="0" w:color="000000"/>
              <w:bottom w:val="single" w:sz="6" w:space="0" w:color="000000"/>
              <w:right w:val="single" w:sz="6" w:space="0" w:color="000000"/>
            </w:tcBorders>
          </w:tcPr>
          <w:p w14:paraId="6F39A777" w14:textId="77777777" w:rsidR="00E549E4" w:rsidRPr="008912CF" w:rsidRDefault="00615769" w:rsidP="00B538F3">
            <w:pPr>
              <w:keepNext/>
              <w:keepLines/>
              <w:tabs>
                <w:tab w:val="left" w:pos="-1080"/>
              </w:tabs>
              <w:autoSpaceDE w:val="0"/>
              <w:autoSpaceDN w:val="0"/>
              <w:adjustRightInd w:val="0"/>
              <w:ind w:left="15"/>
              <w:rPr>
                <w:sz w:val="22"/>
                <w:szCs w:val="22"/>
              </w:rPr>
            </w:pPr>
            <w:r w:rsidRPr="008912CF">
              <w:rPr>
                <w:sz w:val="22"/>
                <w:szCs w:val="22"/>
              </w:rPr>
              <w:t>*valor</w:t>
            </w:r>
            <w:r>
              <w:rPr>
                <w:sz w:val="22"/>
                <w:szCs w:val="22"/>
              </w:rPr>
              <w:t>-p</w:t>
            </w:r>
            <w:r w:rsidRPr="008912CF">
              <w:rPr>
                <w:sz w:val="22"/>
                <w:szCs w:val="22"/>
              </w:rPr>
              <w:t xml:space="preserve"> para comparação Dose Padrão </w:t>
            </w:r>
            <w:r w:rsidRPr="008912CF">
              <w:rPr>
                <w:i/>
                <w:iCs/>
                <w:sz w:val="22"/>
                <w:szCs w:val="22"/>
              </w:rPr>
              <w:t>versus</w:t>
            </w:r>
            <w:r w:rsidRPr="008912CF">
              <w:rPr>
                <w:sz w:val="22"/>
                <w:szCs w:val="22"/>
              </w:rPr>
              <w:t xml:space="preserve"> Baixa Dose.</w:t>
            </w:r>
          </w:p>
        </w:tc>
      </w:tr>
    </w:tbl>
    <w:p w14:paraId="03C093A1" w14:textId="77777777" w:rsidR="00E549E4" w:rsidRPr="008912CF" w:rsidRDefault="00E549E4" w:rsidP="00E549E4">
      <w:pPr>
        <w:keepNext/>
        <w:rPr>
          <w:sz w:val="22"/>
          <w:szCs w:val="22"/>
        </w:rPr>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A7162A" w14:paraId="5A9171F6" w14:textId="77777777" w:rsidTr="00AB0B1F">
        <w:trPr>
          <w:jc w:val="center"/>
        </w:trPr>
        <w:tc>
          <w:tcPr>
            <w:tcW w:w="8440" w:type="dxa"/>
            <w:gridSpan w:val="4"/>
            <w:tcBorders>
              <w:top w:val="single" w:sz="6" w:space="0" w:color="000000"/>
              <w:left w:val="single" w:sz="6" w:space="0" w:color="000000"/>
              <w:bottom w:val="single" w:sz="6" w:space="0" w:color="000000"/>
              <w:right w:val="single" w:sz="6" w:space="0" w:color="000000"/>
            </w:tcBorders>
          </w:tcPr>
          <w:p w14:paraId="0DEC4994" w14:textId="77777777" w:rsidR="00E549E4" w:rsidRPr="008912CF" w:rsidRDefault="00615769" w:rsidP="00AB0B1F">
            <w:pPr>
              <w:keepNext/>
              <w:tabs>
                <w:tab w:val="left" w:pos="-878"/>
              </w:tabs>
              <w:autoSpaceDE w:val="0"/>
              <w:autoSpaceDN w:val="0"/>
              <w:adjustRightInd w:val="0"/>
              <w:jc w:val="center"/>
              <w:rPr>
                <w:b/>
                <w:bCs/>
                <w:sz w:val="22"/>
                <w:szCs w:val="22"/>
              </w:rPr>
            </w:pPr>
            <w:r w:rsidRPr="008912CF">
              <w:rPr>
                <w:b/>
                <w:bCs/>
                <w:sz w:val="22"/>
                <w:szCs w:val="22"/>
              </w:rPr>
              <w:t xml:space="preserve">Tabela </w:t>
            </w:r>
            <w:r w:rsidR="00120C36">
              <w:rPr>
                <w:b/>
                <w:bCs/>
                <w:sz w:val="22"/>
                <w:szCs w:val="22"/>
              </w:rPr>
              <w:t>30</w:t>
            </w:r>
          </w:p>
          <w:p w14:paraId="3CCF6E2F" w14:textId="77777777" w:rsidR="00E549E4" w:rsidRPr="008912CF" w:rsidRDefault="00615769" w:rsidP="00AB0B1F">
            <w:pPr>
              <w:pStyle w:val="BodyText2"/>
              <w:keepNext/>
              <w:autoSpaceDE/>
              <w:autoSpaceDN/>
              <w:adjustRightInd/>
              <w:jc w:val="center"/>
              <w:rPr>
                <w:b/>
                <w:bCs/>
                <w:szCs w:val="22"/>
              </w:rPr>
            </w:pPr>
            <w:r w:rsidRPr="008912CF">
              <w:rPr>
                <w:b/>
                <w:szCs w:val="22"/>
              </w:rPr>
              <w:t>Estudo de DC Pediátrica</w:t>
            </w:r>
          </w:p>
          <w:p w14:paraId="7CC2DC7C" w14:textId="77777777" w:rsidR="00E549E4" w:rsidRPr="008912CF" w:rsidRDefault="00615769" w:rsidP="00AB0B1F">
            <w:pPr>
              <w:keepNext/>
              <w:tabs>
                <w:tab w:val="left" w:pos="-878"/>
              </w:tabs>
              <w:autoSpaceDE w:val="0"/>
              <w:autoSpaceDN w:val="0"/>
              <w:adjustRightInd w:val="0"/>
              <w:jc w:val="center"/>
              <w:rPr>
                <w:b/>
                <w:bCs/>
                <w:sz w:val="22"/>
                <w:szCs w:val="22"/>
              </w:rPr>
            </w:pPr>
            <w:r w:rsidRPr="008912CF">
              <w:rPr>
                <w:b/>
                <w:bCs/>
                <w:sz w:val="22"/>
                <w:szCs w:val="22"/>
              </w:rPr>
              <w:t>Descontinuação de Corticosteroides ou Imunomoduladores e Remissão das Fístulas</w:t>
            </w:r>
          </w:p>
        </w:tc>
      </w:tr>
      <w:tr w:rsidR="00A7162A" w14:paraId="39597BA6" w14:textId="77777777" w:rsidTr="00AB0B1F">
        <w:trPr>
          <w:jc w:val="center"/>
        </w:trPr>
        <w:tc>
          <w:tcPr>
            <w:tcW w:w="4025" w:type="dxa"/>
            <w:tcBorders>
              <w:top w:val="single" w:sz="6" w:space="0" w:color="000000"/>
              <w:left w:val="single" w:sz="6" w:space="0" w:color="000000"/>
              <w:bottom w:val="single" w:sz="6" w:space="0" w:color="000000"/>
              <w:right w:val="single" w:sz="6" w:space="0" w:color="000000"/>
            </w:tcBorders>
          </w:tcPr>
          <w:p w14:paraId="18CDE062" w14:textId="77777777" w:rsidR="00E549E4" w:rsidRPr="008912CF" w:rsidRDefault="00E549E4" w:rsidP="00AB0B1F">
            <w:pPr>
              <w:keepNext/>
              <w:keepLines/>
              <w:tabs>
                <w:tab w:val="left" w:pos="-1080"/>
              </w:tabs>
              <w:autoSpaceDE w:val="0"/>
              <w:autoSpaceDN w:val="0"/>
              <w:adjustRightInd w:val="0"/>
              <w:jc w:val="center"/>
              <w:rPr>
                <w:b/>
                <w:bCs/>
                <w:sz w:val="22"/>
                <w:szCs w:val="22"/>
              </w:rPr>
            </w:pPr>
          </w:p>
        </w:tc>
        <w:tc>
          <w:tcPr>
            <w:tcW w:w="1656" w:type="dxa"/>
            <w:tcBorders>
              <w:top w:val="single" w:sz="6" w:space="0" w:color="000000"/>
              <w:left w:val="single" w:sz="6" w:space="0" w:color="000000"/>
              <w:bottom w:val="single" w:sz="6" w:space="0" w:color="000000"/>
              <w:right w:val="single" w:sz="6" w:space="0" w:color="000000"/>
            </w:tcBorders>
          </w:tcPr>
          <w:p w14:paraId="2D25C64D" w14:textId="77777777" w:rsidR="00E549E4" w:rsidRPr="008912CF" w:rsidRDefault="00615769" w:rsidP="00AB0B1F">
            <w:pPr>
              <w:keepNext/>
              <w:keepLines/>
              <w:tabs>
                <w:tab w:val="left" w:pos="-1080"/>
              </w:tabs>
              <w:autoSpaceDE w:val="0"/>
              <w:autoSpaceDN w:val="0"/>
              <w:adjustRightInd w:val="0"/>
              <w:ind w:left="15"/>
              <w:jc w:val="center"/>
              <w:rPr>
                <w:b/>
                <w:bCs/>
                <w:sz w:val="22"/>
                <w:szCs w:val="22"/>
              </w:rPr>
            </w:pPr>
            <w:r w:rsidRPr="008912CF">
              <w:rPr>
                <w:b/>
                <w:bCs/>
                <w:sz w:val="22"/>
                <w:szCs w:val="22"/>
              </w:rPr>
              <w:t>Dose Padrão</w:t>
            </w:r>
          </w:p>
          <w:p w14:paraId="1D354261" w14:textId="77777777" w:rsidR="00E549E4" w:rsidRPr="008912CF" w:rsidRDefault="00615769" w:rsidP="00AB0B1F">
            <w:pPr>
              <w:keepNext/>
              <w:keepLines/>
              <w:tabs>
                <w:tab w:val="left" w:pos="-1080"/>
              </w:tabs>
              <w:autoSpaceDE w:val="0"/>
              <w:autoSpaceDN w:val="0"/>
              <w:adjustRightInd w:val="0"/>
              <w:ind w:left="15"/>
              <w:jc w:val="center"/>
              <w:rPr>
                <w:b/>
                <w:bCs/>
                <w:sz w:val="22"/>
                <w:szCs w:val="22"/>
              </w:rPr>
            </w:pPr>
            <w:r w:rsidRPr="008912CF">
              <w:rPr>
                <w:b/>
                <w:bCs/>
                <w:sz w:val="22"/>
                <w:szCs w:val="22"/>
              </w:rPr>
              <w:t xml:space="preserve">40/20 mg em semanas alternadas </w:t>
            </w:r>
          </w:p>
        </w:tc>
        <w:tc>
          <w:tcPr>
            <w:tcW w:w="1619" w:type="dxa"/>
            <w:tcBorders>
              <w:top w:val="single" w:sz="6" w:space="0" w:color="000000"/>
              <w:left w:val="single" w:sz="6" w:space="0" w:color="000000"/>
              <w:bottom w:val="single" w:sz="6" w:space="0" w:color="000000"/>
              <w:right w:val="single" w:sz="6" w:space="0" w:color="000000"/>
            </w:tcBorders>
          </w:tcPr>
          <w:p w14:paraId="1F4044E1" w14:textId="77777777" w:rsidR="00E549E4" w:rsidRPr="008912CF" w:rsidRDefault="00615769" w:rsidP="00AB0B1F">
            <w:pPr>
              <w:keepNext/>
              <w:keepLines/>
              <w:tabs>
                <w:tab w:val="left" w:pos="-1080"/>
              </w:tabs>
              <w:autoSpaceDE w:val="0"/>
              <w:autoSpaceDN w:val="0"/>
              <w:adjustRightInd w:val="0"/>
              <w:ind w:left="15"/>
              <w:jc w:val="center"/>
              <w:rPr>
                <w:b/>
                <w:bCs/>
                <w:sz w:val="22"/>
                <w:szCs w:val="22"/>
              </w:rPr>
            </w:pPr>
            <w:r w:rsidRPr="008912CF">
              <w:rPr>
                <w:b/>
                <w:bCs/>
                <w:sz w:val="22"/>
                <w:szCs w:val="22"/>
              </w:rPr>
              <w:t>Baixa Dose</w:t>
            </w:r>
          </w:p>
          <w:p w14:paraId="7F9F23B5" w14:textId="77777777" w:rsidR="00E549E4" w:rsidRPr="008912CF" w:rsidRDefault="00615769" w:rsidP="00AB0B1F">
            <w:pPr>
              <w:keepNext/>
              <w:keepLines/>
              <w:tabs>
                <w:tab w:val="left" w:pos="-1080"/>
              </w:tabs>
              <w:autoSpaceDE w:val="0"/>
              <w:autoSpaceDN w:val="0"/>
              <w:adjustRightInd w:val="0"/>
              <w:ind w:left="15"/>
              <w:jc w:val="center"/>
              <w:rPr>
                <w:b/>
                <w:bCs/>
                <w:sz w:val="22"/>
                <w:szCs w:val="22"/>
              </w:rPr>
            </w:pPr>
            <w:r w:rsidRPr="008912CF">
              <w:rPr>
                <w:b/>
                <w:bCs/>
                <w:sz w:val="22"/>
                <w:szCs w:val="22"/>
              </w:rPr>
              <w:t xml:space="preserve">20/10 mg em semanas alternadas </w:t>
            </w:r>
          </w:p>
        </w:tc>
        <w:tc>
          <w:tcPr>
            <w:tcW w:w="1140" w:type="dxa"/>
            <w:tcBorders>
              <w:top w:val="single" w:sz="6" w:space="0" w:color="000000"/>
              <w:left w:val="single" w:sz="6" w:space="0" w:color="000000"/>
              <w:bottom w:val="single" w:sz="6" w:space="0" w:color="000000"/>
              <w:right w:val="single" w:sz="6" w:space="0" w:color="000000"/>
            </w:tcBorders>
          </w:tcPr>
          <w:p w14:paraId="1729CAE5" w14:textId="77777777" w:rsidR="00E549E4" w:rsidRPr="008912CF" w:rsidRDefault="00615769" w:rsidP="00AB0B1F">
            <w:pPr>
              <w:keepNext/>
              <w:keepLines/>
              <w:tabs>
                <w:tab w:val="left" w:pos="-1080"/>
              </w:tabs>
              <w:autoSpaceDE w:val="0"/>
              <w:autoSpaceDN w:val="0"/>
              <w:adjustRightInd w:val="0"/>
              <w:ind w:left="15"/>
              <w:jc w:val="center"/>
              <w:rPr>
                <w:b/>
                <w:bCs/>
                <w:sz w:val="22"/>
                <w:szCs w:val="22"/>
              </w:rPr>
            </w:pPr>
            <w:r w:rsidRPr="008912CF">
              <w:rPr>
                <w:b/>
                <w:bCs/>
                <w:sz w:val="22"/>
                <w:szCs w:val="22"/>
              </w:rPr>
              <w:t>valor</w:t>
            </w:r>
            <w:r>
              <w:rPr>
                <w:b/>
                <w:bCs/>
                <w:sz w:val="22"/>
                <w:szCs w:val="22"/>
              </w:rPr>
              <w:t>-p</w:t>
            </w:r>
            <w:r w:rsidRPr="008912CF">
              <w:rPr>
                <w:b/>
                <w:bCs/>
                <w:sz w:val="22"/>
                <w:szCs w:val="22"/>
                <w:vertAlign w:val="superscript"/>
              </w:rPr>
              <w:t xml:space="preserve"> 1</w:t>
            </w:r>
          </w:p>
        </w:tc>
      </w:tr>
      <w:tr w:rsidR="00A7162A" w14:paraId="7F98C31D" w14:textId="77777777" w:rsidTr="00AB0B1F">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38E95B95" w14:textId="77777777" w:rsidR="00E549E4" w:rsidRPr="008912CF" w:rsidRDefault="00615769" w:rsidP="00AB0B1F">
            <w:pPr>
              <w:keepNext/>
              <w:keepLines/>
              <w:tabs>
                <w:tab w:val="left" w:pos="-1080"/>
              </w:tabs>
              <w:autoSpaceDE w:val="0"/>
              <w:autoSpaceDN w:val="0"/>
              <w:adjustRightInd w:val="0"/>
              <w:rPr>
                <w:b/>
                <w:sz w:val="22"/>
                <w:szCs w:val="22"/>
              </w:rPr>
            </w:pPr>
            <w:r w:rsidRPr="008912CF">
              <w:rPr>
                <w:b/>
                <w:sz w:val="22"/>
                <w:szCs w:val="22"/>
              </w:rPr>
              <w:t>Descontinuação de corticosteroides</w:t>
            </w:r>
          </w:p>
        </w:tc>
        <w:tc>
          <w:tcPr>
            <w:tcW w:w="1656" w:type="dxa"/>
            <w:tcBorders>
              <w:top w:val="single" w:sz="6" w:space="0" w:color="000000"/>
              <w:left w:val="single" w:sz="6" w:space="0" w:color="000000"/>
              <w:bottom w:val="single" w:sz="6" w:space="0" w:color="000000"/>
              <w:right w:val="single" w:sz="6" w:space="0" w:color="000000"/>
            </w:tcBorders>
            <w:vAlign w:val="bottom"/>
          </w:tcPr>
          <w:p w14:paraId="6B6B3985" w14:textId="77777777" w:rsidR="00E549E4" w:rsidRPr="008912CF" w:rsidRDefault="00615769" w:rsidP="00AB0B1F">
            <w:pPr>
              <w:keepNext/>
              <w:keepLines/>
              <w:tabs>
                <w:tab w:val="left" w:pos="-1080"/>
              </w:tabs>
              <w:autoSpaceDE w:val="0"/>
              <w:autoSpaceDN w:val="0"/>
              <w:adjustRightInd w:val="0"/>
              <w:ind w:left="15"/>
              <w:jc w:val="center"/>
              <w:rPr>
                <w:b/>
                <w:sz w:val="22"/>
                <w:szCs w:val="22"/>
              </w:rPr>
            </w:pPr>
            <w:r w:rsidRPr="008912CF">
              <w:rPr>
                <w:b/>
                <w:sz w:val="22"/>
                <w:szCs w:val="22"/>
              </w:rPr>
              <w:t>N= 33</w:t>
            </w:r>
          </w:p>
        </w:tc>
        <w:tc>
          <w:tcPr>
            <w:tcW w:w="1619" w:type="dxa"/>
            <w:tcBorders>
              <w:top w:val="single" w:sz="6" w:space="0" w:color="000000"/>
              <w:left w:val="single" w:sz="6" w:space="0" w:color="000000"/>
              <w:bottom w:val="single" w:sz="6" w:space="0" w:color="000000"/>
              <w:right w:val="single" w:sz="6" w:space="0" w:color="000000"/>
            </w:tcBorders>
            <w:vAlign w:val="bottom"/>
          </w:tcPr>
          <w:p w14:paraId="0B8A8DB8" w14:textId="77777777" w:rsidR="00E549E4" w:rsidRPr="008912CF" w:rsidRDefault="00615769" w:rsidP="00AB0B1F">
            <w:pPr>
              <w:keepNext/>
              <w:keepLines/>
              <w:tabs>
                <w:tab w:val="left" w:pos="-1080"/>
              </w:tabs>
              <w:autoSpaceDE w:val="0"/>
              <w:autoSpaceDN w:val="0"/>
              <w:adjustRightInd w:val="0"/>
              <w:ind w:left="15"/>
              <w:jc w:val="center"/>
              <w:rPr>
                <w:b/>
                <w:sz w:val="22"/>
                <w:szCs w:val="22"/>
              </w:rPr>
            </w:pPr>
            <w:r w:rsidRPr="008912CF">
              <w:rPr>
                <w:b/>
                <w:sz w:val="22"/>
                <w:szCs w:val="22"/>
              </w:rPr>
              <w:t>N=38</w:t>
            </w:r>
          </w:p>
        </w:tc>
        <w:tc>
          <w:tcPr>
            <w:tcW w:w="1140" w:type="dxa"/>
            <w:tcBorders>
              <w:top w:val="single" w:sz="6" w:space="0" w:color="000000"/>
              <w:left w:val="single" w:sz="6" w:space="0" w:color="000000"/>
              <w:bottom w:val="single" w:sz="6" w:space="0" w:color="000000"/>
              <w:right w:val="single" w:sz="6" w:space="0" w:color="000000"/>
            </w:tcBorders>
            <w:vAlign w:val="bottom"/>
          </w:tcPr>
          <w:p w14:paraId="5D6B7C9F" w14:textId="77777777" w:rsidR="00E549E4" w:rsidRPr="008912CF" w:rsidRDefault="00E549E4" w:rsidP="00AB0B1F">
            <w:pPr>
              <w:keepNext/>
              <w:autoSpaceDE w:val="0"/>
              <w:autoSpaceDN w:val="0"/>
              <w:adjustRightInd w:val="0"/>
              <w:ind w:left="15"/>
              <w:rPr>
                <w:b/>
                <w:sz w:val="22"/>
                <w:szCs w:val="22"/>
              </w:rPr>
            </w:pPr>
          </w:p>
        </w:tc>
      </w:tr>
      <w:tr w:rsidR="00A7162A" w14:paraId="54C061F8" w14:textId="77777777" w:rsidTr="00AB0B1F">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22822A32" w14:textId="77777777" w:rsidR="00E549E4" w:rsidRPr="008912CF" w:rsidRDefault="00615769" w:rsidP="00AB0B1F">
            <w:pPr>
              <w:keepNext/>
              <w:keepLines/>
              <w:tabs>
                <w:tab w:val="left" w:pos="-1080"/>
              </w:tabs>
              <w:autoSpaceDE w:val="0"/>
              <w:autoSpaceDN w:val="0"/>
              <w:adjustRightInd w:val="0"/>
              <w:rPr>
                <w:bCs/>
                <w:sz w:val="22"/>
                <w:szCs w:val="22"/>
              </w:rPr>
            </w:pPr>
            <w:r w:rsidRPr="008912CF">
              <w:rPr>
                <w:bCs/>
                <w:sz w:val="22"/>
                <w:szCs w:val="22"/>
              </w:rPr>
              <w:t>Semana 26</w:t>
            </w:r>
          </w:p>
        </w:tc>
        <w:tc>
          <w:tcPr>
            <w:tcW w:w="1656" w:type="dxa"/>
            <w:tcBorders>
              <w:top w:val="single" w:sz="6" w:space="0" w:color="000000"/>
              <w:left w:val="single" w:sz="6" w:space="0" w:color="000000"/>
              <w:bottom w:val="single" w:sz="6" w:space="0" w:color="000000"/>
              <w:right w:val="single" w:sz="6" w:space="0" w:color="000000"/>
            </w:tcBorders>
            <w:vAlign w:val="bottom"/>
          </w:tcPr>
          <w:p w14:paraId="769980F9" w14:textId="77777777" w:rsidR="00E549E4" w:rsidRPr="008912CF" w:rsidRDefault="00615769" w:rsidP="00AB0B1F">
            <w:pPr>
              <w:keepNext/>
              <w:keepLines/>
              <w:tabs>
                <w:tab w:val="left" w:pos="-1080"/>
              </w:tabs>
              <w:autoSpaceDE w:val="0"/>
              <w:autoSpaceDN w:val="0"/>
              <w:adjustRightInd w:val="0"/>
              <w:ind w:left="15"/>
              <w:jc w:val="center"/>
              <w:rPr>
                <w:sz w:val="22"/>
                <w:szCs w:val="22"/>
              </w:rPr>
            </w:pPr>
            <w:r w:rsidRPr="008912CF">
              <w:rPr>
                <w:sz w:val="22"/>
                <w:szCs w:val="22"/>
              </w:rPr>
              <w:t>84,8%</w:t>
            </w:r>
          </w:p>
        </w:tc>
        <w:tc>
          <w:tcPr>
            <w:tcW w:w="1619" w:type="dxa"/>
            <w:tcBorders>
              <w:top w:val="single" w:sz="6" w:space="0" w:color="000000"/>
              <w:left w:val="single" w:sz="6" w:space="0" w:color="000000"/>
              <w:bottom w:val="single" w:sz="6" w:space="0" w:color="000000"/>
              <w:right w:val="single" w:sz="6" w:space="0" w:color="000000"/>
            </w:tcBorders>
            <w:vAlign w:val="bottom"/>
          </w:tcPr>
          <w:p w14:paraId="79F5D53A" w14:textId="77777777" w:rsidR="00E549E4" w:rsidRPr="008912CF" w:rsidRDefault="00615769" w:rsidP="00AB0B1F">
            <w:pPr>
              <w:keepNext/>
              <w:keepLines/>
              <w:tabs>
                <w:tab w:val="left" w:pos="-1080"/>
              </w:tabs>
              <w:autoSpaceDE w:val="0"/>
              <w:autoSpaceDN w:val="0"/>
              <w:adjustRightInd w:val="0"/>
              <w:ind w:left="15"/>
              <w:jc w:val="center"/>
              <w:rPr>
                <w:sz w:val="22"/>
                <w:szCs w:val="22"/>
              </w:rPr>
            </w:pPr>
            <w:r w:rsidRPr="008912CF">
              <w:rPr>
                <w:sz w:val="22"/>
                <w:szCs w:val="22"/>
              </w:rPr>
              <w:t>65,8%</w:t>
            </w:r>
          </w:p>
        </w:tc>
        <w:tc>
          <w:tcPr>
            <w:tcW w:w="1140" w:type="dxa"/>
            <w:tcBorders>
              <w:top w:val="single" w:sz="6" w:space="0" w:color="000000"/>
              <w:left w:val="single" w:sz="6" w:space="0" w:color="000000"/>
              <w:bottom w:val="single" w:sz="6" w:space="0" w:color="000000"/>
              <w:right w:val="single" w:sz="6" w:space="0" w:color="000000"/>
            </w:tcBorders>
            <w:vAlign w:val="bottom"/>
          </w:tcPr>
          <w:p w14:paraId="67020D2D" w14:textId="77777777" w:rsidR="00E549E4" w:rsidRPr="008912CF" w:rsidRDefault="00615769" w:rsidP="00AB0B1F">
            <w:pPr>
              <w:keepNext/>
              <w:keepLines/>
              <w:tabs>
                <w:tab w:val="left" w:pos="-1080"/>
              </w:tabs>
              <w:autoSpaceDE w:val="0"/>
              <w:autoSpaceDN w:val="0"/>
              <w:adjustRightInd w:val="0"/>
              <w:ind w:left="15"/>
              <w:jc w:val="center"/>
              <w:rPr>
                <w:sz w:val="22"/>
                <w:szCs w:val="22"/>
              </w:rPr>
            </w:pPr>
            <w:r w:rsidRPr="008912CF">
              <w:rPr>
                <w:sz w:val="22"/>
                <w:szCs w:val="22"/>
              </w:rPr>
              <w:t>0,066</w:t>
            </w:r>
          </w:p>
        </w:tc>
      </w:tr>
      <w:tr w:rsidR="00A7162A" w14:paraId="35675360" w14:textId="77777777" w:rsidTr="00AB0B1F">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737B5323" w14:textId="77777777" w:rsidR="00E549E4" w:rsidRPr="008912CF" w:rsidRDefault="00615769" w:rsidP="00AB0B1F">
            <w:pPr>
              <w:keepNext/>
              <w:keepLines/>
              <w:tabs>
                <w:tab w:val="left" w:pos="-1080"/>
              </w:tabs>
              <w:autoSpaceDE w:val="0"/>
              <w:autoSpaceDN w:val="0"/>
              <w:adjustRightInd w:val="0"/>
              <w:rPr>
                <w:bCs/>
                <w:sz w:val="22"/>
                <w:szCs w:val="22"/>
              </w:rPr>
            </w:pPr>
            <w:r w:rsidRPr="008912CF">
              <w:rPr>
                <w:bCs/>
                <w:sz w:val="22"/>
                <w:szCs w:val="22"/>
              </w:rPr>
              <w:t>Semana 52</w:t>
            </w:r>
          </w:p>
        </w:tc>
        <w:tc>
          <w:tcPr>
            <w:tcW w:w="1656" w:type="dxa"/>
            <w:tcBorders>
              <w:top w:val="single" w:sz="6" w:space="0" w:color="000000"/>
              <w:left w:val="single" w:sz="6" w:space="0" w:color="000000"/>
              <w:bottom w:val="single" w:sz="6" w:space="0" w:color="000000"/>
              <w:right w:val="single" w:sz="6" w:space="0" w:color="000000"/>
            </w:tcBorders>
          </w:tcPr>
          <w:p w14:paraId="5D316312" w14:textId="77777777" w:rsidR="00E549E4" w:rsidRPr="008912CF" w:rsidRDefault="00615769" w:rsidP="00AB0B1F">
            <w:pPr>
              <w:keepNext/>
              <w:keepLines/>
              <w:tabs>
                <w:tab w:val="left" w:pos="-1080"/>
              </w:tabs>
              <w:autoSpaceDE w:val="0"/>
              <w:autoSpaceDN w:val="0"/>
              <w:adjustRightInd w:val="0"/>
              <w:ind w:left="15"/>
              <w:jc w:val="center"/>
              <w:rPr>
                <w:sz w:val="22"/>
                <w:szCs w:val="22"/>
              </w:rPr>
            </w:pPr>
            <w:r w:rsidRPr="008912CF">
              <w:rPr>
                <w:sz w:val="22"/>
                <w:szCs w:val="22"/>
              </w:rPr>
              <w:t>69,7%</w:t>
            </w:r>
          </w:p>
        </w:tc>
        <w:tc>
          <w:tcPr>
            <w:tcW w:w="1619" w:type="dxa"/>
            <w:tcBorders>
              <w:top w:val="single" w:sz="6" w:space="0" w:color="000000"/>
              <w:left w:val="single" w:sz="6" w:space="0" w:color="000000"/>
              <w:bottom w:val="single" w:sz="6" w:space="0" w:color="000000"/>
              <w:right w:val="single" w:sz="6" w:space="0" w:color="000000"/>
            </w:tcBorders>
          </w:tcPr>
          <w:p w14:paraId="4AB27F08" w14:textId="77777777" w:rsidR="00E549E4" w:rsidRPr="008912CF" w:rsidRDefault="00615769" w:rsidP="00AB0B1F">
            <w:pPr>
              <w:keepNext/>
              <w:keepLines/>
              <w:tabs>
                <w:tab w:val="left" w:pos="-1080"/>
              </w:tabs>
              <w:autoSpaceDE w:val="0"/>
              <w:autoSpaceDN w:val="0"/>
              <w:adjustRightInd w:val="0"/>
              <w:ind w:left="15"/>
              <w:jc w:val="center"/>
              <w:rPr>
                <w:sz w:val="22"/>
                <w:szCs w:val="22"/>
              </w:rPr>
            </w:pPr>
            <w:r w:rsidRPr="008912CF">
              <w:rPr>
                <w:sz w:val="22"/>
                <w:szCs w:val="22"/>
              </w:rPr>
              <w:t>60,5%</w:t>
            </w:r>
          </w:p>
        </w:tc>
        <w:tc>
          <w:tcPr>
            <w:tcW w:w="1140" w:type="dxa"/>
            <w:tcBorders>
              <w:top w:val="single" w:sz="6" w:space="0" w:color="000000"/>
              <w:left w:val="single" w:sz="6" w:space="0" w:color="000000"/>
              <w:bottom w:val="single" w:sz="6" w:space="0" w:color="000000"/>
              <w:right w:val="single" w:sz="6" w:space="0" w:color="000000"/>
            </w:tcBorders>
            <w:vAlign w:val="bottom"/>
          </w:tcPr>
          <w:p w14:paraId="3CC03969" w14:textId="77777777" w:rsidR="00E549E4" w:rsidRPr="008912CF" w:rsidRDefault="00615769" w:rsidP="00AB0B1F">
            <w:pPr>
              <w:keepNext/>
              <w:keepLines/>
              <w:tabs>
                <w:tab w:val="left" w:pos="-1080"/>
              </w:tabs>
              <w:autoSpaceDE w:val="0"/>
              <w:autoSpaceDN w:val="0"/>
              <w:adjustRightInd w:val="0"/>
              <w:ind w:left="15"/>
              <w:jc w:val="center"/>
              <w:rPr>
                <w:sz w:val="22"/>
                <w:szCs w:val="22"/>
              </w:rPr>
            </w:pPr>
            <w:r w:rsidRPr="008912CF">
              <w:rPr>
                <w:sz w:val="22"/>
                <w:szCs w:val="22"/>
              </w:rPr>
              <w:t>0,420</w:t>
            </w:r>
          </w:p>
        </w:tc>
      </w:tr>
      <w:tr w:rsidR="00A7162A" w14:paraId="4912B5D3" w14:textId="77777777" w:rsidTr="00AB0B1F">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57F668BC" w14:textId="77777777" w:rsidR="00E549E4" w:rsidRPr="008912CF" w:rsidRDefault="00615769" w:rsidP="00AB0B1F">
            <w:pPr>
              <w:keepNext/>
              <w:keepLines/>
              <w:tabs>
                <w:tab w:val="left" w:pos="-1080"/>
              </w:tabs>
              <w:autoSpaceDE w:val="0"/>
              <w:autoSpaceDN w:val="0"/>
              <w:adjustRightInd w:val="0"/>
              <w:rPr>
                <w:b/>
                <w:sz w:val="22"/>
                <w:szCs w:val="22"/>
              </w:rPr>
            </w:pPr>
            <w:r w:rsidRPr="008912CF">
              <w:rPr>
                <w:b/>
                <w:sz w:val="22"/>
                <w:szCs w:val="22"/>
              </w:rPr>
              <w:t>Descontinuação de Imunomoduladores</w:t>
            </w:r>
            <w:r w:rsidRPr="008912CF">
              <w:rPr>
                <w:b/>
                <w:sz w:val="22"/>
                <w:szCs w:val="22"/>
                <w:vertAlign w:val="superscript"/>
              </w:rPr>
              <w:t>2</w:t>
            </w:r>
          </w:p>
        </w:tc>
        <w:tc>
          <w:tcPr>
            <w:tcW w:w="1656" w:type="dxa"/>
            <w:tcBorders>
              <w:top w:val="single" w:sz="6" w:space="0" w:color="000000"/>
              <w:left w:val="single" w:sz="6" w:space="0" w:color="000000"/>
              <w:bottom w:val="single" w:sz="6" w:space="0" w:color="000000"/>
              <w:right w:val="single" w:sz="6" w:space="0" w:color="000000"/>
            </w:tcBorders>
            <w:vAlign w:val="bottom"/>
          </w:tcPr>
          <w:p w14:paraId="231CCC7D" w14:textId="77777777" w:rsidR="00E549E4" w:rsidRPr="008912CF" w:rsidRDefault="00615769" w:rsidP="00AB0B1F">
            <w:pPr>
              <w:keepNext/>
              <w:keepLines/>
              <w:tabs>
                <w:tab w:val="left" w:pos="-1080"/>
              </w:tabs>
              <w:autoSpaceDE w:val="0"/>
              <w:autoSpaceDN w:val="0"/>
              <w:adjustRightInd w:val="0"/>
              <w:ind w:left="15"/>
              <w:jc w:val="center"/>
              <w:rPr>
                <w:b/>
                <w:sz w:val="22"/>
                <w:szCs w:val="22"/>
              </w:rPr>
            </w:pPr>
            <w:r w:rsidRPr="008912CF">
              <w:rPr>
                <w:b/>
                <w:sz w:val="22"/>
                <w:szCs w:val="22"/>
              </w:rPr>
              <w:t>N=60</w:t>
            </w:r>
          </w:p>
        </w:tc>
        <w:tc>
          <w:tcPr>
            <w:tcW w:w="1619" w:type="dxa"/>
            <w:tcBorders>
              <w:top w:val="single" w:sz="6" w:space="0" w:color="000000"/>
              <w:left w:val="single" w:sz="6" w:space="0" w:color="000000"/>
              <w:bottom w:val="single" w:sz="6" w:space="0" w:color="000000"/>
              <w:right w:val="single" w:sz="6" w:space="0" w:color="000000"/>
            </w:tcBorders>
            <w:vAlign w:val="bottom"/>
          </w:tcPr>
          <w:p w14:paraId="22DDA93C" w14:textId="77777777" w:rsidR="00E549E4" w:rsidRPr="008912CF" w:rsidRDefault="00615769" w:rsidP="00AB0B1F">
            <w:pPr>
              <w:keepNext/>
              <w:keepLines/>
              <w:tabs>
                <w:tab w:val="left" w:pos="-1080"/>
              </w:tabs>
              <w:autoSpaceDE w:val="0"/>
              <w:autoSpaceDN w:val="0"/>
              <w:adjustRightInd w:val="0"/>
              <w:ind w:left="15"/>
              <w:jc w:val="center"/>
              <w:rPr>
                <w:b/>
                <w:sz w:val="22"/>
                <w:szCs w:val="22"/>
              </w:rPr>
            </w:pPr>
            <w:r w:rsidRPr="008912CF">
              <w:rPr>
                <w:b/>
                <w:sz w:val="22"/>
                <w:szCs w:val="22"/>
              </w:rPr>
              <w:t>N=57</w:t>
            </w:r>
          </w:p>
        </w:tc>
        <w:tc>
          <w:tcPr>
            <w:tcW w:w="1140" w:type="dxa"/>
            <w:tcBorders>
              <w:top w:val="single" w:sz="6" w:space="0" w:color="000000"/>
              <w:left w:val="single" w:sz="6" w:space="0" w:color="000000"/>
              <w:bottom w:val="single" w:sz="6" w:space="0" w:color="000000"/>
              <w:right w:val="single" w:sz="6" w:space="0" w:color="000000"/>
            </w:tcBorders>
            <w:vAlign w:val="bottom"/>
          </w:tcPr>
          <w:p w14:paraId="2CB223C3" w14:textId="77777777" w:rsidR="00E549E4" w:rsidRPr="008912CF" w:rsidRDefault="00E549E4" w:rsidP="00AB0B1F">
            <w:pPr>
              <w:keepNext/>
              <w:autoSpaceDE w:val="0"/>
              <w:autoSpaceDN w:val="0"/>
              <w:adjustRightInd w:val="0"/>
              <w:ind w:left="15"/>
              <w:rPr>
                <w:b/>
                <w:sz w:val="22"/>
                <w:szCs w:val="22"/>
              </w:rPr>
            </w:pPr>
          </w:p>
        </w:tc>
      </w:tr>
      <w:tr w:rsidR="00A7162A" w14:paraId="204530E3" w14:textId="77777777" w:rsidTr="00AB0B1F">
        <w:trPr>
          <w:jc w:val="center"/>
        </w:trPr>
        <w:tc>
          <w:tcPr>
            <w:tcW w:w="4025" w:type="dxa"/>
            <w:tcBorders>
              <w:top w:val="single" w:sz="6" w:space="0" w:color="000000"/>
              <w:left w:val="single" w:sz="6" w:space="0" w:color="000000"/>
              <w:bottom w:val="single" w:sz="6" w:space="0" w:color="000000"/>
              <w:right w:val="single" w:sz="6" w:space="0" w:color="000000"/>
            </w:tcBorders>
          </w:tcPr>
          <w:p w14:paraId="6DD62C27" w14:textId="77777777" w:rsidR="00E549E4" w:rsidRPr="008912CF" w:rsidRDefault="00615769" w:rsidP="00AB0B1F">
            <w:pPr>
              <w:keepNext/>
              <w:keepLines/>
              <w:tabs>
                <w:tab w:val="left" w:pos="-1080"/>
              </w:tabs>
              <w:autoSpaceDE w:val="0"/>
              <w:autoSpaceDN w:val="0"/>
              <w:adjustRightInd w:val="0"/>
              <w:rPr>
                <w:bCs/>
                <w:sz w:val="22"/>
                <w:szCs w:val="22"/>
              </w:rPr>
            </w:pPr>
            <w:r w:rsidRPr="008912CF">
              <w:rPr>
                <w:bCs/>
                <w:sz w:val="22"/>
                <w:szCs w:val="22"/>
              </w:rPr>
              <w:t>Semana 52</w:t>
            </w:r>
          </w:p>
        </w:tc>
        <w:tc>
          <w:tcPr>
            <w:tcW w:w="1656" w:type="dxa"/>
            <w:tcBorders>
              <w:top w:val="single" w:sz="6" w:space="0" w:color="000000"/>
              <w:left w:val="single" w:sz="6" w:space="0" w:color="000000"/>
              <w:bottom w:val="single" w:sz="6" w:space="0" w:color="000000"/>
              <w:right w:val="single" w:sz="6" w:space="0" w:color="000000"/>
            </w:tcBorders>
          </w:tcPr>
          <w:p w14:paraId="4C68BF77" w14:textId="77777777" w:rsidR="00E549E4" w:rsidRPr="008912CF" w:rsidRDefault="00615769" w:rsidP="00AB0B1F">
            <w:pPr>
              <w:keepNext/>
              <w:keepLines/>
              <w:tabs>
                <w:tab w:val="left" w:pos="-1080"/>
              </w:tabs>
              <w:autoSpaceDE w:val="0"/>
              <w:autoSpaceDN w:val="0"/>
              <w:adjustRightInd w:val="0"/>
              <w:ind w:left="15"/>
              <w:jc w:val="center"/>
              <w:rPr>
                <w:sz w:val="22"/>
                <w:szCs w:val="22"/>
              </w:rPr>
            </w:pPr>
            <w:r w:rsidRPr="008912CF">
              <w:rPr>
                <w:sz w:val="22"/>
                <w:szCs w:val="22"/>
              </w:rPr>
              <w:t>30,0%</w:t>
            </w:r>
          </w:p>
        </w:tc>
        <w:tc>
          <w:tcPr>
            <w:tcW w:w="1619" w:type="dxa"/>
            <w:tcBorders>
              <w:top w:val="single" w:sz="6" w:space="0" w:color="000000"/>
              <w:left w:val="single" w:sz="6" w:space="0" w:color="000000"/>
              <w:bottom w:val="single" w:sz="6" w:space="0" w:color="000000"/>
              <w:right w:val="single" w:sz="6" w:space="0" w:color="000000"/>
            </w:tcBorders>
          </w:tcPr>
          <w:p w14:paraId="69861643" w14:textId="77777777" w:rsidR="00E549E4" w:rsidRPr="008912CF" w:rsidRDefault="00615769" w:rsidP="00AB0B1F">
            <w:pPr>
              <w:keepNext/>
              <w:keepLines/>
              <w:tabs>
                <w:tab w:val="left" w:pos="-1080"/>
              </w:tabs>
              <w:autoSpaceDE w:val="0"/>
              <w:autoSpaceDN w:val="0"/>
              <w:adjustRightInd w:val="0"/>
              <w:ind w:left="15"/>
              <w:jc w:val="center"/>
              <w:rPr>
                <w:sz w:val="22"/>
                <w:szCs w:val="22"/>
              </w:rPr>
            </w:pPr>
            <w:r w:rsidRPr="008912CF">
              <w:rPr>
                <w:sz w:val="22"/>
                <w:szCs w:val="22"/>
              </w:rPr>
              <w:t>29,8%</w:t>
            </w:r>
          </w:p>
        </w:tc>
        <w:tc>
          <w:tcPr>
            <w:tcW w:w="1140" w:type="dxa"/>
            <w:tcBorders>
              <w:top w:val="single" w:sz="6" w:space="0" w:color="000000"/>
              <w:left w:val="single" w:sz="6" w:space="0" w:color="000000"/>
              <w:bottom w:val="single" w:sz="6" w:space="0" w:color="000000"/>
              <w:right w:val="single" w:sz="6" w:space="0" w:color="000000"/>
            </w:tcBorders>
          </w:tcPr>
          <w:p w14:paraId="581106F8" w14:textId="77777777" w:rsidR="00E549E4" w:rsidRPr="008912CF" w:rsidRDefault="00615769" w:rsidP="00AB0B1F">
            <w:pPr>
              <w:keepNext/>
              <w:keepLines/>
              <w:tabs>
                <w:tab w:val="left" w:pos="-1080"/>
              </w:tabs>
              <w:autoSpaceDE w:val="0"/>
              <w:autoSpaceDN w:val="0"/>
              <w:adjustRightInd w:val="0"/>
              <w:ind w:left="15"/>
              <w:jc w:val="center"/>
              <w:rPr>
                <w:sz w:val="22"/>
                <w:szCs w:val="22"/>
              </w:rPr>
            </w:pPr>
            <w:r w:rsidRPr="008912CF">
              <w:rPr>
                <w:sz w:val="22"/>
                <w:szCs w:val="22"/>
              </w:rPr>
              <w:t>0,983</w:t>
            </w:r>
          </w:p>
        </w:tc>
      </w:tr>
      <w:tr w:rsidR="00A7162A" w14:paraId="37F10A94" w14:textId="77777777" w:rsidTr="00AB0B1F">
        <w:trPr>
          <w:jc w:val="center"/>
        </w:trPr>
        <w:tc>
          <w:tcPr>
            <w:tcW w:w="4025" w:type="dxa"/>
            <w:tcBorders>
              <w:top w:val="single" w:sz="6" w:space="0" w:color="000000"/>
              <w:left w:val="single" w:sz="6" w:space="0" w:color="000000"/>
              <w:bottom w:val="single" w:sz="6" w:space="0" w:color="000000"/>
              <w:right w:val="single" w:sz="6" w:space="0" w:color="000000"/>
            </w:tcBorders>
          </w:tcPr>
          <w:p w14:paraId="1971314F" w14:textId="77777777" w:rsidR="00E549E4" w:rsidRPr="008912CF" w:rsidRDefault="00615769" w:rsidP="00AB0B1F">
            <w:pPr>
              <w:keepNext/>
              <w:keepLines/>
              <w:tabs>
                <w:tab w:val="left" w:pos="-1080"/>
              </w:tabs>
              <w:autoSpaceDE w:val="0"/>
              <w:autoSpaceDN w:val="0"/>
              <w:adjustRightInd w:val="0"/>
              <w:rPr>
                <w:b/>
                <w:bCs/>
                <w:sz w:val="22"/>
                <w:szCs w:val="22"/>
              </w:rPr>
            </w:pPr>
            <w:r w:rsidRPr="008912CF">
              <w:rPr>
                <w:b/>
                <w:sz w:val="22"/>
                <w:szCs w:val="22"/>
              </w:rPr>
              <w:t>Remissão das fístulas</w:t>
            </w:r>
            <w:r w:rsidRPr="008912CF">
              <w:rPr>
                <w:b/>
                <w:sz w:val="22"/>
                <w:szCs w:val="22"/>
                <w:vertAlign w:val="superscript"/>
              </w:rPr>
              <w:t>3</w:t>
            </w:r>
          </w:p>
        </w:tc>
        <w:tc>
          <w:tcPr>
            <w:tcW w:w="1656" w:type="dxa"/>
            <w:tcBorders>
              <w:top w:val="single" w:sz="6" w:space="0" w:color="000000"/>
              <w:left w:val="single" w:sz="6" w:space="0" w:color="000000"/>
              <w:bottom w:val="single" w:sz="6" w:space="0" w:color="000000"/>
              <w:right w:val="single" w:sz="6" w:space="0" w:color="000000"/>
            </w:tcBorders>
          </w:tcPr>
          <w:p w14:paraId="267D6A0F" w14:textId="77777777" w:rsidR="00E549E4" w:rsidRPr="008912CF" w:rsidRDefault="00615769" w:rsidP="00AB0B1F">
            <w:pPr>
              <w:keepNext/>
              <w:keepLines/>
              <w:tabs>
                <w:tab w:val="left" w:pos="-1080"/>
              </w:tabs>
              <w:autoSpaceDE w:val="0"/>
              <w:autoSpaceDN w:val="0"/>
              <w:adjustRightInd w:val="0"/>
              <w:ind w:left="15"/>
              <w:jc w:val="center"/>
              <w:rPr>
                <w:b/>
                <w:sz w:val="22"/>
                <w:szCs w:val="22"/>
              </w:rPr>
            </w:pPr>
            <w:r w:rsidRPr="008912CF">
              <w:rPr>
                <w:b/>
                <w:sz w:val="22"/>
                <w:szCs w:val="22"/>
              </w:rPr>
              <w:t>N=15</w:t>
            </w:r>
          </w:p>
        </w:tc>
        <w:tc>
          <w:tcPr>
            <w:tcW w:w="1619" w:type="dxa"/>
            <w:tcBorders>
              <w:top w:val="single" w:sz="6" w:space="0" w:color="000000"/>
              <w:left w:val="single" w:sz="6" w:space="0" w:color="000000"/>
              <w:bottom w:val="single" w:sz="6" w:space="0" w:color="000000"/>
              <w:right w:val="single" w:sz="6" w:space="0" w:color="000000"/>
            </w:tcBorders>
          </w:tcPr>
          <w:p w14:paraId="345A8A6E" w14:textId="77777777" w:rsidR="00E549E4" w:rsidRPr="008912CF" w:rsidRDefault="00615769" w:rsidP="00AB0B1F">
            <w:pPr>
              <w:keepNext/>
              <w:keepLines/>
              <w:tabs>
                <w:tab w:val="left" w:pos="-1080"/>
              </w:tabs>
              <w:autoSpaceDE w:val="0"/>
              <w:autoSpaceDN w:val="0"/>
              <w:adjustRightInd w:val="0"/>
              <w:ind w:left="15"/>
              <w:jc w:val="center"/>
              <w:rPr>
                <w:b/>
                <w:sz w:val="22"/>
                <w:szCs w:val="22"/>
              </w:rPr>
            </w:pPr>
            <w:r w:rsidRPr="008912CF">
              <w:rPr>
                <w:b/>
                <w:sz w:val="22"/>
                <w:szCs w:val="22"/>
              </w:rPr>
              <w:t>N=21</w:t>
            </w:r>
          </w:p>
        </w:tc>
        <w:tc>
          <w:tcPr>
            <w:tcW w:w="1140" w:type="dxa"/>
            <w:tcBorders>
              <w:top w:val="single" w:sz="6" w:space="0" w:color="000000"/>
              <w:left w:val="single" w:sz="6" w:space="0" w:color="000000"/>
              <w:bottom w:val="single" w:sz="6" w:space="0" w:color="000000"/>
              <w:right w:val="single" w:sz="6" w:space="0" w:color="000000"/>
            </w:tcBorders>
          </w:tcPr>
          <w:p w14:paraId="107D74A8" w14:textId="77777777" w:rsidR="00E549E4" w:rsidRPr="008912CF" w:rsidRDefault="00E549E4" w:rsidP="00AB0B1F">
            <w:pPr>
              <w:keepNext/>
              <w:keepLines/>
              <w:tabs>
                <w:tab w:val="left" w:pos="-1080"/>
              </w:tabs>
              <w:autoSpaceDE w:val="0"/>
              <w:autoSpaceDN w:val="0"/>
              <w:adjustRightInd w:val="0"/>
              <w:ind w:left="15"/>
              <w:jc w:val="center"/>
              <w:rPr>
                <w:sz w:val="22"/>
                <w:szCs w:val="22"/>
              </w:rPr>
            </w:pPr>
          </w:p>
        </w:tc>
      </w:tr>
      <w:tr w:rsidR="00A7162A" w14:paraId="2186A4A7" w14:textId="77777777" w:rsidTr="00AB0B1F">
        <w:trPr>
          <w:jc w:val="center"/>
        </w:trPr>
        <w:tc>
          <w:tcPr>
            <w:tcW w:w="4025" w:type="dxa"/>
            <w:tcBorders>
              <w:top w:val="single" w:sz="6" w:space="0" w:color="000000"/>
              <w:left w:val="single" w:sz="6" w:space="0" w:color="000000"/>
              <w:bottom w:val="single" w:sz="6" w:space="0" w:color="000000"/>
              <w:right w:val="single" w:sz="6" w:space="0" w:color="000000"/>
            </w:tcBorders>
          </w:tcPr>
          <w:p w14:paraId="352F966D" w14:textId="77777777" w:rsidR="00E549E4" w:rsidRPr="008912CF" w:rsidRDefault="00615769" w:rsidP="00AB0B1F">
            <w:pPr>
              <w:keepNext/>
              <w:keepLines/>
              <w:tabs>
                <w:tab w:val="left" w:pos="-1080"/>
              </w:tabs>
              <w:autoSpaceDE w:val="0"/>
              <w:autoSpaceDN w:val="0"/>
              <w:adjustRightInd w:val="0"/>
              <w:rPr>
                <w:bCs/>
                <w:sz w:val="22"/>
                <w:szCs w:val="22"/>
              </w:rPr>
            </w:pPr>
            <w:r w:rsidRPr="008912CF">
              <w:rPr>
                <w:bCs/>
                <w:sz w:val="22"/>
                <w:szCs w:val="22"/>
              </w:rPr>
              <w:t>Semana 26</w:t>
            </w:r>
          </w:p>
        </w:tc>
        <w:tc>
          <w:tcPr>
            <w:tcW w:w="1656" w:type="dxa"/>
            <w:tcBorders>
              <w:top w:val="single" w:sz="6" w:space="0" w:color="000000"/>
              <w:left w:val="single" w:sz="6" w:space="0" w:color="000000"/>
              <w:bottom w:val="single" w:sz="6" w:space="0" w:color="000000"/>
              <w:right w:val="single" w:sz="6" w:space="0" w:color="000000"/>
            </w:tcBorders>
          </w:tcPr>
          <w:p w14:paraId="7DAA9216" w14:textId="77777777" w:rsidR="00E549E4" w:rsidRPr="008912CF" w:rsidRDefault="00615769" w:rsidP="00AB0B1F">
            <w:pPr>
              <w:keepNext/>
              <w:keepLines/>
              <w:tabs>
                <w:tab w:val="left" w:pos="-1080"/>
              </w:tabs>
              <w:autoSpaceDE w:val="0"/>
              <w:autoSpaceDN w:val="0"/>
              <w:adjustRightInd w:val="0"/>
              <w:ind w:left="15"/>
              <w:jc w:val="center"/>
              <w:rPr>
                <w:sz w:val="22"/>
                <w:szCs w:val="22"/>
              </w:rPr>
            </w:pPr>
            <w:r w:rsidRPr="008912CF">
              <w:rPr>
                <w:sz w:val="22"/>
                <w:szCs w:val="22"/>
              </w:rPr>
              <w:t>46,7%</w:t>
            </w:r>
          </w:p>
        </w:tc>
        <w:tc>
          <w:tcPr>
            <w:tcW w:w="1619" w:type="dxa"/>
            <w:tcBorders>
              <w:top w:val="single" w:sz="6" w:space="0" w:color="000000"/>
              <w:left w:val="single" w:sz="6" w:space="0" w:color="000000"/>
              <w:bottom w:val="single" w:sz="6" w:space="0" w:color="000000"/>
              <w:right w:val="single" w:sz="6" w:space="0" w:color="000000"/>
            </w:tcBorders>
          </w:tcPr>
          <w:p w14:paraId="13B34291" w14:textId="77777777" w:rsidR="00E549E4" w:rsidRPr="008912CF" w:rsidRDefault="00615769" w:rsidP="00AB0B1F">
            <w:pPr>
              <w:keepNext/>
              <w:keepLines/>
              <w:tabs>
                <w:tab w:val="left" w:pos="-1080"/>
              </w:tabs>
              <w:autoSpaceDE w:val="0"/>
              <w:autoSpaceDN w:val="0"/>
              <w:adjustRightInd w:val="0"/>
              <w:ind w:left="15"/>
              <w:jc w:val="center"/>
              <w:rPr>
                <w:sz w:val="22"/>
                <w:szCs w:val="22"/>
              </w:rPr>
            </w:pPr>
            <w:r w:rsidRPr="008912CF">
              <w:rPr>
                <w:sz w:val="22"/>
                <w:szCs w:val="22"/>
              </w:rPr>
              <w:t>38,1%</w:t>
            </w:r>
          </w:p>
        </w:tc>
        <w:tc>
          <w:tcPr>
            <w:tcW w:w="1140" w:type="dxa"/>
            <w:tcBorders>
              <w:top w:val="single" w:sz="6" w:space="0" w:color="000000"/>
              <w:left w:val="single" w:sz="6" w:space="0" w:color="000000"/>
              <w:bottom w:val="single" w:sz="6" w:space="0" w:color="000000"/>
              <w:right w:val="single" w:sz="6" w:space="0" w:color="000000"/>
            </w:tcBorders>
          </w:tcPr>
          <w:p w14:paraId="5F0D6FCB" w14:textId="77777777" w:rsidR="00E549E4" w:rsidRPr="008912CF" w:rsidRDefault="00615769" w:rsidP="00AB0B1F">
            <w:pPr>
              <w:keepNext/>
              <w:keepLines/>
              <w:tabs>
                <w:tab w:val="left" w:pos="-1080"/>
              </w:tabs>
              <w:autoSpaceDE w:val="0"/>
              <w:autoSpaceDN w:val="0"/>
              <w:adjustRightInd w:val="0"/>
              <w:ind w:left="15"/>
              <w:jc w:val="center"/>
              <w:rPr>
                <w:sz w:val="22"/>
                <w:szCs w:val="22"/>
              </w:rPr>
            </w:pPr>
            <w:r w:rsidRPr="008912CF">
              <w:rPr>
                <w:sz w:val="22"/>
                <w:szCs w:val="22"/>
              </w:rPr>
              <w:t>0,608</w:t>
            </w:r>
          </w:p>
        </w:tc>
      </w:tr>
      <w:tr w:rsidR="00A7162A" w14:paraId="134973D0" w14:textId="77777777" w:rsidTr="00AB0B1F">
        <w:trPr>
          <w:jc w:val="center"/>
        </w:trPr>
        <w:tc>
          <w:tcPr>
            <w:tcW w:w="4025" w:type="dxa"/>
            <w:tcBorders>
              <w:top w:val="single" w:sz="6" w:space="0" w:color="000000"/>
              <w:left w:val="single" w:sz="6" w:space="0" w:color="000000"/>
              <w:bottom w:val="single" w:sz="4" w:space="0" w:color="auto"/>
              <w:right w:val="single" w:sz="6" w:space="0" w:color="000000"/>
            </w:tcBorders>
          </w:tcPr>
          <w:p w14:paraId="45674F58" w14:textId="77777777" w:rsidR="00E549E4" w:rsidRPr="008912CF" w:rsidRDefault="00615769" w:rsidP="00AB0B1F">
            <w:pPr>
              <w:keepNext/>
              <w:keepLines/>
              <w:tabs>
                <w:tab w:val="left" w:pos="-1080"/>
              </w:tabs>
              <w:autoSpaceDE w:val="0"/>
              <w:autoSpaceDN w:val="0"/>
              <w:adjustRightInd w:val="0"/>
              <w:rPr>
                <w:bCs/>
                <w:sz w:val="22"/>
                <w:szCs w:val="22"/>
              </w:rPr>
            </w:pPr>
            <w:r w:rsidRPr="008912CF">
              <w:rPr>
                <w:bCs/>
                <w:sz w:val="22"/>
                <w:szCs w:val="22"/>
              </w:rPr>
              <w:t>Semana</w:t>
            </w:r>
            <w:r w:rsidRPr="008912CF">
              <w:rPr>
                <w:sz w:val="22"/>
                <w:szCs w:val="22"/>
              </w:rPr>
              <w:t xml:space="preserve"> 52</w:t>
            </w:r>
          </w:p>
        </w:tc>
        <w:tc>
          <w:tcPr>
            <w:tcW w:w="1656" w:type="dxa"/>
            <w:tcBorders>
              <w:top w:val="single" w:sz="6" w:space="0" w:color="000000"/>
              <w:left w:val="single" w:sz="6" w:space="0" w:color="000000"/>
              <w:bottom w:val="single" w:sz="4" w:space="0" w:color="auto"/>
              <w:right w:val="single" w:sz="6" w:space="0" w:color="000000"/>
            </w:tcBorders>
          </w:tcPr>
          <w:p w14:paraId="275BB10C" w14:textId="77777777" w:rsidR="00E549E4" w:rsidRPr="008912CF" w:rsidRDefault="00615769" w:rsidP="00AB0B1F">
            <w:pPr>
              <w:keepNext/>
              <w:keepLines/>
              <w:tabs>
                <w:tab w:val="left" w:pos="-1080"/>
              </w:tabs>
              <w:autoSpaceDE w:val="0"/>
              <w:autoSpaceDN w:val="0"/>
              <w:adjustRightInd w:val="0"/>
              <w:ind w:left="15"/>
              <w:jc w:val="center"/>
              <w:rPr>
                <w:sz w:val="22"/>
                <w:szCs w:val="22"/>
              </w:rPr>
            </w:pPr>
            <w:r w:rsidRPr="008912CF">
              <w:rPr>
                <w:sz w:val="22"/>
                <w:szCs w:val="22"/>
              </w:rPr>
              <w:t>40,0%</w:t>
            </w:r>
          </w:p>
        </w:tc>
        <w:tc>
          <w:tcPr>
            <w:tcW w:w="1619" w:type="dxa"/>
            <w:tcBorders>
              <w:top w:val="single" w:sz="6" w:space="0" w:color="000000"/>
              <w:left w:val="single" w:sz="6" w:space="0" w:color="000000"/>
              <w:bottom w:val="single" w:sz="4" w:space="0" w:color="auto"/>
              <w:right w:val="single" w:sz="6" w:space="0" w:color="000000"/>
            </w:tcBorders>
          </w:tcPr>
          <w:p w14:paraId="03A3D72E" w14:textId="77777777" w:rsidR="00E549E4" w:rsidRPr="008912CF" w:rsidRDefault="00615769" w:rsidP="00AB0B1F">
            <w:pPr>
              <w:keepNext/>
              <w:keepLines/>
              <w:tabs>
                <w:tab w:val="left" w:pos="-1080"/>
              </w:tabs>
              <w:autoSpaceDE w:val="0"/>
              <w:autoSpaceDN w:val="0"/>
              <w:adjustRightInd w:val="0"/>
              <w:ind w:left="15"/>
              <w:jc w:val="center"/>
              <w:rPr>
                <w:sz w:val="22"/>
                <w:szCs w:val="22"/>
              </w:rPr>
            </w:pPr>
            <w:r w:rsidRPr="008912CF">
              <w:rPr>
                <w:sz w:val="22"/>
                <w:szCs w:val="22"/>
              </w:rPr>
              <w:t>23,8%</w:t>
            </w:r>
          </w:p>
        </w:tc>
        <w:tc>
          <w:tcPr>
            <w:tcW w:w="1140" w:type="dxa"/>
            <w:tcBorders>
              <w:top w:val="single" w:sz="6" w:space="0" w:color="000000"/>
              <w:left w:val="single" w:sz="6" w:space="0" w:color="000000"/>
              <w:bottom w:val="single" w:sz="4" w:space="0" w:color="auto"/>
              <w:right w:val="single" w:sz="6" w:space="0" w:color="000000"/>
            </w:tcBorders>
          </w:tcPr>
          <w:p w14:paraId="3F82AD91" w14:textId="77777777" w:rsidR="00E549E4" w:rsidRPr="008912CF" w:rsidRDefault="00615769" w:rsidP="00AB0B1F">
            <w:pPr>
              <w:keepNext/>
              <w:keepLines/>
              <w:tabs>
                <w:tab w:val="left" w:pos="-1080"/>
              </w:tabs>
              <w:autoSpaceDE w:val="0"/>
              <w:autoSpaceDN w:val="0"/>
              <w:adjustRightInd w:val="0"/>
              <w:ind w:left="15"/>
              <w:jc w:val="center"/>
              <w:rPr>
                <w:sz w:val="22"/>
                <w:szCs w:val="22"/>
              </w:rPr>
            </w:pPr>
            <w:r w:rsidRPr="008912CF">
              <w:rPr>
                <w:sz w:val="22"/>
                <w:szCs w:val="22"/>
              </w:rPr>
              <w:t>0,303</w:t>
            </w:r>
          </w:p>
        </w:tc>
      </w:tr>
      <w:tr w:rsidR="00A7162A" w14:paraId="699D7E75" w14:textId="77777777" w:rsidTr="00AB0B1F">
        <w:trPr>
          <w:trHeight w:val="177"/>
          <w:jc w:val="center"/>
        </w:trPr>
        <w:tc>
          <w:tcPr>
            <w:tcW w:w="8440" w:type="dxa"/>
            <w:gridSpan w:val="4"/>
            <w:tcBorders>
              <w:top w:val="single" w:sz="4" w:space="0" w:color="auto"/>
            </w:tcBorders>
          </w:tcPr>
          <w:p w14:paraId="03ECA7C4" w14:textId="77777777" w:rsidR="00E549E4" w:rsidRPr="005212CE" w:rsidRDefault="00615769" w:rsidP="00AB0B1F">
            <w:pPr>
              <w:keepNext/>
              <w:keepLines/>
              <w:tabs>
                <w:tab w:val="left" w:pos="-1080"/>
              </w:tabs>
              <w:autoSpaceDE w:val="0"/>
              <w:autoSpaceDN w:val="0"/>
              <w:adjustRightInd w:val="0"/>
              <w:rPr>
                <w:sz w:val="22"/>
                <w:szCs w:val="22"/>
              </w:rPr>
            </w:pPr>
            <w:r w:rsidRPr="00771456">
              <w:rPr>
                <w:vertAlign w:val="superscript"/>
              </w:rPr>
              <w:t>1</w:t>
            </w:r>
            <w:r w:rsidRPr="00771456">
              <w:t xml:space="preserve">  </w:t>
            </w:r>
            <w:r w:rsidRPr="00771456">
              <w:rPr>
                <w:bCs/>
              </w:rPr>
              <w:t>valor</w:t>
            </w:r>
            <w:r>
              <w:rPr>
                <w:bCs/>
              </w:rPr>
              <w:t>-p</w:t>
            </w:r>
            <w:r w:rsidRPr="00771456">
              <w:t xml:space="preserve"> </w:t>
            </w:r>
            <w:r w:rsidRPr="005212CE">
              <w:rPr>
                <w:sz w:val="22"/>
                <w:szCs w:val="22"/>
              </w:rPr>
              <w:t xml:space="preserve">para comparação Dose Padrão </w:t>
            </w:r>
            <w:r w:rsidRPr="005212CE">
              <w:rPr>
                <w:i/>
                <w:iCs/>
                <w:sz w:val="22"/>
                <w:szCs w:val="22"/>
              </w:rPr>
              <w:t>versus</w:t>
            </w:r>
            <w:r w:rsidRPr="005212CE">
              <w:rPr>
                <w:sz w:val="22"/>
                <w:szCs w:val="22"/>
              </w:rPr>
              <w:t xml:space="preserve"> Baixa Dose.</w:t>
            </w:r>
          </w:p>
          <w:p w14:paraId="28ECBC55" w14:textId="77777777" w:rsidR="00E549E4" w:rsidRPr="008912CF" w:rsidRDefault="00615769" w:rsidP="00AB0B1F">
            <w:pPr>
              <w:keepNext/>
              <w:keepLines/>
              <w:tabs>
                <w:tab w:val="left" w:pos="-1080"/>
              </w:tabs>
              <w:autoSpaceDE w:val="0"/>
              <w:autoSpaceDN w:val="0"/>
              <w:adjustRightInd w:val="0"/>
              <w:rPr>
                <w:sz w:val="22"/>
                <w:szCs w:val="22"/>
              </w:rPr>
            </w:pPr>
            <w:r w:rsidRPr="008912CF">
              <w:rPr>
                <w:sz w:val="22"/>
                <w:szCs w:val="22"/>
                <w:vertAlign w:val="superscript"/>
              </w:rPr>
              <w:t>2</w:t>
            </w:r>
            <w:r w:rsidRPr="008912CF">
              <w:rPr>
                <w:sz w:val="22"/>
                <w:szCs w:val="22"/>
              </w:rPr>
              <w:t xml:space="preserve">  Terapêutica imuno</w:t>
            </w:r>
            <w:r>
              <w:rPr>
                <w:sz w:val="22"/>
                <w:szCs w:val="22"/>
              </w:rPr>
              <w:t>s</w:t>
            </w:r>
            <w:r w:rsidRPr="008912CF">
              <w:rPr>
                <w:sz w:val="22"/>
                <w:szCs w:val="22"/>
              </w:rPr>
              <w:t xml:space="preserve">supressora só pode ser descontinuada durante ou após a Semana 26, a critério do investigador, se o doente alcançar o critério de resposta clínica. </w:t>
            </w:r>
          </w:p>
          <w:p w14:paraId="1D01D037" w14:textId="77777777" w:rsidR="00E549E4" w:rsidRPr="008912CF" w:rsidRDefault="00615769" w:rsidP="00AB0B1F">
            <w:pPr>
              <w:keepNext/>
              <w:keepLines/>
              <w:tabs>
                <w:tab w:val="left" w:pos="-1080"/>
              </w:tabs>
              <w:autoSpaceDE w:val="0"/>
              <w:autoSpaceDN w:val="0"/>
              <w:adjustRightInd w:val="0"/>
              <w:rPr>
                <w:sz w:val="22"/>
                <w:szCs w:val="22"/>
              </w:rPr>
            </w:pPr>
            <w:r w:rsidRPr="008912CF">
              <w:rPr>
                <w:sz w:val="22"/>
                <w:szCs w:val="22"/>
                <w:vertAlign w:val="superscript"/>
              </w:rPr>
              <w:t>3</w:t>
            </w:r>
            <w:r w:rsidRPr="008912CF">
              <w:rPr>
                <w:sz w:val="22"/>
                <w:szCs w:val="22"/>
              </w:rPr>
              <w:t xml:space="preserve">  definida como encerramento de todas as f</w:t>
            </w:r>
            <w:r>
              <w:rPr>
                <w:sz w:val="22"/>
                <w:szCs w:val="22"/>
              </w:rPr>
              <w:t>í</w:t>
            </w:r>
            <w:r w:rsidRPr="008912CF">
              <w:rPr>
                <w:sz w:val="22"/>
                <w:szCs w:val="22"/>
              </w:rPr>
              <w:t>stulas, que estavam a drenar no inicio do estudo, em pelo menos 2 visitas consecutivas após o início do estudo</w:t>
            </w:r>
          </w:p>
        </w:tc>
      </w:tr>
    </w:tbl>
    <w:p w14:paraId="5A093C59" w14:textId="77777777" w:rsidR="00E549E4" w:rsidRPr="008912CF" w:rsidRDefault="00E549E4" w:rsidP="00E549E4">
      <w:pPr>
        <w:rPr>
          <w:sz w:val="22"/>
          <w:szCs w:val="22"/>
        </w:rPr>
      </w:pPr>
    </w:p>
    <w:p w14:paraId="2F5D071D" w14:textId="77777777" w:rsidR="00E549E4" w:rsidRPr="008912CF" w:rsidRDefault="00615769" w:rsidP="00E549E4">
      <w:pPr>
        <w:keepLines/>
        <w:tabs>
          <w:tab w:val="left" w:pos="-1080"/>
        </w:tabs>
        <w:autoSpaceDE w:val="0"/>
        <w:autoSpaceDN w:val="0"/>
        <w:adjustRightInd w:val="0"/>
        <w:rPr>
          <w:sz w:val="22"/>
          <w:szCs w:val="22"/>
        </w:rPr>
      </w:pPr>
      <w:r w:rsidRPr="008912CF">
        <w:rPr>
          <w:sz w:val="22"/>
          <w:szCs w:val="22"/>
        </w:rPr>
        <w:t>Foram observados aumentos estatisticamente significativos (melhoria) do Índice de Massa Corporal e da velocidade de crescimento em ambos os grupos de tratamento, desde o início do estudo até à Semana</w:t>
      </w:r>
      <w:r>
        <w:rPr>
          <w:sz w:val="22"/>
          <w:szCs w:val="22"/>
        </w:rPr>
        <w:t>s</w:t>
      </w:r>
      <w:r w:rsidRPr="008912CF">
        <w:rPr>
          <w:sz w:val="22"/>
          <w:szCs w:val="22"/>
        </w:rPr>
        <w:t xml:space="preserve"> 26 e 52.</w:t>
      </w:r>
    </w:p>
    <w:p w14:paraId="1EE6A2C7" w14:textId="77777777" w:rsidR="00E549E4" w:rsidRPr="008912CF" w:rsidRDefault="00E549E4" w:rsidP="00E549E4">
      <w:pPr>
        <w:keepLines/>
        <w:tabs>
          <w:tab w:val="left" w:pos="-1080"/>
        </w:tabs>
        <w:autoSpaceDE w:val="0"/>
        <w:autoSpaceDN w:val="0"/>
        <w:adjustRightInd w:val="0"/>
        <w:rPr>
          <w:sz w:val="22"/>
          <w:szCs w:val="22"/>
        </w:rPr>
      </w:pPr>
    </w:p>
    <w:p w14:paraId="10FF6B76" w14:textId="77777777" w:rsidR="00E549E4" w:rsidRPr="008912CF" w:rsidRDefault="00615769" w:rsidP="00E549E4">
      <w:pPr>
        <w:rPr>
          <w:sz w:val="22"/>
          <w:szCs w:val="22"/>
        </w:rPr>
      </w:pPr>
      <w:r w:rsidRPr="008912CF">
        <w:rPr>
          <w:sz w:val="22"/>
          <w:szCs w:val="22"/>
        </w:rPr>
        <w:t>Foram também observadas melhorias estatisticamente e clinicamente significativas nos parâmetros de qualidade de vida (incluindo IMPACT III) em ambos os grupos de tratamento.</w:t>
      </w:r>
    </w:p>
    <w:p w14:paraId="31CA4611" w14:textId="77777777" w:rsidR="00E549E4" w:rsidRPr="008912CF" w:rsidRDefault="00E549E4" w:rsidP="00E549E4">
      <w:pPr>
        <w:rPr>
          <w:b/>
          <w:bCs/>
          <w:sz w:val="22"/>
          <w:szCs w:val="22"/>
        </w:rPr>
      </w:pPr>
    </w:p>
    <w:p w14:paraId="37EEB67E" w14:textId="77777777" w:rsidR="00E549E4" w:rsidRPr="008912CF" w:rsidRDefault="00615769" w:rsidP="00E549E4">
      <w:pPr>
        <w:rPr>
          <w:sz w:val="22"/>
          <w:szCs w:val="22"/>
        </w:rPr>
      </w:pPr>
      <w:r w:rsidRPr="008912CF">
        <w:rPr>
          <w:sz w:val="22"/>
          <w:szCs w:val="22"/>
        </w:rPr>
        <w:t>Cem (n=100) doentes do Estudo de DC Pediátrica continuaram num estudo a longo prazo de extensão de fase aberta. Após 5 anos de tratamento com adalimumab, 74,0</w:t>
      </w:r>
      <w:r>
        <w:rPr>
          <w:sz w:val="22"/>
          <w:szCs w:val="22"/>
        </w:rPr>
        <w:t>%</w:t>
      </w:r>
      <w:r w:rsidRPr="008912CF">
        <w:rPr>
          <w:sz w:val="22"/>
          <w:szCs w:val="22"/>
        </w:rPr>
        <w:t xml:space="preserve"> (37/50) dos 50 doentes que permaneceram no estudo continuaram em remissão clínica e 92,0</w:t>
      </w:r>
      <w:r>
        <w:rPr>
          <w:sz w:val="22"/>
          <w:szCs w:val="22"/>
        </w:rPr>
        <w:t>%</w:t>
      </w:r>
      <w:r w:rsidRPr="008912CF">
        <w:rPr>
          <w:sz w:val="22"/>
          <w:szCs w:val="22"/>
        </w:rPr>
        <w:t xml:space="preserve"> (46/50) dos doentes mantiveram resposta clínica segundo a escala PCDAI.  </w:t>
      </w:r>
    </w:p>
    <w:p w14:paraId="5BDBE214" w14:textId="77777777" w:rsidR="00E549E4" w:rsidRDefault="00E549E4" w:rsidP="00E549E4">
      <w:pPr>
        <w:rPr>
          <w:i/>
          <w:sz w:val="22"/>
          <w:szCs w:val="22"/>
        </w:rPr>
      </w:pPr>
    </w:p>
    <w:p w14:paraId="1D7CFF18" w14:textId="77777777" w:rsidR="00120C36" w:rsidRPr="00AA6D42" w:rsidRDefault="00615769" w:rsidP="00120C36">
      <w:pPr>
        <w:keepNext/>
        <w:rPr>
          <w:bCs/>
          <w:i/>
          <w:sz w:val="22"/>
          <w:szCs w:val="22"/>
        </w:rPr>
      </w:pPr>
      <w:r w:rsidRPr="00AA6D42">
        <w:rPr>
          <w:bCs/>
          <w:i/>
          <w:sz w:val="22"/>
          <w:szCs w:val="22"/>
        </w:rPr>
        <w:t>Colite ulcerosa pediátrica</w:t>
      </w:r>
    </w:p>
    <w:p w14:paraId="5F530FC9" w14:textId="77777777" w:rsidR="00120C36" w:rsidRPr="00AA6D42" w:rsidRDefault="00120C36" w:rsidP="00120C36">
      <w:pPr>
        <w:keepNext/>
        <w:rPr>
          <w:bCs/>
          <w:i/>
          <w:sz w:val="22"/>
          <w:szCs w:val="22"/>
        </w:rPr>
      </w:pPr>
    </w:p>
    <w:p w14:paraId="10918A95" w14:textId="77777777" w:rsidR="002F486F" w:rsidRPr="00AA6D42" w:rsidRDefault="00615769" w:rsidP="002F486F">
      <w:pPr>
        <w:rPr>
          <w:sz w:val="22"/>
          <w:szCs w:val="22"/>
        </w:rPr>
      </w:pPr>
      <w:r w:rsidRPr="00AA6D42">
        <w:rPr>
          <w:sz w:val="22"/>
          <w:szCs w:val="22"/>
        </w:rPr>
        <w:t>A segurança e eficácia de Humira foram avaliadas num ensaio multicêntrico, aleatorizado, em dupla ocultação, em 93 doentes pediátricos com idades compreendidas entre os 5 e os 17 anos com colite ulcerosa moderada a grave (pontuação Mayo de 6 a 12 com subpontuação endoscópica de 2 a 3 pontos, confirmada por endoscopia avaliada centralmente) que apresentavam uma resposta inadequada ou intolerância à terapêutica convencional. Aproximadamente 16% dos doentes no estudo não tinham respondido à terap</w:t>
      </w:r>
      <w:r>
        <w:rPr>
          <w:sz w:val="22"/>
          <w:szCs w:val="22"/>
        </w:rPr>
        <w:t>êutica prévia com um anti</w:t>
      </w:r>
      <w:r>
        <w:rPr>
          <w:sz w:val="22"/>
          <w:szCs w:val="22"/>
        </w:rPr>
        <w:noBreakHyphen/>
      </w:r>
      <w:r w:rsidRPr="00AA6D42">
        <w:rPr>
          <w:sz w:val="22"/>
          <w:szCs w:val="22"/>
        </w:rPr>
        <w:t xml:space="preserve">TNF. Foi permitido que os doentes que recebiam corticosteroides no momento </w:t>
      </w:r>
      <w:r>
        <w:rPr>
          <w:sz w:val="22"/>
          <w:szCs w:val="22"/>
        </w:rPr>
        <w:t>do recrutamento</w:t>
      </w:r>
      <w:r w:rsidRPr="00AA6D42">
        <w:rPr>
          <w:sz w:val="22"/>
          <w:szCs w:val="22"/>
        </w:rPr>
        <w:t xml:space="preserve"> reduzissem a terapêutica com corticosteroides após a Semana 4.</w:t>
      </w:r>
    </w:p>
    <w:p w14:paraId="3A7E3392" w14:textId="77777777" w:rsidR="002F486F" w:rsidRPr="00AA6D42" w:rsidRDefault="002F486F" w:rsidP="002F486F">
      <w:pPr>
        <w:rPr>
          <w:sz w:val="22"/>
          <w:szCs w:val="22"/>
        </w:rPr>
      </w:pPr>
    </w:p>
    <w:p w14:paraId="168D3FC8" w14:textId="77777777" w:rsidR="002F486F" w:rsidRPr="00AA6D42" w:rsidRDefault="00615769" w:rsidP="002F486F">
      <w:pPr>
        <w:rPr>
          <w:sz w:val="22"/>
          <w:szCs w:val="22"/>
        </w:rPr>
      </w:pPr>
      <w:r w:rsidRPr="00AA6D42">
        <w:rPr>
          <w:rStyle w:val="normaltextrun"/>
          <w:sz w:val="22"/>
          <w:szCs w:val="22"/>
          <w:shd w:val="clear" w:color="auto" w:fill="FFFFFF"/>
        </w:rPr>
        <w:t>No período de indução do estudo, 77 doentes foram aleatorizados numa proporção de 3:2 para receberem o tratamento em dupla ocultação com Humira numa dose de indução de 2,4 mg/kg (</w:t>
      </w:r>
      <w:r>
        <w:rPr>
          <w:rStyle w:val="normaltextrun"/>
          <w:sz w:val="22"/>
          <w:szCs w:val="22"/>
          <w:shd w:val="clear" w:color="auto" w:fill="FFFFFF"/>
        </w:rPr>
        <w:t>máximo de </w:t>
      </w:r>
      <w:r w:rsidRPr="00AA6D42">
        <w:rPr>
          <w:rStyle w:val="normaltextrun"/>
          <w:sz w:val="22"/>
          <w:szCs w:val="22"/>
          <w:shd w:val="clear" w:color="auto" w:fill="FFFFFF"/>
        </w:rPr>
        <w:t xml:space="preserve">160 mg) na Semana 0 e </w:t>
      </w:r>
      <w:r>
        <w:rPr>
          <w:rStyle w:val="normaltextrun"/>
          <w:sz w:val="22"/>
          <w:szCs w:val="22"/>
          <w:shd w:val="clear" w:color="auto" w:fill="FFFFFF"/>
        </w:rPr>
        <w:t xml:space="preserve">na </w:t>
      </w:r>
      <w:r w:rsidRPr="00AA6D42">
        <w:rPr>
          <w:rStyle w:val="normaltextrun"/>
          <w:sz w:val="22"/>
          <w:szCs w:val="22"/>
          <w:shd w:val="clear" w:color="auto" w:fill="FFFFFF"/>
        </w:rPr>
        <w:t>Semana 1, e de 1,2 mg/kg (máximo</w:t>
      </w:r>
      <w:r>
        <w:rPr>
          <w:rStyle w:val="normaltextrun"/>
          <w:sz w:val="22"/>
          <w:szCs w:val="22"/>
          <w:shd w:val="clear" w:color="auto" w:fill="FFFFFF"/>
        </w:rPr>
        <w:t xml:space="preserve"> de </w:t>
      </w:r>
      <w:r w:rsidRPr="00AA6D42">
        <w:rPr>
          <w:rStyle w:val="normaltextrun"/>
          <w:sz w:val="22"/>
          <w:szCs w:val="22"/>
          <w:shd w:val="clear" w:color="auto" w:fill="FFFFFF"/>
        </w:rPr>
        <w:t>80 mg) na Semana 2; ou numa dose de indução de 2,4 mg/kg (</w:t>
      </w:r>
      <w:r>
        <w:rPr>
          <w:rStyle w:val="normaltextrun"/>
          <w:sz w:val="22"/>
          <w:szCs w:val="22"/>
          <w:shd w:val="clear" w:color="auto" w:fill="FFFFFF"/>
        </w:rPr>
        <w:t>máximo de </w:t>
      </w:r>
      <w:r w:rsidRPr="00AA6D42">
        <w:rPr>
          <w:rStyle w:val="normaltextrun"/>
          <w:sz w:val="22"/>
          <w:szCs w:val="22"/>
          <w:shd w:val="clear" w:color="auto" w:fill="FFFFFF"/>
        </w:rPr>
        <w:t>160 mg) na Semana 0, placebo na Semana 1, e 1,2 mg/kg (</w:t>
      </w:r>
      <w:r>
        <w:rPr>
          <w:rStyle w:val="normaltextrun"/>
          <w:sz w:val="22"/>
          <w:szCs w:val="22"/>
          <w:shd w:val="clear" w:color="auto" w:fill="FFFFFF"/>
        </w:rPr>
        <w:t>máximo de </w:t>
      </w:r>
      <w:r w:rsidRPr="00AA6D42">
        <w:rPr>
          <w:rStyle w:val="normaltextrun"/>
          <w:sz w:val="22"/>
          <w:szCs w:val="22"/>
          <w:shd w:val="clear" w:color="auto" w:fill="FFFFFF"/>
        </w:rPr>
        <w:t>80 mg) na Semana 2. Ambos os grupos receberam 0,6 mg/kg (</w:t>
      </w:r>
      <w:r>
        <w:rPr>
          <w:rStyle w:val="normaltextrun"/>
          <w:sz w:val="22"/>
          <w:szCs w:val="22"/>
          <w:shd w:val="clear" w:color="auto" w:fill="FFFFFF"/>
        </w:rPr>
        <w:t>máximo de </w:t>
      </w:r>
      <w:r w:rsidRPr="00AA6D42">
        <w:rPr>
          <w:rStyle w:val="normaltextrun"/>
          <w:sz w:val="22"/>
          <w:szCs w:val="22"/>
          <w:shd w:val="clear" w:color="auto" w:fill="FFFFFF"/>
        </w:rPr>
        <w:t xml:space="preserve">40 mg) na Semana 4 e na Semana 6. Após uma alteração </w:t>
      </w:r>
      <w:r>
        <w:rPr>
          <w:rStyle w:val="normaltextrun"/>
          <w:sz w:val="22"/>
          <w:szCs w:val="22"/>
          <w:shd w:val="clear" w:color="auto" w:fill="FFFFFF"/>
        </w:rPr>
        <w:t>ao desenho</w:t>
      </w:r>
      <w:r w:rsidRPr="00AA6D42">
        <w:rPr>
          <w:rStyle w:val="normaltextrun"/>
          <w:sz w:val="22"/>
          <w:szCs w:val="22"/>
          <w:shd w:val="clear" w:color="auto" w:fill="FFFFFF"/>
        </w:rPr>
        <w:t xml:space="preserve"> do estudo, os restantes 16 doentes </w:t>
      </w:r>
      <w:r>
        <w:rPr>
          <w:rStyle w:val="normaltextrun"/>
          <w:sz w:val="22"/>
          <w:szCs w:val="22"/>
          <w:shd w:val="clear" w:color="auto" w:fill="FFFFFF"/>
        </w:rPr>
        <w:t>envolvidos</w:t>
      </w:r>
      <w:r w:rsidRPr="00AA6D42">
        <w:rPr>
          <w:rStyle w:val="normaltextrun"/>
          <w:sz w:val="22"/>
          <w:szCs w:val="22"/>
          <w:shd w:val="clear" w:color="auto" w:fill="FFFFFF"/>
        </w:rPr>
        <w:t xml:space="preserve"> no período de indução receberam tratamento </w:t>
      </w:r>
      <w:r>
        <w:rPr>
          <w:rStyle w:val="normaltextrun"/>
          <w:sz w:val="22"/>
          <w:szCs w:val="22"/>
          <w:shd w:val="clear" w:color="auto" w:fill="FFFFFF"/>
        </w:rPr>
        <w:t>em fase aberta</w:t>
      </w:r>
      <w:r w:rsidRPr="00AA6D42">
        <w:rPr>
          <w:rStyle w:val="normaltextrun"/>
          <w:sz w:val="22"/>
          <w:szCs w:val="22"/>
          <w:shd w:val="clear" w:color="auto" w:fill="FFFFFF"/>
        </w:rPr>
        <w:t xml:space="preserve"> com Humira numa dose de indução de 2,4 mg/kg (</w:t>
      </w:r>
      <w:r>
        <w:rPr>
          <w:rStyle w:val="normaltextrun"/>
          <w:sz w:val="22"/>
          <w:szCs w:val="22"/>
          <w:shd w:val="clear" w:color="auto" w:fill="FFFFFF"/>
        </w:rPr>
        <w:t>máximo de </w:t>
      </w:r>
      <w:r w:rsidRPr="00AA6D42">
        <w:rPr>
          <w:rStyle w:val="normaltextrun"/>
          <w:sz w:val="22"/>
          <w:szCs w:val="22"/>
          <w:shd w:val="clear" w:color="auto" w:fill="FFFFFF"/>
        </w:rPr>
        <w:t>160 mg) na Semana</w:t>
      </w:r>
      <w:r w:rsidRPr="00AA6D42">
        <w:rPr>
          <w:rStyle w:val="normaltextrun"/>
          <w:sz w:val="22"/>
          <w:szCs w:val="22"/>
          <w:shd w:val="clear" w:color="auto" w:fill="FFFFFF"/>
        </w:rPr>
        <w:t xml:space="preserve"> 0 e </w:t>
      </w:r>
      <w:r>
        <w:rPr>
          <w:rStyle w:val="normaltextrun"/>
          <w:sz w:val="22"/>
          <w:szCs w:val="22"/>
          <w:shd w:val="clear" w:color="auto" w:fill="FFFFFF"/>
        </w:rPr>
        <w:t xml:space="preserve">na </w:t>
      </w:r>
      <w:r w:rsidRPr="00AA6D42">
        <w:rPr>
          <w:rStyle w:val="normaltextrun"/>
          <w:sz w:val="22"/>
          <w:szCs w:val="22"/>
          <w:shd w:val="clear" w:color="auto" w:fill="FFFFFF"/>
        </w:rPr>
        <w:t>Semana 1, e de 1,2 mg/kg (</w:t>
      </w:r>
      <w:r>
        <w:rPr>
          <w:rStyle w:val="normaltextrun"/>
          <w:sz w:val="22"/>
          <w:szCs w:val="22"/>
          <w:shd w:val="clear" w:color="auto" w:fill="FFFFFF"/>
        </w:rPr>
        <w:t>máximo de </w:t>
      </w:r>
      <w:r w:rsidRPr="00AA6D42">
        <w:rPr>
          <w:rStyle w:val="normaltextrun"/>
          <w:sz w:val="22"/>
          <w:szCs w:val="22"/>
          <w:shd w:val="clear" w:color="auto" w:fill="FFFFFF"/>
        </w:rPr>
        <w:t>80 mg) na Semana 2.</w:t>
      </w:r>
      <w:r w:rsidRPr="00AA6D42">
        <w:rPr>
          <w:rStyle w:val="eop"/>
          <w:sz w:val="22"/>
          <w:szCs w:val="22"/>
          <w:shd w:val="clear" w:color="auto" w:fill="FFFFFF"/>
        </w:rPr>
        <w:t> </w:t>
      </w:r>
    </w:p>
    <w:p w14:paraId="43D4AA08" w14:textId="77777777" w:rsidR="002F486F" w:rsidRPr="00AA6D42" w:rsidRDefault="002F486F" w:rsidP="002F486F">
      <w:pPr>
        <w:rPr>
          <w:sz w:val="22"/>
          <w:szCs w:val="22"/>
        </w:rPr>
      </w:pPr>
    </w:p>
    <w:p w14:paraId="508BCE98" w14:textId="77777777" w:rsidR="002F486F" w:rsidRPr="00AA6D42" w:rsidRDefault="00615769" w:rsidP="002F486F">
      <w:pPr>
        <w:rPr>
          <w:rStyle w:val="eop"/>
          <w:sz w:val="22"/>
          <w:szCs w:val="22"/>
          <w:shd w:val="clear" w:color="auto" w:fill="FFFFFF"/>
        </w:rPr>
      </w:pPr>
      <w:r w:rsidRPr="00AA6D42">
        <w:rPr>
          <w:rStyle w:val="normaltextrun"/>
          <w:sz w:val="22"/>
          <w:szCs w:val="22"/>
          <w:shd w:val="clear" w:color="auto" w:fill="FFFFFF"/>
        </w:rPr>
        <w:t xml:space="preserve">Na Semana 8, 62 doentes que demonstraram resposta clínica de acordo com a pontuação parcial de Mayo (PMS; definida como uma diminuição na PMS ≥ 2 pontos e ≥ 30% em comparação com os valores </w:t>
      </w:r>
      <w:r>
        <w:rPr>
          <w:rStyle w:val="normaltextrun"/>
          <w:sz w:val="22"/>
          <w:szCs w:val="22"/>
          <w:shd w:val="clear" w:color="auto" w:fill="FFFFFF"/>
        </w:rPr>
        <w:t>iniciais</w:t>
      </w:r>
      <w:r w:rsidRPr="00AA6D42">
        <w:rPr>
          <w:rStyle w:val="normaltextrun"/>
          <w:sz w:val="22"/>
          <w:szCs w:val="22"/>
          <w:shd w:val="clear" w:color="auto" w:fill="FFFFFF"/>
        </w:rPr>
        <w:t>) foram aleatorizados para receberem tratamento de manutenção em dupla ocultação com Humira numa dose de 0,6 mg/kg (</w:t>
      </w:r>
      <w:r>
        <w:rPr>
          <w:rStyle w:val="normaltextrun"/>
          <w:sz w:val="22"/>
          <w:szCs w:val="22"/>
          <w:shd w:val="clear" w:color="auto" w:fill="FFFFFF"/>
        </w:rPr>
        <w:t>máximo de 40 mg) semanalmente</w:t>
      </w:r>
      <w:r w:rsidRPr="00AA6D42">
        <w:rPr>
          <w:rStyle w:val="normaltextrun"/>
          <w:sz w:val="22"/>
          <w:szCs w:val="22"/>
          <w:shd w:val="clear" w:color="auto" w:fill="FFFFFF"/>
        </w:rPr>
        <w:t xml:space="preserve">, ou </w:t>
      </w:r>
      <w:r>
        <w:rPr>
          <w:rStyle w:val="normaltextrun"/>
          <w:sz w:val="22"/>
          <w:szCs w:val="22"/>
          <w:shd w:val="clear" w:color="auto" w:fill="FFFFFF"/>
        </w:rPr>
        <w:t>n</w:t>
      </w:r>
      <w:r w:rsidRPr="00AA6D42">
        <w:rPr>
          <w:rStyle w:val="normaltextrun"/>
          <w:sz w:val="22"/>
          <w:szCs w:val="22"/>
          <w:shd w:val="clear" w:color="auto" w:fill="FFFFFF"/>
        </w:rPr>
        <w:t>uma dose de manutenção de 0,6 mg/kg (</w:t>
      </w:r>
      <w:r>
        <w:rPr>
          <w:rStyle w:val="normaltextrun"/>
          <w:sz w:val="22"/>
          <w:szCs w:val="22"/>
          <w:shd w:val="clear" w:color="auto" w:fill="FFFFFF"/>
        </w:rPr>
        <w:t>máximo</w:t>
      </w:r>
      <w:r w:rsidRPr="00AA6D42">
        <w:rPr>
          <w:rStyle w:val="normaltextrun"/>
          <w:sz w:val="22"/>
          <w:szCs w:val="22"/>
          <w:shd w:val="clear" w:color="auto" w:fill="FFFFFF"/>
        </w:rPr>
        <w:t xml:space="preserve"> d</w:t>
      </w:r>
      <w:r>
        <w:rPr>
          <w:rStyle w:val="normaltextrun"/>
          <w:sz w:val="22"/>
          <w:szCs w:val="22"/>
          <w:shd w:val="clear" w:color="auto" w:fill="FFFFFF"/>
        </w:rPr>
        <w:t>e 40 mg) em semanas alternadas</w:t>
      </w:r>
      <w:r w:rsidRPr="00AA6D42">
        <w:rPr>
          <w:rStyle w:val="normaltextrun"/>
          <w:sz w:val="22"/>
          <w:szCs w:val="22"/>
          <w:shd w:val="clear" w:color="auto" w:fill="FFFFFF"/>
        </w:rPr>
        <w:t xml:space="preserve">. Antes de uma alteração </w:t>
      </w:r>
      <w:r>
        <w:rPr>
          <w:rStyle w:val="normaltextrun"/>
          <w:sz w:val="22"/>
          <w:szCs w:val="22"/>
          <w:shd w:val="clear" w:color="auto" w:fill="FFFFFF"/>
        </w:rPr>
        <w:t xml:space="preserve">ao desenho </w:t>
      </w:r>
      <w:r w:rsidRPr="00AA6D42">
        <w:rPr>
          <w:rStyle w:val="normaltextrun"/>
          <w:sz w:val="22"/>
          <w:szCs w:val="22"/>
          <w:shd w:val="clear" w:color="auto" w:fill="FFFFFF"/>
        </w:rPr>
        <w:t xml:space="preserve">do estudo, 12 doentes adicionais que demonstraram resposta clínica de acordo com a PMS foram aleatorizados para receberem placebo, mas não foram incluídos na análise </w:t>
      </w:r>
      <w:r>
        <w:rPr>
          <w:rStyle w:val="normaltextrun"/>
          <w:sz w:val="22"/>
          <w:szCs w:val="22"/>
          <w:shd w:val="clear" w:color="auto" w:fill="FFFFFF"/>
        </w:rPr>
        <w:t>confirmatória</w:t>
      </w:r>
      <w:r w:rsidRPr="00AA6D42">
        <w:rPr>
          <w:rStyle w:val="normaltextrun"/>
          <w:sz w:val="22"/>
          <w:szCs w:val="22"/>
          <w:shd w:val="clear" w:color="auto" w:fill="FFFFFF"/>
        </w:rPr>
        <w:t xml:space="preserve"> da eficácia.</w:t>
      </w:r>
    </w:p>
    <w:p w14:paraId="1E818752" w14:textId="77777777" w:rsidR="00120C36" w:rsidRPr="00AA6D42" w:rsidRDefault="00120C36" w:rsidP="00120C36">
      <w:pPr>
        <w:rPr>
          <w:sz w:val="22"/>
          <w:szCs w:val="22"/>
        </w:rPr>
      </w:pPr>
    </w:p>
    <w:p w14:paraId="6A31100E" w14:textId="77777777" w:rsidR="00120C36" w:rsidRPr="00675DF0" w:rsidRDefault="00615769" w:rsidP="00120C36">
      <w:pPr>
        <w:rPr>
          <w:sz w:val="22"/>
          <w:szCs w:val="22"/>
        </w:rPr>
      </w:pPr>
      <w:r w:rsidRPr="00675DF0">
        <w:rPr>
          <w:sz w:val="22"/>
          <w:szCs w:val="22"/>
        </w:rPr>
        <w:t>O agravamento da doença foi definido como um aumento na PMS de, pelo menos, 3 pontos (para doentes com uma PMS de 0 a 2 na Semana 8), 2 pontos (para doentes com uma PMS de 3 a 4 na Semana 8) ou 1 ponto (para doentes com uma PMS de 5 a 6 na Semana 8). </w:t>
      </w:r>
    </w:p>
    <w:p w14:paraId="7741DCEC" w14:textId="77777777" w:rsidR="00120C36" w:rsidRPr="00675DF0" w:rsidRDefault="00120C36" w:rsidP="00120C36">
      <w:pPr>
        <w:rPr>
          <w:sz w:val="22"/>
          <w:szCs w:val="22"/>
        </w:rPr>
      </w:pPr>
    </w:p>
    <w:p w14:paraId="34C542E5" w14:textId="77777777" w:rsidR="00120C36" w:rsidRPr="00675DF0" w:rsidRDefault="00615769" w:rsidP="00120C36">
      <w:pPr>
        <w:rPr>
          <w:sz w:val="22"/>
          <w:szCs w:val="22"/>
        </w:rPr>
      </w:pPr>
      <w:r w:rsidRPr="00675DF0">
        <w:rPr>
          <w:sz w:val="22"/>
          <w:szCs w:val="22"/>
        </w:rPr>
        <w:t>Os doentes que cumpriram os critérios de agravamento da doença na ou após a Semana 12 foram aleatorizados para receberem uma dose de reindução de 2,4 mg/kg (</w:t>
      </w:r>
      <w:r>
        <w:rPr>
          <w:sz w:val="22"/>
          <w:szCs w:val="22"/>
        </w:rPr>
        <w:t>máximo de </w:t>
      </w:r>
      <w:r w:rsidRPr="00675DF0">
        <w:rPr>
          <w:sz w:val="22"/>
          <w:szCs w:val="22"/>
        </w:rPr>
        <w:t>160 mg) ou uma dose de 0,6 mg/kg (</w:t>
      </w:r>
      <w:r>
        <w:rPr>
          <w:sz w:val="22"/>
          <w:szCs w:val="22"/>
        </w:rPr>
        <w:t>máximo de </w:t>
      </w:r>
      <w:r w:rsidRPr="00675DF0">
        <w:rPr>
          <w:sz w:val="22"/>
          <w:szCs w:val="22"/>
        </w:rPr>
        <w:t>40 mg) e continuaram a receber posteriormente a respetiva dose de manutenção. </w:t>
      </w:r>
    </w:p>
    <w:p w14:paraId="0EA41A18" w14:textId="77777777" w:rsidR="00120C36" w:rsidRPr="00A63F1F" w:rsidRDefault="00615769" w:rsidP="00120C36">
      <w:pPr>
        <w:pStyle w:val="gtcbodytext"/>
        <w:rPr>
          <w:i/>
          <w:sz w:val="22"/>
          <w:szCs w:val="22"/>
          <w:u w:val="single"/>
          <w:lang w:val="pt-PT"/>
        </w:rPr>
      </w:pPr>
      <w:r w:rsidRPr="00A63F1F">
        <w:rPr>
          <w:i/>
          <w:sz w:val="22"/>
          <w:szCs w:val="22"/>
          <w:u w:val="single"/>
          <w:lang w:val="pt-PT"/>
        </w:rPr>
        <w:t>Resultados de eficácia</w:t>
      </w:r>
    </w:p>
    <w:p w14:paraId="4889C876" w14:textId="77777777" w:rsidR="00120C36" w:rsidRPr="00140561" w:rsidRDefault="00615769" w:rsidP="00120C36">
      <w:pPr>
        <w:textAlignment w:val="baseline"/>
        <w:rPr>
          <w:rFonts w:ascii="Segoe UI" w:hAnsi="Segoe UI" w:cs="Segoe UI"/>
          <w:sz w:val="22"/>
          <w:szCs w:val="22"/>
          <w:lang w:eastAsia="en-GB"/>
        </w:rPr>
      </w:pPr>
      <w:r w:rsidRPr="00140561">
        <w:rPr>
          <w:sz w:val="22"/>
          <w:szCs w:val="22"/>
        </w:rPr>
        <w:t>Os objetivos coprimários do estudo foram a remissão clínica de acordo com a PMS (definida como PMS ≤ 2 e sem subpontuação individual &gt; 1) na Semana 8, e a remissão clínica de acordo com a FMS (pontuação completa de Mayo) (definida como uma pontuação de Mayo ≤ 2 e sem subpontuação individual &gt; 1) na Semana 52 em doentes que obtiveram resposta clínica de acordo com a PMS na Semana 8.</w:t>
      </w:r>
    </w:p>
    <w:p w14:paraId="68DC241E" w14:textId="77777777" w:rsidR="002F486F" w:rsidRPr="00140561" w:rsidRDefault="00615769" w:rsidP="002F486F">
      <w:pPr>
        <w:textAlignment w:val="baseline"/>
        <w:rPr>
          <w:sz w:val="22"/>
          <w:szCs w:val="22"/>
        </w:rPr>
      </w:pPr>
      <w:r w:rsidRPr="00140561">
        <w:rPr>
          <w:sz w:val="22"/>
          <w:szCs w:val="22"/>
        </w:rPr>
        <w:t xml:space="preserve">As taxas de remissão clínica de acordo com a PMS na Semana 8 para os doentes em cada um dos grupos de indução </w:t>
      </w:r>
      <w:r>
        <w:rPr>
          <w:sz w:val="22"/>
          <w:szCs w:val="22"/>
        </w:rPr>
        <w:t xml:space="preserve">de Humira </w:t>
      </w:r>
      <w:r w:rsidRPr="00140561">
        <w:rPr>
          <w:sz w:val="22"/>
          <w:szCs w:val="22"/>
        </w:rPr>
        <w:t>em dupla ocultação</w:t>
      </w:r>
      <w:r>
        <w:rPr>
          <w:sz w:val="22"/>
          <w:szCs w:val="22"/>
        </w:rPr>
        <w:t xml:space="preserve"> são apresentadas na Tabela 31</w:t>
      </w:r>
      <w:r w:rsidRPr="00140561">
        <w:rPr>
          <w:sz w:val="22"/>
          <w:szCs w:val="22"/>
        </w:rPr>
        <w:t>. </w:t>
      </w:r>
    </w:p>
    <w:p w14:paraId="60627727" w14:textId="77777777" w:rsidR="002F486F" w:rsidRPr="00140561" w:rsidRDefault="00615769" w:rsidP="00B538F3">
      <w:pPr>
        <w:pStyle w:val="gtcbodytext"/>
        <w:keepNext/>
        <w:jc w:val="center"/>
        <w:rPr>
          <w:sz w:val="22"/>
          <w:szCs w:val="22"/>
          <w:lang w:val="pt-PT"/>
        </w:rPr>
      </w:pPr>
      <w:r w:rsidRPr="00140561">
        <w:rPr>
          <w:b/>
          <w:sz w:val="22"/>
          <w:szCs w:val="22"/>
          <w:lang w:val="pt-PT"/>
        </w:rPr>
        <w:t>Tabela</w:t>
      </w:r>
      <w:r>
        <w:rPr>
          <w:b/>
          <w:sz w:val="22"/>
          <w:szCs w:val="22"/>
          <w:lang w:val="pt-PT"/>
        </w:rPr>
        <w:t> 31</w:t>
      </w:r>
      <w:r w:rsidRPr="00140561">
        <w:rPr>
          <w:b/>
          <w:sz w:val="22"/>
          <w:szCs w:val="22"/>
          <w:lang w:val="pt-PT"/>
        </w:rPr>
        <w:t xml:space="preserve">: Remissão </w:t>
      </w:r>
      <w:r>
        <w:rPr>
          <w:b/>
          <w:sz w:val="22"/>
          <w:szCs w:val="22"/>
          <w:lang w:val="pt-PT"/>
        </w:rPr>
        <w:t>C</w:t>
      </w:r>
      <w:r w:rsidRPr="00140561">
        <w:rPr>
          <w:b/>
          <w:sz w:val="22"/>
          <w:szCs w:val="22"/>
          <w:lang w:val="pt-PT"/>
        </w:rPr>
        <w:t xml:space="preserve">línica de acordo com a PMS </w:t>
      </w:r>
      <w:r>
        <w:rPr>
          <w:b/>
          <w:sz w:val="22"/>
          <w:szCs w:val="22"/>
          <w:lang w:val="pt-PT"/>
        </w:rPr>
        <w:t xml:space="preserve">à Semana 8 </w:t>
      </w:r>
    </w:p>
    <w:tbl>
      <w:tblPr>
        <w:tblW w:w="4246" w:type="pct"/>
        <w:jc w:val="center"/>
        <w:tblLook w:val="04A0" w:firstRow="1" w:lastRow="0" w:firstColumn="1" w:lastColumn="0" w:noHBand="0" w:noVBand="1"/>
      </w:tblPr>
      <w:tblGrid>
        <w:gridCol w:w="1904"/>
        <w:gridCol w:w="2867"/>
        <w:gridCol w:w="2919"/>
      </w:tblGrid>
      <w:tr w:rsidR="00A7162A" w14:paraId="02D66544" w14:textId="77777777" w:rsidTr="002F486F">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C81EE5B" w14:textId="77777777" w:rsidR="002F486F" w:rsidRPr="00140561" w:rsidRDefault="002F486F" w:rsidP="00B538F3">
            <w:pPr>
              <w:keepNext/>
              <w:rPr>
                <w:sz w:val="22"/>
                <w:szCs w:val="22"/>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FA1F512" w14:textId="77777777" w:rsidR="002F486F" w:rsidRPr="00120C36" w:rsidRDefault="00615769" w:rsidP="00B538F3">
            <w:pPr>
              <w:pStyle w:val="paragraph"/>
              <w:keepNext/>
              <w:spacing w:before="0" w:beforeAutospacing="0" w:after="0" w:afterAutospacing="0" w:line="276" w:lineRule="auto"/>
              <w:jc w:val="center"/>
              <w:textAlignment w:val="baseline"/>
              <w:rPr>
                <w:rFonts w:ascii="Segoe UI" w:hAnsi="Segoe UI" w:cs="Segoe UI"/>
                <w:sz w:val="22"/>
                <w:szCs w:val="22"/>
                <w:lang w:val="pt-PT"/>
              </w:rPr>
            </w:pPr>
            <w:r w:rsidRPr="00120C36">
              <w:rPr>
                <w:rStyle w:val="spellingerror"/>
                <w:rFonts w:cs="Calibri"/>
                <w:b/>
                <w:bCs/>
                <w:sz w:val="22"/>
                <w:szCs w:val="22"/>
                <w:lang w:val="pt-PT"/>
              </w:rPr>
              <w:t>Humira</w:t>
            </w:r>
            <w:r w:rsidRPr="00120C36">
              <w:rPr>
                <w:rStyle w:val="spellingerror"/>
                <w:rFonts w:cs="Calibri"/>
                <w:b/>
                <w:sz w:val="22"/>
                <w:szCs w:val="22"/>
                <w:vertAlign w:val="superscript"/>
                <w:lang w:val="pt-PT"/>
              </w:rPr>
              <w:t>a</w:t>
            </w:r>
            <w:r w:rsidRPr="00120C36">
              <w:rPr>
                <w:rStyle w:val="eop"/>
                <w:rFonts w:cs="Calibri"/>
                <w:sz w:val="22"/>
                <w:szCs w:val="22"/>
                <w:lang w:val="pt-PT"/>
              </w:rPr>
              <w:t> </w:t>
            </w:r>
          </w:p>
          <w:p w14:paraId="63438F79" w14:textId="77777777" w:rsidR="002F486F" w:rsidRPr="00140561" w:rsidRDefault="00615769" w:rsidP="00B538F3">
            <w:pPr>
              <w:keepNext/>
              <w:spacing w:line="276" w:lineRule="auto"/>
              <w:jc w:val="center"/>
              <w:rPr>
                <w:rStyle w:val="eop"/>
                <w:rFonts w:cs="Calibri"/>
                <w:sz w:val="22"/>
                <w:szCs w:val="22"/>
              </w:rPr>
            </w:pPr>
            <w:r w:rsidRPr="00140561">
              <w:rPr>
                <w:rStyle w:val="normaltextrun"/>
                <w:rFonts w:cs="Calibri"/>
                <w:b/>
                <w:bCs/>
                <w:sz w:val="22"/>
                <w:szCs w:val="22"/>
              </w:rPr>
              <w:t>Máximo de 160 mg na Semana 0 / Placebo na Semana 1</w:t>
            </w:r>
            <w:r w:rsidRPr="00140561">
              <w:rPr>
                <w:rStyle w:val="eop"/>
                <w:rFonts w:cs="Calibri"/>
                <w:sz w:val="22"/>
                <w:szCs w:val="22"/>
              </w:rPr>
              <w:t> </w:t>
            </w:r>
          </w:p>
          <w:p w14:paraId="31E4104A" w14:textId="77777777" w:rsidR="002F486F" w:rsidRPr="00140561" w:rsidRDefault="00615769" w:rsidP="00B538F3">
            <w:pPr>
              <w:keepNext/>
              <w:spacing w:line="276" w:lineRule="auto"/>
              <w:jc w:val="center"/>
              <w:rPr>
                <w:sz w:val="22"/>
                <w:szCs w:val="22"/>
                <w:lang w:val="en-US"/>
              </w:rPr>
            </w:pPr>
            <w:r w:rsidRPr="00140561">
              <w:rPr>
                <w:rStyle w:val="eop"/>
                <w:rFonts w:cs="Calibri"/>
                <w:sz w:val="22"/>
                <w:szCs w:val="22"/>
              </w:rPr>
              <w:t>N=30</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551BFFA" w14:textId="77777777" w:rsidR="002F486F" w:rsidRPr="00120C36" w:rsidRDefault="00615769" w:rsidP="00B538F3">
            <w:pPr>
              <w:pStyle w:val="paragraph"/>
              <w:keepNext/>
              <w:spacing w:before="0" w:beforeAutospacing="0" w:after="0" w:afterAutospacing="0" w:line="276" w:lineRule="auto"/>
              <w:jc w:val="center"/>
              <w:textAlignment w:val="baseline"/>
              <w:rPr>
                <w:rFonts w:ascii="Segoe UI" w:hAnsi="Segoe UI" w:cs="Segoe UI"/>
                <w:sz w:val="22"/>
                <w:szCs w:val="22"/>
                <w:lang w:val="pt-PT"/>
              </w:rPr>
            </w:pPr>
            <w:r w:rsidRPr="00120C36">
              <w:rPr>
                <w:rStyle w:val="spellingerror"/>
                <w:rFonts w:cs="Calibri"/>
                <w:b/>
                <w:bCs/>
                <w:sz w:val="22"/>
                <w:szCs w:val="22"/>
                <w:lang w:val="pt-PT"/>
              </w:rPr>
              <w:t>Humira</w:t>
            </w:r>
            <w:r w:rsidRPr="00120C36">
              <w:rPr>
                <w:rStyle w:val="spellingerror"/>
                <w:rFonts w:cs="Calibri"/>
                <w:b/>
                <w:sz w:val="22"/>
                <w:szCs w:val="22"/>
                <w:vertAlign w:val="superscript"/>
                <w:lang w:val="pt-PT"/>
              </w:rPr>
              <w:t>b</w:t>
            </w:r>
            <w:r w:rsidRPr="00120C36">
              <w:rPr>
                <w:rStyle w:val="normaltextrun"/>
                <w:rFonts w:cs="Calibri"/>
                <w:b/>
                <w:sz w:val="22"/>
                <w:szCs w:val="22"/>
                <w:vertAlign w:val="superscript"/>
                <w:lang w:val="pt-PT"/>
              </w:rPr>
              <w:t>, c</w:t>
            </w:r>
            <w:r w:rsidRPr="00120C36">
              <w:rPr>
                <w:rStyle w:val="eop"/>
                <w:rFonts w:cs="Calibri"/>
                <w:sz w:val="22"/>
                <w:szCs w:val="22"/>
                <w:lang w:val="pt-PT"/>
              </w:rPr>
              <w:t> </w:t>
            </w:r>
          </w:p>
          <w:p w14:paraId="7C3E8C2B" w14:textId="77777777" w:rsidR="002F486F" w:rsidRPr="00140561" w:rsidRDefault="00615769" w:rsidP="00B538F3">
            <w:pPr>
              <w:keepNext/>
              <w:spacing w:line="276" w:lineRule="auto"/>
              <w:jc w:val="center"/>
              <w:rPr>
                <w:rStyle w:val="eop"/>
                <w:rFonts w:cs="Calibri"/>
                <w:sz w:val="22"/>
                <w:szCs w:val="22"/>
              </w:rPr>
            </w:pPr>
            <w:r w:rsidRPr="00140561">
              <w:rPr>
                <w:rStyle w:val="normaltextrun"/>
                <w:rFonts w:cs="Calibri"/>
                <w:b/>
                <w:bCs/>
                <w:sz w:val="22"/>
                <w:szCs w:val="22"/>
              </w:rPr>
              <w:t>Máximo de 160 mg na Semana 0 e Semana 1</w:t>
            </w:r>
            <w:r w:rsidRPr="00140561">
              <w:rPr>
                <w:rStyle w:val="eop"/>
                <w:rFonts w:cs="Calibri"/>
                <w:sz w:val="22"/>
                <w:szCs w:val="22"/>
              </w:rPr>
              <w:t> </w:t>
            </w:r>
          </w:p>
          <w:p w14:paraId="0694503A" w14:textId="77777777" w:rsidR="002F486F" w:rsidRPr="00140561" w:rsidRDefault="00615769" w:rsidP="00B538F3">
            <w:pPr>
              <w:keepNext/>
              <w:spacing w:line="276" w:lineRule="auto"/>
              <w:jc w:val="center"/>
              <w:rPr>
                <w:sz w:val="22"/>
                <w:szCs w:val="22"/>
                <w:lang w:val="en-US"/>
              </w:rPr>
            </w:pPr>
            <w:r w:rsidRPr="00140561">
              <w:rPr>
                <w:rStyle w:val="eop"/>
                <w:rFonts w:cs="Calibri"/>
                <w:sz w:val="22"/>
                <w:szCs w:val="22"/>
              </w:rPr>
              <w:t>N=47</w:t>
            </w:r>
          </w:p>
        </w:tc>
      </w:tr>
      <w:tr w:rsidR="00A7162A" w14:paraId="6D14A204" w14:textId="77777777" w:rsidTr="002F486F">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5F78AE9" w14:textId="77777777" w:rsidR="002F486F" w:rsidRPr="00140561" w:rsidRDefault="00615769" w:rsidP="00B538F3">
            <w:pPr>
              <w:keepNext/>
              <w:spacing w:line="276" w:lineRule="auto"/>
              <w:rPr>
                <w:sz w:val="22"/>
                <w:szCs w:val="22"/>
                <w:lang w:val="en-US"/>
              </w:rPr>
            </w:pPr>
            <w:r w:rsidRPr="00140561">
              <w:rPr>
                <w:sz w:val="22"/>
                <w:szCs w:val="22"/>
                <w:lang w:val="en-US"/>
              </w:rPr>
              <w:t>Remissão clínica</w:t>
            </w: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499091B" w14:textId="77777777" w:rsidR="002F486F" w:rsidRPr="00140561" w:rsidRDefault="00615769" w:rsidP="00B538F3">
            <w:pPr>
              <w:keepNext/>
              <w:spacing w:line="276" w:lineRule="auto"/>
              <w:jc w:val="center"/>
              <w:rPr>
                <w:sz w:val="22"/>
                <w:szCs w:val="22"/>
                <w:lang w:val="en-US"/>
              </w:rPr>
            </w:pPr>
            <w:r>
              <w:rPr>
                <w:sz w:val="22"/>
                <w:szCs w:val="22"/>
                <w:lang w:val="en-US"/>
              </w:rPr>
              <w:t>13/30 (43,</w:t>
            </w:r>
            <w:r w:rsidRPr="00140561">
              <w:rPr>
                <w:sz w:val="22"/>
                <w:szCs w:val="22"/>
                <w:lang w:val="en-US"/>
              </w:rPr>
              <w:t>3%)</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DFF0FF8" w14:textId="77777777" w:rsidR="002F486F" w:rsidRPr="00140561" w:rsidRDefault="00615769" w:rsidP="00B538F3">
            <w:pPr>
              <w:keepNext/>
              <w:spacing w:line="276" w:lineRule="auto"/>
              <w:jc w:val="center"/>
              <w:rPr>
                <w:sz w:val="22"/>
                <w:szCs w:val="22"/>
                <w:vertAlign w:val="superscript"/>
                <w:lang w:val="en-US"/>
              </w:rPr>
            </w:pPr>
            <w:r>
              <w:rPr>
                <w:sz w:val="22"/>
                <w:szCs w:val="22"/>
                <w:lang w:val="en-US"/>
              </w:rPr>
              <w:t>28/47 (59,</w:t>
            </w:r>
            <w:r w:rsidRPr="00140561">
              <w:rPr>
                <w:sz w:val="22"/>
                <w:szCs w:val="22"/>
                <w:lang w:val="en-US"/>
              </w:rPr>
              <w:t>6%)</w:t>
            </w:r>
          </w:p>
        </w:tc>
      </w:tr>
      <w:tr w:rsidR="00A7162A" w14:paraId="3CABAB87" w14:textId="77777777" w:rsidTr="002F486F">
        <w:trPr>
          <w:trHeight w:val="2517"/>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B985648" w14:textId="77777777" w:rsidR="002F486F" w:rsidRPr="00140561" w:rsidRDefault="00615769" w:rsidP="002F486F">
            <w:pPr>
              <w:pStyle w:val="paragraph"/>
              <w:spacing w:before="0" w:beforeAutospacing="0" w:after="0" w:afterAutospacing="0" w:line="276" w:lineRule="auto"/>
              <w:textAlignment w:val="baseline"/>
              <w:rPr>
                <w:rFonts w:ascii="Segoe UI" w:hAnsi="Segoe UI" w:cs="Segoe UI"/>
                <w:sz w:val="22"/>
                <w:szCs w:val="22"/>
                <w:lang w:val="pt-PT"/>
              </w:rPr>
            </w:pPr>
            <w:r w:rsidRPr="00140561">
              <w:rPr>
                <w:rStyle w:val="normaltextrun"/>
                <w:sz w:val="22"/>
                <w:szCs w:val="22"/>
                <w:vertAlign w:val="superscript"/>
                <w:lang w:val="pt-PT"/>
              </w:rPr>
              <w:t>a </w:t>
            </w:r>
            <w:r w:rsidRPr="00813F73">
              <w:rPr>
                <w:rStyle w:val="normaltextrun"/>
                <w:sz w:val="22"/>
                <w:szCs w:val="22"/>
                <w:lang w:val="pt-PT"/>
              </w:rPr>
              <w:t>Humira 2,4</w:t>
            </w:r>
            <w:r w:rsidRPr="00140561">
              <w:rPr>
                <w:rStyle w:val="normaltextrun"/>
                <w:sz w:val="22"/>
                <w:szCs w:val="22"/>
                <w:lang w:val="pt-PT"/>
              </w:rPr>
              <w:t> </w:t>
            </w:r>
            <w:r>
              <w:rPr>
                <w:rStyle w:val="normaltextrun"/>
                <w:sz w:val="22"/>
                <w:szCs w:val="22"/>
                <w:lang w:val="pt-PT"/>
              </w:rPr>
              <w:t xml:space="preserve">mg/kg </w:t>
            </w:r>
            <w:r w:rsidRPr="00140561">
              <w:rPr>
                <w:rStyle w:val="normaltextrun"/>
                <w:sz w:val="22"/>
                <w:szCs w:val="22"/>
                <w:lang w:val="pt-PT"/>
              </w:rPr>
              <w:t>(</w:t>
            </w:r>
            <w:r>
              <w:rPr>
                <w:rStyle w:val="normaltextrun"/>
                <w:sz w:val="22"/>
                <w:szCs w:val="22"/>
                <w:lang w:val="pt-PT"/>
              </w:rPr>
              <w:t>máximo de </w:t>
            </w:r>
            <w:r w:rsidRPr="00140561">
              <w:rPr>
                <w:rStyle w:val="normaltextrun"/>
                <w:sz w:val="22"/>
                <w:szCs w:val="22"/>
                <w:lang w:val="pt-PT"/>
              </w:rPr>
              <w:t>160 mg) na Semana 0, p</w:t>
            </w:r>
            <w:r>
              <w:rPr>
                <w:rStyle w:val="normaltextrun"/>
                <w:sz w:val="22"/>
                <w:szCs w:val="22"/>
                <w:lang w:val="pt-PT"/>
              </w:rPr>
              <w:t xml:space="preserve">lacebo na Semana 1, e 1,2 mg/kg </w:t>
            </w:r>
            <w:r w:rsidRPr="00140561">
              <w:rPr>
                <w:rStyle w:val="normaltextrun"/>
                <w:sz w:val="22"/>
                <w:szCs w:val="22"/>
                <w:lang w:val="pt-PT"/>
              </w:rPr>
              <w:t>(</w:t>
            </w:r>
            <w:r>
              <w:rPr>
                <w:rStyle w:val="normaltextrun"/>
                <w:sz w:val="22"/>
                <w:szCs w:val="22"/>
                <w:lang w:val="pt-PT"/>
              </w:rPr>
              <w:t>máximo de </w:t>
            </w:r>
            <w:r w:rsidRPr="00140561">
              <w:rPr>
                <w:rStyle w:val="normaltextrun"/>
                <w:sz w:val="22"/>
                <w:szCs w:val="22"/>
                <w:lang w:val="pt-PT"/>
              </w:rPr>
              <w:t>80 mg) na Semana 2</w:t>
            </w:r>
            <w:r>
              <w:rPr>
                <w:rStyle w:val="normaltextrun"/>
                <w:sz w:val="22"/>
                <w:szCs w:val="22"/>
                <w:lang w:val="pt-PT"/>
              </w:rPr>
              <w:t> </w:t>
            </w:r>
          </w:p>
          <w:p w14:paraId="2E32F87A" w14:textId="77777777" w:rsidR="002F486F" w:rsidRPr="00140561" w:rsidRDefault="00615769" w:rsidP="002F486F">
            <w:pPr>
              <w:pStyle w:val="paragraph"/>
              <w:spacing w:before="0" w:beforeAutospacing="0" w:after="0" w:afterAutospacing="0" w:line="276" w:lineRule="auto"/>
              <w:textAlignment w:val="baseline"/>
              <w:rPr>
                <w:rFonts w:ascii="Segoe UI" w:hAnsi="Segoe UI" w:cs="Segoe UI"/>
                <w:sz w:val="22"/>
                <w:szCs w:val="22"/>
                <w:lang w:val="pt-PT"/>
              </w:rPr>
            </w:pPr>
            <w:r w:rsidRPr="00140561">
              <w:rPr>
                <w:rStyle w:val="normaltextrun"/>
                <w:sz w:val="22"/>
                <w:szCs w:val="22"/>
                <w:vertAlign w:val="superscript"/>
                <w:lang w:val="pt-PT"/>
              </w:rPr>
              <w:t>b </w:t>
            </w:r>
            <w:r w:rsidRPr="00813F73">
              <w:rPr>
                <w:rStyle w:val="normaltextrun"/>
                <w:sz w:val="22"/>
                <w:szCs w:val="22"/>
                <w:lang w:val="pt-PT"/>
              </w:rPr>
              <w:t>Humira 2,4</w:t>
            </w:r>
            <w:r w:rsidRPr="00140561">
              <w:rPr>
                <w:rStyle w:val="normaltextrun"/>
                <w:sz w:val="22"/>
                <w:szCs w:val="22"/>
                <w:lang w:val="pt-PT"/>
              </w:rPr>
              <w:t> </w:t>
            </w:r>
            <w:r>
              <w:rPr>
                <w:rStyle w:val="normaltextrun"/>
                <w:sz w:val="22"/>
                <w:szCs w:val="22"/>
                <w:lang w:val="pt-PT"/>
              </w:rPr>
              <w:t xml:space="preserve">mg/kg </w:t>
            </w:r>
            <w:r w:rsidRPr="00140561">
              <w:rPr>
                <w:rStyle w:val="normaltextrun"/>
                <w:sz w:val="22"/>
                <w:szCs w:val="22"/>
                <w:lang w:val="pt-PT"/>
              </w:rPr>
              <w:t>(</w:t>
            </w:r>
            <w:r>
              <w:rPr>
                <w:rStyle w:val="normaltextrun"/>
                <w:sz w:val="22"/>
                <w:szCs w:val="22"/>
                <w:lang w:val="pt-PT"/>
              </w:rPr>
              <w:t>máximo de </w:t>
            </w:r>
            <w:r w:rsidRPr="00140561">
              <w:rPr>
                <w:rStyle w:val="normaltextrun"/>
                <w:sz w:val="22"/>
                <w:szCs w:val="22"/>
                <w:lang w:val="pt-PT"/>
              </w:rPr>
              <w:t>160 mg) na Semana 0 e na Semana 1, e 1,2 mg/kg</w:t>
            </w:r>
            <w:r>
              <w:rPr>
                <w:rStyle w:val="normaltextrun"/>
                <w:sz w:val="22"/>
                <w:szCs w:val="22"/>
                <w:lang w:val="pt-PT"/>
              </w:rPr>
              <w:t xml:space="preserve"> </w:t>
            </w:r>
            <w:r w:rsidRPr="00140561">
              <w:rPr>
                <w:rStyle w:val="normaltextrun"/>
                <w:sz w:val="22"/>
                <w:szCs w:val="22"/>
                <w:lang w:val="pt-PT"/>
              </w:rPr>
              <w:t>(</w:t>
            </w:r>
            <w:r>
              <w:rPr>
                <w:rStyle w:val="normaltextrun"/>
                <w:sz w:val="22"/>
                <w:szCs w:val="22"/>
                <w:lang w:val="pt-PT"/>
              </w:rPr>
              <w:t>máximo de </w:t>
            </w:r>
            <w:r w:rsidRPr="00140561">
              <w:rPr>
                <w:rStyle w:val="normaltextrun"/>
                <w:sz w:val="22"/>
                <w:szCs w:val="22"/>
                <w:lang w:val="pt-PT"/>
              </w:rPr>
              <w:t>80 mg) na Semana 2</w:t>
            </w:r>
            <w:r w:rsidRPr="00140561">
              <w:rPr>
                <w:rStyle w:val="eop"/>
                <w:sz w:val="22"/>
                <w:szCs w:val="22"/>
                <w:lang w:val="pt-PT"/>
              </w:rPr>
              <w:t> </w:t>
            </w:r>
          </w:p>
          <w:p w14:paraId="74731E82" w14:textId="77777777" w:rsidR="002F486F" w:rsidRPr="00140561" w:rsidRDefault="00615769" w:rsidP="002F486F">
            <w:pPr>
              <w:pStyle w:val="paragraph"/>
              <w:spacing w:before="0" w:beforeAutospacing="0" w:after="0" w:afterAutospacing="0" w:line="276" w:lineRule="auto"/>
              <w:textAlignment w:val="baseline"/>
              <w:rPr>
                <w:rFonts w:ascii="Segoe UI" w:hAnsi="Segoe UI" w:cs="Segoe UI"/>
                <w:sz w:val="22"/>
                <w:szCs w:val="22"/>
                <w:lang w:val="pt-PT"/>
              </w:rPr>
            </w:pPr>
            <w:r w:rsidRPr="00140561">
              <w:rPr>
                <w:rStyle w:val="normaltextrun"/>
                <w:rFonts w:cs="Calibri"/>
                <w:sz w:val="22"/>
                <w:szCs w:val="22"/>
                <w:vertAlign w:val="superscript"/>
                <w:lang w:val="pt-PT"/>
              </w:rPr>
              <w:t>c</w:t>
            </w:r>
            <w:r w:rsidRPr="00FF4AB1">
              <w:rPr>
                <w:rStyle w:val="normaltextrun"/>
                <w:sz w:val="22"/>
                <w:szCs w:val="22"/>
                <w:vertAlign w:val="superscript"/>
                <w:lang w:val="pt-PT"/>
              </w:rPr>
              <w:t> </w:t>
            </w:r>
            <w:r w:rsidRPr="00140561">
              <w:rPr>
                <w:rStyle w:val="normaltextrun"/>
                <w:rFonts w:cs="Calibri"/>
                <w:sz w:val="22"/>
                <w:szCs w:val="22"/>
                <w:lang w:val="pt-PT"/>
              </w:rPr>
              <w:t xml:space="preserve">Sem incluir a dose de indução </w:t>
            </w:r>
            <w:r>
              <w:rPr>
                <w:rStyle w:val="normaltextrun"/>
                <w:rFonts w:cs="Calibri"/>
                <w:sz w:val="22"/>
                <w:szCs w:val="22"/>
                <w:lang w:val="pt-PT"/>
              </w:rPr>
              <w:t>e</w:t>
            </w:r>
            <w:r w:rsidRPr="002F486F">
              <w:rPr>
                <w:rStyle w:val="normaltextrun"/>
                <w:rFonts w:cs="Calibri"/>
                <w:lang w:val="pt-PT"/>
              </w:rPr>
              <w:t>m</w:t>
            </w:r>
            <w:r>
              <w:rPr>
                <w:rStyle w:val="normaltextrun"/>
                <w:rFonts w:cs="Calibri"/>
                <w:lang w:val="pt-PT"/>
              </w:rPr>
              <w:t xml:space="preserve"> </w:t>
            </w:r>
            <w:r w:rsidRPr="002F486F">
              <w:rPr>
                <w:rStyle w:val="normaltextrun"/>
                <w:rFonts w:cs="Calibri"/>
                <w:lang w:val="pt-PT"/>
              </w:rPr>
              <w:t>fa</w:t>
            </w:r>
            <w:r>
              <w:rPr>
                <w:rStyle w:val="normaltextrun"/>
                <w:rFonts w:cs="Calibri"/>
                <w:lang w:val="pt-PT"/>
              </w:rPr>
              <w:t>s</w:t>
            </w:r>
            <w:r w:rsidRPr="002F486F">
              <w:rPr>
                <w:rStyle w:val="normaltextrun"/>
                <w:rFonts w:cs="Calibri"/>
                <w:lang w:val="pt-PT"/>
              </w:rPr>
              <w:t>e</w:t>
            </w:r>
            <w:r>
              <w:rPr>
                <w:rStyle w:val="normaltextrun"/>
                <w:rFonts w:cs="Calibri"/>
                <w:lang w:val="pt-PT"/>
              </w:rPr>
              <w:t xml:space="preserve"> </w:t>
            </w:r>
            <w:r w:rsidRPr="00140561">
              <w:rPr>
                <w:rStyle w:val="normaltextrun"/>
                <w:rFonts w:cs="Calibri"/>
                <w:sz w:val="22"/>
                <w:szCs w:val="22"/>
                <w:lang w:val="pt-PT"/>
              </w:rPr>
              <w:t>aberta de 2,4 mg/kg de Humira (máximo</w:t>
            </w:r>
            <w:r>
              <w:rPr>
                <w:rStyle w:val="normaltextrun"/>
                <w:rFonts w:cs="Calibri"/>
                <w:sz w:val="22"/>
                <w:szCs w:val="22"/>
                <w:lang w:val="pt-PT"/>
              </w:rPr>
              <w:t xml:space="preserve"> de </w:t>
            </w:r>
            <w:r w:rsidRPr="00140561">
              <w:rPr>
                <w:rStyle w:val="normaltextrun"/>
                <w:rFonts w:cs="Calibri"/>
                <w:sz w:val="22"/>
                <w:szCs w:val="22"/>
                <w:lang w:val="pt-PT"/>
              </w:rPr>
              <w:t>160 mg) na Semana 0 e na Semana 1, e 1,2 mg/kg</w:t>
            </w:r>
            <w:r>
              <w:rPr>
                <w:rStyle w:val="normaltextrun"/>
                <w:rFonts w:cs="Calibri"/>
                <w:sz w:val="22"/>
                <w:szCs w:val="22"/>
                <w:lang w:val="pt-PT"/>
              </w:rPr>
              <w:t xml:space="preserve"> </w:t>
            </w:r>
            <w:r w:rsidRPr="00140561">
              <w:rPr>
                <w:rStyle w:val="normaltextrun"/>
                <w:rFonts w:cs="Calibri"/>
                <w:sz w:val="22"/>
                <w:szCs w:val="22"/>
                <w:lang w:val="pt-PT"/>
              </w:rPr>
              <w:t>(</w:t>
            </w:r>
            <w:r>
              <w:rPr>
                <w:rStyle w:val="normaltextrun"/>
                <w:rFonts w:cs="Calibri"/>
                <w:sz w:val="22"/>
                <w:szCs w:val="22"/>
                <w:lang w:val="pt-PT"/>
              </w:rPr>
              <w:t>máximo de </w:t>
            </w:r>
            <w:r w:rsidRPr="00140561">
              <w:rPr>
                <w:rStyle w:val="normaltextrun"/>
                <w:rFonts w:cs="Calibri"/>
                <w:sz w:val="22"/>
                <w:szCs w:val="22"/>
                <w:lang w:val="pt-PT"/>
              </w:rPr>
              <w:t>80 mg) na Semana 2</w:t>
            </w:r>
          </w:p>
          <w:p w14:paraId="7F665849" w14:textId="77777777" w:rsidR="002F486F" w:rsidRPr="00174CD0" w:rsidRDefault="00615769" w:rsidP="002F486F">
            <w:pPr>
              <w:pStyle w:val="paragraph"/>
              <w:spacing w:before="0" w:beforeAutospacing="0" w:after="0" w:afterAutospacing="0" w:line="276" w:lineRule="auto"/>
              <w:textAlignment w:val="baseline"/>
              <w:rPr>
                <w:rFonts w:ascii="Segoe UI" w:hAnsi="Segoe UI" w:cs="Segoe UI"/>
                <w:sz w:val="22"/>
                <w:szCs w:val="22"/>
                <w:lang w:val="pt-PT"/>
              </w:rPr>
            </w:pPr>
            <w:r w:rsidRPr="00174CD0">
              <w:rPr>
                <w:rStyle w:val="normaltextrun"/>
                <w:rFonts w:cs="Calibri"/>
                <w:sz w:val="22"/>
                <w:szCs w:val="22"/>
                <w:lang w:val="pt-PT"/>
              </w:rPr>
              <w:t>Nota 1: Ambos os grupos de indução receberam 0,6 mg/kg (</w:t>
            </w:r>
            <w:r>
              <w:rPr>
                <w:rStyle w:val="normaltextrun"/>
                <w:rFonts w:cs="Calibri"/>
                <w:sz w:val="22"/>
                <w:szCs w:val="22"/>
                <w:lang w:val="pt-PT"/>
              </w:rPr>
              <w:t>máximo de </w:t>
            </w:r>
            <w:r w:rsidRPr="00174CD0">
              <w:rPr>
                <w:rStyle w:val="normaltextrun"/>
                <w:rFonts w:cs="Calibri"/>
                <w:sz w:val="22"/>
                <w:szCs w:val="22"/>
                <w:lang w:val="pt-PT"/>
              </w:rPr>
              <w:t>40 mg) na Semana 4 e na Semana 6</w:t>
            </w:r>
            <w:r w:rsidRPr="00174CD0">
              <w:rPr>
                <w:rStyle w:val="eop"/>
                <w:rFonts w:cs="Calibri"/>
                <w:sz w:val="22"/>
                <w:szCs w:val="22"/>
                <w:lang w:val="pt-PT"/>
              </w:rPr>
              <w:t> </w:t>
            </w:r>
          </w:p>
          <w:p w14:paraId="1455DA7D" w14:textId="77777777" w:rsidR="002F486F" w:rsidRPr="00174CD0" w:rsidRDefault="00615769" w:rsidP="002F486F">
            <w:pPr>
              <w:pStyle w:val="paragraph"/>
              <w:spacing w:before="0" w:beforeAutospacing="0" w:after="0" w:afterAutospacing="0" w:line="276" w:lineRule="auto"/>
              <w:textAlignment w:val="baseline"/>
              <w:rPr>
                <w:sz w:val="22"/>
                <w:szCs w:val="22"/>
                <w:lang w:val="pt-PT"/>
              </w:rPr>
            </w:pPr>
            <w:r w:rsidRPr="00174CD0">
              <w:rPr>
                <w:rStyle w:val="normaltextrun"/>
                <w:rFonts w:cs="Calibri"/>
                <w:sz w:val="22"/>
                <w:szCs w:val="22"/>
                <w:lang w:val="pt-PT"/>
              </w:rPr>
              <w:t xml:space="preserve">Nota 2: Considerou-se que os doentes com valores em falta na Semana 8 não </w:t>
            </w:r>
            <w:r>
              <w:rPr>
                <w:rStyle w:val="normaltextrun"/>
                <w:rFonts w:cs="Calibri"/>
                <w:sz w:val="22"/>
                <w:szCs w:val="22"/>
                <w:lang w:val="pt-PT"/>
              </w:rPr>
              <w:t>a</w:t>
            </w:r>
            <w:r w:rsidRPr="002F486F">
              <w:rPr>
                <w:rStyle w:val="normaltextrun"/>
                <w:rFonts w:cs="Calibri"/>
                <w:lang w:val="pt-PT"/>
              </w:rPr>
              <w:t>t</w:t>
            </w:r>
            <w:r>
              <w:rPr>
                <w:rStyle w:val="normaltextrun"/>
                <w:rFonts w:cs="Calibri"/>
                <w:lang w:val="pt-PT"/>
              </w:rPr>
              <w:t>i</w:t>
            </w:r>
            <w:r w:rsidRPr="002F486F">
              <w:rPr>
                <w:rStyle w:val="normaltextrun"/>
                <w:rFonts w:cs="Calibri"/>
                <w:lang w:val="pt-PT"/>
              </w:rPr>
              <w:t>n</w:t>
            </w:r>
            <w:r>
              <w:rPr>
                <w:rStyle w:val="normaltextrun"/>
                <w:rFonts w:cs="Calibri"/>
                <w:lang w:val="pt-PT"/>
              </w:rPr>
              <w:t>g</w:t>
            </w:r>
            <w:r w:rsidRPr="002F486F">
              <w:rPr>
                <w:rStyle w:val="normaltextrun"/>
                <w:rFonts w:cs="Calibri"/>
                <w:lang w:val="pt-PT"/>
              </w:rPr>
              <w:t>i</w:t>
            </w:r>
            <w:r>
              <w:rPr>
                <w:rStyle w:val="normaltextrun"/>
                <w:rFonts w:cs="Calibri"/>
                <w:lang w:val="pt-PT"/>
              </w:rPr>
              <w:t>r</w:t>
            </w:r>
            <w:r w:rsidRPr="002F486F">
              <w:rPr>
                <w:rStyle w:val="normaltextrun"/>
                <w:rFonts w:cs="Calibri"/>
                <w:lang w:val="pt-PT"/>
              </w:rPr>
              <w:t>a</w:t>
            </w:r>
            <w:r>
              <w:rPr>
                <w:rStyle w:val="normaltextrun"/>
                <w:rFonts w:cs="Calibri"/>
                <w:lang w:val="pt-PT"/>
              </w:rPr>
              <w:t>m</w:t>
            </w:r>
            <w:r w:rsidRPr="00174CD0">
              <w:rPr>
                <w:rStyle w:val="normaltextrun"/>
                <w:rFonts w:cs="Calibri"/>
                <w:sz w:val="22"/>
                <w:szCs w:val="22"/>
                <w:lang w:val="pt-PT"/>
              </w:rPr>
              <w:t xml:space="preserve"> o objetivo</w:t>
            </w:r>
            <w:r w:rsidRPr="00174CD0">
              <w:rPr>
                <w:rStyle w:val="eop"/>
                <w:rFonts w:cs="Calibri"/>
                <w:sz w:val="22"/>
                <w:szCs w:val="22"/>
                <w:lang w:val="pt-PT"/>
              </w:rPr>
              <w:t> </w:t>
            </w:r>
          </w:p>
        </w:tc>
      </w:tr>
    </w:tbl>
    <w:p w14:paraId="20E023C6" w14:textId="77777777" w:rsidR="00120C36" w:rsidRPr="00174CD0" w:rsidRDefault="00120C36" w:rsidP="00120C36">
      <w:pPr>
        <w:rPr>
          <w:rStyle w:val="normaltextrun"/>
          <w:sz w:val="22"/>
          <w:szCs w:val="22"/>
          <w:shd w:val="clear" w:color="auto" w:fill="FFFFFF"/>
        </w:rPr>
      </w:pPr>
    </w:p>
    <w:p w14:paraId="51C93294" w14:textId="77777777" w:rsidR="002F486F" w:rsidRPr="00174CD0" w:rsidRDefault="00615769" w:rsidP="002F486F">
      <w:pPr>
        <w:rPr>
          <w:sz w:val="22"/>
          <w:szCs w:val="22"/>
        </w:rPr>
      </w:pPr>
      <w:r w:rsidRPr="00174CD0">
        <w:rPr>
          <w:rStyle w:val="normaltextrun"/>
          <w:sz w:val="22"/>
          <w:szCs w:val="22"/>
          <w:shd w:val="clear" w:color="auto" w:fill="FFFFFF"/>
        </w:rPr>
        <w:t>Na Semana 52, foram avaliadas a remissão clínica de acor</w:t>
      </w:r>
      <w:r>
        <w:rPr>
          <w:rStyle w:val="normaltextrun"/>
          <w:sz w:val="22"/>
          <w:szCs w:val="22"/>
          <w:shd w:val="clear" w:color="auto" w:fill="FFFFFF"/>
        </w:rPr>
        <w:t>do com a FMS nos respondedores da</w:t>
      </w:r>
      <w:r w:rsidRPr="00174CD0">
        <w:rPr>
          <w:rStyle w:val="normaltextrun"/>
          <w:sz w:val="22"/>
          <w:szCs w:val="22"/>
          <w:shd w:val="clear" w:color="auto" w:fill="FFFFFF"/>
        </w:rPr>
        <w:t xml:space="preserve"> Semana 8, a resposta clínica de acordo com a FMS (definida como uma diminuição na pontuação de Mayo ≥ 3 pontos e ≥ 30% em comparação com os val</w:t>
      </w:r>
      <w:r>
        <w:rPr>
          <w:rStyle w:val="normaltextrun"/>
          <w:sz w:val="22"/>
          <w:szCs w:val="22"/>
          <w:shd w:val="clear" w:color="auto" w:fill="FFFFFF"/>
        </w:rPr>
        <w:t xml:space="preserve">ores </w:t>
      </w:r>
      <w:r w:rsidR="0003518D">
        <w:rPr>
          <w:rStyle w:val="normaltextrun"/>
          <w:sz w:val="22"/>
          <w:szCs w:val="22"/>
          <w:shd w:val="clear" w:color="auto" w:fill="FFFFFF"/>
        </w:rPr>
        <w:t>iniciais</w:t>
      </w:r>
      <w:r>
        <w:rPr>
          <w:rStyle w:val="normaltextrun"/>
          <w:sz w:val="22"/>
          <w:szCs w:val="22"/>
          <w:shd w:val="clear" w:color="auto" w:fill="FFFFFF"/>
        </w:rPr>
        <w:t>) nos respondedores da</w:t>
      </w:r>
      <w:r w:rsidRPr="00174CD0">
        <w:rPr>
          <w:rStyle w:val="normaltextrun"/>
          <w:sz w:val="22"/>
          <w:szCs w:val="22"/>
          <w:shd w:val="clear" w:color="auto" w:fill="FFFFFF"/>
        </w:rPr>
        <w:t xml:space="preserve"> Semana 8, a cicatrização da mucosa (definida como </w:t>
      </w:r>
      <w:r w:rsidR="00AD0954">
        <w:rPr>
          <w:rStyle w:val="normaltextrun"/>
          <w:sz w:val="22"/>
          <w:szCs w:val="22"/>
          <w:shd w:val="clear" w:color="auto" w:fill="FFFFFF"/>
        </w:rPr>
        <w:t>sub</w:t>
      </w:r>
      <w:r w:rsidRPr="00174CD0">
        <w:rPr>
          <w:rStyle w:val="normaltextrun"/>
          <w:sz w:val="22"/>
          <w:szCs w:val="22"/>
          <w:shd w:val="clear" w:color="auto" w:fill="FFFFFF"/>
        </w:rPr>
        <w:t xml:space="preserve">pontuação de endoscopia </w:t>
      </w:r>
      <w:r>
        <w:rPr>
          <w:rStyle w:val="normaltextrun"/>
          <w:sz w:val="22"/>
          <w:szCs w:val="22"/>
          <w:shd w:val="clear" w:color="auto" w:fill="FFFFFF"/>
        </w:rPr>
        <w:t>de Mayo ≤ 1) nos respondedores da</w:t>
      </w:r>
      <w:r w:rsidRPr="00174CD0">
        <w:rPr>
          <w:rStyle w:val="normaltextrun"/>
          <w:sz w:val="22"/>
          <w:szCs w:val="22"/>
          <w:shd w:val="clear" w:color="auto" w:fill="FFFFFF"/>
        </w:rPr>
        <w:t xml:space="preserve"> Semana 8, a remissão clínica de acordo com</w:t>
      </w:r>
      <w:r>
        <w:rPr>
          <w:rStyle w:val="normaltextrun"/>
          <w:sz w:val="22"/>
          <w:szCs w:val="22"/>
          <w:shd w:val="clear" w:color="auto" w:fill="FFFFFF"/>
        </w:rPr>
        <w:t xml:space="preserve"> a FMS nos doentes em remissão da</w:t>
      </w:r>
      <w:r w:rsidRPr="00174CD0">
        <w:rPr>
          <w:rStyle w:val="normaltextrun"/>
          <w:sz w:val="22"/>
          <w:szCs w:val="22"/>
          <w:shd w:val="clear" w:color="auto" w:fill="FFFFFF"/>
        </w:rPr>
        <w:t xml:space="preserve"> Semana 8 e a proporção dos indivíduos em remissão livre de corticosteroides de acor</w:t>
      </w:r>
      <w:r>
        <w:rPr>
          <w:rStyle w:val="normaltextrun"/>
          <w:sz w:val="22"/>
          <w:szCs w:val="22"/>
          <w:shd w:val="clear" w:color="auto" w:fill="FFFFFF"/>
        </w:rPr>
        <w:t>do com a FMS nos respondedores da</w:t>
      </w:r>
      <w:r w:rsidRPr="00174CD0">
        <w:rPr>
          <w:rStyle w:val="normaltextrun"/>
          <w:sz w:val="22"/>
          <w:szCs w:val="22"/>
          <w:shd w:val="clear" w:color="auto" w:fill="FFFFFF"/>
        </w:rPr>
        <w:t xml:space="preserve"> Semana 8, em doentes que receberam as doses de manutenção de Humira em dupla ocultação de, no máximo, 40 mg</w:t>
      </w:r>
      <w:r>
        <w:rPr>
          <w:rStyle w:val="normaltextrun"/>
          <w:sz w:val="22"/>
          <w:szCs w:val="22"/>
          <w:shd w:val="clear" w:color="auto" w:fill="FFFFFF"/>
        </w:rPr>
        <w:t xml:space="preserve"> em semanas alternadas </w:t>
      </w:r>
      <w:r w:rsidRPr="00174CD0">
        <w:rPr>
          <w:rStyle w:val="normaltextrun"/>
          <w:sz w:val="22"/>
          <w:szCs w:val="22"/>
          <w:shd w:val="clear" w:color="auto" w:fill="FFFFFF"/>
        </w:rPr>
        <w:t>(0,6 mg/kg) e de, no máximo, 40 mg</w:t>
      </w:r>
      <w:r>
        <w:rPr>
          <w:rStyle w:val="normaltextrun"/>
          <w:sz w:val="22"/>
          <w:szCs w:val="22"/>
          <w:shd w:val="clear" w:color="auto" w:fill="FFFFFF"/>
        </w:rPr>
        <w:t xml:space="preserve"> semanalmente</w:t>
      </w:r>
      <w:r w:rsidRPr="00174CD0">
        <w:rPr>
          <w:rStyle w:val="normaltextrun"/>
          <w:sz w:val="22"/>
          <w:szCs w:val="22"/>
          <w:shd w:val="clear" w:color="auto" w:fill="FFFFFF"/>
        </w:rPr>
        <w:t> (0,6 mg/kg)</w:t>
      </w:r>
      <w:r>
        <w:rPr>
          <w:rStyle w:val="normaltextrun"/>
          <w:sz w:val="22"/>
          <w:szCs w:val="22"/>
          <w:shd w:val="clear" w:color="auto" w:fill="FFFFFF"/>
        </w:rPr>
        <w:t xml:space="preserve"> (Tabela 32</w:t>
      </w:r>
      <w:r w:rsidRPr="00174CD0">
        <w:rPr>
          <w:rStyle w:val="normaltextrun"/>
          <w:sz w:val="22"/>
          <w:szCs w:val="22"/>
          <w:shd w:val="clear" w:color="auto" w:fill="FFFFFF"/>
        </w:rPr>
        <w:t>).</w:t>
      </w:r>
      <w:r w:rsidRPr="00174CD0">
        <w:rPr>
          <w:rStyle w:val="eop"/>
          <w:sz w:val="22"/>
          <w:szCs w:val="22"/>
          <w:shd w:val="clear" w:color="auto" w:fill="FFFFFF"/>
        </w:rPr>
        <w:t> </w:t>
      </w:r>
    </w:p>
    <w:p w14:paraId="2EA634D4" w14:textId="77777777" w:rsidR="00120C36" w:rsidRPr="00174CD0" w:rsidRDefault="00120C36" w:rsidP="00120C36">
      <w:pPr>
        <w:rPr>
          <w:sz w:val="22"/>
          <w:szCs w:val="22"/>
        </w:rPr>
      </w:pPr>
    </w:p>
    <w:p w14:paraId="3945736C" w14:textId="77777777" w:rsidR="00120C36" w:rsidRPr="0082333B" w:rsidRDefault="00615769" w:rsidP="00120C36">
      <w:pPr>
        <w:jc w:val="center"/>
        <w:textAlignment w:val="baseline"/>
        <w:rPr>
          <w:sz w:val="22"/>
          <w:szCs w:val="22"/>
          <w:lang w:eastAsia="en-GB"/>
        </w:rPr>
      </w:pPr>
      <w:r w:rsidRPr="0082333B">
        <w:rPr>
          <w:b/>
          <w:sz w:val="22"/>
          <w:szCs w:val="22"/>
          <w:lang w:eastAsia="en-GB"/>
        </w:rPr>
        <w:t>Tabela</w:t>
      </w:r>
      <w:r>
        <w:rPr>
          <w:b/>
          <w:sz w:val="22"/>
          <w:szCs w:val="22"/>
          <w:lang w:eastAsia="en-GB"/>
        </w:rPr>
        <w:t> 32</w:t>
      </w:r>
      <w:r w:rsidRPr="0082333B">
        <w:rPr>
          <w:b/>
          <w:sz w:val="22"/>
          <w:szCs w:val="22"/>
          <w:lang w:eastAsia="en-GB"/>
        </w:rPr>
        <w:t xml:space="preserve">: Resultados de </w:t>
      </w:r>
      <w:r w:rsidR="0003518D">
        <w:rPr>
          <w:b/>
          <w:sz w:val="22"/>
          <w:szCs w:val="22"/>
          <w:lang w:eastAsia="en-GB"/>
        </w:rPr>
        <w:t>E</w:t>
      </w:r>
      <w:r w:rsidRPr="0082333B">
        <w:rPr>
          <w:b/>
          <w:sz w:val="22"/>
          <w:szCs w:val="22"/>
          <w:lang w:eastAsia="en-GB"/>
        </w:rPr>
        <w:t>ficácia à Semana</w:t>
      </w:r>
      <w:r w:rsidR="0003518D">
        <w:rPr>
          <w:b/>
          <w:sz w:val="22"/>
          <w:szCs w:val="22"/>
          <w:lang w:eastAsia="en-GB"/>
        </w:rPr>
        <w:t xml:space="preserve"> 52</w:t>
      </w:r>
      <w:r w:rsidRPr="0082333B">
        <w:rPr>
          <w:sz w:val="22"/>
          <w:szCs w:val="22"/>
          <w:lang w:eastAsia="en-GB"/>
        </w:rPr>
        <w:t> </w:t>
      </w:r>
    </w:p>
    <w:p w14:paraId="3869B7DF" w14:textId="77777777" w:rsidR="00120C36" w:rsidRPr="0082333B" w:rsidRDefault="00120C36" w:rsidP="00120C36">
      <w:pPr>
        <w:jc w:val="center"/>
        <w:textAlignment w:val="baseline"/>
        <w:rPr>
          <w:sz w:val="22"/>
          <w:szCs w:val="22"/>
          <w:lang w:eastAsia="en-GB"/>
        </w:rPr>
      </w:pP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6"/>
        <w:gridCol w:w="2409"/>
        <w:gridCol w:w="2633"/>
      </w:tblGrid>
      <w:tr w:rsidR="00A7162A" w14:paraId="168BB7AD" w14:textId="77777777" w:rsidTr="00AB0B1F">
        <w:trPr>
          <w:trHeight w:val="912"/>
          <w:jc w:val="center"/>
        </w:trPr>
        <w:tc>
          <w:tcPr>
            <w:tcW w:w="2526" w:type="dxa"/>
            <w:tcBorders>
              <w:top w:val="single" w:sz="6" w:space="0" w:color="auto"/>
              <w:left w:val="single" w:sz="6" w:space="0" w:color="auto"/>
              <w:bottom w:val="single" w:sz="6" w:space="0" w:color="auto"/>
              <w:right w:val="single" w:sz="6" w:space="0" w:color="auto"/>
            </w:tcBorders>
            <w:hideMark/>
          </w:tcPr>
          <w:p w14:paraId="4ABFC459" w14:textId="77777777" w:rsidR="00120C36" w:rsidRPr="0082333B" w:rsidRDefault="00120C36" w:rsidP="00AB0B1F">
            <w:pPr>
              <w:jc w:val="center"/>
              <w:textAlignment w:val="baseline"/>
              <w:rPr>
                <w:sz w:val="22"/>
                <w:szCs w:val="22"/>
                <w:lang w:eastAsia="en-GB"/>
              </w:rPr>
            </w:pPr>
          </w:p>
        </w:tc>
        <w:tc>
          <w:tcPr>
            <w:tcW w:w="2409" w:type="dxa"/>
            <w:tcBorders>
              <w:top w:val="single" w:sz="6" w:space="0" w:color="auto"/>
              <w:left w:val="nil"/>
              <w:bottom w:val="single" w:sz="6" w:space="0" w:color="auto"/>
              <w:right w:val="single" w:sz="6" w:space="0" w:color="auto"/>
            </w:tcBorders>
            <w:vAlign w:val="center"/>
            <w:hideMark/>
          </w:tcPr>
          <w:p w14:paraId="39DC581C" w14:textId="77777777" w:rsidR="00120C36" w:rsidRPr="00120C36" w:rsidRDefault="00615769" w:rsidP="00AB0B1F">
            <w:pPr>
              <w:jc w:val="center"/>
              <w:textAlignment w:val="baseline"/>
              <w:rPr>
                <w:sz w:val="22"/>
                <w:szCs w:val="22"/>
                <w:lang w:eastAsia="en-GB"/>
              </w:rPr>
            </w:pPr>
            <w:r w:rsidRPr="00120C36">
              <w:rPr>
                <w:b/>
                <w:bCs/>
                <w:sz w:val="22"/>
                <w:szCs w:val="22"/>
                <w:lang w:eastAsia="en-GB"/>
              </w:rPr>
              <w:t>Humira</w:t>
            </w:r>
            <w:r w:rsidRPr="00120C36">
              <w:rPr>
                <w:b/>
                <w:sz w:val="22"/>
                <w:szCs w:val="22"/>
                <w:vertAlign w:val="superscript"/>
                <w:lang w:eastAsia="en-GB"/>
              </w:rPr>
              <w:t>a</w:t>
            </w:r>
            <w:r w:rsidRPr="00120C36">
              <w:rPr>
                <w:b/>
                <w:bCs/>
                <w:sz w:val="22"/>
                <w:szCs w:val="22"/>
                <w:lang w:eastAsia="en-GB"/>
              </w:rPr>
              <w:t> </w:t>
            </w:r>
            <w:r w:rsidRPr="00120C36">
              <w:rPr>
                <w:sz w:val="22"/>
                <w:szCs w:val="22"/>
                <w:lang w:eastAsia="en-GB"/>
              </w:rPr>
              <w:t> </w:t>
            </w:r>
          </w:p>
          <w:p w14:paraId="552CF27A" w14:textId="77777777" w:rsidR="00120C36" w:rsidRPr="0082333B" w:rsidRDefault="00615769" w:rsidP="00AB0B1F">
            <w:pPr>
              <w:jc w:val="center"/>
              <w:textAlignment w:val="baseline"/>
              <w:rPr>
                <w:sz w:val="22"/>
                <w:szCs w:val="22"/>
                <w:lang w:eastAsia="en-GB"/>
              </w:rPr>
            </w:pPr>
            <w:r w:rsidRPr="0082333B">
              <w:rPr>
                <w:b/>
                <w:bCs/>
                <w:sz w:val="22"/>
                <w:szCs w:val="22"/>
                <w:lang w:eastAsia="en-GB"/>
              </w:rPr>
              <w:t>Máximo de 40 mg</w:t>
            </w:r>
            <w:r>
              <w:rPr>
                <w:b/>
                <w:bCs/>
                <w:sz w:val="22"/>
                <w:szCs w:val="22"/>
                <w:lang w:eastAsia="en-GB"/>
              </w:rPr>
              <w:t xml:space="preserve"> em semanas alternadas</w:t>
            </w:r>
            <w:r w:rsidRPr="0082333B">
              <w:rPr>
                <w:sz w:val="22"/>
                <w:szCs w:val="22"/>
                <w:lang w:eastAsia="en-GB"/>
              </w:rPr>
              <w:t> </w:t>
            </w:r>
          </w:p>
          <w:p w14:paraId="385F1706" w14:textId="77777777" w:rsidR="00120C36" w:rsidRPr="0082333B" w:rsidRDefault="00615769" w:rsidP="00AB0B1F">
            <w:pPr>
              <w:jc w:val="center"/>
              <w:textAlignment w:val="baseline"/>
              <w:rPr>
                <w:sz w:val="22"/>
                <w:szCs w:val="22"/>
                <w:lang w:eastAsia="en-GB"/>
              </w:rPr>
            </w:pPr>
            <w:r w:rsidRPr="0082333B">
              <w:rPr>
                <w:sz w:val="22"/>
                <w:szCs w:val="22"/>
                <w:lang w:eastAsia="en-GB"/>
              </w:rPr>
              <w:t>N=31</w:t>
            </w:r>
          </w:p>
        </w:tc>
        <w:tc>
          <w:tcPr>
            <w:tcW w:w="2633" w:type="dxa"/>
            <w:tcBorders>
              <w:top w:val="single" w:sz="6" w:space="0" w:color="auto"/>
              <w:left w:val="nil"/>
              <w:bottom w:val="single" w:sz="6" w:space="0" w:color="auto"/>
              <w:right w:val="single" w:sz="6" w:space="0" w:color="auto"/>
            </w:tcBorders>
            <w:vAlign w:val="center"/>
            <w:hideMark/>
          </w:tcPr>
          <w:p w14:paraId="33031FD1" w14:textId="77777777" w:rsidR="00120C36" w:rsidRPr="00120C36" w:rsidRDefault="00615769" w:rsidP="00AB0B1F">
            <w:pPr>
              <w:jc w:val="center"/>
              <w:textAlignment w:val="baseline"/>
              <w:rPr>
                <w:sz w:val="22"/>
                <w:szCs w:val="22"/>
                <w:lang w:eastAsia="en-GB"/>
              </w:rPr>
            </w:pPr>
            <w:r w:rsidRPr="00120C36">
              <w:rPr>
                <w:b/>
                <w:bCs/>
                <w:sz w:val="22"/>
                <w:szCs w:val="22"/>
                <w:lang w:eastAsia="en-GB"/>
              </w:rPr>
              <w:t>Humira</w:t>
            </w:r>
            <w:r w:rsidRPr="00120C36">
              <w:rPr>
                <w:b/>
                <w:sz w:val="22"/>
                <w:szCs w:val="22"/>
                <w:vertAlign w:val="superscript"/>
                <w:lang w:eastAsia="en-GB"/>
              </w:rPr>
              <w:t>b</w:t>
            </w:r>
            <w:r w:rsidRPr="00120C36">
              <w:rPr>
                <w:b/>
                <w:bCs/>
                <w:sz w:val="22"/>
                <w:szCs w:val="22"/>
                <w:lang w:eastAsia="en-GB"/>
              </w:rPr>
              <w:t> </w:t>
            </w:r>
            <w:r w:rsidRPr="00120C36">
              <w:rPr>
                <w:sz w:val="22"/>
                <w:szCs w:val="22"/>
                <w:lang w:eastAsia="en-GB"/>
              </w:rPr>
              <w:t> </w:t>
            </w:r>
          </w:p>
          <w:p w14:paraId="19E85837" w14:textId="77777777" w:rsidR="00120C36" w:rsidRPr="00120C36" w:rsidRDefault="00615769" w:rsidP="00AB0B1F">
            <w:pPr>
              <w:jc w:val="center"/>
              <w:textAlignment w:val="baseline"/>
              <w:rPr>
                <w:sz w:val="22"/>
                <w:szCs w:val="22"/>
                <w:lang w:eastAsia="en-GB"/>
              </w:rPr>
            </w:pPr>
            <w:r w:rsidRPr="00120C36">
              <w:rPr>
                <w:b/>
                <w:bCs/>
                <w:sz w:val="22"/>
                <w:szCs w:val="22"/>
                <w:lang w:eastAsia="en-GB"/>
              </w:rPr>
              <w:t>Máximo de 40 mg semanalmente</w:t>
            </w:r>
            <w:r w:rsidRPr="00120C36">
              <w:rPr>
                <w:sz w:val="22"/>
                <w:szCs w:val="22"/>
                <w:lang w:eastAsia="en-GB"/>
              </w:rPr>
              <w:t> </w:t>
            </w:r>
          </w:p>
          <w:p w14:paraId="018CEDCE" w14:textId="77777777" w:rsidR="00120C36" w:rsidRPr="00120C36" w:rsidRDefault="00615769" w:rsidP="00AB0B1F">
            <w:pPr>
              <w:jc w:val="center"/>
              <w:textAlignment w:val="baseline"/>
              <w:rPr>
                <w:sz w:val="22"/>
                <w:szCs w:val="22"/>
                <w:lang w:eastAsia="en-GB"/>
              </w:rPr>
            </w:pPr>
            <w:r w:rsidRPr="00120C36">
              <w:rPr>
                <w:sz w:val="22"/>
                <w:szCs w:val="22"/>
                <w:lang w:eastAsia="en-GB"/>
              </w:rPr>
              <w:t>N=31</w:t>
            </w:r>
          </w:p>
        </w:tc>
      </w:tr>
      <w:tr w:rsidR="00A7162A" w14:paraId="312BA91D" w14:textId="77777777" w:rsidTr="00AB0B1F">
        <w:trPr>
          <w:trHeight w:val="570"/>
          <w:jc w:val="center"/>
        </w:trPr>
        <w:tc>
          <w:tcPr>
            <w:tcW w:w="2526" w:type="dxa"/>
            <w:tcBorders>
              <w:top w:val="nil"/>
              <w:left w:val="single" w:sz="6" w:space="0" w:color="auto"/>
              <w:bottom w:val="single" w:sz="6" w:space="0" w:color="auto"/>
              <w:right w:val="single" w:sz="6" w:space="0" w:color="auto"/>
            </w:tcBorders>
            <w:vAlign w:val="center"/>
            <w:hideMark/>
          </w:tcPr>
          <w:p w14:paraId="09123867" w14:textId="77777777" w:rsidR="00120C36" w:rsidRPr="00813F73" w:rsidRDefault="00615769" w:rsidP="00AB0B1F">
            <w:pPr>
              <w:textAlignment w:val="baseline"/>
              <w:rPr>
                <w:sz w:val="22"/>
                <w:szCs w:val="22"/>
                <w:lang w:eastAsia="en-GB"/>
              </w:rPr>
            </w:pPr>
            <w:r w:rsidRPr="00813F73">
              <w:rPr>
                <w:sz w:val="22"/>
                <w:szCs w:val="22"/>
                <w:lang w:eastAsia="en-GB"/>
              </w:rPr>
              <w:t>Remissão clínica nos respondedores PMS da Semana 8 </w:t>
            </w:r>
          </w:p>
        </w:tc>
        <w:tc>
          <w:tcPr>
            <w:tcW w:w="2409" w:type="dxa"/>
            <w:tcBorders>
              <w:top w:val="nil"/>
              <w:left w:val="nil"/>
              <w:bottom w:val="single" w:sz="6" w:space="0" w:color="auto"/>
              <w:right w:val="single" w:sz="6" w:space="0" w:color="auto"/>
            </w:tcBorders>
            <w:vAlign w:val="center"/>
            <w:hideMark/>
          </w:tcPr>
          <w:p w14:paraId="1B0A6A26" w14:textId="77777777" w:rsidR="00120C36" w:rsidRPr="0082333B" w:rsidRDefault="00615769" w:rsidP="00AB0B1F">
            <w:pPr>
              <w:jc w:val="center"/>
              <w:textAlignment w:val="baseline"/>
              <w:rPr>
                <w:sz w:val="22"/>
                <w:szCs w:val="22"/>
                <w:lang w:eastAsia="en-GB"/>
              </w:rPr>
            </w:pPr>
            <w:r>
              <w:rPr>
                <w:sz w:val="22"/>
                <w:szCs w:val="22"/>
                <w:lang w:val="en-US" w:eastAsia="en-GB"/>
              </w:rPr>
              <w:t>9/31 (29,</w:t>
            </w:r>
            <w:r w:rsidRPr="0082333B">
              <w:rPr>
                <w:sz w:val="22"/>
                <w:szCs w:val="22"/>
                <w:lang w:val="en-US" w:eastAsia="en-GB"/>
              </w:rPr>
              <w:t>0%)</w:t>
            </w:r>
            <w:r w:rsidRPr="0082333B">
              <w:rPr>
                <w:sz w:val="22"/>
                <w:szCs w:val="22"/>
                <w:lang w:eastAsia="en-GB"/>
              </w:rPr>
              <w:t> </w:t>
            </w:r>
          </w:p>
        </w:tc>
        <w:tc>
          <w:tcPr>
            <w:tcW w:w="2633" w:type="dxa"/>
            <w:tcBorders>
              <w:top w:val="nil"/>
              <w:left w:val="nil"/>
              <w:bottom w:val="single" w:sz="6" w:space="0" w:color="auto"/>
              <w:right w:val="single" w:sz="6" w:space="0" w:color="auto"/>
            </w:tcBorders>
            <w:vAlign w:val="center"/>
            <w:hideMark/>
          </w:tcPr>
          <w:p w14:paraId="799701C4" w14:textId="77777777" w:rsidR="00120C36" w:rsidRPr="0082333B" w:rsidRDefault="00615769" w:rsidP="00AB0B1F">
            <w:pPr>
              <w:jc w:val="center"/>
              <w:textAlignment w:val="baseline"/>
              <w:rPr>
                <w:sz w:val="22"/>
                <w:szCs w:val="22"/>
                <w:lang w:eastAsia="en-GB"/>
              </w:rPr>
            </w:pPr>
            <w:r w:rsidRPr="0082333B">
              <w:rPr>
                <w:sz w:val="22"/>
                <w:szCs w:val="22"/>
                <w:lang w:val="en-US" w:eastAsia="en-GB"/>
              </w:rPr>
              <w:t>14/31 (45</w:t>
            </w:r>
            <w:r>
              <w:rPr>
                <w:sz w:val="22"/>
                <w:szCs w:val="22"/>
                <w:lang w:val="en-US" w:eastAsia="en-GB"/>
              </w:rPr>
              <w:t>,</w:t>
            </w:r>
            <w:r w:rsidRPr="0082333B">
              <w:rPr>
                <w:sz w:val="22"/>
                <w:szCs w:val="22"/>
                <w:lang w:val="en-US" w:eastAsia="en-GB"/>
              </w:rPr>
              <w:t>2%)</w:t>
            </w:r>
          </w:p>
        </w:tc>
      </w:tr>
      <w:tr w:rsidR="00A7162A" w14:paraId="75BA3DED" w14:textId="77777777" w:rsidTr="00AB0B1F">
        <w:trPr>
          <w:trHeight w:val="555"/>
          <w:jc w:val="center"/>
        </w:trPr>
        <w:tc>
          <w:tcPr>
            <w:tcW w:w="2526" w:type="dxa"/>
            <w:tcBorders>
              <w:top w:val="nil"/>
              <w:left w:val="single" w:sz="6" w:space="0" w:color="auto"/>
              <w:bottom w:val="single" w:sz="6" w:space="0" w:color="auto"/>
              <w:right w:val="single" w:sz="6" w:space="0" w:color="auto"/>
            </w:tcBorders>
            <w:vAlign w:val="center"/>
            <w:hideMark/>
          </w:tcPr>
          <w:p w14:paraId="730384CA" w14:textId="77777777" w:rsidR="00120C36" w:rsidRPr="00813F73" w:rsidRDefault="00615769" w:rsidP="00AB0B1F">
            <w:pPr>
              <w:textAlignment w:val="baseline"/>
              <w:rPr>
                <w:sz w:val="22"/>
                <w:szCs w:val="22"/>
                <w:lang w:eastAsia="en-GB"/>
              </w:rPr>
            </w:pPr>
            <w:r w:rsidRPr="00813F73">
              <w:rPr>
                <w:sz w:val="22"/>
                <w:szCs w:val="22"/>
                <w:lang w:eastAsia="en-GB"/>
              </w:rPr>
              <w:t>Resposta clínica nos respondedores PMS da Semana 8 </w:t>
            </w:r>
          </w:p>
        </w:tc>
        <w:tc>
          <w:tcPr>
            <w:tcW w:w="2409" w:type="dxa"/>
            <w:tcBorders>
              <w:top w:val="nil"/>
              <w:left w:val="nil"/>
              <w:bottom w:val="single" w:sz="6" w:space="0" w:color="auto"/>
              <w:right w:val="single" w:sz="6" w:space="0" w:color="auto"/>
            </w:tcBorders>
            <w:vAlign w:val="center"/>
            <w:hideMark/>
          </w:tcPr>
          <w:p w14:paraId="690A2F9E" w14:textId="77777777" w:rsidR="00120C36" w:rsidRPr="0082333B" w:rsidRDefault="00615769" w:rsidP="00AB0B1F">
            <w:pPr>
              <w:jc w:val="center"/>
              <w:textAlignment w:val="baseline"/>
              <w:rPr>
                <w:sz w:val="22"/>
                <w:szCs w:val="22"/>
                <w:lang w:eastAsia="en-GB"/>
              </w:rPr>
            </w:pPr>
            <w:r w:rsidRPr="0082333B">
              <w:rPr>
                <w:sz w:val="22"/>
                <w:szCs w:val="22"/>
                <w:lang w:val="en-US" w:eastAsia="en-GB"/>
              </w:rPr>
              <w:t>19/31 (61</w:t>
            </w:r>
            <w:r>
              <w:rPr>
                <w:sz w:val="22"/>
                <w:szCs w:val="22"/>
                <w:lang w:val="en-US" w:eastAsia="en-GB"/>
              </w:rPr>
              <w:t>,</w:t>
            </w:r>
            <w:r w:rsidRPr="0082333B">
              <w:rPr>
                <w:sz w:val="22"/>
                <w:szCs w:val="22"/>
                <w:lang w:val="en-US" w:eastAsia="en-GB"/>
              </w:rPr>
              <w:t>3%)</w:t>
            </w:r>
            <w:r w:rsidRPr="0082333B">
              <w:rPr>
                <w:sz w:val="22"/>
                <w:szCs w:val="22"/>
                <w:lang w:eastAsia="en-GB"/>
              </w:rPr>
              <w:t> </w:t>
            </w:r>
          </w:p>
        </w:tc>
        <w:tc>
          <w:tcPr>
            <w:tcW w:w="2633" w:type="dxa"/>
            <w:tcBorders>
              <w:top w:val="nil"/>
              <w:left w:val="nil"/>
              <w:bottom w:val="single" w:sz="6" w:space="0" w:color="auto"/>
              <w:right w:val="single" w:sz="6" w:space="0" w:color="auto"/>
            </w:tcBorders>
            <w:vAlign w:val="center"/>
            <w:hideMark/>
          </w:tcPr>
          <w:p w14:paraId="46D1B284" w14:textId="77777777" w:rsidR="00120C36" w:rsidRPr="0082333B" w:rsidRDefault="00615769" w:rsidP="00AB0B1F">
            <w:pPr>
              <w:jc w:val="center"/>
              <w:textAlignment w:val="baseline"/>
              <w:rPr>
                <w:sz w:val="22"/>
                <w:szCs w:val="22"/>
                <w:lang w:eastAsia="en-GB"/>
              </w:rPr>
            </w:pPr>
            <w:r w:rsidRPr="0082333B">
              <w:rPr>
                <w:sz w:val="22"/>
                <w:szCs w:val="22"/>
                <w:lang w:val="en-US" w:eastAsia="en-GB"/>
              </w:rPr>
              <w:t>21/31 (67</w:t>
            </w:r>
            <w:r>
              <w:rPr>
                <w:sz w:val="22"/>
                <w:szCs w:val="22"/>
                <w:lang w:val="en-US" w:eastAsia="en-GB"/>
              </w:rPr>
              <w:t>,</w:t>
            </w:r>
            <w:r w:rsidRPr="0082333B">
              <w:rPr>
                <w:sz w:val="22"/>
                <w:szCs w:val="22"/>
                <w:lang w:val="en-US" w:eastAsia="en-GB"/>
              </w:rPr>
              <w:t>7%)</w:t>
            </w:r>
            <w:r w:rsidRPr="0082333B">
              <w:rPr>
                <w:sz w:val="22"/>
                <w:szCs w:val="22"/>
                <w:lang w:eastAsia="en-GB"/>
              </w:rPr>
              <w:t> </w:t>
            </w:r>
          </w:p>
        </w:tc>
      </w:tr>
      <w:tr w:rsidR="00A7162A" w14:paraId="3CD5A30E" w14:textId="77777777" w:rsidTr="00AB0B1F">
        <w:trPr>
          <w:jc w:val="center"/>
        </w:trPr>
        <w:tc>
          <w:tcPr>
            <w:tcW w:w="2526" w:type="dxa"/>
            <w:tcBorders>
              <w:top w:val="nil"/>
              <w:left w:val="single" w:sz="6" w:space="0" w:color="auto"/>
              <w:bottom w:val="single" w:sz="6" w:space="0" w:color="auto"/>
              <w:right w:val="single" w:sz="6" w:space="0" w:color="auto"/>
            </w:tcBorders>
            <w:vAlign w:val="center"/>
            <w:hideMark/>
          </w:tcPr>
          <w:p w14:paraId="04E6B459" w14:textId="77777777" w:rsidR="00120C36" w:rsidRPr="00813F73" w:rsidRDefault="00615769" w:rsidP="00AB0B1F">
            <w:pPr>
              <w:textAlignment w:val="baseline"/>
              <w:rPr>
                <w:sz w:val="22"/>
                <w:szCs w:val="22"/>
                <w:lang w:eastAsia="en-GB"/>
              </w:rPr>
            </w:pPr>
            <w:r w:rsidRPr="00813F73">
              <w:rPr>
                <w:sz w:val="22"/>
                <w:szCs w:val="22"/>
                <w:lang w:eastAsia="en-GB"/>
              </w:rPr>
              <w:t>Cicatrização da mucosa nos respondedores PMS da Semana 8 </w:t>
            </w:r>
          </w:p>
        </w:tc>
        <w:tc>
          <w:tcPr>
            <w:tcW w:w="2409" w:type="dxa"/>
            <w:tcBorders>
              <w:top w:val="nil"/>
              <w:left w:val="nil"/>
              <w:bottom w:val="single" w:sz="6" w:space="0" w:color="auto"/>
              <w:right w:val="single" w:sz="6" w:space="0" w:color="auto"/>
            </w:tcBorders>
            <w:vAlign w:val="center"/>
            <w:hideMark/>
          </w:tcPr>
          <w:p w14:paraId="21A16891" w14:textId="77777777" w:rsidR="00120C36" w:rsidRPr="00813F73" w:rsidRDefault="00615769" w:rsidP="00AB0B1F">
            <w:pPr>
              <w:jc w:val="center"/>
              <w:textAlignment w:val="baseline"/>
              <w:rPr>
                <w:sz w:val="22"/>
                <w:szCs w:val="22"/>
                <w:lang w:eastAsia="en-GB"/>
              </w:rPr>
            </w:pPr>
            <w:r w:rsidRPr="00813F73">
              <w:rPr>
                <w:sz w:val="22"/>
                <w:szCs w:val="22"/>
                <w:lang w:val="en-US" w:eastAsia="en-GB"/>
              </w:rPr>
              <w:t>12/31 (38</w:t>
            </w:r>
            <w:r>
              <w:rPr>
                <w:sz w:val="22"/>
                <w:szCs w:val="22"/>
                <w:lang w:val="en-US" w:eastAsia="en-GB"/>
              </w:rPr>
              <w:t>,</w:t>
            </w:r>
            <w:r w:rsidRPr="00813F73">
              <w:rPr>
                <w:sz w:val="22"/>
                <w:szCs w:val="22"/>
                <w:lang w:val="en-US" w:eastAsia="en-GB"/>
              </w:rPr>
              <w:t>7%)</w:t>
            </w:r>
            <w:r w:rsidRPr="00813F73">
              <w:rPr>
                <w:sz w:val="22"/>
                <w:szCs w:val="22"/>
                <w:lang w:eastAsia="en-GB"/>
              </w:rPr>
              <w:t> </w:t>
            </w:r>
          </w:p>
        </w:tc>
        <w:tc>
          <w:tcPr>
            <w:tcW w:w="2633" w:type="dxa"/>
            <w:tcBorders>
              <w:top w:val="nil"/>
              <w:left w:val="nil"/>
              <w:bottom w:val="single" w:sz="6" w:space="0" w:color="auto"/>
              <w:right w:val="single" w:sz="6" w:space="0" w:color="auto"/>
            </w:tcBorders>
            <w:vAlign w:val="center"/>
            <w:hideMark/>
          </w:tcPr>
          <w:p w14:paraId="483538EC" w14:textId="77777777" w:rsidR="00120C36" w:rsidRPr="00813F73" w:rsidRDefault="00615769" w:rsidP="00AB0B1F">
            <w:pPr>
              <w:jc w:val="center"/>
              <w:textAlignment w:val="baseline"/>
              <w:rPr>
                <w:sz w:val="22"/>
                <w:szCs w:val="22"/>
                <w:lang w:eastAsia="en-GB"/>
              </w:rPr>
            </w:pPr>
            <w:r w:rsidRPr="00813F73">
              <w:rPr>
                <w:sz w:val="22"/>
                <w:szCs w:val="22"/>
                <w:lang w:val="en-US" w:eastAsia="en-GB"/>
              </w:rPr>
              <w:t>16/31 (51</w:t>
            </w:r>
            <w:r>
              <w:rPr>
                <w:sz w:val="22"/>
                <w:szCs w:val="22"/>
                <w:lang w:val="en-US" w:eastAsia="en-GB"/>
              </w:rPr>
              <w:t>,</w:t>
            </w:r>
            <w:r w:rsidRPr="00813F73">
              <w:rPr>
                <w:sz w:val="22"/>
                <w:szCs w:val="22"/>
                <w:lang w:val="en-US" w:eastAsia="en-GB"/>
              </w:rPr>
              <w:t>6%)</w:t>
            </w:r>
            <w:r w:rsidRPr="00813F73">
              <w:rPr>
                <w:sz w:val="22"/>
                <w:szCs w:val="22"/>
                <w:lang w:eastAsia="en-GB"/>
              </w:rPr>
              <w:t> </w:t>
            </w:r>
          </w:p>
        </w:tc>
      </w:tr>
      <w:tr w:rsidR="00A7162A" w14:paraId="76B04684" w14:textId="77777777" w:rsidTr="00AB0B1F">
        <w:trPr>
          <w:jc w:val="center"/>
        </w:trPr>
        <w:tc>
          <w:tcPr>
            <w:tcW w:w="2526" w:type="dxa"/>
            <w:tcBorders>
              <w:top w:val="nil"/>
              <w:left w:val="single" w:sz="6" w:space="0" w:color="auto"/>
              <w:bottom w:val="single" w:sz="6" w:space="0" w:color="auto"/>
              <w:right w:val="single" w:sz="6" w:space="0" w:color="auto"/>
            </w:tcBorders>
            <w:vAlign w:val="center"/>
            <w:hideMark/>
          </w:tcPr>
          <w:p w14:paraId="6ADD2A72" w14:textId="77777777" w:rsidR="00120C36" w:rsidRPr="00813F73" w:rsidRDefault="00615769" w:rsidP="00AB0B1F">
            <w:pPr>
              <w:textAlignment w:val="baseline"/>
              <w:rPr>
                <w:sz w:val="22"/>
                <w:szCs w:val="22"/>
                <w:lang w:eastAsia="en-GB"/>
              </w:rPr>
            </w:pPr>
            <w:r w:rsidRPr="00813F73">
              <w:rPr>
                <w:sz w:val="22"/>
                <w:szCs w:val="22"/>
                <w:lang w:eastAsia="en-GB"/>
              </w:rPr>
              <w:t>Remissão clínica nos doentes em remissão PMS da Semana 8 </w:t>
            </w:r>
          </w:p>
        </w:tc>
        <w:tc>
          <w:tcPr>
            <w:tcW w:w="2409" w:type="dxa"/>
            <w:tcBorders>
              <w:top w:val="nil"/>
              <w:left w:val="nil"/>
              <w:bottom w:val="single" w:sz="6" w:space="0" w:color="auto"/>
              <w:right w:val="single" w:sz="6" w:space="0" w:color="auto"/>
            </w:tcBorders>
            <w:vAlign w:val="center"/>
            <w:hideMark/>
          </w:tcPr>
          <w:p w14:paraId="41B259DD" w14:textId="77777777" w:rsidR="00120C36" w:rsidRPr="00813F73" w:rsidRDefault="00615769" w:rsidP="00AB0B1F">
            <w:pPr>
              <w:jc w:val="center"/>
              <w:textAlignment w:val="baseline"/>
              <w:rPr>
                <w:sz w:val="22"/>
                <w:szCs w:val="22"/>
                <w:lang w:eastAsia="en-GB"/>
              </w:rPr>
            </w:pPr>
            <w:r w:rsidRPr="00813F73">
              <w:rPr>
                <w:sz w:val="22"/>
                <w:szCs w:val="22"/>
                <w:lang w:val="en-US" w:eastAsia="en-GB"/>
              </w:rPr>
              <w:t>9/21 (42,9%)</w:t>
            </w:r>
            <w:r w:rsidRPr="00813F73">
              <w:rPr>
                <w:sz w:val="22"/>
                <w:szCs w:val="22"/>
                <w:lang w:eastAsia="en-GB"/>
              </w:rPr>
              <w:t> </w:t>
            </w:r>
          </w:p>
        </w:tc>
        <w:tc>
          <w:tcPr>
            <w:tcW w:w="2633" w:type="dxa"/>
            <w:tcBorders>
              <w:top w:val="nil"/>
              <w:left w:val="nil"/>
              <w:bottom w:val="single" w:sz="6" w:space="0" w:color="auto"/>
              <w:right w:val="single" w:sz="6" w:space="0" w:color="auto"/>
            </w:tcBorders>
            <w:vAlign w:val="center"/>
            <w:hideMark/>
          </w:tcPr>
          <w:p w14:paraId="722E5643" w14:textId="77777777" w:rsidR="00120C36" w:rsidRPr="00813F73" w:rsidRDefault="00615769" w:rsidP="00AB0B1F">
            <w:pPr>
              <w:jc w:val="center"/>
              <w:textAlignment w:val="baseline"/>
              <w:rPr>
                <w:sz w:val="22"/>
                <w:szCs w:val="22"/>
                <w:lang w:eastAsia="en-GB"/>
              </w:rPr>
            </w:pPr>
            <w:r w:rsidRPr="00813F73">
              <w:rPr>
                <w:sz w:val="22"/>
                <w:szCs w:val="22"/>
                <w:lang w:val="en-US" w:eastAsia="en-GB"/>
              </w:rPr>
              <w:t>10/22 (45</w:t>
            </w:r>
            <w:r>
              <w:rPr>
                <w:sz w:val="22"/>
                <w:szCs w:val="22"/>
                <w:lang w:val="en-US" w:eastAsia="en-GB"/>
              </w:rPr>
              <w:t>,</w:t>
            </w:r>
            <w:r w:rsidRPr="00813F73">
              <w:rPr>
                <w:sz w:val="22"/>
                <w:szCs w:val="22"/>
                <w:lang w:val="en-US" w:eastAsia="en-GB"/>
              </w:rPr>
              <w:t>5%)</w:t>
            </w:r>
            <w:r w:rsidRPr="00813F73">
              <w:rPr>
                <w:sz w:val="22"/>
                <w:szCs w:val="22"/>
                <w:lang w:eastAsia="en-GB"/>
              </w:rPr>
              <w:t> </w:t>
            </w:r>
          </w:p>
        </w:tc>
      </w:tr>
      <w:tr w:rsidR="00A7162A" w14:paraId="0D9F281C" w14:textId="77777777" w:rsidTr="00AB0B1F">
        <w:trPr>
          <w:jc w:val="center"/>
        </w:trPr>
        <w:tc>
          <w:tcPr>
            <w:tcW w:w="2526" w:type="dxa"/>
            <w:tcBorders>
              <w:top w:val="nil"/>
              <w:left w:val="single" w:sz="6" w:space="0" w:color="auto"/>
              <w:bottom w:val="single" w:sz="6" w:space="0" w:color="auto"/>
              <w:right w:val="single" w:sz="6" w:space="0" w:color="auto"/>
            </w:tcBorders>
            <w:vAlign w:val="center"/>
            <w:hideMark/>
          </w:tcPr>
          <w:p w14:paraId="638E31A8" w14:textId="77777777" w:rsidR="00120C36" w:rsidRPr="00813F73" w:rsidRDefault="00615769" w:rsidP="00AB0B1F">
            <w:pPr>
              <w:textAlignment w:val="baseline"/>
              <w:rPr>
                <w:sz w:val="22"/>
                <w:szCs w:val="22"/>
                <w:lang w:eastAsia="en-GB"/>
              </w:rPr>
            </w:pPr>
            <w:r w:rsidRPr="00813F73">
              <w:rPr>
                <w:sz w:val="22"/>
                <w:szCs w:val="22"/>
                <w:lang w:eastAsia="en-GB"/>
              </w:rPr>
              <w:t>Remissão livre de corticosteroides nos respondedores PMS da Semana 8</w:t>
            </w:r>
            <w:r w:rsidRPr="00813F73">
              <w:rPr>
                <w:sz w:val="22"/>
                <w:szCs w:val="22"/>
                <w:vertAlign w:val="superscript"/>
                <w:lang w:eastAsia="en-GB"/>
              </w:rPr>
              <w:t>c</w:t>
            </w:r>
            <w:r w:rsidRPr="00813F73">
              <w:rPr>
                <w:sz w:val="22"/>
                <w:szCs w:val="22"/>
                <w:lang w:eastAsia="en-GB"/>
              </w:rPr>
              <w:t> </w:t>
            </w:r>
          </w:p>
        </w:tc>
        <w:tc>
          <w:tcPr>
            <w:tcW w:w="2409" w:type="dxa"/>
            <w:tcBorders>
              <w:top w:val="nil"/>
              <w:left w:val="nil"/>
              <w:bottom w:val="single" w:sz="6" w:space="0" w:color="auto"/>
              <w:right w:val="single" w:sz="6" w:space="0" w:color="auto"/>
            </w:tcBorders>
            <w:vAlign w:val="center"/>
            <w:hideMark/>
          </w:tcPr>
          <w:p w14:paraId="6113F609" w14:textId="77777777" w:rsidR="00120C36" w:rsidRPr="00813F73" w:rsidRDefault="00615769" w:rsidP="00AB0B1F">
            <w:pPr>
              <w:jc w:val="center"/>
              <w:textAlignment w:val="baseline"/>
              <w:rPr>
                <w:sz w:val="22"/>
                <w:szCs w:val="22"/>
                <w:lang w:eastAsia="en-GB"/>
              </w:rPr>
            </w:pPr>
            <w:r w:rsidRPr="00813F73">
              <w:rPr>
                <w:sz w:val="22"/>
                <w:szCs w:val="22"/>
                <w:lang w:val="en-US" w:eastAsia="en-GB"/>
              </w:rPr>
              <w:t>4/13 (30</w:t>
            </w:r>
            <w:r>
              <w:rPr>
                <w:sz w:val="22"/>
                <w:szCs w:val="22"/>
                <w:lang w:val="en-US" w:eastAsia="en-GB"/>
              </w:rPr>
              <w:t>,</w:t>
            </w:r>
            <w:r w:rsidRPr="00813F73">
              <w:rPr>
                <w:sz w:val="22"/>
                <w:szCs w:val="22"/>
                <w:lang w:val="en-US" w:eastAsia="en-GB"/>
              </w:rPr>
              <w:t>8%)</w:t>
            </w:r>
            <w:r w:rsidRPr="00813F73">
              <w:rPr>
                <w:sz w:val="22"/>
                <w:szCs w:val="22"/>
                <w:lang w:eastAsia="en-GB"/>
              </w:rPr>
              <w:t> </w:t>
            </w:r>
          </w:p>
        </w:tc>
        <w:tc>
          <w:tcPr>
            <w:tcW w:w="2633" w:type="dxa"/>
            <w:tcBorders>
              <w:top w:val="nil"/>
              <w:left w:val="nil"/>
              <w:bottom w:val="single" w:sz="6" w:space="0" w:color="auto"/>
              <w:right w:val="single" w:sz="6" w:space="0" w:color="auto"/>
            </w:tcBorders>
            <w:vAlign w:val="center"/>
            <w:hideMark/>
          </w:tcPr>
          <w:p w14:paraId="55D2A8B6" w14:textId="77777777" w:rsidR="00120C36" w:rsidRPr="00813F73" w:rsidRDefault="00615769" w:rsidP="00AB0B1F">
            <w:pPr>
              <w:jc w:val="center"/>
              <w:textAlignment w:val="baseline"/>
              <w:rPr>
                <w:sz w:val="22"/>
                <w:szCs w:val="22"/>
                <w:lang w:eastAsia="en-GB"/>
              </w:rPr>
            </w:pPr>
            <w:r w:rsidRPr="00813F73">
              <w:rPr>
                <w:sz w:val="22"/>
                <w:szCs w:val="22"/>
                <w:lang w:val="en-US" w:eastAsia="en-GB"/>
              </w:rPr>
              <w:t>5/16 (31</w:t>
            </w:r>
            <w:r>
              <w:rPr>
                <w:sz w:val="22"/>
                <w:szCs w:val="22"/>
                <w:lang w:val="en-US" w:eastAsia="en-GB"/>
              </w:rPr>
              <w:t>,</w:t>
            </w:r>
            <w:r w:rsidRPr="00813F73">
              <w:rPr>
                <w:sz w:val="22"/>
                <w:szCs w:val="22"/>
                <w:lang w:val="en-US" w:eastAsia="en-GB"/>
              </w:rPr>
              <w:t>3%)</w:t>
            </w:r>
            <w:r w:rsidRPr="00813F73">
              <w:rPr>
                <w:sz w:val="22"/>
                <w:szCs w:val="22"/>
                <w:lang w:eastAsia="en-GB"/>
              </w:rPr>
              <w:t> </w:t>
            </w:r>
          </w:p>
        </w:tc>
      </w:tr>
      <w:tr w:rsidR="00A7162A" w14:paraId="49642460" w14:textId="77777777" w:rsidTr="00AB0B1F">
        <w:trPr>
          <w:jc w:val="center"/>
        </w:trPr>
        <w:tc>
          <w:tcPr>
            <w:tcW w:w="7568" w:type="dxa"/>
            <w:gridSpan w:val="3"/>
            <w:tcBorders>
              <w:top w:val="nil"/>
              <w:left w:val="single" w:sz="6" w:space="0" w:color="auto"/>
              <w:bottom w:val="single" w:sz="6" w:space="0" w:color="auto"/>
              <w:right w:val="single" w:sz="6" w:space="0" w:color="auto"/>
            </w:tcBorders>
            <w:hideMark/>
          </w:tcPr>
          <w:p w14:paraId="2DD2736B" w14:textId="77777777" w:rsidR="00120C36" w:rsidRPr="00813F73" w:rsidRDefault="00615769" w:rsidP="00AB0B1F">
            <w:pPr>
              <w:textAlignment w:val="baseline"/>
              <w:rPr>
                <w:sz w:val="22"/>
                <w:szCs w:val="22"/>
                <w:lang w:eastAsia="en-GB"/>
              </w:rPr>
            </w:pPr>
            <w:r w:rsidRPr="00813F73">
              <w:rPr>
                <w:sz w:val="22"/>
                <w:szCs w:val="22"/>
                <w:vertAlign w:val="superscript"/>
                <w:lang w:eastAsia="en-GB"/>
              </w:rPr>
              <w:t>a </w:t>
            </w:r>
            <w:r w:rsidRPr="00813F73">
              <w:rPr>
                <w:sz w:val="22"/>
                <w:szCs w:val="22"/>
                <w:lang w:eastAsia="en-GB"/>
              </w:rPr>
              <w:t>Humira 0,6 mg/kg (</w:t>
            </w:r>
            <w:r>
              <w:rPr>
                <w:sz w:val="22"/>
                <w:szCs w:val="22"/>
                <w:lang w:eastAsia="en-GB"/>
              </w:rPr>
              <w:t>máximo de </w:t>
            </w:r>
            <w:r w:rsidRPr="00813F73">
              <w:rPr>
                <w:sz w:val="22"/>
                <w:szCs w:val="22"/>
                <w:lang w:eastAsia="en-GB"/>
              </w:rPr>
              <w:t>40 mg) em semanas alternadas </w:t>
            </w:r>
          </w:p>
          <w:p w14:paraId="7DA2A104" w14:textId="77777777" w:rsidR="00120C36" w:rsidRPr="00813F73" w:rsidRDefault="00615769" w:rsidP="00AB0B1F">
            <w:pPr>
              <w:textAlignment w:val="baseline"/>
              <w:rPr>
                <w:sz w:val="22"/>
                <w:szCs w:val="22"/>
                <w:lang w:eastAsia="en-GB"/>
              </w:rPr>
            </w:pPr>
            <w:r w:rsidRPr="00813F73">
              <w:rPr>
                <w:sz w:val="22"/>
                <w:szCs w:val="22"/>
                <w:vertAlign w:val="superscript"/>
                <w:lang w:eastAsia="en-GB"/>
              </w:rPr>
              <w:t>b </w:t>
            </w:r>
            <w:r w:rsidRPr="00813F73">
              <w:rPr>
                <w:sz w:val="22"/>
                <w:szCs w:val="22"/>
                <w:lang w:eastAsia="en-GB"/>
              </w:rPr>
              <w:t>Humira 0,6 mg/kg (máximo</w:t>
            </w:r>
            <w:r>
              <w:rPr>
                <w:sz w:val="22"/>
                <w:szCs w:val="22"/>
                <w:lang w:eastAsia="en-GB"/>
              </w:rPr>
              <w:t xml:space="preserve"> de </w:t>
            </w:r>
            <w:r w:rsidRPr="00813F73">
              <w:rPr>
                <w:sz w:val="22"/>
                <w:szCs w:val="22"/>
                <w:lang w:eastAsia="en-GB"/>
              </w:rPr>
              <w:t>40 mg) semanalmente </w:t>
            </w:r>
          </w:p>
          <w:p w14:paraId="63080BCA" w14:textId="77777777" w:rsidR="00120C36" w:rsidRPr="00813F73" w:rsidRDefault="00615769" w:rsidP="00AB0B1F">
            <w:pPr>
              <w:textAlignment w:val="baseline"/>
              <w:rPr>
                <w:sz w:val="22"/>
                <w:szCs w:val="22"/>
                <w:lang w:eastAsia="en-GB"/>
              </w:rPr>
            </w:pPr>
            <w:r w:rsidRPr="00813F73">
              <w:rPr>
                <w:sz w:val="22"/>
                <w:szCs w:val="22"/>
                <w:vertAlign w:val="superscript"/>
                <w:lang w:eastAsia="en-GB"/>
              </w:rPr>
              <w:t>c</w:t>
            </w:r>
            <w:r w:rsidRPr="00FF4AB1">
              <w:rPr>
                <w:sz w:val="22"/>
                <w:szCs w:val="22"/>
                <w:vertAlign w:val="superscript"/>
                <w:lang w:eastAsia="en-GB"/>
              </w:rPr>
              <w:t> </w:t>
            </w:r>
            <w:r w:rsidRPr="00813F73">
              <w:rPr>
                <w:sz w:val="22"/>
                <w:szCs w:val="22"/>
                <w:lang w:eastAsia="en-GB"/>
              </w:rPr>
              <w:t>Em doentes a receber corticosteroides concomitantes no início do estudo </w:t>
            </w:r>
          </w:p>
          <w:p w14:paraId="46B92F9B" w14:textId="77777777" w:rsidR="00120C36" w:rsidRPr="00813F73" w:rsidRDefault="00615769" w:rsidP="00AB0B1F">
            <w:pPr>
              <w:textAlignment w:val="baseline"/>
              <w:rPr>
                <w:sz w:val="22"/>
                <w:szCs w:val="22"/>
                <w:lang w:eastAsia="en-GB"/>
              </w:rPr>
            </w:pPr>
            <w:r w:rsidRPr="00813F73">
              <w:rPr>
                <w:sz w:val="22"/>
                <w:szCs w:val="22"/>
                <w:lang w:eastAsia="en-GB"/>
              </w:rPr>
              <w:t xml:space="preserve">Nota: Os doentes com valores em falta na Semana 52 ou que foram aleatorizados para receberem tratamento de reindução ou manutenção foram considerados como não respondedores </w:t>
            </w:r>
            <w:r w:rsidR="0003518D">
              <w:rPr>
                <w:sz w:val="22"/>
                <w:szCs w:val="22"/>
                <w:lang w:eastAsia="en-GB"/>
              </w:rPr>
              <w:t>q</w:t>
            </w:r>
            <w:r w:rsidR="0003518D">
              <w:rPr>
                <w:lang w:eastAsia="en-GB"/>
              </w:rPr>
              <w:t>uanto aos</w:t>
            </w:r>
            <w:r w:rsidRPr="00813F73">
              <w:rPr>
                <w:sz w:val="22"/>
                <w:szCs w:val="22"/>
                <w:lang w:eastAsia="en-GB"/>
              </w:rPr>
              <w:t xml:space="preserve"> objetivos da Semana 52 </w:t>
            </w:r>
          </w:p>
        </w:tc>
      </w:tr>
    </w:tbl>
    <w:p w14:paraId="21D45344" w14:textId="77777777" w:rsidR="00120C36" w:rsidRPr="00813F73" w:rsidRDefault="00120C36" w:rsidP="00120C36">
      <w:pPr>
        <w:rPr>
          <w:sz w:val="22"/>
          <w:szCs w:val="22"/>
        </w:rPr>
      </w:pPr>
    </w:p>
    <w:p w14:paraId="698B09C1" w14:textId="77777777" w:rsidR="002F486F" w:rsidRPr="00A84A8D" w:rsidRDefault="00615769" w:rsidP="002F486F">
      <w:pPr>
        <w:rPr>
          <w:sz w:val="22"/>
          <w:szCs w:val="22"/>
        </w:rPr>
      </w:pPr>
      <w:r w:rsidRPr="00A84A8D">
        <w:rPr>
          <w:sz w:val="22"/>
          <w:szCs w:val="22"/>
        </w:rPr>
        <w:t>Os objetivos exploratórios adicionais de eficácia incluí</w:t>
      </w:r>
      <w:r>
        <w:rPr>
          <w:sz w:val="22"/>
          <w:szCs w:val="22"/>
        </w:rPr>
        <w:t>r</w:t>
      </w:r>
      <w:r w:rsidRPr="00A84A8D">
        <w:rPr>
          <w:sz w:val="22"/>
          <w:szCs w:val="22"/>
        </w:rPr>
        <w:t xml:space="preserve">am a resposta clínica de acordo com o </w:t>
      </w:r>
      <w:r>
        <w:rPr>
          <w:sz w:val="22"/>
          <w:szCs w:val="22"/>
        </w:rPr>
        <w:t>Í</w:t>
      </w:r>
      <w:r w:rsidRPr="00A84A8D">
        <w:rPr>
          <w:sz w:val="22"/>
          <w:szCs w:val="22"/>
        </w:rPr>
        <w:t xml:space="preserve">ndice de </w:t>
      </w:r>
      <w:r>
        <w:rPr>
          <w:sz w:val="22"/>
          <w:szCs w:val="22"/>
        </w:rPr>
        <w:t>A</w:t>
      </w:r>
      <w:r w:rsidRPr="00A84A8D">
        <w:rPr>
          <w:sz w:val="22"/>
          <w:szCs w:val="22"/>
        </w:rPr>
        <w:t xml:space="preserve">tividade de </w:t>
      </w:r>
      <w:r>
        <w:rPr>
          <w:sz w:val="22"/>
          <w:szCs w:val="22"/>
        </w:rPr>
        <w:t>C</w:t>
      </w:r>
      <w:r w:rsidRPr="00A84A8D">
        <w:rPr>
          <w:sz w:val="22"/>
          <w:szCs w:val="22"/>
        </w:rPr>
        <w:t xml:space="preserve">olite </w:t>
      </w:r>
      <w:r>
        <w:rPr>
          <w:sz w:val="22"/>
          <w:szCs w:val="22"/>
        </w:rPr>
        <w:t>U</w:t>
      </w:r>
      <w:r w:rsidRPr="00A84A8D">
        <w:rPr>
          <w:sz w:val="22"/>
          <w:szCs w:val="22"/>
        </w:rPr>
        <w:t xml:space="preserve">lcerosa </w:t>
      </w:r>
      <w:r>
        <w:rPr>
          <w:sz w:val="22"/>
          <w:szCs w:val="22"/>
        </w:rPr>
        <w:t>P</w:t>
      </w:r>
      <w:r w:rsidRPr="00A84A8D">
        <w:rPr>
          <w:sz w:val="22"/>
          <w:szCs w:val="22"/>
        </w:rPr>
        <w:t xml:space="preserve">ediátrica (PUCAI) (definida como uma diminuição do PUCAI ≥ 20 pontos em comparação com os valores </w:t>
      </w:r>
      <w:r>
        <w:rPr>
          <w:sz w:val="22"/>
          <w:szCs w:val="22"/>
        </w:rPr>
        <w:t>iniciais</w:t>
      </w:r>
      <w:r w:rsidRPr="00A84A8D">
        <w:rPr>
          <w:sz w:val="22"/>
          <w:szCs w:val="22"/>
        </w:rPr>
        <w:t>) e a remissão clínica de acordo com o PUCAI (definida como PUCAI &lt; 10) na Se</w:t>
      </w:r>
      <w:r>
        <w:rPr>
          <w:sz w:val="22"/>
          <w:szCs w:val="22"/>
        </w:rPr>
        <w:t>mana 8 e na Semana 52 (Tabela 33</w:t>
      </w:r>
      <w:r w:rsidRPr="00A84A8D">
        <w:rPr>
          <w:sz w:val="22"/>
          <w:szCs w:val="22"/>
        </w:rPr>
        <w:t xml:space="preserve">). </w:t>
      </w:r>
    </w:p>
    <w:p w14:paraId="160217D8" w14:textId="77777777" w:rsidR="00120C36" w:rsidRPr="00A84A8D" w:rsidRDefault="00120C36" w:rsidP="00120C36">
      <w:pPr>
        <w:rPr>
          <w:sz w:val="22"/>
          <w:szCs w:val="22"/>
        </w:rPr>
      </w:pPr>
    </w:p>
    <w:tbl>
      <w:tblPr>
        <w:tblW w:w="8262" w:type="dxa"/>
        <w:jc w:val="center"/>
        <w:tblCellMar>
          <w:left w:w="0" w:type="dxa"/>
          <w:right w:w="0" w:type="dxa"/>
        </w:tblCellMar>
        <w:tblLook w:val="04A0" w:firstRow="1" w:lastRow="0" w:firstColumn="1" w:lastColumn="0" w:noHBand="0" w:noVBand="1"/>
      </w:tblPr>
      <w:tblGrid>
        <w:gridCol w:w="2934"/>
        <w:gridCol w:w="2898"/>
        <w:gridCol w:w="2430"/>
      </w:tblGrid>
      <w:tr w:rsidR="00A7162A" w14:paraId="26E06FA6" w14:textId="77777777" w:rsidTr="00AB0B1F">
        <w:trPr>
          <w:trHeight w:val="60"/>
          <w:jc w:val="center"/>
        </w:trPr>
        <w:tc>
          <w:tcPr>
            <w:tcW w:w="8262" w:type="dxa"/>
            <w:gridSpan w:val="3"/>
            <w:tcMar>
              <w:top w:w="0" w:type="dxa"/>
              <w:left w:w="108" w:type="dxa"/>
              <w:bottom w:w="0" w:type="dxa"/>
              <w:right w:w="108" w:type="dxa"/>
            </w:tcMar>
            <w:hideMark/>
          </w:tcPr>
          <w:p w14:paraId="69596E11" w14:textId="77777777" w:rsidR="00120C36" w:rsidRPr="00A84A8D" w:rsidRDefault="00615769" w:rsidP="002F486F">
            <w:pPr>
              <w:keepNext/>
              <w:spacing w:line="276" w:lineRule="auto"/>
              <w:jc w:val="center"/>
              <w:rPr>
                <w:b/>
                <w:bCs/>
                <w:sz w:val="22"/>
                <w:szCs w:val="22"/>
              </w:rPr>
            </w:pPr>
            <w:r w:rsidRPr="00A84A8D">
              <w:rPr>
                <w:b/>
                <w:bCs/>
                <w:sz w:val="22"/>
                <w:szCs w:val="22"/>
              </w:rPr>
              <w:t>Tabela </w:t>
            </w:r>
            <w:r w:rsidR="0014779C">
              <w:rPr>
                <w:b/>
                <w:bCs/>
                <w:sz w:val="22"/>
                <w:szCs w:val="22"/>
              </w:rPr>
              <w:t>33</w:t>
            </w:r>
            <w:r w:rsidRPr="00A84A8D">
              <w:rPr>
                <w:b/>
                <w:bCs/>
                <w:sz w:val="22"/>
                <w:szCs w:val="22"/>
              </w:rPr>
              <w:t xml:space="preserve">: Resultados dos </w:t>
            </w:r>
            <w:r w:rsidR="00B10B70">
              <w:rPr>
                <w:b/>
                <w:bCs/>
                <w:sz w:val="22"/>
                <w:szCs w:val="22"/>
              </w:rPr>
              <w:t>O</w:t>
            </w:r>
            <w:r w:rsidRPr="00A84A8D">
              <w:rPr>
                <w:b/>
                <w:bCs/>
                <w:sz w:val="22"/>
                <w:szCs w:val="22"/>
              </w:rPr>
              <w:t xml:space="preserve">bjetivos </w:t>
            </w:r>
            <w:r w:rsidR="00B10B70">
              <w:rPr>
                <w:b/>
                <w:bCs/>
                <w:sz w:val="22"/>
                <w:szCs w:val="22"/>
              </w:rPr>
              <w:t>E</w:t>
            </w:r>
            <w:r w:rsidRPr="00A84A8D">
              <w:rPr>
                <w:b/>
                <w:bCs/>
                <w:sz w:val="22"/>
                <w:szCs w:val="22"/>
              </w:rPr>
              <w:t>xploratórios de acordo com o PUCAI</w:t>
            </w:r>
          </w:p>
        </w:tc>
      </w:tr>
      <w:tr w:rsidR="00A7162A" w14:paraId="47D83CCE" w14:textId="77777777" w:rsidTr="00AB0B1F">
        <w:trPr>
          <w:trHeight w:val="265"/>
          <w:jc w:val="center"/>
        </w:trPr>
        <w:tc>
          <w:tcPr>
            <w:tcW w:w="2934"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0B27F53F" w14:textId="77777777" w:rsidR="00120C36" w:rsidRPr="00A84A8D" w:rsidRDefault="00120C36" w:rsidP="002F486F">
            <w:pPr>
              <w:keepNext/>
              <w:spacing w:line="276" w:lineRule="auto"/>
              <w:rPr>
                <w:sz w:val="22"/>
                <w:szCs w:val="22"/>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F81F5F" w14:textId="77777777" w:rsidR="00120C36" w:rsidRPr="00A84A8D" w:rsidRDefault="00615769" w:rsidP="002F486F">
            <w:pPr>
              <w:keepNext/>
              <w:spacing w:line="276" w:lineRule="auto"/>
              <w:jc w:val="center"/>
              <w:rPr>
                <w:b/>
                <w:bCs/>
                <w:sz w:val="22"/>
                <w:szCs w:val="22"/>
              </w:rPr>
            </w:pPr>
            <w:r>
              <w:rPr>
                <w:b/>
                <w:bCs/>
                <w:sz w:val="22"/>
                <w:szCs w:val="22"/>
              </w:rPr>
              <w:t>Semana </w:t>
            </w:r>
            <w:r w:rsidRPr="00A84A8D">
              <w:rPr>
                <w:b/>
                <w:bCs/>
                <w:sz w:val="22"/>
                <w:szCs w:val="22"/>
              </w:rPr>
              <w:t>8</w:t>
            </w:r>
          </w:p>
        </w:tc>
      </w:tr>
      <w:tr w:rsidR="00A7162A" w14:paraId="5C86E520" w14:textId="77777777" w:rsidTr="00AB0B1F">
        <w:trPr>
          <w:trHeight w:val="1042"/>
          <w:jc w:val="center"/>
        </w:trPr>
        <w:tc>
          <w:tcPr>
            <w:tcW w:w="0" w:type="auto"/>
            <w:vMerge/>
            <w:tcBorders>
              <w:top w:val="single" w:sz="4" w:space="0" w:color="auto"/>
              <w:left w:val="single" w:sz="8" w:space="0" w:color="auto"/>
              <w:bottom w:val="single" w:sz="8" w:space="0" w:color="auto"/>
              <w:right w:val="single" w:sz="4" w:space="0" w:color="auto"/>
            </w:tcBorders>
            <w:vAlign w:val="center"/>
            <w:hideMark/>
          </w:tcPr>
          <w:p w14:paraId="4DA174A4" w14:textId="77777777" w:rsidR="00120C36" w:rsidRPr="00A84A8D" w:rsidRDefault="00120C36" w:rsidP="002F486F">
            <w:pPr>
              <w:keepNext/>
              <w:spacing w:line="276" w:lineRule="auto"/>
              <w:rPr>
                <w:sz w:val="22"/>
                <w:szCs w:val="22"/>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048E32" w14:textId="77777777" w:rsidR="00120C36" w:rsidRPr="00120C36" w:rsidRDefault="00615769" w:rsidP="002F486F">
            <w:pPr>
              <w:keepNext/>
              <w:spacing w:line="276" w:lineRule="auto"/>
              <w:jc w:val="center"/>
              <w:rPr>
                <w:b/>
                <w:bCs/>
                <w:sz w:val="22"/>
                <w:szCs w:val="22"/>
                <w:vertAlign w:val="superscript"/>
              </w:rPr>
            </w:pPr>
            <w:r w:rsidRPr="00120C36">
              <w:rPr>
                <w:b/>
                <w:bCs/>
                <w:sz w:val="22"/>
                <w:szCs w:val="22"/>
              </w:rPr>
              <w:t>Humira</w:t>
            </w:r>
            <w:r w:rsidRPr="00120C36">
              <w:rPr>
                <w:b/>
                <w:bCs/>
                <w:sz w:val="22"/>
                <w:szCs w:val="22"/>
                <w:vertAlign w:val="superscript"/>
              </w:rPr>
              <w:t>a</w:t>
            </w:r>
          </w:p>
          <w:p w14:paraId="37CFED1B" w14:textId="77777777" w:rsidR="00120C36" w:rsidRPr="00A84A8D" w:rsidRDefault="00615769" w:rsidP="002F486F">
            <w:pPr>
              <w:keepNext/>
              <w:spacing w:line="276" w:lineRule="auto"/>
              <w:jc w:val="center"/>
              <w:rPr>
                <w:b/>
                <w:bCs/>
                <w:sz w:val="22"/>
                <w:szCs w:val="22"/>
              </w:rPr>
            </w:pPr>
            <w:r w:rsidRPr="00A84A8D">
              <w:rPr>
                <w:b/>
                <w:bCs/>
                <w:sz w:val="22"/>
                <w:szCs w:val="22"/>
              </w:rPr>
              <w:t>Máximo de 160 mg na Semana 0 / Placebo na Semana 1</w:t>
            </w:r>
          </w:p>
          <w:p w14:paraId="3EC7EF96" w14:textId="77777777" w:rsidR="00120C36" w:rsidRPr="00A84A8D" w:rsidRDefault="00615769" w:rsidP="002F486F">
            <w:pPr>
              <w:keepNext/>
              <w:spacing w:line="276" w:lineRule="auto"/>
              <w:jc w:val="center"/>
              <w:rPr>
                <w:sz w:val="22"/>
                <w:szCs w:val="22"/>
              </w:rPr>
            </w:pPr>
            <w:r w:rsidRPr="00A84A8D">
              <w:rPr>
                <w:sz w:val="22"/>
                <w:szCs w:val="22"/>
              </w:rPr>
              <w:t>N=30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3F31F9" w14:textId="77777777" w:rsidR="00120C36" w:rsidRPr="00120C36" w:rsidRDefault="00615769" w:rsidP="002F486F">
            <w:pPr>
              <w:keepNext/>
              <w:spacing w:line="276" w:lineRule="auto"/>
              <w:jc w:val="center"/>
              <w:rPr>
                <w:b/>
                <w:bCs/>
                <w:sz w:val="22"/>
                <w:szCs w:val="22"/>
                <w:vertAlign w:val="superscript"/>
              </w:rPr>
            </w:pPr>
            <w:r w:rsidRPr="00120C36">
              <w:rPr>
                <w:b/>
                <w:bCs/>
                <w:sz w:val="22"/>
                <w:szCs w:val="22"/>
              </w:rPr>
              <w:t>Humira</w:t>
            </w:r>
            <w:r w:rsidRPr="00120C36">
              <w:rPr>
                <w:b/>
                <w:bCs/>
                <w:sz w:val="22"/>
                <w:szCs w:val="22"/>
                <w:vertAlign w:val="superscript"/>
              </w:rPr>
              <w:t>b,c</w:t>
            </w:r>
          </w:p>
          <w:p w14:paraId="6E6CE72F" w14:textId="77777777" w:rsidR="00120C36" w:rsidRPr="00A84A8D" w:rsidRDefault="00615769" w:rsidP="002F486F">
            <w:pPr>
              <w:keepNext/>
              <w:spacing w:line="276" w:lineRule="auto"/>
              <w:jc w:val="center"/>
              <w:rPr>
                <w:b/>
                <w:bCs/>
                <w:sz w:val="22"/>
                <w:szCs w:val="22"/>
              </w:rPr>
            </w:pPr>
            <w:r w:rsidRPr="00A84A8D">
              <w:rPr>
                <w:b/>
                <w:bCs/>
                <w:sz w:val="22"/>
                <w:szCs w:val="22"/>
              </w:rPr>
              <w:t>Máximo de 160 mg na Semana 0 e Semana 1</w:t>
            </w:r>
          </w:p>
          <w:p w14:paraId="62EDEC16" w14:textId="77777777" w:rsidR="00120C36" w:rsidRPr="00A84A8D" w:rsidRDefault="00615769" w:rsidP="002F486F">
            <w:pPr>
              <w:keepNext/>
              <w:spacing w:line="276" w:lineRule="auto"/>
              <w:jc w:val="center"/>
              <w:rPr>
                <w:sz w:val="22"/>
                <w:szCs w:val="22"/>
              </w:rPr>
            </w:pPr>
            <w:r w:rsidRPr="00A84A8D">
              <w:rPr>
                <w:sz w:val="22"/>
                <w:szCs w:val="22"/>
              </w:rPr>
              <w:t>N=47</w:t>
            </w:r>
          </w:p>
        </w:tc>
      </w:tr>
      <w:tr w:rsidR="00A7162A" w14:paraId="301464D4" w14:textId="77777777" w:rsidTr="00AB0B1F">
        <w:trPr>
          <w:trHeight w:val="202"/>
          <w:jc w:val="center"/>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10F45C" w14:textId="77777777" w:rsidR="00120C36" w:rsidRPr="00A84A8D" w:rsidRDefault="00615769" w:rsidP="002F486F">
            <w:pPr>
              <w:keepNext/>
              <w:spacing w:line="276" w:lineRule="auto"/>
              <w:rPr>
                <w:sz w:val="22"/>
                <w:szCs w:val="22"/>
              </w:rPr>
            </w:pPr>
            <w:r w:rsidRPr="00A84A8D">
              <w:rPr>
                <w:sz w:val="22"/>
                <w:szCs w:val="22"/>
              </w:rPr>
              <w:t>Remissão clínica de acordo com o PUCAI</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2B7B514E" w14:textId="77777777" w:rsidR="00120C36" w:rsidRPr="00A84A8D" w:rsidRDefault="00615769" w:rsidP="002F486F">
            <w:pPr>
              <w:keepNext/>
              <w:spacing w:line="276" w:lineRule="auto"/>
              <w:jc w:val="center"/>
              <w:rPr>
                <w:sz w:val="22"/>
                <w:szCs w:val="22"/>
              </w:rPr>
            </w:pPr>
            <w:r w:rsidRPr="00A84A8D">
              <w:rPr>
                <w:sz w:val="22"/>
                <w:szCs w:val="22"/>
              </w:rPr>
              <w:t>10/30 (33</w:t>
            </w:r>
            <w:r>
              <w:rPr>
                <w:sz w:val="22"/>
                <w:szCs w:val="22"/>
              </w:rPr>
              <w:t>,</w:t>
            </w:r>
            <w:r w:rsidRPr="00A84A8D">
              <w:rPr>
                <w:sz w:val="22"/>
                <w:szCs w:val="22"/>
              </w:rPr>
              <w:t>3%)</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34EAD5AF" w14:textId="77777777" w:rsidR="00120C36" w:rsidRPr="00A84A8D" w:rsidRDefault="00615769" w:rsidP="002F486F">
            <w:pPr>
              <w:keepNext/>
              <w:spacing w:line="276" w:lineRule="auto"/>
              <w:jc w:val="center"/>
              <w:rPr>
                <w:sz w:val="22"/>
                <w:szCs w:val="22"/>
              </w:rPr>
            </w:pPr>
            <w:r w:rsidRPr="00A84A8D">
              <w:rPr>
                <w:sz w:val="22"/>
                <w:szCs w:val="22"/>
              </w:rPr>
              <w:t>22/47 (46</w:t>
            </w:r>
            <w:r>
              <w:rPr>
                <w:sz w:val="22"/>
                <w:szCs w:val="22"/>
              </w:rPr>
              <w:t>,</w:t>
            </w:r>
            <w:r w:rsidRPr="00A84A8D">
              <w:rPr>
                <w:sz w:val="22"/>
                <w:szCs w:val="22"/>
              </w:rPr>
              <w:t>8%)</w:t>
            </w:r>
          </w:p>
        </w:tc>
      </w:tr>
      <w:tr w:rsidR="00A7162A" w14:paraId="6B6F027C" w14:textId="77777777" w:rsidTr="00AB0B1F">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96CF315" w14:textId="77777777" w:rsidR="00120C36" w:rsidRPr="00A84A8D" w:rsidRDefault="00615769" w:rsidP="002F486F">
            <w:pPr>
              <w:keepNext/>
              <w:spacing w:line="276" w:lineRule="auto"/>
              <w:rPr>
                <w:sz w:val="22"/>
                <w:szCs w:val="22"/>
              </w:rPr>
            </w:pPr>
            <w:r w:rsidRPr="00A84A8D">
              <w:rPr>
                <w:sz w:val="22"/>
                <w:szCs w:val="22"/>
              </w:rPr>
              <w:t>Resposta clínica de acordo com o PUCAI</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03B62CD9" w14:textId="77777777" w:rsidR="00120C36" w:rsidRPr="00A84A8D" w:rsidRDefault="00615769" w:rsidP="002F486F">
            <w:pPr>
              <w:keepNext/>
              <w:spacing w:line="276" w:lineRule="auto"/>
              <w:jc w:val="center"/>
              <w:rPr>
                <w:sz w:val="22"/>
                <w:szCs w:val="22"/>
              </w:rPr>
            </w:pPr>
            <w:r w:rsidRPr="00A84A8D">
              <w:rPr>
                <w:sz w:val="22"/>
                <w:szCs w:val="22"/>
              </w:rPr>
              <w:t>15/30 (50</w:t>
            </w:r>
            <w:r>
              <w:rPr>
                <w:sz w:val="22"/>
                <w:szCs w:val="22"/>
              </w:rPr>
              <w:t>,</w:t>
            </w:r>
            <w:r w:rsidRPr="00A84A8D">
              <w:rPr>
                <w:sz w:val="22"/>
                <w:szCs w:val="22"/>
              </w:rPr>
              <w:t>0%)</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7EE3277E" w14:textId="77777777" w:rsidR="00120C36" w:rsidRPr="00A84A8D" w:rsidRDefault="00615769" w:rsidP="002F486F">
            <w:pPr>
              <w:keepNext/>
              <w:spacing w:line="276" w:lineRule="auto"/>
              <w:jc w:val="center"/>
              <w:rPr>
                <w:sz w:val="22"/>
                <w:szCs w:val="22"/>
              </w:rPr>
            </w:pPr>
            <w:r w:rsidRPr="00A84A8D">
              <w:rPr>
                <w:sz w:val="22"/>
                <w:szCs w:val="22"/>
              </w:rPr>
              <w:t>32/47 (68</w:t>
            </w:r>
            <w:r>
              <w:rPr>
                <w:sz w:val="22"/>
                <w:szCs w:val="22"/>
              </w:rPr>
              <w:t>,</w:t>
            </w:r>
            <w:r w:rsidRPr="00A84A8D">
              <w:rPr>
                <w:sz w:val="22"/>
                <w:szCs w:val="22"/>
              </w:rPr>
              <w:t>1%)</w:t>
            </w:r>
          </w:p>
        </w:tc>
      </w:tr>
      <w:tr w:rsidR="00A7162A" w14:paraId="3C1739DC" w14:textId="77777777" w:rsidTr="00AB0B1F">
        <w:trPr>
          <w:trHeight w:val="238"/>
          <w:jc w:val="center"/>
        </w:trPr>
        <w:tc>
          <w:tcPr>
            <w:tcW w:w="2934"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1CBF36AD" w14:textId="77777777" w:rsidR="00120C36" w:rsidRPr="00A84A8D" w:rsidRDefault="00120C36" w:rsidP="002F486F">
            <w:pPr>
              <w:keepNext/>
              <w:spacing w:line="276" w:lineRule="auto"/>
              <w:rPr>
                <w:sz w:val="22"/>
                <w:szCs w:val="22"/>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6EA1466A" w14:textId="77777777" w:rsidR="00120C36" w:rsidRPr="00A84A8D" w:rsidRDefault="00615769" w:rsidP="002F486F">
            <w:pPr>
              <w:keepNext/>
              <w:spacing w:line="276" w:lineRule="auto"/>
              <w:jc w:val="center"/>
              <w:rPr>
                <w:b/>
                <w:bCs/>
                <w:sz w:val="22"/>
                <w:szCs w:val="22"/>
              </w:rPr>
            </w:pPr>
            <w:r>
              <w:rPr>
                <w:b/>
                <w:bCs/>
                <w:sz w:val="22"/>
                <w:szCs w:val="22"/>
              </w:rPr>
              <w:t>Semana </w:t>
            </w:r>
            <w:r w:rsidRPr="00A84A8D">
              <w:rPr>
                <w:b/>
                <w:bCs/>
                <w:sz w:val="22"/>
                <w:szCs w:val="22"/>
              </w:rPr>
              <w:t>52</w:t>
            </w:r>
          </w:p>
        </w:tc>
      </w:tr>
      <w:tr w:rsidR="00A7162A" w14:paraId="0D8B6823" w14:textId="77777777" w:rsidTr="00AB0B1F">
        <w:trPr>
          <w:trHeight w:val="238"/>
          <w:jc w:val="center"/>
        </w:trPr>
        <w:tc>
          <w:tcPr>
            <w:tcW w:w="0" w:type="auto"/>
            <w:vMerge/>
            <w:tcBorders>
              <w:top w:val="nil"/>
              <w:left w:val="single" w:sz="8" w:space="0" w:color="auto"/>
              <w:bottom w:val="single" w:sz="4" w:space="0" w:color="auto"/>
              <w:right w:val="single" w:sz="8" w:space="0" w:color="auto"/>
            </w:tcBorders>
            <w:vAlign w:val="center"/>
            <w:hideMark/>
          </w:tcPr>
          <w:p w14:paraId="62136F62" w14:textId="77777777" w:rsidR="00120C36" w:rsidRPr="00A84A8D" w:rsidRDefault="00120C36" w:rsidP="002F486F">
            <w:pPr>
              <w:keepNext/>
              <w:spacing w:line="276" w:lineRule="auto"/>
              <w:rPr>
                <w:sz w:val="22"/>
                <w:szCs w:val="22"/>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1EA4E0DD" w14:textId="77777777" w:rsidR="00120C36" w:rsidRPr="00120C36" w:rsidRDefault="00615769" w:rsidP="002F486F">
            <w:pPr>
              <w:keepNext/>
              <w:spacing w:line="276" w:lineRule="auto"/>
              <w:jc w:val="center"/>
              <w:rPr>
                <w:b/>
                <w:bCs/>
                <w:sz w:val="22"/>
                <w:szCs w:val="22"/>
                <w:vertAlign w:val="superscript"/>
              </w:rPr>
            </w:pPr>
            <w:r w:rsidRPr="00120C36">
              <w:rPr>
                <w:b/>
                <w:bCs/>
                <w:sz w:val="22"/>
                <w:szCs w:val="22"/>
              </w:rPr>
              <w:t>Humira</w:t>
            </w:r>
            <w:r w:rsidRPr="00120C36">
              <w:rPr>
                <w:b/>
                <w:bCs/>
                <w:sz w:val="22"/>
                <w:szCs w:val="22"/>
                <w:vertAlign w:val="superscript"/>
              </w:rPr>
              <w:t>d</w:t>
            </w:r>
          </w:p>
          <w:p w14:paraId="36534518" w14:textId="77777777" w:rsidR="00120C36" w:rsidRPr="00D22E86" w:rsidRDefault="00615769" w:rsidP="002F486F">
            <w:pPr>
              <w:keepNext/>
              <w:spacing w:line="276" w:lineRule="auto"/>
              <w:jc w:val="center"/>
              <w:rPr>
                <w:b/>
                <w:bCs/>
                <w:sz w:val="22"/>
                <w:szCs w:val="22"/>
              </w:rPr>
            </w:pPr>
            <w:r w:rsidRPr="00D22E86">
              <w:rPr>
                <w:b/>
                <w:bCs/>
                <w:sz w:val="22"/>
                <w:szCs w:val="22"/>
              </w:rPr>
              <w:t>Máximo de 40 mg em semanas alternadas</w:t>
            </w:r>
          </w:p>
          <w:p w14:paraId="338E7626" w14:textId="77777777" w:rsidR="00120C36" w:rsidRPr="00A84A8D" w:rsidRDefault="00615769" w:rsidP="002F486F">
            <w:pPr>
              <w:keepNext/>
              <w:spacing w:line="276" w:lineRule="auto"/>
              <w:jc w:val="center"/>
              <w:rPr>
                <w:sz w:val="22"/>
                <w:szCs w:val="22"/>
                <w:lang w:val="en-US"/>
              </w:rPr>
            </w:pPr>
            <w:r w:rsidRPr="00A84A8D">
              <w:rPr>
                <w:sz w:val="22"/>
                <w:szCs w:val="22"/>
                <w:lang w:val="en-US"/>
              </w:rPr>
              <w:t>N=31</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7B574DC4" w14:textId="77777777" w:rsidR="00120C36" w:rsidRPr="00120C36" w:rsidRDefault="00615769" w:rsidP="002F486F">
            <w:pPr>
              <w:keepNext/>
              <w:spacing w:line="276" w:lineRule="auto"/>
              <w:jc w:val="center"/>
              <w:rPr>
                <w:b/>
                <w:bCs/>
                <w:sz w:val="22"/>
                <w:szCs w:val="22"/>
                <w:vertAlign w:val="superscript"/>
              </w:rPr>
            </w:pPr>
            <w:r w:rsidRPr="00120C36">
              <w:rPr>
                <w:b/>
                <w:bCs/>
                <w:sz w:val="22"/>
                <w:szCs w:val="22"/>
              </w:rPr>
              <w:t>Humira</w:t>
            </w:r>
            <w:r w:rsidRPr="00120C36">
              <w:rPr>
                <w:b/>
                <w:bCs/>
                <w:sz w:val="22"/>
                <w:szCs w:val="22"/>
                <w:vertAlign w:val="superscript"/>
              </w:rPr>
              <w:t>e</w:t>
            </w:r>
          </w:p>
          <w:p w14:paraId="5F4F60B9" w14:textId="77777777" w:rsidR="00120C36" w:rsidRPr="00120C36" w:rsidRDefault="00615769" w:rsidP="002F486F">
            <w:pPr>
              <w:keepNext/>
              <w:spacing w:line="276" w:lineRule="auto"/>
              <w:jc w:val="center"/>
              <w:rPr>
                <w:b/>
                <w:bCs/>
                <w:sz w:val="22"/>
                <w:szCs w:val="22"/>
              </w:rPr>
            </w:pPr>
            <w:r w:rsidRPr="00120C36">
              <w:rPr>
                <w:b/>
                <w:bCs/>
                <w:sz w:val="22"/>
                <w:szCs w:val="22"/>
              </w:rPr>
              <w:t>Máximo de 40 mg semanalmente</w:t>
            </w:r>
          </w:p>
          <w:p w14:paraId="033E7140" w14:textId="77777777" w:rsidR="00120C36" w:rsidRPr="00120C36" w:rsidRDefault="00615769" w:rsidP="002F486F">
            <w:pPr>
              <w:keepNext/>
              <w:spacing w:line="276" w:lineRule="auto"/>
              <w:jc w:val="center"/>
              <w:rPr>
                <w:sz w:val="22"/>
                <w:szCs w:val="22"/>
              </w:rPr>
            </w:pPr>
            <w:r w:rsidRPr="00120C36">
              <w:rPr>
                <w:sz w:val="22"/>
                <w:szCs w:val="22"/>
              </w:rPr>
              <w:t>N=31</w:t>
            </w:r>
          </w:p>
        </w:tc>
      </w:tr>
      <w:tr w:rsidR="00A7162A" w14:paraId="6DABFDCA" w14:textId="77777777" w:rsidTr="00AB0B1F">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826CFEC" w14:textId="77777777" w:rsidR="00120C36" w:rsidRPr="00A84A8D" w:rsidRDefault="00615769" w:rsidP="002F486F">
            <w:pPr>
              <w:keepNext/>
              <w:spacing w:line="276" w:lineRule="auto"/>
              <w:rPr>
                <w:sz w:val="22"/>
                <w:szCs w:val="22"/>
              </w:rPr>
            </w:pPr>
            <w:r w:rsidRPr="00A84A8D">
              <w:rPr>
                <w:sz w:val="22"/>
                <w:szCs w:val="22"/>
              </w:rPr>
              <w:t>Remissão clínica de acordo com o PUCAI nos respondedores PMS da Semana 8</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44036CF9" w14:textId="77777777" w:rsidR="00120C36" w:rsidRPr="00A84A8D" w:rsidRDefault="00615769" w:rsidP="002F486F">
            <w:pPr>
              <w:keepNext/>
              <w:spacing w:line="276" w:lineRule="auto"/>
              <w:jc w:val="center"/>
              <w:rPr>
                <w:sz w:val="22"/>
                <w:szCs w:val="22"/>
              </w:rPr>
            </w:pPr>
            <w:r w:rsidRPr="00A84A8D">
              <w:rPr>
                <w:sz w:val="22"/>
                <w:szCs w:val="22"/>
              </w:rPr>
              <w:t>14/31 (45</w:t>
            </w:r>
            <w:r>
              <w:rPr>
                <w:sz w:val="22"/>
                <w:szCs w:val="22"/>
              </w:rPr>
              <w:t>,</w:t>
            </w:r>
            <w:r w:rsidRPr="00A84A8D">
              <w:rPr>
                <w:sz w:val="22"/>
                <w:szCs w:val="22"/>
              </w:rPr>
              <w:t>2%)</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527856EF" w14:textId="77777777" w:rsidR="00120C36" w:rsidRPr="00A84A8D" w:rsidRDefault="00615769" w:rsidP="002F486F">
            <w:pPr>
              <w:keepNext/>
              <w:spacing w:line="276" w:lineRule="auto"/>
              <w:jc w:val="center"/>
              <w:rPr>
                <w:sz w:val="22"/>
                <w:szCs w:val="22"/>
              </w:rPr>
            </w:pPr>
            <w:r w:rsidRPr="00A84A8D">
              <w:rPr>
                <w:sz w:val="22"/>
                <w:szCs w:val="22"/>
              </w:rPr>
              <w:t>18/31 (58</w:t>
            </w:r>
            <w:r>
              <w:rPr>
                <w:sz w:val="22"/>
                <w:szCs w:val="22"/>
              </w:rPr>
              <w:t>,</w:t>
            </w:r>
            <w:r w:rsidRPr="00A84A8D">
              <w:rPr>
                <w:sz w:val="22"/>
                <w:szCs w:val="22"/>
              </w:rPr>
              <w:t>1%)</w:t>
            </w:r>
          </w:p>
        </w:tc>
      </w:tr>
      <w:tr w:rsidR="00A7162A" w14:paraId="7BB9C569" w14:textId="77777777" w:rsidTr="00AB0B1F">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A342EF5" w14:textId="77777777" w:rsidR="00120C36" w:rsidRPr="00A84A8D" w:rsidRDefault="00615769" w:rsidP="002F486F">
            <w:pPr>
              <w:keepNext/>
              <w:spacing w:line="276" w:lineRule="auto"/>
              <w:rPr>
                <w:sz w:val="22"/>
                <w:szCs w:val="22"/>
              </w:rPr>
            </w:pPr>
            <w:r w:rsidRPr="00A84A8D">
              <w:rPr>
                <w:sz w:val="22"/>
                <w:szCs w:val="22"/>
              </w:rPr>
              <w:t>Resposta clínica de acordo com o PUCAI nos respondedores PMS da Semana 8</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3EFA6185" w14:textId="77777777" w:rsidR="00120C36" w:rsidRPr="00A84A8D" w:rsidRDefault="00615769" w:rsidP="002F486F">
            <w:pPr>
              <w:keepNext/>
              <w:spacing w:line="276" w:lineRule="auto"/>
              <w:jc w:val="center"/>
              <w:rPr>
                <w:sz w:val="22"/>
                <w:szCs w:val="22"/>
              </w:rPr>
            </w:pPr>
            <w:r w:rsidRPr="00A84A8D">
              <w:rPr>
                <w:sz w:val="22"/>
                <w:szCs w:val="22"/>
              </w:rPr>
              <w:t>18/31 (58</w:t>
            </w:r>
            <w:r>
              <w:rPr>
                <w:sz w:val="22"/>
                <w:szCs w:val="22"/>
              </w:rPr>
              <w:t>,</w:t>
            </w:r>
            <w:r w:rsidRPr="00A84A8D">
              <w:rPr>
                <w:sz w:val="22"/>
                <w:szCs w:val="22"/>
              </w:rPr>
              <w:t>1%)</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267BF02D" w14:textId="77777777" w:rsidR="00120C36" w:rsidRPr="00A84A8D" w:rsidRDefault="00615769" w:rsidP="002F486F">
            <w:pPr>
              <w:keepNext/>
              <w:spacing w:line="276" w:lineRule="auto"/>
              <w:jc w:val="center"/>
              <w:rPr>
                <w:sz w:val="22"/>
                <w:szCs w:val="22"/>
              </w:rPr>
            </w:pPr>
            <w:r w:rsidRPr="00A84A8D">
              <w:rPr>
                <w:sz w:val="22"/>
                <w:szCs w:val="22"/>
              </w:rPr>
              <w:t>16/31 (51</w:t>
            </w:r>
            <w:r>
              <w:rPr>
                <w:sz w:val="22"/>
                <w:szCs w:val="22"/>
              </w:rPr>
              <w:t>,</w:t>
            </w:r>
            <w:r w:rsidRPr="00A84A8D">
              <w:rPr>
                <w:sz w:val="22"/>
                <w:szCs w:val="22"/>
              </w:rPr>
              <w:t>6%)</w:t>
            </w:r>
          </w:p>
        </w:tc>
      </w:tr>
      <w:tr w:rsidR="00A7162A" w14:paraId="77A553D9" w14:textId="77777777" w:rsidTr="00AB0B1F">
        <w:trPr>
          <w:trHeight w:val="533"/>
          <w:jc w:val="center"/>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0D74FE6" w14:textId="77777777" w:rsidR="00120C36" w:rsidRPr="00A84A8D" w:rsidRDefault="00615769" w:rsidP="002F486F">
            <w:pPr>
              <w:keepNext/>
              <w:spacing w:line="276" w:lineRule="auto"/>
              <w:rPr>
                <w:rStyle w:val="eop"/>
                <w:sz w:val="22"/>
                <w:szCs w:val="22"/>
              </w:rPr>
            </w:pPr>
            <w:r w:rsidRPr="00A84A8D">
              <w:rPr>
                <w:sz w:val="22"/>
                <w:szCs w:val="22"/>
                <w:vertAlign w:val="superscript"/>
              </w:rPr>
              <w:t>a </w:t>
            </w:r>
            <w:r w:rsidRPr="00A84A8D">
              <w:rPr>
                <w:sz w:val="22"/>
                <w:szCs w:val="22"/>
              </w:rPr>
              <w:t>Humira 2,4 mg/kg (</w:t>
            </w:r>
            <w:r>
              <w:rPr>
                <w:sz w:val="22"/>
                <w:szCs w:val="22"/>
              </w:rPr>
              <w:t>máximo de </w:t>
            </w:r>
            <w:r w:rsidRPr="00A84A8D">
              <w:rPr>
                <w:sz w:val="22"/>
                <w:szCs w:val="22"/>
              </w:rPr>
              <w:t>160 mg) na Semana 0, p</w:t>
            </w:r>
            <w:r>
              <w:rPr>
                <w:sz w:val="22"/>
                <w:szCs w:val="22"/>
              </w:rPr>
              <w:t xml:space="preserve">lacebo na Semana 1, e 1,2 mg/kg </w:t>
            </w:r>
            <w:r w:rsidRPr="00A84A8D">
              <w:rPr>
                <w:sz w:val="22"/>
                <w:szCs w:val="22"/>
              </w:rPr>
              <w:t>(máximo</w:t>
            </w:r>
            <w:r>
              <w:rPr>
                <w:sz w:val="22"/>
                <w:szCs w:val="22"/>
              </w:rPr>
              <w:t xml:space="preserve"> de </w:t>
            </w:r>
            <w:r w:rsidRPr="00A84A8D">
              <w:rPr>
                <w:sz w:val="22"/>
                <w:szCs w:val="22"/>
              </w:rPr>
              <w:t>80 mg) na Semana </w:t>
            </w:r>
            <w:r>
              <w:rPr>
                <w:sz w:val="22"/>
                <w:szCs w:val="22"/>
              </w:rPr>
              <w:t>2</w:t>
            </w:r>
            <w:r w:rsidRPr="00A84A8D">
              <w:rPr>
                <w:rStyle w:val="eop"/>
                <w:sz w:val="22"/>
                <w:szCs w:val="22"/>
              </w:rPr>
              <w:t> </w:t>
            </w:r>
          </w:p>
          <w:p w14:paraId="7F20DCAE" w14:textId="77777777" w:rsidR="00120C36" w:rsidRPr="00A84A8D" w:rsidRDefault="00615769" w:rsidP="002F486F">
            <w:pPr>
              <w:pStyle w:val="paragraph"/>
              <w:keepNext/>
              <w:spacing w:before="0" w:beforeAutospacing="0" w:after="0" w:afterAutospacing="0" w:line="276" w:lineRule="auto"/>
              <w:textAlignment w:val="baseline"/>
              <w:rPr>
                <w:rStyle w:val="eop"/>
                <w:rFonts w:eastAsia="PMingLiU"/>
                <w:sz w:val="22"/>
                <w:szCs w:val="22"/>
                <w:lang w:val="pt-PT"/>
              </w:rPr>
            </w:pPr>
            <w:r w:rsidRPr="00A84A8D">
              <w:rPr>
                <w:sz w:val="22"/>
                <w:szCs w:val="22"/>
                <w:vertAlign w:val="superscript"/>
                <w:lang w:val="pt-PT"/>
              </w:rPr>
              <w:t>b</w:t>
            </w:r>
            <w:r w:rsidRPr="00A84A8D">
              <w:rPr>
                <w:rStyle w:val="normaltextrun"/>
                <w:sz w:val="22"/>
                <w:szCs w:val="22"/>
                <w:vertAlign w:val="superscript"/>
                <w:lang w:val="pt-PT"/>
              </w:rPr>
              <w:t> </w:t>
            </w:r>
            <w:r w:rsidRPr="00A84A8D">
              <w:rPr>
                <w:rStyle w:val="normaltextrun"/>
                <w:sz w:val="22"/>
                <w:szCs w:val="22"/>
                <w:lang w:val="pt-PT"/>
              </w:rPr>
              <w:t>Humira 2,4 mg/kg (</w:t>
            </w:r>
            <w:r>
              <w:rPr>
                <w:rStyle w:val="normaltextrun"/>
                <w:sz w:val="22"/>
                <w:szCs w:val="22"/>
                <w:lang w:val="pt-PT"/>
              </w:rPr>
              <w:t>máximo de </w:t>
            </w:r>
            <w:r w:rsidRPr="00A84A8D">
              <w:rPr>
                <w:rStyle w:val="normaltextrun"/>
                <w:sz w:val="22"/>
                <w:szCs w:val="22"/>
                <w:lang w:val="pt-PT"/>
              </w:rPr>
              <w:t>160 mg) na Semana 0 e na S</w:t>
            </w:r>
            <w:r>
              <w:rPr>
                <w:rStyle w:val="normaltextrun"/>
                <w:sz w:val="22"/>
                <w:szCs w:val="22"/>
                <w:lang w:val="pt-PT"/>
              </w:rPr>
              <w:t>emana 1, e 1,2 mg/kg (máximo de </w:t>
            </w:r>
            <w:r w:rsidRPr="00A84A8D">
              <w:rPr>
                <w:rStyle w:val="normaltextrun"/>
                <w:sz w:val="22"/>
                <w:szCs w:val="22"/>
                <w:lang w:val="pt-PT"/>
              </w:rPr>
              <w:t>80 mg) na Semana 2</w:t>
            </w:r>
            <w:r w:rsidRPr="00A84A8D">
              <w:rPr>
                <w:rStyle w:val="eop"/>
                <w:sz w:val="22"/>
                <w:szCs w:val="22"/>
                <w:lang w:val="pt-PT"/>
              </w:rPr>
              <w:t> </w:t>
            </w:r>
          </w:p>
          <w:p w14:paraId="2ABEECE8" w14:textId="77777777" w:rsidR="00120C36" w:rsidRPr="00A84A8D" w:rsidRDefault="00615769" w:rsidP="002F486F">
            <w:pPr>
              <w:pStyle w:val="paragraph"/>
              <w:keepNext/>
              <w:spacing w:before="0" w:beforeAutospacing="0" w:after="0" w:afterAutospacing="0" w:line="276" w:lineRule="auto"/>
              <w:textAlignment w:val="baseline"/>
              <w:rPr>
                <w:rStyle w:val="normaltextrun"/>
                <w:sz w:val="22"/>
                <w:szCs w:val="22"/>
                <w:lang w:val="pt-PT"/>
              </w:rPr>
            </w:pPr>
            <w:r w:rsidRPr="00A84A8D">
              <w:rPr>
                <w:rStyle w:val="normaltextrun"/>
                <w:rFonts w:cs="Calibri"/>
                <w:sz w:val="22"/>
                <w:szCs w:val="22"/>
                <w:vertAlign w:val="superscript"/>
                <w:lang w:val="pt-PT"/>
              </w:rPr>
              <w:t>c</w:t>
            </w:r>
            <w:r w:rsidRPr="00A84A8D">
              <w:rPr>
                <w:rStyle w:val="normaltextrun"/>
                <w:sz w:val="22"/>
                <w:szCs w:val="22"/>
                <w:vertAlign w:val="superscript"/>
                <w:lang w:val="pt-PT"/>
              </w:rPr>
              <w:t> </w:t>
            </w:r>
            <w:r w:rsidRPr="00A84A8D">
              <w:rPr>
                <w:rStyle w:val="normaltextrun"/>
                <w:rFonts w:cs="Calibri"/>
                <w:sz w:val="22"/>
                <w:szCs w:val="22"/>
                <w:lang w:val="pt-PT"/>
              </w:rPr>
              <w:t xml:space="preserve">Sem incluir a dose de indução </w:t>
            </w:r>
            <w:r w:rsidR="0035376C">
              <w:rPr>
                <w:rStyle w:val="normaltextrun"/>
                <w:rFonts w:cs="Calibri"/>
                <w:sz w:val="22"/>
                <w:szCs w:val="22"/>
                <w:lang w:val="pt-PT"/>
              </w:rPr>
              <w:t>e</w:t>
            </w:r>
            <w:r w:rsidR="0035376C" w:rsidRPr="002F486F">
              <w:rPr>
                <w:rStyle w:val="normaltextrun"/>
                <w:rFonts w:cs="Calibri"/>
                <w:lang w:val="pt-PT"/>
              </w:rPr>
              <w:t>m</w:t>
            </w:r>
            <w:r w:rsidR="0035376C">
              <w:rPr>
                <w:rStyle w:val="normaltextrun"/>
                <w:rFonts w:cs="Calibri"/>
                <w:lang w:val="pt-PT"/>
              </w:rPr>
              <w:t xml:space="preserve"> </w:t>
            </w:r>
            <w:r w:rsidR="0035376C" w:rsidRPr="002F486F">
              <w:rPr>
                <w:rStyle w:val="normaltextrun"/>
                <w:rFonts w:cs="Calibri"/>
                <w:lang w:val="pt-PT"/>
              </w:rPr>
              <w:t>fa</w:t>
            </w:r>
            <w:r w:rsidR="0035376C">
              <w:rPr>
                <w:rStyle w:val="normaltextrun"/>
                <w:rFonts w:cs="Calibri"/>
                <w:lang w:val="pt-PT"/>
              </w:rPr>
              <w:t>s</w:t>
            </w:r>
            <w:r w:rsidR="0035376C" w:rsidRPr="002F486F">
              <w:rPr>
                <w:rStyle w:val="normaltextrun"/>
                <w:rFonts w:cs="Calibri"/>
                <w:lang w:val="pt-PT"/>
              </w:rPr>
              <w:t>e</w:t>
            </w:r>
            <w:r w:rsidR="0035376C">
              <w:rPr>
                <w:rStyle w:val="normaltextrun"/>
                <w:rFonts w:cs="Calibri"/>
                <w:lang w:val="pt-PT"/>
              </w:rPr>
              <w:t xml:space="preserve"> </w:t>
            </w:r>
            <w:r w:rsidRPr="00A84A8D">
              <w:rPr>
                <w:rStyle w:val="normaltextrun"/>
                <w:rFonts w:cs="Calibri"/>
                <w:sz w:val="22"/>
                <w:szCs w:val="22"/>
                <w:lang w:val="pt-PT"/>
              </w:rPr>
              <w:t>aberta de 2,4 mg/kg de Humira (</w:t>
            </w:r>
            <w:r>
              <w:rPr>
                <w:rStyle w:val="normaltextrun"/>
                <w:rFonts w:cs="Calibri"/>
                <w:sz w:val="22"/>
                <w:szCs w:val="22"/>
                <w:lang w:val="pt-PT"/>
              </w:rPr>
              <w:t>máximo de </w:t>
            </w:r>
            <w:r w:rsidRPr="00A84A8D">
              <w:rPr>
                <w:rStyle w:val="normaltextrun"/>
                <w:rFonts w:cs="Calibri"/>
                <w:sz w:val="22"/>
                <w:szCs w:val="22"/>
                <w:lang w:val="pt-PT"/>
              </w:rPr>
              <w:t>160 mg) na Semana 0 e na Semana 1, e 1,2 mg/kg (</w:t>
            </w:r>
            <w:r>
              <w:rPr>
                <w:rStyle w:val="normaltextrun"/>
                <w:rFonts w:cs="Calibri"/>
                <w:sz w:val="22"/>
                <w:szCs w:val="22"/>
                <w:lang w:val="pt-PT"/>
              </w:rPr>
              <w:t>máximo de </w:t>
            </w:r>
            <w:r w:rsidRPr="00A84A8D">
              <w:rPr>
                <w:rStyle w:val="normaltextrun"/>
                <w:rFonts w:cs="Calibri"/>
                <w:sz w:val="22"/>
                <w:szCs w:val="22"/>
                <w:lang w:val="pt-PT"/>
              </w:rPr>
              <w:t>80 mg) na Semana 2</w:t>
            </w:r>
          </w:p>
          <w:p w14:paraId="7993571F" w14:textId="77777777" w:rsidR="00120C36" w:rsidRPr="00A84A8D" w:rsidRDefault="00615769" w:rsidP="002F486F">
            <w:pPr>
              <w:pStyle w:val="paragraph"/>
              <w:keepNext/>
              <w:spacing w:before="0" w:beforeAutospacing="0" w:after="0" w:afterAutospacing="0" w:line="276" w:lineRule="auto"/>
              <w:textAlignment w:val="baseline"/>
              <w:rPr>
                <w:sz w:val="22"/>
                <w:szCs w:val="22"/>
                <w:lang w:val="pt-PT" w:eastAsia="en-GB"/>
              </w:rPr>
            </w:pPr>
            <w:r w:rsidRPr="00A84A8D">
              <w:rPr>
                <w:rStyle w:val="normaltextrun"/>
                <w:sz w:val="22"/>
                <w:szCs w:val="22"/>
                <w:vertAlign w:val="superscript"/>
                <w:lang w:val="pt-PT"/>
              </w:rPr>
              <w:t>d</w:t>
            </w:r>
            <w:r>
              <w:rPr>
                <w:rStyle w:val="normaltextrun"/>
                <w:sz w:val="22"/>
                <w:szCs w:val="22"/>
                <w:vertAlign w:val="superscript"/>
                <w:lang w:val="pt-PT"/>
              </w:rPr>
              <w:t> </w:t>
            </w:r>
            <w:r w:rsidRPr="00A84A8D">
              <w:rPr>
                <w:sz w:val="22"/>
                <w:szCs w:val="22"/>
                <w:lang w:val="pt-PT" w:eastAsia="en-GB"/>
              </w:rPr>
              <w:t>Humira 0,6 mg/kg (</w:t>
            </w:r>
            <w:r>
              <w:rPr>
                <w:sz w:val="22"/>
                <w:szCs w:val="22"/>
                <w:lang w:val="pt-PT" w:eastAsia="en-GB"/>
              </w:rPr>
              <w:t>máximo de </w:t>
            </w:r>
            <w:r w:rsidRPr="00A84A8D">
              <w:rPr>
                <w:sz w:val="22"/>
                <w:szCs w:val="22"/>
                <w:lang w:val="pt-PT" w:eastAsia="en-GB"/>
              </w:rPr>
              <w:t>40 mg) em semanas alternadas</w:t>
            </w:r>
          </w:p>
          <w:p w14:paraId="24822E1C" w14:textId="77777777" w:rsidR="00120C36" w:rsidRPr="00A84A8D" w:rsidRDefault="00615769" w:rsidP="002F486F">
            <w:pPr>
              <w:keepNext/>
              <w:spacing w:line="276" w:lineRule="auto"/>
              <w:rPr>
                <w:sz w:val="22"/>
                <w:szCs w:val="22"/>
                <w:lang w:eastAsia="en-GB"/>
              </w:rPr>
            </w:pPr>
            <w:r w:rsidRPr="00A84A8D">
              <w:rPr>
                <w:sz w:val="22"/>
                <w:szCs w:val="22"/>
                <w:vertAlign w:val="superscript"/>
                <w:lang w:eastAsia="en-GB"/>
              </w:rPr>
              <w:t>e</w:t>
            </w:r>
            <w:r>
              <w:rPr>
                <w:sz w:val="22"/>
                <w:szCs w:val="22"/>
                <w:vertAlign w:val="superscript"/>
                <w:lang w:eastAsia="en-GB"/>
              </w:rPr>
              <w:t> </w:t>
            </w:r>
            <w:r w:rsidRPr="00A84A8D">
              <w:rPr>
                <w:sz w:val="22"/>
                <w:szCs w:val="22"/>
                <w:lang w:eastAsia="en-GB"/>
              </w:rPr>
              <w:t>Humira 0,6 mg/kg (</w:t>
            </w:r>
            <w:r>
              <w:rPr>
                <w:sz w:val="22"/>
                <w:szCs w:val="22"/>
                <w:lang w:eastAsia="en-GB"/>
              </w:rPr>
              <w:t>máximo de </w:t>
            </w:r>
            <w:r w:rsidRPr="00A84A8D">
              <w:rPr>
                <w:sz w:val="22"/>
                <w:szCs w:val="22"/>
                <w:lang w:eastAsia="en-GB"/>
              </w:rPr>
              <w:t>40 mg) semanalmente</w:t>
            </w:r>
          </w:p>
          <w:p w14:paraId="312FA6BD" w14:textId="77777777" w:rsidR="00120C36" w:rsidRPr="00A84A8D" w:rsidRDefault="00615769" w:rsidP="002F486F">
            <w:pPr>
              <w:pStyle w:val="paragraph"/>
              <w:keepNext/>
              <w:spacing w:before="0" w:beforeAutospacing="0" w:after="0" w:afterAutospacing="0" w:line="276" w:lineRule="auto"/>
              <w:textAlignment w:val="baseline"/>
              <w:rPr>
                <w:rFonts w:ascii="Segoe UI" w:hAnsi="Segoe UI" w:cs="Segoe UI"/>
                <w:sz w:val="22"/>
                <w:szCs w:val="22"/>
                <w:lang w:val="pt-PT"/>
              </w:rPr>
            </w:pPr>
            <w:r w:rsidRPr="00A84A8D">
              <w:rPr>
                <w:rStyle w:val="normaltextrun"/>
                <w:rFonts w:cs="Calibri"/>
                <w:sz w:val="22"/>
                <w:szCs w:val="22"/>
                <w:lang w:val="pt-PT"/>
              </w:rPr>
              <w:t>Nota 1: Ambos os grupos de indução receberam 0,6 mg/kg (máximo</w:t>
            </w:r>
            <w:r>
              <w:rPr>
                <w:rStyle w:val="normaltextrun"/>
                <w:rFonts w:cs="Calibri"/>
                <w:sz w:val="22"/>
                <w:szCs w:val="22"/>
                <w:lang w:val="pt-PT"/>
              </w:rPr>
              <w:t xml:space="preserve"> de </w:t>
            </w:r>
            <w:r w:rsidRPr="00A84A8D">
              <w:rPr>
                <w:rStyle w:val="normaltextrun"/>
                <w:rFonts w:cs="Calibri"/>
                <w:sz w:val="22"/>
                <w:szCs w:val="22"/>
                <w:lang w:val="pt-PT"/>
              </w:rPr>
              <w:t>40 mg) na Semana 4 e na Semana 6</w:t>
            </w:r>
            <w:r w:rsidRPr="00A84A8D">
              <w:rPr>
                <w:rStyle w:val="eop"/>
                <w:rFonts w:cs="Calibri"/>
                <w:sz w:val="22"/>
                <w:szCs w:val="22"/>
                <w:lang w:val="pt-PT"/>
              </w:rPr>
              <w:t> </w:t>
            </w:r>
          </w:p>
          <w:p w14:paraId="0C1C6DD7" w14:textId="77777777" w:rsidR="00120C36" w:rsidRPr="00A84A8D" w:rsidRDefault="00615769" w:rsidP="002F486F">
            <w:pPr>
              <w:pStyle w:val="paragraph"/>
              <w:keepNext/>
              <w:spacing w:before="0" w:beforeAutospacing="0" w:after="0" w:afterAutospacing="0" w:line="276" w:lineRule="auto"/>
              <w:textAlignment w:val="baseline"/>
              <w:rPr>
                <w:rStyle w:val="eop"/>
                <w:rFonts w:cs="Calibri"/>
                <w:sz w:val="22"/>
                <w:szCs w:val="22"/>
                <w:lang w:val="pt-PT"/>
              </w:rPr>
            </w:pPr>
            <w:r w:rsidRPr="00A84A8D">
              <w:rPr>
                <w:rStyle w:val="normaltextrun"/>
                <w:rFonts w:cs="Calibri"/>
                <w:sz w:val="22"/>
                <w:szCs w:val="22"/>
                <w:lang w:val="pt-PT"/>
              </w:rPr>
              <w:t xml:space="preserve">Nota 2: Considerou-se que os doentes com valores em falta na Semana 8 não </w:t>
            </w:r>
            <w:r w:rsidR="0035376C">
              <w:rPr>
                <w:rStyle w:val="normaltextrun"/>
                <w:rFonts w:cs="Calibri"/>
                <w:sz w:val="22"/>
                <w:szCs w:val="22"/>
                <w:lang w:val="pt-PT"/>
              </w:rPr>
              <w:t>a</w:t>
            </w:r>
            <w:r w:rsidR="0035376C" w:rsidRPr="002F486F">
              <w:rPr>
                <w:rStyle w:val="normaltextrun"/>
                <w:rFonts w:cs="Calibri"/>
                <w:lang w:val="pt-PT"/>
              </w:rPr>
              <w:t>ti</w:t>
            </w:r>
            <w:r w:rsidR="0035376C">
              <w:rPr>
                <w:rStyle w:val="normaltextrun"/>
                <w:rFonts w:cs="Calibri"/>
                <w:lang w:val="pt-PT"/>
              </w:rPr>
              <w:t>n</w:t>
            </w:r>
            <w:r w:rsidR="0035376C" w:rsidRPr="002F486F">
              <w:rPr>
                <w:rStyle w:val="normaltextrun"/>
                <w:rFonts w:cs="Calibri"/>
                <w:lang w:val="pt-PT"/>
              </w:rPr>
              <w:t>g</w:t>
            </w:r>
            <w:r w:rsidR="0035376C">
              <w:rPr>
                <w:rStyle w:val="normaltextrun"/>
                <w:rFonts w:cs="Calibri"/>
                <w:lang w:val="pt-PT"/>
              </w:rPr>
              <w:t>i</w:t>
            </w:r>
            <w:r w:rsidR="0035376C" w:rsidRPr="002F486F">
              <w:rPr>
                <w:rStyle w:val="normaltextrun"/>
                <w:rFonts w:cs="Calibri"/>
                <w:lang w:val="pt-PT"/>
              </w:rPr>
              <w:t>r</w:t>
            </w:r>
            <w:r w:rsidR="0035376C">
              <w:rPr>
                <w:rStyle w:val="normaltextrun"/>
                <w:rFonts w:cs="Calibri"/>
                <w:lang w:val="pt-PT"/>
              </w:rPr>
              <w:t>a</w:t>
            </w:r>
            <w:r w:rsidR="0035376C" w:rsidRPr="002F486F">
              <w:rPr>
                <w:rStyle w:val="normaltextrun"/>
                <w:rFonts w:cs="Calibri"/>
                <w:lang w:val="pt-PT"/>
              </w:rPr>
              <w:t>m</w:t>
            </w:r>
            <w:r w:rsidRPr="00A84A8D">
              <w:rPr>
                <w:rStyle w:val="normaltextrun"/>
                <w:rFonts w:cs="Calibri"/>
                <w:sz w:val="22"/>
                <w:szCs w:val="22"/>
                <w:lang w:val="pt-PT"/>
              </w:rPr>
              <w:t xml:space="preserve"> os objetivos</w:t>
            </w:r>
            <w:r w:rsidRPr="00A84A8D">
              <w:rPr>
                <w:rStyle w:val="eop"/>
                <w:rFonts w:cs="Calibri"/>
                <w:sz w:val="22"/>
                <w:szCs w:val="22"/>
                <w:lang w:val="pt-PT"/>
              </w:rPr>
              <w:t> </w:t>
            </w:r>
          </w:p>
          <w:p w14:paraId="39AE8807" w14:textId="77777777" w:rsidR="00120C36" w:rsidRPr="00A84A8D" w:rsidRDefault="00615769" w:rsidP="002F486F">
            <w:pPr>
              <w:pStyle w:val="paragraph"/>
              <w:keepNext/>
              <w:spacing w:before="0" w:beforeAutospacing="0" w:after="0" w:afterAutospacing="0" w:line="276" w:lineRule="auto"/>
              <w:textAlignment w:val="baseline"/>
              <w:rPr>
                <w:sz w:val="22"/>
                <w:szCs w:val="22"/>
                <w:lang w:val="pt-PT"/>
              </w:rPr>
            </w:pPr>
            <w:r w:rsidRPr="00A84A8D">
              <w:rPr>
                <w:rStyle w:val="eop"/>
                <w:rFonts w:cs="Calibri"/>
                <w:sz w:val="22"/>
                <w:szCs w:val="22"/>
                <w:lang w:val="pt-PT"/>
              </w:rPr>
              <w:t xml:space="preserve">Nota 3: </w:t>
            </w:r>
            <w:r w:rsidRPr="00A84A8D">
              <w:rPr>
                <w:sz w:val="22"/>
                <w:szCs w:val="22"/>
                <w:lang w:val="pt-PT" w:eastAsia="en-GB"/>
              </w:rPr>
              <w:t xml:space="preserve">Os doentes com valores em falta na Semana 52 ou que foram aleatorizados para receberem tratamento de reindução ou manutenção foram considerados como não respondedores </w:t>
            </w:r>
            <w:r w:rsidR="00B10B70">
              <w:rPr>
                <w:sz w:val="22"/>
                <w:szCs w:val="22"/>
                <w:lang w:val="pt-PT" w:eastAsia="en-GB"/>
              </w:rPr>
              <w:t>quanto aos</w:t>
            </w:r>
            <w:r w:rsidRPr="00A84A8D">
              <w:rPr>
                <w:sz w:val="22"/>
                <w:szCs w:val="22"/>
                <w:lang w:val="pt-PT" w:eastAsia="en-GB"/>
              </w:rPr>
              <w:t xml:space="preserve"> objetivos da Semana 52</w:t>
            </w:r>
          </w:p>
        </w:tc>
      </w:tr>
    </w:tbl>
    <w:p w14:paraId="1C8EADD6" w14:textId="77777777" w:rsidR="00120C36" w:rsidRPr="00FF4AB1" w:rsidRDefault="00120C36" w:rsidP="00120C36">
      <w:pPr>
        <w:rPr>
          <w:sz w:val="22"/>
          <w:szCs w:val="22"/>
        </w:rPr>
      </w:pPr>
    </w:p>
    <w:p w14:paraId="28AFA3EA" w14:textId="77777777" w:rsidR="00120C36" w:rsidRPr="000C51DF" w:rsidRDefault="00615769" w:rsidP="00120C36">
      <w:pPr>
        <w:rPr>
          <w:sz w:val="22"/>
          <w:szCs w:val="22"/>
        </w:rPr>
      </w:pPr>
      <w:r w:rsidRPr="000C51DF">
        <w:rPr>
          <w:sz w:val="22"/>
          <w:szCs w:val="22"/>
        </w:rPr>
        <w:t>Dos doentes tratados com Humira que receberam tratamento de reindução durante o período de manutenção, 2/6 (33%) obtiveram resposta clínica de acordo com a FMS na Semana 52.</w:t>
      </w:r>
    </w:p>
    <w:p w14:paraId="7530122F" w14:textId="77777777" w:rsidR="00120C36" w:rsidRPr="000C51DF" w:rsidRDefault="00120C36" w:rsidP="00120C36">
      <w:pPr>
        <w:rPr>
          <w:sz w:val="22"/>
          <w:szCs w:val="22"/>
        </w:rPr>
      </w:pPr>
    </w:p>
    <w:p w14:paraId="50368E88" w14:textId="77777777" w:rsidR="00120C36" w:rsidRPr="000C51DF" w:rsidRDefault="00615769" w:rsidP="00120C36">
      <w:pPr>
        <w:keepNext/>
        <w:rPr>
          <w:bCs/>
          <w:i/>
          <w:sz w:val="22"/>
          <w:szCs w:val="22"/>
          <w:u w:val="single"/>
        </w:rPr>
      </w:pPr>
      <w:r w:rsidRPr="000C51DF">
        <w:rPr>
          <w:bCs/>
          <w:i/>
          <w:sz w:val="22"/>
          <w:szCs w:val="22"/>
          <w:u w:val="single"/>
        </w:rPr>
        <w:t>Qualidade de vida</w:t>
      </w:r>
    </w:p>
    <w:p w14:paraId="5806E22E" w14:textId="77777777" w:rsidR="00120C36" w:rsidRPr="000C51DF" w:rsidRDefault="00120C36" w:rsidP="00120C36">
      <w:pPr>
        <w:keepNext/>
        <w:rPr>
          <w:bCs/>
          <w:i/>
          <w:sz w:val="22"/>
          <w:szCs w:val="22"/>
          <w:u w:val="single"/>
        </w:rPr>
      </w:pPr>
    </w:p>
    <w:p w14:paraId="1B1FD255" w14:textId="77777777" w:rsidR="002F486F" w:rsidRPr="000C51DF" w:rsidRDefault="00615769" w:rsidP="002F486F">
      <w:pPr>
        <w:keepNext/>
        <w:rPr>
          <w:sz w:val="22"/>
          <w:szCs w:val="22"/>
        </w:rPr>
      </w:pPr>
      <w:r w:rsidRPr="000C51DF">
        <w:rPr>
          <w:sz w:val="22"/>
          <w:szCs w:val="22"/>
        </w:rPr>
        <w:t xml:space="preserve">Foram observadas melhorias clinicamente significativas em relação aos valores </w:t>
      </w:r>
      <w:r>
        <w:rPr>
          <w:sz w:val="22"/>
          <w:szCs w:val="22"/>
        </w:rPr>
        <w:t>iniciais</w:t>
      </w:r>
      <w:r w:rsidRPr="000C51DF">
        <w:rPr>
          <w:sz w:val="22"/>
          <w:szCs w:val="22"/>
        </w:rPr>
        <w:t xml:space="preserve"> no questionário IMPACT III e nas pontuações do questionário </w:t>
      </w:r>
      <w:r w:rsidRPr="000C51DF">
        <w:rPr>
          <w:i/>
          <w:sz w:val="22"/>
          <w:szCs w:val="22"/>
        </w:rPr>
        <w:t>Work Productivity and Activity Impairment</w:t>
      </w:r>
      <w:r w:rsidRPr="000C51DF">
        <w:rPr>
          <w:sz w:val="22"/>
          <w:szCs w:val="22"/>
        </w:rPr>
        <w:t xml:space="preserve"> (WPAI) </w:t>
      </w:r>
      <w:r>
        <w:rPr>
          <w:sz w:val="22"/>
          <w:szCs w:val="22"/>
        </w:rPr>
        <w:t>relativas ao</w:t>
      </w:r>
      <w:r w:rsidRPr="000C51DF">
        <w:rPr>
          <w:sz w:val="22"/>
          <w:szCs w:val="22"/>
        </w:rPr>
        <w:t xml:space="preserve"> prestador de cuidados para os grupos tratados com Humira.</w:t>
      </w:r>
    </w:p>
    <w:p w14:paraId="2ED4D5A1" w14:textId="77777777" w:rsidR="002F486F" w:rsidRPr="000C51DF" w:rsidRDefault="002F486F" w:rsidP="002F486F">
      <w:pPr>
        <w:keepNext/>
        <w:rPr>
          <w:sz w:val="22"/>
          <w:szCs w:val="22"/>
        </w:rPr>
      </w:pPr>
    </w:p>
    <w:p w14:paraId="361457A8" w14:textId="77777777" w:rsidR="002F486F" w:rsidRPr="004E38D3" w:rsidRDefault="00615769" w:rsidP="002F486F">
      <w:pPr>
        <w:rPr>
          <w:rFonts w:eastAsiaTheme="minorHAnsi"/>
          <w:sz w:val="22"/>
          <w:szCs w:val="22"/>
          <w:lang w:eastAsia="en-GB"/>
        </w:rPr>
      </w:pPr>
      <w:r w:rsidRPr="004E38D3">
        <w:rPr>
          <w:sz w:val="22"/>
          <w:szCs w:val="22"/>
        </w:rPr>
        <w:t xml:space="preserve">Foram observados aumentos clinicamente significativos (melhoria) em relação aos valores </w:t>
      </w:r>
      <w:r>
        <w:rPr>
          <w:sz w:val="22"/>
          <w:szCs w:val="22"/>
        </w:rPr>
        <w:t>iniciais na</w:t>
      </w:r>
      <w:r w:rsidRPr="004E38D3">
        <w:rPr>
          <w:sz w:val="22"/>
          <w:szCs w:val="22"/>
        </w:rPr>
        <w:t xml:space="preserve"> velocidade de crescimento nos grupos tratados com adalimumab, e foram observados aumentos clinicamente significativos (melhoria) em relação aos valores </w:t>
      </w:r>
      <w:r>
        <w:rPr>
          <w:sz w:val="22"/>
          <w:szCs w:val="22"/>
        </w:rPr>
        <w:t>iniciais no</w:t>
      </w:r>
      <w:r w:rsidRPr="004E38D3">
        <w:rPr>
          <w:sz w:val="22"/>
          <w:szCs w:val="22"/>
        </w:rPr>
        <w:t xml:space="preserve"> índice de massa corporal em indivíduos a receberem uma dose de manutenção elevada de, no máximo, 40 mg (0,6 mg/kg)</w:t>
      </w:r>
      <w:r>
        <w:rPr>
          <w:sz w:val="22"/>
          <w:szCs w:val="22"/>
        </w:rPr>
        <w:t xml:space="preserve"> semanalmente</w:t>
      </w:r>
      <w:r w:rsidRPr="004E38D3">
        <w:rPr>
          <w:sz w:val="22"/>
          <w:szCs w:val="22"/>
        </w:rPr>
        <w:t xml:space="preserve">. </w:t>
      </w:r>
    </w:p>
    <w:p w14:paraId="45739D86" w14:textId="77777777" w:rsidR="00120C36" w:rsidRDefault="00120C36" w:rsidP="00E549E4">
      <w:pPr>
        <w:rPr>
          <w:i/>
          <w:sz w:val="22"/>
          <w:szCs w:val="22"/>
        </w:rPr>
      </w:pPr>
    </w:p>
    <w:p w14:paraId="7F6F012E" w14:textId="77777777" w:rsidR="00E549E4" w:rsidRPr="00034BDE" w:rsidRDefault="00615769" w:rsidP="00E549E4">
      <w:pPr>
        <w:rPr>
          <w:i/>
        </w:rPr>
      </w:pPr>
      <w:r w:rsidRPr="00034BDE">
        <w:rPr>
          <w:i/>
          <w:sz w:val="22"/>
          <w:szCs w:val="22"/>
        </w:rPr>
        <w:t xml:space="preserve">Uveíte </w:t>
      </w:r>
      <w:r>
        <w:rPr>
          <w:i/>
          <w:sz w:val="22"/>
          <w:szCs w:val="22"/>
        </w:rPr>
        <w:t>p</w:t>
      </w:r>
      <w:r w:rsidRPr="00034BDE">
        <w:rPr>
          <w:i/>
          <w:sz w:val="22"/>
          <w:szCs w:val="22"/>
        </w:rPr>
        <w:t>ediátrica</w:t>
      </w:r>
    </w:p>
    <w:p w14:paraId="608D4A4E" w14:textId="77777777" w:rsidR="00E549E4" w:rsidRDefault="00E549E4" w:rsidP="00E549E4"/>
    <w:p w14:paraId="27687146" w14:textId="77777777" w:rsidR="00E549E4" w:rsidRDefault="00615769" w:rsidP="00E549E4">
      <w:pPr>
        <w:pStyle w:val="BodyText2"/>
        <w:autoSpaceDE/>
        <w:autoSpaceDN/>
        <w:adjustRightInd/>
        <w:rPr>
          <w:bCs/>
          <w:szCs w:val="20"/>
        </w:rPr>
      </w:pPr>
      <w:r w:rsidRPr="008912CF">
        <w:rPr>
          <w:szCs w:val="22"/>
        </w:rPr>
        <w:t xml:space="preserve">A segurança e eficácia de Humira foram avaliadas </w:t>
      </w:r>
      <w:r>
        <w:rPr>
          <w:szCs w:val="22"/>
        </w:rPr>
        <w:t xml:space="preserve">num </w:t>
      </w:r>
      <w:r w:rsidRPr="008912CF">
        <w:rPr>
          <w:szCs w:val="22"/>
        </w:rPr>
        <w:t>estudo</w:t>
      </w:r>
      <w:r>
        <w:rPr>
          <w:szCs w:val="22"/>
        </w:rPr>
        <w:t xml:space="preserve"> aleatorizado</w:t>
      </w:r>
      <w:r w:rsidRPr="008912CF">
        <w:rPr>
          <w:szCs w:val="22"/>
        </w:rPr>
        <w:t xml:space="preserve">, </w:t>
      </w:r>
      <w:r>
        <w:rPr>
          <w:szCs w:val="22"/>
        </w:rPr>
        <w:t xml:space="preserve">controlado, </w:t>
      </w:r>
      <w:r w:rsidRPr="008912CF">
        <w:rPr>
          <w:szCs w:val="22"/>
        </w:rPr>
        <w:t xml:space="preserve">em dupla ocultação, </w:t>
      </w:r>
      <w:r>
        <w:rPr>
          <w:szCs w:val="22"/>
        </w:rPr>
        <w:t>realizado</w:t>
      </w:r>
      <w:r w:rsidRPr="008912CF">
        <w:rPr>
          <w:szCs w:val="22"/>
        </w:rPr>
        <w:t xml:space="preserve"> em </w:t>
      </w:r>
      <w:r>
        <w:rPr>
          <w:szCs w:val="22"/>
        </w:rPr>
        <w:t>9</w:t>
      </w:r>
      <w:r w:rsidRPr="008912CF">
        <w:rPr>
          <w:szCs w:val="22"/>
        </w:rPr>
        <w:t>0 doentes</w:t>
      </w:r>
      <w:r>
        <w:rPr>
          <w:szCs w:val="22"/>
        </w:rPr>
        <w:t xml:space="preserve"> pediátricos</w:t>
      </w:r>
      <w:r w:rsidRPr="008912CF">
        <w:rPr>
          <w:szCs w:val="22"/>
        </w:rPr>
        <w:t xml:space="preserve"> </w:t>
      </w:r>
      <w:r w:rsidRPr="00034BDE">
        <w:rPr>
          <w:szCs w:val="22"/>
        </w:rPr>
        <w:t>com idade</w:t>
      </w:r>
      <w:r>
        <w:rPr>
          <w:szCs w:val="22"/>
        </w:rPr>
        <w:t xml:space="preserve"> desde os 2 a &lt; 18 anos</w:t>
      </w:r>
      <w:r w:rsidRPr="008912CF">
        <w:rPr>
          <w:szCs w:val="22"/>
        </w:rPr>
        <w:t xml:space="preserve"> com </w:t>
      </w:r>
      <w:r>
        <w:rPr>
          <w:szCs w:val="22"/>
        </w:rPr>
        <w:t xml:space="preserve">uveíte não infecciosa, anterior, associada a artrite idiopática juvenil </w:t>
      </w:r>
      <w:r w:rsidRPr="008912CF">
        <w:rPr>
          <w:szCs w:val="22"/>
        </w:rPr>
        <w:t>(</w:t>
      </w:r>
      <w:r>
        <w:rPr>
          <w:szCs w:val="22"/>
        </w:rPr>
        <w:t>AIJ</w:t>
      </w:r>
      <w:r w:rsidRPr="008912CF">
        <w:rPr>
          <w:szCs w:val="22"/>
        </w:rPr>
        <w:t>) ativa</w:t>
      </w:r>
      <w:r>
        <w:rPr>
          <w:szCs w:val="22"/>
        </w:rPr>
        <w:t>, que foram refratários durante pelo menos 12 semanas de tratamento com metotrexato. O</w:t>
      </w:r>
      <w:r w:rsidRPr="008912CF">
        <w:rPr>
          <w:szCs w:val="22"/>
        </w:rPr>
        <w:t xml:space="preserve">s doentes receberam placebo ou </w:t>
      </w:r>
      <w:r>
        <w:rPr>
          <w:szCs w:val="22"/>
        </w:rPr>
        <w:t>20 mg de adalimumab (se &lt; 30 kg) ou 40 mg de adalimumab (se </w:t>
      </w:r>
      <w:r w:rsidRPr="00034BDE">
        <w:rPr>
          <w:bCs/>
          <w:szCs w:val="20"/>
        </w:rPr>
        <w:t>≥</w:t>
      </w:r>
      <w:r>
        <w:rPr>
          <w:bCs/>
          <w:szCs w:val="20"/>
        </w:rPr>
        <w:t> 30 kg) em semanas alternadas em associação com a dose inicial de metotrexato.</w:t>
      </w:r>
    </w:p>
    <w:p w14:paraId="6CCE4339" w14:textId="77777777" w:rsidR="00E549E4" w:rsidRDefault="00E549E4" w:rsidP="00E549E4">
      <w:pPr>
        <w:pStyle w:val="BodyText2"/>
        <w:autoSpaceDE/>
        <w:autoSpaceDN/>
        <w:adjustRightInd/>
        <w:rPr>
          <w:bCs/>
          <w:szCs w:val="20"/>
        </w:rPr>
      </w:pPr>
    </w:p>
    <w:p w14:paraId="3FF5D5C5" w14:textId="77777777" w:rsidR="00E549E4" w:rsidRDefault="00615769" w:rsidP="00E549E4">
      <w:pPr>
        <w:pStyle w:val="BodyText2"/>
        <w:autoSpaceDE/>
        <w:autoSpaceDN/>
        <w:adjustRightInd/>
        <w:rPr>
          <w:szCs w:val="22"/>
        </w:rPr>
      </w:pPr>
      <w:r>
        <w:rPr>
          <w:szCs w:val="22"/>
        </w:rPr>
        <w:t>O objetivo primário foi o “tempo até falha do tratamento”. Os critérios determinantes para a falha de tratamento foram o agravamento ou a ausência de melhoria sustentada da inflamação ocular ou melhoria parcial com desenvolvimento de comorbilidades oculares sustentadas ou agravamento das comorbilidades oculares, utilização de medicações concomitantes não permitidas e descontinuação do tratamento durante um longo período de tempo.</w:t>
      </w:r>
    </w:p>
    <w:p w14:paraId="5516CE57" w14:textId="77777777" w:rsidR="00E549E4" w:rsidRDefault="00E549E4" w:rsidP="00E549E4">
      <w:pPr>
        <w:pStyle w:val="BodyText2"/>
        <w:autoSpaceDE/>
        <w:autoSpaceDN/>
        <w:adjustRightInd/>
        <w:rPr>
          <w:szCs w:val="22"/>
        </w:rPr>
      </w:pPr>
    </w:p>
    <w:p w14:paraId="66F6CF65" w14:textId="77777777" w:rsidR="00E549E4" w:rsidRPr="008912CF" w:rsidRDefault="00615769" w:rsidP="00E549E4">
      <w:pPr>
        <w:rPr>
          <w:i/>
          <w:sz w:val="22"/>
          <w:szCs w:val="22"/>
          <w:u w:val="single"/>
        </w:rPr>
      </w:pPr>
      <w:r w:rsidRPr="008912CF">
        <w:rPr>
          <w:i/>
          <w:sz w:val="22"/>
          <w:szCs w:val="22"/>
          <w:u w:val="single"/>
        </w:rPr>
        <w:t>Resposta clínica</w:t>
      </w:r>
    </w:p>
    <w:p w14:paraId="257F5632" w14:textId="77777777" w:rsidR="00E549E4" w:rsidRDefault="00E549E4" w:rsidP="00E549E4">
      <w:pPr>
        <w:pStyle w:val="BodyText2"/>
        <w:autoSpaceDE/>
        <w:autoSpaceDN/>
        <w:adjustRightInd/>
        <w:rPr>
          <w:szCs w:val="22"/>
        </w:rPr>
      </w:pPr>
    </w:p>
    <w:p w14:paraId="211A8359" w14:textId="77777777" w:rsidR="00E549E4" w:rsidRPr="004D4741" w:rsidRDefault="00615769" w:rsidP="00E549E4">
      <w:pPr>
        <w:pStyle w:val="gtcbodytext"/>
        <w:spacing w:before="0" w:after="0" w:line="240" w:lineRule="auto"/>
        <w:rPr>
          <w:rFonts w:eastAsia="PMingLiU"/>
          <w:sz w:val="22"/>
          <w:szCs w:val="22"/>
          <w:lang w:val="pt-PT"/>
        </w:rPr>
      </w:pPr>
      <w:r>
        <w:rPr>
          <w:rFonts w:eastAsia="PMingLiU"/>
          <w:sz w:val="22"/>
          <w:szCs w:val="22"/>
          <w:lang w:val="pt-PT"/>
        </w:rPr>
        <w:t>A</w:t>
      </w:r>
      <w:r w:rsidRPr="004D4741">
        <w:rPr>
          <w:rFonts w:eastAsia="PMingLiU"/>
          <w:sz w:val="22"/>
          <w:szCs w:val="22"/>
          <w:lang w:val="pt-PT"/>
        </w:rPr>
        <w:t xml:space="preserve">dalimumab reduziu significativamente o tempo até falha do tratamento, em comparação com o placebo (ver Figura </w:t>
      </w:r>
      <w:r>
        <w:rPr>
          <w:rFonts w:eastAsia="PMingLiU"/>
          <w:sz w:val="22"/>
          <w:szCs w:val="22"/>
          <w:lang w:val="pt-PT"/>
        </w:rPr>
        <w:t>3</w:t>
      </w:r>
      <w:r w:rsidRPr="004D4741">
        <w:rPr>
          <w:rFonts w:eastAsia="PMingLiU"/>
          <w:sz w:val="22"/>
          <w:szCs w:val="22"/>
          <w:lang w:val="pt-PT"/>
        </w:rPr>
        <w:t xml:space="preserve">, </w:t>
      </w:r>
      <w:r>
        <w:rPr>
          <w:rFonts w:eastAsia="PMingLiU"/>
          <w:sz w:val="22"/>
          <w:szCs w:val="22"/>
          <w:lang w:val="pt-PT"/>
        </w:rPr>
        <w:t>p</w:t>
      </w:r>
      <w:r w:rsidRPr="004D4741">
        <w:rPr>
          <w:rFonts w:eastAsia="PMingLiU"/>
          <w:sz w:val="22"/>
          <w:szCs w:val="22"/>
          <w:lang w:val="pt-PT"/>
        </w:rPr>
        <w:t xml:space="preserve"> &lt; 0,0001 do teste logarítmico). O tempo </w:t>
      </w:r>
      <w:r>
        <w:rPr>
          <w:rFonts w:eastAsia="PMingLiU"/>
          <w:sz w:val="22"/>
          <w:szCs w:val="22"/>
          <w:lang w:val="pt-PT"/>
        </w:rPr>
        <w:t>mediano</w:t>
      </w:r>
      <w:r w:rsidRPr="004D4741">
        <w:rPr>
          <w:rFonts w:eastAsia="PMingLiU"/>
          <w:sz w:val="22"/>
          <w:szCs w:val="22"/>
          <w:lang w:val="pt-PT"/>
        </w:rPr>
        <w:t xml:space="preserve"> até falha do tratamento foi 24,1 semanas em indivíduos tratados com placebo, enquanto que o tempo </w:t>
      </w:r>
      <w:r>
        <w:rPr>
          <w:rFonts w:eastAsia="PMingLiU"/>
          <w:sz w:val="22"/>
          <w:szCs w:val="22"/>
          <w:lang w:val="pt-PT"/>
        </w:rPr>
        <w:t>mediano</w:t>
      </w:r>
      <w:r w:rsidRPr="004D4741">
        <w:rPr>
          <w:rFonts w:eastAsia="PMingLiU"/>
          <w:sz w:val="22"/>
          <w:szCs w:val="22"/>
          <w:lang w:val="pt-PT"/>
        </w:rPr>
        <w:t xml:space="preserve"> até falha do tratamento em indivíduos tratados com adalimumab não foi calculável, uma vez que menos de metade destes indivíduos experimentaram falha do tratamento. </w:t>
      </w:r>
      <w:r>
        <w:rPr>
          <w:rFonts w:eastAsia="PMingLiU"/>
          <w:sz w:val="22"/>
          <w:szCs w:val="22"/>
          <w:lang w:val="pt-PT"/>
        </w:rPr>
        <w:t>A</w:t>
      </w:r>
      <w:r w:rsidRPr="004D4741">
        <w:rPr>
          <w:rFonts w:eastAsia="PMingLiU"/>
          <w:sz w:val="22"/>
          <w:szCs w:val="22"/>
          <w:lang w:val="pt-PT"/>
        </w:rPr>
        <w:t>dalimumab reduziu significativamente o risco de falha de tratamento em 75% rel</w:t>
      </w:r>
      <w:r w:rsidRPr="004D4741">
        <w:rPr>
          <w:rFonts w:eastAsia="PMingLiU"/>
          <w:sz w:val="22"/>
          <w:szCs w:val="22"/>
          <w:lang w:val="pt-PT"/>
        </w:rPr>
        <w:t>ativamente a placebo, conforme demonstrado pela taxa de risco (TR = 0,25 [</w:t>
      </w:r>
      <w:r>
        <w:rPr>
          <w:rFonts w:eastAsia="PMingLiU"/>
          <w:sz w:val="22"/>
          <w:szCs w:val="22"/>
          <w:lang w:val="pt-PT"/>
        </w:rPr>
        <w:t xml:space="preserve">IC </w:t>
      </w:r>
      <w:r w:rsidRPr="004D4741">
        <w:rPr>
          <w:rFonts w:eastAsia="PMingLiU"/>
          <w:sz w:val="22"/>
          <w:szCs w:val="22"/>
          <w:lang w:val="pt-PT"/>
        </w:rPr>
        <w:t>95%:  0,12; 0,49]).</w:t>
      </w:r>
    </w:p>
    <w:p w14:paraId="112DB63E" w14:textId="77777777" w:rsidR="00E549E4" w:rsidRDefault="00E549E4" w:rsidP="00E549E4">
      <w:pPr>
        <w:pStyle w:val="BodyText2"/>
        <w:autoSpaceDE/>
        <w:autoSpaceDN/>
        <w:adjustRightInd/>
        <w:rPr>
          <w:szCs w:val="22"/>
        </w:rPr>
      </w:pPr>
    </w:p>
    <w:p w14:paraId="21B511E3" w14:textId="77777777" w:rsidR="00E549E4" w:rsidRDefault="00615769" w:rsidP="00E549E4">
      <w:pPr>
        <w:keepNext/>
        <w:spacing w:line="300" w:lineRule="auto"/>
        <w:jc w:val="center"/>
        <w:rPr>
          <w:rFonts w:eastAsia="Times New Roman"/>
          <w:b/>
          <w:sz w:val="22"/>
          <w:szCs w:val="22"/>
        </w:rPr>
      </w:pPr>
      <w:r w:rsidRPr="00034BDE">
        <w:rPr>
          <w:rFonts w:eastAsia="Times New Roman"/>
          <w:b/>
          <w:sz w:val="22"/>
          <w:szCs w:val="22"/>
        </w:rPr>
        <w:t xml:space="preserve">Figura </w:t>
      </w:r>
      <w:r>
        <w:rPr>
          <w:rFonts w:eastAsia="Times New Roman"/>
          <w:b/>
          <w:sz w:val="22"/>
          <w:szCs w:val="22"/>
        </w:rPr>
        <w:t>3</w:t>
      </w:r>
      <w:r w:rsidRPr="00034BDE">
        <w:rPr>
          <w:rFonts w:eastAsia="Times New Roman"/>
          <w:b/>
          <w:sz w:val="22"/>
          <w:szCs w:val="22"/>
        </w:rPr>
        <w:t xml:space="preserve">: Curvas de Kaplan-Meier </w:t>
      </w:r>
      <w:r>
        <w:rPr>
          <w:rFonts w:eastAsia="Times New Roman"/>
          <w:b/>
          <w:sz w:val="22"/>
          <w:szCs w:val="22"/>
        </w:rPr>
        <w:t>resumindo</w:t>
      </w:r>
      <w:r w:rsidRPr="00034BDE">
        <w:rPr>
          <w:rFonts w:eastAsia="Times New Roman"/>
          <w:b/>
          <w:sz w:val="22"/>
          <w:szCs w:val="22"/>
        </w:rPr>
        <w:t xml:space="preserve"> o tempo até falha do tratamento </w:t>
      </w:r>
      <w:r>
        <w:rPr>
          <w:rFonts w:eastAsia="Times New Roman"/>
          <w:b/>
          <w:sz w:val="22"/>
          <w:szCs w:val="22"/>
        </w:rPr>
        <w:t xml:space="preserve">no Estudo da </w:t>
      </w:r>
      <w:r w:rsidRPr="00034BDE">
        <w:rPr>
          <w:rFonts w:eastAsia="Times New Roman"/>
          <w:b/>
          <w:sz w:val="22"/>
          <w:szCs w:val="22"/>
        </w:rPr>
        <w:t>Uve</w:t>
      </w:r>
      <w:r>
        <w:rPr>
          <w:rFonts w:eastAsia="Times New Roman"/>
          <w:b/>
          <w:sz w:val="22"/>
          <w:szCs w:val="22"/>
        </w:rPr>
        <w:t>íte pediátrica</w:t>
      </w:r>
    </w:p>
    <w:p w14:paraId="3A7BEF22" w14:textId="77777777" w:rsidR="00E549E4" w:rsidRPr="00034BDE" w:rsidRDefault="00E549E4" w:rsidP="00E549E4">
      <w:pPr>
        <w:keepNext/>
        <w:spacing w:line="300" w:lineRule="auto"/>
        <w:jc w:val="center"/>
        <w:rPr>
          <w:rFonts w:eastAsia="Times New Roman"/>
          <w:b/>
          <w:sz w:val="22"/>
          <w:szCs w:val="22"/>
        </w:rPr>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A7162A" w14:paraId="04A297E3" w14:textId="77777777" w:rsidTr="00AB0B1F">
        <w:trPr>
          <w:cantSplit/>
          <w:trHeight w:val="3806"/>
        </w:trPr>
        <w:tc>
          <w:tcPr>
            <w:tcW w:w="468" w:type="dxa"/>
            <w:textDirection w:val="btLr"/>
            <w:vAlign w:val="bottom"/>
          </w:tcPr>
          <w:p w14:paraId="3F91B1A2" w14:textId="77777777" w:rsidR="00E549E4" w:rsidRPr="00034BDE" w:rsidRDefault="00615769" w:rsidP="00AB0B1F">
            <w:pPr>
              <w:keepNext/>
              <w:tabs>
                <w:tab w:val="left" w:pos="562"/>
              </w:tabs>
              <w:suppressAutoHyphens/>
              <w:ind w:left="113" w:right="113"/>
              <w:jc w:val="center"/>
              <w:rPr>
                <w:rFonts w:eastAsia="Times New Roman"/>
                <w:b/>
                <w:sz w:val="22"/>
                <w:szCs w:val="22"/>
              </w:rPr>
            </w:pPr>
            <w:r w:rsidRPr="00034BDE">
              <w:rPr>
                <w:rFonts w:eastAsia="Times New Roman"/>
                <w:b/>
                <w:sz w:val="22"/>
                <w:szCs w:val="22"/>
              </w:rPr>
              <w:t>PROBABILIDADE DE FALHA DE TRATAMENTO</w:t>
            </w:r>
          </w:p>
        </w:tc>
        <w:tc>
          <w:tcPr>
            <w:tcW w:w="8820" w:type="dxa"/>
            <w:gridSpan w:val="5"/>
            <w:vAlign w:val="bottom"/>
          </w:tcPr>
          <w:p w14:paraId="53587C3A" w14:textId="77777777" w:rsidR="00E549E4" w:rsidRPr="002D2EE4" w:rsidRDefault="00615769" w:rsidP="00AB0B1F">
            <w:pPr>
              <w:keepNext/>
              <w:tabs>
                <w:tab w:val="left" w:pos="562"/>
              </w:tabs>
              <w:suppressAutoHyphens/>
              <w:rPr>
                <w:rFonts w:eastAsia="Times New Roman"/>
                <w:sz w:val="22"/>
                <w:szCs w:val="22"/>
                <w:lang w:val="en-US"/>
              </w:rPr>
            </w:pPr>
            <w:r>
              <w:rPr>
                <w:rFonts w:eastAsia="Times New Roman"/>
                <w:noProof/>
                <w:sz w:val="22"/>
                <w:szCs w:val="22"/>
                <w:lang w:val="en-GB" w:eastAsia="en-GB"/>
              </w:rPr>
              <w:drawing>
                <wp:inline distT="0" distB="0" distL="0" distR="0" wp14:anchorId="2FA75A48" wp14:editId="423F3973">
                  <wp:extent cx="5486400" cy="4552950"/>
                  <wp:effectExtent l="0" t="0" r="0" b="0"/>
                  <wp:docPr id="133" name="Picture 84"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2" descr="Humira PED UV KM Curve REVISED 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p>
        </w:tc>
      </w:tr>
      <w:tr w:rsidR="00A7162A" w14:paraId="6C2B48EF" w14:textId="77777777" w:rsidTr="00AB0B1F">
        <w:tc>
          <w:tcPr>
            <w:tcW w:w="468" w:type="dxa"/>
          </w:tcPr>
          <w:p w14:paraId="6CA998A2" w14:textId="77777777" w:rsidR="00E549E4" w:rsidRPr="002D2EE4" w:rsidRDefault="00E549E4" w:rsidP="00AB0B1F">
            <w:pPr>
              <w:keepNext/>
              <w:tabs>
                <w:tab w:val="left" w:pos="562"/>
              </w:tabs>
              <w:suppressAutoHyphens/>
              <w:rPr>
                <w:rFonts w:eastAsia="Times New Roman"/>
                <w:sz w:val="22"/>
                <w:szCs w:val="22"/>
                <w:lang w:val="en-US"/>
              </w:rPr>
            </w:pPr>
          </w:p>
        </w:tc>
        <w:tc>
          <w:tcPr>
            <w:tcW w:w="8820" w:type="dxa"/>
            <w:gridSpan w:val="5"/>
          </w:tcPr>
          <w:p w14:paraId="41516F65" w14:textId="77777777" w:rsidR="00E549E4" w:rsidRPr="002D2EE4" w:rsidRDefault="00615769" w:rsidP="00AB0B1F">
            <w:pPr>
              <w:keepNext/>
              <w:tabs>
                <w:tab w:val="left" w:pos="562"/>
              </w:tabs>
              <w:suppressAutoHyphens/>
              <w:jc w:val="center"/>
              <w:rPr>
                <w:rFonts w:eastAsia="Times New Roman"/>
                <w:b/>
                <w:sz w:val="22"/>
                <w:szCs w:val="22"/>
                <w:lang w:val="en-US"/>
              </w:rPr>
            </w:pPr>
            <w:r w:rsidRPr="002D2EE4">
              <w:rPr>
                <w:rFonts w:eastAsia="Times New Roman"/>
                <w:b/>
                <w:sz w:val="22"/>
                <w:szCs w:val="22"/>
                <w:lang w:val="en-US"/>
              </w:rPr>
              <w:t>T</w:t>
            </w:r>
            <w:r>
              <w:rPr>
                <w:rFonts w:eastAsia="Times New Roman"/>
                <w:b/>
                <w:sz w:val="22"/>
                <w:szCs w:val="22"/>
                <w:lang w:val="en-US"/>
              </w:rPr>
              <w:t>EMPO</w:t>
            </w:r>
            <w:r w:rsidRPr="002D2EE4">
              <w:rPr>
                <w:rFonts w:eastAsia="Times New Roman"/>
                <w:b/>
                <w:sz w:val="22"/>
                <w:szCs w:val="22"/>
                <w:lang w:val="en-US"/>
              </w:rPr>
              <w:t xml:space="preserve"> (</w:t>
            </w:r>
            <w:r>
              <w:rPr>
                <w:rFonts w:eastAsia="Times New Roman"/>
                <w:b/>
                <w:sz w:val="22"/>
                <w:szCs w:val="22"/>
                <w:lang w:val="en-US"/>
              </w:rPr>
              <w:t>SEMANAS</w:t>
            </w:r>
            <w:r w:rsidRPr="002D2EE4">
              <w:rPr>
                <w:rFonts w:eastAsia="Times New Roman"/>
                <w:b/>
                <w:sz w:val="22"/>
                <w:szCs w:val="22"/>
                <w:lang w:val="en-US"/>
              </w:rPr>
              <w:t>)</w:t>
            </w:r>
          </w:p>
        </w:tc>
      </w:tr>
      <w:tr w:rsidR="00A7162A" w14:paraId="6671C024" w14:textId="77777777" w:rsidTr="00AB0B1F">
        <w:tc>
          <w:tcPr>
            <w:tcW w:w="468" w:type="dxa"/>
          </w:tcPr>
          <w:p w14:paraId="5399F175" w14:textId="77777777" w:rsidR="00E549E4" w:rsidRPr="002D2EE4" w:rsidRDefault="00E549E4" w:rsidP="00AB0B1F">
            <w:pPr>
              <w:keepNext/>
              <w:tabs>
                <w:tab w:val="left" w:pos="562"/>
              </w:tabs>
              <w:suppressAutoHyphens/>
              <w:rPr>
                <w:rFonts w:eastAsia="Times New Roman"/>
                <w:sz w:val="22"/>
                <w:szCs w:val="22"/>
                <w:lang w:val="en-US"/>
              </w:rPr>
            </w:pPr>
          </w:p>
        </w:tc>
        <w:tc>
          <w:tcPr>
            <w:tcW w:w="3510" w:type="dxa"/>
          </w:tcPr>
          <w:p w14:paraId="53D1006D" w14:textId="77777777" w:rsidR="00E549E4" w:rsidRPr="002D2EE4" w:rsidRDefault="00615769" w:rsidP="00AB0B1F">
            <w:pPr>
              <w:keepNext/>
              <w:tabs>
                <w:tab w:val="left" w:pos="562"/>
              </w:tabs>
              <w:suppressAutoHyphens/>
              <w:rPr>
                <w:rFonts w:eastAsia="Times New Roman"/>
                <w:sz w:val="22"/>
                <w:szCs w:val="22"/>
                <w:lang w:val="en-US"/>
              </w:rPr>
            </w:pPr>
            <w:r w:rsidRPr="002D2EE4">
              <w:rPr>
                <w:rFonts w:eastAsia="Times New Roman"/>
                <w:sz w:val="22"/>
                <w:szCs w:val="22"/>
                <w:lang w:val="en-US"/>
              </w:rPr>
              <w:t>Tr</w:t>
            </w:r>
            <w:r>
              <w:rPr>
                <w:rFonts w:eastAsia="Times New Roman"/>
                <w:sz w:val="22"/>
                <w:szCs w:val="22"/>
                <w:lang w:val="en-US"/>
              </w:rPr>
              <w:t>atamento</w:t>
            </w:r>
          </w:p>
        </w:tc>
        <w:tc>
          <w:tcPr>
            <w:tcW w:w="1170" w:type="dxa"/>
            <w:vAlign w:val="bottom"/>
          </w:tcPr>
          <w:p w14:paraId="140A3728" w14:textId="77777777" w:rsidR="00E549E4" w:rsidRPr="002D2EE4" w:rsidRDefault="00615769" w:rsidP="00AB0B1F">
            <w:pPr>
              <w:keepNext/>
              <w:tabs>
                <w:tab w:val="left" w:pos="562"/>
              </w:tabs>
              <w:suppressAutoHyphens/>
              <w:jc w:val="center"/>
              <w:rPr>
                <w:rFonts w:eastAsia="Times New Roman"/>
                <w:sz w:val="22"/>
                <w:szCs w:val="22"/>
                <w:lang w:val="en-US"/>
              </w:rPr>
            </w:pPr>
            <w:r>
              <w:rPr>
                <w:rFonts w:eastAsia="Times New Roman"/>
                <w:noProof/>
                <w:sz w:val="22"/>
                <w:szCs w:val="22"/>
                <w:lang w:val="en-GB" w:eastAsia="en-GB"/>
              </w:rPr>
              <w:drawing>
                <wp:inline distT="0" distB="0" distL="0" distR="0" wp14:anchorId="0E8BBA96" wp14:editId="2181BCC0">
                  <wp:extent cx="457200" cy="123825"/>
                  <wp:effectExtent l="0" t="0" r="0" b="9525"/>
                  <wp:docPr id="135" name="Picture 85"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3" descr="Humira PED UV KM Curve 1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p>
        </w:tc>
        <w:tc>
          <w:tcPr>
            <w:tcW w:w="1350" w:type="dxa"/>
          </w:tcPr>
          <w:p w14:paraId="66F2C009" w14:textId="77777777" w:rsidR="00E549E4" w:rsidRPr="002D2EE4" w:rsidRDefault="00615769" w:rsidP="00AB0B1F">
            <w:pPr>
              <w:keepNext/>
              <w:tabs>
                <w:tab w:val="left" w:pos="562"/>
              </w:tabs>
              <w:suppressAutoHyphens/>
              <w:rPr>
                <w:rFonts w:eastAsia="Times New Roman"/>
                <w:sz w:val="22"/>
                <w:szCs w:val="22"/>
                <w:lang w:val="en-US"/>
              </w:rPr>
            </w:pPr>
            <w:r w:rsidRPr="002D2EE4">
              <w:rPr>
                <w:rFonts w:eastAsia="Times New Roman"/>
                <w:sz w:val="22"/>
                <w:szCs w:val="22"/>
                <w:lang w:val="en-US"/>
              </w:rPr>
              <w:t>Placebo</w:t>
            </w:r>
          </w:p>
        </w:tc>
        <w:tc>
          <w:tcPr>
            <w:tcW w:w="900" w:type="dxa"/>
            <w:vAlign w:val="center"/>
          </w:tcPr>
          <w:p w14:paraId="09BE168E" w14:textId="77777777" w:rsidR="00E549E4" w:rsidRPr="002D2EE4" w:rsidRDefault="00615769" w:rsidP="00AB0B1F">
            <w:pPr>
              <w:keepNext/>
              <w:tabs>
                <w:tab w:val="left" w:pos="562"/>
              </w:tabs>
              <w:suppressAutoHyphens/>
              <w:rPr>
                <w:rFonts w:eastAsia="Times New Roman"/>
                <w:sz w:val="22"/>
                <w:szCs w:val="22"/>
                <w:lang w:val="en-US"/>
              </w:rPr>
            </w:pPr>
            <w:r>
              <w:rPr>
                <w:rFonts w:eastAsia="Times New Roman"/>
                <w:noProof/>
                <w:sz w:val="22"/>
                <w:szCs w:val="22"/>
                <w:lang w:val="en-GB" w:eastAsia="en-GB"/>
              </w:rPr>
              <w:drawing>
                <wp:inline distT="0" distB="0" distL="0" distR="0" wp14:anchorId="0932C455" wp14:editId="7BA2954A">
                  <wp:extent cx="457200" cy="85725"/>
                  <wp:effectExtent l="0" t="0" r="0" b="9525"/>
                  <wp:docPr id="139" name="Picture 86"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4" descr="Humira PED UV KM Curve 1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p>
        </w:tc>
        <w:tc>
          <w:tcPr>
            <w:tcW w:w="1890" w:type="dxa"/>
          </w:tcPr>
          <w:p w14:paraId="5C73EDAC" w14:textId="77777777" w:rsidR="00E549E4" w:rsidRPr="002D2EE4" w:rsidRDefault="00615769" w:rsidP="00AB0B1F">
            <w:pPr>
              <w:keepNext/>
              <w:tabs>
                <w:tab w:val="left" w:pos="562"/>
              </w:tabs>
              <w:suppressAutoHyphens/>
              <w:rPr>
                <w:rFonts w:eastAsia="Times New Roman"/>
                <w:sz w:val="22"/>
                <w:szCs w:val="22"/>
                <w:lang w:val="en-US"/>
              </w:rPr>
            </w:pPr>
            <w:r w:rsidRPr="002D2EE4">
              <w:rPr>
                <w:rFonts w:eastAsia="Times New Roman"/>
                <w:sz w:val="22"/>
                <w:szCs w:val="22"/>
                <w:lang w:val="en-US"/>
              </w:rPr>
              <w:t>Adalimumab</w:t>
            </w:r>
          </w:p>
        </w:tc>
      </w:tr>
      <w:tr w:rsidR="00A7162A" w14:paraId="7EB834AB" w14:textId="77777777" w:rsidTr="00AB0B1F">
        <w:tc>
          <w:tcPr>
            <w:tcW w:w="468" w:type="dxa"/>
          </w:tcPr>
          <w:p w14:paraId="34E50B0E" w14:textId="77777777" w:rsidR="00E549E4" w:rsidRPr="002D2EE4" w:rsidRDefault="00E549E4" w:rsidP="00AB0B1F">
            <w:pPr>
              <w:tabs>
                <w:tab w:val="left" w:pos="562"/>
              </w:tabs>
              <w:suppressAutoHyphens/>
              <w:rPr>
                <w:rFonts w:eastAsia="Times New Roman"/>
                <w:sz w:val="22"/>
                <w:szCs w:val="22"/>
                <w:lang w:val="en-US"/>
              </w:rPr>
            </w:pPr>
          </w:p>
        </w:tc>
        <w:tc>
          <w:tcPr>
            <w:tcW w:w="8820" w:type="dxa"/>
            <w:gridSpan w:val="5"/>
          </w:tcPr>
          <w:p w14:paraId="51E5FA17" w14:textId="77777777" w:rsidR="00E549E4" w:rsidRPr="00034BDE" w:rsidRDefault="00615769" w:rsidP="00AB0B1F">
            <w:pPr>
              <w:tabs>
                <w:tab w:val="left" w:pos="562"/>
              </w:tabs>
              <w:suppressAutoHyphens/>
              <w:rPr>
                <w:rFonts w:eastAsia="Times New Roman"/>
                <w:sz w:val="22"/>
                <w:szCs w:val="22"/>
              </w:rPr>
            </w:pPr>
            <w:r w:rsidRPr="00034BDE">
              <w:rPr>
                <w:rFonts w:eastAsia="Times New Roman"/>
                <w:sz w:val="22"/>
                <w:szCs w:val="22"/>
              </w:rPr>
              <w:t>Nota: P = Placebo (Número em Risco); H = HUMIRA (Número em Risco).</w:t>
            </w:r>
          </w:p>
        </w:tc>
      </w:tr>
    </w:tbl>
    <w:p w14:paraId="7BC98F09" w14:textId="77777777" w:rsidR="00AD0C73" w:rsidRPr="008912CF" w:rsidRDefault="00AD0C73" w:rsidP="004462A0">
      <w:pPr>
        <w:rPr>
          <w:rFonts w:eastAsia="SimSun"/>
          <w:sz w:val="22"/>
          <w:szCs w:val="22"/>
          <w:lang w:eastAsia="zh-CN"/>
        </w:rPr>
      </w:pPr>
    </w:p>
    <w:p w14:paraId="7E81437A" w14:textId="77777777" w:rsidR="004462A0" w:rsidRPr="008912CF" w:rsidRDefault="00615769" w:rsidP="00342BDA">
      <w:pPr>
        <w:keepNext/>
        <w:rPr>
          <w:b/>
          <w:sz w:val="22"/>
          <w:szCs w:val="22"/>
        </w:rPr>
      </w:pPr>
      <w:r w:rsidRPr="008912CF">
        <w:rPr>
          <w:b/>
          <w:bCs/>
          <w:sz w:val="22"/>
          <w:szCs w:val="22"/>
        </w:rPr>
        <w:t>5.2</w:t>
      </w:r>
      <w:r w:rsidRPr="008912CF">
        <w:rPr>
          <w:b/>
          <w:bCs/>
          <w:sz w:val="22"/>
          <w:szCs w:val="22"/>
        </w:rPr>
        <w:tab/>
        <w:t>Propriedades farmacocinéticas</w:t>
      </w:r>
    </w:p>
    <w:p w14:paraId="40069F39" w14:textId="77777777" w:rsidR="004462A0" w:rsidRPr="008912CF" w:rsidRDefault="004462A0" w:rsidP="00342BDA">
      <w:pPr>
        <w:keepNext/>
        <w:autoSpaceDE w:val="0"/>
        <w:autoSpaceDN w:val="0"/>
        <w:adjustRightInd w:val="0"/>
        <w:rPr>
          <w:sz w:val="22"/>
          <w:szCs w:val="22"/>
        </w:rPr>
      </w:pPr>
    </w:p>
    <w:p w14:paraId="591729F1" w14:textId="77777777" w:rsidR="004462A0" w:rsidRPr="008912CF" w:rsidRDefault="00615769" w:rsidP="00342BDA">
      <w:pPr>
        <w:keepNext/>
        <w:autoSpaceDE w:val="0"/>
        <w:autoSpaceDN w:val="0"/>
        <w:adjustRightInd w:val="0"/>
        <w:rPr>
          <w:sz w:val="22"/>
          <w:szCs w:val="22"/>
          <w:u w:val="single"/>
        </w:rPr>
      </w:pPr>
      <w:r w:rsidRPr="008912CF">
        <w:rPr>
          <w:sz w:val="22"/>
          <w:szCs w:val="22"/>
          <w:u w:val="single"/>
        </w:rPr>
        <w:t>Absorção e distribuição</w:t>
      </w:r>
    </w:p>
    <w:p w14:paraId="68B0F364" w14:textId="77777777" w:rsidR="004462A0" w:rsidRPr="008912CF" w:rsidRDefault="004462A0" w:rsidP="00342BDA">
      <w:pPr>
        <w:keepNext/>
        <w:autoSpaceDE w:val="0"/>
        <w:autoSpaceDN w:val="0"/>
        <w:adjustRightInd w:val="0"/>
        <w:rPr>
          <w:sz w:val="22"/>
          <w:szCs w:val="22"/>
        </w:rPr>
      </w:pPr>
    </w:p>
    <w:p w14:paraId="6776324B" w14:textId="77777777" w:rsidR="004462A0" w:rsidRPr="008912CF" w:rsidRDefault="00615769" w:rsidP="00342BDA">
      <w:pPr>
        <w:keepNext/>
        <w:autoSpaceDE w:val="0"/>
        <w:autoSpaceDN w:val="0"/>
        <w:adjustRightInd w:val="0"/>
        <w:rPr>
          <w:sz w:val="22"/>
          <w:szCs w:val="22"/>
        </w:rPr>
      </w:pPr>
      <w:r w:rsidRPr="008912CF">
        <w:rPr>
          <w:sz w:val="22"/>
          <w:szCs w:val="22"/>
        </w:rPr>
        <w:t>Após a administração subcutânea de uma dose única de 40 mg, a absorção e distribuição de adalimumab foram lentas, sendo os picos das concentrações séricas atingidos cerca de 5 dias após a administração. A biodisponibilidade absoluta média de adalimumab foi de 64</w:t>
      </w:r>
      <w:r w:rsidR="009343EF">
        <w:rPr>
          <w:sz w:val="22"/>
          <w:szCs w:val="22"/>
        </w:rPr>
        <w:t>%</w:t>
      </w:r>
      <w:r w:rsidRPr="008912CF">
        <w:rPr>
          <w:sz w:val="22"/>
          <w:szCs w:val="22"/>
        </w:rPr>
        <w:t>, calculada a partir de três estudos após uma dose subcutânea única de 40 mg. Após a administração de doses intravenosas únicas compreendidas entre 0,25 e 10 mg/kg, as concentrações foram proporcionais à dose. Após doses de 0,5 mg/kg (~40 mg) as depurações variaram entre 11 e 15 ml/hora, o volume de distribuição (V</w:t>
      </w:r>
      <w:r w:rsidRPr="008912CF">
        <w:rPr>
          <w:sz w:val="22"/>
          <w:szCs w:val="22"/>
          <w:vertAlign w:val="subscript"/>
        </w:rPr>
        <w:t>ss</w:t>
      </w:r>
      <w:r w:rsidRPr="008912CF">
        <w:rPr>
          <w:sz w:val="22"/>
          <w:szCs w:val="22"/>
        </w:rPr>
        <w:t xml:space="preserve">) variou entre 5 e 6 litros e a semi-vida média da fase terminal foi de aproximadamente duas semanas. As concentrações de adalimumab no líquido sinovial de vários doentes com artrite reumatoide </w:t>
      </w:r>
      <w:r w:rsidRPr="008912CF">
        <w:rPr>
          <w:sz w:val="22"/>
          <w:szCs w:val="22"/>
        </w:rPr>
        <w:t>variaram entre 31-96</w:t>
      </w:r>
      <w:r w:rsidR="009343EF">
        <w:rPr>
          <w:sz w:val="22"/>
          <w:szCs w:val="22"/>
        </w:rPr>
        <w:t>%</w:t>
      </w:r>
      <w:r w:rsidRPr="008912CF">
        <w:rPr>
          <w:sz w:val="22"/>
          <w:szCs w:val="22"/>
        </w:rPr>
        <w:t xml:space="preserve"> relativamente às concentrações séricas.</w:t>
      </w:r>
    </w:p>
    <w:p w14:paraId="3C7467D3" w14:textId="77777777" w:rsidR="004462A0" w:rsidRPr="008912CF" w:rsidRDefault="004462A0" w:rsidP="004462A0">
      <w:pPr>
        <w:autoSpaceDE w:val="0"/>
        <w:autoSpaceDN w:val="0"/>
        <w:adjustRightInd w:val="0"/>
        <w:rPr>
          <w:sz w:val="22"/>
          <w:szCs w:val="22"/>
        </w:rPr>
      </w:pPr>
    </w:p>
    <w:p w14:paraId="58BFD7CD" w14:textId="77777777" w:rsidR="004462A0" w:rsidRPr="008912CF" w:rsidRDefault="00615769" w:rsidP="004462A0">
      <w:pPr>
        <w:pStyle w:val="BodyText2"/>
        <w:rPr>
          <w:szCs w:val="22"/>
        </w:rPr>
      </w:pPr>
      <w:r w:rsidRPr="008912CF">
        <w:rPr>
          <w:szCs w:val="22"/>
        </w:rPr>
        <w:t>Após a administração subcutânea de 40 mg de adalimumab em semanas alternadas em doentes adultos com artrite reumatoide (AR) as concentrações médias de vale em estado de equilíbrio foram de aproximadamente 5 </w:t>
      </w:r>
      <w:r w:rsidRPr="008912CF">
        <w:rPr>
          <w:rFonts w:ascii="Symbol" w:hAnsi="Symbol"/>
          <w:szCs w:val="22"/>
        </w:rPr>
        <w:sym w:font="Symbol" w:char="F06D"/>
      </w:r>
      <w:r w:rsidRPr="008912CF">
        <w:rPr>
          <w:szCs w:val="22"/>
        </w:rPr>
        <w:t xml:space="preserve">g/ml (sem administração concomitante de metotrexato) e </w:t>
      </w:r>
      <w:r w:rsidR="00A85772">
        <w:rPr>
          <w:szCs w:val="22"/>
        </w:rPr>
        <w:t xml:space="preserve">de </w:t>
      </w:r>
      <w:r w:rsidRPr="008912CF">
        <w:rPr>
          <w:szCs w:val="22"/>
        </w:rPr>
        <w:t>8 a 9 </w:t>
      </w:r>
      <w:r w:rsidRPr="008912CF">
        <w:rPr>
          <w:rFonts w:ascii="Symbol" w:hAnsi="Symbol"/>
          <w:szCs w:val="22"/>
        </w:rPr>
        <w:sym w:font="Symbol" w:char="F06D"/>
      </w:r>
      <w:r w:rsidRPr="008912CF">
        <w:rPr>
          <w:szCs w:val="22"/>
        </w:rPr>
        <w:t>g/ml (com administração concomitante de metotrexato), respetivamente. Os níveis séricos de vale de adalimumab em estado de equilíbrio aumentaram quase proporcionalmente à dose após a administração por via subcutânea de 20, 40 e 80 mg em semanas alternadas e semanalmente.</w:t>
      </w:r>
    </w:p>
    <w:p w14:paraId="52C6BE9F" w14:textId="77777777" w:rsidR="004462A0" w:rsidRPr="008912CF" w:rsidRDefault="004462A0" w:rsidP="004462A0">
      <w:pPr>
        <w:jc w:val="both"/>
        <w:rPr>
          <w:sz w:val="22"/>
          <w:szCs w:val="22"/>
        </w:rPr>
      </w:pPr>
    </w:p>
    <w:p w14:paraId="2D8BA9DD" w14:textId="77777777" w:rsidR="004462A0" w:rsidRPr="008912CF" w:rsidRDefault="00615769" w:rsidP="004462A0">
      <w:pPr>
        <w:rPr>
          <w:sz w:val="22"/>
          <w:szCs w:val="22"/>
        </w:rPr>
      </w:pPr>
      <w:r w:rsidRPr="008912CF">
        <w:rPr>
          <w:sz w:val="22"/>
          <w:szCs w:val="22"/>
        </w:rPr>
        <w:t>Após a administração de 24 mg/m</w:t>
      </w:r>
      <w:r w:rsidRPr="008912CF">
        <w:rPr>
          <w:sz w:val="22"/>
          <w:szCs w:val="22"/>
          <w:vertAlign w:val="superscript"/>
        </w:rPr>
        <w:t>2</w:t>
      </w:r>
      <w:r w:rsidRPr="008912CF">
        <w:rPr>
          <w:sz w:val="22"/>
          <w:szCs w:val="22"/>
        </w:rPr>
        <w:t xml:space="preserve"> (máximo de 40</w:t>
      </w:r>
      <w:r>
        <w:rPr>
          <w:sz w:val="22"/>
          <w:szCs w:val="22"/>
        </w:rPr>
        <w:t> </w:t>
      </w:r>
      <w:r w:rsidRPr="008912CF">
        <w:rPr>
          <w:sz w:val="22"/>
          <w:szCs w:val="22"/>
        </w:rPr>
        <w:t>mg) por via subcutânea, em semanas alternadas, em doentes com artrite idiopática juvenil poliarticular (AIJ)</w:t>
      </w:r>
      <w:r w:rsidR="00F21025">
        <w:rPr>
          <w:sz w:val="22"/>
          <w:szCs w:val="22"/>
        </w:rPr>
        <w:t xml:space="preserve"> com idade entre os 4 e os 17 anos,</w:t>
      </w:r>
      <w:r w:rsidRPr="008912CF">
        <w:rPr>
          <w:sz w:val="22"/>
          <w:szCs w:val="22"/>
        </w:rPr>
        <w:t xml:space="preserve"> as concentrações séricas médias de adalimumab na região de vale da curva no estado estacionário (valores medidos da Semana 20 à 48) foram de 5,6 </w:t>
      </w:r>
      <w:r w:rsidRPr="008912CF">
        <w:rPr>
          <w:rFonts w:ascii="Symbol" w:hAnsi="Symbol"/>
          <w:sz w:val="22"/>
          <w:szCs w:val="22"/>
        </w:rPr>
        <w:sym w:font="Symbol" w:char="F0B1"/>
      </w:r>
      <w:r w:rsidRPr="008912CF">
        <w:rPr>
          <w:sz w:val="22"/>
          <w:szCs w:val="22"/>
        </w:rPr>
        <w:t> 5,6 </w:t>
      </w:r>
      <w:r w:rsidRPr="008912CF">
        <w:rPr>
          <w:rFonts w:ascii="Symbol" w:hAnsi="Symbol"/>
          <w:sz w:val="22"/>
          <w:szCs w:val="22"/>
        </w:rPr>
        <w:sym w:font="Symbol" w:char="F06D"/>
      </w:r>
      <w:r w:rsidRPr="008912CF">
        <w:rPr>
          <w:sz w:val="22"/>
          <w:szCs w:val="22"/>
        </w:rPr>
        <w:t>g/ml (102</w:t>
      </w:r>
      <w:r w:rsidR="009343EF">
        <w:rPr>
          <w:sz w:val="22"/>
          <w:szCs w:val="22"/>
        </w:rPr>
        <w:t>%</w:t>
      </w:r>
      <w:r w:rsidRPr="008912CF">
        <w:rPr>
          <w:sz w:val="22"/>
          <w:szCs w:val="22"/>
        </w:rPr>
        <w:t xml:space="preserve"> CV) com adalimumab sem metotrexato concomitante e 10,9 </w:t>
      </w:r>
      <w:r w:rsidRPr="008912CF">
        <w:rPr>
          <w:rFonts w:ascii="Symbol" w:hAnsi="Symbol"/>
          <w:sz w:val="22"/>
          <w:szCs w:val="22"/>
        </w:rPr>
        <w:sym w:font="Symbol" w:char="F0B1"/>
      </w:r>
      <w:r w:rsidRPr="008912CF">
        <w:rPr>
          <w:sz w:val="22"/>
          <w:szCs w:val="22"/>
        </w:rPr>
        <w:t> 5,2 </w:t>
      </w:r>
      <w:r w:rsidRPr="008912CF">
        <w:rPr>
          <w:rFonts w:ascii="Symbol" w:hAnsi="Symbol"/>
          <w:sz w:val="22"/>
          <w:szCs w:val="22"/>
        </w:rPr>
        <w:sym w:font="Symbol" w:char="F06D"/>
      </w:r>
      <w:r w:rsidRPr="008912CF">
        <w:rPr>
          <w:sz w:val="22"/>
          <w:szCs w:val="22"/>
        </w:rPr>
        <w:t>g/ml (47,7</w:t>
      </w:r>
      <w:r w:rsidR="009343EF">
        <w:rPr>
          <w:sz w:val="22"/>
          <w:szCs w:val="22"/>
        </w:rPr>
        <w:t>%</w:t>
      </w:r>
      <w:r w:rsidRPr="008912CF">
        <w:rPr>
          <w:sz w:val="22"/>
          <w:szCs w:val="22"/>
        </w:rPr>
        <w:t xml:space="preserve"> CV) com metotrexato concomitante.</w:t>
      </w:r>
    </w:p>
    <w:p w14:paraId="62003D6E" w14:textId="77777777" w:rsidR="004462A0" w:rsidRPr="008912CF" w:rsidRDefault="004462A0" w:rsidP="004462A0">
      <w:pPr>
        <w:autoSpaceDE w:val="0"/>
        <w:autoSpaceDN w:val="0"/>
        <w:adjustRightInd w:val="0"/>
        <w:rPr>
          <w:sz w:val="22"/>
          <w:szCs w:val="22"/>
        </w:rPr>
      </w:pPr>
    </w:p>
    <w:p w14:paraId="3E417D01" w14:textId="77777777" w:rsidR="004462A0" w:rsidRPr="008912CF" w:rsidRDefault="00615769" w:rsidP="004462A0">
      <w:pPr>
        <w:rPr>
          <w:sz w:val="22"/>
          <w:szCs w:val="22"/>
        </w:rPr>
      </w:pPr>
      <w:r w:rsidRPr="008912CF">
        <w:rPr>
          <w:sz w:val="22"/>
          <w:szCs w:val="22"/>
        </w:rPr>
        <w:t xml:space="preserve">Em doentes com AIJ poliarticular com 2 anos </w:t>
      </w:r>
      <w:r w:rsidR="004D2A92">
        <w:rPr>
          <w:sz w:val="22"/>
          <w:szCs w:val="22"/>
        </w:rPr>
        <w:t>a</w:t>
      </w:r>
      <w:r w:rsidR="004D2A92" w:rsidRPr="008912CF">
        <w:rPr>
          <w:sz w:val="22"/>
          <w:szCs w:val="22"/>
        </w:rPr>
        <w:t xml:space="preserve"> </w:t>
      </w:r>
      <w:r w:rsidRPr="008912CF">
        <w:rPr>
          <w:sz w:val="22"/>
          <w:szCs w:val="22"/>
        </w:rPr>
        <w:t>menos de 4 ou com 4 anos de idade e com peso &lt; 15 kg que receberam 24 mg/m</w:t>
      </w:r>
      <w:r w:rsidRPr="008912CF">
        <w:rPr>
          <w:sz w:val="22"/>
          <w:szCs w:val="22"/>
          <w:vertAlign w:val="superscript"/>
        </w:rPr>
        <w:t>2</w:t>
      </w:r>
      <w:r w:rsidRPr="008912CF">
        <w:rPr>
          <w:sz w:val="22"/>
          <w:szCs w:val="22"/>
        </w:rPr>
        <w:t xml:space="preserve"> de adalimumab, as concentrações séricas médias de adalimumab na região de vale da curva no estado estacionário foram de 6,0 </w:t>
      </w:r>
      <w:r w:rsidRPr="008912CF">
        <w:rPr>
          <w:rFonts w:ascii="Symbol" w:hAnsi="Symbol"/>
          <w:sz w:val="22"/>
          <w:szCs w:val="22"/>
        </w:rPr>
        <w:sym w:font="Symbol" w:char="F0B1"/>
      </w:r>
      <w:r w:rsidRPr="008912CF">
        <w:rPr>
          <w:sz w:val="22"/>
          <w:szCs w:val="22"/>
        </w:rPr>
        <w:t xml:space="preserve"> 6,1 </w:t>
      </w:r>
      <w:r w:rsidRPr="008912CF">
        <w:rPr>
          <w:rFonts w:ascii="Symbol" w:hAnsi="Symbol"/>
          <w:sz w:val="22"/>
          <w:szCs w:val="22"/>
        </w:rPr>
        <w:sym w:font="Symbol" w:char="F06D"/>
      </w:r>
      <w:r w:rsidRPr="008912CF">
        <w:rPr>
          <w:sz w:val="22"/>
          <w:szCs w:val="22"/>
        </w:rPr>
        <w:t xml:space="preserve">g/ml (101% CV) com adalimumab sem metotrexato concomitante e 7,9 </w:t>
      </w:r>
      <w:r w:rsidRPr="008912CF">
        <w:rPr>
          <w:rFonts w:ascii="Symbol" w:hAnsi="Symbol"/>
          <w:sz w:val="22"/>
          <w:szCs w:val="22"/>
        </w:rPr>
        <w:sym w:font="Symbol" w:char="F0B1"/>
      </w:r>
      <w:r w:rsidRPr="008912CF">
        <w:rPr>
          <w:rFonts w:ascii="Symbol" w:hAnsi="Symbol"/>
          <w:sz w:val="22"/>
          <w:szCs w:val="22"/>
        </w:rPr>
        <w:sym w:font="Symbol" w:char="F020"/>
      </w:r>
      <w:r w:rsidRPr="008912CF">
        <w:rPr>
          <w:rFonts w:ascii="Symbol" w:hAnsi="Symbol"/>
          <w:sz w:val="22"/>
          <w:szCs w:val="22"/>
        </w:rPr>
        <w:sym w:font="Symbol" w:char="F035"/>
      </w:r>
      <w:r w:rsidRPr="008912CF">
        <w:rPr>
          <w:rFonts w:ascii="Symbol" w:hAnsi="Symbol"/>
          <w:sz w:val="22"/>
          <w:szCs w:val="22"/>
        </w:rPr>
        <w:sym w:font="Symbol" w:char="F02C"/>
      </w:r>
      <w:r w:rsidRPr="008912CF">
        <w:rPr>
          <w:rFonts w:ascii="Symbol" w:hAnsi="Symbol"/>
          <w:sz w:val="22"/>
          <w:szCs w:val="22"/>
        </w:rPr>
        <w:sym w:font="Symbol" w:char="F036"/>
      </w:r>
      <w:r w:rsidRPr="008912CF">
        <w:rPr>
          <w:rFonts w:ascii="Symbol" w:hAnsi="Symbol"/>
          <w:sz w:val="22"/>
          <w:szCs w:val="22"/>
        </w:rPr>
        <w:sym w:font="Symbol" w:char="F020"/>
      </w:r>
      <w:r w:rsidRPr="008912CF">
        <w:rPr>
          <w:rFonts w:ascii="Symbol" w:hAnsi="Symbol"/>
          <w:sz w:val="22"/>
          <w:szCs w:val="22"/>
        </w:rPr>
        <w:sym w:font="Symbol" w:char="F06D"/>
      </w:r>
      <w:r w:rsidRPr="008912CF">
        <w:rPr>
          <w:sz w:val="22"/>
          <w:szCs w:val="22"/>
        </w:rPr>
        <w:t xml:space="preserve">g/ml </w:t>
      </w:r>
      <w:r w:rsidRPr="008912CF">
        <w:rPr>
          <w:rFonts w:ascii="Symbol" w:hAnsi="Symbol"/>
          <w:sz w:val="22"/>
          <w:szCs w:val="22"/>
        </w:rPr>
        <w:sym w:font="Symbol" w:char="F028"/>
      </w:r>
      <w:r w:rsidRPr="008912CF">
        <w:rPr>
          <w:rFonts w:ascii="Symbol" w:hAnsi="Symbol"/>
          <w:sz w:val="22"/>
          <w:szCs w:val="22"/>
        </w:rPr>
        <w:sym w:font="Symbol" w:char="F037"/>
      </w:r>
      <w:r w:rsidRPr="008912CF">
        <w:rPr>
          <w:rFonts w:ascii="Symbol" w:hAnsi="Symbol"/>
          <w:sz w:val="22"/>
          <w:szCs w:val="22"/>
        </w:rPr>
        <w:sym w:font="Symbol" w:char="F031"/>
      </w:r>
      <w:r w:rsidRPr="008912CF">
        <w:rPr>
          <w:rFonts w:ascii="Symbol" w:hAnsi="Symbol"/>
          <w:sz w:val="22"/>
          <w:szCs w:val="22"/>
        </w:rPr>
        <w:sym w:font="Symbol" w:char="F02C"/>
      </w:r>
      <w:r w:rsidRPr="008912CF">
        <w:rPr>
          <w:rFonts w:ascii="Symbol" w:hAnsi="Symbol"/>
          <w:sz w:val="22"/>
          <w:szCs w:val="22"/>
        </w:rPr>
        <w:sym w:font="Symbol" w:char="F032"/>
      </w:r>
      <w:r w:rsidRPr="008912CF">
        <w:rPr>
          <w:rFonts w:ascii="Symbol" w:hAnsi="Symbol"/>
          <w:sz w:val="22"/>
          <w:szCs w:val="22"/>
        </w:rPr>
        <w:sym w:font="Symbol" w:char="F025"/>
      </w:r>
      <w:r w:rsidRPr="008912CF">
        <w:rPr>
          <w:sz w:val="22"/>
          <w:szCs w:val="22"/>
        </w:rPr>
        <w:t xml:space="preserve"> CV</w:t>
      </w:r>
      <w:r w:rsidRPr="008912CF">
        <w:rPr>
          <w:rFonts w:ascii="Symbol" w:hAnsi="Symbol"/>
          <w:sz w:val="22"/>
          <w:szCs w:val="22"/>
        </w:rPr>
        <w:sym w:font="Symbol" w:char="F029"/>
      </w:r>
      <w:r w:rsidRPr="008912CF">
        <w:rPr>
          <w:rFonts w:ascii="Symbol" w:hAnsi="Symbol"/>
          <w:sz w:val="22"/>
          <w:szCs w:val="22"/>
        </w:rPr>
        <w:sym w:font="Symbol" w:char="F020"/>
      </w:r>
      <w:r w:rsidRPr="008912CF">
        <w:rPr>
          <w:sz w:val="22"/>
          <w:szCs w:val="22"/>
        </w:rPr>
        <w:t>com metotrexato concomitante.</w:t>
      </w:r>
    </w:p>
    <w:p w14:paraId="7165533F" w14:textId="77777777" w:rsidR="004462A0" w:rsidRPr="008912CF" w:rsidRDefault="004462A0" w:rsidP="004462A0">
      <w:pPr>
        <w:rPr>
          <w:sz w:val="22"/>
          <w:szCs w:val="22"/>
        </w:rPr>
      </w:pPr>
    </w:p>
    <w:p w14:paraId="57378774" w14:textId="77777777" w:rsidR="004462A0" w:rsidRPr="008912CF" w:rsidRDefault="00615769" w:rsidP="004462A0">
      <w:pPr>
        <w:autoSpaceDE w:val="0"/>
        <w:autoSpaceDN w:val="0"/>
        <w:adjustRightInd w:val="0"/>
        <w:rPr>
          <w:sz w:val="22"/>
          <w:szCs w:val="22"/>
        </w:rPr>
      </w:pPr>
      <w:r w:rsidRPr="008912CF">
        <w:rPr>
          <w:sz w:val="22"/>
          <w:szCs w:val="22"/>
        </w:rPr>
        <w:t>Após a administração de 24 mg/m</w:t>
      </w:r>
      <w:r w:rsidRPr="008912CF">
        <w:rPr>
          <w:sz w:val="22"/>
          <w:szCs w:val="22"/>
          <w:vertAlign w:val="superscript"/>
        </w:rPr>
        <w:t>2</w:t>
      </w:r>
      <w:r w:rsidRPr="008912CF">
        <w:rPr>
          <w:sz w:val="22"/>
          <w:szCs w:val="22"/>
        </w:rPr>
        <w:t xml:space="preserve"> (máximo de 40 mg) por via subcutânea, em semanas alternadas, em doentes com artrite relacionada com entesite com idade entre os 6 e os 17 anos, as concentrações séricas médias de adalimumab na região de vale da curva no estado estacionário (valores medidos na Semana 24) foram de 8,8 </w:t>
      </w:r>
      <w:r w:rsidRPr="008912CF">
        <w:rPr>
          <w:rFonts w:ascii="Symbol" w:hAnsi="Symbol"/>
          <w:sz w:val="22"/>
          <w:szCs w:val="22"/>
        </w:rPr>
        <w:sym w:font="Symbol" w:char="F0B1"/>
      </w:r>
      <w:r w:rsidRPr="008912CF">
        <w:rPr>
          <w:sz w:val="22"/>
          <w:szCs w:val="22"/>
        </w:rPr>
        <w:t xml:space="preserve"> 6,6 </w:t>
      </w:r>
      <w:r w:rsidRPr="008912CF">
        <w:rPr>
          <w:rFonts w:ascii="Symbol" w:hAnsi="Symbol"/>
          <w:sz w:val="22"/>
          <w:szCs w:val="22"/>
        </w:rPr>
        <w:sym w:font="Symbol" w:char="F06D"/>
      </w:r>
      <w:r w:rsidRPr="008912CF">
        <w:rPr>
          <w:sz w:val="22"/>
          <w:szCs w:val="22"/>
        </w:rPr>
        <w:t xml:space="preserve">g/ml  com adalimumab sem metotrexato concomitante e 11,8 </w:t>
      </w:r>
      <w:r w:rsidRPr="008912CF">
        <w:rPr>
          <w:rFonts w:ascii="Symbol" w:hAnsi="Symbol"/>
          <w:sz w:val="22"/>
          <w:szCs w:val="22"/>
        </w:rPr>
        <w:sym w:font="Symbol" w:char="F0B1"/>
      </w:r>
      <w:r w:rsidRPr="008912CF">
        <w:rPr>
          <w:rFonts w:ascii="Symbol" w:hAnsi="Symbol"/>
          <w:sz w:val="22"/>
          <w:szCs w:val="22"/>
        </w:rPr>
        <w:sym w:font="Symbol" w:char="F020"/>
      </w:r>
      <w:r w:rsidRPr="008912CF">
        <w:rPr>
          <w:rFonts w:ascii="Symbol" w:hAnsi="Symbol"/>
          <w:sz w:val="22"/>
          <w:szCs w:val="22"/>
        </w:rPr>
        <w:sym w:font="Symbol" w:char="F034"/>
      </w:r>
      <w:r w:rsidRPr="008912CF">
        <w:rPr>
          <w:rFonts w:ascii="Symbol" w:hAnsi="Symbol"/>
          <w:sz w:val="22"/>
          <w:szCs w:val="22"/>
        </w:rPr>
        <w:sym w:font="Symbol" w:char="F02C"/>
      </w:r>
      <w:r w:rsidRPr="008912CF">
        <w:rPr>
          <w:rFonts w:ascii="Symbol" w:hAnsi="Symbol"/>
          <w:sz w:val="22"/>
          <w:szCs w:val="22"/>
        </w:rPr>
        <w:sym w:font="Symbol" w:char="F033"/>
      </w:r>
      <w:r w:rsidRPr="008912CF">
        <w:rPr>
          <w:rFonts w:ascii="Symbol" w:hAnsi="Symbol"/>
          <w:sz w:val="22"/>
          <w:szCs w:val="22"/>
        </w:rPr>
        <w:sym w:font="Symbol" w:char="F020"/>
      </w:r>
      <w:r w:rsidRPr="008912CF">
        <w:rPr>
          <w:rFonts w:ascii="Symbol" w:hAnsi="Symbol"/>
          <w:sz w:val="22"/>
          <w:szCs w:val="22"/>
        </w:rPr>
        <w:sym w:font="Symbol" w:char="F06D"/>
      </w:r>
      <w:r w:rsidRPr="008912CF">
        <w:rPr>
          <w:sz w:val="22"/>
          <w:szCs w:val="22"/>
        </w:rPr>
        <w:t>g/ml com metotrexato concomitante.</w:t>
      </w:r>
    </w:p>
    <w:p w14:paraId="085458D1" w14:textId="77777777" w:rsidR="004462A0" w:rsidRDefault="004462A0" w:rsidP="004462A0">
      <w:pPr>
        <w:rPr>
          <w:sz w:val="22"/>
          <w:szCs w:val="22"/>
        </w:rPr>
      </w:pPr>
    </w:p>
    <w:p w14:paraId="26DFFE14" w14:textId="77777777" w:rsidR="00AD0C73" w:rsidRDefault="00615769" w:rsidP="004462A0">
      <w:pPr>
        <w:rPr>
          <w:sz w:val="22"/>
          <w:szCs w:val="22"/>
        </w:rPr>
      </w:pPr>
      <w:r>
        <w:rPr>
          <w:sz w:val="22"/>
          <w:szCs w:val="22"/>
        </w:rPr>
        <w:t xml:space="preserve">Após a administração subcutânea de 40 mg de adalimumab em semanas alternadas, em doentes adultos com </w:t>
      </w:r>
      <w:r w:rsidRPr="00DF02FD">
        <w:rPr>
          <w:sz w:val="22"/>
          <w:szCs w:val="22"/>
        </w:rPr>
        <w:t>espondilartrite axial não-radiográfica</w:t>
      </w:r>
      <w:r>
        <w:rPr>
          <w:sz w:val="22"/>
          <w:szCs w:val="22"/>
        </w:rPr>
        <w:t xml:space="preserve">, </w:t>
      </w:r>
      <w:r w:rsidRPr="008912CF">
        <w:rPr>
          <w:sz w:val="22"/>
          <w:szCs w:val="22"/>
        </w:rPr>
        <w:t xml:space="preserve">a média </w:t>
      </w:r>
      <w:r>
        <w:rPr>
          <w:sz w:val="22"/>
          <w:szCs w:val="22"/>
        </w:rPr>
        <w:t>(</w:t>
      </w:r>
      <w:r w:rsidRPr="008912CF">
        <w:rPr>
          <w:sz w:val="22"/>
          <w:szCs w:val="22"/>
        </w:rPr>
        <w:t>±</w:t>
      </w:r>
      <w:r w:rsidR="0029007D">
        <w:rPr>
          <w:sz w:val="22"/>
          <w:szCs w:val="22"/>
        </w:rPr>
        <w:t xml:space="preserve"> </w:t>
      </w:r>
      <w:r w:rsidRPr="008912CF">
        <w:rPr>
          <w:sz w:val="22"/>
          <w:szCs w:val="22"/>
        </w:rPr>
        <w:t>DP</w:t>
      </w:r>
      <w:r>
        <w:rPr>
          <w:sz w:val="22"/>
          <w:szCs w:val="22"/>
        </w:rPr>
        <w:t>)</w:t>
      </w:r>
      <w:r w:rsidRPr="008912CF">
        <w:rPr>
          <w:sz w:val="22"/>
          <w:szCs w:val="22"/>
        </w:rPr>
        <w:t xml:space="preserve"> da concentraç</w:t>
      </w:r>
      <w:r w:rsidR="004D2A92">
        <w:rPr>
          <w:sz w:val="22"/>
          <w:szCs w:val="22"/>
        </w:rPr>
        <w:t>ão de vale</w:t>
      </w:r>
      <w:r>
        <w:rPr>
          <w:sz w:val="22"/>
          <w:szCs w:val="22"/>
        </w:rPr>
        <w:t xml:space="preserve"> </w:t>
      </w:r>
      <w:r w:rsidR="00C657E4">
        <w:rPr>
          <w:sz w:val="22"/>
          <w:szCs w:val="22"/>
        </w:rPr>
        <w:t>no estado estacionário à</w:t>
      </w:r>
      <w:r>
        <w:rPr>
          <w:sz w:val="22"/>
          <w:szCs w:val="22"/>
        </w:rPr>
        <w:t xml:space="preserve"> Semana 68 foi 8,0 </w:t>
      </w:r>
      <w:r>
        <w:t xml:space="preserve">± 4,6 </w:t>
      </w:r>
      <w:r w:rsidRPr="008912CF">
        <w:rPr>
          <w:rFonts w:ascii="Symbol" w:hAnsi="Symbol"/>
          <w:sz w:val="22"/>
          <w:szCs w:val="22"/>
        </w:rPr>
        <w:sym w:font="Symbol" w:char="F06D"/>
      </w:r>
      <w:r w:rsidRPr="008912CF">
        <w:rPr>
          <w:sz w:val="22"/>
          <w:szCs w:val="22"/>
        </w:rPr>
        <w:t>g/ml</w:t>
      </w:r>
      <w:r>
        <w:rPr>
          <w:sz w:val="22"/>
          <w:szCs w:val="22"/>
        </w:rPr>
        <w:t>.</w:t>
      </w:r>
    </w:p>
    <w:p w14:paraId="7A2308EC" w14:textId="77777777" w:rsidR="00AD0C73" w:rsidRPr="008912CF" w:rsidRDefault="00AD0C73" w:rsidP="004462A0">
      <w:pPr>
        <w:rPr>
          <w:sz w:val="22"/>
          <w:szCs w:val="22"/>
        </w:rPr>
      </w:pPr>
    </w:p>
    <w:p w14:paraId="2D1A46C3" w14:textId="77777777" w:rsidR="004462A0" w:rsidRPr="008912CF" w:rsidRDefault="00615769" w:rsidP="004462A0">
      <w:pPr>
        <w:rPr>
          <w:sz w:val="22"/>
          <w:szCs w:val="22"/>
        </w:rPr>
      </w:pPr>
      <w:r w:rsidRPr="008912CF">
        <w:rPr>
          <w:sz w:val="22"/>
          <w:szCs w:val="22"/>
        </w:rPr>
        <w:t>Em doentes adultos com psoríase em tratamento com adalimumab 40 mg em semanas alternadas, em monoterapia, a</w:t>
      </w:r>
      <w:r w:rsidR="004D2A92">
        <w:rPr>
          <w:sz w:val="22"/>
          <w:szCs w:val="22"/>
        </w:rPr>
        <w:t xml:space="preserve"> média da</w:t>
      </w:r>
      <w:r w:rsidRPr="008912CF">
        <w:rPr>
          <w:sz w:val="22"/>
          <w:szCs w:val="22"/>
        </w:rPr>
        <w:t xml:space="preserve"> concentração </w:t>
      </w:r>
      <w:r w:rsidR="004D2A92">
        <w:rPr>
          <w:sz w:val="22"/>
          <w:szCs w:val="22"/>
        </w:rPr>
        <w:t>de vale</w:t>
      </w:r>
      <w:r w:rsidRPr="008912CF">
        <w:rPr>
          <w:sz w:val="22"/>
          <w:szCs w:val="22"/>
        </w:rPr>
        <w:t xml:space="preserve"> em estado de equilíbrio foi de 5 </w:t>
      </w:r>
      <w:r w:rsidRPr="008912CF">
        <w:rPr>
          <w:rFonts w:ascii="Symbol" w:hAnsi="Symbol"/>
          <w:sz w:val="22"/>
          <w:szCs w:val="22"/>
        </w:rPr>
        <w:sym w:font="Symbol" w:char="F06D"/>
      </w:r>
      <w:r w:rsidRPr="008912CF">
        <w:rPr>
          <w:sz w:val="22"/>
          <w:szCs w:val="22"/>
        </w:rPr>
        <w:t xml:space="preserve">g/ml. </w:t>
      </w:r>
    </w:p>
    <w:p w14:paraId="64197896" w14:textId="77777777" w:rsidR="004462A0" w:rsidRPr="008912CF" w:rsidRDefault="004462A0" w:rsidP="004462A0">
      <w:pPr>
        <w:rPr>
          <w:sz w:val="22"/>
          <w:szCs w:val="22"/>
        </w:rPr>
      </w:pPr>
    </w:p>
    <w:p w14:paraId="4033F2DA" w14:textId="77777777" w:rsidR="004462A0" w:rsidRPr="008912CF" w:rsidRDefault="00615769" w:rsidP="004462A0">
      <w:pPr>
        <w:rPr>
          <w:sz w:val="22"/>
          <w:szCs w:val="22"/>
        </w:rPr>
      </w:pPr>
      <w:r w:rsidRPr="008912CF">
        <w:rPr>
          <w:sz w:val="22"/>
          <w:szCs w:val="22"/>
        </w:rPr>
        <w:t>Após a administração de 0,8 mg/kg (máximo de 40 mg) por via subcutânea, em semanas alternadas, em doentes pediátricos com psoríase crónica em placas, a média ±</w:t>
      </w:r>
      <w:r w:rsidR="0029007D">
        <w:rPr>
          <w:sz w:val="22"/>
          <w:szCs w:val="22"/>
        </w:rPr>
        <w:t xml:space="preserve"> </w:t>
      </w:r>
      <w:r w:rsidRPr="008912CF">
        <w:rPr>
          <w:sz w:val="22"/>
          <w:szCs w:val="22"/>
        </w:rPr>
        <w:t>DP da concentraç</w:t>
      </w:r>
      <w:r w:rsidR="004D2A92">
        <w:rPr>
          <w:sz w:val="22"/>
          <w:szCs w:val="22"/>
        </w:rPr>
        <w:t>ão de vale</w:t>
      </w:r>
      <w:r w:rsidRPr="008912CF">
        <w:rPr>
          <w:sz w:val="22"/>
          <w:szCs w:val="22"/>
        </w:rPr>
        <w:t xml:space="preserve"> de adalimumab foi aproximadamente 7,4 ± 5,8 </w:t>
      </w:r>
      <w:r w:rsidRPr="008912CF">
        <w:rPr>
          <w:rFonts w:ascii="Symbol" w:hAnsi="Symbol"/>
          <w:sz w:val="22"/>
          <w:szCs w:val="22"/>
        </w:rPr>
        <w:sym w:font="Symbol" w:char="F06D"/>
      </w:r>
      <w:r w:rsidRPr="008912CF">
        <w:rPr>
          <w:sz w:val="22"/>
          <w:szCs w:val="22"/>
        </w:rPr>
        <w:t>g/ml (79% CV).</w:t>
      </w:r>
    </w:p>
    <w:p w14:paraId="23F85F4D" w14:textId="77777777" w:rsidR="004462A0" w:rsidRPr="008912CF" w:rsidRDefault="004462A0" w:rsidP="004462A0">
      <w:pPr>
        <w:rPr>
          <w:sz w:val="22"/>
          <w:szCs w:val="22"/>
        </w:rPr>
      </w:pPr>
    </w:p>
    <w:p w14:paraId="0A6CD91A" w14:textId="77777777" w:rsidR="004462A0" w:rsidRPr="008912CF" w:rsidRDefault="00615769" w:rsidP="004462A0">
      <w:pPr>
        <w:rPr>
          <w:sz w:val="22"/>
          <w:szCs w:val="22"/>
        </w:rPr>
      </w:pPr>
      <w:r w:rsidRPr="008912CF">
        <w:rPr>
          <w:sz w:val="22"/>
          <w:szCs w:val="22"/>
        </w:rPr>
        <w:t xml:space="preserve">Em doentes </w:t>
      </w:r>
      <w:r>
        <w:rPr>
          <w:sz w:val="22"/>
          <w:szCs w:val="22"/>
        </w:rPr>
        <w:t xml:space="preserve">adultos </w:t>
      </w:r>
      <w:r w:rsidRPr="008912CF">
        <w:rPr>
          <w:sz w:val="22"/>
          <w:szCs w:val="22"/>
        </w:rPr>
        <w:t>com hidradenite supurativa, uma dose de 160 mg de Humira na Semana 0 seguida de 80 mg de Humira na Semana 2 alcança</w:t>
      </w:r>
      <w:r w:rsidR="004D2A92">
        <w:rPr>
          <w:sz w:val="22"/>
          <w:szCs w:val="22"/>
        </w:rPr>
        <w:t>ou</w:t>
      </w:r>
      <w:r w:rsidRPr="008912CF">
        <w:rPr>
          <w:sz w:val="22"/>
          <w:szCs w:val="22"/>
        </w:rPr>
        <w:t xml:space="preserve"> uma concentração sérica </w:t>
      </w:r>
      <w:r w:rsidR="004D2A92">
        <w:rPr>
          <w:sz w:val="22"/>
          <w:szCs w:val="22"/>
        </w:rPr>
        <w:t xml:space="preserve">de vale </w:t>
      </w:r>
      <w:r w:rsidRPr="008912CF">
        <w:rPr>
          <w:sz w:val="22"/>
          <w:szCs w:val="22"/>
        </w:rPr>
        <w:t>de adalimumab de aproximadamente 7 a 8 μg/m</w:t>
      </w:r>
      <w:r>
        <w:rPr>
          <w:sz w:val="22"/>
          <w:szCs w:val="22"/>
        </w:rPr>
        <w:t>l</w:t>
      </w:r>
      <w:r w:rsidRPr="008912CF">
        <w:rPr>
          <w:sz w:val="22"/>
          <w:szCs w:val="22"/>
        </w:rPr>
        <w:t xml:space="preserve"> na Semana 2 e Semana 4. A média das concentrações séricas de </w:t>
      </w:r>
      <w:r w:rsidR="004D2A92">
        <w:rPr>
          <w:sz w:val="22"/>
          <w:szCs w:val="22"/>
        </w:rPr>
        <w:t xml:space="preserve">vale de </w:t>
      </w:r>
      <w:r w:rsidRPr="008912CF">
        <w:rPr>
          <w:sz w:val="22"/>
          <w:szCs w:val="22"/>
        </w:rPr>
        <w:t>adalimumab da Semana 12 à Semana 36 foi aproximadamente 8 a 10 μg/m</w:t>
      </w:r>
      <w:r>
        <w:rPr>
          <w:sz w:val="22"/>
          <w:szCs w:val="22"/>
        </w:rPr>
        <w:t>l</w:t>
      </w:r>
      <w:r w:rsidRPr="008912CF">
        <w:rPr>
          <w:sz w:val="22"/>
          <w:szCs w:val="22"/>
        </w:rPr>
        <w:t xml:space="preserve"> durante o tratamento de adalimumab 40</w:t>
      </w:r>
      <w:r>
        <w:rPr>
          <w:sz w:val="22"/>
          <w:szCs w:val="22"/>
        </w:rPr>
        <w:t> </w:t>
      </w:r>
      <w:r w:rsidRPr="008912CF">
        <w:rPr>
          <w:sz w:val="22"/>
          <w:szCs w:val="22"/>
        </w:rPr>
        <w:t>mg todas as semanas.</w:t>
      </w:r>
    </w:p>
    <w:p w14:paraId="0CD182E8" w14:textId="77777777" w:rsidR="004462A0" w:rsidRDefault="004462A0" w:rsidP="004462A0">
      <w:pPr>
        <w:rPr>
          <w:sz w:val="22"/>
          <w:szCs w:val="22"/>
        </w:rPr>
      </w:pPr>
    </w:p>
    <w:p w14:paraId="5C97A432" w14:textId="77777777" w:rsidR="004462A0" w:rsidRDefault="00615769" w:rsidP="004462A0">
      <w:pPr>
        <w:rPr>
          <w:sz w:val="22"/>
          <w:szCs w:val="22"/>
        </w:rPr>
      </w:pPr>
      <w:r w:rsidRPr="00740D97">
        <w:rPr>
          <w:sz w:val="22"/>
          <w:szCs w:val="22"/>
        </w:rPr>
        <w:t xml:space="preserve">A exposição de adalimumab em doentes adolescentes com HS foi avaliada utilizando modelos farmacocinéticos e </w:t>
      </w:r>
      <w:r>
        <w:rPr>
          <w:sz w:val="22"/>
          <w:szCs w:val="22"/>
        </w:rPr>
        <w:t xml:space="preserve">de </w:t>
      </w:r>
      <w:r w:rsidRPr="00740D97">
        <w:rPr>
          <w:sz w:val="22"/>
          <w:szCs w:val="22"/>
        </w:rPr>
        <w:t>simulação na população, baseados na farmacocinética nas várias indicações em outros doentes pediátricos (psoríase pediátrica, artrite idiopática juvenil, doença de Crohn pediátrica e artrite relacionada com entesite). A dose recomendada em adolescentes com hidradenite supurativa é de 40</w:t>
      </w:r>
      <w:r>
        <w:rPr>
          <w:sz w:val="22"/>
          <w:szCs w:val="22"/>
        </w:rPr>
        <w:t> </w:t>
      </w:r>
      <w:r w:rsidRPr="00740D97">
        <w:rPr>
          <w:sz w:val="22"/>
          <w:szCs w:val="22"/>
        </w:rPr>
        <w:t>mg em semanas alternadas. Uma vez que a exposição a adalimum</w:t>
      </w:r>
      <w:r w:rsidR="00771456">
        <w:rPr>
          <w:sz w:val="22"/>
          <w:szCs w:val="22"/>
        </w:rPr>
        <w:t>a</w:t>
      </w:r>
      <w:r w:rsidRPr="00740D97">
        <w:rPr>
          <w:sz w:val="22"/>
          <w:szCs w:val="22"/>
        </w:rPr>
        <w:t>b pode ser afetada pelo peso corporal, adolescentes com grande peso corporal e inadequada resposta</w:t>
      </w:r>
      <w:r>
        <w:rPr>
          <w:sz w:val="22"/>
          <w:szCs w:val="22"/>
        </w:rPr>
        <w:t>,</w:t>
      </w:r>
      <w:r w:rsidRPr="00740D97">
        <w:rPr>
          <w:sz w:val="22"/>
          <w:szCs w:val="22"/>
        </w:rPr>
        <w:t xml:space="preserve"> podem beneficiar da dose recomendada para os adultos de 40</w:t>
      </w:r>
      <w:r>
        <w:rPr>
          <w:sz w:val="22"/>
          <w:szCs w:val="22"/>
        </w:rPr>
        <w:t> </w:t>
      </w:r>
      <w:r w:rsidRPr="00740D97">
        <w:rPr>
          <w:sz w:val="22"/>
          <w:szCs w:val="22"/>
        </w:rPr>
        <w:t>m</w:t>
      </w:r>
      <w:r w:rsidRPr="00740D97">
        <w:rPr>
          <w:sz w:val="22"/>
          <w:szCs w:val="22"/>
        </w:rPr>
        <w:t>g todas as semanas</w:t>
      </w:r>
      <w:r>
        <w:rPr>
          <w:sz w:val="22"/>
          <w:szCs w:val="22"/>
        </w:rPr>
        <w:t>.</w:t>
      </w:r>
    </w:p>
    <w:p w14:paraId="4082E88F" w14:textId="77777777" w:rsidR="004462A0" w:rsidRPr="008912CF" w:rsidRDefault="004462A0" w:rsidP="004462A0">
      <w:pPr>
        <w:rPr>
          <w:sz w:val="22"/>
          <w:szCs w:val="22"/>
        </w:rPr>
      </w:pPr>
    </w:p>
    <w:p w14:paraId="792079FB" w14:textId="77777777" w:rsidR="004462A0" w:rsidRPr="008912CF" w:rsidRDefault="00615769" w:rsidP="004462A0">
      <w:pPr>
        <w:rPr>
          <w:sz w:val="22"/>
          <w:szCs w:val="22"/>
        </w:rPr>
      </w:pPr>
      <w:r w:rsidRPr="008912CF">
        <w:rPr>
          <w:sz w:val="22"/>
          <w:szCs w:val="22"/>
        </w:rPr>
        <w:t xml:space="preserve">Em doentes com doença de Crohn, a dose de carga de 80 mg de Humira na Semana 0 seguida de 40 mg de Humira na Semana 2 atinge uma concentração sérica </w:t>
      </w:r>
      <w:r w:rsidR="001729C1">
        <w:rPr>
          <w:sz w:val="22"/>
          <w:szCs w:val="22"/>
        </w:rPr>
        <w:t xml:space="preserve">de vale </w:t>
      </w:r>
      <w:r w:rsidRPr="008912CF">
        <w:rPr>
          <w:sz w:val="22"/>
          <w:szCs w:val="22"/>
        </w:rPr>
        <w:t>de adalimumab de aproximadamente 5,5 </w:t>
      </w:r>
      <w:r w:rsidRPr="008912CF">
        <w:rPr>
          <w:rFonts w:ascii="Symbol" w:hAnsi="Symbol"/>
          <w:sz w:val="22"/>
          <w:szCs w:val="22"/>
        </w:rPr>
        <w:sym w:font="Symbol" w:char="F06D"/>
      </w:r>
      <w:r w:rsidRPr="008912CF">
        <w:rPr>
          <w:sz w:val="22"/>
          <w:szCs w:val="22"/>
        </w:rPr>
        <w:t xml:space="preserve">g/ml durante o período de indução. Uma dose de carga de 160 mg de Humira na Semana 0 seguida de 80 mg de Humira na Semana 2 alcança uma concentração sérica de </w:t>
      </w:r>
      <w:r w:rsidR="001729C1">
        <w:rPr>
          <w:sz w:val="22"/>
          <w:szCs w:val="22"/>
        </w:rPr>
        <w:t xml:space="preserve">vale de </w:t>
      </w:r>
      <w:r w:rsidRPr="008912CF">
        <w:rPr>
          <w:sz w:val="22"/>
          <w:szCs w:val="22"/>
        </w:rPr>
        <w:t>adalimumab de aproximadamente 12 </w:t>
      </w:r>
      <w:r w:rsidRPr="008912CF">
        <w:rPr>
          <w:rFonts w:ascii="Symbol" w:hAnsi="Symbol"/>
          <w:sz w:val="22"/>
          <w:szCs w:val="22"/>
        </w:rPr>
        <w:sym w:font="Symbol" w:char="F06D"/>
      </w:r>
      <w:r w:rsidRPr="008912CF">
        <w:rPr>
          <w:sz w:val="22"/>
          <w:szCs w:val="22"/>
        </w:rPr>
        <w:t>g/ml durante o período de indução. Observaram-se níveis médios</w:t>
      </w:r>
      <w:r w:rsidR="001729C1">
        <w:rPr>
          <w:sz w:val="22"/>
          <w:szCs w:val="22"/>
        </w:rPr>
        <w:t xml:space="preserve"> de vale</w:t>
      </w:r>
      <w:r w:rsidRPr="008912CF">
        <w:rPr>
          <w:sz w:val="22"/>
          <w:szCs w:val="22"/>
        </w:rPr>
        <w:t xml:space="preserve"> em estado de equilíbrio de aproximadamente 7 </w:t>
      </w:r>
      <w:r w:rsidRPr="008912CF">
        <w:rPr>
          <w:rFonts w:ascii="Symbol" w:hAnsi="Symbol"/>
          <w:sz w:val="22"/>
          <w:szCs w:val="22"/>
        </w:rPr>
        <w:sym w:font="Symbol" w:char="F06D"/>
      </w:r>
      <w:r w:rsidRPr="008912CF">
        <w:rPr>
          <w:sz w:val="22"/>
          <w:szCs w:val="22"/>
        </w:rPr>
        <w:t>g/ml em doentes com doença de Crohn que receberam uma dose de manutenção de 40 mg de Humira em semanas alternadas.</w:t>
      </w:r>
    </w:p>
    <w:p w14:paraId="6DF48FB0" w14:textId="77777777" w:rsidR="004462A0" w:rsidRPr="008912CF" w:rsidRDefault="004462A0" w:rsidP="004462A0">
      <w:pPr>
        <w:jc w:val="both"/>
        <w:rPr>
          <w:sz w:val="22"/>
          <w:szCs w:val="22"/>
        </w:rPr>
      </w:pPr>
    </w:p>
    <w:p w14:paraId="5A39365E" w14:textId="77777777" w:rsidR="004462A0" w:rsidRPr="008912CF" w:rsidRDefault="00615769" w:rsidP="004462A0">
      <w:pPr>
        <w:autoSpaceDE w:val="0"/>
        <w:autoSpaceDN w:val="0"/>
        <w:adjustRightInd w:val="0"/>
        <w:rPr>
          <w:sz w:val="22"/>
          <w:szCs w:val="22"/>
        </w:rPr>
      </w:pPr>
      <w:r w:rsidRPr="008912CF">
        <w:rPr>
          <w:sz w:val="22"/>
          <w:szCs w:val="22"/>
        </w:rPr>
        <w:t>Em doentes pediátricos com DC moderada a grave, a dose de indução de adalimumab em fase aberta foi 160/80</w:t>
      </w:r>
      <w:r>
        <w:rPr>
          <w:sz w:val="22"/>
          <w:szCs w:val="22"/>
        </w:rPr>
        <w:t> </w:t>
      </w:r>
      <w:r w:rsidRPr="008912CF">
        <w:rPr>
          <w:sz w:val="22"/>
          <w:szCs w:val="22"/>
        </w:rPr>
        <w:t>mg ou 80/40</w:t>
      </w:r>
      <w:r>
        <w:rPr>
          <w:sz w:val="22"/>
          <w:szCs w:val="22"/>
        </w:rPr>
        <w:t> </w:t>
      </w:r>
      <w:r w:rsidRPr="008912CF">
        <w:rPr>
          <w:sz w:val="22"/>
          <w:szCs w:val="22"/>
        </w:rPr>
        <w:t>mg nas Semanas 0 e 2, respetivamente, dependendo do limiar de peso corporal de 40</w:t>
      </w:r>
      <w:r>
        <w:rPr>
          <w:sz w:val="22"/>
          <w:szCs w:val="22"/>
        </w:rPr>
        <w:t> </w:t>
      </w:r>
      <w:r w:rsidRPr="008912CF">
        <w:rPr>
          <w:sz w:val="22"/>
          <w:szCs w:val="22"/>
        </w:rPr>
        <w:t xml:space="preserve">kg. Na Semana 4, os doentes foram </w:t>
      </w:r>
      <w:r w:rsidR="0013275C">
        <w:rPr>
          <w:sz w:val="22"/>
          <w:szCs w:val="22"/>
        </w:rPr>
        <w:t>aleatorizado</w:t>
      </w:r>
      <w:r w:rsidRPr="008912CF">
        <w:rPr>
          <w:sz w:val="22"/>
          <w:szCs w:val="22"/>
        </w:rPr>
        <w:t>s 1:1 para Dose Padrão (40/20</w:t>
      </w:r>
      <w:r>
        <w:rPr>
          <w:sz w:val="22"/>
          <w:szCs w:val="22"/>
        </w:rPr>
        <w:t> </w:t>
      </w:r>
      <w:r w:rsidRPr="008912CF">
        <w:rPr>
          <w:sz w:val="22"/>
          <w:szCs w:val="22"/>
        </w:rPr>
        <w:t>mg em semanas alternadas) ou Baixa Dose (20/10</w:t>
      </w:r>
      <w:r>
        <w:rPr>
          <w:sz w:val="22"/>
          <w:szCs w:val="22"/>
        </w:rPr>
        <w:t> </w:t>
      </w:r>
      <w:r w:rsidRPr="008912CF">
        <w:rPr>
          <w:sz w:val="22"/>
          <w:szCs w:val="22"/>
        </w:rPr>
        <w:t>mg em semanas alternadas) em grupos de tratamento de manutenção com base no peso corporal. A média (</w:t>
      </w:r>
      <w:r w:rsidRPr="008912CF">
        <w:rPr>
          <w:rFonts w:eastAsia="Arial Unicode MS"/>
          <w:sz w:val="22"/>
          <w:szCs w:val="22"/>
        </w:rPr>
        <w:t>±</w:t>
      </w:r>
      <w:r w:rsidR="0029007D">
        <w:rPr>
          <w:rFonts w:eastAsia="Arial Unicode MS"/>
          <w:sz w:val="22"/>
          <w:szCs w:val="22"/>
        </w:rPr>
        <w:t xml:space="preserve"> </w:t>
      </w:r>
      <w:r w:rsidRPr="008912CF">
        <w:rPr>
          <w:rFonts w:eastAsia="Arial Unicode MS"/>
          <w:sz w:val="22"/>
          <w:szCs w:val="22"/>
        </w:rPr>
        <w:t>DP) da concentração sérica</w:t>
      </w:r>
      <w:r w:rsidR="001729C1">
        <w:rPr>
          <w:rFonts w:eastAsia="Arial Unicode MS"/>
          <w:sz w:val="22"/>
          <w:szCs w:val="22"/>
        </w:rPr>
        <w:t xml:space="preserve"> de vale</w:t>
      </w:r>
      <w:r w:rsidRPr="008912CF">
        <w:rPr>
          <w:rFonts w:eastAsia="Arial Unicode MS"/>
          <w:sz w:val="22"/>
          <w:szCs w:val="22"/>
        </w:rPr>
        <w:t xml:space="preserve"> de adalimumab atingida na Semana 4 foi </w:t>
      </w:r>
      <w:r w:rsidRPr="008912CF">
        <w:rPr>
          <w:sz w:val="22"/>
          <w:szCs w:val="22"/>
          <w:lang w:eastAsia="en-GB"/>
        </w:rPr>
        <w:t>15,7</w:t>
      </w:r>
      <w:r w:rsidR="0029007D">
        <w:rPr>
          <w:sz w:val="22"/>
          <w:szCs w:val="22"/>
          <w:lang w:eastAsia="en-GB"/>
        </w:rPr>
        <w:t xml:space="preserve"> </w:t>
      </w:r>
      <w:r w:rsidRPr="008912CF">
        <w:rPr>
          <w:rFonts w:eastAsia="Arial Unicode MS"/>
          <w:sz w:val="22"/>
          <w:szCs w:val="22"/>
        </w:rPr>
        <w:t>±</w:t>
      </w:r>
      <w:r w:rsidR="0029007D">
        <w:rPr>
          <w:rFonts w:eastAsia="Arial Unicode MS"/>
          <w:sz w:val="22"/>
          <w:szCs w:val="22"/>
        </w:rPr>
        <w:t xml:space="preserve"> </w:t>
      </w:r>
      <w:r w:rsidRPr="008912CF">
        <w:rPr>
          <w:rFonts w:eastAsia="Arial Unicode MS"/>
          <w:sz w:val="22"/>
          <w:szCs w:val="22"/>
        </w:rPr>
        <w:t>6,6</w:t>
      </w:r>
      <w:r>
        <w:rPr>
          <w:rFonts w:eastAsia="Arial Unicode MS"/>
          <w:sz w:val="22"/>
          <w:szCs w:val="22"/>
        </w:rPr>
        <w:t> </w:t>
      </w:r>
      <w:r w:rsidRPr="008912CF">
        <w:rPr>
          <w:rFonts w:ascii="Symbol" w:hAnsi="Symbol"/>
          <w:sz w:val="22"/>
          <w:szCs w:val="22"/>
        </w:rPr>
        <w:sym w:font="Symbol" w:char="F06D"/>
      </w:r>
      <w:r w:rsidRPr="008912CF">
        <w:rPr>
          <w:sz w:val="22"/>
          <w:szCs w:val="22"/>
        </w:rPr>
        <w:t xml:space="preserve">g/ml para doentes </w:t>
      </w:r>
      <w:r w:rsidRPr="008912CF">
        <w:rPr>
          <w:rFonts w:ascii="Symbol" w:hAnsi="Symbol"/>
          <w:sz w:val="22"/>
          <w:szCs w:val="22"/>
        </w:rPr>
        <w:sym w:font="Symbol" w:char="F0B3"/>
      </w:r>
      <w:r w:rsidRPr="008912CF">
        <w:rPr>
          <w:sz w:val="22"/>
          <w:szCs w:val="22"/>
        </w:rPr>
        <w:t> 40 kg (160/80</w:t>
      </w:r>
      <w:r>
        <w:rPr>
          <w:sz w:val="22"/>
          <w:szCs w:val="22"/>
        </w:rPr>
        <w:t> </w:t>
      </w:r>
      <w:r w:rsidRPr="008912CF">
        <w:rPr>
          <w:sz w:val="22"/>
          <w:szCs w:val="22"/>
        </w:rPr>
        <w:t xml:space="preserve">mg) e </w:t>
      </w:r>
      <w:r w:rsidRPr="008912CF">
        <w:rPr>
          <w:sz w:val="22"/>
          <w:szCs w:val="22"/>
          <w:lang w:eastAsia="en-GB"/>
        </w:rPr>
        <w:t>10,6</w:t>
      </w:r>
      <w:r w:rsidR="0029007D">
        <w:rPr>
          <w:sz w:val="22"/>
          <w:szCs w:val="22"/>
          <w:lang w:eastAsia="en-GB"/>
        </w:rPr>
        <w:t xml:space="preserve"> </w:t>
      </w:r>
      <w:r w:rsidRPr="008912CF">
        <w:rPr>
          <w:rFonts w:eastAsia="Arial Unicode MS"/>
          <w:sz w:val="22"/>
          <w:szCs w:val="22"/>
        </w:rPr>
        <w:t>±</w:t>
      </w:r>
      <w:r w:rsidR="0029007D">
        <w:rPr>
          <w:rFonts w:eastAsia="Arial Unicode MS"/>
          <w:sz w:val="22"/>
          <w:szCs w:val="22"/>
        </w:rPr>
        <w:t xml:space="preserve"> </w:t>
      </w:r>
      <w:r w:rsidRPr="008912CF">
        <w:rPr>
          <w:rFonts w:eastAsia="Arial Unicode MS"/>
          <w:sz w:val="22"/>
          <w:szCs w:val="22"/>
        </w:rPr>
        <w:t>6</w:t>
      </w:r>
      <w:r w:rsidR="009343EF">
        <w:rPr>
          <w:rFonts w:eastAsia="Arial Unicode MS"/>
          <w:sz w:val="22"/>
          <w:szCs w:val="22"/>
        </w:rPr>
        <w:t>,</w:t>
      </w:r>
      <w:r w:rsidRPr="008912CF">
        <w:rPr>
          <w:rFonts w:eastAsia="Arial Unicode MS"/>
          <w:sz w:val="22"/>
          <w:szCs w:val="22"/>
        </w:rPr>
        <w:t>1</w:t>
      </w:r>
      <w:r>
        <w:rPr>
          <w:rFonts w:eastAsia="Arial Unicode MS"/>
          <w:sz w:val="22"/>
          <w:szCs w:val="22"/>
        </w:rPr>
        <w:t> </w:t>
      </w:r>
      <w:r w:rsidRPr="008912CF">
        <w:rPr>
          <w:rFonts w:ascii="Symbol" w:hAnsi="Symbol"/>
          <w:sz w:val="22"/>
          <w:szCs w:val="22"/>
        </w:rPr>
        <w:sym w:font="Symbol" w:char="F06D"/>
      </w:r>
      <w:r w:rsidRPr="008912CF">
        <w:rPr>
          <w:sz w:val="22"/>
          <w:szCs w:val="22"/>
        </w:rPr>
        <w:t>g/ml para doentes &lt; 40 kg (80/40</w:t>
      </w:r>
      <w:r>
        <w:rPr>
          <w:sz w:val="22"/>
          <w:szCs w:val="22"/>
        </w:rPr>
        <w:t> </w:t>
      </w:r>
      <w:r w:rsidRPr="008912CF">
        <w:rPr>
          <w:sz w:val="22"/>
          <w:szCs w:val="22"/>
        </w:rPr>
        <w:t>mg).</w:t>
      </w:r>
    </w:p>
    <w:p w14:paraId="5FE78F7C" w14:textId="77777777" w:rsidR="004462A0" w:rsidRPr="008912CF" w:rsidRDefault="004462A0" w:rsidP="004462A0">
      <w:pPr>
        <w:autoSpaceDE w:val="0"/>
        <w:autoSpaceDN w:val="0"/>
        <w:adjustRightInd w:val="0"/>
        <w:rPr>
          <w:sz w:val="22"/>
          <w:szCs w:val="22"/>
        </w:rPr>
      </w:pPr>
    </w:p>
    <w:p w14:paraId="517871FF" w14:textId="77777777" w:rsidR="004462A0" w:rsidRPr="008912CF" w:rsidRDefault="00615769" w:rsidP="004462A0">
      <w:pPr>
        <w:autoSpaceDE w:val="0"/>
        <w:autoSpaceDN w:val="0"/>
        <w:adjustRightInd w:val="0"/>
        <w:rPr>
          <w:sz w:val="22"/>
          <w:szCs w:val="22"/>
        </w:rPr>
      </w:pPr>
      <w:r w:rsidRPr="008912CF">
        <w:rPr>
          <w:sz w:val="22"/>
          <w:szCs w:val="22"/>
        </w:rPr>
        <w:t>Nos doentes que mantiveram a terapêutica randomizada, a média (±</w:t>
      </w:r>
      <w:r w:rsidR="0029007D">
        <w:rPr>
          <w:sz w:val="22"/>
          <w:szCs w:val="22"/>
        </w:rPr>
        <w:t xml:space="preserve"> </w:t>
      </w:r>
      <w:r w:rsidRPr="008912CF">
        <w:rPr>
          <w:sz w:val="22"/>
          <w:szCs w:val="22"/>
        </w:rPr>
        <w:t xml:space="preserve">DP) das concentrações séricas de </w:t>
      </w:r>
      <w:r w:rsidR="001729C1">
        <w:rPr>
          <w:sz w:val="22"/>
          <w:szCs w:val="22"/>
        </w:rPr>
        <w:t xml:space="preserve">vale de </w:t>
      </w:r>
      <w:r w:rsidRPr="008912CF">
        <w:rPr>
          <w:sz w:val="22"/>
          <w:szCs w:val="22"/>
        </w:rPr>
        <w:t xml:space="preserve">adalimumab na Semana 52 </w:t>
      </w:r>
      <w:r w:rsidR="001729C1">
        <w:rPr>
          <w:sz w:val="22"/>
          <w:szCs w:val="22"/>
        </w:rPr>
        <w:t>foi</w:t>
      </w:r>
      <w:r w:rsidR="001729C1" w:rsidRPr="008912CF">
        <w:rPr>
          <w:sz w:val="22"/>
          <w:szCs w:val="22"/>
        </w:rPr>
        <w:t xml:space="preserve"> </w:t>
      </w:r>
      <w:r w:rsidRPr="008912CF">
        <w:rPr>
          <w:sz w:val="22"/>
          <w:szCs w:val="22"/>
        </w:rPr>
        <w:t>de 9,5</w:t>
      </w:r>
      <w:r w:rsidR="0029007D">
        <w:rPr>
          <w:sz w:val="22"/>
          <w:szCs w:val="22"/>
        </w:rPr>
        <w:t xml:space="preserve"> </w:t>
      </w:r>
      <w:r w:rsidRPr="008912CF">
        <w:rPr>
          <w:sz w:val="22"/>
          <w:szCs w:val="22"/>
        </w:rPr>
        <w:t>±</w:t>
      </w:r>
      <w:r w:rsidR="0029007D">
        <w:rPr>
          <w:sz w:val="22"/>
          <w:szCs w:val="22"/>
        </w:rPr>
        <w:t xml:space="preserve"> </w:t>
      </w:r>
      <w:r w:rsidRPr="008912CF">
        <w:rPr>
          <w:sz w:val="22"/>
          <w:szCs w:val="22"/>
        </w:rPr>
        <w:t>5,6 </w:t>
      </w:r>
      <w:r w:rsidRPr="008912CF">
        <w:rPr>
          <w:rFonts w:ascii="Symbol" w:hAnsi="Symbol"/>
          <w:sz w:val="22"/>
          <w:szCs w:val="22"/>
        </w:rPr>
        <w:sym w:font="Symbol" w:char="F06D"/>
      </w:r>
      <w:r w:rsidRPr="008912CF">
        <w:rPr>
          <w:sz w:val="22"/>
          <w:szCs w:val="22"/>
        </w:rPr>
        <w:t>g/ml para o grupo Dose Padrão e 3,5</w:t>
      </w:r>
      <w:r w:rsidR="0029007D">
        <w:rPr>
          <w:sz w:val="22"/>
          <w:szCs w:val="22"/>
        </w:rPr>
        <w:t xml:space="preserve"> </w:t>
      </w:r>
      <w:r w:rsidRPr="008912CF">
        <w:rPr>
          <w:sz w:val="22"/>
          <w:szCs w:val="22"/>
        </w:rPr>
        <w:t>±</w:t>
      </w:r>
      <w:r w:rsidR="0029007D">
        <w:rPr>
          <w:sz w:val="22"/>
          <w:szCs w:val="22"/>
        </w:rPr>
        <w:t xml:space="preserve"> </w:t>
      </w:r>
      <w:r w:rsidRPr="008912CF">
        <w:rPr>
          <w:sz w:val="22"/>
          <w:szCs w:val="22"/>
        </w:rPr>
        <w:t>2,2 </w:t>
      </w:r>
      <w:r w:rsidRPr="008912CF">
        <w:rPr>
          <w:rFonts w:ascii="Symbol" w:hAnsi="Symbol"/>
          <w:sz w:val="22"/>
          <w:szCs w:val="22"/>
        </w:rPr>
        <w:sym w:font="Symbol" w:char="F06D"/>
      </w:r>
      <w:r w:rsidRPr="008912CF">
        <w:rPr>
          <w:sz w:val="22"/>
          <w:szCs w:val="22"/>
        </w:rPr>
        <w:t xml:space="preserve">g/ml para o grupo de Baixa Dose. As médias das concentrações </w:t>
      </w:r>
      <w:r w:rsidR="001729C1">
        <w:rPr>
          <w:sz w:val="22"/>
          <w:szCs w:val="22"/>
        </w:rPr>
        <w:t>de vale</w:t>
      </w:r>
      <w:r w:rsidR="001729C1" w:rsidRPr="008912CF">
        <w:rPr>
          <w:sz w:val="22"/>
          <w:szCs w:val="22"/>
        </w:rPr>
        <w:t xml:space="preserve"> </w:t>
      </w:r>
      <w:r w:rsidRPr="008912CF">
        <w:rPr>
          <w:sz w:val="22"/>
          <w:szCs w:val="22"/>
        </w:rPr>
        <w:t>foram mantidas em doentes que continuaram a receber o tratamento com adalimumab, em semanas alternadas, durante 52 semanas. Nos doentes em que a dose foi alterada do regime de semanas alternadas para regime semanal, a</w:t>
      </w:r>
      <w:r w:rsidR="001729C1">
        <w:rPr>
          <w:sz w:val="22"/>
          <w:szCs w:val="22"/>
        </w:rPr>
        <w:t>s</w:t>
      </w:r>
      <w:r w:rsidRPr="008912CF">
        <w:rPr>
          <w:sz w:val="22"/>
          <w:szCs w:val="22"/>
        </w:rPr>
        <w:t xml:space="preserve"> média</w:t>
      </w:r>
      <w:r w:rsidR="001729C1">
        <w:rPr>
          <w:sz w:val="22"/>
          <w:szCs w:val="22"/>
        </w:rPr>
        <w:t>s</w:t>
      </w:r>
      <w:r w:rsidRPr="008912CF">
        <w:rPr>
          <w:sz w:val="22"/>
          <w:szCs w:val="22"/>
        </w:rPr>
        <w:t xml:space="preserve"> (±</w:t>
      </w:r>
      <w:r w:rsidR="0029007D">
        <w:rPr>
          <w:sz w:val="22"/>
          <w:szCs w:val="22"/>
        </w:rPr>
        <w:t xml:space="preserve"> </w:t>
      </w:r>
      <w:r w:rsidRPr="008912CF">
        <w:rPr>
          <w:sz w:val="22"/>
          <w:szCs w:val="22"/>
        </w:rPr>
        <w:t>DP) das concentrações séricas de adalimumab na Semana 52 foram 15,3</w:t>
      </w:r>
      <w:r w:rsidR="0029007D">
        <w:rPr>
          <w:sz w:val="22"/>
          <w:szCs w:val="22"/>
        </w:rPr>
        <w:t xml:space="preserve"> </w:t>
      </w:r>
      <w:r w:rsidRPr="008912CF">
        <w:rPr>
          <w:sz w:val="22"/>
          <w:szCs w:val="22"/>
        </w:rPr>
        <w:t>±</w:t>
      </w:r>
      <w:r w:rsidR="0029007D">
        <w:rPr>
          <w:sz w:val="22"/>
          <w:szCs w:val="22"/>
        </w:rPr>
        <w:t xml:space="preserve"> </w:t>
      </w:r>
      <w:r w:rsidRPr="008912CF">
        <w:rPr>
          <w:sz w:val="22"/>
          <w:szCs w:val="22"/>
        </w:rPr>
        <w:t>11,4</w:t>
      </w:r>
      <w:r>
        <w:rPr>
          <w:sz w:val="22"/>
          <w:szCs w:val="22"/>
        </w:rPr>
        <w:t> </w:t>
      </w:r>
      <w:r w:rsidRPr="008912CF">
        <w:rPr>
          <w:sz w:val="22"/>
          <w:szCs w:val="22"/>
        </w:rPr>
        <w:t>μg/ml (40/20</w:t>
      </w:r>
      <w:r>
        <w:rPr>
          <w:sz w:val="22"/>
          <w:szCs w:val="22"/>
        </w:rPr>
        <w:t> </w:t>
      </w:r>
      <w:r w:rsidRPr="008912CF">
        <w:rPr>
          <w:sz w:val="22"/>
          <w:szCs w:val="22"/>
        </w:rPr>
        <w:t>mg, semanalmente) e 6,7</w:t>
      </w:r>
      <w:r w:rsidR="0029007D">
        <w:rPr>
          <w:sz w:val="22"/>
          <w:szCs w:val="22"/>
        </w:rPr>
        <w:t xml:space="preserve"> </w:t>
      </w:r>
      <w:r w:rsidRPr="008912CF">
        <w:rPr>
          <w:sz w:val="22"/>
          <w:szCs w:val="22"/>
        </w:rPr>
        <w:t>±</w:t>
      </w:r>
      <w:r w:rsidR="0029007D">
        <w:rPr>
          <w:sz w:val="22"/>
          <w:szCs w:val="22"/>
        </w:rPr>
        <w:t xml:space="preserve"> </w:t>
      </w:r>
      <w:r w:rsidRPr="008912CF">
        <w:rPr>
          <w:sz w:val="22"/>
          <w:szCs w:val="22"/>
        </w:rPr>
        <w:t>3,5</w:t>
      </w:r>
      <w:r>
        <w:rPr>
          <w:sz w:val="22"/>
          <w:szCs w:val="22"/>
        </w:rPr>
        <w:t> </w:t>
      </w:r>
      <w:r w:rsidRPr="008912CF">
        <w:rPr>
          <w:sz w:val="22"/>
          <w:szCs w:val="22"/>
        </w:rPr>
        <w:t>μg/ml (20/10</w:t>
      </w:r>
      <w:r>
        <w:rPr>
          <w:sz w:val="22"/>
          <w:szCs w:val="22"/>
        </w:rPr>
        <w:t> </w:t>
      </w:r>
      <w:r w:rsidRPr="008912CF">
        <w:rPr>
          <w:sz w:val="22"/>
          <w:szCs w:val="22"/>
        </w:rPr>
        <w:t>mg, semanalmente).</w:t>
      </w:r>
    </w:p>
    <w:p w14:paraId="14BA1756" w14:textId="77777777" w:rsidR="004462A0" w:rsidRPr="008912CF" w:rsidRDefault="004462A0" w:rsidP="004462A0">
      <w:pPr>
        <w:jc w:val="both"/>
        <w:rPr>
          <w:sz w:val="22"/>
          <w:szCs w:val="22"/>
        </w:rPr>
      </w:pPr>
    </w:p>
    <w:p w14:paraId="421DED99" w14:textId="77777777" w:rsidR="004462A0" w:rsidRPr="008912CF" w:rsidRDefault="00615769" w:rsidP="004462A0">
      <w:pPr>
        <w:rPr>
          <w:sz w:val="22"/>
          <w:szCs w:val="22"/>
        </w:rPr>
      </w:pPr>
      <w:r w:rsidRPr="008912CF">
        <w:rPr>
          <w:sz w:val="22"/>
          <w:szCs w:val="22"/>
        </w:rPr>
        <w:t xml:space="preserve">Em doentes com colite ulcerosa, uma dose </w:t>
      </w:r>
      <w:r w:rsidR="001729C1">
        <w:rPr>
          <w:sz w:val="22"/>
          <w:szCs w:val="22"/>
        </w:rPr>
        <w:t xml:space="preserve">de carga </w:t>
      </w:r>
      <w:r w:rsidRPr="008912CF">
        <w:rPr>
          <w:sz w:val="22"/>
          <w:szCs w:val="22"/>
        </w:rPr>
        <w:t xml:space="preserve">de 160 mg de Humira na Semana 0 seguida de 80 mg de Humira na Semana 2 atinge uma concentração sérica de </w:t>
      </w:r>
      <w:r w:rsidR="001729C1">
        <w:rPr>
          <w:sz w:val="22"/>
          <w:szCs w:val="22"/>
        </w:rPr>
        <w:t>vale de</w:t>
      </w:r>
      <w:r w:rsidRPr="008912CF">
        <w:rPr>
          <w:sz w:val="22"/>
          <w:szCs w:val="22"/>
        </w:rPr>
        <w:t xml:space="preserve"> adalimumab de aproximadamente 12 </w:t>
      </w:r>
      <w:r w:rsidRPr="008912CF">
        <w:rPr>
          <w:rFonts w:ascii="Symbol" w:hAnsi="Symbol"/>
          <w:sz w:val="22"/>
          <w:szCs w:val="22"/>
        </w:rPr>
        <w:sym w:font="Symbol" w:char="F06D"/>
      </w:r>
      <w:r w:rsidRPr="008912CF">
        <w:rPr>
          <w:sz w:val="22"/>
          <w:szCs w:val="22"/>
        </w:rPr>
        <w:t xml:space="preserve">g/ml durante o período de indução. Observaram-se níveis médios </w:t>
      </w:r>
      <w:r w:rsidR="001729C1">
        <w:rPr>
          <w:sz w:val="22"/>
          <w:szCs w:val="22"/>
        </w:rPr>
        <w:t xml:space="preserve">de vale </w:t>
      </w:r>
      <w:r w:rsidRPr="008912CF">
        <w:rPr>
          <w:sz w:val="22"/>
          <w:szCs w:val="22"/>
        </w:rPr>
        <w:t>em estado de equilíbrio de aproximadamente 8 </w:t>
      </w:r>
      <w:r w:rsidRPr="008912CF">
        <w:rPr>
          <w:rFonts w:ascii="Symbol" w:hAnsi="Symbol"/>
          <w:sz w:val="22"/>
          <w:szCs w:val="22"/>
        </w:rPr>
        <w:sym w:font="Symbol" w:char="F06D"/>
      </w:r>
      <w:r w:rsidRPr="008912CF">
        <w:rPr>
          <w:sz w:val="22"/>
          <w:szCs w:val="22"/>
        </w:rPr>
        <w:t>g/ml em doentes com colite ulcerosa que receberam uma dose de manutenção de 40 mg de Humira em semanas alternadas.</w:t>
      </w:r>
    </w:p>
    <w:p w14:paraId="1130D8A2" w14:textId="77777777" w:rsidR="004462A0" w:rsidRDefault="004462A0" w:rsidP="004462A0">
      <w:pPr>
        <w:autoSpaceDE w:val="0"/>
        <w:autoSpaceDN w:val="0"/>
        <w:adjustRightInd w:val="0"/>
        <w:rPr>
          <w:sz w:val="22"/>
          <w:szCs w:val="22"/>
        </w:rPr>
      </w:pPr>
    </w:p>
    <w:p w14:paraId="19F36E5C" w14:textId="77777777" w:rsidR="00AB0B1F" w:rsidRDefault="00615769" w:rsidP="004462A0">
      <w:pPr>
        <w:autoSpaceDE w:val="0"/>
        <w:autoSpaceDN w:val="0"/>
        <w:adjustRightInd w:val="0"/>
        <w:rPr>
          <w:sz w:val="22"/>
          <w:szCs w:val="22"/>
        </w:rPr>
      </w:pPr>
      <w:r w:rsidRPr="00AB0B1F">
        <w:rPr>
          <w:sz w:val="22"/>
          <w:szCs w:val="22"/>
        </w:rPr>
        <w:t>Após a administração subcutânea da dose baseada no peso corporal de 0,6 mg/kg (máximo de 40 mg) em semanas alternadas a doentes pediátricos com colite ulcerosa, a média da concentração sérica de adalimumab na região de vale da curva em estado de equilíbrio foi de 5,01 ± 3,28 µg/ml na Semana 52.</w:t>
      </w:r>
      <w:r>
        <w:rPr>
          <w:sz w:val="22"/>
          <w:szCs w:val="22"/>
        </w:rPr>
        <w:t xml:space="preserve"> </w:t>
      </w:r>
      <w:r w:rsidRPr="00AB0B1F">
        <w:rPr>
          <w:sz w:val="22"/>
          <w:szCs w:val="22"/>
        </w:rPr>
        <w:t>Para os doentes que receberam 0,6 mg/kg (máximo de 40 mg) semanalmente, a média (± DP) da concentração sérica de adalimumab na região de vale da curva em estado de equilíbrio foi de 15,7 ± 5,60 μg/ml na Semana 52.</w:t>
      </w:r>
    </w:p>
    <w:p w14:paraId="2ADD790B" w14:textId="77777777" w:rsidR="00AB0B1F" w:rsidRDefault="00AB0B1F" w:rsidP="004462A0">
      <w:pPr>
        <w:autoSpaceDE w:val="0"/>
        <w:autoSpaceDN w:val="0"/>
        <w:adjustRightInd w:val="0"/>
        <w:rPr>
          <w:sz w:val="22"/>
          <w:szCs w:val="22"/>
        </w:rPr>
      </w:pPr>
    </w:p>
    <w:p w14:paraId="0D7968A0" w14:textId="77777777" w:rsidR="004462A0" w:rsidRDefault="00615769" w:rsidP="004462A0">
      <w:pPr>
        <w:autoSpaceDE w:val="0"/>
        <w:autoSpaceDN w:val="0"/>
        <w:adjustRightInd w:val="0"/>
        <w:rPr>
          <w:sz w:val="22"/>
          <w:szCs w:val="22"/>
        </w:rPr>
      </w:pPr>
      <w:r w:rsidRPr="00B904F9">
        <w:rPr>
          <w:sz w:val="22"/>
          <w:szCs w:val="22"/>
        </w:rPr>
        <w:t xml:space="preserve">Em doentes </w:t>
      </w:r>
      <w:r w:rsidR="00211E06">
        <w:rPr>
          <w:sz w:val="22"/>
          <w:szCs w:val="22"/>
        </w:rPr>
        <w:t xml:space="preserve">adultos </w:t>
      </w:r>
      <w:r w:rsidRPr="00B904F9">
        <w:rPr>
          <w:sz w:val="22"/>
          <w:szCs w:val="22"/>
        </w:rPr>
        <w:t xml:space="preserve">com uveíte, uma dose </w:t>
      </w:r>
      <w:r w:rsidR="00784C05">
        <w:rPr>
          <w:sz w:val="22"/>
          <w:szCs w:val="22"/>
        </w:rPr>
        <w:t>de carga</w:t>
      </w:r>
      <w:r w:rsidR="00784C05" w:rsidRPr="00B904F9">
        <w:rPr>
          <w:sz w:val="22"/>
          <w:szCs w:val="22"/>
        </w:rPr>
        <w:t xml:space="preserve"> </w:t>
      </w:r>
      <w:r w:rsidRPr="00B904F9">
        <w:rPr>
          <w:sz w:val="22"/>
          <w:szCs w:val="22"/>
        </w:rPr>
        <w:t>de 80</w:t>
      </w:r>
      <w:r>
        <w:rPr>
          <w:sz w:val="22"/>
          <w:szCs w:val="22"/>
        </w:rPr>
        <w:t> </w:t>
      </w:r>
      <w:r w:rsidRPr="00B904F9">
        <w:rPr>
          <w:sz w:val="22"/>
          <w:szCs w:val="22"/>
        </w:rPr>
        <w:t xml:space="preserve">mg de adalimumab na </w:t>
      </w:r>
      <w:r w:rsidR="00784C05">
        <w:rPr>
          <w:sz w:val="22"/>
          <w:szCs w:val="22"/>
        </w:rPr>
        <w:t>S</w:t>
      </w:r>
      <w:r w:rsidRPr="00B904F9">
        <w:rPr>
          <w:sz w:val="22"/>
          <w:szCs w:val="22"/>
        </w:rPr>
        <w:t>emana 0</w:t>
      </w:r>
      <w:r w:rsidR="00784C05">
        <w:rPr>
          <w:sz w:val="22"/>
          <w:szCs w:val="22"/>
        </w:rPr>
        <w:t>,</w:t>
      </w:r>
      <w:r w:rsidRPr="00B904F9">
        <w:rPr>
          <w:sz w:val="22"/>
          <w:szCs w:val="22"/>
        </w:rPr>
        <w:t xml:space="preserve"> seguida de 40</w:t>
      </w:r>
      <w:r>
        <w:rPr>
          <w:sz w:val="22"/>
          <w:szCs w:val="22"/>
        </w:rPr>
        <w:t> </w:t>
      </w:r>
      <w:r w:rsidRPr="00B904F9">
        <w:rPr>
          <w:sz w:val="22"/>
          <w:szCs w:val="22"/>
        </w:rPr>
        <w:t>mg de adalimumab em semanas alternadas</w:t>
      </w:r>
      <w:r w:rsidR="00784C05">
        <w:rPr>
          <w:sz w:val="22"/>
          <w:szCs w:val="22"/>
        </w:rPr>
        <w:t>,</w:t>
      </w:r>
      <w:r w:rsidRPr="00B904F9">
        <w:rPr>
          <w:sz w:val="22"/>
          <w:szCs w:val="22"/>
        </w:rPr>
        <w:t xml:space="preserve"> </w:t>
      </w:r>
      <w:r w:rsidR="00784C05">
        <w:rPr>
          <w:sz w:val="22"/>
          <w:szCs w:val="22"/>
        </w:rPr>
        <w:t>com início na</w:t>
      </w:r>
      <w:r w:rsidRPr="00B904F9">
        <w:rPr>
          <w:sz w:val="22"/>
          <w:szCs w:val="22"/>
        </w:rPr>
        <w:t xml:space="preserve"> Semana 1, </w:t>
      </w:r>
      <w:r w:rsidRPr="00821AA1">
        <w:rPr>
          <w:sz w:val="22"/>
          <w:szCs w:val="22"/>
        </w:rPr>
        <w:t>originou concentraç</w:t>
      </w:r>
      <w:r w:rsidR="00784C05">
        <w:rPr>
          <w:sz w:val="22"/>
          <w:szCs w:val="22"/>
        </w:rPr>
        <w:t>ões médias</w:t>
      </w:r>
      <w:r w:rsidRPr="00821AA1">
        <w:rPr>
          <w:sz w:val="22"/>
          <w:szCs w:val="22"/>
        </w:rPr>
        <w:t xml:space="preserve"> em estado de equilíbrio </w:t>
      </w:r>
      <w:r w:rsidRPr="00B904F9">
        <w:rPr>
          <w:sz w:val="22"/>
          <w:szCs w:val="22"/>
        </w:rPr>
        <w:t>de aproximadamente 8 a 10 </w:t>
      </w:r>
      <w:r w:rsidRPr="00B904F9">
        <w:rPr>
          <w:rFonts w:ascii="Symbol" w:hAnsi="Symbol"/>
          <w:sz w:val="22"/>
          <w:szCs w:val="22"/>
          <w:lang w:val="en-GB"/>
        </w:rPr>
        <w:sym w:font="Symbol" w:char="F06D"/>
      </w:r>
      <w:r w:rsidRPr="00B904F9">
        <w:rPr>
          <w:sz w:val="22"/>
          <w:szCs w:val="22"/>
        </w:rPr>
        <w:t>g/m</w:t>
      </w:r>
      <w:r>
        <w:rPr>
          <w:sz w:val="22"/>
          <w:szCs w:val="22"/>
        </w:rPr>
        <w:t>l</w:t>
      </w:r>
      <w:r w:rsidRPr="00B904F9">
        <w:rPr>
          <w:sz w:val="22"/>
          <w:szCs w:val="22"/>
        </w:rPr>
        <w:t>.</w:t>
      </w:r>
    </w:p>
    <w:p w14:paraId="05AF7C7F" w14:textId="77777777" w:rsidR="006740B7" w:rsidRDefault="006740B7" w:rsidP="006740B7">
      <w:pPr>
        <w:autoSpaceDE w:val="0"/>
        <w:autoSpaceDN w:val="0"/>
        <w:adjustRightInd w:val="0"/>
        <w:rPr>
          <w:sz w:val="22"/>
          <w:szCs w:val="22"/>
        </w:rPr>
      </w:pPr>
    </w:p>
    <w:p w14:paraId="3847DAB8" w14:textId="77777777" w:rsidR="004462A0" w:rsidRDefault="00615769" w:rsidP="006740B7">
      <w:pPr>
        <w:autoSpaceDE w:val="0"/>
        <w:autoSpaceDN w:val="0"/>
        <w:adjustRightInd w:val="0"/>
        <w:rPr>
          <w:sz w:val="22"/>
          <w:szCs w:val="22"/>
        </w:rPr>
      </w:pPr>
      <w:r w:rsidRPr="00CC4B51">
        <w:rPr>
          <w:sz w:val="22"/>
          <w:szCs w:val="22"/>
        </w:rPr>
        <w:t xml:space="preserve">A exposição de adalimumab em doentes </w:t>
      </w:r>
      <w:r>
        <w:rPr>
          <w:sz w:val="22"/>
          <w:szCs w:val="22"/>
        </w:rPr>
        <w:t>pediátricos com uveíte</w:t>
      </w:r>
      <w:r w:rsidRPr="00CC4B51">
        <w:rPr>
          <w:sz w:val="22"/>
          <w:szCs w:val="22"/>
        </w:rPr>
        <w:t xml:space="preserve"> foi </w:t>
      </w:r>
      <w:r>
        <w:rPr>
          <w:sz w:val="22"/>
          <w:szCs w:val="22"/>
        </w:rPr>
        <w:t>avaliada</w:t>
      </w:r>
      <w:r w:rsidRPr="00CC4B51">
        <w:rPr>
          <w:sz w:val="22"/>
          <w:szCs w:val="22"/>
        </w:rPr>
        <w:t xml:space="preserve"> utilizando modelos farmacocinéticos e de simulação na população, baseados na farmacocinética nas várias indicações em outros doentes pediátricos (psoríase pediátrica, artrite idiopática juvenil, doença de Crohn pediátrica e artrite relacionada com entesite).</w:t>
      </w:r>
      <w:r>
        <w:rPr>
          <w:sz w:val="22"/>
          <w:szCs w:val="22"/>
        </w:rPr>
        <w:t xml:space="preserve"> Não existem dados clínicos de exposição sobre a utilização de uma dose de carga em crianças &lt; 6 anos de idade. As exposições avaliadas indicam que na ausência de metotrexato, uma dose de carga pode levar a um aumento </w:t>
      </w:r>
      <w:r>
        <w:rPr>
          <w:sz w:val="22"/>
          <w:szCs w:val="22"/>
        </w:rPr>
        <w:t>inicial da exposição sistémica.</w:t>
      </w:r>
    </w:p>
    <w:p w14:paraId="379EA2BB" w14:textId="77777777" w:rsidR="006740B7" w:rsidRDefault="006740B7" w:rsidP="006740B7">
      <w:pPr>
        <w:autoSpaceDE w:val="0"/>
        <w:autoSpaceDN w:val="0"/>
        <w:adjustRightInd w:val="0"/>
        <w:rPr>
          <w:sz w:val="22"/>
          <w:szCs w:val="22"/>
        </w:rPr>
      </w:pPr>
    </w:p>
    <w:p w14:paraId="5BD5AA43" w14:textId="77777777" w:rsidR="008D5866" w:rsidRPr="008D5866" w:rsidRDefault="00615769" w:rsidP="008D5866">
      <w:pPr>
        <w:rPr>
          <w:sz w:val="22"/>
          <w:szCs w:val="22"/>
        </w:rPr>
      </w:pPr>
      <w:r w:rsidRPr="008D5866">
        <w:rPr>
          <w:sz w:val="22"/>
          <w:szCs w:val="22"/>
        </w:rPr>
        <w:t>A farmacocinética populacional e a modelação e simulação farmacocinética/farmacodinâmica previram exposição e eficácia comparáveis de adalimumab em doentes tratados com 80 mg em semanas alternadas comparativamente a 40 mg por semana (incluindo doentes adultos com artrite reumatoide, hidradenite supurativa, colite ulcerosa, doença de Crohn ou psoríase, doentes adolescentes com hidradenite supurativa, e doentes pediátricos ≥ 40 kg com doença de Crohn</w:t>
      </w:r>
      <w:r w:rsidR="00AB0B1F">
        <w:rPr>
          <w:sz w:val="22"/>
          <w:szCs w:val="22"/>
        </w:rPr>
        <w:t xml:space="preserve"> e colite ulcerosa</w:t>
      </w:r>
      <w:r w:rsidRPr="008D5866">
        <w:rPr>
          <w:sz w:val="22"/>
          <w:szCs w:val="22"/>
        </w:rPr>
        <w:t>).</w:t>
      </w:r>
    </w:p>
    <w:p w14:paraId="2EF1AD60" w14:textId="77777777" w:rsidR="00CB140F" w:rsidRPr="008912CF" w:rsidRDefault="00CB140F" w:rsidP="006740B7">
      <w:pPr>
        <w:autoSpaceDE w:val="0"/>
        <w:autoSpaceDN w:val="0"/>
        <w:adjustRightInd w:val="0"/>
        <w:rPr>
          <w:sz w:val="22"/>
          <w:szCs w:val="22"/>
        </w:rPr>
      </w:pPr>
    </w:p>
    <w:p w14:paraId="0894F7F9" w14:textId="77777777" w:rsidR="00211E06" w:rsidRDefault="00615769" w:rsidP="00AD6FCC">
      <w:pPr>
        <w:keepNext/>
        <w:rPr>
          <w:sz w:val="22"/>
          <w:szCs w:val="22"/>
          <w:u w:val="single"/>
        </w:rPr>
      </w:pPr>
      <w:r w:rsidRPr="00AA7352">
        <w:rPr>
          <w:sz w:val="22"/>
          <w:szCs w:val="22"/>
          <w:u w:val="single"/>
        </w:rPr>
        <w:t xml:space="preserve">Relação de exposição-resposta </w:t>
      </w:r>
      <w:r w:rsidR="0016206C">
        <w:rPr>
          <w:sz w:val="22"/>
          <w:szCs w:val="22"/>
          <w:u w:val="single"/>
        </w:rPr>
        <w:t>na população</w:t>
      </w:r>
      <w:r w:rsidRPr="00AA7352">
        <w:rPr>
          <w:sz w:val="22"/>
          <w:szCs w:val="22"/>
          <w:u w:val="single"/>
        </w:rPr>
        <w:t xml:space="preserve"> pediátric</w:t>
      </w:r>
      <w:r w:rsidR="0016206C">
        <w:rPr>
          <w:sz w:val="22"/>
          <w:szCs w:val="22"/>
          <w:u w:val="single"/>
        </w:rPr>
        <w:t>a</w:t>
      </w:r>
    </w:p>
    <w:p w14:paraId="55F9B27E" w14:textId="77777777" w:rsidR="00B538F3" w:rsidRPr="00395D60" w:rsidRDefault="00B538F3" w:rsidP="00AD6FCC">
      <w:pPr>
        <w:keepNext/>
        <w:rPr>
          <w:sz w:val="22"/>
          <w:szCs w:val="22"/>
        </w:rPr>
      </w:pPr>
    </w:p>
    <w:p w14:paraId="67417DF6" w14:textId="77777777" w:rsidR="00211E06" w:rsidRPr="00395D60" w:rsidRDefault="00615769" w:rsidP="00AD6FCC">
      <w:pPr>
        <w:keepNext/>
        <w:rPr>
          <w:sz w:val="22"/>
          <w:szCs w:val="22"/>
        </w:rPr>
      </w:pPr>
      <w:r w:rsidRPr="00395D60">
        <w:rPr>
          <w:bCs/>
          <w:iCs/>
          <w:sz w:val="22"/>
          <w:szCs w:val="22"/>
        </w:rPr>
        <w:t>Com base nos dados obtidos dos ensaios clínicos efetuados em doentes com AIJ (AIJ poliarticular e ARE), foi estabelecida uma relação da exposição-resposta entre as concentrações  plasm</w:t>
      </w:r>
      <w:r w:rsidR="00D41FC8">
        <w:rPr>
          <w:bCs/>
          <w:iCs/>
          <w:sz w:val="22"/>
          <w:szCs w:val="22"/>
        </w:rPr>
        <w:t>áticas</w:t>
      </w:r>
      <w:r w:rsidRPr="00395D60">
        <w:rPr>
          <w:bCs/>
          <w:iCs/>
          <w:sz w:val="22"/>
          <w:szCs w:val="22"/>
        </w:rPr>
        <w:t xml:space="preserve"> e a resposta ACR</w:t>
      </w:r>
      <w:r w:rsidR="00212B10">
        <w:rPr>
          <w:bCs/>
          <w:iCs/>
          <w:sz w:val="22"/>
          <w:szCs w:val="22"/>
        </w:rPr>
        <w:t xml:space="preserve"> Ped</w:t>
      </w:r>
      <w:r w:rsidRPr="00395D60">
        <w:rPr>
          <w:bCs/>
          <w:iCs/>
          <w:sz w:val="22"/>
          <w:szCs w:val="22"/>
        </w:rPr>
        <w:t xml:space="preserve"> 50. A concentração plasmática aparente de adalimumab que produz metade da proabilidade máxima de resposta ACR</w:t>
      </w:r>
      <w:r w:rsidR="00212B10">
        <w:rPr>
          <w:bCs/>
          <w:iCs/>
          <w:sz w:val="22"/>
          <w:szCs w:val="22"/>
        </w:rPr>
        <w:t xml:space="preserve"> Ped</w:t>
      </w:r>
      <w:r w:rsidRPr="00395D60">
        <w:rPr>
          <w:bCs/>
          <w:iCs/>
          <w:sz w:val="22"/>
          <w:szCs w:val="22"/>
        </w:rPr>
        <w:t xml:space="preserve"> 50 (EC50) foi de </w:t>
      </w:r>
      <w:r w:rsidRPr="00395D60">
        <w:rPr>
          <w:sz w:val="22"/>
          <w:szCs w:val="22"/>
        </w:rPr>
        <w:t>3 </w:t>
      </w:r>
      <w:r w:rsidRPr="00395D60">
        <w:rPr>
          <w:sz w:val="22"/>
          <w:szCs w:val="22"/>
          <w:lang w:val="en-GB"/>
        </w:rPr>
        <w:t>μ</w:t>
      </w:r>
      <w:r w:rsidRPr="00395D60">
        <w:rPr>
          <w:sz w:val="22"/>
          <w:szCs w:val="22"/>
        </w:rPr>
        <w:t>g/ml (</w:t>
      </w:r>
      <w:r w:rsidR="0016206C">
        <w:rPr>
          <w:sz w:val="22"/>
          <w:szCs w:val="22"/>
        </w:rPr>
        <w:t xml:space="preserve">IC </w:t>
      </w:r>
      <w:r w:rsidRPr="00395D60">
        <w:rPr>
          <w:sz w:val="22"/>
          <w:szCs w:val="22"/>
        </w:rPr>
        <w:t>95%: 1</w:t>
      </w:r>
      <w:r w:rsidRPr="00395D60">
        <w:rPr>
          <w:sz w:val="22"/>
          <w:szCs w:val="22"/>
        </w:rPr>
        <w:noBreakHyphen/>
        <w:t>6 </w:t>
      </w:r>
      <w:r w:rsidRPr="00395D60">
        <w:rPr>
          <w:sz w:val="22"/>
          <w:szCs w:val="22"/>
          <w:lang w:val="en-GB"/>
        </w:rPr>
        <w:t>μ</w:t>
      </w:r>
      <w:r w:rsidRPr="00395D60">
        <w:rPr>
          <w:sz w:val="22"/>
          <w:szCs w:val="22"/>
        </w:rPr>
        <w:t>g/ml).</w:t>
      </w:r>
    </w:p>
    <w:p w14:paraId="568A3FAD" w14:textId="77777777" w:rsidR="00211E06" w:rsidRPr="00395D60" w:rsidRDefault="00211E06" w:rsidP="00211E06">
      <w:pPr>
        <w:rPr>
          <w:sz w:val="22"/>
          <w:szCs w:val="22"/>
        </w:rPr>
      </w:pPr>
    </w:p>
    <w:p w14:paraId="10B9AC9D" w14:textId="77777777" w:rsidR="00211E06" w:rsidRPr="00395D60" w:rsidRDefault="00615769" w:rsidP="00211E06">
      <w:pPr>
        <w:rPr>
          <w:bCs/>
          <w:iCs/>
          <w:sz w:val="22"/>
          <w:szCs w:val="22"/>
        </w:rPr>
      </w:pPr>
      <w:r w:rsidRPr="00395D60">
        <w:rPr>
          <w:bCs/>
          <w:iCs/>
          <w:sz w:val="22"/>
          <w:szCs w:val="22"/>
        </w:rPr>
        <w:t xml:space="preserve">As relações de exposição-resposta entre a concentração de adalimumab e a eficácia em doentes pediátricos com psoríase em placas crónica </w:t>
      </w:r>
      <w:r w:rsidR="0016206C">
        <w:rPr>
          <w:bCs/>
          <w:iCs/>
          <w:sz w:val="22"/>
          <w:szCs w:val="22"/>
        </w:rPr>
        <w:t xml:space="preserve">grave </w:t>
      </w:r>
      <w:r w:rsidRPr="00395D60">
        <w:rPr>
          <w:bCs/>
          <w:iCs/>
          <w:sz w:val="22"/>
          <w:szCs w:val="22"/>
        </w:rPr>
        <w:t xml:space="preserve">foram estabelecidas </w:t>
      </w:r>
      <w:r w:rsidR="0016206C">
        <w:rPr>
          <w:bCs/>
          <w:iCs/>
          <w:sz w:val="22"/>
          <w:szCs w:val="22"/>
        </w:rPr>
        <w:t>para</w:t>
      </w:r>
      <w:r w:rsidR="0016206C" w:rsidRPr="00395D60">
        <w:rPr>
          <w:bCs/>
          <w:iCs/>
          <w:sz w:val="22"/>
          <w:szCs w:val="22"/>
        </w:rPr>
        <w:t xml:space="preserve"> </w:t>
      </w:r>
      <w:r w:rsidRPr="00395D60">
        <w:rPr>
          <w:bCs/>
          <w:iCs/>
          <w:sz w:val="22"/>
          <w:szCs w:val="22"/>
        </w:rPr>
        <w:t xml:space="preserve">PASI 75 e PGA </w:t>
      </w:r>
      <w:r w:rsidR="00331BCF">
        <w:rPr>
          <w:bCs/>
          <w:iCs/>
          <w:sz w:val="22"/>
          <w:szCs w:val="22"/>
        </w:rPr>
        <w:t>limp</w:t>
      </w:r>
      <w:r w:rsidR="0016206C">
        <w:rPr>
          <w:bCs/>
          <w:iCs/>
          <w:sz w:val="22"/>
          <w:szCs w:val="22"/>
        </w:rPr>
        <w:t xml:space="preserve">a </w:t>
      </w:r>
      <w:r w:rsidRPr="00395D60">
        <w:rPr>
          <w:bCs/>
          <w:iCs/>
          <w:sz w:val="22"/>
          <w:szCs w:val="22"/>
        </w:rPr>
        <w:t xml:space="preserve">ou </w:t>
      </w:r>
      <w:r w:rsidR="0016206C">
        <w:rPr>
          <w:bCs/>
          <w:iCs/>
          <w:sz w:val="22"/>
          <w:szCs w:val="22"/>
        </w:rPr>
        <w:t>quase limpa</w:t>
      </w:r>
      <w:r w:rsidRPr="00395D60">
        <w:rPr>
          <w:bCs/>
          <w:iCs/>
          <w:sz w:val="22"/>
          <w:szCs w:val="22"/>
        </w:rPr>
        <w:t xml:space="preserve">, respetivamente. PASI 75 e PGA </w:t>
      </w:r>
      <w:r w:rsidR="00331BCF">
        <w:rPr>
          <w:bCs/>
          <w:iCs/>
          <w:sz w:val="22"/>
          <w:szCs w:val="22"/>
        </w:rPr>
        <w:t>limp</w:t>
      </w:r>
      <w:r w:rsidR="0016206C">
        <w:rPr>
          <w:bCs/>
          <w:iCs/>
          <w:sz w:val="22"/>
          <w:szCs w:val="22"/>
        </w:rPr>
        <w:t>a</w:t>
      </w:r>
      <w:r w:rsidRPr="00395D60">
        <w:rPr>
          <w:bCs/>
          <w:iCs/>
          <w:sz w:val="22"/>
          <w:szCs w:val="22"/>
        </w:rPr>
        <w:t xml:space="preserve"> ou </w:t>
      </w:r>
      <w:r w:rsidR="0016206C">
        <w:rPr>
          <w:bCs/>
          <w:iCs/>
          <w:sz w:val="22"/>
          <w:szCs w:val="22"/>
        </w:rPr>
        <w:t>quase limpa</w:t>
      </w:r>
      <w:r w:rsidRPr="00395D60">
        <w:rPr>
          <w:bCs/>
          <w:iCs/>
          <w:sz w:val="22"/>
          <w:szCs w:val="22"/>
        </w:rPr>
        <w:t xml:space="preserve"> aumentaram com o aumento das concentrações de adalimumab, ambas com um EC50 aparentemente idêntico de aproximadamente 4,5</w:t>
      </w:r>
      <w:r w:rsidRPr="00395D60">
        <w:rPr>
          <w:sz w:val="22"/>
          <w:szCs w:val="22"/>
        </w:rPr>
        <w:t> </w:t>
      </w:r>
      <w:r w:rsidRPr="00395D60">
        <w:rPr>
          <w:sz w:val="22"/>
          <w:szCs w:val="22"/>
          <w:lang w:val="en-GB"/>
        </w:rPr>
        <w:t>μ</w:t>
      </w:r>
      <w:r w:rsidRPr="00395D60">
        <w:rPr>
          <w:sz w:val="22"/>
          <w:szCs w:val="22"/>
        </w:rPr>
        <w:t>g/ml (</w:t>
      </w:r>
      <w:r w:rsidR="0016206C">
        <w:rPr>
          <w:sz w:val="22"/>
          <w:szCs w:val="22"/>
        </w:rPr>
        <w:t xml:space="preserve">IC </w:t>
      </w:r>
      <w:r w:rsidRPr="00395D60">
        <w:rPr>
          <w:sz w:val="22"/>
          <w:szCs w:val="22"/>
        </w:rPr>
        <w:t>95% 0,4-47,6 e 1,9-10,5, respetivamente</w:t>
      </w:r>
      <w:r w:rsidR="00784C05">
        <w:rPr>
          <w:sz w:val="22"/>
          <w:szCs w:val="22"/>
        </w:rPr>
        <w:t>)</w:t>
      </w:r>
      <w:r w:rsidR="006F6F32">
        <w:rPr>
          <w:sz w:val="22"/>
          <w:szCs w:val="22"/>
        </w:rPr>
        <w:t>.</w:t>
      </w:r>
    </w:p>
    <w:p w14:paraId="3E1FB191" w14:textId="77777777" w:rsidR="00211E06" w:rsidRDefault="00211E06" w:rsidP="004462A0">
      <w:pPr>
        <w:autoSpaceDE w:val="0"/>
        <w:autoSpaceDN w:val="0"/>
        <w:adjustRightInd w:val="0"/>
        <w:rPr>
          <w:sz w:val="22"/>
          <w:szCs w:val="22"/>
          <w:u w:val="single"/>
        </w:rPr>
      </w:pPr>
    </w:p>
    <w:p w14:paraId="60EBD9CC" w14:textId="77777777" w:rsidR="004462A0" w:rsidRPr="008912CF" w:rsidRDefault="00615769" w:rsidP="006361FE">
      <w:pPr>
        <w:keepNext/>
        <w:autoSpaceDE w:val="0"/>
        <w:autoSpaceDN w:val="0"/>
        <w:adjustRightInd w:val="0"/>
        <w:rPr>
          <w:sz w:val="22"/>
          <w:szCs w:val="22"/>
          <w:u w:val="single"/>
        </w:rPr>
      </w:pPr>
      <w:r w:rsidRPr="008912CF">
        <w:rPr>
          <w:sz w:val="22"/>
          <w:szCs w:val="22"/>
          <w:u w:val="single"/>
        </w:rPr>
        <w:t>Eliminação</w:t>
      </w:r>
    </w:p>
    <w:p w14:paraId="530F43F2" w14:textId="77777777" w:rsidR="004462A0" w:rsidRPr="008912CF" w:rsidRDefault="004462A0" w:rsidP="006361FE">
      <w:pPr>
        <w:keepNext/>
        <w:autoSpaceDE w:val="0"/>
        <w:autoSpaceDN w:val="0"/>
        <w:adjustRightInd w:val="0"/>
        <w:rPr>
          <w:sz w:val="22"/>
          <w:szCs w:val="22"/>
        </w:rPr>
      </w:pPr>
    </w:p>
    <w:p w14:paraId="0BAE76C8" w14:textId="77777777" w:rsidR="004462A0" w:rsidRPr="008912CF" w:rsidRDefault="00615769" w:rsidP="006361FE">
      <w:pPr>
        <w:pStyle w:val="BodyText2"/>
        <w:keepNext/>
        <w:rPr>
          <w:szCs w:val="22"/>
        </w:rPr>
      </w:pPr>
      <w:r w:rsidRPr="008912CF">
        <w:rPr>
          <w:szCs w:val="22"/>
        </w:rPr>
        <w:t xml:space="preserve">As análises de farmacocinética da população que incluíram dados relativos a mais de 1300 doentes com AR revelaram uma tendência para uma maior depuração aparente de adalimumab em função do aumento do peso corporal. Após um ajustamento em relação às diferenças de peso, o sexo e a idade pareceram exercer um efeito mínimo sobre a depuração de adalimumab. Verificou-se que os níveis séricos de adalimumab </w:t>
      </w:r>
      <w:r w:rsidR="0016206C">
        <w:rPr>
          <w:szCs w:val="22"/>
        </w:rPr>
        <w:t xml:space="preserve">livre </w:t>
      </w:r>
      <w:r w:rsidRPr="008912CF">
        <w:rPr>
          <w:szCs w:val="22"/>
        </w:rPr>
        <w:t>(não ligado aos anticorpos anti</w:t>
      </w:r>
      <w:r w:rsidR="00840424">
        <w:rPr>
          <w:szCs w:val="22"/>
        </w:rPr>
        <w:t>-</w:t>
      </w:r>
      <w:r w:rsidRPr="008912CF">
        <w:rPr>
          <w:szCs w:val="22"/>
        </w:rPr>
        <w:t xml:space="preserve">adalimumab, AAA) eram mais baixos nos doentes com AAA mensurável. </w:t>
      </w:r>
    </w:p>
    <w:p w14:paraId="3F0F7E4B" w14:textId="77777777" w:rsidR="004462A0" w:rsidRPr="008912CF" w:rsidRDefault="004462A0" w:rsidP="004462A0">
      <w:pPr>
        <w:tabs>
          <w:tab w:val="left" w:pos="2304"/>
          <w:tab w:val="left" w:pos="3024"/>
        </w:tabs>
        <w:autoSpaceDE w:val="0"/>
        <w:autoSpaceDN w:val="0"/>
        <w:adjustRightInd w:val="0"/>
        <w:rPr>
          <w:sz w:val="22"/>
          <w:szCs w:val="22"/>
        </w:rPr>
      </w:pPr>
    </w:p>
    <w:p w14:paraId="506CE075" w14:textId="77777777" w:rsidR="004462A0" w:rsidRPr="008912CF" w:rsidRDefault="00615769" w:rsidP="004462A0">
      <w:pPr>
        <w:rPr>
          <w:bCs/>
          <w:iCs/>
          <w:sz w:val="22"/>
          <w:szCs w:val="22"/>
          <w:u w:val="single"/>
        </w:rPr>
      </w:pPr>
      <w:r w:rsidRPr="008912CF">
        <w:rPr>
          <w:bCs/>
          <w:iCs/>
          <w:sz w:val="22"/>
          <w:szCs w:val="22"/>
          <w:u w:val="single"/>
        </w:rPr>
        <w:t>Compromisso  renal ou hepático</w:t>
      </w:r>
    </w:p>
    <w:p w14:paraId="7BEBC0D7" w14:textId="77777777" w:rsidR="004462A0" w:rsidRPr="008912CF" w:rsidRDefault="004462A0" w:rsidP="004462A0">
      <w:pPr>
        <w:rPr>
          <w:b/>
          <w:iCs/>
          <w:sz w:val="22"/>
          <w:szCs w:val="22"/>
        </w:rPr>
      </w:pPr>
    </w:p>
    <w:p w14:paraId="1E51FE3B" w14:textId="77777777" w:rsidR="004462A0" w:rsidRPr="008912CF" w:rsidRDefault="00615769" w:rsidP="004462A0">
      <w:pPr>
        <w:rPr>
          <w:sz w:val="22"/>
          <w:szCs w:val="22"/>
        </w:rPr>
      </w:pPr>
      <w:r w:rsidRPr="008912CF">
        <w:rPr>
          <w:bCs/>
          <w:iCs/>
          <w:sz w:val="22"/>
          <w:szCs w:val="22"/>
        </w:rPr>
        <w:t>Humira não foi estudado em doentes com função renal ou hepática comprometida.</w:t>
      </w:r>
    </w:p>
    <w:p w14:paraId="4A92D64E" w14:textId="77777777" w:rsidR="004462A0" w:rsidRPr="008912CF" w:rsidRDefault="004462A0" w:rsidP="004462A0">
      <w:pPr>
        <w:tabs>
          <w:tab w:val="left" w:pos="2304"/>
          <w:tab w:val="left" w:pos="3024"/>
        </w:tabs>
        <w:autoSpaceDE w:val="0"/>
        <w:autoSpaceDN w:val="0"/>
        <w:adjustRightInd w:val="0"/>
        <w:rPr>
          <w:sz w:val="22"/>
          <w:szCs w:val="22"/>
        </w:rPr>
      </w:pPr>
    </w:p>
    <w:p w14:paraId="7E344300" w14:textId="77777777" w:rsidR="004462A0" w:rsidRPr="008912CF" w:rsidRDefault="00615769" w:rsidP="004462A0">
      <w:pPr>
        <w:keepNext/>
        <w:tabs>
          <w:tab w:val="left" w:pos="2304"/>
          <w:tab w:val="left" w:pos="3024"/>
        </w:tabs>
        <w:autoSpaceDE w:val="0"/>
        <w:autoSpaceDN w:val="0"/>
        <w:adjustRightInd w:val="0"/>
        <w:rPr>
          <w:sz w:val="22"/>
          <w:szCs w:val="22"/>
        </w:rPr>
      </w:pPr>
      <w:r w:rsidRPr="008912CF">
        <w:rPr>
          <w:b/>
          <w:sz w:val="22"/>
          <w:szCs w:val="22"/>
        </w:rPr>
        <w:t xml:space="preserve">5.3     Dados de segurança pré-clínica </w:t>
      </w:r>
    </w:p>
    <w:p w14:paraId="35FB60F2" w14:textId="77777777" w:rsidR="004462A0" w:rsidRPr="008912CF" w:rsidRDefault="004462A0" w:rsidP="004462A0">
      <w:pPr>
        <w:pStyle w:val="EndnoteText"/>
        <w:keepNext/>
        <w:tabs>
          <w:tab w:val="clear" w:pos="567"/>
        </w:tabs>
        <w:rPr>
          <w:szCs w:val="22"/>
        </w:rPr>
      </w:pPr>
    </w:p>
    <w:p w14:paraId="07C2E6D4" w14:textId="77777777" w:rsidR="00E7501D" w:rsidRPr="008912CF" w:rsidRDefault="00615769" w:rsidP="00E7501D">
      <w:pPr>
        <w:autoSpaceDE w:val="0"/>
        <w:autoSpaceDN w:val="0"/>
        <w:adjustRightInd w:val="0"/>
        <w:rPr>
          <w:sz w:val="22"/>
          <w:szCs w:val="22"/>
        </w:rPr>
      </w:pPr>
      <w:r>
        <w:rPr>
          <w:sz w:val="22"/>
          <w:szCs w:val="22"/>
        </w:rPr>
        <w:t>Os dados não clínicos não revelam riscos</w:t>
      </w:r>
      <w:r w:rsidRPr="008912CF">
        <w:rPr>
          <w:sz w:val="22"/>
          <w:szCs w:val="22"/>
        </w:rPr>
        <w:t xml:space="preserve"> especia</w:t>
      </w:r>
      <w:r>
        <w:rPr>
          <w:sz w:val="22"/>
          <w:szCs w:val="22"/>
        </w:rPr>
        <w:t>is</w:t>
      </w:r>
      <w:r w:rsidRPr="008912CF">
        <w:rPr>
          <w:sz w:val="22"/>
          <w:szCs w:val="22"/>
        </w:rPr>
        <w:t xml:space="preserve"> para o ser humano</w:t>
      </w:r>
      <w:r>
        <w:rPr>
          <w:sz w:val="22"/>
          <w:szCs w:val="22"/>
        </w:rPr>
        <w:t>, segundo estudos convencionais de toxicidade de dose única, toxicidade de dose repetida e genotoxicidade</w:t>
      </w:r>
      <w:r w:rsidRPr="008912CF">
        <w:rPr>
          <w:sz w:val="22"/>
          <w:szCs w:val="22"/>
        </w:rPr>
        <w:t xml:space="preserve">. </w:t>
      </w:r>
    </w:p>
    <w:p w14:paraId="5B1E0E5C" w14:textId="77777777" w:rsidR="004462A0" w:rsidRPr="008912CF" w:rsidRDefault="004462A0" w:rsidP="004462A0">
      <w:pPr>
        <w:autoSpaceDE w:val="0"/>
        <w:autoSpaceDN w:val="0"/>
        <w:adjustRightInd w:val="0"/>
        <w:rPr>
          <w:sz w:val="22"/>
          <w:szCs w:val="22"/>
        </w:rPr>
      </w:pPr>
    </w:p>
    <w:p w14:paraId="2B19B3DE" w14:textId="77777777" w:rsidR="004462A0" w:rsidRPr="008912CF" w:rsidRDefault="00615769" w:rsidP="004462A0">
      <w:pPr>
        <w:autoSpaceDE w:val="0"/>
        <w:autoSpaceDN w:val="0"/>
        <w:adjustRightInd w:val="0"/>
        <w:rPr>
          <w:b/>
          <w:sz w:val="22"/>
          <w:szCs w:val="22"/>
        </w:rPr>
      </w:pPr>
      <w:r w:rsidRPr="008912CF">
        <w:rPr>
          <w:sz w:val="22"/>
          <w:szCs w:val="22"/>
        </w:rPr>
        <w:t>Um estudo de toxicidade do desenvolvimento embrio-fetal/desenvolvimento perinatal, efetuado em macacos cynomolgus com doses de 0,</w:t>
      </w:r>
      <w:r w:rsidR="00E7501D">
        <w:rPr>
          <w:sz w:val="22"/>
          <w:szCs w:val="22"/>
        </w:rPr>
        <w:t xml:space="preserve"> </w:t>
      </w:r>
      <w:r w:rsidRPr="008912CF">
        <w:rPr>
          <w:sz w:val="22"/>
          <w:szCs w:val="22"/>
        </w:rPr>
        <w:t>30 e 100 mg/kg (9-17 macacos/grupo), não revelou qualquer evidência de lesão fetal resultante d</w:t>
      </w:r>
      <w:r w:rsidR="003A4C51">
        <w:rPr>
          <w:sz w:val="22"/>
          <w:szCs w:val="22"/>
        </w:rPr>
        <w:t>e</w:t>
      </w:r>
      <w:r w:rsidRPr="008912CF">
        <w:rPr>
          <w:sz w:val="22"/>
          <w:szCs w:val="22"/>
        </w:rPr>
        <w:t xml:space="preserve"> adalimumab. Não foram efetuados estudos de carcinogenicidade nem avaliações de rotina da fertilidade e da toxicidade pós-natal de adalimumab devido à ausência de modelos apropriados para um anticorpo com reatividade cruzada limitada ao TNF em roedores e ao desenvolvimento de anticorpos neutraliza</w:t>
      </w:r>
      <w:r w:rsidR="00E7501D">
        <w:rPr>
          <w:sz w:val="22"/>
          <w:szCs w:val="22"/>
        </w:rPr>
        <w:t>ntes</w:t>
      </w:r>
      <w:r w:rsidRPr="008912CF">
        <w:rPr>
          <w:sz w:val="22"/>
          <w:szCs w:val="22"/>
        </w:rPr>
        <w:t xml:space="preserve"> em roedores. </w:t>
      </w:r>
    </w:p>
    <w:p w14:paraId="14161A53" w14:textId="77777777" w:rsidR="004462A0" w:rsidRPr="008912CF" w:rsidRDefault="004462A0" w:rsidP="004462A0">
      <w:pPr>
        <w:tabs>
          <w:tab w:val="left" w:pos="2310"/>
        </w:tabs>
        <w:rPr>
          <w:sz w:val="22"/>
          <w:szCs w:val="22"/>
        </w:rPr>
      </w:pPr>
    </w:p>
    <w:p w14:paraId="2EFCB15A" w14:textId="77777777" w:rsidR="004462A0" w:rsidRPr="008912CF" w:rsidRDefault="004462A0" w:rsidP="004462A0">
      <w:pPr>
        <w:tabs>
          <w:tab w:val="left" w:pos="2310"/>
        </w:tabs>
        <w:rPr>
          <w:sz w:val="22"/>
          <w:szCs w:val="22"/>
        </w:rPr>
      </w:pPr>
    </w:p>
    <w:p w14:paraId="2F2CA350" w14:textId="77777777" w:rsidR="004462A0" w:rsidRPr="008912CF" w:rsidRDefault="00615769" w:rsidP="004462A0">
      <w:pPr>
        <w:ind w:left="567" w:hanging="567"/>
        <w:rPr>
          <w:b/>
          <w:sz w:val="22"/>
          <w:szCs w:val="22"/>
        </w:rPr>
      </w:pPr>
      <w:r w:rsidRPr="008912CF">
        <w:rPr>
          <w:b/>
          <w:sz w:val="22"/>
          <w:szCs w:val="22"/>
        </w:rPr>
        <w:t>6.</w:t>
      </w:r>
      <w:r w:rsidRPr="008912CF">
        <w:rPr>
          <w:b/>
          <w:sz w:val="22"/>
          <w:szCs w:val="22"/>
        </w:rPr>
        <w:tab/>
        <w:t xml:space="preserve">INFORMAÇÕES FARMACÊUTICAS </w:t>
      </w:r>
    </w:p>
    <w:p w14:paraId="5E81F0D4" w14:textId="77777777" w:rsidR="004462A0" w:rsidRPr="008912CF" w:rsidRDefault="004462A0" w:rsidP="004462A0">
      <w:pPr>
        <w:rPr>
          <w:sz w:val="22"/>
          <w:szCs w:val="22"/>
        </w:rPr>
      </w:pPr>
    </w:p>
    <w:p w14:paraId="3A00DAC5" w14:textId="77777777" w:rsidR="004462A0" w:rsidRPr="008912CF" w:rsidRDefault="00615769" w:rsidP="004462A0">
      <w:pPr>
        <w:ind w:left="567" w:hanging="567"/>
        <w:rPr>
          <w:b/>
          <w:sz w:val="22"/>
          <w:szCs w:val="22"/>
          <w:highlight w:val="yellow"/>
        </w:rPr>
      </w:pPr>
      <w:r w:rsidRPr="008912CF">
        <w:rPr>
          <w:b/>
          <w:sz w:val="22"/>
          <w:szCs w:val="22"/>
        </w:rPr>
        <w:t>6.1</w:t>
      </w:r>
      <w:r w:rsidRPr="008912CF">
        <w:rPr>
          <w:b/>
          <w:sz w:val="22"/>
          <w:szCs w:val="22"/>
        </w:rPr>
        <w:tab/>
        <w:t xml:space="preserve">Lista dos excipientes </w:t>
      </w:r>
    </w:p>
    <w:p w14:paraId="4DD584AB" w14:textId="77777777" w:rsidR="004462A0" w:rsidRPr="008912CF" w:rsidRDefault="004462A0" w:rsidP="004462A0">
      <w:pPr>
        <w:autoSpaceDE w:val="0"/>
        <w:autoSpaceDN w:val="0"/>
        <w:adjustRightInd w:val="0"/>
        <w:rPr>
          <w:b/>
          <w:sz w:val="22"/>
          <w:szCs w:val="22"/>
        </w:rPr>
      </w:pPr>
    </w:p>
    <w:p w14:paraId="134F6A71" w14:textId="77777777" w:rsidR="004462A0" w:rsidRPr="008912CF" w:rsidRDefault="00615769" w:rsidP="004462A0">
      <w:pPr>
        <w:autoSpaceDE w:val="0"/>
        <w:autoSpaceDN w:val="0"/>
        <w:adjustRightInd w:val="0"/>
        <w:rPr>
          <w:sz w:val="22"/>
          <w:szCs w:val="22"/>
        </w:rPr>
      </w:pPr>
      <w:r w:rsidRPr="008912CF">
        <w:rPr>
          <w:sz w:val="22"/>
          <w:szCs w:val="22"/>
        </w:rPr>
        <w:t>Manitol</w:t>
      </w:r>
    </w:p>
    <w:p w14:paraId="68B32E1D" w14:textId="77777777" w:rsidR="004462A0" w:rsidRPr="008912CF" w:rsidRDefault="00615769" w:rsidP="004462A0">
      <w:pPr>
        <w:autoSpaceDE w:val="0"/>
        <w:autoSpaceDN w:val="0"/>
        <w:adjustRightInd w:val="0"/>
        <w:rPr>
          <w:sz w:val="22"/>
          <w:szCs w:val="22"/>
        </w:rPr>
      </w:pPr>
      <w:r w:rsidRPr="008912CF">
        <w:rPr>
          <w:sz w:val="22"/>
          <w:szCs w:val="22"/>
        </w:rPr>
        <w:t>Polissorbato 80</w:t>
      </w:r>
    </w:p>
    <w:p w14:paraId="3CFD1029" w14:textId="77777777" w:rsidR="004462A0" w:rsidRPr="008912CF" w:rsidRDefault="00615769" w:rsidP="004462A0">
      <w:pPr>
        <w:autoSpaceDE w:val="0"/>
        <w:autoSpaceDN w:val="0"/>
        <w:adjustRightInd w:val="0"/>
        <w:rPr>
          <w:sz w:val="22"/>
          <w:szCs w:val="22"/>
        </w:rPr>
      </w:pPr>
      <w:r w:rsidRPr="008912CF">
        <w:rPr>
          <w:sz w:val="22"/>
          <w:szCs w:val="22"/>
        </w:rPr>
        <w:t xml:space="preserve">Água para preparações injetáveis </w:t>
      </w:r>
    </w:p>
    <w:p w14:paraId="5361D7E0" w14:textId="77777777" w:rsidR="004462A0" w:rsidRPr="008912CF" w:rsidRDefault="004462A0" w:rsidP="004462A0">
      <w:pPr>
        <w:autoSpaceDE w:val="0"/>
        <w:autoSpaceDN w:val="0"/>
        <w:adjustRightInd w:val="0"/>
        <w:rPr>
          <w:b/>
          <w:sz w:val="22"/>
          <w:szCs w:val="22"/>
        </w:rPr>
      </w:pPr>
    </w:p>
    <w:p w14:paraId="6BA38430" w14:textId="77777777" w:rsidR="004462A0" w:rsidRPr="008912CF" w:rsidRDefault="00615769" w:rsidP="004462A0">
      <w:pPr>
        <w:ind w:left="567" w:hanging="567"/>
        <w:rPr>
          <w:sz w:val="22"/>
          <w:szCs w:val="22"/>
        </w:rPr>
      </w:pPr>
      <w:r w:rsidRPr="008912CF">
        <w:rPr>
          <w:b/>
          <w:sz w:val="22"/>
          <w:szCs w:val="22"/>
        </w:rPr>
        <w:t>6.2</w:t>
      </w:r>
      <w:r w:rsidRPr="008912CF">
        <w:rPr>
          <w:b/>
          <w:sz w:val="22"/>
          <w:szCs w:val="22"/>
        </w:rPr>
        <w:tab/>
        <w:t xml:space="preserve">Incompatibilidades </w:t>
      </w:r>
    </w:p>
    <w:p w14:paraId="7B132124" w14:textId="77777777" w:rsidR="004462A0" w:rsidRPr="008912CF" w:rsidRDefault="004462A0" w:rsidP="004462A0">
      <w:pPr>
        <w:rPr>
          <w:sz w:val="22"/>
          <w:szCs w:val="22"/>
        </w:rPr>
      </w:pPr>
    </w:p>
    <w:p w14:paraId="27EB5E16" w14:textId="77777777" w:rsidR="004462A0" w:rsidRPr="008912CF" w:rsidRDefault="00615769" w:rsidP="004462A0">
      <w:pPr>
        <w:rPr>
          <w:sz w:val="22"/>
          <w:szCs w:val="22"/>
        </w:rPr>
      </w:pPr>
      <w:r w:rsidRPr="008912CF">
        <w:rPr>
          <w:sz w:val="22"/>
          <w:szCs w:val="22"/>
        </w:rPr>
        <w:t xml:space="preserve">Na ausência de estudos de compatibilidade, este medicamento não </w:t>
      </w:r>
      <w:r w:rsidR="00372684">
        <w:rPr>
          <w:sz w:val="22"/>
          <w:szCs w:val="22"/>
        </w:rPr>
        <w:t>pode</w:t>
      </w:r>
      <w:r w:rsidR="00372684" w:rsidRPr="008912CF">
        <w:rPr>
          <w:sz w:val="22"/>
          <w:szCs w:val="22"/>
        </w:rPr>
        <w:t xml:space="preserve"> </w:t>
      </w:r>
      <w:r w:rsidRPr="008912CF">
        <w:rPr>
          <w:sz w:val="22"/>
          <w:szCs w:val="22"/>
        </w:rPr>
        <w:t>ser misturado com outros medicamentos.</w:t>
      </w:r>
    </w:p>
    <w:p w14:paraId="0B853D26" w14:textId="77777777" w:rsidR="004462A0" w:rsidRPr="008912CF" w:rsidRDefault="004462A0" w:rsidP="004462A0">
      <w:pPr>
        <w:ind w:left="567" w:hanging="567"/>
        <w:rPr>
          <w:b/>
          <w:sz w:val="22"/>
          <w:szCs w:val="22"/>
        </w:rPr>
      </w:pPr>
    </w:p>
    <w:p w14:paraId="11879567" w14:textId="77777777" w:rsidR="004462A0" w:rsidRPr="008912CF" w:rsidRDefault="00615769" w:rsidP="004462A0">
      <w:pPr>
        <w:ind w:left="567" w:hanging="567"/>
        <w:rPr>
          <w:sz w:val="22"/>
          <w:szCs w:val="22"/>
        </w:rPr>
      </w:pPr>
      <w:r w:rsidRPr="008912CF">
        <w:rPr>
          <w:b/>
          <w:sz w:val="22"/>
          <w:szCs w:val="22"/>
        </w:rPr>
        <w:t>6.3</w:t>
      </w:r>
      <w:r w:rsidRPr="008912CF">
        <w:rPr>
          <w:b/>
          <w:sz w:val="22"/>
          <w:szCs w:val="22"/>
        </w:rPr>
        <w:tab/>
        <w:t xml:space="preserve">Prazo de validade </w:t>
      </w:r>
    </w:p>
    <w:p w14:paraId="197B458B" w14:textId="77777777" w:rsidR="004462A0" w:rsidRPr="008912CF" w:rsidRDefault="004462A0" w:rsidP="004462A0">
      <w:pPr>
        <w:rPr>
          <w:sz w:val="22"/>
          <w:szCs w:val="22"/>
        </w:rPr>
      </w:pPr>
    </w:p>
    <w:p w14:paraId="2927B705" w14:textId="77777777" w:rsidR="004462A0" w:rsidRPr="008912CF" w:rsidRDefault="00615769" w:rsidP="004462A0">
      <w:pPr>
        <w:rPr>
          <w:sz w:val="22"/>
          <w:szCs w:val="22"/>
        </w:rPr>
      </w:pPr>
      <w:r>
        <w:rPr>
          <w:sz w:val="22"/>
          <w:szCs w:val="22"/>
        </w:rPr>
        <w:t>2 anos</w:t>
      </w:r>
    </w:p>
    <w:p w14:paraId="73A50644" w14:textId="77777777" w:rsidR="004462A0" w:rsidRPr="008912CF" w:rsidRDefault="004462A0" w:rsidP="004462A0">
      <w:pPr>
        <w:rPr>
          <w:sz w:val="22"/>
          <w:szCs w:val="22"/>
        </w:rPr>
      </w:pPr>
    </w:p>
    <w:p w14:paraId="1CEE5B89" w14:textId="77777777" w:rsidR="004462A0" w:rsidRPr="008912CF" w:rsidRDefault="00615769" w:rsidP="00B24AC6">
      <w:pPr>
        <w:keepNext/>
        <w:ind w:left="567" w:hanging="567"/>
        <w:rPr>
          <w:sz w:val="22"/>
          <w:szCs w:val="22"/>
        </w:rPr>
      </w:pPr>
      <w:r w:rsidRPr="008912CF">
        <w:rPr>
          <w:b/>
          <w:sz w:val="22"/>
          <w:szCs w:val="22"/>
        </w:rPr>
        <w:t>6.4</w:t>
      </w:r>
      <w:r w:rsidRPr="008912CF">
        <w:rPr>
          <w:b/>
          <w:sz w:val="22"/>
          <w:szCs w:val="22"/>
        </w:rPr>
        <w:tab/>
      </w:r>
      <w:r w:rsidRPr="008912CF">
        <w:rPr>
          <w:b/>
          <w:sz w:val="22"/>
          <w:szCs w:val="22"/>
        </w:rPr>
        <w:t>Precauções especiais de conservação</w:t>
      </w:r>
    </w:p>
    <w:p w14:paraId="7F3A61EB" w14:textId="77777777" w:rsidR="004462A0" w:rsidRPr="008912CF" w:rsidRDefault="004462A0" w:rsidP="00B24AC6">
      <w:pPr>
        <w:keepNext/>
        <w:rPr>
          <w:sz w:val="22"/>
          <w:szCs w:val="22"/>
        </w:rPr>
      </w:pPr>
    </w:p>
    <w:p w14:paraId="7DCB7BB0" w14:textId="77777777" w:rsidR="004462A0" w:rsidRPr="008912CF" w:rsidRDefault="00615769" w:rsidP="00B24AC6">
      <w:pPr>
        <w:keepNext/>
        <w:rPr>
          <w:sz w:val="22"/>
          <w:szCs w:val="22"/>
        </w:rPr>
      </w:pPr>
      <w:r w:rsidRPr="008912CF">
        <w:rPr>
          <w:sz w:val="22"/>
          <w:szCs w:val="22"/>
        </w:rPr>
        <w:t>Conservar no frigorífico (2</w:t>
      </w:r>
      <w:r w:rsidRPr="008912CF">
        <w:rPr>
          <w:rFonts w:ascii="Symbol" w:hAnsi="Symbol"/>
          <w:sz w:val="22"/>
          <w:szCs w:val="22"/>
        </w:rPr>
        <w:sym w:font="Symbol" w:char="F0B0"/>
      </w:r>
      <w:r w:rsidRPr="008912CF">
        <w:rPr>
          <w:sz w:val="22"/>
          <w:szCs w:val="22"/>
        </w:rPr>
        <w:t>C – 8</w:t>
      </w:r>
      <w:r w:rsidRPr="008912CF">
        <w:rPr>
          <w:rFonts w:ascii="Symbol" w:hAnsi="Symbol"/>
          <w:sz w:val="22"/>
          <w:szCs w:val="22"/>
        </w:rPr>
        <w:sym w:font="Symbol" w:char="F0B0"/>
      </w:r>
      <w:r w:rsidRPr="008912CF">
        <w:rPr>
          <w:sz w:val="22"/>
          <w:szCs w:val="22"/>
        </w:rPr>
        <w:t xml:space="preserve">C). Não congelar. Manter a seringa pré-cheia </w:t>
      </w:r>
      <w:r>
        <w:rPr>
          <w:sz w:val="22"/>
          <w:szCs w:val="22"/>
        </w:rPr>
        <w:t xml:space="preserve">ou a caneta pré-cheia </w:t>
      </w:r>
      <w:r w:rsidRPr="008912CF">
        <w:rPr>
          <w:sz w:val="22"/>
          <w:szCs w:val="22"/>
        </w:rPr>
        <w:t>dentro da</w:t>
      </w:r>
      <w:r>
        <w:rPr>
          <w:sz w:val="22"/>
          <w:szCs w:val="22"/>
        </w:rPr>
        <w:t xml:space="preserve"> sua</w:t>
      </w:r>
      <w:r w:rsidRPr="008912CF">
        <w:rPr>
          <w:sz w:val="22"/>
          <w:szCs w:val="22"/>
        </w:rPr>
        <w:t xml:space="preserve"> embalagem exterior para proteger da luz.  </w:t>
      </w:r>
    </w:p>
    <w:p w14:paraId="025510F1" w14:textId="77777777" w:rsidR="004462A0" w:rsidRPr="008912CF" w:rsidRDefault="004462A0" w:rsidP="004462A0">
      <w:pPr>
        <w:rPr>
          <w:sz w:val="22"/>
          <w:szCs w:val="22"/>
        </w:rPr>
      </w:pPr>
    </w:p>
    <w:p w14:paraId="1477A6B9" w14:textId="77777777" w:rsidR="004462A0" w:rsidRPr="008912CF" w:rsidRDefault="00615769" w:rsidP="004462A0">
      <w:pPr>
        <w:rPr>
          <w:sz w:val="22"/>
          <w:szCs w:val="22"/>
        </w:rPr>
      </w:pPr>
      <w:r w:rsidRPr="008912CF">
        <w:rPr>
          <w:sz w:val="22"/>
          <w:szCs w:val="22"/>
        </w:rPr>
        <w:t xml:space="preserve">Uma seringa pré-cheia </w:t>
      </w:r>
      <w:r>
        <w:rPr>
          <w:sz w:val="22"/>
          <w:szCs w:val="22"/>
        </w:rPr>
        <w:t>ou uma caneta pré-cheia</w:t>
      </w:r>
      <w:r w:rsidR="003D5DB6">
        <w:rPr>
          <w:sz w:val="22"/>
          <w:szCs w:val="22"/>
        </w:rPr>
        <w:t xml:space="preserve"> de Humira</w:t>
      </w:r>
      <w:r w:rsidRPr="008912CF">
        <w:rPr>
          <w:sz w:val="22"/>
          <w:szCs w:val="22"/>
        </w:rPr>
        <w:t xml:space="preserve"> pode ser conservada até um período de 14 dias até uma temperatura máxima de 25º C. A seringa </w:t>
      </w:r>
      <w:r>
        <w:rPr>
          <w:sz w:val="22"/>
          <w:szCs w:val="22"/>
        </w:rPr>
        <w:t xml:space="preserve">ou a caneta </w:t>
      </w:r>
      <w:r w:rsidRPr="008912CF">
        <w:rPr>
          <w:sz w:val="22"/>
          <w:szCs w:val="22"/>
        </w:rPr>
        <w:t>deve ser protegida da luz e eliminada se não for utilizada dentro do período de 14 dias.</w:t>
      </w:r>
    </w:p>
    <w:p w14:paraId="4D43D163" w14:textId="77777777" w:rsidR="004462A0" w:rsidRPr="008912CF" w:rsidRDefault="004462A0" w:rsidP="004462A0">
      <w:pPr>
        <w:rPr>
          <w:sz w:val="22"/>
          <w:szCs w:val="22"/>
        </w:rPr>
      </w:pPr>
    </w:p>
    <w:p w14:paraId="3DC4AD10" w14:textId="77777777" w:rsidR="004462A0" w:rsidRPr="008912CF" w:rsidRDefault="00615769" w:rsidP="00B538F3">
      <w:pPr>
        <w:keepNext/>
        <w:ind w:left="567" w:hanging="567"/>
        <w:rPr>
          <w:sz w:val="22"/>
          <w:szCs w:val="22"/>
        </w:rPr>
      </w:pPr>
      <w:r w:rsidRPr="008912CF">
        <w:rPr>
          <w:b/>
          <w:sz w:val="22"/>
          <w:szCs w:val="22"/>
        </w:rPr>
        <w:t>6.5</w:t>
      </w:r>
      <w:r w:rsidRPr="008912CF">
        <w:rPr>
          <w:b/>
          <w:sz w:val="22"/>
          <w:szCs w:val="22"/>
        </w:rPr>
        <w:tab/>
        <w:t xml:space="preserve">Natureza e conteúdo do recipiente </w:t>
      </w:r>
    </w:p>
    <w:p w14:paraId="3D302072" w14:textId="77777777" w:rsidR="004462A0" w:rsidRPr="008912CF" w:rsidRDefault="004462A0" w:rsidP="00B538F3">
      <w:pPr>
        <w:keepNext/>
        <w:rPr>
          <w:sz w:val="22"/>
          <w:szCs w:val="22"/>
        </w:rPr>
      </w:pPr>
    </w:p>
    <w:p w14:paraId="7A5982E3" w14:textId="77777777" w:rsidR="004462A0" w:rsidRPr="00D64F3A" w:rsidRDefault="00615769" w:rsidP="00B538F3">
      <w:pPr>
        <w:keepNext/>
        <w:rPr>
          <w:sz w:val="22"/>
          <w:szCs w:val="22"/>
          <w:u w:val="single"/>
        </w:rPr>
      </w:pPr>
      <w:r w:rsidRPr="00D64F3A">
        <w:rPr>
          <w:sz w:val="22"/>
          <w:szCs w:val="22"/>
          <w:u w:val="single"/>
        </w:rPr>
        <w:t>Humira 40</w:t>
      </w:r>
      <w:r>
        <w:rPr>
          <w:sz w:val="22"/>
          <w:szCs w:val="22"/>
          <w:u w:val="single"/>
        </w:rPr>
        <w:t> </w:t>
      </w:r>
      <w:r w:rsidRPr="00D64F3A">
        <w:rPr>
          <w:sz w:val="22"/>
          <w:szCs w:val="22"/>
          <w:u w:val="single"/>
        </w:rPr>
        <w:t>mg solução injetável em seringa pré-cheia</w:t>
      </w:r>
    </w:p>
    <w:p w14:paraId="56FF379F" w14:textId="77777777" w:rsidR="004462A0" w:rsidRDefault="004462A0" w:rsidP="00B538F3">
      <w:pPr>
        <w:keepNext/>
        <w:rPr>
          <w:sz w:val="22"/>
          <w:szCs w:val="22"/>
        </w:rPr>
      </w:pPr>
    </w:p>
    <w:p w14:paraId="1805C407" w14:textId="77777777" w:rsidR="004462A0" w:rsidRPr="008912CF" w:rsidRDefault="00615769" w:rsidP="004462A0">
      <w:pPr>
        <w:rPr>
          <w:sz w:val="22"/>
          <w:szCs w:val="22"/>
        </w:rPr>
      </w:pPr>
      <w:r w:rsidRPr="008912CF">
        <w:rPr>
          <w:sz w:val="22"/>
          <w:szCs w:val="22"/>
        </w:rPr>
        <w:t xml:space="preserve">Humira 40 mg solução injetável </w:t>
      </w:r>
      <w:r w:rsidR="00E7501D">
        <w:rPr>
          <w:sz w:val="22"/>
          <w:szCs w:val="22"/>
        </w:rPr>
        <w:t>em</w:t>
      </w:r>
      <w:r w:rsidR="00E7501D" w:rsidRPr="008912CF">
        <w:rPr>
          <w:sz w:val="22"/>
          <w:szCs w:val="22"/>
        </w:rPr>
        <w:t xml:space="preserve"> </w:t>
      </w:r>
      <w:r w:rsidRPr="008912CF">
        <w:rPr>
          <w:sz w:val="22"/>
          <w:szCs w:val="22"/>
        </w:rPr>
        <w:t xml:space="preserve">seringa pré-cheia </w:t>
      </w:r>
      <w:r w:rsidR="00E7501D">
        <w:rPr>
          <w:sz w:val="22"/>
          <w:szCs w:val="22"/>
        </w:rPr>
        <w:t xml:space="preserve">para dose única </w:t>
      </w:r>
      <w:r w:rsidRPr="008912CF">
        <w:rPr>
          <w:sz w:val="22"/>
          <w:szCs w:val="22"/>
        </w:rPr>
        <w:t>(vidro tipo I)</w:t>
      </w:r>
      <w:r w:rsidR="006B562E">
        <w:rPr>
          <w:sz w:val="22"/>
          <w:szCs w:val="22"/>
        </w:rPr>
        <w:t>,</w:t>
      </w:r>
      <w:r w:rsidRPr="008912CF">
        <w:rPr>
          <w:sz w:val="22"/>
          <w:szCs w:val="22"/>
        </w:rPr>
        <w:t xml:space="preserve"> com um êmbolo</w:t>
      </w:r>
      <w:r w:rsidR="00954CD5">
        <w:rPr>
          <w:sz w:val="22"/>
          <w:szCs w:val="22"/>
        </w:rPr>
        <w:t xml:space="preserve"> rolha</w:t>
      </w:r>
      <w:r w:rsidRPr="008912CF">
        <w:rPr>
          <w:sz w:val="22"/>
          <w:szCs w:val="22"/>
        </w:rPr>
        <w:t xml:space="preserve"> (borracha de bromobutilo) e uma agulha com proteção (elastómero termoplástico).</w:t>
      </w:r>
    </w:p>
    <w:p w14:paraId="303DFE49" w14:textId="77777777" w:rsidR="004462A0" w:rsidRPr="008912CF" w:rsidRDefault="004462A0" w:rsidP="004462A0">
      <w:pPr>
        <w:rPr>
          <w:sz w:val="22"/>
          <w:szCs w:val="22"/>
        </w:rPr>
      </w:pPr>
    </w:p>
    <w:p w14:paraId="555103C5" w14:textId="77777777" w:rsidR="004462A0" w:rsidRPr="008912CF" w:rsidRDefault="00615769" w:rsidP="002F486F">
      <w:pPr>
        <w:pStyle w:val="BodyText2"/>
        <w:keepNext/>
        <w:autoSpaceDE/>
        <w:autoSpaceDN/>
        <w:adjustRightInd/>
        <w:rPr>
          <w:szCs w:val="22"/>
        </w:rPr>
      </w:pPr>
      <w:r w:rsidRPr="008912CF">
        <w:rPr>
          <w:szCs w:val="22"/>
        </w:rPr>
        <w:t>Embalagens com:</w:t>
      </w:r>
    </w:p>
    <w:p w14:paraId="200A80D3" w14:textId="77777777" w:rsidR="004462A0" w:rsidRPr="008912CF" w:rsidRDefault="004462A0" w:rsidP="002F486F">
      <w:pPr>
        <w:keepNext/>
        <w:rPr>
          <w:sz w:val="22"/>
          <w:szCs w:val="22"/>
        </w:rPr>
      </w:pPr>
    </w:p>
    <w:p w14:paraId="4DFCD37A" w14:textId="77777777" w:rsidR="00C340EB" w:rsidRPr="008912CF" w:rsidRDefault="00615769" w:rsidP="002F486F">
      <w:pPr>
        <w:keepNext/>
        <w:numPr>
          <w:ilvl w:val="0"/>
          <w:numId w:val="81"/>
        </w:numPr>
        <w:suppressAutoHyphens/>
        <w:ind w:left="709" w:hanging="709"/>
        <w:rPr>
          <w:sz w:val="22"/>
        </w:rPr>
      </w:pPr>
      <w:r w:rsidRPr="008912CF">
        <w:rPr>
          <w:sz w:val="22"/>
        </w:rPr>
        <w:t>1 seringa pré-cheia (0,4 ml de solução estéril)</w:t>
      </w:r>
      <w:r>
        <w:rPr>
          <w:sz w:val="22"/>
        </w:rPr>
        <w:t>,</w:t>
      </w:r>
      <w:r w:rsidRPr="008912CF">
        <w:rPr>
          <w:sz w:val="22"/>
        </w:rPr>
        <w:t xml:space="preserve"> com 1 </w:t>
      </w:r>
      <w:r w:rsidRPr="008912CF">
        <w:rPr>
          <w:sz w:val="22"/>
          <w:szCs w:val="22"/>
        </w:rPr>
        <w:t xml:space="preserve">compressa embebida em álcool, em </w:t>
      </w:r>
      <w:r w:rsidRPr="0089624F">
        <w:rPr>
          <w:i/>
          <w:sz w:val="22"/>
        </w:rPr>
        <w:t>blister</w:t>
      </w:r>
      <w:r w:rsidRPr="008912CF">
        <w:rPr>
          <w:sz w:val="22"/>
        </w:rPr>
        <w:t xml:space="preserve">. </w:t>
      </w:r>
    </w:p>
    <w:p w14:paraId="7749CB54" w14:textId="77777777" w:rsidR="00C340EB" w:rsidRPr="008912CF" w:rsidRDefault="00615769" w:rsidP="00C340EB">
      <w:pPr>
        <w:numPr>
          <w:ilvl w:val="0"/>
          <w:numId w:val="81"/>
        </w:numPr>
        <w:suppressAutoHyphens/>
        <w:ind w:left="709" w:hanging="709"/>
        <w:rPr>
          <w:sz w:val="22"/>
        </w:rPr>
      </w:pPr>
      <w:r w:rsidRPr="008912CF">
        <w:rPr>
          <w:sz w:val="22"/>
        </w:rPr>
        <w:t>2 seringas pré-cheias (0,4 ml de solução estéril)</w:t>
      </w:r>
      <w:r>
        <w:rPr>
          <w:sz w:val="22"/>
        </w:rPr>
        <w:t>, cada uma</w:t>
      </w:r>
      <w:r w:rsidRPr="008912CF">
        <w:rPr>
          <w:sz w:val="22"/>
        </w:rPr>
        <w:t xml:space="preserve"> com 1 </w:t>
      </w:r>
      <w:r w:rsidRPr="008912CF">
        <w:rPr>
          <w:sz w:val="22"/>
          <w:szCs w:val="22"/>
        </w:rPr>
        <w:t xml:space="preserve">compressa embebida em álcool, em </w:t>
      </w:r>
      <w:r w:rsidRPr="004C0021">
        <w:rPr>
          <w:i/>
          <w:sz w:val="22"/>
        </w:rPr>
        <w:t>blister</w:t>
      </w:r>
      <w:r>
        <w:rPr>
          <w:sz w:val="22"/>
        </w:rPr>
        <w:t>.</w:t>
      </w:r>
      <w:r w:rsidRPr="008912CF">
        <w:rPr>
          <w:sz w:val="22"/>
        </w:rPr>
        <w:t xml:space="preserve"> </w:t>
      </w:r>
    </w:p>
    <w:p w14:paraId="650A57D0" w14:textId="77777777" w:rsidR="00C340EB" w:rsidRPr="008912CF" w:rsidRDefault="00615769" w:rsidP="00C340EB">
      <w:pPr>
        <w:numPr>
          <w:ilvl w:val="0"/>
          <w:numId w:val="81"/>
        </w:numPr>
        <w:suppressAutoHyphens/>
        <w:ind w:left="709" w:hanging="709"/>
        <w:rPr>
          <w:sz w:val="22"/>
        </w:rPr>
      </w:pPr>
      <w:r w:rsidRPr="008912CF">
        <w:rPr>
          <w:sz w:val="22"/>
        </w:rPr>
        <w:t>4 seringas pré-cheias (0,4 ml de solução estéril)</w:t>
      </w:r>
      <w:r>
        <w:rPr>
          <w:sz w:val="22"/>
        </w:rPr>
        <w:t>, cada uma</w:t>
      </w:r>
      <w:r w:rsidRPr="008912CF">
        <w:rPr>
          <w:sz w:val="22"/>
        </w:rPr>
        <w:t xml:space="preserve"> com 1 </w:t>
      </w:r>
      <w:r w:rsidRPr="008912CF">
        <w:rPr>
          <w:sz w:val="22"/>
          <w:szCs w:val="22"/>
        </w:rPr>
        <w:t xml:space="preserve">compressa embebida em álcool, em </w:t>
      </w:r>
      <w:r w:rsidRPr="004C0021">
        <w:rPr>
          <w:i/>
          <w:sz w:val="22"/>
        </w:rPr>
        <w:t>blister</w:t>
      </w:r>
      <w:r>
        <w:rPr>
          <w:sz w:val="22"/>
        </w:rPr>
        <w:t>.</w:t>
      </w:r>
    </w:p>
    <w:p w14:paraId="58D7C1F8" w14:textId="77777777" w:rsidR="00C340EB" w:rsidRPr="008912CF" w:rsidRDefault="00615769" w:rsidP="00C340EB">
      <w:pPr>
        <w:numPr>
          <w:ilvl w:val="0"/>
          <w:numId w:val="81"/>
        </w:numPr>
        <w:suppressAutoHyphens/>
        <w:ind w:left="709" w:hanging="709"/>
        <w:rPr>
          <w:b/>
          <w:bCs/>
          <w:i/>
          <w:iCs/>
          <w:sz w:val="22"/>
        </w:rPr>
      </w:pPr>
      <w:r w:rsidRPr="008912CF">
        <w:rPr>
          <w:sz w:val="22"/>
        </w:rPr>
        <w:t>6 seringas pré-cheias (0,4 ml de solução estéril)</w:t>
      </w:r>
      <w:r>
        <w:rPr>
          <w:sz w:val="22"/>
        </w:rPr>
        <w:t>, cada uma</w:t>
      </w:r>
      <w:r w:rsidRPr="008912CF">
        <w:rPr>
          <w:sz w:val="22"/>
        </w:rPr>
        <w:t xml:space="preserve"> com 1 </w:t>
      </w:r>
      <w:r w:rsidRPr="008912CF">
        <w:rPr>
          <w:sz w:val="22"/>
          <w:szCs w:val="22"/>
        </w:rPr>
        <w:t xml:space="preserve">compressa embebida em álcool, em </w:t>
      </w:r>
      <w:r w:rsidRPr="004C0021">
        <w:rPr>
          <w:i/>
          <w:sz w:val="22"/>
        </w:rPr>
        <w:t>blister</w:t>
      </w:r>
      <w:r>
        <w:rPr>
          <w:sz w:val="22"/>
        </w:rPr>
        <w:t>.</w:t>
      </w:r>
      <w:r w:rsidRPr="008912CF">
        <w:rPr>
          <w:sz w:val="22"/>
        </w:rPr>
        <w:t xml:space="preserve"> </w:t>
      </w:r>
    </w:p>
    <w:p w14:paraId="68392726" w14:textId="77777777" w:rsidR="004F2E54" w:rsidRDefault="004F2E54" w:rsidP="004462A0">
      <w:pPr>
        <w:suppressAutoHyphens/>
        <w:rPr>
          <w:sz w:val="20"/>
          <w:szCs w:val="20"/>
        </w:rPr>
      </w:pPr>
    </w:p>
    <w:p w14:paraId="739FD7C2" w14:textId="77777777" w:rsidR="004462A0" w:rsidRPr="00D64F3A" w:rsidRDefault="00615769" w:rsidP="004462A0">
      <w:pPr>
        <w:rPr>
          <w:sz w:val="22"/>
          <w:szCs w:val="22"/>
          <w:u w:val="single"/>
        </w:rPr>
      </w:pPr>
      <w:r w:rsidRPr="00D64F3A">
        <w:rPr>
          <w:sz w:val="22"/>
          <w:szCs w:val="22"/>
          <w:u w:val="single"/>
        </w:rPr>
        <w:t>Humira 40 mg solução injetável em caneta pré-cheia</w:t>
      </w:r>
    </w:p>
    <w:p w14:paraId="56253073" w14:textId="77777777" w:rsidR="004462A0" w:rsidRDefault="00615769" w:rsidP="004462A0">
      <w:pPr>
        <w:rPr>
          <w:sz w:val="22"/>
          <w:szCs w:val="22"/>
        </w:rPr>
      </w:pPr>
      <w:r>
        <w:rPr>
          <w:sz w:val="22"/>
          <w:szCs w:val="22"/>
        </w:rPr>
        <w:t>Humira 40 mg solução injetável em caneta pré-cheia para dose única para utilização do doente, contendo uma serin</w:t>
      </w:r>
      <w:r w:rsidR="00E7501D">
        <w:rPr>
          <w:sz w:val="22"/>
          <w:szCs w:val="22"/>
        </w:rPr>
        <w:t>g</w:t>
      </w:r>
      <w:r>
        <w:rPr>
          <w:sz w:val="22"/>
          <w:szCs w:val="22"/>
        </w:rPr>
        <w:t>a pré-cheia. A seringa no interior da caneta é feita de vidro tipo I com um êmbolo rolha (borracha de bromobutilo) e uma agulha com proteção (</w:t>
      </w:r>
      <w:r w:rsidRPr="008912CF">
        <w:rPr>
          <w:sz w:val="22"/>
          <w:szCs w:val="22"/>
        </w:rPr>
        <w:t>elastómero termoplástico).</w:t>
      </w:r>
    </w:p>
    <w:p w14:paraId="6BC09918" w14:textId="77777777" w:rsidR="004462A0" w:rsidRDefault="004462A0" w:rsidP="004462A0">
      <w:pPr>
        <w:rPr>
          <w:sz w:val="22"/>
          <w:szCs w:val="22"/>
        </w:rPr>
      </w:pPr>
    </w:p>
    <w:p w14:paraId="56BE2E72" w14:textId="77777777" w:rsidR="004462A0" w:rsidRPr="008912CF" w:rsidRDefault="00615769" w:rsidP="004462A0">
      <w:pPr>
        <w:pStyle w:val="BodyText2"/>
        <w:autoSpaceDE/>
        <w:autoSpaceDN/>
        <w:adjustRightInd/>
        <w:rPr>
          <w:szCs w:val="22"/>
        </w:rPr>
      </w:pPr>
      <w:r w:rsidRPr="008912CF">
        <w:rPr>
          <w:szCs w:val="22"/>
        </w:rPr>
        <w:t>Embalagens com:</w:t>
      </w:r>
    </w:p>
    <w:p w14:paraId="5908A7A6" w14:textId="77777777" w:rsidR="00806748" w:rsidRPr="008912CF" w:rsidRDefault="00615769" w:rsidP="00806748">
      <w:pPr>
        <w:numPr>
          <w:ilvl w:val="0"/>
          <w:numId w:val="77"/>
        </w:numPr>
        <w:tabs>
          <w:tab w:val="clear" w:pos="360"/>
        </w:tabs>
        <w:ind w:left="567" w:hanging="567"/>
        <w:rPr>
          <w:sz w:val="22"/>
          <w:szCs w:val="22"/>
        </w:rPr>
      </w:pPr>
      <w:r>
        <w:rPr>
          <w:sz w:val="22"/>
          <w:szCs w:val="22"/>
        </w:rPr>
        <w:t>1</w:t>
      </w:r>
      <w:r w:rsidRPr="008912CF">
        <w:rPr>
          <w:sz w:val="22"/>
          <w:szCs w:val="22"/>
        </w:rPr>
        <w:t xml:space="preserve"> </w:t>
      </w:r>
      <w:r>
        <w:rPr>
          <w:sz w:val="22"/>
          <w:szCs w:val="22"/>
        </w:rPr>
        <w:t>caneta</w:t>
      </w:r>
      <w:r w:rsidRPr="008912CF">
        <w:rPr>
          <w:sz w:val="22"/>
          <w:szCs w:val="22"/>
        </w:rPr>
        <w:t xml:space="preserve"> pré-cheia (0,</w:t>
      </w:r>
      <w:r>
        <w:rPr>
          <w:sz w:val="22"/>
          <w:szCs w:val="22"/>
        </w:rPr>
        <w:t>4</w:t>
      </w:r>
      <w:r w:rsidRPr="008912CF">
        <w:rPr>
          <w:sz w:val="22"/>
          <w:szCs w:val="22"/>
        </w:rPr>
        <w:t xml:space="preserve"> ml de solução estéril), com </w:t>
      </w:r>
      <w:r>
        <w:rPr>
          <w:sz w:val="22"/>
          <w:szCs w:val="22"/>
        </w:rPr>
        <w:t>2</w:t>
      </w:r>
      <w:r w:rsidRPr="008912CF">
        <w:rPr>
          <w:sz w:val="22"/>
          <w:szCs w:val="22"/>
        </w:rPr>
        <w:t xml:space="preserve"> compressa</w:t>
      </w:r>
      <w:r>
        <w:rPr>
          <w:sz w:val="22"/>
          <w:szCs w:val="22"/>
        </w:rPr>
        <w:t>s</w:t>
      </w:r>
      <w:r w:rsidRPr="008912CF">
        <w:rPr>
          <w:sz w:val="22"/>
          <w:szCs w:val="22"/>
        </w:rPr>
        <w:t xml:space="preserve"> embebida</w:t>
      </w:r>
      <w:r>
        <w:rPr>
          <w:sz w:val="22"/>
          <w:szCs w:val="22"/>
        </w:rPr>
        <w:t>s</w:t>
      </w:r>
      <w:r w:rsidRPr="008912CF">
        <w:rPr>
          <w:sz w:val="22"/>
          <w:szCs w:val="22"/>
        </w:rPr>
        <w:t xml:space="preserve"> em álcool, em </w:t>
      </w:r>
      <w:r w:rsidRPr="008912CF">
        <w:rPr>
          <w:i/>
          <w:iCs/>
          <w:sz w:val="22"/>
          <w:szCs w:val="22"/>
        </w:rPr>
        <w:t>blister</w:t>
      </w:r>
      <w:r w:rsidRPr="008912CF">
        <w:rPr>
          <w:sz w:val="22"/>
          <w:szCs w:val="22"/>
        </w:rPr>
        <w:t>.</w:t>
      </w:r>
    </w:p>
    <w:p w14:paraId="3C147C26" w14:textId="77777777" w:rsidR="00806748" w:rsidRPr="008912CF" w:rsidRDefault="00615769" w:rsidP="00806748">
      <w:pPr>
        <w:numPr>
          <w:ilvl w:val="0"/>
          <w:numId w:val="77"/>
        </w:numPr>
        <w:tabs>
          <w:tab w:val="clear" w:pos="360"/>
          <w:tab w:val="num" w:pos="567"/>
        </w:tabs>
        <w:ind w:left="567" w:hanging="567"/>
        <w:rPr>
          <w:sz w:val="22"/>
          <w:szCs w:val="22"/>
        </w:rPr>
      </w:pPr>
      <w:r>
        <w:rPr>
          <w:sz w:val="22"/>
          <w:szCs w:val="22"/>
        </w:rPr>
        <w:t>2</w:t>
      </w:r>
      <w:r w:rsidRPr="008912CF">
        <w:rPr>
          <w:sz w:val="22"/>
          <w:szCs w:val="22"/>
        </w:rPr>
        <w:t xml:space="preserve"> </w:t>
      </w:r>
      <w:r>
        <w:rPr>
          <w:sz w:val="22"/>
          <w:szCs w:val="22"/>
        </w:rPr>
        <w:t>canetas</w:t>
      </w:r>
      <w:r w:rsidRPr="008912CF">
        <w:rPr>
          <w:sz w:val="22"/>
          <w:szCs w:val="22"/>
        </w:rPr>
        <w:t xml:space="preserve"> pré-cheias (0,</w:t>
      </w:r>
      <w:r>
        <w:rPr>
          <w:sz w:val="22"/>
          <w:szCs w:val="22"/>
        </w:rPr>
        <w:t>4</w:t>
      </w:r>
      <w:r w:rsidRPr="008912CF">
        <w:rPr>
          <w:sz w:val="22"/>
          <w:szCs w:val="22"/>
        </w:rPr>
        <w:t xml:space="preserve"> ml de solução estéril), cada uma com 1 compressa embebida em álcool, em </w:t>
      </w:r>
      <w:r w:rsidRPr="008912CF">
        <w:rPr>
          <w:i/>
          <w:iCs/>
          <w:sz w:val="22"/>
          <w:szCs w:val="22"/>
        </w:rPr>
        <w:t>blister</w:t>
      </w:r>
      <w:r w:rsidRPr="008912CF">
        <w:rPr>
          <w:sz w:val="22"/>
          <w:szCs w:val="22"/>
        </w:rPr>
        <w:t>.</w:t>
      </w:r>
    </w:p>
    <w:p w14:paraId="78EB8668" w14:textId="77777777" w:rsidR="00806748" w:rsidRPr="008912CF" w:rsidRDefault="00615769" w:rsidP="00806748">
      <w:pPr>
        <w:numPr>
          <w:ilvl w:val="0"/>
          <w:numId w:val="77"/>
        </w:numPr>
        <w:tabs>
          <w:tab w:val="clear" w:pos="360"/>
          <w:tab w:val="num" w:pos="567"/>
        </w:tabs>
        <w:ind w:left="567" w:hanging="567"/>
        <w:rPr>
          <w:sz w:val="22"/>
          <w:szCs w:val="22"/>
        </w:rPr>
      </w:pPr>
      <w:r>
        <w:rPr>
          <w:sz w:val="22"/>
          <w:szCs w:val="22"/>
        </w:rPr>
        <w:t>4 canetas</w:t>
      </w:r>
      <w:r w:rsidRPr="008912CF">
        <w:rPr>
          <w:sz w:val="22"/>
          <w:szCs w:val="22"/>
        </w:rPr>
        <w:t xml:space="preserve"> pré-cheias (0,</w:t>
      </w:r>
      <w:r>
        <w:rPr>
          <w:sz w:val="22"/>
          <w:szCs w:val="22"/>
        </w:rPr>
        <w:t>4</w:t>
      </w:r>
      <w:r w:rsidRPr="008912CF">
        <w:rPr>
          <w:sz w:val="22"/>
          <w:szCs w:val="22"/>
        </w:rPr>
        <w:t xml:space="preserve"> ml de solução estéril), cada uma com 1 compressa embebida em álcool, em </w:t>
      </w:r>
      <w:r w:rsidRPr="008912CF">
        <w:rPr>
          <w:i/>
          <w:iCs/>
          <w:sz w:val="22"/>
          <w:szCs w:val="22"/>
        </w:rPr>
        <w:t>blister</w:t>
      </w:r>
      <w:r w:rsidRPr="008912CF">
        <w:rPr>
          <w:sz w:val="22"/>
          <w:szCs w:val="22"/>
        </w:rPr>
        <w:t>.</w:t>
      </w:r>
    </w:p>
    <w:p w14:paraId="7E90445B" w14:textId="77777777" w:rsidR="00806748" w:rsidRPr="008912CF" w:rsidRDefault="00615769" w:rsidP="00806748">
      <w:pPr>
        <w:numPr>
          <w:ilvl w:val="0"/>
          <w:numId w:val="77"/>
        </w:numPr>
        <w:tabs>
          <w:tab w:val="clear" w:pos="360"/>
          <w:tab w:val="num" w:pos="567"/>
        </w:tabs>
        <w:ind w:left="567" w:hanging="567"/>
        <w:rPr>
          <w:sz w:val="22"/>
          <w:szCs w:val="22"/>
        </w:rPr>
      </w:pPr>
      <w:r>
        <w:rPr>
          <w:sz w:val="22"/>
          <w:szCs w:val="22"/>
        </w:rPr>
        <w:t>6 canetas</w:t>
      </w:r>
      <w:r w:rsidRPr="008912CF">
        <w:rPr>
          <w:sz w:val="22"/>
          <w:szCs w:val="22"/>
        </w:rPr>
        <w:t xml:space="preserve"> pré-cheias (0,</w:t>
      </w:r>
      <w:r>
        <w:rPr>
          <w:sz w:val="22"/>
          <w:szCs w:val="22"/>
        </w:rPr>
        <w:t>4</w:t>
      </w:r>
      <w:r w:rsidRPr="008912CF">
        <w:rPr>
          <w:sz w:val="22"/>
          <w:szCs w:val="22"/>
        </w:rPr>
        <w:t xml:space="preserve"> ml de solução estéril), cada uma com 1 compressa embebida em álcool, em </w:t>
      </w:r>
      <w:r w:rsidRPr="008912CF">
        <w:rPr>
          <w:i/>
          <w:iCs/>
          <w:sz w:val="22"/>
          <w:szCs w:val="22"/>
        </w:rPr>
        <w:t>blister</w:t>
      </w:r>
      <w:r w:rsidRPr="008912CF">
        <w:rPr>
          <w:sz w:val="22"/>
          <w:szCs w:val="22"/>
        </w:rPr>
        <w:t>.</w:t>
      </w:r>
    </w:p>
    <w:p w14:paraId="7F9B4B92" w14:textId="77777777" w:rsidR="004462A0" w:rsidRPr="008912CF" w:rsidRDefault="004462A0" w:rsidP="004462A0">
      <w:pPr>
        <w:tabs>
          <w:tab w:val="num" w:pos="567"/>
        </w:tabs>
        <w:suppressAutoHyphens/>
        <w:rPr>
          <w:sz w:val="20"/>
          <w:szCs w:val="20"/>
        </w:rPr>
      </w:pPr>
    </w:p>
    <w:p w14:paraId="03AF0B44" w14:textId="77777777" w:rsidR="004462A0" w:rsidRPr="008912CF" w:rsidRDefault="00615769" w:rsidP="004462A0">
      <w:pPr>
        <w:suppressAutoHyphens/>
        <w:rPr>
          <w:sz w:val="22"/>
        </w:rPr>
      </w:pPr>
      <w:r w:rsidRPr="008912CF">
        <w:rPr>
          <w:sz w:val="22"/>
          <w:szCs w:val="22"/>
        </w:rPr>
        <w:t>É possível que não sejam comercia</w:t>
      </w:r>
      <w:r w:rsidR="00BF3168">
        <w:rPr>
          <w:sz w:val="22"/>
          <w:szCs w:val="22"/>
        </w:rPr>
        <w:t>lizadas todas as apresentações.</w:t>
      </w:r>
    </w:p>
    <w:p w14:paraId="6D4FE07B" w14:textId="77777777" w:rsidR="004462A0" w:rsidRPr="00431557" w:rsidRDefault="004462A0" w:rsidP="004462A0">
      <w:pPr>
        <w:rPr>
          <w:sz w:val="22"/>
          <w:szCs w:val="22"/>
        </w:rPr>
      </w:pPr>
    </w:p>
    <w:p w14:paraId="2C63B20A" w14:textId="77777777" w:rsidR="004462A0" w:rsidRPr="008912CF" w:rsidRDefault="00615769" w:rsidP="00AD6FCC">
      <w:pPr>
        <w:keepNext/>
        <w:rPr>
          <w:sz w:val="22"/>
          <w:szCs w:val="22"/>
        </w:rPr>
      </w:pPr>
      <w:r w:rsidRPr="008912CF">
        <w:rPr>
          <w:b/>
          <w:sz w:val="22"/>
          <w:szCs w:val="22"/>
        </w:rPr>
        <w:t>6.6</w:t>
      </w:r>
      <w:r w:rsidRPr="008912CF">
        <w:rPr>
          <w:b/>
          <w:sz w:val="22"/>
          <w:szCs w:val="22"/>
        </w:rPr>
        <w:tab/>
        <w:t>Pre</w:t>
      </w:r>
      <w:r w:rsidR="00BF3168">
        <w:rPr>
          <w:b/>
          <w:sz w:val="22"/>
          <w:szCs w:val="22"/>
        </w:rPr>
        <w:t>cauções especiais de eliminação</w:t>
      </w:r>
    </w:p>
    <w:p w14:paraId="07B1FE15" w14:textId="77777777" w:rsidR="004462A0" w:rsidRPr="008912CF" w:rsidRDefault="004462A0" w:rsidP="00AD6FCC">
      <w:pPr>
        <w:keepNext/>
        <w:rPr>
          <w:sz w:val="22"/>
          <w:szCs w:val="22"/>
        </w:rPr>
      </w:pPr>
    </w:p>
    <w:p w14:paraId="526D13F1" w14:textId="77777777" w:rsidR="004462A0" w:rsidRPr="008912CF" w:rsidRDefault="00615769" w:rsidP="00AD6FCC">
      <w:pPr>
        <w:keepNext/>
        <w:rPr>
          <w:sz w:val="22"/>
          <w:szCs w:val="22"/>
        </w:rPr>
      </w:pPr>
      <w:r>
        <w:rPr>
          <w:sz w:val="22"/>
          <w:szCs w:val="22"/>
        </w:rPr>
        <w:t>Qualquer medicamento</w:t>
      </w:r>
      <w:r w:rsidRPr="008912CF">
        <w:rPr>
          <w:sz w:val="22"/>
          <w:szCs w:val="22"/>
        </w:rPr>
        <w:t xml:space="preserve"> não utilizado ou resíduos devem ser eliminados de a</w:t>
      </w:r>
      <w:r w:rsidR="00BF3168">
        <w:rPr>
          <w:sz w:val="22"/>
          <w:szCs w:val="22"/>
        </w:rPr>
        <w:t>cordo com as exigências locais.</w:t>
      </w:r>
    </w:p>
    <w:p w14:paraId="3DA2D3C0" w14:textId="77777777" w:rsidR="004462A0" w:rsidRPr="008912CF" w:rsidRDefault="004462A0" w:rsidP="004462A0">
      <w:pPr>
        <w:rPr>
          <w:sz w:val="22"/>
          <w:szCs w:val="22"/>
        </w:rPr>
      </w:pPr>
    </w:p>
    <w:p w14:paraId="2AA2465E" w14:textId="77777777" w:rsidR="004462A0" w:rsidRPr="008912CF" w:rsidRDefault="004462A0" w:rsidP="004462A0">
      <w:pPr>
        <w:rPr>
          <w:sz w:val="22"/>
          <w:szCs w:val="22"/>
        </w:rPr>
      </w:pPr>
    </w:p>
    <w:p w14:paraId="2E7240EB" w14:textId="77777777" w:rsidR="004462A0" w:rsidRPr="008912CF" w:rsidRDefault="00615769" w:rsidP="004462A0">
      <w:pPr>
        <w:keepNext/>
        <w:ind w:left="567" w:hanging="567"/>
        <w:rPr>
          <w:sz w:val="22"/>
          <w:szCs w:val="22"/>
        </w:rPr>
      </w:pPr>
      <w:r w:rsidRPr="008912CF">
        <w:rPr>
          <w:b/>
          <w:sz w:val="22"/>
          <w:szCs w:val="22"/>
        </w:rPr>
        <w:t>7.</w:t>
      </w:r>
      <w:r w:rsidRPr="008912CF">
        <w:rPr>
          <w:b/>
          <w:sz w:val="22"/>
          <w:szCs w:val="22"/>
        </w:rPr>
        <w:tab/>
        <w:t>TITULAR DA AUTOR</w:t>
      </w:r>
      <w:r w:rsidR="00BF3168">
        <w:rPr>
          <w:b/>
          <w:sz w:val="22"/>
          <w:szCs w:val="22"/>
        </w:rPr>
        <w:t>IZAÇÃO DE INTRODUÇÃO NO MERCADO</w:t>
      </w:r>
    </w:p>
    <w:p w14:paraId="703136C2" w14:textId="77777777" w:rsidR="004462A0" w:rsidRPr="008912CF" w:rsidRDefault="004462A0" w:rsidP="004462A0">
      <w:pPr>
        <w:keepNext/>
        <w:rPr>
          <w:sz w:val="22"/>
          <w:szCs w:val="22"/>
        </w:rPr>
      </w:pPr>
    </w:p>
    <w:p w14:paraId="2B0EA3F1" w14:textId="77777777" w:rsidR="00C4636A" w:rsidRPr="00140752" w:rsidRDefault="00615769" w:rsidP="00C4636A">
      <w:pPr>
        <w:keepNext/>
        <w:rPr>
          <w:sz w:val="22"/>
          <w:szCs w:val="22"/>
          <w:lang w:val="de-DE"/>
        </w:rPr>
      </w:pPr>
      <w:r w:rsidRPr="00140752">
        <w:rPr>
          <w:sz w:val="22"/>
          <w:szCs w:val="22"/>
          <w:lang w:val="de-DE"/>
        </w:rPr>
        <w:t>AbbVie Deutschland GmbH &amp; Co. KG</w:t>
      </w:r>
    </w:p>
    <w:p w14:paraId="6BB42AF1" w14:textId="77777777" w:rsidR="00C4636A" w:rsidRPr="008D6D3A" w:rsidRDefault="00615769" w:rsidP="00C4636A">
      <w:pPr>
        <w:keepNext/>
        <w:rPr>
          <w:sz w:val="22"/>
          <w:szCs w:val="22"/>
          <w:lang w:val="de-CH"/>
        </w:rPr>
      </w:pPr>
      <w:r w:rsidRPr="008D6D3A">
        <w:rPr>
          <w:sz w:val="22"/>
          <w:szCs w:val="22"/>
          <w:lang w:val="de-CH"/>
        </w:rPr>
        <w:t>Knollstrasse</w:t>
      </w:r>
    </w:p>
    <w:p w14:paraId="79E049F2" w14:textId="77777777" w:rsidR="00C4636A" w:rsidRPr="00C4636A" w:rsidRDefault="00615769" w:rsidP="00C4636A">
      <w:pPr>
        <w:keepNext/>
        <w:rPr>
          <w:sz w:val="22"/>
          <w:szCs w:val="22"/>
        </w:rPr>
      </w:pPr>
      <w:r w:rsidRPr="00C4636A">
        <w:rPr>
          <w:sz w:val="22"/>
          <w:szCs w:val="22"/>
        </w:rPr>
        <w:t>67061 Ludwigshafen</w:t>
      </w:r>
    </w:p>
    <w:p w14:paraId="2C81C66C" w14:textId="77777777" w:rsidR="004462A0" w:rsidRPr="008912CF" w:rsidRDefault="00615769" w:rsidP="004462A0">
      <w:pPr>
        <w:keepNext/>
        <w:rPr>
          <w:sz w:val="22"/>
          <w:szCs w:val="22"/>
        </w:rPr>
      </w:pPr>
      <w:r w:rsidRPr="00C4636A">
        <w:rPr>
          <w:sz w:val="22"/>
          <w:szCs w:val="22"/>
        </w:rPr>
        <w:t>Alemanha</w:t>
      </w:r>
    </w:p>
    <w:p w14:paraId="09A5DA4E" w14:textId="77777777" w:rsidR="004462A0" w:rsidRPr="008912CF" w:rsidRDefault="004462A0" w:rsidP="004462A0">
      <w:pPr>
        <w:rPr>
          <w:sz w:val="22"/>
          <w:szCs w:val="22"/>
        </w:rPr>
      </w:pPr>
    </w:p>
    <w:p w14:paraId="3AB4973C" w14:textId="77777777" w:rsidR="004462A0" w:rsidRPr="008912CF" w:rsidRDefault="004462A0" w:rsidP="004462A0">
      <w:pPr>
        <w:rPr>
          <w:sz w:val="22"/>
          <w:szCs w:val="22"/>
        </w:rPr>
      </w:pPr>
    </w:p>
    <w:p w14:paraId="3D1ABBC7" w14:textId="77777777" w:rsidR="004462A0" w:rsidRPr="008912CF" w:rsidRDefault="00615769" w:rsidP="002F486F">
      <w:pPr>
        <w:keepNext/>
        <w:ind w:left="567" w:hanging="567"/>
        <w:rPr>
          <w:b/>
          <w:sz w:val="22"/>
          <w:szCs w:val="22"/>
        </w:rPr>
      </w:pPr>
      <w:r w:rsidRPr="008912CF">
        <w:rPr>
          <w:b/>
          <w:sz w:val="22"/>
          <w:szCs w:val="22"/>
        </w:rPr>
        <w:t>8.</w:t>
      </w:r>
      <w:r w:rsidRPr="008912CF">
        <w:rPr>
          <w:b/>
          <w:sz w:val="22"/>
          <w:szCs w:val="22"/>
        </w:rPr>
        <w:tab/>
        <w:t>NÚMERO</w:t>
      </w:r>
      <w:r>
        <w:rPr>
          <w:b/>
          <w:sz w:val="22"/>
          <w:szCs w:val="22"/>
        </w:rPr>
        <w:t>S</w:t>
      </w:r>
      <w:r w:rsidRPr="008912CF">
        <w:rPr>
          <w:b/>
          <w:sz w:val="22"/>
          <w:szCs w:val="22"/>
        </w:rPr>
        <w:t xml:space="preserve"> DA AUTOR</w:t>
      </w:r>
      <w:r w:rsidR="00BF3168">
        <w:rPr>
          <w:b/>
          <w:sz w:val="22"/>
          <w:szCs w:val="22"/>
        </w:rPr>
        <w:t>IZAÇÃO DE INTRODUÇÃO NO MERCADO</w:t>
      </w:r>
    </w:p>
    <w:p w14:paraId="45A2991C" w14:textId="77777777" w:rsidR="004462A0" w:rsidRPr="008912CF" w:rsidRDefault="004462A0" w:rsidP="002F486F">
      <w:pPr>
        <w:keepNext/>
        <w:rPr>
          <w:sz w:val="22"/>
          <w:szCs w:val="22"/>
        </w:rPr>
      </w:pPr>
    </w:p>
    <w:p w14:paraId="09D89C85" w14:textId="77777777" w:rsidR="004462A0" w:rsidRPr="00D64F3A" w:rsidRDefault="00615769" w:rsidP="002F486F">
      <w:pPr>
        <w:keepNext/>
        <w:tabs>
          <w:tab w:val="left" w:pos="562"/>
        </w:tabs>
        <w:suppressAutoHyphens/>
        <w:rPr>
          <w:sz w:val="22"/>
          <w:u w:val="single"/>
        </w:rPr>
      </w:pPr>
      <w:r w:rsidRPr="00D64F3A">
        <w:rPr>
          <w:sz w:val="22"/>
          <w:u w:val="single"/>
        </w:rPr>
        <w:t>Humira 40</w:t>
      </w:r>
      <w:r>
        <w:rPr>
          <w:sz w:val="22"/>
          <w:u w:val="single"/>
        </w:rPr>
        <w:t> </w:t>
      </w:r>
      <w:r w:rsidRPr="00D64F3A">
        <w:rPr>
          <w:sz w:val="22"/>
          <w:u w:val="single"/>
        </w:rPr>
        <w:t>mg solução injetável em seringa pré-cheia</w:t>
      </w:r>
    </w:p>
    <w:p w14:paraId="55F94985" w14:textId="77777777" w:rsidR="004462A0" w:rsidRPr="008912CF" w:rsidRDefault="00615769" w:rsidP="002F486F">
      <w:pPr>
        <w:keepNext/>
        <w:tabs>
          <w:tab w:val="left" w:pos="562"/>
        </w:tabs>
        <w:suppressAutoHyphens/>
        <w:rPr>
          <w:sz w:val="22"/>
        </w:rPr>
      </w:pPr>
      <w:r w:rsidRPr="008912CF">
        <w:rPr>
          <w:sz w:val="22"/>
        </w:rPr>
        <w:t>EU/1/03/256/012</w:t>
      </w:r>
    </w:p>
    <w:p w14:paraId="57865DCA" w14:textId="77777777" w:rsidR="004462A0" w:rsidRPr="008912CF" w:rsidRDefault="00615769" w:rsidP="002F486F">
      <w:pPr>
        <w:keepNext/>
        <w:tabs>
          <w:tab w:val="left" w:pos="562"/>
        </w:tabs>
        <w:suppressAutoHyphens/>
        <w:rPr>
          <w:sz w:val="22"/>
        </w:rPr>
      </w:pPr>
      <w:r w:rsidRPr="008912CF">
        <w:rPr>
          <w:sz w:val="22"/>
        </w:rPr>
        <w:t>EU/1/03/256/013</w:t>
      </w:r>
    </w:p>
    <w:p w14:paraId="58C8EC7E" w14:textId="77777777" w:rsidR="004462A0" w:rsidRPr="008912CF" w:rsidRDefault="00615769" w:rsidP="002F486F">
      <w:pPr>
        <w:keepNext/>
        <w:tabs>
          <w:tab w:val="left" w:pos="562"/>
        </w:tabs>
        <w:suppressAutoHyphens/>
        <w:rPr>
          <w:sz w:val="22"/>
          <w:szCs w:val="20"/>
        </w:rPr>
      </w:pPr>
      <w:r w:rsidRPr="008912CF">
        <w:rPr>
          <w:sz w:val="22"/>
          <w:szCs w:val="20"/>
        </w:rPr>
        <w:t>EU/1/03/256/014</w:t>
      </w:r>
    </w:p>
    <w:p w14:paraId="2F257D02" w14:textId="77777777" w:rsidR="004462A0" w:rsidRPr="008912CF" w:rsidRDefault="00615769" w:rsidP="004462A0">
      <w:pPr>
        <w:tabs>
          <w:tab w:val="left" w:pos="562"/>
        </w:tabs>
        <w:suppressAutoHyphens/>
        <w:rPr>
          <w:sz w:val="22"/>
          <w:szCs w:val="20"/>
        </w:rPr>
      </w:pPr>
      <w:r w:rsidRPr="008912CF">
        <w:rPr>
          <w:sz w:val="22"/>
          <w:szCs w:val="20"/>
        </w:rPr>
        <w:t>EU/1/03/256/015</w:t>
      </w:r>
    </w:p>
    <w:p w14:paraId="4C398A65" w14:textId="77777777" w:rsidR="00CA02C4" w:rsidRDefault="00CA02C4" w:rsidP="004462A0">
      <w:pPr>
        <w:rPr>
          <w:sz w:val="22"/>
          <w:szCs w:val="22"/>
        </w:rPr>
      </w:pPr>
    </w:p>
    <w:p w14:paraId="567F2845" w14:textId="77777777" w:rsidR="004462A0" w:rsidRPr="00D64F3A" w:rsidRDefault="00615769" w:rsidP="004462A0">
      <w:pPr>
        <w:rPr>
          <w:sz w:val="22"/>
          <w:szCs w:val="22"/>
          <w:u w:val="single"/>
        </w:rPr>
      </w:pPr>
      <w:r w:rsidRPr="00D64F3A">
        <w:rPr>
          <w:sz w:val="22"/>
          <w:szCs w:val="22"/>
          <w:u w:val="single"/>
        </w:rPr>
        <w:t>Humira 40</w:t>
      </w:r>
      <w:r>
        <w:rPr>
          <w:sz w:val="22"/>
          <w:szCs w:val="22"/>
          <w:u w:val="single"/>
        </w:rPr>
        <w:t> </w:t>
      </w:r>
      <w:r w:rsidRPr="00D64F3A">
        <w:rPr>
          <w:sz w:val="22"/>
          <w:szCs w:val="22"/>
          <w:u w:val="single"/>
        </w:rPr>
        <w:t>mg solução injetável em caneta pré-cheia</w:t>
      </w:r>
    </w:p>
    <w:p w14:paraId="6738C843" w14:textId="77777777" w:rsidR="004462A0" w:rsidRPr="00B427DD" w:rsidRDefault="00615769" w:rsidP="004462A0">
      <w:pPr>
        <w:tabs>
          <w:tab w:val="left" w:pos="562"/>
        </w:tabs>
        <w:suppressAutoHyphens/>
        <w:rPr>
          <w:rFonts w:eastAsia="Times New Roman"/>
          <w:sz w:val="22"/>
          <w:szCs w:val="20"/>
        </w:rPr>
      </w:pPr>
      <w:r w:rsidRPr="00B427DD">
        <w:rPr>
          <w:rFonts w:eastAsia="Times New Roman"/>
          <w:sz w:val="22"/>
          <w:szCs w:val="20"/>
        </w:rPr>
        <w:t>EU/1/03/256/016</w:t>
      </w:r>
    </w:p>
    <w:p w14:paraId="0867B372" w14:textId="77777777" w:rsidR="004462A0" w:rsidRPr="00B427DD" w:rsidRDefault="00615769" w:rsidP="004462A0">
      <w:pPr>
        <w:tabs>
          <w:tab w:val="left" w:pos="562"/>
        </w:tabs>
        <w:suppressAutoHyphens/>
        <w:rPr>
          <w:rFonts w:eastAsia="Times New Roman"/>
          <w:sz w:val="22"/>
          <w:szCs w:val="20"/>
        </w:rPr>
      </w:pPr>
      <w:r w:rsidRPr="00B427DD">
        <w:rPr>
          <w:rFonts w:eastAsia="Times New Roman"/>
          <w:sz w:val="22"/>
          <w:szCs w:val="20"/>
        </w:rPr>
        <w:t>EU/1/03/256/017</w:t>
      </w:r>
    </w:p>
    <w:p w14:paraId="0D5BCE9F" w14:textId="77777777" w:rsidR="004462A0" w:rsidRPr="00B427DD" w:rsidRDefault="00615769" w:rsidP="004462A0">
      <w:pPr>
        <w:tabs>
          <w:tab w:val="left" w:pos="562"/>
        </w:tabs>
        <w:suppressAutoHyphens/>
        <w:rPr>
          <w:rFonts w:eastAsia="Times New Roman"/>
          <w:sz w:val="22"/>
          <w:szCs w:val="20"/>
        </w:rPr>
      </w:pPr>
      <w:r w:rsidRPr="00B427DD">
        <w:rPr>
          <w:rFonts w:eastAsia="Times New Roman"/>
          <w:sz w:val="22"/>
          <w:szCs w:val="20"/>
        </w:rPr>
        <w:t>EU/1/03/256/018</w:t>
      </w:r>
    </w:p>
    <w:p w14:paraId="161251B4" w14:textId="77777777" w:rsidR="004462A0" w:rsidRDefault="00615769" w:rsidP="004462A0">
      <w:pPr>
        <w:rPr>
          <w:sz w:val="22"/>
          <w:szCs w:val="22"/>
        </w:rPr>
      </w:pPr>
      <w:r w:rsidRPr="00B427DD">
        <w:rPr>
          <w:rFonts w:eastAsia="Times New Roman"/>
          <w:sz w:val="22"/>
          <w:szCs w:val="20"/>
        </w:rPr>
        <w:t>EU/1/03/256/019</w:t>
      </w:r>
    </w:p>
    <w:p w14:paraId="57D512BF" w14:textId="77777777" w:rsidR="004462A0" w:rsidRDefault="004462A0" w:rsidP="004462A0">
      <w:pPr>
        <w:rPr>
          <w:sz w:val="22"/>
          <w:szCs w:val="22"/>
        </w:rPr>
      </w:pPr>
    </w:p>
    <w:p w14:paraId="243D179C" w14:textId="77777777" w:rsidR="004462A0" w:rsidRPr="008912CF" w:rsidRDefault="004462A0" w:rsidP="004462A0">
      <w:pPr>
        <w:rPr>
          <w:sz w:val="22"/>
          <w:szCs w:val="22"/>
        </w:rPr>
      </w:pPr>
    </w:p>
    <w:p w14:paraId="56BF7691" w14:textId="77777777" w:rsidR="004462A0" w:rsidRPr="008912CF" w:rsidRDefault="00615769" w:rsidP="004462A0">
      <w:pPr>
        <w:keepNext/>
        <w:ind w:left="567" w:hanging="567"/>
        <w:rPr>
          <w:sz w:val="22"/>
          <w:szCs w:val="22"/>
        </w:rPr>
      </w:pPr>
      <w:r w:rsidRPr="008912CF">
        <w:rPr>
          <w:b/>
          <w:sz w:val="22"/>
          <w:szCs w:val="22"/>
        </w:rPr>
        <w:t>9.</w:t>
      </w:r>
      <w:r w:rsidRPr="008912CF">
        <w:rPr>
          <w:b/>
          <w:sz w:val="22"/>
          <w:szCs w:val="22"/>
        </w:rPr>
        <w:tab/>
        <w:t>DATA DA PRIMEIRA AUTORIZAÇÃO/RENOVAÇÃO DA AUTOR</w:t>
      </w:r>
      <w:r w:rsidR="00BF3168">
        <w:rPr>
          <w:b/>
          <w:sz w:val="22"/>
          <w:szCs w:val="22"/>
        </w:rPr>
        <w:t>IZAÇÃO DE INTRODUÇÃO NO MERCADO</w:t>
      </w:r>
    </w:p>
    <w:p w14:paraId="0A3469AD" w14:textId="77777777" w:rsidR="004462A0" w:rsidRPr="008912CF" w:rsidRDefault="004462A0" w:rsidP="004462A0">
      <w:pPr>
        <w:keepNext/>
        <w:rPr>
          <w:sz w:val="22"/>
          <w:szCs w:val="22"/>
        </w:rPr>
      </w:pPr>
    </w:p>
    <w:p w14:paraId="17C6D2E3" w14:textId="77777777" w:rsidR="004462A0" w:rsidRPr="008912CF" w:rsidRDefault="00615769" w:rsidP="004462A0">
      <w:pPr>
        <w:keepNext/>
        <w:textAlignment w:val="top"/>
        <w:rPr>
          <w:color w:val="888888"/>
          <w:sz w:val="22"/>
          <w:szCs w:val="22"/>
        </w:rPr>
      </w:pPr>
      <w:r w:rsidRPr="008912CF">
        <w:rPr>
          <w:sz w:val="22"/>
          <w:szCs w:val="22"/>
        </w:rPr>
        <w:t xml:space="preserve">Data da primeira autorização: 08 </w:t>
      </w:r>
      <w:r w:rsidR="00E7501D">
        <w:rPr>
          <w:sz w:val="22"/>
          <w:szCs w:val="22"/>
        </w:rPr>
        <w:t xml:space="preserve">de </w:t>
      </w:r>
      <w:r w:rsidRPr="008912CF">
        <w:rPr>
          <w:rStyle w:val="hps"/>
          <w:color w:val="000000"/>
          <w:sz w:val="22"/>
          <w:szCs w:val="22"/>
        </w:rPr>
        <w:t>setembro</w:t>
      </w:r>
      <w:r w:rsidR="00E7501D">
        <w:rPr>
          <w:rStyle w:val="hps"/>
          <w:color w:val="000000"/>
          <w:sz w:val="22"/>
          <w:szCs w:val="22"/>
        </w:rPr>
        <w:t xml:space="preserve"> de</w:t>
      </w:r>
      <w:r w:rsidRPr="008912CF">
        <w:rPr>
          <w:rStyle w:val="hps"/>
          <w:color w:val="000000"/>
          <w:sz w:val="22"/>
          <w:szCs w:val="22"/>
        </w:rPr>
        <w:t xml:space="preserve"> 2003</w:t>
      </w:r>
    </w:p>
    <w:p w14:paraId="41951B6B" w14:textId="77777777" w:rsidR="004462A0" w:rsidRPr="008912CF" w:rsidRDefault="00615769" w:rsidP="004462A0">
      <w:pPr>
        <w:pStyle w:val="IndexHeading"/>
        <w:keepNext/>
        <w:tabs>
          <w:tab w:val="clear" w:pos="567"/>
        </w:tabs>
        <w:spacing w:line="240" w:lineRule="auto"/>
        <w:ind w:left="567" w:hanging="567"/>
        <w:rPr>
          <w:rFonts w:ascii="Times New Roman" w:hAnsi="Times New Roman"/>
          <w:b w:val="0"/>
          <w:bCs/>
          <w:szCs w:val="22"/>
          <w:lang w:val="pt-PT"/>
        </w:rPr>
      </w:pPr>
      <w:r w:rsidRPr="008912CF">
        <w:rPr>
          <w:rFonts w:ascii="Times New Roman" w:hAnsi="Times New Roman"/>
          <w:b w:val="0"/>
          <w:szCs w:val="22"/>
          <w:lang w:val="pt-PT"/>
        </w:rPr>
        <w:t xml:space="preserve">Data da última renovação: 08 </w:t>
      </w:r>
      <w:r w:rsidR="00E7501D">
        <w:rPr>
          <w:rFonts w:ascii="Times New Roman" w:hAnsi="Times New Roman"/>
          <w:b w:val="0"/>
          <w:szCs w:val="22"/>
          <w:lang w:val="pt-PT"/>
        </w:rPr>
        <w:t xml:space="preserve">de </w:t>
      </w:r>
      <w:r w:rsidRPr="008912CF">
        <w:rPr>
          <w:rStyle w:val="hps"/>
          <w:rFonts w:ascii="Times New Roman" w:hAnsi="Times New Roman"/>
          <w:b w:val="0"/>
          <w:color w:val="000000"/>
          <w:szCs w:val="22"/>
          <w:lang w:val="pt-PT"/>
        </w:rPr>
        <w:t xml:space="preserve">setembro </w:t>
      </w:r>
      <w:r w:rsidR="00E7501D">
        <w:rPr>
          <w:rStyle w:val="hps"/>
          <w:rFonts w:ascii="Times New Roman" w:hAnsi="Times New Roman"/>
          <w:b w:val="0"/>
          <w:color w:val="000000"/>
          <w:szCs w:val="22"/>
          <w:lang w:val="pt-PT"/>
        </w:rPr>
        <w:t xml:space="preserve">de </w:t>
      </w:r>
      <w:r w:rsidRPr="008912CF">
        <w:rPr>
          <w:rStyle w:val="hps"/>
          <w:rFonts w:ascii="Times New Roman" w:hAnsi="Times New Roman"/>
          <w:b w:val="0"/>
          <w:color w:val="000000"/>
          <w:szCs w:val="22"/>
          <w:lang w:val="pt-PT"/>
        </w:rPr>
        <w:t>2008</w:t>
      </w:r>
    </w:p>
    <w:p w14:paraId="1049A041" w14:textId="77777777" w:rsidR="004462A0" w:rsidRPr="008912CF" w:rsidRDefault="004462A0" w:rsidP="004462A0">
      <w:pPr>
        <w:rPr>
          <w:sz w:val="22"/>
          <w:szCs w:val="22"/>
        </w:rPr>
      </w:pPr>
    </w:p>
    <w:p w14:paraId="7395A2EB" w14:textId="77777777" w:rsidR="004462A0" w:rsidRPr="008912CF" w:rsidRDefault="004462A0" w:rsidP="004462A0">
      <w:pPr>
        <w:pStyle w:val="EndnoteText"/>
        <w:tabs>
          <w:tab w:val="clear" w:pos="567"/>
        </w:tabs>
        <w:rPr>
          <w:szCs w:val="22"/>
        </w:rPr>
      </w:pPr>
    </w:p>
    <w:p w14:paraId="4E98123F" w14:textId="77777777" w:rsidR="004462A0" w:rsidRPr="008912CF" w:rsidRDefault="00615769" w:rsidP="004462A0">
      <w:pPr>
        <w:ind w:left="567" w:hanging="567"/>
        <w:rPr>
          <w:b/>
          <w:bCs/>
          <w:sz w:val="22"/>
          <w:szCs w:val="22"/>
        </w:rPr>
      </w:pPr>
      <w:r w:rsidRPr="008912CF">
        <w:rPr>
          <w:b/>
          <w:bCs/>
          <w:sz w:val="22"/>
          <w:szCs w:val="22"/>
        </w:rPr>
        <w:t>10.</w:t>
      </w:r>
      <w:r w:rsidRPr="008912CF">
        <w:rPr>
          <w:b/>
          <w:bCs/>
          <w:sz w:val="22"/>
          <w:szCs w:val="22"/>
        </w:rPr>
        <w:tab/>
      </w:r>
      <w:r w:rsidRPr="008912CF">
        <w:rPr>
          <w:b/>
          <w:sz w:val="22"/>
          <w:szCs w:val="22"/>
        </w:rPr>
        <w:t>DATA DA REVISÃO DO TEXTO</w:t>
      </w:r>
    </w:p>
    <w:p w14:paraId="3B00E4E9" w14:textId="77777777" w:rsidR="004462A0" w:rsidRPr="008912CF" w:rsidRDefault="004462A0" w:rsidP="004462A0">
      <w:pPr>
        <w:rPr>
          <w:bCs/>
          <w:sz w:val="22"/>
          <w:szCs w:val="22"/>
        </w:rPr>
      </w:pPr>
    </w:p>
    <w:p w14:paraId="2C5A994F" w14:textId="7FA212B6" w:rsidR="004462A0" w:rsidRPr="00CC4B51" w:rsidRDefault="00615769" w:rsidP="004462A0">
      <w:pPr>
        <w:rPr>
          <w:szCs w:val="22"/>
        </w:rPr>
      </w:pPr>
      <w:r w:rsidRPr="008912CF">
        <w:rPr>
          <w:sz w:val="22"/>
          <w:szCs w:val="22"/>
        </w:rPr>
        <w:t xml:space="preserve">Está disponível informação pormenorizada sobre este medicamento no sítio da internet da Agência Europeia de Medicamentos: </w:t>
      </w:r>
      <w:ins w:id="11438" w:author="AbbVie2" w:date="2025-05-19T09:57:00Z">
        <w:r w:rsidR="00EA4F7C">
          <w:rPr>
            <w:sz w:val="22"/>
            <w:szCs w:val="22"/>
          </w:rPr>
          <w:fldChar w:fldCharType="begin"/>
        </w:r>
        <w:r w:rsidR="00EA4F7C">
          <w:rPr>
            <w:sz w:val="22"/>
            <w:szCs w:val="22"/>
          </w:rPr>
          <w:instrText>HYPERLINK "</w:instrText>
        </w:r>
      </w:ins>
      <w:r w:rsidR="00EA4F7C" w:rsidRPr="008912CF">
        <w:rPr>
          <w:sz w:val="22"/>
          <w:szCs w:val="22"/>
        </w:rPr>
        <w:instrText>http</w:instrText>
      </w:r>
      <w:ins w:id="11439" w:author="AbbVie2" w:date="2025-05-16T15:35:00Z">
        <w:r w:rsidR="00EA4F7C">
          <w:rPr>
            <w:sz w:val="22"/>
            <w:szCs w:val="22"/>
          </w:rPr>
          <w:instrText>s</w:instrText>
        </w:r>
      </w:ins>
      <w:r w:rsidR="00EA4F7C" w:rsidRPr="008912CF">
        <w:rPr>
          <w:sz w:val="22"/>
          <w:szCs w:val="22"/>
        </w:rPr>
        <w:instrText>://www.ema.europa.eu</w:instrText>
      </w:r>
      <w:ins w:id="11440" w:author="AbbVie2" w:date="2025-05-19T09:57:00Z">
        <w:r w:rsidR="00EA4F7C">
          <w:rPr>
            <w:sz w:val="22"/>
            <w:szCs w:val="22"/>
          </w:rPr>
          <w:instrText>"</w:instrText>
        </w:r>
        <w:r w:rsidR="00EA4F7C">
          <w:rPr>
            <w:sz w:val="22"/>
            <w:szCs w:val="22"/>
          </w:rPr>
        </w:r>
        <w:r w:rsidR="00EA4F7C">
          <w:rPr>
            <w:sz w:val="22"/>
            <w:szCs w:val="22"/>
          </w:rPr>
          <w:fldChar w:fldCharType="separate"/>
        </w:r>
      </w:ins>
      <w:r w:rsidR="00EA4F7C" w:rsidRPr="005B0539">
        <w:rPr>
          <w:rStyle w:val="Hyperlink"/>
          <w:sz w:val="22"/>
          <w:szCs w:val="22"/>
        </w:rPr>
        <w:t>http</w:t>
      </w:r>
      <w:ins w:id="11441" w:author="AbbVie2" w:date="2025-05-16T15:35:00Z">
        <w:r w:rsidR="00EA4F7C" w:rsidRPr="005B0539">
          <w:rPr>
            <w:rStyle w:val="Hyperlink"/>
            <w:sz w:val="22"/>
            <w:szCs w:val="22"/>
          </w:rPr>
          <w:t>s</w:t>
        </w:r>
      </w:ins>
      <w:r w:rsidR="00EA4F7C" w:rsidRPr="005B0539">
        <w:rPr>
          <w:rStyle w:val="Hyperlink"/>
          <w:sz w:val="22"/>
          <w:szCs w:val="22"/>
        </w:rPr>
        <w:t>://www.ema.europa.eu</w:t>
      </w:r>
      <w:ins w:id="11442" w:author="AbbVie2" w:date="2025-05-19T09:57:00Z">
        <w:r w:rsidR="00EA4F7C">
          <w:rPr>
            <w:sz w:val="22"/>
            <w:szCs w:val="22"/>
          </w:rPr>
          <w:fldChar w:fldCharType="end"/>
        </w:r>
        <w:r w:rsidR="00EA4F7C">
          <w:rPr>
            <w:sz w:val="22"/>
            <w:szCs w:val="22"/>
          </w:rPr>
          <w:t xml:space="preserve"> </w:t>
        </w:r>
      </w:ins>
      <w:r w:rsidRPr="008912CF">
        <w:rPr>
          <w:sz w:val="22"/>
          <w:szCs w:val="22"/>
        </w:rPr>
        <w:br w:type="page"/>
      </w:r>
      <w:r w:rsidRPr="00CC4B51">
        <w:rPr>
          <w:b/>
          <w:bCs/>
          <w:szCs w:val="22"/>
        </w:rPr>
        <w:t>1.</w:t>
      </w:r>
      <w:r w:rsidRPr="00CC4B51">
        <w:rPr>
          <w:b/>
          <w:bCs/>
          <w:szCs w:val="22"/>
        </w:rPr>
        <w:tab/>
      </w:r>
      <w:r w:rsidRPr="00CC4B51">
        <w:rPr>
          <w:b/>
          <w:bCs/>
          <w:sz w:val="22"/>
          <w:szCs w:val="22"/>
        </w:rPr>
        <w:t>NOME DO MEDICAMENTO</w:t>
      </w:r>
    </w:p>
    <w:p w14:paraId="2AB83D4C" w14:textId="77777777" w:rsidR="004462A0" w:rsidRPr="00CC4B51" w:rsidRDefault="004462A0" w:rsidP="004462A0">
      <w:pPr>
        <w:rPr>
          <w:sz w:val="22"/>
          <w:szCs w:val="22"/>
        </w:rPr>
      </w:pPr>
    </w:p>
    <w:p w14:paraId="79145F07" w14:textId="77777777" w:rsidR="004462A0" w:rsidRDefault="00615769" w:rsidP="004462A0">
      <w:pPr>
        <w:rPr>
          <w:sz w:val="22"/>
          <w:szCs w:val="22"/>
        </w:rPr>
      </w:pPr>
      <w:r w:rsidRPr="00CC4B51">
        <w:rPr>
          <w:sz w:val="22"/>
          <w:szCs w:val="22"/>
        </w:rPr>
        <w:t>Humira 80 mg solução injetável em seringa pré-cheia</w:t>
      </w:r>
    </w:p>
    <w:p w14:paraId="1D8E8841" w14:textId="77777777" w:rsidR="00691603" w:rsidRPr="00CC4B51" w:rsidRDefault="00615769" w:rsidP="004462A0">
      <w:pPr>
        <w:rPr>
          <w:sz w:val="22"/>
          <w:szCs w:val="22"/>
        </w:rPr>
      </w:pPr>
      <w:r>
        <w:rPr>
          <w:sz w:val="22"/>
          <w:szCs w:val="22"/>
        </w:rPr>
        <w:t>Humira 80 mg solução injetável em caneta pré-cheia</w:t>
      </w:r>
    </w:p>
    <w:p w14:paraId="000DF112" w14:textId="77777777" w:rsidR="004462A0" w:rsidRPr="00CC4B51" w:rsidRDefault="004462A0" w:rsidP="004462A0">
      <w:pPr>
        <w:rPr>
          <w:sz w:val="22"/>
          <w:szCs w:val="22"/>
        </w:rPr>
      </w:pPr>
    </w:p>
    <w:p w14:paraId="31E5EFA5" w14:textId="77777777" w:rsidR="004462A0" w:rsidRPr="00CC4B51" w:rsidRDefault="004462A0" w:rsidP="004462A0">
      <w:pPr>
        <w:rPr>
          <w:sz w:val="22"/>
          <w:szCs w:val="22"/>
        </w:rPr>
      </w:pPr>
    </w:p>
    <w:p w14:paraId="5D2757F2" w14:textId="77777777" w:rsidR="004462A0" w:rsidRPr="00CC4B51" w:rsidRDefault="00615769" w:rsidP="004462A0">
      <w:pPr>
        <w:ind w:left="567" w:hanging="567"/>
        <w:rPr>
          <w:sz w:val="22"/>
          <w:szCs w:val="22"/>
        </w:rPr>
      </w:pPr>
      <w:r w:rsidRPr="00CC4B51">
        <w:rPr>
          <w:b/>
          <w:sz w:val="22"/>
          <w:szCs w:val="22"/>
        </w:rPr>
        <w:t>2.</w:t>
      </w:r>
      <w:r w:rsidRPr="00CC4B51">
        <w:rPr>
          <w:b/>
          <w:sz w:val="22"/>
          <w:szCs w:val="22"/>
        </w:rPr>
        <w:tab/>
        <w:t>COMPOSIÇÃO QUALITATIVA E QUANTITATIVA</w:t>
      </w:r>
    </w:p>
    <w:p w14:paraId="4965BF92" w14:textId="77777777" w:rsidR="004462A0" w:rsidRDefault="004462A0" w:rsidP="004462A0">
      <w:pPr>
        <w:rPr>
          <w:i/>
          <w:sz w:val="22"/>
          <w:szCs w:val="22"/>
        </w:rPr>
      </w:pPr>
    </w:p>
    <w:p w14:paraId="5F732A04" w14:textId="77777777" w:rsidR="00691603" w:rsidRPr="000F4BA0" w:rsidRDefault="00615769" w:rsidP="004462A0">
      <w:pPr>
        <w:rPr>
          <w:sz w:val="22"/>
          <w:szCs w:val="22"/>
          <w:u w:val="single"/>
        </w:rPr>
      </w:pPr>
      <w:r>
        <w:rPr>
          <w:sz w:val="22"/>
          <w:szCs w:val="22"/>
          <w:u w:val="single"/>
        </w:rPr>
        <w:t>Humira 80 mg solução injetável em seringa pré-cheia</w:t>
      </w:r>
    </w:p>
    <w:p w14:paraId="601FBD75" w14:textId="77777777" w:rsidR="004462A0" w:rsidRPr="00CC4B51" w:rsidRDefault="00615769" w:rsidP="004462A0">
      <w:pPr>
        <w:autoSpaceDE w:val="0"/>
        <w:autoSpaceDN w:val="0"/>
        <w:adjustRightInd w:val="0"/>
        <w:rPr>
          <w:sz w:val="22"/>
          <w:szCs w:val="22"/>
        </w:rPr>
      </w:pPr>
      <w:r w:rsidRPr="00CC4B51">
        <w:rPr>
          <w:sz w:val="22"/>
          <w:szCs w:val="22"/>
        </w:rPr>
        <w:t>Cada seringa pré-cheia de 0,8 ml para dose única contém 80 mg de adalimumab.</w:t>
      </w:r>
    </w:p>
    <w:p w14:paraId="3CB421D2" w14:textId="77777777" w:rsidR="00973127" w:rsidRDefault="00973127" w:rsidP="00973127">
      <w:pPr>
        <w:autoSpaceDE w:val="0"/>
        <w:autoSpaceDN w:val="0"/>
        <w:adjustRightInd w:val="0"/>
        <w:rPr>
          <w:sz w:val="22"/>
          <w:szCs w:val="22"/>
          <w:u w:val="single"/>
        </w:rPr>
      </w:pPr>
    </w:p>
    <w:p w14:paraId="658259D7" w14:textId="77777777" w:rsidR="00691603" w:rsidRDefault="00615769" w:rsidP="004462A0">
      <w:pPr>
        <w:autoSpaceDE w:val="0"/>
        <w:autoSpaceDN w:val="0"/>
        <w:adjustRightInd w:val="0"/>
        <w:rPr>
          <w:sz w:val="22"/>
          <w:szCs w:val="22"/>
          <w:u w:val="single"/>
        </w:rPr>
      </w:pPr>
      <w:r>
        <w:rPr>
          <w:sz w:val="22"/>
          <w:szCs w:val="22"/>
          <w:u w:val="single"/>
        </w:rPr>
        <w:t xml:space="preserve">Humira 80 mg solução injetável em caneta pré-cheia </w:t>
      </w:r>
    </w:p>
    <w:p w14:paraId="54BD842A" w14:textId="77777777" w:rsidR="00F71B63" w:rsidRDefault="00615769" w:rsidP="004462A0">
      <w:pPr>
        <w:autoSpaceDE w:val="0"/>
        <w:autoSpaceDN w:val="0"/>
        <w:adjustRightInd w:val="0"/>
        <w:rPr>
          <w:sz w:val="22"/>
          <w:szCs w:val="22"/>
        </w:rPr>
      </w:pPr>
      <w:r>
        <w:rPr>
          <w:sz w:val="22"/>
          <w:szCs w:val="22"/>
        </w:rPr>
        <w:t>Cada caneta pré-cheia de 0,8 ml para dose única contém 80 mg de adalimumab.</w:t>
      </w:r>
    </w:p>
    <w:p w14:paraId="05843127" w14:textId="77777777" w:rsidR="00F71B63" w:rsidRPr="00F71B63" w:rsidRDefault="00F71B63" w:rsidP="004462A0">
      <w:pPr>
        <w:autoSpaceDE w:val="0"/>
        <w:autoSpaceDN w:val="0"/>
        <w:adjustRightInd w:val="0"/>
        <w:rPr>
          <w:sz w:val="22"/>
          <w:szCs w:val="22"/>
        </w:rPr>
      </w:pPr>
    </w:p>
    <w:p w14:paraId="3B5E5C3E" w14:textId="77777777" w:rsidR="004462A0" w:rsidRDefault="00615769" w:rsidP="004462A0">
      <w:pPr>
        <w:autoSpaceDE w:val="0"/>
        <w:autoSpaceDN w:val="0"/>
        <w:adjustRightInd w:val="0"/>
        <w:rPr>
          <w:ins w:id="11443" w:author="AbbVie2" w:date="2025-05-13T16:42:00Z"/>
          <w:sz w:val="22"/>
          <w:szCs w:val="22"/>
        </w:rPr>
      </w:pPr>
      <w:r w:rsidRPr="00CC4B51">
        <w:rPr>
          <w:sz w:val="22"/>
          <w:szCs w:val="22"/>
        </w:rPr>
        <w:t xml:space="preserve">Adalimumab é um anticorpo monoclonal humano recombinante </w:t>
      </w:r>
      <w:r w:rsidR="00067275">
        <w:rPr>
          <w:sz w:val="22"/>
          <w:szCs w:val="22"/>
        </w:rPr>
        <w:t>produzido</w:t>
      </w:r>
      <w:r w:rsidRPr="00CC4B51">
        <w:rPr>
          <w:sz w:val="22"/>
          <w:szCs w:val="22"/>
        </w:rPr>
        <w:t xml:space="preserve"> em células de Ovário do Hamster Chinês.</w:t>
      </w:r>
    </w:p>
    <w:p w14:paraId="376DA466" w14:textId="77777777" w:rsidR="00513B95" w:rsidRDefault="00513B95" w:rsidP="004462A0">
      <w:pPr>
        <w:autoSpaceDE w:val="0"/>
        <w:autoSpaceDN w:val="0"/>
        <w:adjustRightInd w:val="0"/>
        <w:rPr>
          <w:ins w:id="11444" w:author="AbbVie2" w:date="2025-05-13T16:42:00Z"/>
          <w:sz w:val="22"/>
          <w:szCs w:val="22"/>
        </w:rPr>
      </w:pPr>
    </w:p>
    <w:p w14:paraId="0D19C093" w14:textId="77777777" w:rsidR="00513B95" w:rsidRPr="00784D09" w:rsidRDefault="00615769" w:rsidP="00513B95">
      <w:pPr>
        <w:autoSpaceDE w:val="0"/>
        <w:autoSpaceDN w:val="0"/>
        <w:adjustRightInd w:val="0"/>
        <w:rPr>
          <w:ins w:id="11445" w:author="AbbVie2" w:date="2025-05-13T16:42:00Z"/>
          <w:sz w:val="22"/>
          <w:szCs w:val="22"/>
          <w:u w:val="single"/>
        </w:rPr>
      </w:pPr>
      <w:ins w:id="11446" w:author="AbbVie2" w:date="2025-05-13T16:42:00Z">
        <w:r w:rsidRPr="00784D09">
          <w:rPr>
            <w:sz w:val="22"/>
            <w:szCs w:val="22"/>
            <w:u w:val="single"/>
          </w:rPr>
          <w:t>Excipientes com efeito conhecido</w:t>
        </w:r>
      </w:ins>
    </w:p>
    <w:p w14:paraId="2FFD921B" w14:textId="77777777" w:rsidR="00513B95" w:rsidRDefault="00513B95" w:rsidP="00513B95">
      <w:pPr>
        <w:autoSpaceDE w:val="0"/>
        <w:autoSpaceDN w:val="0"/>
        <w:adjustRightInd w:val="0"/>
        <w:rPr>
          <w:ins w:id="11447" w:author="AbbVie2" w:date="2025-05-13T16:42:00Z"/>
          <w:sz w:val="22"/>
          <w:szCs w:val="22"/>
        </w:rPr>
      </w:pPr>
    </w:p>
    <w:p w14:paraId="547FF515" w14:textId="5CDAFD06" w:rsidR="00513B95" w:rsidRPr="00CC4B51" w:rsidRDefault="00615769" w:rsidP="004462A0">
      <w:pPr>
        <w:autoSpaceDE w:val="0"/>
        <w:autoSpaceDN w:val="0"/>
        <w:adjustRightInd w:val="0"/>
        <w:rPr>
          <w:sz w:val="22"/>
          <w:szCs w:val="22"/>
        </w:rPr>
      </w:pPr>
      <w:ins w:id="11448" w:author="AbbVie2" w:date="2025-05-13T16:42:00Z">
        <w:r>
          <w:rPr>
            <w:sz w:val="22"/>
            <w:szCs w:val="22"/>
          </w:rPr>
          <w:t>Este medicamento contém 0,</w:t>
        </w:r>
      </w:ins>
      <w:ins w:id="11449" w:author="AbbVie2" w:date="2025-05-16T15:36:00Z">
        <w:r w:rsidR="005E65AF">
          <w:rPr>
            <w:sz w:val="22"/>
            <w:szCs w:val="22"/>
          </w:rPr>
          <w:t>8</w:t>
        </w:r>
      </w:ins>
      <w:ins w:id="11450" w:author="AbbVie2" w:date="2025-05-13T16:42:00Z">
        <w:r>
          <w:rPr>
            <w:sz w:val="22"/>
            <w:szCs w:val="22"/>
          </w:rPr>
          <w:t xml:space="preserve"> mg de polissorbato 80 em cada dose de </w:t>
        </w:r>
      </w:ins>
      <w:ins w:id="11451" w:author="AbbVie2" w:date="2025-05-16T15:36:00Z">
        <w:r w:rsidR="005E65AF">
          <w:rPr>
            <w:sz w:val="22"/>
            <w:szCs w:val="22"/>
          </w:rPr>
          <w:t>8</w:t>
        </w:r>
      </w:ins>
      <w:ins w:id="11452" w:author="AbbVie2" w:date="2025-05-13T16:42:00Z">
        <w:r>
          <w:rPr>
            <w:sz w:val="22"/>
            <w:szCs w:val="22"/>
          </w:rPr>
          <w:t>0 mg.</w:t>
        </w:r>
      </w:ins>
    </w:p>
    <w:p w14:paraId="2E057D68" w14:textId="77777777" w:rsidR="004462A0" w:rsidRPr="00CC4B51" w:rsidRDefault="004462A0" w:rsidP="004462A0">
      <w:pPr>
        <w:autoSpaceDE w:val="0"/>
        <w:autoSpaceDN w:val="0"/>
        <w:adjustRightInd w:val="0"/>
        <w:rPr>
          <w:sz w:val="22"/>
          <w:szCs w:val="22"/>
        </w:rPr>
      </w:pPr>
    </w:p>
    <w:p w14:paraId="23A8D22E" w14:textId="77777777" w:rsidR="004462A0" w:rsidRPr="00CC4B51" w:rsidRDefault="00615769" w:rsidP="004462A0">
      <w:pPr>
        <w:rPr>
          <w:sz w:val="22"/>
          <w:szCs w:val="22"/>
        </w:rPr>
      </w:pPr>
      <w:r w:rsidRPr="00CC4B51">
        <w:rPr>
          <w:sz w:val="22"/>
          <w:szCs w:val="22"/>
        </w:rPr>
        <w:t xml:space="preserve">Lista completa de excipientes, ver secção 6.1. </w:t>
      </w:r>
    </w:p>
    <w:p w14:paraId="1E93E88F" w14:textId="77777777" w:rsidR="004462A0" w:rsidRPr="00CC4B51" w:rsidRDefault="004462A0" w:rsidP="004462A0">
      <w:pPr>
        <w:rPr>
          <w:sz w:val="22"/>
          <w:szCs w:val="22"/>
        </w:rPr>
      </w:pPr>
    </w:p>
    <w:p w14:paraId="2B4D721E" w14:textId="77777777" w:rsidR="004462A0" w:rsidRPr="00CC4B51" w:rsidRDefault="004462A0" w:rsidP="004462A0">
      <w:pPr>
        <w:rPr>
          <w:sz w:val="22"/>
          <w:szCs w:val="22"/>
        </w:rPr>
      </w:pPr>
    </w:p>
    <w:p w14:paraId="551FBD44" w14:textId="77777777" w:rsidR="004462A0" w:rsidRPr="00CC4B51" w:rsidRDefault="00615769" w:rsidP="004462A0">
      <w:pPr>
        <w:ind w:left="567" w:hanging="567"/>
        <w:rPr>
          <w:b/>
          <w:caps/>
          <w:sz w:val="22"/>
          <w:szCs w:val="22"/>
          <w:highlight w:val="yellow"/>
        </w:rPr>
      </w:pPr>
      <w:r w:rsidRPr="00CC4B51">
        <w:rPr>
          <w:b/>
          <w:sz w:val="22"/>
          <w:szCs w:val="22"/>
        </w:rPr>
        <w:t>3.</w:t>
      </w:r>
      <w:r w:rsidRPr="00CC4B51">
        <w:rPr>
          <w:b/>
          <w:sz w:val="22"/>
          <w:szCs w:val="22"/>
        </w:rPr>
        <w:tab/>
      </w:r>
      <w:r w:rsidRPr="00CC4B51">
        <w:rPr>
          <w:b/>
          <w:caps/>
          <w:sz w:val="22"/>
          <w:szCs w:val="22"/>
        </w:rPr>
        <w:t>formA FARMACÊUTICA</w:t>
      </w:r>
    </w:p>
    <w:p w14:paraId="3DACC7C6" w14:textId="77777777" w:rsidR="004462A0" w:rsidRPr="00CC4B51" w:rsidRDefault="004462A0" w:rsidP="004462A0">
      <w:pPr>
        <w:rPr>
          <w:b/>
          <w:caps/>
          <w:sz w:val="22"/>
          <w:szCs w:val="22"/>
        </w:rPr>
      </w:pPr>
    </w:p>
    <w:p w14:paraId="2878CA40" w14:textId="77777777" w:rsidR="004462A0" w:rsidRPr="00CC4B51" w:rsidRDefault="00615769" w:rsidP="004462A0">
      <w:pPr>
        <w:rPr>
          <w:sz w:val="22"/>
          <w:szCs w:val="22"/>
        </w:rPr>
      </w:pPr>
      <w:r w:rsidRPr="00CC4B51">
        <w:rPr>
          <w:sz w:val="22"/>
          <w:szCs w:val="22"/>
        </w:rPr>
        <w:t>Solução injetável.</w:t>
      </w:r>
      <w:r w:rsidR="008C3DD3">
        <w:rPr>
          <w:sz w:val="22"/>
          <w:szCs w:val="22"/>
        </w:rPr>
        <w:t xml:space="preserve"> </w:t>
      </w:r>
      <w:r w:rsidR="00067275">
        <w:rPr>
          <w:sz w:val="22"/>
          <w:szCs w:val="22"/>
        </w:rPr>
        <w:t>(</w:t>
      </w:r>
      <w:r w:rsidR="008F48BD">
        <w:rPr>
          <w:sz w:val="22"/>
          <w:szCs w:val="22"/>
        </w:rPr>
        <w:t>injetável</w:t>
      </w:r>
      <w:r w:rsidR="00067275">
        <w:rPr>
          <w:sz w:val="22"/>
          <w:szCs w:val="22"/>
        </w:rPr>
        <w:t>)</w:t>
      </w:r>
    </w:p>
    <w:p w14:paraId="3CF3D27D" w14:textId="77777777" w:rsidR="004462A0" w:rsidRPr="00CC4B51" w:rsidRDefault="004462A0" w:rsidP="004462A0">
      <w:pPr>
        <w:rPr>
          <w:sz w:val="22"/>
          <w:szCs w:val="22"/>
        </w:rPr>
      </w:pPr>
    </w:p>
    <w:p w14:paraId="70DEEC0F" w14:textId="77777777" w:rsidR="004462A0" w:rsidRPr="00CC4B51" w:rsidRDefault="00615769" w:rsidP="004462A0">
      <w:pPr>
        <w:rPr>
          <w:sz w:val="22"/>
          <w:szCs w:val="22"/>
        </w:rPr>
      </w:pPr>
      <w:r w:rsidRPr="00CC4B51">
        <w:rPr>
          <w:sz w:val="22"/>
          <w:szCs w:val="22"/>
        </w:rPr>
        <w:t xml:space="preserve">Solução límpida e incolor. </w:t>
      </w:r>
    </w:p>
    <w:p w14:paraId="3312F5CF" w14:textId="77777777" w:rsidR="004462A0" w:rsidRPr="00CC4B51" w:rsidRDefault="004462A0" w:rsidP="004462A0">
      <w:pPr>
        <w:rPr>
          <w:sz w:val="22"/>
          <w:szCs w:val="22"/>
        </w:rPr>
      </w:pPr>
    </w:p>
    <w:p w14:paraId="796CD180" w14:textId="77777777" w:rsidR="004462A0" w:rsidRPr="00CC4B51" w:rsidRDefault="004462A0" w:rsidP="004462A0">
      <w:pPr>
        <w:rPr>
          <w:sz w:val="22"/>
          <w:szCs w:val="22"/>
        </w:rPr>
      </w:pPr>
    </w:p>
    <w:p w14:paraId="5EAE0A64" w14:textId="77777777" w:rsidR="004462A0" w:rsidRPr="00CC4B51" w:rsidRDefault="00615769" w:rsidP="004462A0">
      <w:pPr>
        <w:ind w:left="567" w:hanging="567"/>
        <w:rPr>
          <w:caps/>
          <w:sz w:val="22"/>
          <w:szCs w:val="22"/>
        </w:rPr>
      </w:pPr>
      <w:r w:rsidRPr="00CC4B51">
        <w:rPr>
          <w:b/>
          <w:caps/>
          <w:sz w:val="22"/>
          <w:szCs w:val="22"/>
        </w:rPr>
        <w:t>4.</w:t>
      </w:r>
      <w:r w:rsidRPr="00CC4B51">
        <w:rPr>
          <w:b/>
          <w:caps/>
          <w:sz w:val="22"/>
          <w:szCs w:val="22"/>
        </w:rPr>
        <w:tab/>
        <w:t xml:space="preserve">INFORMAÇÕES CLÍNICAS </w:t>
      </w:r>
    </w:p>
    <w:p w14:paraId="55D197F0" w14:textId="77777777" w:rsidR="004462A0" w:rsidRPr="00CC4B51" w:rsidRDefault="004462A0" w:rsidP="004462A0">
      <w:pPr>
        <w:rPr>
          <w:sz w:val="22"/>
          <w:szCs w:val="22"/>
        </w:rPr>
      </w:pPr>
    </w:p>
    <w:p w14:paraId="64BEA475" w14:textId="77777777" w:rsidR="004462A0" w:rsidRPr="00CC4B51" w:rsidRDefault="00615769" w:rsidP="004462A0">
      <w:pPr>
        <w:ind w:left="567" w:hanging="567"/>
        <w:rPr>
          <w:sz w:val="22"/>
          <w:szCs w:val="22"/>
        </w:rPr>
      </w:pPr>
      <w:r w:rsidRPr="00CC4B51">
        <w:rPr>
          <w:b/>
          <w:sz w:val="22"/>
          <w:szCs w:val="22"/>
        </w:rPr>
        <w:t>4.1</w:t>
      </w:r>
      <w:r w:rsidRPr="00CC4B51">
        <w:rPr>
          <w:b/>
          <w:sz w:val="22"/>
          <w:szCs w:val="22"/>
        </w:rPr>
        <w:tab/>
        <w:t>Indicações terapêuticas</w:t>
      </w:r>
    </w:p>
    <w:p w14:paraId="00B80748" w14:textId="77777777" w:rsidR="004462A0" w:rsidRPr="00CC4B51" w:rsidRDefault="004462A0" w:rsidP="004462A0">
      <w:pPr>
        <w:rPr>
          <w:sz w:val="22"/>
          <w:szCs w:val="22"/>
        </w:rPr>
      </w:pPr>
    </w:p>
    <w:p w14:paraId="2EFC026A" w14:textId="77777777" w:rsidR="00A77C15" w:rsidRPr="008912CF" w:rsidRDefault="00615769" w:rsidP="00A77C15">
      <w:pPr>
        <w:pStyle w:val="Heading9"/>
        <w:keepNext w:val="0"/>
        <w:rPr>
          <w:szCs w:val="22"/>
        </w:rPr>
      </w:pPr>
      <w:r w:rsidRPr="008912CF">
        <w:rPr>
          <w:szCs w:val="22"/>
        </w:rPr>
        <w:t>Artrite reumatoide</w:t>
      </w:r>
    </w:p>
    <w:p w14:paraId="14F56B43" w14:textId="77777777" w:rsidR="00A77C15" w:rsidRPr="008912CF" w:rsidRDefault="00A77C15" w:rsidP="00A77C15">
      <w:pPr>
        <w:rPr>
          <w:sz w:val="22"/>
          <w:szCs w:val="22"/>
        </w:rPr>
      </w:pPr>
    </w:p>
    <w:p w14:paraId="2620A4A6" w14:textId="77777777" w:rsidR="00A77C15" w:rsidRPr="008912CF" w:rsidRDefault="00615769" w:rsidP="00A77C15">
      <w:pPr>
        <w:rPr>
          <w:sz w:val="22"/>
          <w:szCs w:val="22"/>
        </w:rPr>
      </w:pPr>
      <w:r w:rsidRPr="008912CF">
        <w:rPr>
          <w:sz w:val="22"/>
          <w:szCs w:val="22"/>
        </w:rPr>
        <w:t>Humira em associação com metotrexato está indicado:</w:t>
      </w:r>
    </w:p>
    <w:p w14:paraId="4D593215" w14:textId="77777777" w:rsidR="00A77C15" w:rsidRPr="008912CF" w:rsidRDefault="00A77C15" w:rsidP="00A77C15">
      <w:pPr>
        <w:rPr>
          <w:sz w:val="22"/>
          <w:szCs w:val="22"/>
        </w:rPr>
      </w:pPr>
    </w:p>
    <w:p w14:paraId="71E3338B" w14:textId="77777777" w:rsidR="00A77C15" w:rsidRPr="008912CF" w:rsidRDefault="00615769" w:rsidP="00A77C15">
      <w:pPr>
        <w:numPr>
          <w:ilvl w:val="0"/>
          <w:numId w:val="66"/>
        </w:numPr>
        <w:tabs>
          <w:tab w:val="clear" w:pos="360"/>
          <w:tab w:val="num" w:pos="600"/>
        </w:tabs>
        <w:ind w:left="600" w:hanging="600"/>
        <w:rPr>
          <w:sz w:val="22"/>
          <w:szCs w:val="22"/>
        </w:rPr>
      </w:pPr>
      <w:r w:rsidRPr="008912CF">
        <w:rPr>
          <w:sz w:val="22"/>
          <w:szCs w:val="22"/>
        </w:rPr>
        <w:t>no tratamento da artrite reumatoide ativa moderada a grave em doentes adultos nos casos em que foi demonstrada uma resposta inadequada a medicamentos anti</w:t>
      </w:r>
      <w:r w:rsidR="00F96DDF">
        <w:rPr>
          <w:sz w:val="22"/>
          <w:szCs w:val="22"/>
        </w:rPr>
        <w:t>-</w:t>
      </w:r>
      <w:r w:rsidRPr="008912CF">
        <w:rPr>
          <w:sz w:val="22"/>
          <w:szCs w:val="22"/>
        </w:rPr>
        <w:t>reumatismais modificadores da doença, incluindo metotrexato.</w:t>
      </w:r>
    </w:p>
    <w:p w14:paraId="343D50D6" w14:textId="77777777" w:rsidR="00A77C15" w:rsidRPr="008912CF" w:rsidRDefault="00615769" w:rsidP="00A77C15">
      <w:pPr>
        <w:numPr>
          <w:ilvl w:val="0"/>
          <w:numId w:val="65"/>
        </w:numPr>
        <w:tabs>
          <w:tab w:val="clear" w:pos="360"/>
          <w:tab w:val="num" w:pos="600"/>
        </w:tabs>
        <w:ind w:left="600" w:hanging="600"/>
        <w:rPr>
          <w:sz w:val="22"/>
          <w:szCs w:val="22"/>
        </w:rPr>
      </w:pPr>
      <w:r w:rsidRPr="008912CF">
        <w:rPr>
          <w:sz w:val="22"/>
          <w:szCs w:val="22"/>
        </w:rPr>
        <w:t>no tratamento da artrite reumatoide grave, ativa e progressiva em adultos não previamente tratados com metotrexato.</w:t>
      </w:r>
    </w:p>
    <w:p w14:paraId="2F52E69A" w14:textId="77777777" w:rsidR="00A77C15" w:rsidRPr="008912CF" w:rsidRDefault="00A77C15" w:rsidP="00A77C15">
      <w:pPr>
        <w:rPr>
          <w:sz w:val="22"/>
          <w:szCs w:val="22"/>
        </w:rPr>
      </w:pPr>
    </w:p>
    <w:p w14:paraId="1A657904" w14:textId="77777777" w:rsidR="00A77C15" w:rsidRPr="008912CF" w:rsidRDefault="00615769" w:rsidP="00A77C15">
      <w:pPr>
        <w:pStyle w:val="BodyText2"/>
        <w:autoSpaceDE/>
        <w:autoSpaceDN/>
        <w:adjustRightInd/>
        <w:rPr>
          <w:szCs w:val="22"/>
        </w:rPr>
      </w:pPr>
      <w:r w:rsidRPr="008912CF">
        <w:rPr>
          <w:szCs w:val="22"/>
        </w:rPr>
        <w:t>Humira pode ser administrado em monoterapia em caso de intolerância a metotrexato ou quando o tratamento continuado com metotrexato não é apropriado.</w:t>
      </w:r>
    </w:p>
    <w:p w14:paraId="41E0447A" w14:textId="77777777" w:rsidR="00A77C15" w:rsidRPr="008912CF" w:rsidRDefault="00A77C15" w:rsidP="00A77C15">
      <w:pPr>
        <w:rPr>
          <w:sz w:val="22"/>
          <w:szCs w:val="22"/>
        </w:rPr>
      </w:pPr>
    </w:p>
    <w:p w14:paraId="53AFD4BC" w14:textId="77777777" w:rsidR="00CB140F" w:rsidRDefault="00615769" w:rsidP="00AA7352">
      <w:pPr>
        <w:pStyle w:val="BodyText2"/>
        <w:autoSpaceDE/>
        <w:autoSpaceDN/>
        <w:adjustRightInd/>
        <w:rPr>
          <w:bCs/>
          <w:iCs/>
          <w:szCs w:val="22"/>
          <w:u w:val="single"/>
        </w:rPr>
      </w:pPr>
      <w:r w:rsidRPr="008912CF">
        <w:rPr>
          <w:szCs w:val="22"/>
        </w:rPr>
        <w:t>Humira demonstrou reduzir a taxa de progressão das lesões articulares, avaliada através de radiografia e melhorar a função física, quando administrado em associação com metotrexato.</w:t>
      </w:r>
    </w:p>
    <w:p w14:paraId="1B811707" w14:textId="77777777" w:rsidR="00CB140F" w:rsidRDefault="00CB140F" w:rsidP="004462A0">
      <w:pPr>
        <w:overflowPunct w:val="0"/>
        <w:autoSpaceDE w:val="0"/>
        <w:autoSpaceDN w:val="0"/>
        <w:adjustRightInd w:val="0"/>
        <w:textAlignment w:val="baseline"/>
        <w:rPr>
          <w:bCs/>
          <w:iCs/>
          <w:sz w:val="22"/>
          <w:szCs w:val="22"/>
          <w:u w:val="single"/>
        </w:rPr>
      </w:pPr>
    </w:p>
    <w:p w14:paraId="425D1C25" w14:textId="77777777" w:rsidR="004462A0" w:rsidRPr="00CC4B51" w:rsidRDefault="00615769" w:rsidP="004462A0">
      <w:pPr>
        <w:overflowPunct w:val="0"/>
        <w:autoSpaceDE w:val="0"/>
        <w:autoSpaceDN w:val="0"/>
        <w:adjustRightInd w:val="0"/>
        <w:textAlignment w:val="baseline"/>
        <w:rPr>
          <w:bCs/>
          <w:iCs/>
          <w:sz w:val="22"/>
          <w:szCs w:val="22"/>
          <w:u w:val="single"/>
        </w:rPr>
      </w:pPr>
      <w:r w:rsidRPr="00CC4B51">
        <w:rPr>
          <w:bCs/>
          <w:iCs/>
          <w:sz w:val="22"/>
          <w:szCs w:val="22"/>
          <w:u w:val="single"/>
        </w:rPr>
        <w:t>Psoríase</w:t>
      </w:r>
    </w:p>
    <w:p w14:paraId="090D7E8D" w14:textId="77777777" w:rsidR="004462A0" w:rsidRPr="00CC4B51" w:rsidRDefault="004462A0" w:rsidP="004462A0">
      <w:pPr>
        <w:overflowPunct w:val="0"/>
        <w:autoSpaceDE w:val="0"/>
        <w:autoSpaceDN w:val="0"/>
        <w:adjustRightInd w:val="0"/>
        <w:textAlignment w:val="baseline"/>
        <w:rPr>
          <w:b/>
          <w:iCs/>
          <w:sz w:val="22"/>
          <w:szCs w:val="22"/>
        </w:rPr>
      </w:pPr>
    </w:p>
    <w:p w14:paraId="65BCA928" w14:textId="77777777" w:rsidR="004462A0" w:rsidRPr="00CC4B51" w:rsidRDefault="00615769" w:rsidP="004462A0">
      <w:pPr>
        <w:rPr>
          <w:sz w:val="22"/>
          <w:szCs w:val="22"/>
        </w:rPr>
      </w:pPr>
      <w:r w:rsidRPr="00CC4B51">
        <w:rPr>
          <w:sz w:val="22"/>
          <w:szCs w:val="22"/>
        </w:rPr>
        <w:t>Humira está indicado no tratamento da psoríase crónica em placas, moderada a grave</w:t>
      </w:r>
      <w:r w:rsidR="00B82100">
        <w:rPr>
          <w:sz w:val="22"/>
          <w:szCs w:val="22"/>
        </w:rPr>
        <w:t>,</w:t>
      </w:r>
      <w:r w:rsidRPr="00CC4B51">
        <w:rPr>
          <w:sz w:val="22"/>
          <w:szCs w:val="22"/>
        </w:rPr>
        <w:t xml:space="preserve"> em doentes adultos que são candidatos a terapêutica sistémica.</w:t>
      </w:r>
    </w:p>
    <w:p w14:paraId="11B25DBE" w14:textId="77777777" w:rsidR="004462A0" w:rsidRPr="00CC4B51" w:rsidRDefault="004462A0" w:rsidP="004462A0">
      <w:pPr>
        <w:outlineLvl w:val="8"/>
        <w:rPr>
          <w:sz w:val="22"/>
          <w:szCs w:val="22"/>
          <w:u w:val="single"/>
        </w:rPr>
      </w:pPr>
    </w:p>
    <w:p w14:paraId="02C2FF52" w14:textId="77777777" w:rsidR="004462A0" w:rsidRPr="00CC4B51" w:rsidRDefault="00615769" w:rsidP="004462A0">
      <w:pPr>
        <w:keepNext/>
        <w:outlineLvl w:val="8"/>
        <w:rPr>
          <w:sz w:val="22"/>
          <w:szCs w:val="22"/>
          <w:u w:val="single"/>
        </w:rPr>
      </w:pPr>
      <w:r w:rsidRPr="00CC4B51">
        <w:rPr>
          <w:sz w:val="22"/>
          <w:szCs w:val="22"/>
          <w:u w:val="single"/>
        </w:rPr>
        <w:t>Hidradenite supurativa (HS)</w:t>
      </w:r>
    </w:p>
    <w:p w14:paraId="0DC9903C" w14:textId="77777777" w:rsidR="004462A0" w:rsidRPr="00CC4B51" w:rsidRDefault="004462A0" w:rsidP="004462A0">
      <w:pPr>
        <w:keepNext/>
        <w:outlineLvl w:val="8"/>
        <w:rPr>
          <w:sz w:val="22"/>
          <w:szCs w:val="22"/>
          <w:u w:val="single"/>
        </w:rPr>
      </w:pPr>
    </w:p>
    <w:p w14:paraId="08AEFE0F" w14:textId="77777777" w:rsidR="004462A0" w:rsidRPr="00CC4B51" w:rsidRDefault="00615769" w:rsidP="004462A0">
      <w:pPr>
        <w:outlineLvl w:val="8"/>
        <w:rPr>
          <w:sz w:val="22"/>
          <w:szCs w:val="22"/>
        </w:rPr>
      </w:pPr>
      <w:r w:rsidRPr="00CC4B51">
        <w:rPr>
          <w:sz w:val="22"/>
          <w:szCs w:val="22"/>
        </w:rPr>
        <w:t>Humira está indicado no tratamento da hidradenite supurativa (hidrosadenite supurativa ou acne inversa) ativa, moderada a grave, em adultos e adolescentes a partir dos 12 anos de idade com uma resposta inadequada à terapêutica sistémica convencional para a HS (ver secções 5.1 e 5.2).</w:t>
      </w:r>
    </w:p>
    <w:p w14:paraId="3C5528AB" w14:textId="77777777" w:rsidR="004462A0" w:rsidRPr="00CC4B51" w:rsidRDefault="004462A0" w:rsidP="004462A0"/>
    <w:p w14:paraId="2A05E9D6" w14:textId="77777777" w:rsidR="004462A0" w:rsidRPr="00CC4B51" w:rsidRDefault="00615769" w:rsidP="004462A0">
      <w:pPr>
        <w:outlineLvl w:val="8"/>
        <w:rPr>
          <w:sz w:val="22"/>
          <w:szCs w:val="22"/>
          <w:u w:val="single"/>
        </w:rPr>
      </w:pPr>
      <w:r w:rsidRPr="00CC4B51">
        <w:rPr>
          <w:sz w:val="22"/>
          <w:szCs w:val="22"/>
          <w:u w:val="single"/>
        </w:rPr>
        <w:t>Doença de Crohn</w:t>
      </w:r>
    </w:p>
    <w:p w14:paraId="3FE875AF" w14:textId="77777777" w:rsidR="004462A0" w:rsidRPr="00CC4B51" w:rsidRDefault="004462A0" w:rsidP="004462A0">
      <w:pPr>
        <w:rPr>
          <w:sz w:val="22"/>
          <w:szCs w:val="22"/>
        </w:rPr>
      </w:pPr>
    </w:p>
    <w:p w14:paraId="53F7843A" w14:textId="77777777" w:rsidR="004462A0" w:rsidRPr="00CC4B51" w:rsidRDefault="00615769" w:rsidP="004462A0">
      <w:pPr>
        <w:rPr>
          <w:sz w:val="22"/>
          <w:szCs w:val="22"/>
        </w:rPr>
      </w:pPr>
      <w:r w:rsidRPr="00CC4B51">
        <w:rPr>
          <w:sz w:val="22"/>
          <w:szCs w:val="22"/>
        </w:rPr>
        <w:t>Humira está indicado no tratamento da doença de Crohn ativa, moderada a grave, em doentes adultos que não responderam mesmo após um ciclo completo e adequado de tratamento com um corticosteroide e/ou imunossupressor; ou que são intolerantes ou têm contraindicações médicas para essas terapêuticas.</w:t>
      </w:r>
    </w:p>
    <w:p w14:paraId="5998941D" w14:textId="77777777" w:rsidR="004462A0" w:rsidRPr="00CC4B51" w:rsidRDefault="004462A0" w:rsidP="004462A0">
      <w:pPr>
        <w:rPr>
          <w:sz w:val="22"/>
          <w:szCs w:val="22"/>
        </w:rPr>
      </w:pPr>
    </w:p>
    <w:p w14:paraId="4D76FDB7" w14:textId="77777777" w:rsidR="004462A0" w:rsidRPr="00CC4B51" w:rsidRDefault="00615769" w:rsidP="004462A0">
      <w:pPr>
        <w:rPr>
          <w:sz w:val="22"/>
          <w:szCs w:val="22"/>
          <w:u w:val="single"/>
        </w:rPr>
      </w:pPr>
      <w:r w:rsidRPr="00CC4B51">
        <w:rPr>
          <w:sz w:val="22"/>
          <w:szCs w:val="22"/>
          <w:u w:val="single"/>
        </w:rPr>
        <w:t>Doença de Crohn pediátrica</w:t>
      </w:r>
    </w:p>
    <w:p w14:paraId="68F045DF" w14:textId="77777777" w:rsidR="004462A0" w:rsidRPr="00CC4B51" w:rsidRDefault="004462A0" w:rsidP="004462A0">
      <w:pPr>
        <w:rPr>
          <w:sz w:val="22"/>
          <w:szCs w:val="22"/>
        </w:rPr>
      </w:pPr>
    </w:p>
    <w:p w14:paraId="64B56788" w14:textId="77777777" w:rsidR="004462A0" w:rsidRPr="00CC4B51" w:rsidRDefault="00615769" w:rsidP="004462A0">
      <w:pPr>
        <w:rPr>
          <w:sz w:val="22"/>
          <w:szCs w:val="22"/>
        </w:rPr>
      </w:pPr>
      <w:r w:rsidRPr="00CC4B51">
        <w:rPr>
          <w:sz w:val="22"/>
          <w:szCs w:val="22"/>
        </w:rPr>
        <w:t xml:space="preserve">Humira está indicado no tratamento da doença de Crohn ativa moderada a grave em doentes pediátricos (a partir dos 6 anos de idade) que tiveram uma resposta inadequada à terapêutica convencional, incluindo terapêutica de nutrição primária e um corticosteroide e/ou um imunomodulador, ou que apresentam intolerância ou contraindicações a tais terapêuticas. </w:t>
      </w:r>
    </w:p>
    <w:p w14:paraId="1E51BF59" w14:textId="77777777" w:rsidR="004462A0" w:rsidRPr="00CC4B51" w:rsidRDefault="004462A0" w:rsidP="004462A0">
      <w:pPr>
        <w:rPr>
          <w:sz w:val="22"/>
          <w:szCs w:val="22"/>
        </w:rPr>
      </w:pPr>
    </w:p>
    <w:p w14:paraId="4126853C" w14:textId="77777777" w:rsidR="004462A0" w:rsidRPr="00CC4B51" w:rsidRDefault="00615769" w:rsidP="00047604">
      <w:pPr>
        <w:keepNext/>
        <w:rPr>
          <w:sz w:val="22"/>
          <w:szCs w:val="22"/>
          <w:u w:val="single"/>
        </w:rPr>
      </w:pPr>
      <w:r w:rsidRPr="00CC4B51">
        <w:rPr>
          <w:sz w:val="22"/>
          <w:szCs w:val="22"/>
          <w:u w:val="single"/>
        </w:rPr>
        <w:t>Colite ulcerosa</w:t>
      </w:r>
    </w:p>
    <w:p w14:paraId="7DD228B5" w14:textId="77777777" w:rsidR="004462A0" w:rsidRPr="00CC4B51" w:rsidRDefault="004462A0" w:rsidP="00047604">
      <w:pPr>
        <w:keepNext/>
        <w:rPr>
          <w:sz w:val="22"/>
          <w:szCs w:val="22"/>
        </w:rPr>
      </w:pPr>
    </w:p>
    <w:p w14:paraId="0270A6C3" w14:textId="77777777" w:rsidR="004462A0" w:rsidRPr="00CC4B51" w:rsidRDefault="00615769" w:rsidP="00047604">
      <w:pPr>
        <w:keepNext/>
        <w:rPr>
          <w:sz w:val="22"/>
          <w:szCs w:val="22"/>
        </w:rPr>
      </w:pPr>
      <w:r w:rsidRPr="00CC4B51">
        <w:rPr>
          <w:sz w:val="22"/>
          <w:szCs w:val="22"/>
        </w:rPr>
        <w:t xml:space="preserve">Humira está indicado no tratamento da </w:t>
      </w:r>
      <w:r w:rsidRPr="00CC4B51">
        <w:rPr>
          <w:sz w:val="22"/>
          <w:szCs w:val="22"/>
          <w:lang w:eastAsia="pt-PT"/>
        </w:rPr>
        <w:t xml:space="preserve">colite ulcerosa ativa moderada a grave, em doentes adultos que tiveram uma resposta inadequada à terapêutica convencional, incluindo corticosteroides e 6-mercaptopurina (6-MP) ou azatioprina (AZA), ou que são </w:t>
      </w:r>
      <w:r w:rsidRPr="00CC4B51">
        <w:rPr>
          <w:sz w:val="22"/>
          <w:szCs w:val="22"/>
        </w:rPr>
        <w:t>intolerantes ou têm contraindicações médicas para essas terapêuticas.</w:t>
      </w:r>
    </w:p>
    <w:p w14:paraId="36BA35D2" w14:textId="77777777" w:rsidR="004462A0" w:rsidRPr="00CC4B51" w:rsidRDefault="004462A0" w:rsidP="004462A0">
      <w:pPr>
        <w:rPr>
          <w:sz w:val="22"/>
          <w:szCs w:val="22"/>
        </w:rPr>
      </w:pPr>
    </w:p>
    <w:p w14:paraId="20AF8EDD" w14:textId="77777777" w:rsidR="00AB0B1F" w:rsidRPr="00F4016C" w:rsidRDefault="00615769" w:rsidP="00AB0B1F">
      <w:pPr>
        <w:rPr>
          <w:sz w:val="22"/>
          <w:szCs w:val="22"/>
          <w:u w:val="single"/>
        </w:rPr>
      </w:pPr>
      <w:r w:rsidRPr="00F4016C">
        <w:rPr>
          <w:sz w:val="22"/>
          <w:szCs w:val="22"/>
          <w:u w:val="single"/>
        </w:rPr>
        <w:t>Colite ulcerosa pediátrica</w:t>
      </w:r>
    </w:p>
    <w:p w14:paraId="0A08690A" w14:textId="77777777" w:rsidR="00AB0B1F" w:rsidRPr="00F4016C" w:rsidRDefault="00AB0B1F" w:rsidP="00AB0B1F">
      <w:pPr>
        <w:rPr>
          <w:sz w:val="22"/>
          <w:szCs w:val="22"/>
        </w:rPr>
      </w:pPr>
    </w:p>
    <w:p w14:paraId="7FB2534F" w14:textId="77777777" w:rsidR="00AB0B1F" w:rsidRPr="00AB0B1F" w:rsidRDefault="00615769" w:rsidP="004462A0">
      <w:pPr>
        <w:rPr>
          <w:sz w:val="22"/>
          <w:szCs w:val="22"/>
        </w:rPr>
      </w:pPr>
      <w:r w:rsidRPr="00F4016C">
        <w:rPr>
          <w:sz w:val="22"/>
          <w:szCs w:val="22"/>
        </w:rPr>
        <w:t>Humira está indicado no tratamento da colite ulcerosa ativa moderada a grave em doentes pediátricos</w:t>
      </w:r>
      <w:r w:rsidR="00504AE2">
        <w:rPr>
          <w:sz w:val="22"/>
          <w:szCs w:val="22"/>
        </w:rPr>
        <w:t xml:space="preserve"> (a partir dos 6 anos de idade)</w:t>
      </w:r>
      <w:r w:rsidRPr="00F4016C">
        <w:rPr>
          <w:sz w:val="22"/>
          <w:szCs w:val="22"/>
        </w:rPr>
        <w:t xml:space="preserve"> que tiveram uma resposta inadequada à terapêutica convencional, incluindo corticosteroides e/ou 6</w:t>
      </w:r>
      <w:r>
        <w:rPr>
          <w:sz w:val="22"/>
          <w:szCs w:val="22"/>
        </w:rPr>
        <w:noBreakHyphen/>
      </w:r>
      <w:r w:rsidRPr="00F4016C">
        <w:rPr>
          <w:sz w:val="22"/>
          <w:szCs w:val="22"/>
        </w:rPr>
        <w:t>mercaptopurina (6</w:t>
      </w:r>
      <w:r>
        <w:rPr>
          <w:sz w:val="22"/>
          <w:szCs w:val="22"/>
        </w:rPr>
        <w:noBreakHyphen/>
      </w:r>
      <w:r w:rsidRPr="00F4016C">
        <w:rPr>
          <w:sz w:val="22"/>
          <w:szCs w:val="22"/>
        </w:rPr>
        <w:t>MP) ou azatioprina (AZA), ou que apresentam intolerância ou contra</w:t>
      </w:r>
      <w:r>
        <w:rPr>
          <w:sz w:val="22"/>
          <w:szCs w:val="22"/>
        </w:rPr>
        <w:t xml:space="preserve">indicações </w:t>
      </w:r>
      <w:r w:rsidR="00A56D1E">
        <w:rPr>
          <w:sz w:val="22"/>
          <w:szCs w:val="22"/>
        </w:rPr>
        <w:t xml:space="preserve">médicas </w:t>
      </w:r>
      <w:r>
        <w:rPr>
          <w:sz w:val="22"/>
          <w:szCs w:val="22"/>
        </w:rPr>
        <w:t>a tais terapêuticas.</w:t>
      </w:r>
    </w:p>
    <w:p w14:paraId="7733041E" w14:textId="77777777" w:rsidR="00AB0B1F" w:rsidRDefault="00AB0B1F" w:rsidP="004462A0">
      <w:pPr>
        <w:rPr>
          <w:sz w:val="22"/>
          <w:szCs w:val="22"/>
          <w:u w:val="single"/>
        </w:rPr>
      </w:pPr>
    </w:p>
    <w:p w14:paraId="7B31EE01" w14:textId="77777777" w:rsidR="004462A0" w:rsidRPr="00CC4B51" w:rsidRDefault="00615769" w:rsidP="004462A0">
      <w:pPr>
        <w:rPr>
          <w:sz w:val="22"/>
          <w:szCs w:val="22"/>
          <w:u w:val="single"/>
        </w:rPr>
      </w:pPr>
      <w:r w:rsidRPr="00CC4B51">
        <w:rPr>
          <w:sz w:val="22"/>
          <w:szCs w:val="22"/>
          <w:u w:val="single"/>
        </w:rPr>
        <w:t>Uveíte</w:t>
      </w:r>
    </w:p>
    <w:p w14:paraId="458486FC" w14:textId="77777777" w:rsidR="004462A0" w:rsidRPr="00CC4B51" w:rsidRDefault="004462A0" w:rsidP="004462A0">
      <w:pPr>
        <w:rPr>
          <w:sz w:val="22"/>
          <w:szCs w:val="22"/>
        </w:rPr>
      </w:pPr>
    </w:p>
    <w:p w14:paraId="083B5DAC" w14:textId="77777777" w:rsidR="004462A0" w:rsidRPr="00CC4B51" w:rsidRDefault="00615769" w:rsidP="004462A0">
      <w:pPr>
        <w:rPr>
          <w:sz w:val="22"/>
          <w:szCs w:val="22"/>
          <w:lang w:eastAsia="pt-PT"/>
        </w:rPr>
      </w:pPr>
      <w:r w:rsidRPr="00CC4B51">
        <w:rPr>
          <w:sz w:val="22"/>
          <w:szCs w:val="22"/>
        </w:rPr>
        <w:t xml:space="preserve">Humira está indicado no tratamento da uveíte não infecciosa, intermédia, posterior e panuveíte, em doentes adultos que tiveram uma resposta inadequada à terapêutica com corticosteroides, em doentes que necessitam de reduzir o uso de corticosteroides ou em que o tratamento com corticosteroides é inapropriado.  </w:t>
      </w:r>
    </w:p>
    <w:p w14:paraId="68854714" w14:textId="77777777" w:rsidR="004462A0" w:rsidRDefault="004462A0" w:rsidP="004462A0">
      <w:pPr>
        <w:rPr>
          <w:sz w:val="22"/>
          <w:szCs w:val="22"/>
        </w:rPr>
      </w:pPr>
    </w:p>
    <w:p w14:paraId="5C04C1ED" w14:textId="77777777" w:rsidR="00763DB3" w:rsidRPr="00034BDE" w:rsidRDefault="00615769" w:rsidP="00763DB3">
      <w:pPr>
        <w:rPr>
          <w:szCs w:val="22"/>
          <w:u w:val="single"/>
        </w:rPr>
      </w:pPr>
      <w:r w:rsidRPr="00034BDE">
        <w:rPr>
          <w:sz w:val="22"/>
          <w:szCs w:val="22"/>
          <w:u w:val="single"/>
        </w:rPr>
        <w:t xml:space="preserve">Uveíte </w:t>
      </w:r>
      <w:r w:rsidR="008A40F5">
        <w:rPr>
          <w:sz w:val="22"/>
          <w:szCs w:val="22"/>
          <w:u w:val="single"/>
        </w:rPr>
        <w:t>p</w:t>
      </w:r>
      <w:r w:rsidRPr="00034BDE">
        <w:rPr>
          <w:sz w:val="22"/>
          <w:szCs w:val="22"/>
          <w:u w:val="single"/>
        </w:rPr>
        <w:t>ediátrica</w:t>
      </w:r>
    </w:p>
    <w:p w14:paraId="3D907E02" w14:textId="77777777" w:rsidR="00763DB3" w:rsidRDefault="00763DB3" w:rsidP="00763DB3">
      <w:pPr>
        <w:rPr>
          <w:szCs w:val="22"/>
        </w:rPr>
      </w:pPr>
    </w:p>
    <w:p w14:paraId="6B3EF58E" w14:textId="77777777" w:rsidR="00763DB3" w:rsidRDefault="00615769" w:rsidP="00763DB3">
      <w:pPr>
        <w:rPr>
          <w:sz w:val="22"/>
          <w:szCs w:val="22"/>
        </w:rPr>
      </w:pPr>
      <w:r w:rsidRPr="009F0D8E">
        <w:rPr>
          <w:sz w:val="22"/>
          <w:szCs w:val="22"/>
        </w:rPr>
        <w:t xml:space="preserve">Humira está indicado no tratamento da uveíte pediátrica não infecciosa, anterior, crónica em doentes a partir dos 2 anos de idade que tiveram uma resposta inadequada ou que são intolerantes à terapêutica convencional, ou em que a terapêutica convencional é </w:t>
      </w:r>
      <w:r>
        <w:rPr>
          <w:sz w:val="22"/>
          <w:szCs w:val="22"/>
        </w:rPr>
        <w:t>inapropriada.</w:t>
      </w:r>
    </w:p>
    <w:p w14:paraId="695F38D4" w14:textId="77777777" w:rsidR="009F0D8E" w:rsidRPr="00CC4B51" w:rsidRDefault="009F0D8E" w:rsidP="00763DB3">
      <w:pPr>
        <w:rPr>
          <w:sz w:val="22"/>
          <w:szCs w:val="22"/>
        </w:rPr>
      </w:pPr>
    </w:p>
    <w:p w14:paraId="0513FAC1" w14:textId="77777777" w:rsidR="004462A0" w:rsidRPr="00CC4B51" w:rsidRDefault="00615769" w:rsidP="004462A0">
      <w:pPr>
        <w:keepNext/>
        <w:ind w:left="567" w:hanging="567"/>
        <w:rPr>
          <w:b/>
          <w:bCs/>
          <w:sz w:val="22"/>
          <w:szCs w:val="22"/>
        </w:rPr>
      </w:pPr>
      <w:r w:rsidRPr="00CC4B51">
        <w:rPr>
          <w:b/>
          <w:bCs/>
          <w:sz w:val="22"/>
          <w:szCs w:val="22"/>
        </w:rPr>
        <w:t>4.2</w:t>
      </w:r>
      <w:r w:rsidRPr="00CC4B51">
        <w:rPr>
          <w:b/>
          <w:bCs/>
          <w:sz w:val="22"/>
          <w:szCs w:val="22"/>
        </w:rPr>
        <w:tab/>
        <w:t>Posologia e modo de administração</w:t>
      </w:r>
    </w:p>
    <w:p w14:paraId="6A877A81" w14:textId="77777777" w:rsidR="004462A0" w:rsidRPr="00CC4B51" w:rsidRDefault="004462A0" w:rsidP="004462A0">
      <w:pPr>
        <w:keepNext/>
        <w:rPr>
          <w:b/>
          <w:sz w:val="22"/>
          <w:szCs w:val="22"/>
        </w:rPr>
      </w:pPr>
    </w:p>
    <w:p w14:paraId="6A739023" w14:textId="77777777" w:rsidR="004462A0" w:rsidRPr="00CC4B51" w:rsidRDefault="00615769" w:rsidP="004462A0">
      <w:pPr>
        <w:keepNext/>
        <w:rPr>
          <w:sz w:val="22"/>
          <w:szCs w:val="22"/>
        </w:rPr>
      </w:pPr>
      <w:r w:rsidRPr="00CC4B51">
        <w:rPr>
          <w:sz w:val="22"/>
          <w:szCs w:val="22"/>
        </w:rPr>
        <w:t xml:space="preserve">O tratamento com Humira deve ser iniciado e supervisionado por médicos especialistas experientes no diagnóstico e tratamento das patologias para as quais Humira está indicado. Recomenda-se que os oftalmologistas consultem um destes médicos experientes antes de iniciar o tratamento com Humira (ver secção 4.4). Os doentes tratados com Humira devem receber o </w:t>
      </w:r>
      <w:r w:rsidR="00E02FA8">
        <w:rPr>
          <w:sz w:val="22"/>
          <w:szCs w:val="22"/>
        </w:rPr>
        <w:t>C</w:t>
      </w:r>
      <w:r w:rsidRPr="00CC4B51">
        <w:rPr>
          <w:sz w:val="22"/>
          <w:szCs w:val="22"/>
        </w:rPr>
        <w:t xml:space="preserve">artão de </w:t>
      </w:r>
      <w:r w:rsidR="00F35B64">
        <w:rPr>
          <w:sz w:val="22"/>
          <w:szCs w:val="22"/>
        </w:rPr>
        <w:t>S</w:t>
      </w:r>
      <w:r w:rsidRPr="00CC4B51">
        <w:rPr>
          <w:sz w:val="22"/>
          <w:szCs w:val="22"/>
        </w:rPr>
        <w:t xml:space="preserve">egurança </w:t>
      </w:r>
      <w:r w:rsidR="008979D5">
        <w:rPr>
          <w:sz w:val="22"/>
          <w:szCs w:val="22"/>
        </w:rPr>
        <w:t xml:space="preserve">do </w:t>
      </w:r>
      <w:r w:rsidR="00E02FA8">
        <w:rPr>
          <w:sz w:val="22"/>
          <w:szCs w:val="22"/>
        </w:rPr>
        <w:t>D</w:t>
      </w:r>
      <w:r w:rsidR="008979D5">
        <w:rPr>
          <w:sz w:val="22"/>
          <w:szCs w:val="22"/>
        </w:rPr>
        <w:t>oente</w:t>
      </w:r>
      <w:r w:rsidRPr="00CC4B51">
        <w:rPr>
          <w:sz w:val="22"/>
          <w:szCs w:val="22"/>
        </w:rPr>
        <w:t>.</w:t>
      </w:r>
    </w:p>
    <w:p w14:paraId="6E6D706B" w14:textId="77777777" w:rsidR="004462A0" w:rsidRPr="00CC4B51" w:rsidRDefault="004462A0" w:rsidP="004462A0">
      <w:pPr>
        <w:rPr>
          <w:sz w:val="22"/>
          <w:szCs w:val="22"/>
        </w:rPr>
      </w:pPr>
    </w:p>
    <w:p w14:paraId="777EB3AD" w14:textId="77777777" w:rsidR="004462A0" w:rsidRPr="00CC4B51" w:rsidRDefault="00615769" w:rsidP="004462A0">
      <w:pPr>
        <w:rPr>
          <w:sz w:val="22"/>
          <w:szCs w:val="22"/>
        </w:rPr>
      </w:pPr>
      <w:r w:rsidRPr="00CC4B51">
        <w:rPr>
          <w:sz w:val="22"/>
          <w:szCs w:val="22"/>
        </w:rPr>
        <w:t>Após receberem um treino adequado sobre a técnica de injeção, os doentes podem autoinjetar Humira se o médico assistente achar apropriado e sob acompanhamento médico, conforme necessário.</w:t>
      </w:r>
    </w:p>
    <w:p w14:paraId="52BFE8F6" w14:textId="77777777" w:rsidR="004462A0" w:rsidRPr="00CC4B51" w:rsidRDefault="004462A0" w:rsidP="004462A0">
      <w:pPr>
        <w:rPr>
          <w:sz w:val="22"/>
          <w:szCs w:val="22"/>
        </w:rPr>
      </w:pPr>
    </w:p>
    <w:p w14:paraId="2758FB9D" w14:textId="77777777" w:rsidR="004462A0" w:rsidRPr="00CC4B51" w:rsidRDefault="00615769" w:rsidP="004462A0">
      <w:pPr>
        <w:rPr>
          <w:sz w:val="22"/>
          <w:szCs w:val="22"/>
        </w:rPr>
      </w:pPr>
      <w:r w:rsidRPr="00CC4B51">
        <w:rPr>
          <w:sz w:val="22"/>
          <w:szCs w:val="22"/>
        </w:rPr>
        <w:t>Durante o tratamento com Humira, a utilização de outras terapêuticas concomitantes (como por exemplo corticosteroides e/ou agentes imunomoduladores) deverá ser otimizada.</w:t>
      </w:r>
    </w:p>
    <w:p w14:paraId="1BB96C23" w14:textId="77777777" w:rsidR="004462A0" w:rsidRPr="00CC4B51" w:rsidRDefault="004462A0" w:rsidP="004462A0">
      <w:pPr>
        <w:rPr>
          <w:sz w:val="22"/>
          <w:szCs w:val="22"/>
        </w:rPr>
      </w:pPr>
    </w:p>
    <w:p w14:paraId="337633BD" w14:textId="77777777" w:rsidR="004462A0" w:rsidRPr="00CC4B51" w:rsidRDefault="00615769" w:rsidP="00F73E10">
      <w:pPr>
        <w:keepNext/>
        <w:rPr>
          <w:sz w:val="22"/>
          <w:szCs w:val="22"/>
          <w:u w:val="single"/>
        </w:rPr>
      </w:pPr>
      <w:r w:rsidRPr="00CC4B51">
        <w:rPr>
          <w:sz w:val="22"/>
          <w:szCs w:val="22"/>
          <w:u w:val="single"/>
        </w:rPr>
        <w:t>Posologia</w:t>
      </w:r>
    </w:p>
    <w:p w14:paraId="58AB95E7" w14:textId="77777777" w:rsidR="004462A0" w:rsidRDefault="004462A0" w:rsidP="00F73E10">
      <w:pPr>
        <w:keepNext/>
        <w:rPr>
          <w:sz w:val="22"/>
          <w:szCs w:val="22"/>
        </w:rPr>
      </w:pPr>
    </w:p>
    <w:p w14:paraId="49A29A41" w14:textId="77777777" w:rsidR="00576E17" w:rsidRPr="008912CF" w:rsidRDefault="00615769" w:rsidP="00F73E10">
      <w:pPr>
        <w:pStyle w:val="EndnoteText"/>
        <w:keepNext/>
        <w:tabs>
          <w:tab w:val="clear" w:pos="567"/>
        </w:tabs>
        <w:rPr>
          <w:szCs w:val="22"/>
        </w:rPr>
      </w:pPr>
      <w:r w:rsidRPr="008912CF">
        <w:rPr>
          <w:i/>
          <w:szCs w:val="22"/>
        </w:rPr>
        <w:t>Artrite reumatoide</w:t>
      </w:r>
    </w:p>
    <w:p w14:paraId="7E04998F" w14:textId="77777777" w:rsidR="00576E17" w:rsidRPr="008912CF" w:rsidRDefault="00576E17" w:rsidP="00F73E10">
      <w:pPr>
        <w:keepNext/>
        <w:rPr>
          <w:sz w:val="22"/>
          <w:szCs w:val="22"/>
          <w:u w:val="single"/>
        </w:rPr>
      </w:pPr>
    </w:p>
    <w:p w14:paraId="1183FD03" w14:textId="77777777" w:rsidR="00576E17" w:rsidRPr="008912CF" w:rsidRDefault="00615769" w:rsidP="00F73E10">
      <w:pPr>
        <w:keepNext/>
        <w:rPr>
          <w:sz w:val="22"/>
          <w:szCs w:val="22"/>
        </w:rPr>
      </w:pPr>
      <w:r w:rsidRPr="008912CF">
        <w:rPr>
          <w:sz w:val="22"/>
          <w:szCs w:val="22"/>
        </w:rPr>
        <w:t xml:space="preserve">A dose recomendada de Humira em doentes adultos com artrite reumatoide é de 40 mg de adalimumab, administrada em semanas alternadas, em dose única, por injeção subcutânea. </w:t>
      </w:r>
      <w:r w:rsidR="000C7914">
        <w:rPr>
          <w:sz w:val="22"/>
          <w:szCs w:val="22"/>
        </w:rPr>
        <w:t>M</w:t>
      </w:r>
      <w:r w:rsidRPr="008912CF">
        <w:rPr>
          <w:sz w:val="22"/>
          <w:szCs w:val="22"/>
        </w:rPr>
        <w:t>etotrexato deve ser continuado durante o tratamento com Humira.</w:t>
      </w:r>
    </w:p>
    <w:p w14:paraId="0F8E0B86" w14:textId="77777777" w:rsidR="00576E17" w:rsidRPr="008912CF" w:rsidRDefault="00576E17" w:rsidP="00576E17">
      <w:pPr>
        <w:rPr>
          <w:sz w:val="22"/>
          <w:szCs w:val="22"/>
        </w:rPr>
      </w:pPr>
    </w:p>
    <w:p w14:paraId="575CC655" w14:textId="77777777" w:rsidR="00576E17" w:rsidRPr="008912CF" w:rsidRDefault="00615769" w:rsidP="00576E17">
      <w:pPr>
        <w:rPr>
          <w:sz w:val="22"/>
          <w:szCs w:val="22"/>
        </w:rPr>
      </w:pPr>
      <w:r w:rsidRPr="008912CF">
        <w:rPr>
          <w:sz w:val="22"/>
          <w:szCs w:val="22"/>
        </w:rPr>
        <w:t>Durante o tratamento com Humira pode manter-se o tratamento com glucocorticoides, salicilatos, medicamentos anti-inflamatórios não esteroides</w:t>
      </w:r>
      <w:r w:rsidR="00506582">
        <w:rPr>
          <w:sz w:val="22"/>
          <w:szCs w:val="22"/>
        </w:rPr>
        <w:t xml:space="preserve"> </w:t>
      </w:r>
      <w:r w:rsidR="00506582" w:rsidRPr="00506582">
        <w:rPr>
          <w:sz w:val="22"/>
          <w:szCs w:val="22"/>
        </w:rPr>
        <w:t>(AINEs)</w:t>
      </w:r>
      <w:r w:rsidRPr="008912CF">
        <w:rPr>
          <w:sz w:val="22"/>
          <w:szCs w:val="22"/>
        </w:rPr>
        <w:t xml:space="preserve"> ou analgésicos. Relativamente à associação com medicamentos anti</w:t>
      </w:r>
      <w:r w:rsidR="00F96DDF">
        <w:rPr>
          <w:sz w:val="22"/>
          <w:szCs w:val="22"/>
        </w:rPr>
        <w:t>-</w:t>
      </w:r>
      <w:r w:rsidRPr="008912CF">
        <w:rPr>
          <w:sz w:val="22"/>
          <w:szCs w:val="22"/>
        </w:rPr>
        <w:t>reumatismais modificadores da doença além d</w:t>
      </w:r>
      <w:r w:rsidR="000C7914">
        <w:rPr>
          <w:sz w:val="22"/>
          <w:szCs w:val="22"/>
        </w:rPr>
        <w:t>e</w:t>
      </w:r>
      <w:r w:rsidRPr="008912CF">
        <w:rPr>
          <w:sz w:val="22"/>
          <w:szCs w:val="22"/>
        </w:rPr>
        <w:t xml:space="preserve"> metotrexato ver secções 4.4 e 5.1.</w:t>
      </w:r>
    </w:p>
    <w:p w14:paraId="1D317CA1" w14:textId="77777777" w:rsidR="00576E17" w:rsidRPr="008912CF" w:rsidRDefault="00576E17" w:rsidP="00576E17">
      <w:pPr>
        <w:rPr>
          <w:sz w:val="22"/>
          <w:szCs w:val="22"/>
        </w:rPr>
      </w:pPr>
    </w:p>
    <w:p w14:paraId="0E86E67C" w14:textId="77777777" w:rsidR="00576E17" w:rsidRPr="008912CF" w:rsidRDefault="00615769" w:rsidP="00576E17">
      <w:pPr>
        <w:rPr>
          <w:sz w:val="22"/>
          <w:szCs w:val="22"/>
        </w:rPr>
      </w:pPr>
      <w:r w:rsidRPr="008912CF">
        <w:rPr>
          <w:sz w:val="22"/>
          <w:szCs w:val="22"/>
        </w:rPr>
        <w:t xml:space="preserve">Em monoterapia, alguns doentes que apresentaram uma resposta diminuída </w:t>
      </w:r>
      <w:r>
        <w:rPr>
          <w:sz w:val="22"/>
          <w:szCs w:val="22"/>
        </w:rPr>
        <w:t xml:space="preserve">com Humira 40 mg em semanas alternadas </w:t>
      </w:r>
      <w:r w:rsidRPr="008912CF">
        <w:rPr>
          <w:sz w:val="22"/>
          <w:szCs w:val="22"/>
        </w:rPr>
        <w:t>podem beneficiar com um aumento na dose até 40 mg de adalimumab semanalmente</w:t>
      </w:r>
      <w:r>
        <w:rPr>
          <w:sz w:val="22"/>
          <w:szCs w:val="22"/>
        </w:rPr>
        <w:t xml:space="preserve"> ou 80 mg em semanas alternadas</w:t>
      </w:r>
      <w:r w:rsidRPr="008912CF">
        <w:rPr>
          <w:sz w:val="22"/>
          <w:szCs w:val="22"/>
        </w:rPr>
        <w:t>.</w:t>
      </w:r>
    </w:p>
    <w:p w14:paraId="6844ED26" w14:textId="77777777" w:rsidR="00576E17" w:rsidRPr="008912CF" w:rsidRDefault="00576E17" w:rsidP="00576E17">
      <w:pPr>
        <w:rPr>
          <w:sz w:val="22"/>
          <w:szCs w:val="22"/>
        </w:rPr>
      </w:pPr>
    </w:p>
    <w:p w14:paraId="374ABD4C" w14:textId="77777777" w:rsidR="00576E17" w:rsidRPr="008912CF" w:rsidRDefault="00615769" w:rsidP="00576E17">
      <w:pPr>
        <w:rPr>
          <w:sz w:val="22"/>
          <w:szCs w:val="22"/>
        </w:rPr>
      </w:pPr>
      <w:r w:rsidRPr="008912CF">
        <w:rPr>
          <w:sz w:val="22"/>
          <w:szCs w:val="22"/>
        </w:rPr>
        <w:t>Os dados disponíveis sugerem que a resposta clínica é geralmente obtida após 12 semanas de tratamento. A continuação do tratamento deve ser reconsiderada num doente que não responda durante este período de tempo.</w:t>
      </w:r>
    </w:p>
    <w:p w14:paraId="494CD511" w14:textId="77777777" w:rsidR="00576E17" w:rsidRDefault="00576E17" w:rsidP="00576E17">
      <w:pPr>
        <w:rPr>
          <w:sz w:val="22"/>
          <w:szCs w:val="22"/>
        </w:rPr>
      </w:pPr>
    </w:p>
    <w:p w14:paraId="2396B974" w14:textId="77777777" w:rsidR="00576E17" w:rsidRDefault="00615769" w:rsidP="00AA7352">
      <w:pPr>
        <w:pStyle w:val="BodyText2"/>
        <w:autoSpaceDE/>
        <w:autoSpaceDN/>
        <w:adjustRightInd/>
        <w:rPr>
          <w:szCs w:val="22"/>
        </w:rPr>
      </w:pPr>
      <w:r>
        <w:rPr>
          <w:szCs w:val="22"/>
        </w:rPr>
        <w:t xml:space="preserve">Humira pode estar disponível em outras dosagens e/ou apresentações dependendo das necessidades de cada doente. </w:t>
      </w:r>
    </w:p>
    <w:p w14:paraId="68556D88" w14:textId="77777777" w:rsidR="00576E17" w:rsidRPr="00CC4B51" w:rsidRDefault="00576E17" w:rsidP="004462A0">
      <w:pPr>
        <w:rPr>
          <w:sz w:val="22"/>
          <w:szCs w:val="22"/>
        </w:rPr>
      </w:pPr>
    </w:p>
    <w:p w14:paraId="3057E4CE" w14:textId="77777777" w:rsidR="004462A0" w:rsidRPr="00CC4B51" w:rsidRDefault="00615769" w:rsidP="004462A0">
      <w:pPr>
        <w:overflowPunct w:val="0"/>
        <w:autoSpaceDE w:val="0"/>
        <w:autoSpaceDN w:val="0"/>
        <w:adjustRightInd w:val="0"/>
        <w:textAlignment w:val="baseline"/>
        <w:rPr>
          <w:bCs/>
          <w:i/>
          <w:iCs/>
          <w:sz w:val="22"/>
          <w:szCs w:val="22"/>
        </w:rPr>
      </w:pPr>
      <w:r w:rsidRPr="00CC4B51">
        <w:rPr>
          <w:bCs/>
          <w:i/>
          <w:iCs/>
          <w:sz w:val="22"/>
          <w:szCs w:val="22"/>
        </w:rPr>
        <w:t>Psoríase</w:t>
      </w:r>
    </w:p>
    <w:p w14:paraId="36F189FA" w14:textId="77777777" w:rsidR="00576E17" w:rsidRPr="00CC4B51" w:rsidRDefault="00576E17" w:rsidP="004462A0">
      <w:pPr>
        <w:overflowPunct w:val="0"/>
        <w:autoSpaceDE w:val="0"/>
        <w:autoSpaceDN w:val="0"/>
        <w:adjustRightInd w:val="0"/>
        <w:textAlignment w:val="baseline"/>
        <w:rPr>
          <w:bCs/>
          <w:iCs/>
          <w:sz w:val="22"/>
          <w:szCs w:val="22"/>
        </w:rPr>
      </w:pPr>
    </w:p>
    <w:p w14:paraId="6B471F2C" w14:textId="77777777" w:rsidR="004462A0" w:rsidRPr="00CC4B51" w:rsidRDefault="00615769" w:rsidP="004462A0">
      <w:pPr>
        <w:rPr>
          <w:sz w:val="22"/>
          <w:szCs w:val="22"/>
        </w:rPr>
      </w:pPr>
      <w:r w:rsidRPr="00CC4B51">
        <w:rPr>
          <w:sz w:val="22"/>
          <w:szCs w:val="22"/>
        </w:rPr>
        <w:t>A dose inicial recomendada de Humira em doentes adultos é de 80 mg administrada por via subcutânea, seguida de 40 mg em semanas alternadas, uma semana após a dose inicial. Estão disponíveis seringas pré-cheias  e/ou canetas pré-cheias de Humira 40 mg solução injetável para a dose de manutenção.</w:t>
      </w:r>
    </w:p>
    <w:p w14:paraId="2283D5A5" w14:textId="77777777" w:rsidR="004462A0" w:rsidRPr="00CC4B51" w:rsidRDefault="004462A0" w:rsidP="004462A0">
      <w:pPr>
        <w:rPr>
          <w:sz w:val="22"/>
          <w:szCs w:val="22"/>
        </w:rPr>
      </w:pPr>
    </w:p>
    <w:p w14:paraId="36A7DBC1" w14:textId="77777777" w:rsidR="004462A0" w:rsidRPr="00CC4B51" w:rsidRDefault="00615769" w:rsidP="004462A0">
      <w:pPr>
        <w:rPr>
          <w:sz w:val="22"/>
          <w:szCs w:val="22"/>
        </w:rPr>
      </w:pPr>
      <w:r w:rsidRPr="00CC4B51">
        <w:rPr>
          <w:sz w:val="22"/>
          <w:szCs w:val="22"/>
        </w:rPr>
        <w:t>Uma terapêutica continuada para além de 16 semanas deve ser cuidadosamente reconsiderada em doentes que não responderam dentro deste período de tempo.</w:t>
      </w:r>
    </w:p>
    <w:p w14:paraId="60A65985" w14:textId="77777777" w:rsidR="004462A0" w:rsidRPr="00CC4B51" w:rsidRDefault="004462A0" w:rsidP="004462A0">
      <w:pPr>
        <w:rPr>
          <w:sz w:val="22"/>
          <w:szCs w:val="22"/>
        </w:rPr>
      </w:pPr>
    </w:p>
    <w:p w14:paraId="68C53E6C" w14:textId="77777777" w:rsidR="004462A0" w:rsidRPr="00CC4B51" w:rsidRDefault="00615769" w:rsidP="004462A0">
      <w:pPr>
        <w:rPr>
          <w:sz w:val="22"/>
          <w:szCs w:val="22"/>
        </w:rPr>
      </w:pPr>
      <w:r w:rsidRPr="00CC4B51">
        <w:rPr>
          <w:sz w:val="22"/>
          <w:szCs w:val="22"/>
        </w:rPr>
        <w:t>Após 16 semanas de tratamento, os doentes que não apresentem uma resposta adequada</w:t>
      </w:r>
      <w:r w:rsidR="00576E17">
        <w:rPr>
          <w:sz w:val="22"/>
          <w:szCs w:val="22"/>
        </w:rPr>
        <w:t xml:space="preserve"> com Humira 40 mg em semanas alternadas</w:t>
      </w:r>
      <w:r w:rsidRPr="00CC4B51">
        <w:rPr>
          <w:sz w:val="22"/>
          <w:szCs w:val="22"/>
        </w:rPr>
        <w:t xml:space="preserve"> podem beneficiar de um aumento da dose para 40 mg por semana</w:t>
      </w:r>
      <w:r w:rsidR="00576E17">
        <w:rPr>
          <w:sz w:val="22"/>
          <w:szCs w:val="22"/>
        </w:rPr>
        <w:t xml:space="preserve"> ou 80 mg em semanas alternadas</w:t>
      </w:r>
      <w:r w:rsidRPr="00CC4B51">
        <w:rPr>
          <w:sz w:val="22"/>
          <w:szCs w:val="22"/>
        </w:rPr>
        <w:t xml:space="preserve">. Os benefícios e riscos do tratamento continuado com </w:t>
      </w:r>
      <w:r w:rsidR="00576E17">
        <w:rPr>
          <w:sz w:val="22"/>
          <w:szCs w:val="22"/>
        </w:rPr>
        <w:t xml:space="preserve">40 mg </w:t>
      </w:r>
      <w:r w:rsidR="00BF2F9C">
        <w:rPr>
          <w:sz w:val="22"/>
          <w:szCs w:val="22"/>
        </w:rPr>
        <w:t>semanalmente</w:t>
      </w:r>
      <w:r w:rsidR="00576E17">
        <w:rPr>
          <w:sz w:val="22"/>
          <w:szCs w:val="22"/>
        </w:rPr>
        <w:t xml:space="preserve"> ou 80 mg em semanas alternadas</w:t>
      </w:r>
      <w:r w:rsidRPr="00CC4B51">
        <w:rPr>
          <w:sz w:val="22"/>
          <w:szCs w:val="22"/>
        </w:rPr>
        <w:t xml:space="preserve"> deverão ser cuidadosamente considerados em doentes com uma resposta inadequada após o aumento da dose (ver secção 5.1). Se for obtida uma resposta adequada</w:t>
      </w:r>
      <w:r w:rsidR="00576E17">
        <w:rPr>
          <w:sz w:val="22"/>
          <w:szCs w:val="22"/>
        </w:rPr>
        <w:t xml:space="preserve"> com 40 mg </w:t>
      </w:r>
      <w:r w:rsidR="00BF2F9C">
        <w:rPr>
          <w:sz w:val="22"/>
          <w:szCs w:val="22"/>
        </w:rPr>
        <w:t xml:space="preserve">por semana </w:t>
      </w:r>
      <w:r w:rsidR="00576E17">
        <w:rPr>
          <w:sz w:val="22"/>
          <w:szCs w:val="22"/>
        </w:rPr>
        <w:t>ou 80 mg em semanas alternadas</w:t>
      </w:r>
      <w:r w:rsidRPr="00CC4B51">
        <w:rPr>
          <w:sz w:val="22"/>
          <w:szCs w:val="22"/>
        </w:rPr>
        <w:t xml:space="preserve"> </w:t>
      </w:r>
      <w:r w:rsidR="00576E17">
        <w:rPr>
          <w:sz w:val="22"/>
          <w:szCs w:val="22"/>
        </w:rPr>
        <w:t>a</w:t>
      </w:r>
      <w:r w:rsidRPr="00CC4B51">
        <w:rPr>
          <w:sz w:val="22"/>
          <w:szCs w:val="22"/>
        </w:rPr>
        <w:t xml:space="preserve"> dose pode ser reduzida, subsequentemente, para 40 mg em semanas alternadas.</w:t>
      </w:r>
    </w:p>
    <w:p w14:paraId="71F89FC8" w14:textId="77777777" w:rsidR="004462A0" w:rsidRDefault="004462A0" w:rsidP="004462A0">
      <w:pPr>
        <w:rPr>
          <w:sz w:val="22"/>
          <w:szCs w:val="22"/>
        </w:rPr>
      </w:pPr>
    </w:p>
    <w:p w14:paraId="6A16A0BB" w14:textId="77777777" w:rsidR="00576E17" w:rsidRDefault="00615769" w:rsidP="00AA7352">
      <w:pPr>
        <w:pStyle w:val="BodyText2"/>
        <w:autoSpaceDE/>
        <w:autoSpaceDN/>
        <w:adjustRightInd/>
        <w:rPr>
          <w:szCs w:val="22"/>
        </w:rPr>
      </w:pPr>
      <w:r>
        <w:rPr>
          <w:szCs w:val="22"/>
        </w:rPr>
        <w:t xml:space="preserve">Humira pode estar disponível em outras dosagens e/ou apresentações dependendo das necessidades de cada doente. </w:t>
      </w:r>
    </w:p>
    <w:p w14:paraId="0121277D" w14:textId="77777777" w:rsidR="00576E17" w:rsidRPr="00CC4B51" w:rsidRDefault="00576E17" w:rsidP="004462A0">
      <w:pPr>
        <w:rPr>
          <w:sz w:val="22"/>
          <w:szCs w:val="22"/>
        </w:rPr>
      </w:pPr>
    </w:p>
    <w:p w14:paraId="6FF49C0E" w14:textId="77777777" w:rsidR="004462A0" w:rsidRPr="00CC4B51" w:rsidRDefault="00615769" w:rsidP="004462A0">
      <w:pPr>
        <w:rPr>
          <w:i/>
          <w:sz w:val="22"/>
          <w:szCs w:val="22"/>
        </w:rPr>
      </w:pPr>
      <w:r w:rsidRPr="00CC4B51">
        <w:rPr>
          <w:i/>
          <w:sz w:val="22"/>
          <w:szCs w:val="22"/>
        </w:rPr>
        <w:t>Hidradenite supurativa</w:t>
      </w:r>
    </w:p>
    <w:p w14:paraId="1613C764" w14:textId="77777777" w:rsidR="004462A0" w:rsidRPr="00CC4B51" w:rsidRDefault="004462A0" w:rsidP="004462A0">
      <w:pPr>
        <w:rPr>
          <w:sz w:val="22"/>
          <w:szCs w:val="22"/>
        </w:rPr>
      </w:pPr>
    </w:p>
    <w:p w14:paraId="0FD5018D" w14:textId="77777777" w:rsidR="004462A0" w:rsidRPr="00CC4B51" w:rsidRDefault="00615769" w:rsidP="004462A0">
      <w:pPr>
        <w:rPr>
          <w:sz w:val="22"/>
          <w:szCs w:val="22"/>
        </w:rPr>
      </w:pPr>
      <w:r w:rsidRPr="00CC4B51">
        <w:rPr>
          <w:sz w:val="22"/>
          <w:szCs w:val="22"/>
        </w:rPr>
        <w:t>A dose inicial recomendada de Humira em doentes adultos com hidradenite supurativa (HS) é de 160 mg no dia 1 (duas injeções de 80 mg num dia ou uma injeção de 80 mg por dia, em dois dias consecutivos), seguida de 80 mg duas semanas após a dose inicial, no dia 15. Duas semanas mais tarde (dia 29) continuar com uma dose de 40 mg todas as semanas</w:t>
      </w:r>
      <w:r w:rsidR="00576E17">
        <w:rPr>
          <w:sz w:val="22"/>
          <w:szCs w:val="22"/>
        </w:rPr>
        <w:t xml:space="preserve"> ou 80 mg em semanas alternadas</w:t>
      </w:r>
      <w:r w:rsidRPr="00CC4B51">
        <w:rPr>
          <w:sz w:val="22"/>
          <w:szCs w:val="22"/>
        </w:rPr>
        <w:t xml:space="preserve">. Durante o tratamento com Humira, pode manter-se o tratamento com antibióticos, se necessário. Recomenda-se que o doente use um anti-séptico tópico de lavagem nas lesões de HS, numa base diária, durante o tratamento com Humira. </w:t>
      </w:r>
    </w:p>
    <w:p w14:paraId="79A936DE" w14:textId="77777777" w:rsidR="004462A0" w:rsidRPr="00CC4B51" w:rsidRDefault="004462A0" w:rsidP="004462A0">
      <w:pPr>
        <w:rPr>
          <w:sz w:val="22"/>
          <w:szCs w:val="22"/>
        </w:rPr>
      </w:pPr>
    </w:p>
    <w:p w14:paraId="6BAAC8C6" w14:textId="77777777" w:rsidR="004462A0" w:rsidRPr="00CC4B51" w:rsidRDefault="00615769" w:rsidP="004462A0">
      <w:pPr>
        <w:rPr>
          <w:sz w:val="22"/>
          <w:szCs w:val="22"/>
        </w:rPr>
      </w:pPr>
      <w:r w:rsidRPr="00CC4B51">
        <w:rPr>
          <w:sz w:val="22"/>
          <w:szCs w:val="22"/>
        </w:rPr>
        <w:t xml:space="preserve">Uma terapêutica continuada para além das 12 semanas deve ser cuidadosamente reconsiderada em doentes que não apresentaram melhoria neste período de tempo. </w:t>
      </w:r>
    </w:p>
    <w:p w14:paraId="11E543F3" w14:textId="77777777" w:rsidR="004462A0" w:rsidRPr="00CC4B51" w:rsidRDefault="004462A0" w:rsidP="004462A0">
      <w:pPr>
        <w:rPr>
          <w:sz w:val="22"/>
          <w:szCs w:val="22"/>
        </w:rPr>
      </w:pPr>
    </w:p>
    <w:p w14:paraId="236C8A09" w14:textId="77777777" w:rsidR="004462A0" w:rsidRPr="00CC4B51" w:rsidRDefault="00615769" w:rsidP="004462A0">
      <w:pPr>
        <w:rPr>
          <w:sz w:val="22"/>
          <w:szCs w:val="22"/>
        </w:rPr>
      </w:pPr>
      <w:r w:rsidRPr="00CC4B51">
        <w:rPr>
          <w:sz w:val="22"/>
          <w:szCs w:val="22"/>
        </w:rPr>
        <w:t xml:space="preserve">Caso haja necessidade de interromper o tratamento, Humira 40 mg </w:t>
      </w:r>
      <w:r w:rsidR="00BF2F9C">
        <w:rPr>
          <w:sz w:val="22"/>
          <w:szCs w:val="22"/>
        </w:rPr>
        <w:t xml:space="preserve">por semana </w:t>
      </w:r>
      <w:r w:rsidR="00E52890">
        <w:rPr>
          <w:sz w:val="22"/>
          <w:szCs w:val="22"/>
        </w:rPr>
        <w:t xml:space="preserve">ou 80 mg em semanas alternadas </w:t>
      </w:r>
      <w:r w:rsidRPr="00CC4B51">
        <w:rPr>
          <w:sz w:val="22"/>
          <w:szCs w:val="22"/>
        </w:rPr>
        <w:t>pode ser reintroduzido</w:t>
      </w:r>
      <w:r w:rsidR="000277CC">
        <w:rPr>
          <w:sz w:val="22"/>
          <w:szCs w:val="22"/>
        </w:rPr>
        <w:t xml:space="preserve"> </w:t>
      </w:r>
      <w:r w:rsidRPr="00CC4B51">
        <w:rPr>
          <w:sz w:val="22"/>
          <w:szCs w:val="22"/>
        </w:rPr>
        <w:t>(ver secção 5.1).</w:t>
      </w:r>
    </w:p>
    <w:p w14:paraId="15F83D0F" w14:textId="77777777" w:rsidR="004462A0" w:rsidRPr="00CC4B51" w:rsidRDefault="004462A0" w:rsidP="004462A0">
      <w:pPr>
        <w:rPr>
          <w:sz w:val="22"/>
          <w:szCs w:val="22"/>
        </w:rPr>
      </w:pPr>
    </w:p>
    <w:p w14:paraId="6F4B2E5B" w14:textId="77777777" w:rsidR="004462A0" w:rsidRPr="00CC4B51" w:rsidRDefault="00615769" w:rsidP="004462A0">
      <w:pPr>
        <w:rPr>
          <w:sz w:val="22"/>
          <w:szCs w:val="22"/>
        </w:rPr>
      </w:pPr>
      <w:r w:rsidRPr="00CC4B51">
        <w:rPr>
          <w:sz w:val="22"/>
          <w:szCs w:val="22"/>
        </w:rPr>
        <w:t>O benefício e risco d</w:t>
      </w:r>
      <w:r w:rsidR="00142C8C">
        <w:rPr>
          <w:sz w:val="22"/>
          <w:szCs w:val="22"/>
        </w:rPr>
        <w:t>a</w:t>
      </w:r>
      <w:r w:rsidRPr="00CC4B51">
        <w:rPr>
          <w:sz w:val="22"/>
          <w:szCs w:val="22"/>
        </w:rPr>
        <w:t xml:space="preserve"> continuação do tratamento a longo prazo devem ser avaliados periodicamente (ver secção 5.1).</w:t>
      </w:r>
    </w:p>
    <w:p w14:paraId="323E44F5" w14:textId="77777777" w:rsidR="004462A0" w:rsidRDefault="004462A0" w:rsidP="004462A0">
      <w:pPr>
        <w:rPr>
          <w:sz w:val="22"/>
          <w:szCs w:val="22"/>
        </w:rPr>
      </w:pPr>
    </w:p>
    <w:p w14:paraId="19E83410" w14:textId="77777777" w:rsidR="00E52890" w:rsidRDefault="00615769" w:rsidP="00E52890">
      <w:pPr>
        <w:pStyle w:val="BodyText2"/>
        <w:autoSpaceDE/>
        <w:autoSpaceDN/>
        <w:adjustRightInd/>
        <w:rPr>
          <w:szCs w:val="22"/>
        </w:rPr>
      </w:pPr>
      <w:r>
        <w:rPr>
          <w:szCs w:val="22"/>
        </w:rPr>
        <w:t xml:space="preserve">Humira pode estar disponível em outras dosagens e/ou apresentações dependendo das necessidades de cada doente. </w:t>
      </w:r>
    </w:p>
    <w:p w14:paraId="7C22011B" w14:textId="77777777" w:rsidR="00E52890" w:rsidRPr="00CC4B51" w:rsidRDefault="00E52890" w:rsidP="004462A0">
      <w:pPr>
        <w:rPr>
          <w:sz w:val="22"/>
          <w:szCs w:val="22"/>
        </w:rPr>
      </w:pPr>
    </w:p>
    <w:p w14:paraId="3F916AF6" w14:textId="77777777" w:rsidR="004462A0" w:rsidRPr="00CC4B51" w:rsidRDefault="00615769" w:rsidP="004462A0">
      <w:pPr>
        <w:keepNext/>
        <w:outlineLvl w:val="8"/>
        <w:rPr>
          <w:sz w:val="22"/>
          <w:szCs w:val="22"/>
        </w:rPr>
      </w:pPr>
      <w:r w:rsidRPr="00CC4B51">
        <w:rPr>
          <w:i/>
          <w:sz w:val="22"/>
          <w:szCs w:val="22"/>
        </w:rPr>
        <w:t>Doença de Crohn</w:t>
      </w:r>
    </w:p>
    <w:p w14:paraId="48C12679" w14:textId="77777777" w:rsidR="004462A0" w:rsidRPr="00CC4B51" w:rsidRDefault="004462A0" w:rsidP="004462A0">
      <w:pPr>
        <w:keepNext/>
        <w:rPr>
          <w:sz w:val="22"/>
          <w:szCs w:val="22"/>
        </w:rPr>
      </w:pPr>
    </w:p>
    <w:p w14:paraId="34EDD842" w14:textId="77777777" w:rsidR="004462A0" w:rsidRPr="00CC4B51" w:rsidRDefault="00615769" w:rsidP="004462A0">
      <w:pPr>
        <w:keepNext/>
        <w:rPr>
          <w:sz w:val="22"/>
          <w:szCs w:val="22"/>
        </w:rPr>
      </w:pPr>
      <w:r w:rsidRPr="00CC4B51">
        <w:rPr>
          <w:sz w:val="22"/>
          <w:szCs w:val="22"/>
        </w:rPr>
        <w:t>A dose de indução recomendada de Humira em doentes adultos com doença de Crohn ativa moderada a grave é de 80 mg na Semana 0, seguida de 40 mg na Semana 2. No caso de haver necessidade de uma resposta mais rápida à terapêutica, pode ser usada a dose de 160 mg na Semana 0 (administrada em duas injeções de 80 mg num dia ou uma injeção</w:t>
      </w:r>
      <w:r w:rsidR="00142C8C">
        <w:rPr>
          <w:sz w:val="22"/>
          <w:szCs w:val="22"/>
        </w:rPr>
        <w:t xml:space="preserve"> de 80 mg</w:t>
      </w:r>
      <w:r w:rsidRPr="00CC4B51">
        <w:rPr>
          <w:sz w:val="22"/>
          <w:szCs w:val="22"/>
        </w:rPr>
        <w:t xml:space="preserve"> por dia</w:t>
      </w:r>
      <w:r w:rsidR="00142C8C">
        <w:rPr>
          <w:sz w:val="22"/>
          <w:szCs w:val="22"/>
        </w:rPr>
        <w:t>,</w:t>
      </w:r>
      <w:r w:rsidRPr="00CC4B51">
        <w:rPr>
          <w:sz w:val="22"/>
          <w:szCs w:val="22"/>
        </w:rPr>
        <w:t xml:space="preserve"> em dois dias consecutivos), </w:t>
      </w:r>
      <w:r w:rsidR="00AB0B1F">
        <w:rPr>
          <w:sz w:val="22"/>
          <w:szCs w:val="22"/>
        </w:rPr>
        <w:t>seguida d</w:t>
      </w:r>
      <w:r w:rsidR="00142C8C">
        <w:rPr>
          <w:sz w:val="22"/>
          <w:szCs w:val="22"/>
        </w:rPr>
        <w:t xml:space="preserve">e </w:t>
      </w:r>
      <w:r w:rsidRPr="00CC4B51">
        <w:rPr>
          <w:sz w:val="22"/>
          <w:szCs w:val="22"/>
        </w:rPr>
        <w:t>80 mg na Semana 2, atendendo que o risco de acontecimentos adversos é maior durante a indução.</w:t>
      </w:r>
    </w:p>
    <w:p w14:paraId="238E2FD3" w14:textId="77777777" w:rsidR="004462A0" w:rsidRPr="00CC4B51" w:rsidRDefault="004462A0" w:rsidP="004462A0">
      <w:pPr>
        <w:rPr>
          <w:sz w:val="22"/>
          <w:szCs w:val="22"/>
        </w:rPr>
      </w:pPr>
    </w:p>
    <w:p w14:paraId="20CD6EF2" w14:textId="77777777" w:rsidR="004462A0" w:rsidRPr="00CC4B51" w:rsidRDefault="00615769" w:rsidP="004462A0">
      <w:pPr>
        <w:rPr>
          <w:sz w:val="22"/>
          <w:szCs w:val="22"/>
        </w:rPr>
      </w:pPr>
      <w:r w:rsidRPr="00CC4B51">
        <w:rPr>
          <w:sz w:val="22"/>
          <w:szCs w:val="22"/>
        </w:rPr>
        <w:t xml:space="preserve">Após o tratamento de indução, a dose recomendada é de 40 mg em semanas alternadas por injeção subcutânea. Se um doente suspender Humira e se houver recorrência dos sinais e sintomas da doença, Humira pode ser readministrado. Existe pouca experiência na readministração para além das 8 semanas após a dose anterior. </w:t>
      </w:r>
    </w:p>
    <w:p w14:paraId="042603B9" w14:textId="77777777" w:rsidR="004462A0" w:rsidRPr="00CC4B51" w:rsidRDefault="004462A0" w:rsidP="004462A0">
      <w:pPr>
        <w:rPr>
          <w:sz w:val="22"/>
          <w:szCs w:val="22"/>
        </w:rPr>
      </w:pPr>
    </w:p>
    <w:p w14:paraId="41698076" w14:textId="77777777" w:rsidR="004462A0" w:rsidRPr="00CC4B51" w:rsidRDefault="00615769" w:rsidP="004462A0">
      <w:pPr>
        <w:rPr>
          <w:sz w:val="22"/>
          <w:szCs w:val="22"/>
        </w:rPr>
      </w:pPr>
      <w:r w:rsidRPr="00CC4B51">
        <w:rPr>
          <w:sz w:val="22"/>
          <w:szCs w:val="22"/>
        </w:rPr>
        <w:t>Durante o tratamento de manutenção, os corticosteroides podem ser ajustados de acordo com as normas orientadoras da prática clínica.</w:t>
      </w:r>
    </w:p>
    <w:p w14:paraId="077207D0" w14:textId="77777777" w:rsidR="004462A0" w:rsidRPr="00CC4B51" w:rsidRDefault="004462A0" w:rsidP="004462A0">
      <w:pPr>
        <w:rPr>
          <w:sz w:val="22"/>
          <w:szCs w:val="22"/>
        </w:rPr>
      </w:pPr>
    </w:p>
    <w:p w14:paraId="3CA25AFA" w14:textId="77777777" w:rsidR="004462A0" w:rsidRPr="00CC4B51" w:rsidRDefault="00615769" w:rsidP="004462A0">
      <w:pPr>
        <w:rPr>
          <w:sz w:val="22"/>
          <w:szCs w:val="22"/>
        </w:rPr>
      </w:pPr>
      <w:r w:rsidRPr="00CC4B51">
        <w:rPr>
          <w:sz w:val="22"/>
          <w:szCs w:val="22"/>
        </w:rPr>
        <w:t>Alguns doentes que apresentaram diminuição na sua resposta terapêutica</w:t>
      </w:r>
      <w:r w:rsidR="00E52890">
        <w:rPr>
          <w:sz w:val="22"/>
          <w:szCs w:val="22"/>
        </w:rPr>
        <w:t xml:space="preserve"> com Humira 40 mg em semanas alternadas</w:t>
      </w:r>
      <w:r w:rsidRPr="00CC4B51">
        <w:rPr>
          <w:sz w:val="22"/>
          <w:szCs w:val="22"/>
        </w:rPr>
        <w:t xml:space="preserve"> podem beneficiar com um aumento da dose para 40 mg de Humira todas as semanas</w:t>
      </w:r>
      <w:r w:rsidR="00E52890">
        <w:rPr>
          <w:sz w:val="22"/>
          <w:szCs w:val="22"/>
        </w:rPr>
        <w:t xml:space="preserve"> ou 80 mg em semanas alternadas</w:t>
      </w:r>
      <w:r w:rsidRPr="00CC4B51">
        <w:rPr>
          <w:sz w:val="22"/>
          <w:szCs w:val="22"/>
        </w:rPr>
        <w:t>.</w:t>
      </w:r>
    </w:p>
    <w:p w14:paraId="3B890D4D" w14:textId="77777777" w:rsidR="004462A0" w:rsidRPr="00CC4B51" w:rsidRDefault="004462A0" w:rsidP="004462A0">
      <w:pPr>
        <w:rPr>
          <w:sz w:val="22"/>
          <w:szCs w:val="22"/>
        </w:rPr>
      </w:pPr>
    </w:p>
    <w:p w14:paraId="13D00CB5" w14:textId="77777777" w:rsidR="004462A0" w:rsidRPr="00CC4B51" w:rsidRDefault="00615769" w:rsidP="004462A0">
      <w:pPr>
        <w:rPr>
          <w:sz w:val="22"/>
          <w:szCs w:val="22"/>
        </w:rPr>
      </w:pPr>
      <w:r w:rsidRPr="00CC4B51">
        <w:rPr>
          <w:sz w:val="22"/>
          <w:szCs w:val="22"/>
        </w:rPr>
        <w:t xml:space="preserve">Alguns doentes que não responderam à Semana 4 podem beneficiar com uma terapêutica de manutenção continuada até à Semana 12. Uma terapêutica continuada deve ser cuidadosamente reconsiderada em doentes que não responderam dentro deste período de tempo. </w:t>
      </w:r>
    </w:p>
    <w:p w14:paraId="2F84250A" w14:textId="77777777" w:rsidR="004462A0" w:rsidRDefault="004462A0" w:rsidP="004462A0">
      <w:pPr>
        <w:rPr>
          <w:sz w:val="22"/>
          <w:szCs w:val="22"/>
          <w:u w:val="single"/>
        </w:rPr>
      </w:pPr>
    </w:p>
    <w:p w14:paraId="7B8DCDB1" w14:textId="77777777" w:rsidR="00E52890" w:rsidRDefault="00615769" w:rsidP="00E52890">
      <w:pPr>
        <w:pStyle w:val="BodyText2"/>
        <w:autoSpaceDE/>
        <w:autoSpaceDN/>
        <w:adjustRightInd/>
        <w:rPr>
          <w:szCs w:val="22"/>
        </w:rPr>
      </w:pPr>
      <w:r>
        <w:rPr>
          <w:szCs w:val="22"/>
        </w:rPr>
        <w:t xml:space="preserve">Humira pode estar disponível em outras dosagens e/ou apresentações dependendo das necessidades de cada doente. </w:t>
      </w:r>
    </w:p>
    <w:p w14:paraId="0A18F012" w14:textId="77777777" w:rsidR="00E52890" w:rsidRPr="00CC4B51" w:rsidRDefault="00E52890" w:rsidP="004462A0">
      <w:pPr>
        <w:rPr>
          <w:sz w:val="22"/>
          <w:szCs w:val="22"/>
          <w:u w:val="single"/>
        </w:rPr>
      </w:pPr>
    </w:p>
    <w:p w14:paraId="79BEA43F" w14:textId="77777777" w:rsidR="004462A0" w:rsidRPr="00CC4B51" w:rsidRDefault="00615769" w:rsidP="004462A0">
      <w:pPr>
        <w:keepNext/>
        <w:rPr>
          <w:sz w:val="22"/>
          <w:szCs w:val="22"/>
          <w:u w:val="single"/>
        </w:rPr>
      </w:pPr>
      <w:r w:rsidRPr="00CC4B51">
        <w:rPr>
          <w:i/>
          <w:sz w:val="22"/>
          <w:szCs w:val="22"/>
        </w:rPr>
        <w:t>Colite ulcerosa</w:t>
      </w:r>
    </w:p>
    <w:p w14:paraId="21B0108E" w14:textId="77777777" w:rsidR="004462A0" w:rsidRPr="00CC4B51" w:rsidRDefault="004462A0" w:rsidP="004462A0">
      <w:pPr>
        <w:keepNext/>
        <w:rPr>
          <w:sz w:val="22"/>
          <w:szCs w:val="22"/>
          <w:u w:val="single"/>
        </w:rPr>
      </w:pPr>
    </w:p>
    <w:p w14:paraId="7A77E13D" w14:textId="77777777" w:rsidR="004462A0" w:rsidRPr="00CC4B51" w:rsidRDefault="00615769" w:rsidP="004462A0">
      <w:pPr>
        <w:rPr>
          <w:sz w:val="22"/>
          <w:szCs w:val="22"/>
        </w:rPr>
      </w:pPr>
      <w:r w:rsidRPr="00CC4B51">
        <w:rPr>
          <w:sz w:val="22"/>
          <w:szCs w:val="22"/>
        </w:rPr>
        <w:t xml:space="preserve">A dose de indução recomendada de Humira em doentes adultos com </w:t>
      </w:r>
      <w:r w:rsidRPr="00CC4B51">
        <w:rPr>
          <w:sz w:val="22"/>
          <w:szCs w:val="22"/>
          <w:lang w:eastAsia="pt-PT"/>
        </w:rPr>
        <w:t>colite ulcerosa moderada a grave</w:t>
      </w:r>
      <w:r w:rsidRPr="00CC4B51">
        <w:rPr>
          <w:sz w:val="22"/>
          <w:szCs w:val="22"/>
        </w:rPr>
        <w:t xml:space="preserve"> é de 160 mg na Semana 0 (administrada em duas injeções </w:t>
      </w:r>
      <w:r w:rsidR="00293AA5">
        <w:rPr>
          <w:sz w:val="22"/>
          <w:szCs w:val="22"/>
        </w:rPr>
        <w:t xml:space="preserve">de 80 mg </w:t>
      </w:r>
      <w:r w:rsidRPr="00CC4B51">
        <w:rPr>
          <w:sz w:val="22"/>
          <w:szCs w:val="22"/>
        </w:rPr>
        <w:t xml:space="preserve">num dia ou uma injeção </w:t>
      </w:r>
      <w:r w:rsidR="00293AA5">
        <w:rPr>
          <w:sz w:val="22"/>
          <w:szCs w:val="22"/>
        </w:rPr>
        <w:t xml:space="preserve">de 80 mg </w:t>
      </w:r>
      <w:r w:rsidRPr="00CC4B51">
        <w:rPr>
          <w:sz w:val="22"/>
          <w:szCs w:val="22"/>
        </w:rPr>
        <w:t>por dia</w:t>
      </w:r>
      <w:r w:rsidR="00293AA5">
        <w:rPr>
          <w:sz w:val="22"/>
          <w:szCs w:val="22"/>
        </w:rPr>
        <w:t>,</w:t>
      </w:r>
      <w:r w:rsidRPr="00CC4B51">
        <w:rPr>
          <w:sz w:val="22"/>
          <w:szCs w:val="22"/>
        </w:rPr>
        <w:t xml:space="preserve"> em dois dias consecutivos) e de 80 mg na Semana 2. Após o tratamento de indução, a dose recomendada é de 40 mg em semanas alternadas por injeção subcutânea. </w:t>
      </w:r>
    </w:p>
    <w:p w14:paraId="6408D034" w14:textId="77777777" w:rsidR="004462A0" w:rsidRPr="00CC4B51" w:rsidRDefault="004462A0" w:rsidP="004462A0">
      <w:pPr>
        <w:rPr>
          <w:sz w:val="22"/>
          <w:szCs w:val="22"/>
        </w:rPr>
      </w:pPr>
    </w:p>
    <w:p w14:paraId="41283C39" w14:textId="77777777" w:rsidR="004462A0" w:rsidRPr="00CC4B51" w:rsidRDefault="00615769" w:rsidP="004462A0">
      <w:pPr>
        <w:rPr>
          <w:sz w:val="22"/>
          <w:szCs w:val="22"/>
        </w:rPr>
      </w:pPr>
      <w:r w:rsidRPr="00CC4B51">
        <w:rPr>
          <w:sz w:val="22"/>
          <w:szCs w:val="22"/>
        </w:rPr>
        <w:t>Durante o tratamento de manutenção, os corticosteroides podem ser ajustados de acordo com as normas orientadoras da prática clínica.</w:t>
      </w:r>
    </w:p>
    <w:p w14:paraId="3F9B2EAC" w14:textId="77777777" w:rsidR="004462A0" w:rsidRPr="00CC4B51" w:rsidRDefault="004462A0" w:rsidP="004462A0">
      <w:pPr>
        <w:rPr>
          <w:sz w:val="22"/>
          <w:szCs w:val="22"/>
        </w:rPr>
      </w:pPr>
    </w:p>
    <w:p w14:paraId="3F5A5FC4" w14:textId="77777777" w:rsidR="004462A0" w:rsidRPr="00CC4B51" w:rsidRDefault="00615769" w:rsidP="004462A0">
      <w:pPr>
        <w:rPr>
          <w:sz w:val="22"/>
          <w:szCs w:val="22"/>
        </w:rPr>
      </w:pPr>
      <w:r w:rsidRPr="00CC4B51">
        <w:rPr>
          <w:sz w:val="22"/>
          <w:szCs w:val="22"/>
        </w:rPr>
        <w:t>Alguns doentes que apresentaram diminuição na sua resposta terapêutica</w:t>
      </w:r>
      <w:r w:rsidR="00E52890">
        <w:rPr>
          <w:sz w:val="22"/>
          <w:szCs w:val="22"/>
        </w:rPr>
        <w:t xml:space="preserve"> com 40 mg em semanas alternadas</w:t>
      </w:r>
      <w:r w:rsidRPr="00CC4B51">
        <w:rPr>
          <w:sz w:val="22"/>
          <w:szCs w:val="22"/>
        </w:rPr>
        <w:t xml:space="preserve"> podem beneficiar com um aumento da dose para 40 mg de Humira todas as semanas</w:t>
      </w:r>
      <w:r w:rsidR="00E52890">
        <w:rPr>
          <w:sz w:val="22"/>
          <w:szCs w:val="22"/>
        </w:rPr>
        <w:t xml:space="preserve"> ou 80 mg em semanas alternadas</w:t>
      </w:r>
      <w:r w:rsidRPr="00CC4B51">
        <w:rPr>
          <w:sz w:val="22"/>
          <w:szCs w:val="22"/>
        </w:rPr>
        <w:t>.</w:t>
      </w:r>
    </w:p>
    <w:p w14:paraId="0918AF88" w14:textId="77777777" w:rsidR="004462A0" w:rsidRPr="00CC4B51" w:rsidRDefault="004462A0" w:rsidP="004462A0">
      <w:pPr>
        <w:rPr>
          <w:sz w:val="22"/>
          <w:szCs w:val="22"/>
        </w:rPr>
      </w:pPr>
    </w:p>
    <w:p w14:paraId="1312B945" w14:textId="77777777" w:rsidR="004462A0" w:rsidRPr="00CC4B51" w:rsidRDefault="00615769" w:rsidP="004462A0">
      <w:pPr>
        <w:autoSpaceDE w:val="0"/>
        <w:autoSpaceDN w:val="0"/>
        <w:adjustRightInd w:val="0"/>
      </w:pPr>
      <w:r w:rsidRPr="00CC4B51">
        <w:rPr>
          <w:sz w:val="22"/>
          <w:szCs w:val="22"/>
        </w:rPr>
        <w:t>Os dados disponíveis sugerem que a resposta clínica é geralmente atingida dentro de 2-8 semanas de tratamento. O tratamento com Humira não deve ser continuado em doentes que não responderam dentro deste período de tempo.</w:t>
      </w:r>
    </w:p>
    <w:p w14:paraId="505A3CC5" w14:textId="77777777" w:rsidR="004462A0" w:rsidRDefault="004462A0" w:rsidP="004462A0">
      <w:pPr>
        <w:rPr>
          <w:sz w:val="22"/>
          <w:szCs w:val="22"/>
          <w:u w:val="single"/>
        </w:rPr>
      </w:pPr>
    </w:p>
    <w:p w14:paraId="30DA2DF4" w14:textId="77777777" w:rsidR="00E52890" w:rsidRDefault="00615769" w:rsidP="00E52890">
      <w:pPr>
        <w:pStyle w:val="BodyText2"/>
        <w:autoSpaceDE/>
        <w:autoSpaceDN/>
        <w:adjustRightInd/>
        <w:rPr>
          <w:szCs w:val="22"/>
        </w:rPr>
      </w:pPr>
      <w:r>
        <w:rPr>
          <w:szCs w:val="22"/>
        </w:rPr>
        <w:t xml:space="preserve">Humira pode estar disponível em outras dosagens e/ou apresentações dependendo das necessidades de cada doente. </w:t>
      </w:r>
    </w:p>
    <w:p w14:paraId="3D21C20E" w14:textId="77777777" w:rsidR="00E52890" w:rsidRPr="00CC4B51" w:rsidRDefault="00E52890" w:rsidP="004462A0">
      <w:pPr>
        <w:rPr>
          <w:sz w:val="22"/>
          <w:szCs w:val="22"/>
          <w:u w:val="single"/>
        </w:rPr>
      </w:pPr>
    </w:p>
    <w:p w14:paraId="531E79D0" w14:textId="77777777" w:rsidR="004462A0" w:rsidRPr="00CC4B51" w:rsidRDefault="00615769" w:rsidP="004462A0">
      <w:pPr>
        <w:rPr>
          <w:i/>
          <w:sz w:val="22"/>
          <w:szCs w:val="22"/>
        </w:rPr>
      </w:pPr>
      <w:r w:rsidRPr="00CC4B51">
        <w:rPr>
          <w:i/>
          <w:sz w:val="22"/>
          <w:szCs w:val="22"/>
        </w:rPr>
        <w:t>Uveíte</w:t>
      </w:r>
    </w:p>
    <w:p w14:paraId="5333FB86" w14:textId="77777777" w:rsidR="004462A0" w:rsidRPr="00CC4B51" w:rsidRDefault="004462A0" w:rsidP="004462A0">
      <w:pPr>
        <w:rPr>
          <w:sz w:val="22"/>
          <w:szCs w:val="22"/>
          <w:u w:val="single"/>
        </w:rPr>
      </w:pPr>
    </w:p>
    <w:p w14:paraId="0C453127" w14:textId="77777777" w:rsidR="004462A0" w:rsidRPr="00CC4B51" w:rsidRDefault="00615769" w:rsidP="004462A0">
      <w:pPr>
        <w:rPr>
          <w:sz w:val="22"/>
          <w:szCs w:val="22"/>
        </w:rPr>
      </w:pPr>
      <w:r w:rsidRPr="00CC4B51">
        <w:rPr>
          <w:sz w:val="22"/>
          <w:szCs w:val="22"/>
        </w:rPr>
        <w:t>A dose inicial recomendada de Humira em doentes adultos com uveíte é de 80 mg, seguida de 40 mg administrados em semanas alternadas, uma semana após a dose inicial. Estão disponíveis seringas pré-cheias e/ou canetas pré-cheias de Humira 40 mg solução injetável para a dose de manutenção. A experiência existente, em termos de iniciação do tratamento com Humira em monoterapia, é limitada. O tratamento com Humira pode ser iniciado em associação com corticosteroides e/ou com outros agentes imunomoduladores não b</w:t>
      </w:r>
      <w:r w:rsidRPr="00CC4B51">
        <w:rPr>
          <w:sz w:val="22"/>
          <w:szCs w:val="22"/>
        </w:rPr>
        <w:t>iológicos.</w:t>
      </w:r>
      <w:r w:rsidRPr="00CC4B51">
        <w:t xml:space="preserve"> </w:t>
      </w:r>
      <w:r w:rsidRPr="00CC4B51">
        <w:rPr>
          <w:sz w:val="22"/>
          <w:szCs w:val="22"/>
        </w:rPr>
        <w:t xml:space="preserve">Os corticosteroides concomitantes podem ser reduzidos de acordo com a prática clínica, duas semanas após o início do tratamento com Humira. </w:t>
      </w:r>
    </w:p>
    <w:p w14:paraId="557B671B" w14:textId="77777777" w:rsidR="004462A0" w:rsidRPr="00CC4B51" w:rsidRDefault="004462A0" w:rsidP="004462A0">
      <w:pPr>
        <w:rPr>
          <w:sz w:val="22"/>
          <w:szCs w:val="22"/>
          <w:u w:val="single"/>
        </w:rPr>
      </w:pPr>
    </w:p>
    <w:p w14:paraId="7A2F4AA6" w14:textId="77777777" w:rsidR="004462A0" w:rsidRPr="00CC4B51" w:rsidRDefault="00615769" w:rsidP="004462A0">
      <w:pPr>
        <w:rPr>
          <w:sz w:val="22"/>
          <w:szCs w:val="22"/>
        </w:rPr>
      </w:pPr>
      <w:r w:rsidRPr="00CC4B51">
        <w:rPr>
          <w:sz w:val="22"/>
          <w:szCs w:val="22"/>
        </w:rPr>
        <w:t xml:space="preserve">Recomenda-se que o risco benefício do tratamento continuado a longo prazo seja avaliado anualmente (ver secção 5.1). </w:t>
      </w:r>
    </w:p>
    <w:p w14:paraId="034FCC54" w14:textId="77777777" w:rsidR="004462A0" w:rsidRDefault="004462A0" w:rsidP="004462A0">
      <w:pPr>
        <w:rPr>
          <w:sz w:val="22"/>
          <w:szCs w:val="22"/>
          <w:u w:val="single"/>
        </w:rPr>
      </w:pPr>
    </w:p>
    <w:p w14:paraId="275E561C" w14:textId="77777777" w:rsidR="00E52890" w:rsidRDefault="00615769" w:rsidP="00E52890">
      <w:pPr>
        <w:pStyle w:val="BodyText2"/>
        <w:autoSpaceDE/>
        <w:autoSpaceDN/>
        <w:adjustRightInd/>
        <w:rPr>
          <w:szCs w:val="22"/>
        </w:rPr>
      </w:pPr>
      <w:r>
        <w:rPr>
          <w:szCs w:val="22"/>
        </w:rPr>
        <w:t xml:space="preserve">Humira pode estar disponível em outras dosagens e/ou apresentações dependendo das necessidades de cada doente. </w:t>
      </w:r>
    </w:p>
    <w:p w14:paraId="691A2E5D" w14:textId="77777777" w:rsidR="00E52890" w:rsidRDefault="00E52890" w:rsidP="004462A0">
      <w:pPr>
        <w:rPr>
          <w:sz w:val="22"/>
          <w:szCs w:val="22"/>
          <w:u w:val="single"/>
        </w:rPr>
      </w:pPr>
    </w:p>
    <w:p w14:paraId="2C718D7D" w14:textId="77777777" w:rsidR="008369E4" w:rsidRPr="008369E4" w:rsidRDefault="00615769" w:rsidP="004462A0">
      <w:pPr>
        <w:rPr>
          <w:sz w:val="22"/>
          <w:szCs w:val="22"/>
          <w:u w:val="single"/>
        </w:rPr>
      </w:pPr>
      <w:r w:rsidRPr="008369E4">
        <w:rPr>
          <w:sz w:val="22"/>
          <w:szCs w:val="22"/>
          <w:u w:val="single"/>
        </w:rPr>
        <w:t>Populações especiais</w:t>
      </w:r>
    </w:p>
    <w:p w14:paraId="1B4DB6E0" w14:textId="77777777" w:rsidR="008369E4" w:rsidRPr="00CC4B51" w:rsidRDefault="008369E4" w:rsidP="004462A0">
      <w:pPr>
        <w:rPr>
          <w:sz w:val="22"/>
          <w:szCs w:val="22"/>
          <w:u w:val="single"/>
        </w:rPr>
      </w:pPr>
    </w:p>
    <w:p w14:paraId="0F6D6746" w14:textId="77777777" w:rsidR="004462A0" w:rsidRPr="00F03C54" w:rsidRDefault="00615769" w:rsidP="004462A0">
      <w:pPr>
        <w:rPr>
          <w:sz w:val="22"/>
          <w:szCs w:val="22"/>
        </w:rPr>
      </w:pPr>
      <w:r w:rsidRPr="00F03C54">
        <w:rPr>
          <w:sz w:val="22"/>
          <w:szCs w:val="22"/>
        </w:rPr>
        <w:t>Idosos</w:t>
      </w:r>
    </w:p>
    <w:p w14:paraId="731FAF3C" w14:textId="77777777" w:rsidR="004462A0" w:rsidRPr="00CC4B51" w:rsidRDefault="004462A0" w:rsidP="004462A0">
      <w:pPr>
        <w:rPr>
          <w:sz w:val="22"/>
          <w:szCs w:val="22"/>
          <w:u w:val="single"/>
        </w:rPr>
      </w:pPr>
    </w:p>
    <w:p w14:paraId="21928397" w14:textId="77777777" w:rsidR="004462A0" w:rsidRPr="00CC4B51" w:rsidRDefault="00615769" w:rsidP="004462A0">
      <w:pPr>
        <w:rPr>
          <w:i/>
          <w:sz w:val="22"/>
          <w:szCs w:val="22"/>
        </w:rPr>
      </w:pPr>
      <w:r w:rsidRPr="00CC4B51">
        <w:rPr>
          <w:sz w:val="22"/>
          <w:szCs w:val="22"/>
        </w:rPr>
        <w:t>Não é necessário efetuar ajustes posológicos.</w:t>
      </w:r>
    </w:p>
    <w:p w14:paraId="0CCEF5D3" w14:textId="77777777" w:rsidR="004462A0" w:rsidRPr="00CC4B51" w:rsidRDefault="004462A0" w:rsidP="004462A0">
      <w:pPr>
        <w:rPr>
          <w:i/>
          <w:sz w:val="22"/>
          <w:szCs w:val="22"/>
        </w:rPr>
      </w:pPr>
    </w:p>
    <w:p w14:paraId="7AB95B71" w14:textId="77777777" w:rsidR="004462A0" w:rsidRPr="00F03C54" w:rsidRDefault="00615769" w:rsidP="004462A0">
      <w:pPr>
        <w:rPr>
          <w:bCs/>
          <w:iCs/>
          <w:sz w:val="22"/>
          <w:szCs w:val="22"/>
        </w:rPr>
      </w:pPr>
      <w:r w:rsidRPr="00F03C54">
        <w:rPr>
          <w:bCs/>
          <w:iCs/>
          <w:sz w:val="22"/>
          <w:szCs w:val="22"/>
        </w:rPr>
        <w:t>Compromisso renal e/ou hepático</w:t>
      </w:r>
    </w:p>
    <w:p w14:paraId="33F5FC4E" w14:textId="77777777" w:rsidR="004462A0" w:rsidRPr="00CC4B51" w:rsidRDefault="004462A0" w:rsidP="004462A0">
      <w:pPr>
        <w:rPr>
          <w:b/>
          <w:iCs/>
          <w:sz w:val="22"/>
          <w:szCs w:val="22"/>
        </w:rPr>
      </w:pPr>
    </w:p>
    <w:p w14:paraId="7EDD18B8" w14:textId="77777777" w:rsidR="004462A0" w:rsidRPr="00CC4B51" w:rsidRDefault="00615769" w:rsidP="004462A0">
      <w:pPr>
        <w:rPr>
          <w:bCs/>
          <w:iCs/>
          <w:sz w:val="22"/>
          <w:szCs w:val="22"/>
        </w:rPr>
      </w:pPr>
      <w:r w:rsidRPr="00CC4B51">
        <w:rPr>
          <w:bCs/>
          <w:iCs/>
          <w:sz w:val="22"/>
          <w:szCs w:val="22"/>
        </w:rPr>
        <w:t>Humira não foi estudado nesta população de doentes. Não podem ser feitas recomendações acerca da dose.</w:t>
      </w:r>
    </w:p>
    <w:p w14:paraId="030A49A0" w14:textId="77777777" w:rsidR="004462A0" w:rsidRPr="00CC4B51" w:rsidRDefault="004462A0" w:rsidP="004462A0">
      <w:pPr>
        <w:tabs>
          <w:tab w:val="left" w:pos="562"/>
        </w:tabs>
        <w:suppressAutoHyphens/>
        <w:rPr>
          <w:sz w:val="22"/>
          <w:szCs w:val="20"/>
        </w:rPr>
      </w:pPr>
    </w:p>
    <w:p w14:paraId="3CB73F7D" w14:textId="77777777" w:rsidR="004462A0" w:rsidRPr="00F03C54" w:rsidRDefault="00615769" w:rsidP="004462A0">
      <w:pPr>
        <w:rPr>
          <w:b/>
          <w:i/>
          <w:sz w:val="22"/>
          <w:szCs w:val="22"/>
        </w:rPr>
      </w:pPr>
      <w:r w:rsidRPr="00F03C54">
        <w:rPr>
          <w:sz w:val="22"/>
          <w:szCs w:val="22"/>
        </w:rPr>
        <w:t>População pediátrica</w:t>
      </w:r>
    </w:p>
    <w:p w14:paraId="5D0B7960" w14:textId="77777777" w:rsidR="004462A0" w:rsidRPr="00CC4B51" w:rsidRDefault="004462A0" w:rsidP="004462A0">
      <w:pPr>
        <w:rPr>
          <w:szCs w:val="22"/>
          <w:u w:val="single"/>
        </w:rPr>
      </w:pPr>
    </w:p>
    <w:p w14:paraId="1C3C35FD" w14:textId="77777777" w:rsidR="00AB0B1F" w:rsidRPr="00CC4B51" w:rsidRDefault="00615769" w:rsidP="00AB0B1F">
      <w:pPr>
        <w:rPr>
          <w:sz w:val="22"/>
          <w:szCs w:val="22"/>
        </w:rPr>
      </w:pPr>
      <w:r w:rsidRPr="00CC4B51">
        <w:rPr>
          <w:i/>
          <w:sz w:val="22"/>
          <w:szCs w:val="22"/>
        </w:rPr>
        <w:t>Psoríase pediátrica em placas</w:t>
      </w:r>
    </w:p>
    <w:p w14:paraId="4CEFE3C8" w14:textId="77777777" w:rsidR="00AB0B1F" w:rsidRPr="00CC4B51" w:rsidRDefault="00AB0B1F" w:rsidP="00AB0B1F">
      <w:pPr>
        <w:rPr>
          <w:sz w:val="22"/>
          <w:szCs w:val="22"/>
          <w:u w:val="single"/>
        </w:rPr>
      </w:pPr>
    </w:p>
    <w:p w14:paraId="2A024454" w14:textId="77777777" w:rsidR="00AB0B1F" w:rsidRPr="00CC4B51" w:rsidRDefault="00615769" w:rsidP="00AB0B1F">
      <w:pPr>
        <w:rPr>
          <w:bCs/>
          <w:iCs/>
          <w:sz w:val="22"/>
          <w:szCs w:val="22"/>
        </w:rPr>
      </w:pPr>
      <w:r w:rsidRPr="00CC4B51">
        <w:rPr>
          <w:sz w:val="22"/>
          <w:szCs w:val="22"/>
        </w:rPr>
        <w:t xml:space="preserve">A segurança e eficácia de Humira em crianças entre os </w:t>
      </w:r>
      <w:r>
        <w:rPr>
          <w:sz w:val="22"/>
          <w:szCs w:val="22"/>
        </w:rPr>
        <w:t>4</w:t>
      </w:r>
      <w:r w:rsidRPr="00CC4B51">
        <w:rPr>
          <w:sz w:val="22"/>
          <w:szCs w:val="22"/>
        </w:rPr>
        <w:t xml:space="preserve"> e os</w:t>
      </w:r>
      <w:r>
        <w:rPr>
          <w:sz w:val="22"/>
          <w:szCs w:val="22"/>
        </w:rPr>
        <w:t xml:space="preserve"> </w:t>
      </w:r>
      <w:r w:rsidRPr="00CC4B51">
        <w:rPr>
          <w:sz w:val="22"/>
          <w:szCs w:val="22"/>
        </w:rPr>
        <w:t xml:space="preserve">17 anos de idade foram estabelecidas para a psoríase em placas. A dose recomendada de Humira pode ser aumentada até um máximo de 40 mg por dose. </w:t>
      </w:r>
    </w:p>
    <w:p w14:paraId="340407BC" w14:textId="77777777" w:rsidR="00AB0B1F" w:rsidRDefault="00AB0B1F" w:rsidP="00AB0B1F">
      <w:pPr>
        <w:rPr>
          <w:bCs/>
          <w:i/>
          <w:iCs/>
          <w:sz w:val="22"/>
          <w:szCs w:val="22"/>
        </w:rPr>
      </w:pPr>
    </w:p>
    <w:p w14:paraId="19A97A23" w14:textId="77777777" w:rsidR="004462A0" w:rsidRPr="00CC4B51" w:rsidRDefault="00615769" w:rsidP="004462A0">
      <w:pPr>
        <w:rPr>
          <w:bCs/>
          <w:i/>
          <w:iCs/>
          <w:sz w:val="22"/>
          <w:szCs w:val="22"/>
        </w:rPr>
      </w:pPr>
      <w:r w:rsidRPr="00CC4B51">
        <w:rPr>
          <w:bCs/>
          <w:i/>
          <w:iCs/>
          <w:sz w:val="22"/>
          <w:szCs w:val="22"/>
        </w:rPr>
        <w:t>Hidradenite supurativa no adolescente (a partir dos 12 anos de idade, com pelo menos 30 </w:t>
      </w:r>
      <w:r w:rsidR="00AB606B">
        <w:rPr>
          <w:bCs/>
          <w:i/>
          <w:iCs/>
          <w:sz w:val="22"/>
          <w:szCs w:val="22"/>
        </w:rPr>
        <w:t>k</w:t>
      </w:r>
      <w:r w:rsidRPr="00CC4B51">
        <w:rPr>
          <w:bCs/>
          <w:i/>
          <w:iCs/>
          <w:sz w:val="22"/>
          <w:szCs w:val="22"/>
        </w:rPr>
        <w:t>g de peso)</w:t>
      </w:r>
    </w:p>
    <w:p w14:paraId="15BF4518" w14:textId="77777777" w:rsidR="004462A0" w:rsidRPr="00CC4B51" w:rsidRDefault="004462A0" w:rsidP="004462A0">
      <w:pPr>
        <w:rPr>
          <w:bCs/>
          <w:iCs/>
          <w:sz w:val="22"/>
          <w:szCs w:val="22"/>
        </w:rPr>
      </w:pPr>
    </w:p>
    <w:p w14:paraId="65CA5BEB" w14:textId="77777777" w:rsidR="004462A0" w:rsidRPr="00CC4B51" w:rsidRDefault="00615769" w:rsidP="004462A0">
      <w:pPr>
        <w:rPr>
          <w:bCs/>
          <w:iCs/>
          <w:sz w:val="22"/>
          <w:szCs w:val="22"/>
        </w:rPr>
      </w:pPr>
      <w:r w:rsidRPr="00CC4B51">
        <w:rPr>
          <w:bCs/>
          <w:iCs/>
          <w:sz w:val="22"/>
          <w:szCs w:val="22"/>
        </w:rPr>
        <w:t>Não existem estudos clínicos com Humira em doentes adolescentes com hidradenite supurativa. A posologia de Humira nestes doentes foi determinada através de modelos farmacocinéticos e de simulação (ver secção 5.2).</w:t>
      </w:r>
    </w:p>
    <w:p w14:paraId="1F353B09" w14:textId="77777777" w:rsidR="004462A0" w:rsidRPr="00CC4B51" w:rsidRDefault="004462A0" w:rsidP="004462A0">
      <w:pPr>
        <w:rPr>
          <w:bCs/>
          <w:iCs/>
          <w:sz w:val="22"/>
          <w:szCs w:val="22"/>
        </w:rPr>
      </w:pPr>
    </w:p>
    <w:p w14:paraId="58269AFD" w14:textId="77777777" w:rsidR="004462A0" w:rsidRPr="003E58D4" w:rsidRDefault="00615769" w:rsidP="004462A0">
      <w:pPr>
        <w:rPr>
          <w:bCs/>
          <w:iCs/>
          <w:sz w:val="22"/>
          <w:szCs w:val="22"/>
        </w:rPr>
      </w:pPr>
      <w:r w:rsidRPr="00CC4B51">
        <w:rPr>
          <w:bCs/>
          <w:iCs/>
          <w:sz w:val="22"/>
          <w:szCs w:val="22"/>
        </w:rPr>
        <w:t>A dose recomendada de Humira é de 80 mg na Semana 0</w:t>
      </w:r>
      <w:r w:rsidR="00AB606B">
        <w:rPr>
          <w:bCs/>
          <w:iCs/>
          <w:sz w:val="22"/>
          <w:szCs w:val="22"/>
        </w:rPr>
        <w:t>,</w:t>
      </w:r>
      <w:r w:rsidRPr="00CC4B51">
        <w:rPr>
          <w:bCs/>
          <w:iCs/>
          <w:sz w:val="22"/>
          <w:szCs w:val="22"/>
        </w:rPr>
        <w:t xml:space="preserve"> seguida de 40 mg em semanas alternadas, com início na Semana 1</w:t>
      </w:r>
      <w:r w:rsidR="00AB606B">
        <w:rPr>
          <w:bCs/>
          <w:iCs/>
          <w:sz w:val="22"/>
          <w:szCs w:val="22"/>
        </w:rPr>
        <w:t>,</w:t>
      </w:r>
      <w:r w:rsidRPr="00CC4B51">
        <w:rPr>
          <w:bCs/>
          <w:iCs/>
          <w:sz w:val="22"/>
          <w:szCs w:val="22"/>
        </w:rPr>
        <w:t xml:space="preserve"> por injeção subcutânea.</w:t>
      </w:r>
      <w:r w:rsidR="003E58D4" w:rsidRPr="003E58D4">
        <w:rPr>
          <w:szCs w:val="22"/>
        </w:rPr>
        <w:t xml:space="preserve"> </w:t>
      </w:r>
    </w:p>
    <w:p w14:paraId="5C14CA21" w14:textId="77777777" w:rsidR="004462A0" w:rsidRPr="00CC4B51" w:rsidRDefault="004462A0" w:rsidP="004462A0">
      <w:pPr>
        <w:rPr>
          <w:bCs/>
          <w:iCs/>
          <w:sz w:val="22"/>
          <w:szCs w:val="22"/>
        </w:rPr>
      </w:pPr>
    </w:p>
    <w:p w14:paraId="249B353F" w14:textId="77777777" w:rsidR="004462A0" w:rsidRPr="00CC4B51" w:rsidRDefault="00615769" w:rsidP="004462A0">
      <w:pPr>
        <w:rPr>
          <w:bCs/>
          <w:iCs/>
          <w:sz w:val="22"/>
          <w:szCs w:val="22"/>
        </w:rPr>
      </w:pPr>
      <w:r w:rsidRPr="00CC4B51">
        <w:rPr>
          <w:bCs/>
          <w:iCs/>
          <w:sz w:val="22"/>
          <w:szCs w:val="22"/>
        </w:rPr>
        <w:t>Em doentes adolescentes que apresentem uma resposta terapêutica inadequada com 40 mg de Humira em semanas alternadas, deverá considerar-se um aumento da dose para 40 mg todas as semanas</w:t>
      </w:r>
      <w:r w:rsidR="005A7CF3">
        <w:rPr>
          <w:bCs/>
          <w:iCs/>
          <w:sz w:val="22"/>
          <w:szCs w:val="22"/>
        </w:rPr>
        <w:t xml:space="preserve"> ou 80 mg em semanas alternadas</w:t>
      </w:r>
      <w:r w:rsidRPr="00CC4B51">
        <w:rPr>
          <w:bCs/>
          <w:iCs/>
          <w:sz w:val="22"/>
          <w:szCs w:val="22"/>
        </w:rPr>
        <w:t xml:space="preserve">. </w:t>
      </w:r>
    </w:p>
    <w:p w14:paraId="715682E2" w14:textId="77777777" w:rsidR="004462A0" w:rsidRPr="00CC4B51" w:rsidRDefault="004462A0" w:rsidP="004462A0">
      <w:pPr>
        <w:rPr>
          <w:bCs/>
          <w:iCs/>
          <w:sz w:val="22"/>
          <w:szCs w:val="22"/>
        </w:rPr>
      </w:pPr>
    </w:p>
    <w:p w14:paraId="1EE7FF81" w14:textId="77777777" w:rsidR="004462A0" w:rsidRPr="00CC4B51" w:rsidRDefault="00615769" w:rsidP="004462A0">
      <w:pPr>
        <w:rPr>
          <w:bCs/>
          <w:iCs/>
          <w:sz w:val="22"/>
          <w:szCs w:val="22"/>
        </w:rPr>
      </w:pPr>
      <w:r w:rsidRPr="00CC4B51">
        <w:rPr>
          <w:bCs/>
          <w:iCs/>
          <w:sz w:val="22"/>
          <w:szCs w:val="22"/>
        </w:rPr>
        <w:t>Durante o tratamento com Humira, pode manter-se o tratamento com antibióticos, se necessário. Recomenda-se que o doente use um anti-séptico tópico de lavagem nas lesões de HS, numa base diária, durante o tratamento com Humira.</w:t>
      </w:r>
    </w:p>
    <w:p w14:paraId="4541C4D1" w14:textId="77777777" w:rsidR="004462A0" w:rsidRPr="00CC4B51" w:rsidRDefault="004462A0" w:rsidP="004462A0">
      <w:pPr>
        <w:rPr>
          <w:bCs/>
          <w:iCs/>
          <w:sz w:val="22"/>
          <w:szCs w:val="22"/>
        </w:rPr>
      </w:pPr>
    </w:p>
    <w:p w14:paraId="07284E4F" w14:textId="77777777" w:rsidR="004462A0" w:rsidRPr="00CC4B51" w:rsidRDefault="00615769" w:rsidP="004462A0">
      <w:pPr>
        <w:rPr>
          <w:bCs/>
          <w:iCs/>
          <w:sz w:val="22"/>
          <w:szCs w:val="22"/>
        </w:rPr>
      </w:pPr>
      <w:r w:rsidRPr="00CC4B51">
        <w:rPr>
          <w:bCs/>
          <w:iCs/>
          <w:sz w:val="22"/>
          <w:szCs w:val="22"/>
        </w:rPr>
        <w:t xml:space="preserve">Uma terapêutica continuada </w:t>
      </w:r>
      <w:r w:rsidR="00AB606B">
        <w:rPr>
          <w:bCs/>
          <w:iCs/>
          <w:sz w:val="22"/>
          <w:szCs w:val="22"/>
        </w:rPr>
        <w:t xml:space="preserve">para além das 12 semanas </w:t>
      </w:r>
      <w:r w:rsidRPr="00CC4B51">
        <w:rPr>
          <w:bCs/>
          <w:iCs/>
          <w:sz w:val="22"/>
          <w:szCs w:val="22"/>
        </w:rPr>
        <w:t xml:space="preserve">deve ser cuidadosamente reconsiderada </w:t>
      </w:r>
      <w:r w:rsidR="00AB606B">
        <w:rPr>
          <w:bCs/>
          <w:iCs/>
          <w:sz w:val="22"/>
          <w:szCs w:val="22"/>
        </w:rPr>
        <w:t>em</w:t>
      </w:r>
      <w:r w:rsidR="00AB606B" w:rsidRPr="00CC4B51">
        <w:rPr>
          <w:bCs/>
          <w:iCs/>
          <w:sz w:val="22"/>
          <w:szCs w:val="22"/>
        </w:rPr>
        <w:t xml:space="preserve"> </w:t>
      </w:r>
      <w:r w:rsidRPr="00CC4B51">
        <w:rPr>
          <w:bCs/>
          <w:iCs/>
          <w:sz w:val="22"/>
          <w:szCs w:val="22"/>
        </w:rPr>
        <w:t xml:space="preserve">doentes que não </w:t>
      </w:r>
      <w:r w:rsidR="00AB606B">
        <w:rPr>
          <w:bCs/>
          <w:iCs/>
          <w:sz w:val="22"/>
          <w:szCs w:val="22"/>
        </w:rPr>
        <w:t>apresentaram melhoria neste período de tempo</w:t>
      </w:r>
      <w:r w:rsidRPr="00CC4B51">
        <w:rPr>
          <w:bCs/>
          <w:iCs/>
          <w:sz w:val="22"/>
          <w:szCs w:val="22"/>
        </w:rPr>
        <w:t>.</w:t>
      </w:r>
    </w:p>
    <w:p w14:paraId="3050F202" w14:textId="77777777" w:rsidR="004462A0" w:rsidRPr="00CC4B51" w:rsidRDefault="004462A0" w:rsidP="004462A0">
      <w:pPr>
        <w:rPr>
          <w:bCs/>
          <w:iCs/>
          <w:sz w:val="22"/>
          <w:szCs w:val="22"/>
        </w:rPr>
      </w:pPr>
    </w:p>
    <w:p w14:paraId="2C61113E" w14:textId="77777777" w:rsidR="004462A0" w:rsidRPr="00CC4B51" w:rsidRDefault="00615769" w:rsidP="004462A0">
      <w:pPr>
        <w:rPr>
          <w:bCs/>
          <w:iCs/>
          <w:sz w:val="22"/>
          <w:szCs w:val="22"/>
        </w:rPr>
      </w:pPr>
      <w:r w:rsidRPr="00CC4B51">
        <w:rPr>
          <w:bCs/>
          <w:iCs/>
          <w:sz w:val="22"/>
          <w:szCs w:val="22"/>
        </w:rPr>
        <w:t>Caso haja necessidade de interromper o tratamento, Humira pode ser reintroduzido conforme apropriado.</w:t>
      </w:r>
    </w:p>
    <w:p w14:paraId="22DF3B30" w14:textId="77777777" w:rsidR="004462A0" w:rsidRPr="00CC4B51" w:rsidRDefault="004462A0" w:rsidP="004462A0">
      <w:pPr>
        <w:rPr>
          <w:bCs/>
          <w:iCs/>
          <w:sz w:val="22"/>
          <w:szCs w:val="22"/>
        </w:rPr>
      </w:pPr>
    </w:p>
    <w:p w14:paraId="68EE54BC" w14:textId="77777777" w:rsidR="004462A0" w:rsidRPr="00CC4B51" w:rsidRDefault="00615769" w:rsidP="004462A0">
      <w:pPr>
        <w:rPr>
          <w:bCs/>
          <w:iCs/>
          <w:sz w:val="22"/>
          <w:szCs w:val="22"/>
        </w:rPr>
      </w:pPr>
      <w:r>
        <w:rPr>
          <w:bCs/>
          <w:iCs/>
          <w:sz w:val="22"/>
          <w:szCs w:val="22"/>
        </w:rPr>
        <w:t>O</w:t>
      </w:r>
      <w:r w:rsidRPr="00CC4B51">
        <w:rPr>
          <w:bCs/>
          <w:iCs/>
          <w:sz w:val="22"/>
          <w:szCs w:val="22"/>
        </w:rPr>
        <w:t xml:space="preserve"> benefício </w:t>
      </w:r>
      <w:r>
        <w:rPr>
          <w:bCs/>
          <w:iCs/>
          <w:sz w:val="22"/>
          <w:szCs w:val="22"/>
        </w:rPr>
        <w:t xml:space="preserve">e risco da continuação </w:t>
      </w:r>
      <w:r w:rsidRPr="00CC4B51">
        <w:rPr>
          <w:bCs/>
          <w:iCs/>
          <w:sz w:val="22"/>
          <w:szCs w:val="22"/>
        </w:rPr>
        <w:t xml:space="preserve">do tratamento a longo prazo </w:t>
      </w:r>
      <w:r>
        <w:rPr>
          <w:bCs/>
          <w:iCs/>
          <w:sz w:val="22"/>
          <w:szCs w:val="22"/>
        </w:rPr>
        <w:t>devem ser</w:t>
      </w:r>
      <w:r w:rsidRPr="00CC4B51">
        <w:rPr>
          <w:bCs/>
          <w:iCs/>
          <w:sz w:val="22"/>
          <w:szCs w:val="22"/>
        </w:rPr>
        <w:t xml:space="preserve"> avaliado</w:t>
      </w:r>
      <w:r>
        <w:rPr>
          <w:bCs/>
          <w:iCs/>
          <w:sz w:val="22"/>
          <w:szCs w:val="22"/>
        </w:rPr>
        <w:t>s</w:t>
      </w:r>
      <w:r w:rsidRPr="00CC4B51">
        <w:rPr>
          <w:bCs/>
          <w:iCs/>
          <w:sz w:val="22"/>
          <w:szCs w:val="22"/>
        </w:rPr>
        <w:t xml:space="preserve"> periodicamente (ver dados em adultos na secção 5.1).</w:t>
      </w:r>
    </w:p>
    <w:p w14:paraId="1A35A842" w14:textId="77777777" w:rsidR="004462A0" w:rsidRPr="00CC4B51" w:rsidRDefault="004462A0" w:rsidP="004462A0">
      <w:pPr>
        <w:rPr>
          <w:bCs/>
          <w:iCs/>
          <w:sz w:val="22"/>
          <w:szCs w:val="22"/>
        </w:rPr>
      </w:pPr>
    </w:p>
    <w:p w14:paraId="1784BE67" w14:textId="77777777" w:rsidR="004462A0" w:rsidRPr="00CC4B51" w:rsidRDefault="00615769" w:rsidP="004462A0">
      <w:pPr>
        <w:rPr>
          <w:sz w:val="22"/>
          <w:szCs w:val="22"/>
        </w:rPr>
      </w:pPr>
      <w:r w:rsidRPr="00CC4B51">
        <w:rPr>
          <w:bCs/>
          <w:iCs/>
          <w:sz w:val="22"/>
          <w:szCs w:val="22"/>
        </w:rPr>
        <w:t>Não existe utilização relevante de Humira em crianças com menos de 12 anos, para esta indicação.</w:t>
      </w:r>
    </w:p>
    <w:p w14:paraId="5A892166" w14:textId="77777777" w:rsidR="004462A0" w:rsidRDefault="004462A0" w:rsidP="004462A0">
      <w:pPr>
        <w:autoSpaceDE w:val="0"/>
        <w:autoSpaceDN w:val="0"/>
        <w:adjustRightInd w:val="0"/>
        <w:rPr>
          <w:sz w:val="22"/>
          <w:szCs w:val="22"/>
        </w:rPr>
      </w:pPr>
    </w:p>
    <w:p w14:paraId="59D337CB" w14:textId="77777777" w:rsidR="005A7CF3" w:rsidRDefault="00615769" w:rsidP="005A7CF3">
      <w:pPr>
        <w:pStyle w:val="BodyText2"/>
        <w:autoSpaceDE/>
        <w:autoSpaceDN/>
        <w:adjustRightInd/>
        <w:rPr>
          <w:szCs w:val="22"/>
        </w:rPr>
      </w:pPr>
      <w:r>
        <w:rPr>
          <w:szCs w:val="22"/>
        </w:rPr>
        <w:t xml:space="preserve">Humira pode estar disponível em outras dosagens e/ou apresentações dependendo das necessidades de cada doente. </w:t>
      </w:r>
    </w:p>
    <w:p w14:paraId="17105C9C" w14:textId="77777777" w:rsidR="005A7CF3" w:rsidRPr="00CC4B51" w:rsidRDefault="005A7CF3" w:rsidP="004462A0">
      <w:pPr>
        <w:autoSpaceDE w:val="0"/>
        <w:autoSpaceDN w:val="0"/>
        <w:adjustRightInd w:val="0"/>
        <w:rPr>
          <w:sz w:val="22"/>
          <w:szCs w:val="22"/>
        </w:rPr>
      </w:pPr>
    </w:p>
    <w:p w14:paraId="69BD9BCB" w14:textId="77777777" w:rsidR="004462A0" w:rsidRPr="00CC4B51" w:rsidRDefault="00615769" w:rsidP="002917C9">
      <w:pPr>
        <w:keepNext/>
        <w:rPr>
          <w:sz w:val="22"/>
          <w:szCs w:val="22"/>
        </w:rPr>
      </w:pPr>
      <w:r w:rsidRPr="00CC4B51">
        <w:rPr>
          <w:i/>
          <w:sz w:val="22"/>
          <w:szCs w:val="22"/>
        </w:rPr>
        <w:t>Doença de Crohn pediátrica</w:t>
      </w:r>
    </w:p>
    <w:p w14:paraId="2A0EB3C2" w14:textId="77777777" w:rsidR="004462A0" w:rsidRPr="00CC4B51" w:rsidRDefault="004462A0" w:rsidP="002917C9">
      <w:pPr>
        <w:keepNext/>
        <w:rPr>
          <w:sz w:val="22"/>
          <w:szCs w:val="22"/>
          <w:u w:val="single"/>
        </w:rPr>
      </w:pPr>
    </w:p>
    <w:p w14:paraId="1112DA5E" w14:textId="77777777" w:rsidR="00996174" w:rsidRPr="008912CF" w:rsidRDefault="00615769" w:rsidP="002917C9">
      <w:pPr>
        <w:pStyle w:val="BodyText2"/>
        <w:keepNext/>
        <w:autoSpaceDE/>
        <w:autoSpaceDN/>
        <w:adjustRightInd/>
        <w:rPr>
          <w:szCs w:val="22"/>
        </w:rPr>
      </w:pPr>
      <w:r w:rsidRPr="008912CF">
        <w:rPr>
          <w:szCs w:val="22"/>
        </w:rPr>
        <w:t xml:space="preserve">A dose recomendada de Humira </w:t>
      </w:r>
      <w:r w:rsidR="00E876B5">
        <w:rPr>
          <w:szCs w:val="22"/>
        </w:rPr>
        <w:t xml:space="preserve">em </w:t>
      </w:r>
      <w:r w:rsidRPr="008912CF">
        <w:rPr>
          <w:szCs w:val="22"/>
        </w:rPr>
        <w:t>doentes com doença de Crohn</w:t>
      </w:r>
      <w:r>
        <w:rPr>
          <w:szCs w:val="22"/>
        </w:rPr>
        <w:t>,</w:t>
      </w:r>
      <w:r w:rsidRPr="000550F3">
        <w:rPr>
          <w:szCs w:val="22"/>
        </w:rPr>
        <w:t xml:space="preserve"> </w:t>
      </w:r>
      <w:r>
        <w:rPr>
          <w:szCs w:val="22"/>
        </w:rPr>
        <w:t xml:space="preserve">com idades compreendidas entre os </w:t>
      </w:r>
      <w:r w:rsidR="00284968">
        <w:rPr>
          <w:szCs w:val="22"/>
        </w:rPr>
        <w:t>6</w:t>
      </w:r>
      <w:r>
        <w:rPr>
          <w:szCs w:val="22"/>
        </w:rPr>
        <w:t xml:space="preserve"> e os 17 anos, </w:t>
      </w:r>
      <w:r w:rsidRPr="008912CF">
        <w:rPr>
          <w:szCs w:val="22"/>
        </w:rPr>
        <w:t xml:space="preserve">é </w:t>
      </w:r>
      <w:r>
        <w:rPr>
          <w:szCs w:val="22"/>
        </w:rPr>
        <w:t xml:space="preserve">baseada no peso corporal (Tabela 1). Humira é administrado </w:t>
      </w:r>
      <w:r w:rsidRPr="008912CF">
        <w:rPr>
          <w:szCs w:val="22"/>
        </w:rPr>
        <w:t xml:space="preserve">por injeção subcutânea. </w:t>
      </w:r>
    </w:p>
    <w:p w14:paraId="1B50072A" w14:textId="77777777" w:rsidR="00996174" w:rsidRPr="008912CF" w:rsidRDefault="00996174" w:rsidP="00996174">
      <w:pPr>
        <w:pStyle w:val="BodyText2"/>
        <w:autoSpaceDE/>
        <w:autoSpaceDN/>
        <w:adjustRightInd/>
        <w:rPr>
          <w:b/>
          <w:szCs w:val="22"/>
        </w:rPr>
      </w:pPr>
    </w:p>
    <w:p w14:paraId="682FA6E1" w14:textId="77777777" w:rsidR="00996174" w:rsidRPr="00395D60" w:rsidRDefault="00615769" w:rsidP="00996174">
      <w:pPr>
        <w:keepNext/>
        <w:tabs>
          <w:tab w:val="left" w:pos="562"/>
        </w:tabs>
        <w:suppressAutoHyphens/>
        <w:jc w:val="center"/>
        <w:rPr>
          <w:rFonts w:eastAsia="Times New Roman"/>
          <w:b/>
          <w:sz w:val="22"/>
          <w:szCs w:val="22"/>
        </w:rPr>
      </w:pPr>
      <w:r w:rsidRPr="00395D60">
        <w:rPr>
          <w:rFonts w:eastAsia="Times New Roman"/>
          <w:b/>
          <w:sz w:val="22"/>
          <w:szCs w:val="22"/>
        </w:rPr>
        <w:t xml:space="preserve">Tabela </w:t>
      </w:r>
      <w:r>
        <w:rPr>
          <w:rFonts w:eastAsia="Times New Roman"/>
          <w:b/>
          <w:sz w:val="22"/>
          <w:szCs w:val="22"/>
        </w:rPr>
        <w:t>1</w:t>
      </w:r>
      <w:r w:rsidRPr="00395D60">
        <w:rPr>
          <w:rFonts w:eastAsia="Times New Roman"/>
          <w:b/>
          <w:sz w:val="22"/>
          <w:szCs w:val="22"/>
        </w:rPr>
        <w:t xml:space="preserve">. Dose de Humira </w:t>
      </w:r>
      <w:r w:rsidR="00E876B5">
        <w:rPr>
          <w:rFonts w:eastAsia="Times New Roman"/>
          <w:b/>
          <w:sz w:val="22"/>
          <w:szCs w:val="22"/>
        </w:rPr>
        <w:t xml:space="preserve">em </w:t>
      </w:r>
      <w:r w:rsidRPr="00395D60">
        <w:rPr>
          <w:rFonts w:eastAsia="Times New Roman"/>
          <w:b/>
          <w:sz w:val="22"/>
          <w:szCs w:val="22"/>
        </w:rPr>
        <w:t xml:space="preserve">Doentes </w:t>
      </w:r>
      <w:r w:rsidR="00E7252B">
        <w:rPr>
          <w:rFonts w:eastAsia="Times New Roman"/>
          <w:b/>
          <w:sz w:val="22"/>
          <w:szCs w:val="22"/>
        </w:rPr>
        <w:t xml:space="preserve">Pediátricos </w:t>
      </w:r>
      <w:r w:rsidRPr="00395D60">
        <w:rPr>
          <w:rFonts w:eastAsia="Times New Roman"/>
          <w:b/>
          <w:sz w:val="22"/>
          <w:szCs w:val="22"/>
        </w:rPr>
        <w:t>com Doença de Crohn</w:t>
      </w:r>
    </w:p>
    <w:p w14:paraId="0721F0AA" w14:textId="77777777" w:rsidR="00996174" w:rsidRPr="00395D60" w:rsidRDefault="00996174" w:rsidP="00996174">
      <w:pPr>
        <w:keepNext/>
        <w:tabs>
          <w:tab w:val="left" w:pos="562"/>
        </w:tabs>
        <w:suppressAutoHyphens/>
        <w:rPr>
          <w:rFonts w:eastAsia="Times New Roman"/>
          <w:sz w:val="22"/>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10"/>
        <w:gridCol w:w="6338"/>
        <w:gridCol w:w="1807"/>
      </w:tblGrid>
      <w:tr w:rsidR="00A7162A" w14:paraId="5D9437B0" w14:textId="77777777" w:rsidTr="004C6F1A">
        <w:trPr>
          <w:tblHeader/>
        </w:trPr>
        <w:tc>
          <w:tcPr>
            <w:tcW w:w="0" w:type="auto"/>
            <w:tcBorders>
              <w:top w:val="single" w:sz="6" w:space="0" w:color="000000"/>
              <w:left w:val="single" w:sz="6" w:space="0" w:color="000000"/>
              <w:bottom w:val="single" w:sz="6" w:space="0" w:color="000000"/>
              <w:right w:val="single" w:sz="6" w:space="0" w:color="000000"/>
            </w:tcBorders>
            <w:hideMark/>
          </w:tcPr>
          <w:p w14:paraId="3C1A64F4" w14:textId="77777777" w:rsidR="00996174" w:rsidRPr="000550F3" w:rsidRDefault="00615769" w:rsidP="004C6F1A">
            <w:pPr>
              <w:keepNext/>
              <w:tabs>
                <w:tab w:val="left" w:pos="562"/>
              </w:tabs>
              <w:suppressAutoHyphens/>
              <w:jc w:val="center"/>
              <w:rPr>
                <w:rFonts w:eastAsia="Times New Roman"/>
                <w:sz w:val="22"/>
                <w:lang w:val="en-US"/>
              </w:rPr>
            </w:pPr>
            <w:r w:rsidRPr="000550F3">
              <w:rPr>
                <w:rFonts w:eastAsia="Times New Roman"/>
                <w:b/>
                <w:sz w:val="22"/>
                <w:lang w:val="en-US"/>
              </w:rPr>
              <w:t>P</w:t>
            </w:r>
            <w:r>
              <w:rPr>
                <w:rFonts w:eastAsia="Times New Roman"/>
                <w:b/>
                <w:sz w:val="22"/>
                <w:lang w:val="en-US"/>
              </w:rPr>
              <w:t>eso do Doente</w:t>
            </w:r>
          </w:p>
        </w:tc>
        <w:tc>
          <w:tcPr>
            <w:tcW w:w="0" w:type="auto"/>
            <w:tcBorders>
              <w:top w:val="single" w:sz="6" w:space="0" w:color="000000"/>
              <w:left w:val="single" w:sz="6" w:space="0" w:color="000000"/>
              <w:bottom w:val="single" w:sz="6" w:space="0" w:color="000000"/>
              <w:right w:val="single" w:sz="6" w:space="0" w:color="000000"/>
            </w:tcBorders>
            <w:hideMark/>
          </w:tcPr>
          <w:p w14:paraId="5B9FAB26" w14:textId="77777777" w:rsidR="00996174" w:rsidRPr="000550F3" w:rsidRDefault="00615769" w:rsidP="004C6F1A">
            <w:pPr>
              <w:keepNext/>
              <w:tabs>
                <w:tab w:val="left" w:pos="562"/>
              </w:tabs>
              <w:suppressAutoHyphens/>
              <w:jc w:val="center"/>
              <w:rPr>
                <w:rFonts w:eastAsia="Times New Roman"/>
                <w:sz w:val="22"/>
                <w:lang w:val="en-US"/>
              </w:rPr>
            </w:pPr>
            <w:r>
              <w:rPr>
                <w:rFonts w:eastAsia="Times New Roman"/>
                <w:b/>
                <w:sz w:val="22"/>
                <w:lang w:val="en-US"/>
              </w:rPr>
              <w:t>Dose de Indução</w:t>
            </w:r>
          </w:p>
        </w:tc>
        <w:tc>
          <w:tcPr>
            <w:tcW w:w="0" w:type="auto"/>
            <w:tcBorders>
              <w:top w:val="single" w:sz="6" w:space="0" w:color="000000"/>
              <w:left w:val="single" w:sz="6" w:space="0" w:color="000000"/>
              <w:bottom w:val="single" w:sz="6" w:space="0" w:color="000000"/>
              <w:right w:val="single" w:sz="6" w:space="0" w:color="000000"/>
            </w:tcBorders>
            <w:hideMark/>
          </w:tcPr>
          <w:p w14:paraId="1775A7B9" w14:textId="77777777" w:rsidR="00996174" w:rsidRDefault="00615769" w:rsidP="004C6F1A">
            <w:pPr>
              <w:keepNext/>
              <w:tabs>
                <w:tab w:val="left" w:pos="562"/>
              </w:tabs>
              <w:suppressAutoHyphens/>
              <w:jc w:val="center"/>
              <w:rPr>
                <w:rFonts w:eastAsia="Times New Roman"/>
                <w:b/>
                <w:sz w:val="22"/>
              </w:rPr>
            </w:pPr>
            <w:r w:rsidRPr="00395D60">
              <w:rPr>
                <w:rFonts w:eastAsia="Times New Roman"/>
                <w:b/>
                <w:sz w:val="22"/>
              </w:rPr>
              <w:t>Dose de Manutenção com Início na</w:t>
            </w:r>
          </w:p>
          <w:p w14:paraId="17B032A9" w14:textId="77777777" w:rsidR="00996174" w:rsidRPr="00395D60" w:rsidRDefault="00615769" w:rsidP="004C6F1A">
            <w:pPr>
              <w:keepNext/>
              <w:tabs>
                <w:tab w:val="left" w:pos="562"/>
              </w:tabs>
              <w:suppressAutoHyphens/>
              <w:jc w:val="center"/>
              <w:rPr>
                <w:rFonts w:eastAsia="Times New Roman"/>
                <w:sz w:val="22"/>
              </w:rPr>
            </w:pPr>
            <w:r w:rsidRPr="00395D60">
              <w:rPr>
                <w:rFonts w:eastAsia="Times New Roman"/>
                <w:b/>
                <w:sz w:val="22"/>
              </w:rPr>
              <w:t xml:space="preserve"> Semana 4</w:t>
            </w:r>
          </w:p>
        </w:tc>
      </w:tr>
      <w:tr w:rsidR="00A7162A" w14:paraId="17425893" w14:textId="77777777" w:rsidTr="004C6F1A">
        <w:tc>
          <w:tcPr>
            <w:tcW w:w="0" w:type="auto"/>
            <w:tcBorders>
              <w:top w:val="single" w:sz="6" w:space="0" w:color="000000"/>
              <w:left w:val="single" w:sz="6" w:space="0" w:color="000000"/>
              <w:bottom w:val="single" w:sz="6" w:space="0" w:color="000000"/>
              <w:right w:val="single" w:sz="6" w:space="0" w:color="000000"/>
            </w:tcBorders>
            <w:hideMark/>
          </w:tcPr>
          <w:p w14:paraId="1A2940EB" w14:textId="77777777" w:rsidR="00996174" w:rsidRPr="000550F3" w:rsidRDefault="00615769" w:rsidP="004C6F1A">
            <w:pPr>
              <w:keepNext/>
              <w:tabs>
                <w:tab w:val="left" w:pos="562"/>
              </w:tabs>
              <w:suppressAutoHyphens/>
              <w:jc w:val="center"/>
              <w:rPr>
                <w:rFonts w:eastAsia="Times New Roman"/>
                <w:sz w:val="22"/>
                <w:lang w:val="en-US"/>
              </w:rPr>
            </w:pPr>
            <w:r w:rsidRPr="000550F3">
              <w:rPr>
                <w:rFonts w:eastAsia="Times New Roman"/>
                <w:sz w:val="22"/>
                <w:lang w:val="en-US"/>
              </w:rPr>
              <w:t>&lt; 40 kg</w:t>
            </w:r>
          </w:p>
        </w:tc>
        <w:tc>
          <w:tcPr>
            <w:tcW w:w="0" w:type="auto"/>
            <w:tcBorders>
              <w:top w:val="single" w:sz="6" w:space="0" w:color="000000"/>
              <w:left w:val="single" w:sz="6" w:space="0" w:color="000000"/>
              <w:bottom w:val="single" w:sz="6" w:space="0" w:color="000000"/>
              <w:right w:val="single" w:sz="6" w:space="0" w:color="000000"/>
            </w:tcBorders>
            <w:hideMark/>
          </w:tcPr>
          <w:p w14:paraId="3BAC3304" w14:textId="77777777" w:rsidR="00996174" w:rsidRPr="00395D60" w:rsidRDefault="00615769" w:rsidP="004C6F1A">
            <w:pPr>
              <w:keepNext/>
              <w:numPr>
                <w:ilvl w:val="0"/>
                <w:numId w:val="137"/>
              </w:numPr>
              <w:tabs>
                <w:tab w:val="left" w:pos="562"/>
              </w:tabs>
              <w:suppressAutoHyphens/>
              <w:ind w:left="307" w:hanging="180"/>
              <w:rPr>
                <w:rFonts w:eastAsia="Times New Roman"/>
                <w:sz w:val="22"/>
                <w:szCs w:val="22"/>
              </w:rPr>
            </w:pPr>
            <w:r w:rsidRPr="00395D60">
              <w:rPr>
                <w:rFonts w:eastAsia="Times New Roman"/>
                <w:sz w:val="22"/>
                <w:szCs w:val="22"/>
              </w:rPr>
              <w:t xml:space="preserve">40 mg </w:t>
            </w:r>
            <w:r>
              <w:rPr>
                <w:rFonts w:eastAsia="Times New Roman"/>
                <w:sz w:val="22"/>
                <w:szCs w:val="22"/>
              </w:rPr>
              <w:t xml:space="preserve">na </w:t>
            </w:r>
            <w:r w:rsidR="008369E4">
              <w:rPr>
                <w:rFonts w:eastAsia="Times New Roman"/>
                <w:sz w:val="22"/>
                <w:szCs w:val="22"/>
              </w:rPr>
              <w:t>s</w:t>
            </w:r>
            <w:r w:rsidRPr="00395D60">
              <w:rPr>
                <w:rFonts w:eastAsia="Times New Roman"/>
                <w:sz w:val="22"/>
                <w:szCs w:val="22"/>
              </w:rPr>
              <w:t xml:space="preserve">emana 0 e 20 mg na </w:t>
            </w:r>
            <w:r w:rsidR="008369E4">
              <w:rPr>
                <w:rFonts w:eastAsia="Times New Roman"/>
                <w:sz w:val="22"/>
                <w:szCs w:val="22"/>
              </w:rPr>
              <w:t>s</w:t>
            </w:r>
            <w:r w:rsidRPr="00395D60">
              <w:rPr>
                <w:rFonts w:eastAsia="Times New Roman"/>
                <w:sz w:val="22"/>
                <w:szCs w:val="22"/>
              </w:rPr>
              <w:t>emana 2</w:t>
            </w:r>
          </w:p>
          <w:p w14:paraId="582DEA68" w14:textId="77777777" w:rsidR="00996174" w:rsidRPr="00395D60" w:rsidRDefault="00996174" w:rsidP="004C6F1A">
            <w:pPr>
              <w:keepNext/>
              <w:ind w:left="337"/>
              <w:rPr>
                <w:rFonts w:eastAsia="Times New Roman"/>
                <w:sz w:val="22"/>
                <w:szCs w:val="22"/>
              </w:rPr>
            </w:pPr>
          </w:p>
          <w:p w14:paraId="74867C55" w14:textId="77777777" w:rsidR="00996174" w:rsidRPr="00395D60" w:rsidRDefault="00615769" w:rsidP="004C6F1A">
            <w:pPr>
              <w:rPr>
                <w:rFonts w:eastAsia="Times New Roman"/>
                <w:sz w:val="22"/>
                <w:szCs w:val="22"/>
              </w:rPr>
            </w:pPr>
            <w:r w:rsidRPr="00E905A5">
              <w:rPr>
                <w:sz w:val="22"/>
                <w:szCs w:val="22"/>
              </w:rPr>
              <w:t>No caso de haver necessidade de uma resposta mais rápida à terapêutica</w:t>
            </w:r>
            <w:r w:rsidRPr="00395D60">
              <w:rPr>
                <w:sz w:val="22"/>
                <w:szCs w:val="22"/>
              </w:rPr>
              <w:t xml:space="preserve">, sendo </w:t>
            </w:r>
            <w:r w:rsidRPr="008912CF">
              <w:rPr>
                <w:sz w:val="22"/>
                <w:szCs w:val="22"/>
              </w:rPr>
              <w:t>que o risco de acontecimentos adversos pode ser superior com o u</w:t>
            </w:r>
            <w:r>
              <w:rPr>
                <w:sz w:val="22"/>
                <w:szCs w:val="22"/>
              </w:rPr>
              <w:t>so de uma dose de indução maior, pode ser usada a seguinte dose:</w:t>
            </w:r>
          </w:p>
          <w:p w14:paraId="665CBFF0" w14:textId="77777777" w:rsidR="00996174" w:rsidRPr="00395D60" w:rsidRDefault="00615769" w:rsidP="004C6F1A">
            <w:pPr>
              <w:keepNext/>
              <w:numPr>
                <w:ilvl w:val="0"/>
                <w:numId w:val="139"/>
              </w:numPr>
              <w:tabs>
                <w:tab w:val="left" w:pos="562"/>
              </w:tabs>
              <w:suppressAutoHyphens/>
              <w:ind w:left="307" w:hanging="180"/>
              <w:rPr>
                <w:rFonts w:eastAsia="Times New Roman"/>
                <w:iCs/>
                <w:sz w:val="22"/>
                <w:szCs w:val="22"/>
              </w:rPr>
            </w:pPr>
            <w:r w:rsidRPr="00395D60">
              <w:rPr>
                <w:rFonts w:eastAsia="Times New Roman"/>
                <w:sz w:val="22"/>
                <w:szCs w:val="22"/>
              </w:rPr>
              <w:t xml:space="preserve">80 mg na </w:t>
            </w:r>
            <w:r w:rsidR="008369E4">
              <w:rPr>
                <w:rFonts w:eastAsia="Times New Roman"/>
                <w:sz w:val="22"/>
                <w:szCs w:val="22"/>
              </w:rPr>
              <w:t>s</w:t>
            </w:r>
            <w:r w:rsidRPr="00395D60">
              <w:rPr>
                <w:rFonts w:eastAsia="Times New Roman"/>
                <w:sz w:val="22"/>
                <w:szCs w:val="22"/>
              </w:rPr>
              <w:t xml:space="preserve">emana 0 e 40 mg na </w:t>
            </w:r>
            <w:r w:rsidR="008369E4">
              <w:rPr>
                <w:rFonts w:eastAsia="Times New Roman"/>
                <w:sz w:val="22"/>
                <w:szCs w:val="22"/>
              </w:rPr>
              <w:t>s</w:t>
            </w:r>
            <w:r w:rsidRPr="00395D60">
              <w:rPr>
                <w:rFonts w:eastAsia="Times New Roman"/>
                <w:sz w:val="22"/>
                <w:szCs w:val="22"/>
              </w:rPr>
              <w:t>emana 2</w:t>
            </w:r>
          </w:p>
        </w:tc>
        <w:tc>
          <w:tcPr>
            <w:tcW w:w="0" w:type="auto"/>
            <w:tcBorders>
              <w:top w:val="single" w:sz="6" w:space="0" w:color="000000"/>
              <w:left w:val="single" w:sz="6" w:space="0" w:color="000000"/>
              <w:bottom w:val="single" w:sz="6" w:space="0" w:color="000000"/>
              <w:right w:val="single" w:sz="6" w:space="0" w:color="000000"/>
            </w:tcBorders>
            <w:hideMark/>
          </w:tcPr>
          <w:p w14:paraId="0F3C4C28" w14:textId="77777777" w:rsidR="00996174" w:rsidRPr="000550F3" w:rsidRDefault="00615769" w:rsidP="004C6F1A">
            <w:pPr>
              <w:keepNext/>
              <w:ind w:left="27"/>
              <w:jc w:val="center"/>
              <w:rPr>
                <w:rFonts w:eastAsia="Times New Roman"/>
                <w:sz w:val="22"/>
                <w:lang w:val="en-US"/>
              </w:rPr>
            </w:pPr>
            <w:r w:rsidRPr="000550F3">
              <w:rPr>
                <w:rFonts w:eastAsia="Times New Roman"/>
                <w:sz w:val="22"/>
                <w:lang w:val="en-US"/>
              </w:rPr>
              <w:t xml:space="preserve">20 mg </w:t>
            </w:r>
            <w:r>
              <w:rPr>
                <w:rFonts w:eastAsia="Times New Roman"/>
                <w:sz w:val="22"/>
                <w:lang w:val="en-US"/>
              </w:rPr>
              <w:t>em semanas alternadas</w:t>
            </w:r>
          </w:p>
        </w:tc>
      </w:tr>
      <w:tr w:rsidR="00A7162A" w14:paraId="63156FE0" w14:textId="77777777" w:rsidTr="004C6F1A">
        <w:tc>
          <w:tcPr>
            <w:tcW w:w="0" w:type="auto"/>
            <w:tcBorders>
              <w:top w:val="single" w:sz="6" w:space="0" w:color="000000"/>
              <w:left w:val="single" w:sz="6" w:space="0" w:color="000000"/>
              <w:bottom w:val="single" w:sz="6" w:space="0" w:color="000000"/>
              <w:right w:val="single" w:sz="6" w:space="0" w:color="000000"/>
            </w:tcBorders>
            <w:hideMark/>
          </w:tcPr>
          <w:p w14:paraId="674CC229" w14:textId="77777777" w:rsidR="00996174" w:rsidRPr="000550F3" w:rsidRDefault="00615769" w:rsidP="004C6F1A">
            <w:pPr>
              <w:keepNext/>
              <w:tabs>
                <w:tab w:val="left" w:pos="562"/>
              </w:tabs>
              <w:suppressAutoHyphens/>
              <w:jc w:val="center"/>
              <w:rPr>
                <w:rFonts w:eastAsia="Times New Roman"/>
                <w:sz w:val="22"/>
                <w:lang w:val="en-US"/>
              </w:rPr>
            </w:pPr>
            <w:r w:rsidRPr="000550F3">
              <w:rPr>
                <w:rFonts w:eastAsia="Times New Roman"/>
                <w:sz w:val="22"/>
                <w:lang w:val="en-US"/>
              </w:rPr>
              <w:t>≥ 40 kg</w:t>
            </w:r>
          </w:p>
        </w:tc>
        <w:tc>
          <w:tcPr>
            <w:tcW w:w="0" w:type="auto"/>
            <w:tcBorders>
              <w:top w:val="single" w:sz="6" w:space="0" w:color="000000"/>
              <w:left w:val="single" w:sz="6" w:space="0" w:color="000000"/>
              <w:bottom w:val="single" w:sz="6" w:space="0" w:color="000000"/>
              <w:right w:val="single" w:sz="6" w:space="0" w:color="000000"/>
            </w:tcBorders>
            <w:hideMark/>
          </w:tcPr>
          <w:p w14:paraId="06C19908" w14:textId="77777777" w:rsidR="00996174" w:rsidRPr="00395D60" w:rsidRDefault="00615769" w:rsidP="004C6F1A">
            <w:pPr>
              <w:keepNext/>
              <w:numPr>
                <w:ilvl w:val="0"/>
                <w:numId w:val="140"/>
              </w:numPr>
              <w:tabs>
                <w:tab w:val="left" w:pos="562"/>
              </w:tabs>
              <w:suppressAutoHyphens/>
              <w:ind w:left="307" w:hanging="175"/>
              <w:rPr>
                <w:rFonts w:eastAsia="Times New Roman"/>
                <w:sz w:val="22"/>
                <w:szCs w:val="22"/>
              </w:rPr>
            </w:pPr>
            <w:r w:rsidRPr="00395D60">
              <w:rPr>
                <w:rFonts w:eastAsia="Times New Roman"/>
                <w:sz w:val="22"/>
                <w:szCs w:val="22"/>
              </w:rPr>
              <w:t xml:space="preserve">80 mg na semana 0 e 40 mg na </w:t>
            </w:r>
            <w:r w:rsidR="008369E4">
              <w:rPr>
                <w:rFonts w:eastAsia="Times New Roman"/>
                <w:sz w:val="22"/>
                <w:szCs w:val="22"/>
              </w:rPr>
              <w:t>s</w:t>
            </w:r>
            <w:r w:rsidRPr="00395D60">
              <w:rPr>
                <w:rFonts w:eastAsia="Times New Roman"/>
                <w:sz w:val="22"/>
                <w:szCs w:val="22"/>
              </w:rPr>
              <w:t>emana 2</w:t>
            </w:r>
          </w:p>
          <w:p w14:paraId="4C187E3B" w14:textId="77777777" w:rsidR="00AB606B" w:rsidRDefault="00AB606B" w:rsidP="004C6F1A">
            <w:pPr>
              <w:rPr>
                <w:sz w:val="22"/>
                <w:szCs w:val="22"/>
              </w:rPr>
            </w:pPr>
          </w:p>
          <w:p w14:paraId="62AF6B5B" w14:textId="77777777" w:rsidR="00996174" w:rsidRPr="000A1E2A" w:rsidRDefault="00615769" w:rsidP="004C6F1A">
            <w:pPr>
              <w:rPr>
                <w:rFonts w:eastAsia="Times New Roman"/>
                <w:sz w:val="22"/>
                <w:szCs w:val="22"/>
              </w:rPr>
            </w:pPr>
            <w:r w:rsidRPr="000A1E2A">
              <w:rPr>
                <w:sz w:val="22"/>
                <w:szCs w:val="22"/>
              </w:rPr>
              <w:t xml:space="preserve">No caso de haver necessidade de uma resposta mais rápida à terapêutica, sendo </w:t>
            </w:r>
            <w:r w:rsidRPr="008912CF">
              <w:rPr>
                <w:sz w:val="22"/>
                <w:szCs w:val="22"/>
              </w:rPr>
              <w:t>que o risco de acontecimentos adversos pode ser superior com o u</w:t>
            </w:r>
            <w:r>
              <w:rPr>
                <w:sz w:val="22"/>
                <w:szCs w:val="22"/>
              </w:rPr>
              <w:t>so de uma dose de indução maior, pode ser usada a seguinte dose:</w:t>
            </w:r>
          </w:p>
          <w:p w14:paraId="7EB67EA9" w14:textId="77777777" w:rsidR="00996174" w:rsidRPr="00395D60" w:rsidRDefault="00615769" w:rsidP="004C6F1A">
            <w:pPr>
              <w:keepNext/>
              <w:numPr>
                <w:ilvl w:val="0"/>
                <w:numId w:val="138"/>
              </w:numPr>
              <w:tabs>
                <w:tab w:val="left" w:pos="562"/>
              </w:tabs>
              <w:suppressAutoHyphens/>
              <w:ind w:left="314" w:hanging="187"/>
              <w:rPr>
                <w:rFonts w:eastAsia="Times New Roman"/>
                <w:sz w:val="22"/>
                <w:szCs w:val="22"/>
              </w:rPr>
            </w:pPr>
            <w:r w:rsidRPr="00395D60">
              <w:rPr>
                <w:rFonts w:eastAsia="Times New Roman"/>
                <w:sz w:val="22"/>
                <w:szCs w:val="22"/>
              </w:rPr>
              <w:t xml:space="preserve">160 mg na </w:t>
            </w:r>
            <w:r w:rsidR="008369E4">
              <w:rPr>
                <w:rFonts w:eastAsia="Times New Roman"/>
                <w:sz w:val="22"/>
                <w:szCs w:val="22"/>
              </w:rPr>
              <w:t>s</w:t>
            </w:r>
            <w:r w:rsidRPr="00395D60">
              <w:rPr>
                <w:rFonts w:eastAsia="Times New Roman"/>
                <w:sz w:val="22"/>
                <w:szCs w:val="22"/>
              </w:rPr>
              <w:t>emana 0 e 80 mg na semana 2</w:t>
            </w:r>
          </w:p>
        </w:tc>
        <w:tc>
          <w:tcPr>
            <w:tcW w:w="0" w:type="auto"/>
            <w:tcBorders>
              <w:top w:val="single" w:sz="6" w:space="0" w:color="000000"/>
              <w:left w:val="single" w:sz="6" w:space="0" w:color="000000"/>
              <w:bottom w:val="single" w:sz="6" w:space="0" w:color="000000"/>
              <w:right w:val="single" w:sz="6" w:space="0" w:color="000000"/>
            </w:tcBorders>
            <w:hideMark/>
          </w:tcPr>
          <w:p w14:paraId="3A261C38" w14:textId="77777777" w:rsidR="00996174" w:rsidRPr="000550F3" w:rsidRDefault="00615769" w:rsidP="004C6F1A">
            <w:pPr>
              <w:keepNext/>
              <w:ind w:left="36"/>
              <w:jc w:val="center"/>
              <w:rPr>
                <w:rFonts w:eastAsia="Times New Roman"/>
                <w:sz w:val="22"/>
                <w:lang w:val="en-US"/>
              </w:rPr>
            </w:pPr>
            <w:r w:rsidRPr="000550F3">
              <w:rPr>
                <w:rFonts w:eastAsia="Times New Roman"/>
                <w:sz w:val="22"/>
                <w:lang w:val="en-US"/>
              </w:rPr>
              <w:t>40 mg e</w:t>
            </w:r>
            <w:r>
              <w:rPr>
                <w:rFonts w:eastAsia="Times New Roman"/>
                <w:sz w:val="22"/>
                <w:lang w:val="en-US"/>
              </w:rPr>
              <w:t>m semanas alternadas</w:t>
            </w:r>
          </w:p>
        </w:tc>
      </w:tr>
    </w:tbl>
    <w:p w14:paraId="4871D4EB" w14:textId="77777777" w:rsidR="00996174" w:rsidRPr="000550F3" w:rsidRDefault="00996174" w:rsidP="00996174">
      <w:pPr>
        <w:keepNext/>
        <w:tabs>
          <w:tab w:val="left" w:pos="562"/>
        </w:tabs>
        <w:suppressAutoHyphens/>
        <w:rPr>
          <w:rFonts w:eastAsia="Times New Roman"/>
          <w:sz w:val="22"/>
          <w:lang w:val="en-GB"/>
        </w:rPr>
      </w:pPr>
    </w:p>
    <w:p w14:paraId="52020E77" w14:textId="77777777" w:rsidR="00996174" w:rsidRPr="00395D60" w:rsidRDefault="00615769" w:rsidP="00996174">
      <w:pPr>
        <w:keepNext/>
        <w:tabs>
          <w:tab w:val="left" w:pos="562"/>
        </w:tabs>
        <w:suppressAutoHyphens/>
        <w:rPr>
          <w:rFonts w:eastAsia="Times New Roman"/>
          <w:sz w:val="22"/>
        </w:rPr>
      </w:pPr>
      <w:r>
        <w:rPr>
          <w:sz w:val="22"/>
          <w:szCs w:val="22"/>
        </w:rPr>
        <w:t xml:space="preserve">Os </w:t>
      </w:r>
      <w:r w:rsidRPr="008912CF">
        <w:rPr>
          <w:sz w:val="22"/>
          <w:szCs w:val="22"/>
        </w:rPr>
        <w:t>doentes que apresentarem resposta terapêutica insuficiente, podem beneficiar de um aumento da  dose</w:t>
      </w:r>
      <w:r>
        <w:rPr>
          <w:sz w:val="22"/>
          <w:szCs w:val="22"/>
        </w:rPr>
        <w:t>:</w:t>
      </w:r>
    </w:p>
    <w:p w14:paraId="33F1D5EE" w14:textId="77777777" w:rsidR="00996174" w:rsidRPr="000550F3" w:rsidRDefault="00615769" w:rsidP="00996174">
      <w:pPr>
        <w:keepNext/>
        <w:numPr>
          <w:ilvl w:val="0"/>
          <w:numId w:val="138"/>
        </w:numPr>
        <w:tabs>
          <w:tab w:val="left" w:pos="540"/>
        </w:tabs>
        <w:suppressAutoHyphens/>
        <w:ind w:left="540" w:hanging="540"/>
        <w:rPr>
          <w:rFonts w:eastAsia="Times New Roman"/>
          <w:sz w:val="22"/>
          <w:lang w:val="en-GB"/>
        </w:rPr>
      </w:pPr>
      <w:r w:rsidRPr="000550F3">
        <w:rPr>
          <w:rFonts w:eastAsia="Times New Roman"/>
          <w:sz w:val="22"/>
          <w:lang w:val="en-GB"/>
        </w:rPr>
        <w:t xml:space="preserve">&lt; 40 kg: 20 mg </w:t>
      </w:r>
      <w:r>
        <w:rPr>
          <w:rFonts w:eastAsia="Times New Roman"/>
          <w:sz w:val="22"/>
          <w:lang w:val="en-GB"/>
        </w:rPr>
        <w:t>todas as semanas</w:t>
      </w:r>
    </w:p>
    <w:p w14:paraId="5FA8D81C" w14:textId="77777777" w:rsidR="00996174" w:rsidRPr="00AA7352" w:rsidRDefault="00615769" w:rsidP="00996174">
      <w:pPr>
        <w:keepNext/>
        <w:numPr>
          <w:ilvl w:val="0"/>
          <w:numId w:val="138"/>
        </w:numPr>
        <w:tabs>
          <w:tab w:val="left" w:pos="540"/>
        </w:tabs>
        <w:suppressAutoHyphens/>
        <w:ind w:left="540" w:hanging="540"/>
        <w:rPr>
          <w:rFonts w:eastAsia="Times New Roman"/>
          <w:sz w:val="22"/>
        </w:rPr>
      </w:pPr>
      <w:r w:rsidRPr="00AA7352">
        <w:rPr>
          <w:rFonts w:eastAsia="Times New Roman"/>
          <w:sz w:val="22"/>
        </w:rPr>
        <w:t>≥ 40 kg: 40 mg todas as semanas</w:t>
      </w:r>
      <w:r w:rsidR="005A7CF3" w:rsidRPr="00AA7352">
        <w:rPr>
          <w:rFonts w:eastAsia="Times New Roman"/>
          <w:sz w:val="22"/>
        </w:rPr>
        <w:t xml:space="preserve"> ou 80 mg em semanas alternadas</w:t>
      </w:r>
    </w:p>
    <w:p w14:paraId="6B77A367" w14:textId="77777777" w:rsidR="004462A0" w:rsidRPr="00CC4B51" w:rsidRDefault="004462A0" w:rsidP="004462A0">
      <w:pPr>
        <w:rPr>
          <w:bCs/>
          <w:iCs/>
          <w:sz w:val="22"/>
          <w:szCs w:val="22"/>
        </w:rPr>
      </w:pPr>
    </w:p>
    <w:p w14:paraId="67C4A292" w14:textId="77777777" w:rsidR="004462A0" w:rsidRPr="00CC4B51" w:rsidRDefault="00615769" w:rsidP="004462A0">
      <w:pPr>
        <w:rPr>
          <w:bCs/>
          <w:iCs/>
          <w:sz w:val="22"/>
          <w:szCs w:val="22"/>
        </w:rPr>
      </w:pPr>
      <w:r w:rsidRPr="00CC4B51">
        <w:rPr>
          <w:bCs/>
          <w:iCs/>
          <w:sz w:val="22"/>
          <w:szCs w:val="22"/>
        </w:rPr>
        <w:t xml:space="preserve">Uma terapêutica continuada deve ser cuidadosamente reconsiderada nos doentes que não responderam até à </w:t>
      </w:r>
      <w:r w:rsidR="008369E4">
        <w:rPr>
          <w:bCs/>
          <w:iCs/>
          <w:sz w:val="22"/>
          <w:szCs w:val="22"/>
        </w:rPr>
        <w:t>s</w:t>
      </w:r>
      <w:r w:rsidRPr="00CC4B51">
        <w:rPr>
          <w:bCs/>
          <w:iCs/>
          <w:sz w:val="22"/>
          <w:szCs w:val="22"/>
        </w:rPr>
        <w:t>emana 12.</w:t>
      </w:r>
    </w:p>
    <w:p w14:paraId="7D9DBA7D" w14:textId="77777777" w:rsidR="004462A0" w:rsidRPr="00CC4B51" w:rsidRDefault="004462A0" w:rsidP="004462A0">
      <w:pPr>
        <w:rPr>
          <w:bCs/>
          <w:iCs/>
          <w:sz w:val="22"/>
          <w:szCs w:val="22"/>
        </w:rPr>
      </w:pPr>
    </w:p>
    <w:p w14:paraId="27084C7E" w14:textId="77777777" w:rsidR="004462A0" w:rsidRPr="00CC4B51" w:rsidRDefault="00615769" w:rsidP="004462A0">
      <w:pPr>
        <w:rPr>
          <w:sz w:val="22"/>
          <w:szCs w:val="22"/>
        </w:rPr>
      </w:pPr>
      <w:r w:rsidRPr="00CC4B51">
        <w:rPr>
          <w:sz w:val="22"/>
          <w:szCs w:val="22"/>
        </w:rPr>
        <w:t>Não existe utilização relevante de Humira em crianças com menos de 6 anos, para esta indicação.</w:t>
      </w:r>
    </w:p>
    <w:p w14:paraId="046B33A7" w14:textId="77777777" w:rsidR="00763DB3" w:rsidRDefault="00763DB3" w:rsidP="00763DB3">
      <w:pPr>
        <w:rPr>
          <w:sz w:val="22"/>
          <w:szCs w:val="22"/>
        </w:rPr>
      </w:pPr>
    </w:p>
    <w:p w14:paraId="1FA931C9" w14:textId="77777777" w:rsidR="005A7CF3" w:rsidRDefault="00615769" w:rsidP="005A7CF3">
      <w:pPr>
        <w:pStyle w:val="BodyText2"/>
        <w:autoSpaceDE/>
        <w:autoSpaceDN/>
        <w:adjustRightInd/>
        <w:rPr>
          <w:szCs w:val="22"/>
        </w:rPr>
      </w:pPr>
      <w:r>
        <w:rPr>
          <w:szCs w:val="22"/>
        </w:rPr>
        <w:t xml:space="preserve">Humira pode estar disponível em outras dosagens e/ou apresentações dependendo das necessidades de cada doente. </w:t>
      </w:r>
    </w:p>
    <w:p w14:paraId="38E7B4A0" w14:textId="77777777" w:rsidR="005A7CF3" w:rsidRDefault="005A7CF3" w:rsidP="00763DB3">
      <w:pPr>
        <w:rPr>
          <w:sz w:val="22"/>
          <w:szCs w:val="22"/>
        </w:rPr>
      </w:pPr>
    </w:p>
    <w:p w14:paraId="2C093857" w14:textId="77777777" w:rsidR="00AB0B1F" w:rsidRPr="00785885" w:rsidRDefault="00615769" w:rsidP="00AB0B1F">
      <w:pPr>
        <w:rPr>
          <w:b/>
          <w:sz w:val="22"/>
          <w:szCs w:val="22"/>
        </w:rPr>
      </w:pPr>
      <w:r w:rsidRPr="00785885">
        <w:rPr>
          <w:i/>
          <w:sz w:val="22"/>
          <w:szCs w:val="22"/>
        </w:rPr>
        <w:t xml:space="preserve">Colite ulcerosa pediátrica </w:t>
      </w:r>
    </w:p>
    <w:p w14:paraId="78C32FC1" w14:textId="77777777" w:rsidR="00AB0B1F" w:rsidRPr="00785885" w:rsidRDefault="00AB0B1F" w:rsidP="00AB0B1F">
      <w:pPr>
        <w:rPr>
          <w:sz w:val="22"/>
          <w:szCs w:val="22"/>
        </w:rPr>
      </w:pPr>
    </w:p>
    <w:p w14:paraId="730BEA42" w14:textId="77777777" w:rsidR="00AB0B1F" w:rsidRPr="00AB0B1F" w:rsidRDefault="00615769" w:rsidP="00AB0B1F">
      <w:pPr>
        <w:rPr>
          <w:sz w:val="22"/>
          <w:szCs w:val="22"/>
        </w:rPr>
      </w:pPr>
      <w:r w:rsidRPr="00785885">
        <w:rPr>
          <w:sz w:val="22"/>
          <w:szCs w:val="22"/>
        </w:rPr>
        <w:t>A dose recomendada de Humira em doentes com colite ulcerosa, com idades compreendidas entre os 6 e os 17 anos, é ba</w:t>
      </w:r>
      <w:r>
        <w:rPr>
          <w:sz w:val="22"/>
          <w:szCs w:val="22"/>
        </w:rPr>
        <w:t>seada no peso corporal (Tabela </w:t>
      </w:r>
      <w:r w:rsidR="00372684">
        <w:rPr>
          <w:sz w:val="22"/>
          <w:szCs w:val="22"/>
        </w:rPr>
        <w:t>2</w:t>
      </w:r>
      <w:r w:rsidRPr="00785885">
        <w:rPr>
          <w:sz w:val="22"/>
          <w:szCs w:val="22"/>
        </w:rPr>
        <w:t xml:space="preserve">). </w:t>
      </w:r>
      <w:r w:rsidRPr="00AB0B1F">
        <w:rPr>
          <w:sz w:val="22"/>
          <w:szCs w:val="22"/>
        </w:rPr>
        <w:t xml:space="preserve">Humira é administrado por injeção subcutânea. </w:t>
      </w:r>
    </w:p>
    <w:p w14:paraId="2B26DC97" w14:textId="77777777" w:rsidR="00AB0B1F" w:rsidRPr="00AB0B1F" w:rsidRDefault="00AB0B1F" w:rsidP="00AB0B1F">
      <w:pPr>
        <w:rPr>
          <w:sz w:val="22"/>
          <w:szCs w:val="22"/>
        </w:rPr>
      </w:pPr>
    </w:p>
    <w:p w14:paraId="0CE95504" w14:textId="77777777" w:rsidR="00AB0B1F" w:rsidRPr="00997376" w:rsidRDefault="00615769" w:rsidP="00AB0B1F">
      <w:pPr>
        <w:keepNext/>
        <w:jc w:val="center"/>
        <w:rPr>
          <w:sz w:val="22"/>
          <w:szCs w:val="22"/>
        </w:rPr>
      </w:pPr>
      <w:r>
        <w:rPr>
          <w:b/>
          <w:sz w:val="22"/>
          <w:szCs w:val="22"/>
        </w:rPr>
        <w:t xml:space="preserve">Tabela </w:t>
      </w:r>
      <w:r w:rsidR="00372684">
        <w:rPr>
          <w:b/>
          <w:sz w:val="22"/>
          <w:szCs w:val="22"/>
        </w:rPr>
        <w:t>2</w:t>
      </w:r>
      <w:r w:rsidRPr="00AB0B1F">
        <w:rPr>
          <w:b/>
          <w:sz w:val="22"/>
          <w:szCs w:val="22"/>
        </w:rPr>
        <w:t xml:space="preserve">. </w:t>
      </w:r>
      <w:r w:rsidRPr="00997376">
        <w:rPr>
          <w:b/>
          <w:sz w:val="22"/>
          <w:szCs w:val="22"/>
        </w:rPr>
        <w:t xml:space="preserve">Dose de Humira em </w:t>
      </w:r>
      <w:r w:rsidR="002F486F">
        <w:rPr>
          <w:b/>
          <w:sz w:val="22"/>
          <w:szCs w:val="22"/>
        </w:rPr>
        <w:t>D</w:t>
      </w:r>
      <w:r w:rsidR="002F486F" w:rsidRPr="00997376">
        <w:rPr>
          <w:b/>
          <w:sz w:val="22"/>
          <w:szCs w:val="22"/>
        </w:rPr>
        <w:t xml:space="preserve">oentes </w:t>
      </w:r>
      <w:r w:rsidR="002F486F">
        <w:rPr>
          <w:b/>
          <w:sz w:val="22"/>
          <w:szCs w:val="22"/>
        </w:rPr>
        <w:t>P</w:t>
      </w:r>
      <w:r w:rsidR="002F486F" w:rsidRPr="00997376">
        <w:rPr>
          <w:b/>
          <w:sz w:val="22"/>
          <w:szCs w:val="22"/>
        </w:rPr>
        <w:t xml:space="preserve">ediátricos com </w:t>
      </w:r>
      <w:r w:rsidR="002F486F">
        <w:rPr>
          <w:b/>
          <w:sz w:val="22"/>
          <w:szCs w:val="22"/>
        </w:rPr>
        <w:t>C</w:t>
      </w:r>
      <w:r w:rsidR="002F486F" w:rsidRPr="00997376">
        <w:rPr>
          <w:b/>
          <w:sz w:val="22"/>
          <w:szCs w:val="22"/>
        </w:rPr>
        <w:t xml:space="preserve">olite </w:t>
      </w:r>
      <w:r w:rsidR="002F486F">
        <w:rPr>
          <w:b/>
          <w:sz w:val="22"/>
          <w:szCs w:val="22"/>
        </w:rPr>
        <w:t>U</w:t>
      </w:r>
      <w:r w:rsidR="002F486F" w:rsidRPr="00997376">
        <w:rPr>
          <w:b/>
          <w:sz w:val="22"/>
          <w:szCs w:val="22"/>
        </w:rPr>
        <w:t>lcerosa</w:t>
      </w:r>
      <w:r w:rsidRPr="00997376">
        <w:rPr>
          <w:b/>
          <w:sz w:val="22"/>
          <w:szCs w:val="22"/>
        </w:rPr>
        <w:t xml:space="preserve"> </w:t>
      </w: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4"/>
        <w:gridCol w:w="3322"/>
        <w:gridCol w:w="3158"/>
      </w:tblGrid>
      <w:tr w:rsidR="00A7162A" w14:paraId="562F18CE" w14:textId="77777777" w:rsidTr="00AB0B1F">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E6F2ADB" w14:textId="77777777" w:rsidR="00AB0B1F" w:rsidRPr="00997376" w:rsidRDefault="00615769" w:rsidP="00AB0B1F">
            <w:pPr>
              <w:jc w:val="center"/>
              <w:rPr>
                <w:b/>
                <w:sz w:val="22"/>
                <w:szCs w:val="22"/>
                <w:lang w:val="en-US"/>
              </w:rPr>
            </w:pPr>
            <w:r w:rsidRPr="00785885">
              <w:rPr>
                <w:b/>
                <w:sz w:val="22"/>
                <w:szCs w:val="22"/>
                <w:lang w:val="en-US"/>
              </w:rPr>
              <w:t xml:space="preserve">Peso do </w:t>
            </w:r>
            <w:r w:rsidR="00A56D1E">
              <w:rPr>
                <w:b/>
                <w:sz w:val="22"/>
                <w:szCs w:val="22"/>
                <w:lang w:val="en-US"/>
              </w:rPr>
              <w:t>D</w:t>
            </w:r>
            <w:r w:rsidRPr="00785885">
              <w:rPr>
                <w:b/>
                <w:sz w:val="22"/>
                <w:szCs w:val="22"/>
                <w:lang w:val="en-US"/>
              </w:rPr>
              <w:t>oente</w:t>
            </w:r>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39CBFA70" w14:textId="77777777" w:rsidR="00AB0B1F" w:rsidRPr="00997376" w:rsidRDefault="00615769" w:rsidP="00AB0B1F">
            <w:pPr>
              <w:jc w:val="center"/>
              <w:rPr>
                <w:b/>
                <w:sz w:val="22"/>
                <w:szCs w:val="22"/>
                <w:lang w:val="en-US"/>
              </w:rPr>
            </w:pPr>
            <w:r w:rsidRPr="00785885">
              <w:rPr>
                <w:b/>
                <w:sz w:val="22"/>
                <w:szCs w:val="22"/>
                <w:lang w:val="en-US"/>
              </w:rPr>
              <w:t xml:space="preserve">Dose de </w:t>
            </w:r>
            <w:r w:rsidR="00A56D1E">
              <w:rPr>
                <w:b/>
                <w:sz w:val="22"/>
                <w:szCs w:val="22"/>
                <w:lang w:val="en-US"/>
              </w:rPr>
              <w:t>I</w:t>
            </w:r>
            <w:r w:rsidRPr="00785885">
              <w:rPr>
                <w:b/>
                <w:sz w:val="22"/>
                <w:szCs w:val="22"/>
                <w:lang w:val="en-US"/>
              </w:rPr>
              <w:t>ndução</w:t>
            </w:r>
          </w:p>
        </w:tc>
        <w:tc>
          <w:tcPr>
            <w:tcW w:w="1906" w:type="pct"/>
            <w:tcBorders>
              <w:top w:val="single" w:sz="6" w:space="0" w:color="000000"/>
              <w:left w:val="single" w:sz="6" w:space="0" w:color="000000"/>
              <w:bottom w:val="single" w:sz="6" w:space="0" w:color="000000"/>
              <w:right w:val="single" w:sz="6" w:space="0" w:color="000000"/>
            </w:tcBorders>
            <w:hideMark/>
          </w:tcPr>
          <w:p w14:paraId="61535D4C" w14:textId="77777777" w:rsidR="00AB0B1F" w:rsidRPr="00997376" w:rsidRDefault="00615769" w:rsidP="00AB0B1F">
            <w:pPr>
              <w:jc w:val="center"/>
              <w:rPr>
                <w:b/>
                <w:sz w:val="22"/>
                <w:szCs w:val="22"/>
              </w:rPr>
            </w:pPr>
            <w:r w:rsidRPr="00997376">
              <w:rPr>
                <w:b/>
                <w:sz w:val="22"/>
                <w:szCs w:val="22"/>
              </w:rPr>
              <w:t xml:space="preserve">Dose de </w:t>
            </w:r>
            <w:r w:rsidR="00A56D1E">
              <w:rPr>
                <w:b/>
                <w:sz w:val="22"/>
                <w:szCs w:val="22"/>
              </w:rPr>
              <w:t>M</w:t>
            </w:r>
            <w:r w:rsidRPr="00997376">
              <w:rPr>
                <w:b/>
                <w:sz w:val="22"/>
                <w:szCs w:val="22"/>
              </w:rPr>
              <w:t>anutenção</w:t>
            </w:r>
            <w:r w:rsidRPr="00785885">
              <w:rPr>
                <w:b/>
              </w:rPr>
              <w:br/>
            </w:r>
            <w:r w:rsidRPr="00997376">
              <w:rPr>
                <w:b/>
                <w:sz w:val="22"/>
                <w:szCs w:val="22"/>
              </w:rPr>
              <w:t xml:space="preserve">com </w:t>
            </w:r>
            <w:r w:rsidR="00A56D1E">
              <w:rPr>
                <w:b/>
                <w:sz w:val="22"/>
                <w:szCs w:val="22"/>
              </w:rPr>
              <w:t>I</w:t>
            </w:r>
            <w:r w:rsidRPr="00997376">
              <w:rPr>
                <w:b/>
                <w:sz w:val="22"/>
                <w:szCs w:val="22"/>
              </w:rPr>
              <w:t>nício na Semana 4*</w:t>
            </w:r>
          </w:p>
        </w:tc>
      </w:tr>
      <w:tr w:rsidR="00A7162A" w14:paraId="0EA9698D" w14:textId="77777777" w:rsidTr="00AB0B1F">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67D77BC3" w14:textId="77777777" w:rsidR="00AB0B1F" w:rsidRPr="00997376" w:rsidRDefault="00615769" w:rsidP="00AB0B1F">
            <w:pPr>
              <w:jc w:val="center"/>
              <w:rPr>
                <w:sz w:val="22"/>
                <w:szCs w:val="22"/>
                <w:lang w:val="en-US"/>
              </w:rPr>
            </w:pPr>
            <w:r w:rsidRPr="00785885">
              <w:rPr>
                <w:sz w:val="22"/>
                <w:szCs w:val="22"/>
                <w:lang w:val="en-US"/>
              </w:rPr>
              <w:t>&lt; 40 kg</w:t>
            </w:r>
          </w:p>
        </w:tc>
        <w:tc>
          <w:tcPr>
            <w:tcW w:w="2005" w:type="pct"/>
            <w:tcBorders>
              <w:top w:val="single" w:sz="6" w:space="0" w:color="000000"/>
              <w:left w:val="single" w:sz="6" w:space="0" w:color="000000"/>
              <w:bottom w:val="single" w:sz="6" w:space="0" w:color="000000"/>
              <w:right w:val="single" w:sz="6" w:space="0" w:color="000000"/>
            </w:tcBorders>
            <w:hideMark/>
          </w:tcPr>
          <w:p w14:paraId="50B3DB61" w14:textId="77777777" w:rsidR="00AB0B1F" w:rsidRPr="00997376" w:rsidRDefault="00615769" w:rsidP="005253AF">
            <w:pPr>
              <w:numPr>
                <w:ilvl w:val="0"/>
                <w:numId w:val="179"/>
              </w:numPr>
              <w:ind w:left="360" w:hanging="210"/>
              <w:rPr>
                <w:sz w:val="22"/>
                <w:szCs w:val="22"/>
              </w:rPr>
            </w:pPr>
            <w:r w:rsidRPr="00997376">
              <w:rPr>
                <w:sz w:val="22"/>
                <w:szCs w:val="22"/>
              </w:rPr>
              <w:t xml:space="preserve">80 mg na Semana 0 </w:t>
            </w:r>
            <w:r w:rsidR="005253AF" w:rsidRPr="005253AF">
              <w:rPr>
                <w:sz w:val="22"/>
                <w:szCs w:val="22"/>
              </w:rPr>
              <w:t>(administrada numa injeção de 80 mg) e</w:t>
            </w:r>
          </w:p>
          <w:p w14:paraId="1EF3F587" w14:textId="77777777" w:rsidR="00AB0B1F" w:rsidRPr="00997376" w:rsidRDefault="00615769" w:rsidP="00AB0B1F">
            <w:pPr>
              <w:numPr>
                <w:ilvl w:val="0"/>
                <w:numId w:val="179"/>
              </w:numPr>
              <w:ind w:left="360" w:hanging="210"/>
              <w:rPr>
                <w:sz w:val="22"/>
                <w:szCs w:val="22"/>
              </w:rPr>
            </w:pPr>
            <w:r w:rsidRPr="00997376">
              <w:rPr>
                <w:sz w:val="22"/>
                <w:szCs w:val="22"/>
              </w:rPr>
              <w:t>40 mg na Semana 2 (administrada numa injeção de 40 mg)</w:t>
            </w:r>
          </w:p>
        </w:tc>
        <w:tc>
          <w:tcPr>
            <w:tcW w:w="1906" w:type="pct"/>
            <w:tcBorders>
              <w:top w:val="single" w:sz="6" w:space="0" w:color="000000"/>
              <w:left w:val="single" w:sz="6" w:space="0" w:color="000000"/>
              <w:bottom w:val="single" w:sz="6" w:space="0" w:color="000000"/>
              <w:right w:val="single" w:sz="6" w:space="0" w:color="000000"/>
            </w:tcBorders>
            <w:hideMark/>
          </w:tcPr>
          <w:p w14:paraId="101EF4FE" w14:textId="77777777" w:rsidR="00AB0B1F" w:rsidRPr="00997376" w:rsidRDefault="00615769" w:rsidP="00AB0B1F">
            <w:pPr>
              <w:numPr>
                <w:ilvl w:val="0"/>
                <w:numId w:val="179"/>
              </w:numPr>
              <w:ind w:left="360" w:hanging="210"/>
              <w:rPr>
                <w:sz w:val="22"/>
                <w:szCs w:val="22"/>
              </w:rPr>
            </w:pPr>
            <w:r w:rsidRPr="00997376">
              <w:rPr>
                <w:sz w:val="22"/>
                <w:szCs w:val="22"/>
                <w:lang w:val="en-US"/>
              </w:rPr>
              <w:t>40 mg em semanas alternadas</w:t>
            </w:r>
          </w:p>
        </w:tc>
      </w:tr>
      <w:tr w:rsidR="00A7162A" w14:paraId="66784782" w14:textId="77777777" w:rsidTr="00AB0B1F">
        <w:trPr>
          <w:jc w:val="center"/>
        </w:trPr>
        <w:tc>
          <w:tcPr>
            <w:tcW w:w="0" w:type="auto"/>
            <w:tcBorders>
              <w:top w:val="single" w:sz="6" w:space="0" w:color="000000"/>
              <w:left w:val="single" w:sz="6" w:space="0" w:color="000000"/>
              <w:bottom w:val="single" w:sz="4" w:space="0" w:color="auto"/>
              <w:right w:val="single" w:sz="6" w:space="0" w:color="000000"/>
            </w:tcBorders>
            <w:hideMark/>
          </w:tcPr>
          <w:p w14:paraId="1442FF52" w14:textId="77777777" w:rsidR="00AB0B1F" w:rsidRPr="00997376" w:rsidRDefault="00615769" w:rsidP="00AB0B1F">
            <w:pPr>
              <w:jc w:val="center"/>
              <w:rPr>
                <w:sz w:val="22"/>
                <w:szCs w:val="22"/>
              </w:rPr>
            </w:pPr>
            <w:r w:rsidRPr="00997376">
              <w:rPr>
                <w:sz w:val="22"/>
                <w:szCs w:val="22"/>
              </w:rPr>
              <w:t>≥ 40 kg</w:t>
            </w:r>
          </w:p>
        </w:tc>
        <w:tc>
          <w:tcPr>
            <w:tcW w:w="2005" w:type="pct"/>
            <w:tcBorders>
              <w:top w:val="single" w:sz="6" w:space="0" w:color="000000"/>
              <w:left w:val="single" w:sz="6" w:space="0" w:color="000000"/>
              <w:bottom w:val="single" w:sz="4" w:space="0" w:color="auto"/>
              <w:right w:val="single" w:sz="6" w:space="0" w:color="000000"/>
            </w:tcBorders>
            <w:hideMark/>
          </w:tcPr>
          <w:p w14:paraId="6949AFFF" w14:textId="77777777" w:rsidR="00AB0B1F" w:rsidRPr="00997376" w:rsidRDefault="00615769" w:rsidP="00AB0B1F">
            <w:pPr>
              <w:numPr>
                <w:ilvl w:val="0"/>
                <w:numId w:val="180"/>
              </w:numPr>
              <w:ind w:left="360" w:hanging="210"/>
              <w:rPr>
                <w:sz w:val="22"/>
                <w:szCs w:val="22"/>
              </w:rPr>
            </w:pPr>
            <w:r w:rsidRPr="00997376">
              <w:rPr>
                <w:sz w:val="22"/>
                <w:szCs w:val="22"/>
              </w:rPr>
              <w:t xml:space="preserve">160 mg na Semana 0 (administrada em </w:t>
            </w:r>
            <w:r w:rsidR="005253AF">
              <w:rPr>
                <w:sz w:val="22"/>
                <w:szCs w:val="22"/>
              </w:rPr>
              <w:t>duas injeções de 8</w:t>
            </w:r>
            <w:r w:rsidRPr="00997376">
              <w:rPr>
                <w:sz w:val="22"/>
                <w:szCs w:val="22"/>
              </w:rPr>
              <w:t xml:space="preserve">0 mg num dia ou </w:t>
            </w:r>
            <w:r w:rsidR="005253AF">
              <w:rPr>
                <w:sz w:val="22"/>
                <w:szCs w:val="22"/>
              </w:rPr>
              <w:t>numa injeção de 8</w:t>
            </w:r>
            <w:r w:rsidRPr="00997376">
              <w:rPr>
                <w:sz w:val="22"/>
                <w:szCs w:val="22"/>
              </w:rPr>
              <w:t>0 mg por dia, em dois dias consecutivos) e</w:t>
            </w:r>
          </w:p>
          <w:p w14:paraId="4AF1C737" w14:textId="77777777" w:rsidR="00AB0B1F" w:rsidRPr="00997376" w:rsidRDefault="00615769" w:rsidP="005253AF">
            <w:pPr>
              <w:numPr>
                <w:ilvl w:val="0"/>
                <w:numId w:val="180"/>
              </w:numPr>
              <w:ind w:left="360" w:hanging="210"/>
              <w:rPr>
                <w:sz w:val="22"/>
                <w:szCs w:val="22"/>
              </w:rPr>
            </w:pPr>
            <w:r w:rsidRPr="00997376">
              <w:rPr>
                <w:sz w:val="22"/>
                <w:szCs w:val="22"/>
              </w:rPr>
              <w:t xml:space="preserve">80 mg na Semana 2 (administrada </w:t>
            </w:r>
            <w:r w:rsidR="005253AF">
              <w:rPr>
                <w:sz w:val="22"/>
                <w:szCs w:val="22"/>
              </w:rPr>
              <w:t>numa injeção de 80 mg</w:t>
            </w:r>
            <w:r w:rsidRPr="00997376">
              <w:rPr>
                <w:sz w:val="22"/>
                <w:szCs w:val="22"/>
              </w:rPr>
              <w:t>)</w:t>
            </w:r>
          </w:p>
        </w:tc>
        <w:tc>
          <w:tcPr>
            <w:tcW w:w="1906" w:type="pct"/>
            <w:tcBorders>
              <w:top w:val="single" w:sz="6" w:space="0" w:color="000000"/>
              <w:left w:val="single" w:sz="6" w:space="0" w:color="000000"/>
              <w:bottom w:val="single" w:sz="4" w:space="0" w:color="auto"/>
              <w:right w:val="single" w:sz="6" w:space="0" w:color="000000"/>
            </w:tcBorders>
            <w:hideMark/>
          </w:tcPr>
          <w:p w14:paraId="3874734E" w14:textId="77777777" w:rsidR="00AB0B1F" w:rsidRPr="00997376" w:rsidRDefault="00615769" w:rsidP="00AB0B1F">
            <w:pPr>
              <w:numPr>
                <w:ilvl w:val="0"/>
                <w:numId w:val="179"/>
              </w:numPr>
              <w:ind w:left="360" w:hanging="210"/>
              <w:rPr>
                <w:sz w:val="22"/>
                <w:szCs w:val="22"/>
              </w:rPr>
            </w:pPr>
            <w:r>
              <w:rPr>
                <w:sz w:val="22"/>
                <w:szCs w:val="22"/>
              </w:rPr>
              <w:t>80 </w:t>
            </w:r>
            <w:r w:rsidRPr="00997376">
              <w:rPr>
                <w:sz w:val="22"/>
                <w:szCs w:val="22"/>
                <w:lang w:val="en-US"/>
              </w:rPr>
              <w:t>mg em semanas alternadas</w:t>
            </w:r>
          </w:p>
        </w:tc>
      </w:tr>
      <w:tr w:rsidR="00A7162A" w14:paraId="7E52264F" w14:textId="77777777" w:rsidTr="00AB0B1F">
        <w:trPr>
          <w:jc w:val="center"/>
        </w:trPr>
        <w:tc>
          <w:tcPr>
            <w:tcW w:w="5000" w:type="pct"/>
            <w:gridSpan w:val="3"/>
            <w:tcBorders>
              <w:top w:val="single" w:sz="4" w:space="0" w:color="auto"/>
              <w:left w:val="nil"/>
              <w:bottom w:val="nil"/>
              <w:right w:val="nil"/>
            </w:tcBorders>
          </w:tcPr>
          <w:p w14:paraId="2F5C2DB4" w14:textId="77777777" w:rsidR="00AB0B1F" w:rsidRPr="00997376" w:rsidRDefault="00615769" w:rsidP="00AB0B1F">
            <w:pPr>
              <w:rPr>
                <w:sz w:val="22"/>
                <w:szCs w:val="22"/>
              </w:rPr>
            </w:pPr>
            <w:r w:rsidRPr="00997376">
              <w:rPr>
                <w:sz w:val="22"/>
                <w:szCs w:val="22"/>
                <w:vertAlign w:val="superscript"/>
              </w:rPr>
              <w:t xml:space="preserve">* </w:t>
            </w:r>
            <w:r w:rsidRPr="00997376">
              <w:rPr>
                <w:sz w:val="22"/>
                <w:szCs w:val="22"/>
              </w:rPr>
              <w:t>Os doentes pediátricos que completem 18 anos durante o tratamento com Humira devem continuar com a dose de manutenção prescrita.</w:t>
            </w:r>
          </w:p>
        </w:tc>
      </w:tr>
    </w:tbl>
    <w:p w14:paraId="30948F53" w14:textId="77777777" w:rsidR="00016166" w:rsidRDefault="00016166" w:rsidP="00AB0B1F">
      <w:pPr>
        <w:rPr>
          <w:sz w:val="22"/>
          <w:szCs w:val="22"/>
        </w:rPr>
      </w:pPr>
    </w:p>
    <w:p w14:paraId="4E4B28E9" w14:textId="77777777" w:rsidR="00AB0B1F" w:rsidRPr="00997376" w:rsidRDefault="00615769" w:rsidP="00AB0B1F">
      <w:pPr>
        <w:rPr>
          <w:sz w:val="22"/>
          <w:szCs w:val="22"/>
        </w:rPr>
      </w:pPr>
      <w:r w:rsidRPr="00997376">
        <w:rPr>
          <w:sz w:val="22"/>
          <w:szCs w:val="22"/>
        </w:rPr>
        <w:t xml:space="preserve">Uma terapêutica continuada </w:t>
      </w:r>
      <w:r w:rsidR="00A56D1E">
        <w:rPr>
          <w:sz w:val="22"/>
          <w:szCs w:val="22"/>
        </w:rPr>
        <w:t xml:space="preserve">para </w:t>
      </w:r>
      <w:r w:rsidRPr="00997376">
        <w:rPr>
          <w:sz w:val="22"/>
          <w:szCs w:val="22"/>
        </w:rPr>
        <w:t>além das 8 semanas deve ser cuidadosamente considerada nos doentes que não apresentem sinais de resposta neste período de tempo.</w:t>
      </w:r>
    </w:p>
    <w:p w14:paraId="346D509B" w14:textId="77777777" w:rsidR="00AB0B1F" w:rsidRPr="00997376" w:rsidRDefault="00AB0B1F" w:rsidP="00AB0B1F">
      <w:pPr>
        <w:rPr>
          <w:sz w:val="22"/>
          <w:szCs w:val="22"/>
        </w:rPr>
      </w:pPr>
    </w:p>
    <w:p w14:paraId="60BA1B9B" w14:textId="77777777" w:rsidR="00AB0B1F" w:rsidRPr="00997376" w:rsidRDefault="00615769" w:rsidP="00AB0B1F">
      <w:pPr>
        <w:rPr>
          <w:sz w:val="22"/>
          <w:szCs w:val="22"/>
        </w:rPr>
      </w:pPr>
      <w:r w:rsidRPr="00997376">
        <w:rPr>
          <w:sz w:val="22"/>
          <w:szCs w:val="22"/>
        </w:rPr>
        <w:t>Não existe utilização relevante de Humira em crianças com menos de 6 anos, para esta indicação.</w:t>
      </w:r>
    </w:p>
    <w:p w14:paraId="5EC1E638" w14:textId="77777777" w:rsidR="00AB0B1F" w:rsidRPr="00997376" w:rsidRDefault="00AB0B1F" w:rsidP="00AB0B1F">
      <w:pPr>
        <w:rPr>
          <w:sz w:val="22"/>
          <w:szCs w:val="22"/>
        </w:rPr>
      </w:pPr>
    </w:p>
    <w:p w14:paraId="4FA9D52C" w14:textId="77777777" w:rsidR="00AB0B1F" w:rsidRPr="00AB0B1F" w:rsidRDefault="00615769" w:rsidP="00763DB3">
      <w:pPr>
        <w:rPr>
          <w:sz w:val="22"/>
          <w:szCs w:val="22"/>
        </w:rPr>
      </w:pPr>
      <w:r w:rsidRPr="00997376">
        <w:rPr>
          <w:sz w:val="22"/>
          <w:szCs w:val="22"/>
        </w:rPr>
        <w:t>Humira pode estar disponível em outras dosagens e/ou apresentações dependendo das necessidades de cada doente.</w:t>
      </w:r>
      <w:r>
        <w:rPr>
          <w:sz w:val="22"/>
          <w:szCs w:val="22"/>
        </w:rPr>
        <w:t> </w:t>
      </w:r>
    </w:p>
    <w:p w14:paraId="4163E93A" w14:textId="77777777" w:rsidR="00AB0B1F" w:rsidRDefault="00AB0B1F" w:rsidP="00763DB3">
      <w:pPr>
        <w:rPr>
          <w:bCs/>
          <w:i/>
          <w:iCs/>
          <w:sz w:val="22"/>
          <w:szCs w:val="22"/>
        </w:rPr>
      </w:pPr>
    </w:p>
    <w:p w14:paraId="30F733A8" w14:textId="77777777" w:rsidR="00763DB3" w:rsidRPr="00034BDE" w:rsidRDefault="00615769" w:rsidP="00763DB3">
      <w:pPr>
        <w:rPr>
          <w:bCs/>
          <w:i/>
          <w:iCs/>
          <w:sz w:val="22"/>
          <w:szCs w:val="22"/>
        </w:rPr>
      </w:pPr>
      <w:r w:rsidRPr="00034BDE">
        <w:rPr>
          <w:bCs/>
          <w:i/>
          <w:iCs/>
          <w:sz w:val="22"/>
          <w:szCs w:val="22"/>
        </w:rPr>
        <w:t xml:space="preserve">Uveíte </w:t>
      </w:r>
      <w:r w:rsidR="008A40F5">
        <w:rPr>
          <w:bCs/>
          <w:i/>
          <w:iCs/>
          <w:sz w:val="22"/>
          <w:szCs w:val="22"/>
        </w:rPr>
        <w:t>p</w:t>
      </w:r>
      <w:r w:rsidRPr="00034BDE">
        <w:rPr>
          <w:bCs/>
          <w:i/>
          <w:iCs/>
          <w:sz w:val="22"/>
          <w:szCs w:val="22"/>
        </w:rPr>
        <w:t>ediátrica</w:t>
      </w:r>
    </w:p>
    <w:p w14:paraId="168588DA" w14:textId="77777777" w:rsidR="00763DB3" w:rsidRDefault="00763DB3" w:rsidP="00763DB3">
      <w:pPr>
        <w:rPr>
          <w:bCs/>
          <w:iCs/>
          <w:sz w:val="22"/>
          <w:szCs w:val="22"/>
        </w:rPr>
      </w:pPr>
    </w:p>
    <w:p w14:paraId="1BDFDE5A" w14:textId="77777777" w:rsidR="0035701C" w:rsidRPr="008912CF" w:rsidRDefault="00615769" w:rsidP="0035701C">
      <w:pPr>
        <w:pStyle w:val="BodyText2"/>
        <w:autoSpaceDE/>
        <w:autoSpaceDN/>
        <w:adjustRightInd/>
        <w:rPr>
          <w:szCs w:val="22"/>
        </w:rPr>
      </w:pPr>
      <w:r w:rsidRPr="008912CF">
        <w:rPr>
          <w:szCs w:val="22"/>
        </w:rPr>
        <w:t xml:space="preserve">A dose recomendada de Humira </w:t>
      </w:r>
      <w:r w:rsidR="00E876B5">
        <w:rPr>
          <w:szCs w:val="22"/>
        </w:rPr>
        <w:t xml:space="preserve">em </w:t>
      </w:r>
      <w:r w:rsidRPr="008912CF">
        <w:rPr>
          <w:szCs w:val="22"/>
        </w:rPr>
        <w:t xml:space="preserve">doentes com </w:t>
      </w:r>
      <w:r>
        <w:rPr>
          <w:szCs w:val="22"/>
        </w:rPr>
        <w:t xml:space="preserve">uveíte pediátrica, a partir dos 2 anos de idade, </w:t>
      </w:r>
      <w:r w:rsidRPr="008912CF">
        <w:rPr>
          <w:szCs w:val="22"/>
        </w:rPr>
        <w:t xml:space="preserve">é </w:t>
      </w:r>
      <w:r>
        <w:rPr>
          <w:szCs w:val="22"/>
        </w:rPr>
        <w:t xml:space="preserve">baseada no peso corporal (Tabela </w:t>
      </w:r>
      <w:r w:rsidR="00372684">
        <w:rPr>
          <w:szCs w:val="22"/>
        </w:rPr>
        <w:t>3</w:t>
      </w:r>
      <w:r>
        <w:rPr>
          <w:szCs w:val="22"/>
        </w:rPr>
        <w:t xml:space="preserve">). Humira é administrado </w:t>
      </w:r>
      <w:r w:rsidRPr="008912CF">
        <w:rPr>
          <w:szCs w:val="22"/>
        </w:rPr>
        <w:t xml:space="preserve">por injeção subcutânea. </w:t>
      </w:r>
    </w:p>
    <w:p w14:paraId="7661DD49" w14:textId="77777777" w:rsidR="0035701C" w:rsidRDefault="0035701C" w:rsidP="00763DB3">
      <w:pPr>
        <w:rPr>
          <w:bCs/>
          <w:iCs/>
          <w:sz w:val="22"/>
          <w:szCs w:val="22"/>
        </w:rPr>
      </w:pPr>
    </w:p>
    <w:p w14:paraId="23733B5F" w14:textId="77777777" w:rsidR="00763DB3" w:rsidRDefault="00615769" w:rsidP="00763DB3">
      <w:pPr>
        <w:rPr>
          <w:bCs/>
          <w:iCs/>
          <w:sz w:val="22"/>
          <w:szCs w:val="22"/>
        </w:rPr>
      </w:pPr>
      <w:r>
        <w:rPr>
          <w:bCs/>
          <w:iCs/>
          <w:sz w:val="22"/>
          <w:szCs w:val="22"/>
        </w:rPr>
        <w:t>Na uveíte pediátrica, não existe experiência de utilização de Humira sem tratamento concomitante com metotrexato.</w:t>
      </w:r>
    </w:p>
    <w:p w14:paraId="16B97D1D" w14:textId="77777777" w:rsidR="00763DB3" w:rsidRDefault="00763DB3" w:rsidP="00763DB3">
      <w:pPr>
        <w:rPr>
          <w:bCs/>
          <w:iCs/>
          <w:sz w:val="22"/>
          <w:szCs w:val="22"/>
        </w:rPr>
      </w:pPr>
    </w:p>
    <w:p w14:paraId="65016D97" w14:textId="77777777" w:rsidR="0035701C" w:rsidRPr="008912CF" w:rsidRDefault="00615769" w:rsidP="00F73E10">
      <w:pPr>
        <w:pStyle w:val="BodyText2"/>
        <w:keepNext/>
        <w:autoSpaceDE/>
        <w:autoSpaceDN/>
        <w:adjustRightInd/>
        <w:jc w:val="center"/>
        <w:rPr>
          <w:b/>
          <w:szCs w:val="22"/>
        </w:rPr>
      </w:pPr>
      <w:r w:rsidRPr="008912CF">
        <w:rPr>
          <w:b/>
          <w:szCs w:val="22"/>
        </w:rPr>
        <w:t xml:space="preserve">Tabela </w:t>
      </w:r>
      <w:r w:rsidR="00372684">
        <w:rPr>
          <w:b/>
          <w:szCs w:val="22"/>
        </w:rPr>
        <w:t>3</w:t>
      </w:r>
      <w:r w:rsidRPr="008912CF">
        <w:rPr>
          <w:b/>
          <w:szCs w:val="22"/>
        </w:rPr>
        <w:t xml:space="preserve">. Dose de Humira </w:t>
      </w:r>
      <w:r w:rsidR="00E876B5">
        <w:rPr>
          <w:b/>
          <w:szCs w:val="22"/>
        </w:rPr>
        <w:t xml:space="preserve">em </w:t>
      </w:r>
      <w:r w:rsidRPr="008912CF">
        <w:rPr>
          <w:b/>
          <w:szCs w:val="22"/>
        </w:rPr>
        <w:t xml:space="preserve">Doentes </w:t>
      </w:r>
      <w:r w:rsidR="00E7252B">
        <w:rPr>
          <w:b/>
          <w:szCs w:val="22"/>
        </w:rPr>
        <w:t xml:space="preserve">Pediátricos </w:t>
      </w:r>
      <w:r w:rsidRPr="008912CF">
        <w:rPr>
          <w:b/>
          <w:szCs w:val="22"/>
        </w:rPr>
        <w:t xml:space="preserve">com </w:t>
      </w:r>
      <w:r w:rsidR="008E7EF7">
        <w:rPr>
          <w:b/>
          <w:szCs w:val="22"/>
        </w:rPr>
        <w:t>Uveíte</w:t>
      </w:r>
    </w:p>
    <w:p w14:paraId="02D63292" w14:textId="77777777" w:rsidR="0035701C" w:rsidRPr="008912CF" w:rsidRDefault="0035701C" w:rsidP="00F73E10">
      <w:pPr>
        <w:keepNext/>
        <w:rPr>
          <w:sz w:val="22"/>
          <w:szCs w:val="22"/>
        </w:rPr>
      </w:pPr>
    </w:p>
    <w:tbl>
      <w:tblPr>
        <w:tblW w:w="6795" w:type="dxa"/>
        <w:jc w:val="center"/>
        <w:tblLayout w:type="fixed"/>
        <w:tblLook w:val="0000" w:firstRow="0" w:lastRow="0" w:firstColumn="0" w:lastColumn="0" w:noHBand="0" w:noVBand="0"/>
      </w:tblPr>
      <w:tblGrid>
        <w:gridCol w:w="3401"/>
        <w:gridCol w:w="3394"/>
      </w:tblGrid>
      <w:tr w:rsidR="00A7162A" w14:paraId="0645D8A0" w14:textId="77777777" w:rsidTr="004C6F1A">
        <w:trPr>
          <w:tblHeader/>
          <w:jc w:val="center"/>
        </w:trPr>
        <w:tc>
          <w:tcPr>
            <w:tcW w:w="3401" w:type="dxa"/>
            <w:tcBorders>
              <w:top w:val="single" w:sz="4" w:space="0" w:color="auto"/>
              <w:bottom w:val="single" w:sz="4" w:space="0" w:color="auto"/>
            </w:tcBorders>
          </w:tcPr>
          <w:p w14:paraId="6E5EB00D" w14:textId="77777777" w:rsidR="0035701C" w:rsidRPr="0007777F" w:rsidRDefault="00615769" w:rsidP="00F73E10">
            <w:pPr>
              <w:keepNext/>
              <w:spacing w:before="40" w:after="40" w:line="240" w:lineRule="exact"/>
              <w:jc w:val="center"/>
              <w:rPr>
                <w:rFonts w:eastAsia="Calibri"/>
                <w:b/>
                <w:sz w:val="22"/>
                <w:szCs w:val="22"/>
                <w:lang w:val="en-US" w:eastAsia="ja-JP"/>
              </w:rPr>
            </w:pPr>
            <w:r>
              <w:rPr>
                <w:rFonts w:eastAsia="Calibri"/>
                <w:b/>
                <w:sz w:val="22"/>
                <w:szCs w:val="22"/>
                <w:lang w:val="en-US" w:eastAsia="ja-JP"/>
              </w:rPr>
              <w:t>Peso do Doente</w:t>
            </w:r>
          </w:p>
        </w:tc>
        <w:tc>
          <w:tcPr>
            <w:tcW w:w="3394" w:type="dxa"/>
            <w:tcBorders>
              <w:top w:val="single" w:sz="4" w:space="0" w:color="auto"/>
              <w:bottom w:val="single" w:sz="4" w:space="0" w:color="auto"/>
            </w:tcBorders>
          </w:tcPr>
          <w:p w14:paraId="4194D896" w14:textId="77777777" w:rsidR="0035701C" w:rsidRPr="0007777F" w:rsidRDefault="00615769" w:rsidP="00F73E10">
            <w:pPr>
              <w:keepNext/>
              <w:spacing w:before="40" w:after="40" w:line="240" w:lineRule="exact"/>
              <w:jc w:val="center"/>
              <w:rPr>
                <w:rFonts w:eastAsia="Calibri"/>
                <w:b/>
                <w:sz w:val="22"/>
                <w:szCs w:val="22"/>
                <w:lang w:val="en-US" w:eastAsia="ja-JP"/>
              </w:rPr>
            </w:pPr>
            <w:r>
              <w:rPr>
                <w:rFonts w:eastAsia="Calibri"/>
                <w:b/>
                <w:sz w:val="22"/>
                <w:szCs w:val="22"/>
                <w:lang w:val="en-US" w:eastAsia="ja-JP"/>
              </w:rPr>
              <w:t xml:space="preserve">Regime </w:t>
            </w:r>
            <w:r w:rsidR="00C00E3F">
              <w:rPr>
                <w:rFonts w:eastAsia="Calibri"/>
                <w:b/>
                <w:sz w:val="22"/>
                <w:szCs w:val="22"/>
                <w:lang w:val="en-US" w:eastAsia="ja-JP"/>
              </w:rPr>
              <w:t xml:space="preserve">Posológico </w:t>
            </w:r>
          </w:p>
        </w:tc>
      </w:tr>
      <w:tr w:rsidR="00A7162A" w14:paraId="001F0285" w14:textId="77777777" w:rsidTr="004C6F1A">
        <w:trPr>
          <w:tblHeader/>
          <w:jc w:val="center"/>
        </w:trPr>
        <w:tc>
          <w:tcPr>
            <w:tcW w:w="3401" w:type="dxa"/>
            <w:tcBorders>
              <w:top w:val="single" w:sz="4" w:space="0" w:color="auto"/>
              <w:bottom w:val="single" w:sz="4" w:space="0" w:color="auto"/>
            </w:tcBorders>
          </w:tcPr>
          <w:p w14:paraId="40941557" w14:textId="77777777" w:rsidR="0035701C" w:rsidRPr="0007777F" w:rsidRDefault="00615769" w:rsidP="00F73E10">
            <w:pPr>
              <w:keepNext/>
              <w:spacing w:before="40" w:after="40" w:line="240" w:lineRule="exact"/>
              <w:jc w:val="center"/>
              <w:rPr>
                <w:rFonts w:eastAsia="Calibri"/>
                <w:b/>
                <w:sz w:val="22"/>
                <w:szCs w:val="22"/>
                <w:lang w:val="en-US" w:eastAsia="ja-JP"/>
              </w:rPr>
            </w:pPr>
            <w:r w:rsidRPr="0007777F">
              <w:rPr>
                <w:rFonts w:eastAsia="Calibri"/>
                <w:sz w:val="22"/>
                <w:szCs w:val="22"/>
                <w:lang w:val="en-US" w:eastAsia="ja-JP"/>
              </w:rPr>
              <w:t>&lt; 30 kg</w:t>
            </w:r>
          </w:p>
        </w:tc>
        <w:tc>
          <w:tcPr>
            <w:tcW w:w="3394" w:type="dxa"/>
            <w:tcBorders>
              <w:top w:val="single" w:sz="4" w:space="0" w:color="auto"/>
              <w:bottom w:val="single" w:sz="4" w:space="0" w:color="auto"/>
            </w:tcBorders>
          </w:tcPr>
          <w:p w14:paraId="0C0392AF" w14:textId="77777777" w:rsidR="0035701C" w:rsidRPr="00DE594E" w:rsidRDefault="00615769" w:rsidP="00F73E10">
            <w:pPr>
              <w:keepNext/>
              <w:spacing w:before="40" w:after="40" w:line="240" w:lineRule="exact"/>
              <w:jc w:val="center"/>
              <w:rPr>
                <w:rFonts w:eastAsia="Calibri"/>
                <w:b/>
                <w:sz w:val="22"/>
                <w:szCs w:val="22"/>
                <w:lang w:eastAsia="ja-JP"/>
              </w:rPr>
            </w:pPr>
            <w:r w:rsidRPr="00DE594E">
              <w:rPr>
                <w:rFonts w:eastAsia="Calibri"/>
                <w:sz w:val="22"/>
                <w:szCs w:val="22"/>
                <w:lang w:eastAsia="ja-JP"/>
              </w:rPr>
              <w:t>20 mg em semanas alternadas</w:t>
            </w:r>
            <w:r w:rsidR="008E7EF7" w:rsidRPr="00DE594E">
              <w:rPr>
                <w:rFonts w:eastAsia="Calibri"/>
                <w:sz w:val="22"/>
                <w:szCs w:val="22"/>
                <w:lang w:eastAsia="ja-JP"/>
              </w:rPr>
              <w:t xml:space="preserve"> em associação com metotrexato </w:t>
            </w:r>
          </w:p>
        </w:tc>
      </w:tr>
      <w:tr w:rsidR="00A7162A" w14:paraId="3C1D3444" w14:textId="77777777" w:rsidTr="004C6F1A">
        <w:trPr>
          <w:tblHeader/>
          <w:jc w:val="center"/>
        </w:trPr>
        <w:tc>
          <w:tcPr>
            <w:tcW w:w="3401" w:type="dxa"/>
            <w:tcBorders>
              <w:top w:val="single" w:sz="4" w:space="0" w:color="auto"/>
              <w:bottom w:val="single" w:sz="4" w:space="0" w:color="auto"/>
            </w:tcBorders>
          </w:tcPr>
          <w:p w14:paraId="40B04B9C" w14:textId="77777777" w:rsidR="0035701C" w:rsidRPr="0007777F" w:rsidRDefault="00615769" w:rsidP="00F73E10">
            <w:pPr>
              <w:keepNext/>
              <w:spacing w:before="40" w:after="40" w:line="240" w:lineRule="exact"/>
              <w:jc w:val="center"/>
              <w:rPr>
                <w:rFonts w:eastAsia="Calibri"/>
                <w:b/>
                <w:sz w:val="22"/>
                <w:szCs w:val="22"/>
                <w:lang w:val="en-US" w:eastAsia="ja-JP"/>
              </w:rPr>
            </w:pPr>
            <w:r w:rsidRPr="0007777F">
              <w:rPr>
                <w:rFonts w:eastAsia="Calibri"/>
                <w:sz w:val="22"/>
                <w:szCs w:val="22"/>
                <w:lang w:val="en-US" w:eastAsia="ja-JP"/>
              </w:rPr>
              <w:t>≥ 30 kg</w:t>
            </w:r>
          </w:p>
        </w:tc>
        <w:tc>
          <w:tcPr>
            <w:tcW w:w="3394" w:type="dxa"/>
            <w:tcBorders>
              <w:top w:val="single" w:sz="4" w:space="0" w:color="auto"/>
              <w:bottom w:val="single" w:sz="4" w:space="0" w:color="auto"/>
            </w:tcBorders>
          </w:tcPr>
          <w:p w14:paraId="4651685B" w14:textId="77777777" w:rsidR="0035701C" w:rsidRPr="00DE594E" w:rsidRDefault="00615769" w:rsidP="00F73E10">
            <w:pPr>
              <w:keepNext/>
              <w:spacing w:before="40" w:after="40" w:line="240" w:lineRule="exact"/>
              <w:jc w:val="center"/>
              <w:rPr>
                <w:rFonts w:eastAsia="Calibri"/>
                <w:b/>
                <w:sz w:val="22"/>
                <w:szCs w:val="22"/>
                <w:lang w:eastAsia="ja-JP"/>
              </w:rPr>
            </w:pPr>
            <w:r w:rsidRPr="00DE594E">
              <w:rPr>
                <w:rFonts w:eastAsia="Calibri"/>
                <w:sz w:val="22"/>
                <w:szCs w:val="22"/>
                <w:lang w:eastAsia="ja-JP"/>
              </w:rPr>
              <w:t>40 mg em semanas alternadas</w:t>
            </w:r>
            <w:r w:rsidR="008E7EF7" w:rsidRPr="00DE594E">
              <w:rPr>
                <w:rFonts w:eastAsia="Calibri"/>
                <w:sz w:val="22"/>
                <w:szCs w:val="22"/>
                <w:lang w:eastAsia="ja-JP"/>
              </w:rPr>
              <w:t xml:space="preserve"> </w:t>
            </w:r>
            <w:r w:rsidR="008E7EF7" w:rsidRPr="00DF02FD">
              <w:rPr>
                <w:rFonts w:eastAsia="Calibri"/>
                <w:sz w:val="22"/>
                <w:szCs w:val="22"/>
                <w:lang w:eastAsia="ja-JP"/>
              </w:rPr>
              <w:t>em associação com metotrexato</w:t>
            </w:r>
          </w:p>
        </w:tc>
      </w:tr>
    </w:tbl>
    <w:p w14:paraId="476AD9F0" w14:textId="77777777" w:rsidR="0035701C" w:rsidRDefault="0035701C" w:rsidP="00763DB3">
      <w:pPr>
        <w:rPr>
          <w:bCs/>
          <w:iCs/>
          <w:sz w:val="22"/>
          <w:szCs w:val="22"/>
        </w:rPr>
      </w:pPr>
    </w:p>
    <w:p w14:paraId="69379FBB" w14:textId="77777777" w:rsidR="00763DB3" w:rsidRDefault="00763DB3" w:rsidP="00763DB3">
      <w:pPr>
        <w:rPr>
          <w:bCs/>
          <w:iCs/>
          <w:sz w:val="22"/>
          <w:szCs w:val="22"/>
        </w:rPr>
      </w:pPr>
    </w:p>
    <w:p w14:paraId="15F7B715" w14:textId="77777777" w:rsidR="00763DB3" w:rsidRDefault="00615769" w:rsidP="00763DB3">
      <w:pPr>
        <w:rPr>
          <w:sz w:val="22"/>
          <w:szCs w:val="22"/>
        </w:rPr>
      </w:pPr>
      <w:r>
        <w:rPr>
          <w:bCs/>
          <w:iCs/>
          <w:sz w:val="22"/>
          <w:szCs w:val="22"/>
        </w:rPr>
        <w:t xml:space="preserve">Quando se inicia o tratamento com Humira, pode ser administrada uma dose </w:t>
      </w:r>
      <w:r w:rsidRPr="008912CF">
        <w:rPr>
          <w:sz w:val="22"/>
          <w:szCs w:val="22"/>
        </w:rPr>
        <w:t xml:space="preserve">de carga de </w:t>
      </w:r>
      <w:r>
        <w:rPr>
          <w:sz w:val="22"/>
          <w:szCs w:val="22"/>
        </w:rPr>
        <w:t>40</w:t>
      </w:r>
      <w:r w:rsidRPr="008912CF">
        <w:rPr>
          <w:sz w:val="22"/>
          <w:szCs w:val="22"/>
        </w:rPr>
        <w:t> mg</w:t>
      </w:r>
      <w:r w:rsidR="00D13E45" w:rsidRPr="00D13E45">
        <w:rPr>
          <w:sz w:val="22"/>
          <w:szCs w:val="22"/>
        </w:rPr>
        <w:t xml:space="preserve"> </w:t>
      </w:r>
      <w:r w:rsidR="00D13E45">
        <w:rPr>
          <w:sz w:val="22"/>
          <w:szCs w:val="22"/>
        </w:rPr>
        <w:t xml:space="preserve">em doentes &lt; 30 kg ou 80 mg em doentes </w:t>
      </w:r>
      <w:r w:rsidR="00D13E45" w:rsidRPr="00395D60">
        <w:rPr>
          <w:rFonts w:eastAsia="Calibri"/>
          <w:sz w:val="22"/>
          <w:szCs w:val="22"/>
          <w:lang w:eastAsia="ja-JP"/>
        </w:rPr>
        <w:t>≥ 30 kg</w:t>
      </w:r>
      <w:r w:rsidR="00D13E45">
        <w:rPr>
          <w:rFonts w:eastAsia="Calibri"/>
          <w:sz w:val="22"/>
          <w:szCs w:val="22"/>
          <w:lang w:eastAsia="ja-JP"/>
        </w:rPr>
        <w:t>,</w:t>
      </w:r>
      <w:r>
        <w:rPr>
          <w:sz w:val="22"/>
          <w:szCs w:val="22"/>
        </w:rPr>
        <w:t xml:space="preserve"> uma semana antes do início do tratamento de </w:t>
      </w:r>
      <w:r>
        <w:rPr>
          <w:sz w:val="22"/>
          <w:szCs w:val="22"/>
        </w:rPr>
        <w:t>manutenção. Não existem dados clínicos relevantes sobre a utilização de uma dose de carga de Humira em crianças &lt; 6 anos de idade (ver secção 5.2).</w:t>
      </w:r>
    </w:p>
    <w:p w14:paraId="5B37548E" w14:textId="77777777" w:rsidR="00763DB3" w:rsidRDefault="00763DB3" w:rsidP="00763DB3">
      <w:pPr>
        <w:rPr>
          <w:sz w:val="22"/>
          <w:szCs w:val="22"/>
        </w:rPr>
      </w:pPr>
    </w:p>
    <w:p w14:paraId="74B3A0B4" w14:textId="77777777" w:rsidR="00763DB3" w:rsidRPr="008912CF" w:rsidRDefault="00615769" w:rsidP="00763DB3">
      <w:pPr>
        <w:rPr>
          <w:sz w:val="22"/>
          <w:szCs w:val="22"/>
        </w:rPr>
      </w:pPr>
      <w:r w:rsidRPr="008912CF">
        <w:rPr>
          <w:sz w:val="22"/>
          <w:szCs w:val="22"/>
        </w:rPr>
        <w:t xml:space="preserve">Não existe utilização relevante de Humira em crianças com menos de </w:t>
      </w:r>
      <w:r>
        <w:rPr>
          <w:sz w:val="22"/>
          <w:szCs w:val="22"/>
        </w:rPr>
        <w:t>2 </w:t>
      </w:r>
      <w:r w:rsidRPr="008912CF">
        <w:rPr>
          <w:sz w:val="22"/>
          <w:szCs w:val="22"/>
        </w:rPr>
        <w:t>anos, para esta indicação.</w:t>
      </w:r>
    </w:p>
    <w:p w14:paraId="2A29006B" w14:textId="77777777" w:rsidR="00763DB3" w:rsidRDefault="00763DB3" w:rsidP="00763DB3">
      <w:pPr>
        <w:rPr>
          <w:sz w:val="22"/>
          <w:szCs w:val="22"/>
        </w:rPr>
      </w:pPr>
    </w:p>
    <w:p w14:paraId="0201D96C" w14:textId="77777777" w:rsidR="00763DB3" w:rsidRDefault="00615769" w:rsidP="00763DB3">
      <w:pPr>
        <w:rPr>
          <w:bCs/>
          <w:sz w:val="22"/>
          <w:szCs w:val="22"/>
        </w:rPr>
      </w:pPr>
      <w:r w:rsidRPr="00497512">
        <w:rPr>
          <w:bCs/>
          <w:sz w:val="22"/>
          <w:szCs w:val="22"/>
        </w:rPr>
        <w:t>Recomenda-se que o risco benefício do tratamento continuado a longo prazo seja avaliado</w:t>
      </w:r>
      <w:r>
        <w:rPr>
          <w:bCs/>
          <w:sz w:val="22"/>
          <w:szCs w:val="22"/>
        </w:rPr>
        <w:t xml:space="preserve"> anualmente (ver secção 5.1).</w:t>
      </w:r>
    </w:p>
    <w:p w14:paraId="1BFEC1D4" w14:textId="77777777" w:rsidR="004462A0" w:rsidRDefault="004462A0" w:rsidP="004462A0">
      <w:pPr>
        <w:rPr>
          <w:bCs/>
          <w:iCs/>
          <w:sz w:val="22"/>
          <w:szCs w:val="22"/>
        </w:rPr>
      </w:pPr>
    </w:p>
    <w:p w14:paraId="175EA156" w14:textId="77777777" w:rsidR="005A7CF3" w:rsidRDefault="00615769" w:rsidP="005A7CF3">
      <w:pPr>
        <w:pStyle w:val="BodyText2"/>
        <w:autoSpaceDE/>
        <w:autoSpaceDN/>
        <w:adjustRightInd/>
        <w:rPr>
          <w:szCs w:val="22"/>
        </w:rPr>
      </w:pPr>
      <w:r>
        <w:rPr>
          <w:szCs w:val="22"/>
        </w:rPr>
        <w:t xml:space="preserve">Humira pode estar disponível em outras dosagens e/ou apresentações dependendo das necessidades de cada doente. </w:t>
      </w:r>
    </w:p>
    <w:p w14:paraId="24601704" w14:textId="77777777" w:rsidR="004462A0" w:rsidRPr="00CC4B51" w:rsidRDefault="004462A0" w:rsidP="004462A0">
      <w:pPr>
        <w:rPr>
          <w:bCs/>
          <w:iCs/>
          <w:sz w:val="22"/>
          <w:szCs w:val="22"/>
        </w:rPr>
      </w:pPr>
    </w:p>
    <w:p w14:paraId="155FC5D4" w14:textId="77777777" w:rsidR="004462A0" w:rsidRPr="00CC4B51" w:rsidRDefault="00615769" w:rsidP="004462A0">
      <w:pPr>
        <w:rPr>
          <w:bCs/>
          <w:iCs/>
          <w:sz w:val="22"/>
          <w:szCs w:val="22"/>
          <w:u w:val="single"/>
        </w:rPr>
      </w:pPr>
      <w:r w:rsidRPr="00CC4B51">
        <w:rPr>
          <w:bCs/>
          <w:iCs/>
          <w:sz w:val="22"/>
          <w:szCs w:val="22"/>
          <w:u w:val="single"/>
        </w:rPr>
        <w:t>Modo de administração</w:t>
      </w:r>
    </w:p>
    <w:p w14:paraId="16351389" w14:textId="77777777" w:rsidR="004462A0" w:rsidRPr="00CC4B51" w:rsidRDefault="004462A0" w:rsidP="004462A0">
      <w:pPr>
        <w:rPr>
          <w:bCs/>
          <w:iCs/>
          <w:sz w:val="22"/>
          <w:szCs w:val="22"/>
        </w:rPr>
      </w:pPr>
    </w:p>
    <w:p w14:paraId="0D3B271E" w14:textId="77777777" w:rsidR="004462A0" w:rsidRPr="00CC4B51" w:rsidRDefault="00615769" w:rsidP="004462A0">
      <w:pPr>
        <w:rPr>
          <w:bCs/>
          <w:iCs/>
          <w:sz w:val="22"/>
          <w:szCs w:val="22"/>
        </w:rPr>
      </w:pPr>
      <w:r w:rsidRPr="00CC4B51">
        <w:rPr>
          <w:bCs/>
          <w:iCs/>
          <w:sz w:val="22"/>
          <w:szCs w:val="22"/>
        </w:rPr>
        <w:t>A administração de Humira faz-se por injeção subcutânea. Instruções completas de utilização estão disponíveis no folheto informativo.</w:t>
      </w:r>
    </w:p>
    <w:p w14:paraId="31587427" w14:textId="77777777" w:rsidR="004462A0" w:rsidRDefault="004462A0" w:rsidP="004462A0">
      <w:pPr>
        <w:rPr>
          <w:bCs/>
          <w:iCs/>
          <w:sz w:val="22"/>
          <w:szCs w:val="22"/>
        </w:rPr>
      </w:pPr>
    </w:p>
    <w:p w14:paraId="296CD63C" w14:textId="77777777" w:rsidR="0006111B" w:rsidRPr="008912CF" w:rsidRDefault="00615769" w:rsidP="0006111B">
      <w:pPr>
        <w:rPr>
          <w:sz w:val="22"/>
          <w:szCs w:val="22"/>
        </w:rPr>
      </w:pPr>
      <w:r>
        <w:rPr>
          <w:sz w:val="22"/>
          <w:szCs w:val="22"/>
        </w:rPr>
        <w:t>Humira está disponível em outras dosagens e apresentações.</w:t>
      </w:r>
    </w:p>
    <w:p w14:paraId="4F637C03" w14:textId="77777777" w:rsidR="0006111B" w:rsidRPr="00CC4B51" w:rsidRDefault="0006111B" w:rsidP="004462A0">
      <w:pPr>
        <w:rPr>
          <w:bCs/>
          <w:iCs/>
          <w:sz w:val="22"/>
          <w:szCs w:val="22"/>
        </w:rPr>
      </w:pPr>
    </w:p>
    <w:p w14:paraId="36994C1E" w14:textId="77777777" w:rsidR="004462A0" w:rsidRPr="00892429" w:rsidRDefault="00615769" w:rsidP="00892429">
      <w:pPr>
        <w:ind w:left="567" w:hanging="567"/>
        <w:rPr>
          <w:sz w:val="22"/>
          <w:szCs w:val="22"/>
        </w:rPr>
      </w:pPr>
      <w:r w:rsidRPr="00892429">
        <w:rPr>
          <w:b/>
          <w:sz w:val="22"/>
          <w:szCs w:val="22"/>
        </w:rPr>
        <w:t>4.3</w:t>
      </w:r>
      <w:r w:rsidRPr="00892429">
        <w:rPr>
          <w:b/>
          <w:sz w:val="22"/>
          <w:szCs w:val="22"/>
        </w:rPr>
        <w:tab/>
        <w:t xml:space="preserve">Contraindicações </w:t>
      </w:r>
    </w:p>
    <w:p w14:paraId="3209EA40" w14:textId="77777777" w:rsidR="004462A0" w:rsidRPr="00CC4B51" w:rsidRDefault="004462A0" w:rsidP="004462A0">
      <w:pPr>
        <w:rPr>
          <w:sz w:val="22"/>
          <w:szCs w:val="22"/>
        </w:rPr>
      </w:pPr>
    </w:p>
    <w:p w14:paraId="416C5A70" w14:textId="77777777" w:rsidR="004462A0" w:rsidRPr="00CC4B51" w:rsidRDefault="00615769" w:rsidP="004462A0">
      <w:pPr>
        <w:rPr>
          <w:sz w:val="22"/>
          <w:szCs w:val="22"/>
        </w:rPr>
      </w:pPr>
      <w:r w:rsidRPr="00CC4B51">
        <w:rPr>
          <w:sz w:val="22"/>
          <w:szCs w:val="22"/>
        </w:rPr>
        <w:t xml:space="preserve">Hipersensibilidade à substância ativa ou a qualquer um dos excipientes </w:t>
      </w:r>
      <w:r w:rsidR="00BF2F9C">
        <w:rPr>
          <w:sz w:val="22"/>
          <w:szCs w:val="22"/>
        </w:rPr>
        <w:t>mencionados</w:t>
      </w:r>
      <w:r w:rsidR="00BF2F9C" w:rsidRPr="00CC4B51">
        <w:rPr>
          <w:sz w:val="22"/>
          <w:szCs w:val="22"/>
        </w:rPr>
        <w:t xml:space="preserve"> </w:t>
      </w:r>
      <w:r w:rsidRPr="00CC4B51">
        <w:rPr>
          <w:sz w:val="22"/>
          <w:szCs w:val="22"/>
        </w:rPr>
        <w:t xml:space="preserve">na secção 6.1. </w:t>
      </w:r>
    </w:p>
    <w:p w14:paraId="74D65593" w14:textId="77777777" w:rsidR="004462A0" w:rsidRPr="00CC4B51" w:rsidRDefault="004462A0" w:rsidP="004462A0">
      <w:pPr>
        <w:rPr>
          <w:sz w:val="22"/>
          <w:szCs w:val="22"/>
        </w:rPr>
      </w:pPr>
    </w:p>
    <w:p w14:paraId="5D9DCEE7" w14:textId="77777777" w:rsidR="004462A0" w:rsidRPr="00CC4B51" w:rsidRDefault="00615769" w:rsidP="004462A0">
      <w:pPr>
        <w:rPr>
          <w:sz w:val="22"/>
          <w:szCs w:val="22"/>
        </w:rPr>
      </w:pPr>
      <w:r w:rsidRPr="00CC4B51">
        <w:rPr>
          <w:sz w:val="22"/>
          <w:szCs w:val="22"/>
        </w:rPr>
        <w:t>Tuberculose ativa ou outras infeções graves, nomeadamente, sepsia e infeções oportunistas (ver secção 4.4).</w:t>
      </w:r>
    </w:p>
    <w:p w14:paraId="0A176058" w14:textId="77777777" w:rsidR="004462A0" w:rsidRPr="00CC4B51" w:rsidRDefault="004462A0" w:rsidP="004462A0">
      <w:pPr>
        <w:rPr>
          <w:sz w:val="22"/>
          <w:szCs w:val="22"/>
        </w:rPr>
      </w:pPr>
    </w:p>
    <w:p w14:paraId="3DD7BD13" w14:textId="77777777" w:rsidR="004462A0" w:rsidRPr="00CC4B51" w:rsidRDefault="00615769" w:rsidP="004462A0">
      <w:pPr>
        <w:rPr>
          <w:sz w:val="22"/>
          <w:szCs w:val="22"/>
        </w:rPr>
      </w:pPr>
      <w:r w:rsidRPr="00CC4B51">
        <w:rPr>
          <w:sz w:val="22"/>
          <w:szCs w:val="22"/>
        </w:rPr>
        <w:t>Insuficiência cardíaca moderada a grave (classe III/IV da NYHA) (ver secção 4.4).</w:t>
      </w:r>
    </w:p>
    <w:p w14:paraId="187D6915" w14:textId="77777777" w:rsidR="004462A0" w:rsidRPr="00CC4B51" w:rsidRDefault="004462A0" w:rsidP="004462A0">
      <w:pPr>
        <w:rPr>
          <w:sz w:val="22"/>
          <w:szCs w:val="22"/>
        </w:rPr>
      </w:pPr>
    </w:p>
    <w:p w14:paraId="1E3502AD" w14:textId="77777777" w:rsidR="004462A0" w:rsidRPr="00892429" w:rsidRDefault="00615769" w:rsidP="00892429">
      <w:pPr>
        <w:ind w:left="567" w:hanging="567"/>
        <w:rPr>
          <w:b/>
          <w:sz w:val="22"/>
          <w:szCs w:val="22"/>
        </w:rPr>
      </w:pPr>
      <w:r w:rsidRPr="00892429">
        <w:rPr>
          <w:b/>
          <w:sz w:val="22"/>
          <w:szCs w:val="22"/>
        </w:rPr>
        <w:t>4.4</w:t>
      </w:r>
      <w:r w:rsidRPr="00892429">
        <w:rPr>
          <w:sz w:val="22"/>
          <w:szCs w:val="22"/>
        </w:rPr>
        <w:tab/>
      </w:r>
      <w:r w:rsidRPr="00892429">
        <w:rPr>
          <w:b/>
          <w:sz w:val="22"/>
          <w:szCs w:val="22"/>
        </w:rPr>
        <w:t xml:space="preserve">Advertências e precauções especiais de utilização </w:t>
      </w:r>
    </w:p>
    <w:p w14:paraId="72B47B97" w14:textId="77777777" w:rsidR="004462A0" w:rsidRDefault="004462A0" w:rsidP="004462A0">
      <w:pPr>
        <w:rPr>
          <w:sz w:val="22"/>
          <w:szCs w:val="22"/>
        </w:rPr>
      </w:pPr>
    </w:p>
    <w:p w14:paraId="10F63A68" w14:textId="77777777" w:rsidR="00E86779" w:rsidRPr="002339BF" w:rsidRDefault="00615769" w:rsidP="004462A0">
      <w:pPr>
        <w:rPr>
          <w:sz w:val="22"/>
          <w:szCs w:val="22"/>
          <w:u w:val="single"/>
        </w:rPr>
      </w:pPr>
      <w:r w:rsidRPr="002339BF">
        <w:rPr>
          <w:sz w:val="22"/>
          <w:szCs w:val="22"/>
          <w:u w:val="single"/>
        </w:rPr>
        <w:t>Rastreabilidade</w:t>
      </w:r>
    </w:p>
    <w:p w14:paraId="512B66A5" w14:textId="77777777" w:rsidR="001A1E51" w:rsidRPr="00CC4B51" w:rsidRDefault="001A1E51" w:rsidP="004462A0">
      <w:pPr>
        <w:rPr>
          <w:sz w:val="22"/>
          <w:szCs w:val="22"/>
        </w:rPr>
      </w:pPr>
    </w:p>
    <w:p w14:paraId="090DB0FF" w14:textId="77777777" w:rsidR="004462A0" w:rsidRPr="00CC4B51" w:rsidRDefault="00615769" w:rsidP="004462A0">
      <w:pPr>
        <w:tabs>
          <w:tab w:val="left" w:pos="567"/>
        </w:tabs>
        <w:autoSpaceDE w:val="0"/>
        <w:autoSpaceDN w:val="0"/>
        <w:adjustRightInd w:val="0"/>
        <w:outlineLvl w:val="3"/>
        <w:rPr>
          <w:sz w:val="22"/>
          <w:szCs w:val="22"/>
          <w:u w:val="single"/>
        </w:rPr>
      </w:pPr>
      <w:r w:rsidRPr="00CC4B51">
        <w:rPr>
          <w:sz w:val="22"/>
          <w:szCs w:val="22"/>
        </w:rPr>
        <w:t>De forma a melhorar a rastreabilidade dos medicamentos biológicos,</w:t>
      </w:r>
      <w:r w:rsidR="00E86779">
        <w:rPr>
          <w:sz w:val="22"/>
          <w:szCs w:val="22"/>
        </w:rPr>
        <w:t xml:space="preserve"> o nome </w:t>
      </w:r>
      <w:r w:rsidRPr="00CC4B51">
        <w:rPr>
          <w:sz w:val="22"/>
          <w:szCs w:val="22"/>
        </w:rPr>
        <w:t>e o número de lote do medicamento administrado devem ser registados</w:t>
      </w:r>
      <w:r w:rsidR="00372684">
        <w:rPr>
          <w:sz w:val="22"/>
          <w:szCs w:val="22"/>
        </w:rPr>
        <w:t xml:space="preserve"> de forma clara</w:t>
      </w:r>
      <w:r w:rsidRPr="00CC4B51">
        <w:rPr>
          <w:sz w:val="22"/>
          <w:szCs w:val="22"/>
        </w:rPr>
        <w:t xml:space="preserve">. </w:t>
      </w:r>
    </w:p>
    <w:p w14:paraId="6D4BCD13" w14:textId="77777777" w:rsidR="004462A0" w:rsidRPr="00CC4B51" w:rsidRDefault="004462A0" w:rsidP="004462A0">
      <w:pPr>
        <w:tabs>
          <w:tab w:val="left" w:pos="567"/>
        </w:tabs>
        <w:autoSpaceDE w:val="0"/>
        <w:autoSpaceDN w:val="0"/>
        <w:adjustRightInd w:val="0"/>
        <w:outlineLvl w:val="3"/>
        <w:rPr>
          <w:sz w:val="22"/>
          <w:szCs w:val="22"/>
          <w:u w:val="single"/>
        </w:rPr>
      </w:pPr>
    </w:p>
    <w:p w14:paraId="100732B7" w14:textId="77777777" w:rsidR="004462A0" w:rsidRPr="00CC4B51" w:rsidRDefault="00615769" w:rsidP="004462A0">
      <w:pPr>
        <w:tabs>
          <w:tab w:val="left" w:pos="567"/>
        </w:tabs>
        <w:autoSpaceDE w:val="0"/>
        <w:autoSpaceDN w:val="0"/>
        <w:adjustRightInd w:val="0"/>
        <w:outlineLvl w:val="3"/>
        <w:rPr>
          <w:sz w:val="22"/>
          <w:szCs w:val="22"/>
          <w:u w:val="single"/>
        </w:rPr>
      </w:pPr>
      <w:r w:rsidRPr="00CC4B51">
        <w:rPr>
          <w:sz w:val="22"/>
          <w:szCs w:val="22"/>
          <w:u w:val="single"/>
        </w:rPr>
        <w:t xml:space="preserve">Infeções </w:t>
      </w:r>
    </w:p>
    <w:p w14:paraId="7F313DAA" w14:textId="77777777" w:rsidR="004462A0" w:rsidRPr="00CC4B51" w:rsidRDefault="004462A0" w:rsidP="004462A0">
      <w:pPr>
        <w:rPr>
          <w:sz w:val="22"/>
          <w:szCs w:val="22"/>
        </w:rPr>
      </w:pPr>
    </w:p>
    <w:p w14:paraId="1F17A2E3" w14:textId="77777777" w:rsidR="004462A0" w:rsidRPr="00CC4B51" w:rsidRDefault="00615769" w:rsidP="004462A0">
      <w:pPr>
        <w:rPr>
          <w:sz w:val="22"/>
          <w:szCs w:val="22"/>
        </w:rPr>
      </w:pPr>
      <w:r w:rsidRPr="00CC4B51">
        <w:rPr>
          <w:sz w:val="22"/>
          <w:szCs w:val="22"/>
        </w:rPr>
        <w:t>Doentes tratados com antagonistas</w:t>
      </w:r>
      <w:r w:rsidRPr="00CC4B51">
        <w:rPr>
          <w:sz w:val="22"/>
          <w:szCs w:val="22"/>
        </w:rPr>
        <w:noBreakHyphen/>
      </w:r>
      <w:r w:rsidRPr="00CC4B51">
        <w:rPr>
          <w:sz w:val="22"/>
          <w:szCs w:val="22"/>
        </w:rPr>
        <w:t>TNF são mais suscetíveis a infeções graves. Função pulmonar comprometida pode aumentar o risco de desenvolver infeções. Os doentes devem por isso ser cuidadosamente monitorizados para despiste de infeções, incluindo tuberculose, antes, durante e após o tratamento com Humira. Dado que a eliminação de adalimumab pode levar até quatro meses, a monitorização deve ser continuada durante este período de tempo.</w:t>
      </w:r>
    </w:p>
    <w:p w14:paraId="68D0A951" w14:textId="77777777" w:rsidR="004462A0" w:rsidRPr="00CC4B51" w:rsidRDefault="004462A0" w:rsidP="004462A0">
      <w:pPr>
        <w:autoSpaceDE w:val="0"/>
        <w:autoSpaceDN w:val="0"/>
        <w:adjustRightInd w:val="0"/>
        <w:rPr>
          <w:sz w:val="22"/>
          <w:szCs w:val="22"/>
        </w:rPr>
      </w:pPr>
    </w:p>
    <w:p w14:paraId="27FC73E0" w14:textId="77777777" w:rsidR="004462A0" w:rsidRPr="00CC4B51" w:rsidRDefault="00615769" w:rsidP="004462A0">
      <w:pPr>
        <w:autoSpaceDE w:val="0"/>
        <w:autoSpaceDN w:val="0"/>
        <w:adjustRightInd w:val="0"/>
        <w:rPr>
          <w:sz w:val="22"/>
          <w:szCs w:val="22"/>
        </w:rPr>
      </w:pPr>
      <w:r w:rsidRPr="00CC4B51">
        <w:rPr>
          <w:sz w:val="22"/>
          <w:szCs w:val="22"/>
        </w:rPr>
        <w:t xml:space="preserve">O tratamento com Humira não deve ser iniciado em doentes com infeções ativas, incluindo infeções crónicas ou localizadas, até que as mesmas estejam controladas. Nos doentes que foram expostos à tuberculose e doentes que viajaram para zonas de alto risco de tuberculose ou micoses endémicas, tais como histoplasmose, </w:t>
      </w:r>
      <w:r w:rsidRPr="00CC4B51">
        <w:rPr>
          <w:color w:val="000000"/>
          <w:sz w:val="22"/>
          <w:szCs w:val="22"/>
        </w:rPr>
        <w:t>coccidioidomicose</w:t>
      </w:r>
      <w:r w:rsidRPr="00CC4B51">
        <w:rPr>
          <w:sz w:val="22"/>
          <w:szCs w:val="22"/>
        </w:rPr>
        <w:t>, ou blastomicose, deverá ser considerado o risco e os benefícios do tratamento com Humira antes de iniciar a terapêutica (</w:t>
      </w:r>
      <w:r w:rsidRPr="00DF5632">
        <w:rPr>
          <w:iCs/>
          <w:sz w:val="22"/>
          <w:szCs w:val="22"/>
        </w:rPr>
        <w:t>ver</w:t>
      </w:r>
      <w:r w:rsidRPr="00CC4B51">
        <w:rPr>
          <w:i/>
          <w:iCs/>
          <w:sz w:val="22"/>
          <w:szCs w:val="22"/>
        </w:rPr>
        <w:t xml:space="preserve"> Outras infeções oportunistas</w:t>
      </w:r>
      <w:r w:rsidRPr="00CC4B51">
        <w:rPr>
          <w:sz w:val="22"/>
          <w:szCs w:val="22"/>
        </w:rPr>
        <w:t>).</w:t>
      </w:r>
    </w:p>
    <w:p w14:paraId="1AF61DFC" w14:textId="77777777" w:rsidR="004462A0" w:rsidRPr="00CC4B51" w:rsidRDefault="004462A0" w:rsidP="004462A0">
      <w:pPr>
        <w:autoSpaceDE w:val="0"/>
        <w:autoSpaceDN w:val="0"/>
        <w:adjustRightInd w:val="0"/>
        <w:rPr>
          <w:sz w:val="22"/>
          <w:szCs w:val="22"/>
        </w:rPr>
      </w:pPr>
    </w:p>
    <w:p w14:paraId="6EE91C91" w14:textId="77777777" w:rsidR="004462A0" w:rsidRPr="00CC4B51" w:rsidRDefault="00615769" w:rsidP="004462A0">
      <w:pPr>
        <w:autoSpaceDE w:val="0"/>
        <w:autoSpaceDN w:val="0"/>
        <w:adjustRightInd w:val="0"/>
        <w:rPr>
          <w:sz w:val="22"/>
          <w:szCs w:val="22"/>
        </w:rPr>
      </w:pPr>
      <w:r w:rsidRPr="00CC4B51">
        <w:rPr>
          <w:sz w:val="22"/>
          <w:szCs w:val="22"/>
        </w:rPr>
        <w:t>Os doentes que desenvolvam uma nova infeção no decurso do tratamento com Humira devem ser cuidadosamente monitorizados e submetidos a uma avaliação completa do diagnóstico. A administração de Humira deve ser interrompida se um doente desenvolver uma nova infeção grave ou sepsia, e deve ser iniciada uma terapêutica antimicrobiana ou antifúngica apropriada até controlo da infeção. Os médicos devem ter precaução quando consideram o uso de Humira em doentes com história de infeção recorrente ou com condições su</w:t>
      </w:r>
      <w:r w:rsidRPr="00CC4B51">
        <w:rPr>
          <w:sz w:val="22"/>
          <w:szCs w:val="22"/>
        </w:rPr>
        <w:t>bjacentes suscetíveis de os predispor a infeções, incluindo o uso concomitante de medicação imunossupressora.</w:t>
      </w:r>
    </w:p>
    <w:p w14:paraId="7FF9E693" w14:textId="77777777" w:rsidR="004462A0" w:rsidRPr="00CC4B51" w:rsidRDefault="004462A0" w:rsidP="004462A0">
      <w:pPr>
        <w:autoSpaceDE w:val="0"/>
        <w:autoSpaceDN w:val="0"/>
        <w:adjustRightInd w:val="0"/>
        <w:rPr>
          <w:sz w:val="22"/>
          <w:szCs w:val="22"/>
        </w:rPr>
      </w:pPr>
    </w:p>
    <w:p w14:paraId="310F9801" w14:textId="77777777" w:rsidR="004462A0" w:rsidRPr="00CC4B51" w:rsidRDefault="00615769" w:rsidP="003D66D7">
      <w:pPr>
        <w:keepNext/>
        <w:autoSpaceDE w:val="0"/>
        <w:autoSpaceDN w:val="0"/>
        <w:adjustRightInd w:val="0"/>
        <w:rPr>
          <w:i/>
          <w:iCs/>
          <w:sz w:val="22"/>
          <w:szCs w:val="22"/>
        </w:rPr>
      </w:pPr>
      <w:r w:rsidRPr="00CC4B51">
        <w:rPr>
          <w:i/>
          <w:iCs/>
          <w:sz w:val="22"/>
          <w:szCs w:val="22"/>
        </w:rPr>
        <w:t>Infeções graves</w:t>
      </w:r>
    </w:p>
    <w:p w14:paraId="3E4728EB" w14:textId="77777777" w:rsidR="004462A0" w:rsidRPr="00CC4B51" w:rsidRDefault="004462A0" w:rsidP="003D66D7">
      <w:pPr>
        <w:keepNext/>
        <w:autoSpaceDE w:val="0"/>
        <w:autoSpaceDN w:val="0"/>
        <w:adjustRightInd w:val="0"/>
        <w:rPr>
          <w:sz w:val="22"/>
          <w:szCs w:val="22"/>
        </w:rPr>
      </w:pPr>
    </w:p>
    <w:p w14:paraId="4AF98EF2" w14:textId="77777777" w:rsidR="004462A0" w:rsidRPr="00CC4B51" w:rsidRDefault="00615769" w:rsidP="003D66D7">
      <w:pPr>
        <w:keepNext/>
        <w:autoSpaceDE w:val="0"/>
        <w:autoSpaceDN w:val="0"/>
        <w:adjustRightInd w:val="0"/>
        <w:rPr>
          <w:sz w:val="22"/>
          <w:szCs w:val="22"/>
        </w:rPr>
      </w:pPr>
      <w:r w:rsidRPr="00CC4B51">
        <w:rPr>
          <w:sz w:val="22"/>
          <w:szCs w:val="22"/>
        </w:rPr>
        <w:t xml:space="preserve">Foram notificadas infeções graves, incluindo sepsia, devido a infeções bacterianas, micobacterianas, fúngicas, parasitárias e virais invasivas, ou outras infeções oportunistas tais como listeriose, </w:t>
      </w:r>
      <w:r w:rsidRPr="00CC4B51">
        <w:rPr>
          <w:sz w:val="22"/>
          <w:u w:color="0000FF"/>
        </w:rPr>
        <w:t>legionelose</w:t>
      </w:r>
      <w:r w:rsidRPr="00CC4B51">
        <w:rPr>
          <w:sz w:val="22"/>
          <w:szCs w:val="22"/>
        </w:rPr>
        <w:t xml:space="preserve"> e </w:t>
      </w:r>
      <w:r w:rsidRPr="00CC4B51">
        <w:rPr>
          <w:iCs/>
          <w:sz w:val="22"/>
          <w:szCs w:val="22"/>
        </w:rPr>
        <w:t>pneumocistose</w:t>
      </w:r>
      <w:r w:rsidRPr="00CC4B51">
        <w:rPr>
          <w:i/>
          <w:iCs/>
          <w:sz w:val="22"/>
          <w:szCs w:val="22"/>
        </w:rPr>
        <w:t>,</w:t>
      </w:r>
      <w:r w:rsidRPr="00CC4B51">
        <w:rPr>
          <w:sz w:val="22"/>
          <w:szCs w:val="22"/>
        </w:rPr>
        <w:t xml:space="preserve"> em doentes tratados com Humira.</w:t>
      </w:r>
    </w:p>
    <w:p w14:paraId="62EDB001" w14:textId="77777777" w:rsidR="004462A0" w:rsidRPr="00CC4B51" w:rsidRDefault="004462A0" w:rsidP="004462A0">
      <w:pPr>
        <w:autoSpaceDE w:val="0"/>
        <w:autoSpaceDN w:val="0"/>
        <w:adjustRightInd w:val="0"/>
        <w:rPr>
          <w:sz w:val="22"/>
          <w:szCs w:val="22"/>
        </w:rPr>
      </w:pPr>
    </w:p>
    <w:p w14:paraId="53860B40" w14:textId="77777777" w:rsidR="004462A0" w:rsidRPr="00CC4B51" w:rsidRDefault="00615769" w:rsidP="004462A0">
      <w:pPr>
        <w:autoSpaceDE w:val="0"/>
        <w:autoSpaceDN w:val="0"/>
        <w:adjustRightInd w:val="0"/>
        <w:rPr>
          <w:sz w:val="22"/>
          <w:szCs w:val="22"/>
        </w:rPr>
      </w:pPr>
      <w:r w:rsidRPr="00CC4B51">
        <w:rPr>
          <w:sz w:val="22"/>
          <w:szCs w:val="22"/>
        </w:rPr>
        <w:t>Outras infeções graves observadas em ensaios clínicos incluem pneumonia, pielonefrite, artrite séptica e septicemia. Foram notificadas hospitalizações ou casos fatais associadas a infeções.</w:t>
      </w:r>
    </w:p>
    <w:p w14:paraId="586A7DE0" w14:textId="77777777" w:rsidR="004462A0" w:rsidRPr="00CC4B51" w:rsidRDefault="004462A0" w:rsidP="004462A0">
      <w:pPr>
        <w:autoSpaceDE w:val="0"/>
        <w:autoSpaceDN w:val="0"/>
        <w:adjustRightInd w:val="0"/>
        <w:rPr>
          <w:sz w:val="22"/>
          <w:szCs w:val="22"/>
        </w:rPr>
      </w:pPr>
    </w:p>
    <w:p w14:paraId="086BDC3C" w14:textId="77777777" w:rsidR="004462A0" w:rsidRPr="00CC4B51" w:rsidRDefault="00615769" w:rsidP="004462A0">
      <w:pPr>
        <w:autoSpaceDE w:val="0"/>
        <w:autoSpaceDN w:val="0"/>
        <w:adjustRightInd w:val="0"/>
        <w:rPr>
          <w:i/>
          <w:iCs/>
          <w:sz w:val="22"/>
          <w:szCs w:val="22"/>
        </w:rPr>
      </w:pPr>
      <w:r w:rsidRPr="00CC4B51">
        <w:rPr>
          <w:i/>
          <w:iCs/>
          <w:sz w:val="22"/>
          <w:szCs w:val="22"/>
        </w:rPr>
        <w:t>Tuberculose</w:t>
      </w:r>
    </w:p>
    <w:p w14:paraId="2CECA5D1" w14:textId="77777777" w:rsidR="004462A0" w:rsidRPr="00CC4B51" w:rsidRDefault="004462A0" w:rsidP="004462A0">
      <w:pPr>
        <w:autoSpaceDE w:val="0"/>
        <w:autoSpaceDN w:val="0"/>
        <w:adjustRightInd w:val="0"/>
        <w:rPr>
          <w:sz w:val="22"/>
          <w:szCs w:val="22"/>
        </w:rPr>
      </w:pPr>
    </w:p>
    <w:p w14:paraId="0DA2095D" w14:textId="77777777" w:rsidR="004462A0" w:rsidRPr="00CC4B51" w:rsidRDefault="00615769" w:rsidP="004462A0">
      <w:pPr>
        <w:autoSpaceDE w:val="0"/>
        <w:autoSpaceDN w:val="0"/>
        <w:adjustRightInd w:val="0"/>
        <w:rPr>
          <w:sz w:val="22"/>
          <w:szCs w:val="22"/>
        </w:rPr>
      </w:pPr>
      <w:r w:rsidRPr="00CC4B51">
        <w:rPr>
          <w:sz w:val="22"/>
          <w:szCs w:val="22"/>
        </w:rPr>
        <w:t>Foram notificados casos de tuberculose</w:t>
      </w:r>
      <w:r w:rsidR="008A40F5">
        <w:rPr>
          <w:sz w:val="22"/>
          <w:szCs w:val="22"/>
        </w:rPr>
        <w:t>,</w:t>
      </w:r>
      <w:r w:rsidRPr="00CC4B51">
        <w:rPr>
          <w:sz w:val="22"/>
          <w:szCs w:val="22"/>
        </w:rPr>
        <w:t xml:space="preserve"> incluindo reativação e novo aparecimento de tuberculose</w:t>
      </w:r>
      <w:r w:rsidR="008A40F5">
        <w:rPr>
          <w:sz w:val="22"/>
          <w:szCs w:val="22"/>
        </w:rPr>
        <w:t>,</w:t>
      </w:r>
      <w:r w:rsidRPr="00CC4B51">
        <w:rPr>
          <w:sz w:val="22"/>
          <w:szCs w:val="22"/>
        </w:rPr>
        <w:t xml:space="preserve"> em doentes tratados com Humira. Os casos notificados incluíram tuberculose pulmonar e extrapulmonar (isto é</w:t>
      </w:r>
      <w:r w:rsidR="00862DA6">
        <w:rPr>
          <w:sz w:val="22"/>
          <w:szCs w:val="22"/>
        </w:rPr>
        <w:t>,</w:t>
      </w:r>
      <w:r w:rsidRPr="00CC4B51">
        <w:rPr>
          <w:sz w:val="22"/>
          <w:szCs w:val="22"/>
        </w:rPr>
        <w:t xml:space="preserve"> disseminada).</w:t>
      </w:r>
    </w:p>
    <w:p w14:paraId="1C4DDE5F" w14:textId="77777777" w:rsidR="004462A0" w:rsidRPr="00CC4B51" w:rsidRDefault="004462A0" w:rsidP="004462A0">
      <w:pPr>
        <w:autoSpaceDE w:val="0"/>
        <w:autoSpaceDN w:val="0"/>
        <w:adjustRightInd w:val="0"/>
        <w:rPr>
          <w:sz w:val="22"/>
          <w:szCs w:val="22"/>
        </w:rPr>
      </w:pPr>
    </w:p>
    <w:p w14:paraId="7258B514" w14:textId="77777777" w:rsidR="004462A0" w:rsidRPr="00CC4B51" w:rsidRDefault="00615769" w:rsidP="004462A0">
      <w:pPr>
        <w:autoSpaceDE w:val="0"/>
        <w:autoSpaceDN w:val="0"/>
        <w:adjustRightInd w:val="0"/>
        <w:rPr>
          <w:sz w:val="22"/>
          <w:szCs w:val="22"/>
          <w:u w:val="single"/>
        </w:rPr>
      </w:pPr>
      <w:r w:rsidRPr="00CC4B51">
        <w:rPr>
          <w:sz w:val="22"/>
          <w:szCs w:val="22"/>
        </w:rPr>
        <w:t>Antes de iniciar a terapêutica com Humira, todos os doentes devem ser avaliados para despiste da presença de infeção por tuberculose</w:t>
      </w:r>
      <w:r w:rsidR="00862DA6">
        <w:rPr>
          <w:sz w:val="22"/>
          <w:szCs w:val="22"/>
        </w:rPr>
        <w:t>,</w:t>
      </w:r>
      <w:r w:rsidRPr="00CC4B51">
        <w:rPr>
          <w:sz w:val="22"/>
          <w:szCs w:val="22"/>
        </w:rPr>
        <w:t xml:space="preserve"> tanto ativa como inativa (“latente”). Esta avaliação deve incluir uma avaliação clínica detalhada dos doentes com antecedentes da tuberculose ou de uma possível exposição prévia a indivíduos com tuberculose ativa e uma terapêutica imunossupressora prévia e/ou presente. Devem realizar-se exames de despiste apropriados (isto é, teste de tuberculina e radiografia do tórax) em todos os doentes (devem aplicar-se as recomendações locais). A realização e o resultado destes exames são registados no </w:t>
      </w:r>
      <w:r w:rsidR="00E02FA8">
        <w:rPr>
          <w:sz w:val="22"/>
          <w:szCs w:val="22"/>
        </w:rPr>
        <w:t>C</w:t>
      </w:r>
      <w:r w:rsidRPr="00CC4B51">
        <w:rPr>
          <w:sz w:val="22"/>
          <w:szCs w:val="22"/>
        </w:rPr>
        <w:t xml:space="preserve">artão de </w:t>
      </w:r>
      <w:r w:rsidR="00E02FA8">
        <w:rPr>
          <w:sz w:val="22"/>
          <w:szCs w:val="22"/>
        </w:rPr>
        <w:t>S</w:t>
      </w:r>
      <w:r w:rsidRPr="00CC4B51">
        <w:rPr>
          <w:sz w:val="22"/>
          <w:szCs w:val="22"/>
        </w:rPr>
        <w:t>egu</w:t>
      </w:r>
      <w:r w:rsidRPr="00CC4B51">
        <w:rPr>
          <w:sz w:val="22"/>
          <w:szCs w:val="22"/>
        </w:rPr>
        <w:t xml:space="preserve">rança do </w:t>
      </w:r>
      <w:r w:rsidR="00E02FA8">
        <w:rPr>
          <w:sz w:val="22"/>
          <w:szCs w:val="22"/>
        </w:rPr>
        <w:t>D</w:t>
      </w:r>
      <w:r w:rsidRPr="00CC4B51">
        <w:rPr>
          <w:sz w:val="22"/>
          <w:szCs w:val="22"/>
        </w:rPr>
        <w:t>oente. O médico prescritor deve ser avisado sobre o risco de resultados falsos negativos nos testes de tuberculina, especialmente nos doentes em estado grave ou imunocomprometidos.</w:t>
      </w:r>
    </w:p>
    <w:p w14:paraId="5027C6E9" w14:textId="77777777" w:rsidR="004462A0" w:rsidRPr="00CC4B51" w:rsidRDefault="004462A0" w:rsidP="004462A0">
      <w:pPr>
        <w:tabs>
          <w:tab w:val="left" w:pos="567"/>
        </w:tabs>
        <w:rPr>
          <w:sz w:val="22"/>
          <w:szCs w:val="22"/>
        </w:rPr>
      </w:pPr>
    </w:p>
    <w:p w14:paraId="2106C239" w14:textId="77777777" w:rsidR="004462A0" w:rsidRPr="00CC4B51" w:rsidRDefault="00615769" w:rsidP="004462A0">
      <w:pPr>
        <w:tabs>
          <w:tab w:val="left" w:pos="567"/>
        </w:tabs>
        <w:rPr>
          <w:sz w:val="22"/>
          <w:szCs w:val="22"/>
        </w:rPr>
      </w:pPr>
      <w:r w:rsidRPr="00CC4B51">
        <w:rPr>
          <w:sz w:val="22"/>
          <w:szCs w:val="22"/>
        </w:rPr>
        <w:t>Não se deve iniciar a terapêutica com Humira em caso de diagnóstico de tuberculose ativa (ver secção 4.3).</w:t>
      </w:r>
      <w:r w:rsidRPr="00CC4B51">
        <w:rPr>
          <w:i/>
          <w:sz w:val="22"/>
          <w:szCs w:val="22"/>
        </w:rPr>
        <w:t xml:space="preserve"> </w:t>
      </w:r>
    </w:p>
    <w:p w14:paraId="1B55B590" w14:textId="77777777" w:rsidR="004462A0" w:rsidRPr="00CC4B51" w:rsidRDefault="004462A0" w:rsidP="004462A0">
      <w:pPr>
        <w:rPr>
          <w:sz w:val="22"/>
          <w:szCs w:val="22"/>
        </w:rPr>
      </w:pPr>
    </w:p>
    <w:p w14:paraId="42231946" w14:textId="77777777" w:rsidR="004462A0" w:rsidRPr="00CC4B51" w:rsidRDefault="00615769" w:rsidP="004462A0">
      <w:pPr>
        <w:rPr>
          <w:i/>
          <w:sz w:val="22"/>
          <w:szCs w:val="22"/>
        </w:rPr>
      </w:pPr>
      <w:r w:rsidRPr="00CC4B51">
        <w:rPr>
          <w:iCs/>
          <w:sz w:val="22"/>
          <w:szCs w:val="22"/>
        </w:rPr>
        <w:t>Em todas as</w:t>
      </w:r>
      <w:r w:rsidRPr="00CC4B51">
        <w:rPr>
          <w:sz w:val="22"/>
          <w:szCs w:val="22"/>
        </w:rPr>
        <w:t xml:space="preserve"> situações abaixo descritas, a relação benefício/risco da terapêutica deve ser muito cuidadosamente ponderada.</w:t>
      </w:r>
    </w:p>
    <w:p w14:paraId="578D629A" w14:textId="77777777" w:rsidR="004462A0" w:rsidRPr="00CC4B51" w:rsidRDefault="004462A0" w:rsidP="004462A0">
      <w:pPr>
        <w:rPr>
          <w:sz w:val="22"/>
          <w:szCs w:val="22"/>
        </w:rPr>
      </w:pPr>
    </w:p>
    <w:p w14:paraId="660C956B" w14:textId="77777777" w:rsidR="004462A0" w:rsidRPr="00CC4B51" w:rsidRDefault="00615769" w:rsidP="004462A0">
      <w:pPr>
        <w:rPr>
          <w:i/>
          <w:sz w:val="22"/>
          <w:szCs w:val="22"/>
        </w:rPr>
      </w:pPr>
      <w:r w:rsidRPr="00CC4B51">
        <w:rPr>
          <w:sz w:val="22"/>
          <w:szCs w:val="22"/>
        </w:rPr>
        <w:t>Em caso de suspeita de tuberculose latente, deve ser consultado um médico com experiência no tratamento da tuberculose</w:t>
      </w:r>
      <w:r w:rsidRPr="00CC4B51">
        <w:rPr>
          <w:iCs/>
          <w:sz w:val="22"/>
          <w:szCs w:val="22"/>
        </w:rPr>
        <w:t xml:space="preserve">. </w:t>
      </w:r>
    </w:p>
    <w:p w14:paraId="0BCD2428" w14:textId="77777777" w:rsidR="004462A0" w:rsidRPr="00CC4B51" w:rsidRDefault="004462A0" w:rsidP="004462A0">
      <w:pPr>
        <w:rPr>
          <w:color w:val="000000"/>
          <w:sz w:val="22"/>
          <w:szCs w:val="22"/>
        </w:rPr>
      </w:pPr>
    </w:p>
    <w:p w14:paraId="57F0D6CA" w14:textId="77777777" w:rsidR="004462A0" w:rsidRPr="00CC4B51" w:rsidRDefault="00615769" w:rsidP="004462A0">
      <w:pPr>
        <w:autoSpaceDE w:val="0"/>
        <w:autoSpaceDN w:val="0"/>
        <w:adjustRightInd w:val="0"/>
        <w:rPr>
          <w:snapToGrid w:val="0"/>
          <w:sz w:val="22"/>
          <w:szCs w:val="22"/>
        </w:rPr>
      </w:pPr>
      <w:r w:rsidRPr="00CC4B51">
        <w:rPr>
          <w:sz w:val="22"/>
          <w:szCs w:val="22"/>
        </w:rPr>
        <w:t xml:space="preserve">Em caso de diagnóstico de tuberculose latente, deve ser iniciada </w:t>
      </w:r>
      <w:r w:rsidR="00FD757B">
        <w:rPr>
          <w:sz w:val="22"/>
          <w:szCs w:val="22"/>
        </w:rPr>
        <w:t>terapêutica apropriada de</w:t>
      </w:r>
      <w:r w:rsidR="00FD757B" w:rsidRPr="00CC4B51">
        <w:rPr>
          <w:sz w:val="22"/>
          <w:szCs w:val="22"/>
        </w:rPr>
        <w:t xml:space="preserve"> </w:t>
      </w:r>
      <w:r w:rsidRPr="00CC4B51">
        <w:rPr>
          <w:sz w:val="22"/>
          <w:szCs w:val="22"/>
        </w:rPr>
        <w:t>profilaxia anti</w:t>
      </w:r>
      <w:r w:rsidR="00FD757B">
        <w:rPr>
          <w:sz w:val="22"/>
          <w:szCs w:val="22"/>
        </w:rPr>
        <w:t>-</w:t>
      </w:r>
      <w:r w:rsidRPr="00CC4B51">
        <w:rPr>
          <w:sz w:val="22"/>
          <w:szCs w:val="22"/>
        </w:rPr>
        <w:t xml:space="preserve">tuberculose antes do início do tratamento com Humira, e de acordo com as recomendações locais. </w:t>
      </w:r>
    </w:p>
    <w:p w14:paraId="4D6CEF6E" w14:textId="77777777" w:rsidR="004462A0" w:rsidRPr="00CC4B51" w:rsidRDefault="004462A0" w:rsidP="004462A0">
      <w:pPr>
        <w:autoSpaceDE w:val="0"/>
        <w:autoSpaceDN w:val="0"/>
        <w:adjustRightInd w:val="0"/>
        <w:rPr>
          <w:sz w:val="22"/>
          <w:szCs w:val="22"/>
        </w:rPr>
      </w:pPr>
    </w:p>
    <w:p w14:paraId="672A25F3" w14:textId="77777777" w:rsidR="004462A0" w:rsidRPr="00CC4B51" w:rsidRDefault="00615769" w:rsidP="004462A0">
      <w:pPr>
        <w:autoSpaceDE w:val="0"/>
        <w:autoSpaceDN w:val="0"/>
        <w:adjustRightInd w:val="0"/>
        <w:rPr>
          <w:sz w:val="22"/>
          <w:szCs w:val="22"/>
        </w:rPr>
      </w:pPr>
      <w:r w:rsidRPr="00CC4B51">
        <w:rPr>
          <w:sz w:val="22"/>
          <w:szCs w:val="22"/>
        </w:rPr>
        <w:t>A utilização de um tratamento de profilaxia da tuberculose deve também ser considerada</w:t>
      </w:r>
      <w:r w:rsidR="00C50874">
        <w:rPr>
          <w:sz w:val="22"/>
          <w:szCs w:val="22"/>
        </w:rPr>
        <w:t>, antes do início do tratamento com Humira,</w:t>
      </w:r>
      <w:r w:rsidRPr="00CC4B51">
        <w:rPr>
          <w:sz w:val="22"/>
          <w:szCs w:val="22"/>
        </w:rPr>
        <w:t xml:space="preserve"> em doentes com vários ou significantes fatores de risco de tuberculose apesar de um teste negativo à tuberculose e em doentes com uma história de tuberculose ativa ou latente, </w:t>
      </w:r>
      <w:r w:rsidR="00C50874">
        <w:rPr>
          <w:sz w:val="22"/>
          <w:szCs w:val="22"/>
        </w:rPr>
        <w:t>nos quais não pode ser confirmado</w:t>
      </w:r>
      <w:r w:rsidRPr="00CC4B51">
        <w:rPr>
          <w:sz w:val="22"/>
          <w:szCs w:val="22"/>
        </w:rPr>
        <w:t xml:space="preserve"> um adequado</w:t>
      </w:r>
      <w:r w:rsidR="00C50874">
        <w:rPr>
          <w:sz w:val="22"/>
          <w:szCs w:val="22"/>
        </w:rPr>
        <w:t xml:space="preserve"> curso de</w:t>
      </w:r>
      <w:r w:rsidRPr="00CC4B51">
        <w:rPr>
          <w:sz w:val="22"/>
          <w:szCs w:val="22"/>
        </w:rPr>
        <w:t xml:space="preserve"> tratamento. </w:t>
      </w:r>
    </w:p>
    <w:p w14:paraId="56FED70F" w14:textId="77777777" w:rsidR="004462A0" w:rsidRPr="00CC4B51" w:rsidRDefault="004462A0" w:rsidP="004462A0">
      <w:pPr>
        <w:autoSpaceDE w:val="0"/>
        <w:autoSpaceDN w:val="0"/>
        <w:adjustRightInd w:val="0"/>
        <w:rPr>
          <w:sz w:val="22"/>
          <w:szCs w:val="22"/>
        </w:rPr>
      </w:pPr>
    </w:p>
    <w:p w14:paraId="098D36FD" w14:textId="77777777" w:rsidR="004462A0" w:rsidRPr="00CC4B51" w:rsidRDefault="00615769" w:rsidP="004462A0">
      <w:pPr>
        <w:autoSpaceDE w:val="0"/>
        <w:autoSpaceDN w:val="0"/>
        <w:adjustRightInd w:val="0"/>
        <w:rPr>
          <w:sz w:val="22"/>
          <w:szCs w:val="22"/>
        </w:rPr>
      </w:pPr>
      <w:r w:rsidRPr="00CC4B51">
        <w:rPr>
          <w:sz w:val="22"/>
          <w:szCs w:val="22"/>
        </w:rPr>
        <w:t>Apesar do tratamento profilático da tuberculose, ocorreram casos de reativação da tuberculose em doentes tratados com Humira. Alguns doentes em que o tratamento para a tuberculose ativa foi bem sucedido, voltaram a desenvolver tuberculose enquanto foram tratados com Humira.</w:t>
      </w:r>
    </w:p>
    <w:p w14:paraId="098347E7" w14:textId="77777777" w:rsidR="004462A0" w:rsidRPr="00CC4B51" w:rsidRDefault="004462A0" w:rsidP="004462A0">
      <w:pPr>
        <w:autoSpaceDE w:val="0"/>
        <w:autoSpaceDN w:val="0"/>
        <w:adjustRightInd w:val="0"/>
        <w:rPr>
          <w:sz w:val="22"/>
          <w:szCs w:val="22"/>
        </w:rPr>
      </w:pPr>
    </w:p>
    <w:p w14:paraId="0C6A210B" w14:textId="77777777" w:rsidR="004462A0" w:rsidRPr="00CC4B51" w:rsidRDefault="00615769" w:rsidP="004462A0">
      <w:pPr>
        <w:autoSpaceDE w:val="0"/>
        <w:autoSpaceDN w:val="0"/>
        <w:adjustRightInd w:val="0"/>
        <w:rPr>
          <w:b/>
          <w:i/>
          <w:sz w:val="22"/>
          <w:szCs w:val="22"/>
        </w:rPr>
      </w:pPr>
      <w:r w:rsidRPr="00CC4B51">
        <w:rPr>
          <w:sz w:val="22"/>
          <w:szCs w:val="22"/>
        </w:rPr>
        <w:t>Os doentes devem ser aconselhados a consultar o médico se ocorrerem sinais/sintomas sugestivos de uma infeção por tuberculose (por ex., tosse persistente, emagrecimento/perda de peso, febre baixa, apatia) durante ou após a terapêutica com Humira.</w:t>
      </w:r>
      <w:r w:rsidRPr="00CC4B51">
        <w:rPr>
          <w:b/>
          <w:i/>
          <w:sz w:val="22"/>
          <w:szCs w:val="22"/>
        </w:rPr>
        <w:t xml:space="preserve"> </w:t>
      </w:r>
    </w:p>
    <w:p w14:paraId="5E825858" w14:textId="77777777" w:rsidR="004462A0" w:rsidRPr="00CC4B51" w:rsidRDefault="004462A0" w:rsidP="004462A0">
      <w:pPr>
        <w:autoSpaceDE w:val="0"/>
        <w:autoSpaceDN w:val="0"/>
        <w:adjustRightInd w:val="0"/>
        <w:rPr>
          <w:sz w:val="22"/>
          <w:szCs w:val="22"/>
        </w:rPr>
      </w:pPr>
    </w:p>
    <w:p w14:paraId="49840E65" w14:textId="77777777" w:rsidR="004462A0" w:rsidRPr="00CC4B51" w:rsidRDefault="00615769" w:rsidP="004462A0">
      <w:pPr>
        <w:autoSpaceDE w:val="0"/>
        <w:autoSpaceDN w:val="0"/>
        <w:adjustRightInd w:val="0"/>
        <w:rPr>
          <w:i/>
          <w:iCs/>
          <w:sz w:val="22"/>
          <w:szCs w:val="22"/>
        </w:rPr>
      </w:pPr>
      <w:r w:rsidRPr="00CC4B51">
        <w:rPr>
          <w:i/>
          <w:iCs/>
          <w:sz w:val="22"/>
          <w:szCs w:val="22"/>
        </w:rPr>
        <w:t>Outras infeções oportunistas</w:t>
      </w:r>
    </w:p>
    <w:p w14:paraId="6A291E24" w14:textId="77777777" w:rsidR="004462A0" w:rsidRPr="00CC4B51" w:rsidRDefault="004462A0" w:rsidP="004462A0">
      <w:pPr>
        <w:autoSpaceDE w:val="0"/>
        <w:autoSpaceDN w:val="0"/>
        <w:adjustRightInd w:val="0"/>
        <w:rPr>
          <w:sz w:val="22"/>
          <w:szCs w:val="22"/>
        </w:rPr>
      </w:pPr>
    </w:p>
    <w:p w14:paraId="46764908" w14:textId="77777777" w:rsidR="004462A0" w:rsidRPr="00CC4B51" w:rsidRDefault="00615769" w:rsidP="004462A0">
      <w:pPr>
        <w:autoSpaceDE w:val="0"/>
        <w:autoSpaceDN w:val="0"/>
        <w:adjustRightInd w:val="0"/>
        <w:rPr>
          <w:sz w:val="22"/>
          <w:szCs w:val="22"/>
        </w:rPr>
      </w:pPr>
      <w:r w:rsidRPr="00CC4B51">
        <w:rPr>
          <w:sz w:val="22"/>
          <w:szCs w:val="22"/>
        </w:rPr>
        <w:t>Foram observadas infeções oportunistas, incluindo infeções fúngicas invasivas</w:t>
      </w:r>
      <w:r w:rsidR="00FD757B">
        <w:rPr>
          <w:sz w:val="22"/>
          <w:szCs w:val="22"/>
        </w:rPr>
        <w:t>,</w:t>
      </w:r>
      <w:r w:rsidRPr="00CC4B51">
        <w:rPr>
          <w:sz w:val="22"/>
          <w:szCs w:val="22"/>
        </w:rPr>
        <w:t xml:space="preserve"> em doentes tratados com Humira. Estas infeções não foram consistentemente reconhecidas em doentes tratados com antagonistas-TNF, resultando em atrasos no tratamento apropriado, por vezes com consequências fatais.</w:t>
      </w:r>
    </w:p>
    <w:p w14:paraId="42DC9EB5" w14:textId="77777777" w:rsidR="004462A0" w:rsidRPr="00CC4B51" w:rsidRDefault="004462A0" w:rsidP="004462A0">
      <w:pPr>
        <w:autoSpaceDE w:val="0"/>
        <w:autoSpaceDN w:val="0"/>
        <w:adjustRightInd w:val="0"/>
        <w:rPr>
          <w:sz w:val="22"/>
          <w:szCs w:val="22"/>
        </w:rPr>
      </w:pPr>
    </w:p>
    <w:p w14:paraId="24C167B0" w14:textId="77777777" w:rsidR="004462A0" w:rsidRPr="00CC4B51" w:rsidRDefault="00615769" w:rsidP="004462A0">
      <w:pPr>
        <w:autoSpaceDE w:val="0"/>
        <w:autoSpaceDN w:val="0"/>
        <w:adjustRightInd w:val="0"/>
        <w:rPr>
          <w:sz w:val="22"/>
          <w:szCs w:val="22"/>
        </w:rPr>
      </w:pPr>
      <w:r>
        <w:rPr>
          <w:sz w:val="22"/>
          <w:szCs w:val="22"/>
        </w:rPr>
        <w:t>Em d</w:t>
      </w:r>
      <w:r w:rsidRPr="00CC4B51">
        <w:rPr>
          <w:sz w:val="22"/>
          <w:szCs w:val="22"/>
        </w:rPr>
        <w:t xml:space="preserve">oentes que desenvolvam sinais e sintomas tais como febre, mal estar geral, perda de peso, suores, tosse, dispneia, e/ou infiltração pulmonar ou outras doenças sistémicas graves, com ou sem choque concomitante, deve suspeitar-se de uma infeção fúngica invasiva e a administração de Humira deve ser imediatamente suspensa. O diagnóstico e a administração de uma terapêutica antifúngica empírica nestes doentes devem ser feitos em consulta com um médico especialista </w:t>
      </w:r>
      <w:r>
        <w:rPr>
          <w:sz w:val="22"/>
          <w:szCs w:val="22"/>
        </w:rPr>
        <w:t>no tratamento de</w:t>
      </w:r>
      <w:r w:rsidRPr="00CC4B51">
        <w:rPr>
          <w:sz w:val="22"/>
          <w:szCs w:val="22"/>
        </w:rPr>
        <w:t xml:space="preserve"> doentes com infeção fúngica inv</w:t>
      </w:r>
      <w:r w:rsidRPr="00CC4B51">
        <w:rPr>
          <w:sz w:val="22"/>
          <w:szCs w:val="22"/>
        </w:rPr>
        <w:t>asiva.</w:t>
      </w:r>
    </w:p>
    <w:p w14:paraId="2AB38DED" w14:textId="77777777" w:rsidR="004462A0" w:rsidRPr="00CC4B51" w:rsidRDefault="004462A0" w:rsidP="004462A0">
      <w:pPr>
        <w:autoSpaceDE w:val="0"/>
        <w:autoSpaceDN w:val="0"/>
        <w:adjustRightInd w:val="0"/>
        <w:rPr>
          <w:sz w:val="22"/>
          <w:szCs w:val="22"/>
        </w:rPr>
      </w:pPr>
    </w:p>
    <w:p w14:paraId="45587F69" w14:textId="77777777" w:rsidR="004462A0" w:rsidRPr="00CC4B51" w:rsidRDefault="00615769" w:rsidP="004462A0">
      <w:pPr>
        <w:autoSpaceDE w:val="0"/>
        <w:autoSpaceDN w:val="0"/>
        <w:adjustRightInd w:val="0"/>
        <w:outlineLvl w:val="8"/>
        <w:rPr>
          <w:sz w:val="22"/>
          <w:szCs w:val="22"/>
          <w:u w:val="single"/>
        </w:rPr>
      </w:pPr>
      <w:r w:rsidRPr="00CC4B51">
        <w:rPr>
          <w:sz w:val="22"/>
          <w:szCs w:val="22"/>
          <w:u w:val="single"/>
        </w:rPr>
        <w:t>Reativação da hepatite B</w:t>
      </w:r>
    </w:p>
    <w:p w14:paraId="6F1CAF77" w14:textId="77777777" w:rsidR="004462A0" w:rsidRPr="00CC4B51" w:rsidRDefault="004462A0" w:rsidP="004462A0">
      <w:pPr>
        <w:autoSpaceDE w:val="0"/>
        <w:autoSpaceDN w:val="0"/>
        <w:adjustRightInd w:val="0"/>
        <w:rPr>
          <w:sz w:val="22"/>
          <w:szCs w:val="22"/>
          <w:u w:val="single"/>
        </w:rPr>
      </w:pPr>
    </w:p>
    <w:p w14:paraId="3A845DA5" w14:textId="77777777" w:rsidR="004462A0" w:rsidRPr="00CC4B51" w:rsidRDefault="00615769" w:rsidP="004462A0">
      <w:pPr>
        <w:autoSpaceDE w:val="0"/>
        <w:autoSpaceDN w:val="0"/>
        <w:adjustRightInd w:val="0"/>
        <w:rPr>
          <w:sz w:val="22"/>
          <w:szCs w:val="22"/>
        </w:rPr>
      </w:pPr>
      <w:r w:rsidRPr="00CC4B51">
        <w:rPr>
          <w:sz w:val="22"/>
          <w:szCs w:val="22"/>
        </w:rPr>
        <w:t>Ocorreu reativação de hepatite B nos doentes tratados com um antagonista</w:t>
      </w:r>
      <w:r w:rsidRPr="00CC4B51">
        <w:rPr>
          <w:sz w:val="22"/>
          <w:szCs w:val="22"/>
        </w:rPr>
        <w:noBreakHyphen/>
        <w:t>TNF, incluindo Humira</w:t>
      </w:r>
      <w:r w:rsidR="00C50874">
        <w:rPr>
          <w:sz w:val="22"/>
          <w:szCs w:val="22"/>
        </w:rPr>
        <w:t>,</w:t>
      </w:r>
      <w:r w:rsidRPr="00CC4B51">
        <w:rPr>
          <w:sz w:val="22"/>
          <w:szCs w:val="22"/>
        </w:rPr>
        <w:t xml:space="preserve"> e que são portadores crónicos d</w:t>
      </w:r>
      <w:r w:rsidR="00AF502E">
        <w:rPr>
          <w:sz w:val="22"/>
          <w:szCs w:val="22"/>
        </w:rPr>
        <w:t>este</w:t>
      </w:r>
      <w:r w:rsidRPr="00CC4B51">
        <w:rPr>
          <w:sz w:val="22"/>
          <w:szCs w:val="22"/>
        </w:rPr>
        <w:t xml:space="preserve"> vírus (por ex., antigénio de superfície positivo). Alguns casos foram fatais. Antes do início do tratamento com Humira os doentes devem ser avaliados para uma possível infeção de HBV. Para os doentes com resultado positivo para a infeção da hepatite B, recomenda-se a consulta de um médico com experiência no tratamento da hepatite B. </w:t>
      </w:r>
    </w:p>
    <w:p w14:paraId="03094EB3" w14:textId="77777777" w:rsidR="004462A0" w:rsidRPr="00CC4B51" w:rsidRDefault="004462A0" w:rsidP="004462A0">
      <w:pPr>
        <w:autoSpaceDE w:val="0"/>
        <w:autoSpaceDN w:val="0"/>
        <w:adjustRightInd w:val="0"/>
        <w:rPr>
          <w:sz w:val="22"/>
          <w:szCs w:val="22"/>
        </w:rPr>
      </w:pPr>
    </w:p>
    <w:p w14:paraId="171CCEA5" w14:textId="77777777" w:rsidR="004462A0" w:rsidRPr="00CC4B51" w:rsidRDefault="00615769" w:rsidP="004462A0">
      <w:pPr>
        <w:autoSpaceDE w:val="0"/>
        <w:autoSpaceDN w:val="0"/>
        <w:adjustRightInd w:val="0"/>
        <w:rPr>
          <w:sz w:val="22"/>
          <w:szCs w:val="22"/>
        </w:rPr>
      </w:pPr>
      <w:r w:rsidRPr="00CC4B51">
        <w:rPr>
          <w:sz w:val="22"/>
          <w:szCs w:val="22"/>
        </w:rPr>
        <w:t>Portadores de HBV que requerem tratamento com Humira devem ser cuidadosamente monitorizados relativamente aos sinais e sintomas de uma infeção HBV ativa durante o tratamento e alguns meses depois de terminada a terapêutica. Não estão disponíveis dados adequados relativos ao tratamento de doentes portadores de HBV, com terapêutica antiviral em associação com antagonistas TNF, na prevenção de reativação de HBV. Em doentes que desenvolvem reativação de HBV, Humira deve ser suspenso e deve ser iniciada uma tera</w:t>
      </w:r>
      <w:r w:rsidRPr="00CC4B51">
        <w:rPr>
          <w:sz w:val="22"/>
          <w:szCs w:val="22"/>
        </w:rPr>
        <w:t>pêutica antiviral eficaz com tratamento de suporte adequado.</w:t>
      </w:r>
    </w:p>
    <w:p w14:paraId="47304A76" w14:textId="77777777" w:rsidR="004462A0" w:rsidRPr="00CC4B51" w:rsidRDefault="004462A0" w:rsidP="004462A0">
      <w:pPr>
        <w:autoSpaceDE w:val="0"/>
        <w:autoSpaceDN w:val="0"/>
        <w:adjustRightInd w:val="0"/>
        <w:rPr>
          <w:sz w:val="22"/>
          <w:szCs w:val="22"/>
        </w:rPr>
      </w:pPr>
    </w:p>
    <w:p w14:paraId="22A57C64" w14:textId="77777777" w:rsidR="004462A0" w:rsidRPr="00CC4B51" w:rsidRDefault="00615769" w:rsidP="004462A0">
      <w:pPr>
        <w:autoSpaceDE w:val="0"/>
        <w:autoSpaceDN w:val="0"/>
        <w:adjustRightInd w:val="0"/>
        <w:rPr>
          <w:sz w:val="22"/>
          <w:szCs w:val="22"/>
          <w:u w:val="single"/>
        </w:rPr>
      </w:pPr>
      <w:r w:rsidRPr="00CC4B51">
        <w:rPr>
          <w:sz w:val="22"/>
          <w:szCs w:val="22"/>
          <w:u w:val="single"/>
        </w:rPr>
        <w:t>Efeitos neurológicos</w:t>
      </w:r>
    </w:p>
    <w:p w14:paraId="41A1D4E8" w14:textId="77777777" w:rsidR="004462A0" w:rsidRPr="00CC4B51" w:rsidRDefault="004462A0" w:rsidP="004462A0">
      <w:pPr>
        <w:autoSpaceDE w:val="0"/>
        <w:autoSpaceDN w:val="0"/>
        <w:adjustRightInd w:val="0"/>
        <w:rPr>
          <w:sz w:val="22"/>
          <w:szCs w:val="22"/>
          <w:u w:val="single"/>
        </w:rPr>
      </w:pPr>
    </w:p>
    <w:p w14:paraId="7871942E" w14:textId="77777777" w:rsidR="004462A0" w:rsidRPr="00CC4B51" w:rsidRDefault="00615769" w:rsidP="004462A0">
      <w:pPr>
        <w:autoSpaceDE w:val="0"/>
        <w:autoSpaceDN w:val="0"/>
        <w:adjustRightInd w:val="0"/>
        <w:rPr>
          <w:sz w:val="22"/>
          <w:szCs w:val="22"/>
        </w:rPr>
      </w:pPr>
      <w:r w:rsidRPr="00CC4B51">
        <w:rPr>
          <w:sz w:val="22"/>
          <w:szCs w:val="22"/>
        </w:rPr>
        <w:t>Os antagonistas</w:t>
      </w:r>
      <w:r w:rsidRPr="00CC4B51">
        <w:rPr>
          <w:sz w:val="22"/>
          <w:szCs w:val="22"/>
        </w:rPr>
        <w:noBreakHyphen/>
        <w:t>TNF, incluindo Humira, foram associados em casos raros com o reaparecimento ou com a exacerbação de sintomatologia clínica e/ou evidência radiográfica de doença desmielinizante do sistema nervoso central</w:t>
      </w:r>
      <w:r w:rsidR="00FD757B">
        <w:rPr>
          <w:sz w:val="22"/>
          <w:szCs w:val="22"/>
        </w:rPr>
        <w:t>,</w:t>
      </w:r>
      <w:r w:rsidRPr="00CC4B51">
        <w:rPr>
          <w:sz w:val="22"/>
          <w:szCs w:val="22"/>
        </w:rPr>
        <w:t xml:space="preserve"> incluindo esclerose múltipla e neurite ótica</w:t>
      </w:r>
      <w:r w:rsidR="00FD757B">
        <w:rPr>
          <w:sz w:val="22"/>
          <w:szCs w:val="22"/>
        </w:rPr>
        <w:t>,</w:t>
      </w:r>
      <w:r w:rsidRPr="00CC4B51">
        <w:rPr>
          <w:sz w:val="22"/>
          <w:szCs w:val="22"/>
        </w:rPr>
        <w:t xml:space="preserve"> e doença desmielinizante periférica, incluindo síndrome de Guillain-Barré. O médico prescritor deve ter precaução ao considerar o uso de Humira em doentes com patologias desmielinizantes do sistema nervoso central ou periférico pré-existentes ou de início rece</w:t>
      </w:r>
      <w:r w:rsidRPr="00CC4B51">
        <w:rPr>
          <w:sz w:val="22"/>
          <w:szCs w:val="22"/>
        </w:rPr>
        <w:t>nte; a descontinuação da terapêutica com Humira deverá ser considerada em doentes que desenvolvam algumas destas patologias. Existe uma associação conhecida entre a uveíte intermédia e as doenças desmielinizantes do sistema nervoso central. A avaliação neurológica deve ser efetuada em doentes que apresentem uveíte intermédia não infecciosa antes do início do tratamento com Humira e regularmente durante o tratamento, para avaliação de doenças desmielinizantes do sistema nervoso central pré-existentes ou em d</w:t>
      </w:r>
      <w:r w:rsidRPr="00CC4B51">
        <w:rPr>
          <w:sz w:val="22"/>
          <w:szCs w:val="22"/>
        </w:rPr>
        <w:t xml:space="preserve">esenvolvimento. </w:t>
      </w:r>
    </w:p>
    <w:p w14:paraId="384EA8FD" w14:textId="77777777" w:rsidR="004462A0" w:rsidRPr="00CC4B51" w:rsidRDefault="004462A0" w:rsidP="004462A0">
      <w:pPr>
        <w:autoSpaceDE w:val="0"/>
        <w:autoSpaceDN w:val="0"/>
        <w:adjustRightInd w:val="0"/>
        <w:rPr>
          <w:sz w:val="22"/>
          <w:szCs w:val="22"/>
          <w:u w:val="single"/>
        </w:rPr>
      </w:pPr>
    </w:p>
    <w:p w14:paraId="3CB5CA8D" w14:textId="77777777" w:rsidR="004462A0" w:rsidRPr="00CC4B51" w:rsidRDefault="00615769" w:rsidP="004462A0">
      <w:pPr>
        <w:rPr>
          <w:sz w:val="22"/>
          <w:szCs w:val="22"/>
          <w:u w:val="single"/>
        </w:rPr>
      </w:pPr>
      <w:r w:rsidRPr="00CC4B51">
        <w:rPr>
          <w:sz w:val="22"/>
          <w:szCs w:val="22"/>
          <w:u w:val="single"/>
        </w:rPr>
        <w:t>Reações alérgicas</w:t>
      </w:r>
    </w:p>
    <w:p w14:paraId="2528587E" w14:textId="77777777" w:rsidR="004462A0" w:rsidRPr="00CC4B51" w:rsidRDefault="004462A0" w:rsidP="004462A0">
      <w:pPr>
        <w:rPr>
          <w:sz w:val="22"/>
          <w:szCs w:val="22"/>
          <w:u w:val="single"/>
        </w:rPr>
      </w:pPr>
    </w:p>
    <w:p w14:paraId="17D7A860" w14:textId="77777777" w:rsidR="004462A0" w:rsidRPr="00CC4B51" w:rsidRDefault="00615769" w:rsidP="004462A0">
      <w:pPr>
        <w:autoSpaceDE w:val="0"/>
        <w:autoSpaceDN w:val="0"/>
        <w:adjustRightInd w:val="0"/>
        <w:rPr>
          <w:sz w:val="22"/>
          <w:szCs w:val="22"/>
        </w:rPr>
      </w:pPr>
      <w:r w:rsidRPr="00CC4B51">
        <w:rPr>
          <w:sz w:val="22"/>
          <w:szCs w:val="22"/>
        </w:rPr>
        <w:t>No decurso dos ensaios clínicos foram raras as reações alérgicas graves associadas a Humira. No decurso dos ensaios clínicos foram pouco frequentes os casos de reações alérgicas não graves associadas a Humira. Foram notificados casos de reações alérgicas graves, incluindo anafilaxia, associadas à administração de Humira. Caso se verifique uma reação anafilática ou outra reação alérgica grave, deve suspender-se imediatamente a administração de Humira e instituir</w:t>
      </w:r>
      <w:r w:rsidR="00BF2F9C">
        <w:rPr>
          <w:sz w:val="22"/>
          <w:szCs w:val="22"/>
        </w:rPr>
        <w:t>-se</w:t>
      </w:r>
      <w:r w:rsidRPr="00CC4B51">
        <w:rPr>
          <w:sz w:val="22"/>
          <w:szCs w:val="22"/>
        </w:rPr>
        <w:t xml:space="preserve"> uma terapêutica apropriada. </w:t>
      </w:r>
    </w:p>
    <w:p w14:paraId="4763331B" w14:textId="77777777" w:rsidR="004462A0" w:rsidRPr="00CC4B51" w:rsidRDefault="004462A0" w:rsidP="004462A0">
      <w:pPr>
        <w:autoSpaceDE w:val="0"/>
        <w:autoSpaceDN w:val="0"/>
        <w:adjustRightInd w:val="0"/>
        <w:rPr>
          <w:sz w:val="22"/>
          <w:szCs w:val="22"/>
        </w:rPr>
      </w:pPr>
    </w:p>
    <w:p w14:paraId="43AC708B" w14:textId="77777777" w:rsidR="004462A0" w:rsidRPr="00CC4B51" w:rsidRDefault="00615769" w:rsidP="002917C9">
      <w:pPr>
        <w:keepNext/>
        <w:autoSpaceDE w:val="0"/>
        <w:autoSpaceDN w:val="0"/>
        <w:adjustRightInd w:val="0"/>
        <w:rPr>
          <w:sz w:val="22"/>
          <w:szCs w:val="22"/>
          <w:u w:val="single"/>
        </w:rPr>
      </w:pPr>
      <w:r w:rsidRPr="00CC4B51">
        <w:rPr>
          <w:sz w:val="22"/>
          <w:szCs w:val="22"/>
          <w:u w:val="single"/>
        </w:rPr>
        <w:t>Imunossupressão</w:t>
      </w:r>
    </w:p>
    <w:p w14:paraId="49666740" w14:textId="77777777" w:rsidR="004462A0" w:rsidRPr="00CC4B51" w:rsidRDefault="004462A0" w:rsidP="002917C9">
      <w:pPr>
        <w:keepNext/>
        <w:autoSpaceDE w:val="0"/>
        <w:autoSpaceDN w:val="0"/>
        <w:adjustRightInd w:val="0"/>
        <w:rPr>
          <w:sz w:val="22"/>
          <w:szCs w:val="22"/>
          <w:u w:val="single"/>
        </w:rPr>
      </w:pPr>
    </w:p>
    <w:p w14:paraId="7893EB85" w14:textId="77777777" w:rsidR="004462A0" w:rsidRPr="00CC4B51" w:rsidRDefault="00615769" w:rsidP="002917C9">
      <w:pPr>
        <w:keepNext/>
        <w:rPr>
          <w:sz w:val="22"/>
          <w:szCs w:val="22"/>
        </w:rPr>
      </w:pPr>
      <w:r w:rsidRPr="00CC4B51">
        <w:rPr>
          <w:sz w:val="22"/>
          <w:szCs w:val="22"/>
        </w:rPr>
        <w:t>Num estudo realizado em 64 doentes com artrite reumatoide tratados com Humira, não se observou qualquer evidência de redução da hipersensibilidade de tipo tardio, redução dos níveis de imunoglobulina ou alteração do número de linfócitos efetores T, B, células NK, monócitos/macrófagos e neutrófilos.</w:t>
      </w:r>
    </w:p>
    <w:p w14:paraId="5DBF5562" w14:textId="77777777" w:rsidR="004462A0" w:rsidRPr="00CC4B51" w:rsidRDefault="004462A0" w:rsidP="004462A0">
      <w:pPr>
        <w:tabs>
          <w:tab w:val="left" w:pos="562"/>
        </w:tabs>
        <w:suppressAutoHyphens/>
        <w:rPr>
          <w:sz w:val="22"/>
          <w:szCs w:val="22"/>
          <w:u w:val="single"/>
        </w:rPr>
      </w:pPr>
    </w:p>
    <w:p w14:paraId="103B8B6A" w14:textId="77777777" w:rsidR="004462A0" w:rsidRPr="00CC4B51" w:rsidRDefault="00615769" w:rsidP="004462A0">
      <w:pPr>
        <w:tabs>
          <w:tab w:val="left" w:pos="562"/>
        </w:tabs>
        <w:suppressAutoHyphens/>
        <w:rPr>
          <w:sz w:val="22"/>
          <w:szCs w:val="22"/>
          <w:u w:val="single"/>
        </w:rPr>
      </w:pPr>
      <w:r>
        <w:rPr>
          <w:sz w:val="22"/>
          <w:szCs w:val="22"/>
          <w:u w:val="single"/>
        </w:rPr>
        <w:t>Neoplasias e d</w:t>
      </w:r>
      <w:r w:rsidRPr="00CC4B51">
        <w:rPr>
          <w:sz w:val="22"/>
          <w:szCs w:val="22"/>
          <w:u w:val="single"/>
        </w:rPr>
        <w:t>oenças linfoproliferativas</w:t>
      </w:r>
    </w:p>
    <w:p w14:paraId="576009D1" w14:textId="77777777" w:rsidR="004462A0" w:rsidRPr="00CC4B51" w:rsidRDefault="004462A0" w:rsidP="004462A0">
      <w:pPr>
        <w:rPr>
          <w:sz w:val="22"/>
          <w:szCs w:val="22"/>
        </w:rPr>
      </w:pPr>
    </w:p>
    <w:p w14:paraId="1A658C7E" w14:textId="77777777" w:rsidR="004462A0" w:rsidRPr="00CC4B51" w:rsidRDefault="00615769" w:rsidP="004462A0">
      <w:pPr>
        <w:rPr>
          <w:sz w:val="22"/>
          <w:szCs w:val="22"/>
        </w:rPr>
      </w:pPr>
      <w:r w:rsidRPr="00CC4B51">
        <w:rPr>
          <w:sz w:val="22"/>
          <w:szCs w:val="22"/>
        </w:rPr>
        <w:t>Em partes controladas de ensaios clínicos de antagonistas</w:t>
      </w:r>
      <w:r w:rsidRPr="00CC4B51">
        <w:rPr>
          <w:sz w:val="22"/>
          <w:szCs w:val="22"/>
        </w:rPr>
        <w:noBreakHyphen/>
        <w:t>TNF, foram observados mais casos de neoplasias incluindo linfomas em doentes tratados com antagonistas</w:t>
      </w:r>
      <w:r w:rsidRPr="00CC4B51">
        <w:rPr>
          <w:sz w:val="22"/>
          <w:szCs w:val="22"/>
        </w:rPr>
        <w:noBreakHyphen/>
        <w:t>TNF do que em doentes controlo. Contudo, a ocorrência foi rara. Após comercialização, foram notificados casos de leucemia em doentes tratados com um antagonista</w:t>
      </w:r>
      <w:r w:rsidRPr="00CC4B51">
        <w:rPr>
          <w:sz w:val="22"/>
          <w:szCs w:val="22"/>
        </w:rPr>
        <w:noBreakHyphen/>
        <w:t>TNF. Há um risco aumentado de linfoma e leucemia em doentes com artrite reumatoide com doença inflamatória de longa data e muito ativa, o que complica a estimativa do risco. De acordo com o conhecimento atual, não pode ser excluído o possível risc</w:t>
      </w:r>
      <w:r w:rsidRPr="00CC4B51">
        <w:rPr>
          <w:sz w:val="22"/>
          <w:szCs w:val="22"/>
        </w:rPr>
        <w:t>o de desenvolvimento de linfomas, leucemias e outras neoplasias em doentes tratados com um antagonista</w:t>
      </w:r>
      <w:r w:rsidRPr="00CC4B51">
        <w:rPr>
          <w:sz w:val="22"/>
          <w:szCs w:val="22"/>
        </w:rPr>
        <w:noBreakHyphen/>
        <w:t>TNF.</w:t>
      </w:r>
    </w:p>
    <w:p w14:paraId="44CB7106" w14:textId="77777777" w:rsidR="004462A0" w:rsidRPr="00CC4B51" w:rsidRDefault="004462A0" w:rsidP="004462A0">
      <w:pPr>
        <w:rPr>
          <w:sz w:val="22"/>
          <w:szCs w:val="22"/>
        </w:rPr>
      </w:pPr>
    </w:p>
    <w:p w14:paraId="4BBBD64F" w14:textId="77777777" w:rsidR="004462A0" w:rsidRPr="00CC4B51" w:rsidRDefault="00615769" w:rsidP="004462A0">
      <w:pPr>
        <w:rPr>
          <w:sz w:val="22"/>
          <w:szCs w:val="22"/>
        </w:rPr>
      </w:pPr>
      <w:r w:rsidRPr="00CC4B51">
        <w:rPr>
          <w:sz w:val="22"/>
          <w:szCs w:val="22"/>
        </w:rPr>
        <w:t>No período pós-comercialização, foram notificadas neoplasias malignas, algumas fatais, em crianças, adolescentes e jovens adultos (até 22 anos de idade) tratados com antagonistas</w:t>
      </w:r>
      <w:r w:rsidRPr="00CC4B51">
        <w:rPr>
          <w:sz w:val="22"/>
          <w:szCs w:val="22"/>
        </w:rPr>
        <w:noBreakHyphen/>
        <w:t>TNF, incluindo adalimumab (início de terapia com idade ≤ 18 anos). Aproximadamente metade dos casos foram linfomas. Os outros casos representaram uma variedade de diferentes neoplasias e incluíram neoplasias raras, habitualmente associadas com imunossupressão. Não pode ser excluído o risco de desenvolvimento de neoplasias em crianças e adolescentes tratados com antagonistas</w:t>
      </w:r>
      <w:r w:rsidRPr="00CC4B51">
        <w:rPr>
          <w:sz w:val="22"/>
          <w:szCs w:val="22"/>
        </w:rPr>
        <w:noBreakHyphen/>
        <w:t>TNF.</w:t>
      </w:r>
    </w:p>
    <w:p w14:paraId="00197A75" w14:textId="77777777" w:rsidR="004462A0" w:rsidRPr="00CC4B51" w:rsidRDefault="004462A0" w:rsidP="004462A0">
      <w:pPr>
        <w:rPr>
          <w:sz w:val="22"/>
          <w:szCs w:val="22"/>
        </w:rPr>
      </w:pPr>
    </w:p>
    <w:p w14:paraId="6C7B813D" w14:textId="77777777" w:rsidR="004462A0" w:rsidRPr="00CC4B51" w:rsidRDefault="00615769" w:rsidP="004462A0">
      <w:pPr>
        <w:rPr>
          <w:sz w:val="22"/>
          <w:szCs w:val="22"/>
        </w:rPr>
      </w:pPr>
      <w:r w:rsidRPr="00CC4B51">
        <w:rPr>
          <w:sz w:val="22"/>
          <w:szCs w:val="22"/>
        </w:rPr>
        <w:t>Após a comercialização, foram notificados casos raros de linfoma hepatoesplénico de linfócitos T em doentes tratados com adalimumab. Este tipo raro de linfoma de linfócitos T tem uma progressão muito agressiva e geralmente fatal. Alguns destes linfomas hepatoesplénicos de linfócitos T com Humira ocorreram em doentes adultos jovens com terapêutica concomitante com azatioprina ou 6-mercaptopurina, utilizados para a doença inflamatória intestinal. O risco potencial com a associação de azatioprina ou 6-mercapto</w:t>
      </w:r>
      <w:r w:rsidRPr="00CC4B51">
        <w:rPr>
          <w:sz w:val="22"/>
          <w:szCs w:val="22"/>
        </w:rPr>
        <w:t xml:space="preserve">purina e Humira deve ser cuidadosamente considerado. O risco de desenvolvimento de linfoma hepatoesplénico de </w:t>
      </w:r>
      <w:r w:rsidR="00D47117">
        <w:rPr>
          <w:sz w:val="22"/>
          <w:szCs w:val="22"/>
        </w:rPr>
        <w:t>células</w:t>
      </w:r>
      <w:r w:rsidR="00D47117" w:rsidRPr="00CC4B51">
        <w:rPr>
          <w:sz w:val="22"/>
          <w:szCs w:val="22"/>
        </w:rPr>
        <w:t xml:space="preserve"> </w:t>
      </w:r>
      <w:r w:rsidRPr="00CC4B51">
        <w:rPr>
          <w:sz w:val="22"/>
          <w:szCs w:val="22"/>
        </w:rPr>
        <w:t>T em doentes que recebam tratamento com Humira não pode ser excluído (ver secção 4.8).</w:t>
      </w:r>
    </w:p>
    <w:p w14:paraId="5919FDD7" w14:textId="77777777" w:rsidR="004462A0" w:rsidRPr="00CC4B51" w:rsidRDefault="004462A0" w:rsidP="004462A0">
      <w:pPr>
        <w:rPr>
          <w:sz w:val="22"/>
          <w:szCs w:val="22"/>
        </w:rPr>
      </w:pPr>
    </w:p>
    <w:p w14:paraId="552C1252" w14:textId="77777777" w:rsidR="004462A0" w:rsidRPr="00CC4B51" w:rsidRDefault="00615769" w:rsidP="004462A0">
      <w:pPr>
        <w:rPr>
          <w:sz w:val="22"/>
          <w:szCs w:val="22"/>
        </w:rPr>
      </w:pPr>
      <w:r w:rsidRPr="00CC4B51">
        <w:rPr>
          <w:sz w:val="22"/>
          <w:szCs w:val="22"/>
        </w:rPr>
        <w:t>Não foram efetuados estudos em doentes com história de neoplasias ou nos quais o tratamento com Humira foi continuado após o desenvolvimento de neoplasias. Deste modo</w:t>
      </w:r>
      <w:r w:rsidR="00D47117">
        <w:rPr>
          <w:sz w:val="22"/>
          <w:szCs w:val="22"/>
        </w:rPr>
        <w:t>,</w:t>
      </w:r>
      <w:r w:rsidRPr="00CC4B51">
        <w:rPr>
          <w:sz w:val="22"/>
          <w:szCs w:val="22"/>
        </w:rPr>
        <w:t xml:space="preserve"> deve-se </w:t>
      </w:r>
      <w:r w:rsidR="00D47117">
        <w:rPr>
          <w:sz w:val="22"/>
          <w:szCs w:val="22"/>
        </w:rPr>
        <w:t>exercer</w:t>
      </w:r>
      <w:r w:rsidRPr="00CC4B51">
        <w:rPr>
          <w:sz w:val="22"/>
          <w:szCs w:val="22"/>
        </w:rPr>
        <w:t xml:space="preserve"> precaução adicional ao considerar o tratamento com Humira nestes doentes (ver secção 4.8).</w:t>
      </w:r>
    </w:p>
    <w:p w14:paraId="16C7BF3D" w14:textId="77777777" w:rsidR="004462A0" w:rsidRPr="00CC4B51" w:rsidRDefault="004462A0" w:rsidP="004462A0">
      <w:pPr>
        <w:rPr>
          <w:sz w:val="22"/>
          <w:szCs w:val="22"/>
        </w:rPr>
      </w:pPr>
    </w:p>
    <w:p w14:paraId="08004CC6" w14:textId="77777777" w:rsidR="004462A0" w:rsidRPr="00CC4B51" w:rsidRDefault="00615769" w:rsidP="004462A0">
      <w:pPr>
        <w:autoSpaceDE w:val="0"/>
        <w:autoSpaceDN w:val="0"/>
        <w:adjustRightInd w:val="0"/>
        <w:rPr>
          <w:sz w:val="22"/>
          <w:szCs w:val="22"/>
        </w:rPr>
      </w:pPr>
      <w:r w:rsidRPr="00CC4B51">
        <w:rPr>
          <w:sz w:val="22"/>
          <w:szCs w:val="22"/>
        </w:rPr>
        <w:t>Todos os doentes, e em particular os doentes com história clínica de terapêutica imunossupressora prolongada ou nos doentes com psoríase com uma história de tratamento por PUVA, devem ser avaliados relativamente a neoplasias cutâneas não melanomas, antes e durante o tratamento com Humira. Melanoma e carcinoma das células de Merkel foram também notificad</w:t>
      </w:r>
      <w:r w:rsidR="00D47117">
        <w:rPr>
          <w:sz w:val="22"/>
          <w:szCs w:val="22"/>
        </w:rPr>
        <w:t>o</w:t>
      </w:r>
      <w:r w:rsidRPr="00CC4B51">
        <w:rPr>
          <w:sz w:val="22"/>
          <w:szCs w:val="22"/>
        </w:rPr>
        <w:t>s em doentes tratados com antagonistas-TNF</w:t>
      </w:r>
      <w:r w:rsidR="00D47117">
        <w:rPr>
          <w:sz w:val="22"/>
          <w:szCs w:val="22"/>
        </w:rPr>
        <w:t>,</w:t>
      </w:r>
      <w:r w:rsidRPr="00CC4B51">
        <w:rPr>
          <w:sz w:val="22"/>
          <w:szCs w:val="22"/>
        </w:rPr>
        <w:t xml:space="preserve"> incluindo adalimumab (ver secção 4.8).</w:t>
      </w:r>
    </w:p>
    <w:p w14:paraId="0E8DF198" w14:textId="77777777" w:rsidR="004462A0" w:rsidRPr="00CC4B51" w:rsidRDefault="004462A0" w:rsidP="004462A0">
      <w:pPr>
        <w:autoSpaceDE w:val="0"/>
        <w:autoSpaceDN w:val="0"/>
        <w:adjustRightInd w:val="0"/>
        <w:rPr>
          <w:sz w:val="22"/>
          <w:szCs w:val="22"/>
          <w:u w:val="single"/>
        </w:rPr>
      </w:pPr>
    </w:p>
    <w:p w14:paraId="767A0764" w14:textId="77777777" w:rsidR="004462A0" w:rsidRPr="00CC4B51" w:rsidRDefault="00615769" w:rsidP="004462A0">
      <w:pPr>
        <w:autoSpaceDE w:val="0"/>
        <w:autoSpaceDN w:val="0"/>
        <w:adjustRightInd w:val="0"/>
        <w:rPr>
          <w:sz w:val="22"/>
          <w:szCs w:val="22"/>
        </w:rPr>
      </w:pPr>
      <w:r w:rsidRPr="00CC4B51">
        <w:rPr>
          <w:sz w:val="22"/>
          <w:szCs w:val="22"/>
        </w:rPr>
        <w:t xml:space="preserve">Num ensaio clínico exploratório realizado para avaliar o uso de um outro antagonista-TNF, infliximab, em doentes com doença pulmonar </w:t>
      </w:r>
      <w:r w:rsidR="00D47117" w:rsidRPr="00CC4B51">
        <w:rPr>
          <w:sz w:val="22"/>
          <w:szCs w:val="22"/>
        </w:rPr>
        <w:t xml:space="preserve">obstrutiva </w:t>
      </w:r>
      <w:r w:rsidRPr="00CC4B51">
        <w:rPr>
          <w:sz w:val="22"/>
          <w:szCs w:val="22"/>
        </w:rPr>
        <w:t>crónica (DPO</w:t>
      </w:r>
      <w:r w:rsidR="00D47117">
        <w:rPr>
          <w:sz w:val="22"/>
          <w:szCs w:val="22"/>
        </w:rPr>
        <w:t>C</w:t>
      </w:r>
      <w:r w:rsidRPr="00CC4B51">
        <w:rPr>
          <w:sz w:val="22"/>
          <w:szCs w:val="22"/>
        </w:rPr>
        <w:t>) moderada a grave, foram notificadas mais doenças malignas, principalmente nos pulmões ou cabeça e pescoço, no grupo de doentes tratados com infliximab do que no grupo controlo de doentes. Todos os doentes tinham antecedentes de tabagismo intenso. Assim, devem ser tomadas precauções quando for usado um anti-TNF em doentes com DPO</w:t>
      </w:r>
      <w:r w:rsidR="00D47117">
        <w:rPr>
          <w:sz w:val="22"/>
          <w:szCs w:val="22"/>
        </w:rPr>
        <w:t>C</w:t>
      </w:r>
      <w:r w:rsidRPr="00CC4B51">
        <w:rPr>
          <w:sz w:val="22"/>
          <w:szCs w:val="22"/>
        </w:rPr>
        <w:t>, bem como em doentes com risco aumentado de doenças malignas devido a tabagismo intenso.</w:t>
      </w:r>
    </w:p>
    <w:p w14:paraId="427A89DA" w14:textId="77777777" w:rsidR="004462A0" w:rsidRPr="00CC4B51" w:rsidRDefault="004462A0" w:rsidP="004462A0">
      <w:pPr>
        <w:autoSpaceDE w:val="0"/>
        <w:autoSpaceDN w:val="0"/>
        <w:adjustRightInd w:val="0"/>
        <w:rPr>
          <w:sz w:val="22"/>
          <w:szCs w:val="22"/>
          <w:lang w:eastAsia="pt-PT"/>
        </w:rPr>
      </w:pPr>
    </w:p>
    <w:p w14:paraId="72075A37" w14:textId="77777777" w:rsidR="004462A0" w:rsidRPr="00CC4B51" w:rsidRDefault="00615769" w:rsidP="004462A0">
      <w:pPr>
        <w:autoSpaceDE w:val="0"/>
        <w:autoSpaceDN w:val="0"/>
        <w:adjustRightInd w:val="0"/>
        <w:rPr>
          <w:sz w:val="22"/>
          <w:szCs w:val="22"/>
          <w:lang w:eastAsia="pt-PT"/>
        </w:rPr>
      </w:pPr>
      <w:r w:rsidRPr="00CC4B51">
        <w:rPr>
          <w:sz w:val="22"/>
          <w:szCs w:val="22"/>
          <w:lang w:eastAsia="pt-PT"/>
        </w:rPr>
        <w:t xml:space="preserve">De acordo com os dados atuais, desconhece-se se o tratamento com </w:t>
      </w:r>
      <w:r w:rsidRPr="00CC4B51">
        <w:rPr>
          <w:sz w:val="22"/>
          <w:szCs w:val="22"/>
        </w:rPr>
        <w:t>adalimumab</w:t>
      </w:r>
      <w:r w:rsidRPr="00CC4B51">
        <w:rPr>
          <w:sz w:val="22"/>
          <w:szCs w:val="22"/>
          <w:lang w:eastAsia="pt-PT"/>
        </w:rPr>
        <w:t xml:space="preserve"> influencia o risco de desenvolvimento de displasia ou carcinoma do cólon</w:t>
      </w:r>
      <w:r w:rsidRPr="00CC4B51">
        <w:rPr>
          <w:sz w:val="22"/>
          <w:szCs w:val="22"/>
        </w:rPr>
        <w:t xml:space="preserve">. Todos os doentes com colite ulcerosa com risco aumentado de displasia ou carcinoma do cólon (por exemplo, doentes com colite ulcerosa </w:t>
      </w:r>
      <w:r w:rsidRPr="00CC4B51">
        <w:rPr>
          <w:sz w:val="22"/>
          <w:szCs w:val="22"/>
          <w:lang w:eastAsia="pt-PT"/>
        </w:rPr>
        <w:t>de duração prolongada ou colangite esclerosante primária), ou doentes com antecedentes de displasia ou carcinoma do cólon devem ser rastreados quanto à existência de displasia em intervalos regulares antes da terapêutica e durante a doença. Esta avaliação deve incluir colonoscopia e biopsias,</w:t>
      </w:r>
      <w:r w:rsidRPr="00CC4B51">
        <w:rPr>
          <w:sz w:val="22"/>
          <w:szCs w:val="22"/>
          <w:lang w:eastAsia="pt-PT"/>
        </w:rPr>
        <w:t xml:space="preserve"> de acordo com as recomendações locais.</w:t>
      </w:r>
    </w:p>
    <w:p w14:paraId="1F1CF102" w14:textId="77777777" w:rsidR="004462A0" w:rsidRPr="00CC4B51" w:rsidRDefault="004462A0" w:rsidP="004462A0"/>
    <w:p w14:paraId="3456AB79" w14:textId="77777777" w:rsidR="004462A0" w:rsidRPr="00CC4B51" w:rsidRDefault="00615769" w:rsidP="004462A0">
      <w:pPr>
        <w:autoSpaceDE w:val="0"/>
        <w:autoSpaceDN w:val="0"/>
        <w:adjustRightInd w:val="0"/>
        <w:rPr>
          <w:sz w:val="22"/>
          <w:szCs w:val="22"/>
          <w:u w:val="single"/>
        </w:rPr>
      </w:pPr>
      <w:r w:rsidRPr="00CC4B51">
        <w:rPr>
          <w:sz w:val="22"/>
          <w:szCs w:val="22"/>
          <w:u w:val="single"/>
        </w:rPr>
        <w:t>Reações hematológicas</w:t>
      </w:r>
    </w:p>
    <w:p w14:paraId="7BFD2150" w14:textId="77777777" w:rsidR="004462A0" w:rsidRPr="00CC4B51" w:rsidRDefault="004462A0" w:rsidP="004462A0">
      <w:pPr>
        <w:autoSpaceDE w:val="0"/>
        <w:autoSpaceDN w:val="0"/>
        <w:adjustRightInd w:val="0"/>
        <w:rPr>
          <w:sz w:val="22"/>
          <w:szCs w:val="22"/>
          <w:u w:val="single"/>
        </w:rPr>
      </w:pPr>
    </w:p>
    <w:p w14:paraId="38F3EA88" w14:textId="77777777" w:rsidR="004462A0" w:rsidRPr="00CC4B51" w:rsidRDefault="00615769" w:rsidP="004462A0">
      <w:pPr>
        <w:autoSpaceDE w:val="0"/>
        <w:autoSpaceDN w:val="0"/>
        <w:adjustRightInd w:val="0"/>
        <w:rPr>
          <w:sz w:val="22"/>
          <w:szCs w:val="22"/>
        </w:rPr>
      </w:pPr>
      <w:r w:rsidRPr="00CC4B51">
        <w:rPr>
          <w:sz w:val="22"/>
          <w:szCs w:val="22"/>
        </w:rPr>
        <w:t>Foram notificados casos raros de pancitopenia incluindo anemia aplástica com antagonistas TNF. Acontecimentos adversos do sistema hematológico incluindo citopenia clinicamente significativa (p.e. trombocitopenia, leucopenia) foram notificados com Humira. Todos os doentes devem ser aconselhados a consultar de imediato o médico caso desenvolvam sinais e sintomas sugestivos de discrasias sanguíneas (p.e. febre persistente, equimose, hemorragia, palidez) durante a terapêutica com Humira. A descontinuação da ter</w:t>
      </w:r>
      <w:r w:rsidRPr="00CC4B51">
        <w:rPr>
          <w:sz w:val="22"/>
          <w:szCs w:val="22"/>
        </w:rPr>
        <w:t xml:space="preserve">apêutica com Humira deverá ser considerada em doentes com anomalias hematológicas significativas confirmadas. </w:t>
      </w:r>
    </w:p>
    <w:p w14:paraId="00792F9D" w14:textId="77777777" w:rsidR="004462A0" w:rsidRPr="00CC4B51" w:rsidRDefault="004462A0" w:rsidP="004462A0">
      <w:pPr>
        <w:rPr>
          <w:sz w:val="22"/>
          <w:szCs w:val="22"/>
        </w:rPr>
      </w:pPr>
    </w:p>
    <w:p w14:paraId="44244319" w14:textId="77777777" w:rsidR="004462A0" w:rsidRPr="00CC4B51" w:rsidRDefault="00615769" w:rsidP="004462A0">
      <w:pPr>
        <w:autoSpaceDE w:val="0"/>
        <w:autoSpaceDN w:val="0"/>
        <w:adjustRightInd w:val="0"/>
        <w:rPr>
          <w:sz w:val="22"/>
          <w:szCs w:val="22"/>
          <w:u w:val="single"/>
        </w:rPr>
      </w:pPr>
      <w:r w:rsidRPr="00CC4B51">
        <w:rPr>
          <w:sz w:val="22"/>
          <w:szCs w:val="22"/>
          <w:u w:val="single"/>
        </w:rPr>
        <w:t>Vacinação</w:t>
      </w:r>
    </w:p>
    <w:p w14:paraId="3E2EDE3D" w14:textId="77777777" w:rsidR="004462A0" w:rsidRPr="00CC4B51" w:rsidRDefault="004462A0" w:rsidP="004462A0">
      <w:pPr>
        <w:autoSpaceDE w:val="0"/>
        <w:autoSpaceDN w:val="0"/>
        <w:adjustRightInd w:val="0"/>
        <w:rPr>
          <w:sz w:val="22"/>
          <w:szCs w:val="22"/>
          <w:u w:val="single"/>
        </w:rPr>
      </w:pPr>
    </w:p>
    <w:p w14:paraId="2710AC65" w14:textId="77777777" w:rsidR="004462A0" w:rsidRPr="00CC4B51" w:rsidRDefault="00615769" w:rsidP="004462A0">
      <w:pPr>
        <w:autoSpaceDE w:val="0"/>
        <w:autoSpaceDN w:val="0"/>
        <w:adjustRightInd w:val="0"/>
        <w:rPr>
          <w:sz w:val="22"/>
          <w:szCs w:val="22"/>
        </w:rPr>
      </w:pPr>
      <w:r w:rsidRPr="00CC4B51">
        <w:rPr>
          <w:sz w:val="22"/>
          <w:szCs w:val="22"/>
        </w:rPr>
        <w:t>Num estudo clínico realizado em 226 doentes adultos com artrite reumatoide tratados com adalimumab ou placebo, foram observadas respostas imunitárias similares na vacinação com a vacina pneumocócica polissacarídica polivalente 23 e com a vacina trivalente contra o vírus da gripe. Não existem dados disponíveis sobre a transmissão secundária de infeção por vacinas vivas em doentes tratados com Humira</w:t>
      </w:r>
      <w:r w:rsidR="00BF2F9C">
        <w:rPr>
          <w:sz w:val="22"/>
          <w:szCs w:val="22"/>
        </w:rPr>
        <w:t>.</w:t>
      </w:r>
    </w:p>
    <w:p w14:paraId="45B25730" w14:textId="77777777" w:rsidR="004462A0" w:rsidRPr="00CC4B51" w:rsidRDefault="004462A0" w:rsidP="004462A0">
      <w:pPr>
        <w:autoSpaceDE w:val="0"/>
        <w:autoSpaceDN w:val="0"/>
        <w:adjustRightInd w:val="0"/>
        <w:rPr>
          <w:sz w:val="22"/>
          <w:szCs w:val="22"/>
        </w:rPr>
      </w:pPr>
    </w:p>
    <w:p w14:paraId="65C7A4A0" w14:textId="77777777" w:rsidR="004462A0" w:rsidRPr="00CC4B51" w:rsidRDefault="00615769" w:rsidP="004462A0">
      <w:pPr>
        <w:autoSpaceDE w:val="0"/>
        <w:autoSpaceDN w:val="0"/>
        <w:adjustRightInd w:val="0"/>
        <w:rPr>
          <w:sz w:val="22"/>
          <w:szCs w:val="22"/>
        </w:rPr>
      </w:pPr>
      <w:r w:rsidRPr="00CC4B51">
        <w:rPr>
          <w:sz w:val="22"/>
          <w:szCs w:val="22"/>
        </w:rPr>
        <w:t>Recomenda-se que, se possível, nos doentes pediátricos, antes de iniciar o tratamento com Humira sejam atualizadas as vacinas, de acordo com o atual Programa Nacional de Vacinação.</w:t>
      </w:r>
    </w:p>
    <w:p w14:paraId="37038650" w14:textId="77777777" w:rsidR="004462A0" w:rsidRPr="00CC4B51" w:rsidRDefault="004462A0" w:rsidP="004462A0">
      <w:pPr>
        <w:autoSpaceDE w:val="0"/>
        <w:autoSpaceDN w:val="0"/>
        <w:adjustRightInd w:val="0"/>
        <w:rPr>
          <w:sz w:val="22"/>
          <w:szCs w:val="22"/>
        </w:rPr>
      </w:pPr>
    </w:p>
    <w:p w14:paraId="1D446C07" w14:textId="77777777" w:rsidR="004462A0" w:rsidRPr="00A2448F" w:rsidRDefault="00615769" w:rsidP="004462A0">
      <w:pPr>
        <w:autoSpaceDE w:val="0"/>
        <w:autoSpaceDN w:val="0"/>
        <w:adjustRightInd w:val="0"/>
        <w:rPr>
          <w:sz w:val="22"/>
          <w:szCs w:val="22"/>
        </w:rPr>
      </w:pPr>
      <w:r w:rsidRPr="00CC4B51">
        <w:rPr>
          <w:sz w:val="22"/>
        </w:rPr>
        <w:t xml:space="preserve">Doentes tratados com </w:t>
      </w:r>
      <w:r w:rsidRPr="00CF3350">
        <w:rPr>
          <w:sz w:val="22"/>
          <w:szCs w:val="22"/>
        </w:rPr>
        <w:t xml:space="preserve">Humira podem receber vacinas concomitantes, exceto vacinas vivas. Não se recomenda a administração de vacinas vivas </w:t>
      </w:r>
      <w:r w:rsidR="00506235" w:rsidRPr="00CF3350">
        <w:rPr>
          <w:sz w:val="22"/>
          <w:szCs w:val="22"/>
        </w:rPr>
        <w:t>(</w:t>
      </w:r>
      <w:r w:rsidR="00AD0004" w:rsidRPr="00CF3350">
        <w:rPr>
          <w:sz w:val="22"/>
          <w:szCs w:val="22"/>
        </w:rPr>
        <w:t xml:space="preserve">p.ex., </w:t>
      </w:r>
      <w:r w:rsidR="00506235" w:rsidRPr="00CF3350">
        <w:rPr>
          <w:sz w:val="22"/>
          <w:szCs w:val="22"/>
        </w:rPr>
        <w:t xml:space="preserve">vacina da BCG) </w:t>
      </w:r>
      <w:r w:rsidRPr="00CF3350">
        <w:rPr>
          <w:sz w:val="22"/>
          <w:szCs w:val="22"/>
        </w:rPr>
        <w:t>a crianças com exposição intrauterina a adalimumab durante 5 meses após a última injeção de adalimumab da mãe durante a gravidez.</w:t>
      </w:r>
    </w:p>
    <w:p w14:paraId="64F10E86" w14:textId="77777777" w:rsidR="004462A0" w:rsidRPr="00CF3350" w:rsidRDefault="004462A0" w:rsidP="004462A0">
      <w:pPr>
        <w:autoSpaceDE w:val="0"/>
        <w:autoSpaceDN w:val="0"/>
        <w:adjustRightInd w:val="0"/>
        <w:rPr>
          <w:sz w:val="22"/>
          <w:szCs w:val="22"/>
        </w:rPr>
      </w:pPr>
    </w:p>
    <w:p w14:paraId="0EC71D8C" w14:textId="77777777" w:rsidR="004462A0" w:rsidRPr="00CC4B51" w:rsidRDefault="00615769" w:rsidP="004462A0">
      <w:pPr>
        <w:autoSpaceDE w:val="0"/>
        <w:autoSpaceDN w:val="0"/>
        <w:adjustRightInd w:val="0"/>
        <w:rPr>
          <w:sz w:val="22"/>
          <w:szCs w:val="22"/>
          <w:u w:val="single"/>
        </w:rPr>
      </w:pPr>
      <w:r w:rsidRPr="00CC4B51">
        <w:rPr>
          <w:sz w:val="22"/>
          <w:szCs w:val="22"/>
          <w:u w:val="single"/>
        </w:rPr>
        <w:t xml:space="preserve">Insuficiência cardíaca congestiva </w:t>
      </w:r>
    </w:p>
    <w:p w14:paraId="07C548CC" w14:textId="77777777" w:rsidR="004462A0" w:rsidRPr="00CC4B51" w:rsidRDefault="004462A0" w:rsidP="004462A0">
      <w:pPr>
        <w:autoSpaceDE w:val="0"/>
        <w:autoSpaceDN w:val="0"/>
        <w:adjustRightInd w:val="0"/>
        <w:rPr>
          <w:sz w:val="22"/>
          <w:szCs w:val="22"/>
          <w:u w:val="single"/>
        </w:rPr>
      </w:pPr>
    </w:p>
    <w:p w14:paraId="368671C8" w14:textId="77777777" w:rsidR="004462A0" w:rsidRPr="00CC4B51" w:rsidRDefault="00615769" w:rsidP="004462A0">
      <w:pPr>
        <w:autoSpaceDE w:val="0"/>
        <w:autoSpaceDN w:val="0"/>
        <w:adjustRightInd w:val="0"/>
        <w:rPr>
          <w:i/>
          <w:sz w:val="22"/>
          <w:szCs w:val="22"/>
        </w:rPr>
      </w:pPr>
      <w:r w:rsidRPr="00CC4B51">
        <w:rPr>
          <w:sz w:val="22"/>
          <w:szCs w:val="22"/>
        </w:rPr>
        <w:t>Num ensaio clínico realizado com outro antagonista</w:t>
      </w:r>
      <w:r w:rsidRPr="00CC4B51">
        <w:rPr>
          <w:sz w:val="22"/>
          <w:szCs w:val="22"/>
        </w:rPr>
        <w:noBreakHyphen/>
      </w:r>
      <w:r w:rsidRPr="00CC4B51">
        <w:rPr>
          <w:sz w:val="22"/>
          <w:szCs w:val="22"/>
        </w:rPr>
        <w:t xml:space="preserve">TNF observou-se agravamento da insuficiência cardíaca congestiva e aumento da mortalidade por insuficiência cardíaca congestiva. Foram </w:t>
      </w:r>
      <w:r w:rsidR="002B1836">
        <w:rPr>
          <w:sz w:val="22"/>
          <w:szCs w:val="22"/>
        </w:rPr>
        <w:t xml:space="preserve">também </w:t>
      </w:r>
      <w:r w:rsidRPr="00CC4B51">
        <w:rPr>
          <w:sz w:val="22"/>
          <w:szCs w:val="22"/>
        </w:rPr>
        <w:t>notificados casos de agravamento de insuficiência cardíaca congestiva em doentes tratados com Humira. Humira deve ser utilizado com precaução em doentes com insuficiência cardíaca ligeira (classe I/II da NYHA). Humira está contraindicado na insuficiência cardíaca moderada a grave (ver secção 4.3). O tratamento com Humira deve ser interrompido em doentes que desenvolva</w:t>
      </w:r>
      <w:r w:rsidRPr="00CC4B51">
        <w:rPr>
          <w:sz w:val="22"/>
          <w:szCs w:val="22"/>
        </w:rPr>
        <w:t xml:space="preserve">m novos sintomas ou agravamento dos sintomas de insuficiência cardíaca congestiva. </w:t>
      </w:r>
    </w:p>
    <w:p w14:paraId="5EC7DDEC" w14:textId="77777777" w:rsidR="004462A0" w:rsidRPr="00CC4B51" w:rsidRDefault="004462A0" w:rsidP="004462A0">
      <w:pPr>
        <w:rPr>
          <w:sz w:val="22"/>
          <w:szCs w:val="22"/>
        </w:rPr>
      </w:pPr>
    </w:p>
    <w:p w14:paraId="34997F87" w14:textId="77777777" w:rsidR="004462A0" w:rsidRPr="00CC4B51" w:rsidRDefault="00615769" w:rsidP="004462A0">
      <w:pPr>
        <w:rPr>
          <w:sz w:val="22"/>
          <w:szCs w:val="22"/>
          <w:u w:val="single"/>
        </w:rPr>
      </w:pPr>
      <w:r w:rsidRPr="00CC4B51">
        <w:rPr>
          <w:sz w:val="22"/>
          <w:szCs w:val="22"/>
          <w:u w:val="single"/>
        </w:rPr>
        <w:t xml:space="preserve">Processos autoimunes </w:t>
      </w:r>
    </w:p>
    <w:p w14:paraId="7FBE1AE2" w14:textId="77777777" w:rsidR="004462A0" w:rsidRPr="00CC4B51" w:rsidRDefault="004462A0" w:rsidP="004462A0">
      <w:pPr>
        <w:rPr>
          <w:i/>
          <w:sz w:val="22"/>
          <w:szCs w:val="22"/>
          <w:u w:val="single"/>
        </w:rPr>
      </w:pPr>
    </w:p>
    <w:p w14:paraId="3B1A3CD3" w14:textId="77777777" w:rsidR="004462A0" w:rsidRPr="00CC4B51" w:rsidRDefault="00615769" w:rsidP="004462A0">
      <w:pPr>
        <w:rPr>
          <w:i/>
          <w:sz w:val="22"/>
          <w:szCs w:val="22"/>
        </w:rPr>
      </w:pPr>
      <w:r w:rsidRPr="00CC4B51">
        <w:rPr>
          <w:sz w:val="22"/>
          <w:szCs w:val="22"/>
        </w:rPr>
        <w:t>O tratamento com Humira pode dar origem à formação de anticorpos autoimunes. Desconhece-se o impacto do tratamento a longo prazo com Humira no desenvolvimento de doenças autoimunes. Não deve ser administrado tratamento adicional com Humira se um doente apresentar sintomas sugestivos de uma síndrome do tipo lúpus e se for positivo para anticorpos contra a dupla cadeia de DNA, após o tratamento com Humira (ver secção 4.8).</w:t>
      </w:r>
    </w:p>
    <w:p w14:paraId="789C33B4" w14:textId="77777777" w:rsidR="004462A0" w:rsidRPr="00CC4B51" w:rsidRDefault="004462A0" w:rsidP="004462A0">
      <w:pPr>
        <w:rPr>
          <w:i/>
          <w:sz w:val="22"/>
          <w:szCs w:val="22"/>
        </w:rPr>
      </w:pPr>
    </w:p>
    <w:p w14:paraId="1B78846B" w14:textId="77777777" w:rsidR="004462A0" w:rsidRPr="00CC4B51" w:rsidRDefault="00615769" w:rsidP="004462A0">
      <w:pPr>
        <w:outlineLvl w:val="8"/>
        <w:rPr>
          <w:sz w:val="22"/>
          <w:szCs w:val="22"/>
          <w:u w:val="single"/>
        </w:rPr>
      </w:pPr>
      <w:r w:rsidRPr="00CC4B51">
        <w:rPr>
          <w:sz w:val="22"/>
          <w:szCs w:val="22"/>
          <w:u w:val="single"/>
        </w:rPr>
        <w:t xml:space="preserve">Administração concomitante de </w:t>
      </w:r>
      <w:r w:rsidR="002B1836" w:rsidRPr="00CC4B51">
        <w:rPr>
          <w:sz w:val="22"/>
          <w:szCs w:val="22"/>
          <w:u w:val="single"/>
        </w:rPr>
        <w:t xml:space="preserve">DMARDS </w:t>
      </w:r>
      <w:r w:rsidRPr="00CC4B51">
        <w:rPr>
          <w:sz w:val="22"/>
          <w:szCs w:val="22"/>
          <w:u w:val="single"/>
        </w:rPr>
        <w:t>biológicos ou antagonistas</w:t>
      </w:r>
      <w:r w:rsidRPr="00CC4B51">
        <w:rPr>
          <w:sz w:val="22"/>
          <w:szCs w:val="22"/>
          <w:u w:val="single"/>
        </w:rPr>
        <w:noBreakHyphen/>
        <w:t>TNF</w:t>
      </w:r>
    </w:p>
    <w:p w14:paraId="797CB271" w14:textId="77777777" w:rsidR="004462A0" w:rsidRPr="00CC4B51" w:rsidRDefault="004462A0" w:rsidP="004462A0">
      <w:pPr>
        <w:rPr>
          <w:iCs/>
          <w:sz w:val="22"/>
          <w:szCs w:val="22"/>
        </w:rPr>
      </w:pPr>
    </w:p>
    <w:p w14:paraId="3FD69462" w14:textId="77777777" w:rsidR="004462A0" w:rsidRPr="00CC4B51" w:rsidRDefault="00615769" w:rsidP="004462A0">
      <w:pPr>
        <w:rPr>
          <w:i/>
          <w:sz w:val="22"/>
          <w:szCs w:val="22"/>
        </w:rPr>
      </w:pPr>
      <w:r w:rsidRPr="00CC4B51">
        <w:rPr>
          <w:iCs/>
          <w:sz w:val="22"/>
          <w:szCs w:val="22"/>
        </w:rPr>
        <w:t>Em ensaios clínicos realizados com a administração concomitante de ana</w:t>
      </w:r>
      <w:r w:rsidR="00F7235D">
        <w:rPr>
          <w:iCs/>
          <w:sz w:val="22"/>
          <w:szCs w:val="22"/>
        </w:rPr>
        <w:t>c</w:t>
      </w:r>
      <w:r w:rsidRPr="00CC4B51">
        <w:rPr>
          <w:iCs/>
          <w:sz w:val="22"/>
          <w:szCs w:val="22"/>
        </w:rPr>
        <w:t>inra e outro antagonista-TNF, etanercept, observaram-se infeções graves sem benefício clínico adicional relativamente à utilização de etanercept isoladamente. Devido à natureza dos acontecimentos adversos observados com a associação terapêutica de etanercept e ana</w:t>
      </w:r>
      <w:r w:rsidR="00F7235D">
        <w:rPr>
          <w:iCs/>
          <w:sz w:val="22"/>
          <w:szCs w:val="22"/>
        </w:rPr>
        <w:t>c</w:t>
      </w:r>
      <w:r w:rsidRPr="00CC4B51">
        <w:rPr>
          <w:iCs/>
          <w:sz w:val="22"/>
          <w:szCs w:val="22"/>
        </w:rPr>
        <w:t xml:space="preserve">inra, a associação de </w:t>
      </w:r>
      <w:r w:rsidR="00F7235D">
        <w:rPr>
          <w:iCs/>
          <w:sz w:val="22"/>
          <w:szCs w:val="22"/>
        </w:rPr>
        <w:t>anacinra</w:t>
      </w:r>
      <w:r w:rsidR="00F7235D" w:rsidRPr="00CC4B51">
        <w:rPr>
          <w:iCs/>
          <w:sz w:val="22"/>
          <w:szCs w:val="22"/>
        </w:rPr>
        <w:t xml:space="preserve"> </w:t>
      </w:r>
      <w:r w:rsidRPr="00CC4B51">
        <w:rPr>
          <w:iCs/>
          <w:sz w:val="22"/>
          <w:szCs w:val="22"/>
        </w:rPr>
        <w:t>e outro antagonista</w:t>
      </w:r>
      <w:r w:rsidRPr="00CC4B51">
        <w:rPr>
          <w:iCs/>
          <w:sz w:val="22"/>
          <w:szCs w:val="22"/>
        </w:rPr>
        <w:noBreakHyphen/>
        <w:t>TNF pode também resultar em toxicidades semelhantes. Por conseguinte, não se recomenda a associação de adalimumab e ana</w:t>
      </w:r>
      <w:r w:rsidR="00F7235D">
        <w:rPr>
          <w:iCs/>
          <w:sz w:val="22"/>
          <w:szCs w:val="22"/>
        </w:rPr>
        <w:t>c</w:t>
      </w:r>
      <w:r w:rsidRPr="00CC4B51">
        <w:rPr>
          <w:iCs/>
          <w:sz w:val="22"/>
          <w:szCs w:val="22"/>
        </w:rPr>
        <w:t xml:space="preserve">inra </w:t>
      </w:r>
      <w:r w:rsidRPr="00CC4B51">
        <w:rPr>
          <w:sz w:val="22"/>
          <w:szCs w:val="22"/>
        </w:rPr>
        <w:t>(</w:t>
      </w:r>
      <w:r w:rsidR="00F7235D">
        <w:rPr>
          <w:sz w:val="22"/>
          <w:szCs w:val="22"/>
        </w:rPr>
        <w:t>v</w:t>
      </w:r>
      <w:r w:rsidRPr="00CC4B51">
        <w:rPr>
          <w:sz w:val="22"/>
          <w:szCs w:val="22"/>
        </w:rPr>
        <w:t>er secção 4.5)</w:t>
      </w:r>
      <w:r w:rsidRPr="00CC4B51">
        <w:rPr>
          <w:iCs/>
          <w:sz w:val="22"/>
          <w:szCs w:val="22"/>
        </w:rPr>
        <w:t xml:space="preserve">. </w:t>
      </w:r>
    </w:p>
    <w:p w14:paraId="26074CD8" w14:textId="77777777" w:rsidR="004462A0" w:rsidRPr="00CC4B51" w:rsidRDefault="004462A0" w:rsidP="004462A0">
      <w:pPr>
        <w:outlineLvl w:val="8"/>
        <w:rPr>
          <w:sz w:val="22"/>
          <w:highlight w:val="yellow"/>
          <w:u w:val="single"/>
        </w:rPr>
      </w:pPr>
    </w:p>
    <w:p w14:paraId="011BBAC3" w14:textId="77777777" w:rsidR="004462A0" w:rsidRPr="00CC4B51" w:rsidRDefault="00615769" w:rsidP="004462A0">
      <w:pPr>
        <w:tabs>
          <w:tab w:val="left" w:pos="562"/>
        </w:tabs>
        <w:suppressAutoHyphens/>
        <w:rPr>
          <w:sz w:val="22"/>
          <w:szCs w:val="22"/>
          <w:highlight w:val="yellow"/>
        </w:rPr>
      </w:pPr>
      <w:r w:rsidRPr="00CC4B51">
        <w:rPr>
          <w:sz w:val="22"/>
          <w:szCs w:val="22"/>
        </w:rPr>
        <w:t xml:space="preserve">Não se recomenda a administração concomitante de adalimumab com outros </w:t>
      </w:r>
      <w:r w:rsidR="002B1836" w:rsidRPr="00CC4B51">
        <w:rPr>
          <w:sz w:val="22"/>
          <w:szCs w:val="22"/>
        </w:rPr>
        <w:t xml:space="preserve">DMARDS </w:t>
      </w:r>
      <w:r w:rsidRPr="00CC4B51">
        <w:rPr>
          <w:sz w:val="22"/>
          <w:szCs w:val="22"/>
        </w:rPr>
        <w:t>biológicos (p.ex., ana</w:t>
      </w:r>
      <w:r w:rsidR="00F7235D">
        <w:rPr>
          <w:sz w:val="22"/>
          <w:szCs w:val="22"/>
        </w:rPr>
        <w:t>c</w:t>
      </w:r>
      <w:r w:rsidRPr="00CC4B51">
        <w:rPr>
          <w:sz w:val="22"/>
          <w:szCs w:val="22"/>
        </w:rPr>
        <w:t>inra e abatacept) ou outros antagonistas-TNF, devido ao possível risco acrescido de infeções, incluindo infeções graves e outras potenciais interações farmacológicas (</w:t>
      </w:r>
      <w:r w:rsidR="00F7235D">
        <w:rPr>
          <w:sz w:val="22"/>
          <w:szCs w:val="22"/>
        </w:rPr>
        <w:t>v</w:t>
      </w:r>
      <w:r w:rsidRPr="00CC4B51">
        <w:rPr>
          <w:sz w:val="22"/>
          <w:szCs w:val="22"/>
        </w:rPr>
        <w:t>er secção 4.5).</w:t>
      </w:r>
    </w:p>
    <w:p w14:paraId="1FD87879" w14:textId="77777777" w:rsidR="004462A0" w:rsidRPr="00CC4B51" w:rsidRDefault="004462A0" w:rsidP="004462A0">
      <w:pPr>
        <w:rPr>
          <w:i/>
          <w:sz w:val="22"/>
          <w:szCs w:val="22"/>
        </w:rPr>
      </w:pPr>
    </w:p>
    <w:p w14:paraId="4E928530" w14:textId="77777777" w:rsidR="004462A0" w:rsidRPr="00CC4B51" w:rsidRDefault="00615769" w:rsidP="004462A0">
      <w:pPr>
        <w:outlineLvl w:val="8"/>
        <w:rPr>
          <w:iCs/>
          <w:sz w:val="22"/>
          <w:szCs w:val="22"/>
          <w:u w:val="single"/>
        </w:rPr>
      </w:pPr>
      <w:r w:rsidRPr="00CC4B51">
        <w:rPr>
          <w:iCs/>
          <w:sz w:val="22"/>
          <w:szCs w:val="22"/>
          <w:u w:val="single"/>
        </w:rPr>
        <w:t>Cirurgia</w:t>
      </w:r>
    </w:p>
    <w:p w14:paraId="660C4F80" w14:textId="77777777" w:rsidR="004462A0" w:rsidRPr="00CC4B51" w:rsidRDefault="004462A0" w:rsidP="004462A0">
      <w:pPr>
        <w:rPr>
          <w:iCs/>
          <w:sz w:val="22"/>
          <w:szCs w:val="22"/>
        </w:rPr>
      </w:pPr>
    </w:p>
    <w:p w14:paraId="0152C78E" w14:textId="77777777" w:rsidR="004462A0" w:rsidRPr="00CC4B51" w:rsidRDefault="00615769" w:rsidP="004462A0">
      <w:pPr>
        <w:rPr>
          <w:iCs/>
          <w:sz w:val="22"/>
          <w:szCs w:val="22"/>
        </w:rPr>
      </w:pPr>
      <w:r w:rsidRPr="00CC4B51">
        <w:rPr>
          <w:iCs/>
          <w:sz w:val="22"/>
          <w:szCs w:val="22"/>
        </w:rPr>
        <w:t>A experiência existente, em termos de segurança de intervenções cirúrgicas em doentes tratados com Humira, é limitada. A semi</w:t>
      </w:r>
      <w:r w:rsidR="00784C05">
        <w:rPr>
          <w:iCs/>
          <w:sz w:val="22"/>
          <w:szCs w:val="22"/>
        </w:rPr>
        <w:t>-</w:t>
      </w:r>
      <w:r w:rsidRPr="00CC4B51">
        <w:rPr>
          <w:iCs/>
          <w:sz w:val="22"/>
          <w:szCs w:val="22"/>
        </w:rPr>
        <w:t xml:space="preserve">vida longa de adalimumab deve ser tida em consideração se for planeada uma intervenção cirúrgica. </w:t>
      </w:r>
      <w:r w:rsidR="00F7235D">
        <w:rPr>
          <w:iCs/>
          <w:sz w:val="22"/>
          <w:szCs w:val="22"/>
        </w:rPr>
        <w:t>Um</w:t>
      </w:r>
      <w:r w:rsidRPr="00CC4B51">
        <w:rPr>
          <w:iCs/>
          <w:sz w:val="22"/>
          <w:szCs w:val="22"/>
        </w:rPr>
        <w:t xml:space="preserve"> doente que requeira cirurgia durante o tratamento com Humira deve ser cuidadosamente monitorizado para infeções, e devem ser tomadas ações apropriadas. A experiência que existe, em termos de segurança em doentes submetidos a artroplastia durante o tratamento com Humira, é limitada.</w:t>
      </w:r>
    </w:p>
    <w:p w14:paraId="5FBE5532" w14:textId="77777777" w:rsidR="004462A0" w:rsidRPr="00CC4B51" w:rsidRDefault="004462A0" w:rsidP="004462A0">
      <w:pPr>
        <w:rPr>
          <w:sz w:val="22"/>
          <w:szCs w:val="22"/>
        </w:rPr>
      </w:pPr>
    </w:p>
    <w:p w14:paraId="23D74B5D" w14:textId="77777777" w:rsidR="004462A0" w:rsidRPr="00CC4B51" w:rsidRDefault="00615769" w:rsidP="004462A0">
      <w:pPr>
        <w:rPr>
          <w:sz w:val="22"/>
          <w:szCs w:val="22"/>
          <w:u w:val="single"/>
        </w:rPr>
      </w:pPr>
      <w:r w:rsidRPr="00CC4B51">
        <w:rPr>
          <w:sz w:val="22"/>
          <w:szCs w:val="22"/>
          <w:u w:val="single"/>
        </w:rPr>
        <w:t>Obstrução do intestino delgado</w:t>
      </w:r>
    </w:p>
    <w:p w14:paraId="1572F8D1" w14:textId="77777777" w:rsidR="004462A0" w:rsidRPr="00CC4B51" w:rsidRDefault="004462A0" w:rsidP="004462A0">
      <w:pPr>
        <w:rPr>
          <w:sz w:val="22"/>
          <w:szCs w:val="22"/>
        </w:rPr>
      </w:pPr>
    </w:p>
    <w:p w14:paraId="76C02F15" w14:textId="77777777" w:rsidR="004462A0" w:rsidRPr="00CC4B51" w:rsidRDefault="00615769" w:rsidP="004462A0">
      <w:pPr>
        <w:rPr>
          <w:sz w:val="22"/>
          <w:szCs w:val="22"/>
        </w:rPr>
      </w:pPr>
      <w:r w:rsidRPr="00CC4B51">
        <w:rPr>
          <w:sz w:val="22"/>
          <w:szCs w:val="22"/>
        </w:rPr>
        <w:t>Uma falha na resposta ao tratamento da doença de Crohn pode indicar a presença de estenose fibrótica</w:t>
      </w:r>
      <w:r w:rsidR="00F7235D">
        <w:rPr>
          <w:sz w:val="22"/>
          <w:szCs w:val="22"/>
        </w:rPr>
        <w:t>,</w:t>
      </w:r>
      <w:r w:rsidRPr="00CC4B51">
        <w:rPr>
          <w:sz w:val="22"/>
          <w:szCs w:val="22"/>
        </w:rPr>
        <w:t xml:space="preserve"> a qual pode requerer tratamento cirúrgico. Os dados disponíveis sugerem que Humira não agrava nem provoca estenoses.</w:t>
      </w:r>
    </w:p>
    <w:p w14:paraId="45DB2B92" w14:textId="77777777" w:rsidR="004462A0" w:rsidRPr="00CC4B51" w:rsidRDefault="004462A0" w:rsidP="004462A0">
      <w:pPr>
        <w:rPr>
          <w:i/>
          <w:sz w:val="22"/>
          <w:szCs w:val="22"/>
        </w:rPr>
      </w:pPr>
    </w:p>
    <w:p w14:paraId="04234C18" w14:textId="77777777" w:rsidR="004462A0" w:rsidRPr="00CC4B51" w:rsidRDefault="00615769" w:rsidP="004462A0">
      <w:pPr>
        <w:rPr>
          <w:sz w:val="22"/>
          <w:szCs w:val="22"/>
          <w:u w:val="single"/>
        </w:rPr>
      </w:pPr>
      <w:r w:rsidRPr="00CC4B51">
        <w:rPr>
          <w:sz w:val="22"/>
          <w:szCs w:val="22"/>
          <w:u w:val="single"/>
        </w:rPr>
        <w:t>Idosos</w:t>
      </w:r>
    </w:p>
    <w:p w14:paraId="592AF634" w14:textId="77777777" w:rsidR="004462A0" w:rsidRPr="00CC4B51" w:rsidRDefault="004462A0" w:rsidP="004462A0">
      <w:pPr>
        <w:rPr>
          <w:sz w:val="22"/>
          <w:szCs w:val="22"/>
        </w:rPr>
      </w:pPr>
    </w:p>
    <w:p w14:paraId="60341FA6" w14:textId="77777777" w:rsidR="004462A0" w:rsidRPr="00CC4B51" w:rsidRDefault="00615769" w:rsidP="004462A0">
      <w:pPr>
        <w:rPr>
          <w:i/>
          <w:sz w:val="22"/>
          <w:szCs w:val="22"/>
        </w:rPr>
      </w:pPr>
      <w:r w:rsidRPr="00CC4B51">
        <w:rPr>
          <w:sz w:val="22"/>
          <w:szCs w:val="22"/>
        </w:rPr>
        <w:t>A frequência de infeções graves em doentes tratados com Humira com mais de 65 anos de idade (3,7</w:t>
      </w:r>
      <w:r w:rsidR="009343EF">
        <w:rPr>
          <w:sz w:val="22"/>
          <w:szCs w:val="22"/>
        </w:rPr>
        <w:t>%</w:t>
      </w:r>
      <w:r w:rsidRPr="00CC4B51">
        <w:rPr>
          <w:sz w:val="22"/>
          <w:szCs w:val="22"/>
        </w:rPr>
        <w:t>) foi superior à de doentes com idade inferior a 65 anos (1,5</w:t>
      </w:r>
      <w:r w:rsidR="009343EF">
        <w:rPr>
          <w:sz w:val="22"/>
          <w:szCs w:val="22"/>
        </w:rPr>
        <w:t>%</w:t>
      </w:r>
      <w:r w:rsidRPr="00CC4B51">
        <w:rPr>
          <w:sz w:val="22"/>
          <w:szCs w:val="22"/>
        </w:rPr>
        <w:t>). Algumas foram fatais. No tratamento em idosos deve-se ter particular atenção ao risco de infeções.</w:t>
      </w:r>
    </w:p>
    <w:p w14:paraId="4AAF1FAF" w14:textId="77777777" w:rsidR="004462A0" w:rsidRPr="00CC4B51" w:rsidRDefault="004462A0" w:rsidP="004462A0">
      <w:pPr>
        <w:rPr>
          <w:iCs/>
          <w:sz w:val="22"/>
          <w:szCs w:val="22"/>
          <w:u w:val="single"/>
        </w:rPr>
      </w:pPr>
    </w:p>
    <w:p w14:paraId="3B5F6A7F" w14:textId="77777777" w:rsidR="004462A0" w:rsidRPr="00CC4B51" w:rsidRDefault="00615769" w:rsidP="004462A0">
      <w:pPr>
        <w:keepNext/>
        <w:rPr>
          <w:iCs/>
          <w:sz w:val="22"/>
          <w:szCs w:val="22"/>
          <w:u w:val="single"/>
        </w:rPr>
      </w:pPr>
      <w:r w:rsidRPr="00CC4B51">
        <w:rPr>
          <w:iCs/>
          <w:sz w:val="22"/>
          <w:szCs w:val="22"/>
          <w:u w:val="single"/>
        </w:rPr>
        <w:t>População pediátrica</w:t>
      </w:r>
    </w:p>
    <w:p w14:paraId="56854F85" w14:textId="77777777" w:rsidR="004462A0" w:rsidRPr="00CC4B51" w:rsidRDefault="004462A0" w:rsidP="004462A0">
      <w:pPr>
        <w:keepNext/>
        <w:rPr>
          <w:i/>
          <w:sz w:val="22"/>
          <w:szCs w:val="22"/>
        </w:rPr>
      </w:pPr>
    </w:p>
    <w:p w14:paraId="534882CC" w14:textId="77777777" w:rsidR="004462A0" w:rsidRDefault="00615769" w:rsidP="004462A0">
      <w:pPr>
        <w:keepNext/>
        <w:rPr>
          <w:ins w:id="11453" w:author="AbbVie2" w:date="2025-05-13T16:43:00Z"/>
          <w:iCs/>
          <w:sz w:val="22"/>
          <w:szCs w:val="22"/>
        </w:rPr>
      </w:pPr>
      <w:r w:rsidRPr="00CC4B51">
        <w:rPr>
          <w:iCs/>
          <w:sz w:val="22"/>
          <w:szCs w:val="22"/>
        </w:rPr>
        <w:t>Ver Vacinação.</w:t>
      </w:r>
    </w:p>
    <w:p w14:paraId="1E1377B6" w14:textId="77777777" w:rsidR="00513B95" w:rsidRDefault="00513B95" w:rsidP="004462A0">
      <w:pPr>
        <w:keepNext/>
        <w:rPr>
          <w:ins w:id="11454" w:author="AbbVie2" w:date="2025-05-13T16:43:00Z"/>
          <w:iCs/>
          <w:sz w:val="22"/>
          <w:szCs w:val="22"/>
        </w:rPr>
      </w:pPr>
    </w:p>
    <w:p w14:paraId="7D0A8929" w14:textId="77777777" w:rsidR="00513B95" w:rsidRPr="00784D09" w:rsidRDefault="00615769" w:rsidP="00513B95">
      <w:pPr>
        <w:autoSpaceDE w:val="0"/>
        <w:autoSpaceDN w:val="0"/>
        <w:adjustRightInd w:val="0"/>
        <w:rPr>
          <w:ins w:id="11455" w:author="AbbVie2" w:date="2025-05-13T16:43:00Z"/>
          <w:sz w:val="22"/>
          <w:szCs w:val="22"/>
          <w:u w:val="single"/>
        </w:rPr>
      </w:pPr>
      <w:ins w:id="11456" w:author="AbbVie2" w:date="2025-05-13T16:43:00Z">
        <w:r w:rsidRPr="00784D09">
          <w:rPr>
            <w:sz w:val="22"/>
            <w:szCs w:val="22"/>
            <w:u w:val="single"/>
          </w:rPr>
          <w:t>Excipientes com efeito conhecido</w:t>
        </w:r>
      </w:ins>
    </w:p>
    <w:p w14:paraId="183CF530" w14:textId="77777777" w:rsidR="00513B95" w:rsidRDefault="00513B95" w:rsidP="00513B95">
      <w:pPr>
        <w:autoSpaceDE w:val="0"/>
        <w:autoSpaceDN w:val="0"/>
        <w:adjustRightInd w:val="0"/>
        <w:rPr>
          <w:ins w:id="11457" w:author="AbbVie2" w:date="2025-05-13T16:43:00Z"/>
          <w:sz w:val="22"/>
          <w:szCs w:val="22"/>
        </w:rPr>
      </w:pPr>
    </w:p>
    <w:p w14:paraId="45F506DF" w14:textId="7ACAE2B7" w:rsidR="00513B95" w:rsidRPr="00513B95" w:rsidRDefault="00615769">
      <w:pPr>
        <w:autoSpaceDE w:val="0"/>
        <w:autoSpaceDN w:val="0"/>
        <w:adjustRightInd w:val="0"/>
        <w:rPr>
          <w:sz w:val="22"/>
          <w:szCs w:val="22"/>
        </w:rPr>
        <w:pPrChange w:id="11458" w:author="AbbVie2" w:date="2025-05-13T16:43:00Z">
          <w:pPr>
            <w:keepNext/>
          </w:pPr>
        </w:pPrChange>
      </w:pPr>
      <w:ins w:id="11459" w:author="AbbVie2" w:date="2025-05-13T16:43:00Z">
        <w:r>
          <w:rPr>
            <w:sz w:val="22"/>
            <w:szCs w:val="22"/>
          </w:rPr>
          <w:t>Este medicamento contém 0,</w:t>
        </w:r>
      </w:ins>
      <w:ins w:id="11460" w:author="AbbVie2" w:date="2025-05-16T15:42:00Z">
        <w:r w:rsidR="005E65AF">
          <w:rPr>
            <w:sz w:val="22"/>
            <w:szCs w:val="22"/>
          </w:rPr>
          <w:t>8</w:t>
        </w:r>
      </w:ins>
      <w:ins w:id="11461" w:author="AbbVie2" w:date="2025-05-13T16:43:00Z">
        <w:r>
          <w:rPr>
            <w:sz w:val="22"/>
            <w:szCs w:val="22"/>
          </w:rPr>
          <w:t xml:space="preserve"> mg de polissorbato 80 em cada dose de </w:t>
        </w:r>
      </w:ins>
      <w:ins w:id="11462" w:author="AbbVie2" w:date="2025-05-16T15:42:00Z">
        <w:r w:rsidR="005E65AF">
          <w:rPr>
            <w:sz w:val="22"/>
            <w:szCs w:val="22"/>
          </w:rPr>
          <w:t>8</w:t>
        </w:r>
      </w:ins>
      <w:ins w:id="11463" w:author="AbbVie2" w:date="2025-05-13T16:43:00Z">
        <w:r>
          <w:rPr>
            <w:sz w:val="22"/>
            <w:szCs w:val="22"/>
          </w:rPr>
          <w:t>0 mg.</w:t>
        </w:r>
      </w:ins>
      <w:ins w:id="11464" w:author="AbbVie2" w:date="2025-09-08T10:00:00Z">
        <w:r w:rsidR="00BE62F9">
          <w:rPr>
            <w:sz w:val="22"/>
            <w:szCs w:val="22"/>
          </w:rPr>
          <w:t xml:space="preserve"> Os polissorbatos podem causar reações alérgicas.</w:t>
        </w:r>
      </w:ins>
    </w:p>
    <w:p w14:paraId="1FCEB204" w14:textId="77777777" w:rsidR="004462A0" w:rsidRPr="00CC4B51" w:rsidRDefault="004462A0" w:rsidP="004462A0">
      <w:pPr>
        <w:rPr>
          <w:i/>
          <w:sz w:val="22"/>
          <w:szCs w:val="22"/>
        </w:rPr>
      </w:pPr>
    </w:p>
    <w:p w14:paraId="578FF820" w14:textId="77777777" w:rsidR="004462A0" w:rsidRPr="00CC4B51" w:rsidRDefault="00615769" w:rsidP="004462A0">
      <w:pPr>
        <w:autoSpaceDE w:val="0"/>
        <w:autoSpaceDN w:val="0"/>
        <w:adjustRightInd w:val="0"/>
        <w:ind w:left="567" w:hanging="567"/>
        <w:rPr>
          <w:b/>
          <w:sz w:val="22"/>
          <w:szCs w:val="22"/>
          <w:highlight w:val="yellow"/>
        </w:rPr>
      </w:pPr>
      <w:r w:rsidRPr="00CC4B51">
        <w:rPr>
          <w:b/>
          <w:sz w:val="22"/>
          <w:szCs w:val="22"/>
        </w:rPr>
        <w:t>4.5</w:t>
      </w:r>
      <w:r w:rsidRPr="00CC4B51">
        <w:rPr>
          <w:sz w:val="22"/>
          <w:szCs w:val="22"/>
        </w:rPr>
        <w:tab/>
      </w:r>
      <w:r w:rsidRPr="00CC4B51">
        <w:rPr>
          <w:b/>
          <w:sz w:val="22"/>
          <w:szCs w:val="22"/>
        </w:rPr>
        <w:t xml:space="preserve">Interações medicamentosas e outras formas de interação </w:t>
      </w:r>
    </w:p>
    <w:p w14:paraId="492ED810" w14:textId="77777777" w:rsidR="004462A0" w:rsidRPr="00CC4B51" w:rsidRDefault="004462A0" w:rsidP="004462A0">
      <w:pPr>
        <w:rPr>
          <w:sz w:val="22"/>
          <w:szCs w:val="22"/>
        </w:rPr>
      </w:pPr>
    </w:p>
    <w:p w14:paraId="2523C1FE" w14:textId="77777777" w:rsidR="004462A0" w:rsidRPr="00CC4B51" w:rsidRDefault="00615769" w:rsidP="004462A0">
      <w:pPr>
        <w:autoSpaceDE w:val="0"/>
        <w:autoSpaceDN w:val="0"/>
        <w:adjustRightInd w:val="0"/>
        <w:rPr>
          <w:sz w:val="22"/>
          <w:szCs w:val="22"/>
        </w:rPr>
      </w:pPr>
      <w:r w:rsidRPr="00CC4B51">
        <w:rPr>
          <w:sz w:val="22"/>
          <w:szCs w:val="22"/>
        </w:rPr>
        <w:t xml:space="preserve">Humira foi estudado em doentes com artrite reumatoide, artrite idiopática juvenil poliarticular e artrite psoriática, tratados com Humira em monoterapia, e em doentes submetidos a um tratamento concomitante com metotrexato. A formação de anticorpos foi </w:t>
      </w:r>
      <w:r w:rsidR="001D79C6">
        <w:rPr>
          <w:sz w:val="22"/>
          <w:szCs w:val="22"/>
        </w:rPr>
        <w:t>inferior</w:t>
      </w:r>
      <w:r w:rsidRPr="00CC4B51">
        <w:rPr>
          <w:sz w:val="22"/>
          <w:szCs w:val="22"/>
        </w:rPr>
        <w:t xml:space="preserve"> quando Humira foi administrado com metotrexato relativamente ao uso em monoterapia. A administração de Humira sem metotrexato resultou numa formação aumentada de anticorpos, depuração aumentada e eficácia reduzida d</w:t>
      </w:r>
      <w:r w:rsidR="003A4C51">
        <w:rPr>
          <w:sz w:val="22"/>
          <w:szCs w:val="22"/>
        </w:rPr>
        <w:t>e</w:t>
      </w:r>
      <w:r w:rsidRPr="00CC4B51">
        <w:rPr>
          <w:sz w:val="22"/>
          <w:szCs w:val="22"/>
        </w:rPr>
        <w:t xml:space="preserve"> adalimumab (ver secção 5.1). </w:t>
      </w:r>
    </w:p>
    <w:p w14:paraId="67D6017E" w14:textId="77777777" w:rsidR="004462A0" w:rsidRPr="00CC4B51" w:rsidRDefault="004462A0" w:rsidP="004462A0">
      <w:pPr>
        <w:outlineLvl w:val="8"/>
        <w:rPr>
          <w:iCs/>
          <w:sz w:val="22"/>
          <w:szCs w:val="22"/>
          <w:u w:val="single"/>
        </w:rPr>
      </w:pPr>
    </w:p>
    <w:p w14:paraId="18041EE9" w14:textId="77777777" w:rsidR="004462A0" w:rsidRPr="00CC4B51" w:rsidRDefault="00615769" w:rsidP="004462A0">
      <w:pPr>
        <w:outlineLvl w:val="8"/>
        <w:rPr>
          <w:sz w:val="22"/>
          <w:szCs w:val="22"/>
        </w:rPr>
      </w:pPr>
      <w:r w:rsidRPr="00CC4B51">
        <w:rPr>
          <w:iCs/>
          <w:sz w:val="22"/>
          <w:szCs w:val="22"/>
        </w:rPr>
        <w:t>Não se recomenda a associação de Humira e ana</w:t>
      </w:r>
      <w:r w:rsidR="00F7235D">
        <w:rPr>
          <w:iCs/>
          <w:sz w:val="22"/>
          <w:szCs w:val="22"/>
        </w:rPr>
        <w:t>c</w:t>
      </w:r>
      <w:r w:rsidRPr="00CC4B51">
        <w:rPr>
          <w:iCs/>
          <w:sz w:val="22"/>
          <w:szCs w:val="22"/>
        </w:rPr>
        <w:t xml:space="preserve">inra </w:t>
      </w:r>
      <w:r w:rsidRPr="00CC4B51">
        <w:rPr>
          <w:sz w:val="22"/>
          <w:szCs w:val="22"/>
        </w:rPr>
        <w:t xml:space="preserve">(ver secção 4.4 “Administração concomitante de </w:t>
      </w:r>
      <w:r w:rsidR="002B1836" w:rsidRPr="00CC4B51">
        <w:rPr>
          <w:sz w:val="22"/>
          <w:szCs w:val="22"/>
        </w:rPr>
        <w:t xml:space="preserve">DMARDS </w:t>
      </w:r>
      <w:r w:rsidRPr="00CC4B51">
        <w:rPr>
          <w:sz w:val="22"/>
          <w:szCs w:val="22"/>
        </w:rPr>
        <w:t>biológicos ou antagonistas</w:t>
      </w:r>
      <w:r w:rsidRPr="00CC4B51">
        <w:rPr>
          <w:sz w:val="22"/>
          <w:szCs w:val="22"/>
        </w:rPr>
        <w:noBreakHyphen/>
        <w:t>TNF”).</w:t>
      </w:r>
    </w:p>
    <w:p w14:paraId="712285D7" w14:textId="77777777" w:rsidR="004462A0" w:rsidRPr="00CC4B51" w:rsidRDefault="004462A0" w:rsidP="004462A0">
      <w:pPr>
        <w:outlineLvl w:val="8"/>
        <w:rPr>
          <w:iCs/>
          <w:sz w:val="22"/>
          <w:szCs w:val="22"/>
          <w:u w:val="single"/>
        </w:rPr>
      </w:pPr>
    </w:p>
    <w:p w14:paraId="547587F5" w14:textId="77777777" w:rsidR="004462A0" w:rsidRPr="00CC4B51" w:rsidRDefault="00615769" w:rsidP="004462A0">
      <w:pPr>
        <w:autoSpaceDE w:val="0"/>
        <w:autoSpaceDN w:val="0"/>
        <w:adjustRightInd w:val="0"/>
        <w:rPr>
          <w:sz w:val="22"/>
          <w:szCs w:val="22"/>
        </w:rPr>
      </w:pPr>
      <w:r w:rsidRPr="00CC4B51">
        <w:rPr>
          <w:iCs/>
          <w:sz w:val="22"/>
          <w:szCs w:val="22"/>
        </w:rPr>
        <w:t xml:space="preserve">Não se recomenda a associação de Humira e </w:t>
      </w:r>
      <w:r w:rsidRPr="00CC4B51">
        <w:rPr>
          <w:sz w:val="22"/>
          <w:szCs w:val="22"/>
        </w:rPr>
        <w:t xml:space="preserve">abatacept (ver secção 4.4 “Administração concomitante de </w:t>
      </w:r>
      <w:r w:rsidR="002B1836" w:rsidRPr="00CC4B51">
        <w:rPr>
          <w:sz w:val="22"/>
          <w:szCs w:val="22"/>
        </w:rPr>
        <w:t>DMAR</w:t>
      </w:r>
      <w:r w:rsidR="002B1836">
        <w:rPr>
          <w:sz w:val="22"/>
          <w:szCs w:val="22"/>
        </w:rPr>
        <w:t>D</w:t>
      </w:r>
      <w:r w:rsidR="002B1836" w:rsidRPr="00CC4B51">
        <w:rPr>
          <w:sz w:val="22"/>
          <w:szCs w:val="22"/>
        </w:rPr>
        <w:t xml:space="preserve">S </w:t>
      </w:r>
      <w:r w:rsidRPr="00CC4B51">
        <w:rPr>
          <w:sz w:val="22"/>
          <w:szCs w:val="22"/>
        </w:rPr>
        <w:t>biológicos ou antagonistas</w:t>
      </w:r>
      <w:r w:rsidRPr="00CC4B51">
        <w:rPr>
          <w:sz w:val="22"/>
          <w:szCs w:val="22"/>
        </w:rPr>
        <w:noBreakHyphen/>
        <w:t>TNF”).</w:t>
      </w:r>
    </w:p>
    <w:p w14:paraId="3BEDAFC6" w14:textId="77777777" w:rsidR="004462A0" w:rsidRPr="00CC4B51" w:rsidRDefault="004462A0" w:rsidP="004462A0">
      <w:pPr>
        <w:autoSpaceDE w:val="0"/>
        <w:autoSpaceDN w:val="0"/>
        <w:adjustRightInd w:val="0"/>
        <w:rPr>
          <w:sz w:val="22"/>
          <w:szCs w:val="22"/>
        </w:rPr>
      </w:pPr>
    </w:p>
    <w:p w14:paraId="287D1CBE" w14:textId="77777777" w:rsidR="004462A0" w:rsidRPr="00CF3350" w:rsidRDefault="00615769" w:rsidP="004462A0">
      <w:pPr>
        <w:keepNext/>
        <w:autoSpaceDE w:val="0"/>
        <w:autoSpaceDN w:val="0"/>
        <w:adjustRightInd w:val="0"/>
        <w:ind w:left="567" w:hanging="567"/>
        <w:rPr>
          <w:b/>
          <w:sz w:val="22"/>
          <w:szCs w:val="22"/>
        </w:rPr>
      </w:pPr>
      <w:r w:rsidRPr="00CC4B51">
        <w:rPr>
          <w:b/>
          <w:bCs/>
          <w:sz w:val="22"/>
          <w:szCs w:val="22"/>
        </w:rPr>
        <w:t>4.6</w:t>
      </w:r>
      <w:r w:rsidRPr="00CC4B51">
        <w:rPr>
          <w:b/>
          <w:bCs/>
          <w:sz w:val="22"/>
          <w:szCs w:val="22"/>
        </w:rPr>
        <w:tab/>
      </w:r>
      <w:r w:rsidRPr="00CF3350">
        <w:rPr>
          <w:b/>
          <w:bCs/>
          <w:sz w:val="22"/>
          <w:szCs w:val="22"/>
        </w:rPr>
        <w:t>Fertilidade, gravidez e aleitamento</w:t>
      </w:r>
    </w:p>
    <w:p w14:paraId="62C46862" w14:textId="77777777" w:rsidR="004462A0" w:rsidRPr="00CF3350" w:rsidRDefault="004462A0" w:rsidP="004462A0">
      <w:pPr>
        <w:keepNext/>
        <w:autoSpaceDE w:val="0"/>
        <w:autoSpaceDN w:val="0"/>
        <w:adjustRightInd w:val="0"/>
        <w:rPr>
          <w:sz w:val="22"/>
          <w:szCs w:val="22"/>
        </w:rPr>
      </w:pPr>
    </w:p>
    <w:p w14:paraId="23E55CC2" w14:textId="77777777" w:rsidR="004462A0" w:rsidRPr="00CF3350" w:rsidRDefault="00615769" w:rsidP="004462A0">
      <w:pPr>
        <w:keepNext/>
        <w:rPr>
          <w:sz w:val="22"/>
          <w:szCs w:val="22"/>
          <w:u w:val="single"/>
        </w:rPr>
      </w:pPr>
      <w:r w:rsidRPr="00CF3350">
        <w:rPr>
          <w:sz w:val="22"/>
          <w:szCs w:val="22"/>
          <w:u w:val="single"/>
        </w:rPr>
        <w:t>Mulheres em idade fértil</w:t>
      </w:r>
    </w:p>
    <w:p w14:paraId="31243A32" w14:textId="77777777" w:rsidR="004462A0" w:rsidRPr="00CF3350" w:rsidRDefault="004462A0" w:rsidP="004462A0">
      <w:pPr>
        <w:rPr>
          <w:b/>
          <w:i/>
          <w:sz w:val="22"/>
          <w:szCs w:val="22"/>
        </w:rPr>
      </w:pPr>
    </w:p>
    <w:p w14:paraId="55D96116" w14:textId="77777777" w:rsidR="004462A0" w:rsidRPr="00CF3350" w:rsidRDefault="00615769" w:rsidP="004462A0">
      <w:pPr>
        <w:rPr>
          <w:b/>
          <w:i/>
          <w:sz w:val="22"/>
          <w:szCs w:val="22"/>
        </w:rPr>
      </w:pPr>
      <w:r w:rsidRPr="00CF3350">
        <w:rPr>
          <w:sz w:val="22"/>
          <w:szCs w:val="22"/>
        </w:rPr>
        <w:t xml:space="preserve">As mulheres em idade fértil </w:t>
      </w:r>
      <w:r w:rsidR="00506235" w:rsidRPr="00CF3350">
        <w:rPr>
          <w:sz w:val="22"/>
          <w:szCs w:val="22"/>
        </w:rPr>
        <w:t>devem considerar a utilização de</w:t>
      </w:r>
      <w:r w:rsidRPr="00CF3350">
        <w:rPr>
          <w:sz w:val="22"/>
          <w:szCs w:val="22"/>
        </w:rPr>
        <w:t xml:space="preserve"> um método contracetivo adequado para evitar a gravidez e continuar a utilizá-lo durante pelo menos cinco meses após o último tratamento com Humira.</w:t>
      </w:r>
    </w:p>
    <w:p w14:paraId="0F6E696E" w14:textId="77777777" w:rsidR="004462A0" w:rsidRPr="00CF3350" w:rsidRDefault="004462A0" w:rsidP="004462A0">
      <w:pPr>
        <w:autoSpaceDE w:val="0"/>
        <w:autoSpaceDN w:val="0"/>
        <w:adjustRightInd w:val="0"/>
        <w:rPr>
          <w:sz w:val="22"/>
          <w:szCs w:val="22"/>
          <w:u w:val="single"/>
        </w:rPr>
      </w:pPr>
    </w:p>
    <w:p w14:paraId="19CF4BAC" w14:textId="77777777" w:rsidR="004462A0" w:rsidRPr="00CF3350" w:rsidRDefault="00615769" w:rsidP="004462A0">
      <w:pPr>
        <w:autoSpaceDE w:val="0"/>
        <w:autoSpaceDN w:val="0"/>
        <w:adjustRightInd w:val="0"/>
        <w:rPr>
          <w:sz w:val="22"/>
          <w:szCs w:val="22"/>
          <w:u w:val="single"/>
        </w:rPr>
      </w:pPr>
      <w:r w:rsidRPr="00CF3350">
        <w:rPr>
          <w:sz w:val="22"/>
          <w:szCs w:val="22"/>
          <w:u w:val="single"/>
        </w:rPr>
        <w:t>Gravidez</w:t>
      </w:r>
    </w:p>
    <w:p w14:paraId="4096CD7E" w14:textId="77777777" w:rsidR="004462A0" w:rsidRPr="00CF3350" w:rsidRDefault="004462A0" w:rsidP="004462A0">
      <w:pPr>
        <w:autoSpaceDE w:val="0"/>
        <w:autoSpaceDN w:val="0"/>
        <w:adjustRightInd w:val="0"/>
        <w:rPr>
          <w:sz w:val="22"/>
          <w:szCs w:val="22"/>
        </w:rPr>
      </w:pPr>
    </w:p>
    <w:p w14:paraId="7456239A" w14:textId="77777777" w:rsidR="00506235" w:rsidRPr="00CF3350" w:rsidRDefault="00615769" w:rsidP="00506235">
      <w:pPr>
        <w:autoSpaceDE w:val="0"/>
        <w:autoSpaceDN w:val="0"/>
        <w:adjustRightInd w:val="0"/>
        <w:rPr>
          <w:sz w:val="22"/>
          <w:szCs w:val="22"/>
        </w:rPr>
      </w:pPr>
      <w:r w:rsidRPr="00CF3350">
        <w:rPr>
          <w:sz w:val="22"/>
          <w:szCs w:val="22"/>
        </w:rPr>
        <w:t>Um grande número de gravidezes (aproximadamente 2.100) recolhidas de forma prospetiva, em que ocorreu exposição a adalimumab, resultando em nados vivos com desfecho conhecido e incluindo mais de 1.500 com exposição durante o primeiro trimestre, não indica um aumento na taxa de malformações no recém-nascido.</w:t>
      </w:r>
    </w:p>
    <w:p w14:paraId="27A0BA11" w14:textId="77777777" w:rsidR="00506235" w:rsidRPr="00CF3350" w:rsidRDefault="00506235" w:rsidP="00506235">
      <w:pPr>
        <w:autoSpaceDE w:val="0"/>
        <w:autoSpaceDN w:val="0"/>
        <w:adjustRightInd w:val="0"/>
        <w:rPr>
          <w:sz w:val="22"/>
          <w:szCs w:val="22"/>
        </w:rPr>
      </w:pPr>
    </w:p>
    <w:p w14:paraId="5C0EE009" w14:textId="77777777" w:rsidR="00506235" w:rsidRPr="00CF3350" w:rsidRDefault="00615769" w:rsidP="00506235">
      <w:pPr>
        <w:autoSpaceDE w:val="0"/>
        <w:autoSpaceDN w:val="0"/>
        <w:adjustRightInd w:val="0"/>
        <w:rPr>
          <w:sz w:val="22"/>
          <w:szCs w:val="22"/>
        </w:rPr>
      </w:pPr>
      <w:r w:rsidRPr="00CF3350">
        <w:rPr>
          <w:sz w:val="22"/>
          <w:szCs w:val="22"/>
        </w:rPr>
        <w:t>Num</w:t>
      </w:r>
      <w:r w:rsidR="00197239" w:rsidRPr="00CF3350">
        <w:rPr>
          <w:sz w:val="22"/>
          <w:szCs w:val="22"/>
        </w:rPr>
        <w:t>a</w:t>
      </w:r>
      <w:r w:rsidRPr="00CF3350">
        <w:rPr>
          <w:sz w:val="22"/>
          <w:szCs w:val="22"/>
        </w:rPr>
        <w:t xml:space="preserve"> coorte prospetiv</w:t>
      </w:r>
      <w:r w:rsidR="00197239" w:rsidRPr="00CF3350">
        <w:rPr>
          <w:sz w:val="22"/>
          <w:szCs w:val="22"/>
        </w:rPr>
        <w:t>a</w:t>
      </w:r>
      <w:r w:rsidRPr="00CF3350">
        <w:rPr>
          <w:sz w:val="22"/>
          <w:szCs w:val="22"/>
        </w:rPr>
        <w:t>, foram incluídas 257 mulheres com artrite reumatoide (AR) ou doença de Crohn (DC) tratadas com adalimumab</w:t>
      </w:r>
      <w:r w:rsidR="00975727">
        <w:rPr>
          <w:sz w:val="22"/>
          <w:szCs w:val="22"/>
        </w:rPr>
        <w:t>,</w:t>
      </w:r>
      <w:r w:rsidRPr="00CF3350">
        <w:rPr>
          <w:sz w:val="22"/>
          <w:szCs w:val="22"/>
        </w:rPr>
        <w:t xml:space="preserve"> pelo menos durante o primeiro trimestre</w:t>
      </w:r>
      <w:r w:rsidR="00975727">
        <w:rPr>
          <w:sz w:val="22"/>
          <w:szCs w:val="22"/>
        </w:rPr>
        <w:t>,</w:t>
      </w:r>
      <w:r w:rsidRPr="00CF3350">
        <w:rPr>
          <w:sz w:val="22"/>
          <w:szCs w:val="22"/>
        </w:rPr>
        <w:t xml:space="preserve"> e 120 mulheres com AR ou DC não tratadas com adalimumab. O </w:t>
      </w:r>
      <w:r w:rsidR="00197239" w:rsidRPr="00CF3350">
        <w:rPr>
          <w:sz w:val="22"/>
          <w:szCs w:val="22"/>
        </w:rPr>
        <w:t>objetivo</w:t>
      </w:r>
      <w:r w:rsidRPr="00CF3350">
        <w:rPr>
          <w:sz w:val="22"/>
          <w:szCs w:val="22"/>
        </w:rPr>
        <w:t xml:space="preserve"> primário foi a prevalência de </w:t>
      </w:r>
      <w:r w:rsidR="00F06203" w:rsidRPr="00CF3350">
        <w:rPr>
          <w:sz w:val="22"/>
          <w:szCs w:val="22"/>
        </w:rPr>
        <w:t>malformações</w:t>
      </w:r>
      <w:r w:rsidRPr="00CF3350">
        <w:rPr>
          <w:sz w:val="22"/>
          <w:szCs w:val="22"/>
        </w:rPr>
        <w:t xml:space="preserve"> </w:t>
      </w:r>
      <w:r w:rsidR="00F06203" w:rsidRPr="00CF3350">
        <w:rPr>
          <w:sz w:val="22"/>
          <w:szCs w:val="22"/>
        </w:rPr>
        <w:t>congénitas</w:t>
      </w:r>
      <w:r w:rsidR="00197239" w:rsidRPr="00CF3350">
        <w:rPr>
          <w:sz w:val="22"/>
          <w:szCs w:val="22"/>
        </w:rPr>
        <w:t xml:space="preserve"> </w:t>
      </w:r>
      <w:r w:rsidR="00197239" w:rsidRPr="00975727">
        <w:rPr>
          <w:i/>
          <w:sz w:val="22"/>
          <w:szCs w:val="22"/>
        </w:rPr>
        <w:t>major</w:t>
      </w:r>
      <w:r w:rsidR="00020595" w:rsidRPr="00CF3350">
        <w:rPr>
          <w:sz w:val="22"/>
          <w:szCs w:val="22"/>
        </w:rPr>
        <w:t xml:space="preserve"> à nascença.</w:t>
      </w:r>
      <w:r w:rsidRPr="00CF3350">
        <w:rPr>
          <w:sz w:val="22"/>
          <w:szCs w:val="22"/>
        </w:rPr>
        <w:t xml:space="preserve"> A taxa de gravidezes que terminaram com pelo menos um </w:t>
      </w:r>
      <w:r w:rsidR="00197239" w:rsidRPr="00CF3350">
        <w:rPr>
          <w:sz w:val="22"/>
          <w:szCs w:val="22"/>
        </w:rPr>
        <w:t>nado</w:t>
      </w:r>
      <w:r w:rsidRPr="00CF3350">
        <w:rPr>
          <w:sz w:val="22"/>
          <w:szCs w:val="22"/>
        </w:rPr>
        <w:t xml:space="preserve"> vivo com um</w:t>
      </w:r>
      <w:r w:rsidR="006F7D10" w:rsidRPr="00CF3350">
        <w:rPr>
          <w:sz w:val="22"/>
          <w:szCs w:val="22"/>
        </w:rPr>
        <w:t>a malformação</w:t>
      </w:r>
      <w:r w:rsidRPr="00CF3350">
        <w:rPr>
          <w:sz w:val="22"/>
          <w:szCs w:val="22"/>
        </w:rPr>
        <w:t xml:space="preserve"> congénit</w:t>
      </w:r>
      <w:r w:rsidR="006F7D10" w:rsidRPr="00CF3350">
        <w:rPr>
          <w:sz w:val="22"/>
          <w:szCs w:val="22"/>
        </w:rPr>
        <w:t>a</w:t>
      </w:r>
      <w:r w:rsidRPr="00CF3350">
        <w:rPr>
          <w:sz w:val="22"/>
          <w:szCs w:val="22"/>
        </w:rPr>
        <w:t xml:space="preserve"> </w:t>
      </w:r>
      <w:r w:rsidR="00197239" w:rsidRPr="00975727">
        <w:rPr>
          <w:i/>
          <w:sz w:val="22"/>
          <w:szCs w:val="22"/>
        </w:rPr>
        <w:t>major</w:t>
      </w:r>
      <w:r w:rsidRPr="00CF3350">
        <w:rPr>
          <w:sz w:val="22"/>
          <w:szCs w:val="22"/>
        </w:rPr>
        <w:t xml:space="preserve"> foi de 6/69 (8,7%) nas mulheres </w:t>
      </w:r>
      <w:r w:rsidR="00197239" w:rsidRPr="00CF3350">
        <w:rPr>
          <w:sz w:val="22"/>
          <w:szCs w:val="22"/>
        </w:rPr>
        <w:t xml:space="preserve">com AR </w:t>
      </w:r>
      <w:r w:rsidRPr="00CF3350">
        <w:rPr>
          <w:sz w:val="22"/>
          <w:szCs w:val="22"/>
        </w:rPr>
        <w:t xml:space="preserve">tratadas com adalimumab e 5/74 (6,8%) nas mulheres </w:t>
      </w:r>
      <w:r w:rsidR="00197239" w:rsidRPr="00CF3350">
        <w:rPr>
          <w:sz w:val="22"/>
          <w:szCs w:val="22"/>
        </w:rPr>
        <w:t xml:space="preserve">com AR </w:t>
      </w:r>
      <w:r w:rsidRPr="00CF3350">
        <w:rPr>
          <w:sz w:val="22"/>
          <w:szCs w:val="22"/>
        </w:rPr>
        <w:t>não tra</w:t>
      </w:r>
      <w:r w:rsidRPr="00CF3350">
        <w:rPr>
          <w:sz w:val="22"/>
          <w:szCs w:val="22"/>
        </w:rPr>
        <w:t>tadas (</w:t>
      </w:r>
      <w:r w:rsidR="00975727" w:rsidRPr="00975727">
        <w:rPr>
          <w:i/>
          <w:sz w:val="22"/>
          <w:szCs w:val="22"/>
        </w:rPr>
        <w:t>odds ratio</w:t>
      </w:r>
      <w:r w:rsidR="00975727">
        <w:rPr>
          <w:sz w:val="22"/>
          <w:szCs w:val="22"/>
        </w:rPr>
        <w:t xml:space="preserve"> (</w:t>
      </w:r>
      <w:r w:rsidRPr="00CF3350">
        <w:rPr>
          <w:sz w:val="22"/>
          <w:szCs w:val="22"/>
        </w:rPr>
        <w:t>OR</w:t>
      </w:r>
      <w:r w:rsidR="00975727">
        <w:rPr>
          <w:sz w:val="22"/>
          <w:szCs w:val="22"/>
        </w:rPr>
        <w:t>)</w:t>
      </w:r>
      <w:r w:rsidRPr="00CF3350">
        <w:rPr>
          <w:sz w:val="22"/>
          <w:szCs w:val="22"/>
        </w:rPr>
        <w:t xml:space="preserve"> não ajustada</w:t>
      </w:r>
      <w:r w:rsidR="00197239" w:rsidRPr="00CF3350">
        <w:rPr>
          <w:sz w:val="22"/>
          <w:szCs w:val="22"/>
        </w:rPr>
        <w:t>:</w:t>
      </w:r>
      <w:r w:rsidRPr="00CF3350">
        <w:rPr>
          <w:sz w:val="22"/>
          <w:szCs w:val="22"/>
        </w:rPr>
        <w:t xml:space="preserve"> 1,31, IC 95% 0,38-4,52) e 16/152 (10,5%) nas mulheres </w:t>
      </w:r>
      <w:r w:rsidR="00197239" w:rsidRPr="00CF3350">
        <w:rPr>
          <w:sz w:val="22"/>
          <w:szCs w:val="22"/>
        </w:rPr>
        <w:t xml:space="preserve">com DC </w:t>
      </w:r>
      <w:r w:rsidRPr="00CF3350">
        <w:rPr>
          <w:sz w:val="22"/>
          <w:szCs w:val="22"/>
        </w:rPr>
        <w:t xml:space="preserve">tratadas com adalimumab e 3/32 (9,4%) nas mulheres </w:t>
      </w:r>
      <w:r w:rsidR="00197239" w:rsidRPr="00CF3350">
        <w:rPr>
          <w:sz w:val="22"/>
          <w:szCs w:val="22"/>
        </w:rPr>
        <w:t xml:space="preserve">com DC </w:t>
      </w:r>
      <w:r w:rsidRPr="00CF3350">
        <w:rPr>
          <w:sz w:val="22"/>
          <w:szCs w:val="22"/>
        </w:rPr>
        <w:t>não tratadas (OR não ajustada</w:t>
      </w:r>
      <w:r w:rsidR="00197239" w:rsidRPr="00CF3350">
        <w:rPr>
          <w:sz w:val="22"/>
          <w:szCs w:val="22"/>
        </w:rPr>
        <w:t>:</w:t>
      </w:r>
      <w:r w:rsidRPr="00CF3350">
        <w:rPr>
          <w:sz w:val="22"/>
          <w:szCs w:val="22"/>
        </w:rPr>
        <w:t xml:space="preserve"> 1,14, IC 95% 0,31-4,16). A OR ajustada (</w:t>
      </w:r>
      <w:r w:rsidR="00197239" w:rsidRPr="00CF3350">
        <w:rPr>
          <w:sz w:val="22"/>
          <w:szCs w:val="22"/>
        </w:rPr>
        <w:t>contabilizando as</w:t>
      </w:r>
      <w:r w:rsidRPr="00CF3350">
        <w:rPr>
          <w:sz w:val="22"/>
          <w:szCs w:val="22"/>
        </w:rPr>
        <w:t xml:space="preserve"> diferenças </w:t>
      </w:r>
      <w:r w:rsidR="006F7D10" w:rsidRPr="00CF3350">
        <w:rPr>
          <w:sz w:val="22"/>
          <w:szCs w:val="22"/>
        </w:rPr>
        <w:t>na avaliação basal</w:t>
      </w:r>
      <w:r w:rsidRPr="00CF3350">
        <w:rPr>
          <w:sz w:val="22"/>
          <w:szCs w:val="22"/>
        </w:rPr>
        <w:t xml:space="preserve">) foi de 1,10 (IC 95% 0,45-2,73) com AR e DC combinadas. Não houve diferenças </w:t>
      </w:r>
      <w:r w:rsidR="00197239" w:rsidRPr="00CF3350">
        <w:rPr>
          <w:sz w:val="22"/>
          <w:szCs w:val="22"/>
        </w:rPr>
        <w:t>significativas</w:t>
      </w:r>
      <w:r w:rsidRPr="00CF3350">
        <w:rPr>
          <w:sz w:val="22"/>
          <w:szCs w:val="22"/>
        </w:rPr>
        <w:t xml:space="preserve"> entre as mulheres tratadas com adalimumab e não tratadas nos </w:t>
      </w:r>
      <w:r w:rsidR="00197239" w:rsidRPr="00CF3350">
        <w:rPr>
          <w:sz w:val="22"/>
          <w:szCs w:val="22"/>
        </w:rPr>
        <w:t>parâmetros</w:t>
      </w:r>
      <w:r w:rsidRPr="00CF3350">
        <w:rPr>
          <w:sz w:val="22"/>
          <w:szCs w:val="22"/>
        </w:rPr>
        <w:t xml:space="preserve"> secundários de abortos espontâneos, </w:t>
      </w:r>
      <w:r w:rsidR="00F06203" w:rsidRPr="00CF3350">
        <w:rPr>
          <w:sz w:val="22"/>
          <w:szCs w:val="22"/>
        </w:rPr>
        <w:t>malformações</w:t>
      </w:r>
      <w:r w:rsidRPr="00CF3350">
        <w:rPr>
          <w:sz w:val="22"/>
          <w:szCs w:val="22"/>
        </w:rPr>
        <w:t xml:space="preserve"> </w:t>
      </w:r>
      <w:r w:rsidR="00F06203" w:rsidRPr="00CF3350">
        <w:rPr>
          <w:sz w:val="22"/>
          <w:szCs w:val="22"/>
        </w:rPr>
        <w:t>congénitas</w:t>
      </w:r>
      <w:r w:rsidRPr="00CF3350">
        <w:rPr>
          <w:sz w:val="22"/>
          <w:szCs w:val="22"/>
        </w:rPr>
        <w:t xml:space="preserve"> menores, part</w:t>
      </w:r>
      <w:r w:rsidRPr="00CF3350">
        <w:rPr>
          <w:sz w:val="22"/>
          <w:szCs w:val="22"/>
        </w:rPr>
        <w:t>o</w:t>
      </w:r>
      <w:r w:rsidR="00975727">
        <w:rPr>
          <w:sz w:val="22"/>
          <w:szCs w:val="22"/>
        </w:rPr>
        <w:t>s</w:t>
      </w:r>
      <w:r w:rsidRPr="00CF3350">
        <w:rPr>
          <w:sz w:val="22"/>
          <w:szCs w:val="22"/>
        </w:rPr>
        <w:t xml:space="preserve"> prematuro</w:t>
      </w:r>
      <w:r w:rsidR="00975727">
        <w:rPr>
          <w:sz w:val="22"/>
          <w:szCs w:val="22"/>
        </w:rPr>
        <w:t>s</w:t>
      </w:r>
      <w:r w:rsidRPr="00CF3350">
        <w:rPr>
          <w:sz w:val="22"/>
          <w:szCs w:val="22"/>
        </w:rPr>
        <w:t xml:space="preserve">, tamanho à nascença e infeções graves ou oportunistas e não foi </w:t>
      </w:r>
      <w:r w:rsidR="00762634" w:rsidRPr="00CF3350">
        <w:rPr>
          <w:sz w:val="22"/>
          <w:szCs w:val="22"/>
        </w:rPr>
        <w:t>notificado</w:t>
      </w:r>
      <w:r w:rsidRPr="00CF3350">
        <w:rPr>
          <w:sz w:val="22"/>
          <w:szCs w:val="22"/>
        </w:rPr>
        <w:t xml:space="preserve"> qualquer nado</w:t>
      </w:r>
      <w:r w:rsidR="00197239" w:rsidRPr="00CF3350">
        <w:rPr>
          <w:sz w:val="22"/>
          <w:szCs w:val="22"/>
        </w:rPr>
        <w:t xml:space="preserve"> </w:t>
      </w:r>
      <w:r w:rsidRPr="00CF3350">
        <w:rPr>
          <w:sz w:val="22"/>
          <w:szCs w:val="22"/>
        </w:rPr>
        <w:t xml:space="preserve">morto ou neoplasia maligna. A interpretação dos dados </w:t>
      </w:r>
      <w:r w:rsidR="00975727">
        <w:rPr>
          <w:sz w:val="22"/>
          <w:szCs w:val="22"/>
        </w:rPr>
        <w:t>deve ser cuidadosamente avaliada</w:t>
      </w:r>
      <w:r w:rsidRPr="00CF3350">
        <w:rPr>
          <w:sz w:val="22"/>
          <w:szCs w:val="22"/>
        </w:rPr>
        <w:t xml:space="preserve"> devido às limitações metodológicas do estudo, incluindo o pequeno tamanho da amostra e o desenho não </w:t>
      </w:r>
      <w:r w:rsidR="00197239" w:rsidRPr="00CF3350">
        <w:rPr>
          <w:sz w:val="22"/>
          <w:szCs w:val="22"/>
        </w:rPr>
        <w:t>aleatorizad</w:t>
      </w:r>
      <w:r w:rsidRPr="00CF3350">
        <w:rPr>
          <w:sz w:val="22"/>
          <w:szCs w:val="22"/>
        </w:rPr>
        <w:t>o.</w:t>
      </w:r>
    </w:p>
    <w:p w14:paraId="41B5AC82" w14:textId="77777777" w:rsidR="004462A0" w:rsidRPr="00CF3350" w:rsidRDefault="004462A0" w:rsidP="004462A0">
      <w:pPr>
        <w:autoSpaceDE w:val="0"/>
        <w:autoSpaceDN w:val="0"/>
        <w:adjustRightInd w:val="0"/>
        <w:rPr>
          <w:sz w:val="22"/>
          <w:szCs w:val="22"/>
        </w:rPr>
      </w:pPr>
    </w:p>
    <w:p w14:paraId="71A7DF00" w14:textId="77777777" w:rsidR="004462A0" w:rsidRPr="00CF3350" w:rsidRDefault="00615769" w:rsidP="004462A0">
      <w:pPr>
        <w:autoSpaceDE w:val="0"/>
        <w:autoSpaceDN w:val="0"/>
        <w:adjustRightInd w:val="0"/>
        <w:rPr>
          <w:sz w:val="22"/>
          <w:szCs w:val="22"/>
        </w:rPr>
      </w:pPr>
      <w:r w:rsidRPr="00CF3350">
        <w:rPr>
          <w:sz w:val="22"/>
          <w:szCs w:val="22"/>
        </w:rPr>
        <w:t>Um estudo de toxicidade do desenvolvimento efetuado em macacos não revelou quaisquer sinais de toxicidade materna, embriotoxicidade ou teratogenicidade. Não se dispõe de dados pré-clínicos sobre a toxicidade pós-natal de adalimumab (ver secção 5.3).</w:t>
      </w:r>
    </w:p>
    <w:p w14:paraId="5022F2CB" w14:textId="77777777" w:rsidR="004462A0" w:rsidRPr="00CF3350" w:rsidRDefault="004462A0" w:rsidP="004462A0">
      <w:pPr>
        <w:autoSpaceDE w:val="0"/>
        <w:autoSpaceDN w:val="0"/>
        <w:adjustRightInd w:val="0"/>
        <w:rPr>
          <w:sz w:val="22"/>
          <w:szCs w:val="22"/>
        </w:rPr>
      </w:pPr>
    </w:p>
    <w:p w14:paraId="67C92FE2" w14:textId="77777777" w:rsidR="00506235" w:rsidRPr="00CF3350" w:rsidRDefault="00615769" w:rsidP="00506235">
      <w:pPr>
        <w:autoSpaceDE w:val="0"/>
        <w:autoSpaceDN w:val="0"/>
        <w:adjustRightInd w:val="0"/>
        <w:rPr>
          <w:sz w:val="22"/>
          <w:szCs w:val="22"/>
        </w:rPr>
      </w:pPr>
      <w:r w:rsidRPr="00CF3350">
        <w:rPr>
          <w:sz w:val="22"/>
          <w:szCs w:val="22"/>
        </w:rPr>
        <w:t>Devido à sua inibição de TNF</w:t>
      </w:r>
      <w:r w:rsidRPr="00CF3350">
        <w:rPr>
          <w:rFonts w:ascii="Symbol" w:hAnsi="Symbol"/>
          <w:sz w:val="22"/>
          <w:szCs w:val="22"/>
        </w:rPr>
        <w:sym w:font="Symbol" w:char="F061"/>
      </w:r>
      <w:r w:rsidRPr="00CF3350">
        <w:rPr>
          <w:sz w:val="22"/>
          <w:szCs w:val="22"/>
        </w:rPr>
        <w:t xml:space="preserve">, a administração de adalimumab durante a gravidez pode afetar as respostas imunitárias normais no recém-nascido. Adalimumab </w:t>
      </w:r>
      <w:r w:rsidR="00197239" w:rsidRPr="00CF3350">
        <w:rPr>
          <w:sz w:val="22"/>
          <w:szCs w:val="22"/>
        </w:rPr>
        <w:t xml:space="preserve">apenas </w:t>
      </w:r>
      <w:r w:rsidRPr="00CF3350">
        <w:rPr>
          <w:sz w:val="22"/>
          <w:szCs w:val="22"/>
        </w:rPr>
        <w:t xml:space="preserve">deve ser utilizado na gravidez se </w:t>
      </w:r>
      <w:r w:rsidR="00197239" w:rsidRPr="00CF3350">
        <w:rPr>
          <w:sz w:val="22"/>
          <w:szCs w:val="22"/>
        </w:rPr>
        <w:t>estrita</w:t>
      </w:r>
      <w:r w:rsidRPr="00CF3350">
        <w:rPr>
          <w:sz w:val="22"/>
          <w:szCs w:val="22"/>
        </w:rPr>
        <w:t>mente necessário.</w:t>
      </w:r>
    </w:p>
    <w:p w14:paraId="2C3EDEA6" w14:textId="77777777" w:rsidR="004462A0" w:rsidRPr="00CF3350" w:rsidRDefault="00615769" w:rsidP="004462A0">
      <w:pPr>
        <w:autoSpaceDE w:val="0"/>
        <w:autoSpaceDN w:val="0"/>
        <w:adjustRightInd w:val="0"/>
        <w:rPr>
          <w:sz w:val="22"/>
          <w:szCs w:val="22"/>
        </w:rPr>
      </w:pPr>
      <w:r w:rsidRPr="00CF3350">
        <w:rPr>
          <w:sz w:val="22"/>
          <w:szCs w:val="22"/>
        </w:rPr>
        <w:t xml:space="preserve"> </w:t>
      </w:r>
    </w:p>
    <w:p w14:paraId="02F04F37" w14:textId="77777777" w:rsidR="004462A0" w:rsidRPr="00CF3350" w:rsidRDefault="00615769" w:rsidP="004462A0">
      <w:pPr>
        <w:rPr>
          <w:sz w:val="22"/>
          <w:szCs w:val="22"/>
        </w:rPr>
      </w:pPr>
      <w:r>
        <w:rPr>
          <w:sz w:val="22"/>
          <w:szCs w:val="22"/>
        </w:rPr>
        <w:t>A</w:t>
      </w:r>
      <w:r w:rsidRPr="00CF3350">
        <w:rPr>
          <w:sz w:val="22"/>
          <w:szCs w:val="22"/>
        </w:rPr>
        <w:t xml:space="preserve">dalimumab pode atravessar a placenta para o soro das crianças nascidas de mulheres tratadas com adalimumab, durante a gravidez. Por conseguinte, estas crianças podem ter um risco aumentado de infeção. Não se recomenda a administração de vacinas vivas </w:t>
      </w:r>
      <w:r w:rsidR="00506235" w:rsidRPr="00CF3350">
        <w:rPr>
          <w:sz w:val="22"/>
          <w:szCs w:val="22"/>
        </w:rPr>
        <w:t>(</w:t>
      </w:r>
      <w:r w:rsidR="00AD0004" w:rsidRPr="00CF3350">
        <w:rPr>
          <w:sz w:val="22"/>
          <w:szCs w:val="22"/>
        </w:rPr>
        <w:t xml:space="preserve">p.ex., </w:t>
      </w:r>
      <w:r w:rsidR="00506235" w:rsidRPr="00CF3350">
        <w:rPr>
          <w:sz w:val="22"/>
          <w:szCs w:val="22"/>
        </w:rPr>
        <w:t xml:space="preserve">vacina da BCG) </w:t>
      </w:r>
      <w:r w:rsidR="00BF2F9C">
        <w:rPr>
          <w:sz w:val="22"/>
          <w:szCs w:val="22"/>
        </w:rPr>
        <w:t>a</w:t>
      </w:r>
      <w:r w:rsidR="00BF2F9C" w:rsidRPr="00CF3350">
        <w:rPr>
          <w:sz w:val="22"/>
          <w:szCs w:val="22"/>
        </w:rPr>
        <w:t xml:space="preserve"> </w:t>
      </w:r>
      <w:r w:rsidRPr="00CF3350">
        <w:rPr>
          <w:sz w:val="22"/>
          <w:szCs w:val="22"/>
        </w:rPr>
        <w:t>crianças com exposição intrauterina a adalimumab durante 5 meses após a última injeção de adalimumab da mãe durante a gravidez.</w:t>
      </w:r>
    </w:p>
    <w:p w14:paraId="581B9A57" w14:textId="77777777" w:rsidR="004462A0" w:rsidRPr="00CF3350" w:rsidRDefault="004462A0" w:rsidP="004462A0">
      <w:pPr>
        <w:rPr>
          <w:sz w:val="22"/>
          <w:szCs w:val="22"/>
        </w:rPr>
      </w:pPr>
    </w:p>
    <w:p w14:paraId="35FCDFA3" w14:textId="77777777" w:rsidR="004462A0" w:rsidRPr="00CF3350" w:rsidRDefault="00615769" w:rsidP="003D66D7">
      <w:pPr>
        <w:keepNext/>
        <w:rPr>
          <w:sz w:val="22"/>
          <w:szCs w:val="22"/>
          <w:u w:val="single"/>
        </w:rPr>
      </w:pPr>
      <w:r w:rsidRPr="00CF3350">
        <w:rPr>
          <w:sz w:val="22"/>
          <w:szCs w:val="22"/>
          <w:u w:val="single"/>
        </w:rPr>
        <w:t>Amamentação</w:t>
      </w:r>
    </w:p>
    <w:p w14:paraId="411C4D80" w14:textId="77777777" w:rsidR="004462A0" w:rsidRPr="00CF3350" w:rsidRDefault="004462A0" w:rsidP="003D66D7">
      <w:pPr>
        <w:keepNext/>
        <w:autoSpaceDE w:val="0"/>
        <w:autoSpaceDN w:val="0"/>
        <w:adjustRightInd w:val="0"/>
        <w:rPr>
          <w:sz w:val="22"/>
          <w:szCs w:val="22"/>
        </w:rPr>
      </w:pPr>
    </w:p>
    <w:p w14:paraId="75D606CE" w14:textId="77777777" w:rsidR="004462A0" w:rsidRPr="00CF3350" w:rsidRDefault="00615769" w:rsidP="004462A0">
      <w:pPr>
        <w:rPr>
          <w:sz w:val="22"/>
          <w:szCs w:val="22"/>
        </w:rPr>
      </w:pPr>
      <w:r w:rsidRPr="00CF3350">
        <w:rPr>
          <w:sz w:val="22"/>
          <w:szCs w:val="22"/>
        </w:rPr>
        <w:t>Informaç</w:t>
      </w:r>
      <w:r w:rsidR="00197239" w:rsidRPr="00CF3350">
        <w:rPr>
          <w:sz w:val="22"/>
          <w:szCs w:val="22"/>
        </w:rPr>
        <w:t>ão</w:t>
      </w:r>
      <w:r w:rsidRPr="00CF3350">
        <w:rPr>
          <w:sz w:val="22"/>
          <w:szCs w:val="22"/>
        </w:rPr>
        <w:t xml:space="preserve"> limitada </w:t>
      </w:r>
      <w:r w:rsidR="00197239" w:rsidRPr="00CF3350">
        <w:rPr>
          <w:sz w:val="22"/>
          <w:szCs w:val="22"/>
        </w:rPr>
        <w:t>publicada n</w:t>
      </w:r>
      <w:r w:rsidRPr="00CF3350">
        <w:rPr>
          <w:sz w:val="22"/>
          <w:szCs w:val="22"/>
        </w:rPr>
        <w:t>a literatura indica que adalimumab é excretado no leite materno em concentrações muito baixas</w:t>
      </w:r>
      <w:r w:rsidR="001409A7" w:rsidRPr="00CF3350">
        <w:rPr>
          <w:sz w:val="22"/>
          <w:szCs w:val="22"/>
        </w:rPr>
        <w:t>,</w:t>
      </w:r>
      <w:r w:rsidRPr="00CF3350">
        <w:rPr>
          <w:sz w:val="22"/>
          <w:szCs w:val="22"/>
        </w:rPr>
        <w:t xml:space="preserve"> com a presença de adalimumab no leite humano em concentrações de 0,1% a 1% do nível sérico materno. </w:t>
      </w:r>
      <w:r w:rsidR="00197239" w:rsidRPr="00CF3350">
        <w:rPr>
          <w:sz w:val="22"/>
          <w:szCs w:val="22"/>
        </w:rPr>
        <w:t>Quando a</w:t>
      </w:r>
      <w:r w:rsidRPr="00CF3350">
        <w:rPr>
          <w:sz w:val="22"/>
          <w:szCs w:val="22"/>
        </w:rPr>
        <w:t>dministradas oralmente, as imunoglobulina</w:t>
      </w:r>
      <w:r w:rsidR="00197239" w:rsidRPr="00CF3350">
        <w:rPr>
          <w:sz w:val="22"/>
          <w:szCs w:val="22"/>
        </w:rPr>
        <w:t>s</w:t>
      </w:r>
      <w:r w:rsidRPr="00CF3350">
        <w:rPr>
          <w:sz w:val="22"/>
          <w:szCs w:val="22"/>
        </w:rPr>
        <w:t xml:space="preserve"> G sofrem proteólise intestinal e apresentam baixa biodisponibilidade. Não é </w:t>
      </w:r>
      <w:r w:rsidR="006F7D10" w:rsidRPr="00CF3350">
        <w:rPr>
          <w:sz w:val="22"/>
          <w:szCs w:val="22"/>
        </w:rPr>
        <w:t>esperado</w:t>
      </w:r>
      <w:r w:rsidRPr="00CF3350">
        <w:rPr>
          <w:sz w:val="22"/>
          <w:szCs w:val="22"/>
        </w:rPr>
        <w:t xml:space="preserve"> qualquer efeito nos recém-nascidos/lactentes amamentados. Consequentemente, Humira pode ser usado durante a amamentação.</w:t>
      </w:r>
    </w:p>
    <w:p w14:paraId="2ED00ED7" w14:textId="77777777" w:rsidR="00BF2F9C" w:rsidRDefault="00BF2F9C" w:rsidP="004462A0">
      <w:pPr>
        <w:rPr>
          <w:sz w:val="22"/>
          <w:szCs w:val="22"/>
          <w:u w:val="single"/>
        </w:rPr>
      </w:pPr>
    </w:p>
    <w:p w14:paraId="7ED60746" w14:textId="77777777" w:rsidR="004462A0" w:rsidRPr="00CF3350" w:rsidRDefault="00615769" w:rsidP="004462A0">
      <w:pPr>
        <w:rPr>
          <w:sz w:val="22"/>
          <w:szCs w:val="22"/>
          <w:u w:val="single"/>
        </w:rPr>
      </w:pPr>
      <w:r w:rsidRPr="00CF3350">
        <w:rPr>
          <w:sz w:val="22"/>
          <w:szCs w:val="22"/>
          <w:u w:val="single"/>
        </w:rPr>
        <w:t>Fertilidade</w:t>
      </w:r>
    </w:p>
    <w:p w14:paraId="73E1F8F8" w14:textId="77777777" w:rsidR="004462A0" w:rsidRPr="00CF3350" w:rsidRDefault="004462A0" w:rsidP="004462A0">
      <w:pPr>
        <w:rPr>
          <w:sz w:val="22"/>
          <w:szCs w:val="22"/>
        </w:rPr>
      </w:pPr>
    </w:p>
    <w:p w14:paraId="3F193BB4" w14:textId="77777777" w:rsidR="004462A0" w:rsidRPr="00CF3350" w:rsidRDefault="00615769" w:rsidP="004462A0">
      <w:pPr>
        <w:rPr>
          <w:sz w:val="22"/>
          <w:szCs w:val="22"/>
        </w:rPr>
      </w:pPr>
      <w:r w:rsidRPr="00CF3350">
        <w:rPr>
          <w:sz w:val="22"/>
          <w:szCs w:val="22"/>
        </w:rPr>
        <w:t>N</w:t>
      </w:r>
      <w:r w:rsidR="00BF2F9C">
        <w:rPr>
          <w:sz w:val="22"/>
          <w:szCs w:val="22"/>
        </w:rPr>
        <w:t>ã</w:t>
      </w:r>
      <w:r w:rsidRPr="00CF3350">
        <w:rPr>
          <w:sz w:val="22"/>
          <w:szCs w:val="22"/>
        </w:rPr>
        <w:t>o se dispõe de dados pré-clínicos sobre os efeitos de adalimumab na fertilidade.</w:t>
      </w:r>
    </w:p>
    <w:p w14:paraId="46143ABD" w14:textId="77777777" w:rsidR="004462A0" w:rsidRPr="00CC4B51" w:rsidRDefault="004462A0" w:rsidP="004462A0">
      <w:pPr>
        <w:rPr>
          <w:b/>
          <w:i/>
          <w:sz w:val="22"/>
          <w:szCs w:val="22"/>
        </w:rPr>
      </w:pPr>
    </w:p>
    <w:p w14:paraId="111E300B" w14:textId="77777777" w:rsidR="004462A0" w:rsidRPr="00CC4B51" w:rsidRDefault="00615769" w:rsidP="00B24AC6">
      <w:pPr>
        <w:keepNext/>
        <w:ind w:left="567" w:hanging="567"/>
        <w:rPr>
          <w:sz w:val="22"/>
          <w:szCs w:val="22"/>
        </w:rPr>
      </w:pPr>
      <w:r w:rsidRPr="00CC4B51">
        <w:rPr>
          <w:b/>
          <w:sz w:val="22"/>
          <w:szCs w:val="22"/>
        </w:rPr>
        <w:t>4.7</w:t>
      </w:r>
      <w:r w:rsidRPr="00CC4B51">
        <w:rPr>
          <w:b/>
          <w:sz w:val="22"/>
          <w:szCs w:val="22"/>
        </w:rPr>
        <w:tab/>
        <w:t xml:space="preserve">Efeitos sobre a capacidade de conduzir ou utilizar máquinas </w:t>
      </w:r>
    </w:p>
    <w:p w14:paraId="4E25BF22" w14:textId="77777777" w:rsidR="004462A0" w:rsidRPr="00CC4B51" w:rsidRDefault="004462A0" w:rsidP="00B24AC6">
      <w:pPr>
        <w:keepNext/>
        <w:rPr>
          <w:sz w:val="22"/>
          <w:szCs w:val="22"/>
        </w:rPr>
      </w:pPr>
    </w:p>
    <w:p w14:paraId="19224A7B" w14:textId="77777777" w:rsidR="004462A0" w:rsidRPr="00CC4B51" w:rsidRDefault="00615769" w:rsidP="00B24AC6">
      <w:pPr>
        <w:keepNext/>
        <w:rPr>
          <w:bCs/>
          <w:sz w:val="22"/>
          <w:szCs w:val="22"/>
        </w:rPr>
      </w:pPr>
      <w:r w:rsidRPr="00CC4B51">
        <w:rPr>
          <w:bCs/>
          <w:sz w:val="22"/>
          <w:szCs w:val="22"/>
        </w:rPr>
        <w:t>Humira pode ter uma pequena influência na capacidade de conduzir e utilizar máquinas. Após a administração de Humira podem ocorrer vertigens e alterações da acuidade visual (ver secção 4.8).</w:t>
      </w:r>
    </w:p>
    <w:p w14:paraId="538FFCF7" w14:textId="77777777" w:rsidR="004462A0" w:rsidRPr="00CC4B51" w:rsidRDefault="004462A0" w:rsidP="00B24AC6">
      <w:pPr>
        <w:keepNext/>
        <w:rPr>
          <w:bCs/>
          <w:sz w:val="22"/>
          <w:szCs w:val="22"/>
        </w:rPr>
      </w:pPr>
    </w:p>
    <w:p w14:paraId="55E876FB" w14:textId="77777777" w:rsidR="004462A0" w:rsidRPr="00CC4B51" w:rsidRDefault="00615769" w:rsidP="004462A0">
      <w:pPr>
        <w:ind w:left="567" w:hanging="567"/>
        <w:rPr>
          <w:b/>
          <w:sz w:val="22"/>
          <w:szCs w:val="22"/>
        </w:rPr>
      </w:pPr>
      <w:r w:rsidRPr="00CC4B51">
        <w:rPr>
          <w:b/>
          <w:sz w:val="22"/>
          <w:szCs w:val="22"/>
        </w:rPr>
        <w:t>4.8</w:t>
      </w:r>
      <w:r w:rsidRPr="00CC4B51">
        <w:rPr>
          <w:b/>
          <w:sz w:val="22"/>
          <w:szCs w:val="22"/>
        </w:rPr>
        <w:tab/>
        <w:t xml:space="preserve">Efeitos indesejáveis </w:t>
      </w:r>
    </w:p>
    <w:p w14:paraId="52296090" w14:textId="77777777" w:rsidR="004462A0" w:rsidRPr="00CC4B51" w:rsidRDefault="004462A0" w:rsidP="004462A0">
      <w:pPr>
        <w:rPr>
          <w:bCs/>
          <w:sz w:val="22"/>
          <w:szCs w:val="22"/>
          <w:u w:val="single"/>
        </w:rPr>
      </w:pPr>
    </w:p>
    <w:p w14:paraId="186A44F0" w14:textId="77777777" w:rsidR="004462A0" w:rsidRPr="00CC4B51" w:rsidRDefault="00615769" w:rsidP="004462A0">
      <w:pPr>
        <w:autoSpaceDE w:val="0"/>
        <w:autoSpaceDN w:val="0"/>
        <w:adjustRightInd w:val="0"/>
        <w:rPr>
          <w:sz w:val="22"/>
          <w:szCs w:val="22"/>
          <w:u w:val="single"/>
        </w:rPr>
      </w:pPr>
      <w:r w:rsidRPr="00CC4B51">
        <w:rPr>
          <w:sz w:val="22"/>
          <w:szCs w:val="22"/>
          <w:u w:val="single"/>
        </w:rPr>
        <w:t>Resumo do perfil de segurança</w:t>
      </w:r>
    </w:p>
    <w:p w14:paraId="3FE36FBF" w14:textId="77777777" w:rsidR="004462A0" w:rsidRPr="00CC4B51" w:rsidRDefault="004462A0" w:rsidP="004462A0">
      <w:pPr>
        <w:autoSpaceDE w:val="0"/>
        <w:autoSpaceDN w:val="0"/>
        <w:adjustRightInd w:val="0"/>
        <w:rPr>
          <w:sz w:val="22"/>
          <w:szCs w:val="22"/>
        </w:rPr>
      </w:pPr>
    </w:p>
    <w:p w14:paraId="1342D3F2" w14:textId="77777777" w:rsidR="004462A0" w:rsidRPr="00CC4B51" w:rsidRDefault="00615769" w:rsidP="004462A0">
      <w:pPr>
        <w:autoSpaceDE w:val="0"/>
        <w:autoSpaceDN w:val="0"/>
        <w:adjustRightInd w:val="0"/>
        <w:rPr>
          <w:sz w:val="22"/>
          <w:szCs w:val="22"/>
        </w:rPr>
      </w:pPr>
      <w:r w:rsidRPr="00CC4B51">
        <w:rPr>
          <w:sz w:val="22"/>
          <w:szCs w:val="22"/>
        </w:rPr>
        <w:t>Humira foi estudado em 9.506 doentes no âmbito de ensaios principais controlados e de fase aberta até 60 meses ou mais. Estes ensaios incluíram doentes com artrite reumatoide de curta evolução e com doença de evolução prolongada</w:t>
      </w:r>
      <w:r w:rsidR="00BF2F9C">
        <w:rPr>
          <w:sz w:val="22"/>
          <w:szCs w:val="22"/>
        </w:rPr>
        <w:t>,</w:t>
      </w:r>
      <w:r w:rsidRPr="00CC4B51">
        <w:rPr>
          <w:sz w:val="22"/>
          <w:szCs w:val="22"/>
        </w:rPr>
        <w:t xml:space="preserve"> artrite idiopática juvenil (artrite idiopática juvenil poliarticular e artrite relacionada com entesite), bem como doentes com espondilartrite axial (espondilite anquilosante e espondilartrite axial sem evidência radiográfica de EA), artrite psoriática, doença de Crohn, colite ulcerosa, psoríase, hidradenite supurativa e uveíte. Os estudos principais controlados envolveram 6.089</w:t>
      </w:r>
      <w:r w:rsidR="009343EF">
        <w:rPr>
          <w:sz w:val="22"/>
          <w:szCs w:val="22"/>
        </w:rPr>
        <w:t xml:space="preserve"> </w:t>
      </w:r>
      <w:r w:rsidRPr="00CC4B51">
        <w:rPr>
          <w:sz w:val="22"/>
          <w:szCs w:val="22"/>
        </w:rPr>
        <w:t>doentes que receberam Humira e 3.801</w:t>
      </w:r>
      <w:r w:rsidR="009343EF">
        <w:rPr>
          <w:sz w:val="22"/>
          <w:szCs w:val="22"/>
        </w:rPr>
        <w:t xml:space="preserve"> </w:t>
      </w:r>
      <w:r w:rsidRPr="00CC4B51">
        <w:rPr>
          <w:sz w:val="22"/>
          <w:szCs w:val="22"/>
        </w:rPr>
        <w:t xml:space="preserve">doentes que receberam placebo ou comparador ativo durante o período controlado. </w:t>
      </w:r>
    </w:p>
    <w:p w14:paraId="05C9B16D" w14:textId="77777777" w:rsidR="004462A0" w:rsidRPr="00CC4B51" w:rsidRDefault="004462A0" w:rsidP="004462A0">
      <w:pPr>
        <w:autoSpaceDE w:val="0"/>
        <w:autoSpaceDN w:val="0"/>
        <w:adjustRightInd w:val="0"/>
        <w:rPr>
          <w:sz w:val="22"/>
          <w:szCs w:val="22"/>
        </w:rPr>
      </w:pPr>
    </w:p>
    <w:p w14:paraId="25A85327" w14:textId="77777777" w:rsidR="004462A0" w:rsidRPr="00CC4B51" w:rsidRDefault="00615769" w:rsidP="004462A0">
      <w:pPr>
        <w:autoSpaceDE w:val="0"/>
        <w:autoSpaceDN w:val="0"/>
        <w:adjustRightInd w:val="0"/>
        <w:rPr>
          <w:b/>
          <w:sz w:val="22"/>
          <w:szCs w:val="22"/>
        </w:rPr>
      </w:pPr>
      <w:r w:rsidRPr="00CC4B51">
        <w:rPr>
          <w:sz w:val="22"/>
          <w:szCs w:val="22"/>
        </w:rPr>
        <w:t>A percentagem de doentes que suspendeu o tratamento devido a acontecimentos adversos durante a fase controlada</w:t>
      </w:r>
      <w:r w:rsidR="001D79C6">
        <w:rPr>
          <w:sz w:val="22"/>
          <w:szCs w:val="22"/>
        </w:rPr>
        <w:t>,</w:t>
      </w:r>
      <w:r w:rsidRPr="00CC4B51">
        <w:rPr>
          <w:sz w:val="22"/>
          <w:szCs w:val="22"/>
        </w:rPr>
        <w:t xml:space="preserve"> de dupla ocultação, dos </w:t>
      </w:r>
      <w:r w:rsidR="001D79C6" w:rsidRPr="00CC4B51">
        <w:rPr>
          <w:sz w:val="22"/>
          <w:szCs w:val="22"/>
        </w:rPr>
        <w:t xml:space="preserve">estudos </w:t>
      </w:r>
      <w:r w:rsidRPr="00CC4B51">
        <w:rPr>
          <w:sz w:val="22"/>
          <w:szCs w:val="22"/>
        </w:rPr>
        <w:t>principais foi de 5,9% nos doentes tratados com Humira e de 5,4</w:t>
      </w:r>
      <w:r w:rsidR="009343EF">
        <w:rPr>
          <w:sz w:val="22"/>
          <w:szCs w:val="22"/>
        </w:rPr>
        <w:t>%</w:t>
      </w:r>
      <w:r w:rsidRPr="00CC4B51">
        <w:rPr>
          <w:sz w:val="22"/>
          <w:szCs w:val="22"/>
        </w:rPr>
        <w:t xml:space="preserve"> nos doentes tratados com controlo.</w:t>
      </w:r>
    </w:p>
    <w:p w14:paraId="458ACD9E" w14:textId="77777777" w:rsidR="004462A0" w:rsidRPr="00CC4B51" w:rsidRDefault="004462A0" w:rsidP="004462A0">
      <w:pPr>
        <w:autoSpaceDE w:val="0"/>
        <w:autoSpaceDN w:val="0"/>
        <w:adjustRightInd w:val="0"/>
        <w:rPr>
          <w:sz w:val="22"/>
          <w:szCs w:val="22"/>
        </w:rPr>
      </w:pPr>
    </w:p>
    <w:p w14:paraId="78FF070E" w14:textId="77777777" w:rsidR="004462A0" w:rsidRPr="00CC4B51" w:rsidRDefault="00615769" w:rsidP="004462A0">
      <w:pPr>
        <w:autoSpaceDE w:val="0"/>
        <w:autoSpaceDN w:val="0"/>
        <w:adjustRightInd w:val="0"/>
        <w:rPr>
          <w:sz w:val="22"/>
          <w:szCs w:val="22"/>
        </w:rPr>
      </w:pPr>
      <w:r w:rsidRPr="00CC4B51">
        <w:rPr>
          <w:sz w:val="22"/>
          <w:szCs w:val="22"/>
        </w:rPr>
        <w:t>As reações adversas mais frequentemente notificadas são infeções (tais como nasofaringite, infeção do trato respiratório superior e sinusite), reações no local da injeção (eritema, prurido, hemorragia, dor ou edema), cefaleias e dor musculoesquelética.</w:t>
      </w:r>
    </w:p>
    <w:p w14:paraId="6ABE8A10" w14:textId="77777777" w:rsidR="004462A0" w:rsidRPr="00CC4B51" w:rsidRDefault="004462A0" w:rsidP="004462A0">
      <w:pPr>
        <w:autoSpaceDE w:val="0"/>
        <w:autoSpaceDN w:val="0"/>
        <w:adjustRightInd w:val="0"/>
        <w:rPr>
          <w:sz w:val="22"/>
          <w:szCs w:val="22"/>
        </w:rPr>
      </w:pPr>
    </w:p>
    <w:p w14:paraId="2AC369E5" w14:textId="77777777" w:rsidR="004462A0" w:rsidRPr="00CC4B51" w:rsidRDefault="00615769" w:rsidP="004462A0">
      <w:pPr>
        <w:autoSpaceDE w:val="0"/>
        <w:autoSpaceDN w:val="0"/>
        <w:adjustRightInd w:val="0"/>
        <w:rPr>
          <w:sz w:val="22"/>
          <w:szCs w:val="22"/>
        </w:rPr>
      </w:pPr>
      <w:r w:rsidRPr="00CC4B51">
        <w:rPr>
          <w:sz w:val="22"/>
          <w:szCs w:val="22"/>
        </w:rPr>
        <w:t xml:space="preserve">Foram notificadas reações adversas graves com Humira. </w:t>
      </w:r>
      <w:r w:rsidR="001D79C6">
        <w:rPr>
          <w:sz w:val="22"/>
          <w:szCs w:val="22"/>
        </w:rPr>
        <w:t>Os a</w:t>
      </w:r>
      <w:r w:rsidRPr="00CC4B51">
        <w:rPr>
          <w:sz w:val="22"/>
          <w:szCs w:val="22"/>
        </w:rPr>
        <w:t>ntagonistas</w:t>
      </w:r>
      <w:r w:rsidRPr="00CC4B51">
        <w:rPr>
          <w:sz w:val="22"/>
          <w:szCs w:val="22"/>
        </w:rPr>
        <w:noBreakHyphen/>
        <w:t>TNF, tais como Humira, atuam no sistema imunitário e a sua utilização pode afetar os mecanismos de defesa contra infeções e cancro. Durante o tratamento com Humira, foram também notificadas infeções fatais e potencialmente fatais (incluindo sepsia, infeções oportunistas e TB), reativação de HBV e várias neoplasias (incluindo leucemia, linfoma e HSTCL).</w:t>
      </w:r>
    </w:p>
    <w:p w14:paraId="25C2471E" w14:textId="77777777" w:rsidR="004462A0" w:rsidRPr="00CC4B51" w:rsidRDefault="004462A0" w:rsidP="004462A0">
      <w:pPr>
        <w:autoSpaceDE w:val="0"/>
        <w:autoSpaceDN w:val="0"/>
        <w:adjustRightInd w:val="0"/>
        <w:rPr>
          <w:sz w:val="22"/>
          <w:szCs w:val="22"/>
        </w:rPr>
      </w:pPr>
    </w:p>
    <w:p w14:paraId="292F03F8" w14:textId="77777777" w:rsidR="004462A0" w:rsidRPr="00CC4B51" w:rsidRDefault="00615769" w:rsidP="004462A0">
      <w:pPr>
        <w:autoSpaceDE w:val="0"/>
        <w:autoSpaceDN w:val="0"/>
        <w:adjustRightInd w:val="0"/>
        <w:rPr>
          <w:sz w:val="22"/>
          <w:szCs w:val="22"/>
        </w:rPr>
      </w:pPr>
      <w:r w:rsidRPr="00CC4B51">
        <w:rPr>
          <w:sz w:val="22"/>
          <w:szCs w:val="22"/>
        </w:rPr>
        <w:t>Foram também notificadas reações graves hematológicas, neurológicas e autoimunes, incluindo casos raros de pancitopenia, anemia aplástica, perturbações desmielinizantes do sistema nervoso central e periférico, lúpus, doenças tipo lúpus e síndrome de Stevens-Johnson.</w:t>
      </w:r>
    </w:p>
    <w:p w14:paraId="0BB8122B" w14:textId="77777777" w:rsidR="004462A0" w:rsidRPr="00CC4B51" w:rsidRDefault="004462A0" w:rsidP="004462A0">
      <w:pPr>
        <w:rPr>
          <w:sz w:val="22"/>
          <w:szCs w:val="22"/>
        </w:rPr>
      </w:pPr>
    </w:p>
    <w:p w14:paraId="2F9DC3A1" w14:textId="77777777" w:rsidR="004462A0" w:rsidRPr="00CC4B51" w:rsidRDefault="00615769" w:rsidP="004462A0">
      <w:pPr>
        <w:outlineLvl w:val="8"/>
        <w:rPr>
          <w:iCs/>
          <w:sz w:val="22"/>
          <w:szCs w:val="22"/>
          <w:u w:val="single"/>
        </w:rPr>
      </w:pPr>
      <w:r w:rsidRPr="00CC4B51">
        <w:rPr>
          <w:iCs/>
          <w:sz w:val="22"/>
          <w:szCs w:val="22"/>
          <w:u w:val="single"/>
        </w:rPr>
        <w:t>População pediátrica</w:t>
      </w:r>
    </w:p>
    <w:p w14:paraId="5266C051" w14:textId="77777777" w:rsidR="004462A0" w:rsidRPr="00CC4B51" w:rsidRDefault="004462A0" w:rsidP="004462A0">
      <w:pPr>
        <w:rPr>
          <w:sz w:val="22"/>
          <w:szCs w:val="22"/>
        </w:rPr>
      </w:pPr>
    </w:p>
    <w:p w14:paraId="4AECD28B" w14:textId="77777777" w:rsidR="004462A0" w:rsidRPr="00CC4B51" w:rsidRDefault="00615769" w:rsidP="004462A0">
      <w:pPr>
        <w:rPr>
          <w:sz w:val="22"/>
          <w:szCs w:val="22"/>
        </w:rPr>
      </w:pPr>
      <w:r w:rsidRPr="00CC4B51">
        <w:rPr>
          <w:sz w:val="22"/>
          <w:szCs w:val="22"/>
        </w:rPr>
        <w:t>Em geral, os acontecimentos adversos em doentes pediátricos foram semelhantes em frequência e tipo aos observados em doentes adultos.</w:t>
      </w:r>
    </w:p>
    <w:p w14:paraId="7A5606A5" w14:textId="77777777" w:rsidR="004462A0" w:rsidRPr="00CC4B51" w:rsidRDefault="004462A0" w:rsidP="004462A0">
      <w:pPr>
        <w:rPr>
          <w:sz w:val="22"/>
          <w:szCs w:val="22"/>
        </w:rPr>
      </w:pPr>
    </w:p>
    <w:p w14:paraId="5149D436" w14:textId="77777777" w:rsidR="004462A0" w:rsidRPr="00CC4B51" w:rsidRDefault="00615769" w:rsidP="003D66D7">
      <w:pPr>
        <w:keepNext/>
        <w:rPr>
          <w:sz w:val="22"/>
          <w:szCs w:val="22"/>
        </w:rPr>
      </w:pPr>
      <w:r w:rsidRPr="00CC4B51">
        <w:rPr>
          <w:sz w:val="22"/>
          <w:szCs w:val="22"/>
          <w:u w:val="single"/>
        </w:rPr>
        <w:t>Tabela de reações adversas</w:t>
      </w:r>
    </w:p>
    <w:p w14:paraId="185F0797" w14:textId="77777777" w:rsidR="004462A0" w:rsidRPr="00CC4B51" w:rsidRDefault="004462A0" w:rsidP="003D66D7">
      <w:pPr>
        <w:keepNext/>
        <w:rPr>
          <w:sz w:val="22"/>
          <w:szCs w:val="22"/>
        </w:rPr>
      </w:pPr>
    </w:p>
    <w:p w14:paraId="10B2FBE2" w14:textId="77777777" w:rsidR="004462A0" w:rsidRPr="00CC4B51" w:rsidRDefault="00615769" w:rsidP="003D66D7">
      <w:pPr>
        <w:keepNext/>
        <w:rPr>
          <w:sz w:val="22"/>
          <w:szCs w:val="22"/>
        </w:rPr>
      </w:pPr>
      <w:r w:rsidRPr="00CC4B51">
        <w:rPr>
          <w:sz w:val="22"/>
          <w:szCs w:val="22"/>
          <w:lang w:eastAsia="pt-PT"/>
        </w:rPr>
        <w:t>A</w:t>
      </w:r>
      <w:r w:rsidRPr="00CC4B51">
        <w:rPr>
          <w:sz w:val="23"/>
          <w:szCs w:val="23"/>
          <w:lang w:eastAsia="pt-PT"/>
        </w:rPr>
        <w:t xml:space="preserve">s reações </w:t>
      </w:r>
      <w:r w:rsidRPr="00DF5632">
        <w:rPr>
          <w:sz w:val="22"/>
          <w:szCs w:val="22"/>
          <w:lang w:eastAsia="pt-PT"/>
        </w:rPr>
        <w:t>adversas, baseadas na experiência em ensaios clínicos e na experiência pós-comercialização</w:t>
      </w:r>
      <w:r w:rsidR="00026992" w:rsidRPr="00DF5632">
        <w:rPr>
          <w:sz w:val="22"/>
          <w:szCs w:val="22"/>
          <w:lang w:eastAsia="pt-PT"/>
        </w:rPr>
        <w:t>,</w:t>
      </w:r>
      <w:r w:rsidRPr="00DF5632">
        <w:rPr>
          <w:sz w:val="22"/>
          <w:szCs w:val="22"/>
          <w:lang w:eastAsia="pt-PT"/>
        </w:rPr>
        <w:t xml:space="preserve"> </w:t>
      </w:r>
      <w:r w:rsidRPr="00BF2F9C">
        <w:rPr>
          <w:sz w:val="22"/>
          <w:szCs w:val="22"/>
        </w:rPr>
        <w:t>são indicadas por classes de sistemas de órgãos e frequência</w:t>
      </w:r>
      <w:r w:rsidRPr="00DF5632">
        <w:rPr>
          <w:sz w:val="22"/>
          <w:szCs w:val="22"/>
          <w:lang w:eastAsia="pt-PT"/>
        </w:rPr>
        <w:t xml:space="preserve"> na </w:t>
      </w:r>
      <w:r w:rsidRPr="00BF2F9C">
        <w:rPr>
          <w:sz w:val="22"/>
          <w:szCs w:val="22"/>
          <w:lang w:eastAsia="pt-PT"/>
        </w:rPr>
        <w:t xml:space="preserve">Tabela </w:t>
      </w:r>
      <w:r w:rsidR="00AB0B1F">
        <w:rPr>
          <w:sz w:val="22"/>
          <w:szCs w:val="22"/>
          <w:lang w:eastAsia="pt-PT"/>
        </w:rPr>
        <w:t>4</w:t>
      </w:r>
      <w:r w:rsidRPr="00BF2F9C">
        <w:rPr>
          <w:sz w:val="22"/>
          <w:szCs w:val="22"/>
          <w:lang w:eastAsia="pt-PT"/>
        </w:rPr>
        <w:t xml:space="preserve"> abaixo:</w:t>
      </w:r>
      <w:r w:rsidRPr="00BF2F9C">
        <w:rPr>
          <w:sz w:val="22"/>
          <w:szCs w:val="22"/>
        </w:rPr>
        <w:t xml:space="preserve"> muito frequentes (</w:t>
      </w:r>
      <w:r w:rsidR="0090687D" w:rsidRPr="00BF2F9C">
        <w:rPr>
          <w:sz w:val="22"/>
          <w:szCs w:val="22"/>
        </w:rPr>
        <w:t>≥</w:t>
      </w:r>
      <w:r w:rsidRPr="00BF2F9C">
        <w:rPr>
          <w:sz w:val="22"/>
          <w:szCs w:val="22"/>
        </w:rPr>
        <w:t>1/10); frequentes (</w:t>
      </w:r>
      <w:r w:rsidR="0090687D" w:rsidRPr="00BF2F9C">
        <w:rPr>
          <w:sz w:val="22"/>
          <w:szCs w:val="22"/>
        </w:rPr>
        <w:t>≥</w:t>
      </w:r>
      <w:r w:rsidRPr="00BF2F9C">
        <w:rPr>
          <w:sz w:val="22"/>
          <w:szCs w:val="22"/>
        </w:rPr>
        <w:t>1/100</w:t>
      </w:r>
      <w:r w:rsidR="0090687D" w:rsidRPr="00BF2F9C">
        <w:rPr>
          <w:sz w:val="22"/>
          <w:szCs w:val="22"/>
        </w:rPr>
        <w:t>,</w:t>
      </w:r>
      <w:r w:rsidRPr="00BF2F9C">
        <w:rPr>
          <w:sz w:val="22"/>
          <w:szCs w:val="22"/>
        </w:rPr>
        <w:t xml:space="preserve"> </w:t>
      </w:r>
      <w:r w:rsidRPr="00BF2F9C">
        <w:rPr>
          <w:rFonts w:ascii="Symbol" w:hAnsi="Symbol"/>
          <w:sz w:val="22"/>
          <w:szCs w:val="22"/>
        </w:rPr>
        <w:sym w:font="Symbol" w:char="F03C"/>
      </w:r>
      <w:r w:rsidRPr="00BF2F9C">
        <w:rPr>
          <w:sz w:val="22"/>
          <w:szCs w:val="22"/>
        </w:rPr>
        <w:t>1/10); pouco frequentes (</w:t>
      </w:r>
      <w:r w:rsidR="0090687D" w:rsidRPr="00BF2F9C">
        <w:rPr>
          <w:sz w:val="22"/>
          <w:szCs w:val="22"/>
        </w:rPr>
        <w:t>≥</w:t>
      </w:r>
      <w:r w:rsidRPr="00BF2F9C">
        <w:rPr>
          <w:sz w:val="22"/>
          <w:szCs w:val="22"/>
        </w:rPr>
        <w:t>1/1.000</w:t>
      </w:r>
      <w:r w:rsidR="0090687D" w:rsidRPr="00BF2F9C">
        <w:rPr>
          <w:sz w:val="22"/>
          <w:szCs w:val="22"/>
        </w:rPr>
        <w:t>,</w:t>
      </w:r>
      <w:r w:rsidRPr="00BF2F9C">
        <w:rPr>
          <w:sz w:val="22"/>
          <w:szCs w:val="22"/>
        </w:rPr>
        <w:t xml:space="preserve"> </w:t>
      </w:r>
      <w:r w:rsidR="0090687D" w:rsidRPr="00BF2F9C">
        <w:rPr>
          <w:sz w:val="22"/>
          <w:szCs w:val="22"/>
        </w:rPr>
        <w:t>&lt;</w:t>
      </w:r>
      <w:r w:rsidRPr="00BF2F9C">
        <w:rPr>
          <w:sz w:val="22"/>
          <w:szCs w:val="22"/>
        </w:rPr>
        <w:t>1/100); raros (</w:t>
      </w:r>
      <w:r w:rsidR="0090687D" w:rsidRPr="00BF2F9C">
        <w:rPr>
          <w:sz w:val="22"/>
          <w:szCs w:val="22"/>
        </w:rPr>
        <w:t>≥</w:t>
      </w:r>
      <w:r w:rsidRPr="00BF2F9C">
        <w:rPr>
          <w:sz w:val="22"/>
          <w:szCs w:val="22"/>
        </w:rPr>
        <w:t>1/10.000</w:t>
      </w:r>
      <w:r w:rsidR="0090687D" w:rsidRPr="00BF2F9C">
        <w:rPr>
          <w:sz w:val="22"/>
          <w:szCs w:val="22"/>
        </w:rPr>
        <w:t>,</w:t>
      </w:r>
      <w:r w:rsidRPr="00BF2F9C">
        <w:rPr>
          <w:sz w:val="22"/>
          <w:szCs w:val="22"/>
        </w:rPr>
        <w:t xml:space="preserve"> &lt;1/1.000) e desconhecido (não pode ser calculad</w:t>
      </w:r>
      <w:r w:rsidR="0090687D" w:rsidRPr="00BF2F9C">
        <w:rPr>
          <w:sz w:val="22"/>
          <w:szCs w:val="22"/>
        </w:rPr>
        <w:t>o</w:t>
      </w:r>
      <w:r w:rsidRPr="00BF2F9C">
        <w:rPr>
          <w:sz w:val="22"/>
          <w:szCs w:val="22"/>
        </w:rPr>
        <w:t xml:space="preserve"> a partir dos dados disponíveis). Os efeitos indesejáveis são apresentados por ordem decrescente de gravidade dentro de cada</w:t>
      </w:r>
      <w:r w:rsidRPr="00CC4B51">
        <w:rPr>
          <w:sz w:val="22"/>
          <w:szCs w:val="22"/>
        </w:rPr>
        <w:t xml:space="preserve"> classe de frequência. Foi incluída a frequência mais elevada observada nas várias indicações. Caso estejam disponíveis informações adicionais nas secções 4.3, 4.4 e 4.8 aparece um asterisco (*) na coluna das CSO.</w:t>
      </w:r>
    </w:p>
    <w:p w14:paraId="3D75C047" w14:textId="77777777" w:rsidR="004462A0" w:rsidRPr="00CC4B51" w:rsidRDefault="004462A0" w:rsidP="004462A0">
      <w:pPr>
        <w:rPr>
          <w:sz w:val="22"/>
          <w:szCs w:val="22"/>
        </w:rPr>
      </w:pPr>
    </w:p>
    <w:p w14:paraId="695E3FF4" w14:textId="77777777" w:rsidR="004462A0" w:rsidRPr="00CC4B51" w:rsidRDefault="00615769" w:rsidP="004462A0">
      <w:pPr>
        <w:keepNext/>
        <w:tabs>
          <w:tab w:val="left" w:pos="1080"/>
        </w:tabs>
        <w:jc w:val="center"/>
        <w:rPr>
          <w:b/>
          <w:sz w:val="22"/>
          <w:szCs w:val="22"/>
        </w:rPr>
      </w:pPr>
      <w:r w:rsidRPr="00CC4B51">
        <w:rPr>
          <w:b/>
          <w:sz w:val="22"/>
          <w:szCs w:val="22"/>
        </w:rPr>
        <w:t xml:space="preserve">Tabela </w:t>
      </w:r>
      <w:r w:rsidR="00AB0B1F">
        <w:rPr>
          <w:b/>
          <w:sz w:val="22"/>
          <w:szCs w:val="22"/>
        </w:rPr>
        <w:t>4</w:t>
      </w:r>
    </w:p>
    <w:p w14:paraId="5FC85D83" w14:textId="77777777" w:rsidR="004462A0" w:rsidRPr="00CC4B51" w:rsidRDefault="00615769" w:rsidP="004462A0">
      <w:pPr>
        <w:keepNext/>
        <w:tabs>
          <w:tab w:val="left" w:pos="1080"/>
        </w:tabs>
        <w:jc w:val="center"/>
        <w:rPr>
          <w:b/>
          <w:sz w:val="22"/>
          <w:szCs w:val="22"/>
        </w:rPr>
      </w:pPr>
      <w:r w:rsidRPr="00CC4B51">
        <w:rPr>
          <w:b/>
          <w:sz w:val="22"/>
          <w:szCs w:val="22"/>
        </w:rPr>
        <w:t>Efeitos indesejáveis</w:t>
      </w:r>
    </w:p>
    <w:p w14:paraId="24B85DAF" w14:textId="77777777" w:rsidR="004462A0" w:rsidRPr="00CC4B51" w:rsidRDefault="004462A0" w:rsidP="004462A0">
      <w:pPr>
        <w:keepNext/>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1996"/>
        <w:gridCol w:w="4346"/>
      </w:tblGrid>
      <w:tr w:rsidR="00A7162A" w14:paraId="0CC7F1DC" w14:textId="77777777" w:rsidTr="00F675CF">
        <w:trPr>
          <w:tblHeader/>
        </w:trPr>
        <w:tc>
          <w:tcPr>
            <w:tcW w:w="2514" w:type="dxa"/>
          </w:tcPr>
          <w:p w14:paraId="4FEEB60D" w14:textId="77777777" w:rsidR="004462A0" w:rsidRPr="00CC4B51" w:rsidRDefault="00615769" w:rsidP="00F675CF">
            <w:pPr>
              <w:keepNext/>
              <w:widowControl w:val="0"/>
              <w:spacing w:before="120" w:after="120"/>
              <w:jc w:val="center"/>
              <w:rPr>
                <w:b/>
              </w:rPr>
            </w:pPr>
            <w:r w:rsidRPr="00CC4B51">
              <w:rPr>
                <w:b/>
                <w:bCs/>
                <w:sz w:val="22"/>
                <w:szCs w:val="22"/>
              </w:rPr>
              <w:t>Classes de sistema</w:t>
            </w:r>
            <w:r w:rsidR="00D9472B">
              <w:rPr>
                <w:b/>
                <w:bCs/>
                <w:sz w:val="22"/>
                <w:szCs w:val="22"/>
              </w:rPr>
              <w:t>s</w:t>
            </w:r>
            <w:r w:rsidRPr="00CC4B51">
              <w:rPr>
                <w:b/>
                <w:bCs/>
                <w:sz w:val="22"/>
                <w:szCs w:val="22"/>
              </w:rPr>
              <w:t xml:space="preserve"> de órgãos</w:t>
            </w:r>
          </w:p>
        </w:tc>
        <w:tc>
          <w:tcPr>
            <w:tcW w:w="1996" w:type="dxa"/>
          </w:tcPr>
          <w:p w14:paraId="13CAE266" w14:textId="77777777" w:rsidR="004462A0" w:rsidRPr="00CC4B51" w:rsidRDefault="00615769" w:rsidP="00F675CF">
            <w:pPr>
              <w:keepNext/>
              <w:widowControl w:val="0"/>
              <w:spacing w:before="120" w:after="120"/>
              <w:jc w:val="center"/>
              <w:rPr>
                <w:b/>
              </w:rPr>
            </w:pPr>
            <w:r w:rsidRPr="00CC4B51">
              <w:rPr>
                <w:b/>
                <w:bCs/>
                <w:sz w:val="22"/>
                <w:szCs w:val="22"/>
              </w:rPr>
              <w:t>Frequência</w:t>
            </w:r>
          </w:p>
        </w:tc>
        <w:tc>
          <w:tcPr>
            <w:tcW w:w="4346" w:type="dxa"/>
          </w:tcPr>
          <w:p w14:paraId="695C1614" w14:textId="77777777" w:rsidR="004462A0" w:rsidRPr="00CC4B51" w:rsidRDefault="00615769" w:rsidP="00F675CF">
            <w:pPr>
              <w:keepNext/>
              <w:widowControl w:val="0"/>
              <w:spacing w:before="120" w:after="120"/>
              <w:jc w:val="center"/>
              <w:rPr>
                <w:b/>
              </w:rPr>
            </w:pPr>
            <w:r w:rsidRPr="00CC4B51">
              <w:rPr>
                <w:b/>
                <w:bCs/>
                <w:sz w:val="22"/>
                <w:szCs w:val="22"/>
              </w:rPr>
              <w:t>Reações adversas</w:t>
            </w:r>
          </w:p>
        </w:tc>
      </w:tr>
      <w:tr w:rsidR="00A7162A" w14:paraId="39AC916E" w14:textId="77777777" w:rsidTr="00F675CF">
        <w:tc>
          <w:tcPr>
            <w:tcW w:w="2514" w:type="dxa"/>
            <w:vMerge w:val="restart"/>
          </w:tcPr>
          <w:p w14:paraId="6D962A4F" w14:textId="77777777" w:rsidR="004462A0" w:rsidRPr="00CC4B51" w:rsidRDefault="00615769" w:rsidP="00F675CF">
            <w:pPr>
              <w:widowControl w:val="0"/>
              <w:tabs>
                <w:tab w:val="left" w:pos="562"/>
              </w:tabs>
              <w:suppressAutoHyphens/>
              <w:rPr>
                <w:sz w:val="22"/>
                <w:szCs w:val="22"/>
              </w:rPr>
            </w:pPr>
            <w:r w:rsidRPr="00CC4B51">
              <w:rPr>
                <w:sz w:val="22"/>
                <w:szCs w:val="22"/>
              </w:rPr>
              <w:t>Infeções e infestações *</w:t>
            </w:r>
          </w:p>
          <w:p w14:paraId="34E20B0A" w14:textId="77777777" w:rsidR="004462A0" w:rsidRPr="00CC4B51" w:rsidRDefault="004462A0" w:rsidP="00F675CF">
            <w:pPr>
              <w:widowControl w:val="0"/>
              <w:jc w:val="center"/>
            </w:pPr>
          </w:p>
        </w:tc>
        <w:tc>
          <w:tcPr>
            <w:tcW w:w="1996" w:type="dxa"/>
            <w:tcBorders>
              <w:bottom w:val="nil"/>
            </w:tcBorders>
          </w:tcPr>
          <w:p w14:paraId="5ECE5FAA" w14:textId="77777777" w:rsidR="004462A0" w:rsidRPr="00CC4B51" w:rsidRDefault="00615769" w:rsidP="00F675CF">
            <w:pPr>
              <w:widowControl w:val="0"/>
              <w:tabs>
                <w:tab w:val="left" w:pos="562"/>
              </w:tabs>
              <w:suppressAutoHyphens/>
              <w:rPr>
                <w:sz w:val="22"/>
                <w:szCs w:val="22"/>
              </w:rPr>
            </w:pPr>
            <w:r w:rsidRPr="00CC4B51">
              <w:rPr>
                <w:sz w:val="22"/>
                <w:szCs w:val="22"/>
              </w:rPr>
              <w:t>Muito frequentes</w:t>
            </w:r>
          </w:p>
        </w:tc>
        <w:tc>
          <w:tcPr>
            <w:tcW w:w="4346" w:type="dxa"/>
            <w:tcBorders>
              <w:bottom w:val="nil"/>
            </w:tcBorders>
          </w:tcPr>
          <w:p w14:paraId="2E38DF37" w14:textId="77777777" w:rsidR="004462A0" w:rsidRPr="00CC4B51" w:rsidRDefault="00615769" w:rsidP="00F675CF">
            <w:pPr>
              <w:tabs>
                <w:tab w:val="left" w:pos="562"/>
              </w:tabs>
              <w:suppressAutoHyphens/>
              <w:rPr>
                <w:sz w:val="22"/>
                <w:szCs w:val="22"/>
              </w:rPr>
            </w:pPr>
            <w:r>
              <w:rPr>
                <w:sz w:val="22"/>
                <w:szCs w:val="22"/>
              </w:rPr>
              <w:t>I</w:t>
            </w:r>
            <w:r w:rsidRPr="00CC4B51">
              <w:rPr>
                <w:sz w:val="22"/>
                <w:szCs w:val="22"/>
              </w:rPr>
              <w:t>nfeções do trato respiratório (incluindo infeção do trato respiratório superior e inferior, pneumonia, sinusite, faringite, nasofaringite e pneumonia a herpes viral)</w:t>
            </w:r>
          </w:p>
          <w:p w14:paraId="56D80E61" w14:textId="77777777" w:rsidR="004462A0" w:rsidRPr="00CC4B51" w:rsidRDefault="004462A0" w:rsidP="00F675CF">
            <w:pPr>
              <w:tabs>
                <w:tab w:val="left" w:pos="562"/>
              </w:tabs>
              <w:suppressAutoHyphens/>
              <w:rPr>
                <w:sz w:val="22"/>
                <w:szCs w:val="22"/>
              </w:rPr>
            </w:pPr>
          </w:p>
        </w:tc>
      </w:tr>
      <w:tr w:rsidR="00A7162A" w14:paraId="796DF934" w14:textId="77777777" w:rsidTr="0004619E">
        <w:tc>
          <w:tcPr>
            <w:tcW w:w="2514" w:type="dxa"/>
            <w:vMerge/>
          </w:tcPr>
          <w:p w14:paraId="2C53FBE8" w14:textId="77777777" w:rsidR="004462A0" w:rsidRPr="00CC4B51" w:rsidRDefault="004462A0" w:rsidP="00F675CF">
            <w:pPr>
              <w:widowControl w:val="0"/>
              <w:jc w:val="center"/>
              <w:rPr>
                <w:b/>
              </w:rPr>
            </w:pPr>
          </w:p>
        </w:tc>
        <w:tc>
          <w:tcPr>
            <w:tcW w:w="1996" w:type="dxa"/>
            <w:tcBorders>
              <w:top w:val="nil"/>
              <w:bottom w:val="single" w:sz="4" w:space="0" w:color="auto"/>
            </w:tcBorders>
          </w:tcPr>
          <w:p w14:paraId="2CF3D00B" w14:textId="77777777" w:rsidR="004462A0" w:rsidRPr="00CC4B51" w:rsidRDefault="00615769" w:rsidP="00F675CF">
            <w:pPr>
              <w:widowControl w:val="0"/>
              <w:tabs>
                <w:tab w:val="left" w:pos="562"/>
              </w:tabs>
              <w:suppressAutoHyphens/>
              <w:rPr>
                <w:sz w:val="22"/>
                <w:szCs w:val="22"/>
              </w:rPr>
            </w:pPr>
            <w:r w:rsidRPr="00CC4B51">
              <w:rPr>
                <w:sz w:val="22"/>
                <w:szCs w:val="22"/>
              </w:rPr>
              <w:t>Frequentes</w:t>
            </w:r>
          </w:p>
        </w:tc>
        <w:tc>
          <w:tcPr>
            <w:tcW w:w="4346" w:type="dxa"/>
            <w:tcBorders>
              <w:top w:val="nil"/>
              <w:bottom w:val="single" w:sz="4" w:space="0" w:color="auto"/>
            </w:tcBorders>
          </w:tcPr>
          <w:p w14:paraId="20810AE4" w14:textId="77777777" w:rsidR="004462A0" w:rsidRPr="00CC4B51" w:rsidRDefault="00615769" w:rsidP="00F675CF">
            <w:pPr>
              <w:tabs>
                <w:tab w:val="left" w:pos="562"/>
              </w:tabs>
              <w:suppressAutoHyphens/>
              <w:rPr>
                <w:sz w:val="22"/>
                <w:szCs w:val="22"/>
              </w:rPr>
            </w:pPr>
            <w:r>
              <w:rPr>
                <w:sz w:val="22"/>
                <w:szCs w:val="22"/>
              </w:rPr>
              <w:t>I</w:t>
            </w:r>
            <w:r w:rsidRPr="00CC4B51">
              <w:rPr>
                <w:sz w:val="22"/>
                <w:szCs w:val="22"/>
              </w:rPr>
              <w:t>nfeções sistémicas (incluindo sepsia, candidíase e influenza),</w:t>
            </w:r>
          </w:p>
          <w:p w14:paraId="118B9EF4" w14:textId="77777777" w:rsidR="004462A0" w:rsidRPr="00CC4B51" w:rsidRDefault="00615769" w:rsidP="00F675CF">
            <w:pPr>
              <w:tabs>
                <w:tab w:val="left" w:pos="562"/>
              </w:tabs>
              <w:suppressAutoHyphens/>
              <w:rPr>
                <w:sz w:val="22"/>
                <w:szCs w:val="22"/>
              </w:rPr>
            </w:pPr>
            <w:r w:rsidRPr="00CC4B51">
              <w:rPr>
                <w:sz w:val="22"/>
                <w:szCs w:val="22"/>
              </w:rPr>
              <w:t>infeções intestinais (incluindo gastroenterite viral),</w:t>
            </w:r>
          </w:p>
          <w:p w14:paraId="345DAD1D" w14:textId="77777777" w:rsidR="004462A0" w:rsidRPr="00CC4B51" w:rsidRDefault="00615769" w:rsidP="00F675CF">
            <w:pPr>
              <w:tabs>
                <w:tab w:val="left" w:pos="562"/>
              </w:tabs>
              <w:suppressAutoHyphens/>
              <w:rPr>
                <w:sz w:val="22"/>
                <w:szCs w:val="22"/>
              </w:rPr>
            </w:pPr>
            <w:r w:rsidRPr="00CC4B51">
              <w:rPr>
                <w:sz w:val="22"/>
                <w:szCs w:val="22"/>
              </w:rPr>
              <w:t xml:space="preserve">infeções da pele e tecidos moles (incluindo paroníquia, celulite, impetigo, fasciite necrosante e herpes zoster), </w:t>
            </w:r>
          </w:p>
          <w:p w14:paraId="08C70D67" w14:textId="77777777" w:rsidR="004462A0" w:rsidRPr="00CC4B51" w:rsidRDefault="00615769" w:rsidP="00F675CF">
            <w:pPr>
              <w:tabs>
                <w:tab w:val="left" w:pos="562"/>
              </w:tabs>
              <w:suppressAutoHyphens/>
              <w:rPr>
                <w:sz w:val="22"/>
                <w:szCs w:val="22"/>
              </w:rPr>
            </w:pPr>
            <w:r w:rsidRPr="00CC4B51">
              <w:rPr>
                <w:sz w:val="22"/>
                <w:szCs w:val="22"/>
              </w:rPr>
              <w:t xml:space="preserve">infeções auriculares, </w:t>
            </w:r>
          </w:p>
          <w:p w14:paraId="5759D00E" w14:textId="77777777" w:rsidR="004462A0" w:rsidRPr="00CC4B51" w:rsidRDefault="00615769" w:rsidP="00F675CF">
            <w:pPr>
              <w:tabs>
                <w:tab w:val="left" w:pos="562"/>
              </w:tabs>
              <w:suppressAutoHyphens/>
              <w:rPr>
                <w:sz w:val="22"/>
                <w:szCs w:val="22"/>
              </w:rPr>
            </w:pPr>
            <w:r w:rsidRPr="00CC4B51">
              <w:rPr>
                <w:sz w:val="22"/>
                <w:szCs w:val="22"/>
              </w:rPr>
              <w:t>infeções orais (incluindo herpes simplex, herpes oral e infeções odontológicas),</w:t>
            </w:r>
          </w:p>
          <w:p w14:paraId="2B8F864C" w14:textId="77777777" w:rsidR="004462A0" w:rsidRPr="00CC4B51" w:rsidRDefault="00615769" w:rsidP="00F675CF">
            <w:pPr>
              <w:tabs>
                <w:tab w:val="left" w:pos="562"/>
              </w:tabs>
              <w:suppressAutoHyphens/>
              <w:rPr>
                <w:sz w:val="22"/>
                <w:szCs w:val="22"/>
              </w:rPr>
            </w:pPr>
            <w:r w:rsidRPr="00CC4B51">
              <w:rPr>
                <w:sz w:val="22"/>
                <w:szCs w:val="22"/>
              </w:rPr>
              <w:t>infeções no sistema reprodutor (incluindo infeção micótica vulvovaginal),</w:t>
            </w:r>
          </w:p>
          <w:p w14:paraId="3C1FE9F3" w14:textId="77777777" w:rsidR="004462A0" w:rsidRPr="00CC4B51" w:rsidRDefault="00615769" w:rsidP="00F675CF">
            <w:pPr>
              <w:tabs>
                <w:tab w:val="left" w:pos="562"/>
              </w:tabs>
              <w:suppressAutoHyphens/>
              <w:rPr>
                <w:sz w:val="22"/>
                <w:szCs w:val="22"/>
              </w:rPr>
            </w:pPr>
            <w:r w:rsidRPr="00CC4B51">
              <w:rPr>
                <w:sz w:val="22"/>
                <w:szCs w:val="22"/>
              </w:rPr>
              <w:t>infeções do trato urinário (incluindo pielonefrite),</w:t>
            </w:r>
          </w:p>
          <w:p w14:paraId="2F5EEF09" w14:textId="77777777" w:rsidR="004462A0" w:rsidRPr="00CC4B51" w:rsidRDefault="00615769" w:rsidP="00F675CF">
            <w:pPr>
              <w:tabs>
                <w:tab w:val="left" w:pos="562"/>
              </w:tabs>
              <w:suppressAutoHyphens/>
              <w:rPr>
                <w:sz w:val="22"/>
                <w:szCs w:val="22"/>
              </w:rPr>
            </w:pPr>
            <w:r w:rsidRPr="00CC4B51">
              <w:rPr>
                <w:sz w:val="22"/>
                <w:szCs w:val="22"/>
              </w:rPr>
              <w:t xml:space="preserve">infeções fúngicas, </w:t>
            </w:r>
          </w:p>
          <w:p w14:paraId="68050B5A" w14:textId="77777777" w:rsidR="004462A0" w:rsidRDefault="00615769" w:rsidP="00F675CF">
            <w:pPr>
              <w:tabs>
                <w:tab w:val="left" w:pos="562"/>
              </w:tabs>
              <w:suppressAutoHyphens/>
              <w:rPr>
                <w:sz w:val="22"/>
                <w:szCs w:val="22"/>
              </w:rPr>
            </w:pPr>
            <w:r w:rsidRPr="00CC4B51">
              <w:rPr>
                <w:sz w:val="22"/>
                <w:szCs w:val="22"/>
              </w:rPr>
              <w:t>infeções articulares</w:t>
            </w:r>
          </w:p>
          <w:p w14:paraId="249168CB" w14:textId="77777777" w:rsidR="00BF2F9C" w:rsidRPr="00CC4B51" w:rsidRDefault="00BF2F9C" w:rsidP="00F675CF">
            <w:pPr>
              <w:tabs>
                <w:tab w:val="left" w:pos="562"/>
              </w:tabs>
              <w:suppressAutoHyphens/>
              <w:rPr>
                <w:sz w:val="22"/>
                <w:szCs w:val="22"/>
              </w:rPr>
            </w:pPr>
          </w:p>
        </w:tc>
      </w:tr>
      <w:tr w:rsidR="00A7162A" w14:paraId="79741F73" w14:textId="77777777" w:rsidTr="00F675CF">
        <w:tc>
          <w:tcPr>
            <w:tcW w:w="2514" w:type="dxa"/>
            <w:vMerge/>
          </w:tcPr>
          <w:p w14:paraId="0AFE2858" w14:textId="77777777" w:rsidR="004462A0" w:rsidRPr="00CC4B51" w:rsidRDefault="004462A0" w:rsidP="00F675CF">
            <w:pPr>
              <w:widowControl w:val="0"/>
              <w:jc w:val="center"/>
              <w:rPr>
                <w:b/>
              </w:rPr>
            </w:pPr>
          </w:p>
        </w:tc>
        <w:tc>
          <w:tcPr>
            <w:tcW w:w="1996" w:type="dxa"/>
            <w:tcBorders>
              <w:bottom w:val="nil"/>
            </w:tcBorders>
          </w:tcPr>
          <w:p w14:paraId="535E7389" w14:textId="77777777" w:rsidR="004462A0" w:rsidRPr="00CC4B51" w:rsidRDefault="00615769" w:rsidP="00F675CF">
            <w:pPr>
              <w:widowControl w:val="0"/>
              <w:tabs>
                <w:tab w:val="left" w:pos="562"/>
              </w:tabs>
              <w:suppressAutoHyphens/>
              <w:rPr>
                <w:sz w:val="22"/>
                <w:szCs w:val="22"/>
              </w:rPr>
            </w:pPr>
            <w:r w:rsidRPr="00CC4B51">
              <w:rPr>
                <w:sz w:val="22"/>
                <w:szCs w:val="22"/>
              </w:rPr>
              <w:t>Pouco frequentes</w:t>
            </w:r>
          </w:p>
        </w:tc>
        <w:tc>
          <w:tcPr>
            <w:tcW w:w="4346" w:type="dxa"/>
            <w:tcBorders>
              <w:bottom w:val="nil"/>
            </w:tcBorders>
          </w:tcPr>
          <w:p w14:paraId="6983381E" w14:textId="77777777" w:rsidR="004462A0" w:rsidRPr="00CC4B51" w:rsidRDefault="00615769" w:rsidP="00F675CF">
            <w:pPr>
              <w:widowControl w:val="0"/>
              <w:tabs>
                <w:tab w:val="left" w:pos="562"/>
              </w:tabs>
              <w:suppressAutoHyphens/>
              <w:rPr>
                <w:sz w:val="22"/>
                <w:szCs w:val="22"/>
              </w:rPr>
            </w:pPr>
            <w:r>
              <w:rPr>
                <w:sz w:val="22"/>
                <w:szCs w:val="22"/>
              </w:rPr>
              <w:t>I</w:t>
            </w:r>
            <w:r w:rsidRPr="00CC4B51">
              <w:rPr>
                <w:sz w:val="22"/>
                <w:szCs w:val="22"/>
              </w:rPr>
              <w:t>nfeções neurológicas (incluindo meningite viral),</w:t>
            </w:r>
          </w:p>
          <w:p w14:paraId="6A0CBF92" w14:textId="77777777" w:rsidR="004462A0" w:rsidRPr="00CC4B51" w:rsidRDefault="00615769" w:rsidP="00F675CF">
            <w:pPr>
              <w:widowControl w:val="0"/>
              <w:tabs>
                <w:tab w:val="left" w:pos="562"/>
              </w:tabs>
              <w:suppressAutoHyphens/>
              <w:rPr>
                <w:sz w:val="22"/>
                <w:szCs w:val="22"/>
              </w:rPr>
            </w:pPr>
            <w:r w:rsidRPr="00CC4B51">
              <w:rPr>
                <w:sz w:val="22"/>
                <w:szCs w:val="22"/>
              </w:rPr>
              <w:t xml:space="preserve">infeções oportunistas e tuberculose (incluindo coccidioidomicose, histoplasmose e infeção a complexo mycobacterium avium), </w:t>
            </w:r>
          </w:p>
          <w:p w14:paraId="061E3ABB" w14:textId="77777777" w:rsidR="004462A0" w:rsidRPr="00CC4B51" w:rsidRDefault="00615769" w:rsidP="00F675CF">
            <w:pPr>
              <w:widowControl w:val="0"/>
              <w:tabs>
                <w:tab w:val="left" w:pos="562"/>
              </w:tabs>
              <w:suppressAutoHyphens/>
              <w:rPr>
                <w:sz w:val="22"/>
                <w:szCs w:val="22"/>
              </w:rPr>
            </w:pPr>
            <w:r w:rsidRPr="00CC4B51">
              <w:rPr>
                <w:sz w:val="22"/>
                <w:szCs w:val="22"/>
              </w:rPr>
              <w:t>infeções bacterianas,</w:t>
            </w:r>
          </w:p>
          <w:p w14:paraId="50BFC09E" w14:textId="77777777" w:rsidR="004462A0" w:rsidRPr="00CC4B51" w:rsidRDefault="00615769" w:rsidP="00F675CF">
            <w:pPr>
              <w:widowControl w:val="0"/>
              <w:tabs>
                <w:tab w:val="left" w:pos="562"/>
              </w:tabs>
              <w:suppressAutoHyphens/>
              <w:rPr>
                <w:sz w:val="22"/>
                <w:szCs w:val="22"/>
              </w:rPr>
            </w:pPr>
            <w:r w:rsidRPr="00CC4B51">
              <w:rPr>
                <w:sz w:val="22"/>
                <w:szCs w:val="22"/>
              </w:rPr>
              <w:t xml:space="preserve">infeções oculares, </w:t>
            </w:r>
          </w:p>
          <w:p w14:paraId="674D5F70" w14:textId="77777777" w:rsidR="004462A0" w:rsidRDefault="00615769" w:rsidP="00F675CF">
            <w:pPr>
              <w:widowControl w:val="0"/>
              <w:tabs>
                <w:tab w:val="left" w:pos="562"/>
              </w:tabs>
              <w:suppressAutoHyphens/>
              <w:rPr>
                <w:sz w:val="22"/>
                <w:szCs w:val="22"/>
                <w:vertAlign w:val="superscript"/>
              </w:rPr>
            </w:pPr>
            <w:r w:rsidRPr="00CC4B51">
              <w:rPr>
                <w:sz w:val="22"/>
                <w:szCs w:val="22"/>
              </w:rPr>
              <w:t>diverticulite</w:t>
            </w:r>
            <w:r w:rsidRPr="00CC4B51">
              <w:rPr>
                <w:sz w:val="22"/>
                <w:szCs w:val="22"/>
                <w:vertAlign w:val="superscript"/>
              </w:rPr>
              <w:t>1)</w:t>
            </w:r>
          </w:p>
          <w:p w14:paraId="1E533710" w14:textId="77777777" w:rsidR="00BF2F9C" w:rsidRPr="00CC4B51" w:rsidRDefault="00BF2F9C" w:rsidP="00F675CF">
            <w:pPr>
              <w:widowControl w:val="0"/>
              <w:tabs>
                <w:tab w:val="left" w:pos="562"/>
              </w:tabs>
              <w:suppressAutoHyphens/>
              <w:rPr>
                <w:sz w:val="22"/>
                <w:szCs w:val="22"/>
                <w:vertAlign w:val="superscript"/>
              </w:rPr>
            </w:pPr>
          </w:p>
        </w:tc>
      </w:tr>
      <w:tr w:rsidR="00A7162A" w14:paraId="08183911" w14:textId="77777777" w:rsidTr="00F675CF">
        <w:tc>
          <w:tcPr>
            <w:tcW w:w="2514" w:type="dxa"/>
            <w:vMerge w:val="restart"/>
          </w:tcPr>
          <w:p w14:paraId="76E77948" w14:textId="77777777" w:rsidR="004462A0" w:rsidRPr="00CC4B51" w:rsidRDefault="00615769" w:rsidP="00F675CF">
            <w:pPr>
              <w:widowControl w:val="0"/>
              <w:rPr>
                <w:b/>
              </w:rPr>
            </w:pPr>
            <w:r w:rsidRPr="00CC4B51">
              <w:rPr>
                <w:sz w:val="22"/>
                <w:szCs w:val="22"/>
              </w:rPr>
              <w:t>Neoplasias benignas, malignas e não especificadas (incluindo quistos e pólipos)*</w:t>
            </w:r>
          </w:p>
        </w:tc>
        <w:tc>
          <w:tcPr>
            <w:tcW w:w="1996" w:type="dxa"/>
            <w:tcBorders>
              <w:bottom w:val="nil"/>
            </w:tcBorders>
          </w:tcPr>
          <w:p w14:paraId="2924BEC3" w14:textId="77777777" w:rsidR="004462A0" w:rsidRPr="00CC4B51" w:rsidRDefault="00615769" w:rsidP="00F675CF">
            <w:pPr>
              <w:widowControl w:val="0"/>
              <w:tabs>
                <w:tab w:val="left" w:pos="562"/>
              </w:tabs>
              <w:suppressAutoHyphens/>
              <w:rPr>
                <w:sz w:val="22"/>
                <w:szCs w:val="22"/>
              </w:rPr>
            </w:pPr>
            <w:r w:rsidRPr="00CC4B51">
              <w:rPr>
                <w:sz w:val="22"/>
                <w:szCs w:val="22"/>
              </w:rPr>
              <w:t xml:space="preserve">Frequentes </w:t>
            </w:r>
          </w:p>
        </w:tc>
        <w:tc>
          <w:tcPr>
            <w:tcW w:w="4346" w:type="dxa"/>
            <w:tcBorders>
              <w:bottom w:val="nil"/>
            </w:tcBorders>
          </w:tcPr>
          <w:p w14:paraId="01B6FF35" w14:textId="77777777" w:rsidR="004462A0" w:rsidRPr="00CC4B51" w:rsidRDefault="00615769" w:rsidP="00F675CF">
            <w:pPr>
              <w:widowControl w:val="0"/>
              <w:tabs>
                <w:tab w:val="left" w:pos="562"/>
              </w:tabs>
              <w:suppressAutoHyphens/>
              <w:rPr>
                <w:sz w:val="22"/>
                <w:szCs w:val="22"/>
              </w:rPr>
            </w:pPr>
            <w:r>
              <w:rPr>
                <w:sz w:val="22"/>
                <w:szCs w:val="22"/>
              </w:rPr>
              <w:t>C</w:t>
            </w:r>
            <w:r w:rsidRPr="00CC4B51">
              <w:rPr>
                <w:sz w:val="22"/>
                <w:szCs w:val="22"/>
              </w:rPr>
              <w:t>ancro de pele excluindo melanoma (incluindo carcinoma basocelular e carcinoma de células escamosas),</w:t>
            </w:r>
          </w:p>
          <w:p w14:paraId="646948DA" w14:textId="77777777" w:rsidR="004462A0" w:rsidRPr="00CC4B51" w:rsidRDefault="00615769" w:rsidP="00F675CF">
            <w:pPr>
              <w:widowControl w:val="0"/>
              <w:tabs>
                <w:tab w:val="left" w:pos="562"/>
              </w:tabs>
              <w:suppressAutoHyphens/>
              <w:rPr>
                <w:sz w:val="22"/>
                <w:szCs w:val="22"/>
              </w:rPr>
            </w:pPr>
            <w:r w:rsidRPr="00CC4B51">
              <w:rPr>
                <w:sz w:val="22"/>
                <w:szCs w:val="22"/>
              </w:rPr>
              <w:t>neoplasias benignas</w:t>
            </w:r>
          </w:p>
          <w:p w14:paraId="361CC0AB" w14:textId="77777777" w:rsidR="004462A0" w:rsidRPr="00CC4B51" w:rsidRDefault="004462A0" w:rsidP="00F675CF">
            <w:pPr>
              <w:widowControl w:val="0"/>
              <w:tabs>
                <w:tab w:val="left" w:pos="562"/>
              </w:tabs>
              <w:suppressAutoHyphens/>
              <w:rPr>
                <w:sz w:val="22"/>
                <w:szCs w:val="22"/>
              </w:rPr>
            </w:pPr>
          </w:p>
        </w:tc>
      </w:tr>
      <w:tr w:rsidR="00A7162A" w14:paraId="1EE6D658" w14:textId="77777777" w:rsidTr="00F675CF">
        <w:tc>
          <w:tcPr>
            <w:tcW w:w="2514" w:type="dxa"/>
            <w:vMerge/>
          </w:tcPr>
          <w:p w14:paraId="2451E598" w14:textId="77777777" w:rsidR="004462A0" w:rsidRPr="00CC4B51" w:rsidRDefault="004462A0" w:rsidP="00F675CF">
            <w:pPr>
              <w:widowControl w:val="0"/>
              <w:jc w:val="center"/>
              <w:rPr>
                <w:b/>
              </w:rPr>
            </w:pPr>
          </w:p>
        </w:tc>
        <w:tc>
          <w:tcPr>
            <w:tcW w:w="1996" w:type="dxa"/>
            <w:tcBorders>
              <w:top w:val="nil"/>
              <w:bottom w:val="nil"/>
            </w:tcBorders>
          </w:tcPr>
          <w:p w14:paraId="74E1B655" w14:textId="77777777" w:rsidR="004462A0" w:rsidRPr="00CC4B51" w:rsidRDefault="00615769" w:rsidP="00F675CF">
            <w:pPr>
              <w:widowControl w:val="0"/>
              <w:tabs>
                <w:tab w:val="left" w:pos="562"/>
              </w:tabs>
              <w:suppressAutoHyphens/>
              <w:rPr>
                <w:sz w:val="22"/>
                <w:szCs w:val="22"/>
              </w:rPr>
            </w:pPr>
            <w:r w:rsidRPr="00CC4B51">
              <w:rPr>
                <w:sz w:val="22"/>
                <w:szCs w:val="22"/>
              </w:rPr>
              <w:t>Pouco frequentes</w:t>
            </w:r>
          </w:p>
          <w:p w14:paraId="121CCAFA" w14:textId="77777777" w:rsidR="004462A0" w:rsidRPr="00CC4B51" w:rsidRDefault="004462A0" w:rsidP="00F675CF">
            <w:pPr>
              <w:widowControl w:val="0"/>
              <w:tabs>
                <w:tab w:val="left" w:pos="562"/>
              </w:tabs>
              <w:suppressAutoHyphens/>
              <w:rPr>
                <w:sz w:val="22"/>
                <w:szCs w:val="22"/>
              </w:rPr>
            </w:pPr>
          </w:p>
        </w:tc>
        <w:tc>
          <w:tcPr>
            <w:tcW w:w="4346" w:type="dxa"/>
            <w:tcBorders>
              <w:top w:val="nil"/>
              <w:bottom w:val="nil"/>
            </w:tcBorders>
          </w:tcPr>
          <w:p w14:paraId="75A3821A" w14:textId="77777777" w:rsidR="004462A0" w:rsidRPr="00CC4B51" w:rsidRDefault="00615769" w:rsidP="00F675CF">
            <w:pPr>
              <w:tabs>
                <w:tab w:val="left" w:pos="562"/>
              </w:tabs>
              <w:suppressAutoHyphens/>
              <w:rPr>
                <w:sz w:val="22"/>
                <w:szCs w:val="22"/>
              </w:rPr>
            </w:pPr>
            <w:r>
              <w:rPr>
                <w:sz w:val="22"/>
                <w:szCs w:val="22"/>
              </w:rPr>
              <w:t>L</w:t>
            </w:r>
            <w:r w:rsidRPr="00CC4B51">
              <w:rPr>
                <w:sz w:val="22"/>
                <w:szCs w:val="22"/>
              </w:rPr>
              <w:t>infoma**,</w:t>
            </w:r>
          </w:p>
          <w:p w14:paraId="1CC322DF" w14:textId="77777777" w:rsidR="004462A0" w:rsidRPr="00CC4B51" w:rsidRDefault="00615769" w:rsidP="00F675CF">
            <w:pPr>
              <w:tabs>
                <w:tab w:val="left" w:pos="562"/>
              </w:tabs>
              <w:suppressAutoHyphens/>
              <w:rPr>
                <w:sz w:val="22"/>
                <w:szCs w:val="22"/>
              </w:rPr>
            </w:pPr>
            <w:r w:rsidRPr="00CC4B51">
              <w:rPr>
                <w:sz w:val="22"/>
                <w:szCs w:val="22"/>
              </w:rPr>
              <w:t>neoplasias dos órgãos sólidos (incluindo cancro da mama, neoplasias do pulmão e tiroide),</w:t>
            </w:r>
          </w:p>
          <w:p w14:paraId="051D8F92" w14:textId="77777777" w:rsidR="004462A0" w:rsidRPr="00CC4B51" w:rsidRDefault="00615769" w:rsidP="00F675CF">
            <w:pPr>
              <w:tabs>
                <w:tab w:val="left" w:pos="562"/>
              </w:tabs>
              <w:suppressAutoHyphens/>
              <w:rPr>
                <w:sz w:val="22"/>
                <w:szCs w:val="22"/>
              </w:rPr>
            </w:pPr>
            <w:r w:rsidRPr="00CC4B51">
              <w:rPr>
                <w:sz w:val="22"/>
                <w:szCs w:val="22"/>
              </w:rPr>
              <w:t>melanoma**</w:t>
            </w:r>
          </w:p>
          <w:p w14:paraId="5A197D40" w14:textId="77777777" w:rsidR="004462A0" w:rsidRPr="00CC4B51" w:rsidRDefault="004462A0" w:rsidP="00F675CF">
            <w:pPr>
              <w:tabs>
                <w:tab w:val="left" w:pos="562"/>
              </w:tabs>
              <w:suppressAutoHyphens/>
              <w:rPr>
                <w:sz w:val="22"/>
                <w:szCs w:val="22"/>
              </w:rPr>
            </w:pPr>
          </w:p>
        </w:tc>
      </w:tr>
      <w:tr w:rsidR="00A7162A" w14:paraId="6FE5AF0C" w14:textId="77777777" w:rsidTr="00F675CF">
        <w:trPr>
          <w:trHeight w:val="227"/>
        </w:trPr>
        <w:tc>
          <w:tcPr>
            <w:tcW w:w="2514" w:type="dxa"/>
            <w:vMerge/>
          </w:tcPr>
          <w:p w14:paraId="18B9BC7F" w14:textId="77777777" w:rsidR="004462A0" w:rsidRPr="00CC4B51" w:rsidRDefault="004462A0" w:rsidP="00F675CF">
            <w:pPr>
              <w:widowControl w:val="0"/>
              <w:jc w:val="center"/>
              <w:rPr>
                <w:b/>
              </w:rPr>
            </w:pPr>
          </w:p>
        </w:tc>
        <w:tc>
          <w:tcPr>
            <w:tcW w:w="1996" w:type="dxa"/>
            <w:tcBorders>
              <w:top w:val="nil"/>
              <w:bottom w:val="nil"/>
            </w:tcBorders>
          </w:tcPr>
          <w:p w14:paraId="28811567" w14:textId="77777777" w:rsidR="004462A0" w:rsidRPr="00CC4B51" w:rsidRDefault="00615769" w:rsidP="00F675CF">
            <w:pPr>
              <w:widowControl w:val="0"/>
              <w:tabs>
                <w:tab w:val="left" w:pos="562"/>
              </w:tabs>
              <w:suppressAutoHyphens/>
              <w:rPr>
                <w:sz w:val="22"/>
                <w:szCs w:val="22"/>
              </w:rPr>
            </w:pPr>
            <w:r w:rsidRPr="00CC4B51">
              <w:rPr>
                <w:sz w:val="22"/>
                <w:szCs w:val="22"/>
              </w:rPr>
              <w:t>Raros</w:t>
            </w:r>
          </w:p>
        </w:tc>
        <w:tc>
          <w:tcPr>
            <w:tcW w:w="4346" w:type="dxa"/>
            <w:tcBorders>
              <w:top w:val="nil"/>
              <w:bottom w:val="nil"/>
            </w:tcBorders>
          </w:tcPr>
          <w:p w14:paraId="7B1ECBE8" w14:textId="77777777" w:rsidR="004462A0" w:rsidRDefault="00615769" w:rsidP="00F675CF">
            <w:pPr>
              <w:tabs>
                <w:tab w:val="left" w:pos="562"/>
              </w:tabs>
              <w:suppressAutoHyphens/>
              <w:rPr>
                <w:sz w:val="22"/>
                <w:szCs w:val="22"/>
                <w:vertAlign w:val="superscript"/>
              </w:rPr>
            </w:pPr>
            <w:r>
              <w:rPr>
                <w:sz w:val="22"/>
                <w:szCs w:val="22"/>
              </w:rPr>
              <w:t>L</w:t>
            </w:r>
            <w:r w:rsidRPr="00CC4B51">
              <w:rPr>
                <w:sz w:val="22"/>
                <w:szCs w:val="22"/>
              </w:rPr>
              <w:t>eucemia</w:t>
            </w:r>
            <w:r w:rsidRPr="00CC4B51">
              <w:rPr>
                <w:sz w:val="22"/>
                <w:szCs w:val="22"/>
                <w:vertAlign w:val="superscript"/>
              </w:rPr>
              <w:t>1)</w:t>
            </w:r>
          </w:p>
          <w:p w14:paraId="67818C06" w14:textId="77777777" w:rsidR="00BF2F9C" w:rsidRPr="00CC4B51" w:rsidRDefault="00BF2F9C" w:rsidP="00F675CF">
            <w:pPr>
              <w:tabs>
                <w:tab w:val="left" w:pos="562"/>
              </w:tabs>
              <w:suppressAutoHyphens/>
              <w:rPr>
                <w:sz w:val="22"/>
                <w:szCs w:val="22"/>
              </w:rPr>
            </w:pPr>
          </w:p>
        </w:tc>
      </w:tr>
      <w:tr w:rsidR="00A7162A" w14:paraId="51330781" w14:textId="77777777" w:rsidTr="00F675CF">
        <w:tc>
          <w:tcPr>
            <w:tcW w:w="2514" w:type="dxa"/>
            <w:vMerge/>
          </w:tcPr>
          <w:p w14:paraId="59795CA3" w14:textId="77777777" w:rsidR="004462A0" w:rsidRPr="00CC4B51" w:rsidRDefault="004462A0" w:rsidP="00F675CF">
            <w:pPr>
              <w:widowControl w:val="0"/>
              <w:jc w:val="center"/>
              <w:rPr>
                <w:b/>
              </w:rPr>
            </w:pPr>
          </w:p>
        </w:tc>
        <w:tc>
          <w:tcPr>
            <w:tcW w:w="1996" w:type="dxa"/>
            <w:tcBorders>
              <w:top w:val="nil"/>
            </w:tcBorders>
          </w:tcPr>
          <w:p w14:paraId="1FE3CE08" w14:textId="77777777" w:rsidR="004462A0" w:rsidRPr="00CC4B51" w:rsidRDefault="00615769" w:rsidP="00F675CF">
            <w:pPr>
              <w:widowControl w:val="0"/>
              <w:tabs>
                <w:tab w:val="left" w:pos="562"/>
              </w:tabs>
              <w:suppressAutoHyphens/>
              <w:rPr>
                <w:sz w:val="22"/>
                <w:szCs w:val="22"/>
              </w:rPr>
            </w:pPr>
            <w:r w:rsidRPr="00CC4B51">
              <w:rPr>
                <w:sz w:val="22"/>
                <w:szCs w:val="22"/>
              </w:rPr>
              <w:t>Desconhecido</w:t>
            </w:r>
          </w:p>
        </w:tc>
        <w:tc>
          <w:tcPr>
            <w:tcW w:w="4346" w:type="dxa"/>
            <w:tcBorders>
              <w:top w:val="nil"/>
            </w:tcBorders>
          </w:tcPr>
          <w:p w14:paraId="0163C334" w14:textId="77777777" w:rsidR="004462A0" w:rsidRPr="00CC4B51" w:rsidRDefault="00615769" w:rsidP="00F675CF">
            <w:pPr>
              <w:tabs>
                <w:tab w:val="left" w:pos="562"/>
              </w:tabs>
              <w:suppressAutoHyphens/>
              <w:rPr>
                <w:sz w:val="22"/>
                <w:szCs w:val="22"/>
              </w:rPr>
            </w:pPr>
            <w:r>
              <w:rPr>
                <w:sz w:val="22"/>
                <w:szCs w:val="22"/>
              </w:rPr>
              <w:t>L</w:t>
            </w:r>
            <w:r w:rsidRPr="00CC4B51">
              <w:rPr>
                <w:sz w:val="22"/>
                <w:szCs w:val="22"/>
              </w:rPr>
              <w:t>infoma hepatoesplén</w:t>
            </w:r>
            <w:r>
              <w:rPr>
                <w:sz w:val="22"/>
                <w:szCs w:val="22"/>
              </w:rPr>
              <w:t>i</w:t>
            </w:r>
            <w:r w:rsidRPr="00CC4B51">
              <w:rPr>
                <w:sz w:val="22"/>
                <w:szCs w:val="22"/>
              </w:rPr>
              <w:t>co de células T</w:t>
            </w:r>
            <w:r w:rsidRPr="00CC4B51">
              <w:rPr>
                <w:sz w:val="22"/>
                <w:szCs w:val="22"/>
                <w:vertAlign w:val="superscript"/>
              </w:rPr>
              <w:t>1)</w:t>
            </w:r>
            <w:r w:rsidRPr="00CC4B51">
              <w:rPr>
                <w:sz w:val="22"/>
                <w:szCs w:val="22"/>
              </w:rPr>
              <w:t>,</w:t>
            </w:r>
          </w:p>
          <w:p w14:paraId="6B446181" w14:textId="77777777" w:rsidR="004462A0" w:rsidRPr="00381888" w:rsidRDefault="00615769" w:rsidP="00F675CF">
            <w:pPr>
              <w:tabs>
                <w:tab w:val="left" w:pos="562"/>
              </w:tabs>
              <w:suppressAutoHyphens/>
              <w:rPr>
                <w:sz w:val="22"/>
                <w:szCs w:val="22"/>
              </w:rPr>
            </w:pPr>
            <w:r w:rsidRPr="00CC4B51">
              <w:rPr>
                <w:sz w:val="22"/>
                <w:szCs w:val="22"/>
              </w:rPr>
              <w:t>carcinoma das células de Merkel (carcinoma neuroendócrino da pele)</w:t>
            </w:r>
            <w:r w:rsidRPr="00CC4B51">
              <w:rPr>
                <w:sz w:val="22"/>
                <w:szCs w:val="22"/>
                <w:vertAlign w:val="superscript"/>
              </w:rPr>
              <w:t>1)</w:t>
            </w:r>
            <w:r w:rsidR="006819E5">
              <w:rPr>
                <w:sz w:val="22"/>
                <w:szCs w:val="22"/>
              </w:rPr>
              <w:t>, sarcoma de Kaposi</w:t>
            </w:r>
          </w:p>
          <w:p w14:paraId="395D73DF" w14:textId="77777777" w:rsidR="004462A0" w:rsidRPr="00CC4B51" w:rsidRDefault="004462A0" w:rsidP="00F675CF">
            <w:pPr>
              <w:tabs>
                <w:tab w:val="left" w:pos="562"/>
              </w:tabs>
              <w:suppressAutoHyphens/>
              <w:rPr>
                <w:sz w:val="22"/>
                <w:szCs w:val="22"/>
              </w:rPr>
            </w:pPr>
          </w:p>
        </w:tc>
      </w:tr>
      <w:tr w:rsidR="00A7162A" w14:paraId="10FEC794" w14:textId="77777777" w:rsidTr="00F675CF">
        <w:tc>
          <w:tcPr>
            <w:tcW w:w="2514" w:type="dxa"/>
            <w:vMerge w:val="restart"/>
          </w:tcPr>
          <w:p w14:paraId="2DB3C35F" w14:textId="77777777" w:rsidR="004462A0" w:rsidRPr="00CC4B51" w:rsidRDefault="00615769" w:rsidP="00F675CF">
            <w:pPr>
              <w:widowControl w:val="0"/>
              <w:rPr>
                <w:b/>
              </w:rPr>
            </w:pPr>
            <w:r w:rsidRPr="00CC4B51">
              <w:rPr>
                <w:sz w:val="22"/>
                <w:szCs w:val="22"/>
              </w:rPr>
              <w:t>Doenças do sangue e do sistema linfático *</w:t>
            </w:r>
          </w:p>
        </w:tc>
        <w:tc>
          <w:tcPr>
            <w:tcW w:w="1996" w:type="dxa"/>
            <w:tcBorders>
              <w:bottom w:val="nil"/>
            </w:tcBorders>
          </w:tcPr>
          <w:p w14:paraId="645ACF61" w14:textId="77777777" w:rsidR="004462A0" w:rsidRPr="00CC4B51" w:rsidRDefault="00615769" w:rsidP="00F675CF">
            <w:pPr>
              <w:widowControl w:val="0"/>
              <w:tabs>
                <w:tab w:val="left" w:pos="562"/>
              </w:tabs>
              <w:suppressAutoHyphens/>
              <w:jc w:val="both"/>
              <w:rPr>
                <w:sz w:val="22"/>
                <w:szCs w:val="22"/>
              </w:rPr>
            </w:pPr>
            <w:r w:rsidRPr="00CC4B51">
              <w:rPr>
                <w:sz w:val="22"/>
                <w:szCs w:val="22"/>
              </w:rPr>
              <w:t>Muito frequentes</w:t>
            </w:r>
          </w:p>
        </w:tc>
        <w:tc>
          <w:tcPr>
            <w:tcW w:w="4346" w:type="dxa"/>
            <w:tcBorders>
              <w:bottom w:val="nil"/>
            </w:tcBorders>
          </w:tcPr>
          <w:p w14:paraId="0AD29B1A" w14:textId="77777777" w:rsidR="004462A0" w:rsidRPr="00CC4B51" w:rsidRDefault="00615769" w:rsidP="00F675CF">
            <w:pPr>
              <w:widowControl w:val="0"/>
            </w:pPr>
            <w:r>
              <w:rPr>
                <w:sz w:val="22"/>
                <w:szCs w:val="22"/>
              </w:rPr>
              <w:t>L</w:t>
            </w:r>
            <w:r w:rsidRPr="00CC4B51">
              <w:rPr>
                <w:sz w:val="22"/>
                <w:szCs w:val="22"/>
              </w:rPr>
              <w:t xml:space="preserve">eucopenia (incluindo neutropenia e agranulocitose), </w:t>
            </w:r>
          </w:p>
          <w:p w14:paraId="4C94E646" w14:textId="77777777" w:rsidR="004462A0" w:rsidRPr="00CC4B51" w:rsidRDefault="00615769" w:rsidP="00F675CF">
            <w:pPr>
              <w:widowControl w:val="0"/>
            </w:pPr>
            <w:r w:rsidRPr="00CC4B51">
              <w:rPr>
                <w:sz w:val="22"/>
                <w:szCs w:val="22"/>
              </w:rPr>
              <w:t xml:space="preserve">anemia </w:t>
            </w:r>
          </w:p>
          <w:p w14:paraId="0752DD41" w14:textId="77777777" w:rsidR="004462A0" w:rsidRPr="00CC4B51" w:rsidRDefault="004462A0" w:rsidP="00F675CF">
            <w:pPr>
              <w:widowControl w:val="0"/>
              <w:rPr>
                <w:b/>
              </w:rPr>
            </w:pPr>
          </w:p>
        </w:tc>
      </w:tr>
      <w:tr w:rsidR="00A7162A" w14:paraId="5872E02A" w14:textId="77777777" w:rsidTr="00F675CF">
        <w:tc>
          <w:tcPr>
            <w:tcW w:w="2514" w:type="dxa"/>
            <w:vMerge/>
          </w:tcPr>
          <w:p w14:paraId="193B3EC0" w14:textId="77777777" w:rsidR="004462A0" w:rsidRPr="00CC4B51" w:rsidRDefault="004462A0" w:rsidP="00F675CF">
            <w:pPr>
              <w:widowControl w:val="0"/>
              <w:jc w:val="center"/>
              <w:rPr>
                <w:b/>
              </w:rPr>
            </w:pPr>
          </w:p>
        </w:tc>
        <w:tc>
          <w:tcPr>
            <w:tcW w:w="1996" w:type="dxa"/>
            <w:tcBorders>
              <w:top w:val="nil"/>
              <w:bottom w:val="nil"/>
            </w:tcBorders>
          </w:tcPr>
          <w:p w14:paraId="10E31841" w14:textId="77777777" w:rsidR="004462A0" w:rsidRPr="00CC4B51" w:rsidRDefault="00615769" w:rsidP="00F675CF">
            <w:pPr>
              <w:widowControl w:val="0"/>
              <w:tabs>
                <w:tab w:val="left" w:pos="562"/>
              </w:tabs>
              <w:suppressAutoHyphens/>
              <w:jc w:val="both"/>
              <w:rPr>
                <w:sz w:val="22"/>
                <w:szCs w:val="22"/>
              </w:rPr>
            </w:pPr>
            <w:r w:rsidRPr="00CC4B51">
              <w:rPr>
                <w:sz w:val="22"/>
                <w:szCs w:val="22"/>
              </w:rPr>
              <w:t>Frequentes</w:t>
            </w:r>
          </w:p>
        </w:tc>
        <w:tc>
          <w:tcPr>
            <w:tcW w:w="4346" w:type="dxa"/>
            <w:tcBorders>
              <w:top w:val="nil"/>
              <w:bottom w:val="nil"/>
            </w:tcBorders>
          </w:tcPr>
          <w:p w14:paraId="73263A8B" w14:textId="77777777" w:rsidR="004462A0" w:rsidRPr="00CC4B51" w:rsidRDefault="00615769" w:rsidP="00F675CF">
            <w:pPr>
              <w:widowControl w:val="0"/>
            </w:pPr>
            <w:r>
              <w:rPr>
                <w:sz w:val="22"/>
                <w:szCs w:val="22"/>
              </w:rPr>
              <w:t>L</w:t>
            </w:r>
            <w:r w:rsidRPr="00CC4B51">
              <w:rPr>
                <w:sz w:val="22"/>
                <w:szCs w:val="22"/>
              </w:rPr>
              <w:t>eucocitose,</w:t>
            </w:r>
          </w:p>
          <w:p w14:paraId="1CA0EAE6" w14:textId="77777777" w:rsidR="004462A0" w:rsidRPr="00CC4B51" w:rsidRDefault="00615769" w:rsidP="00F675CF">
            <w:pPr>
              <w:widowControl w:val="0"/>
            </w:pPr>
            <w:r w:rsidRPr="00CC4B51">
              <w:rPr>
                <w:sz w:val="22"/>
                <w:szCs w:val="22"/>
              </w:rPr>
              <w:t>trombocitopenia</w:t>
            </w:r>
          </w:p>
          <w:p w14:paraId="64602B88" w14:textId="77777777" w:rsidR="004462A0" w:rsidRPr="00CC4B51" w:rsidRDefault="004462A0" w:rsidP="00F675CF">
            <w:pPr>
              <w:widowControl w:val="0"/>
            </w:pPr>
          </w:p>
        </w:tc>
      </w:tr>
      <w:tr w:rsidR="00A7162A" w14:paraId="327FD49A" w14:textId="77777777" w:rsidTr="00F675CF">
        <w:tc>
          <w:tcPr>
            <w:tcW w:w="2514" w:type="dxa"/>
            <w:vMerge/>
            <w:tcBorders>
              <w:bottom w:val="nil"/>
            </w:tcBorders>
          </w:tcPr>
          <w:p w14:paraId="4A0E8A57" w14:textId="77777777" w:rsidR="004462A0" w:rsidRPr="00CC4B51" w:rsidRDefault="004462A0" w:rsidP="00F675CF">
            <w:pPr>
              <w:widowControl w:val="0"/>
              <w:jc w:val="center"/>
              <w:rPr>
                <w:b/>
              </w:rPr>
            </w:pPr>
          </w:p>
        </w:tc>
        <w:tc>
          <w:tcPr>
            <w:tcW w:w="1996" w:type="dxa"/>
            <w:tcBorders>
              <w:top w:val="nil"/>
              <w:bottom w:val="nil"/>
            </w:tcBorders>
          </w:tcPr>
          <w:p w14:paraId="2ADE18B4" w14:textId="77777777" w:rsidR="004462A0" w:rsidRPr="00CC4B51" w:rsidRDefault="00615769" w:rsidP="00F675CF">
            <w:pPr>
              <w:widowControl w:val="0"/>
              <w:tabs>
                <w:tab w:val="left" w:pos="562"/>
              </w:tabs>
              <w:suppressAutoHyphens/>
              <w:jc w:val="both"/>
              <w:rPr>
                <w:sz w:val="22"/>
                <w:szCs w:val="22"/>
              </w:rPr>
            </w:pPr>
            <w:r w:rsidRPr="00CC4B51">
              <w:rPr>
                <w:sz w:val="22"/>
                <w:szCs w:val="22"/>
              </w:rPr>
              <w:t>Pouco frequentes</w:t>
            </w:r>
          </w:p>
          <w:p w14:paraId="256676DA" w14:textId="77777777" w:rsidR="004462A0" w:rsidRPr="00CC4B51" w:rsidRDefault="004462A0" w:rsidP="00F675CF">
            <w:pPr>
              <w:widowControl w:val="0"/>
              <w:tabs>
                <w:tab w:val="left" w:pos="562"/>
              </w:tabs>
              <w:suppressAutoHyphens/>
              <w:jc w:val="both"/>
              <w:rPr>
                <w:sz w:val="22"/>
                <w:szCs w:val="22"/>
              </w:rPr>
            </w:pPr>
          </w:p>
        </w:tc>
        <w:tc>
          <w:tcPr>
            <w:tcW w:w="4346" w:type="dxa"/>
            <w:tcBorders>
              <w:top w:val="nil"/>
              <w:bottom w:val="nil"/>
            </w:tcBorders>
          </w:tcPr>
          <w:p w14:paraId="66EA4B48" w14:textId="77777777" w:rsidR="004462A0" w:rsidRPr="00CC4B51" w:rsidRDefault="00615769" w:rsidP="00F675CF">
            <w:pPr>
              <w:widowControl w:val="0"/>
            </w:pPr>
            <w:r>
              <w:rPr>
                <w:sz w:val="22"/>
                <w:szCs w:val="22"/>
              </w:rPr>
              <w:t>P</w:t>
            </w:r>
            <w:r w:rsidRPr="00CC4B51">
              <w:rPr>
                <w:sz w:val="22"/>
                <w:szCs w:val="22"/>
              </w:rPr>
              <w:t>úrpura trombocitop</w:t>
            </w:r>
            <w:r w:rsidR="00771456">
              <w:rPr>
                <w:sz w:val="22"/>
                <w:szCs w:val="22"/>
              </w:rPr>
              <w:t>é</w:t>
            </w:r>
            <w:r w:rsidRPr="00CC4B51">
              <w:rPr>
                <w:sz w:val="22"/>
                <w:szCs w:val="22"/>
              </w:rPr>
              <w:t>nica idiopática</w:t>
            </w:r>
          </w:p>
          <w:p w14:paraId="4556EAF0" w14:textId="77777777" w:rsidR="004462A0" w:rsidRPr="00CC4B51" w:rsidRDefault="004462A0" w:rsidP="00F675CF">
            <w:pPr>
              <w:widowControl w:val="0"/>
            </w:pPr>
          </w:p>
        </w:tc>
      </w:tr>
      <w:tr w:rsidR="00A7162A" w14:paraId="602ED2FA" w14:textId="77777777" w:rsidTr="00F675CF">
        <w:tc>
          <w:tcPr>
            <w:tcW w:w="2514" w:type="dxa"/>
            <w:tcBorders>
              <w:top w:val="nil"/>
            </w:tcBorders>
          </w:tcPr>
          <w:p w14:paraId="6D0BE27F" w14:textId="77777777" w:rsidR="004462A0" w:rsidRPr="00CC4B51" w:rsidRDefault="004462A0" w:rsidP="00F675CF">
            <w:pPr>
              <w:widowControl w:val="0"/>
              <w:jc w:val="center"/>
              <w:rPr>
                <w:b/>
              </w:rPr>
            </w:pPr>
          </w:p>
        </w:tc>
        <w:tc>
          <w:tcPr>
            <w:tcW w:w="1996" w:type="dxa"/>
            <w:tcBorders>
              <w:top w:val="nil"/>
            </w:tcBorders>
          </w:tcPr>
          <w:p w14:paraId="7BFD1812" w14:textId="77777777" w:rsidR="004462A0" w:rsidRPr="00CC4B51" w:rsidRDefault="00615769" w:rsidP="00F675CF">
            <w:pPr>
              <w:widowControl w:val="0"/>
              <w:tabs>
                <w:tab w:val="left" w:pos="562"/>
              </w:tabs>
              <w:suppressAutoHyphens/>
              <w:jc w:val="both"/>
              <w:rPr>
                <w:sz w:val="22"/>
                <w:szCs w:val="22"/>
              </w:rPr>
            </w:pPr>
            <w:r w:rsidRPr="00CC4B51">
              <w:rPr>
                <w:sz w:val="22"/>
                <w:szCs w:val="22"/>
              </w:rPr>
              <w:t>Raros</w:t>
            </w:r>
          </w:p>
        </w:tc>
        <w:tc>
          <w:tcPr>
            <w:tcW w:w="4346" w:type="dxa"/>
            <w:tcBorders>
              <w:top w:val="nil"/>
            </w:tcBorders>
          </w:tcPr>
          <w:p w14:paraId="37916725" w14:textId="77777777" w:rsidR="004462A0" w:rsidRPr="00CC4B51" w:rsidRDefault="00615769" w:rsidP="00F675CF">
            <w:pPr>
              <w:widowControl w:val="0"/>
            </w:pPr>
            <w:r w:rsidRPr="00CC4B51">
              <w:rPr>
                <w:sz w:val="22"/>
                <w:szCs w:val="22"/>
              </w:rPr>
              <w:t>Pancitopenia</w:t>
            </w:r>
          </w:p>
        </w:tc>
      </w:tr>
      <w:tr w:rsidR="00A7162A" w14:paraId="70E2A3E9" w14:textId="77777777" w:rsidTr="00F675CF">
        <w:tc>
          <w:tcPr>
            <w:tcW w:w="2514" w:type="dxa"/>
            <w:vMerge w:val="restart"/>
          </w:tcPr>
          <w:p w14:paraId="7F60A72B" w14:textId="77777777" w:rsidR="004462A0" w:rsidRPr="00CC4B51" w:rsidRDefault="00615769" w:rsidP="00F675CF">
            <w:pPr>
              <w:widowControl w:val="0"/>
              <w:tabs>
                <w:tab w:val="left" w:pos="567"/>
              </w:tabs>
              <w:rPr>
                <w:sz w:val="22"/>
                <w:szCs w:val="22"/>
              </w:rPr>
            </w:pPr>
            <w:r w:rsidRPr="00CC4B51">
              <w:rPr>
                <w:sz w:val="22"/>
                <w:szCs w:val="22"/>
              </w:rPr>
              <w:t>Doenças do sistema imunitário *</w:t>
            </w:r>
          </w:p>
        </w:tc>
        <w:tc>
          <w:tcPr>
            <w:tcW w:w="1996" w:type="dxa"/>
            <w:tcBorders>
              <w:bottom w:val="nil"/>
            </w:tcBorders>
          </w:tcPr>
          <w:p w14:paraId="39FA2178" w14:textId="77777777" w:rsidR="004462A0" w:rsidRPr="00CC4B51" w:rsidRDefault="00615769" w:rsidP="00F675CF">
            <w:pPr>
              <w:widowControl w:val="0"/>
              <w:tabs>
                <w:tab w:val="left" w:pos="567"/>
              </w:tabs>
              <w:rPr>
                <w:sz w:val="22"/>
                <w:szCs w:val="22"/>
              </w:rPr>
            </w:pPr>
            <w:r w:rsidRPr="00CC4B51">
              <w:rPr>
                <w:sz w:val="22"/>
                <w:szCs w:val="22"/>
              </w:rPr>
              <w:t>Frequentes</w:t>
            </w:r>
          </w:p>
          <w:p w14:paraId="4BE2D461" w14:textId="77777777" w:rsidR="004462A0" w:rsidRPr="00CC4B51" w:rsidRDefault="004462A0" w:rsidP="00F675CF">
            <w:pPr>
              <w:widowControl w:val="0"/>
              <w:tabs>
                <w:tab w:val="left" w:pos="567"/>
              </w:tabs>
              <w:rPr>
                <w:sz w:val="22"/>
                <w:szCs w:val="22"/>
              </w:rPr>
            </w:pPr>
          </w:p>
        </w:tc>
        <w:tc>
          <w:tcPr>
            <w:tcW w:w="4346" w:type="dxa"/>
            <w:tcBorders>
              <w:bottom w:val="nil"/>
            </w:tcBorders>
          </w:tcPr>
          <w:p w14:paraId="57FA7AA2" w14:textId="77777777" w:rsidR="004462A0" w:rsidRPr="00CC4B51" w:rsidRDefault="00615769" w:rsidP="00F675CF">
            <w:pPr>
              <w:tabs>
                <w:tab w:val="left" w:pos="562"/>
              </w:tabs>
              <w:suppressAutoHyphens/>
              <w:rPr>
                <w:sz w:val="22"/>
                <w:szCs w:val="22"/>
              </w:rPr>
            </w:pPr>
            <w:r>
              <w:rPr>
                <w:sz w:val="22"/>
                <w:szCs w:val="22"/>
              </w:rPr>
              <w:t>H</w:t>
            </w:r>
            <w:r w:rsidRPr="00CC4B51">
              <w:rPr>
                <w:sz w:val="22"/>
                <w:szCs w:val="22"/>
              </w:rPr>
              <w:t>ipersensibilidade,</w:t>
            </w:r>
          </w:p>
          <w:p w14:paraId="3F3F7A2F" w14:textId="77777777" w:rsidR="004462A0" w:rsidRDefault="00615769" w:rsidP="00F675CF">
            <w:pPr>
              <w:rPr>
                <w:sz w:val="22"/>
                <w:szCs w:val="22"/>
              </w:rPr>
            </w:pPr>
            <w:r w:rsidRPr="00CC4B51">
              <w:rPr>
                <w:sz w:val="22"/>
                <w:szCs w:val="22"/>
              </w:rPr>
              <w:t>alergias (incluindo alergia sazonal)</w:t>
            </w:r>
          </w:p>
          <w:p w14:paraId="013F350B" w14:textId="77777777" w:rsidR="003E3AA9" w:rsidRPr="00CC4B51" w:rsidRDefault="003E3AA9" w:rsidP="00F675CF"/>
        </w:tc>
      </w:tr>
      <w:tr w:rsidR="00A7162A" w14:paraId="0D4B9081" w14:textId="77777777" w:rsidTr="00F675CF">
        <w:tc>
          <w:tcPr>
            <w:tcW w:w="2514" w:type="dxa"/>
            <w:vMerge/>
          </w:tcPr>
          <w:p w14:paraId="41B71556" w14:textId="77777777" w:rsidR="004462A0" w:rsidRPr="00CC4B51" w:rsidRDefault="004462A0" w:rsidP="00F675CF">
            <w:pPr>
              <w:widowControl w:val="0"/>
              <w:tabs>
                <w:tab w:val="left" w:pos="567"/>
              </w:tabs>
              <w:rPr>
                <w:sz w:val="22"/>
                <w:szCs w:val="22"/>
              </w:rPr>
            </w:pPr>
          </w:p>
        </w:tc>
        <w:tc>
          <w:tcPr>
            <w:tcW w:w="1996" w:type="dxa"/>
            <w:tcBorders>
              <w:top w:val="nil"/>
              <w:bottom w:val="nil"/>
            </w:tcBorders>
          </w:tcPr>
          <w:p w14:paraId="27BA54A4" w14:textId="77777777" w:rsidR="004462A0" w:rsidRPr="00DF5632" w:rsidRDefault="00615769" w:rsidP="00F675CF">
            <w:pPr>
              <w:rPr>
                <w:sz w:val="22"/>
                <w:szCs w:val="22"/>
              </w:rPr>
            </w:pPr>
            <w:r w:rsidRPr="00DF5632">
              <w:rPr>
                <w:sz w:val="22"/>
                <w:szCs w:val="22"/>
              </w:rPr>
              <w:t>Pouco frequentes</w:t>
            </w:r>
          </w:p>
        </w:tc>
        <w:tc>
          <w:tcPr>
            <w:tcW w:w="4346" w:type="dxa"/>
            <w:tcBorders>
              <w:top w:val="nil"/>
              <w:bottom w:val="nil"/>
            </w:tcBorders>
          </w:tcPr>
          <w:p w14:paraId="324DED99" w14:textId="77777777" w:rsidR="004462A0" w:rsidRPr="00DF5632" w:rsidRDefault="00615769" w:rsidP="00F675CF">
            <w:pPr>
              <w:tabs>
                <w:tab w:val="left" w:pos="562"/>
              </w:tabs>
              <w:suppressAutoHyphens/>
              <w:rPr>
                <w:sz w:val="22"/>
                <w:szCs w:val="20"/>
              </w:rPr>
            </w:pPr>
            <w:r>
              <w:rPr>
                <w:sz w:val="22"/>
                <w:szCs w:val="20"/>
              </w:rPr>
              <w:t>S</w:t>
            </w:r>
            <w:r w:rsidRPr="00CC4B51">
              <w:rPr>
                <w:sz w:val="22"/>
                <w:szCs w:val="20"/>
              </w:rPr>
              <w:t>arcoidose</w:t>
            </w:r>
            <w:r w:rsidRPr="00CC4B51">
              <w:rPr>
                <w:sz w:val="22"/>
                <w:szCs w:val="20"/>
                <w:vertAlign w:val="superscript"/>
              </w:rPr>
              <w:t>1)</w:t>
            </w:r>
            <w:r w:rsidR="003E3AA9">
              <w:rPr>
                <w:sz w:val="22"/>
                <w:szCs w:val="20"/>
              </w:rPr>
              <w:t>,</w:t>
            </w:r>
          </w:p>
          <w:p w14:paraId="72A0CE23" w14:textId="77777777" w:rsidR="004462A0" w:rsidRPr="00CC4B51" w:rsidRDefault="00615769" w:rsidP="00F675CF">
            <w:pPr>
              <w:tabs>
                <w:tab w:val="left" w:pos="562"/>
              </w:tabs>
              <w:suppressAutoHyphens/>
              <w:rPr>
                <w:sz w:val="22"/>
                <w:szCs w:val="22"/>
              </w:rPr>
            </w:pPr>
            <w:r w:rsidRPr="00CC4B51">
              <w:rPr>
                <w:sz w:val="22"/>
                <w:szCs w:val="22"/>
              </w:rPr>
              <w:t>vasculite</w:t>
            </w:r>
          </w:p>
          <w:p w14:paraId="1E110077" w14:textId="77777777" w:rsidR="004462A0" w:rsidRPr="00CC4B51" w:rsidRDefault="004462A0" w:rsidP="00F675CF">
            <w:pPr>
              <w:tabs>
                <w:tab w:val="left" w:pos="562"/>
              </w:tabs>
              <w:suppressAutoHyphens/>
              <w:rPr>
                <w:sz w:val="22"/>
                <w:szCs w:val="22"/>
              </w:rPr>
            </w:pPr>
          </w:p>
        </w:tc>
      </w:tr>
      <w:tr w:rsidR="00A7162A" w14:paraId="6E3F9ED7" w14:textId="77777777" w:rsidTr="00F675CF">
        <w:tc>
          <w:tcPr>
            <w:tcW w:w="2514" w:type="dxa"/>
            <w:vMerge/>
          </w:tcPr>
          <w:p w14:paraId="26F34BFA" w14:textId="77777777" w:rsidR="004462A0" w:rsidRPr="00CC4B51" w:rsidRDefault="004462A0" w:rsidP="00F675CF">
            <w:pPr>
              <w:widowControl w:val="0"/>
              <w:tabs>
                <w:tab w:val="left" w:pos="567"/>
              </w:tabs>
              <w:rPr>
                <w:sz w:val="22"/>
                <w:szCs w:val="22"/>
              </w:rPr>
            </w:pPr>
          </w:p>
        </w:tc>
        <w:tc>
          <w:tcPr>
            <w:tcW w:w="1996" w:type="dxa"/>
            <w:tcBorders>
              <w:top w:val="nil"/>
            </w:tcBorders>
          </w:tcPr>
          <w:p w14:paraId="5EB6889D" w14:textId="77777777" w:rsidR="004462A0" w:rsidRPr="00DF5632" w:rsidRDefault="00615769" w:rsidP="00F675CF">
            <w:pPr>
              <w:rPr>
                <w:sz w:val="22"/>
                <w:szCs w:val="22"/>
              </w:rPr>
            </w:pPr>
            <w:r w:rsidRPr="00DF5632">
              <w:rPr>
                <w:sz w:val="22"/>
                <w:szCs w:val="22"/>
              </w:rPr>
              <w:t>Raros</w:t>
            </w:r>
          </w:p>
        </w:tc>
        <w:tc>
          <w:tcPr>
            <w:tcW w:w="4346" w:type="dxa"/>
            <w:tcBorders>
              <w:top w:val="nil"/>
            </w:tcBorders>
          </w:tcPr>
          <w:p w14:paraId="1BA3E43A" w14:textId="77777777" w:rsidR="004462A0" w:rsidRPr="00CC4B51" w:rsidRDefault="00615769" w:rsidP="00F675CF">
            <w:pPr>
              <w:tabs>
                <w:tab w:val="left" w:pos="562"/>
              </w:tabs>
              <w:suppressAutoHyphens/>
              <w:rPr>
                <w:sz w:val="22"/>
                <w:szCs w:val="20"/>
                <w:vertAlign w:val="superscript"/>
              </w:rPr>
            </w:pPr>
            <w:r>
              <w:rPr>
                <w:sz w:val="22"/>
                <w:szCs w:val="20"/>
              </w:rPr>
              <w:t>A</w:t>
            </w:r>
            <w:r w:rsidRPr="00CC4B51">
              <w:rPr>
                <w:sz w:val="22"/>
                <w:szCs w:val="20"/>
              </w:rPr>
              <w:t>nafilaxia</w:t>
            </w:r>
            <w:r w:rsidRPr="00CC4B51">
              <w:rPr>
                <w:sz w:val="22"/>
                <w:szCs w:val="20"/>
                <w:vertAlign w:val="superscript"/>
              </w:rPr>
              <w:t>1)</w:t>
            </w:r>
          </w:p>
          <w:p w14:paraId="79773BD7" w14:textId="77777777" w:rsidR="004462A0" w:rsidRPr="00CC4B51" w:rsidRDefault="004462A0" w:rsidP="00F675CF">
            <w:pPr>
              <w:tabs>
                <w:tab w:val="left" w:pos="562"/>
              </w:tabs>
              <w:suppressAutoHyphens/>
              <w:rPr>
                <w:sz w:val="22"/>
                <w:szCs w:val="22"/>
              </w:rPr>
            </w:pPr>
          </w:p>
        </w:tc>
      </w:tr>
      <w:tr w:rsidR="00A7162A" w14:paraId="0F4453A8" w14:textId="77777777" w:rsidTr="00F675CF">
        <w:tc>
          <w:tcPr>
            <w:tcW w:w="2514" w:type="dxa"/>
            <w:vMerge w:val="restart"/>
          </w:tcPr>
          <w:p w14:paraId="19BD8223" w14:textId="77777777" w:rsidR="004462A0" w:rsidRPr="00CC4B51" w:rsidRDefault="00615769" w:rsidP="00F675CF">
            <w:pPr>
              <w:widowControl w:val="0"/>
              <w:tabs>
                <w:tab w:val="left" w:pos="562"/>
              </w:tabs>
              <w:suppressAutoHyphens/>
              <w:spacing w:before="60"/>
              <w:rPr>
                <w:sz w:val="22"/>
                <w:szCs w:val="22"/>
              </w:rPr>
            </w:pPr>
            <w:r w:rsidRPr="00CC4B51">
              <w:rPr>
                <w:sz w:val="22"/>
                <w:szCs w:val="22"/>
              </w:rPr>
              <w:t>Doenças do metabolismo e da nutrição</w:t>
            </w:r>
          </w:p>
        </w:tc>
        <w:tc>
          <w:tcPr>
            <w:tcW w:w="1996" w:type="dxa"/>
            <w:tcBorders>
              <w:bottom w:val="nil"/>
            </w:tcBorders>
          </w:tcPr>
          <w:p w14:paraId="16363F13" w14:textId="77777777" w:rsidR="004462A0" w:rsidRPr="00BF2F9C" w:rsidRDefault="00615769" w:rsidP="00F675CF">
            <w:pPr>
              <w:widowControl w:val="0"/>
              <w:tabs>
                <w:tab w:val="left" w:pos="562"/>
              </w:tabs>
              <w:suppressAutoHyphens/>
              <w:rPr>
                <w:sz w:val="22"/>
                <w:szCs w:val="22"/>
              </w:rPr>
            </w:pPr>
            <w:r w:rsidRPr="00BF2F9C">
              <w:rPr>
                <w:sz w:val="22"/>
                <w:szCs w:val="22"/>
              </w:rPr>
              <w:t xml:space="preserve">Muito frequentes </w:t>
            </w:r>
          </w:p>
        </w:tc>
        <w:tc>
          <w:tcPr>
            <w:tcW w:w="4346" w:type="dxa"/>
            <w:tcBorders>
              <w:bottom w:val="nil"/>
            </w:tcBorders>
          </w:tcPr>
          <w:p w14:paraId="3A1E84E2" w14:textId="77777777" w:rsidR="004462A0" w:rsidRPr="00CC4B51" w:rsidRDefault="00615769" w:rsidP="00F675CF">
            <w:pPr>
              <w:widowControl w:val="0"/>
              <w:tabs>
                <w:tab w:val="left" w:pos="562"/>
              </w:tabs>
              <w:suppressAutoHyphens/>
              <w:rPr>
                <w:sz w:val="22"/>
                <w:szCs w:val="22"/>
              </w:rPr>
            </w:pPr>
            <w:r>
              <w:rPr>
                <w:sz w:val="22"/>
                <w:szCs w:val="22"/>
              </w:rPr>
              <w:t>A</w:t>
            </w:r>
            <w:r w:rsidRPr="00CC4B51">
              <w:rPr>
                <w:sz w:val="22"/>
                <w:szCs w:val="22"/>
              </w:rPr>
              <w:t>umento dos lípidos</w:t>
            </w:r>
          </w:p>
          <w:p w14:paraId="3FDCA8CB" w14:textId="77777777" w:rsidR="004462A0" w:rsidRPr="00CC4B51" w:rsidRDefault="004462A0" w:rsidP="00F675CF">
            <w:pPr>
              <w:widowControl w:val="0"/>
              <w:tabs>
                <w:tab w:val="left" w:pos="562"/>
              </w:tabs>
              <w:suppressAutoHyphens/>
              <w:rPr>
                <w:sz w:val="22"/>
                <w:szCs w:val="22"/>
              </w:rPr>
            </w:pPr>
          </w:p>
        </w:tc>
      </w:tr>
      <w:tr w:rsidR="00A7162A" w14:paraId="2BA93931" w14:textId="77777777" w:rsidTr="00F675CF">
        <w:tc>
          <w:tcPr>
            <w:tcW w:w="2514" w:type="dxa"/>
            <w:vMerge/>
          </w:tcPr>
          <w:p w14:paraId="4B4A1AB0" w14:textId="77777777" w:rsidR="004462A0" w:rsidRPr="00CC4B51" w:rsidRDefault="004462A0" w:rsidP="00F675CF">
            <w:pPr>
              <w:widowControl w:val="0"/>
              <w:tabs>
                <w:tab w:val="left" w:pos="562"/>
              </w:tabs>
              <w:suppressAutoHyphens/>
              <w:spacing w:before="60"/>
              <w:rPr>
                <w:sz w:val="22"/>
                <w:szCs w:val="22"/>
              </w:rPr>
            </w:pPr>
          </w:p>
        </w:tc>
        <w:tc>
          <w:tcPr>
            <w:tcW w:w="1996" w:type="dxa"/>
            <w:tcBorders>
              <w:top w:val="nil"/>
            </w:tcBorders>
          </w:tcPr>
          <w:p w14:paraId="74EEB6CA" w14:textId="77777777" w:rsidR="004462A0" w:rsidRPr="00BF2F9C" w:rsidRDefault="00615769" w:rsidP="00F675CF">
            <w:pPr>
              <w:widowControl w:val="0"/>
              <w:tabs>
                <w:tab w:val="left" w:pos="562"/>
              </w:tabs>
              <w:suppressAutoHyphens/>
              <w:rPr>
                <w:sz w:val="22"/>
                <w:szCs w:val="22"/>
              </w:rPr>
            </w:pPr>
            <w:r w:rsidRPr="00BF2F9C">
              <w:rPr>
                <w:sz w:val="22"/>
                <w:szCs w:val="22"/>
              </w:rPr>
              <w:t>Frequentes</w:t>
            </w:r>
          </w:p>
          <w:p w14:paraId="04E74FF5" w14:textId="77777777" w:rsidR="004462A0" w:rsidRPr="00BF2F9C" w:rsidRDefault="004462A0" w:rsidP="00F675CF">
            <w:pPr>
              <w:widowControl w:val="0"/>
              <w:tabs>
                <w:tab w:val="left" w:pos="562"/>
              </w:tabs>
              <w:suppressAutoHyphens/>
              <w:rPr>
                <w:sz w:val="22"/>
                <w:szCs w:val="22"/>
              </w:rPr>
            </w:pPr>
          </w:p>
          <w:p w14:paraId="38F32520" w14:textId="77777777" w:rsidR="004462A0" w:rsidRPr="00BF2F9C" w:rsidRDefault="004462A0" w:rsidP="00F675CF">
            <w:pPr>
              <w:widowControl w:val="0"/>
              <w:tabs>
                <w:tab w:val="left" w:pos="562"/>
              </w:tabs>
              <w:suppressAutoHyphens/>
              <w:rPr>
                <w:sz w:val="22"/>
                <w:szCs w:val="22"/>
              </w:rPr>
            </w:pPr>
          </w:p>
          <w:p w14:paraId="62E3FC2A" w14:textId="77777777" w:rsidR="004462A0" w:rsidRPr="00BF2F9C" w:rsidRDefault="004462A0" w:rsidP="00F675CF">
            <w:pPr>
              <w:widowControl w:val="0"/>
              <w:tabs>
                <w:tab w:val="left" w:pos="562"/>
              </w:tabs>
              <w:suppressAutoHyphens/>
              <w:rPr>
                <w:sz w:val="22"/>
                <w:szCs w:val="22"/>
              </w:rPr>
            </w:pPr>
          </w:p>
          <w:p w14:paraId="5F4DB24B" w14:textId="77777777" w:rsidR="004462A0" w:rsidRPr="00BF2F9C" w:rsidRDefault="004462A0" w:rsidP="00F675CF">
            <w:pPr>
              <w:widowControl w:val="0"/>
              <w:tabs>
                <w:tab w:val="left" w:pos="562"/>
              </w:tabs>
              <w:suppressAutoHyphens/>
              <w:rPr>
                <w:sz w:val="22"/>
                <w:szCs w:val="22"/>
              </w:rPr>
            </w:pPr>
          </w:p>
          <w:p w14:paraId="42BDDBAF" w14:textId="77777777" w:rsidR="004462A0" w:rsidRPr="00BF2F9C" w:rsidRDefault="004462A0" w:rsidP="00F675CF">
            <w:pPr>
              <w:widowControl w:val="0"/>
              <w:tabs>
                <w:tab w:val="left" w:pos="562"/>
              </w:tabs>
              <w:suppressAutoHyphens/>
              <w:rPr>
                <w:sz w:val="22"/>
                <w:szCs w:val="22"/>
              </w:rPr>
            </w:pPr>
          </w:p>
          <w:p w14:paraId="08A1ACC2" w14:textId="77777777" w:rsidR="004462A0" w:rsidRPr="00BF2F9C" w:rsidRDefault="004462A0" w:rsidP="00F675CF">
            <w:pPr>
              <w:widowControl w:val="0"/>
              <w:tabs>
                <w:tab w:val="left" w:pos="562"/>
              </w:tabs>
              <w:suppressAutoHyphens/>
              <w:rPr>
                <w:sz w:val="22"/>
                <w:szCs w:val="22"/>
              </w:rPr>
            </w:pPr>
          </w:p>
        </w:tc>
        <w:tc>
          <w:tcPr>
            <w:tcW w:w="4346" w:type="dxa"/>
            <w:tcBorders>
              <w:top w:val="nil"/>
            </w:tcBorders>
          </w:tcPr>
          <w:p w14:paraId="3D6D3C55" w14:textId="77777777" w:rsidR="004462A0" w:rsidRPr="00CC4B51" w:rsidRDefault="00615769" w:rsidP="00F675CF">
            <w:pPr>
              <w:widowControl w:val="0"/>
              <w:tabs>
                <w:tab w:val="left" w:pos="562"/>
              </w:tabs>
              <w:suppressAutoHyphens/>
              <w:rPr>
                <w:sz w:val="22"/>
                <w:szCs w:val="22"/>
              </w:rPr>
            </w:pPr>
            <w:r>
              <w:rPr>
                <w:sz w:val="22"/>
                <w:szCs w:val="22"/>
              </w:rPr>
              <w:t>H</w:t>
            </w:r>
            <w:r w:rsidRPr="00CC4B51">
              <w:rPr>
                <w:sz w:val="22"/>
                <w:szCs w:val="22"/>
              </w:rPr>
              <w:t xml:space="preserve">ipocaliemia, </w:t>
            </w:r>
          </w:p>
          <w:p w14:paraId="22B06904" w14:textId="77777777" w:rsidR="004462A0" w:rsidRPr="00CC4B51" w:rsidRDefault="00615769" w:rsidP="00F675CF">
            <w:pPr>
              <w:widowControl w:val="0"/>
              <w:tabs>
                <w:tab w:val="left" w:pos="562"/>
              </w:tabs>
              <w:suppressAutoHyphens/>
              <w:rPr>
                <w:sz w:val="22"/>
                <w:szCs w:val="22"/>
              </w:rPr>
            </w:pPr>
            <w:r w:rsidRPr="00CC4B51">
              <w:rPr>
                <w:sz w:val="22"/>
                <w:szCs w:val="22"/>
              </w:rPr>
              <w:t>aumento do ácido úrico,</w:t>
            </w:r>
          </w:p>
          <w:p w14:paraId="64B973A6" w14:textId="77777777" w:rsidR="004462A0" w:rsidRPr="00CC4B51" w:rsidRDefault="00615769" w:rsidP="00F675CF">
            <w:pPr>
              <w:widowControl w:val="0"/>
              <w:tabs>
                <w:tab w:val="left" w:pos="562"/>
              </w:tabs>
              <w:suppressAutoHyphens/>
              <w:rPr>
                <w:sz w:val="22"/>
                <w:szCs w:val="22"/>
              </w:rPr>
            </w:pPr>
            <w:r w:rsidRPr="00CC4B51">
              <w:rPr>
                <w:sz w:val="22"/>
                <w:szCs w:val="22"/>
              </w:rPr>
              <w:t xml:space="preserve">nível de sódio anormal, </w:t>
            </w:r>
          </w:p>
          <w:p w14:paraId="3996A629" w14:textId="77777777" w:rsidR="004462A0" w:rsidRPr="00CC4B51" w:rsidRDefault="00615769" w:rsidP="00F675CF">
            <w:pPr>
              <w:widowControl w:val="0"/>
              <w:tabs>
                <w:tab w:val="left" w:pos="562"/>
              </w:tabs>
              <w:suppressAutoHyphens/>
              <w:rPr>
                <w:sz w:val="22"/>
                <w:szCs w:val="22"/>
              </w:rPr>
            </w:pPr>
            <w:r w:rsidRPr="00CC4B51">
              <w:rPr>
                <w:sz w:val="22"/>
                <w:szCs w:val="22"/>
              </w:rPr>
              <w:t>hipocalcemia,</w:t>
            </w:r>
          </w:p>
          <w:p w14:paraId="63713A39" w14:textId="77777777" w:rsidR="004462A0" w:rsidRPr="00CC4B51" w:rsidRDefault="00615769" w:rsidP="00F675CF">
            <w:pPr>
              <w:widowControl w:val="0"/>
              <w:tabs>
                <w:tab w:val="left" w:pos="562"/>
              </w:tabs>
              <w:suppressAutoHyphens/>
              <w:rPr>
                <w:sz w:val="22"/>
                <w:szCs w:val="22"/>
              </w:rPr>
            </w:pPr>
            <w:r w:rsidRPr="00CC4B51">
              <w:rPr>
                <w:sz w:val="22"/>
                <w:szCs w:val="22"/>
              </w:rPr>
              <w:t>hiperglicemia,</w:t>
            </w:r>
          </w:p>
          <w:p w14:paraId="09D399EA" w14:textId="77777777" w:rsidR="004462A0" w:rsidRPr="00CC4B51" w:rsidRDefault="00615769" w:rsidP="00F675CF">
            <w:pPr>
              <w:widowControl w:val="0"/>
              <w:tabs>
                <w:tab w:val="left" w:pos="562"/>
              </w:tabs>
              <w:suppressAutoHyphens/>
              <w:rPr>
                <w:sz w:val="22"/>
                <w:szCs w:val="22"/>
              </w:rPr>
            </w:pPr>
            <w:r w:rsidRPr="00CC4B51">
              <w:rPr>
                <w:sz w:val="22"/>
                <w:szCs w:val="22"/>
              </w:rPr>
              <w:t>hipofosfatemia,</w:t>
            </w:r>
          </w:p>
          <w:p w14:paraId="15C46D7E" w14:textId="77777777" w:rsidR="004462A0" w:rsidRPr="00CC4B51" w:rsidRDefault="00615769" w:rsidP="00F675CF">
            <w:pPr>
              <w:tabs>
                <w:tab w:val="left" w:pos="562"/>
              </w:tabs>
              <w:suppressAutoHyphens/>
              <w:rPr>
                <w:sz w:val="22"/>
                <w:szCs w:val="22"/>
              </w:rPr>
            </w:pPr>
            <w:r w:rsidRPr="00CC4B51">
              <w:rPr>
                <w:sz w:val="22"/>
                <w:szCs w:val="22"/>
              </w:rPr>
              <w:t>desidratação</w:t>
            </w:r>
          </w:p>
        </w:tc>
      </w:tr>
      <w:tr w:rsidR="00A7162A" w14:paraId="1E02230C" w14:textId="77777777" w:rsidTr="00F675CF">
        <w:tc>
          <w:tcPr>
            <w:tcW w:w="2514" w:type="dxa"/>
          </w:tcPr>
          <w:p w14:paraId="1603CC0B" w14:textId="77777777" w:rsidR="004462A0" w:rsidRPr="00CC4B51" w:rsidRDefault="00615769" w:rsidP="00F675CF">
            <w:pPr>
              <w:widowControl w:val="0"/>
              <w:tabs>
                <w:tab w:val="left" w:pos="562"/>
              </w:tabs>
              <w:suppressAutoHyphens/>
              <w:spacing w:before="60"/>
              <w:rPr>
                <w:sz w:val="22"/>
                <w:szCs w:val="22"/>
              </w:rPr>
            </w:pPr>
            <w:r w:rsidRPr="00CC4B51">
              <w:rPr>
                <w:sz w:val="22"/>
                <w:szCs w:val="22"/>
              </w:rPr>
              <w:t>Perturbações do foro psiquiátrico</w:t>
            </w:r>
          </w:p>
        </w:tc>
        <w:tc>
          <w:tcPr>
            <w:tcW w:w="1996" w:type="dxa"/>
          </w:tcPr>
          <w:p w14:paraId="2AB7812A" w14:textId="77777777" w:rsidR="004462A0" w:rsidRPr="00CC4B51" w:rsidRDefault="00615769" w:rsidP="00F675CF">
            <w:pPr>
              <w:widowControl w:val="0"/>
              <w:tabs>
                <w:tab w:val="left" w:pos="562"/>
              </w:tabs>
              <w:suppressAutoHyphens/>
              <w:rPr>
                <w:sz w:val="22"/>
                <w:szCs w:val="22"/>
              </w:rPr>
            </w:pPr>
            <w:r w:rsidRPr="00CC4B51">
              <w:rPr>
                <w:sz w:val="22"/>
                <w:szCs w:val="22"/>
              </w:rPr>
              <w:t>Frequentes</w:t>
            </w:r>
          </w:p>
        </w:tc>
        <w:tc>
          <w:tcPr>
            <w:tcW w:w="4346" w:type="dxa"/>
          </w:tcPr>
          <w:p w14:paraId="5CE2E074" w14:textId="77777777" w:rsidR="004462A0" w:rsidRPr="00CC4B51" w:rsidRDefault="00615769" w:rsidP="00F675CF">
            <w:pPr>
              <w:widowControl w:val="0"/>
              <w:tabs>
                <w:tab w:val="left" w:pos="562"/>
              </w:tabs>
              <w:suppressAutoHyphens/>
              <w:rPr>
                <w:sz w:val="22"/>
                <w:szCs w:val="22"/>
              </w:rPr>
            </w:pPr>
            <w:r>
              <w:rPr>
                <w:sz w:val="22"/>
                <w:szCs w:val="22"/>
              </w:rPr>
              <w:t>A</w:t>
            </w:r>
            <w:r w:rsidRPr="00CC4B51">
              <w:rPr>
                <w:sz w:val="22"/>
                <w:szCs w:val="22"/>
              </w:rPr>
              <w:t xml:space="preserve">lterações de humor (incluindo depressão), ansiedade, </w:t>
            </w:r>
          </w:p>
          <w:p w14:paraId="06C9A4D3" w14:textId="77777777" w:rsidR="004462A0" w:rsidRPr="00CC4B51" w:rsidRDefault="00615769" w:rsidP="00F675CF">
            <w:pPr>
              <w:widowControl w:val="0"/>
              <w:tabs>
                <w:tab w:val="left" w:pos="562"/>
              </w:tabs>
              <w:suppressAutoHyphens/>
              <w:rPr>
                <w:sz w:val="22"/>
                <w:szCs w:val="22"/>
              </w:rPr>
            </w:pPr>
            <w:r w:rsidRPr="00CC4B51">
              <w:rPr>
                <w:sz w:val="22"/>
                <w:szCs w:val="22"/>
              </w:rPr>
              <w:t>insónia</w:t>
            </w:r>
          </w:p>
          <w:p w14:paraId="00C4EE99" w14:textId="77777777" w:rsidR="004462A0" w:rsidRPr="00CC4B51" w:rsidRDefault="004462A0" w:rsidP="00F675CF">
            <w:pPr>
              <w:widowControl w:val="0"/>
              <w:tabs>
                <w:tab w:val="left" w:pos="562"/>
              </w:tabs>
              <w:suppressAutoHyphens/>
              <w:rPr>
                <w:sz w:val="22"/>
                <w:szCs w:val="22"/>
              </w:rPr>
            </w:pPr>
          </w:p>
        </w:tc>
      </w:tr>
      <w:tr w:rsidR="00A7162A" w14:paraId="5ABB6EFE" w14:textId="77777777" w:rsidTr="00F675CF">
        <w:tc>
          <w:tcPr>
            <w:tcW w:w="2514" w:type="dxa"/>
            <w:vMerge w:val="restart"/>
          </w:tcPr>
          <w:p w14:paraId="5307576E" w14:textId="77777777" w:rsidR="004462A0" w:rsidRPr="00CC4B51" w:rsidRDefault="00615769" w:rsidP="00F675CF">
            <w:pPr>
              <w:widowControl w:val="0"/>
              <w:tabs>
                <w:tab w:val="left" w:pos="562"/>
              </w:tabs>
              <w:suppressAutoHyphens/>
              <w:spacing w:before="60"/>
              <w:rPr>
                <w:sz w:val="22"/>
                <w:szCs w:val="22"/>
              </w:rPr>
            </w:pPr>
            <w:r w:rsidRPr="00CC4B51">
              <w:rPr>
                <w:sz w:val="22"/>
                <w:szCs w:val="22"/>
              </w:rPr>
              <w:t>Doenças do sistema nervoso *</w:t>
            </w:r>
          </w:p>
        </w:tc>
        <w:tc>
          <w:tcPr>
            <w:tcW w:w="1996" w:type="dxa"/>
            <w:tcBorders>
              <w:bottom w:val="nil"/>
            </w:tcBorders>
          </w:tcPr>
          <w:p w14:paraId="5BB1F4A8" w14:textId="77777777" w:rsidR="004462A0" w:rsidRPr="00CC4B51" w:rsidRDefault="00615769" w:rsidP="00F675CF">
            <w:pPr>
              <w:widowControl w:val="0"/>
              <w:tabs>
                <w:tab w:val="left" w:pos="562"/>
              </w:tabs>
              <w:suppressAutoHyphens/>
              <w:rPr>
                <w:sz w:val="22"/>
                <w:szCs w:val="22"/>
              </w:rPr>
            </w:pPr>
            <w:r w:rsidRPr="00CC4B51">
              <w:rPr>
                <w:sz w:val="22"/>
                <w:szCs w:val="22"/>
              </w:rPr>
              <w:t xml:space="preserve">Muito frequentes </w:t>
            </w:r>
          </w:p>
        </w:tc>
        <w:tc>
          <w:tcPr>
            <w:tcW w:w="4346" w:type="dxa"/>
            <w:tcBorders>
              <w:bottom w:val="nil"/>
            </w:tcBorders>
          </w:tcPr>
          <w:p w14:paraId="5503C385" w14:textId="77777777" w:rsidR="004462A0" w:rsidRPr="00CC4B51" w:rsidRDefault="00615769" w:rsidP="00F675CF">
            <w:pPr>
              <w:widowControl w:val="0"/>
              <w:tabs>
                <w:tab w:val="left" w:pos="562"/>
              </w:tabs>
              <w:suppressAutoHyphens/>
              <w:rPr>
                <w:sz w:val="22"/>
                <w:szCs w:val="22"/>
              </w:rPr>
            </w:pPr>
            <w:r>
              <w:rPr>
                <w:sz w:val="22"/>
                <w:szCs w:val="22"/>
              </w:rPr>
              <w:t>C</w:t>
            </w:r>
            <w:r w:rsidRPr="00CC4B51">
              <w:rPr>
                <w:sz w:val="22"/>
                <w:szCs w:val="22"/>
              </w:rPr>
              <w:t>efaleias</w:t>
            </w:r>
          </w:p>
          <w:p w14:paraId="0C70B424" w14:textId="77777777" w:rsidR="004462A0" w:rsidRPr="00CC4B51" w:rsidRDefault="004462A0" w:rsidP="00F675CF">
            <w:pPr>
              <w:widowControl w:val="0"/>
              <w:tabs>
                <w:tab w:val="left" w:pos="562"/>
              </w:tabs>
              <w:suppressAutoHyphens/>
              <w:rPr>
                <w:sz w:val="22"/>
                <w:szCs w:val="22"/>
              </w:rPr>
            </w:pPr>
          </w:p>
        </w:tc>
      </w:tr>
      <w:tr w:rsidR="00A7162A" w14:paraId="74BB7052" w14:textId="77777777" w:rsidTr="00F675CF">
        <w:tc>
          <w:tcPr>
            <w:tcW w:w="2514" w:type="dxa"/>
            <w:vMerge/>
          </w:tcPr>
          <w:p w14:paraId="639DDCAA" w14:textId="77777777" w:rsidR="004462A0" w:rsidRPr="00CC4B51" w:rsidRDefault="004462A0" w:rsidP="00F675CF">
            <w:pPr>
              <w:widowControl w:val="0"/>
              <w:tabs>
                <w:tab w:val="left" w:pos="562"/>
              </w:tabs>
              <w:suppressAutoHyphens/>
              <w:spacing w:before="60"/>
              <w:rPr>
                <w:sz w:val="22"/>
                <w:szCs w:val="22"/>
              </w:rPr>
            </w:pPr>
          </w:p>
        </w:tc>
        <w:tc>
          <w:tcPr>
            <w:tcW w:w="1996" w:type="dxa"/>
            <w:tcBorders>
              <w:top w:val="nil"/>
              <w:bottom w:val="nil"/>
            </w:tcBorders>
          </w:tcPr>
          <w:p w14:paraId="3A275028" w14:textId="77777777" w:rsidR="004462A0" w:rsidRPr="00CC4B51" w:rsidRDefault="00615769" w:rsidP="00F675CF">
            <w:pPr>
              <w:widowControl w:val="0"/>
              <w:tabs>
                <w:tab w:val="left" w:pos="562"/>
              </w:tabs>
              <w:suppressAutoHyphens/>
              <w:rPr>
                <w:sz w:val="22"/>
                <w:szCs w:val="22"/>
              </w:rPr>
            </w:pPr>
            <w:r w:rsidRPr="00CC4B51">
              <w:rPr>
                <w:sz w:val="22"/>
                <w:szCs w:val="22"/>
              </w:rPr>
              <w:t>Frequentes</w:t>
            </w:r>
          </w:p>
          <w:p w14:paraId="113AE5AD" w14:textId="77777777" w:rsidR="004462A0" w:rsidRPr="00CC4B51" w:rsidRDefault="004462A0" w:rsidP="00F675CF">
            <w:pPr>
              <w:widowControl w:val="0"/>
              <w:tabs>
                <w:tab w:val="left" w:pos="562"/>
              </w:tabs>
              <w:suppressAutoHyphens/>
              <w:rPr>
                <w:sz w:val="22"/>
                <w:szCs w:val="22"/>
              </w:rPr>
            </w:pPr>
          </w:p>
        </w:tc>
        <w:tc>
          <w:tcPr>
            <w:tcW w:w="4346" w:type="dxa"/>
            <w:tcBorders>
              <w:top w:val="nil"/>
              <w:bottom w:val="nil"/>
            </w:tcBorders>
          </w:tcPr>
          <w:p w14:paraId="1B89DAD8" w14:textId="77777777" w:rsidR="004462A0" w:rsidRPr="00CC4B51" w:rsidRDefault="00615769" w:rsidP="00F675CF">
            <w:pPr>
              <w:widowControl w:val="0"/>
              <w:tabs>
                <w:tab w:val="left" w:pos="562"/>
              </w:tabs>
              <w:suppressAutoHyphens/>
              <w:rPr>
                <w:sz w:val="22"/>
                <w:szCs w:val="22"/>
              </w:rPr>
            </w:pPr>
            <w:r>
              <w:rPr>
                <w:sz w:val="22"/>
                <w:szCs w:val="22"/>
              </w:rPr>
              <w:t>P</w:t>
            </w:r>
            <w:r w:rsidRPr="00CC4B51">
              <w:rPr>
                <w:sz w:val="22"/>
                <w:szCs w:val="22"/>
              </w:rPr>
              <w:t>arestesias (incluindo hipo</w:t>
            </w:r>
            <w:r w:rsidR="00D9472B">
              <w:rPr>
                <w:sz w:val="22"/>
                <w:szCs w:val="22"/>
              </w:rPr>
              <w:t>e</w:t>
            </w:r>
            <w:r w:rsidRPr="00CC4B51">
              <w:rPr>
                <w:sz w:val="22"/>
                <w:szCs w:val="22"/>
              </w:rPr>
              <w:t>stesia),</w:t>
            </w:r>
          </w:p>
          <w:p w14:paraId="129D3E67" w14:textId="77777777" w:rsidR="004462A0" w:rsidRPr="00CC4B51" w:rsidRDefault="00615769" w:rsidP="00F675CF">
            <w:pPr>
              <w:widowControl w:val="0"/>
              <w:tabs>
                <w:tab w:val="left" w:pos="562"/>
              </w:tabs>
              <w:suppressAutoHyphens/>
              <w:rPr>
                <w:sz w:val="22"/>
                <w:szCs w:val="22"/>
              </w:rPr>
            </w:pPr>
            <w:r w:rsidRPr="00CC4B51">
              <w:rPr>
                <w:sz w:val="22"/>
                <w:szCs w:val="22"/>
              </w:rPr>
              <w:t>enxaqueca,</w:t>
            </w:r>
          </w:p>
          <w:p w14:paraId="356FB628" w14:textId="77777777" w:rsidR="004462A0" w:rsidRPr="00CC4B51" w:rsidRDefault="00615769" w:rsidP="00F675CF">
            <w:pPr>
              <w:tabs>
                <w:tab w:val="left" w:pos="562"/>
              </w:tabs>
              <w:suppressAutoHyphens/>
              <w:rPr>
                <w:sz w:val="22"/>
                <w:szCs w:val="22"/>
              </w:rPr>
            </w:pPr>
            <w:r w:rsidRPr="00CC4B51">
              <w:rPr>
                <w:sz w:val="22"/>
                <w:szCs w:val="22"/>
              </w:rPr>
              <w:t>compressão da raiz nervosa</w:t>
            </w:r>
          </w:p>
          <w:p w14:paraId="19ABF3FA" w14:textId="77777777" w:rsidR="004462A0" w:rsidRPr="00CC4B51" w:rsidRDefault="004462A0" w:rsidP="00F675CF">
            <w:pPr>
              <w:tabs>
                <w:tab w:val="left" w:pos="562"/>
              </w:tabs>
              <w:suppressAutoHyphens/>
              <w:rPr>
                <w:sz w:val="22"/>
                <w:szCs w:val="22"/>
              </w:rPr>
            </w:pPr>
          </w:p>
        </w:tc>
      </w:tr>
      <w:tr w:rsidR="00A7162A" w14:paraId="554E3A01" w14:textId="77777777" w:rsidTr="00F675CF">
        <w:tc>
          <w:tcPr>
            <w:tcW w:w="2514" w:type="dxa"/>
            <w:vMerge/>
          </w:tcPr>
          <w:p w14:paraId="55D0E3F6" w14:textId="77777777" w:rsidR="004462A0" w:rsidRPr="00CC4B51" w:rsidRDefault="004462A0" w:rsidP="00F675CF">
            <w:pPr>
              <w:widowControl w:val="0"/>
              <w:spacing w:before="60"/>
              <w:jc w:val="center"/>
              <w:rPr>
                <w:b/>
              </w:rPr>
            </w:pPr>
          </w:p>
        </w:tc>
        <w:tc>
          <w:tcPr>
            <w:tcW w:w="1996" w:type="dxa"/>
            <w:tcBorders>
              <w:top w:val="nil"/>
              <w:bottom w:val="nil"/>
            </w:tcBorders>
          </w:tcPr>
          <w:p w14:paraId="49C63D0B" w14:textId="77777777" w:rsidR="004462A0" w:rsidRPr="00CC4B51" w:rsidRDefault="00615769" w:rsidP="00F675CF">
            <w:pPr>
              <w:widowControl w:val="0"/>
              <w:tabs>
                <w:tab w:val="left" w:pos="562"/>
              </w:tabs>
              <w:suppressAutoHyphens/>
              <w:rPr>
                <w:sz w:val="22"/>
                <w:szCs w:val="22"/>
              </w:rPr>
            </w:pPr>
            <w:r w:rsidRPr="00CC4B51">
              <w:rPr>
                <w:sz w:val="22"/>
                <w:szCs w:val="22"/>
              </w:rPr>
              <w:t>Pouco frequentes</w:t>
            </w:r>
          </w:p>
          <w:p w14:paraId="55209F51" w14:textId="77777777" w:rsidR="004462A0" w:rsidRPr="00CC4B51" w:rsidRDefault="004462A0" w:rsidP="00F675CF">
            <w:pPr>
              <w:widowControl w:val="0"/>
              <w:tabs>
                <w:tab w:val="left" w:pos="562"/>
              </w:tabs>
              <w:suppressAutoHyphens/>
              <w:rPr>
                <w:sz w:val="22"/>
                <w:szCs w:val="22"/>
              </w:rPr>
            </w:pPr>
          </w:p>
        </w:tc>
        <w:tc>
          <w:tcPr>
            <w:tcW w:w="4346" w:type="dxa"/>
            <w:tcBorders>
              <w:top w:val="nil"/>
              <w:bottom w:val="nil"/>
            </w:tcBorders>
          </w:tcPr>
          <w:p w14:paraId="5F8CDBD6" w14:textId="77777777" w:rsidR="004462A0" w:rsidRPr="00BF2F9C" w:rsidRDefault="00615769" w:rsidP="00F675CF">
            <w:pPr>
              <w:widowControl w:val="0"/>
              <w:tabs>
                <w:tab w:val="left" w:pos="562"/>
              </w:tabs>
              <w:suppressAutoHyphens/>
              <w:rPr>
                <w:sz w:val="22"/>
                <w:szCs w:val="22"/>
              </w:rPr>
            </w:pPr>
            <w:r>
              <w:rPr>
                <w:sz w:val="22"/>
                <w:szCs w:val="22"/>
              </w:rPr>
              <w:t>A</w:t>
            </w:r>
            <w:r w:rsidRPr="00CC4B51">
              <w:rPr>
                <w:sz w:val="22"/>
                <w:szCs w:val="22"/>
              </w:rPr>
              <w:t>cidente vascular</w:t>
            </w:r>
            <w:r w:rsidR="003E3AA9">
              <w:rPr>
                <w:sz w:val="22"/>
                <w:szCs w:val="22"/>
              </w:rPr>
              <w:t xml:space="preserve"> cerebral</w:t>
            </w:r>
            <w:r w:rsidRPr="00CC4B51">
              <w:rPr>
                <w:sz w:val="22"/>
                <w:szCs w:val="22"/>
                <w:vertAlign w:val="superscript"/>
              </w:rPr>
              <w:t>1)</w:t>
            </w:r>
            <w:r w:rsidR="00BF2F9C">
              <w:rPr>
                <w:sz w:val="22"/>
                <w:szCs w:val="22"/>
              </w:rPr>
              <w:t>,</w:t>
            </w:r>
          </w:p>
          <w:p w14:paraId="39DA92C9" w14:textId="77777777" w:rsidR="004462A0" w:rsidRPr="00CC4B51" w:rsidRDefault="00615769" w:rsidP="00F675CF">
            <w:pPr>
              <w:widowControl w:val="0"/>
              <w:tabs>
                <w:tab w:val="left" w:pos="562"/>
              </w:tabs>
              <w:suppressAutoHyphens/>
              <w:rPr>
                <w:sz w:val="22"/>
                <w:szCs w:val="22"/>
              </w:rPr>
            </w:pPr>
            <w:r w:rsidRPr="00CC4B51">
              <w:rPr>
                <w:sz w:val="22"/>
                <w:szCs w:val="22"/>
              </w:rPr>
              <w:t>tremor</w:t>
            </w:r>
            <w:r w:rsidR="00BF2F9C">
              <w:rPr>
                <w:sz w:val="22"/>
                <w:szCs w:val="22"/>
              </w:rPr>
              <w:t>,</w:t>
            </w:r>
          </w:p>
          <w:p w14:paraId="113DEE08" w14:textId="77777777" w:rsidR="004462A0" w:rsidRPr="00CC4B51" w:rsidRDefault="00615769" w:rsidP="00F675CF">
            <w:pPr>
              <w:widowControl w:val="0"/>
              <w:tabs>
                <w:tab w:val="left" w:pos="562"/>
              </w:tabs>
              <w:suppressAutoHyphens/>
              <w:rPr>
                <w:sz w:val="22"/>
                <w:szCs w:val="22"/>
              </w:rPr>
            </w:pPr>
            <w:r w:rsidRPr="00CC4B51">
              <w:rPr>
                <w:sz w:val="22"/>
                <w:szCs w:val="22"/>
              </w:rPr>
              <w:t>neuropatia</w:t>
            </w:r>
          </w:p>
          <w:p w14:paraId="0FE1678D" w14:textId="77777777" w:rsidR="004462A0" w:rsidRPr="00CC4B51" w:rsidRDefault="004462A0" w:rsidP="00F675CF">
            <w:pPr>
              <w:widowControl w:val="0"/>
              <w:tabs>
                <w:tab w:val="left" w:pos="562"/>
              </w:tabs>
              <w:suppressAutoHyphens/>
              <w:rPr>
                <w:sz w:val="22"/>
                <w:szCs w:val="22"/>
              </w:rPr>
            </w:pPr>
          </w:p>
        </w:tc>
      </w:tr>
      <w:tr w:rsidR="00A7162A" w14:paraId="3ADC4DEF" w14:textId="77777777" w:rsidTr="00F675CF">
        <w:tc>
          <w:tcPr>
            <w:tcW w:w="2514" w:type="dxa"/>
            <w:vMerge/>
          </w:tcPr>
          <w:p w14:paraId="35141187" w14:textId="77777777" w:rsidR="004462A0" w:rsidRPr="00CC4B51" w:rsidRDefault="004462A0" w:rsidP="00F675CF">
            <w:pPr>
              <w:widowControl w:val="0"/>
              <w:spacing w:before="60"/>
              <w:jc w:val="center"/>
              <w:rPr>
                <w:b/>
              </w:rPr>
            </w:pPr>
          </w:p>
        </w:tc>
        <w:tc>
          <w:tcPr>
            <w:tcW w:w="1996" w:type="dxa"/>
            <w:tcBorders>
              <w:top w:val="nil"/>
            </w:tcBorders>
          </w:tcPr>
          <w:p w14:paraId="5DF147BA" w14:textId="77777777" w:rsidR="004462A0" w:rsidRPr="00CC4B51" w:rsidRDefault="00615769" w:rsidP="00F675CF">
            <w:pPr>
              <w:widowControl w:val="0"/>
              <w:tabs>
                <w:tab w:val="left" w:pos="562"/>
              </w:tabs>
              <w:suppressAutoHyphens/>
              <w:rPr>
                <w:sz w:val="22"/>
                <w:szCs w:val="22"/>
              </w:rPr>
            </w:pPr>
            <w:r w:rsidRPr="00CC4B51">
              <w:rPr>
                <w:sz w:val="22"/>
                <w:szCs w:val="22"/>
              </w:rPr>
              <w:t>Raros</w:t>
            </w:r>
          </w:p>
          <w:p w14:paraId="0C5982B1" w14:textId="77777777" w:rsidR="004462A0" w:rsidRPr="00CC4B51" w:rsidRDefault="004462A0" w:rsidP="00F675CF">
            <w:pPr>
              <w:widowControl w:val="0"/>
              <w:tabs>
                <w:tab w:val="left" w:pos="562"/>
              </w:tabs>
              <w:suppressAutoHyphens/>
              <w:rPr>
                <w:sz w:val="22"/>
                <w:szCs w:val="22"/>
              </w:rPr>
            </w:pPr>
          </w:p>
        </w:tc>
        <w:tc>
          <w:tcPr>
            <w:tcW w:w="4346" w:type="dxa"/>
            <w:tcBorders>
              <w:top w:val="nil"/>
            </w:tcBorders>
          </w:tcPr>
          <w:p w14:paraId="60F764CA" w14:textId="77777777" w:rsidR="004462A0" w:rsidRPr="00CC4B51" w:rsidRDefault="00615769" w:rsidP="00F675CF">
            <w:pPr>
              <w:widowControl w:val="0"/>
              <w:tabs>
                <w:tab w:val="left" w:pos="562"/>
              </w:tabs>
              <w:suppressAutoHyphens/>
              <w:rPr>
                <w:sz w:val="22"/>
                <w:szCs w:val="22"/>
              </w:rPr>
            </w:pPr>
            <w:r>
              <w:rPr>
                <w:sz w:val="22"/>
                <w:szCs w:val="22"/>
              </w:rPr>
              <w:t>E</w:t>
            </w:r>
            <w:r w:rsidRPr="00CC4B51">
              <w:rPr>
                <w:sz w:val="22"/>
                <w:szCs w:val="22"/>
              </w:rPr>
              <w:t>sclerose múltipla,</w:t>
            </w:r>
          </w:p>
          <w:p w14:paraId="0DE284D5" w14:textId="77777777" w:rsidR="004462A0" w:rsidRPr="00CC4B51" w:rsidRDefault="00615769" w:rsidP="00F675CF">
            <w:pPr>
              <w:widowControl w:val="0"/>
              <w:tabs>
                <w:tab w:val="left" w:pos="562"/>
              </w:tabs>
              <w:suppressAutoHyphens/>
              <w:rPr>
                <w:sz w:val="22"/>
                <w:szCs w:val="22"/>
                <w:vertAlign w:val="superscript"/>
              </w:rPr>
            </w:pPr>
            <w:r w:rsidRPr="00CC4B51">
              <w:rPr>
                <w:sz w:val="22"/>
                <w:szCs w:val="22"/>
              </w:rPr>
              <w:t>perturbações desmielinizantes (p. ex. neurite ótica, síndrome de Guillain-Barré)</w:t>
            </w:r>
            <w:r w:rsidRPr="00CC4B51">
              <w:rPr>
                <w:sz w:val="22"/>
                <w:szCs w:val="22"/>
                <w:vertAlign w:val="superscript"/>
              </w:rPr>
              <w:t>1)</w:t>
            </w:r>
          </w:p>
          <w:p w14:paraId="460EA4FD" w14:textId="77777777" w:rsidR="004462A0" w:rsidRPr="00CC4B51" w:rsidRDefault="004462A0" w:rsidP="00F675CF">
            <w:pPr>
              <w:widowControl w:val="0"/>
              <w:tabs>
                <w:tab w:val="left" w:pos="562"/>
              </w:tabs>
              <w:suppressAutoHyphens/>
              <w:rPr>
                <w:sz w:val="22"/>
                <w:szCs w:val="22"/>
              </w:rPr>
            </w:pPr>
          </w:p>
        </w:tc>
      </w:tr>
      <w:tr w:rsidR="00A7162A" w14:paraId="3B958B26" w14:textId="77777777" w:rsidTr="00F675CF">
        <w:tc>
          <w:tcPr>
            <w:tcW w:w="2514" w:type="dxa"/>
            <w:vMerge w:val="restart"/>
          </w:tcPr>
          <w:p w14:paraId="30A6A35D" w14:textId="77777777" w:rsidR="004462A0" w:rsidRPr="00CC4B51" w:rsidRDefault="00615769" w:rsidP="00F675CF">
            <w:pPr>
              <w:widowControl w:val="0"/>
              <w:tabs>
                <w:tab w:val="left" w:pos="562"/>
              </w:tabs>
              <w:suppressAutoHyphens/>
              <w:spacing w:before="60"/>
              <w:rPr>
                <w:sz w:val="22"/>
                <w:szCs w:val="22"/>
              </w:rPr>
            </w:pPr>
            <w:r w:rsidRPr="00CC4B51">
              <w:rPr>
                <w:sz w:val="22"/>
                <w:szCs w:val="22"/>
              </w:rPr>
              <w:t>Afeções oculares</w:t>
            </w:r>
          </w:p>
        </w:tc>
        <w:tc>
          <w:tcPr>
            <w:tcW w:w="1996" w:type="dxa"/>
            <w:tcBorders>
              <w:bottom w:val="nil"/>
            </w:tcBorders>
          </w:tcPr>
          <w:p w14:paraId="03D602F3" w14:textId="77777777" w:rsidR="004462A0" w:rsidRPr="00CC4B51" w:rsidRDefault="00615769" w:rsidP="00F675CF">
            <w:pPr>
              <w:widowControl w:val="0"/>
              <w:tabs>
                <w:tab w:val="left" w:pos="562"/>
              </w:tabs>
              <w:suppressAutoHyphens/>
              <w:spacing w:before="60"/>
              <w:rPr>
                <w:sz w:val="22"/>
                <w:szCs w:val="22"/>
              </w:rPr>
            </w:pPr>
            <w:r w:rsidRPr="00CC4B51">
              <w:rPr>
                <w:sz w:val="22"/>
                <w:szCs w:val="22"/>
              </w:rPr>
              <w:t>Frequentes</w:t>
            </w:r>
          </w:p>
          <w:p w14:paraId="443BE7CA" w14:textId="77777777" w:rsidR="004462A0" w:rsidRPr="00CC4B51" w:rsidRDefault="004462A0" w:rsidP="00F675CF">
            <w:pPr>
              <w:widowControl w:val="0"/>
              <w:tabs>
                <w:tab w:val="left" w:pos="562"/>
              </w:tabs>
              <w:suppressAutoHyphens/>
              <w:spacing w:before="60"/>
              <w:rPr>
                <w:sz w:val="22"/>
                <w:szCs w:val="22"/>
              </w:rPr>
            </w:pPr>
          </w:p>
        </w:tc>
        <w:tc>
          <w:tcPr>
            <w:tcW w:w="4346" w:type="dxa"/>
            <w:tcBorders>
              <w:bottom w:val="nil"/>
            </w:tcBorders>
          </w:tcPr>
          <w:p w14:paraId="4937FD1C" w14:textId="77777777" w:rsidR="004462A0" w:rsidRPr="00CC4B51" w:rsidRDefault="00615769" w:rsidP="00F675CF">
            <w:pPr>
              <w:widowControl w:val="0"/>
              <w:tabs>
                <w:tab w:val="left" w:pos="562"/>
              </w:tabs>
              <w:suppressAutoHyphens/>
              <w:spacing w:before="60"/>
              <w:rPr>
                <w:sz w:val="22"/>
                <w:szCs w:val="22"/>
              </w:rPr>
            </w:pPr>
            <w:r>
              <w:rPr>
                <w:sz w:val="22"/>
                <w:szCs w:val="22"/>
              </w:rPr>
              <w:t>A</w:t>
            </w:r>
            <w:r w:rsidRPr="00CC4B51">
              <w:rPr>
                <w:sz w:val="22"/>
                <w:szCs w:val="22"/>
              </w:rPr>
              <w:t>lterações da visão,</w:t>
            </w:r>
          </w:p>
          <w:p w14:paraId="03F5F504" w14:textId="77777777" w:rsidR="004462A0" w:rsidRPr="00CC4B51" w:rsidRDefault="00615769" w:rsidP="00F675CF">
            <w:pPr>
              <w:rPr>
                <w:sz w:val="22"/>
                <w:szCs w:val="22"/>
              </w:rPr>
            </w:pPr>
            <w:r w:rsidRPr="00CC4B51">
              <w:rPr>
                <w:sz w:val="22"/>
                <w:szCs w:val="22"/>
              </w:rPr>
              <w:t>conjuntivite,</w:t>
            </w:r>
          </w:p>
          <w:p w14:paraId="0DC545C4" w14:textId="77777777" w:rsidR="004462A0" w:rsidRPr="00CC4B51" w:rsidRDefault="00615769" w:rsidP="00F675CF">
            <w:pPr>
              <w:tabs>
                <w:tab w:val="left" w:pos="562"/>
              </w:tabs>
              <w:suppressAutoHyphens/>
              <w:rPr>
                <w:sz w:val="22"/>
                <w:szCs w:val="20"/>
              </w:rPr>
            </w:pPr>
            <w:r w:rsidRPr="00CC4B51">
              <w:rPr>
                <w:sz w:val="22"/>
                <w:szCs w:val="20"/>
              </w:rPr>
              <w:t>blefarite,</w:t>
            </w:r>
          </w:p>
          <w:p w14:paraId="6412233A" w14:textId="77777777" w:rsidR="004462A0" w:rsidRPr="00CC4B51" w:rsidRDefault="00615769" w:rsidP="00F675CF">
            <w:pPr>
              <w:tabs>
                <w:tab w:val="left" w:pos="562"/>
              </w:tabs>
              <w:suppressAutoHyphens/>
              <w:rPr>
                <w:sz w:val="22"/>
                <w:szCs w:val="20"/>
              </w:rPr>
            </w:pPr>
            <w:r w:rsidRPr="00CC4B51">
              <w:rPr>
                <w:sz w:val="22"/>
                <w:szCs w:val="20"/>
              </w:rPr>
              <w:t>inchaço dos olhos</w:t>
            </w:r>
          </w:p>
          <w:p w14:paraId="26DE5CA9" w14:textId="77777777" w:rsidR="004462A0" w:rsidRPr="00CC4B51" w:rsidRDefault="004462A0" w:rsidP="00F675CF">
            <w:pPr>
              <w:tabs>
                <w:tab w:val="left" w:pos="562"/>
              </w:tabs>
              <w:suppressAutoHyphens/>
              <w:rPr>
                <w:sz w:val="22"/>
                <w:szCs w:val="20"/>
              </w:rPr>
            </w:pPr>
          </w:p>
        </w:tc>
      </w:tr>
      <w:tr w:rsidR="00A7162A" w14:paraId="09582909" w14:textId="77777777" w:rsidTr="00F675CF">
        <w:tc>
          <w:tcPr>
            <w:tcW w:w="2514" w:type="dxa"/>
            <w:vMerge/>
          </w:tcPr>
          <w:p w14:paraId="7307FCC7" w14:textId="77777777" w:rsidR="004462A0" w:rsidRPr="00CC4B51" w:rsidRDefault="004462A0" w:rsidP="00F675CF">
            <w:pPr>
              <w:widowControl w:val="0"/>
              <w:spacing w:before="60"/>
              <w:jc w:val="center"/>
              <w:rPr>
                <w:b/>
              </w:rPr>
            </w:pPr>
          </w:p>
        </w:tc>
        <w:tc>
          <w:tcPr>
            <w:tcW w:w="1996" w:type="dxa"/>
            <w:tcBorders>
              <w:top w:val="nil"/>
            </w:tcBorders>
          </w:tcPr>
          <w:p w14:paraId="1479658B" w14:textId="77777777" w:rsidR="004462A0" w:rsidRPr="00CC4B51" w:rsidRDefault="00615769" w:rsidP="00F675CF">
            <w:pPr>
              <w:widowControl w:val="0"/>
              <w:tabs>
                <w:tab w:val="left" w:pos="562"/>
              </w:tabs>
              <w:suppressAutoHyphens/>
              <w:rPr>
                <w:sz w:val="22"/>
                <w:szCs w:val="22"/>
              </w:rPr>
            </w:pPr>
            <w:r w:rsidRPr="00CC4B51">
              <w:rPr>
                <w:sz w:val="22"/>
                <w:szCs w:val="22"/>
              </w:rPr>
              <w:t>Pouco frequentes</w:t>
            </w:r>
          </w:p>
        </w:tc>
        <w:tc>
          <w:tcPr>
            <w:tcW w:w="4346" w:type="dxa"/>
            <w:tcBorders>
              <w:top w:val="nil"/>
            </w:tcBorders>
          </w:tcPr>
          <w:p w14:paraId="103933BB" w14:textId="77777777" w:rsidR="004462A0" w:rsidRPr="00CC4B51" w:rsidRDefault="00615769" w:rsidP="00F675CF">
            <w:pPr>
              <w:widowControl w:val="0"/>
              <w:tabs>
                <w:tab w:val="left" w:pos="562"/>
              </w:tabs>
              <w:suppressAutoHyphens/>
              <w:rPr>
                <w:sz w:val="22"/>
                <w:szCs w:val="22"/>
              </w:rPr>
            </w:pPr>
            <w:r>
              <w:rPr>
                <w:sz w:val="22"/>
                <w:szCs w:val="22"/>
              </w:rPr>
              <w:t>D</w:t>
            </w:r>
            <w:r w:rsidRPr="00CC4B51">
              <w:rPr>
                <w:sz w:val="22"/>
                <w:szCs w:val="22"/>
              </w:rPr>
              <w:t>iplopia</w:t>
            </w:r>
          </w:p>
          <w:p w14:paraId="7D82432E" w14:textId="77777777" w:rsidR="004462A0" w:rsidRPr="00CC4B51" w:rsidRDefault="004462A0" w:rsidP="00F675CF">
            <w:pPr>
              <w:widowControl w:val="0"/>
              <w:tabs>
                <w:tab w:val="left" w:pos="562"/>
              </w:tabs>
              <w:suppressAutoHyphens/>
              <w:rPr>
                <w:sz w:val="22"/>
                <w:szCs w:val="22"/>
              </w:rPr>
            </w:pPr>
          </w:p>
        </w:tc>
      </w:tr>
      <w:tr w:rsidR="00A7162A" w14:paraId="7EAA1E14" w14:textId="77777777" w:rsidTr="00F675CF">
        <w:tc>
          <w:tcPr>
            <w:tcW w:w="2514" w:type="dxa"/>
            <w:vMerge w:val="restart"/>
          </w:tcPr>
          <w:p w14:paraId="162AF259" w14:textId="77777777" w:rsidR="004462A0" w:rsidRPr="00CC4B51" w:rsidRDefault="00615769" w:rsidP="00F675CF">
            <w:pPr>
              <w:tabs>
                <w:tab w:val="left" w:pos="562"/>
              </w:tabs>
              <w:suppressAutoHyphens/>
              <w:rPr>
                <w:sz w:val="22"/>
                <w:szCs w:val="22"/>
              </w:rPr>
            </w:pPr>
            <w:r w:rsidRPr="00CC4B51">
              <w:rPr>
                <w:sz w:val="22"/>
                <w:szCs w:val="22"/>
              </w:rPr>
              <w:t>Afeções do ouvido e do labirinto</w:t>
            </w:r>
          </w:p>
          <w:p w14:paraId="089FFD07" w14:textId="77777777" w:rsidR="004462A0" w:rsidRPr="00CC4B51" w:rsidRDefault="004462A0" w:rsidP="00F675CF">
            <w:pPr>
              <w:widowControl w:val="0"/>
              <w:tabs>
                <w:tab w:val="left" w:pos="562"/>
              </w:tabs>
              <w:suppressAutoHyphens/>
              <w:rPr>
                <w:sz w:val="22"/>
                <w:szCs w:val="22"/>
              </w:rPr>
            </w:pPr>
          </w:p>
        </w:tc>
        <w:tc>
          <w:tcPr>
            <w:tcW w:w="1996" w:type="dxa"/>
            <w:tcBorders>
              <w:bottom w:val="nil"/>
            </w:tcBorders>
          </w:tcPr>
          <w:p w14:paraId="7CBAADF6" w14:textId="77777777" w:rsidR="004462A0" w:rsidRPr="00CC4B51" w:rsidRDefault="00615769" w:rsidP="00F675CF">
            <w:pPr>
              <w:widowControl w:val="0"/>
              <w:tabs>
                <w:tab w:val="left" w:pos="562"/>
              </w:tabs>
              <w:suppressAutoHyphens/>
              <w:rPr>
                <w:sz w:val="22"/>
                <w:szCs w:val="22"/>
              </w:rPr>
            </w:pPr>
            <w:r w:rsidRPr="00CC4B51">
              <w:rPr>
                <w:sz w:val="22"/>
                <w:szCs w:val="22"/>
              </w:rPr>
              <w:t>Frequentes</w:t>
            </w:r>
          </w:p>
        </w:tc>
        <w:tc>
          <w:tcPr>
            <w:tcW w:w="4346" w:type="dxa"/>
            <w:tcBorders>
              <w:bottom w:val="nil"/>
            </w:tcBorders>
          </w:tcPr>
          <w:p w14:paraId="20B0ADF4" w14:textId="77777777" w:rsidR="004462A0" w:rsidRPr="00CC4B51" w:rsidRDefault="00615769" w:rsidP="00F675CF">
            <w:pPr>
              <w:widowControl w:val="0"/>
              <w:tabs>
                <w:tab w:val="left" w:pos="562"/>
              </w:tabs>
              <w:suppressAutoHyphens/>
              <w:rPr>
                <w:sz w:val="22"/>
                <w:szCs w:val="22"/>
              </w:rPr>
            </w:pPr>
            <w:r>
              <w:rPr>
                <w:sz w:val="22"/>
                <w:szCs w:val="22"/>
              </w:rPr>
              <w:t>V</w:t>
            </w:r>
            <w:r w:rsidRPr="00CC4B51">
              <w:rPr>
                <w:sz w:val="22"/>
                <w:szCs w:val="22"/>
              </w:rPr>
              <w:t>ertigem</w:t>
            </w:r>
          </w:p>
          <w:p w14:paraId="350E3F96" w14:textId="77777777" w:rsidR="004462A0" w:rsidRPr="00CC4B51" w:rsidRDefault="004462A0" w:rsidP="00F675CF">
            <w:pPr>
              <w:widowControl w:val="0"/>
              <w:tabs>
                <w:tab w:val="left" w:pos="562"/>
              </w:tabs>
              <w:suppressAutoHyphens/>
              <w:rPr>
                <w:sz w:val="22"/>
                <w:szCs w:val="22"/>
              </w:rPr>
            </w:pPr>
          </w:p>
        </w:tc>
      </w:tr>
      <w:tr w:rsidR="00A7162A" w14:paraId="053D9234" w14:textId="77777777" w:rsidTr="00F675CF">
        <w:tc>
          <w:tcPr>
            <w:tcW w:w="2514" w:type="dxa"/>
            <w:vMerge/>
          </w:tcPr>
          <w:p w14:paraId="5F50D522" w14:textId="77777777" w:rsidR="004462A0" w:rsidRPr="00CC4B51" w:rsidRDefault="004462A0" w:rsidP="00F675CF">
            <w:pPr>
              <w:widowControl w:val="0"/>
              <w:jc w:val="center"/>
              <w:rPr>
                <w:b/>
              </w:rPr>
            </w:pPr>
          </w:p>
        </w:tc>
        <w:tc>
          <w:tcPr>
            <w:tcW w:w="1996" w:type="dxa"/>
            <w:tcBorders>
              <w:top w:val="nil"/>
            </w:tcBorders>
          </w:tcPr>
          <w:p w14:paraId="3B0D5A89" w14:textId="77777777" w:rsidR="004462A0" w:rsidRPr="00CC4B51" w:rsidRDefault="00615769" w:rsidP="00F675CF">
            <w:pPr>
              <w:widowControl w:val="0"/>
              <w:tabs>
                <w:tab w:val="left" w:pos="562"/>
              </w:tabs>
              <w:suppressAutoHyphens/>
              <w:rPr>
                <w:sz w:val="22"/>
                <w:szCs w:val="22"/>
              </w:rPr>
            </w:pPr>
            <w:r w:rsidRPr="00CC4B51">
              <w:rPr>
                <w:sz w:val="22"/>
                <w:szCs w:val="22"/>
              </w:rPr>
              <w:t>Pouco frequentes</w:t>
            </w:r>
          </w:p>
          <w:p w14:paraId="0A5703CD" w14:textId="77777777" w:rsidR="004462A0" w:rsidRPr="00CC4B51" w:rsidRDefault="004462A0" w:rsidP="00F675CF">
            <w:pPr>
              <w:widowControl w:val="0"/>
              <w:tabs>
                <w:tab w:val="left" w:pos="562"/>
              </w:tabs>
              <w:suppressAutoHyphens/>
              <w:rPr>
                <w:sz w:val="22"/>
                <w:szCs w:val="22"/>
              </w:rPr>
            </w:pPr>
          </w:p>
        </w:tc>
        <w:tc>
          <w:tcPr>
            <w:tcW w:w="4346" w:type="dxa"/>
            <w:tcBorders>
              <w:top w:val="nil"/>
            </w:tcBorders>
          </w:tcPr>
          <w:p w14:paraId="473994A2" w14:textId="77777777" w:rsidR="004462A0" w:rsidRPr="00CC4B51" w:rsidRDefault="00615769" w:rsidP="00F675CF">
            <w:pPr>
              <w:widowControl w:val="0"/>
              <w:tabs>
                <w:tab w:val="left" w:pos="562"/>
              </w:tabs>
              <w:suppressAutoHyphens/>
              <w:rPr>
                <w:sz w:val="22"/>
                <w:szCs w:val="22"/>
              </w:rPr>
            </w:pPr>
            <w:r>
              <w:rPr>
                <w:sz w:val="22"/>
                <w:szCs w:val="22"/>
              </w:rPr>
              <w:t>S</w:t>
            </w:r>
            <w:r w:rsidRPr="00CC4B51">
              <w:rPr>
                <w:sz w:val="22"/>
                <w:szCs w:val="22"/>
              </w:rPr>
              <w:t xml:space="preserve">urdez, </w:t>
            </w:r>
          </w:p>
          <w:p w14:paraId="0707D76F" w14:textId="77777777" w:rsidR="004462A0" w:rsidRPr="00CC4B51" w:rsidRDefault="00615769" w:rsidP="00F675CF">
            <w:pPr>
              <w:widowControl w:val="0"/>
              <w:tabs>
                <w:tab w:val="left" w:pos="562"/>
              </w:tabs>
              <w:suppressAutoHyphens/>
              <w:rPr>
                <w:sz w:val="22"/>
                <w:szCs w:val="22"/>
              </w:rPr>
            </w:pPr>
            <w:r w:rsidRPr="00CC4B51">
              <w:rPr>
                <w:sz w:val="22"/>
                <w:szCs w:val="22"/>
              </w:rPr>
              <w:t>zumbido</w:t>
            </w:r>
          </w:p>
          <w:p w14:paraId="52E062DD" w14:textId="77777777" w:rsidR="004462A0" w:rsidRPr="00CC4B51" w:rsidRDefault="004462A0" w:rsidP="00F675CF">
            <w:pPr>
              <w:widowControl w:val="0"/>
              <w:tabs>
                <w:tab w:val="left" w:pos="562"/>
              </w:tabs>
              <w:suppressAutoHyphens/>
              <w:rPr>
                <w:sz w:val="22"/>
                <w:szCs w:val="22"/>
              </w:rPr>
            </w:pPr>
          </w:p>
        </w:tc>
      </w:tr>
      <w:tr w:rsidR="00A7162A" w14:paraId="28D4DF7C" w14:textId="77777777" w:rsidTr="00F675CF">
        <w:tc>
          <w:tcPr>
            <w:tcW w:w="2514" w:type="dxa"/>
            <w:vMerge w:val="restart"/>
          </w:tcPr>
          <w:p w14:paraId="261E872B" w14:textId="77777777" w:rsidR="004462A0" w:rsidRPr="00CC4B51" w:rsidRDefault="00615769" w:rsidP="00F675CF">
            <w:pPr>
              <w:widowControl w:val="0"/>
              <w:tabs>
                <w:tab w:val="left" w:pos="562"/>
              </w:tabs>
              <w:suppressAutoHyphens/>
              <w:rPr>
                <w:sz w:val="22"/>
                <w:szCs w:val="22"/>
              </w:rPr>
            </w:pPr>
            <w:r w:rsidRPr="00CC4B51">
              <w:rPr>
                <w:sz w:val="22"/>
                <w:szCs w:val="22"/>
              </w:rPr>
              <w:t xml:space="preserve">Cardiopatias * </w:t>
            </w:r>
          </w:p>
        </w:tc>
        <w:tc>
          <w:tcPr>
            <w:tcW w:w="1996" w:type="dxa"/>
            <w:tcBorders>
              <w:bottom w:val="nil"/>
            </w:tcBorders>
          </w:tcPr>
          <w:p w14:paraId="7C3451E3" w14:textId="77777777" w:rsidR="004462A0" w:rsidRPr="00CC4B51" w:rsidRDefault="00615769" w:rsidP="00F675CF">
            <w:pPr>
              <w:widowControl w:val="0"/>
              <w:tabs>
                <w:tab w:val="left" w:pos="562"/>
              </w:tabs>
              <w:suppressAutoHyphens/>
              <w:rPr>
                <w:sz w:val="22"/>
                <w:szCs w:val="22"/>
              </w:rPr>
            </w:pPr>
            <w:r w:rsidRPr="00CC4B51">
              <w:rPr>
                <w:sz w:val="22"/>
                <w:szCs w:val="22"/>
              </w:rPr>
              <w:t>Frequentes</w:t>
            </w:r>
          </w:p>
        </w:tc>
        <w:tc>
          <w:tcPr>
            <w:tcW w:w="4346" w:type="dxa"/>
            <w:tcBorders>
              <w:bottom w:val="nil"/>
            </w:tcBorders>
          </w:tcPr>
          <w:p w14:paraId="7E36666D" w14:textId="77777777" w:rsidR="004462A0" w:rsidRPr="00CC4B51" w:rsidRDefault="00615769" w:rsidP="00F675CF">
            <w:pPr>
              <w:widowControl w:val="0"/>
              <w:tabs>
                <w:tab w:val="left" w:pos="562"/>
              </w:tabs>
              <w:suppressAutoHyphens/>
              <w:rPr>
                <w:sz w:val="22"/>
                <w:szCs w:val="22"/>
              </w:rPr>
            </w:pPr>
            <w:r>
              <w:rPr>
                <w:sz w:val="22"/>
                <w:szCs w:val="22"/>
              </w:rPr>
              <w:t>T</w:t>
            </w:r>
            <w:r w:rsidRPr="00CC4B51">
              <w:rPr>
                <w:sz w:val="22"/>
                <w:szCs w:val="22"/>
              </w:rPr>
              <w:t>aquicardia</w:t>
            </w:r>
          </w:p>
          <w:p w14:paraId="08045245" w14:textId="77777777" w:rsidR="004462A0" w:rsidRPr="00CC4B51" w:rsidRDefault="004462A0" w:rsidP="00F675CF">
            <w:pPr>
              <w:widowControl w:val="0"/>
              <w:tabs>
                <w:tab w:val="left" w:pos="562"/>
              </w:tabs>
              <w:suppressAutoHyphens/>
              <w:rPr>
                <w:sz w:val="22"/>
                <w:szCs w:val="22"/>
              </w:rPr>
            </w:pPr>
          </w:p>
        </w:tc>
      </w:tr>
      <w:tr w:rsidR="00A7162A" w14:paraId="50D42D88" w14:textId="77777777" w:rsidTr="00F675CF">
        <w:tc>
          <w:tcPr>
            <w:tcW w:w="2514" w:type="dxa"/>
            <w:vMerge/>
          </w:tcPr>
          <w:p w14:paraId="098E574A" w14:textId="77777777" w:rsidR="004462A0" w:rsidRPr="00CC4B51" w:rsidRDefault="004462A0" w:rsidP="00F675CF">
            <w:pPr>
              <w:widowControl w:val="0"/>
              <w:tabs>
                <w:tab w:val="left" w:pos="562"/>
              </w:tabs>
              <w:suppressAutoHyphens/>
              <w:rPr>
                <w:sz w:val="22"/>
                <w:szCs w:val="22"/>
              </w:rPr>
            </w:pPr>
          </w:p>
        </w:tc>
        <w:tc>
          <w:tcPr>
            <w:tcW w:w="1996" w:type="dxa"/>
            <w:tcBorders>
              <w:top w:val="nil"/>
              <w:bottom w:val="nil"/>
            </w:tcBorders>
          </w:tcPr>
          <w:p w14:paraId="34B7710C" w14:textId="77777777" w:rsidR="004462A0" w:rsidRPr="00CC4B51" w:rsidRDefault="00615769" w:rsidP="00F675CF">
            <w:pPr>
              <w:widowControl w:val="0"/>
              <w:tabs>
                <w:tab w:val="left" w:pos="562"/>
              </w:tabs>
              <w:suppressAutoHyphens/>
              <w:rPr>
                <w:sz w:val="22"/>
                <w:szCs w:val="22"/>
              </w:rPr>
            </w:pPr>
            <w:r w:rsidRPr="00CC4B51">
              <w:rPr>
                <w:sz w:val="22"/>
                <w:szCs w:val="22"/>
              </w:rPr>
              <w:t>Pouco frequentes</w:t>
            </w:r>
          </w:p>
          <w:p w14:paraId="7C78B7EA" w14:textId="77777777" w:rsidR="004462A0" w:rsidRPr="00CC4B51" w:rsidRDefault="004462A0" w:rsidP="00F675CF">
            <w:pPr>
              <w:widowControl w:val="0"/>
              <w:tabs>
                <w:tab w:val="left" w:pos="562"/>
              </w:tabs>
              <w:suppressAutoHyphens/>
              <w:rPr>
                <w:sz w:val="22"/>
                <w:szCs w:val="22"/>
              </w:rPr>
            </w:pPr>
          </w:p>
        </w:tc>
        <w:tc>
          <w:tcPr>
            <w:tcW w:w="4346" w:type="dxa"/>
            <w:tcBorders>
              <w:top w:val="nil"/>
              <w:bottom w:val="nil"/>
            </w:tcBorders>
          </w:tcPr>
          <w:p w14:paraId="3E34950D" w14:textId="77777777" w:rsidR="004462A0" w:rsidRPr="00CC4B51" w:rsidRDefault="00615769" w:rsidP="00F675CF">
            <w:pPr>
              <w:widowControl w:val="0"/>
              <w:tabs>
                <w:tab w:val="left" w:pos="562"/>
              </w:tabs>
              <w:suppressAutoHyphens/>
              <w:rPr>
                <w:sz w:val="22"/>
                <w:szCs w:val="22"/>
              </w:rPr>
            </w:pPr>
            <w:r>
              <w:rPr>
                <w:sz w:val="22"/>
                <w:szCs w:val="22"/>
              </w:rPr>
              <w:t>E</w:t>
            </w:r>
            <w:r w:rsidRPr="00CC4B51">
              <w:rPr>
                <w:sz w:val="22"/>
                <w:szCs w:val="22"/>
              </w:rPr>
              <w:t>nfarte do miocárdio</w:t>
            </w:r>
            <w:r w:rsidRPr="00CC4B51">
              <w:rPr>
                <w:sz w:val="22"/>
                <w:szCs w:val="22"/>
                <w:vertAlign w:val="superscript"/>
              </w:rPr>
              <w:t>1)</w:t>
            </w:r>
            <w:r w:rsidRPr="00CC4B51">
              <w:rPr>
                <w:sz w:val="22"/>
                <w:szCs w:val="22"/>
              </w:rPr>
              <w:t>,</w:t>
            </w:r>
          </w:p>
          <w:p w14:paraId="0246F61C" w14:textId="77777777" w:rsidR="004462A0" w:rsidRPr="00CC4B51" w:rsidRDefault="00615769" w:rsidP="00F675CF">
            <w:pPr>
              <w:widowControl w:val="0"/>
              <w:tabs>
                <w:tab w:val="left" w:pos="562"/>
              </w:tabs>
              <w:suppressAutoHyphens/>
              <w:rPr>
                <w:sz w:val="22"/>
                <w:szCs w:val="22"/>
              </w:rPr>
            </w:pPr>
            <w:r w:rsidRPr="00CC4B51">
              <w:rPr>
                <w:sz w:val="22"/>
                <w:szCs w:val="22"/>
              </w:rPr>
              <w:t>arritmia,</w:t>
            </w:r>
          </w:p>
          <w:p w14:paraId="775C303D" w14:textId="77777777" w:rsidR="004462A0" w:rsidRPr="00CC4B51" w:rsidRDefault="00615769" w:rsidP="00F675CF">
            <w:pPr>
              <w:widowControl w:val="0"/>
              <w:tabs>
                <w:tab w:val="left" w:pos="562"/>
              </w:tabs>
              <w:suppressAutoHyphens/>
              <w:rPr>
                <w:sz w:val="22"/>
                <w:szCs w:val="22"/>
              </w:rPr>
            </w:pPr>
            <w:r w:rsidRPr="00CC4B51">
              <w:rPr>
                <w:sz w:val="22"/>
                <w:szCs w:val="22"/>
              </w:rPr>
              <w:t>insuficiência cardíaca congestiva</w:t>
            </w:r>
          </w:p>
          <w:p w14:paraId="26B38A7A" w14:textId="77777777" w:rsidR="004462A0" w:rsidRPr="00CC4B51" w:rsidRDefault="004462A0" w:rsidP="00F675CF">
            <w:pPr>
              <w:widowControl w:val="0"/>
              <w:tabs>
                <w:tab w:val="left" w:pos="562"/>
              </w:tabs>
              <w:suppressAutoHyphens/>
              <w:rPr>
                <w:sz w:val="22"/>
                <w:szCs w:val="22"/>
              </w:rPr>
            </w:pPr>
          </w:p>
        </w:tc>
      </w:tr>
      <w:tr w:rsidR="00A7162A" w14:paraId="566EA742" w14:textId="77777777" w:rsidTr="00F675CF">
        <w:tc>
          <w:tcPr>
            <w:tcW w:w="2514" w:type="dxa"/>
            <w:vMerge/>
          </w:tcPr>
          <w:p w14:paraId="76E3919F" w14:textId="77777777" w:rsidR="004462A0" w:rsidRPr="00CC4B51" w:rsidRDefault="004462A0" w:rsidP="00F675CF">
            <w:pPr>
              <w:widowControl w:val="0"/>
              <w:jc w:val="center"/>
              <w:rPr>
                <w:b/>
              </w:rPr>
            </w:pPr>
          </w:p>
        </w:tc>
        <w:tc>
          <w:tcPr>
            <w:tcW w:w="1996" w:type="dxa"/>
            <w:tcBorders>
              <w:top w:val="nil"/>
            </w:tcBorders>
          </w:tcPr>
          <w:p w14:paraId="13566B17" w14:textId="77777777" w:rsidR="004462A0" w:rsidRPr="00CC4B51" w:rsidRDefault="00615769" w:rsidP="00F675CF">
            <w:pPr>
              <w:widowControl w:val="0"/>
              <w:tabs>
                <w:tab w:val="left" w:pos="562"/>
              </w:tabs>
              <w:suppressAutoHyphens/>
              <w:rPr>
                <w:sz w:val="22"/>
                <w:szCs w:val="22"/>
              </w:rPr>
            </w:pPr>
            <w:r w:rsidRPr="00CC4B51">
              <w:rPr>
                <w:sz w:val="22"/>
                <w:szCs w:val="22"/>
              </w:rPr>
              <w:t>Raros</w:t>
            </w:r>
          </w:p>
        </w:tc>
        <w:tc>
          <w:tcPr>
            <w:tcW w:w="4346" w:type="dxa"/>
            <w:tcBorders>
              <w:top w:val="nil"/>
            </w:tcBorders>
          </w:tcPr>
          <w:p w14:paraId="7556FB3D" w14:textId="77777777" w:rsidR="004462A0" w:rsidRPr="00CC4B51" w:rsidRDefault="00615769" w:rsidP="00F675CF">
            <w:pPr>
              <w:widowControl w:val="0"/>
              <w:tabs>
                <w:tab w:val="left" w:pos="562"/>
              </w:tabs>
              <w:suppressAutoHyphens/>
              <w:rPr>
                <w:sz w:val="22"/>
                <w:szCs w:val="22"/>
              </w:rPr>
            </w:pPr>
            <w:r>
              <w:rPr>
                <w:sz w:val="22"/>
                <w:szCs w:val="22"/>
              </w:rPr>
              <w:t>P</w:t>
            </w:r>
            <w:r w:rsidRPr="00CC4B51">
              <w:rPr>
                <w:sz w:val="22"/>
                <w:szCs w:val="22"/>
              </w:rPr>
              <w:t>aragem cardíaca</w:t>
            </w:r>
          </w:p>
          <w:p w14:paraId="24F1419B" w14:textId="77777777" w:rsidR="004462A0" w:rsidRPr="00CC4B51" w:rsidRDefault="004462A0" w:rsidP="00F675CF">
            <w:pPr>
              <w:widowControl w:val="0"/>
              <w:tabs>
                <w:tab w:val="left" w:pos="562"/>
              </w:tabs>
              <w:suppressAutoHyphens/>
              <w:rPr>
                <w:sz w:val="22"/>
                <w:szCs w:val="22"/>
              </w:rPr>
            </w:pPr>
          </w:p>
        </w:tc>
      </w:tr>
      <w:tr w:rsidR="00A7162A" w14:paraId="1E76DA4A" w14:textId="77777777" w:rsidTr="00F675CF">
        <w:tc>
          <w:tcPr>
            <w:tcW w:w="2514" w:type="dxa"/>
            <w:vMerge w:val="restart"/>
          </w:tcPr>
          <w:p w14:paraId="6E13618C" w14:textId="77777777" w:rsidR="004462A0" w:rsidRPr="00CC4B51" w:rsidRDefault="00615769" w:rsidP="00F675CF">
            <w:pPr>
              <w:widowControl w:val="0"/>
              <w:tabs>
                <w:tab w:val="left" w:pos="562"/>
              </w:tabs>
              <w:suppressAutoHyphens/>
              <w:rPr>
                <w:sz w:val="22"/>
                <w:szCs w:val="22"/>
              </w:rPr>
            </w:pPr>
            <w:r w:rsidRPr="00CC4B51">
              <w:rPr>
                <w:sz w:val="22"/>
                <w:szCs w:val="22"/>
              </w:rPr>
              <w:t>Vasculopatias</w:t>
            </w:r>
          </w:p>
        </w:tc>
        <w:tc>
          <w:tcPr>
            <w:tcW w:w="1996" w:type="dxa"/>
            <w:tcBorders>
              <w:bottom w:val="nil"/>
            </w:tcBorders>
          </w:tcPr>
          <w:p w14:paraId="78921824" w14:textId="77777777" w:rsidR="004462A0" w:rsidRPr="00CC4B51" w:rsidRDefault="00615769" w:rsidP="00F675CF">
            <w:pPr>
              <w:widowControl w:val="0"/>
              <w:tabs>
                <w:tab w:val="left" w:pos="562"/>
              </w:tabs>
              <w:suppressAutoHyphens/>
              <w:rPr>
                <w:sz w:val="22"/>
                <w:szCs w:val="22"/>
              </w:rPr>
            </w:pPr>
            <w:r w:rsidRPr="00CC4B51">
              <w:rPr>
                <w:sz w:val="22"/>
                <w:szCs w:val="22"/>
              </w:rPr>
              <w:t>Frequentes</w:t>
            </w:r>
          </w:p>
          <w:p w14:paraId="17B506A8" w14:textId="77777777" w:rsidR="004462A0" w:rsidRPr="00CC4B51" w:rsidRDefault="004462A0" w:rsidP="00F675CF">
            <w:pPr>
              <w:widowControl w:val="0"/>
              <w:tabs>
                <w:tab w:val="left" w:pos="562"/>
              </w:tabs>
              <w:suppressAutoHyphens/>
              <w:rPr>
                <w:sz w:val="22"/>
                <w:szCs w:val="22"/>
              </w:rPr>
            </w:pPr>
          </w:p>
        </w:tc>
        <w:tc>
          <w:tcPr>
            <w:tcW w:w="4346" w:type="dxa"/>
            <w:tcBorders>
              <w:bottom w:val="nil"/>
            </w:tcBorders>
          </w:tcPr>
          <w:p w14:paraId="16CD0BF6" w14:textId="77777777" w:rsidR="004462A0" w:rsidRPr="00CC4B51" w:rsidRDefault="00615769" w:rsidP="00F675CF">
            <w:pPr>
              <w:widowControl w:val="0"/>
              <w:tabs>
                <w:tab w:val="left" w:pos="562"/>
              </w:tabs>
              <w:suppressAutoHyphens/>
              <w:rPr>
                <w:sz w:val="22"/>
                <w:szCs w:val="22"/>
              </w:rPr>
            </w:pPr>
            <w:r>
              <w:rPr>
                <w:sz w:val="22"/>
                <w:szCs w:val="22"/>
              </w:rPr>
              <w:t>H</w:t>
            </w:r>
            <w:r w:rsidRPr="00CC4B51">
              <w:rPr>
                <w:sz w:val="22"/>
                <w:szCs w:val="22"/>
              </w:rPr>
              <w:t xml:space="preserve">ipertensão, </w:t>
            </w:r>
          </w:p>
          <w:p w14:paraId="5350A74B" w14:textId="77777777" w:rsidR="004462A0" w:rsidRPr="00CC4B51" w:rsidRDefault="00615769" w:rsidP="00F675CF">
            <w:pPr>
              <w:widowControl w:val="0"/>
              <w:tabs>
                <w:tab w:val="left" w:pos="562"/>
              </w:tabs>
              <w:suppressAutoHyphens/>
              <w:rPr>
                <w:sz w:val="22"/>
                <w:szCs w:val="22"/>
              </w:rPr>
            </w:pPr>
            <w:r w:rsidRPr="00CC4B51">
              <w:rPr>
                <w:sz w:val="22"/>
                <w:szCs w:val="22"/>
              </w:rPr>
              <w:t>vasodilatação,</w:t>
            </w:r>
          </w:p>
          <w:p w14:paraId="582EDAA9" w14:textId="77777777" w:rsidR="004462A0" w:rsidRDefault="00615769" w:rsidP="00F675CF">
            <w:pPr>
              <w:widowControl w:val="0"/>
              <w:tabs>
                <w:tab w:val="left" w:pos="562"/>
              </w:tabs>
              <w:suppressAutoHyphens/>
              <w:rPr>
                <w:sz w:val="22"/>
                <w:szCs w:val="22"/>
              </w:rPr>
            </w:pPr>
            <w:r w:rsidRPr="00CC4B51">
              <w:rPr>
                <w:sz w:val="22"/>
                <w:szCs w:val="22"/>
              </w:rPr>
              <w:t>hematoma</w:t>
            </w:r>
          </w:p>
          <w:p w14:paraId="18876D3F" w14:textId="77777777" w:rsidR="003E3AA9" w:rsidRPr="00CC4B51" w:rsidRDefault="003E3AA9" w:rsidP="00F675CF">
            <w:pPr>
              <w:widowControl w:val="0"/>
              <w:tabs>
                <w:tab w:val="left" w:pos="562"/>
              </w:tabs>
              <w:suppressAutoHyphens/>
              <w:rPr>
                <w:sz w:val="22"/>
                <w:szCs w:val="22"/>
              </w:rPr>
            </w:pPr>
          </w:p>
        </w:tc>
      </w:tr>
      <w:tr w:rsidR="00A7162A" w14:paraId="3F40255A" w14:textId="77777777" w:rsidTr="00F675CF">
        <w:tc>
          <w:tcPr>
            <w:tcW w:w="2514" w:type="dxa"/>
            <w:vMerge/>
          </w:tcPr>
          <w:p w14:paraId="50A0F889" w14:textId="77777777" w:rsidR="004462A0" w:rsidRPr="00CC4B51" w:rsidRDefault="004462A0" w:rsidP="00F675CF">
            <w:pPr>
              <w:widowControl w:val="0"/>
              <w:tabs>
                <w:tab w:val="left" w:pos="562"/>
              </w:tabs>
              <w:suppressAutoHyphens/>
              <w:rPr>
                <w:sz w:val="22"/>
                <w:szCs w:val="22"/>
              </w:rPr>
            </w:pPr>
          </w:p>
        </w:tc>
        <w:tc>
          <w:tcPr>
            <w:tcW w:w="1996" w:type="dxa"/>
            <w:tcBorders>
              <w:top w:val="nil"/>
            </w:tcBorders>
          </w:tcPr>
          <w:p w14:paraId="4A6B8DB0" w14:textId="77777777" w:rsidR="004462A0" w:rsidRPr="00CC4B51" w:rsidRDefault="00615769" w:rsidP="00F675CF">
            <w:pPr>
              <w:widowControl w:val="0"/>
              <w:tabs>
                <w:tab w:val="left" w:pos="562"/>
              </w:tabs>
              <w:suppressAutoHyphens/>
              <w:rPr>
                <w:sz w:val="22"/>
                <w:szCs w:val="22"/>
              </w:rPr>
            </w:pPr>
            <w:r w:rsidRPr="00CC4B51">
              <w:rPr>
                <w:sz w:val="22"/>
                <w:szCs w:val="22"/>
              </w:rPr>
              <w:t>Pouco frequentes</w:t>
            </w:r>
          </w:p>
        </w:tc>
        <w:tc>
          <w:tcPr>
            <w:tcW w:w="4346" w:type="dxa"/>
            <w:tcBorders>
              <w:top w:val="nil"/>
            </w:tcBorders>
          </w:tcPr>
          <w:p w14:paraId="1B2784B0" w14:textId="77777777" w:rsidR="004462A0" w:rsidRPr="00CC4B51" w:rsidRDefault="00615769" w:rsidP="00F675CF">
            <w:pPr>
              <w:tabs>
                <w:tab w:val="left" w:pos="562"/>
              </w:tabs>
              <w:suppressAutoHyphens/>
              <w:rPr>
                <w:sz w:val="22"/>
                <w:szCs w:val="22"/>
              </w:rPr>
            </w:pPr>
            <w:r>
              <w:rPr>
                <w:sz w:val="22"/>
                <w:szCs w:val="22"/>
              </w:rPr>
              <w:t>A</w:t>
            </w:r>
            <w:r w:rsidRPr="00CC4B51">
              <w:rPr>
                <w:sz w:val="22"/>
                <w:szCs w:val="22"/>
              </w:rPr>
              <w:t>neurisma da aorta,</w:t>
            </w:r>
          </w:p>
          <w:p w14:paraId="561A0F0E" w14:textId="77777777" w:rsidR="004462A0" w:rsidRPr="00CC4B51" w:rsidRDefault="00615769" w:rsidP="00F675CF">
            <w:pPr>
              <w:tabs>
                <w:tab w:val="left" w:pos="562"/>
              </w:tabs>
              <w:suppressAutoHyphens/>
              <w:rPr>
                <w:sz w:val="22"/>
                <w:szCs w:val="22"/>
              </w:rPr>
            </w:pPr>
            <w:r w:rsidRPr="00CC4B51">
              <w:rPr>
                <w:sz w:val="22"/>
                <w:szCs w:val="22"/>
              </w:rPr>
              <w:t>oclusão vascular arterial,</w:t>
            </w:r>
          </w:p>
          <w:p w14:paraId="40C071FD" w14:textId="77777777" w:rsidR="004462A0" w:rsidRPr="00CC4B51" w:rsidRDefault="00615769" w:rsidP="00F675CF">
            <w:pPr>
              <w:tabs>
                <w:tab w:val="left" w:pos="562"/>
              </w:tabs>
              <w:suppressAutoHyphens/>
              <w:rPr>
                <w:sz w:val="22"/>
                <w:szCs w:val="22"/>
              </w:rPr>
            </w:pPr>
            <w:r w:rsidRPr="00CC4B51">
              <w:rPr>
                <w:sz w:val="22"/>
                <w:szCs w:val="22"/>
              </w:rPr>
              <w:t xml:space="preserve">tromboflebite </w:t>
            </w:r>
          </w:p>
          <w:p w14:paraId="31E1D1F3" w14:textId="77777777" w:rsidR="004462A0" w:rsidRPr="00CC4B51" w:rsidRDefault="004462A0" w:rsidP="00F675CF">
            <w:pPr>
              <w:tabs>
                <w:tab w:val="left" w:pos="562"/>
              </w:tabs>
              <w:suppressAutoHyphens/>
              <w:rPr>
                <w:sz w:val="22"/>
                <w:szCs w:val="22"/>
              </w:rPr>
            </w:pPr>
          </w:p>
        </w:tc>
      </w:tr>
      <w:tr w:rsidR="00A7162A" w14:paraId="29F0E167" w14:textId="77777777" w:rsidTr="00F675CF">
        <w:tc>
          <w:tcPr>
            <w:tcW w:w="2514" w:type="dxa"/>
            <w:vMerge w:val="restart"/>
          </w:tcPr>
          <w:p w14:paraId="1AE5D1E1" w14:textId="77777777" w:rsidR="004462A0" w:rsidRPr="00CC4B51" w:rsidRDefault="00615769" w:rsidP="00F675CF">
            <w:pPr>
              <w:widowControl w:val="0"/>
              <w:tabs>
                <w:tab w:val="left" w:pos="562"/>
              </w:tabs>
              <w:suppressAutoHyphens/>
              <w:rPr>
                <w:sz w:val="22"/>
                <w:szCs w:val="22"/>
              </w:rPr>
            </w:pPr>
            <w:r w:rsidRPr="00CC4B51">
              <w:rPr>
                <w:sz w:val="22"/>
                <w:szCs w:val="22"/>
              </w:rPr>
              <w:t>Doenças respiratórias, torácicas e do mediastino *</w:t>
            </w:r>
          </w:p>
        </w:tc>
        <w:tc>
          <w:tcPr>
            <w:tcW w:w="1996" w:type="dxa"/>
            <w:tcBorders>
              <w:bottom w:val="nil"/>
            </w:tcBorders>
          </w:tcPr>
          <w:p w14:paraId="7DB15297" w14:textId="77777777" w:rsidR="004462A0" w:rsidRPr="00CC4B51" w:rsidRDefault="00615769" w:rsidP="00F675CF">
            <w:pPr>
              <w:widowControl w:val="0"/>
              <w:tabs>
                <w:tab w:val="left" w:pos="562"/>
              </w:tabs>
              <w:suppressAutoHyphens/>
              <w:rPr>
                <w:sz w:val="22"/>
                <w:szCs w:val="22"/>
              </w:rPr>
            </w:pPr>
            <w:r w:rsidRPr="00CC4B51">
              <w:rPr>
                <w:sz w:val="22"/>
                <w:szCs w:val="22"/>
              </w:rPr>
              <w:t>Frequentes</w:t>
            </w:r>
          </w:p>
          <w:p w14:paraId="16BA715B" w14:textId="77777777" w:rsidR="004462A0" w:rsidRPr="00CC4B51" w:rsidRDefault="004462A0" w:rsidP="00F675CF">
            <w:pPr>
              <w:widowControl w:val="0"/>
              <w:tabs>
                <w:tab w:val="left" w:pos="562"/>
              </w:tabs>
              <w:suppressAutoHyphens/>
              <w:rPr>
                <w:sz w:val="22"/>
                <w:szCs w:val="22"/>
              </w:rPr>
            </w:pPr>
          </w:p>
        </w:tc>
        <w:tc>
          <w:tcPr>
            <w:tcW w:w="4346" w:type="dxa"/>
            <w:tcBorders>
              <w:bottom w:val="nil"/>
            </w:tcBorders>
          </w:tcPr>
          <w:p w14:paraId="099B6556" w14:textId="77777777" w:rsidR="004462A0" w:rsidRPr="00CC4B51" w:rsidRDefault="00615769" w:rsidP="00F675CF">
            <w:pPr>
              <w:widowControl w:val="0"/>
              <w:tabs>
                <w:tab w:val="left" w:pos="562"/>
              </w:tabs>
              <w:suppressAutoHyphens/>
              <w:rPr>
                <w:sz w:val="22"/>
                <w:szCs w:val="22"/>
              </w:rPr>
            </w:pPr>
            <w:r>
              <w:rPr>
                <w:sz w:val="22"/>
                <w:szCs w:val="22"/>
              </w:rPr>
              <w:t>A</w:t>
            </w:r>
            <w:r w:rsidRPr="00CC4B51">
              <w:rPr>
                <w:sz w:val="22"/>
                <w:szCs w:val="22"/>
              </w:rPr>
              <w:t xml:space="preserve">sma, </w:t>
            </w:r>
          </w:p>
          <w:p w14:paraId="298B4D57" w14:textId="77777777" w:rsidR="004462A0" w:rsidRPr="00CC4B51" w:rsidRDefault="00615769" w:rsidP="00F675CF">
            <w:pPr>
              <w:widowControl w:val="0"/>
              <w:tabs>
                <w:tab w:val="left" w:pos="562"/>
              </w:tabs>
              <w:suppressAutoHyphens/>
              <w:rPr>
                <w:sz w:val="22"/>
                <w:szCs w:val="22"/>
              </w:rPr>
            </w:pPr>
            <w:r w:rsidRPr="00CC4B51">
              <w:rPr>
                <w:sz w:val="22"/>
                <w:szCs w:val="22"/>
              </w:rPr>
              <w:t>dispneia,</w:t>
            </w:r>
          </w:p>
          <w:p w14:paraId="6022C5D1" w14:textId="77777777" w:rsidR="004462A0" w:rsidRDefault="00615769" w:rsidP="00F675CF">
            <w:pPr>
              <w:widowControl w:val="0"/>
              <w:tabs>
                <w:tab w:val="left" w:pos="562"/>
              </w:tabs>
              <w:suppressAutoHyphens/>
              <w:rPr>
                <w:sz w:val="22"/>
                <w:szCs w:val="22"/>
              </w:rPr>
            </w:pPr>
            <w:r w:rsidRPr="00CC4B51">
              <w:rPr>
                <w:sz w:val="22"/>
                <w:szCs w:val="22"/>
              </w:rPr>
              <w:t>tosse</w:t>
            </w:r>
          </w:p>
          <w:p w14:paraId="310BBA25" w14:textId="77777777" w:rsidR="00BF2F9C" w:rsidRPr="00CC4B51" w:rsidRDefault="00BF2F9C" w:rsidP="00F675CF">
            <w:pPr>
              <w:widowControl w:val="0"/>
              <w:tabs>
                <w:tab w:val="left" w:pos="562"/>
              </w:tabs>
              <w:suppressAutoHyphens/>
              <w:rPr>
                <w:sz w:val="22"/>
                <w:szCs w:val="22"/>
              </w:rPr>
            </w:pPr>
          </w:p>
        </w:tc>
      </w:tr>
      <w:tr w:rsidR="00A7162A" w14:paraId="661F5212" w14:textId="77777777" w:rsidTr="00F675CF">
        <w:tc>
          <w:tcPr>
            <w:tcW w:w="2514" w:type="dxa"/>
            <w:vMerge/>
          </w:tcPr>
          <w:p w14:paraId="1903FC98" w14:textId="77777777" w:rsidR="004462A0" w:rsidRPr="00CC4B51" w:rsidRDefault="004462A0" w:rsidP="00F675CF">
            <w:pPr>
              <w:widowControl w:val="0"/>
              <w:jc w:val="center"/>
              <w:rPr>
                <w:b/>
              </w:rPr>
            </w:pPr>
          </w:p>
        </w:tc>
        <w:tc>
          <w:tcPr>
            <w:tcW w:w="1996" w:type="dxa"/>
            <w:tcBorders>
              <w:top w:val="nil"/>
              <w:bottom w:val="nil"/>
            </w:tcBorders>
          </w:tcPr>
          <w:p w14:paraId="48FE1455" w14:textId="77777777" w:rsidR="004462A0" w:rsidRPr="00CC4B51" w:rsidRDefault="00615769" w:rsidP="00F675CF">
            <w:pPr>
              <w:widowControl w:val="0"/>
              <w:tabs>
                <w:tab w:val="left" w:pos="562"/>
              </w:tabs>
              <w:suppressAutoHyphens/>
              <w:rPr>
                <w:sz w:val="22"/>
                <w:szCs w:val="22"/>
              </w:rPr>
            </w:pPr>
            <w:r w:rsidRPr="00CC4B51">
              <w:rPr>
                <w:sz w:val="22"/>
                <w:szCs w:val="22"/>
              </w:rPr>
              <w:t>Pouco frequentes</w:t>
            </w:r>
          </w:p>
          <w:p w14:paraId="565ED4CC" w14:textId="77777777" w:rsidR="004462A0" w:rsidRPr="00CC4B51" w:rsidRDefault="004462A0" w:rsidP="00F675CF">
            <w:pPr>
              <w:widowControl w:val="0"/>
              <w:tabs>
                <w:tab w:val="left" w:pos="562"/>
              </w:tabs>
              <w:suppressAutoHyphens/>
              <w:rPr>
                <w:sz w:val="22"/>
                <w:szCs w:val="22"/>
              </w:rPr>
            </w:pPr>
          </w:p>
        </w:tc>
        <w:tc>
          <w:tcPr>
            <w:tcW w:w="4346" w:type="dxa"/>
            <w:tcBorders>
              <w:top w:val="nil"/>
              <w:bottom w:val="nil"/>
            </w:tcBorders>
          </w:tcPr>
          <w:p w14:paraId="0F1680BC" w14:textId="77777777" w:rsidR="004462A0" w:rsidRPr="00CC4B51" w:rsidRDefault="00615769" w:rsidP="00F675CF">
            <w:pPr>
              <w:widowControl w:val="0"/>
              <w:tabs>
                <w:tab w:val="left" w:pos="562"/>
              </w:tabs>
              <w:suppressAutoHyphens/>
              <w:rPr>
                <w:sz w:val="22"/>
                <w:szCs w:val="22"/>
              </w:rPr>
            </w:pPr>
            <w:r>
              <w:rPr>
                <w:sz w:val="22"/>
                <w:szCs w:val="22"/>
              </w:rPr>
              <w:t>E</w:t>
            </w:r>
            <w:r w:rsidRPr="00CC4B51">
              <w:rPr>
                <w:sz w:val="22"/>
                <w:szCs w:val="22"/>
              </w:rPr>
              <w:t>mboli</w:t>
            </w:r>
            <w:r w:rsidR="003E3AA9">
              <w:rPr>
                <w:sz w:val="22"/>
                <w:szCs w:val="22"/>
              </w:rPr>
              <w:t>a</w:t>
            </w:r>
            <w:r w:rsidRPr="00CC4B51">
              <w:rPr>
                <w:sz w:val="22"/>
                <w:szCs w:val="22"/>
              </w:rPr>
              <w:t xml:space="preserve"> pulmonar</w:t>
            </w:r>
            <w:r w:rsidRPr="00CC4B51">
              <w:rPr>
                <w:sz w:val="22"/>
                <w:szCs w:val="22"/>
                <w:vertAlign w:val="superscript"/>
              </w:rPr>
              <w:t>1)</w:t>
            </w:r>
            <w:r w:rsidRPr="00CC4B51">
              <w:rPr>
                <w:sz w:val="22"/>
                <w:szCs w:val="22"/>
              </w:rPr>
              <w:t>,</w:t>
            </w:r>
          </w:p>
          <w:p w14:paraId="6D5571FA" w14:textId="77777777" w:rsidR="004462A0" w:rsidRPr="00CC4B51" w:rsidRDefault="00615769" w:rsidP="00F675CF">
            <w:pPr>
              <w:widowControl w:val="0"/>
              <w:tabs>
                <w:tab w:val="left" w:pos="562"/>
              </w:tabs>
              <w:suppressAutoHyphens/>
              <w:rPr>
                <w:sz w:val="22"/>
                <w:szCs w:val="22"/>
              </w:rPr>
            </w:pPr>
            <w:r w:rsidRPr="00CC4B51">
              <w:rPr>
                <w:sz w:val="22"/>
                <w:szCs w:val="22"/>
              </w:rPr>
              <w:t xml:space="preserve">doença pulmonar intersticial, </w:t>
            </w:r>
          </w:p>
          <w:p w14:paraId="0202812E" w14:textId="77777777" w:rsidR="004462A0" w:rsidRPr="00CC4B51" w:rsidRDefault="00615769" w:rsidP="00F675CF">
            <w:pPr>
              <w:widowControl w:val="0"/>
              <w:tabs>
                <w:tab w:val="left" w:pos="562"/>
              </w:tabs>
              <w:suppressAutoHyphens/>
              <w:rPr>
                <w:sz w:val="22"/>
                <w:szCs w:val="22"/>
              </w:rPr>
            </w:pPr>
            <w:r w:rsidRPr="00CC4B51">
              <w:rPr>
                <w:sz w:val="22"/>
                <w:szCs w:val="22"/>
              </w:rPr>
              <w:t xml:space="preserve">doença pulmonar </w:t>
            </w:r>
            <w:r w:rsidR="00D9472B" w:rsidRPr="00CC4B51">
              <w:rPr>
                <w:sz w:val="22"/>
                <w:szCs w:val="22"/>
              </w:rPr>
              <w:t xml:space="preserve">obstrutiva </w:t>
            </w:r>
            <w:r w:rsidRPr="00CC4B51">
              <w:rPr>
                <w:sz w:val="22"/>
                <w:szCs w:val="22"/>
              </w:rPr>
              <w:t xml:space="preserve">crónica, </w:t>
            </w:r>
          </w:p>
          <w:p w14:paraId="352270D8" w14:textId="77777777" w:rsidR="004462A0" w:rsidRPr="00CC4B51" w:rsidRDefault="00615769" w:rsidP="00F675CF">
            <w:pPr>
              <w:widowControl w:val="0"/>
              <w:tabs>
                <w:tab w:val="left" w:pos="562"/>
              </w:tabs>
              <w:suppressAutoHyphens/>
              <w:rPr>
                <w:sz w:val="22"/>
                <w:szCs w:val="22"/>
              </w:rPr>
            </w:pPr>
            <w:r w:rsidRPr="00CC4B51">
              <w:rPr>
                <w:sz w:val="22"/>
                <w:szCs w:val="22"/>
              </w:rPr>
              <w:t>pneumonite,</w:t>
            </w:r>
          </w:p>
          <w:p w14:paraId="054FCB9E" w14:textId="77777777" w:rsidR="004462A0" w:rsidRDefault="00615769" w:rsidP="00F675CF">
            <w:pPr>
              <w:widowControl w:val="0"/>
              <w:tabs>
                <w:tab w:val="left" w:pos="562"/>
              </w:tabs>
              <w:suppressAutoHyphens/>
              <w:rPr>
                <w:sz w:val="22"/>
                <w:szCs w:val="22"/>
              </w:rPr>
            </w:pPr>
            <w:r w:rsidRPr="00CC4B51">
              <w:rPr>
                <w:sz w:val="22"/>
                <w:szCs w:val="22"/>
              </w:rPr>
              <w:t>derrame pleural</w:t>
            </w:r>
            <w:r w:rsidRPr="00CC4B51">
              <w:rPr>
                <w:sz w:val="22"/>
                <w:szCs w:val="22"/>
                <w:vertAlign w:val="superscript"/>
              </w:rPr>
              <w:t>1)</w:t>
            </w:r>
          </w:p>
          <w:p w14:paraId="614318E7" w14:textId="77777777" w:rsidR="003E3AA9" w:rsidRPr="003E3AA9" w:rsidRDefault="003E3AA9" w:rsidP="00F675CF">
            <w:pPr>
              <w:widowControl w:val="0"/>
              <w:tabs>
                <w:tab w:val="left" w:pos="562"/>
              </w:tabs>
              <w:suppressAutoHyphens/>
              <w:rPr>
                <w:sz w:val="22"/>
                <w:szCs w:val="22"/>
              </w:rPr>
            </w:pPr>
          </w:p>
        </w:tc>
      </w:tr>
      <w:tr w:rsidR="00A7162A" w14:paraId="0E1D56C2" w14:textId="77777777" w:rsidTr="00F675CF">
        <w:tc>
          <w:tcPr>
            <w:tcW w:w="2514" w:type="dxa"/>
            <w:vMerge/>
          </w:tcPr>
          <w:p w14:paraId="5A9C7BEA" w14:textId="77777777" w:rsidR="004462A0" w:rsidRPr="00CC4B51" w:rsidRDefault="004462A0" w:rsidP="00F675CF">
            <w:pPr>
              <w:widowControl w:val="0"/>
              <w:jc w:val="center"/>
              <w:rPr>
                <w:b/>
              </w:rPr>
            </w:pPr>
          </w:p>
        </w:tc>
        <w:tc>
          <w:tcPr>
            <w:tcW w:w="1996" w:type="dxa"/>
            <w:tcBorders>
              <w:top w:val="nil"/>
            </w:tcBorders>
          </w:tcPr>
          <w:p w14:paraId="404AB81E" w14:textId="77777777" w:rsidR="004462A0" w:rsidRPr="00CC4B51" w:rsidRDefault="00615769" w:rsidP="00F675CF">
            <w:pPr>
              <w:widowControl w:val="0"/>
              <w:tabs>
                <w:tab w:val="left" w:pos="562"/>
              </w:tabs>
              <w:suppressAutoHyphens/>
              <w:rPr>
                <w:sz w:val="22"/>
                <w:szCs w:val="22"/>
              </w:rPr>
            </w:pPr>
            <w:r w:rsidRPr="00CC4B51">
              <w:rPr>
                <w:sz w:val="22"/>
                <w:szCs w:val="22"/>
              </w:rPr>
              <w:t>Raros</w:t>
            </w:r>
          </w:p>
        </w:tc>
        <w:tc>
          <w:tcPr>
            <w:tcW w:w="4346" w:type="dxa"/>
            <w:tcBorders>
              <w:top w:val="nil"/>
            </w:tcBorders>
          </w:tcPr>
          <w:p w14:paraId="0D863742" w14:textId="77777777" w:rsidR="004462A0" w:rsidRPr="00CC4B51" w:rsidRDefault="00615769" w:rsidP="00F675CF">
            <w:pPr>
              <w:widowControl w:val="0"/>
              <w:tabs>
                <w:tab w:val="left" w:pos="562"/>
              </w:tabs>
              <w:suppressAutoHyphens/>
              <w:rPr>
                <w:sz w:val="22"/>
                <w:szCs w:val="22"/>
                <w:vertAlign w:val="superscript"/>
              </w:rPr>
            </w:pPr>
            <w:r>
              <w:rPr>
                <w:sz w:val="22"/>
                <w:szCs w:val="22"/>
              </w:rPr>
              <w:t>F</w:t>
            </w:r>
            <w:r w:rsidRPr="00CC4B51">
              <w:rPr>
                <w:sz w:val="22"/>
                <w:szCs w:val="22"/>
              </w:rPr>
              <w:t>ibrose pulmonar</w:t>
            </w:r>
            <w:r w:rsidRPr="00CC4B51">
              <w:rPr>
                <w:sz w:val="22"/>
                <w:szCs w:val="22"/>
                <w:vertAlign w:val="superscript"/>
              </w:rPr>
              <w:t>1)</w:t>
            </w:r>
          </w:p>
          <w:p w14:paraId="7102A914" w14:textId="77777777" w:rsidR="004462A0" w:rsidRPr="00CC4B51" w:rsidRDefault="004462A0" w:rsidP="00F675CF">
            <w:pPr>
              <w:widowControl w:val="0"/>
              <w:tabs>
                <w:tab w:val="left" w:pos="562"/>
              </w:tabs>
              <w:suppressAutoHyphens/>
              <w:rPr>
                <w:sz w:val="22"/>
                <w:szCs w:val="22"/>
              </w:rPr>
            </w:pPr>
          </w:p>
        </w:tc>
      </w:tr>
      <w:tr w:rsidR="00A7162A" w14:paraId="44D5FBB3" w14:textId="77777777" w:rsidTr="00F675CF">
        <w:tc>
          <w:tcPr>
            <w:tcW w:w="2514" w:type="dxa"/>
            <w:vMerge w:val="restart"/>
          </w:tcPr>
          <w:p w14:paraId="169618EF" w14:textId="77777777" w:rsidR="004462A0" w:rsidRPr="00CC4B51" w:rsidRDefault="00615769" w:rsidP="00F675CF">
            <w:pPr>
              <w:widowControl w:val="0"/>
              <w:tabs>
                <w:tab w:val="left" w:pos="562"/>
              </w:tabs>
              <w:suppressAutoHyphens/>
              <w:rPr>
                <w:sz w:val="22"/>
                <w:szCs w:val="22"/>
              </w:rPr>
            </w:pPr>
            <w:r w:rsidRPr="00CC4B51">
              <w:rPr>
                <w:sz w:val="22"/>
                <w:szCs w:val="22"/>
              </w:rPr>
              <w:t>Doenças gastrointestinais</w:t>
            </w:r>
          </w:p>
        </w:tc>
        <w:tc>
          <w:tcPr>
            <w:tcW w:w="1996" w:type="dxa"/>
            <w:tcBorders>
              <w:bottom w:val="nil"/>
            </w:tcBorders>
          </w:tcPr>
          <w:p w14:paraId="1747551B" w14:textId="77777777" w:rsidR="004462A0" w:rsidRPr="00CC4B51" w:rsidRDefault="00615769" w:rsidP="00F675CF">
            <w:pPr>
              <w:widowControl w:val="0"/>
              <w:tabs>
                <w:tab w:val="left" w:pos="562"/>
              </w:tabs>
              <w:suppressAutoHyphens/>
              <w:rPr>
                <w:sz w:val="22"/>
                <w:szCs w:val="22"/>
              </w:rPr>
            </w:pPr>
            <w:r w:rsidRPr="00CC4B51">
              <w:rPr>
                <w:sz w:val="22"/>
                <w:szCs w:val="22"/>
              </w:rPr>
              <w:t xml:space="preserve">Muito frequentes </w:t>
            </w:r>
          </w:p>
        </w:tc>
        <w:tc>
          <w:tcPr>
            <w:tcW w:w="4346" w:type="dxa"/>
            <w:tcBorders>
              <w:bottom w:val="nil"/>
            </w:tcBorders>
          </w:tcPr>
          <w:p w14:paraId="26989CD7" w14:textId="77777777" w:rsidR="004462A0" w:rsidRPr="00CC4B51" w:rsidRDefault="00615769" w:rsidP="00F675CF">
            <w:pPr>
              <w:widowControl w:val="0"/>
              <w:tabs>
                <w:tab w:val="left" w:pos="562"/>
              </w:tabs>
              <w:suppressAutoHyphens/>
              <w:rPr>
                <w:sz w:val="22"/>
                <w:szCs w:val="22"/>
              </w:rPr>
            </w:pPr>
            <w:r>
              <w:rPr>
                <w:sz w:val="22"/>
                <w:szCs w:val="22"/>
              </w:rPr>
              <w:t>D</w:t>
            </w:r>
            <w:r w:rsidRPr="00CC4B51">
              <w:rPr>
                <w:sz w:val="22"/>
                <w:szCs w:val="22"/>
              </w:rPr>
              <w:t xml:space="preserve">or abdominal, </w:t>
            </w:r>
          </w:p>
          <w:p w14:paraId="47C5A824" w14:textId="77777777" w:rsidR="004462A0" w:rsidRPr="00CC4B51" w:rsidRDefault="00615769" w:rsidP="00F675CF">
            <w:pPr>
              <w:widowControl w:val="0"/>
              <w:tabs>
                <w:tab w:val="left" w:pos="562"/>
              </w:tabs>
              <w:suppressAutoHyphens/>
              <w:rPr>
                <w:sz w:val="22"/>
                <w:szCs w:val="22"/>
              </w:rPr>
            </w:pPr>
            <w:r w:rsidRPr="00CC4B51">
              <w:rPr>
                <w:sz w:val="22"/>
                <w:szCs w:val="22"/>
              </w:rPr>
              <w:t>náuseas e vómitos</w:t>
            </w:r>
          </w:p>
          <w:p w14:paraId="04D04439" w14:textId="77777777" w:rsidR="004462A0" w:rsidRPr="00CC4B51" w:rsidRDefault="004462A0" w:rsidP="00F675CF">
            <w:pPr>
              <w:widowControl w:val="0"/>
              <w:tabs>
                <w:tab w:val="left" w:pos="562"/>
              </w:tabs>
              <w:suppressAutoHyphens/>
              <w:rPr>
                <w:sz w:val="22"/>
                <w:szCs w:val="22"/>
              </w:rPr>
            </w:pPr>
          </w:p>
        </w:tc>
      </w:tr>
      <w:tr w:rsidR="00A7162A" w14:paraId="21FD3E35" w14:textId="77777777" w:rsidTr="00F675CF">
        <w:tc>
          <w:tcPr>
            <w:tcW w:w="2514" w:type="dxa"/>
            <w:vMerge/>
          </w:tcPr>
          <w:p w14:paraId="6025D652" w14:textId="77777777" w:rsidR="004462A0" w:rsidRPr="00CC4B51" w:rsidRDefault="004462A0" w:rsidP="00F675CF">
            <w:pPr>
              <w:widowControl w:val="0"/>
              <w:jc w:val="center"/>
              <w:rPr>
                <w:b/>
              </w:rPr>
            </w:pPr>
          </w:p>
        </w:tc>
        <w:tc>
          <w:tcPr>
            <w:tcW w:w="1996" w:type="dxa"/>
            <w:tcBorders>
              <w:top w:val="nil"/>
              <w:bottom w:val="nil"/>
            </w:tcBorders>
          </w:tcPr>
          <w:p w14:paraId="269BEEE4" w14:textId="77777777" w:rsidR="004462A0" w:rsidRPr="00CC4B51" w:rsidRDefault="00615769" w:rsidP="00F675CF">
            <w:pPr>
              <w:widowControl w:val="0"/>
              <w:tabs>
                <w:tab w:val="left" w:pos="562"/>
              </w:tabs>
              <w:suppressAutoHyphens/>
              <w:rPr>
                <w:sz w:val="22"/>
                <w:szCs w:val="22"/>
              </w:rPr>
            </w:pPr>
            <w:r w:rsidRPr="00CC4B51">
              <w:rPr>
                <w:sz w:val="22"/>
                <w:szCs w:val="22"/>
              </w:rPr>
              <w:t>Frequentes</w:t>
            </w:r>
          </w:p>
          <w:p w14:paraId="47287845" w14:textId="77777777" w:rsidR="004462A0" w:rsidRPr="00CC4B51" w:rsidRDefault="004462A0" w:rsidP="00F675CF">
            <w:pPr>
              <w:widowControl w:val="0"/>
              <w:tabs>
                <w:tab w:val="left" w:pos="562"/>
              </w:tabs>
              <w:suppressAutoHyphens/>
              <w:rPr>
                <w:sz w:val="22"/>
                <w:szCs w:val="22"/>
              </w:rPr>
            </w:pPr>
          </w:p>
        </w:tc>
        <w:tc>
          <w:tcPr>
            <w:tcW w:w="4346" w:type="dxa"/>
            <w:tcBorders>
              <w:top w:val="nil"/>
              <w:bottom w:val="nil"/>
            </w:tcBorders>
          </w:tcPr>
          <w:p w14:paraId="769AC7EE" w14:textId="77777777" w:rsidR="004462A0" w:rsidRPr="00CC4B51" w:rsidRDefault="00615769" w:rsidP="00F675CF">
            <w:pPr>
              <w:widowControl w:val="0"/>
              <w:tabs>
                <w:tab w:val="left" w:pos="562"/>
              </w:tabs>
              <w:suppressAutoHyphens/>
              <w:rPr>
                <w:sz w:val="22"/>
                <w:szCs w:val="22"/>
              </w:rPr>
            </w:pPr>
            <w:r>
              <w:rPr>
                <w:sz w:val="22"/>
                <w:szCs w:val="22"/>
              </w:rPr>
              <w:t>H</w:t>
            </w:r>
            <w:r w:rsidRPr="00CC4B51">
              <w:rPr>
                <w:sz w:val="22"/>
                <w:szCs w:val="22"/>
              </w:rPr>
              <w:t xml:space="preserve">emorragia gastrointestinal, </w:t>
            </w:r>
          </w:p>
          <w:p w14:paraId="2AF4DFA3" w14:textId="77777777" w:rsidR="004462A0" w:rsidRPr="00CC4B51" w:rsidRDefault="00615769" w:rsidP="00F675CF">
            <w:pPr>
              <w:widowControl w:val="0"/>
              <w:tabs>
                <w:tab w:val="left" w:pos="562"/>
              </w:tabs>
              <w:suppressAutoHyphens/>
              <w:rPr>
                <w:sz w:val="22"/>
                <w:szCs w:val="22"/>
              </w:rPr>
            </w:pPr>
            <w:r w:rsidRPr="00CC4B51">
              <w:rPr>
                <w:sz w:val="22"/>
                <w:szCs w:val="22"/>
              </w:rPr>
              <w:t xml:space="preserve">dispepsia, </w:t>
            </w:r>
          </w:p>
          <w:p w14:paraId="0F343288" w14:textId="77777777" w:rsidR="004462A0" w:rsidRPr="00CC4B51" w:rsidRDefault="00615769" w:rsidP="00F675CF">
            <w:pPr>
              <w:widowControl w:val="0"/>
              <w:tabs>
                <w:tab w:val="left" w:pos="562"/>
              </w:tabs>
              <w:suppressAutoHyphens/>
              <w:rPr>
                <w:sz w:val="22"/>
                <w:szCs w:val="22"/>
              </w:rPr>
            </w:pPr>
            <w:r w:rsidRPr="00CC4B51">
              <w:rPr>
                <w:sz w:val="22"/>
                <w:szCs w:val="22"/>
              </w:rPr>
              <w:t>doença de refluxo gastroesofágico,</w:t>
            </w:r>
          </w:p>
          <w:p w14:paraId="6083355D" w14:textId="77777777" w:rsidR="004462A0" w:rsidRPr="00CC4B51" w:rsidRDefault="00615769" w:rsidP="00F675CF">
            <w:pPr>
              <w:widowControl w:val="0"/>
              <w:tabs>
                <w:tab w:val="left" w:pos="562"/>
              </w:tabs>
              <w:suppressAutoHyphens/>
              <w:rPr>
                <w:sz w:val="22"/>
                <w:szCs w:val="22"/>
              </w:rPr>
            </w:pPr>
            <w:r w:rsidRPr="00CC4B51">
              <w:rPr>
                <w:sz w:val="22"/>
                <w:szCs w:val="22"/>
              </w:rPr>
              <w:t>síndrome de sicca</w:t>
            </w:r>
          </w:p>
          <w:p w14:paraId="24A32633" w14:textId="77777777" w:rsidR="004462A0" w:rsidRPr="00CC4B51" w:rsidRDefault="004462A0" w:rsidP="00F675CF">
            <w:pPr>
              <w:widowControl w:val="0"/>
              <w:tabs>
                <w:tab w:val="left" w:pos="562"/>
              </w:tabs>
              <w:suppressAutoHyphens/>
              <w:rPr>
                <w:sz w:val="22"/>
                <w:szCs w:val="22"/>
              </w:rPr>
            </w:pPr>
          </w:p>
        </w:tc>
      </w:tr>
      <w:tr w:rsidR="00A7162A" w14:paraId="2407D899" w14:textId="77777777" w:rsidTr="00F675CF">
        <w:tc>
          <w:tcPr>
            <w:tcW w:w="2514" w:type="dxa"/>
            <w:vMerge/>
          </w:tcPr>
          <w:p w14:paraId="0B483C44" w14:textId="77777777" w:rsidR="004462A0" w:rsidRPr="00CC4B51" w:rsidRDefault="004462A0" w:rsidP="00F675CF">
            <w:pPr>
              <w:widowControl w:val="0"/>
              <w:jc w:val="center"/>
              <w:rPr>
                <w:b/>
              </w:rPr>
            </w:pPr>
          </w:p>
        </w:tc>
        <w:tc>
          <w:tcPr>
            <w:tcW w:w="1996" w:type="dxa"/>
            <w:tcBorders>
              <w:top w:val="nil"/>
              <w:bottom w:val="nil"/>
            </w:tcBorders>
          </w:tcPr>
          <w:p w14:paraId="6D3CBB57" w14:textId="77777777" w:rsidR="004462A0" w:rsidRPr="00CC4B51" w:rsidRDefault="00615769" w:rsidP="00F675CF">
            <w:pPr>
              <w:widowControl w:val="0"/>
              <w:tabs>
                <w:tab w:val="left" w:pos="562"/>
              </w:tabs>
              <w:suppressAutoHyphens/>
              <w:rPr>
                <w:sz w:val="22"/>
                <w:szCs w:val="22"/>
              </w:rPr>
            </w:pPr>
            <w:r w:rsidRPr="00CC4B51">
              <w:rPr>
                <w:sz w:val="22"/>
                <w:szCs w:val="22"/>
              </w:rPr>
              <w:t>Pouco frequentes</w:t>
            </w:r>
          </w:p>
        </w:tc>
        <w:tc>
          <w:tcPr>
            <w:tcW w:w="4346" w:type="dxa"/>
            <w:tcBorders>
              <w:top w:val="nil"/>
              <w:bottom w:val="nil"/>
            </w:tcBorders>
          </w:tcPr>
          <w:p w14:paraId="4DEBF31D" w14:textId="77777777" w:rsidR="004462A0" w:rsidRPr="00CC4B51" w:rsidRDefault="00615769" w:rsidP="00F675CF">
            <w:pPr>
              <w:widowControl w:val="0"/>
              <w:tabs>
                <w:tab w:val="left" w:pos="562"/>
              </w:tabs>
              <w:suppressAutoHyphens/>
              <w:rPr>
                <w:sz w:val="22"/>
                <w:szCs w:val="22"/>
              </w:rPr>
            </w:pPr>
            <w:r>
              <w:rPr>
                <w:sz w:val="22"/>
                <w:szCs w:val="22"/>
              </w:rPr>
              <w:t>P</w:t>
            </w:r>
            <w:r w:rsidRPr="00CC4B51">
              <w:rPr>
                <w:sz w:val="22"/>
                <w:szCs w:val="22"/>
              </w:rPr>
              <w:t xml:space="preserve">ancreatite, </w:t>
            </w:r>
          </w:p>
          <w:p w14:paraId="6FDA78C6" w14:textId="77777777" w:rsidR="004462A0" w:rsidRPr="00CC4B51" w:rsidRDefault="00615769" w:rsidP="00F675CF">
            <w:pPr>
              <w:widowControl w:val="0"/>
              <w:tabs>
                <w:tab w:val="left" w:pos="562"/>
              </w:tabs>
              <w:suppressAutoHyphens/>
              <w:rPr>
                <w:sz w:val="22"/>
                <w:szCs w:val="22"/>
              </w:rPr>
            </w:pPr>
            <w:r w:rsidRPr="00CC4B51">
              <w:rPr>
                <w:sz w:val="22"/>
                <w:szCs w:val="22"/>
              </w:rPr>
              <w:t>disfagia,</w:t>
            </w:r>
          </w:p>
          <w:p w14:paraId="2B582A95" w14:textId="77777777" w:rsidR="004462A0" w:rsidRPr="00CC4B51" w:rsidRDefault="00615769" w:rsidP="00F675CF">
            <w:pPr>
              <w:widowControl w:val="0"/>
              <w:tabs>
                <w:tab w:val="left" w:pos="562"/>
              </w:tabs>
              <w:suppressAutoHyphens/>
              <w:rPr>
                <w:sz w:val="22"/>
                <w:szCs w:val="22"/>
              </w:rPr>
            </w:pPr>
            <w:r w:rsidRPr="00CC4B51">
              <w:rPr>
                <w:sz w:val="22"/>
                <w:szCs w:val="22"/>
              </w:rPr>
              <w:t>edema da face</w:t>
            </w:r>
          </w:p>
          <w:p w14:paraId="70666A45" w14:textId="77777777" w:rsidR="004462A0" w:rsidRPr="00CC4B51" w:rsidRDefault="004462A0" w:rsidP="00F675CF">
            <w:pPr>
              <w:widowControl w:val="0"/>
              <w:tabs>
                <w:tab w:val="left" w:pos="562"/>
              </w:tabs>
              <w:suppressAutoHyphens/>
              <w:rPr>
                <w:sz w:val="22"/>
                <w:szCs w:val="22"/>
              </w:rPr>
            </w:pPr>
          </w:p>
        </w:tc>
      </w:tr>
      <w:tr w:rsidR="00A7162A" w14:paraId="2FC0FA56" w14:textId="77777777" w:rsidTr="00F675CF">
        <w:tc>
          <w:tcPr>
            <w:tcW w:w="2514" w:type="dxa"/>
            <w:vMerge/>
          </w:tcPr>
          <w:p w14:paraId="5C0D1F0D" w14:textId="77777777" w:rsidR="004462A0" w:rsidRPr="00CC4B51" w:rsidRDefault="004462A0" w:rsidP="00F675CF">
            <w:pPr>
              <w:widowControl w:val="0"/>
              <w:spacing w:before="60"/>
              <w:jc w:val="center"/>
              <w:rPr>
                <w:b/>
              </w:rPr>
            </w:pPr>
          </w:p>
        </w:tc>
        <w:tc>
          <w:tcPr>
            <w:tcW w:w="1996" w:type="dxa"/>
            <w:tcBorders>
              <w:top w:val="nil"/>
            </w:tcBorders>
          </w:tcPr>
          <w:p w14:paraId="7E6D1BC6" w14:textId="77777777" w:rsidR="004462A0" w:rsidRPr="00CC4B51" w:rsidRDefault="00615769" w:rsidP="00F675CF">
            <w:pPr>
              <w:widowControl w:val="0"/>
              <w:tabs>
                <w:tab w:val="left" w:pos="562"/>
              </w:tabs>
              <w:suppressAutoHyphens/>
              <w:rPr>
                <w:sz w:val="22"/>
                <w:szCs w:val="22"/>
              </w:rPr>
            </w:pPr>
            <w:r w:rsidRPr="00CC4B51">
              <w:rPr>
                <w:sz w:val="22"/>
                <w:szCs w:val="22"/>
              </w:rPr>
              <w:t>Raros</w:t>
            </w:r>
          </w:p>
        </w:tc>
        <w:tc>
          <w:tcPr>
            <w:tcW w:w="4346" w:type="dxa"/>
            <w:tcBorders>
              <w:top w:val="nil"/>
            </w:tcBorders>
          </w:tcPr>
          <w:p w14:paraId="3ACF63E8" w14:textId="77777777" w:rsidR="004462A0" w:rsidRPr="00CC4B51" w:rsidRDefault="00615769" w:rsidP="00F675CF">
            <w:pPr>
              <w:widowControl w:val="0"/>
              <w:tabs>
                <w:tab w:val="left" w:pos="562"/>
              </w:tabs>
              <w:suppressAutoHyphens/>
              <w:rPr>
                <w:sz w:val="22"/>
                <w:szCs w:val="22"/>
                <w:vertAlign w:val="superscript"/>
              </w:rPr>
            </w:pPr>
            <w:r>
              <w:rPr>
                <w:sz w:val="22"/>
                <w:szCs w:val="22"/>
              </w:rPr>
              <w:t>P</w:t>
            </w:r>
            <w:r w:rsidRPr="00CC4B51">
              <w:rPr>
                <w:sz w:val="22"/>
                <w:szCs w:val="22"/>
              </w:rPr>
              <w:t>erfuração intestinal</w:t>
            </w:r>
            <w:r w:rsidRPr="00CC4B51">
              <w:rPr>
                <w:sz w:val="22"/>
                <w:szCs w:val="22"/>
                <w:vertAlign w:val="superscript"/>
              </w:rPr>
              <w:t>1)</w:t>
            </w:r>
          </w:p>
          <w:p w14:paraId="41388131" w14:textId="77777777" w:rsidR="004462A0" w:rsidRPr="00CC4B51" w:rsidRDefault="004462A0" w:rsidP="00F675CF">
            <w:pPr>
              <w:widowControl w:val="0"/>
              <w:tabs>
                <w:tab w:val="left" w:pos="562"/>
              </w:tabs>
              <w:suppressAutoHyphens/>
              <w:rPr>
                <w:sz w:val="22"/>
                <w:szCs w:val="22"/>
              </w:rPr>
            </w:pPr>
          </w:p>
        </w:tc>
      </w:tr>
      <w:tr w:rsidR="00A7162A" w14:paraId="4D0E1F30" w14:textId="77777777" w:rsidTr="00F675CF">
        <w:tc>
          <w:tcPr>
            <w:tcW w:w="2514" w:type="dxa"/>
            <w:vMerge w:val="restart"/>
          </w:tcPr>
          <w:p w14:paraId="19507E4D" w14:textId="77777777" w:rsidR="004462A0" w:rsidRPr="00CC4B51" w:rsidRDefault="00615769" w:rsidP="00F675CF">
            <w:pPr>
              <w:widowControl w:val="0"/>
              <w:tabs>
                <w:tab w:val="left" w:pos="562"/>
              </w:tabs>
              <w:suppressAutoHyphens/>
              <w:rPr>
                <w:sz w:val="22"/>
                <w:szCs w:val="22"/>
              </w:rPr>
            </w:pPr>
            <w:r w:rsidRPr="00CC4B51">
              <w:rPr>
                <w:sz w:val="22"/>
                <w:szCs w:val="22"/>
              </w:rPr>
              <w:t>Afeções hepatobiliares *</w:t>
            </w:r>
          </w:p>
        </w:tc>
        <w:tc>
          <w:tcPr>
            <w:tcW w:w="1996" w:type="dxa"/>
            <w:tcBorders>
              <w:bottom w:val="nil"/>
            </w:tcBorders>
          </w:tcPr>
          <w:p w14:paraId="400A0745" w14:textId="77777777" w:rsidR="004462A0" w:rsidRPr="00CC4B51" w:rsidRDefault="00615769" w:rsidP="00F675CF">
            <w:pPr>
              <w:widowControl w:val="0"/>
              <w:tabs>
                <w:tab w:val="left" w:pos="562"/>
              </w:tabs>
              <w:suppressAutoHyphens/>
              <w:rPr>
                <w:sz w:val="22"/>
                <w:szCs w:val="22"/>
              </w:rPr>
            </w:pPr>
            <w:r w:rsidRPr="00CC4B51">
              <w:rPr>
                <w:sz w:val="22"/>
                <w:szCs w:val="22"/>
              </w:rPr>
              <w:t>Muito frequentes</w:t>
            </w:r>
          </w:p>
        </w:tc>
        <w:tc>
          <w:tcPr>
            <w:tcW w:w="4346" w:type="dxa"/>
            <w:tcBorders>
              <w:bottom w:val="nil"/>
            </w:tcBorders>
          </w:tcPr>
          <w:p w14:paraId="5BC5BDDA" w14:textId="77777777" w:rsidR="004462A0" w:rsidRPr="00CC4B51" w:rsidRDefault="00615769" w:rsidP="00F675CF">
            <w:pPr>
              <w:widowControl w:val="0"/>
              <w:tabs>
                <w:tab w:val="left" w:pos="562"/>
              </w:tabs>
              <w:suppressAutoHyphens/>
              <w:rPr>
                <w:sz w:val="22"/>
                <w:szCs w:val="22"/>
              </w:rPr>
            </w:pPr>
            <w:r>
              <w:rPr>
                <w:sz w:val="22"/>
                <w:szCs w:val="22"/>
              </w:rPr>
              <w:t>A</w:t>
            </w:r>
            <w:r w:rsidRPr="00CC4B51">
              <w:rPr>
                <w:sz w:val="22"/>
                <w:szCs w:val="22"/>
              </w:rPr>
              <w:t>umento de enzimas hepáticas</w:t>
            </w:r>
          </w:p>
          <w:p w14:paraId="4C114197" w14:textId="77777777" w:rsidR="004462A0" w:rsidRPr="00CC4B51" w:rsidRDefault="004462A0" w:rsidP="00F675CF">
            <w:pPr>
              <w:widowControl w:val="0"/>
              <w:tabs>
                <w:tab w:val="left" w:pos="562"/>
              </w:tabs>
              <w:suppressAutoHyphens/>
              <w:rPr>
                <w:sz w:val="22"/>
                <w:szCs w:val="22"/>
              </w:rPr>
            </w:pPr>
          </w:p>
        </w:tc>
      </w:tr>
      <w:tr w:rsidR="00A7162A" w14:paraId="17119F28" w14:textId="77777777" w:rsidTr="00F675CF">
        <w:tc>
          <w:tcPr>
            <w:tcW w:w="2514" w:type="dxa"/>
            <w:vMerge/>
          </w:tcPr>
          <w:p w14:paraId="31CF4C68" w14:textId="77777777" w:rsidR="004462A0" w:rsidRPr="00CC4B51" w:rsidRDefault="004462A0" w:rsidP="00F675CF">
            <w:pPr>
              <w:widowControl w:val="0"/>
              <w:tabs>
                <w:tab w:val="left" w:pos="562"/>
              </w:tabs>
              <w:suppressAutoHyphens/>
              <w:rPr>
                <w:sz w:val="22"/>
                <w:szCs w:val="22"/>
              </w:rPr>
            </w:pPr>
          </w:p>
        </w:tc>
        <w:tc>
          <w:tcPr>
            <w:tcW w:w="1996" w:type="dxa"/>
            <w:tcBorders>
              <w:top w:val="nil"/>
              <w:bottom w:val="nil"/>
            </w:tcBorders>
          </w:tcPr>
          <w:p w14:paraId="78B2EEB2" w14:textId="77777777" w:rsidR="004462A0" w:rsidRPr="00CC4B51" w:rsidRDefault="00615769" w:rsidP="00F675CF">
            <w:pPr>
              <w:widowControl w:val="0"/>
              <w:tabs>
                <w:tab w:val="left" w:pos="562"/>
              </w:tabs>
              <w:suppressAutoHyphens/>
              <w:rPr>
                <w:sz w:val="22"/>
                <w:szCs w:val="22"/>
              </w:rPr>
            </w:pPr>
            <w:r w:rsidRPr="00CC4B51">
              <w:rPr>
                <w:sz w:val="22"/>
                <w:szCs w:val="22"/>
              </w:rPr>
              <w:t>Pouco frequentes</w:t>
            </w:r>
          </w:p>
          <w:p w14:paraId="037C165B" w14:textId="77777777" w:rsidR="004462A0" w:rsidRPr="00CC4B51" w:rsidRDefault="004462A0" w:rsidP="00F675CF">
            <w:pPr>
              <w:widowControl w:val="0"/>
              <w:tabs>
                <w:tab w:val="left" w:pos="562"/>
              </w:tabs>
              <w:suppressAutoHyphens/>
              <w:rPr>
                <w:sz w:val="22"/>
                <w:szCs w:val="22"/>
              </w:rPr>
            </w:pPr>
          </w:p>
        </w:tc>
        <w:tc>
          <w:tcPr>
            <w:tcW w:w="4346" w:type="dxa"/>
            <w:tcBorders>
              <w:top w:val="nil"/>
              <w:bottom w:val="nil"/>
            </w:tcBorders>
          </w:tcPr>
          <w:p w14:paraId="4A7265EB" w14:textId="77777777" w:rsidR="004462A0" w:rsidRPr="00DF5632" w:rsidRDefault="00615769" w:rsidP="00F675CF">
            <w:pPr>
              <w:autoSpaceDE w:val="0"/>
              <w:autoSpaceDN w:val="0"/>
              <w:adjustRightInd w:val="0"/>
              <w:rPr>
                <w:sz w:val="22"/>
                <w:szCs w:val="22"/>
              </w:rPr>
            </w:pPr>
            <w:r w:rsidRPr="00DF5632">
              <w:rPr>
                <w:sz w:val="22"/>
                <w:szCs w:val="22"/>
              </w:rPr>
              <w:t>Colecistite e colelitíase,</w:t>
            </w:r>
          </w:p>
          <w:p w14:paraId="21BCBF71" w14:textId="77777777" w:rsidR="004462A0" w:rsidRPr="00CC4B51" w:rsidRDefault="00615769" w:rsidP="00F675CF">
            <w:pPr>
              <w:autoSpaceDE w:val="0"/>
              <w:autoSpaceDN w:val="0"/>
              <w:adjustRightInd w:val="0"/>
            </w:pPr>
            <w:r w:rsidRPr="00CC4B51">
              <w:rPr>
                <w:sz w:val="22"/>
                <w:szCs w:val="22"/>
              </w:rPr>
              <w:t>esteatose hepática,</w:t>
            </w:r>
          </w:p>
          <w:p w14:paraId="61090813" w14:textId="77777777" w:rsidR="004462A0" w:rsidRPr="00CC4B51" w:rsidRDefault="00615769" w:rsidP="00F675CF">
            <w:pPr>
              <w:autoSpaceDE w:val="0"/>
              <w:autoSpaceDN w:val="0"/>
              <w:adjustRightInd w:val="0"/>
            </w:pPr>
            <w:r w:rsidRPr="00CC4B51">
              <w:rPr>
                <w:sz w:val="22"/>
                <w:szCs w:val="22"/>
              </w:rPr>
              <w:t>aumento de bilirrubina</w:t>
            </w:r>
          </w:p>
          <w:p w14:paraId="32879952" w14:textId="77777777" w:rsidR="004462A0" w:rsidRPr="00CC4B51" w:rsidRDefault="004462A0" w:rsidP="00F675CF">
            <w:pPr>
              <w:autoSpaceDE w:val="0"/>
              <w:autoSpaceDN w:val="0"/>
              <w:adjustRightInd w:val="0"/>
            </w:pPr>
          </w:p>
        </w:tc>
      </w:tr>
      <w:tr w:rsidR="00A7162A" w14:paraId="0D52C1CD" w14:textId="77777777" w:rsidTr="00F675CF">
        <w:tc>
          <w:tcPr>
            <w:tcW w:w="2514" w:type="dxa"/>
            <w:vMerge/>
          </w:tcPr>
          <w:p w14:paraId="1A137622" w14:textId="77777777" w:rsidR="004462A0" w:rsidRPr="00CC4B51" w:rsidRDefault="004462A0" w:rsidP="00F675CF">
            <w:pPr>
              <w:widowControl w:val="0"/>
              <w:tabs>
                <w:tab w:val="left" w:pos="562"/>
              </w:tabs>
              <w:suppressAutoHyphens/>
              <w:rPr>
                <w:sz w:val="22"/>
                <w:szCs w:val="22"/>
              </w:rPr>
            </w:pPr>
          </w:p>
        </w:tc>
        <w:tc>
          <w:tcPr>
            <w:tcW w:w="1996" w:type="dxa"/>
            <w:tcBorders>
              <w:top w:val="nil"/>
              <w:bottom w:val="nil"/>
            </w:tcBorders>
          </w:tcPr>
          <w:p w14:paraId="77A7BD75" w14:textId="77777777" w:rsidR="004462A0" w:rsidRPr="00CC4B51" w:rsidRDefault="00615769" w:rsidP="00F675CF">
            <w:pPr>
              <w:widowControl w:val="0"/>
              <w:tabs>
                <w:tab w:val="left" w:pos="562"/>
              </w:tabs>
              <w:suppressAutoHyphens/>
              <w:rPr>
                <w:sz w:val="22"/>
                <w:szCs w:val="22"/>
              </w:rPr>
            </w:pPr>
            <w:r w:rsidRPr="00CC4B51">
              <w:rPr>
                <w:sz w:val="22"/>
                <w:szCs w:val="22"/>
              </w:rPr>
              <w:t>Raros</w:t>
            </w:r>
          </w:p>
        </w:tc>
        <w:tc>
          <w:tcPr>
            <w:tcW w:w="4346" w:type="dxa"/>
            <w:tcBorders>
              <w:top w:val="nil"/>
              <w:bottom w:val="nil"/>
            </w:tcBorders>
          </w:tcPr>
          <w:p w14:paraId="791C19CD" w14:textId="77777777" w:rsidR="004462A0" w:rsidRPr="00CC4B51" w:rsidRDefault="00615769" w:rsidP="00F675CF">
            <w:pPr>
              <w:autoSpaceDE w:val="0"/>
              <w:autoSpaceDN w:val="0"/>
              <w:adjustRightInd w:val="0"/>
            </w:pPr>
            <w:r>
              <w:rPr>
                <w:sz w:val="22"/>
                <w:szCs w:val="22"/>
              </w:rPr>
              <w:t>H</w:t>
            </w:r>
            <w:r w:rsidRPr="00CC4B51">
              <w:rPr>
                <w:sz w:val="22"/>
                <w:szCs w:val="22"/>
              </w:rPr>
              <w:t>epatite,</w:t>
            </w:r>
          </w:p>
          <w:p w14:paraId="4616C7AE" w14:textId="77777777" w:rsidR="004462A0" w:rsidRPr="00CC4B51" w:rsidRDefault="00615769" w:rsidP="00F675CF">
            <w:pPr>
              <w:autoSpaceDE w:val="0"/>
              <w:autoSpaceDN w:val="0"/>
              <w:adjustRightInd w:val="0"/>
            </w:pPr>
            <w:r w:rsidRPr="00CC4B51">
              <w:rPr>
                <w:sz w:val="22"/>
                <w:szCs w:val="22"/>
              </w:rPr>
              <w:t>reativação da hepatite B</w:t>
            </w:r>
            <w:r w:rsidRPr="00CC4B51">
              <w:rPr>
                <w:sz w:val="22"/>
                <w:szCs w:val="22"/>
                <w:vertAlign w:val="superscript"/>
              </w:rPr>
              <w:t>1)</w:t>
            </w:r>
            <w:r w:rsidRPr="00CC4B51">
              <w:rPr>
                <w:sz w:val="22"/>
                <w:szCs w:val="22"/>
              </w:rPr>
              <w:t>,</w:t>
            </w:r>
          </w:p>
          <w:p w14:paraId="72F741F0" w14:textId="77777777" w:rsidR="004462A0" w:rsidRPr="00CC4B51" w:rsidRDefault="00615769" w:rsidP="00F675CF">
            <w:pPr>
              <w:widowControl w:val="0"/>
              <w:tabs>
                <w:tab w:val="left" w:pos="562"/>
              </w:tabs>
              <w:suppressAutoHyphens/>
              <w:rPr>
                <w:sz w:val="22"/>
                <w:szCs w:val="22"/>
                <w:vertAlign w:val="superscript"/>
              </w:rPr>
            </w:pPr>
            <w:r w:rsidRPr="00CC4B51">
              <w:rPr>
                <w:sz w:val="22"/>
                <w:szCs w:val="20"/>
              </w:rPr>
              <w:t>hepatite autoimune</w:t>
            </w:r>
            <w:r w:rsidRPr="00CC4B51">
              <w:rPr>
                <w:sz w:val="22"/>
                <w:szCs w:val="20"/>
                <w:vertAlign w:val="superscript"/>
              </w:rPr>
              <w:t>1)</w:t>
            </w:r>
          </w:p>
          <w:p w14:paraId="12A98B54" w14:textId="77777777" w:rsidR="004462A0" w:rsidRPr="00CC4B51" w:rsidRDefault="004462A0" w:rsidP="00F675CF">
            <w:pPr>
              <w:autoSpaceDE w:val="0"/>
              <w:autoSpaceDN w:val="0"/>
              <w:adjustRightInd w:val="0"/>
            </w:pPr>
          </w:p>
        </w:tc>
      </w:tr>
      <w:tr w:rsidR="00A7162A" w14:paraId="72E57922" w14:textId="77777777" w:rsidTr="00F675CF">
        <w:tc>
          <w:tcPr>
            <w:tcW w:w="2514" w:type="dxa"/>
            <w:vMerge/>
          </w:tcPr>
          <w:p w14:paraId="3AE1965C" w14:textId="77777777" w:rsidR="004462A0" w:rsidRPr="00CC4B51" w:rsidRDefault="004462A0" w:rsidP="00F675CF">
            <w:pPr>
              <w:widowControl w:val="0"/>
              <w:tabs>
                <w:tab w:val="left" w:pos="562"/>
              </w:tabs>
              <w:suppressAutoHyphens/>
              <w:rPr>
                <w:sz w:val="22"/>
                <w:szCs w:val="22"/>
              </w:rPr>
            </w:pPr>
          </w:p>
        </w:tc>
        <w:tc>
          <w:tcPr>
            <w:tcW w:w="1996" w:type="dxa"/>
            <w:tcBorders>
              <w:top w:val="nil"/>
            </w:tcBorders>
          </w:tcPr>
          <w:p w14:paraId="7B522CCC" w14:textId="77777777" w:rsidR="004462A0" w:rsidRPr="00CC4B51" w:rsidRDefault="00615769" w:rsidP="00F675CF">
            <w:pPr>
              <w:widowControl w:val="0"/>
              <w:tabs>
                <w:tab w:val="left" w:pos="562"/>
              </w:tabs>
              <w:suppressAutoHyphens/>
              <w:rPr>
                <w:sz w:val="22"/>
                <w:szCs w:val="22"/>
              </w:rPr>
            </w:pPr>
            <w:r w:rsidRPr="00CC4B51">
              <w:rPr>
                <w:sz w:val="22"/>
                <w:szCs w:val="22"/>
              </w:rPr>
              <w:t>Desconhecido</w:t>
            </w:r>
          </w:p>
        </w:tc>
        <w:tc>
          <w:tcPr>
            <w:tcW w:w="4346" w:type="dxa"/>
            <w:tcBorders>
              <w:top w:val="nil"/>
            </w:tcBorders>
          </w:tcPr>
          <w:p w14:paraId="1A8D8519" w14:textId="77777777" w:rsidR="004462A0" w:rsidRPr="00CC4B51" w:rsidRDefault="00615769" w:rsidP="00F675CF">
            <w:pPr>
              <w:autoSpaceDE w:val="0"/>
              <w:autoSpaceDN w:val="0"/>
              <w:adjustRightInd w:val="0"/>
              <w:rPr>
                <w:vertAlign w:val="superscript"/>
              </w:rPr>
            </w:pPr>
            <w:r>
              <w:rPr>
                <w:sz w:val="22"/>
                <w:szCs w:val="22"/>
              </w:rPr>
              <w:t>I</w:t>
            </w:r>
            <w:r w:rsidRPr="00CC4B51">
              <w:rPr>
                <w:sz w:val="22"/>
                <w:szCs w:val="22"/>
              </w:rPr>
              <w:t>nsuficiência hepática</w:t>
            </w:r>
            <w:r w:rsidRPr="00CC4B51">
              <w:rPr>
                <w:sz w:val="22"/>
                <w:szCs w:val="22"/>
                <w:vertAlign w:val="superscript"/>
              </w:rPr>
              <w:t>1)</w:t>
            </w:r>
          </w:p>
          <w:p w14:paraId="4237D4A4" w14:textId="77777777" w:rsidR="004462A0" w:rsidRPr="00CC4B51" w:rsidRDefault="004462A0" w:rsidP="00F675CF">
            <w:pPr>
              <w:autoSpaceDE w:val="0"/>
              <w:autoSpaceDN w:val="0"/>
              <w:adjustRightInd w:val="0"/>
            </w:pPr>
          </w:p>
        </w:tc>
      </w:tr>
      <w:tr w:rsidR="00A7162A" w14:paraId="213BC4A2" w14:textId="77777777" w:rsidTr="00F675CF">
        <w:tc>
          <w:tcPr>
            <w:tcW w:w="2514" w:type="dxa"/>
            <w:vMerge w:val="restart"/>
          </w:tcPr>
          <w:p w14:paraId="6864FA38" w14:textId="77777777" w:rsidR="004462A0" w:rsidRPr="00CC4B51" w:rsidRDefault="00615769" w:rsidP="00F675CF">
            <w:pPr>
              <w:widowControl w:val="0"/>
              <w:tabs>
                <w:tab w:val="left" w:pos="562"/>
              </w:tabs>
              <w:suppressAutoHyphens/>
              <w:rPr>
                <w:sz w:val="22"/>
                <w:szCs w:val="22"/>
              </w:rPr>
            </w:pPr>
            <w:r w:rsidRPr="00CC4B51">
              <w:rPr>
                <w:sz w:val="22"/>
                <w:szCs w:val="22"/>
              </w:rPr>
              <w:t>Afeções dos tecidos cutâneos e subcutâneos</w:t>
            </w:r>
          </w:p>
        </w:tc>
        <w:tc>
          <w:tcPr>
            <w:tcW w:w="1996" w:type="dxa"/>
            <w:tcBorders>
              <w:bottom w:val="nil"/>
            </w:tcBorders>
          </w:tcPr>
          <w:p w14:paraId="04E033B4" w14:textId="77777777" w:rsidR="004462A0" w:rsidRPr="00CC4B51" w:rsidRDefault="00615769" w:rsidP="00F675CF">
            <w:pPr>
              <w:widowControl w:val="0"/>
              <w:tabs>
                <w:tab w:val="left" w:pos="562"/>
              </w:tabs>
              <w:suppressAutoHyphens/>
              <w:rPr>
                <w:sz w:val="22"/>
                <w:szCs w:val="22"/>
              </w:rPr>
            </w:pPr>
            <w:r w:rsidRPr="00CC4B51">
              <w:rPr>
                <w:sz w:val="22"/>
                <w:szCs w:val="22"/>
              </w:rPr>
              <w:t xml:space="preserve">Muito frequentes </w:t>
            </w:r>
          </w:p>
        </w:tc>
        <w:tc>
          <w:tcPr>
            <w:tcW w:w="4346" w:type="dxa"/>
            <w:tcBorders>
              <w:bottom w:val="nil"/>
            </w:tcBorders>
          </w:tcPr>
          <w:p w14:paraId="282C2F73" w14:textId="77777777" w:rsidR="004462A0" w:rsidRPr="00CC4B51" w:rsidRDefault="00615769" w:rsidP="00F675CF">
            <w:pPr>
              <w:widowControl w:val="0"/>
              <w:tabs>
                <w:tab w:val="left" w:pos="562"/>
              </w:tabs>
              <w:suppressAutoHyphens/>
              <w:rPr>
                <w:sz w:val="22"/>
                <w:szCs w:val="22"/>
              </w:rPr>
            </w:pPr>
            <w:r>
              <w:rPr>
                <w:sz w:val="22"/>
                <w:szCs w:val="22"/>
              </w:rPr>
              <w:t>E</w:t>
            </w:r>
            <w:r w:rsidRPr="00CC4B51">
              <w:rPr>
                <w:sz w:val="22"/>
                <w:szCs w:val="22"/>
              </w:rPr>
              <w:t>rupção cutânea (incluindo erupção esfoliativa)</w:t>
            </w:r>
          </w:p>
          <w:p w14:paraId="422504F3" w14:textId="77777777" w:rsidR="004462A0" w:rsidRPr="00CC4B51" w:rsidRDefault="004462A0" w:rsidP="00F675CF">
            <w:pPr>
              <w:widowControl w:val="0"/>
              <w:tabs>
                <w:tab w:val="left" w:pos="562"/>
              </w:tabs>
              <w:suppressAutoHyphens/>
              <w:rPr>
                <w:sz w:val="22"/>
                <w:szCs w:val="22"/>
              </w:rPr>
            </w:pPr>
          </w:p>
        </w:tc>
      </w:tr>
      <w:tr w:rsidR="00A7162A" w14:paraId="7E904FF0" w14:textId="77777777" w:rsidTr="00F675CF">
        <w:tc>
          <w:tcPr>
            <w:tcW w:w="2514" w:type="dxa"/>
            <w:vMerge/>
          </w:tcPr>
          <w:p w14:paraId="0CF332FA" w14:textId="77777777" w:rsidR="004462A0" w:rsidRPr="00CC4B51" w:rsidRDefault="004462A0" w:rsidP="00F675CF">
            <w:pPr>
              <w:widowControl w:val="0"/>
              <w:jc w:val="center"/>
              <w:rPr>
                <w:b/>
              </w:rPr>
            </w:pPr>
          </w:p>
        </w:tc>
        <w:tc>
          <w:tcPr>
            <w:tcW w:w="1996" w:type="dxa"/>
            <w:tcBorders>
              <w:top w:val="nil"/>
              <w:bottom w:val="nil"/>
            </w:tcBorders>
          </w:tcPr>
          <w:p w14:paraId="68F7562B" w14:textId="77777777" w:rsidR="004462A0" w:rsidRPr="00CC4B51" w:rsidRDefault="00615769" w:rsidP="00F675CF">
            <w:pPr>
              <w:widowControl w:val="0"/>
              <w:tabs>
                <w:tab w:val="left" w:pos="562"/>
              </w:tabs>
              <w:suppressAutoHyphens/>
              <w:rPr>
                <w:sz w:val="22"/>
                <w:szCs w:val="22"/>
              </w:rPr>
            </w:pPr>
            <w:r w:rsidRPr="00CC4B51">
              <w:rPr>
                <w:sz w:val="22"/>
                <w:szCs w:val="22"/>
              </w:rPr>
              <w:t>Frequentes</w:t>
            </w:r>
          </w:p>
          <w:p w14:paraId="73B1960C" w14:textId="77777777" w:rsidR="004462A0" w:rsidRPr="00CC4B51" w:rsidRDefault="004462A0" w:rsidP="00F675CF">
            <w:pPr>
              <w:widowControl w:val="0"/>
              <w:tabs>
                <w:tab w:val="left" w:pos="562"/>
              </w:tabs>
              <w:suppressAutoHyphens/>
              <w:rPr>
                <w:sz w:val="22"/>
                <w:szCs w:val="22"/>
              </w:rPr>
            </w:pPr>
          </w:p>
        </w:tc>
        <w:tc>
          <w:tcPr>
            <w:tcW w:w="4346" w:type="dxa"/>
            <w:tcBorders>
              <w:top w:val="nil"/>
              <w:bottom w:val="nil"/>
            </w:tcBorders>
          </w:tcPr>
          <w:p w14:paraId="7ED62FCF" w14:textId="77777777" w:rsidR="004462A0" w:rsidRPr="00CC4B51" w:rsidRDefault="00615769" w:rsidP="00F675CF">
            <w:pPr>
              <w:widowControl w:val="0"/>
              <w:tabs>
                <w:tab w:val="left" w:pos="562"/>
              </w:tabs>
              <w:suppressAutoHyphens/>
              <w:rPr>
                <w:sz w:val="22"/>
                <w:szCs w:val="22"/>
              </w:rPr>
            </w:pPr>
            <w:r>
              <w:rPr>
                <w:sz w:val="22"/>
                <w:szCs w:val="22"/>
              </w:rPr>
              <w:t>I</w:t>
            </w:r>
            <w:r w:rsidRPr="00CC4B51">
              <w:rPr>
                <w:sz w:val="22"/>
                <w:szCs w:val="22"/>
              </w:rPr>
              <w:t>nício</w:t>
            </w:r>
            <w:r w:rsidRPr="00CC4B51">
              <w:rPr>
                <w:sz w:val="22"/>
                <w:szCs w:val="20"/>
              </w:rPr>
              <w:t xml:space="preserve"> ou</w:t>
            </w:r>
            <w:r w:rsidRPr="00CC4B51">
              <w:rPr>
                <w:sz w:val="22"/>
                <w:szCs w:val="22"/>
              </w:rPr>
              <w:t xml:space="preserve"> agravamento da psoríase (incluindo psoríase pustular palmoplantar)</w:t>
            </w:r>
            <w:r w:rsidRPr="00CC4B51">
              <w:rPr>
                <w:sz w:val="22"/>
                <w:szCs w:val="22"/>
                <w:vertAlign w:val="superscript"/>
              </w:rPr>
              <w:t>1)</w:t>
            </w:r>
            <w:r w:rsidRPr="00CC4B51">
              <w:rPr>
                <w:sz w:val="22"/>
                <w:szCs w:val="22"/>
              </w:rPr>
              <w:t>,</w:t>
            </w:r>
          </w:p>
          <w:p w14:paraId="79F5164D" w14:textId="77777777" w:rsidR="004462A0" w:rsidRPr="00CC4B51" w:rsidRDefault="00615769" w:rsidP="00F675CF">
            <w:pPr>
              <w:widowControl w:val="0"/>
              <w:tabs>
                <w:tab w:val="left" w:pos="562"/>
              </w:tabs>
              <w:suppressAutoHyphens/>
              <w:rPr>
                <w:sz w:val="22"/>
                <w:szCs w:val="22"/>
              </w:rPr>
            </w:pPr>
            <w:r w:rsidRPr="00CC4B51">
              <w:rPr>
                <w:sz w:val="22"/>
                <w:szCs w:val="22"/>
              </w:rPr>
              <w:t>urticária,</w:t>
            </w:r>
          </w:p>
          <w:p w14:paraId="4A657CC9" w14:textId="77777777" w:rsidR="004462A0" w:rsidRPr="00CC4B51" w:rsidRDefault="00615769" w:rsidP="00F675CF">
            <w:pPr>
              <w:widowControl w:val="0"/>
              <w:tabs>
                <w:tab w:val="left" w:pos="562"/>
              </w:tabs>
              <w:suppressAutoHyphens/>
              <w:rPr>
                <w:sz w:val="22"/>
                <w:szCs w:val="22"/>
              </w:rPr>
            </w:pPr>
            <w:r w:rsidRPr="00CC4B51">
              <w:rPr>
                <w:sz w:val="22"/>
                <w:szCs w:val="22"/>
              </w:rPr>
              <w:t xml:space="preserve">equimoses (incluindo púrpura), </w:t>
            </w:r>
          </w:p>
          <w:p w14:paraId="32710BC1" w14:textId="77777777" w:rsidR="004462A0" w:rsidRPr="00CC4B51" w:rsidRDefault="00615769" w:rsidP="00F675CF">
            <w:pPr>
              <w:widowControl w:val="0"/>
              <w:tabs>
                <w:tab w:val="left" w:pos="562"/>
              </w:tabs>
              <w:suppressAutoHyphens/>
              <w:rPr>
                <w:sz w:val="22"/>
                <w:szCs w:val="22"/>
              </w:rPr>
            </w:pPr>
            <w:r w:rsidRPr="00CC4B51">
              <w:rPr>
                <w:sz w:val="22"/>
                <w:szCs w:val="22"/>
              </w:rPr>
              <w:t>dermatite (incluindo eczema),</w:t>
            </w:r>
          </w:p>
          <w:p w14:paraId="35DCB1B2" w14:textId="77777777" w:rsidR="004462A0" w:rsidRPr="00CC4B51" w:rsidRDefault="00615769" w:rsidP="00F675CF">
            <w:pPr>
              <w:widowControl w:val="0"/>
              <w:tabs>
                <w:tab w:val="left" w:pos="562"/>
              </w:tabs>
              <w:suppressAutoHyphens/>
              <w:rPr>
                <w:sz w:val="22"/>
                <w:szCs w:val="22"/>
              </w:rPr>
            </w:pPr>
            <w:r w:rsidRPr="00CC4B51">
              <w:rPr>
                <w:sz w:val="22"/>
                <w:szCs w:val="22"/>
              </w:rPr>
              <w:t xml:space="preserve">onicoclase, </w:t>
            </w:r>
          </w:p>
          <w:p w14:paraId="6E99D78C" w14:textId="77777777" w:rsidR="004462A0" w:rsidRPr="00CC4B51" w:rsidRDefault="00615769" w:rsidP="00F675CF">
            <w:pPr>
              <w:widowControl w:val="0"/>
              <w:tabs>
                <w:tab w:val="left" w:pos="562"/>
              </w:tabs>
              <w:suppressAutoHyphens/>
              <w:rPr>
                <w:sz w:val="22"/>
                <w:szCs w:val="22"/>
              </w:rPr>
            </w:pPr>
            <w:r w:rsidRPr="00CC4B51">
              <w:rPr>
                <w:sz w:val="22"/>
                <w:szCs w:val="22"/>
              </w:rPr>
              <w:t>hiperidrose,</w:t>
            </w:r>
          </w:p>
          <w:p w14:paraId="1EEF068E" w14:textId="77777777" w:rsidR="004462A0" w:rsidRPr="00CC4B51" w:rsidRDefault="00615769" w:rsidP="00F675CF">
            <w:pPr>
              <w:widowControl w:val="0"/>
              <w:tabs>
                <w:tab w:val="left" w:pos="562"/>
              </w:tabs>
              <w:suppressAutoHyphens/>
              <w:rPr>
                <w:sz w:val="22"/>
                <w:szCs w:val="22"/>
              </w:rPr>
            </w:pPr>
            <w:r w:rsidRPr="00CC4B51">
              <w:rPr>
                <w:sz w:val="22"/>
                <w:szCs w:val="22"/>
              </w:rPr>
              <w:t>alop</w:t>
            </w:r>
            <w:r w:rsidR="00D9472B">
              <w:rPr>
                <w:sz w:val="22"/>
                <w:szCs w:val="22"/>
              </w:rPr>
              <w:t>e</w:t>
            </w:r>
            <w:r w:rsidRPr="00CC4B51">
              <w:rPr>
                <w:sz w:val="22"/>
                <w:szCs w:val="22"/>
              </w:rPr>
              <w:t>cia</w:t>
            </w:r>
            <w:r w:rsidRPr="00CC4B51">
              <w:rPr>
                <w:sz w:val="22"/>
                <w:szCs w:val="22"/>
                <w:vertAlign w:val="superscript"/>
              </w:rPr>
              <w:t>1)</w:t>
            </w:r>
            <w:r w:rsidRPr="00CC4B51">
              <w:rPr>
                <w:sz w:val="22"/>
                <w:szCs w:val="22"/>
              </w:rPr>
              <w:t>,</w:t>
            </w:r>
          </w:p>
          <w:p w14:paraId="52DB3041" w14:textId="77777777" w:rsidR="004462A0" w:rsidRPr="00CC4B51" w:rsidRDefault="00615769" w:rsidP="00F675CF">
            <w:pPr>
              <w:widowControl w:val="0"/>
              <w:tabs>
                <w:tab w:val="left" w:pos="562"/>
              </w:tabs>
              <w:suppressAutoHyphens/>
              <w:rPr>
                <w:sz w:val="22"/>
                <w:szCs w:val="22"/>
              </w:rPr>
            </w:pPr>
            <w:r w:rsidRPr="00CC4B51">
              <w:rPr>
                <w:sz w:val="22"/>
                <w:szCs w:val="22"/>
              </w:rPr>
              <w:t>prurido</w:t>
            </w:r>
          </w:p>
          <w:p w14:paraId="3DD71012" w14:textId="77777777" w:rsidR="004462A0" w:rsidRPr="00CC4B51" w:rsidRDefault="004462A0" w:rsidP="00F675CF">
            <w:pPr>
              <w:widowControl w:val="0"/>
              <w:tabs>
                <w:tab w:val="left" w:pos="562"/>
              </w:tabs>
              <w:suppressAutoHyphens/>
              <w:rPr>
                <w:sz w:val="22"/>
                <w:szCs w:val="22"/>
              </w:rPr>
            </w:pPr>
          </w:p>
        </w:tc>
      </w:tr>
      <w:tr w:rsidR="00A7162A" w14:paraId="0FE1A641" w14:textId="77777777" w:rsidTr="00F675CF">
        <w:tc>
          <w:tcPr>
            <w:tcW w:w="2514" w:type="dxa"/>
            <w:vMerge/>
          </w:tcPr>
          <w:p w14:paraId="01579C62" w14:textId="77777777" w:rsidR="004462A0" w:rsidRPr="00CC4B51" w:rsidRDefault="004462A0" w:rsidP="00F675CF">
            <w:pPr>
              <w:widowControl w:val="0"/>
              <w:jc w:val="center"/>
              <w:rPr>
                <w:b/>
              </w:rPr>
            </w:pPr>
          </w:p>
        </w:tc>
        <w:tc>
          <w:tcPr>
            <w:tcW w:w="1996" w:type="dxa"/>
            <w:tcBorders>
              <w:top w:val="nil"/>
              <w:bottom w:val="nil"/>
            </w:tcBorders>
          </w:tcPr>
          <w:p w14:paraId="19170830" w14:textId="77777777" w:rsidR="004462A0" w:rsidRPr="00CC4B51" w:rsidRDefault="00615769" w:rsidP="00F675CF">
            <w:pPr>
              <w:widowControl w:val="0"/>
              <w:tabs>
                <w:tab w:val="left" w:pos="562"/>
              </w:tabs>
              <w:suppressAutoHyphens/>
              <w:rPr>
                <w:sz w:val="22"/>
                <w:szCs w:val="22"/>
              </w:rPr>
            </w:pPr>
            <w:r w:rsidRPr="00CC4B51">
              <w:rPr>
                <w:sz w:val="22"/>
                <w:szCs w:val="22"/>
              </w:rPr>
              <w:t>Pouco frequentes</w:t>
            </w:r>
          </w:p>
          <w:p w14:paraId="23A1CFD7" w14:textId="77777777" w:rsidR="004462A0" w:rsidRPr="00CC4B51" w:rsidRDefault="004462A0" w:rsidP="00F675CF">
            <w:pPr>
              <w:widowControl w:val="0"/>
              <w:tabs>
                <w:tab w:val="left" w:pos="562"/>
              </w:tabs>
              <w:suppressAutoHyphens/>
              <w:rPr>
                <w:sz w:val="22"/>
                <w:szCs w:val="22"/>
              </w:rPr>
            </w:pPr>
          </w:p>
        </w:tc>
        <w:tc>
          <w:tcPr>
            <w:tcW w:w="4346" w:type="dxa"/>
            <w:tcBorders>
              <w:top w:val="nil"/>
              <w:bottom w:val="nil"/>
            </w:tcBorders>
          </w:tcPr>
          <w:p w14:paraId="11AF2524" w14:textId="77777777" w:rsidR="004462A0" w:rsidRPr="00CC4B51" w:rsidRDefault="00615769" w:rsidP="00F675CF">
            <w:pPr>
              <w:widowControl w:val="0"/>
              <w:tabs>
                <w:tab w:val="left" w:pos="562"/>
              </w:tabs>
              <w:suppressAutoHyphens/>
              <w:rPr>
                <w:sz w:val="22"/>
                <w:szCs w:val="22"/>
              </w:rPr>
            </w:pPr>
            <w:r>
              <w:rPr>
                <w:sz w:val="22"/>
                <w:szCs w:val="22"/>
              </w:rPr>
              <w:t>S</w:t>
            </w:r>
            <w:r w:rsidRPr="00CC4B51">
              <w:rPr>
                <w:sz w:val="22"/>
                <w:szCs w:val="22"/>
              </w:rPr>
              <w:t>uores noturnos,</w:t>
            </w:r>
          </w:p>
          <w:p w14:paraId="0730907D" w14:textId="77777777" w:rsidR="004462A0" w:rsidRPr="00CC4B51" w:rsidRDefault="00615769" w:rsidP="00F675CF">
            <w:pPr>
              <w:widowControl w:val="0"/>
              <w:tabs>
                <w:tab w:val="left" w:pos="562"/>
              </w:tabs>
              <w:suppressAutoHyphens/>
              <w:rPr>
                <w:sz w:val="22"/>
                <w:szCs w:val="22"/>
              </w:rPr>
            </w:pPr>
            <w:r w:rsidRPr="00CC4B51">
              <w:rPr>
                <w:sz w:val="22"/>
                <w:szCs w:val="22"/>
              </w:rPr>
              <w:t>escara</w:t>
            </w:r>
          </w:p>
          <w:p w14:paraId="6D23C24B" w14:textId="77777777" w:rsidR="004462A0" w:rsidRPr="00CC4B51" w:rsidRDefault="004462A0" w:rsidP="00F675CF">
            <w:pPr>
              <w:widowControl w:val="0"/>
              <w:tabs>
                <w:tab w:val="left" w:pos="562"/>
              </w:tabs>
              <w:suppressAutoHyphens/>
              <w:rPr>
                <w:sz w:val="22"/>
                <w:szCs w:val="22"/>
              </w:rPr>
            </w:pPr>
          </w:p>
        </w:tc>
      </w:tr>
      <w:tr w:rsidR="00A7162A" w14:paraId="57741E0C" w14:textId="77777777" w:rsidTr="00F675CF">
        <w:trPr>
          <w:trHeight w:val="1212"/>
        </w:trPr>
        <w:tc>
          <w:tcPr>
            <w:tcW w:w="2514" w:type="dxa"/>
            <w:vMerge/>
          </w:tcPr>
          <w:p w14:paraId="5EB3D62A" w14:textId="77777777" w:rsidR="004462A0" w:rsidRPr="00CC4B51" w:rsidRDefault="004462A0" w:rsidP="00F675CF">
            <w:pPr>
              <w:widowControl w:val="0"/>
              <w:jc w:val="center"/>
              <w:rPr>
                <w:b/>
              </w:rPr>
            </w:pPr>
          </w:p>
        </w:tc>
        <w:tc>
          <w:tcPr>
            <w:tcW w:w="1996" w:type="dxa"/>
            <w:tcBorders>
              <w:top w:val="nil"/>
            </w:tcBorders>
          </w:tcPr>
          <w:p w14:paraId="342BFF32" w14:textId="77777777" w:rsidR="004462A0" w:rsidRPr="00CC4B51" w:rsidRDefault="00615769" w:rsidP="00F675CF">
            <w:pPr>
              <w:widowControl w:val="0"/>
              <w:tabs>
                <w:tab w:val="left" w:pos="562"/>
              </w:tabs>
              <w:suppressAutoHyphens/>
              <w:rPr>
                <w:sz w:val="22"/>
                <w:szCs w:val="22"/>
              </w:rPr>
            </w:pPr>
            <w:r w:rsidRPr="00CC4B51">
              <w:rPr>
                <w:sz w:val="22"/>
                <w:szCs w:val="22"/>
              </w:rPr>
              <w:t>Raros</w:t>
            </w:r>
          </w:p>
          <w:p w14:paraId="16E9F742" w14:textId="77777777" w:rsidR="004462A0" w:rsidRPr="00CC4B51" w:rsidRDefault="004462A0" w:rsidP="00F675CF">
            <w:pPr>
              <w:widowControl w:val="0"/>
              <w:tabs>
                <w:tab w:val="left" w:pos="562"/>
              </w:tabs>
              <w:suppressAutoHyphens/>
              <w:rPr>
                <w:sz w:val="22"/>
                <w:szCs w:val="22"/>
              </w:rPr>
            </w:pPr>
          </w:p>
          <w:p w14:paraId="28BF6D81" w14:textId="77777777" w:rsidR="004462A0" w:rsidRPr="00CC4B51" w:rsidRDefault="004462A0" w:rsidP="00F675CF">
            <w:pPr>
              <w:widowControl w:val="0"/>
              <w:tabs>
                <w:tab w:val="left" w:pos="562"/>
              </w:tabs>
              <w:suppressAutoHyphens/>
              <w:rPr>
                <w:sz w:val="22"/>
                <w:szCs w:val="22"/>
              </w:rPr>
            </w:pPr>
          </w:p>
          <w:p w14:paraId="52D8AF20" w14:textId="77777777" w:rsidR="004462A0" w:rsidRPr="00CC4B51" w:rsidRDefault="004462A0" w:rsidP="00F675CF">
            <w:pPr>
              <w:widowControl w:val="0"/>
              <w:tabs>
                <w:tab w:val="left" w:pos="562"/>
              </w:tabs>
              <w:suppressAutoHyphens/>
              <w:rPr>
                <w:sz w:val="22"/>
                <w:szCs w:val="22"/>
              </w:rPr>
            </w:pPr>
          </w:p>
          <w:p w14:paraId="5DC3407B" w14:textId="77777777" w:rsidR="004462A0" w:rsidRPr="00CC4B51" w:rsidRDefault="004462A0" w:rsidP="00F675CF">
            <w:pPr>
              <w:widowControl w:val="0"/>
              <w:tabs>
                <w:tab w:val="left" w:pos="562"/>
              </w:tabs>
              <w:suppressAutoHyphens/>
              <w:rPr>
                <w:sz w:val="22"/>
                <w:szCs w:val="22"/>
              </w:rPr>
            </w:pPr>
          </w:p>
          <w:p w14:paraId="268D9111" w14:textId="77777777" w:rsidR="003628CF" w:rsidRDefault="003628CF" w:rsidP="00F675CF">
            <w:pPr>
              <w:widowControl w:val="0"/>
              <w:tabs>
                <w:tab w:val="left" w:pos="562"/>
              </w:tabs>
              <w:suppressAutoHyphens/>
              <w:rPr>
                <w:sz w:val="22"/>
                <w:szCs w:val="22"/>
              </w:rPr>
            </w:pPr>
          </w:p>
          <w:p w14:paraId="2002FF9C" w14:textId="77777777" w:rsidR="004462A0" w:rsidRDefault="00615769" w:rsidP="00F675CF">
            <w:pPr>
              <w:widowControl w:val="0"/>
              <w:tabs>
                <w:tab w:val="left" w:pos="562"/>
              </w:tabs>
              <w:suppressAutoHyphens/>
              <w:rPr>
                <w:sz w:val="22"/>
                <w:szCs w:val="22"/>
              </w:rPr>
            </w:pPr>
            <w:r w:rsidRPr="00CC4B51">
              <w:rPr>
                <w:sz w:val="22"/>
                <w:szCs w:val="22"/>
              </w:rPr>
              <w:t>Desconhecido</w:t>
            </w:r>
          </w:p>
          <w:p w14:paraId="2E14D39F" w14:textId="77777777" w:rsidR="003628CF" w:rsidRPr="00CC4B51" w:rsidRDefault="003628CF" w:rsidP="00F675CF">
            <w:pPr>
              <w:widowControl w:val="0"/>
              <w:tabs>
                <w:tab w:val="left" w:pos="562"/>
              </w:tabs>
              <w:suppressAutoHyphens/>
              <w:rPr>
                <w:sz w:val="22"/>
                <w:szCs w:val="22"/>
              </w:rPr>
            </w:pPr>
          </w:p>
          <w:p w14:paraId="70074D55" w14:textId="77777777" w:rsidR="004462A0" w:rsidRPr="00CC4B51" w:rsidRDefault="004462A0" w:rsidP="00F675CF">
            <w:pPr>
              <w:widowControl w:val="0"/>
              <w:tabs>
                <w:tab w:val="left" w:pos="562"/>
              </w:tabs>
              <w:suppressAutoHyphens/>
              <w:rPr>
                <w:sz w:val="22"/>
                <w:szCs w:val="22"/>
              </w:rPr>
            </w:pPr>
          </w:p>
        </w:tc>
        <w:tc>
          <w:tcPr>
            <w:tcW w:w="4346" w:type="dxa"/>
            <w:tcBorders>
              <w:top w:val="nil"/>
            </w:tcBorders>
          </w:tcPr>
          <w:p w14:paraId="632E9629" w14:textId="77777777" w:rsidR="004462A0" w:rsidRPr="00CC4B51" w:rsidRDefault="00615769" w:rsidP="00F675CF">
            <w:pPr>
              <w:widowControl w:val="0"/>
              <w:tabs>
                <w:tab w:val="left" w:pos="562"/>
              </w:tabs>
              <w:suppressAutoHyphens/>
              <w:rPr>
                <w:sz w:val="22"/>
                <w:szCs w:val="22"/>
              </w:rPr>
            </w:pPr>
            <w:r>
              <w:rPr>
                <w:sz w:val="22"/>
                <w:szCs w:val="22"/>
              </w:rPr>
              <w:t>E</w:t>
            </w:r>
            <w:r w:rsidRPr="00CC4B51">
              <w:rPr>
                <w:sz w:val="22"/>
                <w:szCs w:val="22"/>
              </w:rPr>
              <w:t>ritema multiforme</w:t>
            </w:r>
            <w:r w:rsidRPr="00CC4B51">
              <w:rPr>
                <w:sz w:val="22"/>
                <w:szCs w:val="22"/>
                <w:vertAlign w:val="superscript"/>
              </w:rPr>
              <w:t>1)</w:t>
            </w:r>
            <w:r w:rsidRPr="00CC4B51">
              <w:rPr>
                <w:sz w:val="22"/>
                <w:szCs w:val="22"/>
              </w:rPr>
              <w:t>,</w:t>
            </w:r>
          </w:p>
          <w:p w14:paraId="0D438C79" w14:textId="77777777" w:rsidR="004462A0" w:rsidRPr="00CC4B51" w:rsidRDefault="00615769" w:rsidP="00F675CF">
            <w:pPr>
              <w:widowControl w:val="0"/>
              <w:tabs>
                <w:tab w:val="left" w:pos="562"/>
              </w:tabs>
              <w:suppressAutoHyphens/>
              <w:rPr>
                <w:sz w:val="22"/>
                <w:szCs w:val="22"/>
              </w:rPr>
            </w:pPr>
            <w:r w:rsidRPr="00CC4B51">
              <w:rPr>
                <w:sz w:val="22"/>
                <w:szCs w:val="22"/>
              </w:rPr>
              <w:t>síndrome de Stevens-Johnson</w:t>
            </w:r>
            <w:r w:rsidRPr="00CC4B51">
              <w:rPr>
                <w:sz w:val="22"/>
                <w:szCs w:val="22"/>
                <w:vertAlign w:val="superscript"/>
              </w:rPr>
              <w:t>1)</w:t>
            </w:r>
            <w:r w:rsidRPr="00CC4B51">
              <w:rPr>
                <w:sz w:val="22"/>
                <w:szCs w:val="22"/>
              </w:rPr>
              <w:t>,</w:t>
            </w:r>
          </w:p>
          <w:p w14:paraId="7370AECF" w14:textId="77777777" w:rsidR="004462A0" w:rsidRPr="00CC4B51" w:rsidRDefault="00615769" w:rsidP="00F675CF">
            <w:pPr>
              <w:widowControl w:val="0"/>
              <w:tabs>
                <w:tab w:val="left" w:pos="562"/>
              </w:tabs>
              <w:suppressAutoHyphens/>
              <w:rPr>
                <w:sz w:val="22"/>
                <w:szCs w:val="22"/>
              </w:rPr>
            </w:pPr>
            <w:r w:rsidRPr="00CC4B51">
              <w:rPr>
                <w:sz w:val="22"/>
                <w:szCs w:val="22"/>
              </w:rPr>
              <w:t>angioedema</w:t>
            </w:r>
            <w:r w:rsidRPr="00CC4B51">
              <w:rPr>
                <w:sz w:val="22"/>
                <w:szCs w:val="22"/>
                <w:vertAlign w:val="superscript"/>
              </w:rPr>
              <w:t>1)</w:t>
            </w:r>
            <w:r w:rsidRPr="00CC4B51">
              <w:rPr>
                <w:sz w:val="22"/>
                <w:szCs w:val="22"/>
              </w:rPr>
              <w:t>,</w:t>
            </w:r>
          </w:p>
          <w:p w14:paraId="44EF2586" w14:textId="77777777" w:rsidR="004462A0" w:rsidRPr="00DF5632" w:rsidRDefault="00615769" w:rsidP="00F675CF">
            <w:pPr>
              <w:widowControl w:val="0"/>
              <w:tabs>
                <w:tab w:val="left" w:pos="562"/>
              </w:tabs>
              <w:suppressAutoHyphens/>
              <w:rPr>
                <w:sz w:val="22"/>
                <w:szCs w:val="22"/>
              </w:rPr>
            </w:pPr>
            <w:r w:rsidRPr="00CC4B51">
              <w:rPr>
                <w:sz w:val="22"/>
                <w:szCs w:val="22"/>
              </w:rPr>
              <w:t>vasculite cutânea</w:t>
            </w:r>
            <w:r w:rsidRPr="00CC4B51">
              <w:rPr>
                <w:sz w:val="22"/>
                <w:szCs w:val="22"/>
                <w:vertAlign w:val="superscript"/>
              </w:rPr>
              <w:t>1)</w:t>
            </w:r>
            <w:r w:rsidR="00FD51F4">
              <w:rPr>
                <w:sz w:val="22"/>
                <w:szCs w:val="22"/>
              </w:rPr>
              <w:t>,</w:t>
            </w:r>
          </w:p>
          <w:p w14:paraId="257F55EE" w14:textId="77777777" w:rsidR="004462A0" w:rsidRDefault="00615769" w:rsidP="00F675CF">
            <w:pPr>
              <w:widowControl w:val="0"/>
              <w:tabs>
                <w:tab w:val="left" w:pos="562"/>
              </w:tabs>
              <w:suppressAutoHyphens/>
              <w:rPr>
                <w:sz w:val="22"/>
                <w:szCs w:val="22"/>
              </w:rPr>
            </w:pPr>
            <w:r>
              <w:rPr>
                <w:sz w:val="22"/>
                <w:szCs w:val="22"/>
              </w:rPr>
              <w:t>reação cutânea liquen</w:t>
            </w:r>
            <w:r w:rsidR="00E9064D">
              <w:rPr>
                <w:sz w:val="22"/>
                <w:szCs w:val="22"/>
              </w:rPr>
              <w:t>o</w:t>
            </w:r>
            <w:r>
              <w:rPr>
                <w:sz w:val="22"/>
                <w:szCs w:val="22"/>
              </w:rPr>
              <w:t>ide</w:t>
            </w:r>
            <w:r w:rsidRPr="00CC4B51">
              <w:rPr>
                <w:sz w:val="22"/>
                <w:szCs w:val="22"/>
                <w:vertAlign w:val="superscript"/>
              </w:rPr>
              <w:t>1)</w:t>
            </w:r>
          </w:p>
          <w:p w14:paraId="2110538B" w14:textId="77777777" w:rsidR="003628CF" w:rsidRPr="00CC4B51" w:rsidRDefault="003628CF" w:rsidP="00F675CF">
            <w:pPr>
              <w:widowControl w:val="0"/>
              <w:tabs>
                <w:tab w:val="left" w:pos="562"/>
              </w:tabs>
              <w:suppressAutoHyphens/>
              <w:rPr>
                <w:sz w:val="22"/>
                <w:szCs w:val="22"/>
              </w:rPr>
            </w:pPr>
          </w:p>
          <w:p w14:paraId="0A61CB4C" w14:textId="77777777" w:rsidR="004462A0" w:rsidRPr="00CC4B51" w:rsidRDefault="00615769" w:rsidP="00F675CF">
            <w:pPr>
              <w:widowControl w:val="0"/>
              <w:tabs>
                <w:tab w:val="left" w:pos="562"/>
              </w:tabs>
              <w:suppressAutoHyphens/>
              <w:rPr>
                <w:sz w:val="22"/>
                <w:szCs w:val="22"/>
                <w:vertAlign w:val="superscript"/>
              </w:rPr>
            </w:pPr>
            <w:r>
              <w:rPr>
                <w:sz w:val="22"/>
                <w:szCs w:val="22"/>
              </w:rPr>
              <w:t>A</w:t>
            </w:r>
            <w:r w:rsidRPr="00CC4B51">
              <w:rPr>
                <w:sz w:val="22"/>
                <w:szCs w:val="22"/>
              </w:rPr>
              <w:t>gravamento dos sintomas de dermatomiosite</w:t>
            </w:r>
            <w:r w:rsidRPr="00CC4B51">
              <w:rPr>
                <w:sz w:val="22"/>
                <w:szCs w:val="22"/>
                <w:vertAlign w:val="superscript"/>
              </w:rPr>
              <w:t>1)</w:t>
            </w:r>
          </w:p>
          <w:p w14:paraId="64C0E73E" w14:textId="77777777" w:rsidR="004462A0" w:rsidRPr="00CC4B51" w:rsidRDefault="004462A0" w:rsidP="00F675CF">
            <w:pPr>
              <w:widowControl w:val="0"/>
              <w:tabs>
                <w:tab w:val="left" w:pos="562"/>
              </w:tabs>
              <w:suppressAutoHyphens/>
              <w:rPr>
                <w:sz w:val="22"/>
                <w:szCs w:val="22"/>
              </w:rPr>
            </w:pPr>
          </w:p>
        </w:tc>
      </w:tr>
      <w:tr w:rsidR="00A7162A" w14:paraId="0B97B3C5" w14:textId="77777777" w:rsidTr="00F675CF">
        <w:tc>
          <w:tcPr>
            <w:tcW w:w="2514" w:type="dxa"/>
            <w:vMerge w:val="restart"/>
          </w:tcPr>
          <w:p w14:paraId="1CB19B1D" w14:textId="77777777" w:rsidR="004462A0" w:rsidRPr="00CC4B51" w:rsidRDefault="00615769" w:rsidP="00F675CF">
            <w:pPr>
              <w:keepNext/>
              <w:widowControl w:val="0"/>
              <w:tabs>
                <w:tab w:val="left" w:pos="562"/>
              </w:tabs>
              <w:suppressAutoHyphens/>
              <w:rPr>
                <w:sz w:val="22"/>
                <w:szCs w:val="22"/>
              </w:rPr>
            </w:pPr>
            <w:r w:rsidRPr="00CC4B51">
              <w:rPr>
                <w:sz w:val="22"/>
                <w:szCs w:val="22"/>
              </w:rPr>
              <w:t>Afeções musculoesqueléticas e dos tecidos conjuntivos</w:t>
            </w:r>
          </w:p>
        </w:tc>
        <w:tc>
          <w:tcPr>
            <w:tcW w:w="1996" w:type="dxa"/>
            <w:tcBorders>
              <w:bottom w:val="nil"/>
            </w:tcBorders>
          </w:tcPr>
          <w:p w14:paraId="64985876" w14:textId="77777777" w:rsidR="004462A0" w:rsidRPr="00CC4B51" w:rsidRDefault="00615769" w:rsidP="00F675CF">
            <w:pPr>
              <w:keepNext/>
              <w:widowControl w:val="0"/>
              <w:tabs>
                <w:tab w:val="left" w:pos="562"/>
              </w:tabs>
              <w:suppressAutoHyphens/>
              <w:rPr>
                <w:sz w:val="22"/>
                <w:szCs w:val="22"/>
              </w:rPr>
            </w:pPr>
            <w:r w:rsidRPr="00CC4B51">
              <w:rPr>
                <w:sz w:val="22"/>
                <w:szCs w:val="22"/>
              </w:rPr>
              <w:t xml:space="preserve">Muito frequentes </w:t>
            </w:r>
          </w:p>
        </w:tc>
        <w:tc>
          <w:tcPr>
            <w:tcW w:w="4346" w:type="dxa"/>
            <w:tcBorders>
              <w:bottom w:val="nil"/>
            </w:tcBorders>
          </w:tcPr>
          <w:p w14:paraId="43869829" w14:textId="77777777" w:rsidR="004462A0" w:rsidRPr="00CC4B51" w:rsidRDefault="00615769" w:rsidP="00F675CF">
            <w:pPr>
              <w:keepNext/>
              <w:widowControl w:val="0"/>
              <w:tabs>
                <w:tab w:val="left" w:pos="562"/>
              </w:tabs>
              <w:suppressAutoHyphens/>
              <w:rPr>
                <w:sz w:val="22"/>
                <w:szCs w:val="22"/>
              </w:rPr>
            </w:pPr>
            <w:r>
              <w:rPr>
                <w:sz w:val="22"/>
                <w:szCs w:val="22"/>
              </w:rPr>
              <w:t>D</w:t>
            </w:r>
            <w:r w:rsidRPr="00CC4B51">
              <w:rPr>
                <w:sz w:val="22"/>
                <w:szCs w:val="22"/>
              </w:rPr>
              <w:t>or musculoesquelética</w:t>
            </w:r>
          </w:p>
          <w:p w14:paraId="1D8828F3" w14:textId="77777777" w:rsidR="004462A0" w:rsidRPr="00CC4B51" w:rsidRDefault="004462A0" w:rsidP="00F675CF">
            <w:pPr>
              <w:keepNext/>
              <w:widowControl w:val="0"/>
              <w:tabs>
                <w:tab w:val="left" w:pos="562"/>
              </w:tabs>
              <w:suppressAutoHyphens/>
              <w:rPr>
                <w:sz w:val="22"/>
                <w:szCs w:val="22"/>
              </w:rPr>
            </w:pPr>
          </w:p>
        </w:tc>
      </w:tr>
      <w:tr w:rsidR="00A7162A" w14:paraId="035B0430" w14:textId="77777777" w:rsidTr="00F675CF">
        <w:tc>
          <w:tcPr>
            <w:tcW w:w="2514" w:type="dxa"/>
            <w:vMerge/>
          </w:tcPr>
          <w:p w14:paraId="55D8369A" w14:textId="77777777" w:rsidR="004462A0" w:rsidRPr="00CC4B51" w:rsidRDefault="004462A0" w:rsidP="00F675CF">
            <w:pPr>
              <w:keepNext/>
              <w:widowControl w:val="0"/>
              <w:tabs>
                <w:tab w:val="left" w:pos="562"/>
              </w:tabs>
              <w:suppressAutoHyphens/>
              <w:rPr>
                <w:sz w:val="22"/>
                <w:szCs w:val="22"/>
              </w:rPr>
            </w:pPr>
          </w:p>
        </w:tc>
        <w:tc>
          <w:tcPr>
            <w:tcW w:w="1996" w:type="dxa"/>
            <w:tcBorders>
              <w:top w:val="nil"/>
              <w:bottom w:val="nil"/>
            </w:tcBorders>
          </w:tcPr>
          <w:p w14:paraId="62B387F6" w14:textId="77777777" w:rsidR="004462A0" w:rsidRPr="00CC4B51" w:rsidRDefault="00615769" w:rsidP="00F675CF">
            <w:pPr>
              <w:keepNext/>
              <w:widowControl w:val="0"/>
              <w:tabs>
                <w:tab w:val="left" w:pos="562"/>
              </w:tabs>
              <w:suppressAutoHyphens/>
              <w:rPr>
                <w:sz w:val="22"/>
                <w:szCs w:val="22"/>
              </w:rPr>
            </w:pPr>
            <w:r w:rsidRPr="00CC4B51">
              <w:rPr>
                <w:sz w:val="22"/>
                <w:szCs w:val="22"/>
              </w:rPr>
              <w:t>Frequentes</w:t>
            </w:r>
          </w:p>
        </w:tc>
        <w:tc>
          <w:tcPr>
            <w:tcW w:w="4346" w:type="dxa"/>
            <w:tcBorders>
              <w:top w:val="nil"/>
              <w:bottom w:val="nil"/>
            </w:tcBorders>
          </w:tcPr>
          <w:p w14:paraId="1C73D64A" w14:textId="77777777" w:rsidR="004462A0" w:rsidRPr="00CC4B51" w:rsidRDefault="00615769" w:rsidP="00F675CF">
            <w:pPr>
              <w:keepNext/>
              <w:widowControl w:val="0"/>
              <w:tabs>
                <w:tab w:val="left" w:pos="562"/>
              </w:tabs>
              <w:suppressAutoHyphens/>
              <w:rPr>
                <w:sz w:val="22"/>
                <w:szCs w:val="22"/>
              </w:rPr>
            </w:pPr>
            <w:r>
              <w:rPr>
                <w:sz w:val="22"/>
                <w:szCs w:val="22"/>
              </w:rPr>
              <w:t>E</w:t>
            </w:r>
            <w:r w:rsidRPr="00CC4B51">
              <w:rPr>
                <w:sz w:val="22"/>
                <w:szCs w:val="22"/>
              </w:rPr>
              <w:t>spasmo muscular (incluindo nível sérico de creatinafosfoquinase aumentado)</w:t>
            </w:r>
          </w:p>
          <w:p w14:paraId="22F09A45" w14:textId="77777777" w:rsidR="004462A0" w:rsidRPr="00CC4B51" w:rsidRDefault="004462A0" w:rsidP="00F675CF">
            <w:pPr>
              <w:keepNext/>
              <w:widowControl w:val="0"/>
              <w:tabs>
                <w:tab w:val="left" w:pos="562"/>
              </w:tabs>
              <w:suppressAutoHyphens/>
              <w:rPr>
                <w:sz w:val="22"/>
                <w:szCs w:val="22"/>
              </w:rPr>
            </w:pPr>
          </w:p>
        </w:tc>
      </w:tr>
      <w:tr w:rsidR="00A7162A" w14:paraId="17422951" w14:textId="77777777" w:rsidTr="00F675CF">
        <w:tc>
          <w:tcPr>
            <w:tcW w:w="2514" w:type="dxa"/>
            <w:vMerge/>
            <w:tcBorders>
              <w:bottom w:val="nil"/>
            </w:tcBorders>
          </w:tcPr>
          <w:p w14:paraId="55BC64FA" w14:textId="77777777" w:rsidR="004462A0" w:rsidRPr="00CC4B51" w:rsidRDefault="004462A0" w:rsidP="00F675CF">
            <w:pPr>
              <w:keepNext/>
              <w:widowControl w:val="0"/>
              <w:jc w:val="center"/>
              <w:rPr>
                <w:b/>
              </w:rPr>
            </w:pPr>
          </w:p>
        </w:tc>
        <w:tc>
          <w:tcPr>
            <w:tcW w:w="1996" w:type="dxa"/>
            <w:tcBorders>
              <w:top w:val="nil"/>
              <w:bottom w:val="nil"/>
            </w:tcBorders>
          </w:tcPr>
          <w:p w14:paraId="377AA5DC" w14:textId="77777777" w:rsidR="004462A0" w:rsidRPr="00CC4B51" w:rsidRDefault="00615769" w:rsidP="00F675CF">
            <w:pPr>
              <w:keepNext/>
              <w:widowControl w:val="0"/>
              <w:tabs>
                <w:tab w:val="left" w:pos="562"/>
              </w:tabs>
              <w:suppressAutoHyphens/>
              <w:rPr>
                <w:sz w:val="22"/>
                <w:szCs w:val="22"/>
              </w:rPr>
            </w:pPr>
            <w:r w:rsidRPr="00CC4B51">
              <w:rPr>
                <w:sz w:val="22"/>
                <w:szCs w:val="22"/>
              </w:rPr>
              <w:t>Pouco frequentes</w:t>
            </w:r>
          </w:p>
          <w:p w14:paraId="7739B6FE" w14:textId="77777777" w:rsidR="004462A0" w:rsidRPr="00CC4B51" w:rsidRDefault="004462A0" w:rsidP="00F675CF">
            <w:pPr>
              <w:keepNext/>
              <w:widowControl w:val="0"/>
              <w:tabs>
                <w:tab w:val="left" w:pos="562"/>
              </w:tabs>
              <w:suppressAutoHyphens/>
              <w:rPr>
                <w:sz w:val="22"/>
                <w:szCs w:val="22"/>
              </w:rPr>
            </w:pPr>
          </w:p>
          <w:p w14:paraId="7C2E38D0" w14:textId="77777777" w:rsidR="004462A0" w:rsidRPr="00CC4B51" w:rsidRDefault="004462A0" w:rsidP="00F675CF">
            <w:pPr>
              <w:keepNext/>
              <w:widowControl w:val="0"/>
              <w:tabs>
                <w:tab w:val="left" w:pos="562"/>
              </w:tabs>
              <w:suppressAutoHyphens/>
              <w:rPr>
                <w:sz w:val="22"/>
                <w:szCs w:val="22"/>
              </w:rPr>
            </w:pPr>
          </w:p>
        </w:tc>
        <w:tc>
          <w:tcPr>
            <w:tcW w:w="4346" w:type="dxa"/>
            <w:tcBorders>
              <w:top w:val="nil"/>
              <w:bottom w:val="nil"/>
            </w:tcBorders>
          </w:tcPr>
          <w:p w14:paraId="14467E39" w14:textId="77777777" w:rsidR="004462A0" w:rsidRPr="00CC4B51" w:rsidRDefault="00615769" w:rsidP="00F675CF">
            <w:pPr>
              <w:keepNext/>
              <w:tabs>
                <w:tab w:val="left" w:pos="562"/>
              </w:tabs>
              <w:suppressAutoHyphens/>
              <w:rPr>
                <w:sz w:val="22"/>
                <w:szCs w:val="22"/>
              </w:rPr>
            </w:pPr>
            <w:r>
              <w:rPr>
                <w:sz w:val="22"/>
                <w:szCs w:val="22"/>
              </w:rPr>
              <w:t>R</w:t>
            </w:r>
            <w:r w:rsidRPr="00CC4B51">
              <w:rPr>
                <w:sz w:val="22"/>
                <w:szCs w:val="22"/>
              </w:rPr>
              <w:t>abdomiólise,</w:t>
            </w:r>
          </w:p>
          <w:p w14:paraId="6F651184" w14:textId="77777777" w:rsidR="004462A0" w:rsidRPr="00CC4B51" w:rsidRDefault="00615769" w:rsidP="00F675CF">
            <w:pPr>
              <w:keepNext/>
              <w:widowControl w:val="0"/>
              <w:tabs>
                <w:tab w:val="left" w:pos="562"/>
              </w:tabs>
              <w:suppressAutoHyphens/>
              <w:rPr>
                <w:sz w:val="22"/>
                <w:szCs w:val="22"/>
              </w:rPr>
            </w:pPr>
            <w:r w:rsidRPr="00CC4B51">
              <w:rPr>
                <w:sz w:val="22"/>
                <w:szCs w:val="22"/>
              </w:rPr>
              <w:t>lúpus eritematoso sistémico</w:t>
            </w:r>
          </w:p>
          <w:p w14:paraId="135DF9BB" w14:textId="77777777" w:rsidR="004462A0" w:rsidRPr="00CC4B51" w:rsidRDefault="004462A0" w:rsidP="00F675CF">
            <w:pPr>
              <w:keepNext/>
              <w:widowControl w:val="0"/>
              <w:tabs>
                <w:tab w:val="left" w:pos="562"/>
              </w:tabs>
              <w:suppressAutoHyphens/>
              <w:rPr>
                <w:sz w:val="22"/>
                <w:szCs w:val="22"/>
              </w:rPr>
            </w:pPr>
          </w:p>
        </w:tc>
      </w:tr>
      <w:tr w:rsidR="00A7162A" w14:paraId="4E08D5FF" w14:textId="77777777" w:rsidTr="00F675CF">
        <w:tc>
          <w:tcPr>
            <w:tcW w:w="2514" w:type="dxa"/>
            <w:tcBorders>
              <w:top w:val="nil"/>
            </w:tcBorders>
          </w:tcPr>
          <w:p w14:paraId="6037CC9C" w14:textId="77777777" w:rsidR="004462A0" w:rsidRPr="00CC4B51" w:rsidRDefault="004462A0" w:rsidP="00F675CF">
            <w:pPr>
              <w:keepNext/>
              <w:widowControl w:val="0"/>
              <w:jc w:val="center"/>
              <w:rPr>
                <w:b/>
              </w:rPr>
            </w:pPr>
          </w:p>
        </w:tc>
        <w:tc>
          <w:tcPr>
            <w:tcW w:w="1996" w:type="dxa"/>
            <w:tcBorders>
              <w:top w:val="nil"/>
            </w:tcBorders>
          </w:tcPr>
          <w:p w14:paraId="57B161C0" w14:textId="77777777" w:rsidR="004462A0" w:rsidRPr="00CC4B51" w:rsidRDefault="00615769" w:rsidP="00F675CF">
            <w:pPr>
              <w:keepNext/>
              <w:widowControl w:val="0"/>
              <w:tabs>
                <w:tab w:val="left" w:pos="562"/>
              </w:tabs>
              <w:suppressAutoHyphens/>
              <w:rPr>
                <w:sz w:val="22"/>
                <w:szCs w:val="22"/>
              </w:rPr>
            </w:pPr>
            <w:r w:rsidRPr="00CC4B51">
              <w:rPr>
                <w:sz w:val="22"/>
                <w:szCs w:val="22"/>
              </w:rPr>
              <w:t>Raros</w:t>
            </w:r>
          </w:p>
          <w:p w14:paraId="4AFFDDDD" w14:textId="77777777" w:rsidR="004462A0" w:rsidRPr="00CC4B51" w:rsidRDefault="004462A0" w:rsidP="00F675CF">
            <w:pPr>
              <w:keepNext/>
              <w:widowControl w:val="0"/>
              <w:tabs>
                <w:tab w:val="left" w:pos="562"/>
              </w:tabs>
              <w:suppressAutoHyphens/>
              <w:rPr>
                <w:sz w:val="22"/>
                <w:szCs w:val="22"/>
              </w:rPr>
            </w:pPr>
          </w:p>
        </w:tc>
        <w:tc>
          <w:tcPr>
            <w:tcW w:w="4346" w:type="dxa"/>
            <w:tcBorders>
              <w:top w:val="nil"/>
            </w:tcBorders>
          </w:tcPr>
          <w:p w14:paraId="54EF3C54" w14:textId="77777777" w:rsidR="004462A0" w:rsidRPr="00CC4B51" w:rsidRDefault="00615769" w:rsidP="00F675CF">
            <w:pPr>
              <w:keepNext/>
              <w:widowControl w:val="0"/>
              <w:tabs>
                <w:tab w:val="left" w:pos="562"/>
              </w:tabs>
              <w:suppressAutoHyphens/>
              <w:rPr>
                <w:sz w:val="22"/>
                <w:szCs w:val="22"/>
                <w:vertAlign w:val="superscript"/>
              </w:rPr>
            </w:pPr>
            <w:r>
              <w:rPr>
                <w:sz w:val="22"/>
                <w:szCs w:val="22"/>
              </w:rPr>
              <w:t>S</w:t>
            </w:r>
            <w:r w:rsidRPr="00CC4B51">
              <w:rPr>
                <w:sz w:val="22"/>
                <w:szCs w:val="22"/>
              </w:rPr>
              <w:t>índrome tipo lúpus</w:t>
            </w:r>
            <w:r w:rsidRPr="00CC4B51">
              <w:rPr>
                <w:sz w:val="22"/>
                <w:szCs w:val="22"/>
                <w:vertAlign w:val="superscript"/>
              </w:rPr>
              <w:t>1)</w:t>
            </w:r>
          </w:p>
          <w:p w14:paraId="78EA4292" w14:textId="77777777" w:rsidR="004462A0" w:rsidRPr="00CC4B51" w:rsidRDefault="004462A0" w:rsidP="00F675CF">
            <w:pPr>
              <w:keepNext/>
              <w:tabs>
                <w:tab w:val="left" w:pos="562"/>
              </w:tabs>
              <w:suppressAutoHyphens/>
              <w:rPr>
                <w:sz w:val="22"/>
                <w:szCs w:val="22"/>
              </w:rPr>
            </w:pPr>
          </w:p>
        </w:tc>
      </w:tr>
      <w:tr w:rsidR="00A7162A" w14:paraId="5AAD76AE" w14:textId="77777777" w:rsidTr="00F675CF">
        <w:tc>
          <w:tcPr>
            <w:tcW w:w="2514" w:type="dxa"/>
            <w:vMerge w:val="restart"/>
          </w:tcPr>
          <w:p w14:paraId="44067453" w14:textId="77777777" w:rsidR="004462A0" w:rsidRPr="00CC4B51" w:rsidRDefault="00615769" w:rsidP="00F675CF">
            <w:pPr>
              <w:widowControl w:val="0"/>
              <w:tabs>
                <w:tab w:val="left" w:pos="562"/>
              </w:tabs>
              <w:suppressAutoHyphens/>
              <w:rPr>
                <w:sz w:val="22"/>
                <w:szCs w:val="22"/>
              </w:rPr>
            </w:pPr>
            <w:r w:rsidRPr="00CC4B51">
              <w:rPr>
                <w:sz w:val="22"/>
                <w:szCs w:val="22"/>
              </w:rPr>
              <w:t>Doenças renais e urinárias</w:t>
            </w:r>
          </w:p>
        </w:tc>
        <w:tc>
          <w:tcPr>
            <w:tcW w:w="1996" w:type="dxa"/>
            <w:tcBorders>
              <w:bottom w:val="nil"/>
            </w:tcBorders>
          </w:tcPr>
          <w:p w14:paraId="46A96214" w14:textId="77777777" w:rsidR="004462A0" w:rsidRPr="00CC4B51" w:rsidRDefault="00615769" w:rsidP="00F675CF">
            <w:pPr>
              <w:widowControl w:val="0"/>
              <w:tabs>
                <w:tab w:val="left" w:pos="562"/>
              </w:tabs>
              <w:suppressAutoHyphens/>
              <w:rPr>
                <w:sz w:val="22"/>
                <w:szCs w:val="22"/>
              </w:rPr>
            </w:pPr>
            <w:r w:rsidRPr="00CC4B51">
              <w:rPr>
                <w:sz w:val="22"/>
                <w:szCs w:val="22"/>
              </w:rPr>
              <w:t>Frequentes</w:t>
            </w:r>
          </w:p>
          <w:p w14:paraId="6B246F81" w14:textId="77777777" w:rsidR="004462A0" w:rsidRPr="00CC4B51" w:rsidRDefault="004462A0" w:rsidP="00F675CF">
            <w:pPr>
              <w:widowControl w:val="0"/>
              <w:tabs>
                <w:tab w:val="left" w:pos="562"/>
              </w:tabs>
              <w:suppressAutoHyphens/>
              <w:rPr>
                <w:sz w:val="22"/>
                <w:szCs w:val="22"/>
              </w:rPr>
            </w:pPr>
          </w:p>
        </w:tc>
        <w:tc>
          <w:tcPr>
            <w:tcW w:w="4346" w:type="dxa"/>
            <w:tcBorders>
              <w:bottom w:val="nil"/>
            </w:tcBorders>
          </w:tcPr>
          <w:p w14:paraId="6FD6AAAF" w14:textId="77777777" w:rsidR="004462A0" w:rsidRPr="00CC4B51" w:rsidRDefault="00615769" w:rsidP="00F675CF">
            <w:pPr>
              <w:widowControl w:val="0"/>
              <w:tabs>
                <w:tab w:val="left" w:pos="562"/>
              </w:tabs>
              <w:suppressAutoHyphens/>
              <w:rPr>
                <w:sz w:val="22"/>
                <w:szCs w:val="22"/>
              </w:rPr>
            </w:pPr>
            <w:r>
              <w:rPr>
                <w:sz w:val="22"/>
                <w:szCs w:val="22"/>
              </w:rPr>
              <w:t>C</w:t>
            </w:r>
            <w:r w:rsidRPr="00CC4B51">
              <w:rPr>
                <w:sz w:val="22"/>
                <w:szCs w:val="22"/>
              </w:rPr>
              <w:t>ompromisso renal,</w:t>
            </w:r>
          </w:p>
          <w:p w14:paraId="195F0179" w14:textId="77777777" w:rsidR="004462A0" w:rsidRPr="00CC4B51" w:rsidRDefault="00615769" w:rsidP="00F675CF">
            <w:pPr>
              <w:widowControl w:val="0"/>
              <w:tabs>
                <w:tab w:val="left" w:pos="562"/>
              </w:tabs>
              <w:suppressAutoHyphens/>
              <w:rPr>
                <w:sz w:val="22"/>
                <w:szCs w:val="22"/>
              </w:rPr>
            </w:pPr>
            <w:r w:rsidRPr="00CC4B51">
              <w:rPr>
                <w:sz w:val="22"/>
                <w:szCs w:val="22"/>
              </w:rPr>
              <w:t>hematúria</w:t>
            </w:r>
          </w:p>
          <w:p w14:paraId="6CC84935" w14:textId="77777777" w:rsidR="004462A0" w:rsidRPr="00CC4B51" w:rsidRDefault="004462A0" w:rsidP="00F675CF">
            <w:pPr>
              <w:widowControl w:val="0"/>
              <w:tabs>
                <w:tab w:val="left" w:pos="562"/>
              </w:tabs>
              <w:suppressAutoHyphens/>
              <w:rPr>
                <w:sz w:val="22"/>
                <w:szCs w:val="22"/>
              </w:rPr>
            </w:pPr>
          </w:p>
        </w:tc>
      </w:tr>
      <w:tr w:rsidR="00A7162A" w14:paraId="51EB02C7" w14:textId="77777777" w:rsidTr="00F675CF">
        <w:tc>
          <w:tcPr>
            <w:tcW w:w="2514" w:type="dxa"/>
            <w:vMerge/>
          </w:tcPr>
          <w:p w14:paraId="4BAED7F0" w14:textId="77777777" w:rsidR="004462A0" w:rsidRPr="00CC4B51" w:rsidRDefault="004462A0" w:rsidP="00F675CF">
            <w:pPr>
              <w:widowControl w:val="0"/>
              <w:jc w:val="center"/>
              <w:rPr>
                <w:b/>
              </w:rPr>
            </w:pPr>
          </w:p>
        </w:tc>
        <w:tc>
          <w:tcPr>
            <w:tcW w:w="1996" w:type="dxa"/>
            <w:tcBorders>
              <w:top w:val="nil"/>
            </w:tcBorders>
          </w:tcPr>
          <w:p w14:paraId="0D9EED27" w14:textId="77777777" w:rsidR="004462A0" w:rsidRPr="00CC4B51" w:rsidRDefault="00615769" w:rsidP="00F675CF">
            <w:pPr>
              <w:widowControl w:val="0"/>
              <w:tabs>
                <w:tab w:val="left" w:pos="562"/>
              </w:tabs>
              <w:suppressAutoHyphens/>
              <w:rPr>
                <w:sz w:val="22"/>
                <w:szCs w:val="22"/>
              </w:rPr>
            </w:pPr>
            <w:r w:rsidRPr="00CC4B51">
              <w:rPr>
                <w:sz w:val="22"/>
                <w:szCs w:val="22"/>
              </w:rPr>
              <w:t>Pouco frequentes</w:t>
            </w:r>
          </w:p>
        </w:tc>
        <w:tc>
          <w:tcPr>
            <w:tcW w:w="4346" w:type="dxa"/>
            <w:tcBorders>
              <w:top w:val="nil"/>
            </w:tcBorders>
          </w:tcPr>
          <w:p w14:paraId="24FCB847" w14:textId="77777777" w:rsidR="004462A0" w:rsidRPr="00CC4B51" w:rsidRDefault="00615769" w:rsidP="00F675CF">
            <w:pPr>
              <w:widowControl w:val="0"/>
              <w:tabs>
                <w:tab w:val="left" w:pos="562"/>
              </w:tabs>
              <w:suppressAutoHyphens/>
              <w:rPr>
                <w:sz w:val="22"/>
                <w:szCs w:val="22"/>
              </w:rPr>
            </w:pPr>
            <w:r>
              <w:rPr>
                <w:sz w:val="22"/>
                <w:szCs w:val="22"/>
              </w:rPr>
              <w:t>N</w:t>
            </w:r>
            <w:r w:rsidRPr="00CC4B51">
              <w:rPr>
                <w:sz w:val="22"/>
                <w:szCs w:val="22"/>
              </w:rPr>
              <w:t>octúria</w:t>
            </w:r>
          </w:p>
          <w:p w14:paraId="0E363DBC" w14:textId="77777777" w:rsidR="004462A0" w:rsidRPr="00CC4B51" w:rsidRDefault="004462A0" w:rsidP="00F675CF">
            <w:pPr>
              <w:widowControl w:val="0"/>
              <w:tabs>
                <w:tab w:val="left" w:pos="562"/>
              </w:tabs>
              <w:suppressAutoHyphens/>
              <w:rPr>
                <w:sz w:val="22"/>
                <w:szCs w:val="22"/>
              </w:rPr>
            </w:pPr>
          </w:p>
        </w:tc>
      </w:tr>
      <w:tr w:rsidR="00A7162A" w14:paraId="0B3AD4D5" w14:textId="77777777" w:rsidTr="00F675CF">
        <w:tc>
          <w:tcPr>
            <w:tcW w:w="2514" w:type="dxa"/>
          </w:tcPr>
          <w:p w14:paraId="3FD66FF3" w14:textId="77777777" w:rsidR="004462A0" w:rsidRPr="00CC4B51" w:rsidRDefault="00615769" w:rsidP="00F675CF">
            <w:pPr>
              <w:widowControl w:val="0"/>
              <w:tabs>
                <w:tab w:val="left" w:pos="562"/>
              </w:tabs>
              <w:suppressAutoHyphens/>
              <w:rPr>
                <w:sz w:val="22"/>
                <w:szCs w:val="22"/>
              </w:rPr>
            </w:pPr>
            <w:r w:rsidRPr="00CC4B51">
              <w:rPr>
                <w:sz w:val="22"/>
                <w:szCs w:val="22"/>
              </w:rPr>
              <w:t>Doenças dos órgãos genitais e da mama</w:t>
            </w:r>
          </w:p>
        </w:tc>
        <w:tc>
          <w:tcPr>
            <w:tcW w:w="1996" w:type="dxa"/>
          </w:tcPr>
          <w:p w14:paraId="20918715" w14:textId="77777777" w:rsidR="004462A0" w:rsidRPr="00CC4B51" w:rsidRDefault="00615769" w:rsidP="00F675CF">
            <w:pPr>
              <w:widowControl w:val="0"/>
              <w:tabs>
                <w:tab w:val="left" w:pos="562"/>
              </w:tabs>
              <w:suppressAutoHyphens/>
              <w:rPr>
                <w:sz w:val="22"/>
                <w:szCs w:val="22"/>
              </w:rPr>
            </w:pPr>
            <w:r w:rsidRPr="00CC4B51">
              <w:rPr>
                <w:sz w:val="22"/>
                <w:szCs w:val="22"/>
              </w:rPr>
              <w:t>Pouco frequentes</w:t>
            </w:r>
          </w:p>
        </w:tc>
        <w:tc>
          <w:tcPr>
            <w:tcW w:w="4346" w:type="dxa"/>
          </w:tcPr>
          <w:p w14:paraId="09F80740" w14:textId="77777777" w:rsidR="004462A0" w:rsidRPr="00CC4B51" w:rsidRDefault="00615769" w:rsidP="00F675CF">
            <w:pPr>
              <w:widowControl w:val="0"/>
              <w:tabs>
                <w:tab w:val="left" w:pos="562"/>
              </w:tabs>
              <w:suppressAutoHyphens/>
              <w:rPr>
                <w:sz w:val="22"/>
                <w:szCs w:val="22"/>
              </w:rPr>
            </w:pPr>
            <w:r>
              <w:rPr>
                <w:sz w:val="22"/>
                <w:szCs w:val="22"/>
              </w:rPr>
              <w:t>D</w:t>
            </w:r>
            <w:r w:rsidRPr="00CC4B51">
              <w:rPr>
                <w:sz w:val="22"/>
                <w:szCs w:val="22"/>
              </w:rPr>
              <w:t>isfunção erétil</w:t>
            </w:r>
          </w:p>
        </w:tc>
      </w:tr>
      <w:tr w:rsidR="00A7162A" w14:paraId="7FAFC836" w14:textId="77777777" w:rsidTr="00F675CF">
        <w:tc>
          <w:tcPr>
            <w:tcW w:w="2514" w:type="dxa"/>
            <w:vMerge w:val="restart"/>
          </w:tcPr>
          <w:p w14:paraId="6B0393CB" w14:textId="77777777" w:rsidR="004462A0" w:rsidRPr="00CC4B51" w:rsidRDefault="00615769" w:rsidP="00F675CF">
            <w:pPr>
              <w:widowControl w:val="0"/>
              <w:tabs>
                <w:tab w:val="left" w:pos="562"/>
              </w:tabs>
              <w:suppressAutoHyphens/>
              <w:rPr>
                <w:sz w:val="22"/>
                <w:szCs w:val="22"/>
              </w:rPr>
            </w:pPr>
            <w:r w:rsidRPr="00CC4B51">
              <w:rPr>
                <w:sz w:val="22"/>
                <w:szCs w:val="22"/>
              </w:rPr>
              <w:t>Perturbações gerais e alterações no local de administração *</w:t>
            </w:r>
          </w:p>
        </w:tc>
        <w:tc>
          <w:tcPr>
            <w:tcW w:w="1996" w:type="dxa"/>
            <w:tcBorders>
              <w:bottom w:val="nil"/>
            </w:tcBorders>
          </w:tcPr>
          <w:p w14:paraId="0349B73B" w14:textId="77777777" w:rsidR="004462A0" w:rsidRPr="00CC4B51" w:rsidRDefault="00615769" w:rsidP="00F675CF">
            <w:pPr>
              <w:widowControl w:val="0"/>
              <w:tabs>
                <w:tab w:val="left" w:pos="562"/>
              </w:tabs>
              <w:suppressAutoHyphens/>
              <w:rPr>
                <w:sz w:val="22"/>
                <w:szCs w:val="22"/>
              </w:rPr>
            </w:pPr>
            <w:r w:rsidRPr="00CC4B51">
              <w:rPr>
                <w:sz w:val="22"/>
                <w:szCs w:val="22"/>
              </w:rPr>
              <w:t xml:space="preserve">Muito frequentes </w:t>
            </w:r>
          </w:p>
        </w:tc>
        <w:tc>
          <w:tcPr>
            <w:tcW w:w="4346" w:type="dxa"/>
            <w:tcBorders>
              <w:bottom w:val="nil"/>
            </w:tcBorders>
          </w:tcPr>
          <w:p w14:paraId="3E06F5E0" w14:textId="77777777" w:rsidR="004462A0" w:rsidRPr="00CC4B51" w:rsidRDefault="00615769" w:rsidP="00F675CF">
            <w:pPr>
              <w:widowControl w:val="0"/>
              <w:tabs>
                <w:tab w:val="left" w:pos="562"/>
              </w:tabs>
              <w:suppressAutoHyphens/>
              <w:rPr>
                <w:sz w:val="22"/>
                <w:szCs w:val="22"/>
              </w:rPr>
            </w:pPr>
            <w:r>
              <w:rPr>
                <w:sz w:val="22"/>
                <w:szCs w:val="22"/>
              </w:rPr>
              <w:t>R</w:t>
            </w:r>
            <w:r w:rsidRPr="00CC4B51">
              <w:rPr>
                <w:sz w:val="22"/>
                <w:szCs w:val="22"/>
              </w:rPr>
              <w:t>eação no local da injeção (incluindo eritema no local de injeção)</w:t>
            </w:r>
          </w:p>
          <w:p w14:paraId="2C1368FF" w14:textId="77777777" w:rsidR="004462A0" w:rsidRPr="00CC4B51" w:rsidRDefault="004462A0" w:rsidP="00F675CF">
            <w:pPr>
              <w:widowControl w:val="0"/>
              <w:tabs>
                <w:tab w:val="left" w:pos="562"/>
              </w:tabs>
              <w:suppressAutoHyphens/>
              <w:rPr>
                <w:sz w:val="22"/>
                <w:szCs w:val="22"/>
              </w:rPr>
            </w:pPr>
          </w:p>
        </w:tc>
      </w:tr>
      <w:tr w:rsidR="00A7162A" w14:paraId="770BAF0B" w14:textId="77777777" w:rsidTr="00F675CF">
        <w:tc>
          <w:tcPr>
            <w:tcW w:w="2514" w:type="dxa"/>
            <w:vMerge/>
          </w:tcPr>
          <w:p w14:paraId="15A0CE0F" w14:textId="77777777" w:rsidR="004462A0" w:rsidRPr="00CC4B51" w:rsidRDefault="004462A0" w:rsidP="00F675CF">
            <w:pPr>
              <w:widowControl w:val="0"/>
              <w:jc w:val="center"/>
              <w:rPr>
                <w:b/>
              </w:rPr>
            </w:pPr>
          </w:p>
        </w:tc>
        <w:tc>
          <w:tcPr>
            <w:tcW w:w="1996" w:type="dxa"/>
            <w:tcBorders>
              <w:top w:val="nil"/>
              <w:bottom w:val="nil"/>
            </w:tcBorders>
          </w:tcPr>
          <w:p w14:paraId="550DD477" w14:textId="77777777" w:rsidR="004462A0" w:rsidRPr="00CC4B51" w:rsidRDefault="00615769" w:rsidP="00F675CF">
            <w:pPr>
              <w:widowControl w:val="0"/>
              <w:tabs>
                <w:tab w:val="left" w:pos="562"/>
              </w:tabs>
              <w:suppressAutoHyphens/>
              <w:rPr>
                <w:sz w:val="22"/>
                <w:szCs w:val="22"/>
              </w:rPr>
            </w:pPr>
            <w:r w:rsidRPr="00CC4B51">
              <w:rPr>
                <w:sz w:val="22"/>
                <w:szCs w:val="22"/>
              </w:rPr>
              <w:t>Frequentes</w:t>
            </w:r>
          </w:p>
          <w:p w14:paraId="0E9CA9DB" w14:textId="77777777" w:rsidR="004462A0" w:rsidRPr="00CC4B51" w:rsidRDefault="004462A0" w:rsidP="00F675CF">
            <w:pPr>
              <w:widowControl w:val="0"/>
              <w:tabs>
                <w:tab w:val="left" w:pos="562"/>
              </w:tabs>
              <w:suppressAutoHyphens/>
              <w:rPr>
                <w:sz w:val="22"/>
                <w:szCs w:val="22"/>
              </w:rPr>
            </w:pPr>
          </w:p>
        </w:tc>
        <w:tc>
          <w:tcPr>
            <w:tcW w:w="4346" w:type="dxa"/>
            <w:tcBorders>
              <w:top w:val="nil"/>
              <w:bottom w:val="nil"/>
            </w:tcBorders>
          </w:tcPr>
          <w:p w14:paraId="2B2CFB1F" w14:textId="77777777" w:rsidR="004462A0" w:rsidRPr="00CC4B51" w:rsidRDefault="00615769" w:rsidP="00F675CF">
            <w:pPr>
              <w:widowControl w:val="0"/>
              <w:tabs>
                <w:tab w:val="left" w:pos="562"/>
              </w:tabs>
              <w:suppressAutoHyphens/>
              <w:rPr>
                <w:sz w:val="22"/>
                <w:szCs w:val="22"/>
              </w:rPr>
            </w:pPr>
            <w:r>
              <w:rPr>
                <w:sz w:val="22"/>
                <w:szCs w:val="22"/>
              </w:rPr>
              <w:t>D</w:t>
            </w:r>
            <w:r w:rsidRPr="00CC4B51">
              <w:rPr>
                <w:sz w:val="22"/>
                <w:szCs w:val="22"/>
              </w:rPr>
              <w:t>or torácica,</w:t>
            </w:r>
          </w:p>
          <w:p w14:paraId="77AA8F74" w14:textId="77777777" w:rsidR="004462A0" w:rsidRPr="00CC4B51" w:rsidRDefault="00615769" w:rsidP="00F675CF">
            <w:pPr>
              <w:widowControl w:val="0"/>
              <w:tabs>
                <w:tab w:val="left" w:pos="562"/>
              </w:tabs>
              <w:suppressAutoHyphens/>
              <w:rPr>
                <w:sz w:val="22"/>
                <w:szCs w:val="22"/>
              </w:rPr>
            </w:pPr>
            <w:r w:rsidRPr="00CC4B51">
              <w:rPr>
                <w:sz w:val="22"/>
                <w:szCs w:val="22"/>
              </w:rPr>
              <w:t>edema,</w:t>
            </w:r>
          </w:p>
          <w:p w14:paraId="654E4202" w14:textId="77777777" w:rsidR="004462A0" w:rsidRPr="00CC4B51" w:rsidRDefault="00615769" w:rsidP="00F675CF">
            <w:pPr>
              <w:widowControl w:val="0"/>
              <w:tabs>
                <w:tab w:val="left" w:pos="562"/>
              </w:tabs>
              <w:suppressAutoHyphens/>
              <w:rPr>
                <w:sz w:val="22"/>
                <w:szCs w:val="22"/>
              </w:rPr>
            </w:pPr>
            <w:r w:rsidRPr="00CC4B51">
              <w:rPr>
                <w:sz w:val="22"/>
                <w:szCs w:val="22"/>
              </w:rPr>
              <w:t>febre</w:t>
            </w:r>
            <w:r w:rsidRPr="00CC4B51">
              <w:rPr>
                <w:sz w:val="22"/>
                <w:szCs w:val="22"/>
                <w:vertAlign w:val="superscript"/>
              </w:rPr>
              <w:t>1)</w:t>
            </w:r>
          </w:p>
          <w:p w14:paraId="06474416" w14:textId="77777777" w:rsidR="004462A0" w:rsidRPr="00CC4B51" w:rsidRDefault="004462A0" w:rsidP="00F675CF">
            <w:pPr>
              <w:widowControl w:val="0"/>
              <w:tabs>
                <w:tab w:val="left" w:pos="562"/>
              </w:tabs>
              <w:suppressAutoHyphens/>
              <w:rPr>
                <w:sz w:val="22"/>
                <w:szCs w:val="22"/>
              </w:rPr>
            </w:pPr>
          </w:p>
        </w:tc>
      </w:tr>
      <w:tr w:rsidR="00A7162A" w14:paraId="72481FD2" w14:textId="77777777" w:rsidTr="00F675CF">
        <w:tc>
          <w:tcPr>
            <w:tcW w:w="2514" w:type="dxa"/>
            <w:vMerge/>
          </w:tcPr>
          <w:p w14:paraId="16473BE6" w14:textId="77777777" w:rsidR="004462A0" w:rsidRPr="00CC4B51" w:rsidRDefault="004462A0" w:rsidP="00F675CF">
            <w:pPr>
              <w:widowControl w:val="0"/>
              <w:jc w:val="center"/>
              <w:rPr>
                <w:b/>
              </w:rPr>
            </w:pPr>
          </w:p>
        </w:tc>
        <w:tc>
          <w:tcPr>
            <w:tcW w:w="1996" w:type="dxa"/>
            <w:tcBorders>
              <w:top w:val="nil"/>
            </w:tcBorders>
          </w:tcPr>
          <w:p w14:paraId="45D1A69E" w14:textId="77777777" w:rsidR="004462A0" w:rsidRPr="00CC4B51" w:rsidRDefault="00615769" w:rsidP="00F675CF">
            <w:pPr>
              <w:widowControl w:val="0"/>
              <w:tabs>
                <w:tab w:val="left" w:pos="562"/>
              </w:tabs>
              <w:suppressAutoHyphens/>
              <w:rPr>
                <w:sz w:val="22"/>
                <w:szCs w:val="22"/>
              </w:rPr>
            </w:pPr>
            <w:r w:rsidRPr="00CC4B51">
              <w:rPr>
                <w:sz w:val="22"/>
                <w:szCs w:val="22"/>
              </w:rPr>
              <w:t>Pouco frequentes</w:t>
            </w:r>
          </w:p>
        </w:tc>
        <w:tc>
          <w:tcPr>
            <w:tcW w:w="4346" w:type="dxa"/>
            <w:tcBorders>
              <w:top w:val="nil"/>
            </w:tcBorders>
          </w:tcPr>
          <w:p w14:paraId="16F1E0DB" w14:textId="77777777" w:rsidR="004462A0" w:rsidRPr="00CC4B51" w:rsidRDefault="00615769" w:rsidP="00F675CF">
            <w:pPr>
              <w:widowControl w:val="0"/>
              <w:tabs>
                <w:tab w:val="left" w:pos="562"/>
              </w:tabs>
              <w:suppressAutoHyphens/>
              <w:rPr>
                <w:sz w:val="22"/>
                <w:szCs w:val="22"/>
              </w:rPr>
            </w:pPr>
            <w:r>
              <w:rPr>
                <w:sz w:val="22"/>
                <w:szCs w:val="22"/>
              </w:rPr>
              <w:t>I</w:t>
            </w:r>
            <w:r w:rsidRPr="00CC4B51">
              <w:rPr>
                <w:sz w:val="22"/>
                <w:szCs w:val="22"/>
              </w:rPr>
              <w:t>nflamação</w:t>
            </w:r>
          </w:p>
          <w:p w14:paraId="584BE2C9" w14:textId="77777777" w:rsidR="004462A0" w:rsidRPr="00CC4B51" w:rsidRDefault="004462A0" w:rsidP="00F675CF">
            <w:pPr>
              <w:widowControl w:val="0"/>
              <w:tabs>
                <w:tab w:val="left" w:pos="562"/>
              </w:tabs>
              <w:suppressAutoHyphens/>
              <w:rPr>
                <w:sz w:val="22"/>
                <w:szCs w:val="22"/>
              </w:rPr>
            </w:pPr>
          </w:p>
        </w:tc>
      </w:tr>
      <w:tr w:rsidR="00A7162A" w14:paraId="342531B1" w14:textId="77777777" w:rsidTr="00790398">
        <w:trPr>
          <w:trHeight w:val="2025"/>
        </w:trPr>
        <w:tc>
          <w:tcPr>
            <w:tcW w:w="2514" w:type="dxa"/>
            <w:vMerge w:val="restart"/>
          </w:tcPr>
          <w:p w14:paraId="53F99D38" w14:textId="77777777" w:rsidR="00790398" w:rsidRPr="00CC4B51" w:rsidRDefault="00615769" w:rsidP="00F675CF">
            <w:pPr>
              <w:widowControl w:val="0"/>
              <w:tabs>
                <w:tab w:val="left" w:pos="562"/>
              </w:tabs>
              <w:suppressAutoHyphens/>
              <w:rPr>
                <w:sz w:val="22"/>
                <w:szCs w:val="22"/>
              </w:rPr>
            </w:pPr>
            <w:r w:rsidRPr="00CC4B51">
              <w:rPr>
                <w:sz w:val="22"/>
                <w:szCs w:val="22"/>
              </w:rPr>
              <w:t>Exames complementares de diagnóstico*</w:t>
            </w:r>
          </w:p>
        </w:tc>
        <w:tc>
          <w:tcPr>
            <w:tcW w:w="1996" w:type="dxa"/>
            <w:tcBorders>
              <w:bottom w:val="nil"/>
            </w:tcBorders>
          </w:tcPr>
          <w:p w14:paraId="2A1156C5" w14:textId="77777777" w:rsidR="00790398" w:rsidRPr="00CC4B51" w:rsidRDefault="00615769" w:rsidP="00F675CF">
            <w:pPr>
              <w:widowControl w:val="0"/>
              <w:tabs>
                <w:tab w:val="left" w:pos="562"/>
              </w:tabs>
              <w:suppressAutoHyphens/>
              <w:rPr>
                <w:sz w:val="22"/>
                <w:szCs w:val="22"/>
              </w:rPr>
            </w:pPr>
            <w:r w:rsidRPr="00CC4B51">
              <w:rPr>
                <w:sz w:val="22"/>
                <w:szCs w:val="22"/>
              </w:rPr>
              <w:t>Frequentes</w:t>
            </w:r>
          </w:p>
        </w:tc>
        <w:tc>
          <w:tcPr>
            <w:tcW w:w="4346" w:type="dxa"/>
            <w:tcBorders>
              <w:bottom w:val="nil"/>
            </w:tcBorders>
          </w:tcPr>
          <w:p w14:paraId="763A8CD8" w14:textId="77777777" w:rsidR="00790398" w:rsidRPr="00CC4B51" w:rsidRDefault="00615769" w:rsidP="00F675CF">
            <w:pPr>
              <w:widowControl w:val="0"/>
              <w:tabs>
                <w:tab w:val="left" w:pos="562"/>
              </w:tabs>
              <w:suppressAutoHyphens/>
              <w:rPr>
                <w:sz w:val="22"/>
                <w:szCs w:val="22"/>
              </w:rPr>
            </w:pPr>
            <w:r>
              <w:rPr>
                <w:sz w:val="22"/>
                <w:szCs w:val="22"/>
              </w:rPr>
              <w:t>A</w:t>
            </w:r>
            <w:r w:rsidRPr="00CC4B51">
              <w:rPr>
                <w:sz w:val="22"/>
                <w:szCs w:val="22"/>
              </w:rPr>
              <w:t xml:space="preserve">lterações da coagulação e hemorragia (incluindo </w:t>
            </w:r>
            <w:r>
              <w:rPr>
                <w:sz w:val="22"/>
                <w:szCs w:val="22"/>
              </w:rPr>
              <w:t xml:space="preserve">prolongamento do </w:t>
            </w:r>
            <w:r w:rsidRPr="00CC4B51">
              <w:rPr>
                <w:sz w:val="22"/>
                <w:szCs w:val="22"/>
              </w:rPr>
              <w:t>tempo de tromboplastina parcial ativada),</w:t>
            </w:r>
          </w:p>
          <w:p w14:paraId="3F3A2D09" w14:textId="77777777" w:rsidR="00790398" w:rsidRPr="00CC4B51" w:rsidRDefault="00615769" w:rsidP="00F675CF">
            <w:pPr>
              <w:widowControl w:val="0"/>
              <w:tabs>
                <w:tab w:val="left" w:pos="562"/>
              </w:tabs>
              <w:suppressAutoHyphens/>
              <w:rPr>
                <w:sz w:val="22"/>
                <w:szCs w:val="22"/>
              </w:rPr>
            </w:pPr>
            <w:r w:rsidRPr="00CC4B51">
              <w:rPr>
                <w:sz w:val="22"/>
                <w:szCs w:val="22"/>
              </w:rPr>
              <w:t xml:space="preserve">teste positivo de autoanticorpos (incluindo anticorpos contra a dupla cadeia de DNA), </w:t>
            </w:r>
          </w:p>
          <w:p w14:paraId="35DE81C5" w14:textId="77777777" w:rsidR="00790398" w:rsidRPr="00CC4B51" w:rsidRDefault="00615769" w:rsidP="00F675CF">
            <w:pPr>
              <w:widowControl w:val="0"/>
              <w:tabs>
                <w:tab w:val="left" w:pos="562"/>
              </w:tabs>
              <w:suppressAutoHyphens/>
              <w:rPr>
                <w:sz w:val="22"/>
                <w:szCs w:val="22"/>
              </w:rPr>
            </w:pPr>
            <w:r w:rsidRPr="00CC4B51">
              <w:rPr>
                <w:sz w:val="22"/>
                <w:szCs w:val="22"/>
              </w:rPr>
              <w:t xml:space="preserve">nível </w:t>
            </w:r>
            <w:r>
              <w:rPr>
                <w:sz w:val="22"/>
                <w:szCs w:val="22"/>
              </w:rPr>
              <w:t xml:space="preserve">sérico </w:t>
            </w:r>
            <w:r w:rsidRPr="00CC4B51">
              <w:rPr>
                <w:sz w:val="22"/>
                <w:szCs w:val="22"/>
              </w:rPr>
              <w:t>de de</w:t>
            </w:r>
            <w:r>
              <w:rPr>
                <w:sz w:val="22"/>
                <w:szCs w:val="22"/>
              </w:rPr>
              <w:t>s</w:t>
            </w:r>
            <w:r w:rsidRPr="00CC4B51">
              <w:rPr>
                <w:sz w:val="22"/>
                <w:szCs w:val="22"/>
              </w:rPr>
              <w:t>idrogenase láctica aumentado</w:t>
            </w:r>
          </w:p>
        </w:tc>
      </w:tr>
      <w:tr w:rsidR="00A7162A" w14:paraId="01C1E1AB" w14:textId="77777777" w:rsidTr="00790398">
        <w:trPr>
          <w:trHeight w:val="255"/>
        </w:trPr>
        <w:tc>
          <w:tcPr>
            <w:tcW w:w="2514" w:type="dxa"/>
            <w:vMerge/>
          </w:tcPr>
          <w:p w14:paraId="11F025F3" w14:textId="77777777" w:rsidR="00790398" w:rsidRPr="00CC4B51" w:rsidRDefault="00790398" w:rsidP="00790398">
            <w:pPr>
              <w:widowControl w:val="0"/>
              <w:tabs>
                <w:tab w:val="left" w:pos="562"/>
              </w:tabs>
              <w:suppressAutoHyphens/>
              <w:rPr>
                <w:sz w:val="22"/>
                <w:szCs w:val="22"/>
              </w:rPr>
            </w:pPr>
          </w:p>
        </w:tc>
        <w:tc>
          <w:tcPr>
            <w:tcW w:w="1996" w:type="dxa"/>
            <w:tcBorders>
              <w:top w:val="nil"/>
            </w:tcBorders>
          </w:tcPr>
          <w:p w14:paraId="44EC9C2A" w14:textId="77777777" w:rsidR="00790398" w:rsidRPr="00790398" w:rsidRDefault="00615769" w:rsidP="00790398">
            <w:pPr>
              <w:widowControl w:val="0"/>
              <w:tabs>
                <w:tab w:val="left" w:pos="562"/>
              </w:tabs>
              <w:suppressAutoHyphens/>
              <w:rPr>
                <w:sz w:val="22"/>
                <w:szCs w:val="22"/>
              </w:rPr>
            </w:pPr>
            <w:r w:rsidRPr="00790398">
              <w:rPr>
                <w:sz w:val="22"/>
                <w:szCs w:val="22"/>
              </w:rPr>
              <w:t>Desconhecido</w:t>
            </w:r>
          </w:p>
        </w:tc>
        <w:tc>
          <w:tcPr>
            <w:tcW w:w="4346" w:type="dxa"/>
            <w:tcBorders>
              <w:top w:val="nil"/>
            </w:tcBorders>
          </w:tcPr>
          <w:p w14:paraId="442FDCA3" w14:textId="77777777" w:rsidR="00790398" w:rsidRPr="00790398" w:rsidRDefault="00615769" w:rsidP="00790398">
            <w:pPr>
              <w:widowControl w:val="0"/>
              <w:tabs>
                <w:tab w:val="left" w:pos="562"/>
              </w:tabs>
              <w:suppressAutoHyphens/>
              <w:rPr>
                <w:sz w:val="22"/>
                <w:szCs w:val="22"/>
                <w:vertAlign w:val="superscript"/>
              </w:rPr>
            </w:pPr>
            <w:r w:rsidRPr="00790398">
              <w:rPr>
                <w:sz w:val="22"/>
                <w:szCs w:val="22"/>
              </w:rPr>
              <w:t>Aumento de peso</w:t>
            </w:r>
            <w:r w:rsidRPr="00790398">
              <w:rPr>
                <w:sz w:val="22"/>
                <w:szCs w:val="22"/>
                <w:vertAlign w:val="superscript"/>
              </w:rPr>
              <w:t>2)</w:t>
            </w:r>
          </w:p>
          <w:p w14:paraId="7B3029D6" w14:textId="77777777" w:rsidR="00790398" w:rsidRPr="00790398" w:rsidRDefault="00790398" w:rsidP="00790398">
            <w:pPr>
              <w:widowControl w:val="0"/>
              <w:tabs>
                <w:tab w:val="left" w:pos="562"/>
              </w:tabs>
              <w:suppressAutoHyphens/>
              <w:rPr>
                <w:sz w:val="22"/>
                <w:szCs w:val="22"/>
              </w:rPr>
            </w:pPr>
          </w:p>
        </w:tc>
      </w:tr>
      <w:tr w:rsidR="00A7162A" w14:paraId="4D99C7FD" w14:textId="77777777" w:rsidTr="00F675CF">
        <w:tc>
          <w:tcPr>
            <w:tcW w:w="2514" w:type="dxa"/>
          </w:tcPr>
          <w:p w14:paraId="05FB1865" w14:textId="77777777" w:rsidR="00790398" w:rsidRPr="00CC4B51" w:rsidRDefault="00615769" w:rsidP="00790398">
            <w:pPr>
              <w:keepNext/>
              <w:widowControl w:val="0"/>
              <w:tabs>
                <w:tab w:val="left" w:pos="562"/>
              </w:tabs>
              <w:suppressAutoHyphens/>
              <w:rPr>
                <w:sz w:val="22"/>
                <w:szCs w:val="22"/>
              </w:rPr>
            </w:pPr>
            <w:r w:rsidRPr="00CC4B51">
              <w:rPr>
                <w:sz w:val="22"/>
                <w:szCs w:val="22"/>
              </w:rPr>
              <w:t xml:space="preserve">Complicações de intervenções relacionadas com lesões e intoxicações </w:t>
            </w:r>
          </w:p>
        </w:tc>
        <w:tc>
          <w:tcPr>
            <w:tcW w:w="1996" w:type="dxa"/>
          </w:tcPr>
          <w:p w14:paraId="0CE381CF" w14:textId="77777777" w:rsidR="00790398" w:rsidRPr="00CC4B51" w:rsidRDefault="00615769" w:rsidP="00790398">
            <w:pPr>
              <w:widowControl w:val="0"/>
              <w:tabs>
                <w:tab w:val="left" w:pos="562"/>
              </w:tabs>
              <w:suppressAutoHyphens/>
              <w:rPr>
                <w:sz w:val="22"/>
                <w:szCs w:val="22"/>
              </w:rPr>
            </w:pPr>
            <w:r w:rsidRPr="00CC4B51">
              <w:rPr>
                <w:sz w:val="22"/>
                <w:szCs w:val="22"/>
              </w:rPr>
              <w:t>Frequentes</w:t>
            </w:r>
          </w:p>
        </w:tc>
        <w:tc>
          <w:tcPr>
            <w:tcW w:w="4346" w:type="dxa"/>
          </w:tcPr>
          <w:p w14:paraId="0EF7A5A1" w14:textId="77777777" w:rsidR="00790398" w:rsidRPr="00CC4B51" w:rsidRDefault="00615769" w:rsidP="00790398">
            <w:pPr>
              <w:widowControl w:val="0"/>
              <w:tabs>
                <w:tab w:val="left" w:pos="562"/>
              </w:tabs>
              <w:suppressAutoHyphens/>
              <w:rPr>
                <w:sz w:val="22"/>
                <w:szCs w:val="22"/>
              </w:rPr>
            </w:pPr>
            <w:r>
              <w:rPr>
                <w:sz w:val="22"/>
                <w:szCs w:val="22"/>
              </w:rPr>
              <w:t>A</w:t>
            </w:r>
            <w:r w:rsidRPr="00CC4B51">
              <w:rPr>
                <w:sz w:val="22"/>
                <w:szCs w:val="22"/>
              </w:rPr>
              <w:t xml:space="preserve">lteração de cicatrização </w:t>
            </w:r>
          </w:p>
        </w:tc>
      </w:tr>
    </w:tbl>
    <w:p w14:paraId="1F9A1831" w14:textId="77777777" w:rsidR="004462A0" w:rsidRPr="00CC4B51" w:rsidRDefault="004462A0" w:rsidP="004462A0">
      <w:pPr>
        <w:rPr>
          <w:sz w:val="22"/>
          <w:szCs w:val="22"/>
        </w:rPr>
      </w:pPr>
    </w:p>
    <w:p w14:paraId="759EDD20" w14:textId="77777777" w:rsidR="004462A0" w:rsidRPr="00CC4B51" w:rsidRDefault="00615769" w:rsidP="004462A0">
      <w:pPr>
        <w:rPr>
          <w:sz w:val="22"/>
          <w:szCs w:val="22"/>
        </w:rPr>
      </w:pPr>
      <w:r w:rsidRPr="00CC4B51">
        <w:rPr>
          <w:sz w:val="22"/>
          <w:szCs w:val="22"/>
        </w:rPr>
        <w:t>* está disponível informação adicional nas secções 4.3, 4.4 e 4.8</w:t>
      </w:r>
    </w:p>
    <w:p w14:paraId="6A95FFD8" w14:textId="77777777" w:rsidR="004462A0" w:rsidRPr="00CC4B51" w:rsidRDefault="00615769" w:rsidP="004462A0">
      <w:pPr>
        <w:tabs>
          <w:tab w:val="left" w:pos="562"/>
        </w:tabs>
        <w:suppressAutoHyphens/>
        <w:rPr>
          <w:sz w:val="22"/>
          <w:szCs w:val="22"/>
        </w:rPr>
      </w:pPr>
      <w:r w:rsidRPr="00CC4B51">
        <w:rPr>
          <w:sz w:val="22"/>
          <w:szCs w:val="22"/>
        </w:rPr>
        <w:t xml:space="preserve">** incluindo estudos de extensão de fase aberta </w:t>
      </w:r>
    </w:p>
    <w:p w14:paraId="1784FEFA" w14:textId="77777777" w:rsidR="004462A0" w:rsidRDefault="00615769" w:rsidP="004462A0">
      <w:pPr>
        <w:rPr>
          <w:sz w:val="22"/>
          <w:szCs w:val="22"/>
        </w:rPr>
      </w:pPr>
      <w:r w:rsidRPr="00CC4B51">
        <w:rPr>
          <w:sz w:val="22"/>
          <w:szCs w:val="22"/>
          <w:vertAlign w:val="superscript"/>
        </w:rPr>
        <w:t>1)</w:t>
      </w:r>
      <w:r w:rsidRPr="00CC4B51">
        <w:rPr>
          <w:sz w:val="22"/>
          <w:szCs w:val="22"/>
        </w:rPr>
        <w:t xml:space="preserve"> incluindo dados de notificações espontâneas</w:t>
      </w:r>
    </w:p>
    <w:p w14:paraId="643679CF" w14:textId="77777777" w:rsidR="00FB75CB" w:rsidRPr="00FB75CB" w:rsidRDefault="00615769" w:rsidP="004462A0">
      <w:pPr>
        <w:rPr>
          <w:sz w:val="22"/>
          <w:szCs w:val="22"/>
          <w:lang w:val="x-none"/>
        </w:rPr>
      </w:pPr>
      <w:r w:rsidRPr="000036F0">
        <w:rPr>
          <w:sz w:val="22"/>
          <w:szCs w:val="22"/>
          <w:vertAlign w:val="superscript"/>
        </w:rPr>
        <w:t xml:space="preserve">2) </w:t>
      </w:r>
      <w:r w:rsidRPr="000036F0">
        <w:rPr>
          <w:sz w:val="22"/>
          <w:szCs w:val="22"/>
        </w:rPr>
        <w:t>A alteração média de peso em relação à avaliação inicial para o adalimumab variou entre 0,3 kg e 1,0 kg nas indicações para adultos, em comparação com (negativo) -0,4 kg a 0,4 kg para o placebo,</w:t>
      </w:r>
      <w:r>
        <w:rPr>
          <w:sz w:val="22"/>
          <w:szCs w:val="22"/>
        </w:rPr>
        <w:t xml:space="preserve"> </w:t>
      </w:r>
      <w:r w:rsidRPr="000036F0">
        <w:rPr>
          <w:sz w:val="22"/>
          <w:szCs w:val="22"/>
        </w:rPr>
        <w:t>durante um período de tratamento de 4-6 meses. Foi também observado um aumento de peso de 5-6 kg</w:t>
      </w:r>
      <w:r>
        <w:rPr>
          <w:sz w:val="22"/>
          <w:szCs w:val="22"/>
        </w:rPr>
        <w:t xml:space="preserve"> </w:t>
      </w:r>
      <w:r w:rsidRPr="000036F0">
        <w:rPr>
          <w:sz w:val="22"/>
          <w:szCs w:val="22"/>
        </w:rPr>
        <w:t>em estudos de extensão a longo prazo com exposições médias de aproximadamente 1-2 anos sem</w:t>
      </w:r>
      <w:r>
        <w:rPr>
          <w:sz w:val="22"/>
          <w:szCs w:val="22"/>
        </w:rPr>
        <w:t xml:space="preserve"> </w:t>
      </w:r>
      <w:r w:rsidRPr="000036F0">
        <w:rPr>
          <w:sz w:val="22"/>
          <w:szCs w:val="22"/>
        </w:rPr>
        <w:t>grupo de controlo, particularmente em doentes com doença de Crohn e colite ulcerosa. O mecanismo subjacente a este efeito não é c</w:t>
      </w:r>
      <w:r w:rsidRPr="000036F0">
        <w:rPr>
          <w:sz w:val="22"/>
          <w:szCs w:val="22"/>
        </w:rPr>
        <w:t>laro, mas pode estar associado ao efeito anti-inflamatório do</w:t>
      </w:r>
      <w:r>
        <w:rPr>
          <w:sz w:val="22"/>
          <w:szCs w:val="22"/>
        </w:rPr>
        <w:t xml:space="preserve"> </w:t>
      </w:r>
      <w:r w:rsidRPr="000036F0">
        <w:rPr>
          <w:sz w:val="22"/>
          <w:szCs w:val="22"/>
        </w:rPr>
        <w:t>adalimumab.</w:t>
      </w:r>
    </w:p>
    <w:p w14:paraId="18EBF4DC" w14:textId="77777777" w:rsidR="004462A0" w:rsidRPr="00CC4B51" w:rsidRDefault="004462A0" w:rsidP="004462A0">
      <w:pPr>
        <w:rPr>
          <w:b/>
          <w:sz w:val="22"/>
          <w:szCs w:val="22"/>
        </w:rPr>
      </w:pPr>
    </w:p>
    <w:p w14:paraId="2F1D5CA9" w14:textId="77777777" w:rsidR="004462A0" w:rsidRPr="00CC4B51" w:rsidRDefault="00615769" w:rsidP="0004619E">
      <w:pPr>
        <w:keepNext/>
        <w:rPr>
          <w:sz w:val="22"/>
          <w:szCs w:val="22"/>
          <w:u w:val="single"/>
        </w:rPr>
      </w:pPr>
      <w:r w:rsidRPr="00CC4B51">
        <w:rPr>
          <w:sz w:val="22"/>
          <w:szCs w:val="22"/>
          <w:u w:val="single"/>
        </w:rPr>
        <w:t>Hidradenite supurativa</w:t>
      </w:r>
    </w:p>
    <w:p w14:paraId="147896D7" w14:textId="77777777" w:rsidR="004462A0" w:rsidRPr="00CC4B51" w:rsidRDefault="004462A0" w:rsidP="0004619E">
      <w:pPr>
        <w:keepNext/>
        <w:rPr>
          <w:b/>
          <w:sz w:val="22"/>
          <w:szCs w:val="22"/>
        </w:rPr>
      </w:pPr>
    </w:p>
    <w:p w14:paraId="713F689B" w14:textId="77777777" w:rsidR="004462A0" w:rsidRPr="00CC4B51" w:rsidRDefault="00615769" w:rsidP="0004619E">
      <w:pPr>
        <w:keepNext/>
        <w:rPr>
          <w:sz w:val="22"/>
          <w:szCs w:val="22"/>
        </w:rPr>
      </w:pPr>
      <w:r w:rsidRPr="00CC4B51">
        <w:rPr>
          <w:sz w:val="22"/>
          <w:szCs w:val="22"/>
        </w:rPr>
        <w:t>O perfil de segurança em doentes com HS tratados com Humira semanalmente foi consistente com o perfil de segurança conhecido de Humira.</w:t>
      </w:r>
    </w:p>
    <w:p w14:paraId="289CEC7C" w14:textId="77777777" w:rsidR="004462A0" w:rsidRPr="00CC4B51" w:rsidRDefault="004462A0" w:rsidP="004462A0">
      <w:pPr>
        <w:rPr>
          <w:sz w:val="22"/>
          <w:szCs w:val="22"/>
        </w:rPr>
      </w:pPr>
    </w:p>
    <w:p w14:paraId="2729135C" w14:textId="77777777" w:rsidR="004462A0" w:rsidRPr="00CC4B51" w:rsidRDefault="00615769" w:rsidP="00047604">
      <w:pPr>
        <w:keepNext/>
        <w:rPr>
          <w:sz w:val="22"/>
          <w:szCs w:val="22"/>
          <w:u w:val="single"/>
        </w:rPr>
      </w:pPr>
      <w:r w:rsidRPr="00CC4B51">
        <w:rPr>
          <w:sz w:val="22"/>
          <w:szCs w:val="22"/>
          <w:u w:val="single"/>
        </w:rPr>
        <w:t>Uveíte</w:t>
      </w:r>
    </w:p>
    <w:p w14:paraId="6DD880BE" w14:textId="77777777" w:rsidR="004462A0" w:rsidRPr="00CC4B51" w:rsidRDefault="004462A0" w:rsidP="00047604">
      <w:pPr>
        <w:keepNext/>
        <w:rPr>
          <w:sz w:val="22"/>
          <w:szCs w:val="22"/>
        </w:rPr>
      </w:pPr>
    </w:p>
    <w:p w14:paraId="25CFEE70" w14:textId="77777777" w:rsidR="004462A0" w:rsidRPr="00CC4B51" w:rsidRDefault="00615769" w:rsidP="00047604">
      <w:pPr>
        <w:keepNext/>
        <w:rPr>
          <w:sz w:val="22"/>
          <w:szCs w:val="22"/>
        </w:rPr>
      </w:pPr>
      <w:r w:rsidRPr="00CC4B51">
        <w:rPr>
          <w:sz w:val="22"/>
          <w:szCs w:val="22"/>
        </w:rPr>
        <w:t>O perfil de segurança em doentes com uveíte tratados com Humira em semanas alternadas foi consistente com o perfil de segurança conhecido d</w:t>
      </w:r>
      <w:r w:rsidR="003A4C51">
        <w:rPr>
          <w:sz w:val="22"/>
          <w:szCs w:val="22"/>
        </w:rPr>
        <w:t>e</w:t>
      </w:r>
      <w:r w:rsidRPr="00CC4B51">
        <w:rPr>
          <w:sz w:val="22"/>
          <w:szCs w:val="22"/>
        </w:rPr>
        <w:t xml:space="preserve"> Humira.</w:t>
      </w:r>
    </w:p>
    <w:p w14:paraId="34FB0A71" w14:textId="77777777" w:rsidR="004462A0" w:rsidRPr="00CC4B51" w:rsidRDefault="004462A0" w:rsidP="004462A0">
      <w:pPr>
        <w:rPr>
          <w:sz w:val="22"/>
          <w:szCs w:val="22"/>
        </w:rPr>
      </w:pPr>
    </w:p>
    <w:p w14:paraId="1DCC5D08" w14:textId="77777777" w:rsidR="004462A0" w:rsidRPr="00CC4B51" w:rsidRDefault="00615769" w:rsidP="00F73E10">
      <w:pPr>
        <w:keepNext/>
        <w:rPr>
          <w:bCs/>
          <w:sz w:val="22"/>
          <w:szCs w:val="22"/>
        </w:rPr>
      </w:pPr>
      <w:r w:rsidRPr="00CC4B51">
        <w:rPr>
          <w:bCs/>
          <w:sz w:val="22"/>
          <w:szCs w:val="22"/>
          <w:u w:val="single"/>
        </w:rPr>
        <w:t>Descrição de reações adversas selecionadas</w:t>
      </w:r>
    </w:p>
    <w:p w14:paraId="4419B66D" w14:textId="77777777" w:rsidR="004462A0" w:rsidRPr="00CC4B51" w:rsidRDefault="004462A0" w:rsidP="00F73E10">
      <w:pPr>
        <w:keepNext/>
        <w:rPr>
          <w:b/>
          <w:sz w:val="22"/>
          <w:szCs w:val="22"/>
        </w:rPr>
      </w:pPr>
    </w:p>
    <w:p w14:paraId="2978481E" w14:textId="77777777" w:rsidR="004462A0" w:rsidRPr="00CC4B51" w:rsidRDefault="00615769" w:rsidP="00F73E10">
      <w:pPr>
        <w:keepNext/>
        <w:autoSpaceDE w:val="0"/>
        <w:autoSpaceDN w:val="0"/>
        <w:adjustRightInd w:val="0"/>
        <w:rPr>
          <w:sz w:val="22"/>
          <w:szCs w:val="22"/>
          <w:u w:val="single"/>
        </w:rPr>
      </w:pPr>
      <w:r w:rsidRPr="00CC4B51">
        <w:rPr>
          <w:i/>
          <w:sz w:val="22"/>
          <w:szCs w:val="22"/>
        </w:rPr>
        <w:t>Reações no local da injeção</w:t>
      </w:r>
      <w:r w:rsidRPr="00CC4B51">
        <w:rPr>
          <w:sz w:val="22"/>
          <w:szCs w:val="22"/>
        </w:rPr>
        <w:t xml:space="preserve"> </w:t>
      </w:r>
    </w:p>
    <w:p w14:paraId="06737C8C" w14:textId="77777777" w:rsidR="004462A0" w:rsidRPr="00CC4B51" w:rsidRDefault="004462A0" w:rsidP="00F73E10">
      <w:pPr>
        <w:keepNext/>
        <w:autoSpaceDE w:val="0"/>
        <w:autoSpaceDN w:val="0"/>
        <w:adjustRightInd w:val="0"/>
        <w:rPr>
          <w:sz w:val="22"/>
          <w:szCs w:val="22"/>
          <w:u w:val="single"/>
        </w:rPr>
      </w:pPr>
    </w:p>
    <w:p w14:paraId="177DAB94" w14:textId="77777777" w:rsidR="004462A0" w:rsidRPr="00CC4B51" w:rsidRDefault="00615769" w:rsidP="00F73E10">
      <w:pPr>
        <w:keepNext/>
        <w:rPr>
          <w:sz w:val="22"/>
          <w:szCs w:val="22"/>
        </w:rPr>
      </w:pPr>
      <w:r w:rsidRPr="00CC4B51">
        <w:rPr>
          <w:sz w:val="22"/>
          <w:szCs w:val="22"/>
        </w:rPr>
        <w:t>Nos principais ensaios controlados em adultos e crianças, 12,9</w:t>
      </w:r>
      <w:r w:rsidR="009343EF">
        <w:rPr>
          <w:sz w:val="22"/>
          <w:szCs w:val="22"/>
        </w:rPr>
        <w:t>%</w:t>
      </w:r>
      <w:r w:rsidRPr="00CC4B51">
        <w:rPr>
          <w:sz w:val="22"/>
          <w:szCs w:val="22"/>
        </w:rPr>
        <w:t xml:space="preserve"> dos doentes tratados com Humira desenvolveram reações no local da injeção (eritema e/ou prurido, hemorragia, dor ou edema), em relação a 7,2</w:t>
      </w:r>
      <w:r w:rsidR="009343EF">
        <w:rPr>
          <w:sz w:val="22"/>
          <w:szCs w:val="22"/>
        </w:rPr>
        <w:t>%</w:t>
      </w:r>
      <w:r w:rsidRPr="00CC4B51">
        <w:rPr>
          <w:sz w:val="22"/>
          <w:szCs w:val="22"/>
        </w:rPr>
        <w:t xml:space="preserve"> dos doentes que receberam placebo ou controlo ativo. As reações no local da injeção de uma forma geral não justificaram a suspensão do medicamento.</w:t>
      </w:r>
    </w:p>
    <w:p w14:paraId="4B2C0064" w14:textId="77777777" w:rsidR="004462A0" w:rsidRPr="00CC4B51" w:rsidRDefault="004462A0" w:rsidP="004462A0">
      <w:pPr>
        <w:autoSpaceDE w:val="0"/>
        <w:autoSpaceDN w:val="0"/>
        <w:adjustRightInd w:val="0"/>
        <w:rPr>
          <w:sz w:val="22"/>
          <w:szCs w:val="22"/>
        </w:rPr>
      </w:pPr>
    </w:p>
    <w:p w14:paraId="7217DBEF" w14:textId="77777777" w:rsidR="004462A0" w:rsidRPr="00CC4B51" w:rsidRDefault="00615769" w:rsidP="004462A0">
      <w:pPr>
        <w:autoSpaceDE w:val="0"/>
        <w:autoSpaceDN w:val="0"/>
        <w:adjustRightInd w:val="0"/>
        <w:rPr>
          <w:sz w:val="22"/>
          <w:szCs w:val="22"/>
        </w:rPr>
      </w:pPr>
      <w:r w:rsidRPr="00CC4B51">
        <w:rPr>
          <w:i/>
          <w:sz w:val="22"/>
          <w:szCs w:val="22"/>
        </w:rPr>
        <w:t>Infeções</w:t>
      </w:r>
      <w:r w:rsidRPr="00CC4B51">
        <w:rPr>
          <w:sz w:val="22"/>
          <w:szCs w:val="22"/>
        </w:rPr>
        <w:t xml:space="preserve"> </w:t>
      </w:r>
    </w:p>
    <w:p w14:paraId="185D5756" w14:textId="77777777" w:rsidR="004462A0" w:rsidRPr="00CC4B51" w:rsidRDefault="004462A0" w:rsidP="004462A0">
      <w:pPr>
        <w:autoSpaceDE w:val="0"/>
        <w:autoSpaceDN w:val="0"/>
        <w:adjustRightInd w:val="0"/>
        <w:rPr>
          <w:sz w:val="22"/>
          <w:szCs w:val="22"/>
        </w:rPr>
      </w:pPr>
    </w:p>
    <w:p w14:paraId="4FEC4D4A" w14:textId="77777777" w:rsidR="004462A0" w:rsidRPr="00CC4B51" w:rsidRDefault="00615769" w:rsidP="004462A0">
      <w:pPr>
        <w:rPr>
          <w:sz w:val="22"/>
          <w:szCs w:val="22"/>
        </w:rPr>
      </w:pPr>
      <w:r w:rsidRPr="00CC4B51">
        <w:rPr>
          <w:sz w:val="22"/>
          <w:szCs w:val="22"/>
        </w:rPr>
        <w:t>Nos principais ensaios controlados em adultos e crianças, a taxa de infeções foi de 1,51 por doentes/ano nos doentes tratados com Humira e de 1,46 por doentes/ano nos doentes tratados com placebo e controlo ativo. As infeções consisti</w:t>
      </w:r>
      <w:r w:rsidR="000A3565">
        <w:rPr>
          <w:sz w:val="22"/>
          <w:szCs w:val="22"/>
        </w:rPr>
        <w:t>r</w:t>
      </w:r>
      <w:r w:rsidRPr="00CC4B51">
        <w:rPr>
          <w:sz w:val="22"/>
          <w:szCs w:val="22"/>
        </w:rPr>
        <w:t xml:space="preserve">am principalmente em nasofaringite, infeções do </w:t>
      </w:r>
      <w:r w:rsidR="000A3565">
        <w:rPr>
          <w:sz w:val="22"/>
          <w:szCs w:val="22"/>
        </w:rPr>
        <w:t>trato</w:t>
      </w:r>
      <w:r w:rsidR="000A3565" w:rsidRPr="00CC4B51">
        <w:rPr>
          <w:sz w:val="22"/>
          <w:szCs w:val="22"/>
        </w:rPr>
        <w:t xml:space="preserve"> </w:t>
      </w:r>
      <w:r w:rsidRPr="00CC4B51">
        <w:rPr>
          <w:sz w:val="22"/>
          <w:szCs w:val="22"/>
        </w:rPr>
        <w:t>respiratório superior e sinusite. A maioria dos doentes prosseguiu o tratamento com Humira após resolução da infeção.</w:t>
      </w:r>
    </w:p>
    <w:p w14:paraId="375E01ED" w14:textId="77777777" w:rsidR="004462A0" w:rsidRPr="00CC4B51" w:rsidRDefault="004462A0" w:rsidP="004462A0">
      <w:pPr>
        <w:rPr>
          <w:sz w:val="22"/>
          <w:szCs w:val="22"/>
        </w:rPr>
      </w:pPr>
    </w:p>
    <w:p w14:paraId="2C7CA61C" w14:textId="77777777" w:rsidR="004462A0" w:rsidRPr="00CC4B51" w:rsidRDefault="00615769" w:rsidP="004462A0">
      <w:pPr>
        <w:rPr>
          <w:sz w:val="22"/>
          <w:szCs w:val="22"/>
        </w:rPr>
      </w:pPr>
      <w:r w:rsidRPr="00CC4B51">
        <w:rPr>
          <w:sz w:val="22"/>
          <w:szCs w:val="22"/>
        </w:rPr>
        <w:t>A incidência de infeções graves foi de 0,04 por doentes/ano nos doentes tratados com Humira e de 0,03 por doentes/ano nos doentes tratados com placebo e controlo ativo.</w:t>
      </w:r>
    </w:p>
    <w:p w14:paraId="44FD3ED0" w14:textId="77777777" w:rsidR="004462A0" w:rsidRPr="00CC4B51" w:rsidRDefault="004462A0" w:rsidP="004462A0">
      <w:pPr>
        <w:rPr>
          <w:sz w:val="22"/>
          <w:szCs w:val="22"/>
        </w:rPr>
      </w:pPr>
    </w:p>
    <w:p w14:paraId="425F85B5" w14:textId="77777777" w:rsidR="004462A0" w:rsidRPr="00CC4B51" w:rsidRDefault="00615769" w:rsidP="004462A0">
      <w:pPr>
        <w:rPr>
          <w:sz w:val="22"/>
          <w:szCs w:val="22"/>
        </w:rPr>
      </w:pPr>
      <w:r w:rsidRPr="00CC4B51">
        <w:rPr>
          <w:sz w:val="22"/>
          <w:szCs w:val="22"/>
        </w:rPr>
        <w:t>Em estudos controlados e de fase aberta com Humira</w:t>
      </w:r>
      <w:r w:rsidR="001D3CF2">
        <w:rPr>
          <w:sz w:val="22"/>
          <w:szCs w:val="22"/>
        </w:rPr>
        <w:t>,</w:t>
      </w:r>
      <w:r w:rsidR="001D3CF2" w:rsidRPr="001D3CF2">
        <w:rPr>
          <w:sz w:val="22"/>
          <w:szCs w:val="22"/>
        </w:rPr>
        <w:t xml:space="preserve"> </w:t>
      </w:r>
      <w:r w:rsidR="001D3CF2">
        <w:rPr>
          <w:sz w:val="22"/>
          <w:szCs w:val="22"/>
        </w:rPr>
        <w:t>em adultos e crianças</w:t>
      </w:r>
      <w:r w:rsidRPr="00CC4B51">
        <w:rPr>
          <w:sz w:val="22"/>
          <w:szCs w:val="22"/>
        </w:rPr>
        <w:t>, foram notificadas infeções graves (incluindo infeções fatais, as quais ocorreram raramente), que incluíram casos de tuberculose (incluindo localizações miliares e extra</w:t>
      </w:r>
      <w:r w:rsidR="000A3565">
        <w:rPr>
          <w:sz w:val="22"/>
          <w:szCs w:val="22"/>
        </w:rPr>
        <w:t>-</w:t>
      </w:r>
      <w:r w:rsidRPr="00CC4B51">
        <w:rPr>
          <w:sz w:val="22"/>
          <w:szCs w:val="22"/>
        </w:rPr>
        <w:t>pulmonares) e infeções oportunistas invasivas (p.e. histoplasmose disseminada ou extra</w:t>
      </w:r>
      <w:r w:rsidR="000A3565">
        <w:rPr>
          <w:sz w:val="22"/>
          <w:szCs w:val="22"/>
        </w:rPr>
        <w:t>-</w:t>
      </w:r>
      <w:r w:rsidRPr="00CC4B51">
        <w:rPr>
          <w:sz w:val="22"/>
          <w:szCs w:val="22"/>
        </w:rPr>
        <w:t>pulmonar, blastomicose, coccidio</w:t>
      </w:r>
      <w:r w:rsidR="00BF2F9C">
        <w:rPr>
          <w:sz w:val="22"/>
          <w:szCs w:val="22"/>
        </w:rPr>
        <w:t>i</w:t>
      </w:r>
      <w:r w:rsidRPr="00CC4B51">
        <w:rPr>
          <w:sz w:val="22"/>
          <w:szCs w:val="22"/>
        </w:rPr>
        <w:t xml:space="preserve">domicose, </w:t>
      </w:r>
      <w:r w:rsidRPr="00CC4B51">
        <w:rPr>
          <w:iCs/>
          <w:sz w:val="22"/>
          <w:szCs w:val="22"/>
        </w:rPr>
        <w:t>pneumocistose</w:t>
      </w:r>
      <w:r w:rsidRPr="00CC4B51">
        <w:rPr>
          <w:sz w:val="22"/>
          <w:szCs w:val="22"/>
        </w:rPr>
        <w:t>, candidíase, aspergilose e listeriose). A maioria dos casos de tuberculose ocorreu nos primeiros oito meses após o início do tratamento e pode refletir um agravamento de doen</w:t>
      </w:r>
      <w:r w:rsidRPr="00CC4B51">
        <w:rPr>
          <w:sz w:val="22"/>
          <w:szCs w:val="22"/>
        </w:rPr>
        <w:t xml:space="preserve">ça latente. </w:t>
      </w:r>
    </w:p>
    <w:p w14:paraId="659949EB" w14:textId="77777777" w:rsidR="004462A0" w:rsidRPr="00CC4B51" w:rsidRDefault="004462A0" w:rsidP="004462A0">
      <w:pPr>
        <w:tabs>
          <w:tab w:val="left" w:pos="562"/>
        </w:tabs>
        <w:suppressAutoHyphens/>
        <w:rPr>
          <w:sz w:val="22"/>
          <w:szCs w:val="22"/>
          <w:u w:val="single"/>
        </w:rPr>
      </w:pPr>
    </w:p>
    <w:p w14:paraId="44B59C0E" w14:textId="77777777" w:rsidR="004462A0" w:rsidRPr="00CC4B51" w:rsidRDefault="00615769" w:rsidP="004462A0">
      <w:pPr>
        <w:tabs>
          <w:tab w:val="left" w:pos="562"/>
        </w:tabs>
        <w:suppressAutoHyphens/>
        <w:rPr>
          <w:sz w:val="22"/>
          <w:szCs w:val="22"/>
          <w:u w:val="single"/>
        </w:rPr>
      </w:pPr>
      <w:r w:rsidRPr="00CC4B51">
        <w:rPr>
          <w:i/>
          <w:sz w:val="22"/>
          <w:szCs w:val="22"/>
        </w:rPr>
        <w:t>Neoplasias e doenças linfoproliferativas</w:t>
      </w:r>
    </w:p>
    <w:p w14:paraId="06309D35" w14:textId="77777777" w:rsidR="004462A0" w:rsidRPr="00CC4B51" w:rsidRDefault="004462A0" w:rsidP="004462A0">
      <w:pPr>
        <w:autoSpaceDE w:val="0"/>
        <w:autoSpaceDN w:val="0"/>
        <w:adjustRightInd w:val="0"/>
        <w:rPr>
          <w:sz w:val="22"/>
          <w:szCs w:val="22"/>
          <w:u w:val="single"/>
        </w:rPr>
      </w:pPr>
    </w:p>
    <w:p w14:paraId="120B9EBF" w14:textId="77777777" w:rsidR="004462A0" w:rsidRPr="006F6F32" w:rsidRDefault="00615769" w:rsidP="004462A0">
      <w:pPr>
        <w:autoSpaceDE w:val="0"/>
        <w:autoSpaceDN w:val="0"/>
        <w:adjustRightInd w:val="0"/>
        <w:rPr>
          <w:sz w:val="22"/>
          <w:szCs w:val="22"/>
        </w:rPr>
      </w:pPr>
      <w:r w:rsidRPr="006F6F32">
        <w:rPr>
          <w:sz w:val="22"/>
          <w:szCs w:val="22"/>
        </w:rPr>
        <w:t xml:space="preserve">Não se observaram neoplasias em 249 doentes pediátricos com </w:t>
      </w:r>
      <w:r w:rsidR="000A3565">
        <w:rPr>
          <w:sz w:val="22"/>
          <w:szCs w:val="22"/>
        </w:rPr>
        <w:t xml:space="preserve">uma </w:t>
      </w:r>
      <w:r w:rsidRPr="006F6F32">
        <w:rPr>
          <w:sz w:val="22"/>
          <w:szCs w:val="22"/>
        </w:rPr>
        <w:t>exposição de 655,6 doentes/ano durante ensaios clínicos de Humira em doentes com artrite idiopática juvenil (artrite idiopática juvenil poliarticular e artrite relacionada com entesite). Adicionalmente, não se observaram neoplasias em 192 doentes pediátricos com uma exposição de 498,1 doentes/ano durante ensaios clínicos de Humira em doentes pediátricos com doença de Crohn. Não se observaram neoplasias em 77 doentes pediátricos com uma exposição de 80</w:t>
      </w:r>
      <w:r w:rsidR="000A3565">
        <w:rPr>
          <w:sz w:val="22"/>
          <w:szCs w:val="22"/>
        </w:rPr>
        <w:t>,0</w:t>
      </w:r>
      <w:r w:rsidRPr="006F6F32">
        <w:rPr>
          <w:sz w:val="22"/>
          <w:szCs w:val="22"/>
        </w:rPr>
        <w:t xml:space="preserve"> doentes/ano durante um ensaio clínico de Humira em</w:t>
      </w:r>
      <w:r w:rsidRPr="006F6F32">
        <w:rPr>
          <w:sz w:val="22"/>
          <w:szCs w:val="22"/>
        </w:rPr>
        <w:t xml:space="preserve"> doentes pediátricos com psoríase crónica em placas.</w:t>
      </w:r>
      <w:r w:rsidR="00763DB3" w:rsidRPr="00765805">
        <w:rPr>
          <w:sz w:val="22"/>
          <w:szCs w:val="22"/>
        </w:rPr>
        <w:t xml:space="preserve"> </w:t>
      </w:r>
      <w:r w:rsidR="005253AF" w:rsidRPr="005253AF">
        <w:rPr>
          <w:sz w:val="22"/>
          <w:szCs w:val="22"/>
        </w:rPr>
        <w:t>Não se observaram neoplasias em 93 doentes pediátricos com uma exposição de 65,3 doentes/ano durante um ensaio clínico de Humira em doentes pediátricos com colite ulcerosa.</w:t>
      </w:r>
      <w:r w:rsidR="005253AF">
        <w:rPr>
          <w:sz w:val="22"/>
          <w:szCs w:val="22"/>
        </w:rPr>
        <w:t> </w:t>
      </w:r>
      <w:r w:rsidR="00763DB3" w:rsidRPr="00765805">
        <w:rPr>
          <w:sz w:val="22"/>
          <w:szCs w:val="22"/>
        </w:rPr>
        <w:t>Não se observaram neoplasias em 60 doentes pediátricos com uma exposição de</w:t>
      </w:r>
      <w:r w:rsidR="00763DB3" w:rsidRPr="0092648F">
        <w:rPr>
          <w:sz w:val="22"/>
          <w:szCs w:val="22"/>
        </w:rPr>
        <w:t xml:space="preserve"> 58,4 doentes/ano durante um ensaio clínico de Humira em doentes pediátricos com uveíte.</w:t>
      </w:r>
    </w:p>
    <w:p w14:paraId="62D5CA78" w14:textId="77777777" w:rsidR="004462A0" w:rsidRPr="00CC4B51" w:rsidRDefault="004462A0" w:rsidP="004462A0">
      <w:pPr>
        <w:autoSpaceDE w:val="0"/>
        <w:autoSpaceDN w:val="0"/>
        <w:adjustRightInd w:val="0"/>
        <w:rPr>
          <w:sz w:val="22"/>
          <w:szCs w:val="22"/>
          <w:u w:val="single"/>
        </w:rPr>
      </w:pPr>
    </w:p>
    <w:p w14:paraId="3EC54991" w14:textId="77777777" w:rsidR="004462A0" w:rsidRPr="00CC4B51" w:rsidRDefault="00615769" w:rsidP="004462A0">
      <w:pPr>
        <w:autoSpaceDE w:val="0"/>
        <w:autoSpaceDN w:val="0"/>
        <w:adjustRightInd w:val="0"/>
        <w:rPr>
          <w:sz w:val="22"/>
          <w:szCs w:val="22"/>
        </w:rPr>
      </w:pPr>
      <w:r w:rsidRPr="00CC4B51">
        <w:rPr>
          <w:sz w:val="22"/>
          <w:szCs w:val="22"/>
        </w:rPr>
        <w:t xml:space="preserve">Durante a parte controlada dos principais ensaios clínicos com Humira </w:t>
      </w:r>
      <w:r w:rsidR="00390D91" w:rsidRPr="00CC4B51">
        <w:rPr>
          <w:sz w:val="22"/>
          <w:szCs w:val="22"/>
        </w:rPr>
        <w:t xml:space="preserve">em adultos </w:t>
      </w:r>
      <w:r w:rsidRPr="00CC4B51">
        <w:rPr>
          <w:sz w:val="22"/>
          <w:szCs w:val="22"/>
        </w:rPr>
        <w:t>com pelo menos 12 semanas de duração, em doentes com artrite reumatoide ativa moderada a grave, espondilite anquilosante, espondilartrite axial sem evidência radiográfica de EA, artrite psoriática, psoríase, hidradenite supurativa, doença de Crohn, colite ulcerosa e uveíte, foram observadas neoplasias, para além de linfomas e neoplasias cutâneas não melanomas</w:t>
      </w:r>
      <w:r w:rsidR="000A3565">
        <w:rPr>
          <w:sz w:val="22"/>
          <w:szCs w:val="22"/>
        </w:rPr>
        <w:t>,</w:t>
      </w:r>
      <w:r w:rsidRPr="00CC4B51">
        <w:rPr>
          <w:sz w:val="22"/>
          <w:szCs w:val="22"/>
        </w:rPr>
        <w:t xml:space="preserve"> numa taxa (intervalo de confiança 95</w:t>
      </w:r>
      <w:r w:rsidR="009343EF">
        <w:rPr>
          <w:sz w:val="22"/>
          <w:szCs w:val="22"/>
        </w:rPr>
        <w:t>%</w:t>
      </w:r>
      <w:r w:rsidRPr="00CC4B51">
        <w:rPr>
          <w:sz w:val="22"/>
          <w:szCs w:val="22"/>
        </w:rPr>
        <w:t>) de 6,8 (4,4</w:t>
      </w:r>
      <w:r w:rsidR="000A3565">
        <w:rPr>
          <w:sz w:val="22"/>
          <w:szCs w:val="22"/>
        </w:rPr>
        <w:t>;</w:t>
      </w:r>
      <w:r w:rsidRPr="00CC4B51">
        <w:rPr>
          <w:sz w:val="22"/>
          <w:szCs w:val="22"/>
        </w:rPr>
        <w:t xml:space="preserve"> 10,5) por 1.000 doentes/ano entre os 5.291 doentes tratados com Humira </w:t>
      </w:r>
      <w:r w:rsidR="000A3565">
        <w:rPr>
          <w:i/>
          <w:sz w:val="22"/>
          <w:szCs w:val="22"/>
        </w:rPr>
        <w:t xml:space="preserve">versus </w:t>
      </w:r>
      <w:r w:rsidRPr="00CC4B51">
        <w:rPr>
          <w:sz w:val="22"/>
          <w:szCs w:val="22"/>
        </w:rPr>
        <w:t>uma taxa</w:t>
      </w:r>
      <w:r w:rsidRPr="00CC4B51">
        <w:rPr>
          <w:sz w:val="22"/>
          <w:szCs w:val="22"/>
        </w:rPr>
        <w:t xml:space="preserve"> de 6,3 (3,4</w:t>
      </w:r>
      <w:r w:rsidR="000A3565">
        <w:rPr>
          <w:sz w:val="22"/>
          <w:szCs w:val="22"/>
        </w:rPr>
        <w:t>;</w:t>
      </w:r>
      <w:r w:rsidRPr="00CC4B51">
        <w:rPr>
          <w:sz w:val="22"/>
          <w:szCs w:val="22"/>
        </w:rPr>
        <w:t xml:space="preserve"> 11,8) por 1.000 doentes/ano entre os 3.444 doentes tratados com controlo (a duração </w:t>
      </w:r>
      <w:r w:rsidR="000A3565">
        <w:rPr>
          <w:sz w:val="22"/>
          <w:szCs w:val="22"/>
        </w:rPr>
        <w:t>mediana</w:t>
      </w:r>
      <w:r w:rsidR="000A3565" w:rsidRPr="00CC4B51">
        <w:rPr>
          <w:sz w:val="22"/>
          <w:szCs w:val="22"/>
        </w:rPr>
        <w:t xml:space="preserve"> </w:t>
      </w:r>
      <w:r w:rsidRPr="00CC4B51">
        <w:rPr>
          <w:sz w:val="22"/>
          <w:szCs w:val="22"/>
        </w:rPr>
        <w:t xml:space="preserve">de tratamento foi </w:t>
      </w:r>
      <w:r w:rsidR="000A3565">
        <w:rPr>
          <w:sz w:val="22"/>
          <w:szCs w:val="22"/>
        </w:rPr>
        <w:t xml:space="preserve">de </w:t>
      </w:r>
      <w:r w:rsidRPr="00CC4B51">
        <w:rPr>
          <w:sz w:val="22"/>
          <w:szCs w:val="22"/>
        </w:rPr>
        <w:t>4,0 meses para Humira e 3,8 meses para os doentes do grupo controlo). A taxa (intervalo de confiança 95</w:t>
      </w:r>
      <w:r w:rsidR="009343EF">
        <w:rPr>
          <w:sz w:val="22"/>
          <w:szCs w:val="22"/>
        </w:rPr>
        <w:t>%</w:t>
      </w:r>
      <w:r w:rsidRPr="00CC4B51">
        <w:rPr>
          <w:sz w:val="22"/>
          <w:szCs w:val="22"/>
        </w:rPr>
        <w:t>) observada de neoplasias cutâneas não melanomas foi de 8,8 (6,0</w:t>
      </w:r>
      <w:r w:rsidR="000A3565">
        <w:rPr>
          <w:sz w:val="22"/>
          <w:szCs w:val="22"/>
        </w:rPr>
        <w:t>;</w:t>
      </w:r>
      <w:r w:rsidRPr="00CC4B51">
        <w:rPr>
          <w:sz w:val="22"/>
          <w:szCs w:val="22"/>
        </w:rPr>
        <w:t xml:space="preserve"> 13,0) por 1.000 doentes/ano em doentes tratados com Humira e 3,2 (1,3</w:t>
      </w:r>
      <w:r w:rsidR="000A3565">
        <w:rPr>
          <w:sz w:val="22"/>
          <w:szCs w:val="22"/>
        </w:rPr>
        <w:t>;</w:t>
      </w:r>
      <w:r w:rsidRPr="00CC4B51">
        <w:rPr>
          <w:sz w:val="22"/>
          <w:szCs w:val="22"/>
        </w:rPr>
        <w:t xml:space="preserve"> 7,6) por 1.000 doentes/ano em doentes controlo. Destas neoplasias cutâneas, ocorreram carcinomas </w:t>
      </w:r>
      <w:r w:rsidR="000A3565">
        <w:rPr>
          <w:sz w:val="22"/>
          <w:szCs w:val="22"/>
        </w:rPr>
        <w:t>de células escamosas</w:t>
      </w:r>
      <w:r w:rsidRPr="00CC4B51">
        <w:rPr>
          <w:sz w:val="22"/>
          <w:szCs w:val="22"/>
        </w:rPr>
        <w:t xml:space="preserve"> numa taxa (intervalo de co</w:t>
      </w:r>
      <w:r w:rsidRPr="00CC4B51">
        <w:rPr>
          <w:sz w:val="22"/>
          <w:szCs w:val="22"/>
        </w:rPr>
        <w:t>nfiança 95</w:t>
      </w:r>
      <w:r w:rsidR="009343EF">
        <w:rPr>
          <w:sz w:val="22"/>
          <w:szCs w:val="22"/>
        </w:rPr>
        <w:t>%</w:t>
      </w:r>
      <w:r w:rsidRPr="00CC4B51">
        <w:rPr>
          <w:sz w:val="22"/>
          <w:szCs w:val="22"/>
        </w:rPr>
        <w:t>) de 2,7 (1,4</w:t>
      </w:r>
      <w:r w:rsidR="000A3565">
        <w:rPr>
          <w:sz w:val="22"/>
          <w:szCs w:val="22"/>
        </w:rPr>
        <w:t>;</w:t>
      </w:r>
      <w:r w:rsidRPr="00CC4B51">
        <w:rPr>
          <w:sz w:val="22"/>
          <w:szCs w:val="22"/>
        </w:rPr>
        <w:t xml:space="preserve"> 5,4) por 1.000 doentes/ano em doentes tratados com Humira e 0,6 (0,1</w:t>
      </w:r>
      <w:r w:rsidR="000A3565">
        <w:rPr>
          <w:sz w:val="22"/>
          <w:szCs w:val="22"/>
        </w:rPr>
        <w:t>;</w:t>
      </w:r>
      <w:r w:rsidRPr="00CC4B51">
        <w:rPr>
          <w:sz w:val="22"/>
          <w:szCs w:val="22"/>
        </w:rPr>
        <w:t xml:space="preserve"> 4,5) por 1.000 doentes/ano em doentes controlo. A taxa (intervalo de confiança 95</w:t>
      </w:r>
      <w:r w:rsidR="009343EF">
        <w:rPr>
          <w:sz w:val="22"/>
          <w:szCs w:val="22"/>
        </w:rPr>
        <w:t>%</w:t>
      </w:r>
      <w:r w:rsidRPr="00CC4B51">
        <w:rPr>
          <w:sz w:val="22"/>
          <w:szCs w:val="22"/>
        </w:rPr>
        <w:t xml:space="preserve">) de linfomas foi </w:t>
      </w:r>
      <w:r w:rsidR="000A3565">
        <w:rPr>
          <w:sz w:val="22"/>
          <w:szCs w:val="22"/>
        </w:rPr>
        <w:t xml:space="preserve">de </w:t>
      </w:r>
      <w:r w:rsidRPr="00CC4B51">
        <w:rPr>
          <w:sz w:val="22"/>
          <w:szCs w:val="22"/>
        </w:rPr>
        <w:t>0,7 (0,2</w:t>
      </w:r>
      <w:r w:rsidR="000A3565">
        <w:rPr>
          <w:sz w:val="22"/>
          <w:szCs w:val="22"/>
        </w:rPr>
        <w:t>;</w:t>
      </w:r>
      <w:r w:rsidRPr="00CC4B51">
        <w:rPr>
          <w:sz w:val="22"/>
          <w:szCs w:val="22"/>
        </w:rPr>
        <w:t xml:space="preserve"> 2,7) por 1.000 doentes/ano em doentes tratados com Humira e 0,6 (0,1</w:t>
      </w:r>
      <w:r w:rsidR="000A3565">
        <w:rPr>
          <w:sz w:val="22"/>
          <w:szCs w:val="22"/>
        </w:rPr>
        <w:t>;</w:t>
      </w:r>
      <w:r w:rsidRPr="00CC4B51">
        <w:rPr>
          <w:sz w:val="22"/>
          <w:szCs w:val="22"/>
        </w:rPr>
        <w:t xml:space="preserve"> 4,5) por 1.000 doentes/ano em doentes controlo.</w:t>
      </w:r>
    </w:p>
    <w:p w14:paraId="31A40FB3" w14:textId="77777777" w:rsidR="004462A0" w:rsidRPr="00CC4B51" w:rsidRDefault="004462A0" w:rsidP="004462A0">
      <w:pPr>
        <w:autoSpaceDE w:val="0"/>
        <w:autoSpaceDN w:val="0"/>
        <w:adjustRightInd w:val="0"/>
        <w:rPr>
          <w:sz w:val="22"/>
          <w:szCs w:val="22"/>
        </w:rPr>
      </w:pPr>
    </w:p>
    <w:p w14:paraId="7DFB1F90" w14:textId="77777777" w:rsidR="004462A0" w:rsidRPr="00CC4B51" w:rsidRDefault="00615769" w:rsidP="004462A0">
      <w:pPr>
        <w:autoSpaceDE w:val="0"/>
        <w:autoSpaceDN w:val="0"/>
        <w:adjustRightInd w:val="0"/>
        <w:rPr>
          <w:sz w:val="22"/>
          <w:szCs w:val="22"/>
        </w:rPr>
      </w:pPr>
      <w:r w:rsidRPr="00CC4B51">
        <w:rPr>
          <w:sz w:val="22"/>
          <w:szCs w:val="22"/>
        </w:rPr>
        <w:t xml:space="preserve">Quando associados estes ensaios controlados com os estudos de extensão de fase aberta a decorrerem e completados, com uma </w:t>
      </w:r>
      <w:r w:rsidR="00BF7825">
        <w:rPr>
          <w:sz w:val="22"/>
          <w:szCs w:val="22"/>
        </w:rPr>
        <w:t>mediana</w:t>
      </w:r>
      <w:r w:rsidR="00BF7825" w:rsidRPr="00CC4B51">
        <w:rPr>
          <w:sz w:val="22"/>
          <w:szCs w:val="22"/>
        </w:rPr>
        <w:t xml:space="preserve"> </w:t>
      </w:r>
      <w:r w:rsidRPr="00CC4B51">
        <w:rPr>
          <w:sz w:val="22"/>
          <w:szCs w:val="22"/>
        </w:rPr>
        <w:t>de duração de aproximadamente 3,3 anos</w:t>
      </w:r>
      <w:r w:rsidR="00BF7825">
        <w:rPr>
          <w:sz w:val="22"/>
          <w:szCs w:val="22"/>
        </w:rPr>
        <w:t>,</w:t>
      </w:r>
      <w:r w:rsidRPr="00CC4B51">
        <w:rPr>
          <w:sz w:val="22"/>
          <w:szCs w:val="22"/>
        </w:rPr>
        <w:t xml:space="preserve"> incluindo 6.427 doentes e mais de 26.439 doentes/ano de terapêutica, a taxa observada de neoplasias, para além de linfomas e neoplasias cutâneas não melanomas é de aproximadamente 8,5 por 1.000 doentes/ano. A taxa observada de neoplasias cutâneas não melanomas é de aproximadamente 9,6 por 1.000 doentes/ano, e a taxa observada de linfomas é de aproximadamente 1,3 por 1.000 doentes/ano.</w:t>
      </w:r>
    </w:p>
    <w:p w14:paraId="25F6D9D7" w14:textId="77777777" w:rsidR="004462A0" w:rsidRPr="00CC4B51" w:rsidRDefault="004462A0" w:rsidP="004462A0">
      <w:pPr>
        <w:autoSpaceDE w:val="0"/>
        <w:autoSpaceDN w:val="0"/>
        <w:adjustRightInd w:val="0"/>
        <w:rPr>
          <w:sz w:val="22"/>
          <w:szCs w:val="22"/>
        </w:rPr>
      </w:pPr>
    </w:p>
    <w:p w14:paraId="0A0FD0C5" w14:textId="0DAFC8BD" w:rsidR="004462A0" w:rsidRPr="00CC4B51" w:rsidRDefault="00615769" w:rsidP="004462A0">
      <w:pPr>
        <w:autoSpaceDE w:val="0"/>
        <w:autoSpaceDN w:val="0"/>
        <w:adjustRightInd w:val="0"/>
        <w:rPr>
          <w:sz w:val="22"/>
          <w:szCs w:val="22"/>
        </w:rPr>
      </w:pPr>
      <w:r w:rsidRPr="00CC4B51">
        <w:rPr>
          <w:sz w:val="22"/>
          <w:szCs w:val="22"/>
        </w:rPr>
        <w:t>Na experiência pós</w:t>
      </w:r>
      <w:r w:rsidR="00BF7825">
        <w:rPr>
          <w:sz w:val="22"/>
          <w:szCs w:val="22"/>
        </w:rPr>
        <w:t>-</w:t>
      </w:r>
      <w:r w:rsidRPr="00CC4B51">
        <w:rPr>
          <w:sz w:val="22"/>
          <w:szCs w:val="22"/>
        </w:rPr>
        <w:t xml:space="preserve">comercialização desde janeiro de 2003 a dezembro de 2010, predominantemente em doentes com artrite reumatoide, a taxa </w:t>
      </w:r>
      <w:r>
        <w:rPr>
          <w:sz w:val="22"/>
          <w:szCs w:val="22"/>
        </w:rPr>
        <w:t>de notificação espontânea</w:t>
      </w:r>
      <w:r w:rsidRPr="00CC4B51">
        <w:rPr>
          <w:sz w:val="22"/>
          <w:szCs w:val="22"/>
        </w:rPr>
        <w:t xml:space="preserve"> de neoplasias é de aproximadamente 2,7 por 1.000 doentes/ano de tratamento. As taxas </w:t>
      </w:r>
      <w:r>
        <w:rPr>
          <w:sz w:val="22"/>
          <w:szCs w:val="22"/>
        </w:rPr>
        <w:t>de notificação espontânea</w:t>
      </w:r>
      <w:r w:rsidRPr="00CC4B51">
        <w:rPr>
          <w:sz w:val="22"/>
          <w:szCs w:val="22"/>
        </w:rPr>
        <w:t xml:space="preserve"> de neoplasias cutâneas não melanomas e linfomas são de aproximadamente 0,2 e 0,3 por 1</w:t>
      </w:r>
      <w:r w:rsidR="00BF7825">
        <w:rPr>
          <w:sz w:val="22"/>
          <w:szCs w:val="22"/>
        </w:rPr>
        <w:t>.</w:t>
      </w:r>
      <w:r w:rsidRPr="00CC4B51">
        <w:rPr>
          <w:sz w:val="22"/>
          <w:szCs w:val="22"/>
        </w:rPr>
        <w:t>000 doentes/ano de tratamento, respetivamente (ver secção 4.4).</w:t>
      </w:r>
    </w:p>
    <w:p w14:paraId="1BC8C9DE" w14:textId="77777777" w:rsidR="004462A0" w:rsidRPr="00CC4B51" w:rsidRDefault="004462A0" w:rsidP="004462A0">
      <w:pPr>
        <w:autoSpaceDE w:val="0"/>
        <w:autoSpaceDN w:val="0"/>
        <w:adjustRightInd w:val="0"/>
        <w:rPr>
          <w:color w:val="000000"/>
          <w:sz w:val="22"/>
          <w:szCs w:val="22"/>
        </w:rPr>
      </w:pPr>
    </w:p>
    <w:p w14:paraId="00F51B40" w14:textId="77777777" w:rsidR="004462A0" w:rsidRPr="00CC4B51" w:rsidRDefault="00615769" w:rsidP="004462A0">
      <w:pPr>
        <w:autoSpaceDE w:val="0"/>
        <w:autoSpaceDN w:val="0"/>
        <w:adjustRightInd w:val="0"/>
        <w:rPr>
          <w:color w:val="000000"/>
          <w:sz w:val="22"/>
          <w:szCs w:val="22"/>
        </w:rPr>
      </w:pPr>
      <w:r w:rsidRPr="00CC4B51">
        <w:rPr>
          <w:color w:val="000000"/>
          <w:sz w:val="22"/>
          <w:szCs w:val="22"/>
        </w:rPr>
        <w:t>Foram notificados em fase de pós</w:t>
      </w:r>
      <w:r w:rsidR="00BF7825">
        <w:rPr>
          <w:color w:val="000000"/>
          <w:sz w:val="22"/>
          <w:szCs w:val="22"/>
        </w:rPr>
        <w:t>-</w:t>
      </w:r>
      <w:r w:rsidRPr="00CC4B51">
        <w:rPr>
          <w:color w:val="000000"/>
          <w:sz w:val="22"/>
          <w:szCs w:val="22"/>
        </w:rPr>
        <w:t xml:space="preserve">comercialização casos raros de linfoma hepatoesplénico de </w:t>
      </w:r>
      <w:r w:rsidR="00BF7825">
        <w:rPr>
          <w:color w:val="000000"/>
          <w:sz w:val="22"/>
          <w:szCs w:val="22"/>
        </w:rPr>
        <w:t>células</w:t>
      </w:r>
      <w:r w:rsidR="00BF7825" w:rsidRPr="00CC4B51">
        <w:rPr>
          <w:color w:val="000000"/>
          <w:sz w:val="22"/>
          <w:szCs w:val="22"/>
        </w:rPr>
        <w:t xml:space="preserve"> </w:t>
      </w:r>
      <w:r w:rsidRPr="00CC4B51">
        <w:rPr>
          <w:color w:val="000000"/>
          <w:sz w:val="22"/>
          <w:szCs w:val="22"/>
        </w:rPr>
        <w:t>T em doentes tratados com adalimumab (ver secção 4.4).</w:t>
      </w:r>
    </w:p>
    <w:p w14:paraId="5623124F" w14:textId="77777777" w:rsidR="004462A0" w:rsidRPr="00CC4B51" w:rsidRDefault="004462A0" w:rsidP="004462A0">
      <w:pPr>
        <w:autoSpaceDE w:val="0"/>
        <w:autoSpaceDN w:val="0"/>
        <w:adjustRightInd w:val="0"/>
        <w:rPr>
          <w:sz w:val="22"/>
          <w:szCs w:val="22"/>
        </w:rPr>
      </w:pPr>
    </w:p>
    <w:p w14:paraId="1A82330D" w14:textId="77777777" w:rsidR="004462A0" w:rsidRPr="00CC4B51" w:rsidRDefault="00615769" w:rsidP="002917C9">
      <w:pPr>
        <w:keepNext/>
        <w:autoSpaceDE w:val="0"/>
        <w:autoSpaceDN w:val="0"/>
        <w:adjustRightInd w:val="0"/>
        <w:rPr>
          <w:sz w:val="22"/>
          <w:szCs w:val="22"/>
          <w:u w:val="single"/>
        </w:rPr>
      </w:pPr>
      <w:r w:rsidRPr="00CC4B51">
        <w:rPr>
          <w:i/>
          <w:sz w:val="22"/>
          <w:szCs w:val="22"/>
        </w:rPr>
        <w:t>Autoanticorpos</w:t>
      </w:r>
    </w:p>
    <w:p w14:paraId="0FED2A34" w14:textId="77777777" w:rsidR="004462A0" w:rsidRPr="00CC4B51" w:rsidRDefault="004462A0" w:rsidP="002917C9">
      <w:pPr>
        <w:keepNext/>
        <w:autoSpaceDE w:val="0"/>
        <w:autoSpaceDN w:val="0"/>
        <w:adjustRightInd w:val="0"/>
        <w:rPr>
          <w:sz w:val="22"/>
          <w:szCs w:val="22"/>
        </w:rPr>
      </w:pPr>
    </w:p>
    <w:p w14:paraId="1878D460" w14:textId="77777777" w:rsidR="004462A0" w:rsidRPr="00CC4B51" w:rsidRDefault="00615769" w:rsidP="002917C9">
      <w:pPr>
        <w:keepNext/>
        <w:autoSpaceDE w:val="0"/>
        <w:autoSpaceDN w:val="0"/>
        <w:adjustRightInd w:val="0"/>
        <w:rPr>
          <w:sz w:val="22"/>
          <w:szCs w:val="22"/>
        </w:rPr>
      </w:pPr>
      <w:r w:rsidRPr="00CC4B51">
        <w:rPr>
          <w:sz w:val="22"/>
          <w:szCs w:val="22"/>
        </w:rPr>
        <w:t xml:space="preserve">Foram </w:t>
      </w:r>
      <w:r w:rsidR="00B5581D">
        <w:rPr>
          <w:sz w:val="22"/>
          <w:szCs w:val="22"/>
        </w:rPr>
        <w:t>analisadas</w:t>
      </w:r>
      <w:r w:rsidR="00B5581D" w:rsidRPr="00CC4B51">
        <w:rPr>
          <w:sz w:val="22"/>
          <w:szCs w:val="22"/>
        </w:rPr>
        <w:t xml:space="preserve"> </w:t>
      </w:r>
      <w:r w:rsidRPr="00CC4B51">
        <w:rPr>
          <w:sz w:val="22"/>
          <w:szCs w:val="22"/>
        </w:rPr>
        <w:t>amostras de soro dos doentes em múltiplos pontos temporais para pesquisa de autoanticorpos nos estudos I-V na artrite reumatoide. Nestes ensaios, 11,9</w:t>
      </w:r>
      <w:r w:rsidR="009343EF">
        <w:rPr>
          <w:sz w:val="22"/>
          <w:szCs w:val="22"/>
        </w:rPr>
        <w:t>%</w:t>
      </w:r>
      <w:r w:rsidRPr="00CC4B51">
        <w:rPr>
          <w:sz w:val="22"/>
          <w:szCs w:val="22"/>
        </w:rPr>
        <w:t xml:space="preserve"> dos doentes tratados com Humira e 8,1</w:t>
      </w:r>
      <w:r w:rsidR="009343EF">
        <w:rPr>
          <w:sz w:val="22"/>
          <w:szCs w:val="22"/>
        </w:rPr>
        <w:t>%</w:t>
      </w:r>
      <w:r w:rsidRPr="00CC4B51">
        <w:rPr>
          <w:sz w:val="22"/>
          <w:szCs w:val="22"/>
        </w:rPr>
        <w:t xml:space="preserve"> dos doentes tratados com placebo e controlo ativo, cujos títulos de anticorpos antinucleares eram negativos no início do estudo, apresentavam títulos positivos na Semana 24. Dois dos 3.441 doentes tratados com Humira nos estudos </w:t>
      </w:r>
      <w:r w:rsidR="00B5581D">
        <w:rPr>
          <w:sz w:val="22"/>
          <w:szCs w:val="22"/>
        </w:rPr>
        <w:t>na</w:t>
      </w:r>
      <w:r w:rsidR="00B5581D" w:rsidRPr="00CC4B51">
        <w:rPr>
          <w:sz w:val="22"/>
          <w:szCs w:val="22"/>
        </w:rPr>
        <w:t xml:space="preserve"> </w:t>
      </w:r>
      <w:r w:rsidRPr="00CC4B51">
        <w:rPr>
          <w:sz w:val="22"/>
          <w:szCs w:val="22"/>
        </w:rPr>
        <w:t>artrite reumatoide e artrite psoriática desenvolveram, pela primeira vez, sinais clínicos sugestivos de uma síndrome tipo lúpus. O estado dos doentes melhorou após a suspensão da terapêutica. Nenhum doente desenvolveu nefrite lúpica ou sintomas a nível do sistema nervoso central</w:t>
      </w:r>
      <w:r w:rsidRPr="00CC4B51">
        <w:rPr>
          <w:sz w:val="22"/>
          <w:szCs w:val="22"/>
        </w:rPr>
        <w:t xml:space="preserve">. </w:t>
      </w:r>
    </w:p>
    <w:p w14:paraId="6E78254A" w14:textId="77777777" w:rsidR="004462A0" w:rsidRPr="00CC4B51" w:rsidRDefault="004462A0" w:rsidP="004462A0">
      <w:pPr>
        <w:ind w:left="567" w:hanging="567"/>
        <w:rPr>
          <w:sz w:val="22"/>
          <w:szCs w:val="22"/>
        </w:rPr>
      </w:pPr>
    </w:p>
    <w:p w14:paraId="123B6D7D" w14:textId="77777777" w:rsidR="004462A0" w:rsidRPr="00CC4B51" w:rsidRDefault="00615769" w:rsidP="004462A0">
      <w:pPr>
        <w:ind w:left="567" w:hanging="567"/>
        <w:rPr>
          <w:sz w:val="22"/>
          <w:szCs w:val="22"/>
        </w:rPr>
      </w:pPr>
      <w:r w:rsidRPr="00CC4B51">
        <w:rPr>
          <w:i/>
          <w:sz w:val="22"/>
          <w:szCs w:val="22"/>
        </w:rPr>
        <w:t>Efeitos hepatobiliares</w:t>
      </w:r>
      <w:r w:rsidRPr="00CC4B51">
        <w:rPr>
          <w:sz w:val="22"/>
          <w:szCs w:val="22"/>
        </w:rPr>
        <w:t xml:space="preserve"> </w:t>
      </w:r>
    </w:p>
    <w:p w14:paraId="0CE41394" w14:textId="77777777" w:rsidR="004462A0" w:rsidRPr="00CC4B51" w:rsidRDefault="004462A0" w:rsidP="004462A0">
      <w:pPr>
        <w:rPr>
          <w:i/>
          <w:iCs/>
          <w:sz w:val="22"/>
          <w:szCs w:val="22"/>
        </w:rPr>
      </w:pPr>
    </w:p>
    <w:p w14:paraId="24CFCCF7" w14:textId="77777777" w:rsidR="004462A0" w:rsidRPr="00CC4B51" w:rsidRDefault="00615769" w:rsidP="004462A0">
      <w:pPr>
        <w:rPr>
          <w:sz w:val="22"/>
          <w:szCs w:val="22"/>
        </w:rPr>
      </w:pPr>
      <w:r w:rsidRPr="00CC4B51">
        <w:rPr>
          <w:sz w:val="22"/>
          <w:szCs w:val="22"/>
        </w:rPr>
        <w:t>Nos ensaios clínicos de Fase 3 controlados de Humira, em doentes com artrite reumatoide (AR) e artrite psoriática, com um período de controlo compreendido entre 4 a 104 semanas, os aumentos de ALT ≥ 3 LNS ocorreram em 3,7</w:t>
      </w:r>
      <w:r w:rsidR="009343EF">
        <w:rPr>
          <w:sz w:val="22"/>
          <w:szCs w:val="22"/>
        </w:rPr>
        <w:t>%</w:t>
      </w:r>
      <w:r w:rsidRPr="00CC4B51">
        <w:rPr>
          <w:sz w:val="22"/>
          <w:szCs w:val="22"/>
        </w:rPr>
        <w:t xml:space="preserve"> dos doentes tratados com Humira e em 1,6</w:t>
      </w:r>
      <w:r w:rsidR="009343EF">
        <w:rPr>
          <w:sz w:val="22"/>
          <w:szCs w:val="22"/>
        </w:rPr>
        <w:t>%</w:t>
      </w:r>
      <w:r w:rsidRPr="00CC4B51">
        <w:rPr>
          <w:sz w:val="22"/>
          <w:szCs w:val="22"/>
        </w:rPr>
        <w:t xml:space="preserve"> dos doentes tratados com controlo. </w:t>
      </w:r>
    </w:p>
    <w:p w14:paraId="52F6DC0C" w14:textId="77777777" w:rsidR="004462A0" w:rsidRPr="00CC4B51" w:rsidRDefault="004462A0" w:rsidP="004462A0">
      <w:pPr>
        <w:rPr>
          <w:sz w:val="22"/>
          <w:szCs w:val="22"/>
        </w:rPr>
      </w:pPr>
    </w:p>
    <w:p w14:paraId="63649AAA" w14:textId="77777777" w:rsidR="004462A0" w:rsidRPr="00CC4B51" w:rsidRDefault="00615769" w:rsidP="004462A0">
      <w:pPr>
        <w:autoSpaceDE w:val="0"/>
        <w:autoSpaceDN w:val="0"/>
        <w:adjustRightInd w:val="0"/>
        <w:rPr>
          <w:sz w:val="22"/>
          <w:szCs w:val="22"/>
        </w:rPr>
      </w:pPr>
      <w:r w:rsidRPr="00CC4B51">
        <w:rPr>
          <w:sz w:val="22"/>
          <w:szCs w:val="22"/>
        </w:rPr>
        <w:t>Nos ensaios clínicos de Fase 3 de Humira, em doentes com artrite idiopática juvenil</w:t>
      </w:r>
      <w:r w:rsidR="00B5581D">
        <w:rPr>
          <w:sz w:val="22"/>
          <w:szCs w:val="22"/>
        </w:rPr>
        <w:t xml:space="preserve"> poliarticular</w:t>
      </w:r>
      <w:r w:rsidRPr="00CC4B51">
        <w:rPr>
          <w:sz w:val="22"/>
          <w:szCs w:val="22"/>
        </w:rPr>
        <w:t>, dos 4 aos 17 anos de idade e com artrite relacionada com entesite, dos 6 aos 17 anos de idade, os aumentos de ALT ≥ 3 LNS ocorreram em 6,1% dos doentes tratados com Humira e em 1,3% dos doentes tratados com controlo. Os aumentos de ALT ocorreram na sua maioria em associação com metotrexato. Nos ensaios clínicos de Fase 3 de Humira, não se registaram casos de aumentos de ALT</w:t>
      </w:r>
      <w:r w:rsidR="00B5581D">
        <w:rPr>
          <w:sz w:val="22"/>
          <w:szCs w:val="22"/>
        </w:rPr>
        <w:t xml:space="preserve"> </w:t>
      </w:r>
      <w:r w:rsidRPr="00CC4B51">
        <w:rPr>
          <w:sz w:val="22"/>
          <w:szCs w:val="22"/>
        </w:rPr>
        <w:t>≥ 3 LNS em doentes com artrite idiopática juvenil poliarticular, com idades compreendidas entre os 2 e os 4 anos</w:t>
      </w:r>
      <w:r w:rsidR="00B5581D">
        <w:rPr>
          <w:sz w:val="22"/>
          <w:szCs w:val="22"/>
        </w:rPr>
        <w:t>.</w:t>
      </w:r>
    </w:p>
    <w:p w14:paraId="258E5196" w14:textId="77777777" w:rsidR="004462A0" w:rsidRPr="00CC4B51" w:rsidRDefault="004462A0" w:rsidP="004462A0">
      <w:pPr>
        <w:rPr>
          <w:sz w:val="22"/>
          <w:szCs w:val="22"/>
        </w:rPr>
      </w:pPr>
    </w:p>
    <w:p w14:paraId="5FDCBB8F" w14:textId="77777777" w:rsidR="004462A0" w:rsidRPr="00CC4B51" w:rsidRDefault="00615769" w:rsidP="004462A0">
      <w:pPr>
        <w:rPr>
          <w:sz w:val="20"/>
          <w:szCs w:val="22"/>
        </w:rPr>
      </w:pPr>
      <w:r w:rsidRPr="00CC4B51">
        <w:rPr>
          <w:sz w:val="22"/>
          <w:szCs w:val="22"/>
        </w:rPr>
        <w:t>Nos ensaios clínicos de Fase 3 controlados de Humira, em doentes com</w:t>
      </w:r>
      <w:r w:rsidRPr="00CC4B51">
        <w:rPr>
          <w:i/>
          <w:iCs/>
          <w:sz w:val="20"/>
          <w:szCs w:val="22"/>
        </w:rPr>
        <w:t xml:space="preserve"> </w:t>
      </w:r>
      <w:r w:rsidRPr="00CC4B51">
        <w:rPr>
          <w:iCs/>
          <w:sz w:val="22"/>
          <w:szCs w:val="22"/>
        </w:rPr>
        <w:t>doença de Crohn e colite ulcerosa</w:t>
      </w:r>
      <w:r w:rsidRPr="00CC4B51">
        <w:rPr>
          <w:iCs/>
          <w:sz w:val="20"/>
          <w:szCs w:val="22"/>
        </w:rPr>
        <w:t>,</w:t>
      </w:r>
      <w:r w:rsidRPr="00CC4B51">
        <w:rPr>
          <w:sz w:val="22"/>
          <w:szCs w:val="22"/>
        </w:rPr>
        <w:t xml:space="preserve"> com um período de controlo compreendido entre 4 a 52 semanas, os aumentos de ALT </w:t>
      </w:r>
      <w:r w:rsidRPr="00CC4B51">
        <w:rPr>
          <w:sz w:val="22"/>
        </w:rPr>
        <w:t>≥ 3 LNS ocorreram em 0,9</w:t>
      </w:r>
      <w:r w:rsidR="009343EF">
        <w:rPr>
          <w:sz w:val="22"/>
        </w:rPr>
        <w:t>%</w:t>
      </w:r>
      <w:r w:rsidRPr="00CC4B51">
        <w:rPr>
          <w:sz w:val="22"/>
        </w:rPr>
        <w:t xml:space="preserve"> dos doentes tratados com Humira e em 0,9</w:t>
      </w:r>
      <w:r w:rsidR="009343EF">
        <w:rPr>
          <w:sz w:val="22"/>
        </w:rPr>
        <w:t>%</w:t>
      </w:r>
      <w:r w:rsidRPr="00CC4B51">
        <w:rPr>
          <w:sz w:val="22"/>
        </w:rPr>
        <w:t xml:space="preserve"> dos doentes tratados com controlo</w:t>
      </w:r>
      <w:r w:rsidRPr="00CC4B51">
        <w:rPr>
          <w:sz w:val="20"/>
          <w:szCs w:val="22"/>
        </w:rPr>
        <w:t>.</w:t>
      </w:r>
    </w:p>
    <w:p w14:paraId="32145583" w14:textId="77777777" w:rsidR="004462A0" w:rsidRPr="00CC4B51" w:rsidRDefault="004462A0" w:rsidP="004462A0">
      <w:pPr>
        <w:rPr>
          <w:sz w:val="22"/>
          <w:szCs w:val="22"/>
        </w:rPr>
      </w:pPr>
    </w:p>
    <w:p w14:paraId="51214008" w14:textId="77777777" w:rsidR="004462A0" w:rsidRPr="00CC4B51" w:rsidRDefault="00615769" w:rsidP="004462A0">
      <w:pPr>
        <w:rPr>
          <w:sz w:val="22"/>
          <w:szCs w:val="22"/>
        </w:rPr>
      </w:pPr>
      <w:r w:rsidRPr="00CC4B51">
        <w:rPr>
          <w:sz w:val="22"/>
          <w:szCs w:val="22"/>
        </w:rPr>
        <w:t>No ensaio clínico de Fase 3 de Humira, em doentes com</w:t>
      </w:r>
      <w:r w:rsidRPr="00CC4B51">
        <w:rPr>
          <w:i/>
          <w:iCs/>
          <w:sz w:val="22"/>
          <w:szCs w:val="22"/>
        </w:rPr>
        <w:t xml:space="preserve"> </w:t>
      </w:r>
      <w:r w:rsidRPr="00CC4B51">
        <w:rPr>
          <w:iCs/>
          <w:sz w:val="22"/>
          <w:szCs w:val="22"/>
        </w:rPr>
        <w:t xml:space="preserve">doença de Crohn pediátrica, que avaliou a eficácia e segurança de dois regimes posológicos </w:t>
      </w:r>
      <w:r w:rsidRPr="00CC4B51">
        <w:rPr>
          <w:sz w:val="22"/>
          <w:szCs w:val="22"/>
        </w:rPr>
        <w:t>de manutenção e indução ajustados ao peso corporal</w:t>
      </w:r>
      <w:r w:rsidRPr="00CC4B51">
        <w:rPr>
          <w:iCs/>
          <w:sz w:val="22"/>
          <w:szCs w:val="22"/>
        </w:rPr>
        <w:t xml:space="preserve"> durante 52 semanas de tratamento,</w:t>
      </w:r>
      <w:r w:rsidRPr="00CC4B51">
        <w:rPr>
          <w:sz w:val="22"/>
          <w:szCs w:val="22"/>
        </w:rPr>
        <w:t xml:space="preserve"> os aumentos de ALT ≥ 3 LNS ocorreram em 2,6</w:t>
      </w:r>
      <w:r w:rsidR="009343EF">
        <w:rPr>
          <w:sz w:val="22"/>
          <w:szCs w:val="22"/>
        </w:rPr>
        <w:t>%</w:t>
      </w:r>
      <w:r w:rsidRPr="00CC4B51">
        <w:rPr>
          <w:sz w:val="22"/>
          <w:szCs w:val="22"/>
        </w:rPr>
        <w:t xml:space="preserve"> (5/192) dos doentes</w:t>
      </w:r>
      <w:r w:rsidR="0098579F">
        <w:rPr>
          <w:sz w:val="22"/>
          <w:szCs w:val="22"/>
        </w:rPr>
        <w:t>,</w:t>
      </w:r>
      <w:r w:rsidRPr="00CC4B51">
        <w:rPr>
          <w:sz w:val="22"/>
          <w:szCs w:val="22"/>
        </w:rPr>
        <w:t xml:space="preserve"> </w:t>
      </w:r>
      <w:r w:rsidR="0098579F">
        <w:rPr>
          <w:sz w:val="22"/>
          <w:szCs w:val="22"/>
        </w:rPr>
        <w:t>dos</w:t>
      </w:r>
      <w:r w:rsidRPr="00CC4B51">
        <w:rPr>
          <w:sz w:val="22"/>
          <w:szCs w:val="22"/>
        </w:rPr>
        <w:t xml:space="preserve"> quais 4 receberam medicação imunossupressora concomitante no início do tratamento.</w:t>
      </w:r>
    </w:p>
    <w:p w14:paraId="03A24AA7" w14:textId="77777777" w:rsidR="004462A0" w:rsidRPr="00CC4B51" w:rsidRDefault="004462A0" w:rsidP="004462A0">
      <w:pPr>
        <w:rPr>
          <w:sz w:val="22"/>
          <w:szCs w:val="22"/>
        </w:rPr>
      </w:pPr>
    </w:p>
    <w:p w14:paraId="041690AF" w14:textId="77777777" w:rsidR="004462A0" w:rsidRPr="00CC4B51" w:rsidRDefault="00615769" w:rsidP="004462A0">
      <w:pPr>
        <w:rPr>
          <w:sz w:val="22"/>
          <w:szCs w:val="22"/>
        </w:rPr>
      </w:pPr>
      <w:r w:rsidRPr="00CC4B51">
        <w:rPr>
          <w:sz w:val="22"/>
          <w:szCs w:val="22"/>
        </w:rPr>
        <w:t>Nos ensaios clínicos controlados de Fase 3 de Humira, em doentes com</w:t>
      </w:r>
      <w:r w:rsidRPr="00CC4B51">
        <w:rPr>
          <w:i/>
          <w:iCs/>
          <w:sz w:val="22"/>
          <w:szCs w:val="22"/>
        </w:rPr>
        <w:t xml:space="preserve"> </w:t>
      </w:r>
      <w:r w:rsidRPr="00CC4B51">
        <w:rPr>
          <w:iCs/>
          <w:sz w:val="22"/>
          <w:szCs w:val="22"/>
        </w:rPr>
        <w:t>psoríase em placas,</w:t>
      </w:r>
      <w:r w:rsidRPr="00CC4B51">
        <w:rPr>
          <w:sz w:val="22"/>
          <w:szCs w:val="22"/>
        </w:rPr>
        <w:t xml:space="preserve"> com um período de controlo compreendido entre 12 a 24 semanas, os aumentos de ALT ≥ 3 LNS ocorreram em 1,8</w:t>
      </w:r>
      <w:r w:rsidR="009343EF">
        <w:rPr>
          <w:sz w:val="22"/>
          <w:szCs w:val="22"/>
        </w:rPr>
        <w:t>%</w:t>
      </w:r>
      <w:r w:rsidRPr="00CC4B51">
        <w:rPr>
          <w:sz w:val="22"/>
          <w:szCs w:val="22"/>
        </w:rPr>
        <w:t xml:space="preserve"> dos doentes tratados com Humira e em 1,8</w:t>
      </w:r>
      <w:r w:rsidR="009343EF">
        <w:rPr>
          <w:sz w:val="22"/>
          <w:szCs w:val="22"/>
        </w:rPr>
        <w:t>%</w:t>
      </w:r>
      <w:r w:rsidRPr="00CC4B51">
        <w:rPr>
          <w:sz w:val="22"/>
          <w:szCs w:val="22"/>
        </w:rPr>
        <w:t xml:space="preserve"> dos doentes tratados com controlo.</w:t>
      </w:r>
    </w:p>
    <w:p w14:paraId="70B93CE6" w14:textId="77777777" w:rsidR="004462A0" w:rsidRPr="00CC4B51" w:rsidRDefault="004462A0" w:rsidP="004462A0">
      <w:pPr>
        <w:rPr>
          <w:sz w:val="22"/>
          <w:szCs w:val="22"/>
        </w:rPr>
      </w:pPr>
    </w:p>
    <w:p w14:paraId="0D622DA8" w14:textId="77777777" w:rsidR="004462A0" w:rsidRPr="00CC4B51" w:rsidRDefault="00615769" w:rsidP="004462A0">
      <w:pPr>
        <w:rPr>
          <w:sz w:val="22"/>
          <w:szCs w:val="22"/>
        </w:rPr>
      </w:pPr>
      <w:r w:rsidRPr="00CC4B51">
        <w:rPr>
          <w:sz w:val="22"/>
          <w:szCs w:val="22"/>
        </w:rPr>
        <w:t>Nos ensaios clínicos de Fase 3 de Humira</w:t>
      </w:r>
      <w:r w:rsidR="00A4692F">
        <w:rPr>
          <w:sz w:val="22"/>
          <w:szCs w:val="22"/>
        </w:rPr>
        <w:t>,</w:t>
      </w:r>
      <w:r w:rsidRPr="00CC4B51">
        <w:rPr>
          <w:sz w:val="22"/>
          <w:szCs w:val="22"/>
        </w:rPr>
        <w:t xml:space="preserve"> em doentes pediátricos com psoríase em placas, não se registaram aumentos de ALT</w:t>
      </w:r>
      <w:r w:rsidR="00A4692F">
        <w:rPr>
          <w:sz w:val="22"/>
          <w:szCs w:val="22"/>
        </w:rPr>
        <w:t xml:space="preserve"> </w:t>
      </w:r>
      <w:r w:rsidRPr="00CC4B51">
        <w:rPr>
          <w:sz w:val="22"/>
          <w:szCs w:val="22"/>
        </w:rPr>
        <w:t>≥ 3 LNS.</w:t>
      </w:r>
    </w:p>
    <w:p w14:paraId="0A7E414E" w14:textId="77777777" w:rsidR="004462A0" w:rsidRPr="00CC4B51" w:rsidRDefault="004462A0" w:rsidP="004462A0">
      <w:pPr>
        <w:rPr>
          <w:sz w:val="22"/>
          <w:szCs w:val="22"/>
        </w:rPr>
      </w:pPr>
    </w:p>
    <w:p w14:paraId="289BF473" w14:textId="77777777" w:rsidR="004462A0" w:rsidRPr="00CC4B51" w:rsidRDefault="00615769" w:rsidP="004462A0">
      <w:pPr>
        <w:rPr>
          <w:sz w:val="22"/>
          <w:szCs w:val="22"/>
        </w:rPr>
      </w:pPr>
      <w:r w:rsidRPr="00CC4B51">
        <w:rPr>
          <w:sz w:val="22"/>
          <w:szCs w:val="22"/>
        </w:rPr>
        <w:t>Nos ensaios clínicos controlados de Humira (doses iniciais de 160 mg na Semana 0 e 80 mg na Semana 2, seguida de 40 mg por semana a partir da Semana 4), em doentes com hidradenite supurativa, com um período de controlo compreendido entre 12 e 16 semanas, os aumentos de ALT ≥ 3 LN</w:t>
      </w:r>
      <w:r w:rsidR="00FC7E81">
        <w:rPr>
          <w:sz w:val="22"/>
          <w:szCs w:val="22"/>
        </w:rPr>
        <w:t>S</w:t>
      </w:r>
      <w:r w:rsidRPr="00CC4B51">
        <w:rPr>
          <w:sz w:val="22"/>
          <w:szCs w:val="22"/>
        </w:rPr>
        <w:t xml:space="preserve"> ocorreram em 0,3</w:t>
      </w:r>
      <w:r w:rsidR="009343EF">
        <w:rPr>
          <w:sz w:val="22"/>
          <w:szCs w:val="22"/>
        </w:rPr>
        <w:t>%</w:t>
      </w:r>
      <w:r w:rsidRPr="00CC4B51">
        <w:rPr>
          <w:sz w:val="22"/>
          <w:szCs w:val="22"/>
        </w:rPr>
        <w:t xml:space="preserve"> dos doentes tratados com Humira e em 0,6</w:t>
      </w:r>
      <w:r w:rsidR="009343EF">
        <w:rPr>
          <w:sz w:val="22"/>
          <w:szCs w:val="22"/>
        </w:rPr>
        <w:t>%</w:t>
      </w:r>
      <w:r w:rsidRPr="00CC4B51">
        <w:rPr>
          <w:sz w:val="22"/>
          <w:szCs w:val="22"/>
        </w:rPr>
        <w:t xml:space="preserve"> dos doentes tratados com controlo.</w:t>
      </w:r>
    </w:p>
    <w:p w14:paraId="01FDB294" w14:textId="77777777" w:rsidR="004462A0" w:rsidRPr="00CC4B51" w:rsidRDefault="004462A0" w:rsidP="004462A0">
      <w:pPr>
        <w:rPr>
          <w:sz w:val="22"/>
          <w:szCs w:val="22"/>
        </w:rPr>
      </w:pPr>
    </w:p>
    <w:p w14:paraId="7CB88039" w14:textId="77777777" w:rsidR="004462A0" w:rsidRPr="00CC4B51" w:rsidRDefault="00615769" w:rsidP="004462A0">
      <w:pPr>
        <w:rPr>
          <w:sz w:val="22"/>
          <w:szCs w:val="22"/>
        </w:rPr>
      </w:pPr>
      <w:r w:rsidRPr="00CC4B51">
        <w:rPr>
          <w:sz w:val="22"/>
          <w:szCs w:val="22"/>
        </w:rPr>
        <w:t xml:space="preserve">Nos ensaios clínicos controlados de Humira (doses iniciais de 80 mg na Semana 0, seguida de 40 mg em semanas alternadas a partir da Semana 1), em doentes </w:t>
      </w:r>
      <w:r w:rsidR="00924846">
        <w:rPr>
          <w:sz w:val="22"/>
          <w:szCs w:val="22"/>
        </w:rPr>
        <w:t xml:space="preserve">adultos </w:t>
      </w:r>
      <w:r w:rsidRPr="00CC4B51">
        <w:rPr>
          <w:sz w:val="22"/>
          <w:szCs w:val="22"/>
        </w:rPr>
        <w:t xml:space="preserve">com uveíte, </w:t>
      </w:r>
      <w:r w:rsidR="00A4692F">
        <w:rPr>
          <w:sz w:val="22"/>
          <w:szCs w:val="22"/>
        </w:rPr>
        <w:t>até</w:t>
      </w:r>
      <w:r w:rsidR="00A4692F" w:rsidRPr="00CC4B51">
        <w:rPr>
          <w:sz w:val="22"/>
          <w:szCs w:val="22"/>
        </w:rPr>
        <w:t xml:space="preserve"> </w:t>
      </w:r>
      <w:r w:rsidRPr="00CC4B51">
        <w:rPr>
          <w:sz w:val="22"/>
          <w:szCs w:val="22"/>
        </w:rPr>
        <w:t xml:space="preserve">80 semanas, com uma exposição </w:t>
      </w:r>
      <w:r w:rsidR="00A4692F">
        <w:rPr>
          <w:sz w:val="22"/>
          <w:szCs w:val="22"/>
        </w:rPr>
        <w:t>mediana</w:t>
      </w:r>
      <w:r w:rsidR="00A4692F" w:rsidRPr="00CC4B51">
        <w:rPr>
          <w:sz w:val="22"/>
          <w:szCs w:val="22"/>
        </w:rPr>
        <w:t xml:space="preserve"> </w:t>
      </w:r>
      <w:r w:rsidRPr="00CC4B51">
        <w:rPr>
          <w:sz w:val="22"/>
          <w:szCs w:val="22"/>
        </w:rPr>
        <w:t>de 166,5 dias e 105,0 dias em doentes tratados com Humira e doentes tratados com controlo, respetivamente, os aumentos de ALT ≥ 3 LNS ocorreram em 2,4</w:t>
      </w:r>
      <w:r w:rsidR="009343EF">
        <w:rPr>
          <w:sz w:val="22"/>
          <w:szCs w:val="22"/>
        </w:rPr>
        <w:t>%</w:t>
      </w:r>
      <w:r w:rsidRPr="00CC4B51">
        <w:rPr>
          <w:sz w:val="22"/>
          <w:szCs w:val="22"/>
        </w:rPr>
        <w:t xml:space="preserve"> dos doentes tratados com Humira e em 2,4</w:t>
      </w:r>
      <w:r w:rsidR="009343EF">
        <w:rPr>
          <w:sz w:val="22"/>
          <w:szCs w:val="22"/>
        </w:rPr>
        <w:t>%</w:t>
      </w:r>
      <w:r w:rsidRPr="00CC4B51">
        <w:rPr>
          <w:sz w:val="22"/>
          <w:szCs w:val="22"/>
        </w:rPr>
        <w:t xml:space="preserve"> dos doentes tratados com controlo.</w:t>
      </w:r>
    </w:p>
    <w:p w14:paraId="4D1C0E35" w14:textId="77777777" w:rsidR="004462A0" w:rsidRPr="00CC4B51" w:rsidRDefault="004462A0" w:rsidP="004462A0">
      <w:pPr>
        <w:rPr>
          <w:sz w:val="22"/>
          <w:szCs w:val="22"/>
        </w:rPr>
      </w:pPr>
    </w:p>
    <w:p w14:paraId="4859EFA1" w14:textId="77777777" w:rsidR="00D94630" w:rsidRDefault="00615769" w:rsidP="004462A0">
      <w:pPr>
        <w:rPr>
          <w:sz w:val="22"/>
          <w:szCs w:val="22"/>
        </w:rPr>
      </w:pPr>
      <w:r w:rsidRPr="00D94630">
        <w:rPr>
          <w:sz w:val="22"/>
          <w:szCs w:val="22"/>
        </w:rPr>
        <w:t>No ensaio clínico controlado de Fase 3 de Humira, em doentes com colite ulcerosa pediátrica (N=93), que avaliou a eficácia e segurança de uma dose de manutenção de 0,6 mg/kg (máximo de 40 mg) em semanas alternadas (N=31) e de uma dose de manutenção de 0,6 mg/kg (máximo de 40 mg) semanalmente (N=32), após uma dose de indução ajustada ao peso corporal de 2,4 mg/kg (máximo de 160 mg) na Semana 0 e na Semana 1, e de 1,2 mg/kg (máximo de 80 mg) na Semana 2 (N=63), ou uma dose de indução de 2,4 mg/kg (máximo de 1</w:t>
      </w:r>
      <w:r w:rsidRPr="00D94630">
        <w:rPr>
          <w:sz w:val="22"/>
          <w:szCs w:val="22"/>
        </w:rPr>
        <w:t>60 mg) na Semana 0, placebo na Semana 1, e 1,2 mg/kg (máximo de 80 mg) na Semana 2 (N=30), os aumentos de ALT ≥ 3 LNS ocorreram em 1,1% (1/93) dos doentes.</w:t>
      </w:r>
    </w:p>
    <w:p w14:paraId="3D4ACE4D" w14:textId="77777777" w:rsidR="00D94630" w:rsidRDefault="00D94630" w:rsidP="004462A0">
      <w:pPr>
        <w:rPr>
          <w:sz w:val="22"/>
          <w:szCs w:val="22"/>
        </w:rPr>
      </w:pPr>
    </w:p>
    <w:p w14:paraId="79D93F81" w14:textId="77777777" w:rsidR="004462A0" w:rsidRPr="00CC4B51" w:rsidRDefault="00615769" w:rsidP="004462A0">
      <w:pPr>
        <w:rPr>
          <w:sz w:val="22"/>
          <w:szCs w:val="22"/>
        </w:rPr>
      </w:pPr>
      <w:r w:rsidRPr="00CC4B51">
        <w:rPr>
          <w:sz w:val="22"/>
          <w:szCs w:val="22"/>
        </w:rPr>
        <w:t>Nos ensaios clínicos, em todas as indicações, os doentes com ALT aumentada estavam assintomáticos</w:t>
      </w:r>
      <w:r w:rsidR="00A4692F">
        <w:rPr>
          <w:sz w:val="22"/>
          <w:szCs w:val="22"/>
        </w:rPr>
        <w:t>,</w:t>
      </w:r>
      <w:r w:rsidRPr="00CC4B51">
        <w:rPr>
          <w:sz w:val="22"/>
          <w:szCs w:val="22"/>
        </w:rPr>
        <w:t xml:space="preserve"> e na maioria dos casos os aumentos foram transitórios e resolvidos com a continuação do tratamento. Contudo, foram também notificadas, em fase de pós</w:t>
      </w:r>
      <w:r w:rsidR="00A4692F">
        <w:rPr>
          <w:sz w:val="22"/>
          <w:szCs w:val="22"/>
        </w:rPr>
        <w:t>-</w:t>
      </w:r>
      <w:r w:rsidRPr="00CC4B51">
        <w:rPr>
          <w:sz w:val="22"/>
          <w:szCs w:val="22"/>
        </w:rPr>
        <w:t>comercialização, insuficiência hepática e afeções hepáticas menos graves</w:t>
      </w:r>
      <w:r w:rsidR="00A4692F">
        <w:rPr>
          <w:sz w:val="22"/>
          <w:szCs w:val="22"/>
        </w:rPr>
        <w:t>,</w:t>
      </w:r>
      <w:r w:rsidRPr="00CC4B51">
        <w:rPr>
          <w:sz w:val="22"/>
          <w:szCs w:val="22"/>
        </w:rPr>
        <w:t xml:space="preserve"> que podem preceder a insuficiência hepática, tal como hepatite, incluindo hepatite autoimune, em doentes tratados com adalimumab.</w:t>
      </w:r>
    </w:p>
    <w:p w14:paraId="1E662868" w14:textId="77777777" w:rsidR="004462A0" w:rsidRPr="00CC4B51" w:rsidRDefault="004462A0" w:rsidP="004462A0">
      <w:pPr>
        <w:tabs>
          <w:tab w:val="left" w:pos="562"/>
        </w:tabs>
        <w:suppressAutoHyphens/>
        <w:rPr>
          <w:sz w:val="22"/>
          <w:szCs w:val="22"/>
          <w:u w:val="single"/>
        </w:rPr>
      </w:pPr>
    </w:p>
    <w:p w14:paraId="5028F107" w14:textId="77777777" w:rsidR="004462A0" w:rsidRPr="00CC4B51" w:rsidRDefault="00615769" w:rsidP="004462A0">
      <w:pPr>
        <w:tabs>
          <w:tab w:val="left" w:pos="562"/>
        </w:tabs>
        <w:suppressAutoHyphens/>
        <w:rPr>
          <w:sz w:val="22"/>
          <w:szCs w:val="22"/>
          <w:u w:val="single"/>
        </w:rPr>
      </w:pPr>
      <w:r w:rsidRPr="00CC4B51">
        <w:rPr>
          <w:sz w:val="22"/>
          <w:szCs w:val="22"/>
          <w:u w:val="single"/>
        </w:rPr>
        <w:t>Administração concomitante com azatioprina/6-mercaptopurina</w:t>
      </w:r>
    </w:p>
    <w:p w14:paraId="4DB36BD0" w14:textId="77777777" w:rsidR="004462A0" w:rsidRPr="00CC4B51" w:rsidRDefault="004462A0" w:rsidP="004462A0">
      <w:pPr>
        <w:tabs>
          <w:tab w:val="left" w:pos="562"/>
        </w:tabs>
        <w:suppressAutoHyphens/>
        <w:rPr>
          <w:iCs/>
          <w:sz w:val="22"/>
          <w:szCs w:val="22"/>
        </w:rPr>
      </w:pPr>
    </w:p>
    <w:p w14:paraId="773BF555" w14:textId="77777777" w:rsidR="004462A0" w:rsidRPr="00CC4B51" w:rsidRDefault="00615769" w:rsidP="004462A0">
      <w:pPr>
        <w:rPr>
          <w:sz w:val="22"/>
          <w:szCs w:val="22"/>
        </w:rPr>
      </w:pPr>
      <w:r w:rsidRPr="00CC4B51">
        <w:rPr>
          <w:sz w:val="22"/>
          <w:szCs w:val="22"/>
        </w:rPr>
        <w:t>Em ensaios realizados em adultos com doença de Crohn, com administração concomitante de Humira e azatioprina/6-mercaptopurina, foram observados acontecimentos adversos com uma maior incidência de neoplasias e infeções graves, quando comparados com a utilização de Humira isoladamente.</w:t>
      </w:r>
    </w:p>
    <w:p w14:paraId="523FB7DD" w14:textId="77777777" w:rsidR="004462A0" w:rsidRPr="00CC4B51" w:rsidRDefault="004462A0" w:rsidP="004462A0"/>
    <w:p w14:paraId="717D6808" w14:textId="77777777" w:rsidR="004462A0" w:rsidRPr="00CC4B51" w:rsidRDefault="00615769" w:rsidP="004462A0">
      <w:pPr>
        <w:keepNext/>
        <w:suppressAutoHyphens/>
        <w:rPr>
          <w:sz w:val="22"/>
          <w:szCs w:val="22"/>
          <w:u w:val="single"/>
        </w:rPr>
      </w:pPr>
      <w:r w:rsidRPr="00CC4B51">
        <w:rPr>
          <w:sz w:val="22"/>
          <w:szCs w:val="22"/>
          <w:u w:val="single"/>
        </w:rPr>
        <w:t>Notificação de suspeitas de reações adversas</w:t>
      </w:r>
    </w:p>
    <w:p w14:paraId="730CF76F" w14:textId="77777777" w:rsidR="004462A0" w:rsidRPr="00CC4B51" w:rsidRDefault="004462A0" w:rsidP="004462A0">
      <w:pPr>
        <w:keepNext/>
        <w:suppressAutoHyphens/>
        <w:rPr>
          <w:sz w:val="22"/>
          <w:szCs w:val="22"/>
        </w:rPr>
      </w:pPr>
    </w:p>
    <w:p w14:paraId="537D5954" w14:textId="77777777" w:rsidR="004462A0" w:rsidRPr="00CC4B51" w:rsidRDefault="00615769" w:rsidP="004462A0">
      <w:pPr>
        <w:keepNext/>
      </w:pPr>
      <w:r w:rsidRPr="00CC4B51">
        <w:rPr>
          <w:sz w:val="22"/>
          <w:szCs w:val="22"/>
        </w:rPr>
        <w:t>A notificação de suspeitas de reações adversas após a autorização do medicamento é importante</w:t>
      </w:r>
      <w:r w:rsidR="00A4692F">
        <w:rPr>
          <w:sz w:val="22"/>
          <w:szCs w:val="22"/>
        </w:rPr>
        <w:t>,</w:t>
      </w:r>
      <w:r w:rsidRPr="00CC4B51">
        <w:rPr>
          <w:sz w:val="22"/>
          <w:szCs w:val="22"/>
        </w:rPr>
        <w:t xml:space="preserve"> </w:t>
      </w:r>
      <w:r w:rsidR="00A4692F">
        <w:rPr>
          <w:sz w:val="22"/>
          <w:szCs w:val="22"/>
        </w:rPr>
        <w:t xml:space="preserve">uma vez que </w:t>
      </w:r>
      <w:r w:rsidRPr="00CC4B51">
        <w:rPr>
          <w:sz w:val="22"/>
          <w:szCs w:val="22"/>
        </w:rPr>
        <w:t>permite uma monitorização contínua da relação benefício</w:t>
      </w:r>
      <w:r w:rsidR="00A4692F">
        <w:rPr>
          <w:sz w:val="22"/>
          <w:szCs w:val="22"/>
        </w:rPr>
        <w:t>-</w:t>
      </w:r>
      <w:r w:rsidRPr="00CC4B51">
        <w:rPr>
          <w:sz w:val="22"/>
          <w:szCs w:val="22"/>
        </w:rPr>
        <w:t xml:space="preserve">risco do medicamento. Pede-se aos profissionais de saúde que notifiquem quaisquer suspeitas de reações adversas através </w:t>
      </w:r>
      <w:r w:rsidRPr="00CC4B51">
        <w:rPr>
          <w:sz w:val="22"/>
          <w:szCs w:val="22"/>
          <w:highlight w:val="lightGray"/>
        </w:rPr>
        <w:t xml:space="preserve">do sistema nacional de notificação mencionado no </w:t>
      </w:r>
      <w:hyperlink r:id="rId21" w:history="1">
        <w:r w:rsidR="004462A0" w:rsidRPr="00CC4B51">
          <w:rPr>
            <w:color w:val="0000FF"/>
            <w:sz w:val="22"/>
            <w:szCs w:val="22"/>
            <w:highlight w:val="lightGray"/>
            <w:u w:val="single"/>
          </w:rPr>
          <w:t>Apêndice V</w:t>
        </w:r>
      </w:hyperlink>
      <w:r w:rsidRPr="00CC4B51">
        <w:rPr>
          <w:sz w:val="22"/>
          <w:szCs w:val="22"/>
          <w:highlight w:val="lightGray"/>
        </w:rPr>
        <w:t>.</w:t>
      </w:r>
    </w:p>
    <w:p w14:paraId="0AD8DD09" w14:textId="77777777" w:rsidR="004462A0" w:rsidRPr="00CC4B51" w:rsidRDefault="004462A0" w:rsidP="004462A0"/>
    <w:p w14:paraId="3CA45CDD" w14:textId="77777777" w:rsidR="004462A0" w:rsidRPr="00CC4B51" w:rsidRDefault="00615769" w:rsidP="00B24AC6">
      <w:pPr>
        <w:keepNext/>
        <w:ind w:left="567" w:hanging="567"/>
        <w:rPr>
          <w:sz w:val="22"/>
          <w:szCs w:val="22"/>
        </w:rPr>
      </w:pPr>
      <w:r w:rsidRPr="00CC4B51">
        <w:rPr>
          <w:b/>
          <w:sz w:val="22"/>
          <w:szCs w:val="22"/>
        </w:rPr>
        <w:t>4.9</w:t>
      </w:r>
      <w:r w:rsidRPr="00CC4B51">
        <w:rPr>
          <w:b/>
          <w:sz w:val="22"/>
          <w:szCs w:val="22"/>
        </w:rPr>
        <w:tab/>
        <w:t xml:space="preserve">Sobredosagem </w:t>
      </w:r>
    </w:p>
    <w:p w14:paraId="088B65C7" w14:textId="77777777" w:rsidR="004462A0" w:rsidRPr="00CC4B51" w:rsidRDefault="004462A0" w:rsidP="00B24AC6">
      <w:pPr>
        <w:keepNext/>
        <w:rPr>
          <w:sz w:val="22"/>
          <w:szCs w:val="22"/>
        </w:rPr>
      </w:pPr>
    </w:p>
    <w:p w14:paraId="66CC2E73" w14:textId="77777777" w:rsidR="004462A0" w:rsidRPr="00CC4B51" w:rsidRDefault="00615769" w:rsidP="00B24AC6">
      <w:pPr>
        <w:keepNext/>
        <w:rPr>
          <w:sz w:val="22"/>
          <w:szCs w:val="22"/>
        </w:rPr>
      </w:pPr>
      <w:r w:rsidRPr="00CC4B51">
        <w:rPr>
          <w:sz w:val="22"/>
          <w:szCs w:val="22"/>
        </w:rPr>
        <w:t>No decurso dos ensaios clínicos não se observou toxicidade limitativa das doses. O nível posológico mais alto avaliado correspondeu a doses intravenosas múltiplas de 10 mg/kg, que é aproximadamente 15 vezes a dose recomendada.</w:t>
      </w:r>
    </w:p>
    <w:p w14:paraId="421EE398" w14:textId="77777777" w:rsidR="004462A0" w:rsidRPr="00CC4B51" w:rsidRDefault="004462A0" w:rsidP="004462A0">
      <w:pPr>
        <w:rPr>
          <w:sz w:val="22"/>
          <w:szCs w:val="22"/>
        </w:rPr>
      </w:pPr>
    </w:p>
    <w:p w14:paraId="360E14B0" w14:textId="77777777" w:rsidR="004462A0" w:rsidRPr="00CC4B51" w:rsidRDefault="004462A0" w:rsidP="004462A0">
      <w:pPr>
        <w:rPr>
          <w:sz w:val="22"/>
          <w:szCs w:val="22"/>
        </w:rPr>
      </w:pPr>
    </w:p>
    <w:p w14:paraId="553C6EF1" w14:textId="77777777" w:rsidR="004462A0" w:rsidRPr="00CC4B51" w:rsidRDefault="00615769" w:rsidP="004462A0">
      <w:pPr>
        <w:ind w:left="567" w:hanging="567"/>
        <w:rPr>
          <w:sz w:val="22"/>
          <w:szCs w:val="22"/>
        </w:rPr>
      </w:pPr>
      <w:r w:rsidRPr="00CC4B51">
        <w:rPr>
          <w:b/>
          <w:sz w:val="22"/>
          <w:szCs w:val="22"/>
        </w:rPr>
        <w:t>5.</w:t>
      </w:r>
      <w:r w:rsidRPr="00CC4B51">
        <w:rPr>
          <w:b/>
          <w:sz w:val="22"/>
          <w:szCs w:val="22"/>
        </w:rPr>
        <w:tab/>
        <w:t xml:space="preserve">PROPRIEDADES FARMACOLÓGICAS </w:t>
      </w:r>
    </w:p>
    <w:p w14:paraId="0A78E693" w14:textId="77777777" w:rsidR="004462A0" w:rsidRPr="00CC4B51" w:rsidRDefault="004462A0" w:rsidP="004462A0">
      <w:pPr>
        <w:rPr>
          <w:b/>
          <w:sz w:val="22"/>
          <w:szCs w:val="22"/>
        </w:rPr>
      </w:pPr>
    </w:p>
    <w:p w14:paraId="5B3252C4" w14:textId="77777777" w:rsidR="004462A0" w:rsidRPr="00CC4B51" w:rsidRDefault="00615769" w:rsidP="004462A0">
      <w:pPr>
        <w:ind w:left="567" w:hanging="567"/>
        <w:rPr>
          <w:sz w:val="22"/>
          <w:szCs w:val="22"/>
        </w:rPr>
      </w:pPr>
      <w:r w:rsidRPr="00CC4B51">
        <w:rPr>
          <w:b/>
          <w:sz w:val="22"/>
          <w:szCs w:val="22"/>
        </w:rPr>
        <w:t xml:space="preserve">5.1 </w:t>
      </w:r>
      <w:r w:rsidRPr="00CC4B51">
        <w:rPr>
          <w:b/>
          <w:sz w:val="22"/>
          <w:szCs w:val="22"/>
        </w:rPr>
        <w:tab/>
        <w:t xml:space="preserve">Propriedades farmacodinâmicas </w:t>
      </w:r>
    </w:p>
    <w:p w14:paraId="349E2057" w14:textId="77777777" w:rsidR="004462A0" w:rsidRPr="00CC4B51" w:rsidRDefault="004462A0" w:rsidP="004462A0">
      <w:pPr>
        <w:rPr>
          <w:sz w:val="22"/>
          <w:szCs w:val="22"/>
        </w:rPr>
      </w:pPr>
    </w:p>
    <w:p w14:paraId="314B7C1A" w14:textId="77777777" w:rsidR="004462A0" w:rsidRPr="00CC4B51" w:rsidRDefault="00615769" w:rsidP="004462A0">
      <w:pPr>
        <w:rPr>
          <w:sz w:val="22"/>
          <w:szCs w:val="22"/>
        </w:rPr>
      </w:pPr>
      <w:r w:rsidRPr="00CC4B51">
        <w:rPr>
          <w:sz w:val="22"/>
          <w:szCs w:val="22"/>
        </w:rPr>
        <w:t>Grupo farmacoterapêutico: Imunossupressores, Inibidores do Fator de Necrose Tumoral alfa (TNF-α). Código ATC: L04AB04</w:t>
      </w:r>
    </w:p>
    <w:p w14:paraId="37E4CAC3" w14:textId="77777777" w:rsidR="004462A0" w:rsidRPr="00CC4B51" w:rsidRDefault="004462A0" w:rsidP="004462A0">
      <w:pPr>
        <w:rPr>
          <w:sz w:val="22"/>
          <w:szCs w:val="22"/>
        </w:rPr>
      </w:pPr>
    </w:p>
    <w:p w14:paraId="5F436218" w14:textId="77777777" w:rsidR="004462A0" w:rsidRPr="00CC4B51" w:rsidRDefault="00615769" w:rsidP="004462A0">
      <w:pPr>
        <w:rPr>
          <w:sz w:val="22"/>
          <w:szCs w:val="22"/>
          <w:u w:val="single"/>
        </w:rPr>
      </w:pPr>
      <w:r w:rsidRPr="00CC4B51">
        <w:rPr>
          <w:sz w:val="22"/>
          <w:szCs w:val="22"/>
          <w:u w:val="single"/>
        </w:rPr>
        <w:t xml:space="preserve">Mecanismo de ação </w:t>
      </w:r>
    </w:p>
    <w:p w14:paraId="371728F5" w14:textId="77777777" w:rsidR="004462A0" w:rsidRPr="00CC4B51" w:rsidRDefault="004462A0" w:rsidP="004462A0">
      <w:pPr>
        <w:rPr>
          <w:sz w:val="22"/>
          <w:szCs w:val="22"/>
        </w:rPr>
      </w:pPr>
    </w:p>
    <w:p w14:paraId="0E8B0A9C" w14:textId="77777777" w:rsidR="004462A0" w:rsidRPr="00CC4B51" w:rsidRDefault="00615769" w:rsidP="004462A0">
      <w:pPr>
        <w:rPr>
          <w:sz w:val="22"/>
          <w:szCs w:val="22"/>
        </w:rPr>
      </w:pPr>
      <w:r w:rsidRPr="00CC4B51">
        <w:rPr>
          <w:sz w:val="22"/>
          <w:szCs w:val="22"/>
        </w:rPr>
        <w:t xml:space="preserve">Adalimumab liga-se especificamente ao TNF e neutraliza a função biológica do TNF bloqueando a sua interação com os recetores TNF p55 e p75 da superfície celular. </w:t>
      </w:r>
    </w:p>
    <w:p w14:paraId="0722C0B7" w14:textId="77777777" w:rsidR="004462A0" w:rsidRPr="00CC4B51" w:rsidRDefault="004462A0" w:rsidP="004462A0">
      <w:pPr>
        <w:rPr>
          <w:sz w:val="22"/>
          <w:szCs w:val="22"/>
        </w:rPr>
      </w:pPr>
    </w:p>
    <w:p w14:paraId="5B47EF3E" w14:textId="77777777" w:rsidR="004462A0" w:rsidRPr="00CC4B51" w:rsidRDefault="00615769" w:rsidP="004462A0">
      <w:pPr>
        <w:rPr>
          <w:sz w:val="22"/>
          <w:szCs w:val="22"/>
        </w:rPr>
      </w:pPr>
      <w:r w:rsidRPr="00CC4B51">
        <w:rPr>
          <w:sz w:val="22"/>
          <w:szCs w:val="22"/>
        </w:rPr>
        <w:t>Adalimumab modula também as respostas biológicas induzidas ou reguladas pelo TNF, incluindo as alterações dos níveis das moléculas de adesão responsáveis pela migração leucocitária (ELAM-1, VCAM-1 e ICAM-1 com uma CI</w:t>
      </w:r>
      <w:r w:rsidRPr="00CC4B51">
        <w:rPr>
          <w:sz w:val="22"/>
          <w:szCs w:val="22"/>
          <w:vertAlign w:val="subscript"/>
        </w:rPr>
        <w:t>50</w:t>
      </w:r>
      <w:r w:rsidRPr="00CC4B51">
        <w:rPr>
          <w:sz w:val="22"/>
          <w:szCs w:val="22"/>
        </w:rPr>
        <w:t xml:space="preserve"> de 0,1</w:t>
      </w:r>
      <w:r w:rsidRPr="00CC4B51">
        <w:rPr>
          <w:sz w:val="22"/>
          <w:szCs w:val="22"/>
        </w:rPr>
        <w:noBreakHyphen/>
        <w:t xml:space="preserve">0,2 nM). </w:t>
      </w:r>
    </w:p>
    <w:p w14:paraId="71B1F14A" w14:textId="77777777" w:rsidR="004462A0" w:rsidRPr="00CC4B51" w:rsidRDefault="004462A0" w:rsidP="004462A0">
      <w:pPr>
        <w:rPr>
          <w:sz w:val="22"/>
          <w:szCs w:val="22"/>
        </w:rPr>
      </w:pPr>
    </w:p>
    <w:p w14:paraId="5282A6EE" w14:textId="77777777" w:rsidR="004462A0" w:rsidRPr="00CC4B51" w:rsidRDefault="00615769" w:rsidP="00F73E10">
      <w:pPr>
        <w:keepNext/>
        <w:autoSpaceDE w:val="0"/>
        <w:autoSpaceDN w:val="0"/>
        <w:adjustRightInd w:val="0"/>
        <w:rPr>
          <w:sz w:val="22"/>
          <w:szCs w:val="22"/>
          <w:u w:val="single"/>
        </w:rPr>
      </w:pPr>
      <w:r w:rsidRPr="00CC4B51">
        <w:rPr>
          <w:sz w:val="22"/>
          <w:szCs w:val="22"/>
          <w:u w:val="single"/>
        </w:rPr>
        <w:t xml:space="preserve">Efeitos farmacodinâmicos </w:t>
      </w:r>
    </w:p>
    <w:p w14:paraId="794AECD2" w14:textId="77777777" w:rsidR="004462A0" w:rsidRPr="00CC4B51" w:rsidRDefault="004462A0" w:rsidP="00F73E10">
      <w:pPr>
        <w:keepNext/>
        <w:autoSpaceDE w:val="0"/>
        <w:autoSpaceDN w:val="0"/>
        <w:adjustRightInd w:val="0"/>
        <w:rPr>
          <w:sz w:val="22"/>
          <w:szCs w:val="22"/>
          <w:u w:val="single"/>
        </w:rPr>
      </w:pPr>
    </w:p>
    <w:p w14:paraId="4A6C37DD" w14:textId="77777777" w:rsidR="004462A0" w:rsidRPr="00CC4B51" w:rsidRDefault="00615769" w:rsidP="00F73E10">
      <w:pPr>
        <w:keepNext/>
        <w:rPr>
          <w:sz w:val="22"/>
          <w:szCs w:val="22"/>
        </w:rPr>
      </w:pPr>
      <w:r w:rsidRPr="00CC4B51">
        <w:rPr>
          <w:sz w:val="22"/>
          <w:szCs w:val="22"/>
        </w:rPr>
        <w:t>Após o tratamento com Humira em doentes com artrite reumatoide observou-se uma rápida descida dos níveis de marcadores de inflamação de fase aguda (proteína C reativa (PCR) e velocidade de sedimentação eritrocitária (VS)) e das cito</w:t>
      </w:r>
      <w:r w:rsidR="005D2ECC">
        <w:rPr>
          <w:sz w:val="22"/>
          <w:szCs w:val="22"/>
        </w:rPr>
        <w:t>c</w:t>
      </w:r>
      <w:r w:rsidRPr="00CC4B51">
        <w:rPr>
          <w:sz w:val="22"/>
          <w:szCs w:val="22"/>
        </w:rPr>
        <w:t>inas séricas (IL</w:t>
      </w:r>
      <w:r w:rsidRPr="00CC4B51">
        <w:rPr>
          <w:sz w:val="22"/>
          <w:szCs w:val="22"/>
        </w:rPr>
        <w:noBreakHyphen/>
        <w:t xml:space="preserve">6) relativamente aos valores basais. Na sequência da administração de Humira verificou-se igualmente descida dos níveis séricos das metaloproteinases da matriz (MMP-1 e MMP-3) que produzem remodelação </w:t>
      </w:r>
      <w:r w:rsidR="005D2ECC">
        <w:rPr>
          <w:sz w:val="22"/>
          <w:szCs w:val="22"/>
        </w:rPr>
        <w:t>tecidular</w:t>
      </w:r>
      <w:r w:rsidR="005D2ECC" w:rsidRPr="00CC4B51">
        <w:rPr>
          <w:sz w:val="22"/>
          <w:szCs w:val="22"/>
        </w:rPr>
        <w:t xml:space="preserve"> </w:t>
      </w:r>
      <w:r w:rsidRPr="00CC4B51">
        <w:rPr>
          <w:sz w:val="22"/>
          <w:szCs w:val="22"/>
        </w:rPr>
        <w:t xml:space="preserve">responsável pela destruição da cartilagem. Nos doentes tratados com Humira observa-se geralmente melhoria dos sinais hematológicos de inflamação crónica. </w:t>
      </w:r>
    </w:p>
    <w:p w14:paraId="34A7F1A0" w14:textId="77777777" w:rsidR="004462A0" w:rsidRPr="00CC4B51" w:rsidRDefault="004462A0" w:rsidP="004462A0">
      <w:pPr>
        <w:rPr>
          <w:sz w:val="22"/>
          <w:szCs w:val="22"/>
        </w:rPr>
      </w:pPr>
    </w:p>
    <w:p w14:paraId="29ED66E3" w14:textId="77777777" w:rsidR="004462A0" w:rsidRPr="00CC4B51" w:rsidRDefault="00615769" w:rsidP="004462A0">
      <w:pPr>
        <w:rPr>
          <w:sz w:val="22"/>
          <w:szCs w:val="22"/>
        </w:rPr>
      </w:pPr>
      <w:r w:rsidRPr="00CC4B51">
        <w:rPr>
          <w:sz w:val="22"/>
          <w:szCs w:val="22"/>
        </w:rPr>
        <w:t>Em doentes com artrite idiopática juvenil poliarticular, doença de Crohn, colite ulcerosa e hidradenite supurativa, foi também observada uma diminuição rápida nos níveis de PCR após tratamento com Humira. Em doentes com doença de Crohn foi observada uma redução do número de células expressando marcadores inflamatórios no cólon</w:t>
      </w:r>
      <w:r w:rsidR="005D2ECC">
        <w:rPr>
          <w:sz w:val="22"/>
          <w:szCs w:val="22"/>
        </w:rPr>
        <w:t>,</w:t>
      </w:r>
      <w:r w:rsidRPr="00CC4B51">
        <w:rPr>
          <w:sz w:val="22"/>
          <w:szCs w:val="22"/>
        </w:rPr>
        <w:t xml:space="preserve"> incluindo uma redução significativa da expressão de TNFα. Estudos endoscópicos da mucosa intestinal mostraram evidência de cicatrização da mucosa, em doentes tratados com adalimumab.</w:t>
      </w:r>
    </w:p>
    <w:p w14:paraId="1390CB30" w14:textId="77777777" w:rsidR="004462A0" w:rsidRPr="00CC4B51" w:rsidRDefault="004462A0" w:rsidP="004462A0">
      <w:pPr>
        <w:rPr>
          <w:sz w:val="22"/>
          <w:szCs w:val="22"/>
        </w:rPr>
      </w:pPr>
    </w:p>
    <w:p w14:paraId="34CFB72C" w14:textId="77777777" w:rsidR="004462A0" w:rsidRPr="00CC4B51" w:rsidRDefault="00615769" w:rsidP="004462A0">
      <w:pPr>
        <w:rPr>
          <w:sz w:val="22"/>
          <w:szCs w:val="22"/>
          <w:u w:val="single"/>
        </w:rPr>
      </w:pPr>
      <w:r w:rsidRPr="00CC4B51">
        <w:rPr>
          <w:sz w:val="22"/>
          <w:szCs w:val="22"/>
          <w:u w:val="single"/>
        </w:rPr>
        <w:t xml:space="preserve">Eficácia e segurança clínicas </w:t>
      </w:r>
    </w:p>
    <w:p w14:paraId="1FB2D872" w14:textId="77777777" w:rsidR="004462A0" w:rsidRDefault="004462A0" w:rsidP="004462A0">
      <w:pPr>
        <w:rPr>
          <w:sz w:val="22"/>
          <w:szCs w:val="22"/>
          <w:u w:val="single"/>
        </w:rPr>
      </w:pPr>
    </w:p>
    <w:p w14:paraId="2B264F81" w14:textId="77777777" w:rsidR="003C6698" w:rsidRPr="008912CF" w:rsidRDefault="00615769" w:rsidP="003C6698">
      <w:pPr>
        <w:keepNext/>
        <w:rPr>
          <w:sz w:val="22"/>
          <w:szCs w:val="22"/>
        </w:rPr>
      </w:pPr>
      <w:r w:rsidRPr="008912CF">
        <w:rPr>
          <w:i/>
          <w:sz w:val="22"/>
          <w:szCs w:val="22"/>
        </w:rPr>
        <w:t>Artrite reumatoide</w:t>
      </w:r>
    </w:p>
    <w:p w14:paraId="77C4C347" w14:textId="77777777" w:rsidR="003C6698" w:rsidRPr="008912CF" w:rsidRDefault="003C6698" w:rsidP="003C6698">
      <w:pPr>
        <w:keepNext/>
        <w:rPr>
          <w:sz w:val="22"/>
          <w:szCs w:val="22"/>
          <w:u w:val="single"/>
        </w:rPr>
      </w:pPr>
    </w:p>
    <w:p w14:paraId="52847C91" w14:textId="77777777" w:rsidR="003C6698" w:rsidRPr="008912CF" w:rsidRDefault="00615769" w:rsidP="003C6698">
      <w:pPr>
        <w:keepNext/>
        <w:rPr>
          <w:sz w:val="22"/>
          <w:szCs w:val="22"/>
        </w:rPr>
      </w:pPr>
      <w:r w:rsidRPr="008912CF">
        <w:rPr>
          <w:sz w:val="22"/>
          <w:szCs w:val="22"/>
        </w:rPr>
        <w:t>Humira foi avaliado em mais de 3.000 doentes com artrite reumatoide que participaram em todos os ensaios clínicos. A eficácia e segurança de Humira foram avaliadas em cinco estudos aleat</w:t>
      </w:r>
      <w:r w:rsidR="005D2ECC">
        <w:rPr>
          <w:sz w:val="22"/>
          <w:szCs w:val="22"/>
        </w:rPr>
        <w:t>orizados</w:t>
      </w:r>
      <w:r w:rsidRPr="008912CF">
        <w:rPr>
          <w:sz w:val="22"/>
          <w:szCs w:val="22"/>
        </w:rPr>
        <w:t xml:space="preserve">, com dupla ocultação, bem controlados. Alguns doentes foram tratados durante um período até 120 meses. </w:t>
      </w:r>
      <w:r w:rsidR="005D2ECC">
        <w:rPr>
          <w:sz w:val="22"/>
          <w:szCs w:val="22"/>
        </w:rPr>
        <w:t>A dor</w:t>
      </w:r>
      <w:r w:rsidRPr="008912CF">
        <w:rPr>
          <w:sz w:val="22"/>
          <w:szCs w:val="22"/>
        </w:rPr>
        <w:t xml:space="preserve"> no local da injeção de Humira 40</w:t>
      </w:r>
      <w:r>
        <w:rPr>
          <w:sz w:val="22"/>
          <w:szCs w:val="22"/>
        </w:rPr>
        <w:t> </w:t>
      </w:r>
      <w:r w:rsidRPr="008912CF">
        <w:rPr>
          <w:sz w:val="22"/>
          <w:szCs w:val="22"/>
        </w:rPr>
        <w:t>mg/0,4</w:t>
      </w:r>
      <w:r>
        <w:rPr>
          <w:sz w:val="22"/>
          <w:szCs w:val="22"/>
        </w:rPr>
        <w:t> </w:t>
      </w:r>
      <w:r w:rsidRPr="008912CF">
        <w:rPr>
          <w:sz w:val="22"/>
          <w:szCs w:val="22"/>
        </w:rPr>
        <w:t>ml fo</w:t>
      </w:r>
      <w:r w:rsidR="005D2ECC">
        <w:rPr>
          <w:sz w:val="22"/>
          <w:szCs w:val="22"/>
        </w:rPr>
        <w:t>i</w:t>
      </w:r>
      <w:r w:rsidRPr="008912CF">
        <w:rPr>
          <w:sz w:val="22"/>
          <w:szCs w:val="22"/>
        </w:rPr>
        <w:t xml:space="preserve"> avaliada em dois estudos </w:t>
      </w:r>
      <w:r w:rsidR="005D2ECC" w:rsidRPr="008912CF">
        <w:rPr>
          <w:sz w:val="22"/>
          <w:szCs w:val="22"/>
        </w:rPr>
        <w:t xml:space="preserve">cruzados, </w:t>
      </w:r>
      <w:r w:rsidR="0013275C">
        <w:rPr>
          <w:sz w:val="22"/>
          <w:szCs w:val="22"/>
        </w:rPr>
        <w:t>aleatorizado</w:t>
      </w:r>
      <w:r w:rsidRPr="008912CF">
        <w:rPr>
          <w:sz w:val="22"/>
          <w:szCs w:val="22"/>
        </w:rPr>
        <w:t xml:space="preserve">s, </w:t>
      </w:r>
      <w:r w:rsidR="005D2ECC">
        <w:rPr>
          <w:sz w:val="22"/>
          <w:szCs w:val="22"/>
        </w:rPr>
        <w:t xml:space="preserve">em ocultação, </w:t>
      </w:r>
      <w:r w:rsidRPr="008912CF">
        <w:rPr>
          <w:sz w:val="22"/>
          <w:szCs w:val="22"/>
        </w:rPr>
        <w:t>com controlo ativo, em dois períodos.</w:t>
      </w:r>
    </w:p>
    <w:p w14:paraId="3FABB798" w14:textId="77777777" w:rsidR="003C6698" w:rsidRPr="008912CF" w:rsidRDefault="00615769" w:rsidP="003C6698">
      <w:pPr>
        <w:rPr>
          <w:sz w:val="22"/>
          <w:szCs w:val="22"/>
        </w:rPr>
      </w:pPr>
      <w:r w:rsidRPr="008912CF">
        <w:rPr>
          <w:sz w:val="22"/>
          <w:szCs w:val="22"/>
        </w:rPr>
        <w:t xml:space="preserve"> </w:t>
      </w:r>
    </w:p>
    <w:p w14:paraId="39AF11CB" w14:textId="77777777" w:rsidR="003C6698" w:rsidRPr="008912CF" w:rsidRDefault="00615769" w:rsidP="003C6698">
      <w:pPr>
        <w:rPr>
          <w:sz w:val="22"/>
          <w:szCs w:val="22"/>
        </w:rPr>
      </w:pPr>
      <w:r w:rsidRPr="008912CF">
        <w:rPr>
          <w:sz w:val="22"/>
          <w:szCs w:val="22"/>
        </w:rPr>
        <w:t xml:space="preserve">O estudo AR I avaliou 271 doentes com artrite reumatoide ativa moderada a grave, com idade </w:t>
      </w:r>
      <w:r w:rsidRPr="008912CF">
        <w:rPr>
          <w:rFonts w:ascii="Symbol" w:hAnsi="Symbol"/>
          <w:sz w:val="22"/>
          <w:szCs w:val="22"/>
        </w:rPr>
        <w:sym w:font="Symbol" w:char="F0B3"/>
      </w:r>
      <w:r w:rsidRPr="008912CF">
        <w:rPr>
          <w:sz w:val="22"/>
          <w:szCs w:val="22"/>
        </w:rPr>
        <w:t> 18 anos, em que uma terapêutica com pelo menos um medicamento anti</w:t>
      </w:r>
      <w:r w:rsidR="00F96DDF">
        <w:rPr>
          <w:sz w:val="22"/>
          <w:szCs w:val="22"/>
        </w:rPr>
        <w:t>-</w:t>
      </w:r>
      <w:r w:rsidRPr="008912CF">
        <w:rPr>
          <w:sz w:val="22"/>
          <w:szCs w:val="22"/>
        </w:rPr>
        <w:t xml:space="preserve">reumático modificador da doença não foi bem sucedida, em que a eficácia de metotrexato em doses semanais de 12,5 a 25 mg (10 mg em caso de intolerância a metotrexato) foi insuficiente e em que a dose semanal de </w:t>
      </w:r>
      <w:r w:rsidRPr="008912CF">
        <w:rPr>
          <w:sz w:val="22"/>
          <w:szCs w:val="22"/>
        </w:rPr>
        <w:t>metotrexato de 10 a 25 mg permaneceu constante. Foram administradas doses de 20, 40 ou 80 mg de Humira ou placebo em semanas alternadas durante 24 semanas.</w:t>
      </w:r>
    </w:p>
    <w:p w14:paraId="0C4A6ED8" w14:textId="77777777" w:rsidR="003C6698" w:rsidRPr="008912CF" w:rsidRDefault="003C6698" w:rsidP="003C6698">
      <w:pPr>
        <w:rPr>
          <w:sz w:val="22"/>
          <w:szCs w:val="22"/>
        </w:rPr>
      </w:pPr>
    </w:p>
    <w:p w14:paraId="1E8AFCA2" w14:textId="77777777" w:rsidR="003C6698" w:rsidRPr="008912CF" w:rsidRDefault="00615769" w:rsidP="003C6698">
      <w:pPr>
        <w:rPr>
          <w:i/>
          <w:sz w:val="22"/>
          <w:szCs w:val="22"/>
        </w:rPr>
      </w:pPr>
      <w:r w:rsidRPr="008912CF">
        <w:rPr>
          <w:sz w:val="22"/>
          <w:szCs w:val="22"/>
        </w:rPr>
        <w:t xml:space="preserve">O estudo AR II avaliou 544 doentes com artrite reumatoide ativa moderada a grave com idade </w:t>
      </w:r>
      <w:r w:rsidRPr="008912CF">
        <w:rPr>
          <w:rFonts w:ascii="Symbol" w:hAnsi="Symbol"/>
          <w:sz w:val="22"/>
          <w:szCs w:val="22"/>
        </w:rPr>
        <w:sym w:font="Symbol" w:char="F0B3"/>
      </w:r>
      <w:r w:rsidRPr="008912CF">
        <w:rPr>
          <w:sz w:val="22"/>
          <w:szCs w:val="22"/>
        </w:rPr>
        <w:t> 18 anos e em que uma terapêutica com pelo menos um medicamento anti</w:t>
      </w:r>
      <w:r w:rsidR="00F96DDF">
        <w:rPr>
          <w:sz w:val="22"/>
          <w:szCs w:val="22"/>
        </w:rPr>
        <w:t>-</w:t>
      </w:r>
      <w:r w:rsidRPr="008912CF">
        <w:rPr>
          <w:sz w:val="22"/>
          <w:szCs w:val="22"/>
        </w:rPr>
        <w:t>reumático modificador da doença não foi bem sucedida. Foram administradas doses de 20 ou 40 mg de Humira por injeção subcutânea em semanas alternadas, com placebo em semanas alternadas ou semanalmente durante 26 semanas; o placebo foi administrado todas as semanas durante idêntico período. Não foi permitida a utilização de quaisquer outros medicamentos anti</w:t>
      </w:r>
      <w:r w:rsidR="00F96DDF">
        <w:rPr>
          <w:sz w:val="22"/>
          <w:szCs w:val="22"/>
        </w:rPr>
        <w:t>-</w:t>
      </w:r>
      <w:r w:rsidRPr="008912CF">
        <w:rPr>
          <w:sz w:val="22"/>
          <w:szCs w:val="22"/>
        </w:rPr>
        <w:t>reumatismais modificadores da doença.</w:t>
      </w:r>
    </w:p>
    <w:p w14:paraId="550A941D" w14:textId="77777777" w:rsidR="003C6698" w:rsidRPr="008912CF" w:rsidRDefault="003C6698" w:rsidP="003C6698">
      <w:pPr>
        <w:pStyle w:val="EndnoteText"/>
        <w:rPr>
          <w:szCs w:val="22"/>
        </w:rPr>
      </w:pPr>
    </w:p>
    <w:p w14:paraId="11E0FE65" w14:textId="77777777" w:rsidR="003C6698" w:rsidRPr="008912CF" w:rsidRDefault="00615769" w:rsidP="003C6698">
      <w:pPr>
        <w:rPr>
          <w:sz w:val="22"/>
          <w:szCs w:val="22"/>
        </w:rPr>
      </w:pPr>
      <w:r w:rsidRPr="008912CF">
        <w:rPr>
          <w:sz w:val="22"/>
          <w:szCs w:val="22"/>
        </w:rPr>
        <w:t xml:space="preserve">O estudo AR III avaliou 619 doentes com artrite reumatoide ativa moderada a grave, com idade </w:t>
      </w:r>
      <w:r w:rsidRPr="008912CF">
        <w:rPr>
          <w:rFonts w:ascii="Symbol" w:hAnsi="Symbol"/>
          <w:sz w:val="22"/>
          <w:szCs w:val="22"/>
        </w:rPr>
        <w:sym w:font="Symbol" w:char="F0B3"/>
      </w:r>
      <w:r w:rsidRPr="008912CF">
        <w:rPr>
          <w:sz w:val="22"/>
          <w:szCs w:val="22"/>
        </w:rPr>
        <w:t xml:space="preserve"> 18 anos, e que tiveram uma resposta não eficaz a metotrexato nas doses de 12,5 a 25 mg, ou que tinham sido intolerantes a 10 mg de metotrexato administrado semanalmente. Participaram neste estudo três grupos. O primeiro grupo recebeu injeções semanais de placebo durante 52 semanas. O segundo grupo recebeu semanalmente 20 mg de Humira durante 52 semanas. O terceiro grupo recebeu 40 mg de Humira em semanas alternadas com injeções de placebo </w:t>
      </w:r>
      <w:r w:rsidR="005D2ECC">
        <w:rPr>
          <w:sz w:val="22"/>
          <w:szCs w:val="22"/>
        </w:rPr>
        <w:t>nas restantes semanas</w:t>
      </w:r>
      <w:r w:rsidRPr="008912CF">
        <w:rPr>
          <w:sz w:val="22"/>
          <w:szCs w:val="22"/>
        </w:rPr>
        <w:t>. Após completarem as primeiras 52 semanas, 45</w:t>
      </w:r>
      <w:r w:rsidRPr="008912CF">
        <w:rPr>
          <w:sz w:val="22"/>
          <w:szCs w:val="22"/>
        </w:rPr>
        <w:t>7 doentes foram incluídos numa extensão de fase aberta aos quais foram administrados 40 mg de Humira/MTX em semanas alternadas até 10 anos.</w:t>
      </w:r>
    </w:p>
    <w:p w14:paraId="7F8C24B5" w14:textId="77777777" w:rsidR="003C6698" w:rsidRPr="008912CF" w:rsidRDefault="003C6698" w:rsidP="003C6698">
      <w:pPr>
        <w:rPr>
          <w:sz w:val="22"/>
          <w:szCs w:val="22"/>
        </w:rPr>
      </w:pPr>
    </w:p>
    <w:p w14:paraId="3E69208D" w14:textId="77777777" w:rsidR="003C6698" w:rsidRPr="008912CF" w:rsidRDefault="00615769" w:rsidP="003C6698">
      <w:pPr>
        <w:rPr>
          <w:sz w:val="22"/>
          <w:szCs w:val="22"/>
        </w:rPr>
      </w:pPr>
      <w:r w:rsidRPr="008912CF">
        <w:rPr>
          <w:sz w:val="22"/>
          <w:szCs w:val="22"/>
        </w:rPr>
        <w:t xml:space="preserve">O estudo AR IV avaliou principalmente a segurança em 636 doentes com artrite reumatoide ativa moderada a grave com idade </w:t>
      </w:r>
      <w:r w:rsidRPr="008912CF">
        <w:rPr>
          <w:rFonts w:ascii="Symbol" w:hAnsi="Symbol"/>
          <w:sz w:val="22"/>
          <w:szCs w:val="22"/>
        </w:rPr>
        <w:sym w:font="Symbol" w:char="F0B3"/>
      </w:r>
      <w:r w:rsidRPr="008912CF">
        <w:rPr>
          <w:sz w:val="22"/>
          <w:szCs w:val="22"/>
        </w:rPr>
        <w:t> 18 anos. Este estudo permitia a inclusão de doentes sem terapêutica prévia com medicamentos anti</w:t>
      </w:r>
      <w:r w:rsidR="00F96DDF">
        <w:rPr>
          <w:sz w:val="22"/>
          <w:szCs w:val="22"/>
        </w:rPr>
        <w:t>-</w:t>
      </w:r>
      <w:r w:rsidRPr="008912CF">
        <w:rPr>
          <w:sz w:val="22"/>
          <w:szCs w:val="22"/>
        </w:rPr>
        <w:t>reumatismais modificadores da doença ou que continuaram o tratamento reumatológico pr</w:t>
      </w:r>
      <w:r w:rsidR="003A732E">
        <w:rPr>
          <w:sz w:val="22"/>
          <w:szCs w:val="22"/>
        </w:rPr>
        <w:t>é-</w:t>
      </w:r>
      <w:r w:rsidRPr="008912CF">
        <w:rPr>
          <w:sz w:val="22"/>
          <w:szCs w:val="22"/>
        </w:rPr>
        <w:t xml:space="preserve">existente desde que o mesmo se tivesse mantido estável durante um período mínimo de 28 dias. Estes tratamentos incluíram metotrexato, </w:t>
      </w:r>
      <w:r w:rsidR="003A732E">
        <w:rPr>
          <w:sz w:val="22"/>
          <w:szCs w:val="22"/>
        </w:rPr>
        <w:t>l</w:t>
      </w:r>
      <w:r w:rsidRPr="008912CF">
        <w:rPr>
          <w:sz w:val="22"/>
          <w:szCs w:val="22"/>
        </w:rPr>
        <w:t>eflunomid</w:t>
      </w:r>
      <w:r w:rsidR="003A732E">
        <w:rPr>
          <w:sz w:val="22"/>
          <w:szCs w:val="22"/>
        </w:rPr>
        <w:t>a</w:t>
      </w:r>
      <w:r w:rsidRPr="008912CF">
        <w:rPr>
          <w:sz w:val="22"/>
          <w:szCs w:val="22"/>
        </w:rPr>
        <w:t>, hidroxicloroquina, sulfassalazina e/ou sais de ouro. Os doentes foram aleatorizados para tratamento com 40 mg de Humira ou placebo em semanas alternadas durante 24 semanas.</w:t>
      </w:r>
    </w:p>
    <w:p w14:paraId="6212912B" w14:textId="77777777" w:rsidR="003C6698" w:rsidRPr="008912CF" w:rsidRDefault="003C6698" w:rsidP="003C6698">
      <w:pPr>
        <w:rPr>
          <w:sz w:val="22"/>
          <w:szCs w:val="22"/>
        </w:rPr>
      </w:pPr>
    </w:p>
    <w:p w14:paraId="7D58178D" w14:textId="77777777" w:rsidR="003C6698" w:rsidRPr="008912CF" w:rsidRDefault="00615769" w:rsidP="003C6698">
      <w:pPr>
        <w:pStyle w:val="BodyTextIndent"/>
        <w:ind w:left="0" w:firstLine="0"/>
        <w:rPr>
          <w:szCs w:val="22"/>
        </w:rPr>
      </w:pPr>
      <w:r w:rsidRPr="00CD2CCE">
        <w:rPr>
          <w:b w:val="0"/>
          <w:color w:val="auto"/>
          <w:szCs w:val="22"/>
        </w:rPr>
        <w:t>O estudo AR V avaliou 799 doentes adultos com artrite reumatoide precoce ativa moderada a grave</w:t>
      </w:r>
      <w:r w:rsidR="005D2ECC">
        <w:rPr>
          <w:b w:val="0"/>
          <w:color w:val="auto"/>
          <w:szCs w:val="22"/>
        </w:rPr>
        <w:t>,</w:t>
      </w:r>
      <w:r w:rsidRPr="00CD2CCE">
        <w:rPr>
          <w:b w:val="0"/>
          <w:color w:val="auto"/>
          <w:szCs w:val="22"/>
        </w:rPr>
        <w:t xml:space="preserve"> </w:t>
      </w:r>
      <w:r w:rsidR="005D2ECC" w:rsidRPr="00CD2CCE">
        <w:rPr>
          <w:b w:val="0"/>
          <w:color w:val="auto"/>
          <w:szCs w:val="22"/>
        </w:rPr>
        <w:t xml:space="preserve">não tratados previamente com metotrexato </w:t>
      </w:r>
      <w:r w:rsidRPr="00CD2CCE">
        <w:rPr>
          <w:b w:val="0"/>
          <w:color w:val="auto"/>
          <w:szCs w:val="22"/>
        </w:rPr>
        <w:t>(doença com uma duração média inferior a 9 meses). Este estudo avaliou</w:t>
      </w:r>
      <w:r w:rsidR="005D2ECC">
        <w:rPr>
          <w:b w:val="0"/>
          <w:color w:val="auto"/>
          <w:szCs w:val="22"/>
        </w:rPr>
        <w:t>,</w:t>
      </w:r>
      <w:r w:rsidRPr="00CD2CCE">
        <w:rPr>
          <w:b w:val="0"/>
          <w:color w:val="auto"/>
          <w:szCs w:val="22"/>
        </w:rPr>
        <w:t xml:space="preserve"> em 104 semanas</w:t>
      </w:r>
      <w:r w:rsidR="005D2ECC">
        <w:rPr>
          <w:b w:val="0"/>
          <w:color w:val="auto"/>
          <w:szCs w:val="22"/>
        </w:rPr>
        <w:t>,</w:t>
      </w:r>
      <w:r w:rsidRPr="00CD2CCE">
        <w:rPr>
          <w:b w:val="0"/>
          <w:color w:val="auto"/>
          <w:szCs w:val="22"/>
        </w:rPr>
        <w:t xml:space="preserve"> a eficácia da associação terapêutica Humira 40 mg em semanas alternadas/metotrexato, Humira 40 mg em semanas alternadas em monoterapia e metotrexato em monoterapia na redução de sinais e sintomas e na redução da taxa de progressão da lesão das articulações em doentes com artrite reumatoide. </w:t>
      </w:r>
      <w:r w:rsidRPr="00B609FF">
        <w:rPr>
          <w:b w:val="0"/>
          <w:color w:val="auto"/>
          <w:szCs w:val="22"/>
        </w:rPr>
        <w:t xml:space="preserve">Após a conclusão das primeiras 104 semanas, 497 </w:t>
      </w:r>
      <w:r>
        <w:rPr>
          <w:b w:val="0"/>
          <w:color w:val="auto"/>
          <w:szCs w:val="22"/>
        </w:rPr>
        <w:t xml:space="preserve">doentes foram incluídos numa </w:t>
      </w:r>
      <w:r w:rsidRPr="00B609FF">
        <w:rPr>
          <w:b w:val="0"/>
          <w:color w:val="auto"/>
          <w:szCs w:val="22"/>
        </w:rPr>
        <w:t xml:space="preserve">extensão </w:t>
      </w:r>
      <w:r>
        <w:rPr>
          <w:b w:val="0"/>
          <w:color w:val="auto"/>
          <w:szCs w:val="22"/>
        </w:rPr>
        <w:t xml:space="preserve">de fase </w:t>
      </w:r>
      <w:r w:rsidRPr="00B609FF">
        <w:rPr>
          <w:b w:val="0"/>
          <w:color w:val="auto"/>
          <w:szCs w:val="22"/>
        </w:rPr>
        <w:t>aberta</w:t>
      </w:r>
      <w:r>
        <w:rPr>
          <w:b w:val="0"/>
          <w:color w:val="auto"/>
          <w:szCs w:val="22"/>
        </w:rPr>
        <w:t xml:space="preserve"> </w:t>
      </w:r>
      <w:r w:rsidRPr="00477A1B">
        <w:rPr>
          <w:b w:val="0"/>
          <w:color w:val="auto"/>
          <w:szCs w:val="22"/>
        </w:rPr>
        <w:t>aos quais foram administrados 40</w:t>
      </w:r>
      <w:r>
        <w:rPr>
          <w:b w:val="0"/>
          <w:color w:val="auto"/>
          <w:szCs w:val="22"/>
        </w:rPr>
        <w:t> </w:t>
      </w:r>
      <w:r w:rsidRPr="00477A1B">
        <w:rPr>
          <w:b w:val="0"/>
          <w:color w:val="auto"/>
          <w:szCs w:val="22"/>
        </w:rPr>
        <w:t>mg de Humira</w:t>
      </w:r>
      <w:r>
        <w:rPr>
          <w:b w:val="0"/>
          <w:color w:val="auto"/>
          <w:szCs w:val="22"/>
        </w:rPr>
        <w:t xml:space="preserve"> </w:t>
      </w:r>
      <w:r w:rsidRPr="00477A1B">
        <w:rPr>
          <w:b w:val="0"/>
          <w:color w:val="auto"/>
          <w:szCs w:val="22"/>
        </w:rPr>
        <w:t>em semanas alternadas até 10 anos</w:t>
      </w:r>
      <w:r>
        <w:rPr>
          <w:b w:val="0"/>
          <w:color w:val="auto"/>
          <w:szCs w:val="22"/>
        </w:rPr>
        <w:t>.</w:t>
      </w:r>
    </w:p>
    <w:p w14:paraId="378C82DF" w14:textId="77777777" w:rsidR="003C6698" w:rsidRPr="008912CF" w:rsidRDefault="003C6698" w:rsidP="003C6698">
      <w:pPr>
        <w:rPr>
          <w:sz w:val="22"/>
          <w:szCs w:val="22"/>
        </w:rPr>
      </w:pPr>
    </w:p>
    <w:p w14:paraId="24856839" w14:textId="77777777" w:rsidR="003C6698" w:rsidRPr="008912CF" w:rsidRDefault="00615769" w:rsidP="003C6698">
      <w:pPr>
        <w:rPr>
          <w:sz w:val="22"/>
          <w:szCs w:val="22"/>
        </w:rPr>
      </w:pPr>
      <w:r w:rsidRPr="008912CF">
        <w:rPr>
          <w:sz w:val="22"/>
          <w:szCs w:val="22"/>
        </w:rPr>
        <w:t>Cada um dos estudos AR VI e VII avaliaram 60 doentes com artrite reumat</w:t>
      </w:r>
      <w:r>
        <w:rPr>
          <w:sz w:val="22"/>
          <w:szCs w:val="22"/>
        </w:rPr>
        <w:t>o</w:t>
      </w:r>
      <w:r w:rsidRPr="008912CF">
        <w:rPr>
          <w:sz w:val="22"/>
          <w:szCs w:val="22"/>
        </w:rPr>
        <w:t xml:space="preserve">ide ativa moderada a grave com idade </w:t>
      </w:r>
      <w:r w:rsidRPr="008912CF">
        <w:rPr>
          <w:rFonts w:ascii="Symbol" w:hAnsi="Symbol"/>
          <w:sz w:val="22"/>
          <w:szCs w:val="22"/>
        </w:rPr>
        <w:sym w:font="Symbol" w:char="F0B3"/>
      </w:r>
      <w:r w:rsidRPr="008912CF">
        <w:rPr>
          <w:sz w:val="22"/>
          <w:szCs w:val="22"/>
        </w:rPr>
        <w:t> 18 anos. Os doentes incluídos ou já estavam sob tratamento com Humira 40</w:t>
      </w:r>
      <w:r>
        <w:rPr>
          <w:sz w:val="22"/>
          <w:szCs w:val="22"/>
        </w:rPr>
        <w:t> </w:t>
      </w:r>
      <w:r w:rsidRPr="008912CF">
        <w:rPr>
          <w:sz w:val="22"/>
          <w:szCs w:val="22"/>
        </w:rPr>
        <w:t>mg/0,8</w:t>
      </w:r>
      <w:r>
        <w:rPr>
          <w:sz w:val="22"/>
          <w:szCs w:val="22"/>
        </w:rPr>
        <w:t> </w:t>
      </w:r>
      <w:r w:rsidRPr="008912CF">
        <w:rPr>
          <w:sz w:val="22"/>
          <w:szCs w:val="22"/>
        </w:rPr>
        <w:t>ml e classificaram a sua média de dor no local de injeção como pelo menos 3</w:t>
      </w:r>
      <w:r>
        <w:rPr>
          <w:sz w:val="22"/>
          <w:szCs w:val="22"/>
        </w:rPr>
        <w:t> </w:t>
      </w:r>
      <w:r w:rsidRPr="008912CF">
        <w:rPr>
          <w:sz w:val="22"/>
          <w:szCs w:val="22"/>
        </w:rPr>
        <w:t xml:space="preserve">cm (na </w:t>
      </w:r>
      <w:r w:rsidRPr="008912CF">
        <w:rPr>
          <w:bCs/>
          <w:sz w:val="22"/>
          <w:szCs w:val="22"/>
        </w:rPr>
        <w:t>Escala</w:t>
      </w:r>
      <w:r w:rsidRPr="008912CF">
        <w:rPr>
          <w:sz w:val="22"/>
          <w:szCs w:val="22"/>
        </w:rPr>
        <w:t xml:space="preserve"> Analógica Visual (</w:t>
      </w:r>
      <w:r w:rsidRPr="008912CF">
        <w:rPr>
          <w:bCs/>
          <w:sz w:val="22"/>
          <w:szCs w:val="22"/>
        </w:rPr>
        <w:t>VAS</w:t>
      </w:r>
      <w:r w:rsidRPr="008912CF">
        <w:rPr>
          <w:sz w:val="22"/>
          <w:szCs w:val="22"/>
        </w:rPr>
        <w:t>) 0-10</w:t>
      </w:r>
      <w:r>
        <w:rPr>
          <w:sz w:val="22"/>
          <w:szCs w:val="22"/>
        </w:rPr>
        <w:t> </w:t>
      </w:r>
      <w:r w:rsidRPr="008912CF">
        <w:rPr>
          <w:sz w:val="22"/>
          <w:szCs w:val="22"/>
        </w:rPr>
        <w:t>cm) ou não tinham ainda recebido tratamento prévio com biológicos, e iniciaram Humira 40</w:t>
      </w:r>
      <w:r>
        <w:rPr>
          <w:sz w:val="22"/>
          <w:szCs w:val="22"/>
        </w:rPr>
        <w:t> </w:t>
      </w:r>
      <w:r w:rsidRPr="008912CF">
        <w:rPr>
          <w:sz w:val="22"/>
          <w:szCs w:val="22"/>
        </w:rPr>
        <w:t>mg/0,8</w:t>
      </w:r>
      <w:r>
        <w:rPr>
          <w:sz w:val="22"/>
          <w:szCs w:val="22"/>
        </w:rPr>
        <w:t> </w:t>
      </w:r>
      <w:r w:rsidRPr="008912CF">
        <w:rPr>
          <w:sz w:val="22"/>
          <w:szCs w:val="22"/>
        </w:rPr>
        <w:t>ml. Os doentes foram aleatorizados para receberam um dose individual de Humira 40</w:t>
      </w:r>
      <w:r>
        <w:rPr>
          <w:sz w:val="22"/>
          <w:szCs w:val="22"/>
        </w:rPr>
        <w:t> </w:t>
      </w:r>
      <w:r w:rsidRPr="008912CF">
        <w:rPr>
          <w:sz w:val="22"/>
          <w:szCs w:val="22"/>
        </w:rPr>
        <w:t>mg/0,8</w:t>
      </w:r>
      <w:r>
        <w:rPr>
          <w:sz w:val="22"/>
          <w:szCs w:val="22"/>
        </w:rPr>
        <w:t> </w:t>
      </w:r>
      <w:r w:rsidRPr="008912CF">
        <w:rPr>
          <w:sz w:val="22"/>
          <w:szCs w:val="22"/>
        </w:rPr>
        <w:t>ml ou Humira 40</w:t>
      </w:r>
      <w:r>
        <w:rPr>
          <w:sz w:val="22"/>
          <w:szCs w:val="22"/>
        </w:rPr>
        <w:t> </w:t>
      </w:r>
      <w:r w:rsidRPr="008912CF">
        <w:rPr>
          <w:sz w:val="22"/>
          <w:szCs w:val="22"/>
        </w:rPr>
        <w:t>mg/0,4</w:t>
      </w:r>
      <w:r>
        <w:rPr>
          <w:sz w:val="22"/>
          <w:szCs w:val="22"/>
        </w:rPr>
        <w:t> </w:t>
      </w:r>
      <w:r w:rsidRPr="008912CF">
        <w:rPr>
          <w:sz w:val="22"/>
          <w:szCs w:val="22"/>
        </w:rPr>
        <w:t>ml, seguida de uma injeção única do tratamento oposto na dose segu</w:t>
      </w:r>
      <w:r w:rsidRPr="008912CF">
        <w:rPr>
          <w:sz w:val="22"/>
          <w:szCs w:val="22"/>
        </w:rPr>
        <w:t xml:space="preserve">inte.     </w:t>
      </w:r>
    </w:p>
    <w:p w14:paraId="2CFC29ED" w14:textId="77777777" w:rsidR="003C6698" w:rsidRPr="008912CF" w:rsidRDefault="003C6698" w:rsidP="003C6698">
      <w:pPr>
        <w:rPr>
          <w:sz w:val="22"/>
          <w:szCs w:val="22"/>
        </w:rPr>
      </w:pPr>
    </w:p>
    <w:p w14:paraId="60E12D0E" w14:textId="77777777" w:rsidR="003C6698" w:rsidRPr="008912CF" w:rsidRDefault="00615769" w:rsidP="003C6698">
      <w:pPr>
        <w:rPr>
          <w:sz w:val="22"/>
          <w:szCs w:val="22"/>
        </w:rPr>
      </w:pPr>
      <w:r w:rsidRPr="008912CF">
        <w:rPr>
          <w:sz w:val="22"/>
          <w:szCs w:val="22"/>
        </w:rPr>
        <w:t xml:space="preserve">O </w:t>
      </w:r>
      <w:r w:rsidR="00F96DDF">
        <w:rPr>
          <w:sz w:val="22"/>
          <w:szCs w:val="22"/>
        </w:rPr>
        <w:t>objetivo</w:t>
      </w:r>
      <w:r w:rsidRPr="008912CF">
        <w:rPr>
          <w:sz w:val="22"/>
          <w:szCs w:val="22"/>
        </w:rPr>
        <w:t xml:space="preserve"> primário dos estudos AR I, II e III e o </w:t>
      </w:r>
      <w:r w:rsidR="00F96DDF">
        <w:rPr>
          <w:sz w:val="22"/>
          <w:szCs w:val="22"/>
        </w:rPr>
        <w:t>objetivo</w:t>
      </w:r>
      <w:r w:rsidRPr="008912CF">
        <w:rPr>
          <w:sz w:val="22"/>
          <w:szCs w:val="22"/>
        </w:rPr>
        <w:t xml:space="preserve"> secundário do Estudo AR IV consistiam na percentagem de doentes que atingia uma resposta ACR 20 na Semana 24 ou 26. O </w:t>
      </w:r>
      <w:r w:rsidR="00F96DDF">
        <w:rPr>
          <w:sz w:val="22"/>
          <w:szCs w:val="22"/>
        </w:rPr>
        <w:t>objetivo</w:t>
      </w:r>
      <w:r w:rsidRPr="008912CF">
        <w:rPr>
          <w:sz w:val="22"/>
          <w:szCs w:val="22"/>
        </w:rPr>
        <w:t xml:space="preserve"> primário do estudo AR V consistiu na percentagem de doentes que atingia uma resposta ACR 50 na Semana 52. Os estudos AR III e V tinham um </w:t>
      </w:r>
      <w:r w:rsidR="00F96DDF">
        <w:rPr>
          <w:sz w:val="22"/>
          <w:szCs w:val="22"/>
        </w:rPr>
        <w:t>objetivo</w:t>
      </w:r>
      <w:r w:rsidRPr="008912CF">
        <w:rPr>
          <w:sz w:val="22"/>
          <w:szCs w:val="22"/>
        </w:rPr>
        <w:t xml:space="preserve"> primári</w:t>
      </w:r>
      <w:r w:rsidR="00F96DDF">
        <w:rPr>
          <w:sz w:val="22"/>
          <w:szCs w:val="22"/>
        </w:rPr>
        <w:t>o</w:t>
      </w:r>
      <w:r w:rsidRPr="008912CF">
        <w:rPr>
          <w:sz w:val="22"/>
          <w:szCs w:val="22"/>
        </w:rPr>
        <w:t xml:space="preserve"> adicional na </w:t>
      </w:r>
      <w:r w:rsidR="005D2ECC">
        <w:rPr>
          <w:sz w:val="22"/>
          <w:szCs w:val="22"/>
        </w:rPr>
        <w:t>S</w:t>
      </w:r>
      <w:r w:rsidRPr="008912CF">
        <w:rPr>
          <w:sz w:val="22"/>
          <w:szCs w:val="22"/>
        </w:rPr>
        <w:t xml:space="preserve">emana 52, nomeadamente atraso na progressão da doença (avaliado por radiografia). O estudo AR III tinha também um </w:t>
      </w:r>
      <w:r w:rsidR="00F96DDF">
        <w:rPr>
          <w:sz w:val="22"/>
          <w:szCs w:val="22"/>
        </w:rPr>
        <w:t>objetivo</w:t>
      </w:r>
      <w:r w:rsidRPr="008912CF">
        <w:rPr>
          <w:sz w:val="22"/>
          <w:szCs w:val="22"/>
        </w:rPr>
        <w:t xml:space="preserve"> de alterações na qualidade de vida</w:t>
      </w:r>
      <w:r w:rsidRPr="008912CF">
        <w:rPr>
          <w:sz w:val="22"/>
          <w:szCs w:val="22"/>
        </w:rPr>
        <w:t xml:space="preserve">. O </w:t>
      </w:r>
      <w:r w:rsidR="00F96DDF">
        <w:rPr>
          <w:sz w:val="22"/>
          <w:szCs w:val="22"/>
        </w:rPr>
        <w:t>objetivo</w:t>
      </w:r>
      <w:r w:rsidRPr="008912CF">
        <w:rPr>
          <w:sz w:val="22"/>
          <w:szCs w:val="22"/>
        </w:rPr>
        <w:t xml:space="preserve"> primário dos estudos AR VI e VII consistiu na dor no local de injeção imediatamente após a injeção conforme avaliação da Escala VAS de 0-10 cm.</w:t>
      </w:r>
    </w:p>
    <w:p w14:paraId="398A68A0" w14:textId="77777777" w:rsidR="003C6698" w:rsidRPr="008912CF" w:rsidRDefault="003C6698" w:rsidP="003C6698">
      <w:pPr>
        <w:pStyle w:val="Heading7"/>
        <w:keepNext w:val="0"/>
        <w:spacing w:line="240" w:lineRule="auto"/>
        <w:jc w:val="left"/>
        <w:rPr>
          <w:szCs w:val="22"/>
          <w:u w:val="single"/>
        </w:rPr>
      </w:pPr>
    </w:p>
    <w:p w14:paraId="0DDC833E" w14:textId="77777777" w:rsidR="003C6698" w:rsidRPr="008912CF" w:rsidRDefault="00615769" w:rsidP="003C6698">
      <w:pPr>
        <w:pStyle w:val="Heading7"/>
        <w:keepNext w:val="0"/>
        <w:spacing w:line="240" w:lineRule="auto"/>
        <w:jc w:val="left"/>
        <w:rPr>
          <w:i w:val="0"/>
          <w:szCs w:val="22"/>
          <w:u w:val="single"/>
        </w:rPr>
      </w:pPr>
      <w:r w:rsidRPr="008912CF">
        <w:rPr>
          <w:szCs w:val="22"/>
          <w:u w:val="single"/>
        </w:rPr>
        <w:t>Resposta ACR</w:t>
      </w:r>
      <w:r w:rsidRPr="008912CF">
        <w:rPr>
          <w:i w:val="0"/>
          <w:szCs w:val="22"/>
          <w:u w:val="single"/>
        </w:rPr>
        <w:t xml:space="preserve"> </w:t>
      </w:r>
    </w:p>
    <w:p w14:paraId="5FA38F14" w14:textId="77777777" w:rsidR="003C6698" w:rsidRPr="008912CF" w:rsidRDefault="003C6698" w:rsidP="003C6698">
      <w:pPr>
        <w:rPr>
          <w:b/>
          <w:sz w:val="22"/>
          <w:szCs w:val="22"/>
        </w:rPr>
      </w:pPr>
    </w:p>
    <w:p w14:paraId="20B4DCE4" w14:textId="77777777" w:rsidR="003C6698" w:rsidRPr="008912CF" w:rsidRDefault="00615769" w:rsidP="003C6698">
      <w:pPr>
        <w:rPr>
          <w:sz w:val="22"/>
          <w:szCs w:val="22"/>
        </w:rPr>
      </w:pPr>
      <w:r w:rsidRPr="008912CF">
        <w:rPr>
          <w:sz w:val="22"/>
          <w:szCs w:val="22"/>
        </w:rPr>
        <w:t xml:space="preserve">A percentagem de doentes tratados com Humira que atingiram respostas ACR 20, 50 e 70 foi consistente em todos os estudos AR I, II e III. Na Tabela </w:t>
      </w:r>
      <w:r w:rsidR="00D94630">
        <w:rPr>
          <w:sz w:val="22"/>
          <w:szCs w:val="22"/>
        </w:rPr>
        <w:t>5</w:t>
      </w:r>
      <w:r w:rsidRPr="008912CF">
        <w:rPr>
          <w:sz w:val="22"/>
          <w:szCs w:val="22"/>
        </w:rPr>
        <w:t xml:space="preserve">, apresenta-se um resumo dos resultados obtidos com a dose de 40 mg administrada em semanas alternadas. </w:t>
      </w:r>
    </w:p>
    <w:p w14:paraId="558ADC83" w14:textId="77777777" w:rsidR="003C6698" w:rsidRPr="008912CF" w:rsidRDefault="003C6698" w:rsidP="003C6698"/>
    <w:tbl>
      <w:tblPr>
        <w:tblW w:w="9124" w:type="dxa"/>
        <w:tblInd w:w="98" w:type="dxa"/>
        <w:tblLayout w:type="fixed"/>
        <w:tblCellMar>
          <w:left w:w="0" w:type="dxa"/>
          <w:right w:w="0" w:type="dxa"/>
        </w:tblCellMar>
        <w:tblLook w:val="0000" w:firstRow="0" w:lastRow="0" w:firstColumn="0" w:lastColumn="0" w:noHBand="0" w:noVBand="0"/>
      </w:tblPr>
      <w:tblGrid>
        <w:gridCol w:w="1069"/>
        <w:gridCol w:w="1393"/>
        <w:gridCol w:w="1417"/>
        <w:gridCol w:w="1071"/>
        <w:gridCol w:w="1197"/>
        <w:gridCol w:w="1418"/>
        <w:gridCol w:w="1559"/>
      </w:tblGrid>
      <w:tr w:rsidR="00A7162A" w14:paraId="038009A2" w14:textId="77777777" w:rsidTr="009D1824">
        <w:tc>
          <w:tcPr>
            <w:tcW w:w="9124" w:type="dxa"/>
            <w:gridSpan w:val="7"/>
          </w:tcPr>
          <w:p w14:paraId="4B3A6495" w14:textId="77777777" w:rsidR="003C6698" w:rsidRPr="008912CF" w:rsidRDefault="00615769" w:rsidP="009D1824">
            <w:pPr>
              <w:pStyle w:val="Corpodetexto1"/>
              <w:keepNext/>
              <w:tabs>
                <w:tab w:val="clear" w:pos="1152"/>
                <w:tab w:val="clear" w:pos="1872"/>
              </w:tabs>
              <w:spacing w:after="0" w:line="240" w:lineRule="auto"/>
              <w:ind w:left="0"/>
              <w:jc w:val="center"/>
              <w:rPr>
                <w:b/>
                <w:sz w:val="22"/>
                <w:szCs w:val="22"/>
                <w:lang w:val="pt-PT"/>
              </w:rPr>
            </w:pPr>
            <w:r w:rsidRPr="008912CF">
              <w:rPr>
                <w:b/>
                <w:sz w:val="22"/>
                <w:szCs w:val="22"/>
                <w:lang w:val="pt-PT"/>
              </w:rPr>
              <w:t xml:space="preserve">Tabela </w:t>
            </w:r>
            <w:r w:rsidR="00D94630">
              <w:rPr>
                <w:b/>
                <w:sz w:val="22"/>
                <w:szCs w:val="22"/>
                <w:lang w:val="pt-PT"/>
              </w:rPr>
              <w:t>5</w:t>
            </w:r>
          </w:p>
          <w:p w14:paraId="1A317D8D" w14:textId="77777777" w:rsidR="003C6698" w:rsidRPr="008912CF" w:rsidRDefault="00615769" w:rsidP="009D1824">
            <w:pPr>
              <w:pStyle w:val="Corpodetexto1"/>
              <w:keepNext/>
              <w:tabs>
                <w:tab w:val="clear" w:pos="1152"/>
                <w:tab w:val="clear" w:pos="1872"/>
              </w:tabs>
              <w:spacing w:after="0" w:line="240" w:lineRule="auto"/>
              <w:ind w:left="0"/>
              <w:jc w:val="center"/>
              <w:rPr>
                <w:b/>
                <w:sz w:val="22"/>
                <w:szCs w:val="22"/>
                <w:lang w:val="pt-PT"/>
              </w:rPr>
            </w:pPr>
            <w:r w:rsidRPr="008912CF">
              <w:rPr>
                <w:b/>
                <w:sz w:val="22"/>
                <w:szCs w:val="22"/>
                <w:lang w:val="pt-PT"/>
              </w:rPr>
              <w:t>Respostas ACR nos Ensaios Controlados com Placebo</w:t>
            </w:r>
          </w:p>
          <w:p w14:paraId="77AA4065" w14:textId="77777777" w:rsidR="003C6698" w:rsidRPr="008912CF" w:rsidRDefault="00615769" w:rsidP="009D1824">
            <w:pPr>
              <w:pStyle w:val="Corpodetexto1"/>
              <w:keepNext/>
              <w:tabs>
                <w:tab w:val="clear" w:pos="1152"/>
                <w:tab w:val="clear" w:pos="1872"/>
              </w:tabs>
              <w:spacing w:after="0" w:line="240" w:lineRule="auto"/>
              <w:ind w:left="0"/>
              <w:jc w:val="center"/>
              <w:rPr>
                <w:b/>
                <w:sz w:val="22"/>
                <w:szCs w:val="22"/>
                <w:lang w:val="pt-PT"/>
              </w:rPr>
            </w:pPr>
            <w:r w:rsidRPr="008912CF">
              <w:rPr>
                <w:b/>
                <w:sz w:val="22"/>
                <w:szCs w:val="22"/>
                <w:lang w:val="pt-PT"/>
              </w:rPr>
              <w:t>(Percentagem de Doentes)</w:t>
            </w:r>
          </w:p>
          <w:p w14:paraId="5975490B" w14:textId="77777777" w:rsidR="003C6698" w:rsidRPr="008912CF" w:rsidRDefault="003C6698" w:rsidP="009D1824">
            <w:pPr>
              <w:pStyle w:val="Corpodetexto1"/>
              <w:keepNext/>
              <w:tabs>
                <w:tab w:val="clear" w:pos="1152"/>
                <w:tab w:val="clear" w:pos="1872"/>
              </w:tabs>
              <w:spacing w:after="0" w:line="240" w:lineRule="auto"/>
              <w:ind w:left="0"/>
              <w:jc w:val="center"/>
              <w:rPr>
                <w:b/>
                <w:sz w:val="22"/>
                <w:szCs w:val="22"/>
                <w:lang w:val="pt-PT"/>
              </w:rPr>
            </w:pPr>
          </w:p>
        </w:tc>
      </w:tr>
      <w:tr w:rsidR="00A7162A" w14:paraId="579F6B07" w14:textId="77777777" w:rsidTr="009D1824">
        <w:trPr>
          <w:cantSplit/>
        </w:trPr>
        <w:tc>
          <w:tcPr>
            <w:tcW w:w="1069" w:type="dxa"/>
            <w:tcBorders>
              <w:top w:val="single" w:sz="6" w:space="0" w:color="auto"/>
              <w:right w:val="single" w:sz="6" w:space="0" w:color="auto"/>
            </w:tcBorders>
          </w:tcPr>
          <w:p w14:paraId="61FE4F23" w14:textId="77777777" w:rsidR="003C6698" w:rsidRPr="008912CF" w:rsidRDefault="00615769" w:rsidP="009D1824">
            <w:pPr>
              <w:pStyle w:val="In-texttable"/>
              <w:spacing w:line="240" w:lineRule="auto"/>
              <w:rPr>
                <w:rFonts w:ascii="Times New Roman" w:hAnsi="Times New Roman"/>
                <w:sz w:val="22"/>
                <w:szCs w:val="22"/>
                <w:lang w:val="pt-PT"/>
              </w:rPr>
            </w:pPr>
            <w:r w:rsidRPr="008912CF">
              <w:rPr>
                <w:rFonts w:ascii="Times New Roman" w:hAnsi="Times New Roman"/>
                <w:sz w:val="22"/>
                <w:szCs w:val="22"/>
                <w:lang w:val="pt-PT"/>
              </w:rPr>
              <w:t xml:space="preserve">Resposta </w:t>
            </w:r>
          </w:p>
        </w:tc>
        <w:tc>
          <w:tcPr>
            <w:tcW w:w="2810" w:type="dxa"/>
            <w:gridSpan w:val="2"/>
            <w:tcBorders>
              <w:top w:val="single" w:sz="6" w:space="0" w:color="auto"/>
              <w:left w:val="single" w:sz="6" w:space="0" w:color="auto"/>
              <w:bottom w:val="single" w:sz="6" w:space="0" w:color="auto"/>
              <w:right w:val="single" w:sz="6" w:space="0" w:color="auto"/>
            </w:tcBorders>
          </w:tcPr>
          <w:p w14:paraId="742ECFE6" w14:textId="77777777" w:rsidR="003C6698" w:rsidRPr="008912CF" w:rsidRDefault="00615769" w:rsidP="009D1824">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Estudo AR I</w:t>
            </w:r>
            <w:r w:rsidRPr="008912CF">
              <w:rPr>
                <w:rFonts w:ascii="Times New Roman" w:hAnsi="Times New Roman"/>
                <w:sz w:val="22"/>
                <w:szCs w:val="22"/>
                <w:vertAlign w:val="superscript"/>
                <w:lang w:val="pt-PT"/>
              </w:rPr>
              <w:t>a</w:t>
            </w:r>
            <w:r w:rsidRPr="008912CF">
              <w:rPr>
                <w:rFonts w:ascii="Times New Roman" w:hAnsi="Times New Roman"/>
                <w:sz w:val="22"/>
                <w:szCs w:val="22"/>
                <w:lang w:val="pt-PT"/>
              </w:rPr>
              <w:t>**</w:t>
            </w:r>
          </w:p>
        </w:tc>
        <w:tc>
          <w:tcPr>
            <w:tcW w:w="2268" w:type="dxa"/>
            <w:gridSpan w:val="2"/>
            <w:tcBorders>
              <w:top w:val="single" w:sz="6" w:space="0" w:color="auto"/>
              <w:left w:val="single" w:sz="6" w:space="0" w:color="auto"/>
              <w:bottom w:val="single" w:sz="6" w:space="0" w:color="auto"/>
              <w:right w:val="single" w:sz="6" w:space="0" w:color="auto"/>
            </w:tcBorders>
          </w:tcPr>
          <w:p w14:paraId="42EA90C2" w14:textId="77777777" w:rsidR="003C6698" w:rsidRPr="008912CF" w:rsidRDefault="00615769" w:rsidP="009D1824">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Estudo AR II</w:t>
            </w:r>
            <w:r w:rsidRPr="008912CF">
              <w:rPr>
                <w:rFonts w:ascii="Times New Roman" w:hAnsi="Times New Roman"/>
                <w:sz w:val="22"/>
                <w:szCs w:val="22"/>
                <w:vertAlign w:val="superscript"/>
                <w:lang w:val="pt-PT"/>
              </w:rPr>
              <w:t>a</w:t>
            </w:r>
            <w:r w:rsidRPr="008912CF">
              <w:rPr>
                <w:rFonts w:ascii="Times New Roman" w:hAnsi="Times New Roman"/>
                <w:sz w:val="22"/>
                <w:szCs w:val="22"/>
                <w:lang w:val="pt-PT"/>
              </w:rPr>
              <w:t>**</w:t>
            </w:r>
          </w:p>
        </w:tc>
        <w:tc>
          <w:tcPr>
            <w:tcW w:w="2977" w:type="dxa"/>
            <w:gridSpan w:val="2"/>
            <w:tcBorders>
              <w:top w:val="single" w:sz="6" w:space="0" w:color="auto"/>
              <w:left w:val="single" w:sz="6" w:space="0" w:color="auto"/>
              <w:bottom w:val="single" w:sz="6" w:space="0" w:color="auto"/>
            </w:tcBorders>
          </w:tcPr>
          <w:p w14:paraId="3BC03306" w14:textId="77777777" w:rsidR="003C6698" w:rsidRPr="008912CF" w:rsidRDefault="00615769" w:rsidP="009D1824">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Estudo AR III</w:t>
            </w:r>
            <w:r w:rsidRPr="008912CF">
              <w:rPr>
                <w:rFonts w:ascii="Times New Roman" w:hAnsi="Times New Roman"/>
                <w:sz w:val="22"/>
                <w:szCs w:val="22"/>
                <w:vertAlign w:val="superscript"/>
                <w:lang w:val="pt-PT"/>
              </w:rPr>
              <w:t>a</w:t>
            </w:r>
            <w:r w:rsidRPr="008912CF">
              <w:rPr>
                <w:rFonts w:ascii="Times New Roman" w:hAnsi="Times New Roman"/>
                <w:sz w:val="22"/>
                <w:szCs w:val="22"/>
                <w:lang w:val="pt-PT"/>
              </w:rPr>
              <w:t>**</w:t>
            </w:r>
          </w:p>
          <w:p w14:paraId="57725122" w14:textId="77777777" w:rsidR="003C6698" w:rsidRPr="008912CF" w:rsidRDefault="003C6698" w:rsidP="009D1824">
            <w:pPr>
              <w:pStyle w:val="In-texttable"/>
              <w:spacing w:line="240" w:lineRule="auto"/>
              <w:jc w:val="center"/>
              <w:rPr>
                <w:rFonts w:ascii="Times New Roman" w:hAnsi="Times New Roman"/>
                <w:sz w:val="22"/>
                <w:szCs w:val="22"/>
                <w:lang w:val="pt-PT"/>
              </w:rPr>
            </w:pPr>
          </w:p>
        </w:tc>
      </w:tr>
      <w:tr w:rsidR="00A7162A" w14:paraId="6CA3C70A" w14:textId="77777777" w:rsidTr="009D1824">
        <w:trPr>
          <w:cantSplit/>
        </w:trPr>
        <w:tc>
          <w:tcPr>
            <w:tcW w:w="1069" w:type="dxa"/>
            <w:tcBorders>
              <w:bottom w:val="single" w:sz="6" w:space="0" w:color="auto"/>
              <w:right w:val="single" w:sz="6" w:space="0" w:color="auto"/>
            </w:tcBorders>
          </w:tcPr>
          <w:p w14:paraId="19D9D80B" w14:textId="77777777" w:rsidR="003C6698" w:rsidRPr="008912CF" w:rsidRDefault="003C6698" w:rsidP="009D1824">
            <w:pPr>
              <w:pStyle w:val="In-texttable"/>
              <w:spacing w:line="240" w:lineRule="auto"/>
              <w:rPr>
                <w:rFonts w:ascii="Times New Roman" w:hAnsi="Times New Roman"/>
                <w:sz w:val="22"/>
                <w:szCs w:val="22"/>
                <w:lang w:val="pt-PT"/>
              </w:rPr>
            </w:pPr>
          </w:p>
        </w:tc>
        <w:tc>
          <w:tcPr>
            <w:tcW w:w="1393" w:type="dxa"/>
            <w:tcBorders>
              <w:top w:val="single" w:sz="6" w:space="0" w:color="auto"/>
              <w:left w:val="single" w:sz="6" w:space="0" w:color="auto"/>
              <w:bottom w:val="single" w:sz="6" w:space="0" w:color="auto"/>
            </w:tcBorders>
          </w:tcPr>
          <w:p w14:paraId="5541D212" w14:textId="77777777" w:rsidR="003C6698" w:rsidRPr="008912CF" w:rsidRDefault="00615769" w:rsidP="009D1824">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Placebo/MTX</w:t>
            </w:r>
            <w:r w:rsidRPr="008912CF">
              <w:rPr>
                <w:rFonts w:ascii="Times New Roman" w:hAnsi="Times New Roman"/>
                <w:sz w:val="22"/>
                <w:szCs w:val="22"/>
                <w:vertAlign w:val="superscript"/>
                <w:lang w:val="pt-PT"/>
              </w:rPr>
              <w:t>c</w:t>
            </w:r>
          </w:p>
          <w:p w14:paraId="5924DF98" w14:textId="77777777" w:rsidR="003C6698" w:rsidRPr="008912CF" w:rsidRDefault="00615769" w:rsidP="009D1824">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 = 60</w:t>
            </w:r>
          </w:p>
        </w:tc>
        <w:tc>
          <w:tcPr>
            <w:tcW w:w="1417" w:type="dxa"/>
            <w:tcBorders>
              <w:top w:val="single" w:sz="6" w:space="0" w:color="auto"/>
              <w:bottom w:val="single" w:sz="6" w:space="0" w:color="auto"/>
              <w:right w:val="single" w:sz="6" w:space="0" w:color="auto"/>
            </w:tcBorders>
          </w:tcPr>
          <w:p w14:paraId="76A2A900" w14:textId="77777777" w:rsidR="003C6698" w:rsidRPr="008912CF" w:rsidRDefault="00615769" w:rsidP="009D1824">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Humira</w:t>
            </w:r>
            <w:r w:rsidRPr="008912CF">
              <w:rPr>
                <w:rFonts w:ascii="Times New Roman" w:hAnsi="Times New Roman"/>
                <w:sz w:val="22"/>
                <w:szCs w:val="22"/>
                <w:vertAlign w:val="superscript"/>
                <w:lang w:val="pt-PT"/>
              </w:rPr>
              <w:t>b</w:t>
            </w:r>
            <w:r w:rsidRPr="008912CF">
              <w:rPr>
                <w:rFonts w:ascii="Times New Roman" w:hAnsi="Times New Roman"/>
                <w:sz w:val="22"/>
                <w:szCs w:val="22"/>
                <w:lang w:val="pt-PT"/>
              </w:rPr>
              <w:t>/MTX</w:t>
            </w:r>
            <w:r w:rsidRPr="008912CF">
              <w:rPr>
                <w:rFonts w:ascii="Times New Roman" w:hAnsi="Times New Roman"/>
                <w:sz w:val="22"/>
                <w:szCs w:val="22"/>
                <w:vertAlign w:val="superscript"/>
                <w:lang w:val="pt-PT"/>
              </w:rPr>
              <w:t>c</w:t>
            </w:r>
          </w:p>
          <w:p w14:paraId="593A5C96" w14:textId="77777777" w:rsidR="003C6698" w:rsidRPr="008912CF" w:rsidRDefault="00615769" w:rsidP="009D1824">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 = 63</w:t>
            </w:r>
          </w:p>
        </w:tc>
        <w:tc>
          <w:tcPr>
            <w:tcW w:w="1071" w:type="dxa"/>
            <w:tcBorders>
              <w:top w:val="single" w:sz="6" w:space="0" w:color="auto"/>
              <w:left w:val="single" w:sz="6" w:space="0" w:color="auto"/>
              <w:bottom w:val="single" w:sz="6" w:space="0" w:color="auto"/>
            </w:tcBorders>
          </w:tcPr>
          <w:p w14:paraId="2EFEBC70" w14:textId="77777777" w:rsidR="003C6698" w:rsidRPr="008912CF" w:rsidRDefault="00615769" w:rsidP="009D1824">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Placebo</w:t>
            </w:r>
          </w:p>
          <w:p w14:paraId="7D8FD546" w14:textId="77777777" w:rsidR="003C6698" w:rsidRPr="008912CF" w:rsidRDefault="00615769" w:rsidP="009D1824">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 = 110</w:t>
            </w:r>
          </w:p>
        </w:tc>
        <w:tc>
          <w:tcPr>
            <w:tcW w:w="1197" w:type="dxa"/>
            <w:tcBorders>
              <w:top w:val="single" w:sz="6" w:space="0" w:color="auto"/>
              <w:bottom w:val="single" w:sz="6" w:space="0" w:color="auto"/>
              <w:right w:val="single" w:sz="6" w:space="0" w:color="auto"/>
            </w:tcBorders>
          </w:tcPr>
          <w:p w14:paraId="11F5CE4D" w14:textId="77777777" w:rsidR="003C6698" w:rsidRPr="008912CF" w:rsidRDefault="00615769" w:rsidP="009D1824">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Humira</w:t>
            </w:r>
            <w:r w:rsidRPr="008912CF">
              <w:rPr>
                <w:rFonts w:ascii="Times New Roman" w:hAnsi="Times New Roman"/>
                <w:sz w:val="22"/>
                <w:szCs w:val="22"/>
                <w:vertAlign w:val="superscript"/>
                <w:lang w:val="pt-PT"/>
              </w:rPr>
              <w:t>b</w:t>
            </w:r>
          </w:p>
          <w:p w14:paraId="1DF81ACB" w14:textId="77777777" w:rsidR="003C6698" w:rsidRPr="008912CF" w:rsidRDefault="00615769" w:rsidP="009D1824">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 = 113</w:t>
            </w:r>
          </w:p>
        </w:tc>
        <w:tc>
          <w:tcPr>
            <w:tcW w:w="1418" w:type="dxa"/>
            <w:tcBorders>
              <w:top w:val="single" w:sz="6" w:space="0" w:color="auto"/>
              <w:left w:val="single" w:sz="6" w:space="0" w:color="auto"/>
              <w:bottom w:val="single" w:sz="6" w:space="0" w:color="auto"/>
            </w:tcBorders>
          </w:tcPr>
          <w:p w14:paraId="5228A7C6" w14:textId="77777777" w:rsidR="003C6698" w:rsidRPr="008912CF" w:rsidRDefault="00615769" w:rsidP="009D1824">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Placebo/MTX</w:t>
            </w:r>
            <w:r w:rsidRPr="008912CF">
              <w:rPr>
                <w:rFonts w:ascii="Times New Roman" w:hAnsi="Times New Roman"/>
                <w:sz w:val="22"/>
                <w:szCs w:val="22"/>
                <w:vertAlign w:val="superscript"/>
                <w:lang w:val="pt-PT"/>
              </w:rPr>
              <w:t>c</w:t>
            </w:r>
          </w:p>
          <w:p w14:paraId="7CB94273" w14:textId="77777777" w:rsidR="003C6698" w:rsidRPr="008912CF" w:rsidRDefault="00615769" w:rsidP="009D1824">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 = 200</w:t>
            </w:r>
          </w:p>
        </w:tc>
        <w:tc>
          <w:tcPr>
            <w:tcW w:w="1559" w:type="dxa"/>
            <w:tcBorders>
              <w:top w:val="single" w:sz="6" w:space="0" w:color="auto"/>
              <w:bottom w:val="single" w:sz="6" w:space="0" w:color="auto"/>
            </w:tcBorders>
          </w:tcPr>
          <w:p w14:paraId="6A3728B7" w14:textId="77777777" w:rsidR="003C6698" w:rsidRPr="008912CF" w:rsidRDefault="00615769" w:rsidP="009D1824">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Humira</w:t>
            </w:r>
            <w:r w:rsidRPr="008912CF">
              <w:rPr>
                <w:rFonts w:ascii="Times New Roman" w:hAnsi="Times New Roman"/>
                <w:sz w:val="22"/>
                <w:szCs w:val="22"/>
                <w:vertAlign w:val="superscript"/>
                <w:lang w:val="pt-PT"/>
              </w:rPr>
              <w:t>b</w:t>
            </w:r>
            <w:r w:rsidRPr="008912CF">
              <w:rPr>
                <w:rFonts w:ascii="Times New Roman" w:hAnsi="Times New Roman"/>
                <w:sz w:val="22"/>
                <w:szCs w:val="22"/>
                <w:lang w:val="pt-PT"/>
              </w:rPr>
              <w:t>/MTX</w:t>
            </w:r>
            <w:r w:rsidRPr="008912CF">
              <w:rPr>
                <w:rFonts w:ascii="Times New Roman" w:hAnsi="Times New Roman"/>
                <w:sz w:val="22"/>
                <w:szCs w:val="22"/>
                <w:vertAlign w:val="superscript"/>
                <w:lang w:val="pt-PT"/>
              </w:rPr>
              <w:t>c</w:t>
            </w:r>
          </w:p>
          <w:p w14:paraId="6121E6E5" w14:textId="77777777" w:rsidR="003C6698" w:rsidRPr="008912CF" w:rsidRDefault="00615769" w:rsidP="009D1824">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 = 207</w:t>
            </w:r>
          </w:p>
        </w:tc>
      </w:tr>
      <w:tr w:rsidR="00A7162A" w14:paraId="77D97ECD" w14:textId="77777777" w:rsidTr="009D1824">
        <w:trPr>
          <w:cantSplit/>
        </w:trPr>
        <w:tc>
          <w:tcPr>
            <w:tcW w:w="1069" w:type="dxa"/>
            <w:tcBorders>
              <w:right w:val="single" w:sz="6" w:space="0" w:color="auto"/>
            </w:tcBorders>
          </w:tcPr>
          <w:p w14:paraId="6217C164" w14:textId="77777777" w:rsidR="003C6698" w:rsidRPr="008912CF" w:rsidRDefault="00615769" w:rsidP="009D1824">
            <w:pPr>
              <w:pStyle w:val="In-texttable"/>
              <w:tabs>
                <w:tab w:val="left" w:pos="144"/>
              </w:tabs>
              <w:spacing w:line="240" w:lineRule="auto"/>
              <w:rPr>
                <w:rFonts w:ascii="Times New Roman" w:hAnsi="Times New Roman"/>
                <w:sz w:val="22"/>
                <w:szCs w:val="22"/>
                <w:lang w:val="pt-PT"/>
              </w:rPr>
            </w:pPr>
            <w:r w:rsidRPr="008912CF">
              <w:rPr>
                <w:rFonts w:ascii="Times New Roman" w:hAnsi="Times New Roman"/>
                <w:sz w:val="22"/>
                <w:szCs w:val="22"/>
                <w:lang w:val="pt-PT"/>
              </w:rPr>
              <w:t>ACR 20</w:t>
            </w:r>
          </w:p>
        </w:tc>
        <w:tc>
          <w:tcPr>
            <w:tcW w:w="1393" w:type="dxa"/>
            <w:tcBorders>
              <w:left w:val="single" w:sz="6" w:space="0" w:color="auto"/>
            </w:tcBorders>
          </w:tcPr>
          <w:p w14:paraId="446315C9" w14:textId="77777777" w:rsidR="003C6698" w:rsidRPr="008912CF" w:rsidRDefault="003C6698" w:rsidP="009D1824">
            <w:pPr>
              <w:pStyle w:val="In-texttable"/>
              <w:spacing w:line="240" w:lineRule="auto"/>
              <w:jc w:val="center"/>
              <w:rPr>
                <w:rFonts w:ascii="Times New Roman" w:hAnsi="Times New Roman"/>
                <w:sz w:val="22"/>
                <w:szCs w:val="22"/>
                <w:lang w:val="pt-PT"/>
              </w:rPr>
            </w:pPr>
          </w:p>
        </w:tc>
        <w:tc>
          <w:tcPr>
            <w:tcW w:w="1417" w:type="dxa"/>
            <w:tcBorders>
              <w:right w:val="single" w:sz="6" w:space="0" w:color="auto"/>
            </w:tcBorders>
          </w:tcPr>
          <w:p w14:paraId="28478E8C" w14:textId="77777777" w:rsidR="003C6698" w:rsidRPr="008912CF" w:rsidRDefault="003C6698" w:rsidP="009D1824">
            <w:pPr>
              <w:pStyle w:val="In-texttable"/>
              <w:spacing w:line="240" w:lineRule="auto"/>
              <w:jc w:val="center"/>
              <w:rPr>
                <w:rFonts w:ascii="Times New Roman" w:hAnsi="Times New Roman"/>
                <w:sz w:val="22"/>
                <w:szCs w:val="22"/>
                <w:lang w:val="pt-PT"/>
              </w:rPr>
            </w:pPr>
          </w:p>
        </w:tc>
        <w:tc>
          <w:tcPr>
            <w:tcW w:w="1071" w:type="dxa"/>
            <w:tcBorders>
              <w:left w:val="single" w:sz="6" w:space="0" w:color="auto"/>
            </w:tcBorders>
          </w:tcPr>
          <w:p w14:paraId="5C34521F" w14:textId="77777777" w:rsidR="003C6698" w:rsidRPr="008912CF" w:rsidRDefault="003C6698" w:rsidP="009D1824">
            <w:pPr>
              <w:pStyle w:val="In-texttable"/>
              <w:spacing w:line="240" w:lineRule="auto"/>
              <w:jc w:val="center"/>
              <w:rPr>
                <w:rFonts w:ascii="Times New Roman" w:hAnsi="Times New Roman"/>
                <w:sz w:val="22"/>
                <w:szCs w:val="22"/>
                <w:lang w:val="pt-PT"/>
              </w:rPr>
            </w:pPr>
          </w:p>
        </w:tc>
        <w:tc>
          <w:tcPr>
            <w:tcW w:w="1197" w:type="dxa"/>
            <w:tcBorders>
              <w:right w:val="single" w:sz="6" w:space="0" w:color="auto"/>
            </w:tcBorders>
          </w:tcPr>
          <w:p w14:paraId="5E3F511E" w14:textId="77777777" w:rsidR="003C6698" w:rsidRPr="008912CF" w:rsidRDefault="003C6698" w:rsidP="009D1824">
            <w:pPr>
              <w:pStyle w:val="In-texttable"/>
              <w:spacing w:line="240" w:lineRule="auto"/>
              <w:jc w:val="center"/>
              <w:rPr>
                <w:rFonts w:ascii="Times New Roman" w:hAnsi="Times New Roman"/>
                <w:sz w:val="22"/>
                <w:szCs w:val="22"/>
                <w:lang w:val="pt-PT"/>
              </w:rPr>
            </w:pPr>
          </w:p>
        </w:tc>
        <w:tc>
          <w:tcPr>
            <w:tcW w:w="1418" w:type="dxa"/>
            <w:tcBorders>
              <w:top w:val="single" w:sz="6" w:space="0" w:color="auto"/>
              <w:left w:val="single" w:sz="6" w:space="0" w:color="auto"/>
            </w:tcBorders>
          </w:tcPr>
          <w:p w14:paraId="3E17CE48" w14:textId="77777777" w:rsidR="003C6698" w:rsidRPr="008912CF" w:rsidRDefault="003C6698" w:rsidP="009D1824">
            <w:pPr>
              <w:pStyle w:val="In-texttable"/>
              <w:spacing w:line="240" w:lineRule="auto"/>
              <w:jc w:val="center"/>
              <w:rPr>
                <w:rFonts w:ascii="Times New Roman" w:hAnsi="Times New Roman"/>
                <w:sz w:val="22"/>
                <w:szCs w:val="22"/>
                <w:lang w:val="pt-PT"/>
              </w:rPr>
            </w:pPr>
          </w:p>
        </w:tc>
        <w:tc>
          <w:tcPr>
            <w:tcW w:w="1559" w:type="dxa"/>
            <w:tcBorders>
              <w:top w:val="single" w:sz="6" w:space="0" w:color="auto"/>
            </w:tcBorders>
          </w:tcPr>
          <w:p w14:paraId="32516697" w14:textId="77777777" w:rsidR="003C6698" w:rsidRPr="008912CF" w:rsidRDefault="003C6698" w:rsidP="009D1824">
            <w:pPr>
              <w:pStyle w:val="In-texttable"/>
              <w:spacing w:line="240" w:lineRule="auto"/>
              <w:jc w:val="center"/>
              <w:rPr>
                <w:rFonts w:ascii="Times New Roman" w:hAnsi="Times New Roman"/>
                <w:sz w:val="22"/>
                <w:szCs w:val="22"/>
                <w:lang w:val="pt-PT"/>
              </w:rPr>
            </w:pPr>
          </w:p>
        </w:tc>
      </w:tr>
      <w:tr w:rsidR="00A7162A" w14:paraId="2253D2AE" w14:textId="77777777" w:rsidTr="009D1824">
        <w:trPr>
          <w:cantSplit/>
        </w:trPr>
        <w:tc>
          <w:tcPr>
            <w:tcW w:w="1069" w:type="dxa"/>
            <w:tcBorders>
              <w:right w:val="single" w:sz="6" w:space="0" w:color="auto"/>
            </w:tcBorders>
          </w:tcPr>
          <w:p w14:paraId="6DE27768" w14:textId="77777777" w:rsidR="003C6698" w:rsidRPr="008912CF" w:rsidRDefault="00615769" w:rsidP="009D1824">
            <w:pPr>
              <w:pStyle w:val="In-texttable"/>
              <w:tabs>
                <w:tab w:val="left" w:pos="144"/>
              </w:tabs>
              <w:spacing w:line="240" w:lineRule="auto"/>
              <w:rPr>
                <w:rFonts w:ascii="Times New Roman" w:hAnsi="Times New Roman"/>
                <w:sz w:val="22"/>
                <w:szCs w:val="22"/>
                <w:lang w:val="pt-PT"/>
              </w:rPr>
            </w:pPr>
            <w:r w:rsidRPr="008912CF">
              <w:rPr>
                <w:rFonts w:ascii="Times New Roman" w:hAnsi="Times New Roman"/>
                <w:sz w:val="22"/>
                <w:szCs w:val="22"/>
                <w:lang w:val="pt-PT"/>
              </w:rPr>
              <w:tab/>
              <w:t>6 meses</w:t>
            </w:r>
          </w:p>
        </w:tc>
        <w:tc>
          <w:tcPr>
            <w:tcW w:w="1393" w:type="dxa"/>
            <w:tcBorders>
              <w:left w:val="single" w:sz="6" w:space="0" w:color="auto"/>
            </w:tcBorders>
          </w:tcPr>
          <w:p w14:paraId="240BB137" w14:textId="77777777" w:rsidR="003C6698" w:rsidRPr="008912CF" w:rsidRDefault="00615769" w:rsidP="009D1824">
            <w:pPr>
              <w:pStyle w:val="In-texttable"/>
              <w:tabs>
                <w:tab w:val="decimal" w:pos="259"/>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13,3%</w:t>
            </w:r>
          </w:p>
        </w:tc>
        <w:tc>
          <w:tcPr>
            <w:tcW w:w="1417" w:type="dxa"/>
            <w:tcBorders>
              <w:right w:val="single" w:sz="6" w:space="0" w:color="auto"/>
            </w:tcBorders>
          </w:tcPr>
          <w:p w14:paraId="6F9A5C20" w14:textId="77777777" w:rsidR="003C6698" w:rsidRPr="008912CF" w:rsidRDefault="00615769" w:rsidP="009D1824">
            <w:pPr>
              <w:pStyle w:val="In-texttable"/>
              <w:tabs>
                <w:tab w:val="decimal" w:pos="250"/>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65,1%</w:t>
            </w:r>
          </w:p>
        </w:tc>
        <w:tc>
          <w:tcPr>
            <w:tcW w:w="1071" w:type="dxa"/>
            <w:tcBorders>
              <w:left w:val="single" w:sz="6" w:space="0" w:color="auto"/>
            </w:tcBorders>
          </w:tcPr>
          <w:p w14:paraId="0FCD2CF7" w14:textId="77777777" w:rsidR="003C6698" w:rsidRPr="008912CF" w:rsidRDefault="00615769" w:rsidP="009D1824">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19,1%</w:t>
            </w:r>
          </w:p>
        </w:tc>
        <w:tc>
          <w:tcPr>
            <w:tcW w:w="1197" w:type="dxa"/>
            <w:tcBorders>
              <w:right w:val="single" w:sz="6" w:space="0" w:color="auto"/>
            </w:tcBorders>
          </w:tcPr>
          <w:p w14:paraId="4D42C497" w14:textId="77777777" w:rsidR="003C6698" w:rsidRPr="008912CF" w:rsidRDefault="00615769" w:rsidP="009D1824">
            <w:pPr>
              <w:pStyle w:val="In-texttable"/>
              <w:tabs>
                <w:tab w:val="decimal" w:pos="20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46,0%</w:t>
            </w:r>
          </w:p>
        </w:tc>
        <w:tc>
          <w:tcPr>
            <w:tcW w:w="1418" w:type="dxa"/>
            <w:tcBorders>
              <w:left w:val="single" w:sz="6" w:space="0" w:color="auto"/>
            </w:tcBorders>
          </w:tcPr>
          <w:p w14:paraId="157CABED" w14:textId="77777777" w:rsidR="003C6698" w:rsidRPr="008912CF" w:rsidRDefault="00615769" w:rsidP="009D1824">
            <w:pPr>
              <w:pStyle w:val="In-texttable"/>
              <w:tabs>
                <w:tab w:val="decimal" w:pos="144"/>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29,5%</w:t>
            </w:r>
          </w:p>
        </w:tc>
        <w:tc>
          <w:tcPr>
            <w:tcW w:w="1559" w:type="dxa"/>
          </w:tcPr>
          <w:p w14:paraId="6ADC591E" w14:textId="77777777" w:rsidR="003C6698" w:rsidRPr="008912CF" w:rsidRDefault="00615769" w:rsidP="009D1824">
            <w:pPr>
              <w:pStyle w:val="In-texttable"/>
              <w:tabs>
                <w:tab w:val="decimal" w:pos="9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63,3%</w:t>
            </w:r>
          </w:p>
        </w:tc>
      </w:tr>
      <w:tr w:rsidR="00A7162A" w14:paraId="53DE0A9E" w14:textId="77777777" w:rsidTr="009D1824">
        <w:trPr>
          <w:cantSplit/>
        </w:trPr>
        <w:tc>
          <w:tcPr>
            <w:tcW w:w="1069" w:type="dxa"/>
            <w:tcBorders>
              <w:right w:val="single" w:sz="6" w:space="0" w:color="auto"/>
            </w:tcBorders>
          </w:tcPr>
          <w:p w14:paraId="04C61D94" w14:textId="77777777" w:rsidR="003C6698" w:rsidRPr="008912CF" w:rsidRDefault="00615769" w:rsidP="009D1824">
            <w:pPr>
              <w:pStyle w:val="In-texttable"/>
              <w:tabs>
                <w:tab w:val="left" w:pos="144"/>
              </w:tabs>
              <w:spacing w:line="240" w:lineRule="auto"/>
              <w:rPr>
                <w:rFonts w:ascii="Times New Roman" w:hAnsi="Times New Roman"/>
                <w:sz w:val="22"/>
                <w:szCs w:val="22"/>
                <w:lang w:val="pt-PT"/>
              </w:rPr>
            </w:pPr>
            <w:r w:rsidRPr="008912CF">
              <w:rPr>
                <w:rFonts w:ascii="Times New Roman" w:hAnsi="Times New Roman"/>
                <w:sz w:val="22"/>
                <w:szCs w:val="22"/>
                <w:lang w:val="pt-PT"/>
              </w:rPr>
              <w:tab/>
              <w:t>12 meses</w:t>
            </w:r>
          </w:p>
        </w:tc>
        <w:tc>
          <w:tcPr>
            <w:tcW w:w="1393" w:type="dxa"/>
            <w:tcBorders>
              <w:left w:val="single" w:sz="6" w:space="0" w:color="auto"/>
            </w:tcBorders>
          </w:tcPr>
          <w:p w14:paraId="3F696B5E" w14:textId="77777777" w:rsidR="003C6698" w:rsidRPr="008912CF" w:rsidRDefault="00615769" w:rsidP="009D1824">
            <w:pPr>
              <w:pStyle w:val="In-texttable"/>
              <w:tabs>
                <w:tab w:val="decimal" w:pos="259"/>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417" w:type="dxa"/>
            <w:tcBorders>
              <w:right w:val="single" w:sz="6" w:space="0" w:color="auto"/>
            </w:tcBorders>
          </w:tcPr>
          <w:p w14:paraId="4A48BC41" w14:textId="77777777" w:rsidR="003C6698" w:rsidRPr="008912CF" w:rsidRDefault="00615769" w:rsidP="009D1824">
            <w:pPr>
              <w:pStyle w:val="In-texttable"/>
              <w:tabs>
                <w:tab w:val="decimal" w:pos="250"/>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071" w:type="dxa"/>
            <w:tcBorders>
              <w:left w:val="single" w:sz="6" w:space="0" w:color="auto"/>
            </w:tcBorders>
          </w:tcPr>
          <w:p w14:paraId="636AF1E9" w14:textId="77777777" w:rsidR="003C6698" w:rsidRPr="008912CF" w:rsidRDefault="00615769" w:rsidP="009D1824">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197" w:type="dxa"/>
            <w:tcBorders>
              <w:right w:val="single" w:sz="6" w:space="0" w:color="auto"/>
            </w:tcBorders>
          </w:tcPr>
          <w:p w14:paraId="18CF71DB" w14:textId="77777777" w:rsidR="003C6698" w:rsidRPr="008912CF" w:rsidRDefault="00615769" w:rsidP="009D1824">
            <w:pPr>
              <w:pStyle w:val="In-texttable"/>
              <w:tabs>
                <w:tab w:val="decimal" w:pos="20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418" w:type="dxa"/>
            <w:tcBorders>
              <w:left w:val="single" w:sz="6" w:space="0" w:color="auto"/>
            </w:tcBorders>
          </w:tcPr>
          <w:p w14:paraId="694F9BD9" w14:textId="77777777" w:rsidR="003C6698" w:rsidRPr="008912CF" w:rsidRDefault="00615769" w:rsidP="009D1824">
            <w:pPr>
              <w:pStyle w:val="In-texttable"/>
              <w:tabs>
                <w:tab w:val="decimal" w:pos="144"/>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24,0%</w:t>
            </w:r>
          </w:p>
        </w:tc>
        <w:tc>
          <w:tcPr>
            <w:tcW w:w="1559" w:type="dxa"/>
          </w:tcPr>
          <w:p w14:paraId="2E1AC400" w14:textId="77777777" w:rsidR="003C6698" w:rsidRPr="008912CF" w:rsidRDefault="00615769" w:rsidP="009D1824">
            <w:pPr>
              <w:pStyle w:val="In-texttable"/>
              <w:tabs>
                <w:tab w:val="decimal" w:pos="9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58,9%</w:t>
            </w:r>
          </w:p>
        </w:tc>
      </w:tr>
      <w:tr w:rsidR="00A7162A" w14:paraId="49834755" w14:textId="77777777" w:rsidTr="009D1824">
        <w:trPr>
          <w:cantSplit/>
        </w:trPr>
        <w:tc>
          <w:tcPr>
            <w:tcW w:w="1069" w:type="dxa"/>
            <w:tcBorders>
              <w:right w:val="single" w:sz="6" w:space="0" w:color="auto"/>
            </w:tcBorders>
          </w:tcPr>
          <w:p w14:paraId="084A2858" w14:textId="77777777" w:rsidR="003C6698" w:rsidRPr="008912CF" w:rsidRDefault="00615769" w:rsidP="009D1824">
            <w:pPr>
              <w:pStyle w:val="In-texttable"/>
              <w:tabs>
                <w:tab w:val="left" w:pos="144"/>
              </w:tabs>
              <w:spacing w:line="240" w:lineRule="auto"/>
              <w:rPr>
                <w:rFonts w:ascii="Times New Roman" w:hAnsi="Times New Roman"/>
                <w:sz w:val="22"/>
                <w:szCs w:val="22"/>
                <w:lang w:val="pt-PT"/>
              </w:rPr>
            </w:pPr>
            <w:r w:rsidRPr="008912CF">
              <w:rPr>
                <w:rFonts w:ascii="Times New Roman" w:hAnsi="Times New Roman"/>
                <w:sz w:val="22"/>
                <w:szCs w:val="22"/>
                <w:lang w:val="pt-PT"/>
              </w:rPr>
              <w:t>ACR 50</w:t>
            </w:r>
          </w:p>
        </w:tc>
        <w:tc>
          <w:tcPr>
            <w:tcW w:w="1393" w:type="dxa"/>
            <w:tcBorders>
              <w:left w:val="single" w:sz="6" w:space="0" w:color="auto"/>
            </w:tcBorders>
          </w:tcPr>
          <w:p w14:paraId="1FFA5C63" w14:textId="77777777" w:rsidR="003C6698" w:rsidRPr="008912CF" w:rsidRDefault="003C6698" w:rsidP="009D1824">
            <w:pPr>
              <w:pStyle w:val="In-texttable"/>
              <w:tabs>
                <w:tab w:val="decimal" w:pos="259"/>
              </w:tabs>
              <w:spacing w:line="240" w:lineRule="auto"/>
              <w:jc w:val="center"/>
              <w:rPr>
                <w:rFonts w:ascii="Times New Roman" w:hAnsi="Times New Roman"/>
                <w:sz w:val="22"/>
                <w:szCs w:val="22"/>
                <w:lang w:val="pt-PT"/>
              </w:rPr>
            </w:pPr>
          </w:p>
        </w:tc>
        <w:tc>
          <w:tcPr>
            <w:tcW w:w="1417" w:type="dxa"/>
            <w:tcBorders>
              <w:right w:val="single" w:sz="6" w:space="0" w:color="auto"/>
            </w:tcBorders>
          </w:tcPr>
          <w:p w14:paraId="62B70014" w14:textId="77777777" w:rsidR="003C6698" w:rsidRPr="008912CF" w:rsidRDefault="003C6698" w:rsidP="009D1824">
            <w:pPr>
              <w:pStyle w:val="In-texttable"/>
              <w:tabs>
                <w:tab w:val="decimal" w:pos="250"/>
              </w:tabs>
              <w:spacing w:line="240" w:lineRule="auto"/>
              <w:jc w:val="center"/>
              <w:rPr>
                <w:rFonts w:ascii="Times New Roman" w:hAnsi="Times New Roman"/>
                <w:sz w:val="22"/>
                <w:szCs w:val="22"/>
                <w:lang w:val="pt-PT"/>
              </w:rPr>
            </w:pPr>
          </w:p>
        </w:tc>
        <w:tc>
          <w:tcPr>
            <w:tcW w:w="1071" w:type="dxa"/>
            <w:tcBorders>
              <w:left w:val="single" w:sz="6" w:space="0" w:color="auto"/>
            </w:tcBorders>
          </w:tcPr>
          <w:p w14:paraId="218AEF5C" w14:textId="77777777" w:rsidR="003C6698" w:rsidRPr="008912CF" w:rsidRDefault="003C6698" w:rsidP="009D1824">
            <w:pPr>
              <w:pStyle w:val="In-texttable"/>
              <w:spacing w:line="240" w:lineRule="auto"/>
              <w:jc w:val="center"/>
              <w:rPr>
                <w:rFonts w:ascii="Times New Roman" w:hAnsi="Times New Roman"/>
                <w:sz w:val="22"/>
                <w:szCs w:val="22"/>
                <w:lang w:val="pt-PT"/>
              </w:rPr>
            </w:pPr>
          </w:p>
        </w:tc>
        <w:tc>
          <w:tcPr>
            <w:tcW w:w="1197" w:type="dxa"/>
            <w:tcBorders>
              <w:right w:val="single" w:sz="6" w:space="0" w:color="auto"/>
            </w:tcBorders>
          </w:tcPr>
          <w:p w14:paraId="6A0D6C12" w14:textId="77777777" w:rsidR="003C6698" w:rsidRPr="008912CF" w:rsidRDefault="003C6698" w:rsidP="009D1824">
            <w:pPr>
              <w:pStyle w:val="In-texttable"/>
              <w:tabs>
                <w:tab w:val="decimal" w:pos="205"/>
              </w:tabs>
              <w:spacing w:line="240" w:lineRule="auto"/>
              <w:jc w:val="center"/>
              <w:rPr>
                <w:rFonts w:ascii="Times New Roman" w:hAnsi="Times New Roman"/>
                <w:sz w:val="22"/>
                <w:szCs w:val="22"/>
                <w:lang w:val="pt-PT"/>
              </w:rPr>
            </w:pPr>
          </w:p>
        </w:tc>
        <w:tc>
          <w:tcPr>
            <w:tcW w:w="1418" w:type="dxa"/>
            <w:tcBorders>
              <w:left w:val="single" w:sz="6" w:space="0" w:color="auto"/>
            </w:tcBorders>
          </w:tcPr>
          <w:p w14:paraId="1FF7CB9A" w14:textId="77777777" w:rsidR="003C6698" w:rsidRPr="008912CF" w:rsidRDefault="003C6698" w:rsidP="009D1824">
            <w:pPr>
              <w:pStyle w:val="In-texttable"/>
              <w:tabs>
                <w:tab w:val="decimal" w:pos="144"/>
              </w:tabs>
              <w:spacing w:line="240" w:lineRule="auto"/>
              <w:jc w:val="center"/>
              <w:rPr>
                <w:rFonts w:ascii="Times New Roman" w:hAnsi="Times New Roman"/>
                <w:sz w:val="22"/>
                <w:szCs w:val="22"/>
                <w:lang w:val="pt-PT"/>
              </w:rPr>
            </w:pPr>
          </w:p>
        </w:tc>
        <w:tc>
          <w:tcPr>
            <w:tcW w:w="1559" w:type="dxa"/>
          </w:tcPr>
          <w:p w14:paraId="004A9D5A" w14:textId="77777777" w:rsidR="003C6698" w:rsidRPr="008912CF" w:rsidRDefault="003C6698" w:rsidP="009D1824">
            <w:pPr>
              <w:pStyle w:val="In-texttable"/>
              <w:tabs>
                <w:tab w:val="decimal" w:pos="95"/>
              </w:tabs>
              <w:spacing w:line="240" w:lineRule="auto"/>
              <w:jc w:val="center"/>
              <w:rPr>
                <w:rFonts w:ascii="Times New Roman" w:hAnsi="Times New Roman"/>
                <w:sz w:val="22"/>
                <w:szCs w:val="22"/>
                <w:lang w:val="pt-PT"/>
              </w:rPr>
            </w:pPr>
          </w:p>
        </w:tc>
      </w:tr>
      <w:tr w:rsidR="00A7162A" w14:paraId="62409E8A" w14:textId="77777777" w:rsidTr="009D1824">
        <w:trPr>
          <w:cantSplit/>
        </w:trPr>
        <w:tc>
          <w:tcPr>
            <w:tcW w:w="1069" w:type="dxa"/>
            <w:tcBorders>
              <w:right w:val="single" w:sz="6" w:space="0" w:color="auto"/>
            </w:tcBorders>
          </w:tcPr>
          <w:p w14:paraId="4C546637" w14:textId="77777777" w:rsidR="003C6698" w:rsidRPr="008912CF" w:rsidRDefault="00615769" w:rsidP="009D1824">
            <w:pPr>
              <w:pStyle w:val="In-texttable"/>
              <w:tabs>
                <w:tab w:val="left" w:pos="144"/>
              </w:tabs>
              <w:spacing w:line="240" w:lineRule="auto"/>
              <w:rPr>
                <w:rFonts w:ascii="Times New Roman" w:hAnsi="Times New Roman"/>
                <w:sz w:val="22"/>
                <w:szCs w:val="22"/>
                <w:lang w:val="pt-PT"/>
              </w:rPr>
            </w:pPr>
            <w:r w:rsidRPr="008912CF">
              <w:rPr>
                <w:rFonts w:ascii="Times New Roman" w:hAnsi="Times New Roman"/>
                <w:sz w:val="22"/>
                <w:szCs w:val="22"/>
                <w:lang w:val="pt-PT"/>
              </w:rPr>
              <w:tab/>
              <w:t>6 meses</w:t>
            </w:r>
          </w:p>
        </w:tc>
        <w:tc>
          <w:tcPr>
            <w:tcW w:w="1393" w:type="dxa"/>
            <w:tcBorders>
              <w:left w:val="single" w:sz="6" w:space="0" w:color="auto"/>
            </w:tcBorders>
          </w:tcPr>
          <w:p w14:paraId="5CE22824" w14:textId="77777777" w:rsidR="003C6698" w:rsidRPr="008912CF" w:rsidRDefault="00615769" w:rsidP="009D1824">
            <w:pPr>
              <w:pStyle w:val="In-texttable"/>
              <w:tabs>
                <w:tab w:val="decimal" w:pos="259"/>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6,7%</w:t>
            </w:r>
          </w:p>
        </w:tc>
        <w:tc>
          <w:tcPr>
            <w:tcW w:w="1417" w:type="dxa"/>
            <w:tcBorders>
              <w:right w:val="single" w:sz="6" w:space="0" w:color="auto"/>
            </w:tcBorders>
          </w:tcPr>
          <w:p w14:paraId="6B2AD6F3" w14:textId="77777777" w:rsidR="003C6698" w:rsidRPr="008912CF" w:rsidRDefault="00615769" w:rsidP="009D1824">
            <w:pPr>
              <w:pStyle w:val="In-texttable"/>
              <w:tabs>
                <w:tab w:val="decimal" w:pos="250"/>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52,4%</w:t>
            </w:r>
          </w:p>
        </w:tc>
        <w:tc>
          <w:tcPr>
            <w:tcW w:w="1071" w:type="dxa"/>
            <w:tcBorders>
              <w:left w:val="single" w:sz="6" w:space="0" w:color="auto"/>
            </w:tcBorders>
          </w:tcPr>
          <w:p w14:paraId="65851B5D" w14:textId="77777777" w:rsidR="003C6698" w:rsidRPr="008912CF" w:rsidRDefault="00615769" w:rsidP="009D1824">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8,2%</w:t>
            </w:r>
          </w:p>
        </w:tc>
        <w:tc>
          <w:tcPr>
            <w:tcW w:w="1197" w:type="dxa"/>
            <w:tcBorders>
              <w:right w:val="single" w:sz="6" w:space="0" w:color="auto"/>
            </w:tcBorders>
          </w:tcPr>
          <w:p w14:paraId="3E77BEFD" w14:textId="77777777" w:rsidR="003C6698" w:rsidRPr="008912CF" w:rsidRDefault="00615769" w:rsidP="009D1824">
            <w:pPr>
              <w:pStyle w:val="In-texttable"/>
              <w:tabs>
                <w:tab w:val="decimal" w:pos="20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22,1%</w:t>
            </w:r>
          </w:p>
        </w:tc>
        <w:tc>
          <w:tcPr>
            <w:tcW w:w="1418" w:type="dxa"/>
            <w:tcBorders>
              <w:left w:val="single" w:sz="6" w:space="0" w:color="auto"/>
            </w:tcBorders>
          </w:tcPr>
          <w:p w14:paraId="12E6C196" w14:textId="77777777" w:rsidR="003C6698" w:rsidRPr="008912CF" w:rsidRDefault="00615769" w:rsidP="009D1824">
            <w:pPr>
              <w:pStyle w:val="In-texttable"/>
              <w:tabs>
                <w:tab w:val="decimal" w:pos="144"/>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9,5%</w:t>
            </w:r>
          </w:p>
        </w:tc>
        <w:tc>
          <w:tcPr>
            <w:tcW w:w="1559" w:type="dxa"/>
          </w:tcPr>
          <w:p w14:paraId="399D4A85" w14:textId="77777777" w:rsidR="003C6698" w:rsidRPr="008912CF" w:rsidRDefault="00615769" w:rsidP="009D1824">
            <w:pPr>
              <w:pStyle w:val="In-texttable"/>
              <w:tabs>
                <w:tab w:val="decimal" w:pos="9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39,1%</w:t>
            </w:r>
          </w:p>
        </w:tc>
      </w:tr>
      <w:tr w:rsidR="00A7162A" w14:paraId="7636CECE" w14:textId="77777777" w:rsidTr="009D1824">
        <w:trPr>
          <w:cantSplit/>
        </w:trPr>
        <w:tc>
          <w:tcPr>
            <w:tcW w:w="1069" w:type="dxa"/>
            <w:tcBorders>
              <w:right w:val="single" w:sz="6" w:space="0" w:color="auto"/>
            </w:tcBorders>
          </w:tcPr>
          <w:p w14:paraId="640F063F" w14:textId="77777777" w:rsidR="003C6698" w:rsidRPr="008912CF" w:rsidRDefault="00615769" w:rsidP="009D1824">
            <w:pPr>
              <w:pStyle w:val="In-texttable"/>
              <w:tabs>
                <w:tab w:val="left" w:pos="144"/>
              </w:tabs>
              <w:spacing w:line="240" w:lineRule="auto"/>
              <w:rPr>
                <w:rFonts w:ascii="Times New Roman" w:hAnsi="Times New Roman"/>
                <w:sz w:val="22"/>
                <w:szCs w:val="22"/>
                <w:lang w:val="pt-PT"/>
              </w:rPr>
            </w:pPr>
            <w:r w:rsidRPr="008912CF">
              <w:rPr>
                <w:rFonts w:ascii="Times New Roman" w:hAnsi="Times New Roman"/>
                <w:sz w:val="22"/>
                <w:szCs w:val="22"/>
                <w:lang w:val="pt-PT"/>
              </w:rPr>
              <w:tab/>
              <w:t>12 meses</w:t>
            </w:r>
          </w:p>
        </w:tc>
        <w:tc>
          <w:tcPr>
            <w:tcW w:w="1393" w:type="dxa"/>
            <w:tcBorders>
              <w:left w:val="single" w:sz="6" w:space="0" w:color="auto"/>
            </w:tcBorders>
          </w:tcPr>
          <w:p w14:paraId="2F6F913B" w14:textId="77777777" w:rsidR="003C6698" w:rsidRPr="008912CF" w:rsidRDefault="00615769" w:rsidP="009D1824">
            <w:pPr>
              <w:pStyle w:val="In-texttable"/>
              <w:tabs>
                <w:tab w:val="decimal" w:pos="259"/>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417" w:type="dxa"/>
            <w:tcBorders>
              <w:right w:val="single" w:sz="6" w:space="0" w:color="auto"/>
            </w:tcBorders>
          </w:tcPr>
          <w:p w14:paraId="66233EF3" w14:textId="77777777" w:rsidR="003C6698" w:rsidRPr="008912CF" w:rsidRDefault="00615769" w:rsidP="009D1824">
            <w:pPr>
              <w:pStyle w:val="In-texttable"/>
              <w:tabs>
                <w:tab w:val="decimal" w:pos="250"/>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071" w:type="dxa"/>
            <w:tcBorders>
              <w:left w:val="single" w:sz="6" w:space="0" w:color="auto"/>
            </w:tcBorders>
          </w:tcPr>
          <w:p w14:paraId="7132EB28" w14:textId="77777777" w:rsidR="003C6698" w:rsidRPr="008912CF" w:rsidRDefault="00615769" w:rsidP="009D1824">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197" w:type="dxa"/>
            <w:tcBorders>
              <w:right w:val="single" w:sz="6" w:space="0" w:color="auto"/>
            </w:tcBorders>
          </w:tcPr>
          <w:p w14:paraId="4974598A" w14:textId="77777777" w:rsidR="003C6698" w:rsidRPr="008912CF" w:rsidRDefault="00615769" w:rsidP="009D1824">
            <w:pPr>
              <w:pStyle w:val="In-texttable"/>
              <w:tabs>
                <w:tab w:val="decimal" w:pos="20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418" w:type="dxa"/>
            <w:tcBorders>
              <w:left w:val="single" w:sz="6" w:space="0" w:color="auto"/>
            </w:tcBorders>
          </w:tcPr>
          <w:p w14:paraId="0F9BCE4A" w14:textId="77777777" w:rsidR="003C6698" w:rsidRPr="008912CF" w:rsidRDefault="00615769" w:rsidP="009D1824">
            <w:pPr>
              <w:pStyle w:val="In-texttable"/>
              <w:tabs>
                <w:tab w:val="decimal" w:pos="144"/>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9,5</w:t>
            </w:r>
            <w:r w:rsidR="009343EF">
              <w:rPr>
                <w:rFonts w:ascii="Times New Roman" w:hAnsi="Times New Roman"/>
                <w:sz w:val="22"/>
                <w:szCs w:val="22"/>
                <w:lang w:val="pt-PT"/>
              </w:rPr>
              <w:t>%</w:t>
            </w:r>
          </w:p>
        </w:tc>
        <w:tc>
          <w:tcPr>
            <w:tcW w:w="1559" w:type="dxa"/>
          </w:tcPr>
          <w:p w14:paraId="6745A77A" w14:textId="77777777" w:rsidR="003C6698" w:rsidRPr="008912CF" w:rsidRDefault="00615769" w:rsidP="009D1824">
            <w:pPr>
              <w:pStyle w:val="In-texttable"/>
              <w:tabs>
                <w:tab w:val="decimal" w:pos="9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41,5</w:t>
            </w:r>
            <w:r w:rsidR="009343EF">
              <w:rPr>
                <w:rFonts w:ascii="Times New Roman" w:hAnsi="Times New Roman"/>
                <w:sz w:val="22"/>
                <w:szCs w:val="22"/>
                <w:lang w:val="pt-PT"/>
              </w:rPr>
              <w:t>%</w:t>
            </w:r>
          </w:p>
        </w:tc>
      </w:tr>
      <w:tr w:rsidR="00A7162A" w14:paraId="731AD17F" w14:textId="77777777" w:rsidTr="009D1824">
        <w:trPr>
          <w:cantSplit/>
        </w:trPr>
        <w:tc>
          <w:tcPr>
            <w:tcW w:w="1069" w:type="dxa"/>
            <w:tcBorders>
              <w:right w:val="single" w:sz="6" w:space="0" w:color="auto"/>
            </w:tcBorders>
          </w:tcPr>
          <w:p w14:paraId="2FA8ACB9" w14:textId="77777777" w:rsidR="003C6698" w:rsidRPr="008912CF" w:rsidRDefault="00615769" w:rsidP="009D1824">
            <w:pPr>
              <w:pStyle w:val="In-texttable"/>
              <w:tabs>
                <w:tab w:val="left" w:pos="144"/>
              </w:tabs>
              <w:spacing w:line="240" w:lineRule="auto"/>
              <w:rPr>
                <w:rFonts w:ascii="Times New Roman" w:hAnsi="Times New Roman"/>
                <w:sz w:val="22"/>
                <w:szCs w:val="22"/>
                <w:lang w:val="pt-PT"/>
              </w:rPr>
            </w:pPr>
            <w:r>
              <w:rPr>
                <w:noProof/>
                <w:lang w:val="en-GB" w:eastAsia="en-GB"/>
              </w:rPr>
              <mc:AlternateContent>
                <mc:Choice Requires="wps">
                  <w:drawing>
                    <wp:anchor distT="0" distB="0" distL="114300" distR="114300" simplePos="0" relativeHeight="251666432" behindDoc="0" locked="0" layoutInCell="0" allowOverlap="1" wp14:anchorId="274642BA" wp14:editId="4D7AA360">
                      <wp:simplePos x="0" y="0"/>
                      <wp:positionH relativeFrom="column">
                        <wp:posOffset>-4972050</wp:posOffset>
                      </wp:positionH>
                      <wp:positionV relativeFrom="paragraph">
                        <wp:posOffset>38735</wp:posOffset>
                      </wp:positionV>
                      <wp:extent cx="3543300" cy="342900"/>
                      <wp:effectExtent l="0" t="1905" r="444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96220E" w14:textId="77777777" w:rsidR="000036F0" w:rsidRDefault="00615769" w:rsidP="003C6698">
                                  <w:r w:rsidRPr="00E06CAF">
                                    <w:rPr>
                                      <w:rFonts w:cs="Arial"/>
                                      <w:sz w:val="18"/>
                                      <w:szCs w:val="18"/>
                                    </w:rPr>
                                    <w:t>l</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74642BA" id="Text Box 18" o:spid="_x0000_s1031" type="#_x0000_t202" style="position:absolute;margin-left:-391.5pt;margin-top:3.05pt;width:279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" o:allowincell="f" stroked="f">
                      <v:textbox>
                        <w:txbxContent>
                          <w:p w14:paraId="4596220E" w14:textId="77777777" w:rsidR="000036F0" w:rsidRDefault="00615769" w:rsidP="003C6698">
                            <w:r w:rsidRPr="00E06CAF">
                              <w:rPr>
                                <w:rFonts w:cs="Arial"/>
                                <w:sz w:val="18"/>
                                <w:szCs w:val="18"/>
                              </w:rPr>
                              <w:t>l</w:t>
                            </w:r>
                          </w:p>
                        </w:txbxContent>
                      </v:textbox>
                    </v:shape>
                  </w:pict>
                </mc:Fallback>
              </mc:AlternateContent>
            </w:r>
            <w:r w:rsidRPr="008912CF">
              <w:rPr>
                <w:rFonts w:ascii="Times New Roman" w:hAnsi="Times New Roman"/>
                <w:sz w:val="22"/>
                <w:szCs w:val="22"/>
                <w:lang w:val="pt-PT"/>
              </w:rPr>
              <w:t>ACR 70</w:t>
            </w:r>
          </w:p>
        </w:tc>
        <w:tc>
          <w:tcPr>
            <w:tcW w:w="1393" w:type="dxa"/>
            <w:tcBorders>
              <w:left w:val="single" w:sz="6" w:space="0" w:color="auto"/>
            </w:tcBorders>
          </w:tcPr>
          <w:p w14:paraId="74F700A8" w14:textId="77777777" w:rsidR="003C6698" w:rsidRPr="008912CF" w:rsidRDefault="003C6698" w:rsidP="009D1824">
            <w:pPr>
              <w:pStyle w:val="In-texttable"/>
              <w:tabs>
                <w:tab w:val="decimal" w:pos="259"/>
              </w:tabs>
              <w:spacing w:line="240" w:lineRule="auto"/>
              <w:jc w:val="center"/>
              <w:rPr>
                <w:rFonts w:ascii="Times New Roman" w:hAnsi="Times New Roman"/>
                <w:sz w:val="22"/>
                <w:szCs w:val="22"/>
                <w:lang w:val="pt-PT"/>
              </w:rPr>
            </w:pPr>
          </w:p>
        </w:tc>
        <w:tc>
          <w:tcPr>
            <w:tcW w:w="1417" w:type="dxa"/>
            <w:tcBorders>
              <w:right w:val="single" w:sz="6" w:space="0" w:color="auto"/>
            </w:tcBorders>
          </w:tcPr>
          <w:p w14:paraId="42E129DD" w14:textId="77777777" w:rsidR="003C6698" w:rsidRPr="008912CF" w:rsidRDefault="003C6698" w:rsidP="009D1824">
            <w:pPr>
              <w:pStyle w:val="In-texttable"/>
              <w:tabs>
                <w:tab w:val="decimal" w:pos="250"/>
              </w:tabs>
              <w:spacing w:line="240" w:lineRule="auto"/>
              <w:jc w:val="center"/>
              <w:rPr>
                <w:rFonts w:ascii="Times New Roman" w:hAnsi="Times New Roman"/>
                <w:sz w:val="22"/>
                <w:szCs w:val="22"/>
                <w:lang w:val="pt-PT"/>
              </w:rPr>
            </w:pPr>
          </w:p>
        </w:tc>
        <w:tc>
          <w:tcPr>
            <w:tcW w:w="1071" w:type="dxa"/>
            <w:tcBorders>
              <w:left w:val="single" w:sz="6" w:space="0" w:color="auto"/>
            </w:tcBorders>
          </w:tcPr>
          <w:p w14:paraId="530FCE70" w14:textId="77777777" w:rsidR="003C6698" w:rsidRPr="008912CF" w:rsidRDefault="003C6698" w:rsidP="009D1824">
            <w:pPr>
              <w:pStyle w:val="In-texttable"/>
              <w:spacing w:line="240" w:lineRule="auto"/>
              <w:jc w:val="center"/>
              <w:rPr>
                <w:rFonts w:ascii="Times New Roman" w:hAnsi="Times New Roman"/>
                <w:sz w:val="22"/>
                <w:szCs w:val="22"/>
                <w:lang w:val="pt-PT"/>
              </w:rPr>
            </w:pPr>
          </w:p>
        </w:tc>
        <w:tc>
          <w:tcPr>
            <w:tcW w:w="1197" w:type="dxa"/>
            <w:tcBorders>
              <w:right w:val="single" w:sz="6" w:space="0" w:color="auto"/>
            </w:tcBorders>
          </w:tcPr>
          <w:p w14:paraId="206F7FA6" w14:textId="77777777" w:rsidR="003C6698" w:rsidRPr="008912CF" w:rsidRDefault="003C6698" w:rsidP="009D1824">
            <w:pPr>
              <w:pStyle w:val="In-texttable"/>
              <w:tabs>
                <w:tab w:val="decimal" w:pos="205"/>
              </w:tabs>
              <w:spacing w:line="240" w:lineRule="auto"/>
              <w:jc w:val="center"/>
              <w:rPr>
                <w:rFonts w:ascii="Times New Roman" w:hAnsi="Times New Roman"/>
                <w:sz w:val="22"/>
                <w:szCs w:val="22"/>
                <w:lang w:val="pt-PT"/>
              </w:rPr>
            </w:pPr>
          </w:p>
        </w:tc>
        <w:tc>
          <w:tcPr>
            <w:tcW w:w="1418" w:type="dxa"/>
            <w:tcBorders>
              <w:left w:val="single" w:sz="6" w:space="0" w:color="auto"/>
            </w:tcBorders>
          </w:tcPr>
          <w:p w14:paraId="7080B86D" w14:textId="77777777" w:rsidR="003C6698" w:rsidRPr="008912CF" w:rsidRDefault="003C6698" w:rsidP="009D1824">
            <w:pPr>
              <w:pStyle w:val="In-texttable"/>
              <w:tabs>
                <w:tab w:val="decimal" w:pos="144"/>
              </w:tabs>
              <w:spacing w:line="240" w:lineRule="auto"/>
              <w:jc w:val="center"/>
              <w:rPr>
                <w:rFonts w:ascii="Times New Roman" w:hAnsi="Times New Roman"/>
                <w:sz w:val="22"/>
                <w:szCs w:val="22"/>
                <w:lang w:val="pt-PT"/>
              </w:rPr>
            </w:pPr>
          </w:p>
        </w:tc>
        <w:tc>
          <w:tcPr>
            <w:tcW w:w="1559" w:type="dxa"/>
          </w:tcPr>
          <w:p w14:paraId="1530257C" w14:textId="77777777" w:rsidR="003C6698" w:rsidRPr="008912CF" w:rsidRDefault="003C6698" w:rsidP="009D1824">
            <w:pPr>
              <w:pStyle w:val="In-texttable"/>
              <w:tabs>
                <w:tab w:val="decimal" w:pos="95"/>
              </w:tabs>
              <w:spacing w:line="240" w:lineRule="auto"/>
              <w:jc w:val="center"/>
              <w:rPr>
                <w:rFonts w:ascii="Times New Roman" w:hAnsi="Times New Roman"/>
                <w:sz w:val="22"/>
                <w:szCs w:val="22"/>
                <w:lang w:val="pt-PT"/>
              </w:rPr>
            </w:pPr>
          </w:p>
        </w:tc>
      </w:tr>
      <w:tr w:rsidR="00A7162A" w14:paraId="05B3B99D" w14:textId="77777777" w:rsidTr="009D1824">
        <w:trPr>
          <w:cantSplit/>
        </w:trPr>
        <w:tc>
          <w:tcPr>
            <w:tcW w:w="1069" w:type="dxa"/>
            <w:tcBorders>
              <w:right w:val="single" w:sz="6" w:space="0" w:color="auto"/>
            </w:tcBorders>
          </w:tcPr>
          <w:p w14:paraId="66E3F1F7" w14:textId="77777777" w:rsidR="003C6698" w:rsidRPr="008912CF" w:rsidRDefault="00615769" w:rsidP="009D1824">
            <w:pPr>
              <w:pStyle w:val="In-texttable"/>
              <w:tabs>
                <w:tab w:val="left" w:pos="144"/>
              </w:tabs>
              <w:spacing w:line="240" w:lineRule="auto"/>
              <w:rPr>
                <w:rFonts w:ascii="Times New Roman" w:hAnsi="Times New Roman"/>
                <w:sz w:val="22"/>
                <w:szCs w:val="22"/>
                <w:lang w:val="pt-PT"/>
              </w:rPr>
            </w:pPr>
            <w:r w:rsidRPr="008912CF">
              <w:rPr>
                <w:rFonts w:ascii="Times New Roman" w:hAnsi="Times New Roman"/>
                <w:sz w:val="22"/>
                <w:szCs w:val="22"/>
                <w:lang w:val="pt-PT"/>
              </w:rPr>
              <w:tab/>
              <w:t>6 meses</w:t>
            </w:r>
          </w:p>
        </w:tc>
        <w:tc>
          <w:tcPr>
            <w:tcW w:w="1393" w:type="dxa"/>
            <w:tcBorders>
              <w:left w:val="single" w:sz="6" w:space="0" w:color="auto"/>
            </w:tcBorders>
          </w:tcPr>
          <w:p w14:paraId="51C6823F" w14:textId="77777777" w:rsidR="003C6698" w:rsidRPr="008912CF" w:rsidRDefault="00615769" w:rsidP="009D1824">
            <w:pPr>
              <w:pStyle w:val="In-texttable"/>
              <w:tabs>
                <w:tab w:val="decimal" w:pos="259"/>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3,3%</w:t>
            </w:r>
          </w:p>
        </w:tc>
        <w:tc>
          <w:tcPr>
            <w:tcW w:w="1417" w:type="dxa"/>
            <w:tcBorders>
              <w:right w:val="single" w:sz="6" w:space="0" w:color="auto"/>
            </w:tcBorders>
          </w:tcPr>
          <w:p w14:paraId="477F8BD8" w14:textId="77777777" w:rsidR="003C6698" w:rsidRPr="008912CF" w:rsidRDefault="00615769" w:rsidP="009D1824">
            <w:pPr>
              <w:pStyle w:val="In-texttable"/>
              <w:tabs>
                <w:tab w:val="decimal" w:pos="250"/>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23,8%</w:t>
            </w:r>
          </w:p>
        </w:tc>
        <w:tc>
          <w:tcPr>
            <w:tcW w:w="1071" w:type="dxa"/>
            <w:tcBorders>
              <w:left w:val="single" w:sz="6" w:space="0" w:color="auto"/>
            </w:tcBorders>
          </w:tcPr>
          <w:p w14:paraId="0324B8F6" w14:textId="77777777" w:rsidR="003C6698" w:rsidRPr="008912CF" w:rsidRDefault="00615769" w:rsidP="009D1824">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1,8%</w:t>
            </w:r>
          </w:p>
        </w:tc>
        <w:tc>
          <w:tcPr>
            <w:tcW w:w="1197" w:type="dxa"/>
            <w:tcBorders>
              <w:right w:val="single" w:sz="6" w:space="0" w:color="auto"/>
            </w:tcBorders>
          </w:tcPr>
          <w:p w14:paraId="32D86087" w14:textId="77777777" w:rsidR="003C6698" w:rsidRPr="008912CF" w:rsidRDefault="00615769" w:rsidP="009D1824">
            <w:pPr>
              <w:pStyle w:val="In-texttable"/>
              <w:tabs>
                <w:tab w:val="decimal" w:pos="20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12,4%</w:t>
            </w:r>
          </w:p>
        </w:tc>
        <w:tc>
          <w:tcPr>
            <w:tcW w:w="1418" w:type="dxa"/>
            <w:tcBorders>
              <w:left w:val="single" w:sz="6" w:space="0" w:color="auto"/>
            </w:tcBorders>
          </w:tcPr>
          <w:p w14:paraId="31FBE680" w14:textId="77777777" w:rsidR="003C6698" w:rsidRPr="008912CF" w:rsidRDefault="00615769" w:rsidP="009D1824">
            <w:pPr>
              <w:pStyle w:val="In-texttable"/>
              <w:tabs>
                <w:tab w:val="decimal" w:pos="144"/>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2,5%</w:t>
            </w:r>
          </w:p>
        </w:tc>
        <w:tc>
          <w:tcPr>
            <w:tcW w:w="1559" w:type="dxa"/>
          </w:tcPr>
          <w:p w14:paraId="27C6839C" w14:textId="77777777" w:rsidR="003C6698" w:rsidRPr="008912CF" w:rsidRDefault="00615769" w:rsidP="009D1824">
            <w:pPr>
              <w:pStyle w:val="In-texttable"/>
              <w:tabs>
                <w:tab w:val="decimal" w:pos="9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20,8%</w:t>
            </w:r>
          </w:p>
        </w:tc>
      </w:tr>
      <w:tr w:rsidR="00A7162A" w14:paraId="14B0B64E" w14:textId="77777777" w:rsidTr="009D1824">
        <w:trPr>
          <w:cantSplit/>
        </w:trPr>
        <w:tc>
          <w:tcPr>
            <w:tcW w:w="1069" w:type="dxa"/>
            <w:tcBorders>
              <w:bottom w:val="single" w:sz="6" w:space="0" w:color="auto"/>
              <w:right w:val="single" w:sz="6" w:space="0" w:color="auto"/>
            </w:tcBorders>
          </w:tcPr>
          <w:p w14:paraId="5AE46984" w14:textId="77777777" w:rsidR="003C6698" w:rsidRPr="008912CF" w:rsidRDefault="00615769" w:rsidP="009D1824">
            <w:pPr>
              <w:pStyle w:val="In-texttable"/>
              <w:tabs>
                <w:tab w:val="left" w:pos="144"/>
              </w:tabs>
              <w:spacing w:line="240" w:lineRule="auto"/>
              <w:rPr>
                <w:rFonts w:ascii="Times New Roman" w:hAnsi="Times New Roman"/>
                <w:sz w:val="22"/>
                <w:szCs w:val="22"/>
                <w:lang w:val="pt-PT"/>
              </w:rPr>
            </w:pPr>
            <w:r w:rsidRPr="008912CF">
              <w:rPr>
                <w:rFonts w:ascii="Times New Roman" w:hAnsi="Times New Roman"/>
                <w:sz w:val="22"/>
                <w:szCs w:val="22"/>
                <w:lang w:val="pt-PT"/>
              </w:rPr>
              <w:tab/>
              <w:t>12 meses</w:t>
            </w:r>
          </w:p>
        </w:tc>
        <w:tc>
          <w:tcPr>
            <w:tcW w:w="1393" w:type="dxa"/>
            <w:tcBorders>
              <w:left w:val="single" w:sz="6" w:space="0" w:color="auto"/>
              <w:bottom w:val="single" w:sz="6" w:space="0" w:color="auto"/>
            </w:tcBorders>
          </w:tcPr>
          <w:p w14:paraId="07B0D09D" w14:textId="77777777" w:rsidR="003C6698" w:rsidRPr="008912CF" w:rsidRDefault="00615769" w:rsidP="009D1824">
            <w:pPr>
              <w:pStyle w:val="In-texttable"/>
              <w:tabs>
                <w:tab w:val="decimal" w:pos="259"/>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417" w:type="dxa"/>
            <w:tcBorders>
              <w:bottom w:val="single" w:sz="6" w:space="0" w:color="auto"/>
              <w:right w:val="single" w:sz="6" w:space="0" w:color="auto"/>
            </w:tcBorders>
          </w:tcPr>
          <w:p w14:paraId="253FBA7A" w14:textId="77777777" w:rsidR="003C6698" w:rsidRPr="008912CF" w:rsidRDefault="00615769" w:rsidP="009D1824">
            <w:pPr>
              <w:pStyle w:val="In-texttable"/>
              <w:tabs>
                <w:tab w:val="decimal" w:pos="250"/>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071" w:type="dxa"/>
            <w:tcBorders>
              <w:left w:val="single" w:sz="6" w:space="0" w:color="auto"/>
              <w:bottom w:val="single" w:sz="6" w:space="0" w:color="auto"/>
            </w:tcBorders>
          </w:tcPr>
          <w:p w14:paraId="18E1B0F1" w14:textId="77777777" w:rsidR="003C6698" w:rsidRPr="008912CF" w:rsidRDefault="00615769" w:rsidP="009D1824">
            <w:pPr>
              <w:pStyle w:val="In-texttable"/>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197" w:type="dxa"/>
            <w:tcBorders>
              <w:bottom w:val="single" w:sz="6" w:space="0" w:color="auto"/>
              <w:right w:val="single" w:sz="6" w:space="0" w:color="auto"/>
            </w:tcBorders>
          </w:tcPr>
          <w:p w14:paraId="254DC021" w14:textId="77777777" w:rsidR="003C6698" w:rsidRPr="008912CF" w:rsidRDefault="00615769" w:rsidP="009D1824">
            <w:pPr>
              <w:pStyle w:val="In-texttable"/>
              <w:tabs>
                <w:tab w:val="decimal" w:pos="20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NA</w:t>
            </w:r>
          </w:p>
        </w:tc>
        <w:tc>
          <w:tcPr>
            <w:tcW w:w="1418" w:type="dxa"/>
            <w:tcBorders>
              <w:left w:val="single" w:sz="6" w:space="0" w:color="auto"/>
              <w:bottom w:val="single" w:sz="6" w:space="0" w:color="auto"/>
            </w:tcBorders>
          </w:tcPr>
          <w:p w14:paraId="32D07CC5" w14:textId="77777777" w:rsidR="003C6698" w:rsidRPr="008912CF" w:rsidRDefault="00615769" w:rsidP="009D1824">
            <w:pPr>
              <w:pStyle w:val="In-texttable"/>
              <w:tabs>
                <w:tab w:val="decimal" w:pos="144"/>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4,5%</w:t>
            </w:r>
          </w:p>
        </w:tc>
        <w:tc>
          <w:tcPr>
            <w:tcW w:w="1559" w:type="dxa"/>
            <w:tcBorders>
              <w:bottom w:val="single" w:sz="6" w:space="0" w:color="auto"/>
            </w:tcBorders>
          </w:tcPr>
          <w:p w14:paraId="034F4FB0" w14:textId="77777777" w:rsidR="003C6698" w:rsidRPr="008912CF" w:rsidRDefault="00615769" w:rsidP="009D1824">
            <w:pPr>
              <w:pStyle w:val="In-texttable"/>
              <w:tabs>
                <w:tab w:val="decimal" w:pos="95"/>
              </w:tabs>
              <w:spacing w:line="240" w:lineRule="auto"/>
              <w:jc w:val="center"/>
              <w:rPr>
                <w:rFonts w:ascii="Times New Roman" w:hAnsi="Times New Roman"/>
                <w:sz w:val="22"/>
                <w:szCs w:val="22"/>
                <w:lang w:val="pt-PT"/>
              </w:rPr>
            </w:pPr>
            <w:r w:rsidRPr="008912CF">
              <w:rPr>
                <w:rFonts w:ascii="Times New Roman" w:hAnsi="Times New Roman"/>
                <w:sz w:val="22"/>
                <w:szCs w:val="22"/>
                <w:lang w:val="pt-PT"/>
              </w:rPr>
              <w:t>23,2%</w:t>
            </w:r>
          </w:p>
        </w:tc>
      </w:tr>
      <w:tr w:rsidR="00A7162A" w14:paraId="43677A81" w14:textId="77777777" w:rsidTr="009D1824">
        <w:trPr>
          <w:cantSplit/>
        </w:trPr>
        <w:tc>
          <w:tcPr>
            <w:tcW w:w="9124" w:type="dxa"/>
            <w:gridSpan w:val="7"/>
          </w:tcPr>
          <w:p w14:paraId="5A4E9DFC" w14:textId="77777777" w:rsidR="003C6698" w:rsidRPr="008912CF" w:rsidRDefault="00615769" w:rsidP="009D1824">
            <w:pPr>
              <w:pStyle w:val="In-textfootnote"/>
              <w:spacing w:before="0" w:line="240" w:lineRule="auto"/>
              <w:ind w:left="144" w:hanging="144"/>
              <w:rPr>
                <w:rFonts w:ascii="Times New Roman" w:hAnsi="Times New Roman"/>
                <w:sz w:val="22"/>
                <w:szCs w:val="22"/>
                <w:lang w:val="pt-PT"/>
              </w:rPr>
            </w:pPr>
            <w:r w:rsidRPr="008912CF">
              <w:rPr>
                <w:rFonts w:ascii="Times New Roman" w:hAnsi="Times New Roman"/>
                <w:sz w:val="22"/>
                <w:szCs w:val="22"/>
                <w:vertAlign w:val="superscript"/>
                <w:lang w:val="pt-PT"/>
              </w:rPr>
              <w:t>a</w:t>
            </w:r>
            <w:r w:rsidRPr="008912CF">
              <w:rPr>
                <w:rFonts w:ascii="Times New Roman" w:hAnsi="Times New Roman"/>
                <w:sz w:val="22"/>
                <w:szCs w:val="22"/>
                <w:lang w:val="pt-PT"/>
              </w:rPr>
              <w:tab/>
              <w:t xml:space="preserve">Estudo AR I na semana 24, Estudo AR II na semana 26 e Estudo AR III nas semanas 24 e 52 </w:t>
            </w:r>
          </w:p>
          <w:p w14:paraId="150FC09D" w14:textId="77777777" w:rsidR="003C6698" w:rsidRPr="008912CF" w:rsidRDefault="00615769" w:rsidP="009D1824">
            <w:pPr>
              <w:pStyle w:val="In-textfootnote"/>
              <w:spacing w:before="0" w:line="240" w:lineRule="auto"/>
              <w:ind w:left="144" w:hanging="144"/>
              <w:rPr>
                <w:rFonts w:ascii="Times New Roman" w:hAnsi="Times New Roman"/>
                <w:sz w:val="22"/>
                <w:szCs w:val="22"/>
                <w:lang w:val="pt-PT"/>
              </w:rPr>
            </w:pPr>
            <w:r w:rsidRPr="008912CF">
              <w:rPr>
                <w:rFonts w:ascii="Times New Roman" w:hAnsi="Times New Roman"/>
                <w:sz w:val="22"/>
                <w:szCs w:val="22"/>
                <w:vertAlign w:val="superscript"/>
                <w:lang w:val="pt-PT"/>
              </w:rPr>
              <w:t>b</w:t>
            </w:r>
            <w:r w:rsidRPr="008912CF">
              <w:rPr>
                <w:rFonts w:ascii="Times New Roman" w:hAnsi="Times New Roman"/>
                <w:sz w:val="22"/>
                <w:szCs w:val="22"/>
                <w:lang w:val="pt-PT"/>
              </w:rPr>
              <w:tab/>
              <w:t xml:space="preserve">40 mg de Humira administrados em semanas alternadas </w:t>
            </w:r>
          </w:p>
          <w:p w14:paraId="185D0860" w14:textId="77777777" w:rsidR="003C6698" w:rsidRPr="008912CF" w:rsidRDefault="00615769" w:rsidP="009D1824">
            <w:pPr>
              <w:pStyle w:val="In-textfootnote"/>
              <w:spacing w:before="0" w:line="240" w:lineRule="auto"/>
              <w:ind w:left="144" w:hanging="144"/>
              <w:rPr>
                <w:rFonts w:ascii="Times New Roman" w:hAnsi="Times New Roman"/>
                <w:sz w:val="22"/>
                <w:szCs w:val="22"/>
                <w:lang w:val="pt-PT"/>
              </w:rPr>
            </w:pPr>
            <w:r w:rsidRPr="008912CF">
              <w:rPr>
                <w:rFonts w:ascii="Times New Roman" w:hAnsi="Times New Roman"/>
                <w:sz w:val="22"/>
                <w:szCs w:val="22"/>
                <w:vertAlign w:val="superscript"/>
                <w:lang w:val="pt-PT"/>
              </w:rPr>
              <w:t>c</w:t>
            </w:r>
            <w:r w:rsidRPr="008912CF">
              <w:rPr>
                <w:rFonts w:ascii="Times New Roman" w:hAnsi="Times New Roman"/>
                <w:sz w:val="22"/>
                <w:szCs w:val="22"/>
                <w:lang w:val="pt-PT"/>
              </w:rPr>
              <w:t xml:space="preserve"> MTX = metotrexato</w:t>
            </w:r>
          </w:p>
          <w:p w14:paraId="44170D56" w14:textId="77777777" w:rsidR="003C6698" w:rsidRPr="008912CF" w:rsidRDefault="00615769" w:rsidP="009D1824">
            <w:pPr>
              <w:pStyle w:val="In-textfootnote"/>
              <w:spacing w:before="0" w:line="240" w:lineRule="auto"/>
              <w:ind w:left="144" w:hanging="144"/>
              <w:rPr>
                <w:rFonts w:ascii="Times New Roman" w:hAnsi="Times New Roman"/>
                <w:sz w:val="22"/>
                <w:szCs w:val="22"/>
                <w:lang w:val="pt-PT"/>
              </w:rPr>
            </w:pPr>
            <w:r w:rsidRPr="008912CF">
              <w:rPr>
                <w:rFonts w:ascii="Times New Roman" w:hAnsi="Times New Roman"/>
                <w:sz w:val="22"/>
                <w:szCs w:val="22"/>
                <w:lang w:val="pt-PT"/>
              </w:rPr>
              <w:t xml:space="preserve">**p &lt; 0,01, Humira </w:t>
            </w:r>
            <w:r w:rsidRPr="008912CF">
              <w:rPr>
                <w:rFonts w:ascii="Times New Roman" w:hAnsi="Times New Roman"/>
                <w:i/>
                <w:iCs/>
                <w:sz w:val="22"/>
                <w:szCs w:val="22"/>
                <w:lang w:val="pt-PT"/>
              </w:rPr>
              <w:t xml:space="preserve">versus </w:t>
            </w:r>
            <w:r w:rsidRPr="008912CF">
              <w:rPr>
                <w:rFonts w:ascii="Times New Roman" w:hAnsi="Times New Roman"/>
                <w:sz w:val="22"/>
                <w:szCs w:val="22"/>
                <w:lang w:val="pt-PT"/>
              </w:rPr>
              <w:t>placebo</w:t>
            </w:r>
          </w:p>
        </w:tc>
      </w:tr>
    </w:tbl>
    <w:p w14:paraId="73D36DAB" w14:textId="77777777" w:rsidR="003C6698" w:rsidRPr="008912CF" w:rsidRDefault="003C6698" w:rsidP="003C6698">
      <w:pPr>
        <w:rPr>
          <w:sz w:val="22"/>
          <w:szCs w:val="22"/>
        </w:rPr>
      </w:pPr>
    </w:p>
    <w:p w14:paraId="11232BEA" w14:textId="77777777" w:rsidR="003C6698" w:rsidRPr="008912CF" w:rsidRDefault="00615769" w:rsidP="003C6698">
      <w:pPr>
        <w:rPr>
          <w:sz w:val="22"/>
          <w:szCs w:val="22"/>
        </w:rPr>
      </w:pPr>
      <w:r w:rsidRPr="008912CF">
        <w:rPr>
          <w:sz w:val="22"/>
          <w:szCs w:val="22"/>
        </w:rPr>
        <w:t xml:space="preserve">Nos estudos AR I-IV, todos os componentes individuais dos critérios de resposta ACR (número de articulações com edema e hipersensibilidade, avaliação pelo médico e pelo doente da atividade da doença e da dor, pontuação do índice de incapacidade (HAQ) e valores PCR (mg/dl)) registaram melhoria nas semanas 24 ou 26 relativamente ao placebo. No estudo AR III, estas melhorias mantiveram-se durante 52 semanas. </w:t>
      </w:r>
    </w:p>
    <w:p w14:paraId="0D586DFA" w14:textId="77777777" w:rsidR="003C6698" w:rsidRPr="008912CF" w:rsidRDefault="003C6698" w:rsidP="003C6698">
      <w:pPr>
        <w:rPr>
          <w:sz w:val="22"/>
          <w:szCs w:val="22"/>
        </w:rPr>
      </w:pPr>
    </w:p>
    <w:p w14:paraId="147FCB9E" w14:textId="77777777" w:rsidR="003C6698" w:rsidRPr="008912CF" w:rsidRDefault="00615769" w:rsidP="003C6698">
      <w:pPr>
        <w:rPr>
          <w:sz w:val="22"/>
          <w:szCs w:val="22"/>
        </w:rPr>
      </w:pPr>
      <w:r w:rsidRPr="008912CF">
        <w:rPr>
          <w:sz w:val="22"/>
          <w:szCs w:val="22"/>
        </w:rPr>
        <w:t>Na extensão de fase aberta do estudo AR III, a maioria dos doentes</w:t>
      </w:r>
      <w:r w:rsidRPr="008912CF">
        <w:t xml:space="preserve"> </w:t>
      </w:r>
      <w:r w:rsidRPr="008912CF">
        <w:rPr>
          <w:sz w:val="22"/>
          <w:szCs w:val="22"/>
        </w:rPr>
        <w:t xml:space="preserve">que foram respondedores ACR mantiveram a resposta quando acompanhados até 10 anos. Dos 207 doentes que foram </w:t>
      </w:r>
      <w:r w:rsidR="0013275C">
        <w:rPr>
          <w:sz w:val="22"/>
          <w:szCs w:val="22"/>
        </w:rPr>
        <w:t>aleatorizado</w:t>
      </w:r>
      <w:r w:rsidRPr="008912CF">
        <w:rPr>
          <w:sz w:val="22"/>
          <w:szCs w:val="22"/>
        </w:rPr>
        <w:t>s com Humira 40 mg em semanas alternadas, 114 doentes continuaram com Humira 40 mg, em semanas alternadas, durante 5 anos. Entre estes, 86 doentes (75,4</w:t>
      </w:r>
      <w:r w:rsidR="009343EF">
        <w:rPr>
          <w:sz w:val="22"/>
          <w:szCs w:val="22"/>
        </w:rPr>
        <w:t>%</w:t>
      </w:r>
      <w:r w:rsidRPr="008912CF">
        <w:rPr>
          <w:sz w:val="22"/>
          <w:szCs w:val="22"/>
        </w:rPr>
        <w:t>) obtiveram uma resposta ACR 20; 72 doentes (63,2</w:t>
      </w:r>
      <w:r w:rsidR="009343EF">
        <w:rPr>
          <w:sz w:val="22"/>
          <w:szCs w:val="22"/>
        </w:rPr>
        <w:t>%</w:t>
      </w:r>
      <w:r w:rsidRPr="008912CF">
        <w:rPr>
          <w:sz w:val="22"/>
          <w:szCs w:val="22"/>
        </w:rPr>
        <w:t>) obtiveram uma resposta ACR 50; e 41 doentes (36</w:t>
      </w:r>
      <w:r w:rsidR="009343EF">
        <w:rPr>
          <w:sz w:val="22"/>
          <w:szCs w:val="22"/>
        </w:rPr>
        <w:t>%</w:t>
      </w:r>
      <w:r w:rsidRPr="008912CF">
        <w:rPr>
          <w:sz w:val="22"/>
          <w:szCs w:val="22"/>
        </w:rPr>
        <w:t>) obtiveram uma resposta ACR 70. Dos 207 doentes, 81 doentes continuaram com Humira 40</w:t>
      </w:r>
      <w:r>
        <w:rPr>
          <w:sz w:val="22"/>
          <w:szCs w:val="22"/>
        </w:rPr>
        <w:t> </w:t>
      </w:r>
      <w:r w:rsidRPr="008912CF">
        <w:rPr>
          <w:sz w:val="22"/>
          <w:szCs w:val="22"/>
        </w:rPr>
        <w:t xml:space="preserve">mg, em semanas alternadas, durante 10 anos. Entre </w:t>
      </w:r>
      <w:r w:rsidRPr="008912CF">
        <w:rPr>
          <w:sz w:val="22"/>
          <w:szCs w:val="22"/>
        </w:rPr>
        <w:t>estes, 64 doentes (79,0%) obtiveram uma resposta ACR 20; 56 doentes (69,1</w:t>
      </w:r>
      <w:r w:rsidR="009343EF">
        <w:rPr>
          <w:sz w:val="22"/>
          <w:szCs w:val="22"/>
        </w:rPr>
        <w:t>%</w:t>
      </w:r>
      <w:r w:rsidRPr="008912CF">
        <w:rPr>
          <w:sz w:val="22"/>
          <w:szCs w:val="22"/>
        </w:rPr>
        <w:t>) obtiveram uma resposta ACR 50; e 43 doentes (53,1</w:t>
      </w:r>
      <w:r w:rsidR="009343EF">
        <w:rPr>
          <w:sz w:val="22"/>
          <w:szCs w:val="22"/>
        </w:rPr>
        <w:t>%</w:t>
      </w:r>
      <w:r w:rsidRPr="008912CF">
        <w:rPr>
          <w:sz w:val="22"/>
          <w:szCs w:val="22"/>
        </w:rPr>
        <w:t>) obtiveram uma resposta ACR 70.</w:t>
      </w:r>
    </w:p>
    <w:p w14:paraId="05B31DEE" w14:textId="77777777" w:rsidR="003C6698" w:rsidRPr="008912CF" w:rsidRDefault="003C6698" w:rsidP="003C6698">
      <w:pPr>
        <w:rPr>
          <w:sz w:val="22"/>
          <w:szCs w:val="22"/>
        </w:rPr>
      </w:pPr>
    </w:p>
    <w:p w14:paraId="438FE969" w14:textId="77777777" w:rsidR="003C6698" w:rsidRPr="008912CF" w:rsidRDefault="00615769" w:rsidP="003C6698">
      <w:pPr>
        <w:rPr>
          <w:sz w:val="22"/>
          <w:szCs w:val="22"/>
        </w:rPr>
      </w:pPr>
      <w:r w:rsidRPr="008912CF">
        <w:rPr>
          <w:sz w:val="22"/>
          <w:szCs w:val="22"/>
        </w:rPr>
        <w:t>No estudo AR IV, a resposta ACR 20 dos doentes tratados com Humira em associação com cuidados padrão foi superior à registada nos doentes tratados com placebo em associação com cuidados padrão, sendo a diferença estatisticamente significativa (p &lt; 0,001).</w:t>
      </w:r>
    </w:p>
    <w:p w14:paraId="02FA3298" w14:textId="77777777" w:rsidR="003C6698" w:rsidRPr="008912CF" w:rsidRDefault="003C6698" w:rsidP="003C6698">
      <w:pPr>
        <w:pStyle w:val="Corpodetexto1"/>
        <w:tabs>
          <w:tab w:val="clear" w:pos="1152"/>
          <w:tab w:val="clear" w:pos="1872"/>
        </w:tabs>
        <w:spacing w:after="0" w:line="240" w:lineRule="auto"/>
        <w:ind w:left="0"/>
        <w:jc w:val="left"/>
        <w:rPr>
          <w:sz w:val="22"/>
          <w:szCs w:val="22"/>
          <w:lang w:val="pt-PT"/>
        </w:rPr>
      </w:pPr>
    </w:p>
    <w:p w14:paraId="5373B5B4" w14:textId="77777777" w:rsidR="003C6698" w:rsidRPr="008912CF" w:rsidRDefault="00615769" w:rsidP="003C6698">
      <w:pPr>
        <w:rPr>
          <w:sz w:val="22"/>
          <w:szCs w:val="22"/>
        </w:rPr>
      </w:pPr>
      <w:r w:rsidRPr="008912CF">
        <w:rPr>
          <w:sz w:val="22"/>
          <w:szCs w:val="22"/>
        </w:rPr>
        <w:t>Nos estudos AR I-IV, os doentes tratados com Humira atingiram logo após uma a duas semanas a seguir ao início do tratamento respostas ACR 20 e 50 estatisticamente significativas em relação ao placebo.</w:t>
      </w:r>
    </w:p>
    <w:p w14:paraId="190E94FC" w14:textId="77777777" w:rsidR="003C6698" w:rsidRPr="008912CF" w:rsidRDefault="003C6698" w:rsidP="003C6698">
      <w:pPr>
        <w:rPr>
          <w:sz w:val="22"/>
          <w:szCs w:val="22"/>
        </w:rPr>
      </w:pPr>
    </w:p>
    <w:p w14:paraId="5F7642D0" w14:textId="77777777" w:rsidR="003C6698" w:rsidRPr="008912CF" w:rsidRDefault="00615769" w:rsidP="003C6698">
      <w:pPr>
        <w:rPr>
          <w:sz w:val="22"/>
          <w:szCs w:val="22"/>
        </w:rPr>
      </w:pPr>
      <w:r w:rsidRPr="008912CF">
        <w:rPr>
          <w:sz w:val="22"/>
          <w:szCs w:val="22"/>
        </w:rPr>
        <w:t xml:space="preserve">No estudo AR V em doentes com artrite reumatoide precoce não tratados previamente com metotrexato, a associação terapêutica Humira e metotrexato originou respostas ACR mais rápidas e significativamente superiores do que metotrexato e Humira em monoterapia na Semana 52, sendo as respostas mantidas até à Semana 104 (ver Tabela </w:t>
      </w:r>
      <w:r w:rsidR="00D94630">
        <w:rPr>
          <w:sz w:val="22"/>
          <w:szCs w:val="22"/>
        </w:rPr>
        <w:t>6</w:t>
      </w:r>
      <w:r w:rsidRPr="008912CF">
        <w:rPr>
          <w:sz w:val="22"/>
          <w:szCs w:val="22"/>
        </w:rPr>
        <w:t>).</w:t>
      </w:r>
    </w:p>
    <w:p w14:paraId="56EE1967" w14:textId="77777777" w:rsidR="003C6698" w:rsidRPr="008912CF" w:rsidRDefault="003C6698" w:rsidP="003C6698">
      <w:pPr>
        <w:keepNex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1718"/>
        <w:gridCol w:w="1320"/>
        <w:gridCol w:w="1238"/>
        <w:gridCol w:w="1658"/>
        <w:gridCol w:w="1100"/>
        <w:gridCol w:w="1173"/>
        <w:gridCol w:w="1210"/>
        <w:gridCol w:w="12"/>
      </w:tblGrid>
      <w:tr w:rsidR="00A7162A" w14:paraId="00DFBBE6" w14:textId="77777777" w:rsidTr="009D1824">
        <w:trPr>
          <w:gridBefore w:val="1"/>
          <w:wBefore w:w="6" w:type="dxa"/>
          <w:cantSplit/>
          <w:jc w:val="center"/>
        </w:trPr>
        <w:tc>
          <w:tcPr>
            <w:tcW w:w="9429" w:type="dxa"/>
            <w:gridSpan w:val="8"/>
            <w:tcBorders>
              <w:top w:val="nil"/>
              <w:left w:val="nil"/>
              <w:bottom w:val="nil"/>
              <w:right w:val="nil"/>
            </w:tcBorders>
            <w:vAlign w:val="center"/>
          </w:tcPr>
          <w:p w14:paraId="07515738" w14:textId="77777777" w:rsidR="003C6698" w:rsidRPr="008912CF" w:rsidRDefault="00615769" w:rsidP="009D1824">
            <w:pPr>
              <w:pStyle w:val="BodyText"/>
              <w:keepNext/>
              <w:tabs>
                <w:tab w:val="left" w:pos="3600"/>
                <w:tab w:val="center" w:pos="5760"/>
              </w:tabs>
              <w:jc w:val="center"/>
              <w:rPr>
                <w:b/>
                <w:bCs/>
              </w:rPr>
            </w:pPr>
            <w:r w:rsidRPr="008912CF">
              <w:rPr>
                <w:b/>
                <w:bCs/>
                <w:sz w:val="22"/>
                <w:szCs w:val="22"/>
              </w:rPr>
              <w:t xml:space="preserve">Tabela </w:t>
            </w:r>
            <w:r w:rsidR="00D94630">
              <w:rPr>
                <w:b/>
                <w:bCs/>
                <w:sz w:val="22"/>
                <w:szCs w:val="22"/>
              </w:rPr>
              <w:t>6</w:t>
            </w:r>
          </w:p>
          <w:p w14:paraId="568BA7CE" w14:textId="77777777" w:rsidR="003C6698" w:rsidRPr="008912CF" w:rsidRDefault="00615769" w:rsidP="009D1824">
            <w:pPr>
              <w:pStyle w:val="BodyText"/>
              <w:keepNext/>
              <w:tabs>
                <w:tab w:val="left" w:pos="3600"/>
                <w:tab w:val="center" w:pos="5760"/>
              </w:tabs>
              <w:jc w:val="center"/>
              <w:rPr>
                <w:b/>
                <w:bCs/>
              </w:rPr>
            </w:pPr>
            <w:r w:rsidRPr="008912CF">
              <w:rPr>
                <w:b/>
                <w:bCs/>
                <w:sz w:val="22"/>
                <w:szCs w:val="22"/>
              </w:rPr>
              <w:t>Respostas ACR no Estudo AR V</w:t>
            </w:r>
          </w:p>
          <w:p w14:paraId="46B166F9" w14:textId="77777777" w:rsidR="003C6698" w:rsidRPr="008912CF" w:rsidRDefault="00615769" w:rsidP="009D1824">
            <w:pPr>
              <w:pStyle w:val="BodyText"/>
              <w:keepNext/>
              <w:tabs>
                <w:tab w:val="left" w:pos="3600"/>
                <w:tab w:val="center" w:pos="5760"/>
              </w:tabs>
              <w:jc w:val="center"/>
              <w:rPr>
                <w:bCs/>
                <w:i/>
                <w:caps/>
              </w:rPr>
            </w:pPr>
            <w:r w:rsidRPr="008912CF">
              <w:rPr>
                <w:b/>
                <w:bCs/>
                <w:sz w:val="22"/>
                <w:szCs w:val="22"/>
              </w:rPr>
              <w:t>(percentagem de doentes</w:t>
            </w:r>
            <w:r w:rsidRPr="008912CF">
              <w:rPr>
                <w:b/>
                <w:bCs/>
                <w:caps/>
                <w:sz w:val="22"/>
                <w:szCs w:val="22"/>
              </w:rPr>
              <w:t>)</w:t>
            </w:r>
          </w:p>
          <w:p w14:paraId="1EC82FD5" w14:textId="77777777" w:rsidR="003C6698" w:rsidRPr="008912CF" w:rsidRDefault="003C6698" w:rsidP="009D1824">
            <w:pPr>
              <w:pStyle w:val="BodyText"/>
              <w:keepNext/>
              <w:tabs>
                <w:tab w:val="left" w:pos="3600"/>
                <w:tab w:val="center" w:pos="5760"/>
              </w:tabs>
              <w:jc w:val="center"/>
              <w:rPr>
                <w:bCs/>
                <w:i/>
              </w:rPr>
            </w:pPr>
          </w:p>
        </w:tc>
      </w:tr>
      <w:tr w:rsidR="00A7162A" w14:paraId="76D43AAB" w14:textId="77777777" w:rsidTr="009D1824">
        <w:trPr>
          <w:gridAfter w:val="1"/>
          <w:wAfter w:w="12" w:type="dxa"/>
          <w:cantSplit/>
          <w:jc w:val="center"/>
        </w:trPr>
        <w:tc>
          <w:tcPr>
            <w:tcW w:w="1724" w:type="dxa"/>
            <w:gridSpan w:val="2"/>
            <w:vAlign w:val="center"/>
          </w:tcPr>
          <w:p w14:paraId="22381EE7" w14:textId="77777777" w:rsidR="003C6698" w:rsidRPr="008912CF" w:rsidRDefault="00615769" w:rsidP="009D1824">
            <w:pPr>
              <w:keepNext/>
              <w:rPr>
                <w:b/>
                <w:bCs/>
              </w:rPr>
            </w:pPr>
            <w:r w:rsidRPr="008912CF">
              <w:rPr>
                <w:b/>
                <w:bCs/>
                <w:sz w:val="22"/>
                <w:szCs w:val="22"/>
              </w:rPr>
              <w:t>Resposta</w:t>
            </w:r>
          </w:p>
        </w:tc>
        <w:tc>
          <w:tcPr>
            <w:tcW w:w="1320" w:type="dxa"/>
            <w:vAlign w:val="center"/>
          </w:tcPr>
          <w:p w14:paraId="5E064E2C" w14:textId="77777777" w:rsidR="003C6698" w:rsidRPr="008912CF" w:rsidRDefault="00615769" w:rsidP="009D1824">
            <w:pPr>
              <w:keepNext/>
              <w:jc w:val="center"/>
              <w:rPr>
                <w:b/>
                <w:bCs/>
              </w:rPr>
            </w:pPr>
            <w:r w:rsidRPr="008912CF">
              <w:rPr>
                <w:b/>
                <w:bCs/>
                <w:sz w:val="22"/>
                <w:szCs w:val="22"/>
              </w:rPr>
              <w:t>MTX</w:t>
            </w:r>
          </w:p>
          <w:p w14:paraId="32F1D38D" w14:textId="77777777" w:rsidR="003C6698" w:rsidRPr="008912CF" w:rsidRDefault="00615769" w:rsidP="009D1824">
            <w:pPr>
              <w:pStyle w:val="EndnoteText"/>
              <w:keepNext/>
              <w:jc w:val="center"/>
              <w:rPr>
                <w:b/>
                <w:bCs/>
                <w:szCs w:val="22"/>
              </w:rPr>
            </w:pPr>
            <w:r>
              <w:rPr>
                <w:b/>
                <w:bCs/>
                <w:szCs w:val="22"/>
              </w:rPr>
              <w:t>n</w:t>
            </w:r>
            <w:r w:rsidRPr="008912CF">
              <w:rPr>
                <w:b/>
                <w:bCs/>
                <w:szCs w:val="22"/>
              </w:rPr>
              <w:t> = 257</w:t>
            </w:r>
          </w:p>
        </w:tc>
        <w:tc>
          <w:tcPr>
            <w:tcW w:w="1238" w:type="dxa"/>
            <w:vAlign w:val="center"/>
          </w:tcPr>
          <w:p w14:paraId="024D970D" w14:textId="77777777" w:rsidR="003C6698" w:rsidRPr="008912CF" w:rsidRDefault="00615769" w:rsidP="009D1824">
            <w:pPr>
              <w:keepNext/>
              <w:jc w:val="center"/>
              <w:rPr>
                <w:b/>
                <w:bCs/>
              </w:rPr>
            </w:pPr>
            <w:r w:rsidRPr="008912CF">
              <w:rPr>
                <w:b/>
                <w:bCs/>
                <w:sz w:val="22"/>
                <w:szCs w:val="22"/>
              </w:rPr>
              <w:t>Humira</w:t>
            </w:r>
          </w:p>
          <w:p w14:paraId="75A8847E" w14:textId="77777777" w:rsidR="003C6698" w:rsidRPr="008912CF" w:rsidRDefault="00615769" w:rsidP="009D1824">
            <w:pPr>
              <w:keepNext/>
              <w:jc w:val="center"/>
              <w:rPr>
                <w:b/>
                <w:bCs/>
              </w:rPr>
            </w:pPr>
            <w:r w:rsidRPr="008912CF">
              <w:rPr>
                <w:b/>
                <w:bCs/>
                <w:sz w:val="22"/>
                <w:szCs w:val="22"/>
              </w:rPr>
              <w:t>n = 274</w:t>
            </w:r>
          </w:p>
        </w:tc>
        <w:tc>
          <w:tcPr>
            <w:tcW w:w="1658" w:type="dxa"/>
            <w:vAlign w:val="center"/>
          </w:tcPr>
          <w:p w14:paraId="5CEFCD82" w14:textId="77777777" w:rsidR="003C6698" w:rsidRPr="008912CF" w:rsidRDefault="00615769" w:rsidP="009D1824">
            <w:pPr>
              <w:keepNext/>
              <w:jc w:val="center"/>
              <w:rPr>
                <w:b/>
                <w:bCs/>
              </w:rPr>
            </w:pPr>
            <w:r w:rsidRPr="008912CF">
              <w:rPr>
                <w:b/>
                <w:bCs/>
                <w:sz w:val="22"/>
                <w:szCs w:val="22"/>
              </w:rPr>
              <w:t>Humira/MTX</w:t>
            </w:r>
          </w:p>
          <w:p w14:paraId="76ABEF2E" w14:textId="77777777" w:rsidR="003C6698" w:rsidRPr="008912CF" w:rsidRDefault="00615769" w:rsidP="009D1824">
            <w:pPr>
              <w:keepNext/>
              <w:jc w:val="center"/>
              <w:rPr>
                <w:b/>
                <w:bCs/>
              </w:rPr>
            </w:pPr>
            <w:r w:rsidRPr="008912CF">
              <w:rPr>
                <w:b/>
                <w:bCs/>
                <w:sz w:val="22"/>
                <w:szCs w:val="22"/>
              </w:rPr>
              <w:t>n = 268</w:t>
            </w:r>
          </w:p>
        </w:tc>
        <w:tc>
          <w:tcPr>
            <w:tcW w:w="1100" w:type="dxa"/>
            <w:vAlign w:val="center"/>
          </w:tcPr>
          <w:p w14:paraId="3D03BAB0" w14:textId="77777777" w:rsidR="003C6698" w:rsidRPr="008912CF" w:rsidRDefault="00615769" w:rsidP="009D1824">
            <w:pPr>
              <w:pStyle w:val="EndnoteText"/>
              <w:keepNext/>
              <w:jc w:val="center"/>
              <w:rPr>
                <w:b/>
                <w:bCs/>
                <w:szCs w:val="22"/>
              </w:rPr>
            </w:pPr>
            <w:r w:rsidRPr="008912CF">
              <w:rPr>
                <w:b/>
                <w:bCs/>
                <w:szCs w:val="22"/>
              </w:rPr>
              <w:t>valor</w:t>
            </w:r>
            <w:r w:rsidR="004D006C">
              <w:rPr>
                <w:b/>
                <w:bCs/>
                <w:szCs w:val="22"/>
              </w:rPr>
              <w:t>-p</w:t>
            </w:r>
            <w:r w:rsidRPr="008912CF">
              <w:rPr>
                <w:b/>
                <w:bCs/>
                <w:szCs w:val="22"/>
                <w:vertAlign w:val="superscript"/>
              </w:rPr>
              <w:t>a</w:t>
            </w:r>
          </w:p>
        </w:tc>
        <w:tc>
          <w:tcPr>
            <w:tcW w:w="1173" w:type="dxa"/>
            <w:vAlign w:val="center"/>
          </w:tcPr>
          <w:p w14:paraId="531DB8E5" w14:textId="77777777" w:rsidR="003C6698" w:rsidRPr="008912CF" w:rsidRDefault="00615769" w:rsidP="009D1824">
            <w:pPr>
              <w:keepNext/>
              <w:jc w:val="center"/>
              <w:rPr>
                <w:b/>
                <w:bCs/>
              </w:rPr>
            </w:pPr>
            <w:r w:rsidRPr="008912CF">
              <w:rPr>
                <w:b/>
                <w:bCs/>
                <w:sz w:val="22"/>
                <w:szCs w:val="22"/>
              </w:rPr>
              <w:t>valor</w:t>
            </w:r>
            <w:r w:rsidR="004D006C">
              <w:rPr>
                <w:b/>
                <w:bCs/>
                <w:sz w:val="22"/>
                <w:szCs w:val="22"/>
              </w:rPr>
              <w:t>-p</w:t>
            </w:r>
            <w:r w:rsidRPr="008912CF">
              <w:rPr>
                <w:b/>
                <w:bCs/>
                <w:sz w:val="22"/>
                <w:szCs w:val="22"/>
                <w:vertAlign w:val="superscript"/>
              </w:rPr>
              <w:t>b</w:t>
            </w:r>
          </w:p>
        </w:tc>
        <w:tc>
          <w:tcPr>
            <w:tcW w:w="1210" w:type="dxa"/>
            <w:vAlign w:val="center"/>
          </w:tcPr>
          <w:p w14:paraId="364B038E" w14:textId="77777777" w:rsidR="003C6698" w:rsidRPr="008912CF" w:rsidRDefault="00615769" w:rsidP="009D1824">
            <w:pPr>
              <w:keepNext/>
              <w:jc w:val="center"/>
            </w:pPr>
            <w:r w:rsidRPr="008912CF">
              <w:rPr>
                <w:b/>
                <w:bCs/>
                <w:sz w:val="22"/>
                <w:szCs w:val="22"/>
              </w:rPr>
              <w:t>valor</w:t>
            </w:r>
            <w:r w:rsidR="004D006C">
              <w:rPr>
                <w:b/>
                <w:bCs/>
                <w:sz w:val="22"/>
                <w:szCs w:val="22"/>
              </w:rPr>
              <w:t>-p</w:t>
            </w:r>
            <w:r w:rsidRPr="008912CF">
              <w:rPr>
                <w:b/>
                <w:bCs/>
                <w:sz w:val="22"/>
                <w:szCs w:val="22"/>
                <w:vertAlign w:val="superscript"/>
              </w:rPr>
              <w:t>c</w:t>
            </w:r>
          </w:p>
        </w:tc>
      </w:tr>
      <w:tr w:rsidR="00A7162A" w14:paraId="757425D9" w14:textId="77777777" w:rsidTr="009D1824">
        <w:trPr>
          <w:gridAfter w:val="1"/>
          <w:wAfter w:w="12" w:type="dxa"/>
          <w:cantSplit/>
          <w:jc w:val="center"/>
        </w:trPr>
        <w:tc>
          <w:tcPr>
            <w:tcW w:w="1724" w:type="dxa"/>
            <w:gridSpan w:val="2"/>
          </w:tcPr>
          <w:p w14:paraId="46DBBB64" w14:textId="77777777" w:rsidR="003C6698" w:rsidRPr="008912CF" w:rsidRDefault="00615769" w:rsidP="009D1824">
            <w:pPr>
              <w:keepNext/>
            </w:pPr>
            <w:r w:rsidRPr="008912CF">
              <w:rPr>
                <w:sz w:val="22"/>
                <w:szCs w:val="22"/>
              </w:rPr>
              <w:t>ACR 20</w:t>
            </w:r>
          </w:p>
        </w:tc>
        <w:tc>
          <w:tcPr>
            <w:tcW w:w="1320" w:type="dxa"/>
          </w:tcPr>
          <w:p w14:paraId="76B0BC2C" w14:textId="77777777" w:rsidR="003C6698" w:rsidRPr="008912CF" w:rsidRDefault="003C6698" w:rsidP="009D1824">
            <w:pPr>
              <w:keepNext/>
              <w:jc w:val="center"/>
            </w:pPr>
          </w:p>
        </w:tc>
        <w:tc>
          <w:tcPr>
            <w:tcW w:w="1238" w:type="dxa"/>
          </w:tcPr>
          <w:p w14:paraId="752FE3CF" w14:textId="77777777" w:rsidR="003C6698" w:rsidRPr="008912CF" w:rsidRDefault="003C6698" w:rsidP="009D1824">
            <w:pPr>
              <w:keepNext/>
              <w:jc w:val="center"/>
            </w:pPr>
          </w:p>
        </w:tc>
        <w:tc>
          <w:tcPr>
            <w:tcW w:w="1658" w:type="dxa"/>
          </w:tcPr>
          <w:p w14:paraId="494377E8" w14:textId="77777777" w:rsidR="003C6698" w:rsidRPr="008912CF" w:rsidRDefault="003C6698" w:rsidP="009D1824">
            <w:pPr>
              <w:keepNext/>
              <w:jc w:val="center"/>
            </w:pPr>
          </w:p>
        </w:tc>
        <w:tc>
          <w:tcPr>
            <w:tcW w:w="1100" w:type="dxa"/>
          </w:tcPr>
          <w:p w14:paraId="3C5BD4ED" w14:textId="77777777" w:rsidR="003C6698" w:rsidRPr="008912CF" w:rsidRDefault="003C6698" w:rsidP="009D1824">
            <w:pPr>
              <w:keepNext/>
              <w:jc w:val="center"/>
            </w:pPr>
          </w:p>
        </w:tc>
        <w:tc>
          <w:tcPr>
            <w:tcW w:w="1173" w:type="dxa"/>
          </w:tcPr>
          <w:p w14:paraId="2A04532D" w14:textId="77777777" w:rsidR="003C6698" w:rsidRPr="008912CF" w:rsidRDefault="003C6698" w:rsidP="009D1824">
            <w:pPr>
              <w:keepNext/>
              <w:jc w:val="center"/>
            </w:pPr>
          </w:p>
        </w:tc>
        <w:tc>
          <w:tcPr>
            <w:tcW w:w="1210" w:type="dxa"/>
          </w:tcPr>
          <w:p w14:paraId="02F7BF57" w14:textId="77777777" w:rsidR="003C6698" w:rsidRPr="008912CF" w:rsidRDefault="003C6698" w:rsidP="009D1824">
            <w:pPr>
              <w:keepNext/>
              <w:jc w:val="center"/>
            </w:pPr>
          </w:p>
        </w:tc>
      </w:tr>
      <w:tr w:rsidR="00A7162A" w14:paraId="43D20B44" w14:textId="77777777" w:rsidTr="009D1824">
        <w:trPr>
          <w:gridAfter w:val="1"/>
          <w:wAfter w:w="12" w:type="dxa"/>
          <w:cantSplit/>
          <w:jc w:val="center"/>
        </w:trPr>
        <w:tc>
          <w:tcPr>
            <w:tcW w:w="1724" w:type="dxa"/>
            <w:gridSpan w:val="2"/>
          </w:tcPr>
          <w:p w14:paraId="03DCED59" w14:textId="77777777" w:rsidR="003C6698" w:rsidRPr="008912CF" w:rsidRDefault="00615769" w:rsidP="009D1824">
            <w:pPr>
              <w:keepNext/>
            </w:pPr>
            <w:r w:rsidRPr="008912CF">
              <w:rPr>
                <w:sz w:val="22"/>
                <w:szCs w:val="22"/>
              </w:rPr>
              <w:t xml:space="preserve">     Semana 52</w:t>
            </w:r>
          </w:p>
        </w:tc>
        <w:tc>
          <w:tcPr>
            <w:tcW w:w="1320" w:type="dxa"/>
          </w:tcPr>
          <w:p w14:paraId="4D8A2EF2" w14:textId="77777777" w:rsidR="003C6698" w:rsidRPr="008912CF" w:rsidRDefault="00615769" w:rsidP="009D1824">
            <w:pPr>
              <w:keepNext/>
              <w:jc w:val="center"/>
            </w:pPr>
            <w:r w:rsidRPr="008912CF">
              <w:rPr>
                <w:sz w:val="22"/>
                <w:szCs w:val="22"/>
              </w:rPr>
              <w:t>62,6</w:t>
            </w:r>
            <w:r w:rsidR="009343EF">
              <w:rPr>
                <w:sz w:val="22"/>
                <w:szCs w:val="22"/>
              </w:rPr>
              <w:t>%</w:t>
            </w:r>
          </w:p>
        </w:tc>
        <w:tc>
          <w:tcPr>
            <w:tcW w:w="1238" w:type="dxa"/>
          </w:tcPr>
          <w:p w14:paraId="4937DBEC" w14:textId="77777777" w:rsidR="003C6698" w:rsidRPr="008912CF" w:rsidRDefault="00615769" w:rsidP="009D1824">
            <w:pPr>
              <w:keepNext/>
              <w:jc w:val="center"/>
            </w:pPr>
            <w:r w:rsidRPr="008912CF">
              <w:rPr>
                <w:sz w:val="22"/>
                <w:szCs w:val="22"/>
              </w:rPr>
              <w:t>54,4</w:t>
            </w:r>
            <w:r w:rsidR="009343EF">
              <w:rPr>
                <w:sz w:val="22"/>
                <w:szCs w:val="22"/>
              </w:rPr>
              <w:t>%</w:t>
            </w:r>
          </w:p>
        </w:tc>
        <w:tc>
          <w:tcPr>
            <w:tcW w:w="1658" w:type="dxa"/>
          </w:tcPr>
          <w:p w14:paraId="7EFCB6AF" w14:textId="77777777" w:rsidR="003C6698" w:rsidRPr="008912CF" w:rsidRDefault="00615769" w:rsidP="009D1824">
            <w:pPr>
              <w:keepNext/>
              <w:jc w:val="center"/>
            </w:pPr>
            <w:r w:rsidRPr="008912CF">
              <w:rPr>
                <w:sz w:val="22"/>
                <w:szCs w:val="22"/>
              </w:rPr>
              <w:t>72,8</w:t>
            </w:r>
            <w:r w:rsidR="009343EF">
              <w:rPr>
                <w:sz w:val="22"/>
                <w:szCs w:val="22"/>
              </w:rPr>
              <w:t>%</w:t>
            </w:r>
          </w:p>
        </w:tc>
        <w:tc>
          <w:tcPr>
            <w:tcW w:w="1100" w:type="dxa"/>
          </w:tcPr>
          <w:p w14:paraId="3FF9627E" w14:textId="77777777" w:rsidR="003C6698" w:rsidRPr="008912CF" w:rsidRDefault="00615769" w:rsidP="009D1824">
            <w:pPr>
              <w:keepNext/>
              <w:jc w:val="center"/>
            </w:pPr>
            <w:r w:rsidRPr="008912CF">
              <w:rPr>
                <w:sz w:val="22"/>
                <w:szCs w:val="22"/>
              </w:rPr>
              <w:t>0,013</w:t>
            </w:r>
          </w:p>
        </w:tc>
        <w:tc>
          <w:tcPr>
            <w:tcW w:w="1173" w:type="dxa"/>
          </w:tcPr>
          <w:p w14:paraId="5D444C9F" w14:textId="77777777" w:rsidR="003C6698" w:rsidRPr="008912CF" w:rsidRDefault="00615769" w:rsidP="009D1824">
            <w:pPr>
              <w:keepNext/>
              <w:jc w:val="center"/>
            </w:pPr>
            <w:r w:rsidRPr="008912CF">
              <w:rPr>
                <w:sz w:val="22"/>
                <w:szCs w:val="22"/>
              </w:rPr>
              <w:t>&lt; 0,001</w:t>
            </w:r>
          </w:p>
        </w:tc>
        <w:tc>
          <w:tcPr>
            <w:tcW w:w="1210" w:type="dxa"/>
          </w:tcPr>
          <w:p w14:paraId="203C493A" w14:textId="77777777" w:rsidR="003C6698" w:rsidRPr="008912CF" w:rsidRDefault="00615769" w:rsidP="009D1824">
            <w:pPr>
              <w:keepNext/>
              <w:jc w:val="center"/>
            </w:pPr>
            <w:r w:rsidRPr="008912CF">
              <w:rPr>
                <w:sz w:val="22"/>
                <w:szCs w:val="22"/>
              </w:rPr>
              <w:t>0,043</w:t>
            </w:r>
          </w:p>
        </w:tc>
      </w:tr>
      <w:tr w:rsidR="00A7162A" w14:paraId="31EBF5D6" w14:textId="77777777" w:rsidTr="009D1824">
        <w:trPr>
          <w:gridAfter w:val="1"/>
          <w:wAfter w:w="12" w:type="dxa"/>
          <w:cantSplit/>
          <w:jc w:val="center"/>
        </w:trPr>
        <w:tc>
          <w:tcPr>
            <w:tcW w:w="1724" w:type="dxa"/>
            <w:gridSpan w:val="2"/>
          </w:tcPr>
          <w:p w14:paraId="6C06F755" w14:textId="77777777" w:rsidR="003C6698" w:rsidRPr="008912CF" w:rsidRDefault="00615769" w:rsidP="009D1824">
            <w:pPr>
              <w:keepNext/>
            </w:pPr>
            <w:r w:rsidRPr="008912CF">
              <w:rPr>
                <w:sz w:val="22"/>
                <w:szCs w:val="22"/>
              </w:rPr>
              <w:t xml:space="preserve">     Semana 104</w:t>
            </w:r>
          </w:p>
        </w:tc>
        <w:tc>
          <w:tcPr>
            <w:tcW w:w="1320" w:type="dxa"/>
          </w:tcPr>
          <w:p w14:paraId="624B6A98" w14:textId="77777777" w:rsidR="003C6698" w:rsidRPr="008912CF" w:rsidRDefault="00615769" w:rsidP="009D1824">
            <w:pPr>
              <w:keepNext/>
              <w:jc w:val="center"/>
            </w:pPr>
            <w:r w:rsidRPr="008912CF">
              <w:rPr>
                <w:sz w:val="22"/>
                <w:szCs w:val="22"/>
              </w:rPr>
              <w:t>56,0</w:t>
            </w:r>
            <w:r w:rsidR="009343EF">
              <w:rPr>
                <w:sz w:val="22"/>
                <w:szCs w:val="22"/>
              </w:rPr>
              <w:t>%</w:t>
            </w:r>
          </w:p>
        </w:tc>
        <w:tc>
          <w:tcPr>
            <w:tcW w:w="1238" w:type="dxa"/>
          </w:tcPr>
          <w:p w14:paraId="024526A9" w14:textId="77777777" w:rsidR="003C6698" w:rsidRPr="008912CF" w:rsidRDefault="00615769" w:rsidP="009D1824">
            <w:pPr>
              <w:keepNext/>
              <w:jc w:val="center"/>
            </w:pPr>
            <w:r w:rsidRPr="008912CF">
              <w:rPr>
                <w:sz w:val="22"/>
                <w:szCs w:val="22"/>
              </w:rPr>
              <w:t>49,3</w:t>
            </w:r>
            <w:r w:rsidR="009343EF">
              <w:rPr>
                <w:sz w:val="22"/>
                <w:szCs w:val="22"/>
              </w:rPr>
              <w:t>%</w:t>
            </w:r>
          </w:p>
        </w:tc>
        <w:tc>
          <w:tcPr>
            <w:tcW w:w="1658" w:type="dxa"/>
          </w:tcPr>
          <w:p w14:paraId="31E8C1EA" w14:textId="77777777" w:rsidR="003C6698" w:rsidRPr="008912CF" w:rsidRDefault="00615769" w:rsidP="009D1824">
            <w:pPr>
              <w:keepNext/>
              <w:jc w:val="center"/>
            </w:pPr>
            <w:r w:rsidRPr="008912CF">
              <w:rPr>
                <w:sz w:val="22"/>
                <w:szCs w:val="22"/>
              </w:rPr>
              <w:t>69,4</w:t>
            </w:r>
            <w:r w:rsidR="009343EF">
              <w:rPr>
                <w:sz w:val="22"/>
                <w:szCs w:val="22"/>
              </w:rPr>
              <w:t>%</w:t>
            </w:r>
          </w:p>
        </w:tc>
        <w:tc>
          <w:tcPr>
            <w:tcW w:w="1100" w:type="dxa"/>
          </w:tcPr>
          <w:p w14:paraId="49640168" w14:textId="77777777" w:rsidR="003C6698" w:rsidRPr="008912CF" w:rsidRDefault="00615769" w:rsidP="009D1824">
            <w:pPr>
              <w:keepNext/>
              <w:jc w:val="center"/>
            </w:pPr>
            <w:r w:rsidRPr="008912CF">
              <w:rPr>
                <w:sz w:val="22"/>
                <w:szCs w:val="22"/>
              </w:rPr>
              <w:t>0,002</w:t>
            </w:r>
          </w:p>
        </w:tc>
        <w:tc>
          <w:tcPr>
            <w:tcW w:w="1173" w:type="dxa"/>
          </w:tcPr>
          <w:p w14:paraId="1C96C3A2" w14:textId="77777777" w:rsidR="003C6698" w:rsidRPr="008912CF" w:rsidRDefault="00615769" w:rsidP="009D1824">
            <w:pPr>
              <w:keepNext/>
              <w:jc w:val="center"/>
            </w:pPr>
            <w:r w:rsidRPr="008912CF">
              <w:rPr>
                <w:sz w:val="22"/>
                <w:szCs w:val="22"/>
              </w:rPr>
              <w:t>&lt; 0,001</w:t>
            </w:r>
          </w:p>
        </w:tc>
        <w:tc>
          <w:tcPr>
            <w:tcW w:w="1210" w:type="dxa"/>
          </w:tcPr>
          <w:p w14:paraId="5EDBD0F3" w14:textId="77777777" w:rsidR="003C6698" w:rsidRPr="008912CF" w:rsidRDefault="00615769" w:rsidP="009D1824">
            <w:pPr>
              <w:keepNext/>
              <w:jc w:val="center"/>
            </w:pPr>
            <w:r w:rsidRPr="008912CF">
              <w:rPr>
                <w:sz w:val="22"/>
                <w:szCs w:val="22"/>
              </w:rPr>
              <w:t>0,140</w:t>
            </w:r>
          </w:p>
        </w:tc>
      </w:tr>
      <w:tr w:rsidR="00A7162A" w14:paraId="020E6C52" w14:textId="77777777" w:rsidTr="009D1824">
        <w:trPr>
          <w:gridAfter w:val="1"/>
          <w:wAfter w:w="12" w:type="dxa"/>
          <w:cantSplit/>
          <w:jc w:val="center"/>
        </w:trPr>
        <w:tc>
          <w:tcPr>
            <w:tcW w:w="1724" w:type="dxa"/>
            <w:gridSpan w:val="2"/>
          </w:tcPr>
          <w:p w14:paraId="4442DA60" w14:textId="77777777" w:rsidR="003C6698" w:rsidRPr="008912CF" w:rsidRDefault="00615769" w:rsidP="009D1824">
            <w:pPr>
              <w:keepNext/>
            </w:pPr>
            <w:r w:rsidRPr="008912CF">
              <w:rPr>
                <w:sz w:val="22"/>
                <w:szCs w:val="22"/>
              </w:rPr>
              <w:t>ACR 50</w:t>
            </w:r>
          </w:p>
        </w:tc>
        <w:tc>
          <w:tcPr>
            <w:tcW w:w="1320" w:type="dxa"/>
          </w:tcPr>
          <w:p w14:paraId="53C0613A" w14:textId="77777777" w:rsidR="003C6698" w:rsidRPr="008912CF" w:rsidRDefault="003C6698" w:rsidP="009D1824">
            <w:pPr>
              <w:keepNext/>
              <w:jc w:val="center"/>
            </w:pPr>
          </w:p>
        </w:tc>
        <w:tc>
          <w:tcPr>
            <w:tcW w:w="1238" w:type="dxa"/>
          </w:tcPr>
          <w:p w14:paraId="165ECB6F" w14:textId="77777777" w:rsidR="003C6698" w:rsidRPr="008912CF" w:rsidRDefault="003C6698" w:rsidP="009D1824">
            <w:pPr>
              <w:keepNext/>
              <w:jc w:val="center"/>
            </w:pPr>
          </w:p>
        </w:tc>
        <w:tc>
          <w:tcPr>
            <w:tcW w:w="1658" w:type="dxa"/>
          </w:tcPr>
          <w:p w14:paraId="4DAF213D" w14:textId="77777777" w:rsidR="003C6698" w:rsidRPr="008912CF" w:rsidRDefault="003C6698" w:rsidP="009D1824">
            <w:pPr>
              <w:keepNext/>
              <w:jc w:val="center"/>
            </w:pPr>
          </w:p>
        </w:tc>
        <w:tc>
          <w:tcPr>
            <w:tcW w:w="1100" w:type="dxa"/>
          </w:tcPr>
          <w:p w14:paraId="529AF8AD" w14:textId="77777777" w:rsidR="003C6698" w:rsidRPr="008912CF" w:rsidRDefault="003C6698" w:rsidP="009D1824">
            <w:pPr>
              <w:keepNext/>
              <w:jc w:val="center"/>
            </w:pPr>
          </w:p>
        </w:tc>
        <w:tc>
          <w:tcPr>
            <w:tcW w:w="1173" w:type="dxa"/>
          </w:tcPr>
          <w:p w14:paraId="1E42E4AF" w14:textId="77777777" w:rsidR="003C6698" w:rsidRPr="008912CF" w:rsidRDefault="003C6698" w:rsidP="009D1824">
            <w:pPr>
              <w:keepNext/>
              <w:jc w:val="center"/>
            </w:pPr>
          </w:p>
        </w:tc>
        <w:tc>
          <w:tcPr>
            <w:tcW w:w="1210" w:type="dxa"/>
          </w:tcPr>
          <w:p w14:paraId="074BCD44" w14:textId="77777777" w:rsidR="003C6698" w:rsidRPr="008912CF" w:rsidRDefault="003C6698" w:rsidP="009D1824">
            <w:pPr>
              <w:keepNext/>
              <w:jc w:val="center"/>
            </w:pPr>
          </w:p>
        </w:tc>
      </w:tr>
      <w:tr w:rsidR="00A7162A" w14:paraId="61409529" w14:textId="77777777" w:rsidTr="009D1824">
        <w:trPr>
          <w:gridAfter w:val="1"/>
          <w:wAfter w:w="12" w:type="dxa"/>
          <w:cantSplit/>
          <w:jc w:val="center"/>
        </w:trPr>
        <w:tc>
          <w:tcPr>
            <w:tcW w:w="1724" w:type="dxa"/>
            <w:gridSpan w:val="2"/>
          </w:tcPr>
          <w:p w14:paraId="7E5E2541" w14:textId="77777777" w:rsidR="003C6698" w:rsidRPr="008912CF" w:rsidRDefault="00615769" w:rsidP="009D1824">
            <w:pPr>
              <w:keepNext/>
            </w:pPr>
            <w:r w:rsidRPr="008912CF">
              <w:rPr>
                <w:sz w:val="22"/>
                <w:szCs w:val="22"/>
              </w:rPr>
              <w:t xml:space="preserve">     Semana 52</w:t>
            </w:r>
          </w:p>
        </w:tc>
        <w:tc>
          <w:tcPr>
            <w:tcW w:w="1320" w:type="dxa"/>
          </w:tcPr>
          <w:p w14:paraId="7CC839E7" w14:textId="77777777" w:rsidR="003C6698" w:rsidRPr="008912CF" w:rsidRDefault="00615769" w:rsidP="009D1824">
            <w:pPr>
              <w:keepNext/>
              <w:jc w:val="center"/>
            </w:pPr>
            <w:r w:rsidRPr="008912CF">
              <w:rPr>
                <w:sz w:val="22"/>
                <w:szCs w:val="22"/>
              </w:rPr>
              <w:t>45,9</w:t>
            </w:r>
            <w:r w:rsidR="009343EF">
              <w:rPr>
                <w:sz w:val="22"/>
                <w:szCs w:val="22"/>
              </w:rPr>
              <w:t>%</w:t>
            </w:r>
          </w:p>
        </w:tc>
        <w:tc>
          <w:tcPr>
            <w:tcW w:w="1238" w:type="dxa"/>
          </w:tcPr>
          <w:p w14:paraId="28625D76" w14:textId="77777777" w:rsidR="003C6698" w:rsidRPr="008912CF" w:rsidRDefault="00615769" w:rsidP="009D1824">
            <w:pPr>
              <w:keepNext/>
              <w:jc w:val="center"/>
            </w:pPr>
            <w:r w:rsidRPr="008912CF">
              <w:rPr>
                <w:sz w:val="22"/>
                <w:szCs w:val="22"/>
              </w:rPr>
              <w:t>41,2</w:t>
            </w:r>
            <w:r w:rsidR="009343EF">
              <w:rPr>
                <w:sz w:val="22"/>
                <w:szCs w:val="22"/>
              </w:rPr>
              <w:t>%</w:t>
            </w:r>
          </w:p>
        </w:tc>
        <w:tc>
          <w:tcPr>
            <w:tcW w:w="1658" w:type="dxa"/>
          </w:tcPr>
          <w:p w14:paraId="60A84C29" w14:textId="77777777" w:rsidR="003C6698" w:rsidRPr="008912CF" w:rsidRDefault="00615769" w:rsidP="009D1824">
            <w:pPr>
              <w:keepNext/>
              <w:jc w:val="center"/>
            </w:pPr>
            <w:r w:rsidRPr="008912CF">
              <w:rPr>
                <w:sz w:val="22"/>
                <w:szCs w:val="22"/>
              </w:rPr>
              <w:t>61,6</w:t>
            </w:r>
            <w:r w:rsidR="009343EF">
              <w:rPr>
                <w:sz w:val="22"/>
                <w:szCs w:val="22"/>
              </w:rPr>
              <w:t>%</w:t>
            </w:r>
          </w:p>
        </w:tc>
        <w:tc>
          <w:tcPr>
            <w:tcW w:w="1100" w:type="dxa"/>
          </w:tcPr>
          <w:p w14:paraId="337EA7FF" w14:textId="77777777" w:rsidR="003C6698" w:rsidRPr="008912CF" w:rsidRDefault="00615769" w:rsidP="009D1824">
            <w:pPr>
              <w:keepNext/>
              <w:jc w:val="center"/>
            </w:pPr>
            <w:r w:rsidRPr="008912CF">
              <w:rPr>
                <w:sz w:val="22"/>
                <w:szCs w:val="22"/>
              </w:rPr>
              <w:t>&lt; 0,001</w:t>
            </w:r>
          </w:p>
        </w:tc>
        <w:tc>
          <w:tcPr>
            <w:tcW w:w="1173" w:type="dxa"/>
          </w:tcPr>
          <w:p w14:paraId="1CFFB915" w14:textId="77777777" w:rsidR="003C6698" w:rsidRPr="008912CF" w:rsidRDefault="00615769" w:rsidP="009D1824">
            <w:pPr>
              <w:keepNext/>
              <w:jc w:val="center"/>
            </w:pPr>
            <w:r w:rsidRPr="008912CF">
              <w:rPr>
                <w:sz w:val="22"/>
                <w:szCs w:val="22"/>
              </w:rPr>
              <w:t>&lt; 0,001</w:t>
            </w:r>
          </w:p>
        </w:tc>
        <w:tc>
          <w:tcPr>
            <w:tcW w:w="1210" w:type="dxa"/>
          </w:tcPr>
          <w:p w14:paraId="196C0D22" w14:textId="77777777" w:rsidR="003C6698" w:rsidRPr="008912CF" w:rsidRDefault="00615769" w:rsidP="009D1824">
            <w:pPr>
              <w:keepNext/>
              <w:jc w:val="center"/>
            </w:pPr>
            <w:r w:rsidRPr="008912CF">
              <w:rPr>
                <w:sz w:val="22"/>
                <w:szCs w:val="22"/>
              </w:rPr>
              <w:t>0,317</w:t>
            </w:r>
          </w:p>
        </w:tc>
      </w:tr>
      <w:tr w:rsidR="00A7162A" w14:paraId="2DC28C6B" w14:textId="77777777" w:rsidTr="009D1824">
        <w:trPr>
          <w:gridAfter w:val="1"/>
          <w:wAfter w:w="12" w:type="dxa"/>
          <w:cantSplit/>
          <w:jc w:val="center"/>
        </w:trPr>
        <w:tc>
          <w:tcPr>
            <w:tcW w:w="1724" w:type="dxa"/>
            <w:gridSpan w:val="2"/>
          </w:tcPr>
          <w:p w14:paraId="05A72E80" w14:textId="77777777" w:rsidR="003C6698" w:rsidRPr="008912CF" w:rsidRDefault="00615769" w:rsidP="009D1824">
            <w:pPr>
              <w:keepNext/>
            </w:pPr>
            <w:r w:rsidRPr="008912CF">
              <w:rPr>
                <w:sz w:val="22"/>
                <w:szCs w:val="22"/>
              </w:rPr>
              <w:t xml:space="preserve">     Semana 104</w:t>
            </w:r>
          </w:p>
        </w:tc>
        <w:tc>
          <w:tcPr>
            <w:tcW w:w="1320" w:type="dxa"/>
          </w:tcPr>
          <w:p w14:paraId="79AF877D" w14:textId="77777777" w:rsidR="003C6698" w:rsidRPr="008912CF" w:rsidRDefault="00615769" w:rsidP="009D1824">
            <w:pPr>
              <w:keepNext/>
              <w:jc w:val="center"/>
            </w:pPr>
            <w:r w:rsidRPr="008912CF">
              <w:rPr>
                <w:sz w:val="22"/>
                <w:szCs w:val="22"/>
              </w:rPr>
              <w:t>42,8</w:t>
            </w:r>
            <w:r w:rsidR="009343EF">
              <w:rPr>
                <w:sz w:val="22"/>
                <w:szCs w:val="22"/>
              </w:rPr>
              <w:t>%</w:t>
            </w:r>
          </w:p>
        </w:tc>
        <w:tc>
          <w:tcPr>
            <w:tcW w:w="1238" w:type="dxa"/>
          </w:tcPr>
          <w:p w14:paraId="5DEDBFF1" w14:textId="77777777" w:rsidR="003C6698" w:rsidRPr="008912CF" w:rsidRDefault="00615769" w:rsidP="009D1824">
            <w:pPr>
              <w:keepNext/>
              <w:jc w:val="center"/>
            </w:pPr>
            <w:r w:rsidRPr="008912CF">
              <w:rPr>
                <w:sz w:val="22"/>
                <w:szCs w:val="22"/>
              </w:rPr>
              <w:t>36,9</w:t>
            </w:r>
            <w:r w:rsidR="009343EF">
              <w:rPr>
                <w:sz w:val="22"/>
                <w:szCs w:val="22"/>
              </w:rPr>
              <w:t>%</w:t>
            </w:r>
          </w:p>
        </w:tc>
        <w:tc>
          <w:tcPr>
            <w:tcW w:w="1658" w:type="dxa"/>
          </w:tcPr>
          <w:p w14:paraId="04E9725F" w14:textId="77777777" w:rsidR="003C6698" w:rsidRPr="008912CF" w:rsidRDefault="00615769" w:rsidP="009D1824">
            <w:pPr>
              <w:keepNext/>
              <w:jc w:val="center"/>
            </w:pPr>
            <w:r w:rsidRPr="008912CF">
              <w:rPr>
                <w:sz w:val="22"/>
                <w:szCs w:val="22"/>
              </w:rPr>
              <w:t>59,0</w:t>
            </w:r>
            <w:r w:rsidR="009343EF">
              <w:rPr>
                <w:sz w:val="22"/>
                <w:szCs w:val="22"/>
              </w:rPr>
              <w:t>%</w:t>
            </w:r>
          </w:p>
        </w:tc>
        <w:tc>
          <w:tcPr>
            <w:tcW w:w="1100" w:type="dxa"/>
          </w:tcPr>
          <w:p w14:paraId="0AD5569F" w14:textId="77777777" w:rsidR="003C6698" w:rsidRPr="008912CF" w:rsidRDefault="00615769" w:rsidP="009D1824">
            <w:pPr>
              <w:keepNext/>
              <w:jc w:val="center"/>
            </w:pPr>
            <w:r w:rsidRPr="008912CF">
              <w:rPr>
                <w:sz w:val="22"/>
                <w:szCs w:val="22"/>
              </w:rPr>
              <w:t>&lt; 0,001</w:t>
            </w:r>
          </w:p>
        </w:tc>
        <w:tc>
          <w:tcPr>
            <w:tcW w:w="1173" w:type="dxa"/>
          </w:tcPr>
          <w:p w14:paraId="3568B667" w14:textId="77777777" w:rsidR="003C6698" w:rsidRPr="008912CF" w:rsidRDefault="00615769" w:rsidP="009D1824">
            <w:pPr>
              <w:keepNext/>
              <w:jc w:val="center"/>
            </w:pPr>
            <w:r w:rsidRPr="008912CF">
              <w:rPr>
                <w:sz w:val="22"/>
                <w:szCs w:val="22"/>
              </w:rPr>
              <w:t>&lt; 0,001</w:t>
            </w:r>
          </w:p>
        </w:tc>
        <w:tc>
          <w:tcPr>
            <w:tcW w:w="1210" w:type="dxa"/>
          </w:tcPr>
          <w:p w14:paraId="0D2A6071" w14:textId="77777777" w:rsidR="003C6698" w:rsidRPr="008912CF" w:rsidRDefault="00615769" w:rsidP="009D1824">
            <w:pPr>
              <w:keepNext/>
              <w:jc w:val="center"/>
            </w:pPr>
            <w:r w:rsidRPr="008912CF">
              <w:rPr>
                <w:sz w:val="22"/>
                <w:szCs w:val="22"/>
              </w:rPr>
              <w:t>0,162</w:t>
            </w:r>
          </w:p>
        </w:tc>
      </w:tr>
      <w:tr w:rsidR="00A7162A" w14:paraId="1D5640A4" w14:textId="77777777" w:rsidTr="009D1824">
        <w:trPr>
          <w:gridAfter w:val="1"/>
          <w:wAfter w:w="12" w:type="dxa"/>
          <w:cantSplit/>
          <w:jc w:val="center"/>
        </w:trPr>
        <w:tc>
          <w:tcPr>
            <w:tcW w:w="1724" w:type="dxa"/>
            <w:gridSpan w:val="2"/>
          </w:tcPr>
          <w:p w14:paraId="1B91B5A5" w14:textId="77777777" w:rsidR="003C6698" w:rsidRPr="008912CF" w:rsidRDefault="00615769" w:rsidP="009D1824">
            <w:pPr>
              <w:keepNext/>
            </w:pPr>
            <w:r w:rsidRPr="008912CF">
              <w:rPr>
                <w:sz w:val="22"/>
                <w:szCs w:val="22"/>
              </w:rPr>
              <w:t>ACR 70</w:t>
            </w:r>
          </w:p>
        </w:tc>
        <w:tc>
          <w:tcPr>
            <w:tcW w:w="1320" w:type="dxa"/>
          </w:tcPr>
          <w:p w14:paraId="3FF24D70" w14:textId="77777777" w:rsidR="003C6698" w:rsidRPr="008912CF" w:rsidRDefault="003C6698" w:rsidP="009D1824">
            <w:pPr>
              <w:keepNext/>
              <w:jc w:val="center"/>
            </w:pPr>
          </w:p>
        </w:tc>
        <w:tc>
          <w:tcPr>
            <w:tcW w:w="1238" w:type="dxa"/>
          </w:tcPr>
          <w:p w14:paraId="4D919B00" w14:textId="77777777" w:rsidR="003C6698" w:rsidRPr="008912CF" w:rsidRDefault="003C6698" w:rsidP="009D1824">
            <w:pPr>
              <w:keepNext/>
              <w:jc w:val="center"/>
            </w:pPr>
          </w:p>
        </w:tc>
        <w:tc>
          <w:tcPr>
            <w:tcW w:w="1658" w:type="dxa"/>
          </w:tcPr>
          <w:p w14:paraId="65F43C9E" w14:textId="77777777" w:rsidR="003C6698" w:rsidRPr="008912CF" w:rsidRDefault="003C6698" w:rsidP="009D1824">
            <w:pPr>
              <w:keepNext/>
              <w:jc w:val="center"/>
            </w:pPr>
          </w:p>
        </w:tc>
        <w:tc>
          <w:tcPr>
            <w:tcW w:w="1100" w:type="dxa"/>
          </w:tcPr>
          <w:p w14:paraId="65C66FA2" w14:textId="77777777" w:rsidR="003C6698" w:rsidRPr="008912CF" w:rsidRDefault="003C6698" w:rsidP="009D1824">
            <w:pPr>
              <w:keepNext/>
              <w:jc w:val="center"/>
            </w:pPr>
          </w:p>
        </w:tc>
        <w:tc>
          <w:tcPr>
            <w:tcW w:w="1173" w:type="dxa"/>
          </w:tcPr>
          <w:p w14:paraId="08B58BD2" w14:textId="77777777" w:rsidR="003C6698" w:rsidRPr="008912CF" w:rsidRDefault="003C6698" w:rsidP="009D1824">
            <w:pPr>
              <w:keepNext/>
              <w:jc w:val="center"/>
            </w:pPr>
          </w:p>
        </w:tc>
        <w:tc>
          <w:tcPr>
            <w:tcW w:w="1210" w:type="dxa"/>
          </w:tcPr>
          <w:p w14:paraId="37C1B555" w14:textId="77777777" w:rsidR="003C6698" w:rsidRPr="008912CF" w:rsidRDefault="003C6698" w:rsidP="009D1824">
            <w:pPr>
              <w:keepNext/>
              <w:jc w:val="center"/>
            </w:pPr>
          </w:p>
        </w:tc>
      </w:tr>
      <w:tr w:rsidR="00A7162A" w14:paraId="328EB56A" w14:textId="77777777" w:rsidTr="009D1824">
        <w:trPr>
          <w:gridAfter w:val="1"/>
          <w:wAfter w:w="12" w:type="dxa"/>
          <w:cantSplit/>
          <w:trHeight w:val="70"/>
          <w:jc w:val="center"/>
        </w:trPr>
        <w:tc>
          <w:tcPr>
            <w:tcW w:w="1724" w:type="dxa"/>
            <w:gridSpan w:val="2"/>
          </w:tcPr>
          <w:p w14:paraId="10FAA75A" w14:textId="77777777" w:rsidR="003C6698" w:rsidRPr="008912CF" w:rsidRDefault="00615769" w:rsidP="009D1824">
            <w:pPr>
              <w:keepNext/>
            </w:pPr>
            <w:r w:rsidRPr="008912CF">
              <w:rPr>
                <w:sz w:val="22"/>
                <w:szCs w:val="22"/>
              </w:rPr>
              <w:t xml:space="preserve">     Semana 52</w:t>
            </w:r>
          </w:p>
        </w:tc>
        <w:tc>
          <w:tcPr>
            <w:tcW w:w="1320" w:type="dxa"/>
          </w:tcPr>
          <w:p w14:paraId="7AF2DE04" w14:textId="77777777" w:rsidR="003C6698" w:rsidRPr="008912CF" w:rsidRDefault="00615769" w:rsidP="009D1824">
            <w:pPr>
              <w:keepNext/>
              <w:jc w:val="center"/>
            </w:pPr>
            <w:r w:rsidRPr="008912CF">
              <w:rPr>
                <w:sz w:val="22"/>
                <w:szCs w:val="22"/>
              </w:rPr>
              <w:t>27,2</w:t>
            </w:r>
            <w:r w:rsidR="009343EF">
              <w:rPr>
                <w:sz w:val="22"/>
                <w:szCs w:val="22"/>
              </w:rPr>
              <w:t>%</w:t>
            </w:r>
          </w:p>
        </w:tc>
        <w:tc>
          <w:tcPr>
            <w:tcW w:w="1238" w:type="dxa"/>
          </w:tcPr>
          <w:p w14:paraId="523C33BE" w14:textId="77777777" w:rsidR="003C6698" w:rsidRPr="008912CF" w:rsidRDefault="00615769" w:rsidP="009D1824">
            <w:pPr>
              <w:keepNext/>
              <w:jc w:val="center"/>
            </w:pPr>
            <w:r w:rsidRPr="008912CF">
              <w:rPr>
                <w:sz w:val="22"/>
                <w:szCs w:val="22"/>
              </w:rPr>
              <w:t>25,9</w:t>
            </w:r>
            <w:r w:rsidR="009343EF">
              <w:rPr>
                <w:sz w:val="22"/>
                <w:szCs w:val="22"/>
              </w:rPr>
              <w:t>%</w:t>
            </w:r>
          </w:p>
        </w:tc>
        <w:tc>
          <w:tcPr>
            <w:tcW w:w="1658" w:type="dxa"/>
          </w:tcPr>
          <w:p w14:paraId="6A99D643" w14:textId="77777777" w:rsidR="003C6698" w:rsidRPr="008912CF" w:rsidRDefault="00615769" w:rsidP="009D1824">
            <w:pPr>
              <w:keepNext/>
              <w:jc w:val="center"/>
            </w:pPr>
            <w:r w:rsidRPr="008912CF">
              <w:rPr>
                <w:sz w:val="22"/>
                <w:szCs w:val="22"/>
              </w:rPr>
              <w:t>45,5</w:t>
            </w:r>
            <w:r w:rsidR="009343EF">
              <w:rPr>
                <w:sz w:val="22"/>
                <w:szCs w:val="22"/>
              </w:rPr>
              <w:t>%</w:t>
            </w:r>
          </w:p>
        </w:tc>
        <w:tc>
          <w:tcPr>
            <w:tcW w:w="1100" w:type="dxa"/>
          </w:tcPr>
          <w:p w14:paraId="2ABDCB2B" w14:textId="77777777" w:rsidR="003C6698" w:rsidRPr="008912CF" w:rsidRDefault="00615769" w:rsidP="009D1824">
            <w:pPr>
              <w:keepNext/>
              <w:jc w:val="center"/>
            </w:pPr>
            <w:r w:rsidRPr="008912CF">
              <w:rPr>
                <w:sz w:val="22"/>
                <w:szCs w:val="22"/>
              </w:rPr>
              <w:t>&lt; 0,001</w:t>
            </w:r>
          </w:p>
        </w:tc>
        <w:tc>
          <w:tcPr>
            <w:tcW w:w="1173" w:type="dxa"/>
          </w:tcPr>
          <w:p w14:paraId="4E27E9A4" w14:textId="77777777" w:rsidR="003C6698" w:rsidRPr="008912CF" w:rsidRDefault="00615769" w:rsidP="009D1824">
            <w:pPr>
              <w:keepNext/>
              <w:jc w:val="center"/>
            </w:pPr>
            <w:r w:rsidRPr="008912CF">
              <w:rPr>
                <w:sz w:val="22"/>
                <w:szCs w:val="22"/>
              </w:rPr>
              <w:t>&lt; 0,001</w:t>
            </w:r>
          </w:p>
        </w:tc>
        <w:tc>
          <w:tcPr>
            <w:tcW w:w="1210" w:type="dxa"/>
          </w:tcPr>
          <w:p w14:paraId="6C3B1B2E" w14:textId="77777777" w:rsidR="003C6698" w:rsidRPr="008912CF" w:rsidRDefault="00615769" w:rsidP="009D1824">
            <w:pPr>
              <w:keepNext/>
              <w:jc w:val="center"/>
            </w:pPr>
            <w:r w:rsidRPr="008912CF">
              <w:rPr>
                <w:sz w:val="22"/>
                <w:szCs w:val="22"/>
              </w:rPr>
              <w:t>0,656</w:t>
            </w:r>
          </w:p>
        </w:tc>
      </w:tr>
      <w:tr w:rsidR="00A7162A" w14:paraId="3642FB78" w14:textId="77777777" w:rsidTr="009D1824">
        <w:trPr>
          <w:gridAfter w:val="1"/>
          <w:wAfter w:w="12" w:type="dxa"/>
          <w:cantSplit/>
          <w:jc w:val="center"/>
        </w:trPr>
        <w:tc>
          <w:tcPr>
            <w:tcW w:w="1724" w:type="dxa"/>
            <w:gridSpan w:val="2"/>
          </w:tcPr>
          <w:p w14:paraId="27D2672B" w14:textId="77777777" w:rsidR="003C6698" w:rsidRPr="008912CF" w:rsidRDefault="00615769" w:rsidP="009D1824">
            <w:pPr>
              <w:keepNext/>
            </w:pPr>
            <w:r w:rsidRPr="008912CF">
              <w:rPr>
                <w:sz w:val="22"/>
                <w:szCs w:val="22"/>
              </w:rPr>
              <w:t xml:space="preserve">     Semana 104</w:t>
            </w:r>
          </w:p>
        </w:tc>
        <w:tc>
          <w:tcPr>
            <w:tcW w:w="1320" w:type="dxa"/>
          </w:tcPr>
          <w:p w14:paraId="4DCCB749" w14:textId="77777777" w:rsidR="003C6698" w:rsidRPr="008912CF" w:rsidRDefault="00615769" w:rsidP="009D1824">
            <w:pPr>
              <w:keepNext/>
              <w:jc w:val="center"/>
            </w:pPr>
            <w:r w:rsidRPr="008912CF">
              <w:rPr>
                <w:sz w:val="22"/>
                <w:szCs w:val="22"/>
              </w:rPr>
              <w:t>28,4</w:t>
            </w:r>
            <w:r w:rsidR="009343EF">
              <w:rPr>
                <w:sz w:val="22"/>
                <w:szCs w:val="22"/>
              </w:rPr>
              <w:t>%</w:t>
            </w:r>
          </w:p>
        </w:tc>
        <w:tc>
          <w:tcPr>
            <w:tcW w:w="1238" w:type="dxa"/>
          </w:tcPr>
          <w:p w14:paraId="41A03D1E" w14:textId="77777777" w:rsidR="003C6698" w:rsidRPr="008912CF" w:rsidRDefault="00615769" w:rsidP="009D1824">
            <w:pPr>
              <w:keepNext/>
              <w:jc w:val="center"/>
            </w:pPr>
            <w:r w:rsidRPr="008912CF">
              <w:rPr>
                <w:sz w:val="22"/>
                <w:szCs w:val="22"/>
              </w:rPr>
              <w:t>28,1</w:t>
            </w:r>
            <w:r w:rsidR="009343EF">
              <w:rPr>
                <w:sz w:val="22"/>
                <w:szCs w:val="22"/>
              </w:rPr>
              <w:t>%</w:t>
            </w:r>
          </w:p>
        </w:tc>
        <w:tc>
          <w:tcPr>
            <w:tcW w:w="1658" w:type="dxa"/>
          </w:tcPr>
          <w:p w14:paraId="3B557A52" w14:textId="77777777" w:rsidR="003C6698" w:rsidRPr="008912CF" w:rsidRDefault="00615769" w:rsidP="009D1824">
            <w:pPr>
              <w:keepNext/>
              <w:jc w:val="center"/>
            </w:pPr>
            <w:r w:rsidRPr="008912CF">
              <w:rPr>
                <w:sz w:val="22"/>
                <w:szCs w:val="22"/>
              </w:rPr>
              <w:t>46,6</w:t>
            </w:r>
            <w:r w:rsidR="009343EF">
              <w:rPr>
                <w:sz w:val="22"/>
                <w:szCs w:val="22"/>
              </w:rPr>
              <w:t>%</w:t>
            </w:r>
          </w:p>
        </w:tc>
        <w:tc>
          <w:tcPr>
            <w:tcW w:w="1100" w:type="dxa"/>
          </w:tcPr>
          <w:p w14:paraId="59426E22" w14:textId="77777777" w:rsidR="003C6698" w:rsidRPr="008912CF" w:rsidRDefault="00615769" w:rsidP="009D1824">
            <w:pPr>
              <w:keepNext/>
              <w:jc w:val="center"/>
            </w:pPr>
            <w:r w:rsidRPr="008912CF">
              <w:rPr>
                <w:sz w:val="22"/>
                <w:szCs w:val="22"/>
              </w:rPr>
              <w:t>&lt; 0,001</w:t>
            </w:r>
          </w:p>
        </w:tc>
        <w:tc>
          <w:tcPr>
            <w:tcW w:w="1173" w:type="dxa"/>
          </w:tcPr>
          <w:p w14:paraId="64880017" w14:textId="77777777" w:rsidR="003C6698" w:rsidRPr="008912CF" w:rsidRDefault="00615769" w:rsidP="009D1824">
            <w:pPr>
              <w:keepNext/>
              <w:jc w:val="center"/>
            </w:pPr>
            <w:r w:rsidRPr="008912CF">
              <w:rPr>
                <w:sz w:val="22"/>
                <w:szCs w:val="22"/>
              </w:rPr>
              <w:t>&lt; 0,001</w:t>
            </w:r>
          </w:p>
        </w:tc>
        <w:tc>
          <w:tcPr>
            <w:tcW w:w="1210" w:type="dxa"/>
          </w:tcPr>
          <w:p w14:paraId="50786838" w14:textId="77777777" w:rsidR="003C6698" w:rsidRPr="008912CF" w:rsidRDefault="00615769" w:rsidP="009D1824">
            <w:pPr>
              <w:keepNext/>
              <w:jc w:val="center"/>
            </w:pPr>
            <w:r w:rsidRPr="008912CF">
              <w:rPr>
                <w:sz w:val="22"/>
                <w:szCs w:val="22"/>
              </w:rPr>
              <w:t>0,864</w:t>
            </w:r>
          </w:p>
        </w:tc>
      </w:tr>
      <w:tr w:rsidR="00A7162A" w14:paraId="7610F64D" w14:textId="77777777" w:rsidTr="009D1824">
        <w:trPr>
          <w:gridBefore w:val="1"/>
          <w:wBefore w:w="6" w:type="dxa"/>
          <w:cantSplit/>
          <w:jc w:val="center"/>
        </w:trPr>
        <w:tc>
          <w:tcPr>
            <w:tcW w:w="9429" w:type="dxa"/>
            <w:gridSpan w:val="8"/>
          </w:tcPr>
          <w:p w14:paraId="42B5FD3D" w14:textId="77777777" w:rsidR="003C6698" w:rsidRPr="008912CF" w:rsidRDefault="00615769" w:rsidP="009D1824">
            <w:pPr>
              <w:keepNext/>
              <w:tabs>
                <w:tab w:val="left" w:pos="330"/>
                <w:tab w:val="left" w:pos="10728"/>
              </w:tabs>
              <w:ind w:left="360" w:hanging="360"/>
            </w:pPr>
            <w:r w:rsidRPr="008912CF">
              <w:rPr>
                <w:sz w:val="22"/>
                <w:szCs w:val="22"/>
                <w:vertAlign w:val="superscript"/>
              </w:rPr>
              <w:t>a</w:t>
            </w:r>
            <w:r w:rsidRPr="008912CF">
              <w:rPr>
                <w:sz w:val="22"/>
                <w:szCs w:val="22"/>
              </w:rPr>
              <w:tab/>
            </w:r>
            <w:r w:rsidRPr="008912CF">
              <w:rPr>
                <w:sz w:val="22"/>
                <w:szCs w:val="22"/>
              </w:rPr>
              <w:t>valores-p comparativos emparelhados de metotrexato em monoterapia e da associação terapêutica Humira/metotrexato usando o teste de Mann-Whitney U.</w:t>
            </w:r>
          </w:p>
          <w:p w14:paraId="5AC0F469" w14:textId="77777777" w:rsidR="003C6698" w:rsidRPr="008912CF" w:rsidRDefault="00615769" w:rsidP="009D1824">
            <w:pPr>
              <w:pStyle w:val="BodyTextIndent"/>
              <w:keepNext/>
              <w:ind w:left="330" w:hanging="330"/>
              <w:rPr>
                <w:b w:val="0"/>
                <w:color w:val="auto"/>
                <w:szCs w:val="22"/>
              </w:rPr>
            </w:pPr>
            <w:r w:rsidRPr="008912CF">
              <w:rPr>
                <w:b w:val="0"/>
                <w:color w:val="auto"/>
                <w:szCs w:val="22"/>
                <w:vertAlign w:val="superscript"/>
              </w:rPr>
              <w:t>b</w:t>
            </w:r>
            <w:r w:rsidRPr="008912CF">
              <w:rPr>
                <w:b w:val="0"/>
                <w:color w:val="auto"/>
                <w:szCs w:val="22"/>
              </w:rPr>
              <w:tab/>
              <w:t xml:space="preserve">valores-p </w:t>
            </w:r>
            <w:r w:rsidRPr="008912CF">
              <w:rPr>
                <w:b w:val="0"/>
                <w:bCs/>
                <w:color w:val="auto"/>
                <w:szCs w:val="22"/>
              </w:rPr>
              <w:t xml:space="preserve">comparativos emparelhados de Humira em </w:t>
            </w:r>
            <w:r w:rsidRPr="008912CF">
              <w:rPr>
                <w:b w:val="0"/>
                <w:color w:val="auto"/>
                <w:szCs w:val="22"/>
              </w:rPr>
              <w:t>monoterapia e da associação terapêutica Humira/metotrexato usando o teste de Mann-Whitney U.</w:t>
            </w:r>
          </w:p>
          <w:p w14:paraId="376D4586" w14:textId="77777777" w:rsidR="003C6698" w:rsidRPr="008912CF" w:rsidRDefault="00615769" w:rsidP="009D1824">
            <w:pPr>
              <w:pStyle w:val="BodyTextIndent"/>
              <w:keepNext/>
              <w:ind w:left="329" w:hanging="329"/>
              <w:rPr>
                <w:b w:val="0"/>
                <w:color w:val="auto"/>
                <w:szCs w:val="22"/>
              </w:rPr>
            </w:pPr>
            <w:r w:rsidRPr="008912CF">
              <w:rPr>
                <w:b w:val="0"/>
                <w:color w:val="auto"/>
                <w:szCs w:val="22"/>
                <w:vertAlign w:val="superscript"/>
              </w:rPr>
              <w:t>c</w:t>
            </w:r>
            <w:r w:rsidR="003B2051">
              <w:rPr>
                <w:b w:val="0"/>
                <w:color w:val="auto"/>
                <w:szCs w:val="22"/>
                <w:vertAlign w:val="superscript"/>
              </w:rPr>
              <w:t xml:space="preserve">        </w:t>
            </w:r>
            <w:r w:rsidRPr="008912CF">
              <w:rPr>
                <w:b w:val="0"/>
                <w:color w:val="auto"/>
                <w:szCs w:val="22"/>
              </w:rPr>
              <w:t xml:space="preserve">valores-p </w:t>
            </w:r>
            <w:r w:rsidRPr="008912CF">
              <w:rPr>
                <w:b w:val="0"/>
                <w:bCs/>
                <w:color w:val="auto"/>
                <w:szCs w:val="22"/>
              </w:rPr>
              <w:t>comparativos emparelhados de Humira e metotrexato em monoterapia</w:t>
            </w:r>
            <w:r w:rsidRPr="008912CF">
              <w:rPr>
                <w:b w:val="0"/>
                <w:color w:val="auto"/>
                <w:szCs w:val="22"/>
              </w:rPr>
              <w:t xml:space="preserve"> usando o teste de Mann-Whitney U.</w:t>
            </w:r>
          </w:p>
        </w:tc>
      </w:tr>
    </w:tbl>
    <w:p w14:paraId="03C5D2E6" w14:textId="77777777" w:rsidR="003C6698" w:rsidRDefault="003C6698" w:rsidP="003C6698">
      <w:pPr>
        <w:rPr>
          <w:sz w:val="22"/>
          <w:szCs w:val="22"/>
        </w:rPr>
      </w:pPr>
    </w:p>
    <w:p w14:paraId="57387CD2" w14:textId="77777777" w:rsidR="003C6698" w:rsidRDefault="00615769" w:rsidP="003C6698">
      <w:pPr>
        <w:rPr>
          <w:sz w:val="22"/>
          <w:szCs w:val="22"/>
        </w:rPr>
      </w:pPr>
      <w:r>
        <w:rPr>
          <w:sz w:val="22"/>
          <w:szCs w:val="22"/>
        </w:rPr>
        <w:t xml:space="preserve">Na extensão de fase aberta do estudo AR V, as percentagens de resposta </w:t>
      </w:r>
      <w:r w:rsidRPr="008912CF">
        <w:rPr>
          <w:sz w:val="22"/>
          <w:szCs w:val="22"/>
        </w:rPr>
        <w:t xml:space="preserve">ACR </w:t>
      </w:r>
      <w:r>
        <w:rPr>
          <w:sz w:val="22"/>
          <w:szCs w:val="22"/>
        </w:rPr>
        <w:t>foram mantidas</w:t>
      </w:r>
      <w:r w:rsidRPr="008912CF">
        <w:rPr>
          <w:sz w:val="22"/>
          <w:szCs w:val="22"/>
        </w:rPr>
        <w:t xml:space="preserve"> quando acompanhados até 10 anos.</w:t>
      </w:r>
      <w:r>
        <w:rPr>
          <w:sz w:val="22"/>
          <w:szCs w:val="22"/>
        </w:rPr>
        <w:t xml:space="preserve"> </w:t>
      </w:r>
      <w:r w:rsidRPr="008912CF">
        <w:rPr>
          <w:sz w:val="22"/>
          <w:szCs w:val="22"/>
        </w:rPr>
        <w:t xml:space="preserve">Dos </w:t>
      </w:r>
      <w:r>
        <w:rPr>
          <w:sz w:val="22"/>
          <w:szCs w:val="22"/>
        </w:rPr>
        <w:t>542</w:t>
      </w:r>
      <w:r w:rsidRPr="008912CF">
        <w:rPr>
          <w:sz w:val="22"/>
          <w:szCs w:val="22"/>
        </w:rPr>
        <w:t xml:space="preserve"> doentes que foram </w:t>
      </w:r>
      <w:r>
        <w:rPr>
          <w:sz w:val="22"/>
          <w:szCs w:val="22"/>
        </w:rPr>
        <w:t xml:space="preserve">aleatorizados </w:t>
      </w:r>
      <w:r w:rsidR="004D006C">
        <w:rPr>
          <w:sz w:val="22"/>
          <w:szCs w:val="22"/>
        </w:rPr>
        <w:t>para</w:t>
      </w:r>
      <w:r w:rsidR="004D006C" w:rsidRPr="008912CF">
        <w:rPr>
          <w:sz w:val="22"/>
          <w:szCs w:val="22"/>
        </w:rPr>
        <w:t xml:space="preserve"> </w:t>
      </w:r>
      <w:r w:rsidRPr="008912CF">
        <w:rPr>
          <w:sz w:val="22"/>
          <w:szCs w:val="22"/>
        </w:rPr>
        <w:t>Humira 40 mg em semanas alternadas, 1</w:t>
      </w:r>
      <w:r>
        <w:rPr>
          <w:sz w:val="22"/>
          <w:szCs w:val="22"/>
        </w:rPr>
        <w:t>70</w:t>
      </w:r>
      <w:r w:rsidRPr="008912CF">
        <w:rPr>
          <w:sz w:val="22"/>
          <w:szCs w:val="22"/>
        </w:rPr>
        <w:t xml:space="preserve"> doentes continuaram com Humira 40</w:t>
      </w:r>
      <w:r>
        <w:rPr>
          <w:sz w:val="22"/>
          <w:szCs w:val="22"/>
        </w:rPr>
        <w:t> </w:t>
      </w:r>
      <w:r w:rsidRPr="008912CF">
        <w:rPr>
          <w:sz w:val="22"/>
          <w:szCs w:val="22"/>
        </w:rPr>
        <w:t xml:space="preserve">mg em semanas alternadas durante </w:t>
      </w:r>
      <w:r>
        <w:rPr>
          <w:sz w:val="22"/>
          <w:szCs w:val="22"/>
        </w:rPr>
        <w:t>10</w:t>
      </w:r>
      <w:r w:rsidRPr="008912CF">
        <w:rPr>
          <w:sz w:val="22"/>
          <w:szCs w:val="22"/>
        </w:rPr>
        <w:t xml:space="preserve"> anos. E</w:t>
      </w:r>
      <w:r>
        <w:rPr>
          <w:sz w:val="22"/>
          <w:szCs w:val="22"/>
        </w:rPr>
        <w:t>ntre estes</w:t>
      </w:r>
      <w:r w:rsidRPr="008912CF">
        <w:rPr>
          <w:sz w:val="22"/>
          <w:szCs w:val="22"/>
        </w:rPr>
        <w:t xml:space="preserve">, </w:t>
      </w:r>
      <w:r>
        <w:rPr>
          <w:sz w:val="22"/>
          <w:szCs w:val="22"/>
        </w:rPr>
        <w:t>154</w:t>
      </w:r>
      <w:r w:rsidRPr="008912CF">
        <w:rPr>
          <w:sz w:val="22"/>
          <w:szCs w:val="22"/>
        </w:rPr>
        <w:t xml:space="preserve"> doentes (</w:t>
      </w:r>
      <w:r>
        <w:rPr>
          <w:sz w:val="22"/>
          <w:szCs w:val="22"/>
        </w:rPr>
        <w:t>90,6</w:t>
      </w:r>
      <w:r w:rsidR="009343EF">
        <w:rPr>
          <w:sz w:val="22"/>
          <w:szCs w:val="22"/>
        </w:rPr>
        <w:t>%</w:t>
      </w:r>
      <w:r w:rsidRPr="008912CF">
        <w:rPr>
          <w:sz w:val="22"/>
          <w:szCs w:val="22"/>
        </w:rPr>
        <w:t xml:space="preserve">) </w:t>
      </w:r>
      <w:r>
        <w:rPr>
          <w:sz w:val="22"/>
          <w:szCs w:val="22"/>
        </w:rPr>
        <w:t xml:space="preserve">atingiram </w:t>
      </w:r>
      <w:r w:rsidRPr="008912CF">
        <w:rPr>
          <w:sz w:val="22"/>
          <w:szCs w:val="22"/>
        </w:rPr>
        <w:t>resposta</w:t>
      </w:r>
      <w:r>
        <w:rPr>
          <w:sz w:val="22"/>
          <w:szCs w:val="22"/>
        </w:rPr>
        <w:t>s</w:t>
      </w:r>
      <w:r w:rsidRPr="008912CF">
        <w:rPr>
          <w:sz w:val="22"/>
          <w:szCs w:val="22"/>
        </w:rPr>
        <w:t xml:space="preserve"> ACR 20; </w:t>
      </w:r>
      <w:r>
        <w:rPr>
          <w:sz w:val="22"/>
          <w:szCs w:val="22"/>
        </w:rPr>
        <w:t>127</w:t>
      </w:r>
      <w:r w:rsidRPr="008912CF">
        <w:rPr>
          <w:sz w:val="22"/>
          <w:szCs w:val="22"/>
        </w:rPr>
        <w:t xml:space="preserve"> doentes (</w:t>
      </w:r>
      <w:r>
        <w:rPr>
          <w:sz w:val="22"/>
          <w:szCs w:val="22"/>
        </w:rPr>
        <w:t>74</w:t>
      </w:r>
      <w:r w:rsidRPr="008912CF">
        <w:rPr>
          <w:sz w:val="22"/>
          <w:szCs w:val="22"/>
        </w:rPr>
        <w:t>,</w:t>
      </w:r>
      <w:r>
        <w:rPr>
          <w:sz w:val="22"/>
          <w:szCs w:val="22"/>
        </w:rPr>
        <w:t>7</w:t>
      </w:r>
      <w:r w:rsidR="009343EF">
        <w:rPr>
          <w:sz w:val="22"/>
          <w:szCs w:val="22"/>
        </w:rPr>
        <w:t>%</w:t>
      </w:r>
      <w:r w:rsidRPr="008912CF">
        <w:rPr>
          <w:sz w:val="22"/>
          <w:szCs w:val="22"/>
        </w:rPr>
        <w:t xml:space="preserve">) </w:t>
      </w:r>
      <w:r>
        <w:rPr>
          <w:sz w:val="22"/>
          <w:szCs w:val="22"/>
        </w:rPr>
        <w:t xml:space="preserve">atingiram  </w:t>
      </w:r>
      <w:r w:rsidRPr="008912CF">
        <w:rPr>
          <w:sz w:val="22"/>
          <w:szCs w:val="22"/>
        </w:rPr>
        <w:t>resposta</w:t>
      </w:r>
      <w:r>
        <w:rPr>
          <w:sz w:val="22"/>
          <w:szCs w:val="22"/>
        </w:rPr>
        <w:t>s</w:t>
      </w:r>
      <w:r w:rsidRPr="008912CF">
        <w:rPr>
          <w:sz w:val="22"/>
          <w:szCs w:val="22"/>
        </w:rPr>
        <w:t xml:space="preserve"> ACR 50; e </w:t>
      </w:r>
      <w:r>
        <w:rPr>
          <w:sz w:val="22"/>
          <w:szCs w:val="22"/>
        </w:rPr>
        <w:t>102</w:t>
      </w:r>
      <w:r w:rsidRPr="008912CF">
        <w:rPr>
          <w:sz w:val="22"/>
          <w:szCs w:val="22"/>
        </w:rPr>
        <w:t xml:space="preserve"> doentes (</w:t>
      </w:r>
      <w:r>
        <w:rPr>
          <w:sz w:val="22"/>
          <w:szCs w:val="22"/>
        </w:rPr>
        <w:t>60,0</w:t>
      </w:r>
      <w:r w:rsidRPr="008912CF">
        <w:rPr>
          <w:sz w:val="22"/>
          <w:szCs w:val="22"/>
        </w:rPr>
        <w:t xml:space="preserve">%) </w:t>
      </w:r>
      <w:r>
        <w:rPr>
          <w:sz w:val="22"/>
          <w:szCs w:val="22"/>
        </w:rPr>
        <w:t xml:space="preserve">atingiram </w:t>
      </w:r>
      <w:r w:rsidRPr="008912CF">
        <w:rPr>
          <w:sz w:val="22"/>
          <w:szCs w:val="22"/>
        </w:rPr>
        <w:t>resposta</w:t>
      </w:r>
      <w:r>
        <w:rPr>
          <w:sz w:val="22"/>
          <w:szCs w:val="22"/>
        </w:rPr>
        <w:t>s</w:t>
      </w:r>
      <w:r w:rsidRPr="008912CF">
        <w:rPr>
          <w:sz w:val="22"/>
          <w:szCs w:val="22"/>
        </w:rPr>
        <w:t xml:space="preserve"> ACR 70</w:t>
      </w:r>
      <w:r>
        <w:rPr>
          <w:sz w:val="22"/>
          <w:szCs w:val="22"/>
        </w:rPr>
        <w:t>.</w:t>
      </w:r>
    </w:p>
    <w:p w14:paraId="2D197821" w14:textId="77777777" w:rsidR="003C6698" w:rsidRPr="008912CF" w:rsidRDefault="003C6698" w:rsidP="003C6698">
      <w:pPr>
        <w:rPr>
          <w:sz w:val="22"/>
          <w:szCs w:val="22"/>
        </w:rPr>
      </w:pPr>
    </w:p>
    <w:p w14:paraId="45225CC9" w14:textId="77777777" w:rsidR="003C6698" w:rsidRPr="008912CF" w:rsidRDefault="00615769" w:rsidP="003C6698">
      <w:pPr>
        <w:rPr>
          <w:sz w:val="22"/>
          <w:szCs w:val="22"/>
        </w:rPr>
      </w:pPr>
      <w:r w:rsidRPr="008912CF">
        <w:rPr>
          <w:sz w:val="22"/>
          <w:szCs w:val="22"/>
        </w:rPr>
        <w:t>Na Semana 52, 42,9</w:t>
      </w:r>
      <w:r w:rsidR="009343EF">
        <w:rPr>
          <w:sz w:val="22"/>
          <w:szCs w:val="22"/>
        </w:rPr>
        <w:t>%</w:t>
      </w:r>
      <w:r w:rsidRPr="008912CF">
        <w:rPr>
          <w:sz w:val="22"/>
          <w:szCs w:val="22"/>
        </w:rPr>
        <w:t xml:space="preserve"> dos doentes tratados com a associação terapêutica Humira/metotrexato atingiram remissão clínica (DAS 28 </w:t>
      </w:r>
      <w:r>
        <w:rPr>
          <w:sz w:val="22"/>
          <w:szCs w:val="22"/>
        </w:rPr>
        <w:t xml:space="preserve">(PCR) </w:t>
      </w:r>
      <w:r w:rsidRPr="008912CF">
        <w:rPr>
          <w:sz w:val="22"/>
          <w:szCs w:val="22"/>
        </w:rPr>
        <w:t>&lt; 2,6) comparativamente com 20,6</w:t>
      </w:r>
      <w:r w:rsidR="009343EF">
        <w:rPr>
          <w:sz w:val="22"/>
          <w:szCs w:val="22"/>
        </w:rPr>
        <w:t>%</w:t>
      </w:r>
      <w:r w:rsidRPr="008912CF">
        <w:rPr>
          <w:sz w:val="22"/>
          <w:szCs w:val="22"/>
        </w:rPr>
        <w:t xml:space="preserve"> dos doentes tratados com metotrexato em monoterapia e 23,4</w:t>
      </w:r>
      <w:r w:rsidR="009343EF">
        <w:rPr>
          <w:sz w:val="22"/>
          <w:szCs w:val="22"/>
        </w:rPr>
        <w:t>%</w:t>
      </w:r>
      <w:r w:rsidRPr="008912CF">
        <w:rPr>
          <w:sz w:val="22"/>
          <w:szCs w:val="22"/>
        </w:rPr>
        <w:t xml:space="preserve"> dos doentes tratados com Humira em monoterapia. Em doentes recentemente diagnosticados com artrite reumatoide moderada a grave, a associação terapêutica Humira/metotrexato foi clinicamente e estatisticamente superior </w:t>
      </w:r>
      <w:r w:rsidR="004D006C">
        <w:rPr>
          <w:sz w:val="22"/>
          <w:szCs w:val="22"/>
        </w:rPr>
        <w:t>a</w:t>
      </w:r>
      <w:r w:rsidRPr="008912CF">
        <w:rPr>
          <w:sz w:val="22"/>
          <w:szCs w:val="22"/>
        </w:rPr>
        <w:t xml:space="preserve"> metotrexato (p &lt; 0,001) e </w:t>
      </w:r>
      <w:r w:rsidR="004D006C">
        <w:rPr>
          <w:sz w:val="22"/>
          <w:szCs w:val="22"/>
        </w:rPr>
        <w:t xml:space="preserve">a </w:t>
      </w:r>
      <w:r w:rsidRPr="008912CF">
        <w:rPr>
          <w:sz w:val="22"/>
          <w:szCs w:val="22"/>
        </w:rPr>
        <w:t xml:space="preserve">Humira em monoterapia (p &lt; 0,001) </w:t>
      </w:r>
      <w:r w:rsidR="004D006C">
        <w:rPr>
          <w:sz w:val="22"/>
          <w:szCs w:val="22"/>
        </w:rPr>
        <w:t>na</w:t>
      </w:r>
      <w:r w:rsidRPr="008912CF">
        <w:rPr>
          <w:sz w:val="22"/>
          <w:szCs w:val="22"/>
        </w:rPr>
        <w:t xml:space="preserve"> redução da atividade d</w:t>
      </w:r>
      <w:r w:rsidRPr="008912CF">
        <w:rPr>
          <w:sz w:val="22"/>
          <w:szCs w:val="22"/>
        </w:rPr>
        <w:t>a doença. A resposta foi similar nos dois braços de monoterapia (p = 0,447).</w:t>
      </w:r>
      <w:r>
        <w:rPr>
          <w:sz w:val="22"/>
          <w:szCs w:val="22"/>
        </w:rPr>
        <w:t xml:space="preserve"> Dos 342 doentes incluídos na extensão de fase aberta do estudo, originalmente aleatorizados com Humira em monoterapia ou associação terapêutica Humira/metotrexato, 171 doentes completaram 10 anos de tratamento com Humira. Entre estes, 109 doentes (63,7%) apresentaram remissão aos 10 anos.</w:t>
      </w:r>
    </w:p>
    <w:p w14:paraId="524E59D8" w14:textId="77777777" w:rsidR="003C6698" w:rsidRDefault="003C6698" w:rsidP="003C6698">
      <w:pPr>
        <w:pStyle w:val="Heading9"/>
        <w:keepNext w:val="0"/>
        <w:rPr>
          <w:i/>
          <w:szCs w:val="22"/>
        </w:rPr>
      </w:pPr>
    </w:p>
    <w:p w14:paraId="22D9909B" w14:textId="77777777" w:rsidR="003C6698" w:rsidRPr="008912CF" w:rsidRDefault="00615769" w:rsidP="003C6698">
      <w:pPr>
        <w:pStyle w:val="Heading9"/>
        <w:keepNext w:val="0"/>
        <w:rPr>
          <w:szCs w:val="22"/>
        </w:rPr>
      </w:pPr>
      <w:r w:rsidRPr="008912CF">
        <w:rPr>
          <w:i/>
          <w:szCs w:val="22"/>
        </w:rPr>
        <w:t>Resposta radiológica</w:t>
      </w:r>
    </w:p>
    <w:p w14:paraId="0F8D5BAF" w14:textId="77777777" w:rsidR="003C6698" w:rsidRPr="008912CF" w:rsidRDefault="003C6698" w:rsidP="003C6698">
      <w:pPr>
        <w:rPr>
          <w:sz w:val="22"/>
          <w:szCs w:val="22"/>
        </w:rPr>
      </w:pPr>
    </w:p>
    <w:p w14:paraId="3D030617" w14:textId="77777777" w:rsidR="003C6698" w:rsidRPr="008912CF" w:rsidRDefault="00615769" w:rsidP="003C6698">
      <w:pPr>
        <w:rPr>
          <w:sz w:val="22"/>
          <w:szCs w:val="22"/>
        </w:rPr>
      </w:pPr>
      <w:r w:rsidRPr="008912CF">
        <w:rPr>
          <w:sz w:val="22"/>
          <w:szCs w:val="22"/>
        </w:rPr>
        <w:t>No estudo AR III, em que os doentes tratados com Humira tinham uma duração média de artrite reumatoide de aproximadamente 11 anos, a lesão estrutural articular foi avaliada radiologicamente e expressa como alteração na Escala Total de Sharp (TSS) modificada e respetivos componentes, escala de erosão e escala do estreitamento do espaço articular. Doentes tratados com Humira/metotrexato demonstraram uma progressão radiológica significativamente menor do que os doentes tratados apenas com metotrexato aos 6 e 1</w:t>
      </w:r>
      <w:r w:rsidRPr="008912CF">
        <w:rPr>
          <w:sz w:val="22"/>
          <w:szCs w:val="22"/>
        </w:rPr>
        <w:t xml:space="preserve">2 meses (ver Tabela </w:t>
      </w:r>
      <w:r w:rsidR="00D94630">
        <w:rPr>
          <w:sz w:val="22"/>
          <w:szCs w:val="22"/>
        </w:rPr>
        <w:t>7</w:t>
      </w:r>
      <w:r w:rsidRPr="008912CF">
        <w:rPr>
          <w:sz w:val="22"/>
          <w:szCs w:val="22"/>
        </w:rPr>
        <w:t>).</w:t>
      </w:r>
    </w:p>
    <w:p w14:paraId="380D7F11" w14:textId="77777777" w:rsidR="003C6698" w:rsidRPr="008912CF" w:rsidRDefault="003C6698" w:rsidP="003C6698">
      <w:pPr>
        <w:rPr>
          <w:sz w:val="22"/>
          <w:szCs w:val="22"/>
        </w:rPr>
      </w:pPr>
    </w:p>
    <w:p w14:paraId="78D0796D" w14:textId="77777777" w:rsidR="003C6698" w:rsidRPr="008912CF" w:rsidRDefault="00615769" w:rsidP="003C6698">
      <w:pPr>
        <w:rPr>
          <w:sz w:val="22"/>
          <w:szCs w:val="22"/>
        </w:rPr>
      </w:pPr>
      <w:r w:rsidRPr="008912CF">
        <w:rPr>
          <w:sz w:val="22"/>
          <w:szCs w:val="22"/>
        </w:rPr>
        <w:t>Na extensão de fase aberta do estudo A</w:t>
      </w:r>
      <w:r w:rsidR="00FB0C02">
        <w:rPr>
          <w:sz w:val="22"/>
          <w:szCs w:val="22"/>
        </w:rPr>
        <w:t>R</w:t>
      </w:r>
      <w:r w:rsidRPr="008912CF">
        <w:rPr>
          <w:sz w:val="22"/>
          <w:szCs w:val="22"/>
        </w:rPr>
        <w:t xml:space="preserve"> III</w:t>
      </w:r>
      <w:r w:rsidR="00817E9D">
        <w:rPr>
          <w:sz w:val="22"/>
          <w:szCs w:val="22"/>
        </w:rPr>
        <w:t>,</w:t>
      </w:r>
      <w:r w:rsidRPr="008912CF">
        <w:rPr>
          <w:sz w:val="22"/>
          <w:szCs w:val="22"/>
        </w:rPr>
        <w:t xml:space="preserve"> a redução da taxa de progressão da lesão estrutural manteve-se por 8 e 10 anos num subgrupo de doentes. Aos 8 anos, 81 dos 207 doentes originalmente tratados com 40 mg de Humira em semanas alternadas foram avaliados radiologicamente. Entre estes, 48 doentes não mostraram progressão da lesão estrutural</w:t>
      </w:r>
      <w:r w:rsidR="00D72FFF">
        <w:rPr>
          <w:sz w:val="22"/>
          <w:szCs w:val="22"/>
        </w:rPr>
        <w:t>,</w:t>
      </w:r>
      <w:r w:rsidRPr="008912CF">
        <w:rPr>
          <w:sz w:val="22"/>
          <w:szCs w:val="22"/>
        </w:rPr>
        <w:t xml:space="preserve"> definida por uma alteração desde o início do estudo de 0,5 ou menos na mTSS. Aos 10 anos, 79 dos 207 doentes inicialmente tratados com Humira 40</w:t>
      </w:r>
      <w:r>
        <w:rPr>
          <w:sz w:val="22"/>
          <w:szCs w:val="22"/>
        </w:rPr>
        <w:t> </w:t>
      </w:r>
      <w:r w:rsidRPr="008912CF">
        <w:rPr>
          <w:sz w:val="22"/>
          <w:szCs w:val="22"/>
        </w:rPr>
        <w:t>mg em semanas alternadas foram avaliados radiologicamente. Ent</w:t>
      </w:r>
      <w:r w:rsidRPr="008912CF">
        <w:rPr>
          <w:sz w:val="22"/>
          <w:szCs w:val="22"/>
        </w:rPr>
        <w:t>re estes, 40 doentes não apresentaram progressão da lesão estrutural, definida por uma alteração desde o início do estudo de 0,5 ou menos na mTSS.</w:t>
      </w:r>
    </w:p>
    <w:p w14:paraId="70CF4B06" w14:textId="77777777" w:rsidR="003C6698" w:rsidRPr="008912CF" w:rsidRDefault="003C6698" w:rsidP="003C6698">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430"/>
        <w:gridCol w:w="1790"/>
        <w:gridCol w:w="2000"/>
        <w:gridCol w:w="1548"/>
      </w:tblGrid>
      <w:tr w:rsidR="00A7162A" w14:paraId="218A6B77" w14:textId="77777777" w:rsidTr="009D1824">
        <w:trPr>
          <w:cantSplit/>
        </w:trPr>
        <w:tc>
          <w:tcPr>
            <w:tcW w:w="8856" w:type="dxa"/>
            <w:gridSpan w:val="5"/>
            <w:tcBorders>
              <w:top w:val="nil"/>
              <w:left w:val="nil"/>
              <w:right w:val="nil"/>
            </w:tcBorders>
          </w:tcPr>
          <w:p w14:paraId="5B7E0BE8" w14:textId="77777777" w:rsidR="003C6698" w:rsidRPr="008912CF" w:rsidRDefault="00615769" w:rsidP="009D1824">
            <w:pPr>
              <w:pStyle w:val="Heading9"/>
              <w:jc w:val="center"/>
              <w:rPr>
                <w:b/>
                <w:bCs/>
                <w:u w:val="none"/>
              </w:rPr>
            </w:pPr>
            <w:r w:rsidRPr="008912CF">
              <w:rPr>
                <w:b/>
                <w:bCs/>
                <w:szCs w:val="22"/>
                <w:u w:val="none"/>
              </w:rPr>
              <w:t xml:space="preserve">Tabela </w:t>
            </w:r>
            <w:r w:rsidR="00D94630">
              <w:rPr>
                <w:b/>
                <w:bCs/>
                <w:szCs w:val="22"/>
                <w:u w:val="none"/>
              </w:rPr>
              <w:t>7</w:t>
            </w:r>
          </w:p>
          <w:p w14:paraId="0D9B9E53" w14:textId="77777777" w:rsidR="003C6698" w:rsidRPr="008912CF" w:rsidRDefault="00615769" w:rsidP="009D1824">
            <w:pPr>
              <w:pStyle w:val="Heading9"/>
              <w:jc w:val="center"/>
              <w:rPr>
                <w:b/>
                <w:bCs/>
                <w:strike/>
                <w:u w:val="none"/>
              </w:rPr>
            </w:pPr>
            <w:r w:rsidRPr="008912CF">
              <w:rPr>
                <w:b/>
                <w:bCs/>
                <w:szCs w:val="22"/>
                <w:u w:val="none"/>
              </w:rPr>
              <w:t>Alteração Média Radiológica durante 12 meses no Estudo AR III</w:t>
            </w:r>
          </w:p>
          <w:p w14:paraId="26157DDE" w14:textId="77777777" w:rsidR="003C6698" w:rsidRPr="008912CF" w:rsidRDefault="003C6698" w:rsidP="009D1824">
            <w:pPr>
              <w:keepNext/>
              <w:jc w:val="center"/>
              <w:rPr>
                <w:b/>
                <w:bCs/>
                <w:highlight w:val="red"/>
              </w:rPr>
            </w:pPr>
          </w:p>
        </w:tc>
      </w:tr>
      <w:tr w:rsidR="00A7162A" w14:paraId="7FCB73BD" w14:textId="77777777" w:rsidTr="009D1824">
        <w:tc>
          <w:tcPr>
            <w:tcW w:w="2088" w:type="dxa"/>
          </w:tcPr>
          <w:p w14:paraId="56498873" w14:textId="77777777" w:rsidR="003C6698" w:rsidRPr="008912CF" w:rsidRDefault="003C6698" w:rsidP="009D1824">
            <w:pPr>
              <w:keepNext/>
              <w:jc w:val="center"/>
            </w:pPr>
          </w:p>
        </w:tc>
        <w:tc>
          <w:tcPr>
            <w:tcW w:w="1430" w:type="dxa"/>
          </w:tcPr>
          <w:p w14:paraId="5E0483E9" w14:textId="77777777" w:rsidR="003C6698" w:rsidRPr="008912CF" w:rsidRDefault="00615769" w:rsidP="009D1824">
            <w:pPr>
              <w:keepNext/>
            </w:pPr>
            <w:r w:rsidRPr="008912CF">
              <w:rPr>
                <w:sz w:val="22"/>
                <w:szCs w:val="22"/>
              </w:rPr>
              <w:t>Placebo/</w:t>
            </w:r>
          </w:p>
          <w:p w14:paraId="6E455D34" w14:textId="77777777" w:rsidR="003C6698" w:rsidRPr="008912CF" w:rsidRDefault="00615769" w:rsidP="009D1824">
            <w:pPr>
              <w:keepNext/>
              <w:rPr>
                <w:vertAlign w:val="superscript"/>
              </w:rPr>
            </w:pPr>
            <w:r w:rsidRPr="008912CF">
              <w:rPr>
                <w:sz w:val="22"/>
                <w:szCs w:val="22"/>
              </w:rPr>
              <w:t>MTX</w:t>
            </w:r>
            <w:r w:rsidRPr="008912CF">
              <w:rPr>
                <w:sz w:val="22"/>
                <w:szCs w:val="22"/>
                <w:vertAlign w:val="superscript"/>
              </w:rPr>
              <w:t>a</w:t>
            </w:r>
          </w:p>
        </w:tc>
        <w:tc>
          <w:tcPr>
            <w:tcW w:w="1790" w:type="dxa"/>
          </w:tcPr>
          <w:p w14:paraId="761592BE" w14:textId="77777777" w:rsidR="003C6698" w:rsidRPr="008912CF" w:rsidRDefault="00615769" w:rsidP="009D1824">
            <w:pPr>
              <w:keepNext/>
              <w:jc w:val="center"/>
            </w:pPr>
            <w:r w:rsidRPr="008912CF">
              <w:rPr>
                <w:sz w:val="22"/>
                <w:szCs w:val="22"/>
              </w:rPr>
              <w:t>Humira/MTX</w:t>
            </w:r>
          </w:p>
          <w:p w14:paraId="34AB70CB" w14:textId="77777777" w:rsidR="003C6698" w:rsidRPr="008912CF" w:rsidRDefault="00615769" w:rsidP="009D1824">
            <w:pPr>
              <w:keepNext/>
              <w:jc w:val="center"/>
            </w:pPr>
            <w:r w:rsidRPr="008912CF">
              <w:rPr>
                <w:sz w:val="22"/>
                <w:szCs w:val="22"/>
              </w:rPr>
              <w:t>40 mg em semanas alternadas</w:t>
            </w:r>
          </w:p>
        </w:tc>
        <w:tc>
          <w:tcPr>
            <w:tcW w:w="2000" w:type="dxa"/>
          </w:tcPr>
          <w:p w14:paraId="3012F9A2" w14:textId="77777777" w:rsidR="003C6698" w:rsidRPr="008912CF" w:rsidRDefault="00615769" w:rsidP="009D1824">
            <w:pPr>
              <w:keepNext/>
              <w:jc w:val="center"/>
            </w:pPr>
            <w:r w:rsidRPr="008912CF">
              <w:rPr>
                <w:sz w:val="22"/>
                <w:szCs w:val="22"/>
              </w:rPr>
              <w:t>Placebo/MTX-Humira/MTX (95% Intervalo de confiança</w:t>
            </w:r>
            <w:r w:rsidRPr="008912CF">
              <w:rPr>
                <w:sz w:val="22"/>
                <w:szCs w:val="22"/>
                <w:vertAlign w:val="superscript"/>
              </w:rPr>
              <w:t>b</w:t>
            </w:r>
            <w:r w:rsidRPr="008912CF">
              <w:rPr>
                <w:sz w:val="22"/>
                <w:szCs w:val="22"/>
              </w:rPr>
              <w:t>)</w:t>
            </w:r>
          </w:p>
        </w:tc>
        <w:tc>
          <w:tcPr>
            <w:tcW w:w="1548" w:type="dxa"/>
          </w:tcPr>
          <w:p w14:paraId="62FF862E" w14:textId="77777777" w:rsidR="003C6698" w:rsidRPr="008912CF" w:rsidRDefault="00615769" w:rsidP="009D1824">
            <w:pPr>
              <w:keepNext/>
              <w:jc w:val="center"/>
            </w:pPr>
            <w:r w:rsidRPr="008912CF">
              <w:rPr>
                <w:sz w:val="22"/>
                <w:szCs w:val="22"/>
              </w:rPr>
              <w:t>valor</w:t>
            </w:r>
            <w:r w:rsidR="004D006C">
              <w:rPr>
                <w:sz w:val="22"/>
                <w:szCs w:val="22"/>
              </w:rPr>
              <w:t>-p</w:t>
            </w:r>
          </w:p>
        </w:tc>
      </w:tr>
      <w:tr w:rsidR="00A7162A" w14:paraId="41BAC35D" w14:textId="77777777" w:rsidTr="009D1824">
        <w:tc>
          <w:tcPr>
            <w:tcW w:w="2088" w:type="dxa"/>
          </w:tcPr>
          <w:p w14:paraId="3B24227B" w14:textId="77777777" w:rsidR="003C6698" w:rsidRPr="008912CF" w:rsidRDefault="00615769" w:rsidP="009D1824">
            <w:pPr>
              <w:keepNext/>
              <w:jc w:val="center"/>
            </w:pPr>
            <w:r w:rsidRPr="008912CF">
              <w:rPr>
                <w:sz w:val="22"/>
                <w:szCs w:val="22"/>
              </w:rPr>
              <w:t>Escala Total de Sharp</w:t>
            </w:r>
          </w:p>
        </w:tc>
        <w:tc>
          <w:tcPr>
            <w:tcW w:w="1430" w:type="dxa"/>
          </w:tcPr>
          <w:p w14:paraId="744B963B" w14:textId="77777777" w:rsidR="003C6698" w:rsidRPr="008912CF" w:rsidRDefault="00615769" w:rsidP="009D1824">
            <w:pPr>
              <w:keepNext/>
              <w:jc w:val="center"/>
            </w:pPr>
            <w:r w:rsidRPr="008912CF">
              <w:rPr>
                <w:sz w:val="22"/>
                <w:szCs w:val="22"/>
              </w:rPr>
              <w:t>2,7</w:t>
            </w:r>
          </w:p>
        </w:tc>
        <w:tc>
          <w:tcPr>
            <w:tcW w:w="1790" w:type="dxa"/>
          </w:tcPr>
          <w:p w14:paraId="12CF5590" w14:textId="77777777" w:rsidR="003C6698" w:rsidRPr="008912CF" w:rsidRDefault="00615769" w:rsidP="009D1824">
            <w:pPr>
              <w:keepNext/>
              <w:jc w:val="center"/>
            </w:pPr>
            <w:r w:rsidRPr="008912CF">
              <w:rPr>
                <w:sz w:val="22"/>
                <w:szCs w:val="22"/>
              </w:rPr>
              <w:t>0,1</w:t>
            </w:r>
          </w:p>
        </w:tc>
        <w:tc>
          <w:tcPr>
            <w:tcW w:w="2000" w:type="dxa"/>
          </w:tcPr>
          <w:p w14:paraId="3712402B" w14:textId="77777777" w:rsidR="003C6698" w:rsidRPr="008912CF" w:rsidRDefault="00615769" w:rsidP="009D1824">
            <w:pPr>
              <w:keepNext/>
              <w:jc w:val="center"/>
            </w:pPr>
            <w:r w:rsidRPr="008912CF">
              <w:rPr>
                <w:sz w:val="22"/>
                <w:szCs w:val="22"/>
              </w:rPr>
              <w:t xml:space="preserve">2,6 (1,4, 3,8) </w:t>
            </w:r>
          </w:p>
        </w:tc>
        <w:tc>
          <w:tcPr>
            <w:tcW w:w="1548" w:type="dxa"/>
          </w:tcPr>
          <w:p w14:paraId="523476B4" w14:textId="77777777" w:rsidR="003C6698" w:rsidRPr="008912CF" w:rsidRDefault="00615769" w:rsidP="009D1824">
            <w:pPr>
              <w:keepNext/>
              <w:jc w:val="center"/>
              <w:rPr>
                <w:vertAlign w:val="superscript"/>
              </w:rPr>
            </w:pPr>
            <w:r w:rsidRPr="008912CF">
              <w:rPr>
                <w:sz w:val="22"/>
                <w:szCs w:val="22"/>
              </w:rPr>
              <w:t>&lt; 0,001</w:t>
            </w:r>
            <w:r w:rsidRPr="008912CF">
              <w:rPr>
                <w:sz w:val="22"/>
                <w:szCs w:val="22"/>
                <w:vertAlign w:val="superscript"/>
              </w:rPr>
              <w:t>c</w:t>
            </w:r>
          </w:p>
        </w:tc>
      </w:tr>
      <w:tr w:rsidR="00A7162A" w14:paraId="3855CC55" w14:textId="77777777" w:rsidTr="009D1824">
        <w:tc>
          <w:tcPr>
            <w:tcW w:w="2088" w:type="dxa"/>
          </w:tcPr>
          <w:p w14:paraId="34E596CF" w14:textId="77777777" w:rsidR="003C6698" w:rsidRPr="008912CF" w:rsidRDefault="00615769" w:rsidP="009D1824">
            <w:pPr>
              <w:keepNext/>
              <w:jc w:val="center"/>
            </w:pPr>
            <w:r w:rsidRPr="008912CF">
              <w:rPr>
                <w:sz w:val="22"/>
                <w:szCs w:val="22"/>
              </w:rPr>
              <w:t>Escala de Erosão</w:t>
            </w:r>
          </w:p>
        </w:tc>
        <w:tc>
          <w:tcPr>
            <w:tcW w:w="1430" w:type="dxa"/>
          </w:tcPr>
          <w:p w14:paraId="66D75CBD" w14:textId="77777777" w:rsidR="003C6698" w:rsidRPr="008912CF" w:rsidRDefault="00615769" w:rsidP="009D1824">
            <w:pPr>
              <w:keepNext/>
              <w:jc w:val="center"/>
            </w:pPr>
            <w:r w:rsidRPr="008912CF">
              <w:rPr>
                <w:sz w:val="22"/>
                <w:szCs w:val="22"/>
              </w:rPr>
              <w:t>1,6</w:t>
            </w:r>
          </w:p>
        </w:tc>
        <w:tc>
          <w:tcPr>
            <w:tcW w:w="1790" w:type="dxa"/>
          </w:tcPr>
          <w:p w14:paraId="6F0D9AD2" w14:textId="77777777" w:rsidR="003C6698" w:rsidRPr="008912CF" w:rsidRDefault="00615769" w:rsidP="009D1824">
            <w:pPr>
              <w:keepNext/>
              <w:jc w:val="center"/>
            </w:pPr>
            <w:r w:rsidRPr="008912CF">
              <w:rPr>
                <w:sz w:val="22"/>
                <w:szCs w:val="22"/>
              </w:rPr>
              <w:t>0,0</w:t>
            </w:r>
          </w:p>
        </w:tc>
        <w:tc>
          <w:tcPr>
            <w:tcW w:w="2000" w:type="dxa"/>
          </w:tcPr>
          <w:p w14:paraId="77F95429" w14:textId="77777777" w:rsidR="003C6698" w:rsidRPr="008912CF" w:rsidRDefault="00615769" w:rsidP="009D1824">
            <w:pPr>
              <w:keepNext/>
              <w:jc w:val="center"/>
            </w:pPr>
            <w:r w:rsidRPr="008912CF">
              <w:rPr>
                <w:sz w:val="22"/>
                <w:szCs w:val="22"/>
              </w:rPr>
              <w:t>1,6 (0,9, 2,2)</w:t>
            </w:r>
          </w:p>
        </w:tc>
        <w:tc>
          <w:tcPr>
            <w:tcW w:w="1548" w:type="dxa"/>
          </w:tcPr>
          <w:p w14:paraId="331E9C0F" w14:textId="77777777" w:rsidR="003C6698" w:rsidRPr="008912CF" w:rsidRDefault="00615769" w:rsidP="009D1824">
            <w:pPr>
              <w:keepNext/>
              <w:jc w:val="center"/>
            </w:pPr>
            <w:r w:rsidRPr="008912CF">
              <w:rPr>
                <w:sz w:val="22"/>
                <w:szCs w:val="22"/>
              </w:rPr>
              <w:t>&lt; 0,001</w:t>
            </w:r>
          </w:p>
        </w:tc>
      </w:tr>
      <w:tr w:rsidR="00A7162A" w14:paraId="058FFAFF" w14:textId="77777777" w:rsidTr="009D1824">
        <w:tc>
          <w:tcPr>
            <w:tcW w:w="2088" w:type="dxa"/>
          </w:tcPr>
          <w:p w14:paraId="4E8CAD66" w14:textId="77777777" w:rsidR="003C6698" w:rsidRPr="008912CF" w:rsidRDefault="00615769" w:rsidP="009D1824">
            <w:pPr>
              <w:keepNext/>
              <w:jc w:val="center"/>
            </w:pPr>
            <w:r w:rsidRPr="008912CF">
              <w:rPr>
                <w:sz w:val="22"/>
                <w:szCs w:val="22"/>
              </w:rPr>
              <w:t>Escala de JSN</w:t>
            </w:r>
            <w:r w:rsidRPr="008912CF">
              <w:rPr>
                <w:sz w:val="22"/>
                <w:szCs w:val="22"/>
                <w:vertAlign w:val="superscript"/>
              </w:rPr>
              <w:t>d</w:t>
            </w:r>
            <w:r w:rsidRPr="008912CF">
              <w:rPr>
                <w:sz w:val="22"/>
                <w:szCs w:val="22"/>
              </w:rPr>
              <w:t xml:space="preserve"> </w:t>
            </w:r>
          </w:p>
        </w:tc>
        <w:tc>
          <w:tcPr>
            <w:tcW w:w="1430" w:type="dxa"/>
          </w:tcPr>
          <w:p w14:paraId="05E4F7B4" w14:textId="77777777" w:rsidR="003C6698" w:rsidRPr="008912CF" w:rsidRDefault="00615769" w:rsidP="009D1824">
            <w:pPr>
              <w:keepNext/>
              <w:jc w:val="center"/>
            </w:pPr>
            <w:r w:rsidRPr="008912CF">
              <w:rPr>
                <w:sz w:val="22"/>
                <w:szCs w:val="22"/>
              </w:rPr>
              <w:t>1,0</w:t>
            </w:r>
          </w:p>
        </w:tc>
        <w:tc>
          <w:tcPr>
            <w:tcW w:w="1790" w:type="dxa"/>
          </w:tcPr>
          <w:p w14:paraId="3BFF591B" w14:textId="77777777" w:rsidR="003C6698" w:rsidRPr="008912CF" w:rsidRDefault="00615769" w:rsidP="009D1824">
            <w:pPr>
              <w:keepNext/>
              <w:jc w:val="center"/>
            </w:pPr>
            <w:r w:rsidRPr="008912CF">
              <w:rPr>
                <w:sz w:val="22"/>
                <w:szCs w:val="22"/>
              </w:rPr>
              <w:t>0,1</w:t>
            </w:r>
          </w:p>
        </w:tc>
        <w:tc>
          <w:tcPr>
            <w:tcW w:w="2000" w:type="dxa"/>
          </w:tcPr>
          <w:p w14:paraId="4E0A3ACC" w14:textId="77777777" w:rsidR="003C6698" w:rsidRPr="008912CF" w:rsidRDefault="00615769" w:rsidP="009D1824">
            <w:pPr>
              <w:keepNext/>
              <w:jc w:val="center"/>
            </w:pPr>
            <w:r w:rsidRPr="008912CF">
              <w:rPr>
                <w:sz w:val="22"/>
                <w:szCs w:val="22"/>
              </w:rPr>
              <w:t>0,9 (0,3, 1,4)</w:t>
            </w:r>
          </w:p>
        </w:tc>
        <w:tc>
          <w:tcPr>
            <w:tcW w:w="1548" w:type="dxa"/>
          </w:tcPr>
          <w:p w14:paraId="797E83B7" w14:textId="77777777" w:rsidR="003C6698" w:rsidRPr="008912CF" w:rsidRDefault="00615769" w:rsidP="009D1824">
            <w:pPr>
              <w:keepNext/>
              <w:jc w:val="center"/>
            </w:pPr>
            <w:r w:rsidRPr="008912CF">
              <w:rPr>
                <w:sz w:val="22"/>
                <w:szCs w:val="22"/>
              </w:rPr>
              <w:t xml:space="preserve">  0,002</w:t>
            </w:r>
          </w:p>
        </w:tc>
      </w:tr>
    </w:tbl>
    <w:p w14:paraId="7F9CB152" w14:textId="77777777" w:rsidR="003C6698" w:rsidRPr="008912CF" w:rsidRDefault="00615769" w:rsidP="003C6698">
      <w:pPr>
        <w:pStyle w:val="In-textfootnote"/>
        <w:spacing w:before="0" w:line="240" w:lineRule="auto"/>
        <w:rPr>
          <w:rFonts w:ascii="Times New Roman" w:hAnsi="Times New Roman"/>
          <w:sz w:val="22"/>
          <w:szCs w:val="22"/>
          <w:lang w:val="pt-PT"/>
        </w:rPr>
      </w:pPr>
      <w:r w:rsidRPr="008912CF">
        <w:rPr>
          <w:rFonts w:ascii="Times New Roman" w:hAnsi="Times New Roman"/>
          <w:b/>
          <w:bCs/>
          <w:sz w:val="22"/>
          <w:szCs w:val="22"/>
          <w:vertAlign w:val="superscript"/>
          <w:lang w:val="pt-PT"/>
        </w:rPr>
        <w:t xml:space="preserve">a </w:t>
      </w:r>
      <w:r w:rsidRPr="008912CF">
        <w:rPr>
          <w:rFonts w:ascii="Times New Roman" w:hAnsi="Times New Roman"/>
          <w:sz w:val="22"/>
          <w:szCs w:val="22"/>
          <w:lang w:val="pt-PT"/>
        </w:rPr>
        <w:t>Metotrexato</w:t>
      </w:r>
    </w:p>
    <w:p w14:paraId="394B88D5" w14:textId="77777777" w:rsidR="003C6698" w:rsidRPr="008912CF" w:rsidRDefault="00615769" w:rsidP="003C6698">
      <w:pPr>
        <w:pStyle w:val="In-textfootnote"/>
        <w:spacing w:before="0" w:line="240" w:lineRule="auto"/>
        <w:rPr>
          <w:rFonts w:ascii="Times New Roman" w:hAnsi="Times New Roman"/>
          <w:sz w:val="22"/>
          <w:szCs w:val="22"/>
          <w:lang w:val="pt-PT"/>
        </w:rPr>
      </w:pPr>
      <w:r w:rsidRPr="008912CF">
        <w:rPr>
          <w:rFonts w:ascii="Times New Roman" w:hAnsi="Times New Roman"/>
          <w:sz w:val="22"/>
          <w:szCs w:val="22"/>
          <w:vertAlign w:val="superscript"/>
          <w:lang w:val="pt-PT"/>
        </w:rPr>
        <w:t xml:space="preserve">b </w:t>
      </w:r>
      <w:r w:rsidRPr="008912CF">
        <w:rPr>
          <w:rFonts w:ascii="Times New Roman" w:hAnsi="Times New Roman"/>
          <w:sz w:val="22"/>
          <w:szCs w:val="22"/>
          <w:lang w:val="pt-PT"/>
        </w:rPr>
        <w:t>Intervalo de confiança de 95</w:t>
      </w:r>
      <w:r w:rsidR="009343EF">
        <w:rPr>
          <w:rFonts w:ascii="Times New Roman" w:hAnsi="Times New Roman"/>
          <w:sz w:val="22"/>
          <w:szCs w:val="22"/>
          <w:lang w:val="pt-PT"/>
        </w:rPr>
        <w:t>%</w:t>
      </w:r>
      <w:r w:rsidRPr="008912CF">
        <w:rPr>
          <w:rFonts w:ascii="Times New Roman" w:hAnsi="Times New Roman"/>
          <w:sz w:val="22"/>
          <w:szCs w:val="22"/>
          <w:lang w:val="pt-PT"/>
        </w:rPr>
        <w:t xml:space="preserve"> para as diferenças nas alterações das escalas entre metotrexato e Humira. </w:t>
      </w:r>
    </w:p>
    <w:p w14:paraId="21CD188A" w14:textId="77777777" w:rsidR="003C6698" w:rsidRPr="008912CF" w:rsidRDefault="00615769" w:rsidP="003C6698">
      <w:pPr>
        <w:pStyle w:val="In-textfootnote"/>
        <w:spacing w:before="0" w:line="240" w:lineRule="auto"/>
        <w:rPr>
          <w:rFonts w:ascii="Times New Roman" w:hAnsi="Times New Roman"/>
          <w:sz w:val="22"/>
          <w:szCs w:val="22"/>
          <w:lang w:val="pt-PT"/>
        </w:rPr>
      </w:pPr>
      <w:r w:rsidRPr="008912CF">
        <w:rPr>
          <w:rFonts w:ascii="Times New Roman" w:hAnsi="Times New Roman"/>
          <w:sz w:val="22"/>
          <w:szCs w:val="22"/>
          <w:vertAlign w:val="superscript"/>
          <w:lang w:val="pt-PT"/>
        </w:rPr>
        <w:t xml:space="preserve">c </w:t>
      </w:r>
      <w:r w:rsidRPr="008912CF">
        <w:rPr>
          <w:rFonts w:ascii="Times New Roman" w:hAnsi="Times New Roman"/>
          <w:sz w:val="22"/>
          <w:szCs w:val="22"/>
          <w:lang w:val="pt-PT"/>
        </w:rPr>
        <w:t>Com base em análise estatística</w:t>
      </w:r>
    </w:p>
    <w:p w14:paraId="543332B5" w14:textId="77777777" w:rsidR="003C6698" w:rsidRPr="008912CF" w:rsidRDefault="00615769" w:rsidP="003C6698">
      <w:pPr>
        <w:keepNext/>
        <w:rPr>
          <w:sz w:val="22"/>
          <w:szCs w:val="22"/>
          <w:highlight w:val="yellow"/>
        </w:rPr>
      </w:pPr>
      <w:r w:rsidRPr="008912CF">
        <w:rPr>
          <w:sz w:val="22"/>
          <w:szCs w:val="22"/>
          <w:vertAlign w:val="superscript"/>
        </w:rPr>
        <w:t>d</w:t>
      </w:r>
      <w:r w:rsidRPr="008912CF">
        <w:rPr>
          <w:sz w:val="22"/>
          <w:szCs w:val="22"/>
        </w:rPr>
        <w:t xml:space="preserve"> Estreitamento do Espaço Articular</w:t>
      </w:r>
    </w:p>
    <w:p w14:paraId="4B2D3C05" w14:textId="77777777" w:rsidR="003C6698" w:rsidRPr="008912CF" w:rsidRDefault="003C6698" w:rsidP="003C6698">
      <w:pPr>
        <w:rPr>
          <w:sz w:val="22"/>
          <w:szCs w:val="22"/>
        </w:rPr>
      </w:pPr>
    </w:p>
    <w:p w14:paraId="216465BC" w14:textId="77777777" w:rsidR="003C6698" w:rsidRPr="008912CF" w:rsidRDefault="00615769" w:rsidP="003C6698">
      <w:pPr>
        <w:rPr>
          <w:sz w:val="22"/>
          <w:szCs w:val="22"/>
        </w:rPr>
      </w:pPr>
      <w:r w:rsidRPr="008912CF">
        <w:rPr>
          <w:sz w:val="22"/>
          <w:szCs w:val="22"/>
        </w:rPr>
        <w:t xml:space="preserve">No </w:t>
      </w:r>
      <w:r w:rsidR="00D72FFF">
        <w:rPr>
          <w:sz w:val="22"/>
          <w:szCs w:val="22"/>
        </w:rPr>
        <w:t>e</w:t>
      </w:r>
      <w:r w:rsidRPr="008912CF">
        <w:rPr>
          <w:sz w:val="22"/>
          <w:szCs w:val="22"/>
        </w:rPr>
        <w:t xml:space="preserve">studo AR V, a lesão estrutural articular foi avaliada radiologicamente e expressa como alteração na Escala Total de Sharp modificada (ver Tabela </w:t>
      </w:r>
      <w:r w:rsidR="00D94630">
        <w:rPr>
          <w:sz w:val="22"/>
          <w:szCs w:val="22"/>
        </w:rPr>
        <w:t>8</w:t>
      </w:r>
      <w:r w:rsidRPr="008912CF">
        <w:rPr>
          <w:sz w:val="22"/>
          <w:szCs w:val="22"/>
        </w:rPr>
        <w:t>).</w:t>
      </w:r>
    </w:p>
    <w:p w14:paraId="239F8F93" w14:textId="77777777" w:rsidR="003C6698" w:rsidRPr="008912CF" w:rsidRDefault="003C6698" w:rsidP="003C6698">
      <w:pPr>
        <w:rPr>
          <w:sz w:val="22"/>
          <w:szCs w:val="22"/>
        </w:rPr>
      </w:pPr>
    </w:p>
    <w:tbl>
      <w:tblPr>
        <w:tblW w:w="8910" w:type="dxa"/>
        <w:tblInd w:w="108" w:type="dxa"/>
        <w:tblLayout w:type="fixed"/>
        <w:tblLook w:val="0000" w:firstRow="0" w:lastRow="0" w:firstColumn="0" w:lastColumn="0" w:noHBand="0" w:noVBand="0"/>
      </w:tblPr>
      <w:tblGrid>
        <w:gridCol w:w="1430"/>
        <w:gridCol w:w="1540"/>
        <w:gridCol w:w="1430"/>
        <w:gridCol w:w="1600"/>
        <w:gridCol w:w="930"/>
        <w:gridCol w:w="990"/>
        <w:gridCol w:w="990"/>
      </w:tblGrid>
      <w:tr w:rsidR="00A7162A" w14:paraId="0A8BB472" w14:textId="77777777" w:rsidTr="009D1824">
        <w:trPr>
          <w:cantSplit/>
        </w:trPr>
        <w:tc>
          <w:tcPr>
            <w:tcW w:w="8910" w:type="dxa"/>
            <w:gridSpan w:val="7"/>
            <w:tcBorders>
              <w:bottom w:val="single" w:sz="4" w:space="0" w:color="auto"/>
            </w:tcBorders>
          </w:tcPr>
          <w:p w14:paraId="3B53CFAC" w14:textId="77777777" w:rsidR="003C6698" w:rsidRPr="008912CF" w:rsidRDefault="00615769" w:rsidP="008234D6">
            <w:pPr>
              <w:pStyle w:val="Heading9"/>
              <w:jc w:val="center"/>
              <w:rPr>
                <w:b/>
                <w:bCs/>
                <w:u w:val="none"/>
              </w:rPr>
            </w:pPr>
            <w:r w:rsidRPr="008912CF">
              <w:rPr>
                <w:b/>
                <w:bCs/>
                <w:szCs w:val="22"/>
                <w:u w:val="none"/>
              </w:rPr>
              <w:t xml:space="preserve">Tabela </w:t>
            </w:r>
            <w:r w:rsidR="00D94630">
              <w:rPr>
                <w:b/>
                <w:bCs/>
                <w:szCs w:val="22"/>
                <w:u w:val="none"/>
              </w:rPr>
              <w:t>8</w:t>
            </w:r>
          </w:p>
          <w:p w14:paraId="1952C816" w14:textId="77777777" w:rsidR="003C6698" w:rsidRPr="008912CF" w:rsidRDefault="00615769" w:rsidP="008234D6">
            <w:pPr>
              <w:pStyle w:val="Heading9"/>
              <w:jc w:val="center"/>
              <w:rPr>
                <w:b/>
                <w:bCs/>
                <w:highlight w:val="cyan"/>
                <w:u w:val="none"/>
              </w:rPr>
            </w:pPr>
            <w:r w:rsidRPr="008912CF">
              <w:rPr>
                <w:b/>
                <w:bCs/>
                <w:szCs w:val="22"/>
                <w:u w:val="none"/>
              </w:rPr>
              <w:t xml:space="preserve">Alteração Média Radiológica </w:t>
            </w:r>
            <w:r w:rsidR="00D72FFF">
              <w:rPr>
                <w:b/>
                <w:bCs/>
                <w:szCs w:val="22"/>
                <w:u w:val="none"/>
              </w:rPr>
              <w:t>à</w:t>
            </w:r>
            <w:r w:rsidRPr="008912CF">
              <w:rPr>
                <w:b/>
                <w:bCs/>
                <w:szCs w:val="22"/>
                <w:u w:val="none"/>
              </w:rPr>
              <w:t xml:space="preserve"> Semana 52 no Estudo AR V</w:t>
            </w:r>
          </w:p>
          <w:p w14:paraId="17D2BC3A" w14:textId="77777777" w:rsidR="003C6698" w:rsidRPr="008912CF" w:rsidRDefault="003C6698" w:rsidP="008234D6">
            <w:pPr>
              <w:keepNext/>
            </w:pPr>
          </w:p>
        </w:tc>
      </w:tr>
      <w:tr w:rsidR="00A7162A" w14:paraId="0F3D1294" w14:textId="77777777" w:rsidTr="009D1824">
        <w:tc>
          <w:tcPr>
            <w:tcW w:w="1430" w:type="dxa"/>
            <w:tcBorders>
              <w:top w:val="single" w:sz="4" w:space="0" w:color="auto"/>
              <w:left w:val="single" w:sz="4" w:space="0" w:color="auto"/>
              <w:bottom w:val="single" w:sz="4" w:space="0" w:color="auto"/>
              <w:right w:val="single" w:sz="4" w:space="0" w:color="auto"/>
            </w:tcBorders>
            <w:vAlign w:val="center"/>
          </w:tcPr>
          <w:p w14:paraId="2C9635CF" w14:textId="77777777" w:rsidR="003C6698" w:rsidRPr="008912CF" w:rsidRDefault="003C6698" w:rsidP="008234D6">
            <w:pPr>
              <w:keepNext/>
            </w:pPr>
          </w:p>
        </w:tc>
        <w:tc>
          <w:tcPr>
            <w:tcW w:w="1540" w:type="dxa"/>
            <w:tcBorders>
              <w:top w:val="single" w:sz="4" w:space="0" w:color="auto"/>
              <w:left w:val="single" w:sz="4" w:space="0" w:color="auto"/>
              <w:bottom w:val="single" w:sz="4" w:space="0" w:color="auto"/>
              <w:right w:val="single" w:sz="4" w:space="0" w:color="auto"/>
            </w:tcBorders>
            <w:vAlign w:val="center"/>
          </w:tcPr>
          <w:p w14:paraId="199B091D" w14:textId="77777777" w:rsidR="003C6698" w:rsidRPr="008912CF" w:rsidRDefault="00615769" w:rsidP="008234D6">
            <w:pPr>
              <w:keepNext/>
              <w:jc w:val="center"/>
            </w:pPr>
            <w:r w:rsidRPr="008912CF">
              <w:rPr>
                <w:sz w:val="22"/>
                <w:szCs w:val="22"/>
              </w:rPr>
              <w:t>MTX</w:t>
            </w:r>
          </w:p>
          <w:p w14:paraId="6BB958E0" w14:textId="77777777" w:rsidR="003C6698" w:rsidRPr="008912CF" w:rsidRDefault="00615769" w:rsidP="008234D6">
            <w:pPr>
              <w:keepNext/>
              <w:jc w:val="center"/>
            </w:pPr>
            <w:r w:rsidRPr="008912CF">
              <w:rPr>
                <w:sz w:val="22"/>
                <w:szCs w:val="22"/>
              </w:rPr>
              <w:t>n = 257</w:t>
            </w:r>
          </w:p>
          <w:p w14:paraId="4093842F" w14:textId="77777777" w:rsidR="003C6698" w:rsidRPr="008912CF" w:rsidRDefault="00615769" w:rsidP="008234D6">
            <w:pPr>
              <w:keepNext/>
              <w:jc w:val="center"/>
            </w:pPr>
            <w:r w:rsidRPr="008912CF">
              <w:rPr>
                <w:sz w:val="22"/>
                <w:szCs w:val="22"/>
              </w:rPr>
              <w:t>(95% intervalo de confiança)</w:t>
            </w:r>
          </w:p>
        </w:tc>
        <w:tc>
          <w:tcPr>
            <w:tcW w:w="1430" w:type="dxa"/>
            <w:tcBorders>
              <w:top w:val="single" w:sz="4" w:space="0" w:color="auto"/>
              <w:left w:val="single" w:sz="4" w:space="0" w:color="auto"/>
              <w:bottom w:val="single" w:sz="4" w:space="0" w:color="auto"/>
              <w:right w:val="single" w:sz="4" w:space="0" w:color="auto"/>
            </w:tcBorders>
            <w:vAlign w:val="center"/>
          </w:tcPr>
          <w:p w14:paraId="7642CDD2" w14:textId="77777777" w:rsidR="003C6698" w:rsidRPr="008912CF" w:rsidRDefault="00615769" w:rsidP="008234D6">
            <w:pPr>
              <w:keepNext/>
              <w:jc w:val="center"/>
            </w:pPr>
            <w:r w:rsidRPr="008912CF">
              <w:rPr>
                <w:sz w:val="22"/>
                <w:szCs w:val="22"/>
              </w:rPr>
              <w:t>Humira</w:t>
            </w:r>
          </w:p>
          <w:p w14:paraId="7BDEEDD1" w14:textId="77777777" w:rsidR="003C6698" w:rsidRPr="008912CF" w:rsidRDefault="00615769" w:rsidP="008234D6">
            <w:pPr>
              <w:pStyle w:val="EMEAFigureTitle"/>
              <w:keepNext/>
              <w:jc w:val="center"/>
              <w:rPr>
                <w:szCs w:val="22"/>
                <w:lang w:val="pt-PT"/>
              </w:rPr>
            </w:pPr>
            <w:r w:rsidRPr="008912CF">
              <w:rPr>
                <w:szCs w:val="22"/>
                <w:lang w:val="pt-PT"/>
              </w:rPr>
              <w:t>n = 274</w:t>
            </w:r>
          </w:p>
          <w:p w14:paraId="325666EF" w14:textId="77777777" w:rsidR="003C6698" w:rsidRPr="008912CF" w:rsidRDefault="00615769" w:rsidP="008234D6">
            <w:pPr>
              <w:keepNext/>
              <w:jc w:val="center"/>
            </w:pPr>
            <w:r w:rsidRPr="008912CF">
              <w:rPr>
                <w:sz w:val="22"/>
                <w:szCs w:val="22"/>
              </w:rPr>
              <w:t>(95% intervalo de confiança)</w:t>
            </w:r>
          </w:p>
        </w:tc>
        <w:tc>
          <w:tcPr>
            <w:tcW w:w="1600" w:type="dxa"/>
            <w:tcBorders>
              <w:top w:val="single" w:sz="4" w:space="0" w:color="auto"/>
              <w:left w:val="single" w:sz="4" w:space="0" w:color="auto"/>
              <w:bottom w:val="single" w:sz="4" w:space="0" w:color="auto"/>
              <w:right w:val="single" w:sz="4" w:space="0" w:color="auto"/>
            </w:tcBorders>
            <w:vAlign w:val="center"/>
          </w:tcPr>
          <w:p w14:paraId="37B7A9FA" w14:textId="77777777" w:rsidR="003C6698" w:rsidRPr="008912CF" w:rsidRDefault="00615769" w:rsidP="008234D6">
            <w:pPr>
              <w:keepNext/>
              <w:jc w:val="center"/>
            </w:pPr>
            <w:r w:rsidRPr="008912CF">
              <w:rPr>
                <w:sz w:val="22"/>
                <w:szCs w:val="22"/>
              </w:rPr>
              <w:t>Humira/MTX</w:t>
            </w:r>
          </w:p>
          <w:p w14:paraId="1C00BCC8" w14:textId="77777777" w:rsidR="003C6698" w:rsidRPr="008912CF" w:rsidRDefault="00615769" w:rsidP="008234D6">
            <w:pPr>
              <w:pStyle w:val="EMEAFigureTitle"/>
              <w:keepNext/>
              <w:jc w:val="center"/>
              <w:rPr>
                <w:szCs w:val="22"/>
                <w:lang w:val="pt-PT"/>
              </w:rPr>
            </w:pPr>
            <w:r w:rsidRPr="008912CF">
              <w:rPr>
                <w:szCs w:val="22"/>
                <w:lang w:val="pt-PT"/>
              </w:rPr>
              <w:t>n = 268</w:t>
            </w:r>
          </w:p>
          <w:p w14:paraId="6356F9C7" w14:textId="77777777" w:rsidR="003C6698" w:rsidRPr="008912CF" w:rsidRDefault="00615769" w:rsidP="008234D6">
            <w:pPr>
              <w:pStyle w:val="EMEANormal"/>
              <w:keepNext/>
              <w:jc w:val="center"/>
              <w:rPr>
                <w:szCs w:val="22"/>
                <w:lang w:val="pt-PT"/>
              </w:rPr>
            </w:pPr>
            <w:r w:rsidRPr="008912CF">
              <w:rPr>
                <w:szCs w:val="22"/>
                <w:lang w:val="pt-PT"/>
              </w:rPr>
              <w:t>(95% intervalo de confiança)</w:t>
            </w:r>
          </w:p>
        </w:tc>
        <w:tc>
          <w:tcPr>
            <w:tcW w:w="930" w:type="dxa"/>
            <w:tcBorders>
              <w:top w:val="single" w:sz="4" w:space="0" w:color="auto"/>
              <w:left w:val="single" w:sz="4" w:space="0" w:color="auto"/>
              <w:bottom w:val="single" w:sz="4" w:space="0" w:color="auto"/>
              <w:right w:val="single" w:sz="4" w:space="0" w:color="auto"/>
            </w:tcBorders>
            <w:vAlign w:val="center"/>
          </w:tcPr>
          <w:p w14:paraId="1AB93F2E" w14:textId="77777777" w:rsidR="003C6698" w:rsidRPr="008912CF" w:rsidRDefault="00615769" w:rsidP="008234D6">
            <w:pPr>
              <w:pStyle w:val="EMEANormal"/>
              <w:keepNext/>
              <w:jc w:val="center"/>
              <w:rPr>
                <w:szCs w:val="22"/>
                <w:lang w:val="pt-PT"/>
              </w:rPr>
            </w:pPr>
            <w:r w:rsidRPr="008912CF">
              <w:rPr>
                <w:szCs w:val="22"/>
                <w:lang w:val="pt-PT"/>
              </w:rPr>
              <w:t>valor</w:t>
            </w:r>
            <w:r w:rsidR="004D006C">
              <w:rPr>
                <w:szCs w:val="22"/>
                <w:lang w:val="pt-PT"/>
              </w:rPr>
              <w:t>-p</w:t>
            </w:r>
            <w:r w:rsidRPr="008912CF">
              <w:rPr>
                <w:szCs w:val="22"/>
                <w:vertAlign w:val="superscript"/>
                <w:lang w:val="pt-PT"/>
              </w:rPr>
              <w:t>a</w:t>
            </w:r>
          </w:p>
        </w:tc>
        <w:tc>
          <w:tcPr>
            <w:tcW w:w="990" w:type="dxa"/>
            <w:tcBorders>
              <w:top w:val="single" w:sz="4" w:space="0" w:color="auto"/>
              <w:left w:val="single" w:sz="4" w:space="0" w:color="auto"/>
              <w:bottom w:val="single" w:sz="4" w:space="0" w:color="auto"/>
              <w:right w:val="single" w:sz="4" w:space="0" w:color="auto"/>
            </w:tcBorders>
            <w:vAlign w:val="center"/>
          </w:tcPr>
          <w:p w14:paraId="4FB9932A" w14:textId="77777777" w:rsidR="003C6698" w:rsidRPr="008912CF" w:rsidRDefault="00615769" w:rsidP="008234D6">
            <w:pPr>
              <w:keepNext/>
              <w:jc w:val="center"/>
            </w:pPr>
            <w:r w:rsidRPr="008912CF">
              <w:rPr>
                <w:sz w:val="22"/>
                <w:szCs w:val="22"/>
              </w:rPr>
              <w:t>valor</w:t>
            </w:r>
            <w:r w:rsidR="004D006C">
              <w:rPr>
                <w:sz w:val="22"/>
                <w:szCs w:val="22"/>
              </w:rPr>
              <w:t>-p</w:t>
            </w:r>
            <w:r w:rsidRPr="008912CF">
              <w:rPr>
                <w:sz w:val="22"/>
                <w:szCs w:val="22"/>
                <w:vertAlign w:val="superscript"/>
              </w:rPr>
              <w:t>b</w:t>
            </w:r>
          </w:p>
        </w:tc>
        <w:tc>
          <w:tcPr>
            <w:tcW w:w="990" w:type="dxa"/>
            <w:tcBorders>
              <w:top w:val="single" w:sz="4" w:space="0" w:color="auto"/>
              <w:left w:val="single" w:sz="4" w:space="0" w:color="auto"/>
              <w:bottom w:val="single" w:sz="4" w:space="0" w:color="auto"/>
              <w:right w:val="single" w:sz="4" w:space="0" w:color="auto"/>
            </w:tcBorders>
            <w:vAlign w:val="center"/>
          </w:tcPr>
          <w:p w14:paraId="1D4F88BA" w14:textId="77777777" w:rsidR="003C6698" w:rsidRPr="008912CF" w:rsidRDefault="00615769" w:rsidP="008234D6">
            <w:pPr>
              <w:keepNext/>
              <w:jc w:val="center"/>
            </w:pPr>
            <w:r w:rsidRPr="008912CF">
              <w:rPr>
                <w:sz w:val="22"/>
                <w:szCs w:val="22"/>
              </w:rPr>
              <w:t>valor</w:t>
            </w:r>
            <w:r w:rsidR="004D006C">
              <w:rPr>
                <w:sz w:val="22"/>
                <w:szCs w:val="22"/>
              </w:rPr>
              <w:t>-p</w:t>
            </w:r>
            <w:r w:rsidRPr="008912CF">
              <w:rPr>
                <w:sz w:val="22"/>
                <w:szCs w:val="22"/>
                <w:vertAlign w:val="superscript"/>
              </w:rPr>
              <w:t>c</w:t>
            </w:r>
          </w:p>
        </w:tc>
      </w:tr>
      <w:tr w:rsidR="00A7162A" w14:paraId="1454A37E" w14:textId="77777777" w:rsidTr="009D1824">
        <w:tc>
          <w:tcPr>
            <w:tcW w:w="1430" w:type="dxa"/>
            <w:tcBorders>
              <w:top w:val="single" w:sz="4" w:space="0" w:color="auto"/>
              <w:left w:val="single" w:sz="4" w:space="0" w:color="auto"/>
              <w:bottom w:val="single" w:sz="4" w:space="0" w:color="auto"/>
              <w:right w:val="single" w:sz="4" w:space="0" w:color="auto"/>
            </w:tcBorders>
          </w:tcPr>
          <w:p w14:paraId="34FE646D" w14:textId="77777777" w:rsidR="003C6698" w:rsidRPr="008912CF" w:rsidRDefault="00615769" w:rsidP="008234D6">
            <w:pPr>
              <w:pStyle w:val="EMEAFigureTitle"/>
              <w:keepNext/>
              <w:jc w:val="center"/>
              <w:rPr>
                <w:szCs w:val="22"/>
                <w:lang w:val="pt-PT"/>
              </w:rPr>
            </w:pPr>
            <w:r w:rsidRPr="008912CF">
              <w:rPr>
                <w:szCs w:val="22"/>
                <w:lang w:val="pt-PT"/>
              </w:rPr>
              <w:t xml:space="preserve">Escala Total de Sharp </w:t>
            </w:r>
          </w:p>
        </w:tc>
        <w:tc>
          <w:tcPr>
            <w:tcW w:w="1540" w:type="dxa"/>
            <w:tcBorders>
              <w:top w:val="single" w:sz="4" w:space="0" w:color="auto"/>
              <w:left w:val="single" w:sz="4" w:space="0" w:color="auto"/>
              <w:bottom w:val="single" w:sz="4" w:space="0" w:color="auto"/>
              <w:right w:val="single" w:sz="4" w:space="0" w:color="auto"/>
            </w:tcBorders>
          </w:tcPr>
          <w:p w14:paraId="1E5F66F7" w14:textId="77777777" w:rsidR="003C6698" w:rsidRPr="008912CF" w:rsidRDefault="00615769" w:rsidP="008234D6">
            <w:pPr>
              <w:keepNext/>
              <w:jc w:val="center"/>
            </w:pPr>
            <w:r w:rsidRPr="008912CF">
              <w:rPr>
                <w:sz w:val="22"/>
                <w:szCs w:val="22"/>
              </w:rPr>
              <w:t>5,7 (4,2-7,3)</w:t>
            </w:r>
          </w:p>
        </w:tc>
        <w:tc>
          <w:tcPr>
            <w:tcW w:w="1430" w:type="dxa"/>
            <w:tcBorders>
              <w:top w:val="single" w:sz="4" w:space="0" w:color="auto"/>
              <w:left w:val="single" w:sz="4" w:space="0" w:color="auto"/>
              <w:bottom w:val="single" w:sz="4" w:space="0" w:color="auto"/>
              <w:right w:val="single" w:sz="4" w:space="0" w:color="auto"/>
            </w:tcBorders>
          </w:tcPr>
          <w:p w14:paraId="4CFDE281" w14:textId="77777777" w:rsidR="003C6698" w:rsidRPr="008912CF" w:rsidRDefault="00615769" w:rsidP="008234D6">
            <w:pPr>
              <w:pStyle w:val="EndnoteText"/>
              <w:keepNext/>
              <w:jc w:val="center"/>
              <w:rPr>
                <w:szCs w:val="22"/>
              </w:rPr>
            </w:pPr>
            <w:r w:rsidRPr="008912CF">
              <w:rPr>
                <w:szCs w:val="22"/>
              </w:rPr>
              <w:t>3,0 (1,7-4,3)</w:t>
            </w:r>
          </w:p>
        </w:tc>
        <w:tc>
          <w:tcPr>
            <w:tcW w:w="1600" w:type="dxa"/>
            <w:tcBorders>
              <w:top w:val="single" w:sz="4" w:space="0" w:color="auto"/>
              <w:left w:val="single" w:sz="4" w:space="0" w:color="auto"/>
              <w:bottom w:val="single" w:sz="4" w:space="0" w:color="auto"/>
              <w:right w:val="single" w:sz="4" w:space="0" w:color="auto"/>
            </w:tcBorders>
          </w:tcPr>
          <w:p w14:paraId="42E7415C" w14:textId="77777777" w:rsidR="003C6698" w:rsidRPr="008912CF" w:rsidRDefault="00615769" w:rsidP="008234D6">
            <w:pPr>
              <w:pStyle w:val="EndnoteText"/>
              <w:keepNext/>
              <w:jc w:val="center"/>
              <w:rPr>
                <w:szCs w:val="22"/>
              </w:rPr>
            </w:pPr>
            <w:r w:rsidRPr="008912CF">
              <w:rPr>
                <w:szCs w:val="22"/>
              </w:rPr>
              <w:t>1,3 (0,5-2,1)</w:t>
            </w:r>
          </w:p>
        </w:tc>
        <w:tc>
          <w:tcPr>
            <w:tcW w:w="930" w:type="dxa"/>
            <w:tcBorders>
              <w:top w:val="single" w:sz="4" w:space="0" w:color="auto"/>
              <w:left w:val="single" w:sz="4" w:space="0" w:color="auto"/>
              <w:bottom w:val="single" w:sz="4" w:space="0" w:color="auto"/>
              <w:right w:val="single" w:sz="4" w:space="0" w:color="auto"/>
            </w:tcBorders>
          </w:tcPr>
          <w:p w14:paraId="3CC33FBD" w14:textId="77777777" w:rsidR="003C6698" w:rsidRPr="008912CF" w:rsidRDefault="00615769" w:rsidP="008234D6">
            <w:pPr>
              <w:pStyle w:val="EndnoteText"/>
              <w:keepNext/>
              <w:jc w:val="center"/>
              <w:rPr>
                <w:szCs w:val="22"/>
              </w:rPr>
            </w:pPr>
            <w:r w:rsidRPr="008912CF">
              <w:rPr>
                <w:szCs w:val="22"/>
              </w:rPr>
              <w:t>&lt; 0,001</w:t>
            </w:r>
          </w:p>
        </w:tc>
        <w:tc>
          <w:tcPr>
            <w:tcW w:w="990" w:type="dxa"/>
            <w:tcBorders>
              <w:top w:val="single" w:sz="4" w:space="0" w:color="auto"/>
              <w:left w:val="single" w:sz="4" w:space="0" w:color="auto"/>
              <w:bottom w:val="single" w:sz="4" w:space="0" w:color="auto"/>
              <w:right w:val="single" w:sz="4" w:space="0" w:color="auto"/>
            </w:tcBorders>
          </w:tcPr>
          <w:p w14:paraId="2970FCEB" w14:textId="77777777" w:rsidR="003C6698" w:rsidRPr="008912CF" w:rsidRDefault="00615769" w:rsidP="008234D6">
            <w:pPr>
              <w:keepNext/>
              <w:jc w:val="center"/>
            </w:pPr>
            <w:r w:rsidRPr="008912CF">
              <w:rPr>
                <w:sz w:val="22"/>
                <w:szCs w:val="22"/>
              </w:rPr>
              <w:t>0,0020</w:t>
            </w:r>
          </w:p>
        </w:tc>
        <w:tc>
          <w:tcPr>
            <w:tcW w:w="990" w:type="dxa"/>
            <w:tcBorders>
              <w:top w:val="single" w:sz="4" w:space="0" w:color="auto"/>
              <w:left w:val="single" w:sz="4" w:space="0" w:color="auto"/>
              <w:bottom w:val="single" w:sz="4" w:space="0" w:color="auto"/>
              <w:right w:val="single" w:sz="4" w:space="0" w:color="auto"/>
            </w:tcBorders>
          </w:tcPr>
          <w:p w14:paraId="6EA3933E" w14:textId="77777777" w:rsidR="003C6698" w:rsidRPr="008912CF" w:rsidRDefault="00615769" w:rsidP="008234D6">
            <w:pPr>
              <w:keepNext/>
              <w:jc w:val="center"/>
            </w:pPr>
            <w:r w:rsidRPr="008912CF">
              <w:rPr>
                <w:sz w:val="22"/>
                <w:szCs w:val="22"/>
              </w:rPr>
              <w:t>&lt; 0,001</w:t>
            </w:r>
          </w:p>
        </w:tc>
      </w:tr>
      <w:tr w:rsidR="00A7162A" w14:paraId="330A99D0" w14:textId="77777777" w:rsidTr="009D1824">
        <w:tc>
          <w:tcPr>
            <w:tcW w:w="1430" w:type="dxa"/>
            <w:tcBorders>
              <w:top w:val="single" w:sz="4" w:space="0" w:color="auto"/>
              <w:left w:val="single" w:sz="4" w:space="0" w:color="auto"/>
              <w:bottom w:val="single" w:sz="4" w:space="0" w:color="auto"/>
              <w:right w:val="single" w:sz="4" w:space="0" w:color="auto"/>
            </w:tcBorders>
          </w:tcPr>
          <w:p w14:paraId="0E10D6E4" w14:textId="77777777" w:rsidR="003C6698" w:rsidRPr="008912CF" w:rsidRDefault="00615769" w:rsidP="008234D6">
            <w:pPr>
              <w:keepNext/>
              <w:jc w:val="center"/>
            </w:pPr>
            <w:r w:rsidRPr="008912CF">
              <w:rPr>
                <w:sz w:val="22"/>
                <w:szCs w:val="22"/>
              </w:rPr>
              <w:t>Escala de Erosão</w:t>
            </w:r>
          </w:p>
        </w:tc>
        <w:tc>
          <w:tcPr>
            <w:tcW w:w="1540" w:type="dxa"/>
            <w:tcBorders>
              <w:top w:val="single" w:sz="4" w:space="0" w:color="auto"/>
              <w:left w:val="single" w:sz="4" w:space="0" w:color="auto"/>
              <w:bottom w:val="single" w:sz="4" w:space="0" w:color="auto"/>
              <w:right w:val="single" w:sz="4" w:space="0" w:color="auto"/>
            </w:tcBorders>
          </w:tcPr>
          <w:p w14:paraId="3710B28F" w14:textId="77777777" w:rsidR="003C6698" w:rsidRPr="008912CF" w:rsidRDefault="00615769" w:rsidP="008234D6">
            <w:pPr>
              <w:keepNext/>
              <w:jc w:val="center"/>
            </w:pPr>
            <w:r w:rsidRPr="008912CF">
              <w:rPr>
                <w:sz w:val="22"/>
                <w:szCs w:val="22"/>
              </w:rPr>
              <w:t>3,7 (2,7-4,7)</w:t>
            </w:r>
          </w:p>
        </w:tc>
        <w:tc>
          <w:tcPr>
            <w:tcW w:w="1430" w:type="dxa"/>
            <w:tcBorders>
              <w:top w:val="single" w:sz="4" w:space="0" w:color="auto"/>
              <w:left w:val="single" w:sz="4" w:space="0" w:color="auto"/>
              <w:bottom w:val="single" w:sz="4" w:space="0" w:color="auto"/>
              <w:right w:val="single" w:sz="4" w:space="0" w:color="auto"/>
            </w:tcBorders>
          </w:tcPr>
          <w:p w14:paraId="169EE79A" w14:textId="77777777" w:rsidR="003C6698" w:rsidRPr="008912CF" w:rsidRDefault="00615769" w:rsidP="008234D6">
            <w:pPr>
              <w:keepNext/>
              <w:jc w:val="center"/>
            </w:pPr>
            <w:r w:rsidRPr="008912CF">
              <w:rPr>
                <w:sz w:val="22"/>
                <w:szCs w:val="22"/>
              </w:rPr>
              <w:t>1,7 (1,0-2,4)</w:t>
            </w:r>
          </w:p>
        </w:tc>
        <w:tc>
          <w:tcPr>
            <w:tcW w:w="1600" w:type="dxa"/>
            <w:tcBorders>
              <w:top w:val="single" w:sz="4" w:space="0" w:color="auto"/>
              <w:left w:val="single" w:sz="4" w:space="0" w:color="auto"/>
              <w:bottom w:val="single" w:sz="4" w:space="0" w:color="auto"/>
              <w:right w:val="single" w:sz="4" w:space="0" w:color="auto"/>
            </w:tcBorders>
          </w:tcPr>
          <w:p w14:paraId="6927B5A4" w14:textId="77777777" w:rsidR="003C6698" w:rsidRPr="008912CF" w:rsidRDefault="00615769" w:rsidP="008234D6">
            <w:pPr>
              <w:keepNext/>
              <w:jc w:val="center"/>
            </w:pPr>
            <w:r w:rsidRPr="008912CF">
              <w:rPr>
                <w:sz w:val="22"/>
                <w:szCs w:val="22"/>
              </w:rPr>
              <w:t>0,8 (0,4-1,2)</w:t>
            </w:r>
          </w:p>
        </w:tc>
        <w:tc>
          <w:tcPr>
            <w:tcW w:w="930" w:type="dxa"/>
            <w:tcBorders>
              <w:top w:val="single" w:sz="4" w:space="0" w:color="auto"/>
              <w:left w:val="single" w:sz="4" w:space="0" w:color="auto"/>
              <w:bottom w:val="single" w:sz="4" w:space="0" w:color="auto"/>
              <w:right w:val="single" w:sz="4" w:space="0" w:color="auto"/>
            </w:tcBorders>
          </w:tcPr>
          <w:p w14:paraId="33704559" w14:textId="77777777" w:rsidR="003C6698" w:rsidRPr="008912CF" w:rsidRDefault="00615769" w:rsidP="008234D6">
            <w:pPr>
              <w:keepNext/>
              <w:jc w:val="center"/>
            </w:pPr>
            <w:r w:rsidRPr="008912CF">
              <w:rPr>
                <w:sz w:val="22"/>
                <w:szCs w:val="22"/>
              </w:rPr>
              <w:t>&lt; 0,001</w:t>
            </w:r>
          </w:p>
        </w:tc>
        <w:tc>
          <w:tcPr>
            <w:tcW w:w="990" w:type="dxa"/>
            <w:tcBorders>
              <w:top w:val="single" w:sz="4" w:space="0" w:color="auto"/>
              <w:left w:val="single" w:sz="4" w:space="0" w:color="auto"/>
              <w:bottom w:val="single" w:sz="4" w:space="0" w:color="auto"/>
              <w:right w:val="single" w:sz="4" w:space="0" w:color="auto"/>
            </w:tcBorders>
          </w:tcPr>
          <w:p w14:paraId="752128F7" w14:textId="77777777" w:rsidR="003C6698" w:rsidRPr="008912CF" w:rsidRDefault="00615769" w:rsidP="008234D6">
            <w:pPr>
              <w:keepNext/>
              <w:jc w:val="center"/>
            </w:pPr>
            <w:r w:rsidRPr="008912CF">
              <w:rPr>
                <w:sz w:val="22"/>
                <w:szCs w:val="22"/>
              </w:rPr>
              <w:t>0,0082</w:t>
            </w:r>
          </w:p>
        </w:tc>
        <w:tc>
          <w:tcPr>
            <w:tcW w:w="990" w:type="dxa"/>
            <w:tcBorders>
              <w:top w:val="single" w:sz="4" w:space="0" w:color="auto"/>
              <w:left w:val="single" w:sz="4" w:space="0" w:color="auto"/>
              <w:bottom w:val="single" w:sz="4" w:space="0" w:color="auto"/>
              <w:right w:val="single" w:sz="4" w:space="0" w:color="auto"/>
            </w:tcBorders>
          </w:tcPr>
          <w:p w14:paraId="142D906E" w14:textId="77777777" w:rsidR="003C6698" w:rsidRPr="008912CF" w:rsidRDefault="00615769" w:rsidP="008234D6">
            <w:pPr>
              <w:keepNext/>
              <w:jc w:val="center"/>
            </w:pPr>
            <w:r w:rsidRPr="008912CF">
              <w:rPr>
                <w:sz w:val="22"/>
                <w:szCs w:val="22"/>
              </w:rPr>
              <w:t>&lt; 0,001</w:t>
            </w:r>
          </w:p>
        </w:tc>
      </w:tr>
      <w:tr w:rsidR="00A7162A" w14:paraId="40DA4292" w14:textId="77777777" w:rsidTr="009D1824">
        <w:tc>
          <w:tcPr>
            <w:tcW w:w="1430" w:type="dxa"/>
            <w:tcBorders>
              <w:top w:val="single" w:sz="4" w:space="0" w:color="auto"/>
              <w:left w:val="single" w:sz="4" w:space="0" w:color="auto"/>
              <w:bottom w:val="single" w:sz="4" w:space="0" w:color="auto"/>
              <w:right w:val="single" w:sz="4" w:space="0" w:color="auto"/>
            </w:tcBorders>
          </w:tcPr>
          <w:p w14:paraId="38BB8FD6" w14:textId="77777777" w:rsidR="003C6698" w:rsidRPr="008912CF" w:rsidRDefault="00615769" w:rsidP="008234D6">
            <w:pPr>
              <w:keepNext/>
              <w:jc w:val="center"/>
            </w:pPr>
            <w:r w:rsidRPr="008912CF">
              <w:rPr>
                <w:sz w:val="22"/>
                <w:szCs w:val="22"/>
              </w:rPr>
              <w:t xml:space="preserve">Escala de JSN </w:t>
            </w:r>
          </w:p>
        </w:tc>
        <w:tc>
          <w:tcPr>
            <w:tcW w:w="1540" w:type="dxa"/>
            <w:tcBorders>
              <w:top w:val="single" w:sz="4" w:space="0" w:color="auto"/>
              <w:left w:val="single" w:sz="4" w:space="0" w:color="auto"/>
              <w:bottom w:val="single" w:sz="4" w:space="0" w:color="auto"/>
              <w:right w:val="single" w:sz="4" w:space="0" w:color="auto"/>
            </w:tcBorders>
          </w:tcPr>
          <w:p w14:paraId="0E89E554" w14:textId="77777777" w:rsidR="003C6698" w:rsidRPr="008912CF" w:rsidRDefault="00615769" w:rsidP="008234D6">
            <w:pPr>
              <w:keepNext/>
              <w:jc w:val="center"/>
            </w:pPr>
            <w:r w:rsidRPr="008912CF">
              <w:rPr>
                <w:sz w:val="22"/>
                <w:szCs w:val="22"/>
              </w:rPr>
              <w:t>2,0 (1,2-2,8)</w:t>
            </w:r>
          </w:p>
        </w:tc>
        <w:tc>
          <w:tcPr>
            <w:tcW w:w="1430" w:type="dxa"/>
            <w:tcBorders>
              <w:top w:val="single" w:sz="4" w:space="0" w:color="auto"/>
              <w:left w:val="single" w:sz="4" w:space="0" w:color="auto"/>
              <w:bottom w:val="single" w:sz="4" w:space="0" w:color="auto"/>
              <w:right w:val="single" w:sz="4" w:space="0" w:color="auto"/>
            </w:tcBorders>
          </w:tcPr>
          <w:p w14:paraId="5B2F8029" w14:textId="77777777" w:rsidR="003C6698" w:rsidRPr="008912CF" w:rsidRDefault="00615769" w:rsidP="008234D6">
            <w:pPr>
              <w:keepNext/>
              <w:jc w:val="center"/>
            </w:pPr>
            <w:r w:rsidRPr="008912CF">
              <w:rPr>
                <w:sz w:val="22"/>
                <w:szCs w:val="22"/>
              </w:rPr>
              <w:t>1,3 (0,5-2,1)</w:t>
            </w:r>
          </w:p>
        </w:tc>
        <w:tc>
          <w:tcPr>
            <w:tcW w:w="1600" w:type="dxa"/>
            <w:tcBorders>
              <w:top w:val="single" w:sz="4" w:space="0" w:color="auto"/>
              <w:left w:val="single" w:sz="4" w:space="0" w:color="auto"/>
              <w:bottom w:val="single" w:sz="4" w:space="0" w:color="auto"/>
              <w:right w:val="single" w:sz="4" w:space="0" w:color="auto"/>
            </w:tcBorders>
          </w:tcPr>
          <w:p w14:paraId="48548B06" w14:textId="77777777" w:rsidR="003C6698" w:rsidRPr="008912CF" w:rsidRDefault="00615769" w:rsidP="008234D6">
            <w:pPr>
              <w:keepNext/>
              <w:jc w:val="center"/>
            </w:pPr>
            <w:r w:rsidRPr="008912CF">
              <w:rPr>
                <w:sz w:val="22"/>
                <w:szCs w:val="22"/>
              </w:rPr>
              <w:t>0,5 (0-1,0)</w:t>
            </w:r>
          </w:p>
        </w:tc>
        <w:tc>
          <w:tcPr>
            <w:tcW w:w="930" w:type="dxa"/>
            <w:tcBorders>
              <w:top w:val="single" w:sz="4" w:space="0" w:color="auto"/>
              <w:left w:val="single" w:sz="4" w:space="0" w:color="auto"/>
              <w:bottom w:val="single" w:sz="4" w:space="0" w:color="auto"/>
              <w:right w:val="single" w:sz="4" w:space="0" w:color="auto"/>
            </w:tcBorders>
          </w:tcPr>
          <w:p w14:paraId="6E662EC2" w14:textId="77777777" w:rsidR="003C6698" w:rsidRPr="008912CF" w:rsidRDefault="00615769" w:rsidP="008234D6">
            <w:pPr>
              <w:keepNext/>
              <w:jc w:val="center"/>
            </w:pPr>
            <w:r w:rsidRPr="008912CF">
              <w:rPr>
                <w:sz w:val="22"/>
                <w:szCs w:val="22"/>
              </w:rPr>
              <w:t>&lt; 0,001</w:t>
            </w:r>
          </w:p>
        </w:tc>
        <w:tc>
          <w:tcPr>
            <w:tcW w:w="990" w:type="dxa"/>
            <w:tcBorders>
              <w:top w:val="single" w:sz="4" w:space="0" w:color="auto"/>
              <w:left w:val="single" w:sz="4" w:space="0" w:color="auto"/>
              <w:bottom w:val="single" w:sz="4" w:space="0" w:color="auto"/>
              <w:right w:val="single" w:sz="4" w:space="0" w:color="auto"/>
            </w:tcBorders>
          </w:tcPr>
          <w:p w14:paraId="611CB08D" w14:textId="77777777" w:rsidR="003C6698" w:rsidRPr="008912CF" w:rsidRDefault="00615769" w:rsidP="008234D6">
            <w:pPr>
              <w:keepNext/>
              <w:jc w:val="center"/>
            </w:pPr>
            <w:r w:rsidRPr="008912CF">
              <w:rPr>
                <w:sz w:val="22"/>
                <w:szCs w:val="22"/>
              </w:rPr>
              <w:t>0,0037</w:t>
            </w:r>
          </w:p>
        </w:tc>
        <w:tc>
          <w:tcPr>
            <w:tcW w:w="990" w:type="dxa"/>
            <w:tcBorders>
              <w:top w:val="single" w:sz="4" w:space="0" w:color="auto"/>
              <w:left w:val="single" w:sz="4" w:space="0" w:color="auto"/>
              <w:bottom w:val="single" w:sz="4" w:space="0" w:color="auto"/>
              <w:right w:val="single" w:sz="4" w:space="0" w:color="auto"/>
            </w:tcBorders>
          </w:tcPr>
          <w:p w14:paraId="24ADF69A" w14:textId="77777777" w:rsidR="003C6698" w:rsidRPr="008912CF" w:rsidRDefault="00615769" w:rsidP="008234D6">
            <w:pPr>
              <w:keepNext/>
              <w:jc w:val="center"/>
            </w:pPr>
            <w:r w:rsidRPr="008912CF">
              <w:rPr>
                <w:sz w:val="22"/>
                <w:szCs w:val="22"/>
              </w:rPr>
              <w:t>0,151</w:t>
            </w:r>
          </w:p>
        </w:tc>
      </w:tr>
    </w:tbl>
    <w:p w14:paraId="10389F9A" w14:textId="77777777" w:rsidR="003C6698" w:rsidRPr="008912CF" w:rsidRDefault="00615769" w:rsidP="003C6698">
      <w:pPr>
        <w:tabs>
          <w:tab w:val="left" w:pos="330"/>
          <w:tab w:val="left" w:pos="10728"/>
        </w:tabs>
        <w:ind w:left="360" w:hanging="360"/>
        <w:rPr>
          <w:sz w:val="22"/>
          <w:szCs w:val="22"/>
        </w:rPr>
      </w:pPr>
      <w:r w:rsidRPr="008912CF">
        <w:rPr>
          <w:sz w:val="22"/>
          <w:szCs w:val="22"/>
          <w:vertAlign w:val="superscript"/>
        </w:rPr>
        <w:t>a</w:t>
      </w:r>
      <w:r w:rsidRPr="008912CF">
        <w:rPr>
          <w:sz w:val="22"/>
          <w:szCs w:val="22"/>
        </w:rPr>
        <w:tab/>
      </w:r>
      <w:r w:rsidRPr="008912CF">
        <w:rPr>
          <w:sz w:val="22"/>
          <w:szCs w:val="22"/>
        </w:rPr>
        <w:t>valores-p comparativos emparelhados de metotrexato em monoterapia e da associação terapêutica Humira/metotrexato usando o teste de Mann-Whitney U.</w:t>
      </w:r>
    </w:p>
    <w:p w14:paraId="674F9223" w14:textId="77777777" w:rsidR="003C6698" w:rsidRPr="008912CF" w:rsidRDefault="00615769" w:rsidP="003C6698">
      <w:pPr>
        <w:pStyle w:val="BodyTextIndent"/>
        <w:ind w:left="330" w:hanging="330"/>
        <w:rPr>
          <w:b w:val="0"/>
          <w:color w:val="auto"/>
          <w:szCs w:val="22"/>
        </w:rPr>
      </w:pPr>
      <w:r w:rsidRPr="008912CF">
        <w:rPr>
          <w:b w:val="0"/>
          <w:color w:val="auto"/>
          <w:szCs w:val="22"/>
          <w:vertAlign w:val="superscript"/>
        </w:rPr>
        <w:t>b</w:t>
      </w:r>
      <w:r w:rsidRPr="008912CF">
        <w:rPr>
          <w:b w:val="0"/>
          <w:color w:val="auto"/>
          <w:szCs w:val="22"/>
        </w:rPr>
        <w:tab/>
        <w:t xml:space="preserve">valores-p </w:t>
      </w:r>
      <w:r w:rsidRPr="008912CF">
        <w:rPr>
          <w:b w:val="0"/>
          <w:bCs/>
          <w:color w:val="auto"/>
          <w:szCs w:val="22"/>
        </w:rPr>
        <w:t xml:space="preserve">comparativos emparelhados de Humira em </w:t>
      </w:r>
      <w:r w:rsidRPr="008912CF">
        <w:rPr>
          <w:b w:val="0"/>
          <w:color w:val="auto"/>
          <w:szCs w:val="22"/>
        </w:rPr>
        <w:t>monoterapia e da associação terapêutica Humira/metotrexato usando o teste de Mann-Whitney U.</w:t>
      </w:r>
    </w:p>
    <w:p w14:paraId="72A63595" w14:textId="77777777" w:rsidR="003C6698" w:rsidRPr="008912CF" w:rsidRDefault="00615769" w:rsidP="003C6698">
      <w:pPr>
        <w:ind w:left="329" w:hanging="329"/>
        <w:rPr>
          <w:bCs/>
          <w:sz w:val="22"/>
          <w:szCs w:val="22"/>
        </w:rPr>
      </w:pPr>
      <w:r w:rsidRPr="008912CF">
        <w:rPr>
          <w:bCs/>
          <w:sz w:val="22"/>
          <w:szCs w:val="22"/>
          <w:vertAlign w:val="superscript"/>
        </w:rPr>
        <w:t>c</w:t>
      </w:r>
      <w:r w:rsidRPr="008912CF">
        <w:rPr>
          <w:bCs/>
          <w:sz w:val="22"/>
          <w:szCs w:val="22"/>
        </w:rPr>
        <w:tab/>
        <w:t>valores-p comparativos emparelhados de Humira e metotrexato em monoterapia usando o teste de Mann-Whitney U.</w:t>
      </w:r>
    </w:p>
    <w:p w14:paraId="6D629268" w14:textId="77777777" w:rsidR="003C6698" w:rsidRPr="008912CF" w:rsidRDefault="003C6698" w:rsidP="003C6698">
      <w:pPr>
        <w:rPr>
          <w:b/>
          <w:sz w:val="22"/>
          <w:szCs w:val="22"/>
        </w:rPr>
      </w:pPr>
    </w:p>
    <w:p w14:paraId="79979497" w14:textId="77777777" w:rsidR="003C6698" w:rsidRPr="008912CF" w:rsidRDefault="00615769" w:rsidP="003C6698">
      <w:pPr>
        <w:rPr>
          <w:sz w:val="22"/>
          <w:szCs w:val="22"/>
        </w:rPr>
      </w:pPr>
      <w:r w:rsidRPr="008912CF">
        <w:rPr>
          <w:sz w:val="22"/>
          <w:szCs w:val="22"/>
        </w:rPr>
        <w:t>Após 52 e 104 semanas de tratamento, a percentagem de doentes sem progressão (alteração desde o início do estudo na Escala Total de Sharp modificada ≤ 0,5) foi significativamente superior na associação terapêutica Humira/metotrexato (63,8</w:t>
      </w:r>
      <w:r w:rsidR="009343EF">
        <w:rPr>
          <w:sz w:val="22"/>
          <w:szCs w:val="22"/>
        </w:rPr>
        <w:t>%</w:t>
      </w:r>
      <w:r w:rsidRPr="008912CF">
        <w:rPr>
          <w:sz w:val="22"/>
          <w:szCs w:val="22"/>
        </w:rPr>
        <w:t xml:space="preserve"> e 61,2</w:t>
      </w:r>
      <w:r w:rsidR="009343EF">
        <w:rPr>
          <w:sz w:val="22"/>
          <w:szCs w:val="22"/>
        </w:rPr>
        <w:t>%</w:t>
      </w:r>
      <w:r w:rsidRPr="008912CF">
        <w:rPr>
          <w:sz w:val="22"/>
          <w:szCs w:val="22"/>
        </w:rPr>
        <w:t xml:space="preserve"> respetivamente) comparada com metotrexato em monoterapia (37,4</w:t>
      </w:r>
      <w:r w:rsidR="009343EF">
        <w:rPr>
          <w:sz w:val="22"/>
          <w:szCs w:val="22"/>
        </w:rPr>
        <w:t>%</w:t>
      </w:r>
      <w:r w:rsidRPr="008912CF">
        <w:rPr>
          <w:sz w:val="22"/>
          <w:szCs w:val="22"/>
        </w:rPr>
        <w:t xml:space="preserve"> e 33,5</w:t>
      </w:r>
      <w:r w:rsidR="009343EF">
        <w:rPr>
          <w:sz w:val="22"/>
          <w:szCs w:val="22"/>
        </w:rPr>
        <w:t>%</w:t>
      </w:r>
      <w:r w:rsidRPr="008912CF">
        <w:rPr>
          <w:sz w:val="22"/>
          <w:szCs w:val="22"/>
        </w:rPr>
        <w:t xml:space="preserve"> respetivamente, p &lt; 0,001) e com Humira em monoterapia (50,7</w:t>
      </w:r>
      <w:r w:rsidR="009343EF">
        <w:rPr>
          <w:sz w:val="22"/>
          <w:szCs w:val="22"/>
        </w:rPr>
        <w:t>%</w:t>
      </w:r>
      <w:r w:rsidRPr="008912CF">
        <w:rPr>
          <w:sz w:val="22"/>
          <w:szCs w:val="22"/>
        </w:rPr>
        <w:t>, p &lt; 0,002 e 44,5</w:t>
      </w:r>
      <w:r w:rsidR="009343EF">
        <w:rPr>
          <w:sz w:val="22"/>
          <w:szCs w:val="22"/>
        </w:rPr>
        <w:t>%</w:t>
      </w:r>
      <w:r w:rsidRPr="008912CF">
        <w:rPr>
          <w:sz w:val="22"/>
          <w:szCs w:val="22"/>
        </w:rPr>
        <w:t>, p &lt; 0,001 respetivamente).</w:t>
      </w:r>
    </w:p>
    <w:p w14:paraId="472C6BF3" w14:textId="77777777" w:rsidR="003C6698" w:rsidRDefault="003C6698" w:rsidP="003C6698">
      <w:pPr>
        <w:rPr>
          <w:sz w:val="22"/>
          <w:szCs w:val="22"/>
        </w:rPr>
      </w:pPr>
    </w:p>
    <w:p w14:paraId="0E36364D" w14:textId="77777777" w:rsidR="003C6698" w:rsidRPr="008912CF" w:rsidRDefault="00615769" w:rsidP="003C6698">
      <w:pPr>
        <w:rPr>
          <w:sz w:val="22"/>
          <w:szCs w:val="22"/>
        </w:rPr>
      </w:pPr>
      <w:r>
        <w:rPr>
          <w:sz w:val="22"/>
          <w:szCs w:val="22"/>
        </w:rPr>
        <w:t>Na extensão de fase aberta do estudo AR V, a alteração média desde o início do estudo ao Ano 10 na Escala Total de Sharp modificada foi de 10,8</w:t>
      </w:r>
      <w:r w:rsidR="00EF33D0">
        <w:rPr>
          <w:sz w:val="22"/>
          <w:szCs w:val="22"/>
        </w:rPr>
        <w:t>,</w:t>
      </w:r>
      <w:r>
        <w:rPr>
          <w:sz w:val="22"/>
          <w:szCs w:val="22"/>
        </w:rPr>
        <w:t xml:space="preserve"> 9,2 e 3,9 em doentes originalmente aleatorizados com metotrexato em monoterapia, Humira em monoterapia e associação terapêutica Humira/metotrexato, respetivamente. As proporções correspondentes de doentes sem progressão radiológica foram 31,3%, 23,7% e 36,7% respetivamente. </w:t>
      </w:r>
    </w:p>
    <w:p w14:paraId="50CDE676" w14:textId="77777777" w:rsidR="003C6698" w:rsidRPr="008912CF" w:rsidRDefault="003C6698" w:rsidP="003C6698">
      <w:pPr>
        <w:rPr>
          <w:sz w:val="22"/>
          <w:szCs w:val="22"/>
        </w:rPr>
      </w:pPr>
    </w:p>
    <w:p w14:paraId="060F2971" w14:textId="77777777" w:rsidR="003C6698" w:rsidRPr="008912CF" w:rsidRDefault="00615769" w:rsidP="003C6698">
      <w:pPr>
        <w:pStyle w:val="Heading7"/>
        <w:keepNext w:val="0"/>
        <w:spacing w:line="240" w:lineRule="auto"/>
        <w:jc w:val="left"/>
        <w:rPr>
          <w:i w:val="0"/>
          <w:szCs w:val="22"/>
          <w:u w:val="single"/>
        </w:rPr>
      </w:pPr>
      <w:r w:rsidRPr="008912CF">
        <w:rPr>
          <w:szCs w:val="22"/>
          <w:u w:val="single"/>
        </w:rPr>
        <w:t>Qualidade de vida e função física</w:t>
      </w:r>
    </w:p>
    <w:p w14:paraId="0EB58F19" w14:textId="77777777" w:rsidR="003C6698" w:rsidRPr="008912CF" w:rsidRDefault="003C6698" w:rsidP="003C6698">
      <w:pPr>
        <w:pStyle w:val="Heading7"/>
        <w:keepNext w:val="0"/>
        <w:spacing w:line="240" w:lineRule="auto"/>
        <w:jc w:val="left"/>
        <w:rPr>
          <w:i w:val="0"/>
          <w:szCs w:val="22"/>
          <w:u w:val="single"/>
        </w:rPr>
      </w:pPr>
    </w:p>
    <w:p w14:paraId="663F6AA7" w14:textId="77777777" w:rsidR="003C6698" w:rsidRPr="008912CF" w:rsidRDefault="00615769" w:rsidP="003C6698">
      <w:pPr>
        <w:rPr>
          <w:sz w:val="22"/>
          <w:szCs w:val="22"/>
        </w:rPr>
      </w:pPr>
      <w:r w:rsidRPr="008912CF">
        <w:rPr>
          <w:sz w:val="22"/>
          <w:szCs w:val="22"/>
        </w:rPr>
        <w:t xml:space="preserve">A qualidade de vida relacionada com a saúde e a função física foram avaliadas utilizando o índice de incapacidade do Questionário de Avaliação da Saúde (HAQ - </w:t>
      </w:r>
      <w:r w:rsidRPr="008912CF">
        <w:rPr>
          <w:i/>
          <w:sz w:val="22"/>
          <w:szCs w:val="22"/>
        </w:rPr>
        <w:t>Health Assessment Questionnaire</w:t>
      </w:r>
      <w:r w:rsidRPr="008912CF">
        <w:rPr>
          <w:sz w:val="22"/>
          <w:szCs w:val="22"/>
        </w:rPr>
        <w:t xml:space="preserve">) nos quatro ensaios originais bem controlados e adequados; no </w:t>
      </w:r>
      <w:r w:rsidR="00F96DDF">
        <w:rPr>
          <w:sz w:val="22"/>
          <w:szCs w:val="22"/>
        </w:rPr>
        <w:t>e</w:t>
      </w:r>
      <w:r w:rsidRPr="008912CF">
        <w:rPr>
          <w:sz w:val="22"/>
          <w:szCs w:val="22"/>
        </w:rPr>
        <w:t xml:space="preserve">studo AR III, este índice correspondeu a um </w:t>
      </w:r>
      <w:r w:rsidR="00F96DDF">
        <w:rPr>
          <w:sz w:val="22"/>
          <w:szCs w:val="22"/>
        </w:rPr>
        <w:t>objetivo</w:t>
      </w:r>
      <w:r w:rsidRPr="008912CF">
        <w:rPr>
          <w:sz w:val="22"/>
          <w:szCs w:val="22"/>
        </w:rPr>
        <w:t xml:space="preserve"> primário pré-especificado na Semana 52. Todas as doses/regimes posológicos de Humira utilizados nos quatro estudos associaram-se a melhorias do índice de incapacidade do HAQ desde o início do estudo até ao Mês 6, superiores às registadas com placebo, sendo a diferença estatisticamente significativa; no </w:t>
      </w:r>
      <w:r w:rsidR="00F96DDF">
        <w:rPr>
          <w:sz w:val="22"/>
          <w:szCs w:val="22"/>
        </w:rPr>
        <w:t>e</w:t>
      </w:r>
      <w:r w:rsidRPr="008912CF">
        <w:rPr>
          <w:sz w:val="22"/>
          <w:szCs w:val="22"/>
        </w:rPr>
        <w:t>studo AR III, foram comprovadas as mesmas melhorias na Sema</w:t>
      </w:r>
      <w:r w:rsidRPr="008912CF">
        <w:rPr>
          <w:sz w:val="22"/>
          <w:szCs w:val="22"/>
        </w:rPr>
        <w:t xml:space="preserve">na 52. Os resultados do </w:t>
      </w:r>
      <w:r w:rsidRPr="008912CF">
        <w:rPr>
          <w:i/>
          <w:iCs/>
          <w:sz w:val="22"/>
          <w:szCs w:val="22"/>
        </w:rPr>
        <w:t xml:space="preserve">Short Form Health Survey </w:t>
      </w:r>
      <w:r w:rsidRPr="008912CF">
        <w:rPr>
          <w:sz w:val="22"/>
          <w:szCs w:val="22"/>
        </w:rPr>
        <w:t>(SF 36) relativos a todas as doses/regimes posológicos de Humira nos quatro estudos confirmam esta informação, sendo as diferenças nas pontuações do resumo dos componentes físicos (PCS) bem como nas pontuações atribuídas à dor e domínio da vitalidade estatisticamente significativas com a dose de 40 mg administrada em semanas alternadas. Observou-se uma redução estatisticamente significativa da fadiga, determinada com base numa avaliação funcional das pontuaçõ</w:t>
      </w:r>
      <w:r w:rsidRPr="008912CF">
        <w:rPr>
          <w:sz w:val="22"/>
          <w:szCs w:val="22"/>
        </w:rPr>
        <w:t>es atribuídas à terapêutica da doença crónica (FACIT) nos três estudos em que este parâmetro foi avaliado (estudos AR I, III, IV).</w:t>
      </w:r>
    </w:p>
    <w:p w14:paraId="29EB67D4" w14:textId="77777777" w:rsidR="003C6698" w:rsidRPr="008912CF" w:rsidRDefault="003C6698" w:rsidP="003C6698">
      <w:pPr>
        <w:rPr>
          <w:sz w:val="22"/>
          <w:szCs w:val="22"/>
        </w:rPr>
      </w:pPr>
    </w:p>
    <w:p w14:paraId="46FAFDB7" w14:textId="77777777" w:rsidR="003C6698" w:rsidRPr="008912CF" w:rsidRDefault="00615769" w:rsidP="003C6698">
      <w:pPr>
        <w:tabs>
          <w:tab w:val="left" w:pos="1294"/>
        </w:tabs>
        <w:autoSpaceDE w:val="0"/>
        <w:autoSpaceDN w:val="0"/>
        <w:adjustRightInd w:val="0"/>
        <w:rPr>
          <w:sz w:val="22"/>
          <w:szCs w:val="22"/>
          <w:u w:val="single"/>
        </w:rPr>
      </w:pPr>
      <w:r w:rsidRPr="008912CF">
        <w:rPr>
          <w:sz w:val="22"/>
          <w:szCs w:val="22"/>
        </w:rPr>
        <w:t xml:space="preserve">No estudo AR III, a maioria dos doentes que atingiram a melhoria na função física e </w:t>
      </w:r>
      <w:r w:rsidR="001F0C03">
        <w:rPr>
          <w:sz w:val="22"/>
          <w:szCs w:val="22"/>
        </w:rPr>
        <w:t xml:space="preserve">que continuaram o </w:t>
      </w:r>
      <w:r w:rsidRPr="008912CF">
        <w:rPr>
          <w:sz w:val="22"/>
          <w:szCs w:val="22"/>
        </w:rPr>
        <w:t xml:space="preserve">tratamento mantiveram </w:t>
      </w:r>
      <w:r w:rsidR="001F0C03">
        <w:rPr>
          <w:sz w:val="22"/>
          <w:szCs w:val="22"/>
        </w:rPr>
        <w:t xml:space="preserve">a </w:t>
      </w:r>
      <w:r w:rsidRPr="008912CF">
        <w:rPr>
          <w:sz w:val="22"/>
          <w:szCs w:val="22"/>
        </w:rPr>
        <w:t>melhoria durante a Semana 520 (120 meses) do tratamento de fase aberta. A melhoria da qualidade de vida foi avaliada até à Semana 156 (36 meses) e a melhoria foi mantida durante este período de tempo.</w:t>
      </w:r>
    </w:p>
    <w:p w14:paraId="25E43D2F" w14:textId="77777777" w:rsidR="003C6698" w:rsidRPr="008912CF" w:rsidRDefault="003C6698" w:rsidP="003C6698">
      <w:pPr>
        <w:pStyle w:val="BodyText2"/>
        <w:tabs>
          <w:tab w:val="left" w:pos="1294"/>
        </w:tabs>
        <w:rPr>
          <w:szCs w:val="22"/>
        </w:rPr>
      </w:pPr>
    </w:p>
    <w:p w14:paraId="400BF689" w14:textId="77777777" w:rsidR="003C6698" w:rsidRPr="008912CF" w:rsidRDefault="00615769" w:rsidP="003C6698">
      <w:pPr>
        <w:pStyle w:val="BodyText2"/>
        <w:tabs>
          <w:tab w:val="left" w:pos="1294"/>
        </w:tabs>
        <w:rPr>
          <w:szCs w:val="22"/>
        </w:rPr>
      </w:pPr>
      <w:r w:rsidRPr="008912CF">
        <w:rPr>
          <w:szCs w:val="22"/>
        </w:rPr>
        <w:t>No estudo AR V, a associação terapêutica Humira/metotrexato demonstrou uma melhoria</w:t>
      </w:r>
      <w:r w:rsidR="009663C2">
        <w:rPr>
          <w:szCs w:val="22"/>
        </w:rPr>
        <w:t xml:space="preserve"> superior</w:t>
      </w:r>
      <w:r w:rsidRPr="008912CF">
        <w:rPr>
          <w:szCs w:val="22"/>
        </w:rPr>
        <w:t xml:space="preserve"> no índice de incapacidade HAQ e no componente físico do SF 36 (p &lt; 0,001) comparativamente com metotrexato e Humira em monoterapia na Semana 52, a qua</w:t>
      </w:r>
      <w:r w:rsidR="001F0C03">
        <w:rPr>
          <w:szCs w:val="22"/>
        </w:rPr>
        <w:t>l</w:t>
      </w:r>
      <w:r w:rsidRPr="008912CF">
        <w:rPr>
          <w:szCs w:val="22"/>
        </w:rPr>
        <w:t xml:space="preserve"> fo</w:t>
      </w:r>
      <w:r w:rsidR="001F0C03">
        <w:rPr>
          <w:szCs w:val="22"/>
        </w:rPr>
        <w:t>i</w:t>
      </w:r>
      <w:r w:rsidRPr="008912CF">
        <w:rPr>
          <w:szCs w:val="22"/>
        </w:rPr>
        <w:t xml:space="preserve"> mantida durante a Semana 104.</w:t>
      </w:r>
      <w:r>
        <w:rPr>
          <w:szCs w:val="22"/>
        </w:rPr>
        <w:t xml:space="preserve"> Entre os 250 doentes que completaram a extensão de fase aberta do estudo, as </w:t>
      </w:r>
      <w:r w:rsidRPr="0085738C">
        <w:rPr>
          <w:szCs w:val="22"/>
        </w:rPr>
        <w:t>melhorias na função física foram mantidas</w:t>
      </w:r>
      <w:r>
        <w:rPr>
          <w:szCs w:val="22"/>
        </w:rPr>
        <w:t xml:space="preserve"> ao longo dos </w:t>
      </w:r>
      <w:r w:rsidRPr="0085738C">
        <w:rPr>
          <w:szCs w:val="22"/>
        </w:rPr>
        <w:t>10 anos de tratamento</w:t>
      </w:r>
      <w:r>
        <w:rPr>
          <w:szCs w:val="22"/>
        </w:rPr>
        <w:t>.</w:t>
      </w:r>
    </w:p>
    <w:p w14:paraId="25FDC408" w14:textId="77777777" w:rsidR="003C6698" w:rsidRPr="008912CF" w:rsidRDefault="003C6698" w:rsidP="003C6698">
      <w:pPr>
        <w:pStyle w:val="EMEAHeadingUnderline"/>
        <w:tabs>
          <w:tab w:val="clear" w:pos="562"/>
        </w:tabs>
        <w:suppressAutoHyphens w:val="0"/>
        <w:spacing w:before="0" w:after="0"/>
        <w:rPr>
          <w:szCs w:val="22"/>
          <w:lang w:val="pt-PT"/>
        </w:rPr>
      </w:pPr>
    </w:p>
    <w:p w14:paraId="13562DB7" w14:textId="77777777" w:rsidR="003C6698" w:rsidRPr="008912CF" w:rsidRDefault="00615769" w:rsidP="003C6698">
      <w:pPr>
        <w:rPr>
          <w:i/>
          <w:sz w:val="22"/>
          <w:szCs w:val="22"/>
          <w:u w:val="single"/>
        </w:rPr>
      </w:pPr>
      <w:r w:rsidRPr="008912CF">
        <w:rPr>
          <w:i/>
          <w:sz w:val="22"/>
          <w:szCs w:val="22"/>
          <w:u w:val="single"/>
        </w:rPr>
        <w:t>Dor no local da injeção</w:t>
      </w:r>
    </w:p>
    <w:p w14:paraId="6C2491E8" w14:textId="77777777" w:rsidR="003C6698" w:rsidRPr="008912CF" w:rsidRDefault="003C6698" w:rsidP="003C6698"/>
    <w:p w14:paraId="51FE559C" w14:textId="77777777" w:rsidR="003C6698" w:rsidRPr="008912CF" w:rsidRDefault="00615769" w:rsidP="003C6698">
      <w:pPr>
        <w:rPr>
          <w:sz w:val="22"/>
          <w:szCs w:val="22"/>
        </w:rPr>
      </w:pPr>
      <w:r w:rsidRPr="008912CF">
        <w:rPr>
          <w:sz w:val="22"/>
          <w:szCs w:val="22"/>
        </w:rPr>
        <w:t>Nos estudos combinados, cruzados, AR VI e VII, observou-se uma diferença estatisticamente significativa na avaliação da dor no local de injeção, imediatamente após a administração, entre Humira 40</w:t>
      </w:r>
      <w:r>
        <w:rPr>
          <w:sz w:val="22"/>
          <w:szCs w:val="22"/>
        </w:rPr>
        <w:t> </w:t>
      </w:r>
      <w:r w:rsidRPr="008912CF">
        <w:rPr>
          <w:sz w:val="22"/>
          <w:szCs w:val="22"/>
        </w:rPr>
        <w:t>mg/0,8</w:t>
      </w:r>
      <w:r>
        <w:rPr>
          <w:sz w:val="22"/>
          <w:szCs w:val="22"/>
        </w:rPr>
        <w:t> </w:t>
      </w:r>
      <w:r w:rsidRPr="008912CF">
        <w:rPr>
          <w:sz w:val="22"/>
          <w:szCs w:val="22"/>
        </w:rPr>
        <w:t>ml e Humira 40</w:t>
      </w:r>
      <w:r>
        <w:rPr>
          <w:sz w:val="22"/>
          <w:szCs w:val="22"/>
        </w:rPr>
        <w:t> </w:t>
      </w:r>
      <w:r w:rsidRPr="008912CF">
        <w:rPr>
          <w:sz w:val="22"/>
          <w:szCs w:val="22"/>
        </w:rPr>
        <w:t>mg/0,4</w:t>
      </w:r>
      <w:r>
        <w:rPr>
          <w:sz w:val="22"/>
          <w:szCs w:val="22"/>
        </w:rPr>
        <w:t> </w:t>
      </w:r>
      <w:r w:rsidRPr="008912CF">
        <w:rPr>
          <w:sz w:val="22"/>
          <w:szCs w:val="22"/>
        </w:rPr>
        <w:t>ml (média VAS de 3,7 cm versus 1,2</w:t>
      </w:r>
      <w:r>
        <w:rPr>
          <w:sz w:val="22"/>
          <w:szCs w:val="22"/>
        </w:rPr>
        <w:t> </w:t>
      </w:r>
      <w:r w:rsidRPr="008912CF">
        <w:rPr>
          <w:sz w:val="22"/>
          <w:szCs w:val="22"/>
        </w:rPr>
        <w:t xml:space="preserve">cm, escala de 0-10 cm, </w:t>
      </w:r>
      <w:r w:rsidR="00092159">
        <w:rPr>
          <w:sz w:val="22"/>
          <w:szCs w:val="22"/>
        </w:rPr>
        <w:t>p</w:t>
      </w:r>
      <w:r w:rsidRPr="008912CF">
        <w:rPr>
          <w:sz w:val="22"/>
          <w:szCs w:val="22"/>
        </w:rPr>
        <w:t xml:space="preserve">&lt;0,001). Isto representa uma redução </w:t>
      </w:r>
      <w:r w:rsidR="009663C2">
        <w:rPr>
          <w:sz w:val="22"/>
          <w:szCs w:val="22"/>
        </w:rPr>
        <w:t>mediana</w:t>
      </w:r>
      <w:r w:rsidR="009663C2" w:rsidRPr="008912CF">
        <w:rPr>
          <w:sz w:val="22"/>
          <w:szCs w:val="22"/>
        </w:rPr>
        <w:t xml:space="preserve"> </w:t>
      </w:r>
      <w:r w:rsidRPr="008912CF">
        <w:rPr>
          <w:sz w:val="22"/>
          <w:szCs w:val="22"/>
        </w:rPr>
        <w:t xml:space="preserve">de 84% de dor no local de injeção.  </w:t>
      </w:r>
    </w:p>
    <w:p w14:paraId="252723E8" w14:textId="77777777" w:rsidR="005A7CF3" w:rsidRPr="00CC4B51" w:rsidRDefault="005A7CF3" w:rsidP="004462A0">
      <w:pPr>
        <w:rPr>
          <w:sz w:val="22"/>
          <w:szCs w:val="22"/>
          <w:u w:val="single"/>
        </w:rPr>
      </w:pPr>
    </w:p>
    <w:p w14:paraId="699933C6" w14:textId="77777777" w:rsidR="004462A0" w:rsidRPr="00CC4B51" w:rsidRDefault="00615769" w:rsidP="004462A0">
      <w:pPr>
        <w:outlineLvl w:val="8"/>
        <w:rPr>
          <w:sz w:val="22"/>
          <w:szCs w:val="22"/>
          <w:u w:val="single"/>
        </w:rPr>
      </w:pPr>
      <w:r w:rsidRPr="00CC4B51">
        <w:rPr>
          <w:i/>
          <w:sz w:val="22"/>
          <w:szCs w:val="22"/>
        </w:rPr>
        <w:t>Psoríase</w:t>
      </w:r>
      <w:r w:rsidRPr="00CC4B51">
        <w:rPr>
          <w:sz w:val="22"/>
          <w:szCs w:val="22"/>
        </w:rPr>
        <w:t xml:space="preserve"> </w:t>
      </w:r>
    </w:p>
    <w:p w14:paraId="3564317C" w14:textId="77777777" w:rsidR="004462A0" w:rsidRPr="00CC4B51" w:rsidRDefault="004462A0" w:rsidP="004462A0">
      <w:pPr>
        <w:rPr>
          <w:sz w:val="22"/>
          <w:szCs w:val="22"/>
          <w:u w:val="single"/>
        </w:rPr>
      </w:pPr>
    </w:p>
    <w:p w14:paraId="5FCB33DE" w14:textId="77777777" w:rsidR="004462A0" w:rsidRPr="00CC4B51" w:rsidRDefault="00615769" w:rsidP="004462A0">
      <w:pPr>
        <w:rPr>
          <w:sz w:val="22"/>
          <w:szCs w:val="22"/>
        </w:rPr>
      </w:pPr>
      <w:r w:rsidRPr="00CC4B51">
        <w:rPr>
          <w:sz w:val="22"/>
          <w:szCs w:val="22"/>
        </w:rPr>
        <w:t xml:space="preserve">A segurança e eficácia de Humira foram avaliadas em estudos </w:t>
      </w:r>
      <w:r w:rsidR="0013275C">
        <w:rPr>
          <w:sz w:val="22"/>
          <w:szCs w:val="22"/>
        </w:rPr>
        <w:t>aleatorizado</w:t>
      </w:r>
      <w:r w:rsidRPr="00CC4B51">
        <w:rPr>
          <w:sz w:val="22"/>
          <w:szCs w:val="22"/>
        </w:rPr>
        <w:t>s, com dupla ocultação, em doentes adultos com psoríase crónica em placas (BSA </w:t>
      </w:r>
      <w:r w:rsidRPr="00CC4B51">
        <w:rPr>
          <w:rFonts w:ascii="Symbol" w:hAnsi="Symbol"/>
          <w:sz w:val="22"/>
          <w:szCs w:val="22"/>
        </w:rPr>
        <w:sym w:font="Symbol" w:char="F0B3"/>
      </w:r>
      <w:r w:rsidRPr="00CC4B51">
        <w:rPr>
          <w:sz w:val="22"/>
          <w:szCs w:val="22"/>
        </w:rPr>
        <w:t xml:space="preserve"> 10% e </w:t>
      </w:r>
      <w:r w:rsidRPr="00CC4B51">
        <w:rPr>
          <w:i/>
          <w:sz w:val="22"/>
          <w:szCs w:val="22"/>
        </w:rPr>
        <w:t>Psoriasis Area and Severity Index</w:t>
      </w:r>
      <w:r w:rsidRPr="00CC4B51">
        <w:rPr>
          <w:sz w:val="22"/>
          <w:szCs w:val="22"/>
        </w:rPr>
        <w:t xml:space="preserve"> (PASI) </w:t>
      </w:r>
      <w:r w:rsidRPr="00CC4B51">
        <w:rPr>
          <w:rFonts w:ascii="Symbol" w:hAnsi="Symbol"/>
          <w:sz w:val="22"/>
          <w:szCs w:val="22"/>
        </w:rPr>
        <w:sym w:font="Symbol" w:char="F0B3"/>
      </w:r>
      <w:r w:rsidRPr="00CC4B51">
        <w:rPr>
          <w:sz w:val="22"/>
          <w:szCs w:val="22"/>
        </w:rPr>
        <w:t xml:space="preserve"> 12 ou </w:t>
      </w:r>
      <w:r w:rsidRPr="00CC4B51">
        <w:rPr>
          <w:rFonts w:ascii="Symbol" w:hAnsi="Symbol"/>
          <w:sz w:val="22"/>
          <w:szCs w:val="22"/>
        </w:rPr>
        <w:sym w:font="Symbol" w:char="F0B3"/>
      </w:r>
      <w:r w:rsidRPr="00CC4B51">
        <w:rPr>
          <w:sz w:val="22"/>
          <w:szCs w:val="22"/>
        </w:rPr>
        <w:t xml:space="preserve"> 10), que </w:t>
      </w:r>
      <w:r w:rsidR="005049F7">
        <w:rPr>
          <w:sz w:val="22"/>
          <w:szCs w:val="22"/>
        </w:rPr>
        <w:t>e</w:t>
      </w:r>
      <w:r w:rsidRPr="00CC4B51">
        <w:rPr>
          <w:sz w:val="22"/>
          <w:szCs w:val="22"/>
        </w:rPr>
        <w:t>ram candidatos a uma terapêutica sistémica ou fototerapia. 73</w:t>
      </w:r>
      <w:r w:rsidR="009343EF">
        <w:rPr>
          <w:sz w:val="22"/>
          <w:szCs w:val="22"/>
        </w:rPr>
        <w:t>%</w:t>
      </w:r>
      <w:r w:rsidRPr="00CC4B51">
        <w:rPr>
          <w:sz w:val="22"/>
          <w:szCs w:val="22"/>
        </w:rPr>
        <w:t xml:space="preserve"> dos doentes envolvidos nos estudos I e II da Psoríase receberam previamente terapêutica sistémica ou fototerapia. A segurança e eficácia de Humira foram também avaliadas num estudo </w:t>
      </w:r>
      <w:r w:rsidR="0013275C">
        <w:rPr>
          <w:sz w:val="22"/>
          <w:szCs w:val="22"/>
        </w:rPr>
        <w:t>aleatorizado</w:t>
      </w:r>
      <w:r w:rsidRPr="00CC4B51">
        <w:rPr>
          <w:sz w:val="22"/>
          <w:szCs w:val="22"/>
        </w:rPr>
        <w:t xml:space="preserve"> em dupla ocultação (Estudo III na Psoríase) em doentes adultos com psoríase crónica em placas moderada a gr</w:t>
      </w:r>
      <w:r w:rsidRPr="00CC4B51">
        <w:rPr>
          <w:sz w:val="22"/>
          <w:szCs w:val="22"/>
        </w:rPr>
        <w:t xml:space="preserve">ave </w:t>
      </w:r>
      <w:r w:rsidR="00331F8A">
        <w:rPr>
          <w:sz w:val="22"/>
          <w:szCs w:val="22"/>
        </w:rPr>
        <w:t>e</w:t>
      </w:r>
      <w:r w:rsidRPr="00CC4B51">
        <w:rPr>
          <w:sz w:val="22"/>
          <w:szCs w:val="22"/>
        </w:rPr>
        <w:t xml:space="preserve"> psoríase palmar e/ou plantar concomitante, que </w:t>
      </w:r>
      <w:r w:rsidR="00331F8A">
        <w:rPr>
          <w:sz w:val="22"/>
          <w:szCs w:val="22"/>
        </w:rPr>
        <w:t>e</w:t>
      </w:r>
      <w:r w:rsidRPr="00CC4B51">
        <w:rPr>
          <w:sz w:val="22"/>
          <w:szCs w:val="22"/>
        </w:rPr>
        <w:t xml:space="preserve">ram candidatos a uma terapêutica sistémica. </w:t>
      </w:r>
    </w:p>
    <w:p w14:paraId="1191B2FA" w14:textId="77777777" w:rsidR="004462A0" w:rsidRPr="00CC4B51" w:rsidRDefault="004462A0" w:rsidP="004462A0">
      <w:pPr>
        <w:tabs>
          <w:tab w:val="left" w:pos="567"/>
        </w:tabs>
        <w:rPr>
          <w:sz w:val="22"/>
          <w:szCs w:val="22"/>
        </w:rPr>
      </w:pPr>
    </w:p>
    <w:p w14:paraId="1D8BE6CE" w14:textId="77777777" w:rsidR="004462A0" w:rsidRPr="00CC4B51" w:rsidRDefault="00615769" w:rsidP="004462A0">
      <w:pPr>
        <w:rPr>
          <w:sz w:val="22"/>
          <w:szCs w:val="22"/>
        </w:rPr>
      </w:pPr>
      <w:r w:rsidRPr="00CC4B51">
        <w:rPr>
          <w:sz w:val="22"/>
          <w:szCs w:val="22"/>
        </w:rPr>
        <w:t>O estudo I na Psoríase (REVEAL) avaliou 1.212 doentes em três períodos de tratamento. No período A, os doentes receberam placebo ou Humira numa dose inicial de 80 mg seguida de 40 mg em semanas alternadas, uma semana após a dose inicial. Os doentes que atingiram pelo menos uma resposta PASI 75 (melhoria de pelo menos 75</w:t>
      </w:r>
      <w:r w:rsidR="009343EF">
        <w:rPr>
          <w:sz w:val="22"/>
          <w:szCs w:val="22"/>
        </w:rPr>
        <w:t>%</w:t>
      </w:r>
      <w:r w:rsidRPr="00CC4B51">
        <w:rPr>
          <w:sz w:val="22"/>
          <w:szCs w:val="22"/>
        </w:rPr>
        <w:t xml:space="preserve"> no PASI em relação à avaliação basal), após 16 semanas de terapêutica, entraram no período B e receberam 40 mg de Humira em fase aberta, em semanas alternadas. Os doentes que mantiveram uma resposta </w:t>
      </w:r>
      <w:r w:rsidRPr="00CC4B51">
        <w:rPr>
          <w:rFonts w:ascii="Symbol" w:hAnsi="Symbol"/>
          <w:sz w:val="22"/>
          <w:szCs w:val="22"/>
        </w:rPr>
        <w:sym w:font="Symbol" w:char="F0B3"/>
      </w:r>
      <w:r w:rsidRPr="00CC4B51">
        <w:rPr>
          <w:sz w:val="22"/>
          <w:szCs w:val="22"/>
        </w:rPr>
        <w:t xml:space="preserve"> PASI 75 à Semana 33 e </w:t>
      </w:r>
      <w:r w:rsidR="005049F7">
        <w:rPr>
          <w:sz w:val="22"/>
          <w:szCs w:val="22"/>
        </w:rPr>
        <w:t>tinham sido</w:t>
      </w:r>
      <w:r w:rsidR="005049F7" w:rsidRPr="00CC4B51">
        <w:rPr>
          <w:sz w:val="22"/>
          <w:szCs w:val="22"/>
        </w:rPr>
        <w:t xml:space="preserve"> </w:t>
      </w:r>
      <w:r w:rsidRPr="00CC4B51">
        <w:rPr>
          <w:sz w:val="22"/>
          <w:szCs w:val="22"/>
        </w:rPr>
        <w:t xml:space="preserve">originalmente </w:t>
      </w:r>
      <w:r w:rsidR="0013275C">
        <w:rPr>
          <w:sz w:val="22"/>
          <w:szCs w:val="22"/>
        </w:rPr>
        <w:t>aleatorizado</w:t>
      </w:r>
      <w:r w:rsidRPr="00CC4B51">
        <w:rPr>
          <w:sz w:val="22"/>
          <w:szCs w:val="22"/>
        </w:rPr>
        <w:t xml:space="preserve">s para uma terapêutica ativa no Período A, foram de novo </w:t>
      </w:r>
      <w:r w:rsidR="0013275C">
        <w:rPr>
          <w:sz w:val="22"/>
          <w:szCs w:val="22"/>
        </w:rPr>
        <w:t>aleatorizado</w:t>
      </w:r>
      <w:r w:rsidRPr="00CC4B51">
        <w:rPr>
          <w:sz w:val="22"/>
          <w:szCs w:val="22"/>
        </w:rPr>
        <w:t>s no período C para receberem 40 mg de Humira em semanas alternadas ou placebo, por um período adicional de 19 semanas. Em todos os grupos de tratamento, a pontuação basal média PA</w:t>
      </w:r>
      <w:r w:rsidRPr="00CC4B51">
        <w:rPr>
          <w:sz w:val="22"/>
          <w:szCs w:val="22"/>
        </w:rPr>
        <w:t xml:space="preserve">SI foi 18,9 e o </w:t>
      </w:r>
      <w:r w:rsidRPr="00CC4B51">
        <w:rPr>
          <w:i/>
          <w:sz w:val="22"/>
          <w:szCs w:val="22"/>
        </w:rPr>
        <w:t>Physician’s Global Assessment</w:t>
      </w:r>
      <w:r w:rsidRPr="00CC4B51">
        <w:rPr>
          <w:sz w:val="22"/>
          <w:szCs w:val="22"/>
        </w:rPr>
        <w:t xml:space="preserve"> (PGA) foi classificado entre “moderada” (53</w:t>
      </w:r>
      <w:r w:rsidR="009343EF">
        <w:rPr>
          <w:sz w:val="22"/>
          <w:szCs w:val="22"/>
        </w:rPr>
        <w:t>%</w:t>
      </w:r>
      <w:r w:rsidRPr="00CC4B51">
        <w:rPr>
          <w:sz w:val="22"/>
          <w:szCs w:val="22"/>
        </w:rPr>
        <w:t xml:space="preserve"> dos doentes incluídos) a “grave” (41</w:t>
      </w:r>
      <w:r w:rsidR="009343EF">
        <w:rPr>
          <w:sz w:val="22"/>
          <w:szCs w:val="22"/>
        </w:rPr>
        <w:t>%</w:t>
      </w:r>
      <w:r w:rsidRPr="00CC4B51">
        <w:rPr>
          <w:sz w:val="22"/>
          <w:szCs w:val="22"/>
        </w:rPr>
        <w:t>) a “muito grave” (6</w:t>
      </w:r>
      <w:r w:rsidR="009343EF">
        <w:rPr>
          <w:sz w:val="22"/>
          <w:szCs w:val="22"/>
        </w:rPr>
        <w:t>%</w:t>
      </w:r>
      <w:r w:rsidRPr="00CC4B51">
        <w:rPr>
          <w:sz w:val="22"/>
          <w:szCs w:val="22"/>
        </w:rPr>
        <w:t>).</w:t>
      </w:r>
    </w:p>
    <w:p w14:paraId="1B223957" w14:textId="77777777" w:rsidR="004462A0" w:rsidRPr="00CC4B51" w:rsidRDefault="004462A0" w:rsidP="004462A0">
      <w:pPr>
        <w:rPr>
          <w:sz w:val="22"/>
          <w:szCs w:val="22"/>
        </w:rPr>
      </w:pPr>
    </w:p>
    <w:p w14:paraId="0AFE838B" w14:textId="77777777" w:rsidR="004462A0" w:rsidRPr="00CC4B51" w:rsidRDefault="00615769" w:rsidP="004462A0">
      <w:pPr>
        <w:autoSpaceDE w:val="0"/>
        <w:autoSpaceDN w:val="0"/>
        <w:adjustRightInd w:val="0"/>
        <w:rPr>
          <w:sz w:val="22"/>
          <w:szCs w:val="22"/>
        </w:rPr>
      </w:pPr>
      <w:r w:rsidRPr="00CC4B51">
        <w:rPr>
          <w:sz w:val="22"/>
          <w:szCs w:val="22"/>
        </w:rPr>
        <w:t xml:space="preserve">O estudo II na Psoríase (CHAMPION) comparou a eficácia e segurança de Humira versus metotrexato e placebo em 271 doentes. Os doentes receberam placebo, numa dose inicial de 7,5 mg de MTX com um aumento de dose </w:t>
      </w:r>
      <w:r w:rsidR="005049F7">
        <w:rPr>
          <w:sz w:val="22"/>
          <w:szCs w:val="22"/>
        </w:rPr>
        <w:t xml:space="preserve">até </w:t>
      </w:r>
      <w:r w:rsidRPr="00CC4B51">
        <w:rPr>
          <w:sz w:val="22"/>
          <w:szCs w:val="22"/>
        </w:rPr>
        <w:t xml:space="preserve">à Semana 12, com uma dose máxima de 25 mg ou uma dose inicial de 80 mg de Humira seguida de 40 mg em semanas alternadas (uma semana após a dose inicial), durante 16 semanas. Não existem dados disponíveis sobre a comparação de Humira e MTX para além de 16 semanas de terapêutica. Os doentes tratados com MTX que atingiram uma resposta </w:t>
      </w:r>
      <w:r w:rsidRPr="00CC4B51">
        <w:rPr>
          <w:rFonts w:ascii="Symbol" w:hAnsi="Symbol"/>
          <w:sz w:val="22"/>
          <w:szCs w:val="22"/>
        </w:rPr>
        <w:sym w:font="Symbol" w:char="F0B3"/>
      </w:r>
      <w:r w:rsidRPr="00CC4B51">
        <w:rPr>
          <w:sz w:val="22"/>
          <w:szCs w:val="22"/>
        </w:rPr>
        <w:t xml:space="preserve"> PASI 50 na Semana 8 e/ou 12, não receberam mais aumentos de dose. Em todos os grupos de tratamento, a pontuação basal média </w:t>
      </w:r>
      <w:r w:rsidRPr="00CC4B51">
        <w:rPr>
          <w:caps/>
          <w:sz w:val="22"/>
          <w:szCs w:val="22"/>
        </w:rPr>
        <w:t>Pasi</w:t>
      </w:r>
      <w:r w:rsidRPr="00CC4B51">
        <w:rPr>
          <w:sz w:val="22"/>
          <w:szCs w:val="22"/>
        </w:rPr>
        <w:t xml:space="preserve"> foi 19,7 e o PGA foi classificado entre “li</w:t>
      </w:r>
      <w:r w:rsidRPr="00CC4B51">
        <w:rPr>
          <w:sz w:val="22"/>
          <w:szCs w:val="22"/>
        </w:rPr>
        <w:t>geira” (&lt;</w:t>
      </w:r>
      <w:r w:rsidR="00BF2F9C">
        <w:rPr>
          <w:sz w:val="22"/>
          <w:szCs w:val="22"/>
        </w:rPr>
        <w:t xml:space="preserve"> </w:t>
      </w:r>
      <w:r w:rsidRPr="00CC4B51">
        <w:rPr>
          <w:sz w:val="22"/>
          <w:szCs w:val="22"/>
        </w:rPr>
        <w:t>1</w:t>
      </w:r>
      <w:r w:rsidR="009343EF">
        <w:rPr>
          <w:sz w:val="22"/>
          <w:szCs w:val="22"/>
        </w:rPr>
        <w:t>%</w:t>
      </w:r>
      <w:r w:rsidRPr="00CC4B51">
        <w:rPr>
          <w:sz w:val="22"/>
          <w:szCs w:val="22"/>
        </w:rPr>
        <w:t>) a “moderada” (48</w:t>
      </w:r>
      <w:r w:rsidR="009343EF">
        <w:rPr>
          <w:sz w:val="22"/>
          <w:szCs w:val="22"/>
        </w:rPr>
        <w:t>%</w:t>
      </w:r>
      <w:r w:rsidRPr="00CC4B51">
        <w:rPr>
          <w:sz w:val="22"/>
          <w:szCs w:val="22"/>
        </w:rPr>
        <w:t>) a “grave” (46</w:t>
      </w:r>
      <w:r w:rsidR="009343EF">
        <w:rPr>
          <w:sz w:val="22"/>
          <w:szCs w:val="22"/>
        </w:rPr>
        <w:t>%</w:t>
      </w:r>
      <w:r w:rsidRPr="00CC4B51">
        <w:rPr>
          <w:sz w:val="22"/>
          <w:szCs w:val="22"/>
        </w:rPr>
        <w:t>) a “muito grave” (6</w:t>
      </w:r>
      <w:r w:rsidR="009343EF">
        <w:rPr>
          <w:sz w:val="22"/>
          <w:szCs w:val="22"/>
        </w:rPr>
        <w:t>%</w:t>
      </w:r>
      <w:r w:rsidRPr="00CC4B51">
        <w:rPr>
          <w:sz w:val="22"/>
          <w:szCs w:val="22"/>
        </w:rPr>
        <w:t>).</w:t>
      </w:r>
    </w:p>
    <w:p w14:paraId="6109232B" w14:textId="77777777" w:rsidR="004462A0" w:rsidRPr="00CC4B51" w:rsidRDefault="004462A0" w:rsidP="004462A0">
      <w:pPr>
        <w:autoSpaceDE w:val="0"/>
        <w:autoSpaceDN w:val="0"/>
        <w:adjustRightInd w:val="0"/>
        <w:rPr>
          <w:sz w:val="22"/>
          <w:szCs w:val="22"/>
        </w:rPr>
      </w:pPr>
    </w:p>
    <w:p w14:paraId="369700E3" w14:textId="77777777" w:rsidR="004462A0" w:rsidRPr="00CC4B51" w:rsidRDefault="00615769" w:rsidP="004462A0">
      <w:pPr>
        <w:autoSpaceDE w:val="0"/>
        <w:autoSpaceDN w:val="0"/>
        <w:adjustRightInd w:val="0"/>
        <w:rPr>
          <w:sz w:val="22"/>
          <w:szCs w:val="22"/>
        </w:rPr>
      </w:pPr>
      <w:r w:rsidRPr="00CC4B51">
        <w:rPr>
          <w:sz w:val="22"/>
          <w:szCs w:val="22"/>
        </w:rPr>
        <w:t>Os doentes que participaram em todos os estudos de Fase 2 e Fase 3 na psoríase foram elegíveis para inclusão num ensaio de extensão de fase aberta, no qual Humira foi administrado durante, pelo menos, 108 semanas adicionais.</w:t>
      </w:r>
    </w:p>
    <w:p w14:paraId="5A09DD41" w14:textId="77777777" w:rsidR="004462A0" w:rsidRPr="00CC4B51" w:rsidRDefault="004462A0" w:rsidP="004462A0">
      <w:pPr>
        <w:autoSpaceDE w:val="0"/>
        <w:autoSpaceDN w:val="0"/>
        <w:adjustRightInd w:val="0"/>
        <w:rPr>
          <w:iCs/>
          <w:sz w:val="22"/>
          <w:szCs w:val="22"/>
        </w:rPr>
      </w:pPr>
    </w:p>
    <w:p w14:paraId="4779E9D1" w14:textId="77777777" w:rsidR="004462A0" w:rsidRPr="00CC4B51" w:rsidRDefault="00615769" w:rsidP="004462A0">
      <w:pPr>
        <w:autoSpaceDE w:val="0"/>
        <w:autoSpaceDN w:val="0"/>
        <w:adjustRightInd w:val="0"/>
        <w:rPr>
          <w:sz w:val="22"/>
          <w:szCs w:val="22"/>
        </w:rPr>
      </w:pPr>
      <w:r w:rsidRPr="00CC4B51">
        <w:rPr>
          <w:iCs/>
          <w:sz w:val="22"/>
          <w:szCs w:val="22"/>
        </w:rPr>
        <w:t xml:space="preserve">Nos estudos I e II na Psoríase, o objetivo primário foi a percentagem de doentes que atingiram uma resposta PASI 75, desde a avaliação basal, à Semana 16 </w:t>
      </w:r>
      <w:r w:rsidRPr="00CC4B51">
        <w:rPr>
          <w:sz w:val="22"/>
          <w:szCs w:val="22"/>
        </w:rPr>
        <w:t xml:space="preserve">(ver Tabelas </w:t>
      </w:r>
      <w:r w:rsidR="00D94630">
        <w:rPr>
          <w:sz w:val="22"/>
          <w:szCs w:val="22"/>
        </w:rPr>
        <w:t>9</w:t>
      </w:r>
      <w:r w:rsidRPr="00CC4B51">
        <w:rPr>
          <w:sz w:val="22"/>
          <w:szCs w:val="22"/>
        </w:rPr>
        <w:t xml:space="preserve"> e </w:t>
      </w:r>
      <w:r w:rsidR="00D94630">
        <w:rPr>
          <w:sz w:val="22"/>
          <w:szCs w:val="22"/>
        </w:rPr>
        <w:t>10</w:t>
      </w:r>
      <w:r w:rsidRPr="00CC4B51">
        <w:rPr>
          <w:sz w:val="22"/>
          <w:szCs w:val="22"/>
        </w:rPr>
        <w:t>).</w:t>
      </w:r>
    </w:p>
    <w:p w14:paraId="2B0BE3A6" w14:textId="77777777" w:rsidR="004462A0" w:rsidRPr="00CC4B51" w:rsidRDefault="004462A0" w:rsidP="004462A0">
      <w:pPr>
        <w:rPr>
          <w:sz w:val="22"/>
          <w:szCs w:val="22"/>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A7162A" w14:paraId="55F35F0C" w14:textId="77777777" w:rsidTr="00F675CF">
        <w:trPr>
          <w:cantSplit/>
          <w:jc w:val="center"/>
        </w:trPr>
        <w:tc>
          <w:tcPr>
            <w:tcW w:w="6949" w:type="dxa"/>
            <w:gridSpan w:val="3"/>
            <w:tcBorders>
              <w:top w:val="nil"/>
              <w:left w:val="nil"/>
              <w:right w:val="nil"/>
            </w:tcBorders>
          </w:tcPr>
          <w:p w14:paraId="0229204A" w14:textId="77777777" w:rsidR="004462A0" w:rsidRPr="00CC4B51" w:rsidRDefault="00615769" w:rsidP="008234D6">
            <w:pPr>
              <w:keepNext/>
              <w:overflowPunct w:val="0"/>
              <w:autoSpaceDE w:val="0"/>
              <w:autoSpaceDN w:val="0"/>
              <w:adjustRightInd w:val="0"/>
              <w:jc w:val="center"/>
              <w:textAlignment w:val="baseline"/>
              <w:rPr>
                <w:b/>
                <w:iCs/>
                <w:sz w:val="22"/>
                <w:szCs w:val="22"/>
              </w:rPr>
            </w:pPr>
            <w:r w:rsidRPr="00CC4B51">
              <w:rPr>
                <w:b/>
                <w:iCs/>
                <w:sz w:val="22"/>
                <w:szCs w:val="22"/>
              </w:rPr>
              <w:t xml:space="preserve">Tabela </w:t>
            </w:r>
            <w:r w:rsidR="00D94630">
              <w:rPr>
                <w:b/>
                <w:iCs/>
                <w:sz w:val="22"/>
                <w:szCs w:val="22"/>
              </w:rPr>
              <w:t>9</w:t>
            </w:r>
          </w:p>
          <w:p w14:paraId="7EC86735" w14:textId="77777777" w:rsidR="004462A0" w:rsidRPr="00CC4B51" w:rsidRDefault="00615769" w:rsidP="008234D6">
            <w:pPr>
              <w:keepNext/>
              <w:overflowPunct w:val="0"/>
              <w:autoSpaceDE w:val="0"/>
              <w:autoSpaceDN w:val="0"/>
              <w:adjustRightInd w:val="0"/>
              <w:jc w:val="center"/>
              <w:textAlignment w:val="baseline"/>
              <w:rPr>
                <w:b/>
                <w:iCs/>
                <w:sz w:val="22"/>
                <w:szCs w:val="22"/>
              </w:rPr>
            </w:pPr>
            <w:r w:rsidRPr="00CC4B51">
              <w:rPr>
                <w:b/>
                <w:iCs/>
                <w:sz w:val="22"/>
                <w:szCs w:val="22"/>
              </w:rPr>
              <w:t>Estudo I na Psoríase (REVEAL)</w:t>
            </w:r>
          </w:p>
          <w:p w14:paraId="692C6287" w14:textId="77777777" w:rsidR="004462A0" w:rsidRPr="00CC4B51" w:rsidRDefault="00615769" w:rsidP="008234D6">
            <w:pPr>
              <w:keepNext/>
              <w:overflowPunct w:val="0"/>
              <w:autoSpaceDE w:val="0"/>
              <w:autoSpaceDN w:val="0"/>
              <w:adjustRightInd w:val="0"/>
              <w:jc w:val="center"/>
              <w:textAlignment w:val="baseline"/>
              <w:rPr>
                <w:b/>
                <w:iCs/>
                <w:sz w:val="22"/>
                <w:szCs w:val="22"/>
              </w:rPr>
            </w:pPr>
            <w:r w:rsidRPr="00CC4B51">
              <w:rPr>
                <w:b/>
                <w:iCs/>
                <w:sz w:val="22"/>
                <w:szCs w:val="22"/>
              </w:rPr>
              <w:t>Resultados de Eficácia à</w:t>
            </w:r>
            <w:r w:rsidR="005049F7">
              <w:rPr>
                <w:b/>
                <w:iCs/>
                <w:sz w:val="22"/>
                <w:szCs w:val="22"/>
              </w:rPr>
              <w:t xml:space="preserve"> Semana</w:t>
            </w:r>
            <w:r w:rsidRPr="00CC4B51">
              <w:rPr>
                <w:b/>
                <w:iCs/>
                <w:sz w:val="22"/>
                <w:szCs w:val="22"/>
              </w:rPr>
              <w:t xml:space="preserve"> 16</w:t>
            </w:r>
          </w:p>
          <w:p w14:paraId="66CCB2C7" w14:textId="77777777" w:rsidR="004462A0" w:rsidRPr="00CC4B51" w:rsidRDefault="004462A0" w:rsidP="008234D6">
            <w:pPr>
              <w:keepNext/>
              <w:overflowPunct w:val="0"/>
              <w:autoSpaceDE w:val="0"/>
              <w:autoSpaceDN w:val="0"/>
              <w:adjustRightInd w:val="0"/>
              <w:jc w:val="center"/>
              <w:textAlignment w:val="baseline"/>
              <w:rPr>
                <w:b/>
                <w:iCs/>
                <w:sz w:val="22"/>
                <w:szCs w:val="22"/>
                <w:u w:val="single"/>
              </w:rPr>
            </w:pPr>
          </w:p>
        </w:tc>
      </w:tr>
      <w:tr w:rsidR="00A7162A" w14:paraId="2FC171C0" w14:textId="77777777" w:rsidTr="00F675CF">
        <w:trPr>
          <w:cantSplit/>
          <w:jc w:val="center"/>
        </w:trPr>
        <w:tc>
          <w:tcPr>
            <w:tcW w:w="2977" w:type="dxa"/>
            <w:vAlign w:val="center"/>
          </w:tcPr>
          <w:p w14:paraId="749238A1" w14:textId="77777777" w:rsidR="004462A0" w:rsidRPr="00CC4B51" w:rsidRDefault="004462A0" w:rsidP="008234D6">
            <w:pPr>
              <w:keepNext/>
              <w:overflowPunct w:val="0"/>
              <w:autoSpaceDE w:val="0"/>
              <w:autoSpaceDN w:val="0"/>
              <w:adjustRightInd w:val="0"/>
              <w:textAlignment w:val="baseline"/>
              <w:rPr>
                <w:b/>
                <w:iCs/>
                <w:sz w:val="22"/>
                <w:szCs w:val="22"/>
              </w:rPr>
            </w:pPr>
          </w:p>
        </w:tc>
        <w:tc>
          <w:tcPr>
            <w:tcW w:w="1620" w:type="dxa"/>
            <w:vAlign w:val="center"/>
          </w:tcPr>
          <w:p w14:paraId="2893808F" w14:textId="77777777" w:rsidR="004462A0" w:rsidRPr="00CC4B51" w:rsidRDefault="00615769" w:rsidP="008234D6">
            <w:pPr>
              <w:keepNext/>
              <w:overflowPunct w:val="0"/>
              <w:autoSpaceDE w:val="0"/>
              <w:autoSpaceDN w:val="0"/>
              <w:adjustRightInd w:val="0"/>
              <w:jc w:val="center"/>
              <w:textAlignment w:val="baseline"/>
              <w:rPr>
                <w:b/>
                <w:iCs/>
                <w:sz w:val="22"/>
                <w:szCs w:val="22"/>
              </w:rPr>
            </w:pPr>
            <w:r w:rsidRPr="00CC4B51">
              <w:rPr>
                <w:b/>
                <w:iCs/>
                <w:sz w:val="22"/>
                <w:szCs w:val="22"/>
              </w:rPr>
              <w:t>Placebo</w:t>
            </w:r>
          </w:p>
          <w:p w14:paraId="3DB7C265" w14:textId="77777777" w:rsidR="004462A0" w:rsidRPr="00CC4B51" w:rsidRDefault="00615769" w:rsidP="008234D6">
            <w:pPr>
              <w:keepNext/>
              <w:overflowPunct w:val="0"/>
              <w:autoSpaceDE w:val="0"/>
              <w:autoSpaceDN w:val="0"/>
              <w:adjustRightInd w:val="0"/>
              <w:jc w:val="center"/>
              <w:textAlignment w:val="baseline"/>
              <w:rPr>
                <w:b/>
                <w:iCs/>
                <w:sz w:val="22"/>
                <w:szCs w:val="22"/>
              </w:rPr>
            </w:pPr>
            <w:r w:rsidRPr="00CC4B51">
              <w:rPr>
                <w:b/>
                <w:iCs/>
                <w:sz w:val="22"/>
                <w:szCs w:val="22"/>
              </w:rPr>
              <w:t>N=398</w:t>
            </w:r>
          </w:p>
          <w:p w14:paraId="4DA96B5E" w14:textId="77777777" w:rsidR="004462A0" w:rsidRPr="00CC4B51" w:rsidRDefault="00615769" w:rsidP="008234D6">
            <w:pPr>
              <w:keepNext/>
              <w:overflowPunct w:val="0"/>
              <w:autoSpaceDE w:val="0"/>
              <w:autoSpaceDN w:val="0"/>
              <w:adjustRightInd w:val="0"/>
              <w:jc w:val="center"/>
              <w:textAlignment w:val="baseline"/>
              <w:rPr>
                <w:b/>
                <w:iCs/>
                <w:sz w:val="22"/>
                <w:szCs w:val="22"/>
              </w:rPr>
            </w:pPr>
            <w:r w:rsidRPr="00CC4B51">
              <w:rPr>
                <w:b/>
                <w:iCs/>
                <w:sz w:val="22"/>
                <w:szCs w:val="22"/>
              </w:rPr>
              <w:t>n (%)</w:t>
            </w:r>
          </w:p>
        </w:tc>
        <w:tc>
          <w:tcPr>
            <w:tcW w:w="2352" w:type="dxa"/>
            <w:vAlign w:val="center"/>
          </w:tcPr>
          <w:p w14:paraId="7788C458" w14:textId="77777777" w:rsidR="004462A0" w:rsidRPr="00CC4B51" w:rsidRDefault="00615769" w:rsidP="008234D6">
            <w:pPr>
              <w:keepNext/>
              <w:overflowPunct w:val="0"/>
              <w:autoSpaceDE w:val="0"/>
              <w:autoSpaceDN w:val="0"/>
              <w:adjustRightInd w:val="0"/>
              <w:jc w:val="center"/>
              <w:textAlignment w:val="baseline"/>
              <w:rPr>
                <w:b/>
                <w:iCs/>
                <w:sz w:val="22"/>
                <w:szCs w:val="22"/>
              </w:rPr>
            </w:pPr>
            <w:r w:rsidRPr="00CC4B51">
              <w:rPr>
                <w:b/>
                <w:iCs/>
                <w:sz w:val="22"/>
                <w:szCs w:val="22"/>
              </w:rPr>
              <w:t>Humira 40 mg em semanas alternadas</w:t>
            </w:r>
          </w:p>
          <w:p w14:paraId="54E163F2" w14:textId="77777777" w:rsidR="004462A0" w:rsidRPr="00CC4B51" w:rsidRDefault="00615769" w:rsidP="008234D6">
            <w:pPr>
              <w:keepNext/>
              <w:overflowPunct w:val="0"/>
              <w:autoSpaceDE w:val="0"/>
              <w:autoSpaceDN w:val="0"/>
              <w:adjustRightInd w:val="0"/>
              <w:jc w:val="center"/>
              <w:textAlignment w:val="baseline"/>
              <w:rPr>
                <w:b/>
                <w:iCs/>
                <w:sz w:val="22"/>
                <w:szCs w:val="22"/>
              </w:rPr>
            </w:pPr>
            <w:r w:rsidRPr="00CC4B51">
              <w:rPr>
                <w:b/>
                <w:iCs/>
                <w:sz w:val="22"/>
                <w:szCs w:val="22"/>
              </w:rPr>
              <w:t>N=814</w:t>
            </w:r>
          </w:p>
          <w:p w14:paraId="65C41E0B" w14:textId="77777777" w:rsidR="004462A0" w:rsidRPr="00CC4B51" w:rsidRDefault="00615769" w:rsidP="008234D6">
            <w:pPr>
              <w:keepNext/>
              <w:overflowPunct w:val="0"/>
              <w:autoSpaceDE w:val="0"/>
              <w:autoSpaceDN w:val="0"/>
              <w:adjustRightInd w:val="0"/>
              <w:jc w:val="center"/>
              <w:textAlignment w:val="baseline"/>
              <w:rPr>
                <w:b/>
                <w:iCs/>
                <w:sz w:val="22"/>
                <w:szCs w:val="22"/>
              </w:rPr>
            </w:pPr>
            <w:r w:rsidRPr="00CC4B51">
              <w:rPr>
                <w:b/>
                <w:iCs/>
                <w:sz w:val="22"/>
                <w:szCs w:val="22"/>
              </w:rPr>
              <w:t>n (%)</w:t>
            </w:r>
          </w:p>
        </w:tc>
      </w:tr>
      <w:tr w:rsidR="00A7162A" w14:paraId="40D75014" w14:textId="77777777" w:rsidTr="00F675CF">
        <w:trPr>
          <w:cantSplit/>
          <w:jc w:val="center"/>
        </w:trPr>
        <w:tc>
          <w:tcPr>
            <w:tcW w:w="2977" w:type="dxa"/>
          </w:tcPr>
          <w:p w14:paraId="2B359FDA" w14:textId="77777777" w:rsidR="004462A0" w:rsidRPr="00CC4B51" w:rsidRDefault="00615769" w:rsidP="008234D6">
            <w:pPr>
              <w:keepNext/>
              <w:overflowPunct w:val="0"/>
              <w:autoSpaceDE w:val="0"/>
              <w:autoSpaceDN w:val="0"/>
              <w:adjustRightInd w:val="0"/>
              <w:textAlignment w:val="baseline"/>
              <w:rPr>
                <w:b/>
                <w:iCs/>
                <w:sz w:val="22"/>
                <w:szCs w:val="22"/>
              </w:rPr>
            </w:pPr>
            <w:r w:rsidRPr="00CC4B51">
              <w:rPr>
                <w:b/>
                <w:iCs/>
                <w:sz w:val="22"/>
                <w:szCs w:val="22"/>
              </w:rPr>
              <w:t xml:space="preserve">    </w:t>
            </w:r>
            <w:r w:rsidRPr="00CC4B51">
              <w:rPr>
                <w:rFonts w:ascii="Symbol" w:hAnsi="Symbol"/>
                <w:b/>
                <w:iCs/>
                <w:sz w:val="22"/>
                <w:szCs w:val="22"/>
              </w:rPr>
              <w:sym w:font="Symbol" w:char="F0B3"/>
            </w:r>
            <w:r w:rsidR="00601734">
              <w:rPr>
                <w:rFonts w:ascii="Symbol" w:hAnsi="Symbol"/>
                <w:b/>
                <w:iCs/>
                <w:sz w:val="22"/>
                <w:szCs w:val="22"/>
              </w:rPr>
              <w:sym w:font="Symbol" w:char="F020"/>
            </w:r>
            <w:r w:rsidRPr="00CC4B51">
              <w:rPr>
                <w:b/>
                <w:iCs/>
                <w:sz w:val="22"/>
                <w:szCs w:val="22"/>
              </w:rPr>
              <w:t>PASI 75</w:t>
            </w:r>
            <w:r w:rsidRPr="00CC4B51">
              <w:rPr>
                <w:b/>
                <w:iCs/>
                <w:sz w:val="22"/>
                <w:szCs w:val="22"/>
                <w:vertAlign w:val="superscript"/>
              </w:rPr>
              <w:t>a</w:t>
            </w:r>
          </w:p>
        </w:tc>
        <w:tc>
          <w:tcPr>
            <w:tcW w:w="1620" w:type="dxa"/>
          </w:tcPr>
          <w:p w14:paraId="43424483" w14:textId="77777777" w:rsidR="004462A0" w:rsidRPr="00CC4B51" w:rsidRDefault="00615769" w:rsidP="008234D6">
            <w:pPr>
              <w:keepNext/>
              <w:overflowPunct w:val="0"/>
              <w:autoSpaceDE w:val="0"/>
              <w:autoSpaceDN w:val="0"/>
              <w:adjustRightInd w:val="0"/>
              <w:jc w:val="center"/>
              <w:textAlignment w:val="baseline"/>
              <w:rPr>
                <w:bCs/>
                <w:iCs/>
                <w:sz w:val="22"/>
                <w:szCs w:val="22"/>
              </w:rPr>
            </w:pPr>
            <w:r w:rsidRPr="00CC4B51">
              <w:rPr>
                <w:bCs/>
                <w:iCs/>
                <w:sz w:val="22"/>
                <w:szCs w:val="22"/>
              </w:rPr>
              <w:t>26 (6,5)</w:t>
            </w:r>
          </w:p>
        </w:tc>
        <w:tc>
          <w:tcPr>
            <w:tcW w:w="2352" w:type="dxa"/>
          </w:tcPr>
          <w:p w14:paraId="604B3905" w14:textId="77777777" w:rsidR="004462A0" w:rsidRPr="00CC4B51" w:rsidRDefault="00615769" w:rsidP="008234D6">
            <w:pPr>
              <w:keepNext/>
              <w:overflowPunct w:val="0"/>
              <w:autoSpaceDE w:val="0"/>
              <w:autoSpaceDN w:val="0"/>
              <w:adjustRightInd w:val="0"/>
              <w:jc w:val="center"/>
              <w:textAlignment w:val="baseline"/>
              <w:rPr>
                <w:bCs/>
                <w:iCs/>
                <w:sz w:val="22"/>
                <w:szCs w:val="22"/>
              </w:rPr>
            </w:pPr>
            <w:r w:rsidRPr="00CC4B51">
              <w:rPr>
                <w:bCs/>
                <w:iCs/>
                <w:sz w:val="22"/>
                <w:szCs w:val="22"/>
              </w:rPr>
              <w:t>578 (70,9)</w:t>
            </w:r>
            <w:r w:rsidRPr="00CC4B51">
              <w:rPr>
                <w:bCs/>
                <w:iCs/>
                <w:sz w:val="22"/>
                <w:szCs w:val="22"/>
                <w:vertAlign w:val="superscript"/>
              </w:rPr>
              <w:t>b</w:t>
            </w:r>
          </w:p>
        </w:tc>
      </w:tr>
      <w:tr w:rsidR="00A7162A" w14:paraId="17B119DE" w14:textId="77777777" w:rsidTr="00F675CF">
        <w:trPr>
          <w:cantSplit/>
          <w:trHeight w:val="70"/>
          <w:jc w:val="center"/>
        </w:trPr>
        <w:tc>
          <w:tcPr>
            <w:tcW w:w="2977" w:type="dxa"/>
          </w:tcPr>
          <w:p w14:paraId="1F27F240" w14:textId="77777777" w:rsidR="004462A0" w:rsidRPr="00CC4B51" w:rsidRDefault="00615769" w:rsidP="008234D6">
            <w:pPr>
              <w:keepNext/>
              <w:overflowPunct w:val="0"/>
              <w:autoSpaceDE w:val="0"/>
              <w:autoSpaceDN w:val="0"/>
              <w:adjustRightInd w:val="0"/>
              <w:textAlignment w:val="baseline"/>
              <w:rPr>
                <w:b/>
                <w:iCs/>
                <w:sz w:val="22"/>
                <w:szCs w:val="22"/>
              </w:rPr>
            </w:pPr>
            <w:r w:rsidRPr="00CC4B51">
              <w:rPr>
                <w:b/>
                <w:iCs/>
                <w:sz w:val="22"/>
                <w:szCs w:val="22"/>
              </w:rPr>
              <w:t xml:space="preserve">    PASI 100</w:t>
            </w:r>
          </w:p>
        </w:tc>
        <w:tc>
          <w:tcPr>
            <w:tcW w:w="1620" w:type="dxa"/>
          </w:tcPr>
          <w:p w14:paraId="5A8532B4" w14:textId="77777777" w:rsidR="004462A0" w:rsidRPr="00CC4B51" w:rsidRDefault="00615769" w:rsidP="008234D6">
            <w:pPr>
              <w:keepNext/>
              <w:overflowPunct w:val="0"/>
              <w:autoSpaceDE w:val="0"/>
              <w:autoSpaceDN w:val="0"/>
              <w:adjustRightInd w:val="0"/>
              <w:jc w:val="center"/>
              <w:textAlignment w:val="baseline"/>
              <w:rPr>
                <w:bCs/>
                <w:iCs/>
                <w:sz w:val="22"/>
                <w:szCs w:val="22"/>
              </w:rPr>
            </w:pPr>
            <w:r w:rsidRPr="00CC4B51">
              <w:rPr>
                <w:bCs/>
                <w:iCs/>
                <w:sz w:val="22"/>
                <w:szCs w:val="22"/>
              </w:rPr>
              <w:t>3 (0,8)</w:t>
            </w:r>
          </w:p>
        </w:tc>
        <w:tc>
          <w:tcPr>
            <w:tcW w:w="2352" w:type="dxa"/>
          </w:tcPr>
          <w:p w14:paraId="42F6F8BC" w14:textId="77777777" w:rsidR="004462A0" w:rsidRPr="00CC4B51" w:rsidRDefault="00615769" w:rsidP="008234D6">
            <w:pPr>
              <w:keepNext/>
              <w:overflowPunct w:val="0"/>
              <w:autoSpaceDE w:val="0"/>
              <w:autoSpaceDN w:val="0"/>
              <w:adjustRightInd w:val="0"/>
              <w:jc w:val="center"/>
              <w:textAlignment w:val="baseline"/>
              <w:rPr>
                <w:bCs/>
                <w:iCs/>
                <w:sz w:val="22"/>
                <w:szCs w:val="22"/>
              </w:rPr>
            </w:pPr>
            <w:r w:rsidRPr="00CC4B51">
              <w:rPr>
                <w:bCs/>
                <w:iCs/>
                <w:sz w:val="22"/>
                <w:szCs w:val="22"/>
              </w:rPr>
              <w:t>163 (20,0)</w:t>
            </w:r>
            <w:r w:rsidRPr="00CC4B51">
              <w:rPr>
                <w:bCs/>
                <w:iCs/>
                <w:sz w:val="22"/>
                <w:szCs w:val="22"/>
                <w:vertAlign w:val="superscript"/>
              </w:rPr>
              <w:t>b</w:t>
            </w:r>
          </w:p>
        </w:tc>
      </w:tr>
      <w:tr w:rsidR="00A7162A" w14:paraId="5F1E18A0" w14:textId="77777777" w:rsidTr="00F675CF">
        <w:trPr>
          <w:cantSplit/>
          <w:jc w:val="center"/>
        </w:trPr>
        <w:tc>
          <w:tcPr>
            <w:tcW w:w="2977" w:type="dxa"/>
          </w:tcPr>
          <w:p w14:paraId="003A1DC3" w14:textId="77777777" w:rsidR="004462A0" w:rsidRPr="00CC4B51" w:rsidRDefault="00615769" w:rsidP="008234D6">
            <w:pPr>
              <w:keepNext/>
              <w:overflowPunct w:val="0"/>
              <w:autoSpaceDE w:val="0"/>
              <w:autoSpaceDN w:val="0"/>
              <w:adjustRightInd w:val="0"/>
              <w:textAlignment w:val="baseline"/>
              <w:rPr>
                <w:b/>
                <w:iCs/>
                <w:sz w:val="22"/>
                <w:szCs w:val="22"/>
              </w:rPr>
            </w:pPr>
            <w:r w:rsidRPr="00CC4B51">
              <w:rPr>
                <w:b/>
                <w:iCs/>
                <w:sz w:val="22"/>
                <w:szCs w:val="22"/>
              </w:rPr>
              <w:t xml:space="preserve">    PGA: Limp</w:t>
            </w:r>
            <w:r w:rsidR="005049F7">
              <w:rPr>
                <w:b/>
                <w:iCs/>
                <w:sz w:val="22"/>
                <w:szCs w:val="22"/>
              </w:rPr>
              <w:t>a</w:t>
            </w:r>
            <w:r w:rsidRPr="00CC4B51">
              <w:rPr>
                <w:b/>
                <w:iCs/>
                <w:sz w:val="22"/>
                <w:szCs w:val="22"/>
              </w:rPr>
              <w:t>/</w:t>
            </w:r>
            <w:r w:rsidR="00E57BBD">
              <w:rPr>
                <w:b/>
                <w:iCs/>
                <w:sz w:val="22"/>
                <w:szCs w:val="22"/>
              </w:rPr>
              <w:t>quase limpa</w:t>
            </w:r>
          </w:p>
        </w:tc>
        <w:tc>
          <w:tcPr>
            <w:tcW w:w="1620" w:type="dxa"/>
          </w:tcPr>
          <w:p w14:paraId="50947996" w14:textId="77777777" w:rsidR="004462A0" w:rsidRPr="00CC4B51" w:rsidRDefault="00615769" w:rsidP="008234D6">
            <w:pPr>
              <w:keepNext/>
              <w:overflowPunct w:val="0"/>
              <w:autoSpaceDE w:val="0"/>
              <w:autoSpaceDN w:val="0"/>
              <w:adjustRightInd w:val="0"/>
              <w:jc w:val="center"/>
              <w:textAlignment w:val="baseline"/>
              <w:rPr>
                <w:bCs/>
                <w:iCs/>
                <w:sz w:val="22"/>
                <w:szCs w:val="22"/>
              </w:rPr>
            </w:pPr>
            <w:r w:rsidRPr="00CC4B51">
              <w:rPr>
                <w:bCs/>
                <w:iCs/>
                <w:sz w:val="22"/>
                <w:szCs w:val="22"/>
              </w:rPr>
              <w:t>17 (4,3)</w:t>
            </w:r>
          </w:p>
        </w:tc>
        <w:tc>
          <w:tcPr>
            <w:tcW w:w="2352" w:type="dxa"/>
          </w:tcPr>
          <w:p w14:paraId="6B094EBA" w14:textId="77777777" w:rsidR="004462A0" w:rsidRPr="00CC4B51" w:rsidRDefault="00615769" w:rsidP="008234D6">
            <w:pPr>
              <w:keepNext/>
              <w:overflowPunct w:val="0"/>
              <w:autoSpaceDE w:val="0"/>
              <w:autoSpaceDN w:val="0"/>
              <w:adjustRightInd w:val="0"/>
              <w:jc w:val="center"/>
              <w:textAlignment w:val="baseline"/>
              <w:rPr>
                <w:bCs/>
                <w:iCs/>
                <w:sz w:val="22"/>
                <w:szCs w:val="22"/>
              </w:rPr>
            </w:pPr>
            <w:r w:rsidRPr="00CC4B51">
              <w:rPr>
                <w:bCs/>
                <w:iCs/>
                <w:sz w:val="22"/>
                <w:szCs w:val="22"/>
              </w:rPr>
              <w:t>506 (62,2)</w:t>
            </w:r>
            <w:r w:rsidRPr="00CC4B51">
              <w:rPr>
                <w:bCs/>
                <w:iCs/>
                <w:sz w:val="22"/>
                <w:szCs w:val="22"/>
                <w:vertAlign w:val="superscript"/>
              </w:rPr>
              <w:t>b</w:t>
            </w:r>
          </w:p>
        </w:tc>
      </w:tr>
      <w:tr w:rsidR="00A7162A" w14:paraId="3F8FED5F" w14:textId="77777777" w:rsidTr="00F675CF">
        <w:trPr>
          <w:cantSplit/>
          <w:jc w:val="center"/>
        </w:trPr>
        <w:tc>
          <w:tcPr>
            <w:tcW w:w="6949" w:type="dxa"/>
            <w:gridSpan w:val="3"/>
          </w:tcPr>
          <w:p w14:paraId="20A39110" w14:textId="77777777" w:rsidR="004462A0" w:rsidRPr="00CC4B51" w:rsidRDefault="00615769" w:rsidP="008234D6">
            <w:pPr>
              <w:keepNext/>
              <w:overflowPunct w:val="0"/>
              <w:autoSpaceDE w:val="0"/>
              <w:autoSpaceDN w:val="0"/>
              <w:adjustRightInd w:val="0"/>
              <w:textAlignment w:val="baseline"/>
              <w:rPr>
                <w:bCs/>
                <w:iCs/>
                <w:sz w:val="22"/>
                <w:szCs w:val="22"/>
              </w:rPr>
            </w:pPr>
            <w:r w:rsidRPr="00CC4B51">
              <w:rPr>
                <w:bCs/>
                <w:iCs/>
                <w:sz w:val="22"/>
                <w:szCs w:val="22"/>
                <w:vertAlign w:val="superscript"/>
              </w:rPr>
              <w:t>a</w:t>
            </w:r>
            <w:r w:rsidRPr="00CC4B51">
              <w:rPr>
                <w:bCs/>
                <w:iCs/>
                <w:sz w:val="22"/>
                <w:szCs w:val="22"/>
              </w:rPr>
              <w:t xml:space="preserve"> Percentagem de doentes que atingiram uma resposta PASI75  calculada como uma taxa ajustada</w:t>
            </w:r>
          </w:p>
          <w:p w14:paraId="3E00CB9C" w14:textId="77777777" w:rsidR="004462A0" w:rsidRPr="00CC4B51" w:rsidRDefault="00615769" w:rsidP="008234D6">
            <w:pPr>
              <w:keepNext/>
              <w:overflowPunct w:val="0"/>
              <w:autoSpaceDE w:val="0"/>
              <w:autoSpaceDN w:val="0"/>
              <w:adjustRightInd w:val="0"/>
              <w:textAlignment w:val="baseline"/>
              <w:rPr>
                <w:bCs/>
                <w:iCs/>
                <w:sz w:val="22"/>
                <w:szCs w:val="22"/>
              </w:rPr>
            </w:pPr>
            <w:r w:rsidRPr="00CC4B51">
              <w:rPr>
                <w:bCs/>
                <w:iCs/>
                <w:sz w:val="22"/>
                <w:szCs w:val="22"/>
                <w:vertAlign w:val="superscript"/>
              </w:rPr>
              <w:t>b</w:t>
            </w:r>
            <w:r w:rsidRPr="00CC4B51">
              <w:rPr>
                <w:bCs/>
                <w:iCs/>
                <w:sz w:val="22"/>
                <w:szCs w:val="22"/>
              </w:rPr>
              <w:t xml:space="preserve"> p&lt;0,001, Humira vs. Placebo</w:t>
            </w:r>
          </w:p>
        </w:tc>
      </w:tr>
    </w:tbl>
    <w:p w14:paraId="0F923D37" w14:textId="77777777" w:rsidR="004462A0" w:rsidRPr="00CC4B51" w:rsidRDefault="004462A0" w:rsidP="004462A0"/>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9"/>
        <w:gridCol w:w="1668"/>
        <w:gridCol w:w="1347"/>
        <w:gridCol w:w="2392"/>
      </w:tblGrid>
      <w:tr w:rsidR="00A7162A" w14:paraId="5A1710F2" w14:textId="77777777" w:rsidTr="00F675CF">
        <w:trPr>
          <w:cantSplit/>
          <w:jc w:val="center"/>
        </w:trPr>
        <w:tc>
          <w:tcPr>
            <w:tcW w:w="7046" w:type="dxa"/>
            <w:gridSpan w:val="4"/>
            <w:tcBorders>
              <w:top w:val="nil"/>
              <w:left w:val="nil"/>
              <w:right w:val="nil"/>
            </w:tcBorders>
          </w:tcPr>
          <w:p w14:paraId="78432970" w14:textId="77777777" w:rsidR="004462A0" w:rsidRPr="00CC4B51" w:rsidRDefault="00615769" w:rsidP="00F675CF">
            <w:pPr>
              <w:keepNext/>
              <w:overflowPunct w:val="0"/>
              <w:autoSpaceDE w:val="0"/>
              <w:autoSpaceDN w:val="0"/>
              <w:adjustRightInd w:val="0"/>
              <w:jc w:val="center"/>
              <w:textAlignment w:val="baseline"/>
              <w:rPr>
                <w:b/>
                <w:iCs/>
                <w:sz w:val="22"/>
                <w:szCs w:val="22"/>
              </w:rPr>
            </w:pPr>
            <w:r w:rsidRPr="00CC4B51">
              <w:rPr>
                <w:b/>
                <w:iCs/>
                <w:sz w:val="22"/>
                <w:szCs w:val="22"/>
              </w:rPr>
              <w:t xml:space="preserve">Tabela </w:t>
            </w:r>
            <w:r w:rsidR="00D94630">
              <w:rPr>
                <w:b/>
                <w:iCs/>
                <w:sz w:val="22"/>
                <w:szCs w:val="22"/>
              </w:rPr>
              <w:t>10</w:t>
            </w:r>
          </w:p>
          <w:p w14:paraId="4399B250" w14:textId="77777777" w:rsidR="004462A0" w:rsidRPr="00CC4B51" w:rsidRDefault="00615769" w:rsidP="00F675CF">
            <w:pPr>
              <w:keepNext/>
              <w:overflowPunct w:val="0"/>
              <w:autoSpaceDE w:val="0"/>
              <w:autoSpaceDN w:val="0"/>
              <w:adjustRightInd w:val="0"/>
              <w:jc w:val="center"/>
              <w:textAlignment w:val="baseline"/>
              <w:rPr>
                <w:b/>
                <w:iCs/>
                <w:sz w:val="22"/>
                <w:szCs w:val="22"/>
              </w:rPr>
            </w:pPr>
            <w:r w:rsidRPr="00CC4B51">
              <w:rPr>
                <w:b/>
                <w:iCs/>
                <w:sz w:val="22"/>
                <w:szCs w:val="22"/>
              </w:rPr>
              <w:t>Estudo II na Psoríase (CHAMPION)</w:t>
            </w:r>
          </w:p>
          <w:p w14:paraId="7A5A6E04" w14:textId="77777777" w:rsidR="004462A0" w:rsidRPr="00CC4B51" w:rsidRDefault="00615769" w:rsidP="00F675CF">
            <w:pPr>
              <w:keepNext/>
              <w:overflowPunct w:val="0"/>
              <w:autoSpaceDE w:val="0"/>
              <w:autoSpaceDN w:val="0"/>
              <w:adjustRightInd w:val="0"/>
              <w:jc w:val="center"/>
              <w:textAlignment w:val="baseline"/>
              <w:rPr>
                <w:b/>
                <w:iCs/>
                <w:sz w:val="22"/>
                <w:szCs w:val="22"/>
              </w:rPr>
            </w:pPr>
            <w:r w:rsidRPr="00CC4B51">
              <w:rPr>
                <w:b/>
                <w:iCs/>
                <w:sz w:val="22"/>
                <w:szCs w:val="22"/>
              </w:rPr>
              <w:t xml:space="preserve">Resultados de Eficácia </w:t>
            </w:r>
            <w:r w:rsidR="005049F7">
              <w:rPr>
                <w:b/>
                <w:iCs/>
                <w:sz w:val="22"/>
                <w:szCs w:val="22"/>
              </w:rPr>
              <w:t>à Semana</w:t>
            </w:r>
            <w:r w:rsidRPr="00CC4B51">
              <w:rPr>
                <w:b/>
                <w:iCs/>
                <w:sz w:val="22"/>
                <w:szCs w:val="22"/>
              </w:rPr>
              <w:t xml:space="preserve"> 16</w:t>
            </w:r>
          </w:p>
          <w:p w14:paraId="7A3B902D" w14:textId="77777777" w:rsidR="004462A0" w:rsidRPr="00CC4B51" w:rsidRDefault="00615769" w:rsidP="00F675CF">
            <w:pPr>
              <w:keepNext/>
              <w:overflowPunct w:val="0"/>
              <w:autoSpaceDE w:val="0"/>
              <w:autoSpaceDN w:val="0"/>
              <w:adjustRightInd w:val="0"/>
              <w:jc w:val="center"/>
              <w:textAlignment w:val="baseline"/>
              <w:rPr>
                <w:bCs/>
                <w:iCs/>
                <w:sz w:val="22"/>
                <w:szCs w:val="22"/>
                <w:u w:val="single"/>
              </w:rPr>
            </w:pPr>
            <w:r w:rsidRPr="00CC4B51">
              <w:rPr>
                <w:b/>
                <w:iCs/>
                <w:sz w:val="22"/>
                <w:szCs w:val="22"/>
              </w:rPr>
              <w:t xml:space="preserve"> </w:t>
            </w:r>
          </w:p>
        </w:tc>
      </w:tr>
      <w:tr w:rsidR="00A7162A" w14:paraId="2A9B9C2F" w14:textId="77777777" w:rsidTr="00F675CF">
        <w:trPr>
          <w:cantSplit/>
          <w:jc w:val="center"/>
        </w:trPr>
        <w:tc>
          <w:tcPr>
            <w:tcW w:w="1639" w:type="dxa"/>
          </w:tcPr>
          <w:p w14:paraId="41F204D5" w14:textId="77777777" w:rsidR="004462A0" w:rsidRPr="00CC4B51" w:rsidRDefault="004462A0" w:rsidP="00F675CF">
            <w:pPr>
              <w:keepNext/>
              <w:overflowPunct w:val="0"/>
              <w:autoSpaceDE w:val="0"/>
              <w:autoSpaceDN w:val="0"/>
              <w:adjustRightInd w:val="0"/>
              <w:jc w:val="center"/>
              <w:textAlignment w:val="baseline"/>
              <w:rPr>
                <w:b/>
                <w:iCs/>
                <w:sz w:val="22"/>
                <w:szCs w:val="22"/>
              </w:rPr>
            </w:pPr>
          </w:p>
        </w:tc>
        <w:tc>
          <w:tcPr>
            <w:tcW w:w="1668" w:type="dxa"/>
            <w:vAlign w:val="center"/>
          </w:tcPr>
          <w:p w14:paraId="7CB02EF3" w14:textId="77777777" w:rsidR="004462A0" w:rsidRPr="00CC4B51" w:rsidRDefault="00615769" w:rsidP="00F675CF">
            <w:pPr>
              <w:keepNext/>
              <w:overflowPunct w:val="0"/>
              <w:autoSpaceDE w:val="0"/>
              <w:autoSpaceDN w:val="0"/>
              <w:adjustRightInd w:val="0"/>
              <w:jc w:val="center"/>
              <w:textAlignment w:val="baseline"/>
              <w:rPr>
                <w:b/>
                <w:iCs/>
                <w:sz w:val="22"/>
                <w:szCs w:val="22"/>
              </w:rPr>
            </w:pPr>
            <w:r w:rsidRPr="00CC4B51">
              <w:rPr>
                <w:b/>
                <w:iCs/>
                <w:sz w:val="22"/>
                <w:szCs w:val="22"/>
              </w:rPr>
              <w:t>Placebo</w:t>
            </w:r>
          </w:p>
          <w:p w14:paraId="0E061CBD" w14:textId="77777777" w:rsidR="004462A0" w:rsidRPr="00CC4B51" w:rsidRDefault="00615769" w:rsidP="00F675CF">
            <w:pPr>
              <w:keepNext/>
              <w:overflowPunct w:val="0"/>
              <w:autoSpaceDE w:val="0"/>
              <w:autoSpaceDN w:val="0"/>
              <w:adjustRightInd w:val="0"/>
              <w:jc w:val="center"/>
              <w:textAlignment w:val="baseline"/>
              <w:rPr>
                <w:b/>
                <w:iCs/>
                <w:sz w:val="22"/>
                <w:szCs w:val="22"/>
              </w:rPr>
            </w:pPr>
            <w:r w:rsidRPr="00CC4B51">
              <w:rPr>
                <w:b/>
                <w:iCs/>
                <w:sz w:val="22"/>
                <w:szCs w:val="22"/>
              </w:rPr>
              <w:t>N=53</w:t>
            </w:r>
          </w:p>
          <w:p w14:paraId="1B8926E6" w14:textId="77777777" w:rsidR="004462A0" w:rsidRPr="00CC4B51" w:rsidRDefault="00615769" w:rsidP="00F675CF">
            <w:pPr>
              <w:keepNext/>
              <w:overflowPunct w:val="0"/>
              <w:autoSpaceDE w:val="0"/>
              <w:autoSpaceDN w:val="0"/>
              <w:adjustRightInd w:val="0"/>
              <w:jc w:val="center"/>
              <w:textAlignment w:val="baseline"/>
              <w:rPr>
                <w:b/>
                <w:iCs/>
                <w:sz w:val="22"/>
                <w:szCs w:val="22"/>
              </w:rPr>
            </w:pPr>
            <w:r w:rsidRPr="00CC4B51">
              <w:rPr>
                <w:b/>
                <w:iCs/>
                <w:sz w:val="22"/>
                <w:szCs w:val="22"/>
              </w:rPr>
              <w:t>n (%)</w:t>
            </w:r>
          </w:p>
        </w:tc>
        <w:tc>
          <w:tcPr>
            <w:tcW w:w="1347" w:type="dxa"/>
            <w:vAlign w:val="center"/>
          </w:tcPr>
          <w:p w14:paraId="77A60DC8" w14:textId="77777777" w:rsidR="004462A0" w:rsidRPr="00CC4B51" w:rsidRDefault="00615769" w:rsidP="00F675CF">
            <w:pPr>
              <w:keepNext/>
              <w:overflowPunct w:val="0"/>
              <w:autoSpaceDE w:val="0"/>
              <w:autoSpaceDN w:val="0"/>
              <w:adjustRightInd w:val="0"/>
              <w:jc w:val="center"/>
              <w:textAlignment w:val="baseline"/>
              <w:rPr>
                <w:b/>
                <w:iCs/>
                <w:sz w:val="22"/>
                <w:szCs w:val="22"/>
              </w:rPr>
            </w:pPr>
            <w:r w:rsidRPr="00CC4B51">
              <w:rPr>
                <w:b/>
                <w:iCs/>
                <w:sz w:val="22"/>
                <w:szCs w:val="22"/>
              </w:rPr>
              <w:t>MTX</w:t>
            </w:r>
          </w:p>
          <w:p w14:paraId="386BB5C1" w14:textId="77777777" w:rsidR="004462A0" w:rsidRPr="00CC4B51" w:rsidRDefault="00615769" w:rsidP="00F675CF">
            <w:pPr>
              <w:keepNext/>
              <w:overflowPunct w:val="0"/>
              <w:autoSpaceDE w:val="0"/>
              <w:autoSpaceDN w:val="0"/>
              <w:adjustRightInd w:val="0"/>
              <w:jc w:val="center"/>
              <w:textAlignment w:val="baseline"/>
              <w:rPr>
                <w:b/>
                <w:iCs/>
                <w:sz w:val="22"/>
                <w:szCs w:val="22"/>
              </w:rPr>
            </w:pPr>
            <w:r w:rsidRPr="00CC4B51">
              <w:rPr>
                <w:b/>
                <w:iCs/>
                <w:sz w:val="22"/>
                <w:szCs w:val="22"/>
              </w:rPr>
              <w:t>N=110</w:t>
            </w:r>
          </w:p>
          <w:p w14:paraId="17288FF2" w14:textId="77777777" w:rsidR="004462A0" w:rsidRPr="00CC4B51" w:rsidRDefault="00615769" w:rsidP="00F675CF">
            <w:pPr>
              <w:keepNext/>
              <w:overflowPunct w:val="0"/>
              <w:autoSpaceDE w:val="0"/>
              <w:autoSpaceDN w:val="0"/>
              <w:adjustRightInd w:val="0"/>
              <w:jc w:val="center"/>
              <w:textAlignment w:val="baseline"/>
              <w:rPr>
                <w:b/>
                <w:iCs/>
                <w:sz w:val="22"/>
                <w:szCs w:val="22"/>
              </w:rPr>
            </w:pPr>
            <w:r>
              <w:rPr>
                <w:b/>
                <w:iCs/>
                <w:sz w:val="22"/>
                <w:szCs w:val="22"/>
              </w:rPr>
              <w:t>n</w:t>
            </w:r>
            <w:r w:rsidRPr="00CC4B51">
              <w:rPr>
                <w:b/>
                <w:iCs/>
                <w:sz w:val="22"/>
                <w:szCs w:val="22"/>
              </w:rPr>
              <w:t xml:space="preserve"> (%)</w:t>
            </w:r>
          </w:p>
        </w:tc>
        <w:tc>
          <w:tcPr>
            <w:tcW w:w="2392" w:type="dxa"/>
            <w:vAlign w:val="center"/>
          </w:tcPr>
          <w:p w14:paraId="0A2700CC" w14:textId="77777777" w:rsidR="004462A0" w:rsidRPr="00CC4B51" w:rsidRDefault="00615769" w:rsidP="00F675CF">
            <w:pPr>
              <w:keepNext/>
              <w:overflowPunct w:val="0"/>
              <w:autoSpaceDE w:val="0"/>
              <w:autoSpaceDN w:val="0"/>
              <w:adjustRightInd w:val="0"/>
              <w:jc w:val="center"/>
              <w:textAlignment w:val="baseline"/>
              <w:rPr>
                <w:b/>
                <w:iCs/>
                <w:sz w:val="22"/>
                <w:szCs w:val="22"/>
              </w:rPr>
            </w:pPr>
            <w:r w:rsidRPr="00CC4B51">
              <w:rPr>
                <w:b/>
                <w:iCs/>
                <w:sz w:val="22"/>
                <w:szCs w:val="22"/>
              </w:rPr>
              <w:t>Humira 40 mg em semanas alternadas</w:t>
            </w:r>
          </w:p>
          <w:p w14:paraId="15564956" w14:textId="77777777" w:rsidR="004462A0" w:rsidRPr="00CC4B51" w:rsidRDefault="00615769" w:rsidP="00F675CF">
            <w:pPr>
              <w:keepNext/>
              <w:overflowPunct w:val="0"/>
              <w:autoSpaceDE w:val="0"/>
              <w:autoSpaceDN w:val="0"/>
              <w:adjustRightInd w:val="0"/>
              <w:jc w:val="center"/>
              <w:textAlignment w:val="baseline"/>
              <w:rPr>
                <w:b/>
                <w:iCs/>
                <w:sz w:val="22"/>
                <w:szCs w:val="22"/>
              </w:rPr>
            </w:pPr>
            <w:r w:rsidRPr="00CC4B51">
              <w:rPr>
                <w:b/>
                <w:iCs/>
                <w:sz w:val="22"/>
                <w:szCs w:val="22"/>
              </w:rPr>
              <w:t>N=108</w:t>
            </w:r>
          </w:p>
          <w:p w14:paraId="2A4816B3" w14:textId="77777777" w:rsidR="004462A0" w:rsidRPr="00CC4B51" w:rsidRDefault="00615769" w:rsidP="00F675CF">
            <w:pPr>
              <w:keepNext/>
              <w:overflowPunct w:val="0"/>
              <w:autoSpaceDE w:val="0"/>
              <w:autoSpaceDN w:val="0"/>
              <w:adjustRightInd w:val="0"/>
              <w:jc w:val="center"/>
              <w:textAlignment w:val="baseline"/>
              <w:rPr>
                <w:b/>
                <w:iCs/>
                <w:sz w:val="22"/>
                <w:szCs w:val="22"/>
              </w:rPr>
            </w:pPr>
            <w:r w:rsidRPr="00CC4B51">
              <w:rPr>
                <w:b/>
                <w:iCs/>
                <w:sz w:val="22"/>
                <w:szCs w:val="22"/>
              </w:rPr>
              <w:t>n (%)</w:t>
            </w:r>
          </w:p>
        </w:tc>
      </w:tr>
      <w:tr w:rsidR="00A7162A" w14:paraId="338CF2F1" w14:textId="77777777" w:rsidTr="00F675CF">
        <w:trPr>
          <w:cantSplit/>
          <w:jc w:val="center"/>
        </w:trPr>
        <w:tc>
          <w:tcPr>
            <w:tcW w:w="1639" w:type="dxa"/>
          </w:tcPr>
          <w:p w14:paraId="2EC371AB" w14:textId="77777777" w:rsidR="004462A0" w:rsidRPr="00CC4B51" w:rsidRDefault="00615769" w:rsidP="00F675CF">
            <w:pPr>
              <w:keepNext/>
              <w:overflowPunct w:val="0"/>
              <w:autoSpaceDE w:val="0"/>
              <w:autoSpaceDN w:val="0"/>
              <w:adjustRightInd w:val="0"/>
              <w:textAlignment w:val="baseline"/>
              <w:rPr>
                <w:b/>
                <w:iCs/>
                <w:sz w:val="22"/>
                <w:szCs w:val="22"/>
              </w:rPr>
            </w:pPr>
            <w:r w:rsidRPr="00CC4B51">
              <w:rPr>
                <w:b/>
                <w:iCs/>
                <w:sz w:val="22"/>
                <w:szCs w:val="22"/>
              </w:rPr>
              <w:t xml:space="preserve">    </w:t>
            </w:r>
            <w:r w:rsidRPr="00CC4B51">
              <w:rPr>
                <w:rFonts w:ascii="Symbol" w:hAnsi="Symbol"/>
                <w:b/>
                <w:iCs/>
                <w:sz w:val="22"/>
                <w:szCs w:val="22"/>
              </w:rPr>
              <w:sym w:font="Symbol" w:char="F0B3"/>
            </w:r>
            <w:r w:rsidR="00601734">
              <w:rPr>
                <w:rFonts w:ascii="Symbol" w:hAnsi="Symbol"/>
                <w:b/>
                <w:iCs/>
                <w:sz w:val="22"/>
                <w:szCs w:val="22"/>
              </w:rPr>
              <w:sym w:font="Symbol" w:char="F020"/>
            </w:r>
            <w:r w:rsidRPr="00CC4B51">
              <w:rPr>
                <w:b/>
                <w:iCs/>
                <w:sz w:val="22"/>
                <w:szCs w:val="22"/>
              </w:rPr>
              <w:t>PASI 75</w:t>
            </w:r>
          </w:p>
        </w:tc>
        <w:tc>
          <w:tcPr>
            <w:tcW w:w="1668" w:type="dxa"/>
          </w:tcPr>
          <w:p w14:paraId="1AEC889C" w14:textId="77777777" w:rsidR="004462A0" w:rsidRPr="00CC4B51" w:rsidRDefault="00615769" w:rsidP="00F675CF">
            <w:pPr>
              <w:keepNext/>
              <w:overflowPunct w:val="0"/>
              <w:autoSpaceDE w:val="0"/>
              <w:autoSpaceDN w:val="0"/>
              <w:adjustRightInd w:val="0"/>
              <w:jc w:val="center"/>
              <w:textAlignment w:val="baseline"/>
              <w:rPr>
                <w:bCs/>
                <w:iCs/>
                <w:sz w:val="22"/>
                <w:szCs w:val="22"/>
              </w:rPr>
            </w:pPr>
            <w:r w:rsidRPr="00CC4B51">
              <w:rPr>
                <w:bCs/>
                <w:iCs/>
                <w:sz w:val="22"/>
                <w:szCs w:val="22"/>
              </w:rPr>
              <w:t>10 (18,9)</w:t>
            </w:r>
          </w:p>
        </w:tc>
        <w:tc>
          <w:tcPr>
            <w:tcW w:w="1347" w:type="dxa"/>
          </w:tcPr>
          <w:p w14:paraId="7F419A31" w14:textId="77777777" w:rsidR="004462A0" w:rsidRPr="00CC4B51" w:rsidRDefault="00615769" w:rsidP="00F675CF">
            <w:pPr>
              <w:keepNext/>
              <w:overflowPunct w:val="0"/>
              <w:autoSpaceDE w:val="0"/>
              <w:autoSpaceDN w:val="0"/>
              <w:adjustRightInd w:val="0"/>
              <w:jc w:val="center"/>
              <w:textAlignment w:val="baseline"/>
              <w:rPr>
                <w:bCs/>
                <w:iCs/>
                <w:sz w:val="22"/>
                <w:szCs w:val="22"/>
              </w:rPr>
            </w:pPr>
            <w:r w:rsidRPr="00CC4B51">
              <w:rPr>
                <w:bCs/>
                <w:iCs/>
                <w:sz w:val="22"/>
                <w:szCs w:val="22"/>
              </w:rPr>
              <w:t>39 (35,5)</w:t>
            </w:r>
          </w:p>
        </w:tc>
        <w:tc>
          <w:tcPr>
            <w:tcW w:w="2392" w:type="dxa"/>
          </w:tcPr>
          <w:p w14:paraId="12C53B9F" w14:textId="77777777" w:rsidR="004462A0" w:rsidRPr="00CC4B51" w:rsidRDefault="00615769" w:rsidP="00F675CF">
            <w:pPr>
              <w:keepNext/>
              <w:overflowPunct w:val="0"/>
              <w:autoSpaceDE w:val="0"/>
              <w:autoSpaceDN w:val="0"/>
              <w:adjustRightInd w:val="0"/>
              <w:jc w:val="center"/>
              <w:textAlignment w:val="baseline"/>
              <w:rPr>
                <w:bCs/>
                <w:iCs/>
                <w:sz w:val="22"/>
                <w:szCs w:val="22"/>
              </w:rPr>
            </w:pPr>
            <w:r w:rsidRPr="00CC4B51">
              <w:rPr>
                <w:bCs/>
                <w:iCs/>
                <w:sz w:val="22"/>
                <w:szCs w:val="22"/>
              </w:rPr>
              <w:t>86 (79,6)</w:t>
            </w:r>
            <w:r w:rsidRPr="00CC4B51">
              <w:rPr>
                <w:bCs/>
                <w:iCs/>
                <w:sz w:val="22"/>
                <w:szCs w:val="22"/>
                <w:vertAlign w:val="superscript"/>
              </w:rPr>
              <w:t xml:space="preserve"> a, b</w:t>
            </w:r>
          </w:p>
        </w:tc>
      </w:tr>
      <w:tr w:rsidR="00A7162A" w14:paraId="04933799" w14:textId="77777777" w:rsidTr="00F675CF">
        <w:trPr>
          <w:cantSplit/>
          <w:jc w:val="center"/>
        </w:trPr>
        <w:tc>
          <w:tcPr>
            <w:tcW w:w="1639" w:type="dxa"/>
          </w:tcPr>
          <w:p w14:paraId="4150D986" w14:textId="77777777" w:rsidR="004462A0" w:rsidRPr="00CC4B51" w:rsidRDefault="00615769" w:rsidP="00F675CF">
            <w:pPr>
              <w:keepNext/>
              <w:overflowPunct w:val="0"/>
              <w:autoSpaceDE w:val="0"/>
              <w:autoSpaceDN w:val="0"/>
              <w:adjustRightInd w:val="0"/>
              <w:textAlignment w:val="baseline"/>
              <w:rPr>
                <w:b/>
                <w:iCs/>
                <w:sz w:val="22"/>
                <w:szCs w:val="22"/>
              </w:rPr>
            </w:pPr>
            <w:r w:rsidRPr="00CC4B51">
              <w:rPr>
                <w:b/>
                <w:iCs/>
                <w:sz w:val="22"/>
                <w:szCs w:val="22"/>
              </w:rPr>
              <w:t xml:space="preserve">    PASI 100</w:t>
            </w:r>
          </w:p>
        </w:tc>
        <w:tc>
          <w:tcPr>
            <w:tcW w:w="1668" w:type="dxa"/>
          </w:tcPr>
          <w:p w14:paraId="55B5B894" w14:textId="77777777" w:rsidR="004462A0" w:rsidRPr="00CC4B51" w:rsidRDefault="00615769" w:rsidP="00F675CF">
            <w:pPr>
              <w:keepNext/>
              <w:overflowPunct w:val="0"/>
              <w:autoSpaceDE w:val="0"/>
              <w:autoSpaceDN w:val="0"/>
              <w:adjustRightInd w:val="0"/>
              <w:jc w:val="center"/>
              <w:textAlignment w:val="baseline"/>
              <w:rPr>
                <w:bCs/>
                <w:iCs/>
                <w:sz w:val="22"/>
                <w:szCs w:val="22"/>
              </w:rPr>
            </w:pPr>
            <w:r w:rsidRPr="00CC4B51">
              <w:rPr>
                <w:bCs/>
                <w:iCs/>
                <w:sz w:val="22"/>
                <w:szCs w:val="22"/>
              </w:rPr>
              <w:t>1 (1,9)</w:t>
            </w:r>
          </w:p>
        </w:tc>
        <w:tc>
          <w:tcPr>
            <w:tcW w:w="1347" w:type="dxa"/>
          </w:tcPr>
          <w:p w14:paraId="3776E9DF" w14:textId="77777777" w:rsidR="004462A0" w:rsidRPr="00CC4B51" w:rsidRDefault="00615769" w:rsidP="00F675CF">
            <w:pPr>
              <w:keepNext/>
              <w:overflowPunct w:val="0"/>
              <w:autoSpaceDE w:val="0"/>
              <w:autoSpaceDN w:val="0"/>
              <w:adjustRightInd w:val="0"/>
              <w:jc w:val="center"/>
              <w:textAlignment w:val="baseline"/>
              <w:rPr>
                <w:bCs/>
                <w:iCs/>
                <w:sz w:val="22"/>
                <w:szCs w:val="22"/>
              </w:rPr>
            </w:pPr>
            <w:r w:rsidRPr="00CC4B51">
              <w:rPr>
                <w:bCs/>
                <w:iCs/>
                <w:sz w:val="22"/>
                <w:szCs w:val="22"/>
              </w:rPr>
              <w:t>8 (7,3)</w:t>
            </w:r>
          </w:p>
        </w:tc>
        <w:tc>
          <w:tcPr>
            <w:tcW w:w="2392" w:type="dxa"/>
          </w:tcPr>
          <w:p w14:paraId="67F6DD43" w14:textId="77777777" w:rsidR="004462A0" w:rsidRPr="00CC4B51" w:rsidRDefault="00615769" w:rsidP="00F675CF">
            <w:pPr>
              <w:keepNext/>
              <w:overflowPunct w:val="0"/>
              <w:autoSpaceDE w:val="0"/>
              <w:autoSpaceDN w:val="0"/>
              <w:adjustRightInd w:val="0"/>
              <w:jc w:val="center"/>
              <w:textAlignment w:val="baseline"/>
              <w:rPr>
                <w:bCs/>
                <w:iCs/>
                <w:sz w:val="22"/>
                <w:szCs w:val="22"/>
              </w:rPr>
            </w:pPr>
            <w:r w:rsidRPr="00CC4B51">
              <w:rPr>
                <w:bCs/>
                <w:iCs/>
                <w:sz w:val="22"/>
                <w:szCs w:val="22"/>
              </w:rPr>
              <w:t>18 (16,7)</w:t>
            </w:r>
            <w:r w:rsidRPr="00CC4B51">
              <w:rPr>
                <w:bCs/>
                <w:iCs/>
                <w:sz w:val="22"/>
                <w:szCs w:val="22"/>
                <w:vertAlign w:val="superscript"/>
              </w:rPr>
              <w:t xml:space="preserve"> c, d</w:t>
            </w:r>
          </w:p>
        </w:tc>
      </w:tr>
      <w:tr w:rsidR="00A7162A" w14:paraId="6194E496" w14:textId="77777777" w:rsidTr="00F675CF">
        <w:trPr>
          <w:cantSplit/>
          <w:jc w:val="center"/>
        </w:trPr>
        <w:tc>
          <w:tcPr>
            <w:tcW w:w="1639" w:type="dxa"/>
          </w:tcPr>
          <w:p w14:paraId="1EC89D69" w14:textId="77777777" w:rsidR="004462A0" w:rsidRPr="00CC4B51" w:rsidRDefault="00615769" w:rsidP="00F675CF">
            <w:pPr>
              <w:keepNext/>
              <w:overflowPunct w:val="0"/>
              <w:autoSpaceDE w:val="0"/>
              <w:autoSpaceDN w:val="0"/>
              <w:adjustRightInd w:val="0"/>
              <w:textAlignment w:val="baseline"/>
              <w:rPr>
                <w:b/>
                <w:iCs/>
                <w:sz w:val="22"/>
                <w:szCs w:val="22"/>
              </w:rPr>
            </w:pPr>
            <w:r w:rsidRPr="00CC4B51">
              <w:rPr>
                <w:b/>
                <w:iCs/>
                <w:sz w:val="22"/>
                <w:szCs w:val="22"/>
              </w:rPr>
              <w:t xml:space="preserve">    PGA: Limp</w:t>
            </w:r>
            <w:r w:rsidR="005049F7">
              <w:rPr>
                <w:b/>
                <w:iCs/>
                <w:sz w:val="22"/>
                <w:szCs w:val="22"/>
              </w:rPr>
              <w:t>a</w:t>
            </w:r>
            <w:r w:rsidRPr="00CC4B51">
              <w:rPr>
                <w:b/>
                <w:iCs/>
                <w:sz w:val="22"/>
                <w:szCs w:val="22"/>
              </w:rPr>
              <w:t>/</w:t>
            </w:r>
            <w:r w:rsidR="00E57BBD">
              <w:rPr>
                <w:b/>
                <w:iCs/>
                <w:sz w:val="22"/>
                <w:szCs w:val="22"/>
              </w:rPr>
              <w:t>quase limpa</w:t>
            </w:r>
          </w:p>
        </w:tc>
        <w:tc>
          <w:tcPr>
            <w:tcW w:w="1668" w:type="dxa"/>
          </w:tcPr>
          <w:p w14:paraId="114B7ACC" w14:textId="77777777" w:rsidR="004462A0" w:rsidRPr="00CC4B51" w:rsidRDefault="00615769" w:rsidP="00F675CF">
            <w:pPr>
              <w:keepNext/>
              <w:overflowPunct w:val="0"/>
              <w:autoSpaceDE w:val="0"/>
              <w:autoSpaceDN w:val="0"/>
              <w:adjustRightInd w:val="0"/>
              <w:jc w:val="center"/>
              <w:textAlignment w:val="baseline"/>
              <w:rPr>
                <w:bCs/>
                <w:iCs/>
                <w:sz w:val="22"/>
                <w:szCs w:val="22"/>
              </w:rPr>
            </w:pPr>
            <w:r w:rsidRPr="00CC4B51">
              <w:rPr>
                <w:bCs/>
                <w:iCs/>
                <w:sz w:val="22"/>
                <w:szCs w:val="22"/>
              </w:rPr>
              <w:t>6 (11,3)</w:t>
            </w:r>
          </w:p>
        </w:tc>
        <w:tc>
          <w:tcPr>
            <w:tcW w:w="1347" w:type="dxa"/>
          </w:tcPr>
          <w:p w14:paraId="17B299B0" w14:textId="77777777" w:rsidR="004462A0" w:rsidRPr="00CC4B51" w:rsidRDefault="00615769" w:rsidP="00F675CF">
            <w:pPr>
              <w:keepNext/>
              <w:overflowPunct w:val="0"/>
              <w:autoSpaceDE w:val="0"/>
              <w:autoSpaceDN w:val="0"/>
              <w:adjustRightInd w:val="0"/>
              <w:jc w:val="center"/>
              <w:textAlignment w:val="baseline"/>
              <w:rPr>
                <w:bCs/>
                <w:iCs/>
                <w:sz w:val="22"/>
                <w:szCs w:val="22"/>
              </w:rPr>
            </w:pPr>
            <w:r w:rsidRPr="00CC4B51">
              <w:rPr>
                <w:bCs/>
                <w:iCs/>
                <w:sz w:val="22"/>
                <w:szCs w:val="22"/>
              </w:rPr>
              <w:t>33 (30,0)</w:t>
            </w:r>
          </w:p>
        </w:tc>
        <w:tc>
          <w:tcPr>
            <w:tcW w:w="2392" w:type="dxa"/>
          </w:tcPr>
          <w:p w14:paraId="39BEA38B" w14:textId="77777777" w:rsidR="004462A0" w:rsidRPr="00CC4B51" w:rsidRDefault="00615769" w:rsidP="00F675CF">
            <w:pPr>
              <w:keepNext/>
              <w:overflowPunct w:val="0"/>
              <w:autoSpaceDE w:val="0"/>
              <w:autoSpaceDN w:val="0"/>
              <w:adjustRightInd w:val="0"/>
              <w:jc w:val="center"/>
              <w:textAlignment w:val="baseline"/>
              <w:rPr>
                <w:bCs/>
                <w:iCs/>
                <w:sz w:val="22"/>
                <w:szCs w:val="22"/>
              </w:rPr>
            </w:pPr>
            <w:r w:rsidRPr="00CC4B51">
              <w:rPr>
                <w:bCs/>
                <w:iCs/>
                <w:sz w:val="22"/>
                <w:szCs w:val="22"/>
              </w:rPr>
              <w:t>79 (73,1)</w:t>
            </w:r>
            <w:r w:rsidRPr="00CC4B51">
              <w:rPr>
                <w:bCs/>
                <w:iCs/>
                <w:sz w:val="22"/>
                <w:szCs w:val="22"/>
                <w:vertAlign w:val="superscript"/>
              </w:rPr>
              <w:t xml:space="preserve"> a, b</w:t>
            </w:r>
          </w:p>
        </w:tc>
      </w:tr>
      <w:tr w:rsidR="00A7162A" w14:paraId="6F14D0A1" w14:textId="77777777" w:rsidTr="00F675CF">
        <w:trPr>
          <w:cantSplit/>
          <w:jc w:val="center"/>
        </w:trPr>
        <w:tc>
          <w:tcPr>
            <w:tcW w:w="7046" w:type="dxa"/>
            <w:gridSpan w:val="4"/>
          </w:tcPr>
          <w:p w14:paraId="28122736" w14:textId="77777777" w:rsidR="004462A0" w:rsidRPr="00CC4B51" w:rsidRDefault="00615769" w:rsidP="00F675CF">
            <w:pPr>
              <w:keepNext/>
              <w:overflowPunct w:val="0"/>
              <w:autoSpaceDE w:val="0"/>
              <w:autoSpaceDN w:val="0"/>
              <w:adjustRightInd w:val="0"/>
              <w:textAlignment w:val="baseline"/>
              <w:rPr>
                <w:bCs/>
                <w:iCs/>
                <w:sz w:val="22"/>
                <w:szCs w:val="22"/>
              </w:rPr>
            </w:pPr>
            <w:r w:rsidRPr="00CC4B51">
              <w:rPr>
                <w:bCs/>
                <w:iCs/>
                <w:sz w:val="22"/>
                <w:szCs w:val="22"/>
                <w:vertAlign w:val="superscript"/>
              </w:rPr>
              <w:t>a</w:t>
            </w:r>
            <w:r w:rsidRPr="00CC4B51">
              <w:rPr>
                <w:bCs/>
                <w:iCs/>
                <w:sz w:val="22"/>
                <w:szCs w:val="22"/>
              </w:rPr>
              <w:t xml:space="preserve"> p&lt;0,001 Humira vs. placebo</w:t>
            </w:r>
          </w:p>
          <w:p w14:paraId="5B76F87D" w14:textId="77777777" w:rsidR="004462A0" w:rsidRPr="00CC4B51" w:rsidRDefault="00615769" w:rsidP="00F675CF">
            <w:pPr>
              <w:keepNext/>
              <w:overflowPunct w:val="0"/>
              <w:autoSpaceDE w:val="0"/>
              <w:autoSpaceDN w:val="0"/>
              <w:adjustRightInd w:val="0"/>
              <w:textAlignment w:val="baseline"/>
              <w:rPr>
                <w:bCs/>
                <w:iCs/>
                <w:sz w:val="22"/>
                <w:szCs w:val="22"/>
              </w:rPr>
            </w:pPr>
            <w:r w:rsidRPr="00CC4B51">
              <w:rPr>
                <w:bCs/>
                <w:iCs/>
                <w:sz w:val="22"/>
                <w:szCs w:val="22"/>
                <w:vertAlign w:val="superscript"/>
              </w:rPr>
              <w:t>b</w:t>
            </w:r>
            <w:r w:rsidRPr="00CC4B51">
              <w:rPr>
                <w:bCs/>
                <w:iCs/>
                <w:sz w:val="22"/>
                <w:szCs w:val="22"/>
              </w:rPr>
              <w:t xml:space="preserve"> p&lt;0,001 Humira vs. metotrexato</w:t>
            </w:r>
          </w:p>
          <w:p w14:paraId="7E27C440" w14:textId="77777777" w:rsidR="004462A0" w:rsidRPr="00CC4B51" w:rsidRDefault="00615769" w:rsidP="00F675CF">
            <w:pPr>
              <w:keepNext/>
              <w:overflowPunct w:val="0"/>
              <w:autoSpaceDE w:val="0"/>
              <w:autoSpaceDN w:val="0"/>
              <w:adjustRightInd w:val="0"/>
              <w:textAlignment w:val="baseline"/>
              <w:rPr>
                <w:bCs/>
                <w:iCs/>
                <w:sz w:val="22"/>
                <w:szCs w:val="22"/>
              </w:rPr>
            </w:pPr>
            <w:r w:rsidRPr="00CC4B51">
              <w:rPr>
                <w:bCs/>
                <w:iCs/>
                <w:sz w:val="22"/>
                <w:szCs w:val="22"/>
                <w:vertAlign w:val="superscript"/>
              </w:rPr>
              <w:t>c</w:t>
            </w:r>
            <w:r w:rsidRPr="00CC4B51">
              <w:rPr>
                <w:bCs/>
                <w:iCs/>
                <w:sz w:val="22"/>
                <w:szCs w:val="22"/>
              </w:rPr>
              <w:t xml:space="preserve"> p&lt;0,01 Humira vs. placebo</w:t>
            </w:r>
          </w:p>
          <w:p w14:paraId="56A0BA38" w14:textId="77777777" w:rsidR="004462A0" w:rsidRPr="00CC4B51" w:rsidRDefault="00615769" w:rsidP="00F675CF">
            <w:pPr>
              <w:keepNext/>
              <w:overflowPunct w:val="0"/>
              <w:autoSpaceDE w:val="0"/>
              <w:autoSpaceDN w:val="0"/>
              <w:adjustRightInd w:val="0"/>
              <w:textAlignment w:val="baseline"/>
              <w:rPr>
                <w:bCs/>
                <w:iCs/>
                <w:sz w:val="22"/>
                <w:szCs w:val="22"/>
              </w:rPr>
            </w:pPr>
            <w:r w:rsidRPr="00CC4B51">
              <w:rPr>
                <w:bCs/>
                <w:iCs/>
                <w:sz w:val="22"/>
                <w:szCs w:val="22"/>
                <w:vertAlign w:val="superscript"/>
              </w:rPr>
              <w:t>d</w:t>
            </w:r>
            <w:r w:rsidRPr="00CC4B51">
              <w:rPr>
                <w:bCs/>
                <w:iCs/>
                <w:sz w:val="22"/>
                <w:szCs w:val="22"/>
              </w:rPr>
              <w:t xml:space="preserve"> p&lt;0,05 Humira vs. Metotrexato</w:t>
            </w:r>
          </w:p>
        </w:tc>
      </w:tr>
    </w:tbl>
    <w:p w14:paraId="0C94ABF9" w14:textId="77777777" w:rsidR="004462A0" w:rsidRPr="00CC4B51" w:rsidRDefault="004462A0" w:rsidP="004462A0">
      <w:pPr>
        <w:rPr>
          <w:b/>
          <w:bCs/>
          <w:sz w:val="22"/>
          <w:szCs w:val="22"/>
        </w:rPr>
      </w:pPr>
    </w:p>
    <w:p w14:paraId="3E96301F" w14:textId="77777777" w:rsidR="004462A0" w:rsidRPr="00CC4B51" w:rsidRDefault="00615769" w:rsidP="004462A0">
      <w:pPr>
        <w:rPr>
          <w:sz w:val="22"/>
          <w:szCs w:val="22"/>
        </w:rPr>
      </w:pPr>
      <w:r w:rsidRPr="00CC4B51">
        <w:rPr>
          <w:sz w:val="22"/>
          <w:szCs w:val="22"/>
        </w:rPr>
        <w:t xml:space="preserve">No Estudo I na </w:t>
      </w:r>
      <w:r w:rsidRPr="00CC4B51">
        <w:rPr>
          <w:iCs/>
          <w:sz w:val="22"/>
          <w:szCs w:val="22"/>
        </w:rPr>
        <w:t>Psoríase</w:t>
      </w:r>
      <w:r w:rsidRPr="00CC4B51">
        <w:rPr>
          <w:sz w:val="22"/>
          <w:szCs w:val="22"/>
        </w:rPr>
        <w:t>, 28</w:t>
      </w:r>
      <w:r w:rsidR="009343EF">
        <w:rPr>
          <w:sz w:val="22"/>
          <w:szCs w:val="22"/>
        </w:rPr>
        <w:t>%</w:t>
      </w:r>
      <w:r w:rsidRPr="00CC4B51">
        <w:rPr>
          <w:sz w:val="22"/>
          <w:szCs w:val="22"/>
        </w:rPr>
        <w:t xml:space="preserve"> dos doentes que tiveram resposta PASI 75 e que foram de novo </w:t>
      </w:r>
      <w:r w:rsidR="0013275C">
        <w:rPr>
          <w:sz w:val="22"/>
          <w:szCs w:val="22"/>
        </w:rPr>
        <w:t>aleatorizado</w:t>
      </w:r>
      <w:r w:rsidRPr="00CC4B51">
        <w:rPr>
          <w:sz w:val="22"/>
          <w:szCs w:val="22"/>
        </w:rPr>
        <w:t xml:space="preserve">s </w:t>
      </w:r>
      <w:r w:rsidR="00547396">
        <w:rPr>
          <w:sz w:val="22"/>
          <w:szCs w:val="22"/>
        </w:rPr>
        <w:t>para</w:t>
      </w:r>
      <w:r w:rsidR="00547396" w:rsidRPr="00CC4B51">
        <w:rPr>
          <w:sz w:val="22"/>
          <w:szCs w:val="22"/>
        </w:rPr>
        <w:t xml:space="preserve"> </w:t>
      </w:r>
      <w:r w:rsidRPr="00CC4B51">
        <w:rPr>
          <w:sz w:val="22"/>
          <w:szCs w:val="22"/>
        </w:rPr>
        <w:t>placebo à Semana 33, comparativamente a 5</w:t>
      </w:r>
      <w:r w:rsidR="009343EF">
        <w:rPr>
          <w:sz w:val="22"/>
          <w:szCs w:val="22"/>
        </w:rPr>
        <w:t>%</w:t>
      </w:r>
      <w:r w:rsidRPr="00CC4B51">
        <w:rPr>
          <w:sz w:val="22"/>
          <w:szCs w:val="22"/>
        </w:rPr>
        <w:t xml:space="preserve"> dos que continuaram Humira, p &lt; 0,001, atingiram “perda de resposta adequada”</w:t>
      </w:r>
      <w:r w:rsidRPr="00CC4B51">
        <w:rPr>
          <w:iCs/>
          <w:sz w:val="22"/>
          <w:szCs w:val="22"/>
        </w:rPr>
        <w:t xml:space="preserve"> (pontuação PASI após a Semana 33 e ou antes da Semana 52 que resultou numa resposta &lt; PASI 50 em relação à avaliação basal, com um mínimo de 6-pontos de aumento na pontuação PASI em relação à Semana 33)</w:t>
      </w:r>
      <w:r w:rsidRPr="00CC4B51">
        <w:rPr>
          <w:sz w:val="22"/>
          <w:szCs w:val="22"/>
        </w:rPr>
        <w:t xml:space="preserve">. Dos doentes que não tiveram uma resposta adequada após a nova </w:t>
      </w:r>
      <w:r w:rsidR="00547396">
        <w:rPr>
          <w:sz w:val="22"/>
          <w:szCs w:val="22"/>
        </w:rPr>
        <w:t>aleator</w:t>
      </w:r>
      <w:r w:rsidRPr="00CC4B51">
        <w:rPr>
          <w:sz w:val="22"/>
          <w:szCs w:val="22"/>
        </w:rPr>
        <w:t xml:space="preserve">ização </w:t>
      </w:r>
      <w:r w:rsidR="00547396">
        <w:rPr>
          <w:sz w:val="22"/>
          <w:szCs w:val="22"/>
        </w:rPr>
        <w:t>para</w:t>
      </w:r>
      <w:r w:rsidR="00547396" w:rsidRPr="00CC4B51">
        <w:rPr>
          <w:sz w:val="22"/>
          <w:szCs w:val="22"/>
        </w:rPr>
        <w:t xml:space="preserve"> </w:t>
      </w:r>
      <w:r w:rsidRPr="00CC4B51">
        <w:rPr>
          <w:sz w:val="22"/>
          <w:szCs w:val="22"/>
        </w:rPr>
        <w:t xml:space="preserve">placebo e que depois foram </w:t>
      </w:r>
      <w:r w:rsidR="00547396">
        <w:rPr>
          <w:sz w:val="22"/>
          <w:szCs w:val="22"/>
        </w:rPr>
        <w:t>integrados</w:t>
      </w:r>
      <w:r w:rsidR="00547396" w:rsidRPr="00CC4B51">
        <w:rPr>
          <w:sz w:val="22"/>
          <w:szCs w:val="22"/>
        </w:rPr>
        <w:t xml:space="preserve"> </w:t>
      </w:r>
      <w:r w:rsidRPr="00CC4B51">
        <w:rPr>
          <w:sz w:val="22"/>
          <w:szCs w:val="22"/>
        </w:rPr>
        <w:t>em ensaios de extensão de fase aberta, 38</w:t>
      </w:r>
      <w:r w:rsidR="009343EF">
        <w:rPr>
          <w:sz w:val="22"/>
          <w:szCs w:val="22"/>
        </w:rPr>
        <w:t>%</w:t>
      </w:r>
      <w:r w:rsidRPr="00CC4B51">
        <w:rPr>
          <w:sz w:val="22"/>
          <w:szCs w:val="22"/>
        </w:rPr>
        <w:t xml:space="preserve"> (25/66) e 55</w:t>
      </w:r>
      <w:r w:rsidR="009343EF">
        <w:rPr>
          <w:sz w:val="22"/>
          <w:szCs w:val="22"/>
        </w:rPr>
        <w:t>%</w:t>
      </w:r>
      <w:r w:rsidRPr="00CC4B51">
        <w:rPr>
          <w:sz w:val="22"/>
          <w:szCs w:val="22"/>
        </w:rPr>
        <w:t xml:space="preserve"> (36/66) recuperaram resposta PASI 75 após 12 e 24 sem</w:t>
      </w:r>
      <w:r w:rsidRPr="00CC4B51">
        <w:rPr>
          <w:sz w:val="22"/>
          <w:szCs w:val="22"/>
        </w:rPr>
        <w:t>anas do novo tratamento, respetivamente.</w:t>
      </w:r>
    </w:p>
    <w:p w14:paraId="22C0E5BD" w14:textId="77777777" w:rsidR="004462A0" w:rsidRPr="00CC4B51" w:rsidRDefault="004462A0" w:rsidP="004462A0">
      <w:pPr>
        <w:rPr>
          <w:sz w:val="22"/>
          <w:szCs w:val="22"/>
        </w:rPr>
      </w:pPr>
    </w:p>
    <w:p w14:paraId="5D3A3A48" w14:textId="77777777" w:rsidR="004462A0" w:rsidRPr="00CC4B51" w:rsidRDefault="00615769" w:rsidP="004462A0">
      <w:pPr>
        <w:outlineLvl w:val="8"/>
        <w:rPr>
          <w:sz w:val="22"/>
          <w:szCs w:val="22"/>
        </w:rPr>
      </w:pPr>
      <w:r w:rsidRPr="00B427DD">
        <w:rPr>
          <w:sz w:val="22"/>
          <w:szCs w:val="22"/>
        </w:rPr>
        <w:t xml:space="preserve">Um total de 233 doentes que tiveram uma resposta PASI 75 à </w:t>
      </w:r>
      <w:r w:rsidR="00547396">
        <w:rPr>
          <w:sz w:val="22"/>
          <w:szCs w:val="22"/>
        </w:rPr>
        <w:t>S</w:t>
      </w:r>
      <w:r w:rsidRPr="00B427DD">
        <w:rPr>
          <w:sz w:val="22"/>
          <w:szCs w:val="22"/>
        </w:rPr>
        <w:t xml:space="preserve">emana 16 e à </w:t>
      </w:r>
      <w:r w:rsidR="00547396">
        <w:rPr>
          <w:sz w:val="22"/>
          <w:szCs w:val="22"/>
        </w:rPr>
        <w:t>S</w:t>
      </w:r>
      <w:r w:rsidRPr="00B427DD">
        <w:rPr>
          <w:sz w:val="22"/>
          <w:szCs w:val="22"/>
        </w:rPr>
        <w:t>emana 33 receberam tratamento contínuo com Humira no Estudo I na Psoríase, durante 52 semanas, e continuaram com Humira no ensaio de extensão de fase aberta. A taxa de resposta PASI 75 e PGA “limp</w:t>
      </w:r>
      <w:r w:rsidR="00E57BBD">
        <w:rPr>
          <w:sz w:val="22"/>
          <w:szCs w:val="22"/>
        </w:rPr>
        <w:t>a</w:t>
      </w:r>
      <w:r w:rsidRPr="00B427DD">
        <w:rPr>
          <w:sz w:val="22"/>
          <w:szCs w:val="22"/>
        </w:rPr>
        <w:t>” ou “</w:t>
      </w:r>
      <w:r w:rsidR="00E57BBD">
        <w:rPr>
          <w:sz w:val="22"/>
          <w:szCs w:val="22"/>
        </w:rPr>
        <w:t>quase limpa</w:t>
      </w:r>
      <w:r w:rsidRPr="00B427DD">
        <w:rPr>
          <w:sz w:val="22"/>
          <w:szCs w:val="22"/>
        </w:rPr>
        <w:t>” nestes doentes foi de 74,7</w:t>
      </w:r>
      <w:r w:rsidR="009343EF">
        <w:rPr>
          <w:sz w:val="22"/>
          <w:szCs w:val="22"/>
        </w:rPr>
        <w:t>%</w:t>
      </w:r>
      <w:r w:rsidRPr="00B427DD">
        <w:rPr>
          <w:sz w:val="22"/>
          <w:szCs w:val="22"/>
        </w:rPr>
        <w:t xml:space="preserve"> e 59,0</w:t>
      </w:r>
      <w:r w:rsidR="009343EF">
        <w:rPr>
          <w:sz w:val="22"/>
          <w:szCs w:val="22"/>
        </w:rPr>
        <w:t>%</w:t>
      </w:r>
      <w:r w:rsidRPr="00B427DD">
        <w:rPr>
          <w:sz w:val="22"/>
          <w:szCs w:val="22"/>
        </w:rPr>
        <w:t xml:space="preserve"> respetivamente, após um tratamento adicional de 108 semanas em fase aberta (total de 160 semanas). Numa análise em que todos os doentes que abandonaram o estudo, devido a acontecimentos adversos ou por falta de eficácia, ou </w:t>
      </w:r>
      <w:r w:rsidR="00547396">
        <w:rPr>
          <w:sz w:val="22"/>
          <w:szCs w:val="22"/>
        </w:rPr>
        <w:t>que tiveram</w:t>
      </w:r>
      <w:r w:rsidR="00547396" w:rsidRPr="00B427DD">
        <w:rPr>
          <w:sz w:val="22"/>
          <w:szCs w:val="22"/>
        </w:rPr>
        <w:t xml:space="preserve"> </w:t>
      </w:r>
      <w:r w:rsidRPr="00B427DD">
        <w:rPr>
          <w:sz w:val="22"/>
          <w:szCs w:val="22"/>
        </w:rPr>
        <w:t>escalonam</w:t>
      </w:r>
      <w:r w:rsidRPr="00B427DD">
        <w:rPr>
          <w:sz w:val="22"/>
          <w:szCs w:val="22"/>
        </w:rPr>
        <w:t>ento de dose, foram considerados não-respondedores, as taxas de resposta PASI 75 e PGA “limp</w:t>
      </w:r>
      <w:r w:rsidR="00547396">
        <w:rPr>
          <w:sz w:val="22"/>
          <w:szCs w:val="22"/>
        </w:rPr>
        <w:t>a</w:t>
      </w:r>
      <w:r w:rsidRPr="00B427DD">
        <w:rPr>
          <w:sz w:val="22"/>
          <w:szCs w:val="22"/>
        </w:rPr>
        <w:t>” ou “</w:t>
      </w:r>
      <w:r w:rsidR="00E57BBD">
        <w:rPr>
          <w:sz w:val="22"/>
          <w:szCs w:val="22"/>
        </w:rPr>
        <w:t>quase limpa</w:t>
      </w:r>
      <w:r w:rsidRPr="00B427DD">
        <w:rPr>
          <w:sz w:val="22"/>
          <w:szCs w:val="22"/>
        </w:rPr>
        <w:t xml:space="preserve">” nestes doentes foram de 69,6% e 55,7% respetivamente, após um tratamento </w:t>
      </w:r>
      <w:r w:rsidRPr="00CC4B51">
        <w:rPr>
          <w:sz w:val="22"/>
          <w:szCs w:val="22"/>
        </w:rPr>
        <w:t>adicional de 108 semanas em fase aberta (total de 160 semanas).</w:t>
      </w:r>
    </w:p>
    <w:p w14:paraId="1DDAC5F5" w14:textId="77777777" w:rsidR="004462A0" w:rsidRPr="00CC4B51" w:rsidRDefault="004462A0" w:rsidP="004462A0">
      <w:pPr>
        <w:rPr>
          <w:sz w:val="22"/>
          <w:szCs w:val="22"/>
        </w:rPr>
      </w:pPr>
    </w:p>
    <w:p w14:paraId="6CE90DC2" w14:textId="77777777" w:rsidR="004462A0" w:rsidRPr="00CC4B51" w:rsidRDefault="00615769" w:rsidP="004462A0">
      <w:pPr>
        <w:rPr>
          <w:sz w:val="22"/>
          <w:szCs w:val="22"/>
        </w:rPr>
      </w:pPr>
      <w:r w:rsidRPr="00CC4B51">
        <w:rPr>
          <w:sz w:val="22"/>
          <w:szCs w:val="22"/>
        </w:rPr>
        <w:t>Um total de 347 doentes respondedores estáveis, participaram numa avaliação da suspensão do tratamento e novo tratamento, no estudo de extensão de fase aberta. Durante o período de suspensão, os sintomas da psoríase reaparecem, com um tempo médio de recidiva (diminuição para um PGA "moderad</w:t>
      </w:r>
      <w:r w:rsidR="00601734">
        <w:rPr>
          <w:sz w:val="22"/>
          <w:szCs w:val="22"/>
        </w:rPr>
        <w:t>a</w:t>
      </w:r>
      <w:r w:rsidRPr="00CC4B51">
        <w:rPr>
          <w:sz w:val="22"/>
          <w:szCs w:val="22"/>
        </w:rPr>
        <w:t xml:space="preserve">" ou “pior”) de aproximadamente 5 meses. Nenhum destes doentes apresentaram efeito </w:t>
      </w:r>
      <w:r w:rsidRPr="00CC4B51">
        <w:rPr>
          <w:i/>
          <w:sz w:val="22"/>
          <w:szCs w:val="22"/>
        </w:rPr>
        <w:t>rebound</w:t>
      </w:r>
      <w:r w:rsidRPr="00CC4B51">
        <w:rPr>
          <w:sz w:val="22"/>
          <w:szCs w:val="22"/>
        </w:rPr>
        <w:t xml:space="preserve"> durante o período de suspensão. Um total de 76,5% (218/285) dos doentes que entraram no período de novo tratamento apresentaram uma resposta de PGA "limp</w:t>
      </w:r>
      <w:r w:rsidR="00547396">
        <w:rPr>
          <w:sz w:val="22"/>
          <w:szCs w:val="22"/>
        </w:rPr>
        <w:t>a</w:t>
      </w:r>
      <w:r w:rsidRPr="00CC4B51">
        <w:rPr>
          <w:sz w:val="22"/>
          <w:szCs w:val="22"/>
        </w:rPr>
        <w:t>" ou "</w:t>
      </w:r>
      <w:r w:rsidR="00E57BBD">
        <w:rPr>
          <w:sz w:val="22"/>
          <w:szCs w:val="22"/>
        </w:rPr>
        <w:t>quase limpa</w:t>
      </w:r>
      <w:r w:rsidRPr="00CC4B51">
        <w:rPr>
          <w:sz w:val="22"/>
          <w:szCs w:val="22"/>
        </w:rPr>
        <w:t>", após 16 semanas de novo tratamento, independentemente de recidiva durante a suspensão (69,1% [123/178] e 88,8% [95/107], para doentes que tiveram ou não recidiva durante o período de suspensão, respetivamente). Durante o novo tratamento, foi obse</w:t>
      </w:r>
      <w:r w:rsidRPr="00CC4B51">
        <w:rPr>
          <w:sz w:val="22"/>
          <w:szCs w:val="22"/>
        </w:rPr>
        <w:t>rvado um perfil de segurança semelhante ao observado antes da suspensão.</w:t>
      </w:r>
    </w:p>
    <w:p w14:paraId="43C1CFCD" w14:textId="77777777" w:rsidR="004462A0" w:rsidRPr="00CC4B51" w:rsidRDefault="004462A0" w:rsidP="004462A0">
      <w:pPr>
        <w:autoSpaceDE w:val="0"/>
        <w:autoSpaceDN w:val="0"/>
        <w:adjustRightInd w:val="0"/>
        <w:rPr>
          <w:sz w:val="22"/>
          <w:szCs w:val="22"/>
        </w:rPr>
      </w:pPr>
    </w:p>
    <w:p w14:paraId="7D4DBCEB" w14:textId="77777777" w:rsidR="004462A0" w:rsidRPr="00CC4B51" w:rsidRDefault="00615769" w:rsidP="004462A0">
      <w:pPr>
        <w:rPr>
          <w:sz w:val="22"/>
          <w:szCs w:val="22"/>
        </w:rPr>
      </w:pPr>
      <w:r w:rsidRPr="00CC4B51">
        <w:rPr>
          <w:sz w:val="22"/>
          <w:szCs w:val="22"/>
        </w:rPr>
        <w:t xml:space="preserve">Foram demonstradas melhorias significativas </w:t>
      </w:r>
      <w:r w:rsidR="00547396">
        <w:rPr>
          <w:sz w:val="22"/>
          <w:szCs w:val="22"/>
        </w:rPr>
        <w:t>à</w:t>
      </w:r>
      <w:r w:rsidR="00547396" w:rsidRPr="00CC4B51">
        <w:rPr>
          <w:sz w:val="22"/>
          <w:szCs w:val="22"/>
        </w:rPr>
        <w:t xml:space="preserve"> </w:t>
      </w:r>
      <w:r w:rsidRPr="00CC4B51">
        <w:rPr>
          <w:sz w:val="22"/>
          <w:szCs w:val="22"/>
        </w:rPr>
        <w:t>semana 16 em relação à avaliação basal comparativamente com placebo (Estudos I e II) e MTX (Estudo II), no DLQI (</w:t>
      </w:r>
      <w:r w:rsidRPr="00CC4B51">
        <w:rPr>
          <w:i/>
          <w:sz w:val="22"/>
          <w:szCs w:val="22"/>
        </w:rPr>
        <w:t>Dermatology Life Quality Index)</w:t>
      </w:r>
      <w:r w:rsidRPr="00CC4B51">
        <w:rPr>
          <w:sz w:val="22"/>
          <w:szCs w:val="22"/>
        </w:rPr>
        <w:t>. No Estudo I, foram também demonstradas melhorias nas pontuações das componentes física e mental do SF-36, comparativamente com placebo.</w:t>
      </w:r>
    </w:p>
    <w:p w14:paraId="2A556E38" w14:textId="77777777" w:rsidR="004462A0" w:rsidRPr="00CC4B51" w:rsidRDefault="004462A0" w:rsidP="004462A0">
      <w:pPr>
        <w:tabs>
          <w:tab w:val="left" w:pos="562"/>
        </w:tabs>
        <w:suppressAutoHyphens/>
        <w:rPr>
          <w:sz w:val="22"/>
          <w:szCs w:val="22"/>
        </w:rPr>
      </w:pPr>
    </w:p>
    <w:p w14:paraId="2A723515" w14:textId="77777777" w:rsidR="004462A0" w:rsidRPr="00CC4B51" w:rsidRDefault="00615769" w:rsidP="004462A0">
      <w:pPr>
        <w:tabs>
          <w:tab w:val="left" w:pos="562"/>
        </w:tabs>
        <w:suppressAutoHyphens/>
        <w:rPr>
          <w:sz w:val="22"/>
          <w:szCs w:val="22"/>
        </w:rPr>
      </w:pPr>
      <w:r w:rsidRPr="00CC4B51">
        <w:rPr>
          <w:sz w:val="22"/>
          <w:szCs w:val="22"/>
        </w:rPr>
        <w:t>Num estudo de extensão de fase aberta, em doentes em que houve escalonamento da dose de 40 mg em semanas alternadas para 40 mg todas as semanas, devido a uma resposta PASI inferior a 50</w:t>
      </w:r>
      <w:r w:rsidR="009343EF">
        <w:rPr>
          <w:sz w:val="22"/>
          <w:szCs w:val="22"/>
        </w:rPr>
        <w:t>%</w:t>
      </w:r>
      <w:r w:rsidRPr="00CC4B51">
        <w:rPr>
          <w:sz w:val="22"/>
          <w:szCs w:val="22"/>
        </w:rPr>
        <w:t>, 26,4</w:t>
      </w:r>
      <w:r w:rsidR="009343EF">
        <w:rPr>
          <w:sz w:val="22"/>
          <w:szCs w:val="22"/>
        </w:rPr>
        <w:t>%</w:t>
      </w:r>
      <w:r w:rsidRPr="00CC4B51">
        <w:rPr>
          <w:sz w:val="22"/>
          <w:szCs w:val="22"/>
        </w:rPr>
        <w:t xml:space="preserve"> (92/349) e 37,8</w:t>
      </w:r>
      <w:r w:rsidR="009343EF">
        <w:rPr>
          <w:sz w:val="22"/>
          <w:szCs w:val="22"/>
        </w:rPr>
        <w:t>%</w:t>
      </w:r>
      <w:r w:rsidRPr="00CC4B51">
        <w:rPr>
          <w:sz w:val="22"/>
          <w:szCs w:val="22"/>
        </w:rPr>
        <w:t xml:space="preserve"> (132/349) dos doentes alcançaram uma resposta PASI 75 às semanas 12 e 24</w:t>
      </w:r>
      <w:r w:rsidR="00547396">
        <w:rPr>
          <w:sz w:val="22"/>
          <w:szCs w:val="22"/>
        </w:rPr>
        <w:t>,</w:t>
      </w:r>
      <w:r w:rsidRPr="00CC4B51">
        <w:rPr>
          <w:sz w:val="22"/>
          <w:szCs w:val="22"/>
        </w:rPr>
        <w:t xml:space="preserve"> respetivamente.</w:t>
      </w:r>
    </w:p>
    <w:p w14:paraId="7A6B3F31" w14:textId="77777777" w:rsidR="004462A0" w:rsidRPr="00CC4B51" w:rsidRDefault="004462A0" w:rsidP="004462A0">
      <w:pPr>
        <w:tabs>
          <w:tab w:val="left" w:pos="562"/>
        </w:tabs>
        <w:suppressAutoHyphens/>
        <w:rPr>
          <w:sz w:val="22"/>
          <w:szCs w:val="22"/>
        </w:rPr>
      </w:pPr>
    </w:p>
    <w:p w14:paraId="7F642F76" w14:textId="77777777" w:rsidR="004462A0" w:rsidRPr="00CC4B51" w:rsidRDefault="00615769" w:rsidP="004462A0">
      <w:pPr>
        <w:tabs>
          <w:tab w:val="left" w:pos="562"/>
        </w:tabs>
        <w:suppressAutoHyphens/>
        <w:rPr>
          <w:sz w:val="22"/>
          <w:szCs w:val="22"/>
        </w:rPr>
      </w:pPr>
      <w:r w:rsidRPr="00CC4B51">
        <w:rPr>
          <w:sz w:val="22"/>
          <w:szCs w:val="22"/>
        </w:rPr>
        <w:t xml:space="preserve">O Estudo III na Psoríase (REACH) comparou a eficácia e segurança de Humira </w:t>
      </w:r>
      <w:r w:rsidRPr="00CC4B51">
        <w:rPr>
          <w:i/>
          <w:sz w:val="22"/>
          <w:szCs w:val="22"/>
        </w:rPr>
        <w:t>versus</w:t>
      </w:r>
      <w:r w:rsidRPr="00CC4B51">
        <w:rPr>
          <w:sz w:val="22"/>
          <w:szCs w:val="22"/>
        </w:rPr>
        <w:t xml:space="preserve"> placebo em 72 doentes com psoríase crónica em placas moderada a grave e psoríase palmar e/ou plantar. Os doentes receberam Humira numa dose inicial de 80 mg, seguida de 40</w:t>
      </w:r>
      <w:r>
        <w:rPr>
          <w:sz w:val="22"/>
          <w:szCs w:val="22"/>
        </w:rPr>
        <w:t> </w:t>
      </w:r>
      <w:r w:rsidRPr="00CC4B51">
        <w:rPr>
          <w:sz w:val="22"/>
          <w:szCs w:val="22"/>
        </w:rPr>
        <w:t>mg em semanas alternadas (uma semana após a dose inicial) ou placebo, durante 16 semanas. Na semana 16, os doentes que receberam Humira apresentaram uma resposta de PGA “limp</w:t>
      </w:r>
      <w:r w:rsidR="00E57BBD">
        <w:rPr>
          <w:sz w:val="22"/>
          <w:szCs w:val="22"/>
        </w:rPr>
        <w:t>a</w:t>
      </w:r>
      <w:r w:rsidRPr="00CC4B51">
        <w:rPr>
          <w:sz w:val="22"/>
          <w:szCs w:val="22"/>
        </w:rPr>
        <w:t>” ou “quase limp</w:t>
      </w:r>
      <w:r w:rsidR="00E57BBD">
        <w:rPr>
          <w:sz w:val="22"/>
          <w:szCs w:val="22"/>
        </w:rPr>
        <w:t>a</w:t>
      </w:r>
      <w:r w:rsidRPr="00CC4B51">
        <w:rPr>
          <w:sz w:val="22"/>
          <w:szCs w:val="22"/>
        </w:rPr>
        <w:t>” nas mãos e/ou pés numa proporção superior, estatisticamente significativa, quando comparado com os doentes que receberam placebo (30,6</w:t>
      </w:r>
      <w:r w:rsidR="009343EF">
        <w:rPr>
          <w:sz w:val="22"/>
          <w:szCs w:val="22"/>
        </w:rPr>
        <w:t>%</w:t>
      </w:r>
      <w:r w:rsidRPr="00CC4B51">
        <w:rPr>
          <w:sz w:val="22"/>
          <w:szCs w:val="22"/>
        </w:rPr>
        <w:t xml:space="preserve"> ver</w:t>
      </w:r>
      <w:r w:rsidRPr="00CC4B51">
        <w:rPr>
          <w:sz w:val="22"/>
          <w:szCs w:val="22"/>
        </w:rPr>
        <w:t>sus 4,3</w:t>
      </w:r>
      <w:r w:rsidR="009343EF">
        <w:rPr>
          <w:sz w:val="22"/>
          <w:szCs w:val="22"/>
        </w:rPr>
        <w:t>%</w:t>
      </w:r>
      <w:r w:rsidRPr="00CC4B51">
        <w:rPr>
          <w:sz w:val="22"/>
          <w:szCs w:val="22"/>
        </w:rPr>
        <w:t>, respetivamente [</w:t>
      </w:r>
      <w:r w:rsidR="00092159">
        <w:rPr>
          <w:sz w:val="22"/>
          <w:szCs w:val="22"/>
        </w:rPr>
        <w:t>p</w:t>
      </w:r>
      <w:r w:rsidRPr="00CC4B51">
        <w:rPr>
          <w:sz w:val="22"/>
          <w:szCs w:val="22"/>
        </w:rPr>
        <w:t>=0,014]).</w:t>
      </w:r>
    </w:p>
    <w:p w14:paraId="417DBB07" w14:textId="77777777" w:rsidR="004462A0" w:rsidRDefault="004462A0" w:rsidP="004462A0">
      <w:pPr>
        <w:rPr>
          <w:sz w:val="22"/>
          <w:szCs w:val="22"/>
          <w:u w:val="single"/>
        </w:rPr>
      </w:pPr>
    </w:p>
    <w:p w14:paraId="0F7CCA72" w14:textId="77777777" w:rsidR="004462A0" w:rsidRPr="007F544F" w:rsidRDefault="00615769" w:rsidP="004462A0">
      <w:pPr>
        <w:rPr>
          <w:sz w:val="22"/>
          <w:szCs w:val="22"/>
        </w:rPr>
      </w:pPr>
      <w:r w:rsidRPr="007F544F">
        <w:rPr>
          <w:sz w:val="22"/>
          <w:szCs w:val="22"/>
        </w:rPr>
        <w:t>O Estudo IV na Psor</w:t>
      </w:r>
      <w:r w:rsidR="008F2FAC">
        <w:rPr>
          <w:sz w:val="22"/>
          <w:szCs w:val="22"/>
        </w:rPr>
        <w:t>í</w:t>
      </w:r>
      <w:r w:rsidRPr="007F544F">
        <w:rPr>
          <w:sz w:val="22"/>
          <w:szCs w:val="22"/>
        </w:rPr>
        <w:t>ase comparou a eficácia e segurança de Humira versus placebo em 217 doentes adultos com psoríase ungueal moderada a grave. Os doentes receberam Humira numa dose inicial de 80 mg, seguida de 40 mg em semanas alternadas (uma semana após a dose inicial) ou placebo, durante 26 semanas, seguido de um tratamento em fase aberta com Humira durante mais 26 semanas.  As avaliações da  psoríase ungueal inclu</w:t>
      </w:r>
      <w:r w:rsidR="008F2FAC">
        <w:rPr>
          <w:sz w:val="22"/>
          <w:szCs w:val="22"/>
        </w:rPr>
        <w:t>í</w:t>
      </w:r>
      <w:r w:rsidRPr="007F544F">
        <w:rPr>
          <w:sz w:val="22"/>
          <w:szCs w:val="22"/>
        </w:rPr>
        <w:t xml:space="preserve">ram o Índice de Gravidade da Psoríase Ungueal </w:t>
      </w:r>
      <w:r w:rsidR="008F2FAC">
        <w:rPr>
          <w:sz w:val="22"/>
          <w:szCs w:val="22"/>
        </w:rPr>
        <w:t xml:space="preserve">modificado </w:t>
      </w:r>
      <w:r w:rsidRPr="007F544F">
        <w:rPr>
          <w:sz w:val="22"/>
          <w:szCs w:val="22"/>
        </w:rPr>
        <w:t xml:space="preserve">(mNAPSI), a Avaliação Global dos Médicos da Psoríase </w:t>
      </w:r>
      <w:r w:rsidRPr="007F544F">
        <w:rPr>
          <w:sz w:val="22"/>
          <w:szCs w:val="22"/>
        </w:rPr>
        <w:t xml:space="preserve">Ungueal (PGA-F) e o Índice de Gravidade da Psoríase Ungueal (NAPSI) (ver Tabela </w:t>
      </w:r>
      <w:r w:rsidR="00AF70F9">
        <w:rPr>
          <w:sz w:val="22"/>
          <w:szCs w:val="22"/>
        </w:rPr>
        <w:t>1</w:t>
      </w:r>
      <w:r w:rsidR="00D94630">
        <w:rPr>
          <w:sz w:val="22"/>
          <w:szCs w:val="22"/>
        </w:rPr>
        <w:t>1</w:t>
      </w:r>
      <w:r w:rsidRPr="007F544F">
        <w:rPr>
          <w:sz w:val="22"/>
          <w:szCs w:val="22"/>
        </w:rPr>
        <w:t>). Humira demonstrou um benefício de tratamento em doentes com psoríase ungueal com diferentes graus de envolvimento cutâneo (BSA ≥ 10</w:t>
      </w:r>
      <w:r w:rsidR="009343EF">
        <w:rPr>
          <w:sz w:val="22"/>
          <w:szCs w:val="22"/>
        </w:rPr>
        <w:t>%</w:t>
      </w:r>
      <w:r w:rsidRPr="007F544F">
        <w:rPr>
          <w:sz w:val="22"/>
          <w:szCs w:val="22"/>
        </w:rPr>
        <w:t xml:space="preserve"> (60</w:t>
      </w:r>
      <w:r w:rsidR="009343EF">
        <w:rPr>
          <w:sz w:val="22"/>
          <w:szCs w:val="22"/>
        </w:rPr>
        <w:t>%</w:t>
      </w:r>
      <w:r w:rsidRPr="007F544F">
        <w:rPr>
          <w:sz w:val="22"/>
          <w:szCs w:val="22"/>
        </w:rPr>
        <w:t xml:space="preserve"> dos doentes) e BSA &lt; 10</w:t>
      </w:r>
      <w:r w:rsidR="009343EF">
        <w:rPr>
          <w:sz w:val="22"/>
          <w:szCs w:val="22"/>
        </w:rPr>
        <w:t>%</w:t>
      </w:r>
      <w:r w:rsidRPr="007F544F">
        <w:rPr>
          <w:sz w:val="22"/>
          <w:szCs w:val="22"/>
        </w:rPr>
        <w:t xml:space="preserve"> e ≥ 5% (40</w:t>
      </w:r>
      <w:r w:rsidR="009343EF">
        <w:rPr>
          <w:sz w:val="22"/>
          <w:szCs w:val="22"/>
        </w:rPr>
        <w:t>%</w:t>
      </w:r>
      <w:r w:rsidRPr="007F544F">
        <w:rPr>
          <w:sz w:val="22"/>
          <w:szCs w:val="22"/>
        </w:rPr>
        <w:t xml:space="preserve"> dos doentes)).    </w:t>
      </w:r>
    </w:p>
    <w:p w14:paraId="416F3528" w14:textId="77777777" w:rsidR="004462A0" w:rsidRDefault="004462A0" w:rsidP="004462A0">
      <w:pPr>
        <w:rPr>
          <w:sz w:val="22"/>
          <w:szCs w:val="22"/>
          <w:u w:val="single"/>
        </w:rPr>
      </w:pPr>
    </w:p>
    <w:p w14:paraId="62570CC8" w14:textId="77777777" w:rsidR="004462A0" w:rsidRPr="00612E98" w:rsidRDefault="00615769" w:rsidP="00B24AC6">
      <w:pPr>
        <w:keepNext/>
        <w:tabs>
          <w:tab w:val="center" w:pos="4536"/>
          <w:tab w:val="left" w:pos="5475"/>
        </w:tabs>
        <w:rPr>
          <w:rFonts w:eastAsia="Times New Roman"/>
          <w:b/>
          <w:sz w:val="22"/>
          <w:szCs w:val="22"/>
        </w:rPr>
      </w:pPr>
      <w:r w:rsidRPr="00B427DD">
        <w:rPr>
          <w:rFonts w:eastAsia="Times New Roman"/>
          <w:b/>
          <w:sz w:val="22"/>
          <w:szCs w:val="22"/>
        </w:rPr>
        <w:tab/>
      </w:r>
      <w:r w:rsidRPr="00612E98">
        <w:rPr>
          <w:rFonts w:eastAsia="Times New Roman"/>
          <w:b/>
          <w:sz w:val="22"/>
          <w:szCs w:val="22"/>
        </w:rPr>
        <w:t xml:space="preserve">Tabela </w:t>
      </w:r>
      <w:r w:rsidR="00D94630">
        <w:rPr>
          <w:rFonts w:eastAsia="Times New Roman"/>
          <w:b/>
          <w:sz w:val="22"/>
          <w:szCs w:val="22"/>
        </w:rPr>
        <w:t>11</w:t>
      </w:r>
      <w:r w:rsidRPr="00612E98">
        <w:rPr>
          <w:rFonts w:eastAsia="Times New Roman"/>
          <w:b/>
          <w:sz w:val="22"/>
          <w:szCs w:val="22"/>
        </w:rPr>
        <w:tab/>
      </w:r>
    </w:p>
    <w:p w14:paraId="409238E9" w14:textId="77777777" w:rsidR="004462A0" w:rsidRPr="00612E98" w:rsidRDefault="00615769" w:rsidP="00B24AC6">
      <w:pPr>
        <w:keepNext/>
        <w:jc w:val="center"/>
        <w:rPr>
          <w:rFonts w:eastAsia="Times New Roman"/>
          <w:b/>
          <w:bCs/>
          <w:sz w:val="22"/>
          <w:szCs w:val="22"/>
        </w:rPr>
      </w:pPr>
      <w:r>
        <w:rPr>
          <w:b/>
          <w:sz w:val="22"/>
          <w:szCs w:val="22"/>
        </w:rPr>
        <w:t>Tabela 4</w:t>
      </w:r>
      <w:r w:rsidRPr="008912CF">
        <w:rPr>
          <w:b/>
          <w:sz w:val="22"/>
          <w:szCs w:val="22"/>
        </w:rPr>
        <w:t xml:space="preserve">: Estudo </w:t>
      </w:r>
      <w:r>
        <w:rPr>
          <w:b/>
          <w:sz w:val="22"/>
          <w:szCs w:val="22"/>
        </w:rPr>
        <w:t>IV na Psoríase</w:t>
      </w:r>
      <w:r w:rsidRPr="008912CF">
        <w:rPr>
          <w:b/>
          <w:sz w:val="22"/>
          <w:szCs w:val="22"/>
        </w:rPr>
        <w:t xml:space="preserve"> Resultados de </w:t>
      </w:r>
      <w:r>
        <w:rPr>
          <w:b/>
          <w:sz w:val="22"/>
          <w:szCs w:val="22"/>
        </w:rPr>
        <w:t>E</w:t>
      </w:r>
      <w:r w:rsidRPr="008912CF">
        <w:rPr>
          <w:b/>
          <w:sz w:val="22"/>
          <w:szCs w:val="22"/>
        </w:rPr>
        <w:t xml:space="preserve">ficácia às </w:t>
      </w:r>
      <w:r w:rsidR="008F2FAC" w:rsidRPr="008912CF">
        <w:rPr>
          <w:b/>
          <w:sz w:val="22"/>
          <w:szCs w:val="22"/>
        </w:rPr>
        <w:t xml:space="preserve">Semanas </w:t>
      </w:r>
      <w:r w:rsidRPr="008912CF">
        <w:rPr>
          <w:b/>
          <w:sz w:val="22"/>
          <w:szCs w:val="22"/>
        </w:rPr>
        <w:t>1</w:t>
      </w:r>
      <w:r>
        <w:rPr>
          <w:b/>
          <w:sz w:val="22"/>
          <w:szCs w:val="22"/>
        </w:rPr>
        <w:t>6, 26 e 52 </w:t>
      </w:r>
      <w:r w:rsidRPr="008912CF">
        <w:rPr>
          <w:b/>
          <w:sz w:val="22"/>
          <w:szCs w:val="22"/>
        </w:rPr>
        <w:t xml:space="preserve"> </w:t>
      </w:r>
    </w:p>
    <w:p w14:paraId="449E1DD5" w14:textId="77777777" w:rsidR="004462A0" w:rsidRDefault="004462A0" w:rsidP="00B24AC6">
      <w:pPr>
        <w:keepNext/>
        <w:rPr>
          <w:sz w:val="22"/>
          <w:szCs w:val="22"/>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080"/>
        <w:gridCol w:w="1260"/>
        <w:gridCol w:w="990"/>
        <w:gridCol w:w="1260"/>
        <w:gridCol w:w="2014"/>
      </w:tblGrid>
      <w:tr w:rsidR="00A7162A" w14:paraId="15482E3B" w14:textId="77777777" w:rsidTr="00F675CF">
        <w:tc>
          <w:tcPr>
            <w:tcW w:w="2718" w:type="dxa"/>
            <w:vMerge w:val="restart"/>
          </w:tcPr>
          <w:p w14:paraId="00EB5065" w14:textId="77777777" w:rsidR="004462A0" w:rsidRPr="00612E98" w:rsidRDefault="00615769" w:rsidP="00B24AC6">
            <w:pPr>
              <w:keepNext/>
              <w:rPr>
                <w:rFonts w:eastAsia="Times New Roman"/>
                <w:sz w:val="22"/>
                <w:szCs w:val="22"/>
                <w:lang w:val="en-US"/>
              </w:rPr>
            </w:pPr>
            <w:r>
              <w:rPr>
                <w:rFonts w:eastAsia="Times New Roman"/>
                <w:sz w:val="22"/>
                <w:szCs w:val="22"/>
                <w:lang w:val="en-US"/>
              </w:rPr>
              <w:t>Objetivo</w:t>
            </w:r>
          </w:p>
        </w:tc>
        <w:tc>
          <w:tcPr>
            <w:tcW w:w="2340" w:type="dxa"/>
            <w:gridSpan w:val="2"/>
          </w:tcPr>
          <w:p w14:paraId="5E77E843" w14:textId="77777777" w:rsidR="004462A0" w:rsidRPr="00612E98" w:rsidRDefault="00615769" w:rsidP="00B24AC6">
            <w:pPr>
              <w:keepNext/>
              <w:jc w:val="center"/>
              <w:rPr>
                <w:rFonts w:eastAsia="Times New Roman"/>
                <w:sz w:val="22"/>
                <w:szCs w:val="22"/>
                <w:lang w:val="en-US"/>
              </w:rPr>
            </w:pPr>
            <w:r>
              <w:rPr>
                <w:rFonts w:eastAsia="Times New Roman"/>
                <w:sz w:val="22"/>
                <w:szCs w:val="22"/>
                <w:lang w:val="en-US"/>
              </w:rPr>
              <w:t>Semana </w:t>
            </w:r>
            <w:r w:rsidRPr="00612E98">
              <w:rPr>
                <w:rFonts w:eastAsia="Times New Roman"/>
                <w:sz w:val="22"/>
                <w:szCs w:val="22"/>
                <w:lang w:val="en-US"/>
              </w:rPr>
              <w:t>16</w:t>
            </w:r>
          </w:p>
          <w:p w14:paraId="39164DAC" w14:textId="77777777" w:rsidR="004462A0" w:rsidRPr="00612E98" w:rsidRDefault="00615769" w:rsidP="00B24AC6">
            <w:pPr>
              <w:keepNext/>
              <w:jc w:val="center"/>
              <w:rPr>
                <w:rFonts w:eastAsia="Times New Roman"/>
                <w:sz w:val="22"/>
                <w:szCs w:val="22"/>
                <w:lang w:val="en-US"/>
              </w:rPr>
            </w:pPr>
            <w:r>
              <w:rPr>
                <w:rFonts w:eastAsia="Times New Roman"/>
                <w:sz w:val="22"/>
                <w:szCs w:val="22"/>
                <w:lang w:val="en-US"/>
              </w:rPr>
              <w:t>Controlado por Placebo</w:t>
            </w:r>
          </w:p>
        </w:tc>
        <w:tc>
          <w:tcPr>
            <w:tcW w:w="2250" w:type="dxa"/>
            <w:gridSpan w:val="2"/>
          </w:tcPr>
          <w:p w14:paraId="27AEA40A" w14:textId="77777777" w:rsidR="004462A0" w:rsidRPr="00612E98" w:rsidRDefault="00615769" w:rsidP="00B24AC6">
            <w:pPr>
              <w:keepNext/>
              <w:jc w:val="center"/>
              <w:rPr>
                <w:rFonts w:eastAsia="Times New Roman"/>
                <w:sz w:val="22"/>
                <w:szCs w:val="22"/>
                <w:lang w:val="en-US"/>
              </w:rPr>
            </w:pPr>
            <w:r>
              <w:rPr>
                <w:rFonts w:eastAsia="Times New Roman"/>
                <w:sz w:val="22"/>
                <w:szCs w:val="22"/>
                <w:lang w:val="en-US"/>
              </w:rPr>
              <w:t>Semana </w:t>
            </w:r>
            <w:r w:rsidRPr="00612E98">
              <w:rPr>
                <w:rFonts w:eastAsia="Times New Roman"/>
                <w:sz w:val="22"/>
                <w:szCs w:val="22"/>
                <w:lang w:val="en-US"/>
              </w:rPr>
              <w:t>26</w:t>
            </w:r>
          </w:p>
          <w:p w14:paraId="71D7E454" w14:textId="77777777" w:rsidR="004462A0" w:rsidRPr="00612E98" w:rsidRDefault="00615769" w:rsidP="00B24AC6">
            <w:pPr>
              <w:keepNext/>
              <w:jc w:val="center"/>
              <w:rPr>
                <w:rFonts w:eastAsia="Times New Roman"/>
                <w:sz w:val="22"/>
                <w:szCs w:val="22"/>
                <w:lang w:val="en-US"/>
              </w:rPr>
            </w:pPr>
            <w:r>
              <w:rPr>
                <w:rFonts w:eastAsia="Times New Roman"/>
                <w:sz w:val="22"/>
                <w:szCs w:val="22"/>
                <w:lang w:val="en-US"/>
              </w:rPr>
              <w:t>Controlado por Placebo</w:t>
            </w:r>
          </w:p>
        </w:tc>
        <w:tc>
          <w:tcPr>
            <w:tcW w:w="2014" w:type="dxa"/>
          </w:tcPr>
          <w:p w14:paraId="025F5C69" w14:textId="77777777" w:rsidR="004462A0" w:rsidRPr="00612E98" w:rsidRDefault="00615769" w:rsidP="00B24AC6">
            <w:pPr>
              <w:keepNext/>
              <w:jc w:val="center"/>
              <w:rPr>
                <w:rFonts w:eastAsia="Times New Roman"/>
                <w:sz w:val="22"/>
                <w:szCs w:val="22"/>
                <w:lang w:val="en-US"/>
              </w:rPr>
            </w:pPr>
            <w:r>
              <w:rPr>
                <w:rFonts w:eastAsia="Times New Roman"/>
                <w:sz w:val="22"/>
                <w:szCs w:val="22"/>
                <w:lang w:val="en-US"/>
              </w:rPr>
              <w:t>Semana </w:t>
            </w:r>
            <w:r w:rsidRPr="00612E98">
              <w:rPr>
                <w:rFonts w:eastAsia="Times New Roman"/>
                <w:sz w:val="22"/>
                <w:szCs w:val="22"/>
                <w:lang w:val="en-US"/>
              </w:rPr>
              <w:t>52</w:t>
            </w:r>
          </w:p>
          <w:p w14:paraId="1F68DF38" w14:textId="77777777" w:rsidR="004462A0" w:rsidRPr="00612E98" w:rsidRDefault="00615769" w:rsidP="00B24AC6">
            <w:pPr>
              <w:keepNext/>
              <w:jc w:val="center"/>
              <w:rPr>
                <w:rFonts w:eastAsia="Times New Roman"/>
                <w:sz w:val="22"/>
                <w:szCs w:val="22"/>
                <w:lang w:val="en-US"/>
              </w:rPr>
            </w:pPr>
            <w:r>
              <w:rPr>
                <w:rFonts w:eastAsia="Times New Roman"/>
                <w:sz w:val="22"/>
                <w:szCs w:val="22"/>
                <w:lang w:val="en-US"/>
              </w:rPr>
              <w:t>Fase aberta</w:t>
            </w:r>
          </w:p>
        </w:tc>
      </w:tr>
      <w:tr w:rsidR="00A7162A" w14:paraId="385EAFA6" w14:textId="77777777" w:rsidTr="00F675CF">
        <w:tc>
          <w:tcPr>
            <w:tcW w:w="2718" w:type="dxa"/>
            <w:vMerge/>
          </w:tcPr>
          <w:p w14:paraId="0D225179" w14:textId="77777777" w:rsidR="004462A0" w:rsidRPr="00612E98" w:rsidRDefault="004462A0" w:rsidP="00B24AC6">
            <w:pPr>
              <w:keepNext/>
              <w:rPr>
                <w:rFonts w:eastAsia="Times New Roman"/>
                <w:sz w:val="22"/>
                <w:szCs w:val="22"/>
                <w:lang w:val="en-US"/>
              </w:rPr>
            </w:pPr>
          </w:p>
        </w:tc>
        <w:tc>
          <w:tcPr>
            <w:tcW w:w="1080" w:type="dxa"/>
          </w:tcPr>
          <w:p w14:paraId="789C3FBB" w14:textId="77777777" w:rsidR="004462A0" w:rsidRPr="00612E98" w:rsidRDefault="00615769" w:rsidP="00B24AC6">
            <w:pPr>
              <w:keepNext/>
              <w:jc w:val="center"/>
              <w:rPr>
                <w:rFonts w:eastAsia="Times New Roman"/>
                <w:sz w:val="22"/>
                <w:szCs w:val="22"/>
                <w:lang w:val="en-US"/>
              </w:rPr>
            </w:pPr>
            <w:r w:rsidRPr="00612E98">
              <w:rPr>
                <w:rFonts w:eastAsia="Times New Roman"/>
                <w:sz w:val="22"/>
                <w:szCs w:val="2"/>
                <w:lang w:val="en-US"/>
              </w:rPr>
              <w:t>Placebo</w:t>
            </w:r>
            <w:r w:rsidRPr="00612E98">
              <w:rPr>
                <w:rFonts w:eastAsia="Times New Roman"/>
                <w:sz w:val="22"/>
                <w:szCs w:val="2"/>
                <w:lang w:val="en-US"/>
              </w:rPr>
              <w:br/>
              <w:t>N=108</w:t>
            </w:r>
          </w:p>
        </w:tc>
        <w:tc>
          <w:tcPr>
            <w:tcW w:w="1260" w:type="dxa"/>
          </w:tcPr>
          <w:p w14:paraId="1D45F2A7" w14:textId="77777777" w:rsidR="004462A0" w:rsidRPr="00B427DD" w:rsidRDefault="00615769" w:rsidP="00B24AC6">
            <w:pPr>
              <w:keepNext/>
              <w:suppressAutoHyphens/>
              <w:overflowPunct w:val="0"/>
              <w:autoSpaceDE w:val="0"/>
              <w:autoSpaceDN w:val="0"/>
              <w:adjustRightInd w:val="0"/>
              <w:jc w:val="center"/>
              <w:textAlignment w:val="baseline"/>
              <w:rPr>
                <w:rFonts w:eastAsia="Times New Roman"/>
                <w:sz w:val="22"/>
              </w:rPr>
            </w:pPr>
            <w:r w:rsidRPr="00B427DD">
              <w:rPr>
                <w:rFonts w:eastAsia="Times New Roman"/>
                <w:sz w:val="22"/>
              </w:rPr>
              <w:t>Humira</w:t>
            </w:r>
          </w:p>
          <w:p w14:paraId="1F7AC51D" w14:textId="77777777" w:rsidR="004462A0" w:rsidRPr="00B427DD" w:rsidRDefault="00615769" w:rsidP="00B24AC6">
            <w:pPr>
              <w:keepNext/>
              <w:jc w:val="center"/>
              <w:rPr>
                <w:rFonts w:eastAsia="Times New Roman"/>
                <w:sz w:val="22"/>
                <w:szCs w:val="22"/>
              </w:rPr>
            </w:pPr>
            <w:r w:rsidRPr="00B427DD">
              <w:rPr>
                <w:rFonts w:eastAsia="Times New Roman"/>
                <w:sz w:val="22"/>
                <w:szCs w:val="2"/>
              </w:rPr>
              <w:t>40 mg em semanas alternadas N=109</w:t>
            </w:r>
          </w:p>
        </w:tc>
        <w:tc>
          <w:tcPr>
            <w:tcW w:w="990" w:type="dxa"/>
          </w:tcPr>
          <w:p w14:paraId="43E8B836" w14:textId="77777777" w:rsidR="004462A0" w:rsidRPr="00612E98" w:rsidRDefault="00615769" w:rsidP="00B24AC6">
            <w:pPr>
              <w:keepNext/>
              <w:jc w:val="center"/>
              <w:rPr>
                <w:rFonts w:eastAsia="Times New Roman"/>
                <w:sz w:val="22"/>
                <w:szCs w:val="22"/>
                <w:lang w:val="en-US"/>
              </w:rPr>
            </w:pPr>
            <w:r w:rsidRPr="00612E98">
              <w:rPr>
                <w:rFonts w:eastAsia="Times New Roman"/>
                <w:sz w:val="22"/>
                <w:szCs w:val="2"/>
                <w:lang w:val="en-US"/>
              </w:rPr>
              <w:t>Placebo</w:t>
            </w:r>
            <w:r w:rsidRPr="00612E98">
              <w:rPr>
                <w:rFonts w:eastAsia="Times New Roman"/>
                <w:sz w:val="22"/>
                <w:szCs w:val="2"/>
                <w:lang w:val="en-US"/>
              </w:rPr>
              <w:br/>
              <w:t>N=108</w:t>
            </w:r>
          </w:p>
        </w:tc>
        <w:tc>
          <w:tcPr>
            <w:tcW w:w="1260" w:type="dxa"/>
          </w:tcPr>
          <w:p w14:paraId="51EFBED1" w14:textId="77777777" w:rsidR="004462A0" w:rsidRPr="00B427DD" w:rsidRDefault="00615769" w:rsidP="00B24AC6">
            <w:pPr>
              <w:keepNext/>
              <w:suppressAutoHyphens/>
              <w:overflowPunct w:val="0"/>
              <w:autoSpaceDE w:val="0"/>
              <w:autoSpaceDN w:val="0"/>
              <w:adjustRightInd w:val="0"/>
              <w:jc w:val="center"/>
              <w:textAlignment w:val="baseline"/>
              <w:rPr>
                <w:rFonts w:eastAsia="Times New Roman"/>
                <w:sz w:val="22"/>
              </w:rPr>
            </w:pPr>
            <w:r w:rsidRPr="00B427DD">
              <w:rPr>
                <w:rFonts w:eastAsia="Times New Roman"/>
                <w:sz w:val="22"/>
              </w:rPr>
              <w:t>Humira</w:t>
            </w:r>
          </w:p>
          <w:p w14:paraId="75783189" w14:textId="77777777" w:rsidR="004462A0" w:rsidRPr="00B427DD" w:rsidRDefault="00615769" w:rsidP="00B24AC6">
            <w:pPr>
              <w:keepNext/>
              <w:jc w:val="center"/>
              <w:rPr>
                <w:rFonts w:eastAsia="Times New Roman"/>
                <w:sz w:val="22"/>
                <w:szCs w:val="22"/>
              </w:rPr>
            </w:pPr>
            <w:r w:rsidRPr="00B427DD">
              <w:rPr>
                <w:rFonts w:eastAsia="Times New Roman"/>
                <w:sz w:val="22"/>
                <w:szCs w:val="2"/>
              </w:rPr>
              <w:t>40 mg em semanas alternadasN=109</w:t>
            </w:r>
          </w:p>
        </w:tc>
        <w:tc>
          <w:tcPr>
            <w:tcW w:w="2014" w:type="dxa"/>
          </w:tcPr>
          <w:p w14:paraId="1F115E44" w14:textId="77777777" w:rsidR="004462A0" w:rsidRPr="00B427DD" w:rsidRDefault="00615769" w:rsidP="00B24AC6">
            <w:pPr>
              <w:keepNext/>
              <w:suppressAutoHyphens/>
              <w:overflowPunct w:val="0"/>
              <w:autoSpaceDE w:val="0"/>
              <w:autoSpaceDN w:val="0"/>
              <w:adjustRightInd w:val="0"/>
              <w:jc w:val="center"/>
              <w:textAlignment w:val="baseline"/>
              <w:rPr>
                <w:rFonts w:eastAsia="Times New Roman"/>
                <w:sz w:val="22"/>
              </w:rPr>
            </w:pPr>
            <w:r w:rsidRPr="00B427DD">
              <w:rPr>
                <w:rFonts w:eastAsia="Times New Roman"/>
                <w:sz w:val="22"/>
              </w:rPr>
              <w:t>Humira</w:t>
            </w:r>
          </w:p>
          <w:p w14:paraId="785A162A" w14:textId="77777777" w:rsidR="004462A0" w:rsidRPr="00B427DD" w:rsidRDefault="00615769" w:rsidP="00B24AC6">
            <w:pPr>
              <w:keepNext/>
              <w:jc w:val="center"/>
              <w:rPr>
                <w:rFonts w:eastAsia="Times New Roman"/>
                <w:sz w:val="22"/>
                <w:szCs w:val="2"/>
              </w:rPr>
            </w:pPr>
            <w:r w:rsidRPr="00B427DD">
              <w:rPr>
                <w:rFonts w:eastAsia="Times New Roman"/>
                <w:sz w:val="22"/>
                <w:szCs w:val="2"/>
              </w:rPr>
              <w:t>40 mg em semanas alternadas</w:t>
            </w:r>
          </w:p>
          <w:p w14:paraId="331143B1" w14:textId="77777777" w:rsidR="004462A0" w:rsidRPr="00B427DD" w:rsidRDefault="00615769" w:rsidP="00B24AC6">
            <w:pPr>
              <w:keepNext/>
              <w:jc w:val="center"/>
              <w:rPr>
                <w:rFonts w:eastAsia="Times New Roman"/>
                <w:sz w:val="22"/>
                <w:szCs w:val="22"/>
              </w:rPr>
            </w:pPr>
            <w:r w:rsidRPr="00B427DD">
              <w:rPr>
                <w:rFonts w:eastAsia="Times New Roman"/>
                <w:sz w:val="22"/>
                <w:szCs w:val="2"/>
              </w:rPr>
              <w:t>N=80</w:t>
            </w:r>
          </w:p>
        </w:tc>
      </w:tr>
      <w:tr w:rsidR="00A7162A" w14:paraId="3819CEAA" w14:textId="77777777" w:rsidTr="00F675CF">
        <w:tc>
          <w:tcPr>
            <w:tcW w:w="2718" w:type="dxa"/>
          </w:tcPr>
          <w:p w14:paraId="23853EAF" w14:textId="77777777" w:rsidR="004462A0" w:rsidRPr="00612E98" w:rsidRDefault="00615769" w:rsidP="00B24AC6">
            <w:pPr>
              <w:keepNext/>
              <w:rPr>
                <w:rFonts w:eastAsia="Times New Roman"/>
                <w:sz w:val="22"/>
                <w:szCs w:val="22"/>
                <w:lang w:val="en-US"/>
              </w:rPr>
            </w:pPr>
            <w:r w:rsidRPr="00612E98">
              <w:rPr>
                <w:rFonts w:eastAsia="Times New Roman"/>
                <w:sz w:val="22"/>
                <w:szCs w:val="2"/>
                <w:lang w:val="en-US"/>
              </w:rPr>
              <w:t>≥ mNAPSI 75 (%)</w:t>
            </w:r>
          </w:p>
        </w:tc>
        <w:tc>
          <w:tcPr>
            <w:tcW w:w="1080" w:type="dxa"/>
          </w:tcPr>
          <w:p w14:paraId="49C28F13" w14:textId="77777777" w:rsidR="004462A0" w:rsidRPr="00612E98" w:rsidRDefault="00615769" w:rsidP="00B24AC6">
            <w:pPr>
              <w:keepNext/>
              <w:jc w:val="center"/>
              <w:rPr>
                <w:rFonts w:eastAsia="Times New Roman"/>
                <w:sz w:val="22"/>
                <w:szCs w:val="22"/>
                <w:lang w:val="en-US"/>
              </w:rPr>
            </w:pPr>
            <w:r w:rsidRPr="00612E98">
              <w:rPr>
                <w:rFonts w:eastAsia="Times New Roman"/>
                <w:sz w:val="22"/>
                <w:szCs w:val="22"/>
                <w:lang w:val="en-US"/>
              </w:rPr>
              <w:t>2</w:t>
            </w:r>
            <w:r>
              <w:rPr>
                <w:rFonts w:eastAsia="Times New Roman"/>
                <w:sz w:val="22"/>
                <w:szCs w:val="22"/>
                <w:lang w:val="en-US"/>
              </w:rPr>
              <w:t>,</w:t>
            </w:r>
            <w:r w:rsidRPr="00612E98">
              <w:rPr>
                <w:rFonts w:eastAsia="Times New Roman"/>
                <w:sz w:val="22"/>
                <w:szCs w:val="22"/>
                <w:lang w:val="en-US"/>
              </w:rPr>
              <w:t>9</w:t>
            </w:r>
          </w:p>
        </w:tc>
        <w:tc>
          <w:tcPr>
            <w:tcW w:w="1260" w:type="dxa"/>
          </w:tcPr>
          <w:p w14:paraId="47F79B07" w14:textId="77777777" w:rsidR="004462A0" w:rsidRPr="00612E98" w:rsidRDefault="00615769" w:rsidP="00B24AC6">
            <w:pPr>
              <w:keepNext/>
              <w:jc w:val="center"/>
              <w:rPr>
                <w:rFonts w:eastAsia="Times New Roman"/>
                <w:sz w:val="22"/>
                <w:szCs w:val="22"/>
                <w:lang w:val="en-US"/>
              </w:rPr>
            </w:pPr>
            <w:r w:rsidRPr="00612E98">
              <w:rPr>
                <w:rFonts w:eastAsia="Times New Roman"/>
                <w:sz w:val="22"/>
                <w:szCs w:val="22"/>
                <w:lang w:val="en-US"/>
              </w:rPr>
              <w:t>26</w:t>
            </w:r>
            <w:r>
              <w:rPr>
                <w:rFonts w:eastAsia="Times New Roman"/>
                <w:sz w:val="22"/>
                <w:szCs w:val="22"/>
                <w:lang w:val="en-US"/>
              </w:rPr>
              <w:t>,</w:t>
            </w:r>
            <w:r w:rsidRPr="00612E98">
              <w:rPr>
                <w:rFonts w:eastAsia="Times New Roman"/>
                <w:sz w:val="22"/>
                <w:szCs w:val="22"/>
                <w:lang w:val="en-US"/>
              </w:rPr>
              <w:t>0</w:t>
            </w:r>
            <w:r w:rsidRPr="00612E98">
              <w:rPr>
                <w:rFonts w:eastAsia="Times New Roman"/>
                <w:sz w:val="22"/>
                <w:szCs w:val="22"/>
                <w:vertAlign w:val="superscript"/>
                <w:lang w:val="en-US"/>
              </w:rPr>
              <w:t>a</w:t>
            </w:r>
          </w:p>
        </w:tc>
        <w:tc>
          <w:tcPr>
            <w:tcW w:w="990" w:type="dxa"/>
          </w:tcPr>
          <w:p w14:paraId="01032E31" w14:textId="77777777" w:rsidR="004462A0" w:rsidRPr="00612E98" w:rsidRDefault="00615769" w:rsidP="00B24AC6">
            <w:pPr>
              <w:keepNext/>
              <w:tabs>
                <w:tab w:val="left" w:pos="562"/>
              </w:tabs>
              <w:suppressAutoHyphens/>
              <w:jc w:val="center"/>
              <w:rPr>
                <w:rFonts w:eastAsia="Times New Roman"/>
                <w:sz w:val="22"/>
                <w:szCs w:val="22"/>
                <w:lang w:val="en-US"/>
              </w:rPr>
            </w:pPr>
            <w:r w:rsidRPr="00612E98">
              <w:rPr>
                <w:rFonts w:eastAsia="Times New Roman"/>
                <w:sz w:val="22"/>
                <w:szCs w:val="22"/>
                <w:lang w:val="en-US"/>
              </w:rPr>
              <w:t>3</w:t>
            </w:r>
            <w:r>
              <w:rPr>
                <w:rFonts w:eastAsia="Times New Roman"/>
                <w:sz w:val="22"/>
                <w:szCs w:val="22"/>
                <w:lang w:val="en-US"/>
              </w:rPr>
              <w:t>,</w:t>
            </w:r>
            <w:r w:rsidRPr="00612E98">
              <w:rPr>
                <w:rFonts w:eastAsia="Times New Roman"/>
                <w:sz w:val="22"/>
                <w:szCs w:val="22"/>
                <w:lang w:val="en-US"/>
              </w:rPr>
              <w:t>4</w:t>
            </w:r>
          </w:p>
        </w:tc>
        <w:tc>
          <w:tcPr>
            <w:tcW w:w="1260" w:type="dxa"/>
          </w:tcPr>
          <w:p w14:paraId="720FCEB0" w14:textId="77777777" w:rsidR="004462A0" w:rsidRPr="00612E98" w:rsidRDefault="00615769" w:rsidP="00B24AC6">
            <w:pPr>
              <w:keepNext/>
              <w:tabs>
                <w:tab w:val="left" w:pos="562"/>
              </w:tabs>
              <w:suppressAutoHyphens/>
              <w:jc w:val="center"/>
              <w:rPr>
                <w:rFonts w:eastAsia="Times New Roman"/>
                <w:sz w:val="22"/>
                <w:szCs w:val="22"/>
                <w:lang w:val="en-US"/>
              </w:rPr>
            </w:pPr>
            <w:r w:rsidRPr="00612E98">
              <w:rPr>
                <w:rFonts w:eastAsia="Times New Roman"/>
                <w:sz w:val="22"/>
                <w:szCs w:val="22"/>
                <w:lang w:val="en-US"/>
              </w:rPr>
              <w:t>46</w:t>
            </w:r>
            <w:r>
              <w:rPr>
                <w:rFonts w:eastAsia="Times New Roman"/>
                <w:sz w:val="22"/>
                <w:szCs w:val="22"/>
                <w:lang w:val="en-US"/>
              </w:rPr>
              <w:t>,</w:t>
            </w:r>
            <w:r w:rsidRPr="00612E98">
              <w:rPr>
                <w:rFonts w:eastAsia="Times New Roman"/>
                <w:sz w:val="22"/>
                <w:szCs w:val="22"/>
                <w:lang w:val="en-US"/>
              </w:rPr>
              <w:t>6</w:t>
            </w:r>
            <w:r w:rsidRPr="00612E98">
              <w:rPr>
                <w:rFonts w:eastAsia="Times New Roman"/>
                <w:sz w:val="22"/>
                <w:szCs w:val="22"/>
                <w:vertAlign w:val="superscript"/>
                <w:lang w:val="en-US"/>
              </w:rPr>
              <w:t>a</w:t>
            </w:r>
          </w:p>
        </w:tc>
        <w:tc>
          <w:tcPr>
            <w:tcW w:w="2014" w:type="dxa"/>
          </w:tcPr>
          <w:p w14:paraId="63791B51" w14:textId="77777777" w:rsidR="004462A0" w:rsidRPr="00612E98" w:rsidRDefault="00615769" w:rsidP="00B24AC6">
            <w:pPr>
              <w:keepNext/>
              <w:jc w:val="center"/>
              <w:rPr>
                <w:rFonts w:eastAsia="Times New Roman"/>
                <w:sz w:val="22"/>
                <w:szCs w:val="22"/>
                <w:lang w:val="en-US"/>
              </w:rPr>
            </w:pPr>
            <w:r w:rsidRPr="00612E98">
              <w:rPr>
                <w:rFonts w:eastAsia="Times New Roman"/>
                <w:sz w:val="22"/>
                <w:szCs w:val="22"/>
                <w:lang w:val="en-US"/>
              </w:rPr>
              <w:t>65</w:t>
            </w:r>
            <w:r>
              <w:rPr>
                <w:rFonts w:eastAsia="Times New Roman"/>
                <w:sz w:val="22"/>
                <w:szCs w:val="22"/>
                <w:lang w:val="en-US"/>
              </w:rPr>
              <w:t>,</w:t>
            </w:r>
            <w:r w:rsidRPr="00612E98">
              <w:rPr>
                <w:rFonts w:eastAsia="Times New Roman"/>
                <w:sz w:val="22"/>
                <w:szCs w:val="22"/>
                <w:lang w:val="en-US"/>
              </w:rPr>
              <w:t>0</w:t>
            </w:r>
          </w:p>
        </w:tc>
      </w:tr>
      <w:tr w:rsidR="00A7162A" w14:paraId="520C8886" w14:textId="77777777" w:rsidTr="00F675CF">
        <w:tc>
          <w:tcPr>
            <w:tcW w:w="2718" w:type="dxa"/>
          </w:tcPr>
          <w:p w14:paraId="511A1A3C" w14:textId="77777777" w:rsidR="004462A0" w:rsidRPr="00612E98" w:rsidRDefault="00615769" w:rsidP="00B24AC6">
            <w:pPr>
              <w:keepNext/>
              <w:rPr>
                <w:rFonts w:eastAsia="Times New Roman"/>
                <w:sz w:val="22"/>
                <w:szCs w:val="22"/>
              </w:rPr>
            </w:pPr>
            <w:r w:rsidRPr="00612E98">
              <w:rPr>
                <w:rFonts w:eastAsia="Times New Roman"/>
                <w:sz w:val="22"/>
                <w:szCs w:val="22"/>
              </w:rPr>
              <w:t xml:space="preserve">PGA-F limpo/mínimo e </w:t>
            </w:r>
            <w:r w:rsidR="008F2FAC" w:rsidRPr="00612E98">
              <w:rPr>
                <w:rFonts w:eastAsia="Times New Roman"/>
                <w:sz w:val="22"/>
                <w:szCs w:val="22"/>
              </w:rPr>
              <w:t xml:space="preserve">melhoria </w:t>
            </w:r>
            <w:r w:rsidRPr="00612E98">
              <w:rPr>
                <w:rFonts w:eastAsia="Times New Roman"/>
                <w:sz w:val="22"/>
                <w:szCs w:val="22"/>
              </w:rPr>
              <w:t>≥2</w:t>
            </w:r>
            <w:r w:rsidR="008F2FAC">
              <w:rPr>
                <w:rFonts w:eastAsia="Times New Roman"/>
                <w:sz w:val="22"/>
                <w:szCs w:val="22"/>
              </w:rPr>
              <w:t xml:space="preserve"> graus</w:t>
            </w:r>
            <w:r w:rsidRPr="00612E98">
              <w:rPr>
                <w:rFonts w:eastAsia="Times New Roman"/>
                <w:sz w:val="22"/>
                <w:szCs w:val="22"/>
              </w:rPr>
              <w:t xml:space="preserve"> (%)</w:t>
            </w:r>
          </w:p>
        </w:tc>
        <w:tc>
          <w:tcPr>
            <w:tcW w:w="1080" w:type="dxa"/>
          </w:tcPr>
          <w:p w14:paraId="716D5EC3" w14:textId="77777777" w:rsidR="004462A0" w:rsidRPr="00612E98" w:rsidRDefault="00615769" w:rsidP="00B24AC6">
            <w:pPr>
              <w:keepNext/>
              <w:jc w:val="center"/>
              <w:rPr>
                <w:rFonts w:eastAsia="Times New Roman"/>
                <w:sz w:val="22"/>
                <w:szCs w:val="22"/>
                <w:lang w:val="en-US"/>
              </w:rPr>
            </w:pPr>
            <w:r w:rsidRPr="00612E98">
              <w:rPr>
                <w:rFonts w:eastAsia="Times New Roman"/>
                <w:sz w:val="22"/>
                <w:szCs w:val="22"/>
                <w:lang w:val="en-US"/>
              </w:rPr>
              <w:t>2</w:t>
            </w:r>
            <w:r>
              <w:rPr>
                <w:rFonts w:eastAsia="Times New Roman"/>
                <w:sz w:val="22"/>
                <w:szCs w:val="22"/>
                <w:lang w:val="en-US"/>
              </w:rPr>
              <w:t>,</w:t>
            </w:r>
            <w:r w:rsidRPr="00612E98">
              <w:rPr>
                <w:rFonts w:eastAsia="Times New Roman"/>
                <w:sz w:val="22"/>
                <w:szCs w:val="22"/>
                <w:lang w:val="en-US"/>
              </w:rPr>
              <w:t>9</w:t>
            </w:r>
          </w:p>
        </w:tc>
        <w:tc>
          <w:tcPr>
            <w:tcW w:w="1260" w:type="dxa"/>
          </w:tcPr>
          <w:p w14:paraId="0BD95F6C" w14:textId="77777777" w:rsidR="004462A0" w:rsidRPr="00612E98" w:rsidRDefault="00615769" w:rsidP="00B24AC6">
            <w:pPr>
              <w:keepNext/>
              <w:jc w:val="center"/>
              <w:rPr>
                <w:rFonts w:eastAsia="Times New Roman"/>
                <w:sz w:val="22"/>
                <w:szCs w:val="22"/>
                <w:lang w:val="en-US"/>
              </w:rPr>
            </w:pPr>
            <w:r w:rsidRPr="00612E98">
              <w:rPr>
                <w:rFonts w:eastAsia="Times New Roman"/>
                <w:sz w:val="22"/>
                <w:szCs w:val="22"/>
                <w:lang w:val="en-US"/>
              </w:rPr>
              <w:t>29</w:t>
            </w:r>
            <w:r>
              <w:rPr>
                <w:rFonts w:eastAsia="Times New Roman"/>
                <w:sz w:val="22"/>
                <w:szCs w:val="22"/>
                <w:lang w:val="en-US"/>
              </w:rPr>
              <w:t>,</w:t>
            </w:r>
            <w:r w:rsidRPr="00612E98">
              <w:rPr>
                <w:rFonts w:eastAsia="Times New Roman"/>
                <w:sz w:val="22"/>
                <w:szCs w:val="22"/>
                <w:lang w:val="en-US"/>
              </w:rPr>
              <w:t>7</w:t>
            </w:r>
            <w:r w:rsidRPr="00612E98">
              <w:rPr>
                <w:rFonts w:eastAsia="Times New Roman"/>
                <w:sz w:val="22"/>
                <w:szCs w:val="22"/>
                <w:vertAlign w:val="superscript"/>
                <w:lang w:val="en-US"/>
              </w:rPr>
              <w:t>a</w:t>
            </w:r>
          </w:p>
        </w:tc>
        <w:tc>
          <w:tcPr>
            <w:tcW w:w="990" w:type="dxa"/>
          </w:tcPr>
          <w:p w14:paraId="2D2E5A06" w14:textId="77777777" w:rsidR="004462A0" w:rsidRPr="00612E98" w:rsidRDefault="00615769" w:rsidP="00B24AC6">
            <w:pPr>
              <w:keepNext/>
              <w:tabs>
                <w:tab w:val="left" w:pos="562"/>
              </w:tabs>
              <w:suppressAutoHyphens/>
              <w:jc w:val="center"/>
              <w:rPr>
                <w:rFonts w:eastAsia="Times New Roman"/>
                <w:sz w:val="22"/>
                <w:szCs w:val="22"/>
                <w:lang w:val="en-US"/>
              </w:rPr>
            </w:pPr>
            <w:r w:rsidRPr="00612E98">
              <w:rPr>
                <w:rFonts w:eastAsia="Times New Roman"/>
                <w:sz w:val="22"/>
                <w:szCs w:val="22"/>
                <w:lang w:val="en-US"/>
              </w:rPr>
              <w:t>6</w:t>
            </w:r>
            <w:r>
              <w:rPr>
                <w:rFonts w:eastAsia="Times New Roman"/>
                <w:sz w:val="22"/>
                <w:szCs w:val="22"/>
                <w:lang w:val="en-US"/>
              </w:rPr>
              <w:t>,</w:t>
            </w:r>
            <w:r w:rsidRPr="00612E98">
              <w:rPr>
                <w:rFonts w:eastAsia="Times New Roman"/>
                <w:sz w:val="22"/>
                <w:szCs w:val="22"/>
                <w:lang w:val="en-US"/>
              </w:rPr>
              <w:t>9</w:t>
            </w:r>
          </w:p>
        </w:tc>
        <w:tc>
          <w:tcPr>
            <w:tcW w:w="1260" w:type="dxa"/>
          </w:tcPr>
          <w:p w14:paraId="66405CF6" w14:textId="77777777" w:rsidR="004462A0" w:rsidRPr="00612E98" w:rsidRDefault="00615769" w:rsidP="00B24AC6">
            <w:pPr>
              <w:keepNext/>
              <w:tabs>
                <w:tab w:val="left" w:pos="562"/>
              </w:tabs>
              <w:suppressAutoHyphens/>
              <w:jc w:val="center"/>
              <w:rPr>
                <w:rFonts w:eastAsia="Times New Roman"/>
                <w:sz w:val="22"/>
                <w:szCs w:val="22"/>
                <w:lang w:val="en-US"/>
              </w:rPr>
            </w:pPr>
            <w:r w:rsidRPr="00612E98">
              <w:rPr>
                <w:rFonts w:eastAsia="Times New Roman"/>
                <w:sz w:val="22"/>
                <w:szCs w:val="22"/>
                <w:lang w:val="en-US"/>
              </w:rPr>
              <w:t>48</w:t>
            </w:r>
            <w:r>
              <w:rPr>
                <w:rFonts w:eastAsia="Times New Roman"/>
                <w:sz w:val="22"/>
                <w:szCs w:val="22"/>
                <w:lang w:val="en-US"/>
              </w:rPr>
              <w:t>,</w:t>
            </w:r>
            <w:r w:rsidRPr="00612E98">
              <w:rPr>
                <w:rFonts w:eastAsia="Times New Roman"/>
                <w:sz w:val="22"/>
                <w:szCs w:val="22"/>
                <w:lang w:val="en-US"/>
              </w:rPr>
              <w:t>9</w:t>
            </w:r>
            <w:r w:rsidRPr="00612E98">
              <w:rPr>
                <w:rFonts w:eastAsia="Times New Roman"/>
                <w:sz w:val="22"/>
                <w:szCs w:val="22"/>
                <w:vertAlign w:val="superscript"/>
                <w:lang w:val="en-US"/>
              </w:rPr>
              <w:t>a</w:t>
            </w:r>
          </w:p>
        </w:tc>
        <w:tc>
          <w:tcPr>
            <w:tcW w:w="2014" w:type="dxa"/>
          </w:tcPr>
          <w:p w14:paraId="4E3B3FD4" w14:textId="77777777" w:rsidR="004462A0" w:rsidRPr="00612E98" w:rsidRDefault="00615769" w:rsidP="00B24AC6">
            <w:pPr>
              <w:keepNext/>
              <w:jc w:val="center"/>
              <w:rPr>
                <w:rFonts w:eastAsia="Times New Roman"/>
                <w:sz w:val="22"/>
                <w:szCs w:val="22"/>
                <w:lang w:val="en-US"/>
              </w:rPr>
            </w:pPr>
            <w:r w:rsidRPr="00612E98">
              <w:rPr>
                <w:rFonts w:eastAsia="Times New Roman"/>
                <w:sz w:val="22"/>
                <w:szCs w:val="22"/>
                <w:lang w:val="en-US"/>
              </w:rPr>
              <w:t>61</w:t>
            </w:r>
            <w:r>
              <w:rPr>
                <w:rFonts w:eastAsia="Times New Roman"/>
                <w:sz w:val="22"/>
                <w:szCs w:val="22"/>
                <w:lang w:val="en-US"/>
              </w:rPr>
              <w:t>,</w:t>
            </w:r>
            <w:r w:rsidRPr="00612E98">
              <w:rPr>
                <w:rFonts w:eastAsia="Times New Roman"/>
                <w:sz w:val="22"/>
                <w:szCs w:val="22"/>
                <w:lang w:val="en-US"/>
              </w:rPr>
              <w:t>3</w:t>
            </w:r>
          </w:p>
        </w:tc>
      </w:tr>
      <w:tr w:rsidR="00A7162A" w14:paraId="0D48D7BC" w14:textId="77777777" w:rsidTr="00F675CF">
        <w:tc>
          <w:tcPr>
            <w:tcW w:w="2718" w:type="dxa"/>
          </w:tcPr>
          <w:p w14:paraId="45DE54B8" w14:textId="77777777" w:rsidR="004462A0" w:rsidRPr="00475D7E" w:rsidRDefault="00615769" w:rsidP="00B24AC6">
            <w:pPr>
              <w:keepNext/>
              <w:rPr>
                <w:rFonts w:eastAsia="Times New Roman"/>
                <w:sz w:val="22"/>
                <w:szCs w:val="22"/>
              </w:rPr>
            </w:pPr>
            <w:r>
              <w:rPr>
                <w:rFonts w:eastAsia="Times New Roman"/>
                <w:sz w:val="22"/>
                <w:szCs w:val="22"/>
              </w:rPr>
              <w:t>Alteração</w:t>
            </w:r>
            <w:r w:rsidRPr="00475D7E">
              <w:rPr>
                <w:rFonts w:eastAsia="Times New Roman"/>
                <w:sz w:val="22"/>
                <w:szCs w:val="22"/>
              </w:rPr>
              <w:t xml:space="preserve"> percentual na </w:t>
            </w:r>
            <w:r>
              <w:rPr>
                <w:rFonts w:eastAsia="Times New Roman"/>
                <w:sz w:val="22"/>
                <w:szCs w:val="22"/>
              </w:rPr>
              <w:t xml:space="preserve">Avaliação Ungueal Total </w:t>
            </w:r>
            <w:r w:rsidRPr="00475D7E">
              <w:rPr>
                <w:rFonts w:eastAsia="Times New Roman"/>
                <w:sz w:val="22"/>
                <w:szCs w:val="22"/>
              </w:rPr>
              <w:t xml:space="preserve"> NAPSI (%)</w:t>
            </w:r>
          </w:p>
        </w:tc>
        <w:tc>
          <w:tcPr>
            <w:tcW w:w="1080" w:type="dxa"/>
          </w:tcPr>
          <w:p w14:paraId="7D650117" w14:textId="77777777" w:rsidR="004462A0" w:rsidRPr="00612E98" w:rsidRDefault="00615769" w:rsidP="00B24AC6">
            <w:pPr>
              <w:keepNext/>
              <w:jc w:val="center"/>
              <w:rPr>
                <w:rFonts w:eastAsia="Times New Roman"/>
                <w:sz w:val="22"/>
                <w:szCs w:val="22"/>
                <w:lang w:val="en-US"/>
              </w:rPr>
            </w:pPr>
            <w:r w:rsidRPr="00612E98">
              <w:rPr>
                <w:rFonts w:eastAsia="Times New Roman"/>
                <w:sz w:val="22"/>
                <w:szCs w:val="22"/>
                <w:lang w:val="en-US"/>
              </w:rPr>
              <w:t>-7</w:t>
            </w:r>
            <w:r>
              <w:rPr>
                <w:rFonts w:eastAsia="Times New Roman"/>
                <w:sz w:val="22"/>
                <w:szCs w:val="22"/>
                <w:lang w:val="en-US"/>
              </w:rPr>
              <w:t>,</w:t>
            </w:r>
            <w:r w:rsidRPr="00612E98">
              <w:rPr>
                <w:rFonts w:eastAsia="Times New Roman"/>
                <w:sz w:val="22"/>
                <w:szCs w:val="22"/>
                <w:lang w:val="en-US"/>
              </w:rPr>
              <w:t>8</w:t>
            </w:r>
          </w:p>
        </w:tc>
        <w:tc>
          <w:tcPr>
            <w:tcW w:w="1260" w:type="dxa"/>
          </w:tcPr>
          <w:p w14:paraId="26E7BEED" w14:textId="77777777" w:rsidR="004462A0" w:rsidRPr="00612E98" w:rsidRDefault="00615769" w:rsidP="00B24AC6">
            <w:pPr>
              <w:keepNext/>
              <w:jc w:val="center"/>
              <w:rPr>
                <w:rFonts w:eastAsia="Times New Roman"/>
                <w:sz w:val="22"/>
                <w:szCs w:val="22"/>
                <w:lang w:val="en-US"/>
              </w:rPr>
            </w:pPr>
            <w:r w:rsidRPr="00612E98">
              <w:rPr>
                <w:rFonts w:eastAsia="Times New Roman"/>
                <w:sz w:val="22"/>
                <w:szCs w:val="22"/>
                <w:lang w:val="en-US"/>
              </w:rPr>
              <w:t>-44</w:t>
            </w:r>
            <w:r>
              <w:rPr>
                <w:rFonts w:eastAsia="Times New Roman"/>
                <w:sz w:val="22"/>
                <w:szCs w:val="22"/>
                <w:lang w:val="en-US"/>
              </w:rPr>
              <w:t>,</w:t>
            </w:r>
            <w:r w:rsidRPr="00612E98">
              <w:rPr>
                <w:rFonts w:eastAsia="Times New Roman"/>
                <w:sz w:val="22"/>
                <w:szCs w:val="22"/>
                <w:lang w:val="en-US"/>
              </w:rPr>
              <w:t>2</w:t>
            </w:r>
            <w:r w:rsidRPr="00612E98">
              <w:rPr>
                <w:rFonts w:eastAsia="Times New Roman"/>
                <w:sz w:val="22"/>
                <w:szCs w:val="22"/>
                <w:vertAlign w:val="superscript"/>
                <w:lang w:val="en-US"/>
              </w:rPr>
              <w:t xml:space="preserve"> a</w:t>
            </w:r>
          </w:p>
        </w:tc>
        <w:tc>
          <w:tcPr>
            <w:tcW w:w="990" w:type="dxa"/>
          </w:tcPr>
          <w:p w14:paraId="23944F69" w14:textId="77777777" w:rsidR="004462A0" w:rsidRPr="00612E98" w:rsidRDefault="00615769" w:rsidP="00B24AC6">
            <w:pPr>
              <w:keepNext/>
              <w:tabs>
                <w:tab w:val="left" w:pos="562"/>
              </w:tabs>
              <w:suppressAutoHyphens/>
              <w:jc w:val="center"/>
              <w:rPr>
                <w:rFonts w:eastAsia="Times New Roman"/>
                <w:sz w:val="22"/>
                <w:szCs w:val="22"/>
                <w:lang w:val="en-US"/>
              </w:rPr>
            </w:pPr>
            <w:r w:rsidRPr="00612E98">
              <w:rPr>
                <w:rFonts w:eastAsia="Times New Roman"/>
                <w:sz w:val="22"/>
                <w:szCs w:val="22"/>
                <w:lang w:val="en-US"/>
              </w:rPr>
              <w:t>-11</w:t>
            </w:r>
            <w:r>
              <w:rPr>
                <w:rFonts w:eastAsia="Times New Roman"/>
                <w:sz w:val="22"/>
                <w:szCs w:val="22"/>
                <w:lang w:val="en-US"/>
              </w:rPr>
              <w:t>,</w:t>
            </w:r>
            <w:r w:rsidRPr="00612E98">
              <w:rPr>
                <w:rFonts w:eastAsia="Times New Roman"/>
                <w:sz w:val="22"/>
                <w:szCs w:val="22"/>
                <w:lang w:val="en-US"/>
              </w:rPr>
              <w:t>5</w:t>
            </w:r>
          </w:p>
        </w:tc>
        <w:tc>
          <w:tcPr>
            <w:tcW w:w="1260" w:type="dxa"/>
          </w:tcPr>
          <w:p w14:paraId="0BB7234C" w14:textId="77777777" w:rsidR="004462A0" w:rsidRPr="00612E98" w:rsidRDefault="00615769" w:rsidP="00B24AC6">
            <w:pPr>
              <w:keepNext/>
              <w:tabs>
                <w:tab w:val="left" w:pos="562"/>
              </w:tabs>
              <w:suppressAutoHyphens/>
              <w:jc w:val="center"/>
              <w:rPr>
                <w:rFonts w:eastAsia="Times New Roman"/>
                <w:sz w:val="22"/>
                <w:szCs w:val="22"/>
                <w:lang w:val="en-US"/>
              </w:rPr>
            </w:pPr>
            <w:r w:rsidRPr="00612E98">
              <w:rPr>
                <w:rFonts w:eastAsia="Times New Roman"/>
                <w:sz w:val="22"/>
                <w:szCs w:val="22"/>
                <w:lang w:val="en-US"/>
              </w:rPr>
              <w:t>-56</w:t>
            </w:r>
            <w:r>
              <w:rPr>
                <w:rFonts w:eastAsia="Times New Roman"/>
                <w:sz w:val="22"/>
                <w:szCs w:val="22"/>
                <w:lang w:val="en-US"/>
              </w:rPr>
              <w:t>,</w:t>
            </w:r>
            <w:r w:rsidRPr="00612E98">
              <w:rPr>
                <w:rFonts w:eastAsia="Times New Roman"/>
                <w:sz w:val="22"/>
                <w:szCs w:val="22"/>
                <w:lang w:val="en-US"/>
              </w:rPr>
              <w:t>2</w:t>
            </w:r>
            <w:r w:rsidRPr="00612E98">
              <w:rPr>
                <w:rFonts w:eastAsia="Times New Roman"/>
                <w:sz w:val="22"/>
                <w:szCs w:val="22"/>
                <w:vertAlign w:val="superscript"/>
                <w:lang w:val="en-US"/>
              </w:rPr>
              <w:t>a</w:t>
            </w:r>
          </w:p>
        </w:tc>
        <w:tc>
          <w:tcPr>
            <w:tcW w:w="2014" w:type="dxa"/>
          </w:tcPr>
          <w:p w14:paraId="0BD1DE46" w14:textId="77777777" w:rsidR="004462A0" w:rsidRPr="00612E98" w:rsidRDefault="00615769" w:rsidP="00B24AC6">
            <w:pPr>
              <w:keepNext/>
              <w:jc w:val="center"/>
              <w:rPr>
                <w:rFonts w:eastAsia="Times New Roman"/>
                <w:sz w:val="22"/>
                <w:szCs w:val="22"/>
                <w:lang w:val="en-US"/>
              </w:rPr>
            </w:pPr>
            <w:r w:rsidRPr="00612E98">
              <w:rPr>
                <w:rFonts w:eastAsia="Times New Roman"/>
                <w:sz w:val="22"/>
                <w:szCs w:val="22"/>
                <w:lang w:val="en-US"/>
              </w:rPr>
              <w:t>-72</w:t>
            </w:r>
            <w:r>
              <w:rPr>
                <w:rFonts w:eastAsia="Times New Roman"/>
                <w:sz w:val="22"/>
                <w:szCs w:val="22"/>
                <w:lang w:val="en-US"/>
              </w:rPr>
              <w:t>,</w:t>
            </w:r>
            <w:r w:rsidRPr="00612E98">
              <w:rPr>
                <w:rFonts w:eastAsia="Times New Roman"/>
                <w:sz w:val="22"/>
                <w:szCs w:val="22"/>
                <w:lang w:val="en-US"/>
              </w:rPr>
              <w:t>2</w:t>
            </w:r>
          </w:p>
        </w:tc>
      </w:tr>
      <w:tr w:rsidR="00A7162A" w14:paraId="26CD1DD4" w14:textId="77777777" w:rsidTr="00F675CF">
        <w:tc>
          <w:tcPr>
            <w:tcW w:w="9322" w:type="dxa"/>
            <w:gridSpan w:val="6"/>
          </w:tcPr>
          <w:p w14:paraId="3E88F288" w14:textId="77777777" w:rsidR="004462A0" w:rsidRPr="00612E98" w:rsidRDefault="00615769" w:rsidP="00B24AC6">
            <w:pPr>
              <w:keepNext/>
              <w:rPr>
                <w:rFonts w:eastAsia="Times New Roman"/>
                <w:sz w:val="22"/>
                <w:szCs w:val="22"/>
              </w:rPr>
            </w:pPr>
            <w:r w:rsidRPr="00612E98">
              <w:rPr>
                <w:rFonts w:eastAsia="Times New Roman"/>
                <w:sz w:val="22"/>
                <w:szCs w:val="22"/>
                <w:vertAlign w:val="superscript"/>
              </w:rPr>
              <w:t>a</w:t>
            </w:r>
            <w:r w:rsidRPr="00612E98">
              <w:rPr>
                <w:rFonts w:eastAsia="Times New Roman"/>
                <w:sz w:val="22"/>
                <w:szCs w:val="22"/>
              </w:rPr>
              <w:t xml:space="preserve"> p&lt;</w:t>
            </w:r>
            <w:r>
              <w:rPr>
                <w:rFonts w:eastAsia="Times New Roman"/>
                <w:sz w:val="22"/>
                <w:szCs w:val="22"/>
              </w:rPr>
              <w:t> </w:t>
            </w:r>
            <w:r w:rsidRPr="00612E98">
              <w:rPr>
                <w:rFonts w:eastAsia="Times New Roman"/>
                <w:sz w:val="22"/>
                <w:szCs w:val="22"/>
              </w:rPr>
              <w:t>0</w:t>
            </w:r>
            <w:r w:rsidR="009343EF">
              <w:rPr>
                <w:rFonts w:eastAsia="Times New Roman"/>
                <w:sz w:val="22"/>
                <w:szCs w:val="22"/>
              </w:rPr>
              <w:t>,</w:t>
            </w:r>
            <w:r w:rsidRPr="00612E98">
              <w:rPr>
                <w:rFonts w:eastAsia="Times New Roman"/>
                <w:sz w:val="22"/>
                <w:szCs w:val="22"/>
              </w:rPr>
              <w:t xml:space="preserve">001, Humira </w:t>
            </w:r>
            <w:r w:rsidRPr="00612E98">
              <w:rPr>
                <w:rFonts w:eastAsia="Times New Roman"/>
                <w:i/>
                <w:sz w:val="22"/>
                <w:szCs w:val="22"/>
              </w:rPr>
              <w:t>vs.</w:t>
            </w:r>
            <w:r w:rsidRPr="00612E98">
              <w:rPr>
                <w:rFonts w:eastAsia="Times New Roman"/>
                <w:sz w:val="22"/>
                <w:szCs w:val="22"/>
              </w:rPr>
              <w:t xml:space="preserve"> placebo </w:t>
            </w:r>
          </w:p>
        </w:tc>
      </w:tr>
    </w:tbl>
    <w:p w14:paraId="25FE205D" w14:textId="77777777" w:rsidR="004462A0" w:rsidRDefault="004462A0" w:rsidP="004462A0">
      <w:pPr>
        <w:rPr>
          <w:sz w:val="22"/>
          <w:szCs w:val="22"/>
          <w:u w:val="single"/>
        </w:rPr>
      </w:pPr>
    </w:p>
    <w:p w14:paraId="212C5B2A" w14:textId="77777777" w:rsidR="008F2FAC" w:rsidRPr="00CB25CC" w:rsidRDefault="00615769" w:rsidP="008F2FAC">
      <w:pPr>
        <w:tabs>
          <w:tab w:val="left" w:pos="562"/>
        </w:tabs>
        <w:suppressAutoHyphens/>
        <w:rPr>
          <w:rFonts w:eastAsia="Times New Roman"/>
          <w:sz w:val="22"/>
          <w:szCs w:val="22"/>
        </w:rPr>
      </w:pPr>
      <w:r w:rsidRPr="00CB25CC">
        <w:rPr>
          <w:rFonts w:eastAsia="Times New Roman"/>
          <w:sz w:val="22"/>
          <w:szCs w:val="22"/>
        </w:rPr>
        <w:t>Os doentes tratados com Humira revelaram melho</w:t>
      </w:r>
      <w:r>
        <w:rPr>
          <w:rFonts w:eastAsia="Times New Roman"/>
          <w:sz w:val="22"/>
          <w:szCs w:val="22"/>
        </w:rPr>
        <w:t>ri</w:t>
      </w:r>
      <w:r w:rsidRPr="00CB25CC">
        <w:rPr>
          <w:rFonts w:eastAsia="Times New Roman"/>
          <w:sz w:val="22"/>
          <w:szCs w:val="22"/>
        </w:rPr>
        <w:t>as estatisticamente significativas</w:t>
      </w:r>
      <w:r>
        <w:rPr>
          <w:rFonts w:eastAsia="Times New Roman"/>
          <w:sz w:val="22"/>
          <w:szCs w:val="22"/>
        </w:rPr>
        <w:t xml:space="preserve"> à Semana 26 comparativamente com placebo no</w:t>
      </w:r>
      <w:r w:rsidRPr="008912CF">
        <w:rPr>
          <w:sz w:val="22"/>
          <w:szCs w:val="22"/>
        </w:rPr>
        <w:t xml:space="preserve"> </w:t>
      </w:r>
      <w:r w:rsidRPr="008912CF">
        <w:rPr>
          <w:i/>
          <w:sz w:val="22"/>
          <w:szCs w:val="22"/>
        </w:rPr>
        <w:t xml:space="preserve">Dermatology Life Quality Index </w:t>
      </w:r>
      <w:r w:rsidRPr="008912CF">
        <w:rPr>
          <w:sz w:val="22"/>
          <w:szCs w:val="22"/>
        </w:rPr>
        <w:t>(DLQI</w:t>
      </w:r>
      <w:r>
        <w:rPr>
          <w:sz w:val="22"/>
          <w:szCs w:val="22"/>
        </w:rPr>
        <w:t>)</w:t>
      </w:r>
      <w:r w:rsidRPr="00CB25CC">
        <w:rPr>
          <w:rFonts w:eastAsia="Times New Roman"/>
          <w:sz w:val="22"/>
          <w:szCs w:val="22"/>
        </w:rPr>
        <w:t xml:space="preserve">. </w:t>
      </w:r>
    </w:p>
    <w:p w14:paraId="3DB229C2" w14:textId="77777777" w:rsidR="008F2FAC" w:rsidRDefault="008F2FAC" w:rsidP="004462A0">
      <w:pPr>
        <w:rPr>
          <w:sz w:val="22"/>
          <w:szCs w:val="22"/>
          <w:u w:val="single"/>
        </w:rPr>
      </w:pPr>
    </w:p>
    <w:p w14:paraId="76F8C699" w14:textId="77777777" w:rsidR="004462A0" w:rsidRPr="00CC4B51" w:rsidRDefault="00615769" w:rsidP="004462A0">
      <w:pPr>
        <w:rPr>
          <w:i/>
          <w:sz w:val="22"/>
          <w:szCs w:val="22"/>
        </w:rPr>
      </w:pPr>
      <w:r w:rsidRPr="00CC4B51">
        <w:rPr>
          <w:i/>
          <w:sz w:val="22"/>
          <w:szCs w:val="22"/>
        </w:rPr>
        <w:t>Hidradenite supurativa</w:t>
      </w:r>
    </w:p>
    <w:p w14:paraId="40E7D497" w14:textId="77777777" w:rsidR="004462A0" w:rsidRPr="00CC4B51" w:rsidRDefault="004462A0" w:rsidP="004462A0">
      <w:pPr>
        <w:rPr>
          <w:sz w:val="22"/>
          <w:szCs w:val="22"/>
          <w:u w:val="single"/>
        </w:rPr>
      </w:pPr>
    </w:p>
    <w:p w14:paraId="18D38C2F" w14:textId="77777777" w:rsidR="004462A0" w:rsidRPr="00CC4B51" w:rsidRDefault="00615769" w:rsidP="004462A0">
      <w:pPr>
        <w:rPr>
          <w:sz w:val="22"/>
          <w:szCs w:val="20"/>
        </w:rPr>
      </w:pPr>
      <w:r w:rsidRPr="00CC4B51">
        <w:rPr>
          <w:sz w:val="22"/>
          <w:szCs w:val="20"/>
        </w:rPr>
        <w:t xml:space="preserve">A segurança e eficácia de Humira foram avaliadas em estudos </w:t>
      </w:r>
      <w:r w:rsidR="0013275C">
        <w:rPr>
          <w:sz w:val="22"/>
          <w:szCs w:val="20"/>
        </w:rPr>
        <w:t>aleatorizado</w:t>
      </w:r>
      <w:r w:rsidRPr="00CC4B51">
        <w:rPr>
          <w:sz w:val="22"/>
          <w:szCs w:val="20"/>
        </w:rPr>
        <w:t>s, em dupla ocultação, controlados por placebo e num estudo de extensão de fase aberta, em doentes adultos com hidradenite supurativa (HS) moderada a grave, que eram intolerantes, contraindicados ou com uma resposta inadequada a pelo menos 3 meses de antibioterapia sistémica, Os doentes nos estudos HS-I e HS-II tinham doença em estadio de Hurley II ou III, com pelo menos 3 abcessos ou nódulos inflamatórios.</w:t>
      </w:r>
    </w:p>
    <w:p w14:paraId="06B5AD10" w14:textId="77777777" w:rsidR="004462A0" w:rsidRPr="00CC4B51" w:rsidRDefault="004462A0" w:rsidP="004462A0">
      <w:pPr>
        <w:rPr>
          <w:sz w:val="22"/>
          <w:szCs w:val="20"/>
        </w:rPr>
      </w:pPr>
    </w:p>
    <w:p w14:paraId="02BCE4F4" w14:textId="77777777" w:rsidR="004462A0" w:rsidRPr="00CC4B51" w:rsidRDefault="00615769" w:rsidP="004462A0">
      <w:pPr>
        <w:rPr>
          <w:sz w:val="22"/>
          <w:szCs w:val="20"/>
        </w:rPr>
      </w:pPr>
      <w:r w:rsidRPr="00CC4B51">
        <w:rPr>
          <w:sz w:val="22"/>
          <w:szCs w:val="20"/>
        </w:rPr>
        <w:t>No estudo HS-I (PIONEER I) foram avaliados 307 doentes em 2 períodos de tratamento. No período A, os doentes receberam placebo ou Humira, numa dose inicial de 160 mg na Semana 0, 80</w:t>
      </w:r>
      <w:r>
        <w:rPr>
          <w:sz w:val="22"/>
          <w:szCs w:val="20"/>
        </w:rPr>
        <w:t> </w:t>
      </w:r>
      <w:r w:rsidRPr="00CC4B51">
        <w:rPr>
          <w:sz w:val="22"/>
          <w:szCs w:val="20"/>
        </w:rPr>
        <w:t>mg na Semana 2 e 40 mg por semana, da semana 4 à semana 11. O uso concomitante de antibióticos não foi permitido durante o estudo. Após 12 semanas de tratamento, os doentes que receberam Humira no Período A foram re-</w:t>
      </w:r>
      <w:r w:rsidR="0013275C">
        <w:rPr>
          <w:sz w:val="22"/>
          <w:szCs w:val="20"/>
        </w:rPr>
        <w:t>aleatorizado</w:t>
      </w:r>
      <w:r w:rsidRPr="00CC4B51">
        <w:rPr>
          <w:sz w:val="22"/>
          <w:szCs w:val="20"/>
        </w:rPr>
        <w:t xml:space="preserve">s no Período B para 1 de 3 grupos de tratamento (Humira 40 mg todas as semanas, Humira 40 mg em semanas alternadas, ou placebo da Semana 12 à Semana 35). Os doentes que foram </w:t>
      </w:r>
      <w:r w:rsidR="0013275C">
        <w:rPr>
          <w:sz w:val="22"/>
          <w:szCs w:val="20"/>
        </w:rPr>
        <w:t>aleatorizado</w:t>
      </w:r>
      <w:r w:rsidRPr="00CC4B51">
        <w:rPr>
          <w:sz w:val="22"/>
          <w:szCs w:val="20"/>
        </w:rPr>
        <w:t>s para placebo no Período A, receberam Humira 40 mg todas as semanas no período B.</w:t>
      </w:r>
    </w:p>
    <w:p w14:paraId="23A82994" w14:textId="77777777" w:rsidR="004462A0" w:rsidRPr="00CC4B51" w:rsidRDefault="004462A0" w:rsidP="004462A0">
      <w:pPr>
        <w:rPr>
          <w:sz w:val="22"/>
          <w:szCs w:val="20"/>
        </w:rPr>
      </w:pPr>
    </w:p>
    <w:p w14:paraId="054FCA72" w14:textId="77777777" w:rsidR="004462A0" w:rsidRPr="00CC4B51" w:rsidRDefault="00615769" w:rsidP="004462A0">
      <w:pPr>
        <w:rPr>
          <w:sz w:val="22"/>
          <w:szCs w:val="20"/>
        </w:rPr>
      </w:pPr>
      <w:r w:rsidRPr="00CC4B51">
        <w:rPr>
          <w:sz w:val="22"/>
          <w:szCs w:val="20"/>
        </w:rPr>
        <w:t>No estudo HS-II (PIONEER II) foram avaliados 326 doentes em 2 períodos de tratamento. No Período A, os doentes receberam placebo ou Humira numa dose inicial de 160 mg na Semana 0 e 80 mg na Semana 2 e 40 mg por semana, da Semana 4 à Semana 11. 19,3</w:t>
      </w:r>
      <w:r w:rsidR="009343EF">
        <w:rPr>
          <w:sz w:val="22"/>
          <w:szCs w:val="20"/>
        </w:rPr>
        <w:t>%</w:t>
      </w:r>
      <w:r w:rsidRPr="00CC4B51">
        <w:rPr>
          <w:sz w:val="22"/>
          <w:szCs w:val="20"/>
        </w:rPr>
        <w:t xml:space="preserve"> dos doentes continuaram antibioterapia oral durante o estudo. Após 12 semanas de tratamento, os doentes que receberam Humira no Período A foram re-</w:t>
      </w:r>
      <w:r w:rsidR="0013275C">
        <w:rPr>
          <w:sz w:val="22"/>
          <w:szCs w:val="20"/>
        </w:rPr>
        <w:t>aleatorizado</w:t>
      </w:r>
      <w:r w:rsidR="0082206C">
        <w:rPr>
          <w:sz w:val="22"/>
          <w:szCs w:val="20"/>
        </w:rPr>
        <w:t>s</w:t>
      </w:r>
      <w:r w:rsidRPr="00CC4B51">
        <w:rPr>
          <w:sz w:val="22"/>
          <w:szCs w:val="20"/>
        </w:rPr>
        <w:t xml:space="preserve"> no Período B para 1 de 3 grupos de tratamento (Humira 40 mg todas as semanas, Humira 40 mg em semanas alternadas, ou placebo da Semana 12 à Semana 35). Os doentes que foram </w:t>
      </w:r>
      <w:r w:rsidR="0013275C">
        <w:rPr>
          <w:sz w:val="22"/>
          <w:szCs w:val="20"/>
        </w:rPr>
        <w:t>aleatorizado</w:t>
      </w:r>
      <w:r w:rsidRPr="00CC4B51">
        <w:rPr>
          <w:sz w:val="22"/>
          <w:szCs w:val="20"/>
        </w:rPr>
        <w:t>s para placebo no Período A, receberam placebo no período B.</w:t>
      </w:r>
    </w:p>
    <w:p w14:paraId="611619F4" w14:textId="77777777" w:rsidR="004462A0" w:rsidRPr="00CC4B51" w:rsidRDefault="004462A0" w:rsidP="004462A0">
      <w:pPr>
        <w:rPr>
          <w:sz w:val="22"/>
          <w:szCs w:val="22"/>
          <w:u w:val="single"/>
        </w:rPr>
      </w:pPr>
    </w:p>
    <w:p w14:paraId="27EE9BBB" w14:textId="77777777" w:rsidR="004462A0" w:rsidRPr="00CC4B51" w:rsidRDefault="00615769" w:rsidP="004462A0">
      <w:pPr>
        <w:rPr>
          <w:sz w:val="22"/>
          <w:szCs w:val="20"/>
        </w:rPr>
      </w:pPr>
      <w:r w:rsidRPr="00CC4B51">
        <w:rPr>
          <w:sz w:val="22"/>
          <w:szCs w:val="20"/>
        </w:rPr>
        <w:t>Os doentes que participaram nos estudos HS-I e HS-II foram elegíveis para participação num estudo de extensão de fase aberta, no qual Humira 40</w:t>
      </w:r>
      <w:r>
        <w:rPr>
          <w:sz w:val="22"/>
          <w:szCs w:val="20"/>
        </w:rPr>
        <w:t> </w:t>
      </w:r>
      <w:r w:rsidRPr="00CC4B51">
        <w:rPr>
          <w:sz w:val="22"/>
          <w:szCs w:val="20"/>
        </w:rPr>
        <w:t xml:space="preserve">mg foi administrado todas as semanas. </w:t>
      </w:r>
      <w:r w:rsidR="00204AC6">
        <w:rPr>
          <w:sz w:val="22"/>
          <w:szCs w:val="22"/>
        </w:rPr>
        <w:t xml:space="preserve">A exposição média em toda a população de adalimumab foi de 762 dias. </w:t>
      </w:r>
      <w:r w:rsidRPr="00CC4B51">
        <w:rPr>
          <w:sz w:val="22"/>
          <w:szCs w:val="20"/>
        </w:rPr>
        <w:t>Nos três estudos, os doentes usaram anti-séptico tópico de lavagem diária.</w:t>
      </w:r>
    </w:p>
    <w:p w14:paraId="07D9129A" w14:textId="77777777" w:rsidR="004462A0" w:rsidRPr="00CC4B51" w:rsidRDefault="004462A0" w:rsidP="004462A0">
      <w:pPr>
        <w:rPr>
          <w:sz w:val="22"/>
          <w:szCs w:val="22"/>
          <w:u w:val="single"/>
        </w:rPr>
      </w:pPr>
    </w:p>
    <w:p w14:paraId="2DAB643B" w14:textId="77777777" w:rsidR="004462A0" w:rsidRPr="00CC4B51" w:rsidRDefault="00615769" w:rsidP="004462A0">
      <w:pPr>
        <w:rPr>
          <w:i/>
          <w:sz w:val="22"/>
          <w:szCs w:val="22"/>
          <w:u w:val="single"/>
        </w:rPr>
      </w:pPr>
      <w:r w:rsidRPr="00CC4B51">
        <w:rPr>
          <w:i/>
          <w:sz w:val="22"/>
          <w:szCs w:val="22"/>
          <w:u w:val="single"/>
        </w:rPr>
        <w:t>Resposta clínica</w:t>
      </w:r>
    </w:p>
    <w:p w14:paraId="2330ED73" w14:textId="77777777" w:rsidR="004462A0" w:rsidRPr="00CC4B51" w:rsidRDefault="004462A0" w:rsidP="004462A0">
      <w:pPr>
        <w:rPr>
          <w:sz w:val="22"/>
          <w:szCs w:val="22"/>
          <w:u w:val="single"/>
        </w:rPr>
      </w:pPr>
    </w:p>
    <w:p w14:paraId="2712093B" w14:textId="77777777" w:rsidR="004462A0" w:rsidRPr="00CC4B51" w:rsidRDefault="00615769" w:rsidP="004462A0">
      <w:pPr>
        <w:rPr>
          <w:sz w:val="22"/>
          <w:szCs w:val="20"/>
        </w:rPr>
      </w:pPr>
      <w:r w:rsidRPr="00CC4B51">
        <w:rPr>
          <w:sz w:val="22"/>
          <w:szCs w:val="20"/>
        </w:rPr>
        <w:t>A redução de lesões inflamatórias e prevenção do agravamento de abcessos e fístulas drenantes foram avaliadas utilizando o índice</w:t>
      </w:r>
      <w:r w:rsidRPr="00CC4B51">
        <w:rPr>
          <w:i/>
          <w:sz w:val="22"/>
          <w:szCs w:val="20"/>
        </w:rPr>
        <w:t xml:space="preserve"> Hidradenitis Suppurativa Clinical Response</w:t>
      </w:r>
      <w:r w:rsidRPr="00CC4B51">
        <w:rPr>
          <w:sz w:val="22"/>
          <w:szCs w:val="20"/>
        </w:rPr>
        <w:t xml:space="preserve"> (HiSCR; pelo menos 50</w:t>
      </w:r>
      <w:r w:rsidR="009343EF">
        <w:rPr>
          <w:sz w:val="22"/>
          <w:szCs w:val="20"/>
        </w:rPr>
        <w:t>%</w:t>
      </w:r>
      <w:r w:rsidRPr="00CC4B51">
        <w:rPr>
          <w:sz w:val="22"/>
          <w:szCs w:val="20"/>
        </w:rPr>
        <w:t xml:space="preserve"> de redução na contagem do número total </w:t>
      </w:r>
      <w:r w:rsidR="00212B10">
        <w:rPr>
          <w:sz w:val="22"/>
          <w:szCs w:val="20"/>
        </w:rPr>
        <w:t>de</w:t>
      </w:r>
      <w:r w:rsidR="00212B10" w:rsidRPr="00CC4B51">
        <w:rPr>
          <w:sz w:val="22"/>
          <w:szCs w:val="20"/>
        </w:rPr>
        <w:t xml:space="preserve"> </w:t>
      </w:r>
      <w:r w:rsidRPr="00CC4B51">
        <w:rPr>
          <w:sz w:val="22"/>
          <w:szCs w:val="20"/>
        </w:rPr>
        <w:t xml:space="preserve">abcessos e nódulos inflamatórios, sem aumento na contagem de abcessos e sem aumento de fístulas drenantes, relativamente ao valor inicial). A redução da dor na pele, relacionada com HS, foi avaliada utilizando uma escala numérica - </w:t>
      </w:r>
      <w:r w:rsidRPr="00DF5632">
        <w:rPr>
          <w:i/>
          <w:sz w:val="22"/>
          <w:szCs w:val="20"/>
        </w:rPr>
        <w:t>Numeric Rating Scale</w:t>
      </w:r>
      <w:r w:rsidR="009E086D">
        <w:rPr>
          <w:sz w:val="22"/>
          <w:szCs w:val="20"/>
        </w:rPr>
        <w:t>,</w:t>
      </w:r>
      <w:r w:rsidRPr="00CC4B51">
        <w:rPr>
          <w:sz w:val="22"/>
          <w:szCs w:val="20"/>
        </w:rPr>
        <w:t xml:space="preserve"> em doentes que participaram no estudo com uma pontuação inicial de 3 ou mais, numa escala de 11 pontos.</w:t>
      </w:r>
    </w:p>
    <w:p w14:paraId="79F8D59A" w14:textId="77777777" w:rsidR="004462A0" w:rsidRPr="00CC4B51" w:rsidRDefault="004462A0" w:rsidP="004462A0">
      <w:pPr>
        <w:rPr>
          <w:sz w:val="22"/>
          <w:szCs w:val="20"/>
        </w:rPr>
      </w:pPr>
    </w:p>
    <w:p w14:paraId="5A27657D" w14:textId="77777777" w:rsidR="004462A0" w:rsidRPr="00CC4B51" w:rsidRDefault="00615769" w:rsidP="004462A0">
      <w:pPr>
        <w:rPr>
          <w:sz w:val="22"/>
          <w:szCs w:val="20"/>
        </w:rPr>
      </w:pPr>
      <w:r w:rsidRPr="00CC4B51">
        <w:rPr>
          <w:sz w:val="22"/>
          <w:szCs w:val="20"/>
        </w:rPr>
        <w:t xml:space="preserve">Na Semana 12, uma percentagem significativamente superior de doentes tratados com Humira </w:t>
      </w:r>
      <w:r w:rsidRPr="00DF5632">
        <w:rPr>
          <w:i/>
          <w:sz w:val="22"/>
          <w:szCs w:val="20"/>
        </w:rPr>
        <w:t>versus</w:t>
      </w:r>
      <w:r w:rsidRPr="00CC4B51">
        <w:rPr>
          <w:sz w:val="22"/>
          <w:szCs w:val="20"/>
        </w:rPr>
        <w:t xml:space="preserve"> placebo alcançaram o HiSCR. Na semana 12, no Estudo HS-II, uma percentagem significativamente superior de doentes apresentaram uma diminuição clinicamente relevante da dor na pele, relacionada com HS (ver Tabela </w:t>
      </w:r>
      <w:r w:rsidR="00AF70F9">
        <w:rPr>
          <w:sz w:val="22"/>
          <w:szCs w:val="20"/>
        </w:rPr>
        <w:t>1</w:t>
      </w:r>
      <w:r w:rsidR="00D94630">
        <w:rPr>
          <w:sz w:val="22"/>
          <w:szCs w:val="20"/>
        </w:rPr>
        <w:t>2</w:t>
      </w:r>
      <w:r w:rsidRPr="00CC4B51">
        <w:rPr>
          <w:sz w:val="22"/>
          <w:szCs w:val="20"/>
        </w:rPr>
        <w:t>). Os doentes tratados com Humira apresentaram uma redução significativa do risco de agravamento da doença, durante as primeiras 12 semanas de tratamento.</w:t>
      </w:r>
    </w:p>
    <w:p w14:paraId="346D3FA8" w14:textId="77777777" w:rsidR="004462A0" w:rsidRPr="00CC4B51" w:rsidRDefault="004462A0" w:rsidP="004462A0">
      <w:pPr>
        <w:rPr>
          <w:sz w:val="22"/>
          <w:szCs w:val="22"/>
          <w:u w:val="single"/>
        </w:rPr>
      </w:pPr>
    </w:p>
    <w:p w14:paraId="5E2FE24D" w14:textId="77777777" w:rsidR="004462A0" w:rsidRPr="00CC4B51" w:rsidRDefault="00615769" w:rsidP="004462A0">
      <w:pPr>
        <w:keepNext/>
        <w:jc w:val="center"/>
        <w:rPr>
          <w:sz w:val="22"/>
          <w:szCs w:val="22"/>
        </w:rPr>
      </w:pPr>
      <w:r w:rsidRPr="00CC4B51">
        <w:rPr>
          <w:b/>
          <w:sz w:val="22"/>
          <w:szCs w:val="22"/>
        </w:rPr>
        <w:t xml:space="preserve">Tabela </w:t>
      </w:r>
      <w:r w:rsidR="00AF70F9">
        <w:rPr>
          <w:b/>
          <w:sz w:val="22"/>
          <w:szCs w:val="22"/>
        </w:rPr>
        <w:t>1</w:t>
      </w:r>
      <w:r w:rsidR="00D94630">
        <w:rPr>
          <w:b/>
          <w:sz w:val="22"/>
          <w:szCs w:val="22"/>
        </w:rPr>
        <w:t>2</w:t>
      </w:r>
      <w:r w:rsidRPr="00CC4B51">
        <w:rPr>
          <w:b/>
          <w:sz w:val="22"/>
          <w:szCs w:val="22"/>
        </w:rPr>
        <w:t>: Resultados de eficácia à</w:t>
      </w:r>
      <w:r w:rsidR="0082206C">
        <w:rPr>
          <w:b/>
          <w:sz w:val="22"/>
          <w:szCs w:val="22"/>
        </w:rPr>
        <w:t xml:space="preserve"> Semana</w:t>
      </w:r>
      <w:r w:rsidRPr="00CC4B51">
        <w:rPr>
          <w:b/>
          <w:sz w:val="22"/>
          <w:szCs w:val="22"/>
        </w:rPr>
        <w:t xml:space="preserve"> 12</w:t>
      </w:r>
      <w:r w:rsidR="0082206C">
        <w:rPr>
          <w:b/>
          <w:sz w:val="22"/>
          <w:szCs w:val="22"/>
        </w:rPr>
        <w:t xml:space="preserve">, </w:t>
      </w:r>
      <w:r w:rsidR="0082206C" w:rsidRPr="008912CF">
        <w:rPr>
          <w:b/>
          <w:sz w:val="22"/>
          <w:szCs w:val="22"/>
        </w:rPr>
        <w:t>Estudos HS I e II</w:t>
      </w:r>
    </w:p>
    <w:p w14:paraId="6E098EBE" w14:textId="77777777" w:rsidR="004462A0" w:rsidRPr="00CC4B51" w:rsidRDefault="004462A0" w:rsidP="004462A0">
      <w:pPr>
        <w:keepNext/>
        <w:rPr>
          <w:sz w:val="22"/>
          <w:szCs w:val="22"/>
          <w:u w:val="single"/>
        </w:rPr>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A7162A" w14:paraId="43B3B6C6" w14:textId="77777777" w:rsidTr="00F675CF">
        <w:trPr>
          <w:jc w:val="center"/>
        </w:trPr>
        <w:tc>
          <w:tcPr>
            <w:tcW w:w="2847" w:type="dxa"/>
            <w:vMerge w:val="restart"/>
            <w:tcMar>
              <w:top w:w="0" w:type="dxa"/>
              <w:left w:w="115" w:type="dxa"/>
              <w:bottom w:w="0" w:type="dxa"/>
              <w:right w:w="115" w:type="dxa"/>
            </w:tcMar>
            <w:vAlign w:val="bottom"/>
          </w:tcPr>
          <w:p w14:paraId="7FB60901" w14:textId="77777777" w:rsidR="004462A0" w:rsidRPr="00CC4B51" w:rsidRDefault="004462A0" w:rsidP="00F675CF">
            <w:pPr>
              <w:keepNext/>
              <w:widowControl w:val="0"/>
              <w:tabs>
                <w:tab w:val="left" w:pos="562"/>
                <w:tab w:val="left" w:pos="4120"/>
              </w:tabs>
              <w:suppressAutoHyphens/>
              <w:rPr>
                <w:b/>
                <w:color w:val="000000"/>
                <w:sz w:val="22"/>
              </w:rPr>
            </w:pPr>
          </w:p>
        </w:tc>
        <w:tc>
          <w:tcPr>
            <w:tcW w:w="3186" w:type="dxa"/>
            <w:gridSpan w:val="2"/>
            <w:tcMar>
              <w:top w:w="0" w:type="dxa"/>
              <w:left w:w="115" w:type="dxa"/>
              <w:bottom w:w="0" w:type="dxa"/>
              <w:right w:w="115" w:type="dxa"/>
            </w:tcMar>
            <w:vAlign w:val="bottom"/>
          </w:tcPr>
          <w:p w14:paraId="0584607B" w14:textId="77777777" w:rsidR="004462A0" w:rsidRPr="00CC4B51" w:rsidRDefault="00615769" w:rsidP="00F675CF">
            <w:pPr>
              <w:keepNext/>
              <w:widowControl w:val="0"/>
              <w:tabs>
                <w:tab w:val="left" w:pos="562"/>
                <w:tab w:val="left" w:pos="4120"/>
              </w:tabs>
              <w:suppressAutoHyphens/>
              <w:jc w:val="center"/>
              <w:rPr>
                <w:b/>
                <w:bCs/>
                <w:color w:val="000000"/>
                <w:sz w:val="22"/>
              </w:rPr>
            </w:pPr>
            <w:r w:rsidRPr="00CC4B51">
              <w:rPr>
                <w:b/>
                <w:bCs/>
                <w:color w:val="000000"/>
                <w:sz w:val="22"/>
              </w:rPr>
              <w:t>HS Estudo I</w:t>
            </w:r>
          </w:p>
        </w:tc>
        <w:tc>
          <w:tcPr>
            <w:tcW w:w="3260" w:type="dxa"/>
            <w:gridSpan w:val="2"/>
            <w:tcMar>
              <w:top w:w="0" w:type="dxa"/>
              <w:left w:w="115" w:type="dxa"/>
              <w:bottom w:w="0" w:type="dxa"/>
              <w:right w:w="115" w:type="dxa"/>
            </w:tcMar>
            <w:vAlign w:val="bottom"/>
          </w:tcPr>
          <w:p w14:paraId="4275FE90" w14:textId="77777777" w:rsidR="004462A0" w:rsidRPr="00CC4B51" w:rsidRDefault="00615769" w:rsidP="00F675CF">
            <w:pPr>
              <w:keepNext/>
              <w:widowControl w:val="0"/>
              <w:tabs>
                <w:tab w:val="left" w:pos="562"/>
                <w:tab w:val="left" w:pos="4120"/>
              </w:tabs>
              <w:suppressAutoHyphens/>
              <w:jc w:val="center"/>
              <w:rPr>
                <w:b/>
                <w:bCs/>
                <w:color w:val="000000"/>
                <w:sz w:val="22"/>
              </w:rPr>
            </w:pPr>
            <w:r w:rsidRPr="00CC4B51">
              <w:rPr>
                <w:b/>
                <w:bCs/>
                <w:color w:val="000000"/>
                <w:sz w:val="22"/>
              </w:rPr>
              <w:t>HS Estudo II</w:t>
            </w:r>
          </w:p>
        </w:tc>
      </w:tr>
      <w:tr w:rsidR="00A7162A" w14:paraId="4AD89576" w14:textId="77777777" w:rsidTr="00F675CF">
        <w:trPr>
          <w:jc w:val="center"/>
        </w:trPr>
        <w:tc>
          <w:tcPr>
            <w:tcW w:w="2847" w:type="dxa"/>
            <w:vMerge/>
            <w:tcMar>
              <w:top w:w="0" w:type="dxa"/>
              <w:left w:w="115" w:type="dxa"/>
              <w:bottom w:w="0" w:type="dxa"/>
              <w:right w:w="115" w:type="dxa"/>
            </w:tcMar>
            <w:vAlign w:val="center"/>
            <w:hideMark/>
          </w:tcPr>
          <w:p w14:paraId="6077A950" w14:textId="77777777" w:rsidR="004462A0" w:rsidRPr="00CC4B51" w:rsidRDefault="004462A0" w:rsidP="00F675CF">
            <w:pPr>
              <w:keepNext/>
              <w:widowControl w:val="0"/>
              <w:tabs>
                <w:tab w:val="left" w:pos="562"/>
                <w:tab w:val="left" w:pos="4120"/>
              </w:tabs>
              <w:suppressAutoHyphens/>
              <w:rPr>
                <w:color w:val="000000"/>
                <w:sz w:val="22"/>
              </w:rPr>
            </w:pPr>
          </w:p>
        </w:tc>
        <w:tc>
          <w:tcPr>
            <w:tcW w:w="1440" w:type="dxa"/>
            <w:tcMar>
              <w:top w:w="0" w:type="dxa"/>
              <w:left w:w="115" w:type="dxa"/>
              <w:bottom w:w="0" w:type="dxa"/>
              <w:right w:w="115" w:type="dxa"/>
            </w:tcMar>
            <w:vAlign w:val="bottom"/>
            <w:hideMark/>
          </w:tcPr>
          <w:p w14:paraId="69A744AA" w14:textId="77777777" w:rsidR="004462A0" w:rsidRPr="00CC4B51" w:rsidRDefault="00615769" w:rsidP="00F675CF">
            <w:pPr>
              <w:keepNext/>
              <w:widowControl w:val="0"/>
              <w:tabs>
                <w:tab w:val="left" w:pos="562"/>
                <w:tab w:val="left" w:pos="4120"/>
              </w:tabs>
              <w:suppressAutoHyphens/>
              <w:jc w:val="center"/>
              <w:rPr>
                <w:color w:val="000000"/>
                <w:sz w:val="22"/>
              </w:rPr>
            </w:pPr>
            <w:r w:rsidRPr="00CC4B51">
              <w:rPr>
                <w:b/>
                <w:bCs/>
                <w:color w:val="000000"/>
                <w:sz w:val="22"/>
              </w:rPr>
              <w:t>Placebo</w:t>
            </w:r>
          </w:p>
        </w:tc>
        <w:tc>
          <w:tcPr>
            <w:tcW w:w="1746" w:type="dxa"/>
            <w:tcMar>
              <w:top w:w="0" w:type="dxa"/>
              <w:left w:w="115" w:type="dxa"/>
              <w:bottom w:w="0" w:type="dxa"/>
              <w:right w:w="115" w:type="dxa"/>
            </w:tcMar>
            <w:vAlign w:val="bottom"/>
            <w:hideMark/>
          </w:tcPr>
          <w:p w14:paraId="51022F75" w14:textId="77777777" w:rsidR="004462A0" w:rsidRPr="00CC4B51" w:rsidRDefault="00615769" w:rsidP="00F675CF">
            <w:pPr>
              <w:keepNext/>
              <w:widowControl w:val="0"/>
              <w:tabs>
                <w:tab w:val="left" w:pos="562"/>
                <w:tab w:val="left" w:pos="4120"/>
              </w:tabs>
              <w:suppressAutoHyphens/>
              <w:jc w:val="center"/>
              <w:rPr>
                <w:b/>
                <w:bCs/>
                <w:color w:val="000000"/>
                <w:sz w:val="22"/>
              </w:rPr>
            </w:pPr>
            <w:r w:rsidRPr="00CC4B51">
              <w:rPr>
                <w:b/>
                <w:bCs/>
                <w:color w:val="000000"/>
                <w:sz w:val="22"/>
              </w:rPr>
              <w:t>Humira 40 mg Semanalmente</w:t>
            </w:r>
          </w:p>
        </w:tc>
        <w:tc>
          <w:tcPr>
            <w:tcW w:w="1404" w:type="dxa"/>
            <w:tcMar>
              <w:top w:w="0" w:type="dxa"/>
              <w:left w:w="115" w:type="dxa"/>
              <w:bottom w:w="0" w:type="dxa"/>
              <w:right w:w="115" w:type="dxa"/>
            </w:tcMar>
            <w:vAlign w:val="bottom"/>
            <w:hideMark/>
          </w:tcPr>
          <w:p w14:paraId="5BE38573" w14:textId="77777777" w:rsidR="004462A0" w:rsidRPr="00CC4B51" w:rsidRDefault="00615769" w:rsidP="00F675CF">
            <w:pPr>
              <w:keepNext/>
              <w:widowControl w:val="0"/>
              <w:tabs>
                <w:tab w:val="left" w:pos="562"/>
                <w:tab w:val="left" w:pos="4120"/>
              </w:tabs>
              <w:suppressAutoHyphens/>
              <w:jc w:val="center"/>
              <w:rPr>
                <w:b/>
                <w:bCs/>
                <w:color w:val="000000"/>
                <w:sz w:val="22"/>
              </w:rPr>
            </w:pPr>
            <w:r w:rsidRPr="00CC4B51">
              <w:rPr>
                <w:b/>
                <w:bCs/>
                <w:color w:val="000000"/>
                <w:sz w:val="22"/>
              </w:rPr>
              <w:t xml:space="preserve">Placebo </w:t>
            </w:r>
          </w:p>
        </w:tc>
        <w:tc>
          <w:tcPr>
            <w:tcW w:w="1856" w:type="dxa"/>
            <w:tcMar>
              <w:top w:w="0" w:type="dxa"/>
              <w:left w:w="115" w:type="dxa"/>
              <w:bottom w:w="0" w:type="dxa"/>
              <w:right w:w="115" w:type="dxa"/>
            </w:tcMar>
            <w:vAlign w:val="bottom"/>
            <w:hideMark/>
          </w:tcPr>
          <w:p w14:paraId="428386D6" w14:textId="77777777" w:rsidR="004462A0" w:rsidRPr="00CC4B51" w:rsidRDefault="00615769" w:rsidP="00F675CF">
            <w:pPr>
              <w:keepNext/>
              <w:widowControl w:val="0"/>
              <w:tabs>
                <w:tab w:val="left" w:pos="562"/>
                <w:tab w:val="left" w:pos="4120"/>
              </w:tabs>
              <w:suppressAutoHyphens/>
              <w:jc w:val="center"/>
              <w:rPr>
                <w:b/>
                <w:bCs/>
                <w:color w:val="000000"/>
                <w:sz w:val="22"/>
              </w:rPr>
            </w:pPr>
            <w:r w:rsidRPr="00CC4B51">
              <w:rPr>
                <w:b/>
                <w:bCs/>
                <w:color w:val="000000"/>
                <w:sz w:val="22"/>
              </w:rPr>
              <w:t>Humira 40 mg Semanalmente</w:t>
            </w:r>
          </w:p>
        </w:tc>
      </w:tr>
      <w:tr w:rsidR="00A7162A" w14:paraId="3F4F5808" w14:textId="77777777" w:rsidTr="00F675CF">
        <w:trPr>
          <w:trHeight w:val="755"/>
          <w:jc w:val="center"/>
        </w:trPr>
        <w:tc>
          <w:tcPr>
            <w:tcW w:w="2847" w:type="dxa"/>
            <w:tcMar>
              <w:top w:w="0" w:type="dxa"/>
              <w:left w:w="115" w:type="dxa"/>
              <w:bottom w:w="0" w:type="dxa"/>
              <w:right w:w="115" w:type="dxa"/>
            </w:tcMar>
            <w:vAlign w:val="center"/>
            <w:hideMark/>
          </w:tcPr>
          <w:p w14:paraId="71EAA1E9" w14:textId="77777777" w:rsidR="004462A0" w:rsidRPr="00CC4B51" w:rsidRDefault="00615769" w:rsidP="00F675CF">
            <w:pPr>
              <w:keepNext/>
              <w:widowControl w:val="0"/>
              <w:tabs>
                <w:tab w:val="left" w:pos="562"/>
                <w:tab w:val="left" w:pos="4120"/>
              </w:tabs>
              <w:suppressAutoHyphens/>
              <w:rPr>
                <w:color w:val="000000"/>
                <w:sz w:val="22"/>
              </w:rPr>
            </w:pPr>
            <w:r w:rsidRPr="00CC4B51">
              <w:rPr>
                <w:color w:val="000000"/>
                <w:sz w:val="22"/>
              </w:rPr>
              <w:t>Hidradenite Supurativa Resposta Clinica (HiSCR)</w:t>
            </w:r>
            <w:r w:rsidRPr="00CC4B51">
              <w:rPr>
                <w:color w:val="000000"/>
                <w:sz w:val="22"/>
                <w:vertAlign w:val="superscript"/>
              </w:rPr>
              <w:t>a</w:t>
            </w:r>
            <w:r w:rsidRPr="00CC4B51">
              <w:rPr>
                <w:color w:val="000000"/>
                <w:sz w:val="22"/>
              </w:rPr>
              <w:t xml:space="preserve"> </w:t>
            </w:r>
          </w:p>
          <w:p w14:paraId="515263E0" w14:textId="77777777" w:rsidR="004462A0" w:rsidRPr="00CC4B51" w:rsidRDefault="004462A0" w:rsidP="00F675CF">
            <w:pPr>
              <w:keepNext/>
              <w:widowControl w:val="0"/>
              <w:tabs>
                <w:tab w:val="left" w:pos="562"/>
                <w:tab w:val="left" w:pos="4120"/>
              </w:tabs>
              <w:suppressAutoHyphens/>
              <w:rPr>
                <w:color w:val="000000"/>
                <w:sz w:val="22"/>
              </w:rPr>
            </w:pPr>
          </w:p>
        </w:tc>
        <w:tc>
          <w:tcPr>
            <w:tcW w:w="1440" w:type="dxa"/>
            <w:tcMar>
              <w:top w:w="0" w:type="dxa"/>
              <w:left w:w="115" w:type="dxa"/>
              <w:bottom w:w="0" w:type="dxa"/>
              <w:right w:w="115" w:type="dxa"/>
            </w:tcMar>
            <w:hideMark/>
          </w:tcPr>
          <w:p w14:paraId="60CE6882" w14:textId="77777777" w:rsidR="004462A0" w:rsidRPr="00CC4B51" w:rsidRDefault="00615769" w:rsidP="00F675CF">
            <w:pPr>
              <w:keepNext/>
              <w:widowControl w:val="0"/>
              <w:tabs>
                <w:tab w:val="left" w:pos="562"/>
                <w:tab w:val="left" w:pos="4120"/>
              </w:tabs>
              <w:suppressAutoHyphens/>
              <w:jc w:val="center"/>
              <w:rPr>
                <w:color w:val="000000"/>
                <w:sz w:val="22"/>
              </w:rPr>
            </w:pPr>
            <w:r w:rsidRPr="00CC4B51">
              <w:rPr>
                <w:color w:val="000000"/>
                <w:sz w:val="22"/>
              </w:rPr>
              <w:t>N = 154</w:t>
            </w:r>
          </w:p>
          <w:p w14:paraId="698C1EC9" w14:textId="77777777" w:rsidR="004462A0" w:rsidRPr="00CC4B51" w:rsidRDefault="00615769" w:rsidP="00F675CF">
            <w:pPr>
              <w:keepNext/>
              <w:widowControl w:val="0"/>
              <w:tabs>
                <w:tab w:val="left" w:pos="562"/>
                <w:tab w:val="left" w:pos="4120"/>
              </w:tabs>
              <w:suppressAutoHyphens/>
              <w:jc w:val="center"/>
              <w:rPr>
                <w:color w:val="000000"/>
                <w:sz w:val="22"/>
              </w:rPr>
            </w:pPr>
            <w:r w:rsidRPr="00CC4B51">
              <w:rPr>
                <w:color w:val="000000"/>
                <w:sz w:val="22"/>
              </w:rPr>
              <w:t>40 (26,0%)</w:t>
            </w:r>
          </w:p>
        </w:tc>
        <w:tc>
          <w:tcPr>
            <w:tcW w:w="1746" w:type="dxa"/>
            <w:tcMar>
              <w:top w:w="0" w:type="dxa"/>
              <w:left w:w="115" w:type="dxa"/>
              <w:bottom w:w="0" w:type="dxa"/>
              <w:right w:w="115" w:type="dxa"/>
            </w:tcMar>
            <w:hideMark/>
          </w:tcPr>
          <w:p w14:paraId="3F8603E0" w14:textId="77777777" w:rsidR="004462A0" w:rsidRPr="00CC4B51" w:rsidRDefault="00615769" w:rsidP="00F675CF">
            <w:pPr>
              <w:keepNext/>
              <w:widowControl w:val="0"/>
              <w:tabs>
                <w:tab w:val="left" w:pos="562"/>
                <w:tab w:val="left" w:pos="4120"/>
              </w:tabs>
              <w:suppressAutoHyphens/>
              <w:jc w:val="center"/>
              <w:rPr>
                <w:color w:val="000000"/>
                <w:sz w:val="22"/>
              </w:rPr>
            </w:pPr>
            <w:r w:rsidRPr="00CC4B51">
              <w:rPr>
                <w:color w:val="000000"/>
                <w:sz w:val="22"/>
              </w:rPr>
              <w:t>N = 153</w:t>
            </w:r>
          </w:p>
          <w:p w14:paraId="134F6FB6" w14:textId="77777777" w:rsidR="004462A0" w:rsidRPr="00CC4B51" w:rsidRDefault="00615769" w:rsidP="00F675CF">
            <w:pPr>
              <w:keepNext/>
              <w:widowControl w:val="0"/>
              <w:tabs>
                <w:tab w:val="left" w:pos="562"/>
                <w:tab w:val="left" w:pos="4120"/>
              </w:tabs>
              <w:suppressAutoHyphens/>
              <w:jc w:val="center"/>
              <w:rPr>
                <w:color w:val="000000"/>
                <w:sz w:val="22"/>
              </w:rPr>
            </w:pPr>
            <w:r w:rsidRPr="00CC4B51">
              <w:rPr>
                <w:color w:val="000000"/>
                <w:sz w:val="22"/>
              </w:rPr>
              <w:t xml:space="preserve">64 (41,8%) </w:t>
            </w:r>
            <w:r w:rsidRPr="00CC4B51">
              <w:rPr>
                <w:color w:val="000000"/>
                <w:sz w:val="22"/>
                <w:vertAlign w:val="superscript"/>
              </w:rPr>
              <w:t>*</w:t>
            </w:r>
          </w:p>
        </w:tc>
        <w:tc>
          <w:tcPr>
            <w:tcW w:w="1404" w:type="dxa"/>
            <w:tcMar>
              <w:top w:w="0" w:type="dxa"/>
              <w:left w:w="115" w:type="dxa"/>
              <w:bottom w:w="0" w:type="dxa"/>
              <w:right w:w="115" w:type="dxa"/>
            </w:tcMar>
          </w:tcPr>
          <w:p w14:paraId="697D4998" w14:textId="77777777" w:rsidR="004462A0" w:rsidRPr="00CC4B51" w:rsidRDefault="00615769" w:rsidP="00F675CF">
            <w:pPr>
              <w:keepNext/>
              <w:widowControl w:val="0"/>
              <w:tabs>
                <w:tab w:val="left" w:pos="562"/>
                <w:tab w:val="left" w:pos="4120"/>
              </w:tabs>
              <w:suppressAutoHyphens/>
              <w:jc w:val="center"/>
              <w:rPr>
                <w:color w:val="000000"/>
                <w:sz w:val="22"/>
              </w:rPr>
            </w:pPr>
            <w:r w:rsidRPr="00CC4B51">
              <w:rPr>
                <w:color w:val="000000"/>
                <w:sz w:val="22"/>
              </w:rPr>
              <w:t>N=163</w:t>
            </w:r>
          </w:p>
          <w:p w14:paraId="067D3A11" w14:textId="77777777" w:rsidR="004462A0" w:rsidRPr="00CC4B51" w:rsidRDefault="00615769" w:rsidP="00F675CF">
            <w:pPr>
              <w:keepNext/>
              <w:widowControl w:val="0"/>
              <w:tabs>
                <w:tab w:val="left" w:pos="562"/>
                <w:tab w:val="left" w:pos="4120"/>
              </w:tabs>
              <w:suppressAutoHyphens/>
              <w:jc w:val="center"/>
              <w:rPr>
                <w:color w:val="000000"/>
                <w:sz w:val="22"/>
              </w:rPr>
            </w:pPr>
            <w:r w:rsidRPr="00CC4B51">
              <w:rPr>
                <w:color w:val="000000"/>
                <w:sz w:val="22"/>
              </w:rPr>
              <w:t>45 (27,6%)</w:t>
            </w:r>
          </w:p>
        </w:tc>
        <w:tc>
          <w:tcPr>
            <w:tcW w:w="1856" w:type="dxa"/>
            <w:tcMar>
              <w:top w:w="0" w:type="dxa"/>
              <w:left w:w="115" w:type="dxa"/>
              <w:bottom w:w="0" w:type="dxa"/>
              <w:right w:w="115" w:type="dxa"/>
            </w:tcMar>
          </w:tcPr>
          <w:p w14:paraId="0D295C98" w14:textId="77777777" w:rsidR="004462A0" w:rsidRPr="00CC4B51" w:rsidRDefault="00615769" w:rsidP="00F675CF">
            <w:pPr>
              <w:keepNext/>
              <w:widowControl w:val="0"/>
              <w:tabs>
                <w:tab w:val="left" w:pos="562"/>
                <w:tab w:val="left" w:pos="4120"/>
              </w:tabs>
              <w:suppressAutoHyphens/>
              <w:jc w:val="center"/>
              <w:rPr>
                <w:color w:val="000000"/>
                <w:sz w:val="22"/>
              </w:rPr>
            </w:pPr>
            <w:r w:rsidRPr="00CC4B51">
              <w:rPr>
                <w:color w:val="000000"/>
                <w:sz w:val="22"/>
              </w:rPr>
              <w:t>N=163</w:t>
            </w:r>
          </w:p>
          <w:p w14:paraId="06D1F276" w14:textId="77777777" w:rsidR="004462A0" w:rsidRPr="00CC4B51" w:rsidRDefault="00615769" w:rsidP="00F675CF">
            <w:pPr>
              <w:keepNext/>
              <w:widowControl w:val="0"/>
              <w:tabs>
                <w:tab w:val="left" w:pos="562"/>
                <w:tab w:val="left" w:pos="4120"/>
              </w:tabs>
              <w:suppressAutoHyphens/>
              <w:jc w:val="center"/>
              <w:rPr>
                <w:color w:val="000000"/>
                <w:sz w:val="22"/>
              </w:rPr>
            </w:pPr>
            <w:r w:rsidRPr="00CC4B51">
              <w:rPr>
                <w:color w:val="000000"/>
                <w:sz w:val="22"/>
              </w:rPr>
              <w:t xml:space="preserve">96 (58,9%) </w:t>
            </w:r>
            <w:r w:rsidRPr="00CC4B51">
              <w:rPr>
                <w:color w:val="000000"/>
                <w:sz w:val="22"/>
                <w:vertAlign w:val="superscript"/>
              </w:rPr>
              <w:t>***</w:t>
            </w:r>
          </w:p>
        </w:tc>
      </w:tr>
      <w:tr w:rsidR="00A7162A" w14:paraId="392B5FE4" w14:textId="77777777" w:rsidTr="00F675CF">
        <w:trPr>
          <w:jc w:val="center"/>
        </w:trPr>
        <w:tc>
          <w:tcPr>
            <w:tcW w:w="2847" w:type="dxa"/>
            <w:tcMar>
              <w:top w:w="0" w:type="dxa"/>
              <w:left w:w="115" w:type="dxa"/>
              <w:bottom w:w="0" w:type="dxa"/>
              <w:right w:w="115" w:type="dxa"/>
            </w:tcMar>
            <w:vAlign w:val="center"/>
            <w:hideMark/>
          </w:tcPr>
          <w:p w14:paraId="61F10977" w14:textId="77777777" w:rsidR="004462A0" w:rsidRPr="00CC4B51" w:rsidRDefault="00615769" w:rsidP="00F675CF">
            <w:pPr>
              <w:keepNext/>
              <w:widowControl w:val="0"/>
              <w:tabs>
                <w:tab w:val="left" w:pos="562"/>
                <w:tab w:val="left" w:pos="4120"/>
              </w:tabs>
              <w:suppressAutoHyphens/>
              <w:rPr>
                <w:color w:val="000000"/>
                <w:sz w:val="22"/>
              </w:rPr>
            </w:pPr>
            <w:r w:rsidRPr="00CC4B51">
              <w:rPr>
                <w:color w:val="000000"/>
                <w:sz w:val="22"/>
              </w:rPr>
              <w:t>≥30% Redução da dor na pele</w:t>
            </w:r>
            <w:r w:rsidRPr="00CC4B51">
              <w:rPr>
                <w:color w:val="000000"/>
                <w:sz w:val="22"/>
                <w:vertAlign w:val="superscript"/>
              </w:rPr>
              <w:t>b</w:t>
            </w:r>
          </w:p>
        </w:tc>
        <w:tc>
          <w:tcPr>
            <w:tcW w:w="1440" w:type="dxa"/>
            <w:tcMar>
              <w:top w:w="0" w:type="dxa"/>
              <w:left w:w="115" w:type="dxa"/>
              <w:bottom w:w="0" w:type="dxa"/>
              <w:right w:w="115" w:type="dxa"/>
            </w:tcMar>
            <w:hideMark/>
          </w:tcPr>
          <w:p w14:paraId="7704FCE8" w14:textId="77777777" w:rsidR="004462A0" w:rsidRPr="00CC4B51" w:rsidRDefault="00615769" w:rsidP="00F675CF">
            <w:pPr>
              <w:keepNext/>
              <w:widowControl w:val="0"/>
              <w:tabs>
                <w:tab w:val="left" w:pos="562"/>
                <w:tab w:val="left" w:pos="4120"/>
              </w:tabs>
              <w:suppressAutoHyphens/>
              <w:jc w:val="center"/>
              <w:rPr>
                <w:color w:val="000000"/>
                <w:sz w:val="22"/>
              </w:rPr>
            </w:pPr>
            <w:r w:rsidRPr="00CC4B51">
              <w:rPr>
                <w:color w:val="000000"/>
                <w:sz w:val="22"/>
              </w:rPr>
              <w:t>N = 109</w:t>
            </w:r>
          </w:p>
          <w:p w14:paraId="156758F4" w14:textId="77777777" w:rsidR="004462A0" w:rsidRPr="00CC4B51" w:rsidRDefault="00615769" w:rsidP="00F675CF">
            <w:pPr>
              <w:keepNext/>
              <w:widowControl w:val="0"/>
              <w:tabs>
                <w:tab w:val="left" w:pos="562"/>
                <w:tab w:val="left" w:pos="4120"/>
              </w:tabs>
              <w:suppressAutoHyphens/>
              <w:jc w:val="center"/>
              <w:rPr>
                <w:color w:val="000000"/>
                <w:sz w:val="22"/>
              </w:rPr>
            </w:pPr>
            <w:r w:rsidRPr="00CC4B51">
              <w:rPr>
                <w:color w:val="000000"/>
                <w:sz w:val="22"/>
              </w:rPr>
              <w:t>27 (24,8%)</w:t>
            </w:r>
          </w:p>
        </w:tc>
        <w:tc>
          <w:tcPr>
            <w:tcW w:w="1746" w:type="dxa"/>
            <w:tcMar>
              <w:top w:w="0" w:type="dxa"/>
              <w:left w:w="115" w:type="dxa"/>
              <w:bottom w:w="0" w:type="dxa"/>
              <w:right w:w="115" w:type="dxa"/>
            </w:tcMar>
            <w:hideMark/>
          </w:tcPr>
          <w:p w14:paraId="38CC481B" w14:textId="77777777" w:rsidR="004462A0" w:rsidRPr="00CC4B51" w:rsidRDefault="00615769" w:rsidP="00F675CF">
            <w:pPr>
              <w:keepNext/>
              <w:widowControl w:val="0"/>
              <w:tabs>
                <w:tab w:val="left" w:pos="562"/>
                <w:tab w:val="left" w:pos="4120"/>
              </w:tabs>
              <w:suppressAutoHyphens/>
              <w:jc w:val="center"/>
              <w:rPr>
                <w:color w:val="000000"/>
                <w:sz w:val="22"/>
              </w:rPr>
            </w:pPr>
            <w:r w:rsidRPr="00CC4B51">
              <w:rPr>
                <w:color w:val="000000"/>
                <w:sz w:val="22"/>
              </w:rPr>
              <w:t>N = 122</w:t>
            </w:r>
          </w:p>
          <w:p w14:paraId="0FF707E2" w14:textId="77777777" w:rsidR="004462A0" w:rsidRPr="00CC4B51" w:rsidRDefault="00615769" w:rsidP="00F675CF">
            <w:pPr>
              <w:keepNext/>
              <w:widowControl w:val="0"/>
              <w:tabs>
                <w:tab w:val="left" w:pos="562"/>
                <w:tab w:val="left" w:pos="4120"/>
              </w:tabs>
              <w:suppressAutoHyphens/>
              <w:jc w:val="center"/>
              <w:rPr>
                <w:color w:val="000000"/>
                <w:sz w:val="22"/>
              </w:rPr>
            </w:pPr>
            <w:r w:rsidRPr="00CC4B51">
              <w:rPr>
                <w:color w:val="000000"/>
                <w:sz w:val="22"/>
              </w:rPr>
              <w:t>34 (27,9%)</w:t>
            </w:r>
          </w:p>
        </w:tc>
        <w:tc>
          <w:tcPr>
            <w:tcW w:w="1404" w:type="dxa"/>
            <w:tcMar>
              <w:top w:w="0" w:type="dxa"/>
              <w:left w:w="115" w:type="dxa"/>
              <w:bottom w:w="0" w:type="dxa"/>
              <w:right w:w="115" w:type="dxa"/>
            </w:tcMar>
          </w:tcPr>
          <w:p w14:paraId="12F614F0" w14:textId="77777777" w:rsidR="004462A0" w:rsidRPr="00CC4B51" w:rsidRDefault="00615769" w:rsidP="00F675CF">
            <w:pPr>
              <w:keepNext/>
              <w:widowControl w:val="0"/>
              <w:tabs>
                <w:tab w:val="left" w:pos="562"/>
                <w:tab w:val="left" w:pos="4120"/>
              </w:tabs>
              <w:suppressAutoHyphens/>
              <w:jc w:val="center"/>
              <w:rPr>
                <w:color w:val="000000"/>
                <w:sz w:val="22"/>
              </w:rPr>
            </w:pPr>
            <w:r w:rsidRPr="00CC4B51">
              <w:rPr>
                <w:color w:val="000000"/>
                <w:sz w:val="22"/>
              </w:rPr>
              <w:t>N=111</w:t>
            </w:r>
          </w:p>
          <w:p w14:paraId="058DF8A2" w14:textId="77777777" w:rsidR="004462A0" w:rsidRPr="00CC4B51" w:rsidRDefault="00615769" w:rsidP="00F675CF">
            <w:pPr>
              <w:keepNext/>
              <w:widowControl w:val="0"/>
              <w:tabs>
                <w:tab w:val="left" w:pos="562"/>
                <w:tab w:val="left" w:pos="4120"/>
              </w:tabs>
              <w:suppressAutoHyphens/>
              <w:jc w:val="center"/>
              <w:rPr>
                <w:color w:val="000000"/>
                <w:sz w:val="22"/>
              </w:rPr>
            </w:pPr>
            <w:r w:rsidRPr="00CC4B51">
              <w:rPr>
                <w:color w:val="000000"/>
                <w:sz w:val="22"/>
              </w:rPr>
              <w:t>23 (20,7%)</w:t>
            </w:r>
          </w:p>
        </w:tc>
        <w:tc>
          <w:tcPr>
            <w:tcW w:w="1856" w:type="dxa"/>
            <w:tcMar>
              <w:top w:w="0" w:type="dxa"/>
              <w:left w:w="115" w:type="dxa"/>
              <w:bottom w:w="0" w:type="dxa"/>
              <w:right w:w="115" w:type="dxa"/>
            </w:tcMar>
          </w:tcPr>
          <w:p w14:paraId="3288103B" w14:textId="77777777" w:rsidR="004462A0" w:rsidRPr="00CC4B51" w:rsidRDefault="00615769" w:rsidP="00F675CF">
            <w:pPr>
              <w:keepNext/>
              <w:widowControl w:val="0"/>
              <w:tabs>
                <w:tab w:val="left" w:pos="562"/>
                <w:tab w:val="left" w:pos="4120"/>
              </w:tabs>
              <w:suppressAutoHyphens/>
              <w:jc w:val="center"/>
              <w:rPr>
                <w:color w:val="000000"/>
                <w:sz w:val="22"/>
              </w:rPr>
            </w:pPr>
            <w:r w:rsidRPr="00CC4B51">
              <w:rPr>
                <w:color w:val="000000"/>
                <w:sz w:val="22"/>
              </w:rPr>
              <w:t>N=105</w:t>
            </w:r>
          </w:p>
          <w:p w14:paraId="28E375CF" w14:textId="77777777" w:rsidR="004462A0" w:rsidRPr="00CC4B51" w:rsidRDefault="00615769" w:rsidP="00F675CF">
            <w:pPr>
              <w:keepNext/>
              <w:widowControl w:val="0"/>
              <w:tabs>
                <w:tab w:val="left" w:pos="562"/>
                <w:tab w:val="left" w:pos="4120"/>
              </w:tabs>
              <w:suppressAutoHyphens/>
              <w:jc w:val="center"/>
              <w:rPr>
                <w:color w:val="000000"/>
                <w:sz w:val="22"/>
              </w:rPr>
            </w:pPr>
            <w:r w:rsidRPr="00CC4B51">
              <w:rPr>
                <w:color w:val="000000"/>
                <w:sz w:val="22"/>
              </w:rPr>
              <w:t xml:space="preserve">48 (45,7%) </w:t>
            </w:r>
            <w:r w:rsidRPr="00CC4B51">
              <w:rPr>
                <w:color w:val="000000"/>
                <w:sz w:val="22"/>
                <w:vertAlign w:val="superscript"/>
              </w:rPr>
              <w:t>***</w:t>
            </w:r>
          </w:p>
        </w:tc>
      </w:tr>
      <w:tr w:rsidR="00A7162A" w14:paraId="29600E20" w14:textId="77777777" w:rsidTr="00F675CF">
        <w:trPr>
          <w:trHeight w:val="1417"/>
          <w:jc w:val="center"/>
        </w:trPr>
        <w:tc>
          <w:tcPr>
            <w:tcW w:w="9293" w:type="dxa"/>
            <w:gridSpan w:val="5"/>
            <w:tcMar>
              <w:top w:w="0" w:type="dxa"/>
              <w:left w:w="115" w:type="dxa"/>
              <w:bottom w:w="0" w:type="dxa"/>
              <w:right w:w="115" w:type="dxa"/>
            </w:tcMar>
            <w:vAlign w:val="center"/>
          </w:tcPr>
          <w:p w14:paraId="500A7190" w14:textId="77777777" w:rsidR="004462A0" w:rsidRPr="00CC4B51" w:rsidRDefault="00615769" w:rsidP="00F675CF">
            <w:pPr>
              <w:keepNext/>
              <w:widowControl w:val="0"/>
              <w:tabs>
                <w:tab w:val="left" w:pos="562"/>
                <w:tab w:val="left" w:pos="4120"/>
              </w:tabs>
              <w:suppressAutoHyphens/>
              <w:ind w:left="360"/>
              <w:rPr>
                <w:color w:val="000000"/>
                <w:sz w:val="22"/>
              </w:rPr>
            </w:pPr>
            <w:r w:rsidRPr="00CC4B51">
              <w:rPr>
                <w:color w:val="000000"/>
                <w:sz w:val="22"/>
              </w:rPr>
              <w:t xml:space="preserve">* </w:t>
            </w:r>
            <w:r w:rsidR="00092159">
              <w:rPr>
                <w:i/>
                <w:color w:val="000000"/>
                <w:sz w:val="22"/>
              </w:rPr>
              <w:t>p</w:t>
            </w:r>
            <w:r w:rsidRPr="00CC4B51">
              <w:rPr>
                <w:color w:val="000000"/>
                <w:sz w:val="22"/>
              </w:rPr>
              <w:t xml:space="preserve"> &lt; 0,05, ***</w:t>
            </w:r>
            <w:r w:rsidR="00092159">
              <w:rPr>
                <w:i/>
                <w:color w:val="000000"/>
                <w:sz w:val="22"/>
              </w:rPr>
              <w:t>p</w:t>
            </w:r>
            <w:r w:rsidRPr="00CC4B51">
              <w:rPr>
                <w:i/>
                <w:color w:val="000000"/>
                <w:sz w:val="22"/>
              </w:rPr>
              <w:t xml:space="preserve"> </w:t>
            </w:r>
            <w:r w:rsidRPr="00CC4B51">
              <w:rPr>
                <w:color w:val="000000"/>
                <w:sz w:val="22"/>
              </w:rPr>
              <w:t xml:space="preserve">&lt; 0,001, Humira </w:t>
            </w:r>
            <w:r w:rsidRPr="00DF5632">
              <w:rPr>
                <w:i/>
                <w:color w:val="000000"/>
                <w:sz w:val="22"/>
              </w:rPr>
              <w:t>versus</w:t>
            </w:r>
            <w:r w:rsidRPr="00CC4B51">
              <w:rPr>
                <w:color w:val="000000"/>
                <w:sz w:val="22"/>
              </w:rPr>
              <w:t xml:space="preserve"> placebo </w:t>
            </w:r>
          </w:p>
          <w:p w14:paraId="3BB382F2" w14:textId="77777777" w:rsidR="004462A0" w:rsidRPr="00CC4B51" w:rsidRDefault="00615769" w:rsidP="00DF5632">
            <w:pPr>
              <w:keepNext/>
              <w:keepLines/>
              <w:widowControl w:val="0"/>
              <w:numPr>
                <w:ilvl w:val="0"/>
                <w:numId w:val="176"/>
              </w:numPr>
              <w:tabs>
                <w:tab w:val="left" w:pos="562"/>
                <w:tab w:val="left" w:pos="4120"/>
              </w:tabs>
              <w:suppressAutoHyphens/>
              <w:spacing w:line="240" w:lineRule="exact"/>
              <w:rPr>
                <w:color w:val="000000"/>
                <w:sz w:val="22"/>
              </w:rPr>
            </w:pPr>
            <w:r w:rsidRPr="00CC4B51">
              <w:rPr>
                <w:color w:val="000000"/>
                <w:sz w:val="22"/>
              </w:rPr>
              <w:t xml:space="preserve">Em todos os doentes </w:t>
            </w:r>
            <w:r w:rsidR="0013275C">
              <w:rPr>
                <w:color w:val="000000"/>
                <w:sz w:val="22"/>
              </w:rPr>
              <w:t>aleatorizado</w:t>
            </w:r>
            <w:r w:rsidRPr="00CC4B51">
              <w:rPr>
                <w:color w:val="000000"/>
                <w:sz w:val="22"/>
              </w:rPr>
              <w:t>s.</w:t>
            </w:r>
          </w:p>
          <w:p w14:paraId="70B34B63" w14:textId="77777777" w:rsidR="004462A0" w:rsidRPr="00CC4B51" w:rsidRDefault="00615769" w:rsidP="00DF5632">
            <w:pPr>
              <w:keepNext/>
              <w:keepLines/>
              <w:widowControl w:val="0"/>
              <w:numPr>
                <w:ilvl w:val="0"/>
                <w:numId w:val="176"/>
              </w:numPr>
              <w:tabs>
                <w:tab w:val="left" w:pos="562"/>
                <w:tab w:val="left" w:pos="4120"/>
              </w:tabs>
              <w:suppressAutoHyphens/>
              <w:spacing w:line="240" w:lineRule="exact"/>
              <w:ind w:left="563" w:hanging="563"/>
              <w:rPr>
                <w:color w:val="000000"/>
                <w:sz w:val="22"/>
              </w:rPr>
            </w:pPr>
            <w:r w:rsidRPr="00CC4B51">
              <w:rPr>
                <w:rFonts w:eastAsia="Calibri"/>
                <w:color w:val="000000"/>
                <w:sz w:val="22"/>
                <w:szCs w:val="22"/>
              </w:rPr>
              <w:t xml:space="preserve">Entre os doentes com a avaliação inicial da dor da pele, relacionada com HS ≥ 3, baseado na escala numérica - </w:t>
            </w:r>
            <w:r w:rsidRPr="00CC4B51">
              <w:rPr>
                <w:rFonts w:eastAsia="Calibri"/>
                <w:i/>
                <w:color w:val="000000"/>
                <w:sz w:val="22"/>
                <w:szCs w:val="22"/>
              </w:rPr>
              <w:t>Numeric Rating Scale</w:t>
            </w:r>
            <w:r w:rsidRPr="00CC4B51">
              <w:rPr>
                <w:rFonts w:eastAsia="Calibri"/>
                <w:color w:val="000000"/>
                <w:sz w:val="22"/>
                <w:szCs w:val="22"/>
              </w:rPr>
              <w:t xml:space="preserve"> 0-10; 0 = sem dor na pele, 10 = dor muito intensa e acentuada na pele </w:t>
            </w:r>
          </w:p>
        </w:tc>
      </w:tr>
    </w:tbl>
    <w:p w14:paraId="650AB086" w14:textId="77777777" w:rsidR="004462A0" w:rsidRPr="00CC4B51" w:rsidRDefault="004462A0" w:rsidP="004462A0">
      <w:pPr>
        <w:rPr>
          <w:sz w:val="22"/>
          <w:szCs w:val="22"/>
          <w:u w:val="single"/>
        </w:rPr>
      </w:pPr>
    </w:p>
    <w:p w14:paraId="6622E8C8" w14:textId="77777777" w:rsidR="004462A0" w:rsidRPr="00CC4B51" w:rsidRDefault="00615769" w:rsidP="004462A0">
      <w:pPr>
        <w:rPr>
          <w:sz w:val="22"/>
          <w:szCs w:val="20"/>
        </w:rPr>
      </w:pPr>
      <w:r w:rsidRPr="00CC4B51">
        <w:rPr>
          <w:sz w:val="22"/>
          <w:szCs w:val="20"/>
        </w:rPr>
        <w:t>O tratamento com Humira 40</w:t>
      </w:r>
      <w:r>
        <w:rPr>
          <w:sz w:val="22"/>
          <w:szCs w:val="20"/>
        </w:rPr>
        <w:t> </w:t>
      </w:r>
      <w:r w:rsidRPr="00CC4B51">
        <w:rPr>
          <w:sz w:val="22"/>
          <w:szCs w:val="20"/>
        </w:rPr>
        <w:t>mg todas as semanas, reduziu significativamente o risco de agravamento de abcessos e fístulas drenantes. Nos Estudos HS-I e HS-II, nas primeiras 12 semanas, aproximadamente o dobro da percentagem de doentes do grupo d</w:t>
      </w:r>
      <w:r w:rsidR="0082206C">
        <w:rPr>
          <w:sz w:val="22"/>
          <w:szCs w:val="20"/>
        </w:rPr>
        <w:t>e</w:t>
      </w:r>
      <w:r w:rsidRPr="00CC4B51">
        <w:rPr>
          <w:sz w:val="22"/>
          <w:szCs w:val="20"/>
        </w:rPr>
        <w:t xml:space="preserve"> placebo em comparação com os do grupo Humira, apresentaram agravamento de abcessos (23,0</w:t>
      </w:r>
      <w:r w:rsidR="009343EF">
        <w:rPr>
          <w:sz w:val="22"/>
          <w:szCs w:val="20"/>
        </w:rPr>
        <w:t>%</w:t>
      </w:r>
      <w:r w:rsidRPr="00CC4B51">
        <w:rPr>
          <w:sz w:val="22"/>
          <w:szCs w:val="20"/>
        </w:rPr>
        <w:t xml:space="preserve"> vs 11,4</w:t>
      </w:r>
      <w:r w:rsidR="009343EF">
        <w:rPr>
          <w:sz w:val="22"/>
          <w:szCs w:val="20"/>
        </w:rPr>
        <w:t>%</w:t>
      </w:r>
      <w:r w:rsidRPr="00CC4B51">
        <w:rPr>
          <w:sz w:val="22"/>
          <w:szCs w:val="20"/>
        </w:rPr>
        <w:t>, respetivamente) e de fístulas drenantes (30,0</w:t>
      </w:r>
      <w:r w:rsidR="009343EF">
        <w:rPr>
          <w:sz w:val="22"/>
          <w:szCs w:val="20"/>
        </w:rPr>
        <w:t>%</w:t>
      </w:r>
      <w:r w:rsidRPr="00CC4B51">
        <w:rPr>
          <w:sz w:val="22"/>
          <w:szCs w:val="20"/>
        </w:rPr>
        <w:t xml:space="preserve"> vs 13,9</w:t>
      </w:r>
      <w:r w:rsidR="009343EF">
        <w:rPr>
          <w:sz w:val="22"/>
          <w:szCs w:val="20"/>
        </w:rPr>
        <w:t>%</w:t>
      </w:r>
      <w:r w:rsidRPr="00CC4B51">
        <w:rPr>
          <w:sz w:val="22"/>
          <w:szCs w:val="20"/>
        </w:rPr>
        <w:t xml:space="preserve">, respetivamente). </w:t>
      </w:r>
    </w:p>
    <w:p w14:paraId="64493445" w14:textId="77777777" w:rsidR="004462A0" w:rsidRPr="00CC4B51" w:rsidRDefault="004462A0" w:rsidP="004462A0">
      <w:pPr>
        <w:rPr>
          <w:sz w:val="22"/>
          <w:szCs w:val="20"/>
        </w:rPr>
      </w:pPr>
    </w:p>
    <w:p w14:paraId="67671F52" w14:textId="77777777" w:rsidR="004462A0" w:rsidRPr="00CC4B51" w:rsidRDefault="00615769" w:rsidP="004462A0">
      <w:pPr>
        <w:rPr>
          <w:sz w:val="22"/>
          <w:szCs w:val="20"/>
        </w:rPr>
      </w:pPr>
      <w:r w:rsidRPr="00CC4B51">
        <w:rPr>
          <w:sz w:val="22"/>
          <w:szCs w:val="20"/>
        </w:rPr>
        <w:t xml:space="preserve">Observaram-se melhorias significativas </w:t>
      </w:r>
      <w:r w:rsidR="0082206C">
        <w:rPr>
          <w:sz w:val="22"/>
          <w:szCs w:val="20"/>
        </w:rPr>
        <w:t xml:space="preserve">relativamente ao valor inicial </w:t>
      </w:r>
      <w:r w:rsidRPr="00CC4B51">
        <w:rPr>
          <w:sz w:val="22"/>
          <w:szCs w:val="20"/>
        </w:rPr>
        <w:t xml:space="preserve">no grupo Humira, comparativamente ao placebo, à Semana 12, na qualidade de vida relacionada com a saúde da pele, avaliada pelo </w:t>
      </w:r>
      <w:r w:rsidRPr="00CC4B51">
        <w:rPr>
          <w:i/>
          <w:sz w:val="22"/>
          <w:szCs w:val="20"/>
        </w:rPr>
        <w:t xml:space="preserve">Dermatology Life Quality Index </w:t>
      </w:r>
      <w:r w:rsidRPr="00CC4B51">
        <w:rPr>
          <w:sz w:val="22"/>
          <w:szCs w:val="20"/>
        </w:rPr>
        <w:t xml:space="preserve">(DLQI; Estudos HS-I e HS-II), na satisfação global do doente com o tratamento, avaliado pelo </w:t>
      </w:r>
      <w:r w:rsidRPr="00CC4B51">
        <w:rPr>
          <w:i/>
          <w:sz w:val="22"/>
          <w:szCs w:val="20"/>
        </w:rPr>
        <w:t>Treatment Satisfaction Questionnaire</w:t>
      </w:r>
      <w:r w:rsidRPr="00CC4B51">
        <w:rPr>
          <w:sz w:val="22"/>
          <w:szCs w:val="20"/>
        </w:rPr>
        <w:t xml:space="preserve"> (QSTM; Estudos HS-I e HS-II), e na saúde física, avaliada pela pontuação do SF-36 (Estudo HS-I). </w:t>
      </w:r>
    </w:p>
    <w:p w14:paraId="7A2967F9" w14:textId="77777777" w:rsidR="004462A0" w:rsidRPr="00CC4B51" w:rsidRDefault="004462A0" w:rsidP="004462A0">
      <w:pPr>
        <w:rPr>
          <w:sz w:val="22"/>
          <w:szCs w:val="20"/>
        </w:rPr>
      </w:pPr>
    </w:p>
    <w:p w14:paraId="2186BDD6" w14:textId="77777777" w:rsidR="004462A0" w:rsidRPr="00CC4B51" w:rsidRDefault="00615769" w:rsidP="004462A0">
      <w:pPr>
        <w:rPr>
          <w:sz w:val="22"/>
          <w:szCs w:val="20"/>
        </w:rPr>
      </w:pPr>
      <w:r>
        <w:rPr>
          <w:sz w:val="22"/>
          <w:szCs w:val="20"/>
        </w:rPr>
        <w:t>No</w:t>
      </w:r>
      <w:r w:rsidRPr="00CC4B51">
        <w:rPr>
          <w:sz w:val="22"/>
          <w:szCs w:val="20"/>
        </w:rPr>
        <w:t xml:space="preserve">s doentes que apresentaram pelo menos uma resposta parcial à Semana 12, </w:t>
      </w:r>
      <w:r>
        <w:rPr>
          <w:sz w:val="22"/>
          <w:szCs w:val="20"/>
        </w:rPr>
        <w:t>com</w:t>
      </w:r>
      <w:r w:rsidRPr="00CC4B51">
        <w:rPr>
          <w:sz w:val="22"/>
          <w:szCs w:val="20"/>
        </w:rPr>
        <w:t xml:space="preserve"> Humira 40 mg todas as semanas, a taxa de HiSCR à semana 36 foi superior nos doentes que continuaram com Humira semanal, comparativamente com os doentes nos quais a frequência de administração foi reduzida para semanas alternadas, ou nos quais o tratamento foi suspenso (ver Tabela </w:t>
      </w:r>
      <w:r w:rsidR="00AF70F9">
        <w:rPr>
          <w:sz w:val="22"/>
          <w:szCs w:val="20"/>
        </w:rPr>
        <w:t>1</w:t>
      </w:r>
      <w:r w:rsidR="00D94630">
        <w:rPr>
          <w:sz w:val="22"/>
          <w:szCs w:val="20"/>
        </w:rPr>
        <w:t>3</w:t>
      </w:r>
      <w:r w:rsidRPr="00CC4B51">
        <w:rPr>
          <w:sz w:val="22"/>
          <w:szCs w:val="20"/>
        </w:rPr>
        <w:t>).</w:t>
      </w:r>
    </w:p>
    <w:p w14:paraId="492D7051" w14:textId="77777777" w:rsidR="004462A0" w:rsidRPr="00CC4B51" w:rsidRDefault="004462A0" w:rsidP="004462A0">
      <w:pPr>
        <w:rPr>
          <w:sz w:val="22"/>
          <w:szCs w:val="22"/>
          <w:u w:val="single"/>
        </w:rPr>
      </w:pPr>
    </w:p>
    <w:p w14:paraId="6F3AA864" w14:textId="77777777" w:rsidR="004462A0" w:rsidRPr="00CC4B51" w:rsidRDefault="00615769" w:rsidP="00B24AC6">
      <w:pPr>
        <w:keepNext/>
        <w:jc w:val="center"/>
        <w:rPr>
          <w:b/>
          <w:sz w:val="22"/>
          <w:szCs w:val="22"/>
        </w:rPr>
      </w:pPr>
      <w:r w:rsidRPr="00CC4B51">
        <w:rPr>
          <w:b/>
          <w:sz w:val="22"/>
          <w:szCs w:val="22"/>
        </w:rPr>
        <w:t xml:space="preserve">Tabela </w:t>
      </w:r>
      <w:r w:rsidR="00AF70F9">
        <w:rPr>
          <w:b/>
          <w:sz w:val="22"/>
          <w:szCs w:val="22"/>
        </w:rPr>
        <w:t>1</w:t>
      </w:r>
      <w:r w:rsidR="00D94630">
        <w:rPr>
          <w:b/>
          <w:sz w:val="22"/>
          <w:szCs w:val="22"/>
        </w:rPr>
        <w:t>3</w:t>
      </w:r>
      <w:r w:rsidRPr="00CC4B51">
        <w:rPr>
          <w:b/>
          <w:sz w:val="22"/>
          <w:szCs w:val="22"/>
        </w:rPr>
        <w:t>:</w:t>
      </w:r>
      <w:r w:rsidRPr="00CC4B51">
        <w:rPr>
          <w:b/>
          <w:sz w:val="22"/>
          <w:szCs w:val="22"/>
        </w:rPr>
        <w:tab/>
        <w:t xml:space="preserve">Re-alocação de tratamento de Humira </w:t>
      </w:r>
      <w:r w:rsidR="00212B10">
        <w:rPr>
          <w:b/>
          <w:sz w:val="22"/>
          <w:szCs w:val="22"/>
        </w:rPr>
        <w:t>s</w:t>
      </w:r>
      <w:r w:rsidRPr="00CC4B51">
        <w:rPr>
          <w:b/>
          <w:sz w:val="22"/>
          <w:szCs w:val="22"/>
        </w:rPr>
        <w:t>emanal à Semana 12 - Percentagem de doentes</w:t>
      </w:r>
      <w:r w:rsidR="00212B10" w:rsidRPr="00DF5632">
        <w:rPr>
          <w:b/>
          <w:sz w:val="22"/>
          <w:szCs w:val="22"/>
          <w:vertAlign w:val="superscript"/>
        </w:rPr>
        <w:t>a</w:t>
      </w:r>
      <w:r w:rsidRPr="00CC4B51">
        <w:rPr>
          <w:b/>
          <w:sz w:val="22"/>
          <w:szCs w:val="22"/>
        </w:rPr>
        <w:t xml:space="preserve"> que alcançaram HiSCR</w:t>
      </w:r>
      <w:r w:rsidRPr="00CC4B51">
        <w:rPr>
          <w:b/>
          <w:sz w:val="22"/>
          <w:szCs w:val="22"/>
          <w:vertAlign w:val="superscript"/>
        </w:rPr>
        <w:t>b</w:t>
      </w:r>
      <w:r w:rsidRPr="00CC4B51">
        <w:rPr>
          <w:b/>
          <w:sz w:val="22"/>
          <w:szCs w:val="22"/>
        </w:rPr>
        <w:t xml:space="preserve"> às Semanas 24 e 36</w:t>
      </w:r>
    </w:p>
    <w:p w14:paraId="385B03C8" w14:textId="77777777" w:rsidR="004462A0" w:rsidRPr="00CC4B51" w:rsidRDefault="004462A0" w:rsidP="00B24AC6">
      <w:pPr>
        <w:keepNext/>
        <w:rPr>
          <w:sz w:val="22"/>
          <w:szCs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1980"/>
        <w:gridCol w:w="1980"/>
        <w:gridCol w:w="1855"/>
      </w:tblGrid>
      <w:tr w:rsidR="00A7162A" w14:paraId="05A28F5B" w14:textId="77777777" w:rsidTr="00F675CF">
        <w:trPr>
          <w:tblHeader/>
          <w:jc w:val="center"/>
        </w:trPr>
        <w:tc>
          <w:tcPr>
            <w:tcW w:w="1437" w:type="dxa"/>
            <w:vAlign w:val="bottom"/>
          </w:tcPr>
          <w:p w14:paraId="16ACE873" w14:textId="77777777" w:rsidR="004462A0" w:rsidRPr="00CC4B51" w:rsidRDefault="004462A0" w:rsidP="00B24AC6">
            <w:pPr>
              <w:keepNext/>
              <w:spacing w:before="40" w:after="40" w:line="240" w:lineRule="exact"/>
              <w:rPr>
                <w:rFonts w:eastAsia="Calibri"/>
                <w:b/>
                <w:sz w:val="22"/>
                <w:szCs w:val="22"/>
                <w:lang w:eastAsia="ja-JP"/>
              </w:rPr>
            </w:pPr>
          </w:p>
        </w:tc>
        <w:tc>
          <w:tcPr>
            <w:tcW w:w="1980" w:type="dxa"/>
            <w:vAlign w:val="bottom"/>
          </w:tcPr>
          <w:p w14:paraId="025E40A0" w14:textId="77777777" w:rsidR="004462A0" w:rsidRPr="00CC4B51" w:rsidRDefault="00615769" w:rsidP="00B24AC6">
            <w:pPr>
              <w:keepNext/>
              <w:spacing w:before="40" w:after="40" w:line="240" w:lineRule="exact"/>
              <w:jc w:val="center"/>
              <w:rPr>
                <w:rFonts w:eastAsia="Calibri"/>
                <w:b/>
                <w:sz w:val="22"/>
                <w:szCs w:val="22"/>
                <w:lang w:eastAsia="ja-JP"/>
              </w:rPr>
            </w:pPr>
            <w:r w:rsidRPr="00CC4B51">
              <w:rPr>
                <w:rFonts w:eastAsia="Calibri"/>
                <w:b/>
                <w:sz w:val="22"/>
                <w:szCs w:val="22"/>
                <w:lang w:eastAsia="ja-JP"/>
              </w:rPr>
              <w:t>Placebo</w:t>
            </w:r>
          </w:p>
          <w:p w14:paraId="74E1DA1E" w14:textId="77777777" w:rsidR="004462A0" w:rsidRPr="00CC4B51" w:rsidRDefault="00615769" w:rsidP="00B24AC6">
            <w:pPr>
              <w:keepNext/>
              <w:spacing w:before="40" w:after="40" w:line="240" w:lineRule="exact"/>
              <w:jc w:val="center"/>
              <w:rPr>
                <w:rFonts w:eastAsia="Calibri"/>
                <w:b/>
                <w:sz w:val="22"/>
                <w:szCs w:val="22"/>
                <w:lang w:eastAsia="ja-JP"/>
              </w:rPr>
            </w:pPr>
            <w:r w:rsidRPr="00CC4B51">
              <w:rPr>
                <w:rFonts w:eastAsia="Calibri"/>
                <w:b/>
                <w:sz w:val="22"/>
                <w:szCs w:val="22"/>
                <w:lang w:eastAsia="ja-JP"/>
              </w:rPr>
              <w:t>(suspensão de tratamento)</w:t>
            </w:r>
          </w:p>
          <w:p w14:paraId="1779A03F" w14:textId="77777777" w:rsidR="004462A0" w:rsidRPr="00CC4B51" w:rsidRDefault="00615769" w:rsidP="00B24AC6">
            <w:pPr>
              <w:keepNext/>
              <w:spacing w:before="40" w:after="40" w:line="240" w:lineRule="exact"/>
              <w:jc w:val="center"/>
              <w:rPr>
                <w:rFonts w:eastAsia="Calibri"/>
                <w:b/>
                <w:sz w:val="22"/>
                <w:szCs w:val="22"/>
                <w:lang w:eastAsia="ja-JP"/>
              </w:rPr>
            </w:pPr>
            <w:r w:rsidRPr="00CC4B51">
              <w:rPr>
                <w:rFonts w:eastAsia="Calibri"/>
                <w:b/>
                <w:sz w:val="22"/>
                <w:szCs w:val="22"/>
                <w:lang w:eastAsia="ja-JP"/>
              </w:rPr>
              <w:t>N = 73</w:t>
            </w:r>
          </w:p>
        </w:tc>
        <w:tc>
          <w:tcPr>
            <w:tcW w:w="1980" w:type="dxa"/>
            <w:vAlign w:val="bottom"/>
          </w:tcPr>
          <w:p w14:paraId="3005584B" w14:textId="77777777" w:rsidR="004462A0" w:rsidRPr="00CC4B51" w:rsidRDefault="00615769" w:rsidP="00B24AC6">
            <w:pPr>
              <w:keepNext/>
              <w:spacing w:before="40" w:after="40" w:line="240" w:lineRule="exact"/>
              <w:jc w:val="center"/>
              <w:rPr>
                <w:rFonts w:eastAsia="Calibri"/>
                <w:b/>
                <w:sz w:val="22"/>
                <w:szCs w:val="22"/>
                <w:lang w:eastAsia="ja-JP"/>
              </w:rPr>
            </w:pPr>
            <w:r w:rsidRPr="00CC4B51">
              <w:rPr>
                <w:rFonts w:eastAsia="Calibri"/>
                <w:b/>
                <w:sz w:val="22"/>
                <w:szCs w:val="22"/>
                <w:lang w:eastAsia="ja-JP"/>
              </w:rPr>
              <w:t>Humira 40 mg</w:t>
            </w:r>
            <w:r w:rsidRPr="00CC4B51">
              <w:rPr>
                <w:rFonts w:eastAsia="Calibri"/>
                <w:b/>
                <w:sz w:val="22"/>
                <w:szCs w:val="22"/>
                <w:lang w:eastAsia="ja-JP"/>
              </w:rPr>
              <w:br/>
              <w:t>em semanas alternadas</w:t>
            </w:r>
          </w:p>
          <w:p w14:paraId="5819130E" w14:textId="77777777" w:rsidR="004462A0" w:rsidRPr="00CC4B51" w:rsidRDefault="00615769" w:rsidP="00B24AC6">
            <w:pPr>
              <w:keepNext/>
              <w:spacing w:before="40" w:after="40" w:line="240" w:lineRule="exact"/>
              <w:jc w:val="center"/>
              <w:rPr>
                <w:rFonts w:eastAsia="Calibri"/>
                <w:b/>
                <w:sz w:val="22"/>
                <w:szCs w:val="22"/>
                <w:lang w:eastAsia="ja-JP"/>
              </w:rPr>
            </w:pPr>
            <w:r w:rsidRPr="00CC4B51">
              <w:rPr>
                <w:rFonts w:eastAsia="Calibri"/>
                <w:b/>
                <w:sz w:val="22"/>
                <w:szCs w:val="22"/>
                <w:lang w:eastAsia="ja-JP"/>
              </w:rPr>
              <w:t>N = 70</w:t>
            </w:r>
          </w:p>
        </w:tc>
        <w:tc>
          <w:tcPr>
            <w:tcW w:w="1855" w:type="dxa"/>
            <w:vAlign w:val="bottom"/>
          </w:tcPr>
          <w:p w14:paraId="54FCE9CF" w14:textId="77777777" w:rsidR="004462A0" w:rsidRPr="00CC4B51" w:rsidRDefault="00615769" w:rsidP="00B24AC6">
            <w:pPr>
              <w:keepNext/>
              <w:spacing w:before="40" w:after="40" w:line="240" w:lineRule="exact"/>
              <w:jc w:val="center"/>
              <w:rPr>
                <w:rFonts w:eastAsia="Calibri"/>
                <w:b/>
                <w:sz w:val="22"/>
                <w:szCs w:val="22"/>
                <w:lang w:eastAsia="ja-JP"/>
              </w:rPr>
            </w:pPr>
            <w:r w:rsidRPr="00CC4B51">
              <w:rPr>
                <w:rFonts w:eastAsia="Calibri"/>
                <w:b/>
                <w:sz w:val="22"/>
                <w:szCs w:val="22"/>
                <w:lang w:eastAsia="ja-JP"/>
              </w:rPr>
              <w:t>Humira 40 mg</w:t>
            </w:r>
            <w:r w:rsidRPr="00CC4B51">
              <w:rPr>
                <w:rFonts w:eastAsia="Calibri"/>
                <w:b/>
                <w:sz w:val="22"/>
                <w:szCs w:val="22"/>
                <w:lang w:eastAsia="ja-JP"/>
              </w:rPr>
              <w:br/>
              <w:t>todas as semanas</w:t>
            </w:r>
            <w:r w:rsidRPr="00CC4B51">
              <w:rPr>
                <w:rFonts w:eastAsia="Calibri"/>
                <w:b/>
                <w:sz w:val="22"/>
                <w:szCs w:val="22"/>
                <w:lang w:eastAsia="ja-JP"/>
              </w:rPr>
              <w:br/>
              <w:t>N = 70</w:t>
            </w:r>
          </w:p>
        </w:tc>
      </w:tr>
      <w:tr w:rsidR="00A7162A" w14:paraId="6AE7E101" w14:textId="77777777" w:rsidTr="00F675CF">
        <w:trPr>
          <w:jc w:val="center"/>
        </w:trPr>
        <w:tc>
          <w:tcPr>
            <w:tcW w:w="1437" w:type="dxa"/>
          </w:tcPr>
          <w:p w14:paraId="486251C7" w14:textId="77777777" w:rsidR="004462A0" w:rsidRPr="00CC4B51" w:rsidRDefault="00615769" w:rsidP="00B24AC6">
            <w:pPr>
              <w:keepNext/>
              <w:spacing w:before="40" w:after="40" w:line="240" w:lineRule="exact"/>
              <w:rPr>
                <w:rFonts w:eastAsia="Calibri"/>
                <w:sz w:val="22"/>
                <w:szCs w:val="22"/>
                <w:lang w:eastAsia="ja-JP"/>
              </w:rPr>
            </w:pPr>
            <w:r w:rsidRPr="00CC4B51">
              <w:rPr>
                <w:rFonts w:eastAsia="Calibri"/>
                <w:sz w:val="22"/>
                <w:szCs w:val="22"/>
                <w:lang w:eastAsia="ja-JP"/>
              </w:rPr>
              <w:t>Semana 24</w:t>
            </w:r>
          </w:p>
        </w:tc>
        <w:tc>
          <w:tcPr>
            <w:tcW w:w="1980" w:type="dxa"/>
          </w:tcPr>
          <w:p w14:paraId="7EE81036" w14:textId="77777777" w:rsidR="004462A0" w:rsidRPr="00CC4B51" w:rsidRDefault="00615769" w:rsidP="00B24AC6">
            <w:pPr>
              <w:keepNext/>
              <w:spacing w:before="40" w:after="40" w:line="240" w:lineRule="exact"/>
              <w:jc w:val="center"/>
              <w:rPr>
                <w:rFonts w:eastAsia="Calibri"/>
                <w:sz w:val="22"/>
                <w:szCs w:val="22"/>
                <w:lang w:eastAsia="ja-JP"/>
              </w:rPr>
            </w:pPr>
            <w:r w:rsidRPr="00CC4B51">
              <w:rPr>
                <w:rFonts w:eastAsia="Calibri"/>
                <w:sz w:val="22"/>
                <w:szCs w:val="22"/>
                <w:lang w:eastAsia="ja-JP"/>
              </w:rPr>
              <w:t>24 (32,9%)</w:t>
            </w:r>
          </w:p>
        </w:tc>
        <w:tc>
          <w:tcPr>
            <w:tcW w:w="1980" w:type="dxa"/>
          </w:tcPr>
          <w:p w14:paraId="27C2EE6A" w14:textId="77777777" w:rsidR="004462A0" w:rsidRPr="00CC4B51" w:rsidRDefault="00615769" w:rsidP="00B24AC6">
            <w:pPr>
              <w:keepNext/>
              <w:spacing w:before="40" w:after="40" w:line="240" w:lineRule="exact"/>
              <w:jc w:val="center"/>
              <w:rPr>
                <w:rFonts w:eastAsia="Calibri"/>
                <w:sz w:val="22"/>
                <w:szCs w:val="22"/>
                <w:lang w:eastAsia="ja-JP"/>
              </w:rPr>
            </w:pPr>
            <w:r w:rsidRPr="00CC4B51">
              <w:rPr>
                <w:rFonts w:eastAsia="Calibri"/>
                <w:sz w:val="22"/>
                <w:szCs w:val="22"/>
                <w:lang w:eastAsia="ja-JP"/>
              </w:rPr>
              <w:t>36 (51,4%)</w:t>
            </w:r>
          </w:p>
        </w:tc>
        <w:tc>
          <w:tcPr>
            <w:tcW w:w="1855" w:type="dxa"/>
          </w:tcPr>
          <w:p w14:paraId="7C4129A7" w14:textId="77777777" w:rsidR="004462A0" w:rsidRPr="00CC4B51" w:rsidRDefault="00615769" w:rsidP="00B24AC6">
            <w:pPr>
              <w:keepNext/>
              <w:spacing w:before="40" w:after="40" w:line="240" w:lineRule="exact"/>
              <w:jc w:val="center"/>
              <w:rPr>
                <w:rFonts w:eastAsia="Calibri"/>
                <w:sz w:val="22"/>
                <w:szCs w:val="22"/>
                <w:lang w:eastAsia="ja-JP"/>
              </w:rPr>
            </w:pPr>
            <w:r w:rsidRPr="00CC4B51">
              <w:rPr>
                <w:rFonts w:eastAsia="Calibri"/>
                <w:sz w:val="22"/>
                <w:szCs w:val="22"/>
                <w:lang w:eastAsia="ja-JP"/>
              </w:rPr>
              <w:t>40 (57,1%)</w:t>
            </w:r>
          </w:p>
        </w:tc>
      </w:tr>
      <w:tr w:rsidR="00A7162A" w14:paraId="267D300A" w14:textId="77777777" w:rsidTr="00F675CF">
        <w:trPr>
          <w:jc w:val="center"/>
        </w:trPr>
        <w:tc>
          <w:tcPr>
            <w:tcW w:w="1437" w:type="dxa"/>
          </w:tcPr>
          <w:p w14:paraId="5CAFCE96" w14:textId="77777777" w:rsidR="004462A0" w:rsidRPr="00CC4B51" w:rsidRDefault="00615769" w:rsidP="00B24AC6">
            <w:pPr>
              <w:keepNext/>
              <w:spacing w:before="40" w:after="40" w:line="240" w:lineRule="exact"/>
              <w:rPr>
                <w:rFonts w:eastAsia="Calibri"/>
                <w:sz w:val="22"/>
                <w:szCs w:val="22"/>
                <w:lang w:eastAsia="ja-JP"/>
              </w:rPr>
            </w:pPr>
            <w:r w:rsidRPr="00CC4B51">
              <w:rPr>
                <w:rFonts w:eastAsia="Calibri"/>
                <w:sz w:val="22"/>
                <w:szCs w:val="22"/>
                <w:lang w:eastAsia="ja-JP"/>
              </w:rPr>
              <w:t>Semana 36</w:t>
            </w:r>
          </w:p>
        </w:tc>
        <w:tc>
          <w:tcPr>
            <w:tcW w:w="1980" w:type="dxa"/>
          </w:tcPr>
          <w:p w14:paraId="5F9527A2" w14:textId="77777777" w:rsidR="004462A0" w:rsidRPr="00CC4B51" w:rsidRDefault="00615769" w:rsidP="00B24AC6">
            <w:pPr>
              <w:keepNext/>
              <w:spacing w:before="40" w:after="40" w:line="240" w:lineRule="exact"/>
              <w:jc w:val="center"/>
              <w:rPr>
                <w:rFonts w:eastAsia="Calibri"/>
                <w:sz w:val="22"/>
                <w:szCs w:val="22"/>
                <w:lang w:eastAsia="ja-JP"/>
              </w:rPr>
            </w:pPr>
            <w:r w:rsidRPr="00CC4B51">
              <w:rPr>
                <w:rFonts w:eastAsia="Calibri"/>
                <w:sz w:val="22"/>
                <w:szCs w:val="22"/>
                <w:lang w:eastAsia="ja-JP"/>
              </w:rPr>
              <w:t>22 (30,1%)</w:t>
            </w:r>
          </w:p>
        </w:tc>
        <w:tc>
          <w:tcPr>
            <w:tcW w:w="1980" w:type="dxa"/>
          </w:tcPr>
          <w:p w14:paraId="781E5534" w14:textId="77777777" w:rsidR="004462A0" w:rsidRPr="00CC4B51" w:rsidRDefault="00615769" w:rsidP="00B24AC6">
            <w:pPr>
              <w:keepNext/>
              <w:spacing w:before="40" w:after="40" w:line="240" w:lineRule="exact"/>
              <w:jc w:val="center"/>
              <w:rPr>
                <w:rFonts w:eastAsia="Calibri"/>
                <w:sz w:val="22"/>
                <w:szCs w:val="22"/>
                <w:lang w:eastAsia="ja-JP"/>
              </w:rPr>
            </w:pPr>
            <w:r w:rsidRPr="00CC4B51">
              <w:rPr>
                <w:rFonts w:eastAsia="Calibri"/>
                <w:sz w:val="22"/>
                <w:szCs w:val="22"/>
                <w:lang w:eastAsia="ja-JP"/>
              </w:rPr>
              <w:t>28 (40,0%)</w:t>
            </w:r>
          </w:p>
        </w:tc>
        <w:tc>
          <w:tcPr>
            <w:tcW w:w="1855" w:type="dxa"/>
          </w:tcPr>
          <w:p w14:paraId="3EB7A68C" w14:textId="77777777" w:rsidR="004462A0" w:rsidRPr="00CC4B51" w:rsidRDefault="00615769" w:rsidP="00B24AC6">
            <w:pPr>
              <w:keepNext/>
              <w:spacing w:before="40" w:after="40" w:line="240" w:lineRule="exact"/>
              <w:jc w:val="center"/>
              <w:rPr>
                <w:rFonts w:eastAsia="Calibri"/>
                <w:sz w:val="22"/>
                <w:szCs w:val="22"/>
                <w:lang w:eastAsia="ja-JP"/>
              </w:rPr>
            </w:pPr>
            <w:r w:rsidRPr="00CC4B51">
              <w:rPr>
                <w:rFonts w:eastAsia="Calibri"/>
                <w:sz w:val="22"/>
                <w:szCs w:val="22"/>
                <w:lang w:eastAsia="ja-JP"/>
              </w:rPr>
              <w:t>39 (55,7%)</w:t>
            </w:r>
          </w:p>
        </w:tc>
      </w:tr>
      <w:tr w:rsidR="00A7162A" w14:paraId="79296784" w14:textId="77777777" w:rsidTr="00F675CF">
        <w:trPr>
          <w:jc w:val="center"/>
        </w:trPr>
        <w:tc>
          <w:tcPr>
            <w:tcW w:w="7252" w:type="dxa"/>
            <w:gridSpan w:val="4"/>
          </w:tcPr>
          <w:p w14:paraId="2BA8A7AE" w14:textId="77777777" w:rsidR="004462A0" w:rsidRPr="00CC4B51" w:rsidRDefault="00615769" w:rsidP="00DF5632">
            <w:pPr>
              <w:keepNext/>
              <w:keepLines/>
              <w:widowControl w:val="0"/>
              <w:numPr>
                <w:ilvl w:val="0"/>
                <w:numId w:val="177"/>
              </w:numPr>
              <w:tabs>
                <w:tab w:val="left" w:pos="562"/>
                <w:tab w:val="left" w:pos="4120"/>
              </w:tabs>
              <w:suppressAutoHyphens/>
              <w:spacing w:line="240" w:lineRule="exact"/>
              <w:rPr>
                <w:color w:val="000000"/>
                <w:sz w:val="22"/>
              </w:rPr>
            </w:pPr>
            <w:r w:rsidRPr="00CC4B51">
              <w:rPr>
                <w:color w:val="000000"/>
                <w:sz w:val="22"/>
              </w:rPr>
              <w:t>Doentes com pelo menos uma resposta parcial a Humira 40 mg todas as</w:t>
            </w:r>
          </w:p>
          <w:p w14:paraId="003592F6" w14:textId="77777777" w:rsidR="004462A0" w:rsidRPr="00CC4B51" w:rsidRDefault="00615769" w:rsidP="00B24AC6">
            <w:pPr>
              <w:keepNext/>
              <w:keepLines/>
              <w:widowControl w:val="0"/>
              <w:tabs>
                <w:tab w:val="left" w:pos="562"/>
                <w:tab w:val="left" w:pos="4120"/>
              </w:tabs>
              <w:suppressAutoHyphens/>
              <w:spacing w:line="240" w:lineRule="exact"/>
              <w:ind w:left="543"/>
              <w:rPr>
                <w:color w:val="000000"/>
                <w:sz w:val="22"/>
              </w:rPr>
            </w:pPr>
            <w:r w:rsidRPr="00CC4B51">
              <w:rPr>
                <w:color w:val="000000"/>
                <w:sz w:val="22"/>
              </w:rPr>
              <w:t>semanas, após 12 semanas de tratamento</w:t>
            </w:r>
          </w:p>
          <w:p w14:paraId="22538531" w14:textId="77777777" w:rsidR="004462A0" w:rsidRPr="00CC4B51" w:rsidRDefault="00615769" w:rsidP="00DF5632">
            <w:pPr>
              <w:keepNext/>
              <w:keepLines/>
              <w:widowControl w:val="0"/>
              <w:numPr>
                <w:ilvl w:val="0"/>
                <w:numId w:val="177"/>
              </w:numPr>
              <w:tabs>
                <w:tab w:val="left" w:pos="562"/>
                <w:tab w:val="left" w:pos="4120"/>
              </w:tabs>
              <w:suppressAutoHyphens/>
              <w:spacing w:line="240" w:lineRule="exact"/>
              <w:ind w:left="543" w:hanging="543"/>
              <w:rPr>
                <w:rFonts w:eastAsia="MS Mincho"/>
                <w:sz w:val="22"/>
                <w:szCs w:val="22"/>
                <w:lang w:eastAsia="ja-JP"/>
              </w:rPr>
            </w:pPr>
            <w:r w:rsidRPr="00CC4B51">
              <w:rPr>
                <w:color w:val="000000"/>
                <w:sz w:val="22"/>
              </w:rPr>
              <w:t>Aos doentes que apresentaram perda de resposta ou sem melhoria (de</w:t>
            </w:r>
            <w:r w:rsidRPr="00CC4B51">
              <w:rPr>
                <w:rFonts w:eastAsia="MS Mincho"/>
                <w:sz w:val="22"/>
                <w:szCs w:val="22"/>
                <w:lang w:eastAsia="ja-JP"/>
              </w:rPr>
              <w:t xml:space="preserve"> acordo com os critérios específicos do protocolo) foi solicitada a descontinuação dos estudos e foram considerados como não respondedores.</w:t>
            </w:r>
          </w:p>
        </w:tc>
      </w:tr>
    </w:tbl>
    <w:p w14:paraId="44751C74" w14:textId="77777777" w:rsidR="004462A0" w:rsidRPr="00CC4B51" w:rsidRDefault="004462A0" w:rsidP="004462A0">
      <w:pPr>
        <w:rPr>
          <w:sz w:val="22"/>
          <w:szCs w:val="22"/>
          <w:u w:val="single"/>
        </w:rPr>
      </w:pPr>
    </w:p>
    <w:p w14:paraId="5BD15E63" w14:textId="77777777" w:rsidR="004462A0" w:rsidRPr="00CC4B51" w:rsidRDefault="00615769" w:rsidP="00D45244">
      <w:pPr>
        <w:autoSpaceDE w:val="0"/>
        <w:autoSpaceDN w:val="0"/>
        <w:adjustRightInd w:val="0"/>
        <w:rPr>
          <w:sz w:val="22"/>
          <w:szCs w:val="22"/>
        </w:rPr>
      </w:pPr>
      <w:r w:rsidRPr="00CC4B51">
        <w:rPr>
          <w:sz w:val="22"/>
          <w:szCs w:val="22"/>
        </w:rPr>
        <w:t xml:space="preserve">Entre os doentes que foram pelo menos respondedores parciais </w:t>
      </w:r>
      <w:r w:rsidR="0082206C">
        <w:rPr>
          <w:sz w:val="22"/>
          <w:szCs w:val="22"/>
        </w:rPr>
        <w:t>à</w:t>
      </w:r>
      <w:r w:rsidR="0082206C" w:rsidRPr="00CC4B51">
        <w:rPr>
          <w:sz w:val="22"/>
          <w:szCs w:val="22"/>
        </w:rPr>
        <w:t xml:space="preserve"> </w:t>
      </w:r>
      <w:r w:rsidRPr="00CC4B51">
        <w:rPr>
          <w:sz w:val="22"/>
          <w:szCs w:val="22"/>
        </w:rPr>
        <w:t xml:space="preserve">Semana 12, e que receberam o tratamento com Humira todas as semanas, em contínuo, a taxa HiSCR na </w:t>
      </w:r>
      <w:r w:rsidR="00642655">
        <w:rPr>
          <w:sz w:val="22"/>
          <w:szCs w:val="22"/>
        </w:rPr>
        <w:t>S</w:t>
      </w:r>
      <w:r w:rsidRPr="00CC4B51">
        <w:rPr>
          <w:sz w:val="22"/>
          <w:szCs w:val="22"/>
        </w:rPr>
        <w:t xml:space="preserve">emana 48 foi de </w:t>
      </w:r>
      <w:r w:rsidR="00204AC6">
        <w:rPr>
          <w:sz w:val="22"/>
          <w:szCs w:val="22"/>
        </w:rPr>
        <w:t xml:space="preserve">68,3% e na </w:t>
      </w:r>
      <w:r w:rsidR="00642655">
        <w:rPr>
          <w:sz w:val="22"/>
          <w:szCs w:val="22"/>
        </w:rPr>
        <w:t>S</w:t>
      </w:r>
      <w:r w:rsidR="00204AC6">
        <w:rPr>
          <w:sz w:val="22"/>
          <w:szCs w:val="22"/>
        </w:rPr>
        <w:t>emana 96 foi de 65,1%</w:t>
      </w:r>
      <w:r w:rsidR="00204AC6" w:rsidRPr="008912CF">
        <w:rPr>
          <w:sz w:val="22"/>
          <w:szCs w:val="22"/>
        </w:rPr>
        <w:t>.</w:t>
      </w:r>
      <w:r w:rsidR="00204AC6">
        <w:rPr>
          <w:sz w:val="22"/>
          <w:szCs w:val="22"/>
        </w:rPr>
        <w:t xml:space="preserve"> O tratamento a longo prazo com Humira 40 mg todas as semanas durante 96 semanas </w:t>
      </w:r>
      <w:r w:rsidR="00204AC6" w:rsidRPr="008912CF">
        <w:rPr>
          <w:sz w:val="22"/>
          <w:szCs w:val="22"/>
        </w:rPr>
        <w:t>não revel</w:t>
      </w:r>
      <w:r w:rsidR="00204AC6">
        <w:rPr>
          <w:sz w:val="22"/>
          <w:szCs w:val="22"/>
        </w:rPr>
        <w:t>ou</w:t>
      </w:r>
      <w:r w:rsidR="00204AC6" w:rsidRPr="008912CF">
        <w:rPr>
          <w:sz w:val="22"/>
          <w:szCs w:val="22"/>
        </w:rPr>
        <w:t xml:space="preserve"> quaisquer novas informações de segurança.</w:t>
      </w:r>
    </w:p>
    <w:p w14:paraId="0A1EEA6A" w14:textId="77777777" w:rsidR="004462A0" w:rsidRPr="00CC4B51" w:rsidRDefault="004462A0" w:rsidP="004462A0">
      <w:pPr>
        <w:rPr>
          <w:sz w:val="22"/>
          <w:szCs w:val="22"/>
        </w:rPr>
      </w:pPr>
    </w:p>
    <w:p w14:paraId="5F138DF1" w14:textId="77777777" w:rsidR="004462A0" w:rsidRPr="00CC4B51" w:rsidRDefault="00615769" w:rsidP="004462A0">
      <w:pPr>
        <w:rPr>
          <w:sz w:val="22"/>
          <w:szCs w:val="22"/>
        </w:rPr>
      </w:pPr>
      <w:r w:rsidRPr="00CC4B51">
        <w:rPr>
          <w:sz w:val="22"/>
          <w:szCs w:val="22"/>
        </w:rPr>
        <w:t>Nos Estudos HS-I e HS-II, nos doentes cujo tratamento com Humira foi supenso na semana 12, a taxa de HiSCR, 12 semanas após a re-introdução de Humira 40</w:t>
      </w:r>
      <w:r>
        <w:rPr>
          <w:sz w:val="22"/>
          <w:szCs w:val="22"/>
        </w:rPr>
        <w:t> </w:t>
      </w:r>
      <w:r w:rsidRPr="00CC4B51">
        <w:rPr>
          <w:sz w:val="22"/>
          <w:szCs w:val="22"/>
        </w:rPr>
        <w:t>mg semanal, voltou a atingir níveis semelhantes aos observados antes da suspensão (56,0</w:t>
      </w:r>
      <w:r w:rsidR="009343EF">
        <w:rPr>
          <w:sz w:val="22"/>
          <w:szCs w:val="22"/>
        </w:rPr>
        <w:t>%</w:t>
      </w:r>
      <w:r w:rsidRPr="00CC4B51">
        <w:rPr>
          <w:sz w:val="22"/>
          <w:szCs w:val="22"/>
        </w:rPr>
        <w:t>).</w:t>
      </w:r>
    </w:p>
    <w:p w14:paraId="0C39418D" w14:textId="77777777" w:rsidR="004462A0" w:rsidRPr="00CC4B51" w:rsidRDefault="004462A0" w:rsidP="004462A0">
      <w:pPr>
        <w:rPr>
          <w:sz w:val="22"/>
          <w:szCs w:val="22"/>
          <w:u w:val="single"/>
        </w:rPr>
      </w:pPr>
    </w:p>
    <w:p w14:paraId="0B948063" w14:textId="77777777" w:rsidR="004462A0" w:rsidRPr="00CC4B51" w:rsidRDefault="00615769" w:rsidP="004462A0">
      <w:pPr>
        <w:rPr>
          <w:sz w:val="22"/>
          <w:szCs w:val="22"/>
          <w:u w:val="single"/>
        </w:rPr>
      </w:pPr>
      <w:r w:rsidRPr="00CC4B51">
        <w:rPr>
          <w:i/>
          <w:sz w:val="22"/>
          <w:szCs w:val="22"/>
        </w:rPr>
        <w:t>Doença de Crohn</w:t>
      </w:r>
    </w:p>
    <w:p w14:paraId="5B0E185A" w14:textId="77777777" w:rsidR="004462A0" w:rsidRPr="00CC4B51" w:rsidRDefault="004462A0" w:rsidP="004462A0">
      <w:pPr>
        <w:jc w:val="both"/>
        <w:rPr>
          <w:sz w:val="22"/>
          <w:szCs w:val="22"/>
        </w:rPr>
      </w:pPr>
    </w:p>
    <w:p w14:paraId="46C90BFD" w14:textId="77777777" w:rsidR="004462A0" w:rsidRPr="00CC4B51" w:rsidRDefault="00615769" w:rsidP="004462A0">
      <w:pPr>
        <w:rPr>
          <w:sz w:val="22"/>
          <w:szCs w:val="22"/>
        </w:rPr>
      </w:pPr>
      <w:r w:rsidRPr="00CC4B51">
        <w:rPr>
          <w:sz w:val="22"/>
          <w:szCs w:val="22"/>
        </w:rPr>
        <w:t>A segurança e eficácia de Humira foram avaliadas em mais de 1.500 doentes com doença de Crohn (DC) ativa moderada a grave (</w:t>
      </w:r>
      <w:r w:rsidRPr="00CC4B51">
        <w:rPr>
          <w:i/>
          <w:sz w:val="22"/>
          <w:szCs w:val="22"/>
        </w:rPr>
        <w:t>Crohn’s Disease Activity Index</w:t>
      </w:r>
      <w:r w:rsidRPr="00CC4B51">
        <w:rPr>
          <w:sz w:val="22"/>
          <w:szCs w:val="22"/>
        </w:rPr>
        <w:t xml:space="preserve"> (CDAI) </w:t>
      </w:r>
      <w:r w:rsidRPr="00CC4B51">
        <w:rPr>
          <w:rFonts w:ascii="Symbol" w:hAnsi="Symbol"/>
          <w:sz w:val="22"/>
          <w:szCs w:val="22"/>
        </w:rPr>
        <w:sym w:font="Symbol" w:char="F0B3"/>
      </w:r>
      <w:r w:rsidRPr="00CC4B51">
        <w:rPr>
          <w:sz w:val="22"/>
          <w:szCs w:val="22"/>
        </w:rPr>
        <w:t xml:space="preserve"> 220 e </w:t>
      </w:r>
      <w:r w:rsidRPr="00CC4B51">
        <w:rPr>
          <w:rFonts w:ascii="Symbol" w:hAnsi="Symbol"/>
          <w:sz w:val="22"/>
          <w:szCs w:val="22"/>
        </w:rPr>
        <w:sym w:font="Symbol" w:char="F0A3"/>
      </w:r>
      <w:r w:rsidRPr="00CC4B51">
        <w:rPr>
          <w:sz w:val="22"/>
          <w:szCs w:val="22"/>
        </w:rPr>
        <w:t xml:space="preserve"> 450) em estudos </w:t>
      </w:r>
      <w:r w:rsidR="0013275C">
        <w:rPr>
          <w:sz w:val="22"/>
          <w:szCs w:val="22"/>
        </w:rPr>
        <w:t>aleatorizado</w:t>
      </w:r>
      <w:r w:rsidRPr="00CC4B51">
        <w:rPr>
          <w:sz w:val="22"/>
          <w:szCs w:val="22"/>
        </w:rPr>
        <w:t>s, em dupla ocultação, controlados com placebo. Foi permitida a utilização concomitante de doses estáveis de aminosalicilatos, corticosteroides, e/ou agentes imunomoduladores e 80</w:t>
      </w:r>
      <w:r w:rsidR="009343EF">
        <w:rPr>
          <w:sz w:val="22"/>
          <w:szCs w:val="22"/>
        </w:rPr>
        <w:t>%</w:t>
      </w:r>
      <w:r w:rsidRPr="00CC4B51">
        <w:rPr>
          <w:sz w:val="22"/>
          <w:szCs w:val="22"/>
        </w:rPr>
        <w:t xml:space="preserve"> dos doentes continuaram a receber pelo menos um destes medicamentos.</w:t>
      </w:r>
    </w:p>
    <w:p w14:paraId="29DDB3D7" w14:textId="77777777" w:rsidR="004462A0" w:rsidRPr="00CC4B51" w:rsidRDefault="004462A0" w:rsidP="004462A0">
      <w:pPr>
        <w:jc w:val="both"/>
        <w:rPr>
          <w:sz w:val="22"/>
          <w:szCs w:val="22"/>
        </w:rPr>
      </w:pPr>
    </w:p>
    <w:p w14:paraId="39490B29" w14:textId="77777777" w:rsidR="004462A0" w:rsidRPr="00CC4B51" w:rsidRDefault="00615769" w:rsidP="004462A0">
      <w:pPr>
        <w:rPr>
          <w:sz w:val="22"/>
          <w:szCs w:val="22"/>
        </w:rPr>
      </w:pPr>
      <w:r w:rsidRPr="00CC4B51">
        <w:rPr>
          <w:sz w:val="22"/>
          <w:szCs w:val="22"/>
        </w:rPr>
        <w:t>A indução da remissão clínica (definida como CDAI &lt; 150) foi avaliada em dois estudos, Estudo DC I (CLASSIC I) e Estudo DC II (GAIN). No Estudo DC I</w:t>
      </w:r>
      <w:r w:rsidR="00FD7DDE">
        <w:rPr>
          <w:sz w:val="22"/>
          <w:szCs w:val="22"/>
        </w:rPr>
        <w:t>,</w:t>
      </w:r>
      <w:r w:rsidRPr="00CC4B51">
        <w:rPr>
          <w:sz w:val="22"/>
          <w:szCs w:val="22"/>
        </w:rPr>
        <w:t xml:space="preserve"> 299 doentes não tratados previamente com antagonistas-TNF foram </w:t>
      </w:r>
      <w:r w:rsidR="0013275C">
        <w:rPr>
          <w:sz w:val="22"/>
          <w:szCs w:val="22"/>
        </w:rPr>
        <w:t>aleatorizado</w:t>
      </w:r>
      <w:r w:rsidRPr="00CC4B51">
        <w:rPr>
          <w:sz w:val="22"/>
          <w:szCs w:val="22"/>
        </w:rPr>
        <w:t>s para um dos quatro grupos de tratamento; placebo nas Semanas 0 e 2, 160 mg de Humira na Semana 0 e 80 mg na Semana 2, 80 mg na Semana 0 e 40 mg na Semana 2, e 40 mg na Semana 0 e 20 mg na Semana 2. No Estudo DC II</w:t>
      </w:r>
      <w:r w:rsidR="00FD7DDE">
        <w:rPr>
          <w:sz w:val="22"/>
          <w:szCs w:val="22"/>
        </w:rPr>
        <w:t>,</w:t>
      </w:r>
      <w:r w:rsidRPr="00CC4B51">
        <w:rPr>
          <w:sz w:val="22"/>
          <w:szCs w:val="22"/>
        </w:rPr>
        <w:t xml:space="preserve"> 325 doentes que </w:t>
      </w:r>
      <w:r w:rsidR="00891B19">
        <w:rPr>
          <w:sz w:val="22"/>
          <w:szCs w:val="22"/>
        </w:rPr>
        <w:t xml:space="preserve">deixaram de </w:t>
      </w:r>
      <w:r w:rsidRPr="00CC4B51">
        <w:rPr>
          <w:sz w:val="22"/>
          <w:szCs w:val="22"/>
        </w:rPr>
        <w:t xml:space="preserve">responder ou foram intolerantes a infliximab foram </w:t>
      </w:r>
      <w:r w:rsidR="0013275C">
        <w:rPr>
          <w:sz w:val="22"/>
          <w:szCs w:val="22"/>
        </w:rPr>
        <w:t>aleatorizado</w:t>
      </w:r>
      <w:r w:rsidRPr="00CC4B51">
        <w:rPr>
          <w:sz w:val="22"/>
          <w:szCs w:val="22"/>
        </w:rPr>
        <w:t xml:space="preserve">s para receber ou 160 mg de Humira na Semana 0 e 80 mg na Semana 2 ou placebo nas Semanas 0 e 2. Foram excluídos do estudo os </w:t>
      </w:r>
      <w:r w:rsidRPr="00CC4B51">
        <w:rPr>
          <w:sz w:val="22"/>
          <w:szCs w:val="22"/>
        </w:rPr>
        <w:t>não respondedores primários e estes doentes não foram avaliados.</w:t>
      </w:r>
    </w:p>
    <w:p w14:paraId="423DE562" w14:textId="77777777" w:rsidR="004462A0" w:rsidRPr="00CC4B51" w:rsidRDefault="004462A0" w:rsidP="004462A0">
      <w:pPr>
        <w:jc w:val="both"/>
        <w:rPr>
          <w:sz w:val="22"/>
          <w:szCs w:val="22"/>
        </w:rPr>
      </w:pPr>
    </w:p>
    <w:p w14:paraId="5B95B100" w14:textId="77777777" w:rsidR="004462A0" w:rsidRPr="00CC4B51" w:rsidRDefault="00615769" w:rsidP="004462A0">
      <w:pPr>
        <w:tabs>
          <w:tab w:val="left" w:pos="562"/>
        </w:tabs>
        <w:suppressAutoHyphens/>
        <w:rPr>
          <w:sz w:val="22"/>
          <w:szCs w:val="22"/>
        </w:rPr>
      </w:pPr>
      <w:r w:rsidRPr="00CC4B51">
        <w:rPr>
          <w:sz w:val="22"/>
          <w:szCs w:val="22"/>
        </w:rPr>
        <w:t>A manutenção da remissão clínica foi avaliada no estudo DC III (CHARM). No Estudo DC III</w:t>
      </w:r>
      <w:r w:rsidR="00891B19">
        <w:rPr>
          <w:sz w:val="22"/>
          <w:szCs w:val="22"/>
        </w:rPr>
        <w:t>,</w:t>
      </w:r>
      <w:r w:rsidRPr="00CC4B51">
        <w:rPr>
          <w:sz w:val="22"/>
          <w:szCs w:val="22"/>
        </w:rPr>
        <w:t xml:space="preserve"> 854 doentes receberam </w:t>
      </w:r>
      <w:r w:rsidR="00891B19" w:rsidRPr="00CC4B51">
        <w:rPr>
          <w:sz w:val="22"/>
          <w:szCs w:val="22"/>
        </w:rPr>
        <w:t xml:space="preserve">em fase aberta </w:t>
      </w:r>
      <w:r w:rsidRPr="00CC4B51">
        <w:rPr>
          <w:sz w:val="22"/>
          <w:szCs w:val="22"/>
        </w:rPr>
        <w:t xml:space="preserve">80 mg na Semana 0 e 40 mg na Semana 2. Na Semana 4, os doentes foram </w:t>
      </w:r>
      <w:r w:rsidR="0013275C">
        <w:rPr>
          <w:sz w:val="22"/>
          <w:szCs w:val="22"/>
        </w:rPr>
        <w:t>aleatorizado</w:t>
      </w:r>
      <w:r w:rsidRPr="00CC4B51">
        <w:rPr>
          <w:sz w:val="22"/>
          <w:szCs w:val="22"/>
        </w:rPr>
        <w:t xml:space="preserve">s para 40 mg em </w:t>
      </w:r>
      <w:r w:rsidR="00891B19">
        <w:rPr>
          <w:sz w:val="22"/>
          <w:szCs w:val="22"/>
        </w:rPr>
        <w:t>s</w:t>
      </w:r>
      <w:r w:rsidRPr="00CC4B51">
        <w:rPr>
          <w:sz w:val="22"/>
          <w:szCs w:val="22"/>
        </w:rPr>
        <w:t xml:space="preserve">emanas alternadas, 40 mg todas as </w:t>
      </w:r>
      <w:r w:rsidR="00891B19">
        <w:rPr>
          <w:sz w:val="22"/>
          <w:szCs w:val="22"/>
        </w:rPr>
        <w:t>s</w:t>
      </w:r>
      <w:r w:rsidRPr="00CC4B51">
        <w:rPr>
          <w:sz w:val="22"/>
          <w:szCs w:val="22"/>
        </w:rPr>
        <w:t xml:space="preserve">emanas, ou placebo com uma duração total de 56 </w:t>
      </w:r>
      <w:r w:rsidR="00891B19">
        <w:rPr>
          <w:sz w:val="22"/>
          <w:szCs w:val="22"/>
        </w:rPr>
        <w:t>s</w:t>
      </w:r>
      <w:r w:rsidRPr="00CC4B51">
        <w:rPr>
          <w:sz w:val="22"/>
          <w:szCs w:val="22"/>
        </w:rPr>
        <w:t>emanas. Doentes em resposta clínica (diminuição de CDAI </w:t>
      </w:r>
      <w:r w:rsidRPr="00CC4B51">
        <w:rPr>
          <w:rFonts w:ascii="Symbol" w:hAnsi="Symbol"/>
          <w:sz w:val="22"/>
          <w:szCs w:val="22"/>
        </w:rPr>
        <w:sym w:font="Symbol" w:char="F0B3"/>
      </w:r>
      <w:r w:rsidRPr="00CC4B51">
        <w:rPr>
          <w:sz w:val="22"/>
          <w:szCs w:val="22"/>
        </w:rPr>
        <w:t xml:space="preserve"> 70) na </w:t>
      </w:r>
      <w:r w:rsidR="00FD7DDE">
        <w:rPr>
          <w:sz w:val="22"/>
          <w:szCs w:val="22"/>
        </w:rPr>
        <w:t>S</w:t>
      </w:r>
      <w:r w:rsidRPr="00CC4B51">
        <w:rPr>
          <w:sz w:val="22"/>
          <w:szCs w:val="22"/>
        </w:rPr>
        <w:t>emana 4 foram estratificados e analisados separadamente dos que não responderam clinicamente na Semana 4. A redução de corticosteroides foi permitida após a Semana 8.</w:t>
      </w:r>
    </w:p>
    <w:p w14:paraId="18B42305" w14:textId="77777777" w:rsidR="004462A0" w:rsidRPr="00CC4B51" w:rsidRDefault="004462A0" w:rsidP="004462A0">
      <w:pPr>
        <w:tabs>
          <w:tab w:val="left" w:pos="562"/>
        </w:tabs>
        <w:suppressAutoHyphens/>
        <w:rPr>
          <w:sz w:val="22"/>
          <w:szCs w:val="22"/>
        </w:rPr>
      </w:pPr>
    </w:p>
    <w:p w14:paraId="51B03E5F" w14:textId="77777777" w:rsidR="004462A0" w:rsidRPr="00CC4B51" w:rsidRDefault="00615769" w:rsidP="004462A0">
      <w:pPr>
        <w:jc w:val="both"/>
        <w:rPr>
          <w:sz w:val="22"/>
          <w:szCs w:val="22"/>
        </w:rPr>
      </w:pPr>
      <w:r w:rsidRPr="00CC4B51">
        <w:rPr>
          <w:sz w:val="22"/>
          <w:szCs w:val="22"/>
        </w:rPr>
        <w:t xml:space="preserve">As taxas de indução de remissão e de resposta </w:t>
      </w:r>
      <w:r w:rsidR="00FD7DDE" w:rsidRPr="008912CF">
        <w:rPr>
          <w:sz w:val="22"/>
          <w:szCs w:val="22"/>
        </w:rPr>
        <w:t>dos estudos D</w:t>
      </w:r>
      <w:r w:rsidR="00FD7DDE">
        <w:rPr>
          <w:sz w:val="22"/>
          <w:szCs w:val="22"/>
        </w:rPr>
        <w:t>C</w:t>
      </w:r>
      <w:r w:rsidR="00FD7DDE" w:rsidRPr="008912CF">
        <w:rPr>
          <w:sz w:val="22"/>
          <w:szCs w:val="22"/>
        </w:rPr>
        <w:t xml:space="preserve"> I e D</w:t>
      </w:r>
      <w:r w:rsidR="00FD7DDE">
        <w:rPr>
          <w:sz w:val="22"/>
          <w:szCs w:val="22"/>
        </w:rPr>
        <w:t>C</w:t>
      </w:r>
      <w:r w:rsidR="00FD7DDE" w:rsidRPr="008912CF">
        <w:rPr>
          <w:sz w:val="22"/>
          <w:szCs w:val="22"/>
        </w:rPr>
        <w:t xml:space="preserve"> II </w:t>
      </w:r>
      <w:r w:rsidRPr="00CC4B51">
        <w:rPr>
          <w:sz w:val="22"/>
          <w:szCs w:val="22"/>
        </w:rPr>
        <w:t xml:space="preserve">são apresentadas na Tabela </w:t>
      </w:r>
      <w:r w:rsidR="00835AFF">
        <w:rPr>
          <w:sz w:val="22"/>
          <w:szCs w:val="22"/>
        </w:rPr>
        <w:t>1</w:t>
      </w:r>
      <w:r w:rsidR="00D94630">
        <w:rPr>
          <w:sz w:val="22"/>
          <w:szCs w:val="22"/>
        </w:rPr>
        <w:t>4</w:t>
      </w:r>
      <w:r w:rsidRPr="00CC4B51">
        <w:rPr>
          <w:sz w:val="22"/>
          <w:szCs w:val="22"/>
        </w:rPr>
        <w:t>.</w:t>
      </w:r>
    </w:p>
    <w:p w14:paraId="7155AE42" w14:textId="77777777" w:rsidR="004462A0" w:rsidRPr="00CC4B51" w:rsidRDefault="004462A0" w:rsidP="004462A0">
      <w:pPr>
        <w:keepNext/>
        <w:jc w:val="both"/>
        <w:rPr>
          <w:sz w:val="22"/>
          <w:szCs w:val="22"/>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7"/>
        <w:gridCol w:w="1201"/>
        <w:gridCol w:w="1255"/>
        <w:gridCol w:w="1176"/>
        <w:gridCol w:w="1409"/>
        <w:gridCol w:w="1840"/>
      </w:tblGrid>
      <w:tr w:rsidR="00A7162A" w14:paraId="50A6FD0F" w14:textId="77777777" w:rsidTr="00F675CF">
        <w:trPr>
          <w:cantSplit/>
        </w:trPr>
        <w:tc>
          <w:tcPr>
            <w:tcW w:w="9238" w:type="dxa"/>
            <w:gridSpan w:val="6"/>
            <w:tcBorders>
              <w:top w:val="nil"/>
              <w:left w:val="nil"/>
              <w:right w:val="nil"/>
            </w:tcBorders>
          </w:tcPr>
          <w:p w14:paraId="7F0AFB74" w14:textId="77777777" w:rsidR="004462A0" w:rsidRPr="00CC4B51" w:rsidRDefault="00615769" w:rsidP="00F675CF">
            <w:pPr>
              <w:keepNext/>
              <w:keepLines/>
              <w:tabs>
                <w:tab w:val="left" w:pos="360"/>
              </w:tabs>
              <w:suppressAutoHyphens/>
              <w:spacing w:before="40" w:after="40"/>
              <w:jc w:val="center"/>
              <w:rPr>
                <w:b/>
                <w:bCs/>
                <w:sz w:val="22"/>
                <w:szCs w:val="22"/>
              </w:rPr>
            </w:pPr>
            <w:r w:rsidRPr="00CC4B51">
              <w:br w:type="page"/>
            </w:r>
            <w:r w:rsidRPr="00CC4B51">
              <w:rPr>
                <w:sz w:val="20"/>
                <w:szCs w:val="22"/>
              </w:rPr>
              <w:br w:type="page"/>
            </w:r>
            <w:r w:rsidRPr="00CC4B51">
              <w:rPr>
                <w:b/>
                <w:bCs/>
                <w:sz w:val="22"/>
                <w:szCs w:val="22"/>
              </w:rPr>
              <w:t xml:space="preserve">Tabela </w:t>
            </w:r>
            <w:r w:rsidR="00835AFF">
              <w:rPr>
                <w:b/>
                <w:bCs/>
                <w:sz w:val="22"/>
                <w:szCs w:val="22"/>
              </w:rPr>
              <w:t>1</w:t>
            </w:r>
            <w:r w:rsidR="00D94630">
              <w:rPr>
                <w:b/>
                <w:bCs/>
                <w:sz w:val="22"/>
                <w:szCs w:val="22"/>
              </w:rPr>
              <w:t>4</w:t>
            </w:r>
          </w:p>
          <w:p w14:paraId="635D9D7B" w14:textId="77777777" w:rsidR="004462A0" w:rsidRPr="00CC4B51" w:rsidRDefault="00615769" w:rsidP="00F675CF">
            <w:pPr>
              <w:keepNext/>
              <w:keepLines/>
              <w:tabs>
                <w:tab w:val="left" w:pos="360"/>
              </w:tabs>
              <w:suppressAutoHyphens/>
              <w:spacing w:before="40" w:after="40"/>
              <w:jc w:val="center"/>
              <w:rPr>
                <w:b/>
                <w:bCs/>
                <w:sz w:val="22"/>
                <w:szCs w:val="22"/>
              </w:rPr>
            </w:pPr>
            <w:r w:rsidRPr="00CC4B51">
              <w:rPr>
                <w:b/>
                <w:bCs/>
                <w:sz w:val="22"/>
                <w:szCs w:val="22"/>
              </w:rPr>
              <w:t>Indução da remissão e resposta clínica</w:t>
            </w:r>
          </w:p>
          <w:p w14:paraId="196F59C4" w14:textId="77777777" w:rsidR="004462A0" w:rsidRPr="00CC4B51" w:rsidRDefault="00615769" w:rsidP="00F675CF">
            <w:pPr>
              <w:keepNext/>
              <w:keepLines/>
              <w:tabs>
                <w:tab w:val="left" w:pos="360"/>
              </w:tabs>
              <w:suppressAutoHyphens/>
              <w:spacing w:before="40" w:after="40"/>
              <w:jc w:val="center"/>
              <w:rPr>
                <w:b/>
                <w:bCs/>
                <w:sz w:val="22"/>
                <w:szCs w:val="22"/>
              </w:rPr>
            </w:pPr>
            <w:r w:rsidRPr="00CC4B51">
              <w:rPr>
                <w:b/>
                <w:bCs/>
                <w:sz w:val="22"/>
                <w:szCs w:val="22"/>
              </w:rPr>
              <w:t>(Percentagem de Doentes)</w:t>
            </w:r>
          </w:p>
          <w:p w14:paraId="5FD38520" w14:textId="77777777" w:rsidR="004462A0" w:rsidRPr="00CC4B51" w:rsidRDefault="004462A0" w:rsidP="00F675CF">
            <w:pPr>
              <w:keepNext/>
              <w:keepLines/>
              <w:tabs>
                <w:tab w:val="left" w:pos="360"/>
              </w:tabs>
              <w:suppressAutoHyphens/>
              <w:spacing w:before="40" w:after="40"/>
              <w:jc w:val="center"/>
              <w:rPr>
                <w:b/>
                <w:bCs/>
                <w:sz w:val="22"/>
                <w:szCs w:val="22"/>
              </w:rPr>
            </w:pPr>
          </w:p>
        </w:tc>
      </w:tr>
      <w:tr w:rsidR="00A7162A" w14:paraId="1F776F53" w14:textId="77777777" w:rsidTr="00F675CF">
        <w:trPr>
          <w:cantSplit/>
        </w:trPr>
        <w:tc>
          <w:tcPr>
            <w:tcW w:w="2357" w:type="dxa"/>
          </w:tcPr>
          <w:p w14:paraId="3146F986" w14:textId="77777777" w:rsidR="004462A0" w:rsidRPr="00CC4B51" w:rsidRDefault="004462A0" w:rsidP="00F675CF">
            <w:pPr>
              <w:keepNext/>
              <w:keepLines/>
              <w:tabs>
                <w:tab w:val="left" w:pos="360"/>
              </w:tabs>
              <w:suppressAutoHyphens/>
              <w:spacing w:before="40" w:after="40"/>
              <w:rPr>
                <w:b/>
                <w:bCs/>
                <w:sz w:val="22"/>
                <w:szCs w:val="22"/>
              </w:rPr>
            </w:pPr>
          </w:p>
        </w:tc>
        <w:tc>
          <w:tcPr>
            <w:tcW w:w="3632" w:type="dxa"/>
            <w:gridSpan w:val="3"/>
          </w:tcPr>
          <w:p w14:paraId="0ADF51B0" w14:textId="77777777" w:rsidR="004462A0" w:rsidRPr="00CC4B51" w:rsidRDefault="00615769" w:rsidP="00F675CF">
            <w:pPr>
              <w:keepNext/>
              <w:keepLines/>
              <w:tabs>
                <w:tab w:val="left" w:pos="360"/>
              </w:tabs>
              <w:suppressAutoHyphens/>
              <w:spacing w:before="40" w:after="40"/>
              <w:rPr>
                <w:b/>
                <w:bCs/>
                <w:sz w:val="22"/>
                <w:szCs w:val="22"/>
              </w:rPr>
            </w:pPr>
            <w:r w:rsidRPr="00CC4B51">
              <w:rPr>
                <w:b/>
                <w:bCs/>
                <w:sz w:val="22"/>
                <w:szCs w:val="22"/>
              </w:rPr>
              <w:t>Estudo DC I: Doentes não tratados previamente com Infliximab</w:t>
            </w:r>
          </w:p>
        </w:tc>
        <w:tc>
          <w:tcPr>
            <w:tcW w:w="3249" w:type="dxa"/>
            <w:gridSpan w:val="2"/>
          </w:tcPr>
          <w:p w14:paraId="344D95C5" w14:textId="77777777" w:rsidR="004462A0" w:rsidRPr="00CC4B51" w:rsidRDefault="00615769" w:rsidP="00F675CF">
            <w:pPr>
              <w:keepNext/>
              <w:keepLines/>
              <w:tabs>
                <w:tab w:val="left" w:pos="360"/>
              </w:tabs>
              <w:suppressAutoHyphens/>
              <w:spacing w:before="40" w:after="40"/>
              <w:rPr>
                <w:b/>
                <w:bCs/>
                <w:sz w:val="22"/>
                <w:szCs w:val="22"/>
              </w:rPr>
            </w:pPr>
            <w:r w:rsidRPr="00CC4B51">
              <w:rPr>
                <w:b/>
                <w:bCs/>
                <w:sz w:val="22"/>
                <w:szCs w:val="22"/>
              </w:rPr>
              <w:t xml:space="preserve">Estudo DC II: Doentes tratados </w:t>
            </w:r>
            <w:r w:rsidR="001E16B7">
              <w:rPr>
                <w:b/>
                <w:bCs/>
                <w:sz w:val="22"/>
                <w:szCs w:val="22"/>
              </w:rPr>
              <w:t xml:space="preserve">previamente </w:t>
            </w:r>
            <w:r w:rsidRPr="00CC4B51">
              <w:rPr>
                <w:b/>
                <w:bCs/>
                <w:sz w:val="22"/>
                <w:szCs w:val="22"/>
              </w:rPr>
              <w:t>com Infliximab</w:t>
            </w:r>
          </w:p>
        </w:tc>
      </w:tr>
      <w:tr w:rsidR="00A7162A" w14:paraId="732BD082" w14:textId="77777777" w:rsidTr="00F675CF">
        <w:trPr>
          <w:cantSplit/>
        </w:trPr>
        <w:tc>
          <w:tcPr>
            <w:tcW w:w="2357" w:type="dxa"/>
          </w:tcPr>
          <w:p w14:paraId="43F684F1" w14:textId="77777777" w:rsidR="004462A0" w:rsidRPr="00CC4B51" w:rsidRDefault="004462A0" w:rsidP="00F675CF">
            <w:pPr>
              <w:keepNext/>
              <w:keepLines/>
              <w:tabs>
                <w:tab w:val="left" w:pos="360"/>
              </w:tabs>
              <w:suppressAutoHyphens/>
              <w:spacing w:before="40" w:after="40"/>
              <w:jc w:val="center"/>
              <w:rPr>
                <w:b/>
                <w:bCs/>
                <w:sz w:val="22"/>
                <w:szCs w:val="22"/>
              </w:rPr>
            </w:pPr>
          </w:p>
        </w:tc>
        <w:tc>
          <w:tcPr>
            <w:tcW w:w="1201" w:type="dxa"/>
          </w:tcPr>
          <w:p w14:paraId="6356D775" w14:textId="77777777" w:rsidR="004462A0" w:rsidRPr="00CC4B51" w:rsidRDefault="00615769" w:rsidP="00F675CF">
            <w:pPr>
              <w:keepNext/>
              <w:keepLines/>
              <w:tabs>
                <w:tab w:val="left" w:pos="360"/>
              </w:tabs>
              <w:suppressAutoHyphens/>
              <w:spacing w:before="40" w:after="40"/>
              <w:jc w:val="center"/>
              <w:rPr>
                <w:b/>
                <w:bCs/>
                <w:sz w:val="22"/>
                <w:szCs w:val="22"/>
              </w:rPr>
            </w:pPr>
            <w:r w:rsidRPr="00CC4B51">
              <w:rPr>
                <w:b/>
                <w:bCs/>
                <w:sz w:val="22"/>
                <w:szCs w:val="22"/>
              </w:rPr>
              <w:t>Placebo</w:t>
            </w:r>
          </w:p>
          <w:p w14:paraId="15948F67" w14:textId="77777777" w:rsidR="004462A0" w:rsidRPr="00CC4B51" w:rsidRDefault="00615769" w:rsidP="00F675CF">
            <w:pPr>
              <w:keepNext/>
              <w:keepLines/>
              <w:tabs>
                <w:tab w:val="left" w:pos="360"/>
              </w:tabs>
              <w:suppressAutoHyphens/>
              <w:spacing w:before="40" w:after="40"/>
              <w:jc w:val="center"/>
              <w:rPr>
                <w:b/>
                <w:bCs/>
                <w:sz w:val="22"/>
                <w:szCs w:val="22"/>
              </w:rPr>
            </w:pPr>
            <w:r w:rsidRPr="00CC4B51">
              <w:rPr>
                <w:b/>
                <w:bCs/>
                <w:sz w:val="22"/>
                <w:szCs w:val="22"/>
              </w:rPr>
              <w:t>N =74</w:t>
            </w:r>
          </w:p>
        </w:tc>
        <w:tc>
          <w:tcPr>
            <w:tcW w:w="1255" w:type="dxa"/>
          </w:tcPr>
          <w:p w14:paraId="7F4E2B78" w14:textId="77777777" w:rsidR="004462A0" w:rsidRPr="00CC4B51" w:rsidRDefault="00615769" w:rsidP="00F675CF">
            <w:pPr>
              <w:keepNext/>
              <w:keepLines/>
              <w:tabs>
                <w:tab w:val="left" w:pos="360"/>
              </w:tabs>
              <w:suppressAutoHyphens/>
              <w:spacing w:before="40" w:after="40"/>
              <w:jc w:val="center"/>
              <w:rPr>
                <w:b/>
                <w:bCs/>
                <w:sz w:val="22"/>
                <w:szCs w:val="22"/>
              </w:rPr>
            </w:pPr>
            <w:r w:rsidRPr="00CC4B51">
              <w:rPr>
                <w:b/>
                <w:bCs/>
                <w:sz w:val="22"/>
                <w:szCs w:val="22"/>
              </w:rPr>
              <w:t>Humira</w:t>
            </w:r>
          </w:p>
          <w:p w14:paraId="74E69E9D" w14:textId="77777777" w:rsidR="004462A0" w:rsidRPr="00CC4B51" w:rsidRDefault="00615769" w:rsidP="00F675CF">
            <w:pPr>
              <w:keepNext/>
              <w:keepLines/>
              <w:tabs>
                <w:tab w:val="left" w:pos="360"/>
              </w:tabs>
              <w:suppressAutoHyphens/>
              <w:spacing w:before="40" w:after="40"/>
              <w:jc w:val="center"/>
              <w:rPr>
                <w:b/>
                <w:bCs/>
                <w:sz w:val="22"/>
                <w:szCs w:val="22"/>
              </w:rPr>
            </w:pPr>
            <w:r w:rsidRPr="00CC4B51">
              <w:rPr>
                <w:b/>
                <w:bCs/>
                <w:sz w:val="22"/>
                <w:szCs w:val="22"/>
              </w:rPr>
              <w:t>80/40 mg</w:t>
            </w:r>
          </w:p>
          <w:p w14:paraId="4E5FEF56" w14:textId="77777777" w:rsidR="004462A0" w:rsidRPr="00CC4B51" w:rsidRDefault="00615769" w:rsidP="00F675CF">
            <w:pPr>
              <w:keepNext/>
              <w:keepLines/>
              <w:tabs>
                <w:tab w:val="left" w:pos="360"/>
              </w:tabs>
              <w:suppressAutoHyphens/>
              <w:spacing w:before="40" w:after="40"/>
              <w:jc w:val="center"/>
              <w:rPr>
                <w:b/>
                <w:bCs/>
                <w:sz w:val="22"/>
                <w:szCs w:val="22"/>
              </w:rPr>
            </w:pPr>
            <w:r w:rsidRPr="00CC4B51">
              <w:rPr>
                <w:b/>
                <w:bCs/>
                <w:sz w:val="22"/>
                <w:szCs w:val="22"/>
              </w:rPr>
              <w:t>N =75</w:t>
            </w:r>
          </w:p>
        </w:tc>
        <w:tc>
          <w:tcPr>
            <w:tcW w:w="1176" w:type="dxa"/>
          </w:tcPr>
          <w:p w14:paraId="516D8B49" w14:textId="77777777" w:rsidR="004462A0" w:rsidRPr="00CC4B51" w:rsidRDefault="00615769" w:rsidP="00F675CF">
            <w:pPr>
              <w:keepNext/>
              <w:keepLines/>
              <w:tabs>
                <w:tab w:val="left" w:pos="360"/>
              </w:tabs>
              <w:suppressAutoHyphens/>
              <w:spacing w:before="40" w:after="40"/>
              <w:jc w:val="center"/>
              <w:rPr>
                <w:b/>
                <w:bCs/>
                <w:sz w:val="22"/>
                <w:szCs w:val="22"/>
              </w:rPr>
            </w:pPr>
            <w:r w:rsidRPr="00CC4B51">
              <w:rPr>
                <w:b/>
                <w:bCs/>
                <w:sz w:val="22"/>
                <w:szCs w:val="22"/>
              </w:rPr>
              <w:t xml:space="preserve">Humira </w:t>
            </w:r>
          </w:p>
          <w:p w14:paraId="72854F93" w14:textId="77777777" w:rsidR="004462A0" w:rsidRPr="00CC4B51" w:rsidRDefault="00615769" w:rsidP="00F675CF">
            <w:pPr>
              <w:keepNext/>
              <w:keepLines/>
              <w:tabs>
                <w:tab w:val="left" w:pos="360"/>
              </w:tabs>
              <w:suppressAutoHyphens/>
              <w:spacing w:before="40" w:after="40"/>
              <w:jc w:val="center"/>
              <w:rPr>
                <w:b/>
                <w:bCs/>
                <w:sz w:val="22"/>
                <w:szCs w:val="22"/>
              </w:rPr>
            </w:pPr>
            <w:r w:rsidRPr="00CC4B51">
              <w:rPr>
                <w:b/>
                <w:bCs/>
                <w:sz w:val="22"/>
                <w:szCs w:val="22"/>
              </w:rPr>
              <w:t>160/80 mg N =76</w:t>
            </w:r>
          </w:p>
        </w:tc>
        <w:tc>
          <w:tcPr>
            <w:tcW w:w="1409" w:type="dxa"/>
          </w:tcPr>
          <w:p w14:paraId="7F4AB55B" w14:textId="77777777" w:rsidR="004462A0" w:rsidRPr="00CC4B51" w:rsidRDefault="00615769" w:rsidP="00F675CF">
            <w:pPr>
              <w:keepNext/>
              <w:keepLines/>
              <w:tabs>
                <w:tab w:val="left" w:pos="360"/>
              </w:tabs>
              <w:suppressAutoHyphens/>
              <w:spacing w:before="40" w:after="40"/>
              <w:jc w:val="center"/>
              <w:rPr>
                <w:b/>
                <w:bCs/>
                <w:sz w:val="22"/>
                <w:szCs w:val="22"/>
              </w:rPr>
            </w:pPr>
            <w:r w:rsidRPr="00CC4B51">
              <w:rPr>
                <w:b/>
                <w:bCs/>
                <w:sz w:val="22"/>
                <w:szCs w:val="22"/>
              </w:rPr>
              <w:t>Placebo</w:t>
            </w:r>
          </w:p>
          <w:p w14:paraId="701C671B" w14:textId="77777777" w:rsidR="004462A0" w:rsidRPr="00CC4B51" w:rsidRDefault="00615769" w:rsidP="00F675CF">
            <w:pPr>
              <w:keepNext/>
              <w:keepLines/>
              <w:tabs>
                <w:tab w:val="left" w:pos="360"/>
              </w:tabs>
              <w:suppressAutoHyphens/>
              <w:spacing w:before="40" w:after="40"/>
              <w:jc w:val="center"/>
              <w:rPr>
                <w:b/>
                <w:bCs/>
                <w:sz w:val="22"/>
                <w:szCs w:val="22"/>
              </w:rPr>
            </w:pPr>
            <w:r w:rsidRPr="00CC4B51">
              <w:rPr>
                <w:b/>
                <w:bCs/>
                <w:sz w:val="22"/>
                <w:szCs w:val="22"/>
              </w:rPr>
              <w:t>N =166</w:t>
            </w:r>
          </w:p>
        </w:tc>
        <w:tc>
          <w:tcPr>
            <w:tcW w:w="1840" w:type="dxa"/>
          </w:tcPr>
          <w:p w14:paraId="0CAC6B2D" w14:textId="77777777" w:rsidR="004462A0" w:rsidRPr="00CC4B51" w:rsidRDefault="00615769" w:rsidP="00F675CF">
            <w:pPr>
              <w:keepNext/>
              <w:keepLines/>
              <w:tabs>
                <w:tab w:val="left" w:pos="360"/>
              </w:tabs>
              <w:suppressAutoHyphens/>
              <w:spacing w:before="40" w:after="40"/>
              <w:jc w:val="center"/>
              <w:rPr>
                <w:b/>
                <w:bCs/>
                <w:sz w:val="22"/>
                <w:szCs w:val="22"/>
              </w:rPr>
            </w:pPr>
            <w:r w:rsidRPr="00CC4B51">
              <w:rPr>
                <w:b/>
                <w:bCs/>
                <w:sz w:val="22"/>
                <w:szCs w:val="22"/>
              </w:rPr>
              <w:t xml:space="preserve">Humira </w:t>
            </w:r>
          </w:p>
          <w:p w14:paraId="4D985445" w14:textId="77777777" w:rsidR="004462A0" w:rsidRPr="00CC4B51" w:rsidRDefault="00615769" w:rsidP="00F675CF">
            <w:pPr>
              <w:keepNext/>
              <w:keepLines/>
              <w:tabs>
                <w:tab w:val="left" w:pos="360"/>
              </w:tabs>
              <w:suppressAutoHyphens/>
              <w:spacing w:before="40" w:after="40"/>
              <w:jc w:val="center"/>
              <w:rPr>
                <w:b/>
                <w:bCs/>
                <w:sz w:val="22"/>
                <w:szCs w:val="22"/>
              </w:rPr>
            </w:pPr>
            <w:r w:rsidRPr="00CC4B51">
              <w:rPr>
                <w:b/>
                <w:bCs/>
                <w:sz w:val="22"/>
                <w:szCs w:val="22"/>
              </w:rPr>
              <w:t>160/80 mg</w:t>
            </w:r>
          </w:p>
          <w:p w14:paraId="67E5BA60" w14:textId="77777777" w:rsidR="004462A0" w:rsidRPr="00CC4B51" w:rsidRDefault="00615769" w:rsidP="00F675CF">
            <w:pPr>
              <w:keepNext/>
              <w:keepLines/>
              <w:tabs>
                <w:tab w:val="left" w:pos="360"/>
              </w:tabs>
              <w:suppressAutoHyphens/>
              <w:spacing w:before="40" w:after="40"/>
              <w:jc w:val="center"/>
              <w:rPr>
                <w:b/>
                <w:bCs/>
                <w:sz w:val="22"/>
                <w:szCs w:val="22"/>
              </w:rPr>
            </w:pPr>
            <w:r w:rsidRPr="00CC4B51">
              <w:rPr>
                <w:b/>
                <w:bCs/>
                <w:sz w:val="22"/>
                <w:szCs w:val="22"/>
              </w:rPr>
              <w:t>N =159</w:t>
            </w:r>
          </w:p>
        </w:tc>
      </w:tr>
      <w:tr w:rsidR="00A7162A" w14:paraId="1CB82EC2" w14:textId="77777777" w:rsidTr="00F675CF">
        <w:trPr>
          <w:cantSplit/>
        </w:trPr>
        <w:tc>
          <w:tcPr>
            <w:tcW w:w="2357" w:type="dxa"/>
            <w:vAlign w:val="bottom"/>
          </w:tcPr>
          <w:p w14:paraId="72EB110C" w14:textId="77777777" w:rsidR="004462A0" w:rsidRPr="00CC4B51" w:rsidRDefault="00615769" w:rsidP="00F675CF">
            <w:pPr>
              <w:keepNext/>
              <w:keepLines/>
              <w:tabs>
                <w:tab w:val="left" w:pos="360"/>
              </w:tabs>
              <w:suppressAutoHyphens/>
              <w:spacing w:before="40" w:after="40"/>
              <w:rPr>
                <w:sz w:val="22"/>
                <w:szCs w:val="22"/>
              </w:rPr>
            </w:pPr>
            <w:r w:rsidRPr="00CC4B51">
              <w:rPr>
                <w:sz w:val="22"/>
                <w:szCs w:val="22"/>
              </w:rPr>
              <w:t>Semana 4</w:t>
            </w:r>
          </w:p>
        </w:tc>
        <w:tc>
          <w:tcPr>
            <w:tcW w:w="1201" w:type="dxa"/>
            <w:vAlign w:val="bottom"/>
          </w:tcPr>
          <w:p w14:paraId="3EF9E315" w14:textId="77777777" w:rsidR="004462A0" w:rsidRPr="00CC4B51" w:rsidRDefault="004462A0" w:rsidP="00F675CF">
            <w:pPr>
              <w:keepNext/>
              <w:keepLines/>
              <w:tabs>
                <w:tab w:val="left" w:pos="360"/>
              </w:tabs>
              <w:suppressAutoHyphens/>
              <w:spacing w:before="40" w:after="40"/>
              <w:rPr>
                <w:sz w:val="22"/>
                <w:szCs w:val="22"/>
              </w:rPr>
            </w:pPr>
          </w:p>
        </w:tc>
        <w:tc>
          <w:tcPr>
            <w:tcW w:w="1255" w:type="dxa"/>
            <w:vAlign w:val="bottom"/>
          </w:tcPr>
          <w:p w14:paraId="138981DC" w14:textId="77777777" w:rsidR="004462A0" w:rsidRPr="00CC4B51" w:rsidRDefault="004462A0" w:rsidP="00F675CF">
            <w:pPr>
              <w:keepNext/>
              <w:keepLines/>
              <w:tabs>
                <w:tab w:val="left" w:pos="360"/>
              </w:tabs>
              <w:suppressAutoHyphens/>
              <w:spacing w:before="40" w:after="40"/>
              <w:rPr>
                <w:sz w:val="22"/>
                <w:szCs w:val="22"/>
              </w:rPr>
            </w:pPr>
          </w:p>
        </w:tc>
        <w:tc>
          <w:tcPr>
            <w:tcW w:w="1176" w:type="dxa"/>
            <w:vAlign w:val="bottom"/>
          </w:tcPr>
          <w:p w14:paraId="1D47979C" w14:textId="77777777" w:rsidR="004462A0" w:rsidRPr="00CC4B51" w:rsidRDefault="004462A0" w:rsidP="00F675CF">
            <w:pPr>
              <w:keepNext/>
              <w:keepLines/>
              <w:tabs>
                <w:tab w:val="left" w:pos="360"/>
              </w:tabs>
              <w:suppressAutoHyphens/>
              <w:spacing w:before="40" w:after="40"/>
              <w:rPr>
                <w:sz w:val="22"/>
                <w:szCs w:val="22"/>
              </w:rPr>
            </w:pPr>
          </w:p>
        </w:tc>
        <w:tc>
          <w:tcPr>
            <w:tcW w:w="1409" w:type="dxa"/>
            <w:vAlign w:val="bottom"/>
          </w:tcPr>
          <w:p w14:paraId="5E900879" w14:textId="77777777" w:rsidR="004462A0" w:rsidRPr="00CC4B51" w:rsidRDefault="004462A0" w:rsidP="00F675CF">
            <w:pPr>
              <w:keepNext/>
              <w:keepLines/>
              <w:tabs>
                <w:tab w:val="left" w:pos="360"/>
              </w:tabs>
              <w:suppressAutoHyphens/>
              <w:spacing w:before="40" w:after="40"/>
              <w:rPr>
                <w:sz w:val="22"/>
                <w:szCs w:val="22"/>
              </w:rPr>
            </w:pPr>
          </w:p>
        </w:tc>
        <w:tc>
          <w:tcPr>
            <w:tcW w:w="1840" w:type="dxa"/>
            <w:vAlign w:val="bottom"/>
          </w:tcPr>
          <w:p w14:paraId="56A1EAC3" w14:textId="77777777" w:rsidR="004462A0" w:rsidRPr="00CC4B51" w:rsidRDefault="004462A0" w:rsidP="00F675CF">
            <w:pPr>
              <w:keepNext/>
              <w:keepLines/>
              <w:tabs>
                <w:tab w:val="left" w:pos="360"/>
              </w:tabs>
              <w:suppressAutoHyphens/>
              <w:spacing w:before="40" w:after="40"/>
              <w:rPr>
                <w:sz w:val="22"/>
                <w:szCs w:val="22"/>
              </w:rPr>
            </w:pPr>
          </w:p>
        </w:tc>
      </w:tr>
      <w:tr w:rsidR="00A7162A" w14:paraId="41BAA2EB" w14:textId="77777777" w:rsidTr="00F675CF">
        <w:trPr>
          <w:cantSplit/>
        </w:trPr>
        <w:tc>
          <w:tcPr>
            <w:tcW w:w="2357" w:type="dxa"/>
            <w:vAlign w:val="bottom"/>
          </w:tcPr>
          <w:p w14:paraId="60E67BE0" w14:textId="77777777" w:rsidR="004462A0" w:rsidRPr="00CC4B51" w:rsidRDefault="00615769" w:rsidP="00F675CF">
            <w:pPr>
              <w:keepNext/>
              <w:keepLines/>
              <w:tabs>
                <w:tab w:val="left" w:pos="360"/>
              </w:tabs>
              <w:suppressAutoHyphens/>
              <w:spacing w:before="40" w:after="40"/>
              <w:rPr>
                <w:sz w:val="22"/>
                <w:szCs w:val="22"/>
              </w:rPr>
            </w:pPr>
            <w:r w:rsidRPr="00CC4B51">
              <w:rPr>
                <w:sz w:val="22"/>
                <w:szCs w:val="22"/>
              </w:rPr>
              <w:t>Remissão clínica</w:t>
            </w:r>
          </w:p>
        </w:tc>
        <w:tc>
          <w:tcPr>
            <w:tcW w:w="1201" w:type="dxa"/>
            <w:vAlign w:val="bottom"/>
          </w:tcPr>
          <w:p w14:paraId="052B3172" w14:textId="77777777" w:rsidR="004462A0" w:rsidRPr="00CC4B51" w:rsidRDefault="00615769" w:rsidP="00F675CF">
            <w:pPr>
              <w:keepNext/>
              <w:keepLines/>
              <w:tabs>
                <w:tab w:val="left" w:pos="360"/>
              </w:tabs>
              <w:suppressAutoHyphens/>
              <w:spacing w:before="40" w:after="40"/>
              <w:jc w:val="center"/>
              <w:rPr>
                <w:sz w:val="22"/>
                <w:szCs w:val="22"/>
              </w:rPr>
            </w:pPr>
            <w:r w:rsidRPr="00CC4B51">
              <w:rPr>
                <w:sz w:val="22"/>
                <w:szCs w:val="22"/>
              </w:rPr>
              <w:t>12</w:t>
            </w:r>
            <w:r w:rsidR="009343EF">
              <w:rPr>
                <w:sz w:val="22"/>
                <w:szCs w:val="22"/>
              </w:rPr>
              <w:t>%</w:t>
            </w:r>
          </w:p>
        </w:tc>
        <w:tc>
          <w:tcPr>
            <w:tcW w:w="1255" w:type="dxa"/>
            <w:vAlign w:val="bottom"/>
          </w:tcPr>
          <w:p w14:paraId="6514998F" w14:textId="77777777" w:rsidR="004462A0" w:rsidRPr="00CC4B51" w:rsidRDefault="00615769" w:rsidP="00F675CF">
            <w:pPr>
              <w:keepNext/>
              <w:keepLines/>
              <w:tabs>
                <w:tab w:val="left" w:pos="360"/>
              </w:tabs>
              <w:suppressAutoHyphens/>
              <w:spacing w:before="40" w:after="40"/>
              <w:jc w:val="center"/>
              <w:rPr>
                <w:bCs/>
                <w:iCs/>
                <w:sz w:val="22"/>
                <w:szCs w:val="22"/>
              </w:rPr>
            </w:pPr>
            <w:r w:rsidRPr="00CC4B51">
              <w:rPr>
                <w:bCs/>
                <w:iCs/>
                <w:sz w:val="22"/>
                <w:szCs w:val="22"/>
              </w:rPr>
              <w:t>24</w:t>
            </w:r>
            <w:r w:rsidR="009343EF">
              <w:rPr>
                <w:bCs/>
                <w:iCs/>
                <w:sz w:val="22"/>
                <w:szCs w:val="22"/>
              </w:rPr>
              <w:t>%</w:t>
            </w:r>
          </w:p>
        </w:tc>
        <w:tc>
          <w:tcPr>
            <w:tcW w:w="1176" w:type="dxa"/>
            <w:vAlign w:val="bottom"/>
          </w:tcPr>
          <w:p w14:paraId="6253F729" w14:textId="77777777" w:rsidR="004462A0" w:rsidRPr="00CC4B51" w:rsidRDefault="00615769" w:rsidP="00F675CF">
            <w:pPr>
              <w:keepNext/>
              <w:keepLines/>
              <w:tabs>
                <w:tab w:val="left" w:pos="360"/>
              </w:tabs>
              <w:suppressAutoHyphens/>
              <w:spacing w:before="40" w:after="40"/>
              <w:jc w:val="center"/>
              <w:rPr>
                <w:bCs/>
                <w:iCs/>
                <w:sz w:val="22"/>
                <w:szCs w:val="22"/>
              </w:rPr>
            </w:pPr>
            <w:r w:rsidRPr="00CC4B51">
              <w:rPr>
                <w:sz w:val="22"/>
                <w:szCs w:val="22"/>
              </w:rPr>
              <w:t>36</w:t>
            </w:r>
            <w:r w:rsidR="009343EF">
              <w:rPr>
                <w:sz w:val="22"/>
                <w:szCs w:val="22"/>
              </w:rPr>
              <w:t>%</w:t>
            </w:r>
            <w:r w:rsidRPr="00CC4B51">
              <w:rPr>
                <w:sz w:val="22"/>
                <w:szCs w:val="22"/>
                <w:vertAlign w:val="superscript"/>
              </w:rPr>
              <w:t>*</w:t>
            </w:r>
          </w:p>
        </w:tc>
        <w:tc>
          <w:tcPr>
            <w:tcW w:w="1409" w:type="dxa"/>
            <w:vAlign w:val="bottom"/>
          </w:tcPr>
          <w:p w14:paraId="4A3DD588" w14:textId="77777777" w:rsidR="004462A0" w:rsidRPr="00CC4B51" w:rsidRDefault="00615769" w:rsidP="00F675CF">
            <w:pPr>
              <w:keepNext/>
              <w:keepLines/>
              <w:tabs>
                <w:tab w:val="left" w:pos="360"/>
              </w:tabs>
              <w:suppressAutoHyphens/>
              <w:spacing w:before="40" w:after="40"/>
              <w:jc w:val="center"/>
              <w:rPr>
                <w:sz w:val="22"/>
                <w:szCs w:val="22"/>
              </w:rPr>
            </w:pPr>
            <w:r w:rsidRPr="00CC4B51">
              <w:rPr>
                <w:sz w:val="22"/>
                <w:szCs w:val="22"/>
              </w:rPr>
              <w:t>7</w:t>
            </w:r>
            <w:r w:rsidR="009343EF">
              <w:rPr>
                <w:sz w:val="22"/>
                <w:szCs w:val="22"/>
              </w:rPr>
              <w:t>%</w:t>
            </w:r>
          </w:p>
        </w:tc>
        <w:tc>
          <w:tcPr>
            <w:tcW w:w="1840" w:type="dxa"/>
            <w:vAlign w:val="bottom"/>
          </w:tcPr>
          <w:p w14:paraId="4135A2FD" w14:textId="77777777" w:rsidR="004462A0" w:rsidRPr="00CC4B51" w:rsidRDefault="00615769" w:rsidP="00F675CF">
            <w:pPr>
              <w:keepNext/>
              <w:keepLines/>
              <w:tabs>
                <w:tab w:val="left" w:pos="360"/>
              </w:tabs>
              <w:suppressAutoHyphens/>
              <w:spacing w:before="40" w:after="40"/>
              <w:jc w:val="center"/>
              <w:rPr>
                <w:sz w:val="22"/>
                <w:szCs w:val="22"/>
              </w:rPr>
            </w:pPr>
            <w:r w:rsidRPr="00CC4B51">
              <w:rPr>
                <w:sz w:val="22"/>
                <w:szCs w:val="22"/>
              </w:rPr>
              <w:t>21</w:t>
            </w:r>
            <w:r w:rsidR="009343EF">
              <w:rPr>
                <w:sz w:val="22"/>
                <w:szCs w:val="22"/>
              </w:rPr>
              <w:t>%</w:t>
            </w:r>
            <w:r w:rsidRPr="00CC4B51">
              <w:rPr>
                <w:sz w:val="22"/>
                <w:szCs w:val="22"/>
                <w:vertAlign w:val="superscript"/>
              </w:rPr>
              <w:t>*</w:t>
            </w:r>
          </w:p>
        </w:tc>
      </w:tr>
      <w:tr w:rsidR="00A7162A" w14:paraId="3026F9DA" w14:textId="77777777" w:rsidTr="00F675CF">
        <w:trPr>
          <w:cantSplit/>
        </w:trPr>
        <w:tc>
          <w:tcPr>
            <w:tcW w:w="2357" w:type="dxa"/>
          </w:tcPr>
          <w:p w14:paraId="3008F780" w14:textId="77777777" w:rsidR="004462A0" w:rsidRPr="00CC4B51" w:rsidRDefault="00615769" w:rsidP="00F675CF">
            <w:pPr>
              <w:keepNext/>
              <w:keepLines/>
              <w:tabs>
                <w:tab w:val="left" w:pos="360"/>
              </w:tabs>
              <w:suppressAutoHyphens/>
              <w:spacing w:before="40" w:after="40"/>
              <w:rPr>
                <w:sz w:val="22"/>
                <w:szCs w:val="22"/>
              </w:rPr>
            </w:pPr>
            <w:r w:rsidRPr="00CC4B51">
              <w:rPr>
                <w:sz w:val="22"/>
                <w:szCs w:val="22"/>
              </w:rPr>
              <w:t>Resposta clínica (CR-100)</w:t>
            </w:r>
          </w:p>
        </w:tc>
        <w:tc>
          <w:tcPr>
            <w:tcW w:w="1201" w:type="dxa"/>
          </w:tcPr>
          <w:p w14:paraId="630BB314" w14:textId="77777777" w:rsidR="004462A0" w:rsidRPr="00CC4B51" w:rsidRDefault="00615769" w:rsidP="00F675CF">
            <w:pPr>
              <w:keepNext/>
              <w:keepLines/>
              <w:tabs>
                <w:tab w:val="left" w:pos="360"/>
              </w:tabs>
              <w:suppressAutoHyphens/>
              <w:spacing w:before="40" w:after="40"/>
              <w:jc w:val="center"/>
              <w:rPr>
                <w:sz w:val="22"/>
                <w:szCs w:val="22"/>
              </w:rPr>
            </w:pPr>
            <w:r w:rsidRPr="00CC4B51">
              <w:rPr>
                <w:sz w:val="22"/>
                <w:szCs w:val="22"/>
              </w:rPr>
              <w:t>24</w:t>
            </w:r>
            <w:r w:rsidR="009343EF">
              <w:rPr>
                <w:sz w:val="22"/>
                <w:szCs w:val="22"/>
              </w:rPr>
              <w:t>%</w:t>
            </w:r>
          </w:p>
        </w:tc>
        <w:tc>
          <w:tcPr>
            <w:tcW w:w="1255" w:type="dxa"/>
          </w:tcPr>
          <w:p w14:paraId="52E1EE57" w14:textId="77777777" w:rsidR="004462A0" w:rsidRPr="00CC4B51" w:rsidRDefault="00615769" w:rsidP="00F675CF">
            <w:pPr>
              <w:keepNext/>
              <w:keepLines/>
              <w:tabs>
                <w:tab w:val="left" w:pos="360"/>
              </w:tabs>
              <w:suppressAutoHyphens/>
              <w:spacing w:before="40" w:after="40"/>
              <w:jc w:val="center"/>
              <w:rPr>
                <w:sz w:val="22"/>
                <w:szCs w:val="22"/>
              </w:rPr>
            </w:pPr>
            <w:r w:rsidRPr="00CC4B51">
              <w:rPr>
                <w:sz w:val="22"/>
                <w:szCs w:val="22"/>
              </w:rPr>
              <w:t>37</w:t>
            </w:r>
            <w:r w:rsidR="009343EF">
              <w:rPr>
                <w:sz w:val="22"/>
                <w:szCs w:val="22"/>
              </w:rPr>
              <w:t>%</w:t>
            </w:r>
          </w:p>
        </w:tc>
        <w:tc>
          <w:tcPr>
            <w:tcW w:w="1176" w:type="dxa"/>
          </w:tcPr>
          <w:p w14:paraId="408164E9" w14:textId="77777777" w:rsidR="004462A0" w:rsidRPr="00CC4B51" w:rsidRDefault="00615769" w:rsidP="00F675CF">
            <w:pPr>
              <w:keepNext/>
              <w:keepLines/>
              <w:tabs>
                <w:tab w:val="left" w:pos="360"/>
              </w:tabs>
              <w:suppressAutoHyphens/>
              <w:spacing w:before="40" w:after="40"/>
              <w:jc w:val="center"/>
              <w:rPr>
                <w:sz w:val="22"/>
                <w:szCs w:val="22"/>
              </w:rPr>
            </w:pPr>
            <w:r w:rsidRPr="00CC4B51">
              <w:rPr>
                <w:sz w:val="22"/>
                <w:szCs w:val="22"/>
              </w:rPr>
              <w:t>49</w:t>
            </w:r>
            <w:r w:rsidR="009343EF">
              <w:rPr>
                <w:sz w:val="22"/>
                <w:szCs w:val="22"/>
              </w:rPr>
              <w:t>%</w:t>
            </w:r>
            <w:r w:rsidRPr="00CC4B51">
              <w:rPr>
                <w:sz w:val="22"/>
                <w:szCs w:val="22"/>
                <w:vertAlign w:val="superscript"/>
              </w:rPr>
              <w:t>**</w:t>
            </w:r>
          </w:p>
        </w:tc>
        <w:tc>
          <w:tcPr>
            <w:tcW w:w="1409" w:type="dxa"/>
          </w:tcPr>
          <w:p w14:paraId="3F09084D" w14:textId="77777777" w:rsidR="004462A0" w:rsidRPr="00CC4B51" w:rsidRDefault="00615769" w:rsidP="00F675CF">
            <w:pPr>
              <w:keepNext/>
              <w:keepLines/>
              <w:tabs>
                <w:tab w:val="left" w:pos="360"/>
              </w:tabs>
              <w:suppressAutoHyphens/>
              <w:spacing w:before="40" w:after="40"/>
              <w:jc w:val="center"/>
              <w:rPr>
                <w:sz w:val="22"/>
                <w:szCs w:val="22"/>
              </w:rPr>
            </w:pPr>
            <w:r w:rsidRPr="00CC4B51">
              <w:rPr>
                <w:sz w:val="22"/>
                <w:szCs w:val="22"/>
              </w:rPr>
              <w:t>25</w:t>
            </w:r>
            <w:r w:rsidR="009343EF">
              <w:rPr>
                <w:sz w:val="22"/>
                <w:szCs w:val="22"/>
              </w:rPr>
              <w:t>%</w:t>
            </w:r>
          </w:p>
        </w:tc>
        <w:tc>
          <w:tcPr>
            <w:tcW w:w="1840" w:type="dxa"/>
          </w:tcPr>
          <w:p w14:paraId="58903AA7" w14:textId="77777777" w:rsidR="004462A0" w:rsidRPr="00CC4B51" w:rsidRDefault="00615769" w:rsidP="00F675CF">
            <w:pPr>
              <w:keepNext/>
              <w:keepLines/>
              <w:tabs>
                <w:tab w:val="left" w:pos="360"/>
              </w:tabs>
              <w:suppressAutoHyphens/>
              <w:spacing w:before="40" w:after="40"/>
              <w:jc w:val="center"/>
              <w:rPr>
                <w:sz w:val="22"/>
                <w:szCs w:val="22"/>
              </w:rPr>
            </w:pPr>
            <w:r w:rsidRPr="00CC4B51">
              <w:rPr>
                <w:sz w:val="22"/>
                <w:szCs w:val="22"/>
              </w:rPr>
              <w:t>38</w:t>
            </w:r>
            <w:r w:rsidR="009343EF">
              <w:rPr>
                <w:sz w:val="22"/>
                <w:szCs w:val="22"/>
              </w:rPr>
              <w:t>%</w:t>
            </w:r>
            <w:r w:rsidRPr="00CC4B51">
              <w:rPr>
                <w:sz w:val="22"/>
                <w:szCs w:val="22"/>
                <w:vertAlign w:val="superscript"/>
              </w:rPr>
              <w:t>**</w:t>
            </w:r>
          </w:p>
        </w:tc>
      </w:tr>
      <w:tr w:rsidR="00A7162A" w14:paraId="66850AFD" w14:textId="77777777" w:rsidTr="00F675CF">
        <w:trPr>
          <w:cantSplit/>
        </w:trPr>
        <w:tc>
          <w:tcPr>
            <w:tcW w:w="9238" w:type="dxa"/>
            <w:gridSpan w:val="6"/>
            <w:tcBorders>
              <w:left w:val="nil"/>
              <w:bottom w:val="nil"/>
              <w:right w:val="nil"/>
            </w:tcBorders>
          </w:tcPr>
          <w:p w14:paraId="624BEA39" w14:textId="77777777" w:rsidR="004462A0" w:rsidRPr="00CC4B51" w:rsidRDefault="00615769" w:rsidP="00F675CF">
            <w:pPr>
              <w:keepNext/>
              <w:keepLines/>
              <w:tabs>
                <w:tab w:val="left" w:pos="360"/>
              </w:tabs>
              <w:suppressAutoHyphens/>
              <w:spacing w:before="40" w:after="40"/>
              <w:rPr>
                <w:sz w:val="22"/>
                <w:szCs w:val="22"/>
              </w:rPr>
            </w:pPr>
            <w:r w:rsidRPr="00CC4B51">
              <w:rPr>
                <w:sz w:val="22"/>
                <w:szCs w:val="22"/>
              </w:rPr>
              <w:t xml:space="preserve">Todos os valores-p são comparativos emparelhados entre Humira </w:t>
            </w:r>
            <w:r w:rsidRPr="00CC4B51">
              <w:rPr>
                <w:i/>
                <w:iCs/>
                <w:sz w:val="22"/>
                <w:szCs w:val="22"/>
              </w:rPr>
              <w:t>versus</w:t>
            </w:r>
            <w:r w:rsidRPr="00CC4B51">
              <w:rPr>
                <w:sz w:val="22"/>
                <w:szCs w:val="22"/>
              </w:rPr>
              <w:t xml:space="preserve"> placebo</w:t>
            </w:r>
          </w:p>
          <w:p w14:paraId="1565783B" w14:textId="77777777" w:rsidR="004462A0" w:rsidRPr="00CC4B51" w:rsidRDefault="00615769" w:rsidP="00F675CF">
            <w:pPr>
              <w:keepNext/>
              <w:keepLines/>
              <w:tabs>
                <w:tab w:val="left" w:pos="360"/>
              </w:tabs>
              <w:suppressAutoHyphens/>
              <w:spacing w:before="40" w:after="40"/>
              <w:rPr>
                <w:sz w:val="22"/>
                <w:szCs w:val="22"/>
              </w:rPr>
            </w:pPr>
            <w:r w:rsidRPr="00CC4B51">
              <w:rPr>
                <w:sz w:val="22"/>
                <w:szCs w:val="22"/>
                <w:vertAlign w:val="superscript"/>
              </w:rPr>
              <w:t>*</w:t>
            </w:r>
            <w:r w:rsidRPr="00CC4B51">
              <w:rPr>
                <w:sz w:val="22"/>
                <w:szCs w:val="22"/>
              </w:rPr>
              <w:tab/>
              <w:t>p &lt; 0,001</w:t>
            </w:r>
          </w:p>
          <w:p w14:paraId="70C23C02" w14:textId="77777777" w:rsidR="004462A0" w:rsidRPr="00CC4B51" w:rsidRDefault="00615769" w:rsidP="00F675CF">
            <w:pPr>
              <w:keepNext/>
              <w:keepLines/>
              <w:tabs>
                <w:tab w:val="left" w:pos="360"/>
              </w:tabs>
              <w:suppressAutoHyphens/>
              <w:spacing w:before="40" w:after="40"/>
              <w:rPr>
                <w:sz w:val="22"/>
                <w:szCs w:val="22"/>
              </w:rPr>
            </w:pPr>
            <w:r w:rsidRPr="00CC4B51">
              <w:rPr>
                <w:sz w:val="22"/>
                <w:szCs w:val="22"/>
                <w:vertAlign w:val="superscript"/>
              </w:rPr>
              <w:t>**</w:t>
            </w:r>
            <w:r w:rsidRPr="00CC4B51">
              <w:rPr>
                <w:sz w:val="22"/>
                <w:szCs w:val="22"/>
              </w:rPr>
              <w:tab/>
              <w:t>p &lt; 0,01</w:t>
            </w:r>
          </w:p>
        </w:tc>
      </w:tr>
    </w:tbl>
    <w:p w14:paraId="19038C44" w14:textId="77777777" w:rsidR="004462A0" w:rsidRPr="00CC4B51" w:rsidRDefault="004462A0" w:rsidP="004462A0">
      <w:pPr>
        <w:keepNext/>
        <w:tabs>
          <w:tab w:val="left" w:pos="562"/>
        </w:tabs>
        <w:suppressAutoHyphens/>
        <w:rPr>
          <w:sz w:val="22"/>
          <w:szCs w:val="22"/>
        </w:rPr>
      </w:pPr>
    </w:p>
    <w:p w14:paraId="3828C5F3" w14:textId="77777777" w:rsidR="004462A0" w:rsidRPr="00CC4B51" w:rsidRDefault="00615769" w:rsidP="004462A0">
      <w:pPr>
        <w:tabs>
          <w:tab w:val="left" w:pos="562"/>
        </w:tabs>
        <w:suppressAutoHyphens/>
        <w:rPr>
          <w:sz w:val="22"/>
          <w:szCs w:val="22"/>
        </w:rPr>
      </w:pPr>
      <w:r w:rsidRPr="00CC4B51">
        <w:rPr>
          <w:sz w:val="22"/>
          <w:szCs w:val="22"/>
        </w:rPr>
        <w:t xml:space="preserve">Foram observadas taxas de remissão similares para 160/80 mg e 80/40 mg em dose de indução na </w:t>
      </w:r>
      <w:r w:rsidR="00164875">
        <w:rPr>
          <w:sz w:val="22"/>
          <w:szCs w:val="22"/>
        </w:rPr>
        <w:t>S</w:t>
      </w:r>
      <w:r w:rsidRPr="00CC4B51">
        <w:rPr>
          <w:sz w:val="22"/>
          <w:szCs w:val="22"/>
        </w:rPr>
        <w:t>emana 8 e os acontecimentos adversos foram mais frequentemente observados no grupo 160/80 mg.</w:t>
      </w:r>
    </w:p>
    <w:p w14:paraId="0F3ECC6E" w14:textId="77777777" w:rsidR="004462A0" w:rsidRPr="00CC4B51" w:rsidRDefault="004462A0" w:rsidP="004462A0">
      <w:pPr>
        <w:tabs>
          <w:tab w:val="left" w:pos="562"/>
        </w:tabs>
        <w:suppressAutoHyphens/>
        <w:rPr>
          <w:sz w:val="22"/>
          <w:szCs w:val="22"/>
        </w:rPr>
      </w:pPr>
    </w:p>
    <w:p w14:paraId="77354092" w14:textId="77777777" w:rsidR="004462A0" w:rsidRPr="00CC4B51" w:rsidRDefault="00615769" w:rsidP="004462A0">
      <w:pPr>
        <w:tabs>
          <w:tab w:val="left" w:pos="562"/>
        </w:tabs>
        <w:suppressAutoHyphens/>
        <w:rPr>
          <w:sz w:val="22"/>
          <w:szCs w:val="22"/>
        </w:rPr>
      </w:pPr>
      <w:r w:rsidRPr="00CC4B51">
        <w:rPr>
          <w:sz w:val="22"/>
          <w:szCs w:val="22"/>
        </w:rPr>
        <w:t>No Estudo DC III, na Semana 4, 58</w:t>
      </w:r>
      <w:r w:rsidR="009343EF">
        <w:rPr>
          <w:sz w:val="22"/>
          <w:szCs w:val="22"/>
        </w:rPr>
        <w:t>%</w:t>
      </w:r>
      <w:r w:rsidRPr="00CC4B51">
        <w:rPr>
          <w:sz w:val="22"/>
          <w:szCs w:val="22"/>
        </w:rPr>
        <w:t xml:space="preserve"> (499/854) dos doentes apresentaram resposta clínica e foram avaliados na análise primária. Dos doentes com resposta clínica na Semana 4, 48</w:t>
      </w:r>
      <w:r w:rsidR="009343EF">
        <w:rPr>
          <w:sz w:val="22"/>
          <w:szCs w:val="22"/>
        </w:rPr>
        <w:t>%</w:t>
      </w:r>
      <w:r w:rsidRPr="00CC4B51">
        <w:rPr>
          <w:sz w:val="22"/>
          <w:szCs w:val="22"/>
        </w:rPr>
        <w:t xml:space="preserve"> foram previamente expostos a outros antagonistas-TNF. As taxas de manutenção da remissão e de resposta são apresentadas na Tabela </w:t>
      </w:r>
      <w:r w:rsidR="00835AFF">
        <w:rPr>
          <w:sz w:val="22"/>
          <w:szCs w:val="22"/>
        </w:rPr>
        <w:t>1</w:t>
      </w:r>
      <w:r w:rsidR="00D94630">
        <w:rPr>
          <w:sz w:val="22"/>
          <w:szCs w:val="22"/>
        </w:rPr>
        <w:t>5</w:t>
      </w:r>
      <w:r w:rsidRPr="00CC4B51">
        <w:rPr>
          <w:sz w:val="22"/>
          <w:szCs w:val="22"/>
        </w:rPr>
        <w:t>. Os resultados de remissão clínica permaneceram relativamente constantes independentemente de uma exposição prévia a antagonistas de TNF.</w:t>
      </w:r>
    </w:p>
    <w:p w14:paraId="50FB0C1C" w14:textId="77777777" w:rsidR="004462A0" w:rsidRPr="00CC4B51" w:rsidRDefault="004462A0" w:rsidP="004462A0">
      <w:pPr>
        <w:tabs>
          <w:tab w:val="left" w:pos="562"/>
        </w:tabs>
        <w:suppressAutoHyphens/>
        <w:rPr>
          <w:sz w:val="22"/>
          <w:szCs w:val="22"/>
        </w:rPr>
      </w:pPr>
    </w:p>
    <w:p w14:paraId="4A0C7DBD" w14:textId="77777777" w:rsidR="004462A0" w:rsidRPr="00CC4B51" w:rsidRDefault="00615769" w:rsidP="00757720">
      <w:pPr>
        <w:tabs>
          <w:tab w:val="left" w:pos="562"/>
        </w:tabs>
        <w:suppressAutoHyphens/>
        <w:rPr>
          <w:sz w:val="22"/>
          <w:szCs w:val="22"/>
        </w:rPr>
      </w:pPr>
      <w:r w:rsidRPr="00CC4B51">
        <w:rPr>
          <w:sz w:val="22"/>
          <w:szCs w:val="22"/>
        </w:rPr>
        <w:t>As cirurgias e as hospitalizações relacionadas com a doença foram, do ponto de vista estatístico, significativamente reduzidas com adalimumab quando comparadas com placebo, na Semana 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3"/>
        <w:gridCol w:w="1625"/>
        <w:gridCol w:w="1981"/>
        <w:gridCol w:w="1822"/>
      </w:tblGrid>
      <w:tr w:rsidR="00A7162A" w14:paraId="5E626727" w14:textId="77777777" w:rsidTr="00F675CF">
        <w:trPr>
          <w:cantSplit/>
        </w:trPr>
        <w:tc>
          <w:tcPr>
            <w:tcW w:w="9287" w:type="dxa"/>
            <w:gridSpan w:val="4"/>
            <w:tcBorders>
              <w:top w:val="nil"/>
              <w:left w:val="nil"/>
              <w:right w:val="nil"/>
            </w:tcBorders>
          </w:tcPr>
          <w:p w14:paraId="5C40A741" w14:textId="77777777" w:rsidR="004462A0" w:rsidRPr="00CC4B51" w:rsidRDefault="00615769" w:rsidP="00757720">
            <w:pPr>
              <w:keepNext/>
              <w:keepLines/>
              <w:tabs>
                <w:tab w:val="left" w:pos="360"/>
              </w:tabs>
              <w:suppressAutoHyphens/>
              <w:spacing w:before="40" w:after="40"/>
              <w:jc w:val="center"/>
              <w:rPr>
                <w:b/>
                <w:bCs/>
                <w:sz w:val="22"/>
                <w:szCs w:val="22"/>
              </w:rPr>
            </w:pPr>
            <w:r w:rsidRPr="00CC4B51">
              <w:rPr>
                <w:b/>
                <w:bCs/>
                <w:sz w:val="22"/>
                <w:szCs w:val="22"/>
              </w:rPr>
              <w:t xml:space="preserve">Tabela </w:t>
            </w:r>
            <w:r w:rsidR="00835AFF">
              <w:rPr>
                <w:b/>
                <w:bCs/>
                <w:sz w:val="22"/>
                <w:szCs w:val="22"/>
              </w:rPr>
              <w:t>1</w:t>
            </w:r>
            <w:r w:rsidR="00D94630">
              <w:rPr>
                <w:b/>
                <w:bCs/>
                <w:sz w:val="22"/>
                <w:szCs w:val="22"/>
              </w:rPr>
              <w:t>5</w:t>
            </w:r>
          </w:p>
          <w:p w14:paraId="375D6286" w14:textId="77777777" w:rsidR="004462A0" w:rsidRPr="00CC4B51" w:rsidRDefault="00615769" w:rsidP="00757720">
            <w:pPr>
              <w:keepNext/>
              <w:keepLines/>
              <w:tabs>
                <w:tab w:val="left" w:pos="360"/>
              </w:tabs>
              <w:suppressAutoHyphens/>
              <w:spacing w:before="40" w:after="40"/>
              <w:jc w:val="center"/>
              <w:rPr>
                <w:b/>
                <w:bCs/>
                <w:sz w:val="22"/>
                <w:szCs w:val="22"/>
              </w:rPr>
            </w:pPr>
            <w:r w:rsidRPr="00CC4B51">
              <w:rPr>
                <w:b/>
                <w:bCs/>
                <w:sz w:val="22"/>
                <w:szCs w:val="22"/>
              </w:rPr>
              <w:t>Manutenção da Remissão e Resposta Clínica</w:t>
            </w:r>
            <w:r w:rsidR="00896C27">
              <w:rPr>
                <w:b/>
                <w:bCs/>
                <w:sz w:val="22"/>
                <w:szCs w:val="22"/>
              </w:rPr>
              <w:t>s</w:t>
            </w:r>
          </w:p>
          <w:p w14:paraId="14997677" w14:textId="77777777" w:rsidR="004462A0" w:rsidRPr="00CC4B51" w:rsidRDefault="00615769" w:rsidP="00757720">
            <w:pPr>
              <w:keepNext/>
              <w:keepLines/>
              <w:tabs>
                <w:tab w:val="left" w:pos="360"/>
              </w:tabs>
              <w:suppressAutoHyphens/>
              <w:spacing w:before="40" w:after="40"/>
              <w:jc w:val="center"/>
              <w:rPr>
                <w:b/>
                <w:bCs/>
                <w:sz w:val="22"/>
                <w:szCs w:val="22"/>
              </w:rPr>
            </w:pPr>
            <w:r w:rsidRPr="00CC4B51">
              <w:rPr>
                <w:b/>
                <w:bCs/>
                <w:sz w:val="22"/>
                <w:szCs w:val="22"/>
              </w:rPr>
              <w:t>(Percentagem de Doentes)</w:t>
            </w:r>
          </w:p>
        </w:tc>
      </w:tr>
      <w:tr w:rsidR="00A7162A" w14:paraId="7A756F2D" w14:textId="77777777" w:rsidTr="00F675CF">
        <w:tc>
          <w:tcPr>
            <w:tcW w:w="3749" w:type="dxa"/>
          </w:tcPr>
          <w:p w14:paraId="001C3EA7" w14:textId="77777777" w:rsidR="004462A0" w:rsidRPr="00CC4B51" w:rsidRDefault="004462A0" w:rsidP="00757720">
            <w:pPr>
              <w:keepNext/>
              <w:keepLines/>
              <w:tabs>
                <w:tab w:val="left" w:pos="360"/>
              </w:tabs>
              <w:suppressAutoHyphens/>
              <w:spacing w:before="40" w:after="40"/>
              <w:rPr>
                <w:b/>
                <w:bCs/>
                <w:sz w:val="22"/>
                <w:szCs w:val="22"/>
              </w:rPr>
            </w:pPr>
          </w:p>
        </w:tc>
        <w:tc>
          <w:tcPr>
            <w:tcW w:w="1659" w:type="dxa"/>
          </w:tcPr>
          <w:p w14:paraId="569C4D54" w14:textId="77777777" w:rsidR="004462A0" w:rsidRPr="00CC4B51" w:rsidRDefault="00615769" w:rsidP="00757720">
            <w:pPr>
              <w:keepNext/>
              <w:keepLines/>
              <w:tabs>
                <w:tab w:val="left" w:pos="360"/>
              </w:tabs>
              <w:suppressAutoHyphens/>
              <w:spacing w:before="40" w:after="40"/>
              <w:jc w:val="center"/>
              <w:rPr>
                <w:b/>
                <w:bCs/>
                <w:sz w:val="22"/>
                <w:szCs w:val="22"/>
              </w:rPr>
            </w:pPr>
            <w:r w:rsidRPr="00CC4B51">
              <w:rPr>
                <w:b/>
                <w:bCs/>
                <w:sz w:val="22"/>
                <w:szCs w:val="22"/>
              </w:rPr>
              <w:t>Placebo</w:t>
            </w:r>
          </w:p>
        </w:tc>
        <w:tc>
          <w:tcPr>
            <w:tcW w:w="2020" w:type="dxa"/>
          </w:tcPr>
          <w:p w14:paraId="454F865A" w14:textId="77777777" w:rsidR="004462A0" w:rsidRPr="00CC4B51" w:rsidRDefault="00615769" w:rsidP="00757720">
            <w:pPr>
              <w:keepNext/>
              <w:keepLines/>
              <w:tabs>
                <w:tab w:val="left" w:pos="360"/>
              </w:tabs>
              <w:suppressAutoHyphens/>
              <w:spacing w:before="40" w:after="40"/>
              <w:jc w:val="center"/>
              <w:rPr>
                <w:b/>
                <w:bCs/>
                <w:sz w:val="22"/>
                <w:szCs w:val="22"/>
              </w:rPr>
            </w:pPr>
            <w:r w:rsidRPr="00CC4B51">
              <w:rPr>
                <w:b/>
                <w:bCs/>
                <w:sz w:val="22"/>
                <w:szCs w:val="22"/>
              </w:rPr>
              <w:t>40 mg Humira</w:t>
            </w:r>
            <w:r w:rsidRPr="00CC4B51">
              <w:rPr>
                <w:b/>
                <w:bCs/>
                <w:sz w:val="22"/>
                <w:szCs w:val="22"/>
              </w:rPr>
              <w:br/>
              <w:t>em semanas alternadas</w:t>
            </w:r>
          </w:p>
        </w:tc>
        <w:tc>
          <w:tcPr>
            <w:tcW w:w="1859" w:type="dxa"/>
          </w:tcPr>
          <w:p w14:paraId="16E21612" w14:textId="77777777" w:rsidR="004462A0" w:rsidRPr="00CC4B51" w:rsidRDefault="00615769" w:rsidP="00757720">
            <w:pPr>
              <w:keepNext/>
              <w:keepLines/>
              <w:tabs>
                <w:tab w:val="left" w:pos="360"/>
              </w:tabs>
              <w:suppressAutoHyphens/>
              <w:spacing w:before="40" w:after="40"/>
              <w:jc w:val="center"/>
              <w:rPr>
                <w:b/>
                <w:bCs/>
                <w:sz w:val="22"/>
                <w:szCs w:val="22"/>
              </w:rPr>
            </w:pPr>
            <w:r w:rsidRPr="00CC4B51">
              <w:rPr>
                <w:b/>
                <w:bCs/>
                <w:sz w:val="22"/>
                <w:szCs w:val="22"/>
              </w:rPr>
              <w:t>40 mg Humira</w:t>
            </w:r>
            <w:r w:rsidRPr="00CC4B51">
              <w:rPr>
                <w:b/>
                <w:bCs/>
                <w:sz w:val="22"/>
                <w:szCs w:val="22"/>
              </w:rPr>
              <w:br/>
              <w:t>todas as semanas</w:t>
            </w:r>
          </w:p>
        </w:tc>
      </w:tr>
      <w:tr w:rsidR="00A7162A" w14:paraId="1705BE0C" w14:textId="77777777" w:rsidTr="00F675CF">
        <w:tc>
          <w:tcPr>
            <w:tcW w:w="3749" w:type="dxa"/>
          </w:tcPr>
          <w:p w14:paraId="06370BDC" w14:textId="77777777" w:rsidR="004462A0" w:rsidRPr="00CC4B51" w:rsidRDefault="00615769" w:rsidP="00757720">
            <w:pPr>
              <w:keepNext/>
              <w:keepLines/>
              <w:tabs>
                <w:tab w:val="left" w:pos="360"/>
              </w:tabs>
              <w:suppressAutoHyphens/>
              <w:spacing w:before="40" w:after="40"/>
              <w:rPr>
                <w:b/>
                <w:bCs/>
                <w:sz w:val="22"/>
                <w:szCs w:val="22"/>
              </w:rPr>
            </w:pPr>
            <w:r w:rsidRPr="00CC4B51">
              <w:rPr>
                <w:b/>
                <w:bCs/>
                <w:sz w:val="22"/>
                <w:szCs w:val="22"/>
              </w:rPr>
              <w:t>Semana 26</w:t>
            </w:r>
          </w:p>
        </w:tc>
        <w:tc>
          <w:tcPr>
            <w:tcW w:w="1659" w:type="dxa"/>
          </w:tcPr>
          <w:p w14:paraId="08CEA9CD" w14:textId="77777777" w:rsidR="004462A0" w:rsidRPr="00CC4B51" w:rsidRDefault="00615769" w:rsidP="00757720">
            <w:pPr>
              <w:keepNext/>
              <w:keepLines/>
              <w:tabs>
                <w:tab w:val="left" w:pos="360"/>
              </w:tabs>
              <w:suppressAutoHyphens/>
              <w:spacing w:before="40" w:after="40"/>
              <w:jc w:val="center"/>
              <w:rPr>
                <w:b/>
                <w:bCs/>
                <w:sz w:val="22"/>
                <w:szCs w:val="22"/>
              </w:rPr>
            </w:pPr>
            <w:r w:rsidRPr="00CC4B51">
              <w:rPr>
                <w:b/>
                <w:bCs/>
                <w:sz w:val="22"/>
                <w:szCs w:val="22"/>
              </w:rPr>
              <w:t>N =170</w:t>
            </w:r>
          </w:p>
        </w:tc>
        <w:tc>
          <w:tcPr>
            <w:tcW w:w="2020" w:type="dxa"/>
          </w:tcPr>
          <w:p w14:paraId="7B54DDC2" w14:textId="77777777" w:rsidR="004462A0" w:rsidRPr="00CC4B51" w:rsidRDefault="00615769" w:rsidP="00757720">
            <w:pPr>
              <w:keepNext/>
              <w:keepLines/>
              <w:tabs>
                <w:tab w:val="left" w:pos="360"/>
              </w:tabs>
              <w:suppressAutoHyphens/>
              <w:spacing w:before="40" w:after="40"/>
              <w:jc w:val="center"/>
              <w:rPr>
                <w:b/>
                <w:bCs/>
                <w:sz w:val="22"/>
                <w:szCs w:val="22"/>
              </w:rPr>
            </w:pPr>
            <w:r w:rsidRPr="00CC4B51">
              <w:rPr>
                <w:b/>
                <w:bCs/>
                <w:sz w:val="22"/>
                <w:szCs w:val="22"/>
              </w:rPr>
              <w:t>N =172</w:t>
            </w:r>
          </w:p>
        </w:tc>
        <w:tc>
          <w:tcPr>
            <w:tcW w:w="1859" w:type="dxa"/>
          </w:tcPr>
          <w:p w14:paraId="01CC55D7" w14:textId="77777777" w:rsidR="004462A0" w:rsidRPr="00CC4B51" w:rsidRDefault="00615769" w:rsidP="00757720">
            <w:pPr>
              <w:keepNext/>
              <w:keepLines/>
              <w:tabs>
                <w:tab w:val="left" w:pos="360"/>
              </w:tabs>
              <w:suppressAutoHyphens/>
              <w:spacing w:before="40" w:after="40"/>
              <w:jc w:val="center"/>
              <w:rPr>
                <w:b/>
                <w:bCs/>
                <w:sz w:val="22"/>
                <w:szCs w:val="22"/>
              </w:rPr>
            </w:pPr>
            <w:r w:rsidRPr="00CC4B51">
              <w:rPr>
                <w:b/>
                <w:bCs/>
                <w:sz w:val="22"/>
                <w:szCs w:val="22"/>
              </w:rPr>
              <w:t>N =157</w:t>
            </w:r>
          </w:p>
        </w:tc>
      </w:tr>
      <w:tr w:rsidR="00A7162A" w14:paraId="69434158" w14:textId="77777777" w:rsidTr="00F675CF">
        <w:tc>
          <w:tcPr>
            <w:tcW w:w="3749" w:type="dxa"/>
          </w:tcPr>
          <w:p w14:paraId="52589AE4" w14:textId="77777777" w:rsidR="004462A0" w:rsidRPr="00CC4B51" w:rsidRDefault="00615769" w:rsidP="00757720">
            <w:pPr>
              <w:keepNext/>
              <w:keepLines/>
              <w:tabs>
                <w:tab w:val="left" w:pos="360"/>
              </w:tabs>
              <w:suppressAutoHyphens/>
              <w:spacing w:before="40" w:after="40"/>
              <w:rPr>
                <w:sz w:val="22"/>
                <w:szCs w:val="22"/>
              </w:rPr>
            </w:pPr>
            <w:r w:rsidRPr="00CC4B51">
              <w:rPr>
                <w:sz w:val="22"/>
                <w:szCs w:val="22"/>
              </w:rPr>
              <w:t>Remissão clínica</w:t>
            </w:r>
          </w:p>
        </w:tc>
        <w:tc>
          <w:tcPr>
            <w:tcW w:w="1659" w:type="dxa"/>
          </w:tcPr>
          <w:p w14:paraId="2C3B0714" w14:textId="77777777" w:rsidR="004462A0" w:rsidRPr="00CC4B51" w:rsidRDefault="00615769" w:rsidP="00757720">
            <w:pPr>
              <w:keepNext/>
              <w:keepLines/>
              <w:tabs>
                <w:tab w:val="left" w:pos="360"/>
              </w:tabs>
              <w:suppressAutoHyphens/>
              <w:spacing w:before="40" w:after="40"/>
              <w:jc w:val="center"/>
              <w:rPr>
                <w:sz w:val="22"/>
                <w:szCs w:val="22"/>
              </w:rPr>
            </w:pPr>
            <w:r w:rsidRPr="00CC4B51">
              <w:rPr>
                <w:sz w:val="22"/>
                <w:szCs w:val="22"/>
              </w:rPr>
              <w:t>17%</w:t>
            </w:r>
          </w:p>
        </w:tc>
        <w:tc>
          <w:tcPr>
            <w:tcW w:w="2020" w:type="dxa"/>
          </w:tcPr>
          <w:p w14:paraId="6F8B5378" w14:textId="77777777" w:rsidR="004462A0" w:rsidRPr="00CC4B51" w:rsidRDefault="00615769" w:rsidP="00757720">
            <w:pPr>
              <w:keepNext/>
              <w:keepLines/>
              <w:tabs>
                <w:tab w:val="left" w:pos="360"/>
              </w:tabs>
              <w:suppressAutoHyphens/>
              <w:spacing w:before="40" w:after="40"/>
              <w:jc w:val="center"/>
              <w:rPr>
                <w:sz w:val="22"/>
                <w:szCs w:val="22"/>
              </w:rPr>
            </w:pPr>
            <w:r w:rsidRPr="00CC4B51">
              <w:rPr>
                <w:sz w:val="22"/>
                <w:szCs w:val="22"/>
              </w:rPr>
              <w:t>40%*</w:t>
            </w:r>
          </w:p>
        </w:tc>
        <w:tc>
          <w:tcPr>
            <w:tcW w:w="1859" w:type="dxa"/>
          </w:tcPr>
          <w:p w14:paraId="4F0E0E31" w14:textId="77777777" w:rsidR="004462A0" w:rsidRPr="00CC4B51" w:rsidRDefault="00615769" w:rsidP="00757720">
            <w:pPr>
              <w:keepNext/>
              <w:keepLines/>
              <w:tabs>
                <w:tab w:val="left" w:pos="360"/>
              </w:tabs>
              <w:suppressAutoHyphens/>
              <w:spacing w:before="40" w:after="40"/>
              <w:jc w:val="center"/>
              <w:rPr>
                <w:sz w:val="22"/>
                <w:szCs w:val="22"/>
              </w:rPr>
            </w:pPr>
            <w:r w:rsidRPr="00CC4B51">
              <w:rPr>
                <w:sz w:val="22"/>
                <w:szCs w:val="22"/>
              </w:rPr>
              <w:t>47%*</w:t>
            </w:r>
          </w:p>
        </w:tc>
      </w:tr>
      <w:tr w:rsidR="00A7162A" w14:paraId="4D2BC3B1" w14:textId="77777777" w:rsidTr="00F675CF">
        <w:tc>
          <w:tcPr>
            <w:tcW w:w="3749" w:type="dxa"/>
          </w:tcPr>
          <w:p w14:paraId="542EBB1D" w14:textId="77777777" w:rsidR="004462A0" w:rsidRPr="00CC4B51" w:rsidRDefault="00615769" w:rsidP="00757720">
            <w:pPr>
              <w:keepNext/>
              <w:keepLines/>
              <w:tabs>
                <w:tab w:val="left" w:pos="360"/>
              </w:tabs>
              <w:suppressAutoHyphens/>
              <w:spacing w:before="40" w:after="40"/>
              <w:rPr>
                <w:sz w:val="22"/>
                <w:szCs w:val="22"/>
              </w:rPr>
            </w:pPr>
            <w:r w:rsidRPr="00CC4B51">
              <w:rPr>
                <w:sz w:val="22"/>
                <w:szCs w:val="22"/>
              </w:rPr>
              <w:t>Resposta clínica (CR-100)</w:t>
            </w:r>
          </w:p>
        </w:tc>
        <w:tc>
          <w:tcPr>
            <w:tcW w:w="1659" w:type="dxa"/>
          </w:tcPr>
          <w:p w14:paraId="1FCD21D3" w14:textId="77777777" w:rsidR="004462A0" w:rsidRPr="00CC4B51" w:rsidRDefault="00615769" w:rsidP="00757720">
            <w:pPr>
              <w:keepNext/>
              <w:keepLines/>
              <w:tabs>
                <w:tab w:val="left" w:pos="360"/>
              </w:tabs>
              <w:suppressAutoHyphens/>
              <w:spacing w:before="40" w:after="40"/>
              <w:jc w:val="center"/>
              <w:rPr>
                <w:sz w:val="22"/>
                <w:szCs w:val="22"/>
              </w:rPr>
            </w:pPr>
            <w:r w:rsidRPr="00CC4B51">
              <w:rPr>
                <w:sz w:val="22"/>
                <w:szCs w:val="22"/>
              </w:rPr>
              <w:t>27%</w:t>
            </w:r>
          </w:p>
        </w:tc>
        <w:tc>
          <w:tcPr>
            <w:tcW w:w="2020" w:type="dxa"/>
          </w:tcPr>
          <w:p w14:paraId="1B9770C6" w14:textId="77777777" w:rsidR="004462A0" w:rsidRPr="00CC4B51" w:rsidRDefault="00615769" w:rsidP="00757720">
            <w:pPr>
              <w:keepNext/>
              <w:keepLines/>
              <w:tabs>
                <w:tab w:val="left" w:pos="360"/>
              </w:tabs>
              <w:suppressAutoHyphens/>
              <w:spacing w:before="40" w:after="40"/>
              <w:jc w:val="center"/>
              <w:rPr>
                <w:sz w:val="22"/>
                <w:szCs w:val="22"/>
              </w:rPr>
            </w:pPr>
            <w:r w:rsidRPr="00CC4B51">
              <w:rPr>
                <w:sz w:val="22"/>
                <w:szCs w:val="22"/>
              </w:rPr>
              <w:t>52%*</w:t>
            </w:r>
          </w:p>
        </w:tc>
        <w:tc>
          <w:tcPr>
            <w:tcW w:w="1859" w:type="dxa"/>
          </w:tcPr>
          <w:p w14:paraId="1BCE1C98" w14:textId="77777777" w:rsidR="004462A0" w:rsidRPr="00CC4B51" w:rsidRDefault="00615769" w:rsidP="00757720">
            <w:pPr>
              <w:keepNext/>
              <w:keepLines/>
              <w:tabs>
                <w:tab w:val="left" w:pos="360"/>
              </w:tabs>
              <w:suppressAutoHyphens/>
              <w:spacing w:before="40" w:after="40"/>
              <w:jc w:val="center"/>
              <w:rPr>
                <w:sz w:val="22"/>
                <w:szCs w:val="22"/>
              </w:rPr>
            </w:pPr>
            <w:r w:rsidRPr="00CC4B51">
              <w:rPr>
                <w:sz w:val="22"/>
                <w:szCs w:val="22"/>
              </w:rPr>
              <w:t>52%*</w:t>
            </w:r>
          </w:p>
        </w:tc>
      </w:tr>
      <w:tr w:rsidR="00A7162A" w14:paraId="4EC32496" w14:textId="77777777" w:rsidTr="00F675CF">
        <w:tc>
          <w:tcPr>
            <w:tcW w:w="3749" w:type="dxa"/>
          </w:tcPr>
          <w:p w14:paraId="22FF3A4A" w14:textId="77777777" w:rsidR="004462A0" w:rsidRPr="00CC4B51" w:rsidRDefault="00615769" w:rsidP="00757720">
            <w:pPr>
              <w:keepNext/>
              <w:keepLines/>
              <w:tabs>
                <w:tab w:val="left" w:pos="360"/>
              </w:tabs>
              <w:suppressAutoHyphens/>
              <w:spacing w:before="40" w:after="40"/>
              <w:ind w:left="360"/>
              <w:rPr>
                <w:sz w:val="22"/>
                <w:szCs w:val="22"/>
              </w:rPr>
            </w:pPr>
            <w:r w:rsidRPr="00CC4B51">
              <w:rPr>
                <w:sz w:val="22"/>
                <w:szCs w:val="22"/>
              </w:rPr>
              <w:t>Doentes em remissão sem tratamento com esteroides em &gt;=90 dias</w:t>
            </w:r>
            <w:r w:rsidRPr="00CC4B51">
              <w:rPr>
                <w:sz w:val="22"/>
                <w:szCs w:val="22"/>
                <w:vertAlign w:val="superscript"/>
              </w:rPr>
              <w:t>a</w:t>
            </w:r>
          </w:p>
        </w:tc>
        <w:tc>
          <w:tcPr>
            <w:tcW w:w="1659" w:type="dxa"/>
          </w:tcPr>
          <w:p w14:paraId="346BEC52" w14:textId="77777777" w:rsidR="004462A0" w:rsidRPr="00CC4B51" w:rsidRDefault="00615769" w:rsidP="00757720">
            <w:pPr>
              <w:keepNext/>
              <w:keepLines/>
              <w:tabs>
                <w:tab w:val="left" w:pos="360"/>
              </w:tabs>
              <w:suppressAutoHyphens/>
              <w:spacing w:before="40" w:after="40"/>
              <w:jc w:val="center"/>
              <w:rPr>
                <w:sz w:val="22"/>
                <w:szCs w:val="22"/>
              </w:rPr>
            </w:pPr>
            <w:r w:rsidRPr="00CC4B51">
              <w:rPr>
                <w:sz w:val="22"/>
                <w:szCs w:val="22"/>
              </w:rPr>
              <w:t>3% (2/66)</w:t>
            </w:r>
          </w:p>
        </w:tc>
        <w:tc>
          <w:tcPr>
            <w:tcW w:w="2020" w:type="dxa"/>
          </w:tcPr>
          <w:p w14:paraId="2B55CB8D" w14:textId="77777777" w:rsidR="004462A0" w:rsidRPr="00CC4B51" w:rsidRDefault="00615769" w:rsidP="00757720">
            <w:pPr>
              <w:keepNext/>
              <w:keepLines/>
              <w:tabs>
                <w:tab w:val="left" w:pos="360"/>
              </w:tabs>
              <w:suppressAutoHyphens/>
              <w:spacing w:before="40" w:after="40"/>
              <w:jc w:val="center"/>
              <w:rPr>
                <w:sz w:val="22"/>
                <w:szCs w:val="22"/>
              </w:rPr>
            </w:pPr>
            <w:r w:rsidRPr="00CC4B51">
              <w:rPr>
                <w:sz w:val="22"/>
                <w:szCs w:val="22"/>
              </w:rPr>
              <w:t>19% (11/58)**</w:t>
            </w:r>
          </w:p>
        </w:tc>
        <w:tc>
          <w:tcPr>
            <w:tcW w:w="1859" w:type="dxa"/>
          </w:tcPr>
          <w:p w14:paraId="156E97D3" w14:textId="77777777" w:rsidR="004462A0" w:rsidRPr="00CC4B51" w:rsidRDefault="00615769" w:rsidP="00757720">
            <w:pPr>
              <w:keepNext/>
              <w:keepLines/>
              <w:tabs>
                <w:tab w:val="left" w:pos="360"/>
              </w:tabs>
              <w:suppressAutoHyphens/>
              <w:spacing w:before="40" w:after="40"/>
              <w:jc w:val="center"/>
              <w:rPr>
                <w:sz w:val="22"/>
                <w:szCs w:val="22"/>
              </w:rPr>
            </w:pPr>
            <w:r w:rsidRPr="00CC4B51">
              <w:rPr>
                <w:sz w:val="22"/>
                <w:szCs w:val="22"/>
              </w:rPr>
              <w:t>15% (11/74)**</w:t>
            </w:r>
          </w:p>
        </w:tc>
      </w:tr>
      <w:tr w:rsidR="00A7162A" w14:paraId="6D1AECF6" w14:textId="77777777" w:rsidTr="00F675CF">
        <w:tc>
          <w:tcPr>
            <w:tcW w:w="3749" w:type="dxa"/>
          </w:tcPr>
          <w:p w14:paraId="2F5F6B68" w14:textId="77777777" w:rsidR="004462A0" w:rsidRPr="00CC4B51" w:rsidRDefault="00615769" w:rsidP="00757720">
            <w:pPr>
              <w:keepNext/>
              <w:keepLines/>
              <w:tabs>
                <w:tab w:val="left" w:pos="360"/>
              </w:tabs>
              <w:suppressAutoHyphens/>
              <w:spacing w:before="40" w:after="40"/>
              <w:rPr>
                <w:b/>
                <w:bCs/>
                <w:sz w:val="22"/>
                <w:szCs w:val="22"/>
              </w:rPr>
            </w:pPr>
            <w:r w:rsidRPr="00CC4B51">
              <w:rPr>
                <w:b/>
                <w:bCs/>
                <w:sz w:val="22"/>
                <w:szCs w:val="22"/>
              </w:rPr>
              <w:t>Semana 56</w:t>
            </w:r>
          </w:p>
        </w:tc>
        <w:tc>
          <w:tcPr>
            <w:tcW w:w="1659" w:type="dxa"/>
          </w:tcPr>
          <w:p w14:paraId="7AA8313F" w14:textId="77777777" w:rsidR="004462A0" w:rsidRPr="00CC4B51" w:rsidRDefault="00615769" w:rsidP="00757720">
            <w:pPr>
              <w:keepNext/>
              <w:keepLines/>
              <w:tabs>
                <w:tab w:val="left" w:pos="360"/>
              </w:tabs>
              <w:suppressAutoHyphens/>
              <w:spacing w:before="40" w:after="40"/>
              <w:jc w:val="center"/>
              <w:rPr>
                <w:b/>
                <w:bCs/>
                <w:sz w:val="22"/>
                <w:szCs w:val="22"/>
              </w:rPr>
            </w:pPr>
            <w:r w:rsidRPr="00CC4B51">
              <w:rPr>
                <w:b/>
                <w:bCs/>
                <w:sz w:val="22"/>
                <w:szCs w:val="22"/>
              </w:rPr>
              <w:t>N =170</w:t>
            </w:r>
          </w:p>
        </w:tc>
        <w:tc>
          <w:tcPr>
            <w:tcW w:w="2020" w:type="dxa"/>
          </w:tcPr>
          <w:p w14:paraId="21762E22" w14:textId="77777777" w:rsidR="004462A0" w:rsidRPr="00CC4B51" w:rsidRDefault="00615769" w:rsidP="00757720">
            <w:pPr>
              <w:keepNext/>
              <w:keepLines/>
              <w:tabs>
                <w:tab w:val="left" w:pos="360"/>
              </w:tabs>
              <w:suppressAutoHyphens/>
              <w:spacing w:before="40" w:after="40"/>
              <w:jc w:val="center"/>
              <w:rPr>
                <w:b/>
                <w:bCs/>
                <w:sz w:val="22"/>
                <w:szCs w:val="22"/>
              </w:rPr>
            </w:pPr>
            <w:r w:rsidRPr="00CC4B51">
              <w:rPr>
                <w:b/>
                <w:bCs/>
                <w:sz w:val="22"/>
                <w:szCs w:val="22"/>
              </w:rPr>
              <w:t>N =172</w:t>
            </w:r>
          </w:p>
        </w:tc>
        <w:tc>
          <w:tcPr>
            <w:tcW w:w="1859" w:type="dxa"/>
          </w:tcPr>
          <w:p w14:paraId="4DD485B9" w14:textId="77777777" w:rsidR="004462A0" w:rsidRPr="00CC4B51" w:rsidRDefault="00615769" w:rsidP="00757720">
            <w:pPr>
              <w:keepNext/>
              <w:keepLines/>
              <w:tabs>
                <w:tab w:val="left" w:pos="360"/>
              </w:tabs>
              <w:suppressAutoHyphens/>
              <w:spacing w:before="40" w:after="40"/>
              <w:jc w:val="center"/>
              <w:rPr>
                <w:b/>
                <w:bCs/>
                <w:sz w:val="22"/>
                <w:szCs w:val="22"/>
              </w:rPr>
            </w:pPr>
            <w:r w:rsidRPr="00CC4B51">
              <w:rPr>
                <w:b/>
                <w:bCs/>
                <w:sz w:val="22"/>
                <w:szCs w:val="22"/>
              </w:rPr>
              <w:t>N =157</w:t>
            </w:r>
          </w:p>
        </w:tc>
      </w:tr>
      <w:tr w:rsidR="00A7162A" w14:paraId="55B74E2F" w14:textId="77777777" w:rsidTr="00F675CF">
        <w:tc>
          <w:tcPr>
            <w:tcW w:w="3749" w:type="dxa"/>
          </w:tcPr>
          <w:p w14:paraId="3D0182A4" w14:textId="77777777" w:rsidR="004462A0" w:rsidRPr="00CC4B51" w:rsidRDefault="00615769" w:rsidP="00757720">
            <w:pPr>
              <w:keepNext/>
              <w:keepLines/>
              <w:tabs>
                <w:tab w:val="left" w:pos="360"/>
              </w:tabs>
              <w:suppressAutoHyphens/>
              <w:spacing w:before="40" w:after="40"/>
              <w:rPr>
                <w:sz w:val="22"/>
                <w:szCs w:val="22"/>
              </w:rPr>
            </w:pPr>
            <w:r w:rsidRPr="00CC4B51">
              <w:rPr>
                <w:sz w:val="22"/>
                <w:szCs w:val="22"/>
              </w:rPr>
              <w:t>Remissão clínica</w:t>
            </w:r>
          </w:p>
        </w:tc>
        <w:tc>
          <w:tcPr>
            <w:tcW w:w="1659" w:type="dxa"/>
          </w:tcPr>
          <w:p w14:paraId="7DFDAF5B" w14:textId="77777777" w:rsidR="004462A0" w:rsidRPr="00CC4B51" w:rsidRDefault="00615769" w:rsidP="00757720">
            <w:pPr>
              <w:keepNext/>
              <w:keepLines/>
              <w:tabs>
                <w:tab w:val="left" w:pos="360"/>
              </w:tabs>
              <w:suppressAutoHyphens/>
              <w:spacing w:before="40" w:after="40"/>
              <w:jc w:val="center"/>
              <w:rPr>
                <w:sz w:val="22"/>
                <w:szCs w:val="22"/>
              </w:rPr>
            </w:pPr>
            <w:r w:rsidRPr="00CC4B51">
              <w:rPr>
                <w:sz w:val="22"/>
                <w:szCs w:val="22"/>
              </w:rPr>
              <w:t>12%</w:t>
            </w:r>
          </w:p>
        </w:tc>
        <w:tc>
          <w:tcPr>
            <w:tcW w:w="2020" w:type="dxa"/>
          </w:tcPr>
          <w:p w14:paraId="083D37D7" w14:textId="77777777" w:rsidR="004462A0" w:rsidRPr="00CC4B51" w:rsidRDefault="00615769" w:rsidP="00757720">
            <w:pPr>
              <w:keepNext/>
              <w:keepLines/>
              <w:tabs>
                <w:tab w:val="left" w:pos="360"/>
              </w:tabs>
              <w:suppressAutoHyphens/>
              <w:spacing w:before="40" w:after="40"/>
              <w:jc w:val="center"/>
              <w:rPr>
                <w:sz w:val="22"/>
                <w:szCs w:val="22"/>
              </w:rPr>
            </w:pPr>
            <w:r w:rsidRPr="00CC4B51">
              <w:rPr>
                <w:sz w:val="22"/>
                <w:szCs w:val="22"/>
              </w:rPr>
              <w:t>36%*</w:t>
            </w:r>
          </w:p>
        </w:tc>
        <w:tc>
          <w:tcPr>
            <w:tcW w:w="1859" w:type="dxa"/>
          </w:tcPr>
          <w:p w14:paraId="2F93D74C" w14:textId="77777777" w:rsidR="004462A0" w:rsidRPr="00CC4B51" w:rsidRDefault="00615769" w:rsidP="00757720">
            <w:pPr>
              <w:keepNext/>
              <w:keepLines/>
              <w:tabs>
                <w:tab w:val="left" w:pos="360"/>
              </w:tabs>
              <w:suppressAutoHyphens/>
              <w:spacing w:before="40" w:after="40"/>
              <w:jc w:val="center"/>
              <w:rPr>
                <w:sz w:val="22"/>
                <w:szCs w:val="22"/>
              </w:rPr>
            </w:pPr>
            <w:r w:rsidRPr="00CC4B51">
              <w:rPr>
                <w:sz w:val="22"/>
                <w:szCs w:val="22"/>
              </w:rPr>
              <w:t>41%*</w:t>
            </w:r>
          </w:p>
        </w:tc>
      </w:tr>
      <w:tr w:rsidR="00A7162A" w14:paraId="6F7D7D49" w14:textId="77777777" w:rsidTr="00F675CF">
        <w:tc>
          <w:tcPr>
            <w:tcW w:w="3749" w:type="dxa"/>
          </w:tcPr>
          <w:p w14:paraId="743F372A" w14:textId="77777777" w:rsidR="004462A0" w:rsidRPr="00CC4B51" w:rsidRDefault="00615769" w:rsidP="00757720">
            <w:pPr>
              <w:keepNext/>
              <w:keepLines/>
              <w:tabs>
                <w:tab w:val="left" w:pos="360"/>
              </w:tabs>
              <w:suppressAutoHyphens/>
              <w:spacing w:before="40" w:after="40"/>
              <w:rPr>
                <w:sz w:val="22"/>
                <w:szCs w:val="22"/>
              </w:rPr>
            </w:pPr>
            <w:r w:rsidRPr="00CC4B51">
              <w:rPr>
                <w:sz w:val="22"/>
                <w:szCs w:val="22"/>
              </w:rPr>
              <w:t>Resposta clínica (CR-100)</w:t>
            </w:r>
          </w:p>
        </w:tc>
        <w:tc>
          <w:tcPr>
            <w:tcW w:w="1659" w:type="dxa"/>
          </w:tcPr>
          <w:p w14:paraId="38343B26" w14:textId="77777777" w:rsidR="004462A0" w:rsidRPr="00CC4B51" w:rsidRDefault="00615769" w:rsidP="00757720">
            <w:pPr>
              <w:keepNext/>
              <w:keepLines/>
              <w:tabs>
                <w:tab w:val="left" w:pos="360"/>
              </w:tabs>
              <w:suppressAutoHyphens/>
              <w:spacing w:before="40" w:after="40"/>
              <w:jc w:val="center"/>
              <w:rPr>
                <w:sz w:val="22"/>
                <w:szCs w:val="22"/>
              </w:rPr>
            </w:pPr>
            <w:r w:rsidRPr="00CC4B51">
              <w:rPr>
                <w:sz w:val="22"/>
                <w:szCs w:val="22"/>
              </w:rPr>
              <w:t>17%</w:t>
            </w:r>
          </w:p>
        </w:tc>
        <w:tc>
          <w:tcPr>
            <w:tcW w:w="2020" w:type="dxa"/>
          </w:tcPr>
          <w:p w14:paraId="46CDE211" w14:textId="77777777" w:rsidR="004462A0" w:rsidRPr="00CC4B51" w:rsidRDefault="00615769" w:rsidP="00757720">
            <w:pPr>
              <w:keepNext/>
              <w:keepLines/>
              <w:tabs>
                <w:tab w:val="left" w:pos="360"/>
              </w:tabs>
              <w:suppressAutoHyphens/>
              <w:spacing w:before="40" w:after="40"/>
              <w:jc w:val="center"/>
              <w:rPr>
                <w:sz w:val="22"/>
                <w:szCs w:val="22"/>
              </w:rPr>
            </w:pPr>
            <w:r w:rsidRPr="00CC4B51">
              <w:rPr>
                <w:sz w:val="22"/>
                <w:szCs w:val="22"/>
              </w:rPr>
              <w:t>41%*</w:t>
            </w:r>
          </w:p>
        </w:tc>
        <w:tc>
          <w:tcPr>
            <w:tcW w:w="1859" w:type="dxa"/>
          </w:tcPr>
          <w:p w14:paraId="63668808" w14:textId="77777777" w:rsidR="004462A0" w:rsidRPr="00CC4B51" w:rsidRDefault="00615769" w:rsidP="00757720">
            <w:pPr>
              <w:keepNext/>
              <w:keepLines/>
              <w:tabs>
                <w:tab w:val="left" w:pos="360"/>
              </w:tabs>
              <w:suppressAutoHyphens/>
              <w:spacing w:before="40" w:after="40"/>
              <w:jc w:val="center"/>
              <w:rPr>
                <w:sz w:val="22"/>
                <w:szCs w:val="22"/>
              </w:rPr>
            </w:pPr>
            <w:r w:rsidRPr="00CC4B51">
              <w:rPr>
                <w:sz w:val="22"/>
                <w:szCs w:val="22"/>
              </w:rPr>
              <w:t>48%*</w:t>
            </w:r>
          </w:p>
        </w:tc>
      </w:tr>
      <w:tr w:rsidR="00A7162A" w14:paraId="4C9ED8E7" w14:textId="77777777" w:rsidTr="00F675CF">
        <w:tc>
          <w:tcPr>
            <w:tcW w:w="3749" w:type="dxa"/>
          </w:tcPr>
          <w:p w14:paraId="3C3C4651" w14:textId="77777777" w:rsidR="004462A0" w:rsidRPr="00CC4B51" w:rsidRDefault="00615769" w:rsidP="00757720">
            <w:pPr>
              <w:keepNext/>
              <w:keepLines/>
              <w:tabs>
                <w:tab w:val="left" w:pos="360"/>
              </w:tabs>
              <w:suppressAutoHyphens/>
              <w:spacing w:before="40" w:after="40"/>
              <w:ind w:left="360"/>
              <w:rPr>
                <w:sz w:val="22"/>
                <w:szCs w:val="22"/>
              </w:rPr>
            </w:pPr>
            <w:r w:rsidRPr="00CC4B51">
              <w:rPr>
                <w:sz w:val="22"/>
                <w:szCs w:val="22"/>
              </w:rPr>
              <w:t>Doentes em remissão sem tratamento com esteroides em &gt;=90 dias</w:t>
            </w:r>
            <w:r w:rsidRPr="00CC4B51">
              <w:rPr>
                <w:sz w:val="22"/>
                <w:szCs w:val="22"/>
                <w:vertAlign w:val="superscript"/>
              </w:rPr>
              <w:t>a</w:t>
            </w:r>
          </w:p>
        </w:tc>
        <w:tc>
          <w:tcPr>
            <w:tcW w:w="1659" w:type="dxa"/>
          </w:tcPr>
          <w:p w14:paraId="6F62615F" w14:textId="77777777" w:rsidR="004462A0" w:rsidRPr="00CC4B51" w:rsidRDefault="00615769" w:rsidP="00757720">
            <w:pPr>
              <w:keepNext/>
              <w:keepLines/>
              <w:tabs>
                <w:tab w:val="left" w:pos="360"/>
              </w:tabs>
              <w:suppressAutoHyphens/>
              <w:spacing w:before="40" w:after="40"/>
              <w:jc w:val="center"/>
              <w:rPr>
                <w:sz w:val="22"/>
                <w:szCs w:val="22"/>
              </w:rPr>
            </w:pPr>
            <w:r w:rsidRPr="00CC4B51">
              <w:rPr>
                <w:sz w:val="22"/>
                <w:szCs w:val="22"/>
              </w:rPr>
              <w:t>5% (3/66)</w:t>
            </w:r>
          </w:p>
        </w:tc>
        <w:tc>
          <w:tcPr>
            <w:tcW w:w="2020" w:type="dxa"/>
          </w:tcPr>
          <w:p w14:paraId="2C3E7273" w14:textId="77777777" w:rsidR="004462A0" w:rsidRPr="00CC4B51" w:rsidRDefault="00615769" w:rsidP="00757720">
            <w:pPr>
              <w:keepNext/>
              <w:keepLines/>
              <w:tabs>
                <w:tab w:val="left" w:pos="360"/>
              </w:tabs>
              <w:suppressAutoHyphens/>
              <w:spacing w:before="40" w:after="40"/>
              <w:jc w:val="center"/>
              <w:rPr>
                <w:sz w:val="22"/>
                <w:szCs w:val="22"/>
              </w:rPr>
            </w:pPr>
            <w:r w:rsidRPr="00CC4B51">
              <w:rPr>
                <w:sz w:val="22"/>
                <w:szCs w:val="22"/>
              </w:rPr>
              <w:t>29% (17/58)*</w:t>
            </w:r>
          </w:p>
        </w:tc>
        <w:tc>
          <w:tcPr>
            <w:tcW w:w="1859" w:type="dxa"/>
          </w:tcPr>
          <w:p w14:paraId="72B95FD8" w14:textId="77777777" w:rsidR="004462A0" w:rsidRPr="00CC4B51" w:rsidRDefault="00615769" w:rsidP="00757720">
            <w:pPr>
              <w:keepNext/>
              <w:keepLines/>
              <w:tabs>
                <w:tab w:val="left" w:pos="360"/>
              </w:tabs>
              <w:suppressAutoHyphens/>
              <w:spacing w:before="40" w:after="40"/>
              <w:jc w:val="center"/>
              <w:rPr>
                <w:sz w:val="22"/>
                <w:szCs w:val="22"/>
              </w:rPr>
            </w:pPr>
            <w:r w:rsidRPr="00CC4B51">
              <w:rPr>
                <w:sz w:val="22"/>
                <w:szCs w:val="22"/>
              </w:rPr>
              <w:t>20% (15/74)**</w:t>
            </w:r>
          </w:p>
        </w:tc>
      </w:tr>
      <w:tr w:rsidR="00A7162A" w14:paraId="456CF25A" w14:textId="77777777" w:rsidTr="00F675CF">
        <w:trPr>
          <w:cantSplit/>
        </w:trPr>
        <w:tc>
          <w:tcPr>
            <w:tcW w:w="9287" w:type="dxa"/>
            <w:gridSpan w:val="4"/>
            <w:tcBorders>
              <w:left w:val="nil"/>
              <w:right w:val="nil"/>
            </w:tcBorders>
          </w:tcPr>
          <w:p w14:paraId="04F40471" w14:textId="77777777" w:rsidR="004462A0" w:rsidRPr="00CC4B51" w:rsidRDefault="00615769" w:rsidP="00757720">
            <w:pPr>
              <w:keepNext/>
              <w:keepLines/>
              <w:tabs>
                <w:tab w:val="left" w:pos="360"/>
              </w:tabs>
              <w:suppressAutoHyphens/>
              <w:spacing w:before="40" w:after="40"/>
              <w:rPr>
                <w:sz w:val="22"/>
                <w:szCs w:val="22"/>
              </w:rPr>
            </w:pPr>
            <w:r w:rsidRPr="00CC4B51">
              <w:rPr>
                <w:sz w:val="22"/>
                <w:szCs w:val="22"/>
              </w:rPr>
              <w:t>*</w:t>
            </w:r>
            <w:r w:rsidRPr="00CC4B51">
              <w:rPr>
                <w:sz w:val="22"/>
                <w:szCs w:val="22"/>
              </w:rPr>
              <w:tab/>
              <w:t xml:space="preserve">p &lt; 0,001 para Humira </w:t>
            </w:r>
            <w:r w:rsidRPr="00CC4B51">
              <w:rPr>
                <w:i/>
                <w:iCs/>
                <w:sz w:val="22"/>
                <w:szCs w:val="22"/>
              </w:rPr>
              <w:t>versus</w:t>
            </w:r>
            <w:r w:rsidRPr="00CC4B51">
              <w:rPr>
                <w:sz w:val="22"/>
                <w:szCs w:val="22"/>
              </w:rPr>
              <w:t xml:space="preserve"> placebo em proporções comparativas emparelhadas</w:t>
            </w:r>
          </w:p>
          <w:p w14:paraId="205B1375" w14:textId="77777777" w:rsidR="004462A0" w:rsidRPr="00CC4B51" w:rsidRDefault="00615769" w:rsidP="00757720">
            <w:pPr>
              <w:keepNext/>
              <w:keepLines/>
              <w:tabs>
                <w:tab w:val="left" w:pos="360"/>
              </w:tabs>
              <w:suppressAutoHyphens/>
              <w:spacing w:before="40" w:after="40"/>
              <w:rPr>
                <w:sz w:val="22"/>
                <w:szCs w:val="22"/>
              </w:rPr>
            </w:pPr>
            <w:r w:rsidRPr="00CC4B51">
              <w:rPr>
                <w:sz w:val="22"/>
                <w:szCs w:val="22"/>
              </w:rPr>
              <w:t>**</w:t>
            </w:r>
            <w:r w:rsidRPr="00CC4B51">
              <w:rPr>
                <w:sz w:val="22"/>
                <w:szCs w:val="22"/>
              </w:rPr>
              <w:tab/>
              <w:t xml:space="preserve">p &lt; 0,02 para Humira </w:t>
            </w:r>
            <w:r w:rsidRPr="00CC4B51">
              <w:rPr>
                <w:i/>
                <w:iCs/>
                <w:sz w:val="22"/>
                <w:szCs w:val="22"/>
              </w:rPr>
              <w:t>versus</w:t>
            </w:r>
            <w:r w:rsidRPr="00CC4B51">
              <w:rPr>
                <w:sz w:val="22"/>
                <w:szCs w:val="22"/>
              </w:rPr>
              <w:t xml:space="preserve"> placebo em proporções comparativas emparelhadas</w:t>
            </w:r>
          </w:p>
          <w:p w14:paraId="61063004" w14:textId="77777777" w:rsidR="004462A0" w:rsidRPr="00CC4B51" w:rsidRDefault="00615769" w:rsidP="00757720">
            <w:pPr>
              <w:keepNext/>
              <w:keepLines/>
              <w:tabs>
                <w:tab w:val="left" w:pos="360"/>
              </w:tabs>
              <w:suppressAutoHyphens/>
              <w:spacing w:before="40" w:after="40"/>
              <w:rPr>
                <w:sz w:val="22"/>
                <w:szCs w:val="22"/>
              </w:rPr>
            </w:pPr>
            <w:r w:rsidRPr="00CC4B51">
              <w:rPr>
                <w:sz w:val="22"/>
                <w:szCs w:val="22"/>
                <w:vertAlign w:val="superscript"/>
              </w:rPr>
              <w:t>a</w:t>
            </w:r>
            <w:r w:rsidRPr="00CC4B51">
              <w:rPr>
                <w:sz w:val="22"/>
                <w:szCs w:val="22"/>
                <w:vertAlign w:val="superscript"/>
              </w:rPr>
              <w:tab/>
            </w:r>
            <w:r w:rsidRPr="00CC4B51">
              <w:rPr>
                <w:sz w:val="22"/>
                <w:szCs w:val="22"/>
              </w:rPr>
              <w:t>Dos que receberam corticosteroides no início do estudo</w:t>
            </w:r>
          </w:p>
        </w:tc>
      </w:tr>
    </w:tbl>
    <w:p w14:paraId="7F9A4BEB" w14:textId="77777777" w:rsidR="004462A0" w:rsidRPr="00CC4B51" w:rsidRDefault="004462A0" w:rsidP="004462A0">
      <w:pPr>
        <w:tabs>
          <w:tab w:val="left" w:pos="562"/>
        </w:tabs>
        <w:suppressAutoHyphens/>
        <w:rPr>
          <w:sz w:val="22"/>
          <w:szCs w:val="22"/>
        </w:rPr>
      </w:pPr>
    </w:p>
    <w:p w14:paraId="5D5F85C8" w14:textId="77777777" w:rsidR="004462A0" w:rsidRPr="00CC4B51" w:rsidRDefault="00615769" w:rsidP="004462A0">
      <w:pPr>
        <w:tabs>
          <w:tab w:val="left" w:pos="562"/>
        </w:tabs>
        <w:suppressAutoHyphens/>
        <w:rPr>
          <w:sz w:val="22"/>
          <w:szCs w:val="22"/>
        </w:rPr>
      </w:pPr>
      <w:r w:rsidRPr="00CC4B51">
        <w:rPr>
          <w:sz w:val="22"/>
          <w:szCs w:val="22"/>
        </w:rPr>
        <w:t>Entre os doentes que não responderam na Semana 4, 43</w:t>
      </w:r>
      <w:r w:rsidR="009343EF">
        <w:rPr>
          <w:sz w:val="22"/>
          <w:szCs w:val="22"/>
        </w:rPr>
        <w:t>%</w:t>
      </w:r>
      <w:r w:rsidRPr="00CC4B51">
        <w:rPr>
          <w:sz w:val="22"/>
          <w:szCs w:val="22"/>
        </w:rPr>
        <w:t xml:space="preserve"> dos doentes em manutenção com Humira responderam na Semana 12 comparativamente com 30</w:t>
      </w:r>
      <w:r w:rsidR="009343EF">
        <w:rPr>
          <w:sz w:val="22"/>
          <w:szCs w:val="22"/>
        </w:rPr>
        <w:t>%</w:t>
      </w:r>
      <w:r w:rsidRPr="00CC4B51">
        <w:rPr>
          <w:sz w:val="22"/>
          <w:szCs w:val="22"/>
        </w:rPr>
        <w:t xml:space="preserve"> d</w:t>
      </w:r>
      <w:r w:rsidR="00FD14A1">
        <w:rPr>
          <w:sz w:val="22"/>
          <w:szCs w:val="22"/>
        </w:rPr>
        <w:t>os</w:t>
      </w:r>
      <w:r w:rsidRPr="00CC4B51">
        <w:rPr>
          <w:sz w:val="22"/>
          <w:szCs w:val="22"/>
        </w:rPr>
        <w:t xml:space="preserve"> doentes em manutenção com placebo. Estes resultados sugerem que alguns doentes que não responderam na Semana 4 beneficiam de uma terapêutica de manutenção continuada </w:t>
      </w:r>
      <w:r w:rsidR="00896C27">
        <w:rPr>
          <w:sz w:val="22"/>
          <w:szCs w:val="22"/>
        </w:rPr>
        <w:t>até à</w:t>
      </w:r>
      <w:r w:rsidRPr="00CC4B51">
        <w:rPr>
          <w:sz w:val="22"/>
          <w:szCs w:val="22"/>
        </w:rPr>
        <w:t xml:space="preserve"> Semana 12. A terapêutica combinada para além das 12 </w:t>
      </w:r>
      <w:r w:rsidR="00FD14A1">
        <w:rPr>
          <w:sz w:val="22"/>
          <w:szCs w:val="22"/>
        </w:rPr>
        <w:t>s</w:t>
      </w:r>
      <w:r w:rsidRPr="00CC4B51">
        <w:rPr>
          <w:sz w:val="22"/>
          <w:szCs w:val="22"/>
        </w:rPr>
        <w:t>emanas não resultou em significativamente mais respostas (ver secção 4.2).</w:t>
      </w:r>
    </w:p>
    <w:p w14:paraId="349C3CF9" w14:textId="77777777" w:rsidR="004462A0" w:rsidRPr="00CC4B51" w:rsidRDefault="004462A0" w:rsidP="004462A0">
      <w:pPr>
        <w:tabs>
          <w:tab w:val="left" w:pos="562"/>
        </w:tabs>
        <w:suppressAutoHyphens/>
        <w:rPr>
          <w:sz w:val="22"/>
          <w:szCs w:val="22"/>
        </w:rPr>
      </w:pPr>
    </w:p>
    <w:p w14:paraId="68DBE4D6" w14:textId="77777777" w:rsidR="004462A0" w:rsidRPr="00CC4B51" w:rsidRDefault="00615769" w:rsidP="004462A0">
      <w:pPr>
        <w:jc w:val="both"/>
        <w:rPr>
          <w:sz w:val="22"/>
          <w:szCs w:val="22"/>
        </w:rPr>
      </w:pPr>
      <w:r w:rsidRPr="00CC4B51">
        <w:rPr>
          <w:sz w:val="22"/>
          <w:szCs w:val="22"/>
        </w:rPr>
        <w:t>117/276 doentes do Estudo DC I e 272/777 doentes dos Estudos DC II e III, medicados com adalimumab, foram seguidos pelo menos durante 3 anos em estudo aberto. 88 e 189 doentes, respetivamente, continuaram em remissão clínica. A resposta clínica (CR-100) foi mantida em 102 e 233 doentes, respetivamente.</w:t>
      </w:r>
    </w:p>
    <w:p w14:paraId="56E6D16A" w14:textId="77777777" w:rsidR="004462A0" w:rsidRPr="00CC4B51" w:rsidRDefault="004462A0" w:rsidP="004462A0">
      <w:pPr>
        <w:jc w:val="both"/>
        <w:rPr>
          <w:sz w:val="22"/>
          <w:szCs w:val="22"/>
        </w:rPr>
      </w:pPr>
    </w:p>
    <w:p w14:paraId="6FFCAA05" w14:textId="77777777" w:rsidR="004462A0" w:rsidRPr="00CC4B51" w:rsidRDefault="00615769" w:rsidP="004462A0">
      <w:pPr>
        <w:jc w:val="both"/>
        <w:rPr>
          <w:sz w:val="22"/>
          <w:szCs w:val="22"/>
          <w:u w:val="single"/>
        </w:rPr>
      </w:pPr>
      <w:r w:rsidRPr="00CC4B51">
        <w:rPr>
          <w:i/>
          <w:sz w:val="22"/>
          <w:szCs w:val="22"/>
          <w:u w:val="single"/>
        </w:rPr>
        <w:t>Qualidade de vida</w:t>
      </w:r>
    </w:p>
    <w:p w14:paraId="4B136BD7" w14:textId="77777777" w:rsidR="004462A0" w:rsidRPr="00CC4B51" w:rsidRDefault="004462A0" w:rsidP="004462A0">
      <w:pPr>
        <w:rPr>
          <w:sz w:val="22"/>
          <w:szCs w:val="22"/>
        </w:rPr>
      </w:pPr>
    </w:p>
    <w:p w14:paraId="431CF1D8" w14:textId="77777777" w:rsidR="004462A0" w:rsidRPr="00CC4B51" w:rsidRDefault="00615769" w:rsidP="004462A0">
      <w:pPr>
        <w:rPr>
          <w:sz w:val="22"/>
          <w:szCs w:val="22"/>
        </w:rPr>
      </w:pPr>
      <w:r w:rsidRPr="00CC4B51">
        <w:rPr>
          <w:sz w:val="22"/>
          <w:szCs w:val="22"/>
        </w:rPr>
        <w:t>No Estudo DC I e no Estudo DC II observou-se uma melhoria estatisticamente significativa na escala total do questionário da doença inflamatória intestinal específic</w:t>
      </w:r>
      <w:r w:rsidR="00A314C9">
        <w:rPr>
          <w:sz w:val="22"/>
          <w:szCs w:val="22"/>
        </w:rPr>
        <w:t>o</w:t>
      </w:r>
      <w:r w:rsidRPr="00CC4B51">
        <w:rPr>
          <w:sz w:val="22"/>
          <w:szCs w:val="22"/>
        </w:rPr>
        <w:t xml:space="preserve"> da doença (IBDQ) na Semana 4 em doentes </w:t>
      </w:r>
      <w:r w:rsidR="0013275C">
        <w:rPr>
          <w:sz w:val="22"/>
          <w:szCs w:val="22"/>
        </w:rPr>
        <w:t>aleatorizado</w:t>
      </w:r>
      <w:r w:rsidRPr="00CC4B51">
        <w:rPr>
          <w:sz w:val="22"/>
          <w:szCs w:val="22"/>
        </w:rPr>
        <w:t>s para Humira 80/40 mg e 160/80 mg comparativamente com placebo e foi também observado nas Semanas 26 e 56 no Estudo DC III entre os grupos de tratamento com adalimumab comparativamente com o grupo placebo.</w:t>
      </w:r>
    </w:p>
    <w:p w14:paraId="4876C409" w14:textId="77777777" w:rsidR="004462A0" w:rsidRPr="00CC4B51" w:rsidRDefault="004462A0" w:rsidP="004462A0">
      <w:pPr>
        <w:rPr>
          <w:sz w:val="22"/>
          <w:szCs w:val="22"/>
          <w:u w:val="single"/>
        </w:rPr>
      </w:pPr>
    </w:p>
    <w:p w14:paraId="0F4B5B93" w14:textId="77777777" w:rsidR="004462A0" w:rsidRPr="00CC4B51" w:rsidRDefault="00615769" w:rsidP="004462A0">
      <w:pPr>
        <w:rPr>
          <w:sz w:val="22"/>
          <w:szCs w:val="22"/>
          <w:u w:val="single"/>
        </w:rPr>
      </w:pPr>
      <w:r w:rsidRPr="00CC4B51">
        <w:rPr>
          <w:i/>
          <w:sz w:val="22"/>
          <w:szCs w:val="22"/>
        </w:rPr>
        <w:t>Colite ulcerosa</w:t>
      </w:r>
    </w:p>
    <w:p w14:paraId="5904C2C2" w14:textId="77777777" w:rsidR="004462A0" w:rsidRPr="00CC4B51" w:rsidRDefault="004462A0" w:rsidP="004462A0">
      <w:pPr>
        <w:rPr>
          <w:sz w:val="22"/>
          <w:szCs w:val="22"/>
        </w:rPr>
      </w:pPr>
    </w:p>
    <w:p w14:paraId="26B07AB3" w14:textId="77777777" w:rsidR="004462A0" w:rsidRPr="00CC4B51" w:rsidRDefault="00615769" w:rsidP="004462A0">
      <w:pPr>
        <w:autoSpaceDE w:val="0"/>
        <w:autoSpaceDN w:val="0"/>
        <w:adjustRightInd w:val="0"/>
        <w:rPr>
          <w:sz w:val="22"/>
          <w:szCs w:val="22"/>
        </w:rPr>
      </w:pPr>
      <w:r w:rsidRPr="00CC4B51">
        <w:rPr>
          <w:sz w:val="22"/>
          <w:szCs w:val="22"/>
        </w:rPr>
        <w:t xml:space="preserve">A segurança e eficácia de doses múltiplas de Humira foram avaliadas em doentes adultos com colite ulcerosa ativa moderada a grave (pontuação Mayo de 6 a 12 com subpontuação endoscópica de 2 a 3) em estudos </w:t>
      </w:r>
      <w:r w:rsidR="0013275C">
        <w:rPr>
          <w:sz w:val="22"/>
          <w:szCs w:val="22"/>
        </w:rPr>
        <w:t>aleatorizado</w:t>
      </w:r>
      <w:r w:rsidRPr="00CC4B51">
        <w:rPr>
          <w:sz w:val="22"/>
          <w:szCs w:val="22"/>
        </w:rPr>
        <w:t>s, com dupla ocultação e controlados com placebo.</w:t>
      </w:r>
    </w:p>
    <w:p w14:paraId="5B5FDFEB" w14:textId="77777777" w:rsidR="004462A0" w:rsidRPr="00CC4B51" w:rsidRDefault="004462A0" w:rsidP="004462A0">
      <w:pPr>
        <w:rPr>
          <w:sz w:val="22"/>
          <w:szCs w:val="22"/>
        </w:rPr>
      </w:pPr>
    </w:p>
    <w:p w14:paraId="081E31BC" w14:textId="77777777" w:rsidR="004462A0" w:rsidRPr="00CC4B51" w:rsidRDefault="00615769" w:rsidP="004462A0">
      <w:pPr>
        <w:rPr>
          <w:rFonts w:eastAsia="Arial Unicode MS"/>
          <w:sz w:val="22"/>
          <w:szCs w:val="22"/>
        </w:rPr>
      </w:pPr>
      <w:r w:rsidRPr="00CC4B51">
        <w:rPr>
          <w:sz w:val="22"/>
          <w:szCs w:val="22"/>
        </w:rPr>
        <w:t xml:space="preserve">No estudo UC-I, 390 doentes sem exposição prévia a antagonistas-TNF foram </w:t>
      </w:r>
      <w:r w:rsidR="0013275C">
        <w:rPr>
          <w:sz w:val="22"/>
          <w:szCs w:val="22"/>
        </w:rPr>
        <w:t>aleatorizado</w:t>
      </w:r>
      <w:r w:rsidRPr="00CC4B51">
        <w:rPr>
          <w:sz w:val="22"/>
          <w:szCs w:val="22"/>
        </w:rPr>
        <w:t xml:space="preserve">s para receberem ou tratamento com placebo nas Semanas 0 e 2, 160 mg de Humira na Semana 0, seguida de 80 mg na Semana 2, ou 80 mg de Humira na Semana 0 seguida de 40 mg na Semana 2. Ao fim de 2 Semanas, os doentes em ambos os braços de adalimumab receberam 40 mg em semanas alternadas. A remissão clínica (definida </w:t>
      </w:r>
      <w:r w:rsidR="00384E8F">
        <w:rPr>
          <w:sz w:val="22"/>
          <w:szCs w:val="22"/>
        </w:rPr>
        <w:t>por</w:t>
      </w:r>
      <w:r w:rsidR="00384E8F" w:rsidRPr="00CC4B51">
        <w:rPr>
          <w:sz w:val="22"/>
          <w:szCs w:val="22"/>
        </w:rPr>
        <w:t xml:space="preserve"> </w:t>
      </w:r>
      <w:r w:rsidRPr="00CC4B51">
        <w:rPr>
          <w:sz w:val="22"/>
          <w:szCs w:val="22"/>
        </w:rPr>
        <w:t xml:space="preserve">pontuação Mayo </w:t>
      </w:r>
      <w:r w:rsidRPr="00CC4B51">
        <w:rPr>
          <w:rFonts w:eastAsia="Arial Unicode MS"/>
          <w:sz w:val="22"/>
          <w:szCs w:val="22"/>
        </w:rPr>
        <w:t>≤ 2 sem subpontuação &gt; 1) foi avaliada na Semana 8.</w:t>
      </w:r>
    </w:p>
    <w:p w14:paraId="0966BA57" w14:textId="77777777" w:rsidR="004462A0" w:rsidRPr="00CC4B51" w:rsidRDefault="004462A0" w:rsidP="004462A0">
      <w:pPr>
        <w:rPr>
          <w:rFonts w:eastAsia="Arial Unicode MS"/>
          <w:sz w:val="22"/>
          <w:szCs w:val="22"/>
        </w:rPr>
      </w:pPr>
    </w:p>
    <w:p w14:paraId="45074232" w14:textId="77777777" w:rsidR="004462A0" w:rsidRPr="00CC4B51" w:rsidRDefault="00615769" w:rsidP="004462A0">
      <w:pPr>
        <w:rPr>
          <w:rFonts w:eastAsia="Arial Unicode MS"/>
          <w:sz w:val="22"/>
          <w:szCs w:val="22"/>
        </w:rPr>
      </w:pPr>
      <w:r w:rsidRPr="00CC4B51">
        <w:rPr>
          <w:rFonts w:eastAsia="Arial Unicode MS"/>
          <w:sz w:val="22"/>
          <w:szCs w:val="22"/>
        </w:rPr>
        <w:t>No estudo UC-II, 248 doentes receberam 160 mg de Humira na Semana 0, 80 mg na Semana 2</w:t>
      </w:r>
      <w:r w:rsidR="00212B10">
        <w:rPr>
          <w:rFonts w:eastAsia="Arial Unicode MS"/>
          <w:sz w:val="22"/>
          <w:szCs w:val="22"/>
        </w:rPr>
        <w:t>, seguida de</w:t>
      </w:r>
      <w:r w:rsidRPr="00CC4B51">
        <w:rPr>
          <w:rFonts w:eastAsia="Arial Unicode MS"/>
          <w:sz w:val="22"/>
          <w:szCs w:val="22"/>
        </w:rPr>
        <w:t xml:space="preserve"> 40 mg em semanas alternadas, e 246 doentes receberam placebo. Os resultados clínicos foram avaliados por indução da remissão na Semana 8 e manutenção de remissão na Semana 52.</w:t>
      </w:r>
    </w:p>
    <w:p w14:paraId="4283408C" w14:textId="77777777" w:rsidR="004462A0" w:rsidRPr="00CC4B51" w:rsidRDefault="004462A0" w:rsidP="004462A0">
      <w:pPr>
        <w:rPr>
          <w:rFonts w:eastAsia="Arial Unicode MS"/>
          <w:sz w:val="22"/>
          <w:szCs w:val="22"/>
        </w:rPr>
      </w:pPr>
    </w:p>
    <w:p w14:paraId="4050002B" w14:textId="77777777" w:rsidR="004462A0" w:rsidRPr="00CC4B51" w:rsidRDefault="00615769" w:rsidP="004462A0">
      <w:pPr>
        <w:rPr>
          <w:rFonts w:eastAsia="Arial Unicode MS"/>
          <w:sz w:val="22"/>
          <w:szCs w:val="22"/>
        </w:rPr>
      </w:pPr>
      <w:r w:rsidRPr="00CC4B51">
        <w:rPr>
          <w:rFonts w:eastAsia="Arial Unicode MS"/>
          <w:sz w:val="22"/>
          <w:szCs w:val="22"/>
        </w:rPr>
        <w:t xml:space="preserve">Os doentes tratados com 160/80 mg de Humira </w:t>
      </w:r>
      <w:r w:rsidRPr="00CC4B51">
        <w:rPr>
          <w:rFonts w:eastAsia="Arial Unicode MS"/>
          <w:i/>
          <w:sz w:val="22"/>
          <w:szCs w:val="22"/>
        </w:rPr>
        <w:t>versus</w:t>
      </w:r>
      <w:r w:rsidRPr="00CC4B51">
        <w:rPr>
          <w:rFonts w:eastAsia="Arial Unicode MS"/>
          <w:sz w:val="22"/>
          <w:szCs w:val="22"/>
        </w:rPr>
        <w:t xml:space="preserve"> placebo atingiram a remissão clínica na Semana 8, de forma estatisticamente significativa, apresentando percentagens mais elevadas no estudo UC-I (18</w:t>
      </w:r>
      <w:r w:rsidR="009343EF">
        <w:rPr>
          <w:rFonts w:eastAsia="Arial Unicode MS"/>
          <w:sz w:val="22"/>
          <w:szCs w:val="22"/>
        </w:rPr>
        <w:t>%</w:t>
      </w:r>
      <w:r w:rsidRPr="00CC4B51">
        <w:rPr>
          <w:rFonts w:eastAsia="Arial Unicode MS"/>
          <w:sz w:val="22"/>
          <w:szCs w:val="22"/>
        </w:rPr>
        <w:t xml:space="preserve"> </w:t>
      </w:r>
      <w:r w:rsidRPr="00CC4B51">
        <w:rPr>
          <w:rFonts w:eastAsia="Arial Unicode MS"/>
          <w:i/>
          <w:sz w:val="22"/>
          <w:szCs w:val="22"/>
        </w:rPr>
        <w:t xml:space="preserve">versus </w:t>
      </w:r>
      <w:r w:rsidRPr="00CC4B51">
        <w:rPr>
          <w:rFonts w:eastAsia="Arial Unicode MS"/>
          <w:sz w:val="22"/>
          <w:szCs w:val="22"/>
        </w:rPr>
        <w:t>9</w:t>
      </w:r>
      <w:r w:rsidR="009343EF">
        <w:rPr>
          <w:rFonts w:eastAsia="Arial Unicode MS"/>
          <w:sz w:val="22"/>
          <w:szCs w:val="22"/>
        </w:rPr>
        <w:t>%</w:t>
      </w:r>
      <w:r w:rsidRPr="00CC4B51">
        <w:rPr>
          <w:rFonts w:eastAsia="Arial Unicode MS"/>
          <w:sz w:val="22"/>
          <w:szCs w:val="22"/>
        </w:rPr>
        <w:t xml:space="preserve"> respetivamente, p=0,031) e no estudo UC-II (17</w:t>
      </w:r>
      <w:r w:rsidR="009343EF">
        <w:rPr>
          <w:rFonts w:eastAsia="Arial Unicode MS"/>
          <w:sz w:val="22"/>
          <w:szCs w:val="22"/>
        </w:rPr>
        <w:t>%</w:t>
      </w:r>
      <w:r w:rsidRPr="00CC4B51">
        <w:rPr>
          <w:rFonts w:eastAsia="Arial Unicode MS"/>
          <w:sz w:val="22"/>
          <w:szCs w:val="22"/>
        </w:rPr>
        <w:t xml:space="preserve"> </w:t>
      </w:r>
      <w:r w:rsidRPr="00CC4B51">
        <w:rPr>
          <w:rFonts w:eastAsia="Arial Unicode MS"/>
          <w:i/>
          <w:sz w:val="22"/>
          <w:szCs w:val="22"/>
        </w:rPr>
        <w:t xml:space="preserve">versus </w:t>
      </w:r>
      <w:r w:rsidRPr="00CC4B51">
        <w:rPr>
          <w:rFonts w:eastAsia="Arial Unicode MS"/>
          <w:sz w:val="22"/>
          <w:szCs w:val="22"/>
        </w:rPr>
        <w:t>9</w:t>
      </w:r>
      <w:r w:rsidR="009343EF">
        <w:rPr>
          <w:rFonts w:eastAsia="Arial Unicode MS"/>
          <w:sz w:val="22"/>
          <w:szCs w:val="22"/>
        </w:rPr>
        <w:t>%</w:t>
      </w:r>
      <w:r w:rsidRPr="00CC4B51">
        <w:rPr>
          <w:rFonts w:eastAsia="Arial Unicode MS"/>
          <w:sz w:val="22"/>
          <w:szCs w:val="22"/>
        </w:rPr>
        <w:t xml:space="preserve"> respetivamente, p=0,019). No estudo UC-II, entre os doentes que receberam Humira e que atingiram a remissão na Semana 8, 21/41 (51</w:t>
      </w:r>
      <w:r w:rsidR="009343EF">
        <w:rPr>
          <w:rFonts w:eastAsia="Arial Unicode MS"/>
          <w:sz w:val="22"/>
          <w:szCs w:val="22"/>
        </w:rPr>
        <w:t>%</w:t>
      </w:r>
      <w:r w:rsidRPr="00CC4B51">
        <w:rPr>
          <w:rFonts w:eastAsia="Arial Unicode MS"/>
          <w:sz w:val="22"/>
          <w:szCs w:val="22"/>
        </w:rPr>
        <w:t>) atingiram a remissão na Semana 52.</w:t>
      </w:r>
    </w:p>
    <w:p w14:paraId="58234C22" w14:textId="77777777" w:rsidR="004462A0" w:rsidRPr="00CC4B51" w:rsidRDefault="004462A0" w:rsidP="004462A0">
      <w:pPr>
        <w:rPr>
          <w:rFonts w:eastAsia="Arial Unicode MS"/>
          <w:sz w:val="22"/>
          <w:szCs w:val="22"/>
        </w:rPr>
      </w:pPr>
    </w:p>
    <w:p w14:paraId="5D2C9E60" w14:textId="77777777" w:rsidR="004462A0" w:rsidRPr="00CC4B51" w:rsidRDefault="00615769" w:rsidP="004462A0">
      <w:pPr>
        <w:jc w:val="both"/>
        <w:rPr>
          <w:sz w:val="22"/>
          <w:szCs w:val="22"/>
        </w:rPr>
      </w:pPr>
      <w:r w:rsidRPr="00CC4B51">
        <w:rPr>
          <w:sz w:val="22"/>
          <w:szCs w:val="22"/>
        </w:rPr>
        <w:t xml:space="preserve">Os resultados da população global do estudo UC-II estão apresentados na Tabela </w:t>
      </w:r>
      <w:r w:rsidR="00835AFF">
        <w:rPr>
          <w:sz w:val="22"/>
          <w:szCs w:val="22"/>
        </w:rPr>
        <w:t>1</w:t>
      </w:r>
      <w:r w:rsidR="00D94630">
        <w:rPr>
          <w:sz w:val="22"/>
          <w:szCs w:val="22"/>
        </w:rPr>
        <w:t>6</w:t>
      </w:r>
      <w:r w:rsidRPr="00CC4B51">
        <w:rPr>
          <w:sz w:val="22"/>
          <w:szCs w:val="22"/>
        </w:rPr>
        <w:t>.</w:t>
      </w:r>
    </w:p>
    <w:p w14:paraId="13C4A38B" w14:textId="77777777" w:rsidR="004462A0" w:rsidRPr="00CC4B51" w:rsidRDefault="004462A0" w:rsidP="004462A0">
      <w:pPr>
        <w:jc w:val="both"/>
        <w:rPr>
          <w:sz w:val="22"/>
          <w:szCs w:val="22"/>
        </w:rPr>
      </w:pPr>
    </w:p>
    <w:p w14:paraId="79C2B6BA" w14:textId="77777777" w:rsidR="004462A0" w:rsidRPr="00CC4B51" w:rsidRDefault="00615769" w:rsidP="004462A0">
      <w:pPr>
        <w:keepNext/>
        <w:keepLines/>
        <w:tabs>
          <w:tab w:val="left" w:pos="360"/>
        </w:tabs>
        <w:suppressAutoHyphens/>
        <w:jc w:val="center"/>
        <w:rPr>
          <w:b/>
          <w:bCs/>
          <w:sz w:val="22"/>
          <w:szCs w:val="22"/>
        </w:rPr>
      </w:pPr>
      <w:r w:rsidRPr="00CC4B51">
        <w:rPr>
          <w:b/>
          <w:bCs/>
          <w:sz w:val="22"/>
          <w:szCs w:val="22"/>
        </w:rPr>
        <w:t xml:space="preserve">Tabela </w:t>
      </w:r>
      <w:r w:rsidR="00835AFF">
        <w:rPr>
          <w:b/>
          <w:bCs/>
          <w:sz w:val="22"/>
          <w:szCs w:val="22"/>
        </w:rPr>
        <w:t>1</w:t>
      </w:r>
      <w:r w:rsidR="00D94630">
        <w:rPr>
          <w:b/>
          <w:bCs/>
          <w:sz w:val="22"/>
          <w:szCs w:val="22"/>
        </w:rPr>
        <w:t>6</w:t>
      </w:r>
    </w:p>
    <w:p w14:paraId="3DE8F65B" w14:textId="77777777" w:rsidR="004462A0" w:rsidRPr="00CC4B51" w:rsidRDefault="00615769" w:rsidP="004462A0">
      <w:pPr>
        <w:keepNext/>
        <w:keepLines/>
        <w:tabs>
          <w:tab w:val="left" w:pos="360"/>
        </w:tabs>
        <w:suppressAutoHyphens/>
        <w:jc w:val="center"/>
        <w:rPr>
          <w:b/>
          <w:bCs/>
          <w:sz w:val="22"/>
          <w:szCs w:val="22"/>
        </w:rPr>
      </w:pPr>
      <w:r w:rsidRPr="00CC4B51">
        <w:rPr>
          <w:b/>
          <w:bCs/>
          <w:sz w:val="22"/>
          <w:szCs w:val="22"/>
        </w:rPr>
        <w:t>Resposta Clínica, Remissão e Cicatrização da Mucosa no Estudo UC-II</w:t>
      </w:r>
    </w:p>
    <w:p w14:paraId="2D3FD368" w14:textId="77777777" w:rsidR="004462A0" w:rsidRPr="00CC4B51" w:rsidRDefault="00615769" w:rsidP="004462A0">
      <w:pPr>
        <w:keepNext/>
        <w:keepLines/>
        <w:tabs>
          <w:tab w:val="left" w:pos="360"/>
        </w:tabs>
        <w:suppressAutoHyphens/>
        <w:jc w:val="center"/>
        <w:rPr>
          <w:b/>
          <w:bCs/>
          <w:sz w:val="22"/>
          <w:szCs w:val="22"/>
        </w:rPr>
      </w:pPr>
      <w:r w:rsidRPr="00CC4B51">
        <w:rPr>
          <w:b/>
          <w:bCs/>
          <w:sz w:val="22"/>
          <w:szCs w:val="22"/>
        </w:rPr>
        <w:t>(Percentagem de Doentes)</w:t>
      </w:r>
    </w:p>
    <w:p w14:paraId="049E082A" w14:textId="77777777" w:rsidR="004462A0" w:rsidRPr="00CC4B51" w:rsidRDefault="004462A0" w:rsidP="004462A0">
      <w:pPr>
        <w:keepNext/>
        <w:keepLines/>
        <w:tabs>
          <w:tab w:val="left" w:pos="360"/>
        </w:tabs>
        <w:suppressAutoHyphens/>
        <w:spacing w:before="40" w:after="40"/>
        <w:jc w:val="center"/>
        <w:rPr>
          <w:b/>
          <w:bCs/>
          <w:sz w:val="22"/>
          <w:szCs w:val="22"/>
        </w:rPr>
      </w:pPr>
    </w:p>
    <w:tbl>
      <w:tblPr>
        <w:tblW w:w="4375" w:type="pct"/>
        <w:jc w:val="center"/>
        <w:tblCellMar>
          <w:top w:w="15" w:type="dxa"/>
          <w:left w:w="15" w:type="dxa"/>
          <w:bottom w:w="15" w:type="dxa"/>
          <w:right w:w="15" w:type="dxa"/>
        </w:tblCellMar>
        <w:tblLook w:val="0000" w:firstRow="0" w:lastRow="0" w:firstColumn="0" w:lastColumn="0" w:noHBand="0" w:noVBand="0"/>
      </w:tblPr>
      <w:tblGrid>
        <w:gridCol w:w="4725"/>
        <w:gridCol w:w="1006"/>
        <w:gridCol w:w="2206"/>
      </w:tblGrid>
      <w:tr w:rsidR="00A7162A" w14:paraId="664D3942" w14:textId="77777777" w:rsidTr="00F675CF">
        <w:trPr>
          <w:jc w:val="center"/>
        </w:trPr>
        <w:tc>
          <w:tcPr>
            <w:tcW w:w="2976" w:type="pct"/>
            <w:tcBorders>
              <w:top w:val="single" w:sz="6" w:space="0" w:color="000000"/>
              <w:left w:val="nil"/>
              <w:bottom w:val="single" w:sz="6" w:space="0" w:color="000000"/>
              <w:right w:val="nil"/>
            </w:tcBorders>
          </w:tcPr>
          <w:p w14:paraId="3DABDC65" w14:textId="77777777" w:rsidR="004462A0" w:rsidRPr="00CC4B51" w:rsidRDefault="004462A0" w:rsidP="00F675CF">
            <w:pPr>
              <w:keepNext/>
              <w:jc w:val="center"/>
              <w:rPr>
                <w:rFonts w:eastAsia="Arial Unicode MS"/>
              </w:rPr>
            </w:pPr>
          </w:p>
        </w:tc>
        <w:tc>
          <w:tcPr>
            <w:tcW w:w="634" w:type="pct"/>
            <w:tcBorders>
              <w:top w:val="single" w:sz="6" w:space="0" w:color="000000"/>
              <w:left w:val="nil"/>
              <w:bottom w:val="single" w:sz="6" w:space="0" w:color="000000"/>
              <w:right w:val="nil"/>
            </w:tcBorders>
          </w:tcPr>
          <w:p w14:paraId="0532DDD2" w14:textId="77777777" w:rsidR="004462A0" w:rsidRPr="00CC4B51" w:rsidRDefault="00615769" w:rsidP="00F675CF">
            <w:pPr>
              <w:keepNext/>
              <w:jc w:val="center"/>
              <w:rPr>
                <w:rFonts w:eastAsia="Arial Unicode MS"/>
              </w:rPr>
            </w:pPr>
            <w:r w:rsidRPr="00CC4B51">
              <w:rPr>
                <w:rFonts w:eastAsia="Arial Unicode MS"/>
                <w:b/>
                <w:bCs/>
                <w:sz w:val="22"/>
                <w:szCs w:val="22"/>
              </w:rPr>
              <w:t>Placebo</w:t>
            </w:r>
            <w:r w:rsidRPr="00CC4B51">
              <w:rPr>
                <w:rFonts w:eastAsia="Arial Unicode MS"/>
                <w:sz w:val="22"/>
                <w:szCs w:val="22"/>
              </w:rPr>
              <w:br/>
            </w:r>
          </w:p>
        </w:tc>
        <w:tc>
          <w:tcPr>
            <w:tcW w:w="1391" w:type="pct"/>
            <w:tcBorders>
              <w:top w:val="single" w:sz="6" w:space="0" w:color="000000"/>
              <w:left w:val="nil"/>
              <w:bottom w:val="single" w:sz="6" w:space="0" w:color="000000"/>
              <w:right w:val="nil"/>
            </w:tcBorders>
          </w:tcPr>
          <w:p w14:paraId="0B746D93" w14:textId="77777777" w:rsidR="004462A0" w:rsidRPr="00CC4B51" w:rsidRDefault="00615769" w:rsidP="00F675CF">
            <w:pPr>
              <w:keepNext/>
              <w:jc w:val="center"/>
              <w:rPr>
                <w:rFonts w:eastAsia="Arial Unicode MS"/>
                <w:b/>
                <w:bCs/>
              </w:rPr>
            </w:pPr>
            <w:r w:rsidRPr="00CC4B51">
              <w:rPr>
                <w:rFonts w:eastAsia="Arial Unicode MS"/>
                <w:b/>
                <w:bCs/>
                <w:sz w:val="22"/>
                <w:szCs w:val="22"/>
              </w:rPr>
              <w:t xml:space="preserve">Humira 40 mg </w:t>
            </w:r>
          </w:p>
          <w:p w14:paraId="0C9C614B" w14:textId="77777777" w:rsidR="004462A0" w:rsidRPr="00CC4B51" w:rsidRDefault="00615769" w:rsidP="00F675CF">
            <w:pPr>
              <w:keepNext/>
              <w:jc w:val="center"/>
              <w:rPr>
                <w:rFonts w:eastAsia="Arial Unicode MS"/>
              </w:rPr>
            </w:pPr>
            <w:r w:rsidRPr="00CC4B51">
              <w:rPr>
                <w:rFonts w:eastAsia="Arial Unicode MS"/>
                <w:b/>
                <w:bCs/>
                <w:sz w:val="22"/>
                <w:szCs w:val="22"/>
              </w:rPr>
              <w:t>em semanas alternadas</w:t>
            </w:r>
          </w:p>
        </w:tc>
      </w:tr>
      <w:tr w:rsidR="00A7162A" w14:paraId="1B1DA090" w14:textId="77777777" w:rsidTr="00F675CF">
        <w:trPr>
          <w:jc w:val="center"/>
        </w:trPr>
        <w:tc>
          <w:tcPr>
            <w:tcW w:w="2976" w:type="pct"/>
            <w:tcBorders>
              <w:top w:val="single" w:sz="6" w:space="0" w:color="000000"/>
              <w:left w:val="nil"/>
              <w:bottom w:val="single" w:sz="6" w:space="0" w:color="000000"/>
              <w:right w:val="nil"/>
            </w:tcBorders>
          </w:tcPr>
          <w:p w14:paraId="3B9A8FF7" w14:textId="77777777" w:rsidR="004462A0" w:rsidRPr="00CC4B51" w:rsidRDefault="00615769" w:rsidP="00F675CF">
            <w:pPr>
              <w:keepNext/>
              <w:rPr>
                <w:rFonts w:eastAsia="Arial Unicode MS"/>
              </w:rPr>
            </w:pPr>
            <w:r w:rsidRPr="00CC4B51">
              <w:rPr>
                <w:rFonts w:eastAsia="Arial Unicode MS"/>
                <w:sz w:val="22"/>
                <w:szCs w:val="22"/>
              </w:rPr>
              <w:t>Semana 52</w:t>
            </w:r>
          </w:p>
        </w:tc>
        <w:tc>
          <w:tcPr>
            <w:tcW w:w="634" w:type="pct"/>
            <w:tcBorders>
              <w:top w:val="single" w:sz="6" w:space="0" w:color="000000"/>
              <w:left w:val="nil"/>
              <w:bottom w:val="single" w:sz="6" w:space="0" w:color="000000"/>
              <w:right w:val="nil"/>
            </w:tcBorders>
          </w:tcPr>
          <w:p w14:paraId="3391BB4A" w14:textId="77777777" w:rsidR="004462A0" w:rsidRPr="00CC4B51" w:rsidRDefault="00615769" w:rsidP="00F675CF">
            <w:pPr>
              <w:keepNext/>
              <w:jc w:val="center"/>
              <w:rPr>
                <w:rFonts w:eastAsia="Arial Unicode MS"/>
                <w:b/>
                <w:bCs/>
              </w:rPr>
            </w:pPr>
            <w:r w:rsidRPr="00CC4B51">
              <w:rPr>
                <w:rFonts w:eastAsia="Arial Unicode MS"/>
                <w:b/>
                <w:bCs/>
                <w:sz w:val="22"/>
                <w:szCs w:val="22"/>
              </w:rPr>
              <w:t>N=246</w:t>
            </w:r>
          </w:p>
        </w:tc>
        <w:tc>
          <w:tcPr>
            <w:tcW w:w="1391" w:type="pct"/>
            <w:tcBorders>
              <w:top w:val="single" w:sz="6" w:space="0" w:color="000000"/>
              <w:left w:val="nil"/>
              <w:bottom w:val="single" w:sz="6" w:space="0" w:color="000000"/>
              <w:right w:val="nil"/>
            </w:tcBorders>
          </w:tcPr>
          <w:p w14:paraId="78CAE770" w14:textId="77777777" w:rsidR="004462A0" w:rsidRPr="00CC4B51" w:rsidRDefault="00615769" w:rsidP="00F675CF">
            <w:pPr>
              <w:keepNext/>
              <w:jc w:val="center"/>
              <w:rPr>
                <w:rFonts w:eastAsia="Arial Unicode MS"/>
                <w:b/>
                <w:bCs/>
              </w:rPr>
            </w:pPr>
            <w:r w:rsidRPr="00CC4B51">
              <w:rPr>
                <w:rFonts w:eastAsia="Arial Unicode MS"/>
                <w:b/>
                <w:bCs/>
                <w:sz w:val="22"/>
                <w:szCs w:val="22"/>
              </w:rPr>
              <w:t>N=248</w:t>
            </w:r>
          </w:p>
        </w:tc>
      </w:tr>
      <w:tr w:rsidR="00A7162A" w14:paraId="5AA82AD7" w14:textId="77777777" w:rsidTr="00F675CF">
        <w:trPr>
          <w:jc w:val="center"/>
        </w:trPr>
        <w:tc>
          <w:tcPr>
            <w:tcW w:w="2976" w:type="pct"/>
            <w:tcBorders>
              <w:top w:val="nil"/>
              <w:left w:val="nil"/>
              <w:right w:val="nil"/>
            </w:tcBorders>
          </w:tcPr>
          <w:p w14:paraId="5AA564F1" w14:textId="77777777" w:rsidR="004462A0" w:rsidRPr="00CC4B51" w:rsidRDefault="00615769" w:rsidP="00F675CF">
            <w:pPr>
              <w:keepNext/>
              <w:rPr>
                <w:rFonts w:eastAsia="Arial Unicode MS"/>
              </w:rPr>
            </w:pPr>
            <w:r w:rsidRPr="00CC4B51">
              <w:rPr>
                <w:rFonts w:eastAsia="Arial Unicode MS"/>
                <w:sz w:val="22"/>
                <w:szCs w:val="22"/>
              </w:rPr>
              <w:t xml:space="preserve">  Resposta Clínica </w:t>
            </w:r>
          </w:p>
        </w:tc>
        <w:tc>
          <w:tcPr>
            <w:tcW w:w="634" w:type="pct"/>
            <w:tcBorders>
              <w:top w:val="nil"/>
              <w:left w:val="nil"/>
              <w:right w:val="nil"/>
            </w:tcBorders>
          </w:tcPr>
          <w:p w14:paraId="161E46F9" w14:textId="77777777" w:rsidR="004462A0" w:rsidRPr="00CC4B51" w:rsidRDefault="00615769" w:rsidP="00F675CF">
            <w:pPr>
              <w:keepNext/>
              <w:jc w:val="center"/>
              <w:rPr>
                <w:rFonts w:eastAsia="Arial Unicode MS"/>
              </w:rPr>
            </w:pPr>
            <w:r w:rsidRPr="00CC4B51">
              <w:rPr>
                <w:rFonts w:eastAsia="Arial Unicode MS"/>
                <w:sz w:val="22"/>
                <w:szCs w:val="22"/>
              </w:rPr>
              <w:t>18</w:t>
            </w:r>
            <w:r w:rsidR="009343EF">
              <w:rPr>
                <w:rFonts w:eastAsia="Arial Unicode MS"/>
                <w:sz w:val="22"/>
                <w:szCs w:val="22"/>
              </w:rPr>
              <w:t>%</w:t>
            </w:r>
            <w:r w:rsidRPr="00CC4B51">
              <w:rPr>
                <w:rFonts w:eastAsia="Arial Unicode MS"/>
                <w:sz w:val="22"/>
                <w:szCs w:val="22"/>
              </w:rPr>
              <w:t xml:space="preserve"> </w:t>
            </w:r>
          </w:p>
        </w:tc>
        <w:tc>
          <w:tcPr>
            <w:tcW w:w="1391" w:type="pct"/>
            <w:tcBorders>
              <w:top w:val="nil"/>
              <w:left w:val="nil"/>
              <w:right w:val="nil"/>
            </w:tcBorders>
          </w:tcPr>
          <w:p w14:paraId="229574A2" w14:textId="77777777" w:rsidR="004462A0" w:rsidRPr="00CC4B51" w:rsidRDefault="00615769" w:rsidP="00F675CF">
            <w:pPr>
              <w:keepNext/>
              <w:jc w:val="center"/>
              <w:rPr>
                <w:rFonts w:eastAsia="Arial Unicode MS"/>
              </w:rPr>
            </w:pPr>
            <w:r w:rsidRPr="00CC4B51">
              <w:rPr>
                <w:rFonts w:eastAsia="Arial Unicode MS"/>
                <w:sz w:val="22"/>
                <w:szCs w:val="22"/>
              </w:rPr>
              <w:t xml:space="preserve">   30</w:t>
            </w:r>
            <w:r w:rsidR="009343EF">
              <w:rPr>
                <w:rFonts w:eastAsia="Arial Unicode MS"/>
                <w:sz w:val="22"/>
                <w:szCs w:val="22"/>
              </w:rPr>
              <w:t>%</w:t>
            </w:r>
            <w:r w:rsidRPr="00CC4B51">
              <w:rPr>
                <w:rFonts w:eastAsia="Arial Unicode MS"/>
                <w:sz w:val="22"/>
                <w:szCs w:val="22"/>
              </w:rPr>
              <w:t>*</w:t>
            </w:r>
          </w:p>
        </w:tc>
      </w:tr>
      <w:tr w:rsidR="00A7162A" w14:paraId="6F35675C" w14:textId="77777777" w:rsidTr="00F675CF">
        <w:trPr>
          <w:jc w:val="center"/>
        </w:trPr>
        <w:tc>
          <w:tcPr>
            <w:tcW w:w="2976" w:type="pct"/>
            <w:tcBorders>
              <w:top w:val="nil"/>
              <w:left w:val="nil"/>
              <w:right w:val="nil"/>
            </w:tcBorders>
          </w:tcPr>
          <w:p w14:paraId="00805898" w14:textId="77777777" w:rsidR="004462A0" w:rsidRPr="00CC4B51" w:rsidRDefault="00615769" w:rsidP="00F675CF">
            <w:pPr>
              <w:keepNext/>
              <w:rPr>
                <w:rFonts w:eastAsia="Arial Unicode MS"/>
              </w:rPr>
            </w:pPr>
            <w:r w:rsidRPr="00CC4B51">
              <w:rPr>
                <w:rFonts w:eastAsia="Arial Unicode MS"/>
                <w:sz w:val="22"/>
                <w:szCs w:val="22"/>
              </w:rPr>
              <w:t xml:space="preserve">  Remissão Clínica</w:t>
            </w:r>
          </w:p>
        </w:tc>
        <w:tc>
          <w:tcPr>
            <w:tcW w:w="634" w:type="pct"/>
            <w:tcBorders>
              <w:top w:val="nil"/>
              <w:left w:val="nil"/>
              <w:right w:val="nil"/>
            </w:tcBorders>
          </w:tcPr>
          <w:p w14:paraId="56D37491" w14:textId="77777777" w:rsidR="004462A0" w:rsidRPr="00CC4B51" w:rsidRDefault="00615769" w:rsidP="00F675CF">
            <w:pPr>
              <w:keepNext/>
              <w:jc w:val="center"/>
              <w:rPr>
                <w:rFonts w:eastAsia="Arial Unicode MS"/>
              </w:rPr>
            </w:pPr>
            <w:r w:rsidRPr="00CC4B51">
              <w:rPr>
                <w:rFonts w:eastAsia="Arial Unicode MS"/>
                <w:sz w:val="22"/>
                <w:szCs w:val="22"/>
              </w:rPr>
              <w:t>9</w:t>
            </w:r>
            <w:r w:rsidR="009343EF">
              <w:rPr>
                <w:rFonts w:eastAsia="Arial Unicode MS"/>
                <w:sz w:val="22"/>
                <w:szCs w:val="22"/>
              </w:rPr>
              <w:t>%</w:t>
            </w:r>
          </w:p>
        </w:tc>
        <w:tc>
          <w:tcPr>
            <w:tcW w:w="1391" w:type="pct"/>
            <w:tcBorders>
              <w:top w:val="nil"/>
              <w:left w:val="nil"/>
              <w:right w:val="nil"/>
            </w:tcBorders>
          </w:tcPr>
          <w:p w14:paraId="092BC51C" w14:textId="77777777" w:rsidR="004462A0" w:rsidRPr="00CC4B51" w:rsidRDefault="00615769" w:rsidP="00F675CF">
            <w:pPr>
              <w:keepNext/>
              <w:jc w:val="center"/>
              <w:rPr>
                <w:rFonts w:eastAsia="Arial Unicode MS"/>
              </w:rPr>
            </w:pPr>
            <w:r w:rsidRPr="00CC4B51">
              <w:rPr>
                <w:rFonts w:eastAsia="Arial Unicode MS"/>
                <w:sz w:val="22"/>
                <w:szCs w:val="22"/>
              </w:rPr>
              <w:t xml:space="preserve">   17</w:t>
            </w:r>
            <w:r w:rsidR="009343EF">
              <w:rPr>
                <w:rFonts w:eastAsia="Arial Unicode MS"/>
                <w:sz w:val="22"/>
                <w:szCs w:val="22"/>
              </w:rPr>
              <w:t>%</w:t>
            </w:r>
            <w:r w:rsidRPr="00CC4B51">
              <w:rPr>
                <w:rFonts w:eastAsia="Arial Unicode MS"/>
                <w:sz w:val="22"/>
                <w:szCs w:val="22"/>
              </w:rPr>
              <w:t>*</w:t>
            </w:r>
          </w:p>
        </w:tc>
      </w:tr>
      <w:tr w:rsidR="00A7162A" w14:paraId="39DB0A9A" w14:textId="77777777" w:rsidTr="00F675CF">
        <w:trPr>
          <w:jc w:val="center"/>
        </w:trPr>
        <w:tc>
          <w:tcPr>
            <w:tcW w:w="2976" w:type="pct"/>
            <w:tcBorders>
              <w:top w:val="nil"/>
              <w:left w:val="nil"/>
              <w:right w:val="nil"/>
            </w:tcBorders>
          </w:tcPr>
          <w:p w14:paraId="6ECB2A5B" w14:textId="77777777" w:rsidR="004462A0" w:rsidRPr="00CC4B51" w:rsidRDefault="00615769" w:rsidP="00F675CF">
            <w:pPr>
              <w:keepNext/>
              <w:rPr>
                <w:rFonts w:eastAsia="Arial Unicode MS"/>
              </w:rPr>
            </w:pPr>
            <w:r w:rsidRPr="00CC4B51">
              <w:rPr>
                <w:rFonts w:eastAsia="Arial Unicode MS"/>
                <w:sz w:val="22"/>
                <w:szCs w:val="22"/>
              </w:rPr>
              <w:t xml:space="preserve">  Cicatrização da Mucosa </w:t>
            </w:r>
          </w:p>
        </w:tc>
        <w:tc>
          <w:tcPr>
            <w:tcW w:w="634" w:type="pct"/>
            <w:tcBorders>
              <w:top w:val="nil"/>
              <w:left w:val="nil"/>
              <w:right w:val="nil"/>
            </w:tcBorders>
          </w:tcPr>
          <w:p w14:paraId="0324E1AB" w14:textId="77777777" w:rsidR="004462A0" w:rsidRPr="00CC4B51" w:rsidRDefault="00615769" w:rsidP="00F675CF">
            <w:pPr>
              <w:keepNext/>
              <w:jc w:val="center"/>
              <w:rPr>
                <w:rFonts w:eastAsia="Arial Unicode MS"/>
              </w:rPr>
            </w:pPr>
            <w:r w:rsidRPr="00CC4B51">
              <w:rPr>
                <w:rFonts w:eastAsia="Arial Unicode MS"/>
                <w:sz w:val="22"/>
                <w:szCs w:val="22"/>
              </w:rPr>
              <w:t>15</w:t>
            </w:r>
            <w:r w:rsidR="009343EF">
              <w:rPr>
                <w:rFonts w:eastAsia="Arial Unicode MS"/>
                <w:sz w:val="22"/>
                <w:szCs w:val="22"/>
              </w:rPr>
              <w:t>%</w:t>
            </w:r>
          </w:p>
        </w:tc>
        <w:tc>
          <w:tcPr>
            <w:tcW w:w="1391" w:type="pct"/>
            <w:tcBorders>
              <w:top w:val="nil"/>
              <w:left w:val="nil"/>
              <w:right w:val="nil"/>
            </w:tcBorders>
          </w:tcPr>
          <w:p w14:paraId="38F2134C" w14:textId="77777777" w:rsidR="004462A0" w:rsidRPr="00CC4B51" w:rsidRDefault="00615769" w:rsidP="00F675CF">
            <w:pPr>
              <w:keepNext/>
              <w:jc w:val="center"/>
              <w:rPr>
                <w:rFonts w:eastAsia="Arial Unicode MS"/>
              </w:rPr>
            </w:pPr>
            <w:r w:rsidRPr="00CC4B51">
              <w:rPr>
                <w:rFonts w:eastAsia="Arial Unicode MS"/>
                <w:sz w:val="22"/>
                <w:szCs w:val="22"/>
              </w:rPr>
              <w:t xml:space="preserve">   25</w:t>
            </w:r>
            <w:r w:rsidR="009343EF">
              <w:rPr>
                <w:rFonts w:eastAsia="Arial Unicode MS"/>
                <w:sz w:val="22"/>
                <w:szCs w:val="22"/>
              </w:rPr>
              <w:t>%</w:t>
            </w:r>
            <w:r w:rsidRPr="00CC4B51">
              <w:rPr>
                <w:rFonts w:eastAsia="Arial Unicode MS"/>
                <w:sz w:val="22"/>
                <w:szCs w:val="22"/>
              </w:rPr>
              <w:t>*</w:t>
            </w:r>
          </w:p>
        </w:tc>
      </w:tr>
      <w:tr w:rsidR="00A7162A" w14:paraId="4F6C0CC9" w14:textId="77777777" w:rsidTr="00F675CF">
        <w:trPr>
          <w:jc w:val="center"/>
        </w:trPr>
        <w:tc>
          <w:tcPr>
            <w:tcW w:w="2976" w:type="pct"/>
            <w:tcBorders>
              <w:top w:val="nil"/>
              <w:left w:val="nil"/>
              <w:right w:val="nil"/>
            </w:tcBorders>
          </w:tcPr>
          <w:p w14:paraId="23328512" w14:textId="77777777" w:rsidR="004462A0" w:rsidRPr="00CC4B51" w:rsidRDefault="00615769" w:rsidP="00F675CF">
            <w:pPr>
              <w:keepNext/>
              <w:rPr>
                <w:rFonts w:eastAsia="Arial Unicode MS"/>
              </w:rPr>
            </w:pPr>
            <w:r w:rsidRPr="00CC4B51">
              <w:rPr>
                <w:rFonts w:eastAsia="Arial Unicode MS"/>
                <w:sz w:val="22"/>
                <w:szCs w:val="22"/>
              </w:rPr>
              <w:t xml:space="preserve">  Remissão sem esteroides </w:t>
            </w:r>
            <w:r w:rsidR="00384E8F">
              <w:rPr>
                <w:rFonts w:eastAsia="Arial Unicode MS"/>
                <w:sz w:val="22"/>
                <w:szCs w:val="22"/>
              </w:rPr>
              <w:t>por</w:t>
            </w:r>
            <w:r w:rsidR="00384E8F" w:rsidRPr="00CC4B51">
              <w:rPr>
                <w:rFonts w:eastAsia="Arial Unicode MS"/>
                <w:sz w:val="22"/>
                <w:szCs w:val="22"/>
              </w:rPr>
              <w:t xml:space="preserve"> </w:t>
            </w:r>
            <w:r w:rsidRPr="00CC4B51">
              <w:rPr>
                <w:rFonts w:eastAsia="Arial Unicode MS"/>
                <w:sz w:val="22"/>
                <w:szCs w:val="22"/>
              </w:rPr>
              <w:t>≥ 90 dias</w:t>
            </w:r>
            <w:r w:rsidRPr="00CC4B51">
              <w:rPr>
                <w:sz w:val="22"/>
                <w:szCs w:val="22"/>
                <w:vertAlign w:val="superscript"/>
              </w:rPr>
              <w:t xml:space="preserve"> a</w:t>
            </w:r>
            <w:r w:rsidRPr="00CC4B51">
              <w:rPr>
                <w:rFonts w:eastAsia="Arial Unicode MS"/>
                <w:sz w:val="22"/>
                <w:szCs w:val="22"/>
              </w:rPr>
              <w:t xml:space="preserve"> </w:t>
            </w:r>
          </w:p>
        </w:tc>
        <w:tc>
          <w:tcPr>
            <w:tcW w:w="634" w:type="pct"/>
            <w:tcBorders>
              <w:top w:val="nil"/>
              <w:left w:val="nil"/>
              <w:right w:val="nil"/>
            </w:tcBorders>
          </w:tcPr>
          <w:p w14:paraId="6427D62F" w14:textId="77777777" w:rsidR="004462A0" w:rsidRPr="00CC4B51" w:rsidRDefault="00615769" w:rsidP="00F675CF">
            <w:pPr>
              <w:keepNext/>
              <w:jc w:val="center"/>
              <w:rPr>
                <w:rFonts w:eastAsia="Arial Unicode MS"/>
              </w:rPr>
            </w:pPr>
            <w:r w:rsidRPr="00CC4B51">
              <w:rPr>
                <w:rFonts w:eastAsia="Arial Unicode MS"/>
                <w:sz w:val="22"/>
                <w:szCs w:val="22"/>
              </w:rPr>
              <w:t>6</w:t>
            </w:r>
            <w:r w:rsidR="009343EF">
              <w:rPr>
                <w:rFonts w:eastAsia="Arial Unicode MS"/>
                <w:sz w:val="22"/>
                <w:szCs w:val="22"/>
              </w:rPr>
              <w:t>%</w:t>
            </w:r>
            <w:r w:rsidRPr="00CC4B51">
              <w:rPr>
                <w:rFonts w:eastAsia="Arial Unicode MS"/>
                <w:sz w:val="22"/>
                <w:szCs w:val="22"/>
              </w:rPr>
              <w:t xml:space="preserve"> </w:t>
            </w:r>
          </w:p>
          <w:p w14:paraId="6750B053" w14:textId="77777777" w:rsidR="004462A0" w:rsidRPr="00CC4B51" w:rsidRDefault="00615769" w:rsidP="00F675CF">
            <w:pPr>
              <w:keepNext/>
              <w:jc w:val="center"/>
              <w:rPr>
                <w:rFonts w:eastAsia="Arial Unicode MS"/>
              </w:rPr>
            </w:pPr>
            <w:r w:rsidRPr="00CC4B51">
              <w:rPr>
                <w:rFonts w:eastAsia="Arial Unicode MS"/>
                <w:sz w:val="22"/>
                <w:szCs w:val="22"/>
              </w:rPr>
              <w:t>(N=140)</w:t>
            </w:r>
          </w:p>
        </w:tc>
        <w:tc>
          <w:tcPr>
            <w:tcW w:w="1391" w:type="pct"/>
            <w:tcBorders>
              <w:top w:val="nil"/>
              <w:left w:val="nil"/>
              <w:right w:val="nil"/>
            </w:tcBorders>
          </w:tcPr>
          <w:p w14:paraId="1D894588" w14:textId="77777777" w:rsidR="004462A0" w:rsidRPr="00CC4B51" w:rsidRDefault="00615769" w:rsidP="00F675CF">
            <w:pPr>
              <w:keepNext/>
              <w:jc w:val="center"/>
              <w:rPr>
                <w:rFonts w:eastAsia="Arial Unicode MS"/>
              </w:rPr>
            </w:pPr>
            <w:r w:rsidRPr="00CC4B51">
              <w:rPr>
                <w:rFonts w:eastAsia="Arial Unicode MS"/>
                <w:sz w:val="22"/>
                <w:szCs w:val="22"/>
              </w:rPr>
              <w:t xml:space="preserve">     13</w:t>
            </w:r>
            <w:r w:rsidR="009343EF">
              <w:rPr>
                <w:rFonts w:eastAsia="Arial Unicode MS"/>
                <w:sz w:val="22"/>
                <w:szCs w:val="22"/>
              </w:rPr>
              <w:t>%</w:t>
            </w:r>
            <w:r w:rsidRPr="00CC4B51">
              <w:rPr>
                <w:rFonts w:eastAsia="Arial Unicode MS"/>
                <w:sz w:val="22"/>
                <w:szCs w:val="22"/>
              </w:rPr>
              <w:t xml:space="preserve"> *</w:t>
            </w:r>
          </w:p>
          <w:p w14:paraId="363D4308" w14:textId="77777777" w:rsidR="004462A0" w:rsidRPr="00CC4B51" w:rsidRDefault="00615769" w:rsidP="00F675CF">
            <w:pPr>
              <w:keepNext/>
              <w:jc w:val="center"/>
              <w:rPr>
                <w:rFonts w:eastAsia="Arial Unicode MS"/>
              </w:rPr>
            </w:pPr>
            <w:r w:rsidRPr="00CC4B51">
              <w:rPr>
                <w:rFonts w:eastAsia="Arial Unicode MS"/>
                <w:sz w:val="22"/>
                <w:szCs w:val="22"/>
              </w:rPr>
              <w:t>(N=150)</w:t>
            </w:r>
          </w:p>
          <w:p w14:paraId="67414E77" w14:textId="77777777" w:rsidR="004462A0" w:rsidRPr="00CC4B51" w:rsidRDefault="004462A0" w:rsidP="00F675CF">
            <w:pPr>
              <w:keepNext/>
              <w:rPr>
                <w:rFonts w:eastAsia="Arial Unicode MS"/>
              </w:rPr>
            </w:pPr>
          </w:p>
        </w:tc>
      </w:tr>
      <w:tr w:rsidR="00A7162A" w14:paraId="73855779" w14:textId="77777777" w:rsidTr="00F675CF">
        <w:trPr>
          <w:jc w:val="center"/>
        </w:trPr>
        <w:tc>
          <w:tcPr>
            <w:tcW w:w="2976" w:type="pct"/>
            <w:tcBorders>
              <w:top w:val="nil"/>
              <w:left w:val="nil"/>
              <w:right w:val="nil"/>
            </w:tcBorders>
          </w:tcPr>
          <w:p w14:paraId="7F3367E3" w14:textId="77777777" w:rsidR="004462A0" w:rsidRPr="00CC4B51" w:rsidRDefault="00615769" w:rsidP="00F675CF">
            <w:pPr>
              <w:keepNext/>
              <w:rPr>
                <w:rFonts w:eastAsia="Arial Unicode MS"/>
              </w:rPr>
            </w:pPr>
            <w:r w:rsidRPr="00CC4B51">
              <w:rPr>
                <w:rFonts w:eastAsia="Arial Unicode MS"/>
                <w:sz w:val="22"/>
                <w:szCs w:val="22"/>
              </w:rPr>
              <w:t>Semana 8 e 52</w:t>
            </w:r>
          </w:p>
        </w:tc>
        <w:tc>
          <w:tcPr>
            <w:tcW w:w="634" w:type="pct"/>
            <w:tcBorders>
              <w:top w:val="nil"/>
              <w:left w:val="nil"/>
              <w:right w:val="nil"/>
            </w:tcBorders>
          </w:tcPr>
          <w:p w14:paraId="72256CBE" w14:textId="77777777" w:rsidR="004462A0" w:rsidRPr="00CC4B51" w:rsidRDefault="004462A0" w:rsidP="00F675CF">
            <w:pPr>
              <w:keepNext/>
              <w:jc w:val="center"/>
              <w:rPr>
                <w:rFonts w:eastAsia="Arial Unicode MS"/>
              </w:rPr>
            </w:pPr>
          </w:p>
        </w:tc>
        <w:tc>
          <w:tcPr>
            <w:tcW w:w="1391" w:type="pct"/>
            <w:tcBorders>
              <w:top w:val="nil"/>
              <w:left w:val="nil"/>
              <w:right w:val="nil"/>
            </w:tcBorders>
          </w:tcPr>
          <w:p w14:paraId="20C9A9D7" w14:textId="77777777" w:rsidR="004462A0" w:rsidRPr="00CC4B51" w:rsidRDefault="004462A0" w:rsidP="00F675CF">
            <w:pPr>
              <w:keepNext/>
              <w:jc w:val="center"/>
              <w:rPr>
                <w:rFonts w:eastAsia="Arial Unicode MS"/>
              </w:rPr>
            </w:pPr>
          </w:p>
        </w:tc>
      </w:tr>
      <w:tr w:rsidR="00A7162A" w14:paraId="27114513" w14:textId="77777777" w:rsidTr="00F675CF">
        <w:trPr>
          <w:jc w:val="center"/>
        </w:trPr>
        <w:tc>
          <w:tcPr>
            <w:tcW w:w="2976" w:type="pct"/>
            <w:tcBorders>
              <w:top w:val="nil"/>
              <w:left w:val="nil"/>
              <w:right w:val="nil"/>
            </w:tcBorders>
          </w:tcPr>
          <w:p w14:paraId="5D79A9E7" w14:textId="77777777" w:rsidR="004462A0" w:rsidRPr="00CC4B51" w:rsidRDefault="00615769" w:rsidP="00F675CF">
            <w:pPr>
              <w:keepNext/>
              <w:rPr>
                <w:rFonts w:eastAsia="Arial Unicode MS"/>
              </w:rPr>
            </w:pPr>
            <w:r w:rsidRPr="00CC4B51">
              <w:rPr>
                <w:rFonts w:eastAsia="Arial Unicode MS"/>
                <w:sz w:val="22"/>
                <w:szCs w:val="22"/>
              </w:rPr>
              <w:t xml:space="preserve"> Resposta Sustentada </w:t>
            </w:r>
          </w:p>
        </w:tc>
        <w:tc>
          <w:tcPr>
            <w:tcW w:w="634" w:type="pct"/>
            <w:tcBorders>
              <w:top w:val="nil"/>
              <w:left w:val="nil"/>
              <w:right w:val="nil"/>
            </w:tcBorders>
          </w:tcPr>
          <w:p w14:paraId="1F77E0F5" w14:textId="77777777" w:rsidR="004462A0" w:rsidRPr="00CC4B51" w:rsidRDefault="00615769" w:rsidP="00F675CF">
            <w:pPr>
              <w:keepNext/>
              <w:jc w:val="center"/>
              <w:rPr>
                <w:rFonts w:eastAsia="Arial Unicode MS"/>
              </w:rPr>
            </w:pPr>
            <w:r w:rsidRPr="00CC4B51">
              <w:rPr>
                <w:rFonts w:eastAsia="Arial Unicode MS"/>
                <w:sz w:val="22"/>
                <w:szCs w:val="22"/>
              </w:rPr>
              <w:t>12</w:t>
            </w:r>
            <w:r w:rsidR="009343EF">
              <w:rPr>
                <w:rFonts w:eastAsia="Arial Unicode MS"/>
                <w:sz w:val="22"/>
                <w:szCs w:val="22"/>
              </w:rPr>
              <w:t>%</w:t>
            </w:r>
          </w:p>
        </w:tc>
        <w:tc>
          <w:tcPr>
            <w:tcW w:w="1391" w:type="pct"/>
            <w:tcBorders>
              <w:top w:val="nil"/>
              <w:left w:val="nil"/>
              <w:right w:val="nil"/>
            </w:tcBorders>
          </w:tcPr>
          <w:p w14:paraId="54FDC8E8" w14:textId="77777777" w:rsidR="004462A0" w:rsidRPr="00CC4B51" w:rsidRDefault="00615769" w:rsidP="00F675CF">
            <w:pPr>
              <w:keepNext/>
              <w:jc w:val="center"/>
              <w:rPr>
                <w:rFonts w:eastAsia="Arial Unicode MS"/>
              </w:rPr>
            </w:pPr>
            <w:r w:rsidRPr="00CC4B51">
              <w:rPr>
                <w:rFonts w:eastAsia="Arial Unicode MS"/>
                <w:sz w:val="22"/>
                <w:szCs w:val="22"/>
              </w:rPr>
              <w:t xml:space="preserve">   24</w:t>
            </w:r>
            <w:r w:rsidR="009343EF">
              <w:rPr>
                <w:rFonts w:eastAsia="Arial Unicode MS"/>
                <w:sz w:val="22"/>
                <w:szCs w:val="22"/>
              </w:rPr>
              <w:t>%</w:t>
            </w:r>
            <w:r w:rsidRPr="00CC4B51">
              <w:rPr>
                <w:rFonts w:eastAsia="Arial Unicode MS"/>
                <w:sz w:val="22"/>
                <w:szCs w:val="22"/>
              </w:rPr>
              <w:t>**</w:t>
            </w:r>
          </w:p>
        </w:tc>
      </w:tr>
      <w:tr w:rsidR="00A7162A" w14:paraId="57393FD7" w14:textId="77777777" w:rsidTr="00DF5632">
        <w:trPr>
          <w:jc w:val="center"/>
        </w:trPr>
        <w:tc>
          <w:tcPr>
            <w:tcW w:w="2976" w:type="pct"/>
            <w:tcBorders>
              <w:top w:val="nil"/>
              <w:left w:val="nil"/>
              <w:right w:val="nil"/>
            </w:tcBorders>
          </w:tcPr>
          <w:p w14:paraId="5C93A6BE" w14:textId="77777777" w:rsidR="004462A0" w:rsidRPr="00CC4B51" w:rsidRDefault="00615769" w:rsidP="00F675CF">
            <w:pPr>
              <w:keepNext/>
              <w:rPr>
                <w:rFonts w:eastAsia="Arial Unicode MS"/>
              </w:rPr>
            </w:pPr>
            <w:r w:rsidRPr="00CC4B51">
              <w:rPr>
                <w:rFonts w:eastAsia="Arial Unicode MS"/>
                <w:sz w:val="22"/>
                <w:szCs w:val="22"/>
              </w:rPr>
              <w:t xml:space="preserve"> Remissão Sustentada </w:t>
            </w:r>
          </w:p>
        </w:tc>
        <w:tc>
          <w:tcPr>
            <w:tcW w:w="634" w:type="pct"/>
            <w:tcBorders>
              <w:top w:val="nil"/>
              <w:left w:val="nil"/>
              <w:right w:val="nil"/>
            </w:tcBorders>
          </w:tcPr>
          <w:p w14:paraId="2770B3BF" w14:textId="77777777" w:rsidR="004462A0" w:rsidRPr="00CC4B51" w:rsidRDefault="00615769" w:rsidP="00F675CF">
            <w:pPr>
              <w:keepNext/>
              <w:jc w:val="center"/>
              <w:rPr>
                <w:rFonts w:eastAsia="Arial Unicode MS"/>
              </w:rPr>
            </w:pPr>
            <w:r w:rsidRPr="00CC4B51">
              <w:rPr>
                <w:rFonts w:eastAsia="Arial Unicode MS"/>
                <w:sz w:val="22"/>
                <w:szCs w:val="22"/>
              </w:rPr>
              <w:t>4</w:t>
            </w:r>
            <w:r w:rsidR="009343EF">
              <w:rPr>
                <w:rFonts w:eastAsia="Arial Unicode MS"/>
                <w:sz w:val="22"/>
                <w:szCs w:val="22"/>
              </w:rPr>
              <w:t>%</w:t>
            </w:r>
          </w:p>
        </w:tc>
        <w:tc>
          <w:tcPr>
            <w:tcW w:w="1391" w:type="pct"/>
            <w:tcBorders>
              <w:top w:val="nil"/>
              <w:left w:val="nil"/>
              <w:right w:val="nil"/>
            </w:tcBorders>
          </w:tcPr>
          <w:p w14:paraId="29AC6F5E" w14:textId="77777777" w:rsidR="004462A0" w:rsidRPr="00CC4B51" w:rsidRDefault="00615769" w:rsidP="00F675CF">
            <w:pPr>
              <w:keepNext/>
              <w:jc w:val="center"/>
              <w:rPr>
                <w:rFonts w:eastAsia="Arial Unicode MS"/>
              </w:rPr>
            </w:pPr>
            <w:r w:rsidRPr="00CC4B51">
              <w:rPr>
                <w:rFonts w:eastAsia="Arial Unicode MS"/>
                <w:sz w:val="22"/>
                <w:szCs w:val="22"/>
              </w:rPr>
              <w:t xml:space="preserve">   8</w:t>
            </w:r>
            <w:r w:rsidR="009343EF">
              <w:rPr>
                <w:rFonts w:eastAsia="Arial Unicode MS"/>
                <w:sz w:val="22"/>
                <w:szCs w:val="22"/>
              </w:rPr>
              <w:t>%</w:t>
            </w:r>
            <w:r w:rsidRPr="00CC4B51">
              <w:rPr>
                <w:rFonts w:eastAsia="Arial Unicode MS"/>
                <w:sz w:val="22"/>
                <w:szCs w:val="22"/>
              </w:rPr>
              <w:t>*</w:t>
            </w:r>
          </w:p>
        </w:tc>
      </w:tr>
      <w:tr w:rsidR="00A7162A" w14:paraId="5FC474E6" w14:textId="77777777" w:rsidTr="00DF5632">
        <w:trPr>
          <w:jc w:val="center"/>
        </w:trPr>
        <w:tc>
          <w:tcPr>
            <w:tcW w:w="2976" w:type="pct"/>
            <w:tcBorders>
              <w:top w:val="nil"/>
              <w:left w:val="nil"/>
              <w:bottom w:val="single" w:sz="4" w:space="0" w:color="auto"/>
              <w:right w:val="nil"/>
            </w:tcBorders>
          </w:tcPr>
          <w:p w14:paraId="4A52FB03" w14:textId="77777777" w:rsidR="004462A0" w:rsidRPr="00CC4B51" w:rsidRDefault="00615769" w:rsidP="00F675CF">
            <w:pPr>
              <w:keepNext/>
              <w:rPr>
                <w:rFonts w:eastAsia="Arial Unicode MS"/>
              </w:rPr>
            </w:pPr>
            <w:r w:rsidRPr="00CC4B51">
              <w:rPr>
                <w:rFonts w:eastAsia="Arial Unicode MS"/>
                <w:sz w:val="22"/>
                <w:szCs w:val="22"/>
              </w:rPr>
              <w:t xml:space="preserve"> Cicatrização da Mucosa Sustentada </w:t>
            </w:r>
          </w:p>
        </w:tc>
        <w:tc>
          <w:tcPr>
            <w:tcW w:w="634" w:type="pct"/>
            <w:tcBorders>
              <w:top w:val="nil"/>
              <w:left w:val="nil"/>
              <w:bottom w:val="single" w:sz="4" w:space="0" w:color="auto"/>
              <w:right w:val="nil"/>
            </w:tcBorders>
          </w:tcPr>
          <w:p w14:paraId="6C748F1C" w14:textId="77777777" w:rsidR="004462A0" w:rsidRPr="00CC4B51" w:rsidRDefault="00615769" w:rsidP="00F675CF">
            <w:pPr>
              <w:keepNext/>
              <w:jc w:val="center"/>
              <w:rPr>
                <w:rFonts w:eastAsia="Arial Unicode MS"/>
              </w:rPr>
            </w:pPr>
            <w:r w:rsidRPr="00CC4B51">
              <w:rPr>
                <w:rFonts w:eastAsia="Arial Unicode MS"/>
                <w:sz w:val="22"/>
                <w:szCs w:val="22"/>
              </w:rPr>
              <w:t>11</w:t>
            </w:r>
            <w:r w:rsidR="009343EF">
              <w:rPr>
                <w:rFonts w:eastAsia="Arial Unicode MS"/>
                <w:sz w:val="22"/>
                <w:szCs w:val="22"/>
              </w:rPr>
              <w:t>%</w:t>
            </w:r>
          </w:p>
        </w:tc>
        <w:tc>
          <w:tcPr>
            <w:tcW w:w="1391" w:type="pct"/>
            <w:tcBorders>
              <w:top w:val="nil"/>
              <w:left w:val="nil"/>
              <w:bottom w:val="single" w:sz="4" w:space="0" w:color="auto"/>
              <w:right w:val="nil"/>
            </w:tcBorders>
          </w:tcPr>
          <w:p w14:paraId="4EA30A06" w14:textId="77777777" w:rsidR="004462A0" w:rsidRPr="00CC4B51" w:rsidRDefault="00615769" w:rsidP="00F675CF">
            <w:pPr>
              <w:keepNext/>
              <w:jc w:val="center"/>
              <w:rPr>
                <w:rFonts w:eastAsia="Arial Unicode MS"/>
              </w:rPr>
            </w:pPr>
            <w:r w:rsidRPr="00CC4B51">
              <w:rPr>
                <w:rFonts w:eastAsia="Arial Unicode MS"/>
                <w:sz w:val="22"/>
                <w:szCs w:val="22"/>
              </w:rPr>
              <w:t xml:space="preserve">  19</w:t>
            </w:r>
            <w:r w:rsidR="009343EF">
              <w:rPr>
                <w:rFonts w:eastAsia="Arial Unicode MS"/>
                <w:sz w:val="22"/>
                <w:szCs w:val="22"/>
              </w:rPr>
              <w:t>%</w:t>
            </w:r>
            <w:r w:rsidRPr="00CC4B51">
              <w:rPr>
                <w:rFonts w:eastAsia="Arial Unicode MS"/>
                <w:sz w:val="22"/>
                <w:szCs w:val="22"/>
              </w:rPr>
              <w:t>*</w:t>
            </w:r>
          </w:p>
        </w:tc>
      </w:tr>
      <w:tr w:rsidR="00A7162A" w14:paraId="26AAD1A9" w14:textId="77777777" w:rsidTr="00DF5632">
        <w:trPr>
          <w:jc w:val="center"/>
        </w:trPr>
        <w:tc>
          <w:tcPr>
            <w:tcW w:w="5000" w:type="pct"/>
            <w:gridSpan w:val="3"/>
            <w:tcBorders>
              <w:top w:val="single" w:sz="4" w:space="0" w:color="auto"/>
              <w:left w:val="nil"/>
              <w:bottom w:val="nil"/>
              <w:right w:val="nil"/>
            </w:tcBorders>
          </w:tcPr>
          <w:p w14:paraId="0EC58AE7" w14:textId="77777777" w:rsidR="004462A0" w:rsidRPr="00CC4B51" w:rsidRDefault="00615769" w:rsidP="00F675CF">
            <w:pPr>
              <w:keepNext/>
              <w:spacing w:line="264" w:lineRule="atLeast"/>
              <w:rPr>
                <w:rFonts w:eastAsia="Arial Unicode MS"/>
                <w:sz w:val="22"/>
                <w:szCs w:val="22"/>
              </w:rPr>
            </w:pPr>
            <w:r w:rsidRPr="00CC4B51">
              <w:rPr>
                <w:rFonts w:eastAsia="Arial Unicode MS"/>
                <w:sz w:val="22"/>
                <w:szCs w:val="22"/>
              </w:rPr>
              <w:t xml:space="preserve">Remissão Clínica </w:t>
            </w:r>
            <w:r w:rsidR="00384E8F">
              <w:rPr>
                <w:rFonts w:eastAsia="Arial Unicode MS"/>
                <w:sz w:val="22"/>
                <w:szCs w:val="22"/>
              </w:rPr>
              <w:t>é</w:t>
            </w:r>
            <w:r w:rsidRPr="00CC4B51">
              <w:rPr>
                <w:rFonts w:eastAsia="Arial Unicode MS"/>
                <w:sz w:val="22"/>
                <w:szCs w:val="22"/>
              </w:rPr>
              <w:t xml:space="preserve"> pontuação Mayo ≤ 2 sem subpontuação &gt; 1;</w:t>
            </w:r>
          </w:p>
          <w:p w14:paraId="4B6E703F" w14:textId="77777777" w:rsidR="00384E8F" w:rsidRDefault="00615769" w:rsidP="00F675CF">
            <w:pPr>
              <w:keepNext/>
              <w:spacing w:line="264" w:lineRule="atLeast"/>
              <w:rPr>
                <w:rFonts w:eastAsia="Arial Unicode MS"/>
                <w:sz w:val="22"/>
                <w:szCs w:val="22"/>
              </w:rPr>
            </w:pPr>
            <w:r>
              <w:rPr>
                <w:rFonts w:eastAsia="Arial Unicode MS"/>
                <w:sz w:val="22"/>
                <w:szCs w:val="22"/>
              </w:rPr>
              <w:t xml:space="preserve">Resposta </w:t>
            </w:r>
            <w:r w:rsidR="00C76435">
              <w:rPr>
                <w:rFonts w:eastAsia="Arial Unicode MS"/>
                <w:sz w:val="22"/>
                <w:szCs w:val="22"/>
              </w:rPr>
              <w:t>C</w:t>
            </w:r>
            <w:r>
              <w:rPr>
                <w:rFonts w:eastAsia="Arial Unicode MS"/>
                <w:sz w:val="22"/>
                <w:szCs w:val="22"/>
              </w:rPr>
              <w:t>línica é d</w:t>
            </w:r>
            <w:r w:rsidR="004462A0" w:rsidRPr="00CC4B51">
              <w:rPr>
                <w:rFonts w:eastAsia="Arial Unicode MS"/>
                <w:sz w:val="22"/>
                <w:szCs w:val="22"/>
              </w:rPr>
              <w:t>iminuição desde a linha de base da pontuação de Mayo ≥3 pontos e ≥30</w:t>
            </w:r>
            <w:r w:rsidR="009343EF">
              <w:rPr>
                <w:rFonts w:eastAsia="Arial Unicode MS"/>
                <w:sz w:val="22"/>
                <w:szCs w:val="22"/>
              </w:rPr>
              <w:t>%</w:t>
            </w:r>
            <w:r w:rsidR="004462A0" w:rsidRPr="00CC4B51">
              <w:rPr>
                <w:rFonts w:eastAsia="Arial Unicode MS"/>
                <w:sz w:val="22"/>
                <w:szCs w:val="22"/>
              </w:rPr>
              <w:t xml:space="preserve">, acompanhado de uma redução na subpontuação de hemorragia retal de ≥ 1 ou um resultado absoluto de hemorragia retal de 0 ou 1.  </w:t>
            </w:r>
          </w:p>
          <w:p w14:paraId="66D500CB" w14:textId="77777777" w:rsidR="004462A0" w:rsidRPr="00CC4B51" w:rsidRDefault="00615769" w:rsidP="00F675CF">
            <w:pPr>
              <w:keepNext/>
              <w:spacing w:line="264" w:lineRule="atLeast"/>
              <w:rPr>
                <w:rFonts w:eastAsia="Arial Unicode MS"/>
              </w:rPr>
            </w:pPr>
            <w:r w:rsidRPr="00CC4B51">
              <w:rPr>
                <w:rFonts w:eastAsia="Arial Unicode MS"/>
                <w:sz w:val="22"/>
                <w:szCs w:val="22"/>
                <w:vertAlign w:val="superscript"/>
              </w:rPr>
              <w:t>*</w:t>
            </w:r>
            <w:r w:rsidRPr="00CC4B51">
              <w:rPr>
                <w:rFonts w:eastAsia="Arial Unicode MS"/>
                <w:sz w:val="22"/>
                <w:szCs w:val="22"/>
              </w:rPr>
              <w:t xml:space="preserve">p&lt;0,05 para Humira </w:t>
            </w:r>
            <w:r w:rsidRPr="00CC4B51">
              <w:rPr>
                <w:rFonts w:eastAsia="Arial Unicode MS"/>
                <w:i/>
                <w:iCs/>
                <w:sz w:val="22"/>
                <w:szCs w:val="22"/>
              </w:rPr>
              <w:t>versus</w:t>
            </w:r>
            <w:r w:rsidRPr="00CC4B51">
              <w:rPr>
                <w:rFonts w:eastAsia="Arial Unicode MS"/>
                <w:sz w:val="22"/>
                <w:szCs w:val="22"/>
              </w:rPr>
              <w:t xml:space="preserve"> placebo em proporções comparativas emparelhadas </w:t>
            </w:r>
          </w:p>
          <w:p w14:paraId="148C58C5" w14:textId="77777777" w:rsidR="004462A0" w:rsidRPr="00CC4B51" w:rsidRDefault="00615769" w:rsidP="00F675CF">
            <w:pPr>
              <w:keepNext/>
              <w:spacing w:line="264" w:lineRule="atLeast"/>
              <w:rPr>
                <w:rFonts w:eastAsia="Arial Unicode MS"/>
              </w:rPr>
            </w:pPr>
            <w:r w:rsidRPr="00CC4B51">
              <w:rPr>
                <w:rFonts w:eastAsia="Arial Unicode MS"/>
                <w:sz w:val="22"/>
                <w:szCs w:val="22"/>
              </w:rPr>
              <w:t xml:space="preserve">**p&lt;0,001 para  Humira </w:t>
            </w:r>
            <w:r w:rsidRPr="00CC4B51">
              <w:rPr>
                <w:rFonts w:eastAsia="Arial Unicode MS"/>
                <w:i/>
                <w:sz w:val="22"/>
                <w:szCs w:val="22"/>
              </w:rPr>
              <w:t>versus</w:t>
            </w:r>
            <w:r w:rsidRPr="00CC4B51">
              <w:rPr>
                <w:rFonts w:eastAsia="Arial Unicode MS"/>
                <w:sz w:val="22"/>
                <w:szCs w:val="22"/>
              </w:rPr>
              <w:t xml:space="preserve"> placebo em proporções comparativas emparelhadas</w:t>
            </w:r>
          </w:p>
          <w:p w14:paraId="67363C0E" w14:textId="77777777" w:rsidR="004462A0" w:rsidRPr="00CC4B51" w:rsidRDefault="00615769" w:rsidP="00F675CF">
            <w:pPr>
              <w:keepNext/>
              <w:spacing w:line="264" w:lineRule="atLeast"/>
              <w:rPr>
                <w:rFonts w:eastAsia="Arial Unicode MS"/>
                <w:b/>
              </w:rPr>
            </w:pPr>
            <w:r w:rsidRPr="00CC4B51">
              <w:rPr>
                <w:sz w:val="22"/>
                <w:szCs w:val="22"/>
                <w:vertAlign w:val="superscript"/>
              </w:rPr>
              <w:t xml:space="preserve">a </w:t>
            </w:r>
            <w:r w:rsidRPr="00CC4B51">
              <w:rPr>
                <w:sz w:val="22"/>
                <w:szCs w:val="22"/>
              </w:rPr>
              <w:t xml:space="preserve">  Dos que receberam corticosteroides no início do estudo</w:t>
            </w:r>
          </w:p>
        </w:tc>
      </w:tr>
    </w:tbl>
    <w:p w14:paraId="0239FB71" w14:textId="77777777" w:rsidR="004462A0" w:rsidRPr="00CC4B51" w:rsidRDefault="004462A0" w:rsidP="004462A0">
      <w:pPr>
        <w:tabs>
          <w:tab w:val="left" w:pos="562"/>
        </w:tabs>
        <w:suppressAutoHyphens/>
        <w:rPr>
          <w:iCs/>
          <w:sz w:val="22"/>
          <w:szCs w:val="22"/>
        </w:rPr>
      </w:pPr>
    </w:p>
    <w:p w14:paraId="056FD6A0" w14:textId="77777777" w:rsidR="004462A0" w:rsidRPr="00CC4B51" w:rsidRDefault="00615769" w:rsidP="004462A0">
      <w:pPr>
        <w:tabs>
          <w:tab w:val="left" w:pos="562"/>
        </w:tabs>
        <w:suppressAutoHyphens/>
        <w:rPr>
          <w:sz w:val="22"/>
        </w:rPr>
      </w:pPr>
      <w:r w:rsidRPr="00CC4B51">
        <w:rPr>
          <w:sz w:val="22"/>
        </w:rPr>
        <w:t>Dos doentes que demonstraram uma resposta à Semana 8, 47</w:t>
      </w:r>
      <w:r w:rsidR="009343EF">
        <w:rPr>
          <w:sz w:val="22"/>
        </w:rPr>
        <w:t>%</w:t>
      </w:r>
      <w:r w:rsidRPr="00CC4B51">
        <w:rPr>
          <w:sz w:val="22"/>
        </w:rPr>
        <w:t xml:space="preserve"> mantiveram a resposta, 29</w:t>
      </w:r>
      <w:r w:rsidR="009343EF">
        <w:rPr>
          <w:sz w:val="22"/>
        </w:rPr>
        <w:t>%</w:t>
      </w:r>
      <w:r w:rsidRPr="00CC4B51">
        <w:rPr>
          <w:sz w:val="22"/>
        </w:rPr>
        <w:t xml:space="preserve"> estavam em remissão, 41</w:t>
      </w:r>
      <w:r w:rsidR="009343EF">
        <w:rPr>
          <w:sz w:val="22"/>
        </w:rPr>
        <w:t>%</w:t>
      </w:r>
      <w:r w:rsidRPr="00CC4B51">
        <w:rPr>
          <w:sz w:val="22"/>
        </w:rPr>
        <w:t xml:space="preserve"> demonstraram cicatrização da mucosa e 20</w:t>
      </w:r>
      <w:r w:rsidR="009343EF">
        <w:rPr>
          <w:sz w:val="22"/>
        </w:rPr>
        <w:t>%</w:t>
      </w:r>
      <w:r w:rsidRPr="00CC4B51">
        <w:rPr>
          <w:sz w:val="22"/>
        </w:rPr>
        <w:t xml:space="preserve"> demonstraram remissão livre de costicosteroides durante ≥ 90 dias </w:t>
      </w:r>
      <w:r w:rsidR="00C76435">
        <w:rPr>
          <w:sz w:val="22"/>
        </w:rPr>
        <w:t>à</w:t>
      </w:r>
      <w:r w:rsidR="00C76435" w:rsidRPr="00CC4B51">
        <w:rPr>
          <w:sz w:val="22"/>
        </w:rPr>
        <w:t xml:space="preserve"> </w:t>
      </w:r>
      <w:r w:rsidRPr="00CC4B51">
        <w:rPr>
          <w:sz w:val="22"/>
        </w:rPr>
        <w:t>Semana 52.</w:t>
      </w:r>
    </w:p>
    <w:p w14:paraId="2E8970ED" w14:textId="77777777" w:rsidR="004462A0" w:rsidRPr="00CC4B51" w:rsidRDefault="004462A0" w:rsidP="004462A0">
      <w:pPr>
        <w:tabs>
          <w:tab w:val="left" w:pos="562"/>
        </w:tabs>
        <w:suppressAutoHyphens/>
        <w:rPr>
          <w:iCs/>
          <w:sz w:val="22"/>
          <w:szCs w:val="22"/>
        </w:rPr>
      </w:pPr>
    </w:p>
    <w:p w14:paraId="69BDF26D" w14:textId="77777777" w:rsidR="004462A0" w:rsidRPr="00CC4B51" w:rsidRDefault="00615769" w:rsidP="004462A0">
      <w:pPr>
        <w:autoSpaceDE w:val="0"/>
        <w:autoSpaceDN w:val="0"/>
        <w:adjustRightInd w:val="0"/>
        <w:rPr>
          <w:iCs/>
          <w:sz w:val="22"/>
          <w:szCs w:val="22"/>
        </w:rPr>
      </w:pPr>
      <w:r w:rsidRPr="00CC4B51">
        <w:rPr>
          <w:iCs/>
          <w:sz w:val="22"/>
          <w:szCs w:val="22"/>
        </w:rPr>
        <w:t>Aproximadamente 40</w:t>
      </w:r>
      <w:r w:rsidR="009343EF">
        <w:rPr>
          <w:iCs/>
          <w:sz w:val="22"/>
          <w:szCs w:val="22"/>
        </w:rPr>
        <w:t>%</w:t>
      </w:r>
      <w:r w:rsidRPr="00CC4B51">
        <w:rPr>
          <w:iCs/>
          <w:sz w:val="22"/>
          <w:szCs w:val="22"/>
        </w:rPr>
        <w:t xml:space="preserve"> dos doentes incluídos no estudo UC-II não responderam à terapêutica prévia com o antagonista-TNF infliximab. A eficácia de adalimumab nestes doentes foi reduzida comparativamente com os doentes que não tiveram exposição prévia a tratamentos com antagonistas-TNF. Entre os doentes que não responderam à terapêutica prévia com antagonistas-TNF, a remissão na semana 52 foi atingida </w:t>
      </w:r>
      <w:r w:rsidR="00415E2D">
        <w:rPr>
          <w:iCs/>
          <w:sz w:val="22"/>
          <w:szCs w:val="22"/>
        </w:rPr>
        <w:t xml:space="preserve">em </w:t>
      </w:r>
      <w:r w:rsidRPr="00CC4B51">
        <w:rPr>
          <w:iCs/>
          <w:sz w:val="22"/>
          <w:szCs w:val="22"/>
        </w:rPr>
        <w:t>3</w:t>
      </w:r>
      <w:r w:rsidR="009343EF">
        <w:rPr>
          <w:iCs/>
          <w:sz w:val="22"/>
          <w:szCs w:val="22"/>
        </w:rPr>
        <w:t>%</w:t>
      </w:r>
      <w:r w:rsidRPr="00CC4B51">
        <w:rPr>
          <w:iCs/>
          <w:sz w:val="22"/>
          <w:szCs w:val="22"/>
        </w:rPr>
        <w:t xml:space="preserve"> no grupo placebo e </w:t>
      </w:r>
      <w:r w:rsidR="00415E2D">
        <w:rPr>
          <w:iCs/>
          <w:sz w:val="22"/>
          <w:szCs w:val="22"/>
        </w:rPr>
        <w:t xml:space="preserve">em </w:t>
      </w:r>
      <w:r w:rsidRPr="00CC4B51">
        <w:rPr>
          <w:iCs/>
          <w:sz w:val="22"/>
          <w:szCs w:val="22"/>
        </w:rPr>
        <w:t>10</w:t>
      </w:r>
      <w:r w:rsidR="009343EF">
        <w:rPr>
          <w:iCs/>
          <w:sz w:val="22"/>
          <w:szCs w:val="22"/>
        </w:rPr>
        <w:t>%</w:t>
      </w:r>
      <w:r w:rsidRPr="00CC4B51">
        <w:rPr>
          <w:iCs/>
          <w:sz w:val="22"/>
          <w:szCs w:val="22"/>
        </w:rPr>
        <w:t xml:space="preserve"> no </w:t>
      </w:r>
      <w:r w:rsidR="00415E2D">
        <w:rPr>
          <w:iCs/>
          <w:sz w:val="22"/>
          <w:szCs w:val="22"/>
        </w:rPr>
        <w:t xml:space="preserve">grupo </w:t>
      </w:r>
      <w:r w:rsidRPr="00CC4B51">
        <w:rPr>
          <w:iCs/>
          <w:sz w:val="22"/>
          <w:szCs w:val="22"/>
        </w:rPr>
        <w:t>adalimumab.</w:t>
      </w:r>
    </w:p>
    <w:p w14:paraId="370A3559" w14:textId="77777777" w:rsidR="004462A0" w:rsidRPr="00CC4B51" w:rsidRDefault="004462A0" w:rsidP="004462A0">
      <w:pPr>
        <w:rPr>
          <w:sz w:val="22"/>
          <w:szCs w:val="22"/>
        </w:rPr>
      </w:pPr>
    </w:p>
    <w:p w14:paraId="1DAD6F27" w14:textId="77777777" w:rsidR="004462A0" w:rsidRPr="00CC4B51" w:rsidRDefault="00615769" w:rsidP="004462A0">
      <w:pPr>
        <w:rPr>
          <w:sz w:val="22"/>
          <w:szCs w:val="22"/>
        </w:rPr>
      </w:pPr>
      <w:r w:rsidRPr="00CC4B51">
        <w:rPr>
          <w:sz w:val="22"/>
          <w:szCs w:val="22"/>
        </w:rPr>
        <w:t>Os doentes que participaram nos estudos UC-I e UC-II tiveram a opção de serem envolvidos num estudo de extensão de fase aberta a longo prazo (UC III). Após terapêutica com adalimumab durante 3 anos, 75</w:t>
      </w:r>
      <w:r w:rsidR="009343EF">
        <w:rPr>
          <w:sz w:val="22"/>
          <w:szCs w:val="22"/>
        </w:rPr>
        <w:t>%</w:t>
      </w:r>
      <w:r w:rsidRPr="00CC4B51">
        <w:rPr>
          <w:sz w:val="22"/>
          <w:szCs w:val="22"/>
        </w:rPr>
        <w:t xml:space="preserve"> dos doentes (301/402) continuaram em remissão clínica na pontuação parcial de Mayo.</w:t>
      </w:r>
    </w:p>
    <w:p w14:paraId="218DDA26" w14:textId="77777777" w:rsidR="004462A0" w:rsidRPr="00CC4B51" w:rsidRDefault="004462A0" w:rsidP="004462A0">
      <w:pPr>
        <w:rPr>
          <w:sz w:val="22"/>
          <w:szCs w:val="22"/>
        </w:rPr>
      </w:pPr>
    </w:p>
    <w:p w14:paraId="59F6B95F" w14:textId="77777777" w:rsidR="004462A0" w:rsidRPr="00CC4B51" w:rsidRDefault="00615769" w:rsidP="004462A0">
      <w:pPr>
        <w:rPr>
          <w:i/>
          <w:sz w:val="22"/>
          <w:szCs w:val="22"/>
          <w:u w:val="single"/>
        </w:rPr>
      </w:pPr>
      <w:r w:rsidRPr="00CC4B51">
        <w:rPr>
          <w:i/>
          <w:sz w:val="22"/>
          <w:szCs w:val="22"/>
          <w:u w:val="single"/>
        </w:rPr>
        <w:t>Taxas de hospitalização</w:t>
      </w:r>
    </w:p>
    <w:p w14:paraId="69325BFC" w14:textId="77777777" w:rsidR="004462A0" w:rsidRPr="00CC4B51" w:rsidRDefault="004462A0" w:rsidP="004462A0">
      <w:pPr>
        <w:rPr>
          <w:sz w:val="22"/>
          <w:szCs w:val="22"/>
        </w:rPr>
      </w:pPr>
    </w:p>
    <w:p w14:paraId="4BFFB0A8" w14:textId="77777777" w:rsidR="004462A0" w:rsidRPr="00CC4B51" w:rsidRDefault="00615769" w:rsidP="004462A0">
      <w:pPr>
        <w:rPr>
          <w:sz w:val="22"/>
          <w:szCs w:val="22"/>
        </w:rPr>
      </w:pPr>
      <w:r w:rsidRPr="00CC4B51">
        <w:rPr>
          <w:sz w:val="22"/>
          <w:szCs w:val="22"/>
        </w:rPr>
        <w:t>Ao longo de 52 semanas dos estudos UC-I e UC-II, foram observadas taxas inferiores de hospitalizações por todas as causas e hospitalizações relacionadas com a Colite Ulcerosa para o grupo tratado com adalimumab em comparação com o grupo placebo. O número de hospitalizações por todas as causas no grupo tratado com adalimumab foi de 0,18 por doente por ano versus 0,26 por doente por ano no grupo placebo e os valores correspondentes para as hospitalizações relacionadas com a Colite Ulcerosa foram de 0,12 por d</w:t>
      </w:r>
      <w:r w:rsidRPr="00CC4B51">
        <w:rPr>
          <w:sz w:val="22"/>
          <w:szCs w:val="22"/>
        </w:rPr>
        <w:t>oente ano versus 0,22 por doente ano.</w:t>
      </w:r>
    </w:p>
    <w:p w14:paraId="2B28FC44" w14:textId="77777777" w:rsidR="004462A0" w:rsidRPr="00CC4B51" w:rsidRDefault="004462A0" w:rsidP="004462A0">
      <w:pPr>
        <w:rPr>
          <w:sz w:val="22"/>
          <w:szCs w:val="22"/>
        </w:rPr>
      </w:pPr>
    </w:p>
    <w:p w14:paraId="5E62915F" w14:textId="77777777" w:rsidR="004462A0" w:rsidRPr="00CC4B51" w:rsidRDefault="00615769" w:rsidP="004462A0">
      <w:pPr>
        <w:rPr>
          <w:i/>
          <w:sz w:val="22"/>
          <w:szCs w:val="22"/>
          <w:u w:val="single"/>
        </w:rPr>
      </w:pPr>
      <w:r w:rsidRPr="00CC4B51">
        <w:rPr>
          <w:i/>
          <w:sz w:val="22"/>
          <w:szCs w:val="22"/>
          <w:u w:val="single"/>
        </w:rPr>
        <w:t>Qualidade de vida</w:t>
      </w:r>
    </w:p>
    <w:p w14:paraId="066FCD18" w14:textId="77777777" w:rsidR="004462A0" w:rsidRPr="00CC4B51" w:rsidRDefault="004462A0" w:rsidP="004462A0">
      <w:pPr>
        <w:rPr>
          <w:sz w:val="22"/>
          <w:szCs w:val="22"/>
        </w:rPr>
      </w:pPr>
    </w:p>
    <w:p w14:paraId="0A1BD48F" w14:textId="77777777" w:rsidR="004462A0" w:rsidRPr="00CC4B51" w:rsidRDefault="00615769" w:rsidP="004462A0">
      <w:pPr>
        <w:rPr>
          <w:sz w:val="22"/>
          <w:szCs w:val="22"/>
        </w:rPr>
      </w:pPr>
      <w:r w:rsidRPr="00CC4B51">
        <w:rPr>
          <w:sz w:val="22"/>
          <w:szCs w:val="22"/>
        </w:rPr>
        <w:t>No estudo UC-II, o tratamento com adalimumab demonstrou melhorias na pontuação do Questionário de Doença Inflamatória Intestinal (</w:t>
      </w:r>
      <w:r w:rsidR="00C76435">
        <w:rPr>
          <w:sz w:val="22"/>
          <w:szCs w:val="22"/>
        </w:rPr>
        <w:t>IBDQ</w:t>
      </w:r>
      <w:r w:rsidRPr="00CC4B51">
        <w:rPr>
          <w:sz w:val="22"/>
          <w:szCs w:val="22"/>
        </w:rPr>
        <w:t>).</w:t>
      </w:r>
    </w:p>
    <w:p w14:paraId="68B62652" w14:textId="77777777" w:rsidR="004462A0" w:rsidRPr="00CC4B51" w:rsidRDefault="004462A0" w:rsidP="004462A0">
      <w:pPr>
        <w:rPr>
          <w:sz w:val="22"/>
          <w:szCs w:val="22"/>
        </w:rPr>
      </w:pPr>
    </w:p>
    <w:p w14:paraId="2EE916B8" w14:textId="77777777" w:rsidR="004462A0" w:rsidRPr="00CC4B51" w:rsidRDefault="00615769" w:rsidP="004462A0">
      <w:pPr>
        <w:rPr>
          <w:i/>
          <w:sz w:val="22"/>
          <w:szCs w:val="22"/>
        </w:rPr>
      </w:pPr>
      <w:r w:rsidRPr="00CC4B51">
        <w:rPr>
          <w:i/>
          <w:sz w:val="22"/>
          <w:szCs w:val="22"/>
        </w:rPr>
        <w:t>Uveíte</w:t>
      </w:r>
    </w:p>
    <w:p w14:paraId="3F195F25" w14:textId="77777777" w:rsidR="004462A0" w:rsidRPr="00CC4B51" w:rsidRDefault="004462A0" w:rsidP="004462A0">
      <w:pPr>
        <w:rPr>
          <w:sz w:val="22"/>
          <w:szCs w:val="22"/>
        </w:rPr>
      </w:pPr>
    </w:p>
    <w:p w14:paraId="4B63E129" w14:textId="77777777" w:rsidR="004462A0" w:rsidRPr="00CC4B51" w:rsidRDefault="00615769" w:rsidP="004462A0">
      <w:pPr>
        <w:rPr>
          <w:sz w:val="22"/>
          <w:szCs w:val="22"/>
        </w:rPr>
      </w:pPr>
      <w:r w:rsidRPr="00CC4B51">
        <w:rPr>
          <w:sz w:val="22"/>
          <w:szCs w:val="22"/>
        </w:rPr>
        <w:t xml:space="preserve">A segurança e eficácia de Humira foram avaliadas em doentes adultos com uveíte não infecciosa intermédia, posterior, e panuveíte, excluindo doentes com uveíte anterior isolada, em dois estudos </w:t>
      </w:r>
      <w:r w:rsidR="0013275C">
        <w:rPr>
          <w:sz w:val="22"/>
          <w:szCs w:val="22"/>
        </w:rPr>
        <w:t>aleatorizado</w:t>
      </w:r>
      <w:r w:rsidRPr="00CC4B51">
        <w:rPr>
          <w:sz w:val="22"/>
          <w:szCs w:val="22"/>
        </w:rPr>
        <w:t>s, em dupla ocultação, controlados com placebo (UV I e II). Os doentes receberam placebo ou Humira numa dose inicial de 80 mg seguida de 40 mg em semanas alternadas, uma semana após a dose inicial. Foram permitidas doses concomitantes estáveis de um imunossupressor não biológico.</w:t>
      </w:r>
    </w:p>
    <w:p w14:paraId="51C1D01D" w14:textId="77777777" w:rsidR="004462A0" w:rsidRPr="00CC4B51" w:rsidRDefault="004462A0" w:rsidP="004462A0">
      <w:pPr>
        <w:rPr>
          <w:sz w:val="22"/>
          <w:szCs w:val="22"/>
        </w:rPr>
      </w:pPr>
    </w:p>
    <w:p w14:paraId="1359C9CC" w14:textId="77777777" w:rsidR="004462A0" w:rsidRPr="00CC4B51" w:rsidRDefault="00615769" w:rsidP="004462A0">
      <w:pPr>
        <w:rPr>
          <w:sz w:val="22"/>
          <w:szCs w:val="22"/>
        </w:rPr>
      </w:pPr>
      <w:r w:rsidRPr="00CC4B51">
        <w:rPr>
          <w:sz w:val="22"/>
          <w:szCs w:val="22"/>
        </w:rPr>
        <w:t>O estudo UV I avaliou 217 doentes com uveíte ativa, apesar do tratamento com corticosteroides (prednisona oral numa dose de 10 a 60 mg/dia).</w:t>
      </w:r>
      <w:r w:rsidRPr="00CC4B51">
        <w:t xml:space="preserve"> </w:t>
      </w:r>
      <w:r w:rsidRPr="00CC4B51">
        <w:rPr>
          <w:sz w:val="22"/>
          <w:szCs w:val="22"/>
        </w:rPr>
        <w:t xml:space="preserve">Ao entrarem no estudo, todos os doentes receberam durante 2 semanas uma dose padrão de prednisona 60 mg/dia, seguida de uma redução obrigatória, com descontinuação completa dos corticosteroides até à </w:t>
      </w:r>
      <w:r w:rsidR="00B150A1">
        <w:rPr>
          <w:sz w:val="22"/>
          <w:szCs w:val="22"/>
        </w:rPr>
        <w:t>S</w:t>
      </w:r>
      <w:r w:rsidRPr="00CC4B51">
        <w:rPr>
          <w:sz w:val="22"/>
          <w:szCs w:val="22"/>
        </w:rPr>
        <w:t>emana 15.</w:t>
      </w:r>
    </w:p>
    <w:p w14:paraId="769F41BE" w14:textId="77777777" w:rsidR="004462A0" w:rsidRPr="00CC4B51" w:rsidRDefault="004462A0" w:rsidP="004462A0">
      <w:pPr>
        <w:rPr>
          <w:sz w:val="22"/>
          <w:szCs w:val="22"/>
        </w:rPr>
      </w:pPr>
    </w:p>
    <w:p w14:paraId="56A9FD6C" w14:textId="77777777" w:rsidR="004462A0" w:rsidRPr="00CC4B51" w:rsidRDefault="00615769" w:rsidP="004462A0">
      <w:pPr>
        <w:rPr>
          <w:sz w:val="22"/>
          <w:szCs w:val="22"/>
        </w:rPr>
      </w:pPr>
      <w:r w:rsidRPr="00CC4B51">
        <w:rPr>
          <w:sz w:val="22"/>
          <w:szCs w:val="22"/>
        </w:rPr>
        <w:t xml:space="preserve">O estudo UV II avaliou 226 doentes com uveíte inativa, que requeriam tratamento crónico com corticosteroide (prednisona oral 10 a 35 mg/dia) no início do estudo, para controlo da doença. Subsequentemente, os doentes tiveram uma redução obrigatória, com descontinuação completa dos corticosteroides até à </w:t>
      </w:r>
      <w:r w:rsidR="00B150A1">
        <w:rPr>
          <w:sz w:val="22"/>
          <w:szCs w:val="22"/>
        </w:rPr>
        <w:t>S</w:t>
      </w:r>
      <w:r w:rsidRPr="00CC4B51">
        <w:rPr>
          <w:sz w:val="22"/>
          <w:szCs w:val="22"/>
        </w:rPr>
        <w:t>emana 19.</w:t>
      </w:r>
    </w:p>
    <w:p w14:paraId="526C0B8C" w14:textId="77777777" w:rsidR="004462A0" w:rsidRPr="00CC4B51" w:rsidRDefault="004462A0" w:rsidP="004462A0">
      <w:pPr>
        <w:rPr>
          <w:sz w:val="22"/>
          <w:szCs w:val="22"/>
        </w:rPr>
      </w:pPr>
    </w:p>
    <w:p w14:paraId="1603E89B" w14:textId="77777777" w:rsidR="004462A0" w:rsidRPr="00CC4B51" w:rsidRDefault="00615769" w:rsidP="004462A0">
      <w:pPr>
        <w:rPr>
          <w:sz w:val="22"/>
          <w:szCs w:val="22"/>
        </w:rPr>
      </w:pPr>
      <w:r w:rsidRPr="00CC4B51">
        <w:rPr>
          <w:sz w:val="22"/>
          <w:szCs w:val="22"/>
        </w:rPr>
        <w:t>O objetivo primário de eficácia em ambos os estudos foi o “tempo até falha do tratamento”. A falha do tratamento foi definida por um resultado multi-componente baseado em lesões inflamatórias coriorretinianas e/ou lesões inflamatórias vasculares da retina, grau de células da câmara anterior (CA), grau de turvação vítrea (VH) e melhor acuidade visual corrigida (MAVC).</w:t>
      </w:r>
    </w:p>
    <w:p w14:paraId="2EFF479E" w14:textId="77777777" w:rsidR="00DE5A8A" w:rsidRDefault="00DE5A8A" w:rsidP="004462A0">
      <w:pPr>
        <w:rPr>
          <w:sz w:val="22"/>
          <w:szCs w:val="22"/>
        </w:rPr>
      </w:pPr>
    </w:p>
    <w:p w14:paraId="126B52EA" w14:textId="77777777" w:rsidR="005F0894" w:rsidRPr="005F0894" w:rsidRDefault="00615769" w:rsidP="005F0894">
      <w:pPr>
        <w:rPr>
          <w:sz w:val="22"/>
          <w:szCs w:val="22"/>
        </w:rPr>
      </w:pPr>
      <w:r w:rsidRPr="005F0894">
        <w:rPr>
          <w:sz w:val="22"/>
          <w:szCs w:val="22"/>
        </w:rPr>
        <w:t xml:space="preserve">Os doentes que completaram os </w:t>
      </w:r>
      <w:r w:rsidR="00B054DD">
        <w:rPr>
          <w:sz w:val="22"/>
          <w:szCs w:val="22"/>
        </w:rPr>
        <w:t>E</w:t>
      </w:r>
      <w:r w:rsidRPr="005F0894">
        <w:rPr>
          <w:sz w:val="22"/>
          <w:szCs w:val="22"/>
        </w:rPr>
        <w:t>studos UV I e UV II foram elegíveis para participar num estudo de extensão a longo prazo</w:t>
      </w:r>
      <w:r w:rsidR="00B054DD" w:rsidRPr="005F0894">
        <w:rPr>
          <w:sz w:val="22"/>
          <w:szCs w:val="22"/>
        </w:rPr>
        <w:t>, não-controlado</w:t>
      </w:r>
      <w:r w:rsidRPr="005F0894">
        <w:rPr>
          <w:sz w:val="22"/>
          <w:szCs w:val="22"/>
        </w:rPr>
        <w:t xml:space="preserve">, com uma duração </w:t>
      </w:r>
      <w:r w:rsidR="00B054DD">
        <w:rPr>
          <w:sz w:val="22"/>
          <w:szCs w:val="22"/>
        </w:rPr>
        <w:t>inici</w:t>
      </w:r>
      <w:r w:rsidRPr="005F0894">
        <w:rPr>
          <w:sz w:val="22"/>
          <w:szCs w:val="22"/>
        </w:rPr>
        <w:t xml:space="preserve">almente planeada de 78 semanas. Foi permitido aos doentes continuarem com a medicação do estudo para além da Semana 78 até </w:t>
      </w:r>
      <w:r w:rsidR="00FC7E81">
        <w:rPr>
          <w:sz w:val="22"/>
          <w:szCs w:val="22"/>
        </w:rPr>
        <w:t>terem</w:t>
      </w:r>
      <w:r w:rsidRPr="005F0894">
        <w:rPr>
          <w:sz w:val="22"/>
          <w:szCs w:val="22"/>
        </w:rPr>
        <w:t xml:space="preserve"> acesso a Humira.</w:t>
      </w:r>
    </w:p>
    <w:p w14:paraId="3A589EAB" w14:textId="77777777" w:rsidR="00DE5A8A" w:rsidRPr="00CC4B51" w:rsidRDefault="00DE5A8A" w:rsidP="004462A0">
      <w:pPr>
        <w:rPr>
          <w:sz w:val="22"/>
          <w:szCs w:val="22"/>
        </w:rPr>
      </w:pPr>
    </w:p>
    <w:p w14:paraId="74CBE0C8" w14:textId="77777777" w:rsidR="004462A0" w:rsidRPr="00CC4B51" w:rsidRDefault="00615769" w:rsidP="004462A0">
      <w:pPr>
        <w:rPr>
          <w:i/>
          <w:sz w:val="22"/>
          <w:szCs w:val="22"/>
          <w:u w:val="single"/>
        </w:rPr>
      </w:pPr>
      <w:r w:rsidRPr="00CC4B51">
        <w:rPr>
          <w:i/>
          <w:sz w:val="22"/>
          <w:szCs w:val="22"/>
          <w:u w:val="single"/>
        </w:rPr>
        <w:t xml:space="preserve">Resposta </w:t>
      </w:r>
      <w:r w:rsidR="00B150A1">
        <w:rPr>
          <w:i/>
          <w:sz w:val="22"/>
          <w:szCs w:val="22"/>
          <w:u w:val="single"/>
        </w:rPr>
        <w:t>c</w:t>
      </w:r>
      <w:r w:rsidRPr="00CC4B51">
        <w:rPr>
          <w:i/>
          <w:sz w:val="22"/>
          <w:szCs w:val="22"/>
          <w:u w:val="single"/>
        </w:rPr>
        <w:t>línica</w:t>
      </w:r>
    </w:p>
    <w:p w14:paraId="4C7B509E" w14:textId="77777777" w:rsidR="004462A0" w:rsidRPr="00CC4B51" w:rsidRDefault="004462A0" w:rsidP="004462A0">
      <w:pPr>
        <w:rPr>
          <w:sz w:val="22"/>
          <w:szCs w:val="22"/>
        </w:rPr>
      </w:pPr>
    </w:p>
    <w:p w14:paraId="31D08FE5" w14:textId="77777777" w:rsidR="004462A0" w:rsidRPr="00CC4B51" w:rsidRDefault="00615769" w:rsidP="004462A0">
      <w:pPr>
        <w:rPr>
          <w:sz w:val="22"/>
          <w:szCs w:val="22"/>
        </w:rPr>
      </w:pPr>
      <w:r w:rsidRPr="00CC4B51">
        <w:rPr>
          <w:sz w:val="22"/>
          <w:szCs w:val="22"/>
        </w:rPr>
        <w:t xml:space="preserve">Os resultados de ambos os estudos demonstraram uma redução estatisticamente significativa do risco de falha do tratamento em doentes tratados com Humira versus doentes que receberam placebo (Ver Tabela </w:t>
      </w:r>
      <w:r w:rsidR="00835AFF">
        <w:rPr>
          <w:sz w:val="22"/>
          <w:szCs w:val="22"/>
        </w:rPr>
        <w:t>1</w:t>
      </w:r>
      <w:r w:rsidR="00D94630">
        <w:rPr>
          <w:sz w:val="22"/>
          <w:szCs w:val="22"/>
        </w:rPr>
        <w:t>7</w:t>
      </w:r>
      <w:r w:rsidRPr="00CC4B51">
        <w:rPr>
          <w:sz w:val="22"/>
          <w:szCs w:val="22"/>
        </w:rPr>
        <w:t>). Ambos os estudos demonstraram um efeito precoce e sustentado d</w:t>
      </w:r>
      <w:r w:rsidR="003A4C51">
        <w:rPr>
          <w:sz w:val="22"/>
          <w:szCs w:val="22"/>
        </w:rPr>
        <w:t>e</w:t>
      </w:r>
      <w:r w:rsidRPr="00CC4B51">
        <w:rPr>
          <w:sz w:val="22"/>
          <w:szCs w:val="22"/>
        </w:rPr>
        <w:t xml:space="preserve"> Humira, na taxa de falha do tratamento versus placebo (ver Figura 1).</w:t>
      </w:r>
    </w:p>
    <w:p w14:paraId="292D1D82" w14:textId="77777777" w:rsidR="004462A0" w:rsidRPr="00CC4B51" w:rsidRDefault="004462A0" w:rsidP="004462A0">
      <w:pPr>
        <w:rPr>
          <w:sz w:val="22"/>
          <w:szCs w:val="22"/>
        </w:rPr>
      </w:pPr>
    </w:p>
    <w:p w14:paraId="42D1CB7C" w14:textId="77777777" w:rsidR="004462A0" w:rsidRPr="00CC4B51" w:rsidRDefault="00615769" w:rsidP="002F486F">
      <w:pPr>
        <w:keepNext/>
        <w:jc w:val="center"/>
        <w:rPr>
          <w:b/>
          <w:sz w:val="22"/>
          <w:szCs w:val="22"/>
        </w:rPr>
      </w:pPr>
      <w:r w:rsidRPr="00CC4B51">
        <w:rPr>
          <w:b/>
          <w:sz w:val="22"/>
          <w:szCs w:val="22"/>
        </w:rPr>
        <w:t xml:space="preserve">Tabela </w:t>
      </w:r>
      <w:r w:rsidR="00835AFF">
        <w:rPr>
          <w:b/>
          <w:sz w:val="22"/>
          <w:szCs w:val="22"/>
        </w:rPr>
        <w:t>1</w:t>
      </w:r>
      <w:r w:rsidR="00D94630">
        <w:rPr>
          <w:b/>
          <w:sz w:val="22"/>
          <w:szCs w:val="22"/>
        </w:rPr>
        <w:t>7</w:t>
      </w:r>
    </w:p>
    <w:p w14:paraId="057823ED" w14:textId="77777777" w:rsidR="004462A0" w:rsidRPr="00CC4B51" w:rsidRDefault="00615769" w:rsidP="002F486F">
      <w:pPr>
        <w:keepNext/>
        <w:jc w:val="center"/>
        <w:rPr>
          <w:b/>
          <w:sz w:val="22"/>
          <w:szCs w:val="22"/>
        </w:rPr>
      </w:pPr>
      <w:r w:rsidRPr="00CC4B51">
        <w:rPr>
          <w:b/>
          <w:sz w:val="22"/>
          <w:szCs w:val="22"/>
        </w:rPr>
        <w:t>Tempo até Falha do Tratamento nos Estudos UV I e UV II</w:t>
      </w:r>
    </w:p>
    <w:p w14:paraId="6D06E056" w14:textId="77777777" w:rsidR="004462A0" w:rsidRPr="00CC4B51" w:rsidRDefault="004462A0" w:rsidP="002F486F">
      <w:pPr>
        <w:keepNext/>
        <w:rPr>
          <w:b/>
          <w:sz w:val="22"/>
          <w:szCs w:val="22"/>
        </w:rPr>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A7162A" w14:paraId="5B382FA5" w14:textId="77777777" w:rsidTr="00F675CF">
        <w:tc>
          <w:tcPr>
            <w:tcW w:w="2268" w:type="dxa"/>
            <w:tcBorders>
              <w:top w:val="single" w:sz="4" w:space="0" w:color="auto"/>
              <w:bottom w:val="single" w:sz="4" w:space="0" w:color="auto"/>
            </w:tcBorders>
          </w:tcPr>
          <w:p w14:paraId="3BD927A6" w14:textId="77777777" w:rsidR="004462A0" w:rsidRPr="00CC4B51" w:rsidRDefault="00615769" w:rsidP="002F486F">
            <w:pPr>
              <w:keepNext/>
              <w:rPr>
                <w:b/>
                <w:sz w:val="22"/>
                <w:szCs w:val="22"/>
                <w:lang w:val="en-US"/>
              </w:rPr>
            </w:pPr>
            <w:r w:rsidRPr="00CC4B51">
              <w:rPr>
                <w:b/>
                <w:sz w:val="22"/>
                <w:szCs w:val="22"/>
                <w:lang w:val="en-US"/>
              </w:rPr>
              <w:t>Análise</w:t>
            </w:r>
          </w:p>
          <w:p w14:paraId="14D2CE12" w14:textId="77777777" w:rsidR="004462A0" w:rsidRPr="00CC4B51" w:rsidRDefault="00615769" w:rsidP="002F486F">
            <w:pPr>
              <w:keepNext/>
              <w:rPr>
                <w:b/>
                <w:sz w:val="22"/>
                <w:szCs w:val="22"/>
                <w:lang w:val="en-US"/>
              </w:rPr>
            </w:pPr>
            <w:r w:rsidRPr="00CC4B51">
              <w:rPr>
                <w:b/>
                <w:sz w:val="22"/>
                <w:szCs w:val="22"/>
                <w:lang w:val="en-US"/>
              </w:rPr>
              <w:tab/>
              <w:t>Tratamento</w:t>
            </w:r>
          </w:p>
        </w:tc>
        <w:tc>
          <w:tcPr>
            <w:tcW w:w="720" w:type="dxa"/>
            <w:tcBorders>
              <w:top w:val="single" w:sz="4" w:space="0" w:color="auto"/>
              <w:bottom w:val="single" w:sz="4" w:space="0" w:color="auto"/>
            </w:tcBorders>
          </w:tcPr>
          <w:p w14:paraId="763835F1" w14:textId="77777777" w:rsidR="004462A0" w:rsidRPr="00CC4B51" w:rsidRDefault="00615769" w:rsidP="002F486F">
            <w:pPr>
              <w:keepNext/>
              <w:rPr>
                <w:b/>
                <w:sz w:val="22"/>
                <w:szCs w:val="22"/>
                <w:lang w:val="en-US"/>
              </w:rPr>
            </w:pPr>
            <w:r w:rsidRPr="00CC4B51">
              <w:rPr>
                <w:b/>
                <w:sz w:val="22"/>
                <w:szCs w:val="22"/>
                <w:lang w:val="en-US"/>
              </w:rPr>
              <w:t>N</w:t>
            </w:r>
          </w:p>
        </w:tc>
        <w:tc>
          <w:tcPr>
            <w:tcW w:w="1170" w:type="dxa"/>
            <w:tcBorders>
              <w:top w:val="single" w:sz="4" w:space="0" w:color="auto"/>
              <w:bottom w:val="single" w:sz="4" w:space="0" w:color="auto"/>
            </w:tcBorders>
          </w:tcPr>
          <w:p w14:paraId="657A6199" w14:textId="77777777" w:rsidR="004462A0" w:rsidRPr="00CC4B51" w:rsidRDefault="00615769" w:rsidP="002F486F">
            <w:pPr>
              <w:keepNext/>
              <w:rPr>
                <w:b/>
                <w:sz w:val="22"/>
                <w:szCs w:val="22"/>
                <w:lang w:val="en-US"/>
              </w:rPr>
            </w:pPr>
            <w:r w:rsidRPr="00CC4B51">
              <w:rPr>
                <w:b/>
                <w:sz w:val="22"/>
                <w:szCs w:val="22"/>
                <w:lang w:val="en-US"/>
              </w:rPr>
              <w:t>Falha</w:t>
            </w:r>
            <w:r w:rsidRPr="00CC4B51">
              <w:rPr>
                <w:b/>
                <w:sz w:val="22"/>
                <w:szCs w:val="22"/>
                <w:lang w:val="en-US"/>
              </w:rPr>
              <w:br/>
              <w:t>N (%)</w:t>
            </w:r>
          </w:p>
        </w:tc>
        <w:tc>
          <w:tcPr>
            <w:tcW w:w="1890" w:type="dxa"/>
            <w:tcBorders>
              <w:top w:val="single" w:sz="4" w:space="0" w:color="auto"/>
              <w:bottom w:val="single" w:sz="4" w:space="0" w:color="auto"/>
            </w:tcBorders>
          </w:tcPr>
          <w:p w14:paraId="22FF1EF3" w14:textId="77777777" w:rsidR="004462A0" w:rsidRPr="00CC4B51" w:rsidRDefault="00615769" w:rsidP="002F486F">
            <w:pPr>
              <w:keepNext/>
              <w:rPr>
                <w:b/>
                <w:sz w:val="22"/>
                <w:szCs w:val="22"/>
              </w:rPr>
            </w:pPr>
            <w:r w:rsidRPr="00CC4B51">
              <w:rPr>
                <w:b/>
                <w:sz w:val="22"/>
                <w:szCs w:val="22"/>
              </w:rPr>
              <w:t>Tempo(Mediana) até Falha do Tratamento (meses)</w:t>
            </w:r>
          </w:p>
        </w:tc>
        <w:tc>
          <w:tcPr>
            <w:tcW w:w="720" w:type="dxa"/>
            <w:tcBorders>
              <w:top w:val="single" w:sz="4" w:space="0" w:color="auto"/>
              <w:bottom w:val="single" w:sz="4" w:space="0" w:color="auto"/>
            </w:tcBorders>
          </w:tcPr>
          <w:p w14:paraId="30530720" w14:textId="77777777" w:rsidR="004462A0" w:rsidRPr="00CC4B51" w:rsidRDefault="00615769" w:rsidP="002F486F">
            <w:pPr>
              <w:keepNext/>
              <w:rPr>
                <w:b/>
                <w:sz w:val="22"/>
                <w:szCs w:val="22"/>
                <w:lang w:val="en-US"/>
              </w:rPr>
            </w:pPr>
            <w:r w:rsidRPr="00CC4B51">
              <w:rPr>
                <w:b/>
                <w:sz w:val="22"/>
                <w:szCs w:val="22"/>
                <w:lang w:val="en-US"/>
              </w:rPr>
              <w:t>TR</w:t>
            </w:r>
            <w:r w:rsidRPr="00CC4B51">
              <w:rPr>
                <w:b/>
                <w:sz w:val="22"/>
                <w:szCs w:val="22"/>
                <w:vertAlign w:val="superscript"/>
                <w:lang w:val="en-US"/>
              </w:rPr>
              <w:t>a</w:t>
            </w:r>
          </w:p>
        </w:tc>
        <w:tc>
          <w:tcPr>
            <w:tcW w:w="1170" w:type="dxa"/>
            <w:tcBorders>
              <w:top w:val="single" w:sz="4" w:space="0" w:color="auto"/>
              <w:bottom w:val="single" w:sz="4" w:space="0" w:color="auto"/>
            </w:tcBorders>
          </w:tcPr>
          <w:p w14:paraId="7C452EF6" w14:textId="77777777" w:rsidR="004462A0" w:rsidRPr="00CC4B51" w:rsidRDefault="00615769" w:rsidP="002F486F">
            <w:pPr>
              <w:keepNext/>
              <w:rPr>
                <w:b/>
                <w:sz w:val="22"/>
                <w:szCs w:val="22"/>
                <w:lang w:val="en-US"/>
              </w:rPr>
            </w:pPr>
            <w:r w:rsidRPr="00CC4B51">
              <w:rPr>
                <w:b/>
                <w:sz w:val="22"/>
                <w:szCs w:val="22"/>
                <w:lang w:val="en-US"/>
              </w:rPr>
              <w:t>IC 95% para TR</w:t>
            </w:r>
            <w:r w:rsidRPr="00CC4B51">
              <w:rPr>
                <w:b/>
                <w:sz w:val="22"/>
                <w:szCs w:val="22"/>
                <w:vertAlign w:val="superscript"/>
                <w:lang w:val="en-US"/>
              </w:rPr>
              <w:t>a</w:t>
            </w:r>
          </w:p>
        </w:tc>
        <w:tc>
          <w:tcPr>
            <w:tcW w:w="1080" w:type="dxa"/>
            <w:tcBorders>
              <w:top w:val="single" w:sz="4" w:space="0" w:color="auto"/>
              <w:bottom w:val="single" w:sz="4" w:space="0" w:color="auto"/>
            </w:tcBorders>
          </w:tcPr>
          <w:p w14:paraId="0527997E" w14:textId="77777777" w:rsidR="004462A0" w:rsidRPr="00CC4B51" w:rsidRDefault="00615769" w:rsidP="002F486F">
            <w:pPr>
              <w:keepNext/>
              <w:rPr>
                <w:b/>
                <w:sz w:val="22"/>
                <w:szCs w:val="22"/>
                <w:lang w:val="en-US"/>
              </w:rPr>
            </w:pPr>
            <w:r w:rsidRPr="00CC4B51">
              <w:rPr>
                <w:b/>
                <w:sz w:val="22"/>
                <w:szCs w:val="22"/>
                <w:lang w:val="en-US"/>
              </w:rPr>
              <w:t>Valor</w:t>
            </w:r>
            <w:r w:rsidR="00C9386F">
              <w:rPr>
                <w:b/>
                <w:sz w:val="22"/>
                <w:szCs w:val="22"/>
                <w:lang w:val="en-US"/>
              </w:rPr>
              <w:t>-p</w:t>
            </w:r>
            <w:r w:rsidRPr="00CC4B51">
              <w:rPr>
                <w:b/>
                <w:sz w:val="22"/>
                <w:szCs w:val="22"/>
                <w:vertAlign w:val="superscript"/>
                <w:lang w:val="en-US"/>
              </w:rPr>
              <w:t>b</w:t>
            </w:r>
          </w:p>
        </w:tc>
      </w:tr>
      <w:tr w:rsidR="00A7162A" w14:paraId="35ACC141" w14:textId="77777777" w:rsidTr="00F675CF">
        <w:tc>
          <w:tcPr>
            <w:tcW w:w="9018" w:type="dxa"/>
            <w:gridSpan w:val="7"/>
            <w:tcBorders>
              <w:top w:val="single" w:sz="4" w:space="0" w:color="auto"/>
              <w:bottom w:val="nil"/>
            </w:tcBorders>
          </w:tcPr>
          <w:p w14:paraId="1588A19D" w14:textId="77777777" w:rsidR="004462A0" w:rsidRPr="00CC4B51" w:rsidRDefault="00615769" w:rsidP="002F486F">
            <w:pPr>
              <w:keepNext/>
              <w:rPr>
                <w:b/>
                <w:sz w:val="22"/>
                <w:szCs w:val="22"/>
              </w:rPr>
            </w:pPr>
            <w:r w:rsidRPr="00CC4B51">
              <w:rPr>
                <w:b/>
                <w:sz w:val="22"/>
                <w:szCs w:val="22"/>
              </w:rPr>
              <w:t xml:space="preserve">Tempo até Falha do Tratamento na ou após a Semana 6 no Estudo UV I  </w:t>
            </w:r>
          </w:p>
        </w:tc>
      </w:tr>
      <w:tr w:rsidR="00A7162A" w14:paraId="6ECB188F" w14:textId="77777777" w:rsidTr="00F675CF">
        <w:tc>
          <w:tcPr>
            <w:tcW w:w="2988" w:type="dxa"/>
            <w:gridSpan w:val="2"/>
            <w:tcBorders>
              <w:top w:val="nil"/>
              <w:bottom w:val="nil"/>
            </w:tcBorders>
          </w:tcPr>
          <w:p w14:paraId="3F7E9D73" w14:textId="77777777" w:rsidR="004462A0" w:rsidRPr="00CC4B51" w:rsidRDefault="00615769" w:rsidP="002F486F">
            <w:pPr>
              <w:keepNext/>
              <w:rPr>
                <w:sz w:val="22"/>
                <w:szCs w:val="22"/>
                <w:lang w:val="en-US"/>
              </w:rPr>
            </w:pPr>
            <w:r w:rsidRPr="00CC4B51">
              <w:rPr>
                <w:sz w:val="22"/>
                <w:szCs w:val="22"/>
                <w:lang w:val="en-US"/>
              </w:rPr>
              <w:t>Análise primária (ITT)</w:t>
            </w:r>
          </w:p>
        </w:tc>
        <w:tc>
          <w:tcPr>
            <w:tcW w:w="1170" w:type="dxa"/>
            <w:tcBorders>
              <w:top w:val="nil"/>
              <w:bottom w:val="nil"/>
            </w:tcBorders>
          </w:tcPr>
          <w:p w14:paraId="776B1F83" w14:textId="77777777" w:rsidR="004462A0" w:rsidRPr="00CC4B51" w:rsidRDefault="004462A0" w:rsidP="002F486F">
            <w:pPr>
              <w:keepNext/>
              <w:rPr>
                <w:sz w:val="22"/>
                <w:szCs w:val="22"/>
                <w:lang w:val="en-US"/>
              </w:rPr>
            </w:pPr>
          </w:p>
        </w:tc>
        <w:tc>
          <w:tcPr>
            <w:tcW w:w="1890" w:type="dxa"/>
            <w:tcBorders>
              <w:top w:val="nil"/>
              <w:bottom w:val="nil"/>
            </w:tcBorders>
          </w:tcPr>
          <w:p w14:paraId="63A4E384" w14:textId="77777777" w:rsidR="004462A0" w:rsidRPr="00CC4B51" w:rsidRDefault="004462A0" w:rsidP="002F486F">
            <w:pPr>
              <w:keepNext/>
              <w:rPr>
                <w:sz w:val="22"/>
                <w:szCs w:val="22"/>
                <w:lang w:val="en-US"/>
              </w:rPr>
            </w:pPr>
          </w:p>
        </w:tc>
        <w:tc>
          <w:tcPr>
            <w:tcW w:w="720" w:type="dxa"/>
            <w:tcBorders>
              <w:top w:val="nil"/>
              <w:bottom w:val="nil"/>
            </w:tcBorders>
          </w:tcPr>
          <w:p w14:paraId="47B933C4" w14:textId="77777777" w:rsidR="004462A0" w:rsidRPr="00CC4B51" w:rsidRDefault="004462A0" w:rsidP="002F486F">
            <w:pPr>
              <w:keepNext/>
              <w:rPr>
                <w:sz w:val="22"/>
                <w:szCs w:val="22"/>
                <w:lang w:val="en-US"/>
              </w:rPr>
            </w:pPr>
          </w:p>
        </w:tc>
        <w:tc>
          <w:tcPr>
            <w:tcW w:w="1170" w:type="dxa"/>
            <w:tcBorders>
              <w:top w:val="nil"/>
              <w:bottom w:val="nil"/>
            </w:tcBorders>
          </w:tcPr>
          <w:p w14:paraId="2703C6DD" w14:textId="77777777" w:rsidR="004462A0" w:rsidRPr="00CC4B51" w:rsidRDefault="004462A0" w:rsidP="002F486F">
            <w:pPr>
              <w:keepNext/>
              <w:rPr>
                <w:sz w:val="22"/>
                <w:szCs w:val="22"/>
                <w:lang w:val="en-US"/>
              </w:rPr>
            </w:pPr>
          </w:p>
        </w:tc>
        <w:tc>
          <w:tcPr>
            <w:tcW w:w="1080" w:type="dxa"/>
            <w:tcBorders>
              <w:top w:val="nil"/>
              <w:bottom w:val="nil"/>
            </w:tcBorders>
          </w:tcPr>
          <w:p w14:paraId="56F0CBE6" w14:textId="77777777" w:rsidR="004462A0" w:rsidRPr="00CC4B51" w:rsidRDefault="004462A0" w:rsidP="002F486F">
            <w:pPr>
              <w:keepNext/>
              <w:rPr>
                <w:sz w:val="22"/>
                <w:szCs w:val="22"/>
                <w:lang w:val="en-US"/>
              </w:rPr>
            </w:pPr>
          </w:p>
        </w:tc>
      </w:tr>
      <w:tr w:rsidR="00A7162A" w14:paraId="30759B85" w14:textId="77777777" w:rsidTr="00F675CF">
        <w:tc>
          <w:tcPr>
            <w:tcW w:w="2268" w:type="dxa"/>
            <w:tcBorders>
              <w:top w:val="nil"/>
              <w:bottom w:val="nil"/>
            </w:tcBorders>
          </w:tcPr>
          <w:p w14:paraId="007A1645" w14:textId="77777777" w:rsidR="004462A0" w:rsidRPr="00CC4B51" w:rsidRDefault="00615769" w:rsidP="002F486F">
            <w:pPr>
              <w:keepNext/>
              <w:rPr>
                <w:sz w:val="22"/>
                <w:szCs w:val="22"/>
                <w:lang w:val="en-US"/>
              </w:rPr>
            </w:pPr>
            <w:r w:rsidRPr="00CC4B51">
              <w:rPr>
                <w:sz w:val="22"/>
                <w:szCs w:val="22"/>
                <w:lang w:val="en-US"/>
              </w:rPr>
              <w:tab/>
              <w:t>Placebo</w:t>
            </w:r>
          </w:p>
        </w:tc>
        <w:tc>
          <w:tcPr>
            <w:tcW w:w="720" w:type="dxa"/>
            <w:tcBorders>
              <w:top w:val="nil"/>
              <w:bottom w:val="nil"/>
            </w:tcBorders>
          </w:tcPr>
          <w:p w14:paraId="66B51354" w14:textId="77777777" w:rsidR="004462A0" w:rsidRPr="00CC4B51" w:rsidRDefault="00615769" w:rsidP="002F486F">
            <w:pPr>
              <w:keepNext/>
              <w:rPr>
                <w:sz w:val="22"/>
                <w:szCs w:val="22"/>
                <w:lang w:val="en-US"/>
              </w:rPr>
            </w:pPr>
            <w:r w:rsidRPr="00CC4B51">
              <w:rPr>
                <w:sz w:val="22"/>
                <w:szCs w:val="22"/>
                <w:lang w:val="en-US"/>
              </w:rPr>
              <w:t>107</w:t>
            </w:r>
          </w:p>
        </w:tc>
        <w:tc>
          <w:tcPr>
            <w:tcW w:w="1170" w:type="dxa"/>
            <w:tcBorders>
              <w:top w:val="nil"/>
              <w:bottom w:val="nil"/>
            </w:tcBorders>
          </w:tcPr>
          <w:p w14:paraId="4BB37B8C" w14:textId="77777777" w:rsidR="004462A0" w:rsidRPr="00CC4B51" w:rsidRDefault="00615769" w:rsidP="002F486F">
            <w:pPr>
              <w:keepNext/>
              <w:rPr>
                <w:sz w:val="22"/>
                <w:szCs w:val="22"/>
                <w:lang w:val="en-US"/>
              </w:rPr>
            </w:pPr>
            <w:r w:rsidRPr="00CC4B51">
              <w:rPr>
                <w:sz w:val="22"/>
                <w:szCs w:val="22"/>
                <w:lang w:val="en-US"/>
              </w:rPr>
              <w:t>84 (78,5)</w:t>
            </w:r>
          </w:p>
        </w:tc>
        <w:tc>
          <w:tcPr>
            <w:tcW w:w="1890" w:type="dxa"/>
            <w:tcBorders>
              <w:top w:val="nil"/>
              <w:bottom w:val="nil"/>
            </w:tcBorders>
          </w:tcPr>
          <w:p w14:paraId="3F977CBB" w14:textId="77777777" w:rsidR="004462A0" w:rsidRPr="00CC4B51" w:rsidRDefault="00615769" w:rsidP="002F486F">
            <w:pPr>
              <w:keepNext/>
              <w:rPr>
                <w:sz w:val="22"/>
                <w:szCs w:val="22"/>
                <w:lang w:val="en-US"/>
              </w:rPr>
            </w:pPr>
            <w:r w:rsidRPr="00CC4B51">
              <w:rPr>
                <w:sz w:val="22"/>
                <w:szCs w:val="22"/>
                <w:lang w:val="en-US"/>
              </w:rPr>
              <w:t>3,0</w:t>
            </w:r>
          </w:p>
        </w:tc>
        <w:tc>
          <w:tcPr>
            <w:tcW w:w="720" w:type="dxa"/>
            <w:tcBorders>
              <w:top w:val="nil"/>
              <w:bottom w:val="nil"/>
            </w:tcBorders>
          </w:tcPr>
          <w:p w14:paraId="3198E7BA" w14:textId="77777777" w:rsidR="004462A0" w:rsidRPr="00CC4B51" w:rsidRDefault="00615769" w:rsidP="002F486F">
            <w:pPr>
              <w:keepNext/>
              <w:rPr>
                <w:sz w:val="22"/>
                <w:szCs w:val="22"/>
                <w:lang w:val="en-US"/>
              </w:rPr>
            </w:pPr>
            <w:r w:rsidRPr="00CC4B51">
              <w:rPr>
                <w:sz w:val="22"/>
                <w:szCs w:val="22"/>
                <w:lang w:val="en-US"/>
              </w:rPr>
              <w:t>--</w:t>
            </w:r>
          </w:p>
        </w:tc>
        <w:tc>
          <w:tcPr>
            <w:tcW w:w="1170" w:type="dxa"/>
            <w:tcBorders>
              <w:top w:val="nil"/>
              <w:bottom w:val="nil"/>
            </w:tcBorders>
          </w:tcPr>
          <w:p w14:paraId="51FEA396" w14:textId="77777777" w:rsidR="004462A0" w:rsidRPr="00CC4B51" w:rsidRDefault="00615769" w:rsidP="002F486F">
            <w:pPr>
              <w:keepNext/>
              <w:rPr>
                <w:sz w:val="22"/>
                <w:szCs w:val="22"/>
                <w:lang w:val="en-US"/>
              </w:rPr>
            </w:pPr>
            <w:r w:rsidRPr="00CC4B51">
              <w:rPr>
                <w:sz w:val="22"/>
                <w:szCs w:val="22"/>
                <w:lang w:val="en-US"/>
              </w:rPr>
              <w:t>--</w:t>
            </w:r>
          </w:p>
        </w:tc>
        <w:tc>
          <w:tcPr>
            <w:tcW w:w="1080" w:type="dxa"/>
            <w:tcBorders>
              <w:top w:val="nil"/>
              <w:bottom w:val="nil"/>
            </w:tcBorders>
          </w:tcPr>
          <w:p w14:paraId="30D6833D" w14:textId="77777777" w:rsidR="004462A0" w:rsidRPr="00CC4B51" w:rsidRDefault="00615769" w:rsidP="002F486F">
            <w:pPr>
              <w:keepNext/>
              <w:rPr>
                <w:sz w:val="22"/>
                <w:szCs w:val="22"/>
                <w:lang w:val="en-US"/>
              </w:rPr>
            </w:pPr>
            <w:r w:rsidRPr="00CC4B51">
              <w:rPr>
                <w:sz w:val="22"/>
                <w:szCs w:val="22"/>
                <w:lang w:val="en-US"/>
              </w:rPr>
              <w:t>--</w:t>
            </w:r>
          </w:p>
        </w:tc>
      </w:tr>
      <w:tr w:rsidR="00A7162A" w14:paraId="324791D6" w14:textId="77777777" w:rsidTr="00F675CF">
        <w:tc>
          <w:tcPr>
            <w:tcW w:w="2268" w:type="dxa"/>
            <w:tcBorders>
              <w:top w:val="nil"/>
              <w:bottom w:val="single" w:sz="4" w:space="0" w:color="auto"/>
            </w:tcBorders>
          </w:tcPr>
          <w:p w14:paraId="2ADC076C" w14:textId="77777777" w:rsidR="004462A0" w:rsidRPr="00CC4B51" w:rsidRDefault="00615769" w:rsidP="002F486F">
            <w:pPr>
              <w:keepNext/>
              <w:rPr>
                <w:sz w:val="22"/>
                <w:szCs w:val="22"/>
                <w:lang w:val="en-US"/>
              </w:rPr>
            </w:pPr>
            <w:r w:rsidRPr="00CC4B51">
              <w:rPr>
                <w:sz w:val="22"/>
                <w:szCs w:val="22"/>
                <w:lang w:val="en-US"/>
              </w:rPr>
              <w:tab/>
              <w:t>Adalimumab</w:t>
            </w:r>
          </w:p>
        </w:tc>
        <w:tc>
          <w:tcPr>
            <w:tcW w:w="720" w:type="dxa"/>
            <w:tcBorders>
              <w:top w:val="nil"/>
              <w:bottom w:val="single" w:sz="4" w:space="0" w:color="auto"/>
            </w:tcBorders>
          </w:tcPr>
          <w:p w14:paraId="5615865C" w14:textId="77777777" w:rsidR="004462A0" w:rsidRPr="00CC4B51" w:rsidRDefault="00615769" w:rsidP="002F486F">
            <w:pPr>
              <w:keepNext/>
              <w:rPr>
                <w:sz w:val="22"/>
                <w:szCs w:val="22"/>
                <w:lang w:val="en-US"/>
              </w:rPr>
            </w:pPr>
            <w:r w:rsidRPr="00CC4B51">
              <w:rPr>
                <w:sz w:val="22"/>
                <w:szCs w:val="22"/>
                <w:lang w:val="en-US"/>
              </w:rPr>
              <w:t>110</w:t>
            </w:r>
          </w:p>
        </w:tc>
        <w:tc>
          <w:tcPr>
            <w:tcW w:w="1170" w:type="dxa"/>
            <w:tcBorders>
              <w:top w:val="nil"/>
              <w:bottom w:val="single" w:sz="4" w:space="0" w:color="auto"/>
            </w:tcBorders>
          </w:tcPr>
          <w:p w14:paraId="12D0663E" w14:textId="77777777" w:rsidR="004462A0" w:rsidRPr="00CC4B51" w:rsidRDefault="00615769" w:rsidP="002F486F">
            <w:pPr>
              <w:keepNext/>
              <w:rPr>
                <w:sz w:val="22"/>
                <w:szCs w:val="22"/>
                <w:lang w:val="en-US"/>
              </w:rPr>
            </w:pPr>
            <w:r w:rsidRPr="00CC4B51">
              <w:rPr>
                <w:sz w:val="22"/>
                <w:szCs w:val="22"/>
                <w:lang w:val="en-US"/>
              </w:rPr>
              <w:t>60 (54,5)</w:t>
            </w:r>
          </w:p>
        </w:tc>
        <w:tc>
          <w:tcPr>
            <w:tcW w:w="1890" w:type="dxa"/>
            <w:tcBorders>
              <w:top w:val="nil"/>
              <w:bottom w:val="single" w:sz="4" w:space="0" w:color="auto"/>
            </w:tcBorders>
          </w:tcPr>
          <w:p w14:paraId="5FEF24CC" w14:textId="77777777" w:rsidR="004462A0" w:rsidRPr="00CC4B51" w:rsidRDefault="00615769" w:rsidP="002F486F">
            <w:pPr>
              <w:keepNext/>
              <w:rPr>
                <w:sz w:val="22"/>
                <w:szCs w:val="22"/>
                <w:lang w:val="en-US"/>
              </w:rPr>
            </w:pPr>
            <w:r w:rsidRPr="00CC4B51">
              <w:rPr>
                <w:sz w:val="22"/>
                <w:szCs w:val="22"/>
                <w:lang w:val="en-US"/>
              </w:rPr>
              <w:t>5,6</w:t>
            </w:r>
          </w:p>
        </w:tc>
        <w:tc>
          <w:tcPr>
            <w:tcW w:w="720" w:type="dxa"/>
            <w:tcBorders>
              <w:top w:val="nil"/>
              <w:bottom w:val="single" w:sz="4" w:space="0" w:color="auto"/>
            </w:tcBorders>
          </w:tcPr>
          <w:p w14:paraId="7463A2DD" w14:textId="77777777" w:rsidR="004462A0" w:rsidRPr="00CC4B51" w:rsidRDefault="00615769" w:rsidP="002F486F">
            <w:pPr>
              <w:keepNext/>
              <w:rPr>
                <w:sz w:val="22"/>
                <w:szCs w:val="22"/>
                <w:lang w:val="en-US"/>
              </w:rPr>
            </w:pPr>
            <w:r w:rsidRPr="00CC4B51">
              <w:rPr>
                <w:sz w:val="22"/>
                <w:szCs w:val="22"/>
                <w:lang w:val="en-US"/>
              </w:rPr>
              <w:t>0,50</w:t>
            </w:r>
          </w:p>
        </w:tc>
        <w:tc>
          <w:tcPr>
            <w:tcW w:w="1170" w:type="dxa"/>
            <w:tcBorders>
              <w:top w:val="nil"/>
              <w:bottom w:val="single" w:sz="4" w:space="0" w:color="auto"/>
            </w:tcBorders>
          </w:tcPr>
          <w:p w14:paraId="2D6BE2AF" w14:textId="77777777" w:rsidR="004462A0" w:rsidRPr="00CC4B51" w:rsidRDefault="00615769" w:rsidP="002F486F">
            <w:pPr>
              <w:keepNext/>
              <w:rPr>
                <w:sz w:val="22"/>
                <w:szCs w:val="22"/>
                <w:lang w:val="en-US"/>
              </w:rPr>
            </w:pPr>
            <w:r w:rsidRPr="00CC4B51">
              <w:rPr>
                <w:sz w:val="22"/>
                <w:szCs w:val="22"/>
                <w:lang w:val="en-US"/>
              </w:rPr>
              <w:t>0,36, 0,70</w:t>
            </w:r>
            <w:r w:rsidRPr="00CC4B51">
              <w:rPr>
                <w:sz w:val="22"/>
                <w:szCs w:val="22"/>
                <w:vertAlign w:val="superscript"/>
                <w:lang w:val="en-US"/>
              </w:rPr>
              <w:t xml:space="preserve"> </w:t>
            </w:r>
          </w:p>
        </w:tc>
        <w:tc>
          <w:tcPr>
            <w:tcW w:w="1080" w:type="dxa"/>
            <w:tcBorders>
              <w:top w:val="nil"/>
              <w:bottom w:val="single" w:sz="4" w:space="0" w:color="auto"/>
            </w:tcBorders>
          </w:tcPr>
          <w:p w14:paraId="1EE42AB8" w14:textId="77777777" w:rsidR="004462A0" w:rsidRPr="00CC4B51" w:rsidRDefault="00615769" w:rsidP="002F486F">
            <w:pPr>
              <w:keepNext/>
              <w:rPr>
                <w:sz w:val="22"/>
                <w:szCs w:val="22"/>
                <w:lang w:val="en-US"/>
              </w:rPr>
            </w:pPr>
            <w:r w:rsidRPr="00CC4B51">
              <w:rPr>
                <w:sz w:val="22"/>
                <w:szCs w:val="22"/>
                <w:lang w:val="en-US"/>
              </w:rPr>
              <w:t>&lt; 0,001</w:t>
            </w:r>
          </w:p>
        </w:tc>
      </w:tr>
      <w:tr w:rsidR="00A7162A" w14:paraId="23BFA75F" w14:textId="77777777" w:rsidTr="00F675CF">
        <w:tblPrEx>
          <w:tblBorders>
            <w:left w:val="single" w:sz="4" w:space="0" w:color="auto"/>
            <w:right w:val="single" w:sz="4" w:space="0" w:color="auto"/>
            <w:insideH w:val="single" w:sz="4" w:space="0" w:color="auto"/>
            <w:insideV w:val="single" w:sz="4" w:space="0" w:color="auto"/>
          </w:tblBorders>
        </w:tblPrEx>
        <w:tc>
          <w:tcPr>
            <w:tcW w:w="9018" w:type="dxa"/>
            <w:gridSpan w:val="7"/>
            <w:tcBorders>
              <w:left w:val="nil"/>
              <w:bottom w:val="nil"/>
              <w:right w:val="nil"/>
            </w:tcBorders>
          </w:tcPr>
          <w:p w14:paraId="7EB29308" w14:textId="77777777" w:rsidR="004462A0" w:rsidRPr="00CC4B51" w:rsidRDefault="00615769" w:rsidP="002F486F">
            <w:pPr>
              <w:keepNext/>
              <w:rPr>
                <w:b/>
                <w:sz w:val="22"/>
                <w:szCs w:val="22"/>
              </w:rPr>
            </w:pPr>
            <w:r w:rsidRPr="00CC4B51">
              <w:rPr>
                <w:b/>
                <w:sz w:val="22"/>
                <w:szCs w:val="22"/>
              </w:rPr>
              <w:t>Tempo até Falha do Tratamento na ou após a Semana 2 no Estudo UV II</w:t>
            </w:r>
          </w:p>
        </w:tc>
      </w:tr>
      <w:tr w:rsidR="00A7162A" w14:paraId="590FE4F6" w14:textId="77777777" w:rsidTr="00F675CF">
        <w:tblPrEx>
          <w:tblBorders>
            <w:left w:val="single" w:sz="4" w:space="0" w:color="auto"/>
            <w:right w:val="single" w:sz="4" w:space="0" w:color="auto"/>
            <w:insideH w:val="single" w:sz="4" w:space="0" w:color="auto"/>
            <w:insideV w:val="single" w:sz="4" w:space="0" w:color="auto"/>
          </w:tblBorders>
        </w:tblPrEx>
        <w:tc>
          <w:tcPr>
            <w:tcW w:w="2988" w:type="dxa"/>
            <w:gridSpan w:val="2"/>
            <w:tcBorders>
              <w:top w:val="nil"/>
              <w:left w:val="nil"/>
              <w:bottom w:val="nil"/>
              <w:right w:val="nil"/>
            </w:tcBorders>
          </w:tcPr>
          <w:p w14:paraId="0A84BEF5" w14:textId="77777777" w:rsidR="004462A0" w:rsidRPr="00CC4B51" w:rsidRDefault="00615769" w:rsidP="002F486F">
            <w:pPr>
              <w:keepNext/>
              <w:rPr>
                <w:sz w:val="22"/>
                <w:szCs w:val="22"/>
                <w:lang w:val="en-US"/>
              </w:rPr>
            </w:pPr>
            <w:r w:rsidRPr="00CC4B51">
              <w:rPr>
                <w:sz w:val="22"/>
                <w:szCs w:val="22"/>
              </w:rPr>
              <w:t>Análise primária</w:t>
            </w:r>
            <w:r w:rsidRPr="00CC4B51">
              <w:rPr>
                <w:sz w:val="22"/>
                <w:szCs w:val="22"/>
                <w:lang w:val="en-US"/>
              </w:rPr>
              <w:t xml:space="preserve"> (ITT)</w:t>
            </w:r>
          </w:p>
        </w:tc>
        <w:tc>
          <w:tcPr>
            <w:tcW w:w="1170" w:type="dxa"/>
            <w:tcBorders>
              <w:top w:val="nil"/>
              <w:left w:val="nil"/>
              <w:bottom w:val="nil"/>
              <w:right w:val="nil"/>
            </w:tcBorders>
          </w:tcPr>
          <w:p w14:paraId="219E6F82" w14:textId="77777777" w:rsidR="004462A0" w:rsidRPr="00CC4B51" w:rsidRDefault="004462A0" w:rsidP="002F486F">
            <w:pPr>
              <w:keepNext/>
              <w:rPr>
                <w:sz w:val="22"/>
                <w:szCs w:val="22"/>
                <w:lang w:val="en-US"/>
              </w:rPr>
            </w:pPr>
          </w:p>
        </w:tc>
        <w:tc>
          <w:tcPr>
            <w:tcW w:w="1890" w:type="dxa"/>
            <w:tcBorders>
              <w:top w:val="nil"/>
              <w:left w:val="nil"/>
              <w:bottom w:val="nil"/>
              <w:right w:val="nil"/>
            </w:tcBorders>
          </w:tcPr>
          <w:p w14:paraId="56289209" w14:textId="77777777" w:rsidR="004462A0" w:rsidRPr="00CC4B51" w:rsidRDefault="004462A0" w:rsidP="002F486F">
            <w:pPr>
              <w:keepNext/>
              <w:rPr>
                <w:sz w:val="22"/>
                <w:szCs w:val="22"/>
                <w:lang w:val="en-US"/>
              </w:rPr>
            </w:pPr>
          </w:p>
        </w:tc>
        <w:tc>
          <w:tcPr>
            <w:tcW w:w="720" w:type="dxa"/>
            <w:tcBorders>
              <w:top w:val="nil"/>
              <w:left w:val="nil"/>
              <w:bottom w:val="nil"/>
              <w:right w:val="nil"/>
            </w:tcBorders>
          </w:tcPr>
          <w:p w14:paraId="6D774BDE" w14:textId="77777777" w:rsidR="004462A0" w:rsidRPr="00CC4B51" w:rsidRDefault="004462A0" w:rsidP="002F486F">
            <w:pPr>
              <w:keepNext/>
              <w:rPr>
                <w:sz w:val="22"/>
                <w:szCs w:val="22"/>
                <w:lang w:val="en-US"/>
              </w:rPr>
            </w:pPr>
          </w:p>
        </w:tc>
        <w:tc>
          <w:tcPr>
            <w:tcW w:w="1170" w:type="dxa"/>
            <w:tcBorders>
              <w:top w:val="nil"/>
              <w:left w:val="nil"/>
              <w:bottom w:val="nil"/>
              <w:right w:val="nil"/>
            </w:tcBorders>
          </w:tcPr>
          <w:p w14:paraId="14A6735F" w14:textId="77777777" w:rsidR="004462A0" w:rsidRPr="00CC4B51" w:rsidRDefault="004462A0" w:rsidP="002F486F">
            <w:pPr>
              <w:keepNext/>
              <w:rPr>
                <w:sz w:val="22"/>
                <w:szCs w:val="22"/>
                <w:lang w:val="en-US"/>
              </w:rPr>
            </w:pPr>
          </w:p>
        </w:tc>
        <w:tc>
          <w:tcPr>
            <w:tcW w:w="1080" w:type="dxa"/>
            <w:tcBorders>
              <w:top w:val="nil"/>
              <w:left w:val="nil"/>
              <w:bottom w:val="nil"/>
              <w:right w:val="nil"/>
            </w:tcBorders>
          </w:tcPr>
          <w:p w14:paraId="50A4B065" w14:textId="77777777" w:rsidR="004462A0" w:rsidRPr="00CC4B51" w:rsidRDefault="004462A0" w:rsidP="002F486F">
            <w:pPr>
              <w:keepNext/>
              <w:rPr>
                <w:sz w:val="22"/>
                <w:szCs w:val="22"/>
                <w:lang w:val="en-US"/>
              </w:rPr>
            </w:pPr>
          </w:p>
        </w:tc>
      </w:tr>
      <w:tr w:rsidR="00A7162A" w14:paraId="77429C60" w14:textId="77777777" w:rsidTr="00F675CF">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nil"/>
              <w:right w:val="nil"/>
            </w:tcBorders>
          </w:tcPr>
          <w:p w14:paraId="51CF9C24" w14:textId="77777777" w:rsidR="004462A0" w:rsidRPr="00CC4B51" w:rsidRDefault="00615769" w:rsidP="002F486F">
            <w:pPr>
              <w:keepNext/>
              <w:rPr>
                <w:sz w:val="22"/>
                <w:szCs w:val="22"/>
                <w:lang w:val="en-US"/>
              </w:rPr>
            </w:pPr>
            <w:r w:rsidRPr="00CC4B51">
              <w:rPr>
                <w:sz w:val="22"/>
                <w:szCs w:val="22"/>
                <w:lang w:val="en-US"/>
              </w:rPr>
              <w:tab/>
              <w:t>Placebo</w:t>
            </w:r>
          </w:p>
        </w:tc>
        <w:tc>
          <w:tcPr>
            <w:tcW w:w="720" w:type="dxa"/>
            <w:tcBorders>
              <w:top w:val="nil"/>
              <w:left w:val="nil"/>
              <w:bottom w:val="nil"/>
              <w:right w:val="nil"/>
            </w:tcBorders>
          </w:tcPr>
          <w:p w14:paraId="24A5E4B3" w14:textId="77777777" w:rsidR="004462A0" w:rsidRPr="00CC4B51" w:rsidRDefault="00615769" w:rsidP="002F486F">
            <w:pPr>
              <w:keepNext/>
              <w:rPr>
                <w:sz w:val="22"/>
                <w:szCs w:val="22"/>
                <w:lang w:val="en-US"/>
              </w:rPr>
            </w:pPr>
            <w:r w:rsidRPr="00CC4B51">
              <w:rPr>
                <w:sz w:val="22"/>
                <w:szCs w:val="22"/>
                <w:lang w:val="en-US"/>
              </w:rPr>
              <w:t>111</w:t>
            </w:r>
          </w:p>
        </w:tc>
        <w:tc>
          <w:tcPr>
            <w:tcW w:w="1170" w:type="dxa"/>
            <w:tcBorders>
              <w:top w:val="nil"/>
              <w:left w:val="nil"/>
              <w:bottom w:val="nil"/>
              <w:right w:val="nil"/>
            </w:tcBorders>
          </w:tcPr>
          <w:p w14:paraId="0B4375C8" w14:textId="77777777" w:rsidR="004462A0" w:rsidRPr="00CC4B51" w:rsidRDefault="00615769" w:rsidP="002F486F">
            <w:pPr>
              <w:keepNext/>
              <w:rPr>
                <w:sz w:val="22"/>
                <w:szCs w:val="22"/>
                <w:lang w:val="en-US"/>
              </w:rPr>
            </w:pPr>
            <w:r w:rsidRPr="00CC4B51">
              <w:rPr>
                <w:sz w:val="22"/>
                <w:szCs w:val="22"/>
                <w:lang w:val="en-US"/>
              </w:rPr>
              <w:t>61 (55,0)</w:t>
            </w:r>
          </w:p>
        </w:tc>
        <w:tc>
          <w:tcPr>
            <w:tcW w:w="1890" w:type="dxa"/>
            <w:tcBorders>
              <w:top w:val="nil"/>
              <w:left w:val="nil"/>
              <w:bottom w:val="nil"/>
              <w:right w:val="nil"/>
            </w:tcBorders>
          </w:tcPr>
          <w:p w14:paraId="360A2976" w14:textId="77777777" w:rsidR="004462A0" w:rsidRPr="00CC4B51" w:rsidRDefault="00615769" w:rsidP="002F486F">
            <w:pPr>
              <w:keepNext/>
              <w:rPr>
                <w:sz w:val="22"/>
                <w:szCs w:val="22"/>
                <w:lang w:val="en-US"/>
              </w:rPr>
            </w:pPr>
            <w:r w:rsidRPr="00CC4B51">
              <w:rPr>
                <w:sz w:val="22"/>
                <w:szCs w:val="22"/>
                <w:lang w:val="en-US"/>
              </w:rPr>
              <w:t>8,3</w:t>
            </w:r>
          </w:p>
        </w:tc>
        <w:tc>
          <w:tcPr>
            <w:tcW w:w="720" w:type="dxa"/>
            <w:tcBorders>
              <w:top w:val="nil"/>
              <w:left w:val="nil"/>
              <w:bottom w:val="nil"/>
              <w:right w:val="nil"/>
            </w:tcBorders>
          </w:tcPr>
          <w:p w14:paraId="3EE5695C" w14:textId="77777777" w:rsidR="004462A0" w:rsidRPr="00CC4B51" w:rsidRDefault="00615769" w:rsidP="002F486F">
            <w:pPr>
              <w:keepNext/>
              <w:rPr>
                <w:sz w:val="22"/>
                <w:szCs w:val="22"/>
                <w:lang w:val="en-US"/>
              </w:rPr>
            </w:pPr>
            <w:r w:rsidRPr="00CC4B51">
              <w:rPr>
                <w:sz w:val="22"/>
                <w:szCs w:val="22"/>
                <w:lang w:val="en-US"/>
              </w:rPr>
              <w:t>--</w:t>
            </w:r>
          </w:p>
        </w:tc>
        <w:tc>
          <w:tcPr>
            <w:tcW w:w="1170" w:type="dxa"/>
            <w:tcBorders>
              <w:top w:val="nil"/>
              <w:left w:val="nil"/>
              <w:bottom w:val="nil"/>
              <w:right w:val="nil"/>
            </w:tcBorders>
          </w:tcPr>
          <w:p w14:paraId="0207D1EE" w14:textId="77777777" w:rsidR="004462A0" w:rsidRPr="00CC4B51" w:rsidRDefault="00615769" w:rsidP="002F486F">
            <w:pPr>
              <w:keepNext/>
              <w:rPr>
                <w:sz w:val="22"/>
                <w:szCs w:val="22"/>
                <w:lang w:val="en-US"/>
              </w:rPr>
            </w:pPr>
            <w:r w:rsidRPr="00CC4B51">
              <w:rPr>
                <w:sz w:val="22"/>
                <w:szCs w:val="22"/>
                <w:lang w:val="en-US"/>
              </w:rPr>
              <w:t>--</w:t>
            </w:r>
          </w:p>
        </w:tc>
        <w:tc>
          <w:tcPr>
            <w:tcW w:w="1080" w:type="dxa"/>
            <w:tcBorders>
              <w:top w:val="nil"/>
              <w:left w:val="nil"/>
              <w:bottom w:val="nil"/>
              <w:right w:val="nil"/>
            </w:tcBorders>
          </w:tcPr>
          <w:p w14:paraId="010D5355" w14:textId="77777777" w:rsidR="004462A0" w:rsidRPr="00CC4B51" w:rsidRDefault="00615769" w:rsidP="002F486F">
            <w:pPr>
              <w:keepNext/>
              <w:rPr>
                <w:sz w:val="22"/>
                <w:szCs w:val="22"/>
                <w:lang w:val="en-US"/>
              </w:rPr>
            </w:pPr>
            <w:r w:rsidRPr="00CC4B51">
              <w:rPr>
                <w:sz w:val="22"/>
                <w:szCs w:val="22"/>
                <w:lang w:val="en-US"/>
              </w:rPr>
              <w:t>--</w:t>
            </w:r>
          </w:p>
        </w:tc>
      </w:tr>
      <w:tr w:rsidR="00A7162A" w14:paraId="5E494A30" w14:textId="77777777" w:rsidTr="00F675CF">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single" w:sz="4" w:space="0" w:color="auto"/>
              <w:right w:val="nil"/>
            </w:tcBorders>
          </w:tcPr>
          <w:p w14:paraId="5175FE10" w14:textId="77777777" w:rsidR="004462A0" w:rsidRPr="00CC4B51" w:rsidRDefault="00615769" w:rsidP="002F486F">
            <w:pPr>
              <w:keepNext/>
              <w:rPr>
                <w:sz w:val="22"/>
                <w:szCs w:val="22"/>
                <w:lang w:val="en-US"/>
              </w:rPr>
            </w:pPr>
            <w:r w:rsidRPr="00CC4B51">
              <w:rPr>
                <w:sz w:val="22"/>
                <w:szCs w:val="22"/>
                <w:lang w:val="en-US"/>
              </w:rPr>
              <w:tab/>
              <w:t>Adalimumab</w:t>
            </w:r>
          </w:p>
        </w:tc>
        <w:tc>
          <w:tcPr>
            <w:tcW w:w="720" w:type="dxa"/>
            <w:tcBorders>
              <w:top w:val="nil"/>
              <w:left w:val="nil"/>
              <w:bottom w:val="single" w:sz="4" w:space="0" w:color="auto"/>
              <w:right w:val="nil"/>
            </w:tcBorders>
          </w:tcPr>
          <w:p w14:paraId="36A087E6" w14:textId="77777777" w:rsidR="004462A0" w:rsidRPr="00CC4B51" w:rsidRDefault="00615769" w:rsidP="002F486F">
            <w:pPr>
              <w:keepNext/>
              <w:rPr>
                <w:sz w:val="22"/>
                <w:szCs w:val="22"/>
                <w:lang w:val="en-US"/>
              </w:rPr>
            </w:pPr>
            <w:r w:rsidRPr="00CC4B51">
              <w:rPr>
                <w:sz w:val="22"/>
                <w:szCs w:val="22"/>
                <w:lang w:val="en-US"/>
              </w:rPr>
              <w:t>115</w:t>
            </w:r>
          </w:p>
        </w:tc>
        <w:tc>
          <w:tcPr>
            <w:tcW w:w="1170" w:type="dxa"/>
            <w:tcBorders>
              <w:top w:val="nil"/>
              <w:left w:val="nil"/>
              <w:bottom w:val="single" w:sz="4" w:space="0" w:color="auto"/>
              <w:right w:val="nil"/>
            </w:tcBorders>
          </w:tcPr>
          <w:p w14:paraId="478A6576" w14:textId="77777777" w:rsidR="004462A0" w:rsidRPr="00CC4B51" w:rsidRDefault="00615769" w:rsidP="002F486F">
            <w:pPr>
              <w:keepNext/>
              <w:rPr>
                <w:sz w:val="22"/>
                <w:szCs w:val="22"/>
                <w:lang w:val="en-US"/>
              </w:rPr>
            </w:pPr>
            <w:r w:rsidRPr="00CC4B51">
              <w:rPr>
                <w:sz w:val="22"/>
                <w:szCs w:val="22"/>
                <w:lang w:val="en-US"/>
              </w:rPr>
              <w:t>45 (39,1)</w:t>
            </w:r>
          </w:p>
        </w:tc>
        <w:tc>
          <w:tcPr>
            <w:tcW w:w="1890" w:type="dxa"/>
            <w:tcBorders>
              <w:top w:val="nil"/>
              <w:left w:val="nil"/>
              <w:bottom w:val="single" w:sz="4" w:space="0" w:color="auto"/>
              <w:right w:val="nil"/>
            </w:tcBorders>
          </w:tcPr>
          <w:p w14:paraId="236330B8" w14:textId="77777777" w:rsidR="004462A0" w:rsidRPr="00CC4B51" w:rsidRDefault="00615769" w:rsidP="002F486F">
            <w:pPr>
              <w:keepNext/>
              <w:rPr>
                <w:sz w:val="22"/>
                <w:szCs w:val="22"/>
                <w:lang w:val="en-US"/>
              </w:rPr>
            </w:pPr>
            <w:r w:rsidRPr="00CC4B51">
              <w:rPr>
                <w:sz w:val="22"/>
                <w:szCs w:val="22"/>
                <w:lang w:val="en-US"/>
              </w:rPr>
              <w:t>NE</w:t>
            </w:r>
            <w:r w:rsidRPr="00CC4B51">
              <w:rPr>
                <w:sz w:val="22"/>
                <w:szCs w:val="22"/>
                <w:vertAlign w:val="superscript"/>
                <w:lang w:val="en-US"/>
              </w:rPr>
              <w:t>c</w:t>
            </w:r>
          </w:p>
        </w:tc>
        <w:tc>
          <w:tcPr>
            <w:tcW w:w="720" w:type="dxa"/>
            <w:tcBorders>
              <w:top w:val="nil"/>
              <w:left w:val="nil"/>
              <w:bottom w:val="single" w:sz="4" w:space="0" w:color="auto"/>
              <w:right w:val="nil"/>
            </w:tcBorders>
          </w:tcPr>
          <w:p w14:paraId="2F50B5F2" w14:textId="77777777" w:rsidR="004462A0" w:rsidRPr="00CC4B51" w:rsidRDefault="00615769" w:rsidP="002F486F">
            <w:pPr>
              <w:keepNext/>
              <w:rPr>
                <w:sz w:val="22"/>
                <w:szCs w:val="22"/>
                <w:lang w:val="en-US"/>
              </w:rPr>
            </w:pPr>
            <w:r w:rsidRPr="00CC4B51">
              <w:rPr>
                <w:sz w:val="22"/>
                <w:szCs w:val="22"/>
                <w:lang w:val="en-US"/>
              </w:rPr>
              <w:t>0,57</w:t>
            </w:r>
          </w:p>
        </w:tc>
        <w:tc>
          <w:tcPr>
            <w:tcW w:w="1170" w:type="dxa"/>
            <w:tcBorders>
              <w:top w:val="nil"/>
              <w:left w:val="nil"/>
              <w:bottom w:val="single" w:sz="4" w:space="0" w:color="auto"/>
              <w:right w:val="nil"/>
            </w:tcBorders>
          </w:tcPr>
          <w:p w14:paraId="4660DA1C" w14:textId="77777777" w:rsidR="004462A0" w:rsidRPr="00CC4B51" w:rsidRDefault="00615769" w:rsidP="002F486F">
            <w:pPr>
              <w:keepNext/>
              <w:rPr>
                <w:sz w:val="22"/>
                <w:szCs w:val="22"/>
                <w:lang w:val="en-US"/>
              </w:rPr>
            </w:pPr>
            <w:r w:rsidRPr="00CC4B51">
              <w:rPr>
                <w:sz w:val="22"/>
                <w:szCs w:val="22"/>
                <w:lang w:val="en-US"/>
              </w:rPr>
              <w:t>0,39, 0,84</w:t>
            </w:r>
          </w:p>
        </w:tc>
        <w:tc>
          <w:tcPr>
            <w:tcW w:w="1080" w:type="dxa"/>
            <w:tcBorders>
              <w:top w:val="nil"/>
              <w:left w:val="nil"/>
              <w:bottom w:val="single" w:sz="4" w:space="0" w:color="auto"/>
              <w:right w:val="nil"/>
            </w:tcBorders>
          </w:tcPr>
          <w:p w14:paraId="0C9C2BCF" w14:textId="77777777" w:rsidR="004462A0" w:rsidRPr="00CC4B51" w:rsidRDefault="00615769" w:rsidP="002F486F">
            <w:pPr>
              <w:keepNext/>
              <w:rPr>
                <w:sz w:val="22"/>
                <w:szCs w:val="22"/>
                <w:lang w:val="en-US"/>
              </w:rPr>
            </w:pPr>
            <w:r w:rsidRPr="00CC4B51">
              <w:rPr>
                <w:sz w:val="22"/>
                <w:szCs w:val="22"/>
                <w:lang w:val="en-US"/>
              </w:rPr>
              <w:t>0,004</w:t>
            </w:r>
          </w:p>
        </w:tc>
      </w:tr>
    </w:tbl>
    <w:p w14:paraId="3CAFF0CC" w14:textId="77777777" w:rsidR="004462A0" w:rsidRPr="00CC4B51" w:rsidRDefault="00615769" w:rsidP="004462A0">
      <w:pPr>
        <w:rPr>
          <w:sz w:val="22"/>
          <w:szCs w:val="22"/>
        </w:rPr>
      </w:pPr>
      <w:r w:rsidRPr="00CC4B51">
        <w:rPr>
          <w:sz w:val="22"/>
          <w:szCs w:val="22"/>
        </w:rPr>
        <w:t xml:space="preserve">Nota: </w:t>
      </w:r>
      <w:r w:rsidR="00FB6C29">
        <w:rPr>
          <w:sz w:val="22"/>
          <w:szCs w:val="22"/>
        </w:rPr>
        <w:t>A</w:t>
      </w:r>
      <w:r w:rsidRPr="00CC4B51">
        <w:rPr>
          <w:sz w:val="22"/>
          <w:szCs w:val="22"/>
        </w:rPr>
        <w:t xml:space="preserve"> falha do tratamento à ou após a Semana 6 (Estudo UV I), ou à ou após a Semana 2 (Estudo UV II), foi registad</w:t>
      </w:r>
      <w:r w:rsidR="00FB6C29">
        <w:rPr>
          <w:sz w:val="22"/>
          <w:szCs w:val="22"/>
        </w:rPr>
        <w:t>a</w:t>
      </w:r>
      <w:r w:rsidRPr="00CC4B51">
        <w:rPr>
          <w:sz w:val="22"/>
          <w:szCs w:val="22"/>
        </w:rPr>
        <w:t xml:space="preserve"> como evento. Os doentes que abandonaram o estudo por outras razões que não a falha d</w:t>
      </w:r>
      <w:r w:rsidR="00FB6C29">
        <w:rPr>
          <w:sz w:val="22"/>
          <w:szCs w:val="22"/>
        </w:rPr>
        <w:t>o</w:t>
      </w:r>
      <w:r w:rsidRPr="00CC4B51">
        <w:rPr>
          <w:sz w:val="22"/>
          <w:szCs w:val="22"/>
        </w:rPr>
        <w:t xml:space="preserve"> tratamento foram </w:t>
      </w:r>
      <w:r w:rsidR="00FB6C29" w:rsidRPr="00CC4B51">
        <w:rPr>
          <w:sz w:val="22"/>
          <w:szCs w:val="22"/>
        </w:rPr>
        <w:t>c</w:t>
      </w:r>
      <w:r w:rsidR="00FB6C29">
        <w:rPr>
          <w:sz w:val="22"/>
          <w:szCs w:val="22"/>
        </w:rPr>
        <w:t>ensurados</w:t>
      </w:r>
      <w:r w:rsidR="00FB6C29" w:rsidRPr="00CC4B51">
        <w:rPr>
          <w:sz w:val="22"/>
          <w:szCs w:val="22"/>
        </w:rPr>
        <w:t xml:space="preserve"> </w:t>
      </w:r>
      <w:r w:rsidRPr="00CC4B51">
        <w:rPr>
          <w:sz w:val="22"/>
          <w:szCs w:val="22"/>
        </w:rPr>
        <w:t>no momento dos abandonos.</w:t>
      </w:r>
    </w:p>
    <w:p w14:paraId="44B5A863" w14:textId="77777777" w:rsidR="004462A0" w:rsidRPr="00CC4B51" w:rsidRDefault="00615769" w:rsidP="00DF5632">
      <w:pPr>
        <w:numPr>
          <w:ilvl w:val="0"/>
          <w:numId w:val="175"/>
        </w:numPr>
        <w:rPr>
          <w:sz w:val="22"/>
          <w:szCs w:val="22"/>
        </w:rPr>
      </w:pPr>
      <w:r w:rsidRPr="00CC4B51">
        <w:rPr>
          <w:sz w:val="22"/>
          <w:szCs w:val="22"/>
        </w:rPr>
        <w:t>TR (Taxa de Risco) de adalimumab vs placebo através da regressão de risco proporcional com o fator de tratamento.</w:t>
      </w:r>
    </w:p>
    <w:p w14:paraId="0809B57C" w14:textId="77777777" w:rsidR="004462A0" w:rsidRPr="00CC4B51" w:rsidRDefault="00615769" w:rsidP="00DF5632">
      <w:pPr>
        <w:numPr>
          <w:ilvl w:val="0"/>
          <w:numId w:val="175"/>
        </w:numPr>
        <w:rPr>
          <w:sz w:val="22"/>
          <w:szCs w:val="22"/>
        </w:rPr>
      </w:pPr>
      <w:r w:rsidRPr="00CC4B51">
        <w:rPr>
          <w:sz w:val="22"/>
          <w:szCs w:val="22"/>
        </w:rPr>
        <w:t xml:space="preserve">2-lados valor </w:t>
      </w:r>
      <w:r w:rsidRPr="00CC4B51">
        <w:rPr>
          <w:i/>
          <w:sz w:val="22"/>
          <w:szCs w:val="22"/>
        </w:rPr>
        <w:t>P</w:t>
      </w:r>
      <w:r w:rsidRPr="00CC4B51">
        <w:rPr>
          <w:sz w:val="22"/>
          <w:szCs w:val="22"/>
        </w:rPr>
        <w:t xml:space="preserve"> do teste logarítmico.</w:t>
      </w:r>
    </w:p>
    <w:p w14:paraId="77840F84" w14:textId="77777777" w:rsidR="004462A0" w:rsidRPr="00CC4B51" w:rsidRDefault="00615769" w:rsidP="00DF5632">
      <w:pPr>
        <w:numPr>
          <w:ilvl w:val="0"/>
          <w:numId w:val="175"/>
        </w:numPr>
        <w:rPr>
          <w:sz w:val="22"/>
          <w:szCs w:val="22"/>
        </w:rPr>
      </w:pPr>
      <w:r w:rsidRPr="00CC4B51">
        <w:rPr>
          <w:sz w:val="22"/>
          <w:szCs w:val="22"/>
        </w:rPr>
        <w:t xml:space="preserve">NE = não estimado. Menos de metade dos indivíduos em situação de risco teve um evento. </w:t>
      </w:r>
    </w:p>
    <w:p w14:paraId="20542102" w14:textId="77777777" w:rsidR="004462A0" w:rsidRPr="00CC4B51" w:rsidRDefault="004462A0" w:rsidP="004462A0">
      <w:pPr>
        <w:rPr>
          <w:sz w:val="22"/>
          <w:szCs w:val="22"/>
        </w:rPr>
      </w:pPr>
    </w:p>
    <w:p w14:paraId="56830C7D" w14:textId="77777777" w:rsidR="004462A0" w:rsidRPr="00CC4B51" w:rsidRDefault="00615769" w:rsidP="00B538F3">
      <w:pPr>
        <w:jc w:val="center"/>
        <w:rPr>
          <w:b/>
          <w:sz w:val="22"/>
          <w:szCs w:val="22"/>
        </w:rPr>
      </w:pPr>
      <w:r w:rsidRPr="00CC4B51">
        <w:rPr>
          <w:b/>
          <w:sz w:val="22"/>
          <w:szCs w:val="22"/>
        </w:rPr>
        <w:t xml:space="preserve">Figura 1: Curvas de Kaplan-Meier resumindo o Tempo </w:t>
      </w:r>
      <w:r w:rsidR="00C9386F">
        <w:rPr>
          <w:b/>
          <w:sz w:val="22"/>
          <w:szCs w:val="22"/>
        </w:rPr>
        <w:t>até</w:t>
      </w:r>
      <w:r w:rsidR="00C9386F" w:rsidRPr="00CC4B51">
        <w:rPr>
          <w:b/>
          <w:sz w:val="22"/>
          <w:szCs w:val="22"/>
        </w:rPr>
        <w:t xml:space="preserve"> </w:t>
      </w:r>
      <w:r w:rsidRPr="00CC4B51">
        <w:rPr>
          <w:b/>
          <w:sz w:val="22"/>
          <w:szCs w:val="22"/>
        </w:rPr>
        <w:t>Falha do Tratamento na ou após a Semana 6 (Estudo UV I) ou Semana 2 (Estudo UV II)</w:t>
      </w:r>
    </w:p>
    <w:tbl>
      <w:tblPr>
        <w:tblW w:w="9288" w:type="dxa"/>
        <w:tblLayout w:type="fixed"/>
        <w:tblLook w:val="04A0" w:firstRow="1" w:lastRow="0" w:firstColumn="1" w:lastColumn="0" w:noHBand="0" w:noVBand="1"/>
      </w:tblPr>
      <w:tblGrid>
        <w:gridCol w:w="482"/>
        <w:gridCol w:w="3496"/>
        <w:gridCol w:w="1170"/>
        <w:gridCol w:w="1350"/>
        <w:gridCol w:w="900"/>
        <w:gridCol w:w="1890"/>
      </w:tblGrid>
      <w:tr w:rsidR="00A7162A" w14:paraId="1F38B70F" w14:textId="77777777" w:rsidTr="00F675CF">
        <w:trPr>
          <w:cantSplit/>
          <w:trHeight w:val="4173"/>
        </w:trPr>
        <w:tc>
          <w:tcPr>
            <w:tcW w:w="482" w:type="dxa"/>
            <w:textDirection w:val="btLr"/>
            <w:vAlign w:val="bottom"/>
          </w:tcPr>
          <w:p w14:paraId="7C82EB2D" w14:textId="77777777" w:rsidR="004462A0" w:rsidRPr="00CC4B51" w:rsidRDefault="00615769" w:rsidP="00B538F3">
            <w:pPr>
              <w:rPr>
                <w:b/>
                <w:sz w:val="20"/>
                <w:szCs w:val="20"/>
              </w:rPr>
            </w:pPr>
            <w:r w:rsidRPr="00CC4B51">
              <w:rPr>
                <w:b/>
                <w:sz w:val="20"/>
                <w:szCs w:val="20"/>
              </w:rPr>
              <w:t>TAXA DE FALHA DO TRATAMENTO (%)</w:t>
            </w:r>
          </w:p>
        </w:tc>
        <w:tc>
          <w:tcPr>
            <w:tcW w:w="8806" w:type="dxa"/>
            <w:gridSpan w:val="5"/>
            <w:vAlign w:val="bottom"/>
          </w:tcPr>
          <w:p w14:paraId="45852066" w14:textId="77777777" w:rsidR="004462A0" w:rsidRPr="00CC4B51" w:rsidRDefault="00615769" w:rsidP="00B538F3">
            <w:pPr>
              <w:rPr>
                <w:sz w:val="22"/>
                <w:szCs w:val="22"/>
                <w:lang w:val="en-US"/>
              </w:rPr>
            </w:pPr>
            <w:r>
              <w:rPr>
                <w:noProof/>
                <w:lang w:val="en-GB" w:eastAsia="en-GB"/>
              </w:rPr>
              <w:drawing>
                <wp:inline distT="0" distB="0" distL="0" distR="0" wp14:anchorId="74DA707D" wp14:editId="7B1A6AB6">
                  <wp:extent cx="5486400" cy="2206625"/>
                  <wp:effectExtent l="0" t="0" r="0" b="3175"/>
                  <wp:docPr id="55" name="Picture 55"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1" descr="Humira Uveitis Figure 5_6"/>
                          <pic:cNvPicPr>
                            <a:picLocks noChangeAspect="1" noChangeArrowheads="1"/>
                          </pic:cNvPicPr>
                        </pic:nvPicPr>
                        <pic:blipFill>
                          <a:blip r:embed="rId11" r:link="rId12">
                            <a:extLst>
                              <a:ext uri="{28A0092B-C50C-407E-A947-70E740481C1C}">
                                <a14:useLocalDpi xmlns:a14="http://schemas.microsoft.com/office/drawing/2010/main" val="0"/>
                              </a:ext>
                            </a:extLst>
                          </a:blip>
                          <a:stretch>
                            <a:fillRect/>
                          </a:stretch>
                        </pic:blipFill>
                        <pic:spPr bwMode="auto">
                          <a:xfrm>
                            <a:off x="0" y="0"/>
                            <a:ext cx="5486400" cy="2206625"/>
                          </a:xfrm>
                          <a:prstGeom prst="rect">
                            <a:avLst/>
                          </a:prstGeom>
                          <a:noFill/>
                          <a:ln>
                            <a:noFill/>
                          </a:ln>
                        </pic:spPr>
                      </pic:pic>
                    </a:graphicData>
                  </a:graphic>
                </wp:inline>
              </w:drawing>
            </w:r>
          </w:p>
        </w:tc>
      </w:tr>
      <w:tr w:rsidR="00A7162A" w14:paraId="2031720A" w14:textId="77777777" w:rsidTr="00F675CF">
        <w:tc>
          <w:tcPr>
            <w:tcW w:w="482" w:type="dxa"/>
          </w:tcPr>
          <w:p w14:paraId="5DD3714C" w14:textId="77777777" w:rsidR="004462A0" w:rsidRPr="00CC4B51" w:rsidRDefault="004462A0" w:rsidP="00B538F3">
            <w:pPr>
              <w:rPr>
                <w:sz w:val="22"/>
                <w:szCs w:val="22"/>
                <w:lang w:val="en-US"/>
              </w:rPr>
            </w:pPr>
          </w:p>
        </w:tc>
        <w:tc>
          <w:tcPr>
            <w:tcW w:w="8806" w:type="dxa"/>
            <w:gridSpan w:val="5"/>
          </w:tcPr>
          <w:p w14:paraId="13AE48F4" w14:textId="77777777" w:rsidR="004462A0" w:rsidRPr="00CC4B51" w:rsidRDefault="00615769" w:rsidP="00B538F3">
            <w:pPr>
              <w:jc w:val="center"/>
              <w:rPr>
                <w:b/>
                <w:sz w:val="22"/>
                <w:szCs w:val="22"/>
                <w:lang w:val="en-US"/>
              </w:rPr>
            </w:pPr>
            <w:r w:rsidRPr="00CC4B51">
              <w:rPr>
                <w:b/>
                <w:sz w:val="22"/>
                <w:szCs w:val="22"/>
                <w:lang w:val="en-US"/>
              </w:rPr>
              <w:t>TEMPO (MESES)</w:t>
            </w:r>
          </w:p>
        </w:tc>
      </w:tr>
      <w:tr w:rsidR="00A7162A" w14:paraId="4531AACB" w14:textId="77777777" w:rsidTr="00F675CF">
        <w:tc>
          <w:tcPr>
            <w:tcW w:w="482" w:type="dxa"/>
          </w:tcPr>
          <w:p w14:paraId="23F0A25B" w14:textId="77777777" w:rsidR="004462A0" w:rsidRPr="00CC4B51" w:rsidRDefault="004462A0" w:rsidP="00B538F3">
            <w:pPr>
              <w:rPr>
                <w:sz w:val="22"/>
                <w:szCs w:val="22"/>
                <w:lang w:val="en-US"/>
              </w:rPr>
            </w:pPr>
          </w:p>
        </w:tc>
        <w:tc>
          <w:tcPr>
            <w:tcW w:w="3496" w:type="dxa"/>
          </w:tcPr>
          <w:p w14:paraId="619143CA" w14:textId="77777777" w:rsidR="004462A0" w:rsidRPr="00CC4B51" w:rsidRDefault="00615769" w:rsidP="00B538F3">
            <w:pPr>
              <w:rPr>
                <w:sz w:val="22"/>
                <w:szCs w:val="22"/>
                <w:lang w:val="en-US"/>
              </w:rPr>
            </w:pPr>
            <w:r w:rsidRPr="00CC4B51">
              <w:rPr>
                <w:sz w:val="22"/>
                <w:szCs w:val="22"/>
                <w:lang w:val="en-US"/>
              </w:rPr>
              <w:t>Estudo UV I           Tratamento</w:t>
            </w:r>
          </w:p>
        </w:tc>
        <w:tc>
          <w:tcPr>
            <w:tcW w:w="1170" w:type="dxa"/>
          </w:tcPr>
          <w:p w14:paraId="1CE28835" w14:textId="77777777" w:rsidR="004462A0" w:rsidRPr="00CC4B51" w:rsidRDefault="00615769" w:rsidP="00B538F3">
            <w:pPr>
              <w:rPr>
                <w:sz w:val="22"/>
                <w:szCs w:val="22"/>
                <w:lang w:val="en-US"/>
              </w:rPr>
            </w:pPr>
            <w:r>
              <w:rPr>
                <w:noProof/>
                <w:sz w:val="22"/>
                <w:szCs w:val="22"/>
                <w:lang w:val="en-GB" w:eastAsia="en-GB"/>
              </w:rPr>
              <w:drawing>
                <wp:inline distT="0" distB="0" distL="0" distR="0" wp14:anchorId="3F7CB956" wp14:editId="2EDEDD67">
                  <wp:extent cx="397510" cy="179070"/>
                  <wp:effectExtent l="0" t="0" r="2540" b="0"/>
                  <wp:docPr id="54" name="Picture 54"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4"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97510" cy="179070"/>
                          </a:xfrm>
                          <a:prstGeom prst="rect">
                            <a:avLst/>
                          </a:prstGeom>
                          <a:noFill/>
                          <a:ln>
                            <a:noFill/>
                          </a:ln>
                        </pic:spPr>
                      </pic:pic>
                    </a:graphicData>
                  </a:graphic>
                </wp:inline>
              </w:drawing>
            </w:r>
          </w:p>
        </w:tc>
        <w:tc>
          <w:tcPr>
            <w:tcW w:w="1350" w:type="dxa"/>
          </w:tcPr>
          <w:p w14:paraId="39901B57" w14:textId="77777777" w:rsidR="004462A0" w:rsidRPr="00CC4B51" w:rsidRDefault="00615769" w:rsidP="00B538F3">
            <w:pPr>
              <w:rPr>
                <w:sz w:val="22"/>
                <w:szCs w:val="22"/>
                <w:lang w:val="en-US"/>
              </w:rPr>
            </w:pPr>
            <w:r w:rsidRPr="00CC4B51">
              <w:rPr>
                <w:sz w:val="22"/>
                <w:szCs w:val="22"/>
                <w:lang w:val="en-US"/>
              </w:rPr>
              <w:t>Placebo</w:t>
            </w:r>
          </w:p>
        </w:tc>
        <w:tc>
          <w:tcPr>
            <w:tcW w:w="900" w:type="dxa"/>
          </w:tcPr>
          <w:p w14:paraId="6875BA62" w14:textId="77777777" w:rsidR="004462A0" w:rsidRPr="00CC4B51" w:rsidRDefault="00615769" w:rsidP="00B538F3">
            <w:pPr>
              <w:rPr>
                <w:sz w:val="22"/>
                <w:szCs w:val="22"/>
                <w:lang w:val="en-US"/>
              </w:rPr>
            </w:pPr>
            <w:r>
              <w:rPr>
                <w:noProof/>
                <w:sz w:val="22"/>
                <w:szCs w:val="22"/>
                <w:lang w:val="en-GB" w:eastAsia="en-GB"/>
              </w:rPr>
              <w:drawing>
                <wp:inline distT="0" distB="0" distL="0" distR="0" wp14:anchorId="36E084FF" wp14:editId="5E5AF68A">
                  <wp:extent cx="556895" cy="179070"/>
                  <wp:effectExtent l="0" t="0" r="0" b="0"/>
                  <wp:docPr id="53" name="Picture 53"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5" descr="Humira Uveitis Figure 5_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56895" cy="179070"/>
                          </a:xfrm>
                          <a:prstGeom prst="rect">
                            <a:avLst/>
                          </a:prstGeom>
                          <a:noFill/>
                          <a:ln>
                            <a:noFill/>
                          </a:ln>
                        </pic:spPr>
                      </pic:pic>
                    </a:graphicData>
                  </a:graphic>
                </wp:inline>
              </w:drawing>
            </w:r>
          </w:p>
        </w:tc>
        <w:tc>
          <w:tcPr>
            <w:tcW w:w="1890" w:type="dxa"/>
          </w:tcPr>
          <w:p w14:paraId="077C4362" w14:textId="77777777" w:rsidR="004462A0" w:rsidRPr="00CC4B51" w:rsidRDefault="00615769" w:rsidP="00B538F3">
            <w:pPr>
              <w:rPr>
                <w:sz w:val="22"/>
                <w:szCs w:val="22"/>
                <w:lang w:val="en-US"/>
              </w:rPr>
            </w:pPr>
            <w:r w:rsidRPr="00CC4B51">
              <w:rPr>
                <w:sz w:val="22"/>
                <w:szCs w:val="22"/>
                <w:lang w:val="en-US"/>
              </w:rPr>
              <w:t>Adalimumab</w:t>
            </w:r>
          </w:p>
        </w:tc>
      </w:tr>
      <w:tr w:rsidR="00A7162A" w14:paraId="373194A1" w14:textId="77777777" w:rsidTr="00F675CF">
        <w:trPr>
          <w:trHeight w:val="4085"/>
        </w:trPr>
        <w:tc>
          <w:tcPr>
            <w:tcW w:w="482" w:type="dxa"/>
            <w:textDirection w:val="btLr"/>
            <w:vAlign w:val="bottom"/>
          </w:tcPr>
          <w:p w14:paraId="1D71FD53" w14:textId="77777777" w:rsidR="004462A0" w:rsidRPr="00CC4B51" w:rsidRDefault="00615769" w:rsidP="002F486F">
            <w:pPr>
              <w:keepNext/>
              <w:rPr>
                <w:sz w:val="20"/>
                <w:szCs w:val="20"/>
              </w:rPr>
            </w:pPr>
            <w:r w:rsidRPr="00CC4B51">
              <w:rPr>
                <w:b/>
                <w:sz w:val="20"/>
                <w:szCs w:val="20"/>
              </w:rPr>
              <w:t>TAXA DE FALHA DE TRATAMENTO (%)</w:t>
            </w:r>
          </w:p>
        </w:tc>
        <w:tc>
          <w:tcPr>
            <w:tcW w:w="8806" w:type="dxa"/>
            <w:gridSpan w:val="5"/>
            <w:vAlign w:val="bottom"/>
          </w:tcPr>
          <w:p w14:paraId="391008E2" w14:textId="77777777" w:rsidR="004462A0" w:rsidRPr="00CC4B51" w:rsidRDefault="00615769" w:rsidP="002F486F">
            <w:pPr>
              <w:keepNext/>
              <w:rPr>
                <w:sz w:val="22"/>
                <w:szCs w:val="22"/>
                <w:lang w:val="en-US"/>
              </w:rPr>
            </w:pPr>
            <w:r>
              <w:rPr>
                <w:noProof/>
                <w:szCs w:val="22"/>
                <w:lang w:val="en-GB" w:eastAsia="en-GB"/>
              </w:rPr>
              <w:drawing>
                <wp:inline distT="0" distB="0" distL="0" distR="0" wp14:anchorId="62B0E60C" wp14:editId="37763300">
                  <wp:extent cx="5486400" cy="2176780"/>
                  <wp:effectExtent l="0" t="0" r="0" b="0"/>
                  <wp:docPr id="52" name="Picture 52"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16" descr="Humira Uveitis Figure 5_7"/>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486400" cy="2176780"/>
                          </a:xfrm>
                          <a:prstGeom prst="rect">
                            <a:avLst/>
                          </a:prstGeom>
                          <a:noFill/>
                          <a:ln>
                            <a:noFill/>
                          </a:ln>
                        </pic:spPr>
                      </pic:pic>
                    </a:graphicData>
                  </a:graphic>
                </wp:inline>
              </w:drawing>
            </w:r>
          </w:p>
        </w:tc>
      </w:tr>
      <w:tr w:rsidR="00A7162A" w14:paraId="5CB954B0" w14:textId="77777777" w:rsidTr="00F675CF">
        <w:tc>
          <w:tcPr>
            <w:tcW w:w="482" w:type="dxa"/>
          </w:tcPr>
          <w:p w14:paraId="041FA5C1" w14:textId="77777777" w:rsidR="004462A0" w:rsidRPr="00CC4B51" w:rsidRDefault="004462A0" w:rsidP="00F675CF">
            <w:pPr>
              <w:rPr>
                <w:sz w:val="22"/>
                <w:szCs w:val="22"/>
                <w:lang w:val="en-US"/>
              </w:rPr>
            </w:pPr>
          </w:p>
        </w:tc>
        <w:tc>
          <w:tcPr>
            <w:tcW w:w="8806" w:type="dxa"/>
            <w:gridSpan w:val="5"/>
          </w:tcPr>
          <w:p w14:paraId="4D26989B" w14:textId="77777777" w:rsidR="004462A0" w:rsidRPr="00CC4B51" w:rsidRDefault="00615769" w:rsidP="00F675CF">
            <w:pPr>
              <w:jc w:val="center"/>
              <w:rPr>
                <w:b/>
                <w:sz w:val="22"/>
                <w:szCs w:val="22"/>
                <w:lang w:val="en-US"/>
              </w:rPr>
            </w:pPr>
            <w:r w:rsidRPr="00CC4B51">
              <w:rPr>
                <w:b/>
                <w:sz w:val="22"/>
                <w:szCs w:val="22"/>
                <w:lang w:val="en-US"/>
              </w:rPr>
              <w:t>TEMPO (MESES)</w:t>
            </w:r>
          </w:p>
        </w:tc>
      </w:tr>
      <w:tr w:rsidR="00A7162A" w14:paraId="27E77198" w14:textId="77777777" w:rsidTr="00F675CF">
        <w:trPr>
          <w:trHeight w:val="369"/>
        </w:trPr>
        <w:tc>
          <w:tcPr>
            <w:tcW w:w="482" w:type="dxa"/>
          </w:tcPr>
          <w:p w14:paraId="4CF2D0BC" w14:textId="77777777" w:rsidR="004462A0" w:rsidRPr="00CC4B51" w:rsidRDefault="004462A0" w:rsidP="00F675CF">
            <w:pPr>
              <w:rPr>
                <w:sz w:val="22"/>
                <w:szCs w:val="22"/>
                <w:lang w:val="en-US"/>
              </w:rPr>
            </w:pPr>
          </w:p>
        </w:tc>
        <w:tc>
          <w:tcPr>
            <w:tcW w:w="3496" w:type="dxa"/>
          </w:tcPr>
          <w:p w14:paraId="1A3E8C3F" w14:textId="77777777" w:rsidR="004462A0" w:rsidRPr="00CC4B51" w:rsidRDefault="00615769" w:rsidP="00F675CF">
            <w:pPr>
              <w:rPr>
                <w:sz w:val="22"/>
                <w:szCs w:val="22"/>
                <w:lang w:val="en-US"/>
              </w:rPr>
            </w:pPr>
            <w:r w:rsidRPr="00CC4B51">
              <w:rPr>
                <w:sz w:val="22"/>
                <w:szCs w:val="22"/>
                <w:lang w:val="en-US"/>
              </w:rPr>
              <w:t>Estudo UV II                Tratamento</w:t>
            </w:r>
          </w:p>
        </w:tc>
        <w:tc>
          <w:tcPr>
            <w:tcW w:w="1170" w:type="dxa"/>
          </w:tcPr>
          <w:p w14:paraId="6C971F75" w14:textId="77777777" w:rsidR="004462A0" w:rsidRPr="00CC4B51" w:rsidRDefault="00615769" w:rsidP="00F675CF">
            <w:pPr>
              <w:rPr>
                <w:sz w:val="22"/>
                <w:szCs w:val="22"/>
                <w:lang w:val="en-US"/>
              </w:rPr>
            </w:pPr>
            <w:r>
              <w:rPr>
                <w:noProof/>
                <w:sz w:val="22"/>
                <w:szCs w:val="22"/>
                <w:lang w:val="en-GB" w:eastAsia="en-GB"/>
              </w:rPr>
              <w:drawing>
                <wp:inline distT="0" distB="0" distL="0" distR="0" wp14:anchorId="4C8F5C45" wp14:editId="32D391AB">
                  <wp:extent cx="397510" cy="179070"/>
                  <wp:effectExtent l="0" t="0" r="2540" b="0"/>
                  <wp:docPr id="51" name="Picture 51"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17"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97510" cy="179070"/>
                          </a:xfrm>
                          <a:prstGeom prst="rect">
                            <a:avLst/>
                          </a:prstGeom>
                          <a:noFill/>
                          <a:ln>
                            <a:noFill/>
                          </a:ln>
                        </pic:spPr>
                      </pic:pic>
                    </a:graphicData>
                  </a:graphic>
                </wp:inline>
              </w:drawing>
            </w:r>
          </w:p>
        </w:tc>
        <w:tc>
          <w:tcPr>
            <w:tcW w:w="1350" w:type="dxa"/>
          </w:tcPr>
          <w:p w14:paraId="7C9EABC9" w14:textId="77777777" w:rsidR="004462A0" w:rsidRPr="00CC4B51" w:rsidRDefault="00615769" w:rsidP="00F675CF">
            <w:pPr>
              <w:rPr>
                <w:sz w:val="22"/>
                <w:szCs w:val="22"/>
                <w:lang w:val="en-US"/>
              </w:rPr>
            </w:pPr>
            <w:r w:rsidRPr="00CC4B51">
              <w:rPr>
                <w:sz w:val="22"/>
                <w:szCs w:val="22"/>
                <w:lang w:val="en-US"/>
              </w:rPr>
              <w:t>Placebo</w:t>
            </w:r>
          </w:p>
        </w:tc>
        <w:tc>
          <w:tcPr>
            <w:tcW w:w="900" w:type="dxa"/>
          </w:tcPr>
          <w:p w14:paraId="6E312797" w14:textId="77777777" w:rsidR="004462A0" w:rsidRPr="00CC4B51" w:rsidRDefault="00615769" w:rsidP="00F675CF">
            <w:pPr>
              <w:rPr>
                <w:sz w:val="22"/>
                <w:szCs w:val="22"/>
                <w:lang w:val="en-US"/>
              </w:rPr>
            </w:pPr>
            <w:r>
              <w:rPr>
                <w:noProof/>
                <w:sz w:val="22"/>
                <w:szCs w:val="22"/>
                <w:lang w:val="en-GB" w:eastAsia="en-GB"/>
              </w:rPr>
              <w:drawing>
                <wp:inline distT="0" distB="0" distL="0" distR="0" wp14:anchorId="79881559" wp14:editId="74A7FB6D">
                  <wp:extent cx="556895" cy="179070"/>
                  <wp:effectExtent l="0" t="0" r="0" b="0"/>
                  <wp:docPr id="50" name="Picture 50"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8" descr="Humira Uveitis Figure 5_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56895" cy="179070"/>
                          </a:xfrm>
                          <a:prstGeom prst="rect">
                            <a:avLst/>
                          </a:prstGeom>
                          <a:noFill/>
                          <a:ln>
                            <a:noFill/>
                          </a:ln>
                        </pic:spPr>
                      </pic:pic>
                    </a:graphicData>
                  </a:graphic>
                </wp:inline>
              </w:drawing>
            </w:r>
          </w:p>
        </w:tc>
        <w:tc>
          <w:tcPr>
            <w:tcW w:w="1890" w:type="dxa"/>
          </w:tcPr>
          <w:p w14:paraId="6EC8C982" w14:textId="77777777" w:rsidR="004462A0" w:rsidRPr="00CC4B51" w:rsidRDefault="00615769" w:rsidP="00F675CF">
            <w:pPr>
              <w:rPr>
                <w:sz w:val="22"/>
                <w:szCs w:val="22"/>
                <w:lang w:val="en-US"/>
              </w:rPr>
            </w:pPr>
            <w:r w:rsidRPr="00CC4B51">
              <w:rPr>
                <w:sz w:val="22"/>
                <w:szCs w:val="22"/>
                <w:lang w:val="en-US"/>
              </w:rPr>
              <w:t>Adalimumab</w:t>
            </w:r>
          </w:p>
        </w:tc>
      </w:tr>
      <w:tr w:rsidR="00A7162A" w14:paraId="420892C3" w14:textId="77777777" w:rsidTr="00F675CF">
        <w:trPr>
          <w:trHeight w:val="629"/>
        </w:trPr>
        <w:tc>
          <w:tcPr>
            <w:tcW w:w="9288" w:type="dxa"/>
            <w:gridSpan w:val="6"/>
            <w:vAlign w:val="center"/>
          </w:tcPr>
          <w:p w14:paraId="74FDA750" w14:textId="77777777" w:rsidR="004462A0" w:rsidRPr="00CC4B51" w:rsidRDefault="00615769" w:rsidP="00F675CF">
            <w:pPr>
              <w:rPr>
                <w:sz w:val="22"/>
                <w:szCs w:val="22"/>
              </w:rPr>
            </w:pPr>
            <w:r w:rsidRPr="00CC4B51">
              <w:rPr>
                <w:sz w:val="22"/>
                <w:szCs w:val="22"/>
              </w:rPr>
              <w:t>Nota: P# = Placebo (Número de Eventos/Número em Risco); A# = HUMIRA (Número de Eventos/Número em Risco).</w:t>
            </w:r>
          </w:p>
        </w:tc>
      </w:tr>
    </w:tbl>
    <w:p w14:paraId="5DF30F7D" w14:textId="77777777" w:rsidR="004462A0" w:rsidRPr="00CC4B51" w:rsidRDefault="004462A0" w:rsidP="004462A0">
      <w:pPr>
        <w:rPr>
          <w:sz w:val="22"/>
          <w:szCs w:val="22"/>
        </w:rPr>
      </w:pPr>
    </w:p>
    <w:p w14:paraId="50A627A5" w14:textId="77777777" w:rsidR="004462A0" w:rsidRPr="00CC4B51" w:rsidRDefault="00615769" w:rsidP="004462A0">
      <w:pPr>
        <w:rPr>
          <w:sz w:val="22"/>
          <w:szCs w:val="22"/>
        </w:rPr>
      </w:pPr>
      <w:r w:rsidRPr="00CC4B51">
        <w:rPr>
          <w:sz w:val="22"/>
          <w:szCs w:val="22"/>
        </w:rPr>
        <w:t xml:space="preserve">No Estudo UV I foram observadas diferenças estatisticamente significativas favoráveis a adalimumab </w:t>
      </w:r>
      <w:r w:rsidRPr="00CC4B51">
        <w:rPr>
          <w:i/>
          <w:sz w:val="22"/>
          <w:szCs w:val="22"/>
        </w:rPr>
        <w:t>versus</w:t>
      </w:r>
      <w:r w:rsidRPr="00CC4B51">
        <w:rPr>
          <w:sz w:val="22"/>
          <w:szCs w:val="22"/>
        </w:rPr>
        <w:t xml:space="preserve"> placebo para cada componente da falha de tratamento. No Estudo UV II, foram observadas diferenças estatisticamente significativas apenas para a acuidade visual, mas os outros componentes foram numericamente favoráveis a adalimumab.</w:t>
      </w:r>
    </w:p>
    <w:p w14:paraId="114BBABD" w14:textId="77777777" w:rsidR="004462A0" w:rsidRDefault="004462A0" w:rsidP="004462A0">
      <w:pPr>
        <w:rPr>
          <w:sz w:val="22"/>
          <w:szCs w:val="22"/>
        </w:rPr>
      </w:pPr>
    </w:p>
    <w:p w14:paraId="21479750" w14:textId="77777777" w:rsidR="00924846" w:rsidRPr="00F03C54" w:rsidRDefault="00615769" w:rsidP="00924846">
      <w:pPr>
        <w:rPr>
          <w:sz w:val="22"/>
          <w:szCs w:val="22"/>
        </w:rPr>
      </w:pPr>
      <w:r w:rsidRPr="00F03C54">
        <w:rPr>
          <w:sz w:val="22"/>
          <w:szCs w:val="22"/>
        </w:rPr>
        <w:t xml:space="preserve">Dos </w:t>
      </w:r>
      <w:r w:rsidR="005F0894">
        <w:rPr>
          <w:sz w:val="22"/>
          <w:szCs w:val="22"/>
        </w:rPr>
        <w:t>424</w:t>
      </w:r>
      <w:r w:rsidRPr="00F03C54">
        <w:rPr>
          <w:sz w:val="22"/>
          <w:szCs w:val="22"/>
        </w:rPr>
        <w:t xml:space="preserve"> indivíduos incluídos na extensão a longo prazo</w:t>
      </w:r>
      <w:r w:rsidR="003C5B52">
        <w:rPr>
          <w:sz w:val="22"/>
          <w:szCs w:val="22"/>
        </w:rPr>
        <w:t>, não-controlada,</w:t>
      </w:r>
      <w:r w:rsidRPr="00F03C54">
        <w:rPr>
          <w:sz w:val="22"/>
          <w:szCs w:val="22"/>
        </w:rPr>
        <w:t xml:space="preserve"> dos Estudos UV I e UV II, </w:t>
      </w:r>
      <w:r w:rsidR="005F0894">
        <w:rPr>
          <w:sz w:val="22"/>
          <w:szCs w:val="22"/>
        </w:rPr>
        <w:t>60</w:t>
      </w:r>
      <w:r w:rsidRPr="00F03C54">
        <w:rPr>
          <w:sz w:val="22"/>
          <w:szCs w:val="22"/>
        </w:rPr>
        <w:t xml:space="preserve"> indivíduos foram considerados inelegíveis (p.ex. </w:t>
      </w:r>
      <w:r w:rsidR="005F0894">
        <w:rPr>
          <w:sz w:val="22"/>
          <w:szCs w:val="22"/>
        </w:rPr>
        <w:t xml:space="preserve">devido a desvios ou devido a </w:t>
      </w:r>
      <w:r w:rsidRPr="00F03C54">
        <w:rPr>
          <w:sz w:val="22"/>
          <w:szCs w:val="22"/>
        </w:rPr>
        <w:t xml:space="preserve">complicações secundárias à retinopatia diabética, devido a cirurgia de catarata ou vitrectomia) e foram excluídos da análise de eficácia primária. Dos </w:t>
      </w:r>
      <w:r w:rsidR="005F0894">
        <w:rPr>
          <w:sz w:val="22"/>
          <w:szCs w:val="22"/>
        </w:rPr>
        <w:t>364</w:t>
      </w:r>
      <w:r w:rsidRPr="00F03C54">
        <w:rPr>
          <w:sz w:val="22"/>
          <w:szCs w:val="22"/>
        </w:rPr>
        <w:t xml:space="preserve"> doentes restantes, </w:t>
      </w:r>
      <w:r w:rsidR="005F0894">
        <w:rPr>
          <w:sz w:val="22"/>
          <w:szCs w:val="22"/>
        </w:rPr>
        <w:t>269</w:t>
      </w:r>
      <w:r w:rsidRPr="00F03C54">
        <w:rPr>
          <w:sz w:val="22"/>
          <w:szCs w:val="22"/>
        </w:rPr>
        <w:t xml:space="preserve"> doentes avaliáveis </w:t>
      </w:r>
      <w:r w:rsidR="005F0894">
        <w:rPr>
          <w:sz w:val="22"/>
          <w:szCs w:val="22"/>
        </w:rPr>
        <w:t xml:space="preserve">(74%) </w:t>
      </w:r>
      <w:r w:rsidRPr="00F03C54">
        <w:rPr>
          <w:sz w:val="22"/>
          <w:szCs w:val="22"/>
        </w:rPr>
        <w:t xml:space="preserve">atingiram as 78 semanas de tratamento com adalimumab </w:t>
      </w:r>
      <w:r w:rsidR="003C5B52">
        <w:rPr>
          <w:sz w:val="22"/>
          <w:szCs w:val="22"/>
        </w:rPr>
        <w:t>em</w:t>
      </w:r>
      <w:r w:rsidR="003C5B52" w:rsidRPr="00F03C54">
        <w:rPr>
          <w:sz w:val="22"/>
          <w:szCs w:val="22"/>
        </w:rPr>
        <w:t xml:space="preserve"> </w:t>
      </w:r>
      <w:r w:rsidRPr="00F03C54">
        <w:rPr>
          <w:sz w:val="22"/>
          <w:szCs w:val="22"/>
        </w:rPr>
        <w:t>fase aberta. Com base na abordagem d</w:t>
      </w:r>
      <w:r w:rsidR="00FC7E81">
        <w:rPr>
          <w:sz w:val="22"/>
          <w:szCs w:val="22"/>
        </w:rPr>
        <w:t>os</w:t>
      </w:r>
      <w:r w:rsidRPr="00F03C54">
        <w:rPr>
          <w:sz w:val="22"/>
          <w:szCs w:val="22"/>
        </w:rPr>
        <w:t xml:space="preserve"> dados observad</w:t>
      </w:r>
      <w:r w:rsidR="00FC7E81">
        <w:rPr>
          <w:sz w:val="22"/>
          <w:szCs w:val="22"/>
        </w:rPr>
        <w:t>os</w:t>
      </w:r>
      <w:r w:rsidRPr="00F03C54">
        <w:rPr>
          <w:sz w:val="22"/>
          <w:szCs w:val="22"/>
        </w:rPr>
        <w:t xml:space="preserve">, </w:t>
      </w:r>
      <w:r w:rsidR="005F0894">
        <w:rPr>
          <w:sz w:val="22"/>
          <w:szCs w:val="22"/>
        </w:rPr>
        <w:t>216</w:t>
      </w:r>
      <w:r w:rsidRPr="00F03C54">
        <w:rPr>
          <w:sz w:val="22"/>
          <w:szCs w:val="22"/>
        </w:rPr>
        <w:t xml:space="preserve"> (</w:t>
      </w:r>
      <w:r w:rsidR="005F0894">
        <w:rPr>
          <w:sz w:val="22"/>
          <w:szCs w:val="22"/>
        </w:rPr>
        <w:t>80,3</w:t>
      </w:r>
      <w:r w:rsidRPr="00F03C54">
        <w:rPr>
          <w:sz w:val="22"/>
          <w:szCs w:val="22"/>
        </w:rPr>
        <w:t>%) estavam em fase de repouso (sem lesões inflamatórias ativas, grau de células AC ≤ 0,5+, grau VH ≤ 0,5+) c</w:t>
      </w:r>
      <w:r w:rsidRPr="00F03C54">
        <w:rPr>
          <w:sz w:val="22"/>
          <w:szCs w:val="22"/>
        </w:rPr>
        <w:t>om uma dose concomitante de ester</w:t>
      </w:r>
      <w:r w:rsidR="003C5B52">
        <w:rPr>
          <w:sz w:val="22"/>
          <w:szCs w:val="22"/>
        </w:rPr>
        <w:t>o</w:t>
      </w:r>
      <w:r w:rsidRPr="00F03C54">
        <w:rPr>
          <w:sz w:val="22"/>
          <w:szCs w:val="22"/>
        </w:rPr>
        <w:t xml:space="preserve">ides ≤ 7,5 mg por dia, e </w:t>
      </w:r>
      <w:r w:rsidR="005F0894">
        <w:rPr>
          <w:sz w:val="22"/>
          <w:szCs w:val="22"/>
        </w:rPr>
        <w:t>178</w:t>
      </w:r>
      <w:r w:rsidRPr="00F03C54">
        <w:rPr>
          <w:sz w:val="22"/>
          <w:szCs w:val="22"/>
        </w:rPr>
        <w:t xml:space="preserve"> (</w:t>
      </w:r>
      <w:r w:rsidR="005F0894">
        <w:rPr>
          <w:sz w:val="22"/>
          <w:szCs w:val="22"/>
        </w:rPr>
        <w:t>66,2</w:t>
      </w:r>
      <w:r w:rsidRPr="00F03C54">
        <w:rPr>
          <w:sz w:val="22"/>
          <w:szCs w:val="22"/>
        </w:rPr>
        <w:t xml:space="preserve">%) estavam em repouso isentos de esteroides. Na semana 78, </w:t>
      </w:r>
      <w:r w:rsidR="003C5B52">
        <w:rPr>
          <w:sz w:val="22"/>
          <w:szCs w:val="22"/>
        </w:rPr>
        <w:t>a MAVC</w:t>
      </w:r>
      <w:r w:rsidRPr="00F03C54">
        <w:rPr>
          <w:sz w:val="22"/>
          <w:szCs w:val="22"/>
        </w:rPr>
        <w:t xml:space="preserve"> foi melhorad</w:t>
      </w:r>
      <w:r w:rsidR="003C5B52">
        <w:rPr>
          <w:sz w:val="22"/>
          <w:szCs w:val="22"/>
        </w:rPr>
        <w:t>a</w:t>
      </w:r>
      <w:r w:rsidRPr="00F03C54">
        <w:rPr>
          <w:sz w:val="22"/>
          <w:szCs w:val="22"/>
        </w:rPr>
        <w:t xml:space="preserve"> ou mantid</w:t>
      </w:r>
      <w:r w:rsidR="003C5B52">
        <w:rPr>
          <w:sz w:val="22"/>
          <w:szCs w:val="22"/>
        </w:rPr>
        <w:t>a</w:t>
      </w:r>
      <w:r w:rsidRPr="00F03C54">
        <w:rPr>
          <w:sz w:val="22"/>
          <w:szCs w:val="22"/>
        </w:rPr>
        <w:t xml:space="preserve"> (</w:t>
      </w:r>
      <w:r w:rsidR="003C5B52">
        <w:rPr>
          <w:sz w:val="22"/>
          <w:szCs w:val="22"/>
        </w:rPr>
        <w:t xml:space="preserve">deterioração de </w:t>
      </w:r>
      <w:r w:rsidRPr="00F03C54">
        <w:rPr>
          <w:sz w:val="22"/>
          <w:szCs w:val="22"/>
        </w:rPr>
        <w:t>&lt; 5 letras) em 88,</w:t>
      </w:r>
      <w:r w:rsidR="005F0894">
        <w:rPr>
          <w:sz w:val="22"/>
          <w:szCs w:val="22"/>
        </w:rPr>
        <w:t>6</w:t>
      </w:r>
      <w:r w:rsidRPr="00F03C54">
        <w:rPr>
          <w:sz w:val="22"/>
          <w:szCs w:val="22"/>
        </w:rPr>
        <w:t>%</w:t>
      </w:r>
      <w:r w:rsidR="003C5B52">
        <w:rPr>
          <w:sz w:val="22"/>
          <w:szCs w:val="22"/>
        </w:rPr>
        <w:t xml:space="preserve"> dos olhos</w:t>
      </w:r>
      <w:r w:rsidRPr="00F03C54">
        <w:rPr>
          <w:sz w:val="22"/>
          <w:szCs w:val="22"/>
        </w:rPr>
        <w:t>.</w:t>
      </w:r>
      <w:r w:rsidR="005F0894" w:rsidRPr="005F0894">
        <w:rPr>
          <w:sz w:val="22"/>
          <w:szCs w:val="22"/>
        </w:rPr>
        <w:t xml:space="preserve"> Os dados para além da semana 78 foram </w:t>
      </w:r>
      <w:r w:rsidR="003C5B52">
        <w:rPr>
          <w:sz w:val="22"/>
          <w:szCs w:val="22"/>
        </w:rPr>
        <w:t>na generalidade</w:t>
      </w:r>
      <w:r w:rsidR="005F0894" w:rsidRPr="005F0894">
        <w:rPr>
          <w:sz w:val="22"/>
          <w:szCs w:val="22"/>
        </w:rPr>
        <w:t xml:space="preserve"> consistentes com estes resultados, mas o número de indivíduos inscritos diminuiu após esse tempo. Globalmente, </w:t>
      </w:r>
      <w:r w:rsidR="005F0894">
        <w:rPr>
          <w:sz w:val="22"/>
          <w:szCs w:val="22"/>
        </w:rPr>
        <w:t>e</w:t>
      </w:r>
      <w:r w:rsidRPr="00F03C54">
        <w:rPr>
          <w:sz w:val="22"/>
          <w:szCs w:val="22"/>
        </w:rPr>
        <w:t xml:space="preserve">ntre os doentes que descontinuaram o estudo , </w:t>
      </w:r>
      <w:r w:rsidR="00CD1E1B">
        <w:rPr>
          <w:sz w:val="22"/>
          <w:szCs w:val="22"/>
        </w:rPr>
        <w:t>18</w:t>
      </w:r>
      <w:r w:rsidRPr="00F03C54">
        <w:rPr>
          <w:sz w:val="22"/>
          <w:szCs w:val="22"/>
        </w:rPr>
        <w:t xml:space="preserve">% descontinuaram devido a acontecimentos adversos, e </w:t>
      </w:r>
      <w:r w:rsidR="00CD1E1B">
        <w:rPr>
          <w:sz w:val="22"/>
          <w:szCs w:val="22"/>
        </w:rPr>
        <w:t>8</w:t>
      </w:r>
      <w:r w:rsidRPr="00F03C54">
        <w:rPr>
          <w:sz w:val="22"/>
          <w:szCs w:val="22"/>
        </w:rPr>
        <w:t xml:space="preserve">% devido a uma resposta terapêutica </w:t>
      </w:r>
      <w:r w:rsidRPr="00F03C54">
        <w:rPr>
          <w:sz w:val="22"/>
          <w:szCs w:val="22"/>
        </w:rPr>
        <w:t>insuficiente com adalimumab.</w:t>
      </w:r>
    </w:p>
    <w:p w14:paraId="5284A9CF" w14:textId="77777777" w:rsidR="00924846" w:rsidRPr="00CC4B51" w:rsidRDefault="00924846" w:rsidP="004462A0">
      <w:pPr>
        <w:rPr>
          <w:sz w:val="22"/>
          <w:szCs w:val="22"/>
        </w:rPr>
      </w:pPr>
    </w:p>
    <w:p w14:paraId="46734A8F" w14:textId="77777777" w:rsidR="004462A0" w:rsidRPr="00CC4B51" w:rsidRDefault="00615769" w:rsidP="004462A0">
      <w:pPr>
        <w:rPr>
          <w:i/>
          <w:sz w:val="22"/>
          <w:szCs w:val="22"/>
          <w:u w:val="single"/>
        </w:rPr>
      </w:pPr>
      <w:r w:rsidRPr="00CC4B51">
        <w:rPr>
          <w:i/>
          <w:sz w:val="22"/>
          <w:szCs w:val="22"/>
          <w:u w:val="single"/>
        </w:rPr>
        <w:t xml:space="preserve">Qualidade de </w:t>
      </w:r>
      <w:r w:rsidR="00FB6C29">
        <w:rPr>
          <w:i/>
          <w:sz w:val="22"/>
          <w:szCs w:val="22"/>
          <w:u w:val="single"/>
        </w:rPr>
        <w:t>v</w:t>
      </w:r>
      <w:r w:rsidRPr="00CC4B51">
        <w:rPr>
          <w:i/>
          <w:sz w:val="22"/>
          <w:szCs w:val="22"/>
          <w:u w:val="single"/>
        </w:rPr>
        <w:t>ida</w:t>
      </w:r>
    </w:p>
    <w:p w14:paraId="50001A0D" w14:textId="77777777" w:rsidR="004462A0" w:rsidRPr="00CC4B51" w:rsidRDefault="004462A0" w:rsidP="004462A0">
      <w:pPr>
        <w:rPr>
          <w:i/>
          <w:sz w:val="22"/>
          <w:szCs w:val="22"/>
          <w:u w:val="single"/>
        </w:rPr>
      </w:pPr>
    </w:p>
    <w:p w14:paraId="2EF45737" w14:textId="77777777" w:rsidR="004462A0" w:rsidRPr="00CC4B51" w:rsidRDefault="00615769" w:rsidP="004462A0">
      <w:pPr>
        <w:rPr>
          <w:sz w:val="22"/>
          <w:szCs w:val="22"/>
        </w:rPr>
      </w:pPr>
      <w:r w:rsidRPr="00CC4B51">
        <w:rPr>
          <w:sz w:val="22"/>
          <w:szCs w:val="22"/>
        </w:rPr>
        <w:t>Os resultados reportados pelos doentes relativamente aos aspetos relacionados com o funcionamento da visão foram avaliados em ambos os estudos clínicos, usando a NEI VFQ-25. Humira foi numericamente favorável para a maioria das subpontuações com uma média de diferenças estatisticamente significativas para a visão em geral, dor ocular, visão de perto, saúde mental, e pontuação total no Estudo UV I, e para a visão geral e saúde mental no Estudo UV II. Os efeitos relacionados com a visão não foram numericament</w:t>
      </w:r>
      <w:r w:rsidRPr="00CC4B51">
        <w:rPr>
          <w:sz w:val="22"/>
          <w:szCs w:val="22"/>
        </w:rPr>
        <w:t>e favoráveis a Humira na visão colorida no Estudo UV I e na visão colorida, visão periférica e visão de perto no Estudo UV II.</w:t>
      </w:r>
    </w:p>
    <w:p w14:paraId="6EC2A16F" w14:textId="77777777" w:rsidR="004462A0" w:rsidRPr="00CC4B51" w:rsidRDefault="00615769" w:rsidP="004462A0">
      <w:pPr>
        <w:keepNext/>
        <w:autoSpaceDE w:val="0"/>
        <w:autoSpaceDN w:val="0"/>
        <w:adjustRightInd w:val="0"/>
        <w:outlineLvl w:val="8"/>
        <w:rPr>
          <w:sz w:val="22"/>
          <w:szCs w:val="22"/>
          <w:u w:val="single"/>
        </w:rPr>
      </w:pPr>
      <w:r w:rsidRPr="00CC4B51">
        <w:rPr>
          <w:sz w:val="22"/>
          <w:szCs w:val="22"/>
          <w:u w:val="single"/>
        </w:rPr>
        <w:t>Imunogenicidade</w:t>
      </w:r>
    </w:p>
    <w:p w14:paraId="3BB811F7" w14:textId="77777777" w:rsidR="004462A0" w:rsidRPr="00CC4B51" w:rsidRDefault="004462A0" w:rsidP="004462A0">
      <w:pPr>
        <w:keepNext/>
        <w:autoSpaceDE w:val="0"/>
        <w:autoSpaceDN w:val="0"/>
        <w:adjustRightInd w:val="0"/>
        <w:rPr>
          <w:sz w:val="22"/>
          <w:szCs w:val="22"/>
        </w:rPr>
      </w:pPr>
    </w:p>
    <w:p w14:paraId="1F960746" w14:textId="77777777" w:rsidR="004462A0" w:rsidRPr="00CC4B51" w:rsidRDefault="00615769" w:rsidP="004462A0">
      <w:pPr>
        <w:keepNext/>
        <w:autoSpaceDE w:val="0"/>
        <w:autoSpaceDN w:val="0"/>
        <w:adjustRightInd w:val="0"/>
        <w:rPr>
          <w:sz w:val="22"/>
          <w:szCs w:val="22"/>
        </w:rPr>
      </w:pPr>
      <w:r w:rsidRPr="00CC4B51">
        <w:rPr>
          <w:sz w:val="22"/>
          <w:szCs w:val="22"/>
        </w:rPr>
        <w:t>A formação de anticorpos anti</w:t>
      </w:r>
      <w:r w:rsidR="00840424">
        <w:rPr>
          <w:sz w:val="22"/>
          <w:szCs w:val="22"/>
        </w:rPr>
        <w:t>-</w:t>
      </w:r>
      <w:r w:rsidRPr="00CC4B51">
        <w:rPr>
          <w:sz w:val="22"/>
          <w:szCs w:val="22"/>
        </w:rPr>
        <w:t>adalimumab está associada com a depuração aumentada e eficácia reduzida de adalimumab. Não há aparente correlação entre a presença de anticorpos anti</w:t>
      </w:r>
      <w:r w:rsidR="00840424">
        <w:rPr>
          <w:sz w:val="22"/>
          <w:szCs w:val="22"/>
        </w:rPr>
        <w:t>-</w:t>
      </w:r>
      <w:r w:rsidRPr="00CC4B51">
        <w:rPr>
          <w:sz w:val="22"/>
          <w:szCs w:val="22"/>
        </w:rPr>
        <w:t>adalimumab e a ocorrência de acontecimentos adversos.</w:t>
      </w:r>
    </w:p>
    <w:p w14:paraId="59A1DA66" w14:textId="77777777" w:rsidR="004462A0" w:rsidRDefault="004462A0" w:rsidP="004462A0">
      <w:pPr>
        <w:autoSpaceDE w:val="0"/>
        <w:autoSpaceDN w:val="0"/>
        <w:adjustRightInd w:val="0"/>
        <w:rPr>
          <w:sz w:val="22"/>
          <w:szCs w:val="22"/>
        </w:rPr>
      </w:pPr>
    </w:p>
    <w:p w14:paraId="31447052" w14:textId="77777777" w:rsidR="00835AFF" w:rsidRDefault="00615769" w:rsidP="00AA7352">
      <w:pPr>
        <w:tabs>
          <w:tab w:val="left" w:pos="1294"/>
        </w:tabs>
        <w:autoSpaceDE w:val="0"/>
        <w:autoSpaceDN w:val="0"/>
        <w:adjustRightInd w:val="0"/>
        <w:rPr>
          <w:sz w:val="22"/>
          <w:szCs w:val="22"/>
        </w:rPr>
      </w:pPr>
      <w:r w:rsidRPr="008912CF">
        <w:rPr>
          <w:sz w:val="22"/>
          <w:szCs w:val="22"/>
        </w:rPr>
        <w:t>Os doentes nos estudos de artrite reumatoide I, II e III foram analisados em múltiplos pontos temporais para pesquisa de anticorpos anti</w:t>
      </w:r>
      <w:r w:rsidR="00840424">
        <w:rPr>
          <w:sz w:val="22"/>
          <w:szCs w:val="22"/>
        </w:rPr>
        <w:t>-</w:t>
      </w:r>
      <w:r w:rsidRPr="008912CF">
        <w:rPr>
          <w:sz w:val="22"/>
          <w:szCs w:val="22"/>
        </w:rPr>
        <w:t>adalimumab durante o período de 6 a 12 meses. Nos ensaios centrais, foram identificados anticorpos anti</w:t>
      </w:r>
      <w:r w:rsidR="00840424">
        <w:rPr>
          <w:sz w:val="22"/>
          <w:szCs w:val="22"/>
        </w:rPr>
        <w:t>-</w:t>
      </w:r>
      <w:r w:rsidRPr="008912CF">
        <w:rPr>
          <w:sz w:val="22"/>
          <w:szCs w:val="22"/>
        </w:rPr>
        <w:t>adalimumab em 5,5</w:t>
      </w:r>
      <w:r w:rsidR="009343EF">
        <w:rPr>
          <w:sz w:val="22"/>
          <w:szCs w:val="22"/>
        </w:rPr>
        <w:t>%</w:t>
      </w:r>
      <w:r w:rsidRPr="008912CF">
        <w:rPr>
          <w:sz w:val="22"/>
          <w:szCs w:val="22"/>
        </w:rPr>
        <w:t xml:space="preserve"> (58/1053) dos doentes tratados com adalimumab comparativamente a</w:t>
      </w:r>
      <w:r w:rsidRPr="008912CF">
        <w:rPr>
          <w:i/>
          <w:iCs/>
          <w:sz w:val="22"/>
          <w:szCs w:val="22"/>
        </w:rPr>
        <w:t xml:space="preserve"> </w:t>
      </w:r>
      <w:r w:rsidRPr="008912CF">
        <w:rPr>
          <w:sz w:val="22"/>
          <w:szCs w:val="22"/>
        </w:rPr>
        <w:t>0,5</w:t>
      </w:r>
      <w:r w:rsidR="009343EF">
        <w:rPr>
          <w:sz w:val="22"/>
          <w:szCs w:val="22"/>
        </w:rPr>
        <w:t>%</w:t>
      </w:r>
      <w:r w:rsidRPr="008912CF">
        <w:rPr>
          <w:sz w:val="22"/>
          <w:szCs w:val="22"/>
        </w:rPr>
        <w:t xml:space="preserve"> (2/370) com placebo. Nos doentes não submetidos a um tratamento concomitante com metotrexato, a incidência foi de 12,4</w:t>
      </w:r>
      <w:r w:rsidR="009343EF">
        <w:rPr>
          <w:sz w:val="22"/>
          <w:szCs w:val="22"/>
        </w:rPr>
        <w:t>%</w:t>
      </w:r>
      <w:r w:rsidRPr="008912CF">
        <w:rPr>
          <w:sz w:val="22"/>
          <w:szCs w:val="22"/>
        </w:rPr>
        <w:t>, comparativamente a 0,6</w:t>
      </w:r>
      <w:r w:rsidR="009343EF">
        <w:rPr>
          <w:sz w:val="22"/>
          <w:szCs w:val="22"/>
        </w:rPr>
        <w:t>%</w:t>
      </w:r>
      <w:r w:rsidRPr="008912CF">
        <w:rPr>
          <w:sz w:val="22"/>
          <w:szCs w:val="22"/>
        </w:rPr>
        <w:t xml:space="preserve"> quando adalimumab foi utilizado como terapêutica adjuvante a metotrexato. </w:t>
      </w:r>
    </w:p>
    <w:p w14:paraId="2995B788" w14:textId="77777777" w:rsidR="00835AFF" w:rsidRPr="00CC4B51" w:rsidRDefault="00835AFF" w:rsidP="004462A0">
      <w:pPr>
        <w:autoSpaceDE w:val="0"/>
        <w:autoSpaceDN w:val="0"/>
        <w:adjustRightInd w:val="0"/>
        <w:rPr>
          <w:sz w:val="22"/>
          <w:szCs w:val="22"/>
        </w:rPr>
      </w:pPr>
    </w:p>
    <w:p w14:paraId="6FAEA9A8" w14:textId="77777777" w:rsidR="004462A0" w:rsidRPr="00CC4B51" w:rsidRDefault="00615769" w:rsidP="004462A0">
      <w:pPr>
        <w:rPr>
          <w:sz w:val="22"/>
          <w:szCs w:val="22"/>
        </w:rPr>
      </w:pPr>
      <w:r w:rsidRPr="00CC4B51">
        <w:rPr>
          <w:sz w:val="22"/>
          <w:szCs w:val="22"/>
        </w:rPr>
        <w:t>Em doentes com doença de Crohn e em doentes com colite ulcerosa foram identificados anticorpos anti</w:t>
      </w:r>
      <w:r w:rsidR="00840424">
        <w:rPr>
          <w:sz w:val="22"/>
          <w:szCs w:val="22"/>
        </w:rPr>
        <w:t>-</w:t>
      </w:r>
      <w:r w:rsidRPr="00CC4B51">
        <w:rPr>
          <w:sz w:val="22"/>
          <w:szCs w:val="22"/>
        </w:rPr>
        <w:t>adalimumab em 7/269 doentes (2,6</w:t>
      </w:r>
      <w:r w:rsidR="009343EF">
        <w:rPr>
          <w:sz w:val="22"/>
          <w:szCs w:val="22"/>
        </w:rPr>
        <w:t>%</w:t>
      </w:r>
      <w:r w:rsidRPr="00CC4B51">
        <w:rPr>
          <w:sz w:val="22"/>
          <w:szCs w:val="22"/>
        </w:rPr>
        <w:t>) e em 19/487 doentes (3,9</w:t>
      </w:r>
      <w:r w:rsidR="009343EF">
        <w:rPr>
          <w:sz w:val="22"/>
          <w:szCs w:val="22"/>
        </w:rPr>
        <w:t>%</w:t>
      </w:r>
      <w:r w:rsidRPr="00CC4B51">
        <w:rPr>
          <w:sz w:val="22"/>
          <w:szCs w:val="22"/>
        </w:rPr>
        <w:t>) respetivamente.</w:t>
      </w:r>
    </w:p>
    <w:p w14:paraId="1AAF764A" w14:textId="77777777" w:rsidR="004462A0" w:rsidRPr="00CC4B51" w:rsidRDefault="004462A0" w:rsidP="004462A0">
      <w:pPr>
        <w:rPr>
          <w:sz w:val="22"/>
          <w:szCs w:val="22"/>
        </w:rPr>
      </w:pPr>
    </w:p>
    <w:p w14:paraId="5859A9DB" w14:textId="77777777" w:rsidR="004462A0" w:rsidRPr="00CC4B51" w:rsidRDefault="00615769" w:rsidP="004462A0">
      <w:pPr>
        <w:rPr>
          <w:sz w:val="22"/>
          <w:szCs w:val="22"/>
        </w:rPr>
      </w:pPr>
      <w:r w:rsidRPr="00CC4B51">
        <w:rPr>
          <w:sz w:val="22"/>
          <w:szCs w:val="22"/>
        </w:rPr>
        <w:t>Em doentes adultos com psoríase tratados com adalimumab em monoterapia foram identificados anticorpos anti</w:t>
      </w:r>
      <w:r w:rsidR="00840424">
        <w:rPr>
          <w:sz w:val="22"/>
          <w:szCs w:val="22"/>
        </w:rPr>
        <w:t>-</w:t>
      </w:r>
      <w:r w:rsidRPr="00CC4B51">
        <w:rPr>
          <w:sz w:val="22"/>
          <w:szCs w:val="22"/>
        </w:rPr>
        <w:t>adalimumab em 77/920 doentes (8,4</w:t>
      </w:r>
      <w:r w:rsidR="009343EF">
        <w:rPr>
          <w:sz w:val="22"/>
          <w:szCs w:val="22"/>
        </w:rPr>
        <w:t>%</w:t>
      </w:r>
      <w:r w:rsidRPr="00CC4B51">
        <w:rPr>
          <w:sz w:val="22"/>
          <w:szCs w:val="22"/>
        </w:rPr>
        <w:t>).</w:t>
      </w:r>
    </w:p>
    <w:p w14:paraId="02D62083" w14:textId="77777777" w:rsidR="004462A0" w:rsidRPr="00CC4B51" w:rsidRDefault="004462A0" w:rsidP="004462A0">
      <w:pPr>
        <w:rPr>
          <w:sz w:val="22"/>
          <w:szCs w:val="22"/>
        </w:rPr>
      </w:pPr>
    </w:p>
    <w:p w14:paraId="6BA9EEEB" w14:textId="77777777" w:rsidR="004462A0" w:rsidRPr="00CC4B51" w:rsidRDefault="00615769" w:rsidP="004462A0">
      <w:pPr>
        <w:rPr>
          <w:sz w:val="22"/>
          <w:szCs w:val="22"/>
        </w:rPr>
      </w:pPr>
      <w:r w:rsidRPr="00CC4B51">
        <w:rPr>
          <w:sz w:val="22"/>
          <w:szCs w:val="22"/>
        </w:rPr>
        <w:t xml:space="preserve">Em doentes adultos com psoríase em placas, tratados </w:t>
      </w:r>
      <w:r w:rsidR="003D7D06">
        <w:rPr>
          <w:sz w:val="22"/>
          <w:szCs w:val="22"/>
        </w:rPr>
        <w:t xml:space="preserve">com adalimumab </w:t>
      </w:r>
      <w:r w:rsidRPr="00CC4B51">
        <w:rPr>
          <w:sz w:val="22"/>
          <w:szCs w:val="22"/>
        </w:rPr>
        <w:t>em monoterapia a longo prazo, que participaram n</w:t>
      </w:r>
      <w:r w:rsidR="003D7D06">
        <w:rPr>
          <w:sz w:val="22"/>
          <w:szCs w:val="22"/>
        </w:rPr>
        <w:t>um</w:t>
      </w:r>
      <w:r w:rsidRPr="00CC4B51">
        <w:rPr>
          <w:sz w:val="22"/>
          <w:szCs w:val="22"/>
        </w:rPr>
        <w:t xml:space="preserve"> estudo de suspensão do tratamento e </w:t>
      </w:r>
      <w:r w:rsidR="003D7D06">
        <w:rPr>
          <w:sz w:val="22"/>
          <w:szCs w:val="22"/>
        </w:rPr>
        <w:t>re-</w:t>
      </w:r>
      <w:r w:rsidRPr="00CC4B51">
        <w:rPr>
          <w:sz w:val="22"/>
          <w:szCs w:val="22"/>
        </w:rPr>
        <w:t xml:space="preserve">tratamento, a taxa de anticorpos a adalimumab após o </w:t>
      </w:r>
      <w:r w:rsidR="003D7D06">
        <w:rPr>
          <w:sz w:val="22"/>
          <w:szCs w:val="22"/>
        </w:rPr>
        <w:t>re-</w:t>
      </w:r>
      <w:r w:rsidRPr="00CC4B51">
        <w:rPr>
          <w:sz w:val="22"/>
          <w:szCs w:val="22"/>
        </w:rPr>
        <w:t>tratamento (11 de 482 doentes, 2,3</w:t>
      </w:r>
      <w:r w:rsidR="009343EF">
        <w:rPr>
          <w:sz w:val="22"/>
          <w:szCs w:val="22"/>
        </w:rPr>
        <w:t>%</w:t>
      </w:r>
      <w:r w:rsidRPr="00CC4B51">
        <w:rPr>
          <w:sz w:val="22"/>
          <w:szCs w:val="22"/>
        </w:rPr>
        <w:t>) foi semelhante à taxa observada antes da suspensão (11 de 590 doentes, 1,9</w:t>
      </w:r>
      <w:r w:rsidR="009343EF">
        <w:rPr>
          <w:sz w:val="22"/>
          <w:szCs w:val="22"/>
        </w:rPr>
        <w:t>%</w:t>
      </w:r>
      <w:r w:rsidRPr="00CC4B51">
        <w:rPr>
          <w:sz w:val="22"/>
          <w:szCs w:val="22"/>
        </w:rPr>
        <w:t>).</w:t>
      </w:r>
    </w:p>
    <w:p w14:paraId="713FA974" w14:textId="77777777" w:rsidR="004462A0" w:rsidRPr="00CC4B51" w:rsidRDefault="004462A0" w:rsidP="004462A0">
      <w:pPr>
        <w:rPr>
          <w:sz w:val="22"/>
          <w:szCs w:val="22"/>
        </w:rPr>
      </w:pPr>
    </w:p>
    <w:p w14:paraId="3254B044" w14:textId="77777777" w:rsidR="004462A0" w:rsidRPr="00CC4B51" w:rsidRDefault="00615769" w:rsidP="004462A0">
      <w:pPr>
        <w:rPr>
          <w:sz w:val="22"/>
          <w:szCs w:val="22"/>
        </w:rPr>
      </w:pPr>
      <w:r w:rsidRPr="00CC4B51">
        <w:rPr>
          <w:sz w:val="22"/>
          <w:szCs w:val="22"/>
        </w:rPr>
        <w:t xml:space="preserve">Em doentes com hidradenite supurativa moderada a grave foram identificados </w:t>
      </w:r>
      <w:r w:rsidR="00212B10" w:rsidRPr="00CC4B51">
        <w:rPr>
          <w:sz w:val="22"/>
          <w:szCs w:val="22"/>
        </w:rPr>
        <w:t>anticorpos anti</w:t>
      </w:r>
      <w:r w:rsidR="00212B10">
        <w:rPr>
          <w:sz w:val="22"/>
          <w:szCs w:val="22"/>
        </w:rPr>
        <w:t>-</w:t>
      </w:r>
      <w:r w:rsidR="00212B10" w:rsidRPr="00CC4B51">
        <w:rPr>
          <w:sz w:val="22"/>
          <w:szCs w:val="22"/>
        </w:rPr>
        <w:t xml:space="preserve">adalimumab </w:t>
      </w:r>
      <w:r w:rsidRPr="00CC4B51">
        <w:rPr>
          <w:sz w:val="22"/>
          <w:szCs w:val="22"/>
        </w:rPr>
        <w:t>em 10/99 dos doentes (10,1</w:t>
      </w:r>
      <w:r w:rsidR="009343EF">
        <w:rPr>
          <w:sz w:val="22"/>
          <w:szCs w:val="22"/>
        </w:rPr>
        <w:t>%</w:t>
      </w:r>
      <w:r w:rsidRPr="00CC4B51">
        <w:rPr>
          <w:sz w:val="22"/>
          <w:szCs w:val="22"/>
        </w:rPr>
        <w:t>) tratados com adalimumab.</w:t>
      </w:r>
    </w:p>
    <w:p w14:paraId="75FAF48B" w14:textId="77777777" w:rsidR="004462A0" w:rsidRPr="00CC4B51" w:rsidRDefault="004462A0" w:rsidP="004462A0">
      <w:pPr>
        <w:rPr>
          <w:sz w:val="22"/>
          <w:szCs w:val="22"/>
        </w:rPr>
      </w:pPr>
    </w:p>
    <w:p w14:paraId="37848284" w14:textId="77777777" w:rsidR="004462A0" w:rsidRPr="00CC4B51" w:rsidRDefault="00615769" w:rsidP="004462A0">
      <w:pPr>
        <w:rPr>
          <w:sz w:val="22"/>
          <w:szCs w:val="22"/>
        </w:rPr>
      </w:pPr>
      <w:r w:rsidRPr="00CC4B51">
        <w:rPr>
          <w:sz w:val="22"/>
          <w:szCs w:val="22"/>
        </w:rPr>
        <w:t>Em doentes com doença de Crohn pediátrica ativa moderada a grave, a taxa de desenvolvimento de anticorpos anti</w:t>
      </w:r>
      <w:r w:rsidR="00840424">
        <w:rPr>
          <w:sz w:val="22"/>
          <w:szCs w:val="22"/>
        </w:rPr>
        <w:t>-</w:t>
      </w:r>
      <w:r w:rsidRPr="00CC4B51">
        <w:rPr>
          <w:sz w:val="22"/>
          <w:szCs w:val="22"/>
        </w:rPr>
        <w:t>adalimumab em doentes tratados com adalimumab foi de 3,3</w:t>
      </w:r>
      <w:r w:rsidR="009343EF">
        <w:rPr>
          <w:sz w:val="22"/>
          <w:szCs w:val="22"/>
        </w:rPr>
        <w:t>%</w:t>
      </w:r>
      <w:r w:rsidRPr="00CC4B51">
        <w:rPr>
          <w:sz w:val="22"/>
          <w:szCs w:val="22"/>
        </w:rPr>
        <w:t>.</w:t>
      </w:r>
    </w:p>
    <w:p w14:paraId="718FCBE8" w14:textId="77777777" w:rsidR="004462A0" w:rsidRPr="00CC4B51" w:rsidRDefault="004462A0" w:rsidP="004462A0">
      <w:pPr>
        <w:rPr>
          <w:sz w:val="22"/>
          <w:szCs w:val="22"/>
        </w:rPr>
      </w:pPr>
    </w:p>
    <w:p w14:paraId="348E67D6" w14:textId="77777777" w:rsidR="004462A0" w:rsidRPr="00CC4B51" w:rsidRDefault="00615769" w:rsidP="004462A0">
      <w:pPr>
        <w:rPr>
          <w:sz w:val="22"/>
          <w:szCs w:val="22"/>
        </w:rPr>
      </w:pPr>
      <w:r w:rsidRPr="00CC4B51">
        <w:rPr>
          <w:sz w:val="22"/>
          <w:szCs w:val="22"/>
        </w:rPr>
        <w:t xml:space="preserve">Em doentes </w:t>
      </w:r>
      <w:r w:rsidR="00924846">
        <w:rPr>
          <w:sz w:val="22"/>
          <w:szCs w:val="22"/>
        </w:rPr>
        <w:t xml:space="preserve">adultos </w:t>
      </w:r>
      <w:r w:rsidRPr="00CC4B51">
        <w:rPr>
          <w:sz w:val="22"/>
          <w:szCs w:val="22"/>
        </w:rPr>
        <w:t xml:space="preserve">com uveíte não infecciosa foram identificados anticorpos anti-adalimumab em 4,8% (12/249) dos doentes tratados com adalimumab </w:t>
      </w:r>
    </w:p>
    <w:p w14:paraId="56324D97" w14:textId="77777777" w:rsidR="004462A0" w:rsidRPr="00CC4B51" w:rsidRDefault="004462A0" w:rsidP="004462A0">
      <w:pPr>
        <w:rPr>
          <w:sz w:val="22"/>
          <w:szCs w:val="22"/>
        </w:rPr>
      </w:pPr>
    </w:p>
    <w:p w14:paraId="62D77351" w14:textId="77777777" w:rsidR="005B24D2" w:rsidRDefault="00615769" w:rsidP="004462A0">
      <w:pPr>
        <w:rPr>
          <w:sz w:val="22"/>
          <w:szCs w:val="22"/>
        </w:rPr>
      </w:pPr>
      <w:r w:rsidRPr="005B24D2">
        <w:rPr>
          <w:sz w:val="22"/>
          <w:szCs w:val="22"/>
        </w:rPr>
        <w:t>Em doentes com colite ulcerosa</w:t>
      </w:r>
      <w:r w:rsidR="004B66CF">
        <w:rPr>
          <w:sz w:val="22"/>
          <w:szCs w:val="22"/>
        </w:rPr>
        <w:t xml:space="preserve"> pediátrica</w:t>
      </w:r>
      <w:r w:rsidRPr="005B24D2">
        <w:rPr>
          <w:sz w:val="22"/>
          <w:szCs w:val="22"/>
        </w:rPr>
        <w:t xml:space="preserve"> ativa moderada a grave, a taxa de desenvolvimento de anticorpos anti</w:t>
      </w:r>
      <w:r w:rsidR="00372684">
        <w:rPr>
          <w:sz w:val="22"/>
          <w:szCs w:val="22"/>
        </w:rPr>
        <w:t>-</w:t>
      </w:r>
      <w:r w:rsidRPr="005B24D2">
        <w:rPr>
          <w:sz w:val="22"/>
          <w:szCs w:val="22"/>
        </w:rPr>
        <w:t>adalimumab em doentes tratados com adalimumab foi de 3%.</w:t>
      </w:r>
    </w:p>
    <w:p w14:paraId="7E6FE5FB" w14:textId="77777777" w:rsidR="005B24D2" w:rsidRDefault="005B24D2" w:rsidP="004462A0">
      <w:pPr>
        <w:rPr>
          <w:sz w:val="22"/>
          <w:szCs w:val="22"/>
        </w:rPr>
      </w:pPr>
    </w:p>
    <w:p w14:paraId="25D6BC2E" w14:textId="77777777" w:rsidR="004462A0" w:rsidRPr="00CC4B51" w:rsidRDefault="00615769" w:rsidP="004462A0">
      <w:pPr>
        <w:rPr>
          <w:sz w:val="22"/>
          <w:szCs w:val="22"/>
        </w:rPr>
      </w:pPr>
      <w:r w:rsidRPr="00CC4B51">
        <w:rPr>
          <w:sz w:val="22"/>
          <w:szCs w:val="22"/>
        </w:rPr>
        <w:t>Uma vez que as análises de imunogenicidade são específicas do produto, não é apropriado comparar as taxas de anticorpos com as de outros produtos.</w:t>
      </w:r>
    </w:p>
    <w:p w14:paraId="39FDFD10" w14:textId="77777777" w:rsidR="004462A0" w:rsidRPr="00CC4B51" w:rsidRDefault="004462A0" w:rsidP="004462A0">
      <w:pPr>
        <w:jc w:val="both"/>
        <w:outlineLvl w:val="0"/>
        <w:rPr>
          <w:rFonts w:eastAsia="SimSun"/>
          <w:sz w:val="22"/>
          <w:szCs w:val="22"/>
          <w:lang w:eastAsia="zh-CN"/>
        </w:rPr>
      </w:pPr>
    </w:p>
    <w:p w14:paraId="5FE22C2C" w14:textId="77777777" w:rsidR="004462A0" w:rsidRPr="00CC4B51" w:rsidRDefault="00615769" w:rsidP="00D31037">
      <w:pPr>
        <w:keepNext/>
        <w:jc w:val="both"/>
        <w:outlineLvl w:val="0"/>
        <w:rPr>
          <w:rFonts w:eastAsia="SimSun"/>
          <w:sz w:val="22"/>
          <w:szCs w:val="22"/>
          <w:u w:val="single"/>
          <w:lang w:eastAsia="zh-CN"/>
        </w:rPr>
      </w:pPr>
      <w:r w:rsidRPr="00CC4B51">
        <w:rPr>
          <w:rFonts w:eastAsia="SimSun"/>
          <w:sz w:val="22"/>
          <w:szCs w:val="22"/>
          <w:u w:val="single"/>
          <w:lang w:eastAsia="zh-CN"/>
        </w:rPr>
        <w:t>População pediátrica</w:t>
      </w:r>
    </w:p>
    <w:p w14:paraId="02C57A44" w14:textId="77777777" w:rsidR="004462A0" w:rsidRPr="00CC4B51" w:rsidRDefault="004462A0" w:rsidP="00D31037">
      <w:pPr>
        <w:keepNext/>
        <w:jc w:val="both"/>
        <w:outlineLvl w:val="0"/>
        <w:rPr>
          <w:rFonts w:eastAsia="SimSun"/>
          <w:sz w:val="22"/>
          <w:szCs w:val="22"/>
          <w:lang w:eastAsia="zh-CN"/>
        </w:rPr>
      </w:pPr>
    </w:p>
    <w:p w14:paraId="6CF033DB" w14:textId="77777777" w:rsidR="00D94630" w:rsidRPr="00CC4B51" w:rsidRDefault="00615769" w:rsidP="002F486F">
      <w:pPr>
        <w:keepNext/>
        <w:rPr>
          <w:i/>
          <w:sz w:val="22"/>
          <w:szCs w:val="22"/>
        </w:rPr>
      </w:pPr>
      <w:r w:rsidRPr="00CC4B51">
        <w:rPr>
          <w:i/>
          <w:sz w:val="22"/>
          <w:szCs w:val="22"/>
        </w:rPr>
        <w:t>Hidradenite supurativa no adolescente</w:t>
      </w:r>
    </w:p>
    <w:p w14:paraId="56023865" w14:textId="77777777" w:rsidR="00D94630" w:rsidRPr="00CC4B51" w:rsidRDefault="00D94630" w:rsidP="002F486F">
      <w:pPr>
        <w:keepNext/>
        <w:rPr>
          <w:sz w:val="22"/>
          <w:szCs w:val="22"/>
          <w:u w:val="single"/>
        </w:rPr>
      </w:pPr>
    </w:p>
    <w:p w14:paraId="2E3A5163" w14:textId="77777777" w:rsidR="00D94630" w:rsidRPr="00CC4B51" w:rsidRDefault="00615769" w:rsidP="002F486F">
      <w:pPr>
        <w:keepNext/>
        <w:rPr>
          <w:sz w:val="22"/>
          <w:szCs w:val="22"/>
          <w:lang w:eastAsia="zh-TW"/>
        </w:rPr>
      </w:pPr>
      <w:r w:rsidRPr="00CC4B51">
        <w:rPr>
          <w:sz w:val="22"/>
          <w:szCs w:val="22"/>
        </w:rPr>
        <w:t xml:space="preserve">Não existem estudos clínicos com Humira em doentes adolescentes com hidradenite supurativa. A eficácia de adalimumab no tratamento de doentes adolescentes com HS é avaliada com base na eficácia e na relação de exposição-resposta demonstradas em doentes adultos com HS, considerando a probabilidade de que o curso da doença, fisiopatologia e efeitos de medicação sejam substancialmente semelhantes aos dos adultos, com os mesmos níveis de exposição. A segurança da dose recomendada de adalimumab nos adolescentes </w:t>
      </w:r>
      <w:r w:rsidRPr="00CC4B51">
        <w:rPr>
          <w:sz w:val="22"/>
          <w:szCs w:val="22"/>
        </w:rPr>
        <w:t>com HS é baseada no perfil de segurança de adalimumab nas várias indicações, em doentes adultos e pediátricos em doses semelhantes ou mais frequentes (ver secção 5.2).</w:t>
      </w:r>
    </w:p>
    <w:p w14:paraId="0E50FC83" w14:textId="77777777" w:rsidR="00D94630" w:rsidRPr="00CC4B51" w:rsidRDefault="00D94630" w:rsidP="00D94630">
      <w:pPr>
        <w:rPr>
          <w:sz w:val="22"/>
          <w:szCs w:val="22"/>
          <w:u w:val="single"/>
          <w:lang w:eastAsia="zh-TW"/>
        </w:rPr>
      </w:pPr>
    </w:p>
    <w:p w14:paraId="53F3F43F" w14:textId="77777777" w:rsidR="00D94630" w:rsidRPr="00CC4B51" w:rsidRDefault="00615769" w:rsidP="00D94630">
      <w:pPr>
        <w:rPr>
          <w:sz w:val="22"/>
          <w:szCs w:val="22"/>
          <w:u w:val="single"/>
        </w:rPr>
      </w:pPr>
      <w:r w:rsidRPr="00CC4B51">
        <w:rPr>
          <w:i/>
          <w:sz w:val="22"/>
          <w:szCs w:val="22"/>
        </w:rPr>
        <w:t>Doença de Crohn pediátrica</w:t>
      </w:r>
    </w:p>
    <w:p w14:paraId="50EDF9BD" w14:textId="77777777" w:rsidR="00D94630" w:rsidRPr="00CC4B51" w:rsidRDefault="00D94630" w:rsidP="00D94630">
      <w:pPr>
        <w:rPr>
          <w:sz w:val="22"/>
          <w:szCs w:val="22"/>
          <w:u w:val="single"/>
        </w:rPr>
      </w:pPr>
    </w:p>
    <w:p w14:paraId="5492B43B" w14:textId="77777777" w:rsidR="00D94630" w:rsidRPr="00CC4B51" w:rsidRDefault="00615769" w:rsidP="00D94630">
      <w:pPr>
        <w:rPr>
          <w:sz w:val="22"/>
          <w:szCs w:val="22"/>
        </w:rPr>
      </w:pPr>
      <w:r w:rsidRPr="00CC4B51">
        <w:rPr>
          <w:sz w:val="22"/>
          <w:szCs w:val="22"/>
        </w:rPr>
        <w:t xml:space="preserve">Humira foi avaliado num estudo multicêntrico, </w:t>
      </w:r>
      <w:r>
        <w:rPr>
          <w:sz w:val="22"/>
          <w:szCs w:val="22"/>
        </w:rPr>
        <w:t>aleatorizado</w:t>
      </w:r>
      <w:r w:rsidRPr="00CC4B51">
        <w:rPr>
          <w:sz w:val="22"/>
          <w:szCs w:val="22"/>
        </w:rPr>
        <w:t>, em dupla ocultação, desenhado para avaliar a eficácia e segurança do tratamento inicial e de manutenção, com doses dependentes do peso corporal (&lt; 40 kg ou ≥ 40 kg), em 192 doentes pediátricos com idade</w:t>
      </w:r>
      <w:r>
        <w:rPr>
          <w:sz w:val="22"/>
          <w:szCs w:val="22"/>
        </w:rPr>
        <w:t>s</w:t>
      </w:r>
      <w:r w:rsidRPr="00CC4B51">
        <w:rPr>
          <w:sz w:val="22"/>
          <w:szCs w:val="22"/>
        </w:rPr>
        <w:t xml:space="preserve"> compreendida</w:t>
      </w:r>
      <w:r>
        <w:rPr>
          <w:sz w:val="22"/>
          <w:szCs w:val="22"/>
        </w:rPr>
        <w:t>s</w:t>
      </w:r>
      <w:r w:rsidRPr="00CC4B51">
        <w:rPr>
          <w:sz w:val="22"/>
          <w:szCs w:val="22"/>
        </w:rPr>
        <w:t xml:space="preserve"> entre os 6 e 17 anos (inclusive), com doença de Crohn (DC) moderada a</w:t>
      </w:r>
      <w:r>
        <w:rPr>
          <w:sz w:val="22"/>
          <w:szCs w:val="22"/>
        </w:rPr>
        <w:t xml:space="preserve"> </w:t>
      </w:r>
      <w:r w:rsidRPr="00CC4B51">
        <w:rPr>
          <w:sz w:val="22"/>
          <w:szCs w:val="22"/>
        </w:rPr>
        <w:t xml:space="preserve">grave definida </w:t>
      </w:r>
      <w:r>
        <w:rPr>
          <w:sz w:val="22"/>
          <w:szCs w:val="22"/>
        </w:rPr>
        <w:t>pelo</w:t>
      </w:r>
      <w:r w:rsidRPr="00CC4B51">
        <w:rPr>
          <w:sz w:val="22"/>
          <w:szCs w:val="22"/>
        </w:rPr>
        <w:t xml:space="preserve"> índice de Atividade de Doença Pediátrica de Crohn (</w:t>
      </w:r>
      <w:r w:rsidRPr="00CC4B51">
        <w:rPr>
          <w:i/>
          <w:sz w:val="22"/>
          <w:szCs w:val="22"/>
        </w:rPr>
        <w:t>Paediatric Crohn's Disease Activity Index</w:t>
      </w:r>
      <w:r w:rsidRPr="00CC4B51">
        <w:rPr>
          <w:sz w:val="22"/>
          <w:szCs w:val="22"/>
        </w:rPr>
        <w:t xml:space="preserve"> (PCDAI)) &gt; 30. </w:t>
      </w:r>
      <w:r>
        <w:rPr>
          <w:sz w:val="22"/>
          <w:szCs w:val="22"/>
        </w:rPr>
        <w:t>Os d</w:t>
      </w:r>
      <w:r w:rsidRPr="00CC4B51">
        <w:rPr>
          <w:sz w:val="22"/>
          <w:szCs w:val="22"/>
        </w:rPr>
        <w:t xml:space="preserve">oentes não </w:t>
      </w:r>
      <w:r>
        <w:rPr>
          <w:sz w:val="22"/>
          <w:szCs w:val="22"/>
        </w:rPr>
        <w:t xml:space="preserve">tinham </w:t>
      </w:r>
      <w:r w:rsidRPr="00CC4B51">
        <w:rPr>
          <w:sz w:val="22"/>
          <w:szCs w:val="22"/>
        </w:rPr>
        <w:t>respond</w:t>
      </w:r>
      <w:r>
        <w:rPr>
          <w:sz w:val="22"/>
          <w:szCs w:val="22"/>
        </w:rPr>
        <w:t>ido</w:t>
      </w:r>
      <w:r w:rsidRPr="00CC4B51">
        <w:rPr>
          <w:sz w:val="22"/>
          <w:szCs w:val="22"/>
        </w:rPr>
        <w:t xml:space="preserve"> a uma terapêutica convencional (incluindo um cort</w:t>
      </w:r>
      <w:r w:rsidRPr="00CC4B51">
        <w:rPr>
          <w:sz w:val="22"/>
          <w:szCs w:val="22"/>
        </w:rPr>
        <w:t>icosteroide e/ou um imunomodulador) na DC</w:t>
      </w:r>
      <w:r>
        <w:rPr>
          <w:sz w:val="22"/>
          <w:szCs w:val="22"/>
        </w:rPr>
        <w:t xml:space="preserve">ou tinham </w:t>
      </w:r>
      <w:r w:rsidRPr="00CC4B51">
        <w:rPr>
          <w:sz w:val="22"/>
          <w:szCs w:val="22"/>
        </w:rPr>
        <w:t>deixa</w:t>
      </w:r>
      <w:r>
        <w:rPr>
          <w:sz w:val="22"/>
          <w:szCs w:val="22"/>
        </w:rPr>
        <w:t>do</w:t>
      </w:r>
      <w:r w:rsidRPr="00CC4B51">
        <w:rPr>
          <w:sz w:val="22"/>
          <w:szCs w:val="22"/>
        </w:rPr>
        <w:t xml:space="preserve"> de responder ou tornaram-se intolerantes a infliximab.</w:t>
      </w:r>
      <w:r w:rsidRPr="00CC4B51">
        <w:rPr>
          <w:szCs w:val="22"/>
        </w:rPr>
        <w:t xml:space="preserve"> </w:t>
      </w:r>
    </w:p>
    <w:p w14:paraId="1B191CD8" w14:textId="77777777" w:rsidR="00D94630" w:rsidRPr="00CC4B51" w:rsidRDefault="00D94630" w:rsidP="00D94630">
      <w:pPr>
        <w:rPr>
          <w:sz w:val="22"/>
          <w:szCs w:val="22"/>
        </w:rPr>
      </w:pPr>
    </w:p>
    <w:p w14:paraId="2D74430B" w14:textId="77777777" w:rsidR="00D94630" w:rsidRPr="00CC4B51" w:rsidRDefault="00615769" w:rsidP="00D94630">
      <w:pPr>
        <w:rPr>
          <w:sz w:val="22"/>
          <w:szCs w:val="22"/>
        </w:rPr>
      </w:pPr>
      <w:r w:rsidRPr="00CC4B51">
        <w:rPr>
          <w:sz w:val="22"/>
          <w:szCs w:val="22"/>
        </w:rPr>
        <w:t>Todos os doentes receberam terapêutica de indução em fase aberta com uma dose baseada no peso corporal basal: 160 mg na Semana 0 e 80 mg na Semana 2 para doentes ≥ 40 kg e 80 mg e 40 mg, respetivamente, para doentes &lt; 40 kg.</w:t>
      </w:r>
    </w:p>
    <w:p w14:paraId="603CB5CA" w14:textId="77777777" w:rsidR="00D94630" w:rsidRPr="00CC4B51" w:rsidRDefault="00D94630" w:rsidP="00D94630">
      <w:pPr>
        <w:rPr>
          <w:sz w:val="22"/>
          <w:szCs w:val="22"/>
        </w:rPr>
      </w:pPr>
    </w:p>
    <w:p w14:paraId="1416FA73" w14:textId="77777777" w:rsidR="00D94630" w:rsidRPr="00CC4B51" w:rsidRDefault="00615769" w:rsidP="00D94630">
      <w:pPr>
        <w:rPr>
          <w:sz w:val="22"/>
          <w:szCs w:val="22"/>
        </w:rPr>
      </w:pPr>
      <w:r w:rsidRPr="00CC4B51">
        <w:rPr>
          <w:sz w:val="22"/>
          <w:szCs w:val="22"/>
        </w:rPr>
        <w:t xml:space="preserve">Na Semana 4, os doentes foram </w:t>
      </w:r>
      <w:r>
        <w:rPr>
          <w:sz w:val="22"/>
          <w:szCs w:val="22"/>
        </w:rPr>
        <w:t>aleatorizado</w:t>
      </w:r>
      <w:r w:rsidRPr="00CC4B51">
        <w:rPr>
          <w:sz w:val="22"/>
          <w:szCs w:val="22"/>
        </w:rPr>
        <w:t xml:space="preserve">s 1:1 com base no seu peso corporal aquando da definição do regime de manutenção da Baixa Dose ou da Dose Padrão, conforme Tabela </w:t>
      </w:r>
      <w:r>
        <w:rPr>
          <w:sz w:val="22"/>
          <w:szCs w:val="22"/>
        </w:rPr>
        <w:t>1</w:t>
      </w:r>
      <w:r w:rsidR="005B24D2">
        <w:rPr>
          <w:sz w:val="22"/>
          <w:szCs w:val="22"/>
        </w:rPr>
        <w:t>8</w:t>
      </w:r>
      <w:r w:rsidRPr="00CC4B51">
        <w:rPr>
          <w:sz w:val="22"/>
          <w:szCs w:val="22"/>
        </w:rPr>
        <w:t>.</w:t>
      </w:r>
    </w:p>
    <w:p w14:paraId="5092CF1D" w14:textId="77777777" w:rsidR="00D94630" w:rsidRPr="00CC4B51" w:rsidRDefault="00D94630" w:rsidP="00D94630">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
        <w:gridCol w:w="2843"/>
        <w:gridCol w:w="2843"/>
      </w:tblGrid>
      <w:tr w:rsidR="00A7162A" w14:paraId="46BEBF62" w14:textId="77777777" w:rsidTr="00B538F3">
        <w:trPr>
          <w:trHeight w:val="263"/>
          <w:jc w:val="center"/>
        </w:trPr>
        <w:tc>
          <w:tcPr>
            <w:tcW w:w="0" w:type="auto"/>
            <w:gridSpan w:val="3"/>
            <w:vAlign w:val="center"/>
          </w:tcPr>
          <w:p w14:paraId="2B20745D" w14:textId="77777777" w:rsidR="00D94630" w:rsidRDefault="00615769" w:rsidP="00B538F3">
            <w:pPr>
              <w:tabs>
                <w:tab w:val="left" w:pos="562"/>
              </w:tabs>
              <w:suppressAutoHyphens/>
              <w:jc w:val="center"/>
              <w:rPr>
                <w:b/>
                <w:sz w:val="22"/>
              </w:rPr>
            </w:pPr>
            <w:r w:rsidRPr="00CC4B51">
              <w:rPr>
                <w:b/>
                <w:sz w:val="22"/>
              </w:rPr>
              <w:t xml:space="preserve">Tabela </w:t>
            </w:r>
            <w:r>
              <w:rPr>
                <w:b/>
                <w:sz w:val="22"/>
              </w:rPr>
              <w:t>1</w:t>
            </w:r>
            <w:r w:rsidR="005B24D2">
              <w:rPr>
                <w:b/>
                <w:sz w:val="22"/>
              </w:rPr>
              <w:t>8</w:t>
            </w:r>
          </w:p>
          <w:p w14:paraId="171CCBAF" w14:textId="77777777" w:rsidR="00D94630" w:rsidRPr="00CC4B51" w:rsidRDefault="00615769" w:rsidP="00B538F3">
            <w:pPr>
              <w:tabs>
                <w:tab w:val="left" w:pos="562"/>
              </w:tabs>
              <w:suppressAutoHyphens/>
              <w:jc w:val="center"/>
              <w:rPr>
                <w:sz w:val="22"/>
              </w:rPr>
            </w:pPr>
            <w:r w:rsidRPr="00CC4B51">
              <w:rPr>
                <w:b/>
                <w:sz w:val="22"/>
              </w:rPr>
              <w:t>Regime de manutenção</w:t>
            </w:r>
          </w:p>
        </w:tc>
      </w:tr>
      <w:tr w:rsidR="00A7162A" w14:paraId="49E9ED3C" w14:textId="77777777" w:rsidTr="00B538F3">
        <w:trPr>
          <w:jc w:val="center"/>
        </w:trPr>
        <w:tc>
          <w:tcPr>
            <w:tcW w:w="0" w:type="auto"/>
            <w:vAlign w:val="center"/>
          </w:tcPr>
          <w:p w14:paraId="1EC0DF08" w14:textId="77777777" w:rsidR="00D94630" w:rsidRPr="00CC4B51" w:rsidRDefault="00615769" w:rsidP="00B538F3">
            <w:pPr>
              <w:tabs>
                <w:tab w:val="left" w:pos="562"/>
              </w:tabs>
              <w:suppressAutoHyphens/>
              <w:jc w:val="center"/>
              <w:rPr>
                <w:b/>
                <w:sz w:val="22"/>
              </w:rPr>
            </w:pPr>
            <w:r w:rsidRPr="00CC4B51">
              <w:rPr>
                <w:b/>
                <w:sz w:val="22"/>
              </w:rPr>
              <w:t>Peso</w:t>
            </w:r>
          </w:p>
          <w:p w14:paraId="6838F3DF" w14:textId="77777777" w:rsidR="00D94630" w:rsidRPr="00CC4B51" w:rsidRDefault="00615769" w:rsidP="00B538F3">
            <w:pPr>
              <w:tabs>
                <w:tab w:val="left" w:pos="562"/>
              </w:tabs>
              <w:suppressAutoHyphens/>
              <w:jc w:val="center"/>
              <w:rPr>
                <w:b/>
                <w:sz w:val="22"/>
              </w:rPr>
            </w:pPr>
            <w:r w:rsidRPr="00CC4B51">
              <w:rPr>
                <w:b/>
                <w:sz w:val="22"/>
              </w:rPr>
              <w:t>Doente</w:t>
            </w:r>
          </w:p>
        </w:tc>
        <w:tc>
          <w:tcPr>
            <w:tcW w:w="0" w:type="auto"/>
            <w:vAlign w:val="center"/>
          </w:tcPr>
          <w:p w14:paraId="6BF0942A" w14:textId="77777777" w:rsidR="00D94630" w:rsidRPr="00CC4B51" w:rsidRDefault="00615769" w:rsidP="00B538F3">
            <w:pPr>
              <w:tabs>
                <w:tab w:val="left" w:pos="562"/>
              </w:tabs>
              <w:suppressAutoHyphens/>
              <w:jc w:val="center"/>
              <w:rPr>
                <w:b/>
                <w:sz w:val="22"/>
              </w:rPr>
            </w:pPr>
            <w:r w:rsidRPr="00CC4B51">
              <w:rPr>
                <w:b/>
                <w:sz w:val="22"/>
              </w:rPr>
              <w:t xml:space="preserve">Baixa </w:t>
            </w:r>
            <w:r>
              <w:rPr>
                <w:b/>
                <w:sz w:val="22"/>
              </w:rPr>
              <w:t>D</w:t>
            </w:r>
            <w:r w:rsidRPr="00CC4B51">
              <w:rPr>
                <w:b/>
                <w:sz w:val="22"/>
              </w:rPr>
              <w:t>ose</w:t>
            </w:r>
          </w:p>
        </w:tc>
        <w:tc>
          <w:tcPr>
            <w:tcW w:w="0" w:type="auto"/>
            <w:vAlign w:val="center"/>
          </w:tcPr>
          <w:p w14:paraId="07710D84" w14:textId="77777777" w:rsidR="00D94630" w:rsidRPr="00CC4B51" w:rsidRDefault="00615769" w:rsidP="00B538F3">
            <w:pPr>
              <w:tabs>
                <w:tab w:val="left" w:pos="562"/>
              </w:tabs>
              <w:suppressAutoHyphens/>
              <w:jc w:val="center"/>
              <w:rPr>
                <w:b/>
                <w:sz w:val="22"/>
              </w:rPr>
            </w:pPr>
            <w:r w:rsidRPr="00CC4B51">
              <w:rPr>
                <w:b/>
                <w:sz w:val="22"/>
              </w:rPr>
              <w:t>Dose</w:t>
            </w:r>
          </w:p>
          <w:p w14:paraId="172036FB" w14:textId="77777777" w:rsidR="00D94630" w:rsidRPr="00CC4B51" w:rsidRDefault="00615769" w:rsidP="00B538F3">
            <w:pPr>
              <w:tabs>
                <w:tab w:val="left" w:pos="562"/>
              </w:tabs>
              <w:suppressAutoHyphens/>
              <w:jc w:val="center"/>
              <w:rPr>
                <w:b/>
                <w:sz w:val="22"/>
              </w:rPr>
            </w:pPr>
            <w:r w:rsidRPr="00CC4B51">
              <w:rPr>
                <w:b/>
                <w:sz w:val="22"/>
              </w:rPr>
              <w:t>padrão</w:t>
            </w:r>
          </w:p>
        </w:tc>
      </w:tr>
      <w:tr w:rsidR="00A7162A" w14:paraId="1B0629AA" w14:textId="77777777" w:rsidTr="00B538F3">
        <w:trPr>
          <w:jc w:val="center"/>
        </w:trPr>
        <w:tc>
          <w:tcPr>
            <w:tcW w:w="0" w:type="auto"/>
            <w:vAlign w:val="center"/>
          </w:tcPr>
          <w:p w14:paraId="2E3EFD86" w14:textId="77777777" w:rsidR="00D94630" w:rsidRPr="00CC4B51" w:rsidRDefault="00615769" w:rsidP="00B538F3">
            <w:pPr>
              <w:tabs>
                <w:tab w:val="left" w:pos="562"/>
              </w:tabs>
              <w:suppressAutoHyphens/>
              <w:jc w:val="center"/>
              <w:rPr>
                <w:sz w:val="22"/>
              </w:rPr>
            </w:pPr>
            <w:r w:rsidRPr="00CC4B51">
              <w:rPr>
                <w:sz w:val="22"/>
              </w:rPr>
              <w:t>&lt; 40 kg</w:t>
            </w:r>
          </w:p>
        </w:tc>
        <w:tc>
          <w:tcPr>
            <w:tcW w:w="0" w:type="auto"/>
            <w:vAlign w:val="center"/>
          </w:tcPr>
          <w:p w14:paraId="4190D8A5" w14:textId="77777777" w:rsidR="00D94630" w:rsidRPr="00CC4B51" w:rsidRDefault="00615769" w:rsidP="00B538F3">
            <w:pPr>
              <w:tabs>
                <w:tab w:val="left" w:pos="562"/>
              </w:tabs>
              <w:suppressAutoHyphens/>
              <w:jc w:val="center"/>
              <w:rPr>
                <w:sz w:val="22"/>
              </w:rPr>
            </w:pPr>
            <w:r w:rsidRPr="00CC4B51">
              <w:rPr>
                <w:sz w:val="22"/>
              </w:rPr>
              <w:t>10 mg em semanas alternadas</w:t>
            </w:r>
          </w:p>
        </w:tc>
        <w:tc>
          <w:tcPr>
            <w:tcW w:w="0" w:type="auto"/>
            <w:vAlign w:val="center"/>
          </w:tcPr>
          <w:p w14:paraId="6CD3F90C" w14:textId="77777777" w:rsidR="00D94630" w:rsidRPr="00CC4B51" w:rsidRDefault="00615769" w:rsidP="00B538F3">
            <w:pPr>
              <w:tabs>
                <w:tab w:val="left" w:pos="562"/>
              </w:tabs>
              <w:suppressAutoHyphens/>
              <w:jc w:val="center"/>
              <w:rPr>
                <w:sz w:val="22"/>
              </w:rPr>
            </w:pPr>
            <w:r w:rsidRPr="00CC4B51">
              <w:rPr>
                <w:sz w:val="22"/>
              </w:rPr>
              <w:t>20 mg em semanas alternadas</w:t>
            </w:r>
          </w:p>
        </w:tc>
      </w:tr>
      <w:tr w:rsidR="00A7162A" w14:paraId="6C6466A0" w14:textId="77777777" w:rsidTr="00B538F3">
        <w:trPr>
          <w:jc w:val="center"/>
        </w:trPr>
        <w:tc>
          <w:tcPr>
            <w:tcW w:w="0" w:type="auto"/>
            <w:vAlign w:val="center"/>
          </w:tcPr>
          <w:p w14:paraId="56790C3D" w14:textId="77777777" w:rsidR="00D94630" w:rsidRPr="00CC4B51" w:rsidRDefault="00615769" w:rsidP="00B538F3">
            <w:pPr>
              <w:tabs>
                <w:tab w:val="left" w:pos="562"/>
              </w:tabs>
              <w:suppressAutoHyphens/>
              <w:jc w:val="center"/>
              <w:rPr>
                <w:sz w:val="22"/>
              </w:rPr>
            </w:pPr>
            <w:r w:rsidRPr="00CC4B51">
              <w:rPr>
                <w:sz w:val="22"/>
              </w:rPr>
              <w:t>≥ 40 kg</w:t>
            </w:r>
          </w:p>
        </w:tc>
        <w:tc>
          <w:tcPr>
            <w:tcW w:w="0" w:type="auto"/>
            <w:vAlign w:val="center"/>
          </w:tcPr>
          <w:p w14:paraId="7CD763D0" w14:textId="77777777" w:rsidR="00D94630" w:rsidRPr="00CC4B51" w:rsidRDefault="00615769" w:rsidP="00B538F3">
            <w:pPr>
              <w:tabs>
                <w:tab w:val="left" w:pos="562"/>
              </w:tabs>
              <w:suppressAutoHyphens/>
              <w:jc w:val="center"/>
              <w:rPr>
                <w:sz w:val="22"/>
              </w:rPr>
            </w:pPr>
            <w:r w:rsidRPr="00CC4B51">
              <w:rPr>
                <w:sz w:val="22"/>
              </w:rPr>
              <w:t>20 mg em semanas alternadas</w:t>
            </w:r>
          </w:p>
        </w:tc>
        <w:tc>
          <w:tcPr>
            <w:tcW w:w="0" w:type="auto"/>
            <w:vAlign w:val="center"/>
          </w:tcPr>
          <w:p w14:paraId="6E1D12BA" w14:textId="77777777" w:rsidR="00D94630" w:rsidRPr="00CC4B51" w:rsidRDefault="00615769" w:rsidP="00B538F3">
            <w:pPr>
              <w:tabs>
                <w:tab w:val="left" w:pos="562"/>
              </w:tabs>
              <w:suppressAutoHyphens/>
              <w:jc w:val="center"/>
              <w:rPr>
                <w:sz w:val="22"/>
              </w:rPr>
            </w:pPr>
            <w:r w:rsidRPr="00CC4B51">
              <w:rPr>
                <w:sz w:val="22"/>
              </w:rPr>
              <w:t>40 mg em semanas alternadas</w:t>
            </w:r>
          </w:p>
        </w:tc>
      </w:tr>
    </w:tbl>
    <w:p w14:paraId="62C1E81B" w14:textId="77777777" w:rsidR="00D94630" w:rsidRPr="00CC4B51" w:rsidRDefault="00D94630" w:rsidP="00D94630">
      <w:pPr>
        <w:rPr>
          <w:sz w:val="22"/>
          <w:szCs w:val="22"/>
        </w:rPr>
      </w:pPr>
    </w:p>
    <w:p w14:paraId="43F247DF" w14:textId="77777777" w:rsidR="00D94630" w:rsidRPr="00CC4B51" w:rsidRDefault="00615769" w:rsidP="00D94630">
      <w:pPr>
        <w:rPr>
          <w:i/>
          <w:sz w:val="22"/>
          <w:szCs w:val="22"/>
          <w:u w:val="single"/>
        </w:rPr>
      </w:pPr>
      <w:r w:rsidRPr="00CC4B51">
        <w:rPr>
          <w:i/>
          <w:sz w:val="22"/>
          <w:szCs w:val="22"/>
          <w:u w:val="single"/>
        </w:rPr>
        <w:t>Resultados de eficácia</w:t>
      </w:r>
    </w:p>
    <w:p w14:paraId="40BC1DB6" w14:textId="77777777" w:rsidR="00D94630" w:rsidRPr="00CC4B51" w:rsidRDefault="00D94630" w:rsidP="00D94630">
      <w:pPr>
        <w:rPr>
          <w:i/>
          <w:sz w:val="22"/>
          <w:szCs w:val="22"/>
        </w:rPr>
      </w:pPr>
    </w:p>
    <w:p w14:paraId="0BCCB7F2" w14:textId="77777777" w:rsidR="00D94630" w:rsidRPr="00CC4B51" w:rsidRDefault="00615769" w:rsidP="00D94630">
      <w:r w:rsidRPr="00CC4B51">
        <w:rPr>
          <w:sz w:val="22"/>
          <w:szCs w:val="22"/>
        </w:rPr>
        <w:t xml:space="preserve">O objetivo primário do estudo foi a remissão clínica na Semana 26, definida como escala PCDAI </w:t>
      </w:r>
      <w:r w:rsidRPr="00CC4B51">
        <w:rPr>
          <w:rFonts w:ascii="Symbol" w:hAnsi="Symbol"/>
        </w:rPr>
        <w:sym w:font="Symbol" w:char="F0A3"/>
      </w:r>
      <w:r w:rsidRPr="00CC4B51">
        <w:t xml:space="preserve"> 10.</w:t>
      </w:r>
    </w:p>
    <w:p w14:paraId="47B976CF" w14:textId="77777777" w:rsidR="00D94630" w:rsidRPr="00CC4B51" w:rsidRDefault="00D94630" w:rsidP="00D94630"/>
    <w:p w14:paraId="310FD05F" w14:textId="77777777" w:rsidR="00D94630" w:rsidRPr="00CC4B51" w:rsidRDefault="00615769" w:rsidP="00D94630">
      <w:pPr>
        <w:rPr>
          <w:sz w:val="22"/>
          <w:szCs w:val="22"/>
        </w:rPr>
      </w:pPr>
      <w:r w:rsidRPr="00CC4B51">
        <w:rPr>
          <w:sz w:val="22"/>
          <w:szCs w:val="22"/>
        </w:rPr>
        <w:t xml:space="preserve">Taxas de remissão clínica e de resposta clínica (definida como uma redução na escala PCDAI de pelo menos 15 pontos desde a avaliação basal) são apresentadas na Tabela </w:t>
      </w:r>
      <w:r>
        <w:rPr>
          <w:sz w:val="22"/>
          <w:szCs w:val="22"/>
        </w:rPr>
        <w:t>1</w:t>
      </w:r>
      <w:r w:rsidR="005B24D2">
        <w:rPr>
          <w:sz w:val="22"/>
          <w:szCs w:val="22"/>
        </w:rPr>
        <w:t>9</w:t>
      </w:r>
      <w:r w:rsidRPr="00CC4B51">
        <w:rPr>
          <w:sz w:val="22"/>
          <w:szCs w:val="22"/>
        </w:rPr>
        <w:t>. Taxas de descontinuação de corticosteroides ou imunomoduladores são apresentad</w:t>
      </w:r>
      <w:r>
        <w:rPr>
          <w:sz w:val="22"/>
          <w:szCs w:val="22"/>
        </w:rPr>
        <w:t>a</w:t>
      </w:r>
      <w:r w:rsidRPr="00CC4B51">
        <w:rPr>
          <w:sz w:val="22"/>
          <w:szCs w:val="22"/>
        </w:rPr>
        <w:t xml:space="preserve">s na Tabela </w:t>
      </w:r>
      <w:r w:rsidR="005B24D2">
        <w:rPr>
          <w:sz w:val="22"/>
          <w:szCs w:val="22"/>
        </w:rPr>
        <w:t>20</w:t>
      </w:r>
      <w:r w:rsidRPr="00CC4B51">
        <w:rPr>
          <w:sz w:val="22"/>
          <w:szCs w:val="22"/>
        </w:rPr>
        <w:t xml:space="preserve">. </w:t>
      </w:r>
    </w:p>
    <w:p w14:paraId="46B998F0" w14:textId="77777777" w:rsidR="00D94630" w:rsidRPr="00CC4B51" w:rsidRDefault="00D94630" w:rsidP="00D94630">
      <w:pPr>
        <w:rPr>
          <w:sz w:val="22"/>
          <w:szCs w:val="22"/>
        </w:rPr>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A7162A" w14:paraId="559CBD20" w14:textId="77777777" w:rsidTr="00AB53A0">
        <w:trPr>
          <w:jc w:val="center"/>
        </w:trPr>
        <w:tc>
          <w:tcPr>
            <w:tcW w:w="6673" w:type="dxa"/>
            <w:gridSpan w:val="4"/>
            <w:tcBorders>
              <w:top w:val="single" w:sz="6" w:space="0" w:color="000000"/>
              <w:left w:val="single" w:sz="6" w:space="0" w:color="000000"/>
              <w:bottom w:val="single" w:sz="6" w:space="0" w:color="000000"/>
              <w:right w:val="single" w:sz="6" w:space="0" w:color="000000"/>
            </w:tcBorders>
          </w:tcPr>
          <w:p w14:paraId="592D1384" w14:textId="77777777" w:rsidR="00D94630" w:rsidRPr="00CC4B51" w:rsidRDefault="00615769" w:rsidP="00B538F3">
            <w:pPr>
              <w:tabs>
                <w:tab w:val="left" w:pos="-878"/>
              </w:tabs>
              <w:autoSpaceDE w:val="0"/>
              <w:autoSpaceDN w:val="0"/>
              <w:adjustRightInd w:val="0"/>
              <w:ind w:left="15"/>
              <w:jc w:val="center"/>
              <w:rPr>
                <w:b/>
                <w:bCs/>
                <w:sz w:val="22"/>
                <w:szCs w:val="22"/>
              </w:rPr>
            </w:pPr>
            <w:r w:rsidRPr="00CC4B51">
              <w:rPr>
                <w:b/>
                <w:bCs/>
                <w:sz w:val="22"/>
              </w:rPr>
              <w:t xml:space="preserve">Tabela </w:t>
            </w:r>
            <w:r>
              <w:rPr>
                <w:b/>
                <w:bCs/>
                <w:sz w:val="22"/>
              </w:rPr>
              <w:t>1</w:t>
            </w:r>
            <w:r w:rsidR="005B24D2">
              <w:rPr>
                <w:b/>
                <w:bCs/>
                <w:sz w:val="22"/>
              </w:rPr>
              <w:t>9</w:t>
            </w:r>
          </w:p>
          <w:p w14:paraId="3152911C" w14:textId="77777777" w:rsidR="00D94630" w:rsidRPr="00CC4B51" w:rsidRDefault="00615769" w:rsidP="00B538F3">
            <w:pPr>
              <w:tabs>
                <w:tab w:val="left" w:pos="-878"/>
              </w:tabs>
              <w:autoSpaceDE w:val="0"/>
              <w:autoSpaceDN w:val="0"/>
              <w:adjustRightInd w:val="0"/>
              <w:ind w:left="15"/>
              <w:jc w:val="center"/>
              <w:rPr>
                <w:b/>
                <w:bCs/>
                <w:sz w:val="22"/>
                <w:szCs w:val="22"/>
              </w:rPr>
            </w:pPr>
            <w:r w:rsidRPr="00CC4B51">
              <w:rPr>
                <w:b/>
                <w:sz w:val="22"/>
                <w:szCs w:val="22"/>
              </w:rPr>
              <w:t>Estudo de DC Pediátrica</w:t>
            </w:r>
          </w:p>
          <w:p w14:paraId="4795B710" w14:textId="77777777" w:rsidR="00D94630" w:rsidRPr="00CC4B51" w:rsidRDefault="00615769" w:rsidP="00B538F3">
            <w:pPr>
              <w:tabs>
                <w:tab w:val="left" w:pos="-878"/>
              </w:tabs>
              <w:autoSpaceDE w:val="0"/>
              <w:autoSpaceDN w:val="0"/>
              <w:adjustRightInd w:val="0"/>
              <w:ind w:left="15"/>
              <w:jc w:val="center"/>
              <w:rPr>
                <w:b/>
                <w:bCs/>
                <w:sz w:val="22"/>
                <w:szCs w:val="22"/>
              </w:rPr>
            </w:pPr>
            <w:r w:rsidRPr="00CC4B51">
              <w:rPr>
                <w:b/>
                <w:bCs/>
                <w:sz w:val="22"/>
                <w:szCs w:val="22"/>
              </w:rPr>
              <w:t>Resposta e Remissão Clínica</w:t>
            </w:r>
            <w:r>
              <w:rPr>
                <w:b/>
                <w:bCs/>
                <w:sz w:val="22"/>
                <w:szCs w:val="22"/>
              </w:rPr>
              <w:t>s</w:t>
            </w:r>
            <w:r w:rsidRPr="00CC4B51">
              <w:rPr>
                <w:b/>
                <w:bCs/>
                <w:sz w:val="22"/>
                <w:szCs w:val="22"/>
              </w:rPr>
              <w:t xml:space="preserve"> PCDAI</w:t>
            </w:r>
          </w:p>
        </w:tc>
      </w:tr>
      <w:tr w:rsidR="00A7162A" w14:paraId="77F54A10" w14:textId="77777777" w:rsidTr="00AB53A0">
        <w:trPr>
          <w:jc w:val="center"/>
        </w:trPr>
        <w:tc>
          <w:tcPr>
            <w:tcW w:w="2321" w:type="dxa"/>
            <w:tcBorders>
              <w:top w:val="single" w:sz="6" w:space="0" w:color="000000"/>
              <w:left w:val="single" w:sz="6" w:space="0" w:color="000000"/>
              <w:bottom w:val="single" w:sz="6" w:space="0" w:color="000000"/>
              <w:right w:val="single" w:sz="6" w:space="0" w:color="000000"/>
            </w:tcBorders>
          </w:tcPr>
          <w:p w14:paraId="79104612" w14:textId="77777777" w:rsidR="00D94630" w:rsidRPr="00CC4B51" w:rsidRDefault="00D94630" w:rsidP="00B538F3">
            <w:pPr>
              <w:keepLines/>
              <w:tabs>
                <w:tab w:val="left" w:pos="-1080"/>
              </w:tabs>
              <w:autoSpaceDE w:val="0"/>
              <w:autoSpaceDN w:val="0"/>
              <w:adjustRightInd w:val="0"/>
              <w:ind w:left="15"/>
              <w:jc w:val="center"/>
              <w:rPr>
                <w:b/>
                <w:bCs/>
                <w:sz w:val="22"/>
                <w:szCs w:val="22"/>
              </w:rPr>
            </w:pPr>
          </w:p>
        </w:tc>
        <w:tc>
          <w:tcPr>
            <w:tcW w:w="1614" w:type="dxa"/>
            <w:tcBorders>
              <w:top w:val="single" w:sz="6" w:space="0" w:color="000000"/>
              <w:left w:val="single" w:sz="6" w:space="0" w:color="000000"/>
              <w:bottom w:val="single" w:sz="6" w:space="0" w:color="000000"/>
              <w:right w:val="single" w:sz="6" w:space="0" w:color="000000"/>
            </w:tcBorders>
          </w:tcPr>
          <w:p w14:paraId="005D0B64" w14:textId="77777777" w:rsidR="00D94630" w:rsidRPr="00CC4B51" w:rsidRDefault="00615769" w:rsidP="00B538F3">
            <w:pPr>
              <w:keepLines/>
              <w:tabs>
                <w:tab w:val="left" w:pos="-1080"/>
              </w:tabs>
              <w:autoSpaceDE w:val="0"/>
              <w:autoSpaceDN w:val="0"/>
              <w:adjustRightInd w:val="0"/>
              <w:ind w:left="15"/>
              <w:jc w:val="center"/>
              <w:rPr>
                <w:b/>
                <w:bCs/>
                <w:sz w:val="22"/>
                <w:szCs w:val="22"/>
              </w:rPr>
            </w:pPr>
            <w:r w:rsidRPr="00CC4B51">
              <w:rPr>
                <w:b/>
                <w:bCs/>
                <w:sz w:val="22"/>
                <w:szCs w:val="22"/>
              </w:rPr>
              <w:t>Dose Padrão</w:t>
            </w:r>
          </w:p>
          <w:p w14:paraId="0C8AAFB5" w14:textId="77777777" w:rsidR="00D94630" w:rsidRPr="00CC4B51" w:rsidRDefault="00615769" w:rsidP="00B538F3">
            <w:pPr>
              <w:keepLines/>
              <w:tabs>
                <w:tab w:val="left" w:pos="-1080"/>
              </w:tabs>
              <w:autoSpaceDE w:val="0"/>
              <w:autoSpaceDN w:val="0"/>
              <w:adjustRightInd w:val="0"/>
              <w:ind w:left="15"/>
              <w:jc w:val="center"/>
              <w:rPr>
                <w:b/>
                <w:bCs/>
                <w:sz w:val="22"/>
                <w:szCs w:val="22"/>
              </w:rPr>
            </w:pPr>
            <w:r w:rsidRPr="00CC4B51">
              <w:rPr>
                <w:b/>
                <w:bCs/>
                <w:sz w:val="22"/>
                <w:szCs w:val="22"/>
              </w:rPr>
              <w:t xml:space="preserve">40/20 mg </w:t>
            </w:r>
            <w:r>
              <w:rPr>
                <w:b/>
                <w:bCs/>
                <w:sz w:val="22"/>
                <w:szCs w:val="22"/>
              </w:rPr>
              <w:t xml:space="preserve">em </w:t>
            </w:r>
            <w:r w:rsidRPr="00CC4B51">
              <w:rPr>
                <w:b/>
                <w:bCs/>
                <w:sz w:val="22"/>
                <w:szCs w:val="22"/>
              </w:rPr>
              <w:t xml:space="preserve">semanas alternadas </w:t>
            </w:r>
          </w:p>
          <w:p w14:paraId="3F8364F5" w14:textId="77777777" w:rsidR="00D94630" w:rsidRPr="00CC4B51" w:rsidRDefault="00615769" w:rsidP="00B538F3">
            <w:pPr>
              <w:keepLines/>
              <w:tabs>
                <w:tab w:val="left" w:pos="-1080"/>
              </w:tabs>
              <w:autoSpaceDE w:val="0"/>
              <w:autoSpaceDN w:val="0"/>
              <w:adjustRightInd w:val="0"/>
              <w:ind w:left="15"/>
              <w:jc w:val="center"/>
              <w:rPr>
                <w:b/>
                <w:bCs/>
                <w:sz w:val="22"/>
                <w:szCs w:val="22"/>
              </w:rPr>
            </w:pPr>
            <w:r w:rsidRPr="00CC4B51">
              <w:rPr>
                <w:b/>
                <w:bCs/>
                <w:sz w:val="22"/>
                <w:szCs w:val="22"/>
              </w:rPr>
              <w:t>N = 93</w:t>
            </w:r>
          </w:p>
        </w:tc>
        <w:tc>
          <w:tcPr>
            <w:tcW w:w="1591" w:type="dxa"/>
            <w:tcBorders>
              <w:top w:val="single" w:sz="6" w:space="0" w:color="000000"/>
              <w:left w:val="single" w:sz="6" w:space="0" w:color="000000"/>
              <w:bottom w:val="single" w:sz="6" w:space="0" w:color="000000"/>
              <w:right w:val="single" w:sz="6" w:space="0" w:color="000000"/>
            </w:tcBorders>
          </w:tcPr>
          <w:p w14:paraId="2EC4E7AF" w14:textId="77777777" w:rsidR="00D94630" w:rsidRPr="00CC4B51" w:rsidRDefault="00615769" w:rsidP="00B538F3">
            <w:pPr>
              <w:keepLines/>
              <w:tabs>
                <w:tab w:val="left" w:pos="-1080"/>
              </w:tabs>
              <w:autoSpaceDE w:val="0"/>
              <w:autoSpaceDN w:val="0"/>
              <w:adjustRightInd w:val="0"/>
              <w:ind w:left="15"/>
              <w:jc w:val="center"/>
              <w:rPr>
                <w:b/>
                <w:bCs/>
                <w:sz w:val="22"/>
                <w:szCs w:val="22"/>
              </w:rPr>
            </w:pPr>
            <w:r w:rsidRPr="00CC4B51">
              <w:rPr>
                <w:b/>
                <w:bCs/>
                <w:sz w:val="22"/>
                <w:szCs w:val="22"/>
              </w:rPr>
              <w:t>Baixa Dose</w:t>
            </w:r>
          </w:p>
          <w:p w14:paraId="52F8E337" w14:textId="77777777" w:rsidR="00D94630" w:rsidRPr="00CC4B51" w:rsidRDefault="00615769" w:rsidP="00B538F3">
            <w:pPr>
              <w:keepLines/>
              <w:tabs>
                <w:tab w:val="left" w:pos="-1080"/>
              </w:tabs>
              <w:autoSpaceDE w:val="0"/>
              <w:autoSpaceDN w:val="0"/>
              <w:adjustRightInd w:val="0"/>
              <w:ind w:left="15"/>
              <w:jc w:val="center"/>
              <w:rPr>
                <w:b/>
                <w:bCs/>
                <w:sz w:val="22"/>
                <w:szCs w:val="22"/>
              </w:rPr>
            </w:pPr>
            <w:r w:rsidRPr="00CC4B51">
              <w:rPr>
                <w:b/>
                <w:bCs/>
                <w:sz w:val="22"/>
                <w:szCs w:val="22"/>
              </w:rPr>
              <w:t xml:space="preserve">20/10 mg </w:t>
            </w:r>
            <w:r>
              <w:rPr>
                <w:b/>
                <w:bCs/>
                <w:sz w:val="22"/>
                <w:szCs w:val="22"/>
              </w:rPr>
              <w:t xml:space="preserve">em </w:t>
            </w:r>
            <w:r w:rsidRPr="00CC4B51">
              <w:rPr>
                <w:b/>
                <w:bCs/>
                <w:sz w:val="22"/>
                <w:szCs w:val="22"/>
              </w:rPr>
              <w:t xml:space="preserve">semanas alternadas </w:t>
            </w:r>
          </w:p>
          <w:p w14:paraId="31318920" w14:textId="77777777" w:rsidR="00D94630" w:rsidRPr="00CC4B51" w:rsidRDefault="00615769" w:rsidP="00B538F3">
            <w:pPr>
              <w:keepLines/>
              <w:tabs>
                <w:tab w:val="left" w:pos="-1080"/>
              </w:tabs>
              <w:autoSpaceDE w:val="0"/>
              <w:autoSpaceDN w:val="0"/>
              <w:adjustRightInd w:val="0"/>
              <w:ind w:left="15"/>
              <w:jc w:val="center"/>
              <w:rPr>
                <w:b/>
                <w:bCs/>
                <w:sz w:val="22"/>
                <w:szCs w:val="22"/>
              </w:rPr>
            </w:pPr>
            <w:r w:rsidRPr="00CC4B51">
              <w:rPr>
                <w:b/>
                <w:bCs/>
                <w:sz w:val="22"/>
                <w:szCs w:val="22"/>
              </w:rPr>
              <w:t>N = 95</w:t>
            </w:r>
          </w:p>
        </w:tc>
        <w:tc>
          <w:tcPr>
            <w:tcW w:w="1147" w:type="dxa"/>
            <w:tcBorders>
              <w:top w:val="single" w:sz="6" w:space="0" w:color="000000"/>
              <w:left w:val="single" w:sz="6" w:space="0" w:color="000000"/>
              <w:bottom w:val="single" w:sz="6" w:space="0" w:color="000000"/>
              <w:right w:val="single" w:sz="6" w:space="0" w:color="000000"/>
            </w:tcBorders>
          </w:tcPr>
          <w:p w14:paraId="546669CA"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b/>
                <w:bCs/>
                <w:sz w:val="22"/>
                <w:szCs w:val="22"/>
              </w:rPr>
              <w:t>valor</w:t>
            </w:r>
            <w:r>
              <w:rPr>
                <w:b/>
                <w:bCs/>
                <w:sz w:val="22"/>
                <w:szCs w:val="22"/>
              </w:rPr>
              <w:t>-p</w:t>
            </w:r>
            <w:r w:rsidRPr="00CC4B51">
              <w:rPr>
                <w:sz w:val="22"/>
                <w:szCs w:val="22"/>
              </w:rPr>
              <w:t>*</w:t>
            </w:r>
          </w:p>
        </w:tc>
      </w:tr>
      <w:tr w:rsidR="00A7162A" w14:paraId="706C5C79" w14:textId="77777777" w:rsidTr="00AB53A0">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1827464B" w14:textId="77777777" w:rsidR="00D94630" w:rsidRPr="00CC4B51" w:rsidRDefault="00615769" w:rsidP="00B538F3">
            <w:pPr>
              <w:keepLines/>
              <w:tabs>
                <w:tab w:val="left" w:pos="-1080"/>
              </w:tabs>
              <w:autoSpaceDE w:val="0"/>
              <w:autoSpaceDN w:val="0"/>
              <w:adjustRightInd w:val="0"/>
              <w:ind w:left="15"/>
              <w:rPr>
                <w:b/>
                <w:bCs/>
                <w:sz w:val="22"/>
                <w:szCs w:val="22"/>
              </w:rPr>
            </w:pPr>
            <w:r w:rsidRPr="00CC4B51">
              <w:rPr>
                <w:b/>
                <w:bCs/>
                <w:sz w:val="22"/>
                <w:szCs w:val="22"/>
              </w:rPr>
              <w:t>Semana 26</w:t>
            </w:r>
          </w:p>
        </w:tc>
        <w:tc>
          <w:tcPr>
            <w:tcW w:w="1614" w:type="dxa"/>
            <w:tcBorders>
              <w:top w:val="single" w:sz="6" w:space="0" w:color="000000"/>
              <w:left w:val="single" w:sz="6" w:space="0" w:color="000000"/>
              <w:bottom w:val="single" w:sz="6" w:space="0" w:color="000000"/>
              <w:right w:val="single" w:sz="6" w:space="0" w:color="000000"/>
            </w:tcBorders>
            <w:vAlign w:val="bottom"/>
          </w:tcPr>
          <w:p w14:paraId="35C0761A" w14:textId="77777777" w:rsidR="00D94630" w:rsidRPr="00CC4B51" w:rsidRDefault="00D94630" w:rsidP="00B538F3">
            <w:pPr>
              <w:keepLines/>
              <w:tabs>
                <w:tab w:val="left" w:pos="-1080"/>
              </w:tabs>
              <w:autoSpaceDE w:val="0"/>
              <w:autoSpaceDN w:val="0"/>
              <w:adjustRightInd w:val="0"/>
              <w:ind w:left="15"/>
              <w:jc w:val="center"/>
              <w:rPr>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337F8888" w14:textId="77777777" w:rsidR="00D94630" w:rsidRPr="00CC4B51" w:rsidRDefault="00D94630" w:rsidP="00B538F3">
            <w:pPr>
              <w:keepLines/>
              <w:tabs>
                <w:tab w:val="left" w:pos="-1080"/>
              </w:tabs>
              <w:autoSpaceDE w:val="0"/>
              <w:autoSpaceDN w:val="0"/>
              <w:adjustRightInd w:val="0"/>
              <w:ind w:left="15"/>
              <w:jc w:val="center"/>
              <w:rPr>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3EA58F04" w14:textId="77777777" w:rsidR="00D94630" w:rsidRPr="00CC4B51" w:rsidRDefault="00D94630" w:rsidP="00B538F3">
            <w:pPr>
              <w:autoSpaceDE w:val="0"/>
              <w:autoSpaceDN w:val="0"/>
              <w:adjustRightInd w:val="0"/>
              <w:ind w:left="15"/>
              <w:rPr>
                <w:b/>
                <w:bCs/>
                <w:sz w:val="22"/>
                <w:szCs w:val="22"/>
              </w:rPr>
            </w:pPr>
          </w:p>
        </w:tc>
      </w:tr>
      <w:tr w:rsidR="00A7162A" w14:paraId="15CD8FA4" w14:textId="77777777" w:rsidTr="00AB53A0">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08248DDD" w14:textId="77777777" w:rsidR="00D94630" w:rsidRPr="00CC4B51" w:rsidRDefault="00615769" w:rsidP="00B538F3">
            <w:pPr>
              <w:keepLines/>
              <w:tabs>
                <w:tab w:val="left" w:pos="-1080"/>
              </w:tabs>
              <w:autoSpaceDE w:val="0"/>
              <w:autoSpaceDN w:val="0"/>
              <w:adjustRightInd w:val="0"/>
              <w:ind w:left="15"/>
              <w:rPr>
                <w:sz w:val="22"/>
                <w:szCs w:val="22"/>
              </w:rPr>
            </w:pPr>
            <w:r w:rsidRPr="00CC4B51">
              <w:rPr>
                <w:sz w:val="22"/>
                <w:szCs w:val="22"/>
              </w:rPr>
              <w:t xml:space="preserve">   Remissão clínica</w:t>
            </w:r>
          </w:p>
        </w:tc>
        <w:tc>
          <w:tcPr>
            <w:tcW w:w="1614" w:type="dxa"/>
            <w:tcBorders>
              <w:top w:val="single" w:sz="6" w:space="0" w:color="000000"/>
              <w:left w:val="single" w:sz="6" w:space="0" w:color="000000"/>
              <w:bottom w:val="single" w:sz="6" w:space="0" w:color="000000"/>
              <w:right w:val="single" w:sz="6" w:space="0" w:color="000000"/>
            </w:tcBorders>
            <w:vAlign w:val="bottom"/>
          </w:tcPr>
          <w:p w14:paraId="7D630D28"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38,7%</w:t>
            </w:r>
          </w:p>
        </w:tc>
        <w:tc>
          <w:tcPr>
            <w:tcW w:w="1591" w:type="dxa"/>
            <w:tcBorders>
              <w:top w:val="single" w:sz="6" w:space="0" w:color="000000"/>
              <w:left w:val="single" w:sz="6" w:space="0" w:color="000000"/>
              <w:bottom w:val="single" w:sz="6" w:space="0" w:color="000000"/>
              <w:right w:val="single" w:sz="6" w:space="0" w:color="000000"/>
            </w:tcBorders>
            <w:vAlign w:val="bottom"/>
          </w:tcPr>
          <w:p w14:paraId="5BFCA85F"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28,4%</w:t>
            </w:r>
          </w:p>
        </w:tc>
        <w:tc>
          <w:tcPr>
            <w:tcW w:w="1147" w:type="dxa"/>
            <w:tcBorders>
              <w:top w:val="single" w:sz="6" w:space="0" w:color="000000"/>
              <w:left w:val="single" w:sz="6" w:space="0" w:color="000000"/>
              <w:bottom w:val="single" w:sz="6" w:space="0" w:color="000000"/>
              <w:right w:val="single" w:sz="6" w:space="0" w:color="000000"/>
            </w:tcBorders>
            <w:vAlign w:val="bottom"/>
          </w:tcPr>
          <w:p w14:paraId="06D433A2"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0,075</w:t>
            </w:r>
          </w:p>
        </w:tc>
      </w:tr>
      <w:tr w:rsidR="00A7162A" w14:paraId="36FA4AE7" w14:textId="77777777" w:rsidTr="00AB53A0">
        <w:trPr>
          <w:jc w:val="center"/>
        </w:trPr>
        <w:tc>
          <w:tcPr>
            <w:tcW w:w="2321" w:type="dxa"/>
            <w:tcBorders>
              <w:top w:val="single" w:sz="6" w:space="0" w:color="000000"/>
              <w:left w:val="single" w:sz="6" w:space="0" w:color="000000"/>
              <w:bottom w:val="single" w:sz="6" w:space="0" w:color="000000"/>
              <w:right w:val="single" w:sz="6" w:space="0" w:color="000000"/>
            </w:tcBorders>
          </w:tcPr>
          <w:p w14:paraId="0A0C4C7D" w14:textId="77777777" w:rsidR="00D94630" w:rsidRPr="00CC4B51" w:rsidRDefault="00615769" w:rsidP="00B538F3">
            <w:pPr>
              <w:keepLines/>
              <w:tabs>
                <w:tab w:val="left" w:pos="-1080"/>
              </w:tabs>
              <w:autoSpaceDE w:val="0"/>
              <w:autoSpaceDN w:val="0"/>
              <w:adjustRightInd w:val="0"/>
              <w:ind w:left="15"/>
              <w:rPr>
                <w:sz w:val="22"/>
                <w:szCs w:val="22"/>
              </w:rPr>
            </w:pPr>
            <w:r w:rsidRPr="00CC4B51">
              <w:rPr>
                <w:sz w:val="22"/>
                <w:szCs w:val="22"/>
              </w:rPr>
              <w:t xml:space="preserve">   Resposta clínica</w:t>
            </w:r>
          </w:p>
        </w:tc>
        <w:tc>
          <w:tcPr>
            <w:tcW w:w="1614" w:type="dxa"/>
            <w:tcBorders>
              <w:top w:val="single" w:sz="6" w:space="0" w:color="000000"/>
              <w:left w:val="single" w:sz="6" w:space="0" w:color="000000"/>
              <w:bottom w:val="single" w:sz="6" w:space="0" w:color="000000"/>
              <w:right w:val="single" w:sz="6" w:space="0" w:color="000000"/>
            </w:tcBorders>
          </w:tcPr>
          <w:p w14:paraId="14DF1CF2"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59,1%</w:t>
            </w:r>
          </w:p>
        </w:tc>
        <w:tc>
          <w:tcPr>
            <w:tcW w:w="1591" w:type="dxa"/>
            <w:tcBorders>
              <w:top w:val="single" w:sz="6" w:space="0" w:color="000000"/>
              <w:left w:val="single" w:sz="6" w:space="0" w:color="000000"/>
              <w:bottom w:val="single" w:sz="6" w:space="0" w:color="000000"/>
              <w:right w:val="single" w:sz="6" w:space="0" w:color="000000"/>
            </w:tcBorders>
          </w:tcPr>
          <w:p w14:paraId="4E6638F8"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48,4%</w:t>
            </w:r>
          </w:p>
        </w:tc>
        <w:tc>
          <w:tcPr>
            <w:tcW w:w="1147" w:type="dxa"/>
            <w:tcBorders>
              <w:top w:val="single" w:sz="6" w:space="0" w:color="000000"/>
              <w:left w:val="single" w:sz="6" w:space="0" w:color="000000"/>
              <w:bottom w:val="single" w:sz="6" w:space="0" w:color="000000"/>
              <w:right w:val="single" w:sz="6" w:space="0" w:color="000000"/>
            </w:tcBorders>
          </w:tcPr>
          <w:p w14:paraId="42A45FC1"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0,073</w:t>
            </w:r>
          </w:p>
        </w:tc>
      </w:tr>
      <w:tr w:rsidR="00A7162A" w14:paraId="74DF7A76" w14:textId="77777777" w:rsidTr="00AB53A0">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3B1846F3" w14:textId="77777777" w:rsidR="00D94630" w:rsidRPr="00CC4B51" w:rsidRDefault="00615769" w:rsidP="00B538F3">
            <w:pPr>
              <w:keepLines/>
              <w:tabs>
                <w:tab w:val="left" w:pos="-1080"/>
              </w:tabs>
              <w:autoSpaceDE w:val="0"/>
              <w:autoSpaceDN w:val="0"/>
              <w:adjustRightInd w:val="0"/>
              <w:ind w:left="15"/>
              <w:rPr>
                <w:b/>
                <w:bCs/>
                <w:sz w:val="22"/>
                <w:szCs w:val="22"/>
              </w:rPr>
            </w:pPr>
            <w:r w:rsidRPr="00CC4B51">
              <w:rPr>
                <w:b/>
                <w:bCs/>
                <w:sz w:val="22"/>
                <w:szCs w:val="22"/>
              </w:rPr>
              <w:t>Semana 52</w:t>
            </w:r>
          </w:p>
        </w:tc>
        <w:tc>
          <w:tcPr>
            <w:tcW w:w="1614" w:type="dxa"/>
            <w:tcBorders>
              <w:top w:val="single" w:sz="6" w:space="0" w:color="000000"/>
              <w:left w:val="single" w:sz="6" w:space="0" w:color="000000"/>
              <w:bottom w:val="single" w:sz="6" w:space="0" w:color="000000"/>
              <w:right w:val="single" w:sz="6" w:space="0" w:color="000000"/>
            </w:tcBorders>
            <w:vAlign w:val="bottom"/>
          </w:tcPr>
          <w:p w14:paraId="2D66B99C" w14:textId="77777777" w:rsidR="00D94630" w:rsidRPr="00CC4B51" w:rsidRDefault="00D94630" w:rsidP="00B538F3">
            <w:pPr>
              <w:keepLines/>
              <w:tabs>
                <w:tab w:val="left" w:pos="-1080"/>
              </w:tabs>
              <w:autoSpaceDE w:val="0"/>
              <w:autoSpaceDN w:val="0"/>
              <w:adjustRightInd w:val="0"/>
              <w:ind w:left="15"/>
              <w:jc w:val="center"/>
              <w:rPr>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58EB6DA3" w14:textId="77777777" w:rsidR="00D94630" w:rsidRPr="00CC4B51" w:rsidRDefault="00D94630" w:rsidP="00B538F3">
            <w:pPr>
              <w:keepLines/>
              <w:tabs>
                <w:tab w:val="left" w:pos="-1080"/>
              </w:tabs>
              <w:autoSpaceDE w:val="0"/>
              <w:autoSpaceDN w:val="0"/>
              <w:adjustRightInd w:val="0"/>
              <w:ind w:left="15"/>
              <w:jc w:val="center"/>
              <w:rPr>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5AD9E97E" w14:textId="77777777" w:rsidR="00D94630" w:rsidRPr="00CC4B51" w:rsidRDefault="00D94630" w:rsidP="00B538F3">
            <w:pPr>
              <w:autoSpaceDE w:val="0"/>
              <w:autoSpaceDN w:val="0"/>
              <w:adjustRightInd w:val="0"/>
              <w:ind w:left="15"/>
              <w:rPr>
                <w:b/>
                <w:bCs/>
                <w:sz w:val="22"/>
                <w:szCs w:val="22"/>
              </w:rPr>
            </w:pPr>
          </w:p>
        </w:tc>
      </w:tr>
      <w:tr w:rsidR="00A7162A" w14:paraId="37EE2D47" w14:textId="77777777" w:rsidTr="00AB53A0">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3C69EC17" w14:textId="77777777" w:rsidR="00D94630" w:rsidRPr="00CC4B51" w:rsidRDefault="00615769" w:rsidP="00B538F3">
            <w:pPr>
              <w:keepLines/>
              <w:tabs>
                <w:tab w:val="left" w:pos="-1080"/>
              </w:tabs>
              <w:autoSpaceDE w:val="0"/>
              <w:autoSpaceDN w:val="0"/>
              <w:adjustRightInd w:val="0"/>
              <w:ind w:left="15"/>
              <w:rPr>
                <w:sz w:val="22"/>
                <w:szCs w:val="22"/>
              </w:rPr>
            </w:pPr>
            <w:r w:rsidRPr="00CC4B51">
              <w:rPr>
                <w:sz w:val="22"/>
                <w:szCs w:val="22"/>
              </w:rPr>
              <w:t xml:space="preserve">   Remissão clínica</w:t>
            </w:r>
          </w:p>
        </w:tc>
        <w:tc>
          <w:tcPr>
            <w:tcW w:w="1614" w:type="dxa"/>
            <w:tcBorders>
              <w:top w:val="single" w:sz="6" w:space="0" w:color="000000"/>
              <w:left w:val="single" w:sz="6" w:space="0" w:color="000000"/>
              <w:bottom w:val="single" w:sz="6" w:space="0" w:color="000000"/>
              <w:right w:val="single" w:sz="6" w:space="0" w:color="000000"/>
            </w:tcBorders>
            <w:vAlign w:val="bottom"/>
          </w:tcPr>
          <w:p w14:paraId="4693057F"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33,3%</w:t>
            </w:r>
          </w:p>
        </w:tc>
        <w:tc>
          <w:tcPr>
            <w:tcW w:w="1591" w:type="dxa"/>
            <w:tcBorders>
              <w:top w:val="single" w:sz="6" w:space="0" w:color="000000"/>
              <w:left w:val="single" w:sz="6" w:space="0" w:color="000000"/>
              <w:bottom w:val="single" w:sz="6" w:space="0" w:color="000000"/>
              <w:right w:val="single" w:sz="6" w:space="0" w:color="000000"/>
            </w:tcBorders>
            <w:vAlign w:val="bottom"/>
          </w:tcPr>
          <w:p w14:paraId="1146BC7F"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23,2%</w:t>
            </w:r>
          </w:p>
        </w:tc>
        <w:tc>
          <w:tcPr>
            <w:tcW w:w="1147" w:type="dxa"/>
            <w:tcBorders>
              <w:top w:val="single" w:sz="6" w:space="0" w:color="000000"/>
              <w:left w:val="single" w:sz="6" w:space="0" w:color="000000"/>
              <w:bottom w:val="single" w:sz="6" w:space="0" w:color="000000"/>
              <w:right w:val="single" w:sz="6" w:space="0" w:color="000000"/>
            </w:tcBorders>
            <w:vAlign w:val="bottom"/>
          </w:tcPr>
          <w:p w14:paraId="61BA0211"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0,100</w:t>
            </w:r>
          </w:p>
        </w:tc>
      </w:tr>
      <w:tr w:rsidR="00A7162A" w14:paraId="59BECB26" w14:textId="77777777" w:rsidTr="00AB53A0">
        <w:trPr>
          <w:jc w:val="center"/>
        </w:trPr>
        <w:tc>
          <w:tcPr>
            <w:tcW w:w="2321" w:type="dxa"/>
            <w:tcBorders>
              <w:top w:val="single" w:sz="6" w:space="0" w:color="000000"/>
              <w:left w:val="single" w:sz="6" w:space="0" w:color="000000"/>
              <w:bottom w:val="single" w:sz="6" w:space="0" w:color="000000"/>
              <w:right w:val="single" w:sz="6" w:space="0" w:color="000000"/>
            </w:tcBorders>
          </w:tcPr>
          <w:p w14:paraId="474BD43C" w14:textId="77777777" w:rsidR="00D94630" w:rsidRPr="00CC4B51" w:rsidRDefault="00615769" w:rsidP="00B538F3">
            <w:pPr>
              <w:keepLines/>
              <w:tabs>
                <w:tab w:val="left" w:pos="-1080"/>
              </w:tabs>
              <w:autoSpaceDE w:val="0"/>
              <w:autoSpaceDN w:val="0"/>
              <w:adjustRightInd w:val="0"/>
              <w:ind w:left="15"/>
              <w:rPr>
                <w:sz w:val="22"/>
                <w:szCs w:val="22"/>
              </w:rPr>
            </w:pPr>
            <w:r w:rsidRPr="00CC4B51">
              <w:rPr>
                <w:sz w:val="22"/>
                <w:szCs w:val="22"/>
              </w:rPr>
              <w:t xml:space="preserve">   Resposta clínica</w:t>
            </w:r>
          </w:p>
        </w:tc>
        <w:tc>
          <w:tcPr>
            <w:tcW w:w="1614" w:type="dxa"/>
            <w:tcBorders>
              <w:top w:val="single" w:sz="6" w:space="0" w:color="000000"/>
              <w:left w:val="single" w:sz="6" w:space="0" w:color="000000"/>
              <w:bottom w:val="single" w:sz="6" w:space="0" w:color="000000"/>
              <w:right w:val="single" w:sz="6" w:space="0" w:color="000000"/>
            </w:tcBorders>
          </w:tcPr>
          <w:p w14:paraId="4319DAA9"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41,9%</w:t>
            </w:r>
          </w:p>
        </w:tc>
        <w:tc>
          <w:tcPr>
            <w:tcW w:w="1591" w:type="dxa"/>
            <w:tcBorders>
              <w:top w:val="single" w:sz="6" w:space="0" w:color="000000"/>
              <w:left w:val="single" w:sz="6" w:space="0" w:color="000000"/>
              <w:bottom w:val="single" w:sz="6" w:space="0" w:color="000000"/>
              <w:right w:val="single" w:sz="6" w:space="0" w:color="000000"/>
            </w:tcBorders>
          </w:tcPr>
          <w:p w14:paraId="51E66F91"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28,4%</w:t>
            </w:r>
          </w:p>
        </w:tc>
        <w:tc>
          <w:tcPr>
            <w:tcW w:w="1147" w:type="dxa"/>
            <w:tcBorders>
              <w:top w:val="single" w:sz="6" w:space="0" w:color="000000"/>
              <w:left w:val="single" w:sz="6" w:space="0" w:color="000000"/>
              <w:bottom w:val="single" w:sz="6" w:space="0" w:color="000000"/>
              <w:right w:val="single" w:sz="6" w:space="0" w:color="000000"/>
            </w:tcBorders>
          </w:tcPr>
          <w:p w14:paraId="1052F647"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0,038</w:t>
            </w:r>
          </w:p>
        </w:tc>
      </w:tr>
      <w:tr w:rsidR="00A7162A" w14:paraId="7830991F" w14:textId="77777777" w:rsidTr="00AB53A0">
        <w:trPr>
          <w:jc w:val="center"/>
        </w:trPr>
        <w:tc>
          <w:tcPr>
            <w:tcW w:w="6673" w:type="dxa"/>
            <w:gridSpan w:val="4"/>
            <w:tcBorders>
              <w:top w:val="single" w:sz="6" w:space="0" w:color="000000"/>
              <w:left w:val="single" w:sz="6" w:space="0" w:color="000000"/>
              <w:bottom w:val="single" w:sz="6" w:space="0" w:color="000000"/>
              <w:right w:val="single" w:sz="6" w:space="0" w:color="000000"/>
            </w:tcBorders>
          </w:tcPr>
          <w:p w14:paraId="078443FB" w14:textId="77777777" w:rsidR="00D94630" w:rsidRPr="00CC4B51" w:rsidRDefault="00615769" w:rsidP="00B538F3">
            <w:pPr>
              <w:keepLines/>
              <w:tabs>
                <w:tab w:val="left" w:pos="-1080"/>
              </w:tabs>
              <w:autoSpaceDE w:val="0"/>
              <w:autoSpaceDN w:val="0"/>
              <w:adjustRightInd w:val="0"/>
              <w:ind w:left="15"/>
              <w:rPr>
                <w:sz w:val="22"/>
                <w:szCs w:val="22"/>
              </w:rPr>
            </w:pPr>
            <w:r w:rsidRPr="00CC4B51">
              <w:rPr>
                <w:sz w:val="22"/>
                <w:szCs w:val="22"/>
              </w:rPr>
              <w:t>*valor</w:t>
            </w:r>
            <w:r>
              <w:rPr>
                <w:sz w:val="22"/>
                <w:szCs w:val="22"/>
              </w:rPr>
              <w:t>-p</w:t>
            </w:r>
            <w:r w:rsidRPr="00CC4B51">
              <w:rPr>
                <w:sz w:val="22"/>
                <w:szCs w:val="22"/>
              </w:rPr>
              <w:t xml:space="preserve"> para comparação Dose Padrão </w:t>
            </w:r>
            <w:r w:rsidRPr="00CC4B51">
              <w:rPr>
                <w:i/>
                <w:iCs/>
                <w:sz w:val="22"/>
                <w:szCs w:val="22"/>
              </w:rPr>
              <w:t>versus</w:t>
            </w:r>
            <w:r w:rsidRPr="00CC4B51">
              <w:rPr>
                <w:sz w:val="22"/>
                <w:szCs w:val="22"/>
              </w:rPr>
              <w:t xml:space="preserve"> Baixa Dose.</w:t>
            </w:r>
          </w:p>
        </w:tc>
      </w:tr>
    </w:tbl>
    <w:p w14:paraId="7B6F2927" w14:textId="77777777" w:rsidR="00D94630" w:rsidRPr="00CC4B51" w:rsidRDefault="00D94630" w:rsidP="00D94630">
      <w:pPr>
        <w:keepNext/>
        <w:rPr>
          <w:sz w:val="22"/>
          <w:szCs w:val="22"/>
        </w:rPr>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A7162A" w14:paraId="4C2FDE60" w14:textId="77777777" w:rsidTr="00AB53A0">
        <w:trPr>
          <w:jc w:val="center"/>
        </w:trPr>
        <w:tc>
          <w:tcPr>
            <w:tcW w:w="8440" w:type="dxa"/>
            <w:gridSpan w:val="4"/>
            <w:tcBorders>
              <w:top w:val="single" w:sz="6" w:space="0" w:color="000000"/>
              <w:left w:val="single" w:sz="6" w:space="0" w:color="000000"/>
              <w:bottom w:val="single" w:sz="6" w:space="0" w:color="000000"/>
              <w:right w:val="single" w:sz="6" w:space="0" w:color="000000"/>
            </w:tcBorders>
          </w:tcPr>
          <w:p w14:paraId="728AB6C6" w14:textId="77777777" w:rsidR="00D94630" w:rsidRPr="00CC4B51" w:rsidRDefault="00615769" w:rsidP="00B538F3">
            <w:pPr>
              <w:tabs>
                <w:tab w:val="left" w:pos="-878"/>
              </w:tabs>
              <w:autoSpaceDE w:val="0"/>
              <w:autoSpaceDN w:val="0"/>
              <w:adjustRightInd w:val="0"/>
              <w:jc w:val="center"/>
              <w:rPr>
                <w:b/>
                <w:bCs/>
                <w:sz w:val="22"/>
                <w:szCs w:val="22"/>
              </w:rPr>
            </w:pPr>
            <w:r w:rsidRPr="00CC4B51">
              <w:rPr>
                <w:b/>
                <w:bCs/>
                <w:sz w:val="22"/>
                <w:szCs w:val="22"/>
              </w:rPr>
              <w:t xml:space="preserve">Tabela </w:t>
            </w:r>
            <w:r w:rsidR="005B24D2">
              <w:rPr>
                <w:b/>
                <w:bCs/>
                <w:sz w:val="22"/>
                <w:szCs w:val="22"/>
              </w:rPr>
              <w:t>20</w:t>
            </w:r>
          </w:p>
          <w:p w14:paraId="4E92C2A3" w14:textId="77777777" w:rsidR="00D94630" w:rsidRPr="00CC4B51" w:rsidRDefault="00615769" w:rsidP="00B538F3">
            <w:pPr>
              <w:jc w:val="center"/>
              <w:rPr>
                <w:b/>
                <w:bCs/>
                <w:sz w:val="22"/>
                <w:szCs w:val="22"/>
              </w:rPr>
            </w:pPr>
            <w:r w:rsidRPr="00CC4B51">
              <w:rPr>
                <w:b/>
                <w:sz w:val="22"/>
                <w:szCs w:val="22"/>
              </w:rPr>
              <w:t>Estudo de DC Pediátrica</w:t>
            </w:r>
          </w:p>
          <w:p w14:paraId="6F41D907" w14:textId="77777777" w:rsidR="00D94630" w:rsidRPr="00CC4B51" w:rsidRDefault="00615769" w:rsidP="00B538F3">
            <w:pPr>
              <w:tabs>
                <w:tab w:val="left" w:pos="-878"/>
              </w:tabs>
              <w:autoSpaceDE w:val="0"/>
              <w:autoSpaceDN w:val="0"/>
              <w:adjustRightInd w:val="0"/>
              <w:jc w:val="center"/>
              <w:rPr>
                <w:b/>
                <w:bCs/>
                <w:sz w:val="22"/>
                <w:szCs w:val="22"/>
              </w:rPr>
            </w:pPr>
            <w:r w:rsidRPr="00CC4B51">
              <w:rPr>
                <w:b/>
                <w:bCs/>
                <w:sz w:val="22"/>
                <w:szCs w:val="22"/>
              </w:rPr>
              <w:t>Descontinuação de Corticosteroides ou Imunomoduladores e Remissão das Fístulas</w:t>
            </w:r>
          </w:p>
        </w:tc>
      </w:tr>
      <w:tr w:rsidR="00A7162A" w14:paraId="1B729DB7" w14:textId="77777777" w:rsidTr="00AB53A0">
        <w:trPr>
          <w:jc w:val="center"/>
        </w:trPr>
        <w:tc>
          <w:tcPr>
            <w:tcW w:w="4025" w:type="dxa"/>
            <w:tcBorders>
              <w:top w:val="single" w:sz="6" w:space="0" w:color="000000"/>
              <w:left w:val="single" w:sz="6" w:space="0" w:color="000000"/>
              <w:bottom w:val="single" w:sz="6" w:space="0" w:color="000000"/>
              <w:right w:val="single" w:sz="6" w:space="0" w:color="000000"/>
            </w:tcBorders>
          </w:tcPr>
          <w:p w14:paraId="6372D407" w14:textId="77777777" w:rsidR="00D94630" w:rsidRPr="00CC4B51" w:rsidRDefault="00D94630" w:rsidP="00B538F3">
            <w:pPr>
              <w:keepLines/>
              <w:tabs>
                <w:tab w:val="left" w:pos="-1080"/>
              </w:tabs>
              <w:autoSpaceDE w:val="0"/>
              <w:autoSpaceDN w:val="0"/>
              <w:adjustRightInd w:val="0"/>
              <w:jc w:val="center"/>
              <w:rPr>
                <w:b/>
                <w:bCs/>
                <w:sz w:val="22"/>
                <w:szCs w:val="22"/>
              </w:rPr>
            </w:pPr>
          </w:p>
        </w:tc>
        <w:tc>
          <w:tcPr>
            <w:tcW w:w="1656" w:type="dxa"/>
            <w:tcBorders>
              <w:top w:val="single" w:sz="6" w:space="0" w:color="000000"/>
              <w:left w:val="single" w:sz="6" w:space="0" w:color="000000"/>
              <w:bottom w:val="single" w:sz="6" w:space="0" w:color="000000"/>
              <w:right w:val="single" w:sz="6" w:space="0" w:color="000000"/>
            </w:tcBorders>
          </w:tcPr>
          <w:p w14:paraId="473CF180" w14:textId="77777777" w:rsidR="00D94630" w:rsidRPr="00CC4B51" w:rsidRDefault="00615769" w:rsidP="00B538F3">
            <w:pPr>
              <w:keepLines/>
              <w:tabs>
                <w:tab w:val="left" w:pos="-1080"/>
              </w:tabs>
              <w:autoSpaceDE w:val="0"/>
              <w:autoSpaceDN w:val="0"/>
              <w:adjustRightInd w:val="0"/>
              <w:ind w:left="15"/>
              <w:jc w:val="center"/>
              <w:rPr>
                <w:b/>
                <w:bCs/>
                <w:sz w:val="22"/>
                <w:szCs w:val="22"/>
              </w:rPr>
            </w:pPr>
            <w:r w:rsidRPr="00CC4B51">
              <w:rPr>
                <w:b/>
                <w:bCs/>
                <w:sz w:val="22"/>
                <w:szCs w:val="22"/>
              </w:rPr>
              <w:t>Dose Padrão</w:t>
            </w:r>
          </w:p>
          <w:p w14:paraId="080996FE" w14:textId="77777777" w:rsidR="00D94630" w:rsidRPr="00CC4B51" w:rsidRDefault="00615769" w:rsidP="00B538F3">
            <w:pPr>
              <w:keepLines/>
              <w:tabs>
                <w:tab w:val="left" w:pos="-1080"/>
              </w:tabs>
              <w:autoSpaceDE w:val="0"/>
              <w:autoSpaceDN w:val="0"/>
              <w:adjustRightInd w:val="0"/>
              <w:ind w:left="15"/>
              <w:jc w:val="center"/>
              <w:rPr>
                <w:b/>
                <w:bCs/>
                <w:sz w:val="22"/>
                <w:szCs w:val="22"/>
              </w:rPr>
            </w:pPr>
            <w:r w:rsidRPr="00CC4B51">
              <w:rPr>
                <w:b/>
                <w:bCs/>
                <w:sz w:val="22"/>
                <w:szCs w:val="22"/>
              </w:rPr>
              <w:t xml:space="preserve">40/20 mg em semanas alternadas </w:t>
            </w:r>
          </w:p>
        </w:tc>
        <w:tc>
          <w:tcPr>
            <w:tcW w:w="1619" w:type="dxa"/>
            <w:tcBorders>
              <w:top w:val="single" w:sz="6" w:space="0" w:color="000000"/>
              <w:left w:val="single" w:sz="6" w:space="0" w:color="000000"/>
              <w:bottom w:val="single" w:sz="6" w:space="0" w:color="000000"/>
              <w:right w:val="single" w:sz="6" w:space="0" w:color="000000"/>
            </w:tcBorders>
          </w:tcPr>
          <w:p w14:paraId="72F2396E" w14:textId="77777777" w:rsidR="00D94630" w:rsidRPr="00CC4B51" w:rsidRDefault="00615769" w:rsidP="00B538F3">
            <w:pPr>
              <w:keepLines/>
              <w:tabs>
                <w:tab w:val="left" w:pos="-1080"/>
              </w:tabs>
              <w:autoSpaceDE w:val="0"/>
              <w:autoSpaceDN w:val="0"/>
              <w:adjustRightInd w:val="0"/>
              <w:ind w:left="15"/>
              <w:jc w:val="center"/>
              <w:rPr>
                <w:b/>
                <w:bCs/>
                <w:sz w:val="22"/>
                <w:szCs w:val="22"/>
              </w:rPr>
            </w:pPr>
            <w:r w:rsidRPr="00CC4B51">
              <w:rPr>
                <w:b/>
                <w:bCs/>
                <w:sz w:val="22"/>
                <w:szCs w:val="22"/>
              </w:rPr>
              <w:t>Baixa Dose</w:t>
            </w:r>
          </w:p>
          <w:p w14:paraId="519222C7" w14:textId="77777777" w:rsidR="00D94630" w:rsidRPr="00CC4B51" w:rsidRDefault="00615769" w:rsidP="00B538F3">
            <w:pPr>
              <w:keepLines/>
              <w:tabs>
                <w:tab w:val="left" w:pos="-1080"/>
              </w:tabs>
              <w:autoSpaceDE w:val="0"/>
              <w:autoSpaceDN w:val="0"/>
              <w:adjustRightInd w:val="0"/>
              <w:ind w:left="15"/>
              <w:jc w:val="center"/>
              <w:rPr>
                <w:b/>
                <w:bCs/>
                <w:sz w:val="22"/>
                <w:szCs w:val="22"/>
              </w:rPr>
            </w:pPr>
            <w:r w:rsidRPr="00CC4B51">
              <w:rPr>
                <w:b/>
                <w:bCs/>
                <w:sz w:val="22"/>
                <w:szCs w:val="22"/>
              </w:rPr>
              <w:t>20/10 mg em semanas alternadas</w:t>
            </w:r>
          </w:p>
        </w:tc>
        <w:tc>
          <w:tcPr>
            <w:tcW w:w="1140" w:type="dxa"/>
            <w:tcBorders>
              <w:top w:val="single" w:sz="6" w:space="0" w:color="000000"/>
              <w:left w:val="single" w:sz="6" w:space="0" w:color="000000"/>
              <w:bottom w:val="single" w:sz="6" w:space="0" w:color="000000"/>
              <w:right w:val="single" w:sz="6" w:space="0" w:color="000000"/>
            </w:tcBorders>
          </w:tcPr>
          <w:p w14:paraId="6E4D02D5" w14:textId="77777777" w:rsidR="00D94630" w:rsidRPr="00CC4B51" w:rsidRDefault="00615769" w:rsidP="00B538F3">
            <w:pPr>
              <w:keepLines/>
              <w:tabs>
                <w:tab w:val="left" w:pos="-1080"/>
              </w:tabs>
              <w:autoSpaceDE w:val="0"/>
              <w:autoSpaceDN w:val="0"/>
              <w:adjustRightInd w:val="0"/>
              <w:ind w:left="15"/>
              <w:jc w:val="center"/>
              <w:rPr>
                <w:b/>
                <w:bCs/>
                <w:sz w:val="22"/>
                <w:szCs w:val="22"/>
              </w:rPr>
            </w:pPr>
            <w:r w:rsidRPr="00CC4B51">
              <w:rPr>
                <w:b/>
                <w:bCs/>
                <w:sz w:val="22"/>
                <w:szCs w:val="22"/>
              </w:rPr>
              <w:t>valor</w:t>
            </w:r>
            <w:r>
              <w:rPr>
                <w:b/>
                <w:bCs/>
                <w:sz w:val="22"/>
                <w:szCs w:val="22"/>
              </w:rPr>
              <w:t>-p</w:t>
            </w:r>
            <w:r w:rsidRPr="00CC4B51">
              <w:rPr>
                <w:b/>
                <w:bCs/>
                <w:sz w:val="22"/>
                <w:szCs w:val="22"/>
                <w:vertAlign w:val="superscript"/>
              </w:rPr>
              <w:t xml:space="preserve"> 1</w:t>
            </w:r>
          </w:p>
        </w:tc>
      </w:tr>
      <w:tr w:rsidR="00A7162A" w14:paraId="33AEE982" w14:textId="77777777" w:rsidTr="00AB53A0">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17194488" w14:textId="77777777" w:rsidR="00D94630" w:rsidRPr="00CC4B51" w:rsidRDefault="00615769" w:rsidP="00B538F3">
            <w:pPr>
              <w:keepLines/>
              <w:tabs>
                <w:tab w:val="left" w:pos="-1080"/>
              </w:tabs>
              <w:autoSpaceDE w:val="0"/>
              <w:autoSpaceDN w:val="0"/>
              <w:adjustRightInd w:val="0"/>
              <w:rPr>
                <w:b/>
                <w:sz w:val="22"/>
                <w:szCs w:val="22"/>
              </w:rPr>
            </w:pPr>
            <w:r w:rsidRPr="00CC4B51">
              <w:rPr>
                <w:b/>
                <w:sz w:val="22"/>
                <w:szCs w:val="22"/>
              </w:rPr>
              <w:t>Descontinuação de corticosteroides</w:t>
            </w:r>
          </w:p>
        </w:tc>
        <w:tc>
          <w:tcPr>
            <w:tcW w:w="1656" w:type="dxa"/>
            <w:tcBorders>
              <w:top w:val="single" w:sz="6" w:space="0" w:color="000000"/>
              <w:left w:val="single" w:sz="6" w:space="0" w:color="000000"/>
              <w:bottom w:val="single" w:sz="6" w:space="0" w:color="000000"/>
              <w:right w:val="single" w:sz="6" w:space="0" w:color="000000"/>
            </w:tcBorders>
            <w:vAlign w:val="bottom"/>
          </w:tcPr>
          <w:p w14:paraId="3F66E116" w14:textId="77777777" w:rsidR="00D94630" w:rsidRPr="00CC4B51" w:rsidRDefault="00615769" w:rsidP="00B538F3">
            <w:pPr>
              <w:keepLines/>
              <w:tabs>
                <w:tab w:val="left" w:pos="-1080"/>
              </w:tabs>
              <w:autoSpaceDE w:val="0"/>
              <w:autoSpaceDN w:val="0"/>
              <w:adjustRightInd w:val="0"/>
              <w:ind w:left="15"/>
              <w:jc w:val="center"/>
              <w:rPr>
                <w:b/>
                <w:sz w:val="22"/>
                <w:szCs w:val="22"/>
              </w:rPr>
            </w:pPr>
            <w:r w:rsidRPr="00CC4B51">
              <w:rPr>
                <w:b/>
                <w:sz w:val="22"/>
                <w:szCs w:val="22"/>
              </w:rPr>
              <w:t>N= 33</w:t>
            </w:r>
          </w:p>
        </w:tc>
        <w:tc>
          <w:tcPr>
            <w:tcW w:w="1619" w:type="dxa"/>
            <w:tcBorders>
              <w:top w:val="single" w:sz="6" w:space="0" w:color="000000"/>
              <w:left w:val="single" w:sz="6" w:space="0" w:color="000000"/>
              <w:bottom w:val="single" w:sz="6" w:space="0" w:color="000000"/>
              <w:right w:val="single" w:sz="6" w:space="0" w:color="000000"/>
            </w:tcBorders>
            <w:vAlign w:val="bottom"/>
          </w:tcPr>
          <w:p w14:paraId="68D5CE00" w14:textId="77777777" w:rsidR="00D94630" w:rsidRPr="00CC4B51" w:rsidRDefault="00615769" w:rsidP="00B538F3">
            <w:pPr>
              <w:keepLines/>
              <w:tabs>
                <w:tab w:val="left" w:pos="-1080"/>
              </w:tabs>
              <w:autoSpaceDE w:val="0"/>
              <w:autoSpaceDN w:val="0"/>
              <w:adjustRightInd w:val="0"/>
              <w:ind w:left="15"/>
              <w:jc w:val="center"/>
              <w:rPr>
                <w:b/>
                <w:sz w:val="22"/>
                <w:szCs w:val="22"/>
              </w:rPr>
            </w:pPr>
            <w:r w:rsidRPr="00CC4B51">
              <w:rPr>
                <w:b/>
                <w:sz w:val="22"/>
                <w:szCs w:val="22"/>
              </w:rPr>
              <w:t>N=38</w:t>
            </w:r>
          </w:p>
        </w:tc>
        <w:tc>
          <w:tcPr>
            <w:tcW w:w="1140" w:type="dxa"/>
            <w:tcBorders>
              <w:top w:val="single" w:sz="6" w:space="0" w:color="000000"/>
              <w:left w:val="single" w:sz="6" w:space="0" w:color="000000"/>
              <w:bottom w:val="single" w:sz="6" w:space="0" w:color="000000"/>
              <w:right w:val="single" w:sz="6" w:space="0" w:color="000000"/>
            </w:tcBorders>
            <w:vAlign w:val="bottom"/>
          </w:tcPr>
          <w:p w14:paraId="6D4CBB00" w14:textId="77777777" w:rsidR="00D94630" w:rsidRPr="00CC4B51" w:rsidRDefault="00D94630" w:rsidP="00B538F3">
            <w:pPr>
              <w:autoSpaceDE w:val="0"/>
              <w:autoSpaceDN w:val="0"/>
              <w:adjustRightInd w:val="0"/>
              <w:ind w:left="15"/>
              <w:rPr>
                <w:b/>
                <w:sz w:val="22"/>
                <w:szCs w:val="22"/>
              </w:rPr>
            </w:pPr>
          </w:p>
        </w:tc>
      </w:tr>
      <w:tr w:rsidR="00A7162A" w14:paraId="7F96929F" w14:textId="77777777" w:rsidTr="00AB53A0">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5840F977" w14:textId="77777777" w:rsidR="00D94630" w:rsidRPr="00CC4B51" w:rsidRDefault="00615769" w:rsidP="00B538F3">
            <w:pPr>
              <w:keepLines/>
              <w:tabs>
                <w:tab w:val="left" w:pos="-1080"/>
              </w:tabs>
              <w:autoSpaceDE w:val="0"/>
              <w:autoSpaceDN w:val="0"/>
              <w:adjustRightInd w:val="0"/>
              <w:rPr>
                <w:bCs/>
                <w:sz w:val="22"/>
                <w:szCs w:val="22"/>
              </w:rPr>
            </w:pPr>
            <w:r w:rsidRPr="00CC4B51">
              <w:rPr>
                <w:bCs/>
                <w:sz w:val="22"/>
                <w:szCs w:val="22"/>
              </w:rPr>
              <w:t>Semana 26</w:t>
            </w:r>
          </w:p>
        </w:tc>
        <w:tc>
          <w:tcPr>
            <w:tcW w:w="1656" w:type="dxa"/>
            <w:tcBorders>
              <w:top w:val="single" w:sz="6" w:space="0" w:color="000000"/>
              <w:left w:val="single" w:sz="6" w:space="0" w:color="000000"/>
              <w:bottom w:val="single" w:sz="6" w:space="0" w:color="000000"/>
              <w:right w:val="single" w:sz="6" w:space="0" w:color="000000"/>
            </w:tcBorders>
            <w:vAlign w:val="bottom"/>
          </w:tcPr>
          <w:p w14:paraId="4FAF30E2"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84,8%</w:t>
            </w:r>
          </w:p>
        </w:tc>
        <w:tc>
          <w:tcPr>
            <w:tcW w:w="1619" w:type="dxa"/>
            <w:tcBorders>
              <w:top w:val="single" w:sz="6" w:space="0" w:color="000000"/>
              <w:left w:val="single" w:sz="6" w:space="0" w:color="000000"/>
              <w:bottom w:val="single" w:sz="6" w:space="0" w:color="000000"/>
              <w:right w:val="single" w:sz="6" w:space="0" w:color="000000"/>
            </w:tcBorders>
            <w:vAlign w:val="bottom"/>
          </w:tcPr>
          <w:p w14:paraId="0EF32219"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65,8%</w:t>
            </w:r>
          </w:p>
        </w:tc>
        <w:tc>
          <w:tcPr>
            <w:tcW w:w="1140" w:type="dxa"/>
            <w:tcBorders>
              <w:top w:val="single" w:sz="6" w:space="0" w:color="000000"/>
              <w:left w:val="single" w:sz="6" w:space="0" w:color="000000"/>
              <w:bottom w:val="single" w:sz="6" w:space="0" w:color="000000"/>
              <w:right w:val="single" w:sz="6" w:space="0" w:color="000000"/>
            </w:tcBorders>
            <w:vAlign w:val="bottom"/>
          </w:tcPr>
          <w:p w14:paraId="206FE450"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0,066</w:t>
            </w:r>
          </w:p>
        </w:tc>
      </w:tr>
      <w:tr w:rsidR="00A7162A" w14:paraId="5687C394" w14:textId="77777777" w:rsidTr="00AB53A0">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4E83DB7E" w14:textId="77777777" w:rsidR="00D94630" w:rsidRPr="00CC4B51" w:rsidRDefault="00615769" w:rsidP="00B538F3">
            <w:pPr>
              <w:keepLines/>
              <w:tabs>
                <w:tab w:val="left" w:pos="-1080"/>
              </w:tabs>
              <w:autoSpaceDE w:val="0"/>
              <w:autoSpaceDN w:val="0"/>
              <w:adjustRightInd w:val="0"/>
              <w:rPr>
                <w:bCs/>
                <w:sz w:val="22"/>
                <w:szCs w:val="22"/>
              </w:rPr>
            </w:pPr>
            <w:r w:rsidRPr="00CC4B51">
              <w:rPr>
                <w:bCs/>
                <w:sz w:val="22"/>
                <w:szCs w:val="22"/>
              </w:rPr>
              <w:t>Semana 52</w:t>
            </w:r>
          </w:p>
        </w:tc>
        <w:tc>
          <w:tcPr>
            <w:tcW w:w="1656" w:type="dxa"/>
            <w:tcBorders>
              <w:top w:val="single" w:sz="6" w:space="0" w:color="000000"/>
              <w:left w:val="single" w:sz="6" w:space="0" w:color="000000"/>
              <w:bottom w:val="single" w:sz="6" w:space="0" w:color="000000"/>
              <w:right w:val="single" w:sz="6" w:space="0" w:color="000000"/>
            </w:tcBorders>
          </w:tcPr>
          <w:p w14:paraId="338842D2"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69,7%</w:t>
            </w:r>
          </w:p>
        </w:tc>
        <w:tc>
          <w:tcPr>
            <w:tcW w:w="1619" w:type="dxa"/>
            <w:tcBorders>
              <w:top w:val="single" w:sz="6" w:space="0" w:color="000000"/>
              <w:left w:val="single" w:sz="6" w:space="0" w:color="000000"/>
              <w:bottom w:val="single" w:sz="6" w:space="0" w:color="000000"/>
              <w:right w:val="single" w:sz="6" w:space="0" w:color="000000"/>
            </w:tcBorders>
          </w:tcPr>
          <w:p w14:paraId="0D784829"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60,5%</w:t>
            </w:r>
          </w:p>
        </w:tc>
        <w:tc>
          <w:tcPr>
            <w:tcW w:w="1140" w:type="dxa"/>
            <w:tcBorders>
              <w:top w:val="single" w:sz="6" w:space="0" w:color="000000"/>
              <w:left w:val="single" w:sz="6" w:space="0" w:color="000000"/>
              <w:bottom w:val="single" w:sz="6" w:space="0" w:color="000000"/>
              <w:right w:val="single" w:sz="6" w:space="0" w:color="000000"/>
            </w:tcBorders>
            <w:vAlign w:val="bottom"/>
          </w:tcPr>
          <w:p w14:paraId="5A750683"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0,420</w:t>
            </w:r>
          </w:p>
        </w:tc>
      </w:tr>
      <w:tr w:rsidR="00A7162A" w14:paraId="638DCE30" w14:textId="77777777" w:rsidTr="00AB53A0">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3166E580" w14:textId="77777777" w:rsidR="00D94630" w:rsidRPr="00CC4B51" w:rsidRDefault="00615769" w:rsidP="00B538F3">
            <w:pPr>
              <w:keepLines/>
              <w:tabs>
                <w:tab w:val="left" w:pos="-1080"/>
              </w:tabs>
              <w:autoSpaceDE w:val="0"/>
              <w:autoSpaceDN w:val="0"/>
              <w:adjustRightInd w:val="0"/>
              <w:rPr>
                <w:b/>
                <w:sz w:val="22"/>
                <w:szCs w:val="22"/>
              </w:rPr>
            </w:pPr>
            <w:r w:rsidRPr="00CC4B51">
              <w:rPr>
                <w:b/>
                <w:sz w:val="22"/>
                <w:szCs w:val="22"/>
              </w:rPr>
              <w:t>Descontinuação de Imunomoduladores</w:t>
            </w:r>
            <w:r w:rsidRPr="00CC4B51">
              <w:rPr>
                <w:b/>
                <w:sz w:val="22"/>
                <w:szCs w:val="22"/>
                <w:vertAlign w:val="superscript"/>
              </w:rPr>
              <w:t>2</w:t>
            </w:r>
          </w:p>
        </w:tc>
        <w:tc>
          <w:tcPr>
            <w:tcW w:w="1656" w:type="dxa"/>
            <w:tcBorders>
              <w:top w:val="single" w:sz="6" w:space="0" w:color="000000"/>
              <w:left w:val="single" w:sz="6" w:space="0" w:color="000000"/>
              <w:bottom w:val="single" w:sz="6" w:space="0" w:color="000000"/>
              <w:right w:val="single" w:sz="6" w:space="0" w:color="000000"/>
            </w:tcBorders>
            <w:vAlign w:val="bottom"/>
          </w:tcPr>
          <w:p w14:paraId="537F2615" w14:textId="77777777" w:rsidR="00D94630" w:rsidRPr="00CC4B51" w:rsidRDefault="00615769" w:rsidP="00B538F3">
            <w:pPr>
              <w:keepLines/>
              <w:tabs>
                <w:tab w:val="left" w:pos="-1080"/>
              </w:tabs>
              <w:autoSpaceDE w:val="0"/>
              <w:autoSpaceDN w:val="0"/>
              <w:adjustRightInd w:val="0"/>
              <w:ind w:left="15"/>
              <w:jc w:val="center"/>
              <w:rPr>
                <w:b/>
                <w:sz w:val="22"/>
                <w:szCs w:val="22"/>
              </w:rPr>
            </w:pPr>
            <w:r w:rsidRPr="00CC4B51">
              <w:rPr>
                <w:b/>
                <w:sz w:val="22"/>
                <w:szCs w:val="22"/>
              </w:rPr>
              <w:t>N=60</w:t>
            </w:r>
          </w:p>
        </w:tc>
        <w:tc>
          <w:tcPr>
            <w:tcW w:w="1619" w:type="dxa"/>
            <w:tcBorders>
              <w:top w:val="single" w:sz="6" w:space="0" w:color="000000"/>
              <w:left w:val="single" w:sz="6" w:space="0" w:color="000000"/>
              <w:bottom w:val="single" w:sz="6" w:space="0" w:color="000000"/>
              <w:right w:val="single" w:sz="6" w:space="0" w:color="000000"/>
            </w:tcBorders>
            <w:vAlign w:val="bottom"/>
          </w:tcPr>
          <w:p w14:paraId="4FE4D183" w14:textId="77777777" w:rsidR="00D94630" w:rsidRPr="00CC4B51" w:rsidRDefault="00615769" w:rsidP="00B538F3">
            <w:pPr>
              <w:keepLines/>
              <w:tabs>
                <w:tab w:val="left" w:pos="-1080"/>
              </w:tabs>
              <w:autoSpaceDE w:val="0"/>
              <w:autoSpaceDN w:val="0"/>
              <w:adjustRightInd w:val="0"/>
              <w:ind w:left="15"/>
              <w:jc w:val="center"/>
              <w:rPr>
                <w:b/>
                <w:sz w:val="22"/>
                <w:szCs w:val="22"/>
              </w:rPr>
            </w:pPr>
            <w:r w:rsidRPr="00CC4B51">
              <w:rPr>
                <w:b/>
                <w:sz w:val="22"/>
                <w:szCs w:val="22"/>
              </w:rPr>
              <w:t>N=57</w:t>
            </w:r>
          </w:p>
        </w:tc>
        <w:tc>
          <w:tcPr>
            <w:tcW w:w="1140" w:type="dxa"/>
            <w:tcBorders>
              <w:top w:val="single" w:sz="6" w:space="0" w:color="000000"/>
              <w:left w:val="single" w:sz="6" w:space="0" w:color="000000"/>
              <w:bottom w:val="single" w:sz="6" w:space="0" w:color="000000"/>
              <w:right w:val="single" w:sz="6" w:space="0" w:color="000000"/>
            </w:tcBorders>
            <w:vAlign w:val="bottom"/>
          </w:tcPr>
          <w:p w14:paraId="18467F49" w14:textId="77777777" w:rsidR="00D94630" w:rsidRPr="00CC4B51" w:rsidRDefault="00D94630" w:rsidP="00B538F3">
            <w:pPr>
              <w:autoSpaceDE w:val="0"/>
              <w:autoSpaceDN w:val="0"/>
              <w:adjustRightInd w:val="0"/>
              <w:ind w:left="15"/>
              <w:rPr>
                <w:b/>
                <w:sz w:val="22"/>
                <w:szCs w:val="22"/>
              </w:rPr>
            </w:pPr>
          </w:p>
        </w:tc>
      </w:tr>
      <w:tr w:rsidR="00A7162A" w14:paraId="4C6B8A19" w14:textId="77777777" w:rsidTr="00AB53A0">
        <w:trPr>
          <w:jc w:val="center"/>
        </w:trPr>
        <w:tc>
          <w:tcPr>
            <w:tcW w:w="4025" w:type="dxa"/>
            <w:tcBorders>
              <w:top w:val="single" w:sz="6" w:space="0" w:color="000000"/>
              <w:left w:val="single" w:sz="6" w:space="0" w:color="000000"/>
              <w:bottom w:val="single" w:sz="6" w:space="0" w:color="000000"/>
              <w:right w:val="single" w:sz="6" w:space="0" w:color="000000"/>
            </w:tcBorders>
          </w:tcPr>
          <w:p w14:paraId="522BE9E4" w14:textId="77777777" w:rsidR="00D94630" w:rsidRPr="00CC4B51" w:rsidRDefault="00615769" w:rsidP="00B538F3">
            <w:pPr>
              <w:keepLines/>
              <w:tabs>
                <w:tab w:val="left" w:pos="-1080"/>
              </w:tabs>
              <w:autoSpaceDE w:val="0"/>
              <w:autoSpaceDN w:val="0"/>
              <w:adjustRightInd w:val="0"/>
              <w:rPr>
                <w:bCs/>
                <w:sz w:val="22"/>
                <w:szCs w:val="22"/>
              </w:rPr>
            </w:pPr>
            <w:r w:rsidRPr="00CC4B51">
              <w:rPr>
                <w:bCs/>
                <w:sz w:val="22"/>
                <w:szCs w:val="22"/>
              </w:rPr>
              <w:t>Semana 52</w:t>
            </w:r>
          </w:p>
        </w:tc>
        <w:tc>
          <w:tcPr>
            <w:tcW w:w="1656" w:type="dxa"/>
            <w:tcBorders>
              <w:top w:val="single" w:sz="6" w:space="0" w:color="000000"/>
              <w:left w:val="single" w:sz="6" w:space="0" w:color="000000"/>
              <w:bottom w:val="single" w:sz="6" w:space="0" w:color="000000"/>
              <w:right w:val="single" w:sz="6" w:space="0" w:color="000000"/>
            </w:tcBorders>
          </w:tcPr>
          <w:p w14:paraId="79B8C397"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30,</w:t>
            </w:r>
            <w:r>
              <w:rPr>
                <w:sz w:val="22"/>
                <w:szCs w:val="22"/>
              </w:rPr>
              <w:t>0</w:t>
            </w:r>
            <w:r w:rsidRPr="00CC4B51">
              <w:rPr>
                <w:sz w:val="22"/>
                <w:szCs w:val="22"/>
              </w:rPr>
              <w:t>%</w:t>
            </w:r>
          </w:p>
        </w:tc>
        <w:tc>
          <w:tcPr>
            <w:tcW w:w="1619" w:type="dxa"/>
            <w:tcBorders>
              <w:top w:val="single" w:sz="6" w:space="0" w:color="000000"/>
              <w:left w:val="single" w:sz="6" w:space="0" w:color="000000"/>
              <w:bottom w:val="single" w:sz="6" w:space="0" w:color="000000"/>
              <w:right w:val="single" w:sz="6" w:space="0" w:color="000000"/>
            </w:tcBorders>
          </w:tcPr>
          <w:p w14:paraId="40346A0C"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29,8%</w:t>
            </w:r>
          </w:p>
        </w:tc>
        <w:tc>
          <w:tcPr>
            <w:tcW w:w="1140" w:type="dxa"/>
            <w:tcBorders>
              <w:top w:val="single" w:sz="6" w:space="0" w:color="000000"/>
              <w:left w:val="single" w:sz="6" w:space="0" w:color="000000"/>
              <w:bottom w:val="single" w:sz="6" w:space="0" w:color="000000"/>
              <w:right w:val="single" w:sz="6" w:space="0" w:color="000000"/>
            </w:tcBorders>
          </w:tcPr>
          <w:p w14:paraId="35D5214E"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0,983</w:t>
            </w:r>
          </w:p>
        </w:tc>
      </w:tr>
      <w:tr w:rsidR="00A7162A" w14:paraId="69575704" w14:textId="77777777" w:rsidTr="00AB53A0">
        <w:trPr>
          <w:jc w:val="center"/>
        </w:trPr>
        <w:tc>
          <w:tcPr>
            <w:tcW w:w="4025" w:type="dxa"/>
            <w:tcBorders>
              <w:top w:val="single" w:sz="6" w:space="0" w:color="000000"/>
              <w:left w:val="single" w:sz="6" w:space="0" w:color="000000"/>
              <w:bottom w:val="single" w:sz="6" w:space="0" w:color="000000"/>
              <w:right w:val="single" w:sz="6" w:space="0" w:color="000000"/>
            </w:tcBorders>
          </w:tcPr>
          <w:p w14:paraId="549DB5FA" w14:textId="77777777" w:rsidR="00D94630" w:rsidRPr="00CC4B51" w:rsidRDefault="00615769" w:rsidP="00B538F3">
            <w:pPr>
              <w:keepLines/>
              <w:tabs>
                <w:tab w:val="left" w:pos="-1080"/>
              </w:tabs>
              <w:autoSpaceDE w:val="0"/>
              <w:autoSpaceDN w:val="0"/>
              <w:adjustRightInd w:val="0"/>
              <w:rPr>
                <w:b/>
                <w:bCs/>
                <w:sz w:val="22"/>
                <w:szCs w:val="22"/>
              </w:rPr>
            </w:pPr>
            <w:r w:rsidRPr="00CC4B51">
              <w:rPr>
                <w:b/>
                <w:sz w:val="22"/>
                <w:szCs w:val="22"/>
              </w:rPr>
              <w:t>Remissão das fístulas</w:t>
            </w:r>
            <w:r w:rsidRPr="00CC4B51">
              <w:rPr>
                <w:b/>
                <w:sz w:val="22"/>
                <w:szCs w:val="22"/>
                <w:vertAlign w:val="superscript"/>
              </w:rPr>
              <w:t>3</w:t>
            </w:r>
          </w:p>
        </w:tc>
        <w:tc>
          <w:tcPr>
            <w:tcW w:w="1656" w:type="dxa"/>
            <w:tcBorders>
              <w:top w:val="single" w:sz="6" w:space="0" w:color="000000"/>
              <w:left w:val="single" w:sz="6" w:space="0" w:color="000000"/>
              <w:bottom w:val="single" w:sz="6" w:space="0" w:color="000000"/>
              <w:right w:val="single" w:sz="6" w:space="0" w:color="000000"/>
            </w:tcBorders>
          </w:tcPr>
          <w:p w14:paraId="415B09F1" w14:textId="77777777" w:rsidR="00D94630" w:rsidRPr="00CC4B51" w:rsidRDefault="00615769" w:rsidP="00B538F3">
            <w:pPr>
              <w:keepLines/>
              <w:tabs>
                <w:tab w:val="left" w:pos="-1080"/>
              </w:tabs>
              <w:autoSpaceDE w:val="0"/>
              <w:autoSpaceDN w:val="0"/>
              <w:adjustRightInd w:val="0"/>
              <w:ind w:left="15"/>
              <w:jc w:val="center"/>
              <w:rPr>
                <w:b/>
                <w:sz w:val="22"/>
                <w:szCs w:val="22"/>
              </w:rPr>
            </w:pPr>
            <w:r w:rsidRPr="00CC4B51">
              <w:rPr>
                <w:b/>
                <w:sz w:val="22"/>
                <w:szCs w:val="22"/>
              </w:rPr>
              <w:t>N=15</w:t>
            </w:r>
          </w:p>
        </w:tc>
        <w:tc>
          <w:tcPr>
            <w:tcW w:w="1619" w:type="dxa"/>
            <w:tcBorders>
              <w:top w:val="single" w:sz="6" w:space="0" w:color="000000"/>
              <w:left w:val="single" w:sz="6" w:space="0" w:color="000000"/>
              <w:bottom w:val="single" w:sz="6" w:space="0" w:color="000000"/>
              <w:right w:val="single" w:sz="6" w:space="0" w:color="000000"/>
            </w:tcBorders>
          </w:tcPr>
          <w:p w14:paraId="5C993F63" w14:textId="77777777" w:rsidR="00D94630" w:rsidRPr="00CC4B51" w:rsidRDefault="00615769" w:rsidP="00B538F3">
            <w:pPr>
              <w:keepLines/>
              <w:tabs>
                <w:tab w:val="left" w:pos="-1080"/>
              </w:tabs>
              <w:autoSpaceDE w:val="0"/>
              <w:autoSpaceDN w:val="0"/>
              <w:adjustRightInd w:val="0"/>
              <w:ind w:left="15"/>
              <w:jc w:val="center"/>
              <w:rPr>
                <w:b/>
                <w:sz w:val="22"/>
                <w:szCs w:val="22"/>
              </w:rPr>
            </w:pPr>
            <w:r w:rsidRPr="00CC4B51">
              <w:rPr>
                <w:b/>
                <w:sz w:val="22"/>
                <w:szCs w:val="22"/>
              </w:rPr>
              <w:t>N=21</w:t>
            </w:r>
          </w:p>
        </w:tc>
        <w:tc>
          <w:tcPr>
            <w:tcW w:w="1140" w:type="dxa"/>
            <w:tcBorders>
              <w:top w:val="single" w:sz="6" w:space="0" w:color="000000"/>
              <w:left w:val="single" w:sz="6" w:space="0" w:color="000000"/>
              <w:bottom w:val="single" w:sz="6" w:space="0" w:color="000000"/>
              <w:right w:val="single" w:sz="6" w:space="0" w:color="000000"/>
            </w:tcBorders>
          </w:tcPr>
          <w:p w14:paraId="7E2194D3" w14:textId="77777777" w:rsidR="00D94630" w:rsidRPr="00CC4B51" w:rsidRDefault="00D94630" w:rsidP="00B538F3">
            <w:pPr>
              <w:keepLines/>
              <w:tabs>
                <w:tab w:val="left" w:pos="-1080"/>
              </w:tabs>
              <w:autoSpaceDE w:val="0"/>
              <w:autoSpaceDN w:val="0"/>
              <w:adjustRightInd w:val="0"/>
              <w:ind w:left="15"/>
              <w:jc w:val="center"/>
              <w:rPr>
                <w:sz w:val="22"/>
                <w:szCs w:val="22"/>
              </w:rPr>
            </w:pPr>
          </w:p>
        </w:tc>
      </w:tr>
      <w:tr w:rsidR="00A7162A" w14:paraId="3338D9E7" w14:textId="77777777" w:rsidTr="00AB53A0">
        <w:trPr>
          <w:jc w:val="center"/>
        </w:trPr>
        <w:tc>
          <w:tcPr>
            <w:tcW w:w="4025" w:type="dxa"/>
            <w:tcBorders>
              <w:top w:val="single" w:sz="6" w:space="0" w:color="000000"/>
              <w:left w:val="single" w:sz="6" w:space="0" w:color="000000"/>
              <w:bottom w:val="single" w:sz="6" w:space="0" w:color="000000"/>
              <w:right w:val="single" w:sz="6" w:space="0" w:color="000000"/>
            </w:tcBorders>
          </w:tcPr>
          <w:p w14:paraId="56B211BD" w14:textId="77777777" w:rsidR="00D94630" w:rsidRPr="00CC4B51" w:rsidRDefault="00615769" w:rsidP="00B538F3">
            <w:pPr>
              <w:keepLines/>
              <w:tabs>
                <w:tab w:val="left" w:pos="-1080"/>
              </w:tabs>
              <w:autoSpaceDE w:val="0"/>
              <w:autoSpaceDN w:val="0"/>
              <w:adjustRightInd w:val="0"/>
              <w:rPr>
                <w:bCs/>
                <w:sz w:val="22"/>
                <w:szCs w:val="22"/>
              </w:rPr>
            </w:pPr>
            <w:r w:rsidRPr="00CC4B51">
              <w:rPr>
                <w:bCs/>
                <w:sz w:val="22"/>
                <w:szCs w:val="22"/>
              </w:rPr>
              <w:t>Semana 26</w:t>
            </w:r>
          </w:p>
        </w:tc>
        <w:tc>
          <w:tcPr>
            <w:tcW w:w="1656" w:type="dxa"/>
            <w:tcBorders>
              <w:top w:val="single" w:sz="6" w:space="0" w:color="000000"/>
              <w:left w:val="single" w:sz="6" w:space="0" w:color="000000"/>
              <w:bottom w:val="single" w:sz="6" w:space="0" w:color="000000"/>
              <w:right w:val="single" w:sz="6" w:space="0" w:color="000000"/>
            </w:tcBorders>
          </w:tcPr>
          <w:p w14:paraId="085F5EF9"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46,7%</w:t>
            </w:r>
          </w:p>
        </w:tc>
        <w:tc>
          <w:tcPr>
            <w:tcW w:w="1619" w:type="dxa"/>
            <w:tcBorders>
              <w:top w:val="single" w:sz="6" w:space="0" w:color="000000"/>
              <w:left w:val="single" w:sz="6" w:space="0" w:color="000000"/>
              <w:bottom w:val="single" w:sz="6" w:space="0" w:color="000000"/>
              <w:right w:val="single" w:sz="6" w:space="0" w:color="000000"/>
            </w:tcBorders>
          </w:tcPr>
          <w:p w14:paraId="4DCB2BBB"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38,1%</w:t>
            </w:r>
          </w:p>
        </w:tc>
        <w:tc>
          <w:tcPr>
            <w:tcW w:w="1140" w:type="dxa"/>
            <w:tcBorders>
              <w:top w:val="single" w:sz="6" w:space="0" w:color="000000"/>
              <w:left w:val="single" w:sz="6" w:space="0" w:color="000000"/>
              <w:bottom w:val="single" w:sz="6" w:space="0" w:color="000000"/>
              <w:right w:val="single" w:sz="6" w:space="0" w:color="000000"/>
            </w:tcBorders>
          </w:tcPr>
          <w:p w14:paraId="06598465"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0,608</w:t>
            </w:r>
          </w:p>
        </w:tc>
      </w:tr>
      <w:tr w:rsidR="00A7162A" w14:paraId="3583952B" w14:textId="77777777" w:rsidTr="00AB53A0">
        <w:trPr>
          <w:jc w:val="center"/>
        </w:trPr>
        <w:tc>
          <w:tcPr>
            <w:tcW w:w="4025" w:type="dxa"/>
            <w:tcBorders>
              <w:top w:val="single" w:sz="6" w:space="0" w:color="000000"/>
              <w:left w:val="single" w:sz="6" w:space="0" w:color="000000"/>
              <w:bottom w:val="single" w:sz="4" w:space="0" w:color="auto"/>
              <w:right w:val="single" w:sz="6" w:space="0" w:color="000000"/>
            </w:tcBorders>
          </w:tcPr>
          <w:p w14:paraId="270C4A23" w14:textId="77777777" w:rsidR="00D94630" w:rsidRPr="00CC4B51" w:rsidRDefault="00615769" w:rsidP="00B538F3">
            <w:pPr>
              <w:keepLines/>
              <w:tabs>
                <w:tab w:val="left" w:pos="-1080"/>
              </w:tabs>
              <w:autoSpaceDE w:val="0"/>
              <w:autoSpaceDN w:val="0"/>
              <w:adjustRightInd w:val="0"/>
              <w:rPr>
                <w:bCs/>
                <w:sz w:val="22"/>
                <w:szCs w:val="22"/>
              </w:rPr>
            </w:pPr>
            <w:r w:rsidRPr="00CC4B51">
              <w:rPr>
                <w:bCs/>
                <w:sz w:val="22"/>
                <w:szCs w:val="22"/>
              </w:rPr>
              <w:t>Semana</w:t>
            </w:r>
            <w:r w:rsidRPr="00CC4B51">
              <w:rPr>
                <w:sz w:val="22"/>
                <w:szCs w:val="22"/>
              </w:rPr>
              <w:t xml:space="preserve"> 52</w:t>
            </w:r>
          </w:p>
        </w:tc>
        <w:tc>
          <w:tcPr>
            <w:tcW w:w="1656" w:type="dxa"/>
            <w:tcBorders>
              <w:top w:val="single" w:sz="6" w:space="0" w:color="000000"/>
              <w:left w:val="single" w:sz="6" w:space="0" w:color="000000"/>
              <w:bottom w:val="single" w:sz="4" w:space="0" w:color="auto"/>
              <w:right w:val="single" w:sz="6" w:space="0" w:color="000000"/>
            </w:tcBorders>
          </w:tcPr>
          <w:p w14:paraId="1D84E4AD"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40,0%</w:t>
            </w:r>
          </w:p>
        </w:tc>
        <w:tc>
          <w:tcPr>
            <w:tcW w:w="1619" w:type="dxa"/>
            <w:tcBorders>
              <w:top w:val="single" w:sz="6" w:space="0" w:color="000000"/>
              <w:left w:val="single" w:sz="6" w:space="0" w:color="000000"/>
              <w:bottom w:val="single" w:sz="4" w:space="0" w:color="auto"/>
              <w:right w:val="single" w:sz="6" w:space="0" w:color="000000"/>
            </w:tcBorders>
          </w:tcPr>
          <w:p w14:paraId="0E459106"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23,8%</w:t>
            </w:r>
          </w:p>
        </w:tc>
        <w:tc>
          <w:tcPr>
            <w:tcW w:w="1140" w:type="dxa"/>
            <w:tcBorders>
              <w:top w:val="single" w:sz="6" w:space="0" w:color="000000"/>
              <w:left w:val="single" w:sz="6" w:space="0" w:color="000000"/>
              <w:bottom w:val="single" w:sz="4" w:space="0" w:color="auto"/>
              <w:right w:val="single" w:sz="6" w:space="0" w:color="000000"/>
            </w:tcBorders>
          </w:tcPr>
          <w:p w14:paraId="1DD9544B" w14:textId="77777777" w:rsidR="00D94630" w:rsidRPr="00CC4B51" w:rsidRDefault="00615769" w:rsidP="00B538F3">
            <w:pPr>
              <w:keepLines/>
              <w:tabs>
                <w:tab w:val="left" w:pos="-1080"/>
              </w:tabs>
              <w:autoSpaceDE w:val="0"/>
              <w:autoSpaceDN w:val="0"/>
              <w:adjustRightInd w:val="0"/>
              <w:ind w:left="15"/>
              <w:jc w:val="center"/>
              <w:rPr>
                <w:sz w:val="22"/>
                <w:szCs w:val="22"/>
              </w:rPr>
            </w:pPr>
            <w:r w:rsidRPr="00CC4B51">
              <w:rPr>
                <w:sz w:val="22"/>
                <w:szCs w:val="22"/>
              </w:rPr>
              <w:t>0,303</w:t>
            </w:r>
          </w:p>
        </w:tc>
      </w:tr>
      <w:tr w:rsidR="00A7162A" w14:paraId="36494F82" w14:textId="77777777" w:rsidTr="00AB53A0">
        <w:trPr>
          <w:trHeight w:val="177"/>
          <w:jc w:val="center"/>
        </w:trPr>
        <w:tc>
          <w:tcPr>
            <w:tcW w:w="8440" w:type="dxa"/>
            <w:gridSpan w:val="4"/>
            <w:tcBorders>
              <w:top w:val="single" w:sz="4" w:space="0" w:color="auto"/>
            </w:tcBorders>
          </w:tcPr>
          <w:p w14:paraId="13FE56E2" w14:textId="77777777" w:rsidR="00D94630" w:rsidRPr="00CC4B51" w:rsidRDefault="00615769" w:rsidP="00B538F3">
            <w:pPr>
              <w:keepLines/>
              <w:tabs>
                <w:tab w:val="left" w:pos="-1080"/>
              </w:tabs>
              <w:autoSpaceDE w:val="0"/>
              <w:autoSpaceDN w:val="0"/>
              <w:adjustRightInd w:val="0"/>
              <w:rPr>
                <w:sz w:val="22"/>
                <w:szCs w:val="22"/>
              </w:rPr>
            </w:pPr>
            <w:r w:rsidRPr="00CC4B51">
              <w:rPr>
                <w:sz w:val="22"/>
                <w:szCs w:val="22"/>
                <w:vertAlign w:val="superscript"/>
              </w:rPr>
              <w:t>1</w:t>
            </w:r>
            <w:r w:rsidRPr="00CC4B51">
              <w:rPr>
                <w:sz w:val="22"/>
                <w:szCs w:val="22"/>
              </w:rPr>
              <w:t xml:space="preserve">  </w:t>
            </w:r>
            <w:r w:rsidRPr="00CC4B51">
              <w:rPr>
                <w:bCs/>
                <w:sz w:val="22"/>
                <w:szCs w:val="22"/>
              </w:rPr>
              <w:t>valor</w:t>
            </w:r>
            <w:r>
              <w:rPr>
                <w:bCs/>
                <w:sz w:val="22"/>
                <w:szCs w:val="22"/>
              </w:rPr>
              <w:t>-p</w:t>
            </w:r>
            <w:r w:rsidRPr="00CC4B51">
              <w:rPr>
                <w:sz w:val="22"/>
                <w:szCs w:val="22"/>
              </w:rPr>
              <w:t xml:space="preserve"> para comparação Dose Padrão </w:t>
            </w:r>
            <w:r w:rsidRPr="00CC4B51">
              <w:rPr>
                <w:i/>
                <w:iCs/>
                <w:sz w:val="22"/>
                <w:szCs w:val="22"/>
              </w:rPr>
              <w:t>versus</w:t>
            </w:r>
            <w:r w:rsidRPr="00CC4B51">
              <w:rPr>
                <w:sz w:val="22"/>
                <w:szCs w:val="22"/>
              </w:rPr>
              <w:t xml:space="preserve"> Baixa Dose.</w:t>
            </w:r>
          </w:p>
          <w:p w14:paraId="1F57E1CA" w14:textId="77777777" w:rsidR="00D94630" w:rsidRPr="00CC4B51" w:rsidRDefault="00615769" w:rsidP="00B538F3">
            <w:pPr>
              <w:keepLines/>
              <w:tabs>
                <w:tab w:val="left" w:pos="-1080"/>
              </w:tabs>
              <w:autoSpaceDE w:val="0"/>
              <w:autoSpaceDN w:val="0"/>
              <w:adjustRightInd w:val="0"/>
              <w:rPr>
                <w:sz w:val="22"/>
                <w:szCs w:val="22"/>
              </w:rPr>
            </w:pPr>
            <w:r w:rsidRPr="00CC4B51">
              <w:rPr>
                <w:sz w:val="22"/>
                <w:szCs w:val="22"/>
                <w:vertAlign w:val="superscript"/>
              </w:rPr>
              <w:t xml:space="preserve"> 2</w:t>
            </w:r>
            <w:r w:rsidRPr="00CC4B51">
              <w:rPr>
                <w:sz w:val="22"/>
                <w:szCs w:val="22"/>
              </w:rPr>
              <w:t xml:space="preserve">  Terapêutica imunossupressora só pode ser descontinuada durante ou após a Semana 26, a critério do investigador, se o doente alcançar o critério de resposta clínica. </w:t>
            </w:r>
          </w:p>
          <w:p w14:paraId="097DB304" w14:textId="77777777" w:rsidR="00D94630" w:rsidRPr="00CC4B51" w:rsidRDefault="00615769" w:rsidP="00B538F3">
            <w:pPr>
              <w:keepLines/>
              <w:tabs>
                <w:tab w:val="left" w:pos="-1080"/>
              </w:tabs>
              <w:autoSpaceDE w:val="0"/>
              <w:autoSpaceDN w:val="0"/>
              <w:adjustRightInd w:val="0"/>
              <w:rPr>
                <w:sz w:val="22"/>
                <w:szCs w:val="22"/>
              </w:rPr>
            </w:pPr>
            <w:r w:rsidRPr="00CC4B51">
              <w:rPr>
                <w:sz w:val="22"/>
                <w:szCs w:val="22"/>
                <w:vertAlign w:val="superscript"/>
              </w:rPr>
              <w:t>3</w:t>
            </w:r>
            <w:r w:rsidRPr="00CC4B51">
              <w:rPr>
                <w:sz w:val="22"/>
                <w:szCs w:val="22"/>
              </w:rPr>
              <w:t xml:space="preserve">  definida como encerramento de todas as f</w:t>
            </w:r>
            <w:r>
              <w:rPr>
                <w:sz w:val="22"/>
                <w:szCs w:val="22"/>
              </w:rPr>
              <w:t>í</w:t>
            </w:r>
            <w:r w:rsidRPr="00CC4B51">
              <w:rPr>
                <w:sz w:val="22"/>
                <w:szCs w:val="22"/>
              </w:rPr>
              <w:t>stulas, que estavam a drenar no início do estudo, em pelo menos 2 visitas consecutivas após o início do estudo</w:t>
            </w:r>
          </w:p>
        </w:tc>
      </w:tr>
    </w:tbl>
    <w:p w14:paraId="357C0AC4" w14:textId="77777777" w:rsidR="00D94630" w:rsidRPr="00CC4B51" w:rsidRDefault="00D94630" w:rsidP="00D94630">
      <w:pPr>
        <w:rPr>
          <w:sz w:val="22"/>
          <w:szCs w:val="22"/>
        </w:rPr>
      </w:pPr>
    </w:p>
    <w:p w14:paraId="72B5C130" w14:textId="77777777" w:rsidR="00D94630" w:rsidRPr="00CC4B51" w:rsidRDefault="00615769" w:rsidP="00D94630">
      <w:pPr>
        <w:keepLines/>
        <w:tabs>
          <w:tab w:val="left" w:pos="-1080"/>
        </w:tabs>
        <w:autoSpaceDE w:val="0"/>
        <w:autoSpaceDN w:val="0"/>
        <w:adjustRightInd w:val="0"/>
        <w:rPr>
          <w:sz w:val="22"/>
          <w:szCs w:val="22"/>
        </w:rPr>
      </w:pPr>
      <w:r w:rsidRPr="00CC4B51">
        <w:rPr>
          <w:sz w:val="22"/>
          <w:szCs w:val="22"/>
        </w:rPr>
        <w:t>Foram observados aumentos estatisticamente significativos (melhoria) do Índice de Massa Corporal e da velocidade de crescimento em ambos os grupos de tratamento, desde o início do estudo até à Semana</w:t>
      </w:r>
      <w:r>
        <w:rPr>
          <w:sz w:val="22"/>
          <w:szCs w:val="22"/>
        </w:rPr>
        <w:t>s</w:t>
      </w:r>
      <w:r w:rsidRPr="00CC4B51">
        <w:rPr>
          <w:sz w:val="22"/>
          <w:szCs w:val="22"/>
        </w:rPr>
        <w:t xml:space="preserve"> 26 e 52.</w:t>
      </w:r>
    </w:p>
    <w:p w14:paraId="41C15349" w14:textId="77777777" w:rsidR="00D94630" w:rsidRPr="00CC4B51" w:rsidRDefault="00D94630" w:rsidP="00D94630">
      <w:pPr>
        <w:keepLines/>
        <w:tabs>
          <w:tab w:val="left" w:pos="-1080"/>
        </w:tabs>
        <w:autoSpaceDE w:val="0"/>
        <w:autoSpaceDN w:val="0"/>
        <w:adjustRightInd w:val="0"/>
        <w:rPr>
          <w:sz w:val="22"/>
          <w:szCs w:val="22"/>
        </w:rPr>
      </w:pPr>
    </w:p>
    <w:p w14:paraId="30A4F34F" w14:textId="77777777" w:rsidR="00D94630" w:rsidRPr="00CC4B51" w:rsidRDefault="00615769" w:rsidP="00D94630">
      <w:pPr>
        <w:rPr>
          <w:sz w:val="22"/>
          <w:szCs w:val="22"/>
        </w:rPr>
      </w:pPr>
      <w:r w:rsidRPr="00CC4B51">
        <w:rPr>
          <w:sz w:val="22"/>
          <w:szCs w:val="22"/>
        </w:rPr>
        <w:t>Foram também observadas melhorias estatisticamente e clinicamente significativas nos parâmetros de qualidade de vida (incluindo IMPACT III) em ambos os grupos de tratamento.</w:t>
      </w:r>
    </w:p>
    <w:p w14:paraId="4316E4BB" w14:textId="77777777" w:rsidR="00D94630" w:rsidRPr="00CC4B51" w:rsidRDefault="00D94630" w:rsidP="00D94630">
      <w:pPr>
        <w:rPr>
          <w:b/>
          <w:bCs/>
          <w:sz w:val="22"/>
          <w:szCs w:val="22"/>
        </w:rPr>
      </w:pPr>
    </w:p>
    <w:p w14:paraId="6051BB44" w14:textId="77777777" w:rsidR="00D94630" w:rsidRPr="00CC4B51" w:rsidRDefault="00615769" w:rsidP="00D94630">
      <w:pPr>
        <w:rPr>
          <w:b/>
          <w:bCs/>
          <w:sz w:val="22"/>
          <w:szCs w:val="22"/>
        </w:rPr>
      </w:pPr>
      <w:r w:rsidRPr="00CC4B51">
        <w:rPr>
          <w:sz w:val="22"/>
          <w:szCs w:val="22"/>
        </w:rPr>
        <w:t>Cem (n=100) doentes do Estudo de DC Pediátrica continuaram num estudo a longo prazo de extensão de fase aberta. Após 5 anos de tratamento com adalimumab, 74,0</w:t>
      </w:r>
      <w:r>
        <w:rPr>
          <w:sz w:val="22"/>
          <w:szCs w:val="22"/>
        </w:rPr>
        <w:t>%</w:t>
      </w:r>
      <w:r w:rsidRPr="00CC4B51">
        <w:rPr>
          <w:sz w:val="22"/>
          <w:szCs w:val="22"/>
        </w:rPr>
        <w:t xml:space="preserve"> (37/50) dos 50 doentes que permaneceram no estudo continuaram em remissão clínica e 92,0</w:t>
      </w:r>
      <w:r>
        <w:rPr>
          <w:sz w:val="22"/>
          <w:szCs w:val="22"/>
        </w:rPr>
        <w:t>%</w:t>
      </w:r>
      <w:r w:rsidRPr="00CC4B51">
        <w:rPr>
          <w:sz w:val="22"/>
          <w:szCs w:val="22"/>
        </w:rPr>
        <w:t xml:space="preserve"> (46/50) dos doentes mantiveram resposta clínica segundo a escala PCDAI.  </w:t>
      </w:r>
    </w:p>
    <w:p w14:paraId="3A89F7AB" w14:textId="77777777" w:rsidR="00D94630" w:rsidRDefault="00D94630" w:rsidP="00D94630">
      <w:pPr>
        <w:rPr>
          <w:b/>
          <w:bCs/>
          <w:sz w:val="22"/>
          <w:szCs w:val="22"/>
        </w:rPr>
      </w:pPr>
    </w:p>
    <w:p w14:paraId="59EF3E66" w14:textId="77777777" w:rsidR="005B24D2" w:rsidRPr="00AA6D42" w:rsidRDefault="00615769" w:rsidP="005B24D2">
      <w:pPr>
        <w:keepNext/>
        <w:rPr>
          <w:bCs/>
          <w:i/>
          <w:sz w:val="22"/>
          <w:szCs w:val="22"/>
        </w:rPr>
      </w:pPr>
      <w:r w:rsidRPr="00AA6D42">
        <w:rPr>
          <w:bCs/>
          <w:i/>
          <w:sz w:val="22"/>
          <w:szCs w:val="22"/>
        </w:rPr>
        <w:t>Colite ulcerosa pediátrica</w:t>
      </w:r>
    </w:p>
    <w:p w14:paraId="4A39C2BE" w14:textId="77777777" w:rsidR="005B24D2" w:rsidRPr="00AA6D42" w:rsidRDefault="005B24D2" w:rsidP="005B24D2">
      <w:pPr>
        <w:keepNext/>
        <w:rPr>
          <w:bCs/>
          <w:i/>
          <w:sz w:val="22"/>
          <w:szCs w:val="22"/>
        </w:rPr>
      </w:pPr>
    </w:p>
    <w:p w14:paraId="24F0DE3F" w14:textId="77777777" w:rsidR="002F486F" w:rsidRPr="00AA6D42" w:rsidRDefault="00615769" w:rsidP="002F486F">
      <w:pPr>
        <w:rPr>
          <w:sz w:val="22"/>
          <w:szCs w:val="22"/>
        </w:rPr>
      </w:pPr>
      <w:r w:rsidRPr="00AA6D42">
        <w:rPr>
          <w:sz w:val="22"/>
          <w:szCs w:val="22"/>
        </w:rPr>
        <w:t>A segurança e eficácia de Humira foram avaliadas num ensaio multicêntrico, aleatorizado, em dupla ocultação, em 93 doentes pediátricos com idades compreendidas entre os 5 e os 17 anos com colite ulcerosa moderada a grave (pontuação Mayo de 6 a 12 com subpontuação endoscópica de 2 a 3 pontos, confirmada por endoscopia avaliada centralmente) que apresentavam uma resposta inadequada ou intolerância à terapêutica convencional. Aproximadamente 16% dos doentes no estudo não tinham respondido à terap</w:t>
      </w:r>
      <w:r>
        <w:rPr>
          <w:sz w:val="22"/>
          <w:szCs w:val="22"/>
        </w:rPr>
        <w:t>êutica prévia com um anti</w:t>
      </w:r>
      <w:r>
        <w:rPr>
          <w:sz w:val="22"/>
          <w:szCs w:val="22"/>
        </w:rPr>
        <w:noBreakHyphen/>
      </w:r>
      <w:r w:rsidRPr="00AA6D42">
        <w:rPr>
          <w:sz w:val="22"/>
          <w:szCs w:val="22"/>
        </w:rPr>
        <w:t xml:space="preserve">TNF. Foi permitido que os doentes que recebiam corticosteroides no momento </w:t>
      </w:r>
      <w:r>
        <w:rPr>
          <w:sz w:val="22"/>
          <w:szCs w:val="22"/>
        </w:rPr>
        <w:t>do recrutamento</w:t>
      </w:r>
      <w:r w:rsidRPr="00AA6D42">
        <w:rPr>
          <w:sz w:val="22"/>
          <w:szCs w:val="22"/>
        </w:rPr>
        <w:t xml:space="preserve"> reduzissem a terapêutica com corticosteroides após a Semana 4.</w:t>
      </w:r>
    </w:p>
    <w:p w14:paraId="478AEDF4" w14:textId="77777777" w:rsidR="002F486F" w:rsidRPr="00AA6D42" w:rsidRDefault="002F486F" w:rsidP="002F486F">
      <w:pPr>
        <w:rPr>
          <w:sz w:val="22"/>
          <w:szCs w:val="22"/>
        </w:rPr>
      </w:pPr>
    </w:p>
    <w:p w14:paraId="37D78607" w14:textId="77777777" w:rsidR="002F486F" w:rsidRPr="00AA6D42" w:rsidRDefault="00615769" w:rsidP="002F486F">
      <w:pPr>
        <w:rPr>
          <w:sz w:val="22"/>
          <w:szCs w:val="22"/>
        </w:rPr>
      </w:pPr>
      <w:r w:rsidRPr="00AA6D42">
        <w:rPr>
          <w:rStyle w:val="normaltextrun"/>
          <w:sz w:val="22"/>
          <w:szCs w:val="22"/>
          <w:shd w:val="clear" w:color="auto" w:fill="FFFFFF"/>
        </w:rPr>
        <w:t>No período de indução do estudo, 77 doentes foram aleatorizados numa proporção de 3:2 para receberem o tratamento em dupla ocultação com Humira numa dose de indução de 2,4 mg/kg (</w:t>
      </w:r>
      <w:r>
        <w:rPr>
          <w:rStyle w:val="normaltextrun"/>
          <w:sz w:val="22"/>
          <w:szCs w:val="22"/>
          <w:shd w:val="clear" w:color="auto" w:fill="FFFFFF"/>
        </w:rPr>
        <w:t>máximo de </w:t>
      </w:r>
      <w:r w:rsidRPr="00AA6D42">
        <w:rPr>
          <w:rStyle w:val="normaltextrun"/>
          <w:sz w:val="22"/>
          <w:szCs w:val="22"/>
          <w:shd w:val="clear" w:color="auto" w:fill="FFFFFF"/>
        </w:rPr>
        <w:t xml:space="preserve">160 mg) na Semana 0 e </w:t>
      </w:r>
      <w:r>
        <w:rPr>
          <w:rStyle w:val="normaltextrun"/>
          <w:sz w:val="22"/>
          <w:szCs w:val="22"/>
          <w:shd w:val="clear" w:color="auto" w:fill="FFFFFF"/>
        </w:rPr>
        <w:t xml:space="preserve">na </w:t>
      </w:r>
      <w:r w:rsidRPr="00AA6D42">
        <w:rPr>
          <w:rStyle w:val="normaltextrun"/>
          <w:sz w:val="22"/>
          <w:szCs w:val="22"/>
          <w:shd w:val="clear" w:color="auto" w:fill="FFFFFF"/>
        </w:rPr>
        <w:t>Semana 1, e de 1,2 mg/kg (máximo</w:t>
      </w:r>
      <w:r>
        <w:rPr>
          <w:rStyle w:val="normaltextrun"/>
          <w:sz w:val="22"/>
          <w:szCs w:val="22"/>
          <w:shd w:val="clear" w:color="auto" w:fill="FFFFFF"/>
        </w:rPr>
        <w:t xml:space="preserve"> de </w:t>
      </w:r>
      <w:r w:rsidRPr="00AA6D42">
        <w:rPr>
          <w:rStyle w:val="normaltextrun"/>
          <w:sz w:val="22"/>
          <w:szCs w:val="22"/>
          <w:shd w:val="clear" w:color="auto" w:fill="FFFFFF"/>
        </w:rPr>
        <w:t>80 mg) na Semana 2; ou numa dose de indução de 2,4 mg/kg (</w:t>
      </w:r>
      <w:r>
        <w:rPr>
          <w:rStyle w:val="normaltextrun"/>
          <w:sz w:val="22"/>
          <w:szCs w:val="22"/>
          <w:shd w:val="clear" w:color="auto" w:fill="FFFFFF"/>
        </w:rPr>
        <w:t>máximo de </w:t>
      </w:r>
      <w:r w:rsidRPr="00AA6D42">
        <w:rPr>
          <w:rStyle w:val="normaltextrun"/>
          <w:sz w:val="22"/>
          <w:szCs w:val="22"/>
          <w:shd w:val="clear" w:color="auto" w:fill="FFFFFF"/>
        </w:rPr>
        <w:t>160 mg) na Semana 0, placebo na Semana 1, e 1,2 mg/kg (</w:t>
      </w:r>
      <w:r>
        <w:rPr>
          <w:rStyle w:val="normaltextrun"/>
          <w:sz w:val="22"/>
          <w:szCs w:val="22"/>
          <w:shd w:val="clear" w:color="auto" w:fill="FFFFFF"/>
        </w:rPr>
        <w:t>máximo de </w:t>
      </w:r>
      <w:r w:rsidRPr="00AA6D42">
        <w:rPr>
          <w:rStyle w:val="normaltextrun"/>
          <w:sz w:val="22"/>
          <w:szCs w:val="22"/>
          <w:shd w:val="clear" w:color="auto" w:fill="FFFFFF"/>
        </w:rPr>
        <w:t>80 mg) na Semana 2. Ambos os grupos receberam 0,6 mg/kg (</w:t>
      </w:r>
      <w:r>
        <w:rPr>
          <w:rStyle w:val="normaltextrun"/>
          <w:sz w:val="22"/>
          <w:szCs w:val="22"/>
          <w:shd w:val="clear" w:color="auto" w:fill="FFFFFF"/>
        </w:rPr>
        <w:t>máximo de </w:t>
      </w:r>
      <w:r w:rsidRPr="00AA6D42">
        <w:rPr>
          <w:rStyle w:val="normaltextrun"/>
          <w:sz w:val="22"/>
          <w:szCs w:val="22"/>
          <w:shd w:val="clear" w:color="auto" w:fill="FFFFFF"/>
        </w:rPr>
        <w:t xml:space="preserve">40 mg) na Semana 4 e na Semana 6. Após uma alteração </w:t>
      </w:r>
      <w:r>
        <w:rPr>
          <w:rStyle w:val="normaltextrun"/>
          <w:sz w:val="22"/>
          <w:szCs w:val="22"/>
          <w:shd w:val="clear" w:color="auto" w:fill="FFFFFF"/>
        </w:rPr>
        <w:t>ao desenho</w:t>
      </w:r>
      <w:r w:rsidRPr="00AA6D42">
        <w:rPr>
          <w:rStyle w:val="normaltextrun"/>
          <w:sz w:val="22"/>
          <w:szCs w:val="22"/>
          <w:shd w:val="clear" w:color="auto" w:fill="FFFFFF"/>
        </w:rPr>
        <w:t xml:space="preserve"> do estudo, os restantes 16 doentes </w:t>
      </w:r>
      <w:r>
        <w:rPr>
          <w:rStyle w:val="normaltextrun"/>
          <w:sz w:val="22"/>
          <w:szCs w:val="22"/>
          <w:shd w:val="clear" w:color="auto" w:fill="FFFFFF"/>
        </w:rPr>
        <w:t>envolvidos</w:t>
      </w:r>
      <w:r w:rsidRPr="00AA6D42">
        <w:rPr>
          <w:rStyle w:val="normaltextrun"/>
          <w:sz w:val="22"/>
          <w:szCs w:val="22"/>
          <w:shd w:val="clear" w:color="auto" w:fill="FFFFFF"/>
        </w:rPr>
        <w:t xml:space="preserve"> no período de indução receberam tratamento </w:t>
      </w:r>
      <w:r>
        <w:rPr>
          <w:rStyle w:val="normaltextrun"/>
          <w:sz w:val="22"/>
          <w:szCs w:val="22"/>
          <w:shd w:val="clear" w:color="auto" w:fill="FFFFFF"/>
        </w:rPr>
        <w:t>em fase aberta</w:t>
      </w:r>
      <w:r w:rsidRPr="00AA6D42">
        <w:rPr>
          <w:rStyle w:val="normaltextrun"/>
          <w:sz w:val="22"/>
          <w:szCs w:val="22"/>
          <w:shd w:val="clear" w:color="auto" w:fill="FFFFFF"/>
        </w:rPr>
        <w:t xml:space="preserve"> com Humira numa dose de indução de 2,4 mg/kg (</w:t>
      </w:r>
      <w:r>
        <w:rPr>
          <w:rStyle w:val="normaltextrun"/>
          <w:sz w:val="22"/>
          <w:szCs w:val="22"/>
          <w:shd w:val="clear" w:color="auto" w:fill="FFFFFF"/>
        </w:rPr>
        <w:t>máximo de </w:t>
      </w:r>
      <w:r w:rsidRPr="00AA6D42">
        <w:rPr>
          <w:rStyle w:val="normaltextrun"/>
          <w:sz w:val="22"/>
          <w:szCs w:val="22"/>
          <w:shd w:val="clear" w:color="auto" w:fill="FFFFFF"/>
        </w:rPr>
        <w:t xml:space="preserve">160 mg) na Semana 0 e </w:t>
      </w:r>
      <w:r>
        <w:rPr>
          <w:rStyle w:val="normaltextrun"/>
          <w:sz w:val="22"/>
          <w:szCs w:val="22"/>
          <w:shd w:val="clear" w:color="auto" w:fill="FFFFFF"/>
        </w:rPr>
        <w:t xml:space="preserve">na </w:t>
      </w:r>
      <w:r w:rsidRPr="00AA6D42">
        <w:rPr>
          <w:rStyle w:val="normaltextrun"/>
          <w:sz w:val="22"/>
          <w:szCs w:val="22"/>
          <w:shd w:val="clear" w:color="auto" w:fill="FFFFFF"/>
        </w:rPr>
        <w:t>Semana 1, e de 1,2 mg/kg (</w:t>
      </w:r>
      <w:r>
        <w:rPr>
          <w:rStyle w:val="normaltextrun"/>
          <w:sz w:val="22"/>
          <w:szCs w:val="22"/>
          <w:shd w:val="clear" w:color="auto" w:fill="FFFFFF"/>
        </w:rPr>
        <w:t>m</w:t>
      </w:r>
      <w:r>
        <w:rPr>
          <w:rStyle w:val="normaltextrun"/>
          <w:sz w:val="22"/>
          <w:szCs w:val="22"/>
          <w:shd w:val="clear" w:color="auto" w:fill="FFFFFF"/>
        </w:rPr>
        <w:t>áximo de </w:t>
      </w:r>
      <w:r w:rsidRPr="00AA6D42">
        <w:rPr>
          <w:rStyle w:val="normaltextrun"/>
          <w:sz w:val="22"/>
          <w:szCs w:val="22"/>
          <w:shd w:val="clear" w:color="auto" w:fill="FFFFFF"/>
        </w:rPr>
        <w:t>80 mg) na Semana 2.</w:t>
      </w:r>
      <w:r w:rsidRPr="00AA6D42">
        <w:rPr>
          <w:rStyle w:val="eop"/>
          <w:sz w:val="22"/>
          <w:szCs w:val="22"/>
          <w:shd w:val="clear" w:color="auto" w:fill="FFFFFF"/>
        </w:rPr>
        <w:t> </w:t>
      </w:r>
    </w:p>
    <w:p w14:paraId="623D92F5" w14:textId="77777777" w:rsidR="002F486F" w:rsidRPr="00AA6D42" w:rsidRDefault="002F486F" w:rsidP="002F486F">
      <w:pPr>
        <w:rPr>
          <w:sz w:val="22"/>
          <w:szCs w:val="22"/>
        </w:rPr>
      </w:pPr>
    </w:p>
    <w:p w14:paraId="6F3BA7BA" w14:textId="77777777" w:rsidR="002F486F" w:rsidRPr="00AA6D42" w:rsidRDefault="00615769" w:rsidP="002F486F">
      <w:pPr>
        <w:rPr>
          <w:rStyle w:val="eop"/>
          <w:sz w:val="22"/>
          <w:szCs w:val="22"/>
          <w:shd w:val="clear" w:color="auto" w:fill="FFFFFF"/>
        </w:rPr>
      </w:pPr>
      <w:r w:rsidRPr="00AA6D42">
        <w:rPr>
          <w:rStyle w:val="normaltextrun"/>
          <w:sz w:val="22"/>
          <w:szCs w:val="22"/>
          <w:shd w:val="clear" w:color="auto" w:fill="FFFFFF"/>
        </w:rPr>
        <w:t xml:space="preserve">Na Semana 8, 62 doentes que demonstraram resposta clínica de acordo com a pontuação parcial de Mayo (PMS; definida como uma diminuição na PMS ≥ 2 pontos e ≥ 30% em comparação com os valores </w:t>
      </w:r>
      <w:r>
        <w:rPr>
          <w:rStyle w:val="normaltextrun"/>
          <w:sz w:val="22"/>
          <w:szCs w:val="22"/>
          <w:shd w:val="clear" w:color="auto" w:fill="FFFFFF"/>
        </w:rPr>
        <w:t>iniciais</w:t>
      </w:r>
      <w:r w:rsidRPr="00AA6D42">
        <w:rPr>
          <w:rStyle w:val="normaltextrun"/>
          <w:sz w:val="22"/>
          <w:szCs w:val="22"/>
          <w:shd w:val="clear" w:color="auto" w:fill="FFFFFF"/>
        </w:rPr>
        <w:t>) foram aleatorizados para receberem tratamento de manutenção em dupla ocultação com Humira numa dose de 0,6 mg/kg (</w:t>
      </w:r>
      <w:r>
        <w:rPr>
          <w:rStyle w:val="normaltextrun"/>
          <w:sz w:val="22"/>
          <w:szCs w:val="22"/>
          <w:shd w:val="clear" w:color="auto" w:fill="FFFFFF"/>
        </w:rPr>
        <w:t>máximo de 40 mg) semanalmente</w:t>
      </w:r>
      <w:r w:rsidRPr="00AA6D42">
        <w:rPr>
          <w:rStyle w:val="normaltextrun"/>
          <w:sz w:val="22"/>
          <w:szCs w:val="22"/>
          <w:shd w:val="clear" w:color="auto" w:fill="FFFFFF"/>
        </w:rPr>
        <w:t xml:space="preserve">, ou </w:t>
      </w:r>
      <w:r>
        <w:rPr>
          <w:rStyle w:val="normaltextrun"/>
          <w:sz w:val="22"/>
          <w:szCs w:val="22"/>
          <w:shd w:val="clear" w:color="auto" w:fill="FFFFFF"/>
        </w:rPr>
        <w:t>n</w:t>
      </w:r>
      <w:r w:rsidRPr="00AA6D42">
        <w:rPr>
          <w:rStyle w:val="normaltextrun"/>
          <w:sz w:val="22"/>
          <w:szCs w:val="22"/>
          <w:shd w:val="clear" w:color="auto" w:fill="FFFFFF"/>
        </w:rPr>
        <w:t>uma dose de manutenção de 0,6 mg/kg (</w:t>
      </w:r>
      <w:r>
        <w:rPr>
          <w:rStyle w:val="normaltextrun"/>
          <w:sz w:val="22"/>
          <w:szCs w:val="22"/>
          <w:shd w:val="clear" w:color="auto" w:fill="FFFFFF"/>
        </w:rPr>
        <w:t>máximo</w:t>
      </w:r>
      <w:r w:rsidRPr="00AA6D42">
        <w:rPr>
          <w:rStyle w:val="normaltextrun"/>
          <w:sz w:val="22"/>
          <w:szCs w:val="22"/>
          <w:shd w:val="clear" w:color="auto" w:fill="FFFFFF"/>
        </w:rPr>
        <w:t xml:space="preserve"> d</w:t>
      </w:r>
      <w:r>
        <w:rPr>
          <w:rStyle w:val="normaltextrun"/>
          <w:sz w:val="22"/>
          <w:szCs w:val="22"/>
          <w:shd w:val="clear" w:color="auto" w:fill="FFFFFF"/>
        </w:rPr>
        <w:t>e 40 mg) em semanas alternadas</w:t>
      </w:r>
      <w:r w:rsidRPr="00AA6D42">
        <w:rPr>
          <w:rStyle w:val="normaltextrun"/>
          <w:sz w:val="22"/>
          <w:szCs w:val="22"/>
          <w:shd w:val="clear" w:color="auto" w:fill="FFFFFF"/>
        </w:rPr>
        <w:t xml:space="preserve">. Antes de uma alteração </w:t>
      </w:r>
      <w:r>
        <w:rPr>
          <w:rStyle w:val="normaltextrun"/>
          <w:sz w:val="22"/>
          <w:szCs w:val="22"/>
          <w:shd w:val="clear" w:color="auto" w:fill="FFFFFF"/>
        </w:rPr>
        <w:t>ao desenho</w:t>
      </w:r>
      <w:r w:rsidRPr="00AA6D42">
        <w:rPr>
          <w:rStyle w:val="normaltextrun"/>
          <w:sz w:val="22"/>
          <w:szCs w:val="22"/>
          <w:shd w:val="clear" w:color="auto" w:fill="FFFFFF"/>
        </w:rPr>
        <w:t xml:space="preserve"> do estudo, 12 doentes adicionais que demonstraram resposta clínica de acordo com a PMS foram aleatorizados para receberem placebo, mas não foram incluídos na análise </w:t>
      </w:r>
      <w:r>
        <w:rPr>
          <w:rStyle w:val="normaltextrun"/>
          <w:sz w:val="22"/>
          <w:szCs w:val="22"/>
          <w:shd w:val="clear" w:color="auto" w:fill="FFFFFF"/>
        </w:rPr>
        <w:t>confirmatória</w:t>
      </w:r>
      <w:r w:rsidRPr="00AA6D42">
        <w:rPr>
          <w:rStyle w:val="normaltextrun"/>
          <w:sz w:val="22"/>
          <w:szCs w:val="22"/>
          <w:shd w:val="clear" w:color="auto" w:fill="FFFFFF"/>
        </w:rPr>
        <w:t xml:space="preserve"> da eficácia.</w:t>
      </w:r>
    </w:p>
    <w:p w14:paraId="5E9E8BE5" w14:textId="77777777" w:rsidR="002F486F" w:rsidRDefault="002F486F" w:rsidP="005B24D2">
      <w:pPr>
        <w:rPr>
          <w:sz w:val="22"/>
          <w:szCs w:val="22"/>
        </w:rPr>
      </w:pPr>
    </w:p>
    <w:p w14:paraId="0369BDD1" w14:textId="77777777" w:rsidR="005B24D2" w:rsidRPr="00675DF0" w:rsidRDefault="00615769" w:rsidP="005B24D2">
      <w:pPr>
        <w:rPr>
          <w:sz w:val="22"/>
          <w:szCs w:val="22"/>
        </w:rPr>
      </w:pPr>
      <w:r w:rsidRPr="00675DF0">
        <w:rPr>
          <w:sz w:val="22"/>
          <w:szCs w:val="22"/>
        </w:rPr>
        <w:t>O agravamento da doença foi definido como um aumento na PMS de, pelo menos, 3 pontos (para doentes com uma PMS de 0 a 2 na Semana 8), 2 pontos (para doentes com uma PMS de 3 a 4 na Semana 8) ou 1 ponto (para doentes com uma PMS de 5 a 6 na Semana 8). </w:t>
      </w:r>
    </w:p>
    <w:p w14:paraId="0AA3A471" w14:textId="77777777" w:rsidR="005B24D2" w:rsidRPr="00675DF0" w:rsidRDefault="005B24D2" w:rsidP="005B24D2">
      <w:pPr>
        <w:rPr>
          <w:sz w:val="22"/>
          <w:szCs w:val="22"/>
        </w:rPr>
      </w:pPr>
    </w:p>
    <w:p w14:paraId="42E8284A" w14:textId="77777777" w:rsidR="005B24D2" w:rsidRPr="00675DF0" w:rsidRDefault="00615769" w:rsidP="005B24D2">
      <w:pPr>
        <w:rPr>
          <w:sz w:val="22"/>
          <w:szCs w:val="22"/>
        </w:rPr>
      </w:pPr>
      <w:r w:rsidRPr="00675DF0">
        <w:rPr>
          <w:sz w:val="22"/>
          <w:szCs w:val="22"/>
        </w:rPr>
        <w:t>Os doentes que cumpriram os critérios de agravamento da doença na ou após a Semana 12 foram aleatorizados para receberem uma dose de reindução de 2,4 mg/kg (</w:t>
      </w:r>
      <w:r>
        <w:rPr>
          <w:sz w:val="22"/>
          <w:szCs w:val="22"/>
        </w:rPr>
        <w:t>máximo de </w:t>
      </w:r>
      <w:r w:rsidRPr="00675DF0">
        <w:rPr>
          <w:sz w:val="22"/>
          <w:szCs w:val="22"/>
        </w:rPr>
        <w:t>160 mg) ou uma dose de 0,6 mg/kg (</w:t>
      </w:r>
      <w:r>
        <w:rPr>
          <w:sz w:val="22"/>
          <w:szCs w:val="22"/>
        </w:rPr>
        <w:t>máximo de </w:t>
      </w:r>
      <w:r w:rsidRPr="00675DF0">
        <w:rPr>
          <w:sz w:val="22"/>
          <w:szCs w:val="22"/>
        </w:rPr>
        <w:t>40 mg) e continuaram a receber posteriormente a respetiva dose de manutenção. </w:t>
      </w:r>
    </w:p>
    <w:p w14:paraId="5F5E8349" w14:textId="77777777" w:rsidR="005B24D2" w:rsidRPr="00A63F1F" w:rsidRDefault="00615769" w:rsidP="00B538F3">
      <w:pPr>
        <w:pStyle w:val="gtcbodytext"/>
        <w:keepNext/>
        <w:rPr>
          <w:i/>
          <w:sz w:val="22"/>
          <w:szCs w:val="22"/>
          <w:u w:val="single"/>
          <w:lang w:val="pt-PT"/>
        </w:rPr>
      </w:pPr>
      <w:r w:rsidRPr="00A63F1F">
        <w:rPr>
          <w:i/>
          <w:sz w:val="22"/>
          <w:szCs w:val="22"/>
          <w:u w:val="single"/>
          <w:lang w:val="pt-PT"/>
        </w:rPr>
        <w:t>Resultados de eficácia</w:t>
      </w:r>
    </w:p>
    <w:p w14:paraId="47DF70A5" w14:textId="77777777" w:rsidR="005B24D2" w:rsidRPr="00140561" w:rsidRDefault="00615769" w:rsidP="005B24D2">
      <w:pPr>
        <w:textAlignment w:val="baseline"/>
        <w:rPr>
          <w:rFonts w:ascii="Segoe UI" w:hAnsi="Segoe UI" w:cs="Segoe UI"/>
          <w:sz w:val="22"/>
          <w:szCs w:val="22"/>
          <w:lang w:eastAsia="en-GB"/>
        </w:rPr>
      </w:pPr>
      <w:r w:rsidRPr="00140561">
        <w:rPr>
          <w:sz w:val="22"/>
          <w:szCs w:val="22"/>
        </w:rPr>
        <w:t>Os objetivos coprimários do estudo foram a remissão clínica de acordo com a PMS (definida como PMS ≤ 2 e sem subpontuação individual &gt; 1) na Semana 8, e a remissão clínica de acordo com a FMS (pontuação completa de Mayo) (definida como uma pontuação de Mayo ≤ 2 e sem subpontuação individual &gt; 1) na Semana 52 em doentes que obtiveram resposta clínica de acordo com a PMS na Semana 8.</w:t>
      </w:r>
    </w:p>
    <w:p w14:paraId="61F13DB6" w14:textId="77777777" w:rsidR="002F486F" w:rsidRPr="00140561" w:rsidRDefault="00615769" w:rsidP="002F486F">
      <w:pPr>
        <w:textAlignment w:val="baseline"/>
        <w:rPr>
          <w:sz w:val="22"/>
          <w:szCs w:val="22"/>
        </w:rPr>
      </w:pPr>
      <w:r w:rsidRPr="00140561">
        <w:rPr>
          <w:sz w:val="22"/>
          <w:szCs w:val="22"/>
        </w:rPr>
        <w:t>As taxas de remissão clínica de acordo com a PMS na Semana 8 para os doentes em cada um dos grupos de indução</w:t>
      </w:r>
      <w:r>
        <w:rPr>
          <w:sz w:val="22"/>
          <w:szCs w:val="22"/>
        </w:rPr>
        <w:t xml:space="preserve"> de Humira</w:t>
      </w:r>
      <w:r w:rsidRPr="00140561">
        <w:rPr>
          <w:sz w:val="22"/>
          <w:szCs w:val="22"/>
        </w:rPr>
        <w:t xml:space="preserve"> em dupla ocultação</w:t>
      </w:r>
      <w:r>
        <w:rPr>
          <w:sz w:val="22"/>
          <w:szCs w:val="22"/>
        </w:rPr>
        <w:t xml:space="preserve"> são apresentadas na Tabela 21</w:t>
      </w:r>
      <w:r w:rsidRPr="00140561">
        <w:rPr>
          <w:sz w:val="22"/>
          <w:szCs w:val="22"/>
        </w:rPr>
        <w:t>. </w:t>
      </w:r>
    </w:p>
    <w:p w14:paraId="7ED94BCD" w14:textId="77777777" w:rsidR="005B24D2" w:rsidRPr="00140561" w:rsidRDefault="00615769" w:rsidP="002F486F">
      <w:pPr>
        <w:pStyle w:val="gtcbodytext"/>
        <w:keepNext/>
        <w:jc w:val="center"/>
        <w:rPr>
          <w:sz w:val="22"/>
          <w:szCs w:val="22"/>
          <w:lang w:val="pt-PT"/>
        </w:rPr>
      </w:pPr>
      <w:r w:rsidRPr="00140561">
        <w:rPr>
          <w:b/>
          <w:sz w:val="22"/>
          <w:szCs w:val="22"/>
          <w:lang w:val="pt-PT"/>
        </w:rPr>
        <w:t>Tabela</w:t>
      </w:r>
      <w:r>
        <w:rPr>
          <w:b/>
          <w:sz w:val="22"/>
          <w:szCs w:val="22"/>
          <w:lang w:val="pt-PT"/>
        </w:rPr>
        <w:t> 21</w:t>
      </w:r>
      <w:r w:rsidRPr="00140561">
        <w:rPr>
          <w:b/>
          <w:sz w:val="22"/>
          <w:szCs w:val="22"/>
          <w:lang w:val="pt-PT"/>
        </w:rPr>
        <w:t xml:space="preserve">: Remissão </w:t>
      </w:r>
      <w:r w:rsidR="002F486F">
        <w:rPr>
          <w:b/>
          <w:sz w:val="22"/>
          <w:szCs w:val="22"/>
          <w:lang w:val="pt-PT"/>
        </w:rPr>
        <w:t>C</w:t>
      </w:r>
      <w:r w:rsidR="002F486F" w:rsidRPr="00140561">
        <w:rPr>
          <w:b/>
          <w:sz w:val="22"/>
          <w:szCs w:val="22"/>
          <w:lang w:val="pt-PT"/>
        </w:rPr>
        <w:t xml:space="preserve">línica de acordo com a PMS </w:t>
      </w:r>
      <w:r w:rsidR="002F486F">
        <w:rPr>
          <w:b/>
          <w:sz w:val="22"/>
          <w:szCs w:val="22"/>
          <w:lang w:val="pt-PT"/>
        </w:rPr>
        <w:t>à Semana 8</w:t>
      </w:r>
    </w:p>
    <w:tbl>
      <w:tblPr>
        <w:tblW w:w="4246" w:type="pct"/>
        <w:jc w:val="center"/>
        <w:tblLook w:val="04A0" w:firstRow="1" w:lastRow="0" w:firstColumn="1" w:lastColumn="0" w:noHBand="0" w:noVBand="1"/>
      </w:tblPr>
      <w:tblGrid>
        <w:gridCol w:w="1904"/>
        <w:gridCol w:w="2867"/>
        <w:gridCol w:w="2919"/>
      </w:tblGrid>
      <w:tr w:rsidR="00A7162A" w14:paraId="7F3E9519" w14:textId="77777777" w:rsidTr="00AB53A0">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13DEBC2" w14:textId="77777777" w:rsidR="005B24D2" w:rsidRPr="00140561" w:rsidRDefault="005B24D2" w:rsidP="002F486F">
            <w:pPr>
              <w:keepNext/>
              <w:rPr>
                <w:sz w:val="22"/>
                <w:szCs w:val="22"/>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F8A6E14" w14:textId="77777777" w:rsidR="005B24D2" w:rsidRPr="005B24D2" w:rsidRDefault="00615769" w:rsidP="002F486F">
            <w:pPr>
              <w:pStyle w:val="paragraph"/>
              <w:keepNext/>
              <w:spacing w:before="0" w:beforeAutospacing="0" w:after="0" w:afterAutospacing="0" w:line="276" w:lineRule="auto"/>
              <w:jc w:val="center"/>
              <w:textAlignment w:val="baseline"/>
              <w:rPr>
                <w:rFonts w:ascii="Segoe UI" w:hAnsi="Segoe UI" w:cs="Segoe UI"/>
                <w:sz w:val="22"/>
                <w:szCs w:val="22"/>
                <w:lang w:val="pt-PT"/>
              </w:rPr>
            </w:pPr>
            <w:r w:rsidRPr="005B24D2">
              <w:rPr>
                <w:rStyle w:val="spellingerror"/>
                <w:rFonts w:cs="Calibri"/>
                <w:b/>
                <w:bCs/>
                <w:sz w:val="22"/>
                <w:szCs w:val="22"/>
                <w:lang w:val="pt-PT"/>
              </w:rPr>
              <w:t>Humira</w:t>
            </w:r>
            <w:r w:rsidRPr="005B24D2">
              <w:rPr>
                <w:rStyle w:val="spellingerror"/>
                <w:rFonts w:cs="Calibri"/>
                <w:b/>
                <w:sz w:val="22"/>
                <w:szCs w:val="22"/>
                <w:vertAlign w:val="superscript"/>
                <w:lang w:val="pt-PT"/>
              </w:rPr>
              <w:t>a</w:t>
            </w:r>
            <w:r w:rsidRPr="005B24D2">
              <w:rPr>
                <w:rStyle w:val="eop"/>
                <w:rFonts w:cs="Calibri"/>
                <w:sz w:val="22"/>
                <w:szCs w:val="22"/>
                <w:lang w:val="pt-PT"/>
              </w:rPr>
              <w:t> </w:t>
            </w:r>
          </w:p>
          <w:p w14:paraId="2CADF82B" w14:textId="77777777" w:rsidR="005B24D2" w:rsidRPr="002F486F" w:rsidRDefault="00615769" w:rsidP="002F486F">
            <w:pPr>
              <w:keepNext/>
              <w:spacing w:line="276" w:lineRule="auto"/>
              <w:jc w:val="center"/>
              <w:rPr>
                <w:rStyle w:val="eop"/>
                <w:rFonts w:cs="Calibri"/>
                <w:sz w:val="22"/>
                <w:szCs w:val="22"/>
              </w:rPr>
            </w:pPr>
            <w:r w:rsidRPr="00140561">
              <w:rPr>
                <w:rStyle w:val="normaltextrun"/>
                <w:rFonts w:cs="Calibri"/>
                <w:b/>
                <w:bCs/>
                <w:sz w:val="22"/>
                <w:szCs w:val="22"/>
              </w:rPr>
              <w:t>Máximo de 160 mg na Semana 0 / Placebo na Semana 1</w:t>
            </w:r>
            <w:r w:rsidRPr="00140561">
              <w:rPr>
                <w:rStyle w:val="eop"/>
                <w:rFonts w:cs="Calibri"/>
                <w:sz w:val="22"/>
                <w:szCs w:val="22"/>
              </w:rPr>
              <w:t> </w:t>
            </w:r>
          </w:p>
          <w:p w14:paraId="291649B0" w14:textId="77777777" w:rsidR="005B24D2" w:rsidRPr="00140561" w:rsidRDefault="00615769" w:rsidP="002F486F">
            <w:pPr>
              <w:keepNext/>
              <w:spacing w:line="276" w:lineRule="auto"/>
              <w:jc w:val="center"/>
              <w:rPr>
                <w:sz w:val="22"/>
                <w:szCs w:val="22"/>
                <w:lang w:val="en-US"/>
              </w:rPr>
            </w:pPr>
            <w:r w:rsidRPr="00140561">
              <w:rPr>
                <w:rStyle w:val="eop"/>
                <w:rFonts w:cs="Calibri"/>
                <w:sz w:val="22"/>
                <w:szCs w:val="22"/>
              </w:rPr>
              <w:t>N=30</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715A407" w14:textId="77777777" w:rsidR="005B24D2" w:rsidRPr="005B24D2" w:rsidRDefault="00615769" w:rsidP="002F486F">
            <w:pPr>
              <w:pStyle w:val="paragraph"/>
              <w:keepNext/>
              <w:spacing w:before="0" w:beforeAutospacing="0" w:after="0" w:afterAutospacing="0" w:line="276" w:lineRule="auto"/>
              <w:jc w:val="center"/>
              <w:textAlignment w:val="baseline"/>
              <w:rPr>
                <w:rFonts w:ascii="Segoe UI" w:hAnsi="Segoe UI" w:cs="Segoe UI"/>
                <w:sz w:val="22"/>
                <w:szCs w:val="22"/>
                <w:lang w:val="pt-PT"/>
              </w:rPr>
            </w:pPr>
            <w:r w:rsidRPr="005B24D2">
              <w:rPr>
                <w:rStyle w:val="spellingerror"/>
                <w:rFonts w:cs="Calibri"/>
                <w:b/>
                <w:bCs/>
                <w:sz w:val="22"/>
                <w:szCs w:val="22"/>
                <w:lang w:val="pt-PT"/>
              </w:rPr>
              <w:t>Humira</w:t>
            </w:r>
            <w:r w:rsidRPr="005B24D2">
              <w:rPr>
                <w:rStyle w:val="spellingerror"/>
                <w:rFonts w:cs="Calibri"/>
                <w:b/>
                <w:sz w:val="22"/>
                <w:szCs w:val="22"/>
                <w:vertAlign w:val="superscript"/>
                <w:lang w:val="pt-PT"/>
              </w:rPr>
              <w:t>b</w:t>
            </w:r>
            <w:r w:rsidRPr="005B24D2">
              <w:rPr>
                <w:rStyle w:val="normaltextrun"/>
                <w:rFonts w:cs="Calibri"/>
                <w:b/>
                <w:sz w:val="22"/>
                <w:szCs w:val="22"/>
                <w:vertAlign w:val="superscript"/>
                <w:lang w:val="pt-PT"/>
              </w:rPr>
              <w:t>, c</w:t>
            </w:r>
            <w:r w:rsidRPr="005B24D2">
              <w:rPr>
                <w:rStyle w:val="eop"/>
                <w:rFonts w:cs="Calibri"/>
                <w:sz w:val="22"/>
                <w:szCs w:val="22"/>
                <w:lang w:val="pt-PT"/>
              </w:rPr>
              <w:t> </w:t>
            </w:r>
          </w:p>
          <w:p w14:paraId="74427822" w14:textId="77777777" w:rsidR="005B24D2" w:rsidRPr="002F486F" w:rsidRDefault="00615769" w:rsidP="002F486F">
            <w:pPr>
              <w:keepNext/>
              <w:spacing w:line="276" w:lineRule="auto"/>
              <w:jc w:val="center"/>
              <w:rPr>
                <w:rStyle w:val="eop"/>
                <w:rFonts w:cs="Calibri"/>
                <w:sz w:val="22"/>
                <w:szCs w:val="22"/>
              </w:rPr>
            </w:pPr>
            <w:r w:rsidRPr="00140561">
              <w:rPr>
                <w:rStyle w:val="normaltextrun"/>
                <w:rFonts w:cs="Calibri"/>
                <w:b/>
                <w:bCs/>
                <w:sz w:val="22"/>
                <w:szCs w:val="22"/>
              </w:rPr>
              <w:t>Máximo de 160 mg na Semana 0 e Semana 1</w:t>
            </w:r>
            <w:r w:rsidRPr="00140561">
              <w:rPr>
                <w:rStyle w:val="eop"/>
                <w:rFonts w:cs="Calibri"/>
                <w:sz w:val="22"/>
                <w:szCs w:val="22"/>
              </w:rPr>
              <w:t> </w:t>
            </w:r>
          </w:p>
          <w:p w14:paraId="35079727" w14:textId="77777777" w:rsidR="005B24D2" w:rsidRPr="00140561" w:rsidRDefault="00615769" w:rsidP="002F486F">
            <w:pPr>
              <w:keepNext/>
              <w:spacing w:line="276" w:lineRule="auto"/>
              <w:jc w:val="center"/>
              <w:rPr>
                <w:sz w:val="22"/>
                <w:szCs w:val="22"/>
                <w:lang w:val="en-US"/>
              </w:rPr>
            </w:pPr>
            <w:r w:rsidRPr="00140561">
              <w:rPr>
                <w:rStyle w:val="eop"/>
                <w:rFonts w:cs="Calibri"/>
                <w:sz w:val="22"/>
                <w:szCs w:val="22"/>
              </w:rPr>
              <w:t>N=47</w:t>
            </w:r>
          </w:p>
        </w:tc>
      </w:tr>
      <w:tr w:rsidR="00A7162A" w14:paraId="26C8EAF7" w14:textId="77777777" w:rsidTr="00AB53A0">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EEAC96F" w14:textId="77777777" w:rsidR="005B24D2" w:rsidRPr="00140561" w:rsidRDefault="00615769" w:rsidP="002F486F">
            <w:pPr>
              <w:keepNext/>
              <w:spacing w:line="276" w:lineRule="auto"/>
              <w:rPr>
                <w:sz w:val="22"/>
                <w:szCs w:val="22"/>
                <w:lang w:val="en-US"/>
              </w:rPr>
            </w:pPr>
            <w:r w:rsidRPr="00140561">
              <w:rPr>
                <w:sz w:val="22"/>
                <w:szCs w:val="22"/>
                <w:lang w:val="en-US"/>
              </w:rPr>
              <w:t>Remissão clínica</w:t>
            </w: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03E69C9" w14:textId="77777777" w:rsidR="005B24D2" w:rsidRPr="00140561" w:rsidRDefault="00615769" w:rsidP="002F486F">
            <w:pPr>
              <w:keepNext/>
              <w:spacing w:line="276" w:lineRule="auto"/>
              <w:jc w:val="center"/>
              <w:rPr>
                <w:sz w:val="22"/>
                <w:szCs w:val="22"/>
                <w:lang w:val="en-US"/>
              </w:rPr>
            </w:pPr>
            <w:r>
              <w:rPr>
                <w:sz w:val="22"/>
                <w:szCs w:val="22"/>
                <w:lang w:val="en-US"/>
              </w:rPr>
              <w:t>13/30 (43,</w:t>
            </w:r>
            <w:r w:rsidRPr="00140561">
              <w:rPr>
                <w:sz w:val="22"/>
                <w:szCs w:val="22"/>
                <w:lang w:val="en-US"/>
              </w:rPr>
              <w:t>3%)</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56D2247" w14:textId="77777777" w:rsidR="005B24D2" w:rsidRPr="00140561" w:rsidRDefault="00615769" w:rsidP="002F486F">
            <w:pPr>
              <w:keepNext/>
              <w:spacing w:line="276" w:lineRule="auto"/>
              <w:jc w:val="center"/>
              <w:rPr>
                <w:sz w:val="22"/>
                <w:szCs w:val="22"/>
                <w:vertAlign w:val="superscript"/>
                <w:lang w:val="en-US"/>
              </w:rPr>
            </w:pPr>
            <w:r>
              <w:rPr>
                <w:sz w:val="22"/>
                <w:szCs w:val="22"/>
                <w:lang w:val="en-US"/>
              </w:rPr>
              <w:t>28/47 (59,</w:t>
            </w:r>
            <w:r w:rsidRPr="00140561">
              <w:rPr>
                <w:sz w:val="22"/>
                <w:szCs w:val="22"/>
                <w:lang w:val="en-US"/>
              </w:rPr>
              <w:t>6%)</w:t>
            </w:r>
          </w:p>
        </w:tc>
      </w:tr>
      <w:tr w:rsidR="00A7162A" w14:paraId="4EB75EEA" w14:textId="77777777" w:rsidTr="00AB53A0">
        <w:trPr>
          <w:trHeight w:val="2517"/>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4EAD229" w14:textId="77777777" w:rsidR="005B24D2" w:rsidRPr="00140561" w:rsidRDefault="00615769" w:rsidP="002F486F">
            <w:pPr>
              <w:pStyle w:val="paragraph"/>
              <w:keepNext/>
              <w:spacing w:before="0" w:beforeAutospacing="0" w:after="0" w:afterAutospacing="0" w:line="276" w:lineRule="auto"/>
              <w:textAlignment w:val="baseline"/>
              <w:rPr>
                <w:rFonts w:ascii="Segoe UI" w:hAnsi="Segoe UI" w:cs="Segoe UI"/>
                <w:sz w:val="22"/>
                <w:szCs w:val="22"/>
                <w:lang w:val="pt-PT"/>
              </w:rPr>
            </w:pPr>
            <w:r w:rsidRPr="00140561">
              <w:rPr>
                <w:rStyle w:val="normaltextrun"/>
                <w:sz w:val="22"/>
                <w:szCs w:val="22"/>
                <w:vertAlign w:val="superscript"/>
                <w:lang w:val="pt-PT"/>
              </w:rPr>
              <w:t>a </w:t>
            </w:r>
            <w:r w:rsidRPr="00813F73">
              <w:rPr>
                <w:rStyle w:val="normaltextrun"/>
                <w:sz w:val="22"/>
                <w:szCs w:val="22"/>
                <w:lang w:val="pt-PT"/>
              </w:rPr>
              <w:t>Humira 2,4</w:t>
            </w:r>
            <w:r w:rsidRPr="00140561">
              <w:rPr>
                <w:rStyle w:val="normaltextrun"/>
                <w:sz w:val="22"/>
                <w:szCs w:val="22"/>
                <w:lang w:val="pt-PT"/>
              </w:rPr>
              <w:t> </w:t>
            </w:r>
            <w:r>
              <w:rPr>
                <w:rStyle w:val="normaltextrun"/>
                <w:sz w:val="22"/>
                <w:szCs w:val="22"/>
                <w:lang w:val="pt-PT"/>
              </w:rPr>
              <w:t xml:space="preserve">mg/kg </w:t>
            </w:r>
            <w:r w:rsidRPr="00140561">
              <w:rPr>
                <w:rStyle w:val="normaltextrun"/>
                <w:sz w:val="22"/>
                <w:szCs w:val="22"/>
                <w:lang w:val="pt-PT"/>
              </w:rPr>
              <w:t>(</w:t>
            </w:r>
            <w:r>
              <w:rPr>
                <w:rStyle w:val="normaltextrun"/>
                <w:sz w:val="22"/>
                <w:szCs w:val="22"/>
                <w:lang w:val="pt-PT"/>
              </w:rPr>
              <w:t>máximo de </w:t>
            </w:r>
            <w:r w:rsidRPr="00140561">
              <w:rPr>
                <w:rStyle w:val="normaltextrun"/>
                <w:sz w:val="22"/>
                <w:szCs w:val="22"/>
                <w:lang w:val="pt-PT"/>
              </w:rPr>
              <w:t>160 mg) na Semana 0, p</w:t>
            </w:r>
            <w:r>
              <w:rPr>
                <w:rStyle w:val="normaltextrun"/>
                <w:sz w:val="22"/>
                <w:szCs w:val="22"/>
                <w:lang w:val="pt-PT"/>
              </w:rPr>
              <w:t xml:space="preserve">lacebo na Semana 1, e 1,2 mg/kg </w:t>
            </w:r>
            <w:r w:rsidRPr="00140561">
              <w:rPr>
                <w:rStyle w:val="normaltextrun"/>
                <w:sz w:val="22"/>
                <w:szCs w:val="22"/>
                <w:lang w:val="pt-PT"/>
              </w:rPr>
              <w:t>(</w:t>
            </w:r>
            <w:r>
              <w:rPr>
                <w:rStyle w:val="normaltextrun"/>
                <w:sz w:val="22"/>
                <w:szCs w:val="22"/>
                <w:lang w:val="pt-PT"/>
              </w:rPr>
              <w:t>máximo de </w:t>
            </w:r>
            <w:r w:rsidRPr="00140561">
              <w:rPr>
                <w:rStyle w:val="normaltextrun"/>
                <w:sz w:val="22"/>
                <w:szCs w:val="22"/>
                <w:lang w:val="pt-PT"/>
              </w:rPr>
              <w:t>80 mg) na Semana 2</w:t>
            </w:r>
            <w:r>
              <w:rPr>
                <w:rStyle w:val="normaltextrun"/>
                <w:sz w:val="22"/>
                <w:szCs w:val="22"/>
                <w:lang w:val="pt-PT"/>
              </w:rPr>
              <w:t> </w:t>
            </w:r>
          </w:p>
          <w:p w14:paraId="3F8D2CDC" w14:textId="77777777" w:rsidR="005B24D2" w:rsidRPr="00140561" w:rsidRDefault="00615769" w:rsidP="002F486F">
            <w:pPr>
              <w:pStyle w:val="paragraph"/>
              <w:keepNext/>
              <w:spacing w:before="0" w:beforeAutospacing="0" w:after="0" w:afterAutospacing="0" w:line="276" w:lineRule="auto"/>
              <w:textAlignment w:val="baseline"/>
              <w:rPr>
                <w:rFonts w:ascii="Segoe UI" w:hAnsi="Segoe UI" w:cs="Segoe UI"/>
                <w:sz w:val="22"/>
                <w:szCs w:val="22"/>
                <w:lang w:val="pt-PT"/>
              </w:rPr>
            </w:pPr>
            <w:r w:rsidRPr="00140561">
              <w:rPr>
                <w:rStyle w:val="normaltextrun"/>
                <w:sz w:val="22"/>
                <w:szCs w:val="22"/>
                <w:vertAlign w:val="superscript"/>
                <w:lang w:val="pt-PT"/>
              </w:rPr>
              <w:t>b </w:t>
            </w:r>
            <w:r w:rsidRPr="00813F73">
              <w:rPr>
                <w:rStyle w:val="normaltextrun"/>
                <w:sz w:val="22"/>
                <w:szCs w:val="22"/>
                <w:lang w:val="pt-PT"/>
              </w:rPr>
              <w:t>Humira 2,4</w:t>
            </w:r>
            <w:r w:rsidRPr="00140561">
              <w:rPr>
                <w:rStyle w:val="normaltextrun"/>
                <w:sz w:val="22"/>
                <w:szCs w:val="22"/>
                <w:lang w:val="pt-PT"/>
              </w:rPr>
              <w:t> </w:t>
            </w:r>
            <w:r>
              <w:rPr>
                <w:rStyle w:val="normaltextrun"/>
                <w:sz w:val="22"/>
                <w:szCs w:val="22"/>
                <w:lang w:val="pt-PT"/>
              </w:rPr>
              <w:t xml:space="preserve">mg/kg </w:t>
            </w:r>
            <w:r w:rsidRPr="00140561">
              <w:rPr>
                <w:rStyle w:val="normaltextrun"/>
                <w:sz w:val="22"/>
                <w:szCs w:val="22"/>
                <w:lang w:val="pt-PT"/>
              </w:rPr>
              <w:t>(</w:t>
            </w:r>
            <w:r>
              <w:rPr>
                <w:rStyle w:val="normaltextrun"/>
                <w:sz w:val="22"/>
                <w:szCs w:val="22"/>
                <w:lang w:val="pt-PT"/>
              </w:rPr>
              <w:t>máximo de </w:t>
            </w:r>
            <w:r w:rsidRPr="00140561">
              <w:rPr>
                <w:rStyle w:val="normaltextrun"/>
                <w:sz w:val="22"/>
                <w:szCs w:val="22"/>
                <w:lang w:val="pt-PT"/>
              </w:rPr>
              <w:t>160 mg) na Semana 0 e na Semana 1, e 1,2 mg/kg</w:t>
            </w:r>
            <w:r>
              <w:rPr>
                <w:rStyle w:val="normaltextrun"/>
                <w:sz w:val="22"/>
                <w:szCs w:val="22"/>
                <w:lang w:val="pt-PT"/>
              </w:rPr>
              <w:t xml:space="preserve"> </w:t>
            </w:r>
            <w:r w:rsidRPr="00140561">
              <w:rPr>
                <w:rStyle w:val="normaltextrun"/>
                <w:sz w:val="22"/>
                <w:szCs w:val="22"/>
                <w:lang w:val="pt-PT"/>
              </w:rPr>
              <w:t>(</w:t>
            </w:r>
            <w:r>
              <w:rPr>
                <w:rStyle w:val="normaltextrun"/>
                <w:sz w:val="22"/>
                <w:szCs w:val="22"/>
                <w:lang w:val="pt-PT"/>
              </w:rPr>
              <w:t>máximo de </w:t>
            </w:r>
            <w:r w:rsidRPr="00140561">
              <w:rPr>
                <w:rStyle w:val="normaltextrun"/>
                <w:sz w:val="22"/>
                <w:szCs w:val="22"/>
                <w:lang w:val="pt-PT"/>
              </w:rPr>
              <w:t>80 mg) na Semana 2</w:t>
            </w:r>
            <w:r w:rsidRPr="00140561">
              <w:rPr>
                <w:rStyle w:val="eop"/>
                <w:sz w:val="22"/>
                <w:szCs w:val="22"/>
                <w:lang w:val="pt-PT"/>
              </w:rPr>
              <w:t> </w:t>
            </w:r>
          </w:p>
          <w:p w14:paraId="25FED614" w14:textId="77777777" w:rsidR="005B24D2" w:rsidRPr="00140561" w:rsidRDefault="00615769" w:rsidP="002F486F">
            <w:pPr>
              <w:pStyle w:val="paragraph"/>
              <w:keepNext/>
              <w:spacing w:before="0" w:beforeAutospacing="0" w:after="0" w:afterAutospacing="0" w:line="276" w:lineRule="auto"/>
              <w:textAlignment w:val="baseline"/>
              <w:rPr>
                <w:rFonts w:ascii="Segoe UI" w:hAnsi="Segoe UI" w:cs="Segoe UI"/>
                <w:sz w:val="22"/>
                <w:szCs w:val="22"/>
                <w:lang w:val="pt-PT"/>
              </w:rPr>
            </w:pPr>
            <w:r w:rsidRPr="00140561">
              <w:rPr>
                <w:rStyle w:val="normaltextrun"/>
                <w:rFonts w:cs="Calibri"/>
                <w:sz w:val="22"/>
                <w:szCs w:val="22"/>
                <w:vertAlign w:val="superscript"/>
                <w:lang w:val="pt-PT"/>
              </w:rPr>
              <w:t>c</w:t>
            </w:r>
            <w:r w:rsidRPr="00FF4AB1">
              <w:rPr>
                <w:rStyle w:val="normaltextrun"/>
                <w:sz w:val="22"/>
                <w:szCs w:val="22"/>
                <w:vertAlign w:val="superscript"/>
                <w:lang w:val="pt-PT"/>
              </w:rPr>
              <w:t> </w:t>
            </w:r>
            <w:r w:rsidRPr="00140561">
              <w:rPr>
                <w:rStyle w:val="normaltextrun"/>
                <w:rFonts w:cs="Calibri"/>
                <w:sz w:val="22"/>
                <w:szCs w:val="22"/>
                <w:lang w:val="pt-PT"/>
              </w:rPr>
              <w:t xml:space="preserve">Sem incluir a dose de indução </w:t>
            </w:r>
            <w:r w:rsidR="0035376C">
              <w:rPr>
                <w:rStyle w:val="normaltextrun"/>
                <w:rFonts w:cs="Calibri"/>
                <w:sz w:val="22"/>
                <w:szCs w:val="22"/>
                <w:lang w:val="pt-PT"/>
              </w:rPr>
              <w:t>e</w:t>
            </w:r>
            <w:r w:rsidR="0035376C" w:rsidRPr="002F486F">
              <w:rPr>
                <w:rStyle w:val="normaltextrun"/>
                <w:rFonts w:cs="Calibri"/>
                <w:lang w:val="pt-PT"/>
              </w:rPr>
              <w:t>m</w:t>
            </w:r>
            <w:r w:rsidR="0035376C">
              <w:rPr>
                <w:rStyle w:val="normaltextrun"/>
                <w:rFonts w:cs="Calibri"/>
                <w:lang w:val="pt-PT"/>
              </w:rPr>
              <w:t xml:space="preserve"> </w:t>
            </w:r>
            <w:r w:rsidR="0035376C" w:rsidRPr="002F486F">
              <w:rPr>
                <w:rStyle w:val="normaltextrun"/>
                <w:rFonts w:cs="Calibri"/>
                <w:lang w:val="pt-PT"/>
              </w:rPr>
              <w:t>fa</w:t>
            </w:r>
            <w:r w:rsidR="0035376C">
              <w:rPr>
                <w:rStyle w:val="normaltextrun"/>
                <w:rFonts w:cs="Calibri"/>
                <w:lang w:val="pt-PT"/>
              </w:rPr>
              <w:t>s</w:t>
            </w:r>
            <w:r w:rsidR="0035376C" w:rsidRPr="002F486F">
              <w:rPr>
                <w:rStyle w:val="normaltextrun"/>
                <w:rFonts w:cs="Calibri"/>
                <w:lang w:val="pt-PT"/>
              </w:rPr>
              <w:t>e</w:t>
            </w:r>
            <w:r w:rsidR="0035376C">
              <w:rPr>
                <w:rStyle w:val="normaltextrun"/>
                <w:rFonts w:cs="Calibri"/>
                <w:lang w:val="pt-PT"/>
              </w:rPr>
              <w:t xml:space="preserve"> </w:t>
            </w:r>
            <w:r w:rsidRPr="00140561">
              <w:rPr>
                <w:rStyle w:val="normaltextrun"/>
                <w:rFonts w:cs="Calibri"/>
                <w:sz w:val="22"/>
                <w:szCs w:val="22"/>
                <w:lang w:val="pt-PT"/>
              </w:rPr>
              <w:t>aberta de 2,4 mg/kg de Humira (máximo</w:t>
            </w:r>
            <w:r>
              <w:rPr>
                <w:rStyle w:val="normaltextrun"/>
                <w:rFonts w:cs="Calibri"/>
                <w:sz w:val="22"/>
                <w:szCs w:val="22"/>
                <w:lang w:val="pt-PT"/>
              </w:rPr>
              <w:t xml:space="preserve"> de </w:t>
            </w:r>
            <w:r w:rsidRPr="00140561">
              <w:rPr>
                <w:rStyle w:val="normaltextrun"/>
                <w:rFonts w:cs="Calibri"/>
                <w:sz w:val="22"/>
                <w:szCs w:val="22"/>
                <w:lang w:val="pt-PT"/>
              </w:rPr>
              <w:t>160 mg) na Semana 0 e na Semana 1, e 1,2 mg/kg</w:t>
            </w:r>
            <w:r>
              <w:rPr>
                <w:rStyle w:val="normaltextrun"/>
                <w:rFonts w:cs="Calibri"/>
                <w:sz w:val="22"/>
                <w:szCs w:val="22"/>
                <w:lang w:val="pt-PT"/>
              </w:rPr>
              <w:t xml:space="preserve"> </w:t>
            </w:r>
            <w:r w:rsidRPr="00140561">
              <w:rPr>
                <w:rStyle w:val="normaltextrun"/>
                <w:rFonts w:cs="Calibri"/>
                <w:sz w:val="22"/>
                <w:szCs w:val="22"/>
                <w:lang w:val="pt-PT"/>
              </w:rPr>
              <w:t>(</w:t>
            </w:r>
            <w:r>
              <w:rPr>
                <w:rStyle w:val="normaltextrun"/>
                <w:rFonts w:cs="Calibri"/>
                <w:sz w:val="22"/>
                <w:szCs w:val="22"/>
                <w:lang w:val="pt-PT"/>
              </w:rPr>
              <w:t>máximo de </w:t>
            </w:r>
            <w:r w:rsidRPr="00140561">
              <w:rPr>
                <w:rStyle w:val="normaltextrun"/>
                <w:rFonts w:cs="Calibri"/>
                <w:sz w:val="22"/>
                <w:szCs w:val="22"/>
                <w:lang w:val="pt-PT"/>
              </w:rPr>
              <w:t>80 mg) na Semana 2</w:t>
            </w:r>
          </w:p>
          <w:p w14:paraId="3C679528" w14:textId="77777777" w:rsidR="005B24D2" w:rsidRPr="00174CD0" w:rsidRDefault="00615769" w:rsidP="002F486F">
            <w:pPr>
              <w:pStyle w:val="paragraph"/>
              <w:keepNext/>
              <w:spacing w:before="0" w:beforeAutospacing="0" w:after="0" w:afterAutospacing="0" w:line="276" w:lineRule="auto"/>
              <w:textAlignment w:val="baseline"/>
              <w:rPr>
                <w:rFonts w:ascii="Segoe UI" w:hAnsi="Segoe UI" w:cs="Segoe UI"/>
                <w:sz w:val="22"/>
                <w:szCs w:val="22"/>
                <w:lang w:val="pt-PT"/>
              </w:rPr>
            </w:pPr>
            <w:r w:rsidRPr="00174CD0">
              <w:rPr>
                <w:rStyle w:val="normaltextrun"/>
                <w:rFonts w:cs="Calibri"/>
                <w:sz w:val="22"/>
                <w:szCs w:val="22"/>
                <w:lang w:val="pt-PT"/>
              </w:rPr>
              <w:t>Nota 1: Ambos os grupos de indução receberam 0,6 mg/kg (</w:t>
            </w:r>
            <w:r>
              <w:rPr>
                <w:rStyle w:val="normaltextrun"/>
                <w:rFonts w:cs="Calibri"/>
                <w:sz w:val="22"/>
                <w:szCs w:val="22"/>
                <w:lang w:val="pt-PT"/>
              </w:rPr>
              <w:t>máximo de </w:t>
            </w:r>
            <w:r w:rsidRPr="00174CD0">
              <w:rPr>
                <w:rStyle w:val="normaltextrun"/>
                <w:rFonts w:cs="Calibri"/>
                <w:sz w:val="22"/>
                <w:szCs w:val="22"/>
                <w:lang w:val="pt-PT"/>
              </w:rPr>
              <w:t>40 mg) na Semana 4 e na Semana 6</w:t>
            </w:r>
            <w:r w:rsidRPr="00174CD0">
              <w:rPr>
                <w:rStyle w:val="eop"/>
                <w:rFonts w:cs="Calibri"/>
                <w:sz w:val="22"/>
                <w:szCs w:val="22"/>
                <w:lang w:val="pt-PT"/>
              </w:rPr>
              <w:t> </w:t>
            </w:r>
          </w:p>
          <w:p w14:paraId="6CD1FBD7" w14:textId="77777777" w:rsidR="005B24D2" w:rsidRPr="00174CD0" w:rsidRDefault="00615769" w:rsidP="002F486F">
            <w:pPr>
              <w:pStyle w:val="paragraph"/>
              <w:keepNext/>
              <w:spacing w:before="0" w:beforeAutospacing="0" w:after="0" w:afterAutospacing="0" w:line="276" w:lineRule="auto"/>
              <w:textAlignment w:val="baseline"/>
              <w:rPr>
                <w:sz w:val="22"/>
                <w:szCs w:val="22"/>
                <w:lang w:val="pt-PT"/>
              </w:rPr>
            </w:pPr>
            <w:r w:rsidRPr="00174CD0">
              <w:rPr>
                <w:rStyle w:val="normaltextrun"/>
                <w:rFonts w:cs="Calibri"/>
                <w:sz w:val="22"/>
                <w:szCs w:val="22"/>
                <w:lang w:val="pt-PT"/>
              </w:rPr>
              <w:t xml:space="preserve">Nota 2: Considerou-se que os doentes com valores em falta na Semana 8 não </w:t>
            </w:r>
            <w:r w:rsidR="0035376C">
              <w:rPr>
                <w:rStyle w:val="normaltextrun"/>
                <w:rFonts w:cs="Calibri"/>
                <w:sz w:val="22"/>
                <w:szCs w:val="22"/>
                <w:lang w:val="pt-PT"/>
              </w:rPr>
              <w:t>a</w:t>
            </w:r>
            <w:r w:rsidR="0035376C" w:rsidRPr="002F486F">
              <w:rPr>
                <w:rStyle w:val="normaltextrun"/>
                <w:rFonts w:cs="Calibri"/>
                <w:lang w:val="pt-PT"/>
              </w:rPr>
              <w:t>ti</w:t>
            </w:r>
            <w:r w:rsidR="0035376C">
              <w:rPr>
                <w:rStyle w:val="normaltextrun"/>
                <w:rFonts w:cs="Calibri"/>
                <w:lang w:val="pt-PT"/>
              </w:rPr>
              <w:t>n</w:t>
            </w:r>
            <w:r w:rsidR="0035376C" w:rsidRPr="002F486F">
              <w:rPr>
                <w:rStyle w:val="normaltextrun"/>
                <w:rFonts w:cs="Calibri"/>
                <w:lang w:val="pt-PT"/>
              </w:rPr>
              <w:t>g</w:t>
            </w:r>
            <w:r w:rsidR="0035376C">
              <w:rPr>
                <w:rStyle w:val="normaltextrun"/>
                <w:rFonts w:cs="Calibri"/>
                <w:lang w:val="pt-PT"/>
              </w:rPr>
              <w:t>i</w:t>
            </w:r>
            <w:r w:rsidR="0035376C" w:rsidRPr="002F486F">
              <w:rPr>
                <w:rStyle w:val="normaltextrun"/>
                <w:rFonts w:cs="Calibri"/>
                <w:lang w:val="pt-PT"/>
              </w:rPr>
              <w:t>r</w:t>
            </w:r>
            <w:r w:rsidR="0035376C">
              <w:rPr>
                <w:rStyle w:val="normaltextrun"/>
                <w:rFonts w:cs="Calibri"/>
                <w:lang w:val="pt-PT"/>
              </w:rPr>
              <w:t>a</w:t>
            </w:r>
            <w:r w:rsidR="0035376C" w:rsidRPr="002F486F">
              <w:rPr>
                <w:rStyle w:val="normaltextrun"/>
                <w:rFonts w:cs="Calibri"/>
                <w:lang w:val="pt-PT"/>
              </w:rPr>
              <w:t>m</w:t>
            </w:r>
            <w:r w:rsidRPr="00174CD0">
              <w:rPr>
                <w:rStyle w:val="normaltextrun"/>
                <w:rFonts w:cs="Calibri"/>
                <w:sz w:val="22"/>
                <w:szCs w:val="22"/>
                <w:lang w:val="pt-PT"/>
              </w:rPr>
              <w:t xml:space="preserve"> o objetivo</w:t>
            </w:r>
            <w:r w:rsidRPr="00174CD0">
              <w:rPr>
                <w:rStyle w:val="eop"/>
                <w:rFonts w:cs="Calibri"/>
                <w:sz w:val="22"/>
                <w:szCs w:val="22"/>
                <w:lang w:val="pt-PT"/>
              </w:rPr>
              <w:t> </w:t>
            </w:r>
          </w:p>
        </w:tc>
      </w:tr>
    </w:tbl>
    <w:p w14:paraId="6BC121EE" w14:textId="77777777" w:rsidR="005B24D2" w:rsidRPr="00174CD0" w:rsidRDefault="005B24D2" w:rsidP="005B24D2">
      <w:pPr>
        <w:rPr>
          <w:rStyle w:val="normaltextrun"/>
          <w:sz w:val="22"/>
          <w:szCs w:val="22"/>
          <w:shd w:val="clear" w:color="auto" w:fill="FFFFFF"/>
        </w:rPr>
      </w:pPr>
    </w:p>
    <w:p w14:paraId="6B3F8904" w14:textId="77777777" w:rsidR="002F486F" w:rsidRPr="00174CD0" w:rsidRDefault="00615769" w:rsidP="002F486F">
      <w:pPr>
        <w:rPr>
          <w:sz w:val="22"/>
          <w:szCs w:val="22"/>
        </w:rPr>
      </w:pPr>
      <w:r w:rsidRPr="00174CD0">
        <w:rPr>
          <w:rStyle w:val="normaltextrun"/>
          <w:sz w:val="22"/>
          <w:szCs w:val="22"/>
          <w:shd w:val="clear" w:color="auto" w:fill="FFFFFF"/>
        </w:rPr>
        <w:t>Na Semana 52, foram avaliadas a remissão clínica de acor</w:t>
      </w:r>
      <w:r>
        <w:rPr>
          <w:rStyle w:val="normaltextrun"/>
          <w:sz w:val="22"/>
          <w:szCs w:val="22"/>
          <w:shd w:val="clear" w:color="auto" w:fill="FFFFFF"/>
        </w:rPr>
        <w:t>do com a FMS nos respondedores da</w:t>
      </w:r>
      <w:r w:rsidRPr="00174CD0">
        <w:rPr>
          <w:rStyle w:val="normaltextrun"/>
          <w:sz w:val="22"/>
          <w:szCs w:val="22"/>
          <w:shd w:val="clear" w:color="auto" w:fill="FFFFFF"/>
        </w:rPr>
        <w:t xml:space="preserve"> Semana 8, a resposta clínica de acordo com a FMS (definida como uma diminuição na pontuação de Mayo ≥ 3 pontos e ≥ 30% em comparação com os val</w:t>
      </w:r>
      <w:r>
        <w:rPr>
          <w:rStyle w:val="normaltextrun"/>
          <w:sz w:val="22"/>
          <w:szCs w:val="22"/>
          <w:shd w:val="clear" w:color="auto" w:fill="FFFFFF"/>
        </w:rPr>
        <w:t>ores iniciais) nos respondedores da</w:t>
      </w:r>
      <w:r w:rsidRPr="00174CD0">
        <w:rPr>
          <w:rStyle w:val="normaltextrun"/>
          <w:sz w:val="22"/>
          <w:szCs w:val="22"/>
          <w:shd w:val="clear" w:color="auto" w:fill="FFFFFF"/>
        </w:rPr>
        <w:t xml:space="preserve"> Semana 8, a cicatrização da mucosa (definida como </w:t>
      </w:r>
      <w:r w:rsidR="00152BF6">
        <w:rPr>
          <w:rStyle w:val="normaltextrun"/>
          <w:sz w:val="22"/>
          <w:szCs w:val="22"/>
          <w:shd w:val="clear" w:color="auto" w:fill="FFFFFF"/>
        </w:rPr>
        <w:t>sub</w:t>
      </w:r>
      <w:r w:rsidRPr="00174CD0">
        <w:rPr>
          <w:rStyle w:val="normaltextrun"/>
          <w:sz w:val="22"/>
          <w:szCs w:val="22"/>
          <w:shd w:val="clear" w:color="auto" w:fill="FFFFFF"/>
        </w:rPr>
        <w:t xml:space="preserve">pontuação de endoscopia </w:t>
      </w:r>
      <w:r>
        <w:rPr>
          <w:rStyle w:val="normaltextrun"/>
          <w:sz w:val="22"/>
          <w:szCs w:val="22"/>
          <w:shd w:val="clear" w:color="auto" w:fill="FFFFFF"/>
        </w:rPr>
        <w:t>de Mayo ≤ 1) nos respondedores da</w:t>
      </w:r>
      <w:r w:rsidRPr="00174CD0">
        <w:rPr>
          <w:rStyle w:val="normaltextrun"/>
          <w:sz w:val="22"/>
          <w:szCs w:val="22"/>
          <w:shd w:val="clear" w:color="auto" w:fill="FFFFFF"/>
        </w:rPr>
        <w:t xml:space="preserve"> Semana 8, a remissão clínica de acordo com</w:t>
      </w:r>
      <w:r>
        <w:rPr>
          <w:rStyle w:val="normaltextrun"/>
          <w:sz w:val="22"/>
          <w:szCs w:val="22"/>
          <w:shd w:val="clear" w:color="auto" w:fill="FFFFFF"/>
        </w:rPr>
        <w:t xml:space="preserve"> a FMS nos doentes em remissão da</w:t>
      </w:r>
      <w:r w:rsidRPr="00174CD0">
        <w:rPr>
          <w:rStyle w:val="normaltextrun"/>
          <w:sz w:val="22"/>
          <w:szCs w:val="22"/>
          <w:shd w:val="clear" w:color="auto" w:fill="FFFFFF"/>
        </w:rPr>
        <w:t xml:space="preserve"> Semana 8 e a proporção dos indivíduos em remissão livre de corticosteroides de acor</w:t>
      </w:r>
      <w:r>
        <w:rPr>
          <w:rStyle w:val="normaltextrun"/>
          <w:sz w:val="22"/>
          <w:szCs w:val="22"/>
          <w:shd w:val="clear" w:color="auto" w:fill="FFFFFF"/>
        </w:rPr>
        <w:t>do com a FMS nos respondedores da</w:t>
      </w:r>
      <w:r w:rsidRPr="00174CD0">
        <w:rPr>
          <w:rStyle w:val="normaltextrun"/>
          <w:sz w:val="22"/>
          <w:szCs w:val="22"/>
          <w:shd w:val="clear" w:color="auto" w:fill="FFFFFF"/>
        </w:rPr>
        <w:t xml:space="preserve"> Semana 8, em doentes que receberam as doses de manutenção de Humira em dupla ocultação de, no máximo, 40 mg</w:t>
      </w:r>
      <w:r>
        <w:rPr>
          <w:rStyle w:val="normaltextrun"/>
          <w:sz w:val="22"/>
          <w:szCs w:val="22"/>
          <w:shd w:val="clear" w:color="auto" w:fill="FFFFFF"/>
        </w:rPr>
        <w:t xml:space="preserve"> em semanas alternadas </w:t>
      </w:r>
      <w:r w:rsidRPr="00174CD0">
        <w:rPr>
          <w:rStyle w:val="normaltextrun"/>
          <w:sz w:val="22"/>
          <w:szCs w:val="22"/>
          <w:shd w:val="clear" w:color="auto" w:fill="FFFFFF"/>
        </w:rPr>
        <w:t>(0,6 mg/kg) e de, no máximo, 40 mg</w:t>
      </w:r>
      <w:r>
        <w:rPr>
          <w:rStyle w:val="normaltextrun"/>
          <w:sz w:val="22"/>
          <w:szCs w:val="22"/>
          <w:shd w:val="clear" w:color="auto" w:fill="FFFFFF"/>
        </w:rPr>
        <w:t xml:space="preserve"> semanalmente</w:t>
      </w:r>
      <w:r w:rsidRPr="00174CD0">
        <w:rPr>
          <w:rStyle w:val="normaltextrun"/>
          <w:sz w:val="22"/>
          <w:szCs w:val="22"/>
          <w:shd w:val="clear" w:color="auto" w:fill="FFFFFF"/>
        </w:rPr>
        <w:t> (0,6 mg/kg)</w:t>
      </w:r>
      <w:r>
        <w:rPr>
          <w:rStyle w:val="normaltextrun"/>
          <w:sz w:val="22"/>
          <w:szCs w:val="22"/>
          <w:shd w:val="clear" w:color="auto" w:fill="FFFFFF"/>
        </w:rPr>
        <w:t xml:space="preserve"> (Tabela 22</w:t>
      </w:r>
      <w:r w:rsidRPr="00174CD0">
        <w:rPr>
          <w:rStyle w:val="normaltextrun"/>
          <w:sz w:val="22"/>
          <w:szCs w:val="22"/>
          <w:shd w:val="clear" w:color="auto" w:fill="FFFFFF"/>
        </w:rPr>
        <w:t>).</w:t>
      </w:r>
      <w:r w:rsidRPr="00174CD0">
        <w:rPr>
          <w:rStyle w:val="eop"/>
          <w:sz w:val="22"/>
          <w:szCs w:val="22"/>
          <w:shd w:val="clear" w:color="auto" w:fill="FFFFFF"/>
        </w:rPr>
        <w:t> </w:t>
      </w:r>
    </w:p>
    <w:p w14:paraId="7F784B78" w14:textId="77777777" w:rsidR="005B24D2" w:rsidRPr="0082333B" w:rsidRDefault="00615769" w:rsidP="002F486F">
      <w:pPr>
        <w:keepNext/>
        <w:jc w:val="center"/>
        <w:textAlignment w:val="baseline"/>
        <w:rPr>
          <w:sz w:val="22"/>
          <w:szCs w:val="22"/>
          <w:lang w:eastAsia="en-GB"/>
        </w:rPr>
      </w:pPr>
      <w:r w:rsidRPr="0082333B">
        <w:rPr>
          <w:b/>
          <w:sz w:val="22"/>
          <w:szCs w:val="22"/>
          <w:lang w:eastAsia="en-GB"/>
        </w:rPr>
        <w:t>Tabela</w:t>
      </w:r>
      <w:r>
        <w:rPr>
          <w:b/>
          <w:sz w:val="22"/>
          <w:szCs w:val="22"/>
          <w:lang w:eastAsia="en-GB"/>
        </w:rPr>
        <w:t> 22</w:t>
      </w:r>
      <w:r w:rsidRPr="0082333B">
        <w:rPr>
          <w:b/>
          <w:sz w:val="22"/>
          <w:szCs w:val="22"/>
          <w:lang w:eastAsia="en-GB"/>
        </w:rPr>
        <w:t xml:space="preserve">: Resultados de </w:t>
      </w:r>
      <w:r w:rsidR="0003518D">
        <w:rPr>
          <w:b/>
          <w:sz w:val="22"/>
          <w:szCs w:val="22"/>
          <w:lang w:eastAsia="en-GB"/>
        </w:rPr>
        <w:t>E</w:t>
      </w:r>
      <w:r w:rsidRPr="0082333B">
        <w:rPr>
          <w:b/>
          <w:sz w:val="22"/>
          <w:szCs w:val="22"/>
          <w:lang w:eastAsia="en-GB"/>
        </w:rPr>
        <w:t>ficácia à Semana</w:t>
      </w:r>
      <w:r w:rsidR="0003518D">
        <w:rPr>
          <w:b/>
          <w:sz w:val="22"/>
          <w:szCs w:val="22"/>
          <w:lang w:eastAsia="en-GB"/>
        </w:rPr>
        <w:t xml:space="preserve"> 52</w:t>
      </w:r>
      <w:r w:rsidRPr="0082333B">
        <w:rPr>
          <w:sz w:val="22"/>
          <w:szCs w:val="22"/>
          <w:lang w:eastAsia="en-GB"/>
        </w:rPr>
        <w:t> </w:t>
      </w:r>
    </w:p>
    <w:p w14:paraId="44F445E3" w14:textId="77777777" w:rsidR="005B24D2" w:rsidRPr="0082333B" w:rsidRDefault="005B24D2" w:rsidP="002F486F">
      <w:pPr>
        <w:keepNext/>
        <w:jc w:val="center"/>
        <w:textAlignment w:val="baseline"/>
        <w:rPr>
          <w:sz w:val="22"/>
          <w:szCs w:val="22"/>
          <w:lang w:eastAsia="en-GB"/>
        </w:rPr>
      </w:pP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6"/>
        <w:gridCol w:w="2409"/>
        <w:gridCol w:w="2633"/>
      </w:tblGrid>
      <w:tr w:rsidR="00A7162A" w14:paraId="62F065B9" w14:textId="77777777" w:rsidTr="00AB53A0">
        <w:trPr>
          <w:trHeight w:val="912"/>
          <w:jc w:val="center"/>
        </w:trPr>
        <w:tc>
          <w:tcPr>
            <w:tcW w:w="2526" w:type="dxa"/>
            <w:tcBorders>
              <w:top w:val="single" w:sz="6" w:space="0" w:color="auto"/>
              <w:left w:val="single" w:sz="6" w:space="0" w:color="auto"/>
              <w:bottom w:val="single" w:sz="6" w:space="0" w:color="auto"/>
              <w:right w:val="single" w:sz="6" w:space="0" w:color="auto"/>
            </w:tcBorders>
            <w:hideMark/>
          </w:tcPr>
          <w:p w14:paraId="6A29E2B7" w14:textId="77777777" w:rsidR="005B24D2" w:rsidRPr="0082333B" w:rsidRDefault="005B24D2" w:rsidP="002F486F">
            <w:pPr>
              <w:keepNext/>
              <w:jc w:val="center"/>
              <w:textAlignment w:val="baseline"/>
              <w:rPr>
                <w:sz w:val="22"/>
                <w:szCs w:val="22"/>
                <w:lang w:eastAsia="en-GB"/>
              </w:rPr>
            </w:pPr>
          </w:p>
        </w:tc>
        <w:tc>
          <w:tcPr>
            <w:tcW w:w="2409" w:type="dxa"/>
            <w:tcBorders>
              <w:top w:val="single" w:sz="6" w:space="0" w:color="auto"/>
              <w:left w:val="nil"/>
              <w:bottom w:val="single" w:sz="6" w:space="0" w:color="auto"/>
              <w:right w:val="single" w:sz="6" w:space="0" w:color="auto"/>
            </w:tcBorders>
            <w:vAlign w:val="center"/>
            <w:hideMark/>
          </w:tcPr>
          <w:p w14:paraId="63EB6ABC" w14:textId="77777777" w:rsidR="005B24D2" w:rsidRPr="005B24D2" w:rsidRDefault="00615769" w:rsidP="002F486F">
            <w:pPr>
              <w:keepNext/>
              <w:jc w:val="center"/>
              <w:textAlignment w:val="baseline"/>
              <w:rPr>
                <w:sz w:val="22"/>
                <w:szCs w:val="22"/>
                <w:lang w:eastAsia="en-GB"/>
              </w:rPr>
            </w:pPr>
            <w:r w:rsidRPr="005B24D2">
              <w:rPr>
                <w:b/>
                <w:bCs/>
                <w:sz w:val="22"/>
                <w:szCs w:val="22"/>
                <w:lang w:eastAsia="en-GB"/>
              </w:rPr>
              <w:t>Humira</w:t>
            </w:r>
            <w:r w:rsidRPr="005B24D2">
              <w:rPr>
                <w:b/>
                <w:sz w:val="22"/>
                <w:szCs w:val="22"/>
                <w:vertAlign w:val="superscript"/>
                <w:lang w:eastAsia="en-GB"/>
              </w:rPr>
              <w:t>a</w:t>
            </w:r>
            <w:r w:rsidRPr="005B24D2">
              <w:rPr>
                <w:b/>
                <w:bCs/>
                <w:sz w:val="22"/>
                <w:szCs w:val="22"/>
                <w:lang w:eastAsia="en-GB"/>
              </w:rPr>
              <w:t> </w:t>
            </w:r>
            <w:r w:rsidRPr="005B24D2">
              <w:rPr>
                <w:sz w:val="22"/>
                <w:szCs w:val="22"/>
                <w:lang w:eastAsia="en-GB"/>
              </w:rPr>
              <w:t> </w:t>
            </w:r>
          </w:p>
          <w:p w14:paraId="596A897C" w14:textId="77777777" w:rsidR="005B24D2" w:rsidRPr="0082333B" w:rsidRDefault="00615769" w:rsidP="002F486F">
            <w:pPr>
              <w:keepNext/>
              <w:jc w:val="center"/>
              <w:textAlignment w:val="baseline"/>
              <w:rPr>
                <w:sz w:val="22"/>
                <w:szCs w:val="22"/>
                <w:lang w:eastAsia="en-GB"/>
              </w:rPr>
            </w:pPr>
            <w:r w:rsidRPr="0082333B">
              <w:rPr>
                <w:b/>
                <w:bCs/>
                <w:sz w:val="22"/>
                <w:szCs w:val="22"/>
                <w:lang w:eastAsia="en-GB"/>
              </w:rPr>
              <w:t>Máximo de 40 mg</w:t>
            </w:r>
            <w:r>
              <w:rPr>
                <w:b/>
                <w:bCs/>
                <w:sz w:val="22"/>
                <w:szCs w:val="22"/>
                <w:lang w:eastAsia="en-GB"/>
              </w:rPr>
              <w:t xml:space="preserve"> em semanas alternadas</w:t>
            </w:r>
            <w:r w:rsidRPr="0082333B">
              <w:rPr>
                <w:sz w:val="22"/>
                <w:szCs w:val="22"/>
                <w:lang w:eastAsia="en-GB"/>
              </w:rPr>
              <w:t> </w:t>
            </w:r>
          </w:p>
          <w:p w14:paraId="6729360F" w14:textId="77777777" w:rsidR="005B24D2" w:rsidRPr="0082333B" w:rsidRDefault="00615769" w:rsidP="002F486F">
            <w:pPr>
              <w:keepNext/>
              <w:jc w:val="center"/>
              <w:textAlignment w:val="baseline"/>
              <w:rPr>
                <w:sz w:val="22"/>
                <w:szCs w:val="22"/>
                <w:lang w:eastAsia="en-GB"/>
              </w:rPr>
            </w:pPr>
            <w:r w:rsidRPr="0082333B">
              <w:rPr>
                <w:sz w:val="22"/>
                <w:szCs w:val="22"/>
                <w:lang w:eastAsia="en-GB"/>
              </w:rPr>
              <w:t>N=31</w:t>
            </w:r>
          </w:p>
        </w:tc>
        <w:tc>
          <w:tcPr>
            <w:tcW w:w="2633" w:type="dxa"/>
            <w:tcBorders>
              <w:top w:val="single" w:sz="6" w:space="0" w:color="auto"/>
              <w:left w:val="nil"/>
              <w:bottom w:val="single" w:sz="6" w:space="0" w:color="auto"/>
              <w:right w:val="single" w:sz="6" w:space="0" w:color="auto"/>
            </w:tcBorders>
            <w:vAlign w:val="center"/>
            <w:hideMark/>
          </w:tcPr>
          <w:p w14:paraId="330BB963" w14:textId="77777777" w:rsidR="005B24D2" w:rsidRPr="005B24D2" w:rsidRDefault="00615769" w:rsidP="002F486F">
            <w:pPr>
              <w:keepNext/>
              <w:jc w:val="center"/>
              <w:textAlignment w:val="baseline"/>
              <w:rPr>
                <w:sz w:val="22"/>
                <w:szCs w:val="22"/>
                <w:lang w:eastAsia="en-GB"/>
              </w:rPr>
            </w:pPr>
            <w:r w:rsidRPr="005B24D2">
              <w:rPr>
                <w:b/>
                <w:bCs/>
                <w:sz w:val="22"/>
                <w:szCs w:val="22"/>
                <w:lang w:eastAsia="en-GB"/>
              </w:rPr>
              <w:t>Humira</w:t>
            </w:r>
            <w:r w:rsidRPr="005B24D2">
              <w:rPr>
                <w:b/>
                <w:sz w:val="22"/>
                <w:szCs w:val="22"/>
                <w:vertAlign w:val="superscript"/>
                <w:lang w:eastAsia="en-GB"/>
              </w:rPr>
              <w:t>b</w:t>
            </w:r>
            <w:r w:rsidRPr="005B24D2">
              <w:rPr>
                <w:b/>
                <w:bCs/>
                <w:sz w:val="22"/>
                <w:szCs w:val="22"/>
                <w:lang w:eastAsia="en-GB"/>
              </w:rPr>
              <w:t> </w:t>
            </w:r>
            <w:r w:rsidRPr="005B24D2">
              <w:rPr>
                <w:sz w:val="22"/>
                <w:szCs w:val="22"/>
                <w:lang w:eastAsia="en-GB"/>
              </w:rPr>
              <w:t> </w:t>
            </w:r>
          </w:p>
          <w:p w14:paraId="63D3DFEF" w14:textId="77777777" w:rsidR="005B24D2" w:rsidRPr="005B24D2" w:rsidRDefault="00615769" w:rsidP="002F486F">
            <w:pPr>
              <w:keepNext/>
              <w:jc w:val="center"/>
              <w:textAlignment w:val="baseline"/>
              <w:rPr>
                <w:sz w:val="22"/>
                <w:szCs w:val="22"/>
                <w:lang w:eastAsia="en-GB"/>
              </w:rPr>
            </w:pPr>
            <w:r w:rsidRPr="005B24D2">
              <w:rPr>
                <w:b/>
                <w:bCs/>
                <w:sz w:val="22"/>
                <w:szCs w:val="22"/>
                <w:lang w:eastAsia="en-GB"/>
              </w:rPr>
              <w:t>Máximo de 40 mg semanalmente</w:t>
            </w:r>
            <w:r w:rsidRPr="005B24D2">
              <w:rPr>
                <w:sz w:val="22"/>
                <w:szCs w:val="22"/>
                <w:lang w:eastAsia="en-GB"/>
              </w:rPr>
              <w:t> </w:t>
            </w:r>
          </w:p>
          <w:p w14:paraId="5242ACEA" w14:textId="77777777" w:rsidR="005B24D2" w:rsidRPr="005B24D2" w:rsidRDefault="00615769" w:rsidP="002F486F">
            <w:pPr>
              <w:keepNext/>
              <w:jc w:val="center"/>
              <w:textAlignment w:val="baseline"/>
              <w:rPr>
                <w:sz w:val="22"/>
                <w:szCs w:val="22"/>
                <w:lang w:eastAsia="en-GB"/>
              </w:rPr>
            </w:pPr>
            <w:r w:rsidRPr="005B24D2">
              <w:rPr>
                <w:sz w:val="22"/>
                <w:szCs w:val="22"/>
                <w:lang w:eastAsia="en-GB"/>
              </w:rPr>
              <w:t>N=31</w:t>
            </w:r>
          </w:p>
        </w:tc>
      </w:tr>
      <w:tr w:rsidR="00A7162A" w14:paraId="5C2CF653" w14:textId="77777777" w:rsidTr="00AB53A0">
        <w:trPr>
          <w:trHeight w:val="570"/>
          <w:jc w:val="center"/>
        </w:trPr>
        <w:tc>
          <w:tcPr>
            <w:tcW w:w="2526" w:type="dxa"/>
            <w:tcBorders>
              <w:top w:val="nil"/>
              <w:left w:val="single" w:sz="6" w:space="0" w:color="auto"/>
              <w:bottom w:val="single" w:sz="6" w:space="0" w:color="auto"/>
              <w:right w:val="single" w:sz="6" w:space="0" w:color="auto"/>
            </w:tcBorders>
            <w:vAlign w:val="center"/>
            <w:hideMark/>
          </w:tcPr>
          <w:p w14:paraId="3B7B4672" w14:textId="77777777" w:rsidR="005B24D2" w:rsidRPr="00813F73" w:rsidRDefault="00615769" w:rsidP="002F486F">
            <w:pPr>
              <w:keepNext/>
              <w:textAlignment w:val="baseline"/>
              <w:rPr>
                <w:sz w:val="22"/>
                <w:szCs w:val="22"/>
                <w:lang w:eastAsia="en-GB"/>
              </w:rPr>
            </w:pPr>
            <w:r w:rsidRPr="00813F73">
              <w:rPr>
                <w:sz w:val="22"/>
                <w:szCs w:val="22"/>
                <w:lang w:eastAsia="en-GB"/>
              </w:rPr>
              <w:t>Remissão clínica nos respondedores PMS da Semana 8 </w:t>
            </w:r>
          </w:p>
        </w:tc>
        <w:tc>
          <w:tcPr>
            <w:tcW w:w="2409" w:type="dxa"/>
            <w:tcBorders>
              <w:top w:val="nil"/>
              <w:left w:val="nil"/>
              <w:bottom w:val="single" w:sz="6" w:space="0" w:color="auto"/>
              <w:right w:val="single" w:sz="6" w:space="0" w:color="auto"/>
            </w:tcBorders>
            <w:vAlign w:val="center"/>
            <w:hideMark/>
          </w:tcPr>
          <w:p w14:paraId="034A4DE6" w14:textId="77777777" w:rsidR="005B24D2" w:rsidRPr="0082333B" w:rsidRDefault="00615769" w:rsidP="002F486F">
            <w:pPr>
              <w:keepNext/>
              <w:jc w:val="center"/>
              <w:textAlignment w:val="baseline"/>
              <w:rPr>
                <w:sz w:val="22"/>
                <w:szCs w:val="22"/>
                <w:lang w:eastAsia="en-GB"/>
              </w:rPr>
            </w:pPr>
            <w:r>
              <w:rPr>
                <w:sz w:val="22"/>
                <w:szCs w:val="22"/>
                <w:lang w:val="en-US" w:eastAsia="en-GB"/>
              </w:rPr>
              <w:t>9/31 (29,</w:t>
            </w:r>
            <w:r w:rsidRPr="0082333B">
              <w:rPr>
                <w:sz w:val="22"/>
                <w:szCs w:val="22"/>
                <w:lang w:val="en-US" w:eastAsia="en-GB"/>
              </w:rPr>
              <w:t>0%)</w:t>
            </w:r>
            <w:r w:rsidRPr="0082333B">
              <w:rPr>
                <w:sz w:val="22"/>
                <w:szCs w:val="22"/>
                <w:lang w:eastAsia="en-GB"/>
              </w:rPr>
              <w:t> </w:t>
            </w:r>
          </w:p>
        </w:tc>
        <w:tc>
          <w:tcPr>
            <w:tcW w:w="2633" w:type="dxa"/>
            <w:tcBorders>
              <w:top w:val="nil"/>
              <w:left w:val="nil"/>
              <w:bottom w:val="single" w:sz="6" w:space="0" w:color="auto"/>
              <w:right w:val="single" w:sz="6" w:space="0" w:color="auto"/>
            </w:tcBorders>
            <w:vAlign w:val="center"/>
            <w:hideMark/>
          </w:tcPr>
          <w:p w14:paraId="549B12CC" w14:textId="77777777" w:rsidR="005B24D2" w:rsidRPr="0082333B" w:rsidRDefault="00615769" w:rsidP="002F486F">
            <w:pPr>
              <w:keepNext/>
              <w:jc w:val="center"/>
              <w:textAlignment w:val="baseline"/>
              <w:rPr>
                <w:sz w:val="22"/>
                <w:szCs w:val="22"/>
                <w:lang w:eastAsia="en-GB"/>
              </w:rPr>
            </w:pPr>
            <w:r w:rsidRPr="0082333B">
              <w:rPr>
                <w:sz w:val="22"/>
                <w:szCs w:val="22"/>
                <w:lang w:val="en-US" w:eastAsia="en-GB"/>
              </w:rPr>
              <w:t>14/31 (45</w:t>
            </w:r>
            <w:r>
              <w:rPr>
                <w:sz w:val="22"/>
                <w:szCs w:val="22"/>
                <w:lang w:val="en-US" w:eastAsia="en-GB"/>
              </w:rPr>
              <w:t>,</w:t>
            </w:r>
            <w:r w:rsidRPr="0082333B">
              <w:rPr>
                <w:sz w:val="22"/>
                <w:szCs w:val="22"/>
                <w:lang w:val="en-US" w:eastAsia="en-GB"/>
              </w:rPr>
              <w:t>2%)</w:t>
            </w:r>
          </w:p>
        </w:tc>
      </w:tr>
      <w:tr w:rsidR="00A7162A" w14:paraId="0D86422F" w14:textId="77777777" w:rsidTr="00AB53A0">
        <w:trPr>
          <w:trHeight w:val="555"/>
          <w:jc w:val="center"/>
        </w:trPr>
        <w:tc>
          <w:tcPr>
            <w:tcW w:w="2526" w:type="dxa"/>
            <w:tcBorders>
              <w:top w:val="nil"/>
              <w:left w:val="single" w:sz="6" w:space="0" w:color="auto"/>
              <w:bottom w:val="single" w:sz="6" w:space="0" w:color="auto"/>
              <w:right w:val="single" w:sz="6" w:space="0" w:color="auto"/>
            </w:tcBorders>
            <w:vAlign w:val="center"/>
            <w:hideMark/>
          </w:tcPr>
          <w:p w14:paraId="43F2B34E" w14:textId="77777777" w:rsidR="005B24D2" w:rsidRPr="00813F73" w:rsidRDefault="00615769" w:rsidP="002F486F">
            <w:pPr>
              <w:keepNext/>
              <w:textAlignment w:val="baseline"/>
              <w:rPr>
                <w:sz w:val="22"/>
                <w:szCs w:val="22"/>
                <w:lang w:eastAsia="en-GB"/>
              </w:rPr>
            </w:pPr>
            <w:r w:rsidRPr="00813F73">
              <w:rPr>
                <w:sz w:val="22"/>
                <w:szCs w:val="22"/>
                <w:lang w:eastAsia="en-GB"/>
              </w:rPr>
              <w:t>Resposta clínica nos respondedores PMS da Semana 8 </w:t>
            </w:r>
          </w:p>
        </w:tc>
        <w:tc>
          <w:tcPr>
            <w:tcW w:w="2409" w:type="dxa"/>
            <w:tcBorders>
              <w:top w:val="nil"/>
              <w:left w:val="nil"/>
              <w:bottom w:val="single" w:sz="6" w:space="0" w:color="auto"/>
              <w:right w:val="single" w:sz="6" w:space="0" w:color="auto"/>
            </w:tcBorders>
            <w:vAlign w:val="center"/>
            <w:hideMark/>
          </w:tcPr>
          <w:p w14:paraId="50D5996B" w14:textId="77777777" w:rsidR="005B24D2" w:rsidRPr="0082333B" w:rsidRDefault="00615769" w:rsidP="002F486F">
            <w:pPr>
              <w:keepNext/>
              <w:jc w:val="center"/>
              <w:textAlignment w:val="baseline"/>
              <w:rPr>
                <w:sz w:val="22"/>
                <w:szCs w:val="22"/>
                <w:lang w:eastAsia="en-GB"/>
              </w:rPr>
            </w:pPr>
            <w:r w:rsidRPr="0082333B">
              <w:rPr>
                <w:sz w:val="22"/>
                <w:szCs w:val="22"/>
                <w:lang w:val="en-US" w:eastAsia="en-GB"/>
              </w:rPr>
              <w:t>19/31 (61</w:t>
            </w:r>
            <w:r>
              <w:rPr>
                <w:sz w:val="22"/>
                <w:szCs w:val="22"/>
                <w:lang w:val="en-US" w:eastAsia="en-GB"/>
              </w:rPr>
              <w:t>,</w:t>
            </w:r>
            <w:r w:rsidRPr="0082333B">
              <w:rPr>
                <w:sz w:val="22"/>
                <w:szCs w:val="22"/>
                <w:lang w:val="en-US" w:eastAsia="en-GB"/>
              </w:rPr>
              <w:t>3%)</w:t>
            </w:r>
            <w:r w:rsidRPr="0082333B">
              <w:rPr>
                <w:sz w:val="22"/>
                <w:szCs w:val="22"/>
                <w:lang w:eastAsia="en-GB"/>
              </w:rPr>
              <w:t> </w:t>
            </w:r>
          </w:p>
        </w:tc>
        <w:tc>
          <w:tcPr>
            <w:tcW w:w="2633" w:type="dxa"/>
            <w:tcBorders>
              <w:top w:val="nil"/>
              <w:left w:val="nil"/>
              <w:bottom w:val="single" w:sz="6" w:space="0" w:color="auto"/>
              <w:right w:val="single" w:sz="6" w:space="0" w:color="auto"/>
            </w:tcBorders>
            <w:vAlign w:val="center"/>
            <w:hideMark/>
          </w:tcPr>
          <w:p w14:paraId="2D6B6ECC" w14:textId="77777777" w:rsidR="005B24D2" w:rsidRPr="0082333B" w:rsidRDefault="00615769" w:rsidP="002F486F">
            <w:pPr>
              <w:keepNext/>
              <w:jc w:val="center"/>
              <w:textAlignment w:val="baseline"/>
              <w:rPr>
                <w:sz w:val="22"/>
                <w:szCs w:val="22"/>
                <w:lang w:eastAsia="en-GB"/>
              </w:rPr>
            </w:pPr>
            <w:r w:rsidRPr="0082333B">
              <w:rPr>
                <w:sz w:val="22"/>
                <w:szCs w:val="22"/>
                <w:lang w:val="en-US" w:eastAsia="en-GB"/>
              </w:rPr>
              <w:t>21/31 (67</w:t>
            </w:r>
            <w:r>
              <w:rPr>
                <w:sz w:val="22"/>
                <w:szCs w:val="22"/>
                <w:lang w:val="en-US" w:eastAsia="en-GB"/>
              </w:rPr>
              <w:t>,</w:t>
            </w:r>
            <w:r w:rsidRPr="0082333B">
              <w:rPr>
                <w:sz w:val="22"/>
                <w:szCs w:val="22"/>
                <w:lang w:val="en-US" w:eastAsia="en-GB"/>
              </w:rPr>
              <w:t>7%)</w:t>
            </w:r>
            <w:r w:rsidRPr="0082333B">
              <w:rPr>
                <w:sz w:val="22"/>
                <w:szCs w:val="22"/>
                <w:lang w:eastAsia="en-GB"/>
              </w:rPr>
              <w:t> </w:t>
            </w:r>
          </w:p>
        </w:tc>
      </w:tr>
      <w:tr w:rsidR="00A7162A" w14:paraId="41F13680" w14:textId="77777777" w:rsidTr="00AB53A0">
        <w:trPr>
          <w:jc w:val="center"/>
        </w:trPr>
        <w:tc>
          <w:tcPr>
            <w:tcW w:w="2526" w:type="dxa"/>
            <w:tcBorders>
              <w:top w:val="nil"/>
              <w:left w:val="single" w:sz="6" w:space="0" w:color="auto"/>
              <w:bottom w:val="single" w:sz="6" w:space="0" w:color="auto"/>
              <w:right w:val="single" w:sz="6" w:space="0" w:color="auto"/>
            </w:tcBorders>
            <w:vAlign w:val="center"/>
            <w:hideMark/>
          </w:tcPr>
          <w:p w14:paraId="72A5AFC8" w14:textId="77777777" w:rsidR="005B24D2" w:rsidRPr="00813F73" w:rsidRDefault="00615769" w:rsidP="002F486F">
            <w:pPr>
              <w:keepNext/>
              <w:textAlignment w:val="baseline"/>
              <w:rPr>
                <w:sz w:val="22"/>
                <w:szCs w:val="22"/>
                <w:lang w:eastAsia="en-GB"/>
              </w:rPr>
            </w:pPr>
            <w:r w:rsidRPr="00813F73">
              <w:rPr>
                <w:sz w:val="22"/>
                <w:szCs w:val="22"/>
                <w:lang w:eastAsia="en-GB"/>
              </w:rPr>
              <w:t>Cicatrização da mucosa nos respondedores PMS da Semana 8 </w:t>
            </w:r>
          </w:p>
        </w:tc>
        <w:tc>
          <w:tcPr>
            <w:tcW w:w="2409" w:type="dxa"/>
            <w:tcBorders>
              <w:top w:val="nil"/>
              <w:left w:val="nil"/>
              <w:bottom w:val="single" w:sz="6" w:space="0" w:color="auto"/>
              <w:right w:val="single" w:sz="6" w:space="0" w:color="auto"/>
            </w:tcBorders>
            <w:vAlign w:val="center"/>
            <w:hideMark/>
          </w:tcPr>
          <w:p w14:paraId="59557A06" w14:textId="77777777" w:rsidR="005B24D2" w:rsidRPr="00813F73" w:rsidRDefault="00615769" w:rsidP="002F486F">
            <w:pPr>
              <w:keepNext/>
              <w:jc w:val="center"/>
              <w:textAlignment w:val="baseline"/>
              <w:rPr>
                <w:sz w:val="22"/>
                <w:szCs w:val="22"/>
                <w:lang w:eastAsia="en-GB"/>
              </w:rPr>
            </w:pPr>
            <w:r w:rsidRPr="00813F73">
              <w:rPr>
                <w:sz w:val="22"/>
                <w:szCs w:val="22"/>
                <w:lang w:val="en-US" w:eastAsia="en-GB"/>
              </w:rPr>
              <w:t>12/31 (38</w:t>
            </w:r>
            <w:r>
              <w:rPr>
                <w:sz w:val="22"/>
                <w:szCs w:val="22"/>
                <w:lang w:val="en-US" w:eastAsia="en-GB"/>
              </w:rPr>
              <w:t>,</w:t>
            </w:r>
            <w:r w:rsidRPr="00813F73">
              <w:rPr>
                <w:sz w:val="22"/>
                <w:szCs w:val="22"/>
                <w:lang w:val="en-US" w:eastAsia="en-GB"/>
              </w:rPr>
              <w:t>7%)</w:t>
            </w:r>
            <w:r w:rsidRPr="00813F73">
              <w:rPr>
                <w:sz w:val="22"/>
                <w:szCs w:val="22"/>
                <w:lang w:eastAsia="en-GB"/>
              </w:rPr>
              <w:t> </w:t>
            </w:r>
          </w:p>
        </w:tc>
        <w:tc>
          <w:tcPr>
            <w:tcW w:w="2633" w:type="dxa"/>
            <w:tcBorders>
              <w:top w:val="nil"/>
              <w:left w:val="nil"/>
              <w:bottom w:val="single" w:sz="6" w:space="0" w:color="auto"/>
              <w:right w:val="single" w:sz="6" w:space="0" w:color="auto"/>
            </w:tcBorders>
            <w:vAlign w:val="center"/>
            <w:hideMark/>
          </w:tcPr>
          <w:p w14:paraId="3F372773" w14:textId="77777777" w:rsidR="005B24D2" w:rsidRPr="00813F73" w:rsidRDefault="00615769" w:rsidP="002F486F">
            <w:pPr>
              <w:keepNext/>
              <w:jc w:val="center"/>
              <w:textAlignment w:val="baseline"/>
              <w:rPr>
                <w:sz w:val="22"/>
                <w:szCs w:val="22"/>
                <w:lang w:eastAsia="en-GB"/>
              </w:rPr>
            </w:pPr>
            <w:r w:rsidRPr="00813F73">
              <w:rPr>
                <w:sz w:val="22"/>
                <w:szCs w:val="22"/>
                <w:lang w:val="en-US" w:eastAsia="en-GB"/>
              </w:rPr>
              <w:t>16/31 (51</w:t>
            </w:r>
            <w:r>
              <w:rPr>
                <w:sz w:val="22"/>
                <w:szCs w:val="22"/>
                <w:lang w:val="en-US" w:eastAsia="en-GB"/>
              </w:rPr>
              <w:t>,</w:t>
            </w:r>
            <w:r w:rsidRPr="00813F73">
              <w:rPr>
                <w:sz w:val="22"/>
                <w:szCs w:val="22"/>
                <w:lang w:val="en-US" w:eastAsia="en-GB"/>
              </w:rPr>
              <w:t>6%)</w:t>
            </w:r>
            <w:r w:rsidRPr="00813F73">
              <w:rPr>
                <w:sz w:val="22"/>
                <w:szCs w:val="22"/>
                <w:lang w:eastAsia="en-GB"/>
              </w:rPr>
              <w:t> </w:t>
            </w:r>
          </w:p>
        </w:tc>
      </w:tr>
      <w:tr w:rsidR="00A7162A" w14:paraId="3B380EE0" w14:textId="77777777" w:rsidTr="00AB53A0">
        <w:trPr>
          <w:jc w:val="center"/>
        </w:trPr>
        <w:tc>
          <w:tcPr>
            <w:tcW w:w="2526" w:type="dxa"/>
            <w:tcBorders>
              <w:top w:val="nil"/>
              <w:left w:val="single" w:sz="6" w:space="0" w:color="auto"/>
              <w:bottom w:val="single" w:sz="6" w:space="0" w:color="auto"/>
              <w:right w:val="single" w:sz="6" w:space="0" w:color="auto"/>
            </w:tcBorders>
            <w:vAlign w:val="center"/>
            <w:hideMark/>
          </w:tcPr>
          <w:p w14:paraId="5DC4B087" w14:textId="77777777" w:rsidR="005B24D2" w:rsidRPr="00813F73" w:rsidRDefault="00615769" w:rsidP="002F486F">
            <w:pPr>
              <w:keepNext/>
              <w:textAlignment w:val="baseline"/>
              <w:rPr>
                <w:sz w:val="22"/>
                <w:szCs w:val="22"/>
                <w:lang w:eastAsia="en-GB"/>
              </w:rPr>
            </w:pPr>
            <w:r w:rsidRPr="00813F73">
              <w:rPr>
                <w:sz w:val="22"/>
                <w:szCs w:val="22"/>
                <w:lang w:eastAsia="en-GB"/>
              </w:rPr>
              <w:t>Remissão clínica nos doentes em remissão PMS da Semana 8 </w:t>
            </w:r>
          </w:p>
        </w:tc>
        <w:tc>
          <w:tcPr>
            <w:tcW w:w="2409" w:type="dxa"/>
            <w:tcBorders>
              <w:top w:val="nil"/>
              <w:left w:val="nil"/>
              <w:bottom w:val="single" w:sz="6" w:space="0" w:color="auto"/>
              <w:right w:val="single" w:sz="6" w:space="0" w:color="auto"/>
            </w:tcBorders>
            <w:vAlign w:val="center"/>
            <w:hideMark/>
          </w:tcPr>
          <w:p w14:paraId="5DB517B0" w14:textId="77777777" w:rsidR="005B24D2" w:rsidRPr="00813F73" w:rsidRDefault="00615769" w:rsidP="002F486F">
            <w:pPr>
              <w:keepNext/>
              <w:jc w:val="center"/>
              <w:textAlignment w:val="baseline"/>
              <w:rPr>
                <w:sz w:val="22"/>
                <w:szCs w:val="22"/>
                <w:lang w:eastAsia="en-GB"/>
              </w:rPr>
            </w:pPr>
            <w:r w:rsidRPr="00813F73">
              <w:rPr>
                <w:sz w:val="22"/>
                <w:szCs w:val="22"/>
                <w:lang w:val="en-US" w:eastAsia="en-GB"/>
              </w:rPr>
              <w:t>9/21 (42,9%)</w:t>
            </w:r>
            <w:r w:rsidRPr="00813F73">
              <w:rPr>
                <w:sz w:val="22"/>
                <w:szCs w:val="22"/>
                <w:lang w:eastAsia="en-GB"/>
              </w:rPr>
              <w:t> </w:t>
            </w:r>
          </w:p>
        </w:tc>
        <w:tc>
          <w:tcPr>
            <w:tcW w:w="2633" w:type="dxa"/>
            <w:tcBorders>
              <w:top w:val="nil"/>
              <w:left w:val="nil"/>
              <w:bottom w:val="single" w:sz="6" w:space="0" w:color="auto"/>
              <w:right w:val="single" w:sz="6" w:space="0" w:color="auto"/>
            </w:tcBorders>
            <w:vAlign w:val="center"/>
            <w:hideMark/>
          </w:tcPr>
          <w:p w14:paraId="075AA351" w14:textId="77777777" w:rsidR="005B24D2" w:rsidRPr="00813F73" w:rsidRDefault="00615769" w:rsidP="002F486F">
            <w:pPr>
              <w:keepNext/>
              <w:jc w:val="center"/>
              <w:textAlignment w:val="baseline"/>
              <w:rPr>
                <w:sz w:val="22"/>
                <w:szCs w:val="22"/>
                <w:lang w:eastAsia="en-GB"/>
              </w:rPr>
            </w:pPr>
            <w:r w:rsidRPr="00813F73">
              <w:rPr>
                <w:sz w:val="22"/>
                <w:szCs w:val="22"/>
                <w:lang w:val="en-US" w:eastAsia="en-GB"/>
              </w:rPr>
              <w:t>10/22 (45</w:t>
            </w:r>
            <w:r>
              <w:rPr>
                <w:sz w:val="22"/>
                <w:szCs w:val="22"/>
                <w:lang w:val="en-US" w:eastAsia="en-GB"/>
              </w:rPr>
              <w:t>,</w:t>
            </w:r>
            <w:r w:rsidRPr="00813F73">
              <w:rPr>
                <w:sz w:val="22"/>
                <w:szCs w:val="22"/>
                <w:lang w:val="en-US" w:eastAsia="en-GB"/>
              </w:rPr>
              <w:t>5%)</w:t>
            </w:r>
            <w:r w:rsidRPr="00813F73">
              <w:rPr>
                <w:sz w:val="22"/>
                <w:szCs w:val="22"/>
                <w:lang w:eastAsia="en-GB"/>
              </w:rPr>
              <w:t> </w:t>
            </w:r>
          </w:p>
        </w:tc>
      </w:tr>
      <w:tr w:rsidR="00A7162A" w14:paraId="354048D4" w14:textId="77777777" w:rsidTr="00AB53A0">
        <w:trPr>
          <w:jc w:val="center"/>
        </w:trPr>
        <w:tc>
          <w:tcPr>
            <w:tcW w:w="2526" w:type="dxa"/>
            <w:tcBorders>
              <w:top w:val="nil"/>
              <w:left w:val="single" w:sz="6" w:space="0" w:color="auto"/>
              <w:bottom w:val="single" w:sz="6" w:space="0" w:color="auto"/>
              <w:right w:val="single" w:sz="6" w:space="0" w:color="auto"/>
            </w:tcBorders>
            <w:vAlign w:val="center"/>
            <w:hideMark/>
          </w:tcPr>
          <w:p w14:paraId="709F86E8" w14:textId="77777777" w:rsidR="005B24D2" w:rsidRPr="00813F73" w:rsidRDefault="00615769" w:rsidP="002F486F">
            <w:pPr>
              <w:keepNext/>
              <w:textAlignment w:val="baseline"/>
              <w:rPr>
                <w:sz w:val="22"/>
                <w:szCs w:val="22"/>
                <w:lang w:eastAsia="en-GB"/>
              </w:rPr>
            </w:pPr>
            <w:r w:rsidRPr="00813F73">
              <w:rPr>
                <w:sz w:val="22"/>
                <w:szCs w:val="22"/>
                <w:lang w:eastAsia="en-GB"/>
              </w:rPr>
              <w:t>Remissão livre de corticosteroides nos respondedores PMS da Semana 8</w:t>
            </w:r>
            <w:r w:rsidRPr="00813F73">
              <w:rPr>
                <w:sz w:val="22"/>
                <w:szCs w:val="22"/>
                <w:vertAlign w:val="superscript"/>
                <w:lang w:eastAsia="en-GB"/>
              </w:rPr>
              <w:t>c</w:t>
            </w:r>
            <w:r w:rsidRPr="00813F73">
              <w:rPr>
                <w:sz w:val="22"/>
                <w:szCs w:val="22"/>
                <w:lang w:eastAsia="en-GB"/>
              </w:rPr>
              <w:t> </w:t>
            </w:r>
          </w:p>
        </w:tc>
        <w:tc>
          <w:tcPr>
            <w:tcW w:w="2409" w:type="dxa"/>
            <w:tcBorders>
              <w:top w:val="nil"/>
              <w:left w:val="nil"/>
              <w:bottom w:val="single" w:sz="6" w:space="0" w:color="auto"/>
              <w:right w:val="single" w:sz="6" w:space="0" w:color="auto"/>
            </w:tcBorders>
            <w:vAlign w:val="center"/>
            <w:hideMark/>
          </w:tcPr>
          <w:p w14:paraId="330762D3" w14:textId="77777777" w:rsidR="005B24D2" w:rsidRPr="00813F73" w:rsidRDefault="00615769" w:rsidP="002F486F">
            <w:pPr>
              <w:keepNext/>
              <w:jc w:val="center"/>
              <w:textAlignment w:val="baseline"/>
              <w:rPr>
                <w:sz w:val="22"/>
                <w:szCs w:val="22"/>
                <w:lang w:eastAsia="en-GB"/>
              </w:rPr>
            </w:pPr>
            <w:r w:rsidRPr="00813F73">
              <w:rPr>
                <w:sz w:val="22"/>
                <w:szCs w:val="22"/>
                <w:lang w:val="en-US" w:eastAsia="en-GB"/>
              </w:rPr>
              <w:t>4/13 (30</w:t>
            </w:r>
            <w:r>
              <w:rPr>
                <w:sz w:val="22"/>
                <w:szCs w:val="22"/>
                <w:lang w:val="en-US" w:eastAsia="en-GB"/>
              </w:rPr>
              <w:t>,</w:t>
            </w:r>
            <w:r w:rsidRPr="00813F73">
              <w:rPr>
                <w:sz w:val="22"/>
                <w:szCs w:val="22"/>
                <w:lang w:val="en-US" w:eastAsia="en-GB"/>
              </w:rPr>
              <w:t>8%)</w:t>
            </w:r>
            <w:r w:rsidRPr="00813F73">
              <w:rPr>
                <w:sz w:val="22"/>
                <w:szCs w:val="22"/>
                <w:lang w:eastAsia="en-GB"/>
              </w:rPr>
              <w:t> </w:t>
            </w:r>
          </w:p>
        </w:tc>
        <w:tc>
          <w:tcPr>
            <w:tcW w:w="2633" w:type="dxa"/>
            <w:tcBorders>
              <w:top w:val="nil"/>
              <w:left w:val="nil"/>
              <w:bottom w:val="single" w:sz="6" w:space="0" w:color="auto"/>
              <w:right w:val="single" w:sz="6" w:space="0" w:color="auto"/>
            </w:tcBorders>
            <w:vAlign w:val="center"/>
            <w:hideMark/>
          </w:tcPr>
          <w:p w14:paraId="3D670BE6" w14:textId="77777777" w:rsidR="005B24D2" w:rsidRPr="00813F73" w:rsidRDefault="00615769" w:rsidP="002F486F">
            <w:pPr>
              <w:keepNext/>
              <w:jc w:val="center"/>
              <w:textAlignment w:val="baseline"/>
              <w:rPr>
                <w:sz w:val="22"/>
                <w:szCs w:val="22"/>
                <w:lang w:eastAsia="en-GB"/>
              </w:rPr>
            </w:pPr>
            <w:r w:rsidRPr="00813F73">
              <w:rPr>
                <w:sz w:val="22"/>
                <w:szCs w:val="22"/>
                <w:lang w:val="en-US" w:eastAsia="en-GB"/>
              </w:rPr>
              <w:t>5/16 (31</w:t>
            </w:r>
            <w:r>
              <w:rPr>
                <w:sz w:val="22"/>
                <w:szCs w:val="22"/>
                <w:lang w:val="en-US" w:eastAsia="en-GB"/>
              </w:rPr>
              <w:t>,</w:t>
            </w:r>
            <w:r w:rsidRPr="00813F73">
              <w:rPr>
                <w:sz w:val="22"/>
                <w:szCs w:val="22"/>
                <w:lang w:val="en-US" w:eastAsia="en-GB"/>
              </w:rPr>
              <w:t>3%)</w:t>
            </w:r>
            <w:r w:rsidRPr="00813F73">
              <w:rPr>
                <w:sz w:val="22"/>
                <w:szCs w:val="22"/>
                <w:lang w:eastAsia="en-GB"/>
              </w:rPr>
              <w:t> </w:t>
            </w:r>
          </w:p>
        </w:tc>
      </w:tr>
      <w:tr w:rsidR="00A7162A" w14:paraId="1E3E28F6" w14:textId="77777777" w:rsidTr="00AB53A0">
        <w:trPr>
          <w:jc w:val="center"/>
        </w:trPr>
        <w:tc>
          <w:tcPr>
            <w:tcW w:w="7568" w:type="dxa"/>
            <w:gridSpan w:val="3"/>
            <w:tcBorders>
              <w:top w:val="nil"/>
              <w:left w:val="single" w:sz="6" w:space="0" w:color="auto"/>
              <w:bottom w:val="single" w:sz="6" w:space="0" w:color="auto"/>
              <w:right w:val="single" w:sz="6" w:space="0" w:color="auto"/>
            </w:tcBorders>
            <w:hideMark/>
          </w:tcPr>
          <w:p w14:paraId="7E36B16C" w14:textId="77777777" w:rsidR="005B24D2" w:rsidRPr="00813F73" w:rsidRDefault="00615769" w:rsidP="002F486F">
            <w:pPr>
              <w:keepNext/>
              <w:textAlignment w:val="baseline"/>
              <w:rPr>
                <w:sz w:val="22"/>
                <w:szCs w:val="22"/>
                <w:lang w:eastAsia="en-GB"/>
              </w:rPr>
            </w:pPr>
            <w:r w:rsidRPr="00813F73">
              <w:rPr>
                <w:sz w:val="22"/>
                <w:szCs w:val="22"/>
                <w:vertAlign w:val="superscript"/>
                <w:lang w:eastAsia="en-GB"/>
              </w:rPr>
              <w:t>a </w:t>
            </w:r>
            <w:r w:rsidRPr="00813F73">
              <w:rPr>
                <w:sz w:val="22"/>
                <w:szCs w:val="22"/>
                <w:lang w:eastAsia="en-GB"/>
              </w:rPr>
              <w:t>Humira 0,6 mg/kg (</w:t>
            </w:r>
            <w:r>
              <w:rPr>
                <w:sz w:val="22"/>
                <w:szCs w:val="22"/>
                <w:lang w:eastAsia="en-GB"/>
              </w:rPr>
              <w:t>máximo de </w:t>
            </w:r>
            <w:r w:rsidRPr="00813F73">
              <w:rPr>
                <w:sz w:val="22"/>
                <w:szCs w:val="22"/>
                <w:lang w:eastAsia="en-GB"/>
              </w:rPr>
              <w:t>40 mg) em semanas alternadas </w:t>
            </w:r>
          </w:p>
          <w:p w14:paraId="13417638" w14:textId="77777777" w:rsidR="005B24D2" w:rsidRPr="00813F73" w:rsidRDefault="00615769" w:rsidP="002F486F">
            <w:pPr>
              <w:keepNext/>
              <w:textAlignment w:val="baseline"/>
              <w:rPr>
                <w:sz w:val="22"/>
                <w:szCs w:val="22"/>
                <w:lang w:eastAsia="en-GB"/>
              </w:rPr>
            </w:pPr>
            <w:r w:rsidRPr="00813F73">
              <w:rPr>
                <w:sz w:val="22"/>
                <w:szCs w:val="22"/>
                <w:vertAlign w:val="superscript"/>
                <w:lang w:eastAsia="en-GB"/>
              </w:rPr>
              <w:t>b </w:t>
            </w:r>
            <w:r w:rsidRPr="00813F73">
              <w:rPr>
                <w:sz w:val="22"/>
                <w:szCs w:val="22"/>
                <w:lang w:eastAsia="en-GB"/>
              </w:rPr>
              <w:t>Humira 0,6 mg/kg (máximo</w:t>
            </w:r>
            <w:r>
              <w:rPr>
                <w:sz w:val="22"/>
                <w:szCs w:val="22"/>
                <w:lang w:eastAsia="en-GB"/>
              </w:rPr>
              <w:t xml:space="preserve"> de </w:t>
            </w:r>
            <w:r w:rsidRPr="00813F73">
              <w:rPr>
                <w:sz w:val="22"/>
                <w:szCs w:val="22"/>
                <w:lang w:eastAsia="en-GB"/>
              </w:rPr>
              <w:t>40 mg) semanalmente </w:t>
            </w:r>
          </w:p>
          <w:p w14:paraId="51611118" w14:textId="77777777" w:rsidR="005B24D2" w:rsidRPr="00813F73" w:rsidRDefault="00615769" w:rsidP="002F486F">
            <w:pPr>
              <w:keepNext/>
              <w:textAlignment w:val="baseline"/>
              <w:rPr>
                <w:sz w:val="22"/>
                <w:szCs w:val="22"/>
                <w:lang w:eastAsia="en-GB"/>
              </w:rPr>
            </w:pPr>
            <w:r w:rsidRPr="00813F73">
              <w:rPr>
                <w:sz w:val="22"/>
                <w:szCs w:val="22"/>
                <w:vertAlign w:val="superscript"/>
                <w:lang w:eastAsia="en-GB"/>
              </w:rPr>
              <w:t>c</w:t>
            </w:r>
            <w:r w:rsidRPr="00FF4AB1">
              <w:rPr>
                <w:sz w:val="22"/>
                <w:szCs w:val="22"/>
                <w:vertAlign w:val="superscript"/>
                <w:lang w:eastAsia="en-GB"/>
              </w:rPr>
              <w:t> </w:t>
            </w:r>
            <w:r w:rsidRPr="00813F73">
              <w:rPr>
                <w:sz w:val="22"/>
                <w:szCs w:val="22"/>
                <w:lang w:eastAsia="en-GB"/>
              </w:rPr>
              <w:t>Em doentes a receber corticosteroides concomitantes no início do estudo </w:t>
            </w:r>
          </w:p>
          <w:p w14:paraId="13D99BE4" w14:textId="77777777" w:rsidR="005B24D2" w:rsidRPr="00813F73" w:rsidRDefault="00615769" w:rsidP="002F486F">
            <w:pPr>
              <w:keepNext/>
              <w:textAlignment w:val="baseline"/>
              <w:rPr>
                <w:sz w:val="22"/>
                <w:szCs w:val="22"/>
                <w:lang w:eastAsia="en-GB"/>
              </w:rPr>
            </w:pPr>
            <w:r w:rsidRPr="00813F73">
              <w:rPr>
                <w:sz w:val="22"/>
                <w:szCs w:val="22"/>
                <w:lang w:eastAsia="en-GB"/>
              </w:rPr>
              <w:t xml:space="preserve">Nota: Os doentes com valores em falta na Semana 52 ou que foram aleatorizados para receberem tratamento de reindução ou manutenção foram considerados como não respondedores </w:t>
            </w:r>
            <w:r w:rsidR="0003518D">
              <w:rPr>
                <w:sz w:val="22"/>
                <w:szCs w:val="22"/>
                <w:lang w:eastAsia="en-GB"/>
              </w:rPr>
              <w:t>q</w:t>
            </w:r>
            <w:r w:rsidR="0003518D">
              <w:rPr>
                <w:lang w:eastAsia="en-GB"/>
              </w:rPr>
              <w:t>uanto aos</w:t>
            </w:r>
            <w:r w:rsidRPr="00813F73">
              <w:rPr>
                <w:sz w:val="22"/>
                <w:szCs w:val="22"/>
                <w:lang w:eastAsia="en-GB"/>
              </w:rPr>
              <w:t xml:space="preserve"> objetivos da Semana 52 </w:t>
            </w:r>
          </w:p>
        </w:tc>
      </w:tr>
    </w:tbl>
    <w:p w14:paraId="51B62282" w14:textId="77777777" w:rsidR="005B24D2" w:rsidRPr="00813F73" w:rsidRDefault="005B24D2" w:rsidP="005B24D2">
      <w:pPr>
        <w:rPr>
          <w:sz w:val="22"/>
          <w:szCs w:val="22"/>
        </w:rPr>
      </w:pPr>
    </w:p>
    <w:p w14:paraId="5356B775" w14:textId="77777777" w:rsidR="005B24D2" w:rsidRPr="00A84A8D" w:rsidRDefault="00615769" w:rsidP="005B24D2">
      <w:pPr>
        <w:rPr>
          <w:sz w:val="22"/>
          <w:szCs w:val="22"/>
        </w:rPr>
      </w:pPr>
      <w:r w:rsidRPr="00A84A8D">
        <w:rPr>
          <w:sz w:val="22"/>
          <w:szCs w:val="22"/>
        </w:rPr>
        <w:t>Os objetivos exploratórios adicionais de eficácia incluí</w:t>
      </w:r>
      <w:r w:rsidR="0003518D">
        <w:rPr>
          <w:sz w:val="22"/>
          <w:szCs w:val="22"/>
        </w:rPr>
        <w:t>r</w:t>
      </w:r>
      <w:r w:rsidRPr="00A84A8D">
        <w:rPr>
          <w:sz w:val="22"/>
          <w:szCs w:val="22"/>
        </w:rPr>
        <w:t xml:space="preserve">am a resposta clínica de acordo com o </w:t>
      </w:r>
      <w:r w:rsidR="0003518D">
        <w:rPr>
          <w:sz w:val="22"/>
          <w:szCs w:val="22"/>
        </w:rPr>
        <w:t>Í</w:t>
      </w:r>
      <w:r w:rsidRPr="00A84A8D">
        <w:rPr>
          <w:sz w:val="22"/>
          <w:szCs w:val="22"/>
        </w:rPr>
        <w:t xml:space="preserve">ndice de </w:t>
      </w:r>
      <w:r w:rsidR="0003518D">
        <w:rPr>
          <w:sz w:val="22"/>
          <w:szCs w:val="22"/>
        </w:rPr>
        <w:t>A</w:t>
      </w:r>
      <w:r w:rsidRPr="00A84A8D">
        <w:rPr>
          <w:sz w:val="22"/>
          <w:szCs w:val="22"/>
        </w:rPr>
        <w:t xml:space="preserve">tividade de </w:t>
      </w:r>
      <w:r w:rsidR="0003518D">
        <w:rPr>
          <w:sz w:val="22"/>
          <w:szCs w:val="22"/>
        </w:rPr>
        <w:t>C</w:t>
      </w:r>
      <w:r w:rsidRPr="00A84A8D">
        <w:rPr>
          <w:sz w:val="22"/>
          <w:szCs w:val="22"/>
        </w:rPr>
        <w:t xml:space="preserve">olite </w:t>
      </w:r>
      <w:r w:rsidR="0003518D">
        <w:rPr>
          <w:sz w:val="22"/>
          <w:szCs w:val="22"/>
        </w:rPr>
        <w:t>U</w:t>
      </w:r>
      <w:r w:rsidRPr="00A84A8D">
        <w:rPr>
          <w:sz w:val="22"/>
          <w:szCs w:val="22"/>
        </w:rPr>
        <w:t xml:space="preserve">lcerosa </w:t>
      </w:r>
      <w:r w:rsidR="0003518D">
        <w:rPr>
          <w:sz w:val="22"/>
          <w:szCs w:val="22"/>
        </w:rPr>
        <w:t>P</w:t>
      </w:r>
      <w:r w:rsidRPr="00A84A8D">
        <w:rPr>
          <w:sz w:val="22"/>
          <w:szCs w:val="22"/>
        </w:rPr>
        <w:t xml:space="preserve">ediátrica (PUCAI) (definida como uma diminuição do PUCAI ≥ 20 pontos em comparação com os valores </w:t>
      </w:r>
      <w:r w:rsidR="0003518D">
        <w:rPr>
          <w:sz w:val="22"/>
          <w:szCs w:val="22"/>
        </w:rPr>
        <w:t>iniciais</w:t>
      </w:r>
      <w:r w:rsidRPr="00A84A8D">
        <w:rPr>
          <w:sz w:val="22"/>
          <w:szCs w:val="22"/>
        </w:rPr>
        <w:t>) e a remissão clínica de acordo com o PUCAI (definida como PUCAI &lt; 10) na Se</w:t>
      </w:r>
      <w:r>
        <w:rPr>
          <w:sz w:val="22"/>
          <w:szCs w:val="22"/>
        </w:rPr>
        <w:t>mana 8 e na Semana 52 (Tabela 23</w:t>
      </w:r>
      <w:r w:rsidRPr="00A84A8D">
        <w:rPr>
          <w:sz w:val="22"/>
          <w:szCs w:val="22"/>
        </w:rPr>
        <w:t xml:space="preserve">). </w:t>
      </w:r>
    </w:p>
    <w:p w14:paraId="40C8E25D" w14:textId="77777777" w:rsidR="005B24D2" w:rsidRPr="00A84A8D" w:rsidRDefault="005B24D2" w:rsidP="005B24D2">
      <w:pPr>
        <w:rPr>
          <w:sz w:val="22"/>
          <w:szCs w:val="22"/>
        </w:rPr>
      </w:pPr>
    </w:p>
    <w:tbl>
      <w:tblPr>
        <w:tblW w:w="8262" w:type="dxa"/>
        <w:jc w:val="center"/>
        <w:tblCellMar>
          <w:left w:w="0" w:type="dxa"/>
          <w:right w:w="0" w:type="dxa"/>
        </w:tblCellMar>
        <w:tblLook w:val="04A0" w:firstRow="1" w:lastRow="0" w:firstColumn="1" w:lastColumn="0" w:noHBand="0" w:noVBand="1"/>
      </w:tblPr>
      <w:tblGrid>
        <w:gridCol w:w="2934"/>
        <w:gridCol w:w="2898"/>
        <w:gridCol w:w="2430"/>
      </w:tblGrid>
      <w:tr w:rsidR="00A7162A" w14:paraId="380A05A5" w14:textId="77777777" w:rsidTr="00AB53A0">
        <w:trPr>
          <w:trHeight w:val="60"/>
          <w:jc w:val="center"/>
        </w:trPr>
        <w:tc>
          <w:tcPr>
            <w:tcW w:w="8262" w:type="dxa"/>
            <w:gridSpan w:val="3"/>
            <w:tcMar>
              <w:top w:w="0" w:type="dxa"/>
              <w:left w:w="108" w:type="dxa"/>
              <w:bottom w:w="0" w:type="dxa"/>
              <w:right w:w="108" w:type="dxa"/>
            </w:tcMar>
            <w:hideMark/>
          </w:tcPr>
          <w:p w14:paraId="75A0E1F9" w14:textId="77777777" w:rsidR="005B24D2" w:rsidRPr="00A84A8D" w:rsidRDefault="00615769" w:rsidP="002F486F">
            <w:pPr>
              <w:keepNext/>
              <w:spacing w:line="276" w:lineRule="auto"/>
              <w:jc w:val="center"/>
              <w:rPr>
                <w:b/>
                <w:bCs/>
                <w:sz w:val="22"/>
                <w:szCs w:val="22"/>
              </w:rPr>
            </w:pPr>
            <w:r w:rsidRPr="00A84A8D">
              <w:rPr>
                <w:b/>
                <w:bCs/>
                <w:sz w:val="22"/>
                <w:szCs w:val="22"/>
              </w:rPr>
              <w:t>Tabela </w:t>
            </w:r>
            <w:r>
              <w:rPr>
                <w:b/>
                <w:bCs/>
                <w:sz w:val="22"/>
                <w:szCs w:val="22"/>
              </w:rPr>
              <w:t>23</w:t>
            </w:r>
            <w:r w:rsidRPr="00A84A8D">
              <w:rPr>
                <w:b/>
                <w:bCs/>
                <w:sz w:val="22"/>
                <w:szCs w:val="22"/>
              </w:rPr>
              <w:t xml:space="preserve">: Resultados dos </w:t>
            </w:r>
            <w:r w:rsidR="00B10B70">
              <w:rPr>
                <w:b/>
                <w:bCs/>
                <w:sz w:val="22"/>
                <w:szCs w:val="22"/>
              </w:rPr>
              <w:t>O</w:t>
            </w:r>
            <w:r w:rsidRPr="00A84A8D">
              <w:rPr>
                <w:b/>
                <w:bCs/>
                <w:sz w:val="22"/>
                <w:szCs w:val="22"/>
              </w:rPr>
              <w:t xml:space="preserve">bjetivos </w:t>
            </w:r>
            <w:r w:rsidR="00B10B70">
              <w:rPr>
                <w:b/>
                <w:bCs/>
                <w:sz w:val="22"/>
                <w:szCs w:val="22"/>
              </w:rPr>
              <w:t>E</w:t>
            </w:r>
            <w:r w:rsidRPr="00A84A8D">
              <w:rPr>
                <w:b/>
                <w:bCs/>
                <w:sz w:val="22"/>
                <w:szCs w:val="22"/>
              </w:rPr>
              <w:t>xploratórios de acordo com o PUCAI</w:t>
            </w:r>
          </w:p>
        </w:tc>
      </w:tr>
      <w:tr w:rsidR="00A7162A" w14:paraId="1671025C" w14:textId="77777777" w:rsidTr="00AB53A0">
        <w:trPr>
          <w:trHeight w:val="265"/>
          <w:jc w:val="center"/>
        </w:trPr>
        <w:tc>
          <w:tcPr>
            <w:tcW w:w="2934"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73874BE7" w14:textId="77777777" w:rsidR="005B24D2" w:rsidRPr="00A84A8D" w:rsidRDefault="005B24D2" w:rsidP="002F486F">
            <w:pPr>
              <w:keepNext/>
              <w:spacing w:line="276" w:lineRule="auto"/>
              <w:rPr>
                <w:sz w:val="22"/>
                <w:szCs w:val="22"/>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77C944" w14:textId="77777777" w:rsidR="005B24D2" w:rsidRPr="00A84A8D" w:rsidRDefault="00615769" w:rsidP="002F486F">
            <w:pPr>
              <w:keepNext/>
              <w:spacing w:line="276" w:lineRule="auto"/>
              <w:jc w:val="center"/>
              <w:rPr>
                <w:b/>
                <w:bCs/>
                <w:sz w:val="22"/>
                <w:szCs w:val="22"/>
              </w:rPr>
            </w:pPr>
            <w:r>
              <w:rPr>
                <w:b/>
                <w:bCs/>
                <w:sz w:val="22"/>
                <w:szCs w:val="22"/>
              </w:rPr>
              <w:t>Semana </w:t>
            </w:r>
            <w:r w:rsidRPr="00A84A8D">
              <w:rPr>
                <w:b/>
                <w:bCs/>
                <w:sz w:val="22"/>
                <w:szCs w:val="22"/>
              </w:rPr>
              <w:t>8</w:t>
            </w:r>
          </w:p>
        </w:tc>
      </w:tr>
      <w:tr w:rsidR="00A7162A" w14:paraId="6CB7D66C" w14:textId="77777777" w:rsidTr="00AB53A0">
        <w:trPr>
          <w:trHeight w:val="1042"/>
          <w:jc w:val="center"/>
        </w:trPr>
        <w:tc>
          <w:tcPr>
            <w:tcW w:w="0" w:type="auto"/>
            <w:vMerge/>
            <w:tcBorders>
              <w:top w:val="single" w:sz="4" w:space="0" w:color="auto"/>
              <w:left w:val="single" w:sz="8" w:space="0" w:color="auto"/>
              <w:bottom w:val="single" w:sz="8" w:space="0" w:color="auto"/>
              <w:right w:val="single" w:sz="4" w:space="0" w:color="auto"/>
            </w:tcBorders>
            <w:vAlign w:val="center"/>
            <w:hideMark/>
          </w:tcPr>
          <w:p w14:paraId="08742FEF" w14:textId="77777777" w:rsidR="005B24D2" w:rsidRPr="00A84A8D" w:rsidRDefault="005B24D2" w:rsidP="002F486F">
            <w:pPr>
              <w:keepNext/>
              <w:spacing w:line="276" w:lineRule="auto"/>
              <w:rPr>
                <w:sz w:val="22"/>
                <w:szCs w:val="22"/>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5F9340" w14:textId="77777777" w:rsidR="005B24D2" w:rsidRPr="005B24D2" w:rsidRDefault="00615769" w:rsidP="002F486F">
            <w:pPr>
              <w:keepNext/>
              <w:spacing w:line="276" w:lineRule="auto"/>
              <w:jc w:val="center"/>
              <w:rPr>
                <w:b/>
                <w:bCs/>
                <w:sz w:val="22"/>
                <w:szCs w:val="22"/>
                <w:vertAlign w:val="superscript"/>
              </w:rPr>
            </w:pPr>
            <w:r w:rsidRPr="005B24D2">
              <w:rPr>
                <w:b/>
                <w:bCs/>
                <w:sz w:val="22"/>
                <w:szCs w:val="22"/>
              </w:rPr>
              <w:t>Humira</w:t>
            </w:r>
            <w:r w:rsidRPr="005B24D2">
              <w:rPr>
                <w:b/>
                <w:bCs/>
                <w:sz w:val="22"/>
                <w:szCs w:val="22"/>
                <w:vertAlign w:val="superscript"/>
              </w:rPr>
              <w:t>a</w:t>
            </w:r>
          </w:p>
          <w:p w14:paraId="29A0FDA1" w14:textId="77777777" w:rsidR="005B24D2" w:rsidRPr="00A84A8D" w:rsidRDefault="00615769" w:rsidP="002F486F">
            <w:pPr>
              <w:keepNext/>
              <w:spacing w:line="276" w:lineRule="auto"/>
              <w:jc w:val="center"/>
              <w:rPr>
                <w:b/>
                <w:bCs/>
                <w:sz w:val="22"/>
                <w:szCs w:val="22"/>
              </w:rPr>
            </w:pPr>
            <w:r w:rsidRPr="00A84A8D">
              <w:rPr>
                <w:b/>
                <w:bCs/>
                <w:sz w:val="22"/>
                <w:szCs w:val="22"/>
              </w:rPr>
              <w:t>Máximo de 160 mg na Semana 0 / Placebo na Semana 1</w:t>
            </w:r>
          </w:p>
          <w:p w14:paraId="202EDB3D" w14:textId="77777777" w:rsidR="005B24D2" w:rsidRPr="00A84A8D" w:rsidRDefault="00615769" w:rsidP="002F486F">
            <w:pPr>
              <w:keepNext/>
              <w:spacing w:line="276" w:lineRule="auto"/>
              <w:jc w:val="center"/>
              <w:rPr>
                <w:sz w:val="22"/>
                <w:szCs w:val="22"/>
              </w:rPr>
            </w:pPr>
            <w:r w:rsidRPr="00A84A8D">
              <w:rPr>
                <w:sz w:val="22"/>
                <w:szCs w:val="22"/>
              </w:rPr>
              <w:t>N=30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9D6D28" w14:textId="77777777" w:rsidR="005B24D2" w:rsidRPr="005B24D2" w:rsidRDefault="00615769" w:rsidP="002F486F">
            <w:pPr>
              <w:keepNext/>
              <w:spacing w:line="276" w:lineRule="auto"/>
              <w:jc w:val="center"/>
              <w:rPr>
                <w:b/>
                <w:bCs/>
                <w:sz w:val="22"/>
                <w:szCs w:val="22"/>
                <w:vertAlign w:val="superscript"/>
              </w:rPr>
            </w:pPr>
            <w:r w:rsidRPr="005B24D2">
              <w:rPr>
                <w:b/>
                <w:bCs/>
                <w:sz w:val="22"/>
                <w:szCs w:val="22"/>
              </w:rPr>
              <w:t>Humira</w:t>
            </w:r>
            <w:r w:rsidRPr="005B24D2">
              <w:rPr>
                <w:b/>
                <w:bCs/>
                <w:sz w:val="22"/>
                <w:szCs w:val="22"/>
                <w:vertAlign w:val="superscript"/>
              </w:rPr>
              <w:t>b,c</w:t>
            </w:r>
          </w:p>
          <w:p w14:paraId="727161A2" w14:textId="77777777" w:rsidR="005B24D2" w:rsidRPr="00A84A8D" w:rsidRDefault="00615769" w:rsidP="002F486F">
            <w:pPr>
              <w:keepNext/>
              <w:spacing w:line="276" w:lineRule="auto"/>
              <w:jc w:val="center"/>
              <w:rPr>
                <w:b/>
                <w:bCs/>
                <w:sz w:val="22"/>
                <w:szCs w:val="22"/>
              </w:rPr>
            </w:pPr>
            <w:r w:rsidRPr="00A84A8D">
              <w:rPr>
                <w:b/>
                <w:bCs/>
                <w:sz w:val="22"/>
                <w:szCs w:val="22"/>
              </w:rPr>
              <w:t>Máximo de 160 mg na Semana 0 e Semana 1</w:t>
            </w:r>
          </w:p>
          <w:p w14:paraId="02BB7659" w14:textId="77777777" w:rsidR="005B24D2" w:rsidRPr="00A84A8D" w:rsidRDefault="00615769" w:rsidP="002F486F">
            <w:pPr>
              <w:keepNext/>
              <w:spacing w:line="276" w:lineRule="auto"/>
              <w:jc w:val="center"/>
              <w:rPr>
                <w:sz w:val="22"/>
                <w:szCs w:val="22"/>
              </w:rPr>
            </w:pPr>
            <w:r w:rsidRPr="00A84A8D">
              <w:rPr>
                <w:sz w:val="22"/>
                <w:szCs w:val="22"/>
              </w:rPr>
              <w:t>N=47</w:t>
            </w:r>
          </w:p>
        </w:tc>
      </w:tr>
      <w:tr w:rsidR="00A7162A" w14:paraId="55111069" w14:textId="77777777" w:rsidTr="00AB53A0">
        <w:trPr>
          <w:trHeight w:val="202"/>
          <w:jc w:val="center"/>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A9DFE0" w14:textId="77777777" w:rsidR="005B24D2" w:rsidRPr="00A84A8D" w:rsidRDefault="00615769" w:rsidP="002F486F">
            <w:pPr>
              <w:keepNext/>
              <w:spacing w:line="276" w:lineRule="auto"/>
              <w:rPr>
                <w:sz w:val="22"/>
                <w:szCs w:val="22"/>
              </w:rPr>
            </w:pPr>
            <w:r w:rsidRPr="00A84A8D">
              <w:rPr>
                <w:sz w:val="22"/>
                <w:szCs w:val="22"/>
              </w:rPr>
              <w:t>Remissão clínica de acordo com o PUCAI</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06FE81D9" w14:textId="77777777" w:rsidR="005B24D2" w:rsidRPr="00A84A8D" w:rsidRDefault="00615769" w:rsidP="002F486F">
            <w:pPr>
              <w:keepNext/>
              <w:spacing w:line="276" w:lineRule="auto"/>
              <w:jc w:val="center"/>
              <w:rPr>
                <w:sz w:val="22"/>
                <w:szCs w:val="22"/>
              </w:rPr>
            </w:pPr>
            <w:r w:rsidRPr="00A84A8D">
              <w:rPr>
                <w:sz w:val="22"/>
                <w:szCs w:val="22"/>
              </w:rPr>
              <w:t>10/30 (33</w:t>
            </w:r>
            <w:r>
              <w:rPr>
                <w:sz w:val="22"/>
                <w:szCs w:val="22"/>
              </w:rPr>
              <w:t>,</w:t>
            </w:r>
            <w:r w:rsidRPr="00A84A8D">
              <w:rPr>
                <w:sz w:val="22"/>
                <w:szCs w:val="22"/>
              </w:rPr>
              <w:t>3%)</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6CC823C4" w14:textId="77777777" w:rsidR="005B24D2" w:rsidRPr="00A84A8D" w:rsidRDefault="00615769" w:rsidP="002F486F">
            <w:pPr>
              <w:keepNext/>
              <w:spacing w:line="276" w:lineRule="auto"/>
              <w:jc w:val="center"/>
              <w:rPr>
                <w:sz w:val="22"/>
                <w:szCs w:val="22"/>
              </w:rPr>
            </w:pPr>
            <w:r w:rsidRPr="00A84A8D">
              <w:rPr>
                <w:sz w:val="22"/>
                <w:szCs w:val="22"/>
              </w:rPr>
              <w:t>22/47 (46</w:t>
            </w:r>
            <w:r>
              <w:rPr>
                <w:sz w:val="22"/>
                <w:szCs w:val="22"/>
              </w:rPr>
              <w:t>,</w:t>
            </w:r>
            <w:r w:rsidRPr="00A84A8D">
              <w:rPr>
                <w:sz w:val="22"/>
                <w:szCs w:val="22"/>
              </w:rPr>
              <w:t>8%)</w:t>
            </w:r>
          </w:p>
        </w:tc>
      </w:tr>
      <w:tr w:rsidR="00A7162A" w14:paraId="2554744A" w14:textId="77777777" w:rsidTr="00AB53A0">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AAF6FE1" w14:textId="77777777" w:rsidR="005B24D2" w:rsidRPr="00A84A8D" w:rsidRDefault="00615769" w:rsidP="002F486F">
            <w:pPr>
              <w:keepNext/>
              <w:spacing w:line="276" w:lineRule="auto"/>
              <w:rPr>
                <w:sz w:val="22"/>
                <w:szCs w:val="22"/>
              </w:rPr>
            </w:pPr>
            <w:r w:rsidRPr="00A84A8D">
              <w:rPr>
                <w:sz w:val="22"/>
                <w:szCs w:val="22"/>
              </w:rPr>
              <w:t>Resposta clínica de acordo com o PUCAI</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0763B527" w14:textId="77777777" w:rsidR="005B24D2" w:rsidRPr="00A84A8D" w:rsidRDefault="00615769" w:rsidP="002F486F">
            <w:pPr>
              <w:keepNext/>
              <w:spacing w:line="276" w:lineRule="auto"/>
              <w:jc w:val="center"/>
              <w:rPr>
                <w:sz w:val="22"/>
                <w:szCs w:val="22"/>
              </w:rPr>
            </w:pPr>
            <w:r w:rsidRPr="00A84A8D">
              <w:rPr>
                <w:sz w:val="22"/>
                <w:szCs w:val="22"/>
              </w:rPr>
              <w:t>15/30 (50</w:t>
            </w:r>
            <w:r>
              <w:rPr>
                <w:sz w:val="22"/>
                <w:szCs w:val="22"/>
              </w:rPr>
              <w:t>,</w:t>
            </w:r>
            <w:r w:rsidRPr="00A84A8D">
              <w:rPr>
                <w:sz w:val="22"/>
                <w:szCs w:val="22"/>
              </w:rPr>
              <w:t>0%)</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1729454E" w14:textId="77777777" w:rsidR="005B24D2" w:rsidRPr="00A84A8D" w:rsidRDefault="00615769" w:rsidP="002F486F">
            <w:pPr>
              <w:keepNext/>
              <w:spacing w:line="276" w:lineRule="auto"/>
              <w:jc w:val="center"/>
              <w:rPr>
                <w:sz w:val="22"/>
                <w:szCs w:val="22"/>
              </w:rPr>
            </w:pPr>
            <w:r w:rsidRPr="00A84A8D">
              <w:rPr>
                <w:sz w:val="22"/>
                <w:szCs w:val="22"/>
              </w:rPr>
              <w:t>32/47 (68</w:t>
            </w:r>
            <w:r>
              <w:rPr>
                <w:sz w:val="22"/>
                <w:szCs w:val="22"/>
              </w:rPr>
              <w:t>,</w:t>
            </w:r>
            <w:r w:rsidRPr="00A84A8D">
              <w:rPr>
                <w:sz w:val="22"/>
                <w:szCs w:val="22"/>
              </w:rPr>
              <w:t>1%)</w:t>
            </w:r>
          </w:p>
        </w:tc>
      </w:tr>
      <w:tr w:rsidR="00A7162A" w14:paraId="7C6FD23D" w14:textId="77777777" w:rsidTr="00AB53A0">
        <w:trPr>
          <w:trHeight w:val="238"/>
          <w:jc w:val="center"/>
        </w:trPr>
        <w:tc>
          <w:tcPr>
            <w:tcW w:w="2934"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33FE0224" w14:textId="77777777" w:rsidR="005B24D2" w:rsidRPr="00A84A8D" w:rsidRDefault="005B24D2" w:rsidP="002F486F">
            <w:pPr>
              <w:keepNext/>
              <w:spacing w:line="276" w:lineRule="auto"/>
              <w:rPr>
                <w:sz w:val="22"/>
                <w:szCs w:val="22"/>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32A4EEF4" w14:textId="77777777" w:rsidR="005B24D2" w:rsidRPr="00A84A8D" w:rsidRDefault="00615769" w:rsidP="002F486F">
            <w:pPr>
              <w:keepNext/>
              <w:spacing w:line="276" w:lineRule="auto"/>
              <w:jc w:val="center"/>
              <w:rPr>
                <w:b/>
                <w:bCs/>
                <w:sz w:val="22"/>
                <w:szCs w:val="22"/>
              </w:rPr>
            </w:pPr>
            <w:r>
              <w:rPr>
                <w:b/>
                <w:bCs/>
                <w:sz w:val="22"/>
                <w:szCs w:val="22"/>
              </w:rPr>
              <w:t>Semana </w:t>
            </w:r>
            <w:r w:rsidRPr="00A84A8D">
              <w:rPr>
                <w:b/>
                <w:bCs/>
                <w:sz w:val="22"/>
                <w:szCs w:val="22"/>
              </w:rPr>
              <w:t>52</w:t>
            </w:r>
          </w:p>
        </w:tc>
      </w:tr>
      <w:tr w:rsidR="00A7162A" w14:paraId="2F1028A1" w14:textId="77777777" w:rsidTr="00AB53A0">
        <w:trPr>
          <w:trHeight w:val="238"/>
          <w:jc w:val="center"/>
        </w:trPr>
        <w:tc>
          <w:tcPr>
            <w:tcW w:w="0" w:type="auto"/>
            <w:vMerge/>
            <w:tcBorders>
              <w:top w:val="nil"/>
              <w:left w:val="single" w:sz="8" w:space="0" w:color="auto"/>
              <w:bottom w:val="single" w:sz="4" w:space="0" w:color="auto"/>
              <w:right w:val="single" w:sz="8" w:space="0" w:color="auto"/>
            </w:tcBorders>
            <w:vAlign w:val="center"/>
            <w:hideMark/>
          </w:tcPr>
          <w:p w14:paraId="68E178ED" w14:textId="77777777" w:rsidR="005B24D2" w:rsidRPr="00A84A8D" w:rsidRDefault="005B24D2" w:rsidP="002F486F">
            <w:pPr>
              <w:keepNext/>
              <w:spacing w:line="276" w:lineRule="auto"/>
              <w:rPr>
                <w:sz w:val="22"/>
                <w:szCs w:val="22"/>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2CE90539" w14:textId="77777777" w:rsidR="005B24D2" w:rsidRPr="005B24D2" w:rsidRDefault="00615769" w:rsidP="002F486F">
            <w:pPr>
              <w:keepNext/>
              <w:spacing w:line="276" w:lineRule="auto"/>
              <w:jc w:val="center"/>
              <w:rPr>
                <w:b/>
                <w:bCs/>
                <w:sz w:val="22"/>
                <w:szCs w:val="22"/>
                <w:vertAlign w:val="superscript"/>
              </w:rPr>
            </w:pPr>
            <w:r w:rsidRPr="005B24D2">
              <w:rPr>
                <w:b/>
                <w:bCs/>
                <w:sz w:val="22"/>
                <w:szCs w:val="22"/>
              </w:rPr>
              <w:t>Humira</w:t>
            </w:r>
            <w:r w:rsidRPr="005B24D2">
              <w:rPr>
                <w:b/>
                <w:bCs/>
                <w:sz w:val="22"/>
                <w:szCs w:val="22"/>
                <w:vertAlign w:val="superscript"/>
              </w:rPr>
              <w:t>d</w:t>
            </w:r>
          </w:p>
          <w:p w14:paraId="027A2F7B" w14:textId="77777777" w:rsidR="005B24D2" w:rsidRPr="00D22E86" w:rsidRDefault="00615769" w:rsidP="002F486F">
            <w:pPr>
              <w:keepNext/>
              <w:spacing w:line="276" w:lineRule="auto"/>
              <w:jc w:val="center"/>
              <w:rPr>
                <w:b/>
                <w:bCs/>
                <w:sz w:val="22"/>
                <w:szCs w:val="22"/>
              </w:rPr>
            </w:pPr>
            <w:r w:rsidRPr="00D22E86">
              <w:rPr>
                <w:b/>
                <w:bCs/>
                <w:sz w:val="22"/>
                <w:szCs w:val="22"/>
              </w:rPr>
              <w:t>Máximo de 40 mg em semanas alternadas</w:t>
            </w:r>
          </w:p>
          <w:p w14:paraId="247C3802" w14:textId="77777777" w:rsidR="005B24D2" w:rsidRPr="00A84A8D" w:rsidRDefault="00615769" w:rsidP="002F486F">
            <w:pPr>
              <w:keepNext/>
              <w:spacing w:line="276" w:lineRule="auto"/>
              <w:jc w:val="center"/>
              <w:rPr>
                <w:sz w:val="22"/>
                <w:szCs w:val="22"/>
                <w:lang w:val="en-US"/>
              </w:rPr>
            </w:pPr>
            <w:r w:rsidRPr="00A84A8D">
              <w:rPr>
                <w:sz w:val="22"/>
                <w:szCs w:val="22"/>
                <w:lang w:val="en-US"/>
              </w:rPr>
              <w:t>N=31</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4C7D72A7" w14:textId="77777777" w:rsidR="005B24D2" w:rsidRPr="005B24D2" w:rsidRDefault="00615769" w:rsidP="002F486F">
            <w:pPr>
              <w:keepNext/>
              <w:spacing w:line="276" w:lineRule="auto"/>
              <w:jc w:val="center"/>
              <w:rPr>
                <w:b/>
                <w:bCs/>
                <w:sz w:val="22"/>
                <w:szCs w:val="22"/>
                <w:vertAlign w:val="superscript"/>
              </w:rPr>
            </w:pPr>
            <w:r w:rsidRPr="005B24D2">
              <w:rPr>
                <w:b/>
                <w:bCs/>
                <w:sz w:val="22"/>
                <w:szCs w:val="22"/>
              </w:rPr>
              <w:t>Humira</w:t>
            </w:r>
            <w:r w:rsidRPr="005B24D2">
              <w:rPr>
                <w:b/>
                <w:bCs/>
                <w:sz w:val="22"/>
                <w:szCs w:val="22"/>
                <w:vertAlign w:val="superscript"/>
              </w:rPr>
              <w:t>e</w:t>
            </w:r>
          </w:p>
          <w:p w14:paraId="03A45DEB" w14:textId="77777777" w:rsidR="005B24D2" w:rsidRPr="005B24D2" w:rsidRDefault="00615769" w:rsidP="002F486F">
            <w:pPr>
              <w:keepNext/>
              <w:spacing w:line="276" w:lineRule="auto"/>
              <w:jc w:val="center"/>
              <w:rPr>
                <w:b/>
                <w:bCs/>
                <w:sz w:val="22"/>
                <w:szCs w:val="22"/>
              </w:rPr>
            </w:pPr>
            <w:r w:rsidRPr="005B24D2">
              <w:rPr>
                <w:b/>
                <w:bCs/>
                <w:sz w:val="22"/>
                <w:szCs w:val="22"/>
              </w:rPr>
              <w:t>Máximo de 40 mg semanalmente</w:t>
            </w:r>
          </w:p>
          <w:p w14:paraId="53B3AD67" w14:textId="77777777" w:rsidR="005B24D2" w:rsidRPr="005B24D2" w:rsidRDefault="00615769" w:rsidP="002F486F">
            <w:pPr>
              <w:keepNext/>
              <w:spacing w:line="276" w:lineRule="auto"/>
              <w:jc w:val="center"/>
              <w:rPr>
                <w:sz w:val="22"/>
                <w:szCs w:val="22"/>
              </w:rPr>
            </w:pPr>
            <w:r w:rsidRPr="005B24D2">
              <w:rPr>
                <w:sz w:val="22"/>
                <w:szCs w:val="22"/>
              </w:rPr>
              <w:t>N=31</w:t>
            </w:r>
          </w:p>
        </w:tc>
      </w:tr>
      <w:tr w:rsidR="00A7162A" w14:paraId="56F056F2" w14:textId="77777777" w:rsidTr="00AB53A0">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9F364A9" w14:textId="77777777" w:rsidR="005B24D2" w:rsidRPr="00A84A8D" w:rsidRDefault="00615769" w:rsidP="002F486F">
            <w:pPr>
              <w:keepNext/>
              <w:spacing w:line="276" w:lineRule="auto"/>
              <w:rPr>
                <w:sz w:val="22"/>
                <w:szCs w:val="22"/>
              </w:rPr>
            </w:pPr>
            <w:r w:rsidRPr="00A84A8D">
              <w:rPr>
                <w:sz w:val="22"/>
                <w:szCs w:val="22"/>
              </w:rPr>
              <w:t>Remissão clínica de acordo com o PUCAI nos respondedores PMS da Semana 8</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29695567" w14:textId="77777777" w:rsidR="005B24D2" w:rsidRPr="00A84A8D" w:rsidRDefault="00615769" w:rsidP="002F486F">
            <w:pPr>
              <w:keepNext/>
              <w:spacing w:line="276" w:lineRule="auto"/>
              <w:jc w:val="center"/>
              <w:rPr>
                <w:sz w:val="22"/>
                <w:szCs w:val="22"/>
              </w:rPr>
            </w:pPr>
            <w:r w:rsidRPr="00A84A8D">
              <w:rPr>
                <w:sz w:val="22"/>
                <w:szCs w:val="22"/>
              </w:rPr>
              <w:t>14/31 (45</w:t>
            </w:r>
            <w:r>
              <w:rPr>
                <w:sz w:val="22"/>
                <w:szCs w:val="22"/>
              </w:rPr>
              <w:t>,</w:t>
            </w:r>
            <w:r w:rsidRPr="00A84A8D">
              <w:rPr>
                <w:sz w:val="22"/>
                <w:szCs w:val="22"/>
              </w:rPr>
              <w:t>2%)</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48FE1820" w14:textId="77777777" w:rsidR="005B24D2" w:rsidRPr="00A84A8D" w:rsidRDefault="00615769" w:rsidP="002F486F">
            <w:pPr>
              <w:keepNext/>
              <w:spacing w:line="276" w:lineRule="auto"/>
              <w:jc w:val="center"/>
              <w:rPr>
                <w:sz w:val="22"/>
                <w:szCs w:val="22"/>
              </w:rPr>
            </w:pPr>
            <w:r w:rsidRPr="00A84A8D">
              <w:rPr>
                <w:sz w:val="22"/>
                <w:szCs w:val="22"/>
              </w:rPr>
              <w:t>18/31 (58</w:t>
            </w:r>
            <w:r>
              <w:rPr>
                <w:sz w:val="22"/>
                <w:szCs w:val="22"/>
              </w:rPr>
              <w:t>,</w:t>
            </w:r>
            <w:r w:rsidRPr="00A84A8D">
              <w:rPr>
                <w:sz w:val="22"/>
                <w:szCs w:val="22"/>
              </w:rPr>
              <w:t>1%)</w:t>
            </w:r>
          </w:p>
        </w:tc>
      </w:tr>
      <w:tr w:rsidR="00A7162A" w14:paraId="21E24CC0" w14:textId="77777777" w:rsidTr="00AB53A0">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D445B27" w14:textId="77777777" w:rsidR="005B24D2" w:rsidRPr="00A84A8D" w:rsidRDefault="00615769" w:rsidP="002F486F">
            <w:pPr>
              <w:keepNext/>
              <w:spacing w:line="276" w:lineRule="auto"/>
              <w:rPr>
                <w:sz w:val="22"/>
                <w:szCs w:val="22"/>
              </w:rPr>
            </w:pPr>
            <w:r w:rsidRPr="00A84A8D">
              <w:rPr>
                <w:sz w:val="22"/>
                <w:szCs w:val="22"/>
              </w:rPr>
              <w:t>Resposta clínica de acordo com o PUCAI nos respondedores PMS da Semana 8</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2269CDD2" w14:textId="77777777" w:rsidR="005B24D2" w:rsidRPr="00A84A8D" w:rsidRDefault="00615769" w:rsidP="002F486F">
            <w:pPr>
              <w:keepNext/>
              <w:spacing w:line="276" w:lineRule="auto"/>
              <w:jc w:val="center"/>
              <w:rPr>
                <w:sz w:val="22"/>
                <w:szCs w:val="22"/>
              </w:rPr>
            </w:pPr>
            <w:r w:rsidRPr="00A84A8D">
              <w:rPr>
                <w:sz w:val="22"/>
                <w:szCs w:val="22"/>
              </w:rPr>
              <w:t>18/31 (58</w:t>
            </w:r>
            <w:r>
              <w:rPr>
                <w:sz w:val="22"/>
                <w:szCs w:val="22"/>
              </w:rPr>
              <w:t>,</w:t>
            </w:r>
            <w:r w:rsidRPr="00A84A8D">
              <w:rPr>
                <w:sz w:val="22"/>
                <w:szCs w:val="22"/>
              </w:rPr>
              <w:t>1%)</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5009C548" w14:textId="77777777" w:rsidR="005B24D2" w:rsidRPr="00A84A8D" w:rsidRDefault="00615769" w:rsidP="002F486F">
            <w:pPr>
              <w:keepNext/>
              <w:spacing w:line="276" w:lineRule="auto"/>
              <w:jc w:val="center"/>
              <w:rPr>
                <w:sz w:val="22"/>
                <w:szCs w:val="22"/>
              </w:rPr>
            </w:pPr>
            <w:r w:rsidRPr="00A84A8D">
              <w:rPr>
                <w:sz w:val="22"/>
                <w:szCs w:val="22"/>
              </w:rPr>
              <w:t>16/31 (51</w:t>
            </w:r>
            <w:r>
              <w:rPr>
                <w:sz w:val="22"/>
                <w:szCs w:val="22"/>
              </w:rPr>
              <w:t>,</w:t>
            </w:r>
            <w:r w:rsidRPr="00A84A8D">
              <w:rPr>
                <w:sz w:val="22"/>
                <w:szCs w:val="22"/>
              </w:rPr>
              <w:t>6%)</w:t>
            </w:r>
          </w:p>
        </w:tc>
      </w:tr>
      <w:tr w:rsidR="00A7162A" w14:paraId="4447CD27" w14:textId="77777777" w:rsidTr="00AB53A0">
        <w:trPr>
          <w:trHeight w:val="533"/>
          <w:jc w:val="center"/>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1A72351" w14:textId="77777777" w:rsidR="005B24D2" w:rsidRPr="00A84A8D" w:rsidRDefault="00615769" w:rsidP="002F486F">
            <w:pPr>
              <w:keepNext/>
              <w:spacing w:line="276" w:lineRule="auto"/>
              <w:rPr>
                <w:rStyle w:val="eop"/>
                <w:sz w:val="22"/>
                <w:szCs w:val="22"/>
              </w:rPr>
            </w:pPr>
            <w:r w:rsidRPr="00A84A8D">
              <w:rPr>
                <w:sz w:val="22"/>
                <w:szCs w:val="22"/>
                <w:vertAlign w:val="superscript"/>
              </w:rPr>
              <w:t>a </w:t>
            </w:r>
            <w:r w:rsidRPr="00A84A8D">
              <w:rPr>
                <w:sz w:val="22"/>
                <w:szCs w:val="22"/>
              </w:rPr>
              <w:t>Humira 2,4 mg/kg (</w:t>
            </w:r>
            <w:r>
              <w:rPr>
                <w:sz w:val="22"/>
                <w:szCs w:val="22"/>
              </w:rPr>
              <w:t>máximo de </w:t>
            </w:r>
            <w:r w:rsidRPr="00A84A8D">
              <w:rPr>
                <w:sz w:val="22"/>
                <w:szCs w:val="22"/>
              </w:rPr>
              <w:t>160 mg) na Semana 0, p</w:t>
            </w:r>
            <w:r>
              <w:rPr>
                <w:sz w:val="22"/>
                <w:szCs w:val="22"/>
              </w:rPr>
              <w:t xml:space="preserve">lacebo na Semana 1, e 1,2 mg/kg </w:t>
            </w:r>
            <w:r w:rsidRPr="00A84A8D">
              <w:rPr>
                <w:sz w:val="22"/>
                <w:szCs w:val="22"/>
              </w:rPr>
              <w:t>(máximo</w:t>
            </w:r>
            <w:r>
              <w:rPr>
                <w:sz w:val="22"/>
                <w:szCs w:val="22"/>
              </w:rPr>
              <w:t xml:space="preserve"> de </w:t>
            </w:r>
            <w:r w:rsidRPr="00A84A8D">
              <w:rPr>
                <w:sz w:val="22"/>
                <w:szCs w:val="22"/>
              </w:rPr>
              <w:t>80 mg) na Semana </w:t>
            </w:r>
            <w:r>
              <w:rPr>
                <w:sz w:val="22"/>
                <w:szCs w:val="22"/>
              </w:rPr>
              <w:t>2</w:t>
            </w:r>
            <w:r w:rsidRPr="00A84A8D">
              <w:rPr>
                <w:rStyle w:val="eop"/>
                <w:sz w:val="22"/>
                <w:szCs w:val="22"/>
              </w:rPr>
              <w:t> </w:t>
            </w:r>
          </w:p>
          <w:p w14:paraId="04028B6F" w14:textId="77777777" w:rsidR="005B24D2" w:rsidRPr="00A84A8D" w:rsidRDefault="00615769" w:rsidP="002F486F">
            <w:pPr>
              <w:pStyle w:val="paragraph"/>
              <w:keepNext/>
              <w:spacing w:before="0" w:beforeAutospacing="0" w:after="0" w:afterAutospacing="0" w:line="276" w:lineRule="auto"/>
              <w:textAlignment w:val="baseline"/>
              <w:rPr>
                <w:rStyle w:val="eop"/>
                <w:rFonts w:eastAsia="PMingLiU"/>
                <w:sz w:val="22"/>
                <w:szCs w:val="22"/>
                <w:lang w:val="pt-PT"/>
              </w:rPr>
            </w:pPr>
            <w:r w:rsidRPr="00A84A8D">
              <w:rPr>
                <w:sz w:val="22"/>
                <w:szCs w:val="22"/>
                <w:vertAlign w:val="superscript"/>
                <w:lang w:val="pt-PT"/>
              </w:rPr>
              <w:t>b</w:t>
            </w:r>
            <w:r w:rsidRPr="00A84A8D">
              <w:rPr>
                <w:rStyle w:val="normaltextrun"/>
                <w:sz w:val="22"/>
                <w:szCs w:val="22"/>
                <w:vertAlign w:val="superscript"/>
                <w:lang w:val="pt-PT"/>
              </w:rPr>
              <w:t> </w:t>
            </w:r>
            <w:r w:rsidRPr="00A84A8D">
              <w:rPr>
                <w:rStyle w:val="normaltextrun"/>
                <w:sz w:val="22"/>
                <w:szCs w:val="22"/>
                <w:lang w:val="pt-PT"/>
              </w:rPr>
              <w:t>Humira 2,4 mg/kg (</w:t>
            </w:r>
            <w:r>
              <w:rPr>
                <w:rStyle w:val="normaltextrun"/>
                <w:sz w:val="22"/>
                <w:szCs w:val="22"/>
                <w:lang w:val="pt-PT"/>
              </w:rPr>
              <w:t>máximo de </w:t>
            </w:r>
            <w:r w:rsidRPr="00A84A8D">
              <w:rPr>
                <w:rStyle w:val="normaltextrun"/>
                <w:sz w:val="22"/>
                <w:szCs w:val="22"/>
                <w:lang w:val="pt-PT"/>
              </w:rPr>
              <w:t>160 mg) na Semana 0 e na S</w:t>
            </w:r>
            <w:r>
              <w:rPr>
                <w:rStyle w:val="normaltextrun"/>
                <w:sz w:val="22"/>
                <w:szCs w:val="22"/>
                <w:lang w:val="pt-PT"/>
              </w:rPr>
              <w:t>emana 1, e 1,2 mg/kg (máximo de </w:t>
            </w:r>
            <w:r w:rsidRPr="00A84A8D">
              <w:rPr>
                <w:rStyle w:val="normaltextrun"/>
                <w:sz w:val="22"/>
                <w:szCs w:val="22"/>
                <w:lang w:val="pt-PT"/>
              </w:rPr>
              <w:t>80 mg) na Semana 2</w:t>
            </w:r>
            <w:r w:rsidRPr="00A84A8D">
              <w:rPr>
                <w:rStyle w:val="eop"/>
                <w:sz w:val="22"/>
                <w:szCs w:val="22"/>
                <w:lang w:val="pt-PT"/>
              </w:rPr>
              <w:t> </w:t>
            </w:r>
          </w:p>
          <w:p w14:paraId="70ABCCDB" w14:textId="77777777" w:rsidR="005B24D2" w:rsidRPr="00A84A8D" w:rsidRDefault="00615769" w:rsidP="002F486F">
            <w:pPr>
              <w:pStyle w:val="paragraph"/>
              <w:keepNext/>
              <w:spacing w:before="0" w:beforeAutospacing="0" w:after="0" w:afterAutospacing="0" w:line="276" w:lineRule="auto"/>
              <w:textAlignment w:val="baseline"/>
              <w:rPr>
                <w:rStyle w:val="normaltextrun"/>
                <w:sz w:val="22"/>
                <w:szCs w:val="22"/>
                <w:lang w:val="pt-PT"/>
              </w:rPr>
            </w:pPr>
            <w:r w:rsidRPr="00A84A8D">
              <w:rPr>
                <w:rStyle w:val="normaltextrun"/>
                <w:rFonts w:cs="Calibri"/>
                <w:sz w:val="22"/>
                <w:szCs w:val="22"/>
                <w:vertAlign w:val="superscript"/>
                <w:lang w:val="pt-PT"/>
              </w:rPr>
              <w:t>c</w:t>
            </w:r>
            <w:r w:rsidRPr="00A84A8D">
              <w:rPr>
                <w:rStyle w:val="normaltextrun"/>
                <w:sz w:val="22"/>
                <w:szCs w:val="22"/>
                <w:vertAlign w:val="superscript"/>
                <w:lang w:val="pt-PT"/>
              </w:rPr>
              <w:t> </w:t>
            </w:r>
            <w:r w:rsidRPr="00A84A8D">
              <w:rPr>
                <w:rStyle w:val="normaltextrun"/>
                <w:rFonts w:cs="Calibri"/>
                <w:sz w:val="22"/>
                <w:szCs w:val="22"/>
                <w:lang w:val="pt-PT"/>
              </w:rPr>
              <w:t xml:space="preserve">Sem incluir a dose de indução </w:t>
            </w:r>
            <w:r w:rsidR="0035376C">
              <w:rPr>
                <w:rStyle w:val="normaltextrun"/>
                <w:rFonts w:cs="Calibri"/>
                <w:sz w:val="22"/>
                <w:szCs w:val="22"/>
                <w:lang w:val="pt-PT"/>
              </w:rPr>
              <w:t xml:space="preserve">em fase </w:t>
            </w:r>
            <w:r w:rsidRPr="00A84A8D">
              <w:rPr>
                <w:rStyle w:val="normaltextrun"/>
                <w:rFonts w:cs="Calibri"/>
                <w:sz w:val="22"/>
                <w:szCs w:val="22"/>
                <w:lang w:val="pt-PT"/>
              </w:rPr>
              <w:t>aberta de 2,4 mg/kg de Humira (</w:t>
            </w:r>
            <w:r>
              <w:rPr>
                <w:rStyle w:val="normaltextrun"/>
                <w:rFonts w:cs="Calibri"/>
                <w:sz w:val="22"/>
                <w:szCs w:val="22"/>
                <w:lang w:val="pt-PT"/>
              </w:rPr>
              <w:t>máximo de </w:t>
            </w:r>
            <w:r w:rsidRPr="00A84A8D">
              <w:rPr>
                <w:rStyle w:val="normaltextrun"/>
                <w:rFonts w:cs="Calibri"/>
                <w:sz w:val="22"/>
                <w:szCs w:val="22"/>
                <w:lang w:val="pt-PT"/>
              </w:rPr>
              <w:t>160 mg) na Semana 0 e na Semana 1, e 1,2 mg/kg (</w:t>
            </w:r>
            <w:r>
              <w:rPr>
                <w:rStyle w:val="normaltextrun"/>
                <w:rFonts w:cs="Calibri"/>
                <w:sz w:val="22"/>
                <w:szCs w:val="22"/>
                <w:lang w:val="pt-PT"/>
              </w:rPr>
              <w:t>máximo de </w:t>
            </w:r>
            <w:r w:rsidRPr="00A84A8D">
              <w:rPr>
                <w:rStyle w:val="normaltextrun"/>
                <w:rFonts w:cs="Calibri"/>
                <w:sz w:val="22"/>
                <w:szCs w:val="22"/>
                <w:lang w:val="pt-PT"/>
              </w:rPr>
              <w:t>80 mg) na Semana 2</w:t>
            </w:r>
          </w:p>
          <w:p w14:paraId="09DEE75A" w14:textId="77777777" w:rsidR="005B24D2" w:rsidRPr="00A84A8D" w:rsidRDefault="00615769" w:rsidP="002F486F">
            <w:pPr>
              <w:pStyle w:val="paragraph"/>
              <w:keepNext/>
              <w:spacing w:before="0" w:beforeAutospacing="0" w:after="0" w:afterAutospacing="0" w:line="276" w:lineRule="auto"/>
              <w:textAlignment w:val="baseline"/>
              <w:rPr>
                <w:sz w:val="22"/>
                <w:szCs w:val="22"/>
                <w:lang w:val="pt-PT" w:eastAsia="en-GB"/>
              </w:rPr>
            </w:pPr>
            <w:r w:rsidRPr="00A84A8D">
              <w:rPr>
                <w:rStyle w:val="normaltextrun"/>
                <w:sz w:val="22"/>
                <w:szCs w:val="22"/>
                <w:vertAlign w:val="superscript"/>
                <w:lang w:val="pt-PT"/>
              </w:rPr>
              <w:t>d</w:t>
            </w:r>
            <w:r>
              <w:rPr>
                <w:rStyle w:val="normaltextrun"/>
                <w:sz w:val="22"/>
                <w:szCs w:val="22"/>
                <w:vertAlign w:val="superscript"/>
                <w:lang w:val="pt-PT"/>
              </w:rPr>
              <w:t> </w:t>
            </w:r>
            <w:r w:rsidRPr="00A84A8D">
              <w:rPr>
                <w:sz w:val="22"/>
                <w:szCs w:val="22"/>
                <w:lang w:val="pt-PT" w:eastAsia="en-GB"/>
              </w:rPr>
              <w:t>Humira 0,6 mg/kg (</w:t>
            </w:r>
            <w:r>
              <w:rPr>
                <w:sz w:val="22"/>
                <w:szCs w:val="22"/>
                <w:lang w:val="pt-PT" w:eastAsia="en-GB"/>
              </w:rPr>
              <w:t>máximo de </w:t>
            </w:r>
            <w:r w:rsidRPr="00A84A8D">
              <w:rPr>
                <w:sz w:val="22"/>
                <w:szCs w:val="22"/>
                <w:lang w:val="pt-PT" w:eastAsia="en-GB"/>
              </w:rPr>
              <w:t>40 mg) em semanas alternadas</w:t>
            </w:r>
          </w:p>
          <w:p w14:paraId="475E309A" w14:textId="77777777" w:rsidR="005B24D2" w:rsidRPr="00A84A8D" w:rsidRDefault="00615769" w:rsidP="002F486F">
            <w:pPr>
              <w:keepNext/>
              <w:spacing w:line="276" w:lineRule="auto"/>
              <w:rPr>
                <w:sz w:val="22"/>
                <w:szCs w:val="22"/>
                <w:lang w:eastAsia="en-GB"/>
              </w:rPr>
            </w:pPr>
            <w:r w:rsidRPr="00A84A8D">
              <w:rPr>
                <w:sz w:val="22"/>
                <w:szCs w:val="22"/>
                <w:vertAlign w:val="superscript"/>
                <w:lang w:eastAsia="en-GB"/>
              </w:rPr>
              <w:t>e</w:t>
            </w:r>
            <w:r>
              <w:rPr>
                <w:sz w:val="22"/>
                <w:szCs w:val="22"/>
                <w:vertAlign w:val="superscript"/>
                <w:lang w:eastAsia="en-GB"/>
              </w:rPr>
              <w:t> </w:t>
            </w:r>
            <w:r w:rsidRPr="00A84A8D">
              <w:rPr>
                <w:sz w:val="22"/>
                <w:szCs w:val="22"/>
                <w:lang w:eastAsia="en-GB"/>
              </w:rPr>
              <w:t>Humira 0,6 mg/kg (</w:t>
            </w:r>
            <w:r>
              <w:rPr>
                <w:sz w:val="22"/>
                <w:szCs w:val="22"/>
                <w:lang w:eastAsia="en-GB"/>
              </w:rPr>
              <w:t>máximo de </w:t>
            </w:r>
            <w:r w:rsidRPr="00A84A8D">
              <w:rPr>
                <w:sz w:val="22"/>
                <w:szCs w:val="22"/>
                <w:lang w:eastAsia="en-GB"/>
              </w:rPr>
              <w:t>40 mg) semanalmente</w:t>
            </w:r>
          </w:p>
          <w:p w14:paraId="037B53AC" w14:textId="77777777" w:rsidR="005B24D2" w:rsidRPr="00A84A8D" w:rsidRDefault="00615769" w:rsidP="002F486F">
            <w:pPr>
              <w:pStyle w:val="paragraph"/>
              <w:keepNext/>
              <w:spacing w:before="0" w:beforeAutospacing="0" w:after="0" w:afterAutospacing="0" w:line="276" w:lineRule="auto"/>
              <w:textAlignment w:val="baseline"/>
              <w:rPr>
                <w:rFonts w:ascii="Segoe UI" w:hAnsi="Segoe UI" w:cs="Segoe UI"/>
                <w:sz w:val="22"/>
                <w:szCs w:val="22"/>
                <w:lang w:val="pt-PT"/>
              </w:rPr>
            </w:pPr>
            <w:r w:rsidRPr="00A84A8D">
              <w:rPr>
                <w:rStyle w:val="normaltextrun"/>
                <w:rFonts w:cs="Calibri"/>
                <w:sz w:val="22"/>
                <w:szCs w:val="22"/>
                <w:lang w:val="pt-PT"/>
              </w:rPr>
              <w:t>Nota 1: Ambos os grupos de indução receberam 0,6 mg/kg (máximo</w:t>
            </w:r>
            <w:r>
              <w:rPr>
                <w:rStyle w:val="normaltextrun"/>
                <w:rFonts w:cs="Calibri"/>
                <w:sz w:val="22"/>
                <w:szCs w:val="22"/>
                <w:lang w:val="pt-PT"/>
              </w:rPr>
              <w:t xml:space="preserve"> de </w:t>
            </w:r>
            <w:r w:rsidRPr="00A84A8D">
              <w:rPr>
                <w:rStyle w:val="normaltextrun"/>
                <w:rFonts w:cs="Calibri"/>
                <w:sz w:val="22"/>
                <w:szCs w:val="22"/>
                <w:lang w:val="pt-PT"/>
              </w:rPr>
              <w:t>40 mg) na Semana 4 e na Semana 6</w:t>
            </w:r>
            <w:r w:rsidRPr="00A84A8D">
              <w:rPr>
                <w:rStyle w:val="eop"/>
                <w:rFonts w:cs="Calibri"/>
                <w:sz w:val="22"/>
                <w:szCs w:val="22"/>
                <w:lang w:val="pt-PT"/>
              </w:rPr>
              <w:t> </w:t>
            </w:r>
          </w:p>
          <w:p w14:paraId="2D45AB27" w14:textId="77777777" w:rsidR="005B24D2" w:rsidRPr="00A84A8D" w:rsidRDefault="00615769" w:rsidP="002F486F">
            <w:pPr>
              <w:pStyle w:val="paragraph"/>
              <w:keepNext/>
              <w:spacing w:before="0" w:beforeAutospacing="0" w:after="0" w:afterAutospacing="0" w:line="276" w:lineRule="auto"/>
              <w:textAlignment w:val="baseline"/>
              <w:rPr>
                <w:rStyle w:val="eop"/>
                <w:rFonts w:cs="Calibri"/>
                <w:sz w:val="22"/>
                <w:szCs w:val="22"/>
                <w:lang w:val="pt-PT"/>
              </w:rPr>
            </w:pPr>
            <w:r w:rsidRPr="00A84A8D">
              <w:rPr>
                <w:rStyle w:val="normaltextrun"/>
                <w:rFonts w:cs="Calibri"/>
                <w:sz w:val="22"/>
                <w:szCs w:val="22"/>
                <w:lang w:val="pt-PT"/>
              </w:rPr>
              <w:t xml:space="preserve">Nota 2: Considerou-se que os doentes com valores em falta na Semana 8 não </w:t>
            </w:r>
            <w:r w:rsidR="0035376C">
              <w:rPr>
                <w:rStyle w:val="normaltextrun"/>
                <w:rFonts w:cs="Calibri"/>
                <w:sz w:val="22"/>
                <w:szCs w:val="22"/>
                <w:lang w:val="pt-PT"/>
              </w:rPr>
              <w:t>a</w:t>
            </w:r>
            <w:r w:rsidR="0035376C" w:rsidRPr="002F486F">
              <w:rPr>
                <w:rStyle w:val="normaltextrun"/>
                <w:rFonts w:cs="Calibri"/>
                <w:lang w:val="pt-PT"/>
              </w:rPr>
              <w:t>ti</w:t>
            </w:r>
            <w:r w:rsidR="0035376C">
              <w:rPr>
                <w:rStyle w:val="normaltextrun"/>
                <w:rFonts w:cs="Calibri"/>
                <w:lang w:val="pt-PT"/>
              </w:rPr>
              <w:t>n</w:t>
            </w:r>
            <w:r w:rsidR="0035376C" w:rsidRPr="002F486F">
              <w:rPr>
                <w:rStyle w:val="normaltextrun"/>
                <w:rFonts w:cs="Calibri"/>
                <w:lang w:val="pt-PT"/>
              </w:rPr>
              <w:t>g</w:t>
            </w:r>
            <w:r w:rsidR="0035376C">
              <w:rPr>
                <w:rStyle w:val="normaltextrun"/>
                <w:rFonts w:cs="Calibri"/>
                <w:lang w:val="pt-PT"/>
              </w:rPr>
              <w:t>i</w:t>
            </w:r>
            <w:r w:rsidR="0035376C" w:rsidRPr="002F486F">
              <w:rPr>
                <w:rStyle w:val="normaltextrun"/>
                <w:rFonts w:cs="Calibri"/>
                <w:lang w:val="pt-PT"/>
              </w:rPr>
              <w:t>r</w:t>
            </w:r>
            <w:r w:rsidR="0035376C">
              <w:rPr>
                <w:rStyle w:val="normaltextrun"/>
                <w:rFonts w:cs="Calibri"/>
                <w:lang w:val="pt-PT"/>
              </w:rPr>
              <w:t>am</w:t>
            </w:r>
            <w:r w:rsidRPr="00A84A8D">
              <w:rPr>
                <w:rStyle w:val="normaltextrun"/>
                <w:rFonts w:cs="Calibri"/>
                <w:sz w:val="22"/>
                <w:szCs w:val="22"/>
                <w:lang w:val="pt-PT"/>
              </w:rPr>
              <w:t xml:space="preserve"> os objetivos</w:t>
            </w:r>
            <w:r w:rsidRPr="00A84A8D">
              <w:rPr>
                <w:rStyle w:val="eop"/>
                <w:rFonts w:cs="Calibri"/>
                <w:sz w:val="22"/>
                <w:szCs w:val="22"/>
                <w:lang w:val="pt-PT"/>
              </w:rPr>
              <w:t> </w:t>
            </w:r>
          </w:p>
          <w:p w14:paraId="64C3BD73" w14:textId="77777777" w:rsidR="005B24D2" w:rsidRPr="00A84A8D" w:rsidRDefault="00615769" w:rsidP="002F486F">
            <w:pPr>
              <w:pStyle w:val="paragraph"/>
              <w:keepNext/>
              <w:spacing w:before="0" w:beforeAutospacing="0" w:after="0" w:afterAutospacing="0" w:line="276" w:lineRule="auto"/>
              <w:textAlignment w:val="baseline"/>
              <w:rPr>
                <w:sz w:val="22"/>
                <w:szCs w:val="22"/>
                <w:lang w:val="pt-PT"/>
              </w:rPr>
            </w:pPr>
            <w:r w:rsidRPr="00A84A8D">
              <w:rPr>
                <w:rStyle w:val="eop"/>
                <w:rFonts w:cs="Calibri"/>
                <w:sz w:val="22"/>
                <w:szCs w:val="22"/>
                <w:lang w:val="pt-PT"/>
              </w:rPr>
              <w:t xml:space="preserve">Nota 3: </w:t>
            </w:r>
            <w:r w:rsidRPr="00A84A8D">
              <w:rPr>
                <w:sz w:val="22"/>
                <w:szCs w:val="22"/>
                <w:lang w:val="pt-PT" w:eastAsia="en-GB"/>
              </w:rPr>
              <w:t xml:space="preserve">Os doentes com valores em falta na Semana 52 ou que foram aleatorizados para receberem tratamento de reindução ou manutenção foram considerados como não respondedores </w:t>
            </w:r>
            <w:r w:rsidR="00B10B70">
              <w:rPr>
                <w:sz w:val="22"/>
                <w:szCs w:val="22"/>
                <w:lang w:val="pt-PT" w:eastAsia="en-GB"/>
              </w:rPr>
              <w:t>quanto aos</w:t>
            </w:r>
            <w:r w:rsidRPr="00A84A8D">
              <w:rPr>
                <w:sz w:val="22"/>
                <w:szCs w:val="22"/>
                <w:lang w:val="pt-PT" w:eastAsia="en-GB"/>
              </w:rPr>
              <w:t xml:space="preserve"> objetivos da Semana 52</w:t>
            </w:r>
          </w:p>
        </w:tc>
      </w:tr>
    </w:tbl>
    <w:p w14:paraId="11962BFC" w14:textId="77777777" w:rsidR="005B24D2" w:rsidRPr="00FF4AB1" w:rsidRDefault="005B24D2" w:rsidP="005B24D2">
      <w:pPr>
        <w:rPr>
          <w:sz w:val="22"/>
          <w:szCs w:val="22"/>
        </w:rPr>
      </w:pPr>
    </w:p>
    <w:p w14:paraId="49221BB8" w14:textId="77777777" w:rsidR="005B24D2" w:rsidRPr="000C51DF" w:rsidRDefault="00615769" w:rsidP="005B24D2">
      <w:pPr>
        <w:rPr>
          <w:sz w:val="22"/>
          <w:szCs w:val="22"/>
        </w:rPr>
      </w:pPr>
      <w:r w:rsidRPr="000C51DF">
        <w:rPr>
          <w:sz w:val="22"/>
          <w:szCs w:val="22"/>
        </w:rPr>
        <w:t>Dos doentes tratados com Humira que receberam tratamento de reindução durante o período de manutenção, 2/6 (33%) obtiveram resposta clínica de acordo com a FMS na Semana 52.</w:t>
      </w:r>
    </w:p>
    <w:p w14:paraId="3C8E2C06" w14:textId="77777777" w:rsidR="005B24D2" w:rsidRPr="000C51DF" w:rsidRDefault="005B24D2" w:rsidP="005B24D2">
      <w:pPr>
        <w:rPr>
          <w:sz w:val="22"/>
          <w:szCs w:val="22"/>
        </w:rPr>
      </w:pPr>
    </w:p>
    <w:p w14:paraId="353BB547" w14:textId="77777777" w:rsidR="005B24D2" w:rsidRPr="000C51DF" w:rsidRDefault="00615769" w:rsidP="005B24D2">
      <w:pPr>
        <w:keepNext/>
        <w:rPr>
          <w:bCs/>
          <w:i/>
          <w:sz w:val="22"/>
          <w:szCs w:val="22"/>
          <w:u w:val="single"/>
        </w:rPr>
      </w:pPr>
      <w:r w:rsidRPr="000C51DF">
        <w:rPr>
          <w:bCs/>
          <w:i/>
          <w:sz w:val="22"/>
          <w:szCs w:val="22"/>
          <w:u w:val="single"/>
        </w:rPr>
        <w:t>Qualidade de vida</w:t>
      </w:r>
    </w:p>
    <w:p w14:paraId="4EA62921" w14:textId="77777777" w:rsidR="005B24D2" w:rsidRPr="000C51DF" w:rsidRDefault="005B24D2" w:rsidP="005B24D2">
      <w:pPr>
        <w:keepNext/>
        <w:rPr>
          <w:bCs/>
          <w:i/>
          <w:sz w:val="22"/>
          <w:szCs w:val="22"/>
          <w:u w:val="single"/>
        </w:rPr>
      </w:pPr>
    </w:p>
    <w:p w14:paraId="5784A3A4" w14:textId="77777777" w:rsidR="002F486F" w:rsidRPr="000C51DF" w:rsidRDefault="00615769" w:rsidP="002F486F">
      <w:pPr>
        <w:keepNext/>
        <w:rPr>
          <w:sz w:val="22"/>
          <w:szCs w:val="22"/>
        </w:rPr>
      </w:pPr>
      <w:r w:rsidRPr="000C51DF">
        <w:rPr>
          <w:sz w:val="22"/>
          <w:szCs w:val="22"/>
        </w:rPr>
        <w:t xml:space="preserve">Foram observadas melhorias clinicamente significativas em relação aos valores </w:t>
      </w:r>
      <w:r>
        <w:rPr>
          <w:sz w:val="22"/>
          <w:szCs w:val="22"/>
        </w:rPr>
        <w:t>iniciais</w:t>
      </w:r>
      <w:r w:rsidRPr="000C51DF">
        <w:rPr>
          <w:sz w:val="22"/>
          <w:szCs w:val="22"/>
        </w:rPr>
        <w:t xml:space="preserve"> no questionário IMPACT III e nas pontuações do questionário </w:t>
      </w:r>
      <w:r w:rsidRPr="000C51DF">
        <w:rPr>
          <w:i/>
          <w:sz w:val="22"/>
          <w:szCs w:val="22"/>
        </w:rPr>
        <w:t>Work Productivity and Activity Impairment</w:t>
      </w:r>
      <w:r w:rsidRPr="000C51DF">
        <w:rPr>
          <w:sz w:val="22"/>
          <w:szCs w:val="22"/>
        </w:rPr>
        <w:t xml:space="preserve"> (WPAI) </w:t>
      </w:r>
      <w:r>
        <w:rPr>
          <w:sz w:val="22"/>
          <w:szCs w:val="22"/>
        </w:rPr>
        <w:t>relativas ao</w:t>
      </w:r>
      <w:r w:rsidRPr="000C51DF">
        <w:rPr>
          <w:sz w:val="22"/>
          <w:szCs w:val="22"/>
        </w:rPr>
        <w:t xml:space="preserve"> prestador de cuidados para os grupos tratados com Humira.</w:t>
      </w:r>
    </w:p>
    <w:p w14:paraId="16869D74" w14:textId="77777777" w:rsidR="002F486F" w:rsidRPr="000C51DF" w:rsidRDefault="002F486F" w:rsidP="002F486F">
      <w:pPr>
        <w:keepNext/>
        <w:rPr>
          <w:sz w:val="22"/>
          <w:szCs w:val="22"/>
        </w:rPr>
      </w:pPr>
    </w:p>
    <w:p w14:paraId="45531A92" w14:textId="77777777" w:rsidR="002F486F" w:rsidRPr="005B24D2" w:rsidRDefault="00615769" w:rsidP="002F486F">
      <w:pPr>
        <w:rPr>
          <w:rFonts w:eastAsiaTheme="minorHAnsi"/>
          <w:sz w:val="22"/>
          <w:szCs w:val="22"/>
          <w:lang w:eastAsia="en-GB"/>
        </w:rPr>
      </w:pPr>
      <w:r w:rsidRPr="004E38D3">
        <w:rPr>
          <w:sz w:val="22"/>
          <w:szCs w:val="22"/>
        </w:rPr>
        <w:t xml:space="preserve">Foram observados aumentos clinicamente significativos (melhoria) em relação aos valores </w:t>
      </w:r>
      <w:r>
        <w:rPr>
          <w:sz w:val="22"/>
          <w:szCs w:val="22"/>
        </w:rPr>
        <w:t>iniciais na</w:t>
      </w:r>
      <w:r w:rsidRPr="004E38D3">
        <w:rPr>
          <w:sz w:val="22"/>
          <w:szCs w:val="22"/>
        </w:rPr>
        <w:t xml:space="preserve"> velocidade de crescimento nos grupos tratados com adalimumab, e foram observados aumentos clinicamente significativos (melhoria) em relação aos valores </w:t>
      </w:r>
      <w:r>
        <w:rPr>
          <w:sz w:val="22"/>
          <w:szCs w:val="22"/>
        </w:rPr>
        <w:t>iniciais no</w:t>
      </w:r>
      <w:r w:rsidRPr="004E38D3">
        <w:rPr>
          <w:sz w:val="22"/>
          <w:szCs w:val="22"/>
        </w:rPr>
        <w:t xml:space="preserve"> índice de massa corporal em indivíduos a receberem uma dose de manutenção elevada de, no máximo, 40 mg (0,6 mg/kg)</w:t>
      </w:r>
      <w:r>
        <w:rPr>
          <w:sz w:val="22"/>
          <w:szCs w:val="22"/>
        </w:rPr>
        <w:t xml:space="preserve"> semanalmente</w:t>
      </w:r>
      <w:r w:rsidRPr="004E38D3">
        <w:rPr>
          <w:sz w:val="22"/>
          <w:szCs w:val="22"/>
        </w:rPr>
        <w:t xml:space="preserve">. </w:t>
      </w:r>
    </w:p>
    <w:p w14:paraId="202F2C0E" w14:textId="77777777" w:rsidR="002F486F" w:rsidRDefault="002F486F" w:rsidP="005B24D2">
      <w:pPr>
        <w:rPr>
          <w:sz w:val="22"/>
          <w:szCs w:val="22"/>
        </w:rPr>
      </w:pPr>
    </w:p>
    <w:p w14:paraId="4CB9E6D5" w14:textId="77777777" w:rsidR="005B24D2" w:rsidRPr="00034BDE" w:rsidRDefault="00615769" w:rsidP="005B24D2">
      <w:pPr>
        <w:rPr>
          <w:i/>
        </w:rPr>
      </w:pPr>
      <w:r w:rsidRPr="00034BDE">
        <w:rPr>
          <w:i/>
          <w:sz w:val="22"/>
          <w:szCs w:val="22"/>
        </w:rPr>
        <w:t xml:space="preserve">Uveíte </w:t>
      </w:r>
      <w:r>
        <w:rPr>
          <w:i/>
          <w:sz w:val="22"/>
          <w:szCs w:val="22"/>
        </w:rPr>
        <w:t>p</w:t>
      </w:r>
      <w:r w:rsidRPr="00034BDE">
        <w:rPr>
          <w:i/>
          <w:sz w:val="22"/>
          <w:szCs w:val="22"/>
        </w:rPr>
        <w:t>ediátrica</w:t>
      </w:r>
    </w:p>
    <w:p w14:paraId="12D959BD" w14:textId="77777777" w:rsidR="005B24D2" w:rsidRDefault="005B24D2" w:rsidP="005B24D2"/>
    <w:p w14:paraId="375471C4" w14:textId="77777777" w:rsidR="005B24D2" w:rsidRDefault="00615769" w:rsidP="005B24D2">
      <w:pPr>
        <w:pStyle w:val="BodyText2"/>
        <w:autoSpaceDE/>
        <w:autoSpaceDN/>
        <w:adjustRightInd/>
        <w:rPr>
          <w:bCs/>
          <w:szCs w:val="20"/>
        </w:rPr>
      </w:pPr>
      <w:r w:rsidRPr="008912CF">
        <w:rPr>
          <w:szCs w:val="22"/>
        </w:rPr>
        <w:t>A segurança e eficácia de Humira foram avaliadas</w:t>
      </w:r>
      <w:r>
        <w:rPr>
          <w:szCs w:val="22"/>
        </w:rPr>
        <w:t xml:space="preserve"> num </w:t>
      </w:r>
      <w:r w:rsidRPr="008912CF">
        <w:rPr>
          <w:szCs w:val="22"/>
        </w:rPr>
        <w:t>estudo</w:t>
      </w:r>
      <w:r>
        <w:rPr>
          <w:szCs w:val="22"/>
        </w:rPr>
        <w:t xml:space="preserve"> aleatorizado</w:t>
      </w:r>
      <w:r w:rsidRPr="008912CF">
        <w:rPr>
          <w:szCs w:val="22"/>
        </w:rPr>
        <w:t xml:space="preserve">, </w:t>
      </w:r>
      <w:r>
        <w:rPr>
          <w:szCs w:val="22"/>
        </w:rPr>
        <w:t xml:space="preserve">controlado, </w:t>
      </w:r>
      <w:r w:rsidRPr="008912CF">
        <w:rPr>
          <w:szCs w:val="22"/>
        </w:rPr>
        <w:t xml:space="preserve">em dupla ocultação, </w:t>
      </w:r>
      <w:r>
        <w:rPr>
          <w:szCs w:val="22"/>
        </w:rPr>
        <w:t>realizado</w:t>
      </w:r>
      <w:r w:rsidRPr="008912CF">
        <w:rPr>
          <w:szCs w:val="22"/>
        </w:rPr>
        <w:t xml:space="preserve"> em </w:t>
      </w:r>
      <w:r>
        <w:rPr>
          <w:szCs w:val="22"/>
        </w:rPr>
        <w:t>9</w:t>
      </w:r>
      <w:r w:rsidRPr="008912CF">
        <w:rPr>
          <w:szCs w:val="22"/>
        </w:rPr>
        <w:t>0 doentes</w:t>
      </w:r>
      <w:r>
        <w:rPr>
          <w:szCs w:val="22"/>
        </w:rPr>
        <w:t xml:space="preserve"> pediátricos </w:t>
      </w:r>
      <w:r w:rsidRPr="00034BDE">
        <w:rPr>
          <w:szCs w:val="22"/>
        </w:rPr>
        <w:t>com idade</w:t>
      </w:r>
      <w:r>
        <w:rPr>
          <w:szCs w:val="22"/>
        </w:rPr>
        <w:t xml:space="preserve"> desde os 2 a &lt; 18 anos</w:t>
      </w:r>
      <w:r w:rsidRPr="008912CF">
        <w:rPr>
          <w:szCs w:val="22"/>
        </w:rPr>
        <w:t xml:space="preserve"> com </w:t>
      </w:r>
      <w:r>
        <w:rPr>
          <w:szCs w:val="22"/>
        </w:rPr>
        <w:t xml:space="preserve">uveíte não infecciosa, anterior, associada a artrite idiopática juvenil </w:t>
      </w:r>
      <w:r w:rsidRPr="008912CF">
        <w:rPr>
          <w:szCs w:val="22"/>
        </w:rPr>
        <w:t>(</w:t>
      </w:r>
      <w:r>
        <w:rPr>
          <w:szCs w:val="22"/>
        </w:rPr>
        <w:t>AIJ</w:t>
      </w:r>
      <w:r w:rsidRPr="008912CF">
        <w:rPr>
          <w:szCs w:val="22"/>
        </w:rPr>
        <w:t>) ativa</w:t>
      </w:r>
      <w:r>
        <w:rPr>
          <w:szCs w:val="22"/>
        </w:rPr>
        <w:t>, que foram refratários durante pelo menos 12 semanas de tratamento com metotrexato. O</w:t>
      </w:r>
      <w:r w:rsidRPr="008912CF">
        <w:rPr>
          <w:szCs w:val="22"/>
        </w:rPr>
        <w:t xml:space="preserve">s doentes receberam placebo ou </w:t>
      </w:r>
      <w:r>
        <w:rPr>
          <w:szCs w:val="22"/>
        </w:rPr>
        <w:t>20 mg de adalimumab (se &lt; 30 kg) ou 40 mg de adalimumab (se </w:t>
      </w:r>
      <w:r w:rsidRPr="00034BDE">
        <w:rPr>
          <w:bCs/>
          <w:szCs w:val="20"/>
        </w:rPr>
        <w:t>≥</w:t>
      </w:r>
      <w:r>
        <w:rPr>
          <w:bCs/>
          <w:szCs w:val="20"/>
        </w:rPr>
        <w:t> 30 kg) em semanas alternadas em associação com a dose inicial de metotrexato.</w:t>
      </w:r>
    </w:p>
    <w:p w14:paraId="3D9D3855" w14:textId="77777777" w:rsidR="005B24D2" w:rsidRDefault="005B24D2" w:rsidP="005B24D2">
      <w:pPr>
        <w:pStyle w:val="BodyText2"/>
        <w:autoSpaceDE/>
        <w:autoSpaceDN/>
        <w:adjustRightInd/>
        <w:rPr>
          <w:bCs/>
          <w:szCs w:val="20"/>
        </w:rPr>
      </w:pPr>
    </w:p>
    <w:p w14:paraId="5386DD55" w14:textId="77777777" w:rsidR="005B24D2" w:rsidRDefault="00615769" w:rsidP="005B24D2">
      <w:pPr>
        <w:pStyle w:val="BodyText2"/>
        <w:autoSpaceDE/>
        <w:autoSpaceDN/>
        <w:adjustRightInd/>
        <w:rPr>
          <w:szCs w:val="22"/>
        </w:rPr>
      </w:pPr>
      <w:r>
        <w:rPr>
          <w:szCs w:val="22"/>
        </w:rPr>
        <w:t>O objetivo primário foi o “tempo até falha do tratamento”. Os critérios determinantes para a falha de tratamento foram o agravamento ou a ausência de melhoria sustentada da inflamação ocular ou melhoria parcial com desenvolvimento de comorbilidades oculares sustentadas ou agravamento das comorbilidades oculares, utilização de medicações concomitantes não permitidas e descontinuação do tratamento durante um longo período de tempo.</w:t>
      </w:r>
    </w:p>
    <w:p w14:paraId="77E5F884" w14:textId="77777777" w:rsidR="005B24D2" w:rsidRDefault="005B24D2" w:rsidP="005B24D2">
      <w:pPr>
        <w:pStyle w:val="BodyText2"/>
        <w:autoSpaceDE/>
        <w:autoSpaceDN/>
        <w:adjustRightInd/>
        <w:rPr>
          <w:szCs w:val="22"/>
        </w:rPr>
      </w:pPr>
    </w:p>
    <w:p w14:paraId="4C7BDCB5" w14:textId="77777777" w:rsidR="005B24D2" w:rsidRPr="008912CF" w:rsidRDefault="00615769" w:rsidP="005B24D2">
      <w:pPr>
        <w:rPr>
          <w:i/>
          <w:sz w:val="22"/>
          <w:szCs w:val="22"/>
          <w:u w:val="single"/>
        </w:rPr>
      </w:pPr>
      <w:r w:rsidRPr="008912CF">
        <w:rPr>
          <w:i/>
          <w:sz w:val="22"/>
          <w:szCs w:val="22"/>
          <w:u w:val="single"/>
        </w:rPr>
        <w:t>Resposta clínica</w:t>
      </w:r>
    </w:p>
    <w:p w14:paraId="46CEF63A" w14:textId="77777777" w:rsidR="005B24D2" w:rsidRDefault="005B24D2" w:rsidP="005B24D2">
      <w:pPr>
        <w:pStyle w:val="BodyText2"/>
        <w:autoSpaceDE/>
        <w:autoSpaceDN/>
        <w:adjustRightInd/>
        <w:rPr>
          <w:szCs w:val="22"/>
        </w:rPr>
      </w:pPr>
    </w:p>
    <w:p w14:paraId="0CC8ED2F" w14:textId="77777777" w:rsidR="005B24D2" w:rsidRPr="004D4741" w:rsidRDefault="00615769" w:rsidP="005B24D2">
      <w:pPr>
        <w:pStyle w:val="gtcbodytext"/>
        <w:spacing w:before="0" w:after="0" w:line="240" w:lineRule="auto"/>
        <w:rPr>
          <w:rFonts w:eastAsia="PMingLiU"/>
          <w:sz w:val="22"/>
          <w:szCs w:val="22"/>
          <w:lang w:val="pt-PT"/>
        </w:rPr>
      </w:pPr>
      <w:r>
        <w:rPr>
          <w:rFonts w:eastAsia="PMingLiU"/>
          <w:sz w:val="22"/>
          <w:szCs w:val="22"/>
          <w:lang w:val="pt-PT"/>
        </w:rPr>
        <w:t>A</w:t>
      </w:r>
      <w:r w:rsidRPr="004D4741">
        <w:rPr>
          <w:rFonts w:eastAsia="PMingLiU"/>
          <w:sz w:val="22"/>
          <w:szCs w:val="22"/>
          <w:lang w:val="pt-PT"/>
        </w:rPr>
        <w:t xml:space="preserve">dalimumab reduziu significativamente o tempo até falha do tratamento, em comparação com o placebo (ver Figura 2, </w:t>
      </w:r>
      <w:r>
        <w:rPr>
          <w:rFonts w:eastAsia="PMingLiU"/>
          <w:sz w:val="22"/>
          <w:szCs w:val="22"/>
          <w:lang w:val="pt-PT"/>
        </w:rPr>
        <w:t>p</w:t>
      </w:r>
      <w:r w:rsidRPr="004D4741">
        <w:rPr>
          <w:rFonts w:eastAsia="PMingLiU"/>
          <w:sz w:val="22"/>
          <w:szCs w:val="22"/>
          <w:lang w:val="pt-PT"/>
        </w:rPr>
        <w:t xml:space="preserve"> &lt; 0,0001 do teste logarítmico). O tempo </w:t>
      </w:r>
      <w:r>
        <w:rPr>
          <w:rFonts w:eastAsia="PMingLiU"/>
          <w:sz w:val="22"/>
          <w:szCs w:val="22"/>
          <w:lang w:val="pt-PT"/>
        </w:rPr>
        <w:t>mediano</w:t>
      </w:r>
      <w:r w:rsidRPr="004D4741">
        <w:rPr>
          <w:rFonts w:eastAsia="PMingLiU"/>
          <w:sz w:val="22"/>
          <w:szCs w:val="22"/>
          <w:lang w:val="pt-PT"/>
        </w:rPr>
        <w:t xml:space="preserve"> até falha do tratamento foi 24,1 semanas em indivíduos tratados com placebo, enquanto que o tempo </w:t>
      </w:r>
      <w:r>
        <w:rPr>
          <w:rFonts w:eastAsia="PMingLiU"/>
          <w:sz w:val="22"/>
          <w:szCs w:val="22"/>
          <w:lang w:val="pt-PT"/>
        </w:rPr>
        <w:t>mediano</w:t>
      </w:r>
      <w:r w:rsidRPr="004D4741">
        <w:rPr>
          <w:rFonts w:eastAsia="PMingLiU"/>
          <w:sz w:val="22"/>
          <w:szCs w:val="22"/>
          <w:lang w:val="pt-PT"/>
        </w:rPr>
        <w:t xml:space="preserve"> até falha do tratamento em indivíduos tratados com adalimumab não foi calculável, uma vez que menos de metade destes indivíduos experimentaram falha do tratamento. </w:t>
      </w:r>
      <w:r>
        <w:rPr>
          <w:rFonts w:eastAsia="PMingLiU"/>
          <w:sz w:val="22"/>
          <w:szCs w:val="22"/>
          <w:lang w:val="pt-PT"/>
        </w:rPr>
        <w:t>A</w:t>
      </w:r>
      <w:r w:rsidRPr="004D4741">
        <w:rPr>
          <w:rFonts w:eastAsia="PMingLiU"/>
          <w:sz w:val="22"/>
          <w:szCs w:val="22"/>
          <w:lang w:val="pt-PT"/>
        </w:rPr>
        <w:t>dalimumab reduziu significativamente o risco de falha de tratamento em 75</w:t>
      </w:r>
      <w:r>
        <w:rPr>
          <w:rFonts w:eastAsia="PMingLiU"/>
          <w:sz w:val="22"/>
          <w:szCs w:val="22"/>
          <w:lang w:val="pt-PT"/>
        </w:rPr>
        <w:t>%</w:t>
      </w:r>
      <w:r w:rsidRPr="004D4741">
        <w:rPr>
          <w:rFonts w:eastAsia="PMingLiU"/>
          <w:sz w:val="22"/>
          <w:szCs w:val="22"/>
          <w:lang w:val="pt-PT"/>
        </w:rPr>
        <w:t xml:space="preserve"> rel</w:t>
      </w:r>
      <w:r w:rsidRPr="004D4741">
        <w:rPr>
          <w:rFonts w:eastAsia="PMingLiU"/>
          <w:sz w:val="22"/>
          <w:szCs w:val="22"/>
          <w:lang w:val="pt-PT"/>
        </w:rPr>
        <w:t>ativamente a placebo, conforme demonstrado pela taxa de risco (TR = 0,25 [</w:t>
      </w:r>
      <w:r>
        <w:rPr>
          <w:rFonts w:eastAsia="PMingLiU"/>
          <w:sz w:val="22"/>
          <w:szCs w:val="22"/>
          <w:lang w:val="pt-PT"/>
        </w:rPr>
        <w:t xml:space="preserve">IC </w:t>
      </w:r>
      <w:r w:rsidRPr="004D4741">
        <w:rPr>
          <w:rFonts w:eastAsia="PMingLiU"/>
          <w:sz w:val="22"/>
          <w:szCs w:val="22"/>
          <w:lang w:val="pt-PT"/>
        </w:rPr>
        <w:t>95%:  0,12; 0,49]).</w:t>
      </w:r>
    </w:p>
    <w:p w14:paraId="133FDCF3" w14:textId="77777777" w:rsidR="005B24D2" w:rsidRDefault="005B24D2" w:rsidP="005B24D2">
      <w:pPr>
        <w:pStyle w:val="BodyText2"/>
        <w:autoSpaceDE/>
        <w:autoSpaceDN/>
        <w:adjustRightInd/>
        <w:rPr>
          <w:szCs w:val="22"/>
        </w:rPr>
      </w:pPr>
    </w:p>
    <w:p w14:paraId="140C0496" w14:textId="77777777" w:rsidR="005B24D2" w:rsidRDefault="00615769" w:rsidP="005B24D2">
      <w:pPr>
        <w:keepNext/>
        <w:spacing w:line="300" w:lineRule="auto"/>
        <w:jc w:val="center"/>
        <w:rPr>
          <w:rFonts w:eastAsia="Times New Roman"/>
          <w:b/>
          <w:sz w:val="22"/>
          <w:szCs w:val="22"/>
        </w:rPr>
      </w:pPr>
      <w:r w:rsidRPr="00034BDE">
        <w:rPr>
          <w:rFonts w:eastAsia="Times New Roman"/>
          <w:b/>
          <w:sz w:val="22"/>
          <w:szCs w:val="22"/>
        </w:rPr>
        <w:t xml:space="preserve">Figura </w:t>
      </w:r>
      <w:r>
        <w:rPr>
          <w:rFonts w:eastAsia="Times New Roman"/>
          <w:b/>
          <w:sz w:val="22"/>
          <w:szCs w:val="22"/>
        </w:rPr>
        <w:t>2</w:t>
      </w:r>
      <w:r w:rsidRPr="00034BDE">
        <w:rPr>
          <w:rFonts w:eastAsia="Times New Roman"/>
          <w:b/>
          <w:sz w:val="22"/>
          <w:szCs w:val="22"/>
        </w:rPr>
        <w:t xml:space="preserve">: Curvas de Kaplan-Meier </w:t>
      </w:r>
      <w:r>
        <w:rPr>
          <w:rFonts w:eastAsia="Times New Roman"/>
          <w:b/>
          <w:sz w:val="22"/>
          <w:szCs w:val="22"/>
        </w:rPr>
        <w:t>resumindo</w:t>
      </w:r>
      <w:r w:rsidRPr="00034BDE">
        <w:rPr>
          <w:rFonts w:eastAsia="Times New Roman"/>
          <w:b/>
          <w:sz w:val="22"/>
          <w:szCs w:val="22"/>
        </w:rPr>
        <w:t xml:space="preserve"> o tempo até falha do tratamento </w:t>
      </w:r>
      <w:r>
        <w:rPr>
          <w:rFonts w:eastAsia="Times New Roman"/>
          <w:b/>
          <w:sz w:val="22"/>
          <w:szCs w:val="22"/>
        </w:rPr>
        <w:t xml:space="preserve">no Estudo da </w:t>
      </w:r>
      <w:r w:rsidRPr="00034BDE">
        <w:rPr>
          <w:rFonts w:eastAsia="Times New Roman"/>
          <w:b/>
          <w:sz w:val="22"/>
          <w:szCs w:val="22"/>
        </w:rPr>
        <w:t>Uve</w:t>
      </w:r>
      <w:r>
        <w:rPr>
          <w:rFonts w:eastAsia="Times New Roman"/>
          <w:b/>
          <w:sz w:val="22"/>
          <w:szCs w:val="22"/>
        </w:rPr>
        <w:t>íte pediátrica</w:t>
      </w:r>
    </w:p>
    <w:p w14:paraId="2C18ABB6" w14:textId="77777777" w:rsidR="005B24D2" w:rsidRPr="00034BDE" w:rsidRDefault="005B24D2" w:rsidP="005B24D2">
      <w:pPr>
        <w:keepNext/>
        <w:spacing w:line="300" w:lineRule="auto"/>
        <w:jc w:val="center"/>
        <w:rPr>
          <w:rFonts w:eastAsia="Times New Roman"/>
          <w:b/>
          <w:sz w:val="22"/>
          <w:szCs w:val="22"/>
        </w:rPr>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A7162A" w14:paraId="3D5ADFCE" w14:textId="77777777" w:rsidTr="00AB53A0">
        <w:trPr>
          <w:cantSplit/>
          <w:trHeight w:val="3806"/>
        </w:trPr>
        <w:tc>
          <w:tcPr>
            <w:tcW w:w="468" w:type="dxa"/>
            <w:textDirection w:val="btLr"/>
            <w:vAlign w:val="bottom"/>
          </w:tcPr>
          <w:p w14:paraId="498027F4" w14:textId="77777777" w:rsidR="005B24D2" w:rsidRPr="00034BDE" w:rsidRDefault="00615769" w:rsidP="00AB53A0">
            <w:pPr>
              <w:keepNext/>
              <w:tabs>
                <w:tab w:val="left" w:pos="562"/>
              </w:tabs>
              <w:suppressAutoHyphens/>
              <w:ind w:left="113" w:right="113"/>
              <w:jc w:val="center"/>
              <w:rPr>
                <w:rFonts w:eastAsia="Times New Roman"/>
                <w:b/>
                <w:sz w:val="22"/>
                <w:szCs w:val="22"/>
              </w:rPr>
            </w:pPr>
            <w:r w:rsidRPr="00034BDE">
              <w:rPr>
                <w:rFonts w:eastAsia="Times New Roman"/>
                <w:b/>
                <w:sz w:val="22"/>
                <w:szCs w:val="22"/>
              </w:rPr>
              <w:t>PROBABILIDADE DE FALHA DE TRATAMENTO</w:t>
            </w:r>
          </w:p>
        </w:tc>
        <w:tc>
          <w:tcPr>
            <w:tcW w:w="8820" w:type="dxa"/>
            <w:gridSpan w:val="5"/>
            <w:vAlign w:val="bottom"/>
          </w:tcPr>
          <w:p w14:paraId="54899661" w14:textId="77777777" w:rsidR="005B24D2" w:rsidRPr="002D2EE4" w:rsidRDefault="00615769" w:rsidP="00AB53A0">
            <w:pPr>
              <w:keepNext/>
              <w:tabs>
                <w:tab w:val="left" w:pos="562"/>
              </w:tabs>
              <w:suppressAutoHyphens/>
              <w:rPr>
                <w:rFonts w:eastAsia="Times New Roman"/>
                <w:sz w:val="22"/>
                <w:szCs w:val="22"/>
                <w:lang w:val="en-US"/>
              </w:rPr>
            </w:pPr>
            <w:r>
              <w:rPr>
                <w:rFonts w:eastAsia="Times New Roman"/>
                <w:noProof/>
                <w:sz w:val="22"/>
                <w:szCs w:val="22"/>
                <w:lang w:val="en-GB" w:eastAsia="en-GB"/>
              </w:rPr>
              <w:drawing>
                <wp:inline distT="0" distB="0" distL="0" distR="0" wp14:anchorId="6B658DCA" wp14:editId="31FD6EB4">
                  <wp:extent cx="5486400" cy="4552950"/>
                  <wp:effectExtent l="0" t="0" r="0" b="0"/>
                  <wp:docPr id="146" name="Picture 89"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2" descr="Humira PED UV KM Curve REVISED 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p>
        </w:tc>
      </w:tr>
      <w:tr w:rsidR="00A7162A" w14:paraId="4435ED8B" w14:textId="77777777" w:rsidTr="00AB53A0">
        <w:tc>
          <w:tcPr>
            <w:tcW w:w="468" w:type="dxa"/>
          </w:tcPr>
          <w:p w14:paraId="6248B022" w14:textId="77777777" w:rsidR="005B24D2" w:rsidRPr="002D2EE4" w:rsidRDefault="005B24D2" w:rsidP="00AB53A0">
            <w:pPr>
              <w:keepNext/>
              <w:tabs>
                <w:tab w:val="left" w:pos="562"/>
              </w:tabs>
              <w:suppressAutoHyphens/>
              <w:rPr>
                <w:rFonts w:eastAsia="Times New Roman"/>
                <w:sz w:val="22"/>
                <w:szCs w:val="22"/>
                <w:lang w:val="en-US"/>
              </w:rPr>
            </w:pPr>
          </w:p>
        </w:tc>
        <w:tc>
          <w:tcPr>
            <w:tcW w:w="8820" w:type="dxa"/>
            <w:gridSpan w:val="5"/>
          </w:tcPr>
          <w:p w14:paraId="199A0170" w14:textId="77777777" w:rsidR="005B24D2" w:rsidRPr="002D2EE4" w:rsidRDefault="00615769" w:rsidP="00AB53A0">
            <w:pPr>
              <w:keepNext/>
              <w:tabs>
                <w:tab w:val="left" w:pos="562"/>
              </w:tabs>
              <w:suppressAutoHyphens/>
              <w:jc w:val="center"/>
              <w:rPr>
                <w:rFonts w:eastAsia="Times New Roman"/>
                <w:b/>
                <w:sz w:val="22"/>
                <w:szCs w:val="22"/>
                <w:lang w:val="en-US"/>
              </w:rPr>
            </w:pPr>
            <w:r w:rsidRPr="002D2EE4">
              <w:rPr>
                <w:rFonts w:eastAsia="Times New Roman"/>
                <w:b/>
                <w:sz w:val="22"/>
                <w:szCs w:val="22"/>
                <w:lang w:val="en-US"/>
              </w:rPr>
              <w:t>T</w:t>
            </w:r>
            <w:r>
              <w:rPr>
                <w:rFonts w:eastAsia="Times New Roman"/>
                <w:b/>
                <w:sz w:val="22"/>
                <w:szCs w:val="22"/>
                <w:lang w:val="en-US"/>
              </w:rPr>
              <w:t>EMPO</w:t>
            </w:r>
            <w:r w:rsidRPr="002D2EE4">
              <w:rPr>
                <w:rFonts w:eastAsia="Times New Roman"/>
                <w:b/>
                <w:sz w:val="22"/>
                <w:szCs w:val="22"/>
                <w:lang w:val="en-US"/>
              </w:rPr>
              <w:t xml:space="preserve"> (</w:t>
            </w:r>
            <w:r>
              <w:rPr>
                <w:rFonts w:eastAsia="Times New Roman"/>
                <w:b/>
                <w:sz w:val="22"/>
                <w:szCs w:val="22"/>
                <w:lang w:val="en-US"/>
              </w:rPr>
              <w:t>SEMANAS</w:t>
            </w:r>
            <w:r w:rsidRPr="002D2EE4">
              <w:rPr>
                <w:rFonts w:eastAsia="Times New Roman"/>
                <w:b/>
                <w:sz w:val="22"/>
                <w:szCs w:val="22"/>
                <w:lang w:val="en-US"/>
              </w:rPr>
              <w:t>)</w:t>
            </w:r>
          </w:p>
        </w:tc>
      </w:tr>
      <w:tr w:rsidR="00A7162A" w14:paraId="2006AEF0" w14:textId="77777777" w:rsidTr="00AB53A0">
        <w:tc>
          <w:tcPr>
            <w:tcW w:w="468" w:type="dxa"/>
          </w:tcPr>
          <w:p w14:paraId="63E6CEC0" w14:textId="77777777" w:rsidR="005B24D2" w:rsidRPr="002D2EE4" w:rsidRDefault="005B24D2" w:rsidP="00AB53A0">
            <w:pPr>
              <w:keepNext/>
              <w:tabs>
                <w:tab w:val="left" w:pos="562"/>
              </w:tabs>
              <w:suppressAutoHyphens/>
              <w:rPr>
                <w:rFonts w:eastAsia="Times New Roman"/>
                <w:sz w:val="22"/>
                <w:szCs w:val="22"/>
                <w:lang w:val="en-US"/>
              </w:rPr>
            </w:pPr>
          </w:p>
        </w:tc>
        <w:tc>
          <w:tcPr>
            <w:tcW w:w="3510" w:type="dxa"/>
          </w:tcPr>
          <w:p w14:paraId="2896931D" w14:textId="77777777" w:rsidR="005B24D2" w:rsidRPr="002D2EE4" w:rsidRDefault="00615769" w:rsidP="00AB53A0">
            <w:pPr>
              <w:keepNext/>
              <w:tabs>
                <w:tab w:val="left" w:pos="562"/>
              </w:tabs>
              <w:suppressAutoHyphens/>
              <w:rPr>
                <w:rFonts w:eastAsia="Times New Roman"/>
                <w:sz w:val="22"/>
                <w:szCs w:val="22"/>
                <w:lang w:val="en-US"/>
              </w:rPr>
            </w:pPr>
            <w:r w:rsidRPr="002D2EE4">
              <w:rPr>
                <w:rFonts w:eastAsia="Times New Roman"/>
                <w:sz w:val="22"/>
                <w:szCs w:val="22"/>
                <w:lang w:val="en-US"/>
              </w:rPr>
              <w:t>Tr</w:t>
            </w:r>
            <w:r>
              <w:rPr>
                <w:rFonts w:eastAsia="Times New Roman"/>
                <w:sz w:val="22"/>
                <w:szCs w:val="22"/>
                <w:lang w:val="en-US"/>
              </w:rPr>
              <w:t>atamento</w:t>
            </w:r>
          </w:p>
        </w:tc>
        <w:tc>
          <w:tcPr>
            <w:tcW w:w="1170" w:type="dxa"/>
            <w:vAlign w:val="bottom"/>
          </w:tcPr>
          <w:p w14:paraId="33968093" w14:textId="77777777" w:rsidR="005B24D2" w:rsidRPr="002D2EE4" w:rsidRDefault="00615769" w:rsidP="00AB53A0">
            <w:pPr>
              <w:keepNext/>
              <w:tabs>
                <w:tab w:val="left" w:pos="562"/>
              </w:tabs>
              <w:suppressAutoHyphens/>
              <w:jc w:val="center"/>
              <w:rPr>
                <w:rFonts w:eastAsia="Times New Roman"/>
                <w:sz w:val="22"/>
                <w:szCs w:val="22"/>
                <w:lang w:val="en-US"/>
              </w:rPr>
            </w:pPr>
            <w:r>
              <w:rPr>
                <w:rFonts w:eastAsia="Times New Roman"/>
                <w:noProof/>
                <w:sz w:val="22"/>
                <w:szCs w:val="22"/>
                <w:lang w:val="en-GB" w:eastAsia="en-GB"/>
              </w:rPr>
              <w:drawing>
                <wp:inline distT="0" distB="0" distL="0" distR="0" wp14:anchorId="628CADA7" wp14:editId="49EEDDB2">
                  <wp:extent cx="457200" cy="123825"/>
                  <wp:effectExtent l="0" t="0" r="0" b="9525"/>
                  <wp:docPr id="152" name="Picture 90"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3" descr="Humira PED UV KM Curve 1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p>
        </w:tc>
        <w:tc>
          <w:tcPr>
            <w:tcW w:w="1350" w:type="dxa"/>
          </w:tcPr>
          <w:p w14:paraId="2FCF545B" w14:textId="77777777" w:rsidR="005B24D2" w:rsidRPr="002D2EE4" w:rsidRDefault="00615769" w:rsidP="00AB53A0">
            <w:pPr>
              <w:keepNext/>
              <w:tabs>
                <w:tab w:val="left" w:pos="562"/>
              </w:tabs>
              <w:suppressAutoHyphens/>
              <w:rPr>
                <w:rFonts w:eastAsia="Times New Roman"/>
                <w:sz w:val="22"/>
                <w:szCs w:val="22"/>
                <w:lang w:val="en-US"/>
              </w:rPr>
            </w:pPr>
            <w:r w:rsidRPr="002D2EE4">
              <w:rPr>
                <w:rFonts w:eastAsia="Times New Roman"/>
                <w:sz w:val="22"/>
                <w:szCs w:val="22"/>
                <w:lang w:val="en-US"/>
              </w:rPr>
              <w:t>Placebo</w:t>
            </w:r>
          </w:p>
        </w:tc>
        <w:tc>
          <w:tcPr>
            <w:tcW w:w="900" w:type="dxa"/>
            <w:vAlign w:val="center"/>
          </w:tcPr>
          <w:p w14:paraId="3FE3EF71" w14:textId="77777777" w:rsidR="005B24D2" w:rsidRPr="002D2EE4" w:rsidRDefault="00615769" w:rsidP="00AB53A0">
            <w:pPr>
              <w:keepNext/>
              <w:tabs>
                <w:tab w:val="left" w:pos="562"/>
              </w:tabs>
              <w:suppressAutoHyphens/>
              <w:rPr>
                <w:rFonts w:eastAsia="Times New Roman"/>
                <w:sz w:val="22"/>
                <w:szCs w:val="22"/>
                <w:lang w:val="en-US"/>
              </w:rPr>
            </w:pPr>
            <w:r>
              <w:rPr>
                <w:rFonts w:eastAsia="Times New Roman"/>
                <w:noProof/>
                <w:sz w:val="22"/>
                <w:szCs w:val="22"/>
                <w:lang w:val="en-GB" w:eastAsia="en-GB"/>
              </w:rPr>
              <w:drawing>
                <wp:inline distT="0" distB="0" distL="0" distR="0" wp14:anchorId="6BBBE36F" wp14:editId="2210F723">
                  <wp:extent cx="457200" cy="85725"/>
                  <wp:effectExtent l="0" t="0" r="0" b="9525"/>
                  <wp:docPr id="153" name="Picture 91"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4" descr="Humira PED UV KM Curve 1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p>
        </w:tc>
        <w:tc>
          <w:tcPr>
            <w:tcW w:w="1890" w:type="dxa"/>
          </w:tcPr>
          <w:p w14:paraId="2665875D" w14:textId="77777777" w:rsidR="005B24D2" w:rsidRPr="002D2EE4" w:rsidRDefault="00615769" w:rsidP="00AB53A0">
            <w:pPr>
              <w:keepNext/>
              <w:tabs>
                <w:tab w:val="left" w:pos="562"/>
              </w:tabs>
              <w:suppressAutoHyphens/>
              <w:rPr>
                <w:rFonts w:eastAsia="Times New Roman"/>
                <w:sz w:val="22"/>
                <w:szCs w:val="22"/>
                <w:lang w:val="en-US"/>
              </w:rPr>
            </w:pPr>
            <w:r w:rsidRPr="002D2EE4">
              <w:rPr>
                <w:rFonts w:eastAsia="Times New Roman"/>
                <w:sz w:val="22"/>
                <w:szCs w:val="22"/>
                <w:lang w:val="en-US"/>
              </w:rPr>
              <w:t>Adalimumab</w:t>
            </w:r>
          </w:p>
        </w:tc>
      </w:tr>
      <w:tr w:rsidR="00A7162A" w14:paraId="115ACCBD" w14:textId="77777777" w:rsidTr="00AB53A0">
        <w:tc>
          <w:tcPr>
            <w:tcW w:w="468" w:type="dxa"/>
          </w:tcPr>
          <w:p w14:paraId="3B71F0D9" w14:textId="77777777" w:rsidR="005B24D2" w:rsidRPr="002D2EE4" w:rsidRDefault="005B24D2" w:rsidP="00AB53A0">
            <w:pPr>
              <w:tabs>
                <w:tab w:val="left" w:pos="562"/>
              </w:tabs>
              <w:suppressAutoHyphens/>
              <w:rPr>
                <w:rFonts w:eastAsia="Times New Roman"/>
                <w:sz w:val="22"/>
                <w:szCs w:val="22"/>
                <w:lang w:val="en-US"/>
              </w:rPr>
            </w:pPr>
          </w:p>
        </w:tc>
        <w:tc>
          <w:tcPr>
            <w:tcW w:w="8820" w:type="dxa"/>
            <w:gridSpan w:val="5"/>
          </w:tcPr>
          <w:p w14:paraId="1D318F7F" w14:textId="77777777" w:rsidR="005B24D2" w:rsidRPr="00034BDE" w:rsidRDefault="00615769" w:rsidP="00AB53A0">
            <w:pPr>
              <w:tabs>
                <w:tab w:val="left" w:pos="562"/>
              </w:tabs>
              <w:suppressAutoHyphens/>
              <w:rPr>
                <w:rFonts w:eastAsia="Times New Roman"/>
                <w:sz w:val="22"/>
                <w:szCs w:val="22"/>
              </w:rPr>
            </w:pPr>
            <w:r w:rsidRPr="00034BDE">
              <w:rPr>
                <w:rFonts w:eastAsia="Times New Roman"/>
                <w:sz w:val="22"/>
                <w:szCs w:val="22"/>
              </w:rPr>
              <w:t>Nota: P = Placebo (Número em Risco); H = HUMIRA (Número em Risco).</w:t>
            </w:r>
          </w:p>
        </w:tc>
      </w:tr>
    </w:tbl>
    <w:p w14:paraId="636D1AB7" w14:textId="77777777" w:rsidR="004462A0" w:rsidRPr="00CC4B51" w:rsidRDefault="004462A0" w:rsidP="004462A0">
      <w:pPr>
        <w:rPr>
          <w:rFonts w:eastAsia="SimSun"/>
          <w:sz w:val="22"/>
          <w:szCs w:val="22"/>
          <w:lang w:eastAsia="zh-CN"/>
        </w:rPr>
      </w:pPr>
    </w:p>
    <w:p w14:paraId="6BA6D730" w14:textId="77777777" w:rsidR="004462A0" w:rsidRPr="00CC4B51" w:rsidRDefault="00615769" w:rsidP="004462A0">
      <w:pPr>
        <w:ind w:left="567" w:hanging="567"/>
        <w:rPr>
          <w:b/>
          <w:bCs/>
          <w:sz w:val="22"/>
          <w:szCs w:val="22"/>
        </w:rPr>
      </w:pPr>
      <w:r w:rsidRPr="00CC4B51">
        <w:rPr>
          <w:b/>
          <w:bCs/>
          <w:sz w:val="22"/>
          <w:szCs w:val="22"/>
        </w:rPr>
        <w:t>5.2</w:t>
      </w:r>
      <w:r w:rsidRPr="00CC4B51">
        <w:rPr>
          <w:b/>
          <w:bCs/>
          <w:sz w:val="22"/>
          <w:szCs w:val="22"/>
        </w:rPr>
        <w:tab/>
        <w:t>Propriedades farmacocinéticas</w:t>
      </w:r>
    </w:p>
    <w:p w14:paraId="7A9A3E2D" w14:textId="77777777" w:rsidR="004462A0" w:rsidRPr="00CC4B51" w:rsidRDefault="004462A0" w:rsidP="004462A0">
      <w:pPr>
        <w:rPr>
          <w:b/>
          <w:sz w:val="22"/>
          <w:szCs w:val="22"/>
        </w:rPr>
      </w:pPr>
    </w:p>
    <w:p w14:paraId="0A503A5D" w14:textId="77777777" w:rsidR="004462A0" w:rsidRPr="00CC4B51" w:rsidRDefault="00615769" w:rsidP="004462A0">
      <w:pPr>
        <w:rPr>
          <w:bCs/>
          <w:sz w:val="22"/>
          <w:szCs w:val="22"/>
          <w:u w:val="single"/>
        </w:rPr>
      </w:pPr>
      <w:r w:rsidRPr="00CC4B51">
        <w:rPr>
          <w:bCs/>
          <w:sz w:val="22"/>
          <w:szCs w:val="22"/>
          <w:u w:val="single"/>
        </w:rPr>
        <w:t>Absorção e distribuição</w:t>
      </w:r>
    </w:p>
    <w:p w14:paraId="42DBB88F" w14:textId="77777777" w:rsidR="004462A0" w:rsidRPr="00CC4B51" w:rsidRDefault="004462A0" w:rsidP="004462A0">
      <w:pPr>
        <w:rPr>
          <w:b/>
          <w:sz w:val="22"/>
          <w:szCs w:val="22"/>
        </w:rPr>
      </w:pPr>
    </w:p>
    <w:p w14:paraId="02441753" w14:textId="77777777" w:rsidR="004462A0" w:rsidRPr="00CC4B51" w:rsidRDefault="00615769" w:rsidP="004462A0">
      <w:pPr>
        <w:rPr>
          <w:rFonts w:eastAsia="SimSun"/>
          <w:sz w:val="22"/>
          <w:szCs w:val="22"/>
          <w:lang w:eastAsia="zh-CN"/>
        </w:rPr>
      </w:pPr>
      <w:r w:rsidRPr="00CC4B51">
        <w:rPr>
          <w:sz w:val="22"/>
          <w:szCs w:val="22"/>
        </w:rPr>
        <w:t>Após a administração subcutânea de uma dose única de 40 mg, a absorção e distribuição de adalimumab foram lentas, sendo os picos das concentrações séricas atingidos cerca de 5 dias após a administração. A biodisponibilidade absoluta média de adalimumab foi de 64</w:t>
      </w:r>
      <w:r w:rsidR="009343EF">
        <w:rPr>
          <w:sz w:val="22"/>
          <w:szCs w:val="22"/>
        </w:rPr>
        <w:t>%</w:t>
      </w:r>
      <w:r w:rsidRPr="00CC4B51">
        <w:rPr>
          <w:sz w:val="22"/>
          <w:szCs w:val="22"/>
        </w:rPr>
        <w:t>, calculada a partir de três estudos após uma dose subcutânea única de 40 mg. Após a administração de doses intravenosas únicas compreendidas entre 0,25 e 10 mg/kg, as concentrações foram proporcionais à dose. Após doses de 0,5 mg/kg (~ 40 mg) as depurações variaram entre 11 e 15 ml/hora, o volume de distribuição (V</w:t>
      </w:r>
      <w:r w:rsidRPr="00CC4B51">
        <w:rPr>
          <w:sz w:val="22"/>
          <w:szCs w:val="22"/>
          <w:vertAlign w:val="subscript"/>
        </w:rPr>
        <w:t>ss</w:t>
      </w:r>
      <w:r w:rsidRPr="00CC4B51">
        <w:rPr>
          <w:sz w:val="22"/>
          <w:szCs w:val="22"/>
        </w:rPr>
        <w:t>) variou entre 5 e 6 litros e a semi</w:t>
      </w:r>
      <w:r w:rsidR="00784C05">
        <w:rPr>
          <w:sz w:val="22"/>
          <w:szCs w:val="22"/>
        </w:rPr>
        <w:t>-</w:t>
      </w:r>
      <w:r w:rsidRPr="00CC4B51">
        <w:rPr>
          <w:sz w:val="22"/>
          <w:szCs w:val="22"/>
        </w:rPr>
        <w:t>vida média da fase terminal foi de aproximadamente duas semanas. As concentrações de adalimumab no líquido sinovial de vários doentes com artrite reumatoid</w:t>
      </w:r>
      <w:r w:rsidRPr="00CC4B51">
        <w:rPr>
          <w:sz w:val="22"/>
          <w:szCs w:val="22"/>
        </w:rPr>
        <w:t>e variaram entre 31-96</w:t>
      </w:r>
      <w:r w:rsidR="009343EF">
        <w:rPr>
          <w:sz w:val="22"/>
          <w:szCs w:val="22"/>
        </w:rPr>
        <w:t>%</w:t>
      </w:r>
      <w:r w:rsidRPr="00CC4B51">
        <w:rPr>
          <w:sz w:val="22"/>
          <w:szCs w:val="22"/>
        </w:rPr>
        <w:t xml:space="preserve"> relativamente às concentrações séricas.</w:t>
      </w:r>
    </w:p>
    <w:p w14:paraId="093F88AC" w14:textId="77777777" w:rsidR="004462A0" w:rsidRDefault="004462A0" w:rsidP="004462A0">
      <w:pPr>
        <w:rPr>
          <w:rFonts w:eastAsia="SimSun"/>
          <w:sz w:val="22"/>
          <w:szCs w:val="22"/>
          <w:lang w:eastAsia="zh-CN"/>
        </w:rPr>
      </w:pPr>
    </w:p>
    <w:p w14:paraId="656AE6D5" w14:textId="77777777" w:rsidR="00835AFF" w:rsidRPr="008912CF" w:rsidRDefault="00615769" w:rsidP="00835AFF">
      <w:pPr>
        <w:pStyle w:val="BodyText2"/>
        <w:rPr>
          <w:szCs w:val="22"/>
        </w:rPr>
      </w:pPr>
      <w:r w:rsidRPr="008912CF">
        <w:rPr>
          <w:szCs w:val="22"/>
        </w:rPr>
        <w:t>Após a administração subcutânea de 40 mg de adalimumab em semanas alternadas em doentes adultos com artrite reumatoide (AR) as concentrações médias de vale em estado de equilíbrio foram de aproximadamente 5 </w:t>
      </w:r>
      <w:r w:rsidRPr="008912CF">
        <w:rPr>
          <w:rFonts w:ascii="Symbol" w:hAnsi="Symbol"/>
          <w:szCs w:val="22"/>
        </w:rPr>
        <w:sym w:font="Symbol" w:char="F06D"/>
      </w:r>
      <w:r w:rsidRPr="008912CF">
        <w:rPr>
          <w:szCs w:val="22"/>
        </w:rPr>
        <w:t xml:space="preserve">g/ml (sem administração concomitante de metotrexato) e </w:t>
      </w:r>
      <w:r w:rsidR="00A85772">
        <w:rPr>
          <w:szCs w:val="22"/>
        </w:rPr>
        <w:t xml:space="preserve">de </w:t>
      </w:r>
      <w:r w:rsidRPr="008912CF">
        <w:rPr>
          <w:szCs w:val="22"/>
        </w:rPr>
        <w:t>8 a 9 </w:t>
      </w:r>
      <w:r w:rsidRPr="008912CF">
        <w:rPr>
          <w:rFonts w:ascii="Symbol" w:hAnsi="Symbol"/>
          <w:szCs w:val="22"/>
        </w:rPr>
        <w:sym w:font="Symbol" w:char="F06D"/>
      </w:r>
      <w:r w:rsidRPr="008912CF">
        <w:rPr>
          <w:szCs w:val="22"/>
        </w:rPr>
        <w:t>g/ml (com administração concomitante de metotrexato), respetivamente. Os níveis séricos de vale de adalimumab em estado de equilíbrio aumentaram quase proporcionalmente à dose após a administração por via subcutânea de 20, 40 e 80 mg em semanas alternadas e semanalmente.</w:t>
      </w:r>
    </w:p>
    <w:p w14:paraId="51265AA0" w14:textId="77777777" w:rsidR="00835AFF" w:rsidRPr="00CC4B51" w:rsidRDefault="00835AFF" w:rsidP="004462A0">
      <w:pPr>
        <w:rPr>
          <w:rFonts w:eastAsia="SimSun"/>
          <w:sz w:val="22"/>
          <w:szCs w:val="22"/>
          <w:lang w:eastAsia="zh-CN"/>
        </w:rPr>
      </w:pPr>
    </w:p>
    <w:p w14:paraId="476F9433" w14:textId="77777777" w:rsidR="004462A0" w:rsidRPr="00CC4B51" w:rsidRDefault="00615769" w:rsidP="004462A0">
      <w:pPr>
        <w:rPr>
          <w:sz w:val="22"/>
          <w:szCs w:val="22"/>
        </w:rPr>
      </w:pPr>
      <w:r w:rsidRPr="00CC4B51">
        <w:rPr>
          <w:sz w:val="22"/>
          <w:szCs w:val="22"/>
        </w:rPr>
        <w:t xml:space="preserve">Em doentes adultos com psoríase em tratamento com adalimumab 40 mg em semanas alternadas, em monoterapia, a </w:t>
      </w:r>
      <w:r w:rsidR="004D2A92">
        <w:rPr>
          <w:sz w:val="22"/>
          <w:szCs w:val="22"/>
        </w:rPr>
        <w:t xml:space="preserve">média da </w:t>
      </w:r>
      <w:r w:rsidRPr="00CC4B51">
        <w:rPr>
          <w:sz w:val="22"/>
          <w:szCs w:val="22"/>
        </w:rPr>
        <w:t xml:space="preserve">concentração </w:t>
      </w:r>
      <w:r w:rsidR="004D2A92">
        <w:rPr>
          <w:sz w:val="22"/>
          <w:szCs w:val="22"/>
        </w:rPr>
        <w:t>de vale</w:t>
      </w:r>
      <w:r w:rsidRPr="00CC4B51">
        <w:rPr>
          <w:sz w:val="22"/>
          <w:szCs w:val="22"/>
        </w:rPr>
        <w:t xml:space="preserve"> em estado de equilíbrio foi de 5 </w:t>
      </w:r>
      <w:r w:rsidRPr="00CC4B51">
        <w:rPr>
          <w:rFonts w:ascii="Symbol" w:hAnsi="Symbol"/>
          <w:sz w:val="22"/>
          <w:szCs w:val="22"/>
        </w:rPr>
        <w:sym w:font="Symbol" w:char="F06D"/>
      </w:r>
      <w:r w:rsidRPr="00CC4B51">
        <w:rPr>
          <w:sz w:val="22"/>
          <w:szCs w:val="22"/>
        </w:rPr>
        <w:t xml:space="preserve">g/ml. </w:t>
      </w:r>
    </w:p>
    <w:p w14:paraId="1E954DD5" w14:textId="77777777" w:rsidR="004462A0" w:rsidRPr="00CC4B51" w:rsidRDefault="004462A0" w:rsidP="004462A0">
      <w:pPr>
        <w:rPr>
          <w:sz w:val="22"/>
          <w:szCs w:val="22"/>
        </w:rPr>
      </w:pPr>
    </w:p>
    <w:p w14:paraId="60D7AE08" w14:textId="77777777" w:rsidR="004462A0" w:rsidRDefault="00615769" w:rsidP="004462A0">
      <w:pPr>
        <w:rPr>
          <w:sz w:val="22"/>
          <w:szCs w:val="22"/>
        </w:rPr>
      </w:pPr>
      <w:r w:rsidRPr="00CC4B51">
        <w:rPr>
          <w:sz w:val="22"/>
          <w:szCs w:val="22"/>
        </w:rPr>
        <w:t>Em doentes adultos com hidradenite supurativa, uma dose de 160 mg de Humira na Semana 0 seguida de 80 mg de Humira na Semana 2 alcanç</w:t>
      </w:r>
      <w:r w:rsidR="004D2A92">
        <w:rPr>
          <w:sz w:val="22"/>
          <w:szCs w:val="22"/>
        </w:rPr>
        <w:t>ou</w:t>
      </w:r>
      <w:r w:rsidRPr="00CC4B51">
        <w:rPr>
          <w:sz w:val="22"/>
          <w:szCs w:val="22"/>
        </w:rPr>
        <w:t xml:space="preserve"> uma concentração sérica </w:t>
      </w:r>
      <w:r w:rsidR="004D2A92">
        <w:rPr>
          <w:sz w:val="22"/>
          <w:szCs w:val="22"/>
        </w:rPr>
        <w:t xml:space="preserve">de vale </w:t>
      </w:r>
      <w:r w:rsidRPr="00CC4B51">
        <w:rPr>
          <w:sz w:val="22"/>
          <w:szCs w:val="22"/>
        </w:rPr>
        <w:t xml:space="preserve">de adalimumab de aproximadamente 7 a 8 μg/ml na Semana 2 e Semana 4. A média das concentrações séricas de </w:t>
      </w:r>
      <w:r w:rsidR="004D2A92">
        <w:rPr>
          <w:sz w:val="22"/>
          <w:szCs w:val="22"/>
        </w:rPr>
        <w:t xml:space="preserve">vale de </w:t>
      </w:r>
      <w:r w:rsidRPr="00CC4B51">
        <w:rPr>
          <w:sz w:val="22"/>
          <w:szCs w:val="22"/>
        </w:rPr>
        <w:t>adalimumab da Semana 12 à Semana 36 foi aproximadamente 8 a 10 μg/ml durante o tratamento de adalimumab 40 mg todas as semanas.</w:t>
      </w:r>
    </w:p>
    <w:p w14:paraId="4D3C57F3" w14:textId="77777777" w:rsidR="0029007D" w:rsidRPr="00CC4B51" w:rsidRDefault="0029007D" w:rsidP="004462A0">
      <w:pPr>
        <w:rPr>
          <w:sz w:val="22"/>
          <w:szCs w:val="22"/>
        </w:rPr>
      </w:pPr>
    </w:p>
    <w:p w14:paraId="1F06E676" w14:textId="77777777" w:rsidR="004462A0" w:rsidRPr="00CC4B51" w:rsidRDefault="00615769" w:rsidP="004462A0">
      <w:pPr>
        <w:rPr>
          <w:sz w:val="22"/>
          <w:szCs w:val="22"/>
        </w:rPr>
      </w:pPr>
      <w:r w:rsidRPr="00CC4B51">
        <w:rPr>
          <w:sz w:val="22"/>
          <w:szCs w:val="22"/>
        </w:rPr>
        <w:t>A exposição de adalimumab em doentes adolescentes com HS foi avaliada utilizando modelos farmacocinéticos e de simulação na população, baseados na farmacocinética nas várias indicações em outros doentes pediátricos (psoríase pediátrica, artrite idiopática juvenil, doença de Crohn pediátrica e artrite relacionada com entesite). A dose recomendada em adolescentes com hidradenite supurativa é de 40 mg em semanas alternadas. Uma vez que a exposição a adalimum</w:t>
      </w:r>
      <w:r w:rsidR="00771456">
        <w:rPr>
          <w:sz w:val="22"/>
          <w:szCs w:val="22"/>
        </w:rPr>
        <w:t>a</w:t>
      </w:r>
      <w:r w:rsidRPr="00CC4B51">
        <w:rPr>
          <w:sz w:val="22"/>
          <w:szCs w:val="22"/>
        </w:rPr>
        <w:t>b pode ser afetada pelo peso corporal, adolescentes com grande peso corporal e inadequada resposta, podem beneficiar da dose recomendada para os adultos de 40 mg todas as semanas.</w:t>
      </w:r>
    </w:p>
    <w:p w14:paraId="66C406E5" w14:textId="77777777" w:rsidR="004462A0" w:rsidRPr="00CC4B51" w:rsidRDefault="004462A0" w:rsidP="004462A0">
      <w:pPr>
        <w:rPr>
          <w:sz w:val="22"/>
          <w:szCs w:val="22"/>
        </w:rPr>
      </w:pPr>
    </w:p>
    <w:p w14:paraId="09496AB8" w14:textId="77777777" w:rsidR="004462A0" w:rsidRPr="00CC4B51" w:rsidRDefault="00615769" w:rsidP="004462A0">
      <w:pPr>
        <w:rPr>
          <w:sz w:val="22"/>
          <w:szCs w:val="22"/>
        </w:rPr>
      </w:pPr>
      <w:r w:rsidRPr="00CC4B51">
        <w:rPr>
          <w:sz w:val="22"/>
          <w:szCs w:val="22"/>
        </w:rPr>
        <w:t xml:space="preserve">Em doentes com doença de Crohn, a dose de carga de 80 mg de Humira na Semana 0 seguida de 40 mg de Humira na Semana 2 atinge uma concentração sérica </w:t>
      </w:r>
      <w:r w:rsidR="001729C1">
        <w:rPr>
          <w:sz w:val="22"/>
          <w:szCs w:val="22"/>
        </w:rPr>
        <w:t xml:space="preserve">de vale </w:t>
      </w:r>
      <w:r w:rsidRPr="00CC4B51">
        <w:rPr>
          <w:sz w:val="22"/>
          <w:szCs w:val="22"/>
        </w:rPr>
        <w:t>de adalimumab de aproximadamente 5,5 </w:t>
      </w:r>
      <w:r w:rsidRPr="00CC4B51">
        <w:rPr>
          <w:rFonts w:ascii="Symbol" w:hAnsi="Symbol"/>
          <w:sz w:val="22"/>
          <w:szCs w:val="22"/>
        </w:rPr>
        <w:sym w:font="Symbol" w:char="F06D"/>
      </w:r>
      <w:r w:rsidRPr="00CC4B51">
        <w:rPr>
          <w:sz w:val="22"/>
          <w:szCs w:val="22"/>
        </w:rPr>
        <w:t xml:space="preserve">g/ml durante o período de indução. Uma dose de carga de 160 mg de Humira na Semana 0 seguida de 80 mg de Humira na Semana 2 alcança uma concentração sérica </w:t>
      </w:r>
      <w:r w:rsidR="001729C1">
        <w:rPr>
          <w:sz w:val="22"/>
          <w:szCs w:val="22"/>
        </w:rPr>
        <w:t xml:space="preserve">de vale </w:t>
      </w:r>
      <w:r w:rsidRPr="00CC4B51">
        <w:rPr>
          <w:sz w:val="22"/>
          <w:szCs w:val="22"/>
        </w:rPr>
        <w:t>de adalimumab de aproximadamente 12 </w:t>
      </w:r>
      <w:r w:rsidRPr="00CC4B51">
        <w:rPr>
          <w:rFonts w:ascii="Symbol" w:hAnsi="Symbol"/>
          <w:sz w:val="22"/>
          <w:szCs w:val="22"/>
        </w:rPr>
        <w:sym w:font="Symbol" w:char="F06D"/>
      </w:r>
      <w:r w:rsidRPr="00CC4B51">
        <w:rPr>
          <w:sz w:val="22"/>
          <w:szCs w:val="22"/>
        </w:rPr>
        <w:t xml:space="preserve">g/ml durante o período de indução. Observaram-se níveis médios </w:t>
      </w:r>
      <w:r w:rsidR="001729C1">
        <w:rPr>
          <w:sz w:val="22"/>
          <w:szCs w:val="22"/>
        </w:rPr>
        <w:t xml:space="preserve">de vale </w:t>
      </w:r>
      <w:r w:rsidRPr="00CC4B51">
        <w:rPr>
          <w:sz w:val="22"/>
          <w:szCs w:val="22"/>
        </w:rPr>
        <w:t>em estado de equilíbrio de aproximadamente 7 </w:t>
      </w:r>
      <w:r w:rsidRPr="00CC4B51">
        <w:rPr>
          <w:rFonts w:ascii="Symbol" w:hAnsi="Symbol"/>
          <w:sz w:val="22"/>
          <w:szCs w:val="22"/>
        </w:rPr>
        <w:sym w:font="Symbol" w:char="F06D"/>
      </w:r>
      <w:r w:rsidRPr="00CC4B51">
        <w:rPr>
          <w:sz w:val="22"/>
          <w:szCs w:val="22"/>
        </w:rPr>
        <w:t>g/ml em doentes com doença de Crohn que receberam uma dose de manutenção de 40 mg de Humira em semanas alternadas.</w:t>
      </w:r>
    </w:p>
    <w:p w14:paraId="608FBB0E" w14:textId="77777777" w:rsidR="004462A0" w:rsidRPr="00CC4B51" w:rsidRDefault="004462A0" w:rsidP="004462A0">
      <w:pPr>
        <w:rPr>
          <w:sz w:val="22"/>
          <w:szCs w:val="22"/>
        </w:rPr>
      </w:pPr>
    </w:p>
    <w:p w14:paraId="0507FA5B" w14:textId="77777777" w:rsidR="004462A0" w:rsidRPr="00CC4B51" w:rsidRDefault="00615769" w:rsidP="004462A0">
      <w:pPr>
        <w:autoSpaceDE w:val="0"/>
        <w:autoSpaceDN w:val="0"/>
        <w:adjustRightInd w:val="0"/>
        <w:rPr>
          <w:sz w:val="22"/>
          <w:szCs w:val="22"/>
        </w:rPr>
      </w:pPr>
      <w:r w:rsidRPr="00CC4B51">
        <w:rPr>
          <w:sz w:val="22"/>
          <w:szCs w:val="22"/>
        </w:rPr>
        <w:t xml:space="preserve">Em doentes pediátricos com DC moderada a grave, a dose de indução de adalimumab em fase aberta foi 160/80 mg ou 80/40 mg nas Semanas 0 e 2, respetivamente, dependendo do limiar de peso corporal de 40 kg. Na Semana 4, os doentes foram </w:t>
      </w:r>
      <w:r w:rsidR="0013275C">
        <w:rPr>
          <w:sz w:val="22"/>
          <w:szCs w:val="22"/>
        </w:rPr>
        <w:t>aleatorizado</w:t>
      </w:r>
      <w:r w:rsidRPr="00CC4B51">
        <w:rPr>
          <w:sz w:val="22"/>
          <w:szCs w:val="22"/>
        </w:rPr>
        <w:t>s 1:1 para Dose Padrão (40/20 mg em semanas alternadas) ou Baixa Dose (20/10 mg em semanas alternadas) em grupos de tratamento de manutenção com base no peso corporal. A média (</w:t>
      </w:r>
      <w:r w:rsidRPr="00CC4B51">
        <w:rPr>
          <w:rFonts w:eastAsia="Arial Unicode MS"/>
          <w:sz w:val="22"/>
          <w:szCs w:val="22"/>
        </w:rPr>
        <w:t>±</w:t>
      </w:r>
      <w:r w:rsidR="0029007D">
        <w:rPr>
          <w:rFonts w:eastAsia="Arial Unicode MS"/>
          <w:sz w:val="22"/>
          <w:szCs w:val="22"/>
        </w:rPr>
        <w:t xml:space="preserve"> </w:t>
      </w:r>
      <w:r w:rsidRPr="00CC4B51">
        <w:rPr>
          <w:rFonts w:eastAsia="Arial Unicode MS"/>
          <w:sz w:val="22"/>
          <w:szCs w:val="22"/>
        </w:rPr>
        <w:t xml:space="preserve">DP) da concentração sérica </w:t>
      </w:r>
      <w:r w:rsidR="001729C1">
        <w:rPr>
          <w:rFonts w:eastAsia="Arial Unicode MS"/>
          <w:sz w:val="22"/>
          <w:szCs w:val="22"/>
        </w:rPr>
        <w:t xml:space="preserve">de vale </w:t>
      </w:r>
      <w:r w:rsidRPr="00CC4B51">
        <w:rPr>
          <w:rFonts w:eastAsia="Arial Unicode MS"/>
          <w:sz w:val="22"/>
          <w:szCs w:val="22"/>
        </w:rPr>
        <w:t xml:space="preserve">de adalimumab atingida na Semana 4 foi </w:t>
      </w:r>
      <w:r w:rsidRPr="00CC4B51">
        <w:rPr>
          <w:sz w:val="22"/>
          <w:szCs w:val="22"/>
          <w:lang w:eastAsia="en-GB"/>
        </w:rPr>
        <w:t>15,7</w:t>
      </w:r>
      <w:r w:rsidR="0029007D">
        <w:rPr>
          <w:sz w:val="22"/>
          <w:szCs w:val="22"/>
          <w:lang w:eastAsia="en-GB"/>
        </w:rPr>
        <w:t xml:space="preserve"> </w:t>
      </w:r>
      <w:r w:rsidRPr="00CC4B51">
        <w:rPr>
          <w:rFonts w:eastAsia="Arial Unicode MS"/>
          <w:sz w:val="22"/>
          <w:szCs w:val="22"/>
        </w:rPr>
        <w:t>±</w:t>
      </w:r>
      <w:r w:rsidR="0029007D">
        <w:rPr>
          <w:rFonts w:eastAsia="Arial Unicode MS"/>
          <w:sz w:val="22"/>
          <w:szCs w:val="22"/>
        </w:rPr>
        <w:t xml:space="preserve"> </w:t>
      </w:r>
      <w:r w:rsidRPr="00CC4B51">
        <w:rPr>
          <w:rFonts w:eastAsia="Arial Unicode MS"/>
          <w:sz w:val="22"/>
          <w:szCs w:val="22"/>
        </w:rPr>
        <w:t>6</w:t>
      </w:r>
      <w:r w:rsidR="009343EF">
        <w:rPr>
          <w:rFonts w:eastAsia="Arial Unicode MS"/>
          <w:sz w:val="22"/>
          <w:szCs w:val="22"/>
        </w:rPr>
        <w:t>,</w:t>
      </w:r>
      <w:r w:rsidRPr="00CC4B51">
        <w:rPr>
          <w:rFonts w:eastAsia="Arial Unicode MS"/>
          <w:sz w:val="22"/>
          <w:szCs w:val="22"/>
        </w:rPr>
        <w:t xml:space="preserve">6 </w:t>
      </w:r>
      <w:r w:rsidRPr="00CC4B51">
        <w:rPr>
          <w:rFonts w:ascii="Symbol" w:hAnsi="Symbol"/>
          <w:sz w:val="22"/>
          <w:szCs w:val="22"/>
        </w:rPr>
        <w:sym w:font="Symbol" w:char="F06D"/>
      </w:r>
      <w:r w:rsidRPr="00CC4B51">
        <w:rPr>
          <w:sz w:val="22"/>
          <w:szCs w:val="22"/>
        </w:rPr>
        <w:t xml:space="preserve">g/ml para doentes </w:t>
      </w:r>
      <w:r w:rsidRPr="00CC4B51">
        <w:rPr>
          <w:rFonts w:ascii="Symbol" w:hAnsi="Symbol"/>
          <w:sz w:val="22"/>
          <w:szCs w:val="22"/>
        </w:rPr>
        <w:sym w:font="Symbol" w:char="F0B3"/>
      </w:r>
      <w:r w:rsidRPr="00CC4B51">
        <w:rPr>
          <w:sz w:val="22"/>
          <w:szCs w:val="22"/>
        </w:rPr>
        <w:t xml:space="preserve"> 40 kg (160/80 mg) e </w:t>
      </w:r>
      <w:r w:rsidRPr="00CC4B51">
        <w:rPr>
          <w:sz w:val="22"/>
          <w:szCs w:val="22"/>
          <w:lang w:eastAsia="en-GB"/>
        </w:rPr>
        <w:t>10,6</w:t>
      </w:r>
      <w:r w:rsidR="0029007D">
        <w:rPr>
          <w:sz w:val="22"/>
          <w:szCs w:val="22"/>
          <w:lang w:eastAsia="en-GB"/>
        </w:rPr>
        <w:t xml:space="preserve"> </w:t>
      </w:r>
      <w:r w:rsidRPr="00CC4B51">
        <w:rPr>
          <w:rFonts w:eastAsia="Arial Unicode MS"/>
          <w:sz w:val="22"/>
          <w:szCs w:val="22"/>
        </w:rPr>
        <w:t>±</w:t>
      </w:r>
      <w:r w:rsidR="0029007D">
        <w:rPr>
          <w:rFonts w:eastAsia="Arial Unicode MS"/>
          <w:sz w:val="22"/>
          <w:szCs w:val="22"/>
        </w:rPr>
        <w:t xml:space="preserve"> </w:t>
      </w:r>
      <w:r w:rsidRPr="00CC4B51">
        <w:rPr>
          <w:rFonts w:eastAsia="Arial Unicode MS"/>
          <w:sz w:val="22"/>
          <w:szCs w:val="22"/>
        </w:rPr>
        <w:t>6,1 </w:t>
      </w:r>
      <w:r w:rsidRPr="00CC4B51">
        <w:rPr>
          <w:rFonts w:ascii="Symbol" w:hAnsi="Symbol"/>
          <w:sz w:val="22"/>
          <w:szCs w:val="22"/>
        </w:rPr>
        <w:sym w:font="Symbol" w:char="F06D"/>
      </w:r>
      <w:r w:rsidRPr="00CC4B51">
        <w:rPr>
          <w:sz w:val="22"/>
          <w:szCs w:val="22"/>
        </w:rPr>
        <w:t>g/ml para doentes &lt; 40 kg (80/40 mg).</w:t>
      </w:r>
    </w:p>
    <w:p w14:paraId="1E1C289D" w14:textId="77777777" w:rsidR="004462A0" w:rsidRPr="00CC4B51" w:rsidRDefault="004462A0" w:rsidP="004462A0">
      <w:pPr>
        <w:autoSpaceDE w:val="0"/>
        <w:autoSpaceDN w:val="0"/>
        <w:adjustRightInd w:val="0"/>
        <w:rPr>
          <w:sz w:val="22"/>
          <w:szCs w:val="22"/>
        </w:rPr>
      </w:pPr>
    </w:p>
    <w:p w14:paraId="394EC150" w14:textId="77777777" w:rsidR="004462A0" w:rsidRPr="00CC4B51" w:rsidRDefault="00615769" w:rsidP="004462A0">
      <w:pPr>
        <w:autoSpaceDE w:val="0"/>
        <w:autoSpaceDN w:val="0"/>
        <w:adjustRightInd w:val="0"/>
        <w:rPr>
          <w:sz w:val="22"/>
          <w:szCs w:val="22"/>
        </w:rPr>
      </w:pPr>
      <w:r w:rsidRPr="00CC4B51">
        <w:rPr>
          <w:sz w:val="22"/>
          <w:szCs w:val="22"/>
        </w:rPr>
        <w:t>Nos doentes que mantiveram a terapêutica randomizada, a média (±</w:t>
      </w:r>
      <w:r w:rsidR="0029007D">
        <w:rPr>
          <w:sz w:val="22"/>
          <w:szCs w:val="22"/>
        </w:rPr>
        <w:t xml:space="preserve"> </w:t>
      </w:r>
      <w:r w:rsidRPr="00CC4B51">
        <w:rPr>
          <w:sz w:val="22"/>
          <w:szCs w:val="22"/>
        </w:rPr>
        <w:t xml:space="preserve">DP) das concentrações séricas de </w:t>
      </w:r>
      <w:r w:rsidR="001729C1">
        <w:rPr>
          <w:sz w:val="22"/>
          <w:szCs w:val="22"/>
        </w:rPr>
        <w:t xml:space="preserve">vale de </w:t>
      </w:r>
      <w:r w:rsidRPr="00CC4B51">
        <w:rPr>
          <w:sz w:val="22"/>
          <w:szCs w:val="22"/>
        </w:rPr>
        <w:t xml:space="preserve">adalimumab na Semana 52 </w:t>
      </w:r>
      <w:r w:rsidR="001729C1">
        <w:rPr>
          <w:sz w:val="22"/>
          <w:szCs w:val="22"/>
        </w:rPr>
        <w:t>foi</w:t>
      </w:r>
      <w:r w:rsidR="001729C1" w:rsidRPr="00CC4B51">
        <w:rPr>
          <w:sz w:val="22"/>
          <w:szCs w:val="22"/>
        </w:rPr>
        <w:t xml:space="preserve"> </w:t>
      </w:r>
      <w:r w:rsidRPr="00CC4B51">
        <w:rPr>
          <w:sz w:val="22"/>
          <w:szCs w:val="22"/>
        </w:rPr>
        <w:t>de 9,5</w:t>
      </w:r>
      <w:r w:rsidR="0029007D">
        <w:rPr>
          <w:sz w:val="22"/>
          <w:szCs w:val="22"/>
        </w:rPr>
        <w:t xml:space="preserve"> </w:t>
      </w:r>
      <w:r w:rsidRPr="00CC4B51">
        <w:rPr>
          <w:sz w:val="22"/>
          <w:szCs w:val="22"/>
        </w:rPr>
        <w:t>±</w:t>
      </w:r>
      <w:r w:rsidR="0029007D">
        <w:rPr>
          <w:sz w:val="22"/>
          <w:szCs w:val="22"/>
        </w:rPr>
        <w:t xml:space="preserve"> </w:t>
      </w:r>
      <w:r w:rsidRPr="00CC4B51">
        <w:rPr>
          <w:sz w:val="22"/>
          <w:szCs w:val="22"/>
        </w:rPr>
        <w:t>5,6 </w:t>
      </w:r>
      <w:r w:rsidRPr="00CC4B51">
        <w:rPr>
          <w:rFonts w:ascii="Symbol" w:hAnsi="Symbol"/>
          <w:sz w:val="22"/>
          <w:szCs w:val="22"/>
        </w:rPr>
        <w:sym w:font="Symbol" w:char="F06D"/>
      </w:r>
      <w:r w:rsidRPr="00CC4B51">
        <w:rPr>
          <w:sz w:val="22"/>
          <w:szCs w:val="22"/>
        </w:rPr>
        <w:t>g/ml para o grupo Dose Padrão e 3,5</w:t>
      </w:r>
      <w:r w:rsidR="0029007D">
        <w:rPr>
          <w:sz w:val="22"/>
          <w:szCs w:val="22"/>
        </w:rPr>
        <w:t xml:space="preserve"> </w:t>
      </w:r>
      <w:r w:rsidRPr="00CC4B51">
        <w:rPr>
          <w:sz w:val="22"/>
          <w:szCs w:val="22"/>
        </w:rPr>
        <w:t>±</w:t>
      </w:r>
      <w:r w:rsidR="0029007D">
        <w:rPr>
          <w:sz w:val="22"/>
          <w:szCs w:val="22"/>
        </w:rPr>
        <w:t xml:space="preserve"> </w:t>
      </w:r>
      <w:r w:rsidRPr="00CC4B51">
        <w:rPr>
          <w:sz w:val="22"/>
          <w:szCs w:val="22"/>
        </w:rPr>
        <w:t>2,2 </w:t>
      </w:r>
      <w:r w:rsidRPr="00CC4B51">
        <w:rPr>
          <w:rFonts w:ascii="Symbol" w:hAnsi="Symbol"/>
          <w:sz w:val="22"/>
          <w:szCs w:val="22"/>
        </w:rPr>
        <w:sym w:font="Symbol" w:char="F06D"/>
      </w:r>
      <w:r w:rsidRPr="00CC4B51">
        <w:rPr>
          <w:sz w:val="22"/>
          <w:szCs w:val="22"/>
        </w:rPr>
        <w:t xml:space="preserve">g/ml para o grupo de Baixa Dose. As médias das concentrações </w:t>
      </w:r>
      <w:r w:rsidR="001729C1">
        <w:rPr>
          <w:sz w:val="22"/>
          <w:szCs w:val="22"/>
        </w:rPr>
        <w:t>de vale</w:t>
      </w:r>
      <w:r w:rsidR="001729C1" w:rsidRPr="00CC4B51">
        <w:rPr>
          <w:sz w:val="22"/>
          <w:szCs w:val="22"/>
        </w:rPr>
        <w:t xml:space="preserve"> </w:t>
      </w:r>
      <w:r w:rsidRPr="00CC4B51">
        <w:rPr>
          <w:sz w:val="22"/>
          <w:szCs w:val="22"/>
        </w:rPr>
        <w:t>foram mantidas em doentes que continuaram a receber o tratamento com adalimumab, em semanas alternadas, durante 52 semanas. Nos doentes em que a dose foi alterada do regime de semanas alternadas para regime semanal, a</w:t>
      </w:r>
      <w:r w:rsidR="001729C1">
        <w:rPr>
          <w:sz w:val="22"/>
          <w:szCs w:val="22"/>
        </w:rPr>
        <w:t>s</w:t>
      </w:r>
      <w:r w:rsidRPr="00CC4B51">
        <w:rPr>
          <w:sz w:val="22"/>
          <w:szCs w:val="22"/>
        </w:rPr>
        <w:t xml:space="preserve"> média</w:t>
      </w:r>
      <w:r w:rsidR="001729C1">
        <w:rPr>
          <w:sz w:val="22"/>
          <w:szCs w:val="22"/>
        </w:rPr>
        <w:t>s</w:t>
      </w:r>
      <w:r w:rsidRPr="00CC4B51">
        <w:rPr>
          <w:sz w:val="22"/>
          <w:szCs w:val="22"/>
        </w:rPr>
        <w:t xml:space="preserve"> (±</w:t>
      </w:r>
      <w:r w:rsidR="0029007D">
        <w:rPr>
          <w:sz w:val="22"/>
          <w:szCs w:val="22"/>
        </w:rPr>
        <w:t xml:space="preserve"> </w:t>
      </w:r>
      <w:r w:rsidRPr="00CC4B51">
        <w:rPr>
          <w:sz w:val="22"/>
          <w:szCs w:val="22"/>
        </w:rPr>
        <w:t>DP) das concentrações séricas de adalimumab na Semana 52 foram de 15,3</w:t>
      </w:r>
      <w:r w:rsidR="0029007D">
        <w:rPr>
          <w:sz w:val="22"/>
          <w:szCs w:val="22"/>
        </w:rPr>
        <w:t xml:space="preserve"> </w:t>
      </w:r>
      <w:r w:rsidRPr="00CC4B51">
        <w:rPr>
          <w:sz w:val="22"/>
          <w:szCs w:val="22"/>
        </w:rPr>
        <w:t>±</w:t>
      </w:r>
      <w:r w:rsidR="0029007D">
        <w:rPr>
          <w:sz w:val="22"/>
          <w:szCs w:val="22"/>
        </w:rPr>
        <w:t xml:space="preserve"> </w:t>
      </w:r>
      <w:r w:rsidRPr="00CC4B51">
        <w:rPr>
          <w:sz w:val="22"/>
          <w:szCs w:val="22"/>
        </w:rPr>
        <w:t>11,4 μg/ml (40</w:t>
      </w:r>
      <w:r w:rsidRPr="00CC4B51">
        <w:rPr>
          <w:sz w:val="22"/>
          <w:szCs w:val="22"/>
        </w:rPr>
        <w:t>/20 mg, semanalmente) e 6,7</w:t>
      </w:r>
      <w:r w:rsidR="0029007D">
        <w:rPr>
          <w:sz w:val="22"/>
          <w:szCs w:val="22"/>
        </w:rPr>
        <w:t xml:space="preserve"> </w:t>
      </w:r>
      <w:r w:rsidRPr="00CC4B51">
        <w:rPr>
          <w:sz w:val="22"/>
          <w:szCs w:val="22"/>
        </w:rPr>
        <w:t>±</w:t>
      </w:r>
      <w:r w:rsidR="0029007D">
        <w:rPr>
          <w:sz w:val="22"/>
          <w:szCs w:val="22"/>
        </w:rPr>
        <w:t xml:space="preserve"> </w:t>
      </w:r>
      <w:r w:rsidRPr="00CC4B51">
        <w:rPr>
          <w:sz w:val="22"/>
          <w:szCs w:val="22"/>
        </w:rPr>
        <w:t>3,5 μg/ml (20/10 mg, semanalmente).</w:t>
      </w:r>
    </w:p>
    <w:p w14:paraId="1D5AEF55" w14:textId="77777777" w:rsidR="004462A0" w:rsidRPr="00CC4B51" w:rsidRDefault="004462A0" w:rsidP="004462A0">
      <w:pPr>
        <w:rPr>
          <w:sz w:val="22"/>
          <w:szCs w:val="22"/>
        </w:rPr>
      </w:pPr>
    </w:p>
    <w:p w14:paraId="449C5E7B" w14:textId="77777777" w:rsidR="004462A0" w:rsidRDefault="00615769" w:rsidP="004462A0">
      <w:pPr>
        <w:rPr>
          <w:sz w:val="22"/>
          <w:szCs w:val="22"/>
        </w:rPr>
      </w:pPr>
      <w:r w:rsidRPr="00CC4B51">
        <w:rPr>
          <w:sz w:val="22"/>
          <w:szCs w:val="22"/>
        </w:rPr>
        <w:t>Em doentes com colite ulcerosa, uma dose</w:t>
      </w:r>
      <w:r w:rsidR="001729C1">
        <w:rPr>
          <w:sz w:val="22"/>
          <w:szCs w:val="22"/>
        </w:rPr>
        <w:t xml:space="preserve"> de carga</w:t>
      </w:r>
      <w:r w:rsidRPr="00CC4B51">
        <w:rPr>
          <w:sz w:val="22"/>
          <w:szCs w:val="22"/>
        </w:rPr>
        <w:t xml:space="preserve"> de 160 mg de Humira na Semana 0 seguida de 80 mg de Humira na Semana 2 atinge uma concentração sérica de </w:t>
      </w:r>
      <w:r w:rsidR="001729C1">
        <w:rPr>
          <w:sz w:val="22"/>
          <w:szCs w:val="22"/>
        </w:rPr>
        <w:t>vale de</w:t>
      </w:r>
      <w:r w:rsidRPr="00CC4B51">
        <w:rPr>
          <w:sz w:val="22"/>
          <w:szCs w:val="22"/>
        </w:rPr>
        <w:t xml:space="preserve"> adalimumab de aproximadamente 12 </w:t>
      </w:r>
      <w:r w:rsidRPr="00CC4B51">
        <w:rPr>
          <w:rFonts w:ascii="Symbol" w:hAnsi="Symbol"/>
          <w:sz w:val="22"/>
          <w:szCs w:val="22"/>
        </w:rPr>
        <w:sym w:font="Symbol" w:char="F06D"/>
      </w:r>
      <w:r w:rsidRPr="00CC4B51">
        <w:rPr>
          <w:sz w:val="22"/>
          <w:szCs w:val="22"/>
        </w:rPr>
        <w:t>g/ml durante o período de indução. Observaram-se níveis médios</w:t>
      </w:r>
      <w:r w:rsidR="001729C1">
        <w:rPr>
          <w:sz w:val="22"/>
          <w:szCs w:val="22"/>
        </w:rPr>
        <w:t xml:space="preserve"> de vale</w:t>
      </w:r>
      <w:r w:rsidRPr="00CC4B51">
        <w:rPr>
          <w:sz w:val="22"/>
          <w:szCs w:val="22"/>
        </w:rPr>
        <w:t xml:space="preserve"> em estado de equilíbrio de aproximadamente 8 </w:t>
      </w:r>
      <w:r w:rsidRPr="00CC4B51">
        <w:rPr>
          <w:rFonts w:ascii="Symbol" w:hAnsi="Symbol"/>
          <w:sz w:val="22"/>
          <w:szCs w:val="22"/>
        </w:rPr>
        <w:sym w:font="Symbol" w:char="F06D"/>
      </w:r>
      <w:r w:rsidRPr="00CC4B51">
        <w:rPr>
          <w:sz w:val="22"/>
          <w:szCs w:val="22"/>
        </w:rPr>
        <w:t>g/ml em doentes com colite ulcerosa que receberam uma dose de manutenção de 40 mg de Humira em semanas alternadas</w:t>
      </w:r>
      <w:r w:rsidR="00AB53A0">
        <w:rPr>
          <w:sz w:val="22"/>
          <w:szCs w:val="22"/>
        </w:rPr>
        <w:t>.</w:t>
      </w:r>
    </w:p>
    <w:p w14:paraId="3DE15CEA" w14:textId="77777777" w:rsidR="00AB53A0" w:rsidRDefault="00AB53A0" w:rsidP="004462A0">
      <w:pPr>
        <w:rPr>
          <w:sz w:val="22"/>
          <w:szCs w:val="22"/>
        </w:rPr>
      </w:pPr>
    </w:p>
    <w:p w14:paraId="09B65ABF" w14:textId="77777777" w:rsidR="00AB53A0" w:rsidRPr="00AB53A0" w:rsidRDefault="00615769" w:rsidP="004462A0">
      <w:pPr>
        <w:rPr>
          <w:sz w:val="22"/>
          <w:szCs w:val="22"/>
        </w:rPr>
      </w:pPr>
      <w:r w:rsidRPr="00AB53A0">
        <w:rPr>
          <w:sz w:val="22"/>
          <w:szCs w:val="22"/>
        </w:rPr>
        <w:t>Após a administração subcutânea da dose baseada no peso corporal de 0,6 mg/kg (máximo de 40 mg) em semanas alternadas a doentes pediátricos com colite ulcerosa, a média da concentração sérica de adalimumab na região de vale da curva em estado de equilíbrio foi de 5,01 ± 3,28 µg/ml na Semana 52.</w:t>
      </w:r>
      <w:r>
        <w:rPr>
          <w:sz w:val="22"/>
          <w:szCs w:val="22"/>
        </w:rPr>
        <w:t xml:space="preserve"> </w:t>
      </w:r>
      <w:r w:rsidRPr="00AB53A0">
        <w:rPr>
          <w:sz w:val="22"/>
          <w:szCs w:val="22"/>
        </w:rPr>
        <w:t>Para os doentes que receberam 0,6 mg/kg (máximo de 40 mg) semanalmente, a média (± DP) da concentração sérica de adalimumab na região de vale da curva em estado de equilíbrio foi de 15,7 ± 5,60 μg/ml na Semana 52.</w:t>
      </w:r>
    </w:p>
    <w:p w14:paraId="33C40DC8" w14:textId="77777777" w:rsidR="004462A0" w:rsidRPr="00CC4B51" w:rsidRDefault="004462A0" w:rsidP="004462A0">
      <w:pPr>
        <w:rPr>
          <w:sz w:val="22"/>
          <w:szCs w:val="22"/>
        </w:rPr>
      </w:pPr>
    </w:p>
    <w:p w14:paraId="03517492" w14:textId="77777777" w:rsidR="004462A0" w:rsidRPr="00CC4B51" w:rsidRDefault="00615769" w:rsidP="004462A0">
      <w:pPr>
        <w:rPr>
          <w:sz w:val="22"/>
          <w:szCs w:val="22"/>
        </w:rPr>
      </w:pPr>
      <w:r w:rsidRPr="00CC4B51">
        <w:rPr>
          <w:sz w:val="22"/>
          <w:szCs w:val="22"/>
        </w:rPr>
        <w:t xml:space="preserve">Em doentes </w:t>
      </w:r>
      <w:r w:rsidR="00924846">
        <w:rPr>
          <w:sz w:val="22"/>
          <w:szCs w:val="22"/>
        </w:rPr>
        <w:t xml:space="preserve">adultos </w:t>
      </w:r>
      <w:r w:rsidRPr="00CC4B51">
        <w:rPr>
          <w:sz w:val="22"/>
          <w:szCs w:val="22"/>
        </w:rPr>
        <w:t xml:space="preserve">com uveíte, uma dose </w:t>
      </w:r>
      <w:r w:rsidR="00784C05">
        <w:rPr>
          <w:sz w:val="22"/>
          <w:szCs w:val="22"/>
        </w:rPr>
        <w:t>de carga</w:t>
      </w:r>
      <w:r w:rsidR="00784C05" w:rsidRPr="00CC4B51">
        <w:rPr>
          <w:sz w:val="22"/>
          <w:szCs w:val="22"/>
        </w:rPr>
        <w:t xml:space="preserve"> </w:t>
      </w:r>
      <w:r w:rsidRPr="00CC4B51">
        <w:rPr>
          <w:sz w:val="22"/>
          <w:szCs w:val="22"/>
        </w:rPr>
        <w:t xml:space="preserve">de 80 mg de adalimumab na </w:t>
      </w:r>
      <w:r w:rsidR="00784C05">
        <w:rPr>
          <w:sz w:val="22"/>
          <w:szCs w:val="22"/>
        </w:rPr>
        <w:t>S</w:t>
      </w:r>
      <w:r w:rsidRPr="00CC4B51">
        <w:rPr>
          <w:sz w:val="22"/>
          <w:szCs w:val="22"/>
        </w:rPr>
        <w:t>emana 0, seguida de 40 mg de adalimumab em semanas alternadas</w:t>
      </w:r>
      <w:r w:rsidR="00784C05">
        <w:rPr>
          <w:sz w:val="22"/>
          <w:szCs w:val="22"/>
        </w:rPr>
        <w:t>,</w:t>
      </w:r>
      <w:r w:rsidRPr="00CC4B51">
        <w:rPr>
          <w:sz w:val="22"/>
          <w:szCs w:val="22"/>
        </w:rPr>
        <w:t xml:space="preserve"> </w:t>
      </w:r>
      <w:r w:rsidR="00784C05">
        <w:rPr>
          <w:sz w:val="22"/>
          <w:szCs w:val="22"/>
        </w:rPr>
        <w:t>com início na</w:t>
      </w:r>
      <w:r w:rsidRPr="00CC4B51">
        <w:rPr>
          <w:sz w:val="22"/>
          <w:szCs w:val="22"/>
        </w:rPr>
        <w:t xml:space="preserve"> Semana 1, originou concentraç</w:t>
      </w:r>
      <w:r w:rsidR="00784C05">
        <w:rPr>
          <w:sz w:val="22"/>
          <w:szCs w:val="22"/>
        </w:rPr>
        <w:t>ões médias</w:t>
      </w:r>
      <w:r w:rsidRPr="00CC4B51">
        <w:rPr>
          <w:sz w:val="22"/>
          <w:szCs w:val="22"/>
        </w:rPr>
        <w:t xml:space="preserve"> em estado de equilíbrio de aproximadamente 8 a 10 </w:t>
      </w:r>
      <w:r w:rsidRPr="00CC4B51">
        <w:rPr>
          <w:rFonts w:ascii="Symbol" w:hAnsi="Symbol"/>
          <w:sz w:val="22"/>
          <w:szCs w:val="22"/>
          <w:lang w:val="en-GB"/>
        </w:rPr>
        <w:sym w:font="Symbol" w:char="F06D"/>
      </w:r>
      <w:r w:rsidRPr="00CC4B51">
        <w:rPr>
          <w:sz w:val="22"/>
          <w:szCs w:val="22"/>
        </w:rPr>
        <w:t>g/ml.</w:t>
      </w:r>
    </w:p>
    <w:p w14:paraId="66F1C061" w14:textId="77777777" w:rsidR="008E7B59" w:rsidRDefault="008E7B59" w:rsidP="008E7B59">
      <w:pPr>
        <w:rPr>
          <w:sz w:val="22"/>
          <w:szCs w:val="22"/>
        </w:rPr>
      </w:pPr>
    </w:p>
    <w:p w14:paraId="636E440C" w14:textId="77777777" w:rsidR="004462A0" w:rsidRDefault="00615769" w:rsidP="008E7B59">
      <w:pPr>
        <w:rPr>
          <w:sz w:val="22"/>
          <w:szCs w:val="22"/>
        </w:rPr>
      </w:pPr>
      <w:r w:rsidRPr="00CC4B51">
        <w:rPr>
          <w:sz w:val="22"/>
          <w:szCs w:val="22"/>
        </w:rPr>
        <w:t xml:space="preserve">A exposição de adalimumab em doentes </w:t>
      </w:r>
      <w:r>
        <w:rPr>
          <w:sz w:val="22"/>
          <w:szCs w:val="22"/>
        </w:rPr>
        <w:t>pediátricos com uveíte</w:t>
      </w:r>
      <w:r w:rsidRPr="00CC4B51">
        <w:rPr>
          <w:sz w:val="22"/>
          <w:szCs w:val="22"/>
        </w:rPr>
        <w:t xml:space="preserve"> foi </w:t>
      </w:r>
      <w:r>
        <w:rPr>
          <w:sz w:val="22"/>
          <w:szCs w:val="22"/>
        </w:rPr>
        <w:t>avaliada</w:t>
      </w:r>
      <w:r w:rsidRPr="00CC4B51">
        <w:rPr>
          <w:sz w:val="22"/>
          <w:szCs w:val="22"/>
        </w:rPr>
        <w:t xml:space="preserve"> utilizando modelos farmacocinéticos e de simulação na população, baseados na farmacocinética nas várias indicações em outros doentes pediátricos (psoríase pediátrica, artrite idiopática juvenil, doença de Crohn pediátrica e artrite relacionada com entesite).</w:t>
      </w:r>
      <w:r>
        <w:rPr>
          <w:sz w:val="22"/>
          <w:szCs w:val="22"/>
        </w:rPr>
        <w:t xml:space="preserve"> Não existem dados clínicos de exposição sobre a utilização de uma dose de carga em crianças &lt; 6 anos de idade. As exposições avaliadas indicam que na ausência de metotrexato, uma dose de carga pode levar a um aumento inicial da exposição sistémica.</w:t>
      </w:r>
    </w:p>
    <w:p w14:paraId="1835660A" w14:textId="77777777" w:rsidR="008E7B59" w:rsidRDefault="008E7B59" w:rsidP="008E7B59">
      <w:pPr>
        <w:rPr>
          <w:sz w:val="22"/>
          <w:szCs w:val="22"/>
        </w:rPr>
      </w:pPr>
    </w:p>
    <w:p w14:paraId="539853C4" w14:textId="77777777" w:rsidR="00B66E1C" w:rsidRPr="008D5866" w:rsidRDefault="00615769" w:rsidP="00B66E1C">
      <w:pPr>
        <w:rPr>
          <w:sz w:val="22"/>
          <w:szCs w:val="22"/>
        </w:rPr>
      </w:pPr>
      <w:r w:rsidRPr="008D5866">
        <w:rPr>
          <w:sz w:val="22"/>
          <w:szCs w:val="22"/>
        </w:rPr>
        <w:t>A farmacocinética populacional e a modelação e simulação farmacocinética/farmacodinâmica previram exposição e eficácia comparáveis de adalimumab em doentes tratados com 80 mg em semanas alternadas comparativamente a 40 mg por semana (incluindo doentes adultos com artrite reumatoide, hidradenite supurativa, colite ulcerosa, doença de Crohn ou psoríase, doentes adolescentes com hidradenite supurativa, e doentes pediátricos ≥ 40 kg com doença de Crohn</w:t>
      </w:r>
      <w:r w:rsidR="00AB53A0">
        <w:rPr>
          <w:sz w:val="22"/>
          <w:szCs w:val="22"/>
        </w:rPr>
        <w:t xml:space="preserve"> e colite ulcerosa</w:t>
      </w:r>
      <w:r w:rsidRPr="008D5866">
        <w:rPr>
          <w:sz w:val="22"/>
          <w:szCs w:val="22"/>
        </w:rPr>
        <w:t>).</w:t>
      </w:r>
    </w:p>
    <w:p w14:paraId="15D260A5" w14:textId="77777777" w:rsidR="001B50B6" w:rsidRDefault="001B50B6" w:rsidP="008E7B59">
      <w:pPr>
        <w:rPr>
          <w:sz w:val="22"/>
          <w:szCs w:val="22"/>
        </w:rPr>
      </w:pPr>
    </w:p>
    <w:p w14:paraId="42D256A2" w14:textId="77777777" w:rsidR="001A6B78" w:rsidRPr="00395D60" w:rsidRDefault="00615769" w:rsidP="001A6B78">
      <w:pPr>
        <w:rPr>
          <w:sz w:val="22"/>
          <w:szCs w:val="22"/>
        </w:rPr>
      </w:pPr>
      <w:r w:rsidRPr="00AA7352">
        <w:rPr>
          <w:sz w:val="22"/>
          <w:szCs w:val="22"/>
          <w:u w:val="single"/>
        </w:rPr>
        <w:t xml:space="preserve">Relação de exposição-resposta </w:t>
      </w:r>
      <w:r w:rsidR="0016206C">
        <w:rPr>
          <w:sz w:val="22"/>
          <w:szCs w:val="22"/>
          <w:u w:val="single"/>
        </w:rPr>
        <w:t>na população</w:t>
      </w:r>
      <w:r w:rsidRPr="00AA7352">
        <w:rPr>
          <w:sz w:val="22"/>
          <w:szCs w:val="22"/>
          <w:u w:val="single"/>
        </w:rPr>
        <w:t xml:space="preserve"> pediátric</w:t>
      </w:r>
      <w:r w:rsidR="0016206C">
        <w:rPr>
          <w:sz w:val="22"/>
          <w:szCs w:val="22"/>
          <w:u w:val="single"/>
        </w:rPr>
        <w:t>a</w:t>
      </w:r>
    </w:p>
    <w:p w14:paraId="1A5263A3" w14:textId="77777777" w:rsidR="001A6B78" w:rsidRPr="00395D60" w:rsidRDefault="00615769" w:rsidP="001A6B78">
      <w:pPr>
        <w:rPr>
          <w:sz w:val="22"/>
          <w:szCs w:val="22"/>
        </w:rPr>
      </w:pPr>
      <w:r w:rsidRPr="00395D60">
        <w:rPr>
          <w:bCs/>
          <w:iCs/>
          <w:sz w:val="22"/>
          <w:szCs w:val="22"/>
        </w:rPr>
        <w:t>Com base nos dados obtidos dos ensaios clínicos efetuados em doentes com AIJ (AIJ poliarticular e ARE), foi estabelecida uma relação da exposição-resposta entre as concentrações  plasm</w:t>
      </w:r>
      <w:r w:rsidR="00D41FC8">
        <w:rPr>
          <w:bCs/>
          <w:iCs/>
          <w:sz w:val="22"/>
          <w:szCs w:val="22"/>
        </w:rPr>
        <w:t>áticas</w:t>
      </w:r>
      <w:r w:rsidRPr="00395D60">
        <w:rPr>
          <w:bCs/>
          <w:iCs/>
          <w:sz w:val="22"/>
          <w:szCs w:val="22"/>
        </w:rPr>
        <w:t xml:space="preserve"> e a resposta ACR</w:t>
      </w:r>
      <w:r w:rsidR="00212B10">
        <w:rPr>
          <w:bCs/>
          <w:iCs/>
          <w:sz w:val="22"/>
          <w:szCs w:val="22"/>
        </w:rPr>
        <w:t xml:space="preserve"> Ped</w:t>
      </w:r>
      <w:r w:rsidRPr="00395D60">
        <w:rPr>
          <w:bCs/>
          <w:iCs/>
          <w:sz w:val="22"/>
          <w:szCs w:val="22"/>
        </w:rPr>
        <w:t xml:space="preserve"> 50. A concentração plasmática aparente de adalimumab que produz metade da proabilidade máxima de resposta ACR</w:t>
      </w:r>
      <w:r w:rsidR="00212B10">
        <w:rPr>
          <w:bCs/>
          <w:iCs/>
          <w:sz w:val="22"/>
          <w:szCs w:val="22"/>
        </w:rPr>
        <w:t xml:space="preserve"> Ped</w:t>
      </w:r>
      <w:r w:rsidRPr="00395D60">
        <w:rPr>
          <w:bCs/>
          <w:iCs/>
          <w:sz w:val="22"/>
          <w:szCs w:val="22"/>
        </w:rPr>
        <w:t xml:space="preserve"> 50 (EC50) foi de </w:t>
      </w:r>
      <w:r w:rsidRPr="00395D60">
        <w:rPr>
          <w:sz w:val="22"/>
          <w:szCs w:val="22"/>
        </w:rPr>
        <w:t>3 </w:t>
      </w:r>
      <w:r w:rsidRPr="00395D60">
        <w:rPr>
          <w:sz w:val="22"/>
          <w:szCs w:val="22"/>
          <w:lang w:val="en-GB"/>
        </w:rPr>
        <w:t>μ</w:t>
      </w:r>
      <w:r w:rsidRPr="00395D60">
        <w:rPr>
          <w:sz w:val="22"/>
          <w:szCs w:val="22"/>
        </w:rPr>
        <w:t>g/ml (</w:t>
      </w:r>
      <w:r w:rsidR="0016206C">
        <w:rPr>
          <w:sz w:val="22"/>
          <w:szCs w:val="22"/>
        </w:rPr>
        <w:t xml:space="preserve">IC </w:t>
      </w:r>
      <w:r w:rsidRPr="00395D60">
        <w:rPr>
          <w:sz w:val="22"/>
          <w:szCs w:val="22"/>
        </w:rPr>
        <w:t>95%: 1</w:t>
      </w:r>
      <w:r w:rsidRPr="00395D60">
        <w:rPr>
          <w:sz w:val="22"/>
          <w:szCs w:val="22"/>
        </w:rPr>
        <w:noBreakHyphen/>
        <w:t>6 </w:t>
      </w:r>
      <w:r w:rsidRPr="00395D60">
        <w:rPr>
          <w:sz w:val="22"/>
          <w:szCs w:val="22"/>
          <w:lang w:val="en-GB"/>
        </w:rPr>
        <w:t>μ</w:t>
      </w:r>
      <w:r w:rsidRPr="00395D60">
        <w:rPr>
          <w:sz w:val="22"/>
          <w:szCs w:val="22"/>
        </w:rPr>
        <w:t>g/ml).</w:t>
      </w:r>
    </w:p>
    <w:p w14:paraId="65C5356F" w14:textId="77777777" w:rsidR="001A6B78" w:rsidRPr="00395D60" w:rsidRDefault="001A6B78" w:rsidP="001A6B78">
      <w:pPr>
        <w:rPr>
          <w:sz w:val="22"/>
          <w:szCs w:val="22"/>
        </w:rPr>
      </w:pPr>
    </w:p>
    <w:p w14:paraId="599FDFA1" w14:textId="77777777" w:rsidR="001A6B78" w:rsidRPr="00395D60" w:rsidRDefault="00615769" w:rsidP="001A6B78">
      <w:pPr>
        <w:rPr>
          <w:bCs/>
          <w:iCs/>
          <w:sz w:val="22"/>
          <w:szCs w:val="22"/>
        </w:rPr>
      </w:pPr>
      <w:r w:rsidRPr="00395D60">
        <w:rPr>
          <w:bCs/>
          <w:iCs/>
          <w:sz w:val="22"/>
          <w:szCs w:val="22"/>
        </w:rPr>
        <w:t xml:space="preserve">As relações de exposição-resposta entre a concentração de adalimumab e a eficácia em doentes pediátricos com psoríase em placas crónica </w:t>
      </w:r>
      <w:r w:rsidR="0016206C">
        <w:rPr>
          <w:bCs/>
          <w:iCs/>
          <w:sz w:val="22"/>
          <w:szCs w:val="22"/>
        </w:rPr>
        <w:t xml:space="preserve">grave </w:t>
      </w:r>
      <w:r w:rsidRPr="00395D60">
        <w:rPr>
          <w:bCs/>
          <w:iCs/>
          <w:sz w:val="22"/>
          <w:szCs w:val="22"/>
        </w:rPr>
        <w:t xml:space="preserve">foram estabelecidas </w:t>
      </w:r>
      <w:r w:rsidR="0016206C">
        <w:rPr>
          <w:bCs/>
          <w:iCs/>
          <w:sz w:val="22"/>
          <w:szCs w:val="22"/>
        </w:rPr>
        <w:t>para</w:t>
      </w:r>
      <w:r w:rsidR="0016206C" w:rsidRPr="00395D60">
        <w:rPr>
          <w:bCs/>
          <w:iCs/>
          <w:sz w:val="22"/>
          <w:szCs w:val="22"/>
        </w:rPr>
        <w:t xml:space="preserve"> </w:t>
      </w:r>
      <w:r w:rsidRPr="00395D60">
        <w:rPr>
          <w:bCs/>
          <w:iCs/>
          <w:sz w:val="22"/>
          <w:szCs w:val="22"/>
        </w:rPr>
        <w:t xml:space="preserve">PASI 75 e PGA </w:t>
      </w:r>
      <w:r w:rsidR="00331BCF">
        <w:rPr>
          <w:bCs/>
          <w:iCs/>
          <w:sz w:val="22"/>
          <w:szCs w:val="22"/>
        </w:rPr>
        <w:t>limp</w:t>
      </w:r>
      <w:r w:rsidR="0016206C">
        <w:rPr>
          <w:bCs/>
          <w:iCs/>
          <w:sz w:val="22"/>
          <w:szCs w:val="22"/>
        </w:rPr>
        <w:t>a</w:t>
      </w:r>
      <w:r w:rsidRPr="00395D60">
        <w:rPr>
          <w:bCs/>
          <w:iCs/>
          <w:sz w:val="22"/>
          <w:szCs w:val="22"/>
        </w:rPr>
        <w:t xml:space="preserve"> ou </w:t>
      </w:r>
      <w:r w:rsidR="0016206C">
        <w:rPr>
          <w:bCs/>
          <w:iCs/>
          <w:sz w:val="22"/>
          <w:szCs w:val="22"/>
        </w:rPr>
        <w:t>quase limpa</w:t>
      </w:r>
      <w:r w:rsidRPr="00395D60">
        <w:rPr>
          <w:bCs/>
          <w:iCs/>
          <w:sz w:val="22"/>
          <w:szCs w:val="22"/>
        </w:rPr>
        <w:t xml:space="preserve">, respetivamente. PASI 75 e PGA </w:t>
      </w:r>
      <w:r w:rsidR="00331BCF">
        <w:rPr>
          <w:bCs/>
          <w:iCs/>
          <w:sz w:val="22"/>
          <w:szCs w:val="22"/>
        </w:rPr>
        <w:t>limp</w:t>
      </w:r>
      <w:r w:rsidR="0016206C">
        <w:rPr>
          <w:bCs/>
          <w:iCs/>
          <w:sz w:val="22"/>
          <w:szCs w:val="22"/>
        </w:rPr>
        <w:t>a</w:t>
      </w:r>
      <w:r w:rsidRPr="00395D60">
        <w:rPr>
          <w:bCs/>
          <w:iCs/>
          <w:sz w:val="22"/>
          <w:szCs w:val="22"/>
        </w:rPr>
        <w:t xml:space="preserve"> ou </w:t>
      </w:r>
      <w:r w:rsidR="0016206C">
        <w:rPr>
          <w:bCs/>
          <w:iCs/>
          <w:sz w:val="22"/>
          <w:szCs w:val="22"/>
        </w:rPr>
        <w:t>quase limpa</w:t>
      </w:r>
      <w:r w:rsidR="0016206C" w:rsidRPr="00395D60">
        <w:rPr>
          <w:bCs/>
          <w:iCs/>
          <w:sz w:val="22"/>
          <w:szCs w:val="22"/>
        </w:rPr>
        <w:t xml:space="preserve"> </w:t>
      </w:r>
      <w:r w:rsidRPr="00395D60">
        <w:rPr>
          <w:bCs/>
          <w:iCs/>
          <w:sz w:val="22"/>
          <w:szCs w:val="22"/>
        </w:rPr>
        <w:t>aumentaram com o aumento das concentrações de adalimumab, ambas com um EC50 aparentemente idêntico de aproximadamente 4,5</w:t>
      </w:r>
      <w:r w:rsidRPr="00395D60">
        <w:rPr>
          <w:sz w:val="22"/>
          <w:szCs w:val="22"/>
        </w:rPr>
        <w:t> </w:t>
      </w:r>
      <w:r w:rsidRPr="00395D60">
        <w:rPr>
          <w:sz w:val="22"/>
          <w:szCs w:val="22"/>
          <w:lang w:val="en-GB"/>
        </w:rPr>
        <w:t>μ</w:t>
      </w:r>
      <w:r w:rsidRPr="00395D60">
        <w:rPr>
          <w:sz w:val="22"/>
          <w:szCs w:val="22"/>
        </w:rPr>
        <w:t>g/ml (</w:t>
      </w:r>
      <w:r w:rsidR="0016206C">
        <w:rPr>
          <w:sz w:val="22"/>
          <w:szCs w:val="22"/>
        </w:rPr>
        <w:t xml:space="preserve">IC </w:t>
      </w:r>
      <w:r w:rsidRPr="00395D60">
        <w:rPr>
          <w:sz w:val="22"/>
          <w:szCs w:val="22"/>
        </w:rPr>
        <w:t>95%</w:t>
      </w:r>
      <w:r w:rsidR="0016206C">
        <w:rPr>
          <w:sz w:val="22"/>
          <w:szCs w:val="22"/>
        </w:rPr>
        <w:t>:</w:t>
      </w:r>
      <w:r w:rsidRPr="00395D60">
        <w:rPr>
          <w:sz w:val="22"/>
          <w:szCs w:val="22"/>
        </w:rPr>
        <w:t xml:space="preserve"> 0,4-47,6 e 1,9-10,5, respetivamente</w:t>
      </w:r>
      <w:r w:rsidR="00784C05">
        <w:rPr>
          <w:sz w:val="22"/>
          <w:szCs w:val="22"/>
        </w:rPr>
        <w:t>).</w:t>
      </w:r>
    </w:p>
    <w:p w14:paraId="65530A70" w14:textId="77777777" w:rsidR="00924846" w:rsidRPr="00CC4B51" w:rsidRDefault="00924846" w:rsidP="008E7B59">
      <w:pPr>
        <w:rPr>
          <w:sz w:val="22"/>
          <w:szCs w:val="22"/>
        </w:rPr>
      </w:pPr>
    </w:p>
    <w:p w14:paraId="3DC45A8E" w14:textId="77777777" w:rsidR="004462A0" w:rsidRPr="00CC4B51" w:rsidRDefault="00615769" w:rsidP="004462A0">
      <w:pPr>
        <w:rPr>
          <w:sz w:val="22"/>
          <w:szCs w:val="22"/>
          <w:u w:val="single"/>
        </w:rPr>
      </w:pPr>
      <w:r w:rsidRPr="00CC4B51">
        <w:rPr>
          <w:sz w:val="22"/>
          <w:szCs w:val="22"/>
          <w:u w:val="single"/>
        </w:rPr>
        <w:t>Eliminação</w:t>
      </w:r>
    </w:p>
    <w:p w14:paraId="30D2DAB2" w14:textId="77777777" w:rsidR="004462A0" w:rsidRPr="00CC4B51" w:rsidRDefault="004462A0" w:rsidP="004462A0">
      <w:pPr>
        <w:rPr>
          <w:sz w:val="22"/>
          <w:szCs w:val="22"/>
        </w:rPr>
      </w:pPr>
    </w:p>
    <w:p w14:paraId="241CA1BA" w14:textId="77777777" w:rsidR="004462A0" w:rsidRPr="00CC4B51" w:rsidRDefault="00615769" w:rsidP="004462A0">
      <w:pPr>
        <w:rPr>
          <w:sz w:val="22"/>
          <w:szCs w:val="22"/>
        </w:rPr>
      </w:pPr>
      <w:r w:rsidRPr="00CC4B51">
        <w:rPr>
          <w:sz w:val="22"/>
          <w:szCs w:val="22"/>
        </w:rPr>
        <w:t>As análises de farmacocinética da população que incluíram dados relativos a mais de 1300 doentes com AR revelaram uma tendência para uma maior depuração aparente de adalimumab em função do aumento do peso corporal. Após um ajustamento em relação às diferenças de peso, o sexo e a idade pareceram exercer um efeito mínimo sobre a depuração de adalimumab. Verificou-se que os níveis séricos de adalimumab livre (não ligado aos anticorpos anti</w:t>
      </w:r>
      <w:r w:rsidR="00840424">
        <w:rPr>
          <w:sz w:val="22"/>
          <w:szCs w:val="22"/>
        </w:rPr>
        <w:t>-</w:t>
      </w:r>
      <w:r w:rsidRPr="00CC4B51">
        <w:rPr>
          <w:sz w:val="22"/>
          <w:szCs w:val="22"/>
        </w:rPr>
        <w:t xml:space="preserve">adalimumab, AAA) eram mais baixos nos doentes com AAA mensurável. </w:t>
      </w:r>
    </w:p>
    <w:p w14:paraId="797525D9" w14:textId="77777777" w:rsidR="004462A0" w:rsidRPr="00CC4B51" w:rsidRDefault="004462A0" w:rsidP="004462A0">
      <w:pPr>
        <w:rPr>
          <w:sz w:val="22"/>
          <w:szCs w:val="22"/>
        </w:rPr>
      </w:pPr>
    </w:p>
    <w:p w14:paraId="1E39E866" w14:textId="77777777" w:rsidR="004462A0" w:rsidRPr="00CC4B51" w:rsidRDefault="00615769" w:rsidP="004462A0">
      <w:pPr>
        <w:rPr>
          <w:bCs/>
          <w:iCs/>
          <w:sz w:val="22"/>
          <w:szCs w:val="22"/>
          <w:u w:val="single"/>
        </w:rPr>
      </w:pPr>
      <w:r w:rsidRPr="00CC4B51">
        <w:rPr>
          <w:bCs/>
          <w:iCs/>
          <w:sz w:val="22"/>
          <w:szCs w:val="22"/>
          <w:u w:val="single"/>
        </w:rPr>
        <w:t>Compromisso renal ou hepático</w:t>
      </w:r>
    </w:p>
    <w:p w14:paraId="2E95608E" w14:textId="77777777" w:rsidR="004462A0" w:rsidRPr="00CC4B51" w:rsidRDefault="004462A0" w:rsidP="004462A0">
      <w:pPr>
        <w:rPr>
          <w:b/>
          <w:iCs/>
          <w:sz w:val="22"/>
          <w:szCs w:val="22"/>
        </w:rPr>
      </w:pPr>
    </w:p>
    <w:p w14:paraId="33A5F6B6" w14:textId="77777777" w:rsidR="004462A0" w:rsidRPr="00CC4B51" w:rsidRDefault="00615769" w:rsidP="004462A0">
      <w:pPr>
        <w:rPr>
          <w:sz w:val="22"/>
          <w:szCs w:val="22"/>
        </w:rPr>
      </w:pPr>
      <w:r w:rsidRPr="00CC4B51">
        <w:rPr>
          <w:bCs/>
          <w:iCs/>
          <w:sz w:val="22"/>
          <w:szCs w:val="22"/>
        </w:rPr>
        <w:t>Humira não foi estudado em doentes com função renal ou hepática comprometida.</w:t>
      </w:r>
    </w:p>
    <w:p w14:paraId="00F676C4" w14:textId="77777777" w:rsidR="004462A0" w:rsidRPr="00CC4B51" w:rsidRDefault="004462A0" w:rsidP="004462A0">
      <w:pPr>
        <w:rPr>
          <w:sz w:val="22"/>
          <w:szCs w:val="22"/>
        </w:rPr>
      </w:pPr>
    </w:p>
    <w:p w14:paraId="0A36FE18" w14:textId="77777777" w:rsidR="004462A0" w:rsidRPr="00CC4B51" w:rsidRDefault="00615769" w:rsidP="002917C9">
      <w:pPr>
        <w:keepNext/>
        <w:rPr>
          <w:b/>
          <w:sz w:val="22"/>
          <w:szCs w:val="22"/>
        </w:rPr>
      </w:pPr>
      <w:r w:rsidRPr="00CC4B51">
        <w:rPr>
          <w:b/>
          <w:sz w:val="22"/>
          <w:szCs w:val="22"/>
        </w:rPr>
        <w:t>5.3</w:t>
      </w:r>
      <w:r w:rsidRPr="00CC4B51">
        <w:rPr>
          <w:b/>
          <w:sz w:val="22"/>
          <w:szCs w:val="22"/>
        </w:rPr>
        <w:tab/>
        <w:t>Dados de segurança pré-clínica</w:t>
      </w:r>
    </w:p>
    <w:p w14:paraId="7ABE9DBB" w14:textId="77777777" w:rsidR="004462A0" w:rsidRPr="00CC4B51" w:rsidRDefault="004462A0" w:rsidP="002917C9">
      <w:pPr>
        <w:keepNext/>
        <w:rPr>
          <w:b/>
          <w:sz w:val="22"/>
          <w:szCs w:val="22"/>
        </w:rPr>
      </w:pPr>
    </w:p>
    <w:p w14:paraId="7DB6116B" w14:textId="77777777" w:rsidR="00E7501D" w:rsidRPr="008912CF" w:rsidRDefault="00615769" w:rsidP="00E7501D">
      <w:pPr>
        <w:autoSpaceDE w:val="0"/>
        <w:autoSpaceDN w:val="0"/>
        <w:adjustRightInd w:val="0"/>
        <w:rPr>
          <w:sz w:val="22"/>
          <w:szCs w:val="22"/>
        </w:rPr>
      </w:pPr>
      <w:r>
        <w:rPr>
          <w:sz w:val="22"/>
          <w:szCs w:val="22"/>
        </w:rPr>
        <w:t>Os dados não clínicos não revelam riscos</w:t>
      </w:r>
      <w:r w:rsidRPr="008912CF">
        <w:rPr>
          <w:sz w:val="22"/>
          <w:szCs w:val="22"/>
        </w:rPr>
        <w:t xml:space="preserve"> especia</w:t>
      </w:r>
      <w:r>
        <w:rPr>
          <w:sz w:val="22"/>
          <w:szCs w:val="22"/>
        </w:rPr>
        <w:t>is</w:t>
      </w:r>
      <w:r w:rsidRPr="008912CF">
        <w:rPr>
          <w:sz w:val="22"/>
          <w:szCs w:val="22"/>
        </w:rPr>
        <w:t xml:space="preserve"> para o ser humano</w:t>
      </w:r>
      <w:r>
        <w:rPr>
          <w:sz w:val="22"/>
          <w:szCs w:val="22"/>
        </w:rPr>
        <w:t>, segundo estudos convencionais de toxicidade de dose única, toxicidade de dose repetida e genotoxicidade</w:t>
      </w:r>
      <w:r w:rsidRPr="008912CF">
        <w:rPr>
          <w:sz w:val="22"/>
          <w:szCs w:val="22"/>
        </w:rPr>
        <w:t xml:space="preserve">. </w:t>
      </w:r>
    </w:p>
    <w:p w14:paraId="4CC72F7B" w14:textId="77777777" w:rsidR="004462A0" w:rsidRPr="00CC4B51" w:rsidRDefault="004462A0" w:rsidP="004462A0">
      <w:pPr>
        <w:rPr>
          <w:sz w:val="22"/>
          <w:szCs w:val="22"/>
        </w:rPr>
      </w:pPr>
    </w:p>
    <w:p w14:paraId="10755408" w14:textId="77777777" w:rsidR="004462A0" w:rsidRPr="00CC4B51" w:rsidRDefault="00615769" w:rsidP="004462A0">
      <w:pPr>
        <w:rPr>
          <w:sz w:val="22"/>
          <w:szCs w:val="22"/>
        </w:rPr>
      </w:pPr>
      <w:r w:rsidRPr="00CC4B51">
        <w:rPr>
          <w:sz w:val="22"/>
          <w:szCs w:val="22"/>
        </w:rPr>
        <w:t>Um estudo de toxicidade do desenvolvimento embrio-fetal/desenvolvimento perinatal, efetuado em macacos cynomolgus com doses de 0,</w:t>
      </w:r>
      <w:r w:rsidR="00E7501D">
        <w:rPr>
          <w:sz w:val="22"/>
          <w:szCs w:val="22"/>
        </w:rPr>
        <w:t xml:space="preserve"> </w:t>
      </w:r>
      <w:r w:rsidRPr="00CC4B51">
        <w:rPr>
          <w:sz w:val="22"/>
          <w:szCs w:val="22"/>
        </w:rPr>
        <w:t>30 e 100 mg/kg (9-17 macacos/grupo), não revelou qualquer evidência de lesão fetal resultante d</w:t>
      </w:r>
      <w:r w:rsidR="003A4C51">
        <w:rPr>
          <w:sz w:val="22"/>
          <w:szCs w:val="22"/>
        </w:rPr>
        <w:t>e</w:t>
      </w:r>
      <w:r w:rsidRPr="00CC4B51">
        <w:rPr>
          <w:sz w:val="22"/>
          <w:szCs w:val="22"/>
        </w:rPr>
        <w:t xml:space="preserve"> adalimumab. Não foram efetuados estudos de carcinogenicidade nem avaliações de rotina da fertilidade e da toxicidade pós-natal de adalimumab devido à ausência de modelos apropriados para um anticorpo com reatividade cruzada limitada ao TNF em roedores e ao desenvolvimento de anticorpos neutraliza</w:t>
      </w:r>
      <w:r w:rsidR="00E7501D">
        <w:rPr>
          <w:sz w:val="22"/>
          <w:szCs w:val="22"/>
        </w:rPr>
        <w:t>ntes</w:t>
      </w:r>
      <w:r w:rsidRPr="00CC4B51">
        <w:rPr>
          <w:sz w:val="22"/>
          <w:szCs w:val="22"/>
        </w:rPr>
        <w:t xml:space="preserve"> em roedores</w:t>
      </w:r>
      <w:r w:rsidR="003A4C51">
        <w:rPr>
          <w:sz w:val="22"/>
          <w:szCs w:val="22"/>
        </w:rPr>
        <w:t>.</w:t>
      </w:r>
    </w:p>
    <w:p w14:paraId="0025824A" w14:textId="77777777" w:rsidR="004462A0" w:rsidRPr="00CC4B51" w:rsidRDefault="004462A0" w:rsidP="004462A0">
      <w:pPr>
        <w:rPr>
          <w:sz w:val="22"/>
          <w:szCs w:val="22"/>
        </w:rPr>
      </w:pPr>
    </w:p>
    <w:p w14:paraId="3A03FA05" w14:textId="77777777" w:rsidR="004462A0" w:rsidRPr="00CC4B51" w:rsidRDefault="004462A0" w:rsidP="004462A0">
      <w:pPr>
        <w:rPr>
          <w:sz w:val="22"/>
          <w:szCs w:val="22"/>
        </w:rPr>
      </w:pPr>
    </w:p>
    <w:p w14:paraId="459B60F1" w14:textId="77777777" w:rsidR="004462A0" w:rsidRPr="00CC4B51" w:rsidRDefault="00615769" w:rsidP="00B538F3">
      <w:pPr>
        <w:keepNext/>
        <w:ind w:left="567" w:hanging="567"/>
        <w:rPr>
          <w:b/>
          <w:sz w:val="22"/>
          <w:szCs w:val="22"/>
        </w:rPr>
      </w:pPr>
      <w:r w:rsidRPr="00CC4B51">
        <w:rPr>
          <w:b/>
          <w:sz w:val="22"/>
          <w:szCs w:val="22"/>
        </w:rPr>
        <w:t>6.</w:t>
      </w:r>
      <w:r w:rsidRPr="00CC4B51">
        <w:rPr>
          <w:b/>
          <w:sz w:val="22"/>
          <w:szCs w:val="22"/>
        </w:rPr>
        <w:tab/>
        <w:t xml:space="preserve">INFORMAÇÕES FARMACÊUTICAS </w:t>
      </w:r>
    </w:p>
    <w:p w14:paraId="74E2DE94" w14:textId="77777777" w:rsidR="004462A0" w:rsidRPr="00CC4B51" w:rsidRDefault="004462A0" w:rsidP="00B538F3">
      <w:pPr>
        <w:keepNext/>
        <w:rPr>
          <w:sz w:val="22"/>
          <w:szCs w:val="22"/>
        </w:rPr>
      </w:pPr>
    </w:p>
    <w:p w14:paraId="3E81DC96" w14:textId="77777777" w:rsidR="004462A0" w:rsidRPr="00CC4B51" w:rsidRDefault="00615769" w:rsidP="00B538F3">
      <w:pPr>
        <w:keepNext/>
        <w:ind w:left="567" w:hanging="567"/>
        <w:rPr>
          <w:b/>
          <w:sz w:val="22"/>
          <w:szCs w:val="22"/>
          <w:highlight w:val="yellow"/>
        </w:rPr>
      </w:pPr>
      <w:r w:rsidRPr="00CC4B51">
        <w:rPr>
          <w:b/>
          <w:sz w:val="22"/>
          <w:szCs w:val="22"/>
        </w:rPr>
        <w:t>6.1</w:t>
      </w:r>
      <w:r w:rsidRPr="00CC4B51">
        <w:rPr>
          <w:b/>
          <w:sz w:val="22"/>
          <w:szCs w:val="22"/>
        </w:rPr>
        <w:tab/>
        <w:t xml:space="preserve">Lista dos excipientes </w:t>
      </w:r>
    </w:p>
    <w:p w14:paraId="16F8340C" w14:textId="77777777" w:rsidR="004462A0" w:rsidRPr="00CC4B51" w:rsidRDefault="004462A0" w:rsidP="00B538F3">
      <w:pPr>
        <w:keepNext/>
        <w:autoSpaceDE w:val="0"/>
        <w:autoSpaceDN w:val="0"/>
        <w:adjustRightInd w:val="0"/>
        <w:rPr>
          <w:b/>
          <w:sz w:val="22"/>
          <w:szCs w:val="22"/>
        </w:rPr>
      </w:pPr>
    </w:p>
    <w:p w14:paraId="4AF163C3" w14:textId="77777777" w:rsidR="004462A0" w:rsidRPr="00CC4B51" w:rsidRDefault="00615769" w:rsidP="00B538F3">
      <w:pPr>
        <w:keepNext/>
        <w:autoSpaceDE w:val="0"/>
        <w:autoSpaceDN w:val="0"/>
        <w:adjustRightInd w:val="0"/>
        <w:rPr>
          <w:sz w:val="22"/>
          <w:szCs w:val="22"/>
        </w:rPr>
      </w:pPr>
      <w:r w:rsidRPr="00CC4B51">
        <w:rPr>
          <w:sz w:val="22"/>
          <w:szCs w:val="22"/>
        </w:rPr>
        <w:t>Manitol</w:t>
      </w:r>
    </w:p>
    <w:p w14:paraId="298CFA8C" w14:textId="77777777" w:rsidR="004462A0" w:rsidRPr="00CC4B51" w:rsidRDefault="00615769" w:rsidP="004462A0">
      <w:pPr>
        <w:autoSpaceDE w:val="0"/>
        <w:autoSpaceDN w:val="0"/>
        <w:adjustRightInd w:val="0"/>
        <w:rPr>
          <w:sz w:val="22"/>
          <w:szCs w:val="22"/>
        </w:rPr>
      </w:pPr>
      <w:r w:rsidRPr="00CC4B51">
        <w:rPr>
          <w:sz w:val="22"/>
          <w:szCs w:val="22"/>
        </w:rPr>
        <w:t>Polissorbato 80</w:t>
      </w:r>
    </w:p>
    <w:p w14:paraId="20748402" w14:textId="77777777" w:rsidR="004462A0" w:rsidRPr="00CC4B51" w:rsidRDefault="00615769" w:rsidP="004462A0">
      <w:pPr>
        <w:autoSpaceDE w:val="0"/>
        <w:autoSpaceDN w:val="0"/>
        <w:adjustRightInd w:val="0"/>
        <w:rPr>
          <w:sz w:val="22"/>
          <w:szCs w:val="22"/>
        </w:rPr>
      </w:pPr>
      <w:r w:rsidRPr="00CC4B51">
        <w:rPr>
          <w:sz w:val="22"/>
          <w:szCs w:val="22"/>
        </w:rPr>
        <w:t xml:space="preserve">Água para preparações injetáveis </w:t>
      </w:r>
    </w:p>
    <w:p w14:paraId="30F90E94" w14:textId="77777777" w:rsidR="004462A0" w:rsidRPr="00CC4B51" w:rsidRDefault="004462A0" w:rsidP="004462A0">
      <w:pPr>
        <w:rPr>
          <w:sz w:val="22"/>
          <w:szCs w:val="22"/>
        </w:rPr>
      </w:pPr>
    </w:p>
    <w:p w14:paraId="5DB1130A" w14:textId="77777777" w:rsidR="004462A0" w:rsidRPr="00CC4B51" w:rsidRDefault="00615769" w:rsidP="004462A0">
      <w:pPr>
        <w:ind w:left="567" w:hanging="567"/>
        <w:rPr>
          <w:sz w:val="22"/>
          <w:szCs w:val="22"/>
        </w:rPr>
      </w:pPr>
      <w:r w:rsidRPr="00CC4B51">
        <w:rPr>
          <w:b/>
          <w:sz w:val="22"/>
          <w:szCs w:val="22"/>
        </w:rPr>
        <w:t>6.2</w:t>
      </w:r>
      <w:r w:rsidRPr="00CC4B51">
        <w:rPr>
          <w:b/>
          <w:sz w:val="22"/>
          <w:szCs w:val="22"/>
        </w:rPr>
        <w:tab/>
        <w:t xml:space="preserve">Incompatibilidades </w:t>
      </w:r>
    </w:p>
    <w:p w14:paraId="6D344737" w14:textId="77777777" w:rsidR="004462A0" w:rsidRPr="00CC4B51" w:rsidRDefault="004462A0" w:rsidP="004462A0">
      <w:pPr>
        <w:rPr>
          <w:sz w:val="22"/>
          <w:szCs w:val="22"/>
        </w:rPr>
      </w:pPr>
    </w:p>
    <w:p w14:paraId="099CE7FE" w14:textId="77777777" w:rsidR="004462A0" w:rsidRPr="00CC4B51" w:rsidRDefault="00615769" w:rsidP="004462A0">
      <w:pPr>
        <w:rPr>
          <w:sz w:val="22"/>
          <w:szCs w:val="22"/>
        </w:rPr>
      </w:pPr>
      <w:r w:rsidRPr="00CC4B51">
        <w:rPr>
          <w:sz w:val="22"/>
          <w:szCs w:val="22"/>
        </w:rPr>
        <w:t xml:space="preserve">Na ausência de estudos de compatibilidade, este medicamento não </w:t>
      </w:r>
      <w:r w:rsidR="00372684">
        <w:rPr>
          <w:sz w:val="22"/>
          <w:szCs w:val="22"/>
        </w:rPr>
        <w:t>pode</w:t>
      </w:r>
      <w:r w:rsidR="00372684" w:rsidRPr="00CC4B51">
        <w:rPr>
          <w:sz w:val="22"/>
          <w:szCs w:val="22"/>
        </w:rPr>
        <w:t xml:space="preserve"> </w:t>
      </w:r>
      <w:r w:rsidRPr="00CC4B51">
        <w:rPr>
          <w:sz w:val="22"/>
          <w:szCs w:val="22"/>
        </w:rPr>
        <w:t>ser misturado com outros medicamentos.</w:t>
      </w:r>
    </w:p>
    <w:p w14:paraId="637CBB09" w14:textId="77777777" w:rsidR="004462A0" w:rsidRPr="00CC4B51" w:rsidRDefault="004462A0" w:rsidP="004462A0">
      <w:pPr>
        <w:rPr>
          <w:sz w:val="22"/>
          <w:szCs w:val="22"/>
        </w:rPr>
      </w:pPr>
    </w:p>
    <w:p w14:paraId="43203836" w14:textId="77777777" w:rsidR="004462A0" w:rsidRPr="00CC4B51" w:rsidRDefault="00615769" w:rsidP="004462A0">
      <w:pPr>
        <w:ind w:left="567" w:hanging="567"/>
        <w:rPr>
          <w:sz w:val="22"/>
          <w:szCs w:val="22"/>
        </w:rPr>
      </w:pPr>
      <w:r w:rsidRPr="00CC4B51">
        <w:rPr>
          <w:b/>
          <w:sz w:val="22"/>
          <w:szCs w:val="22"/>
        </w:rPr>
        <w:t>6.3</w:t>
      </w:r>
      <w:r w:rsidRPr="00CC4B51">
        <w:rPr>
          <w:b/>
          <w:sz w:val="22"/>
          <w:szCs w:val="22"/>
        </w:rPr>
        <w:tab/>
        <w:t xml:space="preserve">Prazo de validade </w:t>
      </w:r>
    </w:p>
    <w:p w14:paraId="461957B1" w14:textId="77777777" w:rsidR="004462A0" w:rsidRPr="00CC4B51" w:rsidRDefault="004462A0" w:rsidP="004462A0">
      <w:pPr>
        <w:rPr>
          <w:sz w:val="22"/>
          <w:szCs w:val="22"/>
        </w:rPr>
      </w:pPr>
    </w:p>
    <w:p w14:paraId="5546069A" w14:textId="77777777" w:rsidR="004462A0" w:rsidRPr="00CC4B51" w:rsidRDefault="00615769" w:rsidP="004462A0">
      <w:pPr>
        <w:tabs>
          <w:tab w:val="left" w:pos="700"/>
        </w:tabs>
        <w:rPr>
          <w:sz w:val="22"/>
          <w:szCs w:val="22"/>
        </w:rPr>
      </w:pPr>
      <w:r>
        <w:rPr>
          <w:sz w:val="22"/>
          <w:szCs w:val="22"/>
        </w:rPr>
        <w:t>2 anos</w:t>
      </w:r>
    </w:p>
    <w:p w14:paraId="7A7831F6" w14:textId="77777777" w:rsidR="004462A0" w:rsidRPr="00CC4B51" w:rsidRDefault="004462A0" w:rsidP="004462A0">
      <w:pPr>
        <w:rPr>
          <w:sz w:val="22"/>
          <w:szCs w:val="22"/>
        </w:rPr>
      </w:pPr>
    </w:p>
    <w:p w14:paraId="70219969" w14:textId="77777777" w:rsidR="004462A0" w:rsidRPr="00CC4B51" w:rsidRDefault="00615769" w:rsidP="004462A0">
      <w:pPr>
        <w:ind w:left="567" w:hanging="567"/>
        <w:rPr>
          <w:sz w:val="22"/>
          <w:szCs w:val="22"/>
        </w:rPr>
      </w:pPr>
      <w:r w:rsidRPr="00CC4B51">
        <w:rPr>
          <w:b/>
          <w:sz w:val="22"/>
          <w:szCs w:val="22"/>
        </w:rPr>
        <w:t>6.4</w:t>
      </w:r>
      <w:r w:rsidRPr="00CC4B51">
        <w:rPr>
          <w:b/>
          <w:sz w:val="22"/>
          <w:szCs w:val="22"/>
        </w:rPr>
        <w:tab/>
        <w:t>Precauções especiais de conservação</w:t>
      </w:r>
    </w:p>
    <w:p w14:paraId="5407327A" w14:textId="77777777" w:rsidR="004462A0" w:rsidRPr="00CC4B51" w:rsidRDefault="004462A0" w:rsidP="004462A0">
      <w:pPr>
        <w:rPr>
          <w:sz w:val="22"/>
          <w:szCs w:val="22"/>
        </w:rPr>
      </w:pPr>
    </w:p>
    <w:p w14:paraId="33284A5D" w14:textId="77777777" w:rsidR="004462A0" w:rsidRPr="00CC4B51" w:rsidRDefault="00615769" w:rsidP="004462A0">
      <w:pPr>
        <w:rPr>
          <w:sz w:val="22"/>
          <w:szCs w:val="22"/>
        </w:rPr>
      </w:pPr>
      <w:r w:rsidRPr="00CC4B51">
        <w:rPr>
          <w:sz w:val="22"/>
          <w:szCs w:val="22"/>
        </w:rPr>
        <w:t>Conservar no frigorífico (2</w:t>
      </w:r>
      <w:r w:rsidRPr="00CC4B51">
        <w:rPr>
          <w:rFonts w:ascii="Symbol" w:hAnsi="Symbol"/>
          <w:sz w:val="22"/>
          <w:szCs w:val="22"/>
        </w:rPr>
        <w:sym w:font="Symbol" w:char="F0B0"/>
      </w:r>
      <w:r w:rsidRPr="00CC4B51">
        <w:rPr>
          <w:sz w:val="22"/>
          <w:szCs w:val="22"/>
        </w:rPr>
        <w:t>C – 8</w:t>
      </w:r>
      <w:r w:rsidRPr="00CC4B51">
        <w:rPr>
          <w:rFonts w:ascii="Symbol" w:hAnsi="Symbol"/>
          <w:sz w:val="22"/>
          <w:szCs w:val="22"/>
        </w:rPr>
        <w:sym w:font="Symbol" w:char="F0B0"/>
      </w:r>
      <w:r w:rsidRPr="00CC4B51">
        <w:rPr>
          <w:sz w:val="22"/>
          <w:szCs w:val="22"/>
        </w:rPr>
        <w:t xml:space="preserve">C). Não congelar. Manter a seringa </w:t>
      </w:r>
      <w:r w:rsidR="006107BB">
        <w:rPr>
          <w:sz w:val="22"/>
          <w:szCs w:val="22"/>
        </w:rPr>
        <w:t xml:space="preserve">pré-cheia </w:t>
      </w:r>
      <w:r w:rsidR="009833F9">
        <w:rPr>
          <w:sz w:val="22"/>
          <w:szCs w:val="22"/>
        </w:rPr>
        <w:t xml:space="preserve">ou a caneta </w:t>
      </w:r>
      <w:r w:rsidR="006107BB">
        <w:rPr>
          <w:sz w:val="22"/>
          <w:szCs w:val="22"/>
        </w:rPr>
        <w:t xml:space="preserve">pré-cheia </w:t>
      </w:r>
      <w:r w:rsidRPr="00CC4B51">
        <w:rPr>
          <w:sz w:val="22"/>
          <w:szCs w:val="22"/>
        </w:rPr>
        <w:t xml:space="preserve">dentro da </w:t>
      </w:r>
      <w:r w:rsidR="00784C05">
        <w:rPr>
          <w:sz w:val="22"/>
          <w:szCs w:val="22"/>
        </w:rPr>
        <w:t xml:space="preserve">sua </w:t>
      </w:r>
      <w:r w:rsidRPr="00CC4B51">
        <w:rPr>
          <w:sz w:val="22"/>
          <w:szCs w:val="22"/>
        </w:rPr>
        <w:t>embalagem exterior para proteger da luz.</w:t>
      </w:r>
    </w:p>
    <w:p w14:paraId="2BB995AC" w14:textId="77777777" w:rsidR="004462A0" w:rsidRPr="00CC4B51" w:rsidRDefault="004462A0" w:rsidP="004462A0">
      <w:pPr>
        <w:rPr>
          <w:sz w:val="22"/>
          <w:szCs w:val="22"/>
        </w:rPr>
      </w:pPr>
    </w:p>
    <w:p w14:paraId="09AFB0B1" w14:textId="77777777" w:rsidR="004462A0" w:rsidRPr="00CC4B51" w:rsidRDefault="00615769" w:rsidP="004462A0">
      <w:pPr>
        <w:rPr>
          <w:sz w:val="22"/>
          <w:szCs w:val="22"/>
        </w:rPr>
      </w:pPr>
      <w:r w:rsidRPr="00CC4B51">
        <w:rPr>
          <w:sz w:val="22"/>
          <w:szCs w:val="22"/>
        </w:rPr>
        <w:t xml:space="preserve">Uma seringa pré-cheia </w:t>
      </w:r>
      <w:r w:rsidR="00F71B63">
        <w:rPr>
          <w:sz w:val="22"/>
          <w:szCs w:val="22"/>
        </w:rPr>
        <w:t xml:space="preserve">ou uma caneta pré-cheia </w:t>
      </w:r>
      <w:r w:rsidR="003D5DB6">
        <w:rPr>
          <w:sz w:val="22"/>
          <w:szCs w:val="22"/>
        </w:rPr>
        <w:t>de Humira</w:t>
      </w:r>
      <w:r w:rsidRPr="00CC4B51">
        <w:rPr>
          <w:sz w:val="22"/>
          <w:szCs w:val="22"/>
        </w:rPr>
        <w:t xml:space="preserve"> pode ser conse</w:t>
      </w:r>
      <w:r w:rsidR="003D5DB6">
        <w:rPr>
          <w:sz w:val="22"/>
          <w:szCs w:val="22"/>
        </w:rPr>
        <w:t>rvada até um período de 14 dias</w:t>
      </w:r>
      <w:r w:rsidRPr="00CC4B51">
        <w:rPr>
          <w:sz w:val="22"/>
          <w:szCs w:val="22"/>
        </w:rPr>
        <w:t xml:space="preserve"> até uma temperatura máxima de 25º C. A seringa</w:t>
      </w:r>
      <w:r w:rsidR="00F71B63">
        <w:rPr>
          <w:sz w:val="22"/>
          <w:szCs w:val="22"/>
        </w:rPr>
        <w:t xml:space="preserve"> ou caneta</w:t>
      </w:r>
      <w:r w:rsidRPr="00CC4B51">
        <w:rPr>
          <w:sz w:val="22"/>
          <w:szCs w:val="22"/>
        </w:rPr>
        <w:t xml:space="preserve"> deve ser protegida da luz e eliminada se não for utilizada dentro do período de 14 dias.</w:t>
      </w:r>
    </w:p>
    <w:p w14:paraId="341A3B89" w14:textId="77777777" w:rsidR="004462A0" w:rsidRPr="00CC4B51" w:rsidRDefault="004462A0" w:rsidP="004462A0">
      <w:pPr>
        <w:rPr>
          <w:sz w:val="22"/>
          <w:szCs w:val="22"/>
        </w:rPr>
      </w:pPr>
    </w:p>
    <w:p w14:paraId="6D6ACA50" w14:textId="77777777" w:rsidR="004462A0" w:rsidRPr="00CC4B51" w:rsidRDefault="00615769" w:rsidP="006361FE">
      <w:pPr>
        <w:keepNext/>
        <w:ind w:left="567" w:hanging="567"/>
        <w:rPr>
          <w:sz w:val="22"/>
          <w:szCs w:val="22"/>
        </w:rPr>
      </w:pPr>
      <w:r w:rsidRPr="00CC4B51">
        <w:rPr>
          <w:b/>
          <w:sz w:val="22"/>
          <w:szCs w:val="22"/>
        </w:rPr>
        <w:t>6.5</w:t>
      </w:r>
      <w:r w:rsidRPr="00CC4B51">
        <w:rPr>
          <w:b/>
          <w:sz w:val="22"/>
          <w:szCs w:val="22"/>
        </w:rPr>
        <w:tab/>
        <w:t>Na</w:t>
      </w:r>
      <w:r w:rsidR="00BF3168">
        <w:rPr>
          <w:b/>
          <w:sz w:val="22"/>
          <w:szCs w:val="22"/>
        </w:rPr>
        <w:t>tureza e conteúdo do recipiente</w:t>
      </w:r>
    </w:p>
    <w:p w14:paraId="34E04D35" w14:textId="77777777" w:rsidR="004462A0" w:rsidRDefault="004462A0" w:rsidP="006361FE">
      <w:pPr>
        <w:keepNext/>
        <w:rPr>
          <w:sz w:val="22"/>
          <w:szCs w:val="22"/>
        </w:rPr>
      </w:pPr>
    </w:p>
    <w:p w14:paraId="1BFEC4B2" w14:textId="77777777" w:rsidR="00F71B63" w:rsidRPr="000F4BA0" w:rsidRDefault="00615769" w:rsidP="006361FE">
      <w:pPr>
        <w:keepNext/>
        <w:rPr>
          <w:sz w:val="22"/>
          <w:szCs w:val="22"/>
          <w:u w:val="single"/>
        </w:rPr>
      </w:pPr>
      <w:r>
        <w:rPr>
          <w:sz w:val="22"/>
          <w:szCs w:val="22"/>
          <w:u w:val="single"/>
        </w:rPr>
        <w:t>Humira 80 mg solução injetável em seringa pré-cheia</w:t>
      </w:r>
    </w:p>
    <w:p w14:paraId="17CC9D5C" w14:textId="77777777" w:rsidR="004462A0" w:rsidRPr="00CC4B51" w:rsidRDefault="00615769" w:rsidP="006361FE">
      <w:pPr>
        <w:keepNext/>
        <w:rPr>
          <w:sz w:val="22"/>
          <w:szCs w:val="22"/>
        </w:rPr>
      </w:pPr>
      <w:r w:rsidRPr="00CC4B51">
        <w:rPr>
          <w:sz w:val="22"/>
          <w:szCs w:val="22"/>
        </w:rPr>
        <w:t>Humira 80 mg solução injetável em seringa pré-cheia para dose única (vidro tipo I)</w:t>
      </w:r>
      <w:r w:rsidR="006B562E">
        <w:rPr>
          <w:sz w:val="22"/>
          <w:szCs w:val="22"/>
        </w:rPr>
        <w:t>,</w:t>
      </w:r>
      <w:r w:rsidRPr="00CC4B51">
        <w:rPr>
          <w:sz w:val="22"/>
          <w:szCs w:val="22"/>
        </w:rPr>
        <w:t xml:space="preserve"> com um êmbolo</w:t>
      </w:r>
      <w:r w:rsidR="00954CD5">
        <w:rPr>
          <w:sz w:val="22"/>
          <w:szCs w:val="22"/>
        </w:rPr>
        <w:t xml:space="preserve"> rolha</w:t>
      </w:r>
      <w:r w:rsidRPr="00CC4B51">
        <w:rPr>
          <w:sz w:val="22"/>
          <w:szCs w:val="22"/>
        </w:rPr>
        <w:t xml:space="preserve"> (borracha de bromobutilo) e uma agulha com proteção (elastómero termoplástico).</w:t>
      </w:r>
    </w:p>
    <w:p w14:paraId="1FBD8AD8" w14:textId="77777777" w:rsidR="004462A0" w:rsidRPr="00CC4B51" w:rsidRDefault="004462A0" w:rsidP="004462A0">
      <w:pPr>
        <w:rPr>
          <w:sz w:val="22"/>
          <w:szCs w:val="22"/>
        </w:rPr>
      </w:pPr>
    </w:p>
    <w:p w14:paraId="458451B1" w14:textId="77777777" w:rsidR="004462A0" w:rsidRPr="00CC4B51" w:rsidRDefault="00615769" w:rsidP="004462A0">
      <w:pPr>
        <w:rPr>
          <w:sz w:val="22"/>
          <w:szCs w:val="22"/>
        </w:rPr>
      </w:pPr>
      <w:r w:rsidRPr="00CC4B51">
        <w:rPr>
          <w:sz w:val="22"/>
          <w:szCs w:val="22"/>
        </w:rPr>
        <w:t>Embalagens com:</w:t>
      </w:r>
    </w:p>
    <w:p w14:paraId="003EC93F" w14:textId="77777777" w:rsidR="004462A0" w:rsidRPr="00CC4B51" w:rsidRDefault="00615769" w:rsidP="004462A0">
      <w:pPr>
        <w:numPr>
          <w:ilvl w:val="0"/>
          <w:numId w:val="77"/>
        </w:numPr>
        <w:tabs>
          <w:tab w:val="clear" w:pos="360"/>
        </w:tabs>
        <w:ind w:left="567" w:hanging="567"/>
        <w:rPr>
          <w:sz w:val="22"/>
          <w:szCs w:val="22"/>
        </w:rPr>
      </w:pPr>
      <w:r w:rsidRPr="00CC4B51">
        <w:rPr>
          <w:sz w:val="22"/>
          <w:szCs w:val="22"/>
        </w:rPr>
        <w:t>1 seringa pré-cheia (0,8 ml de solução estéril)</w:t>
      </w:r>
      <w:r w:rsidR="00954CD5">
        <w:rPr>
          <w:sz w:val="22"/>
          <w:szCs w:val="22"/>
        </w:rPr>
        <w:t>,</w:t>
      </w:r>
      <w:r w:rsidR="0041015F">
        <w:rPr>
          <w:sz w:val="22"/>
          <w:szCs w:val="22"/>
        </w:rPr>
        <w:t xml:space="preserve"> com 1</w:t>
      </w:r>
      <w:r w:rsidRPr="00CC4B51">
        <w:rPr>
          <w:sz w:val="22"/>
          <w:szCs w:val="22"/>
        </w:rPr>
        <w:t xml:space="preserve"> compressa embebida em álcool, em </w:t>
      </w:r>
      <w:r w:rsidRPr="00CC4B51">
        <w:rPr>
          <w:i/>
          <w:iCs/>
          <w:sz w:val="22"/>
          <w:szCs w:val="22"/>
        </w:rPr>
        <w:t>blister</w:t>
      </w:r>
      <w:r w:rsidRPr="00CC4B51">
        <w:rPr>
          <w:sz w:val="22"/>
          <w:szCs w:val="22"/>
        </w:rPr>
        <w:t>.</w:t>
      </w:r>
    </w:p>
    <w:p w14:paraId="03BB367B" w14:textId="77777777" w:rsidR="00E31B3D" w:rsidRDefault="00E31B3D" w:rsidP="004462A0">
      <w:pPr>
        <w:rPr>
          <w:sz w:val="22"/>
          <w:szCs w:val="22"/>
        </w:rPr>
      </w:pPr>
    </w:p>
    <w:p w14:paraId="4025AFD4" w14:textId="77777777" w:rsidR="00F71B63" w:rsidRDefault="00615769" w:rsidP="004462A0">
      <w:pPr>
        <w:rPr>
          <w:sz w:val="22"/>
          <w:szCs w:val="22"/>
          <w:u w:val="single"/>
        </w:rPr>
      </w:pPr>
      <w:r>
        <w:rPr>
          <w:sz w:val="22"/>
          <w:szCs w:val="22"/>
          <w:u w:val="single"/>
        </w:rPr>
        <w:t xml:space="preserve">Humira 80 mg </w:t>
      </w:r>
      <w:r w:rsidR="00C5700B">
        <w:rPr>
          <w:sz w:val="22"/>
          <w:szCs w:val="22"/>
          <w:u w:val="single"/>
        </w:rPr>
        <w:t>solução injetável em caneta pré-cheia</w:t>
      </w:r>
    </w:p>
    <w:p w14:paraId="00D72123" w14:textId="77777777" w:rsidR="00C5700B" w:rsidRDefault="00615769" w:rsidP="004462A0">
      <w:pPr>
        <w:rPr>
          <w:sz w:val="22"/>
          <w:szCs w:val="22"/>
        </w:rPr>
      </w:pPr>
      <w:r>
        <w:rPr>
          <w:sz w:val="22"/>
          <w:szCs w:val="22"/>
        </w:rPr>
        <w:t>Humira 80 mg solução injetável em caneta pré-cheia para dose única para utilização do doente, contendo uma seringa pré-cheia. A seringa no interior da caneta é feita de vidro tipo I com um êmbolo rolha (borracha de bromobutilo) e uma agulha com proteção (elastómero termoplástico).</w:t>
      </w:r>
    </w:p>
    <w:p w14:paraId="581EE320" w14:textId="77777777" w:rsidR="00C5700B" w:rsidRDefault="00C5700B" w:rsidP="004462A0">
      <w:pPr>
        <w:rPr>
          <w:sz w:val="22"/>
          <w:szCs w:val="22"/>
        </w:rPr>
      </w:pPr>
    </w:p>
    <w:p w14:paraId="33FC314C" w14:textId="77777777" w:rsidR="00C5700B" w:rsidRDefault="00615769" w:rsidP="004462A0">
      <w:pPr>
        <w:rPr>
          <w:sz w:val="22"/>
          <w:szCs w:val="22"/>
        </w:rPr>
      </w:pPr>
      <w:r>
        <w:rPr>
          <w:sz w:val="22"/>
          <w:szCs w:val="22"/>
        </w:rPr>
        <w:t>Embalagens com:</w:t>
      </w:r>
    </w:p>
    <w:p w14:paraId="6CFBFA69" w14:textId="77777777" w:rsidR="006F3656" w:rsidRDefault="00615769" w:rsidP="000F4BA0">
      <w:pPr>
        <w:pStyle w:val="ListParagraph"/>
        <w:numPr>
          <w:ilvl w:val="0"/>
          <w:numId w:val="119"/>
        </w:numPr>
        <w:ind w:left="567" w:hanging="567"/>
        <w:rPr>
          <w:sz w:val="22"/>
          <w:szCs w:val="22"/>
        </w:rPr>
      </w:pPr>
      <w:r>
        <w:rPr>
          <w:sz w:val="22"/>
          <w:szCs w:val="22"/>
        </w:rPr>
        <w:t>1 caneta pré-cheia (0,8 ml de solução estéril)</w:t>
      </w:r>
      <w:r w:rsidR="00954CD5">
        <w:rPr>
          <w:sz w:val="22"/>
          <w:szCs w:val="22"/>
        </w:rPr>
        <w:t>,</w:t>
      </w:r>
      <w:r w:rsidR="0041015F">
        <w:rPr>
          <w:sz w:val="22"/>
          <w:szCs w:val="22"/>
        </w:rPr>
        <w:t xml:space="preserve"> com 2</w:t>
      </w:r>
      <w:r>
        <w:rPr>
          <w:sz w:val="22"/>
          <w:szCs w:val="22"/>
        </w:rPr>
        <w:t xml:space="preserve"> compressas embebidas em álcool, em </w:t>
      </w:r>
      <w:r>
        <w:rPr>
          <w:i/>
          <w:sz w:val="22"/>
          <w:szCs w:val="22"/>
        </w:rPr>
        <w:t>blister</w:t>
      </w:r>
      <w:r>
        <w:rPr>
          <w:sz w:val="22"/>
          <w:szCs w:val="22"/>
        </w:rPr>
        <w:t>.</w:t>
      </w:r>
    </w:p>
    <w:p w14:paraId="19C28B21" w14:textId="77777777" w:rsidR="00E321F4" w:rsidRPr="002E704B" w:rsidRDefault="00615769" w:rsidP="002E704B">
      <w:pPr>
        <w:pStyle w:val="ListParagraph"/>
        <w:numPr>
          <w:ilvl w:val="0"/>
          <w:numId w:val="119"/>
        </w:numPr>
        <w:ind w:left="567" w:hanging="567"/>
        <w:rPr>
          <w:sz w:val="22"/>
          <w:szCs w:val="22"/>
        </w:rPr>
      </w:pPr>
      <w:r>
        <w:rPr>
          <w:sz w:val="22"/>
          <w:szCs w:val="22"/>
        </w:rPr>
        <w:t xml:space="preserve">3 canetas pré-cheias (0,8 ml de solução estéril), com 4 compressas embebidas em álcool, em </w:t>
      </w:r>
      <w:r w:rsidRPr="00377C21">
        <w:rPr>
          <w:i/>
          <w:sz w:val="22"/>
          <w:szCs w:val="22"/>
        </w:rPr>
        <w:t>blister</w:t>
      </w:r>
      <w:r w:rsidR="00F01603">
        <w:rPr>
          <w:sz w:val="22"/>
          <w:szCs w:val="22"/>
        </w:rPr>
        <w:t>.</w:t>
      </w:r>
    </w:p>
    <w:p w14:paraId="57602390" w14:textId="77777777" w:rsidR="002B1D84" w:rsidRDefault="002B1D84" w:rsidP="002B1D84">
      <w:pPr>
        <w:pStyle w:val="ListParagraph"/>
        <w:ind w:left="567"/>
        <w:rPr>
          <w:sz w:val="22"/>
          <w:szCs w:val="22"/>
        </w:rPr>
      </w:pPr>
    </w:p>
    <w:p w14:paraId="1E413C75" w14:textId="77777777" w:rsidR="006F3656" w:rsidRDefault="00615769" w:rsidP="006F3656">
      <w:pPr>
        <w:rPr>
          <w:sz w:val="22"/>
          <w:szCs w:val="22"/>
        </w:rPr>
      </w:pPr>
      <w:r>
        <w:rPr>
          <w:sz w:val="22"/>
          <w:szCs w:val="22"/>
        </w:rPr>
        <w:t>É possível que não sejam comercializadas todas as apresentações.</w:t>
      </w:r>
    </w:p>
    <w:p w14:paraId="47B9129F" w14:textId="77777777" w:rsidR="00C5700B" w:rsidRPr="00BA3AB7" w:rsidRDefault="00C5700B" w:rsidP="006F3656">
      <w:pPr>
        <w:rPr>
          <w:sz w:val="22"/>
          <w:szCs w:val="22"/>
        </w:rPr>
      </w:pPr>
    </w:p>
    <w:p w14:paraId="220C277E" w14:textId="77777777" w:rsidR="004462A0" w:rsidRPr="00CC4B51" w:rsidRDefault="00615769" w:rsidP="004462A0">
      <w:pPr>
        <w:keepNext/>
        <w:ind w:left="567" w:hanging="567"/>
        <w:rPr>
          <w:sz w:val="22"/>
          <w:szCs w:val="22"/>
        </w:rPr>
      </w:pPr>
      <w:r w:rsidRPr="00CC4B51">
        <w:rPr>
          <w:b/>
          <w:sz w:val="22"/>
          <w:szCs w:val="22"/>
        </w:rPr>
        <w:t>6.6</w:t>
      </w:r>
      <w:r w:rsidRPr="00CC4B51">
        <w:rPr>
          <w:b/>
          <w:sz w:val="22"/>
          <w:szCs w:val="22"/>
        </w:rPr>
        <w:tab/>
        <w:t xml:space="preserve">Precauções especiais de eliminação </w:t>
      </w:r>
    </w:p>
    <w:p w14:paraId="4753DC6C" w14:textId="77777777" w:rsidR="004462A0" w:rsidRPr="00CC4B51" w:rsidRDefault="004462A0" w:rsidP="004462A0">
      <w:pPr>
        <w:keepNext/>
        <w:rPr>
          <w:sz w:val="22"/>
          <w:szCs w:val="22"/>
        </w:rPr>
      </w:pPr>
    </w:p>
    <w:p w14:paraId="773BF84B" w14:textId="77777777" w:rsidR="004462A0" w:rsidRPr="00CC4B51" w:rsidRDefault="00615769" w:rsidP="004462A0">
      <w:pPr>
        <w:keepNext/>
        <w:rPr>
          <w:sz w:val="22"/>
          <w:szCs w:val="22"/>
        </w:rPr>
      </w:pPr>
      <w:r>
        <w:rPr>
          <w:sz w:val="22"/>
          <w:szCs w:val="22"/>
        </w:rPr>
        <w:t xml:space="preserve">Qualquer medicamento </w:t>
      </w:r>
      <w:r w:rsidRPr="00CC4B51">
        <w:rPr>
          <w:sz w:val="22"/>
          <w:szCs w:val="22"/>
        </w:rPr>
        <w:t xml:space="preserve">não utilizado ou resíduos devem ser eliminados de acordo com as exigências locais. </w:t>
      </w:r>
    </w:p>
    <w:p w14:paraId="52B14603" w14:textId="77777777" w:rsidR="004462A0" w:rsidRPr="00CC4B51" w:rsidRDefault="004462A0" w:rsidP="004462A0">
      <w:pPr>
        <w:rPr>
          <w:sz w:val="22"/>
          <w:szCs w:val="22"/>
        </w:rPr>
      </w:pPr>
    </w:p>
    <w:p w14:paraId="75D7C92A" w14:textId="77777777" w:rsidR="004462A0" w:rsidRPr="00CC4B51" w:rsidRDefault="004462A0" w:rsidP="004462A0">
      <w:pPr>
        <w:rPr>
          <w:sz w:val="22"/>
          <w:szCs w:val="22"/>
        </w:rPr>
      </w:pPr>
    </w:p>
    <w:p w14:paraId="724D358F" w14:textId="77777777" w:rsidR="004462A0" w:rsidRPr="00CC4B51" w:rsidRDefault="00615769" w:rsidP="004462A0">
      <w:pPr>
        <w:ind w:left="567" w:hanging="567"/>
        <w:rPr>
          <w:sz w:val="22"/>
          <w:szCs w:val="22"/>
        </w:rPr>
      </w:pPr>
      <w:r w:rsidRPr="00CC4B51">
        <w:rPr>
          <w:b/>
          <w:sz w:val="22"/>
          <w:szCs w:val="22"/>
        </w:rPr>
        <w:t>7.</w:t>
      </w:r>
      <w:r w:rsidRPr="00CC4B51">
        <w:rPr>
          <w:b/>
          <w:sz w:val="22"/>
          <w:szCs w:val="22"/>
        </w:rPr>
        <w:tab/>
        <w:t xml:space="preserve">TITULAR DA AUTORIZAÇÃO DE INTRODUÇÃO NO MERCADO </w:t>
      </w:r>
    </w:p>
    <w:p w14:paraId="170C9EF8" w14:textId="77777777" w:rsidR="004462A0" w:rsidRPr="00CC4B51" w:rsidRDefault="004462A0" w:rsidP="004462A0">
      <w:pPr>
        <w:rPr>
          <w:sz w:val="22"/>
          <w:szCs w:val="22"/>
        </w:rPr>
      </w:pPr>
    </w:p>
    <w:p w14:paraId="5A3B58D9" w14:textId="77777777" w:rsidR="002E3152" w:rsidRPr="00140752" w:rsidRDefault="00615769" w:rsidP="002E3152">
      <w:pPr>
        <w:keepNext/>
        <w:rPr>
          <w:sz w:val="22"/>
          <w:szCs w:val="22"/>
          <w:lang w:val="de-DE"/>
        </w:rPr>
      </w:pPr>
      <w:r w:rsidRPr="00140752">
        <w:rPr>
          <w:sz w:val="22"/>
          <w:szCs w:val="22"/>
          <w:lang w:val="de-DE"/>
        </w:rPr>
        <w:t>AbbVie Deutschland GmbH &amp; Co. KG</w:t>
      </w:r>
    </w:p>
    <w:p w14:paraId="31CC64FC" w14:textId="77777777" w:rsidR="002E3152" w:rsidRPr="008D6D3A" w:rsidRDefault="00615769" w:rsidP="002E3152">
      <w:pPr>
        <w:keepNext/>
        <w:rPr>
          <w:sz w:val="22"/>
          <w:szCs w:val="22"/>
          <w:lang w:val="de-CH"/>
        </w:rPr>
      </w:pPr>
      <w:r w:rsidRPr="008D6D3A">
        <w:rPr>
          <w:sz w:val="22"/>
          <w:szCs w:val="22"/>
          <w:lang w:val="de-CH"/>
        </w:rPr>
        <w:t>Knollstrasse</w:t>
      </w:r>
    </w:p>
    <w:p w14:paraId="094ADD75" w14:textId="77777777" w:rsidR="002E3152" w:rsidRPr="006649C6" w:rsidRDefault="00615769" w:rsidP="002E3152">
      <w:pPr>
        <w:keepNext/>
        <w:rPr>
          <w:sz w:val="22"/>
          <w:szCs w:val="22"/>
        </w:rPr>
      </w:pPr>
      <w:r w:rsidRPr="006649C6">
        <w:rPr>
          <w:sz w:val="22"/>
          <w:szCs w:val="22"/>
        </w:rPr>
        <w:t>67061 Ludwigshafen</w:t>
      </w:r>
    </w:p>
    <w:p w14:paraId="181E970A" w14:textId="77777777" w:rsidR="004462A0" w:rsidRPr="00CC4B51" w:rsidRDefault="00615769" w:rsidP="004462A0">
      <w:pPr>
        <w:rPr>
          <w:sz w:val="22"/>
          <w:szCs w:val="22"/>
        </w:rPr>
      </w:pPr>
      <w:r>
        <w:rPr>
          <w:sz w:val="22"/>
          <w:szCs w:val="22"/>
        </w:rPr>
        <w:t>Alemanha</w:t>
      </w:r>
    </w:p>
    <w:p w14:paraId="689523B0" w14:textId="77777777" w:rsidR="004462A0" w:rsidRPr="00CC4B51" w:rsidRDefault="004462A0" w:rsidP="004462A0">
      <w:pPr>
        <w:rPr>
          <w:sz w:val="22"/>
          <w:szCs w:val="22"/>
        </w:rPr>
      </w:pPr>
    </w:p>
    <w:p w14:paraId="3C86F499" w14:textId="77777777" w:rsidR="004462A0" w:rsidRPr="00CC4B51" w:rsidRDefault="004462A0" w:rsidP="004462A0">
      <w:pPr>
        <w:rPr>
          <w:sz w:val="22"/>
          <w:szCs w:val="22"/>
        </w:rPr>
      </w:pPr>
    </w:p>
    <w:p w14:paraId="20626D5F" w14:textId="77777777" w:rsidR="004462A0" w:rsidRPr="00CC4B51" w:rsidRDefault="00615769" w:rsidP="004462A0">
      <w:pPr>
        <w:ind w:left="567" w:hanging="567"/>
        <w:rPr>
          <w:b/>
          <w:sz w:val="22"/>
          <w:szCs w:val="22"/>
        </w:rPr>
      </w:pPr>
      <w:r w:rsidRPr="00CC4B51">
        <w:rPr>
          <w:b/>
          <w:sz w:val="22"/>
          <w:szCs w:val="22"/>
        </w:rPr>
        <w:t>8.</w:t>
      </w:r>
      <w:r w:rsidRPr="00CC4B51">
        <w:rPr>
          <w:b/>
          <w:sz w:val="22"/>
          <w:szCs w:val="22"/>
        </w:rPr>
        <w:tab/>
      </w:r>
      <w:r w:rsidRPr="00CC4B51">
        <w:rPr>
          <w:b/>
          <w:sz w:val="22"/>
          <w:szCs w:val="22"/>
        </w:rPr>
        <w:t xml:space="preserve">NÚMEROS DA AUTORIZAÇÃO DE INTRODUÇÃO NO MERCADO </w:t>
      </w:r>
    </w:p>
    <w:p w14:paraId="7B0A9C8A" w14:textId="77777777" w:rsidR="004462A0" w:rsidRDefault="004462A0" w:rsidP="004462A0">
      <w:pPr>
        <w:rPr>
          <w:sz w:val="22"/>
          <w:szCs w:val="22"/>
        </w:rPr>
      </w:pPr>
    </w:p>
    <w:p w14:paraId="612461D4" w14:textId="77777777" w:rsidR="005E1905" w:rsidRPr="00BA3AB7" w:rsidRDefault="00615769" w:rsidP="004462A0">
      <w:pPr>
        <w:rPr>
          <w:sz w:val="22"/>
          <w:szCs w:val="22"/>
          <w:u w:val="single"/>
        </w:rPr>
      </w:pPr>
      <w:r w:rsidRPr="00BA3AB7">
        <w:rPr>
          <w:sz w:val="22"/>
          <w:szCs w:val="22"/>
          <w:u w:val="single"/>
        </w:rPr>
        <w:t>Humira 80</w:t>
      </w:r>
      <w:r w:rsidR="008A32FC">
        <w:rPr>
          <w:sz w:val="22"/>
          <w:szCs w:val="22"/>
          <w:u w:val="single"/>
        </w:rPr>
        <w:t> </w:t>
      </w:r>
      <w:r w:rsidRPr="00BA3AB7">
        <w:rPr>
          <w:sz w:val="22"/>
          <w:szCs w:val="22"/>
          <w:u w:val="single"/>
        </w:rPr>
        <w:t xml:space="preserve">mg </w:t>
      </w:r>
      <w:r w:rsidR="0027280F" w:rsidRPr="00BA3AB7">
        <w:rPr>
          <w:sz w:val="22"/>
          <w:szCs w:val="22"/>
          <w:u w:val="single"/>
        </w:rPr>
        <w:t xml:space="preserve">solução </w:t>
      </w:r>
      <w:r w:rsidR="0027280F" w:rsidRPr="0027280F">
        <w:rPr>
          <w:sz w:val="22"/>
          <w:szCs w:val="22"/>
          <w:u w:val="single"/>
        </w:rPr>
        <w:t>inje</w:t>
      </w:r>
      <w:r w:rsidR="0027280F" w:rsidRPr="00BA3AB7">
        <w:rPr>
          <w:sz w:val="22"/>
          <w:szCs w:val="22"/>
          <w:u w:val="single"/>
        </w:rPr>
        <w:t>tável em seringa pré-cheia</w:t>
      </w:r>
    </w:p>
    <w:p w14:paraId="4BC9DA0E" w14:textId="77777777" w:rsidR="004462A0" w:rsidRPr="00CC4B51" w:rsidRDefault="00615769" w:rsidP="004462A0">
      <w:pPr>
        <w:rPr>
          <w:sz w:val="22"/>
          <w:szCs w:val="22"/>
        </w:rPr>
      </w:pPr>
      <w:r w:rsidRPr="00CC4B51">
        <w:rPr>
          <w:sz w:val="22"/>
          <w:szCs w:val="22"/>
        </w:rPr>
        <w:t>EU/1/03/256/020</w:t>
      </w:r>
    </w:p>
    <w:p w14:paraId="19BF3556" w14:textId="77777777" w:rsidR="00F62C9A" w:rsidRDefault="00F62C9A" w:rsidP="004462A0">
      <w:pPr>
        <w:rPr>
          <w:sz w:val="22"/>
          <w:szCs w:val="22"/>
          <w:u w:val="single"/>
        </w:rPr>
      </w:pPr>
    </w:p>
    <w:p w14:paraId="576DED72" w14:textId="77777777" w:rsidR="0027280F" w:rsidRDefault="00615769" w:rsidP="004462A0">
      <w:pPr>
        <w:rPr>
          <w:sz w:val="22"/>
          <w:szCs w:val="22"/>
          <w:u w:val="single"/>
        </w:rPr>
      </w:pPr>
      <w:r w:rsidRPr="00BA3AB7">
        <w:rPr>
          <w:sz w:val="22"/>
          <w:szCs w:val="22"/>
          <w:u w:val="single"/>
        </w:rPr>
        <w:t>Humira 80</w:t>
      </w:r>
      <w:r w:rsidR="008A32FC">
        <w:rPr>
          <w:sz w:val="22"/>
          <w:szCs w:val="22"/>
          <w:u w:val="single"/>
        </w:rPr>
        <w:t> </w:t>
      </w:r>
      <w:r w:rsidRPr="00BA3AB7">
        <w:rPr>
          <w:sz w:val="22"/>
          <w:szCs w:val="22"/>
          <w:u w:val="single"/>
        </w:rPr>
        <w:t xml:space="preserve">mg solução </w:t>
      </w:r>
      <w:r w:rsidRPr="0027280F">
        <w:rPr>
          <w:sz w:val="22"/>
          <w:szCs w:val="22"/>
          <w:u w:val="single"/>
        </w:rPr>
        <w:t>inje</w:t>
      </w:r>
      <w:r w:rsidRPr="00BA3AB7">
        <w:rPr>
          <w:sz w:val="22"/>
          <w:szCs w:val="22"/>
          <w:u w:val="single"/>
        </w:rPr>
        <w:t>tável em caneta pré-cheia</w:t>
      </w:r>
    </w:p>
    <w:p w14:paraId="2F3B1A03" w14:textId="77777777" w:rsidR="0027280F" w:rsidRDefault="00615769" w:rsidP="004462A0">
      <w:pPr>
        <w:rPr>
          <w:sz w:val="22"/>
          <w:szCs w:val="22"/>
        </w:rPr>
      </w:pPr>
      <w:r>
        <w:rPr>
          <w:sz w:val="22"/>
          <w:szCs w:val="22"/>
        </w:rPr>
        <w:t>EU/1/03/256/</w:t>
      </w:r>
      <w:r w:rsidR="008A32FC">
        <w:rPr>
          <w:sz w:val="22"/>
          <w:szCs w:val="22"/>
        </w:rPr>
        <w:t>021</w:t>
      </w:r>
    </w:p>
    <w:p w14:paraId="0961B8A3" w14:textId="77777777" w:rsidR="00E321F4" w:rsidRDefault="00615769" w:rsidP="004462A0">
      <w:pPr>
        <w:rPr>
          <w:sz w:val="22"/>
          <w:szCs w:val="22"/>
        </w:rPr>
      </w:pPr>
      <w:r>
        <w:rPr>
          <w:sz w:val="22"/>
          <w:szCs w:val="22"/>
        </w:rPr>
        <w:t>EU/1/03/256/027</w:t>
      </w:r>
    </w:p>
    <w:p w14:paraId="04F50D00" w14:textId="77777777" w:rsidR="007D1DA9" w:rsidRPr="0027280F" w:rsidRDefault="007D1DA9" w:rsidP="004462A0">
      <w:pPr>
        <w:rPr>
          <w:sz w:val="22"/>
          <w:szCs w:val="22"/>
        </w:rPr>
      </w:pPr>
    </w:p>
    <w:p w14:paraId="48006CED" w14:textId="77777777" w:rsidR="004462A0" w:rsidRPr="00CC4B51" w:rsidRDefault="004462A0" w:rsidP="004462A0">
      <w:pPr>
        <w:rPr>
          <w:sz w:val="22"/>
          <w:szCs w:val="22"/>
        </w:rPr>
      </w:pPr>
    </w:p>
    <w:p w14:paraId="535F9537" w14:textId="77777777" w:rsidR="004462A0" w:rsidRPr="00CC4B51" w:rsidRDefault="00615769" w:rsidP="008234D6">
      <w:pPr>
        <w:keepNext/>
        <w:ind w:left="567" w:hanging="567"/>
        <w:rPr>
          <w:b/>
          <w:sz w:val="22"/>
          <w:szCs w:val="22"/>
        </w:rPr>
      </w:pPr>
      <w:r w:rsidRPr="00CC4B51">
        <w:rPr>
          <w:b/>
          <w:sz w:val="22"/>
          <w:szCs w:val="22"/>
        </w:rPr>
        <w:t>9.</w:t>
      </w:r>
      <w:r w:rsidRPr="00CC4B51">
        <w:rPr>
          <w:b/>
          <w:sz w:val="22"/>
          <w:szCs w:val="22"/>
        </w:rPr>
        <w:tab/>
      </w:r>
      <w:r w:rsidRPr="00CC4B51">
        <w:rPr>
          <w:b/>
          <w:sz w:val="22"/>
          <w:szCs w:val="22"/>
        </w:rPr>
        <w:t>DATA DA PRIMEIRA AUTORIZAÇÃO/RENOVAÇÃO DA AUTOR</w:t>
      </w:r>
      <w:r w:rsidR="00BF3168">
        <w:rPr>
          <w:b/>
          <w:sz w:val="22"/>
          <w:szCs w:val="22"/>
        </w:rPr>
        <w:t>IZAÇÃO DE INTRODUÇÃO NO MERCADO</w:t>
      </w:r>
    </w:p>
    <w:p w14:paraId="14EC4603" w14:textId="77777777" w:rsidR="004462A0" w:rsidRPr="00CC4B51" w:rsidRDefault="004462A0" w:rsidP="008234D6">
      <w:pPr>
        <w:keepNext/>
        <w:rPr>
          <w:sz w:val="22"/>
          <w:szCs w:val="22"/>
        </w:rPr>
      </w:pPr>
    </w:p>
    <w:p w14:paraId="47468B33" w14:textId="77777777" w:rsidR="004462A0" w:rsidRPr="00CC4B51" w:rsidRDefault="00615769" w:rsidP="008234D6">
      <w:pPr>
        <w:keepNext/>
        <w:textAlignment w:val="top"/>
        <w:rPr>
          <w:color w:val="888888"/>
          <w:sz w:val="22"/>
          <w:szCs w:val="22"/>
        </w:rPr>
      </w:pPr>
      <w:r w:rsidRPr="00CC4B51">
        <w:rPr>
          <w:sz w:val="22"/>
          <w:szCs w:val="22"/>
        </w:rPr>
        <w:t xml:space="preserve">Data da primeira autorização: 08 </w:t>
      </w:r>
      <w:r w:rsidR="00E7501D">
        <w:rPr>
          <w:sz w:val="22"/>
          <w:szCs w:val="22"/>
        </w:rPr>
        <w:t xml:space="preserve">de </w:t>
      </w:r>
      <w:r w:rsidRPr="00CC4B51">
        <w:rPr>
          <w:color w:val="000000"/>
          <w:sz w:val="22"/>
          <w:szCs w:val="22"/>
        </w:rPr>
        <w:t xml:space="preserve">setembro </w:t>
      </w:r>
      <w:r w:rsidR="00E7501D">
        <w:rPr>
          <w:color w:val="000000"/>
          <w:sz w:val="22"/>
          <w:szCs w:val="22"/>
        </w:rPr>
        <w:t xml:space="preserve">de </w:t>
      </w:r>
      <w:r w:rsidRPr="00CC4B51">
        <w:rPr>
          <w:color w:val="000000"/>
          <w:sz w:val="22"/>
          <w:szCs w:val="22"/>
        </w:rPr>
        <w:t>2003</w:t>
      </w:r>
    </w:p>
    <w:p w14:paraId="78570083" w14:textId="77777777" w:rsidR="004462A0" w:rsidRPr="00CC4B51" w:rsidRDefault="00615769" w:rsidP="008234D6">
      <w:pPr>
        <w:keepNext/>
        <w:ind w:left="567" w:hanging="567"/>
        <w:rPr>
          <w:bCs/>
          <w:sz w:val="22"/>
          <w:szCs w:val="22"/>
        </w:rPr>
      </w:pPr>
      <w:r w:rsidRPr="00CC4B51">
        <w:rPr>
          <w:sz w:val="22"/>
          <w:szCs w:val="22"/>
        </w:rPr>
        <w:t>Data da última renovação: 08</w:t>
      </w:r>
      <w:r w:rsidR="00E7501D">
        <w:rPr>
          <w:sz w:val="22"/>
          <w:szCs w:val="22"/>
        </w:rPr>
        <w:t xml:space="preserve"> de</w:t>
      </w:r>
      <w:r w:rsidRPr="00CC4B51">
        <w:rPr>
          <w:sz w:val="22"/>
          <w:szCs w:val="22"/>
        </w:rPr>
        <w:t xml:space="preserve"> </w:t>
      </w:r>
      <w:r w:rsidRPr="00CC4B51">
        <w:rPr>
          <w:color w:val="000000"/>
          <w:sz w:val="22"/>
          <w:szCs w:val="22"/>
        </w:rPr>
        <w:t xml:space="preserve">setembro </w:t>
      </w:r>
      <w:r w:rsidR="00E7501D">
        <w:rPr>
          <w:color w:val="000000"/>
          <w:sz w:val="22"/>
          <w:szCs w:val="22"/>
        </w:rPr>
        <w:t xml:space="preserve">de </w:t>
      </w:r>
      <w:r w:rsidRPr="00CC4B51">
        <w:rPr>
          <w:color w:val="000000"/>
          <w:sz w:val="22"/>
          <w:szCs w:val="22"/>
        </w:rPr>
        <w:t>2008</w:t>
      </w:r>
    </w:p>
    <w:p w14:paraId="3CBB8B64" w14:textId="77777777" w:rsidR="004462A0" w:rsidRPr="00CC4B51" w:rsidRDefault="004462A0" w:rsidP="004462A0">
      <w:pPr>
        <w:rPr>
          <w:sz w:val="22"/>
          <w:szCs w:val="22"/>
        </w:rPr>
      </w:pPr>
    </w:p>
    <w:p w14:paraId="01DF4117" w14:textId="77777777" w:rsidR="004462A0" w:rsidRPr="00CC4B51" w:rsidRDefault="004462A0" w:rsidP="004462A0">
      <w:pPr>
        <w:rPr>
          <w:sz w:val="22"/>
          <w:szCs w:val="22"/>
        </w:rPr>
      </w:pPr>
    </w:p>
    <w:p w14:paraId="6CD0C6F3" w14:textId="77777777" w:rsidR="004462A0" w:rsidRPr="00CC4B51" w:rsidRDefault="00615769" w:rsidP="004462A0">
      <w:pPr>
        <w:ind w:left="567" w:hanging="567"/>
        <w:rPr>
          <w:b/>
          <w:sz w:val="22"/>
          <w:szCs w:val="22"/>
        </w:rPr>
      </w:pPr>
      <w:r w:rsidRPr="00CC4B51">
        <w:rPr>
          <w:b/>
          <w:bCs/>
          <w:sz w:val="22"/>
          <w:szCs w:val="22"/>
        </w:rPr>
        <w:t>10.</w:t>
      </w:r>
      <w:r w:rsidRPr="00CC4B51">
        <w:rPr>
          <w:b/>
          <w:bCs/>
          <w:sz w:val="22"/>
          <w:szCs w:val="22"/>
        </w:rPr>
        <w:tab/>
      </w:r>
      <w:r w:rsidRPr="00CC4B51">
        <w:rPr>
          <w:b/>
          <w:sz w:val="22"/>
          <w:szCs w:val="22"/>
        </w:rPr>
        <w:t>DATA DA REVISÃO DO TEXTO</w:t>
      </w:r>
    </w:p>
    <w:p w14:paraId="206D4FF1" w14:textId="77777777" w:rsidR="004462A0" w:rsidRPr="00CC4B51" w:rsidRDefault="004462A0" w:rsidP="004462A0"/>
    <w:p w14:paraId="1CA09E1B" w14:textId="7D4C8628" w:rsidR="004462A0" w:rsidRPr="00CC4B51" w:rsidRDefault="00615769" w:rsidP="004462A0">
      <w:pPr>
        <w:ind w:right="-2"/>
        <w:rPr>
          <w:sz w:val="22"/>
          <w:szCs w:val="22"/>
        </w:rPr>
      </w:pPr>
      <w:r w:rsidRPr="00CC4B51">
        <w:rPr>
          <w:sz w:val="22"/>
          <w:szCs w:val="22"/>
        </w:rPr>
        <w:t xml:space="preserve">Está disponível informação pormenorizada sobre este medicamento no sítio da internet da Agência Europeia de Medicamentos: </w:t>
      </w:r>
      <w:ins w:id="11465" w:author="AbbVie2" w:date="2025-05-16T15:36:00Z">
        <w:r w:rsidR="005E65AF">
          <w:rPr>
            <w:color w:val="0000FF"/>
            <w:sz w:val="22"/>
            <w:szCs w:val="22"/>
            <w:u w:val="single"/>
          </w:rPr>
          <w:fldChar w:fldCharType="begin"/>
        </w:r>
        <w:r w:rsidR="005E65AF">
          <w:rPr>
            <w:color w:val="0000FF"/>
            <w:sz w:val="22"/>
            <w:szCs w:val="22"/>
            <w:u w:val="single"/>
          </w:rPr>
          <w:instrText>HYPERLINK "</w:instrText>
        </w:r>
      </w:ins>
      <w:r w:rsidR="005E65AF" w:rsidRPr="00CC4B51">
        <w:rPr>
          <w:color w:val="0000FF"/>
          <w:sz w:val="22"/>
          <w:szCs w:val="22"/>
          <w:u w:val="single"/>
        </w:rPr>
        <w:instrText>http</w:instrText>
      </w:r>
      <w:ins w:id="11466" w:author="AbbVie2" w:date="2025-05-16T15:35:00Z">
        <w:r w:rsidR="005E65AF">
          <w:rPr>
            <w:color w:val="0000FF"/>
            <w:sz w:val="22"/>
            <w:szCs w:val="22"/>
            <w:u w:val="single"/>
          </w:rPr>
          <w:instrText>s</w:instrText>
        </w:r>
      </w:ins>
      <w:r w:rsidR="005E65AF" w:rsidRPr="00CC4B51">
        <w:rPr>
          <w:color w:val="0000FF"/>
          <w:sz w:val="22"/>
          <w:szCs w:val="22"/>
          <w:u w:val="single"/>
        </w:rPr>
        <w:instrText>://www.ema.europa.eu</w:instrText>
      </w:r>
      <w:ins w:id="11467" w:author="AbbVie2" w:date="2025-05-16T15:36:00Z">
        <w:r w:rsidR="005E65AF">
          <w:rPr>
            <w:color w:val="0000FF"/>
            <w:sz w:val="22"/>
            <w:szCs w:val="22"/>
            <w:u w:val="single"/>
          </w:rPr>
          <w:instrText>"</w:instrText>
        </w:r>
        <w:r w:rsidR="005E65AF">
          <w:rPr>
            <w:color w:val="0000FF"/>
            <w:sz w:val="22"/>
            <w:szCs w:val="22"/>
            <w:u w:val="single"/>
          </w:rPr>
        </w:r>
        <w:r w:rsidR="005E65AF">
          <w:rPr>
            <w:color w:val="0000FF"/>
            <w:sz w:val="22"/>
            <w:szCs w:val="22"/>
            <w:u w:val="single"/>
          </w:rPr>
          <w:fldChar w:fldCharType="separate"/>
        </w:r>
      </w:ins>
      <w:r w:rsidR="005E65AF" w:rsidRPr="001A299A">
        <w:rPr>
          <w:rStyle w:val="Hyperlink"/>
          <w:sz w:val="22"/>
          <w:szCs w:val="22"/>
        </w:rPr>
        <w:t>http</w:t>
      </w:r>
      <w:ins w:id="11468" w:author="AbbVie2" w:date="2025-05-16T15:35:00Z">
        <w:r w:rsidR="005E65AF" w:rsidRPr="001A299A">
          <w:rPr>
            <w:rStyle w:val="Hyperlink"/>
            <w:sz w:val="22"/>
            <w:szCs w:val="22"/>
          </w:rPr>
          <w:t>s</w:t>
        </w:r>
      </w:ins>
      <w:r w:rsidR="005E65AF" w:rsidRPr="001A299A">
        <w:rPr>
          <w:rStyle w:val="Hyperlink"/>
          <w:sz w:val="22"/>
          <w:szCs w:val="22"/>
        </w:rPr>
        <w:t>://www.ema.europa.eu</w:t>
      </w:r>
      <w:ins w:id="11469" w:author="AbbVie2" w:date="2025-05-16T15:36:00Z">
        <w:r w:rsidR="005E65AF">
          <w:rPr>
            <w:color w:val="0000FF"/>
            <w:sz w:val="22"/>
            <w:szCs w:val="22"/>
            <w:u w:val="single"/>
          </w:rPr>
          <w:fldChar w:fldCharType="end"/>
        </w:r>
      </w:ins>
    </w:p>
    <w:p w14:paraId="58DE2535" w14:textId="77777777" w:rsidR="004462A0" w:rsidRPr="00CC4B51" w:rsidRDefault="004462A0" w:rsidP="004462A0">
      <w:pPr>
        <w:ind w:right="-2"/>
        <w:rPr>
          <w:sz w:val="22"/>
          <w:szCs w:val="22"/>
        </w:rPr>
      </w:pPr>
    </w:p>
    <w:p w14:paraId="5D465352" w14:textId="77777777" w:rsidR="004462A0" w:rsidRPr="008912CF" w:rsidRDefault="00615769" w:rsidP="004462A0">
      <w:pPr>
        <w:rPr>
          <w:sz w:val="22"/>
          <w:szCs w:val="22"/>
        </w:rPr>
      </w:pPr>
      <w:r w:rsidRPr="008912CF">
        <w:rPr>
          <w:sz w:val="22"/>
          <w:szCs w:val="22"/>
        </w:rPr>
        <w:br w:type="page"/>
      </w:r>
    </w:p>
    <w:p w14:paraId="6DF74E4C" w14:textId="77777777" w:rsidR="004462A0" w:rsidRPr="008912CF" w:rsidRDefault="004462A0" w:rsidP="004462A0">
      <w:pPr>
        <w:tabs>
          <w:tab w:val="left" w:pos="720"/>
        </w:tabs>
        <w:ind w:right="1416"/>
        <w:jc w:val="center"/>
        <w:outlineLvl w:val="0"/>
        <w:rPr>
          <w:b/>
          <w:sz w:val="22"/>
          <w:szCs w:val="22"/>
        </w:rPr>
      </w:pPr>
    </w:p>
    <w:p w14:paraId="4383ADD3" w14:textId="77777777" w:rsidR="004462A0" w:rsidRPr="008912CF" w:rsidRDefault="004462A0" w:rsidP="004462A0">
      <w:pPr>
        <w:tabs>
          <w:tab w:val="left" w:pos="720"/>
        </w:tabs>
        <w:ind w:right="1416"/>
        <w:jc w:val="center"/>
        <w:outlineLvl w:val="0"/>
        <w:rPr>
          <w:b/>
          <w:sz w:val="22"/>
          <w:szCs w:val="22"/>
        </w:rPr>
      </w:pPr>
    </w:p>
    <w:p w14:paraId="2DB04701" w14:textId="77777777" w:rsidR="004462A0" w:rsidRPr="008912CF" w:rsidRDefault="004462A0" w:rsidP="004462A0">
      <w:pPr>
        <w:tabs>
          <w:tab w:val="left" w:pos="720"/>
        </w:tabs>
        <w:ind w:right="1416"/>
        <w:jc w:val="center"/>
        <w:outlineLvl w:val="0"/>
        <w:rPr>
          <w:b/>
          <w:sz w:val="22"/>
          <w:szCs w:val="22"/>
        </w:rPr>
      </w:pPr>
    </w:p>
    <w:p w14:paraId="5EA0B28D" w14:textId="77777777" w:rsidR="004462A0" w:rsidRPr="008912CF" w:rsidRDefault="004462A0" w:rsidP="004462A0">
      <w:pPr>
        <w:tabs>
          <w:tab w:val="left" w:pos="720"/>
        </w:tabs>
        <w:ind w:right="1416"/>
        <w:jc w:val="center"/>
        <w:outlineLvl w:val="0"/>
        <w:rPr>
          <w:b/>
          <w:sz w:val="22"/>
          <w:szCs w:val="22"/>
        </w:rPr>
      </w:pPr>
    </w:p>
    <w:p w14:paraId="55EEA61C" w14:textId="77777777" w:rsidR="004462A0" w:rsidRPr="008912CF" w:rsidRDefault="004462A0" w:rsidP="004462A0">
      <w:pPr>
        <w:tabs>
          <w:tab w:val="left" w:pos="720"/>
        </w:tabs>
        <w:ind w:right="1416"/>
        <w:jc w:val="center"/>
        <w:outlineLvl w:val="0"/>
        <w:rPr>
          <w:b/>
          <w:sz w:val="22"/>
          <w:szCs w:val="22"/>
        </w:rPr>
      </w:pPr>
    </w:p>
    <w:p w14:paraId="3F6766AD" w14:textId="77777777" w:rsidR="004462A0" w:rsidRPr="008912CF" w:rsidRDefault="004462A0" w:rsidP="004462A0">
      <w:pPr>
        <w:tabs>
          <w:tab w:val="left" w:pos="720"/>
        </w:tabs>
        <w:ind w:right="1416"/>
        <w:jc w:val="center"/>
        <w:outlineLvl w:val="0"/>
        <w:rPr>
          <w:b/>
          <w:sz w:val="22"/>
          <w:szCs w:val="22"/>
        </w:rPr>
      </w:pPr>
    </w:p>
    <w:p w14:paraId="7CDAC0E7" w14:textId="77777777" w:rsidR="004462A0" w:rsidRPr="008912CF" w:rsidRDefault="004462A0" w:rsidP="004462A0">
      <w:pPr>
        <w:tabs>
          <w:tab w:val="left" w:pos="720"/>
        </w:tabs>
        <w:ind w:right="1416"/>
        <w:jc w:val="center"/>
        <w:outlineLvl w:val="0"/>
        <w:rPr>
          <w:b/>
          <w:sz w:val="22"/>
          <w:szCs w:val="22"/>
        </w:rPr>
      </w:pPr>
    </w:p>
    <w:p w14:paraId="6F2757C0" w14:textId="77777777" w:rsidR="004462A0" w:rsidRPr="008912CF" w:rsidRDefault="004462A0" w:rsidP="004462A0">
      <w:pPr>
        <w:tabs>
          <w:tab w:val="left" w:pos="720"/>
        </w:tabs>
        <w:ind w:right="1416"/>
        <w:jc w:val="center"/>
        <w:outlineLvl w:val="0"/>
        <w:rPr>
          <w:b/>
          <w:sz w:val="22"/>
          <w:szCs w:val="22"/>
        </w:rPr>
      </w:pPr>
    </w:p>
    <w:p w14:paraId="535E4813" w14:textId="77777777" w:rsidR="004462A0" w:rsidRPr="008912CF" w:rsidRDefault="004462A0" w:rsidP="004462A0">
      <w:pPr>
        <w:tabs>
          <w:tab w:val="left" w:pos="720"/>
        </w:tabs>
        <w:ind w:right="1416"/>
        <w:jc w:val="center"/>
        <w:outlineLvl w:val="0"/>
        <w:rPr>
          <w:b/>
          <w:sz w:val="22"/>
          <w:szCs w:val="22"/>
        </w:rPr>
      </w:pPr>
    </w:p>
    <w:p w14:paraId="62FFED52" w14:textId="77777777" w:rsidR="004462A0" w:rsidRPr="008912CF" w:rsidRDefault="004462A0" w:rsidP="004462A0">
      <w:pPr>
        <w:tabs>
          <w:tab w:val="left" w:pos="720"/>
        </w:tabs>
        <w:ind w:right="1416"/>
        <w:jc w:val="center"/>
        <w:outlineLvl w:val="0"/>
        <w:rPr>
          <w:b/>
          <w:sz w:val="22"/>
          <w:szCs w:val="22"/>
        </w:rPr>
      </w:pPr>
    </w:p>
    <w:p w14:paraId="0F405CA0" w14:textId="77777777" w:rsidR="004462A0" w:rsidRPr="008912CF" w:rsidRDefault="004462A0" w:rsidP="004462A0">
      <w:pPr>
        <w:tabs>
          <w:tab w:val="left" w:pos="720"/>
        </w:tabs>
        <w:ind w:right="1416"/>
        <w:jc w:val="center"/>
        <w:outlineLvl w:val="0"/>
        <w:rPr>
          <w:b/>
          <w:sz w:val="22"/>
          <w:szCs w:val="22"/>
        </w:rPr>
      </w:pPr>
    </w:p>
    <w:p w14:paraId="332E26F0" w14:textId="77777777" w:rsidR="004462A0" w:rsidRPr="008912CF" w:rsidRDefault="004462A0" w:rsidP="004462A0">
      <w:pPr>
        <w:tabs>
          <w:tab w:val="left" w:pos="720"/>
        </w:tabs>
        <w:ind w:right="1416"/>
        <w:jc w:val="center"/>
        <w:outlineLvl w:val="0"/>
        <w:rPr>
          <w:b/>
          <w:sz w:val="22"/>
          <w:szCs w:val="22"/>
        </w:rPr>
      </w:pPr>
    </w:p>
    <w:p w14:paraId="0C98A39A" w14:textId="77777777" w:rsidR="004462A0" w:rsidRPr="008912CF" w:rsidRDefault="004462A0" w:rsidP="004462A0">
      <w:pPr>
        <w:tabs>
          <w:tab w:val="left" w:pos="720"/>
        </w:tabs>
        <w:ind w:right="1416"/>
        <w:jc w:val="center"/>
        <w:outlineLvl w:val="0"/>
        <w:rPr>
          <w:b/>
          <w:sz w:val="22"/>
          <w:szCs w:val="22"/>
        </w:rPr>
      </w:pPr>
    </w:p>
    <w:p w14:paraId="56C8F953" w14:textId="77777777" w:rsidR="004462A0" w:rsidRPr="008912CF" w:rsidRDefault="004462A0" w:rsidP="004462A0">
      <w:pPr>
        <w:tabs>
          <w:tab w:val="left" w:pos="720"/>
        </w:tabs>
        <w:ind w:right="1416"/>
        <w:jc w:val="center"/>
        <w:outlineLvl w:val="0"/>
        <w:rPr>
          <w:b/>
          <w:sz w:val="22"/>
          <w:szCs w:val="22"/>
        </w:rPr>
      </w:pPr>
    </w:p>
    <w:p w14:paraId="7711CFB3" w14:textId="77777777" w:rsidR="004462A0" w:rsidRPr="008912CF" w:rsidRDefault="004462A0" w:rsidP="004462A0">
      <w:pPr>
        <w:tabs>
          <w:tab w:val="left" w:pos="720"/>
        </w:tabs>
        <w:ind w:right="1416"/>
        <w:jc w:val="center"/>
        <w:outlineLvl w:val="0"/>
        <w:rPr>
          <w:b/>
          <w:sz w:val="22"/>
          <w:szCs w:val="22"/>
        </w:rPr>
      </w:pPr>
    </w:p>
    <w:p w14:paraId="0159EB1C" w14:textId="77777777" w:rsidR="004462A0" w:rsidRPr="008912CF" w:rsidRDefault="004462A0" w:rsidP="004462A0">
      <w:pPr>
        <w:tabs>
          <w:tab w:val="left" w:pos="720"/>
        </w:tabs>
        <w:ind w:right="1416"/>
        <w:jc w:val="center"/>
        <w:outlineLvl w:val="0"/>
        <w:rPr>
          <w:b/>
          <w:sz w:val="22"/>
          <w:szCs w:val="22"/>
        </w:rPr>
      </w:pPr>
    </w:p>
    <w:p w14:paraId="719D45FE" w14:textId="77777777" w:rsidR="004462A0" w:rsidRPr="008912CF" w:rsidRDefault="004462A0" w:rsidP="004462A0">
      <w:pPr>
        <w:tabs>
          <w:tab w:val="left" w:pos="720"/>
        </w:tabs>
        <w:ind w:right="1416"/>
        <w:jc w:val="center"/>
        <w:outlineLvl w:val="0"/>
        <w:rPr>
          <w:b/>
          <w:sz w:val="22"/>
          <w:szCs w:val="22"/>
        </w:rPr>
      </w:pPr>
    </w:p>
    <w:p w14:paraId="399323A7" w14:textId="77777777" w:rsidR="004462A0" w:rsidRPr="008912CF" w:rsidRDefault="004462A0" w:rsidP="004462A0">
      <w:pPr>
        <w:tabs>
          <w:tab w:val="left" w:pos="720"/>
        </w:tabs>
        <w:ind w:right="1416"/>
        <w:jc w:val="center"/>
        <w:outlineLvl w:val="0"/>
        <w:rPr>
          <w:b/>
          <w:sz w:val="22"/>
          <w:szCs w:val="22"/>
        </w:rPr>
      </w:pPr>
    </w:p>
    <w:p w14:paraId="5CCB7EC7" w14:textId="77777777" w:rsidR="004462A0" w:rsidRPr="008912CF" w:rsidRDefault="004462A0" w:rsidP="004462A0">
      <w:pPr>
        <w:tabs>
          <w:tab w:val="left" w:pos="720"/>
        </w:tabs>
        <w:ind w:right="1416"/>
        <w:jc w:val="center"/>
        <w:outlineLvl w:val="0"/>
        <w:rPr>
          <w:b/>
          <w:sz w:val="22"/>
          <w:szCs w:val="22"/>
        </w:rPr>
      </w:pPr>
    </w:p>
    <w:p w14:paraId="05CB9294" w14:textId="77777777" w:rsidR="004462A0" w:rsidRPr="008912CF" w:rsidRDefault="004462A0" w:rsidP="004462A0">
      <w:pPr>
        <w:tabs>
          <w:tab w:val="left" w:pos="720"/>
        </w:tabs>
        <w:ind w:right="1416"/>
        <w:jc w:val="center"/>
        <w:outlineLvl w:val="0"/>
        <w:rPr>
          <w:b/>
          <w:sz w:val="22"/>
          <w:szCs w:val="22"/>
        </w:rPr>
      </w:pPr>
    </w:p>
    <w:p w14:paraId="6DC2FC06" w14:textId="77777777" w:rsidR="004462A0" w:rsidRDefault="004462A0" w:rsidP="004462A0">
      <w:pPr>
        <w:tabs>
          <w:tab w:val="left" w:pos="720"/>
        </w:tabs>
        <w:ind w:right="1416"/>
        <w:jc w:val="center"/>
        <w:outlineLvl w:val="0"/>
        <w:rPr>
          <w:b/>
          <w:sz w:val="22"/>
          <w:szCs w:val="22"/>
        </w:rPr>
      </w:pPr>
    </w:p>
    <w:p w14:paraId="6C4B5E39" w14:textId="77777777" w:rsidR="004462A0" w:rsidRPr="008912CF" w:rsidRDefault="004462A0" w:rsidP="004462A0">
      <w:pPr>
        <w:tabs>
          <w:tab w:val="left" w:pos="720"/>
        </w:tabs>
        <w:ind w:right="1416"/>
        <w:jc w:val="center"/>
        <w:outlineLvl w:val="0"/>
        <w:rPr>
          <w:b/>
          <w:sz w:val="22"/>
          <w:szCs w:val="22"/>
        </w:rPr>
      </w:pPr>
    </w:p>
    <w:p w14:paraId="226AAE37" w14:textId="77777777" w:rsidR="004462A0" w:rsidRPr="008912CF" w:rsidRDefault="004462A0" w:rsidP="004462A0">
      <w:pPr>
        <w:tabs>
          <w:tab w:val="left" w:pos="720"/>
        </w:tabs>
        <w:ind w:right="1416"/>
        <w:jc w:val="center"/>
        <w:outlineLvl w:val="0"/>
        <w:rPr>
          <w:b/>
          <w:sz w:val="22"/>
          <w:szCs w:val="22"/>
        </w:rPr>
      </w:pPr>
    </w:p>
    <w:p w14:paraId="71AA310B" w14:textId="77777777" w:rsidR="004462A0" w:rsidRPr="008912CF" w:rsidRDefault="00615769" w:rsidP="004462A0">
      <w:pPr>
        <w:tabs>
          <w:tab w:val="left" w:pos="720"/>
        </w:tabs>
        <w:ind w:right="1416"/>
        <w:jc w:val="center"/>
        <w:outlineLvl w:val="0"/>
        <w:rPr>
          <w:b/>
          <w:sz w:val="22"/>
          <w:szCs w:val="22"/>
        </w:rPr>
      </w:pPr>
      <w:r w:rsidRPr="008912CF">
        <w:rPr>
          <w:b/>
          <w:sz w:val="22"/>
          <w:szCs w:val="22"/>
        </w:rPr>
        <w:t>ANEXO II</w:t>
      </w:r>
    </w:p>
    <w:p w14:paraId="292874A0" w14:textId="77777777" w:rsidR="004462A0" w:rsidRPr="008912CF" w:rsidRDefault="004462A0" w:rsidP="004462A0">
      <w:pPr>
        <w:tabs>
          <w:tab w:val="left" w:pos="720"/>
        </w:tabs>
        <w:ind w:left="1701" w:right="1416" w:hanging="567"/>
        <w:rPr>
          <w:sz w:val="22"/>
          <w:szCs w:val="22"/>
        </w:rPr>
      </w:pPr>
    </w:p>
    <w:p w14:paraId="100EDAE5" w14:textId="77777777" w:rsidR="004462A0" w:rsidRPr="008912CF" w:rsidRDefault="00615769" w:rsidP="004462A0">
      <w:pPr>
        <w:numPr>
          <w:ilvl w:val="0"/>
          <w:numId w:val="63"/>
        </w:numPr>
        <w:tabs>
          <w:tab w:val="left" w:pos="720"/>
        </w:tabs>
        <w:ind w:left="1701" w:right="1171"/>
        <w:rPr>
          <w:b/>
          <w:sz w:val="22"/>
          <w:szCs w:val="22"/>
        </w:rPr>
      </w:pPr>
      <w:r w:rsidRPr="008912CF">
        <w:rPr>
          <w:b/>
          <w:sz w:val="22"/>
          <w:szCs w:val="22"/>
        </w:rPr>
        <w:t>FABRICANTES DA SUBSTÂNCIA ATIVA DE ORIGEM BIOLÓGICA E FABRICANTES RESPONSÁVEIS PELA LIBERTAÇÃO DO LOTE</w:t>
      </w:r>
    </w:p>
    <w:p w14:paraId="24F04295" w14:textId="77777777" w:rsidR="004462A0" w:rsidRPr="008912CF" w:rsidRDefault="004462A0" w:rsidP="004462A0">
      <w:pPr>
        <w:tabs>
          <w:tab w:val="left" w:pos="720"/>
        </w:tabs>
        <w:ind w:left="1701" w:right="1416"/>
        <w:rPr>
          <w:sz w:val="22"/>
          <w:szCs w:val="22"/>
        </w:rPr>
      </w:pPr>
    </w:p>
    <w:p w14:paraId="30371B3B" w14:textId="77777777" w:rsidR="004462A0" w:rsidRPr="008912CF" w:rsidRDefault="00615769" w:rsidP="004462A0">
      <w:pPr>
        <w:numPr>
          <w:ilvl w:val="0"/>
          <w:numId w:val="63"/>
        </w:numPr>
        <w:tabs>
          <w:tab w:val="left" w:pos="720"/>
        </w:tabs>
        <w:ind w:left="1701" w:right="1416"/>
        <w:rPr>
          <w:b/>
          <w:sz w:val="22"/>
          <w:szCs w:val="22"/>
        </w:rPr>
      </w:pPr>
      <w:r w:rsidRPr="008912CF">
        <w:rPr>
          <w:b/>
          <w:sz w:val="22"/>
          <w:szCs w:val="22"/>
        </w:rPr>
        <w:t>CONDIÇÕES OU RESTRIÇÕES RELATIVAS AO FORNECIMENTO E UTILIZAÇÃO</w:t>
      </w:r>
    </w:p>
    <w:p w14:paraId="4D1C7CC0" w14:textId="77777777" w:rsidR="004462A0" w:rsidRPr="008912CF" w:rsidRDefault="004462A0" w:rsidP="004462A0">
      <w:pPr>
        <w:tabs>
          <w:tab w:val="left" w:pos="720"/>
        </w:tabs>
        <w:ind w:right="1416"/>
        <w:rPr>
          <w:b/>
          <w:sz w:val="22"/>
          <w:szCs w:val="22"/>
        </w:rPr>
      </w:pPr>
    </w:p>
    <w:p w14:paraId="58EAB52E" w14:textId="77777777" w:rsidR="004462A0" w:rsidRPr="008912CF" w:rsidRDefault="00615769" w:rsidP="004462A0">
      <w:pPr>
        <w:numPr>
          <w:ilvl w:val="0"/>
          <w:numId w:val="63"/>
        </w:numPr>
        <w:tabs>
          <w:tab w:val="left" w:pos="720"/>
        </w:tabs>
        <w:ind w:left="1701" w:right="1416"/>
        <w:rPr>
          <w:b/>
          <w:bCs/>
          <w:sz w:val="22"/>
          <w:szCs w:val="22"/>
        </w:rPr>
      </w:pPr>
      <w:r w:rsidRPr="008912CF">
        <w:rPr>
          <w:b/>
          <w:bCs/>
          <w:sz w:val="22"/>
          <w:szCs w:val="22"/>
        </w:rPr>
        <w:t>OUTRAS CONDIÇÕES E REQUISITOS DA AUTORIZAÇÃO DE INTRODUÇÃO NO MERCADO</w:t>
      </w:r>
    </w:p>
    <w:p w14:paraId="3F3580F9" w14:textId="77777777" w:rsidR="004462A0" w:rsidRPr="008912CF" w:rsidRDefault="004462A0" w:rsidP="004462A0">
      <w:pPr>
        <w:tabs>
          <w:tab w:val="left" w:pos="720"/>
        </w:tabs>
        <w:ind w:right="1416"/>
        <w:rPr>
          <w:b/>
          <w:bCs/>
          <w:sz w:val="22"/>
          <w:szCs w:val="22"/>
        </w:rPr>
      </w:pPr>
    </w:p>
    <w:p w14:paraId="02A1B371" w14:textId="77777777" w:rsidR="004462A0" w:rsidRPr="008912CF" w:rsidRDefault="00615769" w:rsidP="004462A0">
      <w:pPr>
        <w:numPr>
          <w:ilvl w:val="0"/>
          <w:numId w:val="63"/>
        </w:numPr>
        <w:tabs>
          <w:tab w:val="left" w:pos="720"/>
        </w:tabs>
        <w:ind w:left="1701" w:right="1416"/>
        <w:rPr>
          <w:b/>
          <w:bCs/>
          <w:sz w:val="22"/>
          <w:szCs w:val="22"/>
        </w:rPr>
      </w:pPr>
      <w:r w:rsidRPr="008912CF">
        <w:rPr>
          <w:b/>
          <w:sz w:val="22"/>
          <w:szCs w:val="22"/>
        </w:rPr>
        <w:t>CONDIÇÕES OU RESTRIÇÕES RELATIVAS Á UTILIZAÇÃO SEGURA E EFICÁCIA DO MEDICAMENTO</w:t>
      </w:r>
    </w:p>
    <w:p w14:paraId="106DA782" w14:textId="77777777" w:rsidR="004462A0" w:rsidRPr="008912CF" w:rsidRDefault="00615769" w:rsidP="004462A0">
      <w:pPr>
        <w:pStyle w:val="BMLeftAligned"/>
        <w:keepNext w:val="0"/>
      </w:pPr>
      <w:r w:rsidRPr="008912CF">
        <w:br w:type="page"/>
        <w:t>A.</w:t>
      </w:r>
      <w:r w:rsidRPr="008912CF">
        <w:tab/>
        <w:t>FABRICANTES DA SUBSTÂNCIA ATIVA DE ORIGEM BIOLÓGICA E FABRICANTES RESPONSÁVEIS PELA LIBERTAÇÃO DO LOTE</w:t>
      </w:r>
    </w:p>
    <w:p w14:paraId="59BFD535" w14:textId="77777777" w:rsidR="004462A0" w:rsidRPr="008912CF" w:rsidRDefault="004462A0" w:rsidP="004462A0">
      <w:pPr>
        <w:tabs>
          <w:tab w:val="left" w:pos="720"/>
        </w:tabs>
        <w:ind w:right="1416"/>
        <w:rPr>
          <w:sz w:val="22"/>
          <w:szCs w:val="22"/>
        </w:rPr>
      </w:pPr>
    </w:p>
    <w:p w14:paraId="2F633ED4" w14:textId="77777777" w:rsidR="004462A0" w:rsidRPr="008912CF" w:rsidRDefault="00615769" w:rsidP="004462A0">
      <w:pPr>
        <w:tabs>
          <w:tab w:val="left" w:pos="720"/>
        </w:tabs>
        <w:outlineLvl w:val="0"/>
        <w:rPr>
          <w:sz w:val="22"/>
          <w:szCs w:val="22"/>
          <w:u w:val="single"/>
        </w:rPr>
      </w:pPr>
      <w:r w:rsidRPr="008912CF">
        <w:rPr>
          <w:sz w:val="22"/>
          <w:szCs w:val="22"/>
          <w:u w:val="single"/>
        </w:rPr>
        <w:t>Nome e endereço do(s) fabricantes da substância ativa de origem biológica</w:t>
      </w:r>
    </w:p>
    <w:p w14:paraId="0D6E0610" w14:textId="77777777" w:rsidR="004462A0" w:rsidRPr="008912CF" w:rsidRDefault="004462A0" w:rsidP="004462A0">
      <w:pPr>
        <w:tabs>
          <w:tab w:val="left" w:pos="720"/>
        </w:tabs>
        <w:ind w:right="1416"/>
        <w:rPr>
          <w:sz w:val="22"/>
          <w:szCs w:val="22"/>
          <w:u w:val="single"/>
        </w:rPr>
      </w:pPr>
    </w:p>
    <w:p w14:paraId="50EB4C62" w14:textId="77777777" w:rsidR="004462A0" w:rsidRPr="007457EC" w:rsidRDefault="00615769" w:rsidP="004462A0">
      <w:pPr>
        <w:tabs>
          <w:tab w:val="left" w:pos="1134"/>
        </w:tabs>
        <w:jc w:val="both"/>
        <w:rPr>
          <w:color w:val="000000"/>
          <w:sz w:val="22"/>
          <w:szCs w:val="22"/>
          <w:lang w:val="en-US"/>
        </w:rPr>
      </w:pPr>
      <w:r w:rsidRPr="007457EC">
        <w:rPr>
          <w:color w:val="000000"/>
          <w:sz w:val="22"/>
          <w:szCs w:val="22"/>
          <w:lang w:val="en-US"/>
        </w:rPr>
        <w:t>AbbVie Bioresearch Center</w:t>
      </w:r>
    </w:p>
    <w:p w14:paraId="6DDE2AC2" w14:textId="77777777" w:rsidR="004462A0" w:rsidRPr="007457EC" w:rsidRDefault="00615769" w:rsidP="004462A0">
      <w:pPr>
        <w:tabs>
          <w:tab w:val="left" w:pos="1134"/>
        </w:tabs>
        <w:jc w:val="both"/>
        <w:rPr>
          <w:color w:val="000000"/>
          <w:sz w:val="22"/>
          <w:szCs w:val="22"/>
          <w:lang w:val="en-US"/>
        </w:rPr>
      </w:pPr>
      <w:r w:rsidRPr="007457EC">
        <w:rPr>
          <w:color w:val="000000"/>
          <w:sz w:val="22"/>
          <w:szCs w:val="22"/>
          <w:lang w:val="en-US"/>
        </w:rPr>
        <w:t>100 Research Drive</w:t>
      </w:r>
    </w:p>
    <w:p w14:paraId="7F1B4889" w14:textId="77777777" w:rsidR="004462A0" w:rsidRPr="007457EC" w:rsidRDefault="00615769" w:rsidP="004462A0">
      <w:pPr>
        <w:tabs>
          <w:tab w:val="left" w:pos="1134"/>
        </w:tabs>
        <w:jc w:val="both"/>
        <w:rPr>
          <w:color w:val="000000"/>
          <w:sz w:val="22"/>
          <w:szCs w:val="22"/>
          <w:lang w:val="en-US"/>
        </w:rPr>
      </w:pPr>
      <w:r w:rsidRPr="007457EC">
        <w:rPr>
          <w:color w:val="000000"/>
          <w:sz w:val="22"/>
          <w:szCs w:val="22"/>
          <w:lang w:val="en-US"/>
        </w:rPr>
        <w:t>Worcester</w:t>
      </w:r>
    </w:p>
    <w:p w14:paraId="54BABDE8" w14:textId="77777777" w:rsidR="004462A0" w:rsidRPr="00140752" w:rsidRDefault="00615769" w:rsidP="004462A0">
      <w:pPr>
        <w:tabs>
          <w:tab w:val="left" w:pos="1134"/>
        </w:tabs>
        <w:jc w:val="both"/>
        <w:rPr>
          <w:color w:val="000000"/>
          <w:sz w:val="22"/>
          <w:szCs w:val="22"/>
          <w:lang w:val="de-DE"/>
        </w:rPr>
      </w:pPr>
      <w:r w:rsidRPr="00140752">
        <w:rPr>
          <w:color w:val="000000"/>
          <w:sz w:val="22"/>
          <w:szCs w:val="22"/>
          <w:lang w:val="de-DE"/>
        </w:rPr>
        <w:t>MA 01605</w:t>
      </w:r>
    </w:p>
    <w:p w14:paraId="1B145D27" w14:textId="77777777" w:rsidR="004462A0" w:rsidRPr="00140752" w:rsidRDefault="00615769" w:rsidP="004462A0">
      <w:pPr>
        <w:tabs>
          <w:tab w:val="left" w:pos="1134"/>
        </w:tabs>
        <w:jc w:val="both"/>
        <w:rPr>
          <w:color w:val="000000"/>
          <w:sz w:val="22"/>
          <w:szCs w:val="22"/>
          <w:lang w:val="de-DE"/>
        </w:rPr>
      </w:pPr>
      <w:r w:rsidRPr="00140752">
        <w:rPr>
          <w:color w:val="000000"/>
          <w:sz w:val="22"/>
          <w:szCs w:val="22"/>
          <w:lang w:val="de-DE"/>
        </w:rPr>
        <w:t>EUA</w:t>
      </w:r>
    </w:p>
    <w:p w14:paraId="77465BE9" w14:textId="77777777" w:rsidR="004462A0" w:rsidRPr="00140752" w:rsidRDefault="004462A0" w:rsidP="004462A0">
      <w:pPr>
        <w:tabs>
          <w:tab w:val="left" w:pos="720"/>
        </w:tabs>
        <w:rPr>
          <w:sz w:val="22"/>
          <w:szCs w:val="22"/>
          <w:lang w:val="de-DE"/>
        </w:rPr>
      </w:pPr>
    </w:p>
    <w:p w14:paraId="6140E311" w14:textId="77777777" w:rsidR="004462A0" w:rsidRPr="00140752" w:rsidRDefault="00615769" w:rsidP="004462A0">
      <w:pPr>
        <w:tabs>
          <w:tab w:val="left" w:pos="720"/>
        </w:tabs>
        <w:rPr>
          <w:sz w:val="22"/>
          <w:szCs w:val="22"/>
          <w:lang w:val="de-DE"/>
        </w:rPr>
      </w:pPr>
      <w:r w:rsidRPr="00140752">
        <w:rPr>
          <w:sz w:val="22"/>
          <w:szCs w:val="22"/>
          <w:lang w:val="de-DE"/>
        </w:rPr>
        <w:t>e</w:t>
      </w:r>
    </w:p>
    <w:p w14:paraId="1153F2E6" w14:textId="77777777" w:rsidR="004462A0" w:rsidRPr="00140752" w:rsidRDefault="004462A0" w:rsidP="004462A0">
      <w:pPr>
        <w:tabs>
          <w:tab w:val="left" w:pos="562"/>
        </w:tabs>
        <w:rPr>
          <w:sz w:val="22"/>
          <w:szCs w:val="22"/>
          <w:lang w:val="de-DE"/>
        </w:rPr>
      </w:pPr>
    </w:p>
    <w:p w14:paraId="5C9A0E5C" w14:textId="77777777" w:rsidR="004462A0" w:rsidRPr="00140752" w:rsidRDefault="00615769" w:rsidP="004462A0">
      <w:pPr>
        <w:tabs>
          <w:tab w:val="left" w:pos="562"/>
        </w:tabs>
        <w:rPr>
          <w:sz w:val="22"/>
          <w:szCs w:val="22"/>
          <w:lang w:val="de-DE"/>
        </w:rPr>
      </w:pPr>
      <w:r w:rsidRPr="00140752">
        <w:rPr>
          <w:sz w:val="22"/>
          <w:szCs w:val="22"/>
          <w:lang w:val="de-DE"/>
        </w:rPr>
        <w:t>AbbVie Biotechnology Ltd.</w:t>
      </w:r>
    </w:p>
    <w:p w14:paraId="1D25D117" w14:textId="77777777" w:rsidR="004462A0" w:rsidRPr="00CB07D4" w:rsidRDefault="00615769" w:rsidP="004462A0">
      <w:pPr>
        <w:pStyle w:val="EMEANormal"/>
        <w:rPr>
          <w:szCs w:val="22"/>
        </w:rPr>
      </w:pPr>
      <w:r w:rsidRPr="00CB07D4">
        <w:rPr>
          <w:szCs w:val="22"/>
        </w:rPr>
        <w:t>Road No. 2, Km. 59.2</w:t>
      </w:r>
    </w:p>
    <w:p w14:paraId="4ED327E3" w14:textId="77777777" w:rsidR="004462A0" w:rsidRPr="008912CF" w:rsidRDefault="00615769" w:rsidP="004462A0">
      <w:pPr>
        <w:tabs>
          <w:tab w:val="left" w:pos="562"/>
        </w:tabs>
        <w:rPr>
          <w:sz w:val="22"/>
          <w:szCs w:val="22"/>
        </w:rPr>
      </w:pPr>
      <w:r w:rsidRPr="008912CF">
        <w:rPr>
          <w:sz w:val="22"/>
          <w:szCs w:val="22"/>
        </w:rPr>
        <w:t>Barceloneta</w:t>
      </w:r>
    </w:p>
    <w:p w14:paraId="15AE02B7" w14:textId="77777777" w:rsidR="004462A0" w:rsidRPr="008912CF" w:rsidRDefault="00615769" w:rsidP="004462A0">
      <w:pPr>
        <w:pStyle w:val="EndnoteText"/>
        <w:tabs>
          <w:tab w:val="clear" w:pos="567"/>
          <w:tab w:val="left" w:pos="720"/>
        </w:tabs>
        <w:rPr>
          <w:szCs w:val="22"/>
        </w:rPr>
      </w:pPr>
      <w:r w:rsidRPr="008912CF">
        <w:rPr>
          <w:szCs w:val="22"/>
        </w:rPr>
        <w:t>Porto Rico 00617</w:t>
      </w:r>
    </w:p>
    <w:p w14:paraId="4FAAD263" w14:textId="77777777" w:rsidR="004462A0" w:rsidRPr="008912CF" w:rsidRDefault="004462A0" w:rsidP="004462A0">
      <w:pPr>
        <w:rPr>
          <w:sz w:val="22"/>
          <w:szCs w:val="22"/>
        </w:rPr>
      </w:pPr>
    </w:p>
    <w:p w14:paraId="67560ABC" w14:textId="77777777" w:rsidR="004462A0" w:rsidRPr="008912CF" w:rsidRDefault="00615769" w:rsidP="004462A0">
      <w:pPr>
        <w:rPr>
          <w:sz w:val="22"/>
          <w:szCs w:val="22"/>
        </w:rPr>
      </w:pPr>
      <w:r w:rsidRPr="008912CF">
        <w:rPr>
          <w:sz w:val="22"/>
          <w:szCs w:val="22"/>
        </w:rPr>
        <w:t>e</w:t>
      </w:r>
    </w:p>
    <w:p w14:paraId="6AE6C847" w14:textId="77777777" w:rsidR="004462A0" w:rsidRPr="008912CF" w:rsidRDefault="004462A0" w:rsidP="004462A0">
      <w:pPr>
        <w:rPr>
          <w:sz w:val="22"/>
          <w:szCs w:val="22"/>
        </w:rPr>
      </w:pPr>
    </w:p>
    <w:p w14:paraId="329E40E8" w14:textId="77777777" w:rsidR="004462A0" w:rsidRPr="008912CF" w:rsidRDefault="00615769" w:rsidP="004462A0">
      <w:pPr>
        <w:rPr>
          <w:sz w:val="22"/>
          <w:szCs w:val="22"/>
        </w:rPr>
      </w:pPr>
      <w:r w:rsidRPr="008912CF">
        <w:rPr>
          <w:sz w:val="22"/>
          <w:szCs w:val="22"/>
        </w:rPr>
        <w:t>Lonza Biologics Tuas PTE Ltd</w:t>
      </w:r>
    </w:p>
    <w:p w14:paraId="7C2CDA85" w14:textId="77777777" w:rsidR="004462A0" w:rsidRPr="00DE0117" w:rsidRDefault="00615769" w:rsidP="004462A0">
      <w:pPr>
        <w:rPr>
          <w:sz w:val="22"/>
          <w:szCs w:val="22"/>
          <w:lang w:val="en-US"/>
        </w:rPr>
      </w:pPr>
      <w:r w:rsidRPr="00DE0117">
        <w:rPr>
          <w:sz w:val="22"/>
          <w:szCs w:val="22"/>
          <w:lang w:val="en-US"/>
        </w:rPr>
        <w:t>35 Tuas South Ave 6</w:t>
      </w:r>
    </w:p>
    <w:p w14:paraId="5FC82324" w14:textId="77777777" w:rsidR="004462A0" w:rsidRPr="008D6D3A" w:rsidRDefault="00615769" w:rsidP="004462A0">
      <w:pPr>
        <w:rPr>
          <w:sz w:val="22"/>
          <w:szCs w:val="22"/>
          <w:lang w:val="en-US"/>
        </w:rPr>
      </w:pPr>
      <w:r w:rsidRPr="008D6D3A">
        <w:rPr>
          <w:sz w:val="22"/>
          <w:szCs w:val="22"/>
          <w:lang w:val="en-US"/>
        </w:rPr>
        <w:t>Singapura 637377</w:t>
      </w:r>
    </w:p>
    <w:p w14:paraId="1BF8FB9D" w14:textId="77777777" w:rsidR="00CB1DC5" w:rsidRPr="008D6D3A" w:rsidRDefault="00CB1DC5" w:rsidP="004462A0">
      <w:pPr>
        <w:rPr>
          <w:sz w:val="22"/>
          <w:szCs w:val="22"/>
          <w:lang w:val="en-US"/>
        </w:rPr>
      </w:pPr>
    </w:p>
    <w:p w14:paraId="39D98037" w14:textId="77777777" w:rsidR="00CB1DC5" w:rsidRPr="008D6D3A" w:rsidRDefault="00615769" w:rsidP="004462A0">
      <w:pPr>
        <w:rPr>
          <w:sz w:val="22"/>
          <w:szCs w:val="22"/>
          <w:lang w:val="en-US"/>
        </w:rPr>
      </w:pPr>
      <w:r w:rsidRPr="008D6D3A">
        <w:rPr>
          <w:sz w:val="22"/>
          <w:szCs w:val="22"/>
          <w:lang w:val="en-US"/>
        </w:rPr>
        <w:t>e</w:t>
      </w:r>
    </w:p>
    <w:p w14:paraId="68189113" w14:textId="77777777" w:rsidR="00CB1DC5" w:rsidRPr="008D6D3A" w:rsidRDefault="00CB1DC5" w:rsidP="004462A0">
      <w:pPr>
        <w:rPr>
          <w:sz w:val="22"/>
          <w:szCs w:val="22"/>
          <w:lang w:val="en-US"/>
        </w:rPr>
      </w:pPr>
    </w:p>
    <w:p w14:paraId="1182709A" w14:textId="77777777" w:rsidR="00CB1DC5" w:rsidRPr="008D6D3A" w:rsidRDefault="00615769" w:rsidP="00CB1DC5">
      <w:pPr>
        <w:tabs>
          <w:tab w:val="left" w:pos="562"/>
        </w:tabs>
        <w:suppressAutoHyphens/>
        <w:rPr>
          <w:rFonts w:eastAsia="Times New Roman"/>
          <w:bCs/>
          <w:sz w:val="22"/>
          <w:szCs w:val="22"/>
          <w:lang w:val="en-US"/>
        </w:rPr>
      </w:pPr>
      <w:r w:rsidRPr="008D6D3A">
        <w:rPr>
          <w:rFonts w:eastAsia="Times New Roman"/>
          <w:bCs/>
          <w:sz w:val="22"/>
          <w:szCs w:val="22"/>
          <w:lang w:val="en-US"/>
        </w:rPr>
        <w:t>AbbVie Operations Singapore PTE Ltd</w:t>
      </w:r>
    </w:p>
    <w:p w14:paraId="54269099" w14:textId="77777777" w:rsidR="00CB1DC5" w:rsidRPr="00CB1DC5" w:rsidRDefault="00615769" w:rsidP="00CB1DC5">
      <w:pPr>
        <w:tabs>
          <w:tab w:val="left" w:pos="562"/>
        </w:tabs>
        <w:suppressAutoHyphens/>
        <w:rPr>
          <w:rFonts w:eastAsia="Times New Roman"/>
          <w:bCs/>
          <w:sz w:val="22"/>
          <w:szCs w:val="22"/>
          <w:lang w:val="en-US"/>
        </w:rPr>
      </w:pPr>
      <w:r w:rsidRPr="00CB1DC5">
        <w:rPr>
          <w:rFonts w:eastAsia="Times New Roman"/>
          <w:bCs/>
          <w:sz w:val="22"/>
          <w:szCs w:val="22"/>
          <w:lang w:val="en-US"/>
        </w:rPr>
        <w:t>23 Tuas South Avenue 6</w:t>
      </w:r>
    </w:p>
    <w:p w14:paraId="66861073" w14:textId="77777777" w:rsidR="00CB1DC5" w:rsidRPr="008912CF" w:rsidRDefault="00615769" w:rsidP="00276E13">
      <w:pPr>
        <w:rPr>
          <w:sz w:val="22"/>
          <w:szCs w:val="22"/>
        </w:rPr>
      </w:pPr>
      <w:r w:rsidRPr="00DE0117">
        <w:rPr>
          <w:rFonts w:eastAsia="Times New Roman"/>
          <w:bCs/>
          <w:sz w:val="22"/>
          <w:szCs w:val="22"/>
        </w:rPr>
        <w:t>Singap</w:t>
      </w:r>
      <w:r w:rsidR="00D57834" w:rsidRPr="00DE0117">
        <w:rPr>
          <w:rFonts w:eastAsia="Times New Roman"/>
          <w:bCs/>
          <w:sz w:val="22"/>
          <w:szCs w:val="22"/>
        </w:rPr>
        <w:t>ura</w:t>
      </w:r>
      <w:r w:rsidRPr="00DE0117">
        <w:rPr>
          <w:rFonts w:eastAsia="Times New Roman"/>
          <w:bCs/>
          <w:sz w:val="22"/>
          <w:szCs w:val="22"/>
        </w:rPr>
        <w:t xml:space="preserve"> 637022</w:t>
      </w:r>
    </w:p>
    <w:p w14:paraId="403207EF" w14:textId="77777777" w:rsidR="004462A0" w:rsidRPr="008912CF" w:rsidRDefault="004462A0" w:rsidP="004462A0">
      <w:pPr>
        <w:rPr>
          <w:sz w:val="22"/>
          <w:szCs w:val="22"/>
        </w:rPr>
      </w:pPr>
    </w:p>
    <w:p w14:paraId="5A6734D6" w14:textId="77777777" w:rsidR="004462A0" w:rsidRPr="008912CF" w:rsidRDefault="00615769" w:rsidP="00987CB6">
      <w:pPr>
        <w:tabs>
          <w:tab w:val="left" w:pos="720"/>
        </w:tabs>
        <w:outlineLvl w:val="0"/>
        <w:rPr>
          <w:sz w:val="22"/>
          <w:szCs w:val="22"/>
        </w:rPr>
      </w:pPr>
      <w:r w:rsidRPr="008912CF">
        <w:rPr>
          <w:sz w:val="22"/>
          <w:szCs w:val="22"/>
          <w:u w:val="single"/>
        </w:rPr>
        <w:t>Nome e endereço do fabricante responsáve</w:t>
      </w:r>
      <w:r w:rsidR="00C87A4D">
        <w:rPr>
          <w:sz w:val="22"/>
          <w:szCs w:val="22"/>
          <w:u w:val="single"/>
        </w:rPr>
        <w:t>l</w:t>
      </w:r>
      <w:r w:rsidRPr="008912CF">
        <w:rPr>
          <w:sz w:val="22"/>
          <w:szCs w:val="22"/>
          <w:u w:val="single"/>
        </w:rPr>
        <w:t xml:space="preserve"> pela libertação do lote</w:t>
      </w:r>
    </w:p>
    <w:p w14:paraId="4462EDDA" w14:textId="77777777" w:rsidR="004462A0" w:rsidRPr="008D6D3A" w:rsidRDefault="004462A0" w:rsidP="004462A0">
      <w:pPr>
        <w:numPr>
          <w:ilvl w:val="12"/>
          <w:numId w:val="0"/>
        </w:numPr>
        <w:tabs>
          <w:tab w:val="left" w:pos="720"/>
        </w:tabs>
        <w:suppressAutoHyphens/>
        <w:rPr>
          <w:sz w:val="22"/>
          <w:lang w:val="de-CH"/>
        </w:rPr>
      </w:pPr>
    </w:p>
    <w:p w14:paraId="224BA48E" w14:textId="77777777" w:rsidR="004462A0" w:rsidRPr="008D6D3A" w:rsidRDefault="00615769" w:rsidP="004462A0">
      <w:pPr>
        <w:tabs>
          <w:tab w:val="left" w:pos="562"/>
        </w:tabs>
        <w:suppressAutoHyphens/>
        <w:rPr>
          <w:sz w:val="22"/>
          <w:lang w:val="de-CH"/>
        </w:rPr>
      </w:pPr>
      <w:r w:rsidRPr="008D6D3A">
        <w:rPr>
          <w:sz w:val="22"/>
          <w:lang w:val="de-CH"/>
        </w:rPr>
        <w:t>AbbVie Biotechnology GmbH</w:t>
      </w:r>
    </w:p>
    <w:p w14:paraId="4AF4A5B1" w14:textId="77777777" w:rsidR="004462A0" w:rsidRPr="00987CB6" w:rsidRDefault="00615769" w:rsidP="004462A0">
      <w:pPr>
        <w:numPr>
          <w:ilvl w:val="12"/>
          <w:numId w:val="0"/>
        </w:numPr>
        <w:tabs>
          <w:tab w:val="left" w:pos="720"/>
        </w:tabs>
        <w:suppressAutoHyphens/>
        <w:rPr>
          <w:sz w:val="22"/>
          <w:lang w:val="en-US"/>
        </w:rPr>
      </w:pPr>
      <w:r w:rsidRPr="00987CB6">
        <w:rPr>
          <w:sz w:val="22"/>
          <w:lang w:val="en-US"/>
        </w:rPr>
        <w:t>Knollstrasse</w:t>
      </w:r>
    </w:p>
    <w:p w14:paraId="2685436E" w14:textId="77777777" w:rsidR="004462A0" w:rsidRPr="00987CB6" w:rsidRDefault="00615769" w:rsidP="004462A0">
      <w:pPr>
        <w:numPr>
          <w:ilvl w:val="12"/>
          <w:numId w:val="0"/>
        </w:numPr>
        <w:tabs>
          <w:tab w:val="left" w:pos="720"/>
        </w:tabs>
        <w:suppressAutoHyphens/>
        <w:rPr>
          <w:sz w:val="22"/>
          <w:lang w:val="en-US"/>
        </w:rPr>
      </w:pPr>
      <w:r w:rsidRPr="00987CB6">
        <w:rPr>
          <w:sz w:val="22"/>
          <w:lang w:val="en-US"/>
        </w:rPr>
        <w:t>67061 Ludwigshafen</w:t>
      </w:r>
    </w:p>
    <w:p w14:paraId="61789B6A" w14:textId="77777777" w:rsidR="004462A0" w:rsidRPr="00987CB6" w:rsidRDefault="00615769" w:rsidP="004462A0">
      <w:pPr>
        <w:numPr>
          <w:ilvl w:val="12"/>
          <w:numId w:val="0"/>
        </w:numPr>
        <w:tabs>
          <w:tab w:val="left" w:pos="720"/>
        </w:tabs>
        <w:suppressAutoHyphens/>
        <w:rPr>
          <w:sz w:val="22"/>
          <w:lang w:val="en-US"/>
        </w:rPr>
      </w:pPr>
      <w:r w:rsidRPr="00987CB6">
        <w:rPr>
          <w:sz w:val="22"/>
          <w:lang w:val="en-US"/>
        </w:rPr>
        <w:t>Alemanha</w:t>
      </w:r>
    </w:p>
    <w:p w14:paraId="6AEF2425" w14:textId="77777777" w:rsidR="004462A0" w:rsidRPr="00C87A4D" w:rsidRDefault="004462A0" w:rsidP="004462A0">
      <w:pPr>
        <w:tabs>
          <w:tab w:val="left" w:pos="720"/>
        </w:tabs>
        <w:rPr>
          <w:sz w:val="22"/>
          <w:szCs w:val="22"/>
          <w:lang w:val="en-US"/>
        </w:rPr>
      </w:pPr>
    </w:p>
    <w:p w14:paraId="734A9C32" w14:textId="77777777" w:rsidR="004462A0" w:rsidRPr="00C87A4D" w:rsidRDefault="004462A0" w:rsidP="004462A0">
      <w:pPr>
        <w:tabs>
          <w:tab w:val="left" w:pos="720"/>
        </w:tabs>
        <w:rPr>
          <w:sz w:val="22"/>
          <w:szCs w:val="22"/>
          <w:lang w:val="en-US"/>
        </w:rPr>
      </w:pPr>
    </w:p>
    <w:p w14:paraId="105714A4" w14:textId="77777777" w:rsidR="004462A0" w:rsidRPr="008912CF" w:rsidRDefault="00615769" w:rsidP="004462A0">
      <w:pPr>
        <w:pStyle w:val="BMLeftAligned"/>
        <w:keepNext w:val="0"/>
      </w:pPr>
      <w:r w:rsidRPr="008912CF">
        <w:t>B.</w:t>
      </w:r>
      <w:r w:rsidRPr="008912CF">
        <w:tab/>
        <w:t>CONDIÇÕES OU RESTRIÇÕES RELATIVAS AO FORNECIMENTO E UTILIZAÇÃO</w:t>
      </w:r>
    </w:p>
    <w:p w14:paraId="77BF8F66" w14:textId="77777777" w:rsidR="004462A0" w:rsidRPr="008912CF" w:rsidRDefault="004462A0" w:rsidP="004462A0">
      <w:pPr>
        <w:tabs>
          <w:tab w:val="left" w:pos="720"/>
        </w:tabs>
        <w:rPr>
          <w:sz w:val="22"/>
          <w:szCs w:val="22"/>
        </w:rPr>
      </w:pPr>
    </w:p>
    <w:p w14:paraId="0AED2243" w14:textId="77777777" w:rsidR="004462A0" w:rsidRPr="008912CF" w:rsidRDefault="00615769" w:rsidP="004462A0">
      <w:pPr>
        <w:tabs>
          <w:tab w:val="left" w:pos="720"/>
        </w:tabs>
        <w:rPr>
          <w:sz w:val="22"/>
          <w:szCs w:val="22"/>
        </w:rPr>
      </w:pPr>
      <w:r w:rsidRPr="008912CF">
        <w:rPr>
          <w:sz w:val="22"/>
          <w:szCs w:val="22"/>
        </w:rPr>
        <w:t>Medicamento de receita médica restrita, de utilização reservada a certos meios especializados (ver anexo I: Resumo das Características do Medicamento, secção 4.2).</w:t>
      </w:r>
    </w:p>
    <w:p w14:paraId="46480E86" w14:textId="77777777" w:rsidR="004462A0" w:rsidRPr="008912CF" w:rsidRDefault="004462A0" w:rsidP="004462A0">
      <w:pPr>
        <w:pStyle w:val="Footer"/>
        <w:tabs>
          <w:tab w:val="clear" w:pos="4320"/>
          <w:tab w:val="clear" w:pos="8640"/>
          <w:tab w:val="left" w:pos="720"/>
        </w:tabs>
        <w:rPr>
          <w:sz w:val="22"/>
          <w:szCs w:val="22"/>
        </w:rPr>
      </w:pPr>
    </w:p>
    <w:p w14:paraId="55620EA2" w14:textId="77777777" w:rsidR="004462A0" w:rsidRPr="008912CF" w:rsidRDefault="004462A0" w:rsidP="004462A0">
      <w:pPr>
        <w:pStyle w:val="Footer"/>
        <w:tabs>
          <w:tab w:val="clear" w:pos="4320"/>
          <w:tab w:val="clear" w:pos="8640"/>
          <w:tab w:val="left" w:pos="720"/>
        </w:tabs>
        <w:rPr>
          <w:sz w:val="22"/>
          <w:szCs w:val="22"/>
        </w:rPr>
      </w:pPr>
    </w:p>
    <w:p w14:paraId="2DD84288" w14:textId="77777777" w:rsidR="004462A0" w:rsidRPr="008912CF" w:rsidRDefault="00615769" w:rsidP="00C87A4D">
      <w:pPr>
        <w:pStyle w:val="BMLeftAligned"/>
      </w:pPr>
      <w:r w:rsidRPr="008912CF">
        <w:t>C.</w:t>
      </w:r>
      <w:r w:rsidRPr="008912CF">
        <w:tab/>
        <w:t xml:space="preserve">OUTRAS CONDIÇÕES E REQUISITOS DA AUTORIZAÇÃO DE INTRODUÇÃO NO MERCADO </w:t>
      </w:r>
    </w:p>
    <w:p w14:paraId="5C7D218A" w14:textId="77777777" w:rsidR="004462A0" w:rsidRPr="00431557" w:rsidRDefault="004462A0" w:rsidP="00C87A4D">
      <w:pPr>
        <w:keepNext/>
        <w:numPr>
          <w:ilvl w:val="12"/>
          <w:numId w:val="0"/>
        </w:numPr>
        <w:tabs>
          <w:tab w:val="left" w:pos="720"/>
        </w:tabs>
        <w:rPr>
          <w:sz w:val="22"/>
          <w:szCs w:val="22"/>
        </w:rPr>
      </w:pPr>
    </w:p>
    <w:p w14:paraId="477C8592" w14:textId="77777777" w:rsidR="004462A0" w:rsidRPr="008912CF" w:rsidRDefault="00615769" w:rsidP="00C87A4D">
      <w:pPr>
        <w:keepNext/>
        <w:numPr>
          <w:ilvl w:val="12"/>
          <w:numId w:val="0"/>
        </w:numPr>
        <w:tabs>
          <w:tab w:val="left" w:pos="720"/>
        </w:tabs>
        <w:rPr>
          <w:b/>
          <w:sz w:val="22"/>
          <w:szCs w:val="22"/>
        </w:rPr>
      </w:pPr>
      <w:r w:rsidRPr="008912CF">
        <w:t>•</w:t>
      </w:r>
      <w:r w:rsidRPr="008912CF">
        <w:tab/>
      </w:r>
      <w:r w:rsidRPr="008912CF">
        <w:rPr>
          <w:b/>
          <w:sz w:val="22"/>
          <w:szCs w:val="22"/>
        </w:rPr>
        <w:t xml:space="preserve">Relatórios </w:t>
      </w:r>
      <w:r w:rsidR="00AB53A0">
        <w:rPr>
          <w:b/>
          <w:sz w:val="22"/>
          <w:szCs w:val="22"/>
        </w:rPr>
        <w:t>p</w:t>
      </w:r>
      <w:r w:rsidRPr="008912CF">
        <w:rPr>
          <w:b/>
          <w:sz w:val="22"/>
          <w:szCs w:val="22"/>
        </w:rPr>
        <w:t xml:space="preserve">eriódicos de </w:t>
      </w:r>
      <w:r w:rsidR="00AB53A0">
        <w:rPr>
          <w:b/>
          <w:sz w:val="22"/>
          <w:szCs w:val="22"/>
        </w:rPr>
        <w:t>s</w:t>
      </w:r>
      <w:r w:rsidRPr="008912CF">
        <w:rPr>
          <w:b/>
          <w:sz w:val="22"/>
          <w:szCs w:val="22"/>
        </w:rPr>
        <w:t xml:space="preserve">egurança </w:t>
      </w:r>
      <w:r w:rsidR="00AB53A0">
        <w:rPr>
          <w:b/>
          <w:sz w:val="22"/>
          <w:szCs w:val="22"/>
        </w:rPr>
        <w:t>(RPS)</w:t>
      </w:r>
    </w:p>
    <w:p w14:paraId="0F1D1519" w14:textId="77777777" w:rsidR="004462A0" w:rsidRPr="008912CF" w:rsidRDefault="004462A0" w:rsidP="00C87A4D">
      <w:pPr>
        <w:keepNext/>
        <w:numPr>
          <w:ilvl w:val="12"/>
          <w:numId w:val="0"/>
        </w:numPr>
        <w:tabs>
          <w:tab w:val="left" w:pos="720"/>
        </w:tabs>
      </w:pPr>
    </w:p>
    <w:p w14:paraId="69BF1880" w14:textId="77777777" w:rsidR="004462A0" w:rsidRPr="008912CF" w:rsidRDefault="00615769" w:rsidP="00C87A4D">
      <w:pPr>
        <w:keepNext/>
        <w:numPr>
          <w:ilvl w:val="12"/>
          <w:numId w:val="0"/>
        </w:numPr>
        <w:tabs>
          <w:tab w:val="left" w:pos="720"/>
        </w:tabs>
        <w:rPr>
          <w:sz w:val="22"/>
          <w:szCs w:val="22"/>
        </w:rPr>
      </w:pPr>
      <w:r w:rsidRPr="008912CF">
        <w:rPr>
          <w:sz w:val="22"/>
          <w:szCs w:val="22"/>
        </w:rPr>
        <w:t xml:space="preserve">Os requisitos para a apresentação de </w:t>
      </w:r>
      <w:r w:rsidR="00AB53A0">
        <w:rPr>
          <w:sz w:val="22"/>
          <w:szCs w:val="22"/>
        </w:rPr>
        <w:t>RPS</w:t>
      </w:r>
      <w:r w:rsidRPr="008912CF">
        <w:rPr>
          <w:sz w:val="22"/>
          <w:szCs w:val="22"/>
        </w:rPr>
        <w:t xml:space="preserve"> para este medicamento estão estabelecidos na lista Europeia de datas de referência (lista EURD), tal como previsto nos termos do n.º</w:t>
      </w:r>
      <w:r w:rsidR="00AB53A0">
        <w:rPr>
          <w:sz w:val="22"/>
          <w:szCs w:val="22"/>
        </w:rPr>
        <w:t> </w:t>
      </w:r>
      <w:r w:rsidRPr="008912CF">
        <w:rPr>
          <w:sz w:val="22"/>
          <w:szCs w:val="22"/>
        </w:rPr>
        <w:t>7 do artigo</w:t>
      </w:r>
      <w:r w:rsidR="00AB53A0">
        <w:rPr>
          <w:sz w:val="22"/>
          <w:szCs w:val="22"/>
        </w:rPr>
        <w:t> </w:t>
      </w:r>
      <w:r w:rsidRPr="008912CF">
        <w:rPr>
          <w:sz w:val="22"/>
          <w:szCs w:val="22"/>
        </w:rPr>
        <w:t>107</w:t>
      </w:r>
      <w:r w:rsidR="00AB53A0">
        <w:rPr>
          <w:sz w:val="22"/>
          <w:szCs w:val="22"/>
        </w:rPr>
        <w:t>.º-C</w:t>
      </w:r>
      <w:r w:rsidRPr="008912CF">
        <w:rPr>
          <w:sz w:val="22"/>
          <w:szCs w:val="22"/>
        </w:rPr>
        <w:t xml:space="preserve"> da Diretiva</w:t>
      </w:r>
      <w:r w:rsidR="00AB53A0">
        <w:rPr>
          <w:sz w:val="22"/>
          <w:szCs w:val="22"/>
        </w:rPr>
        <w:t> </w:t>
      </w:r>
      <w:r w:rsidRPr="008912CF">
        <w:rPr>
          <w:sz w:val="22"/>
          <w:szCs w:val="22"/>
        </w:rPr>
        <w:t>2001/83/CE e quaisquer atualizações subsequentes publicadas no portal europeu de medicamentos.</w:t>
      </w:r>
    </w:p>
    <w:p w14:paraId="631BDE15" w14:textId="77777777" w:rsidR="004462A0" w:rsidRPr="008912CF" w:rsidRDefault="004462A0" w:rsidP="004462A0">
      <w:pPr>
        <w:numPr>
          <w:ilvl w:val="12"/>
          <w:numId w:val="0"/>
        </w:numPr>
        <w:tabs>
          <w:tab w:val="left" w:pos="720"/>
        </w:tabs>
        <w:rPr>
          <w:sz w:val="22"/>
          <w:szCs w:val="22"/>
        </w:rPr>
      </w:pPr>
    </w:p>
    <w:p w14:paraId="3F23C7EF" w14:textId="77777777" w:rsidR="004462A0" w:rsidRPr="00F01603" w:rsidRDefault="004462A0" w:rsidP="004462A0">
      <w:pPr>
        <w:suppressLineNumbers/>
        <w:ind w:left="567" w:hanging="567"/>
        <w:rPr>
          <w:bCs/>
          <w:sz w:val="22"/>
          <w:szCs w:val="22"/>
        </w:rPr>
      </w:pPr>
    </w:p>
    <w:p w14:paraId="5ABA02C6" w14:textId="77777777" w:rsidR="004462A0" w:rsidRPr="008912CF" w:rsidRDefault="00615769" w:rsidP="004462A0">
      <w:pPr>
        <w:pStyle w:val="BMLeftAligned"/>
        <w:rPr>
          <w:bCs/>
        </w:rPr>
      </w:pPr>
      <w:r w:rsidRPr="008912CF">
        <w:rPr>
          <w:bCs/>
        </w:rPr>
        <w:t>D.</w:t>
      </w:r>
      <w:r w:rsidRPr="008912CF">
        <w:rPr>
          <w:bCs/>
        </w:rPr>
        <w:tab/>
      </w:r>
      <w:r w:rsidRPr="008912CF">
        <w:t xml:space="preserve">CONDIÇÕES OU RESTRIÇÕES RELATIVAS </w:t>
      </w:r>
      <w:r w:rsidR="00AB53A0">
        <w:t>À</w:t>
      </w:r>
      <w:r w:rsidRPr="008912CF">
        <w:t xml:space="preserve"> UTILIZAÇÃO SEGURA E EFIC</w:t>
      </w:r>
      <w:r w:rsidR="00AB53A0">
        <w:t>AZ</w:t>
      </w:r>
      <w:r w:rsidRPr="008912CF">
        <w:t xml:space="preserve"> DO MEDICAMENTO</w:t>
      </w:r>
    </w:p>
    <w:p w14:paraId="2D0955CD" w14:textId="77777777" w:rsidR="004462A0" w:rsidRPr="008912CF" w:rsidRDefault="004462A0" w:rsidP="004462A0">
      <w:pPr>
        <w:tabs>
          <w:tab w:val="left" w:pos="720"/>
        </w:tabs>
        <w:rPr>
          <w:sz w:val="22"/>
          <w:szCs w:val="22"/>
        </w:rPr>
      </w:pPr>
    </w:p>
    <w:p w14:paraId="5A2D5437" w14:textId="77777777" w:rsidR="004462A0" w:rsidRPr="008912CF" w:rsidRDefault="00615769" w:rsidP="004462A0">
      <w:pPr>
        <w:numPr>
          <w:ilvl w:val="0"/>
          <w:numId w:val="80"/>
        </w:numPr>
        <w:suppressLineNumbers/>
        <w:tabs>
          <w:tab w:val="left" w:pos="567"/>
        </w:tabs>
        <w:spacing w:line="260" w:lineRule="exact"/>
        <w:ind w:left="567" w:right="-1" w:hanging="567"/>
        <w:rPr>
          <w:b/>
          <w:sz w:val="22"/>
          <w:szCs w:val="22"/>
        </w:rPr>
      </w:pPr>
      <w:r w:rsidRPr="008912CF">
        <w:rPr>
          <w:b/>
          <w:sz w:val="22"/>
          <w:szCs w:val="22"/>
        </w:rPr>
        <w:t xml:space="preserve">Plano de </w:t>
      </w:r>
      <w:r w:rsidR="00AB53A0">
        <w:rPr>
          <w:b/>
          <w:sz w:val="22"/>
          <w:szCs w:val="22"/>
        </w:rPr>
        <w:t>g</w:t>
      </w:r>
      <w:r w:rsidRPr="008912CF">
        <w:rPr>
          <w:b/>
          <w:sz w:val="22"/>
          <w:szCs w:val="22"/>
        </w:rPr>
        <w:t xml:space="preserve">estão do </w:t>
      </w:r>
      <w:r w:rsidR="00AB53A0">
        <w:rPr>
          <w:b/>
          <w:sz w:val="22"/>
          <w:szCs w:val="22"/>
        </w:rPr>
        <w:t>r</w:t>
      </w:r>
      <w:r w:rsidRPr="008912CF">
        <w:rPr>
          <w:b/>
          <w:sz w:val="22"/>
          <w:szCs w:val="22"/>
        </w:rPr>
        <w:t>isco (PGR)</w:t>
      </w:r>
    </w:p>
    <w:p w14:paraId="1804AB68" w14:textId="77777777" w:rsidR="004462A0" w:rsidRPr="008912CF" w:rsidRDefault="004462A0" w:rsidP="004462A0">
      <w:pPr>
        <w:ind w:right="-1"/>
        <w:rPr>
          <w:sz w:val="22"/>
          <w:szCs w:val="22"/>
          <w:u w:val="single"/>
        </w:rPr>
      </w:pPr>
    </w:p>
    <w:p w14:paraId="06307E11" w14:textId="77777777" w:rsidR="004462A0" w:rsidRPr="008912CF" w:rsidRDefault="00615769" w:rsidP="004462A0">
      <w:pPr>
        <w:ind w:right="-1"/>
        <w:rPr>
          <w:sz w:val="22"/>
          <w:szCs w:val="22"/>
        </w:rPr>
      </w:pPr>
      <w:r w:rsidRPr="008912CF">
        <w:rPr>
          <w:sz w:val="22"/>
          <w:szCs w:val="22"/>
        </w:rPr>
        <w:t>O Titular da AIM deve efetuar as atividades e as intervenções de farmacovigilância requeridas e detalhadas no PGR apresentado no Módulo</w:t>
      </w:r>
      <w:r w:rsidR="00AB53A0">
        <w:rPr>
          <w:sz w:val="22"/>
          <w:szCs w:val="22"/>
        </w:rPr>
        <w:t> </w:t>
      </w:r>
      <w:r w:rsidRPr="008912CF">
        <w:rPr>
          <w:sz w:val="22"/>
          <w:szCs w:val="22"/>
        </w:rPr>
        <w:t xml:space="preserve">1.8.2. da </w:t>
      </w:r>
      <w:r w:rsidR="00AB53A0">
        <w:rPr>
          <w:sz w:val="22"/>
          <w:szCs w:val="22"/>
        </w:rPr>
        <w:t>a</w:t>
      </w:r>
      <w:r w:rsidRPr="008912CF">
        <w:rPr>
          <w:sz w:val="22"/>
          <w:szCs w:val="22"/>
        </w:rPr>
        <w:t xml:space="preserve">utorização de </w:t>
      </w:r>
      <w:r w:rsidR="00AB53A0">
        <w:rPr>
          <w:sz w:val="22"/>
          <w:szCs w:val="22"/>
        </w:rPr>
        <w:t>i</w:t>
      </w:r>
      <w:r w:rsidRPr="008912CF">
        <w:rPr>
          <w:sz w:val="22"/>
          <w:szCs w:val="22"/>
        </w:rPr>
        <w:t xml:space="preserve">ntrodução no </w:t>
      </w:r>
      <w:r w:rsidR="00AB53A0">
        <w:rPr>
          <w:sz w:val="22"/>
          <w:szCs w:val="22"/>
        </w:rPr>
        <w:t>m</w:t>
      </w:r>
      <w:r w:rsidRPr="008912CF">
        <w:rPr>
          <w:sz w:val="22"/>
          <w:szCs w:val="22"/>
        </w:rPr>
        <w:t xml:space="preserve">ercado, e quaisquer atualizações subsequentes do PGR </w:t>
      </w:r>
      <w:r w:rsidR="00AB53A0">
        <w:rPr>
          <w:sz w:val="22"/>
          <w:szCs w:val="22"/>
        </w:rPr>
        <w:t xml:space="preserve">que sejam </w:t>
      </w:r>
      <w:r w:rsidRPr="008912CF">
        <w:rPr>
          <w:sz w:val="22"/>
          <w:szCs w:val="22"/>
        </w:rPr>
        <w:t>acordadas.</w:t>
      </w:r>
    </w:p>
    <w:p w14:paraId="0D60F805" w14:textId="77777777" w:rsidR="004462A0" w:rsidRPr="008912CF" w:rsidRDefault="004462A0" w:rsidP="004462A0">
      <w:pPr>
        <w:suppressAutoHyphens/>
        <w:ind w:right="14"/>
        <w:rPr>
          <w:b/>
          <w:sz w:val="22"/>
          <w:szCs w:val="22"/>
        </w:rPr>
      </w:pPr>
    </w:p>
    <w:p w14:paraId="5C1780E0" w14:textId="77777777" w:rsidR="004462A0" w:rsidRPr="008912CF" w:rsidRDefault="00615769" w:rsidP="004462A0">
      <w:pPr>
        <w:ind w:right="-1"/>
        <w:rPr>
          <w:i/>
          <w:sz w:val="22"/>
          <w:szCs w:val="22"/>
        </w:rPr>
      </w:pPr>
      <w:r w:rsidRPr="008912CF">
        <w:rPr>
          <w:sz w:val="22"/>
          <w:szCs w:val="22"/>
        </w:rPr>
        <w:t>Deve ser apresentado um PGR atualizado:</w:t>
      </w:r>
    </w:p>
    <w:p w14:paraId="0CB7FFE6" w14:textId="77777777" w:rsidR="004462A0" w:rsidRPr="008912CF" w:rsidRDefault="00615769" w:rsidP="004462A0">
      <w:pPr>
        <w:numPr>
          <w:ilvl w:val="0"/>
          <w:numId w:val="79"/>
        </w:numPr>
        <w:tabs>
          <w:tab w:val="clear" w:pos="720"/>
        </w:tabs>
        <w:ind w:left="567" w:hanging="210"/>
        <w:rPr>
          <w:i/>
          <w:sz w:val="22"/>
          <w:szCs w:val="22"/>
        </w:rPr>
      </w:pPr>
      <w:r w:rsidRPr="008912CF">
        <w:rPr>
          <w:sz w:val="22"/>
          <w:szCs w:val="22"/>
        </w:rPr>
        <w:t>A pedido da Agência Europeia de Medicamentos</w:t>
      </w:r>
    </w:p>
    <w:p w14:paraId="09E0CAF6" w14:textId="77777777" w:rsidR="004462A0" w:rsidRPr="008912CF" w:rsidRDefault="00615769" w:rsidP="004462A0">
      <w:pPr>
        <w:numPr>
          <w:ilvl w:val="0"/>
          <w:numId w:val="79"/>
        </w:numPr>
        <w:tabs>
          <w:tab w:val="clear" w:pos="720"/>
        </w:tabs>
        <w:ind w:left="567" w:right="-143" w:hanging="210"/>
        <w:rPr>
          <w:sz w:val="22"/>
          <w:szCs w:val="22"/>
        </w:rPr>
      </w:pPr>
      <w:r w:rsidRPr="008912CF">
        <w:rPr>
          <w:sz w:val="22"/>
          <w:szCs w:val="22"/>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0FD6FFE2" w14:textId="77777777" w:rsidR="004462A0" w:rsidRPr="008912CF" w:rsidRDefault="004462A0" w:rsidP="004462A0">
      <w:pPr>
        <w:pStyle w:val="Footer"/>
        <w:tabs>
          <w:tab w:val="clear" w:pos="4320"/>
          <w:tab w:val="clear" w:pos="8640"/>
          <w:tab w:val="left" w:pos="720"/>
        </w:tabs>
        <w:rPr>
          <w:sz w:val="22"/>
          <w:szCs w:val="22"/>
        </w:rPr>
      </w:pPr>
    </w:p>
    <w:p w14:paraId="462343A3" w14:textId="77777777" w:rsidR="004462A0" w:rsidRPr="008912CF" w:rsidRDefault="00615769" w:rsidP="004462A0">
      <w:pPr>
        <w:numPr>
          <w:ilvl w:val="0"/>
          <w:numId w:val="64"/>
        </w:numPr>
        <w:tabs>
          <w:tab w:val="left" w:pos="600"/>
        </w:tabs>
        <w:ind w:left="600" w:right="567" w:hanging="600"/>
        <w:rPr>
          <w:sz w:val="22"/>
          <w:szCs w:val="22"/>
        </w:rPr>
      </w:pPr>
      <w:r w:rsidRPr="008912CF">
        <w:rPr>
          <w:b/>
          <w:sz w:val="22"/>
          <w:szCs w:val="22"/>
        </w:rPr>
        <w:t xml:space="preserve">Medidas adicionais de minimização do risco </w:t>
      </w:r>
    </w:p>
    <w:p w14:paraId="51E6A971" w14:textId="77777777" w:rsidR="004462A0" w:rsidRPr="008912CF" w:rsidRDefault="004462A0" w:rsidP="004462A0">
      <w:pPr>
        <w:autoSpaceDE w:val="0"/>
        <w:autoSpaceDN w:val="0"/>
        <w:adjustRightInd w:val="0"/>
        <w:rPr>
          <w:sz w:val="22"/>
          <w:szCs w:val="22"/>
        </w:rPr>
      </w:pPr>
    </w:p>
    <w:p w14:paraId="18FF3D1A" w14:textId="77777777" w:rsidR="004462A0" w:rsidRDefault="00615769" w:rsidP="004462A0">
      <w:pPr>
        <w:autoSpaceDE w:val="0"/>
        <w:autoSpaceDN w:val="0"/>
        <w:adjustRightInd w:val="0"/>
        <w:rPr>
          <w:sz w:val="22"/>
          <w:szCs w:val="22"/>
        </w:rPr>
      </w:pPr>
      <w:r>
        <w:rPr>
          <w:sz w:val="22"/>
          <w:szCs w:val="22"/>
        </w:rPr>
        <w:t xml:space="preserve">O Cartão de Segurança do Doente (adulto e pediátrico) </w:t>
      </w:r>
      <w:r w:rsidR="00C17EC1">
        <w:rPr>
          <w:sz w:val="22"/>
          <w:szCs w:val="22"/>
        </w:rPr>
        <w:t>inclui</w:t>
      </w:r>
      <w:r>
        <w:rPr>
          <w:sz w:val="22"/>
          <w:szCs w:val="22"/>
        </w:rPr>
        <w:t xml:space="preserve"> os seguintes elementos</w:t>
      </w:r>
      <w:r w:rsidR="00C17EC1">
        <w:rPr>
          <w:sz w:val="22"/>
          <w:szCs w:val="22"/>
        </w:rPr>
        <w:t>-</w:t>
      </w:r>
      <w:r>
        <w:rPr>
          <w:sz w:val="22"/>
          <w:szCs w:val="22"/>
        </w:rPr>
        <w:t>chave:</w:t>
      </w:r>
    </w:p>
    <w:p w14:paraId="12D7DB40" w14:textId="77777777" w:rsidR="0057609E" w:rsidRDefault="0057609E" w:rsidP="004462A0">
      <w:pPr>
        <w:autoSpaceDE w:val="0"/>
        <w:autoSpaceDN w:val="0"/>
        <w:adjustRightInd w:val="0"/>
        <w:rPr>
          <w:sz w:val="22"/>
          <w:szCs w:val="22"/>
        </w:rPr>
      </w:pPr>
    </w:p>
    <w:p w14:paraId="7E02E0B1" w14:textId="77777777" w:rsidR="0057609E" w:rsidRDefault="00615769" w:rsidP="001F76D6">
      <w:pPr>
        <w:pStyle w:val="ListParagraph"/>
        <w:numPr>
          <w:ilvl w:val="0"/>
          <w:numId w:val="167"/>
        </w:numPr>
        <w:autoSpaceDE w:val="0"/>
        <w:autoSpaceDN w:val="0"/>
        <w:adjustRightInd w:val="0"/>
        <w:rPr>
          <w:sz w:val="22"/>
          <w:szCs w:val="22"/>
        </w:rPr>
      </w:pPr>
      <w:r w:rsidRPr="001F76D6">
        <w:rPr>
          <w:sz w:val="22"/>
          <w:szCs w:val="22"/>
        </w:rPr>
        <w:t>infeções, incluindo tuberculose</w:t>
      </w:r>
    </w:p>
    <w:p w14:paraId="4F72DA37" w14:textId="77777777" w:rsidR="0057609E" w:rsidRDefault="00615769" w:rsidP="001F76D6">
      <w:pPr>
        <w:pStyle w:val="ListParagraph"/>
        <w:numPr>
          <w:ilvl w:val="0"/>
          <w:numId w:val="167"/>
        </w:numPr>
        <w:autoSpaceDE w:val="0"/>
        <w:autoSpaceDN w:val="0"/>
        <w:adjustRightInd w:val="0"/>
        <w:rPr>
          <w:sz w:val="22"/>
          <w:szCs w:val="22"/>
        </w:rPr>
      </w:pPr>
      <w:r>
        <w:rPr>
          <w:sz w:val="22"/>
          <w:szCs w:val="22"/>
        </w:rPr>
        <w:t>cancro</w:t>
      </w:r>
    </w:p>
    <w:p w14:paraId="042A49D3" w14:textId="77777777" w:rsidR="0057609E" w:rsidRDefault="00615769" w:rsidP="001F76D6">
      <w:pPr>
        <w:pStyle w:val="ListParagraph"/>
        <w:numPr>
          <w:ilvl w:val="0"/>
          <w:numId w:val="167"/>
        </w:numPr>
        <w:autoSpaceDE w:val="0"/>
        <w:autoSpaceDN w:val="0"/>
        <w:adjustRightInd w:val="0"/>
        <w:rPr>
          <w:sz w:val="22"/>
          <w:szCs w:val="22"/>
        </w:rPr>
      </w:pPr>
      <w:r>
        <w:rPr>
          <w:sz w:val="22"/>
          <w:szCs w:val="22"/>
        </w:rPr>
        <w:t>doenças do sistema nervoso</w:t>
      </w:r>
    </w:p>
    <w:p w14:paraId="655ECEF5" w14:textId="77777777" w:rsidR="0057609E" w:rsidRPr="001F76D6" w:rsidRDefault="00615769" w:rsidP="001F76D6">
      <w:pPr>
        <w:pStyle w:val="ListParagraph"/>
        <w:numPr>
          <w:ilvl w:val="0"/>
          <w:numId w:val="167"/>
        </w:numPr>
        <w:autoSpaceDE w:val="0"/>
        <w:autoSpaceDN w:val="0"/>
        <w:adjustRightInd w:val="0"/>
        <w:rPr>
          <w:sz w:val="22"/>
          <w:szCs w:val="22"/>
        </w:rPr>
      </w:pPr>
      <w:r>
        <w:rPr>
          <w:sz w:val="22"/>
          <w:szCs w:val="22"/>
        </w:rPr>
        <w:t>vacinas</w:t>
      </w:r>
    </w:p>
    <w:p w14:paraId="01368CC3" w14:textId="77777777" w:rsidR="004462A0" w:rsidRPr="008912CF" w:rsidRDefault="00615769" w:rsidP="004462A0">
      <w:pPr>
        <w:numPr>
          <w:ilvl w:val="0"/>
          <w:numId w:val="75"/>
        </w:numPr>
        <w:tabs>
          <w:tab w:val="left" w:pos="720"/>
        </w:tabs>
        <w:rPr>
          <w:sz w:val="22"/>
          <w:szCs w:val="22"/>
        </w:rPr>
      </w:pPr>
      <w:r w:rsidRPr="008912CF">
        <w:rPr>
          <w:sz w:val="22"/>
          <w:szCs w:val="22"/>
        </w:rPr>
        <w:br w:type="page"/>
      </w:r>
    </w:p>
    <w:p w14:paraId="24C2BCB4" w14:textId="77777777" w:rsidR="004462A0" w:rsidRPr="008912CF" w:rsidRDefault="004462A0" w:rsidP="004462A0">
      <w:pPr>
        <w:rPr>
          <w:sz w:val="22"/>
          <w:szCs w:val="22"/>
        </w:rPr>
      </w:pPr>
    </w:p>
    <w:p w14:paraId="5DCE1125" w14:textId="77777777" w:rsidR="004462A0" w:rsidRPr="008912CF" w:rsidRDefault="004462A0" w:rsidP="004462A0">
      <w:pPr>
        <w:rPr>
          <w:sz w:val="22"/>
          <w:szCs w:val="22"/>
        </w:rPr>
      </w:pPr>
    </w:p>
    <w:p w14:paraId="45748FEC" w14:textId="77777777" w:rsidR="004462A0" w:rsidRPr="008912CF" w:rsidRDefault="004462A0" w:rsidP="004462A0">
      <w:pPr>
        <w:rPr>
          <w:sz w:val="22"/>
          <w:szCs w:val="22"/>
        </w:rPr>
      </w:pPr>
    </w:p>
    <w:p w14:paraId="23C219DE" w14:textId="77777777" w:rsidR="004462A0" w:rsidRPr="008912CF" w:rsidRDefault="004462A0" w:rsidP="004462A0">
      <w:pPr>
        <w:rPr>
          <w:sz w:val="22"/>
          <w:szCs w:val="22"/>
        </w:rPr>
      </w:pPr>
    </w:p>
    <w:p w14:paraId="686717E9" w14:textId="77777777" w:rsidR="004462A0" w:rsidRPr="008912CF" w:rsidRDefault="004462A0" w:rsidP="004462A0">
      <w:pPr>
        <w:rPr>
          <w:sz w:val="22"/>
          <w:szCs w:val="22"/>
        </w:rPr>
      </w:pPr>
    </w:p>
    <w:p w14:paraId="560D43AC" w14:textId="77777777" w:rsidR="004462A0" w:rsidRPr="008912CF" w:rsidRDefault="004462A0" w:rsidP="004462A0">
      <w:pPr>
        <w:rPr>
          <w:sz w:val="22"/>
          <w:szCs w:val="22"/>
        </w:rPr>
      </w:pPr>
    </w:p>
    <w:p w14:paraId="55EA0B41" w14:textId="77777777" w:rsidR="004462A0" w:rsidRPr="008912CF" w:rsidRDefault="004462A0" w:rsidP="004462A0">
      <w:pPr>
        <w:rPr>
          <w:sz w:val="22"/>
          <w:szCs w:val="22"/>
        </w:rPr>
      </w:pPr>
    </w:p>
    <w:p w14:paraId="0EBE9A6D" w14:textId="77777777" w:rsidR="004462A0" w:rsidRPr="008912CF" w:rsidRDefault="004462A0" w:rsidP="004462A0">
      <w:pPr>
        <w:rPr>
          <w:sz w:val="22"/>
          <w:szCs w:val="22"/>
        </w:rPr>
      </w:pPr>
    </w:p>
    <w:p w14:paraId="41370AF5" w14:textId="77777777" w:rsidR="004462A0" w:rsidRPr="008912CF" w:rsidRDefault="004462A0" w:rsidP="004462A0">
      <w:pPr>
        <w:rPr>
          <w:sz w:val="22"/>
          <w:szCs w:val="22"/>
        </w:rPr>
      </w:pPr>
    </w:p>
    <w:p w14:paraId="77AC3E27" w14:textId="77777777" w:rsidR="004462A0" w:rsidRPr="008912CF" w:rsidRDefault="004462A0" w:rsidP="004462A0">
      <w:pPr>
        <w:rPr>
          <w:sz w:val="22"/>
          <w:szCs w:val="22"/>
        </w:rPr>
      </w:pPr>
    </w:p>
    <w:p w14:paraId="25D9669D" w14:textId="77777777" w:rsidR="004462A0" w:rsidRPr="008912CF" w:rsidRDefault="004462A0" w:rsidP="004462A0">
      <w:pPr>
        <w:rPr>
          <w:sz w:val="22"/>
          <w:szCs w:val="22"/>
        </w:rPr>
      </w:pPr>
    </w:p>
    <w:p w14:paraId="20426609" w14:textId="77777777" w:rsidR="004462A0" w:rsidRPr="008912CF" w:rsidRDefault="004462A0" w:rsidP="004462A0">
      <w:pPr>
        <w:rPr>
          <w:sz w:val="22"/>
          <w:szCs w:val="22"/>
        </w:rPr>
      </w:pPr>
    </w:p>
    <w:p w14:paraId="2E51284F" w14:textId="77777777" w:rsidR="004462A0" w:rsidRPr="008912CF" w:rsidRDefault="004462A0" w:rsidP="004462A0">
      <w:pPr>
        <w:rPr>
          <w:sz w:val="22"/>
          <w:szCs w:val="22"/>
        </w:rPr>
      </w:pPr>
    </w:p>
    <w:p w14:paraId="7A842BA6" w14:textId="77777777" w:rsidR="004462A0" w:rsidRPr="008912CF" w:rsidRDefault="004462A0" w:rsidP="004462A0">
      <w:pPr>
        <w:rPr>
          <w:sz w:val="22"/>
          <w:szCs w:val="22"/>
        </w:rPr>
      </w:pPr>
    </w:p>
    <w:p w14:paraId="3B8B6E0D" w14:textId="77777777" w:rsidR="004462A0" w:rsidRPr="008912CF" w:rsidRDefault="004462A0" w:rsidP="004462A0">
      <w:pPr>
        <w:rPr>
          <w:sz w:val="22"/>
          <w:szCs w:val="22"/>
        </w:rPr>
      </w:pPr>
    </w:p>
    <w:p w14:paraId="6F09AE2E" w14:textId="77777777" w:rsidR="004462A0" w:rsidRPr="008912CF" w:rsidRDefault="004462A0" w:rsidP="004462A0">
      <w:pPr>
        <w:rPr>
          <w:sz w:val="22"/>
          <w:szCs w:val="22"/>
        </w:rPr>
      </w:pPr>
    </w:p>
    <w:p w14:paraId="616C0329" w14:textId="77777777" w:rsidR="004462A0" w:rsidRDefault="004462A0" w:rsidP="004462A0">
      <w:pPr>
        <w:pStyle w:val="EndnoteText"/>
        <w:tabs>
          <w:tab w:val="clear" w:pos="567"/>
        </w:tabs>
        <w:rPr>
          <w:szCs w:val="22"/>
        </w:rPr>
      </w:pPr>
    </w:p>
    <w:p w14:paraId="07C21DD4" w14:textId="77777777" w:rsidR="004462A0" w:rsidRPr="007F544F" w:rsidRDefault="004462A0" w:rsidP="004462A0"/>
    <w:p w14:paraId="3CFF1101" w14:textId="77777777" w:rsidR="004462A0" w:rsidRPr="008912CF" w:rsidRDefault="004462A0" w:rsidP="004462A0">
      <w:pPr>
        <w:rPr>
          <w:sz w:val="22"/>
          <w:szCs w:val="22"/>
        </w:rPr>
      </w:pPr>
    </w:p>
    <w:p w14:paraId="203C15AD" w14:textId="77777777" w:rsidR="004462A0" w:rsidRPr="008912CF" w:rsidRDefault="004462A0" w:rsidP="004462A0">
      <w:pPr>
        <w:rPr>
          <w:sz w:val="22"/>
          <w:szCs w:val="22"/>
        </w:rPr>
      </w:pPr>
    </w:p>
    <w:p w14:paraId="3C185E2C" w14:textId="77777777" w:rsidR="004462A0" w:rsidRPr="008912CF" w:rsidRDefault="004462A0" w:rsidP="004462A0">
      <w:pPr>
        <w:rPr>
          <w:sz w:val="22"/>
          <w:szCs w:val="22"/>
        </w:rPr>
      </w:pPr>
    </w:p>
    <w:p w14:paraId="0DE18D09" w14:textId="77777777" w:rsidR="004462A0" w:rsidRPr="008912CF" w:rsidRDefault="004462A0" w:rsidP="004462A0">
      <w:pPr>
        <w:rPr>
          <w:sz w:val="22"/>
          <w:szCs w:val="22"/>
        </w:rPr>
      </w:pPr>
    </w:p>
    <w:p w14:paraId="20EC5DF3" w14:textId="77777777" w:rsidR="004462A0" w:rsidRPr="008912CF" w:rsidRDefault="004462A0" w:rsidP="004462A0">
      <w:pPr>
        <w:pStyle w:val="EndnoteText"/>
        <w:tabs>
          <w:tab w:val="clear" w:pos="567"/>
        </w:tabs>
        <w:rPr>
          <w:szCs w:val="22"/>
        </w:rPr>
      </w:pPr>
    </w:p>
    <w:p w14:paraId="26DCF84A" w14:textId="77777777" w:rsidR="004462A0" w:rsidRPr="008912CF" w:rsidRDefault="00615769" w:rsidP="004462A0">
      <w:pPr>
        <w:jc w:val="center"/>
        <w:rPr>
          <w:b/>
          <w:sz w:val="22"/>
          <w:szCs w:val="22"/>
        </w:rPr>
      </w:pPr>
      <w:r w:rsidRPr="008912CF">
        <w:rPr>
          <w:b/>
          <w:sz w:val="22"/>
          <w:szCs w:val="22"/>
        </w:rPr>
        <w:t>ANEXO III</w:t>
      </w:r>
    </w:p>
    <w:p w14:paraId="062DED87" w14:textId="77777777" w:rsidR="004462A0" w:rsidRPr="008912CF" w:rsidRDefault="004462A0" w:rsidP="004462A0">
      <w:pPr>
        <w:rPr>
          <w:b/>
          <w:sz w:val="22"/>
          <w:szCs w:val="22"/>
        </w:rPr>
      </w:pPr>
    </w:p>
    <w:p w14:paraId="2AFE01D3" w14:textId="77777777" w:rsidR="004462A0" w:rsidRPr="008912CF" w:rsidRDefault="00615769" w:rsidP="004462A0">
      <w:pPr>
        <w:jc w:val="center"/>
        <w:rPr>
          <w:b/>
          <w:sz w:val="22"/>
          <w:szCs w:val="22"/>
        </w:rPr>
      </w:pPr>
      <w:r w:rsidRPr="008912CF">
        <w:rPr>
          <w:b/>
          <w:sz w:val="22"/>
          <w:szCs w:val="22"/>
        </w:rPr>
        <w:t>ROTULAGEM E FOLHETO INFORMATIVO</w:t>
      </w:r>
    </w:p>
    <w:p w14:paraId="6D98D4D1" w14:textId="77777777" w:rsidR="004462A0" w:rsidRPr="008912CF" w:rsidRDefault="004462A0" w:rsidP="004462A0">
      <w:pPr>
        <w:jc w:val="center"/>
        <w:rPr>
          <w:b/>
          <w:sz w:val="22"/>
          <w:szCs w:val="22"/>
        </w:rPr>
      </w:pPr>
    </w:p>
    <w:p w14:paraId="1B29359D" w14:textId="77777777" w:rsidR="004462A0" w:rsidRPr="008912CF" w:rsidRDefault="00615769" w:rsidP="004462A0">
      <w:pPr>
        <w:jc w:val="center"/>
        <w:rPr>
          <w:b/>
          <w:sz w:val="22"/>
          <w:szCs w:val="22"/>
        </w:rPr>
      </w:pPr>
      <w:r w:rsidRPr="008912CF">
        <w:rPr>
          <w:b/>
          <w:sz w:val="22"/>
          <w:szCs w:val="22"/>
        </w:rPr>
        <w:br w:type="page"/>
      </w:r>
    </w:p>
    <w:p w14:paraId="16FA79DE" w14:textId="77777777" w:rsidR="004462A0" w:rsidRPr="008912CF" w:rsidRDefault="004462A0" w:rsidP="004462A0">
      <w:pPr>
        <w:jc w:val="center"/>
        <w:rPr>
          <w:b/>
          <w:sz w:val="22"/>
          <w:szCs w:val="22"/>
        </w:rPr>
      </w:pPr>
    </w:p>
    <w:p w14:paraId="2221E51C" w14:textId="77777777" w:rsidR="004462A0" w:rsidRPr="008912CF" w:rsidRDefault="004462A0" w:rsidP="004462A0">
      <w:pPr>
        <w:jc w:val="center"/>
        <w:rPr>
          <w:b/>
          <w:sz w:val="22"/>
          <w:szCs w:val="22"/>
        </w:rPr>
      </w:pPr>
    </w:p>
    <w:p w14:paraId="095F2423" w14:textId="77777777" w:rsidR="004462A0" w:rsidRPr="008912CF" w:rsidRDefault="004462A0" w:rsidP="004462A0">
      <w:pPr>
        <w:jc w:val="center"/>
        <w:rPr>
          <w:b/>
          <w:sz w:val="22"/>
          <w:szCs w:val="22"/>
        </w:rPr>
      </w:pPr>
    </w:p>
    <w:p w14:paraId="21FA18B3" w14:textId="77777777" w:rsidR="004462A0" w:rsidRPr="008912CF" w:rsidRDefault="004462A0" w:rsidP="004462A0">
      <w:pPr>
        <w:jc w:val="center"/>
        <w:rPr>
          <w:b/>
          <w:sz w:val="22"/>
          <w:szCs w:val="22"/>
        </w:rPr>
      </w:pPr>
    </w:p>
    <w:p w14:paraId="12925788" w14:textId="77777777" w:rsidR="004462A0" w:rsidRPr="008912CF" w:rsidRDefault="004462A0" w:rsidP="004462A0">
      <w:pPr>
        <w:jc w:val="center"/>
        <w:rPr>
          <w:b/>
          <w:sz w:val="22"/>
          <w:szCs w:val="22"/>
        </w:rPr>
      </w:pPr>
    </w:p>
    <w:p w14:paraId="1334C158" w14:textId="77777777" w:rsidR="004462A0" w:rsidRPr="008912CF" w:rsidRDefault="004462A0" w:rsidP="004462A0">
      <w:pPr>
        <w:jc w:val="center"/>
        <w:rPr>
          <w:b/>
          <w:sz w:val="22"/>
          <w:szCs w:val="22"/>
        </w:rPr>
      </w:pPr>
    </w:p>
    <w:p w14:paraId="69EA04A3" w14:textId="77777777" w:rsidR="004462A0" w:rsidRPr="008912CF" w:rsidRDefault="004462A0" w:rsidP="004462A0">
      <w:pPr>
        <w:jc w:val="center"/>
        <w:rPr>
          <w:b/>
          <w:sz w:val="22"/>
          <w:szCs w:val="22"/>
        </w:rPr>
      </w:pPr>
    </w:p>
    <w:p w14:paraId="51C0DFD8" w14:textId="77777777" w:rsidR="004462A0" w:rsidRPr="008912CF" w:rsidRDefault="004462A0" w:rsidP="004462A0">
      <w:pPr>
        <w:jc w:val="center"/>
        <w:rPr>
          <w:b/>
          <w:sz w:val="22"/>
          <w:szCs w:val="22"/>
        </w:rPr>
      </w:pPr>
    </w:p>
    <w:p w14:paraId="6F583A42" w14:textId="77777777" w:rsidR="004462A0" w:rsidRPr="008912CF" w:rsidRDefault="004462A0" w:rsidP="004462A0">
      <w:pPr>
        <w:jc w:val="center"/>
        <w:rPr>
          <w:b/>
          <w:sz w:val="22"/>
          <w:szCs w:val="22"/>
        </w:rPr>
      </w:pPr>
    </w:p>
    <w:p w14:paraId="26BFD92F" w14:textId="77777777" w:rsidR="004462A0" w:rsidRPr="008912CF" w:rsidRDefault="004462A0" w:rsidP="004462A0">
      <w:pPr>
        <w:jc w:val="center"/>
        <w:rPr>
          <w:b/>
          <w:sz w:val="22"/>
          <w:szCs w:val="22"/>
        </w:rPr>
      </w:pPr>
    </w:p>
    <w:p w14:paraId="28FBA66F" w14:textId="77777777" w:rsidR="004462A0" w:rsidRPr="008912CF" w:rsidRDefault="004462A0" w:rsidP="004462A0">
      <w:pPr>
        <w:jc w:val="center"/>
        <w:rPr>
          <w:b/>
          <w:sz w:val="22"/>
          <w:szCs w:val="22"/>
        </w:rPr>
      </w:pPr>
    </w:p>
    <w:p w14:paraId="592CB94E" w14:textId="77777777" w:rsidR="004462A0" w:rsidRPr="008912CF" w:rsidRDefault="004462A0" w:rsidP="004462A0">
      <w:pPr>
        <w:jc w:val="center"/>
        <w:rPr>
          <w:b/>
          <w:sz w:val="22"/>
          <w:szCs w:val="22"/>
        </w:rPr>
      </w:pPr>
    </w:p>
    <w:p w14:paraId="23CDBC08" w14:textId="77777777" w:rsidR="004462A0" w:rsidRPr="008912CF" w:rsidRDefault="004462A0" w:rsidP="004462A0">
      <w:pPr>
        <w:jc w:val="center"/>
        <w:rPr>
          <w:b/>
          <w:sz w:val="22"/>
          <w:szCs w:val="22"/>
        </w:rPr>
      </w:pPr>
    </w:p>
    <w:p w14:paraId="26B33874" w14:textId="77777777" w:rsidR="004462A0" w:rsidRPr="008912CF" w:rsidRDefault="004462A0" w:rsidP="004462A0">
      <w:pPr>
        <w:jc w:val="center"/>
        <w:rPr>
          <w:b/>
          <w:sz w:val="22"/>
          <w:szCs w:val="22"/>
        </w:rPr>
      </w:pPr>
    </w:p>
    <w:p w14:paraId="448980CC" w14:textId="77777777" w:rsidR="004462A0" w:rsidRPr="008912CF" w:rsidRDefault="004462A0" w:rsidP="004462A0">
      <w:pPr>
        <w:jc w:val="center"/>
        <w:rPr>
          <w:b/>
          <w:sz w:val="22"/>
          <w:szCs w:val="22"/>
        </w:rPr>
      </w:pPr>
    </w:p>
    <w:p w14:paraId="6A1EF6F6" w14:textId="77777777" w:rsidR="004462A0" w:rsidRPr="008912CF" w:rsidRDefault="004462A0" w:rsidP="004462A0">
      <w:pPr>
        <w:jc w:val="center"/>
        <w:rPr>
          <w:b/>
          <w:sz w:val="22"/>
          <w:szCs w:val="22"/>
        </w:rPr>
      </w:pPr>
    </w:p>
    <w:p w14:paraId="40F527F0" w14:textId="77777777" w:rsidR="004462A0" w:rsidRPr="008912CF" w:rsidRDefault="004462A0" w:rsidP="004462A0">
      <w:pPr>
        <w:jc w:val="center"/>
        <w:rPr>
          <w:b/>
          <w:sz w:val="22"/>
          <w:szCs w:val="22"/>
        </w:rPr>
      </w:pPr>
    </w:p>
    <w:p w14:paraId="180A0399" w14:textId="77777777" w:rsidR="004462A0" w:rsidRDefault="004462A0" w:rsidP="004462A0">
      <w:pPr>
        <w:jc w:val="center"/>
        <w:rPr>
          <w:b/>
          <w:sz w:val="22"/>
          <w:szCs w:val="22"/>
        </w:rPr>
      </w:pPr>
    </w:p>
    <w:p w14:paraId="5338BD27" w14:textId="77777777" w:rsidR="004462A0" w:rsidRPr="008912CF" w:rsidRDefault="004462A0" w:rsidP="004462A0">
      <w:pPr>
        <w:jc w:val="center"/>
        <w:rPr>
          <w:b/>
          <w:sz w:val="22"/>
          <w:szCs w:val="22"/>
        </w:rPr>
      </w:pPr>
    </w:p>
    <w:p w14:paraId="42BD6054" w14:textId="77777777" w:rsidR="004462A0" w:rsidRPr="008912CF" w:rsidRDefault="004462A0" w:rsidP="004462A0">
      <w:pPr>
        <w:jc w:val="center"/>
        <w:rPr>
          <w:b/>
          <w:sz w:val="22"/>
          <w:szCs w:val="22"/>
        </w:rPr>
      </w:pPr>
    </w:p>
    <w:p w14:paraId="76254437" w14:textId="77777777" w:rsidR="004462A0" w:rsidRPr="008912CF" w:rsidRDefault="004462A0" w:rsidP="004462A0">
      <w:pPr>
        <w:jc w:val="center"/>
        <w:rPr>
          <w:b/>
          <w:sz w:val="22"/>
          <w:szCs w:val="22"/>
        </w:rPr>
      </w:pPr>
    </w:p>
    <w:p w14:paraId="0EB6D9AF" w14:textId="77777777" w:rsidR="004462A0" w:rsidRPr="008912CF" w:rsidRDefault="004462A0" w:rsidP="004462A0">
      <w:pPr>
        <w:jc w:val="center"/>
        <w:rPr>
          <w:b/>
          <w:sz w:val="22"/>
          <w:szCs w:val="22"/>
        </w:rPr>
      </w:pPr>
    </w:p>
    <w:p w14:paraId="17C9D10A" w14:textId="77777777" w:rsidR="004462A0" w:rsidRPr="008912CF" w:rsidRDefault="004462A0" w:rsidP="004462A0">
      <w:pPr>
        <w:jc w:val="center"/>
        <w:rPr>
          <w:b/>
          <w:sz w:val="22"/>
          <w:szCs w:val="22"/>
        </w:rPr>
      </w:pPr>
    </w:p>
    <w:p w14:paraId="34652488" w14:textId="77777777" w:rsidR="004462A0" w:rsidRPr="008912CF" w:rsidRDefault="00615769" w:rsidP="004462A0">
      <w:pPr>
        <w:pStyle w:val="BMCENTRED"/>
        <w:keepNext w:val="0"/>
      </w:pPr>
      <w:r w:rsidRPr="008912CF">
        <w:t>A. ROTULAGEM</w:t>
      </w:r>
    </w:p>
    <w:p w14:paraId="27373C37" w14:textId="77777777" w:rsidR="002917C9" w:rsidRDefault="00615769">
      <w:pPr>
        <w:spacing w:after="200" w:line="276" w:lineRule="auto"/>
        <w:rPr>
          <w:b/>
          <w:sz w:val="22"/>
          <w:szCs w:val="22"/>
        </w:rPr>
      </w:pPr>
      <w:r>
        <w:rPr>
          <w:b/>
          <w:sz w:val="22"/>
          <w:szCs w:val="22"/>
        </w:rPr>
        <w:br w:type="page"/>
      </w:r>
    </w:p>
    <w:p w14:paraId="0D0DD669" w14:textId="77777777" w:rsidR="006C73C4" w:rsidRPr="008912CF" w:rsidRDefault="00615769" w:rsidP="006C73C4">
      <w:pPr>
        <w:pBdr>
          <w:top w:val="single" w:sz="4" w:space="1" w:color="auto"/>
          <w:left w:val="single" w:sz="4" w:space="4" w:color="auto"/>
          <w:bottom w:val="single" w:sz="4" w:space="1" w:color="auto"/>
          <w:right w:val="single" w:sz="4" w:space="4" w:color="auto"/>
        </w:pBdr>
        <w:tabs>
          <w:tab w:val="left" w:pos="567"/>
        </w:tabs>
        <w:rPr>
          <w:b/>
          <w:sz w:val="22"/>
          <w:szCs w:val="22"/>
        </w:rPr>
      </w:pPr>
      <w:r w:rsidRPr="008912CF">
        <w:rPr>
          <w:b/>
          <w:sz w:val="22"/>
          <w:szCs w:val="22"/>
        </w:rPr>
        <w:t>INDICAÇÕES A INCLUIR NO ACONDICIONAMENTO SECUNDÁRIO</w:t>
      </w:r>
    </w:p>
    <w:p w14:paraId="66E7381C" w14:textId="77777777" w:rsidR="006C73C4" w:rsidRPr="008912CF" w:rsidRDefault="006C73C4" w:rsidP="006C73C4">
      <w:pPr>
        <w:pBdr>
          <w:top w:val="single" w:sz="4" w:space="1" w:color="auto"/>
          <w:left w:val="single" w:sz="4" w:space="4" w:color="auto"/>
          <w:bottom w:val="single" w:sz="4" w:space="1" w:color="auto"/>
          <w:right w:val="single" w:sz="4" w:space="4" w:color="auto"/>
        </w:pBdr>
        <w:tabs>
          <w:tab w:val="left" w:pos="567"/>
        </w:tabs>
        <w:rPr>
          <w:i/>
          <w:iCs/>
          <w:sz w:val="22"/>
          <w:szCs w:val="22"/>
        </w:rPr>
      </w:pPr>
    </w:p>
    <w:p w14:paraId="4F606C54" w14:textId="77777777" w:rsidR="006C73C4" w:rsidRPr="008912CF" w:rsidRDefault="00615769" w:rsidP="006C73C4">
      <w:pPr>
        <w:pStyle w:val="Heading1"/>
        <w:keepNext w:val="0"/>
        <w:rPr>
          <w:caps/>
          <w:szCs w:val="22"/>
        </w:rPr>
      </w:pPr>
      <w:r w:rsidRPr="008912CF">
        <w:rPr>
          <w:caps/>
          <w:szCs w:val="22"/>
        </w:rPr>
        <w:t xml:space="preserve">Embalagem </w:t>
      </w:r>
      <w:r w:rsidR="000E0DB5">
        <w:rPr>
          <w:caps/>
          <w:szCs w:val="22"/>
        </w:rPr>
        <w:t>exterior</w:t>
      </w:r>
    </w:p>
    <w:p w14:paraId="4128AA68" w14:textId="77777777" w:rsidR="006C73C4" w:rsidRPr="008912CF" w:rsidRDefault="006C73C4" w:rsidP="006C73C4">
      <w:pPr>
        <w:tabs>
          <w:tab w:val="left" w:pos="567"/>
        </w:tabs>
        <w:rPr>
          <w:b/>
          <w:sz w:val="22"/>
          <w:szCs w:val="22"/>
        </w:rPr>
      </w:pPr>
    </w:p>
    <w:p w14:paraId="501E3418" w14:textId="77777777" w:rsidR="006C73C4" w:rsidRPr="008912CF" w:rsidRDefault="006C73C4" w:rsidP="006C73C4">
      <w:pPr>
        <w:tabs>
          <w:tab w:val="left" w:pos="567"/>
        </w:tabs>
        <w:rPr>
          <w:b/>
          <w:sz w:val="22"/>
          <w:szCs w:val="22"/>
        </w:rPr>
      </w:pPr>
    </w:p>
    <w:p w14:paraId="31C14E2B" w14:textId="77777777" w:rsidR="006C73C4" w:rsidRPr="008912CF" w:rsidRDefault="00615769" w:rsidP="006C73C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rPr>
      </w:pPr>
      <w:r w:rsidRPr="008912CF">
        <w:rPr>
          <w:b/>
          <w:sz w:val="22"/>
          <w:szCs w:val="22"/>
        </w:rPr>
        <w:t>1.</w:t>
      </w:r>
      <w:r w:rsidRPr="008912CF">
        <w:rPr>
          <w:b/>
          <w:sz w:val="22"/>
          <w:szCs w:val="22"/>
        </w:rPr>
        <w:tab/>
      </w:r>
      <w:r w:rsidRPr="008912CF">
        <w:rPr>
          <w:b/>
          <w:sz w:val="22"/>
          <w:szCs w:val="22"/>
        </w:rPr>
        <w:t>NOME DO MEDICAMENTO</w:t>
      </w:r>
    </w:p>
    <w:p w14:paraId="5FE08C1B" w14:textId="77777777" w:rsidR="006C73C4" w:rsidRPr="008912CF" w:rsidRDefault="006C73C4" w:rsidP="006C73C4">
      <w:pPr>
        <w:tabs>
          <w:tab w:val="left" w:pos="720"/>
        </w:tabs>
        <w:rPr>
          <w:sz w:val="22"/>
          <w:szCs w:val="22"/>
        </w:rPr>
      </w:pPr>
    </w:p>
    <w:p w14:paraId="446BC266" w14:textId="77777777" w:rsidR="006C73C4" w:rsidRPr="008912CF" w:rsidRDefault="00615769" w:rsidP="006C73C4">
      <w:pPr>
        <w:tabs>
          <w:tab w:val="left" w:pos="720"/>
        </w:tabs>
        <w:rPr>
          <w:sz w:val="22"/>
          <w:szCs w:val="22"/>
        </w:rPr>
      </w:pPr>
      <w:r>
        <w:rPr>
          <w:sz w:val="22"/>
          <w:szCs w:val="22"/>
        </w:rPr>
        <w:t>Humira 2</w:t>
      </w:r>
      <w:r w:rsidRPr="008912CF">
        <w:rPr>
          <w:sz w:val="22"/>
          <w:szCs w:val="22"/>
        </w:rPr>
        <w:t xml:space="preserve">0 mg solução para injetáveis </w:t>
      </w:r>
      <w:r>
        <w:rPr>
          <w:sz w:val="22"/>
          <w:szCs w:val="22"/>
        </w:rPr>
        <w:t>em seringa pré-cheia</w:t>
      </w:r>
    </w:p>
    <w:p w14:paraId="750D8DAE" w14:textId="77777777" w:rsidR="006C73C4" w:rsidRPr="008912CF" w:rsidRDefault="00615769" w:rsidP="006C73C4">
      <w:pPr>
        <w:pStyle w:val="EndnoteText"/>
        <w:tabs>
          <w:tab w:val="clear" w:pos="567"/>
          <w:tab w:val="left" w:pos="720"/>
        </w:tabs>
        <w:rPr>
          <w:szCs w:val="22"/>
        </w:rPr>
      </w:pPr>
      <w:r w:rsidRPr="008912CF">
        <w:rPr>
          <w:szCs w:val="22"/>
        </w:rPr>
        <w:t>adalimumab</w:t>
      </w:r>
    </w:p>
    <w:p w14:paraId="2401491E" w14:textId="77777777" w:rsidR="006C73C4" w:rsidRPr="008912CF" w:rsidRDefault="006C73C4" w:rsidP="006C73C4">
      <w:pPr>
        <w:pStyle w:val="EndnoteText"/>
        <w:tabs>
          <w:tab w:val="clear" w:pos="567"/>
          <w:tab w:val="left" w:pos="720"/>
        </w:tabs>
        <w:rPr>
          <w:szCs w:val="22"/>
        </w:rPr>
      </w:pPr>
    </w:p>
    <w:p w14:paraId="605ED5F1" w14:textId="77777777" w:rsidR="006C73C4" w:rsidRPr="008912CF" w:rsidRDefault="006C73C4" w:rsidP="006C73C4">
      <w:pPr>
        <w:rPr>
          <w:sz w:val="22"/>
          <w:szCs w:val="22"/>
        </w:rPr>
      </w:pPr>
    </w:p>
    <w:p w14:paraId="31427AC8" w14:textId="77777777" w:rsidR="006C73C4" w:rsidRPr="008912CF" w:rsidRDefault="00615769" w:rsidP="006C73C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rPr>
      </w:pPr>
      <w:r w:rsidRPr="008912CF">
        <w:rPr>
          <w:b/>
          <w:sz w:val="22"/>
          <w:szCs w:val="22"/>
        </w:rPr>
        <w:t>2.</w:t>
      </w:r>
      <w:r w:rsidRPr="008912CF">
        <w:rPr>
          <w:b/>
          <w:sz w:val="22"/>
          <w:szCs w:val="22"/>
        </w:rPr>
        <w:tab/>
      </w:r>
      <w:r w:rsidRPr="008912CF">
        <w:rPr>
          <w:b/>
          <w:bCs/>
          <w:sz w:val="22"/>
          <w:szCs w:val="22"/>
        </w:rPr>
        <w:t>DESCRIÇÃO DA SUBSTÂNCIA ATIVA</w:t>
      </w:r>
    </w:p>
    <w:p w14:paraId="5E6D2AA3" w14:textId="77777777" w:rsidR="006C73C4" w:rsidRPr="008912CF" w:rsidRDefault="006C73C4" w:rsidP="006C73C4">
      <w:pPr>
        <w:tabs>
          <w:tab w:val="left" w:pos="720"/>
        </w:tabs>
        <w:rPr>
          <w:sz w:val="22"/>
          <w:szCs w:val="22"/>
        </w:rPr>
      </w:pPr>
    </w:p>
    <w:p w14:paraId="1D09A335" w14:textId="77777777" w:rsidR="006C73C4" w:rsidRPr="008912CF" w:rsidRDefault="00615769" w:rsidP="006C73C4">
      <w:pPr>
        <w:tabs>
          <w:tab w:val="left" w:pos="720"/>
        </w:tabs>
        <w:rPr>
          <w:sz w:val="22"/>
          <w:szCs w:val="22"/>
        </w:rPr>
      </w:pPr>
      <w:r w:rsidRPr="008912CF">
        <w:rPr>
          <w:sz w:val="22"/>
          <w:szCs w:val="22"/>
        </w:rPr>
        <w:t>Um</w:t>
      </w:r>
      <w:r>
        <w:rPr>
          <w:sz w:val="22"/>
          <w:szCs w:val="22"/>
        </w:rPr>
        <w:t>a seringa pré-cheia de 0,2</w:t>
      </w:r>
      <w:r w:rsidR="000E0DB5">
        <w:rPr>
          <w:sz w:val="22"/>
          <w:szCs w:val="22"/>
        </w:rPr>
        <w:t> </w:t>
      </w:r>
      <w:r>
        <w:rPr>
          <w:sz w:val="22"/>
          <w:szCs w:val="22"/>
        </w:rPr>
        <w:t xml:space="preserve">ml </w:t>
      </w:r>
      <w:r w:rsidRPr="008912CF">
        <w:rPr>
          <w:sz w:val="22"/>
          <w:szCs w:val="22"/>
        </w:rPr>
        <w:t xml:space="preserve">contém </w:t>
      </w:r>
      <w:r>
        <w:rPr>
          <w:sz w:val="22"/>
          <w:szCs w:val="22"/>
        </w:rPr>
        <w:t>2</w:t>
      </w:r>
      <w:r w:rsidRPr="008912CF">
        <w:rPr>
          <w:sz w:val="22"/>
          <w:szCs w:val="22"/>
        </w:rPr>
        <w:t>0 mg de adalimumab</w:t>
      </w:r>
      <w:r w:rsidR="00800A92">
        <w:rPr>
          <w:sz w:val="22"/>
          <w:szCs w:val="22"/>
        </w:rPr>
        <w:t>.</w:t>
      </w:r>
    </w:p>
    <w:p w14:paraId="15C6E2A0" w14:textId="77777777" w:rsidR="006C73C4" w:rsidRPr="008912CF" w:rsidRDefault="006C73C4" w:rsidP="006C73C4">
      <w:pPr>
        <w:tabs>
          <w:tab w:val="left" w:pos="720"/>
        </w:tabs>
        <w:rPr>
          <w:sz w:val="22"/>
          <w:szCs w:val="22"/>
        </w:rPr>
      </w:pPr>
    </w:p>
    <w:p w14:paraId="09F0DAB6" w14:textId="77777777" w:rsidR="006C73C4" w:rsidRPr="008912CF" w:rsidRDefault="006C73C4" w:rsidP="006C73C4">
      <w:pPr>
        <w:tabs>
          <w:tab w:val="left" w:pos="720"/>
        </w:tabs>
        <w:rPr>
          <w:sz w:val="22"/>
          <w:szCs w:val="22"/>
        </w:rPr>
      </w:pPr>
    </w:p>
    <w:p w14:paraId="78032FA3" w14:textId="77777777" w:rsidR="006C73C4" w:rsidRPr="008912CF" w:rsidRDefault="00615769" w:rsidP="006C73C4">
      <w:pPr>
        <w:pBdr>
          <w:top w:val="single" w:sz="4" w:space="1" w:color="auto"/>
          <w:left w:val="single" w:sz="4" w:space="4" w:color="auto"/>
          <w:bottom w:val="single" w:sz="4" w:space="2"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3.</w:t>
      </w:r>
      <w:r w:rsidRPr="008912CF">
        <w:rPr>
          <w:b/>
          <w:sz w:val="22"/>
          <w:szCs w:val="22"/>
        </w:rPr>
        <w:tab/>
        <w:t>LISTA DOS EXCIPIENTES</w:t>
      </w:r>
    </w:p>
    <w:p w14:paraId="2D4770E9" w14:textId="77777777" w:rsidR="006C73C4" w:rsidRPr="008912CF" w:rsidRDefault="006C73C4" w:rsidP="006C73C4">
      <w:pPr>
        <w:tabs>
          <w:tab w:val="left" w:pos="720"/>
        </w:tabs>
        <w:rPr>
          <w:sz w:val="22"/>
          <w:szCs w:val="22"/>
        </w:rPr>
      </w:pPr>
    </w:p>
    <w:p w14:paraId="28C35551" w14:textId="77777777" w:rsidR="006C73C4" w:rsidRPr="008912CF" w:rsidRDefault="00615769" w:rsidP="006C73C4">
      <w:pPr>
        <w:tabs>
          <w:tab w:val="left" w:pos="720"/>
        </w:tabs>
        <w:rPr>
          <w:sz w:val="22"/>
          <w:szCs w:val="22"/>
        </w:rPr>
      </w:pPr>
      <w:r w:rsidRPr="008912CF">
        <w:rPr>
          <w:sz w:val="22"/>
          <w:szCs w:val="22"/>
        </w:rPr>
        <w:t>Excipientes: manitol, polissorbato 80</w:t>
      </w:r>
      <w:r>
        <w:rPr>
          <w:sz w:val="22"/>
          <w:szCs w:val="22"/>
        </w:rPr>
        <w:t xml:space="preserve"> </w:t>
      </w:r>
      <w:r w:rsidRPr="008912CF">
        <w:rPr>
          <w:sz w:val="22"/>
          <w:szCs w:val="22"/>
        </w:rPr>
        <w:t>e água para preparações injetáveis. Consultar folheto informativo para informação adicional.</w:t>
      </w:r>
    </w:p>
    <w:p w14:paraId="68ACC084" w14:textId="77777777" w:rsidR="006C73C4" w:rsidRPr="008912CF" w:rsidRDefault="006C73C4" w:rsidP="006C73C4">
      <w:pPr>
        <w:tabs>
          <w:tab w:val="left" w:pos="720"/>
        </w:tabs>
        <w:rPr>
          <w:sz w:val="22"/>
          <w:szCs w:val="22"/>
        </w:rPr>
      </w:pPr>
    </w:p>
    <w:p w14:paraId="46627BB8" w14:textId="77777777" w:rsidR="006C73C4" w:rsidRPr="008912CF" w:rsidRDefault="006C73C4" w:rsidP="006C73C4">
      <w:pPr>
        <w:tabs>
          <w:tab w:val="left" w:pos="720"/>
        </w:tabs>
        <w:rPr>
          <w:sz w:val="22"/>
          <w:szCs w:val="22"/>
        </w:rPr>
      </w:pPr>
    </w:p>
    <w:p w14:paraId="4B310DAC" w14:textId="77777777" w:rsidR="006C73C4" w:rsidRPr="008912CF" w:rsidRDefault="00615769" w:rsidP="006C73C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4.</w:t>
      </w:r>
      <w:r w:rsidRPr="008912CF">
        <w:rPr>
          <w:b/>
          <w:sz w:val="22"/>
          <w:szCs w:val="22"/>
        </w:rPr>
        <w:tab/>
        <w:t>FORMA FARMACÊUTICA E CONTEÚDO</w:t>
      </w:r>
    </w:p>
    <w:p w14:paraId="33E6526E" w14:textId="77777777" w:rsidR="006C73C4" w:rsidRPr="008912CF" w:rsidRDefault="006C73C4" w:rsidP="006C73C4">
      <w:pPr>
        <w:tabs>
          <w:tab w:val="left" w:pos="720"/>
        </w:tabs>
        <w:rPr>
          <w:sz w:val="22"/>
          <w:szCs w:val="22"/>
        </w:rPr>
      </w:pPr>
    </w:p>
    <w:p w14:paraId="25F522B9" w14:textId="77777777" w:rsidR="006C73C4" w:rsidRPr="009B235D" w:rsidRDefault="00615769" w:rsidP="006C73C4">
      <w:pPr>
        <w:tabs>
          <w:tab w:val="left" w:pos="720"/>
        </w:tabs>
        <w:rPr>
          <w:sz w:val="22"/>
          <w:szCs w:val="22"/>
          <w:shd w:val="pct15" w:color="auto" w:fill="FFFFFF"/>
        </w:rPr>
      </w:pPr>
      <w:r w:rsidRPr="009B235D">
        <w:rPr>
          <w:sz w:val="22"/>
          <w:szCs w:val="22"/>
          <w:shd w:val="pct15" w:color="auto" w:fill="FFFFFF"/>
        </w:rPr>
        <w:t xml:space="preserve">Solução </w:t>
      </w:r>
      <w:r w:rsidR="004C6F1A" w:rsidRPr="009B235D">
        <w:rPr>
          <w:sz w:val="22"/>
          <w:szCs w:val="22"/>
          <w:shd w:val="pct15" w:color="auto" w:fill="FFFFFF"/>
        </w:rPr>
        <w:t>injetáve</w:t>
      </w:r>
      <w:r w:rsidR="008C3DD3" w:rsidRPr="009B235D">
        <w:rPr>
          <w:sz w:val="22"/>
          <w:szCs w:val="22"/>
          <w:shd w:val="pct15" w:color="auto" w:fill="FFFFFF"/>
        </w:rPr>
        <w:t>l</w:t>
      </w:r>
    </w:p>
    <w:p w14:paraId="4841E81A" w14:textId="77777777" w:rsidR="006C73C4" w:rsidRPr="008912CF" w:rsidRDefault="00615769" w:rsidP="006C73C4">
      <w:pPr>
        <w:tabs>
          <w:tab w:val="left" w:pos="720"/>
        </w:tabs>
        <w:rPr>
          <w:sz w:val="22"/>
          <w:szCs w:val="22"/>
        </w:rPr>
      </w:pPr>
      <w:r>
        <w:rPr>
          <w:sz w:val="22"/>
          <w:szCs w:val="22"/>
        </w:rPr>
        <w:t>2 seringas pré-cheias</w:t>
      </w:r>
    </w:p>
    <w:p w14:paraId="2371FF92" w14:textId="77777777" w:rsidR="006C73C4" w:rsidRPr="008912CF" w:rsidRDefault="00615769" w:rsidP="006C73C4">
      <w:pPr>
        <w:tabs>
          <w:tab w:val="left" w:pos="720"/>
        </w:tabs>
        <w:rPr>
          <w:i/>
          <w:sz w:val="22"/>
          <w:szCs w:val="22"/>
        </w:rPr>
      </w:pPr>
      <w:r w:rsidRPr="008912CF">
        <w:rPr>
          <w:sz w:val="22"/>
          <w:szCs w:val="22"/>
        </w:rPr>
        <w:t>2 compressas embe</w:t>
      </w:r>
      <w:r w:rsidR="00F766D7">
        <w:rPr>
          <w:sz w:val="22"/>
          <w:szCs w:val="22"/>
        </w:rPr>
        <w:t>b</w:t>
      </w:r>
      <w:r w:rsidRPr="008912CF">
        <w:rPr>
          <w:sz w:val="22"/>
          <w:szCs w:val="22"/>
        </w:rPr>
        <w:t xml:space="preserve">idas em álcool </w:t>
      </w:r>
    </w:p>
    <w:p w14:paraId="67663A83" w14:textId="77777777" w:rsidR="006C73C4" w:rsidRPr="008912CF" w:rsidRDefault="006C73C4" w:rsidP="006C73C4">
      <w:pPr>
        <w:tabs>
          <w:tab w:val="left" w:pos="720"/>
        </w:tabs>
        <w:rPr>
          <w:sz w:val="22"/>
          <w:szCs w:val="22"/>
          <w:highlight w:val="yellow"/>
        </w:rPr>
      </w:pPr>
    </w:p>
    <w:p w14:paraId="57DF8F73" w14:textId="77777777" w:rsidR="006C73C4" w:rsidRPr="008912CF" w:rsidRDefault="006C73C4" w:rsidP="006C73C4">
      <w:pPr>
        <w:tabs>
          <w:tab w:val="left" w:pos="720"/>
        </w:tabs>
        <w:rPr>
          <w:color w:val="000000"/>
          <w:sz w:val="22"/>
          <w:szCs w:val="22"/>
          <w:u w:val="single"/>
        </w:rPr>
      </w:pPr>
    </w:p>
    <w:p w14:paraId="368F2324" w14:textId="77777777" w:rsidR="006C73C4" w:rsidRPr="008912CF" w:rsidRDefault="00615769" w:rsidP="006C73C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5.</w:t>
      </w:r>
      <w:r w:rsidRPr="008912CF">
        <w:rPr>
          <w:b/>
          <w:sz w:val="22"/>
          <w:szCs w:val="22"/>
        </w:rPr>
        <w:tab/>
      </w:r>
      <w:r w:rsidRPr="008912CF">
        <w:rPr>
          <w:b/>
          <w:sz w:val="22"/>
          <w:szCs w:val="22"/>
        </w:rPr>
        <w:t>MODO E VIA DE ADMINISTRAÇÃO</w:t>
      </w:r>
    </w:p>
    <w:p w14:paraId="2C43F94A" w14:textId="77777777" w:rsidR="006C73C4" w:rsidRPr="008912CF" w:rsidRDefault="006C73C4" w:rsidP="006C73C4">
      <w:pPr>
        <w:tabs>
          <w:tab w:val="left" w:pos="720"/>
        </w:tabs>
        <w:rPr>
          <w:sz w:val="22"/>
          <w:szCs w:val="22"/>
        </w:rPr>
      </w:pPr>
    </w:p>
    <w:p w14:paraId="46BF6439" w14:textId="77777777" w:rsidR="006C73C4" w:rsidRPr="008912CF" w:rsidRDefault="00615769" w:rsidP="006C73C4">
      <w:pPr>
        <w:tabs>
          <w:tab w:val="left" w:pos="720"/>
        </w:tabs>
        <w:rPr>
          <w:sz w:val="22"/>
          <w:szCs w:val="22"/>
        </w:rPr>
      </w:pPr>
      <w:r w:rsidRPr="008912CF">
        <w:rPr>
          <w:sz w:val="22"/>
          <w:szCs w:val="22"/>
        </w:rPr>
        <w:t>Via subcutânea</w:t>
      </w:r>
    </w:p>
    <w:p w14:paraId="3774BE77" w14:textId="77777777" w:rsidR="006C73C4" w:rsidRPr="008912CF" w:rsidRDefault="006C73C4" w:rsidP="006C73C4">
      <w:pPr>
        <w:tabs>
          <w:tab w:val="left" w:pos="720"/>
        </w:tabs>
        <w:rPr>
          <w:sz w:val="22"/>
          <w:szCs w:val="22"/>
        </w:rPr>
      </w:pPr>
    </w:p>
    <w:p w14:paraId="14BBBA51" w14:textId="77777777" w:rsidR="006C73C4" w:rsidRDefault="00615769" w:rsidP="006C73C4">
      <w:pPr>
        <w:tabs>
          <w:tab w:val="left" w:pos="720"/>
        </w:tabs>
        <w:rPr>
          <w:sz w:val="22"/>
          <w:szCs w:val="22"/>
        </w:rPr>
      </w:pPr>
      <w:r w:rsidRPr="008912CF">
        <w:rPr>
          <w:sz w:val="22"/>
          <w:szCs w:val="22"/>
        </w:rPr>
        <w:t>Consultar o folheto informativo antes de utilizar.</w:t>
      </w:r>
    </w:p>
    <w:p w14:paraId="00E77C2A" w14:textId="77777777" w:rsidR="00117ED5" w:rsidRDefault="00117ED5" w:rsidP="006C73C4">
      <w:pPr>
        <w:tabs>
          <w:tab w:val="left" w:pos="720"/>
        </w:tabs>
        <w:rPr>
          <w:sz w:val="22"/>
          <w:szCs w:val="22"/>
        </w:rPr>
      </w:pPr>
    </w:p>
    <w:p w14:paraId="4B92F65A" w14:textId="77777777" w:rsidR="00117ED5" w:rsidRDefault="00615769" w:rsidP="00117ED5">
      <w:pPr>
        <w:tabs>
          <w:tab w:val="left" w:pos="720"/>
        </w:tabs>
        <w:rPr>
          <w:sz w:val="22"/>
          <w:szCs w:val="22"/>
        </w:rPr>
      </w:pPr>
      <w:r w:rsidRPr="008912CF">
        <w:rPr>
          <w:sz w:val="22"/>
          <w:szCs w:val="22"/>
        </w:rPr>
        <w:t>Apenas para uma única utilização</w:t>
      </w:r>
      <w:r>
        <w:rPr>
          <w:sz w:val="22"/>
          <w:szCs w:val="22"/>
        </w:rPr>
        <w:t>.</w:t>
      </w:r>
    </w:p>
    <w:p w14:paraId="6001C325" w14:textId="77777777" w:rsidR="00117ED5" w:rsidRDefault="00117ED5" w:rsidP="00117ED5">
      <w:pPr>
        <w:tabs>
          <w:tab w:val="left" w:pos="720"/>
        </w:tabs>
        <w:rPr>
          <w:sz w:val="22"/>
          <w:szCs w:val="22"/>
        </w:rPr>
      </w:pPr>
    </w:p>
    <w:p w14:paraId="3EA84FB0" w14:textId="77777777" w:rsidR="00117ED5" w:rsidRPr="008912CF" w:rsidRDefault="00615769" w:rsidP="006C73C4">
      <w:pPr>
        <w:tabs>
          <w:tab w:val="left" w:pos="720"/>
        </w:tabs>
        <w:rPr>
          <w:sz w:val="22"/>
          <w:szCs w:val="22"/>
        </w:rPr>
      </w:pPr>
      <w:r>
        <w:rPr>
          <w:sz w:val="22"/>
          <w:szCs w:val="22"/>
        </w:rPr>
        <w:t>Para uso pediátrico</w:t>
      </w:r>
    </w:p>
    <w:p w14:paraId="5A05E655" w14:textId="77777777" w:rsidR="006C73C4" w:rsidRPr="008912CF" w:rsidRDefault="006C73C4" w:rsidP="006C73C4">
      <w:pPr>
        <w:pStyle w:val="EndnoteText"/>
        <w:tabs>
          <w:tab w:val="clear" w:pos="567"/>
          <w:tab w:val="left" w:pos="720"/>
        </w:tabs>
        <w:rPr>
          <w:szCs w:val="22"/>
        </w:rPr>
      </w:pPr>
    </w:p>
    <w:p w14:paraId="2F622B17" w14:textId="77777777" w:rsidR="006C73C4" w:rsidRPr="008912CF" w:rsidRDefault="006C73C4" w:rsidP="006C73C4">
      <w:pPr>
        <w:tabs>
          <w:tab w:val="left" w:pos="720"/>
        </w:tabs>
        <w:rPr>
          <w:sz w:val="22"/>
          <w:szCs w:val="22"/>
        </w:rPr>
      </w:pPr>
    </w:p>
    <w:p w14:paraId="641BCD85" w14:textId="77777777" w:rsidR="006C73C4" w:rsidRPr="008912CF" w:rsidRDefault="00615769" w:rsidP="006C73C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6.</w:t>
      </w:r>
      <w:r w:rsidRPr="008912CF">
        <w:rPr>
          <w:b/>
          <w:sz w:val="22"/>
          <w:szCs w:val="22"/>
        </w:rPr>
        <w:tab/>
      </w:r>
      <w:r w:rsidRPr="008912CF">
        <w:rPr>
          <w:b/>
          <w:bCs/>
          <w:iCs/>
          <w:sz w:val="22"/>
          <w:szCs w:val="22"/>
        </w:rPr>
        <w:t>ADVERTÊNCIA ESPECIAL DE QUE O MEDICAMENTO DEVE SER MANTIDO FORA DA VISTA E DO ALCANCE DAS CRIANÇAS</w:t>
      </w:r>
      <w:r w:rsidRPr="008912CF">
        <w:rPr>
          <w:b/>
          <w:iCs/>
          <w:sz w:val="22"/>
          <w:szCs w:val="22"/>
        </w:rPr>
        <w:t xml:space="preserve"> </w:t>
      </w:r>
    </w:p>
    <w:p w14:paraId="19A8620D" w14:textId="77777777" w:rsidR="006C73C4" w:rsidRPr="008912CF" w:rsidRDefault="006C73C4" w:rsidP="006C73C4">
      <w:pPr>
        <w:tabs>
          <w:tab w:val="left" w:pos="720"/>
        </w:tabs>
        <w:rPr>
          <w:sz w:val="22"/>
          <w:szCs w:val="22"/>
        </w:rPr>
      </w:pPr>
    </w:p>
    <w:p w14:paraId="6BC6546D" w14:textId="77777777" w:rsidR="006C73C4" w:rsidRPr="008912CF" w:rsidRDefault="00615769" w:rsidP="006C73C4">
      <w:pPr>
        <w:pStyle w:val="EndnoteText"/>
        <w:tabs>
          <w:tab w:val="clear" w:pos="567"/>
          <w:tab w:val="left" w:pos="720"/>
        </w:tabs>
        <w:rPr>
          <w:szCs w:val="22"/>
        </w:rPr>
      </w:pPr>
      <w:r w:rsidRPr="008912CF">
        <w:rPr>
          <w:szCs w:val="22"/>
        </w:rPr>
        <w:t>Manter fora da vista e do alcance das crianças.</w:t>
      </w:r>
    </w:p>
    <w:p w14:paraId="32A1D348" w14:textId="77777777" w:rsidR="006C73C4" w:rsidRPr="008912CF" w:rsidRDefault="006C73C4" w:rsidP="006C73C4">
      <w:pPr>
        <w:tabs>
          <w:tab w:val="left" w:pos="720"/>
        </w:tabs>
        <w:rPr>
          <w:sz w:val="22"/>
          <w:szCs w:val="22"/>
        </w:rPr>
      </w:pPr>
    </w:p>
    <w:p w14:paraId="05334A66" w14:textId="77777777" w:rsidR="006C73C4" w:rsidRPr="008912CF" w:rsidRDefault="006C73C4" w:rsidP="006C73C4">
      <w:pPr>
        <w:tabs>
          <w:tab w:val="left" w:pos="720"/>
        </w:tabs>
        <w:rPr>
          <w:sz w:val="22"/>
          <w:szCs w:val="22"/>
        </w:rPr>
      </w:pPr>
    </w:p>
    <w:p w14:paraId="1BB9EB59" w14:textId="77777777" w:rsidR="006C73C4" w:rsidRPr="008912CF" w:rsidRDefault="00615769" w:rsidP="006C73C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7.</w:t>
      </w:r>
      <w:r w:rsidRPr="008912CF">
        <w:rPr>
          <w:b/>
          <w:sz w:val="22"/>
          <w:szCs w:val="22"/>
        </w:rPr>
        <w:tab/>
        <w:t>OUTRAS ADVERTÊNCIAS ESPECIAIS, SE NECESSÁRIO</w:t>
      </w:r>
    </w:p>
    <w:p w14:paraId="468662F7" w14:textId="77777777" w:rsidR="006C73C4" w:rsidRPr="008912CF" w:rsidRDefault="006C73C4" w:rsidP="006C73C4">
      <w:pPr>
        <w:tabs>
          <w:tab w:val="left" w:pos="720"/>
        </w:tabs>
        <w:rPr>
          <w:sz w:val="22"/>
          <w:szCs w:val="22"/>
        </w:rPr>
      </w:pPr>
    </w:p>
    <w:p w14:paraId="2C8F68F6" w14:textId="77777777" w:rsidR="006C73C4" w:rsidRPr="008912CF" w:rsidRDefault="006C73C4" w:rsidP="006C73C4">
      <w:pPr>
        <w:tabs>
          <w:tab w:val="left" w:pos="720"/>
        </w:tabs>
        <w:rPr>
          <w:sz w:val="22"/>
          <w:szCs w:val="22"/>
        </w:rPr>
      </w:pPr>
    </w:p>
    <w:p w14:paraId="14BA66EF" w14:textId="77777777" w:rsidR="006C73C4" w:rsidRPr="008912CF" w:rsidRDefault="00615769" w:rsidP="006C73C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8.</w:t>
      </w:r>
      <w:r w:rsidRPr="008912CF">
        <w:rPr>
          <w:b/>
          <w:sz w:val="22"/>
          <w:szCs w:val="22"/>
        </w:rPr>
        <w:tab/>
        <w:t>PRAZO DE VALIDADE</w:t>
      </w:r>
    </w:p>
    <w:p w14:paraId="4E0B8FD4" w14:textId="77777777" w:rsidR="006C73C4" w:rsidRPr="008912CF" w:rsidRDefault="006C73C4" w:rsidP="006C73C4">
      <w:pPr>
        <w:tabs>
          <w:tab w:val="left" w:pos="720"/>
        </w:tabs>
        <w:rPr>
          <w:sz w:val="22"/>
          <w:szCs w:val="22"/>
        </w:rPr>
      </w:pPr>
    </w:p>
    <w:p w14:paraId="2C9989EA" w14:textId="77777777" w:rsidR="006C73C4" w:rsidRPr="008912CF" w:rsidRDefault="00615769" w:rsidP="006C73C4">
      <w:pPr>
        <w:tabs>
          <w:tab w:val="left" w:pos="720"/>
        </w:tabs>
        <w:rPr>
          <w:sz w:val="22"/>
          <w:szCs w:val="22"/>
        </w:rPr>
      </w:pPr>
      <w:r>
        <w:rPr>
          <w:sz w:val="22"/>
          <w:szCs w:val="22"/>
        </w:rPr>
        <w:t>EXP</w:t>
      </w:r>
      <w:r w:rsidRPr="008912CF">
        <w:rPr>
          <w:sz w:val="22"/>
          <w:szCs w:val="22"/>
        </w:rPr>
        <w:t xml:space="preserve"> </w:t>
      </w:r>
    </w:p>
    <w:p w14:paraId="194C9DF1" w14:textId="77777777" w:rsidR="006C73C4" w:rsidRPr="008912CF" w:rsidRDefault="006C73C4" w:rsidP="006C73C4">
      <w:pPr>
        <w:tabs>
          <w:tab w:val="left" w:pos="720"/>
        </w:tabs>
        <w:rPr>
          <w:sz w:val="22"/>
          <w:szCs w:val="22"/>
        </w:rPr>
      </w:pPr>
    </w:p>
    <w:p w14:paraId="2B53E86A" w14:textId="77777777" w:rsidR="006C73C4" w:rsidRPr="008912CF" w:rsidRDefault="00615769" w:rsidP="00737C40">
      <w:pPr>
        <w:keepNext/>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9.</w:t>
      </w:r>
      <w:r w:rsidRPr="008912CF">
        <w:rPr>
          <w:b/>
          <w:sz w:val="22"/>
          <w:szCs w:val="22"/>
        </w:rPr>
        <w:tab/>
      </w:r>
      <w:r w:rsidRPr="008912CF">
        <w:rPr>
          <w:b/>
          <w:sz w:val="22"/>
          <w:szCs w:val="22"/>
        </w:rPr>
        <w:t>CONDIÇÕES ESPECIAIS DE CONSERVAÇÃO</w:t>
      </w:r>
    </w:p>
    <w:p w14:paraId="4D07F762" w14:textId="77777777" w:rsidR="006C73C4" w:rsidRPr="008912CF" w:rsidRDefault="006C73C4" w:rsidP="00737C40">
      <w:pPr>
        <w:pStyle w:val="EndnoteText"/>
        <w:keepNext/>
        <w:tabs>
          <w:tab w:val="clear" w:pos="567"/>
          <w:tab w:val="left" w:pos="720"/>
        </w:tabs>
        <w:rPr>
          <w:szCs w:val="22"/>
        </w:rPr>
      </w:pPr>
    </w:p>
    <w:p w14:paraId="45AA5261" w14:textId="77777777" w:rsidR="006C73C4" w:rsidRDefault="00615769" w:rsidP="00737C40">
      <w:pPr>
        <w:pStyle w:val="BodyText2"/>
        <w:keepNext/>
        <w:tabs>
          <w:tab w:val="left" w:pos="720"/>
        </w:tabs>
        <w:autoSpaceDE/>
        <w:autoSpaceDN/>
        <w:adjustRightInd/>
        <w:rPr>
          <w:szCs w:val="22"/>
        </w:rPr>
      </w:pPr>
      <w:r w:rsidRPr="008912CF">
        <w:rPr>
          <w:szCs w:val="22"/>
        </w:rPr>
        <w:t>Conservar no frigorífico. Não congelar.</w:t>
      </w:r>
    </w:p>
    <w:p w14:paraId="32271CAB" w14:textId="77777777" w:rsidR="004C6F1A" w:rsidRDefault="00615769" w:rsidP="00737C40">
      <w:pPr>
        <w:keepNext/>
        <w:rPr>
          <w:rStyle w:val="hps"/>
          <w:sz w:val="22"/>
          <w:szCs w:val="22"/>
        </w:rPr>
      </w:pPr>
      <w:r w:rsidRPr="008912CF">
        <w:rPr>
          <w:rStyle w:val="hps"/>
          <w:sz w:val="22"/>
          <w:szCs w:val="22"/>
        </w:rPr>
        <w:t>Consulte o</w:t>
      </w:r>
      <w:r w:rsidRPr="008912CF">
        <w:rPr>
          <w:sz w:val="22"/>
          <w:szCs w:val="22"/>
        </w:rPr>
        <w:t xml:space="preserve"> </w:t>
      </w:r>
      <w:r w:rsidRPr="008912CF">
        <w:rPr>
          <w:rStyle w:val="hps"/>
          <w:sz w:val="22"/>
          <w:szCs w:val="22"/>
        </w:rPr>
        <w:t>folheto informativo</w:t>
      </w:r>
      <w:r w:rsidRPr="008912CF">
        <w:rPr>
          <w:sz w:val="22"/>
          <w:szCs w:val="22"/>
        </w:rPr>
        <w:t xml:space="preserve"> </w:t>
      </w:r>
      <w:r w:rsidRPr="008912CF">
        <w:rPr>
          <w:rStyle w:val="hps"/>
          <w:sz w:val="22"/>
          <w:szCs w:val="22"/>
        </w:rPr>
        <w:t>para detalhes</w:t>
      </w:r>
      <w:r w:rsidRPr="008912CF">
        <w:rPr>
          <w:sz w:val="22"/>
          <w:szCs w:val="22"/>
        </w:rPr>
        <w:t xml:space="preserve"> de </w:t>
      </w:r>
      <w:r w:rsidRPr="008912CF">
        <w:rPr>
          <w:rStyle w:val="hps"/>
          <w:sz w:val="22"/>
          <w:szCs w:val="22"/>
        </w:rPr>
        <w:t>conservação</w:t>
      </w:r>
      <w:r w:rsidRPr="008912CF">
        <w:rPr>
          <w:sz w:val="22"/>
          <w:szCs w:val="22"/>
        </w:rPr>
        <w:t xml:space="preserve"> </w:t>
      </w:r>
      <w:r w:rsidRPr="008912CF">
        <w:rPr>
          <w:rStyle w:val="hps"/>
          <w:sz w:val="22"/>
          <w:szCs w:val="22"/>
        </w:rPr>
        <w:t>alternativa.</w:t>
      </w:r>
    </w:p>
    <w:p w14:paraId="2183A643" w14:textId="77777777" w:rsidR="004C6F1A" w:rsidRPr="008912CF" w:rsidRDefault="004C6F1A" w:rsidP="00737C40">
      <w:pPr>
        <w:keepNext/>
        <w:rPr>
          <w:sz w:val="22"/>
          <w:szCs w:val="22"/>
        </w:rPr>
      </w:pPr>
    </w:p>
    <w:p w14:paraId="528E1F85" w14:textId="77777777" w:rsidR="006C73C4" w:rsidRPr="008912CF" w:rsidRDefault="00615769" w:rsidP="00737C40">
      <w:pPr>
        <w:keepNext/>
        <w:tabs>
          <w:tab w:val="left" w:pos="720"/>
        </w:tabs>
        <w:rPr>
          <w:sz w:val="22"/>
          <w:szCs w:val="22"/>
        </w:rPr>
      </w:pPr>
      <w:r w:rsidRPr="008912CF">
        <w:rPr>
          <w:sz w:val="22"/>
          <w:szCs w:val="22"/>
        </w:rPr>
        <w:t>Manter a seringa dentro da embalagem exterior para proteger da luz.</w:t>
      </w:r>
    </w:p>
    <w:p w14:paraId="315C2096" w14:textId="77777777" w:rsidR="006C73C4" w:rsidRDefault="006C73C4" w:rsidP="006C73C4">
      <w:pPr>
        <w:tabs>
          <w:tab w:val="left" w:pos="720"/>
        </w:tabs>
        <w:rPr>
          <w:sz w:val="22"/>
          <w:szCs w:val="22"/>
        </w:rPr>
      </w:pPr>
    </w:p>
    <w:p w14:paraId="365AEA38" w14:textId="77777777" w:rsidR="004C6F1A" w:rsidRPr="008912CF" w:rsidRDefault="004C6F1A" w:rsidP="006C73C4">
      <w:pPr>
        <w:tabs>
          <w:tab w:val="left" w:pos="720"/>
        </w:tabs>
        <w:rPr>
          <w:sz w:val="22"/>
          <w:szCs w:val="22"/>
        </w:rPr>
      </w:pPr>
    </w:p>
    <w:p w14:paraId="58D82402" w14:textId="77777777" w:rsidR="006C73C4" w:rsidRPr="008912CF" w:rsidRDefault="00615769" w:rsidP="006C73C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bCs/>
          <w:sz w:val="22"/>
          <w:szCs w:val="22"/>
          <w:highlight w:val="lightGray"/>
        </w:rPr>
      </w:pPr>
      <w:r w:rsidRPr="008912CF">
        <w:rPr>
          <w:b/>
          <w:sz w:val="22"/>
          <w:szCs w:val="22"/>
        </w:rPr>
        <w:t>10.</w:t>
      </w:r>
      <w:r w:rsidRPr="008912CF">
        <w:rPr>
          <w:b/>
          <w:sz w:val="22"/>
          <w:szCs w:val="22"/>
        </w:rPr>
        <w:tab/>
      </w:r>
      <w:r w:rsidRPr="008912CF">
        <w:rPr>
          <w:b/>
          <w:bCs/>
          <w:sz w:val="22"/>
          <w:szCs w:val="22"/>
        </w:rPr>
        <w:t xml:space="preserve">CUIDADOS ESPECIAIS QUANTO À ELIMINAÇÃO DO MEDICAMENTO NÃO UTILIZADO OU DOS RESÍDUOS PROVENIENTES DESSE MEDICAMENTO, SE APLICÁVEL </w:t>
      </w:r>
    </w:p>
    <w:p w14:paraId="76EA4D5F" w14:textId="77777777" w:rsidR="006C73C4" w:rsidRPr="008912CF" w:rsidRDefault="006C73C4" w:rsidP="006C73C4">
      <w:pPr>
        <w:tabs>
          <w:tab w:val="left" w:pos="720"/>
        </w:tabs>
        <w:rPr>
          <w:sz w:val="22"/>
          <w:szCs w:val="22"/>
        </w:rPr>
      </w:pPr>
    </w:p>
    <w:p w14:paraId="15A71DE4" w14:textId="77777777" w:rsidR="006C73C4" w:rsidRPr="008912CF" w:rsidRDefault="006C73C4" w:rsidP="006C73C4">
      <w:pPr>
        <w:tabs>
          <w:tab w:val="left" w:pos="720"/>
        </w:tabs>
        <w:rPr>
          <w:sz w:val="22"/>
          <w:szCs w:val="22"/>
        </w:rPr>
      </w:pPr>
    </w:p>
    <w:p w14:paraId="4732685A" w14:textId="77777777" w:rsidR="006C73C4" w:rsidRPr="008912CF" w:rsidRDefault="00615769" w:rsidP="006C73C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bCs/>
          <w:sz w:val="22"/>
          <w:szCs w:val="22"/>
        </w:rPr>
      </w:pPr>
      <w:r w:rsidRPr="008912CF">
        <w:rPr>
          <w:b/>
          <w:sz w:val="22"/>
          <w:szCs w:val="22"/>
        </w:rPr>
        <w:t>11.</w:t>
      </w:r>
      <w:r w:rsidRPr="008912CF">
        <w:rPr>
          <w:b/>
          <w:sz w:val="22"/>
          <w:szCs w:val="22"/>
        </w:rPr>
        <w:tab/>
      </w:r>
      <w:r w:rsidRPr="008912CF">
        <w:rPr>
          <w:b/>
          <w:bCs/>
          <w:sz w:val="22"/>
          <w:szCs w:val="22"/>
        </w:rPr>
        <w:t>NOME E ENDEREÇO DO TITULAR DA AUTORIZAÇÃO DE INTRODUÇÃO NO MERCADO</w:t>
      </w:r>
    </w:p>
    <w:p w14:paraId="73DA2B32" w14:textId="77777777" w:rsidR="006C73C4" w:rsidRPr="008912CF" w:rsidRDefault="006C73C4" w:rsidP="006C73C4">
      <w:pPr>
        <w:tabs>
          <w:tab w:val="left" w:pos="720"/>
        </w:tabs>
        <w:rPr>
          <w:sz w:val="22"/>
          <w:szCs w:val="22"/>
        </w:rPr>
      </w:pPr>
    </w:p>
    <w:p w14:paraId="13B80997" w14:textId="77777777" w:rsidR="00046E4A" w:rsidRPr="008D6D3A" w:rsidRDefault="00615769" w:rsidP="00046E4A">
      <w:pPr>
        <w:keepNext/>
        <w:rPr>
          <w:sz w:val="22"/>
          <w:szCs w:val="22"/>
          <w:lang w:val="de-CH"/>
        </w:rPr>
      </w:pPr>
      <w:r w:rsidRPr="008D6D3A">
        <w:rPr>
          <w:sz w:val="22"/>
          <w:szCs w:val="22"/>
          <w:lang w:val="de-CH"/>
        </w:rPr>
        <w:t>AbbVie Deutschland GmbH &amp; Co. KG</w:t>
      </w:r>
    </w:p>
    <w:p w14:paraId="1654930A" w14:textId="77777777" w:rsidR="00046E4A" w:rsidRPr="008D6D3A" w:rsidRDefault="00615769" w:rsidP="00046E4A">
      <w:pPr>
        <w:keepNext/>
        <w:rPr>
          <w:sz w:val="22"/>
          <w:szCs w:val="22"/>
          <w:lang w:val="de-CH"/>
        </w:rPr>
      </w:pPr>
      <w:r w:rsidRPr="008D6D3A">
        <w:rPr>
          <w:sz w:val="22"/>
          <w:szCs w:val="22"/>
          <w:lang w:val="de-CH"/>
        </w:rPr>
        <w:t>Knollstrasse</w:t>
      </w:r>
    </w:p>
    <w:p w14:paraId="4599AE6A" w14:textId="77777777" w:rsidR="00046E4A" w:rsidRPr="006649C6" w:rsidRDefault="00615769" w:rsidP="00046E4A">
      <w:pPr>
        <w:keepNext/>
        <w:rPr>
          <w:sz w:val="22"/>
          <w:szCs w:val="22"/>
        </w:rPr>
      </w:pPr>
      <w:r w:rsidRPr="006649C6">
        <w:rPr>
          <w:sz w:val="22"/>
          <w:szCs w:val="22"/>
        </w:rPr>
        <w:t>67061 Ludwigshafen</w:t>
      </w:r>
    </w:p>
    <w:p w14:paraId="33C4F2CC" w14:textId="77777777" w:rsidR="006C73C4" w:rsidRPr="008912CF" w:rsidRDefault="00615769" w:rsidP="006C73C4">
      <w:pPr>
        <w:rPr>
          <w:sz w:val="22"/>
          <w:szCs w:val="22"/>
        </w:rPr>
      </w:pPr>
      <w:r>
        <w:rPr>
          <w:sz w:val="22"/>
          <w:szCs w:val="22"/>
        </w:rPr>
        <w:t>Alemanha</w:t>
      </w:r>
    </w:p>
    <w:p w14:paraId="25A3513B" w14:textId="77777777" w:rsidR="006C73C4" w:rsidRPr="008912CF" w:rsidRDefault="006C73C4" w:rsidP="006C73C4">
      <w:pPr>
        <w:tabs>
          <w:tab w:val="left" w:pos="720"/>
        </w:tabs>
        <w:rPr>
          <w:sz w:val="22"/>
          <w:szCs w:val="22"/>
        </w:rPr>
      </w:pPr>
    </w:p>
    <w:p w14:paraId="0570051A" w14:textId="77777777" w:rsidR="006C73C4" w:rsidRPr="008912CF" w:rsidRDefault="006C73C4" w:rsidP="006C73C4">
      <w:pPr>
        <w:tabs>
          <w:tab w:val="left" w:pos="720"/>
        </w:tabs>
        <w:rPr>
          <w:sz w:val="22"/>
          <w:szCs w:val="22"/>
        </w:rPr>
      </w:pPr>
    </w:p>
    <w:p w14:paraId="3580608E" w14:textId="77777777" w:rsidR="006C73C4" w:rsidRPr="008912CF" w:rsidRDefault="00615769" w:rsidP="006C73C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12.</w:t>
      </w:r>
      <w:r w:rsidRPr="008912CF">
        <w:rPr>
          <w:b/>
          <w:sz w:val="22"/>
          <w:szCs w:val="22"/>
        </w:rPr>
        <w:tab/>
      </w:r>
      <w:r w:rsidRPr="008912CF">
        <w:rPr>
          <w:b/>
          <w:sz w:val="22"/>
          <w:szCs w:val="22"/>
        </w:rPr>
        <w:t xml:space="preserve">NÚMERO DA AUTORIZAÇÃO DE INTRODUÇÃO NO MERCADO </w:t>
      </w:r>
    </w:p>
    <w:p w14:paraId="19050493" w14:textId="77777777" w:rsidR="006C73C4" w:rsidRPr="008912CF" w:rsidRDefault="006C73C4" w:rsidP="006C73C4">
      <w:pPr>
        <w:tabs>
          <w:tab w:val="left" w:pos="720"/>
        </w:tabs>
        <w:rPr>
          <w:sz w:val="22"/>
          <w:szCs w:val="22"/>
        </w:rPr>
      </w:pPr>
    </w:p>
    <w:p w14:paraId="708D3ED6" w14:textId="77777777" w:rsidR="006C73C4" w:rsidRPr="008912CF" w:rsidRDefault="00615769" w:rsidP="006C73C4">
      <w:pPr>
        <w:tabs>
          <w:tab w:val="left" w:pos="720"/>
        </w:tabs>
        <w:rPr>
          <w:sz w:val="22"/>
          <w:szCs w:val="22"/>
        </w:rPr>
      </w:pPr>
      <w:r w:rsidRPr="000E0DB5">
        <w:rPr>
          <w:sz w:val="22"/>
          <w:szCs w:val="22"/>
        </w:rPr>
        <w:t>EU/1/03/256/022</w:t>
      </w:r>
      <w:r>
        <w:rPr>
          <w:sz w:val="22"/>
          <w:szCs w:val="22"/>
        </w:rPr>
        <w:t xml:space="preserve"> </w:t>
      </w:r>
    </w:p>
    <w:p w14:paraId="75B083DC" w14:textId="77777777" w:rsidR="006C73C4" w:rsidRPr="008912CF" w:rsidRDefault="006C73C4" w:rsidP="006C73C4">
      <w:pPr>
        <w:tabs>
          <w:tab w:val="left" w:pos="720"/>
        </w:tabs>
        <w:rPr>
          <w:sz w:val="22"/>
          <w:szCs w:val="22"/>
        </w:rPr>
      </w:pPr>
    </w:p>
    <w:p w14:paraId="0FBF9353" w14:textId="77777777" w:rsidR="006C73C4" w:rsidRPr="008912CF" w:rsidRDefault="00615769" w:rsidP="006C73C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13.</w:t>
      </w:r>
      <w:r w:rsidRPr="008912CF">
        <w:rPr>
          <w:b/>
          <w:sz w:val="22"/>
          <w:szCs w:val="22"/>
        </w:rPr>
        <w:tab/>
        <w:t xml:space="preserve">NÚMERO DO LOTE </w:t>
      </w:r>
    </w:p>
    <w:p w14:paraId="43838921" w14:textId="77777777" w:rsidR="006C73C4" w:rsidRPr="008912CF" w:rsidRDefault="006C73C4" w:rsidP="006C73C4">
      <w:pPr>
        <w:tabs>
          <w:tab w:val="left" w:pos="720"/>
        </w:tabs>
        <w:rPr>
          <w:sz w:val="22"/>
          <w:szCs w:val="22"/>
        </w:rPr>
      </w:pPr>
    </w:p>
    <w:p w14:paraId="283096C0" w14:textId="77777777" w:rsidR="006C73C4" w:rsidRPr="008912CF" w:rsidRDefault="00615769" w:rsidP="006C73C4">
      <w:pPr>
        <w:tabs>
          <w:tab w:val="left" w:pos="720"/>
        </w:tabs>
        <w:rPr>
          <w:sz w:val="22"/>
          <w:szCs w:val="22"/>
        </w:rPr>
      </w:pPr>
      <w:r w:rsidRPr="008912CF">
        <w:rPr>
          <w:sz w:val="22"/>
          <w:szCs w:val="22"/>
        </w:rPr>
        <w:t>Lote</w:t>
      </w:r>
    </w:p>
    <w:p w14:paraId="6B13FC78" w14:textId="77777777" w:rsidR="006C73C4" w:rsidRPr="008912CF" w:rsidRDefault="006C73C4" w:rsidP="006C73C4">
      <w:pPr>
        <w:tabs>
          <w:tab w:val="left" w:pos="720"/>
        </w:tabs>
        <w:rPr>
          <w:sz w:val="22"/>
          <w:szCs w:val="22"/>
        </w:rPr>
      </w:pPr>
    </w:p>
    <w:p w14:paraId="78C974B0" w14:textId="77777777" w:rsidR="006C73C4" w:rsidRPr="008912CF" w:rsidRDefault="006C73C4" w:rsidP="006C73C4">
      <w:pPr>
        <w:tabs>
          <w:tab w:val="left" w:pos="720"/>
        </w:tabs>
        <w:rPr>
          <w:sz w:val="22"/>
          <w:szCs w:val="22"/>
        </w:rPr>
      </w:pPr>
    </w:p>
    <w:p w14:paraId="638E6FC2" w14:textId="77777777" w:rsidR="006C73C4" w:rsidRPr="008912CF" w:rsidRDefault="00615769" w:rsidP="006C73C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14.</w:t>
      </w:r>
      <w:r w:rsidRPr="008912CF">
        <w:rPr>
          <w:b/>
          <w:sz w:val="22"/>
          <w:szCs w:val="22"/>
        </w:rPr>
        <w:tab/>
        <w:t>CLASSIFICAÇÃO QUANTO À DISPENSA AO PÚBLICO</w:t>
      </w:r>
    </w:p>
    <w:p w14:paraId="6A624E00" w14:textId="77777777" w:rsidR="006C73C4" w:rsidRPr="008912CF" w:rsidRDefault="006C73C4" w:rsidP="006C73C4">
      <w:pPr>
        <w:tabs>
          <w:tab w:val="left" w:pos="720"/>
        </w:tabs>
        <w:rPr>
          <w:sz w:val="22"/>
          <w:szCs w:val="22"/>
        </w:rPr>
      </w:pPr>
    </w:p>
    <w:p w14:paraId="58573EC0" w14:textId="77777777" w:rsidR="006C73C4" w:rsidRPr="008912CF" w:rsidRDefault="006C73C4" w:rsidP="006C73C4">
      <w:pPr>
        <w:tabs>
          <w:tab w:val="left" w:pos="720"/>
        </w:tabs>
        <w:rPr>
          <w:sz w:val="22"/>
          <w:szCs w:val="22"/>
        </w:rPr>
      </w:pPr>
    </w:p>
    <w:p w14:paraId="260F230B" w14:textId="77777777" w:rsidR="006C73C4" w:rsidRPr="008912CF" w:rsidRDefault="00615769" w:rsidP="006C73C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u w:val="single"/>
        </w:rPr>
      </w:pPr>
      <w:r w:rsidRPr="008912CF">
        <w:rPr>
          <w:b/>
          <w:sz w:val="22"/>
          <w:szCs w:val="22"/>
        </w:rPr>
        <w:t>15.</w:t>
      </w:r>
      <w:r w:rsidRPr="008912CF">
        <w:rPr>
          <w:b/>
          <w:sz w:val="22"/>
          <w:szCs w:val="22"/>
        </w:rPr>
        <w:tab/>
        <w:t>INSTRUÇÕES DE UTILIZAÇÃO</w:t>
      </w:r>
    </w:p>
    <w:p w14:paraId="2DC027ED" w14:textId="77777777" w:rsidR="006C73C4" w:rsidRPr="00431557" w:rsidRDefault="006C73C4" w:rsidP="006C73C4">
      <w:pPr>
        <w:shd w:val="clear" w:color="auto" w:fill="FFFFFF"/>
        <w:tabs>
          <w:tab w:val="left" w:pos="720"/>
        </w:tabs>
        <w:rPr>
          <w:sz w:val="22"/>
          <w:szCs w:val="22"/>
        </w:rPr>
      </w:pPr>
    </w:p>
    <w:p w14:paraId="3FC87B26" w14:textId="77777777" w:rsidR="006C73C4" w:rsidRPr="00431557" w:rsidRDefault="006C73C4" w:rsidP="006C73C4">
      <w:pPr>
        <w:shd w:val="clear" w:color="auto" w:fill="FFFFFF"/>
        <w:tabs>
          <w:tab w:val="left" w:pos="720"/>
        </w:tabs>
        <w:rPr>
          <w:sz w:val="22"/>
          <w:szCs w:val="22"/>
        </w:rPr>
      </w:pPr>
    </w:p>
    <w:p w14:paraId="092948A9" w14:textId="77777777" w:rsidR="006C73C4" w:rsidRPr="008912CF" w:rsidRDefault="00615769" w:rsidP="006C73C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u w:val="single"/>
        </w:rPr>
      </w:pPr>
      <w:r w:rsidRPr="008912CF">
        <w:rPr>
          <w:b/>
          <w:sz w:val="22"/>
          <w:szCs w:val="22"/>
        </w:rPr>
        <w:t>16.</w:t>
      </w:r>
      <w:r w:rsidRPr="008912CF">
        <w:rPr>
          <w:b/>
          <w:sz w:val="22"/>
          <w:szCs w:val="22"/>
        </w:rPr>
        <w:tab/>
        <w:t>INFORMAÇÃO EM BRAILLE</w:t>
      </w:r>
    </w:p>
    <w:p w14:paraId="0FD5256F" w14:textId="77777777" w:rsidR="006C73C4" w:rsidRPr="00431557" w:rsidRDefault="006C73C4" w:rsidP="006C73C4">
      <w:pPr>
        <w:shd w:val="clear" w:color="auto" w:fill="FFFFFF"/>
        <w:tabs>
          <w:tab w:val="left" w:pos="720"/>
        </w:tabs>
        <w:rPr>
          <w:sz w:val="22"/>
          <w:szCs w:val="22"/>
        </w:rPr>
      </w:pPr>
    </w:p>
    <w:p w14:paraId="7F09C2FA" w14:textId="77777777" w:rsidR="006C73C4" w:rsidRPr="008912CF" w:rsidRDefault="00615769" w:rsidP="006C73C4">
      <w:pPr>
        <w:rPr>
          <w:sz w:val="22"/>
          <w:szCs w:val="22"/>
        </w:rPr>
      </w:pPr>
      <w:r w:rsidRPr="008912CF">
        <w:rPr>
          <w:bCs/>
          <w:sz w:val="22"/>
          <w:szCs w:val="22"/>
        </w:rPr>
        <w:t xml:space="preserve">Humira </w:t>
      </w:r>
      <w:r w:rsidR="004C6F1A">
        <w:rPr>
          <w:bCs/>
          <w:sz w:val="22"/>
          <w:szCs w:val="22"/>
        </w:rPr>
        <w:t>2</w:t>
      </w:r>
      <w:r w:rsidRPr="008912CF">
        <w:rPr>
          <w:bCs/>
          <w:sz w:val="22"/>
          <w:szCs w:val="22"/>
        </w:rPr>
        <w:t>0 mg</w:t>
      </w:r>
    </w:p>
    <w:p w14:paraId="3489DEBE" w14:textId="77777777" w:rsidR="006C73C4" w:rsidRPr="00431557" w:rsidRDefault="006C73C4" w:rsidP="006C73C4">
      <w:pPr>
        <w:pStyle w:val="Heading3"/>
        <w:keepNext w:val="0"/>
        <w:spacing w:before="0" w:after="0" w:line="240" w:lineRule="auto"/>
        <w:rPr>
          <w:b w:val="0"/>
          <w:sz w:val="22"/>
          <w:szCs w:val="22"/>
          <w:lang w:val="pt-PT"/>
        </w:rPr>
      </w:pPr>
    </w:p>
    <w:p w14:paraId="2832E47C" w14:textId="77777777" w:rsidR="006C73C4" w:rsidRPr="00431557" w:rsidRDefault="006C73C4" w:rsidP="006C73C4">
      <w:pPr>
        <w:pStyle w:val="Heading3"/>
        <w:keepNext w:val="0"/>
        <w:spacing w:before="0" w:after="0" w:line="240" w:lineRule="auto"/>
        <w:rPr>
          <w:b w:val="0"/>
          <w:sz w:val="22"/>
          <w:szCs w:val="22"/>
          <w:lang w:val="pt-PT"/>
        </w:rPr>
      </w:pPr>
    </w:p>
    <w:p w14:paraId="43742B22" w14:textId="77777777" w:rsidR="006C73C4" w:rsidRPr="00C25DF2" w:rsidRDefault="00615769" w:rsidP="006C73C4">
      <w:pPr>
        <w:pBdr>
          <w:top w:val="single" w:sz="4" w:space="1" w:color="auto"/>
          <w:left w:val="single" w:sz="4" w:space="4" w:color="auto"/>
          <w:bottom w:val="single" w:sz="4" w:space="1" w:color="auto"/>
          <w:right w:val="single" w:sz="4" w:space="4" w:color="auto"/>
        </w:pBdr>
        <w:tabs>
          <w:tab w:val="left" w:pos="562"/>
        </w:tabs>
        <w:suppressAutoHyphens/>
        <w:rPr>
          <w:b/>
          <w:bCs/>
          <w:caps/>
          <w:sz w:val="22"/>
          <w:szCs w:val="20"/>
        </w:rPr>
      </w:pPr>
      <w:r w:rsidRPr="00FA69E8">
        <w:rPr>
          <w:b/>
          <w:bCs/>
          <w:caps/>
          <w:sz w:val="22"/>
          <w:szCs w:val="20"/>
        </w:rPr>
        <w:t xml:space="preserve">17. </w:t>
      </w:r>
      <w:r w:rsidRPr="00FA69E8">
        <w:rPr>
          <w:b/>
          <w:bCs/>
          <w:caps/>
          <w:sz w:val="22"/>
          <w:szCs w:val="20"/>
        </w:rPr>
        <w:tab/>
      </w:r>
      <w:r w:rsidRPr="00C25DF2">
        <w:rPr>
          <w:b/>
          <w:bCs/>
          <w:caps/>
          <w:sz w:val="22"/>
          <w:szCs w:val="20"/>
        </w:rPr>
        <w:t xml:space="preserve">IDENTIFICADOR ÚNICO – CÓDIGO DE BARRAS 2D </w:t>
      </w:r>
    </w:p>
    <w:p w14:paraId="5AA79922" w14:textId="77777777" w:rsidR="006C73C4" w:rsidRPr="00C25DF2" w:rsidRDefault="006C73C4" w:rsidP="006C73C4">
      <w:pPr>
        <w:tabs>
          <w:tab w:val="left" w:pos="562"/>
        </w:tabs>
        <w:suppressAutoHyphens/>
        <w:rPr>
          <w:sz w:val="22"/>
        </w:rPr>
      </w:pPr>
    </w:p>
    <w:p w14:paraId="6AAA88C3" w14:textId="77777777" w:rsidR="006C73C4" w:rsidRPr="00C25DF2" w:rsidRDefault="00615769" w:rsidP="006C73C4">
      <w:pPr>
        <w:tabs>
          <w:tab w:val="left" w:pos="562"/>
        </w:tabs>
        <w:suppressAutoHyphens/>
        <w:rPr>
          <w:sz w:val="22"/>
          <w:shd w:val="clear" w:color="auto" w:fill="BFBFBF"/>
        </w:rPr>
      </w:pPr>
      <w:r w:rsidRPr="00C25DF2">
        <w:rPr>
          <w:sz w:val="22"/>
          <w:shd w:val="clear" w:color="auto" w:fill="BFBFBF"/>
        </w:rPr>
        <w:t xml:space="preserve">Código de barras 2D com identificador </w:t>
      </w:r>
      <w:r>
        <w:rPr>
          <w:sz w:val="22"/>
          <w:shd w:val="clear" w:color="auto" w:fill="BFBFBF"/>
        </w:rPr>
        <w:t>único incluído.</w:t>
      </w:r>
    </w:p>
    <w:p w14:paraId="2B4D91C2" w14:textId="77777777" w:rsidR="006C73C4" w:rsidRPr="00C25DF2" w:rsidRDefault="006C73C4" w:rsidP="006C73C4">
      <w:pPr>
        <w:tabs>
          <w:tab w:val="left" w:pos="562"/>
        </w:tabs>
        <w:suppressAutoHyphens/>
        <w:rPr>
          <w:sz w:val="22"/>
          <w:shd w:val="clear" w:color="auto" w:fill="BFBFBF"/>
        </w:rPr>
      </w:pPr>
    </w:p>
    <w:p w14:paraId="59DD8F0D" w14:textId="77777777" w:rsidR="006C73C4" w:rsidRPr="00C25DF2" w:rsidRDefault="006C73C4" w:rsidP="006C73C4">
      <w:pPr>
        <w:tabs>
          <w:tab w:val="left" w:pos="562"/>
        </w:tabs>
        <w:suppressAutoHyphens/>
        <w:rPr>
          <w:sz w:val="22"/>
          <w:shd w:val="clear" w:color="auto" w:fill="BFBFBF"/>
        </w:rPr>
      </w:pPr>
    </w:p>
    <w:p w14:paraId="23C5BBD1" w14:textId="77777777" w:rsidR="006C73C4" w:rsidRPr="00C25DF2" w:rsidRDefault="00615769" w:rsidP="006C73C4">
      <w:pPr>
        <w:keepNext/>
        <w:pBdr>
          <w:top w:val="single" w:sz="4" w:space="1" w:color="auto"/>
          <w:left w:val="single" w:sz="4" w:space="4" w:color="auto"/>
          <w:bottom w:val="single" w:sz="4" w:space="1" w:color="auto"/>
          <w:right w:val="single" w:sz="4" w:space="4" w:color="auto"/>
        </w:pBdr>
        <w:tabs>
          <w:tab w:val="left" w:pos="562"/>
        </w:tabs>
        <w:suppressAutoHyphens/>
        <w:rPr>
          <w:rFonts w:ascii="Times New Roman Bold" w:hAnsi="Times New Roman Bold"/>
          <w:caps/>
          <w:sz w:val="22"/>
          <w:szCs w:val="20"/>
        </w:rPr>
      </w:pPr>
      <w:r w:rsidRPr="00C25DF2">
        <w:rPr>
          <w:b/>
          <w:bCs/>
          <w:caps/>
          <w:sz w:val="22"/>
          <w:szCs w:val="20"/>
        </w:rPr>
        <w:t xml:space="preserve">18. </w:t>
      </w:r>
      <w:r w:rsidRPr="00C25DF2">
        <w:rPr>
          <w:b/>
          <w:bCs/>
          <w:caps/>
          <w:sz w:val="22"/>
          <w:szCs w:val="20"/>
        </w:rPr>
        <w:tab/>
        <w:t>IDENTIFICADOR ÚNICO – DADOS PARA LEITURA HUMA</w:t>
      </w:r>
      <w:r>
        <w:rPr>
          <w:b/>
          <w:bCs/>
          <w:caps/>
          <w:sz w:val="22"/>
          <w:szCs w:val="20"/>
        </w:rPr>
        <w:t>NA</w:t>
      </w:r>
    </w:p>
    <w:p w14:paraId="73C30F73" w14:textId="77777777" w:rsidR="006C73C4" w:rsidRPr="00C25DF2" w:rsidRDefault="006C73C4" w:rsidP="006C73C4">
      <w:pPr>
        <w:keepNext/>
        <w:tabs>
          <w:tab w:val="left" w:pos="562"/>
        </w:tabs>
        <w:suppressAutoHyphens/>
        <w:ind w:left="540" w:hanging="540"/>
        <w:rPr>
          <w:sz w:val="22"/>
        </w:rPr>
      </w:pPr>
    </w:p>
    <w:p w14:paraId="1D349668" w14:textId="77777777" w:rsidR="006C73C4" w:rsidRPr="00FA69E8" w:rsidRDefault="00615769" w:rsidP="006C73C4">
      <w:pPr>
        <w:keepNext/>
        <w:tabs>
          <w:tab w:val="left" w:pos="562"/>
        </w:tabs>
        <w:suppressAutoHyphens/>
        <w:ind w:left="540" w:hanging="540"/>
        <w:rPr>
          <w:sz w:val="22"/>
        </w:rPr>
      </w:pPr>
      <w:r w:rsidRPr="00FA69E8">
        <w:rPr>
          <w:sz w:val="22"/>
        </w:rPr>
        <w:t>PC</w:t>
      </w:r>
    </w:p>
    <w:p w14:paraId="057ACF5A" w14:textId="77777777" w:rsidR="006C73C4" w:rsidRPr="00FA69E8" w:rsidRDefault="00615769" w:rsidP="006C73C4">
      <w:pPr>
        <w:keepNext/>
        <w:tabs>
          <w:tab w:val="left" w:pos="562"/>
        </w:tabs>
        <w:suppressAutoHyphens/>
        <w:ind w:left="540" w:hanging="540"/>
        <w:rPr>
          <w:sz w:val="22"/>
        </w:rPr>
      </w:pPr>
      <w:r w:rsidRPr="00FA69E8">
        <w:rPr>
          <w:sz w:val="22"/>
        </w:rPr>
        <w:t>SN</w:t>
      </w:r>
    </w:p>
    <w:p w14:paraId="537172AE" w14:textId="77777777" w:rsidR="006C73C4" w:rsidRPr="009B235D" w:rsidRDefault="00615769" w:rsidP="006C73C4">
      <w:pPr>
        <w:keepNext/>
        <w:tabs>
          <w:tab w:val="left" w:pos="562"/>
        </w:tabs>
        <w:suppressAutoHyphens/>
        <w:ind w:left="540" w:hanging="540"/>
        <w:rPr>
          <w:sz w:val="22"/>
          <w:shd w:val="pct15" w:color="auto" w:fill="FFFFFF"/>
        </w:rPr>
      </w:pPr>
      <w:r w:rsidRPr="009B235D">
        <w:rPr>
          <w:sz w:val="22"/>
          <w:shd w:val="pct15" w:color="auto" w:fill="FFFFFF"/>
        </w:rPr>
        <w:t>NN</w:t>
      </w:r>
    </w:p>
    <w:p w14:paraId="424965E3" w14:textId="77777777" w:rsidR="00737C40" w:rsidRDefault="00615769">
      <w:pPr>
        <w:spacing w:after="200" w:line="276" w:lineRule="auto"/>
        <w:rPr>
          <w:sz w:val="22"/>
        </w:rPr>
      </w:pPr>
      <w:r>
        <w:rPr>
          <w:sz w:val="22"/>
        </w:rPr>
        <w:br w:type="page"/>
      </w:r>
    </w:p>
    <w:p w14:paraId="14D685CA" w14:textId="77777777" w:rsidR="004C6F1A" w:rsidRPr="008912CF" w:rsidRDefault="00615769" w:rsidP="004C6F1A">
      <w:pPr>
        <w:pBdr>
          <w:top w:val="single" w:sz="4" w:space="1" w:color="auto"/>
          <w:left w:val="single" w:sz="4" w:space="4" w:color="auto"/>
          <w:bottom w:val="single" w:sz="4" w:space="1" w:color="auto"/>
          <w:right w:val="single" w:sz="4" w:space="4" w:color="auto"/>
        </w:pBdr>
        <w:tabs>
          <w:tab w:val="left" w:pos="567"/>
        </w:tabs>
        <w:rPr>
          <w:b/>
          <w:sz w:val="22"/>
          <w:szCs w:val="22"/>
        </w:rPr>
      </w:pPr>
      <w:r w:rsidRPr="008912CF">
        <w:rPr>
          <w:b/>
          <w:sz w:val="22"/>
          <w:szCs w:val="22"/>
        </w:rPr>
        <w:t>INDICAÇÕES MÍNIMAS A INCLUIR NAS EMBALAGENS "BLISTER" OU FITAS CONTENTORAS</w:t>
      </w:r>
    </w:p>
    <w:p w14:paraId="04D76570" w14:textId="77777777" w:rsidR="004C6F1A" w:rsidRPr="008912CF" w:rsidRDefault="004C6F1A" w:rsidP="004C6F1A">
      <w:pPr>
        <w:pBdr>
          <w:top w:val="single" w:sz="4" w:space="1" w:color="auto"/>
          <w:left w:val="single" w:sz="4" w:space="4" w:color="auto"/>
          <w:bottom w:val="single" w:sz="4" w:space="1" w:color="auto"/>
          <w:right w:val="single" w:sz="4" w:space="4" w:color="auto"/>
        </w:pBdr>
        <w:tabs>
          <w:tab w:val="left" w:pos="567"/>
        </w:tabs>
        <w:rPr>
          <w:b/>
          <w:sz w:val="22"/>
          <w:szCs w:val="22"/>
        </w:rPr>
      </w:pPr>
    </w:p>
    <w:p w14:paraId="565B1F00" w14:textId="77777777" w:rsidR="004C6F1A" w:rsidRPr="008912CF" w:rsidRDefault="00615769" w:rsidP="004C6F1A">
      <w:pPr>
        <w:pStyle w:val="Heading3"/>
        <w:keepNext w:val="0"/>
        <w:pBdr>
          <w:top w:val="single" w:sz="4" w:space="1" w:color="auto"/>
          <w:left w:val="single" w:sz="4" w:space="4" w:color="auto"/>
          <w:bottom w:val="single" w:sz="4" w:space="1" w:color="auto"/>
          <w:right w:val="single" w:sz="4" w:space="4" w:color="auto"/>
        </w:pBdr>
        <w:spacing w:before="0" w:after="0" w:line="240" w:lineRule="auto"/>
        <w:rPr>
          <w:caps/>
          <w:sz w:val="22"/>
          <w:szCs w:val="22"/>
          <w:highlight w:val="lightGray"/>
          <w:lang w:val="pt-PT"/>
        </w:rPr>
      </w:pPr>
      <w:r w:rsidRPr="008912CF">
        <w:rPr>
          <w:caps/>
          <w:sz w:val="22"/>
          <w:szCs w:val="22"/>
          <w:lang w:val="pt-PT"/>
        </w:rPr>
        <w:t>Texto para o verso do tabuleiro</w:t>
      </w:r>
    </w:p>
    <w:p w14:paraId="00C12E60" w14:textId="77777777" w:rsidR="004C6F1A" w:rsidRPr="008912CF" w:rsidRDefault="004C6F1A" w:rsidP="004C6F1A">
      <w:pPr>
        <w:tabs>
          <w:tab w:val="left" w:pos="720"/>
        </w:tabs>
        <w:rPr>
          <w:sz w:val="22"/>
          <w:szCs w:val="22"/>
        </w:rPr>
      </w:pPr>
    </w:p>
    <w:p w14:paraId="0E1CD785" w14:textId="77777777" w:rsidR="004C6F1A" w:rsidRPr="008912CF" w:rsidRDefault="004C6F1A" w:rsidP="004C6F1A">
      <w:pPr>
        <w:tabs>
          <w:tab w:val="left" w:pos="720"/>
        </w:tabs>
        <w:rPr>
          <w:sz w:val="22"/>
          <w:szCs w:val="22"/>
        </w:rPr>
      </w:pPr>
    </w:p>
    <w:p w14:paraId="0384B71A" w14:textId="77777777" w:rsidR="004C6F1A" w:rsidRPr="008912CF" w:rsidRDefault="00615769" w:rsidP="004C6F1A">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rPr>
      </w:pPr>
      <w:r w:rsidRPr="008912CF">
        <w:rPr>
          <w:b/>
          <w:sz w:val="22"/>
          <w:szCs w:val="22"/>
        </w:rPr>
        <w:t>1.</w:t>
      </w:r>
      <w:r w:rsidRPr="008912CF">
        <w:rPr>
          <w:b/>
          <w:sz w:val="22"/>
          <w:szCs w:val="22"/>
        </w:rPr>
        <w:tab/>
        <w:t>NOME DO MEDICAMENTO</w:t>
      </w:r>
    </w:p>
    <w:p w14:paraId="15711EC0" w14:textId="77777777" w:rsidR="004C6F1A" w:rsidRPr="008912CF" w:rsidRDefault="004C6F1A" w:rsidP="004C6F1A">
      <w:pPr>
        <w:tabs>
          <w:tab w:val="left" w:pos="720"/>
        </w:tabs>
        <w:ind w:left="567" w:hanging="567"/>
        <w:rPr>
          <w:sz w:val="22"/>
          <w:szCs w:val="22"/>
        </w:rPr>
      </w:pPr>
    </w:p>
    <w:p w14:paraId="2FB573B8" w14:textId="77777777" w:rsidR="004C6F1A" w:rsidRPr="008912CF" w:rsidRDefault="00615769" w:rsidP="004C6F1A">
      <w:pPr>
        <w:tabs>
          <w:tab w:val="left" w:pos="720"/>
        </w:tabs>
        <w:ind w:left="567" w:hanging="567"/>
        <w:rPr>
          <w:sz w:val="22"/>
          <w:szCs w:val="22"/>
        </w:rPr>
      </w:pPr>
      <w:r w:rsidRPr="008912CF">
        <w:rPr>
          <w:sz w:val="22"/>
          <w:szCs w:val="22"/>
        </w:rPr>
        <w:t xml:space="preserve">Humira </w:t>
      </w:r>
      <w:r>
        <w:rPr>
          <w:sz w:val="22"/>
          <w:szCs w:val="22"/>
        </w:rPr>
        <w:t>2</w:t>
      </w:r>
      <w:r w:rsidRPr="008912CF">
        <w:rPr>
          <w:sz w:val="22"/>
          <w:szCs w:val="22"/>
        </w:rPr>
        <w:t xml:space="preserve">0 mg solução injetável em seringa pré-cheia </w:t>
      </w:r>
    </w:p>
    <w:p w14:paraId="5F25325F" w14:textId="77777777" w:rsidR="004C6F1A" w:rsidRPr="008912CF" w:rsidRDefault="00615769" w:rsidP="004C6F1A">
      <w:pPr>
        <w:tabs>
          <w:tab w:val="left" w:pos="720"/>
        </w:tabs>
        <w:ind w:left="567" w:hanging="567"/>
        <w:rPr>
          <w:sz w:val="22"/>
          <w:szCs w:val="22"/>
        </w:rPr>
      </w:pPr>
      <w:r w:rsidRPr="008912CF">
        <w:rPr>
          <w:sz w:val="22"/>
          <w:szCs w:val="22"/>
        </w:rPr>
        <w:t>adalimumab</w:t>
      </w:r>
    </w:p>
    <w:p w14:paraId="310A4483" w14:textId="77777777" w:rsidR="004C6F1A" w:rsidRPr="008912CF" w:rsidRDefault="004C6F1A" w:rsidP="004C6F1A">
      <w:pPr>
        <w:tabs>
          <w:tab w:val="left" w:pos="720"/>
        </w:tabs>
        <w:rPr>
          <w:sz w:val="22"/>
          <w:szCs w:val="22"/>
        </w:rPr>
      </w:pPr>
    </w:p>
    <w:p w14:paraId="71F31739" w14:textId="77777777" w:rsidR="004C6F1A" w:rsidRPr="008912CF" w:rsidRDefault="004C6F1A" w:rsidP="004C6F1A">
      <w:pPr>
        <w:tabs>
          <w:tab w:val="left" w:pos="720"/>
        </w:tabs>
        <w:rPr>
          <w:sz w:val="22"/>
          <w:szCs w:val="22"/>
        </w:rPr>
      </w:pPr>
    </w:p>
    <w:p w14:paraId="15CEEA68" w14:textId="77777777" w:rsidR="004C6F1A" w:rsidRPr="008912CF" w:rsidRDefault="00615769" w:rsidP="004C6F1A">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b/>
          <w:sz w:val="22"/>
          <w:szCs w:val="22"/>
          <w:highlight w:val="lightGray"/>
        </w:rPr>
      </w:pPr>
      <w:r w:rsidRPr="008912CF">
        <w:rPr>
          <w:b/>
          <w:sz w:val="22"/>
          <w:szCs w:val="22"/>
        </w:rPr>
        <w:t>2.</w:t>
      </w:r>
      <w:r w:rsidRPr="008912CF">
        <w:rPr>
          <w:b/>
          <w:sz w:val="22"/>
          <w:szCs w:val="22"/>
        </w:rPr>
        <w:tab/>
      </w:r>
      <w:r w:rsidRPr="008912CF">
        <w:rPr>
          <w:b/>
          <w:sz w:val="22"/>
          <w:szCs w:val="22"/>
        </w:rPr>
        <w:t>NOME DO TITULAR DA AUTORIZAÇÃO DE INTRODUÇÃO NO MERCADO</w:t>
      </w:r>
    </w:p>
    <w:p w14:paraId="3E0365A2" w14:textId="77777777" w:rsidR="004C6F1A" w:rsidRPr="008912CF" w:rsidRDefault="004C6F1A" w:rsidP="004C6F1A">
      <w:pPr>
        <w:tabs>
          <w:tab w:val="left" w:pos="720"/>
        </w:tabs>
        <w:rPr>
          <w:sz w:val="22"/>
          <w:szCs w:val="22"/>
        </w:rPr>
      </w:pPr>
    </w:p>
    <w:p w14:paraId="235EC721" w14:textId="77777777" w:rsidR="004C6F1A" w:rsidRPr="008912CF" w:rsidRDefault="00615769" w:rsidP="004C6F1A">
      <w:pPr>
        <w:tabs>
          <w:tab w:val="left" w:pos="720"/>
        </w:tabs>
        <w:rPr>
          <w:sz w:val="22"/>
          <w:szCs w:val="22"/>
        </w:rPr>
      </w:pPr>
      <w:r w:rsidRPr="008912CF">
        <w:rPr>
          <w:sz w:val="22"/>
          <w:szCs w:val="22"/>
        </w:rPr>
        <w:t xml:space="preserve">AbbVie </w:t>
      </w:r>
      <w:r w:rsidR="006E33AB" w:rsidRPr="0074724A">
        <w:rPr>
          <w:sz w:val="22"/>
          <w:szCs w:val="22"/>
          <w:highlight w:val="lightGray"/>
          <w:lang w:eastAsia="en-GB"/>
        </w:rPr>
        <w:t>(como logo)</w:t>
      </w:r>
    </w:p>
    <w:p w14:paraId="0609F736" w14:textId="77777777" w:rsidR="004C6F1A" w:rsidRPr="008912CF" w:rsidRDefault="004C6F1A" w:rsidP="004C6F1A">
      <w:pPr>
        <w:tabs>
          <w:tab w:val="left" w:pos="720"/>
        </w:tabs>
        <w:rPr>
          <w:sz w:val="22"/>
          <w:szCs w:val="22"/>
        </w:rPr>
      </w:pPr>
    </w:p>
    <w:p w14:paraId="475D8B43" w14:textId="77777777" w:rsidR="004C6F1A" w:rsidRPr="008912CF" w:rsidRDefault="004C6F1A" w:rsidP="004C6F1A">
      <w:pPr>
        <w:pStyle w:val="EndnoteText"/>
        <w:tabs>
          <w:tab w:val="clear" w:pos="567"/>
          <w:tab w:val="left" w:pos="720"/>
        </w:tabs>
        <w:rPr>
          <w:szCs w:val="22"/>
        </w:rPr>
      </w:pPr>
    </w:p>
    <w:p w14:paraId="6AB46F77" w14:textId="77777777" w:rsidR="004C6F1A" w:rsidRPr="008912CF" w:rsidRDefault="00615769" w:rsidP="004C6F1A">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b/>
          <w:sz w:val="22"/>
          <w:szCs w:val="22"/>
          <w:highlight w:val="lightGray"/>
        </w:rPr>
      </w:pPr>
      <w:r w:rsidRPr="008912CF">
        <w:rPr>
          <w:b/>
          <w:sz w:val="22"/>
          <w:szCs w:val="22"/>
        </w:rPr>
        <w:t>3.</w:t>
      </w:r>
      <w:r w:rsidRPr="008912CF">
        <w:rPr>
          <w:b/>
          <w:sz w:val="22"/>
          <w:szCs w:val="22"/>
        </w:rPr>
        <w:tab/>
        <w:t>PRAZO DE VALIDADE</w:t>
      </w:r>
    </w:p>
    <w:p w14:paraId="2725182D" w14:textId="77777777" w:rsidR="004C6F1A" w:rsidRPr="008912CF" w:rsidRDefault="004C6F1A" w:rsidP="004C6F1A">
      <w:pPr>
        <w:tabs>
          <w:tab w:val="left" w:pos="720"/>
        </w:tabs>
        <w:rPr>
          <w:sz w:val="22"/>
          <w:szCs w:val="22"/>
        </w:rPr>
      </w:pPr>
    </w:p>
    <w:p w14:paraId="551D380F" w14:textId="77777777" w:rsidR="004C6F1A" w:rsidRPr="008912CF" w:rsidRDefault="00615769" w:rsidP="004C6F1A">
      <w:pPr>
        <w:tabs>
          <w:tab w:val="left" w:pos="720"/>
        </w:tabs>
        <w:rPr>
          <w:sz w:val="22"/>
          <w:szCs w:val="22"/>
        </w:rPr>
      </w:pPr>
      <w:r>
        <w:rPr>
          <w:sz w:val="22"/>
          <w:szCs w:val="22"/>
        </w:rPr>
        <w:t>EXP</w:t>
      </w:r>
      <w:r w:rsidR="000E0DB5">
        <w:rPr>
          <w:sz w:val="22"/>
          <w:szCs w:val="22"/>
        </w:rPr>
        <w:t xml:space="preserve"> </w:t>
      </w:r>
    </w:p>
    <w:p w14:paraId="5CFC7CC0" w14:textId="77777777" w:rsidR="004C6F1A" w:rsidRPr="008912CF" w:rsidRDefault="004C6F1A" w:rsidP="004C6F1A">
      <w:pPr>
        <w:tabs>
          <w:tab w:val="left" w:pos="720"/>
        </w:tabs>
        <w:rPr>
          <w:sz w:val="22"/>
          <w:szCs w:val="22"/>
        </w:rPr>
      </w:pPr>
    </w:p>
    <w:p w14:paraId="5D4AC1C4" w14:textId="77777777" w:rsidR="004C6F1A" w:rsidRPr="008912CF" w:rsidRDefault="004C6F1A" w:rsidP="004C6F1A">
      <w:pPr>
        <w:tabs>
          <w:tab w:val="left" w:pos="720"/>
        </w:tabs>
        <w:rPr>
          <w:sz w:val="22"/>
          <w:szCs w:val="22"/>
        </w:rPr>
      </w:pPr>
    </w:p>
    <w:p w14:paraId="17F86B40" w14:textId="77777777" w:rsidR="004C6F1A" w:rsidRPr="008912CF" w:rsidRDefault="00615769" w:rsidP="004C6F1A">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4.</w:t>
      </w:r>
      <w:r w:rsidRPr="008912CF">
        <w:rPr>
          <w:b/>
          <w:sz w:val="22"/>
          <w:szCs w:val="22"/>
        </w:rPr>
        <w:tab/>
        <w:t>NÚMERO DO LOTE</w:t>
      </w:r>
    </w:p>
    <w:p w14:paraId="30373112" w14:textId="77777777" w:rsidR="004C6F1A" w:rsidRPr="008912CF" w:rsidRDefault="004C6F1A" w:rsidP="004C6F1A">
      <w:pPr>
        <w:tabs>
          <w:tab w:val="left" w:pos="720"/>
        </w:tabs>
        <w:rPr>
          <w:sz w:val="22"/>
          <w:szCs w:val="22"/>
        </w:rPr>
      </w:pPr>
    </w:p>
    <w:p w14:paraId="50624991" w14:textId="77777777" w:rsidR="004C6F1A" w:rsidRPr="008912CF" w:rsidRDefault="00615769" w:rsidP="004C6F1A">
      <w:pPr>
        <w:tabs>
          <w:tab w:val="left" w:pos="720"/>
        </w:tabs>
        <w:rPr>
          <w:sz w:val="22"/>
          <w:szCs w:val="22"/>
        </w:rPr>
      </w:pPr>
      <w:r w:rsidRPr="008912CF">
        <w:rPr>
          <w:sz w:val="22"/>
          <w:szCs w:val="22"/>
        </w:rPr>
        <w:t>Lote</w:t>
      </w:r>
    </w:p>
    <w:p w14:paraId="65AD2B32" w14:textId="77777777" w:rsidR="004C6F1A" w:rsidRPr="008912CF" w:rsidRDefault="004C6F1A" w:rsidP="004C6F1A">
      <w:pPr>
        <w:tabs>
          <w:tab w:val="left" w:pos="720"/>
        </w:tabs>
        <w:rPr>
          <w:sz w:val="22"/>
          <w:szCs w:val="22"/>
        </w:rPr>
      </w:pPr>
    </w:p>
    <w:p w14:paraId="3F5F101B" w14:textId="77777777" w:rsidR="004C6F1A" w:rsidRPr="008912CF" w:rsidRDefault="004C6F1A" w:rsidP="004C6F1A">
      <w:pPr>
        <w:tabs>
          <w:tab w:val="left" w:pos="720"/>
        </w:tabs>
        <w:rPr>
          <w:sz w:val="22"/>
          <w:szCs w:val="22"/>
        </w:rPr>
      </w:pPr>
    </w:p>
    <w:p w14:paraId="3CF9A7B6" w14:textId="77777777" w:rsidR="004C6F1A" w:rsidRPr="008912CF" w:rsidRDefault="00615769" w:rsidP="004C6F1A">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5.</w:t>
      </w:r>
      <w:r w:rsidRPr="008912CF">
        <w:rPr>
          <w:b/>
          <w:sz w:val="22"/>
          <w:szCs w:val="22"/>
        </w:rPr>
        <w:tab/>
        <w:t>OUTR</w:t>
      </w:r>
      <w:r>
        <w:rPr>
          <w:b/>
          <w:sz w:val="22"/>
          <w:szCs w:val="22"/>
        </w:rPr>
        <w:t>O</w:t>
      </w:r>
      <w:r w:rsidRPr="008912CF">
        <w:rPr>
          <w:b/>
          <w:sz w:val="22"/>
          <w:szCs w:val="22"/>
        </w:rPr>
        <w:t>S</w:t>
      </w:r>
    </w:p>
    <w:p w14:paraId="50A3CB08" w14:textId="77777777" w:rsidR="004C6F1A" w:rsidRPr="008912CF" w:rsidRDefault="004C6F1A" w:rsidP="004C6F1A">
      <w:pPr>
        <w:pStyle w:val="EndnoteText"/>
        <w:tabs>
          <w:tab w:val="clear" w:pos="567"/>
          <w:tab w:val="left" w:pos="720"/>
        </w:tabs>
        <w:rPr>
          <w:szCs w:val="22"/>
        </w:rPr>
      </w:pPr>
    </w:p>
    <w:p w14:paraId="36B0CA8C" w14:textId="77777777" w:rsidR="004C6F1A" w:rsidRPr="008912CF" w:rsidRDefault="00615769" w:rsidP="004C6F1A">
      <w:pPr>
        <w:tabs>
          <w:tab w:val="left" w:pos="720"/>
        </w:tabs>
        <w:ind w:left="567" w:hanging="567"/>
        <w:rPr>
          <w:sz w:val="22"/>
          <w:szCs w:val="22"/>
        </w:rPr>
      </w:pPr>
      <w:r w:rsidRPr="008912CF">
        <w:rPr>
          <w:sz w:val="22"/>
          <w:szCs w:val="22"/>
        </w:rPr>
        <w:t>Para informação de conservação, ver folheto informativo.</w:t>
      </w:r>
    </w:p>
    <w:p w14:paraId="37573221" w14:textId="77777777" w:rsidR="004C6F1A" w:rsidRPr="008912CF" w:rsidRDefault="004C6F1A" w:rsidP="004C6F1A">
      <w:pPr>
        <w:shd w:val="clear" w:color="auto" w:fill="FFFFFF"/>
        <w:tabs>
          <w:tab w:val="left" w:pos="720"/>
        </w:tabs>
        <w:rPr>
          <w:sz w:val="22"/>
          <w:szCs w:val="22"/>
        </w:rPr>
      </w:pPr>
    </w:p>
    <w:p w14:paraId="272AEA97" w14:textId="77777777" w:rsidR="004C6F1A" w:rsidRDefault="00615769" w:rsidP="004C6F1A">
      <w:pPr>
        <w:tabs>
          <w:tab w:val="left" w:pos="720"/>
        </w:tabs>
        <w:rPr>
          <w:sz w:val="22"/>
          <w:szCs w:val="22"/>
        </w:rPr>
      </w:pPr>
      <w:r w:rsidRPr="008912CF">
        <w:rPr>
          <w:sz w:val="22"/>
          <w:szCs w:val="22"/>
        </w:rPr>
        <w:t>Apenas para uma única utilização</w:t>
      </w:r>
      <w:r w:rsidR="005A576B">
        <w:rPr>
          <w:sz w:val="22"/>
          <w:szCs w:val="22"/>
        </w:rPr>
        <w:t>.</w:t>
      </w:r>
    </w:p>
    <w:p w14:paraId="34766B16" w14:textId="77777777" w:rsidR="004C6F1A" w:rsidRDefault="004C6F1A" w:rsidP="004C6F1A">
      <w:pPr>
        <w:tabs>
          <w:tab w:val="left" w:pos="720"/>
        </w:tabs>
        <w:rPr>
          <w:sz w:val="22"/>
          <w:szCs w:val="22"/>
        </w:rPr>
      </w:pPr>
    </w:p>
    <w:p w14:paraId="3DF708BA" w14:textId="77777777" w:rsidR="004C6F1A" w:rsidRPr="008912CF" w:rsidRDefault="00615769" w:rsidP="002F486F">
      <w:pPr>
        <w:rPr>
          <w:sz w:val="22"/>
          <w:szCs w:val="22"/>
        </w:rPr>
      </w:pPr>
      <w:r>
        <w:rPr>
          <w:sz w:val="22"/>
          <w:szCs w:val="22"/>
        </w:rPr>
        <w:t>Para uso pediátrico</w:t>
      </w:r>
      <w:r w:rsidR="00071159" w:rsidRPr="00071159">
        <w:rPr>
          <w:sz w:val="22"/>
          <w:szCs w:val="22"/>
        </w:rPr>
        <w:t xml:space="preserve"> </w:t>
      </w:r>
    </w:p>
    <w:p w14:paraId="4916AA53" w14:textId="77777777" w:rsidR="004C6F1A" w:rsidRPr="008912CF" w:rsidRDefault="00615769" w:rsidP="004C6F1A">
      <w:pPr>
        <w:tabs>
          <w:tab w:val="left" w:pos="720"/>
        </w:tabs>
        <w:rPr>
          <w:szCs w:val="22"/>
        </w:rPr>
      </w:pPr>
      <w:r w:rsidRPr="008912CF">
        <w:rPr>
          <w:szCs w:val="22"/>
        </w:rPr>
        <w:br w:type="page"/>
      </w:r>
    </w:p>
    <w:p w14:paraId="05911B6E" w14:textId="77777777" w:rsidR="004C6F1A" w:rsidRPr="008912CF" w:rsidRDefault="00615769" w:rsidP="004C6F1A">
      <w:pPr>
        <w:pBdr>
          <w:top w:val="single" w:sz="4" w:space="1" w:color="auto"/>
          <w:left w:val="single" w:sz="4" w:space="1" w:color="auto"/>
          <w:bottom w:val="single" w:sz="4" w:space="1" w:color="auto"/>
          <w:right w:val="single" w:sz="4" w:space="1" w:color="auto"/>
        </w:pBdr>
        <w:tabs>
          <w:tab w:val="left" w:pos="567"/>
        </w:tabs>
        <w:rPr>
          <w:b/>
          <w:sz w:val="22"/>
          <w:szCs w:val="22"/>
        </w:rPr>
      </w:pPr>
      <w:r w:rsidRPr="008912CF">
        <w:rPr>
          <w:b/>
          <w:sz w:val="22"/>
          <w:szCs w:val="22"/>
        </w:rPr>
        <w:t>INDICAÇÕES MÍNIMAS A INCLUIR EM PEQUENAS UNIDADES DE ACONDICIONAMENTO PRIMÁRIO</w:t>
      </w:r>
    </w:p>
    <w:p w14:paraId="2AD6064E" w14:textId="77777777" w:rsidR="004C6F1A" w:rsidRPr="008912CF" w:rsidRDefault="004C6F1A" w:rsidP="004C6F1A">
      <w:pPr>
        <w:pBdr>
          <w:top w:val="single" w:sz="4" w:space="1" w:color="auto"/>
          <w:left w:val="single" w:sz="4" w:space="1" w:color="auto"/>
          <w:bottom w:val="single" w:sz="4" w:space="1" w:color="auto"/>
          <w:right w:val="single" w:sz="4" w:space="1" w:color="auto"/>
        </w:pBdr>
        <w:tabs>
          <w:tab w:val="left" w:pos="567"/>
        </w:tabs>
        <w:rPr>
          <w:b/>
          <w:bCs/>
          <w:sz w:val="22"/>
          <w:szCs w:val="22"/>
        </w:rPr>
      </w:pPr>
    </w:p>
    <w:p w14:paraId="6FBCB2C7" w14:textId="77777777" w:rsidR="004C6F1A" w:rsidRPr="008912CF" w:rsidRDefault="00615769" w:rsidP="004C6F1A">
      <w:pPr>
        <w:pStyle w:val="Heading1"/>
        <w:keepNext w:val="0"/>
        <w:pBdr>
          <w:left w:val="single" w:sz="4" w:space="1" w:color="auto"/>
          <w:right w:val="single" w:sz="4" w:space="1" w:color="auto"/>
        </w:pBdr>
        <w:rPr>
          <w:caps/>
          <w:szCs w:val="22"/>
        </w:rPr>
      </w:pPr>
      <w:r w:rsidRPr="008912CF">
        <w:rPr>
          <w:caps/>
          <w:szCs w:val="22"/>
        </w:rPr>
        <w:t>Rótulo da seringa</w:t>
      </w:r>
    </w:p>
    <w:p w14:paraId="35237155" w14:textId="77777777" w:rsidR="004C6F1A" w:rsidRPr="008912CF" w:rsidRDefault="004C6F1A" w:rsidP="004C6F1A">
      <w:pPr>
        <w:pStyle w:val="Index1"/>
        <w:spacing w:line="240" w:lineRule="auto"/>
        <w:rPr>
          <w:szCs w:val="22"/>
          <w:lang w:val="pt-PT"/>
        </w:rPr>
      </w:pPr>
    </w:p>
    <w:p w14:paraId="2BBF993B" w14:textId="77777777" w:rsidR="004C6F1A" w:rsidRPr="008912CF" w:rsidRDefault="004C6F1A" w:rsidP="004C6F1A">
      <w:pPr>
        <w:tabs>
          <w:tab w:val="left" w:pos="720"/>
        </w:tabs>
        <w:rPr>
          <w:b/>
          <w:sz w:val="22"/>
          <w:szCs w:val="22"/>
        </w:rPr>
      </w:pPr>
    </w:p>
    <w:p w14:paraId="70662D9E" w14:textId="77777777" w:rsidR="004C6F1A" w:rsidRPr="008912CF" w:rsidRDefault="00615769" w:rsidP="004C6F1A">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1.</w:t>
      </w:r>
      <w:r w:rsidRPr="008912CF">
        <w:rPr>
          <w:b/>
          <w:sz w:val="22"/>
          <w:szCs w:val="22"/>
        </w:rPr>
        <w:tab/>
        <w:t>NOME DO MEDICAMENTO E VIA DE ADMINISTRAÇÃO</w:t>
      </w:r>
    </w:p>
    <w:p w14:paraId="1AF107A7" w14:textId="77777777" w:rsidR="004C6F1A" w:rsidRPr="008912CF" w:rsidRDefault="004C6F1A" w:rsidP="004C6F1A">
      <w:pPr>
        <w:tabs>
          <w:tab w:val="left" w:pos="720"/>
        </w:tabs>
        <w:ind w:left="567" w:hanging="567"/>
        <w:rPr>
          <w:sz w:val="22"/>
          <w:szCs w:val="22"/>
        </w:rPr>
      </w:pPr>
    </w:p>
    <w:p w14:paraId="2BBF51E2" w14:textId="77777777" w:rsidR="004C6F1A" w:rsidRPr="008912CF" w:rsidRDefault="00615769" w:rsidP="004C6F1A">
      <w:pPr>
        <w:tabs>
          <w:tab w:val="left" w:pos="720"/>
        </w:tabs>
        <w:rPr>
          <w:sz w:val="22"/>
          <w:szCs w:val="22"/>
        </w:rPr>
      </w:pPr>
      <w:r w:rsidRPr="008912CF">
        <w:rPr>
          <w:sz w:val="22"/>
          <w:szCs w:val="22"/>
        </w:rPr>
        <w:t xml:space="preserve">Humira </w:t>
      </w:r>
      <w:r>
        <w:rPr>
          <w:sz w:val="22"/>
          <w:szCs w:val="22"/>
        </w:rPr>
        <w:t>2</w:t>
      </w:r>
      <w:r w:rsidRPr="008912CF">
        <w:rPr>
          <w:sz w:val="22"/>
          <w:szCs w:val="22"/>
        </w:rPr>
        <w:t>0 mg solução injetável</w:t>
      </w:r>
    </w:p>
    <w:p w14:paraId="65B51820" w14:textId="77777777" w:rsidR="004C6F1A" w:rsidRPr="008912CF" w:rsidRDefault="00615769" w:rsidP="004C6F1A">
      <w:pPr>
        <w:tabs>
          <w:tab w:val="left" w:pos="720"/>
        </w:tabs>
        <w:rPr>
          <w:sz w:val="22"/>
          <w:szCs w:val="22"/>
        </w:rPr>
      </w:pPr>
      <w:r w:rsidRPr="008912CF">
        <w:rPr>
          <w:sz w:val="22"/>
          <w:szCs w:val="22"/>
        </w:rPr>
        <w:t>adalimumab</w:t>
      </w:r>
    </w:p>
    <w:p w14:paraId="6F6B7956" w14:textId="77777777" w:rsidR="004C6F1A" w:rsidRPr="008912CF" w:rsidRDefault="00615769" w:rsidP="004C6F1A">
      <w:pPr>
        <w:pStyle w:val="EndnoteText"/>
        <w:tabs>
          <w:tab w:val="clear" w:pos="567"/>
          <w:tab w:val="left" w:pos="720"/>
        </w:tabs>
        <w:rPr>
          <w:szCs w:val="22"/>
        </w:rPr>
      </w:pPr>
      <w:r>
        <w:rPr>
          <w:szCs w:val="22"/>
        </w:rPr>
        <w:t>SC</w:t>
      </w:r>
    </w:p>
    <w:p w14:paraId="091ABFCC" w14:textId="77777777" w:rsidR="004C6F1A" w:rsidRPr="008912CF" w:rsidRDefault="004C6F1A" w:rsidP="004C6F1A">
      <w:pPr>
        <w:tabs>
          <w:tab w:val="left" w:pos="720"/>
        </w:tabs>
        <w:rPr>
          <w:bCs/>
          <w:sz w:val="22"/>
          <w:szCs w:val="22"/>
        </w:rPr>
      </w:pPr>
    </w:p>
    <w:p w14:paraId="623CA9C8" w14:textId="77777777" w:rsidR="004C6F1A" w:rsidRPr="008912CF" w:rsidRDefault="004C6F1A" w:rsidP="004C6F1A">
      <w:pPr>
        <w:tabs>
          <w:tab w:val="left" w:pos="720"/>
        </w:tabs>
        <w:rPr>
          <w:bCs/>
          <w:sz w:val="22"/>
          <w:szCs w:val="22"/>
        </w:rPr>
      </w:pPr>
    </w:p>
    <w:p w14:paraId="4C4A5218" w14:textId="77777777" w:rsidR="004C6F1A" w:rsidRPr="008912CF" w:rsidRDefault="00615769" w:rsidP="004C6F1A">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b/>
          <w:sz w:val="22"/>
          <w:szCs w:val="22"/>
          <w:highlight w:val="lightGray"/>
        </w:rPr>
      </w:pPr>
      <w:r w:rsidRPr="008912CF">
        <w:rPr>
          <w:b/>
          <w:sz w:val="22"/>
          <w:szCs w:val="22"/>
        </w:rPr>
        <w:t>2.</w:t>
      </w:r>
      <w:r w:rsidRPr="008912CF">
        <w:rPr>
          <w:b/>
          <w:sz w:val="22"/>
          <w:szCs w:val="22"/>
        </w:rPr>
        <w:tab/>
        <w:t>MODO DE ADMINISTRAÇÃO</w:t>
      </w:r>
    </w:p>
    <w:p w14:paraId="5A3C46E6" w14:textId="77777777" w:rsidR="004C6F1A" w:rsidRPr="008912CF" w:rsidRDefault="004C6F1A" w:rsidP="004C6F1A">
      <w:pPr>
        <w:pStyle w:val="IndexHeading"/>
        <w:tabs>
          <w:tab w:val="clear" w:pos="567"/>
          <w:tab w:val="left" w:pos="720"/>
        </w:tabs>
        <w:spacing w:line="240" w:lineRule="auto"/>
        <w:rPr>
          <w:rFonts w:ascii="Times New Roman" w:hAnsi="Times New Roman"/>
          <w:b w:val="0"/>
          <w:bCs/>
          <w:szCs w:val="22"/>
          <w:lang w:val="pt-PT"/>
        </w:rPr>
      </w:pPr>
    </w:p>
    <w:p w14:paraId="5578B9C6" w14:textId="77777777" w:rsidR="004C6F1A" w:rsidRPr="008912CF" w:rsidRDefault="004C6F1A" w:rsidP="004C6F1A">
      <w:pPr>
        <w:tabs>
          <w:tab w:val="left" w:pos="720"/>
        </w:tabs>
        <w:rPr>
          <w:bCs/>
          <w:sz w:val="22"/>
          <w:szCs w:val="22"/>
        </w:rPr>
      </w:pPr>
    </w:p>
    <w:p w14:paraId="137BC111" w14:textId="77777777" w:rsidR="004C6F1A" w:rsidRPr="008912CF" w:rsidRDefault="00615769" w:rsidP="004C6F1A">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3.</w:t>
      </w:r>
      <w:r w:rsidRPr="008912CF">
        <w:rPr>
          <w:b/>
          <w:sz w:val="22"/>
          <w:szCs w:val="22"/>
        </w:rPr>
        <w:tab/>
        <w:t>PRAZO DE VALIDADE</w:t>
      </w:r>
    </w:p>
    <w:p w14:paraId="0DAA5E61" w14:textId="77777777" w:rsidR="004C6F1A" w:rsidRPr="008912CF" w:rsidRDefault="004C6F1A" w:rsidP="004C6F1A">
      <w:pPr>
        <w:tabs>
          <w:tab w:val="left" w:pos="720"/>
        </w:tabs>
        <w:rPr>
          <w:sz w:val="22"/>
          <w:szCs w:val="22"/>
        </w:rPr>
      </w:pPr>
    </w:p>
    <w:p w14:paraId="5BF3615D" w14:textId="77777777" w:rsidR="004C6F1A" w:rsidRPr="008912CF" w:rsidRDefault="00615769" w:rsidP="004C6F1A">
      <w:pPr>
        <w:pStyle w:val="EndnoteText"/>
        <w:tabs>
          <w:tab w:val="clear" w:pos="567"/>
          <w:tab w:val="left" w:pos="720"/>
        </w:tabs>
        <w:rPr>
          <w:szCs w:val="22"/>
        </w:rPr>
      </w:pPr>
      <w:r>
        <w:rPr>
          <w:szCs w:val="22"/>
        </w:rPr>
        <w:t>EXP</w:t>
      </w:r>
      <w:r w:rsidRPr="008912CF">
        <w:rPr>
          <w:szCs w:val="22"/>
        </w:rPr>
        <w:t xml:space="preserve"> </w:t>
      </w:r>
    </w:p>
    <w:p w14:paraId="22EB1A7B" w14:textId="77777777" w:rsidR="004C6F1A" w:rsidRPr="008912CF" w:rsidRDefault="004C6F1A" w:rsidP="004C6F1A">
      <w:pPr>
        <w:tabs>
          <w:tab w:val="left" w:pos="720"/>
        </w:tabs>
        <w:rPr>
          <w:sz w:val="22"/>
          <w:szCs w:val="22"/>
        </w:rPr>
      </w:pPr>
    </w:p>
    <w:p w14:paraId="3063B787" w14:textId="77777777" w:rsidR="004C6F1A" w:rsidRPr="008912CF" w:rsidRDefault="004C6F1A" w:rsidP="004C6F1A">
      <w:pPr>
        <w:tabs>
          <w:tab w:val="left" w:pos="720"/>
        </w:tabs>
        <w:rPr>
          <w:sz w:val="22"/>
          <w:szCs w:val="22"/>
        </w:rPr>
      </w:pPr>
    </w:p>
    <w:p w14:paraId="7C847D85" w14:textId="77777777" w:rsidR="004C6F1A" w:rsidRPr="008912CF" w:rsidRDefault="00615769" w:rsidP="004C6F1A">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4.</w:t>
      </w:r>
      <w:r w:rsidRPr="008912CF">
        <w:rPr>
          <w:b/>
          <w:sz w:val="22"/>
          <w:szCs w:val="22"/>
        </w:rPr>
        <w:tab/>
        <w:t>NÚMERO DO LOTE</w:t>
      </w:r>
    </w:p>
    <w:p w14:paraId="01D06276" w14:textId="77777777" w:rsidR="004C6F1A" w:rsidRPr="008912CF" w:rsidRDefault="004C6F1A" w:rsidP="004C6F1A">
      <w:pPr>
        <w:tabs>
          <w:tab w:val="left" w:pos="720"/>
        </w:tabs>
        <w:rPr>
          <w:sz w:val="22"/>
          <w:szCs w:val="22"/>
        </w:rPr>
      </w:pPr>
    </w:p>
    <w:p w14:paraId="325E082F" w14:textId="77777777" w:rsidR="004C6F1A" w:rsidRPr="008912CF" w:rsidRDefault="00615769" w:rsidP="004C6F1A">
      <w:pPr>
        <w:tabs>
          <w:tab w:val="left" w:pos="720"/>
        </w:tabs>
        <w:rPr>
          <w:sz w:val="22"/>
          <w:szCs w:val="22"/>
        </w:rPr>
      </w:pPr>
      <w:r w:rsidRPr="008912CF">
        <w:rPr>
          <w:sz w:val="22"/>
          <w:szCs w:val="22"/>
        </w:rPr>
        <w:t>Lote</w:t>
      </w:r>
    </w:p>
    <w:p w14:paraId="5C6CB935" w14:textId="77777777" w:rsidR="004C6F1A" w:rsidRPr="008912CF" w:rsidRDefault="004C6F1A" w:rsidP="004C6F1A">
      <w:pPr>
        <w:tabs>
          <w:tab w:val="left" w:pos="720"/>
        </w:tabs>
        <w:ind w:right="113"/>
        <w:rPr>
          <w:sz w:val="22"/>
          <w:szCs w:val="22"/>
          <w:highlight w:val="lightGray"/>
        </w:rPr>
      </w:pPr>
    </w:p>
    <w:p w14:paraId="520A17B2" w14:textId="77777777" w:rsidR="004C6F1A" w:rsidRPr="008912CF" w:rsidRDefault="004C6F1A" w:rsidP="004C6F1A">
      <w:pPr>
        <w:tabs>
          <w:tab w:val="left" w:pos="720"/>
        </w:tabs>
        <w:ind w:right="113"/>
        <w:rPr>
          <w:sz w:val="22"/>
          <w:szCs w:val="22"/>
          <w:highlight w:val="lightGray"/>
        </w:rPr>
      </w:pPr>
    </w:p>
    <w:p w14:paraId="683BE1A7" w14:textId="77777777" w:rsidR="004C6F1A" w:rsidRPr="008912CF" w:rsidRDefault="00615769" w:rsidP="004C6F1A">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5.</w:t>
      </w:r>
      <w:r w:rsidRPr="008912CF">
        <w:rPr>
          <w:b/>
          <w:sz w:val="22"/>
          <w:szCs w:val="22"/>
        </w:rPr>
        <w:tab/>
        <w:t>CONTEÚDO EM PESO, VOLUME OU UNIDADE</w:t>
      </w:r>
    </w:p>
    <w:p w14:paraId="5C4CA346" w14:textId="77777777" w:rsidR="004C6F1A" w:rsidRPr="008912CF" w:rsidRDefault="004C6F1A" w:rsidP="004C6F1A">
      <w:pPr>
        <w:tabs>
          <w:tab w:val="left" w:pos="720"/>
        </w:tabs>
        <w:rPr>
          <w:sz w:val="22"/>
          <w:szCs w:val="22"/>
        </w:rPr>
      </w:pPr>
    </w:p>
    <w:p w14:paraId="0320ABF2" w14:textId="77777777" w:rsidR="004C6F1A" w:rsidRPr="008912CF" w:rsidRDefault="00615769" w:rsidP="004C6F1A">
      <w:pPr>
        <w:tabs>
          <w:tab w:val="left" w:pos="720"/>
        </w:tabs>
        <w:rPr>
          <w:sz w:val="22"/>
          <w:szCs w:val="22"/>
        </w:rPr>
      </w:pPr>
      <w:r>
        <w:rPr>
          <w:sz w:val="22"/>
          <w:szCs w:val="22"/>
        </w:rPr>
        <w:t>2</w:t>
      </w:r>
      <w:r w:rsidRPr="008912CF">
        <w:rPr>
          <w:sz w:val="22"/>
          <w:szCs w:val="22"/>
        </w:rPr>
        <w:t>0 mg</w:t>
      </w:r>
      <w:r w:rsidRPr="009B235D">
        <w:rPr>
          <w:sz w:val="22"/>
          <w:szCs w:val="22"/>
          <w:shd w:val="pct15" w:color="auto" w:fill="FFFFFF"/>
        </w:rPr>
        <w:t>/0,2 ml</w:t>
      </w:r>
    </w:p>
    <w:p w14:paraId="17710B87" w14:textId="77777777" w:rsidR="004C6F1A" w:rsidRPr="008912CF" w:rsidRDefault="004C6F1A" w:rsidP="004C6F1A">
      <w:pPr>
        <w:tabs>
          <w:tab w:val="left" w:pos="720"/>
        </w:tabs>
        <w:rPr>
          <w:sz w:val="22"/>
          <w:szCs w:val="22"/>
        </w:rPr>
      </w:pPr>
    </w:p>
    <w:p w14:paraId="66D3FEC1" w14:textId="77777777" w:rsidR="004C6F1A" w:rsidRPr="008912CF" w:rsidRDefault="004C6F1A" w:rsidP="004C6F1A">
      <w:pPr>
        <w:tabs>
          <w:tab w:val="left" w:pos="720"/>
        </w:tabs>
        <w:rPr>
          <w:sz w:val="22"/>
          <w:szCs w:val="22"/>
        </w:rPr>
      </w:pPr>
    </w:p>
    <w:p w14:paraId="6DE1123E" w14:textId="77777777" w:rsidR="004C6F1A" w:rsidRPr="008912CF" w:rsidRDefault="00615769" w:rsidP="004C6F1A">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6.</w:t>
      </w:r>
      <w:r w:rsidRPr="008912CF">
        <w:rPr>
          <w:b/>
          <w:sz w:val="22"/>
          <w:szCs w:val="22"/>
        </w:rPr>
        <w:tab/>
        <w:t>OUTR</w:t>
      </w:r>
      <w:r>
        <w:rPr>
          <w:b/>
          <w:sz w:val="22"/>
          <w:szCs w:val="22"/>
        </w:rPr>
        <w:t>O</w:t>
      </w:r>
      <w:r w:rsidRPr="008912CF">
        <w:rPr>
          <w:b/>
          <w:sz w:val="22"/>
          <w:szCs w:val="22"/>
        </w:rPr>
        <w:t>S</w:t>
      </w:r>
    </w:p>
    <w:p w14:paraId="6E85D672" w14:textId="77777777" w:rsidR="004C6F1A" w:rsidRPr="008912CF" w:rsidRDefault="004C6F1A" w:rsidP="004C6F1A">
      <w:pPr>
        <w:pStyle w:val="Heading3"/>
        <w:keepNext w:val="0"/>
        <w:spacing w:before="0" w:after="0" w:line="240" w:lineRule="auto"/>
        <w:rPr>
          <w:sz w:val="22"/>
          <w:szCs w:val="22"/>
          <w:lang w:val="pt-PT"/>
        </w:rPr>
      </w:pPr>
    </w:p>
    <w:p w14:paraId="1F80D26B" w14:textId="77777777" w:rsidR="006F6F32" w:rsidRDefault="006F6F32">
      <w:pPr>
        <w:pStyle w:val="Heading3"/>
        <w:keepNext w:val="0"/>
        <w:spacing w:before="0" w:after="0" w:line="240" w:lineRule="auto"/>
        <w:rPr>
          <w:sz w:val="22"/>
          <w:szCs w:val="22"/>
          <w:lang w:val="pt-PT"/>
        </w:rPr>
      </w:pPr>
    </w:p>
    <w:p w14:paraId="2C152837" w14:textId="77777777" w:rsidR="006F6F32" w:rsidRDefault="00615769" w:rsidP="00F03C54">
      <w:pPr>
        <w:rPr>
          <w:kern w:val="28"/>
        </w:rPr>
      </w:pPr>
      <w:r>
        <w:br w:type="page"/>
      </w:r>
    </w:p>
    <w:p w14:paraId="42B49B8C" w14:textId="19D64424" w:rsidR="006F6F32" w:rsidRDefault="00615769" w:rsidP="004462A0">
      <w:pPr>
        <w:pStyle w:val="Heading1"/>
        <w:keepNext w:val="0"/>
        <w:rPr>
          <w:del w:id="11470" w:author="AbbVie2" w:date="2025-05-13T16:45:00Z"/>
          <w:caps/>
          <w:szCs w:val="22"/>
        </w:rPr>
      </w:pPr>
      <w:del w:id="11471" w:author="AbbVie2" w:date="2025-05-13T16:45:00Z">
        <w:r w:rsidRPr="009D19CD">
          <w:rPr>
            <w:szCs w:val="22"/>
          </w:rPr>
          <w:delText>INDICAÇÕES A INCLUIR NO ACONDICIONAMENTO</w:delText>
        </w:r>
        <w:r>
          <w:rPr>
            <w:szCs w:val="22"/>
          </w:rPr>
          <w:delText xml:space="preserve"> SECUNDÁRIO</w:delText>
        </w:r>
      </w:del>
    </w:p>
    <w:p w14:paraId="25C03456" w14:textId="4C00D34C" w:rsidR="006F6F32" w:rsidRDefault="006F6F32" w:rsidP="004462A0">
      <w:pPr>
        <w:pStyle w:val="Heading1"/>
        <w:keepNext w:val="0"/>
        <w:rPr>
          <w:del w:id="11472" w:author="AbbVie2" w:date="2025-05-13T16:45:00Z"/>
          <w:caps/>
          <w:szCs w:val="22"/>
        </w:rPr>
      </w:pPr>
    </w:p>
    <w:p w14:paraId="59A47EFD" w14:textId="5BDE5C9F" w:rsidR="004462A0" w:rsidRPr="008912CF" w:rsidRDefault="00615769" w:rsidP="004462A0">
      <w:pPr>
        <w:pStyle w:val="Heading1"/>
        <w:keepNext w:val="0"/>
        <w:rPr>
          <w:del w:id="11473" w:author="AbbVie2" w:date="2025-05-13T16:45:00Z"/>
          <w:caps/>
          <w:szCs w:val="22"/>
        </w:rPr>
      </w:pPr>
      <w:del w:id="11474" w:author="AbbVie2" w:date="2025-05-13T16:45:00Z">
        <w:r w:rsidRPr="008912CF">
          <w:rPr>
            <w:caps/>
            <w:szCs w:val="22"/>
          </w:rPr>
          <w:delText xml:space="preserve">Embalagem </w:delText>
        </w:r>
        <w:r w:rsidR="004F0FDB">
          <w:rPr>
            <w:caps/>
            <w:szCs w:val="22"/>
          </w:rPr>
          <w:delText>EXTERIOR</w:delText>
        </w:r>
      </w:del>
    </w:p>
    <w:p w14:paraId="16A88F26" w14:textId="7C9427D5" w:rsidR="004462A0" w:rsidRPr="008912CF" w:rsidRDefault="004462A0" w:rsidP="004462A0">
      <w:pPr>
        <w:tabs>
          <w:tab w:val="left" w:pos="567"/>
        </w:tabs>
        <w:rPr>
          <w:del w:id="11475" w:author="AbbVie2" w:date="2025-05-13T16:45:00Z"/>
          <w:b/>
          <w:sz w:val="22"/>
          <w:szCs w:val="22"/>
        </w:rPr>
      </w:pPr>
    </w:p>
    <w:p w14:paraId="5B88531C" w14:textId="5AC9220B" w:rsidR="004462A0" w:rsidRPr="008912CF" w:rsidRDefault="004462A0" w:rsidP="004462A0">
      <w:pPr>
        <w:tabs>
          <w:tab w:val="left" w:pos="567"/>
        </w:tabs>
        <w:rPr>
          <w:del w:id="11476" w:author="AbbVie2" w:date="2025-05-13T16:45:00Z"/>
          <w:b/>
          <w:sz w:val="22"/>
          <w:szCs w:val="22"/>
        </w:rPr>
      </w:pPr>
    </w:p>
    <w:p w14:paraId="17E93CC1" w14:textId="3DA39222"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477" w:author="AbbVie2" w:date="2025-05-13T16:45:00Z"/>
          <w:sz w:val="22"/>
          <w:szCs w:val="22"/>
        </w:rPr>
      </w:pPr>
      <w:del w:id="11478" w:author="AbbVie2" w:date="2025-05-13T16:45:00Z">
        <w:r w:rsidRPr="008912CF">
          <w:rPr>
            <w:b/>
            <w:sz w:val="22"/>
            <w:szCs w:val="22"/>
          </w:rPr>
          <w:delText>1.</w:delText>
        </w:r>
        <w:r w:rsidRPr="008912CF">
          <w:rPr>
            <w:b/>
            <w:sz w:val="22"/>
            <w:szCs w:val="22"/>
          </w:rPr>
          <w:tab/>
          <w:delText>NOME DO MEDICAMENTO</w:delText>
        </w:r>
      </w:del>
    </w:p>
    <w:p w14:paraId="69CC7AF2" w14:textId="472A03AF" w:rsidR="004462A0" w:rsidRPr="008912CF" w:rsidRDefault="004462A0" w:rsidP="004462A0">
      <w:pPr>
        <w:tabs>
          <w:tab w:val="left" w:pos="720"/>
        </w:tabs>
        <w:rPr>
          <w:del w:id="11479" w:author="AbbVie2" w:date="2025-05-13T16:45:00Z"/>
          <w:sz w:val="22"/>
          <w:szCs w:val="22"/>
        </w:rPr>
      </w:pPr>
    </w:p>
    <w:p w14:paraId="64959703" w14:textId="660C1969" w:rsidR="004462A0" w:rsidRPr="008912CF" w:rsidRDefault="00615769" w:rsidP="004462A0">
      <w:pPr>
        <w:tabs>
          <w:tab w:val="left" w:pos="720"/>
        </w:tabs>
        <w:rPr>
          <w:del w:id="11480" w:author="AbbVie2" w:date="2025-05-13T16:45:00Z"/>
          <w:sz w:val="22"/>
          <w:szCs w:val="22"/>
        </w:rPr>
      </w:pPr>
      <w:del w:id="11481" w:author="AbbVie2" w:date="2025-05-13T16:45:00Z">
        <w:r w:rsidRPr="008912CF">
          <w:rPr>
            <w:sz w:val="22"/>
            <w:szCs w:val="22"/>
          </w:rPr>
          <w:delText>Humira 40 mg/0,8 ml solução para injetáveis</w:delText>
        </w:r>
      </w:del>
    </w:p>
    <w:p w14:paraId="59CF4D04" w14:textId="6B870A99" w:rsidR="004462A0" w:rsidRPr="008912CF" w:rsidRDefault="00615769" w:rsidP="004462A0">
      <w:pPr>
        <w:pStyle w:val="EndnoteText"/>
        <w:tabs>
          <w:tab w:val="clear" w:pos="567"/>
          <w:tab w:val="left" w:pos="720"/>
        </w:tabs>
        <w:rPr>
          <w:del w:id="11482" w:author="AbbVie2" w:date="2025-05-13T16:45:00Z"/>
          <w:szCs w:val="22"/>
        </w:rPr>
      </w:pPr>
      <w:del w:id="11483" w:author="AbbVie2" w:date="2025-05-13T16:45:00Z">
        <w:r w:rsidRPr="008912CF">
          <w:rPr>
            <w:szCs w:val="22"/>
          </w:rPr>
          <w:delText>adalimumab</w:delText>
        </w:r>
      </w:del>
    </w:p>
    <w:p w14:paraId="00CA871F" w14:textId="36AE8D16" w:rsidR="004462A0" w:rsidRPr="008912CF" w:rsidRDefault="004462A0" w:rsidP="004462A0">
      <w:pPr>
        <w:pStyle w:val="EndnoteText"/>
        <w:tabs>
          <w:tab w:val="clear" w:pos="567"/>
          <w:tab w:val="left" w:pos="720"/>
        </w:tabs>
        <w:rPr>
          <w:del w:id="11484" w:author="AbbVie2" w:date="2025-05-13T16:45:00Z"/>
          <w:szCs w:val="22"/>
        </w:rPr>
      </w:pPr>
    </w:p>
    <w:p w14:paraId="74AE5C9E" w14:textId="6167686C" w:rsidR="004462A0" w:rsidRPr="008912CF" w:rsidRDefault="004462A0" w:rsidP="004462A0">
      <w:pPr>
        <w:rPr>
          <w:del w:id="11485" w:author="AbbVie2" w:date="2025-05-13T16:45:00Z"/>
          <w:sz w:val="22"/>
          <w:szCs w:val="22"/>
        </w:rPr>
      </w:pPr>
    </w:p>
    <w:p w14:paraId="6024079E" w14:textId="4A6C1CD3"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486" w:author="AbbVie2" w:date="2025-05-13T16:45:00Z"/>
          <w:sz w:val="22"/>
          <w:szCs w:val="22"/>
        </w:rPr>
      </w:pPr>
      <w:del w:id="11487" w:author="AbbVie2" w:date="2025-05-13T16:45:00Z">
        <w:r w:rsidRPr="008912CF">
          <w:rPr>
            <w:b/>
            <w:sz w:val="22"/>
            <w:szCs w:val="22"/>
          </w:rPr>
          <w:delText>2.</w:delText>
        </w:r>
        <w:r w:rsidRPr="008912CF">
          <w:rPr>
            <w:b/>
            <w:sz w:val="22"/>
            <w:szCs w:val="22"/>
          </w:rPr>
          <w:tab/>
        </w:r>
        <w:r w:rsidRPr="008912CF">
          <w:rPr>
            <w:b/>
            <w:bCs/>
            <w:sz w:val="22"/>
            <w:szCs w:val="22"/>
          </w:rPr>
          <w:delText>DESCRIÇÃO DA SUBSTÂNCIA ATIVA</w:delText>
        </w:r>
      </w:del>
    </w:p>
    <w:p w14:paraId="61452544" w14:textId="309AA039" w:rsidR="004462A0" w:rsidRPr="008912CF" w:rsidRDefault="004462A0" w:rsidP="004462A0">
      <w:pPr>
        <w:tabs>
          <w:tab w:val="left" w:pos="720"/>
        </w:tabs>
        <w:rPr>
          <w:del w:id="11488" w:author="AbbVie2" w:date="2025-05-13T16:45:00Z"/>
          <w:sz w:val="22"/>
          <w:szCs w:val="22"/>
        </w:rPr>
      </w:pPr>
    </w:p>
    <w:p w14:paraId="34B39EFC" w14:textId="59910681" w:rsidR="004462A0" w:rsidRPr="008912CF" w:rsidRDefault="00615769" w:rsidP="004462A0">
      <w:pPr>
        <w:tabs>
          <w:tab w:val="left" w:pos="720"/>
        </w:tabs>
        <w:rPr>
          <w:del w:id="11489" w:author="AbbVie2" w:date="2025-05-13T16:45:00Z"/>
          <w:sz w:val="22"/>
          <w:szCs w:val="22"/>
        </w:rPr>
      </w:pPr>
      <w:del w:id="11490" w:author="AbbVie2" w:date="2025-05-13T16:45:00Z">
        <w:r w:rsidRPr="008912CF">
          <w:rPr>
            <w:sz w:val="22"/>
            <w:szCs w:val="22"/>
          </w:rPr>
          <w:delText>Um frasco para injetáveis de 0,8 ml contém 40 mg de adalimumab</w:delText>
        </w:r>
        <w:r w:rsidR="00800A92">
          <w:rPr>
            <w:sz w:val="22"/>
            <w:szCs w:val="22"/>
          </w:rPr>
          <w:delText>.</w:delText>
        </w:r>
      </w:del>
    </w:p>
    <w:p w14:paraId="69E6F7FF" w14:textId="2BB35789" w:rsidR="004462A0" w:rsidRPr="008912CF" w:rsidRDefault="004462A0" w:rsidP="004462A0">
      <w:pPr>
        <w:tabs>
          <w:tab w:val="left" w:pos="720"/>
        </w:tabs>
        <w:rPr>
          <w:del w:id="11491" w:author="AbbVie2" w:date="2025-05-13T16:45:00Z"/>
          <w:sz w:val="22"/>
          <w:szCs w:val="22"/>
        </w:rPr>
      </w:pPr>
    </w:p>
    <w:p w14:paraId="5CC4D24B" w14:textId="1A31DFFD" w:rsidR="004462A0" w:rsidRPr="008912CF" w:rsidRDefault="004462A0" w:rsidP="004462A0">
      <w:pPr>
        <w:tabs>
          <w:tab w:val="left" w:pos="720"/>
        </w:tabs>
        <w:rPr>
          <w:del w:id="11492" w:author="AbbVie2" w:date="2025-05-13T16:45:00Z"/>
          <w:sz w:val="22"/>
          <w:szCs w:val="22"/>
        </w:rPr>
      </w:pPr>
    </w:p>
    <w:p w14:paraId="05C46D3A" w14:textId="45E50D20" w:rsidR="004462A0" w:rsidRPr="008912CF" w:rsidRDefault="00615769" w:rsidP="004462A0">
      <w:pPr>
        <w:pBdr>
          <w:top w:val="single" w:sz="4" w:space="1" w:color="auto"/>
          <w:left w:val="single" w:sz="4" w:space="4" w:color="auto"/>
          <w:bottom w:val="single" w:sz="4" w:space="2" w:color="auto"/>
          <w:right w:val="single" w:sz="4" w:space="4" w:color="auto"/>
        </w:pBdr>
        <w:shd w:val="clear" w:color="auto" w:fill="FFFFFF"/>
        <w:tabs>
          <w:tab w:val="left" w:pos="720"/>
        </w:tabs>
        <w:ind w:left="567" w:hanging="567"/>
        <w:rPr>
          <w:del w:id="11493" w:author="AbbVie2" w:date="2025-05-13T16:45:00Z"/>
          <w:sz w:val="22"/>
          <w:szCs w:val="22"/>
          <w:highlight w:val="lightGray"/>
        </w:rPr>
      </w:pPr>
      <w:del w:id="11494" w:author="AbbVie2" w:date="2025-05-13T16:45:00Z">
        <w:r w:rsidRPr="008912CF">
          <w:rPr>
            <w:b/>
            <w:sz w:val="22"/>
            <w:szCs w:val="22"/>
          </w:rPr>
          <w:delText>3.</w:delText>
        </w:r>
        <w:r w:rsidRPr="008912CF">
          <w:rPr>
            <w:b/>
            <w:sz w:val="22"/>
            <w:szCs w:val="22"/>
          </w:rPr>
          <w:tab/>
          <w:delText>LISTA DOS EXCIPIENTES</w:delText>
        </w:r>
      </w:del>
    </w:p>
    <w:p w14:paraId="5B9F05B6" w14:textId="7F355D30" w:rsidR="004462A0" w:rsidRPr="008912CF" w:rsidRDefault="004462A0" w:rsidP="004462A0">
      <w:pPr>
        <w:tabs>
          <w:tab w:val="left" w:pos="720"/>
        </w:tabs>
        <w:rPr>
          <w:del w:id="11495" w:author="AbbVie2" w:date="2025-05-13T16:45:00Z"/>
          <w:sz w:val="22"/>
          <w:szCs w:val="22"/>
        </w:rPr>
      </w:pPr>
    </w:p>
    <w:p w14:paraId="7EAB076E" w14:textId="3C0B9859" w:rsidR="004462A0" w:rsidRPr="008912CF" w:rsidRDefault="00615769" w:rsidP="004462A0">
      <w:pPr>
        <w:tabs>
          <w:tab w:val="left" w:pos="720"/>
        </w:tabs>
        <w:rPr>
          <w:del w:id="11496" w:author="AbbVie2" w:date="2025-05-13T16:45:00Z"/>
          <w:sz w:val="22"/>
          <w:szCs w:val="22"/>
        </w:rPr>
      </w:pPr>
      <w:del w:id="11497" w:author="AbbVie2" w:date="2025-05-13T16:45:00Z">
        <w:r w:rsidRPr="008912CF">
          <w:rPr>
            <w:sz w:val="22"/>
            <w:szCs w:val="22"/>
          </w:rPr>
          <w:delText>Excipientes: manitol, ácido cítrico mono-hidratado, citrato de sódio, fosfato monossódico di-hidratado, fostato dissódico di-hidratado, cloreto de sódio, polissorbato 80, hidróxido de sódio e água para preparações injetáveis. Consultar folheto informativo para informação adicional.</w:delText>
        </w:r>
      </w:del>
    </w:p>
    <w:p w14:paraId="024911E2" w14:textId="23E06B78" w:rsidR="004462A0" w:rsidRPr="008912CF" w:rsidRDefault="004462A0" w:rsidP="004462A0">
      <w:pPr>
        <w:tabs>
          <w:tab w:val="left" w:pos="720"/>
        </w:tabs>
        <w:rPr>
          <w:del w:id="11498" w:author="AbbVie2" w:date="2025-05-13T16:45:00Z"/>
          <w:sz w:val="22"/>
          <w:szCs w:val="22"/>
        </w:rPr>
      </w:pPr>
    </w:p>
    <w:p w14:paraId="483FB596" w14:textId="7387ABF7" w:rsidR="004462A0" w:rsidRPr="008912CF" w:rsidRDefault="004462A0" w:rsidP="004462A0">
      <w:pPr>
        <w:tabs>
          <w:tab w:val="left" w:pos="720"/>
        </w:tabs>
        <w:rPr>
          <w:del w:id="11499" w:author="AbbVie2" w:date="2025-05-13T16:45:00Z"/>
          <w:sz w:val="22"/>
          <w:szCs w:val="22"/>
        </w:rPr>
      </w:pPr>
    </w:p>
    <w:p w14:paraId="4F2614F5" w14:textId="58536D74"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500" w:author="AbbVie2" w:date="2025-05-13T16:45:00Z"/>
          <w:sz w:val="22"/>
          <w:szCs w:val="22"/>
          <w:highlight w:val="lightGray"/>
        </w:rPr>
      </w:pPr>
      <w:del w:id="11501" w:author="AbbVie2" w:date="2025-05-13T16:45:00Z">
        <w:r w:rsidRPr="008912CF">
          <w:rPr>
            <w:b/>
            <w:sz w:val="22"/>
            <w:szCs w:val="22"/>
          </w:rPr>
          <w:delText>4.</w:delText>
        </w:r>
        <w:r w:rsidRPr="008912CF">
          <w:rPr>
            <w:b/>
            <w:sz w:val="22"/>
            <w:szCs w:val="22"/>
          </w:rPr>
          <w:tab/>
          <w:delText>FORMA FARMACÊUTICA E CONTEÚDO</w:delText>
        </w:r>
      </w:del>
    </w:p>
    <w:p w14:paraId="02FEE734" w14:textId="139AF2BB" w:rsidR="004462A0" w:rsidRPr="008912CF" w:rsidRDefault="004462A0" w:rsidP="004462A0">
      <w:pPr>
        <w:tabs>
          <w:tab w:val="left" w:pos="720"/>
        </w:tabs>
        <w:rPr>
          <w:del w:id="11502" w:author="AbbVie2" w:date="2025-05-13T16:45:00Z"/>
          <w:sz w:val="22"/>
          <w:szCs w:val="22"/>
        </w:rPr>
      </w:pPr>
    </w:p>
    <w:p w14:paraId="07F87476" w14:textId="59BB2A1B" w:rsidR="000E0DB5" w:rsidRPr="009B235D" w:rsidRDefault="00615769" w:rsidP="004462A0">
      <w:pPr>
        <w:tabs>
          <w:tab w:val="left" w:pos="720"/>
        </w:tabs>
        <w:rPr>
          <w:del w:id="11503" w:author="AbbVie2" w:date="2025-05-13T16:45:00Z"/>
          <w:sz w:val="22"/>
          <w:szCs w:val="22"/>
          <w:shd w:val="pct15" w:color="auto" w:fill="FFFFFF"/>
        </w:rPr>
      </w:pPr>
      <w:del w:id="11504" w:author="AbbVie2" w:date="2025-05-13T16:45:00Z">
        <w:r w:rsidRPr="009B235D">
          <w:rPr>
            <w:sz w:val="22"/>
            <w:szCs w:val="22"/>
            <w:shd w:val="pct15" w:color="auto" w:fill="FFFFFF"/>
          </w:rPr>
          <w:delText>Solução injetáve</w:delText>
        </w:r>
        <w:r w:rsidR="005A576B" w:rsidRPr="009B235D">
          <w:rPr>
            <w:sz w:val="22"/>
            <w:szCs w:val="22"/>
            <w:shd w:val="pct15" w:color="auto" w:fill="FFFFFF"/>
          </w:rPr>
          <w:delText>l</w:delText>
        </w:r>
        <w:r w:rsidRPr="009B235D">
          <w:rPr>
            <w:sz w:val="22"/>
            <w:szCs w:val="22"/>
            <w:shd w:val="pct15" w:color="auto" w:fill="FFFFFF"/>
          </w:rPr>
          <w:delText xml:space="preserve"> </w:delText>
        </w:r>
      </w:del>
    </w:p>
    <w:p w14:paraId="619879AE" w14:textId="6C92C213" w:rsidR="004462A0" w:rsidRPr="008912CF" w:rsidRDefault="00615769" w:rsidP="004462A0">
      <w:pPr>
        <w:tabs>
          <w:tab w:val="left" w:pos="720"/>
        </w:tabs>
        <w:rPr>
          <w:del w:id="11505" w:author="AbbVie2" w:date="2025-05-13T16:45:00Z"/>
          <w:sz w:val="22"/>
          <w:szCs w:val="22"/>
        </w:rPr>
      </w:pPr>
      <w:del w:id="11506" w:author="AbbVie2" w:date="2025-05-13T16:45:00Z">
        <w:r w:rsidRPr="008912CF">
          <w:rPr>
            <w:sz w:val="22"/>
            <w:szCs w:val="22"/>
          </w:rPr>
          <w:delText>Contém 2 embalagens, cada uma para uma única injeção</w:delText>
        </w:r>
      </w:del>
    </w:p>
    <w:p w14:paraId="3180FC7E" w14:textId="1E779BD6" w:rsidR="004462A0" w:rsidRPr="008912CF" w:rsidRDefault="00615769" w:rsidP="004462A0">
      <w:pPr>
        <w:tabs>
          <w:tab w:val="left" w:pos="720"/>
        </w:tabs>
        <w:rPr>
          <w:del w:id="11507" w:author="AbbVie2" w:date="2025-05-13T16:45:00Z"/>
          <w:b/>
          <w:sz w:val="22"/>
          <w:szCs w:val="22"/>
        </w:rPr>
      </w:pPr>
      <w:del w:id="11508" w:author="AbbVie2" w:date="2025-05-13T16:45:00Z">
        <w:r w:rsidRPr="008912CF">
          <w:rPr>
            <w:b/>
            <w:sz w:val="22"/>
            <w:szCs w:val="22"/>
          </w:rPr>
          <w:delText>Cada embalagem contém:</w:delText>
        </w:r>
      </w:del>
    </w:p>
    <w:p w14:paraId="3C6334BB" w14:textId="00D6F886" w:rsidR="004462A0" w:rsidRPr="008912CF" w:rsidRDefault="00615769" w:rsidP="004462A0">
      <w:pPr>
        <w:tabs>
          <w:tab w:val="left" w:pos="720"/>
        </w:tabs>
        <w:rPr>
          <w:del w:id="11509" w:author="AbbVie2" w:date="2025-05-13T16:45:00Z"/>
          <w:i/>
          <w:sz w:val="22"/>
          <w:szCs w:val="22"/>
        </w:rPr>
      </w:pPr>
      <w:del w:id="11510" w:author="AbbVie2" w:date="2025-05-13T16:45:00Z">
        <w:r w:rsidRPr="008912CF">
          <w:rPr>
            <w:sz w:val="22"/>
            <w:szCs w:val="22"/>
          </w:rPr>
          <w:delText xml:space="preserve">1 frasco para injetáveis </w:delText>
        </w:r>
      </w:del>
    </w:p>
    <w:p w14:paraId="44EAC44C" w14:textId="3A836515" w:rsidR="004462A0" w:rsidRPr="008912CF" w:rsidRDefault="00615769" w:rsidP="004462A0">
      <w:pPr>
        <w:tabs>
          <w:tab w:val="left" w:pos="720"/>
        </w:tabs>
        <w:rPr>
          <w:del w:id="11511" w:author="AbbVie2" w:date="2025-05-13T16:45:00Z"/>
          <w:sz w:val="22"/>
          <w:szCs w:val="22"/>
        </w:rPr>
      </w:pPr>
      <w:del w:id="11512" w:author="AbbVie2" w:date="2025-05-13T16:45:00Z">
        <w:r w:rsidRPr="008912CF">
          <w:rPr>
            <w:sz w:val="22"/>
            <w:szCs w:val="22"/>
          </w:rPr>
          <w:delText>1 seringa para injetáveis esterilizada</w:delText>
        </w:r>
      </w:del>
    </w:p>
    <w:p w14:paraId="7D7973B1" w14:textId="1DCB9A09" w:rsidR="004462A0" w:rsidRPr="008912CF" w:rsidRDefault="00615769" w:rsidP="004462A0">
      <w:pPr>
        <w:tabs>
          <w:tab w:val="left" w:pos="720"/>
        </w:tabs>
        <w:rPr>
          <w:del w:id="11513" w:author="AbbVie2" w:date="2025-05-13T16:45:00Z"/>
          <w:sz w:val="22"/>
          <w:szCs w:val="22"/>
        </w:rPr>
      </w:pPr>
      <w:del w:id="11514" w:author="AbbVie2" w:date="2025-05-13T16:45:00Z">
        <w:r w:rsidRPr="008912CF">
          <w:rPr>
            <w:sz w:val="22"/>
            <w:szCs w:val="22"/>
          </w:rPr>
          <w:delText>1 agulha esterilizada</w:delText>
        </w:r>
      </w:del>
    </w:p>
    <w:p w14:paraId="37585692" w14:textId="22574304" w:rsidR="004462A0" w:rsidRPr="008912CF" w:rsidRDefault="00615769" w:rsidP="004462A0">
      <w:pPr>
        <w:tabs>
          <w:tab w:val="left" w:pos="720"/>
        </w:tabs>
        <w:rPr>
          <w:del w:id="11515" w:author="AbbVie2" w:date="2025-05-13T16:45:00Z"/>
          <w:sz w:val="22"/>
          <w:szCs w:val="22"/>
        </w:rPr>
      </w:pPr>
      <w:del w:id="11516" w:author="AbbVie2" w:date="2025-05-13T16:45:00Z">
        <w:r w:rsidRPr="008912CF">
          <w:rPr>
            <w:sz w:val="22"/>
            <w:szCs w:val="22"/>
          </w:rPr>
          <w:delText>1 adaptador de frasco para injetáveis</w:delText>
        </w:r>
      </w:del>
    </w:p>
    <w:p w14:paraId="52FDEFE3" w14:textId="11789255" w:rsidR="004462A0" w:rsidRPr="008912CF" w:rsidRDefault="00615769" w:rsidP="004462A0">
      <w:pPr>
        <w:tabs>
          <w:tab w:val="left" w:pos="720"/>
        </w:tabs>
        <w:rPr>
          <w:del w:id="11517" w:author="AbbVie2" w:date="2025-05-13T16:45:00Z"/>
          <w:i/>
          <w:sz w:val="22"/>
          <w:szCs w:val="22"/>
        </w:rPr>
      </w:pPr>
      <w:del w:id="11518" w:author="AbbVie2" w:date="2025-05-13T16:45:00Z">
        <w:r w:rsidRPr="008912CF">
          <w:rPr>
            <w:sz w:val="22"/>
            <w:szCs w:val="22"/>
          </w:rPr>
          <w:delText>2 compressas embe</w:delText>
        </w:r>
        <w:r w:rsidR="00F766D7">
          <w:rPr>
            <w:sz w:val="22"/>
            <w:szCs w:val="22"/>
          </w:rPr>
          <w:delText>b</w:delText>
        </w:r>
        <w:r w:rsidRPr="008912CF">
          <w:rPr>
            <w:sz w:val="22"/>
            <w:szCs w:val="22"/>
          </w:rPr>
          <w:delText xml:space="preserve">idas em álcool </w:delText>
        </w:r>
      </w:del>
    </w:p>
    <w:p w14:paraId="72E8B0ED" w14:textId="599270D6" w:rsidR="004462A0" w:rsidRPr="008912CF" w:rsidRDefault="004462A0" w:rsidP="004462A0">
      <w:pPr>
        <w:tabs>
          <w:tab w:val="left" w:pos="720"/>
        </w:tabs>
        <w:rPr>
          <w:del w:id="11519" w:author="AbbVie2" w:date="2025-05-13T16:45:00Z"/>
          <w:sz w:val="22"/>
          <w:szCs w:val="22"/>
          <w:highlight w:val="yellow"/>
        </w:rPr>
      </w:pPr>
    </w:p>
    <w:p w14:paraId="63D86FA7" w14:textId="61FFB727" w:rsidR="004462A0" w:rsidRPr="008912CF" w:rsidRDefault="004462A0" w:rsidP="004462A0">
      <w:pPr>
        <w:tabs>
          <w:tab w:val="left" w:pos="720"/>
        </w:tabs>
        <w:rPr>
          <w:del w:id="11520" w:author="AbbVie2" w:date="2025-05-13T16:45:00Z"/>
          <w:color w:val="000000"/>
          <w:sz w:val="22"/>
          <w:szCs w:val="22"/>
          <w:u w:val="single"/>
        </w:rPr>
      </w:pPr>
    </w:p>
    <w:p w14:paraId="014047BE" w14:textId="7FC5ED9F"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521" w:author="AbbVie2" w:date="2025-05-13T16:45:00Z"/>
          <w:sz w:val="22"/>
          <w:szCs w:val="22"/>
          <w:highlight w:val="lightGray"/>
        </w:rPr>
      </w:pPr>
      <w:del w:id="11522" w:author="AbbVie2" w:date="2025-05-13T16:45:00Z">
        <w:r w:rsidRPr="008912CF">
          <w:rPr>
            <w:b/>
            <w:sz w:val="22"/>
            <w:szCs w:val="22"/>
          </w:rPr>
          <w:delText>5.</w:delText>
        </w:r>
        <w:r w:rsidRPr="008912CF">
          <w:rPr>
            <w:b/>
            <w:sz w:val="22"/>
            <w:szCs w:val="22"/>
          </w:rPr>
          <w:tab/>
          <w:delText>MODO E VIA DE ADMINISTRAÇÃO</w:delText>
        </w:r>
      </w:del>
    </w:p>
    <w:p w14:paraId="1A0CF0FC" w14:textId="6739F820" w:rsidR="004462A0" w:rsidRPr="008912CF" w:rsidRDefault="004462A0" w:rsidP="004462A0">
      <w:pPr>
        <w:tabs>
          <w:tab w:val="left" w:pos="720"/>
        </w:tabs>
        <w:rPr>
          <w:del w:id="11523" w:author="AbbVie2" w:date="2025-05-13T16:45:00Z"/>
          <w:sz w:val="22"/>
          <w:szCs w:val="22"/>
        </w:rPr>
      </w:pPr>
    </w:p>
    <w:p w14:paraId="7D85A66C" w14:textId="74869783" w:rsidR="004462A0" w:rsidRPr="008912CF" w:rsidRDefault="00615769" w:rsidP="004462A0">
      <w:pPr>
        <w:tabs>
          <w:tab w:val="left" w:pos="720"/>
        </w:tabs>
        <w:rPr>
          <w:del w:id="11524" w:author="AbbVie2" w:date="2025-05-13T16:45:00Z"/>
          <w:sz w:val="22"/>
          <w:szCs w:val="22"/>
        </w:rPr>
      </w:pPr>
      <w:del w:id="11525" w:author="AbbVie2" w:date="2025-05-13T16:45:00Z">
        <w:r w:rsidRPr="008912CF">
          <w:rPr>
            <w:sz w:val="22"/>
            <w:szCs w:val="22"/>
          </w:rPr>
          <w:delText>Via subcutânea</w:delText>
        </w:r>
      </w:del>
    </w:p>
    <w:p w14:paraId="0B4E6F64" w14:textId="6A6F82A2" w:rsidR="004462A0" w:rsidRPr="008912CF" w:rsidRDefault="004462A0" w:rsidP="004462A0">
      <w:pPr>
        <w:tabs>
          <w:tab w:val="left" w:pos="720"/>
        </w:tabs>
        <w:rPr>
          <w:del w:id="11526" w:author="AbbVie2" w:date="2025-05-13T16:45:00Z"/>
          <w:sz w:val="22"/>
          <w:szCs w:val="22"/>
        </w:rPr>
      </w:pPr>
    </w:p>
    <w:p w14:paraId="5B140BA5" w14:textId="626B8A9A" w:rsidR="004462A0" w:rsidRDefault="00615769" w:rsidP="004462A0">
      <w:pPr>
        <w:tabs>
          <w:tab w:val="left" w:pos="720"/>
        </w:tabs>
        <w:rPr>
          <w:del w:id="11527" w:author="AbbVie2" w:date="2025-05-13T16:45:00Z"/>
          <w:sz w:val="22"/>
          <w:szCs w:val="22"/>
        </w:rPr>
      </w:pPr>
      <w:del w:id="11528" w:author="AbbVie2" w:date="2025-05-13T16:45:00Z">
        <w:r w:rsidRPr="008912CF">
          <w:rPr>
            <w:sz w:val="22"/>
            <w:szCs w:val="22"/>
          </w:rPr>
          <w:delText>Consultar o folheto informativo antes de utilizar.</w:delText>
        </w:r>
      </w:del>
    </w:p>
    <w:p w14:paraId="2B0F9B40" w14:textId="52B11D45" w:rsidR="00A04687" w:rsidRDefault="00A04687" w:rsidP="004462A0">
      <w:pPr>
        <w:tabs>
          <w:tab w:val="left" w:pos="720"/>
        </w:tabs>
        <w:rPr>
          <w:del w:id="11529" w:author="AbbVie2" w:date="2025-05-13T16:45:00Z"/>
          <w:sz w:val="22"/>
          <w:szCs w:val="22"/>
        </w:rPr>
      </w:pPr>
    </w:p>
    <w:p w14:paraId="10C3A5B8" w14:textId="38FACB03" w:rsidR="00A04687" w:rsidRPr="008912CF" w:rsidRDefault="00615769" w:rsidP="004462A0">
      <w:pPr>
        <w:tabs>
          <w:tab w:val="left" w:pos="720"/>
        </w:tabs>
        <w:rPr>
          <w:del w:id="11530" w:author="AbbVie2" w:date="2025-05-13T16:45:00Z"/>
          <w:sz w:val="22"/>
          <w:szCs w:val="22"/>
        </w:rPr>
      </w:pPr>
      <w:del w:id="11531" w:author="AbbVie2" w:date="2025-05-13T16:45:00Z">
        <w:r>
          <w:rPr>
            <w:sz w:val="22"/>
            <w:szCs w:val="22"/>
          </w:rPr>
          <w:delText>Para uso pediátrico</w:delText>
        </w:r>
      </w:del>
    </w:p>
    <w:p w14:paraId="3CB9318D" w14:textId="084AF71A" w:rsidR="004462A0" w:rsidRPr="008912CF" w:rsidRDefault="004462A0" w:rsidP="004462A0">
      <w:pPr>
        <w:pStyle w:val="EndnoteText"/>
        <w:tabs>
          <w:tab w:val="clear" w:pos="567"/>
          <w:tab w:val="left" w:pos="720"/>
        </w:tabs>
        <w:rPr>
          <w:del w:id="11532" w:author="AbbVie2" w:date="2025-05-13T16:45:00Z"/>
          <w:szCs w:val="22"/>
        </w:rPr>
      </w:pPr>
    </w:p>
    <w:p w14:paraId="27AEC06C" w14:textId="3EF65F16" w:rsidR="004462A0" w:rsidRPr="008912CF" w:rsidRDefault="004462A0" w:rsidP="004462A0">
      <w:pPr>
        <w:tabs>
          <w:tab w:val="left" w:pos="720"/>
        </w:tabs>
        <w:rPr>
          <w:del w:id="11533" w:author="AbbVie2" w:date="2025-05-13T16:45:00Z"/>
          <w:sz w:val="22"/>
          <w:szCs w:val="22"/>
        </w:rPr>
      </w:pPr>
    </w:p>
    <w:p w14:paraId="7618ACAC" w14:textId="1250205A"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534" w:author="AbbVie2" w:date="2025-05-13T16:45:00Z"/>
          <w:sz w:val="22"/>
          <w:szCs w:val="22"/>
          <w:highlight w:val="lightGray"/>
        </w:rPr>
      </w:pPr>
      <w:del w:id="11535" w:author="AbbVie2" w:date="2025-05-13T16:45:00Z">
        <w:r w:rsidRPr="008912CF">
          <w:rPr>
            <w:b/>
            <w:sz w:val="22"/>
            <w:szCs w:val="22"/>
          </w:rPr>
          <w:delText>6.</w:delText>
        </w:r>
        <w:r w:rsidRPr="008912CF">
          <w:rPr>
            <w:b/>
            <w:sz w:val="22"/>
            <w:szCs w:val="22"/>
          </w:rPr>
          <w:tab/>
        </w:r>
        <w:r w:rsidRPr="008912CF">
          <w:rPr>
            <w:b/>
            <w:bCs/>
            <w:iCs/>
            <w:sz w:val="22"/>
            <w:szCs w:val="22"/>
          </w:rPr>
          <w:delText>ADVERTÊNCIA ESPECIAL DE QUE O MEDICAMENTO DEVE SER MANTIDO FORA DA VISTA E DO ALCANCE DAS CRIANÇAS</w:delText>
        </w:r>
        <w:r w:rsidRPr="008912CF">
          <w:rPr>
            <w:b/>
            <w:iCs/>
            <w:sz w:val="22"/>
            <w:szCs w:val="22"/>
          </w:rPr>
          <w:delText xml:space="preserve"> </w:delText>
        </w:r>
      </w:del>
    </w:p>
    <w:p w14:paraId="2BA54097" w14:textId="26F5E78D" w:rsidR="004462A0" w:rsidRPr="008912CF" w:rsidRDefault="004462A0" w:rsidP="004462A0">
      <w:pPr>
        <w:tabs>
          <w:tab w:val="left" w:pos="720"/>
        </w:tabs>
        <w:rPr>
          <w:del w:id="11536" w:author="AbbVie2" w:date="2025-05-13T16:45:00Z"/>
          <w:sz w:val="22"/>
          <w:szCs w:val="22"/>
        </w:rPr>
      </w:pPr>
    </w:p>
    <w:p w14:paraId="7DABAF4D" w14:textId="7A2A894E" w:rsidR="004462A0" w:rsidRPr="008912CF" w:rsidRDefault="00615769" w:rsidP="004462A0">
      <w:pPr>
        <w:pStyle w:val="EndnoteText"/>
        <w:tabs>
          <w:tab w:val="clear" w:pos="567"/>
          <w:tab w:val="left" w:pos="720"/>
        </w:tabs>
        <w:rPr>
          <w:del w:id="11537" w:author="AbbVie2" w:date="2025-05-13T16:45:00Z"/>
          <w:szCs w:val="22"/>
        </w:rPr>
      </w:pPr>
      <w:del w:id="11538" w:author="AbbVie2" w:date="2025-05-13T16:45:00Z">
        <w:r w:rsidRPr="008912CF">
          <w:rPr>
            <w:szCs w:val="22"/>
          </w:rPr>
          <w:delText>Manter fora da vista e do alcance das crianças.</w:delText>
        </w:r>
      </w:del>
    </w:p>
    <w:p w14:paraId="3E7123FE" w14:textId="4CE26BB9" w:rsidR="004462A0" w:rsidRPr="008912CF" w:rsidRDefault="004462A0" w:rsidP="004462A0">
      <w:pPr>
        <w:tabs>
          <w:tab w:val="left" w:pos="720"/>
        </w:tabs>
        <w:rPr>
          <w:del w:id="11539" w:author="AbbVie2" w:date="2025-05-13T16:45:00Z"/>
          <w:sz w:val="22"/>
          <w:szCs w:val="22"/>
        </w:rPr>
      </w:pPr>
    </w:p>
    <w:p w14:paraId="157EAD67" w14:textId="254B71C0" w:rsidR="004462A0" w:rsidRPr="008912CF" w:rsidRDefault="004462A0" w:rsidP="004462A0">
      <w:pPr>
        <w:tabs>
          <w:tab w:val="left" w:pos="720"/>
        </w:tabs>
        <w:rPr>
          <w:del w:id="11540" w:author="AbbVie2" w:date="2025-05-13T16:45:00Z"/>
          <w:sz w:val="22"/>
          <w:szCs w:val="22"/>
        </w:rPr>
      </w:pPr>
    </w:p>
    <w:p w14:paraId="37CF1200" w14:textId="0472950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541" w:author="AbbVie2" w:date="2025-05-13T16:45:00Z"/>
          <w:sz w:val="22"/>
          <w:szCs w:val="22"/>
          <w:highlight w:val="lightGray"/>
        </w:rPr>
      </w:pPr>
      <w:del w:id="11542" w:author="AbbVie2" w:date="2025-05-13T16:45:00Z">
        <w:r w:rsidRPr="008912CF">
          <w:rPr>
            <w:b/>
            <w:sz w:val="22"/>
            <w:szCs w:val="22"/>
          </w:rPr>
          <w:delText>7.</w:delText>
        </w:r>
        <w:r w:rsidRPr="008912CF">
          <w:rPr>
            <w:b/>
            <w:sz w:val="22"/>
            <w:szCs w:val="22"/>
          </w:rPr>
          <w:tab/>
          <w:delText>OUTRAS ADVERTÊNCIAS ESPECIAIS, SE NECESSÁRIO</w:delText>
        </w:r>
      </w:del>
    </w:p>
    <w:p w14:paraId="1DF24BB7" w14:textId="3ACBE105" w:rsidR="004462A0" w:rsidRPr="008912CF" w:rsidRDefault="004462A0" w:rsidP="004462A0">
      <w:pPr>
        <w:tabs>
          <w:tab w:val="left" w:pos="720"/>
        </w:tabs>
        <w:rPr>
          <w:del w:id="11543" w:author="AbbVie2" w:date="2025-05-13T16:45:00Z"/>
          <w:sz w:val="22"/>
          <w:szCs w:val="22"/>
        </w:rPr>
      </w:pPr>
    </w:p>
    <w:p w14:paraId="734F6A6B" w14:textId="3A844E7D" w:rsidR="004462A0" w:rsidRPr="008912CF" w:rsidRDefault="004462A0" w:rsidP="004462A0">
      <w:pPr>
        <w:tabs>
          <w:tab w:val="left" w:pos="720"/>
        </w:tabs>
        <w:rPr>
          <w:del w:id="11544" w:author="AbbVie2" w:date="2025-05-13T16:45:00Z"/>
          <w:sz w:val="22"/>
          <w:szCs w:val="22"/>
        </w:rPr>
      </w:pPr>
    </w:p>
    <w:p w14:paraId="48B27AE4" w14:textId="771388B2" w:rsidR="004462A0" w:rsidRPr="008912CF" w:rsidRDefault="00615769" w:rsidP="00CF16D8">
      <w:pPr>
        <w:keepNext/>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545" w:author="AbbVie2" w:date="2025-05-13T16:45:00Z"/>
          <w:sz w:val="22"/>
          <w:szCs w:val="22"/>
          <w:highlight w:val="lightGray"/>
        </w:rPr>
      </w:pPr>
      <w:del w:id="11546" w:author="AbbVie2" w:date="2025-05-13T16:45:00Z">
        <w:r w:rsidRPr="008912CF">
          <w:rPr>
            <w:b/>
            <w:sz w:val="22"/>
            <w:szCs w:val="22"/>
          </w:rPr>
          <w:delText>8.</w:delText>
        </w:r>
        <w:r w:rsidRPr="008912CF">
          <w:rPr>
            <w:b/>
            <w:sz w:val="22"/>
            <w:szCs w:val="22"/>
          </w:rPr>
          <w:tab/>
          <w:delText>PRAZO DE VALIDADE</w:delText>
        </w:r>
      </w:del>
    </w:p>
    <w:p w14:paraId="02214596" w14:textId="437006C8" w:rsidR="004462A0" w:rsidRPr="008912CF" w:rsidRDefault="004462A0" w:rsidP="00CF16D8">
      <w:pPr>
        <w:keepNext/>
        <w:tabs>
          <w:tab w:val="left" w:pos="720"/>
        </w:tabs>
        <w:rPr>
          <w:del w:id="11547" w:author="AbbVie2" w:date="2025-05-13T16:45:00Z"/>
          <w:sz w:val="22"/>
          <w:szCs w:val="22"/>
        </w:rPr>
      </w:pPr>
    </w:p>
    <w:p w14:paraId="51774D47" w14:textId="2B3C4ADF" w:rsidR="004462A0" w:rsidRPr="008912CF" w:rsidRDefault="00615769" w:rsidP="00CF16D8">
      <w:pPr>
        <w:keepNext/>
        <w:tabs>
          <w:tab w:val="left" w:pos="720"/>
        </w:tabs>
        <w:rPr>
          <w:del w:id="11548" w:author="AbbVie2" w:date="2025-05-13T16:45:00Z"/>
          <w:sz w:val="22"/>
          <w:szCs w:val="22"/>
        </w:rPr>
      </w:pPr>
      <w:del w:id="11549" w:author="AbbVie2" w:date="2025-05-13T16:45:00Z">
        <w:r>
          <w:rPr>
            <w:sz w:val="22"/>
            <w:szCs w:val="22"/>
          </w:rPr>
          <w:delText>EXP</w:delText>
        </w:r>
        <w:r w:rsidRPr="008912CF">
          <w:rPr>
            <w:sz w:val="22"/>
            <w:szCs w:val="22"/>
          </w:rPr>
          <w:delText xml:space="preserve"> </w:delText>
        </w:r>
      </w:del>
    </w:p>
    <w:p w14:paraId="68DC8911" w14:textId="43111013" w:rsidR="004462A0" w:rsidRPr="008912CF" w:rsidRDefault="004462A0" w:rsidP="004462A0">
      <w:pPr>
        <w:tabs>
          <w:tab w:val="left" w:pos="720"/>
        </w:tabs>
        <w:rPr>
          <w:del w:id="11550" w:author="AbbVie2" w:date="2025-05-13T16:45:00Z"/>
          <w:sz w:val="22"/>
          <w:szCs w:val="22"/>
        </w:rPr>
      </w:pPr>
    </w:p>
    <w:p w14:paraId="6F832DB6" w14:textId="00A27230" w:rsidR="004462A0" w:rsidRPr="008912CF" w:rsidRDefault="004462A0" w:rsidP="004462A0">
      <w:pPr>
        <w:tabs>
          <w:tab w:val="left" w:pos="720"/>
        </w:tabs>
        <w:rPr>
          <w:del w:id="11551" w:author="AbbVie2" w:date="2025-05-13T16:45:00Z"/>
          <w:sz w:val="22"/>
          <w:szCs w:val="22"/>
        </w:rPr>
      </w:pPr>
    </w:p>
    <w:p w14:paraId="167D8579" w14:textId="5EEC103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552" w:author="AbbVie2" w:date="2025-05-13T16:45:00Z"/>
          <w:sz w:val="22"/>
          <w:szCs w:val="22"/>
          <w:highlight w:val="lightGray"/>
        </w:rPr>
      </w:pPr>
      <w:del w:id="11553" w:author="AbbVie2" w:date="2025-05-13T16:45:00Z">
        <w:r w:rsidRPr="008912CF">
          <w:rPr>
            <w:b/>
            <w:sz w:val="22"/>
            <w:szCs w:val="22"/>
          </w:rPr>
          <w:delText>9.</w:delText>
        </w:r>
        <w:r w:rsidRPr="008912CF">
          <w:rPr>
            <w:b/>
            <w:sz w:val="22"/>
            <w:szCs w:val="22"/>
          </w:rPr>
          <w:tab/>
        </w:r>
        <w:r w:rsidRPr="008912CF">
          <w:rPr>
            <w:b/>
            <w:sz w:val="22"/>
            <w:szCs w:val="22"/>
          </w:rPr>
          <w:delText>CONDIÇÕES ESPECIAIS DE CONSERVAÇÃO</w:delText>
        </w:r>
      </w:del>
    </w:p>
    <w:p w14:paraId="68762B3A" w14:textId="2137080A" w:rsidR="004462A0" w:rsidRPr="008912CF" w:rsidRDefault="004462A0" w:rsidP="004462A0">
      <w:pPr>
        <w:pStyle w:val="EndnoteText"/>
        <w:tabs>
          <w:tab w:val="clear" w:pos="567"/>
          <w:tab w:val="left" w:pos="720"/>
        </w:tabs>
        <w:rPr>
          <w:del w:id="11554" w:author="AbbVie2" w:date="2025-05-13T16:45:00Z"/>
          <w:szCs w:val="22"/>
        </w:rPr>
      </w:pPr>
    </w:p>
    <w:p w14:paraId="186539B9" w14:textId="3D0A77BE" w:rsidR="004462A0" w:rsidRPr="008912CF" w:rsidRDefault="00615769" w:rsidP="004462A0">
      <w:pPr>
        <w:pStyle w:val="BodyText2"/>
        <w:tabs>
          <w:tab w:val="left" w:pos="720"/>
        </w:tabs>
        <w:autoSpaceDE/>
        <w:autoSpaceDN/>
        <w:adjustRightInd/>
        <w:rPr>
          <w:del w:id="11555" w:author="AbbVie2" w:date="2025-05-13T16:45:00Z"/>
          <w:szCs w:val="22"/>
        </w:rPr>
      </w:pPr>
      <w:del w:id="11556" w:author="AbbVie2" w:date="2025-05-13T16:45:00Z">
        <w:r w:rsidRPr="008912CF">
          <w:rPr>
            <w:szCs w:val="22"/>
          </w:rPr>
          <w:delText>Conservar no frigorífico. Não congelar.</w:delText>
        </w:r>
      </w:del>
    </w:p>
    <w:p w14:paraId="7E642606" w14:textId="0AD6CFD1" w:rsidR="004462A0" w:rsidRPr="008912CF" w:rsidRDefault="00615769" w:rsidP="004462A0">
      <w:pPr>
        <w:pStyle w:val="BodyText2"/>
        <w:tabs>
          <w:tab w:val="left" w:pos="720"/>
        </w:tabs>
        <w:autoSpaceDE/>
        <w:autoSpaceDN/>
        <w:adjustRightInd/>
        <w:rPr>
          <w:del w:id="11557" w:author="AbbVie2" w:date="2025-05-13T16:45:00Z"/>
          <w:szCs w:val="22"/>
        </w:rPr>
      </w:pPr>
      <w:del w:id="11558" w:author="AbbVie2" w:date="2025-05-13T16:45:00Z">
        <w:r w:rsidRPr="008912CF">
          <w:rPr>
            <w:szCs w:val="22"/>
          </w:rPr>
          <w:delText>Manter o frasco para injetáveis dentro da embalagem exterior para proteger da luz.</w:delText>
        </w:r>
      </w:del>
    </w:p>
    <w:p w14:paraId="6313C0BE" w14:textId="6DEF2C30" w:rsidR="004462A0" w:rsidRPr="008912CF" w:rsidRDefault="004462A0" w:rsidP="004462A0">
      <w:pPr>
        <w:tabs>
          <w:tab w:val="left" w:pos="720"/>
        </w:tabs>
        <w:rPr>
          <w:del w:id="11559" w:author="AbbVie2" w:date="2025-05-13T16:45:00Z"/>
          <w:sz w:val="22"/>
          <w:szCs w:val="22"/>
        </w:rPr>
      </w:pPr>
    </w:p>
    <w:p w14:paraId="07D62FF0" w14:textId="0B7F0E2C" w:rsidR="004462A0" w:rsidRPr="008912CF" w:rsidRDefault="004462A0" w:rsidP="004462A0">
      <w:pPr>
        <w:tabs>
          <w:tab w:val="left" w:pos="720"/>
        </w:tabs>
        <w:rPr>
          <w:del w:id="11560" w:author="AbbVie2" w:date="2025-05-13T16:45:00Z"/>
          <w:sz w:val="22"/>
          <w:szCs w:val="22"/>
        </w:rPr>
      </w:pPr>
    </w:p>
    <w:p w14:paraId="3EF9C7C7" w14:textId="3E901488"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561" w:author="AbbVie2" w:date="2025-05-13T16:45:00Z"/>
          <w:b/>
          <w:bCs/>
          <w:sz w:val="22"/>
          <w:szCs w:val="22"/>
          <w:highlight w:val="lightGray"/>
        </w:rPr>
      </w:pPr>
      <w:del w:id="11562" w:author="AbbVie2" w:date="2025-05-13T16:45:00Z">
        <w:r w:rsidRPr="008912CF">
          <w:rPr>
            <w:b/>
            <w:sz w:val="22"/>
            <w:szCs w:val="22"/>
          </w:rPr>
          <w:delText>10.</w:delText>
        </w:r>
        <w:r w:rsidRPr="008912CF">
          <w:rPr>
            <w:b/>
            <w:sz w:val="22"/>
            <w:szCs w:val="22"/>
          </w:rPr>
          <w:tab/>
        </w:r>
        <w:r w:rsidRPr="008912CF">
          <w:rPr>
            <w:b/>
            <w:bCs/>
            <w:sz w:val="22"/>
            <w:szCs w:val="22"/>
          </w:rPr>
          <w:delText xml:space="preserve">CUIDADOS ESPECIAIS QUANTO À ELIMINAÇÃO DO MEDICAMENTO NÃO UTILIZADO OU DOS RESÍDUOS PROVENIENTES DESSE MEDICAMENTO, SE APLICÁVEL </w:delText>
        </w:r>
      </w:del>
    </w:p>
    <w:p w14:paraId="0F7202F9" w14:textId="387086D0" w:rsidR="004462A0" w:rsidRPr="008912CF" w:rsidRDefault="004462A0" w:rsidP="004462A0">
      <w:pPr>
        <w:tabs>
          <w:tab w:val="left" w:pos="720"/>
        </w:tabs>
        <w:rPr>
          <w:del w:id="11563" w:author="AbbVie2" w:date="2025-05-13T16:45:00Z"/>
          <w:sz w:val="22"/>
          <w:szCs w:val="22"/>
        </w:rPr>
      </w:pPr>
    </w:p>
    <w:p w14:paraId="23E8D098" w14:textId="4FF0B87F" w:rsidR="004462A0" w:rsidRPr="008912CF" w:rsidRDefault="004462A0" w:rsidP="004462A0">
      <w:pPr>
        <w:tabs>
          <w:tab w:val="left" w:pos="720"/>
        </w:tabs>
        <w:rPr>
          <w:del w:id="11564" w:author="AbbVie2" w:date="2025-05-13T16:45:00Z"/>
          <w:sz w:val="22"/>
          <w:szCs w:val="22"/>
        </w:rPr>
      </w:pPr>
    </w:p>
    <w:p w14:paraId="35970B4B" w14:textId="0433826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565" w:author="AbbVie2" w:date="2025-05-13T16:45:00Z"/>
          <w:b/>
          <w:bCs/>
          <w:sz w:val="22"/>
          <w:szCs w:val="22"/>
        </w:rPr>
      </w:pPr>
      <w:del w:id="11566" w:author="AbbVie2" w:date="2025-05-13T16:45:00Z">
        <w:r w:rsidRPr="008912CF">
          <w:rPr>
            <w:b/>
            <w:sz w:val="22"/>
            <w:szCs w:val="22"/>
          </w:rPr>
          <w:delText>11.</w:delText>
        </w:r>
        <w:r w:rsidRPr="008912CF">
          <w:rPr>
            <w:b/>
            <w:sz w:val="22"/>
            <w:szCs w:val="22"/>
          </w:rPr>
          <w:tab/>
        </w:r>
        <w:r w:rsidRPr="008912CF">
          <w:rPr>
            <w:b/>
            <w:bCs/>
            <w:sz w:val="22"/>
            <w:szCs w:val="22"/>
          </w:rPr>
          <w:delText>NOME E ENDEREÇO DO TITULAR DA AUTORIZAÇÃO DE INTRODUÇÃO NO MERCADO</w:delText>
        </w:r>
      </w:del>
    </w:p>
    <w:p w14:paraId="7E991F4C" w14:textId="471E6BE1" w:rsidR="004462A0" w:rsidRPr="008912CF" w:rsidRDefault="004462A0" w:rsidP="004462A0">
      <w:pPr>
        <w:tabs>
          <w:tab w:val="left" w:pos="720"/>
        </w:tabs>
        <w:rPr>
          <w:del w:id="11567" w:author="AbbVie2" w:date="2025-05-13T16:45:00Z"/>
          <w:sz w:val="22"/>
          <w:szCs w:val="22"/>
        </w:rPr>
      </w:pPr>
    </w:p>
    <w:p w14:paraId="5352ABC2" w14:textId="061E47D0" w:rsidR="00EF74B7" w:rsidRPr="008D6D3A" w:rsidRDefault="00615769" w:rsidP="00EF74B7">
      <w:pPr>
        <w:keepNext/>
        <w:rPr>
          <w:del w:id="11568" w:author="AbbVie2" w:date="2025-05-13T16:45:00Z"/>
          <w:sz w:val="22"/>
          <w:szCs w:val="22"/>
          <w:lang w:val="de-CH"/>
        </w:rPr>
      </w:pPr>
      <w:del w:id="11569" w:author="AbbVie2" w:date="2025-05-13T16:45:00Z">
        <w:r w:rsidRPr="008D6D3A">
          <w:rPr>
            <w:sz w:val="22"/>
            <w:szCs w:val="22"/>
            <w:lang w:val="de-CH"/>
          </w:rPr>
          <w:delText>AbbVie Deutschland GmbH &amp; Co. KG</w:delText>
        </w:r>
      </w:del>
    </w:p>
    <w:p w14:paraId="259402C7" w14:textId="1C496A54" w:rsidR="00EF74B7" w:rsidRPr="008D6D3A" w:rsidRDefault="00615769" w:rsidP="00EF74B7">
      <w:pPr>
        <w:keepNext/>
        <w:rPr>
          <w:del w:id="11570" w:author="AbbVie2" w:date="2025-05-13T16:45:00Z"/>
          <w:sz w:val="22"/>
          <w:szCs w:val="22"/>
          <w:lang w:val="de-CH"/>
        </w:rPr>
      </w:pPr>
      <w:del w:id="11571" w:author="AbbVie2" w:date="2025-05-13T16:45:00Z">
        <w:r w:rsidRPr="008D6D3A">
          <w:rPr>
            <w:sz w:val="22"/>
            <w:szCs w:val="22"/>
            <w:lang w:val="de-CH"/>
          </w:rPr>
          <w:delText>Knollstrasse</w:delText>
        </w:r>
      </w:del>
    </w:p>
    <w:p w14:paraId="3A3B42D7" w14:textId="33BF99B4" w:rsidR="00EF74B7" w:rsidRPr="006649C6" w:rsidRDefault="00615769" w:rsidP="00EF74B7">
      <w:pPr>
        <w:keepNext/>
        <w:rPr>
          <w:del w:id="11572" w:author="AbbVie2" w:date="2025-05-13T16:45:00Z"/>
          <w:sz w:val="22"/>
          <w:szCs w:val="22"/>
        </w:rPr>
      </w:pPr>
      <w:del w:id="11573" w:author="AbbVie2" w:date="2025-05-13T16:45:00Z">
        <w:r w:rsidRPr="006649C6">
          <w:rPr>
            <w:sz w:val="22"/>
            <w:szCs w:val="22"/>
          </w:rPr>
          <w:delText>67061 Ludwigshafen</w:delText>
        </w:r>
      </w:del>
    </w:p>
    <w:p w14:paraId="0E8014F0" w14:textId="1E1B32EB" w:rsidR="004462A0" w:rsidRPr="008912CF" w:rsidRDefault="00615769" w:rsidP="004462A0">
      <w:pPr>
        <w:rPr>
          <w:del w:id="11574" w:author="AbbVie2" w:date="2025-05-13T16:45:00Z"/>
          <w:sz w:val="22"/>
          <w:szCs w:val="22"/>
        </w:rPr>
      </w:pPr>
      <w:del w:id="11575" w:author="AbbVie2" w:date="2025-05-13T16:45:00Z">
        <w:r>
          <w:rPr>
            <w:sz w:val="22"/>
            <w:szCs w:val="22"/>
          </w:rPr>
          <w:delText>Alemanha</w:delText>
        </w:r>
      </w:del>
    </w:p>
    <w:p w14:paraId="62B00511" w14:textId="147D27BB" w:rsidR="004462A0" w:rsidRPr="008912CF" w:rsidRDefault="004462A0" w:rsidP="004462A0">
      <w:pPr>
        <w:tabs>
          <w:tab w:val="left" w:pos="720"/>
        </w:tabs>
        <w:rPr>
          <w:del w:id="11576" w:author="AbbVie2" w:date="2025-05-13T16:45:00Z"/>
          <w:sz w:val="22"/>
          <w:szCs w:val="22"/>
        </w:rPr>
      </w:pPr>
    </w:p>
    <w:p w14:paraId="15BF3AC4" w14:textId="2069F9EA" w:rsidR="004462A0" w:rsidRPr="008912CF" w:rsidRDefault="004462A0" w:rsidP="004462A0">
      <w:pPr>
        <w:tabs>
          <w:tab w:val="left" w:pos="720"/>
        </w:tabs>
        <w:rPr>
          <w:del w:id="11577" w:author="AbbVie2" w:date="2025-05-13T16:45:00Z"/>
          <w:sz w:val="22"/>
          <w:szCs w:val="22"/>
        </w:rPr>
      </w:pPr>
    </w:p>
    <w:p w14:paraId="643E1FA8" w14:textId="0EE21EF0"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578" w:author="AbbVie2" w:date="2025-05-13T16:45:00Z"/>
          <w:b/>
          <w:sz w:val="22"/>
          <w:szCs w:val="22"/>
          <w:highlight w:val="lightGray"/>
        </w:rPr>
      </w:pPr>
      <w:del w:id="11579" w:author="AbbVie2" w:date="2025-05-13T16:45:00Z">
        <w:r w:rsidRPr="008912CF">
          <w:rPr>
            <w:b/>
            <w:sz w:val="22"/>
            <w:szCs w:val="22"/>
          </w:rPr>
          <w:delText>12.</w:delText>
        </w:r>
        <w:r w:rsidRPr="008912CF">
          <w:rPr>
            <w:b/>
            <w:sz w:val="22"/>
            <w:szCs w:val="22"/>
          </w:rPr>
          <w:tab/>
          <w:delText xml:space="preserve">NÚMERO DA AUTORIZAÇÃO DE INTRODUÇÃO NO MERCADO </w:delText>
        </w:r>
      </w:del>
    </w:p>
    <w:p w14:paraId="3E51618C" w14:textId="13C9A3D9" w:rsidR="004462A0" w:rsidRPr="008912CF" w:rsidRDefault="004462A0" w:rsidP="004462A0">
      <w:pPr>
        <w:tabs>
          <w:tab w:val="left" w:pos="720"/>
        </w:tabs>
        <w:rPr>
          <w:del w:id="11580" w:author="AbbVie2" w:date="2025-05-13T16:45:00Z"/>
          <w:sz w:val="22"/>
          <w:szCs w:val="22"/>
        </w:rPr>
      </w:pPr>
    </w:p>
    <w:p w14:paraId="531818D1" w14:textId="3624885C" w:rsidR="004462A0" w:rsidRPr="008912CF" w:rsidRDefault="00615769" w:rsidP="004462A0">
      <w:pPr>
        <w:tabs>
          <w:tab w:val="left" w:pos="720"/>
        </w:tabs>
        <w:rPr>
          <w:del w:id="11581" w:author="AbbVie2" w:date="2025-05-13T16:45:00Z"/>
          <w:sz w:val="22"/>
          <w:szCs w:val="22"/>
        </w:rPr>
      </w:pPr>
      <w:del w:id="11582" w:author="AbbVie2" w:date="2025-05-13T16:45:00Z">
        <w:r w:rsidRPr="008912CF">
          <w:rPr>
            <w:sz w:val="22"/>
            <w:szCs w:val="22"/>
          </w:rPr>
          <w:delText xml:space="preserve">EU/1/03/256/001 </w:delText>
        </w:r>
      </w:del>
    </w:p>
    <w:p w14:paraId="5E7CE569" w14:textId="329012D4" w:rsidR="004462A0" w:rsidRPr="008912CF" w:rsidRDefault="004462A0" w:rsidP="004462A0">
      <w:pPr>
        <w:tabs>
          <w:tab w:val="left" w:pos="720"/>
        </w:tabs>
        <w:rPr>
          <w:del w:id="11583" w:author="AbbVie2" w:date="2025-05-13T16:45:00Z"/>
          <w:sz w:val="22"/>
          <w:szCs w:val="22"/>
        </w:rPr>
      </w:pPr>
    </w:p>
    <w:p w14:paraId="7879E507" w14:textId="5C2F2DF3" w:rsidR="004462A0" w:rsidRPr="008912CF" w:rsidRDefault="004462A0" w:rsidP="004462A0">
      <w:pPr>
        <w:tabs>
          <w:tab w:val="left" w:pos="720"/>
        </w:tabs>
        <w:rPr>
          <w:del w:id="11584" w:author="AbbVie2" w:date="2025-05-13T16:45:00Z"/>
          <w:sz w:val="22"/>
          <w:szCs w:val="22"/>
        </w:rPr>
      </w:pPr>
    </w:p>
    <w:p w14:paraId="77542F5B" w14:textId="151E7064"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585" w:author="AbbVie2" w:date="2025-05-13T16:45:00Z"/>
          <w:sz w:val="22"/>
          <w:szCs w:val="22"/>
          <w:highlight w:val="lightGray"/>
        </w:rPr>
      </w:pPr>
      <w:del w:id="11586" w:author="AbbVie2" w:date="2025-05-13T16:45:00Z">
        <w:r w:rsidRPr="008912CF">
          <w:rPr>
            <w:b/>
            <w:sz w:val="22"/>
            <w:szCs w:val="22"/>
          </w:rPr>
          <w:delText>13.</w:delText>
        </w:r>
        <w:r w:rsidRPr="008912CF">
          <w:rPr>
            <w:b/>
            <w:sz w:val="22"/>
            <w:szCs w:val="22"/>
          </w:rPr>
          <w:tab/>
          <w:delText xml:space="preserve">NÚMERO DO LOTE </w:delText>
        </w:r>
      </w:del>
    </w:p>
    <w:p w14:paraId="73A9B2F6" w14:textId="4BCA6DAA" w:rsidR="004462A0" w:rsidRPr="008912CF" w:rsidRDefault="004462A0" w:rsidP="004462A0">
      <w:pPr>
        <w:tabs>
          <w:tab w:val="left" w:pos="720"/>
        </w:tabs>
        <w:rPr>
          <w:del w:id="11587" w:author="AbbVie2" w:date="2025-05-13T16:45:00Z"/>
          <w:sz w:val="22"/>
          <w:szCs w:val="22"/>
        </w:rPr>
      </w:pPr>
    </w:p>
    <w:p w14:paraId="50437FC7" w14:textId="72096163" w:rsidR="004462A0" w:rsidRPr="008912CF" w:rsidRDefault="00615769" w:rsidP="004462A0">
      <w:pPr>
        <w:tabs>
          <w:tab w:val="left" w:pos="720"/>
        </w:tabs>
        <w:rPr>
          <w:del w:id="11588" w:author="AbbVie2" w:date="2025-05-13T16:45:00Z"/>
          <w:sz w:val="22"/>
          <w:szCs w:val="22"/>
        </w:rPr>
      </w:pPr>
      <w:del w:id="11589" w:author="AbbVie2" w:date="2025-05-13T16:45:00Z">
        <w:r w:rsidRPr="008912CF">
          <w:rPr>
            <w:sz w:val="22"/>
            <w:szCs w:val="22"/>
          </w:rPr>
          <w:delText>Lote</w:delText>
        </w:r>
      </w:del>
    </w:p>
    <w:p w14:paraId="4889CB3C" w14:textId="6CEA0022" w:rsidR="004462A0" w:rsidRPr="008912CF" w:rsidRDefault="004462A0" w:rsidP="004462A0">
      <w:pPr>
        <w:tabs>
          <w:tab w:val="left" w:pos="720"/>
        </w:tabs>
        <w:rPr>
          <w:del w:id="11590" w:author="AbbVie2" w:date="2025-05-13T16:45:00Z"/>
          <w:sz w:val="22"/>
          <w:szCs w:val="22"/>
        </w:rPr>
      </w:pPr>
    </w:p>
    <w:p w14:paraId="6946A3BF" w14:textId="68140B37" w:rsidR="004462A0" w:rsidRPr="008912CF" w:rsidRDefault="004462A0" w:rsidP="004462A0">
      <w:pPr>
        <w:tabs>
          <w:tab w:val="left" w:pos="720"/>
        </w:tabs>
        <w:rPr>
          <w:del w:id="11591" w:author="AbbVie2" w:date="2025-05-13T16:45:00Z"/>
          <w:sz w:val="22"/>
          <w:szCs w:val="22"/>
        </w:rPr>
      </w:pPr>
    </w:p>
    <w:p w14:paraId="5604C641" w14:textId="4EBBE9B3"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592" w:author="AbbVie2" w:date="2025-05-13T16:45:00Z"/>
          <w:sz w:val="22"/>
          <w:szCs w:val="22"/>
          <w:highlight w:val="lightGray"/>
        </w:rPr>
      </w:pPr>
      <w:del w:id="11593" w:author="AbbVie2" w:date="2025-05-13T16:45:00Z">
        <w:r w:rsidRPr="008912CF">
          <w:rPr>
            <w:b/>
            <w:sz w:val="22"/>
            <w:szCs w:val="22"/>
          </w:rPr>
          <w:delText>14.</w:delText>
        </w:r>
        <w:r w:rsidRPr="008912CF">
          <w:rPr>
            <w:b/>
            <w:sz w:val="22"/>
            <w:szCs w:val="22"/>
          </w:rPr>
          <w:tab/>
          <w:delText>CLASSIFICAÇÃO QUANTO À DISPENSA AO PÚBLICO</w:delText>
        </w:r>
      </w:del>
    </w:p>
    <w:p w14:paraId="10368CB9" w14:textId="1A014C2D" w:rsidR="004462A0" w:rsidRPr="008912CF" w:rsidRDefault="004462A0" w:rsidP="004462A0">
      <w:pPr>
        <w:tabs>
          <w:tab w:val="left" w:pos="720"/>
        </w:tabs>
        <w:rPr>
          <w:del w:id="11594" w:author="AbbVie2" w:date="2025-05-13T16:45:00Z"/>
          <w:sz w:val="22"/>
          <w:szCs w:val="22"/>
        </w:rPr>
      </w:pPr>
    </w:p>
    <w:p w14:paraId="17C15845" w14:textId="3ED40D26" w:rsidR="004462A0" w:rsidRPr="008912CF" w:rsidRDefault="004462A0" w:rsidP="004462A0">
      <w:pPr>
        <w:tabs>
          <w:tab w:val="left" w:pos="720"/>
        </w:tabs>
        <w:rPr>
          <w:del w:id="11595" w:author="AbbVie2" w:date="2025-05-13T16:45:00Z"/>
          <w:sz w:val="22"/>
          <w:szCs w:val="22"/>
        </w:rPr>
      </w:pPr>
    </w:p>
    <w:p w14:paraId="6F641858" w14:textId="477B758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596" w:author="AbbVie2" w:date="2025-05-13T16:45:00Z"/>
          <w:b/>
          <w:sz w:val="22"/>
          <w:szCs w:val="22"/>
          <w:u w:val="single"/>
        </w:rPr>
      </w:pPr>
      <w:del w:id="11597" w:author="AbbVie2" w:date="2025-05-13T16:45:00Z">
        <w:r w:rsidRPr="008912CF">
          <w:rPr>
            <w:b/>
            <w:sz w:val="22"/>
            <w:szCs w:val="22"/>
          </w:rPr>
          <w:delText>15.</w:delText>
        </w:r>
        <w:r w:rsidRPr="008912CF">
          <w:rPr>
            <w:b/>
            <w:sz w:val="22"/>
            <w:szCs w:val="22"/>
          </w:rPr>
          <w:tab/>
          <w:delText>INSTRUÇÕES DE UTILIZAÇÃO</w:delText>
        </w:r>
      </w:del>
    </w:p>
    <w:p w14:paraId="6E06DA88" w14:textId="665886E5" w:rsidR="004462A0" w:rsidRPr="00431557" w:rsidRDefault="004462A0" w:rsidP="004462A0">
      <w:pPr>
        <w:shd w:val="clear" w:color="auto" w:fill="FFFFFF"/>
        <w:tabs>
          <w:tab w:val="left" w:pos="720"/>
        </w:tabs>
        <w:rPr>
          <w:del w:id="11598" w:author="AbbVie2" w:date="2025-05-13T16:45:00Z"/>
          <w:sz w:val="22"/>
          <w:szCs w:val="22"/>
        </w:rPr>
      </w:pPr>
    </w:p>
    <w:p w14:paraId="17FA8945" w14:textId="6D3BEAA3" w:rsidR="004462A0" w:rsidRPr="00431557" w:rsidRDefault="004462A0" w:rsidP="004462A0">
      <w:pPr>
        <w:shd w:val="clear" w:color="auto" w:fill="FFFFFF"/>
        <w:tabs>
          <w:tab w:val="left" w:pos="720"/>
        </w:tabs>
        <w:rPr>
          <w:del w:id="11599" w:author="AbbVie2" w:date="2025-05-13T16:45:00Z"/>
          <w:sz w:val="22"/>
          <w:szCs w:val="22"/>
        </w:rPr>
      </w:pPr>
    </w:p>
    <w:p w14:paraId="0170EB45" w14:textId="18A8108A"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600" w:author="AbbVie2" w:date="2025-05-13T16:45:00Z"/>
          <w:b/>
          <w:sz w:val="22"/>
          <w:szCs w:val="22"/>
          <w:u w:val="single"/>
        </w:rPr>
      </w:pPr>
      <w:del w:id="11601" w:author="AbbVie2" w:date="2025-05-13T16:45:00Z">
        <w:r w:rsidRPr="008912CF">
          <w:rPr>
            <w:b/>
            <w:sz w:val="22"/>
            <w:szCs w:val="22"/>
          </w:rPr>
          <w:delText>16.</w:delText>
        </w:r>
        <w:r w:rsidRPr="008912CF">
          <w:rPr>
            <w:b/>
            <w:sz w:val="22"/>
            <w:szCs w:val="22"/>
          </w:rPr>
          <w:tab/>
          <w:delText>INFORMAÇÃO EM BRAILLE</w:delText>
        </w:r>
      </w:del>
    </w:p>
    <w:p w14:paraId="63FE6951" w14:textId="028F3848" w:rsidR="004462A0" w:rsidRPr="00431557" w:rsidRDefault="004462A0" w:rsidP="004462A0">
      <w:pPr>
        <w:shd w:val="clear" w:color="auto" w:fill="FFFFFF"/>
        <w:tabs>
          <w:tab w:val="left" w:pos="720"/>
        </w:tabs>
        <w:rPr>
          <w:del w:id="11602" w:author="AbbVie2" w:date="2025-05-13T16:45:00Z"/>
          <w:sz w:val="22"/>
          <w:szCs w:val="22"/>
        </w:rPr>
      </w:pPr>
    </w:p>
    <w:p w14:paraId="321B2B8F" w14:textId="75C17CA0" w:rsidR="004462A0" w:rsidRPr="008912CF" w:rsidRDefault="00615769" w:rsidP="004462A0">
      <w:pPr>
        <w:rPr>
          <w:del w:id="11603" w:author="AbbVie2" w:date="2025-05-13T16:45:00Z"/>
          <w:sz w:val="22"/>
          <w:szCs w:val="22"/>
        </w:rPr>
      </w:pPr>
      <w:del w:id="11604" w:author="AbbVie2" w:date="2025-05-13T16:45:00Z">
        <w:r w:rsidRPr="008912CF">
          <w:rPr>
            <w:bCs/>
            <w:sz w:val="22"/>
            <w:szCs w:val="22"/>
          </w:rPr>
          <w:delText>Humira 40 mg</w:delText>
        </w:r>
      </w:del>
    </w:p>
    <w:p w14:paraId="5762D7CD" w14:textId="1AD70CB3" w:rsidR="004462A0" w:rsidRPr="00431557" w:rsidRDefault="004462A0" w:rsidP="004462A0">
      <w:pPr>
        <w:pStyle w:val="Heading3"/>
        <w:keepNext w:val="0"/>
        <w:spacing w:before="0" w:after="0" w:line="240" w:lineRule="auto"/>
        <w:rPr>
          <w:del w:id="11605" w:author="AbbVie2" w:date="2025-05-13T16:45:00Z"/>
          <w:b w:val="0"/>
          <w:sz w:val="22"/>
          <w:szCs w:val="22"/>
          <w:lang w:val="pt-PT"/>
        </w:rPr>
      </w:pPr>
    </w:p>
    <w:p w14:paraId="05FDBEEC" w14:textId="470EEB32" w:rsidR="004462A0" w:rsidRPr="00431557" w:rsidRDefault="004462A0" w:rsidP="004462A0">
      <w:pPr>
        <w:pStyle w:val="Heading3"/>
        <w:keepNext w:val="0"/>
        <w:spacing w:before="0" w:after="0" w:line="240" w:lineRule="auto"/>
        <w:rPr>
          <w:del w:id="11606" w:author="AbbVie2" w:date="2025-05-13T16:45:00Z"/>
          <w:b w:val="0"/>
          <w:sz w:val="22"/>
          <w:szCs w:val="22"/>
          <w:lang w:val="pt-PT"/>
        </w:rPr>
      </w:pPr>
    </w:p>
    <w:p w14:paraId="72922957" w14:textId="1553C7A5" w:rsidR="004462A0" w:rsidRPr="00C25DF2" w:rsidRDefault="00615769" w:rsidP="004462A0">
      <w:pPr>
        <w:pBdr>
          <w:top w:val="single" w:sz="4" w:space="1" w:color="auto"/>
          <w:left w:val="single" w:sz="4" w:space="4" w:color="auto"/>
          <w:bottom w:val="single" w:sz="4" w:space="1" w:color="auto"/>
          <w:right w:val="single" w:sz="4" w:space="4" w:color="auto"/>
        </w:pBdr>
        <w:tabs>
          <w:tab w:val="left" w:pos="562"/>
        </w:tabs>
        <w:suppressAutoHyphens/>
        <w:rPr>
          <w:del w:id="11607" w:author="AbbVie2" w:date="2025-05-13T16:45:00Z"/>
          <w:b/>
          <w:bCs/>
          <w:caps/>
          <w:sz w:val="22"/>
          <w:szCs w:val="20"/>
        </w:rPr>
      </w:pPr>
      <w:del w:id="11608" w:author="AbbVie2" w:date="2025-05-13T16:45:00Z">
        <w:r w:rsidRPr="00FA69E8">
          <w:rPr>
            <w:b/>
            <w:bCs/>
            <w:caps/>
            <w:sz w:val="22"/>
            <w:szCs w:val="20"/>
          </w:rPr>
          <w:delText xml:space="preserve">17. </w:delText>
        </w:r>
        <w:r w:rsidRPr="00FA69E8">
          <w:rPr>
            <w:b/>
            <w:bCs/>
            <w:caps/>
            <w:sz w:val="22"/>
            <w:szCs w:val="20"/>
          </w:rPr>
          <w:tab/>
        </w:r>
        <w:r w:rsidRPr="00C25DF2">
          <w:rPr>
            <w:b/>
            <w:bCs/>
            <w:caps/>
            <w:sz w:val="22"/>
            <w:szCs w:val="20"/>
          </w:rPr>
          <w:delText xml:space="preserve">IDENTIFICADOR ÚNICO – CÓDIGO DE BARRAS 2D </w:delText>
        </w:r>
      </w:del>
    </w:p>
    <w:p w14:paraId="6C48E4FD" w14:textId="4A1EB7D1" w:rsidR="004462A0" w:rsidRPr="00C25DF2" w:rsidRDefault="004462A0" w:rsidP="004462A0">
      <w:pPr>
        <w:tabs>
          <w:tab w:val="left" w:pos="562"/>
        </w:tabs>
        <w:suppressAutoHyphens/>
        <w:rPr>
          <w:del w:id="11609" w:author="AbbVie2" w:date="2025-05-13T16:45:00Z"/>
          <w:sz w:val="22"/>
        </w:rPr>
      </w:pPr>
    </w:p>
    <w:p w14:paraId="4385BDD0" w14:textId="32A8EC12" w:rsidR="004462A0" w:rsidRPr="00C25DF2" w:rsidRDefault="00615769" w:rsidP="004462A0">
      <w:pPr>
        <w:tabs>
          <w:tab w:val="left" w:pos="562"/>
        </w:tabs>
        <w:suppressAutoHyphens/>
        <w:rPr>
          <w:del w:id="11610" w:author="AbbVie2" w:date="2025-05-13T16:45:00Z"/>
          <w:sz w:val="22"/>
          <w:shd w:val="clear" w:color="auto" w:fill="BFBFBF"/>
        </w:rPr>
      </w:pPr>
      <w:del w:id="11611" w:author="AbbVie2" w:date="2025-05-13T16:45:00Z">
        <w:r w:rsidRPr="00C25DF2">
          <w:rPr>
            <w:sz w:val="22"/>
            <w:shd w:val="clear" w:color="auto" w:fill="BFBFBF"/>
          </w:rPr>
          <w:delText xml:space="preserve">Código de barras 2D com identificador </w:delText>
        </w:r>
        <w:r>
          <w:rPr>
            <w:sz w:val="22"/>
            <w:shd w:val="clear" w:color="auto" w:fill="BFBFBF"/>
          </w:rPr>
          <w:delText>único incluído.</w:delText>
        </w:r>
      </w:del>
    </w:p>
    <w:p w14:paraId="7CCFB0CC" w14:textId="1575301B" w:rsidR="004462A0" w:rsidRPr="00C25DF2" w:rsidRDefault="004462A0" w:rsidP="004462A0">
      <w:pPr>
        <w:tabs>
          <w:tab w:val="left" w:pos="562"/>
        </w:tabs>
        <w:suppressAutoHyphens/>
        <w:rPr>
          <w:del w:id="11612" w:author="AbbVie2" w:date="2025-05-13T16:45:00Z"/>
          <w:sz w:val="22"/>
          <w:shd w:val="clear" w:color="auto" w:fill="BFBFBF"/>
        </w:rPr>
      </w:pPr>
    </w:p>
    <w:p w14:paraId="46BE72F4" w14:textId="4BC32CD0" w:rsidR="004462A0" w:rsidRPr="00C25DF2" w:rsidRDefault="004462A0" w:rsidP="004462A0">
      <w:pPr>
        <w:tabs>
          <w:tab w:val="left" w:pos="562"/>
        </w:tabs>
        <w:suppressAutoHyphens/>
        <w:rPr>
          <w:del w:id="11613" w:author="AbbVie2" w:date="2025-05-13T16:45:00Z"/>
          <w:sz w:val="22"/>
          <w:shd w:val="clear" w:color="auto" w:fill="BFBFBF"/>
        </w:rPr>
      </w:pPr>
    </w:p>
    <w:p w14:paraId="134CC366" w14:textId="4642D956" w:rsidR="004462A0" w:rsidRPr="00C25DF2" w:rsidRDefault="00615769" w:rsidP="004462A0">
      <w:pPr>
        <w:keepNext/>
        <w:pBdr>
          <w:top w:val="single" w:sz="4" w:space="1" w:color="auto"/>
          <w:left w:val="single" w:sz="4" w:space="4" w:color="auto"/>
          <w:bottom w:val="single" w:sz="4" w:space="1" w:color="auto"/>
          <w:right w:val="single" w:sz="4" w:space="4" w:color="auto"/>
        </w:pBdr>
        <w:tabs>
          <w:tab w:val="left" w:pos="562"/>
        </w:tabs>
        <w:suppressAutoHyphens/>
        <w:rPr>
          <w:del w:id="11614" w:author="AbbVie2" w:date="2025-05-13T16:45:00Z"/>
          <w:rFonts w:ascii="Times New Roman Bold" w:hAnsi="Times New Roman Bold"/>
          <w:caps/>
          <w:sz w:val="22"/>
          <w:szCs w:val="20"/>
        </w:rPr>
      </w:pPr>
      <w:del w:id="11615" w:author="AbbVie2" w:date="2025-05-13T16:45:00Z">
        <w:r w:rsidRPr="00C25DF2">
          <w:rPr>
            <w:b/>
            <w:bCs/>
            <w:caps/>
            <w:sz w:val="22"/>
            <w:szCs w:val="20"/>
          </w:rPr>
          <w:delText xml:space="preserve">18. </w:delText>
        </w:r>
        <w:r w:rsidRPr="00C25DF2">
          <w:rPr>
            <w:b/>
            <w:bCs/>
            <w:caps/>
            <w:sz w:val="22"/>
            <w:szCs w:val="20"/>
          </w:rPr>
          <w:tab/>
          <w:delText>IDENTIFICADOR ÚNICO – DADOS PARA LEITURA HUMA</w:delText>
        </w:r>
        <w:r>
          <w:rPr>
            <w:b/>
            <w:bCs/>
            <w:caps/>
            <w:sz w:val="22"/>
            <w:szCs w:val="20"/>
          </w:rPr>
          <w:delText>NA</w:delText>
        </w:r>
      </w:del>
    </w:p>
    <w:p w14:paraId="02F0E1D9" w14:textId="0D98851F" w:rsidR="004462A0" w:rsidRPr="00C25DF2" w:rsidRDefault="004462A0" w:rsidP="004462A0">
      <w:pPr>
        <w:keepNext/>
        <w:tabs>
          <w:tab w:val="left" w:pos="562"/>
        </w:tabs>
        <w:suppressAutoHyphens/>
        <w:ind w:left="540" w:hanging="540"/>
        <w:rPr>
          <w:del w:id="11616" w:author="AbbVie2" w:date="2025-05-13T16:45:00Z"/>
          <w:sz w:val="22"/>
        </w:rPr>
      </w:pPr>
    </w:p>
    <w:p w14:paraId="6E14E160" w14:textId="078E3148" w:rsidR="004462A0" w:rsidRPr="00FA69E8" w:rsidRDefault="00615769" w:rsidP="004462A0">
      <w:pPr>
        <w:keepNext/>
        <w:tabs>
          <w:tab w:val="left" w:pos="562"/>
        </w:tabs>
        <w:suppressAutoHyphens/>
        <w:ind w:left="540" w:hanging="540"/>
        <w:rPr>
          <w:del w:id="11617" w:author="AbbVie2" w:date="2025-05-13T16:45:00Z"/>
          <w:sz w:val="22"/>
        </w:rPr>
      </w:pPr>
      <w:del w:id="11618" w:author="AbbVie2" w:date="2025-05-13T16:45:00Z">
        <w:r w:rsidRPr="00FA69E8">
          <w:rPr>
            <w:sz w:val="22"/>
          </w:rPr>
          <w:delText>PC</w:delText>
        </w:r>
      </w:del>
    </w:p>
    <w:p w14:paraId="32170BC6" w14:textId="67187A01" w:rsidR="004462A0" w:rsidRPr="00FA69E8" w:rsidRDefault="00615769" w:rsidP="004462A0">
      <w:pPr>
        <w:keepNext/>
        <w:tabs>
          <w:tab w:val="left" w:pos="562"/>
        </w:tabs>
        <w:suppressAutoHyphens/>
        <w:ind w:left="540" w:hanging="540"/>
        <w:rPr>
          <w:del w:id="11619" w:author="AbbVie2" w:date="2025-05-13T16:45:00Z"/>
          <w:sz w:val="22"/>
        </w:rPr>
      </w:pPr>
      <w:del w:id="11620" w:author="AbbVie2" w:date="2025-05-13T16:45:00Z">
        <w:r w:rsidRPr="00FA69E8">
          <w:rPr>
            <w:sz w:val="22"/>
          </w:rPr>
          <w:delText>SN</w:delText>
        </w:r>
      </w:del>
    </w:p>
    <w:p w14:paraId="392B8B10" w14:textId="6A534150" w:rsidR="004462A0" w:rsidRPr="009B235D" w:rsidRDefault="00615769" w:rsidP="004462A0">
      <w:pPr>
        <w:keepNext/>
        <w:tabs>
          <w:tab w:val="left" w:pos="562"/>
        </w:tabs>
        <w:suppressAutoHyphens/>
        <w:ind w:left="540" w:hanging="540"/>
        <w:rPr>
          <w:del w:id="11621" w:author="AbbVie2" w:date="2025-05-13T16:45:00Z"/>
          <w:sz w:val="22"/>
          <w:shd w:val="pct15" w:color="auto" w:fill="FFFFFF"/>
        </w:rPr>
      </w:pPr>
      <w:del w:id="11622" w:author="AbbVie2" w:date="2025-05-13T16:45:00Z">
        <w:r w:rsidRPr="009B235D">
          <w:rPr>
            <w:sz w:val="22"/>
            <w:shd w:val="pct15" w:color="auto" w:fill="FFFFFF"/>
          </w:rPr>
          <w:delText>NN</w:delText>
        </w:r>
      </w:del>
    </w:p>
    <w:p w14:paraId="5682C060" w14:textId="1A5EB104" w:rsidR="004462A0" w:rsidRPr="00FA69E8" w:rsidRDefault="00615769" w:rsidP="004462A0">
      <w:pPr>
        <w:pStyle w:val="Heading3"/>
        <w:keepNext w:val="0"/>
        <w:spacing w:before="0" w:after="0" w:line="240" w:lineRule="auto"/>
        <w:rPr>
          <w:del w:id="11623" w:author="AbbVie2" w:date="2025-05-13T16:45:00Z"/>
          <w:sz w:val="22"/>
          <w:szCs w:val="22"/>
          <w:lang w:val="pt-PT"/>
        </w:rPr>
      </w:pPr>
      <w:del w:id="11624" w:author="AbbVie2" w:date="2025-05-13T16:45:00Z">
        <w:r w:rsidRPr="00FA69E8">
          <w:rPr>
            <w:sz w:val="22"/>
            <w:szCs w:val="22"/>
            <w:lang w:val="pt-PT"/>
          </w:rPr>
          <w:br w:type="page"/>
        </w:r>
      </w:del>
    </w:p>
    <w:p w14:paraId="711AFB5D" w14:textId="15728434" w:rsidR="004462A0" w:rsidRPr="008912CF" w:rsidRDefault="00615769" w:rsidP="004462A0">
      <w:pPr>
        <w:pBdr>
          <w:top w:val="single" w:sz="4" w:space="1" w:color="auto"/>
          <w:left w:val="single" w:sz="4" w:space="4" w:color="auto"/>
          <w:bottom w:val="single" w:sz="4" w:space="1" w:color="auto"/>
          <w:right w:val="single" w:sz="4" w:space="4" w:color="auto"/>
        </w:pBdr>
        <w:tabs>
          <w:tab w:val="left" w:pos="567"/>
        </w:tabs>
        <w:rPr>
          <w:del w:id="11625" w:author="AbbVie2" w:date="2025-05-13T16:45:00Z"/>
          <w:b/>
          <w:sz w:val="22"/>
          <w:szCs w:val="22"/>
        </w:rPr>
      </w:pPr>
      <w:del w:id="11626" w:author="AbbVie2" w:date="2025-05-13T16:45:00Z">
        <w:r w:rsidRPr="008912CF">
          <w:rPr>
            <w:b/>
            <w:sz w:val="22"/>
            <w:szCs w:val="22"/>
          </w:rPr>
          <w:delText>INDICAÇÕES A INCLUIR NO ACONDICIONAMENTO SECUNDÁRIO</w:delText>
        </w:r>
      </w:del>
    </w:p>
    <w:p w14:paraId="332A0C7B" w14:textId="65467BCE" w:rsidR="004462A0" w:rsidRPr="008912CF" w:rsidRDefault="004462A0" w:rsidP="004462A0">
      <w:pPr>
        <w:pBdr>
          <w:top w:val="single" w:sz="4" w:space="1" w:color="auto"/>
          <w:left w:val="single" w:sz="4" w:space="4" w:color="auto"/>
          <w:bottom w:val="single" w:sz="4" w:space="1" w:color="auto"/>
          <w:right w:val="single" w:sz="4" w:space="4" w:color="auto"/>
        </w:pBdr>
        <w:tabs>
          <w:tab w:val="left" w:pos="567"/>
        </w:tabs>
        <w:rPr>
          <w:del w:id="11627" w:author="AbbVie2" w:date="2025-05-13T16:45:00Z"/>
          <w:i/>
          <w:iCs/>
          <w:sz w:val="22"/>
          <w:szCs w:val="22"/>
        </w:rPr>
      </w:pPr>
    </w:p>
    <w:p w14:paraId="6F2DA186" w14:textId="24F060FD" w:rsidR="004462A0" w:rsidRPr="008912CF" w:rsidRDefault="00615769" w:rsidP="004462A0">
      <w:pPr>
        <w:pStyle w:val="Heading1"/>
        <w:keepNext w:val="0"/>
        <w:rPr>
          <w:del w:id="11628" w:author="AbbVie2" w:date="2025-05-13T16:45:00Z"/>
          <w:caps/>
          <w:szCs w:val="22"/>
        </w:rPr>
      </w:pPr>
      <w:del w:id="11629" w:author="AbbVie2" w:date="2025-05-13T16:45:00Z">
        <w:r w:rsidRPr="008912CF">
          <w:rPr>
            <w:caps/>
            <w:szCs w:val="22"/>
          </w:rPr>
          <w:delText xml:space="preserve">Embalagem </w:delText>
        </w:r>
        <w:r w:rsidR="00A04687">
          <w:rPr>
            <w:caps/>
            <w:szCs w:val="22"/>
          </w:rPr>
          <w:delText xml:space="preserve">INTERIOR </w:delText>
        </w:r>
      </w:del>
    </w:p>
    <w:p w14:paraId="449A7F86" w14:textId="34C57FEF" w:rsidR="004462A0" w:rsidRPr="008912CF" w:rsidRDefault="004462A0" w:rsidP="004462A0">
      <w:pPr>
        <w:tabs>
          <w:tab w:val="left" w:pos="567"/>
        </w:tabs>
        <w:rPr>
          <w:del w:id="11630" w:author="AbbVie2" w:date="2025-05-13T16:45:00Z"/>
          <w:b/>
          <w:sz w:val="22"/>
          <w:szCs w:val="22"/>
        </w:rPr>
      </w:pPr>
    </w:p>
    <w:p w14:paraId="761B1C9B" w14:textId="17C9CC3E" w:rsidR="004462A0" w:rsidRPr="008912CF" w:rsidRDefault="004462A0" w:rsidP="004462A0">
      <w:pPr>
        <w:tabs>
          <w:tab w:val="left" w:pos="567"/>
        </w:tabs>
        <w:rPr>
          <w:del w:id="11631" w:author="AbbVie2" w:date="2025-05-13T16:45:00Z"/>
          <w:b/>
          <w:sz w:val="22"/>
          <w:szCs w:val="22"/>
        </w:rPr>
      </w:pPr>
    </w:p>
    <w:p w14:paraId="092559DA" w14:textId="323F1C12"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632" w:author="AbbVie2" w:date="2025-05-13T16:45:00Z"/>
          <w:sz w:val="22"/>
          <w:szCs w:val="22"/>
        </w:rPr>
      </w:pPr>
      <w:del w:id="11633" w:author="AbbVie2" w:date="2025-05-13T16:45:00Z">
        <w:r w:rsidRPr="008912CF">
          <w:rPr>
            <w:b/>
            <w:sz w:val="22"/>
            <w:szCs w:val="22"/>
          </w:rPr>
          <w:delText>1.</w:delText>
        </w:r>
        <w:r w:rsidRPr="008912CF">
          <w:rPr>
            <w:b/>
            <w:sz w:val="22"/>
            <w:szCs w:val="22"/>
          </w:rPr>
          <w:tab/>
          <w:delText>NOME DO MEDICAMENTO</w:delText>
        </w:r>
      </w:del>
    </w:p>
    <w:p w14:paraId="78F4B744" w14:textId="3A24A07A" w:rsidR="004462A0" w:rsidRPr="008912CF" w:rsidRDefault="004462A0" w:rsidP="004462A0">
      <w:pPr>
        <w:tabs>
          <w:tab w:val="left" w:pos="720"/>
        </w:tabs>
        <w:rPr>
          <w:del w:id="11634" w:author="AbbVie2" w:date="2025-05-13T16:45:00Z"/>
          <w:sz w:val="22"/>
          <w:szCs w:val="22"/>
        </w:rPr>
      </w:pPr>
    </w:p>
    <w:p w14:paraId="5F2798F2" w14:textId="2469FAEA" w:rsidR="004462A0" w:rsidRPr="008912CF" w:rsidRDefault="00615769" w:rsidP="004462A0">
      <w:pPr>
        <w:tabs>
          <w:tab w:val="left" w:pos="720"/>
        </w:tabs>
        <w:rPr>
          <w:del w:id="11635" w:author="AbbVie2" w:date="2025-05-13T16:45:00Z"/>
          <w:sz w:val="22"/>
          <w:szCs w:val="22"/>
        </w:rPr>
      </w:pPr>
      <w:del w:id="11636" w:author="AbbVie2" w:date="2025-05-13T16:45:00Z">
        <w:r w:rsidRPr="008912CF">
          <w:rPr>
            <w:sz w:val="22"/>
            <w:szCs w:val="22"/>
          </w:rPr>
          <w:delText xml:space="preserve">Humira 40 mg/0,8 ml solução injetável </w:delText>
        </w:r>
      </w:del>
    </w:p>
    <w:p w14:paraId="0D2375D3" w14:textId="70B17E2D" w:rsidR="004462A0" w:rsidRPr="008912CF" w:rsidRDefault="00615769" w:rsidP="004462A0">
      <w:pPr>
        <w:pStyle w:val="EndnoteText"/>
        <w:tabs>
          <w:tab w:val="clear" w:pos="567"/>
          <w:tab w:val="left" w:pos="720"/>
        </w:tabs>
        <w:rPr>
          <w:del w:id="11637" w:author="AbbVie2" w:date="2025-05-13T16:45:00Z"/>
          <w:szCs w:val="22"/>
        </w:rPr>
      </w:pPr>
      <w:del w:id="11638" w:author="AbbVie2" w:date="2025-05-13T16:45:00Z">
        <w:r w:rsidRPr="008912CF">
          <w:rPr>
            <w:szCs w:val="22"/>
          </w:rPr>
          <w:delText>adalimumab</w:delText>
        </w:r>
      </w:del>
    </w:p>
    <w:p w14:paraId="246BE770" w14:textId="644283A6" w:rsidR="004462A0" w:rsidRPr="008912CF" w:rsidRDefault="004462A0" w:rsidP="004462A0">
      <w:pPr>
        <w:pStyle w:val="EndnoteText"/>
        <w:tabs>
          <w:tab w:val="clear" w:pos="567"/>
          <w:tab w:val="left" w:pos="720"/>
        </w:tabs>
        <w:rPr>
          <w:del w:id="11639" w:author="AbbVie2" w:date="2025-05-13T16:45:00Z"/>
          <w:szCs w:val="22"/>
        </w:rPr>
      </w:pPr>
    </w:p>
    <w:p w14:paraId="5A9A679D" w14:textId="66C16885" w:rsidR="004462A0" w:rsidRPr="008912CF" w:rsidRDefault="004462A0" w:rsidP="004462A0">
      <w:pPr>
        <w:rPr>
          <w:del w:id="11640" w:author="AbbVie2" w:date="2025-05-13T16:45:00Z"/>
          <w:sz w:val="22"/>
          <w:szCs w:val="22"/>
        </w:rPr>
      </w:pPr>
    </w:p>
    <w:p w14:paraId="7085C727" w14:textId="01D9789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641" w:author="AbbVie2" w:date="2025-05-13T16:45:00Z"/>
          <w:sz w:val="22"/>
          <w:szCs w:val="22"/>
        </w:rPr>
      </w:pPr>
      <w:del w:id="11642" w:author="AbbVie2" w:date="2025-05-13T16:45:00Z">
        <w:r w:rsidRPr="008912CF">
          <w:rPr>
            <w:b/>
            <w:sz w:val="22"/>
            <w:szCs w:val="22"/>
          </w:rPr>
          <w:delText>2.</w:delText>
        </w:r>
        <w:r w:rsidRPr="008912CF">
          <w:rPr>
            <w:b/>
            <w:sz w:val="22"/>
            <w:szCs w:val="22"/>
          </w:rPr>
          <w:tab/>
        </w:r>
        <w:r w:rsidRPr="008912CF">
          <w:rPr>
            <w:b/>
            <w:bCs/>
            <w:sz w:val="22"/>
            <w:szCs w:val="22"/>
          </w:rPr>
          <w:delText>DESCRIÇÃO DA SUBSTÂNCIA ATIVA</w:delText>
        </w:r>
      </w:del>
    </w:p>
    <w:p w14:paraId="57360A31" w14:textId="0EF3EC09" w:rsidR="004462A0" w:rsidRPr="008912CF" w:rsidRDefault="004462A0" w:rsidP="004462A0">
      <w:pPr>
        <w:tabs>
          <w:tab w:val="left" w:pos="720"/>
        </w:tabs>
        <w:rPr>
          <w:del w:id="11643" w:author="AbbVie2" w:date="2025-05-13T16:45:00Z"/>
          <w:sz w:val="22"/>
          <w:szCs w:val="22"/>
        </w:rPr>
      </w:pPr>
    </w:p>
    <w:p w14:paraId="4F31F0B6" w14:textId="6DE378BE" w:rsidR="004462A0" w:rsidRPr="008912CF" w:rsidRDefault="00615769" w:rsidP="004462A0">
      <w:pPr>
        <w:tabs>
          <w:tab w:val="left" w:pos="720"/>
        </w:tabs>
        <w:rPr>
          <w:del w:id="11644" w:author="AbbVie2" w:date="2025-05-13T16:45:00Z"/>
          <w:sz w:val="22"/>
          <w:szCs w:val="22"/>
        </w:rPr>
      </w:pPr>
      <w:del w:id="11645" w:author="AbbVie2" w:date="2025-05-13T16:45:00Z">
        <w:r w:rsidRPr="008912CF">
          <w:rPr>
            <w:sz w:val="22"/>
            <w:szCs w:val="22"/>
          </w:rPr>
          <w:delText>Um frasco para injetáveis de 0,8 ml contém 40 mg de adalimumab</w:delText>
        </w:r>
        <w:r w:rsidR="00800A92">
          <w:rPr>
            <w:sz w:val="22"/>
            <w:szCs w:val="22"/>
          </w:rPr>
          <w:delText>.</w:delText>
        </w:r>
      </w:del>
    </w:p>
    <w:p w14:paraId="49EC5A12" w14:textId="4A9C1220" w:rsidR="004462A0" w:rsidRPr="008912CF" w:rsidRDefault="004462A0" w:rsidP="004462A0">
      <w:pPr>
        <w:tabs>
          <w:tab w:val="left" w:pos="720"/>
        </w:tabs>
        <w:rPr>
          <w:del w:id="11646" w:author="AbbVie2" w:date="2025-05-13T16:45:00Z"/>
          <w:sz w:val="22"/>
          <w:szCs w:val="22"/>
        </w:rPr>
      </w:pPr>
    </w:p>
    <w:p w14:paraId="0B484A38" w14:textId="60702E43" w:rsidR="004462A0" w:rsidRPr="008912CF" w:rsidRDefault="004462A0" w:rsidP="004462A0">
      <w:pPr>
        <w:tabs>
          <w:tab w:val="left" w:pos="720"/>
        </w:tabs>
        <w:rPr>
          <w:del w:id="11647" w:author="AbbVie2" w:date="2025-05-13T16:45:00Z"/>
          <w:sz w:val="22"/>
          <w:szCs w:val="22"/>
        </w:rPr>
      </w:pPr>
    </w:p>
    <w:p w14:paraId="6F540C79" w14:textId="39570E0F" w:rsidR="004462A0" w:rsidRPr="008912CF" w:rsidRDefault="00615769" w:rsidP="004462A0">
      <w:pPr>
        <w:pBdr>
          <w:top w:val="single" w:sz="4" w:space="1" w:color="auto"/>
          <w:left w:val="single" w:sz="4" w:space="4" w:color="auto"/>
          <w:bottom w:val="single" w:sz="4" w:space="2" w:color="auto"/>
          <w:right w:val="single" w:sz="4" w:space="4" w:color="auto"/>
        </w:pBdr>
        <w:shd w:val="clear" w:color="auto" w:fill="FFFFFF"/>
        <w:tabs>
          <w:tab w:val="left" w:pos="720"/>
        </w:tabs>
        <w:ind w:left="567" w:hanging="567"/>
        <w:rPr>
          <w:del w:id="11648" w:author="AbbVie2" w:date="2025-05-13T16:45:00Z"/>
          <w:sz w:val="22"/>
          <w:szCs w:val="22"/>
          <w:highlight w:val="lightGray"/>
        </w:rPr>
      </w:pPr>
      <w:del w:id="11649" w:author="AbbVie2" w:date="2025-05-13T16:45:00Z">
        <w:r w:rsidRPr="008912CF">
          <w:rPr>
            <w:b/>
            <w:sz w:val="22"/>
            <w:szCs w:val="22"/>
          </w:rPr>
          <w:delText>3.</w:delText>
        </w:r>
        <w:r w:rsidRPr="008912CF">
          <w:rPr>
            <w:b/>
            <w:sz w:val="22"/>
            <w:szCs w:val="22"/>
          </w:rPr>
          <w:tab/>
          <w:delText>LISTA DOS EXCIPIENTES</w:delText>
        </w:r>
      </w:del>
    </w:p>
    <w:p w14:paraId="066F7EC3" w14:textId="5BC31DAE" w:rsidR="004462A0" w:rsidRPr="008912CF" w:rsidRDefault="004462A0" w:rsidP="004462A0">
      <w:pPr>
        <w:tabs>
          <w:tab w:val="left" w:pos="720"/>
        </w:tabs>
        <w:rPr>
          <w:del w:id="11650" w:author="AbbVie2" w:date="2025-05-13T16:45:00Z"/>
          <w:sz w:val="22"/>
          <w:szCs w:val="22"/>
        </w:rPr>
      </w:pPr>
    </w:p>
    <w:p w14:paraId="7E5EBB9A" w14:textId="08DF5866" w:rsidR="004462A0" w:rsidRPr="008912CF" w:rsidRDefault="00615769" w:rsidP="004462A0">
      <w:pPr>
        <w:tabs>
          <w:tab w:val="left" w:pos="720"/>
        </w:tabs>
        <w:rPr>
          <w:del w:id="11651" w:author="AbbVie2" w:date="2025-05-13T16:45:00Z"/>
          <w:sz w:val="22"/>
          <w:szCs w:val="22"/>
        </w:rPr>
      </w:pPr>
      <w:del w:id="11652" w:author="AbbVie2" w:date="2025-05-13T16:45:00Z">
        <w:r w:rsidRPr="008912CF">
          <w:rPr>
            <w:sz w:val="22"/>
            <w:szCs w:val="22"/>
          </w:rPr>
          <w:delText>Excipientes: manitol, ácido cítrico mono-hidratado, citrato de sódio, fosfato monossódico di-hidratado, fostato dissódico di-hidratado, cloreto de sódio, polissorbato 80, hidróxido de sódio e água para preparações injetáveis. Consultar folheto informativo para informação adicional.</w:delText>
        </w:r>
      </w:del>
    </w:p>
    <w:p w14:paraId="13500F10" w14:textId="7B4EFC78" w:rsidR="004462A0" w:rsidRPr="008912CF" w:rsidRDefault="004462A0" w:rsidP="004462A0">
      <w:pPr>
        <w:tabs>
          <w:tab w:val="left" w:pos="720"/>
        </w:tabs>
        <w:rPr>
          <w:del w:id="11653" w:author="AbbVie2" w:date="2025-05-13T16:45:00Z"/>
          <w:sz w:val="22"/>
          <w:szCs w:val="22"/>
        </w:rPr>
      </w:pPr>
    </w:p>
    <w:p w14:paraId="015EA611" w14:textId="2038895F" w:rsidR="004462A0" w:rsidRPr="008912CF" w:rsidRDefault="004462A0" w:rsidP="004462A0">
      <w:pPr>
        <w:tabs>
          <w:tab w:val="left" w:pos="720"/>
        </w:tabs>
        <w:rPr>
          <w:del w:id="11654" w:author="AbbVie2" w:date="2025-05-13T16:45:00Z"/>
          <w:sz w:val="22"/>
          <w:szCs w:val="22"/>
        </w:rPr>
      </w:pPr>
    </w:p>
    <w:p w14:paraId="27159812" w14:textId="377377C0"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655" w:author="AbbVie2" w:date="2025-05-13T16:45:00Z"/>
          <w:sz w:val="22"/>
          <w:szCs w:val="22"/>
          <w:highlight w:val="lightGray"/>
        </w:rPr>
      </w:pPr>
      <w:del w:id="11656" w:author="AbbVie2" w:date="2025-05-13T16:45:00Z">
        <w:r w:rsidRPr="008912CF">
          <w:rPr>
            <w:b/>
            <w:sz w:val="22"/>
            <w:szCs w:val="22"/>
          </w:rPr>
          <w:delText>4.</w:delText>
        </w:r>
        <w:r w:rsidRPr="008912CF">
          <w:rPr>
            <w:b/>
            <w:sz w:val="22"/>
            <w:szCs w:val="22"/>
          </w:rPr>
          <w:tab/>
          <w:delText>FORMA FARMACÊUTICA E CONTEÚDO</w:delText>
        </w:r>
      </w:del>
    </w:p>
    <w:p w14:paraId="02779F5E" w14:textId="63C5D6D7" w:rsidR="004462A0" w:rsidRPr="008912CF" w:rsidRDefault="004462A0" w:rsidP="004462A0">
      <w:pPr>
        <w:tabs>
          <w:tab w:val="left" w:pos="720"/>
        </w:tabs>
        <w:rPr>
          <w:del w:id="11657" w:author="AbbVie2" w:date="2025-05-13T16:45:00Z"/>
          <w:sz w:val="22"/>
          <w:szCs w:val="22"/>
        </w:rPr>
      </w:pPr>
    </w:p>
    <w:p w14:paraId="42299A4C" w14:textId="755DCE68" w:rsidR="00A04687" w:rsidRPr="009B235D" w:rsidRDefault="00615769" w:rsidP="004462A0">
      <w:pPr>
        <w:tabs>
          <w:tab w:val="left" w:pos="720"/>
        </w:tabs>
        <w:rPr>
          <w:del w:id="11658" w:author="AbbVie2" w:date="2025-05-13T16:45:00Z"/>
          <w:sz w:val="22"/>
          <w:szCs w:val="22"/>
          <w:shd w:val="pct15" w:color="auto" w:fill="FFFFFF"/>
        </w:rPr>
      </w:pPr>
      <w:del w:id="11659" w:author="AbbVie2" w:date="2025-05-13T16:45:00Z">
        <w:r w:rsidRPr="009B235D">
          <w:rPr>
            <w:sz w:val="22"/>
            <w:szCs w:val="22"/>
            <w:shd w:val="pct15" w:color="auto" w:fill="FFFFFF"/>
          </w:rPr>
          <w:delText>Solução injetáve</w:delText>
        </w:r>
        <w:r w:rsidR="005A576B" w:rsidRPr="009B235D">
          <w:rPr>
            <w:sz w:val="22"/>
            <w:szCs w:val="22"/>
            <w:shd w:val="pct15" w:color="auto" w:fill="FFFFFF"/>
          </w:rPr>
          <w:delText>l</w:delText>
        </w:r>
      </w:del>
    </w:p>
    <w:p w14:paraId="51114032" w14:textId="4DB7258D" w:rsidR="004462A0" w:rsidRPr="008912CF" w:rsidRDefault="00615769" w:rsidP="004462A0">
      <w:pPr>
        <w:tabs>
          <w:tab w:val="left" w:pos="720"/>
        </w:tabs>
        <w:rPr>
          <w:del w:id="11660" w:author="AbbVie2" w:date="2025-05-13T16:45:00Z"/>
          <w:i/>
          <w:sz w:val="22"/>
          <w:szCs w:val="22"/>
        </w:rPr>
      </w:pPr>
      <w:del w:id="11661" w:author="AbbVie2" w:date="2025-05-13T16:45:00Z">
        <w:r w:rsidRPr="008912CF">
          <w:rPr>
            <w:sz w:val="22"/>
            <w:szCs w:val="22"/>
          </w:rPr>
          <w:delText xml:space="preserve">1 frasco para injetáveis </w:delText>
        </w:r>
      </w:del>
    </w:p>
    <w:p w14:paraId="1DD8AA83" w14:textId="57565887" w:rsidR="004462A0" w:rsidRPr="008912CF" w:rsidRDefault="00615769" w:rsidP="004462A0">
      <w:pPr>
        <w:tabs>
          <w:tab w:val="left" w:pos="720"/>
        </w:tabs>
        <w:rPr>
          <w:del w:id="11662" w:author="AbbVie2" w:date="2025-05-13T16:45:00Z"/>
          <w:sz w:val="22"/>
          <w:szCs w:val="22"/>
        </w:rPr>
      </w:pPr>
      <w:del w:id="11663" w:author="AbbVie2" w:date="2025-05-13T16:45:00Z">
        <w:r w:rsidRPr="008912CF">
          <w:rPr>
            <w:sz w:val="22"/>
            <w:szCs w:val="22"/>
          </w:rPr>
          <w:delText>1 seringa para injetáveis esterilizada</w:delText>
        </w:r>
      </w:del>
    </w:p>
    <w:p w14:paraId="1C123018" w14:textId="59F3A001" w:rsidR="004462A0" w:rsidRPr="008912CF" w:rsidRDefault="00615769" w:rsidP="004462A0">
      <w:pPr>
        <w:tabs>
          <w:tab w:val="left" w:pos="720"/>
        </w:tabs>
        <w:rPr>
          <w:del w:id="11664" w:author="AbbVie2" w:date="2025-05-13T16:45:00Z"/>
          <w:sz w:val="22"/>
          <w:szCs w:val="22"/>
        </w:rPr>
      </w:pPr>
      <w:del w:id="11665" w:author="AbbVie2" w:date="2025-05-13T16:45:00Z">
        <w:r w:rsidRPr="008912CF">
          <w:rPr>
            <w:sz w:val="22"/>
            <w:szCs w:val="22"/>
          </w:rPr>
          <w:delText>1 agulha esterilizada</w:delText>
        </w:r>
      </w:del>
    </w:p>
    <w:p w14:paraId="00CBCDA8" w14:textId="3B6F8E77" w:rsidR="004462A0" w:rsidRPr="008912CF" w:rsidRDefault="00615769" w:rsidP="004462A0">
      <w:pPr>
        <w:tabs>
          <w:tab w:val="left" w:pos="720"/>
        </w:tabs>
        <w:rPr>
          <w:del w:id="11666" w:author="AbbVie2" w:date="2025-05-13T16:45:00Z"/>
          <w:sz w:val="22"/>
          <w:szCs w:val="22"/>
        </w:rPr>
      </w:pPr>
      <w:del w:id="11667" w:author="AbbVie2" w:date="2025-05-13T16:45:00Z">
        <w:r w:rsidRPr="008912CF">
          <w:rPr>
            <w:sz w:val="22"/>
            <w:szCs w:val="22"/>
          </w:rPr>
          <w:delText>1 adaptador de frasco para injetáveis esterilizado</w:delText>
        </w:r>
      </w:del>
    </w:p>
    <w:p w14:paraId="259D5DB4" w14:textId="7D84C239" w:rsidR="004462A0" w:rsidRPr="008912CF" w:rsidRDefault="00615769" w:rsidP="004462A0">
      <w:pPr>
        <w:tabs>
          <w:tab w:val="left" w:pos="720"/>
        </w:tabs>
        <w:rPr>
          <w:del w:id="11668" w:author="AbbVie2" w:date="2025-05-13T16:45:00Z"/>
          <w:i/>
          <w:sz w:val="22"/>
          <w:szCs w:val="22"/>
        </w:rPr>
      </w:pPr>
      <w:del w:id="11669" w:author="AbbVie2" w:date="2025-05-13T16:45:00Z">
        <w:r w:rsidRPr="008912CF">
          <w:rPr>
            <w:sz w:val="22"/>
            <w:szCs w:val="22"/>
          </w:rPr>
          <w:delText>2 compressas embe</w:delText>
        </w:r>
        <w:r w:rsidR="00F766D7">
          <w:rPr>
            <w:sz w:val="22"/>
            <w:szCs w:val="22"/>
          </w:rPr>
          <w:delText>b</w:delText>
        </w:r>
        <w:r w:rsidRPr="008912CF">
          <w:rPr>
            <w:sz w:val="22"/>
            <w:szCs w:val="22"/>
          </w:rPr>
          <w:delText xml:space="preserve">idas em álcool </w:delText>
        </w:r>
      </w:del>
    </w:p>
    <w:p w14:paraId="21209AA9" w14:textId="691BF566" w:rsidR="004462A0" w:rsidRPr="008912CF" w:rsidRDefault="004462A0" w:rsidP="004462A0">
      <w:pPr>
        <w:tabs>
          <w:tab w:val="left" w:pos="720"/>
        </w:tabs>
        <w:rPr>
          <w:del w:id="11670" w:author="AbbVie2" w:date="2025-05-13T16:45:00Z"/>
          <w:sz w:val="22"/>
          <w:szCs w:val="22"/>
          <w:highlight w:val="yellow"/>
        </w:rPr>
      </w:pPr>
    </w:p>
    <w:p w14:paraId="7ADA0352" w14:textId="70A22B16" w:rsidR="004462A0" w:rsidRPr="008912CF" w:rsidRDefault="004462A0" w:rsidP="004462A0">
      <w:pPr>
        <w:tabs>
          <w:tab w:val="left" w:pos="720"/>
        </w:tabs>
        <w:rPr>
          <w:del w:id="11671" w:author="AbbVie2" w:date="2025-05-13T16:45:00Z"/>
          <w:color w:val="000000"/>
          <w:sz w:val="22"/>
          <w:szCs w:val="22"/>
          <w:u w:val="single"/>
        </w:rPr>
      </w:pPr>
    </w:p>
    <w:p w14:paraId="18BE52A5" w14:textId="43C5AA48"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672" w:author="AbbVie2" w:date="2025-05-13T16:45:00Z"/>
          <w:sz w:val="22"/>
          <w:szCs w:val="22"/>
          <w:highlight w:val="lightGray"/>
        </w:rPr>
      </w:pPr>
      <w:del w:id="11673" w:author="AbbVie2" w:date="2025-05-13T16:45:00Z">
        <w:r w:rsidRPr="008912CF">
          <w:rPr>
            <w:b/>
            <w:sz w:val="22"/>
            <w:szCs w:val="22"/>
          </w:rPr>
          <w:delText>5.</w:delText>
        </w:r>
        <w:r w:rsidRPr="008912CF">
          <w:rPr>
            <w:b/>
            <w:sz w:val="22"/>
            <w:szCs w:val="22"/>
          </w:rPr>
          <w:tab/>
          <w:delText>MODO E VIA DE ADMINISTRAÇÃO</w:delText>
        </w:r>
      </w:del>
    </w:p>
    <w:p w14:paraId="58754ABF" w14:textId="112256DD" w:rsidR="004462A0" w:rsidRPr="008912CF" w:rsidRDefault="004462A0" w:rsidP="004462A0">
      <w:pPr>
        <w:tabs>
          <w:tab w:val="left" w:pos="720"/>
        </w:tabs>
        <w:rPr>
          <w:del w:id="11674" w:author="AbbVie2" w:date="2025-05-13T16:45:00Z"/>
          <w:sz w:val="22"/>
          <w:szCs w:val="22"/>
        </w:rPr>
      </w:pPr>
    </w:p>
    <w:p w14:paraId="26C1742E" w14:textId="3FD5572D" w:rsidR="004462A0" w:rsidRPr="008912CF" w:rsidRDefault="00615769" w:rsidP="004462A0">
      <w:pPr>
        <w:tabs>
          <w:tab w:val="left" w:pos="720"/>
        </w:tabs>
        <w:rPr>
          <w:del w:id="11675" w:author="AbbVie2" w:date="2025-05-13T16:45:00Z"/>
          <w:sz w:val="22"/>
          <w:szCs w:val="22"/>
        </w:rPr>
      </w:pPr>
      <w:del w:id="11676" w:author="AbbVie2" w:date="2025-05-13T16:45:00Z">
        <w:r w:rsidRPr="008912CF">
          <w:rPr>
            <w:sz w:val="22"/>
            <w:szCs w:val="22"/>
          </w:rPr>
          <w:delText>Via subcutânea</w:delText>
        </w:r>
      </w:del>
    </w:p>
    <w:p w14:paraId="6692C6AD" w14:textId="767E28B2" w:rsidR="004462A0" w:rsidRPr="008912CF" w:rsidRDefault="004462A0" w:rsidP="004462A0">
      <w:pPr>
        <w:tabs>
          <w:tab w:val="left" w:pos="720"/>
        </w:tabs>
        <w:rPr>
          <w:del w:id="11677" w:author="AbbVie2" w:date="2025-05-13T16:45:00Z"/>
          <w:sz w:val="22"/>
          <w:szCs w:val="22"/>
        </w:rPr>
      </w:pPr>
    </w:p>
    <w:p w14:paraId="27DCBD01" w14:textId="5D034504" w:rsidR="004462A0" w:rsidRDefault="00615769" w:rsidP="004462A0">
      <w:pPr>
        <w:tabs>
          <w:tab w:val="left" w:pos="720"/>
        </w:tabs>
        <w:rPr>
          <w:del w:id="11678" w:author="AbbVie2" w:date="2025-05-13T16:45:00Z"/>
          <w:sz w:val="22"/>
          <w:szCs w:val="22"/>
        </w:rPr>
      </w:pPr>
      <w:del w:id="11679" w:author="AbbVie2" w:date="2025-05-13T16:45:00Z">
        <w:r w:rsidRPr="008912CF">
          <w:rPr>
            <w:sz w:val="22"/>
            <w:szCs w:val="22"/>
          </w:rPr>
          <w:delText>Consultar o folheto informativo antes de utilizar.</w:delText>
        </w:r>
      </w:del>
    </w:p>
    <w:p w14:paraId="5A4BA741" w14:textId="617B9EE4" w:rsidR="00005EF8" w:rsidRDefault="00005EF8" w:rsidP="00005EF8">
      <w:pPr>
        <w:tabs>
          <w:tab w:val="left" w:pos="720"/>
        </w:tabs>
        <w:rPr>
          <w:del w:id="11680" w:author="AbbVie2" w:date="2025-05-13T16:45:00Z"/>
          <w:sz w:val="22"/>
          <w:szCs w:val="22"/>
        </w:rPr>
      </w:pPr>
    </w:p>
    <w:p w14:paraId="235C44ED" w14:textId="5D95A10C" w:rsidR="00005EF8" w:rsidRPr="008912CF" w:rsidRDefault="00615769" w:rsidP="00005EF8">
      <w:pPr>
        <w:tabs>
          <w:tab w:val="left" w:pos="720"/>
        </w:tabs>
        <w:rPr>
          <w:del w:id="11681" w:author="AbbVie2" w:date="2025-05-13T16:45:00Z"/>
          <w:sz w:val="22"/>
          <w:szCs w:val="22"/>
        </w:rPr>
      </w:pPr>
      <w:del w:id="11682" w:author="AbbVie2" w:date="2025-05-13T16:45:00Z">
        <w:r w:rsidRPr="00005EF8">
          <w:rPr>
            <w:sz w:val="22"/>
            <w:szCs w:val="22"/>
          </w:rPr>
          <w:delText>Apenas para uma única utilização</w:delText>
        </w:r>
        <w:r>
          <w:rPr>
            <w:sz w:val="22"/>
            <w:szCs w:val="22"/>
          </w:rPr>
          <w:delText>.</w:delText>
        </w:r>
      </w:del>
    </w:p>
    <w:p w14:paraId="25CD098C" w14:textId="505024EC" w:rsidR="001114A4" w:rsidRDefault="001114A4" w:rsidP="004462A0">
      <w:pPr>
        <w:tabs>
          <w:tab w:val="left" w:pos="720"/>
        </w:tabs>
        <w:rPr>
          <w:del w:id="11683" w:author="AbbVie2" w:date="2025-05-13T16:45:00Z"/>
          <w:sz w:val="22"/>
          <w:szCs w:val="22"/>
        </w:rPr>
      </w:pPr>
    </w:p>
    <w:p w14:paraId="45F40458" w14:textId="391D5A67" w:rsidR="001114A4" w:rsidRDefault="00615769" w:rsidP="004462A0">
      <w:pPr>
        <w:tabs>
          <w:tab w:val="left" w:pos="720"/>
        </w:tabs>
        <w:rPr>
          <w:del w:id="11684" w:author="AbbVie2" w:date="2025-05-13T16:45:00Z"/>
          <w:sz w:val="22"/>
          <w:szCs w:val="22"/>
        </w:rPr>
      </w:pPr>
      <w:del w:id="11685" w:author="AbbVie2" w:date="2025-05-13T16:45:00Z">
        <w:r>
          <w:rPr>
            <w:sz w:val="22"/>
            <w:szCs w:val="22"/>
          </w:rPr>
          <w:delText>Para uso pediátrico</w:delText>
        </w:r>
      </w:del>
    </w:p>
    <w:p w14:paraId="3D577E8F" w14:textId="3621F843" w:rsidR="004462A0" w:rsidRPr="008912CF" w:rsidRDefault="004462A0" w:rsidP="004462A0">
      <w:pPr>
        <w:pStyle w:val="EndnoteText"/>
        <w:tabs>
          <w:tab w:val="clear" w:pos="567"/>
          <w:tab w:val="left" w:pos="720"/>
        </w:tabs>
        <w:rPr>
          <w:del w:id="11686" w:author="AbbVie2" w:date="2025-05-13T16:45:00Z"/>
          <w:szCs w:val="22"/>
        </w:rPr>
      </w:pPr>
    </w:p>
    <w:p w14:paraId="609EFE93" w14:textId="503DE9D2" w:rsidR="004462A0" w:rsidRPr="008912CF" w:rsidRDefault="004462A0" w:rsidP="004462A0">
      <w:pPr>
        <w:tabs>
          <w:tab w:val="left" w:pos="720"/>
        </w:tabs>
        <w:rPr>
          <w:del w:id="11687" w:author="AbbVie2" w:date="2025-05-13T16:45:00Z"/>
          <w:sz w:val="22"/>
          <w:szCs w:val="22"/>
        </w:rPr>
      </w:pPr>
    </w:p>
    <w:p w14:paraId="4E994A4F" w14:textId="283794DA"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688" w:author="AbbVie2" w:date="2025-05-13T16:45:00Z"/>
          <w:sz w:val="22"/>
          <w:szCs w:val="22"/>
          <w:highlight w:val="lightGray"/>
        </w:rPr>
      </w:pPr>
      <w:del w:id="11689" w:author="AbbVie2" w:date="2025-05-13T16:45:00Z">
        <w:r w:rsidRPr="008912CF">
          <w:rPr>
            <w:b/>
            <w:sz w:val="22"/>
            <w:szCs w:val="22"/>
          </w:rPr>
          <w:delText>6.</w:delText>
        </w:r>
        <w:r w:rsidRPr="008912CF">
          <w:rPr>
            <w:b/>
            <w:sz w:val="22"/>
            <w:szCs w:val="22"/>
          </w:rPr>
          <w:tab/>
        </w:r>
        <w:r w:rsidRPr="008912CF">
          <w:rPr>
            <w:b/>
            <w:bCs/>
            <w:iCs/>
            <w:sz w:val="22"/>
            <w:szCs w:val="22"/>
          </w:rPr>
          <w:delText>ADVERTÊNCIA ESPECIAL DE QUE O MEDICAMENTO DEVE SER MANTIDO FORA DA VISTA E DO ALCANCE DAS CRIANÇAS</w:delText>
        </w:r>
        <w:r w:rsidRPr="008912CF">
          <w:rPr>
            <w:b/>
            <w:iCs/>
            <w:sz w:val="22"/>
            <w:szCs w:val="22"/>
          </w:rPr>
          <w:delText xml:space="preserve"> </w:delText>
        </w:r>
      </w:del>
    </w:p>
    <w:p w14:paraId="69C48AAB" w14:textId="77562B82" w:rsidR="004462A0" w:rsidRPr="008912CF" w:rsidRDefault="004462A0" w:rsidP="004462A0">
      <w:pPr>
        <w:tabs>
          <w:tab w:val="left" w:pos="720"/>
        </w:tabs>
        <w:rPr>
          <w:del w:id="11690" w:author="AbbVie2" w:date="2025-05-13T16:45:00Z"/>
          <w:sz w:val="22"/>
          <w:szCs w:val="22"/>
        </w:rPr>
      </w:pPr>
    </w:p>
    <w:p w14:paraId="3408B763" w14:textId="1EE340E3" w:rsidR="004462A0" w:rsidRPr="008912CF" w:rsidRDefault="00615769" w:rsidP="004462A0">
      <w:pPr>
        <w:pStyle w:val="EndnoteText"/>
        <w:tabs>
          <w:tab w:val="clear" w:pos="567"/>
          <w:tab w:val="left" w:pos="720"/>
        </w:tabs>
        <w:rPr>
          <w:del w:id="11691" w:author="AbbVie2" w:date="2025-05-13T16:45:00Z"/>
          <w:szCs w:val="22"/>
        </w:rPr>
      </w:pPr>
      <w:del w:id="11692" w:author="AbbVie2" w:date="2025-05-13T16:45:00Z">
        <w:r w:rsidRPr="008912CF">
          <w:rPr>
            <w:szCs w:val="22"/>
          </w:rPr>
          <w:delText>Manter fora da vista e do alcance das crianças.</w:delText>
        </w:r>
      </w:del>
    </w:p>
    <w:p w14:paraId="4D700EB5" w14:textId="0F3D16AA" w:rsidR="004462A0" w:rsidRPr="008912CF" w:rsidRDefault="004462A0" w:rsidP="004462A0">
      <w:pPr>
        <w:tabs>
          <w:tab w:val="left" w:pos="720"/>
        </w:tabs>
        <w:rPr>
          <w:del w:id="11693" w:author="AbbVie2" w:date="2025-05-13T16:45:00Z"/>
          <w:sz w:val="22"/>
          <w:szCs w:val="22"/>
        </w:rPr>
      </w:pPr>
    </w:p>
    <w:p w14:paraId="5EF10301" w14:textId="359B3533" w:rsidR="004462A0" w:rsidRPr="008912CF" w:rsidRDefault="004462A0" w:rsidP="004462A0">
      <w:pPr>
        <w:tabs>
          <w:tab w:val="left" w:pos="720"/>
        </w:tabs>
        <w:rPr>
          <w:del w:id="11694" w:author="AbbVie2" w:date="2025-05-13T16:45:00Z"/>
          <w:sz w:val="22"/>
          <w:szCs w:val="22"/>
        </w:rPr>
      </w:pPr>
    </w:p>
    <w:p w14:paraId="5F0D219E" w14:textId="33EDCE71"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695" w:author="AbbVie2" w:date="2025-05-13T16:45:00Z"/>
          <w:sz w:val="22"/>
          <w:szCs w:val="22"/>
          <w:highlight w:val="lightGray"/>
        </w:rPr>
      </w:pPr>
      <w:del w:id="11696" w:author="AbbVie2" w:date="2025-05-13T16:45:00Z">
        <w:r w:rsidRPr="008912CF">
          <w:rPr>
            <w:b/>
            <w:sz w:val="22"/>
            <w:szCs w:val="22"/>
          </w:rPr>
          <w:delText>7.</w:delText>
        </w:r>
        <w:r w:rsidRPr="008912CF">
          <w:rPr>
            <w:b/>
            <w:sz w:val="22"/>
            <w:szCs w:val="22"/>
          </w:rPr>
          <w:tab/>
          <w:delText>OUTRAS ADVERTÊNCIAS ESPECIAIS, SE NECESSÁRIO</w:delText>
        </w:r>
      </w:del>
    </w:p>
    <w:p w14:paraId="15CF8597" w14:textId="45159EBD" w:rsidR="004462A0" w:rsidRPr="008912CF" w:rsidRDefault="004462A0" w:rsidP="004462A0">
      <w:pPr>
        <w:tabs>
          <w:tab w:val="left" w:pos="720"/>
        </w:tabs>
        <w:rPr>
          <w:del w:id="11697" w:author="AbbVie2" w:date="2025-05-13T16:45:00Z"/>
          <w:sz w:val="22"/>
          <w:szCs w:val="22"/>
        </w:rPr>
      </w:pPr>
    </w:p>
    <w:p w14:paraId="5544A781" w14:textId="6977A2C2" w:rsidR="004462A0" w:rsidRPr="008912CF" w:rsidRDefault="004462A0" w:rsidP="004462A0">
      <w:pPr>
        <w:tabs>
          <w:tab w:val="left" w:pos="720"/>
        </w:tabs>
        <w:rPr>
          <w:del w:id="11698" w:author="AbbVie2" w:date="2025-05-13T16:45:00Z"/>
          <w:sz w:val="22"/>
          <w:szCs w:val="22"/>
        </w:rPr>
      </w:pPr>
    </w:p>
    <w:p w14:paraId="45DADBCD" w14:textId="330ED5A6" w:rsidR="004462A0" w:rsidRPr="008912CF" w:rsidRDefault="00615769" w:rsidP="00CF16D8">
      <w:pPr>
        <w:keepNext/>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699" w:author="AbbVie2" w:date="2025-05-13T16:45:00Z"/>
          <w:sz w:val="22"/>
          <w:szCs w:val="22"/>
          <w:highlight w:val="lightGray"/>
        </w:rPr>
      </w:pPr>
      <w:del w:id="11700" w:author="AbbVie2" w:date="2025-05-13T16:45:00Z">
        <w:r w:rsidRPr="008912CF">
          <w:rPr>
            <w:b/>
            <w:sz w:val="22"/>
            <w:szCs w:val="22"/>
          </w:rPr>
          <w:delText>8.</w:delText>
        </w:r>
        <w:r w:rsidRPr="008912CF">
          <w:rPr>
            <w:b/>
            <w:sz w:val="22"/>
            <w:szCs w:val="22"/>
          </w:rPr>
          <w:tab/>
          <w:delText>PRAZO DE VALIDADE</w:delText>
        </w:r>
      </w:del>
    </w:p>
    <w:p w14:paraId="782F1C70" w14:textId="5B271419" w:rsidR="004462A0" w:rsidRPr="008912CF" w:rsidRDefault="004462A0" w:rsidP="00CF16D8">
      <w:pPr>
        <w:keepNext/>
        <w:tabs>
          <w:tab w:val="left" w:pos="720"/>
        </w:tabs>
        <w:rPr>
          <w:del w:id="11701" w:author="AbbVie2" w:date="2025-05-13T16:45:00Z"/>
          <w:sz w:val="22"/>
          <w:szCs w:val="22"/>
        </w:rPr>
      </w:pPr>
    </w:p>
    <w:p w14:paraId="4262F424" w14:textId="109F3844" w:rsidR="004462A0" w:rsidRPr="008912CF" w:rsidRDefault="00615769" w:rsidP="00CF16D8">
      <w:pPr>
        <w:keepNext/>
        <w:tabs>
          <w:tab w:val="left" w:pos="720"/>
        </w:tabs>
        <w:rPr>
          <w:del w:id="11702" w:author="AbbVie2" w:date="2025-05-13T16:45:00Z"/>
          <w:sz w:val="22"/>
          <w:szCs w:val="22"/>
        </w:rPr>
      </w:pPr>
      <w:del w:id="11703" w:author="AbbVie2" w:date="2025-05-13T16:45:00Z">
        <w:r>
          <w:rPr>
            <w:sz w:val="22"/>
            <w:szCs w:val="22"/>
          </w:rPr>
          <w:delText>EXP</w:delText>
        </w:r>
        <w:r w:rsidRPr="008912CF">
          <w:rPr>
            <w:sz w:val="22"/>
            <w:szCs w:val="22"/>
          </w:rPr>
          <w:delText xml:space="preserve"> </w:delText>
        </w:r>
      </w:del>
    </w:p>
    <w:p w14:paraId="693CE1DE" w14:textId="473E4638" w:rsidR="004462A0" w:rsidRPr="008912CF" w:rsidRDefault="004462A0" w:rsidP="004462A0">
      <w:pPr>
        <w:tabs>
          <w:tab w:val="left" w:pos="720"/>
        </w:tabs>
        <w:rPr>
          <w:del w:id="11704" w:author="AbbVie2" w:date="2025-05-13T16:45:00Z"/>
          <w:sz w:val="22"/>
          <w:szCs w:val="22"/>
        </w:rPr>
      </w:pPr>
    </w:p>
    <w:p w14:paraId="5FB1E4DA" w14:textId="3B18B10E" w:rsidR="004462A0" w:rsidRPr="008912CF" w:rsidRDefault="004462A0" w:rsidP="004462A0">
      <w:pPr>
        <w:tabs>
          <w:tab w:val="left" w:pos="720"/>
        </w:tabs>
        <w:rPr>
          <w:del w:id="11705" w:author="AbbVie2" w:date="2025-05-13T16:45:00Z"/>
          <w:sz w:val="22"/>
          <w:szCs w:val="22"/>
        </w:rPr>
      </w:pPr>
    </w:p>
    <w:p w14:paraId="46A56BEB" w14:textId="554453AB"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706" w:author="AbbVie2" w:date="2025-05-13T16:45:00Z"/>
          <w:sz w:val="22"/>
          <w:szCs w:val="22"/>
          <w:highlight w:val="lightGray"/>
        </w:rPr>
      </w:pPr>
      <w:del w:id="11707" w:author="AbbVie2" w:date="2025-05-13T16:45:00Z">
        <w:r w:rsidRPr="008912CF">
          <w:rPr>
            <w:b/>
            <w:sz w:val="22"/>
            <w:szCs w:val="22"/>
          </w:rPr>
          <w:delText>9.</w:delText>
        </w:r>
        <w:r w:rsidRPr="008912CF">
          <w:rPr>
            <w:b/>
            <w:sz w:val="22"/>
            <w:szCs w:val="22"/>
          </w:rPr>
          <w:tab/>
          <w:delText>CONDIÇÕES ESPECIAIS DE CONSERVAÇÃO</w:delText>
        </w:r>
      </w:del>
    </w:p>
    <w:p w14:paraId="5329DF5A" w14:textId="394AADB3" w:rsidR="004462A0" w:rsidRPr="008912CF" w:rsidRDefault="004462A0" w:rsidP="004462A0">
      <w:pPr>
        <w:pStyle w:val="EndnoteText"/>
        <w:tabs>
          <w:tab w:val="clear" w:pos="567"/>
          <w:tab w:val="left" w:pos="720"/>
        </w:tabs>
        <w:rPr>
          <w:del w:id="11708" w:author="AbbVie2" w:date="2025-05-13T16:45:00Z"/>
          <w:szCs w:val="22"/>
        </w:rPr>
      </w:pPr>
    </w:p>
    <w:p w14:paraId="086A5664" w14:textId="0A8EDD70" w:rsidR="004462A0" w:rsidRPr="008912CF" w:rsidRDefault="00615769" w:rsidP="004462A0">
      <w:pPr>
        <w:pStyle w:val="BodyText2"/>
        <w:tabs>
          <w:tab w:val="left" w:pos="720"/>
        </w:tabs>
        <w:autoSpaceDE/>
        <w:autoSpaceDN/>
        <w:adjustRightInd/>
        <w:rPr>
          <w:del w:id="11709" w:author="AbbVie2" w:date="2025-05-13T16:45:00Z"/>
          <w:szCs w:val="22"/>
        </w:rPr>
      </w:pPr>
      <w:del w:id="11710" w:author="AbbVie2" w:date="2025-05-13T16:45:00Z">
        <w:r w:rsidRPr="008912CF">
          <w:rPr>
            <w:szCs w:val="22"/>
          </w:rPr>
          <w:delText>Conservar no frigorífico. Não congelar.</w:delText>
        </w:r>
      </w:del>
    </w:p>
    <w:p w14:paraId="7280F3DF" w14:textId="287D4AFE" w:rsidR="004462A0" w:rsidRPr="008912CF" w:rsidRDefault="00615769" w:rsidP="004462A0">
      <w:pPr>
        <w:pStyle w:val="BodyText2"/>
        <w:tabs>
          <w:tab w:val="left" w:pos="720"/>
        </w:tabs>
        <w:autoSpaceDE/>
        <w:autoSpaceDN/>
        <w:adjustRightInd/>
        <w:rPr>
          <w:del w:id="11711" w:author="AbbVie2" w:date="2025-05-13T16:45:00Z"/>
          <w:szCs w:val="22"/>
        </w:rPr>
      </w:pPr>
      <w:del w:id="11712" w:author="AbbVie2" w:date="2025-05-13T16:45:00Z">
        <w:r w:rsidRPr="008912CF">
          <w:rPr>
            <w:szCs w:val="22"/>
          </w:rPr>
          <w:delText>Manter o frasco para injetáveis dentro da embalagem exterior para proteger da luz.</w:delText>
        </w:r>
      </w:del>
    </w:p>
    <w:p w14:paraId="58189F08" w14:textId="69B2B8C7" w:rsidR="004462A0" w:rsidRPr="008912CF" w:rsidRDefault="004462A0" w:rsidP="004462A0">
      <w:pPr>
        <w:tabs>
          <w:tab w:val="left" w:pos="720"/>
        </w:tabs>
        <w:rPr>
          <w:del w:id="11713" w:author="AbbVie2" w:date="2025-05-13T16:45:00Z"/>
          <w:sz w:val="22"/>
          <w:szCs w:val="22"/>
        </w:rPr>
      </w:pPr>
    </w:p>
    <w:p w14:paraId="4399DAD6" w14:textId="0867A794" w:rsidR="004462A0" w:rsidRPr="008912CF" w:rsidRDefault="004462A0" w:rsidP="004462A0">
      <w:pPr>
        <w:tabs>
          <w:tab w:val="left" w:pos="720"/>
        </w:tabs>
        <w:rPr>
          <w:del w:id="11714" w:author="AbbVie2" w:date="2025-05-13T16:45:00Z"/>
          <w:sz w:val="22"/>
          <w:szCs w:val="22"/>
        </w:rPr>
      </w:pPr>
    </w:p>
    <w:p w14:paraId="006D10EC" w14:textId="7773902B"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715" w:author="AbbVie2" w:date="2025-05-13T16:45:00Z"/>
          <w:b/>
          <w:bCs/>
          <w:sz w:val="22"/>
          <w:szCs w:val="22"/>
          <w:highlight w:val="lightGray"/>
        </w:rPr>
      </w:pPr>
      <w:del w:id="11716" w:author="AbbVie2" w:date="2025-05-13T16:45:00Z">
        <w:r w:rsidRPr="008912CF">
          <w:rPr>
            <w:b/>
            <w:sz w:val="22"/>
            <w:szCs w:val="22"/>
          </w:rPr>
          <w:delText>10.</w:delText>
        </w:r>
        <w:r w:rsidRPr="008912CF">
          <w:rPr>
            <w:b/>
            <w:sz w:val="22"/>
            <w:szCs w:val="22"/>
          </w:rPr>
          <w:tab/>
        </w:r>
        <w:r w:rsidRPr="008912CF">
          <w:rPr>
            <w:b/>
            <w:bCs/>
            <w:sz w:val="22"/>
            <w:szCs w:val="22"/>
          </w:rPr>
          <w:delText xml:space="preserve">CUIDADOS ESPECIAIS QUANTO À ELIMINAÇÃO DO MEDICAMENTO NÃO UTILIZADO OU DOS RESÍDUOS PROVENIENTES DESSE MEDICAMENTO, SE APLICÁVEL </w:delText>
        </w:r>
      </w:del>
    </w:p>
    <w:p w14:paraId="732EE4A7" w14:textId="276EC9FE" w:rsidR="004462A0" w:rsidRPr="008912CF" w:rsidRDefault="004462A0" w:rsidP="004462A0">
      <w:pPr>
        <w:tabs>
          <w:tab w:val="left" w:pos="720"/>
        </w:tabs>
        <w:rPr>
          <w:del w:id="11717" w:author="AbbVie2" w:date="2025-05-13T16:45:00Z"/>
          <w:sz w:val="22"/>
          <w:szCs w:val="22"/>
        </w:rPr>
      </w:pPr>
    </w:p>
    <w:p w14:paraId="6906E057" w14:textId="6047DF3A" w:rsidR="004462A0" w:rsidRPr="008912CF" w:rsidRDefault="004462A0" w:rsidP="004462A0">
      <w:pPr>
        <w:tabs>
          <w:tab w:val="left" w:pos="720"/>
        </w:tabs>
        <w:rPr>
          <w:del w:id="11718" w:author="AbbVie2" w:date="2025-05-13T16:45:00Z"/>
          <w:sz w:val="22"/>
          <w:szCs w:val="22"/>
        </w:rPr>
      </w:pPr>
    </w:p>
    <w:p w14:paraId="47D950C8" w14:textId="2018242F"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719" w:author="AbbVie2" w:date="2025-05-13T16:45:00Z"/>
          <w:b/>
          <w:bCs/>
          <w:sz w:val="22"/>
          <w:szCs w:val="22"/>
        </w:rPr>
      </w:pPr>
      <w:del w:id="11720" w:author="AbbVie2" w:date="2025-05-13T16:45:00Z">
        <w:r w:rsidRPr="008912CF">
          <w:rPr>
            <w:b/>
            <w:sz w:val="22"/>
            <w:szCs w:val="22"/>
          </w:rPr>
          <w:delText>11.</w:delText>
        </w:r>
        <w:r w:rsidRPr="008912CF">
          <w:rPr>
            <w:b/>
            <w:sz w:val="22"/>
            <w:szCs w:val="22"/>
          </w:rPr>
          <w:tab/>
        </w:r>
        <w:r w:rsidRPr="008912CF">
          <w:rPr>
            <w:b/>
            <w:bCs/>
            <w:sz w:val="22"/>
            <w:szCs w:val="22"/>
          </w:rPr>
          <w:delText>NOME E ENDEREÇO DO TITULAR DA AUTORIZAÇÃO DE INTRODUÇÃO NO MERCADO</w:delText>
        </w:r>
      </w:del>
    </w:p>
    <w:p w14:paraId="76FCE710" w14:textId="5930D625" w:rsidR="004462A0" w:rsidRPr="008912CF" w:rsidRDefault="004462A0" w:rsidP="004462A0">
      <w:pPr>
        <w:tabs>
          <w:tab w:val="left" w:pos="720"/>
        </w:tabs>
        <w:rPr>
          <w:del w:id="11721" w:author="AbbVie2" w:date="2025-05-13T16:45:00Z"/>
          <w:sz w:val="22"/>
          <w:szCs w:val="22"/>
        </w:rPr>
      </w:pPr>
    </w:p>
    <w:p w14:paraId="5F394BEB" w14:textId="6E02D155" w:rsidR="00EF74B7" w:rsidRPr="008D6D3A" w:rsidRDefault="00615769" w:rsidP="00EF74B7">
      <w:pPr>
        <w:keepNext/>
        <w:rPr>
          <w:del w:id="11722" w:author="AbbVie2" w:date="2025-05-13T16:45:00Z"/>
          <w:sz w:val="22"/>
          <w:szCs w:val="22"/>
          <w:lang w:val="de-CH"/>
        </w:rPr>
      </w:pPr>
      <w:del w:id="11723" w:author="AbbVie2" w:date="2025-05-13T16:45:00Z">
        <w:r w:rsidRPr="008D6D3A">
          <w:rPr>
            <w:sz w:val="22"/>
            <w:szCs w:val="22"/>
            <w:lang w:val="de-CH"/>
          </w:rPr>
          <w:delText>AbbVie Deutschland GmbH &amp; Co. KG</w:delText>
        </w:r>
      </w:del>
    </w:p>
    <w:p w14:paraId="342260FF" w14:textId="242F5086" w:rsidR="00EF74B7" w:rsidRPr="008D6D3A" w:rsidRDefault="00615769" w:rsidP="00EF74B7">
      <w:pPr>
        <w:keepNext/>
        <w:rPr>
          <w:del w:id="11724" w:author="AbbVie2" w:date="2025-05-13T16:45:00Z"/>
          <w:sz w:val="22"/>
          <w:szCs w:val="22"/>
          <w:lang w:val="de-CH"/>
        </w:rPr>
      </w:pPr>
      <w:del w:id="11725" w:author="AbbVie2" w:date="2025-05-13T16:45:00Z">
        <w:r w:rsidRPr="008D6D3A">
          <w:rPr>
            <w:sz w:val="22"/>
            <w:szCs w:val="22"/>
            <w:lang w:val="de-CH"/>
          </w:rPr>
          <w:delText>Knollstrasse</w:delText>
        </w:r>
      </w:del>
    </w:p>
    <w:p w14:paraId="25EFDC52" w14:textId="5FD20F4C" w:rsidR="00EF74B7" w:rsidRPr="006649C6" w:rsidRDefault="00615769" w:rsidP="00EF74B7">
      <w:pPr>
        <w:keepNext/>
        <w:rPr>
          <w:del w:id="11726" w:author="AbbVie2" w:date="2025-05-13T16:45:00Z"/>
          <w:sz w:val="22"/>
          <w:szCs w:val="22"/>
        </w:rPr>
      </w:pPr>
      <w:del w:id="11727" w:author="AbbVie2" w:date="2025-05-13T16:45:00Z">
        <w:r w:rsidRPr="006649C6">
          <w:rPr>
            <w:sz w:val="22"/>
            <w:szCs w:val="22"/>
          </w:rPr>
          <w:delText>67061 Ludwigshafen</w:delText>
        </w:r>
      </w:del>
    </w:p>
    <w:p w14:paraId="7DE40CC7" w14:textId="12228D9A" w:rsidR="004462A0" w:rsidRPr="008912CF" w:rsidRDefault="00615769" w:rsidP="004462A0">
      <w:pPr>
        <w:rPr>
          <w:del w:id="11728" w:author="AbbVie2" w:date="2025-05-13T16:45:00Z"/>
          <w:sz w:val="22"/>
          <w:szCs w:val="22"/>
        </w:rPr>
      </w:pPr>
      <w:del w:id="11729" w:author="AbbVie2" w:date="2025-05-13T16:45:00Z">
        <w:r>
          <w:rPr>
            <w:sz w:val="22"/>
            <w:szCs w:val="22"/>
          </w:rPr>
          <w:delText>Alemanha</w:delText>
        </w:r>
      </w:del>
    </w:p>
    <w:p w14:paraId="30CB2A13" w14:textId="529F09B6" w:rsidR="004462A0" w:rsidRPr="008912CF" w:rsidRDefault="004462A0" w:rsidP="004462A0">
      <w:pPr>
        <w:tabs>
          <w:tab w:val="left" w:pos="720"/>
        </w:tabs>
        <w:rPr>
          <w:del w:id="11730" w:author="AbbVie2" w:date="2025-05-13T16:45:00Z"/>
          <w:sz w:val="22"/>
          <w:szCs w:val="22"/>
        </w:rPr>
      </w:pPr>
    </w:p>
    <w:p w14:paraId="7D19F76F" w14:textId="3A4470DF" w:rsidR="004462A0" w:rsidRPr="008912CF" w:rsidRDefault="004462A0" w:rsidP="004462A0">
      <w:pPr>
        <w:tabs>
          <w:tab w:val="left" w:pos="720"/>
        </w:tabs>
        <w:rPr>
          <w:del w:id="11731" w:author="AbbVie2" w:date="2025-05-13T16:45:00Z"/>
          <w:sz w:val="22"/>
          <w:szCs w:val="22"/>
        </w:rPr>
      </w:pPr>
    </w:p>
    <w:p w14:paraId="68366A0A" w14:textId="2D9776DB"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732" w:author="AbbVie2" w:date="2025-05-13T16:45:00Z"/>
          <w:b/>
          <w:sz w:val="22"/>
          <w:szCs w:val="22"/>
          <w:highlight w:val="lightGray"/>
        </w:rPr>
      </w:pPr>
      <w:del w:id="11733" w:author="AbbVie2" w:date="2025-05-13T16:45:00Z">
        <w:r w:rsidRPr="008912CF">
          <w:rPr>
            <w:b/>
            <w:sz w:val="22"/>
            <w:szCs w:val="22"/>
          </w:rPr>
          <w:delText>12.</w:delText>
        </w:r>
        <w:r w:rsidRPr="008912CF">
          <w:rPr>
            <w:b/>
            <w:sz w:val="22"/>
            <w:szCs w:val="22"/>
          </w:rPr>
          <w:tab/>
          <w:delText xml:space="preserve">NÚMERO DA AUTORIZAÇÃO DE INTRODUÇÃO NO MERCADO </w:delText>
        </w:r>
      </w:del>
    </w:p>
    <w:p w14:paraId="0A8EE045" w14:textId="26B76CA1" w:rsidR="004462A0" w:rsidRPr="008912CF" w:rsidRDefault="004462A0" w:rsidP="004462A0">
      <w:pPr>
        <w:tabs>
          <w:tab w:val="left" w:pos="720"/>
        </w:tabs>
        <w:rPr>
          <w:del w:id="11734" w:author="AbbVie2" w:date="2025-05-13T16:45:00Z"/>
          <w:sz w:val="22"/>
          <w:szCs w:val="22"/>
        </w:rPr>
      </w:pPr>
    </w:p>
    <w:p w14:paraId="263E7A5B" w14:textId="53DAE5F2" w:rsidR="004462A0" w:rsidRPr="008912CF" w:rsidRDefault="00615769" w:rsidP="004462A0">
      <w:pPr>
        <w:tabs>
          <w:tab w:val="left" w:pos="720"/>
        </w:tabs>
        <w:rPr>
          <w:del w:id="11735" w:author="AbbVie2" w:date="2025-05-13T16:45:00Z"/>
          <w:sz w:val="22"/>
          <w:szCs w:val="22"/>
        </w:rPr>
      </w:pPr>
      <w:del w:id="11736" w:author="AbbVie2" w:date="2025-05-13T16:45:00Z">
        <w:r w:rsidRPr="008912CF">
          <w:rPr>
            <w:sz w:val="22"/>
            <w:szCs w:val="22"/>
          </w:rPr>
          <w:delText xml:space="preserve">EU/1/03/256/001 </w:delText>
        </w:r>
      </w:del>
    </w:p>
    <w:p w14:paraId="45E8ACE1" w14:textId="0FB44CBC" w:rsidR="004462A0" w:rsidRPr="008912CF" w:rsidRDefault="004462A0" w:rsidP="004462A0">
      <w:pPr>
        <w:tabs>
          <w:tab w:val="left" w:pos="720"/>
        </w:tabs>
        <w:rPr>
          <w:del w:id="11737" w:author="AbbVie2" w:date="2025-05-13T16:45:00Z"/>
          <w:sz w:val="22"/>
          <w:szCs w:val="22"/>
        </w:rPr>
      </w:pPr>
    </w:p>
    <w:p w14:paraId="0A3D19F2" w14:textId="12F07748" w:rsidR="004462A0" w:rsidRPr="008912CF" w:rsidRDefault="004462A0" w:rsidP="004462A0">
      <w:pPr>
        <w:tabs>
          <w:tab w:val="left" w:pos="720"/>
        </w:tabs>
        <w:rPr>
          <w:del w:id="11738" w:author="AbbVie2" w:date="2025-05-13T16:45:00Z"/>
          <w:sz w:val="22"/>
          <w:szCs w:val="22"/>
        </w:rPr>
      </w:pPr>
    </w:p>
    <w:p w14:paraId="65190319" w14:textId="1E4017E6"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739" w:author="AbbVie2" w:date="2025-05-13T16:45:00Z"/>
          <w:sz w:val="22"/>
          <w:szCs w:val="22"/>
          <w:highlight w:val="lightGray"/>
        </w:rPr>
      </w:pPr>
      <w:del w:id="11740" w:author="AbbVie2" w:date="2025-05-13T16:45:00Z">
        <w:r w:rsidRPr="008912CF">
          <w:rPr>
            <w:b/>
            <w:sz w:val="22"/>
            <w:szCs w:val="22"/>
          </w:rPr>
          <w:delText>13.</w:delText>
        </w:r>
        <w:r w:rsidRPr="008912CF">
          <w:rPr>
            <w:b/>
            <w:sz w:val="22"/>
            <w:szCs w:val="22"/>
          </w:rPr>
          <w:tab/>
          <w:delText xml:space="preserve">NÚMERO DO LOTE </w:delText>
        </w:r>
      </w:del>
    </w:p>
    <w:p w14:paraId="0B98BA0A" w14:textId="1BE18A4E" w:rsidR="004462A0" w:rsidRPr="008912CF" w:rsidRDefault="004462A0" w:rsidP="004462A0">
      <w:pPr>
        <w:tabs>
          <w:tab w:val="left" w:pos="720"/>
        </w:tabs>
        <w:rPr>
          <w:del w:id="11741" w:author="AbbVie2" w:date="2025-05-13T16:45:00Z"/>
          <w:sz w:val="22"/>
          <w:szCs w:val="22"/>
        </w:rPr>
      </w:pPr>
    </w:p>
    <w:p w14:paraId="7D25D0F2" w14:textId="6F8044EC" w:rsidR="004462A0" w:rsidRPr="008912CF" w:rsidRDefault="00615769" w:rsidP="004462A0">
      <w:pPr>
        <w:tabs>
          <w:tab w:val="left" w:pos="720"/>
        </w:tabs>
        <w:rPr>
          <w:del w:id="11742" w:author="AbbVie2" w:date="2025-05-13T16:45:00Z"/>
          <w:sz w:val="22"/>
          <w:szCs w:val="22"/>
        </w:rPr>
      </w:pPr>
      <w:del w:id="11743" w:author="AbbVie2" w:date="2025-05-13T16:45:00Z">
        <w:r w:rsidRPr="008912CF">
          <w:rPr>
            <w:sz w:val="22"/>
            <w:szCs w:val="22"/>
          </w:rPr>
          <w:delText>Lote</w:delText>
        </w:r>
      </w:del>
    </w:p>
    <w:p w14:paraId="2ECDC069" w14:textId="26E0F551" w:rsidR="004462A0" w:rsidRPr="008912CF" w:rsidRDefault="004462A0" w:rsidP="004462A0">
      <w:pPr>
        <w:tabs>
          <w:tab w:val="left" w:pos="720"/>
        </w:tabs>
        <w:rPr>
          <w:del w:id="11744" w:author="AbbVie2" w:date="2025-05-13T16:45:00Z"/>
          <w:sz w:val="22"/>
          <w:szCs w:val="22"/>
        </w:rPr>
      </w:pPr>
    </w:p>
    <w:p w14:paraId="265B5696" w14:textId="1F2FE757" w:rsidR="004462A0" w:rsidRPr="008912CF" w:rsidRDefault="004462A0" w:rsidP="004462A0">
      <w:pPr>
        <w:tabs>
          <w:tab w:val="left" w:pos="720"/>
        </w:tabs>
        <w:rPr>
          <w:del w:id="11745" w:author="AbbVie2" w:date="2025-05-13T16:45:00Z"/>
          <w:sz w:val="22"/>
          <w:szCs w:val="22"/>
        </w:rPr>
      </w:pPr>
    </w:p>
    <w:p w14:paraId="19157530" w14:textId="79CCD1B8"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746" w:author="AbbVie2" w:date="2025-05-13T16:45:00Z"/>
          <w:sz w:val="22"/>
          <w:szCs w:val="22"/>
          <w:highlight w:val="lightGray"/>
        </w:rPr>
      </w:pPr>
      <w:del w:id="11747" w:author="AbbVie2" w:date="2025-05-13T16:45:00Z">
        <w:r w:rsidRPr="008912CF">
          <w:rPr>
            <w:b/>
            <w:sz w:val="22"/>
            <w:szCs w:val="22"/>
          </w:rPr>
          <w:delText>14.</w:delText>
        </w:r>
        <w:r w:rsidRPr="008912CF">
          <w:rPr>
            <w:b/>
            <w:sz w:val="22"/>
            <w:szCs w:val="22"/>
          </w:rPr>
          <w:tab/>
          <w:delText>CLASSIFICAÇÃO QUANTO À DISPENSA AO PÚBLICO</w:delText>
        </w:r>
      </w:del>
    </w:p>
    <w:p w14:paraId="673D6ADB" w14:textId="419674E2" w:rsidR="004462A0" w:rsidRPr="008912CF" w:rsidRDefault="004462A0" w:rsidP="004462A0">
      <w:pPr>
        <w:tabs>
          <w:tab w:val="left" w:pos="720"/>
        </w:tabs>
        <w:rPr>
          <w:del w:id="11748" w:author="AbbVie2" w:date="2025-05-13T16:45:00Z"/>
          <w:sz w:val="22"/>
          <w:szCs w:val="22"/>
        </w:rPr>
      </w:pPr>
    </w:p>
    <w:p w14:paraId="3A394B25" w14:textId="440ED173" w:rsidR="004462A0" w:rsidRPr="008912CF" w:rsidRDefault="004462A0" w:rsidP="004462A0">
      <w:pPr>
        <w:tabs>
          <w:tab w:val="left" w:pos="720"/>
        </w:tabs>
        <w:rPr>
          <w:del w:id="11749" w:author="AbbVie2" w:date="2025-05-13T16:45:00Z"/>
          <w:sz w:val="22"/>
          <w:szCs w:val="22"/>
        </w:rPr>
      </w:pPr>
    </w:p>
    <w:p w14:paraId="4304A062" w14:textId="0C32F2EC"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750" w:author="AbbVie2" w:date="2025-05-13T16:45:00Z"/>
          <w:b/>
          <w:sz w:val="22"/>
          <w:szCs w:val="22"/>
          <w:u w:val="single"/>
        </w:rPr>
      </w:pPr>
      <w:del w:id="11751" w:author="AbbVie2" w:date="2025-05-13T16:45:00Z">
        <w:r w:rsidRPr="008912CF">
          <w:rPr>
            <w:b/>
            <w:sz w:val="22"/>
            <w:szCs w:val="22"/>
          </w:rPr>
          <w:delText>15.</w:delText>
        </w:r>
        <w:r w:rsidRPr="008912CF">
          <w:rPr>
            <w:b/>
            <w:sz w:val="22"/>
            <w:szCs w:val="22"/>
          </w:rPr>
          <w:tab/>
          <w:delText>INSTRUÇÕES DE UTILIZAÇÃO</w:delText>
        </w:r>
      </w:del>
    </w:p>
    <w:p w14:paraId="2389B68E" w14:textId="199E0DCC" w:rsidR="004462A0" w:rsidRPr="00431557" w:rsidRDefault="004462A0" w:rsidP="004462A0">
      <w:pPr>
        <w:shd w:val="clear" w:color="auto" w:fill="FFFFFF"/>
        <w:tabs>
          <w:tab w:val="left" w:pos="720"/>
        </w:tabs>
        <w:rPr>
          <w:del w:id="11752" w:author="AbbVie2" w:date="2025-05-13T16:45:00Z"/>
          <w:sz w:val="22"/>
          <w:szCs w:val="22"/>
        </w:rPr>
      </w:pPr>
    </w:p>
    <w:p w14:paraId="752D2F16" w14:textId="5F83F837" w:rsidR="004462A0" w:rsidRPr="00431557" w:rsidRDefault="004462A0" w:rsidP="004462A0">
      <w:pPr>
        <w:shd w:val="clear" w:color="auto" w:fill="FFFFFF"/>
        <w:tabs>
          <w:tab w:val="left" w:pos="720"/>
        </w:tabs>
        <w:rPr>
          <w:del w:id="11753" w:author="AbbVie2" w:date="2025-05-13T16:45:00Z"/>
          <w:sz w:val="22"/>
          <w:szCs w:val="22"/>
        </w:rPr>
      </w:pPr>
    </w:p>
    <w:p w14:paraId="61746676" w14:textId="09F505F2"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754" w:author="AbbVie2" w:date="2025-05-13T16:45:00Z"/>
          <w:b/>
          <w:sz w:val="22"/>
          <w:szCs w:val="22"/>
          <w:u w:val="single"/>
        </w:rPr>
      </w:pPr>
      <w:del w:id="11755" w:author="AbbVie2" w:date="2025-05-13T16:45:00Z">
        <w:r w:rsidRPr="008912CF">
          <w:rPr>
            <w:b/>
            <w:sz w:val="22"/>
            <w:szCs w:val="22"/>
          </w:rPr>
          <w:delText>16.</w:delText>
        </w:r>
        <w:r w:rsidRPr="008912CF">
          <w:rPr>
            <w:b/>
            <w:sz w:val="22"/>
            <w:szCs w:val="22"/>
          </w:rPr>
          <w:tab/>
          <w:delText>INFORMAÇÃO EM BRAILLE</w:delText>
        </w:r>
      </w:del>
    </w:p>
    <w:p w14:paraId="498BA64B" w14:textId="17F1C34C" w:rsidR="004462A0" w:rsidRPr="00431557" w:rsidRDefault="004462A0" w:rsidP="004462A0">
      <w:pPr>
        <w:shd w:val="clear" w:color="auto" w:fill="FFFFFF"/>
        <w:tabs>
          <w:tab w:val="left" w:pos="720"/>
        </w:tabs>
        <w:rPr>
          <w:del w:id="11756" w:author="AbbVie2" w:date="2025-05-13T16:45:00Z"/>
          <w:sz w:val="22"/>
          <w:szCs w:val="22"/>
        </w:rPr>
      </w:pPr>
    </w:p>
    <w:p w14:paraId="0D775488" w14:textId="4F8496D3" w:rsidR="004462A0" w:rsidRDefault="00615769" w:rsidP="004462A0">
      <w:pPr>
        <w:shd w:val="clear" w:color="auto" w:fill="FFFFFF"/>
        <w:tabs>
          <w:tab w:val="left" w:pos="720"/>
        </w:tabs>
        <w:rPr>
          <w:del w:id="11757" w:author="AbbVie2" w:date="2025-05-13T16:45:00Z"/>
          <w:bCs/>
          <w:sz w:val="22"/>
          <w:szCs w:val="22"/>
        </w:rPr>
      </w:pPr>
      <w:del w:id="11758" w:author="AbbVie2" w:date="2025-05-13T16:45:00Z">
        <w:r w:rsidRPr="008912CF">
          <w:rPr>
            <w:bCs/>
            <w:sz w:val="22"/>
            <w:szCs w:val="22"/>
          </w:rPr>
          <w:delText>Humira 40 mg</w:delText>
        </w:r>
      </w:del>
    </w:p>
    <w:p w14:paraId="35F28B3F" w14:textId="2C9AF7C4" w:rsidR="004462A0" w:rsidRDefault="004462A0" w:rsidP="004462A0">
      <w:pPr>
        <w:shd w:val="clear" w:color="auto" w:fill="FFFFFF"/>
        <w:tabs>
          <w:tab w:val="left" w:pos="720"/>
        </w:tabs>
        <w:rPr>
          <w:del w:id="11759" w:author="AbbVie2" w:date="2025-05-13T16:45:00Z"/>
          <w:bCs/>
          <w:sz w:val="22"/>
          <w:szCs w:val="22"/>
        </w:rPr>
      </w:pPr>
    </w:p>
    <w:p w14:paraId="34D4BF50" w14:textId="501FEF3F" w:rsidR="004462A0" w:rsidRPr="00431557" w:rsidRDefault="004462A0" w:rsidP="004462A0">
      <w:pPr>
        <w:pStyle w:val="Heading3"/>
        <w:keepNext w:val="0"/>
        <w:spacing w:before="0" w:after="0" w:line="240" w:lineRule="auto"/>
        <w:rPr>
          <w:del w:id="11760" w:author="AbbVie2" w:date="2025-05-13T16:45:00Z"/>
          <w:b w:val="0"/>
          <w:sz w:val="22"/>
          <w:szCs w:val="22"/>
          <w:lang w:val="pt-PT"/>
        </w:rPr>
      </w:pPr>
    </w:p>
    <w:p w14:paraId="60BC2837" w14:textId="33728AEA" w:rsidR="004462A0" w:rsidRPr="00C25DF2" w:rsidRDefault="00615769" w:rsidP="004462A0">
      <w:pPr>
        <w:pBdr>
          <w:top w:val="single" w:sz="4" w:space="1" w:color="auto"/>
          <w:left w:val="single" w:sz="4" w:space="4" w:color="auto"/>
          <w:bottom w:val="single" w:sz="4" w:space="1" w:color="auto"/>
          <w:right w:val="single" w:sz="4" w:space="4" w:color="auto"/>
        </w:pBdr>
        <w:tabs>
          <w:tab w:val="left" w:pos="562"/>
        </w:tabs>
        <w:suppressAutoHyphens/>
        <w:rPr>
          <w:del w:id="11761" w:author="AbbVie2" w:date="2025-05-13T16:45:00Z"/>
          <w:b/>
          <w:bCs/>
          <w:caps/>
          <w:sz w:val="22"/>
          <w:szCs w:val="20"/>
        </w:rPr>
      </w:pPr>
      <w:del w:id="11762" w:author="AbbVie2" w:date="2025-05-13T16:45:00Z">
        <w:r w:rsidRPr="009154C5">
          <w:rPr>
            <w:b/>
            <w:bCs/>
            <w:caps/>
            <w:sz w:val="22"/>
            <w:szCs w:val="20"/>
          </w:rPr>
          <w:delText xml:space="preserve">17. </w:delText>
        </w:r>
        <w:r w:rsidRPr="009154C5">
          <w:rPr>
            <w:b/>
            <w:bCs/>
            <w:caps/>
            <w:sz w:val="22"/>
            <w:szCs w:val="20"/>
          </w:rPr>
          <w:tab/>
        </w:r>
        <w:r w:rsidRPr="00C25DF2">
          <w:rPr>
            <w:b/>
            <w:bCs/>
            <w:caps/>
            <w:sz w:val="22"/>
            <w:szCs w:val="20"/>
          </w:rPr>
          <w:delText xml:space="preserve">IDENTIFICADOR ÚNICO – CÓDIGO DE BARRAS 2D </w:delText>
        </w:r>
      </w:del>
    </w:p>
    <w:p w14:paraId="2D5FC31D" w14:textId="4C4800EF" w:rsidR="004462A0" w:rsidRPr="00C25DF2" w:rsidRDefault="004462A0" w:rsidP="004462A0">
      <w:pPr>
        <w:tabs>
          <w:tab w:val="left" w:pos="562"/>
        </w:tabs>
        <w:suppressAutoHyphens/>
        <w:rPr>
          <w:del w:id="11763" w:author="AbbVie2" w:date="2025-05-13T16:45:00Z"/>
          <w:sz w:val="22"/>
        </w:rPr>
      </w:pPr>
    </w:p>
    <w:p w14:paraId="4DCCF00C" w14:textId="0158A712" w:rsidR="004462A0" w:rsidRPr="00C25DF2" w:rsidRDefault="004462A0" w:rsidP="004462A0">
      <w:pPr>
        <w:tabs>
          <w:tab w:val="left" w:pos="562"/>
        </w:tabs>
        <w:suppressAutoHyphens/>
        <w:rPr>
          <w:del w:id="11764" w:author="AbbVie2" w:date="2025-05-13T16:45:00Z"/>
          <w:sz w:val="22"/>
          <w:shd w:val="clear" w:color="auto" w:fill="BFBFBF"/>
        </w:rPr>
      </w:pPr>
    </w:p>
    <w:p w14:paraId="4A21E542" w14:textId="260C62A7" w:rsidR="004462A0" w:rsidRPr="00C25DF2" w:rsidRDefault="00615769" w:rsidP="004462A0">
      <w:pPr>
        <w:keepNext/>
        <w:pBdr>
          <w:top w:val="single" w:sz="4" w:space="1" w:color="auto"/>
          <w:left w:val="single" w:sz="4" w:space="4" w:color="auto"/>
          <w:bottom w:val="single" w:sz="4" w:space="1" w:color="auto"/>
          <w:right w:val="single" w:sz="4" w:space="4" w:color="auto"/>
        </w:pBdr>
        <w:tabs>
          <w:tab w:val="left" w:pos="562"/>
        </w:tabs>
        <w:suppressAutoHyphens/>
        <w:rPr>
          <w:del w:id="11765" w:author="AbbVie2" w:date="2025-05-13T16:45:00Z"/>
          <w:rFonts w:ascii="Times New Roman Bold" w:hAnsi="Times New Roman Bold"/>
          <w:caps/>
          <w:sz w:val="22"/>
          <w:szCs w:val="20"/>
        </w:rPr>
      </w:pPr>
      <w:del w:id="11766" w:author="AbbVie2" w:date="2025-05-13T16:45:00Z">
        <w:r w:rsidRPr="00C25DF2">
          <w:rPr>
            <w:b/>
            <w:bCs/>
            <w:caps/>
            <w:sz w:val="22"/>
            <w:szCs w:val="20"/>
          </w:rPr>
          <w:delText xml:space="preserve">18. </w:delText>
        </w:r>
        <w:r w:rsidRPr="00C25DF2">
          <w:rPr>
            <w:b/>
            <w:bCs/>
            <w:caps/>
            <w:sz w:val="22"/>
            <w:szCs w:val="20"/>
          </w:rPr>
          <w:tab/>
          <w:delText>IDENTIFICADOR ÚNICO – DADOS PARA LEITURA HUMA</w:delText>
        </w:r>
        <w:r>
          <w:rPr>
            <w:b/>
            <w:bCs/>
            <w:caps/>
            <w:sz w:val="22"/>
            <w:szCs w:val="20"/>
          </w:rPr>
          <w:delText>NA</w:delText>
        </w:r>
      </w:del>
    </w:p>
    <w:p w14:paraId="1164FA35" w14:textId="443173FD" w:rsidR="004462A0" w:rsidRPr="00C25DF2" w:rsidRDefault="004462A0" w:rsidP="004462A0">
      <w:pPr>
        <w:keepNext/>
        <w:tabs>
          <w:tab w:val="left" w:pos="562"/>
        </w:tabs>
        <w:suppressAutoHyphens/>
        <w:ind w:left="540" w:hanging="540"/>
        <w:rPr>
          <w:del w:id="11767" w:author="AbbVie2" w:date="2025-05-13T16:45:00Z"/>
          <w:sz w:val="22"/>
        </w:rPr>
      </w:pPr>
    </w:p>
    <w:p w14:paraId="69DF85F0" w14:textId="5F2FBA74" w:rsidR="004462A0" w:rsidRPr="008912CF" w:rsidRDefault="00615769" w:rsidP="004462A0">
      <w:pPr>
        <w:shd w:val="clear" w:color="auto" w:fill="FFFFFF"/>
        <w:tabs>
          <w:tab w:val="left" w:pos="720"/>
        </w:tabs>
        <w:rPr>
          <w:del w:id="11768" w:author="AbbVie2" w:date="2025-05-13T16:45:00Z"/>
          <w:sz w:val="22"/>
          <w:szCs w:val="22"/>
        </w:rPr>
      </w:pPr>
      <w:del w:id="11769" w:author="AbbVie2" w:date="2025-05-13T16:45:00Z">
        <w:r w:rsidRPr="008912CF">
          <w:rPr>
            <w:bCs/>
            <w:sz w:val="22"/>
            <w:szCs w:val="22"/>
          </w:rPr>
          <w:br w:type="page"/>
        </w:r>
      </w:del>
    </w:p>
    <w:p w14:paraId="3F223B5A" w14:textId="359A6FBB" w:rsidR="004462A0" w:rsidRPr="008912CF" w:rsidRDefault="00615769" w:rsidP="004462A0">
      <w:pPr>
        <w:pBdr>
          <w:top w:val="single" w:sz="4" w:space="1" w:color="auto"/>
          <w:left w:val="single" w:sz="4" w:space="1" w:color="auto"/>
          <w:bottom w:val="single" w:sz="4" w:space="0" w:color="auto"/>
          <w:right w:val="single" w:sz="4" w:space="1" w:color="auto"/>
        </w:pBdr>
        <w:tabs>
          <w:tab w:val="left" w:pos="567"/>
        </w:tabs>
        <w:rPr>
          <w:del w:id="11770" w:author="AbbVie2" w:date="2025-05-13T16:45:00Z"/>
          <w:b/>
          <w:sz w:val="22"/>
          <w:szCs w:val="22"/>
        </w:rPr>
      </w:pPr>
      <w:del w:id="11771" w:author="AbbVie2" w:date="2025-05-13T16:45:00Z">
        <w:r w:rsidRPr="008912CF">
          <w:rPr>
            <w:b/>
            <w:sz w:val="22"/>
            <w:szCs w:val="22"/>
          </w:rPr>
          <w:delText>INDICAÇÕES MÍNIMAS A INCLUIR EM PEQUENAS UNIDADES DE ACONDICIONAMENTO PRIMÁRIO</w:delText>
        </w:r>
      </w:del>
    </w:p>
    <w:p w14:paraId="1F4BCC81" w14:textId="00BD1A80" w:rsidR="004462A0" w:rsidRPr="008912CF" w:rsidRDefault="004462A0" w:rsidP="004462A0">
      <w:pPr>
        <w:pBdr>
          <w:top w:val="single" w:sz="4" w:space="1" w:color="auto"/>
          <w:left w:val="single" w:sz="4" w:space="1" w:color="auto"/>
          <w:bottom w:val="single" w:sz="4" w:space="0" w:color="auto"/>
          <w:right w:val="single" w:sz="4" w:space="1" w:color="auto"/>
        </w:pBdr>
        <w:tabs>
          <w:tab w:val="left" w:pos="567"/>
        </w:tabs>
        <w:rPr>
          <w:del w:id="11772" w:author="AbbVie2" w:date="2025-05-13T16:45:00Z"/>
          <w:b/>
          <w:sz w:val="22"/>
          <w:szCs w:val="22"/>
        </w:rPr>
      </w:pPr>
    </w:p>
    <w:p w14:paraId="39F13E6A" w14:textId="1E267363" w:rsidR="004462A0" w:rsidRPr="008912CF" w:rsidRDefault="00615769" w:rsidP="004462A0">
      <w:pPr>
        <w:pStyle w:val="Heading1"/>
        <w:keepNext w:val="0"/>
        <w:pBdr>
          <w:left w:val="single" w:sz="4" w:space="1" w:color="auto"/>
          <w:bottom w:val="single" w:sz="4" w:space="0" w:color="auto"/>
          <w:right w:val="single" w:sz="4" w:space="1" w:color="auto"/>
        </w:pBdr>
        <w:rPr>
          <w:del w:id="11773" w:author="AbbVie2" w:date="2025-05-13T16:45:00Z"/>
          <w:bCs w:val="0"/>
          <w:caps/>
          <w:szCs w:val="22"/>
        </w:rPr>
      </w:pPr>
      <w:del w:id="11774" w:author="AbbVie2" w:date="2025-05-13T16:45:00Z">
        <w:r w:rsidRPr="008912CF">
          <w:rPr>
            <w:bCs w:val="0"/>
            <w:caps/>
            <w:szCs w:val="22"/>
          </w:rPr>
          <w:delText>Rótulo do frasco para injetáveis</w:delText>
        </w:r>
      </w:del>
    </w:p>
    <w:p w14:paraId="76F44245" w14:textId="442564BF" w:rsidR="004462A0" w:rsidRPr="008912CF" w:rsidRDefault="004462A0" w:rsidP="004462A0">
      <w:pPr>
        <w:pStyle w:val="Index1"/>
        <w:spacing w:line="240" w:lineRule="auto"/>
        <w:rPr>
          <w:del w:id="11775" w:author="AbbVie2" w:date="2025-05-13T16:45:00Z"/>
          <w:szCs w:val="22"/>
          <w:lang w:val="pt-PT"/>
        </w:rPr>
      </w:pPr>
    </w:p>
    <w:p w14:paraId="139F4223" w14:textId="6996CDAC" w:rsidR="004462A0" w:rsidRPr="008912CF" w:rsidRDefault="004462A0" w:rsidP="004462A0">
      <w:pPr>
        <w:tabs>
          <w:tab w:val="left" w:pos="720"/>
        </w:tabs>
        <w:rPr>
          <w:del w:id="11776" w:author="AbbVie2" w:date="2025-05-13T16:45:00Z"/>
          <w:b/>
          <w:sz w:val="22"/>
          <w:szCs w:val="22"/>
        </w:rPr>
      </w:pPr>
    </w:p>
    <w:p w14:paraId="5FB8EFEF" w14:textId="68ABFCC1"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777" w:author="AbbVie2" w:date="2025-05-13T16:45:00Z"/>
          <w:b/>
          <w:sz w:val="22"/>
          <w:szCs w:val="22"/>
          <w:highlight w:val="lightGray"/>
        </w:rPr>
      </w:pPr>
      <w:del w:id="11778" w:author="AbbVie2" w:date="2025-05-13T16:45:00Z">
        <w:r w:rsidRPr="008912CF">
          <w:rPr>
            <w:b/>
            <w:sz w:val="22"/>
            <w:szCs w:val="22"/>
          </w:rPr>
          <w:delText>1.</w:delText>
        </w:r>
        <w:r w:rsidRPr="008912CF">
          <w:rPr>
            <w:b/>
            <w:sz w:val="22"/>
            <w:szCs w:val="22"/>
          </w:rPr>
          <w:tab/>
        </w:r>
        <w:r w:rsidRPr="008912CF">
          <w:rPr>
            <w:b/>
            <w:sz w:val="22"/>
            <w:szCs w:val="22"/>
          </w:rPr>
          <w:delText>NOME DO MEDICAMENTO E VIA DE ADMINISTRAÇÃO</w:delText>
        </w:r>
      </w:del>
    </w:p>
    <w:p w14:paraId="54D99F01" w14:textId="290C6EF4" w:rsidR="004462A0" w:rsidRPr="008912CF" w:rsidRDefault="004462A0" w:rsidP="004462A0">
      <w:pPr>
        <w:tabs>
          <w:tab w:val="left" w:pos="720"/>
        </w:tabs>
        <w:rPr>
          <w:del w:id="11779" w:author="AbbVie2" w:date="2025-05-13T16:45:00Z"/>
          <w:sz w:val="22"/>
          <w:szCs w:val="22"/>
        </w:rPr>
      </w:pPr>
    </w:p>
    <w:p w14:paraId="3BB5DAE1" w14:textId="46801D23" w:rsidR="004462A0" w:rsidRPr="008912CF" w:rsidRDefault="00615769" w:rsidP="004462A0">
      <w:pPr>
        <w:tabs>
          <w:tab w:val="left" w:pos="720"/>
        </w:tabs>
        <w:rPr>
          <w:del w:id="11780" w:author="AbbVie2" w:date="2025-05-13T16:45:00Z"/>
          <w:sz w:val="22"/>
          <w:szCs w:val="22"/>
        </w:rPr>
      </w:pPr>
      <w:del w:id="11781" w:author="AbbVie2" w:date="2025-05-13T16:45:00Z">
        <w:r w:rsidRPr="008912CF">
          <w:rPr>
            <w:sz w:val="22"/>
            <w:szCs w:val="22"/>
          </w:rPr>
          <w:delText>Humira 40 mg/0,8 ml solução injetável</w:delText>
        </w:r>
      </w:del>
    </w:p>
    <w:p w14:paraId="4A9ACAB2" w14:textId="3601F6B4" w:rsidR="004462A0" w:rsidRPr="008912CF" w:rsidRDefault="00615769" w:rsidP="004462A0">
      <w:pPr>
        <w:tabs>
          <w:tab w:val="left" w:pos="720"/>
        </w:tabs>
        <w:rPr>
          <w:del w:id="11782" w:author="AbbVie2" w:date="2025-05-13T16:45:00Z"/>
          <w:bCs/>
          <w:sz w:val="22"/>
          <w:szCs w:val="22"/>
        </w:rPr>
      </w:pPr>
      <w:del w:id="11783" w:author="AbbVie2" w:date="2025-05-13T16:45:00Z">
        <w:r w:rsidRPr="008912CF">
          <w:rPr>
            <w:bCs/>
            <w:sz w:val="22"/>
            <w:szCs w:val="22"/>
          </w:rPr>
          <w:delText>adalimumab</w:delText>
        </w:r>
      </w:del>
    </w:p>
    <w:p w14:paraId="2F5EEA27" w14:textId="44BFC4D9" w:rsidR="004462A0" w:rsidRDefault="00615769" w:rsidP="004462A0">
      <w:pPr>
        <w:tabs>
          <w:tab w:val="left" w:pos="720"/>
        </w:tabs>
        <w:rPr>
          <w:del w:id="11784" w:author="AbbVie2" w:date="2025-05-13T16:45:00Z"/>
          <w:bCs/>
          <w:sz w:val="22"/>
          <w:szCs w:val="22"/>
        </w:rPr>
      </w:pPr>
      <w:del w:id="11785" w:author="AbbVie2" w:date="2025-05-13T16:45:00Z">
        <w:r>
          <w:rPr>
            <w:bCs/>
            <w:sz w:val="22"/>
            <w:szCs w:val="22"/>
          </w:rPr>
          <w:delText>SC</w:delText>
        </w:r>
      </w:del>
    </w:p>
    <w:p w14:paraId="6749ABB0" w14:textId="0BEF9BAA" w:rsidR="00005EF8" w:rsidRPr="008912CF" w:rsidRDefault="00005EF8" w:rsidP="004462A0">
      <w:pPr>
        <w:tabs>
          <w:tab w:val="left" w:pos="720"/>
        </w:tabs>
        <w:rPr>
          <w:del w:id="11786" w:author="AbbVie2" w:date="2025-05-13T16:45:00Z"/>
          <w:bCs/>
          <w:sz w:val="22"/>
          <w:szCs w:val="22"/>
        </w:rPr>
      </w:pPr>
    </w:p>
    <w:p w14:paraId="104C70C2" w14:textId="023392A4" w:rsidR="004462A0" w:rsidRPr="008912CF" w:rsidRDefault="004462A0" w:rsidP="004462A0">
      <w:pPr>
        <w:tabs>
          <w:tab w:val="left" w:pos="720"/>
        </w:tabs>
        <w:rPr>
          <w:del w:id="11787" w:author="AbbVie2" w:date="2025-05-13T16:45:00Z"/>
          <w:bCs/>
          <w:sz w:val="22"/>
          <w:szCs w:val="22"/>
        </w:rPr>
      </w:pPr>
    </w:p>
    <w:p w14:paraId="5F8E7294" w14:textId="3BFB114B"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del w:id="11788" w:author="AbbVie2" w:date="2025-05-13T16:45:00Z"/>
          <w:b/>
          <w:sz w:val="22"/>
          <w:szCs w:val="22"/>
          <w:highlight w:val="lightGray"/>
        </w:rPr>
      </w:pPr>
      <w:del w:id="11789" w:author="AbbVie2" w:date="2025-05-13T16:45:00Z">
        <w:r w:rsidRPr="008912CF">
          <w:rPr>
            <w:b/>
            <w:sz w:val="22"/>
            <w:szCs w:val="22"/>
          </w:rPr>
          <w:delText>2.</w:delText>
        </w:r>
        <w:r w:rsidRPr="008912CF">
          <w:rPr>
            <w:b/>
            <w:sz w:val="22"/>
            <w:szCs w:val="22"/>
          </w:rPr>
          <w:tab/>
          <w:delText>MODO DE ADMINISTRAÇÃO</w:delText>
        </w:r>
      </w:del>
    </w:p>
    <w:p w14:paraId="76CE8921" w14:textId="29D34C67" w:rsidR="004462A0" w:rsidRPr="008912CF" w:rsidRDefault="004462A0" w:rsidP="004462A0">
      <w:pPr>
        <w:pStyle w:val="IndexHeading"/>
        <w:tabs>
          <w:tab w:val="clear" w:pos="567"/>
          <w:tab w:val="left" w:pos="720"/>
        </w:tabs>
        <w:spacing w:line="240" w:lineRule="auto"/>
        <w:rPr>
          <w:del w:id="11790" w:author="AbbVie2" w:date="2025-05-13T16:45:00Z"/>
          <w:rFonts w:ascii="Times New Roman" w:hAnsi="Times New Roman"/>
          <w:b w:val="0"/>
          <w:bCs/>
          <w:szCs w:val="22"/>
          <w:lang w:val="pt-PT"/>
        </w:rPr>
      </w:pPr>
    </w:p>
    <w:p w14:paraId="6C6FB05F" w14:textId="2A26E34F" w:rsidR="004462A0" w:rsidRPr="008912CF" w:rsidRDefault="004462A0" w:rsidP="004462A0">
      <w:pPr>
        <w:rPr>
          <w:del w:id="11791" w:author="AbbVie2" w:date="2025-05-13T16:45:00Z"/>
          <w:sz w:val="22"/>
          <w:szCs w:val="22"/>
        </w:rPr>
      </w:pPr>
    </w:p>
    <w:p w14:paraId="13CE103F" w14:textId="48B78689"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792" w:author="AbbVie2" w:date="2025-05-13T16:45:00Z"/>
          <w:b/>
          <w:sz w:val="22"/>
          <w:szCs w:val="22"/>
          <w:highlight w:val="lightGray"/>
        </w:rPr>
      </w:pPr>
      <w:del w:id="11793" w:author="AbbVie2" w:date="2025-05-13T16:45:00Z">
        <w:r w:rsidRPr="008912CF">
          <w:rPr>
            <w:b/>
            <w:sz w:val="22"/>
            <w:szCs w:val="22"/>
          </w:rPr>
          <w:delText>3.</w:delText>
        </w:r>
        <w:r w:rsidRPr="008912CF">
          <w:rPr>
            <w:b/>
            <w:sz w:val="22"/>
            <w:szCs w:val="22"/>
          </w:rPr>
          <w:tab/>
          <w:delText>PRAZO DE VALIDADE</w:delText>
        </w:r>
      </w:del>
    </w:p>
    <w:p w14:paraId="6351EB5F" w14:textId="43B1209E" w:rsidR="004462A0" w:rsidRPr="008912CF" w:rsidRDefault="004462A0" w:rsidP="004462A0">
      <w:pPr>
        <w:pStyle w:val="EndnoteText"/>
        <w:tabs>
          <w:tab w:val="clear" w:pos="567"/>
          <w:tab w:val="left" w:pos="720"/>
        </w:tabs>
        <w:rPr>
          <w:del w:id="11794" w:author="AbbVie2" w:date="2025-05-13T16:45:00Z"/>
          <w:szCs w:val="22"/>
        </w:rPr>
      </w:pPr>
    </w:p>
    <w:p w14:paraId="58BF74FA" w14:textId="171387AE" w:rsidR="004462A0" w:rsidRPr="008912CF" w:rsidRDefault="00615769" w:rsidP="004462A0">
      <w:pPr>
        <w:tabs>
          <w:tab w:val="left" w:pos="720"/>
        </w:tabs>
        <w:rPr>
          <w:del w:id="11795" w:author="AbbVie2" w:date="2025-05-13T16:45:00Z"/>
          <w:sz w:val="22"/>
          <w:szCs w:val="22"/>
        </w:rPr>
      </w:pPr>
      <w:del w:id="11796" w:author="AbbVie2" w:date="2025-05-13T16:45:00Z">
        <w:r>
          <w:rPr>
            <w:sz w:val="22"/>
            <w:szCs w:val="22"/>
          </w:rPr>
          <w:delText>EXP</w:delText>
        </w:r>
        <w:r w:rsidRPr="008912CF">
          <w:rPr>
            <w:sz w:val="22"/>
            <w:szCs w:val="22"/>
          </w:rPr>
          <w:delText xml:space="preserve"> </w:delText>
        </w:r>
      </w:del>
    </w:p>
    <w:p w14:paraId="43F77004" w14:textId="6348C9D1" w:rsidR="004462A0" w:rsidRPr="008912CF" w:rsidRDefault="004462A0" w:rsidP="004462A0">
      <w:pPr>
        <w:tabs>
          <w:tab w:val="left" w:pos="720"/>
        </w:tabs>
        <w:rPr>
          <w:del w:id="11797" w:author="AbbVie2" w:date="2025-05-13T16:45:00Z"/>
          <w:bCs/>
          <w:sz w:val="22"/>
          <w:szCs w:val="22"/>
        </w:rPr>
      </w:pPr>
    </w:p>
    <w:p w14:paraId="06911117" w14:textId="7A734C2F" w:rsidR="004462A0" w:rsidRPr="008912CF" w:rsidRDefault="004462A0" w:rsidP="004462A0">
      <w:pPr>
        <w:tabs>
          <w:tab w:val="left" w:pos="720"/>
        </w:tabs>
        <w:rPr>
          <w:del w:id="11798" w:author="AbbVie2" w:date="2025-05-13T16:45:00Z"/>
          <w:bCs/>
          <w:sz w:val="22"/>
          <w:szCs w:val="22"/>
        </w:rPr>
      </w:pPr>
    </w:p>
    <w:p w14:paraId="06494559" w14:textId="642DEEBF"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799" w:author="AbbVie2" w:date="2025-05-13T16:45:00Z"/>
          <w:b/>
          <w:sz w:val="22"/>
          <w:szCs w:val="22"/>
          <w:highlight w:val="lightGray"/>
        </w:rPr>
      </w:pPr>
      <w:del w:id="11800" w:author="AbbVie2" w:date="2025-05-13T16:45:00Z">
        <w:r w:rsidRPr="008912CF">
          <w:rPr>
            <w:b/>
            <w:sz w:val="22"/>
            <w:szCs w:val="22"/>
          </w:rPr>
          <w:delText>4.</w:delText>
        </w:r>
        <w:r w:rsidRPr="008912CF">
          <w:rPr>
            <w:b/>
            <w:sz w:val="22"/>
            <w:szCs w:val="22"/>
          </w:rPr>
          <w:tab/>
          <w:delText>NÚMERO DO LOTE</w:delText>
        </w:r>
      </w:del>
    </w:p>
    <w:p w14:paraId="43F61E54" w14:textId="512CF9A4" w:rsidR="004462A0" w:rsidRPr="008912CF" w:rsidRDefault="004462A0" w:rsidP="004462A0">
      <w:pPr>
        <w:pStyle w:val="EndnoteText"/>
        <w:tabs>
          <w:tab w:val="clear" w:pos="567"/>
          <w:tab w:val="left" w:pos="720"/>
        </w:tabs>
        <w:rPr>
          <w:del w:id="11801" w:author="AbbVie2" w:date="2025-05-13T16:45:00Z"/>
          <w:szCs w:val="22"/>
        </w:rPr>
      </w:pPr>
    </w:p>
    <w:p w14:paraId="53F662CB" w14:textId="3D3BB237" w:rsidR="004462A0" w:rsidRPr="008912CF" w:rsidRDefault="00615769" w:rsidP="004462A0">
      <w:pPr>
        <w:tabs>
          <w:tab w:val="left" w:pos="720"/>
        </w:tabs>
        <w:rPr>
          <w:del w:id="11802" w:author="AbbVie2" w:date="2025-05-13T16:45:00Z"/>
          <w:sz w:val="22"/>
          <w:szCs w:val="22"/>
        </w:rPr>
      </w:pPr>
      <w:del w:id="11803" w:author="AbbVie2" w:date="2025-05-13T16:45:00Z">
        <w:r w:rsidRPr="008912CF">
          <w:rPr>
            <w:sz w:val="22"/>
            <w:szCs w:val="22"/>
          </w:rPr>
          <w:delText>Lote</w:delText>
        </w:r>
      </w:del>
    </w:p>
    <w:p w14:paraId="2E38DD44" w14:textId="3630C3EB" w:rsidR="004462A0" w:rsidRPr="008912CF" w:rsidRDefault="004462A0" w:rsidP="004462A0">
      <w:pPr>
        <w:tabs>
          <w:tab w:val="left" w:pos="720"/>
        </w:tabs>
        <w:ind w:right="113"/>
        <w:rPr>
          <w:del w:id="11804" w:author="AbbVie2" w:date="2025-05-13T16:45:00Z"/>
          <w:sz w:val="22"/>
          <w:szCs w:val="22"/>
          <w:highlight w:val="lightGray"/>
        </w:rPr>
      </w:pPr>
    </w:p>
    <w:p w14:paraId="568D332C" w14:textId="07D8E358" w:rsidR="004462A0" w:rsidRPr="008912CF" w:rsidRDefault="004462A0" w:rsidP="004462A0">
      <w:pPr>
        <w:tabs>
          <w:tab w:val="left" w:pos="720"/>
        </w:tabs>
        <w:ind w:right="113"/>
        <w:rPr>
          <w:del w:id="11805" w:author="AbbVie2" w:date="2025-05-13T16:45:00Z"/>
          <w:sz w:val="22"/>
          <w:szCs w:val="22"/>
          <w:highlight w:val="lightGray"/>
        </w:rPr>
      </w:pPr>
    </w:p>
    <w:p w14:paraId="01F1050A" w14:textId="70FBDA60"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806" w:author="AbbVie2" w:date="2025-05-13T16:45:00Z"/>
          <w:b/>
          <w:sz w:val="22"/>
          <w:szCs w:val="22"/>
          <w:highlight w:val="lightGray"/>
        </w:rPr>
      </w:pPr>
      <w:del w:id="11807" w:author="AbbVie2" w:date="2025-05-13T16:45:00Z">
        <w:r w:rsidRPr="008912CF">
          <w:rPr>
            <w:b/>
            <w:sz w:val="22"/>
            <w:szCs w:val="22"/>
          </w:rPr>
          <w:delText>5.</w:delText>
        </w:r>
        <w:r w:rsidRPr="008912CF">
          <w:rPr>
            <w:b/>
            <w:sz w:val="22"/>
            <w:szCs w:val="22"/>
          </w:rPr>
          <w:tab/>
          <w:delText>CONTEÚDO EM PESO, VOLUME OU UNIDADE</w:delText>
        </w:r>
      </w:del>
    </w:p>
    <w:p w14:paraId="165B133F" w14:textId="08F5977B" w:rsidR="004462A0" w:rsidRPr="008912CF" w:rsidRDefault="004462A0" w:rsidP="004462A0">
      <w:pPr>
        <w:tabs>
          <w:tab w:val="left" w:pos="720"/>
        </w:tabs>
        <w:rPr>
          <w:del w:id="11808" w:author="AbbVie2" w:date="2025-05-13T16:45:00Z"/>
          <w:sz w:val="22"/>
          <w:szCs w:val="22"/>
        </w:rPr>
      </w:pPr>
    </w:p>
    <w:p w14:paraId="3EFE1DB9" w14:textId="147279F4" w:rsidR="004462A0" w:rsidRPr="008912CF" w:rsidRDefault="00615769" w:rsidP="004462A0">
      <w:pPr>
        <w:tabs>
          <w:tab w:val="left" w:pos="720"/>
        </w:tabs>
        <w:rPr>
          <w:del w:id="11809" w:author="AbbVie2" w:date="2025-05-13T16:45:00Z"/>
          <w:sz w:val="22"/>
          <w:szCs w:val="22"/>
        </w:rPr>
      </w:pPr>
      <w:del w:id="11810" w:author="AbbVie2" w:date="2025-05-13T16:45:00Z">
        <w:r w:rsidRPr="008912CF">
          <w:rPr>
            <w:sz w:val="22"/>
            <w:szCs w:val="22"/>
          </w:rPr>
          <w:delText>40 mg/0,8 ml</w:delText>
        </w:r>
      </w:del>
    </w:p>
    <w:p w14:paraId="35C717C7" w14:textId="06BD3560" w:rsidR="004462A0" w:rsidRPr="008912CF" w:rsidRDefault="004462A0" w:rsidP="004462A0">
      <w:pPr>
        <w:tabs>
          <w:tab w:val="left" w:pos="720"/>
        </w:tabs>
        <w:rPr>
          <w:del w:id="11811" w:author="AbbVie2" w:date="2025-05-13T16:45:00Z"/>
          <w:sz w:val="22"/>
          <w:szCs w:val="22"/>
        </w:rPr>
      </w:pPr>
    </w:p>
    <w:p w14:paraId="31E7F167" w14:textId="23B54C0A" w:rsidR="004462A0" w:rsidRPr="008912CF" w:rsidRDefault="004462A0" w:rsidP="004462A0">
      <w:pPr>
        <w:tabs>
          <w:tab w:val="left" w:pos="720"/>
        </w:tabs>
        <w:rPr>
          <w:del w:id="11812" w:author="AbbVie2" w:date="2025-05-13T16:45:00Z"/>
          <w:sz w:val="22"/>
          <w:szCs w:val="22"/>
        </w:rPr>
      </w:pPr>
    </w:p>
    <w:p w14:paraId="2A24DA88" w14:textId="23511F0D"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813" w:author="AbbVie2" w:date="2025-05-13T16:45:00Z"/>
          <w:b/>
          <w:sz w:val="22"/>
          <w:szCs w:val="22"/>
          <w:highlight w:val="lightGray"/>
        </w:rPr>
      </w:pPr>
      <w:del w:id="11814" w:author="AbbVie2" w:date="2025-05-13T16:45:00Z">
        <w:r w:rsidRPr="008912CF">
          <w:rPr>
            <w:b/>
            <w:sz w:val="22"/>
            <w:szCs w:val="22"/>
          </w:rPr>
          <w:delText>6.</w:delText>
        </w:r>
        <w:r w:rsidRPr="008912CF">
          <w:rPr>
            <w:b/>
            <w:sz w:val="22"/>
            <w:szCs w:val="22"/>
          </w:rPr>
          <w:tab/>
          <w:delText>OUTRAS</w:delText>
        </w:r>
      </w:del>
    </w:p>
    <w:p w14:paraId="62E04C46" w14:textId="7A20F1E3" w:rsidR="004462A0" w:rsidRPr="008912CF" w:rsidRDefault="004462A0" w:rsidP="004462A0">
      <w:pPr>
        <w:pStyle w:val="Heading3"/>
        <w:keepNext w:val="0"/>
        <w:spacing w:before="0" w:after="0" w:line="240" w:lineRule="auto"/>
        <w:rPr>
          <w:del w:id="11815" w:author="AbbVie2" w:date="2025-05-13T16:45:00Z"/>
          <w:sz w:val="22"/>
          <w:szCs w:val="22"/>
          <w:lang w:val="pt-PT"/>
        </w:rPr>
      </w:pPr>
    </w:p>
    <w:p w14:paraId="51DB1476" w14:textId="79CB4861" w:rsidR="004462A0" w:rsidRPr="008912CF" w:rsidRDefault="00615769" w:rsidP="004462A0">
      <w:pPr>
        <w:tabs>
          <w:tab w:val="left" w:pos="720"/>
        </w:tabs>
        <w:rPr>
          <w:del w:id="11816" w:author="AbbVie2" w:date="2025-05-13T16:45:00Z"/>
          <w:sz w:val="22"/>
          <w:szCs w:val="22"/>
        </w:rPr>
      </w:pPr>
      <w:del w:id="11817" w:author="AbbVie2" w:date="2025-05-13T16:45:00Z">
        <w:r w:rsidRPr="008912CF">
          <w:rPr>
            <w:sz w:val="22"/>
            <w:szCs w:val="22"/>
          </w:rPr>
          <w:delText>Apenas para uma única utilização.</w:delText>
        </w:r>
        <w:r w:rsidRPr="008912CF">
          <w:rPr>
            <w:sz w:val="22"/>
            <w:szCs w:val="22"/>
          </w:rPr>
          <w:br w:type="page"/>
        </w:r>
      </w:del>
    </w:p>
    <w:p w14:paraId="5CACD672" w14:textId="3C7AD7E9" w:rsidR="004462A0" w:rsidRPr="008912CF" w:rsidRDefault="00615769" w:rsidP="004462A0">
      <w:pPr>
        <w:pBdr>
          <w:top w:val="single" w:sz="4" w:space="1" w:color="auto"/>
          <w:left w:val="single" w:sz="4" w:space="4" w:color="auto"/>
          <w:bottom w:val="single" w:sz="4" w:space="2" w:color="auto"/>
          <w:right w:val="single" w:sz="4" w:space="4" w:color="auto"/>
        </w:pBdr>
        <w:tabs>
          <w:tab w:val="left" w:pos="567"/>
        </w:tabs>
        <w:rPr>
          <w:del w:id="11818" w:author="AbbVie2" w:date="2025-05-13T16:46:00Z"/>
          <w:b/>
          <w:bCs/>
          <w:i/>
          <w:iCs/>
          <w:sz w:val="22"/>
          <w:szCs w:val="22"/>
        </w:rPr>
      </w:pPr>
      <w:del w:id="11819" w:author="AbbVie2" w:date="2025-05-13T16:46:00Z">
        <w:r w:rsidRPr="008912CF">
          <w:rPr>
            <w:b/>
            <w:sz w:val="22"/>
            <w:szCs w:val="22"/>
          </w:rPr>
          <w:delText>INDICAÇÕES A INCLUIR NO ACONDICIONAMENTO SECUNDÁRIO</w:delText>
        </w:r>
      </w:del>
    </w:p>
    <w:p w14:paraId="6DABBC9C" w14:textId="4FB9D884" w:rsidR="004462A0" w:rsidRPr="008912CF" w:rsidRDefault="004462A0" w:rsidP="004462A0">
      <w:pPr>
        <w:pStyle w:val="Heading1"/>
        <w:keepNext w:val="0"/>
        <w:pBdr>
          <w:bottom w:val="single" w:sz="4" w:space="2" w:color="auto"/>
        </w:pBdr>
        <w:rPr>
          <w:del w:id="11820" w:author="AbbVie2" w:date="2025-05-13T16:46:00Z"/>
          <w:caps/>
          <w:szCs w:val="22"/>
        </w:rPr>
      </w:pPr>
    </w:p>
    <w:p w14:paraId="706FADC5" w14:textId="42B31967" w:rsidR="004462A0" w:rsidRPr="008912CF" w:rsidRDefault="00615769" w:rsidP="004462A0">
      <w:pPr>
        <w:pStyle w:val="Heading1"/>
        <w:keepNext w:val="0"/>
        <w:pBdr>
          <w:bottom w:val="single" w:sz="4" w:space="2" w:color="auto"/>
        </w:pBdr>
        <w:rPr>
          <w:del w:id="11821" w:author="AbbVie2" w:date="2025-05-13T16:46:00Z"/>
          <w:caps/>
          <w:szCs w:val="22"/>
        </w:rPr>
      </w:pPr>
      <w:del w:id="11822" w:author="AbbVie2" w:date="2025-05-13T16:46:00Z">
        <w:r w:rsidRPr="008912CF">
          <w:rPr>
            <w:caps/>
            <w:szCs w:val="22"/>
          </w:rPr>
          <w:delText>Embalagem exterior</w:delText>
        </w:r>
      </w:del>
    </w:p>
    <w:p w14:paraId="076A5D93" w14:textId="6BE2562A" w:rsidR="004462A0" w:rsidRPr="008912CF" w:rsidRDefault="004462A0" w:rsidP="004462A0">
      <w:pPr>
        <w:tabs>
          <w:tab w:val="left" w:pos="567"/>
        </w:tabs>
        <w:rPr>
          <w:del w:id="11823" w:author="AbbVie2" w:date="2025-05-13T16:46:00Z"/>
          <w:b/>
          <w:sz w:val="22"/>
          <w:szCs w:val="22"/>
        </w:rPr>
      </w:pPr>
    </w:p>
    <w:p w14:paraId="16947F63" w14:textId="6510699D" w:rsidR="004462A0" w:rsidRPr="008912CF" w:rsidRDefault="004462A0" w:rsidP="004462A0">
      <w:pPr>
        <w:tabs>
          <w:tab w:val="left" w:pos="567"/>
        </w:tabs>
        <w:rPr>
          <w:del w:id="11824" w:author="AbbVie2" w:date="2025-05-13T16:46:00Z"/>
          <w:b/>
          <w:sz w:val="22"/>
          <w:szCs w:val="22"/>
        </w:rPr>
      </w:pPr>
    </w:p>
    <w:p w14:paraId="59E7A82B" w14:textId="2F768CBC"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825" w:author="AbbVie2" w:date="2025-05-13T16:46:00Z"/>
          <w:sz w:val="22"/>
          <w:szCs w:val="22"/>
        </w:rPr>
      </w:pPr>
      <w:del w:id="11826" w:author="AbbVie2" w:date="2025-05-13T16:46:00Z">
        <w:r w:rsidRPr="008912CF">
          <w:rPr>
            <w:b/>
            <w:sz w:val="22"/>
            <w:szCs w:val="22"/>
          </w:rPr>
          <w:delText>1.</w:delText>
        </w:r>
        <w:r w:rsidRPr="008912CF">
          <w:rPr>
            <w:b/>
            <w:sz w:val="22"/>
            <w:szCs w:val="22"/>
          </w:rPr>
          <w:tab/>
          <w:delText>NOME DO MEDICAMENTO</w:delText>
        </w:r>
      </w:del>
    </w:p>
    <w:p w14:paraId="272B6419" w14:textId="7201C882" w:rsidR="004462A0" w:rsidRPr="008912CF" w:rsidRDefault="004462A0" w:rsidP="004462A0">
      <w:pPr>
        <w:tabs>
          <w:tab w:val="left" w:pos="720"/>
        </w:tabs>
        <w:rPr>
          <w:del w:id="11827" w:author="AbbVie2" w:date="2025-05-13T16:46:00Z"/>
          <w:sz w:val="22"/>
          <w:szCs w:val="22"/>
        </w:rPr>
      </w:pPr>
    </w:p>
    <w:p w14:paraId="46ABCAD4" w14:textId="524E7ABF" w:rsidR="004462A0" w:rsidRPr="008912CF" w:rsidRDefault="00615769" w:rsidP="004462A0">
      <w:pPr>
        <w:tabs>
          <w:tab w:val="left" w:pos="720"/>
        </w:tabs>
        <w:rPr>
          <w:del w:id="11828" w:author="AbbVie2" w:date="2025-05-13T16:46:00Z"/>
          <w:sz w:val="22"/>
          <w:szCs w:val="22"/>
        </w:rPr>
      </w:pPr>
      <w:del w:id="11829" w:author="AbbVie2" w:date="2025-05-13T16:46:00Z">
        <w:r w:rsidRPr="008912CF">
          <w:rPr>
            <w:sz w:val="22"/>
            <w:szCs w:val="22"/>
          </w:rPr>
          <w:delText>Humira 40 mg solução injetável em seringa pré-cheia</w:delText>
        </w:r>
      </w:del>
    </w:p>
    <w:p w14:paraId="47910640" w14:textId="38DA4A14" w:rsidR="004462A0" w:rsidRPr="008912CF" w:rsidRDefault="00615769" w:rsidP="004462A0">
      <w:pPr>
        <w:pStyle w:val="EndnoteText"/>
        <w:tabs>
          <w:tab w:val="clear" w:pos="567"/>
          <w:tab w:val="left" w:pos="720"/>
        </w:tabs>
        <w:rPr>
          <w:del w:id="11830" w:author="AbbVie2" w:date="2025-05-13T16:46:00Z"/>
          <w:szCs w:val="22"/>
        </w:rPr>
      </w:pPr>
      <w:del w:id="11831" w:author="AbbVie2" w:date="2025-05-13T16:46:00Z">
        <w:r w:rsidRPr="008912CF">
          <w:rPr>
            <w:szCs w:val="22"/>
          </w:rPr>
          <w:delText>adalimumab</w:delText>
        </w:r>
      </w:del>
    </w:p>
    <w:p w14:paraId="21A999EC" w14:textId="2958A168" w:rsidR="004462A0" w:rsidRPr="008912CF" w:rsidRDefault="004462A0" w:rsidP="004462A0">
      <w:pPr>
        <w:tabs>
          <w:tab w:val="left" w:pos="720"/>
        </w:tabs>
        <w:rPr>
          <w:del w:id="11832" w:author="AbbVie2" w:date="2025-05-13T16:46:00Z"/>
          <w:sz w:val="22"/>
          <w:szCs w:val="22"/>
        </w:rPr>
      </w:pPr>
    </w:p>
    <w:p w14:paraId="0282AFF4" w14:textId="4834D8D7" w:rsidR="004462A0" w:rsidRPr="008912CF" w:rsidRDefault="004462A0" w:rsidP="004462A0">
      <w:pPr>
        <w:tabs>
          <w:tab w:val="left" w:pos="720"/>
        </w:tabs>
        <w:rPr>
          <w:del w:id="11833" w:author="AbbVie2" w:date="2025-05-13T16:46:00Z"/>
          <w:sz w:val="22"/>
          <w:szCs w:val="22"/>
        </w:rPr>
      </w:pPr>
    </w:p>
    <w:p w14:paraId="6AA4E679" w14:textId="2C6C5D2D"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834" w:author="AbbVie2" w:date="2025-05-13T16:46:00Z"/>
          <w:b/>
          <w:sz w:val="22"/>
          <w:szCs w:val="22"/>
          <w:highlight w:val="lightGray"/>
        </w:rPr>
      </w:pPr>
      <w:del w:id="11835" w:author="AbbVie2" w:date="2025-05-13T16:46:00Z">
        <w:r w:rsidRPr="008912CF">
          <w:rPr>
            <w:b/>
            <w:sz w:val="22"/>
            <w:szCs w:val="22"/>
          </w:rPr>
          <w:delText>2.</w:delText>
        </w:r>
        <w:r w:rsidRPr="008912CF">
          <w:rPr>
            <w:b/>
            <w:sz w:val="22"/>
            <w:szCs w:val="22"/>
          </w:rPr>
          <w:tab/>
        </w:r>
        <w:r w:rsidRPr="008912CF">
          <w:rPr>
            <w:b/>
            <w:sz w:val="22"/>
            <w:szCs w:val="22"/>
          </w:rPr>
          <w:delText xml:space="preserve">DESCRIÇÃO DA SUBSTÂNCIA ATIVA </w:delText>
        </w:r>
      </w:del>
    </w:p>
    <w:p w14:paraId="532AB10F" w14:textId="543F5C17" w:rsidR="004462A0" w:rsidRPr="008912CF" w:rsidRDefault="004462A0" w:rsidP="004462A0">
      <w:pPr>
        <w:tabs>
          <w:tab w:val="left" w:pos="720"/>
        </w:tabs>
        <w:rPr>
          <w:del w:id="11836" w:author="AbbVie2" w:date="2025-05-13T16:46:00Z"/>
          <w:sz w:val="22"/>
          <w:szCs w:val="22"/>
        </w:rPr>
      </w:pPr>
    </w:p>
    <w:p w14:paraId="27D77C05" w14:textId="79A253BF" w:rsidR="004462A0" w:rsidRPr="008912CF" w:rsidRDefault="00615769" w:rsidP="004462A0">
      <w:pPr>
        <w:tabs>
          <w:tab w:val="left" w:pos="720"/>
        </w:tabs>
        <w:rPr>
          <w:del w:id="11837" w:author="AbbVie2" w:date="2025-05-13T16:46:00Z"/>
          <w:sz w:val="22"/>
          <w:szCs w:val="22"/>
        </w:rPr>
      </w:pPr>
      <w:del w:id="11838" w:author="AbbVie2" w:date="2025-05-13T16:46:00Z">
        <w:r w:rsidRPr="008912CF">
          <w:rPr>
            <w:sz w:val="22"/>
            <w:szCs w:val="22"/>
          </w:rPr>
          <w:delText>Uma seringa pré-cheia de 0,8 ml contém 40 mg de adalimumab</w:delText>
        </w:r>
        <w:r w:rsidR="00800A92">
          <w:rPr>
            <w:sz w:val="22"/>
            <w:szCs w:val="22"/>
          </w:rPr>
          <w:delText>.</w:delText>
        </w:r>
      </w:del>
    </w:p>
    <w:p w14:paraId="10BD910E" w14:textId="6373C1CB" w:rsidR="004462A0" w:rsidRPr="008912CF" w:rsidRDefault="004462A0" w:rsidP="004462A0">
      <w:pPr>
        <w:tabs>
          <w:tab w:val="left" w:pos="720"/>
        </w:tabs>
        <w:rPr>
          <w:del w:id="11839" w:author="AbbVie2" w:date="2025-05-13T16:46:00Z"/>
          <w:sz w:val="22"/>
          <w:szCs w:val="22"/>
        </w:rPr>
      </w:pPr>
    </w:p>
    <w:p w14:paraId="53727344" w14:textId="6ADE68E0" w:rsidR="004462A0" w:rsidRPr="008912CF" w:rsidRDefault="004462A0" w:rsidP="004462A0">
      <w:pPr>
        <w:tabs>
          <w:tab w:val="left" w:pos="720"/>
        </w:tabs>
        <w:rPr>
          <w:del w:id="11840" w:author="AbbVie2" w:date="2025-05-13T16:46:00Z"/>
          <w:sz w:val="22"/>
          <w:szCs w:val="22"/>
        </w:rPr>
      </w:pPr>
    </w:p>
    <w:p w14:paraId="68BCE5D8" w14:textId="183D719E" w:rsidR="004462A0" w:rsidRPr="008912CF" w:rsidRDefault="00615769" w:rsidP="004462A0">
      <w:pPr>
        <w:pBdr>
          <w:top w:val="single" w:sz="4" w:space="1" w:color="auto"/>
          <w:left w:val="single" w:sz="4" w:space="4" w:color="auto"/>
          <w:bottom w:val="single" w:sz="4" w:space="2" w:color="auto"/>
          <w:right w:val="single" w:sz="4" w:space="4" w:color="auto"/>
        </w:pBdr>
        <w:shd w:val="clear" w:color="auto" w:fill="FFFFFF"/>
        <w:tabs>
          <w:tab w:val="left" w:pos="720"/>
        </w:tabs>
        <w:ind w:left="567" w:hanging="567"/>
        <w:rPr>
          <w:del w:id="11841" w:author="AbbVie2" w:date="2025-05-13T16:46:00Z"/>
          <w:sz w:val="22"/>
          <w:szCs w:val="22"/>
          <w:highlight w:val="lightGray"/>
        </w:rPr>
      </w:pPr>
      <w:del w:id="11842" w:author="AbbVie2" w:date="2025-05-13T16:46:00Z">
        <w:r w:rsidRPr="008912CF">
          <w:rPr>
            <w:b/>
            <w:sz w:val="22"/>
            <w:szCs w:val="22"/>
          </w:rPr>
          <w:delText>3.</w:delText>
        </w:r>
        <w:r w:rsidRPr="008912CF">
          <w:rPr>
            <w:b/>
            <w:sz w:val="22"/>
            <w:szCs w:val="22"/>
          </w:rPr>
          <w:tab/>
          <w:delText>LISTA DOS EXCIPIENTES</w:delText>
        </w:r>
      </w:del>
    </w:p>
    <w:p w14:paraId="31CA901F" w14:textId="083C6962" w:rsidR="004462A0" w:rsidRPr="008912CF" w:rsidRDefault="004462A0" w:rsidP="004462A0">
      <w:pPr>
        <w:tabs>
          <w:tab w:val="left" w:pos="720"/>
        </w:tabs>
        <w:rPr>
          <w:del w:id="11843" w:author="AbbVie2" w:date="2025-05-13T16:46:00Z"/>
          <w:sz w:val="22"/>
          <w:szCs w:val="22"/>
        </w:rPr>
      </w:pPr>
    </w:p>
    <w:p w14:paraId="4307CA61" w14:textId="7EEF94CE" w:rsidR="004462A0" w:rsidRPr="008912CF" w:rsidRDefault="00615769" w:rsidP="004462A0">
      <w:pPr>
        <w:tabs>
          <w:tab w:val="left" w:pos="720"/>
        </w:tabs>
        <w:rPr>
          <w:del w:id="11844" w:author="AbbVie2" w:date="2025-05-13T16:46:00Z"/>
          <w:sz w:val="22"/>
          <w:szCs w:val="22"/>
        </w:rPr>
      </w:pPr>
      <w:del w:id="11845" w:author="AbbVie2" w:date="2025-05-13T16:46:00Z">
        <w:r w:rsidRPr="008912CF">
          <w:rPr>
            <w:sz w:val="22"/>
            <w:szCs w:val="22"/>
          </w:rPr>
          <w:delText>Excipientes: manitol, ácido cítrico mono-hidratado, citrato de sódio, fosfato monossódico di-hidratado, fostato dissódico di-hidratado, cloreto de sódio, polissorbato 80, hidróxido de sódio e água para preparações injetáveis. Consultar folheto informativo para informação adicional.</w:delText>
        </w:r>
      </w:del>
    </w:p>
    <w:p w14:paraId="1CEBD244" w14:textId="482CA86F" w:rsidR="004462A0" w:rsidRPr="008912CF" w:rsidRDefault="004462A0" w:rsidP="004462A0">
      <w:pPr>
        <w:tabs>
          <w:tab w:val="left" w:pos="720"/>
        </w:tabs>
        <w:rPr>
          <w:del w:id="11846" w:author="AbbVie2" w:date="2025-05-13T16:46:00Z"/>
          <w:sz w:val="22"/>
          <w:szCs w:val="22"/>
        </w:rPr>
      </w:pPr>
    </w:p>
    <w:p w14:paraId="1DEE4B2E" w14:textId="74467F11" w:rsidR="004462A0" w:rsidRPr="008912CF" w:rsidRDefault="004462A0" w:rsidP="004462A0">
      <w:pPr>
        <w:tabs>
          <w:tab w:val="left" w:pos="720"/>
        </w:tabs>
        <w:rPr>
          <w:del w:id="11847" w:author="AbbVie2" w:date="2025-05-13T16:46:00Z"/>
          <w:sz w:val="22"/>
          <w:szCs w:val="22"/>
        </w:rPr>
      </w:pPr>
    </w:p>
    <w:p w14:paraId="59C6DA55" w14:textId="5367336F"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848" w:author="AbbVie2" w:date="2025-05-13T16:46:00Z"/>
          <w:sz w:val="22"/>
          <w:szCs w:val="22"/>
          <w:highlight w:val="lightGray"/>
        </w:rPr>
      </w:pPr>
      <w:del w:id="11849" w:author="AbbVie2" w:date="2025-05-13T16:46:00Z">
        <w:r w:rsidRPr="008912CF">
          <w:rPr>
            <w:b/>
            <w:sz w:val="22"/>
            <w:szCs w:val="22"/>
          </w:rPr>
          <w:delText>4.</w:delText>
        </w:r>
        <w:r w:rsidRPr="008912CF">
          <w:rPr>
            <w:b/>
            <w:sz w:val="22"/>
            <w:szCs w:val="22"/>
          </w:rPr>
          <w:tab/>
          <w:delText>FORMA FARMACÊUTICA E CONTEÚDO</w:delText>
        </w:r>
      </w:del>
    </w:p>
    <w:p w14:paraId="3CB2D8AE" w14:textId="392D1260" w:rsidR="004462A0" w:rsidRPr="008912CF" w:rsidRDefault="004462A0" w:rsidP="004462A0">
      <w:pPr>
        <w:tabs>
          <w:tab w:val="left" w:pos="720"/>
        </w:tabs>
        <w:rPr>
          <w:del w:id="11850" w:author="AbbVie2" w:date="2025-05-13T16:46:00Z"/>
          <w:sz w:val="22"/>
          <w:szCs w:val="22"/>
        </w:rPr>
      </w:pPr>
    </w:p>
    <w:p w14:paraId="342F50F8" w14:textId="4309853E" w:rsidR="001114A4" w:rsidRPr="002112C5" w:rsidRDefault="00615769" w:rsidP="004462A0">
      <w:pPr>
        <w:tabs>
          <w:tab w:val="left" w:pos="720"/>
        </w:tabs>
        <w:rPr>
          <w:del w:id="11851" w:author="AbbVie2" w:date="2025-05-13T16:46:00Z"/>
          <w:sz w:val="22"/>
          <w:szCs w:val="22"/>
          <w:shd w:val="pct15" w:color="auto" w:fill="FFFFFF"/>
        </w:rPr>
      </w:pPr>
      <w:del w:id="11852" w:author="AbbVie2" w:date="2025-05-13T16:46:00Z">
        <w:r w:rsidRPr="002112C5">
          <w:rPr>
            <w:sz w:val="22"/>
            <w:szCs w:val="22"/>
            <w:shd w:val="pct15" w:color="auto" w:fill="FFFFFF"/>
          </w:rPr>
          <w:delText>Sol</w:delText>
        </w:r>
        <w:r w:rsidR="005A576B" w:rsidRPr="002112C5">
          <w:rPr>
            <w:sz w:val="22"/>
            <w:szCs w:val="22"/>
            <w:shd w:val="pct15" w:color="auto" w:fill="FFFFFF"/>
          </w:rPr>
          <w:delText>u</w:delText>
        </w:r>
        <w:r w:rsidRPr="002112C5">
          <w:rPr>
            <w:sz w:val="22"/>
            <w:szCs w:val="22"/>
            <w:shd w:val="pct15" w:color="auto" w:fill="FFFFFF"/>
          </w:rPr>
          <w:delText>ção</w:delText>
        </w:r>
        <w:r w:rsidR="00005EF8" w:rsidRPr="002112C5">
          <w:rPr>
            <w:sz w:val="22"/>
            <w:szCs w:val="22"/>
            <w:shd w:val="pct15" w:color="auto" w:fill="FFFFFF"/>
          </w:rPr>
          <w:delText xml:space="preserve"> </w:delText>
        </w:r>
        <w:r w:rsidRPr="002112C5">
          <w:rPr>
            <w:sz w:val="22"/>
            <w:szCs w:val="22"/>
            <w:shd w:val="pct15" w:color="auto" w:fill="FFFFFF"/>
          </w:rPr>
          <w:delText>injetáve</w:delText>
        </w:r>
        <w:r w:rsidR="005A576B" w:rsidRPr="002112C5">
          <w:rPr>
            <w:sz w:val="22"/>
            <w:szCs w:val="22"/>
            <w:shd w:val="pct15" w:color="auto" w:fill="FFFFFF"/>
          </w:rPr>
          <w:delText>l</w:delText>
        </w:r>
      </w:del>
    </w:p>
    <w:p w14:paraId="1642180F" w14:textId="1E92F4B2" w:rsidR="004462A0" w:rsidRPr="008912CF" w:rsidRDefault="00615769" w:rsidP="004462A0">
      <w:pPr>
        <w:tabs>
          <w:tab w:val="left" w:pos="720"/>
        </w:tabs>
        <w:rPr>
          <w:del w:id="11853" w:author="AbbVie2" w:date="2025-05-13T16:46:00Z"/>
          <w:sz w:val="22"/>
          <w:szCs w:val="22"/>
        </w:rPr>
      </w:pPr>
      <w:del w:id="11854" w:author="AbbVie2" w:date="2025-05-13T16:46:00Z">
        <w:r w:rsidRPr="008912CF">
          <w:rPr>
            <w:sz w:val="22"/>
            <w:szCs w:val="22"/>
          </w:rPr>
          <w:delText>1 seringa pré-cheia</w:delText>
        </w:r>
      </w:del>
    </w:p>
    <w:p w14:paraId="00A1A263" w14:textId="650EEB98" w:rsidR="004462A0" w:rsidRPr="008912CF" w:rsidRDefault="00615769" w:rsidP="004462A0">
      <w:pPr>
        <w:tabs>
          <w:tab w:val="left" w:pos="720"/>
        </w:tabs>
        <w:rPr>
          <w:del w:id="11855" w:author="AbbVie2" w:date="2025-05-13T16:46:00Z"/>
          <w:i/>
          <w:sz w:val="22"/>
          <w:szCs w:val="22"/>
        </w:rPr>
      </w:pPr>
      <w:del w:id="11856" w:author="AbbVie2" w:date="2025-05-13T16:46:00Z">
        <w:r w:rsidRPr="008912CF">
          <w:rPr>
            <w:sz w:val="22"/>
            <w:szCs w:val="22"/>
          </w:rPr>
          <w:delText>1 compressa embebida em álcool</w:delText>
        </w:r>
      </w:del>
    </w:p>
    <w:p w14:paraId="53DF6683" w14:textId="08710E4C" w:rsidR="004462A0" w:rsidRDefault="004462A0" w:rsidP="004462A0">
      <w:pPr>
        <w:tabs>
          <w:tab w:val="left" w:pos="720"/>
        </w:tabs>
        <w:rPr>
          <w:del w:id="11857" w:author="AbbVie2" w:date="2025-05-13T16:46:00Z"/>
          <w:sz w:val="22"/>
          <w:szCs w:val="22"/>
          <w:highlight w:val="yellow"/>
        </w:rPr>
      </w:pPr>
    </w:p>
    <w:p w14:paraId="3C6C926C" w14:textId="120C42E1" w:rsidR="00005EF8" w:rsidRPr="002112C5" w:rsidRDefault="00615769" w:rsidP="00005EF8">
      <w:pPr>
        <w:tabs>
          <w:tab w:val="left" w:pos="720"/>
        </w:tabs>
        <w:rPr>
          <w:del w:id="11858" w:author="AbbVie2" w:date="2025-05-13T16:46:00Z"/>
          <w:sz w:val="22"/>
          <w:szCs w:val="22"/>
          <w:shd w:val="pct15" w:color="auto" w:fill="FFFFFF"/>
        </w:rPr>
      </w:pPr>
      <w:del w:id="11859" w:author="AbbVie2" w:date="2025-05-13T16:46:00Z">
        <w:r w:rsidRPr="002112C5">
          <w:rPr>
            <w:sz w:val="22"/>
            <w:szCs w:val="22"/>
            <w:shd w:val="pct15" w:color="auto" w:fill="FFFFFF"/>
          </w:rPr>
          <w:delText xml:space="preserve">2 seringas pré-cheias </w:delText>
        </w:r>
      </w:del>
    </w:p>
    <w:p w14:paraId="2C3A0E94" w14:textId="276BE701" w:rsidR="00005EF8" w:rsidRPr="002112C5" w:rsidRDefault="00615769" w:rsidP="00005EF8">
      <w:pPr>
        <w:tabs>
          <w:tab w:val="left" w:pos="720"/>
        </w:tabs>
        <w:rPr>
          <w:del w:id="11860" w:author="AbbVie2" w:date="2025-05-13T16:46:00Z"/>
          <w:sz w:val="22"/>
          <w:szCs w:val="22"/>
          <w:shd w:val="pct15" w:color="auto" w:fill="FFFFFF"/>
        </w:rPr>
      </w:pPr>
      <w:del w:id="11861" w:author="AbbVie2" w:date="2025-05-13T16:46:00Z">
        <w:r w:rsidRPr="002112C5">
          <w:rPr>
            <w:sz w:val="22"/>
            <w:szCs w:val="22"/>
            <w:shd w:val="pct15" w:color="auto" w:fill="FFFFFF"/>
          </w:rPr>
          <w:delText>2 compressas embebida</w:delText>
        </w:r>
        <w:r w:rsidR="005A576B" w:rsidRPr="002112C5">
          <w:rPr>
            <w:sz w:val="22"/>
            <w:szCs w:val="22"/>
            <w:shd w:val="pct15" w:color="auto" w:fill="FFFFFF"/>
          </w:rPr>
          <w:delText>s</w:delText>
        </w:r>
        <w:r w:rsidRPr="002112C5">
          <w:rPr>
            <w:sz w:val="22"/>
            <w:szCs w:val="22"/>
            <w:shd w:val="pct15" w:color="auto" w:fill="FFFFFF"/>
          </w:rPr>
          <w:delText xml:space="preserve"> em álcool </w:delText>
        </w:r>
      </w:del>
    </w:p>
    <w:p w14:paraId="4A4E1955" w14:textId="7189D22C" w:rsidR="00005EF8" w:rsidRDefault="00005EF8" w:rsidP="00005EF8">
      <w:pPr>
        <w:tabs>
          <w:tab w:val="left" w:pos="720"/>
        </w:tabs>
        <w:rPr>
          <w:del w:id="11862" w:author="AbbVie2" w:date="2025-05-13T16:46:00Z"/>
          <w:sz w:val="22"/>
          <w:szCs w:val="22"/>
        </w:rPr>
      </w:pPr>
    </w:p>
    <w:p w14:paraId="312EBC5A" w14:textId="6DB17538" w:rsidR="00005EF8" w:rsidRPr="002112C5" w:rsidRDefault="00615769" w:rsidP="00005EF8">
      <w:pPr>
        <w:tabs>
          <w:tab w:val="left" w:pos="720"/>
        </w:tabs>
        <w:rPr>
          <w:del w:id="11863" w:author="AbbVie2" w:date="2025-05-13T16:46:00Z"/>
          <w:sz w:val="22"/>
          <w:szCs w:val="22"/>
          <w:shd w:val="pct15" w:color="auto" w:fill="FFFFFF"/>
        </w:rPr>
      </w:pPr>
      <w:del w:id="11864" w:author="AbbVie2" w:date="2025-05-13T16:46:00Z">
        <w:r w:rsidRPr="002112C5">
          <w:rPr>
            <w:sz w:val="22"/>
            <w:szCs w:val="22"/>
            <w:shd w:val="pct15" w:color="auto" w:fill="FFFFFF"/>
          </w:rPr>
          <w:delText xml:space="preserve">4 seringas pré-cheias </w:delText>
        </w:r>
      </w:del>
    </w:p>
    <w:p w14:paraId="68FCA6CE" w14:textId="3AE36084" w:rsidR="00005EF8" w:rsidRPr="002112C5" w:rsidRDefault="00615769" w:rsidP="00005EF8">
      <w:pPr>
        <w:tabs>
          <w:tab w:val="left" w:pos="720"/>
        </w:tabs>
        <w:rPr>
          <w:del w:id="11865" w:author="AbbVie2" w:date="2025-05-13T16:46:00Z"/>
          <w:sz w:val="22"/>
          <w:szCs w:val="22"/>
          <w:shd w:val="pct15" w:color="auto" w:fill="FFFFFF"/>
        </w:rPr>
      </w:pPr>
      <w:del w:id="11866" w:author="AbbVie2" w:date="2025-05-13T16:46:00Z">
        <w:r w:rsidRPr="002112C5">
          <w:rPr>
            <w:sz w:val="22"/>
            <w:szCs w:val="22"/>
            <w:shd w:val="pct15" w:color="auto" w:fill="FFFFFF"/>
          </w:rPr>
          <w:delText>4 compressas embebida</w:delText>
        </w:r>
        <w:r w:rsidR="005A576B" w:rsidRPr="002112C5">
          <w:rPr>
            <w:sz w:val="22"/>
            <w:szCs w:val="22"/>
            <w:shd w:val="pct15" w:color="auto" w:fill="FFFFFF"/>
          </w:rPr>
          <w:delText>s</w:delText>
        </w:r>
        <w:r w:rsidRPr="002112C5">
          <w:rPr>
            <w:sz w:val="22"/>
            <w:szCs w:val="22"/>
            <w:shd w:val="pct15" w:color="auto" w:fill="FFFFFF"/>
          </w:rPr>
          <w:delText xml:space="preserve"> em álcool</w:delText>
        </w:r>
      </w:del>
    </w:p>
    <w:p w14:paraId="3F980C12" w14:textId="3FFA88C3" w:rsidR="00005EF8" w:rsidRDefault="00005EF8" w:rsidP="00005EF8">
      <w:pPr>
        <w:tabs>
          <w:tab w:val="left" w:pos="720"/>
        </w:tabs>
        <w:rPr>
          <w:del w:id="11867" w:author="AbbVie2" w:date="2025-05-13T16:46:00Z"/>
          <w:sz w:val="22"/>
          <w:szCs w:val="22"/>
        </w:rPr>
      </w:pPr>
    </w:p>
    <w:p w14:paraId="4713E335" w14:textId="6060CC17" w:rsidR="00005EF8" w:rsidRPr="002112C5" w:rsidRDefault="00615769" w:rsidP="00005EF8">
      <w:pPr>
        <w:tabs>
          <w:tab w:val="left" w:pos="720"/>
        </w:tabs>
        <w:rPr>
          <w:del w:id="11868" w:author="AbbVie2" w:date="2025-05-13T16:46:00Z"/>
          <w:sz w:val="22"/>
          <w:szCs w:val="22"/>
          <w:shd w:val="pct15" w:color="auto" w:fill="FFFFFF"/>
        </w:rPr>
      </w:pPr>
      <w:del w:id="11869" w:author="AbbVie2" w:date="2025-05-13T16:46:00Z">
        <w:r w:rsidRPr="002112C5">
          <w:rPr>
            <w:sz w:val="22"/>
            <w:szCs w:val="22"/>
            <w:shd w:val="pct15" w:color="auto" w:fill="FFFFFF"/>
          </w:rPr>
          <w:delText xml:space="preserve">6 seringas pré-cheias </w:delText>
        </w:r>
      </w:del>
    </w:p>
    <w:p w14:paraId="61004BD5" w14:textId="5DBF736F" w:rsidR="00005EF8" w:rsidRPr="002112C5" w:rsidRDefault="00615769" w:rsidP="00005EF8">
      <w:pPr>
        <w:tabs>
          <w:tab w:val="left" w:pos="720"/>
        </w:tabs>
        <w:rPr>
          <w:del w:id="11870" w:author="AbbVie2" w:date="2025-05-13T16:46:00Z"/>
          <w:sz w:val="22"/>
          <w:szCs w:val="22"/>
          <w:shd w:val="pct15" w:color="auto" w:fill="FFFFFF"/>
        </w:rPr>
      </w:pPr>
      <w:del w:id="11871" w:author="AbbVie2" w:date="2025-05-13T16:46:00Z">
        <w:r w:rsidRPr="002112C5">
          <w:rPr>
            <w:sz w:val="22"/>
            <w:szCs w:val="22"/>
            <w:shd w:val="pct15" w:color="auto" w:fill="FFFFFF"/>
          </w:rPr>
          <w:delText>6 compressas embebida</w:delText>
        </w:r>
        <w:r w:rsidR="005A576B" w:rsidRPr="002112C5">
          <w:rPr>
            <w:sz w:val="22"/>
            <w:szCs w:val="22"/>
            <w:shd w:val="pct15" w:color="auto" w:fill="FFFFFF"/>
          </w:rPr>
          <w:delText>s</w:delText>
        </w:r>
        <w:r w:rsidRPr="002112C5">
          <w:rPr>
            <w:sz w:val="22"/>
            <w:szCs w:val="22"/>
            <w:shd w:val="pct15" w:color="auto" w:fill="FFFFFF"/>
          </w:rPr>
          <w:delText xml:space="preserve"> em álcool</w:delText>
        </w:r>
      </w:del>
    </w:p>
    <w:p w14:paraId="636A1394" w14:textId="14BC49E9" w:rsidR="00005EF8" w:rsidRDefault="00005EF8" w:rsidP="00005EF8">
      <w:pPr>
        <w:tabs>
          <w:tab w:val="left" w:pos="720"/>
        </w:tabs>
        <w:rPr>
          <w:del w:id="11872" w:author="AbbVie2" w:date="2025-05-13T16:46:00Z"/>
          <w:sz w:val="22"/>
          <w:szCs w:val="22"/>
        </w:rPr>
      </w:pPr>
    </w:p>
    <w:p w14:paraId="777DEF80" w14:textId="166C284B" w:rsidR="004462A0" w:rsidRPr="008912CF" w:rsidRDefault="004462A0" w:rsidP="004462A0">
      <w:pPr>
        <w:tabs>
          <w:tab w:val="left" w:pos="720"/>
        </w:tabs>
        <w:rPr>
          <w:del w:id="11873" w:author="AbbVie2" w:date="2025-05-13T16:46:00Z"/>
          <w:color w:val="000000"/>
          <w:sz w:val="22"/>
          <w:szCs w:val="22"/>
          <w:u w:val="single"/>
        </w:rPr>
      </w:pPr>
    </w:p>
    <w:p w14:paraId="355A006E" w14:textId="4EC58DAB"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874" w:author="AbbVie2" w:date="2025-05-13T16:46:00Z"/>
          <w:sz w:val="22"/>
          <w:szCs w:val="22"/>
          <w:highlight w:val="lightGray"/>
        </w:rPr>
      </w:pPr>
      <w:del w:id="11875" w:author="AbbVie2" w:date="2025-05-13T16:46:00Z">
        <w:r w:rsidRPr="008912CF">
          <w:rPr>
            <w:b/>
            <w:sz w:val="22"/>
            <w:szCs w:val="22"/>
          </w:rPr>
          <w:delText>5.</w:delText>
        </w:r>
        <w:r w:rsidRPr="008912CF">
          <w:rPr>
            <w:b/>
            <w:sz w:val="22"/>
            <w:szCs w:val="22"/>
          </w:rPr>
          <w:tab/>
          <w:delText>MODO E VIA DE ADMINISTRAÇÃO</w:delText>
        </w:r>
      </w:del>
    </w:p>
    <w:p w14:paraId="58CF4A69" w14:textId="0BD8C133" w:rsidR="004462A0" w:rsidRPr="008912CF" w:rsidRDefault="004462A0" w:rsidP="004462A0">
      <w:pPr>
        <w:tabs>
          <w:tab w:val="left" w:pos="720"/>
        </w:tabs>
        <w:rPr>
          <w:del w:id="11876" w:author="AbbVie2" w:date="2025-05-13T16:46:00Z"/>
          <w:sz w:val="22"/>
          <w:szCs w:val="22"/>
        </w:rPr>
      </w:pPr>
    </w:p>
    <w:p w14:paraId="23667ECE" w14:textId="4AE5453F" w:rsidR="004462A0" w:rsidRPr="008912CF" w:rsidRDefault="00615769" w:rsidP="004462A0">
      <w:pPr>
        <w:tabs>
          <w:tab w:val="left" w:pos="720"/>
        </w:tabs>
        <w:rPr>
          <w:del w:id="11877" w:author="AbbVie2" w:date="2025-05-13T16:46:00Z"/>
          <w:sz w:val="22"/>
          <w:szCs w:val="22"/>
        </w:rPr>
      </w:pPr>
      <w:del w:id="11878" w:author="AbbVie2" w:date="2025-05-13T16:46:00Z">
        <w:r w:rsidRPr="008912CF">
          <w:rPr>
            <w:sz w:val="22"/>
            <w:szCs w:val="22"/>
          </w:rPr>
          <w:delText>Via subcutânea</w:delText>
        </w:r>
      </w:del>
    </w:p>
    <w:p w14:paraId="2E1B6474" w14:textId="589E70EE" w:rsidR="004462A0" w:rsidRPr="008912CF" w:rsidRDefault="004462A0" w:rsidP="004462A0">
      <w:pPr>
        <w:tabs>
          <w:tab w:val="left" w:pos="720"/>
        </w:tabs>
        <w:rPr>
          <w:del w:id="11879" w:author="AbbVie2" w:date="2025-05-13T16:46:00Z"/>
          <w:sz w:val="22"/>
          <w:szCs w:val="22"/>
        </w:rPr>
      </w:pPr>
    </w:p>
    <w:p w14:paraId="6BE971C8" w14:textId="4D7FF2F8" w:rsidR="004462A0" w:rsidRDefault="00615769" w:rsidP="004462A0">
      <w:pPr>
        <w:tabs>
          <w:tab w:val="left" w:pos="720"/>
        </w:tabs>
        <w:rPr>
          <w:del w:id="11880" w:author="AbbVie2" w:date="2025-05-13T16:46:00Z"/>
          <w:sz w:val="22"/>
          <w:szCs w:val="22"/>
        </w:rPr>
      </w:pPr>
      <w:del w:id="11881" w:author="AbbVie2" w:date="2025-05-13T16:46:00Z">
        <w:r w:rsidRPr="008912CF">
          <w:rPr>
            <w:sz w:val="22"/>
            <w:szCs w:val="22"/>
          </w:rPr>
          <w:delText>Consultar o folheto informativo antes de utilizar.</w:delText>
        </w:r>
      </w:del>
    </w:p>
    <w:p w14:paraId="75BEF5F9" w14:textId="4098FF9E" w:rsidR="001114A4" w:rsidRDefault="001114A4" w:rsidP="004462A0">
      <w:pPr>
        <w:tabs>
          <w:tab w:val="left" w:pos="720"/>
        </w:tabs>
        <w:rPr>
          <w:del w:id="11882" w:author="AbbVie2" w:date="2025-05-13T16:46:00Z"/>
          <w:sz w:val="22"/>
          <w:szCs w:val="22"/>
        </w:rPr>
      </w:pPr>
    </w:p>
    <w:p w14:paraId="39EF3616" w14:textId="6D63891E" w:rsidR="001114A4" w:rsidRPr="008912CF" w:rsidRDefault="00615769" w:rsidP="004462A0">
      <w:pPr>
        <w:tabs>
          <w:tab w:val="left" w:pos="720"/>
        </w:tabs>
        <w:rPr>
          <w:del w:id="11883" w:author="AbbVie2" w:date="2025-05-13T16:46:00Z"/>
          <w:sz w:val="22"/>
          <w:szCs w:val="22"/>
        </w:rPr>
      </w:pPr>
      <w:del w:id="11884" w:author="AbbVie2" w:date="2025-05-13T16:46:00Z">
        <w:r w:rsidRPr="008912CF">
          <w:rPr>
            <w:sz w:val="22"/>
            <w:szCs w:val="22"/>
          </w:rPr>
          <w:delText>Apenas para uma única utilização</w:delText>
        </w:r>
        <w:r>
          <w:rPr>
            <w:sz w:val="22"/>
            <w:szCs w:val="22"/>
          </w:rPr>
          <w:delText>.</w:delText>
        </w:r>
      </w:del>
    </w:p>
    <w:p w14:paraId="28FAC1BC" w14:textId="1E9042E7" w:rsidR="004462A0" w:rsidRPr="008912CF" w:rsidRDefault="004462A0" w:rsidP="004462A0">
      <w:pPr>
        <w:tabs>
          <w:tab w:val="left" w:pos="720"/>
        </w:tabs>
        <w:rPr>
          <w:del w:id="11885" w:author="AbbVie2" w:date="2025-05-13T16:46:00Z"/>
          <w:sz w:val="22"/>
          <w:szCs w:val="22"/>
        </w:rPr>
      </w:pPr>
    </w:p>
    <w:p w14:paraId="36E717AC" w14:textId="1F636D43" w:rsidR="004462A0" w:rsidRPr="008912CF" w:rsidRDefault="004462A0" w:rsidP="004462A0">
      <w:pPr>
        <w:tabs>
          <w:tab w:val="left" w:pos="720"/>
        </w:tabs>
        <w:rPr>
          <w:del w:id="11886" w:author="AbbVie2" w:date="2025-05-13T16:46:00Z"/>
          <w:sz w:val="22"/>
          <w:szCs w:val="22"/>
        </w:rPr>
      </w:pPr>
    </w:p>
    <w:p w14:paraId="5A83FB2C" w14:textId="39013839"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887" w:author="AbbVie2" w:date="2025-05-13T16:46:00Z"/>
          <w:sz w:val="22"/>
          <w:szCs w:val="22"/>
        </w:rPr>
      </w:pPr>
      <w:del w:id="11888" w:author="AbbVie2" w:date="2025-05-13T16:46:00Z">
        <w:r w:rsidRPr="008912CF">
          <w:rPr>
            <w:b/>
            <w:sz w:val="22"/>
            <w:szCs w:val="22"/>
          </w:rPr>
          <w:delText>6.</w:delText>
        </w:r>
        <w:r w:rsidRPr="008912CF">
          <w:rPr>
            <w:b/>
            <w:sz w:val="22"/>
            <w:szCs w:val="22"/>
          </w:rPr>
          <w:tab/>
        </w:r>
        <w:r w:rsidRPr="008912CF">
          <w:rPr>
            <w:b/>
            <w:bCs/>
            <w:sz w:val="22"/>
            <w:szCs w:val="22"/>
          </w:rPr>
          <w:delText>ADVERTÊNCIA ESPECIAL DE QUE O MEDICAMENTO DEVE SER MANTIDO FORA DA VISTA E DO ALCANCE DAS CRIANÇAS</w:delText>
        </w:r>
      </w:del>
    </w:p>
    <w:p w14:paraId="1447B116" w14:textId="7ED6C1F0" w:rsidR="004462A0" w:rsidRPr="008912CF" w:rsidRDefault="004462A0" w:rsidP="004462A0">
      <w:pPr>
        <w:pStyle w:val="BodyTextIndent2"/>
        <w:ind w:left="0" w:firstLine="0"/>
        <w:rPr>
          <w:del w:id="11889" w:author="AbbVie2" w:date="2025-05-13T16:46:00Z"/>
          <w:szCs w:val="22"/>
        </w:rPr>
      </w:pPr>
    </w:p>
    <w:p w14:paraId="1D615443" w14:textId="61E3BB12" w:rsidR="004462A0" w:rsidRPr="008912CF" w:rsidRDefault="00615769" w:rsidP="004462A0">
      <w:pPr>
        <w:tabs>
          <w:tab w:val="left" w:pos="720"/>
        </w:tabs>
        <w:rPr>
          <w:del w:id="11890" w:author="AbbVie2" w:date="2025-05-13T16:46:00Z"/>
          <w:sz w:val="22"/>
          <w:szCs w:val="22"/>
        </w:rPr>
      </w:pPr>
      <w:del w:id="11891" w:author="AbbVie2" w:date="2025-05-13T16:46:00Z">
        <w:r w:rsidRPr="008912CF">
          <w:rPr>
            <w:sz w:val="22"/>
            <w:szCs w:val="22"/>
          </w:rPr>
          <w:delText>Manter fora da vista e do alcance das crianças.</w:delText>
        </w:r>
      </w:del>
    </w:p>
    <w:p w14:paraId="39EA5BD1" w14:textId="788C98AC" w:rsidR="004462A0" w:rsidRPr="008912CF" w:rsidRDefault="004462A0" w:rsidP="004462A0">
      <w:pPr>
        <w:tabs>
          <w:tab w:val="left" w:pos="720"/>
        </w:tabs>
        <w:rPr>
          <w:del w:id="11892" w:author="AbbVie2" w:date="2025-05-13T16:46:00Z"/>
          <w:sz w:val="22"/>
          <w:szCs w:val="22"/>
        </w:rPr>
      </w:pPr>
    </w:p>
    <w:p w14:paraId="6ED133B8" w14:textId="44C9F758" w:rsidR="004462A0" w:rsidRPr="008912CF" w:rsidRDefault="004462A0" w:rsidP="004462A0">
      <w:pPr>
        <w:tabs>
          <w:tab w:val="left" w:pos="720"/>
        </w:tabs>
        <w:rPr>
          <w:del w:id="11893" w:author="AbbVie2" w:date="2025-05-13T16:46:00Z"/>
          <w:sz w:val="22"/>
          <w:szCs w:val="22"/>
        </w:rPr>
      </w:pPr>
    </w:p>
    <w:p w14:paraId="6ABA0F08" w14:textId="53386B0E"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894" w:author="AbbVie2" w:date="2025-05-13T16:46:00Z"/>
          <w:sz w:val="22"/>
          <w:szCs w:val="22"/>
          <w:highlight w:val="lightGray"/>
        </w:rPr>
      </w:pPr>
      <w:del w:id="11895" w:author="AbbVie2" w:date="2025-05-13T16:46:00Z">
        <w:r w:rsidRPr="008912CF">
          <w:rPr>
            <w:b/>
            <w:sz w:val="22"/>
            <w:szCs w:val="22"/>
          </w:rPr>
          <w:delText>7.</w:delText>
        </w:r>
        <w:r w:rsidRPr="008912CF">
          <w:rPr>
            <w:b/>
            <w:sz w:val="22"/>
            <w:szCs w:val="22"/>
          </w:rPr>
          <w:tab/>
          <w:delText>OUTRAS ADVERTÊNCIAS ESPECIAIS, SE NECESSÁRIO</w:delText>
        </w:r>
      </w:del>
    </w:p>
    <w:p w14:paraId="7EDF830A" w14:textId="366FEA6D" w:rsidR="004462A0" w:rsidRPr="008912CF" w:rsidRDefault="004462A0" w:rsidP="004462A0">
      <w:pPr>
        <w:tabs>
          <w:tab w:val="left" w:pos="720"/>
        </w:tabs>
        <w:rPr>
          <w:del w:id="11896" w:author="AbbVie2" w:date="2025-05-13T16:46:00Z"/>
          <w:sz w:val="22"/>
          <w:szCs w:val="22"/>
        </w:rPr>
      </w:pPr>
    </w:p>
    <w:p w14:paraId="5FB30E5E" w14:textId="7E81387A" w:rsidR="004462A0" w:rsidRPr="008912CF" w:rsidRDefault="004462A0" w:rsidP="004462A0">
      <w:pPr>
        <w:tabs>
          <w:tab w:val="left" w:pos="720"/>
        </w:tabs>
        <w:rPr>
          <w:del w:id="11897" w:author="AbbVie2" w:date="2025-05-13T16:46:00Z"/>
          <w:sz w:val="22"/>
          <w:szCs w:val="22"/>
        </w:rPr>
      </w:pPr>
    </w:p>
    <w:p w14:paraId="733B102D" w14:textId="1B2EEF89"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898" w:author="AbbVie2" w:date="2025-05-13T16:46:00Z"/>
          <w:sz w:val="22"/>
          <w:szCs w:val="22"/>
          <w:highlight w:val="lightGray"/>
        </w:rPr>
      </w:pPr>
      <w:del w:id="11899" w:author="AbbVie2" w:date="2025-05-13T16:46:00Z">
        <w:r w:rsidRPr="008912CF">
          <w:rPr>
            <w:b/>
            <w:sz w:val="22"/>
            <w:szCs w:val="22"/>
          </w:rPr>
          <w:delText>8.</w:delText>
        </w:r>
        <w:r w:rsidRPr="008912CF">
          <w:rPr>
            <w:b/>
            <w:sz w:val="22"/>
            <w:szCs w:val="22"/>
          </w:rPr>
          <w:tab/>
          <w:delText>PRAZO DE VALIDADE</w:delText>
        </w:r>
      </w:del>
    </w:p>
    <w:p w14:paraId="3BE87AFF" w14:textId="72A825D8" w:rsidR="004462A0" w:rsidRPr="008912CF" w:rsidRDefault="004462A0" w:rsidP="004462A0">
      <w:pPr>
        <w:tabs>
          <w:tab w:val="left" w:pos="720"/>
        </w:tabs>
        <w:rPr>
          <w:del w:id="11900" w:author="AbbVie2" w:date="2025-05-13T16:46:00Z"/>
          <w:sz w:val="22"/>
          <w:szCs w:val="22"/>
        </w:rPr>
      </w:pPr>
    </w:p>
    <w:p w14:paraId="60C34ACC" w14:textId="7AF18AF8" w:rsidR="004462A0" w:rsidRPr="008912CF" w:rsidRDefault="00615769" w:rsidP="004462A0">
      <w:pPr>
        <w:pStyle w:val="EndnoteText"/>
        <w:tabs>
          <w:tab w:val="clear" w:pos="567"/>
          <w:tab w:val="left" w:pos="720"/>
        </w:tabs>
        <w:rPr>
          <w:del w:id="11901" w:author="AbbVie2" w:date="2025-05-13T16:46:00Z"/>
          <w:szCs w:val="22"/>
        </w:rPr>
      </w:pPr>
      <w:del w:id="11902" w:author="AbbVie2" w:date="2025-05-13T16:46:00Z">
        <w:r w:rsidRPr="005A576B">
          <w:rPr>
            <w:szCs w:val="22"/>
          </w:rPr>
          <w:delText>EXP</w:delText>
        </w:r>
      </w:del>
    </w:p>
    <w:p w14:paraId="3F195CDC" w14:textId="1F6D4A93" w:rsidR="004462A0" w:rsidRPr="008912CF" w:rsidRDefault="004462A0" w:rsidP="004462A0">
      <w:pPr>
        <w:tabs>
          <w:tab w:val="left" w:pos="720"/>
        </w:tabs>
        <w:rPr>
          <w:del w:id="11903" w:author="AbbVie2" w:date="2025-05-13T16:46:00Z"/>
          <w:sz w:val="22"/>
          <w:szCs w:val="22"/>
        </w:rPr>
      </w:pPr>
    </w:p>
    <w:p w14:paraId="4B0C3B37" w14:textId="3ED2B442" w:rsidR="004462A0" w:rsidRPr="008912CF" w:rsidRDefault="004462A0" w:rsidP="004462A0">
      <w:pPr>
        <w:tabs>
          <w:tab w:val="left" w:pos="720"/>
        </w:tabs>
        <w:rPr>
          <w:del w:id="11904" w:author="AbbVie2" w:date="2025-05-13T16:46:00Z"/>
          <w:sz w:val="22"/>
          <w:szCs w:val="22"/>
        </w:rPr>
      </w:pPr>
    </w:p>
    <w:p w14:paraId="2F4877E9" w14:textId="7DB3E46B" w:rsidR="004462A0" w:rsidRPr="008912CF" w:rsidRDefault="00615769" w:rsidP="004462A0">
      <w:pPr>
        <w:keepNext/>
        <w:pBdr>
          <w:top w:val="single" w:sz="4" w:space="0" w:color="auto"/>
          <w:left w:val="single" w:sz="4" w:space="4" w:color="auto"/>
          <w:bottom w:val="single" w:sz="4" w:space="1" w:color="auto"/>
          <w:right w:val="single" w:sz="4" w:space="4" w:color="auto"/>
        </w:pBdr>
        <w:shd w:val="clear" w:color="auto" w:fill="FFFFFF"/>
        <w:tabs>
          <w:tab w:val="left" w:pos="720"/>
        </w:tabs>
        <w:ind w:left="567" w:hanging="567"/>
        <w:rPr>
          <w:del w:id="11905" w:author="AbbVie2" w:date="2025-05-13T16:46:00Z"/>
          <w:sz w:val="22"/>
          <w:szCs w:val="22"/>
          <w:highlight w:val="lightGray"/>
        </w:rPr>
      </w:pPr>
      <w:del w:id="11906" w:author="AbbVie2" w:date="2025-05-13T16:46:00Z">
        <w:r w:rsidRPr="008912CF">
          <w:rPr>
            <w:b/>
            <w:sz w:val="22"/>
            <w:szCs w:val="22"/>
          </w:rPr>
          <w:delText>9.</w:delText>
        </w:r>
        <w:r w:rsidRPr="008912CF">
          <w:rPr>
            <w:b/>
            <w:sz w:val="22"/>
            <w:szCs w:val="22"/>
          </w:rPr>
          <w:tab/>
        </w:r>
        <w:r w:rsidRPr="008912CF">
          <w:rPr>
            <w:b/>
            <w:sz w:val="22"/>
            <w:szCs w:val="22"/>
          </w:rPr>
          <w:delText>CONDIÇÕES ESPECIAIS DE CONSERVAÇÃO</w:delText>
        </w:r>
      </w:del>
    </w:p>
    <w:p w14:paraId="0A2CF1B3" w14:textId="794ED341" w:rsidR="004462A0" w:rsidRPr="008912CF" w:rsidRDefault="004462A0" w:rsidP="004462A0">
      <w:pPr>
        <w:keepNext/>
        <w:tabs>
          <w:tab w:val="left" w:pos="720"/>
        </w:tabs>
        <w:rPr>
          <w:del w:id="11907" w:author="AbbVie2" w:date="2025-05-13T16:46:00Z"/>
          <w:sz w:val="22"/>
          <w:szCs w:val="22"/>
        </w:rPr>
      </w:pPr>
    </w:p>
    <w:p w14:paraId="79412183" w14:textId="301BF831" w:rsidR="004462A0" w:rsidRPr="008912CF" w:rsidRDefault="00615769" w:rsidP="004462A0">
      <w:pPr>
        <w:keepNext/>
        <w:tabs>
          <w:tab w:val="left" w:pos="720"/>
        </w:tabs>
        <w:rPr>
          <w:del w:id="11908" w:author="AbbVie2" w:date="2025-05-13T16:46:00Z"/>
          <w:sz w:val="22"/>
          <w:szCs w:val="22"/>
        </w:rPr>
      </w:pPr>
      <w:del w:id="11909" w:author="AbbVie2" w:date="2025-05-13T16:46:00Z">
        <w:r w:rsidRPr="008912CF">
          <w:rPr>
            <w:sz w:val="22"/>
            <w:szCs w:val="22"/>
          </w:rPr>
          <w:delText>Conservar no frigorífico. Não congelar.</w:delText>
        </w:r>
      </w:del>
    </w:p>
    <w:p w14:paraId="52AF955A" w14:textId="165DEC4C" w:rsidR="004462A0" w:rsidRPr="008912CF" w:rsidRDefault="00615769" w:rsidP="004462A0">
      <w:pPr>
        <w:keepNext/>
        <w:rPr>
          <w:del w:id="11910" w:author="AbbVie2" w:date="2025-05-13T16:46:00Z"/>
          <w:sz w:val="22"/>
          <w:szCs w:val="22"/>
        </w:rPr>
      </w:pPr>
      <w:del w:id="11911" w:author="AbbVie2" w:date="2025-05-13T16:46:00Z">
        <w:r w:rsidRPr="008912CF">
          <w:rPr>
            <w:rStyle w:val="hps"/>
            <w:sz w:val="22"/>
            <w:szCs w:val="22"/>
          </w:rPr>
          <w:delText>Consulte o</w:delText>
        </w:r>
        <w:r w:rsidRPr="008912CF">
          <w:rPr>
            <w:sz w:val="22"/>
            <w:szCs w:val="22"/>
          </w:rPr>
          <w:delText xml:space="preserve"> </w:delText>
        </w:r>
        <w:r w:rsidRPr="008912CF">
          <w:rPr>
            <w:rStyle w:val="hps"/>
            <w:sz w:val="22"/>
            <w:szCs w:val="22"/>
          </w:rPr>
          <w:delText>folheto informativo</w:delText>
        </w:r>
        <w:r w:rsidRPr="008912CF">
          <w:rPr>
            <w:sz w:val="22"/>
            <w:szCs w:val="22"/>
          </w:rPr>
          <w:delText xml:space="preserve"> </w:delText>
        </w:r>
        <w:r w:rsidRPr="008912CF">
          <w:rPr>
            <w:rStyle w:val="hps"/>
            <w:sz w:val="22"/>
            <w:szCs w:val="22"/>
          </w:rPr>
          <w:delText>para detalhes</w:delText>
        </w:r>
        <w:r w:rsidRPr="008912CF">
          <w:rPr>
            <w:sz w:val="22"/>
            <w:szCs w:val="22"/>
          </w:rPr>
          <w:delText xml:space="preserve"> de </w:delText>
        </w:r>
        <w:r w:rsidRPr="008912CF">
          <w:rPr>
            <w:rStyle w:val="hps"/>
            <w:sz w:val="22"/>
            <w:szCs w:val="22"/>
          </w:rPr>
          <w:delText>conservação</w:delText>
        </w:r>
        <w:r w:rsidRPr="008912CF">
          <w:rPr>
            <w:sz w:val="22"/>
            <w:szCs w:val="22"/>
          </w:rPr>
          <w:delText xml:space="preserve"> </w:delText>
        </w:r>
        <w:r w:rsidRPr="008912CF">
          <w:rPr>
            <w:rStyle w:val="hps"/>
            <w:sz w:val="22"/>
            <w:szCs w:val="22"/>
          </w:rPr>
          <w:delText>alternativa.</w:delText>
        </w:r>
      </w:del>
    </w:p>
    <w:p w14:paraId="350173CA" w14:textId="2C3EE4D8" w:rsidR="004462A0" w:rsidRPr="008912CF" w:rsidRDefault="004462A0" w:rsidP="004462A0">
      <w:pPr>
        <w:keepNext/>
        <w:tabs>
          <w:tab w:val="left" w:pos="720"/>
        </w:tabs>
        <w:rPr>
          <w:del w:id="11912" w:author="AbbVie2" w:date="2025-05-13T16:46:00Z"/>
          <w:sz w:val="22"/>
          <w:szCs w:val="22"/>
        </w:rPr>
      </w:pPr>
    </w:p>
    <w:p w14:paraId="13C3DAE9" w14:textId="5918CB16" w:rsidR="004462A0" w:rsidRPr="008912CF" w:rsidRDefault="00615769" w:rsidP="004462A0">
      <w:pPr>
        <w:keepNext/>
        <w:tabs>
          <w:tab w:val="left" w:pos="720"/>
        </w:tabs>
        <w:rPr>
          <w:del w:id="11913" w:author="AbbVie2" w:date="2025-05-13T16:46:00Z"/>
          <w:sz w:val="22"/>
          <w:szCs w:val="22"/>
        </w:rPr>
      </w:pPr>
      <w:del w:id="11914" w:author="AbbVie2" w:date="2025-05-13T16:46:00Z">
        <w:r w:rsidRPr="008912CF">
          <w:rPr>
            <w:sz w:val="22"/>
            <w:szCs w:val="22"/>
          </w:rPr>
          <w:delText>Manter a seringa dentro da embalagem exterior para proteger da luz.</w:delText>
        </w:r>
      </w:del>
    </w:p>
    <w:p w14:paraId="5BB1DDE8" w14:textId="2733E030" w:rsidR="004462A0" w:rsidRPr="008912CF" w:rsidRDefault="004462A0" w:rsidP="004462A0">
      <w:pPr>
        <w:keepNext/>
        <w:tabs>
          <w:tab w:val="left" w:pos="720"/>
        </w:tabs>
        <w:rPr>
          <w:del w:id="11915" w:author="AbbVie2" w:date="2025-05-13T16:46:00Z"/>
          <w:sz w:val="22"/>
          <w:szCs w:val="22"/>
        </w:rPr>
      </w:pPr>
    </w:p>
    <w:p w14:paraId="519AEF23" w14:textId="0C2C5913" w:rsidR="004462A0" w:rsidRPr="008912CF" w:rsidRDefault="004462A0" w:rsidP="004462A0">
      <w:pPr>
        <w:tabs>
          <w:tab w:val="left" w:pos="720"/>
        </w:tabs>
        <w:rPr>
          <w:del w:id="11916" w:author="AbbVie2" w:date="2025-05-13T16:46:00Z"/>
          <w:sz w:val="22"/>
          <w:szCs w:val="22"/>
        </w:rPr>
      </w:pPr>
    </w:p>
    <w:p w14:paraId="3FD4F419" w14:textId="64EFAAB6" w:rsidR="004462A0" w:rsidRPr="008912CF" w:rsidRDefault="00615769" w:rsidP="004462A0">
      <w:pPr>
        <w:pBdr>
          <w:top w:val="single" w:sz="4" w:space="0" w:color="auto"/>
          <w:left w:val="single" w:sz="4" w:space="4" w:color="auto"/>
          <w:bottom w:val="single" w:sz="4" w:space="1" w:color="auto"/>
          <w:right w:val="single" w:sz="4" w:space="4" w:color="auto"/>
        </w:pBdr>
        <w:shd w:val="clear" w:color="auto" w:fill="FFFFFF"/>
        <w:tabs>
          <w:tab w:val="left" w:pos="720"/>
        </w:tabs>
        <w:ind w:left="567" w:hanging="567"/>
        <w:rPr>
          <w:del w:id="11917" w:author="AbbVie2" w:date="2025-05-13T16:46:00Z"/>
          <w:b/>
          <w:bCs/>
          <w:sz w:val="22"/>
          <w:szCs w:val="22"/>
          <w:highlight w:val="lightGray"/>
        </w:rPr>
      </w:pPr>
      <w:del w:id="11918" w:author="AbbVie2" w:date="2025-05-13T16:46:00Z">
        <w:r w:rsidRPr="008912CF">
          <w:rPr>
            <w:b/>
            <w:sz w:val="22"/>
            <w:szCs w:val="22"/>
          </w:rPr>
          <w:delText>10.</w:delText>
        </w:r>
        <w:r w:rsidRPr="008912CF">
          <w:rPr>
            <w:b/>
            <w:sz w:val="22"/>
            <w:szCs w:val="22"/>
          </w:rPr>
          <w:tab/>
        </w:r>
        <w:r w:rsidRPr="008912CF">
          <w:rPr>
            <w:b/>
            <w:bCs/>
            <w:sz w:val="22"/>
            <w:szCs w:val="22"/>
          </w:rPr>
          <w:delText xml:space="preserve">CUIDADOS ESPECIAIS QUANTO À ELIMINAÇÃO DO MEDICAMENTO NÃO UTILIZADO OU DOS RESÍDUOS PROVENIENTES DESSE MEDICAMENTO, SE APLICÁVEL </w:delText>
        </w:r>
      </w:del>
    </w:p>
    <w:p w14:paraId="67A52983" w14:textId="59750612" w:rsidR="004462A0" w:rsidRPr="008912CF" w:rsidRDefault="004462A0" w:rsidP="004462A0">
      <w:pPr>
        <w:tabs>
          <w:tab w:val="left" w:pos="720"/>
        </w:tabs>
        <w:rPr>
          <w:del w:id="11919" w:author="AbbVie2" w:date="2025-05-13T16:46:00Z"/>
          <w:sz w:val="22"/>
          <w:szCs w:val="22"/>
        </w:rPr>
      </w:pPr>
    </w:p>
    <w:p w14:paraId="46367CE7" w14:textId="7976C756" w:rsidR="004462A0" w:rsidRPr="008912CF" w:rsidRDefault="004462A0" w:rsidP="004462A0">
      <w:pPr>
        <w:tabs>
          <w:tab w:val="left" w:pos="720"/>
        </w:tabs>
        <w:rPr>
          <w:del w:id="11920" w:author="AbbVie2" w:date="2025-05-13T16:46:00Z"/>
          <w:sz w:val="22"/>
          <w:szCs w:val="22"/>
        </w:rPr>
      </w:pPr>
    </w:p>
    <w:p w14:paraId="33627C7D" w14:textId="5BA2BA71" w:rsidR="004462A0" w:rsidRPr="008912CF" w:rsidRDefault="00615769" w:rsidP="004462A0">
      <w:pPr>
        <w:pBdr>
          <w:top w:val="single" w:sz="4" w:space="0" w:color="auto"/>
          <w:left w:val="single" w:sz="4" w:space="4" w:color="auto"/>
          <w:bottom w:val="single" w:sz="4" w:space="1" w:color="auto"/>
          <w:right w:val="single" w:sz="4" w:space="4" w:color="auto"/>
        </w:pBdr>
        <w:shd w:val="clear" w:color="auto" w:fill="FFFFFF"/>
        <w:tabs>
          <w:tab w:val="left" w:pos="720"/>
        </w:tabs>
        <w:ind w:left="567" w:hanging="567"/>
        <w:rPr>
          <w:del w:id="11921" w:author="AbbVie2" w:date="2025-05-13T16:46:00Z"/>
          <w:b/>
          <w:bCs/>
          <w:sz w:val="22"/>
          <w:szCs w:val="22"/>
          <w:highlight w:val="lightGray"/>
        </w:rPr>
      </w:pPr>
      <w:del w:id="11922" w:author="AbbVie2" w:date="2025-05-13T16:46:00Z">
        <w:r w:rsidRPr="008912CF">
          <w:rPr>
            <w:b/>
            <w:sz w:val="22"/>
            <w:szCs w:val="22"/>
          </w:rPr>
          <w:delText>11.</w:delText>
        </w:r>
        <w:r w:rsidRPr="008912CF">
          <w:rPr>
            <w:b/>
            <w:sz w:val="22"/>
            <w:szCs w:val="22"/>
          </w:rPr>
          <w:tab/>
        </w:r>
        <w:r w:rsidRPr="008912CF">
          <w:rPr>
            <w:b/>
            <w:bCs/>
            <w:sz w:val="22"/>
            <w:szCs w:val="22"/>
          </w:rPr>
          <w:delText xml:space="preserve">NOME E ENDEREÇO DO TITULAR DA AUTORIZAÇÃO DE INTRODUÇÃO NO MERCADO </w:delText>
        </w:r>
      </w:del>
    </w:p>
    <w:p w14:paraId="644EA7B1" w14:textId="0CD7739F" w:rsidR="004462A0" w:rsidRPr="008912CF" w:rsidRDefault="004462A0" w:rsidP="004462A0">
      <w:pPr>
        <w:tabs>
          <w:tab w:val="left" w:pos="720"/>
        </w:tabs>
        <w:rPr>
          <w:del w:id="11923" w:author="AbbVie2" w:date="2025-05-13T16:46:00Z"/>
          <w:sz w:val="22"/>
          <w:szCs w:val="22"/>
        </w:rPr>
      </w:pPr>
    </w:p>
    <w:p w14:paraId="38841ACD" w14:textId="53E5BDCF" w:rsidR="00EF74B7" w:rsidRPr="008D6D3A" w:rsidRDefault="00615769" w:rsidP="00EF74B7">
      <w:pPr>
        <w:tabs>
          <w:tab w:val="left" w:pos="720"/>
        </w:tabs>
        <w:rPr>
          <w:del w:id="11924" w:author="AbbVie2" w:date="2025-05-13T16:46:00Z"/>
          <w:sz w:val="22"/>
          <w:szCs w:val="22"/>
          <w:lang w:val="de-CH"/>
        </w:rPr>
      </w:pPr>
      <w:del w:id="11925" w:author="AbbVie2" w:date="2025-05-13T16:46:00Z">
        <w:r w:rsidRPr="008D6D3A">
          <w:rPr>
            <w:sz w:val="22"/>
            <w:szCs w:val="22"/>
            <w:lang w:val="de-CH"/>
          </w:rPr>
          <w:delText>AbbVie Deutschland GmbH &amp; Co. KG</w:delText>
        </w:r>
      </w:del>
    </w:p>
    <w:p w14:paraId="3F04FAB9" w14:textId="7B8CDE9B" w:rsidR="00EF74B7" w:rsidRPr="008D6D3A" w:rsidRDefault="00615769" w:rsidP="00EF74B7">
      <w:pPr>
        <w:tabs>
          <w:tab w:val="left" w:pos="720"/>
        </w:tabs>
        <w:rPr>
          <w:del w:id="11926" w:author="AbbVie2" w:date="2025-05-13T16:46:00Z"/>
          <w:sz w:val="22"/>
          <w:szCs w:val="22"/>
          <w:lang w:val="de-CH"/>
        </w:rPr>
      </w:pPr>
      <w:del w:id="11927" w:author="AbbVie2" w:date="2025-05-13T16:46:00Z">
        <w:r w:rsidRPr="008D6D3A">
          <w:rPr>
            <w:sz w:val="22"/>
            <w:szCs w:val="22"/>
            <w:lang w:val="de-CH"/>
          </w:rPr>
          <w:delText>Knollstrasse</w:delText>
        </w:r>
      </w:del>
    </w:p>
    <w:p w14:paraId="3D13534A" w14:textId="77E7DB7B" w:rsidR="00EF74B7" w:rsidRPr="00EF74B7" w:rsidRDefault="00615769" w:rsidP="00EF74B7">
      <w:pPr>
        <w:tabs>
          <w:tab w:val="left" w:pos="720"/>
        </w:tabs>
        <w:rPr>
          <w:del w:id="11928" w:author="AbbVie2" w:date="2025-05-13T16:46:00Z"/>
          <w:sz w:val="22"/>
          <w:szCs w:val="22"/>
        </w:rPr>
      </w:pPr>
      <w:del w:id="11929" w:author="AbbVie2" w:date="2025-05-13T16:46:00Z">
        <w:r w:rsidRPr="00EF74B7">
          <w:rPr>
            <w:sz w:val="22"/>
            <w:szCs w:val="22"/>
          </w:rPr>
          <w:delText>67061 Ludwigshafen</w:delText>
        </w:r>
      </w:del>
    </w:p>
    <w:p w14:paraId="296F0DAF" w14:textId="532F873F" w:rsidR="004462A0" w:rsidRPr="008912CF" w:rsidRDefault="00615769" w:rsidP="004462A0">
      <w:pPr>
        <w:rPr>
          <w:del w:id="11930" w:author="AbbVie2" w:date="2025-05-13T16:46:00Z"/>
          <w:sz w:val="22"/>
          <w:szCs w:val="22"/>
        </w:rPr>
      </w:pPr>
      <w:del w:id="11931" w:author="AbbVie2" w:date="2025-05-13T16:46:00Z">
        <w:r w:rsidRPr="00EF74B7">
          <w:rPr>
            <w:sz w:val="22"/>
            <w:szCs w:val="22"/>
          </w:rPr>
          <w:delText>Alemanha</w:delText>
        </w:r>
      </w:del>
    </w:p>
    <w:p w14:paraId="246CB736" w14:textId="61646AA1" w:rsidR="004462A0" w:rsidRPr="008912CF" w:rsidRDefault="004462A0" w:rsidP="004462A0">
      <w:pPr>
        <w:tabs>
          <w:tab w:val="left" w:pos="720"/>
        </w:tabs>
        <w:rPr>
          <w:del w:id="11932" w:author="AbbVie2" w:date="2025-05-13T16:46:00Z"/>
          <w:sz w:val="22"/>
          <w:szCs w:val="22"/>
        </w:rPr>
      </w:pPr>
    </w:p>
    <w:p w14:paraId="79BD54C7" w14:textId="645B8E29" w:rsidR="004462A0" w:rsidRPr="008912CF" w:rsidRDefault="004462A0" w:rsidP="004462A0">
      <w:pPr>
        <w:tabs>
          <w:tab w:val="left" w:pos="720"/>
        </w:tabs>
        <w:rPr>
          <w:del w:id="11933" w:author="AbbVie2" w:date="2025-05-13T16:46:00Z"/>
          <w:sz w:val="22"/>
          <w:szCs w:val="22"/>
        </w:rPr>
      </w:pPr>
    </w:p>
    <w:p w14:paraId="6F6A3F0A" w14:textId="1895A0CF"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934" w:author="AbbVie2" w:date="2025-05-13T16:46:00Z"/>
          <w:b/>
          <w:sz w:val="22"/>
          <w:szCs w:val="22"/>
          <w:highlight w:val="lightGray"/>
        </w:rPr>
      </w:pPr>
      <w:del w:id="11935" w:author="AbbVie2" w:date="2025-05-13T16:46:00Z">
        <w:r w:rsidRPr="008912CF">
          <w:rPr>
            <w:b/>
            <w:sz w:val="22"/>
            <w:szCs w:val="22"/>
          </w:rPr>
          <w:delText>12.</w:delText>
        </w:r>
        <w:r w:rsidRPr="008912CF">
          <w:rPr>
            <w:b/>
            <w:sz w:val="22"/>
            <w:szCs w:val="22"/>
          </w:rPr>
          <w:tab/>
          <w:delText>NÚMERO DA AUTORIZAÇÃO DE INTRODUÇÃO NO MERCADO</w:delText>
        </w:r>
      </w:del>
    </w:p>
    <w:p w14:paraId="5A016070" w14:textId="3F46D980" w:rsidR="004462A0" w:rsidRPr="008912CF" w:rsidRDefault="004462A0" w:rsidP="004462A0">
      <w:pPr>
        <w:tabs>
          <w:tab w:val="left" w:pos="720"/>
        </w:tabs>
        <w:rPr>
          <w:del w:id="11936" w:author="AbbVie2" w:date="2025-05-13T16:46:00Z"/>
          <w:sz w:val="22"/>
          <w:szCs w:val="22"/>
        </w:rPr>
      </w:pPr>
    </w:p>
    <w:p w14:paraId="01DD81A2" w14:textId="42B51136" w:rsidR="004462A0" w:rsidRDefault="00615769" w:rsidP="004462A0">
      <w:pPr>
        <w:tabs>
          <w:tab w:val="left" w:pos="720"/>
        </w:tabs>
        <w:rPr>
          <w:del w:id="11937" w:author="AbbVie2" w:date="2025-05-13T16:46:00Z"/>
          <w:sz w:val="22"/>
          <w:szCs w:val="22"/>
        </w:rPr>
      </w:pPr>
      <w:del w:id="11938" w:author="AbbVie2" w:date="2025-05-13T16:46:00Z">
        <w:r w:rsidRPr="00437552">
          <w:rPr>
            <w:sz w:val="22"/>
            <w:szCs w:val="22"/>
          </w:rPr>
          <w:delText>EU/1/03/256/002</w:delText>
        </w:r>
        <w:r w:rsidRPr="008912CF">
          <w:rPr>
            <w:sz w:val="22"/>
            <w:szCs w:val="22"/>
          </w:rPr>
          <w:delText xml:space="preserve"> </w:delText>
        </w:r>
      </w:del>
    </w:p>
    <w:p w14:paraId="29C2C845" w14:textId="480C7923" w:rsidR="00437552" w:rsidRPr="002112C5" w:rsidRDefault="00615769" w:rsidP="00437552">
      <w:pPr>
        <w:tabs>
          <w:tab w:val="left" w:pos="720"/>
        </w:tabs>
        <w:rPr>
          <w:del w:id="11939" w:author="AbbVie2" w:date="2025-05-13T16:46:00Z"/>
          <w:sz w:val="22"/>
          <w:szCs w:val="22"/>
          <w:shd w:val="pct15" w:color="auto" w:fill="FFFFFF"/>
        </w:rPr>
      </w:pPr>
      <w:del w:id="11940" w:author="AbbVie2" w:date="2025-05-13T16:46:00Z">
        <w:r w:rsidRPr="002112C5">
          <w:rPr>
            <w:sz w:val="22"/>
            <w:szCs w:val="22"/>
            <w:shd w:val="pct15" w:color="auto" w:fill="FFFFFF"/>
          </w:rPr>
          <w:delText>EU/1/03/256/003</w:delText>
        </w:r>
      </w:del>
    </w:p>
    <w:p w14:paraId="3089BD30" w14:textId="2CC9C4C1" w:rsidR="00437552" w:rsidRPr="002112C5" w:rsidRDefault="00615769" w:rsidP="00437552">
      <w:pPr>
        <w:tabs>
          <w:tab w:val="left" w:pos="720"/>
        </w:tabs>
        <w:rPr>
          <w:del w:id="11941" w:author="AbbVie2" w:date="2025-05-13T16:46:00Z"/>
          <w:sz w:val="22"/>
          <w:szCs w:val="22"/>
          <w:shd w:val="pct15" w:color="auto" w:fill="FFFFFF"/>
        </w:rPr>
      </w:pPr>
      <w:del w:id="11942" w:author="AbbVie2" w:date="2025-05-13T16:46:00Z">
        <w:r w:rsidRPr="002112C5">
          <w:rPr>
            <w:sz w:val="22"/>
            <w:szCs w:val="22"/>
            <w:shd w:val="pct15" w:color="auto" w:fill="FFFFFF"/>
          </w:rPr>
          <w:delText>EU/1/03/256/004</w:delText>
        </w:r>
      </w:del>
    </w:p>
    <w:p w14:paraId="2F2B94CF" w14:textId="04FDA262" w:rsidR="00437552" w:rsidRPr="002112C5" w:rsidRDefault="00615769" w:rsidP="00437552">
      <w:pPr>
        <w:tabs>
          <w:tab w:val="left" w:pos="720"/>
        </w:tabs>
        <w:rPr>
          <w:del w:id="11943" w:author="AbbVie2" w:date="2025-05-13T16:46:00Z"/>
          <w:sz w:val="22"/>
          <w:szCs w:val="22"/>
          <w:shd w:val="pct15" w:color="auto" w:fill="FFFFFF"/>
        </w:rPr>
      </w:pPr>
      <w:del w:id="11944" w:author="AbbVie2" w:date="2025-05-13T16:46:00Z">
        <w:r w:rsidRPr="002112C5">
          <w:rPr>
            <w:sz w:val="22"/>
            <w:szCs w:val="22"/>
            <w:shd w:val="pct15" w:color="auto" w:fill="FFFFFF"/>
          </w:rPr>
          <w:delText>EU/1/03/256/005</w:delText>
        </w:r>
      </w:del>
    </w:p>
    <w:p w14:paraId="35F88FC8" w14:textId="114B33DD" w:rsidR="004462A0" w:rsidRPr="008912CF" w:rsidRDefault="004462A0" w:rsidP="004462A0">
      <w:pPr>
        <w:tabs>
          <w:tab w:val="left" w:pos="720"/>
        </w:tabs>
        <w:rPr>
          <w:del w:id="11945" w:author="AbbVie2" w:date="2025-05-13T16:46:00Z"/>
          <w:sz w:val="22"/>
          <w:szCs w:val="22"/>
        </w:rPr>
      </w:pPr>
    </w:p>
    <w:p w14:paraId="1BB0C98B" w14:textId="0D1169D9" w:rsidR="004462A0" w:rsidRPr="008912CF" w:rsidRDefault="004462A0" w:rsidP="004462A0">
      <w:pPr>
        <w:tabs>
          <w:tab w:val="left" w:pos="720"/>
        </w:tabs>
        <w:rPr>
          <w:del w:id="11946" w:author="AbbVie2" w:date="2025-05-13T16:46:00Z"/>
          <w:sz w:val="22"/>
          <w:szCs w:val="22"/>
        </w:rPr>
      </w:pPr>
    </w:p>
    <w:p w14:paraId="6830A3D3" w14:textId="262E840D"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947" w:author="AbbVie2" w:date="2025-05-13T16:46:00Z"/>
          <w:sz w:val="22"/>
          <w:szCs w:val="22"/>
          <w:highlight w:val="lightGray"/>
        </w:rPr>
      </w:pPr>
      <w:del w:id="11948" w:author="AbbVie2" w:date="2025-05-13T16:46:00Z">
        <w:r w:rsidRPr="008912CF">
          <w:rPr>
            <w:b/>
            <w:sz w:val="22"/>
            <w:szCs w:val="22"/>
          </w:rPr>
          <w:delText>13.</w:delText>
        </w:r>
        <w:r w:rsidRPr="008912CF">
          <w:rPr>
            <w:b/>
            <w:sz w:val="22"/>
            <w:szCs w:val="22"/>
          </w:rPr>
          <w:tab/>
          <w:delText xml:space="preserve">NÚMERO DO LOTE </w:delText>
        </w:r>
      </w:del>
    </w:p>
    <w:p w14:paraId="2D09B6B0" w14:textId="618CBDB6" w:rsidR="004462A0" w:rsidRPr="008912CF" w:rsidRDefault="004462A0" w:rsidP="004462A0">
      <w:pPr>
        <w:tabs>
          <w:tab w:val="left" w:pos="720"/>
        </w:tabs>
        <w:rPr>
          <w:del w:id="11949" w:author="AbbVie2" w:date="2025-05-13T16:46:00Z"/>
          <w:sz w:val="22"/>
          <w:szCs w:val="22"/>
        </w:rPr>
      </w:pPr>
    </w:p>
    <w:p w14:paraId="68B23A07" w14:textId="747E5617" w:rsidR="004462A0" w:rsidRPr="008912CF" w:rsidRDefault="00615769" w:rsidP="004462A0">
      <w:pPr>
        <w:tabs>
          <w:tab w:val="left" w:pos="720"/>
        </w:tabs>
        <w:rPr>
          <w:del w:id="11950" w:author="AbbVie2" w:date="2025-05-13T16:46:00Z"/>
          <w:sz w:val="22"/>
          <w:szCs w:val="22"/>
        </w:rPr>
      </w:pPr>
      <w:del w:id="11951" w:author="AbbVie2" w:date="2025-05-13T16:46:00Z">
        <w:r w:rsidRPr="008912CF">
          <w:rPr>
            <w:sz w:val="22"/>
            <w:szCs w:val="22"/>
          </w:rPr>
          <w:delText>Lote</w:delText>
        </w:r>
      </w:del>
    </w:p>
    <w:p w14:paraId="1869124F" w14:textId="2DB996C9" w:rsidR="004462A0" w:rsidRPr="008912CF" w:rsidRDefault="004462A0" w:rsidP="004462A0">
      <w:pPr>
        <w:tabs>
          <w:tab w:val="left" w:pos="720"/>
        </w:tabs>
        <w:rPr>
          <w:del w:id="11952" w:author="AbbVie2" w:date="2025-05-13T16:46:00Z"/>
          <w:sz w:val="22"/>
          <w:szCs w:val="22"/>
        </w:rPr>
      </w:pPr>
    </w:p>
    <w:p w14:paraId="11F02C88" w14:textId="43DA5C2F" w:rsidR="004462A0" w:rsidRPr="008912CF" w:rsidRDefault="004462A0" w:rsidP="004462A0">
      <w:pPr>
        <w:tabs>
          <w:tab w:val="left" w:pos="720"/>
        </w:tabs>
        <w:rPr>
          <w:del w:id="11953" w:author="AbbVie2" w:date="2025-05-13T16:46:00Z"/>
          <w:sz w:val="22"/>
          <w:szCs w:val="22"/>
        </w:rPr>
      </w:pPr>
    </w:p>
    <w:p w14:paraId="45E909FD" w14:textId="0781E5B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954" w:author="AbbVie2" w:date="2025-05-13T16:46:00Z"/>
          <w:sz w:val="22"/>
          <w:szCs w:val="22"/>
          <w:highlight w:val="lightGray"/>
        </w:rPr>
      </w:pPr>
      <w:del w:id="11955" w:author="AbbVie2" w:date="2025-05-13T16:46:00Z">
        <w:r w:rsidRPr="008912CF">
          <w:rPr>
            <w:b/>
            <w:sz w:val="22"/>
            <w:szCs w:val="22"/>
          </w:rPr>
          <w:delText>14.</w:delText>
        </w:r>
        <w:r w:rsidRPr="008912CF">
          <w:rPr>
            <w:b/>
            <w:sz w:val="22"/>
            <w:szCs w:val="22"/>
          </w:rPr>
          <w:tab/>
        </w:r>
        <w:r w:rsidRPr="008912CF">
          <w:rPr>
            <w:b/>
            <w:sz w:val="22"/>
            <w:szCs w:val="22"/>
          </w:rPr>
          <w:delText>CLASSIFICAÇÃO QUANTO À DISPENSA AO PÚBLICO</w:delText>
        </w:r>
      </w:del>
    </w:p>
    <w:p w14:paraId="18310BAD" w14:textId="1D565CF2" w:rsidR="004462A0" w:rsidRPr="008912CF" w:rsidRDefault="004462A0" w:rsidP="004462A0">
      <w:pPr>
        <w:tabs>
          <w:tab w:val="left" w:pos="720"/>
        </w:tabs>
        <w:rPr>
          <w:del w:id="11956" w:author="AbbVie2" w:date="2025-05-13T16:46:00Z"/>
          <w:sz w:val="22"/>
          <w:szCs w:val="22"/>
        </w:rPr>
      </w:pPr>
    </w:p>
    <w:p w14:paraId="2C999A61" w14:textId="153883FD" w:rsidR="004462A0" w:rsidRPr="008912CF" w:rsidRDefault="004462A0" w:rsidP="004462A0">
      <w:pPr>
        <w:tabs>
          <w:tab w:val="left" w:pos="720"/>
        </w:tabs>
        <w:rPr>
          <w:del w:id="11957" w:author="AbbVie2" w:date="2025-05-13T16:46:00Z"/>
          <w:sz w:val="22"/>
          <w:szCs w:val="22"/>
        </w:rPr>
      </w:pPr>
    </w:p>
    <w:p w14:paraId="1BC44D5D" w14:textId="1DBD58D5"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958" w:author="AbbVie2" w:date="2025-05-13T16:46:00Z"/>
          <w:b/>
          <w:sz w:val="22"/>
          <w:szCs w:val="22"/>
          <w:u w:val="single"/>
        </w:rPr>
      </w:pPr>
      <w:del w:id="11959" w:author="AbbVie2" w:date="2025-05-13T16:46:00Z">
        <w:r w:rsidRPr="008912CF">
          <w:rPr>
            <w:b/>
            <w:sz w:val="22"/>
            <w:szCs w:val="22"/>
          </w:rPr>
          <w:delText>15.</w:delText>
        </w:r>
        <w:r w:rsidRPr="008912CF">
          <w:rPr>
            <w:b/>
            <w:sz w:val="22"/>
            <w:szCs w:val="22"/>
          </w:rPr>
          <w:tab/>
          <w:delText>INSTRUÇÕES DE UTILIZAÇÃO</w:delText>
        </w:r>
      </w:del>
    </w:p>
    <w:p w14:paraId="54D89F42" w14:textId="040594C3" w:rsidR="004462A0" w:rsidRPr="008912CF" w:rsidRDefault="004462A0" w:rsidP="004462A0">
      <w:pPr>
        <w:pStyle w:val="Heading3"/>
        <w:keepNext w:val="0"/>
        <w:spacing w:before="0" w:after="0" w:line="240" w:lineRule="auto"/>
        <w:rPr>
          <w:del w:id="11960" w:author="AbbVie2" w:date="2025-05-13T16:46:00Z"/>
          <w:b w:val="0"/>
          <w:sz w:val="22"/>
          <w:szCs w:val="22"/>
          <w:u w:val="single"/>
          <w:lang w:val="pt-PT"/>
        </w:rPr>
      </w:pPr>
    </w:p>
    <w:p w14:paraId="156282D7" w14:textId="6528A4DA" w:rsidR="004462A0" w:rsidRPr="008912CF" w:rsidRDefault="004462A0" w:rsidP="004462A0">
      <w:pPr>
        <w:rPr>
          <w:del w:id="11961" w:author="AbbVie2" w:date="2025-05-13T16:46:00Z"/>
          <w:sz w:val="22"/>
          <w:szCs w:val="22"/>
        </w:rPr>
      </w:pPr>
    </w:p>
    <w:p w14:paraId="7F42401A" w14:textId="064C8034"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962" w:author="AbbVie2" w:date="2025-05-13T16:46:00Z"/>
          <w:b/>
          <w:sz w:val="22"/>
          <w:szCs w:val="22"/>
          <w:u w:val="single"/>
        </w:rPr>
      </w:pPr>
      <w:del w:id="11963" w:author="AbbVie2" w:date="2025-05-13T16:46:00Z">
        <w:r w:rsidRPr="008912CF">
          <w:rPr>
            <w:b/>
            <w:sz w:val="22"/>
            <w:szCs w:val="22"/>
          </w:rPr>
          <w:delText>16.</w:delText>
        </w:r>
        <w:r w:rsidRPr="008912CF">
          <w:rPr>
            <w:b/>
            <w:sz w:val="22"/>
            <w:szCs w:val="22"/>
          </w:rPr>
          <w:tab/>
          <w:delText>INFORMAÇÃO EM BRAILLE</w:delText>
        </w:r>
      </w:del>
    </w:p>
    <w:p w14:paraId="2BA22905" w14:textId="3FDF0629" w:rsidR="004462A0" w:rsidRPr="008912CF" w:rsidRDefault="004462A0" w:rsidP="004462A0">
      <w:pPr>
        <w:pStyle w:val="Heading3"/>
        <w:keepNext w:val="0"/>
        <w:spacing w:before="0" w:after="0" w:line="240" w:lineRule="auto"/>
        <w:rPr>
          <w:del w:id="11964" w:author="AbbVie2" w:date="2025-05-13T16:46:00Z"/>
          <w:b w:val="0"/>
          <w:sz w:val="22"/>
          <w:szCs w:val="22"/>
          <w:u w:val="single"/>
          <w:lang w:val="pt-PT"/>
        </w:rPr>
      </w:pPr>
    </w:p>
    <w:p w14:paraId="070C7D29" w14:textId="0872AF50" w:rsidR="004462A0" w:rsidRDefault="00615769" w:rsidP="004462A0">
      <w:pPr>
        <w:pStyle w:val="Heading3"/>
        <w:keepNext w:val="0"/>
        <w:spacing w:before="0" w:after="0" w:line="240" w:lineRule="auto"/>
        <w:rPr>
          <w:del w:id="11965" w:author="AbbVie2" w:date="2025-05-13T16:46:00Z"/>
          <w:b w:val="0"/>
          <w:sz w:val="22"/>
          <w:szCs w:val="22"/>
          <w:lang w:val="pt-PT"/>
        </w:rPr>
      </w:pPr>
      <w:del w:id="11966" w:author="AbbVie2" w:date="2025-05-13T16:46:00Z">
        <w:r w:rsidRPr="008912CF">
          <w:rPr>
            <w:b w:val="0"/>
            <w:sz w:val="22"/>
            <w:szCs w:val="22"/>
            <w:lang w:val="pt-PT"/>
          </w:rPr>
          <w:delText>Humira 40 mg</w:delText>
        </w:r>
      </w:del>
    </w:p>
    <w:p w14:paraId="052A474B" w14:textId="32BC3886" w:rsidR="004462A0" w:rsidRDefault="004462A0" w:rsidP="0019560B">
      <w:pPr>
        <w:pStyle w:val="Heading3"/>
        <w:keepNext w:val="0"/>
        <w:spacing w:before="0" w:after="0" w:line="240" w:lineRule="auto"/>
        <w:rPr>
          <w:del w:id="11967" w:author="AbbVie2" w:date="2025-05-13T16:46:00Z"/>
          <w:b w:val="0"/>
          <w:sz w:val="22"/>
          <w:szCs w:val="22"/>
          <w:lang w:val="pt-PT"/>
        </w:rPr>
      </w:pPr>
    </w:p>
    <w:p w14:paraId="41FDC0F8" w14:textId="79D149D0" w:rsidR="004462A0" w:rsidRPr="00431557" w:rsidRDefault="004462A0" w:rsidP="0019560B">
      <w:pPr>
        <w:pStyle w:val="Heading3"/>
        <w:keepNext w:val="0"/>
        <w:spacing w:before="0" w:after="0" w:line="240" w:lineRule="auto"/>
        <w:rPr>
          <w:del w:id="11968" w:author="AbbVie2" w:date="2025-05-13T16:46:00Z"/>
          <w:b w:val="0"/>
          <w:sz w:val="22"/>
          <w:szCs w:val="22"/>
          <w:lang w:val="pt-PT"/>
        </w:rPr>
      </w:pPr>
    </w:p>
    <w:p w14:paraId="3EE0B0D4" w14:textId="231E0CF0" w:rsidR="004462A0" w:rsidRPr="00C25DF2" w:rsidRDefault="00615769" w:rsidP="0019560B">
      <w:pPr>
        <w:keepNext/>
        <w:pBdr>
          <w:top w:val="single" w:sz="4" w:space="1" w:color="auto"/>
          <w:left w:val="single" w:sz="4" w:space="4" w:color="auto"/>
          <w:bottom w:val="single" w:sz="4" w:space="1" w:color="auto"/>
          <w:right w:val="single" w:sz="4" w:space="4" w:color="auto"/>
        </w:pBdr>
        <w:tabs>
          <w:tab w:val="left" w:pos="562"/>
        </w:tabs>
        <w:suppressAutoHyphens/>
        <w:rPr>
          <w:del w:id="11969" w:author="AbbVie2" w:date="2025-05-13T16:46:00Z"/>
          <w:b/>
          <w:bCs/>
          <w:caps/>
          <w:sz w:val="22"/>
          <w:szCs w:val="20"/>
        </w:rPr>
      </w:pPr>
      <w:del w:id="11970" w:author="AbbVie2" w:date="2025-05-13T16:46:00Z">
        <w:r w:rsidRPr="009154C5">
          <w:rPr>
            <w:b/>
            <w:bCs/>
            <w:caps/>
            <w:sz w:val="22"/>
            <w:szCs w:val="20"/>
          </w:rPr>
          <w:delText xml:space="preserve">17. </w:delText>
        </w:r>
        <w:r w:rsidRPr="009154C5">
          <w:rPr>
            <w:b/>
            <w:bCs/>
            <w:caps/>
            <w:sz w:val="22"/>
            <w:szCs w:val="20"/>
          </w:rPr>
          <w:tab/>
        </w:r>
        <w:r w:rsidRPr="00C25DF2">
          <w:rPr>
            <w:b/>
            <w:bCs/>
            <w:caps/>
            <w:sz w:val="22"/>
            <w:szCs w:val="20"/>
          </w:rPr>
          <w:delText xml:space="preserve">IDENTIFICADOR ÚNICO – CÓDIGO DE BARRAS 2D </w:delText>
        </w:r>
      </w:del>
    </w:p>
    <w:p w14:paraId="4CEC7A79" w14:textId="52E31C2B" w:rsidR="004462A0" w:rsidRPr="00C25DF2" w:rsidRDefault="004462A0" w:rsidP="0019560B">
      <w:pPr>
        <w:keepNext/>
        <w:tabs>
          <w:tab w:val="left" w:pos="562"/>
        </w:tabs>
        <w:suppressAutoHyphens/>
        <w:rPr>
          <w:del w:id="11971" w:author="AbbVie2" w:date="2025-05-13T16:46:00Z"/>
          <w:sz w:val="22"/>
        </w:rPr>
      </w:pPr>
    </w:p>
    <w:p w14:paraId="27235C69" w14:textId="7A7D171C" w:rsidR="004462A0" w:rsidRPr="00C25DF2" w:rsidRDefault="00615769" w:rsidP="0019560B">
      <w:pPr>
        <w:keepNext/>
        <w:tabs>
          <w:tab w:val="left" w:pos="562"/>
        </w:tabs>
        <w:suppressAutoHyphens/>
        <w:rPr>
          <w:del w:id="11972" w:author="AbbVie2" w:date="2025-05-13T16:46:00Z"/>
          <w:sz w:val="22"/>
          <w:shd w:val="clear" w:color="auto" w:fill="BFBFBF"/>
        </w:rPr>
      </w:pPr>
      <w:del w:id="11973" w:author="AbbVie2" w:date="2025-05-13T16:46:00Z">
        <w:r w:rsidRPr="00C25DF2">
          <w:rPr>
            <w:sz w:val="22"/>
            <w:shd w:val="clear" w:color="auto" w:fill="BFBFBF"/>
          </w:rPr>
          <w:delText xml:space="preserve">Código de barras 2D com identificador </w:delText>
        </w:r>
        <w:r>
          <w:rPr>
            <w:sz w:val="22"/>
            <w:shd w:val="clear" w:color="auto" w:fill="BFBFBF"/>
          </w:rPr>
          <w:delText>único incluído.</w:delText>
        </w:r>
      </w:del>
    </w:p>
    <w:p w14:paraId="129CE391" w14:textId="2BEC9877" w:rsidR="004462A0" w:rsidRPr="00C25DF2" w:rsidRDefault="004462A0" w:rsidP="004462A0">
      <w:pPr>
        <w:tabs>
          <w:tab w:val="left" w:pos="562"/>
        </w:tabs>
        <w:suppressAutoHyphens/>
        <w:rPr>
          <w:del w:id="11974" w:author="AbbVie2" w:date="2025-05-13T16:46:00Z"/>
          <w:sz w:val="22"/>
          <w:shd w:val="clear" w:color="auto" w:fill="BFBFBF"/>
        </w:rPr>
      </w:pPr>
    </w:p>
    <w:p w14:paraId="27D2E6BA" w14:textId="2EA1DA7C" w:rsidR="004462A0" w:rsidRPr="00C25DF2" w:rsidRDefault="004462A0" w:rsidP="004462A0">
      <w:pPr>
        <w:tabs>
          <w:tab w:val="left" w:pos="562"/>
        </w:tabs>
        <w:suppressAutoHyphens/>
        <w:rPr>
          <w:del w:id="11975" w:author="AbbVie2" w:date="2025-05-13T16:46:00Z"/>
          <w:sz w:val="22"/>
          <w:shd w:val="clear" w:color="auto" w:fill="BFBFBF"/>
        </w:rPr>
      </w:pPr>
    </w:p>
    <w:p w14:paraId="60EA381F" w14:textId="5D9E2CE3" w:rsidR="004462A0" w:rsidRPr="00C25DF2" w:rsidRDefault="00615769" w:rsidP="004462A0">
      <w:pPr>
        <w:keepNext/>
        <w:pBdr>
          <w:top w:val="single" w:sz="4" w:space="1" w:color="auto"/>
          <w:left w:val="single" w:sz="4" w:space="4" w:color="auto"/>
          <w:bottom w:val="single" w:sz="4" w:space="1" w:color="auto"/>
          <w:right w:val="single" w:sz="4" w:space="4" w:color="auto"/>
        </w:pBdr>
        <w:tabs>
          <w:tab w:val="left" w:pos="562"/>
        </w:tabs>
        <w:suppressAutoHyphens/>
        <w:rPr>
          <w:del w:id="11976" w:author="AbbVie2" w:date="2025-05-13T16:46:00Z"/>
          <w:rFonts w:ascii="Times New Roman Bold" w:hAnsi="Times New Roman Bold"/>
          <w:caps/>
          <w:sz w:val="22"/>
          <w:szCs w:val="20"/>
        </w:rPr>
      </w:pPr>
      <w:del w:id="11977" w:author="AbbVie2" w:date="2025-05-13T16:46:00Z">
        <w:r w:rsidRPr="00C25DF2">
          <w:rPr>
            <w:b/>
            <w:bCs/>
            <w:caps/>
            <w:sz w:val="22"/>
            <w:szCs w:val="20"/>
          </w:rPr>
          <w:delText xml:space="preserve">18. </w:delText>
        </w:r>
        <w:r w:rsidRPr="00C25DF2">
          <w:rPr>
            <w:b/>
            <w:bCs/>
            <w:caps/>
            <w:sz w:val="22"/>
            <w:szCs w:val="20"/>
          </w:rPr>
          <w:tab/>
        </w:r>
        <w:r w:rsidRPr="00C25DF2">
          <w:rPr>
            <w:b/>
            <w:bCs/>
            <w:caps/>
            <w:sz w:val="22"/>
            <w:szCs w:val="20"/>
          </w:rPr>
          <w:delText>IDENTIFICADOR ÚNICO – DADOS PARA LEITURA HUMA</w:delText>
        </w:r>
        <w:r>
          <w:rPr>
            <w:b/>
            <w:bCs/>
            <w:caps/>
            <w:sz w:val="22"/>
            <w:szCs w:val="20"/>
          </w:rPr>
          <w:delText>NA</w:delText>
        </w:r>
      </w:del>
    </w:p>
    <w:p w14:paraId="1477F334" w14:textId="182CDC68" w:rsidR="004462A0" w:rsidRPr="00C25DF2" w:rsidRDefault="004462A0" w:rsidP="004462A0">
      <w:pPr>
        <w:keepNext/>
        <w:tabs>
          <w:tab w:val="left" w:pos="562"/>
        </w:tabs>
        <w:suppressAutoHyphens/>
        <w:ind w:left="540" w:hanging="540"/>
        <w:rPr>
          <w:del w:id="11978" w:author="AbbVie2" w:date="2025-05-13T16:46:00Z"/>
          <w:sz w:val="22"/>
        </w:rPr>
      </w:pPr>
    </w:p>
    <w:p w14:paraId="58B9C19E" w14:textId="641D1F0D" w:rsidR="004462A0" w:rsidRPr="00973CF1" w:rsidRDefault="00615769" w:rsidP="004462A0">
      <w:pPr>
        <w:keepNext/>
        <w:tabs>
          <w:tab w:val="left" w:pos="562"/>
        </w:tabs>
        <w:suppressAutoHyphens/>
        <w:ind w:left="540" w:hanging="540"/>
        <w:rPr>
          <w:del w:id="11979" w:author="AbbVie2" w:date="2025-05-13T16:46:00Z"/>
          <w:sz w:val="22"/>
        </w:rPr>
      </w:pPr>
      <w:del w:id="11980" w:author="AbbVie2" w:date="2025-05-13T16:46:00Z">
        <w:r w:rsidRPr="00973CF1">
          <w:rPr>
            <w:sz w:val="22"/>
          </w:rPr>
          <w:delText>PC</w:delText>
        </w:r>
      </w:del>
    </w:p>
    <w:p w14:paraId="6945BF49" w14:textId="631F78B5" w:rsidR="004462A0" w:rsidRPr="00973CF1" w:rsidRDefault="00615769" w:rsidP="004462A0">
      <w:pPr>
        <w:keepNext/>
        <w:tabs>
          <w:tab w:val="left" w:pos="562"/>
        </w:tabs>
        <w:suppressAutoHyphens/>
        <w:ind w:left="540" w:hanging="540"/>
        <w:rPr>
          <w:del w:id="11981" w:author="AbbVie2" w:date="2025-05-13T16:46:00Z"/>
          <w:sz w:val="22"/>
        </w:rPr>
      </w:pPr>
      <w:del w:id="11982" w:author="AbbVie2" w:date="2025-05-13T16:46:00Z">
        <w:r w:rsidRPr="00973CF1">
          <w:rPr>
            <w:sz w:val="22"/>
          </w:rPr>
          <w:delText>SN</w:delText>
        </w:r>
      </w:del>
    </w:p>
    <w:p w14:paraId="33C83B25" w14:textId="025EBE31" w:rsidR="004462A0" w:rsidRPr="00973CF1" w:rsidRDefault="00615769" w:rsidP="004462A0">
      <w:pPr>
        <w:keepNext/>
        <w:tabs>
          <w:tab w:val="left" w:pos="562"/>
        </w:tabs>
        <w:suppressAutoHyphens/>
        <w:ind w:left="540" w:hanging="540"/>
        <w:rPr>
          <w:del w:id="11983" w:author="AbbVie2" w:date="2025-05-13T16:46:00Z"/>
          <w:sz w:val="22"/>
        </w:rPr>
      </w:pPr>
      <w:del w:id="11984" w:author="AbbVie2" w:date="2025-05-13T16:46:00Z">
        <w:r w:rsidRPr="00973CF1">
          <w:rPr>
            <w:sz w:val="22"/>
            <w:highlight w:val="lightGray"/>
          </w:rPr>
          <w:delText>NN</w:delText>
        </w:r>
      </w:del>
    </w:p>
    <w:p w14:paraId="2391DC4D" w14:textId="7BB901D1" w:rsidR="004462A0" w:rsidRPr="00973CF1" w:rsidRDefault="00615769" w:rsidP="004462A0">
      <w:pPr>
        <w:pStyle w:val="Heading3"/>
        <w:keepNext w:val="0"/>
        <w:spacing w:before="0" w:after="0" w:line="240" w:lineRule="auto"/>
        <w:rPr>
          <w:del w:id="11985" w:author="AbbVie2" w:date="2025-05-13T16:46:00Z"/>
          <w:sz w:val="22"/>
          <w:szCs w:val="22"/>
          <w:lang w:val="pt-PT"/>
        </w:rPr>
      </w:pPr>
      <w:del w:id="11986" w:author="AbbVie2" w:date="2025-05-13T16:46:00Z">
        <w:r w:rsidRPr="00973CF1">
          <w:rPr>
            <w:b w:val="0"/>
            <w:sz w:val="22"/>
            <w:szCs w:val="22"/>
            <w:lang w:val="pt-PT"/>
          </w:rPr>
          <w:br w:type="page"/>
        </w:r>
      </w:del>
    </w:p>
    <w:p w14:paraId="2DBD31FE" w14:textId="4D739228" w:rsidR="004462A0" w:rsidRPr="00973CF1" w:rsidRDefault="00615769" w:rsidP="004462A0">
      <w:pPr>
        <w:pBdr>
          <w:top w:val="single" w:sz="4" w:space="1" w:color="auto"/>
          <w:left w:val="single" w:sz="4" w:space="4" w:color="auto"/>
          <w:bottom w:val="single" w:sz="4" w:space="1" w:color="auto"/>
          <w:right w:val="single" w:sz="4" w:space="4" w:color="auto"/>
        </w:pBdr>
        <w:tabs>
          <w:tab w:val="left" w:pos="567"/>
        </w:tabs>
        <w:rPr>
          <w:del w:id="11987" w:author="AbbVie2" w:date="2025-05-13T16:46:00Z"/>
          <w:b/>
          <w:sz w:val="22"/>
          <w:szCs w:val="22"/>
        </w:rPr>
      </w:pPr>
      <w:del w:id="11988" w:author="AbbVie2" w:date="2025-05-13T16:46:00Z">
        <w:r w:rsidRPr="00973CF1">
          <w:rPr>
            <w:b/>
            <w:sz w:val="22"/>
            <w:szCs w:val="22"/>
          </w:rPr>
          <w:delText>INDICAÇÕES MÍNIMAS A INCLUIR NAS EMBALAGENS "BLISTER" OU FITAS CONTENTORAS</w:delText>
        </w:r>
      </w:del>
    </w:p>
    <w:p w14:paraId="4E33A3B5" w14:textId="65BAE417" w:rsidR="004462A0" w:rsidRPr="00973CF1" w:rsidRDefault="004462A0" w:rsidP="004462A0">
      <w:pPr>
        <w:pBdr>
          <w:top w:val="single" w:sz="4" w:space="1" w:color="auto"/>
          <w:left w:val="single" w:sz="4" w:space="4" w:color="auto"/>
          <w:bottom w:val="single" w:sz="4" w:space="1" w:color="auto"/>
          <w:right w:val="single" w:sz="4" w:space="4" w:color="auto"/>
        </w:pBdr>
        <w:tabs>
          <w:tab w:val="left" w:pos="567"/>
        </w:tabs>
        <w:rPr>
          <w:del w:id="11989" w:author="AbbVie2" w:date="2025-05-13T16:46:00Z"/>
          <w:b/>
          <w:sz w:val="22"/>
          <w:szCs w:val="22"/>
        </w:rPr>
      </w:pPr>
    </w:p>
    <w:p w14:paraId="2E1C26B4" w14:textId="56E4EFF3" w:rsidR="004462A0" w:rsidRPr="008912CF" w:rsidRDefault="00615769" w:rsidP="004462A0">
      <w:pPr>
        <w:pStyle w:val="Heading3"/>
        <w:keepNext w:val="0"/>
        <w:pBdr>
          <w:top w:val="single" w:sz="4" w:space="1" w:color="auto"/>
          <w:left w:val="single" w:sz="4" w:space="4" w:color="auto"/>
          <w:bottom w:val="single" w:sz="4" w:space="1" w:color="auto"/>
          <w:right w:val="single" w:sz="4" w:space="4" w:color="auto"/>
        </w:pBdr>
        <w:spacing w:before="0" w:after="0" w:line="240" w:lineRule="auto"/>
        <w:rPr>
          <w:del w:id="11990" w:author="AbbVie2" w:date="2025-05-13T16:46:00Z"/>
          <w:caps/>
          <w:sz w:val="22"/>
          <w:szCs w:val="22"/>
          <w:highlight w:val="lightGray"/>
          <w:lang w:val="pt-PT"/>
        </w:rPr>
      </w:pPr>
      <w:del w:id="11991" w:author="AbbVie2" w:date="2025-05-13T16:46:00Z">
        <w:r w:rsidRPr="008912CF">
          <w:rPr>
            <w:caps/>
            <w:sz w:val="22"/>
            <w:szCs w:val="22"/>
            <w:lang w:val="pt-PT"/>
          </w:rPr>
          <w:delText>Texto para o verso do tabuleiro</w:delText>
        </w:r>
      </w:del>
    </w:p>
    <w:p w14:paraId="090599F7" w14:textId="27D6141F" w:rsidR="004462A0" w:rsidRPr="008912CF" w:rsidRDefault="004462A0" w:rsidP="004462A0">
      <w:pPr>
        <w:tabs>
          <w:tab w:val="left" w:pos="720"/>
        </w:tabs>
        <w:rPr>
          <w:del w:id="11992" w:author="AbbVie2" w:date="2025-05-13T16:46:00Z"/>
          <w:sz w:val="22"/>
          <w:szCs w:val="22"/>
        </w:rPr>
      </w:pPr>
    </w:p>
    <w:p w14:paraId="36F052A7" w14:textId="5ACEB0BE" w:rsidR="004462A0" w:rsidRPr="008912CF" w:rsidRDefault="004462A0" w:rsidP="004462A0">
      <w:pPr>
        <w:tabs>
          <w:tab w:val="left" w:pos="720"/>
        </w:tabs>
        <w:rPr>
          <w:del w:id="11993" w:author="AbbVie2" w:date="2025-05-13T16:46:00Z"/>
          <w:sz w:val="22"/>
          <w:szCs w:val="22"/>
        </w:rPr>
      </w:pPr>
    </w:p>
    <w:p w14:paraId="3C9F93CE" w14:textId="51389713"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1994" w:author="AbbVie2" w:date="2025-05-13T16:46:00Z"/>
          <w:sz w:val="22"/>
          <w:szCs w:val="22"/>
        </w:rPr>
      </w:pPr>
      <w:del w:id="11995" w:author="AbbVie2" w:date="2025-05-13T16:46:00Z">
        <w:r w:rsidRPr="008912CF">
          <w:rPr>
            <w:b/>
            <w:sz w:val="22"/>
            <w:szCs w:val="22"/>
          </w:rPr>
          <w:delText>1.</w:delText>
        </w:r>
        <w:r w:rsidRPr="008912CF">
          <w:rPr>
            <w:b/>
            <w:sz w:val="22"/>
            <w:szCs w:val="22"/>
          </w:rPr>
          <w:tab/>
          <w:delText>NOME DO MEDICAMENTO</w:delText>
        </w:r>
      </w:del>
    </w:p>
    <w:p w14:paraId="50F61615" w14:textId="0308996F" w:rsidR="004462A0" w:rsidRPr="008912CF" w:rsidRDefault="004462A0" w:rsidP="004462A0">
      <w:pPr>
        <w:tabs>
          <w:tab w:val="left" w:pos="720"/>
        </w:tabs>
        <w:ind w:left="567" w:hanging="567"/>
        <w:rPr>
          <w:del w:id="11996" w:author="AbbVie2" w:date="2025-05-13T16:46:00Z"/>
          <w:sz w:val="22"/>
          <w:szCs w:val="22"/>
        </w:rPr>
      </w:pPr>
    </w:p>
    <w:p w14:paraId="0BBA1214" w14:textId="31DBA400" w:rsidR="004462A0" w:rsidRPr="008912CF" w:rsidRDefault="00615769" w:rsidP="004462A0">
      <w:pPr>
        <w:tabs>
          <w:tab w:val="left" w:pos="720"/>
        </w:tabs>
        <w:ind w:left="567" w:hanging="567"/>
        <w:rPr>
          <w:del w:id="11997" w:author="AbbVie2" w:date="2025-05-13T16:46:00Z"/>
          <w:sz w:val="22"/>
          <w:szCs w:val="22"/>
        </w:rPr>
      </w:pPr>
      <w:del w:id="11998" w:author="AbbVie2" w:date="2025-05-13T16:46:00Z">
        <w:r w:rsidRPr="008912CF">
          <w:rPr>
            <w:sz w:val="22"/>
            <w:szCs w:val="22"/>
          </w:rPr>
          <w:delText xml:space="preserve">Humira 40 mg solução injetável em seringa pré-cheia </w:delText>
        </w:r>
      </w:del>
    </w:p>
    <w:p w14:paraId="7C5432B3" w14:textId="7F8D2EAC" w:rsidR="004462A0" w:rsidRPr="008912CF" w:rsidRDefault="00615769" w:rsidP="004462A0">
      <w:pPr>
        <w:tabs>
          <w:tab w:val="left" w:pos="720"/>
        </w:tabs>
        <w:ind w:left="567" w:hanging="567"/>
        <w:rPr>
          <w:del w:id="11999" w:author="AbbVie2" w:date="2025-05-13T16:46:00Z"/>
          <w:sz w:val="22"/>
          <w:szCs w:val="22"/>
        </w:rPr>
      </w:pPr>
      <w:del w:id="12000" w:author="AbbVie2" w:date="2025-05-13T16:46:00Z">
        <w:r w:rsidRPr="008912CF">
          <w:rPr>
            <w:sz w:val="22"/>
            <w:szCs w:val="22"/>
          </w:rPr>
          <w:delText>adalimumab</w:delText>
        </w:r>
      </w:del>
    </w:p>
    <w:p w14:paraId="4529E806" w14:textId="664477BD" w:rsidR="004462A0" w:rsidRPr="008912CF" w:rsidRDefault="004462A0" w:rsidP="004462A0">
      <w:pPr>
        <w:tabs>
          <w:tab w:val="left" w:pos="720"/>
        </w:tabs>
        <w:rPr>
          <w:del w:id="12001" w:author="AbbVie2" w:date="2025-05-13T16:46:00Z"/>
          <w:sz w:val="22"/>
          <w:szCs w:val="22"/>
        </w:rPr>
      </w:pPr>
    </w:p>
    <w:p w14:paraId="73B716B4" w14:textId="6BB28638" w:rsidR="004462A0" w:rsidRPr="008912CF" w:rsidRDefault="004462A0" w:rsidP="004462A0">
      <w:pPr>
        <w:tabs>
          <w:tab w:val="left" w:pos="720"/>
        </w:tabs>
        <w:rPr>
          <w:del w:id="12002" w:author="AbbVie2" w:date="2025-05-13T16:46:00Z"/>
          <w:sz w:val="22"/>
          <w:szCs w:val="22"/>
        </w:rPr>
      </w:pPr>
    </w:p>
    <w:p w14:paraId="51EEE024" w14:textId="683DB43B"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del w:id="12003" w:author="AbbVie2" w:date="2025-05-13T16:46:00Z"/>
          <w:b/>
          <w:sz w:val="22"/>
          <w:szCs w:val="22"/>
          <w:highlight w:val="lightGray"/>
        </w:rPr>
      </w:pPr>
      <w:del w:id="12004" w:author="AbbVie2" w:date="2025-05-13T16:46:00Z">
        <w:r w:rsidRPr="008912CF">
          <w:rPr>
            <w:b/>
            <w:sz w:val="22"/>
            <w:szCs w:val="22"/>
          </w:rPr>
          <w:delText>2.</w:delText>
        </w:r>
        <w:r w:rsidRPr="008912CF">
          <w:rPr>
            <w:b/>
            <w:sz w:val="22"/>
            <w:szCs w:val="22"/>
          </w:rPr>
          <w:tab/>
          <w:delText>NOME DO TITULAR DA AUTORIZAÇÃO DE INTRODUÇÃO NO MERCADO</w:delText>
        </w:r>
      </w:del>
    </w:p>
    <w:p w14:paraId="54199C85" w14:textId="22383BA3" w:rsidR="004462A0" w:rsidRPr="008912CF" w:rsidRDefault="004462A0" w:rsidP="004462A0">
      <w:pPr>
        <w:tabs>
          <w:tab w:val="left" w:pos="720"/>
        </w:tabs>
        <w:rPr>
          <w:del w:id="12005" w:author="AbbVie2" w:date="2025-05-13T16:46:00Z"/>
          <w:sz w:val="22"/>
          <w:szCs w:val="22"/>
        </w:rPr>
      </w:pPr>
    </w:p>
    <w:p w14:paraId="7596732E" w14:textId="3B36BDC9" w:rsidR="004462A0" w:rsidRPr="008912CF" w:rsidRDefault="00615769" w:rsidP="004462A0">
      <w:pPr>
        <w:tabs>
          <w:tab w:val="left" w:pos="720"/>
        </w:tabs>
        <w:rPr>
          <w:del w:id="12006" w:author="AbbVie2" w:date="2025-05-13T16:46:00Z"/>
          <w:sz w:val="22"/>
          <w:szCs w:val="22"/>
        </w:rPr>
      </w:pPr>
      <w:del w:id="12007" w:author="AbbVie2" w:date="2025-05-13T16:46:00Z">
        <w:r w:rsidRPr="008912CF">
          <w:rPr>
            <w:sz w:val="22"/>
            <w:szCs w:val="22"/>
          </w:rPr>
          <w:delText xml:space="preserve">AbbVie </w:delText>
        </w:r>
        <w:r w:rsidR="003E67D6" w:rsidRPr="0074724A">
          <w:rPr>
            <w:sz w:val="22"/>
            <w:szCs w:val="22"/>
            <w:highlight w:val="lightGray"/>
            <w:lang w:eastAsia="en-GB"/>
          </w:rPr>
          <w:delText>(como logo)</w:delText>
        </w:r>
      </w:del>
    </w:p>
    <w:p w14:paraId="27CD95E3" w14:textId="3E1B93C6" w:rsidR="004462A0" w:rsidRPr="008912CF" w:rsidRDefault="004462A0" w:rsidP="004462A0">
      <w:pPr>
        <w:tabs>
          <w:tab w:val="left" w:pos="720"/>
        </w:tabs>
        <w:rPr>
          <w:del w:id="12008" w:author="AbbVie2" w:date="2025-05-13T16:46:00Z"/>
          <w:sz w:val="22"/>
          <w:szCs w:val="22"/>
        </w:rPr>
      </w:pPr>
    </w:p>
    <w:p w14:paraId="14FBE7C8" w14:textId="4300DEE8" w:rsidR="004462A0" w:rsidRPr="008912CF" w:rsidRDefault="004462A0" w:rsidP="004462A0">
      <w:pPr>
        <w:pStyle w:val="EndnoteText"/>
        <w:tabs>
          <w:tab w:val="clear" w:pos="567"/>
          <w:tab w:val="left" w:pos="720"/>
        </w:tabs>
        <w:rPr>
          <w:del w:id="12009" w:author="AbbVie2" w:date="2025-05-13T16:46:00Z"/>
          <w:szCs w:val="22"/>
        </w:rPr>
      </w:pPr>
    </w:p>
    <w:p w14:paraId="1EF78D9E" w14:textId="6F745EC6"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del w:id="12010" w:author="AbbVie2" w:date="2025-05-13T16:46:00Z"/>
          <w:b/>
          <w:sz w:val="22"/>
          <w:szCs w:val="22"/>
          <w:highlight w:val="lightGray"/>
        </w:rPr>
      </w:pPr>
      <w:del w:id="12011" w:author="AbbVie2" w:date="2025-05-13T16:46:00Z">
        <w:r w:rsidRPr="008912CF">
          <w:rPr>
            <w:b/>
            <w:sz w:val="22"/>
            <w:szCs w:val="22"/>
          </w:rPr>
          <w:delText>3.</w:delText>
        </w:r>
        <w:r w:rsidRPr="008912CF">
          <w:rPr>
            <w:b/>
            <w:sz w:val="22"/>
            <w:szCs w:val="22"/>
          </w:rPr>
          <w:tab/>
          <w:delText>PRAZO DE VALIDADE</w:delText>
        </w:r>
      </w:del>
    </w:p>
    <w:p w14:paraId="1A00B573" w14:textId="5E64CDEF" w:rsidR="004462A0" w:rsidRPr="008912CF" w:rsidRDefault="004462A0" w:rsidP="004462A0">
      <w:pPr>
        <w:tabs>
          <w:tab w:val="left" w:pos="720"/>
        </w:tabs>
        <w:rPr>
          <w:del w:id="12012" w:author="AbbVie2" w:date="2025-05-13T16:46:00Z"/>
          <w:sz w:val="22"/>
          <w:szCs w:val="22"/>
        </w:rPr>
      </w:pPr>
    </w:p>
    <w:p w14:paraId="283DC875" w14:textId="341A5990" w:rsidR="004462A0" w:rsidRPr="008912CF" w:rsidRDefault="00615769" w:rsidP="004462A0">
      <w:pPr>
        <w:tabs>
          <w:tab w:val="left" w:pos="720"/>
        </w:tabs>
        <w:rPr>
          <w:del w:id="12013" w:author="AbbVie2" w:date="2025-05-13T16:46:00Z"/>
          <w:sz w:val="22"/>
          <w:szCs w:val="22"/>
        </w:rPr>
      </w:pPr>
      <w:del w:id="12014" w:author="AbbVie2" w:date="2025-05-13T16:46:00Z">
        <w:r>
          <w:rPr>
            <w:sz w:val="22"/>
            <w:szCs w:val="22"/>
          </w:rPr>
          <w:delText>EXP</w:delText>
        </w:r>
      </w:del>
    </w:p>
    <w:p w14:paraId="653FF583" w14:textId="71EAC4CC" w:rsidR="004462A0" w:rsidRPr="008912CF" w:rsidRDefault="004462A0" w:rsidP="004462A0">
      <w:pPr>
        <w:tabs>
          <w:tab w:val="left" w:pos="720"/>
        </w:tabs>
        <w:rPr>
          <w:del w:id="12015" w:author="AbbVie2" w:date="2025-05-13T16:46:00Z"/>
          <w:sz w:val="22"/>
          <w:szCs w:val="22"/>
        </w:rPr>
      </w:pPr>
    </w:p>
    <w:p w14:paraId="61BA8797" w14:textId="568CBDFE" w:rsidR="004462A0" w:rsidRPr="008912CF" w:rsidRDefault="004462A0" w:rsidP="004462A0">
      <w:pPr>
        <w:tabs>
          <w:tab w:val="left" w:pos="720"/>
        </w:tabs>
        <w:rPr>
          <w:del w:id="12016" w:author="AbbVie2" w:date="2025-05-13T16:46:00Z"/>
          <w:sz w:val="22"/>
          <w:szCs w:val="22"/>
        </w:rPr>
      </w:pPr>
    </w:p>
    <w:p w14:paraId="4BF0A65D" w14:textId="6DED67D2"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017" w:author="AbbVie2" w:date="2025-05-13T16:46:00Z"/>
          <w:b/>
          <w:sz w:val="22"/>
          <w:szCs w:val="22"/>
          <w:highlight w:val="lightGray"/>
        </w:rPr>
      </w:pPr>
      <w:del w:id="12018" w:author="AbbVie2" w:date="2025-05-13T16:46:00Z">
        <w:r w:rsidRPr="008912CF">
          <w:rPr>
            <w:b/>
            <w:sz w:val="22"/>
            <w:szCs w:val="22"/>
          </w:rPr>
          <w:delText>4.</w:delText>
        </w:r>
        <w:r w:rsidRPr="008912CF">
          <w:rPr>
            <w:b/>
            <w:sz w:val="22"/>
            <w:szCs w:val="22"/>
          </w:rPr>
          <w:tab/>
          <w:delText>NÚMERO DO LOTE</w:delText>
        </w:r>
      </w:del>
    </w:p>
    <w:p w14:paraId="6A2B16F3" w14:textId="47B4D4CE" w:rsidR="004462A0" w:rsidRPr="008912CF" w:rsidRDefault="004462A0" w:rsidP="004462A0">
      <w:pPr>
        <w:tabs>
          <w:tab w:val="left" w:pos="720"/>
        </w:tabs>
        <w:rPr>
          <w:del w:id="12019" w:author="AbbVie2" w:date="2025-05-13T16:46:00Z"/>
          <w:sz w:val="22"/>
          <w:szCs w:val="22"/>
        </w:rPr>
      </w:pPr>
    </w:p>
    <w:p w14:paraId="121C47F7" w14:textId="71EAFE1A" w:rsidR="004462A0" w:rsidRPr="008912CF" w:rsidRDefault="00615769" w:rsidP="004462A0">
      <w:pPr>
        <w:tabs>
          <w:tab w:val="left" w:pos="720"/>
        </w:tabs>
        <w:rPr>
          <w:del w:id="12020" w:author="AbbVie2" w:date="2025-05-13T16:46:00Z"/>
          <w:sz w:val="22"/>
          <w:szCs w:val="22"/>
        </w:rPr>
      </w:pPr>
      <w:del w:id="12021" w:author="AbbVie2" w:date="2025-05-13T16:46:00Z">
        <w:r w:rsidRPr="008912CF">
          <w:rPr>
            <w:sz w:val="22"/>
            <w:szCs w:val="22"/>
          </w:rPr>
          <w:delText>Lote</w:delText>
        </w:r>
      </w:del>
    </w:p>
    <w:p w14:paraId="6201807B" w14:textId="5F231F5C" w:rsidR="004462A0" w:rsidRPr="008912CF" w:rsidRDefault="004462A0" w:rsidP="004462A0">
      <w:pPr>
        <w:tabs>
          <w:tab w:val="left" w:pos="720"/>
        </w:tabs>
        <w:rPr>
          <w:del w:id="12022" w:author="AbbVie2" w:date="2025-05-13T16:46:00Z"/>
          <w:sz w:val="22"/>
          <w:szCs w:val="22"/>
        </w:rPr>
      </w:pPr>
    </w:p>
    <w:p w14:paraId="6EAADFE6" w14:textId="6176E642" w:rsidR="004462A0" w:rsidRPr="008912CF" w:rsidRDefault="004462A0" w:rsidP="004462A0">
      <w:pPr>
        <w:tabs>
          <w:tab w:val="left" w:pos="720"/>
        </w:tabs>
        <w:rPr>
          <w:del w:id="12023" w:author="AbbVie2" w:date="2025-05-13T16:46:00Z"/>
          <w:sz w:val="22"/>
          <w:szCs w:val="22"/>
        </w:rPr>
      </w:pPr>
    </w:p>
    <w:p w14:paraId="2C5C6601" w14:textId="3AEB4066"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024" w:author="AbbVie2" w:date="2025-05-13T16:46:00Z"/>
          <w:b/>
          <w:sz w:val="22"/>
          <w:szCs w:val="22"/>
          <w:highlight w:val="lightGray"/>
        </w:rPr>
      </w:pPr>
      <w:del w:id="12025" w:author="AbbVie2" w:date="2025-05-13T16:46:00Z">
        <w:r w:rsidRPr="008912CF">
          <w:rPr>
            <w:b/>
            <w:sz w:val="22"/>
            <w:szCs w:val="22"/>
          </w:rPr>
          <w:delText>5.</w:delText>
        </w:r>
        <w:r w:rsidRPr="008912CF">
          <w:rPr>
            <w:b/>
            <w:sz w:val="22"/>
            <w:szCs w:val="22"/>
          </w:rPr>
          <w:tab/>
          <w:delText>OUTR</w:delText>
        </w:r>
        <w:r>
          <w:rPr>
            <w:b/>
            <w:sz w:val="22"/>
            <w:szCs w:val="22"/>
          </w:rPr>
          <w:delText>O</w:delText>
        </w:r>
        <w:r w:rsidRPr="008912CF">
          <w:rPr>
            <w:b/>
            <w:sz w:val="22"/>
            <w:szCs w:val="22"/>
          </w:rPr>
          <w:delText>S</w:delText>
        </w:r>
      </w:del>
    </w:p>
    <w:p w14:paraId="6FC1FA1E" w14:textId="6E125508" w:rsidR="004462A0" w:rsidRPr="008912CF" w:rsidRDefault="004462A0" w:rsidP="004462A0">
      <w:pPr>
        <w:pStyle w:val="EndnoteText"/>
        <w:tabs>
          <w:tab w:val="clear" w:pos="567"/>
          <w:tab w:val="left" w:pos="720"/>
        </w:tabs>
        <w:rPr>
          <w:del w:id="12026" w:author="AbbVie2" w:date="2025-05-13T16:46:00Z"/>
          <w:szCs w:val="22"/>
        </w:rPr>
      </w:pPr>
    </w:p>
    <w:p w14:paraId="7FA55538" w14:textId="663FBDFA" w:rsidR="004462A0" w:rsidRPr="008912CF" w:rsidRDefault="00615769" w:rsidP="004462A0">
      <w:pPr>
        <w:tabs>
          <w:tab w:val="left" w:pos="720"/>
        </w:tabs>
        <w:ind w:left="567" w:hanging="567"/>
        <w:rPr>
          <w:del w:id="12027" w:author="AbbVie2" w:date="2025-05-13T16:46:00Z"/>
          <w:sz w:val="22"/>
          <w:szCs w:val="22"/>
        </w:rPr>
      </w:pPr>
      <w:del w:id="12028" w:author="AbbVie2" w:date="2025-05-13T16:46:00Z">
        <w:r w:rsidRPr="008912CF">
          <w:rPr>
            <w:sz w:val="22"/>
            <w:szCs w:val="22"/>
          </w:rPr>
          <w:delText>Para informação de conservação, ver folheto informativo.</w:delText>
        </w:r>
      </w:del>
    </w:p>
    <w:p w14:paraId="04C33D28" w14:textId="3667FC6F" w:rsidR="004462A0" w:rsidRPr="008912CF" w:rsidRDefault="004462A0" w:rsidP="004462A0">
      <w:pPr>
        <w:shd w:val="clear" w:color="auto" w:fill="FFFFFF"/>
        <w:tabs>
          <w:tab w:val="left" w:pos="720"/>
        </w:tabs>
        <w:rPr>
          <w:del w:id="12029" w:author="AbbVie2" w:date="2025-05-13T16:46:00Z"/>
          <w:sz w:val="22"/>
          <w:szCs w:val="22"/>
        </w:rPr>
      </w:pPr>
    </w:p>
    <w:p w14:paraId="510DEC17" w14:textId="4D93BB67" w:rsidR="00437552" w:rsidRDefault="00615769" w:rsidP="004462A0">
      <w:pPr>
        <w:tabs>
          <w:tab w:val="left" w:pos="720"/>
        </w:tabs>
        <w:rPr>
          <w:del w:id="12030" w:author="AbbVie2" w:date="2025-05-13T16:46:00Z"/>
          <w:sz w:val="22"/>
          <w:szCs w:val="22"/>
        </w:rPr>
      </w:pPr>
      <w:del w:id="12031" w:author="AbbVie2" w:date="2025-05-13T16:46:00Z">
        <w:r w:rsidRPr="008912CF">
          <w:rPr>
            <w:sz w:val="22"/>
            <w:szCs w:val="22"/>
          </w:rPr>
          <w:delText>Apenas para uma única utilização</w:delText>
        </w:r>
        <w:r>
          <w:rPr>
            <w:sz w:val="22"/>
            <w:szCs w:val="22"/>
          </w:rPr>
          <w:delText>.</w:delText>
        </w:r>
      </w:del>
    </w:p>
    <w:p w14:paraId="1E270FEA" w14:textId="279BDE00" w:rsidR="004462A0" w:rsidRPr="008912CF" w:rsidRDefault="00615769" w:rsidP="004462A0">
      <w:pPr>
        <w:tabs>
          <w:tab w:val="left" w:pos="720"/>
        </w:tabs>
        <w:rPr>
          <w:del w:id="12032" w:author="AbbVie2" w:date="2025-05-13T16:46:00Z"/>
          <w:szCs w:val="22"/>
        </w:rPr>
      </w:pPr>
      <w:del w:id="12033" w:author="AbbVie2" w:date="2025-05-13T16:46:00Z">
        <w:r w:rsidRPr="008912CF">
          <w:rPr>
            <w:szCs w:val="22"/>
          </w:rPr>
          <w:br w:type="page"/>
        </w:r>
      </w:del>
    </w:p>
    <w:p w14:paraId="5B9A4A84" w14:textId="2843963B" w:rsidR="004462A0" w:rsidRPr="008912CF" w:rsidRDefault="00615769" w:rsidP="004462A0">
      <w:pPr>
        <w:pBdr>
          <w:top w:val="single" w:sz="4" w:space="1" w:color="auto"/>
          <w:left w:val="single" w:sz="4" w:space="1" w:color="auto"/>
          <w:bottom w:val="single" w:sz="4" w:space="1" w:color="auto"/>
          <w:right w:val="single" w:sz="4" w:space="1" w:color="auto"/>
        </w:pBdr>
        <w:tabs>
          <w:tab w:val="left" w:pos="567"/>
        </w:tabs>
        <w:rPr>
          <w:del w:id="12034" w:author="AbbVie2" w:date="2025-05-13T16:46:00Z"/>
          <w:b/>
          <w:sz w:val="22"/>
          <w:szCs w:val="22"/>
        </w:rPr>
      </w:pPr>
      <w:del w:id="12035" w:author="AbbVie2" w:date="2025-05-13T16:46:00Z">
        <w:r w:rsidRPr="008912CF">
          <w:rPr>
            <w:b/>
            <w:sz w:val="22"/>
            <w:szCs w:val="22"/>
          </w:rPr>
          <w:delText>INDICAÇÕES MÍNIMAS A INCLUIR EM PEQUENAS UNIDADES DE ACONDICIONAMENTO PRIMÁRIO</w:delText>
        </w:r>
      </w:del>
    </w:p>
    <w:p w14:paraId="492980DF" w14:textId="43E721C9" w:rsidR="004462A0" w:rsidRPr="008912CF" w:rsidRDefault="004462A0" w:rsidP="004462A0">
      <w:pPr>
        <w:pBdr>
          <w:top w:val="single" w:sz="4" w:space="1" w:color="auto"/>
          <w:left w:val="single" w:sz="4" w:space="1" w:color="auto"/>
          <w:bottom w:val="single" w:sz="4" w:space="1" w:color="auto"/>
          <w:right w:val="single" w:sz="4" w:space="1" w:color="auto"/>
        </w:pBdr>
        <w:tabs>
          <w:tab w:val="left" w:pos="567"/>
        </w:tabs>
        <w:rPr>
          <w:del w:id="12036" w:author="AbbVie2" w:date="2025-05-13T16:46:00Z"/>
          <w:b/>
          <w:bCs/>
          <w:sz w:val="22"/>
          <w:szCs w:val="22"/>
        </w:rPr>
      </w:pPr>
    </w:p>
    <w:p w14:paraId="5841B976" w14:textId="6DF6E483" w:rsidR="004462A0" w:rsidRPr="008912CF" w:rsidRDefault="00615769" w:rsidP="004462A0">
      <w:pPr>
        <w:pStyle w:val="Heading1"/>
        <w:keepNext w:val="0"/>
        <w:pBdr>
          <w:left w:val="single" w:sz="4" w:space="1" w:color="auto"/>
          <w:right w:val="single" w:sz="4" w:space="1" w:color="auto"/>
        </w:pBdr>
        <w:rPr>
          <w:del w:id="12037" w:author="AbbVie2" w:date="2025-05-13T16:46:00Z"/>
          <w:caps/>
          <w:szCs w:val="22"/>
        </w:rPr>
      </w:pPr>
      <w:del w:id="12038" w:author="AbbVie2" w:date="2025-05-13T16:46:00Z">
        <w:r w:rsidRPr="008912CF">
          <w:rPr>
            <w:caps/>
            <w:szCs w:val="22"/>
          </w:rPr>
          <w:delText>Rótulo da seringa</w:delText>
        </w:r>
      </w:del>
    </w:p>
    <w:p w14:paraId="6C74C486" w14:textId="33A97378" w:rsidR="004462A0" w:rsidRPr="008912CF" w:rsidRDefault="004462A0" w:rsidP="004462A0">
      <w:pPr>
        <w:pStyle w:val="Index1"/>
        <w:spacing w:line="240" w:lineRule="auto"/>
        <w:rPr>
          <w:del w:id="12039" w:author="AbbVie2" w:date="2025-05-13T16:46:00Z"/>
          <w:szCs w:val="22"/>
          <w:lang w:val="pt-PT"/>
        </w:rPr>
      </w:pPr>
    </w:p>
    <w:p w14:paraId="56A42EA8" w14:textId="06BFA26E" w:rsidR="004462A0" w:rsidRPr="008912CF" w:rsidRDefault="004462A0" w:rsidP="004462A0">
      <w:pPr>
        <w:tabs>
          <w:tab w:val="left" w:pos="720"/>
        </w:tabs>
        <w:rPr>
          <w:del w:id="12040" w:author="AbbVie2" w:date="2025-05-13T16:46:00Z"/>
          <w:b/>
          <w:sz w:val="22"/>
          <w:szCs w:val="22"/>
        </w:rPr>
      </w:pPr>
    </w:p>
    <w:p w14:paraId="739EC51C" w14:textId="70966A4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041" w:author="AbbVie2" w:date="2025-05-13T16:46:00Z"/>
          <w:b/>
          <w:sz w:val="22"/>
          <w:szCs w:val="22"/>
          <w:highlight w:val="lightGray"/>
        </w:rPr>
      </w:pPr>
      <w:del w:id="12042" w:author="AbbVie2" w:date="2025-05-13T16:46:00Z">
        <w:r w:rsidRPr="008912CF">
          <w:rPr>
            <w:b/>
            <w:sz w:val="22"/>
            <w:szCs w:val="22"/>
          </w:rPr>
          <w:delText>1.</w:delText>
        </w:r>
        <w:r w:rsidRPr="008912CF">
          <w:rPr>
            <w:b/>
            <w:sz w:val="22"/>
            <w:szCs w:val="22"/>
          </w:rPr>
          <w:tab/>
        </w:r>
        <w:r w:rsidRPr="008912CF">
          <w:rPr>
            <w:b/>
            <w:sz w:val="22"/>
            <w:szCs w:val="22"/>
          </w:rPr>
          <w:delText>NOME DO MEDICAMENTO E VIA DE ADMINISTRAÇÃO</w:delText>
        </w:r>
      </w:del>
    </w:p>
    <w:p w14:paraId="2CFCBA76" w14:textId="557811FD" w:rsidR="004462A0" w:rsidRPr="008912CF" w:rsidRDefault="004462A0" w:rsidP="004462A0">
      <w:pPr>
        <w:tabs>
          <w:tab w:val="left" w:pos="720"/>
        </w:tabs>
        <w:ind w:left="567" w:hanging="567"/>
        <w:rPr>
          <w:del w:id="12043" w:author="AbbVie2" w:date="2025-05-13T16:46:00Z"/>
          <w:sz w:val="22"/>
          <w:szCs w:val="22"/>
        </w:rPr>
      </w:pPr>
    </w:p>
    <w:p w14:paraId="7689FAEF" w14:textId="77C2E05D" w:rsidR="004462A0" w:rsidRPr="008912CF" w:rsidRDefault="00615769" w:rsidP="004462A0">
      <w:pPr>
        <w:tabs>
          <w:tab w:val="left" w:pos="720"/>
        </w:tabs>
        <w:rPr>
          <w:del w:id="12044" w:author="AbbVie2" w:date="2025-05-13T16:46:00Z"/>
          <w:sz w:val="22"/>
          <w:szCs w:val="22"/>
        </w:rPr>
      </w:pPr>
      <w:del w:id="12045" w:author="AbbVie2" w:date="2025-05-13T16:46:00Z">
        <w:r w:rsidRPr="008912CF">
          <w:rPr>
            <w:sz w:val="22"/>
            <w:szCs w:val="22"/>
          </w:rPr>
          <w:delText>Humira 40 mg solução injetável</w:delText>
        </w:r>
      </w:del>
    </w:p>
    <w:p w14:paraId="266C9A43" w14:textId="783C8CA8" w:rsidR="004462A0" w:rsidRPr="008912CF" w:rsidRDefault="00615769" w:rsidP="004462A0">
      <w:pPr>
        <w:tabs>
          <w:tab w:val="left" w:pos="720"/>
        </w:tabs>
        <w:rPr>
          <w:del w:id="12046" w:author="AbbVie2" w:date="2025-05-13T16:46:00Z"/>
          <w:sz w:val="22"/>
          <w:szCs w:val="22"/>
        </w:rPr>
      </w:pPr>
      <w:del w:id="12047" w:author="AbbVie2" w:date="2025-05-13T16:46:00Z">
        <w:r w:rsidRPr="008912CF">
          <w:rPr>
            <w:sz w:val="22"/>
            <w:szCs w:val="22"/>
          </w:rPr>
          <w:delText>adalimumab</w:delText>
        </w:r>
      </w:del>
    </w:p>
    <w:p w14:paraId="2F66C47F" w14:textId="320F2E8B" w:rsidR="004462A0" w:rsidRPr="008912CF" w:rsidRDefault="00615769" w:rsidP="004462A0">
      <w:pPr>
        <w:pStyle w:val="EndnoteText"/>
        <w:tabs>
          <w:tab w:val="clear" w:pos="567"/>
          <w:tab w:val="left" w:pos="720"/>
        </w:tabs>
        <w:rPr>
          <w:del w:id="12048" w:author="AbbVie2" w:date="2025-05-13T16:46:00Z"/>
          <w:szCs w:val="22"/>
        </w:rPr>
      </w:pPr>
      <w:del w:id="12049" w:author="AbbVie2" w:date="2025-05-13T16:46:00Z">
        <w:r>
          <w:rPr>
            <w:szCs w:val="22"/>
          </w:rPr>
          <w:delText>SC</w:delText>
        </w:r>
      </w:del>
    </w:p>
    <w:p w14:paraId="148D12E8" w14:textId="0B794997" w:rsidR="004462A0" w:rsidRPr="008912CF" w:rsidRDefault="004462A0" w:rsidP="004462A0">
      <w:pPr>
        <w:tabs>
          <w:tab w:val="left" w:pos="720"/>
        </w:tabs>
        <w:rPr>
          <w:del w:id="12050" w:author="AbbVie2" w:date="2025-05-13T16:46:00Z"/>
          <w:bCs/>
          <w:sz w:val="22"/>
          <w:szCs w:val="22"/>
        </w:rPr>
      </w:pPr>
    </w:p>
    <w:p w14:paraId="031B0ECC" w14:textId="4708D715" w:rsidR="004462A0" w:rsidRPr="008912CF" w:rsidRDefault="004462A0" w:rsidP="004462A0">
      <w:pPr>
        <w:tabs>
          <w:tab w:val="left" w:pos="720"/>
        </w:tabs>
        <w:rPr>
          <w:del w:id="12051" w:author="AbbVie2" w:date="2025-05-13T16:46:00Z"/>
          <w:bCs/>
          <w:sz w:val="22"/>
          <w:szCs w:val="22"/>
        </w:rPr>
      </w:pPr>
    </w:p>
    <w:p w14:paraId="40136AA5" w14:textId="076588E5"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del w:id="12052" w:author="AbbVie2" w:date="2025-05-13T16:46:00Z"/>
          <w:b/>
          <w:sz w:val="22"/>
          <w:szCs w:val="22"/>
          <w:highlight w:val="lightGray"/>
        </w:rPr>
      </w:pPr>
      <w:del w:id="12053" w:author="AbbVie2" w:date="2025-05-13T16:46:00Z">
        <w:r w:rsidRPr="008912CF">
          <w:rPr>
            <w:b/>
            <w:sz w:val="22"/>
            <w:szCs w:val="22"/>
          </w:rPr>
          <w:delText>2.</w:delText>
        </w:r>
        <w:r w:rsidRPr="008912CF">
          <w:rPr>
            <w:b/>
            <w:sz w:val="22"/>
            <w:szCs w:val="22"/>
          </w:rPr>
          <w:tab/>
          <w:delText>MODO DE ADMINISTRAÇÃO</w:delText>
        </w:r>
      </w:del>
    </w:p>
    <w:p w14:paraId="43EF212C" w14:textId="5D417C2D" w:rsidR="004462A0" w:rsidRPr="008912CF" w:rsidRDefault="004462A0" w:rsidP="004462A0">
      <w:pPr>
        <w:pStyle w:val="IndexHeading"/>
        <w:tabs>
          <w:tab w:val="clear" w:pos="567"/>
          <w:tab w:val="left" w:pos="720"/>
        </w:tabs>
        <w:spacing w:line="240" w:lineRule="auto"/>
        <w:rPr>
          <w:del w:id="12054" w:author="AbbVie2" w:date="2025-05-13T16:46:00Z"/>
          <w:rFonts w:ascii="Times New Roman" w:hAnsi="Times New Roman"/>
          <w:b w:val="0"/>
          <w:bCs/>
          <w:szCs w:val="22"/>
          <w:lang w:val="pt-PT"/>
        </w:rPr>
      </w:pPr>
    </w:p>
    <w:p w14:paraId="47D86EAC" w14:textId="3445B306" w:rsidR="004462A0" w:rsidRPr="008912CF" w:rsidRDefault="004462A0" w:rsidP="004462A0">
      <w:pPr>
        <w:tabs>
          <w:tab w:val="left" w:pos="720"/>
        </w:tabs>
        <w:rPr>
          <w:del w:id="12055" w:author="AbbVie2" w:date="2025-05-13T16:46:00Z"/>
          <w:bCs/>
          <w:sz w:val="22"/>
          <w:szCs w:val="22"/>
        </w:rPr>
      </w:pPr>
    </w:p>
    <w:p w14:paraId="551AA695" w14:textId="04FFCCEB"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056" w:author="AbbVie2" w:date="2025-05-13T16:46:00Z"/>
          <w:b/>
          <w:sz w:val="22"/>
          <w:szCs w:val="22"/>
          <w:highlight w:val="lightGray"/>
        </w:rPr>
      </w:pPr>
      <w:del w:id="12057" w:author="AbbVie2" w:date="2025-05-13T16:46:00Z">
        <w:r w:rsidRPr="008912CF">
          <w:rPr>
            <w:b/>
            <w:sz w:val="22"/>
            <w:szCs w:val="22"/>
          </w:rPr>
          <w:delText>3.</w:delText>
        </w:r>
        <w:r w:rsidRPr="008912CF">
          <w:rPr>
            <w:b/>
            <w:sz w:val="22"/>
            <w:szCs w:val="22"/>
          </w:rPr>
          <w:tab/>
          <w:delText>PRAZO DE VALIDADE</w:delText>
        </w:r>
      </w:del>
    </w:p>
    <w:p w14:paraId="7A7583C2" w14:textId="6464F8C2" w:rsidR="004462A0" w:rsidRPr="008912CF" w:rsidRDefault="004462A0" w:rsidP="004462A0">
      <w:pPr>
        <w:tabs>
          <w:tab w:val="left" w:pos="720"/>
        </w:tabs>
        <w:rPr>
          <w:del w:id="12058" w:author="AbbVie2" w:date="2025-05-13T16:46:00Z"/>
          <w:sz w:val="22"/>
          <w:szCs w:val="22"/>
        </w:rPr>
      </w:pPr>
    </w:p>
    <w:p w14:paraId="094C9D52" w14:textId="1E4FFFB9" w:rsidR="004462A0" w:rsidRPr="008912CF" w:rsidRDefault="00615769" w:rsidP="004462A0">
      <w:pPr>
        <w:pStyle w:val="EndnoteText"/>
        <w:tabs>
          <w:tab w:val="clear" w:pos="567"/>
          <w:tab w:val="left" w:pos="720"/>
        </w:tabs>
        <w:rPr>
          <w:del w:id="12059" w:author="AbbVie2" w:date="2025-05-13T16:46:00Z"/>
          <w:szCs w:val="22"/>
        </w:rPr>
      </w:pPr>
      <w:del w:id="12060" w:author="AbbVie2" w:date="2025-05-13T16:46:00Z">
        <w:r>
          <w:rPr>
            <w:szCs w:val="22"/>
          </w:rPr>
          <w:delText>EXP</w:delText>
        </w:r>
        <w:r w:rsidRPr="008912CF">
          <w:rPr>
            <w:szCs w:val="22"/>
          </w:rPr>
          <w:delText xml:space="preserve"> </w:delText>
        </w:r>
      </w:del>
    </w:p>
    <w:p w14:paraId="5B3BFF5F" w14:textId="7E120B7C" w:rsidR="004462A0" w:rsidRPr="008912CF" w:rsidRDefault="004462A0" w:rsidP="004462A0">
      <w:pPr>
        <w:tabs>
          <w:tab w:val="left" w:pos="720"/>
        </w:tabs>
        <w:rPr>
          <w:del w:id="12061" w:author="AbbVie2" w:date="2025-05-13T16:46:00Z"/>
          <w:sz w:val="22"/>
          <w:szCs w:val="22"/>
        </w:rPr>
      </w:pPr>
    </w:p>
    <w:p w14:paraId="27C0BC46" w14:textId="154F857E" w:rsidR="004462A0" w:rsidRPr="008912CF" w:rsidRDefault="004462A0" w:rsidP="004462A0">
      <w:pPr>
        <w:tabs>
          <w:tab w:val="left" w:pos="720"/>
        </w:tabs>
        <w:rPr>
          <w:del w:id="12062" w:author="AbbVie2" w:date="2025-05-13T16:46:00Z"/>
          <w:sz w:val="22"/>
          <w:szCs w:val="22"/>
        </w:rPr>
      </w:pPr>
    </w:p>
    <w:p w14:paraId="28039E53" w14:textId="5159766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063" w:author="AbbVie2" w:date="2025-05-13T16:46:00Z"/>
          <w:b/>
          <w:sz w:val="22"/>
          <w:szCs w:val="22"/>
          <w:highlight w:val="lightGray"/>
        </w:rPr>
      </w:pPr>
      <w:del w:id="12064" w:author="AbbVie2" w:date="2025-05-13T16:46:00Z">
        <w:r w:rsidRPr="008912CF">
          <w:rPr>
            <w:b/>
            <w:sz w:val="22"/>
            <w:szCs w:val="22"/>
          </w:rPr>
          <w:delText>4.</w:delText>
        </w:r>
        <w:r w:rsidRPr="008912CF">
          <w:rPr>
            <w:b/>
            <w:sz w:val="22"/>
            <w:szCs w:val="22"/>
          </w:rPr>
          <w:tab/>
          <w:delText>NÚMERO DO LOTE</w:delText>
        </w:r>
      </w:del>
    </w:p>
    <w:p w14:paraId="2DDDA846" w14:textId="70203CAF" w:rsidR="004462A0" w:rsidRPr="008912CF" w:rsidRDefault="004462A0" w:rsidP="004462A0">
      <w:pPr>
        <w:tabs>
          <w:tab w:val="left" w:pos="720"/>
        </w:tabs>
        <w:rPr>
          <w:del w:id="12065" w:author="AbbVie2" w:date="2025-05-13T16:46:00Z"/>
          <w:sz w:val="22"/>
          <w:szCs w:val="22"/>
        </w:rPr>
      </w:pPr>
    </w:p>
    <w:p w14:paraId="2B8D6244" w14:textId="62F7666C" w:rsidR="004462A0" w:rsidRPr="008912CF" w:rsidRDefault="00615769" w:rsidP="004462A0">
      <w:pPr>
        <w:tabs>
          <w:tab w:val="left" w:pos="720"/>
        </w:tabs>
        <w:rPr>
          <w:del w:id="12066" w:author="AbbVie2" w:date="2025-05-13T16:46:00Z"/>
          <w:sz w:val="22"/>
          <w:szCs w:val="22"/>
        </w:rPr>
      </w:pPr>
      <w:del w:id="12067" w:author="AbbVie2" w:date="2025-05-13T16:46:00Z">
        <w:r w:rsidRPr="008912CF">
          <w:rPr>
            <w:sz w:val="22"/>
            <w:szCs w:val="22"/>
          </w:rPr>
          <w:delText>Lote</w:delText>
        </w:r>
      </w:del>
    </w:p>
    <w:p w14:paraId="69FFA690" w14:textId="482129E1" w:rsidR="004462A0" w:rsidRPr="008912CF" w:rsidRDefault="004462A0" w:rsidP="004462A0">
      <w:pPr>
        <w:tabs>
          <w:tab w:val="left" w:pos="720"/>
        </w:tabs>
        <w:ind w:right="113"/>
        <w:rPr>
          <w:del w:id="12068" w:author="AbbVie2" w:date="2025-05-13T16:46:00Z"/>
          <w:sz w:val="22"/>
          <w:szCs w:val="22"/>
          <w:highlight w:val="lightGray"/>
        </w:rPr>
      </w:pPr>
    </w:p>
    <w:p w14:paraId="0FA5D6AE" w14:textId="3B50851D" w:rsidR="004462A0" w:rsidRPr="008912CF" w:rsidRDefault="004462A0" w:rsidP="004462A0">
      <w:pPr>
        <w:tabs>
          <w:tab w:val="left" w:pos="720"/>
        </w:tabs>
        <w:ind w:right="113"/>
        <w:rPr>
          <w:del w:id="12069" w:author="AbbVie2" w:date="2025-05-13T16:46:00Z"/>
          <w:sz w:val="22"/>
          <w:szCs w:val="22"/>
          <w:highlight w:val="lightGray"/>
        </w:rPr>
      </w:pPr>
    </w:p>
    <w:p w14:paraId="6829880E" w14:textId="0733F3D5"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070" w:author="AbbVie2" w:date="2025-05-13T16:46:00Z"/>
          <w:b/>
          <w:sz w:val="22"/>
          <w:szCs w:val="22"/>
          <w:highlight w:val="lightGray"/>
        </w:rPr>
      </w:pPr>
      <w:del w:id="12071" w:author="AbbVie2" w:date="2025-05-13T16:46:00Z">
        <w:r w:rsidRPr="008912CF">
          <w:rPr>
            <w:b/>
            <w:sz w:val="22"/>
            <w:szCs w:val="22"/>
          </w:rPr>
          <w:delText>5.</w:delText>
        </w:r>
        <w:r w:rsidRPr="008912CF">
          <w:rPr>
            <w:b/>
            <w:sz w:val="22"/>
            <w:szCs w:val="22"/>
          </w:rPr>
          <w:tab/>
          <w:delText>CONTEÚDO EM PESO, VOLUME OU UNIDADE</w:delText>
        </w:r>
      </w:del>
    </w:p>
    <w:p w14:paraId="1C557FCB" w14:textId="6F1DDF1C" w:rsidR="004462A0" w:rsidRPr="008912CF" w:rsidRDefault="004462A0" w:rsidP="004462A0">
      <w:pPr>
        <w:tabs>
          <w:tab w:val="left" w:pos="720"/>
        </w:tabs>
        <w:rPr>
          <w:del w:id="12072" w:author="AbbVie2" w:date="2025-05-13T16:46:00Z"/>
          <w:sz w:val="22"/>
          <w:szCs w:val="22"/>
        </w:rPr>
      </w:pPr>
    </w:p>
    <w:p w14:paraId="17144825" w14:textId="27A47AAA" w:rsidR="004462A0" w:rsidRPr="008912CF" w:rsidRDefault="00615769" w:rsidP="004462A0">
      <w:pPr>
        <w:tabs>
          <w:tab w:val="left" w:pos="720"/>
        </w:tabs>
        <w:rPr>
          <w:del w:id="12073" w:author="AbbVie2" w:date="2025-05-13T16:46:00Z"/>
          <w:sz w:val="22"/>
          <w:szCs w:val="22"/>
        </w:rPr>
      </w:pPr>
      <w:del w:id="12074" w:author="AbbVie2" w:date="2025-05-13T16:46:00Z">
        <w:r w:rsidRPr="008912CF">
          <w:rPr>
            <w:sz w:val="22"/>
            <w:szCs w:val="22"/>
          </w:rPr>
          <w:delText>40 mg/0,8 ml</w:delText>
        </w:r>
      </w:del>
    </w:p>
    <w:p w14:paraId="00206C2B" w14:textId="6C029EA0" w:rsidR="004462A0" w:rsidRPr="008912CF" w:rsidRDefault="004462A0" w:rsidP="004462A0">
      <w:pPr>
        <w:tabs>
          <w:tab w:val="left" w:pos="720"/>
        </w:tabs>
        <w:rPr>
          <w:del w:id="12075" w:author="AbbVie2" w:date="2025-05-13T16:46:00Z"/>
          <w:sz w:val="22"/>
          <w:szCs w:val="22"/>
        </w:rPr>
      </w:pPr>
    </w:p>
    <w:p w14:paraId="76E24DFD" w14:textId="3B8C5C48" w:rsidR="004462A0" w:rsidRPr="008912CF" w:rsidRDefault="004462A0" w:rsidP="004462A0">
      <w:pPr>
        <w:tabs>
          <w:tab w:val="left" w:pos="720"/>
        </w:tabs>
        <w:rPr>
          <w:del w:id="12076" w:author="AbbVie2" w:date="2025-05-13T16:46:00Z"/>
          <w:sz w:val="22"/>
          <w:szCs w:val="22"/>
        </w:rPr>
      </w:pPr>
    </w:p>
    <w:p w14:paraId="62D6CEBB" w14:textId="6A8FA1A0" w:rsidR="004462A0" w:rsidRPr="00431557"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077" w:author="AbbVie2" w:date="2025-05-13T16:46:00Z"/>
          <w:sz w:val="22"/>
          <w:szCs w:val="22"/>
          <w:highlight w:val="lightGray"/>
        </w:rPr>
      </w:pPr>
      <w:del w:id="12078" w:author="AbbVie2" w:date="2025-05-13T16:46:00Z">
        <w:r w:rsidRPr="008912CF">
          <w:rPr>
            <w:b/>
            <w:sz w:val="22"/>
            <w:szCs w:val="22"/>
          </w:rPr>
          <w:delText>6.</w:delText>
        </w:r>
        <w:r w:rsidRPr="008912CF">
          <w:rPr>
            <w:b/>
            <w:sz w:val="22"/>
            <w:szCs w:val="22"/>
          </w:rPr>
          <w:tab/>
          <w:delText>OUTR</w:delText>
        </w:r>
        <w:r>
          <w:rPr>
            <w:b/>
            <w:sz w:val="22"/>
            <w:szCs w:val="22"/>
          </w:rPr>
          <w:delText>O</w:delText>
        </w:r>
        <w:r w:rsidRPr="008912CF">
          <w:rPr>
            <w:b/>
            <w:sz w:val="22"/>
            <w:szCs w:val="22"/>
          </w:rPr>
          <w:delText>S</w:delText>
        </w:r>
      </w:del>
    </w:p>
    <w:p w14:paraId="65C5D2D8" w14:textId="46BCD4E8" w:rsidR="004462A0" w:rsidRPr="00431557" w:rsidRDefault="00615769" w:rsidP="004462A0">
      <w:pPr>
        <w:pStyle w:val="Heading3"/>
        <w:keepNext w:val="0"/>
        <w:spacing w:before="0" w:after="0" w:line="240" w:lineRule="auto"/>
        <w:rPr>
          <w:del w:id="12079" w:author="AbbVie2" w:date="2025-05-13T16:46:00Z"/>
          <w:b w:val="0"/>
          <w:sz w:val="22"/>
          <w:szCs w:val="22"/>
          <w:lang w:val="pt-PT"/>
        </w:rPr>
      </w:pPr>
      <w:del w:id="12080" w:author="AbbVie2" w:date="2025-05-13T16:46:00Z">
        <w:r w:rsidRPr="008912CF">
          <w:rPr>
            <w:sz w:val="22"/>
            <w:szCs w:val="22"/>
            <w:lang w:val="pt-PT"/>
          </w:rPr>
          <w:br w:type="page"/>
        </w:r>
      </w:del>
    </w:p>
    <w:p w14:paraId="71368C6C" w14:textId="0740CF94" w:rsidR="004462A0" w:rsidRPr="008912CF" w:rsidRDefault="00615769" w:rsidP="004462A0">
      <w:pPr>
        <w:pBdr>
          <w:top w:val="single" w:sz="4" w:space="1" w:color="auto"/>
          <w:left w:val="single" w:sz="4" w:space="4" w:color="auto"/>
          <w:bottom w:val="single" w:sz="4" w:space="1" w:color="auto"/>
          <w:right w:val="single" w:sz="4" w:space="4" w:color="auto"/>
        </w:pBdr>
        <w:tabs>
          <w:tab w:val="left" w:pos="567"/>
        </w:tabs>
        <w:rPr>
          <w:del w:id="12081" w:author="AbbVie2" w:date="2025-05-13T16:48:00Z"/>
          <w:sz w:val="22"/>
          <w:szCs w:val="22"/>
        </w:rPr>
      </w:pPr>
      <w:del w:id="12082" w:author="AbbVie2" w:date="2025-05-13T16:48:00Z">
        <w:r w:rsidRPr="008912CF">
          <w:rPr>
            <w:b/>
            <w:sz w:val="22"/>
            <w:szCs w:val="22"/>
          </w:rPr>
          <w:delText>INDICAÇÕES A INCLUIR NO ACONDICIONAMENTO SECUNDÁRIO</w:delText>
        </w:r>
      </w:del>
    </w:p>
    <w:p w14:paraId="54B5F0E9" w14:textId="5C680867" w:rsidR="004462A0" w:rsidRPr="00431557" w:rsidRDefault="004462A0" w:rsidP="004462A0">
      <w:pPr>
        <w:pStyle w:val="Heading1"/>
        <w:keepNext w:val="0"/>
        <w:rPr>
          <w:del w:id="12083" w:author="AbbVie2" w:date="2025-05-13T16:48:00Z"/>
          <w:b w:val="0"/>
          <w:caps/>
          <w:szCs w:val="22"/>
        </w:rPr>
      </w:pPr>
    </w:p>
    <w:p w14:paraId="62E80737" w14:textId="7B4ADCD3" w:rsidR="004462A0" w:rsidRPr="00431557" w:rsidRDefault="00615769" w:rsidP="004462A0">
      <w:pPr>
        <w:pStyle w:val="Heading1"/>
        <w:keepNext w:val="0"/>
        <w:rPr>
          <w:del w:id="12084" w:author="AbbVie2" w:date="2025-05-13T16:48:00Z"/>
          <w:b w:val="0"/>
          <w:caps/>
          <w:szCs w:val="22"/>
        </w:rPr>
      </w:pPr>
      <w:del w:id="12085" w:author="AbbVie2" w:date="2025-05-13T16:48:00Z">
        <w:r w:rsidRPr="008912CF">
          <w:rPr>
            <w:caps/>
            <w:szCs w:val="22"/>
          </w:rPr>
          <w:delText>Embalagem exterior</w:delText>
        </w:r>
      </w:del>
    </w:p>
    <w:p w14:paraId="7A69AA62" w14:textId="020690C7" w:rsidR="004462A0" w:rsidRPr="00431557" w:rsidRDefault="004462A0" w:rsidP="004462A0">
      <w:pPr>
        <w:tabs>
          <w:tab w:val="left" w:pos="567"/>
        </w:tabs>
        <w:rPr>
          <w:del w:id="12086" w:author="AbbVie2" w:date="2025-05-13T16:48:00Z"/>
          <w:sz w:val="22"/>
          <w:szCs w:val="22"/>
        </w:rPr>
      </w:pPr>
    </w:p>
    <w:p w14:paraId="42BA76E6" w14:textId="50ECDB2A" w:rsidR="004462A0" w:rsidRPr="00431557" w:rsidRDefault="004462A0" w:rsidP="004462A0">
      <w:pPr>
        <w:tabs>
          <w:tab w:val="left" w:pos="567"/>
        </w:tabs>
        <w:rPr>
          <w:del w:id="12087" w:author="AbbVie2" w:date="2025-05-13T16:48:00Z"/>
          <w:sz w:val="22"/>
          <w:szCs w:val="22"/>
        </w:rPr>
      </w:pPr>
    </w:p>
    <w:p w14:paraId="067034CB" w14:textId="1463B4AF"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088" w:author="AbbVie2" w:date="2025-05-13T16:48:00Z"/>
          <w:sz w:val="22"/>
          <w:szCs w:val="22"/>
        </w:rPr>
      </w:pPr>
      <w:del w:id="12089" w:author="AbbVie2" w:date="2025-05-13T16:48:00Z">
        <w:r w:rsidRPr="008912CF">
          <w:rPr>
            <w:b/>
            <w:sz w:val="22"/>
            <w:szCs w:val="22"/>
          </w:rPr>
          <w:delText>1.</w:delText>
        </w:r>
        <w:r w:rsidRPr="008912CF">
          <w:rPr>
            <w:b/>
            <w:sz w:val="22"/>
            <w:szCs w:val="22"/>
          </w:rPr>
          <w:tab/>
          <w:delText>NOME DO MEDICAMENTO</w:delText>
        </w:r>
      </w:del>
    </w:p>
    <w:p w14:paraId="19A5FE0E" w14:textId="50175758" w:rsidR="004462A0" w:rsidRPr="008912CF" w:rsidRDefault="004462A0" w:rsidP="004462A0">
      <w:pPr>
        <w:tabs>
          <w:tab w:val="left" w:pos="720"/>
        </w:tabs>
        <w:rPr>
          <w:del w:id="12090" w:author="AbbVie2" w:date="2025-05-13T16:48:00Z"/>
          <w:sz w:val="22"/>
          <w:szCs w:val="22"/>
        </w:rPr>
      </w:pPr>
    </w:p>
    <w:p w14:paraId="10101C4E" w14:textId="57C787E5" w:rsidR="004462A0" w:rsidRPr="008912CF" w:rsidRDefault="00615769" w:rsidP="004462A0">
      <w:pPr>
        <w:tabs>
          <w:tab w:val="left" w:pos="720"/>
        </w:tabs>
        <w:rPr>
          <w:del w:id="12091" w:author="AbbVie2" w:date="2025-05-13T16:48:00Z"/>
          <w:sz w:val="22"/>
          <w:szCs w:val="22"/>
        </w:rPr>
      </w:pPr>
      <w:del w:id="12092" w:author="AbbVie2" w:date="2025-05-13T16:48:00Z">
        <w:r w:rsidRPr="008912CF">
          <w:rPr>
            <w:sz w:val="22"/>
            <w:szCs w:val="22"/>
          </w:rPr>
          <w:delText>Humira 40 mg solução injetável em seringa pré-cheia</w:delText>
        </w:r>
      </w:del>
    </w:p>
    <w:p w14:paraId="551A9F2C" w14:textId="71E0604E" w:rsidR="004462A0" w:rsidRPr="008912CF" w:rsidRDefault="00615769" w:rsidP="004462A0">
      <w:pPr>
        <w:pStyle w:val="EndnoteText"/>
        <w:tabs>
          <w:tab w:val="clear" w:pos="567"/>
          <w:tab w:val="left" w:pos="720"/>
        </w:tabs>
        <w:rPr>
          <w:del w:id="12093" w:author="AbbVie2" w:date="2025-05-13T16:48:00Z"/>
          <w:szCs w:val="22"/>
        </w:rPr>
      </w:pPr>
      <w:del w:id="12094" w:author="AbbVie2" w:date="2025-05-13T16:48:00Z">
        <w:r w:rsidRPr="008912CF">
          <w:rPr>
            <w:szCs w:val="22"/>
          </w:rPr>
          <w:delText>adalimumab</w:delText>
        </w:r>
      </w:del>
    </w:p>
    <w:p w14:paraId="795935B8" w14:textId="47DB7E2E" w:rsidR="004462A0" w:rsidRPr="008912CF" w:rsidRDefault="004462A0" w:rsidP="004462A0">
      <w:pPr>
        <w:rPr>
          <w:del w:id="12095" w:author="AbbVie2" w:date="2025-05-13T16:48:00Z"/>
          <w:sz w:val="22"/>
          <w:szCs w:val="22"/>
        </w:rPr>
      </w:pPr>
    </w:p>
    <w:p w14:paraId="6E6ED2C5" w14:textId="4A848FA4" w:rsidR="004462A0" w:rsidRPr="008912CF" w:rsidRDefault="004462A0" w:rsidP="004462A0">
      <w:pPr>
        <w:rPr>
          <w:del w:id="12096" w:author="AbbVie2" w:date="2025-05-13T16:48:00Z"/>
          <w:sz w:val="22"/>
          <w:szCs w:val="22"/>
        </w:rPr>
      </w:pPr>
    </w:p>
    <w:p w14:paraId="2C98C462" w14:textId="16A7585E"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097" w:author="AbbVie2" w:date="2025-05-13T16:48:00Z"/>
          <w:sz w:val="22"/>
          <w:szCs w:val="22"/>
        </w:rPr>
      </w:pPr>
      <w:del w:id="12098" w:author="AbbVie2" w:date="2025-05-13T16:48:00Z">
        <w:r w:rsidRPr="008912CF">
          <w:rPr>
            <w:b/>
            <w:sz w:val="22"/>
            <w:szCs w:val="22"/>
          </w:rPr>
          <w:delText>2.</w:delText>
        </w:r>
        <w:r w:rsidRPr="008912CF">
          <w:rPr>
            <w:b/>
            <w:sz w:val="22"/>
            <w:szCs w:val="22"/>
          </w:rPr>
          <w:tab/>
        </w:r>
        <w:r w:rsidRPr="008912CF">
          <w:rPr>
            <w:b/>
            <w:bCs/>
            <w:sz w:val="22"/>
            <w:szCs w:val="22"/>
          </w:rPr>
          <w:delText>DESCRIÇÃO DA SUBSTÂNCIA ATIVA</w:delText>
        </w:r>
      </w:del>
    </w:p>
    <w:p w14:paraId="7BB29DF8" w14:textId="2CF5C36D" w:rsidR="004462A0" w:rsidRPr="008912CF" w:rsidRDefault="004462A0" w:rsidP="004462A0">
      <w:pPr>
        <w:tabs>
          <w:tab w:val="left" w:pos="720"/>
        </w:tabs>
        <w:rPr>
          <w:del w:id="12099" w:author="AbbVie2" w:date="2025-05-13T16:48:00Z"/>
          <w:sz w:val="22"/>
          <w:szCs w:val="22"/>
        </w:rPr>
      </w:pPr>
    </w:p>
    <w:p w14:paraId="0E63200B" w14:textId="69B145A5" w:rsidR="004462A0" w:rsidRPr="008912CF" w:rsidRDefault="00615769" w:rsidP="004462A0">
      <w:pPr>
        <w:tabs>
          <w:tab w:val="left" w:pos="720"/>
        </w:tabs>
        <w:rPr>
          <w:del w:id="12100" w:author="AbbVie2" w:date="2025-05-13T16:48:00Z"/>
          <w:sz w:val="22"/>
          <w:szCs w:val="22"/>
        </w:rPr>
      </w:pPr>
      <w:del w:id="12101" w:author="AbbVie2" w:date="2025-05-13T16:48:00Z">
        <w:r w:rsidRPr="008912CF">
          <w:rPr>
            <w:sz w:val="22"/>
            <w:szCs w:val="22"/>
          </w:rPr>
          <w:delText xml:space="preserve">Uma seringa pré-cheia de 0,8 ml </w:delText>
        </w:r>
        <w:r w:rsidRPr="008912CF">
          <w:rPr>
            <w:color w:val="000000"/>
            <w:sz w:val="22"/>
            <w:szCs w:val="22"/>
          </w:rPr>
          <w:delText>com sistema de proteção</w:delText>
        </w:r>
        <w:r w:rsidRPr="008912CF">
          <w:rPr>
            <w:sz w:val="22"/>
            <w:szCs w:val="22"/>
          </w:rPr>
          <w:delText xml:space="preserve"> contém 40 mg de adalimumab</w:delText>
        </w:r>
        <w:r w:rsidR="00800A92">
          <w:rPr>
            <w:sz w:val="22"/>
            <w:szCs w:val="22"/>
          </w:rPr>
          <w:delText>.</w:delText>
        </w:r>
      </w:del>
    </w:p>
    <w:p w14:paraId="0BD0FDAC" w14:textId="50C9AEAC" w:rsidR="004462A0" w:rsidRPr="008912CF" w:rsidRDefault="004462A0" w:rsidP="004462A0">
      <w:pPr>
        <w:tabs>
          <w:tab w:val="left" w:pos="720"/>
        </w:tabs>
        <w:rPr>
          <w:del w:id="12102" w:author="AbbVie2" w:date="2025-05-13T16:48:00Z"/>
          <w:sz w:val="22"/>
          <w:szCs w:val="22"/>
        </w:rPr>
      </w:pPr>
    </w:p>
    <w:p w14:paraId="6BA06162" w14:textId="643ECD41" w:rsidR="004462A0" w:rsidRPr="008912CF" w:rsidRDefault="004462A0" w:rsidP="004462A0">
      <w:pPr>
        <w:tabs>
          <w:tab w:val="left" w:pos="720"/>
        </w:tabs>
        <w:rPr>
          <w:del w:id="12103" w:author="AbbVie2" w:date="2025-05-13T16:48:00Z"/>
          <w:sz w:val="22"/>
          <w:szCs w:val="22"/>
        </w:rPr>
      </w:pPr>
    </w:p>
    <w:p w14:paraId="02C4EBC2" w14:textId="570B0E45" w:rsidR="004462A0" w:rsidRPr="008912CF" w:rsidRDefault="00615769" w:rsidP="004462A0">
      <w:pPr>
        <w:pBdr>
          <w:top w:val="single" w:sz="4" w:space="1" w:color="auto"/>
          <w:left w:val="single" w:sz="4" w:space="4" w:color="auto"/>
          <w:bottom w:val="single" w:sz="4" w:space="2" w:color="auto"/>
          <w:right w:val="single" w:sz="4" w:space="4" w:color="auto"/>
        </w:pBdr>
        <w:shd w:val="clear" w:color="auto" w:fill="FFFFFF"/>
        <w:tabs>
          <w:tab w:val="left" w:pos="720"/>
        </w:tabs>
        <w:ind w:left="567" w:hanging="567"/>
        <w:rPr>
          <w:del w:id="12104" w:author="AbbVie2" w:date="2025-05-13T16:48:00Z"/>
          <w:sz w:val="22"/>
          <w:szCs w:val="22"/>
          <w:highlight w:val="lightGray"/>
        </w:rPr>
      </w:pPr>
      <w:del w:id="12105" w:author="AbbVie2" w:date="2025-05-13T16:48:00Z">
        <w:r w:rsidRPr="008912CF">
          <w:rPr>
            <w:b/>
            <w:sz w:val="22"/>
            <w:szCs w:val="22"/>
          </w:rPr>
          <w:delText>3.</w:delText>
        </w:r>
        <w:r w:rsidRPr="008912CF">
          <w:rPr>
            <w:b/>
            <w:sz w:val="22"/>
            <w:szCs w:val="22"/>
          </w:rPr>
          <w:tab/>
          <w:delText>LISTA DOS EXCIPIENTES</w:delText>
        </w:r>
      </w:del>
    </w:p>
    <w:p w14:paraId="57952E64" w14:textId="5E2F5AAF" w:rsidR="004462A0" w:rsidRPr="008912CF" w:rsidRDefault="004462A0" w:rsidP="004462A0">
      <w:pPr>
        <w:tabs>
          <w:tab w:val="left" w:pos="720"/>
        </w:tabs>
        <w:rPr>
          <w:del w:id="12106" w:author="AbbVie2" w:date="2025-05-13T16:48:00Z"/>
          <w:sz w:val="22"/>
          <w:szCs w:val="22"/>
        </w:rPr>
      </w:pPr>
    </w:p>
    <w:p w14:paraId="1121A606" w14:textId="5801B42A" w:rsidR="004462A0" w:rsidRPr="008912CF" w:rsidRDefault="00615769" w:rsidP="004462A0">
      <w:pPr>
        <w:tabs>
          <w:tab w:val="left" w:pos="720"/>
        </w:tabs>
        <w:rPr>
          <w:del w:id="12107" w:author="AbbVie2" w:date="2025-05-13T16:48:00Z"/>
          <w:sz w:val="22"/>
          <w:szCs w:val="22"/>
        </w:rPr>
      </w:pPr>
      <w:del w:id="12108" w:author="AbbVie2" w:date="2025-05-13T16:48:00Z">
        <w:r w:rsidRPr="008912CF">
          <w:rPr>
            <w:sz w:val="22"/>
            <w:szCs w:val="22"/>
          </w:rPr>
          <w:delText>Excipientes: manitol, ácido cítrico mono-hidratado, citrato de sódio, fosfato monossódico di-hidratado, fostato dissódico di-hidratado, cloreto de sódio, polissorbato 80, hidróxido de sódio e água para preparações injetáveis. Consultar o folheto informativo para informação adicional.</w:delText>
        </w:r>
      </w:del>
    </w:p>
    <w:p w14:paraId="52EAE9AD" w14:textId="546993A9" w:rsidR="004462A0" w:rsidRPr="008912CF" w:rsidRDefault="004462A0" w:rsidP="004462A0">
      <w:pPr>
        <w:tabs>
          <w:tab w:val="left" w:pos="720"/>
        </w:tabs>
        <w:rPr>
          <w:del w:id="12109" w:author="AbbVie2" w:date="2025-05-13T16:48:00Z"/>
          <w:sz w:val="22"/>
          <w:szCs w:val="22"/>
        </w:rPr>
      </w:pPr>
    </w:p>
    <w:p w14:paraId="19138637" w14:textId="7152A384" w:rsidR="004462A0" w:rsidRPr="008912CF" w:rsidRDefault="004462A0" w:rsidP="004462A0">
      <w:pPr>
        <w:tabs>
          <w:tab w:val="left" w:pos="720"/>
        </w:tabs>
        <w:rPr>
          <w:del w:id="12110" w:author="AbbVie2" w:date="2025-05-13T16:48:00Z"/>
          <w:sz w:val="22"/>
          <w:szCs w:val="22"/>
        </w:rPr>
      </w:pPr>
    </w:p>
    <w:p w14:paraId="1D10A2D5" w14:textId="6BFB9DD3"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111" w:author="AbbVie2" w:date="2025-05-13T16:48:00Z"/>
          <w:sz w:val="22"/>
          <w:szCs w:val="22"/>
          <w:highlight w:val="lightGray"/>
        </w:rPr>
      </w:pPr>
      <w:del w:id="12112" w:author="AbbVie2" w:date="2025-05-13T16:48:00Z">
        <w:r w:rsidRPr="008912CF">
          <w:rPr>
            <w:b/>
            <w:sz w:val="22"/>
            <w:szCs w:val="22"/>
          </w:rPr>
          <w:delText>4.</w:delText>
        </w:r>
        <w:r w:rsidRPr="008912CF">
          <w:rPr>
            <w:b/>
            <w:sz w:val="22"/>
            <w:szCs w:val="22"/>
          </w:rPr>
          <w:tab/>
          <w:delText>FORMA FARMACÊUTICA E CONTEÚDO</w:delText>
        </w:r>
      </w:del>
    </w:p>
    <w:p w14:paraId="2243775C" w14:textId="2EE2A9E1" w:rsidR="004462A0" w:rsidRPr="008912CF" w:rsidRDefault="004462A0" w:rsidP="004462A0">
      <w:pPr>
        <w:tabs>
          <w:tab w:val="left" w:pos="720"/>
        </w:tabs>
        <w:rPr>
          <w:del w:id="12113" w:author="AbbVie2" w:date="2025-05-13T16:48:00Z"/>
          <w:sz w:val="22"/>
          <w:szCs w:val="22"/>
        </w:rPr>
      </w:pPr>
    </w:p>
    <w:p w14:paraId="1146BDD2" w14:textId="26D7E423" w:rsidR="00A14CF0" w:rsidRPr="002112C5" w:rsidRDefault="00615769" w:rsidP="004462A0">
      <w:pPr>
        <w:tabs>
          <w:tab w:val="left" w:pos="720"/>
        </w:tabs>
        <w:rPr>
          <w:del w:id="12114" w:author="AbbVie2" w:date="2025-05-13T16:48:00Z"/>
          <w:sz w:val="22"/>
          <w:szCs w:val="22"/>
          <w:shd w:val="pct15" w:color="auto" w:fill="FFFFFF"/>
        </w:rPr>
      </w:pPr>
      <w:del w:id="12115" w:author="AbbVie2" w:date="2025-05-13T16:48:00Z">
        <w:r w:rsidRPr="002112C5">
          <w:rPr>
            <w:sz w:val="22"/>
            <w:szCs w:val="22"/>
            <w:shd w:val="pct15" w:color="auto" w:fill="FFFFFF"/>
          </w:rPr>
          <w:delText>Solução injetáve</w:delText>
        </w:r>
        <w:r w:rsidR="005A576B" w:rsidRPr="002112C5">
          <w:rPr>
            <w:sz w:val="22"/>
            <w:szCs w:val="22"/>
            <w:shd w:val="pct15" w:color="auto" w:fill="FFFFFF"/>
          </w:rPr>
          <w:delText>l</w:delText>
        </w:r>
      </w:del>
    </w:p>
    <w:p w14:paraId="61ECDA02" w14:textId="1A5AEBF7" w:rsidR="004462A0" w:rsidRPr="008912CF" w:rsidRDefault="00615769" w:rsidP="004462A0">
      <w:pPr>
        <w:tabs>
          <w:tab w:val="left" w:pos="720"/>
        </w:tabs>
        <w:rPr>
          <w:del w:id="12116" w:author="AbbVie2" w:date="2025-05-13T16:48:00Z"/>
          <w:sz w:val="22"/>
          <w:szCs w:val="22"/>
        </w:rPr>
      </w:pPr>
      <w:del w:id="12117" w:author="AbbVie2" w:date="2025-05-13T16:48:00Z">
        <w:r w:rsidRPr="008912CF">
          <w:rPr>
            <w:sz w:val="22"/>
            <w:szCs w:val="22"/>
          </w:rPr>
          <w:delText xml:space="preserve">1 seringa pré-cheia </w:delText>
        </w:r>
      </w:del>
    </w:p>
    <w:p w14:paraId="56746BD2" w14:textId="05A5449B" w:rsidR="004462A0" w:rsidRPr="008912CF" w:rsidRDefault="00615769" w:rsidP="004462A0">
      <w:pPr>
        <w:tabs>
          <w:tab w:val="left" w:pos="720"/>
        </w:tabs>
        <w:rPr>
          <w:del w:id="12118" w:author="AbbVie2" w:date="2025-05-13T16:48:00Z"/>
          <w:i/>
          <w:sz w:val="22"/>
          <w:szCs w:val="22"/>
        </w:rPr>
      </w:pPr>
      <w:del w:id="12119" w:author="AbbVie2" w:date="2025-05-13T16:48:00Z">
        <w:r w:rsidRPr="008912CF">
          <w:rPr>
            <w:sz w:val="22"/>
            <w:szCs w:val="22"/>
          </w:rPr>
          <w:delText>1 compressa embebida em álcool</w:delText>
        </w:r>
      </w:del>
    </w:p>
    <w:p w14:paraId="4B59431C" w14:textId="3045B38B" w:rsidR="00A14CF0" w:rsidRPr="008912CF" w:rsidRDefault="00A14CF0" w:rsidP="004462A0">
      <w:pPr>
        <w:tabs>
          <w:tab w:val="left" w:pos="720"/>
        </w:tabs>
        <w:rPr>
          <w:del w:id="12120" w:author="AbbVie2" w:date="2025-05-13T16:48:00Z"/>
          <w:sz w:val="22"/>
          <w:szCs w:val="22"/>
          <w:highlight w:val="yellow"/>
        </w:rPr>
      </w:pPr>
    </w:p>
    <w:p w14:paraId="3A70719F" w14:textId="7D05AF0A" w:rsidR="004462A0" w:rsidRPr="008912CF" w:rsidRDefault="004462A0" w:rsidP="004462A0">
      <w:pPr>
        <w:tabs>
          <w:tab w:val="left" w:pos="720"/>
        </w:tabs>
        <w:rPr>
          <w:del w:id="12121" w:author="AbbVie2" w:date="2025-05-13T16:48:00Z"/>
          <w:color w:val="000000"/>
          <w:sz w:val="22"/>
          <w:szCs w:val="22"/>
          <w:u w:val="single"/>
        </w:rPr>
      </w:pPr>
    </w:p>
    <w:p w14:paraId="06C3C28C" w14:textId="25D264FE"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122" w:author="AbbVie2" w:date="2025-05-13T16:48:00Z"/>
          <w:sz w:val="22"/>
          <w:szCs w:val="22"/>
          <w:highlight w:val="lightGray"/>
        </w:rPr>
      </w:pPr>
      <w:del w:id="12123" w:author="AbbVie2" w:date="2025-05-13T16:48:00Z">
        <w:r w:rsidRPr="008912CF">
          <w:rPr>
            <w:b/>
            <w:sz w:val="22"/>
            <w:szCs w:val="22"/>
          </w:rPr>
          <w:delText>5.</w:delText>
        </w:r>
        <w:r w:rsidRPr="008912CF">
          <w:rPr>
            <w:b/>
            <w:sz w:val="22"/>
            <w:szCs w:val="22"/>
          </w:rPr>
          <w:tab/>
          <w:delText>MODO E VIA DE ADMINISTRAÇÃO</w:delText>
        </w:r>
      </w:del>
    </w:p>
    <w:p w14:paraId="1F0B29E9" w14:textId="13791CB3" w:rsidR="004462A0" w:rsidRPr="008912CF" w:rsidRDefault="004462A0" w:rsidP="004462A0">
      <w:pPr>
        <w:tabs>
          <w:tab w:val="left" w:pos="720"/>
        </w:tabs>
        <w:rPr>
          <w:del w:id="12124" w:author="AbbVie2" w:date="2025-05-13T16:48:00Z"/>
          <w:sz w:val="22"/>
          <w:szCs w:val="22"/>
        </w:rPr>
      </w:pPr>
    </w:p>
    <w:p w14:paraId="0A539A34" w14:textId="6F002693" w:rsidR="004462A0" w:rsidRPr="008912CF" w:rsidRDefault="00615769" w:rsidP="004462A0">
      <w:pPr>
        <w:tabs>
          <w:tab w:val="left" w:pos="720"/>
        </w:tabs>
        <w:rPr>
          <w:del w:id="12125" w:author="AbbVie2" w:date="2025-05-13T16:48:00Z"/>
          <w:sz w:val="22"/>
          <w:szCs w:val="22"/>
        </w:rPr>
      </w:pPr>
      <w:del w:id="12126" w:author="AbbVie2" w:date="2025-05-13T16:48:00Z">
        <w:r w:rsidRPr="008912CF">
          <w:rPr>
            <w:sz w:val="22"/>
            <w:szCs w:val="22"/>
          </w:rPr>
          <w:delText>Via subcutânea</w:delText>
        </w:r>
      </w:del>
    </w:p>
    <w:p w14:paraId="444F661A" w14:textId="73D4CABD" w:rsidR="004462A0" w:rsidRPr="008912CF" w:rsidRDefault="004462A0" w:rsidP="004462A0">
      <w:pPr>
        <w:tabs>
          <w:tab w:val="left" w:pos="720"/>
        </w:tabs>
        <w:rPr>
          <w:del w:id="12127" w:author="AbbVie2" w:date="2025-05-13T16:48:00Z"/>
          <w:sz w:val="22"/>
          <w:szCs w:val="22"/>
        </w:rPr>
      </w:pPr>
    </w:p>
    <w:p w14:paraId="350CC98A" w14:textId="596C783E" w:rsidR="004462A0" w:rsidRDefault="00615769" w:rsidP="004462A0">
      <w:pPr>
        <w:tabs>
          <w:tab w:val="left" w:pos="720"/>
        </w:tabs>
        <w:rPr>
          <w:del w:id="12128" w:author="AbbVie2" w:date="2025-05-13T16:48:00Z"/>
          <w:sz w:val="22"/>
          <w:szCs w:val="22"/>
        </w:rPr>
      </w:pPr>
      <w:del w:id="12129" w:author="AbbVie2" w:date="2025-05-13T16:48:00Z">
        <w:r w:rsidRPr="008912CF">
          <w:rPr>
            <w:sz w:val="22"/>
            <w:szCs w:val="22"/>
          </w:rPr>
          <w:delText>Consultar o folheto informativo antes de utilizar.</w:delText>
        </w:r>
      </w:del>
    </w:p>
    <w:p w14:paraId="469C81A8" w14:textId="314DC5E1" w:rsidR="00A14CF0" w:rsidRPr="008912CF" w:rsidRDefault="00A14CF0" w:rsidP="004462A0">
      <w:pPr>
        <w:tabs>
          <w:tab w:val="left" w:pos="720"/>
        </w:tabs>
        <w:rPr>
          <w:del w:id="12130" w:author="AbbVie2" w:date="2025-05-13T16:48:00Z"/>
          <w:sz w:val="22"/>
          <w:szCs w:val="22"/>
        </w:rPr>
      </w:pPr>
    </w:p>
    <w:p w14:paraId="7D26F1A7" w14:textId="475D5B2B" w:rsidR="00437552" w:rsidRDefault="00615769" w:rsidP="00437552">
      <w:pPr>
        <w:tabs>
          <w:tab w:val="left" w:pos="720"/>
        </w:tabs>
        <w:rPr>
          <w:del w:id="12131" w:author="AbbVie2" w:date="2025-05-13T16:48:00Z"/>
          <w:sz w:val="22"/>
          <w:szCs w:val="22"/>
        </w:rPr>
      </w:pPr>
      <w:del w:id="12132" w:author="AbbVie2" w:date="2025-05-13T16:48:00Z">
        <w:r w:rsidRPr="00437552">
          <w:rPr>
            <w:sz w:val="22"/>
            <w:szCs w:val="22"/>
          </w:rPr>
          <w:delText>Apenas para uma única utilização</w:delText>
        </w:r>
        <w:r>
          <w:rPr>
            <w:sz w:val="22"/>
            <w:szCs w:val="22"/>
          </w:rPr>
          <w:delText>.</w:delText>
        </w:r>
      </w:del>
    </w:p>
    <w:p w14:paraId="5A119BE3" w14:textId="637F598F" w:rsidR="00437552" w:rsidRPr="00437552" w:rsidRDefault="00437552" w:rsidP="00437552">
      <w:pPr>
        <w:tabs>
          <w:tab w:val="left" w:pos="720"/>
        </w:tabs>
        <w:rPr>
          <w:del w:id="12133" w:author="AbbVie2" w:date="2025-05-13T16:48:00Z"/>
          <w:sz w:val="22"/>
          <w:szCs w:val="22"/>
        </w:rPr>
      </w:pPr>
    </w:p>
    <w:p w14:paraId="709635FE" w14:textId="1B58BAD6" w:rsidR="004462A0" w:rsidRDefault="00615769" w:rsidP="00437552">
      <w:pPr>
        <w:tabs>
          <w:tab w:val="left" w:pos="720"/>
        </w:tabs>
        <w:rPr>
          <w:del w:id="12134" w:author="AbbVie2" w:date="2025-05-13T16:48:00Z"/>
          <w:sz w:val="22"/>
          <w:szCs w:val="22"/>
        </w:rPr>
      </w:pPr>
      <w:del w:id="12135" w:author="AbbVie2" w:date="2025-05-13T16:48:00Z">
        <w:r w:rsidRPr="00437552">
          <w:rPr>
            <w:sz w:val="22"/>
            <w:szCs w:val="22"/>
          </w:rPr>
          <w:delText>Com sistema de proteção da agulha</w:delText>
        </w:r>
      </w:del>
    </w:p>
    <w:p w14:paraId="4DA24C01" w14:textId="36046D79" w:rsidR="00437552" w:rsidRPr="008912CF" w:rsidRDefault="00437552" w:rsidP="00437552">
      <w:pPr>
        <w:tabs>
          <w:tab w:val="left" w:pos="720"/>
        </w:tabs>
        <w:rPr>
          <w:del w:id="12136" w:author="AbbVie2" w:date="2025-05-13T16:48:00Z"/>
          <w:sz w:val="22"/>
          <w:szCs w:val="22"/>
        </w:rPr>
      </w:pPr>
    </w:p>
    <w:p w14:paraId="664AB095" w14:textId="62E88A9B" w:rsidR="004462A0" w:rsidRPr="008912CF" w:rsidRDefault="004462A0" w:rsidP="004462A0">
      <w:pPr>
        <w:tabs>
          <w:tab w:val="left" w:pos="720"/>
        </w:tabs>
        <w:rPr>
          <w:del w:id="12137" w:author="AbbVie2" w:date="2025-05-13T16:48:00Z"/>
          <w:sz w:val="22"/>
          <w:szCs w:val="22"/>
        </w:rPr>
      </w:pPr>
    </w:p>
    <w:p w14:paraId="5A652562" w14:textId="3447FAAA"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138" w:author="AbbVie2" w:date="2025-05-13T16:48:00Z"/>
          <w:sz w:val="22"/>
          <w:szCs w:val="22"/>
        </w:rPr>
      </w:pPr>
      <w:del w:id="12139" w:author="AbbVie2" w:date="2025-05-13T16:48:00Z">
        <w:r w:rsidRPr="008912CF">
          <w:rPr>
            <w:b/>
            <w:sz w:val="22"/>
            <w:szCs w:val="22"/>
          </w:rPr>
          <w:delText>6.</w:delText>
        </w:r>
        <w:r w:rsidRPr="008912CF">
          <w:rPr>
            <w:b/>
            <w:sz w:val="22"/>
            <w:szCs w:val="22"/>
          </w:rPr>
          <w:tab/>
        </w:r>
        <w:r w:rsidRPr="008912CF">
          <w:rPr>
            <w:b/>
            <w:bCs/>
            <w:sz w:val="22"/>
            <w:szCs w:val="22"/>
          </w:rPr>
          <w:delText>ADVERTÊNCIA ESPECIAL DE QUE O MEDICAMENTO DEVE SER MANTIDO FORA DA VISTA E DO ALCANCE DAS CRIANÇAS</w:delText>
        </w:r>
        <w:r w:rsidRPr="008912CF">
          <w:rPr>
            <w:b/>
            <w:sz w:val="22"/>
            <w:szCs w:val="22"/>
          </w:rPr>
          <w:delText xml:space="preserve"> </w:delText>
        </w:r>
      </w:del>
    </w:p>
    <w:p w14:paraId="755817F6" w14:textId="48681B08" w:rsidR="004462A0" w:rsidRPr="008912CF" w:rsidRDefault="004462A0" w:rsidP="004462A0">
      <w:pPr>
        <w:tabs>
          <w:tab w:val="left" w:pos="720"/>
        </w:tabs>
        <w:rPr>
          <w:del w:id="12140" w:author="AbbVie2" w:date="2025-05-13T16:48:00Z"/>
          <w:sz w:val="22"/>
          <w:szCs w:val="22"/>
        </w:rPr>
      </w:pPr>
    </w:p>
    <w:p w14:paraId="4F9C1FC5" w14:textId="60BAB46B" w:rsidR="004462A0" w:rsidRPr="008912CF" w:rsidRDefault="00615769" w:rsidP="004462A0">
      <w:pPr>
        <w:tabs>
          <w:tab w:val="left" w:pos="720"/>
        </w:tabs>
        <w:rPr>
          <w:del w:id="12141" w:author="AbbVie2" w:date="2025-05-13T16:48:00Z"/>
          <w:sz w:val="22"/>
          <w:szCs w:val="22"/>
        </w:rPr>
      </w:pPr>
      <w:del w:id="12142" w:author="AbbVie2" w:date="2025-05-13T16:48:00Z">
        <w:r w:rsidRPr="008912CF">
          <w:rPr>
            <w:sz w:val="22"/>
            <w:szCs w:val="22"/>
          </w:rPr>
          <w:delText>Manter fora da vista e do alcance das crianças.</w:delText>
        </w:r>
      </w:del>
    </w:p>
    <w:p w14:paraId="337B9585" w14:textId="75A852FF" w:rsidR="004462A0" w:rsidRPr="008912CF" w:rsidRDefault="004462A0" w:rsidP="004462A0">
      <w:pPr>
        <w:tabs>
          <w:tab w:val="left" w:pos="720"/>
        </w:tabs>
        <w:rPr>
          <w:del w:id="12143" w:author="AbbVie2" w:date="2025-05-13T16:48:00Z"/>
          <w:sz w:val="22"/>
          <w:szCs w:val="22"/>
        </w:rPr>
      </w:pPr>
    </w:p>
    <w:p w14:paraId="2723D7B3" w14:textId="5584F094" w:rsidR="004462A0" w:rsidRPr="008912CF" w:rsidRDefault="004462A0" w:rsidP="004462A0">
      <w:pPr>
        <w:tabs>
          <w:tab w:val="left" w:pos="720"/>
        </w:tabs>
        <w:rPr>
          <w:del w:id="12144" w:author="AbbVie2" w:date="2025-05-13T16:48:00Z"/>
          <w:sz w:val="22"/>
          <w:szCs w:val="22"/>
        </w:rPr>
      </w:pPr>
    </w:p>
    <w:p w14:paraId="2516B357" w14:textId="069FEE2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145" w:author="AbbVie2" w:date="2025-05-13T16:48:00Z"/>
          <w:sz w:val="22"/>
          <w:szCs w:val="22"/>
          <w:highlight w:val="lightGray"/>
        </w:rPr>
      </w:pPr>
      <w:del w:id="12146" w:author="AbbVie2" w:date="2025-05-13T16:48:00Z">
        <w:r w:rsidRPr="008912CF">
          <w:rPr>
            <w:b/>
            <w:sz w:val="22"/>
            <w:szCs w:val="22"/>
          </w:rPr>
          <w:delText>7.</w:delText>
        </w:r>
        <w:r w:rsidRPr="008912CF">
          <w:rPr>
            <w:b/>
            <w:sz w:val="22"/>
            <w:szCs w:val="22"/>
          </w:rPr>
          <w:tab/>
          <w:delText>OUTRAS ADVERTÊNCIAS ESPECIAIS, SE NECESSÁRIO</w:delText>
        </w:r>
      </w:del>
    </w:p>
    <w:p w14:paraId="72EAC4C1" w14:textId="40800F95" w:rsidR="004462A0" w:rsidRPr="008912CF" w:rsidRDefault="004462A0" w:rsidP="004462A0">
      <w:pPr>
        <w:tabs>
          <w:tab w:val="left" w:pos="720"/>
        </w:tabs>
        <w:rPr>
          <w:del w:id="12147" w:author="AbbVie2" w:date="2025-05-13T16:48:00Z"/>
          <w:sz w:val="22"/>
          <w:szCs w:val="22"/>
        </w:rPr>
      </w:pPr>
    </w:p>
    <w:p w14:paraId="338B0A23" w14:textId="0BE29090" w:rsidR="004462A0" w:rsidRPr="008912CF" w:rsidRDefault="004462A0" w:rsidP="004462A0">
      <w:pPr>
        <w:tabs>
          <w:tab w:val="left" w:pos="720"/>
        </w:tabs>
        <w:rPr>
          <w:del w:id="12148" w:author="AbbVie2" w:date="2025-05-13T16:48:00Z"/>
          <w:sz w:val="22"/>
          <w:szCs w:val="22"/>
        </w:rPr>
      </w:pPr>
    </w:p>
    <w:p w14:paraId="7810BB73" w14:textId="1667718A"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149" w:author="AbbVie2" w:date="2025-05-13T16:48:00Z"/>
          <w:sz w:val="22"/>
          <w:szCs w:val="22"/>
          <w:highlight w:val="lightGray"/>
        </w:rPr>
      </w:pPr>
      <w:del w:id="12150" w:author="AbbVie2" w:date="2025-05-13T16:48:00Z">
        <w:r w:rsidRPr="008912CF">
          <w:rPr>
            <w:b/>
            <w:sz w:val="22"/>
            <w:szCs w:val="22"/>
          </w:rPr>
          <w:delText>8.</w:delText>
        </w:r>
        <w:r w:rsidRPr="008912CF">
          <w:rPr>
            <w:b/>
            <w:sz w:val="22"/>
            <w:szCs w:val="22"/>
          </w:rPr>
          <w:tab/>
          <w:delText>PRAZO DE VALIDADE</w:delText>
        </w:r>
      </w:del>
    </w:p>
    <w:p w14:paraId="34F429B5" w14:textId="197B840A" w:rsidR="004462A0" w:rsidRPr="008912CF" w:rsidRDefault="004462A0" w:rsidP="004462A0">
      <w:pPr>
        <w:tabs>
          <w:tab w:val="left" w:pos="720"/>
        </w:tabs>
        <w:rPr>
          <w:del w:id="12151" w:author="AbbVie2" w:date="2025-05-13T16:48:00Z"/>
          <w:sz w:val="22"/>
          <w:szCs w:val="22"/>
        </w:rPr>
      </w:pPr>
    </w:p>
    <w:p w14:paraId="15F0D335" w14:textId="3D75DE17" w:rsidR="004462A0" w:rsidRPr="008912CF" w:rsidRDefault="00615769" w:rsidP="004462A0">
      <w:pPr>
        <w:tabs>
          <w:tab w:val="left" w:pos="720"/>
        </w:tabs>
        <w:rPr>
          <w:del w:id="12152" w:author="AbbVie2" w:date="2025-05-13T16:48:00Z"/>
          <w:sz w:val="22"/>
          <w:szCs w:val="22"/>
        </w:rPr>
      </w:pPr>
      <w:del w:id="12153" w:author="AbbVie2" w:date="2025-05-13T16:48:00Z">
        <w:r>
          <w:rPr>
            <w:sz w:val="22"/>
            <w:szCs w:val="22"/>
          </w:rPr>
          <w:delText>EXP</w:delText>
        </w:r>
      </w:del>
    </w:p>
    <w:p w14:paraId="52E3528C" w14:textId="6DD5DEA3" w:rsidR="004462A0" w:rsidRPr="008912CF" w:rsidRDefault="004462A0" w:rsidP="004462A0">
      <w:pPr>
        <w:tabs>
          <w:tab w:val="left" w:pos="720"/>
        </w:tabs>
        <w:rPr>
          <w:del w:id="12154" w:author="AbbVie2" w:date="2025-05-13T16:48:00Z"/>
          <w:sz w:val="22"/>
          <w:szCs w:val="22"/>
        </w:rPr>
      </w:pPr>
    </w:p>
    <w:p w14:paraId="75E2AAD5" w14:textId="40CAFB97" w:rsidR="004462A0" w:rsidRPr="008912CF" w:rsidRDefault="004462A0" w:rsidP="004462A0">
      <w:pPr>
        <w:tabs>
          <w:tab w:val="left" w:pos="720"/>
        </w:tabs>
        <w:rPr>
          <w:del w:id="12155" w:author="AbbVie2" w:date="2025-05-13T16:48:00Z"/>
          <w:sz w:val="22"/>
          <w:szCs w:val="22"/>
        </w:rPr>
      </w:pPr>
    </w:p>
    <w:p w14:paraId="13C0B5C0" w14:textId="3AFD2187" w:rsidR="004462A0" w:rsidRPr="008912CF" w:rsidRDefault="00615769" w:rsidP="004462A0">
      <w:pPr>
        <w:keepNext/>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156" w:author="AbbVie2" w:date="2025-05-13T16:48:00Z"/>
          <w:sz w:val="22"/>
          <w:szCs w:val="22"/>
          <w:highlight w:val="lightGray"/>
        </w:rPr>
      </w:pPr>
      <w:del w:id="12157" w:author="AbbVie2" w:date="2025-05-13T16:48:00Z">
        <w:r w:rsidRPr="008912CF">
          <w:rPr>
            <w:b/>
            <w:sz w:val="22"/>
            <w:szCs w:val="22"/>
          </w:rPr>
          <w:delText>9.</w:delText>
        </w:r>
        <w:r w:rsidRPr="008912CF">
          <w:rPr>
            <w:b/>
            <w:sz w:val="22"/>
            <w:szCs w:val="22"/>
          </w:rPr>
          <w:tab/>
        </w:r>
        <w:r w:rsidRPr="008912CF">
          <w:rPr>
            <w:b/>
            <w:sz w:val="22"/>
            <w:szCs w:val="22"/>
          </w:rPr>
          <w:delText>CONDIÇÕES ESPECIAIS DE CONSERVAÇÃO</w:delText>
        </w:r>
      </w:del>
    </w:p>
    <w:p w14:paraId="630950B4" w14:textId="1BFBFE1A" w:rsidR="004462A0" w:rsidRPr="008912CF" w:rsidRDefault="004462A0" w:rsidP="004462A0">
      <w:pPr>
        <w:keepNext/>
        <w:tabs>
          <w:tab w:val="left" w:pos="720"/>
        </w:tabs>
        <w:rPr>
          <w:del w:id="12158" w:author="AbbVie2" w:date="2025-05-13T16:48:00Z"/>
          <w:sz w:val="22"/>
          <w:szCs w:val="22"/>
        </w:rPr>
      </w:pPr>
    </w:p>
    <w:p w14:paraId="7769EDF1" w14:textId="70F33E2E" w:rsidR="004462A0" w:rsidRPr="008912CF" w:rsidRDefault="00615769" w:rsidP="004462A0">
      <w:pPr>
        <w:keepNext/>
        <w:tabs>
          <w:tab w:val="left" w:pos="720"/>
        </w:tabs>
        <w:rPr>
          <w:del w:id="12159" w:author="AbbVie2" w:date="2025-05-13T16:48:00Z"/>
          <w:sz w:val="22"/>
          <w:szCs w:val="22"/>
        </w:rPr>
      </w:pPr>
      <w:del w:id="12160" w:author="AbbVie2" w:date="2025-05-13T16:48:00Z">
        <w:r w:rsidRPr="008912CF">
          <w:rPr>
            <w:sz w:val="22"/>
            <w:szCs w:val="22"/>
          </w:rPr>
          <w:delText>Conservar no frigorífico. Não congelar.</w:delText>
        </w:r>
      </w:del>
    </w:p>
    <w:p w14:paraId="35DA2D9D" w14:textId="4143D209" w:rsidR="004462A0" w:rsidRPr="008912CF" w:rsidRDefault="00615769" w:rsidP="004462A0">
      <w:pPr>
        <w:keepNext/>
        <w:rPr>
          <w:del w:id="12161" w:author="AbbVie2" w:date="2025-05-13T16:48:00Z"/>
          <w:sz w:val="22"/>
          <w:szCs w:val="22"/>
        </w:rPr>
      </w:pPr>
      <w:del w:id="12162" w:author="AbbVie2" w:date="2025-05-13T16:48:00Z">
        <w:r w:rsidRPr="008912CF">
          <w:rPr>
            <w:rStyle w:val="hps"/>
            <w:sz w:val="22"/>
            <w:szCs w:val="22"/>
          </w:rPr>
          <w:delText>Consulte o</w:delText>
        </w:r>
        <w:r w:rsidRPr="008912CF">
          <w:rPr>
            <w:sz w:val="22"/>
            <w:szCs w:val="22"/>
          </w:rPr>
          <w:delText xml:space="preserve"> </w:delText>
        </w:r>
        <w:r w:rsidRPr="008912CF">
          <w:rPr>
            <w:rStyle w:val="hps"/>
            <w:sz w:val="22"/>
            <w:szCs w:val="22"/>
          </w:rPr>
          <w:delText>folheto informativo</w:delText>
        </w:r>
        <w:r w:rsidRPr="008912CF">
          <w:rPr>
            <w:sz w:val="22"/>
            <w:szCs w:val="22"/>
          </w:rPr>
          <w:delText xml:space="preserve"> </w:delText>
        </w:r>
        <w:r w:rsidRPr="008912CF">
          <w:rPr>
            <w:rStyle w:val="hps"/>
            <w:sz w:val="22"/>
            <w:szCs w:val="22"/>
          </w:rPr>
          <w:delText>para detalhes</w:delText>
        </w:r>
        <w:r w:rsidRPr="008912CF">
          <w:rPr>
            <w:sz w:val="22"/>
            <w:szCs w:val="22"/>
          </w:rPr>
          <w:delText xml:space="preserve"> de </w:delText>
        </w:r>
        <w:r w:rsidRPr="008912CF">
          <w:rPr>
            <w:rStyle w:val="hps"/>
            <w:sz w:val="22"/>
            <w:szCs w:val="22"/>
          </w:rPr>
          <w:delText>conservação</w:delText>
        </w:r>
        <w:r w:rsidRPr="008912CF">
          <w:rPr>
            <w:sz w:val="22"/>
            <w:szCs w:val="22"/>
          </w:rPr>
          <w:delText xml:space="preserve"> </w:delText>
        </w:r>
        <w:r w:rsidRPr="008912CF">
          <w:rPr>
            <w:rStyle w:val="hps"/>
            <w:sz w:val="22"/>
            <w:szCs w:val="22"/>
          </w:rPr>
          <w:delText>alternativa.</w:delText>
        </w:r>
      </w:del>
    </w:p>
    <w:p w14:paraId="0E14ABA4" w14:textId="61DD711E" w:rsidR="004462A0" w:rsidRPr="008912CF" w:rsidRDefault="004462A0" w:rsidP="004462A0">
      <w:pPr>
        <w:keepNext/>
        <w:tabs>
          <w:tab w:val="left" w:pos="720"/>
        </w:tabs>
        <w:rPr>
          <w:del w:id="12163" w:author="AbbVie2" w:date="2025-05-13T16:48:00Z"/>
          <w:sz w:val="22"/>
          <w:szCs w:val="22"/>
        </w:rPr>
      </w:pPr>
    </w:p>
    <w:p w14:paraId="4A09709E" w14:textId="29FB455B" w:rsidR="004462A0" w:rsidRPr="008912CF" w:rsidRDefault="00615769" w:rsidP="004462A0">
      <w:pPr>
        <w:keepNext/>
        <w:tabs>
          <w:tab w:val="left" w:pos="720"/>
        </w:tabs>
        <w:rPr>
          <w:del w:id="12164" w:author="AbbVie2" w:date="2025-05-13T16:48:00Z"/>
          <w:sz w:val="22"/>
          <w:szCs w:val="22"/>
        </w:rPr>
      </w:pPr>
      <w:del w:id="12165" w:author="AbbVie2" w:date="2025-05-13T16:48:00Z">
        <w:r w:rsidRPr="008912CF">
          <w:rPr>
            <w:sz w:val="22"/>
            <w:szCs w:val="22"/>
          </w:rPr>
          <w:delText>Manter a seringa dentro da embalagem exterior para proteger da luz.</w:delText>
        </w:r>
      </w:del>
    </w:p>
    <w:p w14:paraId="67324685" w14:textId="27A06CB5" w:rsidR="004462A0" w:rsidRPr="008912CF" w:rsidRDefault="004462A0" w:rsidP="004462A0">
      <w:pPr>
        <w:tabs>
          <w:tab w:val="left" w:pos="720"/>
        </w:tabs>
        <w:rPr>
          <w:del w:id="12166" w:author="AbbVie2" w:date="2025-05-13T16:48:00Z"/>
          <w:sz w:val="22"/>
          <w:szCs w:val="22"/>
        </w:rPr>
      </w:pPr>
    </w:p>
    <w:p w14:paraId="0EC85674" w14:textId="50771B84" w:rsidR="004462A0" w:rsidRPr="008912CF" w:rsidRDefault="004462A0" w:rsidP="004462A0">
      <w:pPr>
        <w:tabs>
          <w:tab w:val="left" w:pos="720"/>
        </w:tabs>
        <w:rPr>
          <w:del w:id="12167" w:author="AbbVie2" w:date="2025-05-13T16:48:00Z"/>
          <w:sz w:val="22"/>
          <w:szCs w:val="22"/>
        </w:rPr>
      </w:pPr>
    </w:p>
    <w:p w14:paraId="36A95677" w14:textId="5AEB0101"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168" w:author="AbbVie2" w:date="2025-05-13T16:48:00Z"/>
          <w:b/>
          <w:sz w:val="22"/>
          <w:szCs w:val="22"/>
        </w:rPr>
      </w:pPr>
      <w:del w:id="12169" w:author="AbbVie2" w:date="2025-05-13T16:48:00Z">
        <w:r w:rsidRPr="008912CF">
          <w:rPr>
            <w:b/>
            <w:sz w:val="22"/>
            <w:szCs w:val="22"/>
          </w:rPr>
          <w:delText>10.</w:delText>
        </w:r>
        <w:r w:rsidRPr="008912CF">
          <w:rPr>
            <w:b/>
            <w:sz w:val="22"/>
            <w:szCs w:val="22"/>
          </w:rPr>
          <w:tab/>
        </w:r>
        <w:r w:rsidRPr="008912CF">
          <w:rPr>
            <w:b/>
            <w:sz w:val="22"/>
            <w:szCs w:val="22"/>
          </w:rPr>
          <w:delText>CUIDADOS ESPECIAIS QUANTO À ELIMINAÇÃO DO MEDICAMENTO NÃO UTILIZADO OU DOS RESÍDUOS PROVENIENTES DESSE MEDICAMENTO, SE APLICÁVEL</w:delText>
        </w:r>
      </w:del>
    </w:p>
    <w:p w14:paraId="1966E129" w14:textId="04927363" w:rsidR="004462A0" w:rsidRPr="008912CF" w:rsidRDefault="004462A0" w:rsidP="004462A0">
      <w:pPr>
        <w:tabs>
          <w:tab w:val="left" w:pos="720"/>
        </w:tabs>
        <w:rPr>
          <w:del w:id="12170" w:author="AbbVie2" w:date="2025-05-13T16:48:00Z"/>
          <w:sz w:val="22"/>
          <w:szCs w:val="22"/>
        </w:rPr>
      </w:pPr>
    </w:p>
    <w:p w14:paraId="1AD891C7" w14:textId="01613F49" w:rsidR="004462A0" w:rsidRPr="008912CF" w:rsidRDefault="004462A0" w:rsidP="004462A0">
      <w:pPr>
        <w:tabs>
          <w:tab w:val="left" w:pos="720"/>
        </w:tabs>
        <w:rPr>
          <w:del w:id="12171" w:author="AbbVie2" w:date="2025-05-13T16:48:00Z"/>
          <w:sz w:val="22"/>
          <w:szCs w:val="22"/>
        </w:rPr>
      </w:pPr>
    </w:p>
    <w:p w14:paraId="015D3565" w14:textId="57F269A2"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172" w:author="AbbVie2" w:date="2025-05-13T16:48:00Z"/>
          <w:b/>
          <w:sz w:val="22"/>
          <w:szCs w:val="22"/>
        </w:rPr>
      </w:pPr>
      <w:del w:id="12173" w:author="AbbVie2" w:date="2025-05-13T16:48:00Z">
        <w:r w:rsidRPr="008912CF">
          <w:rPr>
            <w:b/>
            <w:sz w:val="22"/>
            <w:szCs w:val="22"/>
          </w:rPr>
          <w:delText>11.</w:delText>
        </w:r>
        <w:r w:rsidRPr="008912CF">
          <w:rPr>
            <w:b/>
            <w:sz w:val="22"/>
            <w:szCs w:val="22"/>
          </w:rPr>
          <w:tab/>
          <w:delText>NOME E ENDEREÇO DO TITULAR DA AUTORIZAÇÃO DE INTRODUÇÃO NO MERCADO</w:delText>
        </w:r>
      </w:del>
    </w:p>
    <w:p w14:paraId="6FD61CB6" w14:textId="09CB62E1" w:rsidR="004462A0" w:rsidRPr="008912CF" w:rsidRDefault="004462A0" w:rsidP="004462A0">
      <w:pPr>
        <w:tabs>
          <w:tab w:val="left" w:pos="720"/>
        </w:tabs>
        <w:rPr>
          <w:del w:id="12174" w:author="AbbVie2" w:date="2025-05-13T16:48:00Z"/>
          <w:sz w:val="22"/>
          <w:szCs w:val="22"/>
        </w:rPr>
      </w:pPr>
    </w:p>
    <w:p w14:paraId="041854BA" w14:textId="55147E32" w:rsidR="003E67D6" w:rsidRPr="008D6D3A" w:rsidRDefault="00615769" w:rsidP="003E67D6">
      <w:pPr>
        <w:tabs>
          <w:tab w:val="left" w:pos="720"/>
        </w:tabs>
        <w:rPr>
          <w:del w:id="12175" w:author="AbbVie2" w:date="2025-05-13T16:48:00Z"/>
          <w:sz w:val="22"/>
          <w:szCs w:val="22"/>
          <w:lang w:val="de-CH"/>
        </w:rPr>
      </w:pPr>
      <w:del w:id="12176" w:author="AbbVie2" w:date="2025-05-13T16:48:00Z">
        <w:r w:rsidRPr="008D6D3A">
          <w:rPr>
            <w:sz w:val="22"/>
            <w:szCs w:val="22"/>
            <w:lang w:val="de-CH"/>
          </w:rPr>
          <w:delText>AbbVie Deutschland GmbH &amp; Co. KG</w:delText>
        </w:r>
      </w:del>
    </w:p>
    <w:p w14:paraId="34772416" w14:textId="66504186" w:rsidR="003E67D6" w:rsidRPr="008D6D3A" w:rsidRDefault="00615769" w:rsidP="003E67D6">
      <w:pPr>
        <w:tabs>
          <w:tab w:val="left" w:pos="720"/>
        </w:tabs>
        <w:rPr>
          <w:del w:id="12177" w:author="AbbVie2" w:date="2025-05-13T16:48:00Z"/>
          <w:sz w:val="22"/>
          <w:szCs w:val="22"/>
          <w:lang w:val="de-CH"/>
        </w:rPr>
      </w:pPr>
      <w:del w:id="12178" w:author="AbbVie2" w:date="2025-05-13T16:48:00Z">
        <w:r w:rsidRPr="008D6D3A">
          <w:rPr>
            <w:sz w:val="22"/>
            <w:szCs w:val="22"/>
            <w:lang w:val="de-CH"/>
          </w:rPr>
          <w:delText>Knollstrasse</w:delText>
        </w:r>
      </w:del>
    </w:p>
    <w:p w14:paraId="59B02287" w14:textId="72872424" w:rsidR="003E67D6" w:rsidRPr="00EF74B7" w:rsidRDefault="00615769" w:rsidP="003E67D6">
      <w:pPr>
        <w:tabs>
          <w:tab w:val="left" w:pos="720"/>
        </w:tabs>
        <w:rPr>
          <w:del w:id="12179" w:author="AbbVie2" w:date="2025-05-13T16:48:00Z"/>
          <w:sz w:val="22"/>
          <w:szCs w:val="22"/>
        </w:rPr>
      </w:pPr>
      <w:del w:id="12180" w:author="AbbVie2" w:date="2025-05-13T16:48:00Z">
        <w:r w:rsidRPr="00EF74B7">
          <w:rPr>
            <w:sz w:val="22"/>
            <w:szCs w:val="22"/>
          </w:rPr>
          <w:delText>67061 Ludwigshafen</w:delText>
        </w:r>
      </w:del>
    </w:p>
    <w:p w14:paraId="55297A45" w14:textId="3A176975" w:rsidR="004462A0" w:rsidRPr="008912CF" w:rsidRDefault="00615769" w:rsidP="004462A0">
      <w:pPr>
        <w:rPr>
          <w:del w:id="12181" w:author="AbbVie2" w:date="2025-05-13T16:48:00Z"/>
          <w:sz w:val="22"/>
          <w:szCs w:val="22"/>
        </w:rPr>
      </w:pPr>
      <w:del w:id="12182" w:author="AbbVie2" w:date="2025-05-13T16:48:00Z">
        <w:r w:rsidRPr="00EF74B7">
          <w:rPr>
            <w:sz w:val="22"/>
            <w:szCs w:val="22"/>
          </w:rPr>
          <w:delText>Alemanha</w:delText>
        </w:r>
      </w:del>
    </w:p>
    <w:p w14:paraId="3344921E" w14:textId="2F35822D" w:rsidR="004462A0" w:rsidRPr="008912CF" w:rsidRDefault="004462A0" w:rsidP="004462A0">
      <w:pPr>
        <w:tabs>
          <w:tab w:val="left" w:pos="720"/>
        </w:tabs>
        <w:rPr>
          <w:del w:id="12183" w:author="AbbVie2" w:date="2025-05-13T16:48:00Z"/>
          <w:sz w:val="22"/>
          <w:szCs w:val="22"/>
        </w:rPr>
      </w:pPr>
    </w:p>
    <w:p w14:paraId="68A655B3" w14:textId="32CFB591" w:rsidR="004462A0" w:rsidRPr="008912CF" w:rsidRDefault="004462A0" w:rsidP="004462A0">
      <w:pPr>
        <w:tabs>
          <w:tab w:val="left" w:pos="720"/>
        </w:tabs>
        <w:rPr>
          <w:del w:id="12184" w:author="AbbVie2" w:date="2025-05-13T16:48:00Z"/>
          <w:sz w:val="22"/>
          <w:szCs w:val="22"/>
        </w:rPr>
      </w:pPr>
    </w:p>
    <w:p w14:paraId="503294D6" w14:textId="5DEC0254"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185" w:author="AbbVie2" w:date="2025-05-13T16:48:00Z"/>
          <w:b/>
          <w:sz w:val="22"/>
          <w:szCs w:val="22"/>
          <w:highlight w:val="lightGray"/>
        </w:rPr>
      </w:pPr>
      <w:del w:id="12186" w:author="AbbVie2" w:date="2025-05-13T16:48:00Z">
        <w:r w:rsidRPr="008912CF">
          <w:rPr>
            <w:b/>
            <w:sz w:val="22"/>
            <w:szCs w:val="22"/>
          </w:rPr>
          <w:delText>12.</w:delText>
        </w:r>
        <w:r w:rsidRPr="008912CF">
          <w:rPr>
            <w:b/>
            <w:sz w:val="22"/>
            <w:szCs w:val="22"/>
          </w:rPr>
          <w:tab/>
          <w:delText>NÚMERO DA AUTORIZAÇÃO DE INTRODUÇÃO NO MERCADO</w:delText>
        </w:r>
      </w:del>
    </w:p>
    <w:p w14:paraId="3F84A34B" w14:textId="42222915" w:rsidR="004462A0" w:rsidRPr="008912CF" w:rsidRDefault="004462A0" w:rsidP="004462A0">
      <w:pPr>
        <w:tabs>
          <w:tab w:val="left" w:pos="720"/>
        </w:tabs>
        <w:rPr>
          <w:del w:id="12187" w:author="AbbVie2" w:date="2025-05-13T16:48:00Z"/>
          <w:sz w:val="22"/>
          <w:szCs w:val="22"/>
        </w:rPr>
      </w:pPr>
    </w:p>
    <w:p w14:paraId="5E794E02" w14:textId="0A24F52F" w:rsidR="004462A0" w:rsidRPr="008912CF" w:rsidRDefault="00615769" w:rsidP="004462A0">
      <w:pPr>
        <w:tabs>
          <w:tab w:val="left" w:pos="720"/>
        </w:tabs>
        <w:rPr>
          <w:del w:id="12188" w:author="AbbVie2" w:date="2025-05-13T16:48:00Z"/>
          <w:sz w:val="22"/>
          <w:szCs w:val="22"/>
        </w:rPr>
      </w:pPr>
      <w:del w:id="12189" w:author="AbbVie2" w:date="2025-05-13T16:48:00Z">
        <w:r w:rsidRPr="008912CF">
          <w:rPr>
            <w:sz w:val="22"/>
            <w:szCs w:val="22"/>
          </w:rPr>
          <w:delText xml:space="preserve">EU/1/03/256/006 </w:delText>
        </w:r>
      </w:del>
    </w:p>
    <w:p w14:paraId="6EB293CA" w14:textId="46DED3EE" w:rsidR="004462A0" w:rsidRPr="008912CF" w:rsidRDefault="004462A0" w:rsidP="004462A0">
      <w:pPr>
        <w:tabs>
          <w:tab w:val="left" w:pos="720"/>
        </w:tabs>
        <w:rPr>
          <w:del w:id="12190" w:author="AbbVie2" w:date="2025-05-13T16:48:00Z"/>
          <w:sz w:val="22"/>
          <w:szCs w:val="22"/>
        </w:rPr>
      </w:pPr>
    </w:p>
    <w:p w14:paraId="53DCB041" w14:textId="6D7532B7" w:rsidR="004462A0" w:rsidRPr="008912CF" w:rsidRDefault="004462A0" w:rsidP="004462A0">
      <w:pPr>
        <w:tabs>
          <w:tab w:val="left" w:pos="720"/>
        </w:tabs>
        <w:rPr>
          <w:del w:id="12191" w:author="AbbVie2" w:date="2025-05-13T16:48:00Z"/>
          <w:sz w:val="22"/>
          <w:szCs w:val="22"/>
        </w:rPr>
      </w:pPr>
    </w:p>
    <w:p w14:paraId="5462A1D3" w14:textId="1648200D"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192" w:author="AbbVie2" w:date="2025-05-13T16:48:00Z"/>
          <w:sz w:val="22"/>
          <w:szCs w:val="22"/>
          <w:highlight w:val="lightGray"/>
        </w:rPr>
      </w:pPr>
      <w:del w:id="12193" w:author="AbbVie2" w:date="2025-05-13T16:48:00Z">
        <w:r w:rsidRPr="008912CF">
          <w:rPr>
            <w:b/>
            <w:sz w:val="22"/>
            <w:szCs w:val="22"/>
          </w:rPr>
          <w:delText>13.</w:delText>
        </w:r>
        <w:r w:rsidRPr="008912CF">
          <w:rPr>
            <w:b/>
            <w:sz w:val="22"/>
            <w:szCs w:val="22"/>
          </w:rPr>
          <w:tab/>
          <w:delText xml:space="preserve">NÚMERO DO LOTE </w:delText>
        </w:r>
      </w:del>
    </w:p>
    <w:p w14:paraId="66E7114A" w14:textId="680256FB" w:rsidR="004462A0" w:rsidRPr="008912CF" w:rsidRDefault="004462A0" w:rsidP="004462A0">
      <w:pPr>
        <w:tabs>
          <w:tab w:val="left" w:pos="720"/>
        </w:tabs>
        <w:rPr>
          <w:del w:id="12194" w:author="AbbVie2" w:date="2025-05-13T16:48:00Z"/>
          <w:sz w:val="22"/>
          <w:szCs w:val="22"/>
        </w:rPr>
      </w:pPr>
    </w:p>
    <w:p w14:paraId="498F2477" w14:textId="0A1AF96E" w:rsidR="004462A0" w:rsidRPr="008912CF" w:rsidRDefault="00615769" w:rsidP="004462A0">
      <w:pPr>
        <w:tabs>
          <w:tab w:val="left" w:pos="720"/>
        </w:tabs>
        <w:rPr>
          <w:del w:id="12195" w:author="AbbVie2" w:date="2025-05-13T16:48:00Z"/>
          <w:sz w:val="22"/>
          <w:szCs w:val="22"/>
        </w:rPr>
      </w:pPr>
      <w:del w:id="12196" w:author="AbbVie2" w:date="2025-05-13T16:48:00Z">
        <w:r w:rsidRPr="008912CF">
          <w:rPr>
            <w:sz w:val="22"/>
            <w:szCs w:val="22"/>
          </w:rPr>
          <w:delText>Lote</w:delText>
        </w:r>
      </w:del>
    </w:p>
    <w:p w14:paraId="1376C83E" w14:textId="47DFA004" w:rsidR="004462A0" w:rsidRPr="008912CF" w:rsidRDefault="004462A0" w:rsidP="004462A0">
      <w:pPr>
        <w:tabs>
          <w:tab w:val="left" w:pos="720"/>
        </w:tabs>
        <w:rPr>
          <w:del w:id="12197" w:author="AbbVie2" w:date="2025-05-13T16:48:00Z"/>
          <w:sz w:val="22"/>
          <w:szCs w:val="22"/>
        </w:rPr>
      </w:pPr>
    </w:p>
    <w:p w14:paraId="4EECB249" w14:textId="690A95FD" w:rsidR="004462A0" w:rsidRPr="008912CF" w:rsidRDefault="004462A0" w:rsidP="004462A0">
      <w:pPr>
        <w:tabs>
          <w:tab w:val="left" w:pos="720"/>
        </w:tabs>
        <w:rPr>
          <w:del w:id="12198" w:author="AbbVie2" w:date="2025-05-13T16:48:00Z"/>
          <w:sz w:val="22"/>
          <w:szCs w:val="22"/>
        </w:rPr>
      </w:pPr>
    </w:p>
    <w:p w14:paraId="69808A76" w14:textId="7BBC75D2"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199" w:author="AbbVie2" w:date="2025-05-13T16:48:00Z"/>
          <w:sz w:val="22"/>
          <w:szCs w:val="22"/>
          <w:highlight w:val="lightGray"/>
        </w:rPr>
      </w:pPr>
      <w:del w:id="12200" w:author="AbbVie2" w:date="2025-05-13T16:48:00Z">
        <w:r w:rsidRPr="008912CF">
          <w:rPr>
            <w:b/>
            <w:sz w:val="22"/>
            <w:szCs w:val="22"/>
          </w:rPr>
          <w:delText>14.</w:delText>
        </w:r>
        <w:r w:rsidRPr="008912CF">
          <w:rPr>
            <w:b/>
            <w:sz w:val="22"/>
            <w:szCs w:val="22"/>
          </w:rPr>
          <w:tab/>
          <w:delText>CLASSIFICAÇÃO QUANTO À DISPENSA AO PÚBLICO</w:delText>
        </w:r>
      </w:del>
    </w:p>
    <w:p w14:paraId="034CB8F2" w14:textId="0800FB5E" w:rsidR="004462A0" w:rsidRPr="008912CF" w:rsidRDefault="004462A0" w:rsidP="004462A0">
      <w:pPr>
        <w:tabs>
          <w:tab w:val="left" w:pos="720"/>
        </w:tabs>
        <w:rPr>
          <w:del w:id="12201" w:author="AbbVie2" w:date="2025-05-13T16:48:00Z"/>
          <w:sz w:val="22"/>
          <w:szCs w:val="22"/>
        </w:rPr>
      </w:pPr>
    </w:p>
    <w:p w14:paraId="315FDADB" w14:textId="28B80537" w:rsidR="004462A0" w:rsidRPr="008912CF" w:rsidRDefault="004462A0" w:rsidP="004462A0">
      <w:pPr>
        <w:tabs>
          <w:tab w:val="left" w:pos="720"/>
        </w:tabs>
        <w:rPr>
          <w:del w:id="12202" w:author="AbbVie2" w:date="2025-05-13T16:48:00Z"/>
          <w:sz w:val="22"/>
          <w:szCs w:val="22"/>
        </w:rPr>
      </w:pPr>
    </w:p>
    <w:p w14:paraId="455BCD37" w14:textId="1E6A6022"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203" w:author="AbbVie2" w:date="2025-05-13T16:48:00Z"/>
          <w:b/>
          <w:sz w:val="22"/>
          <w:szCs w:val="22"/>
          <w:u w:val="single"/>
        </w:rPr>
      </w:pPr>
      <w:del w:id="12204" w:author="AbbVie2" w:date="2025-05-13T16:48:00Z">
        <w:r w:rsidRPr="008912CF">
          <w:rPr>
            <w:b/>
            <w:sz w:val="22"/>
            <w:szCs w:val="22"/>
          </w:rPr>
          <w:delText>15.</w:delText>
        </w:r>
        <w:r w:rsidRPr="008912CF">
          <w:rPr>
            <w:b/>
            <w:sz w:val="22"/>
            <w:szCs w:val="22"/>
          </w:rPr>
          <w:tab/>
          <w:delText>INSTRUÇÕES DE UTILIZAÇÃO</w:delText>
        </w:r>
      </w:del>
    </w:p>
    <w:p w14:paraId="6DDC96A9" w14:textId="71F6B8CA" w:rsidR="004462A0" w:rsidRPr="008912CF" w:rsidRDefault="004462A0" w:rsidP="004462A0">
      <w:pPr>
        <w:tabs>
          <w:tab w:val="left" w:pos="720"/>
        </w:tabs>
        <w:rPr>
          <w:del w:id="12205" w:author="AbbVie2" w:date="2025-05-13T16:48:00Z"/>
          <w:sz w:val="22"/>
          <w:szCs w:val="22"/>
        </w:rPr>
      </w:pPr>
    </w:p>
    <w:p w14:paraId="428CCFE0" w14:textId="211BFF51" w:rsidR="004462A0" w:rsidRPr="008912CF" w:rsidRDefault="004462A0" w:rsidP="004462A0">
      <w:pPr>
        <w:tabs>
          <w:tab w:val="left" w:pos="720"/>
        </w:tabs>
        <w:rPr>
          <w:del w:id="12206" w:author="AbbVie2" w:date="2025-05-13T16:48:00Z"/>
          <w:sz w:val="22"/>
          <w:szCs w:val="22"/>
        </w:rPr>
      </w:pPr>
    </w:p>
    <w:p w14:paraId="2F0F8F3B" w14:textId="108D49B1"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207" w:author="AbbVie2" w:date="2025-05-13T16:48:00Z"/>
          <w:b/>
          <w:sz w:val="22"/>
          <w:szCs w:val="22"/>
          <w:u w:val="single"/>
        </w:rPr>
      </w:pPr>
      <w:del w:id="12208" w:author="AbbVie2" w:date="2025-05-13T16:48:00Z">
        <w:r w:rsidRPr="008912CF">
          <w:rPr>
            <w:b/>
            <w:sz w:val="22"/>
            <w:szCs w:val="22"/>
          </w:rPr>
          <w:delText>16.</w:delText>
        </w:r>
        <w:r w:rsidRPr="008912CF">
          <w:rPr>
            <w:b/>
            <w:sz w:val="22"/>
            <w:szCs w:val="22"/>
          </w:rPr>
          <w:tab/>
        </w:r>
        <w:r w:rsidRPr="008912CF">
          <w:rPr>
            <w:b/>
            <w:sz w:val="22"/>
            <w:szCs w:val="22"/>
          </w:rPr>
          <w:delText>INFORMAÇÃO EM BRAILLE</w:delText>
        </w:r>
      </w:del>
    </w:p>
    <w:p w14:paraId="02F68F86" w14:textId="1750D781" w:rsidR="004462A0" w:rsidRPr="008912CF" w:rsidRDefault="004462A0" w:rsidP="004462A0">
      <w:pPr>
        <w:tabs>
          <w:tab w:val="left" w:pos="720"/>
        </w:tabs>
        <w:rPr>
          <w:del w:id="12209" w:author="AbbVie2" w:date="2025-05-13T16:48:00Z"/>
          <w:sz w:val="22"/>
          <w:szCs w:val="22"/>
        </w:rPr>
      </w:pPr>
    </w:p>
    <w:p w14:paraId="47ECA6ED" w14:textId="2150C20A" w:rsidR="004462A0" w:rsidRDefault="00615769" w:rsidP="004462A0">
      <w:pPr>
        <w:pStyle w:val="EndnoteText"/>
        <w:tabs>
          <w:tab w:val="clear" w:pos="567"/>
          <w:tab w:val="left" w:pos="720"/>
        </w:tabs>
        <w:rPr>
          <w:del w:id="12210" w:author="AbbVie2" w:date="2025-05-13T16:48:00Z"/>
          <w:szCs w:val="22"/>
        </w:rPr>
      </w:pPr>
      <w:del w:id="12211" w:author="AbbVie2" w:date="2025-05-13T16:48:00Z">
        <w:r w:rsidRPr="008912CF">
          <w:rPr>
            <w:szCs w:val="22"/>
          </w:rPr>
          <w:delText>Humira 40 mg</w:delText>
        </w:r>
      </w:del>
    </w:p>
    <w:p w14:paraId="5CCCA21F" w14:textId="3230D067" w:rsidR="004462A0" w:rsidRDefault="004462A0" w:rsidP="004462A0">
      <w:pPr>
        <w:pStyle w:val="EndnoteText"/>
        <w:tabs>
          <w:tab w:val="clear" w:pos="567"/>
          <w:tab w:val="left" w:pos="720"/>
        </w:tabs>
        <w:rPr>
          <w:del w:id="12212" w:author="AbbVie2" w:date="2025-05-13T16:48:00Z"/>
          <w:szCs w:val="22"/>
        </w:rPr>
      </w:pPr>
    </w:p>
    <w:p w14:paraId="31746FCE" w14:textId="15B7BFEF" w:rsidR="004462A0" w:rsidRPr="00431557" w:rsidRDefault="004462A0" w:rsidP="004462A0">
      <w:pPr>
        <w:pStyle w:val="Heading3"/>
        <w:keepNext w:val="0"/>
        <w:spacing w:before="0" w:after="0" w:line="240" w:lineRule="auto"/>
        <w:rPr>
          <w:del w:id="12213" w:author="AbbVie2" w:date="2025-05-13T16:48:00Z"/>
          <w:b w:val="0"/>
          <w:sz w:val="22"/>
          <w:szCs w:val="22"/>
          <w:lang w:val="pt-PT"/>
        </w:rPr>
      </w:pPr>
    </w:p>
    <w:p w14:paraId="5AF204EE" w14:textId="3324255B" w:rsidR="004462A0" w:rsidRPr="00C25DF2" w:rsidRDefault="00615769" w:rsidP="004462A0">
      <w:pPr>
        <w:pBdr>
          <w:top w:val="single" w:sz="4" w:space="1" w:color="auto"/>
          <w:left w:val="single" w:sz="4" w:space="4" w:color="auto"/>
          <w:bottom w:val="single" w:sz="4" w:space="1" w:color="auto"/>
          <w:right w:val="single" w:sz="4" w:space="4" w:color="auto"/>
        </w:pBdr>
        <w:tabs>
          <w:tab w:val="left" w:pos="562"/>
        </w:tabs>
        <w:suppressAutoHyphens/>
        <w:rPr>
          <w:del w:id="12214" w:author="AbbVie2" w:date="2025-05-13T16:48:00Z"/>
          <w:b/>
          <w:bCs/>
          <w:caps/>
          <w:sz w:val="22"/>
          <w:szCs w:val="20"/>
        </w:rPr>
      </w:pPr>
      <w:del w:id="12215" w:author="AbbVie2" w:date="2025-05-13T16:48:00Z">
        <w:r w:rsidRPr="00B3514A">
          <w:rPr>
            <w:b/>
            <w:bCs/>
            <w:caps/>
            <w:sz w:val="22"/>
            <w:szCs w:val="20"/>
          </w:rPr>
          <w:delText xml:space="preserve">17. </w:delText>
        </w:r>
        <w:r w:rsidRPr="00B3514A">
          <w:rPr>
            <w:b/>
            <w:bCs/>
            <w:caps/>
            <w:sz w:val="22"/>
            <w:szCs w:val="20"/>
          </w:rPr>
          <w:tab/>
        </w:r>
        <w:r w:rsidRPr="00C25DF2">
          <w:rPr>
            <w:b/>
            <w:bCs/>
            <w:caps/>
            <w:sz w:val="22"/>
            <w:szCs w:val="20"/>
          </w:rPr>
          <w:delText xml:space="preserve">IDENTIFICADOR ÚNICO – CÓDIGO DE BARRAS 2D </w:delText>
        </w:r>
      </w:del>
    </w:p>
    <w:p w14:paraId="11B40929" w14:textId="0CB9E0DD" w:rsidR="004462A0" w:rsidRPr="00C25DF2" w:rsidRDefault="004462A0" w:rsidP="004462A0">
      <w:pPr>
        <w:tabs>
          <w:tab w:val="left" w:pos="562"/>
        </w:tabs>
        <w:suppressAutoHyphens/>
        <w:rPr>
          <w:del w:id="12216" w:author="AbbVie2" w:date="2025-05-13T16:48:00Z"/>
          <w:sz w:val="22"/>
        </w:rPr>
      </w:pPr>
    </w:p>
    <w:p w14:paraId="42D0368C" w14:textId="765E0DCF" w:rsidR="004462A0" w:rsidRPr="00C25DF2" w:rsidRDefault="00615769" w:rsidP="004462A0">
      <w:pPr>
        <w:tabs>
          <w:tab w:val="left" w:pos="562"/>
        </w:tabs>
        <w:suppressAutoHyphens/>
        <w:rPr>
          <w:del w:id="12217" w:author="AbbVie2" w:date="2025-05-13T16:48:00Z"/>
          <w:sz w:val="22"/>
          <w:shd w:val="clear" w:color="auto" w:fill="BFBFBF"/>
        </w:rPr>
      </w:pPr>
      <w:del w:id="12218" w:author="AbbVie2" w:date="2025-05-13T16:48:00Z">
        <w:r w:rsidRPr="00C25DF2">
          <w:rPr>
            <w:sz w:val="22"/>
            <w:shd w:val="clear" w:color="auto" w:fill="BFBFBF"/>
          </w:rPr>
          <w:delText xml:space="preserve">Código de barras 2D com identificador </w:delText>
        </w:r>
        <w:r>
          <w:rPr>
            <w:sz w:val="22"/>
            <w:shd w:val="clear" w:color="auto" w:fill="BFBFBF"/>
          </w:rPr>
          <w:delText>único incluído.</w:delText>
        </w:r>
      </w:del>
    </w:p>
    <w:p w14:paraId="48C96BBB" w14:textId="1144AF45" w:rsidR="004462A0" w:rsidRPr="00C25DF2" w:rsidRDefault="004462A0" w:rsidP="004462A0">
      <w:pPr>
        <w:tabs>
          <w:tab w:val="left" w:pos="562"/>
        </w:tabs>
        <w:suppressAutoHyphens/>
        <w:rPr>
          <w:del w:id="12219" w:author="AbbVie2" w:date="2025-05-13T16:48:00Z"/>
          <w:sz w:val="22"/>
          <w:shd w:val="clear" w:color="auto" w:fill="BFBFBF"/>
        </w:rPr>
      </w:pPr>
    </w:p>
    <w:p w14:paraId="7236BAB9" w14:textId="1304A14B" w:rsidR="004462A0" w:rsidRPr="00C25DF2" w:rsidRDefault="004462A0" w:rsidP="004462A0">
      <w:pPr>
        <w:tabs>
          <w:tab w:val="left" w:pos="562"/>
        </w:tabs>
        <w:suppressAutoHyphens/>
        <w:rPr>
          <w:del w:id="12220" w:author="AbbVie2" w:date="2025-05-13T16:48:00Z"/>
          <w:sz w:val="22"/>
          <w:shd w:val="clear" w:color="auto" w:fill="BFBFBF"/>
        </w:rPr>
      </w:pPr>
    </w:p>
    <w:p w14:paraId="38A64A96" w14:textId="52D19174" w:rsidR="004462A0" w:rsidRPr="00C25DF2" w:rsidRDefault="00615769" w:rsidP="004462A0">
      <w:pPr>
        <w:keepNext/>
        <w:pBdr>
          <w:top w:val="single" w:sz="4" w:space="1" w:color="auto"/>
          <w:left w:val="single" w:sz="4" w:space="4" w:color="auto"/>
          <w:bottom w:val="single" w:sz="4" w:space="1" w:color="auto"/>
          <w:right w:val="single" w:sz="4" w:space="4" w:color="auto"/>
        </w:pBdr>
        <w:tabs>
          <w:tab w:val="left" w:pos="562"/>
        </w:tabs>
        <w:suppressAutoHyphens/>
        <w:rPr>
          <w:del w:id="12221" w:author="AbbVie2" w:date="2025-05-13T16:48:00Z"/>
          <w:rFonts w:ascii="Times New Roman Bold" w:hAnsi="Times New Roman Bold"/>
          <w:caps/>
          <w:sz w:val="22"/>
          <w:szCs w:val="20"/>
        </w:rPr>
      </w:pPr>
      <w:del w:id="12222" w:author="AbbVie2" w:date="2025-05-13T16:48:00Z">
        <w:r w:rsidRPr="00C25DF2">
          <w:rPr>
            <w:b/>
            <w:bCs/>
            <w:caps/>
            <w:sz w:val="22"/>
            <w:szCs w:val="20"/>
          </w:rPr>
          <w:delText xml:space="preserve">18. </w:delText>
        </w:r>
        <w:r w:rsidRPr="00C25DF2">
          <w:rPr>
            <w:b/>
            <w:bCs/>
            <w:caps/>
            <w:sz w:val="22"/>
            <w:szCs w:val="20"/>
          </w:rPr>
          <w:tab/>
          <w:delText>IDENTIFICADOR ÚNICO – DADOS PARA LEITURA HUMA</w:delText>
        </w:r>
        <w:r>
          <w:rPr>
            <w:b/>
            <w:bCs/>
            <w:caps/>
            <w:sz w:val="22"/>
            <w:szCs w:val="20"/>
          </w:rPr>
          <w:delText>NA</w:delText>
        </w:r>
      </w:del>
    </w:p>
    <w:p w14:paraId="5E882E3D" w14:textId="4CC5EAC7" w:rsidR="004462A0" w:rsidRPr="00C25DF2" w:rsidRDefault="004462A0" w:rsidP="004462A0">
      <w:pPr>
        <w:keepNext/>
        <w:tabs>
          <w:tab w:val="left" w:pos="562"/>
        </w:tabs>
        <w:suppressAutoHyphens/>
        <w:ind w:left="540" w:hanging="540"/>
        <w:rPr>
          <w:del w:id="12223" w:author="AbbVie2" w:date="2025-05-13T16:48:00Z"/>
          <w:sz w:val="22"/>
        </w:rPr>
      </w:pPr>
    </w:p>
    <w:p w14:paraId="2962BA85" w14:textId="4B18B653" w:rsidR="004462A0" w:rsidRPr="00FA69E8" w:rsidRDefault="00615769" w:rsidP="004462A0">
      <w:pPr>
        <w:keepNext/>
        <w:tabs>
          <w:tab w:val="left" w:pos="562"/>
        </w:tabs>
        <w:suppressAutoHyphens/>
        <w:ind w:left="540" w:hanging="540"/>
        <w:rPr>
          <w:del w:id="12224" w:author="AbbVie2" w:date="2025-05-13T16:48:00Z"/>
          <w:sz w:val="22"/>
        </w:rPr>
      </w:pPr>
      <w:del w:id="12225" w:author="AbbVie2" w:date="2025-05-13T16:48:00Z">
        <w:r w:rsidRPr="00FA69E8">
          <w:rPr>
            <w:sz w:val="22"/>
          </w:rPr>
          <w:delText>PC</w:delText>
        </w:r>
      </w:del>
    </w:p>
    <w:p w14:paraId="4B9A4A6C" w14:textId="3298B179" w:rsidR="004462A0" w:rsidRPr="00FA69E8" w:rsidRDefault="00615769" w:rsidP="004462A0">
      <w:pPr>
        <w:keepNext/>
        <w:tabs>
          <w:tab w:val="left" w:pos="562"/>
        </w:tabs>
        <w:suppressAutoHyphens/>
        <w:ind w:left="540" w:hanging="540"/>
        <w:rPr>
          <w:del w:id="12226" w:author="AbbVie2" w:date="2025-05-13T16:48:00Z"/>
          <w:sz w:val="22"/>
        </w:rPr>
      </w:pPr>
      <w:del w:id="12227" w:author="AbbVie2" w:date="2025-05-13T16:48:00Z">
        <w:r w:rsidRPr="00FA69E8">
          <w:rPr>
            <w:sz w:val="22"/>
          </w:rPr>
          <w:delText>SN</w:delText>
        </w:r>
      </w:del>
    </w:p>
    <w:p w14:paraId="7925DD5C" w14:textId="10CBBC78" w:rsidR="004462A0" w:rsidRPr="00FA69E8" w:rsidRDefault="00615769" w:rsidP="004462A0">
      <w:pPr>
        <w:keepNext/>
        <w:tabs>
          <w:tab w:val="left" w:pos="562"/>
        </w:tabs>
        <w:suppressAutoHyphens/>
        <w:ind w:left="540" w:hanging="540"/>
        <w:rPr>
          <w:del w:id="12228" w:author="AbbVie2" w:date="2025-05-13T16:48:00Z"/>
          <w:sz w:val="22"/>
        </w:rPr>
      </w:pPr>
      <w:del w:id="12229" w:author="AbbVie2" w:date="2025-05-13T16:48:00Z">
        <w:r w:rsidRPr="000F4BA0">
          <w:rPr>
            <w:sz w:val="22"/>
            <w:highlight w:val="lightGray"/>
          </w:rPr>
          <w:delText>NN</w:delText>
        </w:r>
      </w:del>
    </w:p>
    <w:p w14:paraId="3CAA013E" w14:textId="600E9D6D" w:rsidR="004462A0" w:rsidRPr="008912CF" w:rsidRDefault="00615769" w:rsidP="004462A0">
      <w:pPr>
        <w:pStyle w:val="EndnoteText"/>
        <w:tabs>
          <w:tab w:val="clear" w:pos="567"/>
          <w:tab w:val="left" w:pos="720"/>
        </w:tabs>
        <w:rPr>
          <w:del w:id="12230" w:author="AbbVie2" w:date="2025-05-13T16:48:00Z"/>
          <w:b/>
          <w:szCs w:val="22"/>
          <w:u w:val="single"/>
        </w:rPr>
      </w:pPr>
      <w:del w:id="12231" w:author="AbbVie2" w:date="2025-05-13T16:48:00Z">
        <w:r w:rsidRPr="008912CF">
          <w:rPr>
            <w:szCs w:val="22"/>
          </w:rPr>
          <w:br w:type="page"/>
        </w:r>
      </w:del>
    </w:p>
    <w:p w14:paraId="60FE73E0" w14:textId="24D152CE" w:rsidR="004462A0" w:rsidRPr="008912CF" w:rsidRDefault="00615769" w:rsidP="004462A0">
      <w:pPr>
        <w:pBdr>
          <w:top w:val="single" w:sz="4" w:space="1" w:color="auto"/>
          <w:left w:val="single" w:sz="4" w:space="4" w:color="auto"/>
          <w:bottom w:val="single" w:sz="4" w:space="1" w:color="auto"/>
          <w:right w:val="single" w:sz="4" w:space="4" w:color="auto"/>
        </w:pBdr>
        <w:tabs>
          <w:tab w:val="left" w:pos="567"/>
        </w:tabs>
        <w:rPr>
          <w:del w:id="12232" w:author="AbbVie2" w:date="2025-05-13T16:48:00Z"/>
          <w:b/>
          <w:sz w:val="22"/>
          <w:szCs w:val="22"/>
        </w:rPr>
      </w:pPr>
      <w:del w:id="12233" w:author="AbbVie2" w:date="2025-05-13T16:48:00Z">
        <w:r w:rsidRPr="008912CF">
          <w:rPr>
            <w:b/>
            <w:sz w:val="22"/>
            <w:szCs w:val="22"/>
          </w:rPr>
          <w:delText>INDICAÇÕES MÍNIMAS A INCLUIR NAS EMBALAGENS "BLISTER" OU FITAS CONTENTORAS</w:delText>
        </w:r>
      </w:del>
    </w:p>
    <w:p w14:paraId="1CB035BD" w14:textId="0D627A23" w:rsidR="004462A0" w:rsidRPr="008912CF" w:rsidRDefault="004462A0" w:rsidP="004462A0">
      <w:pPr>
        <w:pBdr>
          <w:top w:val="single" w:sz="4" w:space="1" w:color="auto"/>
          <w:left w:val="single" w:sz="4" w:space="4" w:color="auto"/>
          <w:bottom w:val="single" w:sz="4" w:space="1" w:color="auto"/>
          <w:right w:val="single" w:sz="4" w:space="4" w:color="auto"/>
        </w:pBdr>
        <w:tabs>
          <w:tab w:val="left" w:pos="567"/>
        </w:tabs>
        <w:rPr>
          <w:del w:id="12234" w:author="AbbVie2" w:date="2025-05-13T16:48:00Z"/>
          <w:b/>
          <w:sz w:val="22"/>
          <w:szCs w:val="22"/>
        </w:rPr>
      </w:pPr>
    </w:p>
    <w:p w14:paraId="2F0A5393" w14:textId="575EB82B" w:rsidR="004462A0" w:rsidRPr="008912CF" w:rsidRDefault="00615769" w:rsidP="004462A0">
      <w:pPr>
        <w:pStyle w:val="Heading3"/>
        <w:keepNext w:val="0"/>
        <w:pBdr>
          <w:top w:val="single" w:sz="4" w:space="1" w:color="auto"/>
          <w:left w:val="single" w:sz="4" w:space="4" w:color="auto"/>
          <w:bottom w:val="single" w:sz="4" w:space="1" w:color="auto"/>
          <w:right w:val="single" w:sz="4" w:space="4" w:color="auto"/>
        </w:pBdr>
        <w:spacing w:before="0" w:after="0" w:line="240" w:lineRule="auto"/>
        <w:rPr>
          <w:del w:id="12235" w:author="AbbVie2" w:date="2025-05-13T16:48:00Z"/>
          <w:caps/>
          <w:sz w:val="22"/>
          <w:szCs w:val="22"/>
          <w:highlight w:val="lightGray"/>
          <w:lang w:val="pt-PT"/>
        </w:rPr>
      </w:pPr>
      <w:del w:id="12236" w:author="AbbVie2" w:date="2025-05-13T16:48:00Z">
        <w:r w:rsidRPr="008912CF">
          <w:rPr>
            <w:caps/>
            <w:sz w:val="22"/>
            <w:szCs w:val="22"/>
            <w:lang w:val="pt-PT"/>
          </w:rPr>
          <w:delText>Texto para o verso do tabuleiro</w:delText>
        </w:r>
      </w:del>
    </w:p>
    <w:p w14:paraId="3A3505EB" w14:textId="67CC39DD" w:rsidR="004462A0" w:rsidRPr="008912CF" w:rsidRDefault="004462A0" w:rsidP="004462A0">
      <w:pPr>
        <w:tabs>
          <w:tab w:val="left" w:pos="720"/>
        </w:tabs>
        <w:rPr>
          <w:del w:id="12237" w:author="AbbVie2" w:date="2025-05-13T16:48:00Z"/>
          <w:sz w:val="22"/>
          <w:szCs w:val="22"/>
        </w:rPr>
      </w:pPr>
    </w:p>
    <w:p w14:paraId="1F30E835" w14:textId="20D4B0DF" w:rsidR="004462A0" w:rsidRPr="008912CF" w:rsidRDefault="004462A0" w:rsidP="004462A0">
      <w:pPr>
        <w:tabs>
          <w:tab w:val="left" w:pos="720"/>
        </w:tabs>
        <w:rPr>
          <w:del w:id="12238" w:author="AbbVie2" w:date="2025-05-13T16:48:00Z"/>
          <w:sz w:val="22"/>
          <w:szCs w:val="22"/>
        </w:rPr>
      </w:pPr>
    </w:p>
    <w:p w14:paraId="3248F8F2" w14:textId="77DD475C"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239" w:author="AbbVie2" w:date="2025-05-13T16:48:00Z"/>
          <w:sz w:val="22"/>
          <w:szCs w:val="22"/>
        </w:rPr>
      </w:pPr>
      <w:del w:id="12240" w:author="AbbVie2" w:date="2025-05-13T16:48:00Z">
        <w:r w:rsidRPr="008912CF">
          <w:rPr>
            <w:b/>
            <w:sz w:val="22"/>
            <w:szCs w:val="22"/>
          </w:rPr>
          <w:delText>1.</w:delText>
        </w:r>
        <w:r w:rsidRPr="008912CF">
          <w:rPr>
            <w:b/>
            <w:sz w:val="22"/>
            <w:szCs w:val="22"/>
          </w:rPr>
          <w:tab/>
          <w:delText>NOME DO MEDICAMENTO</w:delText>
        </w:r>
      </w:del>
    </w:p>
    <w:p w14:paraId="34831E87" w14:textId="7F07966B" w:rsidR="004462A0" w:rsidRPr="008912CF" w:rsidRDefault="004462A0" w:rsidP="004462A0">
      <w:pPr>
        <w:tabs>
          <w:tab w:val="left" w:pos="720"/>
        </w:tabs>
        <w:ind w:left="567" w:hanging="567"/>
        <w:rPr>
          <w:del w:id="12241" w:author="AbbVie2" w:date="2025-05-13T16:48:00Z"/>
          <w:sz w:val="22"/>
          <w:szCs w:val="22"/>
        </w:rPr>
      </w:pPr>
    </w:p>
    <w:p w14:paraId="2536E6E1" w14:textId="057F2BD3" w:rsidR="004462A0" w:rsidRPr="008912CF" w:rsidRDefault="00615769" w:rsidP="004462A0">
      <w:pPr>
        <w:tabs>
          <w:tab w:val="left" w:pos="720"/>
        </w:tabs>
        <w:ind w:left="567" w:hanging="567"/>
        <w:rPr>
          <w:del w:id="12242" w:author="AbbVie2" w:date="2025-05-13T16:48:00Z"/>
          <w:sz w:val="22"/>
          <w:szCs w:val="22"/>
        </w:rPr>
      </w:pPr>
      <w:del w:id="12243" w:author="AbbVie2" w:date="2025-05-13T16:48:00Z">
        <w:r w:rsidRPr="008912CF">
          <w:rPr>
            <w:sz w:val="22"/>
            <w:szCs w:val="22"/>
          </w:rPr>
          <w:delText>Humira 40 mg solução injetável em seringa pré-cheia</w:delText>
        </w:r>
      </w:del>
    </w:p>
    <w:p w14:paraId="4644044E" w14:textId="56F7F045" w:rsidR="004462A0" w:rsidRPr="008912CF" w:rsidRDefault="00615769" w:rsidP="004462A0">
      <w:pPr>
        <w:tabs>
          <w:tab w:val="left" w:pos="720"/>
        </w:tabs>
        <w:ind w:left="567" w:hanging="567"/>
        <w:rPr>
          <w:del w:id="12244" w:author="AbbVie2" w:date="2025-05-13T16:48:00Z"/>
          <w:sz w:val="22"/>
          <w:szCs w:val="22"/>
        </w:rPr>
      </w:pPr>
      <w:del w:id="12245" w:author="AbbVie2" w:date="2025-05-13T16:48:00Z">
        <w:r w:rsidRPr="008912CF">
          <w:rPr>
            <w:sz w:val="22"/>
            <w:szCs w:val="22"/>
          </w:rPr>
          <w:delText>adalimumab</w:delText>
        </w:r>
      </w:del>
    </w:p>
    <w:p w14:paraId="3A65F183" w14:textId="00C97A89" w:rsidR="004462A0" w:rsidRPr="008912CF" w:rsidRDefault="004462A0" w:rsidP="004462A0">
      <w:pPr>
        <w:tabs>
          <w:tab w:val="left" w:pos="720"/>
        </w:tabs>
        <w:rPr>
          <w:del w:id="12246" w:author="AbbVie2" w:date="2025-05-13T16:48:00Z"/>
          <w:sz w:val="22"/>
          <w:szCs w:val="22"/>
        </w:rPr>
      </w:pPr>
    </w:p>
    <w:p w14:paraId="73EF0BDF" w14:textId="4C6E89B9" w:rsidR="004462A0" w:rsidRPr="008912CF" w:rsidRDefault="004462A0" w:rsidP="004462A0">
      <w:pPr>
        <w:tabs>
          <w:tab w:val="left" w:pos="720"/>
        </w:tabs>
        <w:rPr>
          <w:del w:id="12247" w:author="AbbVie2" w:date="2025-05-13T16:48:00Z"/>
          <w:sz w:val="22"/>
          <w:szCs w:val="22"/>
        </w:rPr>
      </w:pPr>
    </w:p>
    <w:p w14:paraId="34A76FAF" w14:textId="54FC90F1"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del w:id="12248" w:author="AbbVie2" w:date="2025-05-13T16:48:00Z"/>
          <w:b/>
          <w:sz w:val="22"/>
          <w:szCs w:val="22"/>
          <w:highlight w:val="lightGray"/>
        </w:rPr>
      </w:pPr>
      <w:del w:id="12249" w:author="AbbVie2" w:date="2025-05-13T16:48:00Z">
        <w:r w:rsidRPr="008912CF">
          <w:rPr>
            <w:b/>
            <w:sz w:val="22"/>
            <w:szCs w:val="22"/>
          </w:rPr>
          <w:delText>2.</w:delText>
        </w:r>
        <w:r w:rsidRPr="008912CF">
          <w:rPr>
            <w:b/>
            <w:sz w:val="22"/>
            <w:szCs w:val="22"/>
          </w:rPr>
          <w:tab/>
        </w:r>
        <w:r w:rsidRPr="008912CF">
          <w:rPr>
            <w:b/>
            <w:sz w:val="22"/>
            <w:szCs w:val="22"/>
          </w:rPr>
          <w:delText>NOME DO TITULAR DA AUTORIZAÇÃO DE INTRODUÇÃO NO MERCADO</w:delText>
        </w:r>
      </w:del>
    </w:p>
    <w:p w14:paraId="16746837" w14:textId="78514883" w:rsidR="004462A0" w:rsidRPr="008912CF" w:rsidRDefault="004462A0" w:rsidP="004462A0">
      <w:pPr>
        <w:tabs>
          <w:tab w:val="left" w:pos="720"/>
        </w:tabs>
        <w:rPr>
          <w:del w:id="12250" w:author="AbbVie2" w:date="2025-05-13T16:48:00Z"/>
          <w:sz w:val="22"/>
          <w:szCs w:val="22"/>
        </w:rPr>
      </w:pPr>
    </w:p>
    <w:p w14:paraId="0ACEBF14" w14:textId="68715377" w:rsidR="004462A0" w:rsidRPr="008912CF" w:rsidRDefault="00615769" w:rsidP="004462A0">
      <w:pPr>
        <w:tabs>
          <w:tab w:val="left" w:pos="720"/>
        </w:tabs>
        <w:rPr>
          <w:del w:id="12251" w:author="AbbVie2" w:date="2025-05-13T16:48:00Z"/>
          <w:sz w:val="22"/>
          <w:szCs w:val="22"/>
        </w:rPr>
      </w:pPr>
      <w:del w:id="12252" w:author="AbbVie2" w:date="2025-05-13T16:48:00Z">
        <w:r w:rsidRPr="008912CF">
          <w:rPr>
            <w:sz w:val="22"/>
            <w:szCs w:val="22"/>
          </w:rPr>
          <w:delText xml:space="preserve">AbbVie </w:delText>
        </w:r>
        <w:r w:rsidR="005027F5" w:rsidRPr="0074724A">
          <w:rPr>
            <w:sz w:val="22"/>
            <w:szCs w:val="22"/>
            <w:highlight w:val="lightGray"/>
            <w:lang w:eastAsia="en-GB"/>
          </w:rPr>
          <w:delText>(como logo)</w:delText>
        </w:r>
      </w:del>
    </w:p>
    <w:p w14:paraId="3885257A" w14:textId="5E9BDBC3" w:rsidR="004462A0" w:rsidRPr="008912CF" w:rsidRDefault="004462A0" w:rsidP="004462A0">
      <w:pPr>
        <w:tabs>
          <w:tab w:val="left" w:pos="720"/>
        </w:tabs>
        <w:rPr>
          <w:del w:id="12253" w:author="AbbVie2" w:date="2025-05-13T16:48:00Z"/>
          <w:sz w:val="22"/>
          <w:szCs w:val="22"/>
        </w:rPr>
      </w:pPr>
    </w:p>
    <w:p w14:paraId="66FB9089" w14:textId="1C4AB862" w:rsidR="004462A0" w:rsidRPr="008912CF" w:rsidRDefault="004462A0" w:rsidP="004462A0">
      <w:pPr>
        <w:pStyle w:val="EndnoteText"/>
        <w:tabs>
          <w:tab w:val="clear" w:pos="567"/>
          <w:tab w:val="left" w:pos="720"/>
        </w:tabs>
        <w:rPr>
          <w:del w:id="12254" w:author="AbbVie2" w:date="2025-05-13T16:48:00Z"/>
          <w:szCs w:val="22"/>
        </w:rPr>
      </w:pPr>
    </w:p>
    <w:p w14:paraId="5BE4C217" w14:textId="31F4495D"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del w:id="12255" w:author="AbbVie2" w:date="2025-05-13T16:48:00Z"/>
          <w:b/>
          <w:sz w:val="22"/>
          <w:szCs w:val="22"/>
          <w:highlight w:val="lightGray"/>
        </w:rPr>
      </w:pPr>
      <w:del w:id="12256" w:author="AbbVie2" w:date="2025-05-13T16:48:00Z">
        <w:r w:rsidRPr="008912CF">
          <w:rPr>
            <w:b/>
            <w:sz w:val="22"/>
            <w:szCs w:val="22"/>
          </w:rPr>
          <w:delText>3.</w:delText>
        </w:r>
        <w:r w:rsidRPr="008912CF">
          <w:rPr>
            <w:b/>
            <w:sz w:val="22"/>
            <w:szCs w:val="22"/>
          </w:rPr>
          <w:tab/>
          <w:delText>PRAZO DE VALIDADE</w:delText>
        </w:r>
      </w:del>
    </w:p>
    <w:p w14:paraId="71F6E2E4" w14:textId="03AF4171" w:rsidR="004462A0" w:rsidRPr="008912CF" w:rsidRDefault="004462A0" w:rsidP="004462A0">
      <w:pPr>
        <w:tabs>
          <w:tab w:val="left" w:pos="720"/>
        </w:tabs>
        <w:rPr>
          <w:del w:id="12257" w:author="AbbVie2" w:date="2025-05-13T16:48:00Z"/>
          <w:sz w:val="22"/>
          <w:szCs w:val="22"/>
        </w:rPr>
      </w:pPr>
    </w:p>
    <w:p w14:paraId="276B2C4E" w14:textId="207C9BBF" w:rsidR="004462A0" w:rsidRPr="008912CF" w:rsidRDefault="00615769" w:rsidP="004462A0">
      <w:pPr>
        <w:tabs>
          <w:tab w:val="left" w:pos="720"/>
        </w:tabs>
        <w:rPr>
          <w:del w:id="12258" w:author="AbbVie2" w:date="2025-05-13T16:48:00Z"/>
          <w:sz w:val="22"/>
          <w:szCs w:val="22"/>
        </w:rPr>
      </w:pPr>
      <w:del w:id="12259" w:author="AbbVie2" w:date="2025-05-13T16:48:00Z">
        <w:r>
          <w:rPr>
            <w:sz w:val="22"/>
            <w:szCs w:val="22"/>
          </w:rPr>
          <w:delText>EXP</w:delText>
        </w:r>
      </w:del>
    </w:p>
    <w:p w14:paraId="558F8054" w14:textId="676FA11C" w:rsidR="004462A0" w:rsidRPr="008912CF" w:rsidRDefault="004462A0" w:rsidP="004462A0">
      <w:pPr>
        <w:tabs>
          <w:tab w:val="left" w:pos="720"/>
        </w:tabs>
        <w:rPr>
          <w:del w:id="12260" w:author="AbbVie2" w:date="2025-05-13T16:48:00Z"/>
          <w:sz w:val="22"/>
          <w:szCs w:val="22"/>
        </w:rPr>
      </w:pPr>
    </w:p>
    <w:p w14:paraId="7D3B081A" w14:textId="4084AE40" w:rsidR="004462A0" w:rsidRPr="008912CF" w:rsidRDefault="004462A0" w:rsidP="004462A0">
      <w:pPr>
        <w:tabs>
          <w:tab w:val="left" w:pos="720"/>
        </w:tabs>
        <w:rPr>
          <w:del w:id="12261" w:author="AbbVie2" w:date="2025-05-13T16:48:00Z"/>
          <w:sz w:val="22"/>
          <w:szCs w:val="22"/>
        </w:rPr>
      </w:pPr>
    </w:p>
    <w:p w14:paraId="5CB2DBBC" w14:textId="35FBEAE4"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262" w:author="AbbVie2" w:date="2025-05-13T16:48:00Z"/>
          <w:b/>
          <w:sz w:val="22"/>
          <w:szCs w:val="22"/>
          <w:highlight w:val="lightGray"/>
        </w:rPr>
      </w:pPr>
      <w:del w:id="12263" w:author="AbbVie2" w:date="2025-05-13T16:48:00Z">
        <w:r w:rsidRPr="008912CF">
          <w:rPr>
            <w:b/>
            <w:sz w:val="22"/>
            <w:szCs w:val="22"/>
          </w:rPr>
          <w:delText>4.</w:delText>
        </w:r>
        <w:r w:rsidRPr="008912CF">
          <w:rPr>
            <w:b/>
            <w:sz w:val="22"/>
            <w:szCs w:val="22"/>
          </w:rPr>
          <w:tab/>
          <w:delText>NÚMERO DO LOTE</w:delText>
        </w:r>
      </w:del>
    </w:p>
    <w:p w14:paraId="54A492BD" w14:textId="1C6EF570" w:rsidR="004462A0" w:rsidRPr="008912CF" w:rsidRDefault="004462A0" w:rsidP="004462A0">
      <w:pPr>
        <w:tabs>
          <w:tab w:val="left" w:pos="720"/>
        </w:tabs>
        <w:rPr>
          <w:del w:id="12264" w:author="AbbVie2" w:date="2025-05-13T16:48:00Z"/>
          <w:sz w:val="22"/>
          <w:szCs w:val="22"/>
        </w:rPr>
      </w:pPr>
    </w:p>
    <w:p w14:paraId="489E3586" w14:textId="5E3EE548" w:rsidR="004462A0" w:rsidRPr="008912CF" w:rsidRDefault="00615769" w:rsidP="004462A0">
      <w:pPr>
        <w:tabs>
          <w:tab w:val="left" w:pos="720"/>
        </w:tabs>
        <w:rPr>
          <w:del w:id="12265" w:author="AbbVie2" w:date="2025-05-13T16:48:00Z"/>
          <w:sz w:val="22"/>
          <w:szCs w:val="22"/>
        </w:rPr>
      </w:pPr>
      <w:del w:id="12266" w:author="AbbVie2" w:date="2025-05-13T16:48:00Z">
        <w:r w:rsidRPr="008912CF">
          <w:rPr>
            <w:sz w:val="22"/>
            <w:szCs w:val="22"/>
          </w:rPr>
          <w:delText>Lote</w:delText>
        </w:r>
      </w:del>
    </w:p>
    <w:p w14:paraId="78783FDA" w14:textId="2DEEE64E" w:rsidR="004462A0" w:rsidRPr="008912CF" w:rsidRDefault="004462A0" w:rsidP="004462A0">
      <w:pPr>
        <w:tabs>
          <w:tab w:val="left" w:pos="720"/>
        </w:tabs>
        <w:rPr>
          <w:del w:id="12267" w:author="AbbVie2" w:date="2025-05-13T16:48:00Z"/>
          <w:sz w:val="22"/>
          <w:szCs w:val="22"/>
        </w:rPr>
      </w:pPr>
    </w:p>
    <w:p w14:paraId="383676CC" w14:textId="41060E6F" w:rsidR="004462A0" w:rsidRPr="008912CF" w:rsidRDefault="004462A0" w:rsidP="004462A0">
      <w:pPr>
        <w:shd w:val="clear" w:color="auto" w:fill="FFFFFF"/>
        <w:tabs>
          <w:tab w:val="left" w:pos="720"/>
        </w:tabs>
        <w:rPr>
          <w:del w:id="12268" w:author="AbbVie2" w:date="2025-05-13T16:48:00Z"/>
          <w:b/>
          <w:sz w:val="22"/>
          <w:szCs w:val="22"/>
          <w:u w:val="single"/>
        </w:rPr>
      </w:pPr>
    </w:p>
    <w:p w14:paraId="1C783977" w14:textId="207AC878"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269" w:author="AbbVie2" w:date="2025-05-13T16:48:00Z"/>
          <w:b/>
          <w:sz w:val="22"/>
          <w:szCs w:val="22"/>
          <w:highlight w:val="lightGray"/>
        </w:rPr>
      </w:pPr>
      <w:del w:id="12270" w:author="AbbVie2" w:date="2025-05-13T16:48:00Z">
        <w:r w:rsidRPr="008912CF">
          <w:rPr>
            <w:b/>
            <w:sz w:val="22"/>
            <w:szCs w:val="22"/>
          </w:rPr>
          <w:delText>5.</w:delText>
        </w:r>
        <w:r w:rsidRPr="008912CF">
          <w:rPr>
            <w:b/>
            <w:sz w:val="22"/>
            <w:szCs w:val="22"/>
          </w:rPr>
          <w:tab/>
          <w:delText>OUTR</w:delText>
        </w:r>
        <w:r>
          <w:rPr>
            <w:b/>
            <w:sz w:val="22"/>
            <w:szCs w:val="22"/>
          </w:rPr>
          <w:delText>O</w:delText>
        </w:r>
        <w:r w:rsidRPr="008912CF">
          <w:rPr>
            <w:b/>
            <w:sz w:val="22"/>
            <w:szCs w:val="22"/>
          </w:rPr>
          <w:delText>S</w:delText>
        </w:r>
      </w:del>
    </w:p>
    <w:p w14:paraId="4B415D67" w14:textId="216968D4" w:rsidR="004462A0" w:rsidRPr="008912CF" w:rsidRDefault="004462A0" w:rsidP="004462A0">
      <w:pPr>
        <w:shd w:val="clear" w:color="auto" w:fill="FFFFFF"/>
        <w:tabs>
          <w:tab w:val="left" w:pos="720"/>
        </w:tabs>
        <w:rPr>
          <w:del w:id="12271" w:author="AbbVie2" w:date="2025-05-13T16:48:00Z"/>
          <w:b/>
          <w:sz w:val="22"/>
          <w:szCs w:val="22"/>
          <w:u w:val="single"/>
        </w:rPr>
      </w:pPr>
    </w:p>
    <w:p w14:paraId="25A903B9" w14:textId="72BE3F01" w:rsidR="004462A0" w:rsidRPr="008912CF" w:rsidRDefault="00615769" w:rsidP="004462A0">
      <w:pPr>
        <w:shd w:val="clear" w:color="auto" w:fill="FFFFFF"/>
        <w:tabs>
          <w:tab w:val="left" w:pos="720"/>
        </w:tabs>
        <w:rPr>
          <w:del w:id="12272" w:author="AbbVie2" w:date="2025-05-13T16:48:00Z"/>
          <w:sz w:val="22"/>
          <w:szCs w:val="22"/>
        </w:rPr>
      </w:pPr>
      <w:del w:id="12273" w:author="AbbVie2" w:date="2025-05-13T16:48:00Z">
        <w:r w:rsidRPr="008912CF">
          <w:rPr>
            <w:sz w:val="22"/>
            <w:szCs w:val="22"/>
          </w:rPr>
          <w:delText>Para informação de conservação, ver folheto informativo.</w:delText>
        </w:r>
      </w:del>
    </w:p>
    <w:p w14:paraId="600098BC" w14:textId="078404D9" w:rsidR="004462A0" w:rsidRPr="008912CF" w:rsidRDefault="004462A0" w:rsidP="004462A0">
      <w:pPr>
        <w:shd w:val="clear" w:color="auto" w:fill="FFFFFF"/>
        <w:tabs>
          <w:tab w:val="left" w:pos="720"/>
        </w:tabs>
        <w:rPr>
          <w:del w:id="12274" w:author="AbbVie2" w:date="2025-05-13T16:48:00Z"/>
          <w:sz w:val="22"/>
          <w:szCs w:val="22"/>
        </w:rPr>
      </w:pPr>
    </w:p>
    <w:p w14:paraId="11F05DE9" w14:textId="01F5F6D0" w:rsidR="00A14CF0" w:rsidRDefault="00615769" w:rsidP="004462A0">
      <w:pPr>
        <w:tabs>
          <w:tab w:val="left" w:pos="720"/>
        </w:tabs>
        <w:rPr>
          <w:del w:id="12275" w:author="AbbVie2" w:date="2025-05-13T16:48:00Z"/>
          <w:sz w:val="22"/>
          <w:szCs w:val="22"/>
        </w:rPr>
      </w:pPr>
      <w:del w:id="12276" w:author="AbbVie2" w:date="2025-05-13T16:48:00Z">
        <w:r w:rsidRPr="008912CF">
          <w:rPr>
            <w:sz w:val="22"/>
            <w:szCs w:val="22"/>
          </w:rPr>
          <w:delText>Apenas para uma única utilização</w:delText>
        </w:r>
        <w:r w:rsidR="00437552">
          <w:rPr>
            <w:sz w:val="22"/>
            <w:szCs w:val="22"/>
          </w:rPr>
          <w:delText>.</w:delText>
        </w:r>
      </w:del>
    </w:p>
    <w:p w14:paraId="4D4F5F8D" w14:textId="540A3492" w:rsidR="00A14CF0" w:rsidRDefault="00A14CF0" w:rsidP="004462A0">
      <w:pPr>
        <w:tabs>
          <w:tab w:val="left" w:pos="720"/>
        </w:tabs>
        <w:rPr>
          <w:del w:id="12277" w:author="AbbVie2" w:date="2025-05-13T16:48:00Z"/>
          <w:sz w:val="22"/>
          <w:szCs w:val="22"/>
        </w:rPr>
      </w:pPr>
    </w:p>
    <w:p w14:paraId="79118EFE" w14:textId="42F115C0" w:rsidR="004462A0" w:rsidRPr="008912CF" w:rsidRDefault="00615769" w:rsidP="004462A0">
      <w:pPr>
        <w:tabs>
          <w:tab w:val="left" w:pos="720"/>
        </w:tabs>
        <w:rPr>
          <w:del w:id="12278" w:author="AbbVie2" w:date="2025-05-13T16:48:00Z"/>
          <w:sz w:val="22"/>
          <w:szCs w:val="22"/>
        </w:rPr>
      </w:pPr>
      <w:del w:id="12279" w:author="AbbVie2" w:date="2025-05-13T16:48:00Z">
        <w:r>
          <w:rPr>
            <w:sz w:val="22"/>
            <w:szCs w:val="22"/>
          </w:rPr>
          <w:delText>Com sistema de proteção da agulha</w:delText>
        </w:r>
        <w:r w:rsidR="00071159">
          <w:rPr>
            <w:sz w:val="22"/>
            <w:szCs w:val="22"/>
          </w:rPr>
          <w:delText>.</w:delText>
        </w:r>
        <w:r w:rsidRPr="008912CF">
          <w:rPr>
            <w:sz w:val="22"/>
            <w:szCs w:val="22"/>
          </w:rPr>
          <w:br w:type="page"/>
        </w:r>
      </w:del>
    </w:p>
    <w:p w14:paraId="31A7A042" w14:textId="5BE366D5" w:rsidR="004462A0" w:rsidRPr="008912CF" w:rsidRDefault="00615769" w:rsidP="004462A0">
      <w:pPr>
        <w:pBdr>
          <w:top w:val="single" w:sz="4" w:space="1" w:color="auto"/>
          <w:left w:val="single" w:sz="4" w:space="1" w:color="auto"/>
          <w:bottom w:val="single" w:sz="4" w:space="1" w:color="auto"/>
          <w:right w:val="single" w:sz="4" w:space="1" w:color="auto"/>
        </w:pBdr>
        <w:tabs>
          <w:tab w:val="left" w:pos="567"/>
        </w:tabs>
        <w:rPr>
          <w:del w:id="12280" w:author="AbbVie2" w:date="2025-05-13T16:48:00Z"/>
          <w:b/>
          <w:sz w:val="22"/>
          <w:szCs w:val="22"/>
        </w:rPr>
      </w:pPr>
      <w:del w:id="12281" w:author="AbbVie2" w:date="2025-05-13T16:48:00Z">
        <w:r w:rsidRPr="008912CF">
          <w:rPr>
            <w:b/>
            <w:sz w:val="22"/>
            <w:szCs w:val="22"/>
          </w:rPr>
          <w:delText>INDICAÇÕES MÍNIMAS A INCLUIR EM PEQUENAS UNIDADES DE ACONDICIONAMENTO PRIMÁRIO</w:delText>
        </w:r>
      </w:del>
    </w:p>
    <w:p w14:paraId="06BBD2BB" w14:textId="3DECCD99" w:rsidR="004462A0" w:rsidRPr="008912CF" w:rsidRDefault="004462A0" w:rsidP="004462A0">
      <w:pPr>
        <w:pBdr>
          <w:top w:val="single" w:sz="4" w:space="1" w:color="auto"/>
          <w:left w:val="single" w:sz="4" w:space="1" w:color="auto"/>
          <w:bottom w:val="single" w:sz="4" w:space="1" w:color="auto"/>
          <w:right w:val="single" w:sz="4" w:space="1" w:color="auto"/>
        </w:pBdr>
        <w:tabs>
          <w:tab w:val="left" w:pos="567"/>
        </w:tabs>
        <w:rPr>
          <w:del w:id="12282" w:author="AbbVie2" w:date="2025-05-13T16:48:00Z"/>
          <w:b/>
          <w:caps/>
          <w:sz w:val="22"/>
          <w:szCs w:val="22"/>
        </w:rPr>
      </w:pPr>
    </w:p>
    <w:p w14:paraId="6E8FFFBC" w14:textId="2CDDB60B" w:rsidR="004462A0" w:rsidRPr="008912CF" w:rsidRDefault="00615769" w:rsidP="004462A0">
      <w:pPr>
        <w:pBdr>
          <w:top w:val="single" w:sz="4" w:space="1" w:color="auto"/>
          <w:left w:val="single" w:sz="4" w:space="1" w:color="auto"/>
          <w:bottom w:val="single" w:sz="4" w:space="1" w:color="auto"/>
          <w:right w:val="single" w:sz="4" w:space="1" w:color="auto"/>
        </w:pBdr>
        <w:tabs>
          <w:tab w:val="left" w:pos="567"/>
        </w:tabs>
        <w:rPr>
          <w:del w:id="12283" w:author="AbbVie2" w:date="2025-05-13T16:48:00Z"/>
          <w:b/>
          <w:sz w:val="22"/>
          <w:szCs w:val="22"/>
        </w:rPr>
      </w:pPr>
      <w:del w:id="12284" w:author="AbbVie2" w:date="2025-05-13T16:48:00Z">
        <w:r w:rsidRPr="008912CF">
          <w:rPr>
            <w:b/>
            <w:caps/>
            <w:sz w:val="22"/>
            <w:szCs w:val="22"/>
          </w:rPr>
          <w:delText>Rótulo da seringa</w:delText>
        </w:r>
      </w:del>
    </w:p>
    <w:p w14:paraId="2552CB28" w14:textId="509D9C7C" w:rsidR="004462A0" w:rsidRPr="008912CF" w:rsidRDefault="004462A0" w:rsidP="004462A0">
      <w:pPr>
        <w:pStyle w:val="Index1"/>
        <w:spacing w:line="240" w:lineRule="auto"/>
        <w:rPr>
          <w:del w:id="12285" w:author="AbbVie2" w:date="2025-05-13T16:48:00Z"/>
          <w:szCs w:val="22"/>
          <w:lang w:val="pt-PT"/>
        </w:rPr>
      </w:pPr>
    </w:p>
    <w:p w14:paraId="74487ABF" w14:textId="49892EBE" w:rsidR="004462A0" w:rsidRPr="008912CF" w:rsidRDefault="004462A0" w:rsidP="004462A0">
      <w:pPr>
        <w:tabs>
          <w:tab w:val="left" w:pos="720"/>
        </w:tabs>
        <w:rPr>
          <w:del w:id="12286" w:author="AbbVie2" w:date="2025-05-13T16:48:00Z"/>
          <w:sz w:val="22"/>
          <w:szCs w:val="22"/>
        </w:rPr>
      </w:pPr>
    </w:p>
    <w:p w14:paraId="1B99DA97" w14:textId="19F41FC5"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287" w:author="AbbVie2" w:date="2025-05-13T16:48:00Z"/>
          <w:b/>
          <w:sz w:val="22"/>
          <w:szCs w:val="22"/>
          <w:highlight w:val="lightGray"/>
        </w:rPr>
      </w:pPr>
      <w:del w:id="12288" w:author="AbbVie2" w:date="2025-05-13T16:48:00Z">
        <w:r w:rsidRPr="008912CF">
          <w:rPr>
            <w:b/>
            <w:sz w:val="22"/>
            <w:szCs w:val="22"/>
          </w:rPr>
          <w:delText>1.</w:delText>
        </w:r>
        <w:r w:rsidRPr="008912CF">
          <w:rPr>
            <w:b/>
            <w:sz w:val="22"/>
            <w:szCs w:val="22"/>
          </w:rPr>
          <w:tab/>
        </w:r>
        <w:r w:rsidRPr="008912CF">
          <w:rPr>
            <w:b/>
            <w:sz w:val="22"/>
            <w:szCs w:val="22"/>
          </w:rPr>
          <w:delText>NOME DO MEDICAMENTO E VIA DE ADMINISTRAÇÃO</w:delText>
        </w:r>
      </w:del>
    </w:p>
    <w:p w14:paraId="7863873A" w14:textId="457387E1" w:rsidR="004462A0" w:rsidRPr="008912CF" w:rsidRDefault="004462A0" w:rsidP="004462A0">
      <w:pPr>
        <w:tabs>
          <w:tab w:val="left" w:pos="720"/>
        </w:tabs>
        <w:ind w:left="567" w:hanging="567"/>
        <w:rPr>
          <w:del w:id="12289" w:author="AbbVie2" w:date="2025-05-13T16:48:00Z"/>
          <w:sz w:val="22"/>
          <w:szCs w:val="22"/>
        </w:rPr>
      </w:pPr>
    </w:p>
    <w:p w14:paraId="1D47BB00" w14:textId="72BF6B3C" w:rsidR="004462A0" w:rsidRPr="008912CF" w:rsidRDefault="00615769" w:rsidP="004462A0">
      <w:pPr>
        <w:tabs>
          <w:tab w:val="left" w:pos="720"/>
        </w:tabs>
        <w:rPr>
          <w:del w:id="12290" w:author="AbbVie2" w:date="2025-05-13T16:48:00Z"/>
          <w:sz w:val="22"/>
          <w:szCs w:val="22"/>
        </w:rPr>
      </w:pPr>
      <w:del w:id="12291" w:author="AbbVie2" w:date="2025-05-13T16:48:00Z">
        <w:r w:rsidRPr="008912CF">
          <w:rPr>
            <w:sz w:val="22"/>
            <w:szCs w:val="22"/>
          </w:rPr>
          <w:delText>Humira 40 mg solução injetável</w:delText>
        </w:r>
      </w:del>
    </w:p>
    <w:p w14:paraId="63DDBD73" w14:textId="70ACCCEC" w:rsidR="004462A0" w:rsidRPr="008912CF" w:rsidRDefault="00615769" w:rsidP="004462A0">
      <w:pPr>
        <w:pStyle w:val="EndnoteText"/>
        <w:tabs>
          <w:tab w:val="clear" w:pos="567"/>
          <w:tab w:val="left" w:pos="720"/>
        </w:tabs>
        <w:rPr>
          <w:del w:id="12292" w:author="AbbVie2" w:date="2025-05-13T16:48:00Z"/>
          <w:szCs w:val="22"/>
        </w:rPr>
      </w:pPr>
      <w:del w:id="12293" w:author="AbbVie2" w:date="2025-05-13T16:48:00Z">
        <w:r w:rsidRPr="008912CF">
          <w:rPr>
            <w:szCs w:val="22"/>
          </w:rPr>
          <w:delText>adalimumab</w:delText>
        </w:r>
      </w:del>
    </w:p>
    <w:p w14:paraId="4CB9C56F" w14:textId="66FB67F7" w:rsidR="004462A0" w:rsidRPr="008912CF" w:rsidRDefault="00615769" w:rsidP="004462A0">
      <w:pPr>
        <w:pStyle w:val="EndnoteText"/>
        <w:tabs>
          <w:tab w:val="clear" w:pos="567"/>
          <w:tab w:val="left" w:pos="720"/>
        </w:tabs>
        <w:rPr>
          <w:del w:id="12294" w:author="AbbVie2" w:date="2025-05-13T16:48:00Z"/>
          <w:szCs w:val="22"/>
        </w:rPr>
      </w:pPr>
      <w:del w:id="12295" w:author="AbbVie2" w:date="2025-05-13T16:48:00Z">
        <w:r>
          <w:rPr>
            <w:szCs w:val="22"/>
          </w:rPr>
          <w:delText>SC</w:delText>
        </w:r>
      </w:del>
    </w:p>
    <w:p w14:paraId="0DD8194E" w14:textId="55D06078" w:rsidR="004462A0" w:rsidRPr="008912CF" w:rsidRDefault="004462A0" w:rsidP="004462A0">
      <w:pPr>
        <w:tabs>
          <w:tab w:val="left" w:pos="720"/>
        </w:tabs>
        <w:rPr>
          <w:del w:id="12296" w:author="AbbVie2" w:date="2025-05-13T16:48:00Z"/>
          <w:bCs/>
          <w:sz w:val="22"/>
          <w:szCs w:val="22"/>
        </w:rPr>
      </w:pPr>
    </w:p>
    <w:p w14:paraId="364F80FB" w14:textId="3611D175" w:rsidR="004462A0" w:rsidRPr="008912CF" w:rsidRDefault="004462A0" w:rsidP="004462A0">
      <w:pPr>
        <w:pStyle w:val="EndnoteText"/>
        <w:tabs>
          <w:tab w:val="clear" w:pos="567"/>
          <w:tab w:val="left" w:pos="720"/>
        </w:tabs>
        <w:rPr>
          <w:del w:id="12297" w:author="AbbVie2" w:date="2025-05-13T16:48:00Z"/>
          <w:bCs/>
          <w:szCs w:val="22"/>
        </w:rPr>
      </w:pPr>
    </w:p>
    <w:p w14:paraId="2313E724" w14:textId="005EA723"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del w:id="12298" w:author="AbbVie2" w:date="2025-05-13T16:48:00Z"/>
          <w:b/>
          <w:sz w:val="22"/>
          <w:szCs w:val="22"/>
          <w:highlight w:val="lightGray"/>
        </w:rPr>
      </w:pPr>
      <w:del w:id="12299" w:author="AbbVie2" w:date="2025-05-13T16:48:00Z">
        <w:r w:rsidRPr="008912CF">
          <w:rPr>
            <w:b/>
            <w:sz w:val="22"/>
            <w:szCs w:val="22"/>
          </w:rPr>
          <w:delText>2.</w:delText>
        </w:r>
        <w:r w:rsidRPr="008912CF">
          <w:rPr>
            <w:b/>
            <w:sz w:val="22"/>
            <w:szCs w:val="22"/>
          </w:rPr>
          <w:tab/>
          <w:delText>MODO DE ADMINISTRAÇÃO</w:delText>
        </w:r>
      </w:del>
    </w:p>
    <w:p w14:paraId="4D970E45" w14:textId="4A3EAA9A" w:rsidR="004462A0" w:rsidRPr="008912CF" w:rsidRDefault="004462A0" w:rsidP="004462A0">
      <w:pPr>
        <w:pStyle w:val="IndexHeading"/>
        <w:tabs>
          <w:tab w:val="clear" w:pos="567"/>
          <w:tab w:val="left" w:pos="720"/>
        </w:tabs>
        <w:spacing w:line="240" w:lineRule="auto"/>
        <w:rPr>
          <w:del w:id="12300" w:author="AbbVie2" w:date="2025-05-13T16:48:00Z"/>
          <w:rFonts w:ascii="Times New Roman" w:hAnsi="Times New Roman"/>
          <w:b w:val="0"/>
          <w:bCs/>
          <w:szCs w:val="22"/>
          <w:lang w:val="pt-PT"/>
        </w:rPr>
      </w:pPr>
    </w:p>
    <w:p w14:paraId="370B3DC4" w14:textId="6123BB53" w:rsidR="004462A0" w:rsidRPr="008912CF" w:rsidRDefault="004462A0" w:rsidP="004462A0">
      <w:pPr>
        <w:tabs>
          <w:tab w:val="left" w:pos="720"/>
        </w:tabs>
        <w:rPr>
          <w:del w:id="12301" w:author="AbbVie2" w:date="2025-05-13T16:48:00Z"/>
          <w:bCs/>
          <w:sz w:val="22"/>
          <w:szCs w:val="22"/>
        </w:rPr>
      </w:pPr>
    </w:p>
    <w:p w14:paraId="454D53BB" w14:textId="601B9105"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302" w:author="AbbVie2" w:date="2025-05-13T16:48:00Z"/>
          <w:b/>
          <w:sz w:val="22"/>
          <w:szCs w:val="22"/>
          <w:highlight w:val="lightGray"/>
        </w:rPr>
      </w:pPr>
      <w:del w:id="12303" w:author="AbbVie2" w:date="2025-05-13T16:48:00Z">
        <w:r w:rsidRPr="008912CF">
          <w:rPr>
            <w:b/>
            <w:sz w:val="22"/>
            <w:szCs w:val="22"/>
          </w:rPr>
          <w:delText>3.</w:delText>
        </w:r>
        <w:r w:rsidRPr="008912CF">
          <w:rPr>
            <w:b/>
            <w:sz w:val="22"/>
            <w:szCs w:val="22"/>
          </w:rPr>
          <w:tab/>
          <w:delText>PRAZO DE VALIDADE</w:delText>
        </w:r>
      </w:del>
    </w:p>
    <w:p w14:paraId="42920A5F" w14:textId="1C975CC3" w:rsidR="004462A0" w:rsidRPr="008912CF" w:rsidRDefault="004462A0" w:rsidP="004462A0">
      <w:pPr>
        <w:tabs>
          <w:tab w:val="left" w:pos="720"/>
        </w:tabs>
        <w:rPr>
          <w:del w:id="12304" w:author="AbbVie2" w:date="2025-05-13T16:48:00Z"/>
          <w:sz w:val="22"/>
          <w:szCs w:val="22"/>
        </w:rPr>
      </w:pPr>
    </w:p>
    <w:p w14:paraId="77A4A564" w14:textId="7DBD48B2" w:rsidR="004462A0" w:rsidRPr="008912CF" w:rsidRDefault="00615769" w:rsidP="004462A0">
      <w:pPr>
        <w:tabs>
          <w:tab w:val="left" w:pos="720"/>
        </w:tabs>
        <w:rPr>
          <w:del w:id="12305" w:author="AbbVie2" w:date="2025-05-13T16:48:00Z"/>
          <w:sz w:val="22"/>
          <w:szCs w:val="22"/>
        </w:rPr>
      </w:pPr>
      <w:del w:id="12306" w:author="AbbVie2" w:date="2025-05-13T16:48:00Z">
        <w:r>
          <w:rPr>
            <w:sz w:val="22"/>
            <w:szCs w:val="22"/>
          </w:rPr>
          <w:delText>EXP</w:delText>
        </w:r>
        <w:r w:rsidRPr="008912CF">
          <w:rPr>
            <w:sz w:val="22"/>
            <w:szCs w:val="22"/>
          </w:rPr>
          <w:delText xml:space="preserve"> </w:delText>
        </w:r>
      </w:del>
    </w:p>
    <w:p w14:paraId="0269E717" w14:textId="619AC3B5" w:rsidR="004462A0" w:rsidRPr="008912CF" w:rsidRDefault="004462A0" w:rsidP="004462A0">
      <w:pPr>
        <w:tabs>
          <w:tab w:val="left" w:pos="720"/>
        </w:tabs>
        <w:rPr>
          <w:del w:id="12307" w:author="AbbVie2" w:date="2025-05-13T16:48:00Z"/>
          <w:b/>
          <w:sz w:val="22"/>
          <w:szCs w:val="22"/>
        </w:rPr>
      </w:pPr>
    </w:p>
    <w:p w14:paraId="33D31747" w14:textId="0952D817" w:rsidR="004462A0" w:rsidRPr="008912CF" w:rsidRDefault="004462A0" w:rsidP="004462A0">
      <w:pPr>
        <w:tabs>
          <w:tab w:val="left" w:pos="720"/>
        </w:tabs>
        <w:rPr>
          <w:del w:id="12308" w:author="AbbVie2" w:date="2025-05-13T16:48:00Z"/>
          <w:sz w:val="22"/>
          <w:szCs w:val="22"/>
        </w:rPr>
      </w:pPr>
    </w:p>
    <w:p w14:paraId="4430C1EE" w14:textId="78C3E948"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309" w:author="AbbVie2" w:date="2025-05-13T16:48:00Z"/>
          <w:b/>
          <w:sz w:val="22"/>
          <w:szCs w:val="22"/>
          <w:highlight w:val="lightGray"/>
        </w:rPr>
      </w:pPr>
      <w:del w:id="12310" w:author="AbbVie2" w:date="2025-05-13T16:48:00Z">
        <w:r w:rsidRPr="008912CF">
          <w:rPr>
            <w:b/>
            <w:sz w:val="22"/>
            <w:szCs w:val="22"/>
          </w:rPr>
          <w:delText>4.</w:delText>
        </w:r>
        <w:r w:rsidRPr="008912CF">
          <w:rPr>
            <w:b/>
            <w:sz w:val="22"/>
            <w:szCs w:val="22"/>
          </w:rPr>
          <w:tab/>
          <w:delText>NÚMERO DO LOTE</w:delText>
        </w:r>
      </w:del>
    </w:p>
    <w:p w14:paraId="1D8CAEB7" w14:textId="0ED962D9" w:rsidR="004462A0" w:rsidRPr="008912CF" w:rsidRDefault="004462A0" w:rsidP="004462A0">
      <w:pPr>
        <w:tabs>
          <w:tab w:val="left" w:pos="720"/>
        </w:tabs>
        <w:rPr>
          <w:del w:id="12311" w:author="AbbVie2" w:date="2025-05-13T16:48:00Z"/>
          <w:sz w:val="22"/>
          <w:szCs w:val="22"/>
        </w:rPr>
      </w:pPr>
    </w:p>
    <w:p w14:paraId="3917617F" w14:textId="7778D45D" w:rsidR="004462A0" w:rsidRPr="008912CF" w:rsidRDefault="00615769" w:rsidP="004462A0">
      <w:pPr>
        <w:tabs>
          <w:tab w:val="left" w:pos="720"/>
        </w:tabs>
        <w:rPr>
          <w:del w:id="12312" w:author="AbbVie2" w:date="2025-05-13T16:48:00Z"/>
          <w:sz w:val="22"/>
          <w:szCs w:val="22"/>
        </w:rPr>
      </w:pPr>
      <w:del w:id="12313" w:author="AbbVie2" w:date="2025-05-13T16:48:00Z">
        <w:r w:rsidRPr="008912CF">
          <w:rPr>
            <w:sz w:val="22"/>
            <w:szCs w:val="22"/>
          </w:rPr>
          <w:delText>Lote</w:delText>
        </w:r>
      </w:del>
    </w:p>
    <w:p w14:paraId="510415C2" w14:textId="7177F688" w:rsidR="004462A0" w:rsidRPr="008912CF" w:rsidRDefault="004462A0" w:rsidP="004462A0">
      <w:pPr>
        <w:tabs>
          <w:tab w:val="left" w:pos="720"/>
        </w:tabs>
        <w:ind w:right="113"/>
        <w:rPr>
          <w:del w:id="12314" w:author="AbbVie2" w:date="2025-05-13T16:48:00Z"/>
          <w:sz w:val="22"/>
          <w:szCs w:val="22"/>
          <w:highlight w:val="lightGray"/>
        </w:rPr>
      </w:pPr>
    </w:p>
    <w:p w14:paraId="24C39E67" w14:textId="2239BE43" w:rsidR="004462A0" w:rsidRPr="008912CF" w:rsidRDefault="004462A0" w:rsidP="004462A0">
      <w:pPr>
        <w:tabs>
          <w:tab w:val="left" w:pos="720"/>
        </w:tabs>
        <w:ind w:right="113"/>
        <w:rPr>
          <w:del w:id="12315" w:author="AbbVie2" w:date="2025-05-13T16:48:00Z"/>
          <w:sz w:val="22"/>
          <w:szCs w:val="22"/>
          <w:highlight w:val="lightGray"/>
        </w:rPr>
      </w:pPr>
    </w:p>
    <w:p w14:paraId="7FA0909C" w14:textId="18159833"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rPr>
          <w:del w:id="12316" w:author="AbbVie2" w:date="2025-05-13T16:48:00Z"/>
          <w:b/>
          <w:sz w:val="22"/>
          <w:szCs w:val="22"/>
          <w:highlight w:val="lightGray"/>
        </w:rPr>
      </w:pPr>
      <w:del w:id="12317" w:author="AbbVie2" w:date="2025-05-13T16:48:00Z">
        <w:r w:rsidRPr="008912CF">
          <w:rPr>
            <w:b/>
            <w:sz w:val="22"/>
            <w:szCs w:val="22"/>
          </w:rPr>
          <w:delText>5.</w:delText>
        </w:r>
        <w:r w:rsidRPr="008912CF">
          <w:rPr>
            <w:b/>
            <w:sz w:val="22"/>
            <w:szCs w:val="22"/>
          </w:rPr>
          <w:tab/>
          <w:delText>CONTEÚDO EM PESO, VOLUME OU UNIDADE</w:delText>
        </w:r>
      </w:del>
    </w:p>
    <w:p w14:paraId="4DD89D8B" w14:textId="0F7C9FE4" w:rsidR="004462A0" w:rsidRPr="008912CF" w:rsidRDefault="004462A0" w:rsidP="004462A0">
      <w:pPr>
        <w:tabs>
          <w:tab w:val="left" w:pos="720"/>
        </w:tabs>
        <w:rPr>
          <w:del w:id="12318" w:author="AbbVie2" w:date="2025-05-13T16:48:00Z"/>
          <w:sz w:val="22"/>
          <w:szCs w:val="22"/>
        </w:rPr>
      </w:pPr>
    </w:p>
    <w:p w14:paraId="0A20B47E" w14:textId="3D010B7B" w:rsidR="004462A0" w:rsidRPr="008912CF" w:rsidRDefault="00615769" w:rsidP="004462A0">
      <w:pPr>
        <w:tabs>
          <w:tab w:val="left" w:pos="720"/>
        </w:tabs>
        <w:rPr>
          <w:del w:id="12319" w:author="AbbVie2" w:date="2025-05-13T16:48:00Z"/>
          <w:sz w:val="22"/>
          <w:szCs w:val="22"/>
        </w:rPr>
      </w:pPr>
      <w:del w:id="12320" w:author="AbbVie2" w:date="2025-05-13T16:48:00Z">
        <w:r w:rsidRPr="008912CF">
          <w:rPr>
            <w:sz w:val="22"/>
            <w:szCs w:val="22"/>
          </w:rPr>
          <w:delText>40 mg/0,8 ml</w:delText>
        </w:r>
      </w:del>
    </w:p>
    <w:p w14:paraId="23B8F4D5" w14:textId="6C223E9B" w:rsidR="004462A0" w:rsidRPr="008912CF" w:rsidRDefault="004462A0" w:rsidP="004462A0">
      <w:pPr>
        <w:tabs>
          <w:tab w:val="left" w:pos="720"/>
        </w:tabs>
        <w:rPr>
          <w:del w:id="12321" w:author="AbbVie2" w:date="2025-05-13T16:48:00Z"/>
          <w:sz w:val="22"/>
          <w:szCs w:val="22"/>
        </w:rPr>
      </w:pPr>
    </w:p>
    <w:p w14:paraId="0995458E" w14:textId="78C8A0BD" w:rsidR="004462A0" w:rsidRPr="008912CF" w:rsidRDefault="004462A0" w:rsidP="004462A0">
      <w:pPr>
        <w:tabs>
          <w:tab w:val="left" w:pos="720"/>
        </w:tabs>
        <w:rPr>
          <w:del w:id="12322" w:author="AbbVie2" w:date="2025-05-13T16:48:00Z"/>
          <w:sz w:val="22"/>
          <w:szCs w:val="22"/>
        </w:rPr>
      </w:pPr>
    </w:p>
    <w:p w14:paraId="3E9A1893" w14:textId="12BC3470"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323" w:author="AbbVie2" w:date="2025-05-13T16:48:00Z"/>
          <w:b/>
          <w:sz w:val="22"/>
          <w:szCs w:val="22"/>
          <w:highlight w:val="lightGray"/>
        </w:rPr>
      </w:pPr>
      <w:del w:id="12324" w:author="AbbVie2" w:date="2025-05-13T16:48:00Z">
        <w:r w:rsidRPr="008912CF">
          <w:rPr>
            <w:b/>
            <w:sz w:val="22"/>
            <w:szCs w:val="22"/>
          </w:rPr>
          <w:delText>6.</w:delText>
        </w:r>
        <w:r w:rsidRPr="008912CF">
          <w:rPr>
            <w:b/>
            <w:sz w:val="22"/>
            <w:szCs w:val="22"/>
          </w:rPr>
          <w:tab/>
          <w:delText>OUTR</w:delText>
        </w:r>
        <w:r>
          <w:rPr>
            <w:b/>
            <w:sz w:val="22"/>
            <w:szCs w:val="22"/>
          </w:rPr>
          <w:delText>O</w:delText>
        </w:r>
        <w:r w:rsidRPr="008912CF">
          <w:rPr>
            <w:b/>
            <w:sz w:val="22"/>
            <w:szCs w:val="22"/>
          </w:rPr>
          <w:delText>S</w:delText>
        </w:r>
      </w:del>
    </w:p>
    <w:p w14:paraId="38AD9DE3" w14:textId="4D1CF19B" w:rsidR="004462A0" w:rsidRPr="008912CF" w:rsidRDefault="00615769" w:rsidP="004462A0">
      <w:pPr>
        <w:pStyle w:val="Heading3"/>
        <w:keepNext w:val="0"/>
        <w:spacing w:before="0" w:after="0" w:line="240" w:lineRule="auto"/>
        <w:rPr>
          <w:del w:id="12325" w:author="AbbVie2" w:date="2025-05-13T16:48:00Z"/>
          <w:sz w:val="22"/>
          <w:szCs w:val="22"/>
          <w:lang w:val="pt-PT"/>
        </w:rPr>
      </w:pPr>
      <w:del w:id="12326" w:author="AbbVie2" w:date="2025-05-13T16:48:00Z">
        <w:r w:rsidRPr="008912CF">
          <w:rPr>
            <w:sz w:val="22"/>
            <w:szCs w:val="22"/>
            <w:lang w:val="pt-PT"/>
          </w:rPr>
          <w:br w:type="page"/>
        </w:r>
      </w:del>
    </w:p>
    <w:p w14:paraId="778EE92D" w14:textId="4FE0C021" w:rsidR="004462A0" w:rsidRPr="008912CF" w:rsidRDefault="00615769" w:rsidP="004462A0">
      <w:pPr>
        <w:pBdr>
          <w:top w:val="single" w:sz="4" w:space="1" w:color="auto"/>
          <w:left w:val="single" w:sz="4" w:space="4" w:color="auto"/>
          <w:bottom w:val="single" w:sz="4" w:space="1" w:color="auto"/>
          <w:right w:val="single" w:sz="4" w:space="4" w:color="auto"/>
        </w:pBdr>
        <w:tabs>
          <w:tab w:val="left" w:pos="567"/>
        </w:tabs>
        <w:rPr>
          <w:del w:id="12327" w:author="AbbVie2" w:date="2025-05-13T16:48:00Z"/>
          <w:i/>
          <w:iCs/>
          <w:sz w:val="22"/>
          <w:szCs w:val="22"/>
        </w:rPr>
      </w:pPr>
      <w:del w:id="12328" w:author="AbbVie2" w:date="2025-05-13T16:48:00Z">
        <w:r w:rsidRPr="008912CF">
          <w:rPr>
            <w:b/>
            <w:sz w:val="22"/>
            <w:szCs w:val="22"/>
          </w:rPr>
          <w:delText>INDICAÇÕES A INCLUIR NO ACONDICIONAMENTO SECUNDÁRIO</w:delText>
        </w:r>
      </w:del>
    </w:p>
    <w:p w14:paraId="409449C6" w14:textId="7C378A66" w:rsidR="004462A0" w:rsidRPr="008912CF" w:rsidRDefault="004462A0" w:rsidP="004462A0">
      <w:pPr>
        <w:pStyle w:val="Heading1"/>
        <w:keepNext w:val="0"/>
        <w:rPr>
          <w:del w:id="12329" w:author="AbbVie2" w:date="2025-05-13T16:48:00Z"/>
          <w:caps/>
          <w:szCs w:val="22"/>
        </w:rPr>
      </w:pPr>
    </w:p>
    <w:p w14:paraId="13DF1676" w14:textId="279EFE7B" w:rsidR="004462A0" w:rsidRPr="008912CF" w:rsidRDefault="00615769" w:rsidP="004462A0">
      <w:pPr>
        <w:pStyle w:val="Heading1"/>
        <w:keepNext w:val="0"/>
        <w:rPr>
          <w:del w:id="12330" w:author="AbbVie2" w:date="2025-05-13T16:48:00Z"/>
          <w:caps/>
          <w:szCs w:val="22"/>
        </w:rPr>
      </w:pPr>
      <w:del w:id="12331" w:author="AbbVie2" w:date="2025-05-13T16:48:00Z">
        <w:r w:rsidRPr="008912CF">
          <w:rPr>
            <w:caps/>
            <w:szCs w:val="22"/>
          </w:rPr>
          <w:delText>Embalagem exterior</w:delText>
        </w:r>
      </w:del>
    </w:p>
    <w:p w14:paraId="706D6510" w14:textId="199582D6" w:rsidR="004462A0" w:rsidRPr="008912CF" w:rsidRDefault="004462A0" w:rsidP="004462A0">
      <w:pPr>
        <w:tabs>
          <w:tab w:val="left" w:pos="567"/>
        </w:tabs>
        <w:rPr>
          <w:del w:id="12332" w:author="AbbVie2" w:date="2025-05-13T16:48:00Z"/>
          <w:b/>
          <w:sz w:val="22"/>
          <w:szCs w:val="22"/>
        </w:rPr>
      </w:pPr>
    </w:p>
    <w:p w14:paraId="2FCAF97F" w14:textId="17C91087" w:rsidR="004462A0" w:rsidRPr="008912CF" w:rsidRDefault="004462A0" w:rsidP="004462A0">
      <w:pPr>
        <w:tabs>
          <w:tab w:val="left" w:pos="567"/>
        </w:tabs>
        <w:rPr>
          <w:del w:id="12333" w:author="AbbVie2" w:date="2025-05-13T16:48:00Z"/>
          <w:b/>
          <w:sz w:val="22"/>
          <w:szCs w:val="22"/>
        </w:rPr>
      </w:pPr>
    </w:p>
    <w:p w14:paraId="18D23928" w14:textId="6B62D495"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334" w:author="AbbVie2" w:date="2025-05-13T16:48:00Z"/>
          <w:sz w:val="22"/>
          <w:szCs w:val="22"/>
        </w:rPr>
      </w:pPr>
      <w:del w:id="12335" w:author="AbbVie2" w:date="2025-05-13T16:48:00Z">
        <w:r w:rsidRPr="008912CF">
          <w:rPr>
            <w:b/>
            <w:sz w:val="22"/>
            <w:szCs w:val="22"/>
          </w:rPr>
          <w:delText>1.</w:delText>
        </w:r>
        <w:r w:rsidRPr="008912CF">
          <w:rPr>
            <w:b/>
            <w:sz w:val="22"/>
            <w:szCs w:val="22"/>
          </w:rPr>
          <w:tab/>
          <w:delText>NOME DO MEDICAMENTO</w:delText>
        </w:r>
      </w:del>
    </w:p>
    <w:p w14:paraId="53E779F7" w14:textId="49825688" w:rsidR="004462A0" w:rsidRPr="008912CF" w:rsidRDefault="004462A0" w:rsidP="004462A0">
      <w:pPr>
        <w:tabs>
          <w:tab w:val="left" w:pos="720"/>
        </w:tabs>
        <w:rPr>
          <w:del w:id="12336" w:author="AbbVie2" w:date="2025-05-13T16:48:00Z"/>
          <w:sz w:val="22"/>
          <w:szCs w:val="22"/>
        </w:rPr>
      </w:pPr>
    </w:p>
    <w:p w14:paraId="723EC8AD" w14:textId="02369B1C" w:rsidR="004462A0" w:rsidRPr="008912CF" w:rsidRDefault="00615769" w:rsidP="004462A0">
      <w:pPr>
        <w:tabs>
          <w:tab w:val="left" w:pos="720"/>
        </w:tabs>
        <w:rPr>
          <w:del w:id="12337" w:author="AbbVie2" w:date="2025-05-13T16:48:00Z"/>
          <w:sz w:val="22"/>
          <w:szCs w:val="22"/>
        </w:rPr>
      </w:pPr>
      <w:del w:id="12338" w:author="AbbVie2" w:date="2025-05-13T16:48:00Z">
        <w:r w:rsidRPr="008912CF">
          <w:rPr>
            <w:sz w:val="22"/>
            <w:szCs w:val="22"/>
          </w:rPr>
          <w:delText>Humira 40 mg solução injetável em caneta pré-cheia</w:delText>
        </w:r>
      </w:del>
    </w:p>
    <w:p w14:paraId="6DA58DC8" w14:textId="26A0BE72" w:rsidR="004462A0" w:rsidRPr="008912CF" w:rsidRDefault="00615769" w:rsidP="004462A0">
      <w:pPr>
        <w:pStyle w:val="EndnoteText"/>
        <w:tabs>
          <w:tab w:val="clear" w:pos="567"/>
          <w:tab w:val="left" w:pos="720"/>
        </w:tabs>
        <w:rPr>
          <w:del w:id="12339" w:author="AbbVie2" w:date="2025-05-13T16:48:00Z"/>
          <w:szCs w:val="22"/>
        </w:rPr>
      </w:pPr>
      <w:del w:id="12340" w:author="AbbVie2" w:date="2025-05-13T16:48:00Z">
        <w:r w:rsidRPr="008912CF">
          <w:rPr>
            <w:szCs w:val="22"/>
          </w:rPr>
          <w:delText>adalimumab</w:delText>
        </w:r>
      </w:del>
    </w:p>
    <w:p w14:paraId="033D1218" w14:textId="7FB6D04D" w:rsidR="004462A0" w:rsidRPr="008912CF" w:rsidRDefault="004462A0" w:rsidP="004462A0">
      <w:pPr>
        <w:pStyle w:val="EndnoteText"/>
        <w:tabs>
          <w:tab w:val="clear" w:pos="567"/>
          <w:tab w:val="left" w:pos="720"/>
        </w:tabs>
        <w:rPr>
          <w:del w:id="12341" w:author="AbbVie2" w:date="2025-05-13T16:48:00Z"/>
          <w:szCs w:val="22"/>
        </w:rPr>
      </w:pPr>
    </w:p>
    <w:p w14:paraId="58EBCD80" w14:textId="23621412" w:rsidR="004462A0" w:rsidRPr="008912CF" w:rsidRDefault="004462A0" w:rsidP="004462A0">
      <w:pPr>
        <w:rPr>
          <w:del w:id="12342" w:author="AbbVie2" w:date="2025-05-13T16:48:00Z"/>
          <w:sz w:val="22"/>
          <w:szCs w:val="22"/>
        </w:rPr>
      </w:pPr>
    </w:p>
    <w:p w14:paraId="69379CD6" w14:textId="44F992E6"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343" w:author="AbbVie2" w:date="2025-05-13T16:48:00Z"/>
          <w:sz w:val="22"/>
          <w:szCs w:val="22"/>
        </w:rPr>
      </w:pPr>
      <w:del w:id="12344" w:author="AbbVie2" w:date="2025-05-13T16:48:00Z">
        <w:r w:rsidRPr="008912CF">
          <w:rPr>
            <w:b/>
            <w:sz w:val="22"/>
            <w:szCs w:val="22"/>
          </w:rPr>
          <w:delText>2.</w:delText>
        </w:r>
        <w:r w:rsidRPr="008912CF">
          <w:rPr>
            <w:b/>
            <w:sz w:val="22"/>
            <w:szCs w:val="22"/>
          </w:rPr>
          <w:tab/>
        </w:r>
        <w:r w:rsidRPr="008912CF">
          <w:rPr>
            <w:b/>
            <w:bCs/>
            <w:sz w:val="22"/>
            <w:szCs w:val="22"/>
          </w:rPr>
          <w:delText>DESCRIÇÃO DA SUBSTÂNCIA ATIVA</w:delText>
        </w:r>
      </w:del>
    </w:p>
    <w:p w14:paraId="1588BFD2" w14:textId="35855FF7" w:rsidR="004462A0" w:rsidRPr="008912CF" w:rsidRDefault="004462A0" w:rsidP="004462A0">
      <w:pPr>
        <w:tabs>
          <w:tab w:val="left" w:pos="720"/>
        </w:tabs>
        <w:rPr>
          <w:del w:id="12345" w:author="AbbVie2" w:date="2025-05-13T16:48:00Z"/>
          <w:sz w:val="22"/>
          <w:szCs w:val="22"/>
        </w:rPr>
      </w:pPr>
    </w:p>
    <w:p w14:paraId="3A339B5A" w14:textId="6A9D08F0" w:rsidR="004462A0" w:rsidRPr="008912CF" w:rsidRDefault="00615769" w:rsidP="004462A0">
      <w:pPr>
        <w:tabs>
          <w:tab w:val="left" w:pos="720"/>
        </w:tabs>
        <w:rPr>
          <w:del w:id="12346" w:author="AbbVie2" w:date="2025-05-13T16:48:00Z"/>
          <w:sz w:val="22"/>
          <w:szCs w:val="22"/>
        </w:rPr>
      </w:pPr>
      <w:del w:id="12347" w:author="AbbVie2" w:date="2025-05-13T16:48:00Z">
        <w:r w:rsidRPr="008912CF">
          <w:rPr>
            <w:sz w:val="22"/>
            <w:szCs w:val="22"/>
          </w:rPr>
          <w:delText>Uma caneta pré-cheia de 0,8 ml contém 40 mg de adalimumab</w:delText>
        </w:r>
        <w:r w:rsidR="00800A92">
          <w:rPr>
            <w:sz w:val="22"/>
            <w:szCs w:val="22"/>
          </w:rPr>
          <w:delText>.</w:delText>
        </w:r>
      </w:del>
    </w:p>
    <w:p w14:paraId="68DBB125" w14:textId="256CE0AA" w:rsidR="004462A0" w:rsidRPr="008912CF" w:rsidRDefault="004462A0" w:rsidP="004462A0">
      <w:pPr>
        <w:tabs>
          <w:tab w:val="left" w:pos="720"/>
        </w:tabs>
        <w:rPr>
          <w:del w:id="12348" w:author="AbbVie2" w:date="2025-05-13T16:48:00Z"/>
          <w:sz w:val="22"/>
          <w:szCs w:val="22"/>
        </w:rPr>
      </w:pPr>
    </w:p>
    <w:p w14:paraId="4F27D665" w14:textId="5CF3AECD" w:rsidR="004462A0" w:rsidRPr="008912CF" w:rsidRDefault="004462A0" w:rsidP="004462A0">
      <w:pPr>
        <w:tabs>
          <w:tab w:val="left" w:pos="720"/>
        </w:tabs>
        <w:rPr>
          <w:del w:id="12349" w:author="AbbVie2" w:date="2025-05-13T16:48:00Z"/>
          <w:sz w:val="22"/>
          <w:szCs w:val="22"/>
        </w:rPr>
      </w:pPr>
    </w:p>
    <w:p w14:paraId="4658C77E" w14:textId="6B46389C" w:rsidR="004462A0" w:rsidRPr="008912CF" w:rsidRDefault="00615769" w:rsidP="004462A0">
      <w:pPr>
        <w:pBdr>
          <w:top w:val="single" w:sz="4" w:space="1" w:color="auto"/>
          <w:left w:val="single" w:sz="4" w:space="4" w:color="auto"/>
          <w:bottom w:val="single" w:sz="4" w:space="2" w:color="auto"/>
          <w:right w:val="single" w:sz="4" w:space="4" w:color="auto"/>
        </w:pBdr>
        <w:shd w:val="clear" w:color="auto" w:fill="FFFFFF"/>
        <w:tabs>
          <w:tab w:val="left" w:pos="720"/>
        </w:tabs>
        <w:ind w:left="567" w:hanging="567"/>
        <w:rPr>
          <w:del w:id="12350" w:author="AbbVie2" w:date="2025-05-13T16:48:00Z"/>
          <w:sz w:val="22"/>
          <w:szCs w:val="22"/>
          <w:highlight w:val="lightGray"/>
        </w:rPr>
      </w:pPr>
      <w:del w:id="12351" w:author="AbbVie2" w:date="2025-05-13T16:48:00Z">
        <w:r w:rsidRPr="008912CF">
          <w:rPr>
            <w:b/>
            <w:sz w:val="22"/>
            <w:szCs w:val="22"/>
          </w:rPr>
          <w:delText>3.</w:delText>
        </w:r>
        <w:r w:rsidRPr="008912CF">
          <w:rPr>
            <w:b/>
            <w:sz w:val="22"/>
            <w:szCs w:val="22"/>
          </w:rPr>
          <w:tab/>
          <w:delText>LISTA DOS EXCIPIENTES</w:delText>
        </w:r>
      </w:del>
    </w:p>
    <w:p w14:paraId="56EA0EB4" w14:textId="7FF6A5FD" w:rsidR="004462A0" w:rsidRPr="008912CF" w:rsidRDefault="004462A0" w:rsidP="004462A0">
      <w:pPr>
        <w:tabs>
          <w:tab w:val="left" w:pos="720"/>
        </w:tabs>
        <w:rPr>
          <w:del w:id="12352" w:author="AbbVie2" w:date="2025-05-13T16:48:00Z"/>
          <w:sz w:val="22"/>
          <w:szCs w:val="22"/>
        </w:rPr>
      </w:pPr>
    </w:p>
    <w:p w14:paraId="6C42F8BD" w14:textId="36DBB840" w:rsidR="004462A0" w:rsidRPr="008912CF" w:rsidRDefault="00615769" w:rsidP="004462A0">
      <w:pPr>
        <w:tabs>
          <w:tab w:val="left" w:pos="720"/>
        </w:tabs>
        <w:rPr>
          <w:del w:id="12353" w:author="AbbVie2" w:date="2025-05-13T16:48:00Z"/>
          <w:sz w:val="22"/>
          <w:szCs w:val="22"/>
        </w:rPr>
      </w:pPr>
      <w:del w:id="12354" w:author="AbbVie2" w:date="2025-05-13T16:48:00Z">
        <w:r w:rsidRPr="008912CF">
          <w:rPr>
            <w:sz w:val="22"/>
            <w:szCs w:val="22"/>
          </w:rPr>
          <w:delText>Excipientes: manitol, ácido cítrico mono-hidratado, citrato de sódio, fosfato monossódico di-hidratado, fostato dissódico di-hidratado, cloreto de sódio, polissorbato 80, hidróxido de sódio e água para preparações injetáveis. Consultar o folheto informativo para informação adicional.</w:delText>
        </w:r>
      </w:del>
    </w:p>
    <w:p w14:paraId="604D5355" w14:textId="26382EA4" w:rsidR="004462A0" w:rsidRPr="008912CF" w:rsidRDefault="004462A0" w:rsidP="004462A0">
      <w:pPr>
        <w:tabs>
          <w:tab w:val="left" w:pos="720"/>
        </w:tabs>
        <w:rPr>
          <w:del w:id="12355" w:author="AbbVie2" w:date="2025-05-13T16:48:00Z"/>
          <w:sz w:val="22"/>
          <w:szCs w:val="22"/>
        </w:rPr>
      </w:pPr>
    </w:p>
    <w:p w14:paraId="1182DAA5" w14:textId="546216AE" w:rsidR="004462A0" w:rsidRPr="008912CF" w:rsidRDefault="004462A0" w:rsidP="004462A0">
      <w:pPr>
        <w:tabs>
          <w:tab w:val="left" w:pos="720"/>
        </w:tabs>
        <w:rPr>
          <w:del w:id="12356" w:author="AbbVie2" w:date="2025-05-13T16:48:00Z"/>
          <w:sz w:val="22"/>
          <w:szCs w:val="22"/>
        </w:rPr>
      </w:pPr>
    </w:p>
    <w:p w14:paraId="640A9B98" w14:textId="541B0979"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357" w:author="AbbVie2" w:date="2025-05-13T16:48:00Z"/>
          <w:sz w:val="22"/>
          <w:szCs w:val="22"/>
          <w:highlight w:val="lightGray"/>
        </w:rPr>
      </w:pPr>
      <w:del w:id="12358" w:author="AbbVie2" w:date="2025-05-13T16:48:00Z">
        <w:r w:rsidRPr="008912CF">
          <w:rPr>
            <w:b/>
            <w:sz w:val="22"/>
            <w:szCs w:val="22"/>
          </w:rPr>
          <w:delText>4.</w:delText>
        </w:r>
        <w:r w:rsidRPr="008912CF">
          <w:rPr>
            <w:b/>
            <w:sz w:val="22"/>
            <w:szCs w:val="22"/>
          </w:rPr>
          <w:tab/>
          <w:delText>FORMA FARMACÊUTICA E CONTEÚDO</w:delText>
        </w:r>
      </w:del>
    </w:p>
    <w:p w14:paraId="06000424" w14:textId="2C474239" w:rsidR="004462A0" w:rsidRPr="008912CF" w:rsidRDefault="004462A0" w:rsidP="004462A0">
      <w:pPr>
        <w:tabs>
          <w:tab w:val="left" w:pos="720"/>
        </w:tabs>
        <w:rPr>
          <w:del w:id="12359" w:author="AbbVie2" w:date="2025-05-13T16:48:00Z"/>
          <w:sz w:val="22"/>
          <w:szCs w:val="22"/>
        </w:rPr>
      </w:pPr>
    </w:p>
    <w:p w14:paraId="49AB9E76" w14:textId="380AE4F8" w:rsidR="00A14CF0" w:rsidRPr="002112C5" w:rsidRDefault="00615769" w:rsidP="004462A0">
      <w:pPr>
        <w:tabs>
          <w:tab w:val="left" w:pos="720"/>
        </w:tabs>
        <w:rPr>
          <w:del w:id="12360" w:author="AbbVie2" w:date="2025-05-13T16:48:00Z"/>
          <w:sz w:val="22"/>
          <w:szCs w:val="22"/>
          <w:shd w:val="pct15" w:color="auto" w:fill="FFFFFF"/>
        </w:rPr>
      </w:pPr>
      <w:del w:id="12361" w:author="AbbVie2" w:date="2025-05-13T16:48:00Z">
        <w:r w:rsidRPr="002112C5">
          <w:rPr>
            <w:sz w:val="22"/>
            <w:szCs w:val="22"/>
            <w:shd w:val="pct15" w:color="auto" w:fill="FFFFFF"/>
          </w:rPr>
          <w:delText>Solução injetável</w:delText>
        </w:r>
      </w:del>
    </w:p>
    <w:p w14:paraId="57EAF659" w14:textId="0F024542" w:rsidR="004462A0" w:rsidRPr="008912CF" w:rsidRDefault="00615769" w:rsidP="004462A0">
      <w:pPr>
        <w:tabs>
          <w:tab w:val="left" w:pos="720"/>
        </w:tabs>
        <w:rPr>
          <w:del w:id="12362" w:author="AbbVie2" w:date="2025-05-13T16:48:00Z"/>
          <w:sz w:val="22"/>
          <w:szCs w:val="22"/>
        </w:rPr>
      </w:pPr>
      <w:del w:id="12363" w:author="AbbVie2" w:date="2025-05-13T16:48:00Z">
        <w:r w:rsidRPr="008912CF">
          <w:rPr>
            <w:sz w:val="22"/>
            <w:szCs w:val="22"/>
          </w:rPr>
          <w:delText>1 caneta pré-cheia</w:delText>
        </w:r>
      </w:del>
    </w:p>
    <w:p w14:paraId="6BF99A3B" w14:textId="75D63DBB" w:rsidR="004462A0" w:rsidRPr="008912CF" w:rsidRDefault="00615769" w:rsidP="004462A0">
      <w:pPr>
        <w:tabs>
          <w:tab w:val="left" w:pos="720"/>
        </w:tabs>
        <w:rPr>
          <w:del w:id="12364" w:author="AbbVie2" w:date="2025-05-13T16:48:00Z"/>
          <w:i/>
          <w:sz w:val="22"/>
          <w:szCs w:val="22"/>
        </w:rPr>
      </w:pPr>
      <w:del w:id="12365" w:author="AbbVie2" w:date="2025-05-13T16:48:00Z">
        <w:r>
          <w:rPr>
            <w:sz w:val="22"/>
            <w:szCs w:val="22"/>
          </w:rPr>
          <w:delText>2</w:delText>
        </w:r>
        <w:r w:rsidRPr="00437552">
          <w:rPr>
            <w:sz w:val="22"/>
            <w:szCs w:val="22"/>
          </w:rPr>
          <w:delText xml:space="preserve"> compressa</w:delText>
        </w:r>
        <w:r>
          <w:rPr>
            <w:sz w:val="22"/>
            <w:szCs w:val="22"/>
          </w:rPr>
          <w:delText>s</w:delText>
        </w:r>
        <w:r w:rsidRPr="00437552">
          <w:rPr>
            <w:sz w:val="22"/>
            <w:szCs w:val="22"/>
          </w:rPr>
          <w:delText xml:space="preserve"> embebida</w:delText>
        </w:r>
        <w:r>
          <w:rPr>
            <w:sz w:val="22"/>
            <w:szCs w:val="22"/>
          </w:rPr>
          <w:delText>s</w:delText>
        </w:r>
        <w:r w:rsidRPr="00437552">
          <w:rPr>
            <w:sz w:val="22"/>
            <w:szCs w:val="22"/>
          </w:rPr>
          <w:delText xml:space="preserve"> em álcool</w:delText>
        </w:r>
      </w:del>
    </w:p>
    <w:p w14:paraId="619ECAD5" w14:textId="370B29BE" w:rsidR="00437552" w:rsidRPr="00437552" w:rsidRDefault="00437552" w:rsidP="00437552">
      <w:pPr>
        <w:tabs>
          <w:tab w:val="left" w:pos="720"/>
        </w:tabs>
        <w:rPr>
          <w:del w:id="12366" w:author="AbbVie2" w:date="2025-05-13T16:48:00Z"/>
          <w:sz w:val="22"/>
          <w:szCs w:val="22"/>
        </w:rPr>
      </w:pPr>
    </w:p>
    <w:p w14:paraId="23D841E5" w14:textId="25BB7E19" w:rsidR="00437552" w:rsidRPr="002112C5" w:rsidRDefault="00615769" w:rsidP="00437552">
      <w:pPr>
        <w:tabs>
          <w:tab w:val="left" w:pos="720"/>
        </w:tabs>
        <w:rPr>
          <w:del w:id="12367" w:author="AbbVie2" w:date="2025-05-13T16:48:00Z"/>
          <w:sz w:val="22"/>
          <w:szCs w:val="22"/>
          <w:shd w:val="pct15" w:color="auto" w:fill="FFFFFF"/>
        </w:rPr>
      </w:pPr>
      <w:del w:id="12368" w:author="AbbVie2" w:date="2025-05-13T16:48:00Z">
        <w:r w:rsidRPr="002112C5">
          <w:rPr>
            <w:sz w:val="22"/>
            <w:szCs w:val="22"/>
            <w:shd w:val="pct15" w:color="auto" w:fill="FFFFFF"/>
          </w:rPr>
          <w:delText xml:space="preserve">2 canetas pré-cheias </w:delText>
        </w:r>
      </w:del>
    </w:p>
    <w:p w14:paraId="3A64B2FA" w14:textId="745C9CE7" w:rsidR="00437552" w:rsidRPr="002112C5" w:rsidRDefault="00615769" w:rsidP="00437552">
      <w:pPr>
        <w:tabs>
          <w:tab w:val="left" w:pos="720"/>
        </w:tabs>
        <w:rPr>
          <w:del w:id="12369" w:author="AbbVie2" w:date="2025-05-13T16:48:00Z"/>
          <w:sz w:val="22"/>
          <w:szCs w:val="22"/>
          <w:shd w:val="pct15" w:color="auto" w:fill="FFFFFF"/>
        </w:rPr>
      </w:pPr>
      <w:del w:id="12370" w:author="AbbVie2" w:date="2025-05-13T16:48:00Z">
        <w:r w:rsidRPr="002112C5">
          <w:rPr>
            <w:sz w:val="22"/>
            <w:szCs w:val="22"/>
            <w:shd w:val="pct15" w:color="auto" w:fill="FFFFFF"/>
          </w:rPr>
          <w:delText>2 compressas embebidas em álcool</w:delText>
        </w:r>
      </w:del>
    </w:p>
    <w:p w14:paraId="4432F0EB" w14:textId="1FFC5284" w:rsidR="00437552" w:rsidRDefault="00437552" w:rsidP="00437552">
      <w:pPr>
        <w:tabs>
          <w:tab w:val="left" w:pos="720"/>
        </w:tabs>
        <w:rPr>
          <w:del w:id="12371" w:author="AbbVie2" w:date="2025-05-13T16:48:00Z"/>
          <w:sz w:val="22"/>
          <w:szCs w:val="22"/>
        </w:rPr>
      </w:pPr>
    </w:p>
    <w:p w14:paraId="715147E0" w14:textId="5C95D5D6" w:rsidR="00437552" w:rsidRPr="002112C5" w:rsidRDefault="00615769" w:rsidP="00437552">
      <w:pPr>
        <w:tabs>
          <w:tab w:val="left" w:pos="720"/>
        </w:tabs>
        <w:rPr>
          <w:del w:id="12372" w:author="AbbVie2" w:date="2025-05-13T16:48:00Z"/>
          <w:sz w:val="22"/>
          <w:szCs w:val="22"/>
          <w:shd w:val="pct15" w:color="auto" w:fill="FFFFFF"/>
        </w:rPr>
      </w:pPr>
      <w:del w:id="12373" w:author="AbbVie2" w:date="2025-05-13T16:48:00Z">
        <w:r w:rsidRPr="002112C5">
          <w:rPr>
            <w:sz w:val="22"/>
            <w:szCs w:val="22"/>
            <w:shd w:val="pct15" w:color="auto" w:fill="FFFFFF"/>
          </w:rPr>
          <w:delText xml:space="preserve">4 canetas pré-cheias </w:delText>
        </w:r>
      </w:del>
    </w:p>
    <w:p w14:paraId="563F5AC7" w14:textId="33CB7498" w:rsidR="00437552" w:rsidRPr="002112C5" w:rsidRDefault="00615769" w:rsidP="00437552">
      <w:pPr>
        <w:tabs>
          <w:tab w:val="left" w:pos="720"/>
        </w:tabs>
        <w:rPr>
          <w:del w:id="12374" w:author="AbbVie2" w:date="2025-05-13T16:48:00Z"/>
          <w:sz w:val="22"/>
          <w:szCs w:val="22"/>
          <w:shd w:val="pct15" w:color="auto" w:fill="FFFFFF"/>
        </w:rPr>
      </w:pPr>
      <w:del w:id="12375" w:author="AbbVie2" w:date="2025-05-13T16:48:00Z">
        <w:r w:rsidRPr="002112C5">
          <w:rPr>
            <w:sz w:val="22"/>
            <w:szCs w:val="22"/>
            <w:shd w:val="pct15" w:color="auto" w:fill="FFFFFF"/>
          </w:rPr>
          <w:delText>4 compressas embebidas em álcool</w:delText>
        </w:r>
      </w:del>
    </w:p>
    <w:p w14:paraId="578A6E9D" w14:textId="1F44C97B" w:rsidR="00437552" w:rsidRDefault="00437552" w:rsidP="00437552">
      <w:pPr>
        <w:tabs>
          <w:tab w:val="left" w:pos="720"/>
        </w:tabs>
        <w:rPr>
          <w:del w:id="12376" w:author="AbbVie2" w:date="2025-05-13T16:48:00Z"/>
          <w:sz w:val="22"/>
          <w:szCs w:val="22"/>
        </w:rPr>
      </w:pPr>
    </w:p>
    <w:p w14:paraId="74C27392" w14:textId="63BAC033" w:rsidR="00437552" w:rsidRPr="002112C5" w:rsidRDefault="00615769" w:rsidP="00437552">
      <w:pPr>
        <w:tabs>
          <w:tab w:val="left" w:pos="720"/>
        </w:tabs>
        <w:rPr>
          <w:del w:id="12377" w:author="AbbVie2" w:date="2025-05-13T16:48:00Z"/>
          <w:sz w:val="22"/>
          <w:szCs w:val="22"/>
          <w:shd w:val="pct15" w:color="auto" w:fill="FFFFFF"/>
        </w:rPr>
      </w:pPr>
      <w:del w:id="12378" w:author="AbbVie2" w:date="2025-05-13T16:48:00Z">
        <w:r w:rsidRPr="002112C5">
          <w:rPr>
            <w:sz w:val="22"/>
            <w:szCs w:val="22"/>
            <w:shd w:val="pct15" w:color="auto" w:fill="FFFFFF"/>
          </w:rPr>
          <w:delText xml:space="preserve">6 canetas pré-cheias </w:delText>
        </w:r>
      </w:del>
    </w:p>
    <w:p w14:paraId="62D88F83" w14:textId="6B33DBB6" w:rsidR="00437552" w:rsidRDefault="00615769" w:rsidP="00437552">
      <w:pPr>
        <w:tabs>
          <w:tab w:val="left" w:pos="720"/>
        </w:tabs>
        <w:rPr>
          <w:del w:id="12379" w:author="AbbVie2" w:date="2025-05-13T16:48:00Z"/>
          <w:sz w:val="22"/>
          <w:szCs w:val="22"/>
        </w:rPr>
      </w:pPr>
      <w:del w:id="12380" w:author="AbbVie2" w:date="2025-05-13T16:48:00Z">
        <w:r w:rsidRPr="002112C5">
          <w:rPr>
            <w:sz w:val="22"/>
            <w:szCs w:val="22"/>
            <w:shd w:val="pct15" w:color="auto" w:fill="FFFFFF"/>
          </w:rPr>
          <w:delText>6 compressas embebidas em álcool</w:delText>
        </w:r>
      </w:del>
    </w:p>
    <w:p w14:paraId="29068EF3" w14:textId="3F80D35F" w:rsidR="004462A0" w:rsidRPr="008912CF" w:rsidRDefault="004462A0" w:rsidP="004462A0">
      <w:pPr>
        <w:tabs>
          <w:tab w:val="left" w:pos="720"/>
        </w:tabs>
        <w:rPr>
          <w:del w:id="12381" w:author="AbbVie2" w:date="2025-05-13T16:48:00Z"/>
          <w:sz w:val="22"/>
          <w:szCs w:val="22"/>
          <w:highlight w:val="yellow"/>
        </w:rPr>
      </w:pPr>
    </w:p>
    <w:p w14:paraId="7BA6CB81" w14:textId="4C39BFE6" w:rsidR="004462A0" w:rsidRPr="008912CF" w:rsidRDefault="004462A0" w:rsidP="004462A0">
      <w:pPr>
        <w:tabs>
          <w:tab w:val="left" w:pos="720"/>
        </w:tabs>
        <w:rPr>
          <w:del w:id="12382" w:author="AbbVie2" w:date="2025-05-13T16:48:00Z"/>
          <w:color w:val="000000"/>
          <w:sz w:val="22"/>
          <w:szCs w:val="22"/>
          <w:u w:val="single"/>
        </w:rPr>
      </w:pPr>
    </w:p>
    <w:p w14:paraId="48D9FBCA" w14:textId="7D75BAD1"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383" w:author="AbbVie2" w:date="2025-05-13T16:48:00Z"/>
          <w:sz w:val="22"/>
          <w:szCs w:val="22"/>
          <w:highlight w:val="lightGray"/>
        </w:rPr>
      </w:pPr>
      <w:del w:id="12384" w:author="AbbVie2" w:date="2025-05-13T16:48:00Z">
        <w:r w:rsidRPr="008912CF">
          <w:rPr>
            <w:b/>
            <w:sz w:val="22"/>
            <w:szCs w:val="22"/>
          </w:rPr>
          <w:delText>5.</w:delText>
        </w:r>
        <w:r w:rsidRPr="008912CF">
          <w:rPr>
            <w:b/>
            <w:sz w:val="22"/>
            <w:szCs w:val="22"/>
          </w:rPr>
          <w:tab/>
          <w:delText>MODO E VIA DE ADMINISTRAÇÃO</w:delText>
        </w:r>
      </w:del>
    </w:p>
    <w:p w14:paraId="6D9D4BD2" w14:textId="288CE541" w:rsidR="004462A0" w:rsidRPr="008912CF" w:rsidRDefault="004462A0" w:rsidP="004462A0">
      <w:pPr>
        <w:tabs>
          <w:tab w:val="left" w:pos="720"/>
        </w:tabs>
        <w:rPr>
          <w:del w:id="12385" w:author="AbbVie2" w:date="2025-05-13T16:48:00Z"/>
          <w:sz w:val="22"/>
          <w:szCs w:val="22"/>
        </w:rPr>
      </w:pPr>
    </w:p>
    <w:p w14:paraId="4672B684" w14:textId="00A4FBE4" w:rsidR="004462A0" w:rsidRPr="008912CF" w:rsidRDefault="00615769" w:rsidP="004462A0">
      <w:pPr>
        <w:tabs>
          <w:tab w:val="left" w:pos="720"/>
        </w:tabs>
        <w:rPr>
          <w:del w:id="12386" w:author="AbbVie2" w:date="2025-05-13T16:48:00Z"/>
          <w:sz w:val="22"/>
          <w:szCs w:val="22"/>
        </w:rPr>
      </w:pPr>
      <w:del w:id="12387" w:author="AbbVie2" w:date="2025-05-13T16:48:00Z">
        <w:r w:rsidRPr="008912CF">
          <w:rPr>
            <w:sz w:val="22"/>
            <w:szCs w:val="22"/>
          </w:rPr>
          <w:delText>Via subcutânea</w:delText>
        </w:r>
      </w:del>
    </w:p>
    <w:p w14:paraId="39D0D047" w14:textId="545FFF11" w:rsidR="004462A0" w:rsidRPr="008912CF" w:rsidRDefault="004462A0" w:rsidP="004462A0">
      <w:pPr>
        <w:tabs>
          <w:tab w:val="left" w:pos="720"/>
        </w:tabs>
        <w:rPr>
          <w:del w:id="12388" w:author="AbbVie2" w:date="2025-05-13T16:48:00Z"/>
          <w:sz w:val="22"/>
          <w:szCs w:val="22"/>
        </w:rPr>
      </w:pPr>
    </w:p>
    <w:p w14:paraId="1AD303F8" w14:textId="1A01095B" w:rsidR="004462A0" w:rsidRDefault="00615769" w:rsidP="004462A0">
      <w:pPr>
        <w:tabs>
          <w:tab w:val="left" w:pos="720"/>
        </w:tabs>
        <w:rPr>
          <w:del w:id="12389" w:author="AbbVie2" w:date="2025-05-13T16:48:00Z"/>
          <w:sz w:val="22"/>
          <w:szCs w:val="22"/>
        </w:rPr>
      </w:pPr>
      <w:del w:id="12390" w:author="AbbVie2" w:date="2025-05-13T16:48:00Z">
        <w:r w:rsidRPr="008912CF">
          <w:rPr>
            <w:sz w:val="22"/>
            <w:szCs w:val="22"/>
          </w:rPr>
          <w:delText>Consultar o folheto informativo antes de utilizar.</w:delText>
        </w:r>
      </w:del>
    </w:p>
    <w:p w14:paraId="2C4C0235" w14:textId="34D0B3D0" w:rsidR="00D41B9F" w:rsidRPr="008912CF" w:rsidRDefault="00D41B9F" w:rsidP="004462A0">
      <w:pPr>
        <w:tabs>
          <w:tab w:val="left" w:pos="720"/>
        </w:tabs>
        <w:rPr>
          <w:del w:id="12391" w:author="AbbVie2" w:date="2025-05-13T16:48:00Z"/>
          <w:sz w:val="22"/>
          <w:szCs w:val="22"/>
        </w:rPr>
      </w:pPr>
    </w:p>
    <w:p w14:paraId="7AFD7F2C" w14:textId="60B4CB67" w:rsidR="004462A0" w:rsidRDefault="00615769" w:rsidP="004462A0">
      <w:pPr>
        <w:pStyle w:val="EndnoteText"/>
        <w:tabs>
          <w:tab w:val="clear" w:pos="567"/>
          <w:tab w:val="left" w:pos="720"/>
        </w:tabs>
        <w:rPr>
          <w:del w:id="12392" w:author="AbbVie2" w:date="2025-05-13T16:48:00Z"/>
          <w:szCs w:val="22"/>
        </w:rPr>
      </w:pPr>
      <w:del w:id="12393" w:author="AbbVie2" w:date="2025-05-13T16:48:00Z">
        <w:r w:rsidRPr="001A67E9">
          <w:rPr>
            <w:szCs w:val="22"/>
          </w:rPr>
          <w:delText>Apenas para uma única utilização</w:delText>
        </w:r>
        <w:r>
          <w:rPr>
            <w:szCs w:val="22"/>
          </w:rPr>
          <w:delText>.</w:delText>
        </w:r>
      </w:del>
    </w:p>
    <w:p w14:paraId="6A04A59B" w14:textId="12EC2A5A" w:rsidR="001A67E9" w:rsidRPr="00765805" w:rsidRDefault="001A67E9" w:rsidP="00F03C54">
      <w:pPr>
        <w:rPr>
          <w:del w:id="12394" w:author="AbbVie2" w:date="2025-05-13T16:48:00Z"/>
        </w:rPr>
      </w:pPr>
    </w:p>
    <w:p w14:paraId="4F52176E" w14:textId="092182CF" w:rsidR="004462A0" w:rsidRPr="008912CF" w:rsidRDefault="004462A0" w:rsidP="004462A0">
      <w:pPr>
        <w:tabs>
          <w:tab w:val="left" w:pos="720"/>
        </w:tabs>
        <w:rPr>
          <w:del w:id="12395" w:author="AbbVie2" w:date="2025-05-13T16:48:00Z"/>
          <w:sz w:val="22"/>
          <w:szCs w:val="22"/>
        </w:rPr>
      </w:pPr>
    </w:p>
    <w:p w14:paraId="1B59B4EC" w14:textId="6FC0FCF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396" w:author="AbbVie2" w:date="2025-05-13T16:48:00Z"/>
          <w:sz w:val="22"/>
          <w:szCs w:val="22"/>
          <w:highlight w:val="lightGray"/>
        </w:rPr>
      </w:pPr>
      <w:del w:id="12397" w:author="AbbVie2" w:date="2025-05-13T16:48:00Z">
        <w:r w:rsidRPr="008912CF">
          <w:rPr>
            <w:b/>
            <w:sz w:val="22"/>
            <w:szCs w:val="22"/>
          </w:rPr>
          <w:delText>6.</w:delText>
        </w:r>
        <w:r w:rsidRPr="008912CF">
          <w:rPr>
            <w:b/>
            <w:sz w:val="22"/>
            <w:szCs w:val="22"/>
          </w:rPr>
          <w:tab/>
        </w:r>
        <w:r w:rsidRPr="008912CF">
          <w:rPr>
            <w:b/>
            <w:bCs/>
            <w:iCs/>
            <w:sz w:val="22"/>
            <w:szCs w:val="22"/>
          </w:rPr>
          <w:delText>ADVERTÊNCIA ESPECIAL DE QUE O MEDICAMENTO DEVE SER MANTIDO FORA DA VISTA E DO ALCANCE DAS CRIANÇAS</w:delText>
        </w:r>
        <w:r w:rsidRPr="008912CF">
          <w:rPr>
            <w:b/>
            <w:iCs/>
            <w:sz w:val="22"/>
            <w:szCs w:val="22"/>
          </w:rPr>
          <w:delText xml:space="preserve"> </w:delText>
        </w:r>
      </w:del>
    </w:p>
    <w:p w14:paraId="5B7E9308" w14:textId="59B590D5" w:rsidR="004462A0" w:rsidRPr="008912CF" w:rsidRDefault="004462A0" w:rsidP="004462A0">
      <w:pPr>
        <w:tabs>
          <w:tab w:val="left" w:pos="720"/>
        </w:tabs>
        <w:rPr>
          <w:del w:id="12398" w:author="AbbVie2" w:date="2025-05-13T16:48:00Z"/>
          <w:sz w:val="22"/>
          <w:szCs w:val="22"/>
        </w:rPr>
      </w:pPr>
    </w:p>
    <w:p w14:paraId="21DB76D2" w14:textId="0A46D917" w:rsidR="004462A0" w:rsidRPr="008912CF" w:rsidRDefault="00615769" w:rsidP="004462A0">
      <w:pPr>
        <w:pStyle w:val="EndnoteText"/>
        <w:tabs>
          <w:tab w:val="clear" w:pos="567"/>
          <w:tab w:val="left" w:pos="720"/>
        </w:tabs>
        <w:rPr>
          <w:del w:id="12399" w:author="AbbVie2" w:date="2025-05-13T16:48:00Z"/>
          <w:szCs w:val="22"/>
        </w:rPr>
      </w:pPr>
      <w:del w:id="12400" w:author="AbbVie2" w:date="2025-05-13T16:48:00Z">
        <w:r w:rsidRPr="008912CF">
          <w:rPr>
            <w:szCs w:val="22"/>
          </w:rPr>
          <w:delText>Manter fora da vista e do alcance das crianças.</w:delText>
        </w:r>
      </w:del>
    </w:p>
    <w:p w14:paraId="7B6A12C1" w14:textId="5B02EF97" w:rsidR="004462A0" w:rsidRPr="008912CF" w:rsidRDefault="004462A0" w:rsidP="004462A0">
      <w:pPr>
        <w:tabs>
          <w:tab w:val="left" w:pos="720"/>
        </w:tabs>
        <w:rPr>
          <w:del w:id="12401" w:author="AbbVie2" w:date="2025-05-13T16:48:00Z"/>
          <w:sz w:val="22"/>
          <w:szCs w:val="22"/>
        </w:rPr>
      </w:pPr>
    </w:p>
    <w:p w14:paraId="2F5E665B" w14:textId="1AAE6274" w:rsidR="004462A0" w:rsidRPr="008912CF" w:rsidRDefault="004462A0" w:rsidP="004462A0">
      <w:pPr>
        <w:tabs>
          <w:tab w:val="left" w:pos="720"/>
        </w:tabs>
        <w:rPr>
          <w:del w:id="12402" w:author="AbbVie2" w:date="2025-05-13T16:48:00Z"/>
          <w:sz w:val="22"/>
          <w:szCs w:val="22"/>
        </w:rPr>
      </w:pPr>
    </w:p>
    <w:p w14:paraId="53898ECB" w14:textId="3C0A8B59" w:rsidR="004462A0" w:rsidRPr="008912CF" w:rsidRDefault="00615769" w:rsidP="00FB4614">
      <w:pPr>
        <w:keepNext/>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403" w:author="AbbVie2" w:date="2025-05-13T16:48:00Z"/>
          <w:sz w:val="22"/>
          <w:szCs w:val="22"/>
          <w:highlight w:val="lightGray"/>
        </w:rPr>
      </w:pPr>
      <w:del w:id="12404" w:author="AbbVie2" w:date="2025-05-13T16:48:00Z">
        <w:r w:rsidRPr="008912CF">
          <w:rPr>
            <w:b/>
            <w:sz w:val="22"/>
            <w:szCs w:val="22"/>
          </w:rPr>
          <w:delText>7.</w:delText>
        </w:r>
        <w:r w:rsidRPr="008912CF">
          <w:rPr>
            <w:b/>
            <w:sz w:val="22"/>
            <w:szCs w:val="22"/>
          </w:rPr>
          <w:tab/>
          <w:delText>OUTRAS ADVERTÊNCIAS ESPECIAIS, SE NECESSÁRIO</w:delText>
        </w:r>
      </w:del>
    </w:p>
    <w:p w14:paraId="5F37E480" w14:textId="7B90983D" w:rsidR="004462A0" w:rsidRPr="008912CF" w:rsidRDefault="004462A0" w:rsidP="00FB4614">
      <w:pPr>
        <w:pStyle w:val="EndnoteText"/>
        <w:keepNext/>
        <w:tabs>
          <w:tab w:val="clear" w:pos="567"/>
          <w:tab w:val="left" w:pos="720"/>
        </w:tabs>
        <w:rPr>
          <w:del w:id="12405" w:author="AbbVie2" w:date="2025-05-13T16:48:00Z"/>
          <w:szCs w:val="22"/>
        </w:rPr>
      </w:pPr>
    </w:p>
    <w:p w14:paraId="7E45EBC5" w14:textId="752D643A" w:rsidR="004462A0" w:rsidRPr="008912CF" w:rsidRDefault="004462A0" w:rsidP="00FB4614">
      <w:pPr>
        <w:keepNext/>
        <w:rPr>
          <w:del w:id="12406" w:author="AbbVie2" w:date="2025-05-13T16:48:00Z"/>
          <w:sz w:val="22"/>
          <w:szCs w:val="22"/>
        </w:rPr>
      </w:pPr>
    </w:p>
    <w:p w14:paraId="5B72ECA3" w14:textId="48E7297D"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407" w:author="AbbVie2" w:date="2025-05-13T16:48:00Z"/>
          <w:sz w:val="22"/>
          <w:szCs w:val="22"/>
          <w:highlight w:val="lightGray"/>
        </w:rPr>
      </w:pPr>
      <w:del w:id="12408" w:author="AbbVie2" w:date="2025-05-13T16:48:00Z">
        <w:r w:rsidRPr="008912CF">
          <w:rPr>
            <w:b/>
            <w:sz w:val="22"/>
            <w:szCs w:val="22"/>
          </w:rPr>
          <w:delText>8.</w:delText>
        </w:r>
        <w:r w:rsidRPr="008912CF">
          <w:rPr>
            <w:b/>
            <w:sz w:val="22"/>
            <w:szCs w:val="22"/>
          </w:rPr>
          <w:tab/>
          <w:delText>PRAZO DE VALIDADE</w:delText>
        </w:r>
      </w:del>
    </w:p>
    <w:p w14:paraId="62ECFDA8" w14:textId="672F7693" w:rsidR="004462A0" w:rsidRPr="008912CF" w:rsidRDefault="004462A0" w:rsidP="004462A0">
      <w:pPr>
        <w:tabs>
          <w:tab w:val="left" w:pos="720"/>
        </w:tabs>
        <w:rPr>
          <w:del w:id="12409" w:author="AbbVie2" w:date="2025-05-13T16:48:00Z"/>
          <w:sz w:val="22"/>
          <w:szCs w:val="22"/>
        </w:rPr>
      </w:pPr>
    </w:p>
    <w:p w14:paraId="38CC0B12" w14:textId="12C144EB" w:rsidR="004462A0" w:rsidRPr="008912CF" w:rsidRDefault="00615769" w:rsidP="004462A0">
      <w:pPr>
        <w:tabs>
          <w:tab w:val="left" w:pos="720"/>
        </w:tabs>
        <w:rPr>
          <w:del w:id="12410" w:author="AbbVie2" w:date="2025-05-13T16:48:00Z"/>
          <w:sz w:val="22"/>
          <w:szCs w:val="22"/>
        </w:rPr>
      </w:pPr>
      <w:del w:id="12411" w:author="AbbVie2" w:date="2025-05-13T16:48:00Z">
        <w:r>
          <w:rPr>
            <w:sz w:val="22"/>
            <w:szCs w:val="22"/>
          </w:rPr>
          <w:delText>EXP</w:delText>
        </w:r>
        <w:r w:rsidRPr="008912CF">
          <w:rPr>
            <w:sz w:val="22"/>
            <w:szCs w:val="22"/>
          </w:rPr>
          <w:delText xml:space="preserve"> </w:delText>
        </w:r>
      </w:del>
    </w:p>
    <w:p w14:paraId="06D180BE" w14:textId="1B7DA3DF" w:rsidR="004462A0" w:rsidRPr="008912CF" w:rsidRDefault="004462A0" w:rsidP="004462A0">
      <w:pPr>
        <w:tabs>
          <w:tab w:val="left" w:pos="720"/>
        </w:tabs>
        <w:rPr>
          <w:del w:id="12412" w:author="AbbVie2" w:date="2025-05-13T16:48:00Z"/>
          <w:sz w:val="22"/>
          <w:szCs w:val="22"/>
        </w:rPr>
      </w:pPr>
    </w:p>
    <w:p w14:paraId="2E44AC47" w14:textId="3E0453D7" w:rsidR="004462A0" w:rsidRPr="008912CF" w:rsidRDefault="004462A0" w:rsidP="004462A0">
      <w:pPr>
        <w:tabs>
          <w:tab w:val="left" w:pos="720"/>
        </w:tabs>
        <w:rPr>
          <w:del w:id="12413" w:author="AbbVie2" w:date="2025-05-13T16:48:00Z"/>
          <w:sz w:val="22"/>
          <w:szCs w:val="22"/>
        </w:rPr>
      </w:pPr>
    </w:p>
    <w:p w14:paraId="1B91DC90" w14:textId="798EDB6C" w:rsidR="004462A0" w:rsidRPr="008912CF" w:rsidRDefault="00615769" w:rsidP="004462A0">
      <w:pPr>
        <w:keepNext/>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414" w:author="AbbVie2" w:date="2025-05-13T16:48:00Z"/>
          <w:sz w:val="22"/>
          <w:szCs w:val="22"/>
          <w:highlight w:val="lightGray"/>
        </w:rPr>
      </w:pPr>
      <w:del w:id="12415" w:author="AbbVie2" w:date="2025-05-13T16:48:00Z">
        <w:r w:rsidRPr="008912CF">
          <w:rPr>
            <w:b/>
            <w:sz w:val="22"/>
            <w:szCs w:val="22"/>
          </w:rPr>
          <w:delText>9.</w:delText>
        </w:r>
        <w:r w:rsidRPr="008912CF">
          <w:rPr>
            <w:b/>
            <w:sz w:val="22"/>
            <w:szCs w:val="22"/>
          </w:rPr>
          <w:tab/>
        </w:r>
        <w:r w:rsidRPr="008912CF">
          <w:rPr>
            <w:b/>
            <w:sz w:val="22"/>
            <w:szCs w:val="22"/>
          </w:rPr>
          <w:delText>CONDIÇÕES ESPECIAIS DE CONSERVAÇÃO</w:delText>
        </w:r>
      </w:del>
    </w:p>
    <w:p w14:paraId="45C73FB4" w14:textId="7884AA94" w:rsidR="004462A0" w:rsidRPr="008912CF" w:rsidRDefault="004462A0" w:rsidP="004462A0">
      <w:pPr>
        <w:keepNext/>
        <w:tabs>
          <w:tab w:val="left" w:pos="720"/>
        </w:tabs>
        <w:rPr>
          <w:del w:id="12416" w:author="AbbVie2" w:date="2025-05-13T16:48:00Z"/>
          <w:sz w:val="22"/>
          <w:szCs w:val="22"/>
        </w:rPr>
      </w:pPr>
    </w:p>
    <w:p w14:paraId="07E3A97F" w14:textId="1558E59B" w:rsidR="004462A0" w:rsidRPr="008912CF" w:rsidRDefault="00615769" w:rsidP="004462A0">
      <w:pPr>
        <w:keepNext/>
        <w:tabs>
          <w:tab w:val="left" w:pos="720"/>
        </w:tabs>
        <w:rPr>
          <w:del w:id="12417" w:author="AbbVie2" w:date="2025-05-13T16:48:00Z"/>
          <w:sz w:val="22"/>
          <w:szCs w:val="22"/>
        </w:rPr>
      </w:pPr>
      <w:del w:id="12418" w:author="AbbVie2" w:date="2025-05-13T16:48:00Z">
        <w:r w:rsidRPr="008912CF">
          <w:rPr>
            <w:sz w:val="22"/>
            <w:szCs w:val="22"/>
          </w:rPr>
          <w:delText>Conservar no frigorífico. Não congelar.</w:delText>
        </w:r>
      </w:del>
    </w:p>
    <w:p w14:paraId="43EA1D17" w14:textId="0BB2F1A7" w:rsidR="004462A0" w:rsidRPr="008912CF" w:rsidRDefault="00615769" w:rsidP="004462A0">
      <w:pPr>
        <w:keepNext/>
        <w:tabs>
          <w:tab w:val="left" w:pos="720"/>
        </w:tabs>
        <w:rPr>
          <w:del w:id="12419" w:author="AbbVie2" w:date="2025-05-13T16:48:00Z"/>
          <w:sz w:val="22"/>
          <w:szCs w:val="22"/>
        </w:rPr>
      </w:pPr>
      <w:del w:id="12420" w:author="AbbVie2" w:date="2025-05-13T16:48:00Z">
        <w:r w:rsidRPr="008912CF">
          <w:rPr>
            <w:sz w:val="22"/>
            <w:szCs w:val="22"/>
          </w:rPr>
          <w:delText>Consulte o folheto informativo para detalhes de conservação alternativa.</w:delText>
        </w:r>
      </w:del>
    </w:p>
    <w:p w14:paraId="076ADECA" w14:textId="6AED3F6C" w:rsidR="004462A0" w:rsidRPr="008912CF" w:rsidRDefault="004462A0" w:rsidP="004462A0">
      <w:pPr>
        <w:keepNext/>
        <w:tabs>
          <w:tab w:val="left" w:pos="720"/>
        </w:tabs>
        <w:rPr>
          <w:del w:id="12421" w:author="AbbVie2" w:date="2025-05-13T16:48:00Z"/>
          <w:sz w:val="22"/>
          <w:szCs w:val="22"/>
        </w:rPr>
      </w:pPr>
    </w:p>
    <w:p w14:paraId="29F1A049" w14:textId="66EE1F42" w:rsidR="004462A0" w:rsidRPr="008912CF" w:rsidRDefault="00615769" w:rsidP="004462A0">
      <w:pPr>
        <w:keepNext/>
        <w:tabs>
          <w:tab w:val="left" w:pos="720"/>
        </w:tabs>
        <w:rPr>
          <w:del w:id="12422" w:author="AbbVie2" w:date="2025-05-13T16:48:00Z"/>
          <w:sz w:val="22"/>
          <w:szCs w:val="22"/>
        </w:rPr>
      </w:pPr>
      <w:del w:id="12423" w:author="AbbVie2" w:date="2025-05-13T16:48:00Z">
        <w:r w:rsidRPr="008912CF">
          <w:rPr>
            <w:sz w:val="22"/>
            <w:szCs w:val="22"/>
          </w:rPr>
          <w:delText>Manter a caneta pré-cheia dentro da embalagem exterior para proteger da luz.</w:delText>
        </w:r>
      </w:del>
    </w:p>
    <w:p w14:paraId="359ECD23" w14:textId="5832224F" w:rsidR="004462A0" w:rsidRPr="008912CF" w:rsidRDefault="004462A0" w:rsidP="004462A0">
      <w:pPr>
        <w:tabs>
          <w:tab w:val="left" w:pos="720"/>
        </w:tabs>
        <w:rPr>
          <w:del w:id="12424" w:author="AbbVie2" w:date="2025-05-13T16:48:00Z"/>
          <w:sz w:val="22"/>
          <w:szCs w:val="22"/>
        </w:rPr>
      </w:pPr>
    </w:p>
    <w:p w14:paraId="28308F88" w14:textId="165B09CB" w:rsidR="004462A0" w:rsidRPr="008912CF" w:rsidRDefault="004462A0" w:rsidP="004462A0">
      <w:pPr>
        <w:tabs>
          <w:tab w:val="left" w:pos="720"/>
        </w:tabs>
        <w:rPr>
          <w:del w:id="12425" w:author="AbbVie2" w:date="2025-05-13T16:48:00Z"/>
          <w:sz w:val="22"/>
          <w:szCs w:val="22"/>
        </w:rPr>
      </w:pPr>
    </w:p>
    <w:p w14:paraId="69FF29BF" w14:textId="6CF31E44"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426" w:author="AbbVie2" w:date="2025-05-13T16:48:00Z"/>
          <w:b/>
          <w:bCs/>
          <w:sz w:val="22"/>
          <w:szCs w:val="22"/>
          <w:highlight w:val="lightGray"/>
        </w:rPr>
      </w:pPr>
      <w:del w:id="12427" w:author="AbbVie2" w:date="2025-05-13T16:48:00Z">
        <w:r w:rsidRPr="008912CF">
          <w:rPr>
            <w:b/>
            <w:sz w:val="22"/>
            <w:szCs w:val="22"/>
          </w:rPr>
          <w:delText>10.</w:delText>
        </w:r>
        <w:r w:rsidRPr="008912CF">
          <w:rPr>
            <w:b/>
            <w:sz w:val="22"/>
            <w:szCs w:val="22"/>
          </w:rPr>
          <w:tab/>
        </w:r>
        <w:r w:rsidRPr="008912CF">
          <w:rPr>
            <w:b/>
            <w:bCs/>
            <w:sz w:val="22"/>
            <w:szCs w:val="22"/>
          </w:rPr>
          <w:delText xml:space="preserve">CUIDADOS ESPECIAIS QUANTO À ELIMINAÇÃO DO MEDICAMENTO NÃO UTILIZADO OU DOS RESÍDUOS PROVENIENTES DESSE MEDICAMENTO, SE APLICÁVEL </w:delText>
        </w:r>
      </w:del>
    </w:p>
    <w:p w14:paraId="7CF18051" w14:textId="45DD05AC" w:rsidR="004462A0" w:rsidRPr="008912CF" w:rsidRDefault="004462A0" w:rsidP="004462A0">
      <w:pPr>
        <w:tabs>
          <w:tab w:val="left" w:pos="720"/>
        </w:tabs>
        <w:rPr>
          <w:del w:id="12428" w:author="AbbVie2" w:date="2025-05-13T16:48:00Z"/>
          <w:sz w:val="22"/>
          <w:szCs w:val="22"/>
        </w:rPr>
      </w:pPr>
    </w:p>
    <w:p w14:paraId="57D48DE6" w14:textId="4B2F71C6" w:rsidR="004462A0" w:rsidRPr="008912CF" w:rsidRDefault="004462A0" w:rsidP="004462A0">
      <w:pPr>
        <w:tabs>
          <w:tab w:val="left" w:pos="720"/>
        </w:tabs>
        <w:rPr>
          <w:del w:id="12429" w:author="AbbVie2" w:date="2025-05-13T16:48:00Z"/>
          <w:sz w:val="22"/>
          <w:szCs w:val="22"/>
        </w:rPr>
      </w:pPr>
    </w:p>
    <w:p w14:paraId="10548EBE" w14:textId="3DD62B83"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430" w:author="AbbVie2" w:date="2025-05-13T16:48:00Z"/>
          <w:b/>
          <w:bCs/>
          <w:sz w:val="22"/>
          <w:szCs w:val="22"/>
        </w:rPr>
      </w:pPr>
      <w:del w:id="12431" w:author="AbbVie2" w:date="2025-05-13T16:48:00Z">
        <w:r w:rsidRPr="008912CF">
          <w:rPr>
            <w:b/>
            <w:sz w:val="22"/>
            <w:szCs w:val="22"/>
          </w:rPr>
          <w:delText>11.</w:delText>
        </w:r>
        <w:r w:rsidRPr="008912CF">
          <w:rPr>
            <w:b/>
            <w:sz w:val="22"/>
            <w:szCs w:val="22"/>
          </w:rPr>
          <w:tab/>
        </w:r>
        <w:r w:rsidRPr="008912CF">
          <w:rPr>
            <w:b/>
            <w:bCs/>
            <w:sz w:val="22"/>
            <w:szCs w:val="22"/>
          </w:rPr>
          <w:delText>NOME E ENDEREÇO DO TITULAR DA AUTORIZAÇÃO DE INTRODUÇÃO NO MERCADO</w:delText>
        </w:r>
      </w:del>
    </w:p>
    <w:p w14:paraId="16F4CEDD" w14:textId="5C50248B" w:rsidR="004462A0" w:rsidRPr="008912CF" w:rsidRDefault="004462A0" w:rsidP="004462A0">
      <w:pPr>
        <w:tabs>
          <w:tab w:val="left" w:pos="720"/>
        </w:tabs>
        <w:rPr>
          <w:del w:id="12432" w:author="AbbVie2" w:date="2025-05-13T16:48:00Z"/>
          <w:sz w:val="22"/>
          <w:szCs w:val="22"/>
        </w:rPr>
      </w:pPr>
    </w:p>
    <w:p w14:paraId="48B0C4D5" w14:textId="79705A7A" w:rsidR="006566C4" w:rsidRPr="008D6D3A" w:rsidRDefault="00615769" w:rsidP="006566C4">
      <w:pPr>
        <w:tabs>
          <w:tab w:val="left" w:pos="720"/>
        </w:tabs>
        <w:rPr>
          <w:del w:id="12433" w:author="AbbVie2" w:date="2025-05-13T16:48:00Z"/>
          <w:sz w:val="22"/>
          <w:szCs w:val="22"/>
          <w:lang w:val="de-CH"/>
        </w:rPr>
      </w:pPr>
      <w:del w:id="12434" w:author="AbbVie2" w:date="2025-05-13T16:48:00Z">
        <w:r w:rsidRPr="008D6D3A">
          <w:rPr>
            <w:sz w:val="22"/>
            <w:szCs w:val="22"/>
            <w:lang w:val="de-CH"/>
          </w:rPr>
          <w:delText>AbbVie Deutschland GmbH &amp; Co. KG</w:delText>
        </w:r>
      </w:del>
    </w:p>
    <w:p w14:paraId="407C0355" w14:textId="0BEDB765" w:rsidR="006566C4" w:rsidRPr="008D6D3A" w:rsidRDefault="00615769" w:rsidP="006566C4">
      <w:pPr>
        <w:tabs>
          <w:tab w:val="left" w:pos="720"/>
        </w:tabs>
        <w:rPr>
          <w:del w:id="12435" w:author="AbbVie2" w:date="2025-05-13T16:48:00Z"/>
          <w:sz w:val="22"/>
          <w:szCs w:val="22"/>
          <w:lang w:val="de-CH"/>
        </w:rPr>
      </w:pPr>
      <w:del w:id="12436" w:author="AbbVie2" w:date="2025-05-13T16:48:00Z">
        <w:r w:rsidRPr="008D6D3A">
          <w:rPr>
            <w:sz w:val="22"/>
            <w:szCs w:val="22"/>
            <w:lang w:val="de-CH"/>
          </w:rPr>
          <w:delText>Knollstrasse</w:delText>
        </w:r>
      </w:del>
    </w:p>
    <w:p w14:paraId="7098B98E" w14:textId="7E7CBBBA" w:rsidR="006566C4" w:rsidRPr="00EF74B7" w:rsidRDefault="00615769" w:rsidP="006566C4">
      <w:pPr>
        <w:tabs>
          <w:tab w:val="left" w:pos="720"/>
        </w:tabs>
        <w:rPr>
          <w:del w:id="12437" w:author="AbbVie2" w:date="2025-05-13T16:48:00Z"/>
          <w:sz w:val="22"/>
          <w:szCs w:val="22"/>
        </w:rPr>
      </w:pPr>
      <w:del w:id="12438" w:author="AbbVie2" w:date="2025-05-13T16:48:00Z">
        <w:r w:rsidRPr="00EF74B7">
          <w:rPr>
            <w:sz w:val="22"/>
            <w:szCs w:val="22"/>
          </w:rPr>
          <w:delText>67061 Ludwigshafen</w:delText>
        </w:r>
      </w:del>
    </w:p>
    <w:p w14:paraId="2E136915" w14:textId="749439AD" w:rsidR="004462A0" w:rsidRPr="008912CF" w:rsidRDefault="00615769" w:rsidP="004462A0">
      <w:pPr>
        <w:rPr>
          <w:del w:id="12439" w:author="AbbVie2" w:date="2025-05-13T16:48:00Z"/>
          <w:sz w:val="22"/>
          <w:szCs w:val="22"/>
        </w:rPr>
      </w:pPr>
      <w:del w:id="12440" w:author="AbbVie2" w:date="2025-05-13T16:48:00Z">
        <w:r w:rsidRPr="00EF74B7">
          <w:rPr>
            <w:sz w:val="22"/>
            <w:szCs w:val="22"/>
          </w:rPr>
          <w:delText>Alemanha</w:delText>
        </w:r>
      </w:del>
    </w:p>
    <w:p w14:paraId="39B32511" w14:textId="7575A378" w:rsidR="004462A0" w:rsidRPr="008912CF" w:rsidRDefault="004462A0" w:rsidP="004462A0">
      <w:pPr>
        <w:tabs>
          <w:tab w:val="left" w:pos="720"/>
        </w:tabs>
        <w:rPr>
          <w:del w:id="12441" w:author="AbbVie2" w:date="2025-05-13T16:48:00Z"/>
          <w:sz w:val="22"/>
          <w:szCs w:val="22"/>
        </w:rPr>
      </w:pPr>
    </w:p>
    <w:p w14:paraId="28A1E03C" w14:textId="3D0D3C16" w:rsidR="004462A0" w:rsidRPr="008912CF" w:rsidRDefault="004462A0" w:rsidP="004462A0">
      <w:pPr>
        <w:tabs>
          <w:tab w:val="left" w:pos="720"/>
        </w:tabs>
        <w:rPr>
          <w:del w:id="12442" w:author="AbbVie2" w:date="2025-05-13T16:48:00Z"/>
          <w:sz w:val="22"/>
          <w:szCs w:val="22"/>
        </w:rPr>
      </w:pPr>
    </w:p>
    <w:p w14:paraId="65241637" w14:textId="4C7FDC9E"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443" w:author="AbbVie2" w:date="2025-05-13T16:48:00Z"/>
          <w:b/>
          <w:sz w:val="22"/>
          <w:szCs w:val="22"/>
          <w:highlight w:val="lightGray"/>
        </w:rPr>
      </w:pPr>
      <w:del w:id="12444" w:author="AbbVie2" w:date="2025-05-13T16:48:00Z">
        <w:r w:rsidRPr="008912CF">
          <w:rPr>
            <w:b/>
            <w:sz w:val="22"/>
            <w:szCs w:val="22"/>
          </w:rPr>
          <w:delText>12.</w:delText>
        </w:r>
        <w:r w:rsidRPr="008912CF">
          <w:rPr>
            <w:b/>
            <w:sz w:val="22"/>
            <w:szCs w:val="22"/>
          </w:rPr>
          <w:tab/>
          <w:delText xml:space="preserve">NÚMERO DA AUTORIZAÇÃO DE INTRODUÇÃO NO MERCADO </w:delText>
        </w:r>
      </w:del>
    </w:p>
    <w:p w14:paraId="34753391" w14:textId="603F7D34" w:rsidR="004462A0" w:rsidRPr="008912CF" w:rsidRDefault="004462A0" w:rsidP="004462A0">
      <w:pPr>
        <w:tabs>
          <w:tab w:val="left" w:pos="720"/>
        </w:tabs>
        <w:rPr>
          <w:del w:id="12445" w:author="AbbVie2" w:date="2025-05-13T16:48:00Z"/>
          <w:sz w:val="22"/>
          <w:szCs w:val="22"/>
        </w:rPr>
      </w:pPr>
    </w:p>
    <w:p w14:paraId="0F48179F" w14:textId="35D2143A" w:rsidR="004462A0" w:rsidRPr="008912CF" w:rsidRDefault="00615769" w:rsidP="004462A0">
      <w:pPr>
        <w:pStyle w:val="EndnoteText"/>
        <w:tabs>
          <w:tab w:val="clear" w:pos="567"/>
        </w:tabs>
        <w:rPr>
          <w:del w:id="12446" w:author="AbbVie2" w:date="2025-05-13T16:48:00Z"/>
          <w:szCs w:val="22"/>
        </w:rPr>
      </w:pPr>
      <w:del w:id="12447" w:author="AbbVie2" w:date="2025-05-13T16:48:00Z">
        <w:r w:rsidRPr="008912CF">
          <w:rPr>
            <w:szCs w:val="22"/>
          </w:rPr>
          <w:delText>EU/1/03/256/007</w:delText>
        </w:r>
      </w:del>
    </w:p>
    <w:p w14:paraId="5BBEEF59" w14:textId="6B349250" w:rsidR="008256D9" w:rsidRPr="002112C5" w:rsidRDefault="00615769" w:rsidP="008256D9">
      <w:pPr>
        <w:tabs>
          <w:tab w:val="left" w:pos="720"/>
        </w:tabs>
        <w:rPr>
          <w:del w:id="12448" w:author="AbbVie2" w:date="2025-05-13T16:48:00Z"/>
          <w:sz w:val="22"/>
          <w:szCs w:val="22"/>
          <w:shd w:val="pct15" w:color="auto" w:fill="FFFFFF"/>
        </w:rPr>
      </w:pPr>
      <w:del w:id="12449" w:author="AbbVie2" w:date="2025-05-13T16:48:00Z">
        <w:r w:rsidRPr="002112C5">
          <w:rPr>
            <w:sz w:val="22"/>
            <w:szCs w:val="22"/>
            <w:shd w:val="pct15" w:color="auto" w:fill="FFFFFF"/>
          </w:rPr>
          <w:delText>EU/1/03/256/008</w:delText>
        </w:r>
      </w:del>
    </w:p>
    <w:p w14:paraId="46F11933" w14:textId="12B84E3B" w:rsidR="008256D9" w:rsidRPr="002112C5" w:rsidRDefault="00615769" w:rsidP="008256D9">
      <w:pPr>
        <w:tabs>
          <w:tab w:val="left" w:pos="720"/>
        </w:tabs>
        <w:rPr>
          <w:del w:id="12450" w:author="AbbVie2" w:date="2025-05-13T16:48:00Z"/>
          <w:sz w:val="22"/>
          <w:szCs w:val="22"/>
          <w:shd w:val="pct15" w:color="auto" w:fill="FFFFFF"/>
        </w:rPr>
      </w:pPr>
      <w:del w:id="12451" w:author="AbbVie2" w:date="2025-05-13T16:48:00Z">
        <w:r w:rsidRPr="002112C5">
          <w:rPr>
            <w:sz w:val="22"/>
            <w:szCs w:val="22"/>
            <w:shd w:val="pct15" w:color="auto" w:fill="FFFFFF"/>
          </w:rPr>
          <w:delText>EU/1/03/256/009</w:delText>
        </w:r>
      </w:del>
    </w:p>
    <w:p w14:paraId="2A609AA3" w14:textId="19B9089B" w:rsidR="008256D9" w:rsidRPr="002112C5" w:rsidRDefault="00615769" w:rsidP="008256D9">
      <w:pPr>
        <w:tabs>
          <w:tab w:val="left" w:pos="720"/>
        </w:tabs>
        <w:rPr>
          <w:del w:id="12452" w:author="AbbVie2" w:date="2025-05-13T16:48:00Z"/>
          <w:sz w:val="22"/>
          <w:szCs w:val="22"/>
          <w:shd w:val="pct15" w:color="auto" w:fill="FFFFFF"/>
        </w:rPr>
      </w:pPr>
      <w:del w:id="12453" w:author="AbbVie2" w:date="2025-05-13T16:48:00Z">
        <w:r w:rsidRPr="002112C5">
          <w:rPr>
            <w:sz w:val="22"/>
            <w:szCs w:val="22"/>
            <w:shd w:val="pct15" w:color="auto" w:fill="FFFFFF"/>
          </w:rPr>
          <w:delText>EU/1/03/256/010</w:delText>
        </w:r>
      </w:del>
    </w:p>
    <w:p w14:paraId="57192246" w14:textId="6A8BDD33" w:rsidR="008256D9" w:rsidRPr="008912CF" w:rsidRDefault="008256D9" w:rsidP="008256D9">
      <w:pPr>
        <w:tabs>
          <w:tab w:val="left" w:pos="720"/>
        </w:tabs>
        <w:rPr>
          <w:del w:id="12454" w:author="AbbVie2" w:date="2025-05-13T16:48:00Z"/>
          <w:sz w:val="22"/>
          <w:szCs w:val="22"/>
        </w:rPr>
      </w:pPr>
    </w:p>
    <w:p w14:paraId="7A44C712" w14:textId="12B1E4E4" w:rsidR="004462A0" w:rsidRPr="008912CF" w:rsidRDefault="004462A0" w:rsidP="004462A0">
      <w:pPr>
        <w:tabs>
          <w:tab w:val="left" w:pos="720"/>
        </w:tabs>
        <w:rPr>
          <w:del w:id="12455" w:author="AbbVie2" w:date="2025-05-13T16:48:00Z"/>
          <w:sz w:val="22"/>
          <w:szCs w:val="22"/>
        </w:rPr>
      </w:pPr>
    </w:p>
    <w:p w14:paraId="3B95F01B" w14:textId="111B749A"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456" w:author="AbbVie2" w:date="2025-05-13T16:48:00Z"/>
          <w:sz w:val="22"/>
          <w:szCs w:val="22"/>
          <w:highlight w:val="lightGray"/>
        </w:rPr>
      </w:pPr>
      <w:del w:id="12457" w:author="AbbVie2" w:date="2025-05-13T16:48:00Z">
        <w:r w:rsidRPr="008912CF">
          <w:rPr>
            <w:b/>
            <w:sz w:val="22"/>
            <w:szCs w:val="22"/>
          </w:rPr>
          <w:delText>13.</w:delText>
        </w:r>
        <w:r w:rsidRPr="008912CF">
          <w:rPr>
            <w:b/>
            <w:sz w:val="22"/>
            <w:szCs w:val="22"/>
          </w:rPr>
          <w:tab/>
          <w:delText xml:space="preserve">NÚMERO DO LOTE </w:delText>
        </w:r>
      </w:del>
    </w:p>
    <w:p w14:paraId="02290B50" w14:textId="65550053" w:rsidR="004462A0" w:rsidRPr="008912CF" w:rsidRDefault="004462A0" w:rsidP="004462A0">
      <w:pPr>
        <w:tabs>
          <w:tab w:val="left" w:pos="720"/>
        </w:tabs>
        <w:rPr>
          <w:del w:id="12458" w:author="AbbVie2" w:date="2025-05-13T16:48:00Z"/>
          <w:sz w:val="22"/>
          <w:szCs w:val="22"/>
        </w:rPr>
      </w:pPr>
    </w:p>
    <w:p w14:paraId="7BA3A4D2" w14:textId="07A1882B" w:rsidR="004462A0" w:rsidRPr="008912CF" w:rsidRDefault="00615769" w:rsidP="004462A0">
      <w:pPr>
        <w:tabs>
          <w:tab w:val="left" w:pos="720"/>
        </w:tabs>
        <w:rPr>
          <w:del w:id="12459" w:author="AbbVie2" w:date="2025-05-13T16:48:00Z"/>
          <w:sz w:val="22"/>
          <w:szCs w:val="22"/>
        </w:rPr>
      </w:pPr>
      <w:del w:id="12460" w:author="AbbVie2" w:date="2025-05-13T16:48:00Z">
        <w:r w:rsidRPr="008912CF">
          <w:rPr>
            <w:sz w:val="22"/>
            <w:szCs w:val="22"/>
          </w:rPr>
          <w:delText>Lote</w:delText>
        </w:r>
      </w:del>
    </w:p>
    <w:p w14:paraId="4FF7054D" w14:textId="5AF19D48" w:rsidR="004462A0" w:rsidRPr="008912CF" w:rsidRDefault="004462A0" w:rsidP="004462A0">
      <w:pPr>
        <w:tabs>
          <w:tab w:val="left" w:pos="720"/>
        </w:tabs>
        <w:rPr>
          <w:del w:id="12461" w:author="AbbVie2" w:date="2025-05-13T16:48:00Z"/>
          <w:sz w:val="22"/>
          <w:szCs w:val="22"/>
        </w:rPr>
      </w:pPr>
    </w:p>
    <w:p w14:paraId="529332DD" w14:textId="022BADD3" w:rsidR="004462A0" w:rsidRPr="008912CF" w:rsidRDefault="004462A0" w:rsidP="004462A0">
      <w:pPr>
        <w:tabs>
          <w:tab w:val="left" w:pos="720"/>
        </w:tabs>
        <w:rPr>
          <w:del w:id="12462" w:author="AbbVie2" w:date="2025-05-13T16:48:00Z"/>
          <w:sz w:val="22"/>
          <w:szCs w:val="22"/>
        </w:rPr>
      </w:pPr>
    </w:p>
    <w:p w14:paraId="74132498" w14:textId="131F30E4"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463" w:author="AbbVie2" w:date="2025-05-13T16:48:00Z"/>
          <w:sz w:val="22"/>
          <w:szCs w:val="22"/>
          <w:highlight w:val="lightGray"/>
        </w:rPr>
      </w:pPr>
      <w:del w:id="12464" w:author="AbbVie2" w:date="2025-05-13T16:48:00Z">
        <w:r w:rsidRPr="008912CF">
          <w:rPr>
            <w:b/>
            <w:sz w:val="22"/>
            <w:szCs w:val="22"/>
          </w:rPr>
          <w:delText>14.</w:delText>
        </w:r>
        <w:r w:rsidRPr="008912CF">
          <w:rPr>
            <w:b/>
            <w:sz w:val="22"/>
            <w:szCs w:val="22"/>
          </w:rPr>
          <w:tab/>
        </w:r>
        <w:r w:rsidRPr="008912CF">
          <w:rPr>
            <w:b/>
            <w:sz w:val="22"/>
            <w:szCs w:val="22"/>
          </w:rPr>
          <w:delText>CLASSIFICAÇÃO QUANTO À DISPENSA AO PÚBLICO</w:delText>
        </w:r>
      </w:del>
    </w:p>
    <w:p w14:paraId="1D6FD308" w14:textId="2EA35DD1" w:rsidR="004462A0" w:rsidRPr="008912CF" w:rsidRDefault="004462A0" w:rsidP="004462A0">
      <w:pPr>
        <w:tabs>
          <w:tab w:val="left" w:pos="720"/>
        </w:tabs>
        <w:rPr>
          <w:del w:id="12465" w:author="AbbVie2" w:date="2025-05-13T16:48:00Z"/>
          <w:sz w:val="22"/>
          <w:szCs w:val="22"/>
        </w:rPr>
      </w:pPr>
    </w:p>
    <w:p w14:paraId="65FF9E77" w14:textId="4C52DD3D" w:rsidR="004462A0" w:rsidRPr="008912CF" w:rsidRDefault="004462A0" w:rsidP="004462A0">
      <w:pPr>
        <w:tabs>
          <w:tab w:val="left" w:pos="720"/>
        </w:tabs>
        <w:rPr>
          <w:del w:id="12466" w:author="AbbVie2" w:date="2025-05-13T16:48:00Z"/>
          <w:sz w:val="22"/>
          <w:szCs w:val="22"/>
        </w:rPr>
      </w:pPr>
    </w:p>
    <w:p w14:paraId="1A6F1CCA" w14:textId="31898D19"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467" w:author="AbbVie2" w:date="2025-05-13T16:48:00Z"/>
          <w:b/>
          <w:sz w:val="22"/>
          <w:szCs w:val="22"/>
          <w:u w:val="single"/>
        </w:rPr>
      </w:pPr>
      <w:del w:id="12468" w:author="AbbVie2" w:date="2025-05-13T16:48:00Z">
        <w:r w:rsidRPr="008912CF">
          <w:rPr>
            <w:b/>
            <w:sz w:val="22"/>
            <w:szCs w:val="22"/>
          </w:rPr>
          <w:delText>15.</w:delText>
        </w:r>
        <w:r w:rsidRPr="008912CF">
          <w:rPr>
            <w:b/>
            <w:sz w:val="22"/>
            <w:szCs w:val="22"/>
          </w:rPr>
          <w:tab/>
          <w:delText>INSTRUÇÕES DE UTILIZAÇÃO</w:delText>
        </w:r>
      </w:del>
    </w:p>
    <w:p w14:paraId="33B037E4" w14:textId="04F6C3C3" w:rsidR="004462A0" w:rsidRPr="008912CF" w:rsidRDefault="004462A0" w:rsidP="004462A0">
      <w:pPr>
        <w:tabs>
          <w:tab w:val="left" w:pos="720"/>
        </w:tabs>
        <w:rPr>
          <w:del w:id="12469" w:author="AbbVie2" w:date="2025-05-13T16:48:00Z"/>
          <w:sz w:val="22"/>
          <w:szCs w:val="22"/>
        </w:rPr>
      </w:pPr>
    </w:p>
    <w:p w14:paraId="0A5CFCC0" w14:textId="09C0D4DA" w:rsidR="004462A0" w:rsidRPr="008912CF" w:rsidRDefault="004462A0" w:rsidP="004462A0">
      <w:pPr>
        <w:tabs>
          <w:tab w:val="left" w:pos="720"/>
        </w:tabs>
        <w:rPr>
          <w:del w:id="12470" w:author="AbbVie2" w:date="2025-05-13T16:48:00Z"/>
          <w:sz w:val="22"/>
          <w:szCs w:val="22"/>
        </w:rPr>
      </w:pPr>
    </w:p>
    <w:p w14:paraId="2C58F9D7" w14:textId="692C7EE2"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471" w:author="AbbVie2" w:date="2025-05-13T16:48:00Z"/>
          <w:b/>
          <w:sz w:val="22"/>
          <w:szCs w:val="22"/>
          <w:u w:val="single"/>
        </w:rPr>
      </w:pPr>
      <w:del w:id="12472" w:author="AbbVie2" w:date="2025-05-13T16:48:00Z">
        <w:r w:rsidRPr="008912CF">
          <w:rPr>
            <w:b/>
            <w:sz w:val="22"/>
            <w:szCs w:val="22"/>
          </w:rPr>
          <w:delText>16.</w:delText>
        </w:r>
        <w:r w:rsidRPr="008912CF">
          <w:rPr>
            <w:b/>
            <w:sz w:val="22"/>
            <w:szCs w:val="22"/>
          </w:rPr>
          <w:tab/>
          <w:delText>INFORMAÇÃO EM BRAILLE</w:delText>
        </w:r>
      </w:del>
    </w:p>
    <w:p w14:paraId="6C756766" w14:textId="6B0CA3A1" w:rsidR="004462A0" w:rsidRPr="008912CF" w:rsidRDefault="004462A0" w:rsidP="004462A0">
      <w:pPr>
        <w:pStyle w:val="Heading3"/>
        <w:keepNext w:val="0"/>
        <w:spacing w:before="0" w:after="0" w:line="240" w:lineRule="auto"/>
        <w:rPr>
          <w:del w:id="12473" w:author="AbbVie2" w:date="2025-05-13T16:48:00Z"/>
          <w:b w:val="0"/>
          <w:sz w:val="22"/>
          <w:szCs w:val="22"/>
          <w:u w:val="single"/>
          <w:lang w:val="pt-PT"/>
        </w:rPr>
      </w:pPr>
    </w:p>
    <w:p w14:paraId="6F0C9A08" w14:textId="73C76B2C" w:rsidR="004462A0" w:rsidRDefault="00615769" w:rsidP="004462A0">
      <w:pPr>
        <w:pStyle w:val="Heading3"/>
        <w:keepNext w:val="0"/>
        <w:spacing w:before="0" w:after="0" w:line="240" w:lineRule="auto"/>
        <w:rPr>
          <w:del w:id="12474" w:author="AbbVie2" w:date="2025-05-13T16:48:00Z"/>
          <w:b w:val="0"/>
          <w:sz w:val="22"/>
          <w:szCs w:val="22"/>
          <w:lang w:val="pt-PT"/>
        </w:rPr>
      </w:pPr>
      <w:del w:id="12475" w:author="AbbVie2" w:date="2025-05-13T16:48:00Z">
        <w:r w:rsidRPr="008912CF">
          <w:rPr>
            <w:b w:val="0"/>
            <w:sz w:val="22"/>
            <w:szCs w:val="22"/>
            <w:lang w:val="pt-PT"/>
          </w:rPr>
          <w:delText>Humira 40 mg</w:delText>
        </w:r>
      </w:del>
    </w:p>
    <w:p w14:paraId="517E06FD" w14:textId="44676F2B" w:rsidR="004462A0" w:rsidRDefault="004462A0" w:rsidP="004462A0">
      <w:pPr>
        <w:pStyle w:val="Heading3"/>
        <w:keepNext w:val="0"/>
        <w:spacing w:before="0" w:after="0" w:line="240" w:lineRule="auto"/>
        <w:rPr>
          <w:del w:id="12476" w:author="AbbVie2" w:date="2025-05-13T16:48:00Z"/>
          <w:b w:val="0"/>
          <w:sz w:val="22"/>
          <w:szCs w:val="22"/>
          <w:lang w:val="pt-PT"/>
        </w:rPr>
      </w:pPr>
    </w:p>
    <w:p w14:paraId="6ADEE8E8" w14:textId="4F20ABF2" w:rsidR="004462A0" w:rsidRPr="00431557" w:rsidRDefault="004462A0" w:rsidP="004462A0">
      <w:pPr>
        <w:pStyle w:val="Heading3"/>
        <w:keepNext w:val="0"/>
        <w:spacing w:before="0" w:after="0" w:line="240" w:lineRule="auto"/>
        <w:rPr>
          <w:del w:id="12477" w:author="AbbVie2" w:date="2025-05-13T16:48:00Z"/>
          <w:b w:val="0"/>
          <w:sz w:val="22"/>
          <w:szCs w:val="22"/>
          <w:lang w:val="pt-PT"/>
        </w:rPr>
      </w:pPr>
    </w:p>
    <w:p w14:paraId="0499F3B0" w14:textId="5286E867" w:rsidR="004462A0" w:rsidRPr="00C25DF2" w:rsidRDefault="00615769" w:rsidP="004462A0">
      <w:pPr>
        <w:pBdr>
          <w:top w:val="single" w:sz="4" w:space="1" w:color="auto"/>
          <w:left w:val="single" w:sz="4" w:space="4" w:color="auto"/>
          <w:bottom w:val="single" w:sz="4" w:space="1" w:color="auto"/>
          <w:right w:val="single" w:sz="4" w:space="4" w:color="auto"/>
        </w:pBdr>
        <w:tabs>
          <w:tab w:val="left" w:pos="562"/>
        </w:tabs>
        <w:suppressAutoHyphens/>
        <w:rPr>
          <w:del w:id="12478" w:author="AbbVie2" w:date="2025-05-13T16:48:00Z"/>
          <w:b/>
          <w:bCs/>
          <w:caps/>
          <w:sz w:val="22"/>
          <w:szCs w:val="20"/>
        </w:rPr>
      </w:pPr>
      <w:del w:id="12479" w:author="AbbVie2" w:date="2025-05-13T16:48:00Z">
        <w:r w:rsidRPr="00FA69E8">
          <w:rPr>
            <w:b/>
            <w:bCs/>
            <w:caps/>
            <w:sz w:val="22"/>
            <w:szCs w:val="20"/>
          </w:rPr>
          <w:delText xml:space="preserve">17. </w:delText>
        </w:r>
        <w:r w:rsidRPr="00FA69E8">
          <w:rPr>
            <w:b/>
            <w:bCs/>
            <w:caps/>
            <w:sz w:val="22"/>
            <w:szCs w:val="20"/>
          </w:rPr>
          <w:tab/>
        </w:r>
        <w:r w:rsidRPr="00C25DF2">
          <w:rPr>
            <w:b/>
            <w:bCs/>
            <w:caps/>
            <w:sz w:val="22"/>
            <w:szCs w:val="20"/>
          </w:rPr>
          <w:delText xml:space="preserve">IDENTIFICADOR ÚNICO – CÓDIGO DE BARRAS 2D </w:delText>
        </w:r>
      </w:del>
    </w:p>
    <w:p w14:paraId="21264D87" w14:textId="1C8E9575" w:rsidR="004462A0" w:rsidRPr="00C25DF2" w:rsidRDefault="004462A0" w:rsidP="004462A0">
      <w:pPr>
        <w:tabs>
          <w:tab w:val="left" w:pos="562"/>
        </w:tabs>
        <w:suppressAutoHyphens/>
        <w:rPr>
          <w:del w:id="12480" w:author="AbbVie2" w:date="2025-05-13T16:48:00Z"/>
          <w:sz w:val="22"/>
        </w:rPr>
      </w:pPr>
    </w:p>
    <w:p w14:paraId="5578FC6C" w14:textId="50892D3E" w:rsidR="004462A0" w:rsidRPr="00C25DF2" w:rsidRDefault="00615769" w:rsidP="004462A0">
      <w:pPr>
        <w:tabs>
          <w:tab w:val="left" w:pos="562"/>
        </w:tabs>
        <w:suppressAutoHyphens/>
        <w:rPr>
          <w:del w:id="12481" w:author="AbbVie2" w:date="2025-05-13T16:48:00Z"/>
          <w:sz w:val="22"/>
          <w:shd w:val="clear" w:color="auto" w:fill="BFBFBF"/>
        </w:rPr>
      </w:pPr>
      <w:del w:id="12482" w:author="AbbVie2" w:date="2025-05-13T16:48:00Z">
        <w:r w:rsidRPr="00C25DF2">
          <w:rPr>
            <w:sz w:val="22"/>
            <w:shd w:val="clear" w:color="auto" w:fill="BFBFBF"/>
          </w:rPr>
          <w:delText xml:space="preserve">Código de barras 2D com identificador </w:delText>
        </w:r>
        <w:r>
          <w:rPr>
            <w:sz w:val="22"/>
            <w:shd w:val="clear" w:color="auto" w:fill="BFBFBF"/>
          </w:rPr>
          <w:delText>único incluído.</w:delText>
        </w:r>
      </w:del>
    </w:p>
    <w:p w14:paraId="1D78A6E9" w14:textId="3999903F" w:rsidR="004462A0" w:rsidRPr="00C25DF2" w:rsidRDefault="004462A0" w:rsidP="004462A0">
      <w:pPr>
        <w:tabs>
          <w:tab w:val="left" w:pos="562"/>
        </w:tabs>
        <w:suppressAutoHyphens/>
        <w:rPr>
          <w:del w:id="12483" w:author="AbbVie2" w:date="2025-05-13T16:48:00Z"/>
          <w:sz w:val="22"/>
          <w:shd w:val="clear" w:color="auto" w:fill="BFBFBF"/>
        </w:rPr>
      </w:pPr>
    </w:p>
    <w:p w14:paraId="38A7ECCC" w14:textId="533F89DE" w:rsidR="004462A0" w:rsidRPr="00C25DF2" w:rsidRDefault="004462A0" w:rsidP="004462A0">
      <w:pPr>
        <w:tabs>
          <w:tab w:val="left" w:pos="562"/>
        </w:tabs>
        <w:suppressAutoHyphens/>
        <w:rPr>
          <w:del w:id="12484" w:author="AbbVie2" w:date="2025-05-13T16:48:00Z"/>
          <w:sz w:val="22"/>
          <w:shd w:val="clear" w:color="auto" w:fill="BFBFBF"/>
        </w:rPr>
      </w:pPr>
    </w:p>
    <w:p w14:paraId="1D3411C6" w14:textId="0088139D" w:rsidR="004462A0" w:rsidRPr="00C25DF2" w:rsidRDefault="00615769" w:rsidP="004462A0">
      <w:pPr>
        <w:keepNext/>
        <w:pBdr>
          <w:top w:val="single" w:sz="4" w:space="1" w:color="auto"/>
          <w:left w:val="single" w:sz="4" w:space="4" w:color="auto"/>
          <w:bottom w:val="single" w:sz="4" w:space="1" w:color="auto"/>
          <w:right w:val="single" w:sz="4" w:space="4" w:color="auto"/>
        </w:pBdr>
        <w:tabs>
          <w:tab w:val="left" w:pos="562"/>
        </w:tabs>
        <w:suppressAutoHyphens/>
        <w:rPr>
          <w:del w:id="12485" w:author="AbbVie2" w:date="2025-05-13T16:48:00Z"/>
          <w:rFonts w:ascii="Times New Roman Bold" w:hAnsi="Times New Roman Bold"/>
          <w:caps/>
          <w:sz w:val="22"/>
          <w:szCs w:val="20"/>
        </w:rPr>
      </w:pPr>
      <w:del w:id="12486" w:author="AbbVie2" w:date="2025-05-13T16:48:00Z">
        <w:r w:rsidRPr="00C25DF2">
          <w:rPr>
            <w:b/>
            <w:bCs/>
            <w:caps/>
            <w:sz w:val="22"/>
            <w:szCs w:val="20"/>
          </w:rPr>
          <w:delText xml:space="preserve">18. </w:delText>
        </w:r>
        <w:r w:rsidRPr="00C25DF2">
          <w:rPr>
            <w:b/>
            <w:bCs/>
            <w:caps/>
            <w:sz w:val="22"/>
            <w:szCs w:val="20"/>
          </w:rPr>
          <w:tab/>
        </w:r>
        <w:r w:rsidRPr="00C25DF2">
          <w:rPr>
            <w:b/>
            <w:bCs/>
            <w:caps/>
            <w:sz w:val="22"/>
            <w:szCs w:val="20"/>
          </w:rPr>
          <w:delText>IDENTIFICADOR ÚNICO – DADOS PARA LEITURA HUMA</w:delText>
        </w:r>
        <w:r>
          <w:rPr>
            <w:b/>
            <w:bCs/>
            <w:caps/>
            <w:sz w:val="22"/>
            <w:szCs w:val="20"/>
          </w:rPr>
          <w:delText>NA</w:delText>
        </w:r>
      </w:del>
    </w:p>
    <w:p w14:paraId="719A8D3A" w14:textId="7F652C86" w:rsidR="004462A0" w:rsidRPr="00C25DF2" w:rsidRDefault="004462A0" w:rsidP="004462A0">
      <w:pPr>
        <w:keepNext/>
        <w:tabs>
          <w:tab w:val="left" w:pos="562"/>
        </w:tabs>
        <w:suppressAutoHyphens/>
        <w:ind w:left="540" w:hanging="540"/>
        <w:rPr>
          <w:del w:id="12487" w:author="AbbVie2" w:date="2025-05-13T16:48:00Z"/>
          <w:sz w:val="22"/>
        </w:rPr>
      </w:pPr>
    </w:p>
    <w:p w14:paraId="5128E208" w14:textId="68256D45" w:rsidR="004462A0" w:rsidRPr="00FA69E8" w:rsidRDefault="00615769" w:rsidP="004462A0">
      <w:pPr>
        <w:keepNext/>
        <w:tabs>
          <w:tab w:val="left" w:pos="562"/>
        </w:tabs>
        <w:suppressAutoHyphens/>
        <w:ind w:left="540" w:hanging="540"/>
        <w:rPr>
          <w:del w:id="12488" w:author="AbbVie2" w:date="2025-05-13T16:48:00Z"/>
          <w:sz w:val="22"/>
        </w:rPr>
      </w:pPr>
      <w:del w:id="12489" w:author="AbbVie2" w:date="2025-05-13T16:48:00Z">
        <w:r w:rsidRPr="00FA69E8">
          <w:rPr>
            <w:sz w:val="22"/>
          </w:rPr>
          <w:delText>PC</w:delText>
        </w:r>
      </w:del>
    </w:p>
    <w:p w14:paraId="28741F67" w14:textId="1F3E27F2" w:rsidR="004462A0" w:rsidRPr="00FA69E8" w:rsidRDefault="00615769" w:rsidP="004462A0">
      <w:pPr>
        <w:keepNext/>
        <w:tabs>
          <w:tab w:val="left" w:pos="562"/>
        </w:tabs>
        <w:suppressAutoHyphens/>
        <w:ind w:left="540" w:hanging="540"/>
        <w:rPr>
          <w:del w:id="12490" w:author="AbbVie2" w:date="2025-05-13T16:48:00Z"/>
          <w:sz w:val="22"/>
        </w:rPr>
      </w:pPr>
      <w:del w:id="12491" w:author="AbbVie2" w:date="2025-05-13T16:48:00Z">
        <w:r w:rsidRPr="00FA69E8">
          <w:rPr>
            <w:sz w:val="22"/>
          </w:rPr>
          <w:delText>SN</w:delText>
        </w:r>
      </w:del>
    </w:p>
    <w:p w14:paraId="09E58BBC" w14:textId="454C5ACF" w:rsidR="004462A0" w:rsidRPr="00FA69E8" w:rsidRDefault="00615769" w:rsidP="004462A0">
      <w:pPr>
        <w:keepNext/>
        <w:tabs>
          <w:tab w:val="left" w:pos="562"/>
        </w:tabs>
        <w:suppressAutoHyphens/>
        <w:ind w:left="540" w:hanging="540"/>
        <w:rPr>
          <w:del w:id="12492" w:author="AbbVie2" w:date="2025-05-13T16:48:00Z"/>
          <w:sz w:val="22"/>
        </w:rPr>
      </w:pPr>
      <w:del w:id="12493" w:author="AbbVie2" w:date="2025-05-13T16:48:00Z">
        <w:r w:rsidRPr="000F4BA0">
          <w:rPr>
            <w:sz w:val="22"/>
            <w:highlight w:val="lightGray"/>
          </w:rPr>
          <w:delText>NN</w:delText>
        </w:r>
      </w:del>
    </w:p>
    <w:p w14:paraId="462E728E" w14:textId="6AAAFC3C" w:rsidR="004462A0" w:rsidRPr="008912CF" w:rsidRDefault="00615769" w:rsidP="004462A0">
      <w:pPr>
        <w:pStyle w:val="Heading3"/>
        <w:keepNext w:val="0"/>
        <w:spacing w:before="0" w:after="0" w:line="240" w:lineRule="auto"/>
        <w:rPr>
          <w:del w:id="12494" w:author="AbbVie2" w:date="2025-05-13T16:48:00Z"/>
          <w:sz w:val="22"/>
          <w:szCs w:val="22"/>
          <w:lang w:val="pt-PT"/>
        </w:rPr>
      </w:pPr>
      <w:del w:id="12495" w:author="AbbVie2" w:date="2025-05-13T16:48:00Z">
        <w:r w:rsidRPr="008912CF">
          <w:rPr>
            <w:b w:val="0"/>
            <w:sz w:val="22"/>
            <w:szCs w:val="22"/>
            <w:lang w:val="pt-PT"/>
          </w:rPr>
          <w:br w:type="page"/>
        </w:r>
      </w:del>
    </w:p>
    <w:p w14:paraId="7EED8175" w14:textId="1BF733C5" w:rsidR="004462A0" w:rsidRPr="008912CF" w:rsidRDefault="00615769" w:rsidP="004462A0">
      <w:pPr>
        <w:pBdr>
          <w:top w:val="single" w:sz="4" w:space="1" w:color="auto"/>
          <w:left w:val="single" w:sz="4" w:space="4" w:color="auto"/>
          <w:bottom w:val="single" w:sz="4" w:space="1" w:color="auto"/>
          <w:right w:val="single" w:sz="4" w:space="4" w:color="auto"/>
        </w:pBdr>
        <w:tabs>
          <w:tab w:val="left" w:pos="567"/>
        </w:tabs>
        <w:rPr>
          <w:del w:id="12496" w:author="AbbVie2" w:date="2025-05-13T16:48:00Z"/>
          <w:b/>
          <w:sz w:val="22"/>
          <w:szCs w:val="22"/>
        </w:rPr>
      </w:pPr>
      <w:del w:id="12497" w:author="AbbVie2" w:date="2025-05-13T16:48:00Z">
        <w:r w:rsidRPr="008912CF">
          <w:rPr>
            <w:b/>
            <w:sz w:val="22"/>
            <w:szCs w:val="22"/>
          </w:rPr>
          <w:delText>INDICAÇÕES MÍNIMAS A INCLUIR NAS EMBALAGENS "BLISTER" OU FITAS CONTENTORAS</w:delText>
        </w:r>
      </w:del>
    </w:p>
    <w:p w14:paraId="788C5777" w14:textId="7589C1C3" w:rsidR="004462A0" w:rsidRPr="008912CF" w:rsidRDefault="004462A0" w:rsidP="004462A0">
      <w:pPr>
        <w:pBdr>
          <w:top w:val="single" w:sz="4" w:space="1" w:color="auto"/>
          <w:left w:val="single" w:sz="4" w:space="4" w:color="auto"/>
          <w:bottom w:val="single" w:sz="4" w:space="1" w:color="auto"/>
          <w:right w:val="single" w:sz="4" w:space="4" w:color="auto"/>
        </w:pBdr>
        <w:tabs>
          <w:tab w:val="left" w:pos="567"/>
        </w:tabs>
        <w:rPr>
          <w:del w:id="12498" w:author="AbbVie2" w:date="2025-05-13T16:48:00Z"/>
          <w:b/>
          <w:sz w:val="22"/>
          <w:szCs w:val="22"/>
        </w:rPr>
      </w:pPr>
    </w:p>
    <w:p w14:paraId="3B047B13" w14:textId="394CF812" w:rsidR="004462A0" w:rsidRPr="008912CF" w:rsidRDefault="00615769" w:rsidP="004462A0">
      <w:pPr>
        <w:pStyle w:val="Heading3"/>
        <w:keepNext w:val="0"/>
        <w:pBdr>
          <w:top w:val="single" w:sz="4" w:space="1" w:color="auto"/>
          <w:left w:val="single" w:sz="4" w:space="4" w:color="auto"/>
          <w:bottom w:val="single" w:sz="4" w:space="1" w:color="auto"/>
          <w:right w:val="single" w:sz="4" w:space="4" w:color="auto"/>
        </w:pBdr>
        <w:spacing w:before="0" w:after="0" w:line="240" w:lineRule="auto"/>
        <w:rPr>
          <w:del w:id="12499" w:author="AbbVie2" w:date="2025-05-13T16:48:00Z"/>
          <w:caps/>
          <w:sz w:val="22"/>
          <w:szCs w:val="22"/>
          <w:highlight w:val="lightGray"/>
          <w:lang w:val="pt-PT"/>
        </w:rPr>
      </w:pPr>
      <w:del w:id="12500" w:author="AbbVie2" w:date="2025-05-13T16:48:00Z">
        <w:r w:rsidRPr="008912CF">
          <w:rPr>
            <w:caps/>
            <w:sz w:val="22"/>
            <w:szCs w:val="22"/>
            <w:lang w:val="pt-PT"/>
          </w:rPr>
          <w:delText>Texto para o verso do tabuleiro</w:delText>
        </w:r>
      </w:del>
    </w:p>
    <w:p w14:paraId="35F251B5" w14:textId="58D5A859" w:rsidR="004462A0" w:rsidRPr="008912CF" w:rsidRDefault="004462A0" w:rsidP="004462A0">
      <w:pPr>
        <w:tabs>
          <w:tab w:val="left" w:pos="720"/>
        </w:tabs>
        <w:rPr>
          <w:del w:id="12501" w:author="AbbVie2" w:date="2025-05-13T16:48:00Z"/>
          <w:caps/>
          <w:sz w:val="22"/>
          <w:szCs w:val="22"/>
        </w:rPr>
      </w:pPr>
    </w:p>
    <w:p w14:paraId="2C35635F" w14:textId="17A8480F" w:rsidR="004462A0" w:rsidRPr="008912CF" w:rsidRDefault="004462A0" w:rsidP="004462A0">
      <w:pPr>
        <w:tabs>
          <w:tab w:val="left" w:pos="720"/>
        </w:tabs>
        <w:rPr>
          <w:del w:id="12502" w:author="AbbVie2" w:date="2025-05-13T16:48:00Z"/>
          <w:sz w:val="22"/>
          <w:szCs w:val="22"/>
        </w:rPr>
      </w:pPr>
    </w:p>
    <w:p w14:paraId="17320C74" w14:textId="3184D43E"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503" w:author="AbbVie2" w:date="2025-05-13T16:48:00Z"/>
          <w:sz w:val="22"/>
          <w:szCs w:val="22"/>
        </w:rPr>
      </w:pPr>
      <w:del w:id="12504" w:author="AbbVie2" w:date="2025-05-13T16:48:00Z">
        <w:r w:rsidRPr="008912CF">
          <w:rPr>
            <w:b/>
            <w:sz w:val="22"/>
            <w:szCs w:val="22"/>
          </w:rPr>
          <w:delText>1.</w:delText>
        </w:r>
        <w:r w:rsidRPr="008912CF">
          <w:rPr>
            <w:b/>
            <w:sz w:val="22"/>
            <w:szCs w:val="22"/>
          </w:rPr>
          <w:tab/>
          <w:delText>NOME DO MEDICAMENTO</w:delText>
        </w:r>
      </w:del>
    </w:p>
    <w:p w14:paraId="761488EB" w14:textId="4FCF1F72" w:rsidR="004462A0" w:rsidRPr="008912CF" w:rsidRDefault="004462A0" w:rsidP="004462A0">
      <w:pPr>
        <w:tabs>
          <w:tab w:val="left" w:pos="720"/>
        </w:tabs>
        <w:ind w:left="567" w:hanging="567"/>
        <w:rPr>
          <w:del w:id="12505" w:author="AbbVie2" w:date="2025-05-13T16:48:00Z"/>
          <w:sz w:val="22"/>
          <w:szCs w:val="22"/>
        </w:rPr>
      </w:pPr>
    </w:p>
    <w:p w14:paraId="0CD583DA" w14:textId="1BEFADE8" w:rsidR="004462A0" w:rsidRPr="008912CF" w:rsidRDefault="00615769" w:rsidP="004462A0">
      <w:pPr>
        <w:tabs>
          <w:tab w:val="left" w:pos="720"/>
        </w:tabs>
        <w:ind w:left="567" w:hanging="567"/>
        <w:rPr>
          <w:del w:id="12506" w:author="AbbVie2" w:date="2025-05-13T16:48:00Z"/>
          <w:sz w:val="22"/>
          <w:szCs w:val="22"/>
        </w:rPr>
      </w:pPr>
      <w:del w:id="12507" w:author="AbbVie2" w:date="2025-05-13T16:48:00Z">
        <w:r w:rsidRPr="008912CF">
          <w:rPr>
            <w:sz w:val="22"/>
            <w:szCs w:val="22"/>
          </w:rPr>
          <w:delText>Humira 40 mg solução injetável em caneta pré-cheia</w:delText>
        </w:r>
      </w:del>
    </w:p>
    <w:p w14:paraId="76300BFF" w14:textId="7F0D90B6" w:rsidR="004462A0" w:rsidRPr="008912CF" w:rsidRDefault="00615769" w:rsidP="004462A0">
      <w:pPr>
        <w:tabs>
          <w:tab w:val="left" w:pos="720"/>
        </w:tabs>
        <w:ind w:left="567" w:hanging="567"/>
        <w:rPr>
          <w:del w:id="12508" w:author="AbbVie2" w:date="2025-05-13T16:48:00Z"/>
          <w:sz w:val="22"/>
          <w:szCs w:val="22"/>
        </w:rPr>
      </w:pPr>
      <w:del w:id="12509" w:author="AbbVie2" w:date="2025-05-13T16:48:00Z">
        <w:r w:rsidRPr="008912CF">
          <w:rPr>
            <w:sz w:val="22"/>
            <w:szCs w:val="22"/>
          </w:rPr>
          <w:delText>adalimumab</w:delText>
        </w:r>
      </w:del>
    </w:p>
    <w:p w14:paraId="2C49329E" w14:textId="4675853C" w:rsidR="004462A0" w:rsidRPr="008912CF" w:rsidRDefault="004462A0" w:rsidP="004462A0">
      <w:pPr>
        <w:pStyle w:val="EndnoteText"/>
        <w:tabs>
          <w:tab w:val="clear" w:pos="567"/>
          <w:tab w:val="left" w:pos="720"/>
        </w:tabs>
        <w:rPr>
          <w:del w:id="12510" w:author="AbbVie2" w:date="2025-05-13T16:48:00Z"/>
          <w:szCs w:val="22"/>
        </w:rPr>
      </w:pPr>
    </w:p>
    <w:p w14:paraId="0F27B057" w14:textId="25853706" w:rsidR="004462A0" w:rsidRPr="008912CF" w:rsidRDefault="004462A0" w:rsidP="004462A0">
      <w:pPr>
        <w:tabs>
          <w:tab w:val="left" w:pos="720"/>
        </w:tabs>
        <w:rPr>
          <w:del w:id="12511" w:author="AbbVie2" w:date="2025-05-13T16:48:00Z"/>
          <w:sz w:val="22"/>
          <w:szCs w:val="22"/>
        </w:rPr>
      </w:pPr>
    </w:p>
    <w:p w14:paraId="00A4C463" w14:textId="4FCE36DC"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del w:id="12512" w:author="AbbVie2" w:date="2025-05-13T16:48:00Z"/>
          <w:b/>
          <w:sz w:val="22"/>
          <w:szCs w:val="22"/>
          <w:highlight w:val="lightGray"/>
        </w:rPr>
      </w:pPr>
      <w:del w:id="12513" w:author="AbbVie2" w:date="2025-05-13T16:48:00Z">
        <w:r w:rsidRPr="008912CF">
          <w:rPr>
            <w:b/>
            <w:sz w:val="22"/>
            <w:szCs w:val="22"/>
          </w:rPr>
          <w:delText>2.</w:delText>
        </w:r>
        <w:r w:rsidRPr="008912CF">
          <w:rPr>
            <w:b/>
            <w:sz w:val="22"/>
            <w:szCs w:val="22"/>
          </w:rPr>
          <w:tab/>
          <w:delText>NOME DO TITULAR DA AUTORIZAÇÃO DE INTRODUÇÃO NO MERCADO</w:delText>
        </w:r>
      </w:del>
    </w:p>
    <w:p w14:paraId="4C0EC814" w14:textId="351B85B8" w:rsidR="004462A0" w:rsidRPr="008912CF" w:rsidRDefault="004462A0" w:rsidP="004462A0">
      <w:pPr>
        <w:tabs>
          <w:tab w:val="left" w:pos="720"/>
        </w:tabs>
        <w:rPr>
          <w:del w:id="12514" w:author="AbbVie2" w:date="2025-05-13T16:48:00Z"/>
          <w:sz w:val="22"/>
          <w:szCs w:val="22"/>
        </w:rPr>
      </w:pPr>
    </w:p>
    <w:p w14:paraId="6E1E975B" w14:textId="15888A55" w:rsidR="004462A0" w:rsidRPr="008912CF" w:rsidRDefault="00615769" w:rsidP="004462A0">
      <w:pPr>
        <w:tabs>
          <w:tab w:val="left" w:pos="720"/>
        </w:tabs>
        <w:rPr>
          <w:del w:id="12515" w:author="AbbVie2" w:date="2025-05-13T16:48:00Z"/>
          <w:sz w:val="22"/>
          <w:szCs w:val="22"/>
        </w:rPr>
      </w:pPr>
      <w:del w:id="12516" w:author="AbbVie2" w:date="2025-05-13T16:48:00Z">
        <w:r w:rsidRPr="008912CF">
          <w:rPr>
            <w:sz w:val="22"/>
            <w:szCs w:val="22"/>
          </w:rPr>
          <w:delText xml:space="preserve">AbbVie </w:delText>
        </w:r>
        <w:r w:rsidR="006566C4" w:rsidRPr="0074724A">
          <w:rPr>
            <w:sz w:val="22"/>
            <w:szCs w:val="22"/>
            <w:highlight w:val="lightGray"/>
            <w:lang w:eastAsia="en-GB"/>
          </w:rPr>
          <w:delText>(como logo)</w:delText>
        </w:r>
      </w:del>
    </w:p>
    <w:p w14:paraId="26A17F89" w14:textId="322F8F22" w:rsidR="004462A0" w:rsidRPr="008912CF" w:rsidRDefault="004462A0" w:rsidP="004462A0">
      <w:pPr>
        <w:tabs>
          <w:tab w:val="left" w:pos="720"/>
        </w:tabs>
        <w:rPr>
          <w:del w:id="12517" w:author="AbbVie2" w:date="2025-05-13T16:48:00Z"/>
          <w:sz w:val="22"/>
          <w:szCs w:val="22"/>
        </w:rPr>
      </w:pPr>
    </w:p>
    <w:p w14:paraId="1CA67FD1" w14:textId="6592E44A" w:rsidR="004462A0" w:rsidRPr="008912CF" w:rsidRDefault="004462A0" w:rsidP="004462A0">
      <w:pPr>
        <w:pStyle w:val="EndnoteText"/>
        <w:tabs>
          <w:tab w:val="clear" w:pos="567"/>
          <w:tab w:val="left" w:pos="720"/>
        </w:tabs>
        <w:rPr>
          <w:del w:id="12518" w:author="AbbVie2" w:date="2025-05-13T16:48:00Z"/>
          <w:szCs w:val="22"/>
        </w:rPr>
      </w:pPr>
    </w:p>
    <w:p w14:paraId="3A822E9F" w14:textId="52A1B6A8"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del w:id="12519" w:author="AbbVie2" w:date="2025-05-13T16:48:00Z"/>
          <w:b/>
          <w:sz w:val="22"/>
          <w:szCs w:val="22"/>
          <w:highlight w:val="lightGray"/>
        </w:rPr>
      </w:pPr>
      <w:del w:id="12520" w:author="AbbVie2" w:date="2025-05-13T16:48:00Z">
        <w:r w:rsidRPr="008912CF">
          <w:rPr>
            <w:b/>
            <w:sz w:val="22"/>
            <w:szCs w:val="22"/>
          </w:rPr>
          <w:delText>3.</w:delText>
        </w:r>
        <w:r w:rsidRPr="008912CF">
          <w:rPr>
            <w:b/>
            <w:sz w:val="22"/>
            <w:szCs w:val="22"/>
          </w:rPr>
          <w:tab/>
          <w:delText>PRAZO DE VALIDADE</w:delText>
        </w:r>
      </w:del>
    </w:p>
    <w:p w14:paraId="2F435E5B" w14:textId="20E93B20" w:rsidR="004462A0" w:rsidRPr="008912CF" w:rsidRDefault="004462A0" w:rsidP="004462A0">
      <w:pPr>
        <w:tabs>
          <w:tab w:val="left" w:pos="720"/>
        </w:tabs>
        <w:rPr>
          <w:del w:id="12521" w:author="AbbVie2" w:date="2025-05-13T16:48:00Z"/>
          <w:sz w:val="22"/>
          <w:szCs w:val="22"/>
        </w:rPr>
      </w:pPr>
    </w:p>
    <w:p w14:paraId="4687A5AB" w14:textId="1A2CFC7E" w:rsidR="004462A0" w:rsidRPr="008912CF" w:rsidRDefault="00615769" w:rsidP="004462A0">
      <w:pPr>
        <w:tabs>
          <w:tab w:val="left" w:pos="720"/>
        </w:tabs>
        <w:rPr>
          <w:del w:id="12522" w:author="AbbVie2" w:date="2025-05-13T16:48:00Z"/>
          <w:sz w:val="22"/>
          <w:szCs w:val="22"/>
        </w:rPr>
      </w:pPr>
      <w:del w:id="12523" w:author="AbbVie2" w:date="2025-05-13T16:48:00Z">
        <w:r>
          <w:rPr>
            <w:sz w:val="22"/>
            <w:szCs w:val="22"/>
          </w:rPr>
          <w:delText>EXP</w:delText>
        </w:r>
      </w:del>
    </w:p>
    <w:p w14:paraId="5CEB7E71" w14:textId="4ADF382D" w:rsidR="004462A0" w:rsidRPr="008912CF" w:rsidRDefault="004462A0" w:rsidP="004462A0">
      <w:pPr>
        <w:tabs>
          <w:tab w:val="left" w:pos="720"/>
        </w:tabs>
        <w:rPr>
          <w:del w:id="12524" w:author="AbbVie2" w:date="2025-05-13T16:48:00Z"/>
          <w:sz w:val="22"/>
          <w:szCs w:val="22"/>
        </w:rPr>
      </w:pPr>
    </w:p>
    <w:p w14:paraId="515E8F6A" w14:textId="707AFE58" w:rsidR="004462A0" w:rsidRPr="008912CF" w:rsidRDefault="004462A0" w:rsidP="004462A0">
      <w:pPr>
        <w:tabs>
          <w:tab w:val="left" w:pos="720"/>
        </w:tabs>
        <w:rPr>
          <w:del w:id="12525" w:author="AbbVie2" w:date="2025-05-13T16:48:00Z"/>
          <w:sz w:val="22"/>
          <w:szCs w:val="22"/>
        </w:rPr>
      </w:pPr>
    </w:p>
    <w:p w14:paraId="33B0B199" w14:textId="3B2382BB"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526" w:author="AbbVie2" w:date="2025-05-13T16:48:00Z"/>
          <w:b/>
          <w:sz w:val="22"/>
          <w:szCs w:val="22"/>
          <w:highlight w:val="lightGray"/>
        </w:rPr>
      </w:pPr>
      <w:del w:id="12527" w:author="AbbVie2" w:date="2025-05-13T16:48:00Z">
        <w:r w:rsidRPr="008912CF">
          <w:rPr>
            <w:b/>
            <w:sz w:val="22"/>
            <w:szCs w:val="22"/>
          </w:rPr>
          <w:delText>4.</w:delText>
        </w:r>
        <w:r w:rsidRPr="008912CF">
          <w:rPr>
            <w:b/>
            <w:sz w:val="22"/>
            <w:szCs w:val="22"/>
          </w:rPr>
          <w:tab/>
          <w:delText>NÚMERO DO LOTE</w:delText>
        </w:r>
      </w:del>
    </w:p>
    <w:p w14:paraId="1C99F720" w14:textId="5C5B20AA" w:rsidR="004462A0" w:rsidRPr="008912CF" w:rsidRDefault="004462A0" w:rsidP="004462A0">
      <w:pPr>
        <w:tabs>
          <w:tab w:val="left" w:pos="720"/>
        </w:tabs>
        <w:rPr>
          <w:del w:id="12528" w:author="AbbVie2" w:date="2025-05-13T16:48:00Z"/>
          <w:sz w:val="22"/>
          <w:szCs w:val="22"/>
        </w:rPr>
      </w:pPr>
    </w:p>
    <w:p w14:paraId="59AA5779" w14:textId="556B0546" w:rsidR="004462A0" w:rsidRPr="008912CF" w:rsidRDefault="00615769" w:rsidP="004462A0">
      <w:pPr>
        <w:tabs>
          <w:tab w:val="left" w:pos="720"/>
        </w:tabs>
        <w:rPr>
          <w:del w:id="12529" w:author="AbbVie2" w:date="2025-05-13T16:48:00Z"/>
          <w:sz w:val="22"/>
          <w:szCs w:val="22"/>
        </w:rPr>
      </w:pPr>
      <w:del w:id="12530" w:author="AbbVie2" w:date="2025-05-13T16:48:00Z">
        <w:r w:rsidRPr="008912CF">
          <w:rPr>
            <w:sz w:val="22"/>
            <w:szCs w:val="22"/>
          </w:rPr>
          <w:delText>Lote</w:delText>
        </w:r>
      </w:del>
    </w:p>
    <w:p w14:paraId="76EA966B" w14:textId="05B63F20" w:rsidR="004462A0" w:rsidRPr="00431557" w:rsidRDefault="004462A0" w:rsidP="004462A0">
      <w:pPr>
        <w:shd w:val="clear" w:color="auto" w:fill="FFFFFF"/>
        <w:tabs>
          <w:tab w:val="left" w:pos="720"/>
        </w:tabs>
        <w:rPr>
          <w:del w:id="12531" w:author="AbbVie2" w:date="2025-05-13T16:48:00Z"/>
          <w:sz w:val="22"/>
          <w:szCs w:val="22"/>
        </w:rPr>
      </w:pPr>
    </w:p>
    <w:p w14:paraId="2099826E" w14:textId="3BA0694B" w:rsidR="004462A0" w:rsidRPr="00431557" w:rsidRDefault="004462A0" w:rsidP="004462A0">
      <w:pPr>
        <w:shd w:val="clear" w:color="auto" w:fill="FFFFFF"/>
        <w:tabs>
          <w:tab w:val="left" w:pos="720"/>
        </w:tabs>
        <w:rPr>
          <w:del w:id="12532" w:author="AbbVie2" w:date="2025-05-13T16:48:00Z"/>
          <w:sz w:val="22"/>
          <w:szCs w:val="22"/>
        </w:rPr>
      </w:pPr>
    </w:p>
    <w:p w14:paraId="3C2D7DAB" w14:textId="124D9F5A"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533" w:author="AbbVie2" w:date="2025-05-13T16:48:00Z"/>
          <w:b/>
          <w:sz w:val="22"/>
          <w:szCs w:val="22"/>
          <w:highlight w:val="lightGray"/>
        </w:rPr>
      </w:pPr>
      <w:del w:id="12534" w:author="AbbVie2" w:date="2025-05-13T16:48:00Z">
        <w:r w:rsidRPr="008912CF">
          <w:rPr>
            <w:b/>
            <w:sz w:val="22"/>
            <w:szCs w:val="22"/>
          </w:rPr>
          <w:delText>5.</w:delText>
        </w:r>
        <w:r w:rsidRPr="008912CF">
          <w:rPr>
            <w:b/>
            <w:sz w:val="22"/>
            <w:szCs w:val="22"/>
          </w:rPr>
          <w:tab/>
          <w:delText>OUTR</w:delText>
        </w:r>
        <w:r>
          <w:rPr>
            <w:b/>
            <w:sz w:val="22"/>
            <w:szCs w:val="22"/>
          </w:rPr>
          <w:delText>O</w:delText>
        </w:r>
        <w:r w:rsidRPr="008912CF">
          <w:rPr>
            <w:b/>
            <w:sz w:val="22"/>
            <w:szCs w:val="22"/>
          </w:rPr>
          <w:delText>S</w:delText>
        </w:r>
      </w:del>
    </w:p>
    <w:p w14:paraId="383ADC71" w14:textId="46E6F618" w:rsidR="004462A0" w:rsidRPr="008912CF" w:rsidRDefault="004462A0" w:rsidP="004462A0">
      <w:pPr>
        <w:shd w:val="clear" w:color="auto" w:fill="FFFFFF"/>
        <w:tabs>
          <w:tab w:val="left" w:pos="720"/>
        </w:tabs>
        <w:rPr>
          <w:del w:id="12535" w:author="AbbVie2" w:date="2025-05-13T16:48:00Z"/>
          <w:sz w:val="22"/>
          <w:szCs w:val="22"/>
        </w:rPr>
      </w:pPr>
    </w:p>
    <w:p w14:paraId="4527B44A" w14:textId="193F1829" w:rsidR="004462A0" w:rsidRPr="008912CF" w:rsidRDefault="00615769" w:rsidP="004462A0">
      <w:pPr>
        <w:shd w:val="clear" w:color="auto" w:fill="FFFFFF"/>
        <w:tabs>
          <w:tab w:val="left" w:pos="720"/>
        </w:tabs>
        <w:rPr>
          <w:del w:id="12536" w:author="AbbVie2" w:date="2025-05-13T16:48:00Z"/>
          <w:sz w:val="22"/>
          <w:szCs w:val="22"/>
        </w:rPr>
      </w:pPr>
      <w:del w:id="12537" w:author="AbbVie2" w:date="2025-05-13T16:48:00Z">
        <w:r w:rsidRPr="008912CF">
          <w:rPr>
            <w:sz w:val="22"/>
            <w:szCs w:val="22"/>
          </w:rPr>
          <w:delText>Para informação de conservação, ver folheto informativo.</w:delText>
        </w:r>
      </w:del>
    </w:p>
    <w:p w14:paraId="1F3C6189" w14:textId="248E935F" w:rsidR="004462A0" w:rsidRPr="008912CF" w:rsidRDefault="004462A0" w:rsidP="004462A0">
      <w:pPr>
        <w:shd w:val="clear" w:color="auto" w:fill="FFFFFF"/>
        <w:tabs>
          <w:tab w:val="left" w:pos="720"/>
        </w:tabs>
        <w:rPr>
          <w:del w:id="12538" w:author="AbbVie2" w:date="2025-05-13T16:48:00Z"/>
          <w:sz w:val="22"/>
          <w:szCs w:val="22"/>
        </w:rPr>
      </w:pPr>
    </w:p>
    <w:p w14:paraId="6A7698C3" w14:textId="01500C05" w:rsidR="004462A0" w:rsidRPr="008912CF" w:rsidRDefault="00615769" w:rsidP="004462A0">
      <w:pPr>
        <w:tabs>
          <w:tab w:val="left" w:pos="720"/>
        </w:tabs>
        <w:rPr>
          <w:del w:id="12539" w:author="AbbVie2" w:date="2025-05-13T16:48:00Z"/>
          <w:sz w:val="22"/>
          <w:szCs w:val="22"/>
        </w:rPr>
      </w:pPr>
      <w:del w:id="12540" w:author="AbbVie2" w:date="2025-05-13T16:48:00Z">
        <w:r w:rsidRPr="008912CF">
          <w:rPr>
            <w:sz w:val="22"/>
            <w:szCs w:val="22"/>
          </w:rPr>
          <w:delText>Apenas para uma única utilização</w:delText>
        </w:r>
        <w:r w:rsidR="008256D9">
          <w:rPr>
            <w:sz w:val="22"/>
            <w:szCs w:val="22"/>
          </w:rPr>
          <w:delText>.</w:delText>
        </w:r>
        <w:r w:rsidRPr="008912CF">
          <w:rPr>
            <w:sz w:val="22"/>
            <w:szCs w:val="22"/>
          </w:rPr>
          <w:br w:type="page"/>
        </w:r>
      </w:del>
    </w:p>
    <w:p w14:paraId="62CF626E" w14:textId="03A557B5" w:rsidR="004462A0" w:rsidRPr="00431557" w:rsidRDefault="00615769" w:rsidP="004462A0">
      <w:pPr>
        <w:pBdr>
          <w:top w:val="single" w:sz="4" w:space="1" w:color="auto"/>
          <w:left w:val="single" w:sz="4" w:space="1" w:color="auto"/>
          <w:bottom w:val="single" w:sz="4" w:space="0" w:color="auto"/>
          <w:right w:val="single" w:sz="4" w:space="1" w:color="auto"/>
        </w:pBdr>
        <w:tabs>
          <w:tab w:val="left" w:pos="567"/>
        </w:tabs>
        <w:rPr>
          <w:del w:id="12541" w:author="AbbVie2" w:date="2025-05-13T16:48:00Z"/>
          <w:sz w:val="22"/>
          <w:szCs w:val="22"/>
        </w:rPr>
      </w:pPr>
      <w:del w:id="12542" w:author="AbbVie2" w:date="2025-05-13T16:48:00Z">
        <w:r w:rsidRPr="008912CF">
          <w:rPr>
            <w:b/>
            <w:sz w:val="22"/>
            <w:szCs w:val="22"/>
          </w:rPr>
          <w:delText>INDICAÇÕES MÍNIMAS A INCLUIR EM PEQUENAS UNIDADES DE ACONDICIONAMENTO PRIMÁRIO</w:delText>
        </w:r>
      </w:del>
    </w:p>
    <w:p w14:paraId="48FFFDE3" w14:textId="792266BC" w:rsidR="004462A0" w:rsidRPr="00431557" w:rsidRDefault="004462A0" w:rsidP="004462A0">
      <w:pPr>
        <w:pBdr>
          <w:top w:val="single" w:sz="4" w:space="1" w:color="auto"/>
          <w:left w:val="single" w:sz="4" w:space="1" w:color="auto"/>
          <w:bottom w:val="single" w:sz="4" w:space="0" w:color="auto"/>
          <w:right w:val="single" w:sz="4" w:space="1" w:color="auto"/>
        </w:pBdr>
        <w:tabs>
          <w:tab w:val="left" w:pos="567"/>
        </w:tabs>
        <w:rPr>
          <w:del w:id="12543" w:author="AbbVie2" w:date="2025-05-13T16:48:00Z"/>
          <w:sz w:val="22"/>
          <w:szCs w:val="22"/>
        </w:rPr>
      </w:pPr>
    </w:p>
    <w:p w14:paraId="1FBBC4D5" w14:textId="2EC24B48" w:rsidR="004462A0" w:rsidRPr="00431557" w:rsidRDefault="00615769" w:rsidP="004462A0">
      <w:pPr>
        <w:pStyle w:val="Heading1"/>
        <w:keepNext w:val="0"/>
        <w:pBdr>
          <w:left w:val="single" w:sz="4" w:space="1" w:color="auto"/>
          <w:bottom w:val="single" w:sz="4" w:space="0" w:color="auto"/>
          <w:right w:val="single" w:sz="4" w:space="1" w:color="auto"/>
        </w:pBdr>
        <w:rPr>
          <w:del w:id="12544" w:author="AbbVie2" w:date="2025-05-13T16:48:00Z"/>
          <w:b w:val="0"/>
          <w:bCs w:val="0"/>
          <w:caps/>
          <w:szCs w:val="22"/>
        </w:rPr>
      </w:pPr>
      <w:del w:id="12545" w:author="AbbVie2" w:date="2025-05-13T16:48:00Z">
        <w:r w:rsidRPr="008912CF">
          <w:rPr>
            <w:bCs w:val="0"/>
            <w:caps/>
            <w:szCs w:val="22"/>
          </w:rPr>
          <w:delText>Rótulo dA CANETA</w:delText>
        </w:r>
      </w:del>
    </w:p>
    <w:p w14:paraId="017AF148" w14:textId="6ECEE637" w:rsidR="004462A0" w:rsidRPr="008912CF" w:rsidRDefault="004462A0" w:rsidP="004462A0">
      <w:pPr>
        <w:pStyle w:val="Index1"/>
        <w:spacing w:line="240" w:lineRule="auto"/>
        <w:rPr>
          <w:del w:id="12546" w:author="AbbVie2" w:date="2025-05-13T16:48:00Z"/>
          <w:szCs w:val="22"/>
          <w:lang w:val="pt-PT"/>
        </w:rPr>
      </w:pPr>
    </w:p>
    <w:p w14:paraId="6486F8B9" w14:textId="1262BCC0" w:rsidR="004462A0" w:rsidRPr="00431557" w:rsidRDefault="004462A0" w:rsidP="004462A0">
      <w:pPr>
        <w:tabs>
          <w:tab w:val="left" w:pos="720"/>
        </w:tabs>
        <w:rPr>
          <w:del w:id="12547" w:author="AbbVie2" w:date="2025-05-13T16:48:00Z"/>
          <w:sz w:val="22"/>
          <w:szCs w:val="22"/>
        </w:rPr>
      </w:pPr>
    </w:p>
    <w:p w14:paraId="2900B96F" w14:textId="273AD0A4"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548" w:author="AbbVie2" w:date="2025-05-13T16:48:00Z"/>
          <w:b/>
          <w:sz w:val="22"/>
          <w:szCs w:val="22"/>
          <w:highlight w:val="lightGray"/>
        </w:rPr>
      </w:pPr>
      <w:del w:id="12549" w:author="AbbVie2" w:date="2025-05-13T16:48:00Z">
        <w:r w:rsidRPr="008912CF">
          <w:rPr>
            <w:b/>
            <w:sz w:val="22"/>
            <w:szCs w:val="22"/>
          </w:rPr>
          <w:delText>1.</w:delText>
        </w:r>
        <w:r w:rsidRPr="008912CF">
          <w:rPr>
            <w:b/>
            <w:sz w:val="22"/>
            <w:szCs w:val="22"/>
          </w:rPr>
          <w:tab/>
        </w:r>
        <w:r w:rsidRPr="008912CF">
          <w:rPr>
            <w:b/>
            <w:sz w:val="22"/>
            <w:szCs w:val="22"/>
          </w:rPr>
          <w:delText>NOME DO MEDICAMENTO E VIA DE ADMINISTRAÇÃO</w:delText>
        </w:r>
      </w:del>
    </w:p>
    <w:p w14:paraId="1BD6AFAB" w14:textId="1662EC43" w:rsidR="004462A0" w:rsidRPr="008912CF" w:rsidRDefault="004462A0" w:rsidP="004462A0">
      <w:pPr>
        <w:tabs>
          <w:tab w:val="left" w:pos="720"/>
        </w:tabs>
        <w:rPr>
          <w:del w:id="12550" w:author="AbbVie2" w:date="2025-05-13T16:48:00Z"/>
          <w:sz w:val="22"/>
          <w:szCs w:val="22"/>
        </w:rPr>
      </w:pPr>
    </w:p>
    <w:p w14:paraId="161DEC85" w14:textId="037DCBED" w:rsidR="004462A0" w:rsidRPr="008912CF" w:rsidRDefault="00615769" w:rsidP="004462A0">
      <w:pPr>
        <w:tabs>
          <w:tab w:val="left" w:pos="720"/>
        </w:tabs>
        <w:rPr>
          <w:del w:id="12551" w:author="AbbVie2" w:date="2025-05-13T16:48:00Z"/>
          <w:sz w:val="22"/>
          <w:szCs w:val="22"/>
        </w:rPr>
      </w:pPr>
      <w:del w:id="12552" w:author="AbbVie2" w:date="2025-05-13T16:48:00Z">
        <w:r w:rsidRPr="008912CF">
          <w:rPr>
            <w:sz w:val="22"/>
            <w:szCs w:val="22"/>
          </w:rPr>
          <w:delText>Humira 40 mg solução injetável</w:delText>
        </w:r>
      </w:del>
    </w:p>
    <w:p w14:paraId="1507630A" w14:textId="381A988E" w:rsidR="004462A0" w:rsidRPr="008912CF" w:rsidRDefault="00615769" w:rsidP="004462A0">
      <w:pPr>
        <w:pStyle w:val="EndnoteText"/>
        <w:tabs>
          <w:tab w:val="clear" w:pos="567"/>
          <w:tab w:val="left" w:pos="720"/>
        </w:tabs>
        <w:rPr>
          <w:del w:id="12553" w:author="AbbVie2" w:date="2025-05-13T16:48:00Z"/>
          <w:szCs w:val="22"/>
        </w:rPr>
      </w:pPr>
      <w:del w:id="12554" w:author="AbbVie2" w:date="2025-05-13T16:48:00Z">
        <w:r w:rsidRPr="008912CF">
          <w:rPr>
            <w:szCs w:val="22"/>
          </w:rPr>
          <w:delText>adalimumab</w:delText>
        </w:r>
      </w:del>
    </w:p>
    <w:p w14:paraId="576F3D5D" w14:textId="1C6BD454" w:rsidR="004462A0" w:rsidRPr="008912CF" w:rsidRDefault="00615769" w:rsidP="004462A0">
      <w:pPr>
        <w:pStyle w:val="EndnoteText"/>
        <w:tabs>
          <w:tab w:val="clear" w:pos="567"/>
          <w:tab w:val="left" w:pos="720"/>
        </w:tabs>
        <w:rPr>
          <w:del w:id="12555" w:author="AbbVie2" w:date="2025-05-13T16:48:00Z"/>
          <w:szCs w:val="22"/>
        </w:rPr>
      </w:pPr>
      <w:del w:id="12556" w:author="AbbVie2" w:date="2025-05-13T16:48:00Z">
        <w:r>
          <w:rPr>
            <w:szCs w:val="22"/>
          </w:rPr>
          <w:delText>SC</w:delText>
        </w:r>
      </w:del>
    </w:p>
    <w:p w14:paraId="6192049B" w14:textId="6FBD4CCA" w:rsidR="004462A0" w:rsidRPr="008912CF" w:rsidRDefault="004462A0" w:rsidP="004462A0">
      <w:pPr>
        <w:tabs>
          <w:tab w:val="left" w:pos="720"/>
        </w:tabs>
        <w:rPr>
          <w:del w:id="12557" w:author="AbbVie2" w:date="2025-05-13T16:48:00Z"/>
          <w:bCs/>
          <w:sz w:val="22"/>
          <w:szCs w:val="22"/>
        </w:rPr>
      </w:pPr>
    </w:p>
    <w:p w14:paraId="39C796C2" w14:textId="4C37DD04" w:rsidR="004462A0" w:rsidRPr="008912CF" w:rsidRDefault="004462A0" w:rsidP="004462A0">
      <w:pPr>
        <w:tabs>
          <w:tab w:val="left" w:pos="720"/>
        </w:tabs>
        <w:rPr>
          <w:del w:id="12558" w:author="AbbVie2" w:date="2025-05-13T16:48:00Z"/>
          <w:bCs/>
          <w:sz w:val="22"/>
          <w:szCs w:val="22"/>
        </w:rPr>
      </w:pPr>
    </w:p>
    <w:p w14:paraId="38EF7242" w14:textId="6568EE0E"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del w:id="12559" w:author="AbbVie2" w:date="2025-05-13T16:48:00Z"/>
          <w:b/>
          <w:sz w:val="22"/>
          <w:szCs w:val="22"/>
          <w:highlight w:val="lightGray"/>
        </w:rPr>
      </w:pPr>
      <w:del w:id="12560" w:author="AbbVie2" w:date="2025-05-13T16:48:00Z">
        <w:r w:rsidRPr="008912CF">
          <w:rPr>
            <w:b/>
            <w:sz w:val="22"/>
            <w:szCs w:val="22"/>
          </w:rPr>
          <w:delText>2.</w:delText>
        </w:r>
        <w:r w:rsidRPr="008912CF">
          <w:rPr>
            <w:b/>
            <w:sz w:val="22"/>
            <w:szCs w:val="22"/>
          </w:rPr>
          <w:tab/>
          <w:delText>MODO DE ADMINISTRAÇÃO</w:delText>
        </w:r>
      </w:del>
    </w:p>
    <w:p w14:paraId="54FF2963" w14:textId="05818AF2" w:rsidR="004462A0" w:rsidRPr="008912CF" w:rsidRDefault="004462A0" w:rsidP="004462A0">
      <w:pPr>
        <w:pStyle w:val="IndexHeading"/>
        <w:tabs>
          <w:tab w:val="clear" w:pos="567"/>
          <w:tab w:val="left" w:pos="720"/>
        </w:tabs>
        <w:spacing w:line="240" w:lineRule="auto"/>
        <w:rPr>
          <w:del w:id="12561" w:author="AbbVie2" w:date="2025-05-13T16:48:00Z"/>
          <w:rFonts w:ascii="Times New Roman" w:hAnsi="Times New Roman"/>
          <w:b w:val="0"/>
          <w:bCs/>
          <w:szCs w:val="22"/>
          <w:lang w:val="pt-PT"/>
        </w:rPr>
      </w:pPr>
    </w:p>
    <w:p w14:paraId="5BE3ABE1" w14:textId="55BC230E" w:rsidR="004462A0" w:rsidRPr="008912CF" w:rsidRDefault="004462A0" w:rsidP="004462A0">
      <w:pPr>
        <w:pStyle w:val="EndnoteText"/>
        <w:tabs>
          <w:tab w:val="clear" w:pos="567"/>
          <w:tab w:val="left" w:pos="720"/>
        </w:tabs>
        <w:rPr>
          <w:del w:id="12562" w:author="AbbVie2" w:date="2025-05-13T16:48:00Z"/>
          <w:bCs/>
          <w:szCs w:val="22"/>
        </w:rPr>
      </w:pPr>
    </w:p>
    <w:p w14:paraId="4845CCAD" w14:textId="7C5AAC48"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563" w:author="AbbVie2" w:date="2025-05-13T16:48:00Z"/>
          <w:b/>
          <w:sz w:val="22"/>
          <w:szCs w:val="22"/>
          <w:highlight w:val="lightGray"/>
        </w:rPr>
      </w:pPr>
      <w:del w:id="12564" w:author="AbbVie2" w:date="2025-05-13T16:48:00Z">
        <w:r w:rsidRPr="008912CF">
          <w:rPr>
            <w:b/>
            <w:sz w:val="22"/>
            <w:szCs w:val="22"/>
          </w:rPr>
          <w:delText>3.</w:delText>
        </w:r>
        <w:r w:rsidRPr="008912CF">
          <w:rPr>
            <w:b/>
            <w:sz w:val="22"/>
            <w:szCs w:val="22"/>
          </w:rPr>
          <w:tab/>
          <w:delText>PRAZO DE VALIDADE</w:delText>
        </w:r>
      </w:del>
    </w:p>
    <w:p w14:paraId="38C9DEF1" w14:textId="3D9044B6" w:rsidR="004462A0" w:rsidRPr="008912CF" w:rsidRDefault="004462A0" w:rsidP="004462A0">
      <w:pPr>
        <w:pStyle w:val="EndnoteText"/>
        <w:tabs>
          <w:tab w:val="clear" w:pos="567"/>
          <w:tab w:val="left" w:pos="720"/>
        </w:tabs>
        <w:rPr>
          <w:del w:id="12565" w:author="AbbVie2" w:date="2025-05-13T16:48:00Z"/>
          <w:szCs w:val="22"/>
        </w:rPr>
      </w:pPr>
    </w:p>
    <w:p w14:paraId="337A9214" w14:textId="348200D4" w:rsidR="004462A0" w:rsidRPr="008912CF" w:rsidRDefault="00615769" w:rsidP="004462A0">
      <w:pPr>
        <w:tabs>
          <w:tab w:val="left" w:pos="720"/>
        </w:tabs>
        <w:rPr>
          <w:del w:id="12566" w:author="AbbVie2" w:date="2025-05-13T16:48:00Z"/>
          <w:sz w:val="22"/>
          <w:szCs w:val="22"/>
        </w:rPr>
      </w:pPr>
      <w:del w:id="12567" w:author="AbbVie2" w:date="2025-05-13T16:48:00Z">
        <w:r>
          <w:rPr>
            <w:sz w:val="22"/>
            <w:szCs w:val="22"/>
          </w:rPr>
          <w:delText>EXP</w:delText>
        </w:r>
        <w:r w:rsidRPr="008912CF">
          <w:rPr>
            <w:sz w:val="22"/>
            <w:szCs w:val="22"/>
          </w:rPr>
          <w:delText xml:space="preserve"> </w:delText>
        </w:r>
      </w:del>
    </w:p>
    <w:p w14:paraId="0042CA88" w14:textId="7A6691E4" w:rsidR="004462A0" w:rsidRPr="008912CF" w:rsidRDefault="004462A0" w:rsidP="004462A0">
      <w:pPr>
        <w:tabs>
          <w:tab w:val="left" w:pos="720"/>
        </w:tabs>
        <w:rPr>
          <w:del w:id="12568" w:author="AbbVie2" w:date="2025-05-13T16:48:00Z"/>
          <w:bCs/>
          <w:sz w:val="22"/>
          <w:szCs w:val="22"/>
        </w:rPr>
      </w:pPr>
    </w:p>
    <w:p w14:paraId="1D607EE7" w14:textId="4BF7CB1B" w:rsidR="004462A0" w:rsidRPr="008912CF" w:rsidRDefault="004462A0" w:rsidP="004462A0">
      <w:pPr>
        <w:tabs>
          <w:tab w:val="left" w:pos="720"/>
        </w:tabs>
        <w:rPr>
          <w:del w:id="12569" w:author="AbbVie2" w:date="2025-05-13T16:48:00Z"/>
          <w:bCs/>
          <w:sz w:val="22"/>
          <w:szCs w:val="22"/>
        </w:rPr>
      </w:pPr>
    </w:p>
    <w:p w14:paraId="19F11FF1" w14:textId="7D7508D1"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570" w:author="AbbVie2" w:date="2025-05-13T16:48:00Z"/>
          <w:b/>
          <w:sz w:val="22"/>
          <w:szCs w:val="22"/>
          <w:highlight w:val="lightGray"/>
        </w:rPr>
      </w:pPr>
      <w:del w:id="12571" w:author="AbbVie2" w:date="2025-05-13T16:48:00Z">
        <w:r w:rsidRPr="008912CF">
          <w:rPr>
            <w:b/>
            <w:sz w:val="22"/>
            <w:szCs w:val="22"/>
          </w:rPr>
          <w:delText>4.</w:delText>
        </w:r>
        <w:r w:rsidRPr="008912CF">
          <w:rPr>
            <w:b/>
            <w:sz w:val="22"/>
            <w:szCs w:val="22"/>
          </w:rPr>
          <w:tab/>
          <w:delText>NÚMERO DO LOTE</w:delText>
        </w:r>
      </w:del>
    </w:p>
    <w:p w14:paraId="52630F01" w14:textId="0DE0479E" w:rsidR="004462A0" w:rsidRPr="008912CF" w:rsidRDefault="004462A0" w:rsidP="004462A0">
      <w:pPr>
        <w:pStyle w:val="EndnoteText"/>
        <w:tabs>
          <w:tab w:val="clear" w:pos="567"/>
          <w:tab w:val="left" w:pos="720"/>
        </w:tabs>
        <w:rPr>
          <w:del w:id="12572" w:author="AbbVie2" w:date="2025-05-13T16:48:00Z"/>
          <w:szCs w:val="22"/>
        </w:rPr>
      </w:pPr>
    </w:p>
    <w:p w14:paraId="3D438AE1" w14:textId="52F0E1F9" w:rsidR="004462A0" w:rsidRPr="008912CF" w:rsidRDefault="00615769" w:rsidP="004462A0">
      <w:pPr>
        <w:tabs>
          <w:tab w:val="left" w:pos="720"/>
        </w:tabs>
        <w:rPr>
          <w:del w:id="12573" w:author="AbbVie2" w:date="2025-05-13T16:48:00Z"/>
          <w:sz w:val="22"/>
          <w:szCs w:val="22"/>
        </w:rPr>
      </w:pPr>
      <w:del w:id="12574" w:author="AbbVie2" w:date="2025-05-13T16:48:00Z">
        <w:r w:rsidRPr="008912CF">
          <w:rPr>
            <w:sz w:val="22"/>
            <w:szCs w:val="22"/>
          </w:rPr>
          <w:delText>Lote</w:delText>
        </w:r>
      </w:del>
    </w:p>
    <w:p w14:paraId="6333BAB2" w14:textId="7E19F4C8" w:rsidR="004462A0" w:rsidRPr="008912CF" w:rsidRDefault="004462A0" w:rsidP="004462A0">
      <w:pPr>
        <w:tabs>
          <w:tab w:val="left" w:pos="720"/>
        </w:tabs>
        <w:ind w:right="113"/>
        <w:rPr>
          <w:del w:id="12575" w:author="AbbVie2" w:date="2025-05-13T16:48:00Z"/>
          <w:sz w:val="22"/>
          <w:szCs w:val="22"/>
          <w:highlight w:val="lightGray"/>
        </w:rPr>
      </w:pPr>
    </w:p>
    <w:p w14:paraId="528E1A27" w14:textId="44D08901" w:rsidR="004462A0" w:rsidRPr="008912CF" w:rsidRDefault="004462A0" w:rsidP="004462A0">
      <w:pPr>
        <w:tabs>
          <w:tab w:val="left" w:pos="720"/>
        </w:tabs>
        <w:ind w:right="113"/>
        <w:rPr>
          <w:del w:id="12576" w:author="AbbVie2" w:date="2025-05-13T16:48:00Z"/>
          <w:sz w:val="22"/>
          <w:szCs w:val="22"/>
          <w:highlight w:val="lightGray"/>
        </w:rPr>
      </w:pPr>
    </w:p>
    <w:p w14:paraId="308E1BB1" w14:textId="0EB44454"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577" w:author="AbbVie2" w:date="2025-05-13T16:48:00Z"/>
          <w:b/>
          <w:sz w:val="22"/>
          <w:szCs w:val="22"/>
          <w:highlight w:val="lightGray"/>
        </w:rPr>
      </w:pPr>
      <w:del w:id="12578" w:author="AbbVie2" w:date="2025-05-13T16:48:00Z">
        <w:r w:rsidRPr="008912CF">
          <w:rPr>
            <w:b/>
            <w:sz w:val="22"/>
            <w:szCs w:val="22"/>
          </w:rPr>
          <w:delText>5.</w:delText>
        </w:r>
        <w:r w:rsidRPr="008912CF">
          <w:rPr>
            <w:b/>
            <w:sz w:val="22"/>
            <w:szCs w:val="22"/>
          </w:rPr>
          <w:tab/>
          <w:delText>CONTEÚDO EM PESO, VOLUME OU UNIDADE</w:delText>
        </w:r>
      </w:del>
    </w:p>
    <w:p w14:paraId="56C920C1" w14:textId="34ADF9F2" w:rsidR="004462A0" w:rsidRPr="008912CF" w:rsidRDefault="004462A0" w:rsidP="004462A0">
      <w:pPr>
        <w:tabs>
          <w:tab w:val="left" w:pos="720"/>
        </w:tabs>
        <w:rPr>
          <w:del w:id="12579" w:author="AbbVie2" w:date="2025-05-13T16:48:00Z"/>
          <w:sz w:val="22"/>
          <w:szCs w:val="22"/>
        </w:rPr>
      </w:pPr>
    </w:p>
    <w:p w14:paraId="7CFA6294" w14:textId="5A9D2935" w:rsidR="004462A0" w:rsidRPr="008912CF" w:rsidRDefault="00615769" w:rsidP="004462A0">
      <w:pPr>
        <w:pStyle w:val="EndnoteText"/>
        <w:tabs>
          <w:tab w:val="clear" w:pos="567"/>
        </w:tabs>
        <w:rPr>
          <w:del w:id="12580" w:author="AbbVie2" w:date="2025-05-13T16:48:00Z"/>
          <w:szCs w:val="22"/>
        </w:rPr>
      </w:pPr>
      <w:del w:id="12581" w:author="AbbVie2" w:date="2025-05-13T16:48:00Z">
        <w:r w:rsidRPr="008912CF">
          <w:rPr>
            <w:szCs w:val="22"/>
          </w:rPr>
          <w:delText>40 mg/0,8 ml</w:delText>
        </w:r>
      </w:del>
    </w:p>
    <w:p w14:paraId="2CA4B922" w14:textId="5A42B69C" w:rsidR="004462A0" w:rsidRPr="008912CF" w:rsidRDefault="004462A0" w:rsidP="004462A0">
      <w:pPr>
        <w:rPr>
          <w:del w:id="12582" w:author="AbbVie2" w:date="2025-05-13T16:48:00Z"/>
          <w:sz w:val="22"/>
          <w:szCs w:val="22"/>
        </w:rPr>
      </w:pPr>
    </w:p>
    <w:p w14:paraId="465F2072" w14:textId="4C646F24" w:rsidR="004462A0" w:rsidRPr="008912CF" w:rsidRDefault="004462A0" w:rsidP="004462A0">
      <w:pPr>
        <w:rPr>
          <w:del w:id="12583" w:author="AbbVie2" w:date="2025-05-13T16:48:00Z"/>
          <w:sz w:val="22"/>
          <w:szCs w:val="22"/>
        </w:rPr>
      </w:pPr>
    </w:p>
    <w:p w14:paraId="4A6CA01D" w14:textId="497B5815"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2584" w:author="AbbVie2" w:date="2025-05-13T16:48:00Z"/>
          <w:b/>
          <w:sz w:val="22"/>
          <w:szCs w:val="22"/>
          <w:highlight w:val="lightGray"/>
        </w:rPr>
      </w:pPr>
      <w:del w:id="12585" w:author="AbbVie2" w:date="2025-05-13T16:48:00Z">
        <w:r w:rsidRPr="008912CF">
          <w:rPr>
            <w:b/>
            <w:sz w:val="22"/>
            <w:szCs w:val="22"/>
          </w:rPr>
          <w:delText>6.</w:delText>
        </w:r>
        <w:r w:rsidRPr="008912CF">
          <w:rPr>
            <w:b/>
            <w:sz w:val="22"/>
            <w:szCs w:val="22"/>
          </w:rPr>
          <w:tab/>
          <w:delText>OUTR</w:delText>
        </w:r>
        <w:r>
          <w:rPr>
            <w:b/>
            <w:sz w:val="22"/>
            <w:szCs w:val="22"/>
          </w:rPr>
          <w:delText>O</w:delText>
        </w:r>
        <w:r w:rsidRPr="008912CF">
          <w:rPr>
            <w:b/>
            <w:sz w:val="22"/>
            <w:szCs w:val="22"/>
          </w:rPr>
          <w:delText>S</w:delText>
        </w:r>
      </w:del>
    </w:p>
    <w:p w14:paraId="44474530" w14:textId="3C13CBAF" w:rsidR="004462A0" w:rsidRPr="008912CF" w:rsidRDefault="00615769" w:rsidP="004462A0">
      <w:pPr>
        <w:rPr>
          <w:del w:id="12586" w:author="AbbVie2" w:date="2025-05-13T16:48:00Z"/>
          <w:sz w:val="22"/>
          <w:szCs w:val="22"/>
        </w:rPr>
      </w:pPr>
      <w:del w:id="12587" w:author="AbbVie2" w:date="2025-05-13T16:48:00Z">
        <w:r w:rsidRPr="008912CF">
          <w:rPr>
            <w:sz w:val="22"/>
            <w:szCs w:val="22"/>
          </w:rPr>
          <w:br w:type="page"/>
        </w:r>
      </w:del>
    </w:p>
    <w:p w14:paraId="7D36154E" w14:textId="77777777" w:rsidR="004462A0" w:rsidRPr="008912CF" w:rsidRDefault="00615769" w:rsidP="004462A0">
      <w:pPr>
        <w:pBdr>
          <w:top w:val="single" w:sz="4" w:space="1" w:color="auto"/>
          <w:left w:val="single" w:sz="4" w:space="4" w:color="auto"/>
          <w:bottom w:val="single" w:sz="4" w:space="2" w:color="auto"/>
          <w:right w:val="single" w:sz="4" w:space="4" w:color="auto"/>
        </w:pBdr>
        <w:tabs>
          <w:tab w:val="left" w:pos="567"/>
        </w:tabs>
        <w:rPr>
          <w:b/>
          <w:bCs/>
          <w:i/>
          <w:iCs/>
          <w:sz w:val="22"/>
          <w:szCs w:val="22"/>
        </w:rPr>
      </w:pPr>
      <w:r w:rsidRPr="008912CF">
        <w:rPr>
          <w:b/>
          <w:sz w:val="22"/>
          <w:szCs w:val="22"/>
        </w:rPr>
        <w:t>INDICAÇÕES A INCLUIR NO ACONDICIONAMENTO SECUNDÁRIO</w:t>
      </w:r>
    </w:p>
    <w:p w14:paraId="1EDC4D7F" w14:textId="77777777" w:rsidR="004462A0" w:rsidRPr="008912CF" w:rsidRDefault="004462A0" w:rsidP="004462A0">
      <w:pPr>
        <w:pStyle w:val="Heading1"/>
        <w:keepNext w:val="0"/>
        <w:pBdr>
          <w:bottom w:val="single" w:sz="4" w:space="2" w:color="auto"/>
        </w:pBdr>
        <w:rPr>
          <w:caps/>
          <w:szCs w:val="22"/>
        </w:rPr>
      </w:pPr>
    </w:p>
    <w:p w14:paraId="0495B3DE" w14:textId="77777777" w:rsidR="004462A0" w:rsidRPr="008912CF" w:rsidRDefault="00615769" w:rsidP="004462A0">
      <w:pPr>
        <w:pStyle w:val="Heading1"/>
        <w:keepNext w:val="0"/>
        <w:pBdr>
          <w:bottom w:val="single" w:sz="4" w:space="2" w:color="auto"/>
        </w:pBdr>
        <w:rPr>
          <w:caps/>
          <w:szCs w:val="22"/>
        </w:rPr>
      </w:pPr>
      <w:r w:rsidRPr="008912CF">
        <w:rPr>
          <w:caps/>
          <w:szCs w:val="22"/>
        </w:rPr>
        <w:t xml:space="preserve">Embalagem exterior </w:t>
      </w:r>
    </w:p>
    <w:p w14:paraId="7E21FDFF" w14:textId="77777777" w:rsidR="004462A0" w:rsidRPr="008912CF" w:rsidRDefault="004462A0" w:rsidP="004462A0">
      <w:pPr>
        <w:tabs>
          <w:tab w:val="left" w:pos="567"/>
        </w:tabs>
        <w:rPr>
          <w:b/>
          <w:sz w:val="22"/>
          <w:szCs w:val="22"/>
        </w:rPr>
      </w:pPr>
    </w:p>
    <w:p w14:paraId="791A223C" w14:textId="77777777" w:rsidR="004462A0" w:rsidRPr="008912CF" w:rsidRDefault="004462A0" w:rsidP="004462A0">
      <w:pPr>
        <w:tabs>
          <w:tab w:val="left" w:pos="567"/>
        </w:tabs>
        <w:rPr>
          <w:b/>
          <w:sz w:val="22"/>
          <w:szCs w:val="22"/>
        </w:rPr>
      </w:pPr>
    </w:p>
    <w:p w14:paraId="7AA048B6"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rPr>
      </w:pPr>
      <w:r w:rsidRPr="008912CF">
        <w:rPr>
          <w:b/>
          <w:sz w:val="22"/>
          <w:szCs w:val="22"/>
        </w:rPr>
        <w:t>1.</w:t>
      </w:r>
      <w:r w:rsidRPr="008912CF">
        <w:rPr>
          <w:b/>
          <w:sz w:val="22"/>
          <w:szCs w:val="22"/>
        </w:rPr>
        <w:tab/>
        <w:t>NOME DO MEDICAMENTO</w:t>
      </w:r>
    </w:p>
    <w:p w14:paraId="72126420" w14:textId="77777777" w:rsidR="004462A0" w:rsidRPr="008912CF" w:rsidRDefault="004462A0" w:rsidP="004462A0">
      <w:pPr>
        <w:tabs>
          <w:tab w:val="left" w:pos="720"/>
        </w:tabs>
        <w:rPr>
          <w:sz w:val="22"/>
          <w:szCs w:val="22"/>
        </w:rPr>
      </w:pPr>
    </w:p>
    <w:p w14:paraId="46982320" w14:textId="77777777" w:rsidR="004462A0" w:rsidRPr="008912CF" w:rsidRDefault="00615769" w:rsidP="004462A0">
      <w:pPr>
        <w:tabs>
          <w:tab w:val="left" w:pos="720"/>
        </w:tabs>
        <w:rPr>
          <w:sz w:val="22"/>
          <w:szCs w:val="22"/>
        </w:rPr>
      </w:pPr>
      <w:r w:rsidRPr="008912CF">
        <w:rPr>
          <w:sz w:val="22"/>
          <w:szCs w:val="22"/>
        </w:rPr>
        <w:t>Humira 40 mg solução injetável em seringa pré-cheia</w:t>
      </w:r>
    </w:p>
    <w:p w14:paraId="55885412" w14:textId="77777777" w:rsidR="004462A0" w:rsidRPr="008912CF" w:rsidRDefault="00615769" w:rsidP="004462A0">
      <w:pPr>
        <w:pStyle w:val="EndnoteText"/>
        <w:tabs>
          <w:tab w:val="clear" w:pos="567"/>
          <w:tab w:val="left" w:pos="720"/>
        </w:tabs>
        <w:rPr>
          <w:szCs w:val="22"/>
        </w:rPr>
      </w:pPr>
      <w:r w:rsidRPr="008912CF">
        <w:rPr>
          <w:szCs w:val="22"/>
        </w:rPr>
        <w:t>adalimumab</w:t>
      </w:r>
    </w:p>
    <w:p w14:paraId="6A0E2162" w14:textId="77777777" w:rsidR="004462A0" w:rsidRPr="008912CF" w:rsidRDefault="004462A0" w:rsidP="004462A0">
      <w:pPr>
        <w:tabs>
          <w:tab w:val="left" w:pos="720"/>
        </w:tabs>
        <w:rPr>
          <w:sz w:val="22"/>
          <w:szCs w:val="22"/>
        </w:rPr>
      </w:pPr>
    </w:p>
    <w:p w14:paraId="3B23AD8E" w14:textId="77777777" w:rsidR="004462A0" w:rsidRPr="008912CF" w:rsidRDefault="004462A0" w:rsidP="004462A0">
      <w:pPr>
        <w:tabs>
          <w:tab w:val="left" w:pos="720"/>
        </w:tabs>
        <w:rPr>
          <w:sz w:val="22"/>
          <w:szCs w:val="22"/>
        </w:rPr>
      </w:pPr>
    </w:p>
    <w:p w14:paraId="62C5EB36"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2.</w:t>
      </w:r>
      <w:r w:rsidRPr="008912CF">
        <w:rPr>
          <w:b/>
          <w:sz w:val="22"/>
          <w:szCs w:val="22"/>
        </w:rPr>
        <w:tab/>
        <w:t>DESCRIÇÃO DA SUBSTÂNCIA ATIVA</w:t>
      </w:r>
    </w:p>
    <w:p w14:paraId="5DDD7385" w14:textId="77777777" w:rsidR="004462A0" w:rsidRPr="008912CF" w:rsidRDefault="004462A0" w:rsidP="004462A0">
      <w:pPr>
        <w:tabs>
          <w:tab w:val="left" w:pos="720"/>
        </w:tabs>
        <w:rPr>
          <w:sz w:val="22"/>
          <w:szCs w:val="22"/>
        </w:rPr>
      </w:pPr>
    </w:p>
    <w:p w14:paraId="13A5ADA7" w14:textId="77777777" w:rsidR="004462A0" w:rsidRPr="008912CF" w:rsidRDefault="00615769" w:rsidP="004462A0">
      <w:pPr>
        <w:tabs>
          <w:tab w:val="left" w:pos="720"/>
        </w:tabs>
        <w:rPr>
          <w:sz w:val="22"/>
          <w:szCs w:val="22"/>
        </w:rPr>
      </w:pPr>
      <w:r w:rsidRPr="008912CF">
        <w:rPr>
          <w:sz w:val="22"/>
          <w:szCs w:val="22"/>
        </w:rPr>
        <w:t>Uma seringa pré-cheia de 0,4 ml contém 40 mg de adalimumab</w:t>
      </w:r>
      <w:r w:rsidR="00800A92">
        <w:rPr>
          <w:sz w:val="22"/>
          <w:szCs w:val="22"/>
        </w:rPr>
        <w:t>.</w:t>
      </w:r>
    </w:p>
    <w:p w14:paraId="5603AE91" w14:textId="77777777" w:rsidR="004462A0" w:rsidRPr="008912CF" w:rsidRDefault="004462A0" w:rsidP="004462A0">
      <w:pPr>
        <w:tabs>
          <w:tab w:val="left" w:pos="720"/>
        </w:tabs>
        <w:rPr>
          <w:sz w:val="22"/>
          <w:szCs w:val="22"/>
        </w:rPr>
      </w:pPr>
    </w:p>
    <w:p w14:paraId="664CD4C7" w14:textId="77777777" w:rsidR="004462A0" w:rsidRPr="008912CF" w:rsidRDefault="004462A0" w:rsidP="004462A0">
      <w:pPr>
        <w:tabs>
          <w:tab w:val="left" w:pos="720"/>
        </w:tabs>
        <w:rPr>
          <w:sz w:val="22"/>
          <w:szCs w:val="22"/>
        </w:rPr>
      </w:pPr>
    </w:p>
    <w:p w14:paraId="2C8BC9E9" w14:textId="77777777" w:rsidR="004462A0" w:rsidRPr="008912CF" w:rsidRDefault="00615769" w:rsidP="004462A0">
      <w:pPr>
        <w:pBdr>
          <w:top w:val="single" w:sz="4" w:space="1" w:color="auto"/>
          <w:left w:val="single" w:sz="4" w:space="4" w:color="auto"/>
          <w:bottom w:val="single" w:sz="4" w:space="2"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3.</w:t>
      </w:r>
      <w:r w:rsidRPr="008912CF">
        <w:rPr>
          <w:b/>
          <w:sz w:val="22"/>
          <w:szCs w:val="22"/>
        </w:rPr>
        <w:tab/>
        <w:t>LISTA DOS EXCIPIENTES</w:t>
      </w:r>
    </w:p>
    <w:p w14:paraId="09CDAD8A" w14:textId="77777777" w:rsidR="004462A0" w:rsidRPr="008912CF" w:rsidRDefault="004462A0" w:rsidP="004462A0">
      <w:pPr>
        <w:tabs>
          <w:tab w:val="left" w:pos="720"/>
        </w:tabs>
        <w:rPr>
          <w:sz w:val="22"/>
          <w:szCs w:val="22"/>
        </w:rPr>
      </w:pPr>
    </w:p>
    <w:p w14:paraId="32873BF5" w14:textId="77777777" w:rsidR="004462A0" w:rsidRPr="008912CF" w:rsidRDefault="00615769" w:rsidP="004462A0">
      <w:pPr>
        <w:tabs>
          <w:tab w:val="left" w:pos="720"/>
        </w:tabs>
        <w:rPr>
          <w:sz w:val="22"/>
          <w:szCs w:val="22"/>
        </w:rPr>
      </w:pPr>
      <w:r w:rsidRPr="008912CF">
        <w:rPr>
          <w:sz w:val="22"/>
          <w:szCs w:val="22"/>
        </w:rPr>
        <w:t>Excipientes: manitol, polissorbato 80, e água para preparações injetáveis. Consultar folheto informativo para informação adicional.</w:t>
      </w:r>
    </w:p>
    <w:p w14:paraId="09140205" w14:textId="77777777" w:rsidR="004462A0" w:rsidRPr="008912CF" w:rsidRDefault="004462A0" w:rsidP="004462A0">
      <w:pPr>
        <w:tabs>
          <w:tab w:val="left" w:pos="720"/>
        </w:tabs>
        <w:rPr>
          <w:sz w:val="22"/>
          <w:szCs w:val="22"/>
        </w:rPr>
      </w:pPr>
    </w:p>
    <w:p w14:paraId="5F9E2F63" w14:textId="77777777" w:rsidR="004462A0" w:rsidRPr="008912CF" w:rsidRDefault="004462A0" w:rsidP="004462A0">
      <w:pPr>
        <w:tabs>
          <w:tab w:val="left" w:pos="720"/>
        </w:tabs>
        <w:rPr>
          <w:sz w:val="22"/>
          <w:szCs w:val="22"/>
        </w:rPr>
      </w:pPr>
    </w:p>
    <w:p w14:paraId="528CE44C"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4.</w:t>
      </w:r>
      <w:r w:rsidRPr="008912CF">
        <w:rPr>
          <w:b/>
          <w:sz w:val="22"/>
          <w:szCs w:val="22"/>
        </w:rPr>
        <w:tab/>
        <w:t>FORMA FARMACÊUTICA E CONTEÚDO</w:t>
      </w:r>
    </w:p>
    <w:p w14:paraId="021F10B4" w14:textId="77777777" w:rsidR="004462A0" w:rsidRPr="008912CF" w:rsidRDefault="004462A0" w:rsidP="004462A0">
      <w:pPr>
        <w:tabs>
          <w:tab w:val="left" w:pos="720"/>
        </w:tabs>
        <w:rPr>
          <w:sz w:val="22"/>
          <w:szCs w:val="22"/>
        </w:rPr>
      </w:pPr>
    </w:p>
    <w:p w14:paraId="7CD07BBD" w14:textId="77777777" w:rsidR="002112C5" w:rsidRPr="002112C5" w:rsidRDefault="00615769" w:rsidP="004462A0">
      <w:pPr>
        <w:tabs>
          <w:tab w:val="left" w:pos="720"/>
        </w:tabs>
        <w:rPr>
          <w:sz w:val="22"/>
          <w:szCs w:val="22"/>
          <w:shd w:val="pct15" w:color="auto" w:fill="FFFFFF"/>
        </w:rPr>
      </w:pPr>
      <w:r w:rsidRPr="002112C5">
        <w:rPr>
          <w:sz w:val="22"/>
          <w:szCs w:val="22"/>
          <w:shd w:val="pct15" w:color="auto" w:fill="FFFFFF"/>
        </w:rPr>
        <w:t>Solução injetável</w:t>
      </w:r>
    </w:p>
    <w:p w14:paraId="65280443" w14:textId="77777777" w:rsidR="004462A0" w:rsidRPr="008912CF" w:rsidRDefault="00615769" w:rsidP="004462A0">
      <w:pPr>
        <w:tabs>
          <w:tab w:val="left" w:pos="720"/>
        </w:tabs>
        <w:rPr>
          <w:sz w:val="22"/>
          <w:szCs w:val="22"/>
        </w:rPr>
      </w:pPr>
      <w:r w:rsidRPr="008912CF">
        <w:rPr>
          <w:sz w:val="22"/>
          <w:szCs w:val="22"/>
        </w:rPr>
        <w:t xml:space="preserve">1 seringa pré-cheia </w:t>
      </w:r>
    </w:p>
    <w:p w14:paraId="4B385FD2" w14:textId="77777777" w:rsidR="004462A0" w:rsidRPr="008912CF" w:rsidRDefault="00615769" w:rsidP="004462A0">
      <w:pPr>
        <w:tabs>
          <w:tab w:val="left" w:pos="720"/>
        </w:tabs>
        <w:rPr>
          <w:i/>
          <w:sz w:val="22"/>
          <w:szCs w:val="22"/>
        </w:rPr>
      </w:pPr>
      <w:r w:rsidRPr="008912CF">
        <w:rPr>
          <w:sz w:val="22"/>
          <w:szCs w:val="22"/>
        </w:rPr>
        <w:t>1 compressa embebida em álcool</w:t>
      </w:r>
    </w:p>
    <w:p w14:paraId="4CC0E131" w14:textId="77777777" w:rsidR="008256D9" w:rsidRDefault="008256D9" w:rsidP="008256D9">
      <w:pPr>
        <w:tabs>
          <w:tab w:val="left" w:pos="720"/>
        </w:tabs>
        <w:rPr>
          <w:sz w:val="22"/>
          <w:szCs w:val="22"/>
        </w:rPr>
      </w:pPr>
    </w:p>
    <w:p w14:paraId="1E8BEFD7" w14:textId="77777777" w:rsidR="008256D9" w:rsidRPr="002112C5" w:rsidRDefault="00615769" w:rsidP="008256D9">
      <w:pPr>
        <w:tabs>
          <w:tab w:val="left" w:pos="720"/>
        </w:tabs>
        <w:rPr>
          <w:sz w:val="22"/>
          <w:szCs w:val="22"/>
          <w:shd w:val="pct15" w:color="auto" w:fill="FFFFFF"/>
        </w:rPr>
      </w:pPr>
      <w:r w:rsidRPr="002112C5">
        <w:rPr>
          <w:sz w:val="22"/>
          <w:szCs w:val="22"/>
          <w:shd w:val="pct15" w:color="auto" w:fill="FFFFFF"/>
        </w:rPr>
        <w:t xml:space="preserve">2 seringas pré-cheias </w:t>
      </w:r>
    </w:p>
    <w:p w14:paraId="797CD92D" w14:textId="77777777" w:rsidR="008256D9" w:rsidRPr="002112C5" w:rsidRDefault="00615769" w:rsidP="008256D9">
      <w:pPr>
        <w:tabs>
          <w:tab w:val="left" w:pos="720"/>
        </w:tabs>
        <w:rPr>
          <w:sz w:val="22"/>
          <w:szCs w:val="22"/>
          <w:shd w:val="pct15" w:color="auto" w:fill="FFFFFF"/>
        </w:rPr>
      </w:pPr>
      <w:r w:rsidRPr="002112C5">
        <w:rPr>
          <w:sz w:val="22"/>
          <w:szCs w:val="22"/>
          <w:shd w:val="pct15" w:color="auto" w:fill="FFFFFF"/>
        </w:rPr>
        <w:t>2 compressas embebidas em álcool</w:t>
      </w:r>
    </w:p>
    <w:p w14:paraId="45A49DE4" w14:textId="77777777" w:rsidR="008256D9" w:rsidRPr="002112C5" w:rsidRDefault="008256D9" w:rsidP="008256D9">
      <w:pPr>
        <w:tabs>
          <w:tab w:val="left" w:pos="720"/>
        </w:tabs>
        <w:rPr>
          <w:sz w:val="22"/>
          <w:szCs w:val="22"/>
          <w:shd w:val="pct15" w:color="auto" w:fill="FFFFFF"/>
        </w:rPr>
      </w:pPr>
    </w:p>
    <w:p w14:paraId="574A081F" w14:textId="77777777" w:rsidR="008256D9" w:rsidRPr="002112C5" w:rsidRDefault="00615769" w:rsidP="008256D9">
      <w:pPr>
        <w:tabs>
          <w:tab w:val="left" w:pos="720"/>
        </w:tabs>
        <w:rPr>
          <w:sz w:val="22"/>
          <w:szCs w:val="22"/>
          <w:shd w:val="pct15" w:color="auto" w:fill="FFFFFF"/>
        </w:rPr>
      </w:pPr>
      <w:r w:rsidRPr="002112C5">
        <w:rPr>
          <w:sz w:val="22"/>
          <w:szCs w:val="22"/>
          <w:shd w:val="pct15" w:color="auto" w:fill="FFFFFF"/>
        </w:rPr>
        <w:t xml:space="preserve">4 seringas pré-cheias </w:t>
      </w:r>
    </w:p>
    <w:p w14:paraId="4E26745D" w14:textId="77777777" w:rsidR="008256D9" w:rsidRPr="002112C5" w:rsidRDefault="00615769" w:rsidP="008256D9">
      <w:pPr>
        <w:tabs>
          <w:tab w:val="left" w:pos="720"/>
        </w:tabs>
        <w:rPr>
          <w:sz w:val="22"/>
          <w:szCs w:val="22"/>
          <w:shd w:val="pct15" w:color="auto" w:fill="FFFFFF"/>
        </w:rPr>
      </w:pPr>
      <w:r w:rsidRPr="002112C5">
        <w:rPr>
          <w:sz w:val="22"/>
          <w:szCs w:val="22"/>
          <w:shd w:val="pct15" w:color="auto" w:fill="FFFFFF"/>
        </w:rPr>
        <w:t>4 compressas embebidas em álcool</w:t>
      </w:r>
    </w:p>
    <w:p w14:paraId="344AEB3A" w14:textId="77777777" w:rsidR="008256D9" w:rsidRPr="002112C5" w:rsidRDefault="008256D9" w:rsidP="008256D9">
      <w:pPr>
        <w:tabs>
          <w:tab w:val="left" w:pos="720"/>
        </w:tabs>
        <w:rPr>
          <w:sz w:val="22"/>
          <w:szCs w:val="22"/>
          <w:shd w:val="pct15" w:color="auto" w:fill="FFFFFF"/>
        </w:rPr>
      </w:pPr>
    </w:p>
    <w:p w14:paraId="392EE8F0" w14:textId="77777777" w:rsidR="008256D9" w:rsidRPr="002112C5" w:rsidRDefault="00615769" w:rsidP="008256D9">
      <w:pPr>
        <w:tabs>
          <w:tab w:val="left" w:pos="720"/>
        </w:tabs>
        <w:rPr>
          <w:sz w:val="22"/>
          <w:szCs w:val="22"/>
          <w:shd w:val="pct15" w:color="auto" w:fill="FFFFFF"/>
        </w:rPr>
      </w:pPr>
      <w:r w:rsidRPr="002112C5">
        <w:rPr>
          <w:sz w:val="22"/>
          <w:szCs w:val="22"/>
          <w:shd w:val="pct15" w:color="auto" w:fill="FFFFFF"/>
        </w:rPr>
        <w:t xml:space="preserve">6 seringas pré-cheias </w:t>
      </w:r>
    </w:p>
    <w:p w14:paraId="57AB02FF" w14:textId="77777777" w:rsidR="008256D9" w:rsidRPr="002112C5" w:rsidRDefault="00615769" w:rsidP="008256D9">
      <w:pPr>
        <w:tabs>
          <w:tab w:val="left" w:pos="720"/>
        </w:tabs>
        <w:rPr>
          <w:sz w:val="22"/>
          <w:szCs w:val="22"/>
          <w:shd w:val="pct15" w:color="auto" w:fill="FFFFFF"/>
        </w:rPr>
      </w:pPr>
      <w:r w:rsidRPr="002112C5">
        <w:rPr>
          <w:sz w:val="22"/>
          <w:szCs w:val="22"/>
          <w:shd w:val="pct15" w:color="auto" w:fill="FFFFFF"/>
        </w:rPr>
        <w:t>6 compressas embebidas em álcool</w:t>
      </w:r>
    </w:p>
    <w:p w14:paraId="569ED93C" w14:textId="77777777" w:rsidR="008256D9" w:rsidRPr="008912CF" w:rsidRDefault="008256D9" w:rsidP="008256D9">
      <w:pPr>
        <w:tabs>
          <w:tab w:val="left" w:pos="720"/>
        </w:tabs>
        <w:rPr>
          <w:sz w:val="22"/>
          <w:szCs w:val="22"/>
          <w:highlight w:val="yellow"/>
        </w:rPr>
      </w:pPr>
    </w:p>
    <w:p w14:paraId="2700C284" w14:textId="77777777" w:rsidR="004462A0" w:rsidRPr="008912CF" w:rsidRDefault="004462A0" w:rsidP="004462A0">
      <w:pPr>
        <w:tabs>
          <w:tab w:val="left" w:pos="720"/>
        </w:tabs>
        <w:rPr>
          <w:color w:val="000000"/>
          <w:sz w:val="22"/>
          <w:szCs w:val="22"/>
          <w:u w:val="single"/>
        </w:rPr>
      </w:pPr>
    </w:p>
    <w:p w14:paraId="6333151F"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5.</w:t>
      </w:r>
      <w:r w:rsidRPr="008912CF">
        <w:rPr>
          <w:b/>
          <w:sz w:val="22"/>
          <w:szCs w:val="22"/>
        </w:rPr>
        <w:tab/>
        <w:t>MODO E VIA DE ADMINISTRAÇÃO</w:t>
      </w:r>
    </w:p>
    <w:p w14:paraId="39BE37EE" w14:textId="77777777" w:rsidR="004462A0" w:rsidRPr="008912CF" w:rsidRDefault="004462A0" w:rsidP="004462A0">
      <w:pPr>
        <w:tabs>
          <w:tab w:val="left" w:pos="720"/>
        </w:tabs>
        <w:rPr>
          <w:sz w:val="22"/>
          <w:szCs w:val="22"/>
        </w:rPr>
      </w:pPr>
    </w:p>
    <w:p w14:paraId="51746DFE" w14:textId="77777777" w:rsidR="004462A0" w:rsidRPr="008912CF" w:rsidRDefault="00615769" w:rsidP="004462A0">
      <w:pPr>
        <w:tabs>
          <w:tab w:val="left" w:pos="720"/>
        </w:tabs>
        <w:rPr>
          <w:sz w:val="22"/>
          <w:szCs w:val="22"/>
        </w:rPr>
      </w:pPr>
      <w:r w:rsidRPr="008912CF">
        <w:rPr>
          <w:sz w:val="22"/>
          <w:szCs w:val="22"/>
        </w:rPr>
        <w:t>Via subcutânea</w:t>
      </w:r>
    </w:p>
    <w:p w14:paraId="7AAC7C84" w14:textId="77777777" w:rsidR="004462A0" w:rsidRPr="008912CF" w:rsidRDefault="004462A0" w:rsidP="004462A0">
      <w:pPr>
        <w:tabs>
          <w:tab w:val="left" w:pos="720"/>
        </w:tabs>
        <w:rPr>
          <w:sz w:val="22"/>
          <w:szCs w:val="22"/>
        </w:rPr>
      </w:pPr>
    </w:p>
    <w:p w14:paraId="4631CC96" w14:textId="77777777" w:rsidR="004462A0" w:rsidRPr="008912CF" w:rsidRDefault="00615769" w:rsidP="004462A0">
      <w:pPr>
        <w:tabs>
          <w:tab w:val="left" w:pos="720"/>
        </w:tabs>
        <w:rPr>
          <w:sz w:val="22"/>
          <w:szCs w:val="22"/>
        </w:rPr>
      </w:pPr>
      <w:r w:rsidRPr="008912CF">
        <w:rPr>
          <w:sz w:val="22"/>
          <w:szCs w:val="22"/>
        </w:rPr>
        <w:t>Consultar o folheto informativo antes de utilizar.</w:t>
      </w:r>
    </w:p>
    <w:p w14:paraId="7F828169" w14:textId="77777777" w:rsidR="004462A0" w:rsidRDefault="004462A0" w:rsidP="004462A0">
      <w:pPr>
        <w:tabs>
          <w:tab w:val="left" w:pos="720"/>
        </w:tabs>
        <w:rPr>
          <w:sz w:val="22"/>
          <w:szCs w:val="22"/>
        </w:rPr>
      </w:pPr>
    </w:p>
    <w:p w14:paraId="4CABA110" w14:textId="77777777" w:rsidR="00D41B9F" w:rsidRPr="008912CF" w:rsidRDefault="00615769" w:rsidP="00D41B9F">
      <w:pPr>
        <w:tabs>
          <w:tab w:val="left" w:pos="720"/>
        </w:tabs>
        <w:rPr>
          <w:sz w:val="22"/>
          <w:szCs w:val="22"/>
        </w:rPr>
      </w:pPr>
      <w:r w:rsidRPr="008912CF">
        <w:rPr>
          <w:sz w:val="22"/>
          <w:szCs w:val="22"/>
        </w:rPr>
        <w:t>Apenas para uma única utilização</w:t>
      </w:r>
      <w:r w:rsidR="008256D9">
        <w:rPr>
          <w:sz w:val="22"/>
          <w:szCs w:val="22"/>
        </w:rPr>
        <w:t>.</w:t>
      </w:r>
    </w:p>
    <w:p w14:paraId="6F4ECFD5" w14:textId="77777777" w:rsidR="00D41B9F" w:rsidRPr="008912CF" w:rsidRDefault="00D41B9F" w:rsidP="004462A0">
      <w:pPr>
        <w:tabs>
          <w:tab w:val="left" w:pos="720"/>
        </w:tabs>
        <w:rPr>
          <w:sz w:val="22"/>
          <w:szCs w:val="22"/>
        </w:rPr>
      </w:pPr>
    </w:p>
    <w:p w14:paraId="3D88033C" w14:textId="77777777" w:rsidR="004462A0" w:rsidRPr="008912CF" w:rsidRDefault="004462A0" w:rsidP="004462A0">
      <w:pPr>
        <w:tabs>
          <w:tab w:val="left" w:pos="720"/>
        </w:tabs>
        <w:rPr>
          <w:sz w:val="22"/>
          <w:szCs w:val="22"/>
        </w:rPr>
      </w:pPr>
    </w:p>
    <w:p w14:paraId="25F0DB28"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rPr>
      </w:pPr>
      <w:r w:rsidRPr="008912CF">
        <w:rPr>
          <w:b/>
          <w:sz w:val="22"/>
          <w:szCs w:val="22"/>
        </w:rPr>
        <w:t>6.</w:t>
      </w:r>
      <w:r w:rsidRPr="008912CF">
        <w:rPr>
          <w:b/>
          <w:sz w:val="22"/>
          <w:szCs w:val="22"/>
        </w:rPr>
        <w:tab/>
      </w:r>
      <w:r w:rsidRPr="008912CF">
        <w:rPr>
          <w:b/>
          <w:bCs/>
          <w:sz w:val="22"/>
          <w:szCs w:val="22"/>
        </w:rPr>
        <w:t>ADVERTÊNCIA ESPECIAL DE QUE O MEDICAMENTO DEVE SER MANTIDO FORA DA VISTA E DO ALCANCE DAS CRIANÇAS</w:t>
      </w:r>
    </w:p>
    <w:p w14:paraId="24145683" w14:textId="77777777" w:rsidR="004462A0" w:rsidRPr="008912CF" w:rsidRDefault="004462A0" w:rsidP="004462A0">
      <w:pPr>
        <w:pStyle w:val="BodyTextIndent2"/>
        <w:ind w:left="0" w:firstLine="0"/>
        <w:rPr>
          <w:szCs w:val="22"/>
        </w:rPr>
      </w:pPr>
    </w:p>
    <w:p w14:paraId="3B47B648" w14:textId="77777777" w:rsidR="004462A0" w:rsidRPr="008912CF" w:rsidRDefault="00615769" w:rsidP="004462A0">
      <w:pPr>
        <w:tabs>
          <w:tab w:val="left" w:pos="720"/>
        </w:tabs>
        <w:rPr>
          <w:sz w:val="22"/>
          <w:szCs w:val="22"/>
        </w:rPr>
      </w:pPr>
      <w:r w:rsidRPr="008912CF">
        <w:rPr>
          <w:sz w:val="22"/>
          <w:szCs w:val="22"/>
        </w:rPr>
        <w:t>Manter fora da vista e do alcance das crianças.</w:t>
      </w:r>
    </w:p>
    <w:p w14:paraId="4928C810" w14:textId="77777777" w:rsidR="004462A0" w:rsidRPr="008912CF" w:rsidRDefault="004462A0" w:rsidP="004462A0">
      <w:pPr>
        <w:tabs>
          <w:tab w:val="left" w:pos="720"/>
        </w:tabs>
        <w:rPr>
          <w:sz w:val="22"/>
          <w:szCs w:val="22"/>
        </w:rPr>
      </w:pPr>
    </w:p>
    <w:p w14:paraId="3C8FFAD5" w14:textId="77777777" w:rsidR="004462A0" w:rsidRPr="008912CF" w:rsidRDefault="004462A0" w:rsidP="004462A0">
      <w:pPr>
        <w:tabs>
          <w:tab w:val="left" w:pos="720"/>
        </w:tabs>
        <w:rPr>
          <w:sz w:val="22"/>
          <w:szCs w:val="22"/>
        </w:rPr>
      </w:pPr>
    </w:p>
    <w:p w14:paraId="7A96A23B"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7.</w:t>
      </w:r>
      <w:r w:rsidRPr="008912CF">
        <w:rPr>
          <w:b/>
          <w:sz w:val="22"/>
          <w:szCs w:val="22"/>
        </w:rPr>
        <w:tab/>
        <w:t>OUTRAS ADVERTÊNCIAS ESPECIAIS, SE NECESSÁRIO</w:t>
      </w:r>
    </w:p>
    <w:p w14:paraId="7FDA9E00" w14:textId="77777777" w:rsidR="004462A0" w:rsidRPr="008912CF" w:rsidRDefault="004462A0" w:rsidP="004462A0">
      <w:pPr>
        <w:tabs>
          <w:tab w:val="left" w:pos="720"/>
        </w:tabs>
        <w:rPr>
          <w:sz w:val="22"/>
          <w:szCs w:val="22"/>
        </w:rPr>
      </w:pPr>
    </w:p>
    <w:p w14:paraId="00EC6DD9" w14:textId="77777777" w:rsidR="004462A0" w:rsidRPr="008912CF" w:rsidRDefault="004462A0" w:rsidP="004462A0">
      <w:pPr>
        <w:tabs>
          <w:tab w:val="left" w:pos="720"/>
        </w:tabs>
        <w:rPr>
          <w:sz w:val="22"/>
          <w:szCs w:val="22"/>
        </w:rPr>
      </w:pPr>
    </w:p>
    <w:p w14:paraId="093EDD73"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8.</w:t>
      </w:r>
      <w:r w:rsidRPr="008912CF">
        <w:rPr>
          <w:b/>
          <w:sz w:val="22"/>
          <w:szCs w:val="22"/>
        </w:rPr>
        <w:tab/>
        <w:t>PRAZO DE VALIDADE</w:t>
      </w:r>
    </w:p>
    <w:p w14:paraId="4BC2406C" w14:textId="77777777" w:rsidR="004462A0" w:rsidRPr="008912CF" w:rsidRDefault="004462A0" w:rsidP="004462A0">
      <w:pPr>
        <w:tabs>
          <w:tab w:val="left" w:pos="720"/>
        </w:tabs>
        <w:rPr>
          <w:sz w:val="22"/>
          <w:szCs w:val="22"/>
        </w:rPr>
      </w:pPr>
    </w:p>
    <w:p w14:paraId="762E44B0" w14:textId="77777777" w:rsidR="004462A0" w:rsidRPr="008912CF" w:rsidRDefault="00615769" w:rsidP="004462A0">
      <w:pPr>
        <w:pStyle w:val="EndnoteText"/>
        <w:tabs>
          <w:tab w:val="clear" w:pos="567"/>
          <w:tab w:val="left" w:pos="720"/>
        </w:tabs>
        <w:rPr>
          <w:szCs w:val="22"/>
        </w:rPr>
      </w:pPr>
      <w:r>
        <w:rPr>
          <w:szCs w:val="22"/>
        </w:rPr>
        <w:t>EXP</w:t>
      </w:r>
      <w:r w:rsidRPr="008912CF">
        <w:rPr>
          <w:szCs w:val="22"/>
        </w:rPr>
        <w:t xml:space="preserve"> </w:t>
      </w:r>
    </w:p>
    <w:p w14:paraId="680E072D" w14:textId="77777777" w:rsidR="004462A0" w:rsidRPr="008912CF" w:rsidRDefault="004462A0" w:rsidP="004462A0">
      <w:pPr>
        <w:tabs>
          <w:tab w:val="left" w:pos="720"/>
        </w:tabs>
        <w:rPr>
          <w:sz w:val="22"/>
          <w:szCs w:val="22"/>
        </w:rPr>
      </w:pPr>
    </w:p>
    <w:p w14:paraId="7D363145" w14:textId="77777777" w:rsidR="004462A0" w:rsidRPr="008912CF" w:rsidRDefault="004462A0" w:rsidP="004462A0">
      <w:pPr>
        <w:tabs>
          <w:tab w:val="left" w:pos="720"/>
        </w:tabs>
        <w:rPr>
          <w:sz w:val="22"/>
          <w:szCs w:val="22"/>
        </w:rPr>
      </w:pPr>
    </w:p>
    <w:p w14:paraId="230D21CC" w14:textId="77777777" w:rsidR="004462A0" w:rsidRPr="008912CF" w:rsidRDefault="00615769" w:rsidP="004462A0">
      <w:pPr>
        <w:keepNext/>
        <w:pBdr>
          <w:top w:val="single" w:sz="4" w:space="0"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9.</w:t>
      </w:r>
      <w:r w:rsidRPr="008912CF">
        <w:rPr>
          <w:b/>
          <w:sz w:val="22"/>
          <w:szCs w:val="22"/>
        </w:rPr>
        <w:tab/>
      </w:r>
      <w:r w:rsidRPr="008912CF">
        <w:rPr>
          <w:b/>
          <w:sz w:val="22"/>
          <w:szCs w:val="22"/>
        </w:rPr>
        <w:t>CONDIÇÕES ESPECIAIS DE CONSERVAÇÃO</w:t>
      </w:r>
    </w:p>
    <w:p w14:paraId="49D66128" w14:textId="77777777" w:rsidR="004462A0" w:rsidRPr="008912CF" w:rsidRDefault="004462A0" w:rsidP="004462A0">
      <w:pPr>
        <w:keepNext/>
        <w:tabs>
          <w:tab w:val="left" w:pos="720"/>
        </w:tabs>
        <w:rPr>
          <w:sz w:val="22"/>
          <w:szCs w:val="22"/>
        </w:rPr>
      </w:pPr>
    </w:p>
    <w:p w14:paraId="405A1166" w14:textId="77777777" w:rsidR="004462A0" w:rsidRPr="008912CF" w:rsidRDefault="00615769" w:rsidP="004462A0">
      <w:pPr>
        <w:keepNext/>
        <w:tabs>
          <w:tab w:val="left" w:pos="720"/>
        </w:tabs>
        <w:rPr>
          <w:sz w:val="22"/>
          <w:szCs w:val="22"/>
        </w:rPr>
      </w:pPr>
      <w:r w:rsidRPr="008912CF">
        <w:rPr>
          <w:sz w:val="22"/>
          <w:szCs w:val="22"/>
        </w:rPr>
        <w:t>Conservar no frigorífico. Não congelar.</w:t>
      </w:r>
    </w:p>
    <w:p w14:paraId="5A5A5609" w14:textId="77777777" w:rsidR="004462A0" w:rsidRPr="008912CF" w:rsidRDefault="00615769" w:rsidP="004462A0">
      <w:pPr>
        <w:keepNext/>
        <w:rPr>
          <w:sz w:val="22"/>
          <w:szCs w:val="22"/>
        </w:rPr>
      </w:pPr>
      <w:r w:rsidRPr="008912CF">
        <w:rPr>
          <w:rStyle w:val="hps"/>
          <w:sz w:val="22"/>
          <w:szCs w:val="22"/>
        </w:rPr>
        <w:t>Consulte o</w:t>
      </w:r>
      <w:r w:rsidRPr="008912CF">
        <w:rPr>
          <w:sz w:val="22"/>
          <w:szCs w:val="22"/>
        </w:rPr>
        <w:t xml:space="preserve"> </w:t>
      </w:r>
      <w:r w:rsidRPr="008912CF">
        <w:rPr>
          <w:rStyle w:val="hps"/>
          <w:sz w:val="22"/>
          <w:szCs w:val="22"/>
        </w:rPr>
        <w:t>folheto informativo</w:t>
      </w:r>
      <w:r w:rsidRPr="008912CF">
        <w:rPr>
          <w:sz w:val="22"/>
          <w:szCs w:val="22"/>
        </w:rPr>
        <w:t xml:space="preserve"> </w:t>
      </w:r>
      <w:r w:rsidRPr="008912CF">
        <w:rPr>
          <w:rStyle w:val="hps"/>
          <w:sz w:val="22"/>
          <w:szCs w:val="22"/>
        </w:rPr>
        <w:t>para detalhes</w:t>
      </w:r>
      <w:r w:rsidRPr="008912CF">
        <w:rPr>
          <w:sz w:val="22"/>
          <w:szCs w:val="22"/>
        </w:rPr>
        <w:t xml:space="preserve"> de </w:t>
      </w:r>
      <w:r w:rsidRPr="008912CF">
        <w:rPr>
          <w:rStyle w:val="hps"/>
          <w:sz w:val="22"/>
          <w:szCs w:val="22"/>
        </w:rPr>
        <w:t>conservação</w:t>
      </w:r>
      <w:r w:rsidRPr="008912CF">
        <w:rPr>
          <w:sz w:val="22"/>
          <w:szCs w:val="22"/>
        </w:rPr>
        <w:t xml:space="preserve"> </w:t>
      </w:r>
      <w:r w:rsidRPr="008912CF">
        <w:rPr>
          <w:rStyle w:val="hps"/>
          <w:sz w:val="22"/>
          <w:szCs w:val="22"/>
        </w:rPr>
        <w:t>alternativa.</w:t>
      </w:r>
    </w:p>
    <w:p w14:paraId="56A38B42" w14:textId="77777777" w:rsidR="004462A0" w:rsidRPr="008912CF" w:rsidRDefault="004462A0" w:rsidP="004462A0">
      <w:pPr>
        <w:keepNext/>
        <w:tabs>
          <w:tab w:val="left" w:pos="720"/>
        </w:tabs>
        <w:rPr>
          <w:sz w:val="22"/>
          <w:szCs w:val="22"/>
        </w:rPr>
      </w:pPr>
    </w:p>
    <w:p w14:paraId="5B2243B5" w14:textId="77777777" w:rsidR="004462A0" w:rsidRPr="008912CF" w:rsidRDefault="00615769" w:rsidP="004462A0">
      <w:pPr>
        <w:keepNext/>
        <w:tabs>
          <w:tab w:val="left" w:pos="720"/>
        </w:tabs>
        <w:rPr>
          <w:sz w:val="22"/>
          <w:szCs w:val="22"/>
        </w:rPr>
      </w:pPr>
      <w:r w:rsidRPr="008912CF">
        <w:rPr>
          <w:sz w:val="22"/>
          <w:szCs w:val="22"/>
        </w:rPr>
        <w:t>Manter a seringa dentro da embalagem exterior para proteger da luz.</w:t>
      </w:r>
    </w:p>
    <w:p w14:paraId="4C8C63B3" w14:textId="77777777" w:rsidR="004462A0" w:rsidRPr="008912CF" w:rsidRDefault="004462A0" w:rsidP="004462A0">
      <w:pPr>
        <w:tabs>
          <w:tab w:val="left" w:pos="720"/>
        </w:tabs>
        <w:rPr>
          <w:sz w:val="22"/>
          <w:szCs w:val="22"/>
        </w:rPr>
      </w:pPr>
    </w:p>
    <w:p w14:paraId="40D9A7EA" w14:textId="77777777" w:rsidR="004462A0" w:rsidRPr="008912CF" w:rsidRDefault="004462A0" w:rsidP="004462A0">
      <w:pPr>
        <w:tabs>
          <w:tab w:val="left" w:pos="720"/>
        </w:tabs>
        <w:rPr>
          <w:sz w:val="22"/>
          <w:szCs w:val="22"/>
        </w:rPr>
      </w:pPr>
    </w:p>
    <w:p w14:paraId="790B8655" w14:textId="77777777" w:rsidR="004462A0" w:rsidRPr="008912CF" w:rsidRDefault="00615769" w:rsidP="004462A0">
      <w:pPr>
        <w:pBdr>
          <w:top w:val="single" w:sz="4" w:space="0" w:color="auto"/>
          <w:left w:val="single" w:sz="4" w:space="4" w:color="auto"/>
          <w:bottom w:val="single" w:sz="4" w:space="1" w:color="auto"/>
          <w:right w:val="single" w:sz="4" w:space="4" w:color="auto"/>
        </w:pBdr>
        <w:shd w:val="clear" w:color="auto" w:fill="FFFFFF"/>
        <w:tabs>
          <w:tab w:val="left" w:pos="720"/>
        </w:tabs>
        <w:ind w:left="567" w:hanging="567"/>
        <w:rPr>
          <w:b/>
          <w:bCs/>
          <w:sz w:val="22"/>
          <w:szCs w:val="22"/>
          <w:highlight w:val="lightGray"/>
        </w:rPr>
      </w:pPr>
      <w:r w:rsidRPr="008912CF">
        <w:rPr>
          <w:b/>
          <w:sz w:val="22"/>
          <w:szCs w:val="22"/>
        </w:rPr>
        <w:t>10.</w:t>
      </w:r>
      <w:r w:rsidRPr="008912CF">
        <w:rPr>
          <w:b/>
          <w:sz w:val="22"/>
          <w:szCs w:val="22"/>
        </w:rPr>
        <w:tab/>
      </w:r>
      <w:r w:rsidRPr="008912CF">
        <w:rPr>
          <w:b/>
          <w:bCs/>
          <w:sz w:val="22"/>
          <w:szCs w:val="22"/>
        </w:rPr>
        <w:t xml:space="preserve">CUIDADOS ESPECIAIS QUANTO À ELIMINAÇÃO DO MEDICAMENTO NÃO UTILIZADO OU DOS RESÍDUOS PROVENIENTES DESSE MEDICAMENTO, SE APLICÁVEL </w:t>
      </w:r>
    </w:p>
    <w:p w14:paraId="4A2D7246" w14:textId="77777777" w:rsidR="004462A0" w:rsidRPr="008912CF" w:rsidRDefault="004462A0" w:rsidP="004462A0">
      <w:pPr>
        <w:tabs>
          <w:tab w:val="left" w:pos="720"/>
        </w:tabs>
        <w:rPr>
          <w:sz w:val="22"/>
          <w:szCs w:val="22"/>
        </w:rPr>
      </w:pPr>
    </w:p>
    <w:p w14:paraId="4C85C9F6" w14:textId="77777777" w:rsidR="004462A0" w:rsidRPr="008912CF" w:rsidRDefault="004462A0" w:rsidP="004462A0">
      <w:pPr>
        <w:tabs>
          <w:tab w:val="left" w:pos="720"/>
        </w:tabs>
        <w:rPr>
          <w:sz w:val="22"/>
          <w:szCs w:val="22"/>
        </w:rPr>
      </w:pPr>
    </w:p>
    <w:p w14:paraId="43A1B6BD" w14:textId="77777777" w:rsidR="004462A0" w:rsidRPr="008912CF" w:rsidRDefault="00615769" w:rsidP="004462A0">
      <w:pPr>
        <w:pBdr>
          <w:top w:val="single" w:sz="4" w:space="0" w:color="auto"/>
          <w:left w:val="single" w:sz="4" w:space="4" w:color="auto"/>
          <w:bottom w:val="single" w:sz="4" w:space="1" w:color="auto"/>
          <w:right w:val="single" w:sz="4" w:space="4" w:color="auto"/>
        </w:pBdr>
        <w:shd w:val="clear" w:color="auto" w:fill="FFFFFF"/>
        <w:tabs>
          <w:tab w:val="left" w:pos="720"/>
        </w:tabs>
        <w:ind w:left="567" w:hanging="567"/>
        <w:rPr>
          <w:b/>
          <w:bCs/>
          <w:sz w:val="22"/>
          <w:szCs w:val="22"/>
          <w:highlight w:val="lightGray"/>
        </w:rPr>
      </w:pPr>
      <w:r w:rsidRPr="008912CF">
        <w:rPr>
          <w:b/>
          <w:sz w:val="22"/>
          <w:szCs w:val="22"/>
        </w:rPr>
        <w:t>11.</w:t>
      </w:r>
      <w:r w:rsidRPr="008912CF">
        <w:rPr>
          <w:b/>
          <w:sz w:val="22"/>
          <w:szCs w:val="22"/>
        </w:rPr>
        <w:tab/>
      </w:r>
      <w:r w:rsidRPr="008912CF">
        <w:rPr>
          <w:b/>
          <w:bCs/>
          <w:sz w:val="22"/>
          <w:szCs w:val="22"/>
        </w:rPr>
        <w:t xml:space="preserve">NOME E ENDEREÇO DO TITULAR DA AUTORIZAÇÃO DE INTRODUÇÃO NO MERCADO </w:t>
      </w:r>
    </w:p>
    <w:p w14:paraId="2DEC385E" w14:textId="77777777" w:rsidR="004462A0" w:rsidRPr="008912CF" w:rsidRDefault="004462A0" w:rsidP="004462A0">
      <w:pPr>
        <w:tabs>
          <w:tab w:val="left" w:pos="720"/>
        </w:tabs>
        <w:rPr>
          <w:sz w:val="22"/>
          <w:szCs w:val="22"/>
        </w:rPr>
      </w:pPr>
    </w:p>
    <w:p w14:paraId="5A3B4178" w14:textId="77777777" w:rsidR="006566C4" w:rsidRPr="008D6D3A" w:rsidRDefault="00615769" w:rsidP="006566C4">
      <w:pPr>
        <w:tabs>
          <w:tab w:val="left" w:pos="720"/>
        </w:tabs>
        <w:rPr>
          <w:sz w:val="22"/>
          <w:szCs w:val="22"/>
          <w:lang w:val="de-CH"/>
        </w:rPr>
      </w:pPr>
      <w:r w:rsidRPr="008D6D3A">
        <w:rPr>
          <w:sz w:val="22"/>
          <w:szCs w:val="22"/>
          <w:lang w:val="de-CH"/>
        </w:rPr>
        <w:t>AbbVie Deutschland GmbH &amp; Co. KG</w:t>
      </w:r>
    </w:p>
    <w:p w14:paraId="2E4B71D6" w14:textId="77777777" w:rsidR="006566C4" w:rsidRPr="008D6D3A" w:rsidRDefault="00615769" w:rsidP="006566C4">
      <w:pPr>
        <w:tabs>
          <w:tab w:val="left" w:pos="720"/>
        </w:tabs>
        <w:rPr>
          <w:sz w:val="22"/>
          <w:szCs w:val="22"/>
          <w:lang w:val="de-CH"/>
        </w:rPr>
      </w:pPr>
      <w:r w:rsidRPr="008D6D3A">
        <w:rPr>
          <w:sz w:val="22"/>
          <w:szCs w:val="22"/>
          <w:lang w:val="de-CH"/>
        </w:rPr>
        <w:t>Knollstrasse</w:t>
      </w:r>
    </w:p>
    <w:p w14:paraId="1F5ADF08" w14:textId="77777777" w:rsidR="006566C4" w:rsidRPr="00EF74B7" w:rsidRDefault="00615769" w:rsidP="006566C4">
      <w:pPr>
        <w:tabs>
          <w:tab w:val="left" w:pos="720"/>
        </w:tabs>
        <w:rPr>
          <w:sz w:val="22"/>
          <w:szCs w:val="22"/>
        </w:rPr>
      </w:pPr>
      <w:r w:rsidRPr="00EF74B7">
        <w:rPr>
          <w:sz w:val="22"/>
          <w:szCs w:val="22"/>
        </w:rPr>
        <w:t>67061 Ludwigshafen</w:t>
      </w:r>
    </w:p>
    <w:p w14:paraId="7C2B09E6" w14:textId="77777777" w:rsidR="004462A0" w:rsidRPr="008912CF" w:rsidRDefault="00615769" w:rsidP="004462A0">
      <w:pPr>
        <w:rPr>
          <w:sz w:val="22"/>
          <w:szCs w:val="22"/>
        </w:rPr>
      </w:pPr>
      <w:r w:rsidRPr="00EF74B7">
        <w:rPr>
          <w:sz w:val="22"/>
          <w:szCs w:val="22"/>
        </w:rPr>
        <w:t>Alemanh</w:t>
      </w:r>
      <w:r>
        <w:rPr>
          <w:sz w:val="22"/>
          <w:szCs w:val="22"/>
        </w:rPr>
        <w:t>a</w:t>
      </w:r>
    </w:p>
    <w:p w14:paraId="1A27AE26" w14:textId="77777777" w:rsidR="004462A0" w:rsidRPr="008912CF" w:rsidRDefault="004462A0" w:rsidP="004462A0">
      <w:pPr>
        <w:tabs>
          <w:tab w:val="left" w:pos="720"/>
        </w:tabs>
        <w:rPr>
          <w:sz w:val="22"/>
          <w:szCs w:val="22"/>
        </w:rPr>
      </w:pPr>
    </w:p>
    <w:p w14:paraId="7F50A95D" w14:textId="77777777" w:rsidR="004462A0" w:rsidRPr="008912CF" w:rsidRDefault="004462A0" w:rsidP="004462A0">
      <w:pPr>
        <w:tabs>
          <w:tab w:val="left" w:pos="720"/>
        </w:tabs>
        <w:rPr>
          <w:sz w:val="22"/>
          <w:szCs w:val="22"/>
        </w:rPr>
      </w:pPr>
    </w:p>
    <w:p w14:paraId="547E5284"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12.</w:t>
      </w:r>
      <w:r w:rsidRPr="008912CF">
        <w:rPr>
          <w:b/>
          <w:sz w:val="22"/>
          <w:szCs w:val="22"/>
        </w:rPr>
        <w:tab/>
      </w:r>
      <w:r w:rsidRPr="008912CF">
        <w:rPr>
          <w:b/>
          <w:sz w:val="22"/>
          <w:szCs w:val="22"/>
        </w:rPr>
        <w:t>NÚMERO DA AUTORIZAÇÃO DE INTRODUÇÃO NO MERCADO</w:t>
      </w:r>
    </w:p>
    <w:p w14:paraId="0D306401" w14:textId="77777777" w:rsidR="004462A0" w:rsidRPr="008912CF" w:rsidRDefault="004462A0" w:rsidP="004462A0">
      <w:pPr>
        <w:tabs>
          <w:tab w:val="left" w:pos="720"/>
        </w:tabs>
        <w:rPr>
          <w:sz w:val="22"/>
          <w:szCs w:val="22"/>
        </w:rPr>
      </w:pPr>
    </w:p>
    <w:p w14:paraId="147929DF" w14:textId="77777777" w:rsidR="004462A0" w:rsidRPr="008912CF" w:rsidRDefault="00615769" w:rsidP="004462A0">
      <w:pPr>
        <w:tabs>
          <w:tab w:val="left" w:pos="720"/>
        </w:tabs>
        <w:rPr>
          <w:sz w:val="22"/>
          <w:szCs w:val="22"/>
        </w:rPr>
      </w:pPr>
      <w:r w:rsidRPr="008912CF">
        <w:rPr>
          <w:sz w:val="22"/>
          <w:szCs w:val="22"/>
        </w:rPr>
        <w:t xml:space="preserve">EU/1/03/256/012 </w:t>
      </w:r>
    </w:p>
    <w:p w14:paraId="074809A3" w14:textId="77777777" w:rsidR="008256D9" w:rsidRPr="002112C5" w:rsidRDefault="00615769" w:rsidP="008256D9">
      <w:pPr>
        <w:tabs>
          <w:tab w:val="left" w:pos="720"/>
        </w:tabs>
        <w:rPr>
          <w:sz w:val="22"/>
          <w:szCs w:val="22"/>
          <w:shd w:val="pct15" w:color="auto" w:fill="FFFFFF"/>
        </w:rPr>
      </w:pPr>
      <w:r w:rsidRPr="002112C5">
        <w:rPr>
          <w:sz w:val="22"/>
          <w:szCs w:val="22"/>
          <w:shd w:val="pct15" w:color="auto" w:fill="FFFFFF"/>
        </w:rPr>
        <w:t>EU/1/03/256/013</w:t>
      </w:r>
    </w:p>
    <w:p w14:paraId="71A65979" w14:textId="77777777" w:rsidR="008256D9" w:rsidRPr="002112C5" w:rsidRDefault="00615769" w:rsidP="008256D9">
      <w:pPr>
        <w:tabs>
          <w:tab w:val="left" w:pos="720"/>
        </w:tabs>
        <w:rPr>
          <w:sz w:val="22"/>
          <w:szCs w:val="22"/>
          <w:shd w:val="pct15" w:color="auto" w:fill="FFFFFF"/>
        </w:rPr>
      </w:pPr>
      <w:r w:rsidRPr="002112C5">
        <w:rPr>
          <w:sz w:val="22"/>
          <w:szCs w:val="22"/>
          <w:shd w:val="pct15" w:color="auto" w:fill="FFFFFF"/>
        </w:rPr>
        <w:t>EU/1/03/256/014</w:t>
      </w:r>
    </w:p>
    <w:p w14:paraId="15C37E0E" w14:textId="77777777" w:rsidR="004462A0" w:rsidRPr="002112C5" w:rsidRDefault="00615769" w:rsidP="008256D9">
      <w:pPr>
        <w:tabs>
          <w:tab w:val="left" w:pos="720"/>
        </w:tabs>
        <w:rPr>
          <w:sz w:val="22"/>
          <w:szCs w:val="22"/>
          <w:shd w:val="pct15" w:color="auto" w:fill="FFFFFF"/>
        </w:rPr>
      </w:pPr>
      <w:r w:rsidRPr="002112C5">
        <w:rPr>
          <w:sz w:val="22"/>
          <w:szCs w:val="22"/>
          <w:shd w:val="pct15" w:color="auto" w:fill="FFFFFF"/>
        </w:rPr>
        <w:t>EU/1/03/256/015</w:t>
      </w:r>
    </w:p>
    <w:p w14:paraId="07C7A5BF" w14:textId="77777777" w:rsidR="008256D9" w:rsidRPr="008912CF" w:rsidRDefault="008256D9" w:rsidP="008256D9">
      <w:pPr>
        <w:tabs>
          <w:tab w:val="left" w:pos="720"/>
        </w:tabs>
        <w:rPr>
          <w:sz w:val="22"/>
          <w:szCs w:val="22"/>
        </w:rPr>
      </w:pPr>
    </w:p>
    <w:p w14:paraId="112E4EE1" w14:textId="77777777" w:rsidR="004462A0" w:rsidRPr="008912CF" w:rsidRDefault="004462A0" w:rsidP="004462A0">
      <w:pPr>
        <w:tabs>
          <w:tab w:val="left" w:pos="720"/>
        </w:tabs>
        <w:rPr>
          <w:sz w:val="22"/>
          <w:szCs w:val="22"/>
        </w:rPr>
      </w:pPr>
    </w:p>
    <w:p w14:paraId="3894D3F2"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13.</w:t>
      </w:r>
      <w:r w:rsidRPr="008912CF">
        <w:rPr>
          <w:b/>
          <w:sz w:val="22"/>
          <w:szCs w:val="22"/>
        </w:rPr>
        <w:tab/>
        <w:t xml:space="preserve">NÚMERO DO LOTE </w:t>
      </w:r>
    </w:p>
    <w:p w14:paraId="4093CC52" w14:textId="77777777" w:rsidR="004462A0" w:rsidRPr="008912CF" w:rsidRDefault="004462A0" w:rsidP="004462A0">
      <w:pPr>
        <w:tabs>
          <w:tab w:val="left" w:pos="720"/>
        </w:tabs>
        <w:rPr>
          <w:sz w:val="22"/>
          <w:szCs w:val="22"/>
        </w:rPr>
      </w:pPr>
    </w:p>
    <w:p w14:paraId="011244BA" w14:textId="77777777" w:rsidR="004462A0" w:rsidRPr="008912CF" w:rsidRDefault="00615769" w:rsidP="004462A0">
      <w:pPr>
        <w:tabs>
          <w:tab w:val="left" w:pos="720"/>
        </w:tabs>
        <w:rPr>
          <w:sz w:val="22"/>
          <w:szCs w:val="22"/>
        </w:rPr>
      </w:pPr>
      <w:r w:rsidRPr="008912CF">
        <w:rPr>
          <w:sz w:val="22"/>
          <w:szCs w:val="22"/>
        </w:rPr>
        <w:t>Lote</w:t>
      </w:r>
    </w:p>
    <w:p w14:paraId="34E34C5E" w14:textId="77777777" w:rsidR="004462A0" w:rsidRPr="008912CF" w:rsidRDefault="004462A0" w:rsidP="004462A0">
      <w:pPr>
        <w:tabs>
          <w:tab w:val="left" w:pos="720"/>
        </w:tabs>
        <w:rPr>
          <w:sz w:val="22"/>
          <w:szCs w:val="22"/>
        </w:rPr>
      </w:pPr>
    </w:p>
    <w:p w14:paraId="0EF57FDB" w14:textId="77777777" w:rsidR="004462A0" w:rsidRPr="008912CF" w:rsidRDefault="004462A0" w:rsidP="004462A0">
      <w:pPr>
        <w:tabs>
          <w:tab w:val="left" w:pos="720"/>
        </w:tabs>
        <w:rPr>
          <w:sz w:val="22"/>
          <w:szCs w:val="22"/>
        </w:rPr>
      </w:pPr>
    </w:p>
    <w:p w14:paraId="7B369B08"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14.</w:t>
      </w:r>
      <w:r w:rsidRPr="008912CF">
        <w:rPr>
          <w:b/>
          <w:sz w:val="22"/>
          <w:szCs w:val="22"/>
        </w:rPr>
        <w:tab/>
        <w:t>CLASSIFICAÇÃO QUANTO À DISPENSA AO PÚBLICO</w:t>
      </w:r>
    </w:p>
    <w:p w14:paraId="78E67960" w14:textId="77777777" w:rsidR="004462A0" w:rsidRPr="008912CF" w:rsidRDefault="004462A0" w:rsidP="004462A0">
      <w:pPr>
        <w:tabs>
          <w:tab w:val="left" w:pos="720"/>
        </w:tabs>
        <w:rPr>
          <w:sz w:val="22"/>
          <w:szCs w:val="22"/>
        </w:rPr>
      </w:pPr>
    </w:p>
    <w:p w14:paraId="3CCB5D06" w14:textId="77777777" w:rsidR="004462A0" w:rsidRPr="008912CF" w:rsidRDefault="004462A0" w:rsidP="004462A0">
      <w:pPr>
        <w:tabs>
          <w:tab w:val="left" w:pos="720"/>
        </w:tabs>
        <w:rPr>
          <w:sz w:val="22"/>
          <w:szCs w:val="22"/>
        </w:rPr>
      </w:pPr>
    </w:p>
    <w:p w14:paraId="60BC807A"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u w:val="single"/>
        </w:rPr>
      </w:pPr>
      <w:r w:rsidRPr="008912CF">
        <w:rPr>
          <w:b/>
          <w:sz w:val="22"/>
          <w:szCs w:val="22"/>
        </w:rPr>
        <w:t>15.</w:t>
      </w:r>
      <w:r w:rsidRPr="008912CF">
        <w:rPr>
          <w:b/>
          <w:sz w:val="22"/>
          <w:szCs w:val="22"/>
        </w:rPr>
        <w:tab/>
        <w:t>INSTRUÇÕES DE UTILIZAÇÃO</w:t>
      </w:r>
    </w:p>
    <w:p w14:paraId="3A99A53B" w14:textId="77777777" w:rsidR="004462A0" w:rsidRPr="008912CF" w:rsidRDefault="004462A0" w:rsidP="004462A0">
      <w:pPr>
        <w:pStyle w:val="Heading3"/>
        <w:keepNext w:val="0"/>
        <w:spacing w:before="0" w:after="0" w:line="240" w:lineRule="auto"/>
        <w:rPr>
          <w:b w:val="0"/>
          <w:sz w:val="22"/>
          <w:szCs w:val="22"/>
          <w:u w:val="single"/>
          <w:lang w:val="pt-PT"/>
        </w:rPr>
      </w:pPr>
    </w:p>
    <w:p w14:paraId="3364AB44" w14:textId="77777777" w:rsidR="004462A0" w:rsidRPr="008912CF" w:rsidRDefault="004462A0" w:rsidP="004462A0">
      <w:pPr>
        <w:rPr>
          <w:sz w:val="22"/>
          <w:szCs w:val="22"/>
        </w:rPr>
      </w:pPr>
    </w:p>
    <w:p w14:paraId="380B1995"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u w:val="single"/>
        </w:rPr>
      </w:pPr>
      <w:r w:rsidRPr="008912CF">
        <w:rPr>
          <w:b/>
          <w:sz w:val="22"/>
          <w:szCs w:val="22"/>
        </w:rPr>
        <w:t>16.</w:t>
      </w:r>
      <w:r w:rsidRPr="008912CF">
        <w:rPr>
          <w:b/>
          <w:sz w:val="22"/>
          <w:szCs w:val="22"/>
        </w:rPr>
        <w:tab/>
      </w:r>
      <w:r w:rsidRPr="008912CF">
        <w:rPr>
          <w:b/>
          <w:sz w:val="22"/>
          <w:szCs w:val="22"/>
        </w:rPr>
        <w:t>INFORMAÇÃO EM BRAILLE</w:t>
      </w:r>
    </w:p>
    <w:p w14:paraId="1CE146B8" w14:textId="77777777" w:rsidR="004462A0" w:rsidRPr="008912CF" w:rsidRDefault="004462A0" w:rsidP="004462A0">
      <w:pPr>
        <w:pStyle w:val="Heading3"/>
        <w:keepNext w:val="0"/>
        <w:spacing w:before="0" w:after="0" w:line="240" w:lineRule="auto"/>
        <w:rPr>
          <w:b w:val="0"/>
          <w:sz w:val="22"/>
          <w:szCs w:val="22"/>
          <w:u w:val="single"/>
          <w:lang w:val="pt-PT"/>
        </w:rPr>
      </w:pPr>
    </w:p>
    <w:p w14:paraId="0962AF4E" w14:textId="77777777" w:rsidR="004462A0" w:rsidRDefault="00615769" w:rsidP="004462A0">
      <w:pPr>
        <w:pStyle w:val="Heading3"/>
        <w:keepNext w:val="0"/>
        <w:spacing w:before="0" w:after="0" w:line="240" w:lineRule="auto"/>
        <w:rPr>
          <w:b w:val="0"/>
          <w:sz w:val="22"/>
          <w:szCs w:val="22"/>
          <w:lang w:val="pt-PT"/>
        </w:rPr>
      </w:pPr>
      <w:r w:rsidRPr="008912CF">
        <w:rPr>
          <w:b w:val="0"/>
          <w:sz w:val="22"/>
          <w:szCs w:val="22"/>
          <w:lang w:val="pt-PT"/>
        </w:rPr>
        <w:t>Humira 40 mg</w:t>
      </w:r>
    </w:p>
    <w:p w14:paraId="29EBE821" w14:textId="77777777" w:rsidR="004462A0" w:rsidRDefault="004462A0" w:rsidP="004462A0">
      <w:pPr>
        <w:pStyle w:val="Heading3"/>
        <w:keepNext w:val="0"/>
        <w:spacing w:before="0" w:after="0" w:line="240" w:lineRule="auto"/>
        <w:rPr>
          <w:b w:val="0"/>
          <w:sz w:val="22"/>
          <w:szCs w:val="22"/>
          <w:lang w:val="pt-PT"/>
        </w:rPr>
      </w:pPr>
    </w:p>
    <w:p w14:paraId="5A34F495" w14:textId="77777777" w:rsidR="004462A0" w:rsidRPr="00431557" w:rsidRDefault="004462A0" w:rsidP="004462A0">
      <w:pPr>
        <w:pStyle w:val="Heading3"/>
        <w:keepNext w:val="0"/>
        <w:spacing w:before="0" w:after="0" w:line="240" w:lineRule="auto"/>
        <w:rPr>
          <w:b w:val="0"/>
          <w:sz w:val="22"/>
          <w:szCs w:val="22"/>
          <w:lang w:val="pt-PT"/>
        </w:rPr>
      </w:pPr>
    </w:p>
    <w:p w14:paraId="3C97D39E" w14:textId="77777777" w:rsidR="004462A0" w:rsidRPr="00C25DF2" w:rsidRDefault="00615769" w:rsidP="004462A0">
      <w:pPr>
        <w:pBdr>
          <w:top w:val="single" w:sz="4" w:space="1" w:color="auto"/>
          <w:left w:val="single" w:sz="4" w:space="4" w:color="auto"/>
          <w:bottom w:val="single" w:sz="4" w:space="1" w:color="auto"/>
          <w:right w:val="single" w:sz="4" w:space="4" w:color="auto"/>
        </w:pBdr>
        <w:tabs>
          <w:tab w:val="left" w:pos="562"/>
        </w:tabs>
        <w:suppressAutoHyphens/>
        <w:rPr>
          <w:b/>
          <w:bCs/>
          <w:caps/>
          <w:sz w:val="22"/>
          <w:szCs w:val="20"/>
        </w:rPr>
      </w:pPr>
      <w:r w:rsidRPr="00C25BAB">
        <w:rPr>
          <w:b/>
          <w:bCs/>
          <w:caps/>
          <w:sz w:val="22"/>
          <w:szCs w:val="20"/>
        </w:rPr>
        <w:t xml:space="preserve">17. </w:t>
      </w:r>
      <w:r w:rsidRPr="00C25BAB">
        <w:rPr>
          <w:b/>
          <w:bCs/>
          <w:caps/>
          <w:sz w:val="22"/>
          <w:szCs w:val="20"/>
        </w:rPr>
        <w:tab/>
      </w:r>
      <w:r w:rsidRPr="00C25DF2">
        <w:rPr>
          <w:b/>
          <w:bCs/>
          <w:caps/>
          <w:sz w:val="22"/>
          <w:szCs w:val="20"/>
        </w:rPr>
        <w:t xml:space="preserve">IDENTIFICADOR ÚNICO – CÓDIGO DE BARRAS 2D </w:t>
      </w:r>
    </w:p>
    <w:p w14:paraId="279E25EC" w14:textId="77777777" w:rsidR="004462A0" w:rsidRPr="00C25DF2" w:rsidRDefault="004462A0" w:rsidP="004462A0">
      <w:pPr>
        <w:tabs>
          <w:tab w:val="left" w:pos="562"/>
        </w:tabs>
        <w:suppressAutoHyphens/>
        <w:rPr>
          <w:sz w:val="22"/>
        </w:rPr>
      </w:pPr>
    </w:p>
    <w:p w14:paraId="79219A2F" w14:textId="77777777" w:rsidR="004462A0" w:rsidRPr="00C25DF2" w:rsidRDefault="00615769" w:rsidP="004462A0">
      <w:pPr>
        <w:tabs>
          <w:tab w:val="left" w:pos="562"/>
        </w:tabs>
        <w:suppressAutoHyphens/>
        <w:rPr>
          <w:sz w:val="22"/>
          <w:shd w:val="clear" w:color="auto" w:fill="BFBFBF"/>
        </w:rPr>
      </w:pPr>
      <w:r w:rsidRPr="00C25DF2">
        <w:rPr>
          <w:sz w:val="22"/>
          <w:shd w:val="clear" w:color="auto" w:fill="BFBFBF"/>
        </w:rPr>
        <w:t xml:space="preserve">Código de barras 2D com identificador </w:t>
      </w:r>
      <w:r>
        <w:rPr>
          <w:sz w:val="22"/>
          <w:shd w:val="clear" w:color="auto" w:fill="BFBFBF"/>
        </w:rPr>
        <w:t>único incluído.</w:t>
      </w:r>
    </w:p>
    <w:p w14:paraId="1924F9E8" w14:textId="77777777" w:rsidR="004462A0" w:rsidRPr="00C25DF2" w:rsidRDefault="004462A0" w:rsidP="004462A0">
      <w:pPr>
        <w:tabs>
          <w:tab w:val="left" w:pos="562"/>
        </w:tabs>
        <w:suppressAutoHyphens/>
        <w:rPr>
          <w:sz w:val="22"/>
          <w:shd w:val="clear" w:color="auto" w:fill="BFBFBF"/>
        </w:rPr>
      </w:pPr>
    </w:p>
    <w:p w14:paraId="3A94046F" w14:textId="77777777" w:rsidR="004462A0" w:rsidRPr="00C25DF2" w:rsidRDefault="00615769" w:rsidP="004462A0">
      <w:pPr>
        <w:keepNext/>
        <w:pBdr>
          <w:top w:val="single" w:sz="4" w:space="1" w:color="auto"/>
          <w:left w:val="single" w:sz="4" w:space="4" w:color="auto"/>
          <w:bottom w:val="single" w:sz="4" w:space="1" w:color="auto"/>
          <w:right w:val="single" w:sz="4" w:space="4" w:color="auto"/>
        </w:pBdr>
        <w:tabs>
          <w:tab w:val="left" w:pos="562"/>
        </w:tabs>
        <w:suppressAutoHyphens/>
        <w:rPr>
          <w:rFonts w:ascii="Times New Roman Bold" w:hAnsi="Times New Roman Bold"/>
          <w:caps/>
          <w:sz w:val="22"/>
          <w:szCs w:val="20"/>
        </w:rPr>
      </w:pPr>
      <w:r w:rsidRPr="00C25DF2">
        <w:rPr>
          <w:b/>
          <w:bCs/>
          <w:caps/>
          <w:sz w:val="22"/>
          <w:szCs w:val="20"/>
        </w:rPr>
        <w:t xml:space="preserve">18. </w:t>
      </w:r>
      <w:r w:rsidRPr="00C25DF2">
        <w:rPr>
          <w:b/>
          <w:bCs/>
          <w:caps/>
          <w:sz w:val="22"/>
          <w:szCs w:val="20"/>
        </w:rPr>
        <w:tab/>
        <w:t>IDENTIFICADOR ÚNICO – DADOS PARA LEITURA HUMA</w:t>
      </w:r>
      <w:r>
        <w:rPr>
          <w:b/>
          <w:bCs/>
          <w:caps/>
          <w:sz w:val="22"/>
          <w:szCs w:val="20"/>
        </w:rPr>
        <w:t>NA</w:t>
      </w:r>
    </w:p>
    <w:p w14:paraId="5B7AF748" w14:textId="77777777" w:rsidR="004462A0" w:rsidRPr="00C25DF2" w:rsidRDefault="004462A0" w:rsidP="004462A0">
      <w:pPr>
        <w:keepNext/>
        <w:tabs>
          <w:tab w:val="left" w:pos="562"/>
        </w:tabs>
        <w:suppressAutoHyphens/>
        <w:ind w:left="540" w:hanging="540"/>
        <w:rPr>
          <w:sz w:val="22"/>
        </w:rPr>
      </w:pPr>
    </w:p>
    <w:p w14:paraId="176D60A6" w14:textId="77777777" w:rsidR="004462A0" w:rsidRPr="00973CF1" w:rsidRDefault="00615769" w:rsidP="004462A0">
      <w:pPr>
        <w:keepNext/>
        <w:tabs>
          <w:tab w:val="left" w:pos="562"/>
        </w:tabs>
        <w:suppressAutoHyphens/>
        <w:ind w:left="540" w:hanging="540"/>
        <w:rPr>
          <w:sz w:val="22"/>
        </w:rPr>
      </w:pPr>
      <w:r w:rsidRPr="00973CF1">
        <w:rPr>
          <w:sz w:val="22"/>
        </w:rPr>
        <w:t>PC</w:t>
      </w:r>
    </w:p>
    <w:p w14:paraId="5A216B76" w14:textId="77777777" w:rsidR="004462A0" w:rsidRPr="00973CF1" w:rsidRDefault="00615769" w:rsidP="004462A0">
      <w:pPr>
        <w:keepNext/>
        <w:tabs>
          <w:tab w:val="left" w:pos="562"/>
        </w:tabs>
        <w:suppressAutoHyphens/>
        <w:ind w:left="540" w:hanging="540"/>
        <w:rPr>
          <w:sz w:val="22"/>
        </w:rPr>
      </w:pPr>
      <w:r w:rsidRPr="00973CF1">
        <w:rPr>
          <w:sz w:val="22"/>
        </w:rPr>
        <w:t>SN</w:t>
      </w:r>
    </w:p>
    <w:p w14:paraId="4F247FAF" w14:textId="77777777" w:rsidR="004462A0" w:rsidRPr="00973CF1" w:rsidRDefault="00615769" w:rsidP="004462A0">
      <w:pPr>
        <w:keepNext/>
        <w:tabs>
          <w:tab w:val="left" w:pos="562"/>
        </w:tabs>
        <w:suppressAutoHyphens/>
        <w:ind w:left="540" w:hanging="540"/>
        <w:rPr>
          <w:sz w:val="22"/>
        </w:rPr>
      </w:pPr>
      <w:r w:rsidRPr="00973CF1">
        <w:rPr>
          <w:sz w:val="22"/>
          <w:highlight w:val="lightGray"/>
        </w:rPr>
        <w:t>NN</w:t>
      </w:r>
    </w:p>
    <w:p w14:paraId="4643330B" w14:textId="77777777" w:rsidR="004462A0" w:rsidRPr="00973CF1" w:rsidRDefault="00615769" w:rsidP="004462A0">
      <w:pPr>
        <w:pStyle w:val="Heading3"/>
        <w:keepNext w:val="0"/>
        <w:spacing w:before="0" w:after="0" w:line="240" w:lineRule="auto"/>
        <w:rPr>
          <w:sz w:val="22"/>
          <w:szCs w:val="22"/>
          <w:lang w:val="pt-PT"/>
        </w:rPr>
      </w:pPr>
      <w:r w:rsidRPr="00973CF1">
        <w:rPr>
          <w:b w:val="0"/>
          <w:sz w:val="22"/>
          <w:szCs w:val="22"/>
          <w:lang w:val="pt-PT"/>
        </w:rPr>
        <w:br w:type="page"/>
      </w:r>
    </w:p>
    <w:p w14:paraId="1B09F800" w14:textId="77777777" w:rsidR="004462A0" w:rsidRPr="00973CF1" w:rsidRDefault="00615769" w:rsidP="004462A0">
      <w:pPr>
        <w:pBdr>
          <w:top w:val="single" w:sz="4" w:space="1" w:color="auto"/>
          <w:left w:val="single" w:sz="4" w:space="4" w:color="auto"/>
          <w:bottom w:val="single" w:sz="4" w:space="1" w:color="auto"/>
          <w:right w:val="single" w:sz="4" w:space="4" w:color="auto"/>
        </w:pBdr>
        <w:tabs>
          <w:tab w:val="left" w:pos="567"/>
        </w:tabs>
        <w:rPr>
          <w:b/>
          <w:sz w:val="22"/>
          <w:szCs w:val="22"/>
        </w:rPr>
      </w:pPr>
      <w:r w:rsidRPr="00973CF1">
        <w:rPr>
          <w:b/>
          <w:sz w:val="22"/>
          <w:szCs w:val="22"/>
        </w:rPr>
        <w:t>INDICAÇÕES MÍNIMAS A INCLUIR NAS EMBALAGENS "BLISTER" OU FITAS CONTENTORAS</w:t>
      </w:r>
    </w:p>
    <w:p w14:paraId="687BEB05" w14:textId="77777777" w:rsidR="004462A0" w:rsidRPr="00973CF1" w:rsidRDefault="004462A0" w:rsidP="004462A0">
      <w:pPr>
        <w:pBdr>
          <w:top w:val="single" w:sz="4" w:space="1" w:color="auto"/>
          <w:left w:val="single" w:sz="4" w:space="4" w:color="auto"/>
          <w:bottom w:val="single" w:sz="4" w:space="1" w:color="auto"/>
          <w:right w:val="single" w:sz="4" w:space="4" w:color="auto"/>
        </w:pBdr>
        <w:tabs>
          <w:tab w:val="left" w:pos="567"/>
        </w:tabs>
        <w:rPr>
          <w:b/>
          <w:sz w:val="22"/>
          <w:szCs w:val="22"/>
        </w:rPr>
      </w:pPr>
    </w:p>
    <w:p w14:paraId="74F4028B" w14:textId="77777777" w:rsidR="004462A0" w:rsidRPr="008912CF" w:rsidRDefault="00615769" w:rsidP="004462A0">
      <w:pPr>
        <w:pStyle w:val="Heading3"/>
        <w:keepNext w:val="0"/>
        <w:pBdr>
          <w:top w:val="single" w:sz="4" w:space="1" w:color="auto"/>
          <w:left w:val="single" w:sz="4" w:space="4" w:color="auto"/>
          <w:bottom w:val="single" w:sz="4" w:space="1" w:color="auto"/>
          <w:right w:val="single" w:sz="4" w:space="4" w:color="auto"/>
        </w:pBdr>
        <w:spacing w:before="0" w:after="0" w:line="240" w:lineRule="auto"/>
        <w:rPr>
          <w:caps/>
          <w:sz w:val="22"/>
          <w:szCs w:val="22"/>
          <w:highlight w:val="lightGray"/>
          <w:lang w:val="pt-PT"/>
        </w:rPr>
      </w:pPr>
      <w:r w:rsidRPr="008912CF">
        <w:rPr>
          <w:caps/>
          <w:sz w:val="22"/>
          <w:szCs w:val="22"/>
          <w:lang w:val="pt-PT"/>
        </w:rPr>
        <w:t>Texto para o verso do tabuleiro</w:t>
      </w:r>
    </w:p>
    <w:p w14:paraId="501285A2" w14:textId="77777777" w:rsidR="004462A0" w:rsidRPr="008912CF" w:rsidRDefault="004462A0" w:rsidP="004462A0">
      <w:pPr>
        <w:tabs>
          <w:tab w:val="left" w:pos="720"/>
        </w:tabs>
        <w:rPr>
          <w:sz w:val="22"/>
          <w:szCs w:val="22"/>
        </w:rPr>
      </w:pPr>
    </w:p>
    <w:p w14:paraId="719D6A7F" w14:textId="77777777" w:rsidR="004462A0" w:rsidRPr="008912CF" w:rsidRDefault="004462A0" w:rsidP="004462A0">
      <w:pPr>
        <w:tabs>
          <w:tab w:val="left" w:pos="720"/>
        </w:tabs>
        <w:rPr>
          <w:sz w:val="22"/>
          <w:szCs w:val="22"/>
        </w:rPr>
      </w:pPr>
    </w:p>
    <w:p w14:paraId="3F0B7163"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rPr>
      </w:pPr>
      <w:r w:rsidRPr="008912CF">
        <w:rPr>
          <w:b/>
          <w:sz w:val="22"/>
          <w:szCs w:val="22"/>
        </w:rPr>
        <w:t>1.</w:t>
      </w:r>
      <w:r w:rsidRPr="008912CF">
        <w:rPr>
          <w:b/>
          <w:sz w:val="22"/>
          <w:szCs w:val="22"/>
        </w:rPr>
        <w:tab/>
        <w:t>NOME DO MEDICAMENTO</w:t>
      </w:r>
    </w:p>
    <w:p w14:paraId="3509C87E" w14:textId="77777777" w:rsidR="004462A0" w:rsidRPr="008912CF" w:rsidRDefault="004462A0" w:rsidP="004462A0">
      <w:pPr>
        <w:tabs>
          <w:tab w:val="left" w:pos="720"/>
        </w:tabs>
        <w:ind w:left="567" w:hanging="567"/>
        <w:rPr>
          <w:sz w:val="22"/>
          <w:szCs w:val="22"/>
        </w:rPr>
      </w:pPr>
    </w:p>
    <w:p w14:paraId="535D6855" w14:textId="77777777" w:rsidR="004462A0" w:rsidRPr="008912CF" w:rsidRDefault="00615769" w:rsidP="004462A0">
      <w:pPr>
        <w:tabs>
          <w:tab w:val="left" w:pos="720"/>
        </w:tabs>
        <w:ind w:left="567" w:hanging="567"/>
        <w:rPr>
          <w:sz w:val="22"/>
          <w:szCs w:val="22"/>
        </w:rPr>
      </w:pPr>
      <w:r w:rsidRPr="008912CF">
        <w:rPr>
          <w:sz w:val="22"/>
          <w:szCs w:val="22"/>
        </w:rPr>
        <w:t xml:space="preserve">Humira 40 mg solução injetável em seringa pré-cheia </w:t>
      </w:r>
    </w:p>
    <w:p w14:paraId="4178678F" w14:textId="77777777" w:rsidR="004462A0" w:rsidRPr="008912CF" w:rsidRDefault="00615769" w:rsidP="004462A0">
      <w:pPr>
        <w:tabs>
          <w:tab w:val="left" w:pos="720"/>
        </w:tabs>
        <w:ind w:left="567" w:hanging="567"/>
        <w:rPr>
          <w:sz w:val="22"/>
          <w:szCs w:val="22"/>
        </w:rPr>
      </w:pPr>
      <w:r w:rsidRPr="008912CF">
        <w:rPr>
          <w:sz w:val="22"/>
          <w:szCs w:val="22"/>
        </w:rPr>
        <w:t>adalimumab</w:t>
      </w:r>
    </w:p>
    <w:p w14:paraId="4329BB41" w14:textId="77777777" w:rsidR="004462A0" w:rsidRPr="008912CF" w:rsidRDefault="004462A0" w:rsidP="004462A0">
      <w:pPr>
        <w:tabs>
          <w:tab w:val="left" w:pos="720"/>
        </w:tabs>
        <w:rPr>
          <w:sz w:val="22"/>
          <w:szCs w:val="22"/>
        </w:rPr>
      </w:pPr>
    </w:p>
    <w:p w14:paraId="33019271" w14:textId="77777777" w:rsidR="004462A0" w:rsidRPr="008912CF" w:rsidRDefault="004462A0" w:rsidP="004462A0">
      <w:pPr>
        <w:tabs>
          <w:tab w:val="left" w:pos="720"/>
        </w:tabs>
        <w:rPr>
          <w:sz w:val="22"/>
          <w:szCs w:val="22"/>
        </w:rPr>
      </w:pPr>
    </w:p>
    <w:p w14:paraId="5E5BCD1E"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b/>
          <w:sz w:val="22"/>
          <w:szCs w:val="22"/>
          <w:highlight w:val="lightGray"/>
        </w:rPr>
      </w:pPr>
      <w:r w:rsidRPr="008912CF">
        <w:rPr>
          <w:b/>
          <w:sz w:val="22"/>
          <w:szCs w:val="22"/>
        </w:rPr>
        <w:t>2.</w:t>
      </w:r>
      <w:r w:rsidRPr="008912CF">
        <w:rPr>
          <w:b/>
          <w:sz w:val="22"/>
          <w:szCs w:val="22"/>
        </w:rPr>
        <w:tab/>
      </w:r>
      <w:r w:rsidRPr="008912CF">
        <w:rPr>
          <w:b/>
          <w:sz w:val="22"/>
          <w:szCs w:val="22"/>
        </w:rPr>
        <w:t>NOME DO TITULAR DA AUTORIZAÇÃO DE INTRODUÇÃO NO MERCADO</w:t>
      </w:r>
    </w:p>
    <w:p w14:paraId="02D8F076" w14:textId="77777777" w:rsidR="004462A0" w:rsidRPr="008912CF" w:rsidRDefault="004462A0" w:rsidP="004462A0">
      <w:pPr>
        <w:tabs>
          <w:tab w:val="left" w:pos="720"/>
        </w:tabs>
        <w:rPr>
          <w:sz w:val="22"/>
          <w:szCs w:val="22"/>
        </w:rPr>
      </w:pPr>
    </w:p>
    <w:p w14:paraId="578D9C4F" w14:textId="77777777" w:rsidR="004462A0" w:rsidRPr="008912CF" w:rsidRDefault="00615769" w:rsidP="004462A0">
      <w:pPr>
        <w:tabs>
          <w:tab w:val="left" w:pos="720"/>
        </w:tabs>
        <w:rPr>
          <w:sz w:val="22"/>
          <w:szCs w:val="22"/>
        </w:rPr>
      </w:pPr>
      <w:r w:rsidRPr="008912CF">
        <w:rPr>
          <w:sz w:val="22"/>
          <w:szCs w:val="22"/>
        </w:rPr>
        <w:t xml:space="preserve">AbbVie </w:t>
      </w:r>
      <w:r w:rsidR="00EC5DE4" w:rsidRPr="0074724A">
        <w:rPr>
          <w:sz w:val="22"/>
          <w:szCs w:val="22"/>
          <w:highlight w:val="lightGray"/>
          <w:lang w:eastAsia="en-GB"/>
        </w:rPr>
        <w:t>(como logo)</w:t>
      </w:r>
    </w:p>
    <w:p w14:paraId="6EB25A71" w14:textId="77777777" w:rsidR="004462A0" w:rsidRPr="008912CF" w:rsidRDefault="004462A0" w:rsidP="004462A0">
      <w:pPr>
        <w:tabs>
          <w:tab w:val="left" w:pos="720"/>
        </w:tabs>
        <w:rPr>
          <w:sz w:val="22"/>
          <w:szCs w:val="22"/>
        </w:rPr>
      </w:pPr>
    </w:p>
    <w:p w14:paraId="4B44866E" w14:textId="77777777" w:rsidR="004462A0" w:rsidRPr="008912CF" w:rsidRDefault="004462A0" w:rsidP="004462A0">
      <w:pPr>
        <w:pStyle w:val="EndnoteText"/>
        <w:tabs>
          <w:tab w:val="clear" w:pos="567"/>
          <w:tab w:val="left" w:pos="720"/>
        </w:tabs>
        <w:rPr>
          <w:szCs w:val="22"/>
        </w:rPr>
      </w:pPr>
    </w:p>
    <w:p w14:paraId="1EE5FAA9"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b/>
          <w:sz w:val="22"/>
          <w:szCs w:val="22"/>
          <w:highlight w:val="lightGray"/>
        </w:rPr>
      </w:pPr>
      <w:r w:rsidRPr="008912CF">
        <w:rPr>
          <w:b/>
          <w:sz w:val="22"/>
          <w:szCs w:val="22"/>
        </w:rPr>
        <w:t>3.</w:t>
      </w:r>
      <w:r w:rsidRPr="008912CF">
        <w:rPr>
          <w:b/>
          <w:sz w:val="22"/>
          <w:szCs w:val="22"/>
        </w:rPr>
        <w:tab/>
        <w:t>PRAZO DE VALIDADE</w:t>
      </w:r>
    </w:p>
    <w:p w14:paraId="77CDF0EB" w14:textId="77777777" w:rsidR="004462A0" w:rsidRPr="008912CF" w:rsidRDefault="004462A0" w:rsidP="004462A0">
      <w:pPr>
        <w:tabs>
          <w:tab w:val="left" w:pos="720"/>
        </w:tabs>
        <w:rPr>
          <w:sz w:val="22"/>
          <w:szCs w:val="22"/>
        </w:rPr>
      </w:pPr>
    </w:p>
    <w:p w14:paraId="32A06B2C" w14:textId="77777777" w:rsidR="004462A0" w:rsidRPr="008912CF" w:rsidRDefault="00615769" w:rsidP="004462A0">
      <w:pPr>
        <w:tabs>
          <w:tab w:val="left" w:pos="720"/>
        </w:tabs>
        <w:rPr>
          <w:sz w:val="22"/>
          <w:szCs w:val="22"/>
        </w:rPr>
      </w:pPr>
      <w:r>
        <w:rPr>
          <w:sz w:val="22"/>
          <w:szCs w:val="22"/>
        </w:rPr>
        <w:t>EXP</w:t>
      </w:r>
    </w:p>
    <w:p w14:paraId="4F3C3DF1" w14:textId="77777777" w:rsidR="004462A0" w:rsidRPr="008912CF" w:rsidRDefault="004462A0" w:rsidP="004462A0">
      <w:pPr>
        <w:tabs>
          <w:tab w:val="left" w:pos="720"/>
        </w:tabs>
        <w:rPr>
          <w:sz w:val="22"/>
          <w:szCs w:val="22"/>
        </w:rPr>
      </w:pPr>
    </w:p>
    <w:p w14:paraId="552120EA" w14:textId="77777777" w:rsidR="004462A0" w:rsidRPr="008912CF" w:rsidRDefault="004462A0" w:rsidP="004462A0">
      <w:pPr>
        <w:tabs>
          <w:tab w:val="left" w:pos="720"/>
        </w:tabs>
        <w:rPr>
          <w:sz w:val="22"/>
          <w:szCs w:val="22"/>
        </w:rPr>
      </w:pPr>
    </w:p>
    <w:p w14:paraId="72F88D18"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4.</w:t>
      </w:r>
      <w:r w:rsidRPr="008912CF">
        <w:rPr>
          <w:b/>
          <w:sz w:val="22"/>
          <w:szCs w:val="22"/>
        </w:rPr>
        <w:tab/>
        <w:t>NÚMERO DO LOTE</w:t>
      </w:r>
    </w:p>
    <w:p w14:paraId="4449B4A0" w14:textId="77777777" w:rsidR="004462A0" w:rsidRPr="008912CF" w:rsidRDefault="004462A0" w:rsidP="004462A0">
      <w:pPr>
        <w:tabs>
          <w:tab w:val="left" w:pos="720"/>
        </w:tabs>
        <w:rPr>
          <w:sz w:val="22"/>
          <w:szCs w:val="22"/>
        </w:rPr>
      </w:pPr>
    </w:p>
    <w:p w14:paraId="5AA32EF9" w14:textId="77777777" w:rsidR="004462A0" w:rsidRPr="008912CF" w:rsidRDefault="00615769" w:rsidP="004462A0">
      <w:pPr>
        <w:tabs>
          <w:tab w:val="left" w:pos="720"/>
        </w:tabs>
        <w:rPr>
          <w:sz w:val="22"/>
          <w:szCs w:val="22"/>
        </w:rPr>
      </w:pPr>
      <w:r w:rsidRPr="008912CF">
        <w:rPr>
          <w:sz w:val="22"/>
          <w:szCs w:val="22"/>
        </w:rPr>
        <w:t>Lote</w:t>
      </w:r>
    </w:p>
    <w:p w14:paraId="414DDFEC" w14:textId="77777777" w:rsidR="004462A0" w:rsidRPr="008912CF" w:rsidRDefault="004462A0" w:rsidP="004462A0">
      <w:pPr>
        <w:tabs>
          <w:tab w:val="left" w:pos="720"/>
        </w:tabs>
        <w:rPr>
          <w:sz w:val="22"/>
          <w:szCs w:val="22"/>
        </w:rPr>
      </w:pPr>
    </w:p>
    <w:p w14:paraId="639435ED" w14:textId="77777777" w:rsidR="004462A0" w:rsidRPr="008912CF" w:rsidRDefault="004462A0" w:rsidP="004462A0">
      <w:pPr>
        <w:tabs>
          <w:tab w:val="left" w:pos="720"/>
        </w:tabs>
        <w:rPr>
          <w:sz w:val="22"/>
          <w:szCs w:val="22"/>
        </w:rPr>
      </w:pPr>
    </w:p>
    <w:p w14:paraId="47E5B318"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5.</w:t>
      </w:r>
      <w:r w:rsidRPr="008912CF">
        <w:rPr>
          <w:b/>
          <w:sz w:val="22"/>
          <w:szCs w:val="22"/>
        </w:rPr>
        <w:tab/>
        <w:t>OUTR</w:t>
      </w:r>
      <w:r>
        <w:rPr>
          <w:b/>
          <w:sz w:val="22"/>
          <w:szCs w:val="22"/>
        </w:rPr>
        <w:t>O</w:t>
      </w:r>
      <w:r w:rsidRPr="008912CF">
        <w:rPr>
          <w:b/>
          <w:sz w:val="22"/>
          <w:szCs w:val="22"/>
        </w:rPr>
        <w:t>S</w:t>
      </w:r>
    </w:p>
    <w:p w14:paraId="52146C12" w14:textId="77777777" w:rsidR="004462A0" w:rsidRPr="008912CF" w:rsidRDefault="004462A0" w:rsidP="004462A0">
      <w:pPr>
        <w:pStyle w:val="EndnoteText"/>
        <w:tabs>
          <w:tab w:val="clear" w:pos="567"/>
          <w:tab w:val="left" w:pos="720"/>
        </w:tabs>
        <w:rPr>
          <w:szCs w:val="22"/>
        </w:rPr>
      </w:pPr>
    </w:p>
    <w:p w14:paraId="7482CBE6" w14:textId="77777777" w:rsidR="004462A0" w:rsidRPr="008912CF" w:rsidRDefault="00615769" w:rsidP="004462A0">
      <w:pPr>
        <w:tabs>
          <w:tab w:val="left" w:pos="720"/>
        </w:tabs>
        <w:ind w:left="567" w:hanging="567"/>
        <w:rPr>
          <w:sz w:val="22"/>
          <w:szCs w:val="22"/>
        </w:rPr>
      </w:pPr>
      <w:r w:rsidRPr="008912CF">
        <w:rPr>
          <w:sz w:val="22"/>
          <w:szCs w:val="22"/>
        </w:rPr>
        <w:t>Para informação de conservação, ver folheto informativo.</w:t>
      </w:r>
    </w:p>
    <w:p w14:paraId="58D51CD5" w14:textId="77777777" w:rsidR="004462A0" w:rsidRPr="008912CF" w:rsidRDefault="004462A0" w:rsidP="004462A0">
      <w:pPr>
        <w:shd w:val="clear" w:color="auto" w:fill="FFFFFF"/>
        <w:tabs>
          <w:tab w:val="left" w:pos="720"/>
        </w:tabs>
        <w:rPr>
          <w:sz w:val="22"/>
          <w:szCs w:val="22"/>
        </w:rPr>
      </w:pPr>
    </w:p>
    <w:p w14:paraId="02BFEEF9" w14:textId="77777777" w:rsidR="00773B4A" w:rsidRDefault="00615769" w:rsidP="004462A0">
      <w:pPr>
        <w:tabs>
          <w:tab w:val="left" w:pos="720"/>
        </w:tabs>
        <w:rPr>
          <w:sz w:val="22"/>
          <w:szCs w:val="22"/>
        </w:rPr>
      </w:pPr>
      <w:r w:rsidRPr="008912CF">
        <w:rPr>
          <w:sz w:val="22"/>
          <w:szCs w:val="22"/>
        </w:rPr>
        <w:t>Apenas para uma única utilização</w:t>
      </w:r>
      <w:r>
        <w:rPr>
          <w:sz w:val="22"/>
          <w:szCs w:val="22"/>
        </w:rPr>
        <w:t>.</w:t>
      </w:r>
    </w:p>
    <w:p w14:paraId="183F86E6" w14:textId="77777777" w:rsidR="00773B4A" w:rsidRDefault="00773B4A" w:rsidP="004462A0">
      <w:pPr>
        <w:tabs>
          <w:tab w:val="left" w:pos="720"/>
        </w:tabs>
        <w:rPr>
          <w:sz w:val="22"/>
          <w:szCs w:val="22"/>
        </w:rPr>
      </w:pPr>
    </w:p>
    <w:p w14:paraId="5826E120" w14:textId="77777777" w:rsidR="004462A0" w:rsidRPr="008912CF" w:rsidRDefault="00615769" w:rsidP="004462A0">
      <w:pPr>
        <w:tabs>
          <w:tab w:val="left" w:pos="720"/>
        </w:tabs>
        <w:rPr>
          <w:szCs w:val="22"/>
        </w:rPr>
      </w:pPr>
      <w:r>
        <w:rPr>
          <w:sz w:val="22"/>
          <w:szCs w:val="22"/>
        </w:rPr>
        <w:t>40 mg/0,4 ml</w:t>
      </w:r>
      <w:r w:rsidRPr="008912CF">
        <w:rPr>
          <w:szCs w:val="22"/>
        </w:rPr>
        <w:br w:type="page"/>
      </w:r>
    </w:p>
    <w:p w14:paraId="6697629D" w14:textId="77777777" w:rsidR="004462A0" w:rsidRPr="00431557" w:rsidRDefault="00615769" w:rsidP="004462A0">
      <w:pPr>
        <w:pBdr>
          <w:top w:val="single" w:sz="4" w:space="1" w:color="auto"/>
          <w:left w:val="single" w:sz="4" w:space="1" w:color="auto"/>
          <w:bottom w:val="single" w:sz="4" w:space="1" w:color="auto"/>
          <w:right w:val="single" w:sz="4" w:space="1" w:color="auto"/>
        </w:pBdr>
        <w:tabs>
          <w:tab w:val="left" w:pos="567"/>
        </w:tabs>
        <w:rPr>
          <w:sz w:val="22"/>
          <w:szCs w:val="22"/>
        </w:rPr>
      </w:pPr>
      <w:r w:rsidRPr="008912CF">
        <w:rPr>
          <w:b/>
          <w:sz w:val="22"/>
          <w:szCs w:val="22"/>
        </w:rPr>
        <w:t>INDICAÇÕES MÍNIMAS A INCLUIR EM PEQUENAS UNIDADES DE ACONDICIONAMENTO PRIMÁRIO</w:t>
      </w:r>
    </w:p>
    <w:p w14:paraId="58AF00A4" w14:textId="77777777" w:rsidR="004462A0" w:rsidRPr="00431557" w:rsidRDefault="004462A0" w:rsidP="004462A0">
      <w:pPr>
        <w:pBdr>
          <w:top w:val="single" w:sz="4" w:space="1" w:color="auto"/>
          <w:left w:val="single" w:sz="4" w:space="1" w:color="auto"/>
          <w:bottom w:val="single" w:sz="4" w:space="1" w:color="auto"/>
          <w:right w:val="single" w:sz="4" w:space="1" w:color="auto"/>
        </w:pBdr>
        <w:tabs>
          <w:tab w:val="left" w:pos="567"/>
        </w:tabs>
        <w:rPr>
          <w:bCs/>
          <w:sz w:val="22"/>
          <w:szCs w:val="22"/>
        </w:rPr>
      </w:pPr>
    </w:p>
    <w:p w14:paraId="4CB88B17" w14:textId="77777777" w:rsidR="004462A0" w:rsidRPr="00431557" w:rsidRDefault="00615769" w:rsidP="004462A0">
      <w:pPr>
        <w:pStyle w:val="Heading1"/>
        <w:keepNext w:val="0"/>
        <w:pBdr>
          <w:left w:val="single" w:sz="4" w:space="1" w:color="auto"/>
          <w:right w:val="single" w:sz="4" w:space="1" w:color="auto"/>
        </w:pBdr>
        <w:rPr>
          <w:b w:val="0"/>
          <w:caps/>
          <w:szCs w:val="22"/>
        </w:rPr>
      </w:pPr>
      <w:r w:rsidRPr="008912CF">
        <w:rPr>
          <w:caps/>
          <w:szCs w:val="22"/>
        </w:rPr>
        <w:t>Rótulo da seringa</w:t>
      </w:r>
    </w:p>
    <w:p w14:paraId="5EBCC054" w14:textId="77777777" w:rsidR="004462A0" w:rsidRPr="008912CF" w:rsidRDefault="004462A0" w:rsidP="004462A0">
      <w:pPr>
        <w:pStyle w:val="Index1"/>
        <w:spacing w:line="240" w:lineRule="auto"/>
        <w:rPr>
          <w:szCs w:val="22"/>
          <w:lang w:val="pt-PT"/>
        </w:rPr>
      </w:pPr>
    </w:p>
    <w:p w14:paraId="0A2B4197" w14:textId="77777777" w:rsidR="004462A0" w:rsidRPr="00431557" w:rsidRDefault="004462A0" w:rsidP="004462A0">
      <w:pPr>
        <w:tabs>
          <w:tab w:val="left" w:pos="720"/>
        </w:tabs>
        <w:rPr>
          <w:sz w:val="22"/>
          <w:szCs w:val="22"/>
        </w:rPr>
      </w:pPr>
    </w:p>
    <w:p w14:paraId="388006FC"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1.</w:t>
      </w:r>
      <w:r w:rsidRPr="008912CF">
        <w:rPr>
          <w:b/>
          <w:sz w:val="22"/>
          <w:szCs w:val="22"/>
        </w:rPr>
        <w:tab/>
        <w:t>NOME DO MEDICAMENTO E VIA DE ADMINISTRAÇÃO</w:t>
      </w:r>
    </w:p>
    <w:p w14:paraId="2298D62D" w14:textId="77777777" w:rsidR="004462A0" w:rsidRPr="008912CF" w:rsidRDefault="004462A0" w:rsidP="004462A0">
      <w:pPr>
        <w:tabs>
          <w:tab w:val="left" w:pos="720"/>
        </w:tabs>
        <w:ind w:left="567" w:hanging="567"/>
        <w:rPr>
          <w:sz w:val="22"/>
          <w:szCs w:val="22"/>
        </w:rPr>
      </w:pPr>
    </w:p>
    <w:p w14:paraId="5C5D5403" w14:textId="77777777" w:rsidR="004462A0" w:rsidRPr="008912CF" w:rsidRDefault="00615769" w:rsidP="004462A0">
      <w:pPr>
        <w:tabs>
          <w:tab w:val="left" w:pos="720"/>
        </w:tabs>
        <w:rPr>
          <w:sz w:val="22"/>
          <w:szCs w:val="22"/>
        </w:rPr>
      </w:pPr>
      <w:r w:rsidRPr="008912CF">
        <w:rPr>
          <w:sz w:val="22"/>
          <w:szCs w:val="22"/>
        </w:rPr>
        <w:t>Humira 40 mg solução injetável</w:t>
      </w:r>
    </w:p>
    <w:p w14:paraId="036CE4DD" w14:textId="77777777" w:rsidR="004462A0" w:rsidRPr="008912CF" w:rsidRDefault="00615769" w:rsidP="004462A0">
      <w:pPr>
        <w:tabs>
          <w:tab w:val="left" w:pos="720"/>
        </w:tabs>
        <w:rPr>
          <w:sz w:val="22"/>
          <w:szCs w:val="22"/>
        </w:rPr>
      </w:pPr>
      <w:r w:rsidRPr="008912CF">
        <w:rPr>
          <w:sz w:val="22"/>
          <w:szCs w:val="22"/>
        </w:rPr>
        <w:t>adalimumab</w:t>
      </w:r>
    </w:p>
    <w:p w14:paraId="0394A9BC" w14:textId="77777777" w:rsidR="004462A0" w:rsidRPr="008912CF" w:rsidRDefault="00615769" w:rsidP="004462A0">
      <w:pPr>
        <w:pStyle w:val="EndnoteText"/>
        <w:tabs>
          <w:tab w:val="clear" w:pos="567"/>
          <w:tab w:val="left" w:pos="720"/>
        </w:tabs>
        <w:rPr>
          <w:szCs w:val="22"/>
        </w:rPr>
      </w:pPr>
      <w:r w:rsidRPr="008912CF">
        <w:rPr>
          <w:szCs w:val="22"/>
        </w:rPr>
        <w:t>SC</w:t>
      </w:r>
    </w:p>
    <w:p w14:paraId="794054A7" w14:textId="77777777" w:rsidR="004462A0" w:rsidRPr="008912CF" w:rsidRDefault="004462A0" w:rsidP="004462A0">
      <w:pPr>
        <w:tabs>
          <w:tab w:val="left" w:pos="720"/>
        </w:tabs>
        <w:rPr>
          <w:bCs/>
          <w:sz w:val="22"/>
          <w:szCs w:val="22"/>
        </w:rPr>
      </w:pPr>
    </w:p>
    <w:p w14:paraId="33FC962F" w14:textId="77777777" w:rsidR="004462A0" w:rsidRPr="008912CF" w:rsidRDefault="004462A0" w:rsidP="004462A0">
      <w:pPr>
        <w:tabs>
          <w:tab w:val="left" w:pos="720"/>
        </w:tabs>
        <w:rPr>
          <w:bCs/>
          <w:sz w:val="22"/>
          <w:szCs w:val="22"/>
        </w:rPr>
      </w:pPr>
    </w:p>
    <w:p w14:paraId="7C1A6B4D"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b/>
          <w:sz w:val="22"/>
          <w:szCs w:val="22"/>
          <w:highlight w:val="lightGray"/>
        </w:rPr>
      </w:pPr>
      <w:r w:rsidRPr="008912CF">
        <w:rPr>
          <w:b/>
          <w:sz w:val="22"/>
          <w:szCs w:val="22"/>
        </w:rPr>
        <w:t>2.</w:t>
      </w:r>
      <w:r w:rsidRPr="008912CF">
        <w:rPr>
          <w:b/>
          <w:sz w:val="22"/>
          <w:szCs w:val="22"/>
        </w:rPr>
        <w:tab/>
      </w:r>
      <w:r w:rsidRPr="008912CF">
        <w:rPr>
          <w:b/>
          <w:sz w:val="22"/>
          <w:szCs w:val="22"/>
        </w:rPr>
        <w:t>MODO DE ADMINISTRAÇÃO</w:t>
      </w:r>
    </w:p>
    <w:p w14:paraId="1C936E33" w14:textId="77777777" w:rsidR="004462A0" w:rsidRPr="008912CF" w:rsidRDefault="004462A0" w:rsidP="004462A0">
      <w:pPr>
        <w:pStyle w:val="IndexHeading"/>
        <w:tabs>
          <w:tab w:val="clear" w:pos="567"/>
          <w:tab w:val="left" w:pos="720"/>
        </w:tabs>
        <w:spacing w:line="240" w:lineRule="auto"/>
        <w:rPr>
          <w:rFonts w:ascii="Times New Roman" w:hAnsi="Times New Roman"/>
          <w:b w:val="0"/>
          <w:bCs/>
          <w:szCs w:val="22"/>
          <w:lang w:val="pt-PT"/>
        </w:rPr>
      </w:pPr>
    </w:p>
    <w:p w14:paraId="5EF74C81" w14:textId="77777777" w:rsidR="004462A0" w:rsidRPr="008912CF" w:rsidRDefault="004462A0" w:rsidP="004462A0">
      <w:pPr>
        <w:tabs>
          <w:tab w:val="left" w:pos="720"/>
        </w:tabs>
        <w:rPr>
          <w:bCs/>
          <w:sz w:val="22"/>
          <w:szCs w:val="22"/>
        </w:rPr>
      </w:pPr>
    </w:p>
    <w:p w14:paraId="503ED09F"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3.</w:t>
      </w:r>
      <w:r w:rsidRPr="008912CF">
        <w:rPr>
          <w:b/>
          <w:sz w:val="22"/>
          <w:szCs w:val="22"/>
        </w:rPr>
        <w:tab/>
        <w:t>PRAZO DE VALIDADE</w:t>
      </w:r>
    </w:p>
    <w:p w14:paraId="14D642D9" w14:textId="77777777" w:rsidR="004462A0" w:rsidRPr="008912CF" w:rsidRDefault="004462A0" w:rsidP="004462A0">
      <w:pPr>
        <w:tabs>
          <w:tab w:val="left" w:pos="720"/>
        </w:tabs>
        <w:rPr>
          <w:sz w:val="22"/>
          <w:szCs w:val="22"/>
        </w:rPr>
      </w:pPr>
    </w:p>
    <w:p w14:paraId="7ACF4590" w14:textId="77777777" w:rsidR="004462A0" w:rsidRPr="008912CF" w:rsidRDefault="00615769" w:rsidP="004462A0">
      <w:pPr>
        <w:pStyle w:val="EndnoteText"/>
        <w:tabs>
          <w:tab w:val="clear" w:pos="567"/>
          <w:tab w:val="left" w:pos="720"/>
        </w:tabs>
        <w:rPr>
          <w:szCs w:val="22"/>
        </w:rPr>
      </w:pPr>
      <w:r>
        <w:rPr>
          <w:szCs w:val="22"/>
        </w:rPr>
        <w:t>EXP</w:t>
      </w:r>
      <w:r w:rsidRPr="008912CF">
        <w:rPr>
          <w:szCs w:val="22"/>
        </w:rPr>
        <w:t xml:space="preserve"> </w:t>
      </w:r>
    </w:p>
    <w:p w14:paraId="7CAC9122" w14:textId="77777777" w:rsidR="004462A0" w:rsidRPr="008912CF" w:rsidRDefault="004462A0" w:rsidP="004462A0">
      <w:pPr>
        <w:tabs>
          <w:tab w:val="left" w:pos="720"/>
        </w:tabs>
        <w:rPr>
          <w:sz w:val="22"/>
          <w:szCs w:val="22"/>
        </w:rPr>
      </w:pPr>
    </w:p>
    <w:p w14:paraId="0348ADE1" w14:textId="77777777" w:rsidR="004462A0" w:rsidRPr="008912CF" w:rsidRDefault="004462A0" w:rsidP="004462A0">
      <w:pPr>
        <w:tabs>
          <w:tab w:val="left" w:pos="720"/>
        </w:tabs>
        <w:rPr>
          <w:sz w:val="22"/>
          <w:szCs w:val="22"/>
        </w:rPr>
      </w:pPr>
    </w:p>
    <w:p w14:paraId="16435334"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4.</w:t>
      </w:r>
      <w:r w:rsidRPr="008912CF">
        <w:rPr>
          <w:b/>
          <w:sz w:val="22"/>
          <w:szCs w:val="22"/>
        </w:rPr>
        <w:tab/>
        <w:t>NÚMERO DO LOTE</w:t>
      </w:r>
    </w:p>
    <w:p w14:paraId="2FDBA9CA" w14:textId="77777777" w:rsidR="004462A0" w:rsidRPr="008912CF" w:rsidRDefault="004462A0" w:rsidP="004462A0">
      <w:pPr>
        <w:tabs>
          <w:tab w:val="left" w:pos="720"/>
        </w:tabs>
        <w:rPr>
          <w:sz w:val="22"/>
          <w:szCs w:val="22"/>
        </w:rPr>
      </w:pPr>
    </w:p>
    <w:p w14:paraId="190D8832" w14:textId="77777777" w:rsidR="004462A0" w:rsidRPr="008912CF" w:rsidRDefault="00615769" w:rsidP="004462A0">
      <w:pPr>
        <w:tabs>
          <w:tab w:val="left" w:pos="720"/>
        </w:tabs>
        <w:rPr>
          <w:sz w:val="22"/>
          <w:szCs w:val="22"/>
        </w:rPr>
      </w:pPr>
      <w:r w:rsidRPr="008912CF">
        <w:rPr>
          <w:sz w:val="22"/>
          <w:szCs w:val="22"/>
        </w:rPr>
        <w:t>Lote</w:t>
      </w:r>
    </w:p>
    <w:p w14:paraId="372EA987" w14:textId="77777777" w:rsidR="004462A0" w:rsidRPr="008912CF" w:rsidRDefault="004462A0" w:rsidP="004462A0">
      <w:pPr>
        <w:tabs>
          <w:tab w:val="left" w:pos="720"/>
        </w:tabs>
        <w:ind w:right="113"/>
        <w:rPr>
          <w:sz w:val="22"/>
          <w:szCs w:val="22"/>
          <w:highlight w:val="lightGray"/>
        </w:rPr>
      </w:pPr>
    </w:p>
    <w:p w14:paraId="142A5ED6" w14:textId="77777777" w:rsidR="004462A0" w:rsidRPr="008912CF" w:rsidRDefault="004462A0" w:rsidP="004462A0">
      <w:pPr>
        <w:tabs>
          <w:tab w:val="left" w:pos="720"/>
        </w:tabs>
        <w:ind w:right="113"/>
        <w:rPr>
          <w:sz w:val="22"/>
          <w:szCs w:val="22"/>
          <w:highlight w:val="lightGray"/>
        </w:rPr>
      </w:pPr>
    </w:p>
    <w:p w14:paraId="3884F376"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5.</w:t>
      </w:r>
      <w:r w:rsidRPr="008912CF">
        <w:rPr>
          <w:b/>
          <w:sz w:val="22"/>
          <w:szCs w:val="22"/>
        </w:rPr>
        <w:tab/>
        <w:t>CONTEÚDO EM PESO, VOLUME OU UNIDADE</w:t>
      </w:r>
    </w:p>
    <w:p w14:paraId="5F7CC6CA" w14:textId="77777777" w:rsidR="004462A0" w:rsidRPr="008912CF" w:rsidRDefault="004462A0" w:rsidP="004462A0">
      <w:pPr>
        <w:tabs>
          <w:tab w:val="left" w:pos="720"/>
        </w:tabs>
        <w:rPr>
          <w:sz w:val="22"/>
          <w:szCs w:val="22"/>
        </w:rPr>
      </w:pPr>
    </w:p>
    <w:p w14:paraId="50E313D1" w14:textId="77777777" w:rsidR="004462A0" w:rsidRPr="008912CF" w:rsidRDefault="00615769" w:rsidP="004462A0">
      <w:pPr>
        <w:tabs>
          <w:tab w:val="left" w:pos="720"/>
        </w:tabs>
        <w:rPr>
          <w:sz w:val="22"/>
          <w:szCs w:val="22"/>
        </w:rPr>
      </w:pPr>
      <w:r w:rsidRPr="008912CF">
        <w:rPr>
          <w:sz w:val="22"/>
          <w:szCs w:val="22"/>
        </w:rPr>
        <w:t>40 mg/0,4 ml</w:t>
      </w:r>
    </w:p>
    <w:p w14:paraId="327C0A00" w14:textId="77777777" w:rsidR="004462A0" w:rsidRPr="008912CF" w:rsidRDefault="004462A0" w:rsidP="004462A0">
      <w:pPr>
        <w:tabs>
          <w:tab w:val="left" w:pos="720"/>
        </w:tabs>
        <w:rPr>
          <w:sz w:val="22"/>
          <w:szCs w:val="22"/>
        </w:rPr>
      </w:pPr>
    </w:p>
    <w:p w14:paraId="5B986A01" w14:textId="77777777" w:rsidR="004462A0" w:rsidRPr="008912CF" w:rsidRDefault="004462A0" w:rsidP="004462A0">
      <w:pPr>
        <w:tabs>
          <w:tab w:val="left" w:pos="720"/>
        </w:tabs>
        <w:rPr>
          <w:sz w:val="22"/>
          <w:szCs w:val="22"/>
        </w:rPr>
      </w:pPr>
    </w:p>
    <w:p w14:paraId="01279790"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6.</w:t>
      </w:r>
      <w:r w:rsidRPr="008912CF">
        <w:rPr>
          <w:b/>
          <w:sz w:val="22"/>
          <w:szCs w:val="22"/>
        </w:rPr>
        <w:tab/>
        <w:t>OUTR</w:t>
      </w:r>
      <w:r>
        <w:rPr>
          <w:b/>
          <w:sz w:val="22"/>
          <w:szCs w:val="22"/>
        </w:rPr>
        <w:t>O</w:t>
      </w:r>
      <w:r w:rsidRPr="008912CF">
        <w:rPr>
          <w:b/>
          <w:sz w:val="22"/>
          <w:szCs w:val="22"/>
        </w:rPr>
        <w:t>S</w:t>
      </w:r>
    </w:p>
    <w:p w14:paraId="66EE11B4" w14:textId="77777777" w:rsidR="002B4742" w:rsidRDefault="002B4742" w:rsidP="004462A0">
      <w:pPr>
        <w:pStyle w:val="Heading3"/>
        <w:keepNext w:val="0"/>
        <w:spacing w:before="0" w:after="0" w:line="240" w:lineRule="auto"/>
        <w:rPr>
          <w:kern w:val="0"/>
          <w:sz w:val="22"/>
          <w:szCs w:val="22"/>
          <w:lang w:val="pt-PT"/>
        </w:rPr>
      </w:pPr>
    </w:p>
    <w:p w14:paraId="562A0E8B" w14:textId="77777777" w:rsidR="00075680" w:rsidRPr="00BF3168" w:rsidRDefault="00075680" w:rsidP="00075680">
      <w:pPr>
        <w:pStyle w:val="Heading3"/>
        <w:keepNext w:val="0"/>
        <w:spacing w:before="0" w:after="0" w:line="240" w:lineRule="auto"/>
        <w:rPr>
          <w:b w:val="0"/>
          <w:kern w:val="0"/>
          <w:sz w:val="22"/>
          <w:szCs w:val="22"/>
          <w:lang w:val="pt-PT"/>
        </w:rPr>
      </w:pPr>
    </w:p>
    <w:p w14:paraId="267CBBDF" w14:textId="77777777" w:rsidR="004462A0" w:rsidRPr="00075680" w:rsidRDefault="00615769" w:rsidP="00075680">
      <w:pPr>
        <w:pStyle w:val="Heading3"/>
        <w:keepNext w:val="0"/>
        <w:spacing w:before="0" w:after="0" w:line="240" w:lineRule="auto"/>
        <w:rPr>
          <w:i/>
          <w:iCs/>
          <w:sz w:val="22"/>
          <w:szCs w:val="22"/>
          <w:lang w:val="pt-PT"/>
        </w:rPr>
      </w:pPr>
      <w:r w:rsidRPr="00075680">
        <w:rPr>
          <w:sz w:val="22"/>
          <w:szCs w:val="22"/>
          <w:lang w:val="pt-PT"/>
        </w:rPr>
        <w:br w:type="page"/>
      </w:r>
    </w:p>
    <w:p w14:paraId="1A401788" w14:textId="77777777" w:rsidR="004462A0" w:rsidRPr="00431557" w:rsidRDefault="00615769" w:rsidP="004462A0">
      <w:pPr>
        <w:pStyle w:val="Heading1"/>
        <w:keepNext w:val="0"/>
        <w:rPr>
          <w:b w:val="0"/>
          <w:caps/>
          <w:szCs w:val="22"/>
        </w:rPr>
      </w:pPr>
      <w:r w:rsidRPr="005E4B70">
        <w:rPr>
          <w:szCs w:val="22"/>
        </w:rPr>
        <w:t>INDICAÇÕES A INCLUIR NO ACONDICIONAMENTO SECUNDÁRIO</w:t>
      </w:r>
    </w:p>
    <w:p w14:paraId="27D374C1" w14:textId="77777777" w:rsidR="00075680" w:rsidRPr="00431557" w:rsidRDefault="00075680" w:rsidP="00075680">
      <w:pPr>
        <w:pStyle w:val="Heading1"/>
        <w:keepNext w:val="0"/>
        <w:rPr>
          <w:b w:val="0"/>
          <w:caps/>
          <w:szCs w:val="22"/>
        </w:rPr>
      </w:pPr>
    </w:p>
    <w:p w14:paraId="7632DA5D" w14:textId="77777777" w:rsidR="004462A0" w:rsidRPr="00431557" w:rsidRDefault="00615769" w:rsidP="004462A0">
      <w:pPr>
        <w:pStyle w:val="Heading1"/>
        <w:keepNext w:val="0"/>
        <w:rPr>
          <w:b w:val="0"/>
          <w:caps/>
          <w:szCs w:val="22"/>
        </w:rPr>
      </w:pPr>
      <w:r w:rsidRPr="008912CF">
        <w:rPr>
          <w:caps/>
          <w:szCs w:val="22"/>
        </w:rPr>
        <w:t>Embalagem exterior</w:t>
      </w:r>
    </w:p>
    <w:p w14:paraId="17F02237" w14:textId="77777777" w:rsidR="004462A0" w:rsidRPr="00431557" w:rsidRDefault="004462A0" w:rsidP="004462A0">
      <w:pPr>
        <w:tabs>
          <w:tab w:val="left" w:pos="567"/>
        </w:tabs>
        <w:rPr>
          <w:sz w:val="22"/>
          <w:szCs w:val="22"/>
        </w:rPr>
      </w:pPr>
    </w:p>
    <w:p w14:paraId="725D5857" w14:textId="77777777" w:rsidR="004462A0" w:rsidRPr="00431557" w:rsidRDefault="004462A0" w:rsidP="004462A0">
      <w:pPr>
        <w:tabs>
          <w:tab w:val="left" w:pos="567"/>
        </w:tabs>
        <w:rPr>
          <w:sz w:val="22"/>
          <w:szCs w:val="22"/>
        </w:rPr>
      </w:pPr>
    </w:p>
    <w:p w14:paraId="021302F0"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rPr>
      </w:pPr>
      <w:r w:rsidRPr="008912CF">
        <w:rPr>
          <w:b/>
          <w:sz w:val="22"/>
          <w:szCs w:val="22"/>
        </w:rPr>
        <w:t>1.</w:t>
      </w:r>
      <w:r w:rsidRPr="008912CF">
        <w:rPr>
          <w:b/>
          <w:sz w:val="22"/>
          <w:szCs w:val="22"/>
        </w:rPr>
        <w:tab/>
      </w:r>
      <w:r w:rsidRPr="008912CF">
        <w:rPr>
          <w:b/>
          <w:sz w:val="22"/>
          <w:szCs w:val="22"/>
        </w:rPr>
        <w:t>NOME DO MEDICAMENTO</w:t>
      </w:r>
    </w:p>
    <w:p w14:paraId="2E645215" w14:textId="77777777" w:rsidR="004462A0" w:rsidRPr="008912CF" w:rsidRDefault="004462A0" w:rsidP="004462A0">
      <w:pPr>
        <w:tabs>
          <w:tab w:val="left" w:pos="720"/>
        </w:tabs>
        <w:rPr>
          <w:sz w:val="22"/>
          <w:szCs w:val="22"/>
        </w:rPr>
      </w:pPr>
    </w:p>
    <w:p w14:paraId="59ADBF81" w14:textId="77777777" w:rsidR="004462A0" w:rsidRPr="008912CF" w:rsidRDefault="00615769" w:rsidP="004462A0">
      <w:pPr>
        <w:tabs>
          <w:tab w:val="left" w:pos="720"/>
        </w:tabs>
        <w:rPr>
          <w:sz w:val="22"/>
          <w:szCs w:val="22"/>
        </w:rPr>
      </w:pPr>
      <w:r w:rsidRPr="008912CF">
        <w:rPr>
          <w:sz w:val="22"/>
          <w:szCs w:val="22"/>
        </w:rPr>
        <w:t>Humira 40 mg solução injetável em caneta pré-cheia</w:t>
      </w:r>
    </w:p>
    <w:p w14:paraId="79989A77" w14:textId="77777777" w:rsidR="004462A0" w:rsidRPr="008912CF" w:rsidRDefault="00615769" w:rsidP="004462A0">
      <w:pPr>
        <w:pStyle w:val="EndnoteText"/>
        <w:tabs>
          <w:tab w:val="clear" w:pos="567"/>
          <w:tab w:val="left" w:pos="720"/>
        </w:tabs>
        <w:rPr>
          <w:szCs w:val="22"/>
        </w:rPr>
      </w:pPr>
      <w:r w:rsidRPr="008912CF">
        <w:rPr>
          <w:szCs w:val="22"/>
        </w:rPr>
        <w:t>adalimumab</w:t>
      </w:r>
    </w:p>
    <w:p w14:paraId="6E6AC8EE" w14:textId="77777777" w:rsidR="004462A0" w:rsidRPr="008912CF" w:rsidRDefault="004462A0" w:rsidP="004462A0">
      <w:pPr>
        <w:pStyle w:val="EndnoteText"/>
        <w:tabs>
          <w:tab w:val="clear" w:pos="567"/>
          <w:tab w:val="left" w:pos="720"/>
        </w:tabs>
        <w:rPr>
          <w:szCs w:val="22"/>
        </w:rPr>
      </w:pPr>
    </w:p>
    <w:p w14:paraId="11AB3C7D" w14:textId="77777777" w:rsidR="004462A0" w:rsidRPr="008912CF" w:rsidRDefault="004462A0" w:rsidP="004462A0">
      <w:pPr>
        <w:rPr>
          <w:sz w:val="22"/>
          <w:szCs w:val="22"/>
        </w:rPr>
      </w:pPr>
    </w:p>
    <w:p w14:paraId="713C3BC8"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rPr>
      </w:pPr>
      <w:r w:rsidRPr="008912CF">
        <w:rPr>
          <w:b/>
          <w:sz w:val="22"/>
          <w:szCs w:val="22"/>
        </w:rPr>
        <w:t>2.</w:t>
      </w:r>
      <w:r w:rsidRPr="008912CF">
        <w:rPr>
          <w:b/>
          <w:sz w:val="22"/>
          <w:szCs w:val="22"/>
        </w:rPr>
        <w:tab/>
      </w:r>
      <w:r w:rsidRPr="008912CF">
        <w:rPr>
          <w:b/>
          <w:bCs/>
          <w:sz w:val="22"/>
          <w:szCs w:val="22"/>
        </w:rPr>
        <w:t>DESCRIÇÃO DA SUBSTÂNCIA ATIVA</w:t>
      </w:r>
    </w:p>
    <w:p w14:paraId="2ECE6696" w14:textId="77777777" w:rsidR="004462A0" w:rsidRPr="008912CF" w:rsidRDefault="004462A0" w:rsidP="004462A0">
      <w:pPr>
        <w:tabs>
          <w:tab w:val="left" w:pos="720"/>
        </w:tabs>
        <w:rPr>
          <w:sz w:val="22"/>
          <w:szCs w:val="22"/>
        </w:rPr>
      </w:pPr>
    </w:p>
    <w:p w14:paraId="3F4256F1" w14:textId="77777777" w:rsidR="004462A0" w:rsidRPr="008912CF" w:rsidRDefault="00615769" w:rsidP="004462A0">
      <w:pPr>
        <w:tabs>
          <w:tab w:val="left" w:pos="720"/>
        </w:tabs>
        <w:rPr>
          <w:sz w:val="22"/>
          <w:szCs w:val="22"/>
        </w:rPr>
      </w:pPr>
      <w:r w:rsidRPr="008912CF">
        <w:rPr>
          <w:sz w:val="22"/>
          <w:szCs w:val="22"/>
        </w:rPr>
        <w:t>Uma caneta pré-cheia de 0,4 ml contém 40 mg de adalimumab</w:t>
      </w:r>
      <w:r w:rsidR="00800A92">
        <w:rPr>
          <w:sz w:val="22"/>
          <w:szCs w:val="22"/>
        </w:rPr>
        <w:t>.</w:t>
      </w:r>
    </w:p>
    <w:p w14:paraId="6F0E3C35" w14:textId="77777777" w:rsidR="004462A0" w:rsidRPr="008912CF" w:rsidRDefault="004462A0" w:rsidP="004462A0">
      <w:pPr>
        <w:tabs>
          <w:tab w:val="left" w:pos="720"/>
        </w:tabs>
        <w:rPr>
          <w:sz w:val="22"/>
          <w:szCs w:val="22"/>
        </w:rPr>
      </w:pPr>
    </w:p>
    <w:p w14:paraId="1028A33C" w14:textId="77777777" w:rsidR="004462A0" w:rsidRPr="008912CF" w:rsidRDefault="004462A0" w:rsidP="004462A0">
      <w:pPr>
        <w:tabs>
          <w:tab w:val="left" w:pos="720"/>
        </w:tabs>
        <w:rPr>
          <w:sz w:val="22"/>
          <w:szCs w:val="22"/>
        </w:rPr>
      </w:pPr>
    </w:p>
    <w:p w14:paraId="020AF085" w14:textId="77777777" w:rsidR="004462A0" w:rsidRPr="008912CF" w:rsidRDefault="00615769" w:rsidP="004462A0">
      <w:pPr>
        <w:pBdr>
          <w:top w:val="single" w:sz="4" w:space="1" w:color="auto"/>
          <w:left w:val="single" w:sz="4" w:space="4" w:color="auto"/>
          <w:bottom w:val="single" w:sz="4" w:space="2"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3.</w:t>
      </w:r>
      <w:r w:rsidRPr="008912CF">
        <w:rPr>
          <w:b/>
          <w:sz w:val="22"/>
          <w:szCs w:val="22"/>
        </w:rPr>
        <w:tab/>
        <w:t>LISTA DOS EXCIPIENTES</w:t>
      </w:r>
    </w:p>
    <w:p w14:paraId="78B9C8DF" w14:textId="77777777" w:rsidR="004462A0" w:rsidRPr="008912CF" w:rsidRDefault="004462A0" w:rsidP="004462A0">
      <w:pPr>
        <w:tabs>
          <w:tab w:val="left" w:pos="720"/>
        </w:tabs>
        <w:rPr>
          <w:sz w:val="22"/>
          <w:szCs w:val="22"/>
        </w:rPr>
      </w:pPr>
    </w:p>
    <w:p w14:paraId="0A5C19D0" w14:textId="77777777" w:rsidR="004462A0" w:rsidRPr="008912CF" w:rsidRDefault="00615769" w:rsidP="004462A0">
      <w:pPr>
        <w:tabs>
          <w:tab w:val="left" w:pos="720"/>
        </w:tabs>
        <w:rPr>
          <w:sz w:val="22"/>
          <w:szCs w:val="22"/>
        </w:rPr>
      </w:pPr>
      <w:r w:rsidRPr="008912CF">
        <w:rPr>
          <w:sz w:val="22"/>
          <w:szCs w:val="22"/>
        </w:rPr>
        <w:t>Excipientes: manitol, polissorbato 80 e água para preparações injetáveis. Consultar o folheto informativo para informação adicional.</w:t>
      </w:r>
    </w:p>
    <w:p w14:paraId="0A570247" w14:textId="77777777" w:rsidR="004462A0" w:rsidRPr="008912CF" w:rsidRDefault="004462A0" w:rsidP="004462A0">
      <w:pPr>
        <w:tabs>
          <w:tab w:val="left" w:pos="720"/>
        </w:tabs>
        <w:rPr>
          <w:sz w:val="22"/>
          <w:szCs w:val="22"/>
        </w:rPr>
      </w:pPr>
    </w:p>
    <w:p w14:paraId="46FF1CBC" w14:textId="77777777" w:rsidR="004462A0" w:rsidRPr="008912CF" w:rsidRDefault="004462A0" w:rsidP="004462A0">
      <w:pPr>
        <w:tabs>
          <w:tab w:val="left" w:pos="720"/>
        </w:tabs>
        <w:rPr>
          <w:sz w:val="22"/>
          <w:szCs w:val="22"/>
        </w:rPr>
      </w:pPr>
    </w:p>
    <w:p w14:paraId="43FE21F4"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4.</w:t>
      </w:r>
      <w:r w:rsidRPr="008912CF">
        <w:rPr>
          <w:b/>
          <w:sz w:val="22"/>
          <w:szCs w:val="22"/>
        </w:rPr>
        <w:tab/>
        <w:t>FORMA FARMACÊUTICA E CONTEÚDO</w:t>
      </w:r>
    </w:p>
    <w:p w14:paraId="07695653" w14:textId="77777777" w:rsidR="004462A0" w:rsidRPr="008912CF" w:rsidRDefault="004462A0" w:rsidP="004462A0">
      <w:pPr>
        <w:tabs>
          <w:tab w:val="left" w:pos="720"/>
        </w:tabs>
        <w:rPr>
          <w:sz w:val="22"/>
          <w:szCs w:val="22"/>
        </w:rPr>
      </w:pPr>
    </w:p>
    <w:p w14:paraId="6F2168F8" w14:textId="77777777" w:rsidR="00D41B9F" w:rsidRPr="002112C5" w:rsidRDefault="00615769" w:rsidP="004462A0">
      <w:pPr>
        <w:tabs>
          <w:tab w:val="left" w:pos="720"/>
        </w:tabs>
        <w:rPr>
          <w:sz w:val="22"/>
          <w:szCs w:val="22"/>
          <w:shd w:val="pct15" w:color="auto" w:fill="FFFFFF"/>
        </w:rPr>
      </w:pPr>
      <w:r w:rsidRPr="002112C5">
        <w:rPr>
          <w:sz w:val="22"/>
          <w:szCs w:val="22"/>
          <w:shd w:val="pct15" w:color="auto" w:fill="FFFFFF"/>
        </w:rPr>
        <w:t>Solução</w:t>
      </w:r>
      <w:r w:rsidR="00554634" w:rsidRPr="002112C5">
        <w:rPr>
          <w:sz w:val="22"/>
          <w:szCs w:val="22"/>
          <w:shd w:val="pct15" w:color="auto" w:fill="FFFFFF"/>
        </w:rPr>
        <w:t xml:space="preserve"> </w:t>
      </w:r>
      <w:r w:rsidRPr="002112C5">
        <w:rPr>
          <w:sz w:val="22"/>
          <w:szCs w:val="22"/>
          <w:shd w:val="pct15" w:color="auto" w:fill="FFFFFF"/>
        </w:rPr>
        <w:t>injetáve</w:t>
      </w:r>
      <w:r w:rsidR="00154C95" w:rsidRPr="002112C5">
        <w:rPr>
          <w:sz w:val="22"/>
          <w:szCs w:val="22"/>
          <w:shd w:val="pct15" w:color="auto" w:fill="FFFFFF"/>
        </w:rPr>
        <w:t>l</w:t>
      </w:r>
    </w:p>
    <w:p w14:paraId="6FC4E27C" w14:textId="77777777" w:rsidR="004462A0" w:rsidRPr="008912CF" w:rsidRDefault="00615769" w:rsidP="004462A0">
      <w:pPr>
        <w:tabs>
          <w:tab w:val="left" w:pos="720"/>
        </w:tabs>
        <w:rPr>
          <w:sz w:val="22"/>
          <w:szCs w:val="22"/>
        </w:rPr>
      </w:pPr>
      <w:r w:rsidRPr="008912CF">
        <w:rPr>
          <w:sz w:val="22"/>
          <w:szCs w:val="22"/>
        </w:rPr>
        <w:t>1 caneta pré-cheia</w:t>
      </w:r>
    </w:p>
    <w:p w14:paraId="6F319A91" w14:textId="77777777" w:rsidR="004462A0" w:rsidRPr="008912CF" w:rsidRDefault="00615769" w:rsidP="004462A0">
      <w:pPr>
        <w:tabs>
          <w:tab w:val="left" w:pos="720"/>
        </w:tabs>
        <w:rPr>
          <w:i/>
          <w:sz w:val="22"/>
          <w:szCs w:val="22"/>
        </w:rPr>
      </w:pPr>
      <w:r w:rsidRPr="008912CF">
        <w:rPr>
          <w:sz w:val="22"/>
          <w:szCs w:val="22"/>
        </w:rPr>
        <w:t>2 compressas embebidas em álcool</w:t>
      </w:r>
    </w:p>
    <w:p w14:paraId="5D039FB0" w14:textId="77777777" w:rsidR="00554634" w:rsidRDefault="00554634" w:rsidP="00554634">
      <w:pPr>
        <w:tabs>
          <w:tab w:val="left" w:pos="720"/>
        </w:tabs>
        <w:rPr>
          <w:sz w:val="22"/>
          <w:szCs w:val="22"/>
        </w:rPr>
      </w:pPr>
    </w:p>
    <w:p w14:paraId="6F121C3E" w14:textId="77777777" w:rsidR="00554634" w:rsidRPr="002112C5" w:rsidRDefault="00615769" w:rsidP="00554634">
      <w:pPr>
        <w:tabs>
          <w:tab w:val="left" w:pos="720"/>
        </w:tabs>
        <w:rPr>
          <w:sz w:val="22"/>
          <w:szCs w:val="22"/>
          <w:shd w:val="pct15" w:color="auto" w:fill="FFFFFF"/>
        </w:rPr>
      </w:pPr>
      <w:r w:rsidRPr="002112C5">
        <w:rPr>
          <w:sz w:val="22"/>
          <w:szCs w:val="22"/>
          <w:shd w:val="pct15" w:color="auto" w:fill="FFFFFF"/>
        </w:rPr>
        <w:t>2 canetas pré-cheias</w:t>
      </w:r>
    </w:p>
    <w:p w14:paraId="24D279A6" w14:textId="77777777" w:rsidR="00554634" w:rsidRPr="002112C5" w:rsidRDefault="00615769" w:rsidP="00554634">
      <w:pPr>
        <w:tabs>
          <w:tab w:val="left" w:pos="720"/>
        </w:tabs>
        <w:rPr>
          <w:sz w:val="22"/>
          <w:szCs w:val="22"/>
          <w:shd w:val="pct15" w:color="auto" w:fill="FFFFFF"/>
        </w:rPr>
      </w:pPr>
      <w:r w:rsidRPr="002112C5">
        <w:rPr>
          <w:sz w:val="22"/>
          <w:szCs w:val="22"/>
          <w:shd w:val="pct15" w:color="auto" w:fill="FFFFFF"/>
        </w:rPr>
        <w:t>2 compressas embebidas em álcool</w:t>
      </w:r>
    </w:p>
    <w:p w14:paraId="3991AA59" w14:textId="77777777" w:rsidR="00554634" w:rsidRPr="002112C5" w:rsidRDefault="00554634" w:rsidP="00554634">
      <w:pPr>
        <w:tabs>
          <w:tab w:val="left" w:pos="720"/>
        </w:tabs>
        <w:rPr>
          <w:sz w:val="22"/>
          <w:szCs w:val="22"/>
          <w:shd w:val="pct15" w:color="auto" w:fill="FFFFFF"/>
        </w:rPr>
      </w:pPr>
    </w:p>
    <w:p w14:paraId="2440F864" w14:textId="77777777" w:rsidR="00554634" w:rsidRPr="002112C5" w:rsidRDefault="00615769" w:rsidP="00554634">
      <w:pPr>
        <w:tabs>
          <w:tab w:val="left" w:pos="720"/>
        </w:tabs>
        <w:rPr>
          <w:sz w:val="22"/>
          <w:szCs w:val="22"/>
          <w:shd w:val="pct15" w:color="auto" w:fill="FFFFFF"/>
        </w:rPr>
      </w:pPr>
      <w:r w:rsidRPr="002112C5">
        <w:rPr>
          <w:sz w:val="22"/>
          <w:szCs w:val="22"/>
          <w:shd w:val="pct15" w:color="auto" w:fill="FFFFFF"/>
        </w:rPr>
        <w:t>4 canetas pré-cheias</w:t>
      </w:r>
    </w:p>
    <w:p w14:paraId="6B85E8EB" w14:textId="77777777" w:rsidR="00554634" w:rsidRPr="002112C5" w:rsidRDefault="00615769" w:rsidP="00554634">
      <w:pPr>
        <w:tabs>
          <w:tab w:val="left" w:pos="720"/>
        </w:tabs>
        <w:rPr>
          <w:sz w:val="22"/>
          <w:szCs w:val="22"/>
          <w:shd w:val="pct15" w:color="auto" w:fill="FFFFFF"/>
        </w:rPr>
      </w:pPr>
      <w:r w:rsidRPr="002112C5">
        <w:rPr>
          <w:sz w:val="22"/>
          <w:szCs w:val="22"/>
          <w:shd w:val="pct15" w:color="auto" w:fill="FFFFFF"/>
        </w:rPr>
        <w:t>4 compressas embebidas em álcool</w:t>
      </w:r>
    </w:p>
    <w:p w14:paraId="0B458259" w14:textId="77777777" w:rsidR="00554634" w:rsidRPr="002112C5" w:rsidRDefault="00554634" w:rsidP="00554634">
      <w:pPr>
        <w:tabs>
          <w:tab w:val="left" w:pos="720"/>
        </w:tabs>
        <w:rPr>
          <w:sz w:val="22"/>
          <w:szCs w:val="22"/>
          <w:shd w:val="pct15" w:color="auto" w:fill="FFFFFF"/>
        </w:rPr>
      </w:pPr>
    </w:p>
    <w:p w14:paraId="04A6574B" w14:textId="77777777" w:rsidR="00554634" w:rsidRPr="002112C5" w:rsidRDefault="00615769" w:rsidP="00554634">
      <w:pPr>
        <w:tabs>
          <w:tab w:val="left" w:pos="720"/>
        </w:tabs>
        <w:rPr>
          <w:sz w:val="22"/>
          <w:szCs w:val="22"/>
          <w:shd w:val="pct15" w:color="auto" w:fill="FFFFFF"/>
        </w:rPr>
      </w:pPr>
      <w:r w:rsidRPr="002112C5">
        <w:rPr>
          <w:sz w:val="22"/>
          <w:szCs w:val="22"/>
          <w:shd w:val="pct15" w:color="auto" w:fill="FFFFFF"/>
        </w:rPr>
        <w:t>6 canetas pré-cheias</w:t>
      </w:r>
    </w:p>
    <w:p w14:paraId="7C6F8C3E" w14:textId="77777777" w:rsidR="00554634" w:rsidRPr="002112C5" w:rsidRDefault="00615769" w:rsidP="00554634">
      <w:pPr>
        <w:tabs>
          <w:tab w:val="left" w:pos="720"/>
        </w:tabs>
        <w:rPr>
          <w:sz w:val="22"/>
          <w:szCs w:val="22"/>
          <w:shd w:val="pct15" w:color="auto" w:fill="FFFFFF"/>
        </w:rPr>
      </w:pPr>
      <w:r w:rsidRPr="002112C5">
        <w:rPr>
          <w:sz w:val="22"/>
          <w:szCs w:val="22"/>
          <w:shd w:val="pct15" w:color="auto" w:fill="FFFFFF"/>
        </w:rPr>
        <w:t>6 compressas embebidas em álcool</w:t>
      </w:r>
    </w:p>
    <w:p w14:paraId="5E6428F9" w14:textId="77777777" w:rsidR="004462A0" w:rsidRPr="008912CF" w:rsidRDefault="004462A0" w:rsidP="00554634">
      <w:pPr>
        <w:tabs>
          <w:tab w:val="left" w:pos="720"/>
        </w:tabs>
        <w:rPr>
          <w:sz w:val="22"/>
          <w:szCs w:val="22"/>
          <w:highlight w:val="yellow"/>
        </w:rPr>
      </w:pPr>
    </w:p>
    <w:p w14:paraId="4384BB70" w14:textId="77777777" w:rsidR="004462A0" w:rsidRPr="008912CF" w:rsidRDefault="004462A0" w:rsidP="004462A0">
      <w:pPr>
        <w:tabs>
          <w:tab w:val="left" w:pos="720"/>
        </w:tabs>
        <w:rPr>
          <w:color w:val="000000"/>
          <w:sz w:val="22"/>
          <w:szCs w:val="22"/>
          <w:u w:val="single"/>
        </w:rPr>
      </w:pPr>
    </w:p>
    <w:p w14:paraId="56178F81"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5.</w:t>
      </w:r>
      <w:r w:rsidRPr="008912CF">
        <w:rPr>
          <w:b/>
          <w:sz w:val="22"/>
          <w:szCs w:val="22"/>
        </w:rPr>
        <w:tab/>
      </w:r>
      <w:r w:rsidRPr="008912CF">
        <w:rPr>
          <w:b/>
          <w:sz w:val="22"/>
          <w:szCs w:val="22"/>
        </w:rPr>
        <w:t>MODO E VIA DE ADMINISTRAÇÃO</w:t>
      </w:r>
    </w:p>
    <w:p w14:paraId="60E91D34" w14:textId="77777777" w:rsidR="004462A0" w:rsidRPr="008912CF" w:rsidRDefault="004462A0" w:rsidP="004462A0">
      <w:pPr>
        <w:tabs>
          <w:tab w:val="left" w:pos="720"/>
        </w:tabs>
        <w:rPr>
          <w:sz w:val="22"/>
          <w:szCs w:val="22"/>
        </w:rPr>
      </w:pPr>
    </w:p>
    <w:p w14:paraId="6A124FD2" w14:textId="77777777" w:rsidR="004462A0" w:rsidRPr="008912CF" w:rsidRDefault="00615769" w:rsidP="004462A0">
      <w:pPr>
        <w:tabs>
          <w:tab w:val="left" w:pos="720"/>
        </w:tabs>
        <w:rPr>
          <w:sz w:val="22"/>
          <w:szCs w:val="22"/>
        </w:rPr>
      </w:pPr>
      <w:r w:rsidRPr="008912CF">
        <w:rPr>
          <w:sz w:val="22"/>
          <w:szCs w:val="22"/>
        </w:rPr>
        <w:t>Via subcutânea</w:t>
      </w:r>
    </w:p>
    <w:p w14:paraId="5B8D15C3" w14:textId="77777777" w:rsidR="004462A0" w:rsidRPr="008912CF" w:rsidRDefault="004462A0" w:rsidP="004462A0">
      <w:pPr>
        <w:tabs>
          <w:tab w:val="left" w:pos="720"/>
        </w:tabs>
        <w:rPr>
          <w:sz w:val="22"/>
          <w:szCs w:val="22"/>
        </w:rPr>
      </w:pPr>
    </w:p>
    <w:p w14:paraId="4E88B7F3" w14:textId="77777777" w:rsidR="004462A0" w:rsidRDefault="00615769" w:rsidP="004462A0">
      <w:pPr>
        <w:tabs>
          <w:tab w:val="left" w:pos="720"/>
        </w:tabs>
        <w:rPr>
          <w:sz w:val="22"/>
          <w:szCs w:val="22"/>
        </w:rPr>
      </w:pPr>
      <w:r w:rsidRPr="008912CF">
        <w:rPr>
          <w:sz w:val="22"/>
          <w:szCs w:val="22"/>
        </w:rPr>
        <w:t>Consultar o folheto informativo antes de utilizar.</w:t>
      </w:r>
    </w:p>
    <w:p w14:paraId="6E05C482" w14:textId="77777777" w:rsidR="00D41B9F" w:rsidRDefault="00D41B9F" w:rsidP="004462A0">
      <w:pPr>
        <w:tabs>
          <w:tab w:val="left" w:pos="720"/>
        </w:tabs>
        <w:rPr>
          <w:sz w:val="22"/>
          <w:szCs w:val="22"/>
        </w:rPr>
      </w:pPr>
    </w:p>
    <w:p w14:paraId="6E50AA42" w14:textId="77777777" w:rsidR="00D41B9F" w:rsidRPr="008912CF" w:rsidRDefault="00615769" w:rsidP="004462A0">
      <w:pPr>
        <w:tabs>
          <w:tab w:val="left" w:pos="720"/>
        </w:tabs>
        <w:rPr>
          <w:sz w:val="22"/>
          <w:szCs w:val="22"/>
        </w:rPr>
      </w:pPr>
      <w:r w:rsidRPr="008912CF">
        <w:rPr>
          <w:sz w:val="22"/>
          <w:szCs w:val="22"/>
        </w:rPr>
        <w:t>Apenas para uma única utilização</w:t>
      </w:r>
      <w:r w:rsidR="00554634">
        <w:rPr>
          <w:sz w:val="22"/>
          <w:szCs w:val="22"/>
        </w:rPr>
        <w:t>.</w:t>
      </w:r>
    </w:p>
    <w:p w14:paraId="27A089B5" w14:textId="77777777" w:rsidR="004462A0" w:rsidRPr="008912CF" w:rsidRDefault="004462A0" w:rsidP="004462A0">
      <w:pPr>
        <w:pStyle w:val="EndnoteText"/>
        <w:tabs>
          <w:tab w:val="clear" w:pos="567"/>
          <w:tab w:val="left" w:pos="720"/>
        </w:tabs>
        <w:rPr>
          <w:szCs w:val="22"/>
        </w:rPr>
      </w:pPr>
    </w:p>
    <w:p w14:paraId="54CFB59A" w14:textId="77777777" w:rsidR="004462A0" w:rsidRPr="008912CF" w:rsidRDefault="004462A0" w:rsidP="004462A0">
      <w:pPr>
        <w:tabs>
          <w:tab w:val="left" w:pos="720"/>
        </w:tabs>
        <w:rPr>
          <w:sz w:val="22"/>
          <w:szCs w:val="22"/>
        </w:rPr>
      </w:pPr>
    </w:p>
    <w:p w14:paraId="3F76AE69"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6.</w:t>
      </w:r>
      <w:r w:rsidRPr="008912CF">
        <w:rPr>
          <w:b/>
          <w:sz w:val="22"/>
          <w:szCs w:val="22"/>
        </w:rPr>
        <w:tab/>
      </w:r>
      <w:r w:rsidRPr="008912CF">
        <w:rPr>
          <w:b/>
          <w:bCs/>
          <w:iCs/>
          <w:sz w:val="22"/>
          <w:szCs w:val="22"/>
        </w:rPr>
        <w:t>ADVERTÊNCIA ESPECIAL DE QUE O MEDICAMENTO DEVE SER MANTIDO FORA DA VISTA E DO ALCANCE DAS CRIANÇAS</w:t>
      </w:r>
      <w:r w:rsidRPr="008912CF">
        <w:rPr>
          <w:b/>
          <w:iCs/>
          <w:sz w:val="22"/>
          <w:szCs w:val="22"/>
        </w:rPr>
        <w:t xml:space="preserve"> </w:t>
      </w:r>
    </w:p>
    <w:p w14:paraId="470DC757" w14:textId="77777777" w:rsidR="004462A0" w:rsidRPr="008912CF" w:rsidRDefault="004462A0" w:rsidP="004462A0">
      <w:pPr>
        <w:tabs>
          <w:tab w:val="left" w:pos="720"/>
        </w:tabs>
        <w:rPr>
          <w:sz w:val="22"/>
          <w:szCs w:val="22"/>
        </w:rPr>
      </w:pPr>
    </w:p>
    <w:p w14:paraId="76A51C3C" w14:textId="77777777" w:rsidR="004462A0" w:rsidRPr="008912CF" w:rsidRDefault="00615769" w:rsidP="004462A0">
      <w:pPr>
        <w:pStyle w:val="EndnoteText"/>
        <w:tabs>
          <w:tab w:val="clear" w:pos="567"/>
          <w:tab w:val="left" w:pos="720"/>
        </w:tabs>
        <w:rPr>
          <w:szCs w:val="22"/>
        </w:rPr>
      </w:pPr>
      <w:r w:rsidRPr="008912CF">
        <w:rPr>
          <w:szCs w:val="22"/>
        </w:rPr>
        <w:t>Manter fora da vista e do alcance das crianças.</w:t>
      </w:r>
    </w:p>
    <w:p w14:paraId="37391C83" w14:textId="77777777" w:rsidR="004462A0" w:rsidRPr="008912CF" w:rsidRDefault="004462A0" w:rsidP="004462A0">
      <w:pPr>
        <w:tabs>
          <w:tab w:val="left" w:pos="720"/>
        </w:tabs>
        <w:rPr>
          <w:sz w:val="22"/>
          <w:szCs w:val="22"/>
        </w:rPr>
      </w:pPr>
    </w:p>
    <w:p w14:paraId="2507AB07" w14:textId="77777777" w:rsidR="004462A0" w:rsidRPr="008912CF" w:rsidRDefault="004462A0" w:rsidP="004462A0">
      <w:pPr>
        <w:tabs>
          <w:tab w:val="left" w:pos="720"/>
        </w:tabs>
        <w:rPr>
          <w:sz w:val="22"/>
          <w:szCs w:val="22"/>
        </w:rPr>
      </w:pPr>
    </w:p>
    <w:p w14:paraId="3238F26D"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7.</w:t>
      </w:r>
      <w:r w:rsidRPr="008912CF">
        <w:rPr>
          <w:b/>
          <w:sz w:val="22"/>
          <w:szCs w:val="22"/>
        </w:rPr>
        <w:tab/>
        <w:t>OUTRAS ADVERTÊNCIAS ESPECIAIS, SE NECESSÁRIO</w:t>
      </w:r>
    </w:p>
    <w:p w14:paraId="4DB912FE" w14:textId="77777777" w:rsidR="004462A0" w:rsidRPr="008912CF" w:rsidRDefault="004462A0" w:rsidP="004462A0">
      <w:pPr>
        <w:tabs>
          <w:tab w:val="left" w:pos="720"/>
        </w:tabs>
        <w:rPr>
          <w:sz w:val="22"/>
          <w:szCs w:val="22"/>
        </w:rPr>
      </w:pPr>
    </w:p>
    <w:p w14:paraId="501A7A7B" w14:textId="77777777" w:rsidR="004462A0" w:rsidRPr="008912CF" w:rsidRDefault="004462A0" w:rsidP="004462A0">
      <w:pPr>
        <w:tabs>
          <w:tab w:val="left" w:pos="720"/>
        </w:tabs>
        <w:rPr>
          <w:sz w:val="22"/>
          <w:szCs w:val="22"/>
        </w:rPr>
      </w:pPr>
    </w:p>
    <w:p w14:paraId="22D9A337"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8.</w:t>
      </w:r>
      <w:r w:rsidRPr="008912CF">
        <w:rPr>
          <w:b/>
          <w:sz w:val="22"/>
          <w:szCs w:val="22"/>
        </w:rPr>
        <w:tab/>
        <w:t>PRAZO DE VALIDADE</w:t>
      </w:r>
    </w:p>
    <w:p w14:paraId="1257495A" w14:textId="77777777" w:rsidR="004462A0" w:rsidRPr="008912CF" w:rsidRDefault="004462A0" w:rsidP="004462A0">
      <w:pPr>
        <w:tabs>
          <w:tab w:val="left" w:pos="720"/>
        </w:tabs>
        <w:rPr>
          <w:sz w:val="22"/>
          <w:szCs w:val="22"/>
        </w:rPr>
      </w:pPr>
    </w:p>
    <w:p w14:paraId="39A5C967" w14:textId="77777777" w:rsidR="004462A0" w:rsidRPr="008912CF" w:rsidRDefault="00615769" w:rsidP="004462A0">
      <w:pPr>
        <w:tabs>
          <w:tab w:val="left" w:pos="720"/>
        </w:tabs>
        <w:rPr>
          <w:sz w:val="22"/>
          <w:szCs w:val="22"/>
        </w:rPr>
      </w:pPr>
      <w:r>
        <w:rPr>
          <w:sz w:val="22"/>
          <w:szCs w:val="22"/>
        </w:rPr>
        <w:t>EXP</w:t>
      </w:r>
      <w:r w:rsidRPr="008912CF">
        <w:rPr>
          <w:sz w:val="22"/>
          <w:szCs w:val="22"/>
        </w:rPr>
        <w:t xml:space="preserve"> </w:t>
      </w:r>
    </w:p>
    <w:p w14:paraId="282C47BD" w14:textId="77777777" w:rsidR="004462A0" w:rsidRPr="008912CF" w:rsidRDefault="004462A0" w:rsidP="004462A0">
      <w:pPr>
        <w:tabs>
          <w:tab w:val="left" w:pos="720"/>
        </w:tabs>
        <w:rPr>
          <w:sz w:val="22"/>
          <w:szCs w:val="22"/>
        </w:rPr>
      </w:pPr>
    </w:p>
    <w:p w14:paraId="45C8F6E6" w14:textId="77777777" w:rsidR="004462A0" w:rsidRPr="008912CF" w:rsidRDefault="004462A0" w:rsidP="004462A0">
      <w:pPr>
        <w:tabs>
          <w:tab w:val="left" w:pos="720"/>
        </w:tabs>
        <w:rPr>
          <w:sz w:val="22"/>
          <w:szCs w:val="22"/>
        </w:rPr>
      </w:pPr>
    </w:p>
    <w:p w14:paraId="49B4BC35" w14:textId="77777777" w:rsidR="004462A0" w:rsidRPr="008912CF" w:rsidRDefault="00615769" w:rsidP="004462A0">
      <w:pPr>
        <w:keepNext/>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9.</w:t>
      </w:r>
      <w:r w:rsidRPr="008912CF">
        <w:rPr>
          <w:b/>
          <w:sz w:val="22"/>
          <w:szCs w:val="22"/>
        </w:rPr>
        <w:tab/>
      </w:r>
      <w:r w:rsidRPr="008912CF">
        <w:rPr>
          <w:b/>
          <w:sz w:val="22"/>
          <w:szCs w:val="22"/>
        </w:rPr>
        <w:t>CONDIÇÕES ESPECIAIS DE CONSERVAÇÃO</w:t>
      </w:r>
    </w:p>
    <w:p w14:paraId="35A51140" w14:textId="77777777" w:rsidR="004462A0" w:rsidRPr="008912CF" w:rsidRDefault="004462A0" w:rsidP="004462A0">
      <w:pPr>
        <w:keepNext/>
        <w:tabs>
          <w:tab w:val="left" w:pos="720"/>
        </w:tabs>
        <w:rPr>
          <w:sz w:val="22"/>
          <w:szCs w:val="22"/>
        </w:rPr>
      </w:pPr>
    </w:p>
    <w:p w14:paraId="18938F7B" w14:textId="77777777" w:rsidR="004462A0" w:rsidRPr="008912CF" w:rsidRDefault="00615769" w:rsidP="004462A0">
      <w:pPr>
        <w:keepNext/>
        <w:tabs>
          <w:tab w:val="left" w:pos="720"/>
        </w:tabs>
        <w:rPr>
          <w:sz w:val="22"/>
          <w:szCs w:val="22"/>
        </w:rPr>
      </w:pPr>
      <w:r w:rsidRPr="008912CF">
        <w:rPr>
          <w:sz w:val="22"/>
          <w:szCs w:val="22"/>
        </w:rPr>
        <w:t>Conservar no frigorífico. Não congelar.</w:t>
      </w:r>
    </w:p>
    <w:p w14:paraId="6FF4233E" w14:textId="77777777" w:rsidR="004462A0" w:rsidRPr="008912CF" w:rsidRDefault="00615769" w:rsidP="004462A0">
      <w:pPr>
        <w:keepNext/>
        <w:tabs>
          <w:tab w:val="left" w:pos="720"/>
        </w:tabs>
        <w:rPr>
          <w:sz w:val="22"/>
          <w:szCs w:val="22"/>
        </w:rPr>
      </w:pPr>
      <w:r w:rsidRPr="008912CF">
        <w:rPr>
          <w:sz w:val="22"/>
          <w:szCs w:val="22"/>
        </w:rPr>
        <w:t>Consulte o folheto informativo para detalhes de conservação alternativa.</w:t>
      </w:r>
    </w:p>
    <w:p w14:paraId="03F8FF42" w14:textId="77777777" w:rsidR="004462A0" w:rsidRPr="008912CF" w:rsidRDefault="004462A0" w:rsidP="004462A0">
      <w:pPr>
        <w:keepNext/>
        <w:tabs>
          <w:tab w:val="left" w:pos="720"/>
        </w:tabs>
        <w:rPr>
          <w:sz w:val="22"/>
          <w:szCs w:val="22"/>
        </w:rPr>
      </w:pPr>
    </w:p>
    <w:p w14:paraId="026532AA" w14:textId="77777777" w:rsidR="004462A0" w:rsidRPr="008912CF" w:rsidRDefault="00615769" w:rsidP="004462A0">
      <w:pPr>
        <w:keepNext/>
        <w:tabs>
          <w:tab w:val="left" w:pos="720"/>
        </w:tabs>
        <w:rPr>
          <w:sz w:val="22"/>
          <w:szCs w:val="22"/>
        </w:rPr>
      </w:pPr>
      <w:r w:rsidRPr="008912CF">
        <w:rPr>
          <w:sz w:val="22"/>
          <w:szCs w:val="22"/>
        </w:rPr>
        <w:t>Manter a caneta pré-cheia dentro da embalagem exterior para proteger da luz.</w:t>
      </w:r>
    </w:p>
    <w:p w14:paraId="7F555342" w14:textId="77777777" w:rsidR="004462A0" w:rsidRPr="008912CF" w:rsidRDefault="004462A0" w:rsidP="004462A0">
      <w:pPr>
        <w:tabs>
          <w:tab w:val="left" w:pos="720"/>
        </w:tabs>
        <w:rPr>
          <w:sz w:val="22"/>
          <w:szCs w:val="22"/>
        </w:rPr>
      </w:pPr>
    </w:p>
    <w:p w14:paraId="07681154" w14:textId="77777777" w:rsidR="004462A0" w:rsidRPr="008912CF" w:rsidRDefault="004462A0" w:rsidP="004462A0">
      <w:pPr>
        <w:tabs>
          <w:tab w:val="left" w:pos="720"/>
        </w:tabs>
        <w:rPr>
          <w:sz w:val="22"/>
          <w:szCs w:val="22"/>
        </w:rPr>
      </w:pPr>
    </w:p>
    <w:p w14:paraId="3E6D81C8"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bCs/>
          <w:sz w:val="22"/>
          <w:szCs w:val="22"/>
          <w:highlight w:val="lightGray"/>
        </w:rPr>
      </w:pPr>
      <w:r w:rsidRPr="008912CF">
        <w:rPr>
          <w:b/>
          <w:sz w:val="22"/>
          <w:szCs w:val="22"/>
        </w:rPr>
        <w:t>10.</w:t>
      </w:r>
      <w:r w:rsidRPr="008912CF">
        <w:rPr>
          <w:b/>
          <w:sz w:val="22"/>
          <w:szCs w:val="22"/>
        </w:rPr>
        <w:tab/>
      </w:r>
      <w:r w:rsidRPr="008912CF">
        <w:rPr>
          <w:b/>
          <w:bCs/>
          <w:sz w:val="22"/>
          <w:szCs w:val="22"/>
        </w:rPr>
        <w:t xml:space="preserve">CUIDADOS ESPECIAIS QUANTO À ELIMINAÇÃO DO MEDICAMENTO NÃO UTILIZADO OU DOS RESÍDUOS PROVENIENTES DESSE MEDICAMENTO, SE APLICÁVEL </w:t>
      </w:r>
    </w:p>
    <w:p w14:paraId="0A18AD53" w14:textId="77777777" w:rsidR="004462A0" w:rsidRPr="008912CF" w:rsidRDefault="004462A0" w:rsidP="004462A0">
      <w:pPr>
        <w:tabs>
          <w:tab w:val="left" w:pos="720"/>
        </w:tabs>
        <w:rPr>
          <w:sz w:val="22"/>
          <w:szCs w:val="22"/>
        </w:rPr>
      </w:pPr>
    </w:p>
    <w:p w14:paraId="6FBE108E" w14:textId="77777777" w:rsidR="004462A0" w:rsidRPr="008912CF" w:rsidRDefault="004462A0" w:rsidP="004462A0">
      <w:pPr>
        <w:tabs>
          <w:tab w:val="left" w:pos="720"/>
        </w:tabs>
        <w:rPr>
          <w:sz w:val="22"/>
          <w:szCs w:val="22"/>
        </w:rPr>
      </w:pPr>
    </w:p>
    <w:p w14:paraId="698E1BC2"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bCs/>
          <w:sz w:val="22"/>
          <w:szCs w:val="22"/>
        </w:rPr>
      </w:pPr>
      <w:r w:rsidRPr="008912CF">
        <w:rPr>
          <w:b/>
          <w:sz w:val="22"/>
          <w:szCs w:val="22"/>
        </w:rPr>
        <w:t>11.</w:t>
      </w:r>
      <w:r w:rsidRPr="008912CF">
        <w:rPr>
          <w:b/>
          <w:sz w:val="22"/>
          <w:szCs w:val="22"/>
        </w:rPr>
        <w:tab/>
      </w:r>
      <w:r w:rsidRPr="008912CF">
        <w:rPr>
          <w:b/>
          <w:bCs/>
          <w:sz w:val="22"/>
          <w:szCs w:val="22"/>
        </w:rPr>
        <w:t>NOME E ENDEREÇO DO TITULAR DA AUTORIZAÇÃO DE INTRODUÇÃO NO MERCADO</w:t>
      </w:r>
    </w:p>
    <w:p w14:paraId="0BCBCB34" w14:textId="77777777" w:rsidR="004462A0" w:rsidRPr="008912CF" w:rsidRDefault="004462A0" w:rsidP="004462A0">
      <w:pPr>
        <w:tabs>
          <w:tab w:val="left" w:pos="720"/>
        </w:tabs>
        <w:rPr>
          <w:sz w:val="22"/>
          <w:szCs w:val="22"/>
        </w:rPr>
      </w:pPr>
    </w:p>
    <w:p w14:paraId="243F48AF" w14:textId="77777777" w:rsidR="00C74219" w:rsidRPr="008D6D3A" w:rsidRDefault="00615769" w:rsidP="00C74219">
      <w:pPr>
        <w:tabs>
          <w:tab w:val="left" w:pos="720"/>
        </w:tabs>
        <w:rPr>
          <w:sz w:val="22"/>
          <w:szCs w:val="22"/>
          <w:lang w:val="de-CH"/>
        </w:rPr>
      </w:pPr>
      <w:r w:rsidRPr="008D6D3A">
        <w:rPr>
          <w:sz w:val="22"/>
          <w:szCs w:val="22"/>
          <w:lang w:val="de-CH"/>
        </w:rPr>
        <w:t>AbbVie Deutschland GmbH &amp; Co. KG</w:t>
      </w:r>
    </w:p>
    <w:p w14:paraId="2AD41D4B" w14:textId="77777777" w:rsidR="00C74219" w:rsidRPr="008D6D3A" w:rsidRDefault="00615769" w:rsidP="00C74219">
      <w:pPr>
        <w:tabs>
          <w:tab w:val="left" w:pos="720"/>
        </w:tabs>
        <w:rPr>
          <w:sz w:val="22"/>
          <w:szCs w:val="22"/>
          <w:lang w:val="de-CH"/>
        </w:rPr>
      </w:pPr>
      <w:r w:rsidRPr="008D6D3A">
        <w:rPr>
          <w:sz w:val="22"/>
          <w:szCs w:val="22"/>
          <w:lang w:val="de-CH"/>
        </w:rPr>
        <w:t>Knollstrasse</w:t>
      </w:r>
    </w:p>
    <w:p w14:paraId="2674972C" w14:textId="77777777" w:rsidR="00C74219" w:rsidRPr="00C74219" w:rsidRDefault="00615769" w:rsidP="00C74219">
      <w:pPr>
        <w:tabs>
          <w:tab w:val="left" w:pos="720"/>
        </w:tabs>
        <w:rPr>
          <w:sz w:val="22"/>
          <w:szCs w:val="22"/>
        </w:rPr>
      </w:pPr>
      <w:r w:rsidRPr="00C74219">
        <w:rPr>
          <w:sz w:val="22"/>
          <w:szCs w:val="22"/>
        </w:rPr>
        <w:t>67061 Ludwigshafen</w:t>
      </w:r>
    </w:p>
    <w:p w14:paraId="61D82D0D" w14:textId="77777777" w:rsidR="004462A0" w:rsidRPr="008912CF" w:rsidRDefault="00615769" w:rsidP="004462A0">
      <w:pPr>
        <w:rPr>
          <w:sz w:val="22"/>
          <w:szCs w:val="22"/>
        </w:rPr>
      </w:pPr>
      <w:r w:rsidRPr="00C74219">
        <w:rPr>
          <w:sz w:val="22"/>
          <w:szCs w:val="22"/>
        </w:rPr>
        <w:t>Alemanha</w:t>
      </w:r>
    </w:p>
    <w:p w14:paraId="3D454329" w14:textId="77777777" w:rsidR="004462A0" w:rsidRPr="008912CF" w:rsidRDefault="004462A0" w:rsidP="004462A0">
      <w:pPr>
        <w:tabs>
          <w:tab w:val="left" w:pos="720"/>
        </w:tabs>
        <w:rPr>
          <w:sz w:val="22"/>
          <w:szCs w:val="22"/>
        </w:rPr>
      </w:pPr>
    </w:p>
    <w:p w14:paraId="252E43E7" w14:textId="77777777" w:rsidR="004462A0" w:rsidRPr="008912CF" w:rsidRDefault="004462A0" w:rsidP="004462A0">
      <w:pPr>
        <w:tabs>
          <w:tab w:val="left" w:pos="720"/>
        </w:tabs>
        <w:rPr>
          <w:sz w:val="22"/>
          <w:szCs w:val="22"/>
        </w:rPr>
      </w:pPr>
    </w:p>
    <w:p w14:paraId="7AEFBDBF"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12.</w:t>
      </w:r>
      <w:r w:rsidRPr="008912CF">
        <w:rPr>
          <w:b/>
          <w:sz w:val="22"/>
          <w:szCs w:val="22"/>
        </w:rPr>
        <w:tab/>
        <w:t xml:space="preserve">NÚMERO DA AUTORIZAÇÃO DE INTRODUÇÃO NO MERCADO </w:t>
      </w:r>
    </w:p>
    <w:p w14:paraId="5A4F3781" w14:textId="77777777" w:rsidR="004462A0" w:rsidRPr="008912CF" w:rsidRDefault="004462A0" w:rsidP="004462A0">
      <w:pPr>
        <w:tabs>
          <w:tab w:val="left" w:pos="720"/>
        </w:tabs>
        <w:rPr>
          <w:sz w:val="22"/>
          <w:szCs w:val="22"/>
        </w:rPr>
      </w:pPr>
    </w:p>
    <w:p w14:paraId="2C113817" w14:textId="77777777" w:rsidR="004462A0" w:rsidRPr="008912CF" w:rsidRDefault="00615769" w:rsidP="004462A0">
      <w:pPr>
        <w:pStyle w:val="EndnoteText"/>
        <w:tabs>
          <w:tab w:val="clear" w:pos="567"/>
        </w:tabs>
        <w:rPr>
          <w:szCs w:val="22"/>
        </w:rPr>
      </w:pPr>
      <w:r w:rsidRPr="008912CF">
        <w:rPr>
          <w:szCs w:val="22"/>
        </w:rPr>
        <w:t>EU/1/03/256/016</w:t>
      </w:r>
    </w:p>
    <w:p w14:paraId="2BA1973C" w14:textId="77777777" w:rsidR="00554634" w:rsidRPr="002112C5" w:rsidRDefault="00615769" w:rsidP="00554634">
      <w:pPr>
        <w:tabs>
          <w:tab w:val="left" w:pos="720"/>
        </w:tabs>
        <w:rPr>
          <w:sz w:val="22"/>
          <w:szCs w:val="22"/>
          <w:shd w:val="pct15" w:color="auto" w:fill="FFFFFF"/>
        </w:rPr>
      </w:pPr>
      <w:r w:rsidRPr="002112C5">
        <w:rPr>
          <w:sz w:val="22"/>
          <w:szCs w:val="22"/>
          <w:shd w:val="pct15" w:color="auto" w:fill="FFFFFF"/>
        </w:rPr>
        <w:t>EU/1/03/256/017</w:t>
      </w:r>
    </w:p>
    <w:p w14:paraId="71339A35" w14:textId="77777777" w:rsidR="00554634" w:rsidRPr="002112C5" w:rsidRDefault="00615769" w:rsidP="00554634">
      <w:pPr>
        <w:tabs>
          <w:tab w:val="left" w:pos="720"/>
        </w:tabs>
        <w:rPr>
          <w:sz w:val="22"/>
          <w:szCs w:val="22"/>
          <w:shd w:val="pct15" w:color="auto" w:fill="FFFFFF"/>
        </w:rPr>
      </w:pPr>
      <w:r w:rsidRPr="002112C5">
        <w:rPr>
          <w:sz w:val="22"/>
          <w:szCs w:val="22"/>
          <w:shd w:val="pct15" w:color="auto" w:fill="FFFFFF"/>
        </w:rPr>
        <w:t>EU/1/03/256/018</w:t>
      </w:r>
    </w:p>
    <w:p w14:paraId="63AFD30C" w14:textId="77777777" w:rsidR="004462A0" w:rsidRPr="002112C5" w:rsidRDefault="00615769" w:rsidP="00554634">
      <w:pPr>
        <w:tabs>
          <w:tab w:val="left" w:pos="720"/>
        </w:tabs>
        <w:rPr>
          <w:sz w:val="22"/>
          <w:szCs w:val="22"/>
          <w:shd w:val="pct15" w:color="auto" w:fill="FFFFFF"/>
        </w:rPr>
      </w:pPr>
      <w:r w:rsidRPr="002112C5">
        <w:rPr>
          <w:sz w:val="22"/>
          <w:szCs w:val="22"/>
          <w:shd w:val="pct15" w:color="auto" w:fill="FFFFFF"/>
        </w:rPr>
        <w:t>EU/1/03/256/019</w:t>
      </w:r>
    </w:p>
    <w:p w14:paraId="6B404D7F" w14:textId="77777777" w:rsidR="00554634" w:rsidRPr="008912CF" w:rsidRDefault="00554634" w:rsidP="00554634">
      <w:pPr>
        <w:tabs>
          <w:tab w:val="left" w:pos="720"/>
        </w:tabs>
        <w:rPr>
          <w:sz w:val="22"/>
          <w:szCs w:val="22"/>
        </w:rPr>
      </w:pPr>
    </w:p>
    <w:p w14:paraId="1CE9EEAF" w14:textId="77777777" w:rsidR="004462A0" w:rsidRPr="008912CF" w:rsidRDefault="004462A0" w:rsidP="004462A0">
      <w:pPr>
        <w:tabs>
          <w:tab w:val="left" w:pos="720"/>
        </w:tabs>
        <w:rPr>
          <w:sz w:val="22"/>
          <w:szCs w:val="22"/>
        </w:rPr>
      </w:pPr>
    </w:p>
    <w:p w14:paraId="557678A1"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13.</w:t>
      </w:r>
      <w:r w:rsidRPr="008912CF">
        <w:rPr>
          <w:b/>
          <w:sz w:val="22"/>
          <w:szCs w:val="22"/>
        </w:rPr>
        <w:tab/>
      </w:r>
      <w:r w:rsidRPr="008912CF">
        <w:rPr>
          <w:b/>
          <w:sz w:val="22"/>
          <w:szCs w:val="22"/>
        </w:rPr>
        <w:t xml:space="preserve">NÚMERO DO LOTE </w:t>
      </w:r>
    </w:p>
    <w:p w14:paraId="3CFE9626" w14:textId="77777777" w:rsidR="004462A0" w:rsidRPr="008912CF" w:rsidRDefault="004462A0" w:rsidP="004462A0">
      <w:pPr>
        <w:tabs>
          <w:tab w:val="left" w:pos="720"/>
        </w:tabs>
        <w:rPr>
          <w:sz w:val="22"/>
          <w:szCs w:val="22"/>
        </w:rPr>
      </w:pPr>
    </w:p>
    <w:p w14:paraId="0DD30B98" w14:textId="77777777" w:rsidR="004462A0" w:rsidRPr="008912CF" w:rsidRDefault="00615769" w:rsidP="004462A0">
      <w:pPr>
        <w:tabs>
          <w:tab w:val="left" w:pos="720"/>
        </w:tabs>
        <w:rPr>
          <w:sz w:val="22"/>
          <w:szCs w:val="22"/>
        </w:rPr>
      </w:pPr>
      <w:r w:rsidRPr="008912CF">
        <w:rPr>
          <w:sz w:val="22"/>
          <w:szCs w:val="22"/>
        </w:rPr>
        <w:t>Lote</w:t>
      </w:r>
    </w:p>
    <w:p w14:paraId="74708D3F" w14:textId="77777777" w:rsidR="004462A0" w:rsidRPr="008912CF" w:rsidRDefault="004462A0" w:rsidP="004462A0">
      <w:pPr>
        <w:tabs>
          <w:tab w:val="left" w:pos="720"/>
        </w:tabs>
        <w:rPr>
          <w:sz w:val="22"/>
          <w:szCs w:val="22"/>
        </w:rPr>
      </w:pPr>
    </w:p>
    <w:p w14:paraId="1CE7B196" w14:textId="77777777" w:rsidR="004462A0" w:rsidRPr="008912CF" w:rsidRDefault="004462A0" w:rsidP="004462A0">
      <w:pPr>
        <w:tabs>
          <w:tab w:val="left" w:pos="720"/>
        </w:tabs>
        <w:rPr>
          <w:sz w:val="22"/>
          <w:szCs w:val="22"/>
        </w:rPr>
      </w:pPr>
    </w:p>
    <w:p w14:paraId="7F94792B"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14.</w:t>
      </w:r>
      <w:r w:rsidRPr="008912CF">
        <w:rPr>
          <w:b/>
          <w:sz w:val="22"/>
          <w:szCs w:val="22"/>
        </w:rPr>
        <w:tab/>
        <w:t>CLASSIFICAÇÃO QUANTO À DISPENSA AO PÚBLICO</w:t>
      </w:r>
    </w:p>
    <w:p w14:paraId="7DF950DE" w14:textId="77777777" w:rsidR="004462A0" w:rsidRPr="008912CF" w:rsidRDefault="004462A0" w:rsidP="004462A0">
      <w:pPr>
        <w:tabs>
          <w:tab w:val="left" w:pos="720"/>
        </w:tabs>
        <w:rPr>
          <w:sz w:val="22"/>
          <w:szCs w:val="22"/>
        </w:rPr>
      </w:pPr>
    </w:p>
    <w:p w14:paraId="60A0445D" w14:textId="77777777" w:rsidR="004462A0" w:rsidRPr="008912CF" w:rsidRDefault="004462A0" w:rsidP="004462A0">
      <w:pPr>
        <w:tabs>
          <w:tab w:val="left" w:pos="720"/>
        </w:tabs>
        <w:rPr>
          <w:sz w:val="22"/>
          <w:szCs w:val="22"/>
        </w:rPr>
      </w:pPr>
    </w:p>
    <w:p w14:paraId="7F6B9D64"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u w:val="single"/>
        </w:rPr>
      </w:pPr>
      <w:r w:rsidRPr="008912CF">
        <w:rPr>
          <w:b/>
          <w:sz w:val="22"/>
          <w:szCs w:val="22"/>
        </w:rPr>
        <w:t>15.</w:t>
      </w:r>
      <w:r w:rsidRPr="008912CF">
        <w:rPr>
          <w:b/>
          <w:sz w:val="22"/>
          <w:szCs w:val="22"/>
        </w:rPr>
        <w:tab/>
        <w:t>INSTRUÇÕES DE UTILIZAÇÃO</w:t>
      </w:r>
    </w:p>
    <w:p w14:paraId="5E81FDF6" w14:textId="77777777" w:rsidR="004462A0" w:rsidRPr="008912CF" w:rsidRDefault="004462A0" w:rsidP="004462A0">
      <w:pPr>
        <w:tabs>
          <w:tab w:val="left" w:pos="720"/>
        </w:tabs>
        <w:rPr>
          <w:sz w:val="22"/>
          <w:szCs w:val="22"/>
        </w:rPr>
      </w:pPr>
    </w:p>
    <w:p w14:paraId="3BF8B14A" w14:textId="77777777" w:rsidR="004462A0" w:rsidRPr="008912CF" w:rsidRDefault="004462A0" w:rsidP="004462A0">
      <w:pPr>
        <w:tabs>
          <w:tab w:val="left" w:pos="720"/>
        </w:tabs>
        <w:rPr>
          <w:sz w:val="22"/>
          <w:szCs w:val="22"/>
        </w:rPr>
      </w:pPr>
    </w:p>
    <w:p w14:paraId="4EB64570"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u w:val="single"/>
        </w:rPr>
      </w:pPr>
      <w:r w:rsidRPr="008912CF">
        <w:rPr>
          <w:b/>
          <w:sz w:val="22"/>
          <w:szCs w:val="22"/>
        </w:rPr>
        <w:t>16.</w:t>
      </w:r>
      <w:r w:rsidRPr="008912CF">
        <w:rPr>
          <w:b/>
          <w:sz w:val="22"/>
          <w:szCs w:val="22"/>
        </w:rPr>
        <w:tab/>
        <w:t>INFORMAÇÃO EM BRAILLE</w:t>
      </w:r>
    </w:p>
    <w:p w14:paraId="4192C68F" w14:textId="77777777" w:rsidR="004462A0" w:rsidRPr="008912CF" w:rsidRDefault="004462A0" w:rsidP="004462A0">
      <w:pPr>
        <w:pStyle w:val="Heading3"/>
        <w:keepNext w:val="0"/>
        <w:spacing w:before="0" w:after="0" w:line="240" w:lineRule="auto"/>
        <w:rPr>
          <w:b w:val="0"/>
          <w:sz w:val="22"/>
          <w:szCs w:val="22"/>
          <w:u w:val="single"/>
          <w:lang w:val="pt-PT"/>
        </w:rPr>
      </w:pPr>
    </w:p>
    <w:p w14:paraId="36D832DE" w14:textId="77777777" w:rsidR="004462A0" w:rsidRDefault="00615769" w:rsidP="004462A0">
      <w:pPr>
        <w:pStyle w:val="Heading3"/>
        <w:keepNext w:val="0"/>
        <w:spacing w:before="0" w:after="0" w:line="240" w:lineRule="auto"/>
        <w:rPr>
          <w:b w:val="0"/>
          <w:sz w:val="22"/>
          <w:szCs w:val="22"/>
          <w:lang w:val="pt-PT"/>
        </w:rPr>
      </w:pPr>
      <w:r w:rsidRPr="008912CF">
        <w:rPr>
          <w:b w:val="0"/>
          <w:sz w:val="22"/>
          <w:szCs w:val="22"/>
          <w:lang w:val="pt-PT"/>
        </w:rPr>
        <w:t>Humira 40 mg</w:t>
      </w:r>
    </w:p>
    <w:p w14:paraId="1F243D1A" w14:textId="77777777" w:rsidR="004462A0" w:rsidRDefault="004462A0" w:rsidP="004462A0">
      <w:pPr>
        <w:pStyle w:val="Heading3"/>
        <w:keepNext w:val="0"/>
        <w:spacing w:before="0" w:after="0" w:line="240" w:lineRule="auto"/>
        <w:rPr>
          <w:b w:val="0"/>
          <w:sz w:val="22"/>
          <w:szCs w:val="22"/>
          <w:lang w:val="pt-PT"/>
        </w:rPr>
      </w:pPr>
    </w:p>
    <w:p w14:paraId="4C48C8BD" w14:textId="77777777" w:rsidR="004462A0" w:rsidRPr="00431557" w:rsidRDefault="004462A0" w:rsidP="004462A0">
      <w:pPr>
        <w:pStyle w:val="Heading3"/>
        <w:keepNext w:val="0"/>
        <w:spacing w:before="0" w:after="0" w:line="240" w:lineRule="auto"/>
        <w:rPr>
          <w:b w:val="0"/>
          <w:sz w:val="22"/>
          <w:szCs w:val="22"/>
          <w:lang w:val="pt-PT"/>
        </w:rPr>
      </w:pPr>
    </w:p>
    <w:p w14:paraId="1F49E0A4" w14:textId="77777777" w:rsidR="004462A0" w:rsidRPr="00C25DF2" w:rsidRDefault="00615769" w:rsidP="004462A0">
      <w:pPr>
        <w:pBdr>
          <w:top w:val="single" w:sz="4" w:space="1" w:color="auto"/>
          <w:left w:val="single" w:sz="4" w:space="4" w:color="auto"/>
          <w:bottom w:val="single" w:sz="4" w:space="1" w:color="auto"/>
          <w:right w:val="single" w:sz="4" w:space="4" w:color="auto"/>
        </w:pBdr>
        <w:tabs>
          <w:tab w:val="left" w:pos="562"/>
        </w:tabs>
        <w:suppressAutoHyphens/>
        <w:rPr>
          <w:b/>
          <w:bCs/>
          <w:caps/>
          <w:sz w:val="22"/>
          <w:szCs w:val="20"/>
        </w:rPr>
      </w:pPr>
      <w:r w:rsidRPr="00C25BAB">
        <w:rPr>
          <w:b/>
          <w:bCs/>
          <w:caps/>
          <w:sz w:val="22"/>
          <w:szCs w:val="20"/>
        </w:rPr>
        <w:t xml:space="preserve">17. </w:t>
      </w:r>
      <w:r w:rsidRPr="00C25BAB">
        <w:rPr>
          <w:b/>
          <w:bCs/>
          <w:caps/>
          <w:sz w:val="22"/>
          <w:szCs w:val="20"/>
        </w:rPr>
        <w:tab/>
      </w:r>
      <w:r w:rsidRPr="00C25DF2">
        <w:rPr>
          <w:b/>
          <w:bCs/>
          <w:caps/>
          <w:sz w:val="22"/>
          <w:szCs w:val="20"/>
        </w:rPr>
        <w:t xml:space="preserve">IDENTIFICADOR ÚNICO – CÓDIGO DE BARRAS 2D </w:t>
      </w:r>
    </w:p>
    <w:p w14:paraId="703BAF38" w14:textId="77777777" w:rsidR="004462A0" w:rsidRPr="00C25DF2" w:rsidRDefault="004462A0" w:rsidP="004462A0">
      <w:pPr>
        <w:tabs>
          <w:tab w:val="left" w:pos="562"/>
        </w:tabs>
        <w:suppressAutoHyphens/>
        <w:rPr>
          <w:sz w:val="22"/>
        </w:rPr>
      </w:pPr>
    </w:p>
    <w:p w14:paraId="3CBDE7A9" w14:textId="77777777" w:rsidR="004462A0" w:rsidRPr="00C25DF2" w:rsidRDefault="00615769" w:rsidP="004462A0">
      <w:pPr>
        <w:tabs>
          <w:tab w:val="left" w:pos="562"/>
        </w:tabs>
        <w:suppressAutoHyphens/>
        <w:rPr>
          <w:sz w:val="22"/>
          <w:shd w:val="clear" w:color="auto" w:fill="BFBFBF"/>
        </w:rPr>
      </w:pPr>
      <w:r w:rsidRPr="00C25DF2">
        <w:rPr>
          <w:sz w:val="22"/>
          <w:shd w:val="clear" w:color="auto" w:fill="BFBFBF"/>
        </w:rPr>
        <w:t xml:space="preserve">Código de barras 2D com identificador </w:t>
      </w:r>
      <w:r>
        <w:rPr>
          <w:sz w:val="22"/>
          <w:shd w:val="clear" w:color="auto" w:fill="BFBFBF"/>
        </w:rPr>
        <w:t>único incluído.</w:t>
      </w:r>
    </w:p>
    <w:p w14:paraId="5C6D2306" w14:textId="77777777" w:rsidR="004462A0" w:rsidRPr="00C25DF2" w:rsidRDefault="004462A0" w:rsidP="004462A0">
      <w:pPr>
        <w:tabs>
          <w:tab w:val="left" w:pos="562"/>
        </w:tabs>
        <w:suppressAutoHyphens/>
        <w:rPr>
          <w:sz w:val="22"/>
          <w:shd w:val="clear" w:color="auto" w:fill="BFBFBF"/>
        </w:rPr>
      </w:pPr>
    </w:p>
    <w:p w14:paraId="61E574D8" w14:textId="77777777" w:rsidR="004462A0" w:rsidRPr="00C25DF2" w:rsidRDefault="004462A0" w:rsidP="004462A0">
      <w:pPr>
        <w:tabs>
          <w:tab w:val="left" w:pos="562"/>
        </w:tabs>
        <w:suppressAutoHyphens/>
        <w:rPr>
          <w:sz w:val="22"/>
          <w:shd w:val="clear" w:color="auto" w:fill="BFBFBF"/>
        </w:rPr>
      </w:pPr>
    </w:p>
    <w:p w14:paraId="3AC0703D" w14:textId="77777777" w:rsidR="004462A0" w:rsidRPr="00C25DF2" w:rsidRDefault="00615769" w:rsidP="004462A0">
      <w:pPr>
        <w:keepNext/>
        <w:pBdr>
          <w:top w:val="single" w:sz="4" w:space="1" w:color="auto"/>
          <w:left w:val="single" w:sz="4" w:space="4" w:color="auto"/>
          <w:bottom w:val="single" w:sz="4" w:space="1" w:color="auto"/>
          <w:right w:val="single" w:sz="4" w:space="4" w:color="auto"/>
        </w:pBdr>
        <w:tabs>
          <w:tab w:val="left" w:pos="562"/>
        </w:tabs>
        <w:suppressAutoHyphens/>
        <w:rPr>
          <w:rFonts w:ascii="Times New Roman Bold" w:hAnsi="Times New Roman Bold"/>
          <w:caps/>
          <w:sz w:val="22"/>
          <w:szCs w:val="20"/>
        </w:rPr>
      </w:pPr>
      <w:r w:rsidRPr="00C25DF2">
        <w:rPr>
          <w:b/>
          <w:bCs/>
          <w:caps/>
          <w:sz w:val="22"/>
          <w:szCs w:val="20"/>
        </w:rPr>
        <w:t xml:space="preserve">18. </w:t>
      </w:r>
      <w:r w:rsidRPr="00C25DF2">
        <w:rPr>
          <w:b/>
          <w:bCs/>
          <w:caps/>
          <w:sz w:val="22"/>
          <w:szCs w:val="20"/>
        </w:rPr>
        <w:tab/>
        <w:t>IDENTIFICADOR ÚNICO – DADOS PARA LEITURA HUMA</w:t>
      </w:r>
      <w:r>
        <w:rPr>
          <w:b/>
          <w:bCs/>
          <w:caps/>
          <w:sz w:val="22"/>
          <w:szCs w:val="20"/>
        </w:rPr>
        <w:t>NA</w:t>
      </w:r>
    </w:p>
    <w:p w14:paraId="039EB1F9" w14:textId="77777777" w:rsidR="004462A0" w:rsidRPr="00C25DF2" w:rsidRDefault="004462A0" w:rsidP="004462A0">
      <w:pPr>
        <w:keepNext/>
        <w:tabs>
          <w:tab w:val="left" w:pos="562"/>
        </w:tabs>
        <w:suppressAutoHyphens/>
        <w:ind w:left="540" w:hanging="540"/>
        <w:rPr>
          <w:sz w:val="22"/>
        </w:rPr>
      </w:pPr>
    </w:p>
    <w:p w14:paraId="7A1E60D0" w14:textId="77777777" w:rsidR="004462A0" w:rsidRPr="00973CF1" w:rsidRDefault="00615769" w:rsidP="004462A0">
      <w:pPr>
        <w:keepNext/>
        <w:tabs>
          <w:tab w:val="left" w:pos="562"/>
        </w:tabs>
        <w:suppressAutoHyphens/>
        <w:ind w:left="540" w:hanging="540"/>
        <w:rPr>
          <w:sz w:val="22"/>
        </w:rPr>
      </w:pPr>
      <w:r w:rsidRPr="00973CF1">
        <w:rPr>
          <w:sz w:val="22"/>
        </w:rPr>
        <w:t>PC</w:t>
      </w:r>
    </w:p>
    <w:p w14:paraId="7A751713" w14:textId="77777777" w:rsidR="004462A0" w:rsidRPr="00973CF1" w:rsidRDefault="00615769" w:rsidP="004462A0">
      <w:pPr>
        <w:keepNext/>
        <w:tabs>
          <w:tab w:val="left" w:pos="562"/>
        </w:tabs>
        <w:suppressAutoHyphens/>
        <w:ind w:left="540" w:hanging="540"/>
        <w:rPr>
          <w:sz w:val="22"/>
        </w:rPr>
      </w:pPr>
      <w:r w:rsidRPr="00973CF1">
        <w:rPr>
          <w:sz w:val="22"/>
        </w:rPr>
        <w:t>SN</w:t>
      </w:r>
    </w:p>
    <w:p w14:paraId="79033C7E" w14:textId="77777777" w:rsidR="004462A0" w:rsidRPr="00973CF1" w:rsidRDefault="00615769" w:rsidP="004462A0">
      <w:pPr>
        <w:keepNext/>
        <w:tabs>
          <w:tab w:val="left" w:pos="562"/>
        </w:tabs>
        <w:suppressAutoHyphens/>
        <w:ind w:left="540" w:hanging="540"/>
        <w:rPr>
          <w:sz w:val="22"/>
        </w:rPr>
      </w:pPr>
      <w:r w:rsidRPr="00973CF1">
        <w:rPr>
          <w:sz w:val="22"/>
          <w:highlight w:val="lightGray"/>
        </w:rPr>
        <w:t>NN</w:t>
      </w:r>
    </w:p>
    <w:p w14:paraId="0C34B313" w14:textId="77777777" w:rsidR="004462A0" w:rsidRPr="00973CF1" w:rsidRDefault="00615769" w:rsidP="004462A0">
      <w:pPr>
        <w:pStyle w:val="Heading3"/>
        <w:keepNext w:val="0"/>
        <w:spacing w:before="0" w:after="0" w:line="240" w:lineRule="auto"/>
        <w:rPr>
          <w:sz w:val="22"/>
          <w:szCs w:val="22"/>
          <w:lang w:val="pt-PT"/>
        </w:rPr>
      </w:pPr>
      <w:r w:rsidRPr="00973CF1">
        <w:rPr>
          <w:b w:val="0"/>
          <w:sz w:val="22"/>
          <w:szCs w:val="22"/>
          <w:lang w:val="pt-PT"/>
        </w:rPr>
        <w:br w:type="page"/>
      </w:r>
    </w:p>
    <w:p w14:paraId="5CC698C6" w14:textId="77777777" w:rsidR="004462A0" w:rsidRPr="00973CF1" w:rsidRDefault="00615769" w:rsidP="004462A0">
      <w:pPr>
        <w:pBdr>
          <w:top w:val="single" w:sz="4" w:space="1" w:color="auto"/>
          <w:left w:val="single" w:sz="4" w:space="4" w:color="auto"/>
          <w:bottom w:val="single" w:sz="4" w:space="1" w:color="auto"/>
          <w:right w:val="single" w:sz="4" w:space="4" w:color="auto"/>
        </w:pBdr>
        <w:tabs>
          <w:tab w:val="left" w:pos="567"/>
        </w:tabs>
        <w:rPr>
          <w:b/>
          <w:sz w:val="22"/>
          <w:szCs w:val="22"/>
        </w:rPr>
      </w:pPr>
      <w:r w:rsidRPr="00973CF1">
        <w:rPr>
          <w:b/>
          <w:sz w:val="22"/>
          <w:szCs w:val="22"/>
        </w:rPr>
        <w:t>INDICAÇÕES MÍNIMAS A INCLUIR NAS EMBALAGENS "BLISTER" OU FITAS CONTENTORAS</w:t>
      </w:r>
    </w:p>
    <w:p w14:paraId="49DFB899" w14:textId="77777777" w:rsidR="004462A0" w:rsidRPr="00973CF1" w:rsidRDefault="004462A0" w:rsidP="004462A0">
      <w:pPr>
        <w:pBdr>
          <w:top w:val="single" w:sz="4" w:space="1" w:color="auto"/>
          <w:left w:val="single" w:sz="4" w:space="4" w:color="auto"/>
          <w:bottom w:val="single" w:sz="4" w:space="1" w:color="auto"/>
          <w:right w:val="single" w:sz="4" w:space="4" w:color="auto"/>
        </w:pBdr>
        <w:tabs>
          <w:tab w:val="left" w:pos="567"/>
        </w:tabs>
        <w:rPr>
          <w:b/>
          <w:sz w:val="22"/>
          <w:szCs w:val="22"/>
        </w:rPr>
      </w:pPr>
    </w:p>
    <w:p w14:paraId="26B9A92A" w14:textId="77777777" w:rsidR="004462A0" w:rsidRPr="008912CF" w:rsidRDefault="00615769" w:rsidP="004462A0">
      <w:pPr>
        <w:pStyle w:val="Heading3"/>
        <w:keepNext w:val="0"/>
        <w:pBdr>
          <w:top w:val="single" w:sz="4" w:space="1" w:color="auto"/>
          <w:left w:val="single" w:sz="4" w:space="4" w:color="auto"/>
          <w:bottom w:val="single" w:sz="4" w:space="1" w:color="auto"/>
          <w:right w:val="single" w:sz="4" w:space="4" w:color="auto"/>
        </w:pBdr>
        <w:spacing w:before="0" w:after="0" w:line="240" w:lineRule="auto"/>
        <w:rPr>
          <w:caps/>
          <w:sz w:val="22"/>
          <w:szCs w:val="22"/>
          <w:highlight w:val="lightGray"/>
          <w:lang w:val="pt-PT"/>
        </w:rPr>
      </w:pPr>
      <w:r w:rsidRPr="008912CF">
        <w:rPr>
          <w:caps/>
          <w:sz w:val="22"/>
          <w:szCs w:val="22"/>
          <w:lang w:val="pt-PT"/>
        </w:rPr>
        <w:t>Texto para o verso do tabuleiro</w:t>
      </w:r>
    </w:p>
    <w:p w14:paraId="3B9B7318" w14:textId="77777777" w:rsidR="004462A0" w:rsidRPr="008912CF" w:rsidRDefault="004462A0" w:rsidP="004462A0">
      <w:pPr>
        <w:tabs>
          <w:tab w:val="left" w:pos="720"/>
        </w:tabs>
        <w:rPr>
          <w:caps/>
          <w:sz w:val="22"/>
          <w:szCs w:val="22"/>
        </w:rPr>
      </w:pPr>
    </w:p>
    <w:p w14:paraId="559B3A75" w14:textId="77777777" w:rsidR="004462A0" w:rsidRPr="008912CF" w:rsidRDefault="004462A0" w:rsidP="004462A0">
      <w:pPr>
        <w:tabs>
          <w:tab w:val="left" w:pos="720"/>
        </w:tabs>
        <w:rPr>
          <w:sz w:val="22"/>
          <w:szCs w:val="22"/>
        </w:rPr>
      </w:pPr>
    </w:p>
    <w:p w14:paraId="3F1E7312"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rPr>
      </w:pPr>
      <w:r w:rsidRPr="008912CF">
        <w:rPr>
          <w:b/>
          <w:sz w:val="22"/>
          <w:szCs w:val="22"/>
        </w:rPr>
        <w:t>1.</w:t>
      </w:r>
      <w:r w:rsidRPr="008912CF">
        <w:rPr>
          <w:b/>
          <w:sz w:val="22"/>
          <w:szCs w:val="22"/>
        </w:rPr>
        <w:tab/>
        <w:t>NOME DO MEDICAMENTO</w:t>
      </w:r>
    </w:p>
    <w:p w14:paraId="0E3147D8" w14:textId="77777777" w:rsidR="004462A0" w:rsidRPr="008912CF" w:rsidRDefault="004462A0" w:rsidP="004462A0">
      <w:pPr>
        <w:tabs>
          <w:tab w:val="left" w:pos="720"/>
        </w:tabs>
        <w:ind w:left="567" w:hanging="567"/>
        <w:rPr>
          <w:sz w:val="22"/>
          <w:szCs w:val="22"/>
        </w:rPr>
      </w:pPr>
    </w:p>
    <w:p w14:paraId="139DD5D4" w14:textId="77777777" w:rsidR="004462A0" w:rsidRPr="008912CF" w:rsidRDefault="00615769" w:rsidP="004462A0">
      <w:pPr>
        <w:tabs>
          <w:tab w:val="left" w:pos="720"/>
        </w:tabs>
        <w:ind w:left="567" w:hanging="567"/>
        <w:rPr>
          <w:sz w:val="22"/>
          <w:szCs w:val="22"/>
        </w:rPr>
      </w:pPr>
      <w:r w:rsidRPr="008912CF">
        <w:rPr>
          <w:sz w:val="22"/>
          <w:szCs w:val="22"/>
        </w:rPr>
        <w:t>Humira 40 mg solução injetável em caneta pré-cheia</w:t>
      </w:r>
    </w:p>
    <w:p w14:paraId="2920EDE0" w14:textId="77777777" w:rsidR="004462A0" w:rsidRPr="008912CF" w:rsidRDefault="00615769" w:rsidP="004462A0">
      <w:pPr>
        <w:tabs>
          <w:tab w:val="left" w:pos="720"/>
        </w:tabs>
        <w:ind w:left="567" w:hanging="567"/>
        <w:rPr>
          <w:sz w:val="22"/>
          <w:szCs w:val="22"/>
        </w:rPr>
      </w:pPr>
      <w:r w:rsidRPr="008912CF">
        <w:rPr>
          <w:sz w:val="22"/>
          <w:szCs w:val="22"/>
        </w:rPr>
        <w:t>adalimumab</w:t>
      </w:r>
    </w:p>
    <w:p w14:paraId="6F526544" w14:textId="77777777" w:rsidR="004462A0" w:rsidRPr="008912CF" w:rsidRDefault="004462A0" w:rsidP="004462A0">
      <w:pPr>
        <w:pStyle w:val="EndnoteText"/>
        <w:tabs>
          <w:tab w:val="clear" w:pos="567"/>
          <w:tab w:val="left" w:pos="720"/>
        </w:tabs>
        <w:rPr>
          <w:szCs w:val="22"/>
        </w:rPr>
      </w:pPr>
    </w:p>
    <w:p w14:paraId="4703D910" w14:textId="77777777" w:rsidR="004462A0" w:rsidRPr="008912CF" w:rsidRDefault="004462A0" w:rsidP="004462A0">
      <w:pPr>
        <w:tabs>
          <w:tab w:val="left" w:pos="720"/>
        </w:tabs>
        <w:rPr>
          <w:sz w:val="22"/>
          <w:szCs w:val="22"/>
        </w:rPr>
      </w:pPr>
    </w:p>
    <w:p w14:paraId="79AB2249"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b/>
          <w:sz w:val="22"/>
          <w:szCs w:val="22"/>
          <w:highlight w:val="lightGray"/>
        </w:rPr>
      </w:pPr>
      <w:r w:rsidRPr="008912CF">
        <w:rPr>
          <w:b/>
          <w:sz w:val="22"/>
          <w:szCs w:val="22"/>
        </w:rPr>
        <w:t>2.</w:t>
      </w:r>
      <w:r w:rsidRPr="008912CF">
        <w:rPr>
          <w:b/>
          <w:sz w:val="22"/>
          <w:szCs w:val="22"/>
        </w:rPr>
        <w:tab/>
      </w:r>
      <w:r w:rsidRPr="008912CF">
        <w:rPr>
          <w:b/>
          <w:sz w:val="22"/>
          <w:szCs w:val="22"/>
        </w:rPr>
        <w:t>NOME DO TITULAR DA AUTORIZAÇÃO DE INTRODUÇÃO NO MERCADO</w:t>
      </w:r>
    </w:p>
    <w:p w14:paraId="354F44CE" w14:textId="77777777" w:rsidR="004462A0" w:rsidRPr="008912CF" w:rsidRDefault="004462A0" w:rsidP="004462A0">
      <w:pPr>
        <w:tabs>
          <w:tab w:val="left" w:pos="720"/>
        </w:tabs>
        <w:rPr>
          <w:sz w:val="22"/>
          <w:szCs w:val="22"/>
        </w:rPr>
      </w:pPr>
    </w:p>
    <w:p w14:paraId="3D0F5719" w14:textId="77777777" w:rsidR="004462A0" w:rsidRPr="008912CF" w:rsidRDefault="00615769" w:rsidP="004462A0">
      <w:pPr>
        <w:tabs>
          <w:tab w:val="left" w:pos="720"/>
        </w:tabs>
        <w:rPr>
          <w:sz w:val="22"/>
          <w:szCs w:val="22"/>
        </w:rPr>
      </w:pPr>
      <w:r w:rsidRPr="008912CF">
        <w:rPr>
          <w:sz w:val="22"/>
          <w:szCs w:val="22"/>
        </w:rPr>
        <w:t xml:space="preserve">AbbVie </w:t>
      </w:r>
      <w:r w:rsidR="00042ED5" w:rsidRPr="0074724A">
        <w:rPr>
          <w:sz w:val="22"/>
          <w:szCs w:val="22"/>
          <w:highlight w:val="lightGray"/>
          <w:lang w:eastAsia="en-GB"/>
        </w:rPr>
        <w:t>(como logo)</w:t>
      </w:r>
    </w:p>
    <w:p w14:paraId="108D1FC5" w14:textId="77777777" w:rsidR="004462A0" w:rsidRPr="008912CF" w:rsidRDefault="004462A0" w:rsidP="004462A0">
      <w:pPr>
        <w:tabs>
          <w:tab w:val="left" w:pos="720"/>
        </w:tabs>
        <w:rPr>
          <w:sz w:val="22"/>
          <w:szCs w:val="22"/>
        </w:rPr>
      </w:pPr>
    </w:p>
    <w:p w14:paraId="11087933" w14:textId="77777777" w:rsidR="004462A0" w:rsidRPr="008912CF" w:rsidRDefault="004462A0" w:rsidP="004462A0">
      <w:pPr>
        <w:pStyle w:val="EndnoteText"/>
        <w:tabs>
          <w:tab w:val="clear" w:pos="567"/>
          <w:tab w:val="left" w:pos="720"/>
        </w:tabs>
        <w:rPr>
          <w:szCs w:val="22"/>
        </w:rPr>
      </w:pPr>
    </w:p>
    <w:p w14:paraId="0D1E4896"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b/>
          <w:sz w:val="22"/>
          <w:szCs w:val="22"/>
          <w:highlight w:val="lightGray"/>
        </w:rPr>
      </w:pPr>
      <w:r w:rsidRPr="008912CF">
        <w:rPr>
          <w:b/>
          <w:sz w:val="22"/>
          <w:szCs w:val="22"/>
        </w:rPr>
        <w:t>3.</w:t>
      </w:r>
      <w:r w:rsidRPr="008912CF">
        <w:rPr>
          <w:b/>
          <w:sz w:val="22"/>
          <w:szCs w:val="22"/>
        </w:rPr>
        <w:tab/>
        <w:t>PRAZO DE VALIDADE</w:t>
      </w:r>
    </w:p>
    <w:p w14:paraId="5DD358AA" w14:textId="77777777" w:rsidR="004462A0" w:rsidRPr="008912CF" w:rsidRDefault="004462A0" w:rsidP="004462A0">
      <w:pPr>
        <w:tabs>
          <w:tab w:val="left" w:pos="720"/>
        </w:tabs>
        <w:rPr>
          <w:sz w:val="22"/>
          <w:szCs w:val="22"/>
        </w:rPr>
      </w:pPr>
    </w:p>
    <w:p w14:paraId="0FFD581D" w14:textId="77777777" w:rsidR="004462A0" w:rsidRPr="008912CF" w:rsidRDefault="00615769" w:rsidP="004462A0">
      <w:pPr>
        <w:tabs>
          <w:tab w:val="left" w:pos="720"/>
        </w:tabs>
        <w:rPr>
          <w:sz w:val="22"/>
          <w:szCs w:val="22"/>
        </w:rPr>
      </w:pPr>
      <w:r>
        <w:rPr>
          <w:sz w:val="22"/>
          <w:szCs w:val="22"/>
        </w:rPr>
        <w:t>EXP</w:t>
      </w:r>
    </w:p>
    <w:p w14:paraId="052A08A9" w14:textId="77777777" w:rsidR="004462A0" w:rsidRPr="008912CF" w:rsidRDefault="004462A0" w:rsidP="004462A0">
      <w:pPr>
        <w:tabs>
          <w:tab w:val="left" w:pos="720"/>
        </w:tabs>
        <w:rPr>
          <w:sz w:val="22"/>
          <w:szCs w:val="22"/>
        </w:rPr>
      </w:pPr>
    </w:p>
    <w:p w14:paraId="389AF0BF" w14:textId="77777777" w:rsidR="004462A0" w:rsidRPr="008912CF" w:rsidRDefault="004462A0" w:rsidP="004462A0">
      <w:pPr>
        <w:tabs>
          <w:tab w:val="left" w:pos="720"/>
        </w:tabs>
        <w:rPr>
          <w:sz w:val="22"/>
          <w:szCs w:val="22"/>
        </w:rPr>
      </w:pPr>
    </w:p>
    <w:p w14:paraId="2B128F74"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4.</w:t>
      </w:r>
      <w:r w:rsidRPr="008912CF">
        <w:rPr>
          <w:b/>
          <w:sz w:val="22"/>
          <w:szCs w:val="22"/>
        </w:rPr>
        <w:tab/>
        <w:t>NÚMERO DO LOTE</w:t>
      </w:r>
    </w:p>
    <w:p w14:paraId="0216143C" w14:textId="77777777" w:rsidR="004462A0" w:rsidRPr="008912CF" w:rsidRDefault="004462A0" w:rsidP="004462A0">
      <w:pPr>
        <w:tabs>
          <w:tab w:val="left" w:pos="720"/>
        </w:tabs>
        <w:rPr>
          <w:sz w:val="22"/>
          <w:szCs w:val="22"/>
        </w:rPr>
      </w:pPr>
    </w:p>
    <w:p w14:paraId="2412F307" w14:textId="77777777" w:rsidR="004462A0" w:rsidRPr="008912CF" w:rsidRDefault="00615769" w:rsidP="004462A0">
      <w:pPr>
        <w:tabs>
          <w:tab w:val="left" w:pos="720"/>
        </w:tabs>
        <w:rPr>
          <w:sz w:val="22"/>
          <w:szCs w:val="22"/>
        </w:rPr>
      </w:pPr>
      <w:r w:rsidRPr="008912CF">
        <w:rPr>
          <w:sz w:val="22"/>
          <w:szCs w:val="22"/>
        </w:rPr>
        <w:t>Lote</w:t>
      </w:r>
    </w:p>
    <w:p w14:paraId="060213FD" w14:textId="77777777" w:rsidR="004462A0" w:rsidRPr="008912CF" w:rsidRDefault="004462A0" w:rsidP="004462A0">
      <w:pPr>
        <w:shd w:val="clear" w:color="auto" w:fill="FFFFFF"/>
        <w:tabs>
          <w:tab w:val="left" w:pos="720"/>
        </w:tabs>
        <w:rPr>
          <w:b/>
          <w:sz w:val="22"/>
          <w:szCs w:val="22"/>
          <w:u w:val="single"/>
        </w:rPr>
      </w:pPr>
    </w:p>
    <w:p w14:paraId="18C57D1F" w14:textId="77777777" w:rsidR="004462A0" w:rsidRPr="008912CF" w:rsidRDefault="004462A0" w:rsidP="004462A0">
      <w:pPr>
        <w:shd w:val="clear" w:color="auto" w:fill="FFFFFF"/>
        <w:tabs>
          <w:tab w:val="left" w:pos="720"/>
        </w:tabs>
        <w:rPr>
          <w:b/>
          <w:sz w:val="22"/>
          <w:szCs w:val="22"/>
          <w:u w:val="single"/>
        </w:rPr>
      </w:pPr>
    </w:p>
    <w:p w14:paraId="6B5DC82E"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5.</w:t>
      </w:r>
      <w:r w:rsidRPr="008912CF">
        <w:rPr>
          <w:b/>
          <w:sz w:val="22"/>
          <w:szCs w:val="22"/>
        </w:rPr>
        <w:tab/>
        <w:t>OUTR</w:t>
      </w:r>
      <w:r>
        <w:rPr>
          <w:b/>
          <w:sz w:val="22"/>
          <w:szCs w:val="22"/>
        </w:rPr>
        <w:t>O</w:t>
      </w:r>
      <w:r w:rsidRPr="008912CF">
        <w:rPr>
          <w:b/>
          <w:sz w:val="22"/>
          <w:szCs w:val="22"/>
        </w:rPr>
        <w:t>S</w:t>
      </w:r>
    </w:p>
    <w:p w14:paraId="07D57637" w14:textId="77777777" w:rsidR="004462A0" w:rsidRPr="008912CF" w:rsidRDefault="004462A0" w:rsidP="004462A0">
      <w:pPr>
        <w:shd w:val="clear" w:color="auto" w:fill="FFFFFF"/>
        <w:tabs>
          <w:tab w:val="left" w:pos="720"/>
        </w:tabs>
        <w:rPr>
          <w:sz w:val="22"/>
          <w:szCs w:val="22"/>
        </w:rPr>
      </w:pPr>
    </w:p>
    <w:p w14:paraId="2324C5DE" w14:textId="77777777" w:rsidR="004462A0" w:rsidRPr="008912CF" w:rsidRDefault="00615769" w:rsidP="004462A0">
      <w:pPr>
        <w:shd w:val="clear" w:color="auto" w:fill="FFFFFF"/>
        <w:tabs>
          <w:tab w:val="left" w:pos="720"/>
        </w:tabs>
        <w:rPr>
          <w:sz w:val="22"/>
          <w:szCs w:val="22"/>
        </w:rPr>
      </w:pPr>
      <w:r w:rsidRPr="008912CF">
        <w:rPr>
          <w:sz w:val="22"/>
          <w:szCs w:val="22"/>
        </w:rPr>
        <w:t>Para informação de conservação, ver folheto informativo.</w:t>
      </w:r>
    </w:p>
    <w:p w14:paraId="54C79DBA" w14:textId="77777777" w:rsidR="00554634" w:rsidRDefault="00554634" w:rsidP="004462A0">
      <w:pPr>
        <w:rPr>
          <w:sz w:val="22"/>
          <w:szCs w:val="22"/>
        </w:rPr>
      </w:pPr>
    </w:p>
    <w:p w14:paraId="08FADEBC" w14:textId="77777777" w:rsidR="004462A0" w:rsidRPr="008912CF" w:rsidRDefault="00615769" w:rsidP="004462A0">
      <w:pPr>
        <w:rPr>
          <w:sz w:val="22"/>
          <w:szCs w:val="22"/>
        </w:rPr>
      </w:pPr>
      <w:r w:rsidRPr="008912CF">
        <w:rPr>
          <w:sz w:val="22"/>
          <w:szCs w:val="22"/>
        </w:rPr>
        <w:t>Apenas para uma única utilização</w:t>
      </w:r>
      <w:r w:rsidR="00554634">
        <w:rPr>
          <w:sz w:val="22"/>
          <w:szCs w:val="22"/>
        </w:rPr>
        <w:t>.</w:t>
      </w:r>
    </w:p>
    <w:p w14:paraId="1B3F96EF" w14:textId="77777777" w:rsidR="00554634" w:rsidRDefault="00554634" w:rsidP="004462A0">
      <w:pPr>
        <w:rPr>
          <w:sz w:val="22"/>
          <w:szCs w:val="22"/>
        </w:rPr>
      </w:pPr>
    </w:p>
    <w:p w14:paraId="718E10FC" w14:textId="77777777" w:rsidR="005D50DB" w:rsidRPr="008912CF" w:rsidRDefault="00615769" w:rsidP="004462A0">
      <w:pPr>
        <w:rPr>
          <w:sz w:val="22"/>
          <w:szCs w:val="22"/>
        </w:rPr>
      </w:pPr>
      <w:r w:rsidRPr="008912CF">
        <w:rPr>
          <w:sz w:val="22"/>
          <w:szCs w:val="22"/>
        </w:rPr>
        <w:t>40</w:t>
      </w:r>
      <w:r>
        <w:rPr>
          <w:sz w:val="22"/>
          <w:szCs w:val="22"/>
        </w:rPr>
        <w:t> </w:t>
      </w:r>
      <w:r w:rsidRPr="008912CF">
        <w:rPr>
          <w:sz w:val="22"/>
          <w:szCs w:val="22"/>
        </w:rPr>
        <w:t>mg/0,4</w:t>
      </w:r>
      <w:r>
        <w:rPr>
          <w:sz w:val="22"/>
          <w:szCs w:val="22"/>
        </w:rPr>
        <w:t> </w:t>
      </w:r>
      <w:r w:rsidRPr="008912CF">
        <w:rPr>
          <w:sz w:val="22"/>
          <w:szCs w:val="22"/>
        </w:rPr>
        <w:t>ml</w:t>
      </w:r>
    </w:p>
    <w:p w14:paraId="722E7C4B" w14:textId="77777777" w:rsidR="004462A0" w:rsidRPr="008912CF" w:rsidRDefault="00615769" w:rsidP="004462A0">
      <w:pPr>
        <w:rPr>
          <w:sz w:val="22"/>
          <w:szCs w:val="22"/>
        </w:rPr>
      </w:pPr>
      <w:r w:rsidRPr="008912CF">
        <w:rPr>
          <w:sz w:val="22"/>
          <w:szCs w:val="22"/>
        </w:rPr>
        <w:br w:type="page"/>
      </w:r>
    </w:p>
    <w:p w14:paraId="7C63470C" w14:textId="77777777" w:rsidR="004462A0" w:rsidRPr="008912CF" w:rsidRDefault="00615769" w:rsidP="004462A0">
      <w:pPr>
        <w:pBdr>
          <w:top w:val="single" w:sz="4" w:space="1" w:color="auto"/>
          <w:left w:val="single" w:sz="4" w:space="1" w:color="auto"/>
          <w:bottom w:val="single" w:sz="4" w:space="0" w:color="auto"/>
          <w:right w:val="single" w:sz="4" w:space="1" w:color="auto"/>
        </w:pBdr>
        <w:tabs>
          <w:tab w:val="left" w:pos="567"/>
        </w:tabs>
        <w:rPr>
          <w:b/>
          <w:sz w:val="22"/>
          <w:szCs w:val="22"/>
        </w:rPr>
      </w:pPr>
      <w:r w:rsidRPr="008912CF">
        <w:rPr>
          <w:b/>
          <w:sz w:val="22"/>
          <w:szCs w:val="22"/>
        </w:rPr>
        <w:t>INDICAÇÕES MÍNIMAS A INCLUIR EM PEQUENAS UNIDADES DE ACONDICIONAMENTO PRIMÁRIO</w:t>
      </w:r>
    </w:p>
    <w:p w14:paraId="07A996AB" w14:textId="77777777" w:rsidR="004462A0" w:rsidRPr="008912CF" w:rsidRDefault="004462A0" w:rsidP="004462A0">
      <w:pPr>
        <w:pBdr>
          <w:top w:val="single" w:sz="4" w:space="1" w:color="auto"/>
          <w:left w:val="single" w:sz="4" w:space="1" w:color="auto"/>
          <w:bottom w:val="single" w:sz="4" w:space="0" w:color="auto"/>
          <w:right w:val="single" w:sz="4" w:space="1" w:color="auto"/>
        </w:pBdr>
        <w:tabs>
          <w:tab w:val="left" w:pos="567"/>
        </w:tabs>
        <w:rPr>
          <w:b/>
          <w:sz w:val="22"/>
          <w:szCs w:val="22"/>
        </w:rPr>
      </w:pPr>
    </w:p>
    <w:p w14:paraId="1005C29D" w14:textId="77777777" w:rsidR="004462A0" w:rsidRPr="008912CF" w:rsidRDefault="00615769" w:rsidP="004462A0">
      <w:pPr>
        <w:pStyle w:val="Heading1"/>
        <w:keepNext w:val="0"/>
        <w:pBdr>
          <w:left w:val="single" w:sz="4" w:space="1" w:color="auto"/>
          <w:bottom w:val="single" w:sz="4" w:space="0" w:color="auto"/>
          <w:right w:val="single" w:sz="4" w:space="1" w:color="auto"/>
        </w:pBdr>
        <w:rPr>
          <w:bCs w:val="0"/>
          <w:caps/>
          <w:szCs w:val="22"/>
        </w:rPr>
      </w:pPr>
      <w:r w:rsidRPr="008912CF">
        <w:rPr>
          <w:bCs w:val="0"/>
          <w:caps/>
          <w:szCs w:val="22"/>
        </w:rPr>
        <w:t>Rótulo dA CANETA</w:t>
      </w:r>
    </w:p>
    <w:p w14:paraId="4807C61E" w14:textId="77777777" w:rsidR="004462A0" w:rsidRPr="008912CF" w:rsidRDefault="004462A0" w:rsidP="004462A0">
      <w:pPr>
        <w:pStyle w:val="Index1"/>
        <w:spacing w:line="240" w:lineRule="auto"/>
        <w:rPr>
          <w:szCs w:val="22"/>
          <w:lang w:val="pt-PT"/>
        </w:rPr>
      </w:pPr>
    </w:p>
    <w:p w14:paraId="6D4858DE" w14:textId="77777777" w:rsidR="004462A0" w:rsidRPr="008912CF" w:rsidRDefault="004462A0" w:rsidP="004462A0">
      <w:pPr>
        <w:tabs>
          <w:tab w:val="left" w:pos="720"/>
        </w:tabs>
        <w:rPr>
          <w:b/>
          <w:sz w:val="22"/>
          <w:szCs w:val="22"/>
        </w:rPr>
      </w:pPr>
    </w:p>
    <w:p w14:paraId="0B86330A"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1.</w:t>
      </w:r>
      <w:r w:rsidRPr="008912CF">
        <w:rPr>
          <w:b/>
          <w:sz w:val="22"/>
          <w:szCs w:val="22"/>
        </w:rPr>
        <w:tab/>
        <w:t>NOME DO MEDICAMENTO E VIA DE ADMINISTRAÇÃO</w:t>
      </w:r>
    </w:p>
    <w:p w14:paraId="3660B9CF" w14:textId="77777777" w:rsidR="004462A0" w:rsidRPr="008912CF" w:rsidRDefault="004462A0" w:rsidP="004462A0">
      <w:pPr>
        <w:tabs>
          <w:tab w:val="left" w:pos="720"/>
        </w:tabs>
        <w:rPr>
          <w:sz w:val="22"/>
          <w:szCs w:val="22"/>
        </w:rPr>
      </w:pPr>
    </w:p>
    <w:p w14:paraId="37C5165D" w14:textId="77777777" w:rsidR="004462A0" w:rsidRPr="008912CF" w:rsidRDefault="00615769" w:rsidP="004462A0">
      <w:pPr>
        <w:tabs>
          <w:tab w:val="left" w:pos="720"/>
        </w:tabs>
        <w:rPr>
          <w:sz w:val="22"/>
          <w:szCs w:val="22"/>
        </w:rPr>
      </w:pPr>
      <w:r w:rsidRPr="008912CF">
        <w:rPr>
          <w:sz w:val="22"/>
          <w:szCs w:val="22"/>
        </w:rPr>
        <w:t>Humira 40 mg solução injetável</w:t>
      </w:r>
    </w:p>
    <w:p w14:paraId="1EF7B14C" w14:textId="77777777" w:rsidR="004462A0" w:rsidRPr="008912CF" w:rsidRDefault="00615769" w:rsidP="004462A0">
      <w:pPr>
        <w:pStyle w:val="EndnoteText"/>
        <w:tabs>
          <w:tab w:val="clear" w:pos="567"/>
          <w:tab w:val="left" w:pos="720"/>
        </w:tabs>
        <w:rPr>
          <w:szCs w:val="22"/>
        </w:rPr>
      </w:pPr>
      <w:r w:rsidRPr="008912CF">
        <w:rPr>
          <w:szCs w:val="22"/>
        </w:rPr>
        <w:t>adalimumab</w:t>
      </w:r>
    </w:p>
    <w:p w14:paraId="1F597D57" w14:textId="77777777" w:rsidR="004462A0" w:rsidRPr="008912CF" w:rsidRDefault="00615769" w:rsidP="004462A0">
      <w:pPr>
        <w:pStyle w:val="EndnoteText"/>
        <w:tabs>
          <w:tab w:val="clear" w:pos="567"/>
          <w:tab w:val="left" w:pos="720"/>
        </w:tabs>
        <w:rPr>
          <w:szCs w:val="22"/>
        </w:rPr>
      </w:pPr>
      <w:r w:rsidRPr="008912CF">
        <w:rPr>
          <w:szCs w:val="22"/>
        </w:rPr>
        <w:t>SC</w:t>
      </w:r>
    </w:p>
    <w:p w14:paraId="472A2615" w14:textId="77777777" w:rsidR="004462A0" w:rsidRPr="008912CF" w:rsidRDefault="004462A0" w:rsidP="004462A0">
      <w:pPr>
        <w:tabs>
          <w:tab w:val="left" w:pos="720"/>
        </w:tabs>
        <w:rPr>
          <w:bCs/>
          <w:sz w:val="22"/>
          <w:szCs w:val="22"/>
        </w:rPr>
      </w:pPr>
    </w:p>
    <w:p w14:paraId="3703C54D" w14:textId="77777777" w:rsidR="004462A0" w:rsidRPr="008912CF" w:rsidRDefault="004462A0" w:rsidP="004462A0">
      <w:pPr>
        <w:tabs>
          <w:tab w:val="left" w:pos="720"/>
        </w:tabs>
        <w:rPr>
          <w:bCs/>
          <w:sz w:val="22"/>
          <w:szCs w:val="22"/>
        </w:rPr>
      </w:pPr>
    </w:p>
    <w:p w14:paraId="26B4F45D"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b/>
          <w:sz w:val="22"/>
          <w:szCs w:val="22"/>
          <w:highlight w:val="lightGray"/>
        </w:rPr>
      </w:pPr>
      <w:r w:rsidRPr="008912CF">
        <w:rPr>
          <w:b/>
          <w:sz w:val="22"/>
          <w:szCs w:val="22"/>
        </w:rPr>
        <w:t>2.</w:t>
      </w:r>
      <w:r w:rsidRPr="008912CF">
        <w:rPr>
          <w:b/>
          <w:sz w:val="22"/>
          <w:szCs w:val="22"/>
        </w:rPr>
        <w:tab/>
      </w:r>
      <w:r w:rsidRPr="008912CF">
        <w:rPr>
          <w:b/>
          <w:sz w:val="22"/>
          <w:szCs w:val="22"/>
        </w:rPr>
        <w:t>MODO DE ADMINISTRAÇÃO</w:t>
      </w:r>
    </w:p>
    <w:p w14:paraId="070F6204" w14:textId="77777777" w:rsidR="004462A0" w:rsidRPr="008912CF" w:rsidRDefault="004462A0" w:rsidP="004462A0">
      <w:pPr>
        <w:pStyle w:val="IndexHeading"/>
        <w:tabs>
          <w:tab w:val="clear" w:pos="567"/>
          <w:tab w:val="left" w:pos="720"/>
        </w:tabs>
        <w:spacing w:line="240" w:lineRule="auto"/>
        <w:rPr>
          <w:rFonts w:ascii="Times New Roman" w:hAnsi="Times New Roman"/>
          <w:b w:val="0"/>
          <w:bCs/>
          <w:szCs w:val="22"/>
          <w:lang w:val="pt-PT"/>
        </w:rPr>
      </w:pPr>
    </w:p>
    <w:p w14:paraId="742FD8D7" w14:textId="77777777" w:rsidR="004462A0" w:rsidRPr="008912CF" w:rsidRDefault="004462A0" w:rsidP="004462A0">
      <w:pPr>
        <w:pStyle w:val="EndnoteText"/>
        <w:tabs>
          <w:tab w:val="clear" w:pos="567"/>
          <w:tab w:val="left" w:pos="720"/>
        </w:tabs>
        <w:rPr>
          <w:bCs/>
          <w:szCs w:val="22"/>
        </w:rPr>
      </w:pPr>
    </w:p>
    <w:p w14:paraId="6A9EA272"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3.</w:t>
      </w:r>
      <w:r w:rsidRPr="008912CF">
        <w:rPr>
          <w:b/>
          <w:sz w:val="22"/>
          <w:szCs w:val="22"/>
        </w:rPr>
        <w:tab/>
        <w:t>PRAZO DE VALIDADE</w:t>
      </w:r>
    </w:p>
    <w:p w14:paraId="62CAD072" w14:textId="77777777" w:rsidR="004462A0" w:rsidRPr="008912CF" w:rsidRDefault="004462A0" w:rsidP="004462A0">
      <w:pPr>
        <w:pStyle w:val="EndnoteText"/>
        <w:tabs>
          <w:tab w:val="clear" w:pos="567"/>
          <w:tab w:val="left" w:pos="720"/>
        </w:tabs>
        <w:rPr>
          <w:szCs w:val="22"/>
        </w:rPr>
      </w:pPr>
    </w:p>
    <w:p w14:paraId="19AB87DF" w14:textId="77777777" w:rsidR="004462A0" w:rsidRPr="008912CF" w:rsidRDefault="00615769" w:rsidP="004462A0">
      <w:pPr>
        <w:tabs>
          <w:tab w:val="left" w:pos="720"/>
        </w:tabs>
        <w:rPr>
          <w:sz w:val="22"/>
          <w:szCs w:val="22"/>
        </w:rPr>
      </w:pPr>
      <w:r w:rsidRPr="00154C95">
        <w:rPr>
          <w:sz w:val="22"/>
          <w:szCs w:val="22"/>
        </w:rPr>
        <w:t>EXP</w:t>
      </w:r>
      <w:r w:rsidRPr="008912CF">
        <w:rPr>
          <w:sz w:val="22"/>
          <w:szCs w:val="22"/>
        </w:rPr>
        <w:t xml:space="preserve"> </w:t>
      </w:r>
    </w:p>
    <w:p w14:paraId="64884369" w14:textId="77777777" w:rsidR="004462A0" w:rsidRPr="008912CF" w:rsidRDefault="004462A0" w:rsidP="004462A0">
      <w:pPr>
        <w:tabs>
          <w:tab w:val="left" w:pos="720"/>
        </w:tabs>
        <w:rPr>
          <w:bCs/>
          <w:sz w:val="22"/>
          <w:szCs w:val="22"/>
        </w:rPr>
      </w:pPr>
    </w:p>
    <w:p w14:paraId="5A8F0555" w14:textId="77777777" w:rsidR="004462A0" w:rsidRPr="008912CF" w:rsidRDefault="004462A0" w:rsidP="004462A0">
      <w:pPr>
        <w:tabs>
          <w:tab w:val="left" w:pos="720"/>
        </w:tabs>
        <w:rPr>
          <w:bCs/>
          <w:sz w:val="22"/>
          <w:szCs w:val="22"/>
        </w:rPr>
      </w:pPr>
    </w:p>
    <w:p w14:paraId="3BCC8730"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4.</w:t>
      </w:r>
      <w:r w:rsidRPr="008912CF">
        <w:rPr>
          <w:b/>
          <w:sz w:val="22"/>
          <w:szCs w:val="22"/>
        </w:rPr>
        <w:tab/>
        <w:t>NÚMERO DO LOTE</w:t>
      </w:r>
    </w:p>
    <w:p w14:paraId="306B1933" w14:textId="77777777" w:rsidR="004462A0" w:rsidRPr="008912CF" w:rsidRDefault="004462A0" w:rsidP="004462A0">
      <w:pPr>
        <w:pStyle w:val="EndnoteText"/>
        <w:tabs>
          <w:tab w:val="clear" w:pos="567"/>
          <w:tab w:val="left" w:pos="720"/>
        </w:tabs>
        <w:rPr>
          <w:szCs w:val="22"/>
        </w:rPr>
      </w:pPr>
    </w:p>
    <w:p w14:paraId="17B28E6D" w14:textId="77777777" w:rsidR="004462A0" w:rsidRPr="008912CF" w:rsidRDefault="00615769" w:rsidP="004462A0">
      <w:pPr>
        <w:tabs>
          <w:tab w:val="left" w:pos="720"/>
        </w:tabs>
        <w:rPr>
          <w:sz w:val="22"/>
          <w:szCs w:val="22"/>
        </w:rPr>
      </w:pPr>
      <w:r w:rsidRPr="008912CF">
        <w:rPr>
          <w:sz w:val="22"/>
          <w:szCs w:val="22"/>
        </w:rPr>
        <w:t>Lot</w:t>
      </w:r>
      <w:r w:rsidR="0050581A">
        <w:rPr>
          <w:sz w:val="22"/>
          <w:szCs w:val="22"/>
        </w:rPr>
        <w:t>e</w:t>
      </w:r>
    </w:p>
    <w:p w14:paraId="380E975B" w14:textId="77777777" w:rsidR="004462A0" w:rsidRPr="008912CF" w:rsidRDefault="004462A0" w:rsidP="004462A0">
      <w:pPr>
        <w:tabs>
          <w:tab w:val="left" w:pos="720"/>
        </w:tabs>
        <w:ind w:right="113"/>
        <w:rPr>
          <w:sz w:val="22"/>
          <w:szCs w:val="22"/>
          <w:highlight w:val="lightGray"/>
        </w:rPr>
      </w:pPr>
    </w:p>
    <w:p w14:paraId="22D15AE6" w14:textId="77777777" w:rsidR="004462A0" w:rsidRPr="008912CF" w:rsidRDefault="004462A0" w:rsidP="004462A0">
      <w:pPr>
        <w:tabs>
          <w:tab w:val="left" w:pos="720"/>
        </w:tabs>
        <w:ind w:right="113"/>
        <w:rPr>
          <w:sz w:val="22"/>
          <w:szCs w:val="22"/>
          <w:highlight w:val="lightGray"/>
        </w:rPr>
      </w:pPr>
    </w:p>
    <w:p w14:paraId="5498DF0D"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5.</w:t>
      </w:r>
      <w:r w:rsidRPr="008912CF">
        <w:rPr>
          <w:b/>
          <w:sz w:val="22"/>
          <w:szCs w:val="22"/>
        </w:rPr>
        <w:tab/>
        <w:t>CONTEÚDO EM PESO, VOLUME OU UNIDADE</w:t>
      </w:r>
    </w:p>
    <w:p w14:paraId="07B1EA17" w14:textId="77777777" w:rsidR="004462A0" w:rsidRPr="008912CF" w:rsidRDefault="004462A0" w:rsidP="004462A0">
      <w:pPr>
        <w:tabs>
          <w:tab w:val="left" w:pos="720"/>
        </w:tabs>
        <w:rPr>
          <w:sz w:val="22"/>
          <w:szCs w:val="22"/>
        </w:rPr>
      </w:pPr>
    </w:p>
    <w:p w14:paraId="4F6E2B34" w14:textId="77777777" w:rsidR="004462A0" w:rsidRPr="008912CF" w:rsidRDefault="00615769" w:rsidP="004462A0">
      <w:pPr>
        <w:pStyle w:val="EndnoteText"/>
        <w:tabs>
          <w:tab w:val="clear" w:pos="567"/>
        </w:tabs>
        <w:rPr>
          <w:szCs w:val="22"/>
        </w:rPr>
      </w:pPr>
      <w:r w:rsidRPr="008912CF">
        <w:rPr>
          <w:szCs w:val="22"/>
        </w:rPr>
        <w:t>40 mg/0,4 ml</w:t>
      </w:r>
    </w:p>
    <w:p w14:paraId="507C423B" w14:textId="77777777" w:rsidR="004462A0" w:rsidRPr="008912CF" w:rsidRDefault="004462A0" w:rsidP="004462A0">
      <w:pPr>
        <w:rPr>
          <w:sz w:val="22"/>
          <w:szCs w:val="22"/>
        </w:rPr>
      </w:pPr>
    </w:p>
    <w:p w14:paraId="4A05B131" w14:textId="77777777" w:rsidR="004462A0" w:rsidRPr="008912CF" w:rsidRDefault="004462A0" w:rsidP="004462A0">
      <w:pPr>
        <w:rPr>
          <w:sz w:val="22"/>
          <w:szCs w:val="22"/>
        </w:rPr>
      </w:pPr>
    </w:p>
    <w:p w14:paraId="576B83E2"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6.</w:t>
      </w:r>
      <w:r w:rsidRPr="008912CF">
        <w:rPr>
          <w:b/>
          <w:sz w:val="22"/>
          <w:szCs w:val="22"/>
        </w:rPr>
        <w:tab/>
        <w:t>OUTR</w:t>
      </w:r>
      <w:r>
        <w:rPr>
          <w:b/>
          <w:sz w:val="22"/>
          <w:szCs w:val="22"/>
        </w:rPr>
        <w:t>O</w:t>
      </w:r>
      <w:r w:rsidRPr="008912CF">
        <w:rPr>
          <w:b/>
          <w:sz w:val="22"/>
          <w:szCs w:val="22"/>
        </w:rPr>
        <w:t>S</w:t>
      </w:r>
    </w:p>
    <w:p w14:paraId="52AF6232" w14:textId="77777777" w:rsidR="004462A0" w:rsidRPr="008912CF" w:rsidRDefault="004462A0" w:rsidP="004462A0">
      <w:pPr>
        <w:rPr>
          <w:sz w:val="22"/>
          <w:szCs w:val="22"/>
        </w:rPr>
      </w:pPr>
    </w:p>
    <w:p w14:paraId="2D5703FD" w14:textId="77777777" w:rsidR="004462A0" w:rsidRDefault="00615769" w:rsidP="004462A0">
      <w:pPr>
        <w:rPr>
          <w:sz w:val="22"/>
          <w:szCs w:val="22"/>
        </w:rPr>
      </w:pPr>
      <w:r w:rsidRPr="008912CF">
        <w:rPr>
          <w:sz w:val="22"/>
          <w:szCs w:val="22"/>
        </w:rPr>
        <w:br w:type="page"/>
      </w:r>
    </w:p>
    <w:p w14:paraId="7E40C2FE" w14:textId="77777777" w:rsidR="004462A0" w:rsidRPr="008912CF" w:rsidRDefault="00615769" w:rsidP="004462A0">
      <w:pPr>
        <w:pBdr>
          <w:top w:val="single" w:sz="4" w:space="1" w:color="auto"/>
          <w:left w:val="single" w:sz="4" w:space="4" w:color="auto"/>
          <w:bottom w:val="single" w:sz="4" w:space="1" w:color="auto"/>
          <w:right w:val="single" w:sz="4" w:space="4" w:color="auto"/>
        </w:pBdr>
        <w:tabs>
          <w:tab w:val="left" w:pos="567"/>
        </w:tabs>
        <w:rPr>
          <w:b/>
          <w:bCs/>
          <w:sz w:val="22"/>
          <w:szCs w:val="22"/>
        </w:rPr>
      </w:pPr>
      <w:r w:rsidRPr="008912CF">
        <w:rPr>
          <w:b/>
          <w:sz w:val="22"/>
          <w:szCs w:val="22"/>
        </w:rPr>
        <w:t>INDICAÇÕES A INCLUIR NO ACONDICIONAMENTO SECUNDÁRIO</w:t>
      </w:r>
    </w:p>
    <w:p w14:paraId="1585926C" w14:textId="77777777" w:rsidR="004462A0" w:rsidRPr="008912CF" w:rsidRDefault="004462A0" w:rsidP="004462A0">
      <w:pPr>
        <w:pStyle w:val="Heading1"/>
        <w:keepNext w:val="0"/>
        <w:rPr>
          <w:caps/>
          <w:szCs w:val="22"/>
        </w:rPr>
      </w:pPr>
    </w:p>
    <w:p w14:paraId="404EEE5C" w14:textId="77777777" w:rsidR="004462A0" w:rsidRPr="008912CF" w:rsidRDefault="00615769" w:rsidP="004462A0">
      <w:pPr>
        <w:pStyle w:val="Heading1"/>
        <w:keepNext w:val="0"/>
        <w:rPr>
          <w:caps/>
          <w:szCs w:val="22"/>
        </w:rPr>
      </w:pPr>
      <w:r w:rsidRPr="008912CF">
        <w:rPr>
          <w:caps/>
          <w:szCs w:val="22"/>
        </w:rPr>
        <w:t>Embalagem exterior</w:t>
      </w:r>
    </w:p>
    <w:p w14:paraId="2F1B10F2" w14:textId="77777777" w:rsidR="004462A0" w:rsidRPr="008912CF" w:rsidRDefault="004462A0" w:rsidP="004462A0">
      <w:pPr>
        <w:pStyle w:val="IndexHeading"/>
        <w:spacing w:line="240" w:lineRule="auto"/>
        <w:rPr>
          <w:rFonts w:ascii="Times New Roman" w:hAnsi="Times New Roman"/>
          <w:szCs w:val="22"/>
          <w:lang w:val="pt-PT"/>
        </w:rPr>
      </w:pPr>
    </w:p>
    <w:p w14:paraId="3C65DF5E" w14:textId="77777777" w:rsidR="004462A0" w:rsidRPr="008912CF" w:rsidRDefault="004462A0" w:rsidP="004462A0">
      <w:pPr>
        <w:tabs>
          <w:tab w:val="left" w:pos="567"/>
        </w:tabs>
        <w:rPr>
          <w:b/>
          <w:sz w:val="22"/>
          <w:szCs w:val="22"/>
        </w:rPr>
      </w:pPr>
    </w:p>
    <w:p w14:paraId="2B36EF9E"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rPr>
      </w:pPr>
      <w:r w:rsidRPr="008912CF">
        <w:rPr>
          <w:b/>
          <w:sz w:val="22"/>
          <w:szCs w:val="22"/>
        </w:rPr>
        <w:t>1.</w:t>
      </w:r>
      <w:r w:rsidRPr="008912CF">
        <w:rPr>
          <w:b/>
          <w:sz w:val="22"/>
          <w:szCs w:val="22"/>
        </w:rPr>
        <w:tab/>
      </w:r>
      <w:r w:rsidRPr="008912CF">
        <w:rPr>
          <w:b/>
          <w:sz w:val="22"/>
          <w:szCs w:val="22"/>
        </w:rPr>
        <w:t>NOME DO MEDICAMENTO</w:t>
      </w:r>
    </w:p>
    <w:p w14:paraId="75934B66" w14:textId="77777777" w:rsidR="004462A0" w:rsidRPr="008912CF" w:rsidRDefault="004462A0" w:rsidP="004462A0">
      <w:pPr>
        <w:tabs>
          <w:tab w:val="left" w:pos="720"/>
        </w:tabs>
        <w:rPr>
          <w:sz w:val="22"/>
          <w:szCs w:val="22"/>
        </w:rPr>
      </w:pPr>
    </w:p>
    <w:p w14:paraId="2EC08171" w14:textId="77777777" w:rsidR="004462A0" w:rsidRPr="008912CF" w:rsidRDefault="00615769" w:rsidP="004462A0">
      <w:pPr>
        <w:tabs>
          <w:tab w:val="left" w:pos="720"/>
        </w:tabs>
        <w:rPr>
          <w:sz w:val="22"/>
          <w:szCs w:val="22"/>
        </w:rPr>
      </w:pPr>
      <w:r w:rsidRPr="008912CF">
        <w:rPr>
          <w:sz w:val="22"/>
          <w:szCs w:val="22"/>
        </w:rPr>
        <w:t xml:space="preserve">Humira </w:t>
      </w:r>
      <w:r>
        <w:rPr>
          <w:sz w:val="22"/>
          <w:szCs w:val="22"/>
        </w:rPr>
        <w:t>8</w:t>
      </w:r>
      <w:r w:rsidRPr="008912CF">
        <w:rPr>
          <w:sz w:val="22"/>
          <w:szCs w:val="22"/>
        </w:rPr>
        <w:t xml:space="preserve">0 mg solução injetável em seringa pré-cheia </w:t>
      </w:r>
    </w:p>
    <w:p w14:paraId="2A32896B" w14:textId="77777777" w:rsidR="004462A0" w:rsidRPr="008912CF" w:rsidRDefault="00615769" w:rsidP="004462A0">
      <w:pPr>
        <w:pStyle w:val="EndnoteText"/>
        <w:tabs>
          <w:tab w:val="clear" w:pos="567"/>
          <w:tab w:val="left" w:pos="720"/>
        </w:tabs>
        <w:rPr>
          <w:szCs w:val="22"/>
        </w:rPr>
      </w:pPr>
      <w:r w:rsidRPr="008912CF">
        <w:rPr>
          <w:szCs w:val="22"/>
        </w:rPr>
        <w:t>adalimumab</w:t>
      </w:r>
    </w:p>
    <w:p w14:paraId="6FCE9EA4" w14:textId="77777777" w:rsidR="004462A0" w:rsidRPr="008912CF" w:rsidRDefault="004462A0" w:rsidP="004462A0">
      <w:pPr>
        <w:tabs>
          <w:tab w:val="left" w:pos="720"/>
        </w:tabs>
        <w:rPr>
          <w:sz w:val="22"/>
          <w:szCs w:val="22"/>
        </w:rPr>
      </w:pPr>
    </w:p>
    <w:p w14:paraId="64A8F270" w14:textId="77777777" w:rsidR="004462A0" w:rsidRPr="008912CF" w:rsidRDefault="004462A0" w:rsidP="004462A0">
      <w:pPr>
        <w:tabs>
          <w:tab w:val="left" w:pos="720"/>
        </w:tabs>
        <w:rPr>
          <w:sz w:val="22"/>
          <w:szCs w:val="22"/>
        </w:rPr>
      </w:pPr>
    </w:p>
    <w:p w14:paraId="40698C14"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rPr>
      </w:pPr>
      <w:r w:rsidRPr="008912CF">
        <w:rPr>
          <w:b/>
          <w:sz w:val="22"/>
          <w:szCs w:val="22"/>
        </w:rPr>
        <w:t>2.</w:t>
      </w:r>
      <w:r w:rsidRPr="008912CF">
        <w:rPr>
          <w:b/>
          <w:sz w:val="22"/>
          <w:szCs w:val="22"/>
        </w:rPr>
        <w:tab/>
        <w:t>DESCRIÇÃO DA SUBSTÂNCIA ATIVA</w:t>
      </w:r>
    </w:p>
    <w:p w14:paraId="2C2FA97E" w14:textId="77777777" w:rsidR="004462A0" w:rsidRPr="008912CF" w:rsidRDefault="004462A0" w:rsidP="004462A0">
      <w:pPr>
        <w:tabs>
          <w:tab w:val="left" w:pos="720"/>
        </w:tabs>
        <w:rPr>
          <w:sz w:val="22"/>
          <w:szCs w:val="22"/>
        </w:rPr>
      </w:pPr>
    </w:p>
    <w:p w14:paraId="3B861287" w14:textId="77777777" w:rsidR="004462A0" w:rsidRPr="008912CF" w:rsidRDefault="00615769" w:rsidP="004462A0">
      <w:pPr>
        <w:tabs>
          <w:tab w:val="left" w:pos="720"/>
        </w:tabs>
        <w:rPr>
          <w:sz w:val="22"/>
          <w:szCs w:val="22"/>
        </w:rPr>
      </w:pPr>
      <w:r w:rsidRPr="008912CF">
        <w:rPr>
          <w:sz w:val="22"/>
          <w:szCs w:val="22"/>
        </w:rPr>
        <w:t xml:space="preserve">Uma seringa pré-cheia de 0,8 ml contém </w:t>
      </w:r>
      <w:r>
        <w:rPr>
          <w:sz w:val="22"/>
          <w:szCs w:val="22"/>
        </w:rPr>
        <w:t>8</w:t>
      </w:r>
      <w:r w:rsidRPr="008912CF">
        <w:rPr>
          <w:sz w:val="22"/>
          <w:szCs w:val="22"/>
        </w:rPr>
        <w:t>0 mg de adalimumab</w:t>
      </w:r>
      <w:r w:rsidR="0051646D">
        <w:rPr>
          <w:sz w:val="22"/>
          <w:szCs w:val="22"/>
        </w:rPr>
        <w:t>.</w:t>
      </w:r>
    </w:p>
    <w:p w14:paraId="21819106" w14:textId="77777777" w:rsidR="004462A0" w:rsidRPr="008912CF" w:rsidRDefault="004462A0" w:rsidP="004462A0">
      <w:pPr>
        <w:tabs>
          <w:tab w:val="left" w:pos="720"/>
        </w:tabs>
        <w:rPr>
          <w:sz w:val="22"/>
          <w:szCs w:val="22"/>
        </w:rPr>
      </w:pPr>
    </w:p>
    <w:p w14:paraId="02A54DB4" w14:textId="77777777" w:rsidR="004462A0" w:rsidRPr="008912CF" w:rsidRDefault="004462A0" w:rsidP="004462A0">
      <w:pPr>
        <w:tabs>
          <w:tab w:val="left" w:pos="720"/>
        </w:tabs>
        <w:rPr>
          <w:sz w:val="22"/>
          <w:szCs w:val="22"/>
        </w:rPr>
      </w:pPr>
    </w:p>
    <w:p w14:paraId="1AA2A08D" w14:textId="77777777" w:rsidR="004462A0" w:rsidRPr="008912CF" w:rsidRDefault="00615769" w:rsidP="004462A0">
      <w:pPr>
        <w:pBdr>
          <w:top w:val="single" w:sz="4" w:space="1" w:color="auto"/>
          <w:left w:val="single" w:sz="4" w:space="4" w:color="auto"/>
          <w:bottom w:val="single" w:sz="4" w:space="2"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3.</w:t>
      </w:r>
      <w:r w:rsidRPr="008912CF">
        <w:rPr>
          <w:b/>
          <w:sz w:val="22"/>
          <w:szCs w:val="22"/>
        </w:rPr>
        <w:tab/>
        <w:t>LISTA DOS EXCIPIENTES</w:t>
      </w:r>
    </w:p>
    <w:p w14:paraId="6BF5F081" w14:textId="77777777" w:rsidR="004462A0" w:rsidRPr="008912CF" w:rsidRDefault="004462A0" w:rsidP="004462A0">
      <w:pPr>
        <w:tabs>
          <w:tab w:val="left" w:pos="720"/>
        </w:tabs>
        <w:rPr>
          <w:sz w:val="22"/>
          <w:szCs w:val="22"/>
        </w:rPr>
      </w:pPr>
    </w:p>
    <w:p w14:paraId="551866F2" w14:textId="77777777" w:rsidR="004462A0" w:rsidRPr="008912CF" w:rsidRDefault="00615769" w:rsidP="004462A0">
      <w:pPr>
        <w:tabs>
          <w:tab w:val="left" w:pos="720"/>
        </w:tabs>
        <w:rPr>
          <w:sz w:val="22"/>
          <w:szCs w:val="22"/>
        </w:rPr>
      </w:pPr>
      <w:r w:rsidRPr="008912CF">
        <w:rPr>
          <w:sz w:val="22"/>
          <w:szCs w:val="22"/>
        </w:rPr>
        <w:t>Excipientes: manitol, polissorbato 80</w:t>
      </w:r>
      <w:r>
        <w:rPr>
          <w:sz w:val="22"/>
          <w:szCs w:val="22"/>
        </w:rPr>
        <w:t xml:space="preserve"> </w:t>
      </w:r>
      <w:r w:rsidRPr="008912CF">
        <w:rPr>
          <w:sz w:val="22"/>
          <w:szCs w:val="22"/>
        </w:rPr>
        <w:t>e água para preparações injetáveis. Consultar o folheto informativo para informação adicional.</w:t>
      </w:r>
    </w:p>
    <w:p w14:paraId="243222EA" w14:textId="77777777" w:rsidR="004462A0" w:rsidRPr="008912CF" w:rsidRDefault="004462A0" w:rsidP="004462A0">
      <w:pPr>
        <w:tabs>
          <w:tab w:val="left" w:pos="720"/>
        </w:tabs>
        <w:rPr>
          <w:sz w:val="22"/>
          <w:szCs w:val="22"/>
        </w:rPr>
      </w:pPr>
    </w:p>
    <w:p w14:paraId="32722C0C" w14:textId="77777777" w:rsidR="004462A0" w:rsidRPr="008912CF" w:rsidRDefault="004462A0" w:rsidP="004462A0">
      <w:pPr>
        <w:tabs>
          <w:tab w:val="left" w:pos="720"/>
        </w:tabs>
        <w:rPr>
          <w:sz w:val="22"/>
          <w:szCs w:val="22"/>
        </w:rPr>
      </w:pPr>
    </w:p>
    <w:p w14:paraId="6110954F"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4.</w:t>
      </w:r>
      <w:r w:rsidRPr="008912CF">
        <w:rPr>
          <w:b/>
          <w:sz w:val="22"/>
          <w:szCs w:val="22"/>
        </w:rPr>
        <w:tab/>
        <w:t>FORMA FARMACÊUTICA E CONTEÚDO</w:t>
      </w:r>
    </w:p>
    <w:p w14:paraId="543CE671" w14:textId="77777777" w:rsidR="004462A0" w:rsidRPr="008912CF" w:rsidRDefault="004462A0" w:rsidP="004462A0">
      <w:pPr>
        <w:tabs>
          <w:tab w:val="left" w:pos="720"/>
        </w:tabs>
        <w:rPr>
          <w:sz w:val="22"/>
          <w:szCs w:val="22"/>
        </w:rPr>
      </w:pPr>
    </w:p>
    <w:p w14:paraId="3F6168B9" w14:textId="77777777" w:rsidR="008D4B8F" w:rsidRPr="002112C5" w:rsidRDefault="00615769" w:rsidP="004462A0">
      <w:pPr>
        <w:tabs>
          <w:tab w:val="left" w:pos="720"/>
        </w:tabs>
        <w:rPr>
          <w:sz w:val="22"/>
          <w:szCs w:val="22"/>
          <w:shd w:val="pct15" w:color="auto" w:fill="FFFFFF"/>
        </w:rPr>
      </w:pPr>
      <w:r w:rsidRPr="002112C5">
        <w:rPr>
          <w:sz w:val="22"/>
          <w:szCs w:val="22"/>
          <w:shd w:val="pct15" w:color="auto" w:fill="FFFFFF"/>
        </w:rPr>
        <w:t>Solução injetáve</w:t>
      </w:r>
      <w:r w:rsidR="00154C95" w:rsidRPr="002112C5">
        <w:rPr>
          <w:sz w:val="22"/>
          <w:szCs w:val="22"/>
          <w:shd w:val="pct15" w:color="auto" w:fill="FFFFFF"/>
        </w:rPr>
        <w:t>l</w:t>
      </w:r>
    </w:p>
    <w:p w14:paraId="16FB5BB9" w14:textId="77777777" w:rsidR="004462A0" w:rsidRPr="008912CF" w:rsidRDefault="00615769" w:rsidP="004462A0">
      <w:pPr>
        <w:tabs>
          <w:tab w:val="left" w:pos="720"/>
        </w:tabs>
        <w:rPr>
          <w:sz w:val="22"/>
          <w:szCs w:val="22"/>
        </w:rPr>
      </w:pPr>
      <w:r>
        <w:rPr>
          <w:sz w:val="22"/>
          <w:szCs w:val="22"/>
        </w:rPr>
        <w:t>1</w:t>
      </w:r>
      <w:r w:rsidRPr="008912CF">
        <w:rPr>
          <w:sz w:val="22"/>
          <w:szCs w:val="22"/>
        </w:rPr>
        <w:t xml:space="preserve"> seringa pré-cheia </w:t>
      </w:r>
    </w:p>
    <w:p w14:paraId="43FA8BDE" w14:textId="77777777" w:rsidR="004462A0" w:rsidRPr="008912CF" w:rsidRDefault="00615769" w:rsidP="004462A0">
      <w:pPr>
        <w:tabs>
          <w:tab w:val="left" w:pos="720"/>
        </w:tabs>
        <w:rPr>
          <w:i/>
          <w:sz w:val="22"/>
          <w:szCs w:val="22"/>
        </w:rPr>
      </w:pPr>
      <w:r>
        <w:rPr>
          <w:sz w:val="22"/>
          <w:szCs w:val="22"/>
        </w:rPr>
        <w:t>1</w:t>
      </w:r>
      <w:r w:rsidRPr="008912CF">
        <w:rPr>
          <w:sz w:val="22"/>
          <w:szCs w:val="22"/>
        </w:rPr>
        <w:t xml:space="preserve"> compressa embebida em álcool</w:t>
      </w:r>
    </w:p>
    <w:p w14:paraId="7DD49E4F" w14:textId="77777777" w:rsidR="004462A0" w:rsidRPr="008912CF" w:rsidRDefault="004462A0" w:rsidP="004462A0">
      <w:pPr>
        <w:pStyle w:val="EndnoteText"/>
        <w:tabs>
          <w:tab w:val="clear" w:pos="567"/>
          <w:tab w:val="left" w:pos="720"/>
        </w:tabs>
        <w:rPr>
          <w:szCs w:val="22"/>
          <w:highlight w:val="yellow"/>
        </w:rPr>
      </w:pPr>
    </w:p>
    <w:p w14:paraId="60CA34A8" w14:textId="77777777" w:rsidR="004462A0" w:rsidRPr="008912CF" w:rsidRDefault="004462A0" w:rsidP="004462A0">
      <w:pPr>
        <w:tabs>
          <w:tab w:val="left" w:pos="720"/>
        </w:tabs>
        <w:rPr>
          <w:color w:val="000000"/>
          <w:sz w:val="22"/>
          <w:szCs w:val="22"/>
          <w:u w:val="single"/>
        </w:rPr>
      </w:pPr>
    </w:p>
    <w:p w14:paraId="485309E4"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5.</w:t>
      </w:r>
      <w:r w:rsidRPr="008912CF">
        <w:rPr>
          <w:b/>
          <w:sz w:val="22"/>
          <w:szCs w:val="22"/>
        </w:rPr>
        <w:tab/>
        <w:t>MODO E VIA DE ADMINISTRAÇÃO</w:t>
      </w:r>
    </w:p>
    <w:p w14:paraId="34AF4925" w14:textId="77777777" w:rsidR="004462A0" w:rsidRPr="008912CF" w:rsidRDefault="004462A0" w:rsidP="004462A0">
      <w:pPr>
        <w:tabs>
          <w:tab w:val="left" w:pos="720"/>
        </w:tabs>
        <w:rPr>
          <w:sz w:val="22"/>
          <w:szCs w:val="22"/>
        </w:rPr>
      </w:pPr>
    </w:p>
    <w:p w14:paraId="4395D7B3" w14:textId="77777777" w:rsidR="004462A0" w:rsidRPr="008912CF" w:rsidRDefault="00615769" w:rsidP="004462A0">
      <w:pPr>
        <w:tabs>
          <w:tab w:val="left" w:pos="720"/>
        </w:tabs>
        <w:rPr>
          <w:sz w:val="22"/>
          <w:szCs w:val="22"/>
        </w:rPr>
      </w:pPr>
      <w:r w:rsidRPr="008912CF">
        <w:rPr>
          <w:sz w:val="22"/>
          <w:szCs w:val="22"/>
        </w:rPr>
        <w:t>Via subcutânea</w:t>
      </w:r>
    </w:p>
    <w:p w14:paraId="6680BDE6" w14:textId="77777777" w:rsidR="004462A0" w:rsidRPr="008912CF" w:rsidRDefault="004462A0" w:rsidP="004462A0">
      <w:pPr>
        <w:tabs>
          <w:tab w:val="left" w:pos="720"/>
        </w:tabs>
        <w:rPr>
          <w:sz w:val="22"/>
          <w:szCs w:val="22"/>
        </w:rPr>
      </w:pPr>
    </w:p>
    <w:p w14:paraId="74021285" w14:textId="77777777" w:rsidR="004462A0" w:rsidRDefault="00615769" w:rsidP="004462A0">
      <w:pPr>
        <w:tabs>
          <w:tab w:val="left" w:pos="720"/>
        </w:tabs>
        <w:rPr>
          <w:sz w:val="22"/>
          <w:szCs w:val="22"/>
        </w:rPr>
      </w:pPr>
      <w:r w:rsidRPr="008912CF">
        <w:rPr>
          <w:sz w:val="22"/>
          <w:szCs w:val="22"/>
        </w:rPr>
        <w:t>Consultar o folheto informativo antes de utilizar.</w:t>
      </w:r>
    </w:p>
    <w:p w14:paraId="0E8D5CB9" w14:textId="77777777" w:rsidR="008D4B8F" w:rsidRDefault="008D4B8F" w:rsidP="004462A0">
      <w:pPr>
        <w:tabs>
          <w:tab w:val="left" w:pos="720"/>
        </w:tabs>
        <w:rPr>
          <w:sz w:val="22"/>
          <w:szCs w:val="22"/>
        </w:rPr>
      </w:pPr>
    </w:p>
    <w:p w14:paraId="602AE7F7" w14:textId="77777777" w:rsidR="008D4B8F" w:rsidRPr="008912CF" w:rsidRDefault="00615769" w:rsidP="004462A0">
      <w:pPr>
        <w:tabs>
          <w:tab w:val="left" w:pos="720"/>
        </w:tabs>
        <w:rPr>
          <w:sz w:val="22"/>
          <w:szCs w:val="22"/>
        </w:rPr>
      </w:pPr>
      <w:r w:rsidRPr="008912CF">
        <w:rPr>
          <w:sz w:val="22"/>
          <w:szCs w:val="22"/>
        </w:rPr>
        <w:t>Apenas para uma única utilização</w:t>
      </w:r>
      <w:r w:rsidR="00554634">
        <w:rPr>
          <w:sz w:val="22"/>
          <w:szCs w:val="22"/>
        </w:rPr>
        <w:t>.</w:t>
      </w:r>
    </w:p>
    <w:p w14:paraId="6911E8DD" w14:textId="77777777" w:rsidR="004462A0" w:rsidRPr="008912CF" w:rsidRDefault="004462A0" w:rsidP="004462A0">
      <w:pPr>
        <w:tabs>
          <w:tab w:val="left" w:pos="720"/>
        </w:tabs>
        <w:rPr>
          <w:sz w:val="22"/>
          <w:szCs w:val="22"/>
        </w:rPr>
      </w:pPr>
    </w:p>
    <w:p w14:paraId="6F1F42F8" w14:textId="77777777" w:rsidR="004462A0" w:rsidRPr="008912CF" w:rsidRDefault="004462A0" w:rsidP="004462A0">
      <w:pPr>
        <w:tabs>
          <w:tab w:val="left" w:pos="720"/>
        </w:tabs>
        <w:rPr>
          <w:sz w:val="22"/>
          <w:szCs w:val="22"/>
        </w:rPr>
      </w:pPr>
    </w:p>
    <w:p w14:paraId="1D591863"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rPr>
      </w:pPr>
      <w:r w:rsidRPr="008912CF">
        <w:rPr>
          <w:b/>
          <w:sz w:val="22"/>
          <w:szCs w:val="22"/>
        </w:rPr>
        <w:t>6.</w:t>
      </w:r>
      <w:r w:rsidRPr="008912CF">
        <w:rPr>
          <w:b/>
          <w:sz w:val="22"/>
          <w:szCs w:val="22"/>
        </w:rPr>
        <w:tab/>
      </w:r>
      <w:r w:rsidRPr="008912CF">
        <w:rPr>
          <w:b/>
          <w:sz w:val="22"/>
          <w:szCs w:val="22"/>
        </w:rPr>
        <w:t xml:space="preserve">ADVERTÊNCIA ESPECIAL DE QUE O MEDICAMENTO DEVE SER MANTIDO FORA DA VISTA E DO ALCANCE DAS CRIANÇAS </w:t>
      </w:r>
    </w:p>
    <w:p w14:paraId="7E093DD7" w14:textId="77777777" w:rsidR="004462A0" w:rsidRPr="008912CF" w:rsidRDefault="004462A0" w:rsidP="004462A0">
      <w:pPr>
        <w:tabs>
          <w:tab w:val="left" w:pos="720"/>
        </w:tabs>
        <w:rPr>
          <w:sz w:val="22"/>
          <w:szCs w:val="22"/>
        </w:rPr>
      </w:pPr>
    </w:p>
    <w:p w14:paraId="439663EE" w14:textId="77777777" w:rsidR="004462A0" w:rsidRPr="008912CF" w:rsidRDefault="00615769" w:rsidP="004462A0">
      <w:pPr>
        <w:tabs>
          <w:tab w:val="left" w:pos="720"/>
        </w:tabs>
        <w:rPr>
          <w:sz w:val="22"/>
          <w:szCs w:val="22"/>
        </w:rPr>
      </w:pPr>
      <w:r w:rsidRPr="008912CF">
        <w:rPr>
          <w:sz w:val="22"/>
          <w:szCs w:val="22"/>
        </w:rPr>
        <w:t>Manter fora da vista e do alcance das crianças.</w:t>
      </w:r>
    </w:p>
    <w:p w14:paraId="7B8480FE" w14:textId="77777777" w:rsidR="004462A0" w:rsidRPr="008912CF" w:rsidRDefault="004462A0" w:rsidP="004462A0">
      <w:pPr>
        <w:tabs>
          <w:tab w:val="left" w:pos="720"/>
        </w:tabs>
        <w:rPr>
          <w:sz w:val="22"/>
          <w:szCs w:val="22"/>
        </w:rPr>
      </w:pPr>
    </w:p>
    <w:p w14:paraId="255580D1" w14:textId="77777777" w:rsidR="004462A0" w:rsidRPr="008912CF" w:rsidRDefault="004462A0" w:rsidP="004462A0">
      <w:pPr>
        <w:tabs>
          <w:tab w:val="left" w:pos="720"/>
        </w:tabs>
        <w:rPr>
          <w:sz w:val="22"/>
          <w:szCs w:val="22"/>
        </w:rPr>
      </w:pPr>
    </w:p>
    <w:p w14:paraId="5C3BA52B"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7.</w:t>
      </w:r>
      <w:r w:rsidRPr="008912CF">
        <w:rPr>
          <w:b/>
          <w:sz w:val="22"/>
          <w:szCs w:val="22"/>
        </w:rPr>
        <w:tab/>
        <w:t>OUTRAS ADVERTÊNCIAS ESPECIAIS, SE NECESSÁRIO</w:t>
      </w:r>
    </w:p>
    <w:p w14:paraId="773C5B41" w14:textId="77777777" w:rsidR="004462A0" w:rsidRPr="008912CF" w:rsidRDefault="004462A0" w:rsidP="004462A0">
      <w:pPr>
        <w:tabs>
          <w:tab w:val="left" w:pos="720"/>
        </w:tabs>
        <w:rPr>
          <w:sz w:val="22"/>
          <w:szCs w:val="22"/>
        </w:rPr>
      </w:pPr>
    </w:p>
    <w:p w14:paraId="6185B762" w14:textId="77777777" w:rsidR="004462A0" w:rsidRPr="008912CF" w:rsidRDefault="004462A0" w:rsidP="004462A0">
      <w:pPr>
        <w:tabs>
          <w:tab w:val="left" w:pos="720"/>
        </w:tabs>
        <w:rPr>
          <w:sz w:val="22"/>
          <w:szCs w:val="22"/>
        </w:rPr>
      </w:pPr>
    </w:p>
    <w:p w14:paraId="61D924A8"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8.</w:t>
      </w:r>
      <w:r w:rsidRPr="008912CF">
        <w:rPr>
          <w:b/>
          <w:sz w:val="22"/>
          <w:szCs w:val="22"/>
        </w:rPr>
        <w:tab/>
        <w:t>PRAZO DE VALIDADE</w:t>
      </w:r>
    </w:p>
    <w:p w14:paraId="62603D1C" w14:textId="77777777" w:rsidR="004462A0" w:rsidRPr="008912CF" w:rsidRDefault="004462A0" w:rsidP="004462A0">
      <w:pPr>
        <w:tabs>
          <w:tab w:val="left" w:pos="720"/>
        </w:tabs>
        <w:rPr>
          <w:sz w:val="22"/>
          <w:szCs w:val="22"/>
        </w:rPr>
      </w:pPr>
    </w:p>
    <w:p w14:paraId="21155395" w14:textId="77777777" w:rsidR="004462A0" w:rsidRPr="008912CF" w:rsidRDefault="00615769" w:rsidP="004462A0">
      <w:pPr>
        <w:tabs>
          <w:tab w:val="left" w:pos="720"/>
        </w:tabs>
        <w:rPr>
          <w:sz w:val="22"/>
          <w:szCs w:val="22"/>
        </w:rPr>
      </w:pPr>
      <w:r w:rsidRPr="00154C95">
        <w:rPr>
          <w:sz w:val="22"/>
          <w:szCs w:val="22"/>
        </w:rPr>
        <w:t>EXP</w:t>
      </w:r>
    </w:p>
    <w:p w14:paraId="4A3450FF" w14:textId="77777777" w:rsidR="004462A0" w:rsidRPr="008912CF" w:rsidRDefault="004462A0" w:rsidP="004462A0">
      <w:pPr>
        <w:tabs>
          <w:tab w:val="left" w:pos="720"/>
        </w:tabs>
        <w:rPr>
          <w:sz w:val="22"/>
          <w:szCs w:val="22"/>
        </w:rPr>
      </w:pPr>
    </w:p>
    <w:p w14:paraId="5414269E" w14:textId="77777777" w:rsidR="004462A0" w:rsidRPr="008912CF" w:rsidRDefault="004462A0" w:rsidP="004462A0">
      <w:pPr>
        <w:tabs>
          <w:tab w:val="left" w:pos="720"/>
        </w:tabs>
        <w:rPr>
          <w:sz w:val="22"/>
          <w:szCs w:val="22"/>
        </w:rPr>
      </w:pPr>
    </w:p>
    <w:p w14:paraId="241A6F64" w14:textId="77777777" w:rsidR="004462A0" w:rsidRPr="008912CF" w:rsidRDefault="00615769" w:rsidP="004462A0">
      <w:pPr>
        <w:keepNext/>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9.</w:t>
      </w:r>
      <w:r w:rsidRPr="008912CF">
        <w:rPr>
          <w:b/>
          <w:sz w:val="22"/>
          <w:szCs w:val="22"/>
        </w:rPr>
        <w:tab/>
      </w:r>
      <w:r w:rsidRPr="008912CF">
        <w:rPr>
          <w:b/>
          <w:sz w:val="22"/>
          <w:szCs w:val="22"/>
        </w:rPr>
        <w:t>CONDIÇÕES ESPECIAIS DE CONSERVAÇÃO</w:t>
      </w:r>
    </w:p>
    <w:p w14:paraId="253009B3" w14:textId="77777777" w:rsidR="004462A0" w:rsidRPr="008912CF" w:rsidRDefault="004462A0" w:rsidP="004462A0">
      <w:pPr>
        <w:keepNext/>
        <w:tabs>
          <w:tab w:val="left" w:pos="720"/>
        </w:tabs>
        <w:rPr>
          <w:sz w:val="22"/>
          <w:szCs w:val="22"/>
        </w:rPr>
      </w:pPr>
    </w:p>
    <w:p w14:paraId="3EF0DE9C" w14:textId="77777777" w:rsidR="004462A0" w:rsidRPr="008912CF" w:rsidRDefault="00615769" w:rsidP="004462A0">
      <w:pPr>
        <w:keepNext/>
        <w:tabs>
          <w:tab w:val="left" w:pos="720"/>
        </w:tabs>
        <w:rPr>
          <w:sz w:val="22"/>
          <w:szCs w:val="22"/>
        </w:rPr>
      </w:pPr>
      <w:r w:rsidRPr="008912CF">
        <w:rPr>
          <w:sz w:val="22"/>
          <w:szCs w:val="22"/>
        </w:rPr>
        <w:t>Conservar no frigorífico. Não congelar.</w:t>
      </w:r>
    </w:p>
    <w:p w14:paraId="3998E48F" w14:textId="77777777" w:rsidR="004462A0" w:rsidRPr="008912CF" w:rsidRDefault="004462A0" w:rsidP="004462A0">
      <w:pPr>
        <w:keepNext/>
        <w:tabs>
          <w:tab w:val="left" w:pos="720"/>
        </w:tabs>
        <w:rPr>
          <w:sz w:val="22"/>
          <w:szCs w:val="22"/>
        </w:rPr>
      </w:pPr>
    </w:p>
    <w:p w14:paraId="39850C47" w14:textId="77777777" w:rsidR="004462A0" w:rsidRPr="008912CF" w:rsidRDefault="00615769" w:rsidP="004462A0">
      <w:pPr>
        <w:keepNext/>
        <w:rPr>
          <w:sz w:val="22"/>
          <w:szCs w:val="22"/>
        </w:rPr>
      </w:pPr>
      <w:r w:rsidRPr="008912CF">
        <w:rPr>
          <w:rStyle w:val="hps"/>
          <w:sz w:val="22"/>
          <w:szCs w:val="22"/>
        </w:rPr>
        <w:t>Consulte o</w:t>
      </w:r>
      <w:r w:rsidRPr="008912CF">
        <w:rPr>
          <w:sz w:val="22"/>
          <w:szCs w:val="22"/>
        </w:rPr>
        <w:t xml:space="preserve"> </w:t>
      </w:r>
      <w:r w:rsidRPr="008912CF">
        <w:rPr>
          <w:rStyle w:val="hps"/>
          <w:sz w:val="22"/>
          <w:szCs w:val="22"/>
        </w:rPr>
        <w:t>folheto informativo</w:t>
      </w:r>
      <w:r w:rsidRPr="008912CF">
        <w:rPr>
          <w:sz w:val="22"/>
          <w:szCs w:val="22"/>
        </w:rPr>
        <w:t xml:space="preserve"> </w:t>
      </w:r>
      <w:r w:rsidRPr="008912CF">
        <w:rPr>
          <w:rStyle w:val="hps"/>
          <w:sz w:val="22"/>
          <w:szCs w:val="22"/>
        </w:rPr>
        <w:t>para detalhes</w:t>
      </w:r>
      <w:r w:rsidRPr="008912CF">
        <w:rPr>
          <w:sz w:val="22"/>
          <w:szCs w:val="22"/>
        </w:rPr>
        <w:t xml:space="preserve"> de </w:t>
      </w:r>
      <w:r w:rsidRPr="008912CF">
        <w:rPr>
          <w:rStyle w:val="hps"/>
          <w:sz w:val="22"/>
          <w:szCs w:val="22"/>
        </w:rPr>
        <w:t>conservação</w:t>
      </w:r>
      <w:r w:rsidRPr="008912CF">
        <w:rPr>
          <w:sz w:val="22"/>
          <w:szCs w:val="22"/>
        </w:rPr>
        <w:t xml:space="preserve"> </w:t>
      </w:r>
      <w:r w:rsidRPr="008912CF">
        <w:rPr>
          <w:rStyle w:val="hps"/>
          <w:sz w:val="22"/>
          <w:szCs w:val="22"/>
        </w:rPr>
        <w:t>alternativa.</w:t>
      </w:r>
    </w:p>
    <w:p w14:paraId="4034E0D3" w14:textId="77777777" w:rsidR="004462A0" w:rsidRPr="008912CF" w:rsidRDefault="004462A0" w:rsidP="004462A0">
      <w:pPr>
        <w:keepNext/>
        <w:tabs>
          <w:tab w:val="left" w:pos="720"/>
        </w:tabs>
        <w:rPr>
          <w:sz w:val="22"/>
          <w:szCs w:val="22"/>
        </w:rPr>
      </w:pPr>
    </w:p>
    <w:p w14:paraId="47A1E11C" w14:textId="77777777" w:rsidR="004462A0" w:rsidRPr="008912CF" w:rsidRDefault="00615769" w:rsidP="004462A0">
      <w:pPr>
        <w:keepNext/>
        <w:tabs>
          <w:tab w:val="left" w:pos="720"/>
        </w:tabs>
        <w:rPr>
          <w:sz w:val="22"/>
          <w:szCs w:val="22"/>
        </w:rPr>
      </w:pPr>
      <w:r w:rsidRPr="008912CF">
        <w:rPr>
          <w:sz w:val="22"/>
          <w:szCs w:val="22"/>
        </w:rPr>
        <w:t>Manter a seringa dentro da embalagem exterior para proteger da luz.</w:t>
      </w:r>
    </w:p>
    <w:p w14:paraId="2845BC93" w14:textId="77777777" w:rsidR="004462A0" w:rsidRPr="008912CF" w:rsidRDefault="004462A0" w:rsidP="004462A0">
      <w:pPr>
        <w:tabs>
          <w:tab w:val="left" w:pos="720"/>
        </w:tabs>
        <w:rPr>
          <w:sz w:val="22"/>
          <w:szCs w:val="22"/>
        </w:rPr>
      </w:pPr>
    </w:p>
    <w:p w14:paraId="16601F3C" w14:textId="77777777" w:rsidR="004462A0" w:rsidRPr="008912CF" w:rsidRDefault="004462A0" w:rsidP="004462A0">
      <w:pPr>
        <w:tabs>
          <w:tab w:val="left" w:pos="720"/>
        </w:tabs>
        <w:rPr>
          <w:sz w:val="22"/>
          <w:szCs w:val="22"/>
        </w:rPr>
      </w:pPr>
    </w:p>
    <w:p w14:paraId="009AED62"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bCs/>
          <w:sz w:val="22"/>
          <w:szCs w:val="22"/>
        </w:rPr>
      </w:pPr>
      <w:r w:rsidRPr="008912CF">
        <w:rPr>
          <w:b/>
          <w:sz w:val="22"/>
          <w:szCs w:val="22"/>
        </w:rPr>
        <w:t>10.</w:t>
      </w:r>
      <w:r w:rsidRPr="008912CF">
        <w:rPr>
          <w:b/>
          <w:sz w:val="22"/>
          <w:szCs w:val="22"/>
        </w:rPr>
        <w:tab/>
      </w:r>
      <w:r w:rsidRPr="008912CF">
        <w:rPr>
          <w:b/>
          <w:bCs/>
          <w:sz w:val="22"/>
          <w:szCs w:val="22"/>
        </w:rPr>
        <w:t>CUIDADOS ESPECIAIS QUANTO À ELIMINAÇÃO DO MEDICAMENTO NÃO UTILIZADO OU DOS RESÍDUOS PROVENIENTES DESSE MEDICAMENTO, SE APLICÁVEL</w:t>
      </w:r>
    </w:p>
    <w:p w14:paraId="52917F00" w14:textId="77777777" w:rsidR="004462A0" w:rsidRPr="008912CF" w:rsidRDefault="004462A0" w:rsidP="004462A0">
      <w:pPr>
        <w:pStyle w:val="BodyTextIndent"/>
        <w:ind w:left="0" w:firstLine="0"/>
        <w:rPr>
          <w:b w:val="0"/>
          <w:bCs/>
          <w:color w:val="auto"/>
          <w:szCs w:val="22"/>
        </w:rPr>
      </w:pPr>
    </w:p>
    <w:p w14:paraId="32C1F7E5" w14:textId="77777777" w:rsidR="004462A0" w:rsidRPr="008912CF" w:rsidRDefault="004462A0" w:rsidP="004462A0">
      <w:pPr>
        <w:pStyle w:val="BodyTextIndent"/>
        <w:ind w:left="0" w:firstLine="0"/>
        <w:rPr>
          <w:b w:val="0"/>
          <w:bCs/>
          <w:color w:val="auto"/>
          <w:szCs w:val="22"/>
        </w:rPr>
      </w:pPr>
    </w:p>
    <w:p w14:paraId="564FE9C7"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rPr>
      </w:pPr>
      <w:r w:rsidRPr="008912CF">
        <w:rPr>
          <w:b/>
          <w:sz w:val="22"/>
          <w:szCs w:val="22"/>
        </w:rPr>
        <w:t>11.</w:t>
      </w:r>
      <w:r w:rsidRPr="008912CF">
        <w:rPr>
          <w:b/>
          <w:sz w:val="22"/>
          <w:szCs w:val="22"/>
        </w:rPr>
        <w:tab/>
      </w:r>
      <w:r w:rsidRPr="008912CF">
        <w:rPr>
          <w:b/>
          <w:sz w:val="22"/>
          <w:szCs w:val="22"/>
        </w:rPr>
        <w:t>NOME E ENDEREÇO DO TITULAR DA AUTORIZAÇÃO DE INTRODUÇÃO NO MERCADO</w:t>
      </w:r>
    </w:p>
    <w:p w14:paraId="52C84C1C" w14:textId="77777777" w:rsidR="004462A0" w:rsidRPr="008912CF" w:rsidRDefault="004462A0" w:rsidP="004462A0">
      <w:pPr>
        <w:tabs>
          <w:tab w:val="left" w:pos="720"/>
        </w:tabs>
        <w:rPr>
          <w:sz w:val="22"/>
          <w:szCs w:val="22"/>
        </w:rPr>
      </w:pPr>
    </w:p>
    <w:p w14:paraId="691CBFB0" w14:textId="77777777" w:rsidR="008921C9" w:rsidRPr="008D6D3A" w:rsidRDefault="00615769" w:rsidP="008921C9">
      <w:pPr>
        <w:tabs>
          <w:tab w:val="left" w:pos="720"/>
        </w:tabs>
        <w:rPr>
          <w:sz w:val="22"/>
          <w:szCs w:val="22"/>
          <w:lang w:val="de-CH"/>
        </w:rPr>
      </w:pPr>
      <w:r w:rsidRPr="008D6D3A">
        <w:rPr>
          <w:sz w:val="22"/>
          <w:szCs w:val="22"/>
          <w:lang w:val="de-CH"/>
        </w:rPr>
        <w:t>AbbVie Deutschland GmbH &amp; Co. KG</w:t>
      </w:r>
    </w:p>
    <w:p w14:paraId="0EF2A3E6" w14:textId="77777777" w:rsidR="008921C9" w:rsidRPr="008D6D3A" w:rsidRDefault="00615769" w:rsidP="008921C9">
      <w:pPr>
        <w:tabs>
          <w:tab w:val="left" w:pos="720"/>
        </w:tabs>
        <w:rPr>
          <w:sz w:val="22"/>
          <w:szCs w:val="22"/>
          <w:lang w:val="de-CH"/>
        </w:rPr>
      </w:pPr>
      <w:r w:rsidRPr="008D6D3A">
        <w:rPr>
          <w:sz w:val="22"/>
          <w:szCs w:val="22"/>
          <w:lang w:val="de-CH"/>
        </w:rPr>
        <w:t>Knollstrasse</w:t>
      </w:r>
    </w:p>
    <w:p w14:paraId="0D8663AF" w14:textId="77777777" w:rsidR="008921C9" w:rsidRPr="00C74219" w:rsidRDefault="00615769" w:rsidP="008921C9">
      <w:pPr>
        <w:tabs>
          <w:tab w:val="left" w:pos="720"/>
        </w:tabs>
        <w:rPr>
          <w:sz w:val="22"/>
          <w:szCs w:val="22"/>
        </w:rPr>
      </w:pPr>
      <w:r w:rsidRPr="00C74219">
        <w:rPr>
          <w:sz w:val="22"/>
          <w:szCs w:val="22"/>
        </w:rPr>
        <w:t>67061 Ludwigshafen</w:t>
      </w:r>
    </w:p>
    <w:p w14:paraId="77AADBBB" w14:textId="77777777" w:rsidR="004462A0" w:rsidRPr="008912CF" w:rsidRDefault="00615769" w:rsidP="004462A0">
      <w:pPr>
        <w:rPr>
          <w:sz w:val="22"/>
          <w:szCs w:val="22"/>
        </w:rPr>
      </w:pPr>
      <w:r w:rsidRPr="00C74219">
        <w:rPr>
          <w:sz w:val="22"/>
          <w:szCs w:val="22"/>
        </w:rPr>
        <w:t>Alemanha</w:t>
      </w:r>
    </w:p>
    <w:p w14:paraId="70BC86BF" w14:textId="77777777" w:rsidR="004462A0" w:rsidRPr="008912CF" w:rsidRDefault="004462A0" w:rsidP="004462A0">
      <w:pPr>
        <w:tabs>
          <w:tab w:val="left" w:pos="720"/>
        </w:tabs>
        <w:rPr>
          <w:sz w:val="22"/>
          <w:szCs w:val="22"/>
        </w:rPr>
      </w:pPr>
    </w:p>
    <w:p w14:paraId="0B8A4A4C" w14:textId="77777777" w:rsidR="004462A0" w:rsidRPr="008912CF" w:rsidRDefault="004462A0" w:rsidP="004462A0">
      <w:pPr>
        <w:tabs>
          <w:tab w:val="left" w:pos="720"/>
        </w:tabs>
        <w:rPr>
          <w:sz w:val="22"/>
          <w:szCs w:val="22"/>
        </w:rPr>
      </w:pPr>
    </w:p>
    <w:p w14:paraId="5350F14B"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12.</w:t>
      </w:r>
      <w:r w:rsidRPr="008912CF">
        <w:rPr>
          <w:b/>
          <w:sz w:val="22"/>
          <w:szCs w:val="22"/>
        </w:rPr>
        <w:tab/>
        <w:t>NÚMERO DA AUTORIZAÇÃO DE INTRODUÇÃO NO MERCADO</w:t>
      </w:r>
    </w:p>
    <w:p w14:paraId="6345A01D" w14:textId="77777777" w:rsidR="004462A0" w:rsidRPr="008912CF" w:rsidRDefault="004462A0" w:rsidP="004462A0">
      <w:pPr>
        <w:tabs>
          <w:tab w:val="left" w:pos="720"/>
        </w:tabs>
        <w:rPr>
          <w:sz w:val="22"/>
          <w:szCs w:val="22"/>
        </w:rPr>
      </w:pPr>
    </w:p>
    <w:p w14:paraId="011C5886" w14:textId="77777777" w:rsidR="004462A0" w:rsidRPr="008912CF" w:rsidRDefault="00615769" w:rsidP="004462A0">
      <w:pPr>
        <w:tabs>
          <w:tab w:val="left" w:pos="720"/>
        </w:tabs>
        <w:rPr>
          <w:sz w:val="22"/>
          <w:szCs w:val="22"/>
        </w:rPr>
      </w:pPr>
      <w:r w:rsidRPr="008912CF">
        <w:rPr>
          <w:sz w:val="22"/>
          <w:szCs w:val="22"/>
        </w:rPr>
        <w:t>EU/1/03/256/</w:t>
      </w:r>
      <w:r>
        <w:rPr>
          <w:sz w:val="22"/>
          <w:szCs w:val="22"/>
        </w:rPr>
        <w:t>020</w:t>
      </w:r>
      <w:r w:rsidRPr="008912CF">
        <w:rPr>
          <w:sz w:val="22"/>
          <w:szCs w:val="22"/>
        </w:rPr>
        <w:t xml:space="preserve"> </w:t>
      </w:r>
    </w:p>
    <w:p w14:paraId="377CB3F1" w14:textId="77777777" w:rsidR="004462A0" w:rsidRPr="008912CF" w:rsidRDefault="004462A0" w:rsidP="004462A0">
      <w:pPr>
        <w:tabs>
          <w:tab w:val="left" w:pos="720"/>
        </w:tabs>
        <w:rPr>
          <w:sz w:val="22"/>
          <w:szCs w:val="22"/>
        </w:rPr>
      </w:pPr>
    </w:p>
    <w:p w14:paraId="46100549" w14:textId="77777777" w:rsidR="004462A0" w:rsidRPr="008912CF" w:rsidRDefault="004462A0" w:rsidP="004462A0">
      <w:pPr>
        <w:tabs>
          <w:tab w:val="left" w:pos="720"/>
        </w:tabs>
        <w:rPr>
          <w:sz w:val="22"/>
          <w:szCs w:val="22"/>
        </w:rPr>
      </w:pPr>
    </w:p>
    <w:p w14:paraId="6FA79390"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13.</w:t>
      </w:r>
      <w:r w:rsidRPr="008912CF">
        <w:rPr>
          <w:b/>
          <w:sz w:val="22"/>
          <w:szCs w:val="22"/>
        </w:rPr>
        <w:tab/>
        <w:t xml:space="preserve">NÚMERO DO LOTE </w:t>
      </w:r>
    </w:p>
    <w:p w14:paraId="0AD4F78C" w14:textId="77777777" w:rsidR="004462A0" w:rsidRPr="008912CF" w:rsidRDefault="004462A0" w:rsidP="004462A0">
      <w:pPr>
        <w:tabs>
          <w:tab w:val="left" w:pos="720"/>
        </w:tabs>
        <w:rPr>
          <w:sz w:val="22"/>
          <w:szCs w:val="22"/>
        </w:rPr>
      </w:pPr>
    </w:p>
    <w:p w14:paraId="27296FA2" w14:textId="77777777" w:rsidR="004462A0" w:rsidRPr="008912CF" w:rsidRDefault="00615769" w:rsidP="004462A0">
      <w:pPr>
        <w:tabs>
          <w:tab w:val="left" w:pos="720"/>
        </w:tabs>
        <w:rPr>
          <w:sz w:val="22"/>
          <w:szCs w:val="22"/>
        </w:rPr>
      </w:pPr>
      <w:r w:rsidRPr="008912CF">
        <w:rPr>
          <w:sz w:val="22"/>
          <w:szCs w:val="22"/>
        </w:rPr>
        <w:t>Lote</w:t>
      </w:r>
    </w:p>
    <w:p w14:paraId="7BAC4F0C" w14:textId="77777777" w:rsidR="004462A0" w:rsidRPr="008912CF" w:rsidRDefault="004462A0" w:rsidP="004462A0">
      <w:pPr>
        <w:tabs>
          <w:tab w:val="left" w:pos="720"/>
        </w:tabs>
        <w:rPr>
          <w:sz w:val="22"/>
          <w:szCs w:val="22"/>
        </w:rPr>
      </w:pPr>
    </w:p>
    <w:p w14:paraId="1C617E37" w14:textId="77777777" w:rsidR="004462A0" w:rsidRPr="008912CF" w:rsidRDefault="004462A0" w:rsidP="004462A0">
      <w:pPr>
        <w:tabs>
          <w:tab w:val="left" w:pos="720"/>
        </w:tabs>
        <w:rPr>
          <w:sz w:val="22"/>
          <w:szCs w:val="22"/>
        </w:rPr>
      </w:pPr>
    </w:p>
    <w:p w14:paraId="6333CB63"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14.</w:t>
      </w:r>
      <w:r w:rsidRPr="008912CF">
        <w:rPr>
          <w:b/>
          <w:sz w:val="22"/>
          <w:szCs w:val="22"/>
        </w:rPr>
        <w:tab/>
      </w:r>
      <w:r w:rsidRPr="008912CF">
        <w:rPr>
          <w:b/>
          <w:sz w:val="22"/>
          <w:szCs w:val="22"/>
        </w:rPr>
        <w:t>CLASSIFICAÇÃO QUANTO À DISPENSA AO PÚBLICO</w:t>
      </w:r>
    </w:p>
    <w:p w14:paraId="550E72C6" w14:textId="77777777" w:rsidR="004462A0" w:rsidRPr="008912CF" w:rsidRDefault="004462A0" w:rsidP="004462A0">
      <w:pPr>
        <w:tabs>
          <w:tab w:val="left" w:pos="720"/>
        </w:tabs>
        <w:rPr>
          <w:sz w:val="22"/>
          <w:szCs w:val="22"/>
        </w:rPr>
      </w:pPr>
    </w:p>
    <w:p w14:paraId="2655FFA8" w14:textId="77777777" w:rsidR="004462A0" w:rsidRPr="008912CF" w:rsidRDefault="004462A0" w:rsidP="004462A0">
      <w:pPr>
        <w:tabs>
          <w:tab w:val="left" w:pos="720"/>
        </w:tabs>
        <w:rPr>
          <w:sz w:val="22"/>
          <w:szCs w:val="22"/>
        </w:rPr>
      </w:pPr>
    </w:p>
    <w:p w14:paraId="4C3D8ED2"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u w:val="single"/>
        </w:rPr>
      </w:pPr>
      <w:r w:rsidRPr="008912CF">
        <w:rPr>
          <w:b/>
          <w:sz w:val="22"/>
          <w:szCs w:val="22"/>
        </w:rPr>
        <w:t>15.</w:t>
      </w:r>
      <w:r w:rsidRPr="008912CF">
        <w:rPr>
          <w:b/>
          <w:sz w:val="22"/>
          <w:szCs w:val="22"/>
        </w:rPr>
        <w:tab/>
        <w:t>INSTRUÇÕES DE UTILIZAÇÃO</w:t>
      </w:r>
    </w:p>
    <w:p w14:paraId="709CF05E" w14:textId="77777777" w:rsidR="004462A0" w:rsidRPr="008912CF" w:rsidRDefault="004462A0" w:rsidP="004462A0">
      <w:pPr>
        <w:shd w:val="clear" w:color="auto" w:fill="FFFFFF"/>
        <w:tabs>
          <w:tab w:val="left" w:pos="720"/>
        </w:tabs>
        <w:rPr>
          <w:bCs/>
          <w:sz w:val="22"/>
          <w:szCs w:val="22"/>
          <w:u w:val="single"/>
        </w:rPr>
      </w:pPr>
    </w:p>
    <w:p w14:paraId="4FBE3D6F" w14:textId="77777777" w:rsidR="004462A0" w:rsidRPr="008912CF" w:rsidRDefault="004462A0" w:rsidP="004462A0">
      <w:pPr>
        <w:shd w:val="clear" w:color="auto" w:fill="FFFFFF"/>
        <w:tabs>
          <w:tab w:val="left" w:pos="720"/>
        </w:tabs>
        <w:rPr>
          <w:bCs/>
          <w:sz w:val="22"/>
          <w:szCs w:val="22"/>
          <w:u w:val="single"/>
        </w:rPr>
      </w:pPr>
    </w:p>
    <w:p w14:paraId="5047ABC2"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u w:val="single"/>
        </w:rPr>
      </w:pPr>
      <w:r w:rsidRPr="008912CF">
        <w:rPr>
          <w:b/>
          <w:sz w:val="22"/>
          <w:szCs w:val="22"/>
        </w:rPr>
        <w:t>16.</w:t>
      </w:r>
      <w:r w:rsidRPr="008912CF">
        <w:rPr>
          <w:b/>
          <w:sz w:val="22"/>
          <w:szCs w:val="22"/>
        </w:rPr>
        <w:tab/>
        <w:t>INFORMAÇÃO EM BRAILLE</w:t>
      </w:r>
    </w:p>
    <w:p w14:paraId="6895028C" w14:textId="77777777" w:rsidR="004462A0" w:rsidRPr="008912CF" w:rsidRDefault="004462A0" w:rsidP="004462A0">
      <w:pPr>
        <w:shd w:val="clear" w:color="auto" w:fill="FFFFFF"/>
        <w:tabs>
          <w:tab w:val="left" w:pos="720"/>
        </w:tabs>
        <w:rPr>
          <w:bCs/>
          <w:sz w:val="22"/>
          <w:szCs w:val="22"/>
          <w:u w:val="single"/>
        </w:rPr>
      </w:pPr>
    </w:p>
    <w:p w14:paraId="378FA33B" w14:textId="77777777" w:rsidR="004462A0" w:rsidRDefault="00615769" w:rsidP="004462A0">
      <w:pPr>
        <w:shd w:val="clear" w:color="auto" w:fill="FFFFFF"/>
        <w:tabs>
          <w:tab w:val="left" w:pos="720"/>
        </w:tabs>
        <w:rPr>
          <w:bCs/>
          <w:sz w:val="22"/>
          <w:szCs w:val="22"/>
        </w:rPr>
      </w:pPr>
      <w:r w:rsidRPr="008912CF">
        <w:rPr>
          <w:bCs/>
          <w:sz w:val="22"/>
          <w:szCs w:val="22"/>
        </w:rPr>
        <w:t xml:space="preserve">Humira </w:t>
      </w:r>
      <w:r>
        <w:rPr>
          <w:bCs/>
          <w:sz w:val="22"/>
          <w:szCs w:val="22"/>
        </w:rPr>
        <w:t>8</w:t>
      </w:r>
      <w:r w:rsidRPr="008912CF">
        <w:rPr>
          <w:bCs/>
          <w:sz w:val="22"/>
          <w:szCs w:val="22"/>
        </w:rPr>
        <w:t>0 mg</w:t>
      </w:r>
    </w:p>
    <w:p w14:paraId="1C75D744" w14:textId="77777777" w:rsidR="004462A0" w:rsidRDefault="004462A0" w:rsidP="004462A0">
      <w:pPr>
        <w:shd w:val="clear" w:color="auto" w:fill="FFFFFF"/>
        <w:tabs>
          <w:tab w:val="left" w:pos="720"/>
        </w:tabs>
        <w:rPr>
          <w:bCs/>
          <w:sz w:val="22"/>
          <w:szCs w:val="22"/>
        </w:rPr>
      </w:pPr>
    </w:p>
    <w:p w14:paraId="6FD01475" w14:textId="77777777" w:rsidR="004462A0" w:rsidRPr="00431557" w:rsidRDefault="004462A0" w:rsidP="004462A0">
      <w:pPr>
        <w:pStyle w:val="Heading3"/>
        <w:keepNext w:val="0"/>
        <w:spacing w:before="0" w:after="0" w:line="240" w:lineRule="auto"/>
        <w:rPr>
          <w:b w:val="0"/>
          <w:sz w:val="22"/>
          <w:szCs w:val="22"/>
          <w:lang w:val="pt-PT"/>
        </w:rPr>
      </w:pPr>
    </w:p>
    <w:p w14:paraId="1CADB4A8" w14:textId="77777777" w:rsidR="004462A0" w:rsidRPr="00C25DF2" w:rsidRDefault="00615769" w:rsidP="004462A0">
      <w:pPr>
        <w:pBdr>
          <w:top w:val="single" w:sz="4" w:space="1" w:color="auto"/>
          <w:left w:val="single" w:sz="4" w:space="4" w:color="auto"/>
          <w:bottom w:val="single" w:sz="4" w:space="1" w:color="auto"/>
          <w:right w:val="single" w:sz="4" w:space="4" w:color="auto"/>
        </w:pBdr>
        <w:tabs>
          <w:tab w:val="left" w:pos="562"/>
        </w:tabs>
        <w:suppressAutoHyphens/>
        <w:rPr>
          <w:b/>
          <w:bCs/>
          <w:caps/>
          <w:sz w:val="22"/>
          <w:szCs w:val="20"/>
        </w:rPr>
      </w:pPr>
      <w:r w:rsidRPr="00727D18">
        <w:rPr>
          <w:b/>
          <w:bCs/>
          <w:caps/>
          <w:sz w:val="22"/>
          <w:szCs w:val="20"/>
        </w:rPr>
        <w:t xml:space="preserve">17. </w:t>
      </w:r>
      <w:r w:rsidRPr="00727D18">
        <w:rPr>
          <w:b/>
          <w:bCs/>
          <w:caps/>
          <w:sz w:val="22"/>
          <w:szCs w:val="20"/>
        </w:rPr>
        <w:tab/>
      </w:r>
      <w:r w:rsidRPr="00C25DF2">
        <w:rPr>
          <w:b/>
          <w:bCs/>
          <w:caps/>
          <w:sz w:val="22"/>
          <w:szCs w:val="20"/>
        </w:rPr>
        <w:t xml:space="preserve">IDENTIFICADOR ÚNICO – CÓDIGO DE BARRAS 2D </w:t>
      </w:r>
    </w:p>
    <w:p w14:paraId="4EF85717" w14:textId="77777777" w:rsidR="004462A0" w:rsidRPr="00C25DF2" w:rsidRDefault="004462A0" w:rsidP="004462A0">
      <w:pPr>
        <w:tabs>
          <w:tab w:val="left" w:pos="562"/>
        </w:tabs>
        <w:suppressAutoHyphens/>
        <w:rPr>
          <w:sz w:val="22"/>
        </w:rPr>
      </w:pPr>
    </w:p>
    <w:p w14:paraId="2831E0D4" w14:textId="77777777" w:rsidR="004462A0" w:rsidRPr="00C25DF2" w:rsidRDefault="00615769" w:rsidP="004462A0">
      <w:pPr>
        <w:tabs>
          <w:tab w:val="left" w:pos="562"/>
        </w:tabs>
        <w:suppressAutoHyphens/>
        <w:rPr>
          <w:sz w:val="22"/>
          <w:shd w:val="clear" w:color="auto" w:fill="BFBFBF"/>
        </w:rPr>
      </w:pPr>
      <w:r w:rsidRPr="00C25DF2">
        <w:rPr>
          <w:sz w:val="22"/>
          <w:shd w:val="clear" w:color="auto" w:fill="BFBFBF"/>
        </w:rPr>
        <w:t xml:space="preserve">Código de barras 2D com identificador </w:t>
      </w:r>
      <w:r>
        <w:rPr>
          <w:sz w:val="22"/>
          <w:shd w:val="clear" w:color="auto" w:fill="BFBFBF"/>
        </w:rPr>
        <w:t>único incluído.</w:t>
      </w:r>
    </w:p>
    <w:p w14:paraId="1C8AE5D5" w14:textId="77777777" w:rsidR="004462A0" w:rsidRPr="00C25DF2" w:rsidRDefault="004462A0" w:rsidP="004462A0">
      <w:pPr>
        <w:tabs>
          <w:tab w:val="left" w:pos="562"/>
        </w:tabs>
        <w:suppressAutoHyphens/>
        <w:rPr>
          <w:sz w:val="22"/>
          <w:shd w:val="clear" w:color="auto" w:fill="BFBFBF"/>
        </w:rPr>
      </w:pPr>
    </w:p>
    <w:p w14:paraId="179FD46E" w14:textId="77777777" w:rsidR="004462A0" w:rsidRPr="00C25DF2" w:rsidRDefault="004462A0" w:rsidP="004462A0">
      <w:pPr>
        <w:tabs>
          <w:tab w:val="left" w:pos="562"/>
        </w:tabs>
        <w:suppressAutoHyphens/>
        <w:rPr>
          <w:sz w:val="22"/>
          <w:shd w:val="clear" w:color="auto" w:fill="BFBFBF"/>
        </w:rPr>
      </w:pPr>
    </w:p>
    <w:p w14:paraId="69A52E57" w14:textId="77777777" w:rsidR="004462A0" w:rsidRPr="00C25DF2" w:rsidRDefault="00615769" w:rsidP="004462A0">
      <w:pPr>
        <w:keepNext/>
        <w:pBdr>
          <w:top w:val="single" w:sz="4" w:space="1" w:color="auto"/>
          <w:left w:val="single" w:sz="4" w:space="4" w:color="auto"/>
          <w:bottom w:val="single" w:sz="4" w:space="1" w:color="auto"/>
          <w:right w:val="single" w:sz="4" w:space="4" w:color="auto"/>
        </w:pBdr>
        <w:tabs>
          <w:tab w:val="left" w:pos="562"/>
        </w:tabs>
        <w:suppressAutoHyphens/>
        <w:rPr>
          <w:rFonts w:ascii="Times New Roman Bold" w:hAnsi="Times New Roman Bold"/>
          <w:caps/>
          <w:sz w:val="22"/>
          <w:szCs w:val="20"/>
        </w:rPr>
      </w:pPr>
      <w:r w:rsidRPr="00C25DF2">
        <w:rPr>
          <w:b/>
          <w:bCs/>
          <w:caps/>
          <w:sz w:val="22"/>
          <w:szCs w:val="20"/>
        </w:rPr>
        <w:t xml:space="preserve">18. </w:t>
      </w:r>
      <w:r w:rsidRPr="00C25DF2">
        <w:rPr>
          <w:b/>
          <w:bCs/>
          <w:caps/>
          <w:sz w:val="22"/>
          <w:szCs w:val="20"/>
        </w:rPr>
        <w:tab/>
      </w:r>
      <w:r w:rsidRPr="00C25DF2">
        <w:rPr>
          <w:b/>
          <w:bCs/>
          <w:caps/>
          <w:sz w:val="22"/>
          <w:szCs w:val="20"/>
        </w:rPr>
        <w:t>IDENTIFICADOR ÚNICO – DADOS PARA LEITURA HUMA</w:t>
      </w:r>
      <w:r>
        <w:rPr>
          <w:b/>
          <w:bCs/>
          <w:caps/>
          <w:sz w:val="22"/>
          <w:szCs w:val="20"/>
        </w:rPr>
        <w:t>NA</w:t>
      </w:r>
    </w:p>
    <w:p w14:paraId="00EFAA28" w14:textId="77777777" w:rsidR="004462A0" w:rsidRPr="00C25DF2" w:rsidRDefault="004462A0" w:rsidP="004462A0">
      <w:pPr>
        <w:keepNext/>
        <w:tabs>
          <w:tab w:val="left" w:pos="562"/>
        </w:tabs>
        <w:suppressAutoHyphens/>
        <w:ind w:left="540" w:hanging="540"/>
        <w:rPr>
          <w:sz w:val="22"/>
        </w:rPr>
      </w:pPr>
    </w:p>
    <w:p w14:paraId="055F7F40" w14:textId="77777777" w:rsidR="004462A0" w:rsidRPr="00FA69E8" w:rsidRDefault="00615769" w:rsidP="004462A0">
      <w:pPr>
        <w:keepNext/>
        <w:tabs>
          <w:tab w:val="left" w:pos="562"/>
        </w:tabs>
        <w:suppressAutoHyphens/>
        <w:ind w:left="540" w:hanging="540"/>
        <w:rPr>
          <w:sz w:val="22"/>
        </w:rPr>
      </w:pPr>
      <w:r w:rsidRPr="00FA69E8">
        <w:rPr>
          <w:sz w:val="22"/>
        </w:rPr>
        <w:t>PC</w:t>
      </w:r>
    </w:p>
    <w:p w14:paraId="3BA16F00" w14:textId="77777777" w:rsidR="004462A0" w:rsidRPr="00FA69E8" w:rsidRDefault="00615769" w:rsidP="004462A0">
      <w:pPr>
        <w:keepNext/>
        <w:tabs>
          <w:tab w:val="left" w:pos="562"/>
        </w:tabs>
        <w:suppressAutoHyphens/>
        <w:ind w:left="540" w:hanging="540"/>
        <w:rPr>
          <w:sz w:val="22"/>
        </w:rPr>
      </w:pPr>
      <w:r w:rsidRPr="00FA69E8">
        <w:rPr>
          <w:sz w:val="22"/>
        </w:rPr>
        <w:t>SN</w:t>
      </w:r>
    </w:p>
    <w:p w14:paraId="3B2C338B" w14:textId="77777777" w:rsidR="004462A0" w:rsidRPr="00FA69E8" w:rsidRDefault="00615769" w:rsidP="004462A0">
      <w:pPr>
        <w:keepNext/>
        <w:tabs>
          <w:tab w:val="left" w:pos="562"/>
        </w:tabs>
        <w:suppressAutoHyphens/>
        <w:ind w:left="540" w:hanging="540"/>
        <w:rPr>
          <w:sz w:val="22"/>
        </w:rPr>
      </w:pPr>
      <w:r w:rsidRPr="008B4234">
        <w:rPr>
          <w:sz w:val="22"/>
          <w:highlight w:val="lightGray"/>
        </w:rPr>
        <w:t>NN</w:t>
      </w:r>
    </w:p>
    <w:p w14:paraId="29C21C3C" w14:textId="77777777" w:rsidR="004462A0" w:rsidRPr="008912CF" w:rsidRDefault="00615769" w:rsidP="004462A0">
      <w:pPr>
        <w:shd w:val="clear" w:color="auto" w:fill="FFFFFF"/>
        <w:tabs>
          <w:tab w:val="left" w:pos="720"/>
        </w:tabs>
        <w:rPr>
          <w:bCs/>
          <w:sz w:val="22"/>
          <w:szCs w:val="22"/>
        </w:rPr>
      </w:pPr>
      <w:r w:rsidRPr="008912CF">
        <w:rPr>
          <w:bCs/>
          <w:sz w:val="22"/>
          <w:szCs w:val="22"/>
        </w:rPr>
        <w:br w:type="page"/>
      </w:r>
    </w:p>
    <w:p w14:paraId="16C2013E" w14:textId="77777777" w:rsidR="004462A0" w:rsidRPr="008912CF" w:rsidRDefault="00615769" w:rsidP="004462A0">
      <w:pPr>
        <w:pBdr>
          <w:top w:val="single" w:sz="4" w:space="1" w:color="auto"/>
          <w:left w:val="single" w:sz="4" w:space="4" w:color="auto"/>
          <w:bottom w:val="single" w:sz="4" w:space="1" w:color="auto"/>
          <w:right w:val="single" w:sz="4" w:space="4" w:color="auto"/>
        </w:pBdr>
        <w:tabs>
          <w:tab w:val="left" w:pos="567"/>
        </w:tabs>
        <w:rPr>
          <w:b/>
          <w:sz w:val="22"/>
          <w:szCs w:val="22"/>
        </w:rPr>
      </w:pPr>
      <w:r w:rsidRPr="008912CF">
        <w:rPr>
          <w:b/>
          <w:sz w:val="22"/>
          <w:szCs w:val="22"/>
        </w:rPr>
        <w:t>INDICAÇÕES MÍNIMAS A INCLUIR NAS EMBALAGENS "BLISTER" OU FITAS CONTENTORAS</w:t>
      </w:r>
    </w:p>
    <w:p w14:paraId="2BB65A07" w14:textId="77777777" w:rsidR="004462A0" w:rsidRPr="008912CF" w:rsidRDefault="004462A0" w:rsidP="004462A0">
      <w:pPr>
        <w:pBdr>
          <w:top w:val="single" w:sz="4" w:space="1" w:color="auto"/>
          <w:left w:val="single" w:sz="4" w:space="4" w:color="auto"/>
          <w:bottom w:val="single" w:sz="4" w:space="1" w:color="auto"/>
          <w:right w:val="single" w:sz="4" w:space="4" w:color="auto"/>
        </w:pBdr>
        <w:tabs>
          <w:tab w:val="left" w:pos="567"/>
        </w:tabs>
        <w:rPr>
          <w:b/>
          <w:sz w:val="22"/>
          <w:szCs w:val="22"/>
        </w:rPr>
      </w:pPr>
    </w:p>
    <w:p w14:paraId="0DA8825B" w14:textId="77777777" w:rsidR="004462A0" w:rsidRPr="008912CF" w:rsidRDefault="00615769" w:rsidP="004462A0">
      <w:pPr>
        <w:pStyle w:val="Heading3"/>
        <w:keepNext w:val="0"/>
        <w:pBdr>
          <w:top w:val="single" w:sz="4" w:space="1" w:color="auto"/>
          <w:left w:val="single" w:sz="4" w:space="4" w:color="auto"/>
          <w:bottom w:val="single" w:sz="4" w:space="1" w:color="auto"/>
          <w:right w:val="single" w:sz="4" w:space="4" w:color="auto"/>
        </w:pBdr>
        <w:spacing w:before="0" w:after="0" w:line="240" w:lineRule="auto"/>
        <w:rPr>
          <w:caps/>
          <w:sz w:val="22"/>
          <w:szCs w:val="22"/>
          <w:highlight w:val="lightGray"/>
          <w:lang w:val="pt-PT"/>
        </w:rPr>
      </w:pPr>
      <w:r w:rsidRPr="008912CF">
        <w:rPr>
          <w:caps/>
          <w:sz w:val="22"/>
          <w:szCs w:val="22"/>
          <w:lang w:val="pt-PT"/>
        </w:rPr>
        <w:t>Texto para o verso do tabuleiro</w:t>
      </w:r>
    </w:p>
    <w:p w14:paraId="149D9F4C" w14:textId="77777777" w:rsidR="004462A0" w:rsidRPr="008912CF" w:rsidRDefault="004462A0" w:rsidP="004462A0">
      <w:pPr>
        <w:tabs>
          <w:tab w:val="left" w:pos="720"/>
        </w:tabs>
        <w:rPr>
          <w:sz w:val="22"/>
          <w:szCs w:val="22"/>
        </w:rPr>
      </w:pPr>
    </w:p>
    <w:p w14:paraId="7DF4EFF6" w14:textId="77777777" w:rsidR="004462A0" w:rsidRPr="008912CF" w:rsidRDefault="004462A0" w:rsidP="004462A0">
      <w:pPr>
        <w:tabs>
          <w:tab w:val="left" w:pos="720"/>
        </w:tabs>
        <w:rPr>
          <w:sz w:val="22"/>
          <w:szCs w:val="22"/>
        </w:rPr>
      </w:pPr>
    </w:p>
    <w:p w14:paraId="38A6A9E7"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rPr>
      </w:pPr>
      <w:r w:rsidRPr="008912CF">
        <w:rPr>
          <w:b/>
          <w:sz w:val="22"/>
          <w:szCs w:val="22"/>
        </w:rPr>
        <w:t>1.</w:t>
      </w:r>
      <w:r w:rsidRPr="008912CF">
        <w:rPr>
          <w:b/>
          <w:sz w:val="22"/>
          <w:szCs w:val="22"/>
        </w:rPr>
        <w:tab/>
        <w:t>NOME DO MEDICAMENTO</w:t>
      </w:r>
    </w:p>
    <w:p w14:paraId="6CD0CE5E" w14:textId="77777777" w:rsidR="004462A0" w:rsidRPr="008912CF" w:rsidRDefault="004462A0" w:rsidP="004462A0">
      <w:pPr>
        <w:tabs>
          <w:tab w:val="left" w:pos="720"/>
        </w:tabs>
        <w:ind w:left="567" w:hanging="567"/>
        <w:rPr>
          <w:sz w:val="22"/>
          <w:szCs w:val="22"/>
        </w:rPr>
      </w:pPr>
    </w:p>
    <w:p w14:paraId="2189E8FB" w14:textId="77777777" w:rsidR="004462A0" w:rsidRPr="008912CF" w:rsidRDefault="00615769" w:rsidP="004462A0">
      <w:pPr>
        <w:tabs>
          <w:tab w:val="left" w:pos="720"/>
        </w:tabs>
        <w:ind w:left="567" w:hanging="567"/>
        <w:rPr>
          <w:sz w:val="22"/>
          <w:szCs w:val="22"/>
        </w:rPr>
      </w:pPr>
      <w:r w:rsidRPr="008912CF">
        <w:rPr>
          <w:sz w:val="22"/>
          <w:szCs w:val="22"/>
        </w:rPr>
        <w:t xml:space="preserve">Humira </w:t>
      </w:r>
      <w:r>
        <w:rPr>
          <w:sz w:val="22"/>
          <w:szCs w:val="22"/>
        </w:rPr>
        <w:t>8</w:t>
      </w:r>
      <w:r w:rsidRPr="008912CF">
        <w:rPr>
          <w:sz w:val="22"/>
          <w:szCs w:val="22"/>
        </w:rPr>
        <w:t xml:space="preserve">0 mg solução injetável em seringa pré-cheia </w:t>
      </w:r>
    </w:p>
    <w:p w14:paraId="42BBB056" w14:textId="77777777" w:rsidR="004462A0" w:rsidRPr="008912CF" w:rsidRDefault="00615769" w:rsidP="004462A0">
      <w:pPr>
        <w:tabs>
          <w:tab w:val="left" w:pos="720"/>
        </w:tabs>
        <w:ind w:left="567" w:hanging="567"/>
        <w:rPr>
          <w:sz w:val="22"/>
          <w:szCs w:val="22"/>
        </w:rPr>
      </w:pPr>
      <w:r w:rsidRPr="008912CF">
        <w:rPr>
          <w:sz w:val="22"/>
          <w:szCs w:val="22"/>
        </w:rPr>
        <w:t>adalimumab</w:t>
      </w:r>
    </w:p>
    <w:p w14:paraId="3568B433" w14:textId="77777777" w:rsidR="004462A0" w:rsidRPr="008912CF" w:rsidRDefault="004462A0" w:rsidP="004462A0">
      <w:pPr>
        <w:tabs>
          <w:tab w:val="left" w:pos="720"/>
        </w:tabs>
        <w:rPr>
          <w:sz w:val="22"/>
          <w:szCs w:val="22"/>
        </w:rPr>
      </w:pPr>
    </w:p>
    <w:p w14:paraId="0CD5E405" w14:textId="77777777" w:rsidR="004462A0" w:rsidRPr="008912CF" w:rsidRDefault="004462A0" w:rsidP="004462A0">
      <w:pPr>
        <w:tabs>
          <w:tab w:val="left" w:pos="720"/>
        </w:tabs>
        <w:rPr>
          <w:sz w:val="22"/>
          <w:szCs w:val="22"/>
        </w:rPr>
      </w:pPr>
    </w:p>
    <w:p w14:paraId="04993EFB"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b/>
          <w:sz w:val="22"/>
          <w:szCs w:val="22"/>
          <w:highlight w:val="lightGray"/>
        </w:rPr>
      </w:pPr>
      <w:r w:rsidRPr="008912CF">
        <w:rPr>
          <w:b/>
          <w:sz w:val="22"/>
          <w:szCs w:val="22"/>
        </w:rPr>
        <w:t>2.</w:t>
      </w:r>
      <w:r w:rsidRPr="008912CF">
        <w:rPr>
          <w:b/>
          <w:sz w:val="22"/>
          <w:szCs w:val="22"/>
        </w:rPr>
        <w:tab/>
        <w:t>NOME DO TITULAR DA AUTORIZAÇÃO DE INTRODUÇÃO NO MERCADO</w:t>
      </w:r>
    </w:p>
    <w:p w14:paraId="0611C847" w14:textId="77777777" w:rsidR="004462A0" w:rsidRPr="008912CF" w:rsidRDefault="004462A0" w:rsidP="004462A0">
      <w:pPr>
        <w:tabs>
          <w:tab w:val="left" w:pos="720"/>
        </w:tabs>
        <w:rPr>
          <w:sz w:val="22"/>
          <w:szCs w:val="22"/>
        </w:rPr>
      </w:pPr>
    </w:p>
    <w:p w14:paraId="733CFBE5" w14:textId="77777777" w:rsidR="004462A0" w:rsidRPr="008912CF" w:rsidRDefault="00615769" w:rsidP="004462A0">
      <w:pPr>
        <w:tabs>
          <w:tab w:val="left" w:pos="720"/>
        </w:tabs>
        <w:rPr>
          <w:sz w:val="22"/>
          <w:szCs w:val="22"/>
        </w:rPr>
      </w:pPr>
      <w:r w:rsidRPr="008912CF">
        <w:rPr>
          <w:sz w:val="22"/>
          <w:szCs w:val="22"/>
        </w:rPr>
        <w:t xml:space="preserve">AbbVie </w:t>
      </w:r>
      <w:r w:rsidR="007C6A44" w:rsidRPr="0074724A">
        <w:rPr>
          <w:sz w:val="22"/>
          <w:szCs w:val="22"/>
          <w:highlight w:val="lightGray"/>
          <w:lang w:eastAsia="en-GB"/>
        </w:rPr>
        <w:t>(como logo)</w:t>
      </w:r>
    </w:p>
    <w:p w14:paraId="05987190" w14:textId="77777777" w:rsidR="004462A0" w:rsidRPr="008912CF" w:rsidRDefault="004462A0" w:rsidP="004462A0">
      <w:pPr>
        <w:tabs>
          <w:tab w:val="left" w:pos="720"/>
        </w:tabs>
        <w:rPr>
          <w:sz w:val="22"/>
          <w:szCs w:val="22"/>
        </w:rPr>
      </w:pPr>
    </w:p>
    <w:p w14:paraId="44494E0B" w14:textId="77777777" w:rsidR="004462A0" w:rsidRPr="008912CF" w:rsidRDefault="004462A0" w:rsidP="004462A0">
      <w:pPr>
        <w:pStyle w:val="EndnoteText"/>
        <w:tabs>
          <w:tab w:val="clear" w:pos="567"/>
          <w:tab w:val="left" w:pos="720"/>
        </w:tabs>
        <w:rPr>
          <w:szCs w:val="22"/>
        </w:rPr>
      </w:pPr>
    </w:p>
    <w:p w14:paraId="4B43E6B2"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b/>
          <w:sz w:val="22"/>
          <w:szCs w:val="22"/>
          <w:highlight w:val="lightGray"/>
        </w:rPr>
      </w:pPr>
      <w:r w:rsidRPr="008912CF">
        <w:rPr>
          <w:b/>
          <w:sz w:val="22"/>
          <w:szCs w:val="22"/>
        </w:rPr>
        <w:t>3.</w:t>
      </w:r>
      <w:r w:rsidRPr="008912CF">
        <w:rPr>
          <w:b/>
          <w:sz w:val="22"/>
          <w:szCs w:val="22"/>
        </w:rPr>
        <w:tab/>
        <w:t>PRAZO DE VALIDADE</w:t>
      </w:r>
    </w:p>
    <w:p w14:paraId="06F60752" w14:textId="77777777" w:rsidR="004462A0" w:rsidRPr="008912CF" w:rsidRDefault="004462A0" w:rsidP="004462A0">
      <w:pPr>
        <w:tabs>
          <w:tab w:val="left" w:pos="720"/>
        </w:tabs>
        <w:rPr>
          <w:sz w:val="22"/>
          <w:szCs w:val="22"/>
        </w:rPr>
      </w:pPr>
    </w:p>
    <w:p w14:paraId="2783814C" w14:textId="77777777" w:rsidR="004462A0" w:rsidRPr="008912CF" w:rsidRDefault="00615769" w:rsidP="004462A0">
      <w:pPr>
        <w:tabs>
          <w:tab w:val="left" w:pos="720"/>
        </w:tabs>
        <w:rPr>
          <w:sz w:val="22"/>
          <w:szCs w:val="22"/>
        </w:rPr>
      </w:pPr>
      <w:r w:rsidRPr="00154C95">
        <w:rPr>
          <w:sz w:val="22"/>
          <w:szCs w:val="22"/>
        </w:rPr>
        <w:t>EXP</w:t>
      </w:r>
    </w:p>
    <w:p w14:paraId="7B041666" w14:textId="77777777" w:rsidR="004462A0" w:rsidRPr="008912CF" w:rsidRDefault="004462A0" w:rsidP="004462A0">
      <w:pPr>
        <w:tabs>
          <w:tab w:val="left" w:pos="720"/>
        </w:tabs>
        <w:rPr>
          <w:sz w:val="22"/>
          <w:szCs w:val="22"/>
        </w:rPr>
      </w:pPr>
    </w:p>
    <w:p w14:paraId="66DC466E" w14:textId="77777777" w:rsidR="004462A0" w:rsidRPr="008912CF" w:rsidRDefault="004462A0" w:rsidP="004462A0">
      <w:pPr>
        <w:tabs>
          <w:tab w:val="left" w:pos="720"/>
        </w:tabs>
        <w:rPr>
          <w:sz w:val="22"/>
          <w:szCs w:val="22"/>
        </w:rPr>
      </w:pPr>
    </w:p>
    <w:p w14:paraId="2B86E213"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4.</w:t>
      </w:r>
      <w:r w:rsidRPr="008912CF">
        <w:rPr>
          <w:b/>
          <w:sz w:val="22"/>
          <w:szCs w:val="22"/>
        </w:rPr>
        <w:tab/>
        <w:t>NÚMERO DO LOTE</w:t>
      </w:r>
    </w:p>
    <w:p w14:paraId="709BACE5" w14:textId="77777777" w:rsidR="004462A0" w:rsidRPr="008912CF" w:rsidRDefault="004462A0" w:rsidP="004462A0">
      <w:pPr>
        <w:tabs>
          <w:tab w:val="left" w:pos="720"/>
        </w:tabs>
        <w:rPr>
          <w:sz w:val="22"/>
          <w:szCs w:val="22"/>
        </w:rPr>
      </w:pPr>
    </w:p>
    <w:p w14:paraId="1F44BDA9" w14:textId="77777777" w:rsidR="004462A0" w:rsidRPr="008912CF" w:rsidRDefault="00615769" w:rsidP="004462A0">
      <w:pPr>
        <w:tabs>
          <w:tab w:val="left" w:pos="720"/>
        </w:tabs>
        <w:rPr>
          <w:sz w:val="22"/>
          <w:szCs w:val="22"/>
        </w:rPr>
      </w:pPr>
      <w:r w:rsidRPr="008912CF">
        <w:rPr>
          <w:sz w:val="22"/>
          <w:szCs w:val="22"/>
        </w:rPr>
        <w:t>Lote</w:t>
      </w:r>
    </w:p>
    <w:p w14:paraId="2B2CC899" w14:textId="77777777" w:rsidR="004462A0" w:rsidRPr="008912CF" w:rsidRDefault="004462A0" w:rsidP="004462A0">
      <w:pPr>
        <w:tabs>
          <w:tab w:val="left" w:pos="720"/>
        </w:tabs>
        <w:rPr>
          <w:sz w:val="22"/>
          <w:szCs w:val="22"/>
        </w:rPr>
      </w:pPr>
    </w:p>
    <w:p w14:paraId="70186501" w14:textId="77777777" w:rsidR="004462A0" w:rsidRPr="008912CF" w:rsidRDefault="004462A0" w:rsidP="004462A0">
      <w:pPr>
        <w:tabs>
          <w:tab w:val="left" w:pos="720"/>
        </w:tabs>
        <w:rPr>
          <w:sz w:val="22"/>
          <w:szCs w:val="22"/>
        </w:rPr>
      </w:pPr>
    </w:p>
    <w:p w14:paraId="72E7C5E1"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5.</w:t>
      </w:r>
      <w:r w:rsidRPr="008912CF">
        <w:rPr>
          <w:b/>
          <w:sz w:val="22"/>
          <w:szCs w:val="22"/>
        </w:rPr>
        <w:tab/>
        <w:t>OUTR</w:t>
      </w:r>
      <w:r>
        <w:rPr>
          <w:b/>
          <w:sz w:val="22"/>
          <w:szCs w:val="22"/>
        </w:rPr>
        <w:t>O</w:t>
      </w:r>
      <w:r w:rsidRPr="008912CF">
        <w:rPr>
          <w:b/>
          <w:sz w:val="22"/>
          <w:szCs w:val="22"/>
        </w:rPr>
        <w:t>S</w:t>
      </w:r>
    </w:p>
    <w:p w14:paraId="409F45F2" w14:textId="77777777" w:rsidR="004462A0" w:rsidRPr="008912CF" w:rsidRDefault="004462A0" w:rsidP="004462A0">
      <w:pPr>
        <w:pStyle w:val="EndnoteText"/>
        <w:tabs>
          <w:tab w:val="clear" w:pos="567"/>
          <w:tab w:val="left" w:pos="720"/>
        </w:tabs>
        <w:rPr>
          <w:szCs w:val="22"/>
        </w:rPr>
      </w:pPr>
    </w:p>
    <w:p w14:paraId="394B1C79" w14:textId="77777777" w:rsidR="004462A0" w:rsidRPr="008912CF" w:rsidRDefault="00615769" w:rsidP="004462A0">
      <w:pPr>
        <w:tabs>
          <w:tab w:val="left" w:pos="720"/>
        </w:tabs>
        <w:ind w:left="567" w:hanging="567"/>
        <w:rPr>
          <w:sz w:val="22"/>
          <w:szCs w:val="22"/>
        </w:rPr>
      </w:pPr>
      <w:r w:rsidRPr="008912CF">
        <w:rPr>
          <w:sz w:val="22"/>
          <w:szCs w:val="22"/>
        </w:rPr>
        <w:t>Para informação de conservação, ver folheto informativo.</w:t>
      </w:r>
    </w:p>
    <w:p w14:paraId="11901358" w14:textId="77777777" w:rsidR="004462A0" w:rsidRPr="008912CF" w:rsidRDefault="004462A0" w:rsidP="004462A0">
      <w:pPr>
        <w:shd w:val="clear" w:color="auto" w:fill="FFFFFF"/>
        <w:tabs>
          <w:tab w:val="left" w:pos="720"/>
        </w:tabs>
        <w:rPr>
          <w:sz w:val="22"/>
          <w:szCs w:val="22"/>
        </w:rPr>
      </w:pPr>
    </w:p>
    <w:p w14:paraId="5F42D216" w14:textId="77777777" w:rsidR="004462A0" w:rsidRPr="008912CF" w:rsidRDefault="00615769" w:rsidP="004462A0">
      <w:pPr>
        <w:tabs>
          <w:tab w:val="left" w:pos="720"/>
        </w:tabs>
        <w:rPr>
          <w:szCs w:val="22"/>
        </w:rPr>
      </w:pPr>
      <w:r w:rsidRPr="008912CF">
        <w:rPr>
          <w:sz w:val="22"/>
          <w:szCs w:val="22"/>
        </w:rPr>
        <w:t>Apenas para uma única utilização</w:t>
      </w:r>
      <w:r w:rsidR="00554634">
        <w:rPr>
          <w:sz w:val="22"/>
          <w:szCs w:val="22"/>
        </w:rPr>
        <w:t>.</w:t>
      </w:r>
      <w:r w:rsidRPr="008912CF">
        <w:rPr>
          <w:szCs w:val="22"/>
        </w:rPr>
        <w:br w:type="page"/>
      </w:r>
    </w:p>
    <w:p w14:paraId="21827BE6" w14:textId="77777777" w:rsidR="004462A0" w:rsidRPr="008912CF" w:rsidRDefault="00615769" w:rsidP="004462A0">
      <w:pPr>
        <w:pBdr>
          <w:top w:val="single" w:sz="4" w:space="1" w:color="auto"/>
          <w:left w:val="single" w:sz="4" w:space="1" w:color="auto"/>
          <w:bottom w:val="single" w:sz="4" w:space="1" w:color="auto"/>
          <w:right w:val="single" w:sz="4" w:space="1" w:color="auto"/>
        </w:pBdr>
        <w:tabs>
          <w:tab w:val="left" w:pos="567"/>
        </w:tabs>
        <w:rPr>
          <w:b/>
          <w:sz w:val="22"/>
          <w:szCs w:val="22"/>
        </w:rPr>
      </w:pPr>
      <w:r w:rsidRPr="008912CF">
        <w:rPr>
          <w:b/>
          <w:sz w:val="22"/>
          <w:szCs w:val="22"/>
        </w:rPr>
        <w:t>INDICAÇÕES MÍNIMAS A INCLUIR EM PEQUENAS UNIDADES DE ACONDICIONAMENTO PRIMÁRIO</w:t>
      </w:r>
    </w:p>
    <w:p w14:paraId="25D7DB3B" w14:textId="77777777" w:rsidR="004462A0" w:rsidRPr="008912CF" w:rsidRDefault="004462A0" w:rsidP="004462A0">
      <w:pPr>
        <w:pBdr>
          <w:top w:val="single" w:sz="4" w:space="1" w:color="auto"/>
          <w:left w:val="single" w:sz="4" w:space="1" w:color="auto"/>
          <w:bottom w:val="single" w:sz="4" w:space="1" w:color="auto"/>
          <w:right w:val="single" w:sz="4" w:space="1" w:color="auto"/>
        </w:pBdr>
        <w:tabs>
          <w:tab w:val="left" w:pos="567"/>
        </w:tabs>
        <w:rPr>
          <w:b/>
          <w:bCs/>
          <w:sz w:val="22"/>
          <w:szCs w:val="22"/>
        </w:rPr>
      </w:pPr>
    </w:p>
    <w:p w14:paraId="65023482" w14:textId="77777777" w:rsidR="004462A0" w:rsidRPr="008912CF" w:rsidRDefault="00615769" w:rsidP="004462A0">
      <w:pPr>
        <w:pStyle w:val="Heading1"/>
        <w:keepNext w:val="0"/>
        <w:pBdr>
          <w:left w:val="single" w:sz="4" w:space="1" w:color="auto"/>
          <w:right w:val="single" w:sz="4" w:space="1" w:color="auto"/>
        </w:pBdr>
        <w:rPr>
          <w:caps/>
          <w:szCs w:val="22"/>
        </w:rPr>
      </w:pPr>
      <w:r w:rsidRPr="008912CF">
        <w:rPr>
          <w:caps/>
          <w:szCs w:val="22"/>
        </w:rPr>
        <w:t>Rótulo da seringa</w:t>
      </w:r>
    </w:p>
    <w:p w14:paraId="20A54368" w14:textId="77777777" w:rsidR="004462A0" w:rsidRPr="008912CF" w:rsidRDefault="004462A0" w:rsidP="004462A0">
      <w:pPr>
        <w:pStyle w:val="Index1"/>
        <w:spacing w:line="240" w:lineRule="auto"/>
        <w:rPr>
          <w:szCs w:val="22"/>
          <w:lang w:val="pt-PT"/>
        </w:rPr>
      </w:pPr>
    </w:p>
    <w:p w14:paraId="7F17C0FF" w14:textId="77777777" w:rsidR="004462A0" w:rsidRPr="008912CF" w:rsidRDefault="004462A0" w:rsidP="004462A0">
      <w:pPr>
        <w:tabs>
          <w:tab w:val="left" w:pos="720"/>
        </w:tabs>
        <w:rPr>
          <w:b/>
          <w:sz w:val="22"/>
          <w:szCs w:val="22"/>
        </w:rPr>
      </w:pPr>
    </w:p>
    <w:p w14:paraId="4D53FD22"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1.</w:t>
      </w:r>
      <w:r w:rsidRPr="008912CF">
        <w:rPr>
          <w:b/>
          <w:sz w:val="22"/>
          <w:szCs w:val="22"/>
        </w:rPr>
        <w:tab/>
      </w:r>
      <w:r w:rsidRPr="008912CF">
        <w:rPr>
          <w:b/>
          <w:sz w:val="22"/>
          <w:szCs w:val="22"/>
        </w:rPr>
        <w:t>NOME DO MEDICAMENTO E VIA DE ADMINISTRAÇÃO</w:t>
      </w:r>
    </w:p>
    <w:p w14:paraId="2A22DCFE" w14:textId="77777777" w:rsidR="004462A0" w:rsidRPr="008912CF" w:rsidRDefault="004462A0" w:rsidP="004462A0">
      <w:pPr>
        <w:tabs>
          <w:tab w:val="left" w:pos="720"/>
        </w:tabs>
        <w:ind w:left="567" w:hanging="567"/>
        <w:rPr>
          <w:sz w:val="22"/>
          <w:szCs w:val="22"/>
        </w:rPr>
      </w:pPr>
    </w:p>
    <w:p w14:paraId="1684B55F" w14:textId="77777777" w:rsidR="004462A0" w:rsidRPr="008912CF" w:rsidRDefault="00615769" w:rsidP="004462A0">
      <w:pPr>
        <w:tabs>
          <w:tab w:val="left" w:pos="720"/>
        </w:tabs>
        <w:rPr>
          <w:sz w:val="22"/>
          <w:szCs w:val="22"/>
        </w:rPr>
      </w:pPr>
      <w:r>
        <w:rPr>
          <w:sz w:val="22"/>
          <w:szCs w:val="22"/>
        </w:rPr>
        <w:t>Humira 8</w:t>
      </w:r>
      <w:r w:rsidRPr="008912CF">
        <w:rPr>
          <w:sz w:val="22"/>
          <w:szCs w:val="22"/>
        </w:rPr>
        <w:t>0 mg solução injetável</w:t>
      </w:r>
    </w:p>
    <w:p w14:paraId="7C2EC0B8" w14:textId="77777777" w:rsidR="004462A0" w:rsidRPr="008912CF" w:rsidRDefault="00615769" w:rsidP="004462A0">
      <w:pPr>
        <w:tabs>
          <w:tab w:val="left" w:pos="720"/>
        </w:tabs>
        <w:rPr>
          <w:sz w:val="22"/>
          <w:szCs w:val="22"/>
        </w:rPr>
      </w:pPr>
      <w:r w:rsidRPr="008912CF">
        <w:rPr>
          <w:sz w:val="22"/>
          <w:szCs w:val="22"/>
        </w:rPr>
        <w:t>adalimumab</w:t>
      </w:r>
    </w:p>
    <w:p w14:paraId="28A4506D" w14:textId="77777777" w:rsidR="004462A0" w:rsidRPr="008912CF" w:rsidRDefault="00615769" w:rsidP="004462A0">
      <w:pPr>
        <w:pStyle w:val="EndnoteText"/>
        <w:tabs>
          <w:tab w:val="clear" w:pos="567"/>
          <w:tab w:val="left" w:pos="720"/>
        </w:tabs>
        <w:rPr>
          <w:szCs w:val="22"/>
        </w:rPr>
      </w:pPr>
      <w:r>
        <w:rPr>
          <w:szCs w:val="22"/>
        </w:rPr>
        <w:t>SC</w:t>
      </w:r>
    </w:p>
    <w:p w14:paraId="42AE298F" w14:textId="77777777" w:rsidR="004462A0" w:rsidRPr="008912CF" w:rsidRDefault="004462A0" w:rsidP="004462A0">
      <w:pPr>
        <w:tabs>
          <w:tab w:val="left" w:pos="720"/>
        </w:tabs>
        <w:rPr>
          <w:bCs/>
          <w:sz w:val="22"/>
          <w:szCs w:val="22"/>
        </w:rPr>
      </w:pPr>
    </w:p>
    <w:p w14:paraId="2E7D2320" w14:textId="77777777" w:rsidR="004462A0" w:rsidRPr="008912CF" w:rsidRDefault="004462A0" w:rsidP="004462A0">
      <w:pPr>
        <w:tabs>
          <w:tab w:val="left" w:pos="720"/>
        </w:tabs>
        <w:rPr>
          <w:bCs/>
          <w:sz w:val="22"/>
          <w:szCs w:val="22"/>
        </w:rPr>
      </w:pPr>
    </w:p>
    <w:p w14:paraId="11B943BE"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b/>
          <w:sz w:val="22"/>
          <w:szCs w:val="22"/>
          <w:highlight w:val="lightGray"/>
        </w:rPr>
      </w:pPr>
      <w:r w:rsidRPr="008912CF">
        <w:rPr>
          <w:b/>
          <w:sz w:val="22"/>
          <w:szCs w:val="22"/>
        </w:rPr>
        <w:t>2.</w:t>
      </w:r>
      <w:r w:rsidRPr="008912CF">
        <w:rPr>
          <w:b/>
          <w:sz w:val="22"/>
          <w:szCs w:val="22"/>
        </w:rPr>
        <w:tab/>
        <w:t>MODO DE ADMINISTRAÇÃO</w:t>
      </w:r>
    </w:p>
    <w:p w14:paraId="0B687D95" w14:textId="77777777" w:rsidR="004462A0" w:rsidRPr="008912CF" w:rsidRDefault="004462A0" w:rsidP="004462A0">
      <w:pPr>
        <w:pStyle w:val="IndexHeading"/>
        <w:tabs>
          <w:tab w:val="clear" w:pos="567"/>
          <w:tab w:val="left" w:pos="720"/>
        </w:tabs>
        <w:spacing w:line="240" w:lineRule="auto"/>
        <w:rPr>
          <w:rFonts w:ascii="Times New Roman" w:hAnsi="Times New Roman"/>
          <w:b w:val="0"/>
          <w:bCs/>
          <w:szCs w:val="22"/>
          <w:lang w:val="pt-PT"/>
        </w:rPr>
      </w:pPr>
    </w:p>
    <w:p w14:paraId="42A68164" w14:textId="77777777" w:rsidR="004462A0" w:rsidRPr="008912CF" w:rsidRDefault="004462A0" w:rsidP="004462A0">
      <w:pPr>
        <w:tabs>
          <w:tab w:val="left" w:pos="720"/>
        </w:tabs>
        <w:rPr>
          <w:bCs/>
          <w:sz w:val="22"/>
          <w:szCs w:val="22"/>
        </w:rPr>
      </w:pPr>
    </w:p>
    <w:p w14:paraId="08BE9F04"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3.</w:t>
      </w:r>
      <w:r w:rsidRPr="008912CF">
        <w:rPr>
          <w:b/>
          <w:sz w:val="22"/>
          <w:szCs w:val="22"/>
        </w:rPr>
        <w:tab/>
        <w:t>PRAZO DE VALIDADE</w:t>
      </w:r>
    </w:p>
    <w:p w14:paraId="13E70D16" w14:textId="77777777" w:rsidR="004462A0" w:rsidRPr="008912CF" w:rsidRDefault="004462A0" w:rsidP="004462A0">
      <w:pPr>
        <w:tabs>
          <w:tab w:val="left" w:pos="720"/>
        </w:tabs>
        <w:rPr>
          <w:sz w:val="22"/>
          <w:szCs w:val="22"/>
        </w:rPr>
      </w:pPr>
    </w:p>
    <w:p w14:paraId="21EDB40D" w14:textId="77777777" w:rsidR="004462A0" w:rsidRPr="008912CF" w:rsidRDefault="00615769" w:rsidP="004462A0">
      <w:pPr>
        <w:pStyle w:val="EndnoteText"/>
        <w:tabs>
          <w:tab w:val="clear" w:pos="567"/>
          <w:tab w:val="left" w:pos="720"/>
        </w:tabs>
        <w:rPr>
          <w:szCs w:val="22"/>
        </w:rPr>
      </w:pPr>
      <w:r w:rsidRPr="00154C95">
        <w:rPr>
          <w:szCs w:val="22"/>
        </w:rPr>
        <w:t>EXP</w:t>
      </w:r>
      <w:r w:rsidRPr="008912CF">
        <w:rPr>
          <w:szCs w:val="22"/>
        </w:rPr>
        <w:t xml:space="preserve"> </w:t>
      </w:r>
    </w:p>
    <w:p w14:paraId="37210CE6" w14:textId="77777777" w:rsidR="004462A0" w:rsidRPr="008912CF" w:rsidRDefault="004462A0" w:rsidP="004462A0">
      <w:pPr>
        <w:tabs>
          <w:tab w:val="left" w:pos="720"/>
        </w:tabs>
        <w:rPr>
          <w:sz w:val="22"/>
          <w:szCs w:val="22"/>
        </w:rPr>
      </w:pPr>
    </w:p>
    <w:p w14:paraId="09F8938C" w14:textId="77777777" w:rsidR="004462A0" w:rsidRPr="008912CF" w:rsidRDefault="004462A0" w:rsidP="004462A0">
      <w:pPr>
        <w:tabs>
          <w:tab w:val="left" w:pos="720"/>
        </w:tabs>
        <w:rPr>
          <w:sz w:val="22"/>
          <w:szCs w:val="22"/>
        </w:rPr>
      </w:pPr>
    </w:p>
    <w:p w14:paraId="204119FC"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4.</w:t>
      </w:r>
      <w:r w:rsidRPr="008912CF">
        <w:rPr>
          <w:b/>
          <w:sz w:val="22"/>
          <w:szCs w:val="22"/>
        </w:rPr>
        <w:tab/>
        <w:t>NÚMERO DO LOTE</w:t>
      </w:r>
    </w:p>
    <w:p w14:paraId="7C8E8DE4" w14:textId="77777777" w:rsidR="004462A0" w:rsidRPr="008912CF" w:rsidRDefault="004462A0" w:rsidP="004462A0">
      <w:pPr>
        <w:tabs>
          <w:tab w:val="left" w:pos="720"/>
        </w:tabs>
        <w:rPr>
          <w:sz w:val="22"/>
          <w:szCs w:val="22"/>
        </w:rPr>
      </w:pPr>
    </w:p>
    <w:p w14:paraId="03E6709F" w14:textId="77777777" w:rsidR="004462A0" w:rsidRPr="008912CF" w:rsidRDefault="00615769" w:rsidP="004462A0">
      <w:pPr>
        <w:tabs>
          <w:tab w:val="left" w:pos="720"/>
        </w:tabs>
        <w:rPr>
          <w:sz w:val="22"/>
          <w:szCs w:val="22"/>
        </w:rPr>
      </w:pPr>
      <w:r>
        <w:rPr>
          <w:sz w:val="22"/>
          <w:szCs w:val="22"/>
        </w:rPr>
        <w:t>Lot</w:t>
      </w:r>
      <w:r w:rsidR="0023344C">
        <w:rPr>
          <w:sz w:val="22"/>
          <w:szCs w:val="22"/>
        </w:rPr>
        <w:t>e</w:t>
      </w:r>
    </w:p>
    <w:p w14:paraId="3A7B42ED" w14:textId="77777777" w:rsidR="004462A0" w:rsidRPr="008912CF" w:rsidRDefault="004462A0" w:rsidP="004462A0">
      <w:pPr>
        <w:tabs>
          <w:tab w:val="left" w:pos="720"/>
        </w:tabs>
        <w:ind w:right="113"/>
        <w:rPr>
          <w:sz w:val="22"/>
          <w:szCs w:val="22"/>
          <w:highlight w:val="lightGray"/>
        </w:rPr>
      </w:pPr>
    </w:p>
    <w:p w14:paraId="25C35CA9" w14:textId="77777777" w:rsidR="004462A0" w:rsidRPr="008912CF" w:rsidRDefault="004462A0" w:rsidP="004462A0">
      <w:pPr>
        <w:tabs>
          <w:tab w:val="left" w:pos="720"/>
        </w:tabs>
        <w:ind w:right="113"/>
        <w:rPr>
          <w:sz w:val="22"/>
          <w:szCs w:val="22"/>
          <w:highlight w:val="lightGray"/>
        </w:rPr>
      </w:pPr>
    </w:p>
    <w:p w14:paraId="52C67BB6"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5.</w:t>
      </w:r>
      <w:r w:rsidRPr="008912CF">
        <w:rPr>
          <w:b/>
          <w:sz w:val="22"/>
          <w:szCs w:val="22"/>
        </w:rPr>
        <w:tab/>
        <w:t>CONTEÚDO EM PESO, VOLUME OU UNIDADE</w:t>
      </w:r>
    </w:p>
    <w:p w14:paraId="2384D76D" w14:textId="77777777" w:rsidR="004462A0" w:rsidRPr="008912CF" w:rsidRDefault="004462A0" w:rsidP="004462A0">
      <w:pPr>
        <w:tabs>
          <w:tab w:val="left" w:pos="720"/>
        </w:tabs>
        <w:rPr>
          <w:sz w:val="22"/>
          <w:szCs w:val="22"/>
        </w:rPr>
      </w:pPr>
    </w:p>
    <w:p w14:paraId="3A493010" w14:textId="77777777" w:rsidR="004462A0" w:rsidRPr="008912CF" w:rsidRDefault="00615769" w:rsidP="004462A0">
      <w:pPr>
        <w:tabs>
          <w:tab w:val="left" w:pos="720"/>
        </w:tabs>
        <w:rPr>
          <w:sz w:val="22"/>
          <w:szCs w:val="22"/>
        </w:rPr>
      </w:pPr>
      <w:r>
        <w:rPr>
          <w:sz w:val="22"/>
          <w:szCs w:val="22"/>
        </w:rPr>
        <w:t>8</w:t>
      </w:r>
      <w:r w:rsidRPr="008912CF">
        <w:rPr>
          <w:sz w:val="22"/>
          <w:szCs w:val="22"/>
        </w:rPr>
        <w:t>0 mg</w:t>
      </w:r>
      <w:r w:rsidR="008D4B8F" w:rsidRPr="00A54758">
        <w:rPr>
          <w:sz w:val="22"/>
          <w:szCs w:val="22"/>
          <w:shd w:val="pct15" w:color="auto" w:fill="FFFFFF"/>
        </w:rPr>
        <w:t>/0,8</w:t>
      </w:r>
      <w:r w:rsidR="00554634" w:rsidRPr="00A54758">
        <w:rPr>
          <w:sz w:val="22"/>
          <w:szCs w:val="22"/>
          <w:shd w:val="pct15" w:color="auto" w:fill="FFFFFF"/>
        </w:rPr>
        <w:t> </w:t>
      </w:r>
      <w:r w:rsidR="008D4B8F" w:rsidRPr="00A54758">
        <w:rPr>
          <w:sz w:val="22"/>
          <w:szCs w:val="22"/>
          <w:shd w:val="pct15" w:color="auto" w:fill="FFFFFF"/>
        </w:rPr>
        <w:t>ml</w:t>
      </w:r>
    </w:p>
    <w:p w14:paraId="24C5A9E2" w14:textId="77777777" w:rsidR="004462A0" w:rsidRPr="008912CF" w:rsidRDefault="004462A0" w:rsidP="004462A0">
      <w:pPr>
        <w:tabs>
          <w:tab w:val="left" w:pos="720"/>
        </w:tabs>
        <w:rPr>
          <w:sz w:val="22"/>
          <w:szCs w:val="22"/>
        </w:rPr>
      </w:pPr>
    </w:p>
    <w:p w14:paraId="4E13154C" w14:textId="77777777" w:rsidR="004462A0" w:rsidRPr="008912CF" w:rsidRDefault="004462A0" w:rsidP="004462A0">
      <w:pPr>
        <w:tabs>
          <w:tab w:val="left" w:pos="720"/>
        </w:tabs>
        <w:rPr>
          <w:sz w:val="22"/>
          <w:szCs w:val="22"/>
        </w:rPr>
      </w:pPr>
    </w:p>
    <w:p w14:paraId="4D24E86A" w14:textId="77777777" w:rsidR="004462A0" w:rsidRPr="008912CF" w:rsidRDefault="00615769" w:rsidP="004462A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6.</w:t>
      </w:r>
      <w:r w:rsidRPr="008912CF">
        <w:rPr>
          <w:b/>
          <w:sz w:val="22"/>
          <w:szCs w:val="22"/>
        </w:rPr>
        <w:tab/>
        <w:t>OUTR</w:t>
      </w:r>
      <w:r>
        <w:rPr>
          <w:b/>
          <w:sz w:val="22"/>
          <w:szCs w:val="22"/>
        </w:rPr>
        <w:t>O</w:t>
      </w:r>
      <w:r w:rsidRPr="008912CF">
        <w:rPr>
          <w:b/>
          <w:sz w:val="22"/>
          <w:szCs w:val="22"/>
        </w:rPr>
        <w:t>S</w:t>
      </w:r>
    </w:p>
    <w:p w14:paraId="1BF50240" w14:textId="77777777" w:rsidR="005D50DB" w:rsidRPr="008912CF" w:rsidRDefault="005D50DB" w:rsidP="005D50DB">
      <w:pPr>
        <w:rPr>
          <w:sz w:val="22"/>
          <w:szCs w:val="22"/>
        </w:rPr>
      </w:pPr>
    </w:p>
    <w:p w14:paraId="21641FA1" w14:textId="77777777" w:rsidR="008B4234" w:rsidRPr="00414F86" w:rsidRDefault="00615769" w:rsidP="00414F86">
      <w:pPr>
        <w:rPr>
          <w:sz w:val="22"/>
          <w:szCs w:val="22"/>
        </w:rPr>
      </w:pPr>
      <w:r>
        <w:rPr>
          <w:sz w:val="22"/>
          <w:szCs w:val="22"/>
        </w:rPr>
        <w:br w:type="page"/>
      </w:r>
    </w:p>
    <w:p w14:paraId="191E16D1" w14:textId="77777777" w:rsidR="008B4234" w:rsidRPr="008912CF" w:rsidRDefault="00615769" w:rsidP="008B4234">
      <w:pPr>
        <w:pStyle w:val="Heading1"/>
        <w:keepNext w:val="0"/>
        <w:rPr>
          <w:caps/>
          <w:szCs w:val="22"/>
        </w:rPr>
      </w:pPr>
      <w:r w:rsidRPr="008912CF">
        <w:rPr>
          <w:szCs w:val="22"/>
        </w:rPr>
        <w:t>INDICAÇÕES A INCLUIR NO ACONDICIONAMENTO SECUNDÁRIO</w:t>
      </w:r>
    </w:p>
    <w:p w14:paraId="325E13AA" w14:textId="77777777" w:rsidR="005D50DB" w:rsidRDefault="005D50DB" w:rsidP="008B4234">
      <w:pPr>
        <w:pStyle w:val="Heading1"/>
        <w:keepNext w:val="0"/>
        <w:rPr>
          <w:caps/>
          <w:szCs w:val="22"/>
        </w:rPr>
      </w:pPr>
    </w:p>
    <w:p w14:paraId="5E251C06" w14:textId="77777777" w:rsidR="008B4234" w:rsidRPr="008912CF" w:rsidRDefault="00615769" w:rsidP="008B4234">
      <w:pPr>
        <w:pStyle w:val="Heading1"/>
        <w:keepNext w:val="0"/>
        <w:rPr>
          <w:caps/>
          <w:szCs w:val="22"/>
        </w:rPr>
      </w:pPr>
      <w:r w:rsidRPr="008912CF">
        <w:rPr>
          <w:caps/>
          <w:szCs w:val="22"/>
        </w:rPr>
        <w:t>Embalagem exterior</w:t>
      </w:r>
    </w:p>
    <w:p w14:paraId="50B10605" w14:textId="77777777" w:rsidR="008B4234" w:rsidRPr="008912CF" w:rsidRDefault="008B4234" w:rsidP="008B4234">
      <w:pPr>
        <w:tabs>
          <w:tab w:val="left" w:pos="567"/>
        </w:tabs>
        <w:rPr>
          <w:b/>
          <w:sz w:val="22"/>
          <w:szCs w:val="22"/>
        </w:rPr>
      </w:pPr>
    </w:p>
    <w:p w14:paraId="3240C09D" w14:textId="77777777" w:rsidR="008B4234" w:rsidRPr="008912CF" w:rsidRDefault="008B4234" w:rsidP="008B4234">
      <w:pPr>
        <w:tabs>
          <w:tab w:val="left" w:pos="567"/>
        </w:tabs>
        <w:rPr>
          <w:b/>
          <w:sz w:val="22"/>
          <w:szCs w:val="22"/>
        </w:rPr>
      </w:pPr>
    </w:p>
    <w:p w14:paraId="792A15DB" w14:textId="77777777" w:rsidR="008B4234" w:rsidRPr="008912CF" w:rsidRDefault="00615769" w:rsidP="008B423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rPr>
      </w:pPr>
      <w:r w:rsidRPr="008912CF">
        <w:rPr>
          <w:b/>
          <w:sz w:val="22"/>
          <w:szCs w:val="22"/>
        </w:rPr>
        <w:t>1.</w:t>
      </w:r>
      <w:r w:rsidRPr="008912CF">
        <w:rPr>
          <w:b/>
          <w:sz w:val="22"/>
          <w:szCs w:val="22"/>
        </w:rPr>
        <w:tab/>
        <w:t>NOME DO MEDICAMENTO</w:t>
      </w:r>
    </w:p>
    <w:p w14:paraId="5E95760E" w14:textId="77777777" w:rsidR="008B4234" w:rsidRPr="008912CF" w:rsidRDefault="008B4234" w:rsidP="008B4234">
      <w:pPr>
        <w:tabs>
          <w:tab w:val="left" w:pos="720"/>
        </w:tabs>
        <w:rPr>
          <w:sz w:val="22"/>
          <w:szCs w:val="22"/>
        </w:rPr>
      </w:pPr>
    </w:p>
    <w:p w14:paraId="26DEEEE6" w14:textId="77777777" w:rsidR="008B4234" w:rsidRPr="008912CF" w:rsidRDefault="00615769" w:rsidP="008B4234">
      <w:pPr>
        <w:tabs>
          <w:tab w:val="left" w:pos="720"/>
        </w:tabs>
        <w:rPr>
          <w:sz w:val="22"/>
          <w:szCs w:val="22"/>
        </w:rPr>
      </w:pPr>
      <w:r>
        <w:rPr>
          <w:sz w:val="22"/>
          <w:szCs w:val="22"/>
        </w:rPr>
        <w:t>Humira 8</w:t>
      </w:r>
      <w:r w:rsidRPr="008912CF">
        <w:rPr>
          <w:sz w:val="22"/>
          <w:szCs w:val="22"/>
        </w:rPr>
        <w:t>0 mg solução injetável em caneta pré-cheia</w:t>
      </w:r>
    </w:p>
    <w:p w14:paraId="517FB20A" w14:textId="77777777" w:rsidR="008B4234" w:rsidRPr="008912CF" w:rsidRDefault="00615769" w:rsidP="008B4234">
      <w:pPr>
        <w:pStyle w:val="EndnoteText"/>
        <w:tabs>
          <w:tab w:val="clear" w:pos="567"/>
          <w:tab w:val="left" w:pos="720"/>
        </w:tabs>
        <w:rPr>
          <w:szCs w:val="22"/>
        </w:rPr>
      </w:pPr>
      <w:r w:rsidRPr="008912CF">
        <w:rPr>
          <w:szCs w:val="22"/>
        </w:rPr>
        <w:t>adalimumab</w:t>
      </w:r>
    </w:p>
    <w:p w14:paraId="2ADE0439" w14:textId="77777777" w:rsidR="008B4234" w:rsidRPr="008912CF" w:rsidRDefault="008B4234" w:rsidP="008B4234">
      <w:pPr>
        <w:pStyle w:val="EndnoteText"/>
        <w:tabs>
          <w:tab w:val="clear" w:pos="567"/>
          <w:tab w:val="left" w:pos="720"/>
        </w:tabs>
        <w:rPr>
          <w:szCs w:val="22"/>
        </w:rPr>
      </w:pPr>
    </w:p>
    <w:p w14:paraId="2254C956" w14:textId="77777777" w:rsidR="008B4234" w:rsidRPr="008912CF" w:rsidRDefault="008B4234" w:rsidP="008B4234">
      <w:pPr>
        <w:rPr>
          <w:sz w:val="22"/>
          <w:szCs w:val="22"/>
        </w:rPr>
      </w:pPr>
    </w:p>
    <w:p w14:paraId="29BCBEC9" w14:textId="77777777" w:rsidR="008B4234" w:rsidRPr="008912CF" w:rsidRDefault="00615769" w:rsidP="008B423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rPr>
      </w:pPr>
      <w:r w:rsidRPr="008912CF">
        <w:rPr>
          <w:b/>
          <w:sz w:val="22"/>
          <w:szCs w:val="22"/>
        </w:rPr>
        <w:t>2.</w:t>
      </w:r>
      <w:r w:rsidRPr="008912CF">
        <w:rPr>
          <w:b/>
          <w:sz w:val="22"/>
          <w:szCs w:val="22"/>
        </w:rPr>
        <w:tab/>
      </w:r>
      <w:r w:rsidRPr="008912CF">
        <w:rPr>
          <w:b/>
          <w:bCs/>
          <w:sz w:val="22"/>
          <w:szCs w:val="22"/>
        </w:rPr>
        <w:t>DESCRIÇÃO DA SUBSTÂNCIA ATIVA</w:t>
      </w:r>
    </w:p>
    <w:p w14:paraId="48EFF6FE" w14:textId="77777777" w:rsidR="008B4234" w:rsidRPr="008912CF" w:rsidRDefault="008B4234" w:rsidP="008B4234">
      <w:pPr>
        <w:tabs>
          <w:tab w:val="left" w:pos="720"/>
        </w:tabs>
        <w:rPr>
          <w:sz w:val="22"/>
          <w:szCs w:val="22"/>
        </w:rPr>
      </w:pPr>
    </w:p>
    <w:p w14:paraId="38E33D2C" w14:textId="77777777" w:rsidR="008B4234" w:rsidRPr="008912CF" w:rsidRDefault="00615769" w:rsidP="008B4234">
      <w:pPr>
        <w:tabs>
          <w:tab w:val="left" w:pos="720"/>
        </w:tabs>
        <w:rPr>
          <w:sz w:val="22"/>
          <w:szCs w:val="22"/>
        </w:rPr>
      </w:pPr>
      <w:r>
        <w:rPr>
          <w:sz w:val="22"/>
          <w:szCs w:val="22"/>
        </w:rPr>
        <w:t>Uma caneta pré-cheia de 0,</w:t>
      </w:r>
      <w:r w:rsidR="008A32FC">
        <w:rPr>
          <w:sz w:val="22"/>
          <w:szCs w:val="22"/>
        </w:rPr>
        <w:t>8 </w:t>
      </w:r>
      <w:r>
        <w:rPr>
          <w:sz w:val="22"/>
          <w:szCs w:val="22"/>
        </w:rPr>
        <w:t>ml contém 8</w:t>
      </w:r>
      <w:r w:rsidRPr="008912CF">
        <w:rPr>
          <w:sz w:val="22"/>
          <w:szCs w:val="22"/>
        </w:rPr>
        <w:t>0 mg de adalimumab</w:t>
      </w:r>
      <w:r w:rsidR="0051646D">
        <w:rPr>
          <w:sz w:val="22"/>
          <w:szCs w:val="22"/>
        </w:rPr>
        <w:t>.</w:t>
      </w:r>
    </w:p>
    <w:p w14:paraId="00AEA518" w14:textId="77777777" w:rsidR="008B4234" w:rsidRPr="008912CF" w:rsidRDefault="008B4234" w:rsidP="008B4234">
      <w:pPr>
        <w:tabs>
          <w:tab w:val="left" w:pos="720"/>
        </w:tabs>
        <w:rPr>
          <w:sz w:val="22"/>
          <w:szCs w:val="22"/>
        </w:rPr>
      </w:pPr>
    </w:p>
    <w:p w14:paraId="4700309B" w14:textId="77777777" w:rsidR="008B4234" w:rsidRPr="008912CF" w:rsidRDefault="008B4234" w:rsidP="008B4234">
      <w:pPr>
        <w:tabs>
          <w:tab w:val="left" w:pos="720"/>
        </w:tabs>
        <w:rPr>
          <w:sz w:val="22"/>
          <w:szCs w:val="22"/>
        </w:rPr>
      </w:pPr>
    </w:p>
    <w:p w14:paraId="6D558E90" w14:textId="77777777" w:rsidR="008B4234" w:rsidRPr="008912CF" w:rsidRDefault="00615769" w:rsidP="008B4234">
      <w:pPr>
        <w:pBdr>
          <w:top w:val="single" w:sz="4" w:space="1" w:color="auto"/>
          <w:left w:val="single" w:sz="4" w:space="4" w:color="auto"/>
          <w:bottom w:val="single" w:sz="4" w:space="2"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3.</w:t>
      </w:r>
      <w:r w:rsidRPr="008912CF">
        <w:rPr>
          <w:b/>
          <w:sz w:val="22"/>
          <w:szCs w:val="22"/>
        </w:rPr>
        <w:tab/>
        <w:t>LISTA DOS EXCIPIENTES</w:t>
      </w:r>
    </w:p>
    <w:p w14:paraId="064B10F8" w14:textId="77777777" w:rsidR="008B4234" w:rsidRPr="008912CF" w:rsidRDefault="008B4234" w:rsidP="008B4234">
      <w:pPr>
        <w:tabs>
          <w:tab w:val="left" w:pos="720"/>
        </w:tabs>
        <w:rPr>
          <w:sz w:val="22"/>
          <w:szCs w:val="22"/>
        </w:rPr>
      </w:pPr>
    </w:p>
    <w:p w14:paraId="08D6A7E1" w14:textId="77777777" w:rsidR="008B4234" w:rsidRPr="008912CF" w:rsidRDefault="00615769" w:rsidP="008B4234">
      <w:pPr>
        <w:tabs>
          <w:tab w:val="left" w:pos="720"/>
        </w:tabs>
        <w:rPr>
          <w:sz w:val="22"/>
          <w:szCs w:val="22"/>
        </w:rPr>
      </w:pPr>
      <w:r w:rsidRPr="008912CF">
        <w:rPr>
          <w:sz w:val="22"/>
          <w:szCs w:val="22"/>
        </w:rPr>
        <w:t>Exc</w:t>
      </w:r>
      <w:r w:rsidR="008A32FC">
        <w:rPr>
          <w:sz w:val="22"/>
          <w:szCs w:val="22"/>
        </w:rPr>
        <w:t>ipientes: manitol, polissorbato </w:t>
      </w:r>
      <w:r w:rsidRPr="008912CF">
        <w:rPr>
          <w:sz w:val="22"/>
          <w:szCs w:val="22"/>
        </w:rPr>
        <w:t>80 e água para preparações injetáveis. Consultar o folheto informativo para informação adicional.</w:t>
      </w:r>
    </w:p>
    <w:p w14:paraId="2DF3158B" w14:textId="77777777" w:rsidR="008B4234" w:rsidRPr="008912CF" w:rsidRDefault="008B4234" w:rsidP="008B4234">
      <w:pPr>
        <w:tabs>
          <w:tab w:val="left" w:pos="720"/>
        </w:tabs>
        <w:rPr>
          <w:sz w:val="22"/>
          <w:szCs w:val="22"/>
        </w:rPr>
      </w:pPr>
    </w:p>
    <w:p w14:paraId="618E2ED1" w14:textId="77777777" w:rsidR="008B4234" w:rsidRPr="008912CF" w:rsidRDefault="008B4234" w:rsidP="008B4234">
      <w:pPr>
        <w:tabs>
          <w:tab w:val="left" w:pos="720"/>
        </w:tabs>
        <w:rPr>
          <w:sz w:val="22"/>
          <w:szCs w:val="22"/>
        </w:rPr>
      </w:pPr>
    </w:p>
    <w:p w14:paraId="26A6E00B" w14:textId="77777777" w:rsidR="008B4234" w:rsidRPr="008912CF" w:rsidRDefault="00615769" w:rsidP="008B423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4.</w:t>
      </w:r>
      <w:r w:rsidRPr="008912CF">
        <w:rPr>
          <w:b/>
          <w:sz w:val="22"/>
          <w:szCs w:val="22"/>
        </w:rPr>
        <w:tab/>
        <w:t>FORMA FARMACÊUTICA E CONTEÚDO</w:t>
      </w:r>
    </w:p>
    <w:p w14:paraId="6AEDD0D9" w14:textId="77777777" w:rsidR="008B4234" w:rsidRPr="008912CF" w:rsidRDefault="008B4234" w:rsidP="008B4234">
      <w:pPr>
        <w:tabs>
          <w:tab w:val="left" w:pos="720"/>
        </w:tabs>
        <w:rPr>
          <w:sz w:val="22"/>
          <w:szCs w:val="22"/>
        </w:rPr>
      </w:pPr>
    </w:p>
    <w:p w14:paraId="40720048" w14:textId="77777777" w:rsidR="008D4B8F" w:rsidRPr="002112C5" w:rsidRDefault="00615769" w:rsidP="008B4234">
      <w:pPr>
        <w:tabs>
          <w:tab w:val="left" w:pos="720"/>
        </w:tabs>
        <w:rPr>
          <w:sz w:val="22"/>
          <w:szCs w:val="22"/>
          <w:shd w:val="pct15" w:color="auto" w:fill="FFFFFF"/>
        </w:rPr>
      </w:pPr>
      <w:r w:rsidRPr="002112C5">
        <w:rPr>
          <w:sz w:val="22"/>
          <w:szCs w:val="22"/>
          <w:shd w:val="pct15" w:color="auto" w:fill="FFFFFF"/>
        </w:rPr>
        <w:t>Solução injetáve</w:t>
      </w:r>
      <w:r w:rsidR="00154C95" w:rsidRPr="002112C5">
        <w:rPr>
          <w:sz w:val="22"/>
          <w:szCs w:val="22"/>
          <w:shd w:val="pct15" w:color="auto" w:fill="FFFFFF"/>
        </w:rPr>
        <w:t>l</w:t>
      </w:r>
    </w:p>
    <w:p w14:paraId="70818FE9" w14:textId="77777777" w:rsidR="008B4234" w:rsidRPr="008912CF" w:rsidRDefault="00615769" w:rsidP="008B4234">
      <w:pPr>
        <w:tabs>
          <w:tab w:val="left" w:pos="720"/>
        </w:tabs>
        <w:rPr>
          <w:sz w:val="22"/>
          <w:szCs w:val="22"/>
        </w:rPr>
      </w:pPr>
      <w:r>
        <w:rPr>
          <w:sz w:val="22"/>
          <w:szCs w:val="22"/>
        </w:rPr>
        <w:t>1 caneta pré-cheia</w:t>
      </w:r>
    </w:p>
    <w:p w14:paraId="357AE1F8" w14:textId="77777777" w:rsidR="008B4234" w:rsidRDefault="00615769" w:rsidP="008B4234">
      <w:pPr>
        <w:tabs>
          <w:tab w:val="left" w:pos="720"/>
        </w:tabs>
        <w:rPr>
          <w:sz w:val="22"/>
          <w:szCs w:val="22"/>
        </w:rPr>
      </w:pPr>
      <w:r>
        <w:rPr>
          <w:sz w:val="22"/>
          <w:szCs w:val="22"/>
        </w:rPr>
        <w:t>2</w:t>
      </w:r>
      <w:r w:rsidRPr="008912CF">
        <w:rPr>
          <w:sz w:val="22"/>
          <w:szCs w:val="22"/>
        </w:rPr>
        <w:t xml:space="preserve"> compressas embebidas em álcool</w:t>
      </w:r>
    </w:p>
    <w:p w14:paraId="463BB88A" w14:textId="77777777" w:rsidR="00640462" w:rsidRDefault="00640462" w:rsidP="008B4234">
      <w:pPr>
        <w:tabs>
          <w:tab w:val="left" w:pos="720"/>
        </w:tabs>
        <w:rPr>
          <w:sz w:val="22"/>
          <w:szCs w:val="22"/>
        </w:rPr>
      </w:pPr>
    </w:p>
    <w:p w14:paraId="7C2370FA" w14:textId="77777777" w:rsidR="00640462" w:rsidRPr="00377C21" w:rsidRDefault="00615769" w:rsidP="00640462">
      <w:pPr>
        <w:tabs>
          <w:tab w:val="left" w:pos="720"/>
        </w:tabs>
        <w:rPr>
          <w:sz w:val="22"/>
          <w:szCs w:val="22"/>
          <w:highlight w:val="lightGray"/>
        </w:rPr>
      </w:pPr>
      <w:r w:rsidRPr="00377C21">
        <w:rPr>
          <w:sz w:val="22"/>
          <w:szCs w:val="22"/>
          <w:highlight w:val="lightGray"/>
        </w:rPr>
        <w:t>3 canetas pré-cheias</w:t>
      </w:r>
    </w:p>
    <w:p w14:paraId="76B227C5" w14:textId="77777777" w:rsidR="00640462" w:rsidRPr="002E704B" w:rsidRDefault="00615769" w:rsidP="008B4234">
      <w:pPr>
        <w:tabs>
          <w:tab w:val="left" w:pos="720"/>
        </w:tabs>
        <w:rPr>
          <w:sz w:val="22"/>
          <w:szCs w:val="22"/>
        </w:rPr>
      </w:pPr>
      <w:r w:rsidRPr="00377C21">
        <w:rPr>
          <w:sz w:val="22"/>
          <w:szCs w:val="22"/>
          <w:highlight w:val="lightGray"/>
        </w:rPr>
        <w:t>4 compressas embebidas em álcool</w:t>
      </w:r>
    </w:p>
    <w:p w14:paraId="2BACA1A3" w14:textId="77777777" w:rsidR="008B4234" w:rsidRPr="008912CF" w:rsidRDefault="008B4234" w:rsidP="008B4234">
      <w:pPr>
        <w:tabs>
          <w:tab w:val="left" w:pos="720"/>
        </w:tabs>
        <w:rPr>
          <w:sz w:val="22"/>
          <w:szCs w:val="22"/>
          <w:highlight w:val="yellow"/>
        </w:rPr>
      </w:pPr>
    </w:p>
    <w:p w14:paraId="18C1A171" w14:textId="77777777" w:rsidR="008B4234" w:rsidRPr="008912CF" w:rsidRDefault="008B4234" w:rsidP="008B4234">
      <w:pPr>
        <w:tabs>
          <w:tab w:val="left" w:pos="720"/>
        </w:tabs>
        <w:rPr>
          <w:color w:val="000000"/>
          <w:sz w:val="22"/>
          <w:szCs w:val="22"/>
          <w:u w:val="single"/>
        </w:rPr>
      </w:pPr>
    </w:p>
    <w:p w14:paraId="575B1A81" w14:textId="77777777" w:rsidR="008B4234" w:rsidRPr="008912CF" w:rsidRDefault="00615769" w:rsidP="008B423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5.</w:t>
      </w:r>
      <w:r w:rsidRPr="008912CF">
        <w:rPr>
          <w:b/>
          <w:sz w:val="22"/>
          <w:szCs w:val="22"/>
        </w:rPr>
        <w:tab/>
        <w:t>MODO E VIA DE ADMINISTRAÇÃO</w:t>
      </w:r>
    </w:p>
    <w:p w14:paraId="5D14B861" w14:textId="77777777" w:rsidR="008B4234" w:rsidRPr="008912CF" w:rsidRDefault="008B4234" w:rsidP="008B4234">
      <w:pPr>
        <w:tabs>
          <w:tab w:val="left" w:pos="720"/>
        </w:tabs>
        <w:rPr>
          <w:sz w:val="22"/>
          <w:szCs w:val="22"/>
        </w:rPr>
      </w:pPr>
    </w:p>
    <w:p w14:paraId="7EF24231" w14:textId="77777777" w:rsidR="008B4234" w:rsidRPr="008912CF" w:rsidRDefault="00615769" w:rsidP="008B4234">
      <w:pPr>
        <w:tabs>
          <w:tab w:val="left" w:pos="720"/>
        </w:tabs>
        <w:rPr>
          <w:sz w:val="22"/>
          <w:szCs w:val="22"/>
        </w:rPr>
      </w:pPr>
      <w:r w:rsidRPr="008912CF">
        <w:rPr>
          <w:sz w:val="22"/>
          <w:szCs w:val="22"/>
        </w:rPr>
        <w:t>Via subcutânea</w:t>
      </w:r>
    </w:p>
    <w:p w14:paraId="2EE253A7" w14:textId="77777777" w:rsidR="008B4234" w:rsidRPr="008912CF" w:rsidRDefault="008B4234" w:rsidP="008B4234">
      <w:pPr>
        <w:tabs>
          <w:tab w:val="left" w:pos="720"/>
        </w:tabs>
        <w:rPr>
          <w:sz w:val="22"/>
          <w:szCs w:val="22"/>
        </w:rPr>
      </w:pPr>
    </w:p>
    <w:p w14:paraId="3BAFFF44" w14:textId="77777777" w:rsidR="008B4234" w:rsidRDefault="00615769" w:rsidP="008B4234">
      <w:pPr>
        <w:tabs>
          <w:tab w:val="left" w:pos="720"/>
        </w:tabs>
        <w:rPr>
          <w:sz w:val="22"/>
          <w:szCs w:val="22"/>
        </w:rPr>
      </w:pPr>
      <w:r w:rsidRPr="008912CF">
        <w:rPr>
          <w:sz w:val="22"/>
          <w:szCs w:val="22"/>
        </w:rPr>
        <w:t>Consultar o folheto informativo antes de utilizar.</w:t>
      </w:r>
    </w:p>
    <w:p w14:paraId="69E0A61F" w14:textId="77777777" w:rsidR="008D4B8F" w:rsidRDefault="008D4B8F" w:rsidP="008B4234">
      <w:pPr>
        <w:tabs>
          <w:tab w:val="left" w:pos="720"/>
        </w:tabs>
        <w:rPr>
          <w:sz w:val="22"/>
          <w:szCs w:val="22"/>
        </w:rPr>
      </w:pPr>
    </w:p>
    <w:p w14:paraId="6A51EBF8" w14:textId="77777777" w:rsidR="008D4B8F" w:rsidRPr="008912CF" w:rsidRDefault="00615769" w:rsidP="008B4234">
      <w:pPr>
        <w:tabs>
          <w:tab w:val="left" w:pos="720"/>
        </w:tabs>
        <w:rPr>
          <w:sz w:val="22"/>
          <w:szCs w:val="22"/>
        </w:rPr>
      </w:pPr>
      <w:r w:rsidRPr="008912CF">
        <w:rPr>
          <w:sz w:val="22"/>
          <w:szCs w:val="22"/>
        </w:rPr>
        <w:t>Apenas para uma única utilização</w:t>
      </w:r>
      <w:r w:rsidR="00554634">
        <w:rPr>
          <w:sz w:val="22"/>
          <w:szCs w:val="22"/>
        </w:rPr>
        <w:t>.</w:t>
      </w:r>
    </w:p>
    <w:p w14:paraId="63D67AD5" w14:textId="77777777" w:rsidR="008B4234" w:rsidRPr="008912CF" w:rsidRDefault="008B4234" w:rsidP="008B4234">
      <w:pPr>
        <w:pStyle w:val="EndnoteText"/>
        <w:tabs>
          <w:tab w:val="clear" w:pos="567"/>
          <w:tab w:val="left" w:pos="720"/>
        </w:tabs>
        <w:rPr>
          <w:szCs w:val="22"/>
        </w:rPr>
      </w:pPr>
    </w:p>
    <w:p w14:paraId="3633333E" w14:textId="77777777" w:rsidR="008B4234" w:rsidRPr="008912CF" w:rsidRDefault="008B4234" w:rsidP="008B4234">
      <w:pPr>
        <w:tabs>
          <w:tab w:val="left" w:pos="720"/>
        </w:tabs>
        <w:rPr>
          <w:sz w:val="22"/>
          <w:szCs w:val="22"/>
        </w:rPr>
      </w:pPr>
    </w:p>
    <w:p w14:paraId="6541A0A5" w14:textId="77777777" w:rsidR="008B4234" w:rsidRPr="008912CF" w:rsidRDefault="00615769" w:rsidP="008B423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6.</w:t>
      </w:r>
      <w:r w:rsidRPr="008912CF">
        <w:rPr>
          <w:b/>
          <w:sz w:val="22"/>
          <w:szCs w:val="22"/>
        </w:rPr>
        <w:tab/>
      </w:r>
      <w:r w:rsidRPr="008912CF">
        <w:rPr>
          <w:b/>
          <w:bCs/>
          <w:iCs/>
          <w:sz w:val="22"/>
          <w:szCs w:val="22"/>
        </w:rPr>
        <w:t>ADVERTÊNCIA ESPECIAL DE QUE O MEDICAMENTO DEVE SER MANTIDO FORA DA VISTA E DO ALCANCE DAS CRIANÇAS</w:t>
      </w:r>
      <w:r w:rsidRPr="008912CF">
        <w:rPr>
          <w:b/>
          <w:iCs/>
          <w:sz w:val="22"/>
          <w:szCs w:val="22"/>
        </w:rPr>
        <w:t xml:space="preserve"> </w:t>
      </w:r>
    </w:p>
    <w:p w14:paraId="21BCD2F4" w14:textId="77777777" w:rsidR="008B4234" w:rsidRPr="008912CF" w:rsidRDefault="008B4234" w:rsidP="008B4234">
      <w:pPr>
        <w:tabs>
          <w:tab w:val="left" w:pos="720"/>
        </w:tabs>
        <w:rPr>
          <w:sz w:val="22"/>
          <w:szCs w:val="22"/>
        </w:rPr>
      </w:pPr>
    </w:p>
    <w:p w14:paraId="63F59B87" w14:textId="77777777" w:rsidR="008B4234" w:rsidRPr="008912CF" w:rsidRDefault="00615769" w:rsidP="008B4234">
      <w:pPr>
        <w:pStyle w:val="EndnoteText"/>
        <w:tabs>
          <w:tab w:val="clear" w:pos="567"/>
          <w:tab w:val="left" w:pos="720"/>
        </w:tabs>
        <w:rPr>
          <w:szCs w:val="22"/>
        </w:rPr>
      </w:pPr>
      <w:r w:rsidRPr="008912CF">
        <w:rPr>
          <w:szCs w:val="22"/>
        </w:rPr>
        <w:t>Manter fora da vista e do alcance das crianças.</w:t>
      </w:r>
    </w:p>
    <w:p w14:paraId="605C6F6B" w14:textId="77777777" w:rsidR="008B4234" w:rsidRPr="008912CF" w:rsidRDefault="008B4234" w:rsidP="008B4234">
      <w:pPr>
        <w:tabs>
          <w:tab w:val="left" w:pos="720"/>
        </w:tabs>
        <w:rPr>
          <w:sz w:val="22"/>
          <w:szCs w:val="22"/>
        </w:rPr>
      </w:pPr>
    </w:p>
    <w:p w14:paraId="552B52DB" w14:textId="77777777" w:rsidR="008B4234" w:rsidRPr="008912CF" w:rsidRDefault="008B4234" w:rsidP="008B4234">
      <w:pPr>
        <w:tabs>
          <w:tab w:val="left" w:pos="720"/>
        </w:tabs>
        <w:rPr>
          <w:sz w:val="22"/>
          <w:szCs w:val="22"/>
        </w:rPr>
      </w:pPr>
    </w:p>
    <w:p w14:paraId="7A16867A" w14:textId="77777777" w:rsidR="008B4234" w:rsidRPr="008912CF" w:rsidRDefault="00615769" w:rsidP="008B423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7.</w:t>
      </w:r>
      <w:r w:rsidRPr="008912CF">
        <w:rPr>
          <w:b/>
          <w:sz w:val="22"/>
          <w:szCs w:val="22"/>
        </w:rPr>
        <w:tab/>
        <w:t>OUTRAS ADVERTÊNCIAS ESPECIAIS, SE NECESSÁRIO</w:t>
      </w:r>
    </w:p>
    <w:p w14:paraId="4D31FE3D" w14:textId="77777777" w:rsidR="008B4234" w:rsidRPr="008912CF" w:rsidRDefault="008B4234" w:rsidP="008B4234">
      <w:pPr>
        <w:tabs>
          <w:tab w:val="left" w:pos="720"/>
        </w:tabs>
        <w:rPr>
          <w:sz w:val="22"/>
          <w:szCs w:val="22"/>
        </w:rPr>
      </w:pPr>
    </w:p>
    <w:p w14:paraId="11F3572F" w14:textId="77777777" w:rsidR="008B4234" w:rsidRPr="008912CF" w:rsidRDefault="008B4234" w:rsidP="008B4234">
      <w:pPr>
        <w:tabs>
          <w:tab w:val="left" w:pos="720"/>
        </w:tabs>
        <w:rPr>
          <w:sz w:val="22"/>
          <w:szCs w:val="22"/>
        </w:rPr>
      </w:pPr>
    </w:p>
    <w:p w14:paraId="3F646491" w14:textId="77777777" w:rsidR="008B4234" w:rsidRPr="008912CF" w:rsidRDefault="00615769" w:rsidP="008B423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8.</w:t>
      </w:r>
      <w:r w:rsidRPr="008912CF">
        <w:rPr>
          <w:b/>
          <w:sz w:val="22"/>
          <w:szCs w:val="22"/>
        </w:rPr>
        <w:tab/>
        <w:t>PRAZO DE VALIDADE</w:t>
      </w:r>
    </w:p>
    <w:p w14:paraId="0972D4E3" w14:textId="77777777" w:rsidR="008B4234" w:rsidRPr="008912CF" w:rsidRDefault="008B4234" w:rsidP="008B4234">
      <w:pPr>
        <w:tabs>
          <w:tab w:val="left" w:pos="720"/>
        </w:tabs>
        <w:rPr>
          <w:sz w:val="22"/>
          <w:szCs w:val="22"/>
        </w:rPr>
      </w:pPr>
    </w:p>
    <w:p w14:paraId="155DC383" w14:textId="77777777" w:rsidR="008B4234" w:rsidRPr="008912CF" w:rsidRDefault="00615769" w:rsidP="008B4234">
      <w:pPr>
        <w:tabs>
          <w:tab w:val="left" w:pos="720"/>
        </w:tabs>
        <w:rPr>
          <w:sz w:val="22"/>
          <w:szCs w:val="22"/>
        </w:rPr>
      </w:pPr>
      <w:r w:rsidRPr="00154C95">
        <w:rPr>
          <w:sz w:val="22"/>
          <w:szCs w:val="22"/>
        </w:rPr>
        <w:t>EXP</w:t>
      </w:r>
      <w:r w:rsidRPr="008912CF">
        <w:rPr>
          <w:sz w:val="22"/>
          <w:szCs w:val="22"/>
        </w:rPr>
        <w:t xml:space="preserve"> </w:t>
      </w:r>
    </w:p>
    <w:p w14:paraId="49223129" w14:textId="77777777" w:rsidR="008B4234" w:rsidRPr="008912CF" w:rsidRDefault="008B4234" w:rsidP="008B4234">
      <w:pPr>
        <w:tabs>
          <w:tab w:val="left" w:pos="720"/>
        </w:tabs>
        <w:rPr>
          <w:sz w:val="22"/>
          <w:szCs w:val="22"/>
        </w:rPr>
      </w:pPr>
    </w:p>
    <w:p w14:paraId="3FC4D10E" w14:textId="77777777" w:rsidR="008B4234" w:rsidRPr="008912CF" w:rsidRDefault="008B4234" w:rsidP="008B4234">
      <w:pPr>
        <w:tabs>
          <w:tab w:val="left" w:pos="720"/>
        </w:tabs>
        <w:rPr>
          <w:sz w:val="22"/>
          <w:szCs w:val="22"/>
        </w:rPr>
      </w:pPr>
    </w:p>
    <w:p w14:paraId="7C94D3C9" w14:textId="77777777" w:rsidR="008B4234" w:rsidRPr="008912CF" w:rsidRDefault="00615769" w:rsidP="008B4234">
      <w:pPr>
        <w:keepNext/>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9.</w:t>
      </w:r>
      <w:r w:rsidRPr="008912CF">
        <w:rPr>
          <w:b/>
          <w:sz w:val="22"/>
          <w:szCs w:val="22"/>
        </w:rPr>
        <w:tab/>
      </w:r>
      <w:r w:rsidRPr="008912CF">
        <w:rPr>
          <w:b/>
          <w:sz w:val="22"/>
          <w:szCs w:val="22"/>
        </w:rPr>
        <w:t>CONDIÇÕES ESPECIAIS DE CONSERVAÇÃO</w:t>
      </w:r>
    </w:p>
    <w:p w14:paraId="748DADB8" w14:textId="77777777" w:rsidR="008B4234" w:rsidRPr="008912CF" w:rsidRDefault="008B4234" w:rsidP="008B4234">
      <w:pPr>
        <w:keepNext/>
        <w:tabs>
          <w:tab w:val="left" w:pos="720"/>
        </w:tabs>
        <w:rPr>
          <w:sz w:val="22"/>
          <w:szCs w:val="22"/>
        </w:rPr>
      </w:pPr>
    </w:p>
    <w:p w14:paraId="7A4E54AA" w14:textId="77777777" w:rsidR="008B4234" w:rsidRPr="008912CF" w:rsidRDefault="00615769" w:rsidP="008B4234">
      <w:pPr>
        <w:keepNext/>
        <w:tabs>
          <w:tab w:val="left" w:pos="720"/>
        </w:tabs>
        <w:rPr>
          <w:sz w:val="22"/>
          <w:szCs w:val="22"/>
        </w:rPr>
      </w:pPr>
      <w:r w:rsidRPr="008912CF">
        <w:rPr>
          <w:sz w:val="22"/>
          <w:szCs w:val="22"/>
        </w:rPr>
        <w:t>Conservar no frigorí</w:t>
      </w:r>
      <w:r w:rsidR="008A32FC">
        <w:rPr>
          <w:sz w:val="22"/>
          <w:szCs w:val="22"/>
        </w:rPr>
        <w:t>fico</w:t>
      </w:r>
      <w:r w:rsidR="00D6014E">
        <w:rPr>
          <w:sz w:val="22"/>
          <w:szCs w:val="22"/>
        </w:rPr>
        <w:t>. Não congelar.</w:t>
      </w:r>
    </w:p>
    <w:p w14:paraId="2A130275" w14:textId="77777777" w:rsidR="008B4234" w:rsidRPr="008912CF" w:rsidRDefault="00615769" w:rsidP="008B4234">
      <w:pPr>
        <w:keepNext/>
        <w:tabs>
          <w:tab w:val="left" w:pos="720"/>
        </w:tabs>
        <w:rPr>
          <w:sz w:val="22"/>
          <w:szCs w:val="22"/>
        </w:rPr>
      </w:pPr>
      <w:r w:rsidRPr="008912CF">
        <w:rPr>
          <w:sz w:val="22"/>
          <w:szCs w:val="22"/>
        </w:rPr>
        <w:t>Consulte o folheto informativo para detalhes de conservação alternativa.</w:t>
      </w:r>
    </w:p>
    <w:p w14:paraId="3652105B" w14:textId="77777777" w:rsidR="008B4234" w:rsidRPr="008912CF" w:rsidRDefault="008B4234" w:rsidP="008B4234">
      <w:pPr>
        <w:keepNext/>
        <w:tabs>
          <w:tab w:val="left" w:pos="720"/>
        </w:tabs>
        <w:rPr>
          <w:sz w:val="22"/>
          <w:szCs w:val="22"/>
        </w:rPr>
      </w:pPr>
    </w:p>
    <w:p w14:paraId="054A4256" w14:textId="77777777" w:rsidR="008B4234" w:rsidRPr="008912CF" w:rsidRDefault="00615769" w:rsidP="008B4234">
      <w:pPr>
        <w:keepNext/>
        <w:tabs>
          <w:tab w:val="left" w:pos="720"/>
        </w:tabs>
        <w:rPr>
          <w:sz w:val="22"/>
          <w:szCs w:val="22"/>
        </w:rPr>
      </w:pPr>
      <w:r w:rsidRPr="008912CF">
        <w:rPr>
          <w:sz w:val="22"/>
          <w:szCs w:val="22"/>
        </w:rPr>
        <w:t>Manter a caneta pré-cheia dentro da embalagem exterior para proteger da luz.</w:t>
      </w:r>
    </w:p>
    <w:p w14:paraId="0CDF9777" w14:textId="77777777" w:rsidR="008B4234" w:rsidRPr="008912CF" w:rsidRDefault="008B4234" w:rsidP="008B4234">
      <w:pPr>
        <w:tabs>
          <w:tab w:val="left" w:pos="720"/>
        </w:tabs>
        <w:rPr>
          <w:sz w:val="22"/>
          <w:szCs w:val="22"/>
        </w:rPr>
      </w:pPr>
    </w:p>
    <w:p w14:paraId="78C268E0" w14:textId="77777777" w:rsidR="008B4234" w:rsidRPr="008912CF" w:rsidRDefault="008B4234" w:rsidP="008B4234">
      <w:pPr>
        <w:tabs>
          <w:tab w:val="left" w:pos="720"/>
        </w:tabs>
        <w:rPr>
          <w:sz w:val="22"/>
          <w:szCs w:val="22"/>
        </w:rPr>
      </w:pPr>
    </w:p>
    <w:p w14:paraId="553E3F80" w14:textId="77777777" w:rsidR="008B4234" w:rsidRPr="008912CF" w:rsidRDefault="00615769" w:rsidP="008B423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bCs/>
          <w:sz w:val="22"/>
          <w:szCs w:val="22"/>
          <w:highlight w:val="lightGray"/>
        </w:rPr>
      </w:pPr>
      <w:r w:rsidRPr="008912CF">
        <w:rPr>
          <w:b/>
          <w:sz w:val="22"/>
          <w:szCs w:val="22"/>
        </w:rPr>
        <w:t>10.</w:t>
      </w:r>
      <w:r w:rsidRPr="008912CF">
        <w:rPr>
          <w:b/>
          <w:sz w:val="22"/>
          <w:szCs w:val="22"/>
        </w:rPr>
        <w:tab/>
      </w:r>
      <w:r w:rsidRPr="008912CF">
        <w:rPr>
          <w:b/>
          <w:bCs/>
          <w:sz w:val="22"/>
          <w:szCs w:val="22"/>
        </w:rPr>
        <w:t xml:space="preserve">CUIDADOS ESPECIAIS QUANTO À ELIMINAÇÃO DO MEDICAMENTO NÃO UTILIZADO OU DOS RESÍDUOS PROVENIENTES DESSE MEDICAMENTO, SE APLICÁVEL </w:t>
      </w:r>
    </w:p>
    <w:p w14:paraId="50170184" w14:textId="77777777" w:rsidR="008B4234" w:rsidRPr="008912CF" w:rsidRDefault="008B4234" w:rsidP="008B4234">
      <w:pPr>
        <w:tabs>
          <w:tab w:val="left" w:pos="720"/>
        </w:tabs>
        <w:rPr>
          <w:sz w:val="22"/>
          <w:szCs w:val="22"/>
        </w:rPr>
      </w:pPr>
    </w:p>
    <w:p w14:paraId="1DA21400" w14:textId="77777777" w:rsidR="008B4234" w:rsidRPr="008912CF" w:rsidRDefault="008B4234" w:rsidP="008B4234">
      <w:pPr>
        <w:tabs>
          <w:tab w:val="left" w:pos="720"/>
        </w:tabs>
        <w:rPr>
          <w:sz w:val="22"/>
          <w:szCs w:val="22"/>
        </w:rPr>
      </w:pPr>
    </w:p>
    <w:p w14:paraId="6DE5FED1" w14:textId="77777777" w:rsidR="008B4234" w:rsidRPr="008912CF" w:rsidRDefault="00615769" w:rsidP="008B423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bCs/>
          <w:sz w:val="22"/>
          <w:szCs w:val="22"/>
        </w:rPr>
      </w:pPr>
      <w:r w:rsidRPr="008912CF">
        <w:rPr>
          <w:b/>
          <w:sz w:val="22"/>
          <w:szCs w:val="22"/>
        </w:rPr>
        <w:t>11.</w:t>
      </w:r>
      <w:r w:rsidRPr="008912CF">
        <w:rPr>
          <w:b/>
          <w:sz w:val="22"/>
          <w:szCs w:val="22"/>
        </w:rPr>
        <w:tab/>
      </w:r>
      <w:r w:rsidRPr="008912CF">
        <w:rPr>
          <w:b/>
          <w:bCs/>
          <w:sz w:val="22"/>
          <w:szCs w:val="22"/>
        </w:rPr>
        <w:t>NOME E ENDEREÇO DO TITULAR DA AUTORIZAÇÃO DE INTRODUÇÃO NO MERCADO</w:t>
      </w:r>
    </w:p>
    <w:p w14:paraId="2B6D8852" w14:textId="77777777" w:rsidR="008B4234" w:rsidRPr="008912CF" w:rsidRDefault="008B4234" w:rsidP="008B4234">
      <w:pPr>
        <w:tabs>
          <w:tab w:val="left" w:pos="720"/>
        </w:tabs>
        <w:rPr>
          <w:sz w:val="22"/>
          <w:szCs w:val="22"/>
        </w:rPr>
      </w:pPr>
    </w:p>
    <w:p w14:paraId="241376F3" w14:textId="77777777" w:rsidR="007C6A44" w:rsidRPr="008D6D3A" w:rsidRDefault="00615769" w:rsidP="007C6A44">
      <w:pPr>
        <w:tabs>
          <w:tab w:val="left" w:pos="720"/>
        </w:tabs>
        <w:rPr>
          <w:sz w:val="22"/>
          <w:szCs w:val="22"/>
          <w:lang w:val="de-CH"/>
        </w:rPr>
      </w:pPr>
      <w:r w:rsidRPr="008D6D3A">
        <w:rPr>
          <w:sz w:val="22"/>
          <w:szCs w:val="22"/>
          <w:lang w:val="de-CH"/>
        </w:rPr>
        <w:t>AbbVie Deutschland GmbH &amp; Co. KG</w:t>
      </w:r>
    </w:p>
    <w:p w14:paraId="19C714DB" w14:textId="77777777" w:rsidR="007C6A44" w:rsidRPr="008D6D3A" w:rsidRDefault="00615769" w:rsidP="007C6A44">
      <w:pPr>
        <w:tabs>
          <w:tab w:val="left" w:pos="720"/>
        </w:tabs>
        <w:rPr>
          <w:sz w:val="22"/>
          <w:szCs w:val="22"/>
          <w:lang w:val="de-CH"/>
        </w:rPr>
      </w:pPr>
      <w:r w:rsidRPr="008D6D3A">
        <w:rPr>
          <w:sz w:val="22"/>
          <w:szCs w:val="22"/>
          <w:lang w:val="de-CH"/>
        </w:rPr>
        <w:t>Knollstrasse</w:t>
      </w:r>
    </w:p>
    <w:p w14:paraId="0577E177" w14:textId="77777777" w:rsidR="007C6A44" w:rsidRPr="007C6A44" w:rsidRDefault="00615769" w:rsidP="007C6A44">
      <w:pPr>
        <w:tabs>
          <w:tab w:val="left" w:pos="720"/>
        </w:tabs>
        <w:rPr>
          <w:sz w:val="22"/>
          <w:szCs w:val="22"/>
        </w:rPr>
      </w:pPr>
      <w:r w:rsidRPr="007C6A44">
        <w:rPr>
          <w:sz w:val="22"/>
          <w:szCs w:val="22"/>
        </w:rPr>
        <w:t>67061 Ludwigshafen</w:t>
      </w:r>
    </w:p>
    <w:p w14:paraId="631145C8" w14:textId="77777777" w:rsidR="008B4234" w:rsidRPr="008912CF" w:rsidRDefault="00615769" w:rsidP="008B4234">
      <w:pPr>
        <w:rPr>
          <w:sz w:val="22"/>
          <w:szCs w:val="22"/>
        </w:rPr>
      </w:pPr>
      <w:r w:rsidRPr="007C6A44">
        <w:rPr>
          <w:sz w:val="22"/>
          <w:szCs w:val="22"/>
        </w:rPr>
        <w:t>Alemanha</w:t>
      </w:r>
    </w:p>
    <w:p w14:paraId="28AEE24C" w14:textId="77777777" w:rsidR="008B4234" w:rsidRPr="008912CF" w:rsidRDefault="008B4234" w:rsidP="008B4234">
      <w:pPr>
        <w:tabs>
          <w:tab w:val="left" w:pos="720"/>
        </w:tabs>
        <w:rPr>
          <w:sz w:val="22"/>
          <w:szCs w:val="22"/>
        </w:rPr>
      </w:pPr>
    </w:p>
    <w:p w14:paraId="582C52E0" w14:textId="77777777" w:rsidR="008B4234" w:rsidRPr="008912CF" w:rsidRDefault="008B4234" w:rsidP="008B4234">
      <w:pPr>
        <w:tabs>
          <w:tab w:val="left" w:pos="720"/>
        </w:tabs>
        <w:rPr>
          <w:sz w:val="22"/>
          <w:szCs w:val="22"/>
        </w:rPr>
      </w:pPr>
    </w:p>
    <w:p w14:paraId="37745057" w14:textId="77777777" w:rsidR="008B4234" w:rsidRPr="008912CF" w:rsidRDefault="00615769" w:rsidP="008B423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12.</w:t>
      </w:r>
      <w:r w:rsidRPr="008912CF">
        <w:rPr>
          <w:b/>
          <w:sz w:val="22"/>
          <w:szCs w:val="22"/>
        </w:rPr>
        <w:tab/>
        <w:t xml:space="preserve">NÚMERO DA AUTORIZAÇÃO DE INTRODUÇÃO NO MERCADO </w:t>
      </w:r>
    </w:p>
    <w:p w14:paraId="043AE1D7" w14:textId="77777777" w:rsidR="008B4234" w:rsidRPr="008912CF" w:rsidRDefault="008B4234" w:rsidP="008B4234">
      <w:pPr>
        <w:tabs>
          <w:tab w:val="left" w:pos="720"/>
        </w:tabs>
        <w:rPr>
          <w:sz w:val="22"/>
          <w:szCs w:val="22"/>
        </w:rPr>
      </w:pPr>
    </w:p>
    <w:p w14:paraId="61F6AC7A" w14:textId="77777777" w:rsidR="008B4234" w:rsidRPr="008912CF" w:rsidRDefault="00615769" w:rsidP="008B4234">
      <w:pPr>
        <w:pStyle w:val="EndnoteText"/>
        <w:tabs>
          <w:tab w:val="clear" w:pos="567"/>
        </w:tabs>
        <w:rPr>
          <w:szCs w:val="22"/>
        </w:rPr>
      </w:pPr>
      <w:r>
        <w:rPr>
          <w:szCs w:val="22"/>
        </w:rPr>
        <w:t>EU/1/03/256/</w:t>
      </w:r>
      <w:r w:rsidR="008A32FC">
        <w:rPr>
          <w:szCs w:val="22"/>
        </w:rPr>
        <w:t>021</w:t>
      </w:r>
    </w:p>
    <w:p w14:paraId="4F43A713" w14:textId="77777777" w:rsidR="00640462" w:rsidRPr="002B6CA3" w:rsidRDefault="00615769" w:rsidP="00640462">
      <w:pPr>
        <w:rPr>
          <w:sz w:val="22"/>
          <w:szCs w:val="22"/>
        </w:rPr>
      </w:pPr>
      <w:r w:rsidRPr="002B6CA3">
        <w:rPr>
          <w:sz w:val="22"/>
          <w:szCs w:val="22"/>
          <w:highlight w:val="lightGray"/>
        </w:rPr>
        <w:t>EU/1/03/256/027</w:t>
      </w:r>
    </w:p>
    <w:p w14:paraId="716D6D2D" w14:textId="77777777" w:rsidR="008B4234" w:rsidRPr="008912CF" w:rsidRDefault="008B4234" w:rsidP="008B4234">
      <w:pPr>
        <w:tabs>
          <w:tab w:val="left" w:pos="720"/>
        </w:tabs>
        <w:rPr>
          <w:sz w:val="22"/>
          <w:szCs w:val="22"/>
        </w:rPr>
      </w:pPr>
    </w:p>
    <w:p w14:paraId="0E02390F" w14:textId="77777777" w:rsidR="008B4234" w:rsidRPr="008912CF" w:rsidRDefault="008B4234" w:rsidP="008B4234">
      <w:pPr>
        <w:tabs>
          <w:tab w:val="left" w:pos="720"/>
        </w:tabs>
        <w:rPr>
          <w:sz w:val="22"/>
          <w:szCs w:val="22"/>
        </w:rPr>
      </w:pPr>
    </w:p>
    <w:p w14:paraId="0653A289" w14:textId="77777777" w:rsidR="008B4234" w:rsidRPr="008912CF" w:rsidRDefault="00615769" w:rsidP="008B423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13.</w:t>
      </w:r>
      <w:r w:rsidRPr="008912CF">
        <w:rPr>
          <w:b/>
          <w:sz w:val="22"/>
          <w:szCs w:val="22"/>
        </w:rPr>
        <w:tab/>
        <w:t xml:space="preserve">NÚMERO DO LOTE </w:t>
      </w:r>
    </w:p>
    <w:p w14:paraId="518F0A15" w14:textId="77777777" w:rsidR="008B4234" w:rsidRPr="008912CF" w:rsidRDefault="008B4234" w:rsidP="008B4234">
      <w:pPr>
        <w:tabs>
          <w:tab w:val="left" w:pos="720"/>
        </w:tabs>
        <w:rPr>
          <w:sz w:val="22"/>
          <w:szCs w:val="22"/>
        </w:rPr>
      </w:pPr>
    </w:p>
    <w:p w14:paraId="778296D3" w14:textId="77777777" w:rsidR="008B4234" w:rsidRPr="008912CF" w:rsidRDefault="00615769" w:rsidP="008B4234">
      <w:pPr>
        <w:tabs>
          <w:tab w:val="left" w:pos="720"/>
        </w:tabs>
        <w:rPr>
          <w:sz w:val="22"/>
          <w:szCs w:val="22"/>
        </w:rPr>
      </w:pPr>
      <w:r>
        <w:rPr>
          <w:sz w:val="22"/>
          <w:szCs w:val="22"/>
        </w:rPr>
        <w:t>Lot</w:t>
      </w:r>
      <w:r w:rsidR="0023344C">
        <w:rPr>
          <w:sz w:val="22"/>
          <w:szCs w:val="22"/>
        </w:rPr>
        <w:t>e</w:t>
      </w:r>
    </w:p>
    <w:p w14:paraId="67E11CA1" w14:textId="77777777" w:rsidR="008B4234" w:rsidRPr="008912CF" w:rsidRDefault="008B4234" w:rsidP="008B4234">
      <w:pPr>
        <w:tabs>
          <w:tab w:val="left" w:pos="720"/>
        </w:tabs>
        <w:rPr>
          <w:sz w:val="22"/>
          <w:szCs w:val="22"/>
        </w:rPr>
      </w:pPr>
    </w:p>
    <w:p w14:paraId="42142F9E" w14:textId="77777777" w:rsidR="008B4234" w:rsidRPr="008912CF" w:rsidRDefault="008B4234" w:rsidP="008B4234">
      <w:pPr>
        <w:tabs>
          <w:tab w:val="left" w:pos="720"/>
        </w:tabs>
        <w:rPr>
          <w:sz w:val="22"/>
          <w:szCs w:val="22"/>
        </w:rPr>
      </w:pPr>
    </w:p>
    <w:p w14:paraId="1B73A627" w14:textId="77777777" w:rsidR="008B4234" w:rsidRPr="008912CF" w:rsidRDefault="00615769" w:rsidP="008B423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highlight w:val="lightGray"/>
        </w:rPr>
      </w:pPr>
      <w:r w:rsidRPr="008912CF">
        <w:rPr>
          <w:b/>
          <w:sz w:val="22"/>
          <w:szCs w:val="22"/>
        </w:rPr>
        <w:t>14.</w:t>
      </w:r>
      <w:r w:rsidRPr="008912CF">
        <w:rPr>
          <w:b/>
          <w:sz w:val="22"/>
          <w:szCs w:val="22"/>
        </w:rPr>
        <w:tab/>
        <w:t>CLASSIFICAÇÃO QUANTO À DISPENSA AO PÚBLICO</w:t>
      </w:r>
    </w:p>
    <w:p w14:paraId="3EB9F345" w14:textId="77777777" w:rsidR="008B4234" w:rsidRPr="008912CF" w:rsidRDefault="008B4234" w:rsidP="008B4234">
      <w:pPr>
        <w:tabs>
          <w:tab w:val="left" w:pos="720"/>
        </w:tabs>
        <w:rPr>
          <w:sz w:val="22"/>
          <w:szCs w:val="22"/>
        </w:rPr>
      </w:pPr>
    </w:p>
    <w:p w14:paraId="7EB67461" w14:textId="77777777" w:rsidR="008B4234" w:rsidRPr="008912CF" w:rsidRDefault="008B4234" w:rsidP="008B4234">
      <w:pPr>
        <w:tabs>
          <w:tab w:val="left" w:pos="720"/>
        </w:tabs>
        <w:rPr>
          <w:sz w:val="22"/>
          <w:szCs w:val="22"/>
        </w:rPr>
      </w:pPr>
    </w:p>
    <w:p w14:paraId="389BB708" w14:textId="77777777" w:rsidR="008B4234" w:rsidRPr="008912CF" w:rsidRDefault="00615769" w:rsidP="008B423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u w:val="single"/>
        </w:rPr>
      </w:pPr>
      <w:r w:rsidRPr="008912CF">
        <w:rPr>
          <w:b/>
          <w:sz w:val="22"/>
          <w:szCs w:val="22"/>
        </w:rPr>
        <w:t>15.</w:t>
      </w:r>
      <w:r w:rsidRPr="008912CF">
        <w:rPr>
          <w:b/>
          <w:sz w:val="22"/>
          <w:szCs w:val="22"/>
        </w:rPr>
        <w:tab/>
        <w:t>INSTRUÇÕES DE UTILIZAÇÃO</w:t>
      </w:r>
    </w:p>
    <w:p w14:paraId="48C9893E" w14:textId="77777777" w:rsidR="008B4234" w:rsidRPr="00431557" w:rsidRDefault="008B4234" w:rsidP="008B4234">
      <w:pPr>
        <w:shd w:val="clear" w:color="auto" w:fill="FFFFFF"/>
        <w:tabs>
          <w:tab w:val="left" w:pos="720"/>
        </w:tabs>
        <w:rPr>
          <w:sz w:val="22"/>
          <w:szCs w:val="22"/>
        </w:rPr>
      </w:pPr>
    </w:p>
    <w:p w14:paraId="76A2F978" w14:textId="77777777" w:rsidR="008B4234" w:rsidRPr="00431557" w:rsidRDefault="008B4234" w:rsidP="008B4234">
      <w:pPr>
        <w:shd w:val="clear" w:color="auto" w:fill="FFFFFF"/>
        <w:tabs>
          <w:tab w:val="left" w:pos="720"/>
        </w:tabs>
        <w:rPr>
          <w:sz w:val="22"/>
          <w:szCs w:val="22"/>
        </w:rPr>
      </w:pPr>
    </w:p>
    <w:p w14:paraId="65496AA6" w14:textId="77777777" w:rsidR="008B4234" w:rsidRPr="008912CF" w:rsidRDefault="00615769" w:rsidP="008B423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u w:val="single"/>
        </w:rPr>
      </w:pPr>
      <w:r w:rsidRPr="008912CF">
        <w:rPr>
          <w:b/>
          <w:sz w:val="22"/>
          <w:szCs w:val="22"/>
        </w:rPr>
        <w:t>16.</w:t>
      </w:r>
      <w:r w:rsidRPr="008912CF">
        <w:rPr>
          <w:b/>
          <w:sz w:val="22"/>
          <w:szCs w:val="22"/>
        </w:rPr>
        <w:tab/>
      </w:r>
      <w:r w:rsidRPr="008912CF">
        <w:rPr>
          <w:b/>
          <w:sz w:val="22"/>
          <w:szCs w:val="22"/>
        </w:rPr>
        <w:t>INFORMAÇÃO EM BRAILLE</w:t>
      </w:r>
    </w:p>
    <w:p w14:paraId="4C8D5E76" w14:textId="77777777" w:rsidR="008B4234" w:rsidRPr="00431557" w:rsidRDefault="008B4234" w:rsidP="008B4234">
      <w:pPr>
        <w:shd w:val="clear" w:color="auto" w:fill="FFFFFF"/>
        <w:tabs>
          <w:tab w:val="left" w:pos="720"/>
        </w:tabs>
        <w:rPr>
          <w:sz w:val="22"/>
          <w:szCs w:val="22"/>
        </w:rPr>
      </w:pPr>
    </w:p>
    <w:p w14:paraId="666DADE1" w14:textId="77777777" w:rsidR="008B4234" w:rsidRDefault="00615769" w:rsidP="008B4234">
      <w:pPr>
        <w:shd w:val="clear" w:color="auto" w:fill="FFFFFF"/>
        <w:tabs>
          <w:tab w:val="left" w:pos="720"/>
        </w:tabs>
        <w:rPr>
          <w:bCs/>
          <w:sz w:val="22"/>
          <w:szCs w:val="22"/>
        </w:rPr>
      </w:pPr>
      <w:r>
        <w:rPr>
          <w:bCs/>
          <w:sz w:val="22"/>
          <w:szCs w:val="22"/>
        </w:rPr>
        <w:t>Humira 8</w:t>
      </w:r>
      <w:r w:rsidRPr="008912CF">
        <w:rPr>
          <w:bCs/>
          <w:sz w:val="22"/>
          <w:szCs w:val="22"/>
        </w:rPr>
        <w:t>0 mg</w:t>
      </w:r>
    </w:p>
    <w:p w14:paraId="18B488DA" w14:textId="77777777" w:rsidR="008B4234" w:rsidRDefault="008B4234" w:rsidP="008B4234">
      <w:pPr>
        <w:shd w:val="clear" w:color="auto" w:fill="FFFFFF"/>
        <w:tabs>
          <w:tab w:val="left" w:pos="720"/>
        </w:tabs>
        <w:rPr>
          <w:bCs/>
          <w:sz w:val="22"/>
          <w:szCs w:val="22"/>
        </w:rPr>
      </w:pPr>
    </w:p>
    <w:p w14:paraId="60F2CD30" w14:textId="77777777" w:rsidR="008B4234" w:rsidRPr="00431557" w:rsidRDefault="008B4234" w:rsidP="008B4234">
      <w:pPr>
        <w:pStyle w:val="Heading3"/>
        <w:keepNext w:val="0"/>
        <w:spacing w:before="0" w:after="0" w:line="240" w:lineRule="auto"/>
        <w:rPr>
          <w:b w:val="0"/>
          <w:sz w:val="22"/>
          <w:szCs w:val="22"/>
          <w:lang w:val="pt-PT"/>
        </w:rPr>
      </w:pPr>
    </w:p>
    <w:p w14:paraId="5DB69AE7" w14:textId="77777777" w:rsidR="008B4234" w:rsidRPr="00C25DF2" w:rsidRDefault="00615769" w:rsidP="008B4234">
      <w:pPr>
        <w:pBdr>
          <w:top w:val="single" w:sz="4" w:space="1" w:color="auto"/>
          <w:left w:val="single" w:sz="4" w:space="4" w:color="auto"/>
          <w:bottom w:val="single" w:sz="4" w:space="1" w:color="auto"/>
          <w:right w:val="single" w:sz="4" w:space="4" w:color="auto"/>
        </w:pBdr>
        <w:tabs>
          <w:tab w:val="left" w:pos="562"/>
        </w:tabs>
        <w:suppressAutoHyphens/>
        <w:rPr>
          <w:b/>
          <w:bCs/>
          <w:caps/>
          <w:sz w:val="22"/>
          <w:szCs w:val="20"/>
        </w:rPr>
      </w:pPr>
      <w:r w:rsidRPr="00C25BAB">
        <w:rPr>
          <w:b/>
          <w:bCs/>
          <w:caps/>
          <w:sz w:val="22"/>
          <w:szCs w:val="20"/>
        </w:rPr>
        <w:t xml:space="preserve">17. </w:t>
      </w:r>
      <w:r w:rsidRPr="00C25BAB">
        <w:rPr>
          <w:b/>
          <w:bCs/>
          <w:caps/>
          <w:sz w:val="22"/>
          <w:szCs w:val="20"/>
        </w:rPr>
        <w:tab/>
      </w:r>
      <w:r w:rsidRPr="00C25DF2">
        <w:rPr>
          <w:b/>
          <w:bCs/>
          <w:caps/>
          <w:sz w:val="22"/>
          <w:szCs w:val="20"/>
        </w:rPr>
        <w:t xml:space="preserve">IDENTIFICADOR ÚNICO – CÓDIGO DE BARRAS 2D </w:t>
      </w:r>
    </w:p>
    <w:p w14:paraId="41618269" w14:textId="77777777" w:rsidR="008B4234" w:rsidRPr="00C25DF2" w:rsidRDefault="008B4234" w:rsidP="008B4234">
      <w:pPr>
        <w:tabs>
          <w:tab w:val="left" w:pos="562"/>
        </w:tabs>
        <w:suppressAutoHyphens/>
        <w:rPr>
          <w:sz w:val="22"/>
        </w:rPr>
      </w:pPr>
    </w:p>
    <w:p w14:paraId="54D4BE99" w14:textId="77777777" w:rsidR="008B4234" w:rsidRPr="00C25DF2" w:rsidRDefault="00615769" w:rsidP="008B4234">
      <w:pPr>
        <w:tabs>
          <w:tab w:val="left" w:pos="562"/>
        </w:tabs>
        <w:suppressAutoHyphens/>
        <w:rPr>
          <w:sz w:val="22"/>
          <w:shd w:val="clear" w:color="auto" w:fill="BFBFBF"/>
        </w:rPr>
      </w:pPr>
      <w:r w:rsidRPr="00C25DF2">
        <w:rPr>
          <w:sz w:val="22"/>
          <w:shd w:val="clear" w:color="auto" w:fill="BFBFBF"/>
        </w:rPr>
        <w:t xml:space="preserve">Código de barras 2D com identificador </w:t>
      </w:r>
      <w:r>
        <w:rPr>
          <w:sz w:val="22"/>
          <w:shd w:val="clear" w:color="auto" w:fill="BFBFBF"/>
        </w:rPr>
        <w:t>único incluído.</w:t>
      </w:r>
    </w:p>
    <w:p w14:paraId="00A0E63A" w14:textId="77777777" w:rsidR="008B4234" w:rsidRPr="00C25DF2" w:rsidRDefault="008B4234" w:rsidP="008B4234">
      <w:pPr>
        <w:tabs>
          <w:tab w:val="left" w:pos="562"/>
        </w:tabs>
        <w:suppressAutoHyphens/>
        <w:rPr>
          <w:sz w:val="22"/>
          <w:shd w:val="clear" w:color="auto" w:fill="BFBFBF"/>
        </w:rPr>
      </w:pPr>
    </w:p>
    <w:p w14:paraId="37ACEF1A" w14:textId="77777777" w:rsidR="008B4234" w:rsidRPr="00C25DF2" w:rsidRDefault="008B4234" w:rsidP="008B4234">
      <w:pPr>
        <w:tabs>
          <w:tab w:val="left" w:pos="562"/>
        </w:tabs>
        <w:suppressAutoHyphens/>
        <w:rPr>
          <w:sz w:val="22"/>
          <w:shd w:val="clear" w:color="auto" w:fill="BFBFBF"/>
        </w:rPr>
      </w:pPr>
    </w:p>
    <w:p w14:paraId="005D7C7C" w14:textId="77777777" w:rsidR="008B4234" w:rsidRPr="00C25DF2" w:rsidRDefault="00615769" w:rsidP="008B4234">
      <w:pPr>
        <w:keepNext/>
        <w:pBdr>
          <w:top w:val="single" w:sz="4" w:space="1" w:color="auto"/>
          <w:left w:val="single" w:sz="4" w:space="4" w:color="auto"/>
          <w:bottom w:val="single" w:sz="4" w:space="1" w:color="auto"/>
          <w:right w:val="single" w:sz="4" w:space="4" w:color="auto"/>
        </w:pBdr>
        <w:tabs>
          <w:tab w:val="left" w:pos="562"/>
        </w:tabs>
        <w:suppressAutoHyphens/>
        <w:rPr>
          <w:rFonts w:ascii="Times New Roman Bold" w:hAnsi="Times New Roman Bold"/>
          <w:caps/>
          <w:sz w:val="22"/>
          <w:szCs w:val="20"/>
        </w:rPr>
      </w:pPr>
      <w:r w:rsidRPr="00C25DF2">
        <w:rPr>
          <w:b/>
          <w:bCs/>
          <w:caps/>
          <w:sz w:val="22"/>
          <w:szCs w:val="20"/>
        </w:rPr>
        <w:t xml:space="preserve">18. </w:t>
      </w:r>
      <w:r w:rsidRPr="00C25DF2">
        <w:rPr>
          <w:b/>
          <w:bCs/>
          <w:caps/>
          <w:sz w:val="22"/>
          <w:szCs w:val="20"/>
        </w:rPr>
        <w:tab/>
        <w:t>IDENTIFICADOR ÚNICO – DADOS PARA LEITURA HUMA</w:t>
      </w:r>
      <w:r>
        <w:rPr>
          <w:b/>
          <w:bCs/>
          <w:caps/>
          <w:sz w:val="22"/>
          <w:szCs w:val="20"/>
        </w:rPr>
        <w:t>NA</w:t>
      </w:r>
    </w:p>
    <w:p w14:paraId="1D7D5D4B" w14:textId="77777777" w:rsidR="008B4234" w:rsidRPr="00C25DF2" w:rsidRDefault="008B4234" w:rsidP="008B4234">
      <w:pPr>
        <w:keepNext/>
        <w:tabs>
          <w:tab w:val="left" w:pos="562"/>
        </w:tabs>
        <w:suppressAutoHyphens/>
        <w:ind w:left="540" w:hanging="540"/>
        <w:rPr>
          <w:sz w:val="22"/>
        </w:rPr>
      </w:pPr>
    </w:p>
    <w:p w14:paraId="6D70BB38" w14:textId="77777777" w:rsidR="008B4234" w:rsidRPr="00FA69E8" w:rsidRDefault="00615769" w:rsidP="008B4234">
      <w:pPr>
        <w:keepNext/>
        <w:tabs>
          <w:tab w:val="left" w:pos="562"/>
        </w:tabs>
        <w:suppressAutoHyphens/>
        <w:ind w:left="540" w:hanging="540"/>
        <w:rPr>
          <w:sz w:val="22"/>
        </w:rPr>
      </w:pPr>
      <w:r w:rsidRPr="00FA69E8">
        <w:rPr>
          <w:sz w:val="22"/>
        </w:rPr>
        <w:t>PC</w:t>
      </w:r>
    </w:p>
    <w:p w14:paraId="18CB4BAE" w14:textId="77777777" w:rsidR="008B4234" w:rsidRPr="00FA69E8" w:rsidRDefault="00615769" w:rsidP="008B4234">
      <w:pPr>
        <w:keepNext/>
        <w:tabs>
          <w:tab w:val="left" w:pos="562"/>
        </w:tabs>
        <w:suppressAutoHyphens/>
        <w:ind w:left="540" w:hanging="540"/>
        <w:rPr>
          <w:sz w:val="22"/>
        </w:rPr>
      </w:pPr>
      <w:r w:rsidRPr="00FA69E8">
        <w:rPr>
          <w:sz w:val="22"/>
        </w:rPr>
        <w:t>SN</w:t>
      </w:r>
    </w:p>
    <w:p w14:paraId="4A232143" w14:textId="77777777" w:rsidR="008B4234" w:rsidRPr="00FA69E8" w:rsidRDefault="00615769" w:rsidP="008B4234">
      <w:pPr>
        <w:keepNext/>
        <w:tabs>
          <w:tab w:val="left" w:pos="562"/>
        </w:tabs>
        <w:suppressAutoHyphens/>
        <w:ind w:left="540" w:hanging="540"/>
        <w:rPr>
          <w:sz w:val="22"/>
        </w:rPr>
      </w:pPr>
      <w:r w:rsidRPr="00BB4793">
        <w:rPr>
          <w:sz w:val="22"/>
          <w:highlight w:val="lightGray"/>
        </w:rPr>
        <w:t>NN</w:t>
      </w:r>
    </w:p>
    <w:p w14:paraId="40BFD305" w14:textId="77777777" w:rsidR="008B4234" w:rsidRPr="008912CF" w:rsidRDefault="00615769" w:rsidP="008B4234">
      <w:pPr>
        <w:shd w:val="clear" w:color="auto" w:fill="FFFFFF"/>
        <w:tabs>
          <w:tab w:val="left" w:pos="720"/>
        </w:tabs>
        <w:rPr>
          <w:b/>
          <w:sz w:val="22"/>
          <w:szCs w:val="22"/>
          <w:u w:val="single"/>
        </w:rPr>
      </w:pPr>
      <w:r w:rsidRPr="008912CF">
        <w:rPr>
          <w:b/>
          <w:sz w:val="22"/>
          <w:szCs w:val="22"/>
          <w:u w:val="single"/>
        </w:rPr>
        <w:br w:type="page"/>
      </w:r>
    </w:p>
    <w:p w14:paraId="1A0F2BD4" w14:textId="77777777" w:rsidR="008B4234" w:rsidRPr="008912CF" w:rsidRDefault="00615769" w:rsidP="008B4234">
      <w:pPr>
        <w:pBdr>
          <w:top w:val="single" w:sz="4" w:space="1" w:color="auto"/>
          <w:left w:val="single" w:sz="4" w:space="4" w:color="auto"/>
          <w:bottom w:val="single" w:sz="4" w:space="1" w:color="auto"/>
          <w:right w:val="single" w:sz="4" w:space="4" w:color="auto"/>
        </w:pBdr>
        <w:tabs>
          <w:tab w:val="left" w:pos="567"/>
        </w:tabs>
        <w:rPr>
          <w:b/>
          <w:sz w:val="22"/>
          <w:szCs w:val="22"/>
        </w:rPr>
      </w:pPr>
      <w:r w:rsidRPr="008912CF">
        <w:rPr>
          <w:b/>
          <w:sz w:val="22"/>
          <w:szCs w:val="22"/>
        </w:rPr>
        <w:t>INDICAÇÕES MÍNIMAS A INCLUIR NAS EMBALAGENS "BLISTER" OU FITAS CONTENTORAS</w:t>
      </w:r>
    </w:p>
    <w:p w14:paraId="531122A8" w14:textId="77777777" w:rsidR="008B4234" w:rsidRPr="008912CF" w:rsidRDefault="008B4234" w:rsidP="008B4234">
      <w:pPr>
        <w:pBdr>
          <w:top w:val="single" w:sz="4" w:space="1" w:color="auto"/>
          <w:left w:val="single" w:sz="4" w:space="4" w:color="auto"/>
          <w:bottom w:val="single" w:sz="4" w:space="1" w:color="auto"/>
          <w:right w:val="single" w:sz="4" w:space="4" w:color="auto"/>
        </w:pBdr>
        <w:tabs>
          <w:tab w:val="left" w:pos="567"/>
        </w:tabs>
        <w:rPr>
          <w:b/>
          <w:sz w:val="22"/>
          <w:szCs w:val="22"/>
        </w:rPr>
      </w:pPr>
    </w:p>
    <w:p w14:paraId="536B5B2D" w14:textId="77777777" w:rsidR="008B4234" w:rsidRPr="008912CF" w:rsidRDefault="00615769" w:rsidP="008B4234">
      <w:pPr>
        <w:pStyle w:val="Heading3"/>
        <w:keepNext w:val="0"/>
        <w:pBdr>
          <w:top w:val="single" w:sz="4" w:space="1" w:color="auto"/>
          <w:left w:val="single" w:sz="4" w:space="4" w:color="auto"/>
          <w:bottom w:val="single" w:sz="4" w:space="1" w:color="auto"/>
          <w:right w:val="single" w:sz="4" w:space="4" w:color="auto"/>
        </w:pBdr>
        <w:spacing w:before="0" w:after="0" w:line="240" w:lineRule="auto"/>
        <w:rPr>
          <w:caps/>
          <w:sz w:val="22"/>
          <w:szCs w:val="22"/>
          <w:highlight w:val="lightGray"/>
          <w:lang w:val="pt-PT"/>
        </w:rPr>
      </w:pPr>
      <w:r w:rsidRPr="008912CF">
        <w:rPr>
          <w:caps/>
          <w:sz w:val="22"/>
          <w:szCs w:val="22"/>
          <w:lang w:val="pt-PT"/>
        </w:rPr>
        <w:t>Texto para o verso do tabuleiro</w:t>
      </w:r>
    </w:p>
    <w:p w14:paraId="5895A683" w14:textId="77777777" w:rsidR="008B4234" w:rsidRPr="008912CF" w:rsidRDefault="008B4234" w:rsidP="008B4234">
      <w:pPr>
        <w:tabs>
          <w:tab w:val="left" w:pos="720"/>
        </w:tabs>
        <w:rPr>
          <w:caps/>
          <w:sz w:val="22"/>
          <w:szCs w:val="22"/>
        </w:rPr>
      </w:pPr>
    </w:p>
    <w:p w14:paraId="0021CF47" w14:textId="77777777" w:rsidR="008B4234" w:rsidRPr="008912CF" w:rsidRDefault="008B4234" w:rsidP="008B4234">
      <w:pPr>
        <w:tabs>
          <w:tab w:val="left" w:pos="720"/>
        </w:tabs>
        <w:rPr>
          <w:sz w:val="22"/>
          <w:szCs w:val="22"/>
        </w:rPr>
      </w:pPr>
    </w:p>
    <w:p w14:paraId="2C19888C" w14:textId="77777777" w:rsidR="008B4234" w:rsidRPr="008912CF" w:rsidRDefault="00615769" w:rsidP="008B423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 w:val="22"/>
          <w:szCs w:val="22"/>
        </w:rPr>
      </w:pPr>
      <w:r w:rsidRPr="008912CF">
        <w:rPr>
          <w:b/>
          <w:sz w:val="22"/>
          <w:szCs w:val="22"/>
        </w:rPr>
        <w:t>1.</w:t>
      </w:r>
      <w:r w:rsidRPr="008912CF">
        <w:rPr>
          <w:b/>
          <w:sz w:val="22"/>
          <w:szCs w:val="22"/>
        </w:rPr>
        <w:tab/>
        <w:t>NOME DO MEDICAMENTO</w:t>
      </w:r>
    </w:p>
    <w:p w14:paraId="6A982DB6" w14:textId="77777777" w:rsidR="008B4234" w:rsidRPr="008912CF" w:rsidRDefault="008B4234" w:rsidP="008B4234">
      <w:pPr>
        <w:tabs>
          <w:tab w:val="left" w:pos="720"/>
        </w:tabs>
        <w:ind w:left="567" w:hanging="567"/>
        <w:rPr>
          <w:sz w:val="22"/>
          <w:szCs w:val="22"/>
        </w:rPr>
      </w:pPr>
    </w:p>
    <w:p w14:paraId="6B1E98F3" w14:textId="77777777" w:rsidR="008B4234" w:rsidRPr="008912CF" w:rsidRDefault="00615769" w:rsidP="008B4234">
      <w:pPr>
        <w:tabs>
          <w:tab w:val="left" w:pos="720"/>
        </w:tabs>
        <w:ind w:left="567" w:hanging="567"/>
        <w:rPr>
          <w:sz w:val="22"/>
          <w:szCs w:val="22"/>
        </w:rPr>
      </w:pPr>
      <w:r>
        <w:rPr>
          <w:sz w:val="22"/>
          <w:szCs w:val="22"/>
        </w:rPr>
        <w:t>Humira 8</w:t>
      </w:r>
      <w:r w:rsidRPr="008912CF">
        <w:rPr>
          <w:sz w:val="22"/>
          <w:szCs w:val="22"/>
        </w:rPr>
        <w:t>0 mg solução injetável em caneta pré-cheia</w:t>
      </w:r>
    </w:p>
    <w:p w14:paraId="0FDE8975" w14:textId="77777777" w:rsidR="008B4234" w:rsidRPr="008912CF" w:rsidRDefault="00615769" w:rsidP="008B4234">
      <w:pPr>
        <w:tabs>
          <w:tab w:val="left" w:pos="720"/>
        </w:tabs>
        <w:ind w:left="567" w:hanging="567"/>
        <w:rPr>
          <w:sz w:val="22"/>
          <w:szCs w:val="22"/>
        </w:rPr>
      </w:pPr>
      <w:r w:rsidRPr="008912CF">
        <w:rPr>
          <w:sz w:val="22"/>
          <w:szCs w:val="22"/>
        </w:rPr>
        <w:t>adalimumab</w:t>
      </w:r>
    </w:p>
    <w:p w14:paraId="674C05A0" w14:textId="77777777" w:rsidR="008B4234" w:rsidRPr="008912CF" w:rsidRDefault="008B4234" w:rsidP="008B4234">
      <w:pPr>
        <w:pStyle w:val="EndnoteText"/>
        <w:tabs>
          <w:tab w:val="clear" w:pos="567"/>
          <w:tab w:val="left" w:pos="720"/>
        </w:tabs>
        <w:rPr>
          <w:szCs w:val="22"/>
        </w:rPr>
      </w:pPr>
    </w:p>
    <w:p w14:paraId="6A80A6D6" w14:textId="77777777" w:rsidR="008B4234" w:rsidRPr="008912CF" w:rsidRDefault="008B4234" w:rsidP="008B4234">
      <w:pPr>
        <w:tabs>
          <w:tab w:val="left" w:pos="720"/>
        </w:tabs>
        <w:rPr>
          <w:sz w:val="22"/>
          <w:szCs w:val="22"/>
        </w:rPr>
      </w:pPr>
    </w:p>
    <w:p w14:paraId="648D462B" w14:textId="77777777" w:rsidR="008B4234" w:rsidRPr="008912CF" w:rsidRDefault="00615769" w:rsidP="008B4234">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b/>
          <w:sz w:val="22"/>
          <w:szCs w:val="22"/>
          <w:highlight w:val="lightGray"/>
        </w:rPr>
      </w:pPr>
      <w:r w:rsidRPr="008912CF">
        <w:rPr>
          <w:b/>
          <w:sz w:val="22"/>
          <w:szCs w:val="22"/>
        </w:rPr>
        <w:t>2.</w:t>
      </w:r>
      <w:r w:rsidRPr="008912CF">
        <w:rPr>
          <w:b/>
          <w:sz w:val="22"/>
          <w:szCs w:val="22"/>
        </w:rPr>
        <w:tab/>
      </w:r>
      <w:r w:rsidRPr="008912CF">
        <w:rPr>
          <w:b/>
          <w:sz w:val="22"/>
          <w:szCs w:val="22"/>
        </w:rPr>
        <w:t>NOME DO TITULAR DA AUTORIZAÇÃO DE INTRODUÇÃO NO MERCADO</w:t>
      </w:r>
    </w:p>
    <w:p w14:paraId="1AC9C514" w14:textId="77777777" w:rsidR="008B4234" w:rsidRPr="008912CF" w:rsidRDefault="008B4234" w:rsidP="008B4234">
      <w:pPr>
        <w:tabs>
          <w:tab w:val="left" w:pos="720"/>
        </w:tabs>
        <w:rPr>
          <w:sz w:val="22"/>
          <w:szCs w:val="22"/>
        </w:rPr>
      </w:pPr>
    </w:p>
    <w:p w14:paraId="499A417E" w14:textId="77777777" w:rsidR="008B4234" w:rsidRPr="008912CF" w:rsidRDefault="00615769" w:rsidP="008B4234">
      <w:pPr>
        <w:tabs>
          <w:tab w:val="left" w:pos="720"/>
        </w:tabs>
        <w:rPr>
          <w:sz w:val="22"/>
          <w:szCs w:val="22"/>
        </w:rPr>
      </w:pPr>
      <w:r>
        <w:rPr>
          <w:sz w:val="22"/>
          <w:szCs w:val="22"/>
        </w:rPr>
        <w:t xml:space="preserve">AbbVie </w:t>
      </w:r>
      <w:r w:rsidR="0011498D" w:rsidRPr="0074724A">
        <w:rPr>
          <w:sz w:val="22"/>
          <w:szCs w:val="22"/>
          <w:highlight w:val="lightGray"/>
          <w:lang w:eastAsia="en-GB"/>
        </w:rPr>
        <w:t>(como logo)</w:t>
      </w:r>
    </w:p>
    <w:p w14:paraId="3DCF6593" w14:textId="77777777" w:rsidR="008B4234" w:rsidRPr="008912CF" w:rsidRDefault="008B4234" w:rsidP="008B4234">
      <w:pPr>
        <w:tabs>
          <w:tab w:val="left" w:pos="720"/>
        </w:tabs>
        <w:rPr>
          <w:sz w:val="22"/>
          <w:szCs w:val="22"/>
        </w:rPr>
      </w:pPr>
    </w:p>
    <w:p w14:paraId="58789A55" w14:textId="77777777" w:rsidR="008B4234" w:rsidRPr="008912CF" w:rsidRDefault="008B4234" w:rsidP="008B4234">
      <w:pPr>
        <w:pStyle w:val="EndnoteText"/>
        <w:tabs>
          <w:tab w:val="clear" w:pos="567"/>
          <w:tab w:val="left" w:pos="720"/>
        </w:tabs>
        <w:rPr>
          <w:szCs w:val="22"/>
        </w:rPr>
      </w:pPr>
    </w:p>
    <w:p w14:paraId="25C5983B" w14:textId="77777777" w:rsidR="008B4234" w:rsidRPr="008912CF" w:rsidRDefault="00615769" w:rsidP="008B4234">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b/>
          <w:sz w:val="22"/>
          <w:szCs w:val="22"/>
          <w:highlight w:val="lightGray"/>
        </w:rPr>
      </w:pPr>
      <w:r w:rsidRPr="008912CF">
        <w:rPr>
          <w:b/>
          <w:sz w:val="22"/>
          <w:szCs w:val="22"/>
        </w:rPr>
        <w:t>3.</w:t>
      </w:r>
      <w:r w:rsidRPr="008912CF">
        <w:rPr>
          <w:b/>
          <w:sz w:val="22"/>
          <w:szCs w:val="22"/>
        </w:rPr>
        <w:tab/>
        <w:t>PRAZO DE VALIDADE</w:t>
      </w:r>
    </w:p>
    <w:p w14:paraId="286DD1BF" w14:textId="77777777" w:rsidR="008B4234" w:rsidRPr="008912CF" w:rsidRDefault="008B4234" w:rsidP="008B4234">
      <w:pPr>
        <w:tabs>
          <w:tab w:val="left" w:pos="720"/>
        </w:tabs>
        <w:rPr>
          <w:sz w:val="22"/>
          <w:szCs w:val="22"/>
        </w:rPr>
      </w:pPr>
    </w:p>
    <w:p w14:paraId="18145CB6" w14:textId="77777777" w:rsidR="008B4234" w:rsidRPr="008912CF" w:rsidRDefault="00615769" w:rsidP="008B4234">
      <w:pPr>
        <w:tabs>
          <w:tab w:val="left" w:pos="720"/>
        </w:tabs>
        <w:rPr>
          <w:sz w:val="22"/>
          <w:szCs w:val="22"/>
        </w:rPr>
      </w:pPr>
      <w:r w:rsidRPr="00154C95">
        <w:rPr>
          <w:sz w:val="22"/>
          <w:szCs w:val="22"/>
        </w:rPr>
        <w:t>EXP</w:t>
      </w:r>
    </w:p>
    <w:p w14:paraId="6035812A" w14:textId="77777777" w:rsidR="008B4234" w:rsidRPr="008912CF" w:rsidRDefault="008B4234" w:rsidP="008B4234">
      <w:pPr>
        <w:tabs>
          <w:tab w:val="left" w:pos="720"/>
        </w:tabs>
        <w:rPr>
          <w:sz w:val="22"/>
          <w:szCs w:val="22"/>
        </w:rPr>
      </w:pPr>
    </w:p>
    <w:p w14:paraId="7FA91A4C" w14:textId="77777777" w:rsidR="008B4234" w:rsidRPr="008912CF" w:rsidRDefault="008B4234" w:rsidP="008B4234">
      <w:pPr>
        <w:tabs>
          <w:tab w:val="left" w:pos="720"/>
        </w:tabs>
        <w:rPr>
          <w:sz w:val="22"/>
          <w:szCs w:val="22"/>
        </w:rPr>
      </w:pPr>
    </w:p>
    <w:p w14:paraId="1562C0FC" w14:textId="77777777" w:rsidR="008B4234" w:rsidRPr="008912CF" w:rsidRDefault="00615769" w:rsidP="008B423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4.</w:t>
      </w:r>
      <w:r w:rsidRPr="008912CF">
        <w:rPr>
          <w:b/>
          <w:sz w:val="22"/>
          <w:szCs w:val="22"/>
        </w:rPr>
        <w:tab/>
        <w:t>NÚMERO DO LOTE</w:t>
      </w:r>
    </w:p>
    <w:p w14:paraId="08924244" w14:textId="77777777" w:rsidR="008B4234" w:rsidRPr="008912CF" w:rsidRDefault="008B4234" w:rsidP="008B4234">
      <w:pPr>
        <w:tabs>
          <w:tab w:val="left" w:pos="720"/>
        </w:tabs>
        <w:rPr>
          <w:sz w:val="22"/>
          <w:szCs w:val="22"/>
        </w:rPr>
      </w:pPr>
    </w:p>
    <w:p w14:paraId="6E04DF73" w14:textId="77777777" w:rsidR="008B4234" w:rsidRPr="008912CF" w:rsidRDefault="00615769" w:rsidP="008B4234">
      <w:pPr>
        <w:tabs>
          <w:tab w:val="left" w:pos="720"/>
        </w:tabs>
        <w:rPr>
          <w:sz w:val="22"/>
          <w:szCs w:val="22"/>
        </w:rPr>
      </w:pPr>
      <w:r>
        <w:rPr>
          <w:sz w:val="22"/>
          <w:szCs w:val="22"/>
        </w:rPr>
        <w:t>Lot</w:t>
      </w:r>
      <w:r w:rsidR="0023344C">
        <w:rPr>
          <w:sz w:val="22"/>
          <w:szCs w:val="22"/>
        </w:rPr>
        <w:t>e</w:t>
      </w:r>
    </w:p>
    <w:p w14:paraId="4BFD3A2F" w14:textId="77777777" w:rsidR="008B4234" w:rsidRPr="008912CF" w:rsidRDefault="008B4234" w:rsidP="008B4234">
      <w:pPr>
        <w:shd w:val="clear" w:color="auto" w:fill="FFFFFF"/>
        <w:tabs>
          <w:tab w:val="left" w:pos="720"/>
        </w:tabs>
        <w:rPr>
          <w:b/>
          <w:sz w:val="22"/>
          <w:szCs w:val="22"/>
          <w:u w:val="single"/>
        </w:rPr>
      </w:pPr>
    </w:p>
    <w:p w14:paraId="4CADFD35" w14:textId="77777777" w:rsidR="008B4234" w:rsidRPr="008912CF" w:rsidRDefault="008B4234" w:rsidP="008B4234">
      <w:pPr>
        <w:shd w:val="clear" w:color="auto" w:fill="FFFFFF"/>
        <w:tabs>
          <w:tab w:val="left" w:pos="720"/>
        </w:tabs>
        <w:rPr>
          <w:b/>
          <w:sz w:val="22"/>
          <w:szCs w:val="22"/>
          <w:u w:val="single"/>
        </w:rPr>
      </w:pPr>
    </w:p>
    <w:p w14:paraId="49D7B5D1" w14:textId="77777777" w:rsidR="008B4234" w:rsidRPr="008912CF" w:rsidRDefault="00615769" w:rsidP="008B423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5.</w:t>
      </w:r>
      <w:r w:rsidRPr="008912CF">
        <w:rPr>
          <w:b/>
          <w:sz w:val="22"/>
          <w:szCs w:val="22"/>
        </w:rPr>
        <w:tab/>
        <w:t>OUTR</w:t>
      </w:r>
      <w:r>
        <w:rPr>
          <w:b/>
          <w:sz w:val="22"/>
          <w:szCs w:val="22"/>
        </w:rPr>
        <w:t>O</w:t>
      </w:r>
      <w:r w:rsidRPr="008912CF">
        <w:rPr>
          <w:b/>
          <w:sz w:val="22"/>
          <w:szCs w:val="22"/>
        </w:rPr>
        <w:t>S</w:t>
      </w:r>
    </w:p>
    <w:p w14:paraId="7366EB6A" w14:textId="77777777" w:rsidR="008B4234" w:rsidRPr="008912CF" w:rsidRDefault="008B4234" w:rsidP="008B4234">
      <w:pPr>
        <w:shd w:val="clear" w:color="auto" w:fill="FFFFFF"/>
        <w:tabs>
          <w:tab w:val="left" w:pos="720"/>
        </w:tabs>
        <w:rPr>
          <w:sz w:val="22"/>
          <w:szCs w:val="22"/>
        </w:rPr>
      </w:pPr>
    </w:p>
    <w:p w14:paraId="4E622F34" w14:textId="77777777" w:rsidR="008B4234" w:rsidRPr="008912CF" w:rsidRDefault="00615769" w:rsidP="008B4234">
      <w:pPr>
        <w:shd w:val="clear" w:color="auto" w:fill="FFFFFF"/>
        <w:tabs>
          <w:tab w:val="left" w:pos="720"/>
        </w:tabs>
        <w:rPr>
          <w:sz w:val="22"/>
          <w:szCs w:val="22"/>
        </w:rPr>
      </w:pPr>
      <w:r w:rsidRPr="008912CF">
        <w:rPr>
          <w:sz w:val="22"/>
          <w:szCs w:val="22"/>
        </w:rPr>
        <w:t>Para informação de conservação, ver folheto informativo.</w:t>
      </w:r>
    </w:p>
    <w:p w14:paraId="27B9B4BC" w14:textId="77777777" w:rsidR="00554634" w:rsidRDefault="00554634" w:rsidP="004462A0">
      <w:pPr>
        <w:rPr>
          <w:sz w:val="22"/>
          <w:szCs w:val="22"/>
        </w:rPr>
      </w:pPr>
    </w:p>
    <w:p w14:paraId="1A5757C8" w14:textId="77777777" w:rsidR="00414F86" w:rsidRDefault="00615769" w:rsidP="004462A0">
      <w:pPr>
        <w:rPr>
          <w:sz w:val="22"/>
          <w:szCs w:val="22"/>
        </w:rPr>
      </w:pPr>
      <w:r w:rsidRPr="008912CF">
        <w:rPr>
          <w:sz w:val="22"/>
          <w:szCs w:val="22"/>
        </w:rPr>
        <w:t>Apenas para uma única utilização</w:t>
      </w:r>
      <w:r w:rsidR="003D66D7">
        <w:rPr>
          <w:sz w:val="22"/>
          <w:szCs w:val="22"/>
        </w:rPr>
        <w:t>.</w:t>
      </w:r>
    </w:p>
    <w:p w14:paraId="23CF5213" w14:textId="77777777" w:rsidR="00CB01BD" w:rsidRDefault="00615769">
      <w:pPr>
        <w:spacing w:after="200" w:line="276" w:lineRule="auto"/>
        <w:rPr>
          <w:sz w:val="22"/>
          <w:szCs w:val="22"/>
        </w:rPr>
      </w:pPr>
      <w:r>
        <w:rPr>
          <w:sz w:val="22"/>
          <w:szCs w:val="22"/>
        </w:rPr>
        <w:br w:type="page"/>
      </w:r>
    </w:p>
    <w:p w14:paraId="638C6224" w14:textId="77777777" w:rsidR="00CB01BD" w:rsidRPr="008912CF" w:rsidRDefault="00615769" w:rsidP="00CB01BD">
      <w:pPr>
        <w:pBdr>
          <w:top w:val="single" w:sz="4" w:space="1" w:color="auto"/>
          <w:left w:val="single" w:sz="4" w:space="1" w:color="auto"/>
          <w:bottom w:val="single" w:sz="4" w:space="0" w:color="auto"/>
          <w:right w:val="single" w:sz="4" w:space="1" w:color="auto"/>
        </w:pBdr>
        <w:tabs>
          <w:tab w:val="left" w:pos="567"/>
        </w:tabs>
        <w:rPr>
          <w:b/>
          <w:sz w:val="22"/>
          <w:szCs w:val="22"/>
        </w:rPr>
      </w:pPr>
      <w:r w:rsidRPr="008912CF">
        <w:rPr>
          <w:b/>
          <w:sz w:val="22"/>
          <w:szCs w:val="22"/>
        </w:rPr>
        <w:t>INDICAÇÕES MÍNIMAS A INCLUIR EM PEQUENAS UNIDADES DE ACONDICIONAMENTO PRIMÁRIO</w:t>
      </w:r>
    </w:p>
    <w:p w14:paraId="1B9DE49C" w14:textId="77777777" w:rsidR="00CB01BD" w:rsidRPr="008912CF" w:rsidRDefault="00CB01BD" w:rsidP="00CB01BD">
      <w:pPr>
        <w:pBdr>
          <w:top w:val="single" w:sz="4" w:space="1" w:color="auto"/>
          <w:left w:val="single" w:sz="4" w:space="1" w:color="auto"/>
          <w:bottom w:val="single" w:sz="4" w:space="0" w:color="auto"/>
          <w:right w:val="single" w:sz="4" w:space="1" w:color="auto"/>
        </w:pBdr>
        <w:tabs>
          <w:tab w:val="left" w:pos="567"/>
        </w:tabs>
        <w:rPr>
          <w:b/>
          <w:sz w:val="22"/>
          <w:szCs w:val="22"/>
        </w:rPr>
      </w:pPr>
    </w:p>
    <w:p w14:paraId="1357ECDF" w14:textId="77777777" w:rsidR="00CB01BD" w:rsidRPr="008912CF" w:rsidRDefault="00615769" w:rsidP="00CB01BD">
      <w:pPr>
        <w:pStyle w:val="Heading1"/>
        <w:keepNext w:val="0"/>
        <w:pBdr>
          <w:left w:val="single" w:sz="4" w:space="1" w:color="auto"/>
          <w:bottom w:val="single" w:sz="4" w:space="0" w:color="auto"/>
          <w:right w:val="single" w:sz="4" w:space="1" w:color="auto"/>
        </w:pBdr>
        <w:rPr>
          <w:bCs w:val="0"/>
          <w:caps/>
          <w:szCs w:val="22"/>
        </w:rPr>
      </w:pPr>
      <w:r w:rsidRPr="008912CF">
        <w:rPr>
          <w:bCs w:val="0"/>
          <w:caps/>
          <w:szCs w:val="22"/>
        </w:rPr>
        <w:t>Rótulo dA CANETA</w:t>
      </w:r>
    </w:p>
    <w:p w14:paraId="2F26E355" w14:textId="77777777" w:rsidR="00CB01BD" w:rsidRPr="008912CF" w:rsidRDefault="00CB01BD" w:rsidP="00CB01BD">
      <w:pPr>
        <w:pStyle w:val="Index1"/>
        <w:spacing w:line="240" w:lineRule="auto"/>
        <w:rPr>
          <w:szCs w:val="22"/>
          <w:lang w:val="pt-PT"/>
        </w:rPr>
      </w:pPr>
    </w:p>
    <w:p w14:paraId="01EBEFD3" w14:textId="77777777" w:rsidR="00CB01BD" w:rsidRPr="008912CF" w:rsidRDefault="00CB01BD" w:rsidP="00CB01BD">
      <w:pPr>
        <w:tabs>
          <w:tab w:val="left" w:pos="720"/>
        </w:tabs>
        <w:rPr>
          <w:b/>
          <w:sz w:val="22"/>
          <w:szCs w:val="22"/>
        </w:rPr>
      </w:pPr>
    </w:p>
    <w:p w14:paraId="535C311E" w14:textId="77777777" w:rsidR="00CB01BD" w:rsidRPr="008912CF" w:rsidRDefault="00615769" w:rsidP="00CB01BD">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1.</w:t>
      </w:r>
      <w:r w:rsidRPr="008912CF">
        <w:rPr>
          <w:b/>
          <w:sz w:val="22"/>
          <w:szCs w:val="22"/>
        </w:rPr>
        <w:tab/>
        <w:t>NOME DO MEDICAMENTO E VIA DE ADMINISTRAÇÃO</w:t>
      </w:r>
    </w:p>
    <w:p w14:paraId="12D51FF9" w14:textId="77777777" w:rsidR="00CB01BD" w:rsidRPr="008912CF" w:rsidRDefault="00CB01BD" w:rsidP="00CB01BD">
      <w:pPr>
        <w:tabs>
          <w:tab w:val="left" w:pos="720"/>
        </w:tabs>
        <w:rPr>
          <w:sz w:val="22"/>
          <w:szCs w:val="22"/>
        </w:rPr>
      </w:pPr>
    </w:p>
    <w:p w14:paraId="1538564C" w14:textId="77777777" w:rsidR="00CB01BD" w:rsidRPr="008912CF" w:rsidRDefault="00615769" w:rsidP="00CB01BD">
      <w:pPr>
        <w:tabs>
          <w:tab w:val="left" w:pos="720"/>
        </w:tabs>
        <w:rPr>
          <w:sz w:val="22"/>
          <w:szCs w:val="22"/>
        </w:rPr>
      </w:pPr>
      <w:r>
        <w:rPr>
          <w:sz w:val="22"/>
          <w:szCs w:val="22"/>
        </w:rPr>
        <w:t>Humira 8</w:t>
      </w:r>
      <w:r w:rsidRPr="008912CF">
        <w:rPr>
          <w:sz w:val="22"/>
          <w:szCs w:val="22"/>
        </w:rPr>
        <w:t>0 mg solução injetável</w:t>
      </w:r>
    </w:p>
    <w:p w14:paraId="2D5355FC" w14:textId="77777777" w:rsidR="00CB01BD" w:rsidRPr="008912CF" w:rsidRDefault="00615769" w:rsidP="00CB01BD">
      <w:pPr>
        <w:pStyle w:val="EndnoteText"/>
        <w:tabs>
          <w:tab w:val="clear" w:pos="567"/>
          <w:tab w:val="left" w:pos="720"/>
        </w:tabs>
        <w:rPr>
          <w:szCs w:val="22"/>
        </w:rPr>
      </w:pPr>
      <w:r w:rsidRPr="008912CF">
        <w:rPr>
          <w:szCs w:val="22"/>
        </w:rPr>
        <w:t>adalimumab</w:t>
      </w:r>
    </w:p>
    <w:p w14:paraId="71167D1C" w14:textId="77777777" w:rsidR="00CB01BD" w:rsidRPr="008912CF" w:rsidRDefault="00615769" w:rsidP="00CB01BD">
      <w:pPr>
        <w:pStyle w:val="EndnoteText"/>
        <w:tabs>
          <w:tab w:val="clear" w:pos="567"/>
          <w:tab w:val="left" w:pos="720"/>
        </w:tabs>
        <w:rPr>
          <w:szCs w:val="22"/>
        </w:rPr>
      </w:pPr>
      <w:r w:rsidRPr="008912CF">
        <w:rPr>
          <w:szCs w:val="22"/>
        </w:rPr>
        <w:t>SC</w:t>
      </w:r>
    </w:p>
    <w:p w14:paraId="06CA8FD7" w14:textId="77777777" w:rsidR="00CB01BD" w:rsidRPr="008912CF" w:rsidRDefault="00CB01BD" w:rsidP="00CB01BD">
      <w:pPr>
        <w:tabs>
          <w:tab w:val="left" w:pos="720"/>
        </w:tabs>
        <w:rPr>
          <w:bCs/>
          <w:sz w:val="22"/>
          <w:szCs w:val="22"/>
        </w:rPr>
      </w:pPr>
    </w:p>
    <w:p w14:paraId="23FCD78A" w14:textId="77777777" w:rsidR="00CB01BD" w:rsidRPr="008912CF" w:rsidRDefault="00CB01BD" w:rsidP="00CB01BD">
      <w:pPr>
        <w:tabs>
          <w:tab w:val="left" w:pos="720"/>
        </w:tabs>
        <w:rPr>
          <w:bCs/>
          <w:sz w:val="22"/>
          <w:szCs w:val="22"/>
        </w:rPr>
      </w:pPr>
    </w:p>
    <w:p w14:paraId="35E597F5" w14:textId="77777777" w:rsidR="00CB01BD" w:rsidRPr="008912CF" w:rsidRDefault="00615769" w:rsidP="00CB01BD">
      <w:pPr>
        <w:pBdr>
          <w:top w:val="single" w:sz="4" w:space="1" w:color="auto"/>
          <w:left w:val="single" w:sz="4" w:space="4" w:color="auto"/>
          <w:bottom w:val="single" w:sz="4" w:space="1" w:color="auto"/>
          <w:right w:val="single" w:sz="4" w:space="4" w:color="auto"/>
        </w:pBdr>
        <w:shd w:val="clear" w:color="auto" w:fill="FFFFFF"/>
        <w:tabs>
          <w:tab w:val="left" w:pos="567"/>
        </w:tabs>
        <w:ind w:left="567" w:hanging="567"/>
        <w:rPr>
          <w:b/>
          <w:sz w:val="22"/>
          <w:szCs w:val="22"/>
          <w:highlight w:val="lightGray"/>
        </w:rPr>
      </w:pPr>
      <w:r w:rsidRPr="008912CF">
        <w:rPr>
          <w:b/>
          <w:sz w:val="22"/>
          <w:szCs w:val="22"/>
        </w:rPr>
        <w:t>2.</w:t>
      </w:r>
      <w:r w:rsidRPr="008912CF">
        <w:rPr>
          <w:b/>
          <w:sz w:val="22"/>
          <w:szCs w:val="22"/>
        </w:rPr>
        <w:tab/>
      </w:r>
      <w:r w:rsidRPr="008912CF">
        <w:rPr>
          <w:b/>
          <w:sz w:val="22"/>
          <w:szCs w:val="22"/>
        </w:rPr>
        <w:t>MODO DE ADMINISTRAÇÃO</w:t>
      </w:r>
    </w:p>
    <w:p w14:paraId="44036F24" w14:textId="77777777" w:rsidR="00CB01BD" w:rsidRPr="008912CF" w:rsidRDefault="00CB01BD" w:rsidP="00CB01BD">
      <w:pPr>
        <w:pStyle w:val="IndexHeading"/>
        <w:tabs>
          <w:tab w:val="clear" w:pos="567"/>
          <w:tab w:val="left" w:pos="720"/>
        </w:tabs>
        <w:spacing w:line="240" w:lineRule="auto"/>
        <w:rPr>
          <w:rFonts w:ascii="Times New Roman" w:hAnsi="Times New Roman"/>
          <w:b w:val="0"/>
          <w:bCs/>
          <w:szCs w:val="22"/>
          <w:lang w:val="pt-PT"/>
        </w:rPr>
      </w:pPr>
    </w:p>
    <w:p w14:paraId="52CB8973" w14:textId="77777777" w:rsidR="00CB01BD" w:rsidRPr="008912CF" w:rsidRDefault="00CB01BD" w:rsidP="00CB01BD">
      <w:pPr>
        <w:pStyle w:val="EndnoteText"/>
        <w:tabs>
          <w:tab w:val="clear" w:pos="567"/>
          <w:tab w:val="left" w:pos="720"/>
        </w:tabs>
        <w:rPr>
          <w:bCs/>
          <w:szCs w:val="22"/>
        </w:rPr>
      </w:pPr>
    </w:p>
    <w:p w14:paraId="6564E4A8" w14:textId="77777777" w:rsidR="00CB01BD" w:rsidRPr="008912CF" w:rsidRDefault="00615769" w:rsidP="00CB01BD">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3.</w:t>
      </w:r>
      <w:r w:rsidRPr="008912CF">
        <w:rPr>
          <w:b/>
          <w:sz w:val="22"/>
          <w:szCs w:val="22"/>
        </w:rPr>
        <w:tab/>
        <w:t>PRAZO DE VALIDADE</w:t>
      </w:r>
    </w:p>
    <w:p w14:paraId="6AA4DFBD" w14:textId="77777777" w:rsidR="00CB01BD" w:rsidRPr="008912CF" w:rsidRDefault="00CB01BD" w:rsidP="00CB01BD">
      <w:pPr>
        <w:pStyle w:val="EndnoteText"/>
        <w:tabs>
          <w:tab w:val="clear" w:pos="567"/>
          <w:tab w:val="left" w:pos="720"/>
        </w:tabs>
        <w:rPr>
          <w:szCs w:val="22"/>
        </w:rPr>
      </w:pPr>
    </w:p>
    <w:p w14:paraId="52284647" w14:textId="77777777" w:rsidR="00CB01BD" w:rsidRPr="008912CF" w:rsidRDefault="00615769" w:rsidP="00CB01BD">
      <w:pPr>
        <w:tabs>
          <w:tab w:val="left" w:pos="720"/>
        </w:tabs>
        <w:rPr>
          <w:sz w:val="22"/>
          <w:szCs w:val="22"/>
        </w:rPr>
      </w:pPr>
      <w:r w:rsidRPr="00154C95">
        <w:rPr>
          <w:sz w:val="22"/>
          <w:szCs w:val="22"/>
        </w:rPr>
        <w:t>EXP</w:t>
      </w:r>
      <w:r w:rsidRPr="008912CF">
        <w:rPr>
          <w:sz w:val="22"/>
          <w:szCs w:val="22"/>
        </w:rPr>
        <w:t xml:space="preserve"> </w:t>
      </w:r>
    </w:p>
    <w:p w14:paraId="6E1CEBDB" w14:textId="77777777" w:rsidR="00CB01BD" w:rsidRPr="008912CF" w:rsidRDefault="00CB01BD" w:rsidP="00CB01BD">
      <w:pPr>
        <w:tabs>
          <w:tab w:val="left" w:pos="720"/>
        </w:tabs>
        <w:rPr>
          <w:bCs/>
          <w:sz w:val="22"/>
          <w:szCs w:val="22"/>
        </w:rPr>
      </w:pPr>
    </w:p>
    <w:p w14:paraId="66911722" w14:textId="77777777" w:rsidR="00CB01BD" w:rsidRPr="008912CF" w:rsidRDefault="00CB01BD" w:rsidP="00CB01BD">
      <w:pPr>
        <w:tabs>
          <w:tab w:val="left" w:pos="720"/>
        </w:tabs>
        <w:rPr>
          <w:bCs/>
          <w:sz w:val="22"/>
          <w:szCs w:val="22"/>
        </w:rPr>
      </w:pPr>
    </w:p>
    <w:p w14:paraId="673166D0" w14:textId="77777777" w:rsidR="00CB01BD" w:rsidRPr="008912CF" w:rsidRDefault="00615769" w:rsidP="00CB01BD">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4.</w:t>
      </w:r>
      <w:r w:rsidRPr="008912CF">
        <w:rPr>
          <w:b/>
          <w:sz w:val="22"/>
          <w:szCs w:val="22"/>
        </w:rPr>
        <w:tab/>
        <w:t>NÚMERO DO LOTE</w:t>
      </w:r>
    </w:p>
    <w:p w14:paraId="6D42363E" w14:textId="77777777" w:rsidR="00CB01BD" w:rsidRPr="008912CF" w:rsidRDefault="00CB01BD" w:rsidP="00CB01BD">
      <w:pPr>
        <w:pStyle w:val="EndnoteText"/>
        <w:tabs>
          <w:tab w:val="clear" w:pos="567"/>
          <w:tab w:val="left" w:pos="720"/>
        </w:tabs>
        <w:rPr>
          <w:szCs w:val="22"/>
        </w:rPr>
      </w:pPr>
    </w:p>
    <w:p w14:paraId="2027CBF5" w14:textId="77777777" w:rsidR="00CB01BD" w:rsidRPr="008912CF" w:rsidRDefault="00615769" w:rsidP="00CB01BD">
      <w:pPr>
        <w:tabs>
          <w:tab w:val="left" w:pos="720"/>
        </w:tabs>
        <w:rPr>
          <w:sz w:val="22"/>
          <w:szCs w:val="22"/>
        </w:rPr>
      </w:pPr>
      <w:r w:rsidRPr="008912CF">
        <w:rPr>
          <w:sz w:val="22"/>
          <w:szCs w:val="22"/>
        </w:rPr>
        <w:t>Lot</w:t>
      </w:r>
      <w:r w:rsidR="0023344C">
        <w:rPr>
          <w:sz w:val="22"/>
          <w:szCs w:val="22"/>
        </w:rPr>
        <w:t>e</w:t>
      </w:r>
    </w:p>
    <w:p w14:paraId="31C82AFB" w14:textId="77777777" w:rsidR="00CB01BD" w:rsidRPr="008912CF" w:rsidRDefault="00CB01BD" w:rsidP="00CB01BD">
      <w:pPr>
        <w:tabs>
          <w:tab w:val="left" w:pos="720"/>
        </w:tabs>
        <w:ind w:right="113"/>
        <w:rPr>
          <w:sz w:val="22"/>
          <w:szCs w:val="22"/>
          <w:highlight w:val="lightGray"/>
        </w:rPr>
      </w:pPr>
    </w:p>
    <w:p w14:paraId="6725A2C4" w14:textId="77777777" w:rsidR="00CB01BD" w:rsidRPr="008912CF" w:rsidRDefault="00CB01BD" w:rsidP="00CB01BD">
      <w:pPr>
        <w:tabs>
          <w:tab w:val="left" w:pos="720"/>
        </w:tabs>
        <w:ind w:right="113"/>
        <w:rPr>
          <w:sz w:val="22"/>
          <w:szCs w:val="22"/>
          <w:highlight w:val="lightGray"/>
        </w:rPr>
      </w:pPr>
    </w:p>
    <w:p w14:paraId="29E23343" w14:textId="77777777" w:rsidR="00CB01BD" w:rsidRPr="008912CF" w:rsidRDefault="00615769" w:rsidP="00CB01BD">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5.</w:t>
      </w:r>
      <w:r w:rsidRPr="008912CF">
        <w:rPr>
          <w:b/>
          <w:sz w:val="22"/>
          <w:szCs w:val="22"/>
        </w:rPr>
        <w:tab/>
        <w:t>CONTEÚDO EM PESO, VOLUME OU UNIDADE</w:t>
      </w:r>
    </w:p>
    <w:p w14:paraId="65D5670E" w14:textId="77777777" w:rsidR="00CB01BD" w:rsidRPr="008912CF" w:rsidRDefault="00CB01BD" w:rsidP="00CB01BD">
      <w:pPr>
        <w:tabs>
          <w:tab w:val="left" w:pos="720"/>
        </w:tabs>
        <w:rPr>
          <w:sz w:val="22"/>
          <w:szCs w:val="22"/>
        </w:rPr>
      </w:pPr>
    </w:p>
    <w:p w14:paraId="46DF7C7F" w14:textId="77777777" w:rsidR="00CB01BD" w:rsidRPr="008912CF" w:rsidRDefault="00615769" w:rsidP="00CB01BD">
      <w:pPr>
        <w:pStyle w:val="EndnoteText"/>
        <w:tabs>
          <w:tab w:val="clear" w:pos="567"/>
        </w:tabs>
        <w:rPr>
          <w:szCs w:val="22"/>
        </w:rPr>
      </w:pPr>
      <w:r>
        <w:rPr>
          <w:szCs w:val="22"/>
        </w:rPr>
        <w:t>80 mg</w:t>
      </w:r>
      <w:r w:rsidR="008D4B8F" w:rsidRPr="002112C5">
        <w:rPr>
          <w:szCs w:val="22"/>
          <w:shd w:val="pct15" w:color="auto" w:fill="FFFFFF"/>
        </w:rPr>
        <w:t>/0,8</w:t>
      </w:r>
      <w:r w:rsidR="00AE3C41" w:rsidRPr="002112C5">
        <w:rPr>
          <w:szCs w:val="22"/>
          <w:shd w:val="pct15" w:color="auto" w:fill="FFFFFF"/>
        </w:rPr>
        <w:t> </w:t>
      </w:r>
      <w:r w:rsidR="008D4B8F" w:rsidRPr="002112C5">
        <w:rPr>
          <w:szCs w:val="22"/>
          <w:shd w:val="pct15" w:color="auto" w:fill="FFFFFF"/>
        </w:rPr>
        <w:t>ml</w:t>
      </w:r>
    </w:p>
    <w:p w14:paraId="06B7EA02" w14:textId="77777777" w:rsidR="00CB01BD" w:rsidRPr="008912CF" w:rsidRDefault="00CB01BD" w:rsidP="00CB01BD">
      <w:pPr>
        <w:rPr>
          <w:sz w:val="22"/>
          <w:szCs w:val="22"/>
        </w:rPr>
      </w:pPr>
    </w:p>
    <w:p w14:paraId="58990858" w14:textId="77777777" w:rsidR="00CB01BD" w:rsidRPr="008912CF" w:rsidRDefault="00CB01BD" w:rsidP="00CB01BD">
      <w:pPr>
        <w:rPr>
          <w:sz w:val="22"/>
          <w:szCs w:val="22"/>
        </w:rPr>
      </w:pPr>
    </w:p>
    <w:p w14:paraId="01E20BF6" w14:textId="77777777" w:rsidR="00CB01BD" w:rsidRPr="008912CF" w:rsidRDefault="00615769" w:rsidP="00CB01BD">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 w:val="22"/>
          <w:szCs w:val="22"/>
          <w:highlight w:val="lightGray"/>
        </w:rPr>
      </w:pPr>
      <w:r w:rsidRPr="008912CF">
        <w:rPr>
          <w:b/>
          <w:sz w:val="22"/>
          <w:szCs w:val="22"/>
        </w:rPr>
        <w:t>6.</w:t>
      </w:r>
      <w:r w:rsidRPr="008912CF">
        <w:rPr>
          <w:b/>
          <w:sz w:val="22"/>
          <w:szCs w:val="22"/>
        </w:rPr>
        <w:tab/>
        <w:t>OUTR</w:t>
      </w:r>
      <w:r>
        <w:rPr>
          <w:b/>
          <w:sz w:val="22"/>
          <w:szCs w:val="22"/>
        </w:rPr>
        <w:t>O</w:t>
      </w:r>
      <w:r w:rsidRPr="008912CF">
        <w:rPr>
          <w:b/>
          <w:sz w:val="22"/>
          <w:szCs w:val="22"/>
        </w:rPr>
        <w:t>S</w:t>
      </w:r>
    </w:p>
    <w:p w14:paraId="57F196BC" w14:textId="77777777" w:rsidR="00CB01BD" w:rsidRPr="008912CF" w:rsidRDefault="00CB01BD" w:rsidP="00CB01BD">
      <w:pPr>
        <w:rPr>
          <w:sz w:val="22"/>
          <w:szCs w:val="22"/>
        </w:rPr>
      </w:pPr>
    </w:p>
    <w:p w14:paraId="6A30973E" w14:textId="77777777" w:rsidR="004462A0" w:rsidRPr="008912CF" w:rsidRDefault="00615769" w:rsidP="004462A0">
      <w:pPr>
        <w:rPr>
          <w:sz w:val="22"/>
          <w:szCs w:val="22"/>
        </w:rPr>
      </w:pPr>
      <w:r>
        <w:rPr>
          <w:sz w:val="22"/>
          <w:szCs w:val="22"/>
        </w:rPr>
        <w:br w:type="page"/>
      </w:r>
    </w:p>
    <w:p w14:paraId="65271A69" w14:textId="77777777" w:rsidR="004462A0" w:rsidRPr="008912CF" w:rsidRDefault="004462A0" w:rsidP="004462A0">
      <w:pPr>
        <w:pBdr>
          <w:top w:val="single" w:sz="4" w:space="1" w:color="auto"/>
          <w:left w:val="single" w:sz="4" w:space="1" w:color="auto"/>
          <w:bottom w:val="single" w:sz="4" w:space="1" w:color="auto"/>
          <w:right w:val="single" w:sz="4" w:space="1" w:color="auto"/>
        </w:pBdr>
        <w:tabs>
          <w:tab w:val="left" w:pos="567"/>
        </w:tabs>
        <w:rPr>
          <w:b/>
          <w:sz w:val="22"/>
          <w:szCs w:val="22"/>
        </w:rPr>
      </w:pPr>
    </w:p>
    <w:p w14:paraId="282D15C6" w14:textId="77777777" w:rsidR="004462A0" w:rsidRPr="008912CF" w:rsidRDefault="00615769" w:rsidP="004462A0">
      <w:pPr>
        <w:pBdr>
          <w:top w:val="single" w:sz="4" w:space="1" w:color="auto"/>
          <w:left w:val="single" w:sz="4" w:space="1" w:color="auto"/>
          <w:bottom w:val="single" w:sz="4" w:space="1" w:color="auto"/>
          <w:right w:val="single" w:sz="4" w:space="1" w:color="auto"/>
        </w:pBdr>
        <w:tabs>
          <w:tab w:val="left" w:pos="567"/>
        </w:tabs>
        <w:rPr>
          <w:b/>
          <w:sz w:val="22"/>
          <w:szCs w:val="22"/>
        </w:rPr>
      </w:pPr>
      <w:r w:rsidRPr="008912CF">
        <w:rPr>
          <w:b/>
          <w:sz w:val="22"/>
          <w:szCs w:val="22"/>
        </w:rPr>
        <w:t>ETIQUETA RECORDATÓRIA (a incluir na embalagem)</w:t>
      </w:r>
    </w:p>
    <w:p w14:paraId="64A9086C" w14:textId="77777777" w:rsidR="004462A0" w:rsidRPr="008912CF" w:rsidRDefault="004462A0" w:rsidP="004462A0">
      <w:pPr>
        <w:pStyle w:val="EndnoteText"/>
        <w:tabs>
          <w:tab w:val="clear" w:pos="567"/>
        </w:tabs>
        <w:rPr>
          <w:szCs w:val="22"/>
        </w:rPr>
      </w:pPr>
    </w:p>
    <w:p w14:paraId="43B4F99E" w14:textId="77777777" w:rsidR="004462A0" w:rsidRPr="008912CF" w:rsidRDefault="00615769" w:rsidP="004462A0">
      <w:pPr>
        <w:rPr>
          <w:sz w:val="22"/>
          <w:szCs w:val="22"/>
        </w:rPr>
      </w:pPr>
      <w:r w:rsidRPr="008912CF">
        <w:rPr>
          <w:sz w:val="22"/>
          <w:szCs w:val="22"/>
        </w:rPr>
        <w:t>Humira</w:t>
      </w:r>
    </w:p>
    <w:p w14:paraId="10D8E8D6" w14:textId="77777777" w:rsidR="004462A0" w:rsidRPr="008912CF" w:rsidRDefault="004462A0" w:rsidP="004462A0">
      <w:pPr>
        <w:rPr>
          <w:sz w:val="22"/>
          <w:szCs w:val="22"/>
        </w:rPr>
      </w:pPr>
    </w:p>
    <w:p w14:paraId="6C690353" w14:textId="77777777" w:rsidR="004462A0" w:rsidRPr="008912CF" w:rsidRDefault="00615769" w:rsidP="004462A0">
      <w:pPr>
        <w:rPr>
          <w:sz w:val="22"/>
          <w:szCs w:val="22"/>
        </w:rPr>
      </w:pPr>
      <w:r w:rsidRPr="008912CF">
        <w:rPr>
          <w:sz w:val="22"/>
          <w:szCs w:val="22"/>
        </w:rPr>
        <w:t>Com a etiqueta recordatória fornecida marcar no seu calendário a próxima dose.</w:t>
      </w:r>
    </w:p>
    <w:p w14:paraId="13B18017" w14:textId="77777777" w:rsidR="004462A0" w:rsidRPr="008912CF" w:rsidRDefault="00615769" w:rsidP="004462A0">
      <w:pPr>
        <w:rPr>
          <w:sz w:val="22"/>
          <w:szCs w:val="22"/>
        </w:rPr>
      </w:pPr>
      <w:r>
        <w:rPr>
          <w:sz w:val="22"/>
          <w:szCs w:val="22"/>
        </w:rPr>
        <w:br w:type="page"/>
      </w:r>
    </w:p>
    <w:p w14:paraId="1B8BAC6D" w14:textId="77777777" w:rsidR="004462A0" w:rsidRPr="008912CF" w:rsidRDefault="004462A0" w:rsidP="004462A0">
      <w:pPr>
        <w:rPr>
          <w:sz w:val="22"/>
          <w:szCs w:val="22"/>
        </w:rPr>
      </w:pPr>
    </w:p>
    <w:p w14:paraId="5862A2AB" w14:textId="77777777" w:rsidR="004462A0" w:rsidRPr="008912CF" w:rsidRDefault="004462A0" w:rsidP="004462A0">
      <w:pPr>
        <w:rPr>
          <w:sz w:val="22"/>
          <w:szCs w:val="22"/>
        </w:rPr>
      </w:pPr>
    </w:p>
    <w:p w14:paraId="5B07687D" w14:textId="77777777" w:rsidR="004462A0" w:rsidRPr="008912CF" w:rsidRDefault="004462A0" w:rsidP="004462A0">
      <w:pPr>
        <w:rPr>
          <w:sz w:val="22"/>
          <w:szCs w:val="22"/>
        </w:rPr>
      </w:pPr>
    </w:p>
    <w:p w14:paraId="4640729B" w14:textId="77777777" w:rsidR="004462A0" w:rsidRPr="008912CF" w:rsidRDefault="004462A0" w:rsidP="004462A0">
      <w:pPr>
        <w:rPr>
          <w:sz w:val="22"/>
          <w:szCs w:val="22"/>
        </w:rPr>
      </w:pPr>
    </w:p>
    <w:p w14:paraId="31796D11" w14:textId="77777777" w:rsidR="004462A0" w:rsidRPr="008912CF" w:rsidRDefault="004462A0" w:rsidP="004462A0">
      <w:pPr>
        <w:rPr>
          <w:sz w:val="22"/>
          <w:szCs w:val="22"/>
        </w:rPr>
      </w:pPr>
    </w:p>
    <w:p w14:paraId="1A59E6F7" w14:textId="77777777" w:rsidR="004462A0" w:rsidRPr="008912CF" w:rsidRDefault="004462A0" w:rsidP="004462A0">
      <w:pPr>
        <w:rPr>
          <w:sz w:val="22"/>
          <w:szCs w:val="22"/>
        </w:rPr>
      </w:pPr>
    </w:p>
    <w:p w14:paraId="05FE57A4" w14:textId="77777777" w:rsidR="004462A0" w:rsidRPr="008912CF" w:rsidRDefault="004462A0" w:rsidP="004462A0">
      <w:pPr>
        <w:rPr>
          <w:sz w:val="22"/>
          <w:szCs w:val="22"/>
        </w:rPr>
      </w:pPr>
    </w:p>
    <w:p w14:paraId="0974F41E" w14:textId="77777777" w:rsidR="004462A0" w:rsidRPr="008912CF" w:rsidRDefault="004462A0" w:rsidP="004462A0">
      <w:pPr>
        <w:rPr>
          <w:sz w:val="22"/>
          <w:szCs w:val="22"/>
        </w:rPr>
      </w:pPr>
    </w:p>
    <w:p w14:paraId="66C5C597" w14:textId="77777777" w:rsidR="004462A0" w:rsidRPr="008912CF" w:rsidRDefault="004462A0" w:rsidP="004462A0">
      <w:pPr>
        <w:rPr>
          <w:sz w:val="22"/>
          <w:szCs w:val="22"/>
        </w:rPr>
      </w:pPr>
    </w:p>
    <w:p w14:paraId="4C3A0F84" w14:textId="77777777" w:rsidR="004462A0" w:rsidRPr="008912CF" w:rsidRDefault="004462A0" w:rsidP="004462A0">
      <w:pPr>
        <w:rPr>
          <w:sz w:val="22"/>
          <w:szCs w:val="22"/>
        </w:rPr>
      </w:pPr>
    </w:p>
    <w:p w14:paraId="6A7216BD" w14:textId="77777777" w:rsidR="004462A0" w:rsidRPr="008912CF" w:rsidRDefault="004462A0" w:rsidP="004462A0">
      <w:pPr>
        <w:rPr>
          <w:sz w:val="22"/>
          <w:szCs w:val="22"/>
        </w:rPr>
      </w:pPr>
    </w:p>
    <w:p w14:paraId="35DF3E0E" w14:textId="77777777" w:rsidR="004462A0" w:rsidRPr="008912CF" w:rsidRDefault="004462A0" w:rsidP="004462A0">
      <w:pPr>
        <w:rPr>
          <w:sz w:val="22"/>
          <w:szCs w:val="22"/>
        </w:rPr>
      </w:pPr>
    </w:p>
    <w:p w14:paraId="505C806B" w14:textId="77777777" w:rsidR="004462A0" w:rsidRPr="008912CF" w:rsidRDefault="004462A0" w:rsidP="004462A0">
      <w:pPr>
        <w:rPr>
          <w:sz w:val="22"/>
          <w:szCs w:val="22"/>
        </w:rPr>
      </w:pPr>
    </w:p>
    <w:p w14:paraId="07B760D7" w14:textId="77777777" w:rsidR="004462A0" w:rsidRDefault="004462A0" w:rsidP="004462A0">
      <w:pPr>
        <w:rPr>
          <w:sz w:val="22"/>
          <w:szCs w:val="22"/>
        </w:rPr>
      </w:pPr>
    </w:p>
    <w:p w14:paraId="210AD506" w14:textId="77777777" w:rsidR="004462A0" w:rsidRPr="008912CF" w:rsidRDefault="004462A0" w:rsidP="004462A0">
      <w:pPr>
        <w:rPr>
          <w:sz w:val="22"/>
          <w:szCs w:val="22"/>
        </w:rPr>
      </w:pPr>
    </w:p>
    <w:p w14:paraId="379B1482" w14:textId="77777777" w:rsidR="004462A0" w:rsidRPr="008912CF" w:rsidRDefault="004462A0" w:rsidP="004462A0">
      <w:pPr>
        <w:rPr>
          <w:sz w:val="22"/>
          <w:szCs w:val="22"/>
        </w:rPr>
      </w:pPr>
    </w:p>
    <w:p w14:paraId="536E8416" w14:textId="77777777" w:rsidR="004462A0" w:rsidRPr="008912CF" w:rsidRDefault="004462A0" w:rsidP="004462A0">
      <w:pPr>
        <w:rPr>
          <w:sz w:val="22"/>
          <w:szCs w:val="22"/>
        </w:rPr>
      </w:pPr>
    </w:p>
    <w:p w14:paraId="51CE170F" w14:textId="77777777" w:rsidR="004462A0" w:rsidRPr="008912CF" w:rsidRDefault="004462A0" w:rsidP="004462A0">
      <w:pPr>
        <w:rPr>
          <w:sz w:val="22"/>
          <w:szCs w:val="22"/>
        </w:rPr>
      </w:pPr>
    </w:p>
    <w:p w14:paraId="6A5776D5" w14:textId="77777777" w:rsidR="004462A0" w:rsidRPr="008912CF" w:rsidRDefault="004462A0" w:rsidP="004462A0">
      <w:pPr>
        <w:pStyle w:val="EndnoteText"/>
        <w:tabs>
          <w:tab w:val="clear" w:pos="567"/>
        </w:tabs>
        <w:rPr>
          <w:szCs w:val="22"/>
        </w:rPr>
      </w:pPr>
    </w:p>
    <w:p w14:paraId="3876C829" w14:textId="77777777" w:rsidR="004462A0" w:rsidRPr="008912CF" w:rsidRDefault="004462A0" w:rsidP="004462A0">
      <w:pPr>
        <w:jc w:val="center"/>
        <w:rPr>
          <w:b/>
          <w:sz w:val="22"/>
          <w:szCs w:val="22"/>
        </w:rPr>
      </w:pPr>
    </w:p>
    <w:p w14:paraId="3FE98D42" w14:textId="77777777" w:rsidR="004462A0" w:rsidRPr="008912CF" w:rsidRDefault="004462A0" w:rsidP="004462A0">
      <w:pPr>
        <w:jc w:val="center"/>
        <w:rPr>
          <w:b/>
          <w:sz w:val="22"/>
          <w:szCs w:val="22"/>
        </w:rPr>
      </w:pPr>
    </w:p>
    <w:p w14:paraId="7DDCF7F0" w14:textId="77777777" w:rsidR="004462A0" w:rsidRPr="008912CF" w:rsidRDefault="004462A0" w:rsidP="004462A0">
      <w:pPr>
        <w:jc w:val="center"/>
        <w:rPr>
          <w:b/>
          <w:sz w:val="22"/>
          <w:szCs w:val="22"/>
        </w:rPr>
      </w:pPr>
    </w:p>
    <w:p w14:paraId="21209FA9" w14:textId="77777777" w:rsidR="004462A0" w:rsidRPr="008912CF" w:rsidRDefault="004462A0" w:rsidP="004462A0">
      <w:pPr>
        <w:jc w:val="center"/>
        <w:rPr>
          <w:b/>
          <w:sz w:val="22"/>
          <w:szCs w:val="22"/>
        </w:rPr>
      </w:pPr>
    </w:p>
    <w:p w14:paraId="7B99D867" w14:textId="77777777" w:rsidR="004462A0" w:rsidRPr="008912CF" w:rsidRDefault="00615769" w:rsidP="004462A0">
      <w:pPr>
        <w:pStyle w:val="BMCENTRED"/>
        <w:keepNext w:val="0"/>
      </w:pPr>
      <w:r>
        <w:t>B. FOLHETO INFORMATIVO</w:t>
      </w:r>
    </w:p>
    <w:p w14:paraId="580FE898" w14:textId="77777777" w:rsidR="00FB4614" w:rsidRDefault="00615769">
      <w:pPr>
        <w:spacing w:after="200" w:line="276" w:lineRule="auto"/>
        <w:rPr>
          <w:caps/>
          <w:szCs w:val="22"/>
        </w:rPr>
      </w:pPr>
      <w:r>
        <w:rPr>
          <w:caps/>
          <w:szCs w:val="22"/>
        </w:rPr>
        <w:br w:type="page"/>
      </w:r>
    </w:p>
    <w:p w14:paraId="755AEEC0" w14:textId="77777777" w:rsidR="008D4B8F" w:rsidRPr="00EC0461" w:rsidRDefault="00615769" w:rsidP="008D4B8F">
      <w:pPr>
        <w:suppressAutoHyphens/>
        <w:ind w:left="567" w:hanging="567"/>
        <w:jc w:val="center"/>
        <w:rPr>
          <w:sz w:val="22"/>
          <w:szCs w:val="22"/>
        </w:rPr>
      </w:pPr>
      <w:r w:rsidRPr="000A0D77">
        <w:rPr>
          <w:b/>
          <w:sz w:val="22"/>
          <w:szCs w:val="22"/>
        </w:rPr>
        <w:t>Folheto informativo: Informação para o doente</w:t>
      </w:r>
    </w:p>
    <w:p w14:paraId="3C862C4B" w14:textId="77777777" w:rsidR="008D4B8F" w:rsidRPr="00EC0461" w:rsidRDefault="008D4B8F" w:rsidP="008D4B8F">
      <w:pPr>
        <w:suppressAutoHyphens/>
        <w:ind w:left="567" w:hanging="567"/>
        <w:jc w:val="center"/>
        <w:rPr>
          <w:sz w:val="22"/>
          <w:szCs w:val="22"/>
        </w:rPr>
      </w:pPr>
    </w:p>
    <w:p w14:paraId="025E0C7F" w14:textId="77777777" w:rsidR="008D4B8F" w:rsidRPr="00EC0461" w:rsidRDefault="00615769" w:rsidP="008D4B8F">
      <w:pPr>
        <w:jc w:val="center"/>
        <w:rPr>
          <w:sz w:val="22"/>
          <w:szCs w:val="22"/>
        </w:rPr>
      </w:pPr>
      <w:r w:rsidRPr="008912CF">
        <w:rPr>
          <w:b/>
          <w:sz w:val="22"/>
          <w:szCs w:val="22"/>
        </w:rPr>
        <w:t xml:space="preserve">Humira </w:t>
      </w:r>
      <w:r w:rsidR="001420EB">
        <w:rPr>
          <w:b/>
          <w:sz w:val="22"/>
          <w:szCs w:val="22"/>
        </w:rPr>
        <w:t>2</w:t>
      </w:r>
      <w:r w:rsidRPr="008912CF">
        <w:rPr>
          <w:b/>
          <w:bCs/>
          <w:sz w:val="22"/>
          <w:szCs w:val="22"/>
        </w:rPr>
        <w:t xml:space="preserve">0 mg solução injetável em </w:t>
      </w:r>
      <w:r w:rsidR="001420EB">
        <w:rPr>
          <w:b/>
          <w:bCs/>
          <w:sz w:val="22"/>
          <w:szCs w:val="22"/>
        </w:rPr>
        <w:t>seringa pré-cheia</w:t>
      </w:r>
    </w:p>
    <w:p w14:paraId="6D12100B" w14:textId="77777777" w:rsidR="008D4B8F" w:rsidRPr="008912CF" w:rsidRDefault="00615769" w:rsidP="008D4B8F">
      <w:pPr>
        <w:jc w:val="center"/>
        <w:rPr>
          <w:bCs/>
          <w:sz w:val="22"/>
          <w:szCs w:val="22"/>
        </w:rPr>
      </w:pPr>
      <w:r w:rsidRPr="008912CF">
        <w:rPr>
          <w:bCs/>
          <w:sz w:val="22"/>
          <w:szCs w:val="22"/>
        </w:rPr>
        <w:t>adalimumab</w:t>
      </w:r>
    </w:p>
    <w:p w14:paraId="68FE60C5" w14:textId="77777777" w:rsidR="008D4B8F" w:rsidRPr="008912CF" w:rsidRDefault="008D4B8F" w:rsidP="008D4B8F">
      <w:pPr>
        <w:jc w:val="center"/>
        <w:rPr>
          <w:bCs/>
          <w:sz w:val="22"/>
          <w:szCs w:val="22"/>
        </w:rPr>
      </w:pPr>
    </w:p>
    <w:p w14:paraId="01D35032" w14:textId="77777777" w:rsidR="008D4B8F" w:rsidRPr="008912CF" w:rsidRDefault="00615769" w:rsidP="008D4B8F">
      <w:pPr>
        <w:ind w:right="-2"/>
        <w:rPr>
          <w:sz w:val="22"/>
          <w:szCs w:val="22"/>
        </w:rPr>
      </w:pPr>
      <w:r w:rsidRPr="008912CF">
        <w:rPr>
          <w:b/>
          <w:sz w:val="22"/>
          <w:szCs w:val="22"/>
        </w:rPr>
        <w:t>Leia com atenção todo este folheto antes de a sua criança começar a utilizar este medicamento, pois contém informação importante para si.</w:t>
      </w:r>
    </w:p>
    <w:p w14:paraId="22B82D7C" w14:textId="77777777" w:rsidR="008D4B8F" w:rsidRPr="008912CF" w:rsidRDefault="00615769" w:rsidP="008D4B8F">
      <w:pPr>
        <w:numPr>
          <w:ilvl w:val="0"/>
          <w:numId w:val="19"/>
        </w:numPr>
        <w:ind w:right="-2"/>
        <w:rPr>
          <w:sz w:val="22"/>
          <w:szCs w:val="22"/>
        </w:rPr>
      </w:pPr>
      <w:r w:rsidRPr="008912CF">
        <w:rPr>
          <w:sz w:val="22"/>
          <w:szCs w:val="22"/>
        </w:rPr>
        <w:t>Conserve este folheto. Pode ter necessidade de o ler novamente.</w:t>
      </w:r>
    </w:p>
    <w:p w14:paraId="0EB5C50B" w14:textId="77777777" w:rsidR="008D4B8F" w:rsidRPr="008912CF" w:rsidRDefault="00615769" w:rsidP="008D4B8F">
      <w:pPr>
        <w:numPr>
          <w:ilvl w:val="0"/>
          <w:numId w:val="19"/>
        </w:numPr>
        <w:ind w:right="-2"/>
        <w:rPr>
          <w:sz w:val="22"/>
          <w:szCs w:val="22"/>
        </w:rPr>
      </w:pPr>
      <w:r w:rsidRPr="008912CF">
        <w:rPr>
          <w:sz w:val="22"/>
          <w:szCs w:val="22"/>
        </w:rPr>
        <w:t xml:space="preserve">O seu médico vai dar-lhe também </w:t>
      </w:r>
      <w:r w:rsidRPr="0083458C">
        <w:rPr>
          <w:sz w:val="22"/>
          <w:szCs w:val="22"/>
        </w:rPr>
        <w:t>um</w:t>
      </w:r>
      <w:r w:rsidRPr="00F03C54">
        <w:rPr>
          <w:b/>
          <w:sz w:val="22"/>
          <w:szCs w:val="22"/>
        </w:rPr>
        <w:t xml:space="preserve"> Cartão de Segurança do Doente</w:t>
      </w:r>
      <w:r w:rsidRPr="008912CF">
        <w:rPr>
          <w:sz w:val="22"/>
          <w:szCs w:val="22"/>
        </w:rPr>
        <w:t xml:space="preserve">, que contém informação de segurança importante que precisa conhecer, antes e durante o tratamento da sua criança com Humira. Mantenha o </w:t>
      </w:r>
      <w:r w:rsidRPr="00F03C54">
        <w:rPr>
          <w:b/>
          <w:sz w:val="22"/>
          <w:szCs w:val="22"/>
        </w:rPr>
        <w:t>Cartão de Segurança do Doente</w:t>
      </w:r>
      <w:r w:rsidRPr="008912CF">
        <w:rPr>
          <w:sz w:val="22"/>
          <w:szCs w:val="22"/>
        </w:rPr>
        <w:t xml:space="preserve"> consigo ou com a sua criança.</w:t>
      </w:r>
    </w:p>
    <w:p w14:paraId="6E54FD0D" w14:textId="77777777" w:rsidR="008D4B8F" w:rsidRPr="008912CF" w:rsidRDefault="00615769" w:rsidP="008D4B8F">
      <w:pPr>
        <w:numPr>
          <w:ilvl w:val="0"/>
          <w:numId w:val="20"/>
        </w:numPr>
        <w:ind w:right="-2"/>
        <w:rPr>
          <w:sz w:val="22"/>
          <w:szCs w:val="22"/>
        </w:rPr>
      </w:pPr>
      <w:r w:rsidRPr="008912CF">
        <w:rPr>
          <w:sz w:val="22"/>
          <w:szCs w:val="22"/>
        </w:rPr>
        <w:t>Caso ainda tenha dúvidas, fale com o seu médico ou farmacêutico.</w:t>
      </w:r>
    </w:p>
    <w:p w14:paraId="4D7CD58E" w14:textId="77777777" w:rsidR="008D4B8F" w:rsidRPr="008912CF" w:rsidRDefault="00615769" w:rsidP="008D4B8F">
      <w:pPr>
        <w:numPr>
          <w:ilvl w:val="0"/>
          <w:numId w:val="21"/>
        </w:numPr>
        <w:ind w:right="-2"/>
        <w:rPr>
          <w:b/>
          <w:sz w:val="22"/>
          <w:szCs w:val="22"/>
        </w:rPr>
      </w:pPr>
      <w:r w:rsidRPr="008912CF">
        <w:rPr>
          <w:sz w:val="22"/>
          <w:szCs w:val="22"/>
        </w:rPr>
        <w:t>Este medicamento foi receitado apenas para a sua criança. Não deve dá-lo a outros. O medicamento pode ser-lhes prejudicial mesmo que apresentem os mesmos sinais de doença da sua criança.</w:t>
      </w:r>
    </w:p>
    <w:p w14:paraId="49198FE9" w14:textId="77777777" w:rsidR="008D4B8F" w:rsidRPr="008912CF" w:rsidRDefault="00615769" w:rsidP="008D4B8F">
      <w:pPr>
        <w:numPr>
          <w:ilvl w:val="0"/>
          <w:numId w:val="21"/>
        </w:numPr>
        <w:ind w:right="-2"/>
        <w:rPr>
          <w:b/>
          <w:sz w:val="22"/>
          <w:szCs w:val="22"/>
        </w:rPr>
      </w:pPr>
      <w:r w:rsidRPr="008912CF">
        <w:rPr>
          <w:sz w:val="22"/>
          <w:szCs w:val="22"/>
        </w:rPr>
        <w:t xml:space="preserve">Se a sua criança tiver quaisquer efeitos </w:t>
      </w:r>
      <w:r w:rsidR="00571C82">
        <w:rPr>
          <w:sz w:val="22"/>
          <w:szCs w:val="22"/>
        </w:rPr>
        <w:t>indesejáveis</w:t>
      </w:r>
      <w:r w:rsidRPr="008912CF">
        <w:rPr>
          <w:sz w:val="22"/>
          <w:szCs w:val="22"/>
        </w:rPr>
        <w:t xml:space="preserve">, incluindo possíveis efeitos </w:t>
      </w:r>
      <w:r w:rsidR="00571C82">
        <w:rPr>
          <w:sz w:val="22"/>
          <w:szCs w:val="22"/>
        </w:rPr>
        <w:t>indesejáveis</w:t>
      </w:r>
      <w:r w:rsidRPr="008912CF">
        <w:rPr>
          <w:sz w:val="22"/>
          <w:szCs w:val="22"/>
        </w:rPr>
        <w:t xml:space="preserve"> não indicados neste folheto, informe o médico ou farmacêutico da sua criança</w:t>
      </w:r>
      <w:r w:rsidR="00155F9A">
        <w:rPr>
          <w:sz w:val="22"/>
          <w:szCs w:val="22"/>
        </w:rPr>
        <w:t>. Ver secção 4.</w:t>
      </w:r>
      <w:r w:rsidRPr="008912CF">
        <w:rPr>
          <w:sz w:val="22"/>
          <w:szCs w:val="22"/>
        </w:rPr>
        <w:t xml:space="preserve"> </w:t>
      </w:r>
    </w:p>
    <w:p w14:paraId="74B2C9FD" w14:textId="77777777" w:rsidR="008D4B8F" w:rsidRPr="008912CF" w:rsidRDefault="008D4B8F" w:rsidP="008D4B8F">
      <w:pPr>
        <w:ind w:right="-2"/>
        <w:rPr>
          <w:sz w:val="22"/>
          <w:szCs w:val="22"/>
          <w:u w:val="single"/>
        </w:rPr>
      </w:pPr>
    </w:p>
    <w:p w14:paraId="09FBE1C7" w14:textId="77777777" w:rsidR="008D4B8F" w:rsidRPr="009B21DC" w:rsidRDefault="00615769" w:rsidP="008D4B8F">
      <w:pPr>
        <w:ind w:right="-2"/>
        <w:rPr>
          <w:sz w:val="22"/>
          <w:szCs w:val="22"/>
        </w:rPr>
      </w:pPr>
      <w:r w:rsidRPr="00F1550B">
        <w:rPr>
          <w:b/>
          <w:sz w:val="22"/>
          <w:szCs w:val="22"/>
        </w:rPr>
        <w:t>O que contém este folheto</w:t>
      </w:r>
      <w:r w:rsidRPr="009B21DC">
        <w:rPr>
          <w:sz w:val="22"/>
          <w:szCs w:val="22"/>
        </w:rPr>
        <w:t xml:space="preserve"> </w:t>
      </w:r>
    </w:p>
    <w:p w14:paraId="1F11544E" w14:textId="77777777" w:rsidR="008D4B8F" w:rsidRPr="008912CF" w:rsidRDefault="00615769" w:rsidP="008D4B8F">
      <w:pPr>
        <w:ind w:left="567" w:right="-28" w:hanging="567"/>
        <w:rPr>
          <w:sz w:val="22"/>
          <w:szCs w:val="22"/>
        </w:rPr>
      </w:pPr>
      <w:r w:rsidRPr="008912CF">
        <w:rPr>
          <w:sz w:val="22"/>
          <w:szCs w:val="22"/>
        </w:rPr>
        <w:t>1.</w:t>
      </w:r>
      <w:r w:rsidRPr="008912CF">
        <w:rPr>
          <w:sz w:val="22"/>
          <w:szCs w:val="22"/>
        </w:rPr>
        <w:tab/>
        <w:t xml:space="preserve">O que é Humira e para que é utilizado </w:t>
      </w:r>
    </w:p>
    <w:p w14:paraId="76DBF2F9" w14:textId="77777777" w:rsidR="008D4B8F" w:rsidRPr="008912CF" w:rsidRDefault="00615769" w:rsidP="008D4B8F">
      <w:pPr>
        <w:ind w:left="567" w:right="-29" w:hanging="567"/>
        <w:rPr>
          <w:sz w:val="22"/>
          <w:szCs w:val="22"/>
        </w:rPr>
      </w:pPr>
      <w:r w:rsidRPr="008912CF">
        <w:rPr>
          <w:sz w:val="22"/>
          <w:szCs w:val="22"/>
        </w:rPr>
        <w:t>2.</w:t>
      </w:r>
      <w:r w:rsidRPr="008912CF">
        <w:rPr>
          <w:sz w:val="22"/>
          <w:szCs w:val="22"/>
        </w:rPr>
        <w:tab/>
      </w:r>
      <w:r w:rsidRPr="008912CF">
        <w:rPr>
          <w:sz w:val="22"/>
          <w:szCs w:val="22"/>
        </w:rPr>
        <w:t>O que precisa de saber antes d</w:t>
      </w:r>
      <w:r w:rsidR="001E4A60">
        <w:rPr>
          <w:sz w:val="22"/>
          <w:szCs w:val="22"/>
        </w:rPr>
        <w:t xml:space="preserve">a sua criança </w:t>
      </w:r>
      <w:r w:rsidRPr="008912CF">
        <w:rPr>
          <w:sz w:val="22"/>
          <w:szCs w:val="22"/>
        </w:rPr>
        <w:t>utilizar Humira</w:t>
      </w:r>
    </w:p>
    <w:p w14:paraId="6F0534F6" w14:textId="77777777" w:rsidR="008D4B8F" w:rsidRPr="008912CF" w:rsidRDefault="00615769" w:rsidP="008D4B8F">
      <w:pPr>
        <w:ind w:left="567" w:right="-29" w:hanging="567"/>
        <w:rPr>
          <w:sz w:val="22"/>
          <w:szCs w:val="22"/>
        </w:rPr>
      </w:pPr>
      <w:r w:rsidRPr="008912CF">
        <w:rPr>
          <w:sz w:val="22"/>
          <w:szCs w:val="22"/>
        </w:rPr>
        <w:t>3.</w:t>
      </w:r>
      <w:r w:rsidRPr="008912CF">
        <w:rPr>
          <w:sz w:val="22"/>
          <w:szCs w:val="22"/>
        </w:rPr>
        <w:tab/>
        <w:t>Como utilizar Humira</w:t>
      </w:r>
    </w:p>
    <w:p w14:paraId="35CDC0F9" w14:textId="77777777" w:rsidR="008D4B8F" w:rsidRPr="008912CF" w:rsidRDefault="00615769" w:rsidP="008D4B8F">
      <w:pPr>
        <w:ind w:left="567" w:right="-29" w:hanging="567"/>
        <w:rPr>
          <w:sz w:val="22"/>
          <w:szCs w:val="22"/>
        </w:rPr>
      </w:pPr>
      <w:r w:rsidRPr="008912CF">
        <w:rPr>
          <w:sz w:val="22"/>
          <w:szCs w:val="22"/>
        </w:rPr>
        <w:t>4.</w:t>
      </w:r>
      <w:r w:rsidRPr="008912CF">
        <w:rPr>
          <w:sz w:val="22"/>
          <w:szCs w:val="22"/>
        </w:rPr>
        <w:tab/>
        <w:t xml:space="preserve">Efeitos </w:t>
      </w:r>
      <w:r w:rsidR="00571C82">
        <w:rPr>
          <w:sz w:val="22"/>
          <w:szCs w:val="22"/>
        </w:rPr>
        <w:t>indesejáveis</w:t>
      </w:r>
      <w:r w:rsidRPr="008912CF">
        <w:rPr>
          <w:sz w:val="22"/>
          <w:szCs w:val="22"/>
        </w:rPr>
        <w:t xml:space="preserve"> possíveis </w:t>
      </w:r>
    </w:p>
    <w:p w14:paraId="3170D0D2" w14:textId="77777777" w:rsidR="008D4B8F" w:rsidRPr="008912CF" w:rsidRDefault="00615769" w:rsidP="008D4B8F">
      <w:pPr>
        <w:ind w:left="567" w:right="-29" w:hanging="567"/>
        <w:rPr>
          <w:sz w:val="22"/>
          <w:szCs w:val="22"/>
        </w:rPr>
      </w:pPr>
      <w:r w:rsidRPr="008912CF">
        <w:rPr>
          <w:sz w:val="22"/>
          <w:szCs w:val="22"/>
        </w:rPr>
        <w:t>5.</w:t>
      </w:r>
      <w:r w:rsidRPr="008912CF">
        <w:rPr>
          <w:sz w:val="22"/>
          <w:szCs w:val="22"/>
        </w:rPr>
        <w:tab/>
        <w:t>Como conservar Humira</w:t>
      </w:r>
    </w:p>
    <w:p w14:paraId="5007E340" w14:textId="77777777" w:rsidR="008D4B8F" w:rsidRDefault="00615769" w:rsidP="008D4B8F">
      <w:pPr>
        <w:ind w:left="567" w:right="-29" w:hanging="567"/>
        <w:rPr>
          <w:sz w:val="22"/>
          <w:szCs w:val="22"/>
        </w:rPr>
      </w:pPr>
      <w:r w:rsidRPr="008912CF">
        <w:rPr>
          <w:sz w:val="22"/>
          <w:szCs w:val="22"/>
        </w:rPr>
        <w:t>6.</w:t>
      </w:r>
      <w:r w:rsidRPr="008912CF">
        <w:rPr>
          <w:sz w:val="22"/>
          <w:szCs w:val="22"/>
        </w:rPr>
        <w:tab/>
        <w:t xml:space="preserve">Conteúdo da embalagem e outras informações </w:t>
      </w:r>
    </w:p>
    <w:p w14:paraId="59A5FBB8" w14:textId="77777777" w:rsidR="001420EB" w:rsidRPr="008912CF" w:rsidRDefault="00615769" w:rsidP="008D4B8F">
      <w:pPr>
        <w:ind w:left="567" w:right="-29" w:hanging="567"/>
        <w:rPr>
          <w:sz w:val="22"/>
          <w:szCs w:val="22"/>
        </w:rPr>
      </w:pPr>
      <w:r>
        <w:rPr>
          <w:sz w:val="22"/>
          <w:szCs w:val="22"/>
        </w:rPr>
        <w:t>7.</w:t>
      </w:r>
      <w:r>
        <w:rPr>
          <w:sz w:val="22"/>
          <w:szCs w:val="22"/>
        </w:rPr>
        <w:tab/>
      </w:r>
      <w:r w:rsidR="00707B8C">
        <w:rPr>
          <w:sz w:val="22"/>
          <w:szCs w:val="22"/>
        </w:rPr>
        <w:t>Injetar Humira</w:t>
      </w:r>
      <w:r w:rsidR="00155F9A">
        <w:rPr>
          <w:sz w:val="22"/>
          <w:szCs w:val="22"/>
        </w:rPr>
        <w:t xml:space="preserve"> </w:t>
      </w:r>
    </w:p>
    <w:p w14:paraId="4FB6AA25" w14:textId="77777777" w:rsidR="008D4B8F" w:rsidRPr="008912CF" w:rsidRDefault="008D4B8F" w:rsidP="008D4B8F">
      <w:pPr>
        <w:ind w:right="-2"/>
        <w:rPr>
          <w:sz w:val="22"/>
          <w:szCs w:val="22"/>
        </w:rPr>
      </w:pPr>
    </w:p>
    <w:p w14:paraId="2DAA214A" w14:textId="77777777" w:rsidR="008D4B8F" w:rsidRPr="008912CF" w:rsidRDefault="008D4B8F" w:rsidP="008D4B8F">
      <w:pPr>
        <w:ind w:right="-2"/>
        <w:rPr>
          <w:sz w:val="22"/>
          <w:szCs w:val="22"/>
        </w:rPr>
      </w:pPr>
    </w:p>
    <w:p w14:paraId="72CBD12C" w14:textId="77777777" w:rsidR="008D4B8F" w:rsidRPr="008912CF" w:rsidRDefault="00615769" w:rsidP="008D4B8F">
      <w:pPr>
        <w:ind w:right="-2"/>
        <w:rPr>
          <w:sz w:val="22"/>
          <w:szCs w:val="22"/>
        </w:rPr>
      </w:pPr>
      <w:r w:rsidRPr="008912CF">
        <w:rPr>
          <w:b/>
          <w:sz w:val="22"/>
          <w:szCs w:val="22"/>
        </w:rPr>
        <w:t>1.</w:t>
      </w:r>
      <w:r w:rsidRPr="008912CF">
        <w:rPr>
          <w:b/>
          <w:sz w:val="22"/>
          <w:szCs w:val="22"/>
        </w:rPr>
        <w:tab/>
        <w:t xml:space="preserve">O que </w:t>
      </w:r>
      <w:r w:rsidR="00EC0461">
        <w:rPr>
          <w:b/>
          <w:sz w:val="22"/>
          <w:szCs w:val="22"/>
        </w:rPr>
        <w:t>é Humira e para que é utilizado</w:t>
      </w:r>
    </w:p>
    <w:p w14:paraId="10247528" w14:textId="77777777" w:rsidR="008D4B8F" w:rsidRPr="008912CF" w:rsidRDefault="008D4B8F" w:rsidP="008D4B8F">
      <w:pPr>
        <w:rPr>
          <w:sz w:val="22"/>
          <w:szCs w:val="22"/>
        </w:rPr>
      </w:pPr>
    </w:p>
    <w:p w14:paraId="61AF2FDC" w14:textId="77777777" w:rsidR="00816FFE" w:rsidRDefault="00615769" w:rsidP="001420EB">
      <w:pPr>
        <w:rPr>
          <w:sz w:val="22"/>
          <w:szCs w:val="22"/>
        </w:rPr>
      </w:pPr>
      <w:r w:rsidRPr="004931CE">
        <w:rPr>
          <w:sz w:val="22"/>
          <w:szCs w:val="22"/>
        </w:rPr>
        <w:t>Humira contém adalimumab como substância ativa</w:t>
      </w:r>
      <w:r w:rsidR="00547FDC">
        <w:rPr>
          <w:sz w:val="22"/>
          <w:szCs w:val="22"/>
        </w:rPr>
        <w:t>.</w:t>
      </w:r>
    </w:p>
    <w:p w14:paraId="18CBEAD5" w14:textId="77777777" w:rsidR="00816FFE" w:rsidRDefault="00816FFE" w:rsidP="001420EB">
      <w:pPr>
        <w:rPr>
          <w:sz w:val="22"/>
          <w:szCs w:val="22"/>
        </w:rPr>
      </w:pPr>
    </w:p>
    <w:p w14:paraId="61FCB409" w14:textId="77777777" w:rsidR="00816FFE" w:rsidRPr="00816FFE" w:rsidRDefault="00615769" w:rsidP="00816FFE">
      <w:pPr>
        <w:ind w:right="-2"/>
        <w:rPr>
          <w:sz w:val="22"/>
          <w:szCs w:val="22"/>
        </w:rPr>
      </w:pPr>
      <w:r w:rsidRPr="00816FFE">
        <w:rPr>
          <w:sz w:val="22"/>
          <w:szCs w:val="22"/>
        </w:rPr>
        <w:t>Humira é usado no tratamento</w:t>
      </w:r>
      <w:r>
        <w:rPr>
          <w:sz w:val="22"/>
          <w:szCs w:val="22"/>
        </w:rPr>
        <w:t xml:space="preserve"> </w:t>
      </w:r>
      <w:r w:rsidR="00547FDC" w:rsidRPr="00816FFE">
        <w:rPr>
          <w:sz w:val="22"/>
          <w:szCs w:val="22"/>
        </w:rPr>
        <w:t>d</w:t>
      </w:r>
      <w:r>
        <w:rPr>
          <w:sz w:val="22"/>
          <w:szCs w:val="22"/>
        </w:rPr>
        <w:t>as</w:t>
      </w:r>
      <w:r w:rsidR="00547FDC" w:rsidRPr="00816FFE">
        <w:rPr>
          <w:sz w:val="22"/>
          <w:szCs w:val="22"/>
        </w:rPr>
        <w:t xml:space="preserve"> doenças inflamatórias abaixo descritas:</w:t>
      </w:r>
    </w:p>
    <w:p w14:paraId="3693A220" w14:textId="77777777" w:rsidR="00CB1589" w:rsidRPr="00F03C54" w:rsidRDefault="00615769" w:rsidP="00F03C54">
      <w:pPr>
        <w:pStyle w:val="ListParagraph"/>
        <w:numPr>
          <w:ilvl w:val="0"/>
          <w:numId w:val="119"/>
        </w:numPr>
        <w:ind w:right="-2"/>
        <w:rPr>
          <w:sz w:val="22"/>
          <w:szCs w:val="22"/>
        </w:rPr>
      </w:pPr>
      <w:r w:rsidRPr="00F03C54">
        <w:rPr>
          <w:sz w:val="22"/>
          <w:szCs w:val="22"/>
        </w:rPr>
        <w:t xml:space="preserve">Artrite idiopática juvenil poliarticular  </w:t>
      </w:r>
    </w:p>
    <w:p w14:paraId="58BF6BD5" w14:textId="77777777" w:rsidR="008D4B8F" w:rsidRPr="00F03C54" w:rsidRDefault="00615769" w:rsidP="00F03C54">
      <w:pPr>
        <w:pStyle w:val="ListParagraph"/>
        <w:numPr>
          <w:ilvl w:val="0"/>
          <w:numId w:val="119"/>
        </w:numPr>
        <w:ind w:right="-2"/>
        <w:rPr>
          <w:sz w:val="22"/>
          <w:szCs w:val="22"/>
        </w:rPr>
      </w:pPr>
      <w:r w:rsidRPr="00F03C54">
        <w:rPr>
          <w:sz w:val="22"/>
          <w:szCs w:val="22"/>
        </w:rPr>
        <w:t>Artrite relacionada com entesite</w:t>
      </w:r>
    </w:p>
    <w:p w14:paraId="4298ABC9" w14:textId="77777777" w:rsidR="00CB1589" w:rsidRPr="00F03C54" w:rsidRDefault="00615769" w:rsidP="00F03C54">
      <w:pPr>
        <w:pStyle w:val="ListParagraph"/>
        <w:numPr>
          <w:ilvl w:val="0"/>
          <w:numId w:val="119"/>
        </w:numPr>
        <w:ind w:right="-2"/>
        <w:rPr>
          <w:sz w:val="22"/>
          <w:szCs w:val="22"/>
        </w:rPr>
      </w:pPr>
      <w:r w:rsidRPr="00F03C54">
        <w:rPr>
          <w:sz w:val="22"/>
          <w:szCs w:val="22"/>
        </w:rPr>
        <w:t xml:space="preserve">Psoríase </w:t>
      </w:r>
      <w:r w:rsidR="00676003">
        <w:rPr>
          <w:sz w:val="22"/>
          <w:szCs w:val="22"/>
        </w:rPr>
        <w:t xml:space="preserve">pediátrica </w:t>
      </w:r>
      <w:r w:rsidRPr="00F03C54">
        <w:rPr>
          <w:sz w:val="22"/>
          <w:szCs w:val="22"/>
        </w:rPr>
        <w:t>em placas</w:t>
      </w:r>
    </w:p>
    <w:p w14:paraId="76031CF3" w14:textId="77777777" w:rsidR="00CB1589" w:rsidRPr="00F03C54" w:rsidRDefault="00615769" w:rsidP="00F03C54">
      <w:pPr>
        <w:pStyle w:val="ListParagraph"/>
        <w:numPr>
          <w:ilvl w:val="0"/>
          <w:numId w:val="119"/>
        </w:numPr>
        <w:ind w:right="-2"/>
        <w:rPr>
          <w:sz w:val="22"/>
          <w:szCs w:val="22"/>
        </w:rPr>
      </w:pPr>
      <w:r w:rsidRPr="00F03C54">
        <w:rPr>
          <w:sz w:val="22"/>
          <w:szCs w:val="22"/>
        </w:rPr>
        <w:t>Doença de Crohn</w:t>
      </w:r>
      <w:r w:rsidR="00676003">
        <w:rPr>
          <w:sz w:val="22"/>
          <w:szCs w:val="22"/>
        </w:rPr>
        <w:t xml:space="preserve"> pediátrica</w:t>
      </w:r>
    </w:p>
    <w:p w14:paraId="707A9BCC" w14:textId="77777777" w:rsidR="00CB1589" w:rsidRPr="00F03C54" w:rsidRDefault="00615769" w:rsidP="00F03C54">
      <w:pPr>
        <w:pStyle w:val="ListParagraph"/>
        <w:numPr>
          <w:ilvl w:val="0"/>
          <w:numId w:val="119"/>
        </w:numPr>
        <w:ind w:right="-2"/>
        <w:rPr>
          <w:sz w:val="22"/>
          <w:szCs w:val="22"/>
        </w:rPr>
      </w:pPr>
      <w:r w:rsidRPr="00F03C54">
        <w:rPr>
          <w:sz w:val="22"/>
          <w:szCs w:val="22"/>
        </w:rPr>
        <w:t xml:space="preserve">Uveíte </w:t>
      </w:r>
      <w:r w:rsidR="00676003">
        <w:rPr>
          <w:sz w:val="22"/>
          <w:szCs w:val="22"/>
        </w:rPr>
        <w:t xml:space="preserve">pediátrica </w:t>
      </w:r>
    </w:p>
    <w:p w14:paraId="2AB7D553" w14:textId="77777777" w:rsidR="00135B54" w:rsidRDefault="00135B54" w:rsidP="00502CD5">
      <w:pPr>
        <w:rPr>
          <w:sz w:val="22"/>
          <w:szCs w:val="22"/>
        </w:rPr>
      </w:pPr>
    </w:p>
    <w:p w14:paraId="697FA080" w14:textId="77777777" w:rsidR="00502CD5" w:rsidRPr="00502CD5" w:rsidRDefault="00615769" w:rsidP="00502CD5">
      <w:pPr>
        <w:rPr>
          <w:sz w:val="22"/>
          <w:szCs w:val="22"/>
        </w:rPr>
      </w:pPr>
      <w:r w:rsidRPr="00502CD5">
        <w:rPr>
          <w:sz w:val="22"/>
          <w:szCs w:val="22"/>
        </w:rPr>
        <w:t>A substância ativa de Humira, adalimumab, é um anticorpo monoclonal humano. Os anticorpos monoclonais são proteínas que se ligam a um alvo específico.</w:t>
      </w:r>
    </w:p>
    <w:p w14:paraId="603D360D" w14:textId="77777777" w:rsidR="00502CD5" w:rsidRPr="00502CD5" w:rsidRDefault="00502CD5" w:rsidP="00502CD5">
      <w:pPr>
        <w:rPr>
          <w:sz w:val="22"/>
          <w:szCs w:val="22"/>
        </w:rPr>
      </w:pPr>
    </w:p>
    <w:p w14:paraId="274F6B9D" w14:textId="77777777" w:rsidR="00502CD5" w:rsidRDefault="00615769">
      <w:pPr>
        <w:rPr>
          <w:sz w:val="22"/>
          <w:szCs w:val="22"/>
        </w:rPr>
      </w:pPr>
      <w:r w:rsidRPr="00502CD5">
        <w:rPr>
          <w:sz w:val="22"/>
          <w:szCs w:val="22"/>
        </w:rPr>
        <w:t>O alvo de adalimumab é uma proteína denominada fator de necrose tumoral (TNFα), que está envolvida no sistema imunitário (</w:t>
      </w:r>
      <w:r w:rsidR="000A1999">
        <w:rPr>
          <w:sz w:val="22"/>
          <w:szCs w:val="22"/>
        </w:rPr>
        <w:t xml:space="preserve">de </w:t>
      </w:r>
      <w:r w:rsidRPr="00502CD5">
        <w:rPr>
          <w:sz w:val="22"/>
          <w:szCs w:val="22"/>
        </w:rPr>
        <w:t xml:space="preserve">defesa) e está presente em níveis aumentados nas doenças inflamatórias </w:t>
      </w:r>
      <w:r w:rsidR="00816FFE" w:rsidRPr="00502CD5">
        <w:rPr>
          <w:sz w:val="22"/>
          <w:szCs w:val="22"/>
        </w:rPr>
        <w:t>a</w:t>
      </w:r>
      <w:r w:rsidR="00816FFE">
        <w:rPr>
          <w:sz w:val="22"/>
          <w:szCs w:val="22"/>
        </w:rPr>
        <w:t>cima</w:t>
      </w:r>
      <w:r w:rsidR="00816FFE" w:rsidRPr="00502CD5">
        <w:rPr>
          <w:sz w:val="22"/>
          <w:szCs w:val="22"/>
        </w:rPr>
        <w:t xml:space="preserve"> </w:t>
      </w:r>
      <w:r w:rsidRPr="00502CD5">
        <w:rPr>
          <w:sz w:val="22"/>
          <w:szCs w:val="22"/>
        </w:rPr>
        <w:t xml:space="preserve">mencionadas. </w:t>
      </w:r>
      <w:r w:rsidR="00706CCD">
        <w:rPr>
          <w:sz w:val="22"/>
          <w:szCs w:val="22"/>
        </w:rPr>
        <w:t xml:space="preserve">Ao ligar-se </w:t>
      </w:r>
      <w:r w:rsidRPr="00502CD5">
        <w:rPr>
          <w:sz w:val="22"/>
          <w:szCs w:val="22"/>
        </w:rPr>
        <w:t>ao TNFα, Humira diminui o processo inflamatório destas doenças.</w:t>
      </w:r>
    </w:p>
    <w:p w14:paraId="2CE0262D" w14:textId="77777777" w:rsidR="00154AA2" w:rsidRPr="00973CF1" w:rsidRDefault="00154AA2" w:rsidP="00154AA2">
      <w:pPr>
        <w:pStyle w:val="DefaultText"/>
        <w:rPr>
          <w:szCs w:val="22"/>
          <w:lang w:val="pt-PT"/>
        </w:rPr>
      </w:pPr>
    </w:p>
    <w:p w14:paraId="2E255268" w14:textId="77777777" w:rsidR="00CB1589" w:rsidRPr="00973CF1" w:rsidRDefault="00615769" w:rsidP="00F03C54">
      <w:pPr>
        <w:pStyle w:val="DefaultText"/>
        <w:rPr>
          <w:szCs w:val="22"/>
          <w:u w:val="single"/>
          <w:lang w:val="pt-PT"/>
        </w:rPr>
      </w:pPr>
      <w:r w:rsidRPr="00F03C54">
        <w:rPr>
          <w:rFonts w:ascii="Times New Roman" w:hAnsi="Times New Roman"/>
          <w:szCs w:val="22"/>
          <w:u w:val="single"/>
          <w:lang w:val="pt-PT"/>
        </w:rPr>
        <w:t>Artrite idiopática juvenil poliarticular</w:t>
      </w:r>
    </w:p>
    <w:p w14:paraId="68D73340" w14:textId="77777777" w:rsidR="00CB1589" w:rsidRPr="00F03C54" w:rsidRDefault="00CB1589" w:rsidP="00CB1589">
      <w:pPr>
        <w:pStyle w:val="DefaultText"/>
        <w:rPr>
          <w:rFonts w:ascii="Times New Roman" w:hAnsi="Times New Roman"/>
          <w:szCs w:val="22"/>
          <w:lang w:val="pt-PT"/>
        </w:rPr>
      </w:pPr>
    </w:p>
    <w:p w14:paraId="22D6056E" w14:textId="77777777" w:rsidR="00CB1589" w:rsidRDefault="00615769" w:rsidP="00CB1589">
      <w:pPr>
        <w:pStyle w:val="DefaultText"/>
        <w:rPr>
          <w:rFonts w:ascii="Times New Roman" w:hAnsi="Times New Roman"/>
          <w:szCs w:val="22"/>
          <w:lang w:val="pt-PT"/>
        </w:rPr>
      </w:pPr>
      <w:r>
        <w:rPr>
          <w:rFonts w:ascii="Times New Roman" w:hAnsi="Times New Roman"/>
          <w:szCs w:val="22"/>
          <w:lang w:val="pt-PT"/>
        </w:rPr>
        <w:t>A artrite idiopática juvenil</w:t>
      </w:r>
      <w:r w:rsidR="008C53E0">
        <w:rPr>
          <w:rFonts w:ascii="Times New Roman" w:hAnsi="Times New Roman"/>
          <w:szCs w:val="22"/>
          <w:lang w:val="pt-PT"/>
        </w:rPr>
        <w:t xml:space="preserve"> </w:t>
      </w:r>
      <w:r w:rsidR="002D4EB6">
        <w:rPr>
          <w:rFonts w:ascii="Times New Roman" w:hAnsi="Times New Roman"/>
          <w:szCs w:val="22"/>
          <w:lang w:val="pt-PT"/>
        </w:rPr>
        <w:t xml:space="preserve">poliarticular </w:t>
      </w:r>
      <w:r w:rsidR="008C53E0">
        <w:rPr>
          <w:rFonts w:ascii="Times New Roman" w:hAnsi="Times New Roman"/>
          <w:szCs w:val="22"/>
          <w:lang w:val="pt-PT"/>
        </w:rPr>
        <w:t>é uma doença inflamatória das articulações</w:t>
      </w:r>
      <w:r w:rsidR="00502CD5">
        <w:rPr>
          <w:rFonts w:ascii="Times New Roman" w:hAnsi="Times New Roman"/>
          <w:szCs w:val="22"/>
          <w:lang w:val="pt-PT"/>
        </w:rPr>
        <w:t xml:space="preserve"> que </w:t>
      </w:r>
      <w:r w:rsidR="00155F9A">
        <w:rPr>
          <w:rFonts w:ascii="Times New Roman" w:hAnsi="Times New Roman"/>
          <w:szCs w:val="22"/>
          <w:lang w:val="pt-PT"/>
        </w:rPr>
        <w:t xml:space="preserve">surge normalmente pela primeira vez </w:t>
      </w:r>
      <w:r w:rsidR="00502CD5">
        <w:rPr>
          <w:rFonts w:ascii="Times New Roman" w:hAnsi="Times New Roman"/>
          <w:szCs w:val="22"/>
          <w:lang w:val="pt-PT"/>
        </w:rPr>
        <w:t>na infância.</w:t>
      </w:r>
    </w:p>
    <w:p w14:paraId="079B0503" w14:textId="77777777" w:rsidR="008C53E0" w:rsidRDefault="008C53E0" w:rsidP="008C53E0">
      <w:pPr>
        <w:pStyle w:val="BodyText3"/>
        <w:rPr>
          <w:szCs w:val="22"/>
        </w:rPr>
      </w:pPr>
    </w:p>
    <w:p w14:paraId="611BF278" w14:textId="77777777" w:rsidR="008C53E0" w:rsidRDefault="00615769" w:rsidP="00F22AF1">
      <w:pPr>
        <w:pStyle w:val="BodyText3"/>
        <w:rPr>
          <w:szCs w:val="22"/>
        </w:rPr>
      </w:pPr>
      <w:r w:rsidRPr="008912CF">
        <w:rPr>
          <w:szCs w:val="22"/>
        </w:rPr>
        <w:t xml:space="preserve">Humira é usado no tratamento da artrite idiopática juvenil poliarticular </w:t>
      </w:r>
      <w:r>
        <w:rPr>
          <w:szCs w:val="22"/>
        </w:rPr>
        <w:t>em crianças a partir dos 2 anos de idade</w:t>
      </w:r>
      <w:r w:rsidRPr="008912CF">
        <w:rPr>
          <w:szCs w:val="22"/>
        </w:rPr>
        <w:t xml:space="preserve">. </w:t>
      </w:r>
      <w:r w:rsidR="002F314C">
        <w:rPr>
          <w:szCs w:val="22"/>
        </w:rPr>
        <w:t xml:space="preserve">A </w:t>
      </w:r>
      <w:r w:rsidR="00707B8C">
        <w:rPr>
          <w:szCs w:val="22"/>
        </w:rPr>
        <w:t>sua criança</w:t>
      </w:r>
      <w:r w:rsidR="00502CD5">
        <w:rPr>
          <w:szCs w:val="22"/>
        </w:rPr>
        <w:t xml:space="preserve"> pode </w:t>
      </w:r>
      <w:r w:rsidRPr="008912CF">
        <w:rPr>
          <w:szCs w:val="22"/>
        </w:rPr>
        <w:t>ser tratad</w:t>
      </w:r>
      <w:r w:rsidR="00707B8C">
        <w:rPr>
          <w:szCs w:val="22"/>
        </w:rPr>
        <w:t>a</w:t>
      </w:r>
      <w:r w:rsidRPr="008912CF">
        <w:rPr>
          <w:szCs w:val="22"/>
        </w:rPr>
        <w:t xml:space="preserve"> inicialmente com outros medicamentos modificadores da doença, como por exemplo metotrexato. </w:t>
      </w:r>
      <w:r w:rsidR="00F22AF1" w:rsidRPr="00F22AF1">
        <w:rPr>
          <w:szCs w:val="22"/>
        </w:rPr>
        <w:t>Se estes medicamentos não funcionarem</w:t>
      </w:r>
      <w:r w:rsidR="00F22AF1">
        <w:rPr>
          <w:szCs w:val="22"/>
        </w:rPr>
        <w:t xml:space="preserve"> </w:t>
      </w:r>
      <w:r w:rsidR="00F22AF1" w:rsidRPr="00F22AF1">
        <w:rPr>
          <w:szCs w:val="22"/>
        </w:rPr>
        <w:t xml:space="preserve">suficientemente bem, </w:t>
      </w:r>
      <w:r w:rsidR="00707B8C">
        <w:rPr>
          <w:szCs w:val="22"/>
        </w:rPr>
        <w:t>a sua criança receberá</w:t>
      </w:r>
      <w:r w:rsidR="00F22AF1" w:rsidRPr="00F22AF1">
        <w:rPr>
          <w:szCs w:val="22"/>
        </w:rPr>
        <w:t xml:space="preserve"> </w:t>
      </w:r>
      <w:r w:rsidR="00F22AF1">
        <w:rPr>
          <w:szCs w:val="22"/>
        </w:rPr>
        <w:t xml:space="preserve">Humira </w:t>
      </w:r>
      <w:r w:rsidR="00F22AF1" w:rsidRPr="00F22AF1">
        <w:rPr>
          <w:szCs w:val="22"/>
        </w:rPr>
        <w:t>para tratar a sua artrite idiopática juvenil</w:t>
      </w:r>
      <w:r w:rsidR="006C2AB4">
        <w:rPr>
          <w:szCs w:val="22"/>
        </w:rPr>
        <w:t xml:space="preserve"> poliarticular</w:t>
      </w:r>
      <w:r w:rsidR="00F22AF1">
        <w:rPr>
          <w:szCs w:val="22"/>
        </w:rPr>
        <w:t>.</w:t>
      </w:r>
    </w:p>
    <w:p w14:paraId="0831D025" w14:textId="77777777" w:rsidR="008C53E0" w:rsidRDefault="008C53E0" w:rsidP="008C53E0">
      <w:pPr>
        <w:pStyle w:val="BodyText3"/>
        <w:rPr>
          <w:szCs w:val="22"/>
        </w:rPr>
      </w:pPr>
    </w:p>
    <w:p w14:paraId="7A0ADA27" w14:textId="77777777" w:rsidR="008C53E0" w:rsidRPr="008912CF" w:rsidRDefault="00615769" w:rsidP="008C53E0">
      <w:pPr>
        <w:pStyle w:val="BodyText3"/>
        <w:rPr>
          <w:szCs w:val="22"/>
        </w:rPr>
      </w:pPr>
      <w:r w:rsidRPr="004931CE">
        <w:rPr>
          <w:szCs w:val="22"/>
        </w:rPr>
        <w:t>O seu médico irá decidir se Humira pode ser usado com metotrexato ou isola</w:t>
      </w:r>
      <w:r w:rsidRPr="00653128">
        <w:rPr>
          <w:szCs w:val="22"/>
        </w:rPr>
        <w:t>damente</w:t>
      </w:r>
      <w:r>
        <w:rPr>
          <w:szCs w:val="22"/>
        </w:rPr>
        <w:t>.</w:t>
      </w:r>
    </w:p>
    <w:p w14:paraId="0D600BA6" w14:textId="77777777" w:rsidR="008C53E0" w:rsidRDefault="008C53E0" w:rsidP="00CB1589">
      <w:pPr>
        <w:pStyle w:val="DefaultText"/>
        <w:rPr>
          <w:rFonts w:ascii="Times New Roman" w:hAnsi="Times New Roman"/>
          <w:szCs w:val="22"/>
          <w:lang w:val="pt-PT"/>
        </w:rPr>
      </w:pPr>
    </w:p>
    <w:p w14:paraId="38AB8DFC" w14:textId="77777777" w:rsidR="005B7E61" w:rsidRPr="00F03C54" w:rsidRDefault="00615769" w:rsidP="005B7E61">
      <w:pPr>
        <w:ind w:right="-2"/>
        <w:rPr>
          <w:sz w:val="22"/>
          <w:szCs w:val="22"/>
          <w:u w:val="single"/>
        </w:rPr>
      </w:pPr>
      <w:r w:rsidRPr="00F03C54">
        <w:rPr>
          <w:sz w:val="22"/>
          <w:szCs w:val="22"/>
          <w:u w:val="single"/>
        </w:rPr>
        <w:t>Artrite relacionada com entesite</w:t>
      </w:r>
    </w:p>
    <w:p w14:paraId="2872DC9B" w14:textId="77777777" w:rsidR="005B7E61" w:rsidRPr="00454F99" w:rsidRDefault="005B7E61" w:rsidP="005B7E61">
      <w:pPr>
        <w:ind w:right="-2"/>
        <w:rPr>
          <w:sz w:val="22"/>
          <w:szCs w:val="22"/>
          <w:u w:val="single"/>
        </w:rPr>
      </w:pPr>
    </w:p>
    <w:p w14:paraId="5985FAE7" w14:textId="77777777" w:rsidR="005B7E61" w:rsidRPr="008B0DDF" w:rsidRDefault="00615769" w:rsidP="005B7E61">
      <w:pPr>
        <w:ind w:right="-2"/>
        <w:rPr>
          <w:sz w:val="22"/>
          <w:szCs w:val="22"/>
        </w:rPr>
      </w:pPr>
      <w:r w:rsidRPr="008B0DDF">
        <w:rPr>
          <w:sz w:val="22"/>
          <w:szCs w:val="22"/>
        </w:rPr>
        <w:t xml:space="preserve">A artrite relacionada com entesite é uma doença inflamatória das articulações e dos </w:t>
      </w:r>
      <w:r>
        <w:rPr>
          <w:sz w:val="22"/>
          <w:szCs w:val="22"/>
        </w:rPr>
        <w:t>locais</w:t>
      </w:r>
      <w:r w:rsidRPr="008B0DDF">
        <w:rPr>
          <w:sz w:val="22"/>
          <w:szCs w:val="22"/>
        </w:rPr>
        <w:t xml:space="preserve"> onde os tendões se ligam ao osso.</w:t>
      </w:r>
    </w:p>
    <w:p w14:paraId="03F74C89" w14:textId="77777777" w:rsidR="005B7E61" w:rsidRPr="00454F99" w:rsidRDefault="005B7E61" w:rsidP="005B7E61">
      <w:pPr>
        <w:ind w:right="-2"/>
        <w:rPr>
          <w:sz w:val="22"/>
          <w:szCs w:val="22"/>
          <w:u w:val="single"/>
        </w:rPr>
      </w:pPr>
    </w:p>
    <w:p w14:paraId="413FC45D" w14:textId="77777777" w:rsidR="005B7E61" w:rsidRPr="006462E3" w:rsidRDefault="00615769" w:rsidP="005B7E61">
      <w:pPr>
        <w:ind w:right="-2"/>
        <w:rPr>
          <w:sz w:val="22"/>
          <w:szCs w:val="22"/>
          <w:u w:val="single"/>
        </w:rPr>
      </w:pPr>
      <w:r w:rsidRPr="008B0DDF">
        <w:rPr>
          <w:sz w:val="22"/>
          <w:szCs w:val="22"/>
        </w:rPr>
        <w:t xml:space="preserve">Humira é usado no tratamento da artrite relacionada com entesite em doentes a partir dos 6 anos de idade. </w:t>
      </w:r>
      <w:r w:rsidR="00707B8C">
        <w:rPr>
          <w:sz w:val="22"/>
          <w:szCs w:val="22"/>
        </w:rPr>
        <w:t>A sua criança</w:t>
      </w:r>
      <w:r w:rsidR="001641A2">
        <w:rPr>
          <w:sz w:val="22"/>
          <w:szCs w:val="22"/>
        </w:rPr>
        <w:t xml:space="preserve"> p</w:t>
      </w:r>
      <w:r w:rsidRPr="00454F99">
        <w:rPr>
          <w:sz w:val="22"/>
          <w:szCs w:val="22"/>
        </w:rPr>
        <w:t>ode ser tratad</w:t>
      </w:r>
      <w:r w:rsidR="00707B8C">
        <w:rPr>
          <w:sz w:val="22"/>
          <w:szCs w:val="22"/>
        </w:rPr>
        <w:t>a</w:t>
      </w:r>
      <w:r w:rsidRPr="00454F99">
        <w:rPr>
          <w:sz w:val="22"/>
          <w:szCs w:val="22"/>
        </w:rPr>
        <w:t xml:space="preserve"> inicialmente com outros medicamentos modificadores da doença, como por exemplo metotrexato. </w:t>
      </w:r>
      <w:r w:rsidR="00F22AF1" w:rsidRPr="00F22AF1">
        <w:rPr>
          <w:sz w:val="22"/>
          <w:szCs w:val="22"/>
        </w:rPr>
        <w:t xml:space="preserve">Se estes medicamentos não funcionarem suficientemente bem, </w:t>
      </w:r>
      <w:r w:rsidR="0091614F">
        <w:rPr>
          <w:sz w:val="22"/>
          <w:szCs w:val="22"/>
        </w:rPr>
        <w:t>a</w:t>
      </w:r>
      <w:r w:rsidR="00707B8C">
        <w:rPr>
          <w:sz w:val="22"/>
          <w:szCs w:val="22"/>
        </w:rPr>
        <w:t xml:space="preserve"> sua criança receberá</w:t>
      </w:r>
      <w:r w:rsidR="00F22AF1" w:rsidRPr="00F22AF1">
        <w:rPr>
          <w:sz w:val="22"/>
          <w:szCs w:val="22"/>
        </w:rPr>
        <w:t xml:space="preserve"> Humira para tratar a sua </w:t>
      </w:r>
      <w:r w:rsidR="00C72510" w:rsidRPr="00C72510">
        <w:rPr>
          <w:sz w:val="22"/>
          <w:szCs w:val="22"/>
        </w:rPr>
        <w:t>artrite relacionada com entesite</w:t>
      </w:r>
      <w:r w:rsidRPr="004F0FBC">
        <w:rPr>
          <w:sz w:val="22"/>
          <w:szCs w:val="22"/>
        </w:rPr>
        <w:t>.</w:t>
      </w:r>
      <w:r w:rsidRPr="006462E3">
        <w:rPr>
          <w:sz w:val="22"/>
          <w:szCs w:val="22"/>
          <w:u w:val="single"/>
        </w:rPr>
        <w:t xml:space="preserve"> </w:t>
      </w:r>
    </w:p>
    <w:p w14:paraId="465CFE26" w14:textId="77777777" w:rsidR="005B7E61" w:rsidRDefault="005B7E61" w:rsidP="00CB1589">
      <w:pPr>
        <w:pStyle w:val="DefaultText"/>
        <w:rPr>
          <w:rFonts w:ascii="Times New Roman" w:hAnsi="Times New Roman"/>
          <w:b/>
          <w:szCs w:val="22"/>
          <w:lang w:val="pt-PT"/>
        </w:rPr>
      </w:pPr>
    </w:p>
    <w:p w14:paraId="788ED3E3" w14:textId="77777777" w:rsidR="00CB1589" w:rsidRPr="00F03C54" w:rsidRDefault="00615769" w:rsidP="00CB1589">
      <w:pPr>
        <w:pStyle w:val="DefaultText"/>
        <w:rPr>
          <w:rFonts w:ascii="Times New Roman" w:hAnsi="Times New Roman"/>
          <w:szCs w:val="22"/>
          <w:u w:val="single"/>
          <w:lang w:val="pt-PT"/>
        </w:rPr>
      </w:pPr>
      <w:r w:rsidRPr="00F03C54">
        <w:rPr>
          <w:rFonts w:ascii="Times New Roman" w:hAnsi="Times New Roman"/>
          <w:szCs w:val="22"/>
          <w:u w:val="single"/>
          <w:lang w:val="pt-PT"/>
        </w:rPr>
        <w:t xml:space="preserve">Psoríase </w:t>
      </w:r>
      <w:r w:rsidR="00C16036">
        <w:rPr>
          <w:rFonts w:ascii="Times New Roman" w:hAnsi="Times New Roman"/>
          <w:szCs w:val="22"/>
          <w:u w:val="single"/>
          <w:lang w:val="pt-PT"/>
        </w:rPr>
        <w:t xml:space="preserve">pediátrica </w:t>
      </w:r>
      <w:r w:rsidRPr="00F03C54">
        <w:rPr>
          <w:rFonts w:ascii="Times New Roman" w:hAnsi="Times New Roman"/>
          <w:szCs w:val="22"/>
          <w:u w:val="single"/>
          <w:lang w:val="pt-PT"/>
        </w:rPr>
        <w:t xml:space="preserve">em placas </w:t>
      </w:r>
    </w:p>
    <w:p w14:paraId="1A63B4BC" w14:textId="77777777" w:rsidR="00CB1589" w:rsidRPr="008912CF" w:rsidRDefault="00CB1589" w:rsidP="00CB1589">
      <w:pPr>
        <w:ind w:right="-2"/>
        <w:rPr>
          <w:sz w:val="22"/>
          <w:szCs w:val="22"/>
          <w:u w:val="single"/>
        </w:rPr>
      </w:pPr>
    </w:p>
    <w:p w14:paraId="7E196124" w14:textId="77777777" w:rsidR="005B7E61" w:rsidRDefault="00615769" w:rsidP="00CB1589">
      <w:pPr>
        <w:rPr>
          <w:sz w:val="22"/>
          <w:szCs w:val="22"/>
        </w:rPr>
      </w:pPr>
      <w:r w:rsidRPr="008912CF">
        <w:rPr>
          <w:sz w:val="22"/>
          <w:szCs w:val="22"/>
        </w:rPr>
        <w:t xml:space="preserve">Psoríase em placas é uma doença da pele que provoca manchas avermelhadas, secas e com placas na pele, cobertas de escamas prateadas. </w:t>
      </w:r>
      <w:r w:rsidR="007A1D1B" w:rsidRPr="007A1D1B">
        <w:rPr>
          <w:sz w:val="22"/>
          <w:szCs w:val="22"/>
        </w:rPr>
        <w:t>A psoríase em placas pode também afetar as unhas, causando a sua desintegração, tornando-as espessas e descoladas da base da unha o que pode ser doloroso. Pensa-se que a psoríase pode ser causada por alterações do sistema imunitário do corpo, que provocam um aumento da produção de células epiteliais.</w:t>
      </w:r>
    </w:p>
    <w:p w14:paraId="2EB0A1E8" w14:textId="77777777" w:rsidR="002D4EB6" w:rsidRDefault="002D4EB6" w:rsidP="005B7E61">
      <w:pPr>
        <w:ind w:right="-2"/>
        <w:rPr>
          <w:sz w:val="22"/>
          <w:szCs w:val="22"/>
        </w:rPr>
      </w:pPr>
    </w:p>
    <w:p w14:paraId="494016A0" w14:textId="77777777" w:rsidR="005B7E61" w:rsidRPr="008912CF" w:rsidRDefault="00615769" w:rsidP="005B7E61">
      <w:pPr>
        <w:ind w:right="-2"/>
        <w:rPr>
          <w:sz w:val="22"/>
          <w:szCs w:val="22"/>
        </w:rPr>
      </w:pPr>
      <w:r w:rsidRPr="008912CF">
        <w:rPr>
          <w:sz w:val="22"/>
          <w:szCs w:val="22"/>
        </w:rPr>
        <w:t xml:space="preserve">Humira é usado no tratamento da psoríase </w:t>
      </w:r>
      <w:r w:rsidR="00024A0E">
        <w:rPr>
          <w:sz w:val="22"/>
          <w:szCs w:val="22"/>
        </w:rPr>
        <w:t>crónica</w:t>
      </w:r>
      <w:r w:rsidR="00024A0E" w:rsidRPr="008912CF">
        <w:rPr>
          <w:sz w:val="22"/>
          <w:szCs w:val="22"/>
        </w:rPr>
        <w:t xml:space="preserve"> </w:t>
      </w:r>
      <w:r w:rsidRPr="008912CF">
        <w:rPr>
          <w:sz w:val="22"/>
          <w:szCs w:val="22"/>
        </w:rPr>
        <w:t xml:space="preserve">em placas grave em crianças e adolescentes com idades entre os 4 e os 17 anos de idade, para os quais o tratamento tópico e fototerapias não resultaram ou são inadequados. </w:t>
      </w:r>
    </w:p>
    <w:p w14:paraId="3AB0CDB2" w14:textId="77777777" w:rsidR="008D4B8F" w:rsidRPr="008912CF" w:rsidRDefault="008D4B8F" w:rsidP="008D4B8F">
      <w:pPr>
        <w:ind w:right="-2"/>
        <w:rPr>
          <w:sz w:val="22"/>
          <w:szCs w:val="22"/>
        </w:rPr>
      </w:pPr>
    </w:p>
    <w:p w14:paraId="2BCFE9C7" w14:textId="77777777" w:rsidR="008D4B8F" w:rsidRPr="007A1D1B" w:rsidRDefault="00615769" w:rsidP="008D4B8F">
      <w:pPr>
        <w:pStyle w:val="BodyText"/>
        <w:rPr>
          <w:sz w:val="22"/>
          <w:szCs w:val="22"/>
          <w:u w:val="single"/>
        </w:rPr>
      </w:pPr>
      <w:r w:rsidRPr="007A1D1B">
        <w:rPr>
          <w:sz w:val="22"/>
          <w:szCs w:val="22"/>
          <w:u w:val="single"/>
        </w:rPr>
        <w:t xml:space="preserve">Doença de Crohn </w:t>
      </w:r>
      <w:r w:rsidR="007A1D1B" w:rsidRPr="00F03C54">
        <w:rPr>
          <w:sz w:val="22"/>
          <w:szCs w:val="22"/>
          <w:u w:val="single"/>
        </w:rPr>
        <w:t>pediátrica</w:t>
      </w:r>
    </w:p>
    <w:p w14:paraId="62482F0A" w14:textId="77777777" w:rsidR="008D4B8F" w:rsidRPr="008912CF" w:rsidRDefault="008D4B8F" w:rsidP="008D4B8F">
      <w:pPr>
        <w:pStyle w:val="EMEANormal"/>
        <w:rPr>
          <w:szCs w:val="22"/>
          <w:lang w:val="pt-PT"/>
        </w:rPr>
      </w:pPr>
    </w:p>
    <w:p w14:paraId="064171DF" w14:textId="77777777" w:rsidR="008D4B8F" w:rsidRPr="008912CF" w:rsidRDefault="00615769" w:rsidP="008D4B8F">
      <w:pPr>
        <w:ind w:right="-2"/>
        <w:rPr>
          <w:sz w:val="22"/>
          <w:szCs w:val="22"/>
        </w:rPr>
      </w:pPr>
      <w:r w:rsidRPr="008912CF">
        <w:rPr>
          <w:sz w:val="22"/>
          <w:szCs w:val="22"/>
        </w:rPr>
        <w:t xml:space="preserve">A doença de Crohn é uma doença inflamatória do </w:t>
      </w:r>
      <w:r w:rsidR="00030A01">
        <w:rPr>
          <w:sz w:val="22"/>
          <w:szCs w:val="22"/>
        </w:rPr>
        <w:t>trato digestivo</w:t>
      </w:r>
      <w:r w:rsidRPr="008912CF">
        <w:rPr>
          <w:sz w:val="22"/>
          <w:szCs w:val="22"/>
        </w:rPr>
        <w:t>.</w:t>
      </w:r>
    </w:p>
    <w:p w14:paraId="17BA2652" w14:textId="77777777" w:rsidR="008D4B8F" w:rsidRPr="008912CF" w:rsidRDefault="008D4B8F" w:rsidP="008D4B8F">
      <w:pPr>
        <w:ind w:right="-2"/>
        <w:rPr>
          <w:sz w:val="22"/>
          <w:szCs w:val="22"/>
        </w:rPr>
      </w:pPr>
    </w:p>
    <w:p w14:paraId="5B5CD501" w14:textId="77777777" w:rsidR="005B7E61" w:rsidRDefault="00615769" w:rsidP="008D4B8F">
      <w:pPr>
        <w:ind w:right="-2"/>
        <w:rPr>
          <w:sz w:val="22"/>
          <w:szCs w:val="22"/>
        </w:rPr>
      </w:pPr>
      <w:r w:rsidRPr="008912CF">
        <w:rPr>
          <w:sz w:val="22"/>
          <w:szCs w:val="22"/>
        </w:rPr>
        <w:t xml:space="preserve">Humira está indicado no tratamento da doença de Crohn em crianças </w:t>
      </w:r>
      <w:r>
        <w:rPr>
          <w:sz w:val="22"/>
          <w:szCs w:val="22"/>
        </w:rPr>
        <w:t xml:space="preserve">e adolescentes </w:t>
      </w:r>
      <w:r w:rsidRPr="008912CF">
        <w:rPr>
          <w:sz w:val="22"/>
          <w:szCs w:val="22"/>
        </w:rPr>
        <w:t xml:space="preserve">dos 6 aos 17 anos de idade. </w:t>
      </w:r>
    </w:p>
    <w:p w14:paraId="13647091" w14:textId="77777777" w:rsidR="005B7E61" w:rsidRDefault="005B7E61" w:rsidP="008D4B8F">
      <w:pPr>
        <w:ind w:right="-2"/>
        <w:rPr>
          <w:sz w:val="22"/>
          <w:szCs w:val="22"/>
        </w:rPr>
      </w:pPr>
    </w:p>
    <w:p w14:paraId="0F3F1F0E" w14:textId="77777777" w:rsidR="007A1D1B" w:rsidRDefault="00615769" w:rsidP="008D4B8F">
      <w:pPr>
        <w:ind w:right="-2"/>
        <w:rPr>
          <w:sz w:val="22"/>
          <w:szCs w:val="22"/>
        </w:rPr>
      </w:pPr>
      <w:r>
        <w:rPr>
          <w:sz w:val="22"/>
          <w:szCs w:val="22"/>
        </w:rPr>
        <w:t xml:space="preserve">A </w:t>
      </w:r>
      <w:r w:rsidR="00E0045B">
        <w:rPr>
          <w:sz w:val="22"/>
          <w:szCs w:val="22"/>
        </w:rPr>
        <w:t>sua criança</w:t>
      </w:r>
      <w:r>
        <w:rPr>
          <w:sz w:val="22"/>
          <w:szCs w:val="22"/>
        </w:rPr>
        <w:t xml:space="preserve"> pode receber </w:t>
      </w:r>
      <w:r w:rsidR="008D4B8F" w:rsidRPr="008912CF">
        <w:rPr>
          <w:sz w:val="22"/>
          <w:szCs w:val="22"/>
        </w:rPr>
        <w:t xml:space="preserve">primeiro outros medicamentos. </w:t>
      </w:r>
      <w:r w:rsidR="00155F9A" w:rsidRPr="00155F9A">
        <w:rPr>
          <w:sz w:val="22"/>
          <w:szCs w:val="22"/>
        </w:rPr>
        <w:t xml:space="preserve">Se estes medicamentos não funcionarem suficientemente bem, </w:t>
      </w:r>
      <w:r>
        <w:rPr>
          <w:sz w:val="22"/>
          <w:szCs w:val="22"/>
        </w:rPr>
        <w:t xml:space="preserve">a </w:t>
      </w:r>
      <w:r w:rsidR="00E0045B">
        <w:rPr>
          <w:sz w:val="22"/>
          <w:szCs w:val="22"/>
        </w:rPr>
        <w:t>sua criança receberá</w:t>
      </w:r>
      <w:r w:rsidR="00155F9A" w:rsidRPr="00155F9A">
        <w:rPr>
          <w:sz w:val="22"/>
          <w:szCs w:val="22"/>
        </w:rPr>
        <w:t xml:space="preserve"> Humira para </w:t>
      </w:r>
      <w:r>
        <w:rPr>
          <w:sz w:val="22"/>
          <w:szCs w:val="22"/>
        </w:rPr>
        <w:t>reduzir os sinais e sintomas da doença.</w:t>
      </w:r>
    </w:p>
    <w:p w14:paraId="03970E4B" w14:textId="77777777" w:rsidR="008D4B8F" w:rsidRPr="008912CF" w:rsidRDefault="008D4B8F" w:rsidP="008D4B8F">
      <w:pPr>
        <w:rPr>
          <w:sz w:val="22"/>
          <w:szCs w:val="22"/>
          <w:u w:val="single"/>
        </w:rPr>
      </w:pPr>
    </w:p>
    <w:p w14:paraId="550BFB2F" w14:textId="77777777" w:rsidR="008D4B8F" w:rsidRPr="007A1D1B" w:rsidRDefault="00615769" w:rsidP="008D4B8F">
      <w:pPr>
        <w:ind w:right="-2"/>
        <w:rPr>
          <w:sz w:val="22"/>
          <w:szCs w:val="22"/>
          <w:u w:val="single"/>
        </w:rPr>
      </w:pPr>
      <w:r w:rsidRPr="007A1D1B">
        <w:rPr>
          <w:sz w:val="22"/>
          <w:szCs w:val="22"/>
          <w:u w:val="single"/>
        </w:rPr>
        <w:t xml:space="preserve">Uveíte </w:t>
      </w:r>
      <w:r w:rsidR="007A1D1B">
        <w:rPr>
          <w:sz w:val="22"/>
          <w:szCs w:val="22"/>
          <w:u w:val="single"/>
        </w:rPr>
        <w:t xml:space="preserve">pediátrica </w:t>
      </w:r>
      <w:r w:rsidR="00681424" w:rsidRPr="007A1D1B">
        <w:rPr>
          <w:sz w:val="22"/>
          <w:szCs w:val="22"/>
          <w:u w:val="single"/>
        </w:rPr>
        <w:t xml:space="preserve"> </w:t>
      </w:r>
    </w:p>
    <w:p w14:paraId="47B00CCB" w14:textId="77777777" w:rsidR="008D4B8F" w:rsidRDefault="008D4B8F" w:rsidP="008D4B8F">
      <w:pPr>
        <w:rPr>
          <w:sz w:val="22"/>
          <w:szCs w:val="22"/>
        </w:rPr>
      </w:pPr>
    </w:p>
    <w:p w14:paraId="47E7B5F7" w14:textId="77777777" w:rsidR="008D4B8F" w:rsidRDefault="00615769" w:rsidP="008D4B8F">
      <w:pPr>
        <w:ind w:right="-2"/>
        <w:rPr>
          <w:sz w:val="22"/>
          <w:szCs w:val="22"/>
        </w:rPr>
      </w:pPr>
      <w:r>
        <w:rPr>
          <w:sz w:val="22"/>
          <w:szCs w:val="22"/>
        </w:rPr>
        <w:t xml:space="preserve">A uveíte não infecciosa é uma </w:t>
      </w:r>
      <w:r w:rsidRPr="00566892">
        <w:rPr>
          <w:sz w:val="22"/>
          <w:szCs w:val="22"/>
        </w:rPr>
        <w:t xml:space="preserve">doença inflamatória que afeta </w:t>
      </w:r>
      <w:r>
        <w:rPr>
          <w:sz w:val="22"/>
          <w:szCs w:val="22"/>
        </w:rPr>
        <w:t>diferentes</w:t>
      </w:r>
      <w:r w:rsidRPr="00566892">
        <w:rPr>
          <w:sz w:val="22"/>
          <w:szCs w:val="22"/>
        </w:rPr>
        <w:t xml:space="preserve"> partes do olho.</w:t>
      </w:r>
    </w:p>
    <w:p w14:paraId="1F3CA5FD" w14:textId="77777777" w:rsidR="008D4B8F" w:rsidRDefault="008D4B8F" w:rsidP="008D4B8F">
      <w:pPr>
        <w:ind w:right="-2"/>
        <w:rPr>
          <w:sz w:val="22"/>
          <w:szCs w:val="22"/>
        </w:rPr>
      </w:pPr>
    </w:p>
    <w:p w14:paraId="74B8ABE8" w14:textId="77777777" w:rsidR="00681424" w:rsidRDefault="00615769" w:rsidP="008D4B8F">
      <w:pPr>
        <w:ind w:right="-2"/>
        <w:rPr>
          <w:sz w:val="22"/>
          <w:szCs w:val="22"/>
        </w:rPr>
      </w:pPr>
      <w:r>
        <w:rPr>
          <w:sz w:val="22"/>
          <w:szCs w:val="22"/>
        </w:rPr>
        <w:t>Humira é usado no tratamento da uveíte não infecciosa, crónica, com inflamação, afetando a parte da frente do olho,</w:t>
      </w:r>
      <w:r w:rsidRPr="00456838">
        <w:rPr>
          <w:sz w:val="22"/>
          <w:szCs w:val="22"/>
        </w:rPr>
        <w:t xml:space="preserve"> </w:t>
      </w:r>
      <w:r>
        <w:rPr>
          <w:sz w:val="22"/>
          <w:szCs w:val="22"/>
        </w:rPr>
        <w:t xml:space="preserve">em crianças a partir dos 2 anos de idade. </w:t>
      </w:r>
    </w:p>
    <w:p w14:paraId="6BA7CAAE" w14:textId="77777777" w:rsidR="00681424" w:rsidRDefault="00681424" w:rsidP="008D4B8F">
      <w:pPr>
        <w:ind w:right="-2"/>
        <w:rPr>
          <w:sz w:val="22"/>
          <w:szCs w:val="22"/>
        </w:rPr>
      </w:pPr>
    </w:p>
    <w:p w14:paraId="1F176887" w14:textId="77777777" w:rsidR="008D4B8F" w:rsidRDefault="00615769" w:rsidP="008D4B8F">
      <w:pPr>
        <w:ind w:right="-2"/>
        <w:rPr>
          <w:sz w:val="22"/>
          <w:szCs w:val="22"/>
        </w:rPr>
      </w:pPr>
      <w:r>
        <w:rPr>
          <w:sz w:val="22"/>
          <w:szCs w:val="22"/>
        </w:rPr>
        <w:t xml:space="preserve">Esta inflamação leva a uma diminuição da visão e/ou à presença </w:t>
      </w:r>
      <w:r w:rsidRPr="00DE3483">
        <w:rPr>
          <w:sz w:val="22"/>
          <w:szCs w:val="22"/>
        </w:rPr>
        <w:t>de moscas vo</w:t>
      </w:r>
      <w:r>
        <w:rPr>
          <w:sz w:val="22"/>
          <w:szCs w:val="22"/>
        </w:rPr>
        <w:t>lantes</w:t>
      </w:r>
      <w:r w:rsidRPr="00DE3483">
        <w:rPr>
          <w:sz w:val="22"/>
          <w:szCs w:val="22"/>
        </w:rPr>
        <w:t xml:space="preserve"> </w:t>
      </w:r>
      <w:r>
        <w:rPr>
          <w:sz w:val="22"/>
          <w:szCs w:val="22"/>
        </w:rPr>
        <w:t>n</w:t>
      </w:r>
      <w:r w:rsidRPr="00DE3483">
        <w:rPr>
          <w:sz w:val="22"/>
          <w:szCs w:val="22"/>
        </w:rPr>
        <w:t xml:space="preserve">o olho (pontos pretos ou linhas </w:t>
      </w:r>
      <w:r>
        <w:rPr>
          <w:sz w:val="22"/>
          <w:szCs w:val="22"/>
        </w:rPr>
        <w:t>finas</w:t>
      </w:r>
      <w:r w:rsidRPr="00DE3483">
        <w:rPr>
          <w:sz w:val="22"/>
          <w:szCs w:val="22"/>
        </w:rPr>
        <w:t xml:space="preserve"> que se movem através do campo de visão).</w:t>
      </w:r>
      <w:r>
        <w:rPr>
          <w:sz w:val="22"/>
          <w:szCs w:val="22"/>
        </w:rPr>
        <w:t xml:space="preserve"> Humira atua através da redução da inflamação. </w:t>
      </w:r>
    </w:p>
    <w:p w14:paraId="6011CB7F" w14:textId="77777777" w:rsidR="00681424" w:rsidRDefault="00681424" w:rsidP="008D4B8F">
      <w:pPr>
        <w:ind w:right="-2"/>
        <w:rPr>
          <w:sz w:val="22"/>
          <w:szCs w:val="22"/>
        </w:rPr>
      </w:pPr>
    </w:p>
    <w:p w14:paraId="25B8B9C7" w14:textId="77777777" w:rsidR="007A1D1B" w:rsidRDefault="00615769" w:rsidP="00681424">
      <w:pPr>
        <w:ind w:right="-2"/>
        <w:rPr>
          <w:sz w:val="22"/>
          <w:szCs w:val="22"/>
        </w:rPr>
      </w:pPr>
      <w:r>
        <w:rPr>
          <w:sz w:val="22"/>
          <w:szCs w:val="22"/>
        </w:rPr>
        <w:t xml:space="preserve">A sua criança pode receber primeiro </w:t>
      </w:r>
      <w:r w:rsidR="00681424" w:rsidRPr="008912CF">
        <w:rPr>
          <w:sz w:val="22"/>
          <w:szCs w:val="22"/>
        </w:rPr>
        <w:t>outros medicamentos</w:t>
      </w:r>
      <w:r w:rsidR="002D4EB6">
        <w:rPr>
          <w:sz w:val="22"/>
          <w:szCs w:val="22"/>
        </w:rPr>
        <w:t>.</w:t>
      </w:r>
      <w:r w:rsidR="00282384" w:rsidRPr="00282384">
        <w:t xml:space="preserve"> </w:t>
      </w:r>
      <w:r w:rsidR="00282384" w:rsidRPr="00282384">
        <w:rPr>
          <w:sz w:val="22"/>
          <w:szCs w:val="22"/>
        </w:rPr>
        <w:t xml:space="preserve">Se estes medicamentos não funcionarem suficientemente bem, </w:t>
      </w:r>
      <w:r>
        <w:rPr>
          <w:sz w:val="22"/>
          <w:szCs w:val="22"/>
        </w:rPr>
        <w:t>a sua criança receberá</w:t>
      </w:r>
      <w:r w:rsidR="00282384" w:rsidRPr="00282384">
        <w:rPr>
          <w:sz w:val="22"/>
          <w:szCs w:val="22"/>
        </w:rPr>
        <w:t xml:space="preserve"> Humira para </w:t>
      </w:r>
      <w:r w:rsidRPr="007A1D1B">
        <w:rPr>
          <w:sz w:val="22"/>
          <w:szCs w:val="22"/>
        </w:rPr>
        <w:t>reduzir os sinais e sintomas da doença</w:t>
      </w:r>
      <w:r w:rsidR="00282384">
        <w:rPr>
          <w:sz w:val="22"/>
          <w:szCs w:val="22"/>
        </w:rPr>
        <w:t>.</w:t>
      </w:r>
      <w:r w:rsidRPr="007A1D1B">
        <w:rPr>
          <w:sz w:val="22"/>
          <w:szCs w:val="22"/>
        </w:rPr>
        <w:t xml:space="preserve"> </w:t>
      </w:r>
    </w:p>
    <w:p w14:paraId="3ABBDDB0" w14:textId="77777777" w:rsidR="008D4B8F" w:rsidRDefault="008D4B8F" w:rsidP="008D4B8F">
      <w:pPr>
        <w:rPr>
          <w:sz w:val="22"/>
          <w:szCs w:val="22"/>
        </w:rPr>
      </w:pPr>
    </w:p>
    <w:p w14:paraId="54346CF9" w14:textId="77777777" w:rsidR="00681424" w:rsidRPr="008912CF" w:rsidRDefault="00681424" w:rsidP="008D4B8F">
      <w:pPr>
        <w:rPr>
          <w:sz w:val="22"/>
          <w:szCs w:val="22"/>
        </w:rPr>
      </w:pPr>
    </w:p>
    <w:p w14:paraId="7A456398" w14:textId="77777777" w:rsidR="008D4B8F" w:rsidRPr="008912CF" w:rsidRDefault="00615769" w:rsidP="008D4B8F">
      <w:pPr>
        <w:pStyle w:val="IndexHeading"/>
        <w:tabs>
          <w:tab w:val="clear" w:pos="567"/>
        </w:tabs>
        <w:spacing w:line="240" w:lineRule="auto"/>
        <w:rPr>
          <w:rFonts w:ascii="Times New Roman" w:hAnsi="Times New Roman"/>
          <w:szCs w:val="22"/>
          <w:lang w:val="pt-PT"/>
        </w:rPr>
      </w:pPr>
      <w:r w:rsidRPr="008912CF">
        <w:rPr>
          <w:rFonts w:ascii="Times New Roman" w:hAnsi="Times New Roman"/>
          <w:szCs w:val="22"/>
          <w:lang w:val="pt-PT"/>
        </w:rPr>
        <w:t>2.</w:t>
      </w:r>
      <w:r w:rsidRPr="008912CF">
        <w:rPr>
          <w:rFonts w:ascii="Times New Roman" w:hAnsi="Times New Roman"/>
          <w:szCs w:val="22"/>
          <w:lang w:val="pt-PT"/>
        </w:rPr>
        <w:tab/>
        <w:t xml:space="preserve">O </w:t>
      </w:r>
      <w:r w:rsidRPr="008912CF">
        <w:rPr>
          <w:rFonts w:ascii="Times New Roman" w:hAnsi="Times New Roman"/>
          <w:szCs w:val="24"/>
          <w:lang w:val="pt-PT"/>
        </w:rPr>
        <w:t>que precisa de saber antes d</w:t>
      </w:r>
      <w:r w:rsidR="001E4A60">
        <w:rPr>
          <w:rFonts w:ascii="Times New Roman" w:hAnsi="Times New Roman"/>
          <w:szCs w:val="24"/>
          <w:lang w:val="pt-PT"/>
        </w:rPr>
        <w:t>a sua criança</w:t>
      </w:r>
      <w:r w:rsidRPr="008912CF">
        <w:rPr>
          <w:rFonts w:ascii="Times New Roman" w:hAnsi="Times New Roman"/>
          <w:szCs w:val="24"/>
          <w:lang w:val="pt-PT"/>
        </w:rPr>
        <w:t xml:space="preserve"> utilizar Humira</w:t>
      </w:r>
    </w:p>
    <w:p w14:paraId="530AC7F0" w14:textId="77777777" w:rsidR="008D4B8F" w:rsidRPr="008912CF" w:rsidRDefault="008D4B8F" w:rsidP="008D4B8F">
      <w:pPr>
        <w:ind w:right="-2"/>
        <w:rPr>
          <w:sz w:val="22"/>
          <w:szCs w:val="22"/>
        </w:rPr>
      </w:pPr>
    </w:p>
    <w:p w14:paraId="5FA516A1" w14:textId="77777777" w:rsidR="008D4B8F" w:rsidRPr="008912CF" w:rsidRDefault="00615769" w:rsidP="008D4B8F">
      <w:pPr>
        <w:rPr>
          <w:sz w:val="22"/>
          <w:szCs w:val="22"/>
        </w:rPr>
      </w:pPr>
      <w:r w:rsidRPr="008912CF">
        <w:rPr>
          <w:b/>
          <w:sz w:val="22"/>
          <w:szCs w:val="22"/>
        </w:rPr>
        <w:t xml:space="preserve">Não utilize </w:t>
      </w:r>
      <w:r w:rsidRPr="008912CF">
        <w:rPr>
          <w:b/>
          <w:bCs/>
          <w:sz w:val="22"/>
          <w:szCs w:val="22"/>
        </w:rPr>
        <w:t>Humira</w:t>
      </w:r>
    </w:p>
    <w:p w14:paraId="5B621386" w14:textId="77777777" w:rsidR="008D4B8F" w:rsidRPr="008912CF" w:rsidRDefault="008D4B8F" w:rsidP="008D4B8F">
      <w:pPr>
        <w:pStyle w:val="EndnoteText"/>
        <w:tabs>
          <w:tab w:val="clear" w:pos="567"/>
        </w:tabs>
        <w:rPr>
          <w:szCs w:val="22"/>
        </w:rPr>
      </w:pPr>
    </w:p>
    <w:p w14:paraId="5C93F13E" w14:textId="77777777" w:rsidR="008D4B8F" w:rsidRPr="008912CF" w:rsidRDefault="00615769" w:rsidP="008D4B8F">
      <w:pPr>
        <w:numPr>
          <w:ilvl w:val="0"/>
          <w:numId w:val="13"/>
        </w:numPr>
        <w:tabs>
          <w:tab w:val="clear" w:pos="360"/>
        </w:tabs>
        <w:ind w:left="567" w:hanging="567"/>
        <w:rPr>
          <w:sz w:val="22"/>
          <w:szCs w:val="22"/>
        </w:rPr>
      </w:pPr>
      <w:r w:rsidRPr="008912CF">
        <w:rPr>
          <w:sz w:val="22"/>
          <w:szCs w:val="22"/>
        </w:rPr>
        <w:t>Se a sua criança tem alergia a adalimumab ou a qualquer outro componente deste medicamento (indicados na secção 6).</w:t>
      </w:r>
    </w:p>
    <w:p w14:paraId="329AB124" w14:textId="77777777" w:rsidR="008D4B8F" w:rsidRPr="008912CF" w:rsidRDefault="008D4B8F" w:rsidP="008D4B8F">
      <w:pPr>
        <w:pStyle w:val="EndnoteText"/>
        <w:tabs>
          <w:tab w:val="clear" w:pos="567"/>
        </w:tabs>
        <w:rPr>
          <w:szCs w:val="22"/>
        </w:rPr>
      </w:pPr>
    </w:p>
    <w:p w14:paraId="738A6ED8" w14:textId="77777777" w:rsidR="008D4B8F" w:rsidRPr="008912CF" w:rsidRDefault="00615769" w:rsidP="008D4B8F">
      <w:pPr>
        <w:numPr>
          <w:ilvl w:val="0"/>
          <w:numId w:val="13"/>
        </w:numPr>
        <w:tabs>
          <w:tab w:val="clear" w:pos="360"/>
          <w:tab w:val="num" w:pos="600"/>
        </w:tabs>
        <w:ind w:left="567" w:hanging="567"/>
        <w:rPr>
          <w:sz w:val="22"/>
          <w:szCs w:val="22"/>
        </w:rPr>
      </w:pPr>
      <w:r w:rsidRPr="008912CF">
        <w:rPr>
          <w:sz w:val="22"/>
          <w:szCs w:val="22"/>
        </w:rPr>
        <w:t xml:space="preserve">Se a sua criança tem </w:t>
      </w:r>
      <w:r w:rsidR="00225696" w:rsidRPr="008912CF">
        <w:rPr>
          <w:sz w:val="22"/>
          <w:szCs w:val="22"/>
        </w:rPr>
        <w:t xml:space="preserve">tuberculose ativa </w:t>
      </w:r>
      <w:r w:rsidR="00225696">
        <w:rPr>
          <w:sz w:val="22"/>
          <w:szCs w:val="22"/>
        </w:rPr>
        <w:t xml:space="preserve">ou outra </w:t>
      </w:r>
      <w:r w:rsidRPr="008912CF">
        <w:rPr>
          <w:sz w:val="22"/>
          <w:szCs w:val="22"/>
        </w:rPr>
        <w:t xml:space="preserve">infeção grave (ver “Advertências e precauções”). </w:t>
      </w:r>
      <w:r w:rsidR="00225696">
        <w:rPr>
          <w:sz w:val="22"/>
          <w:szCs w:val="22"/>
        </w:rPr>
        <w:t>É importante que informe</w:t>
      </w:r>
      <w:r w:rsidRPr="008912CF">
        <w:rPr>
          <w:sz w:val="22"/>
          <w:szCs w:val="22"/>
        </w:rPr>
        <w:t xml:space="preserve"> o seu médico se a </w:t>
      </w:r>
      <w:r w:rsidR="006C2AB4">
        <w:rPr>
          <w:sz w:val="22"/>
          <w:szCs w:val="22"/>
        </w:rPr>
        <w:t xml:space="preserve">sua </w:t>
      </w:r>
      <w:r w:rsidRPr="008912CF">
        <w:rPr>
          <w:sz w:val="22"/>
          <w:szCs w:val="22"/>
        </w:rPr>
        <w:t>criança tiver sintomas de infeção, tais como febre, feridas, sensação de cansaço, problemas dentários.</w:t>
      </w:r>
    </w:p>
    <w:p w14:paraId="20CB3A39" w14:textId="77777777" w:rsidR="008D4B8F" w:rsidRPr="008912CF" w:rsidRDefault="008D4B8F" w:rsidP="008D4B8F">
      <w:pPr>
        <w:pStyle w:val="EndnoteText"/>
        <w:tabs>
          <w:tab w:val="clear" w:pos="567"/>
        </w:tabs>
        <w:rPr>
          <w:szCs w:val="22"/>
        </w:rPr>
      </w:pPr>
    </w:p>
    <w:p w14:paraId="2F8569F6" w14:textId="77777777" w:rsidR="008D4B8F" w:rsidRPr="008912CF" w:rsidRDefault="00615769" w:rsidP="008D4B8F">
      <w:pPr>
        <w:numPr>
          <w:ilvl w:val="0"/>
          <w:numId w:val="18"/>
        </w:numPr>
        <w:rPr>
          <w:sz w:val="22"/>
          <w:szCs w:val="22"/>
        </w:rPr>
      </w:pPr>
      <w:r w:rsidRPr="008912CF">
        <w:rPr>
          <w:sz w:val="22"/>
          <w:szCs w:val="22"/>
        </w:rPr>
        <w:t>Se a sua criança tem insuficiência cardíaca moderada ou grave. É importante que informe o seu médico se a criança tem ou se teve alterações cardíacas graves (ver “Advertências e precauções</w:t>
      </w:r>
      <w:r w:rsidRPr="008912CF">
        <w:rPr>
          <w:bCs/>
          <w:sz w:val="22"/>
          <w:szCs w:val="22"/>
        </w:rPr>
        <w:t>”).</w:t>
      </w:r>
    </w:p>
    <w:p w14:paraId="2C3EC042" w14:textId="77777777" w:rsidR="008D4B8F" w:rsidRPr="008912CF" w:rsidRDefault="008D4B8F" w:rsidP="008D4B8F">
      <w:pPr>
        <w:rPr>
          <w:b/>
          <w:sz w:val="22"/>
          <w:szCs w:val="22"/>
        </w:rPr>
      </w:pPr>
    </w:p>
    <w:p w14:paraId="7E627F29" w14:textId="77777777" w:rsidR="008D4B8F" w:rsidRPr="008912CF" w:rsidRDefault="00615769" w:rsidP="008D4B8F">
      <w:pPr>
        <w:rPr>
          <w:b/>
          <w:bCs/>
          <w:sz w:val="22"/>
          <w:szCs w:val="22"/>
        </w:rPr>
      </w:pPr>
      <w:r w:rsidRPr="008912CF">
        <w:rPr>
          <w:b/>
          <w:sz w:val="22"/>
          <w:szCs w:val="22"/>
        </w:rPr>
        <w:t>Advertências e precauções</w:t>
      </w:r>
    </w:p>
    <w:p w14:paraId="23B54A46" w14:textId="77777777" w:rsidR="008D4B8F" w:rsidRPr="008912CF" w:rsidRDefault="008D4B8F" w:rsidP="008D4B8F">
      <w:pPr>
        <w:rPr>
          <w:b/>
          <w:bCs/>
          <w:sz w:val="22"/>
          <w:szCs w:val="22"/>
        </w:rPr>
      </w:pPr>
    </w:p>
    <w:p w14:paraId="7CEF1500" w14:textId="77777777" w:rsidR="008D4B8F" w:rsidRDefault="00615769" w:rsidP="008D4B8F">
      <w:pPr>
        <w:rPr>
          <w:sz w:val="22"/>
          <w:szCs w:val="22"/>
        </w:rPr>
      </w:pPr>
      <w:r w:rsidRPr="008912CF">
        <w:rPr>
          <w:sz w:val="22"/>
          <w:szCs w:val="22"/>
        </w:rPr>
        <w:t>Fale com o</w:t>
      </w:r>
      <w:r w:rsidR="006C2AB4">
        <w:rPr>
          <w:sz w:val="22"/>
          <w:szCs w:val="22"/>
        </w:rPr>
        <w:t xml:space="preserve"> seu</w:t>
      </w:r>
      <w:r w:rsidRPr="008912CF">
        <w:rPr>
          <w:sz w:val="22"/>
          <w:szCs w:val="22"/>
        </w:rPr>
        <w:t xml:space="preserve"> médico ou farmacêutico antes de utilizar Humira</w:t>
      </w:r>
      <w:r w:rsidR="00A426C6">
        <w:rPr>
          <w:sz w:val="22"/>
          <w:szCs w:val="22"/>
        </w:rPr>
        <w:t>.</w:t>
      </w:r>
    </w:p>
    <w:p w14:paraId="7B059C54" w14:textId="77777777" w:rsidR="00681424" w:rsidRDefault="00681424" w:rsidP="008D4B8F">
      <w:pPr>
        <w:rPr>
          <w:sz w:val="22"/>
          <w:szCs w:val="22"/>
        </w:rPr>
      </w:pPr>
    </w:p>
    <w:p w14:paraId="214B421F" w14:textId="77777777" w:rsidR="00681424" w:rsidRPr="00F03C54" w:rsidRDefault="00615769" w:rsidP="008D4B8F">
      <w:pPr>
        <w:rPr>
          <w:sz w:val="22"/>
          <w:szCs w:val="22"/>
          <w:u w:val="single"/>
        </w:rPr>
      </w:pPr>
      <w:r w:rsidRPr="00F03C54">
        <w:rPr>
          <w:sz w:val="22"/>
          <w:szCs w:val="22"/>
          <w:u w:val="single"/>
        </w:rPr>
        <w:t>Reações alérgicas</w:t>
      </w:r>
    </w:p>
    <w:p w14:paraId="5F345FA0" w14:textId="77777777" w:rsidR="008D4B8F" w:rsidRPr="008912CF" w:rsidRDefault="008D4B8F" w:rsidP="008D4B8F">
      <w:pPr>
        <w:rPr>
          <w:sz w:val="22"/>
          <w:szCs w:val="22"/>
        </w:rPr>
      </w:pPr>
    </w:p>
    <w:p w14:paraId="77455816" w14:textId="77777777" w:rsidR="008D4B8F" w:rsidRDefault="00615769" w:rsidP="008D4B8F">
      <w:pPr>
        <w:numPr>
          <w:ilvl w:val="0"/>
          <w:numId w:val="15"/>
        </w:numPr>
        <w:rPr>
          <w:sz w:val="22"/>
          <w:szCs w:val="22"/>
        </w:rPr>
      </w:pPr>
      <w:r w:rsidRPr="008912CF">
        <w:rPr>
          <w:sz w:val="22"/>
          <w:szCs w:val="22"/>
        </w:rPr>
        <w:t>Se a sua criança tiver reações alérgicas com sintomas, tais como dificuldade em respirar, respiração ofegante, tonturas, inchaço ou pele irritada, interrompa a administração de Humira e contacte imediatamente o seu médico</w:t>
      </w:r>
      <w:r w:rsidR="00282384">
        <w:rPr>
          <w:sz w:val="22"/>
          <w:szCs w:val="22"/>
        </w:rPr>
        <w:t>, uma vez</w:t>
      </w:r>
      <w:r w:rsidR="00A426C6">
        <w:rPr>
          <w:sz w:val="22"/>
          <w:szCs w:val="22"/>
        </w:rPr>
        <w:t xml:space="preserve"> que</w:t>
      </w:r>
      <w:r w:rsidR="00282384">
        <w:rPr>
          <w:sz w:val="22"/>
          <w:szCs w:val="22"/>
        </w:rPr>
        <w:t>, em casos raros, estas reações podem ser potencialmente fatais.</w:t>
      </w:r>
    </w:p>
    <w:p w14:paraId="3A513177" w14:textId="77777777" w:rsidR="00681424" w:rsidRDefault="00681424" w:rsidP="00F03C54">
      <w:pPr>
        <w:ind w:left="567"/>
        <w:rPr>
          <w:sz w:val="22"/>
          <w:szCs w:val="22"/>
        </w:rPr>
      </w:pPr>
    </w:p>
    <w:p w14:paraId="57E3643E" w14:textId="77777777" w:rsidR="00681424" w:rsidRPr="00F03C54" w:rsidRDefault="00615769" w:rsidP="00681424">
      <w:pPr>
        <w:rPr>
          <w:sz w:val="22"/>
          <w:szCs w:val="22"/>
          <w:u w:val="single"/>
        </w:rPr>
      </w:pPr>
      <w:r w:rsidRPr="00F03C54">
        <w:rPr>
          <w:sz w:val="22"/>
          <w:szCs w:val="22"/>
          <w:u w:val="single"/>
        </w:rPr>
        <w:t>Infeções</w:t>
      </w:r>
    </w:p>
    <w:p w14:paraId="49897956" w14:textId="77777777" w:rsidR="008D4B8F" w:rsidRPr="008912CF" w:rsidRDefault="008D4B8F" w:rsidP="008D4B8F">
      <w:pPr>
        <w:pStyle w:val="EndnoteText"/>
        <w:tabs>
          <w:tab w:val="clear" w:pos="567"/>
        </w:tabs>
        <w:rPr>
          <w:szCs w:val="22"/>
        </w:rPr>
      </w:pPr>
    </w:p>
    <w:p w14:paraId="3A00B7C7" w14:textId="77777777" w:rsidR="008D4B8F" w:rsidRDefault="00615769" w:rsidP="008D4B8F">
      <w:pPr>
        <w:numPr>
          <w:ilvl w:val="0"/>
          <w:numId w:val="15"/>
        </w:numPr>
        <w:rPr>
          <w:sz w:val="22"/>
          <w:szCs w:val="22"/>
        </w:rPr>
      </w:pPr>
      <w:r w:rsidRPr="008912CF">
        <w:rPr>
          <w:sz w:val="22"/>
          <w:szCs w:val="22"/>
        </w:rPr>
        <w:t xml:space="preserve">Se a sua criança tiver uma infeção, incluindo uma infeção crónica ou </w:t>
      </w:r>
      <w:r w:rsidR="00FE0AD3">
        <w:rPr>
          <w:sz w:val="22"/>
          <w:szCs w:val="22"/>
        </w:rPr>
        <w:t>uma infeção em qualquer parte do seu corpo</w:t>
      </w:r>
      <w:r w:rsidRPr="008912CF">
        <w:rPr>
          <w:sz w:val="22"/>
          <w:szCs w:val="22"/>
        </w:rPr>
        <w:t xml:space="preserve"> (por exemplo, úlcera da perna) informe o seu médico antes de iniciar o tratamento com Humira. Se tiver quaisquer dúvidas, deve contactar o seu médico.</w:t>
      </w:r>
    </w:p>
    <w:p w14:paraId="48971779" w14:textId="77777777" w:rsidR="008D4B8F" w:rsidRDefault="008D4B8F" w:rsidP="008D4B8F">
      <w:pPr>
        <w:pStyle w:val="ListParagraph"/>
        <w:rPr>
          <w:sz w:val="22"/>
          <w:szCs w:val="22"/>
        </w:rPr>
      </w:pPr>
    </w:p>
    <w:p w14:paraId="676C500D" w14:textId="77777777" w:rsidR="00681424" w:rsidRPr="00CE3465" w:rsidRDefault="00615769">
      <w:pPr>
        <w:numPr>
          <w:ilvl w:val="0"/>
          <w:numId w:val="15"/>
        </w:numPr>
        <w:rPr>
          <w:sz w:val="22"/>
          <w:szCs w:val="22"/>
        </w:rPr>
      </w:pPr>
      <w:r w:rsidRPr="00F03C54">
        <w:rPr>
          <w:sz w:val="22"/>
          <w:szCs w:val="22"/>
        </w:rPr>
        <w:t>A sua criança pode contrair mais facilmente infeções enquanto estiver a ser tratada com Humira. Este risco pode aumentar se a função pulmonar estiver diminuída. Estas infeções podem ser graves e incluem:</w:t>
      </w:r>
    </w:p>
    <w:p w14:paraId="4147ED6C" w14:textId="77777777" w:rsidR="00681424" w:rsidRPr="00F03C54" w:rsidRDefault="00615769" w:rsidP="00F03C54">
      <w:pPr>
        <w:numPr>
          <w:ilvl w:val="0"/>
          <w:numId w:val="15"/>
        </w:numPr>
        <w:ind w:firstLine="426"/>
        <w:rPr>
          <w:sz w:val="22"/>
          <w:szCs w:val="22"/>
        </w:rPr>
      </w:pPr>
      <w:r w:rsidRPr="00F03C54">
        <w:rPr>
          <w:sz w:val="22"/>
          <w:szCs w:val="22"/>
        </w:rPr>
        <w:t>t</w:t>
      </w:r>
      <w:r w:rsidR="008D4B8F" w:rsidRPr="00F03C54">
        <w:rPr>
          <w:sz w:val="22"/>
          <w:szCs w:val="22"/>
        </w:rPr>
        <w:t>uberculose</w:t>
      </w:r>
    </w:p>
    <w:p w14:paraId="7F6C14E2" w14:textId="77777777" w:rsidR="00681424" w:rsidRPr="00F03C54" w:rsidRDefault="00615769" w:rsidP="00F03C54">
      <w:pPr>
        <w:numPr>
          <w:ilvl w:val="0"/>
          <w:numId w:val="15"/>
        </w:numPr>
        <w:ind w:firstLine="426"/>
        <w:rPr>
          <w:sz w:val="22"/>
          <w:szCs w:val="22"/>
        </w:rPr>
      </w:pPr>
      <w:r w:rsidRPr="00F03C54">
        <w:rPr>
          <w:sz w:val="22"/>
          <w:szCs w:val="22"/>
        </w:rPr>
        <w:t>infeções causadas por vírus, fungos, parasitas ou bactérias</w:t>
      </w:r>
    </w:p>
    <w:p w14:paraId="706A1B55" w14:textId="77777777" w:rsidR="002501BC" w:rsidRPr="00F03C54" w:rsidRDefault="00615769" w:rsidP="00F03C54">
      <w:pPr>
        <w:numPr>
          <w:ilvl w:val="0"/>
          <w:numId w:val="15"/>
        </w:numPr>
        <w:ind w:firstLine="426"/>
        <w:rPr>
          <w:sz w:val="22"/>
          <w:szCs w:val="22"/>
        </w:rPr>
      </w:pPr>
      <w:r w:rsidRPr="00F03C54">
        <w:rPr>
          <w:sz w:val="22"/>
          <w:szCs w:val="22"/>
        </w:rPr>
        <w:t xml:space="preserve">infeções </w:t>
      </w:r>
      <w:r w:rsidR="00681424" w:rsidRPr="00F03C54">
        <w:rPr>
          <w:sz w:val="22"/>
          <w:szCs w:val="22"/>
        </w:rPr>
        <w:t>graves do sangue (</w:t>
      </w:r>
      <w:r w:rsidRPr="00F03C54">
        <w:rPr>
          <w:sz w:val="22"/>
          <w:szCs w:val="22"/>
        </w:rPr>
        <w:t>sepsia</w:t>
      </w:r>
      <w:r w:rsidR="00681424" w:rsidRPr="00F03C54">
        <w:rPr>
          <w:sz w:val="22"/>
          <w:szCs w:val="22"/>
        </w:rPr>
        <w:t>)</w:t>
      </w:r>
    </w:p>
    <w:p w14:paraId="31A78830" w14:textId="77777777" w:rsidR="002501BC" w:rsidRPr="00F03C54" w:rsidRDefault="002501BC" w:rsidP="00F03C54">
      <w:pPr>
        <w:ind w:left="993"/>
        <w:rPr>
          <w:sz w:val="22"/>
          <w:szCs w:val="22"/>
        </w:rPr>
      </w:pPr>
    </w:p>
    <w:p w14:paraId="03205A1B" w14:textId="77777777" w:rsidR="008D4B8F" w:rsidRPr="00F03C54" w:rsidRDefault="00615769" w:rsidP="00F06E31">
      <w:pPr>
        <w:ind w:left="567"/>
        <w:rPr>
          <w:sz w:val="22"/>
          <w:szCs w:val="22"/>
        </w:rPr>
      </w:pPr>
      <w:r w:rsidRPr="00F03C54">
        <w:rPr>
          <w:sz w:val="22"/>
          <w:szCs w:val="22"/>
        </w:rPr>
        <w:t>Em casos raros, esta</w:t>
      </w:r>
      <w:r w:rsidR="00F06E31">
        <w:rPr>
          <w:sz w:val="22"/>
          <w:szCs w:val="22"/>
        </w:rPr>
        <w:t>s</w:t>
      </w:r>
      <w:r w:rsidRPr="00F03C54">
        <w:rPr>
          <w:sz w:val="22"/>
          <w:szCs w:val="22"/>
        </w:rPr>
        <w:t xml:space="preserve"> infeções podem pôr a vida em risco.</w:t>
      </w:r>
      <w:r w:rsidR="00282384">
        <w:rPr>
          <w:sz w:val="22"/>
          <w:szCs w:val="22"/>
        </w:rPr>
        <w:t xml:space="preserve"> </w:t>
      </w:r>
      <w:r w:rsidR="00CE3465">
        <w:rPr>
          <w:sz w:val="22"/>
          <w:szCs w:val="22"/>
        </w:rPr>
        <w:t>É importante</w:t>
      </w:r>
      <w:r w:rsidRPr="00F03C54">
        <w:rPr>
          <w:sz w:val="22"/>
          <w:szCs w:val="22"/>
        </w:rPr>
        <w:t xml:space="preserve"> informar o seu médico se a </w:t>
      </w:r>
      <w:r w:rsidR="00166A51">
        <w:rPr>
          <w:sz w:val="22"/>
          <w:szCs w:val="22"/>
        </w:rPr>
        <w:t xml:space="preserve">sua </w:t>
      </w:r>
      <w:r w:rsidRPr="00F03C54">
        <w:rPr>
          <w:sz w:val="22"/>
          <w:szCs w:val="22"/>
        </w:rPr>
        <w:t>criança tiver sintomas, tais como febre, feridas, sensação de cansaço ou problemas dentários. O seu médico pode aconselhar a suspensão temporária de Humira.</w:t>
      </w:r>
    </w:p>
    <w:p w14:paraId="0B2D67EC" w14:textId="77777777" w:rsidR="002501BC" w:rsidRDefault="002501BC" w:rsidP="00F03C54">
      <w:pPr>
        <w:ind w:left="567" w:hanging="567"/>
        <w:rPr>
          <w:szCs w:val="22"/>
        </w:rPr>
      </w:pPr>
    </w:p>
    <w:p w14:paraId="67F87F5B" w14:textId="77777777" w:rsidR="002501BC" w:rsidRPr="008912CF" w:rsidRDefault="00615769" w:rsidP="002501BC">
      <w:pPr>
        <w:numPr>
          <w:ilvl w:val="0"/>
          <w:numId w:val="17"/>
        </w:numPr>
        <w:rPr>
          <w:sz w:val="22"/>
          <w:szCs w:val="22"/>
        </w:rPr>
      </w:pPr>
      <w:r w:rsidRPr="008912CF">
        <w:rPr>
          <w:sz w:val="22"/>
          <w:szCs w:val="22"/>
        </w:rPr>
        <w:t xml:space="preserve">Informe o seu médico se a </w:t>
      </w:r>
      <w:r w:rsidR="006374AC">
        <w:rPr>
          <w:sz w:val="22"/>
          <w:szCs w:val="22"/>
        </w:rPr>
        <w:t xml:space="preserve">sua </w:t>
      </w:r>
      <w:r w:rsidRPr="008912CF">
        <w:rPr>
          <w:sz w:val="22"/>
          <w:szCs w:val="22"/>
        </w:rPr>
        <w:t>criança reside ou viaja em regiões nas quais as infeções fúngicas</w:t>
      </w:r>
      <w:r w:rsidR="00282384">
        <w:rPr>
          <w:sz w:val="22"/>
          <w:szCs w:val="22"/>
        </w:rPr>
        <w:t xml:space="preserve"> (</w:t>
      </w:r>
      <w:r w:rsidRPr="008912CF">
        <w:rPr>
          <w:sz w:val="22"/>
          <w:szCs w:val="22"/>
        </w:rPr>
        <w:t xml:space="preserve">tais como histoplasmose, </w:t>
      </w:r>
      <w:r w:rsidRPr="008912CF">
        <w:rPr>
          <w:sz w:val="22"/>
          <w:szCs w:val="22"/>
          <w:u w:color="0000FF"/>
        </w:rPr>
        <w:t>coccidioidomicose ou blastomicose</w:t>
      </w:r>
      <w:r w:rsidR="00282384">
        <w:rPr>
          <w:sz w:val="22"/>
          <w:szCs w:val="22"/>
          <w:u w:color="0000FF"/>
        </w:rPr>
        <w:t>)</w:t>
      </w:r>
      <w:r w:rsidRPr="008912CF">
        <w:rPr>
          <w:sz w:val="22"/>
          <w:szCs w:val="22"/>
          <w:u w:color="0000FF"/>
        </w:rPr>
        <w:t xml:space="preserve"> são endémicas.</w:t>
      </w:r>
    </w:p>
    <w:p w14:paraId="433AC6DA" w14:textId="77777777" w:rsidR="002501BC" w:rsidRPr="008912CF" w:rsidRDefault="002501BC" w:rsidP="00F03C54">
      <w:pPr>
        <w:ind w:left="567" w:hanging="567"/>
        <w:rPr>
          <w:sz w:val="22"/>
          <w:szCs w:val="22"/>
        </w:rPr>
      </w:pPr>
    </w:p>
    <w:p w14:paraId="40EB6CF7" w14:textId="77777777" w:rsidR="002501BC" w:rsidRPr="002501BC" w:rsidRDefault="00615769">
      <w:pPr>
        <w:numPr>
          <w:ilvl w:val="0"/>
          <w:numId w:val="17"/>
        </w:numPr>
        <w:rPr>
          <w:sz w:val="22"/>
          <w:szCs w:val="22"/>
        </w:rPr>
      </w:pPr>
      <w:r w:rsidRPr="002501BC">
        <w:rPr>
          <w:sz w:val="22"/>
          <w:szCs w:val="22"/>
        </w:rPr>
        <w:t>Informe o seu médico se a</w:t>
      </w:r>
      <w:r w:rsidR="006374AC">
        <w:rPr>
          <w:sz w:val="22"/>
          <w:szCs w:val="22"/>
        </w:rPr>
        <w:t xml:space="preserve"> sua</w:t>
      </w:r>
      <w:r w:rsidRPr="002501BC">
        <w:rPr>
          <w:sz w:val="22"/>
          <w:szCs w:val="22"/>
        </w:rPr>
        <w:t xml:space="preserve"> criança tem antecedentes de infeções recorrentes ou quaisquer outros problemas que aumentem o risco de infeções.</w:t>
      </w:r>
    </w:p>
    <w:p w14:paraId="22C01C6B" w14:textId="77777777" w:rsidR="002501BC" w:rsidRPr="008912CF" w:rsidRDefault="002501BC" w:rsidP="00F03C54">
      <w:pPr>
        <w:rPr>
          <w:sz w:val="22"/>
          <w:szCs w:val="22"/>
        </w:rPr>
      </w:pPr>
    </w:p>
    <w:p w14:paraId="3F0F02CC" w14:textId="77777777" w:rsidR="002501BC" w:rsidRDefault="00615769" w:rsidP="002501BC">
      <w:pPr>
        <w:numPr>
          <w:ilvl w:val="0"/>
          <w:numId w:val="17"/>
        </w:numPr>
        <w:tabs>
          <w:tab w:val="clear" w:pos="567"/>
          <w:tab w:val="num" w:pos="550"/>
        </w:tabs>
        <w:ind w:left="550" w:hanging="550"/>
        <w:rPr>
          <w:szCs w:val="22"/>
        </w:rPr>
      </w:pPr>
      <w:r w:rsidRPr="00F03C54">
        <w:rPr>
          <w:sz w:val="22"/>
          <w:szCs w:val="22"/>
        </w:rPr>
        <w:t>A sua criança e o médico</w:t>
      </w:r>
      <w:r w:rsidR="00E92C4A">
        <w:rPr>
          <w:sz w:val="22"/>
          <w:szCs w:val="22"/>
        </w:rPr>
        <w:t xml:space="preserve"> da sua criança</w:t>
      </w:r>
      <w:r w:rsidRPr="00F03C54">
        <w:rPr>
          <w:sz w:val="22"/>
          <w:szCs w:val="22"/>
        </w:rPr>
        <w:t xml:space="preserve"> </w:t>
      </w:r>
      <w:r w:rsidR="002B5913" w:rsidRPr="00F03C54">
        <w:rPr>
          <w:sz w:val="22"/>
          <w:szCs w:val="22"/>
        </w:rPr>
        <w:t xml:space="preserve">devem </w:t>
      </w:r>
      <w:r w:rsidR="00E92C4A">
        <w:rPr>
          <w:sz w:val="22"/>
          <w:szCs w:val="22"/>
        </w:rPr>
        <w:t>tom</w:t>
      </w:r>
      <w:r w:rsidR="002B5913" w:rsidRPr="00F03C54">
        <w:rPr>
          <w:sz w:val="22"/>
          <w:szCs w:val="22"/>
        </w:rPr>
        <w:t xml:space="preserve">ar especial atenção se houver sinais de infeção enquanto estiver a ser tratada com Humira. </w:t>
      </w:r>
      <w:r w:rsidRPr="00F03C54">
        <w:rPr>
          <w:sz w:val="22"/>
          <w:szCs w:val="22"/>
        </w:rPr>
        <w:t xml:space="preserve">É importante informar o </w:t>
      </w:r>
      <w:r w:rsidR="00E92C4A">
        <w:rPr>
          <w:sz w:val="22"/>
          <w:szCs w:val="22"/>
        </w:rPr>
        <w:t xml:space="preserve">seu </w:t>
      </w:r>
      <w:r w:rsidRPr="00F03C54">
        <w:rPr>
          <w:sz w:val="22"/>
          <w:szCs w:val="22"/>
        </w:rPr>
        <w:t xml:space="preserve">médico se </w:t>
      </w:r>
      <w:r w:rsidR="00E92C4A">
        <w:rPr>
          <w:sz w:val="22"/>
          <w:szCs w:val="22"/>
        </w:rPr>
        <w:t xml:space="preserve">a sua criança </w:t>
      </w:r>
      <w:r w:rsidRPr="00F03C54">
        <w:rPr>
          <w:sz w:val="22"/>
          <w:szCs w:val="22"/>
        </w:rPr>
        <w:t>tiver sintomas de infeções, tais como febre, feridas, sensação de cansaço ou problemas dentários</w:t>
      </w:r>
      <w:r w:rsidRPr="003D66D7">
        <w:rPr>
          <w:szCs w:val="22"/>
        </w:rPr>
        <w:t>.</w:t>
      </w:r>
    </w:p>
    <w:p w14:paraId="3DEB225A" w14:textId="77777777" w:rsidR="002501BC" w:rsidRDefault="002501BC" w:rsidP="002501BC">
      <w:pPr>
        <w:pStyle w:val="ListParagraph"/>
        <w:rPr>
          <w:szCs w:val="22"/>
        </w:rPr>
      </w:pPr>
    </w:p>
    <w:p w14:paraId="0091B329" w14:textId="77777777" w:rsidR="002B5913" w:rsidRPr="006879AE" w:rsidRDefault="00615769" w:rsidP="002B5913">
      <w:pPr>
        <w:rPr>
          <w:sz w:val="22"/>
          <w:szCs w:val="22"/>
          <w:u w:val="single"/>
        </w:rPr>
      </w:pPr>
      <w:r w:rsidRPr="006879AE">
        <w:rPr>
          <w:sz w:val="22"/>
          <w:szCs w:val="22"/>
          <w:u w:val="single"/>
        </w:rPr>
        <w:t>Tuberculose</w:t>
      </w:r>
    </w:p>
    <w:p w14:paraId="7092E4EA" w14:textId="77777777" w:rsidR="002B5913" w:rsidRDefault="002B5913" w:rsidP="002501BC">
      <w:pPr>
        <w:pStyle w:val="ListParagraph"/>
        <w:rPr>
          <w:szCs w:val="22"/>
        </w:rPr>
      </w:pPr>
    </w:p>
    <w:p w14:paraId="4E64C79D" w14:textId="77777777" w:rsidR="006879AE" w:rsidRDefault="00615769" w:rsidP="00F03C54">
      <w:pPr>
        <w:pStyle w:val="EndnoteText"/>
        <w:numPr>
          <w:ilvl w:val="0"/>
          <w:numId w:val="143"/>
        </w:numPr>
        <w:tabs>
          <w:tab w:val="clear" w:pos="567"/>
        </w:tabs>
        <w:rPr>
          <w:szCs w:val="22"/>
        </w:rPr>
      </w:pPr>
      <w:r w:rsidRPr="006879AE">
        <w:rPr>
          <w:szCs w:val="22"/>
        </w:rPr>
        <w:t>Uma vez que foram notificados casos de tuberculose em doentes tratados com Humira, o seu médico irá avaliar a criança para despiste de sinais e sintomas de tuberculose antes de iniciar a terapêutica com Humira. Esta avaliação irá incluir uma história clínica pormenorizada da sua criança e exames de despiste apropriados (por exemplo uma radiografia do tórax e um teste de tuberculina). A realização e o resultado destes exames deve</w:t>
      </w:r>
      <w:r w:rsidR="00166A51">
        <w:rPr>
          <w:szCs w:val="22"/>
        </w:rPr>
        <w:t>m</w:t>
      </w:r>
      <w:r w:rsidRPr="006879AE">
        <w:rPr>
          <w:szCs w:val="22"/>
        </w:rPr>
        <w:t xml:space="preserve"> ser registad</w:t>
      </w:r>
      <w:r w:rsidR="00166A51">
        <w:rPr>
          <w:szCs w:val="22"/>
        </w:rPr>
        <w:t>os</w:t>
      </w:r>
      <w:r w:rsidRPr="006879AE">
        <w:rPr>
          <w:szCs w:val="22"/>
        </w:rPr>
        <w:t xml:space="preserve"> no </w:t>
      </w:r>
      <w:r w:rsidRPr="00F03C54">
        <w:rPr>
          <w:b/>
          <w:szCs w:val="22"/>
        </w:rPr>
        <w:t>Cartão de Segurança do Doente</w:t>
      </w:r>
      <w:r w:rsidRPr="006879AE">
        <w:rPr>
          <w:szCs w:val="22"/>
        </w:rPr>
        <w:t xml:space="preserve"> da sua criança</w:t>
      </w:r>
      <w:r w:rsidR="00E92C4A">
        <w:rPr>
          <w:szCs w:val="22"/>
        </w:rPr>
        <w:t>.</w:t>
      </w:r>
    </w:p>
    <w:p w14:paraId="0B4AB8EA" w14:textId="77777777" w:rsidR="008D4B8F" w:rsidRDefault="00615769" w:rsidP="00636825">
      <w:pPr>
        <w:pStyle w:val="EndnoteText"/>
        <w:numPr>
          <w:ilvl w:val="1"/>
          <w:numId w:val="143"/>
        </w:numPr>
        <w:tabs>
          <w:tab w:val="clear" w:pos="567"/>
        </w:tabs>
        <w:rPr>
          <w:szCs w:val="22"/>
        </w:rPr>
      </w:pPr>
      <w:r w:rsidRPr="008912CF">
        <w:rPr>
          <w:szCs w:val="22"/>
        </w:rPr>
        <w:t>É muito importante que informe o seu médico se a criança já sofreu de tuberculose ou se esteve em contacto próximo com alguém com esta doença</w:t>
      </w:r>
      <w:r>
        <w:rPr>
          <w:szCs w:val="22"/>
        </w:rPr>
        <w:t xml:space="preserve">. Se </w:t>
      </w:r>
      <w:r w:rsidR="00983BD6">
        <w:rPr>
          <w:szCs w:val="22"/>
        </w:rPr>
        <w:t>a sua criança</w:t>
      </w:r>
      <w:r>
        <w:rPr>
          <w:szCs w:val="22"/>
        </w:rPr>
        <w:t xml:space="preserve"> tiver tuberculose ativa, não administrar Humira.</w:t>
      </w:r>
    </w:p>
    <w:p w14:paraId="4CA4AB8B" w14:textId="77777777" w:rsidR="001738AA" w:rsidRDefault="00615769" w:rsidP="00636825">
      <w:pPr>
        <w:numPr>
          <w:ilvl w:val="1"/>
          <w:numId w:val="16"/>
        </w:numPr>
        <w:rPr>
          <w:sz w:val="22"/>
          <w:szCs w:val="22"/>
        </w:rPr>
      </w:pPr>
      <w:r w:rsidRPr="00EA5707">
        <w:rPr>
          <w:sz w:val="22"/>
          <w:szCs w:val="22"/>
        </w:rPr>
        <w:t>A tuberculose pode vir a manifestar-se durante o tratamento com Humira,</w:t>
      </w:r>
      <w:r w:rsidR="00282384">
        <w:rPr>
          <w:sz w:val="22"/>
          <w:szCs w:val="22"/>
        </w:rPr>
        <w:t xml:space="preserve"> mesmo que a sua criança</w:t>
      </w:r>
      <w:r w:rsidRPr="00EA5707">
        <w:rPr>
          <w:sz w:val="22"/>
          <w:szCs w:val="22"/>
        </w:rPr>
        <w:t xml:space="preserve"> tenha efetuado tratamento de profilaxia da tuberculose. </w:t>
      </w:r>
    </w:p>
    <w:p w14:paraId="6455D8B9" w14:textId="77777777" w:rsidR="008D4B8F" w:rsidRPr="006879AE" w:rsidRDefault="00615769" w:rsidP="00636825">
      <w:pPr>
        <w:numPr>
          <w:ilvl w:val="1"/>
          <w:numId w:val="16"/>
        </w:numPr>
        <w:rPr>
          <w:sz w:val="22"/>
          <w:szCs w:val="22"/>
        </w:rPr>
      </w:pPr>
      <w:r w:rsidRPr="00EA5707">
        <w:rPr>
          <w:sz w:val="22"/>
          <w:szCs w:val="22"/>
        </w:rPr>
        <w:t>Se surgirem sintomas de tuberculose (</w:t>
      </w:r>
      <w:r w:rsidR="00282384">
        <w:rPr>
          <w:sz w:val="22"/>
          <w:szCs w:val="22"/>
        </w:rPr>
        <w:t xml:space="preserve">por exemplo </w:t>
      </w:r>
      <w:r w:rsidRPr="00EA5707">
        <w:rPr>
          <w:sz w:val="22"/>
          <w:szCs w:val="22"/>
        </w:rPr>
        <w:t>tosse persistente, perda de peso, fraqueza, febre ligeira) ou qualquer outra infeção durante ou após o tratamento, informe imediatamente o seu médico</w:t>
      </w:r>
      <w:r w:rsidR="00E92C4A">
        <w:rPr>
          <w:sz w:val="22"/>
          <w:szCs w:val="22"/>
        </w:rPr>
        <w:t>.</w:t>
      </w:r>
    </w:p>
    <w:p w14:paraId="4C681A42" w14:textId="77777777" w:rsidR="008D4B8F" w:rsidRPr="008912CF" w:rsidRDefault="008D4B8F" w:rsidP="001738AA">
      <w:pPr>
        <w:ind w:left="567" w:firstLine="284"/>
        <w:rPr>
          <w:sz w:val="22"/>
          <w:szCs w:val="22"/>
        </w:rPr>
      </w:pPr>
    </w:p>
    <w:p w14:paraId="50C422C7" w14:textId="77777777" w:rsidR="001738AA" w:rsidRPr="006879AE" w:rsidRDefault="00615769" w:rsidP="001738AA">
      <w:pPr>
        <w:rPr>
          <w:sz w:val="22"/>
          <w:szCs w:val="22"/>
          <w:u w:val="single"/>
        </w:rPr>
      </w:pPr>
      <w:r w:rsidRPr="006879AE">
        <w:rPr>
          <w:sz w:val="22"/>
          <w:szCs w:val="22"/>
          <w:u w:val="single"/>
        </w:rPr>
        <w:t>Hepatite B</w:t>
      </w:r>
    </w:p>
    <w:p w14:paraId="0F770D1B" w14:textId="77777777" w:rsidR="008D4B8F" w:rsidRPr="008912CF" w:rsidRDefault="008D4B8F" w:rsidP="008D4B8F">
      <w:pPr>
        <w:ind w:left="567"/>
        <w:rPr>
          <w:sz w:val="22"/>
          <w:szCs w:val="22"/>
        </w:rPr>
      </w:pPr>
    </w:p>
    <w:p w14:paraId="653E6BFF" w14:textId="77777777" w:rsidR="001738AA" w:rsidRDefault="00615769" w:rsidP="006879AE">
      <w:pPr>
        <w:numPr>
          <w:ilvl w:val="0"/>
          <w:numId w:val="17"/>
        </w:numPr>
        <w:ind w:left="686" w:hanging="357"/>
        <w:rPr>
          <w:sz w:val="22"/>
          <w:szCs w:val="22"/>
        </w:rPr>
      </w:pPr>
      <w:r w:rsidRPr="008912CF">
        <w:rPr>
          <w:sz w:val="22"/>
          <w:szCs w:val="22"/>
        </w:rPr>
        <w:t xml:space="preserve">Informe o seu médico se a criança é portadora do vírus da Hepatite B (HBV), se tem o vírus HBV ativo ou se pensa que pode estar em risco de contrair HBV. </w:t>
      </w:r>
    </w:p>
    <w:p w14:paraId="26C1EF67" w14:textId="77777777" w:rsidR="001738AA" w:rsidRDefault="00615769" w:rsidP="00F03C54">
      <w:pPr>
        <w:numPr>
          <w:ilvl w:val="0"/>
          <w:numId w:val="17"/>
        </w:numPr>
        <w:ind w:left="1418" w:hanging="425"/>
        <w:rPr>
          <w:sz w:val="22"/>
          <w:szCs w:val="22"/>
        </w:rPr>
      </w:pPr>
      <w:r w:rsidRPr="008912CF">
        <w:rPr>
          <w:sz w:val="22"/>
          <w:szCs w:val="22"/>
        </w:rPr>
        <w:t xml:space="preserve">O médico da sua criança deve avaliá-la para determinar se tem HBV. Humira pode causar reativação de HBV em pessoas portadoras deste vírus. </w:t>
      </w:r>
    </w:p>
    <w:p w14:paraId="790A0D1E" w14:textId="77777777" w:rsidR="008D4B8F" w:rsidRDefault="00615769" w:rsidP="00F03C54">
      <w:pPr>
        <w:numPr>
          <w:ilvl w:val="0"/>
          <w:numId w:val="17"/>
        </w:numPr>
        <w:ind w:left="1418" w:hanging="425"/>
        <w:rPr>
          <w:sz w:val="22"/>
          <w:szCs w:val="22"/>
        </w:rPr>
      </w:pPr>
      <w:r w:rsidRPr="008912CF">
        <w:rPr>
          <w:sz w:val="22"/>
          <w:szCs w:val="22"/>
        </w:rPr>
        <w:t>Em alguns casos raros, especialmente se a sua criança tomar outros medicamentos que suprimem o sistema imunitário, a reativação de HBV pode pôr a vida dela em risco.</w:t>
      </w:r>
    </w:p>
    <w:p w14:paraId="11A63BC6" w14:textId="77777777" w:rsidR="008D4B8F" w:rsidRDefault="008D4B8F" w:rsidP="008D4B8F">
      <w:pPr>
        <w:pStyle w:val="ListParagraph"/>
        <w:rPr>
          <w:sz w:val="22"/>
          <w:szCs w:val="22"/>
        </w:rPr>
      </w:pPr>
    </w:p>
    <w:p w14:paraId="314FE8C8" w14:textId="77777777" w:rsidR="001738AA" w:rsidRPr="008365E9" w:rsidRDefault="00615769" w:rsidP="00F03C54">
      <w:pPr>
        <w:rPr>
          <w:sz w:val="22"/>
          <w:szCs w:val="22"/>
          <w:u w:val="single"/>
        </w:rPr>
      </w:pPr>
      <w:r>
        <w:rPr>
          <w:sz w:val="22"/>
          <w:szCs w:val="22"/>
          <w:u w:val="single"/>
        </w:rPr>
        <w:t>Intervenção c</w:t>
      </w:r>
      <w:r w:rsidRPr="008365E9">
        <w:rPr>
          <w:sz w:val="22"/>
          <w:szCs w:val="22"/>
          <w:u w:val="single"/>
        </w:rPr>
        <w:t>ir</w:t>
      </w:r>
      <w:r w:rsidR="00166A51">
        <w:rPr>
          <w:sz w:val="22"/>
          <w:szCs w:val="22"/>
          <w:u w:val="single"/>
        </w:rPr>
        <w:t>ú</w:t>
      </w:r>
      <w:r w:rsidRPr="008365E9">
        <w:rPr>
          <w:sz w:val="22"/>
          <w:szCs w:val="22"/>
          <w:u w:val="single"/>
        </w:rPr>
        <w:t>rgi</w:t>
      </w:r>
      <w:r>
        <w:rPr>
          <w:sz w:val="22"/>
          <w:szCs w:val="22"/>
          <w:u w:val="single"/>
        </w:rPr>
        <w:t xml:space="preserve">ca ou dentária </w:t>
      </w:r>
    </w:p>
    <w:p w14:paraId="61A20FEE" w14:textId="77777777" w:rsidR="001738AA" w:rsidRDefault="001738AA" w:rsidP="00F03C54">
      <w:pPr>
        <w:rPr>
          <w:sz w:val="22"/>
          <w:szCs w:val="22"/>
        </w:rPr>
      </w:pPr>
    </w:p>
    <w:p w14:paraId="2149FE0C" w14:textId="77777777" w:rsidR="008D4B8F" w:rsidRPr="00F03C54" w:rsidRDefault="00615769" w:rsidP="00F03C54">
      <w:pPr>
        <w:numPr>
          <w:ilvl w:val="0"/>
          <w:numId w:val="17"/>
        </w:numPr>
        <w:tabs>
          <w:tab w:val="clear" w:pos="567"/>
        </w:tabs>
        <w:ind w:left="686" w:hanging="357"/>
        <w:rPr>
          <w:sz w:val="22"/>
          <w:szCs w:val="22"/>
        </w:rPr>
      </w:pPr>
      <w:r w:rsidRPr="00F03C54">
        <w:rPr>
          <w:sz w:val="22"/>
          <w:szCs w:val="22"/>
        </w:rPr>
        <w:t xml:space="preserve">Se a sua criança vai ser submetida a uma intervenção cirúrgica ou dentária, informe o seu médico que ela está a tomar Humira. O seu médico pode aconselhar a </w:t>
      </w:r>
      <w:r w:rsidR="001738AA" w:rsidRPr="00F03C54">
        <w:rPr>
          <w:sz w:val="22"/>
          <w:szCs w:val="22"/>
        </w:rPr>
        <w:t>suspensão temporária de Humira.</w:t>
      </w:r>
    </w:p>
    <w:p w14:paraId="2EA3CB02" w14:textId="77777777" w:rsidR="008D4B8F" w:rsidRDefault="008D4B8F" w:rsidP="008D4B8F">
      <w:pPr>
        <w:pStyle w:val="EndnoteText"/>
        <w:tabs>
          <w:tab w:val="clear" w:pos="567"/>
        </w:tabs>
        <w:rPr>
          <w:szCs w:val="22"/>
        </w:rPr>
      </w:pPr>
    </w:p>
    <w:p w14:paraId="5CAFCB7D" w14:textId="77777777" w:rsidR="001738AA" w:rsidRPr="00F03C54" w:rsidRDefault="00615769" w:rsidP="00F03C54">
      <w:pPr>
        <w:rPr>
          <w:szCs w:val="22"/>
          <w:u w:val="single"/>
        </w:rPr>
      </w:pPr>
      <w:r w:rsidRPr="00F03C54">
        <w:rPr>
          <w:sz w:val="22"/>
          <w:szCs w:val="22"/>
          <w:u w:val="single"/>
        </w:rPr>
        <w:t>Doença desmielinizante</w:t>
      </w:r>
    </w:p>
    <w:p w14:paraId="5F1E6A5A" w14:textId="77777777" w:rsidR="001738AA" w:rsidRPr="00765805" w:rsidRDefault="001738AA" w:rsidP="00F03C54"/>
    <w:p w14:paraId="2CE2E6C6" w14:textId="77777777" w:rsidR="008D4B8F" w:rsidRPr="008912CF" w:rsidRDefault="00615769" w:rsidP="00F03C54">
      <w:pPr>
        <w:numPr>
          <w:ilvl w:val="0"/>
          <w:numId w:val="17"/>
        </w:numPr>
        <w:tabs>
          <w:tab w:val="clear" w:pos="567"/>
        </w:tabs>
        <w:ind w:left="686" w:hanging="357"/>
        <w:rPr>
          <w:sz w:val="22"/>
          <w:szCs w:val="22"/>
        </w:rPr>
      </w:pPr>
      <w:r w:rsidRPr="008912CF">
        <w:rPr>
          <w:sz w:val="22"/>
          <w:szCs w:val="22"/>
        </w:rPr>
        <w:t xml:space="preserve">Se a sua criança sofre </w:t>
      </w:r>
      <w:r>
        <w:rPr>
          <w:sz w:val="22"/>
          <w:szCs w:val="22"/>
        </w:rPr>
        <w:t>ou vier a desenvolver uma</w:t>
      </w:r>
      <w:r w:rsidRPr="008912CF">
        <w:rPr>
          <w:sz w:val="22"/>
          <w:szCs w:val="22"/>
        </w:rPr>
        <w:t xml:space="preserve"> doença desmielinizante</w:t>
      </w:r>
      <w:r w:rsidR="008A4F29">
        <w:rPr>
          <w:sz w:val="22"/>
          <w:szCs w:val="22"/>
        </w:rPr>
        <w:t xml:space="preserve"> (uma doença que afeta</w:t>
      </w:r>
      <w:r w:rsidRPr="008912CF">
        <w:rPr>
          <w:sz w:val="22"/>
          <w:szCs w:val="22"/>
        </w:rPr>
        <w:t xml:space="preserve"> </w:t>
      </w:r>
      <w:r w:rsidR="008A4F29">
        <w:rPr>
          <w:sz w:val="22"/>
          <w:szCs w:val="22"/>
        </w:rPr>
        <w:t>a camada isol</w:t>
      </w:r>
      <w:r w:rsidR="000F4F59">
        <w:rPr>
          <w:sz w:val="22"/>
          <w:szCs w:val="22"/>
        </w:rPr>
        <w:t>adora</w:t>
      </w:r>
      <w:r w:rsidR="008A4F29">
        <w:rPr>
          <w:sz w:val="22"/>
          <w:szCs w:val="22"/>
        </w:rPr>
        <w:t xml:space="preserve"> à volta dos nervos, </w:t>
      </w:r>
      <w:r w:rsidRPr="008912CF">
        <w:rPr>
          <w:sz w:val="22"/>
          <w:szCs w:val="22"/>
        </w:rPr>
        <w:t>tal como esclerose múltipla</w:t>
      </w:r>
      <w:r w:rsidR="008A4F29">
        <w:rPr>
          <w:sz w:val="22"/>
          <w:szCs w:val="22"/>
        </w:rPr>
        <w:t>)</w:t>
      </w:r>
      <w:r w:rsidRPr="008912CF">
        <w:rPr>
          <w:sz w:val="22"/>
          <w:szCs w:val="22"/>
        </w:rPr>
        <w:t xml:space="preserve">, o seu médico irá decidir se ela pode utilizar </w:t>
      </w:r>
      <w:r>
        <w:rPr>
          <w:sz w:val="22"/>
          <w:szCs w:val="22"/>
        </w:rPr>
        <w:t xml:space="preserve">ou continuar a utilizar </w:t>
      </w:r>
      <w:r w:rsidRPr="008912CF">
        <w:rPr>
          <w:sz w:val="22"/>
          <w:szCs w:val="22"/>
        </w:rPr>
        <w:t>Humira.</w:t>
      </w:r>
      <w:r>
        <w:rPr>
          <w:sz w:val="22"/>
          <w:szCs w:val="22"/>
        </w:rPr>
        <w:t xml:space="preserve"> Caso a sua criança tiver sintomas, tais como alterações na visão, fraqueza nos braços ou pernas ou dormência ou formigueiro em qualquer parte do corpo, informe imediatamente o seu médico. </w:t>
      </w:r>
    </w:p>
    <w:p w14:paraId="17BBF8DF" w14:textId="77777777" w:rsidR="008D4B8F" w:rsidRDefault="008D4B8F" w:rsidP="008D4B8F">
      <w:pPr>
        <w:rPr>
          <w:sz w:val="22"/>
          <w:szCs w:val="22"/>
        </w:rPr>
      </w:pPr>
    </w:p>
    <w:p w14:paraId="21474CAB" w14:textId="77777777" w:rsidR="00A94B4C" w:rsidRPr="00F03C54" w:rsidRDefault="00615769" w:rsidP="008D4B8F">
      <w:pPr>
        <w:rPr>
          <w:sz w:val="22"/>
          <w:szCs w:val="22"/>
          <w:u w:val="single"/>
        </w:rPr>
      </w:pPr>
      <w:r w:rsidRPr="00F03C54">
        <w:rPr>
          <w:sz w:val="22"/>
          <w:szCs w:val="22"/>
          <w:u w:val="single"/>
        </w:rPr>
        <w:t>Vacina</w:t>
      </w:r>
      <w:r w:rsidR="00C706AB">
        <w:rPr>
          <w:sz w:val="22"/>
          <w:szCs w:val="22"/>
          <w:u w:val="single"/>
        </w:rPr>
        <w:t>ção</w:t>
      </w:r>
    </w:p>
    <w:p w14:paraId="475504CD" w14:textId="77777777" w:rsidR="00A94B4C" w:rsidRPr="008912CF" w:rsidRDefault="00A94B4C" w:rsidP="008D4B8F">
      <w:pPr>
        <w:rPr>
          <w:sz w:val="22"/>
          <w:szCs w:val="22"/>
        </w:rPr>
      </w:pPr>
    </w:p>
    <w:p w14:paraId="23A60DA8" w14:textId="77777777" w:rsidR="00A94B4C" w:rsidRDefault="00615769" w:rsidP="00F03C54">
      <w:pPr>
        <w:pStyle w:val="ListParagraph"/>
        <w:numPr>
          <w:ilvl w:val="0"/>
          <w:numId w:val="143"/>
        </w:numPr>
        <w:ind w:left="686" w:hanging="357"/>
        <w:rPr>
          <w:sz w:val="22"/>
          <w:szCs w:val="22"/>
        </w:rPr>
      </w:pPr>
      <w:r w:rsidRPr="00F03C54">
        <w:rPr>
          <w:sz w:val="22"/>
          <w:szCs w:val="22"/>
        </w:rPr>
        <w:t xml:space="preserve">Certas vacinas podem causar infeções e não devem ser administradas em conjunto com Humira. </w:t>
      </w:r>
    </w:p>
    <w:p w14:paraId="3466B010" w14:textId="77777777" w:rsidR="00A94B4C" w:rsidRPr="00F03C54" w:rsidRDefault="00A94B4C" w:rsidP="00F03C54">
      <w:pPr>
        <w:rPr>
          <w:sz w:val="22"/>
          <w:szCs w:val="22"/>
        </w:rPr>
      </w:pPr>
    </w:p>
    <w:p w14:paraId="627D1AF8" w14:textId="77777777" w:rsidR="00A94B4C" w:rsidRDefault="00615769" w:rsidP="00F03C54">
      <w:pPr>
        <w:pStyle w:val="ListParagraph"/>
        <w:numPr>
          <w:ilvl w:val="0"/>
          <w:numId w:val="143"/>
        </w:numPr>
        <w:ind w:left="1434" w:hanging="357"/>
        <w:rPr>
          <w:sz w:val="22"/>
          <w:szCs w:val="22"/>
        </w:rPr>
      </w:pPr>
      <w:r w:rsidRPr="00F03C54">
        <w:rPr>
          <w:sz w:val="22"/>
          <w:szCs w:val="22"/>
        </w:rPr>
        <w:t xml:space="preserve">Contacte o seu médico antes de a criança receber qualquer vacina. </w:t>
      </w:r>
    </w:p>
    <w:p w14:paraId="74808F08" w14:textId="77777777" w:rsidR="00A94B4C" w:rsidRDefault="00615769" w:rsidP="00F03C54">
      <w:pPr>
        <w:pStyle w:val="ListParagraph"/>
        <w:numPr>
          <w:ilvl w:val="0"/>
          <w:numId w:val="143"/>
        </w:numPr>
        <w:ind w:left="1434" w:hanging="357"/>
        <w:rPr>
          <w:sz w:val="22"/>
          <w:szCs w:val="22"/>
        </w:rPr>
      </w:pPr>
      <w:r w:rsidRPr="00F03C54">
        <w:rPr>
          <w:sz w:val="22"/>
          <w:szCs w:val="22"/>
        </w:rPr>
        <w:t xml:space="preserve">Recomenda-se que as crianças, antes de iniciarem o tratamento com Humira, se possível, </w:t>
      </w:r>
      <w:r w:rsidR="00D37D11">
        <w:rPr>
          <w:sz w:val="22"/>
          <w:szCs w:val="22"/>
        </w:rPr>
        <w:t xml:space="preserve">recebam </w:t>
      </w:r>
      <w:r w:rsidRPr="00F03C54">
        <w:rPr>
          <w:sz w:val="22"/>
          <w:szCs w:val="22"/>
        </w:rPr>
        <w:t xml:space="preserve">todas as vacinas, de acordo com o atual plano de vacinação nacional. </w:t>
      </w:r>
    </w:p>
    <w:p w14:paraId="02FC182D" w14:textId="77777777" w:rsidR="008D4B8F" w:rsidRPr="00F03C54" w:rsidRDefault="00615769" w:rsidP="00F03C54">
      <w:pPr>
        <w:pStyle w:val="ListParagraph"/>
        <w:numPr>
          <w:ilvl w:val="0"/>
          <w:numId w:val="143"/>
        </w:numPr>
        <w:ind w:left="1434" w:hanging="357"/>
        <w:rPr>
          <w:sz w:val="22"/>
          <w:szCs w:val="22"/>
        </w:rPr>
      </w:pPr>
      <w:r w:rsidRPr="00F03C54">
        <w:rPr>
          <w:sz w:val="22"/>
          <w:szCs w:val="22"/>
        </w:rPr>
        <w:t xml:space="preserve">Se </w:t>
      </w:r>
      <w:r w:rsidR="000F4F59">
        <w:rPr>
          <w:sz w:val="22"/>
          <w:szCs w:val="22"/>
        </w:rPr>
        <w:t xml:space="preserve">a sua criança </w:t>
      </w:r>
      <w:r w:rsidRPr="00F03C54">
        <w:rPr>
          <w:sz w:val="22"/>
          <w:szCs w:val="22"/>
        </w:rPr>
        <w:t xml:space="preserve">utilizou Humira durante a gravidez, o bebé </w:t>
      </w:r>
      <w:r w:rsidR="000F4F59">
        <w:rPr>
          <w:sz w:val="22"/>
          <w:szCs w:val="22"/>
        </w:rPr>
        <w:t>d</w:t>
      </w:r>
      <w:r w:rsidR="00E92C4A">
        <w:rPr>
          <w:sz w:val="22"/>
          <w:szCs w:val="22"/>
        </w:rPr>
        <w:t>a sua criança</w:t>
      </w:r>
      <w:r w:rsidR="000F4F59">
        <w:rPr>
          <w:sz w:val="22"/>
          <w:szCs w:val="22"/>
        </w:rPr>
        <w:t xml:space="preserve"> </w:t>
      </w:r>
      <w:r w:rsidRPr="00F03C54">
        <w:rPr>
          <w:sz w:val="22"/>
          <w:szCs w:val="22"/>
        </w:rPr>
        <w:t xml:space="preserve">pode ter um risco superior de ter tais infeções até, aproximadamente, cinco meses após a última dose que administrou durante a gravidez. É importante que diga ao médico do bebé </w:t>
      </w:r>
      <w:r w:rsidR="00E92C4A">
        <w:rPr>
          <w:sz w:val="22"/>
          <w:szCs w:val="22"/>
        </w:rPr>
        <w:t xml:space="preserve">da sua criança </w:t>
      </w:r>
      <w:r w:rsidRPr="00F03C54">
        <w:rPr>
          <w:sz w:val="22"/>
          <w:szCs w:val="22"/>
        </w:rPr>
        <w:t xml:space="preserve">e a outros profissionais de saúde que </w:t>
      </w:r>
      <w:r w:rsidR="000F4F59">
        <w:rPr>
          <w:sz w:val="22"/>
          <w:szCs w:val="22"/>
        </w:rPr>
        <w:t xml:space="preserve">a sua criança </w:t>
      </w:r>
      <w:r w:rsidRPr="00F03C54">
        <w:rPr>
          <w:sz w:val="22"/>
          <w:szCs w:val="22"/>
        </w:rPr>
        <w:t>usou Humira durante a gravidez, para que estes possam decidir quando pode ser dada qualquer vacina ao bebé.</w:t>
      </w:r>
    </w:p>
    <w:p w14:paraId="1C3829FA" w14:textId="77777777" w:rsidR="008D4B8F" w:rsidRDefault="008D4B8F" w:rsidP="008D4B8F">
      <w:pPr>
        <w:rPr>
          <w:sz w:val="22"/>
          <w:szCs w:val="22"/>
        </w:rPr>
      </w:pPr>
    </w:p>
    <w:p w14:paraId="31AF1512" w14:textId="77777777" w:rsidR="00A94B4C" w:rsidRDefault="00615769" w:rsidP="008D4B8F">
      <w:pPr>
        <w:rPr>
          <w:sz w:val="22"/>
          <w:szCs w:val="22"/>
          <w:u w:val="single"/>
        </w:rPr>
      </w:pPr>
      <w:r>
        <w:rPr>
          <w:sz w:val="22"/>
          <w:szCs w:val="22"/>
          <w:u w:val="single"/>
        </w:rPr>
        <w:t>Insuficiência cardíaca</w:t>
      </w:r>
    </w:p>
    <w:p w14:paraId="24C81554" w14:textId="77777777" w:rsidR="005B0B80" w:rsidRPr="00F03C54" w:rsidRDefault="005B0B80" w:rsidP="008D4B8F">
      <w:pPr>
        <w:rPr>
          <w:sz w:val="22"/>
          <w:szCs w:val="22"/>
          <w:u w:val="single"/>
        </w:rPr>
      </w:pPr>
    </w:p>
    <w:p w14:paraId="2AE6FD6D" w14:textId="77777777" w:rsidR="008E2ED3" w:rsidRDefault="00615769" w:rsidP="00F03C54">
      <w:pPr>
        <w:pStyle w:val="ListParagraph"/>
        <w:numPr>
          <w:ilvl w:val="0"/>
          <w:numId w:val="144"/>
        </w:numPr>
        <w:rPr>
          <w:sz w:val="22"/>
          <w:szCs w:val="22"/>
        </w:rPr>
      </w:pPr>
      <w:r w:rsidRPr="00CE42B7">
        <w:rPr>
          <w:sz w:val="22"/>
          <w:szCs w:val="22"/>
        </w:rPr>
        <w:t>Se a sua criança sofre de insuficiência cardíaca ligeira</w:t>
      </w:r>
      <w:r>
        <w:rPr>
          <w:sz w:val="22"/>
          <w:szCs w:val="22"/>
        </w:rPr>
        <w:t xml:space="preserve"> e está a ser tratada com Humira</w:t>
      </w:r>
      <w:r w:rsidRPr="00CE42B7">
        <w:rPr>
          <w:sz w:val="22"/>
          <w:szCs w:val="22"/>
        </w:rPr>
        <w:t>, o seu estado deve ser controlado cuidadosamente pelo seu médico</w:t>
      </w:r>
      <w:r>
        <w:rPr>
          <w:sz w:val="22"/>
          <w:szCs w:val="22"/>
        </w:rPr>
        <w:t>.</w:t>
      </w:r>
      <w:r w:rsidRPr="00CE42B7">
        <w:rPr>
          <w:sz w:val="22"/>
          <w:szCs w:val="22"/>
        </w:rPr>
        <w:t xml:space="preserve"> </w:t>
      </w:r>
      <w:r w:rsidR="00A94B4C" w:rsidRPr="00F03C54">
        <w:rPr>
          <w:sz w:val="22"/>
          <w:szCs w:val="22"/>
        </w:rPr>
        <w:t xml:space="preserve">É muito importante que informe </w:t>
      </w:r>
      <w:r w:rsidR="00F7457B" w:rsidRPr="008912CF">
        <w:rPr>
          <w:sz w:val="22"/>
          <w:szCs w:val="22"/>
        </w:rPr>
        <w:t>o seu médico se a criança sofre ou já sofreu de problema</w:t>
      </w:r>
      <w:r w:rsidR="00F7457B">
        <w:rPr>
          <w:sz w:val="22"/>
          <w:szCs w:val="22"/>
        </w:rPr>
        <w:t>s</w:t>
      </w:r>
      <w:r w:rsidR="00F7457B" w:rsidRPr="008912CF">
        <w:rPr>
          <w:sz w:val="22"/>
          <w:szCs w:val="22"/>
        </w:rPr>
        <w:t xml:space="preserve"> cardíaco</w:t>
      </w:r>
      <w:r w:rsidR="00F7457B">
        <w:rPr>
          <w:sz w:val="22"/>
          <w:szCs w:val="22"/>
        </w:rPr>
        <w:t>s</w:t>
      </w:r>
      <w:r w:rsidR="00F7457B" w:rsidRPr="008912CF">
        <w:rPr>
          <w:sz w:val="22"/>
          <w:szCs w:val="22"/>
        </w:rPr>
        <w:t xml:space="preserve"> grave</w:t>
      </w:r>
      <w:r w:rsidR="00F7457B">
        <w:rPr>
          <w:sz w:val="22"/>
          <w:szCs w:val="22"/>
        </w:rPr>
        <w:t>s</w:t>
      </w:r>
      <w:r w:rsidR="00F7457B" w:rsidRPr="008912CF">
        <w:rPr>
          <w:sz w:val="22"/>
          <w:szCs w:val="22"/>
        </w:rPr>
        <w:t xml:space="preserve">. </w:t>
      </w:r>
      <w:r w:rsidRPr="008E2ED3">
        <w:rPr>
          <w:sz w:val="22"/>
          <w:szCs w:val="22"/>
        </w:rPr>
        <w:t>Caso a sua criança desenvolva novos sintomas ou agravamento dos sintomas de insuficiência cardíaca (por exemplo, falta de ar ou inchaço dos pés), deve contactar o seu médico imediatamente. O seu médico irá decidir se a criança pode utilizar Humira</w:t>
      </w:r>
      <w:r w:rsidR="000F4F59">
        <w:rPr>
          <w:sz w:val="22"/>
          <w:szCs w:val="22"/>
        </w:rPr>
        <w:t>.</w:t>
      </w:r>
    </w:p>
    <w:p w14:paraId="7A950421" w14:textId="77777777" w:rsidR="00135B54" w:rsidRDefault="00135B54" w:rsidP="008E2ED3">
      <w:pPr>
        <w:rPr>
          <w:sz w:val="22"/>
          <w:szCs w:val="22"/>
        </w:rPr>
      </w:pPr>
    </w:p>
    <w:p w14:paraId="41CC5568" w14:textId="77777777" w:rsidR="008E2ED3" w:rsidRPr="00154AA2" w:rsidRDefault="00615769" w:rsidP="008E2ED3">
      <w:pPr>
        <w:rPr>
          <w:sz w:val="22"/>
          <w:szCs w:val="22"/>
          <w:u w:val="single"/>
        </w:rPr>
      </w:pPr>
      <w:r w:rsidRPr="00154AA2">
        <w:rPr>
          <w:sz w:val="22"/>
          <w:szCs w:val="22"/>
          <w:u w:val="single"/>
        </w:rPr>
        <w:t>Febre, nódoas negras, perdas de sangue ou aspeto pálido</w:t>
      </w:r>
    </w:p>
    <w:p w14:paraId="56F55484" w14:textId="77777777" w:rsidR="00135B54" w:rsidRPr="008E2ED3" w:rsidRDefault="00135B54" w:rsidP="008E2ED3">
      <w:pPr>
        <w:rPr>
          <w:sz w:val="22"/>
          <w:szCs w:val="22"/>
        </w:rPr>
      </w:pPr>
    </w:p>
    <w:p w14:paraId="1CB82EB6" w14:textId="77777777" w:rsidR="0039521D" w:rsidRDefault="00615769" w:rsidP="00F03C54">
      <w:pPr>
        <w:ind w:left="686" w:hanging="357"/>
        <w:rPr>
          <w:sz w:val="22"/>
          <w:szCs w:val="22"/>
        </w:rPr>
      </w:pPr>
      <w:r w:rsidRPr="008E2ED3">
        <w:rPr>
          <w:sz w:val="22"/>
          <w:szCs w:val="22"/>
        </w:rPr>
        <w:t>•</w:t>
      </w:r>
      <w:r w:rsidRPr="008E2ED3">
        <w:rPr>
          <w:sz w:val="22"/>
          <w:szCs w:val="22"/>
        </w:rPr>
        <w:tab/>
        <w:t xml:space="preserve">Em alguns doentes o organismo pode ser incapaz de produzir </w:t>
      </w:r>
      <w:r w:rsidR="00071E96">
        <w:rPr>
          <w:sz w:val="22"/>
          <w:szCs w:val="22"/>
        </w:rPr>
        <w:t xml:space="preserve">suficientes </w:t>
      </w:r>
      <w:r w:rsidRPr="008E2ED3">
        <w:rPr>
          <w:sz w:val="22"/>
          <w:szCs w:val="22"/>
        </w:rPr>
        <w:t>células sanguíneas que ajudem o organismo da sua cria</w:t>
      </w:r>
      <w:r w:rsidR="00071E96">
        <w:rPr>
          <w:sz w:val="22"/>
          <w:szCs w:val="22"/>
        </w:rPr>
        <w:t>nça a combater infeções ou ajudar a</w:t>
      </w:r>
      <w:r w:rsidRPr="008E2ED3">
        <w:rPr>
          <w:sz w:val="22"/>
          <w:szCs w:val="22"/>
        </w:rPr>
        <w:t xml:space="preserve"> parar hemorragias. </w:t>
      </w:r>
      <w:r>
        <w:rPr>
          <w:sz w:val="22"/>
          <w:szCs w:val="22"/>
        </w:rPr>
        <w:t xml:space="preserve">O seu médico pode decidir suspender o tratamento. </w:t>
      </w:r>
      <w:r w:rsidRPr="008E2ED3">
        <w:rPr>
          <w:sz w:val="22"/>
          <w:szCs w:val="22"/>
        </w:rPr>
        <w:t xml:space="preserve">Caso verifique febre na sua criança que se mantenha, </w:t>
      </w:r>
      <w:r w:rsidR="00071E96">
        <w:rPr>
          <w:sz w:val="22"/>
          <w:szCs w:val="22"/>
        </w:rPr>
        <w:t xml:space="preserve">tiver </w:t>
      </w:r>
      <w:r w:rsidRPr="008E2ED3">
        <w:rPr>
          <w:sz w:val="22"/>
          <w:szCs w:val="22"/>
        </w:rPr>
        <w:t xml:space="preserve">nódoas negras ou perdas de sangue muito facilmente ou </w:t>
      </w:r>
      <w:r w:rsidR="00071E96">
        <w:rPr>
          <w:sz w:val="22"/>
          <w:szCs w:val="22"/>
        </w:rPr>
        <w:t>se</w:t>
      </w:r>
      <w:r w:rsidRPr="008E2ED3">
        <w:rPr>
          <w:sz w:val="22"/>
          <w:szCs w:val="22"/>
        </w:rPr>
        <w:t xml:space="preserve"> apresent</w:t>
      </w:r>
      <w:r w:rsidR="00071E96">
        <w:rPr>
          <w:sz w:val="22"/>
          <w:szCs w:val="22"/>
        </w:rPr>
        <w:t>ar</w:t>
      </w:r>
      <w:r w:rsidRPr="008E2ED3">
        <w:rPr>
          <w:sz w:val="22"/>
          <w:szCs w:val="22"/>
        </w:rPr>
        <w:t xml:space="preserve"> um aspeto </w:t>
      </w:r>
      <w:r w:rsidR="006F6F6B">
        <w:rPr>
          <w:sz w:val="22"/>
          <w:szCs w:val="22"/>
        </w:rPr>
        <w:t xml:space="preserve">muito </w:t>
      </w:r>
      <w:r w:rsidRPr="008E2ED3">
        <w:rPr>
          <w:sz w:val="22"/>
          <w:szCs w:val="22"/>
        </w:rPr>
        <w:t xml:space="preserve">pálido, informe imediatamente o seu médico. </w:t>
      </w:r>
    </w:p>
    <w:p w14:paraId="60E4BF07" w14:textId="77777777" w:rsidR="00154AA2" w:rsidRDefault="00154AA2" w:rsidP="008D4B8F">
      <w:pPr>
        <w:rPr>
          <w:sz w:val="22"/>
          <w:szCs w:val="22"/>
        </w:rPr>
      </w:pPr>
    </w:p>
    <w:p w14:paraId="42815140" w14:textId="77777777" w:rsidR="00F7457B" w:rsidRPr="00154AA2" w:rsidRDefault="00615769" w:rsidP="008D4B8F">
      <w:pPr>
        <w:rPr>
          <w:sz w:val="22"/>
          <w:szCs w:val="22"/>
          <w:u w:val="single"/>
        </w:rPr>
      </w:pPr>
      <w:r w:rsidRPr="00154AA2">
        <w:rPr>
          <w:sz w:val="22"/>
          <w:szCs w:val="22"/>
          <w:u w:val="single"/>
        </w:rPr>
        <w:t>Cancro</w:t>
      </w:r>
    </w:p>
    <w:p w14:paraId="7616D8B1" w14:textId="77777777" w:rsidR="00F7457B" w:rsidRPr="008912CF" w:rsidRDefault="00F7457B" w:rsidP="008D4B8F">
      <w:pPr>
        <w:rPr>
          <w:sz w:val="22"/>
          <w:szCs w:val="22"/>
        </w:rPr>
      </w:pPr>
    </w:p>
    <w:p w14:paraId="6583F356" w14:textId="77777777" w:rsidR="00F7457B" w:rsidRDefault="00615769" w:rsidP="005F79FA">
      <w:pPr>
        <w:numPr>
          <w:ilvl w:val="0"/>
          <w:numId w:val="23"/>
        </w:numPr>
        <w:ind w:left="686" w:hanging="357"/>
        <w:rPr>
          <w:sz w:val="22"/>
          <w:szCs w:val="22"/>
        </w:rPr>
      </w:pPr>
      <w:r w:rsidRPr="008912CF">
        <w:rPr>
          <w:sz w:val="22"/>
          <w:szCs w:val="22"/>
        </w:rPr>
        <w:t>T</w:t>
      </w:r>
      <w:r w:rsidR="00B00E30">
        <w:rPr>
          <w:sz w:val="22"/>
          <w:szCs w:val="22"/>
        </w:rPr>
        <w:t>ê</w:t>
      </w:r>
      <w:r w:rsidRPr="008912CF">
        <w:rPr>
          <w:sz w:val="22"/>
          <w:szCs w:val="22"/>
        </w:rPr>
        <w:t>m ocorrido</w:t>
      </w:r>
      <w:r w:rsidR="00B00E30">
        <w:rPr>
          <w:sz w:val="22"/>
          <w:szCs w:val="22"/>
        </w:rPr>
        <w:t>,</w:t>
      </w:r>
      <w:r w:rsidRPr="008912CF">
        <w:rPr>
          <w:sz w:val="22"/>
          <w:szCs w:val="22"/>
        </w:rPr>
        <w:t xml:space="preserve"> em casos muito raros, certos tipos de cancro em crianças e adultos doentes tratados com Humira ou com outros antagonistas TNF. </w:t>
      </w:r>
    </w:p>
    <w:p w14:paraId="121B1FF5" w14:textId="77777777" w:rsidR="00F7457B" w:rsidRDefault="00F7457B" w:rsidP="00F03C54">
      <w:pPr>
        <w:rPr>
          <w:sz w:val="22"/>
          <w:szCs w:val="22"/>
        </w:rPr>
      </w:pPr>
    </w:p>
    <w:p w14:paraId="35A5BB31" w14:textId="77777777" w:rsidR="00F7457B" w:rsidRPr="00F7457B" w:rsidRDefault="00615769" w:rsidP="00F03C54">
      <w:pPr>
        <w:numPr>
          <w:ilvl w:val="0"/>
          <w:numId w:val="23"/>
        </w:numPr>
        <w:tabs>
          <w:tab w:val="clear" w:pos="567"/>
          <w:tab w:val="num" w:pos="1418"/>
        </w:tabs>
        <w:ind w:left="1418" w:hanging="425"/>
        <w:rPr>
          <w:sz w:val="22"/>
          <w:szCs w:val="22"/>
        </w:rPr>
      </w:pPr>
      <w:r w:rsidRPr="00F7457B">
        <w:rPr>
          <w:sz w:val="22"/>
          <w:szCs w:val="22"/>
        </w:rPr>
        <w:t xml:space="preserve">Doentes com artrite reumatoide muito grave que tenham doença prolongada podem ter um maior risco médio de aparecimento de linfoma (cancro que afeta o sistema linfático) e leucemia (cancro que afeta o sangue e medula óssea). </w:t>
      </w:r>
    </w:p>
    <w:p w14:paraId="320B21B1" w14:textId="77777777" w:rsidR="00F7457B" w:rsidRPr="00F7457B" w:rsidRDefault="00615769" w:rsidP="00F03C54">
      <w:pPr>
        <w:numPr>
          <w:ilvl w:val="0"/>
          <w:numId w:val="23"/>
        </w:numPr>
        <w:tabs>
          <w:tab w:val="clear" w:pos="567"/>
          <w:tab w:val="num" w:pos="1418"/>
        </w:tabs>
        <w:ind w:left="1418" w:hanging="425"/>
        <w:rPr>
          <w:sz w:val="22"/>
          <w:szCs w:val="22"/>
        </w:rPr>
      </w:pPr>
      <w:r w:rsidRPr="00F7457B">
        <w:rPr>
          <w:sz w:val="22"/>
          <w:szCs w:val="22"/>
        </w:rPr>
        <w:t xml:space="preserve">Se a sua criança toma Humira o risco de ter linfoma, leucemia, ou outro tipo de cancro pode aumentar. Em raras ocasiões, em doentes tratados com Humira, foi notificado um tipo de linfoma </w:t>
      </w:r>
      <w:r w:rsidR="00712F4C">
        <w:rPr>
          <w:sz w:val="22"/>
          <w:szCs w:val="22"/>
        </w:rPr>
        <w:t>pouco frequente</w:t>
      </w:r>
      <w:r w:rsidR="00712F4C" w:rsidRPr="00F7457B">
        <w:rPr>
          <w:sz w:val="22"/>
          <w:szCs w:val="22"/>
        </w:rPr>
        <w:t xml:space="preserve"> </w:t>
      </w:r>
      <w:r w:rsidRPr="00F7457B">
        <w:rPr>
          <w:sz w:val="22"/>
          <w:szCs w:val="22"/>
        </w:rPr>
        <w:t xml:space="preserve">e grave. Alguns destes doentes foram também tratados com azatioprina ou 6-mercaptopurina. </w:t>
      </w:r>
    </w:p>
    <w:p w14:paraId="70184370" w14:textId="77777777" w:rsidR="00F7457B" w:rsidRDefault="00615769" w:rsidP="00F7457B">
      <w:pPr>
        <w:numPr>
          <w:ilvl w:val="0"/>
          <w:numId w:val="23"/>
        </w:numPr>
        <w:tabs>
          <w:tab w:val="clear" w:pos="567"/>
          <w:tab w:val="num" w:pos="1418"/>
        </w:tabs>
        <w:ind w:left="1418" w:hanging="425"/>
        <w:rPr>
          <w:sz w:val="22"/>
          <w:szCs w:val="22"/>
        </w:rPr>
      </w:pPr>
      <w:r w:rsidRPr="008912CF">
        <w:rPr>
          <w:sz w:val="22"/>
          <w:szCs w:val="22"/>
        </w:rPr>
        <w:t>Diga ao seu médico se a sua criança estiver a tomar azatioprina ou 6-mercaptopurina com Humira.</w:t>
      </w:r>
    </w:p>
    <w:p w14:paraId="6DE00C1B" w14:textId="77777777" w:rsidR="005F79FA" w:rsidRDefault="00615769" w:rsidP="00F03C54">
      <w:pPr>
        <w:numPr>
          <w:ilvl w:val="0"/>
          <w:numId w:val="23"/>
        </w:numPr>
        <w:tabs>
          <w:tab w:val="clear" w:pos="567"/>
          <w:tab w:val="num" w:pos="1418"/>
        </w:tabs>
        <w:ind w:left="1418" w:hanging="425"/>
        <w:rPr>
          <w:sz w:val="22"/>
          <w:szCs w:val="22"/>
        </w:rPr>
      </w:pPr>
      <w:r>
        <w:rPr>
          <w:sz w:val="22"/>
          <w:szCs w:val="22"/>
        </w:rPr>
        <w:t>F</w:t>
      </w:r>
      <w:r w:rsidR="008D4B8F" w:rsidRPr="00F7457B">
        <w:rPr>
          <w:sz w:val="22"/>
          <w:szCs w:val="22"/>
        </w:rPr>
        <w:t>oram observados casos de neoplasias cutâneas não melanomas em doentes tratados com Humira.</w:t>
      </w:r>
    </w:p>
    <w:p w14:paraId="473D61B8" w14:textId="77777777" w:rsidR="008D4B8F" w:rsidRDefault="00615769" w:rsidP="005F79FA">
      <w:pPr>
        <w:numPr>
          <w:ilvl w:val="0"/>
          <w:numId w:val="23"/>
        </w:numPr>
        <w:tabs>
          <w:tab w:val="clear" w:pos="567"/>
          <w:tab w:val="num" w:pos="1418"/>
        </w:tabs>
        <w:ind w:left="1418" w:hanging="425"/>
        <w:rPr>
          <w:sz w:val="22"/>
          <w:szCs w:val="22"/>
        </w:rPr>
      </w:pPr>
      <w:r w:rsidRPr="00F7457B">
        <w:rPr>
          <w:sz w:val="22"/>
          <w:szCs w:val="22"/>
        </w:rPr>
        <w:t>Se aparecerem novas lesões de pele durante ou depois do tratamento, ou se existirem alterações no aspeto de lesões existentes, informe o seu médico.</w:t>
      </w:r>
    </w:p>
    <w:p w14:paraId="18DA97B4" w14:textId="77777777" w:rsidR="00431BF1" w:rsidRPr="00F7457B" w:rsidRDefault="00431BF1" w:rsidP="00F03C54">
      <w:pPr>
        <w:ind w:left="993"/>
        <w:rPr>
          <w:sz w:val="22"/>
          <w:szCs w:val="22"/>
        </w:rPr>
      </w:pPr>
    </w:p>
    <w:p w14:paraId="14FA8F4A" w14:textId="77777777" w:rsidR="008D4B8F" w:rsidRPr="008912CF" w:rsidRDefault="00615769" w:rsidP="00F03C54">
      <w:pPr>
        <w:numPr>
          <w:ilvl w:val="0"/>
          <w:numId w:val="23"/>
        </w:numPr>
        <w:tabs>
          <w:tab w:val="clear" w:pos="567"/>
          <w:tab w:val="num" w:pos="993"/>
        </w:tabs>
        <w:ind w:left="686" w:hanging="357"/>
        <w:rPr>
          <w:sz w:val="22"/>
          <w:szCs w:val="22"/>
        </w:rPr>
      </w:pPr>
      <w:r w:rsidRPr="008912CF">
        <w:rPr>
          <w:sz w:val="22"/>
          <w:szCs w:val="22"/>
        </w:rPr>
        <w:t>Existem casos de cancros, para além de linfoma, em doentes com um tipo específico de doença pulmonar denominada Doença Pulmonar Obstrutiva Crónica (DPOC) tratados com outros antagonistas TNF. Se a sua criança tem DPOC ou se fuma muito, deve falar com o seu médico para saber se o tratamento com um bloqueador TNF é adequado.</w:t>
      </w:r>
    </w:p>
    <w:p w14:paraId="6B57B484" w14:textId="77777777" w:rsidR="008D4B8F" w:rsidRDefault="008D4B8F" w:rsidP="008D4B8F">
      <w:pPr>
        <w:rPr>
          <w:sz w:val="22"/>
          <w:szCs w:val="22"/>
        </w:rPr>
      </w:pPr>
    </w:p>
    <w:p w14:paraId="1EB5135B" w14:textId="77777777" w:rsidR="0069244F" w:rsidRPr="00F03C54" w:rsidRDefault="00615769" w:rsidP="008D4B8F">
      <w:pPr>
        <w:rPr>
          <w:sz w:val="22"/>
          <w:szCs w:val="22"/>
          <w:u w:val="single"/>
        </w:rPr>
      </w:pPr>
      <w:r w:rsidRPr="00F03C54">
        <w:rPr>
          <w:sz w:val="22"/>
          <w:szCs w:val="22"/>
          <w:u w:val="single"/>
        </w:rPr>
        <w:t>Doença autoimune</w:t>
      </w:r>
    </w:p>
    <w:p w14:paraId="23B45703" w14:textId="77777777" w:rsidR="0069244F" w:rsidRDefault="0069244F" w:rsidP="00F03C54">
      <w:pPr>
        <w:pStyle w:val="ListParagraph"/>
        <w:rPr>
          <w:sz w:val="22"/>
          <w:szCs w:val="22"/>
        </w:rPr>
      </w:pPr>
    </w:p>
    <w:p w14:paraId="587AD678" w14:textId="77777777" w:rsidR="00A33DCB" w:rsidRDefault="00615769" w:rsidP="00F03C54">
      <w:pPr>
        <w:pStyle w:val="ListParagraph"/>
        <w:numPr>
          <w:ilvl w:val="0"/>
          <w:numId w:val="144"/>
        </w:numPr>
        <w:rPr>
          <w:sz w:val="22"/>
          <w:szCs w:val="22"/>
        </w:rPr>
      </w:pPr>
      <w:r>
        <w:rPr>
          <w:sz w:val="22"/>
          <w:szCs w:val="22"/>
        </w:rPr>
        <w:t xml:space="preserve">Em raras ocasiões, o </w:t>
      </w:r>
      <w:r w:rsidRPr="00F03C54">
        <w:rPr>
          <w:sz w:val="22"/>
          <w:szCs w:val="22"/>
        </w:rPr>
        <w:t xml:space="preserve">tratamento com Humira pode dar origem </w:t>
      </w:r>
      <w:r>
        <w:rPr>
          <w:sz w:val="22"/>
          <w:szCs w:val="22"/>
        </w:rPr>
        <w:t>a s</w:t>
      </w:r>
      <w:r w:rsidRPr="0069244F">
        <w:rPr>
          <w:sz w:val="22"/>
          <w:szCs w:val="22"/>
        </w:rPr>
        <w:t>intomas sugestivos de uma síndrome tipo lúpus</w:t>
      </w:r>
      <w:r>
        <w:rPr>
          <w:sz w:val="22"/>
          <w:szCs w:val="22"/>
        </w:rPr>
        <w:t>. Contacte o seu médico se ocorrerem sintomas tais como inesperada</w:t>
      </w:r>
      <w:r w:rsidRPr="00A33DCB">
        <w:rPr>
          <w:sz w:val="22"/>
          <w:szCs w:val="22"/>
        </w:rPr>
        <w:t xml:space="preserve"> erupção cutânea persistente,</w:t>
      </w:r>
      <w:r>
        <w:rPr>
          <w:sz w:val="22"/>
          <w:szCs w:val="22"/>
        </w:rPr>
        <w:t xml:space="preserve"> febre, dor nas articulações ou cansaço.</w:t>
      </w:r>
      <w:r w:rsidRPr="00A33DCB">
        <w:rPr>
          <w:sz w:val="22"/>
          <w:szCs w:val="22"/>
        </w:rPr>
        <w:t xml:space="preserve"> </w:t>
      </w:r>
    </w:p>
    <w:p w14:paraId="7B82A543" w14:textId="77777777" w:rsidR="008D4B8F" w:rsidRPr="008912CF" w:rsidRDefault="008D4B8F" w:rsidP="008D4B8F">
      <w:pPr>
        <w:rPr>
          <w:b/>
          <w:bCs/>
          <w:sz w:val="22"/>
          <w:szCs w:val="22"/>
        </w:rPr>
      </w:pPr>
    </w:p>
    <w:p w14:paraId="5E0AFC37" w14:textId="77777777" w:rsidR="008D4B8F" w:rsidRPr="009A7479" w:rsidRDefault="00615769" w:rsidP="008D4B8F">
      <w:pPr>
        <w:suppressAutoHyphens/>
        <w:rPr>
          <w:b/>
          <w:bCs/>
          <w:sz w:val="22"/>
          <w:szCs w:val="22"/>
        </w:rPr>
      </w:pPr>
      <w:r w:rsidRPr="009A7479">
        <w:rPr>
          <w:b/>
          <w:bCs/>
          <w:sz w:val="22"/>
          <w:szCs w:val="22"/>
        </w:rPr>
        <w:t>Outros medicamentos e Humira</w:t>
      </w:r>
    </w:p>
    <w:p w14:paraId="667AB401" w14:textId="77777777" w:rsidR="008D4B8F" w:rsidRPr="008912CF" w:rsidRDefault="008D4B8F" w:rsidP="008D4B8F"/>
    <w:p w14:paraId="0C586508" w14:textId="77777777" w:rsidR="008D4B8F" w:rsidRPr="008912CF" w:rsidRDefault="00615769" w:rsidP="008D4B8F">
      <w:pPr>
        <w:rPr>
          <w:sz w:val="22"/>
          <w:szCs w:val="22"/>
        </w:rPr>
      </w:pPr>
      <w:r w:rsidRPr="008912CF">
        <w:rPr>
          <w:sz w:val="22"/>
          <w:szCs w:val="22"/>
        </w:rPr>
        <w:t>Informe o</w:t>
      </w:r>
      <w:r w:rsidR="00166A51">
        <w:rPr>
          <w:sz w:val="22"/>
          <w:szCs w:val="22"/>
        </w:rPr>
        <w:t xml:space="preserve"> seu</w:t>
      </w:r>
      <w:r w:rsidRPr="008912CF">
        <w:rPr>
          <w:sz w:val="22"/>
          <w:szCs w:val="22"/>
        </w:rPr>
        <w:t xml:space="preserve"> médico ou farmacêutico </w:t>
      </w:r>
      <w:r w:rsidR="00166A51">
        <w:rPr>
          <w:sz w:val="22"/>
          <w:szCs w:val="22"/>
        </w:rPr>
        <w:t xml:space="preserve">se a </w:t>
      </w:r>
      <w:r w:rsidRPr="008912CF">
        <w:rPr>
          <w:sz w:val="22"/>
          <w:szCs w:val="22"/>
        </w:rPr>
        <w:t>sua criança estiver a tomar, tiver tomado recentemente, ou se vier a tomar outros medicamentos.</w:t>
      </w:r>
    </w:p>
    <w:p w14:paraId="36288F24" w14:textId="77777777" w:rsidR="008D4B8F" w:rsidRDefault="008D4B8F" w:rsidP="008D4B8F">
      <w:pPr>
        <w:pStyle w:val="EndnoteText"/>
        <w:tabs>
          <w:tab w:val="clear" w:pos="567"/>
        </w:tabs>
        <w:rPr>
          <w:szCs w:val="22"/>
        </w:rPr>
      </w:pPr>
    </w:p>
    <w:p w14:paraId="4D082A80" w14:textId="77777777" w:rsidR="00C04EFE" w:rsidRDefault="00615769" w:rsidP="00F03C54">
      <w:pPr>
        <w:rPr>
          <w:szCs w:val="22"/>
        </w:rPr>
      </w:pPr>
      <w:r>
        <w:rPr>
          <w:sz w:val="22"/>
          <w:szCs w:val="22"/>
        </w:rPr>
        <w:t>Devido ao risco aumentado de infeções graves, a</w:t>
      </w:r>
      <w:r w:rsidRPr="008912CF">
        <w:rPr>
          <w:sz w:val="22"/>
          <w:szCs w:val="22"/>
        </w:rPr>
        <w:t xml:space="preserve"> sua criança não deve tomar Humira com medicamentos contendo a</w:t>
      </w:r>
      <w:r>
        <w:rPr>
          <w:sz w:val="22"/>
          <w:szCs w:val="22"/>
        </w:rPr>
        <w:t>s substâncias ativas seguintes:</w:t>
      </w:r>
    </w:p>
    <w:p w14:paraId="4D5342D9" w14:textId="77777777" w:rsidR="00C04EFE" w:rsidRDefault="00615769" w:rsidP="00F03C54">
      <w:pPr>
        <w:pStyle w:val="ListParagraph"/>
        <w:numPr>
          <w:ilvl w:val="0"/>
          <w:numId w:val="119"/>
        </w:numPr>
        <w:rPr>
          <w:szCs w:val="22"/>
        </w:rPr>
      </w:pPr>
      <w:r>
        <w:rPr>
          <w:sz w:val="22"/>
          <w:szCs w:val="22"/>
        </w:rPr>
        <w:t>a</w:t>
      </w:r>
      <w:r w:rsidRPr="00F03C54">
        <w:rPr>
          <w:sz w:val="22"/>
          <w:szCs w:val="22"/>
        </w:rPr>
        <w:t>na</w:t>
      </w:r>
      <w:r w:rsidR="00F7235D">
        <w:rPr>
          <w:sz w:val="22"/>
          <w:szCs w:val="22"/>
        </w:rPr>
        <w:t>c</w:t>
      </w:r>
      <w:r w:rsidRPr="00F03C54">
        <w:rPr>
          <w:sz w:val="22"/>
          <w:szCs w:val="22"/>
        </w:rPr>
        <w:t>inra</w:t>
      </w:r>
    </w:p>
    <w:p w14:paraId="0E384A37" w14:textId="77777777" w:rsidR="00C04EFE" w:rsidRPr="00765805" w:rsidRDefault="00615769" w:rsidP="00F03C54">
      <w:pPr>
        <w:pStyle w:val="ListParagraph"/>
        <w:numPr>
          <w:ilvl w:val="0"/>
          <w:numId w:val="119"/>
        </w:numPr>
        <w:rPr>
          <w:szCs w:val="22"/>
        </w:rPr>
      </w:pPr>
      <w:r w:rsidRPr="00F03C54">
        <w:rPr>
          <w:sz w:val="22"/>
          <w:szCs w:val="22"/>
        </w:rPr>
        <w:t>abatacept.</w:t>
      </w:r>
    </w:p>
    <w:p w14:paraId="2083C91E" w14:textId="77777777" w:rsidR="00C04EFE" w:rsidRPr="0092648F" w:rsidRDefault="00C04EFE" w:rsidP="00F03C54"/>
    <w:p w14:paraId="7AC75305" w14:textId="77777777" w:rsidR="00C04EFE" w:rsidRDefault="00615769" w:rsidP="008D4B8F">
      <w:pPr>
        <w:pStyle w:val="EndnoteText"/>
        <w:tabs>
          <w:tab w:val="clear" w:pos="567"/>
        </w:tabs>
        <w:rPr>
          <w:szCs w:val="22"/>
        </w:rPr>
      </w:pPr>
      <w:r w:rsidRPr="008912CF">
        <w:rPr>
          <w:szCs w:val="22"/>
        </w:rPr>
        <w:t>Humira pode ser utilizado em conjunto com</w:t>
      </w:r>
      <w:r>
        <w:rPr>
          <w:szCs w:val="22"/>
        </w:rPr>
        <w:t>:</w:t>
      </w:r>
    </w:p>
    <w:p w14:paraId="4BC8DFD3" w14:textId="77777777" w:rsidR="00C04EFE" w:rsidRDefault="00615769" w:rsidP="00F03C54">
      <w:pPr>
        <w:pStyle w:val="EndnoteText"/>
        <w:numPr>
          <w:ilvl w:val="0"/>
          <w:numId w:val="145"/>
        </w:numPr>
        <w:tabs>
          <w:tab w:val="clear" w:pos="567"/>
        </w:tabs>
        <w:rPr>
          <w:szCs w:val="22"/>
        </w:rPr>
      </w:pPr>
      <w:r w:rsidRPr="008912CF">
        <w:rPr>
          <w:szCs w:val="22"/>
        </w:rPr>
        <w:t>metotrexato</w:t>
      </w:r>
    </w:p>
    <w:p w14:paraId="743F88FA" w14:textId="77777777" w:rsidR="00FC4443" w:rsidRDefault="00615769" w:rsidP="00F03C54">
      <w:pPr>
        <w:pStyle w:val="EndnoteText"/>
        <w:numPr>
          <w:ilvl w:val="0"/>
          <w:numId w:val="145"/>
        </w:numPr>
        <w:tabs>
          <w:tab w:val="clear" w:pos="567"/>
        </w:tabs>
        <w:rPr>
          <w:szCs w:val="22"/>
        </w:rPr>
      </w:pPr>
      <w:r w:rsidRPr="008912CF">
        <w:rPr>
          <w:szCs w:val="22"/>
        </w:rPr>
        <w:t>certos medicamentos anti</w:t>
      </w:r>
      <w:r w:rsidR="00F96DDF">
        <w:rPr>
          <w:szCs w:val="22"/>
        </w:rPr>
        <w:t>-</w:t>
      </w:r>
      <w:r w:rsidRPr="008912CF">
        <w:rPr>
          <w:szCs w:val="22"/>
        </w:rPr>
        <w:t>reumatismais modificadores da doença (</w:t>
      </w:r>
      <w:r w:rsidR="00DD3375">
        <w:rPr>
          <w:szCs w:val="22"/>
        </w:rPr>
        <w:t xml:space="preserve">por exemplo </w:t>
      </w:r>
      <w:r w:rsidRPr="008912CF">
        <w:rPr>
          <w:szCs w:val="22"/>
        </w:rPr>
        <w:t>sulfassalazina, hidroxicloroquina, leflunomid</w:t>
      </w:r>
      <w:r w:rsidR="00082F0B">
        <w:rPr>
          <w:szCs w:val="22"/>
        </w:rPr>
        <w:t>a</w:t>
      </w:r>
      <w:r w:rsidRPr="008912CF">
        <w:rPr>
          <w:szCs w:val="22"/>
        </w:rPr>
        <w:t xml:space="preserve"> e preparações injetáveis de sais de ouro)</w:t>
      </w:r>
    </w:p>
    <w:p w14:paraId="4476CB2B" w14:textId="77777777" w:rsidR="008D4B8F" w:rsidRPr="008912CF" w:rsidRDefault="00615769" w:rsidP="00F03C54">
      <w:pPr>
        <w:pStyle w:val="EndnoteText"/>
        <w:numPr>
          <w:ilvl w:val="0"/>
          <w:numId w:val="145"/>
        </w:numPr>
        <w:tabs>
          <w:tab w:val="clear" w:pos="567"/>
        </w:tabs>
        <w:rPr>
          <w:szCs w:val="22"/>
        </w:rPr>
      </w:pPr>
      <w:r w:rsidRPr="008912CF">
        <w:rPr>
          <w:szCs w:val="22"/>
        </w:rPr>
        <w:t xml:space="preserve">corticosteroides ou medicamentos analgésicos, incluindo </w:t>
      </w:r>
      <w:r w:rsidR="003570FF">
        <w:rPr>
          <w:szCs w:val="22"/>
        </w:rPr>
        <w:t>medicamentos</w:t>
      </w:r>
      <w:r w:rsidR="003570FF" w:rsidRPr="008912CF">
        <w:rPr>
          <w:szCs w:val="22"/>
        </w:rPr>
        <w:t xml:space="preserve"> </w:t>
      </w:r>
      <w:r w:rsidRPr="008912CF">
        <w:rPr>
          <w:szCs w:val="22"/>
        </w:rPr>
        <w:t>anti-inflamatórios não esteroides (AINEs).</w:t>
      </w:r>
    </w:p>
    <w:p w14:paraId="1C5CFD46" w14:textId="77777777" w:rsidR="008D4B8F" w:rsidRPr="008912CF" w:rsidRDefault="008D4B8F" w:rsidP="008D4B8F">
      <w:pPr>
        <w:ind w:right="-2"/>
        <w:rPr>
          <w:sz w:val="22"/>
          <w:szCs w:val="22"/>
        </w:rPr>
      </w:pPr>
    </w:p>
    <w:p w14:paraId="366D394D" w14:textId="77777777" w:rsidR="008D4B8F" w:rsidRPr="008912CF" w:rsidRDefault="00615769" w:rsidP="008D4B8F">
      <w:pPr>
        <w:rPr>
          <w:sz w:val="22"/>
          <w:szCs w:val="22"/>
        </w:rPr>
      </w:pPr>
      <w:r w:rsidRPr="008912CF">
        <w:rPr>
          <w:sz w:val="22"/>
          <w:szCs w:val="22"/>
        </w:rPr>
        <w:t>Se tiver qualquer dúvida, por favor pergunte ao seu médico.</w:t>
      </w:r>
    </w:p>
    <w:p w14:paraId="173C14C5" w14:textId="77777777" w:rsidR="008D4B8F" w:rsidRPr="008912CF" w:rsidRDefault="008D4B8F" w:rsidP="008D4B8F">
      <w:pPr>
        <w:ind w:right="-2"/>
        <w:rPr>
          <w:b/>
          <w:sz w:val="22"/>
          <w:szCs w:val="22"/>
        </w:rPr>
      </w:pPr>
    </w:p>
    <w:p w14:paraId="76F57C37" w14:textId="77777777" w:rsidR="008D4B8F" w:rsidRPr="009A7479" w:rsidRDefault="00615769" w:rsidP="008D4B8F">
      <w:pPr>
        <w:ind w:right="-2"/>
        <w:rPr>
          <w:b/>
          <w:sz w:val="22"/>
          <w:szCs w:val="22"/>
        </w:rPr>
      </w:pPr>
      <w:r w:rsidRPr="009A7479">
        <w:rPr>
          <w:b/>
          <w:sz w:val="22"/>
          <w:szCs w:val="22"/>
        </w:rPr>
        <w:t>Gravidez e amamentação</w:t>
      </w:r>
    </w:p>
    <w:p w14:paraId="42AB4217" w14:textId="77777777" w:rsidR="008D4B8F" w:rsidRPr="008912CF" w:rsidRDefault="008D4B8F" w:rsidP="008D4B8F">
      <w:pPr>
        <w:ind w:right="-2"/>
        <w:rPr>
          <w:bCs/>
          <w:sz w:val="22"/>
          <w:szCs w:val="22"/>
        </w:rPr>
      </w:pPr>
    </w:p>
    <w:p w14:paraId="3F134CCA" w14:textId="77777777" w:rsidR="008D4B8F" w:rsidRPr="008407E0" w:rsidRDefault="00615769" w:rsidP="008407E0">
      <w:pPr>
        <w:pStyle w:val="ListParagraph"/>
        <w:numPr>
          <w:ilvl w:val="0"/>
          <w:numId w:val="153"/>
        </w:numPr>
        <w:autoSpaceDE w:val="0"/>
        <w:autoSpaceDN w:val="0"/>
        <w:adjustRightInd w:val="0"/>
        <w:rPr>
          <w:i/>
          <w:sz w:val="22"/>
          <w:szCs w:val="22"/>
        </w:rPr>
      </w:pPr>
      <w:r w:rsidRPr="008407E0">
        <w:rPr>
          <w:sz w:val="22"/>
          <w:szCs w:val="22"/>
        </w:rPr>
        <w:t xml:space="preserve">A sua criança </w:t>
      </w:r>
      <w:r w:rsidR="00DD344B">
        <w:rPr>
          <w:sz w:val="22"/>
          <w:szCs w:val="22"/>
        </w:rPr>
        <w:t>deverá considerar a utilização de</w:t>
      </w:r>
      <w:r w:rsidRPr="008407E0">
        <w:rPr>
          <w:sz w:val="22"/>
          <w:szCs w:val="22"/>
        </w:rPr>
        <w:t xml:space="preserve"> um método contracetivo adequado </w:t>
      </w:r>
      <w:r w:rsidR="00DD344B">
        <w:rPr>
          <w:sz w:val="22"/>
          <w:szCs w:val="22"/>
        </w:rPr>
        <w:t xml:space="preserve">para evitar </w:t>
      </w:r>
      <w:r w:rsidR="002D1DA8">
        <w:rPr>
          <w:sz w:val="22"/>
          <w:szCs w:val="22"/>
        </w:rPr>
        <w:t>a gravidez</w:t>
      </w:r>
      <w:r w:rsidR="008407E0">
        <w:rPr>
          <w:sz w:val="22"/>
          <w:szCs w:val="22"/>
        </w:rPr>
        <w:t xml:space="preserve"> </w:t>
      </w:r>
      <w:r w:rsidR="002D1DA8">
        <w:rPr>
          <w:sz w:val="22"/>
          <w:szCs w:val="22"/>
        </w:rPr>
        <w:t xml:space="preserve">e </w:t>
      </w:r>
      <w:r w:rsidR="00DD344B">
        <w:rPr>
          <w:sz w:val="22"/>
          <w:szCs w:val="22"/>
        </w:rPr>
        <w:t>continua</w:t>
      </w:r>
      <w:r w:rsidR="002D1DA8">
        <w:rPr>
          <w:sz w:val="22"/>
          <w:szCs w:val="22"/>
        </w:rPr>
        <w:t xml:space="preserve">r a utilizá-lo </w:t>
      </w:r>
      <w:r w:rsidRPr="008407E0">
        <w:rPr>
          <w:sz w:val="22"/>
          <w:szCs w:val="22"/>
        </w:rPr>
        <w:t xml:space="preserve">durante pelo menos 5 meses após o último tratamento com Humira. </w:t>
      </w:r>
    </w:p>
    <w:p w14:paraId="6275B274" w14:textId="77777777" w:rsidR="00DD344B" w:rsidRPr="008407E0" w:rsidRDefault="00615769" w:rsidP="008407E0">
      <w:pPr>
        <w:pStyle w:val="ListParagraph"/>
        <w:numPr>
          <w:ilvl w:val="0"/>
          <w:numId w:val="153"/>
        </w:numPr>
        <w:rPr>
          <w:sz w:val="22"/>
          <w:szCs w:val="22"/>
        </w:rPr>
      </w:pPr>
      <w:r w:rsidRPr="008407E0">
        <w:rPr>
          <w:sz w:val="22"/>
          <w:szCs w:val="22"/>
        </w:rPr>
        <w:t>Se a sua criança est</w:t>
      </w:r>
      <w:r w:rsidR="000752D2">
        <w:rPr>
          <w:sz w:val="22"/>
          <w:szCs w:val="22"/>
        </w:rPr>
        <w:t>á g</w:t>
      </w:r>
      <w:r w:rsidRPr="008407E0">
        <w:rPr>
          <w:sz w:val="22"/>
          <w:szCs w:val="22"/>
        </w:rPr>
        <w:t>rávida, se pensa que a sua criança pode estar gr</w:t>
      </w:r>
      <w:r w:rsidR="000752D2">
        <w:rPr>
          <w:sz w:val="22"/>
          <w:szCs w:val="22"/>
        </w:rPr>
        <w:t xml:space="preserve">ávida ou se planeia </w:t>
      </w:r>
      <w:r w:rsidRPr="008407E0">
        <w:rPr>
          <w:sz w:val="22"/>
          <w:szCs w:val="22"/>
        </w:rPr>
        <w:t>engravidar</w:t>
      </w:r>
      <w:r w:rsidR="000752D2">
        <w:rPr>
          <w:sz w:val="22"/>
          <w:szCs w:val="22"/>
        </w:rPr>
        <w:t>,</w:t>
      </w:r>
      <w:r w:rsidRPr="008407E0">
        <w:rPr>
          <w:sz w:val="22"/>
          <w:szCs w:val="22"/>
        </w:rPr>
        <w:t xml:space="preserve"> aconselhe-se com o médico</w:t>
      </w:r>
      <w:r w:rsidR="0071746E">
        <w:rPr>
          <w:sz w:val="22"/>
          <w:szCs w:val="22"/>
        </w:rPr>
        <w:t xml:space="preserve"> da sua criança</w:t>
      </w:r>
      <w:r w:rsidRPr="008407E0">
        <w:rPr>
          <w:sz w:val="22"/>
          <w:szCs w:val="22"/>
        </w:rPr>
        <w:t xml:space="preserve"> antes </w:t>
      </w:r>
      <w:r w:rsidR="0071746E">
        <w:rPr>
          <w:sz w:val="22"/>
          <w:szCs w:val="22"/>
        </w:rPr>
        <w:t>de</w:t>
      </w:r>
      <w:r w:rsidRPr="008407E0">
        <w:rPr>
          <w:sz w:val="22"/>
          <w:szCs w:val="22"/>
        </w:rPr>
        <w:t xml:space="preserve"> u</w:t>
      </w:r>
      <w:r w:rsidR="00E627F1">
        <w:rPr>
          <w:sz w:val="22"/>
          <w:szCs w:val="22"/>
        </w:rPr>
        <w:t>tiliz</w:t>
      </w:r>
      <w:r w:rsidRPr="008407E0">
        <w:rPr>
          <w:sz w:val="22"/>
          <w:szCs w:val="22"/>
        </w:rPr>
        <w:t>ar esta terapêutica.</w:t>
      </w:r>
    </w:p>
    <w:p w14:paraId="584BFA82" w14:textId="77777777" w:rsidR="00DD344B" w:rsidRDefault="00615769" w:rsidP="008407E0">
      <w:pPr>
        <w:pStyle w:val="ListParagraph"/>
        <w:numPr>
          <w:ilvl w:val="0"/>
          <w:numId w:val="153"/>
        </w:numPr>
        <w:autoSpaceDE w:val="0"/>
        <w:autoSpaceDN w:val="0"/>
        <w:adjustRightInd w:val="0"/>
        <w:rPr>
          <w:sz w:val="22"/>
          <w:szCs w:val="22"/>
        </w:rPr>
      </w:pPr>
      <w:r w:rsidRPr="008407E0">
        <w:rPr>
          <w:sz w:val="22"/>
          <w:szCs w:val="22"/>
        </w:rPr>
        <w:t xml:space="preserve">Humira só deve ser utilizado durante </w:t>
      </w:r>
      <w:r w:rsidR="005D73F4">
        <w:rPr>
          <w:sz w:val="22"/>
          <w:szCs w:val="22"/>
        </w:rPr>
        <w:t xml:space="preserve">a </w:t>
      </w:r>
      <w:r w:rsidRPr="008407E0">
        <w:rPr>
          <w:sz w:val="22"/>
          <w:szCs w:val="22"/>
        </w:rPr>
        <w:t>gravidez se necessário.</w:t>
      </w:r>
    </w:p>
    <w:p w14:paraId="75D63C6B" w14:textId="77777777" w:rsidR="008004F8" w:rsidRDefault="00615769" w:rsidP="008407E0">
      <w:pPr>
        <w:pStyle w:val="ListParagraph"/>
        <w:numPr>
          <w:ilvl w:val="0"/>
          <w:numId w:val="153"/>
        </w:numPr>
        <w:autoSpaceDE w:val="0"/>
        <w:autoSpaceDN w:val="0"/>
        <w:adjustRightInd w:val="0"/>
        <w:rPr>
          <w:sz w:val="22"/>
          <w:szCs w:val="22"/>
        </w:rPr>
      </w:pPr>
      <w:r w:rsidRPr="008004F8">
        <w:rPr>
          <w:sz w:val="22"/>
          <w:szCs w:val="22"/>
        </w:rPr>
        <w:t xml:space="preserve">De acordo com um estudo </w:t>
      </w:r>
      <w:r w:rsidR="0071746E">
        <w:rPr>
          <w:sz w:val="22"/>
          <w:szCs w:val="22"/>
        </w:rPr>
        <w:t>na</w:t>
      </w:r>
      <w:r w:rsidRPr="008004F8">
        <w:rPr>
          <w:sz w:val="22"/>
          <w:szCs w:val="22"/>
        </w:rPr>
        <w:t xml:space="preserve"> gravidez, não houve risco mais elevado de </w:t>
      </w:r>
      <w:r>
        <w:rPr>
          <w:sz w:val="22"/>
          <w:szCs w:val="22"/>
        </w:rPr>
        <w:t>malformações con</w:t>
      </w:r>
      <w:r w:rsidRPr="008004F8">
        <w:rPr>
          <w:sz w:val="22"/>
          <w:szCs w:val="22"/>
        </w:rPr>
        <w:t>génit</w:t>
      </w:r>
      <w:r>
        <w:rPr>
          <w:sz w:val="22"/>
          <w:szCs w:val="22"/>
        </w:rPr>
        <w:t>as</w:t>
      </w:r>
      <w:r w:rsidRPr="008004F8">
        <w:rPr>
          <w:sz w:val="22"/>
          <w:szCs w:val="22"/>
        </w:rPr>
        <w:t xml:space="preserve"> quando a mãe recebeu Humira durante a gravidez, em comparação com mães com a mesma doença que não receberam Humira.</w:t>
      </w:r>
    </w:p>
    <w:p w14:paraId="36D8C3FE" w14:textId="77777777" w:rsidR="008004F8" w:rsidRDefault="00615769" w:rsidP="008407E0">
      <w:pPr>
        <w:pStyle w:val="ListParagraph"/>
        <w:numPr>
          <w:ilvl w:val="0"/>
          <w:numId w:val="153"/>
        </w:numPr>
        <w:autoSpaceDE w:val="0"/>
        <w:autoSpaceDN w:val="0"/>
        <w:adjustRightInd w:val="0"/>
        <w:rPr>
          <w:sz w:val="22"/>
          <w:szCs w:val="22"/>
        </w:rPr>
      </w:pPr>
      <w:r>
        <w:rPr>
          <w:sz w:val="22"/>
          <w:szCs w:val="22"/>
        </w:rPr>
        <w:t>Humira pode ser utilizado durante a amamentação.</w:t>
      </w:r>
    </w:p>
    <w:p w14:paraId="34E3A923" w14:textId="77777777" w:rsidR="0071746E" w:rsidRPr="0071746E" w:rsidRDefault="00615769" w:rsidP="0071746E">
      <w:pPr>
        <w:pStyle w:val="ListParagraph"/>
        <w:numPr>
          <w:ilvl w:val="0"/>
          <w:numId w:val="153"/>
        </w:numPr>
        <w:autoSpaceDE w:val="0"/>
        <w:autoSpaceDN w:val="0"/>
        <w:adjustRightInd w:val="0"/>
        <w:rPr>
          <w:sz w:val="22"/>
          <w:szCs w:val="22"/>
        </w:rPr>
      </w:pPr>
      <w:r w:rsidRPr="008407E0">
        <w:rPr>
          <w:sz w:val="22"/>
          <w:szCs w:val="22"/>
        </w:rPr>
        <w:t>Se durante a gravidez a sua criança utiliz</w:t>
      </w:r>
      <w:r w:rsidR="00767DE3">
        <w:rPr>
          <w:sz w:val="22"/>
          <w:szCs w:val="22"/>
        </w:rPr>
        <w:t>ar</w:t>
      </w:r>
      <w:r w:rsidRPr="008407E0">
        <w:rPr>
          <w:sz w:val="22"/>
          <w:szCs w:val="22"/>
        </w:rPr>
        <w:t xml:space="preserve"> Humira, o </w:t>
      </w:r>
      <w:r w:rsidR="00BE4522">
        <w:rPr>
          <w:sz w:val="22"/>
          <w:szCs w:val="22"/>
        </w:rPr>
        <w:t xml:space="preserve">seu </w:t>
      </w:r>
      <w:r w:rsidRPr="008407E0">
        <w:rPr>
          <w:sz w:val="22"/>
          <w:szCs w:val="22"/>
        </w:rPr>
        <w:t>bebé pode ter um risco superior de ter uma infeção.</w:t>
      </w:r>
    </w:p>
    <w:p w14:paraId="1CDC7098" w14:textId="77777777" w:rsidR="008D4B8F" w:rsidRPr="008912CF" w:rsidRDefault="00615769" w:rsidP="0071746E">
      <w:pPr>
        <w:pStyle w:val="ListParagraph"/>
        <w:numPr>
          <w:ilvl w:val="0"/>
          <w:numId w:val="153"/>
        </w:numPr>
        <w:autoSpaceDE w:val="0"/>
        <w:autoSpaceDN w:val="0"/>
        <w:adjustRightInd w:val="0"/>
      </w:pPr>
      <w:r w:rsidRPr="0071746E">
        <w:rPr>
          <w:sz w:val="22"/>
          <w:szCs w:val="22"/>
        </w:rPr>
        <w:t xml:space="preserve">É importante que diga ao médico do bebé e a outros profissionais de saúde que a sua criança usou Humira durante a gravidez antes que o </w:t>
      </w:r>
      <w:r w:rsidR="00BE4522">
        <w:rPr>
          <w:sz w:val="22"/>
          <w:szCs w:val="22"/>
        </w:rPr>
        <w:t xml:space="preserve">seu </w:t>
      </w:r>
      <w:r w:rsidRPr="0071746E">
        <w:rPr>
          <w:sz w:val="22"/>
          <w:szCs w:val="22"/>
        </w:rPr>
        <w:t>bebé tome qualquer vacina. Para mais informação sobre vacinação</w:t>
      </w:r>
      <w:r w:rsidR="005C0FF3" w:rsidRPr="0071746E">
        <w:rPr>
          <w:sz w:val="22"/>
          <w:szCs w:val="22"/>
        </w:rPr>
        <w:t>,</w:t>
      </w:r>
      <w:r w:rsidRPr="0071746E">
        <w:rPr>
          <w:sz w:val="22"/>
          <w:szCs w:val="22"/>
        </w:rPr>
        <w:t xml:space="preserve"> ver secção “Advertências e precauções”.</w:t>
      </w:r>
    </w:p>
    <w:p w14:paraId="4FD838A1" w14:textId="77777777" w:rsidR="008D4B8F" w:rsidRPr="008912CF" w:rsidRDefault="008D4B8F" w:rsidP="008D4B8F">
      <w:pPr>
        <w:rPr>
          <w:sz w:val="22"/>
          <w:szCs w:val="22"/>
        </w:rPr>
      </w:pPr>
    </w:p>
    <w:p w14:paraId="35016848" w14:textId="77777777" w:rsidR="008D4B8F" w:rsidRPr="008912CF" w:rsidRDefault="00615769" w:rsidP="008D4B8F">
      <w:pPr>
        <w:pStyle w:val="Heading8"/>
        <w:keepNext w:val="0"/>
        <w:rPr>
          <w:szCs w:val="22"/>
        </w:rPr>
      </w:pPr>
      <w:r w:rsidRPr="008912CF">
        <w:rPr>
          <w:szCs w:val="22"/>
        </w:rPr>
        <w:t>Condução de veículos e utilização de máquinas</w:t>
      </w:r>
    </w:p>
    <w:p w14:paraId="120A6C4C" w14:textId="77777777" w:rsidR="008D4B8F" w:rsidRPr="008912CF" w:rsidRDefault="008D4B8F" w:rsidP="008D4B8F">
      <w:pPr>
        <w:ind w:right="-2"/>
        <w:rPr>
          <w:sz w:val="22"/>
          <w:szCs w:val="22"/>
        </w:rPr>
      </w:pPr>
    </w:p>
    <w:p w14:paraId="34E966CB" w14:textId="77777777" w:rsidR="008D4B8F" w:rsidRPr="008912CF" w:rsidRDefault="00615769" w:rsidP="008D4B8F">
      <w:pPr>
        <w:ind w:right="-2"/>
        <w:rPr>
          <w:sz w:val="22"/>
          <w:szCs w:val="22"/>
        </w:rPr>
      </w:pPr>
      <w:r w:rsidRPr="008912CF">
        <w:rPr>
          <w:sz w:val="22"/>
          <w:szCs w:val="22"/>
        </w:rPr>
        <w:t>Humira pode ter uma pequena influência na capacidade d</w:t>
      </w:r>
      <w:r w:rsidR="00166A51">
        <w:rPr>
          <w:sz w:val="22"/>
          <w:szCs w:val="22"/>
        </w:rPr>
        <w:t>a sua criança</w:t>
      </w:r>
      <w:r w:rsidRPr="008912CF">
        <w:rPr>
          <w:sz w:val="22"/>
          <w:szCs w:val="22"/>
        </w:rPr>
        <w:t xml:space="preserve"> conduzir, andar de bicicleta ou utilizar máquinas. Depois de tomar Humira podem ocorrer vertigens e alterações da visão. </w:t>
      </w:r>
    </w:p>
    <w:p w14:paraId="791942A6" w14:textId="77777777" w:rsidR="008D4B8F" w:rsidRDefault="008D4B8F" w:rsidP="008D4B8F">
      <w:pPr>
        <w:ind w:right="-2"/>
        <w:rPr>
          <w:ins w:id="12588" w:author="AbbVie2" w:date="2025-05-14T10:17:00Z"/>
          <w:sz w:val="22"/>
          <w:szCs w:val="22"/>
        </w:rPr>
      </w:pPr>
    </w:p>
    <w:p w14:paraId="7275D101" w14:textId="0EF80764" w:rsidR="00AD4F25" w:rsidRPr="00AD4F25" w:rsidRDefault="00615769" w:rsidP="008D4B8F">
      <w:pPr>
        <w:ind w:right="-2"/>
        <w:rPr>
          <w:ins w:id="12589" w:author="AbbVie2" w:date="2025-05-14T10:17:00Z"/>
          <w:b/>
          <w:bCs/>
          <w:sz w:val="22"/>
          <w:szCs w:val="22"/>
          <w:rPrChange w:id="12590" w:author="AbbVie2" w:date="2025-05-14T10:17:00Z">
            <w:rPr>
              <w:ins w:id="12591" w:author="AbbVie2" w:date="2025-05-14T10:17:00Z"/>
              <w:sz w:val="22"/>
              <w:szCs w:val="22"/>
            </w:rPr>
          </w:rPrChange>
        </w:rPr>
      </w:pPr>
      <w:ins w:id="12592" w:author="AbbVie2" w:date="2025-05-14T10:17:00Z">
        <w:r w:rsidRPr="00AD4F25">
          <w:rPr>
            <w:b/>
            <w:bCs/>
            <w:sz w:val="22"/>
            <w:szCs w:val="22"/>
            <w:rPrChange w:id="12593" w:author="AbbVie2" w:date="2025-05-14T10:17:00Z">
              <w:rPr>
                <w:sz w:val="22"/>
                <w:szCs w:val="22"/>
              </w:rPr>
            </w:rPrChange>
          </w:rPr>
          <w:t>Humira contém polissorbato</w:t>
        </w:r>
      </w:ins>
    </w:p>
    <w:p w14:paraId="356B98EB" w14:textId="77777777" w:rsidR="00AD4F25" w:rsidRDefault="00AD4F25" w:rsidP="008D4B8F">
      <w:pPr>
        <w:ind w:right="-2"/>
        <w:rPr>
          <w:ins w:id="12594" w:author="AbbVie2" w:date="2025-05-14T10:17:00Z"/>
          <w:sz w:val="22"/>
          <w:szCs w:val="22"/>
        </w:rPr>
      </w:pPr>
    </w:p>
    <w:p w14:paraId="67A0CFCB" w14:textId="76AB16F1" w:rsidR="00AD4F25" w:rsidRDefault="00615769" w:rsidP="008D4B8F">
      <w:pPr>
        <w:ind w:right="-2"/>
        <w:rPr>
          <w:ins w:id="12595" w:author="AbbVie2" w:date="2025-05-14T10:20:00Z"/>
          <w:sz w:val="22"/>
          <w:szCs w:val="22"/>
        </w:rPr>
      </w:pPr>
      <w:ins w:id="12596" w:author="AbbVie2" w:date="2025-05-14T10:17:00Z">
        <w:r>
          <w:rPr>
            <w:sz w:val="22"/>
            <w:szCs w:val="22"/>
          </w:rPr>
          <w:t>Este medicamento contém 0,2 mg de polissorbato 80 em cada dose de 20 mg.</w:t>
        </w:r>
      </w:ins>
      <w:ins w:id="12597" w:author="AbbVie2" w:date="2025-05-14T10:18:00Z">
        <w:r>
          <w:rPr>
            <w:sz w:val="22"/>
            <w:szCs w:val="22"/>
          </w:rPr>
          <w:t xml:space="preserve"> Os polissorbatos podem causar reações alérgicas. Informe o seu médico </w:t>
        </w:r>
      </w:ins>
      <w:ins w:id="12598" w:author="AbbVie2" w:date="2025-05-19T10:05:00Z">
        <w:r w:rsidR="003C277E">
          <w:rPr>
            <w:sz w:val="22"/>
            <w:szCs w:val="22"/>
          </w:rPr>
          <w:t>caso</w:t>
        </w:r>
      </w:ins>
      <w:ins w:id="12599" w:author="AbbVie2" w:date="2025-05-14T10:19:00Z">
        <w:r>
          <w:rPr>
            <w:sz w:val="22"/>
            <w:szCs w:val="22"/>
          </w:rPr>
          <w:t xml:space="preserve"> o seu filho t</w:t>
        </w:r>
      </w:ins>
      <w:ins w:id="12600" w:author="AbbVie2" w:date="2025-05-19T10:05:00Z">
        <w:r w:rsidR="003C277E">
          <w:rPr>
            <w:sz w:val="22"/>
            <w:szCs w:val="22"/>
          </w:rPr>
          <w:t>enha</w:t>
        </w:r>
      </w:ins>
      <w:ins w:id="12601" w:author="AbbVie2" w:date="2025-05-14T10:19:00Z">
        <w:r>
          <w:rPr>
            <w:sz w:val="22"/>
            <w:szCs w:val="22"/>
          </w:rPr>
          <w:t xml:space="preserve"> alguma alergia conhecida</w:t>
        </w:r>
      </w:ins>
      <w:ins w:id="12602" w:author="AbbVie2" w:date="2025-05-14T10:18:00Z">
        <w:r>
          <w:rPr>
            <w:sz w:val="22"/>
            <w:szCs w:val="22"/>
          </w:rPr>
          <w:t>.</w:t>
        </w:r>
      </w:ins>
    </w:p>
    <w:p w14:paraId="569180C2" w14:textId="77777777" w:rsidR="00AD4F25" w:rsidRPr="008912CF" w:rsidRDefault="00AD4F25" w:rsidP="008D4B8F">
      <w:pPr>
        <w:ind w:right="-2"/>
        <w:rPr>
          <w:sz w:val="22"/>
          <w:szCs w:val="22"/>
        </w:rPr>
      </w:pPr>
    </w:p>
    <w:p w14:paraId="591ED064" w14:textId="77777777" w:rsidR="008D4B8F" w:rsidRPr="008912CF" w:rsidRDefault="008D4B8F" w:rsidP="008D4B8F">
      <w:pPr>
        <w:ind w:right="-2"/>
        <w:rPr>
          <w:sz w:val="22"/>
          <w:szCs w:val="22"/>
        </w:rPr>
      </w:pPr>
    </w:p>
    <w:p w14:paraId="0E2D705C" w14:textId="77777777" w:rsidR="008D4B8F" w:rsidRPr="008912CF" w:rsidRDefault="00615769" w:rsidP="008D4B8F">
      <w:pPr>
        <w:ind w:left="567" w:right="-2" w:hanging="567"/>
        <w:rPr>
          <w:sz w:val="22"/>
          <w:szCs w:val="22"/>
        </w:rPr>
      </w:pPr>
      <w:r w:rsidRPr="008912CF">
        <w:rPr>
          <w:b/>
          <w:sz w:val="22"/>
          <w:szCs w:val="22"/>
        </w:rPr>
        <w:t>3.</w:t>
      </w:r>
      <w:r w:rsidRPr="008912CF">
        <w:rPr>
          <w:b/>
          <w:sz w:val="22"/>
          <w:szCs w:val="22"/>
        </w:rPr>
        <w:tab/>
        <w:t>Como utilizar Humira</w:t>
      </w:r>
    </w:p>
    <w:p w14:paraId="003C3FB5" w14:textId="77777777" w:rsidR="008D4B8F" w:rsidRPr="008912CF" w:rsidRDefault="008D4B8F" w:rsidP="008D4B8F">
      <w:pPr>
        <w:ind w:right="-2"/>
        <w:rPr>
          <w:sz w:val="22"/>
          <w:szCs w:val="22"/>
        </w:rPr>
      </w:pPr>
    </w:p>
    <w:p w14:paraId="2264C4C5" w14:textId="77777777" w:rsidR="008D4B8F" w:rsidRPr="008912CF" w:rsidRDefault="00615769" w:rsidP="008D4B8F">
      <w:pPr>
        <w:pStyle w:val="BodyText3"/>
        <w:rPr>
          <w:szCs w:val="22"/>
        </w:rPr>
      </w:pPr>
      <w:r w:rsidRPr="008912CF">
        <w:rPr>
          <w:szCs w:val="22"/>
        </w:rPr>
        <w:t xml:space="preserve">Utilize </w:t>
      </w:r>
      <w:r w:rsidR="009A7479">
        <w:rPr>
          <w:szCs w:val="22"/>
        </w:rPr>
        <w:t xml:space="preserve">sempre </w:t>
      </w:r>
      <w:r w:rsidRPr="008912CF">
        <w:rPr>
          <w:szCs w:val="22"/>
        </w:rPr>
        <w:t xml:space="preserve">este medicamento exatamente como indicado pelo </w:t>
      </w:r>
      <w:r w:rsidR="00166A51">
        <w:rPr>
          <w:szCs w:val="22"/>
        </w:rPr>
        <w:t xml:space="preserve">seu </w:t>
      </w:r>
      <w:r w:rsidRPr="008912CF">
        <w:rPr>
          <w:szCs w:val="22"/>
        </w:rPr>
        <w:t xml:space="preserve">médico ou farmacêutico. Fale com o </w:t>
      </w:r>
      <w:r w:rsidR="00166A51">
        <w:rPr>
          <w:szCs w:val="22"/>
        </w:rPr>
        <w:t xml:space="preserve">seu </w:t>
      </w:r>
      <w:r w:rsidRPr="008912CF">
        <w:rPr>
          <w:szCs w:val="22"/>
        </w:rPr>
        <w:t xml:space="preserve">médico ou farmacêutico se tiver </w:t>
      </w:r>
      <w:r w:rsidR="00FC4443">
        <w:rPr>
          <w:szCs w:val="22"/>
        </w:rPr>
        <w:t>alguma dúvida.</w:t>
      </w:r>
    </w:p>
    <w:p w14:paraId="0EDD6E05" w14:textId="77777777" w:rsidR="008D4B8F" w:rsidRDefault="008D4B8F" w:rsidP="008D4B8F">
      <w:pPr>
        <w:rPr>
          <w:sz w:val="22"/>
          <w:szCs w:val="22"/>
        </w:rPr>
      </w:pPr>
    </w:p>
    <w:p w14:paraId="5FD27D5F" w14:textId="77777777" w:rsidR="000644BD" w:rsidRDefault="00615769" w:rsidP="000644BD">
      <w:pPr>
        <w:ind w:right="-2"/>
        <w:rPr>
          <w:bCs/>
          <w:sz w:val="22"/>
          <w:szCs w:val="22"/>
        </w:rPr>
      </w:pPr>
      <w:r>
        <w:rPr>
          <w:sz w:val="22"/>
          <w:szCs w:val="22"/>
        </w:rPr>
        <w:t xml:space="preserve">As doses recomendadas de Humira em cada uma das indicações aprovadas encontram-se na tabela abaixo. O seu médico </w:t>
      </w:r>
      <w:r w:rsidRPr="008912CF">
        <w:rPr>
          <w:bCs/>
          <w:sz w:val="22"/>
          <w:szCs w:val="22"/>
        </w:rPr>
        <w:t xml:space="preserve">pode prescrever uma dose </w:t>
      </w:r>
      <w:r w:rsidR="00470B48">
        <w:rPr>
          <w:bCs/>
          <w:sz w:val="22"/>
          <w:szCs w:val="22"/>
        </w:rPr>
        <w:t>diferente de Humira de acordo com as necessidades da sua criança.</w:t>
      </w:r>
    </w:p>
    <w:p w14:paraId="29209143" w14:textId="77777777" w:rsidR="00FC4443" w:rsidRDefault="00FC4443" w:rsidP="008D4B8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22"/>
        <w:gridCol w:w="3014"/>
      </w:tblGrid>
      <w:tr w:rsidR="00A7162A" w14:paraId="5840D868" w14:textId="77777777" w:rsidTr="00895ADB">
        <w:tc>
          <w:tcPr>
            <w:tcW w:w="9287" w:type="dxa"/>
            <w:gridSpan w:val="3"/>
            <w:tcBorders>
              <w:top w:val="single" w:sz="4" w:space="0" w:color="auto"/>
              <w:left w:val="single" w:sz="4" w:space="0" w:color="auto"/>
              <w:bottom w:val="single" w:sz="4" w:space="0" w:color="auto"/>
              <w:right w:val="single" w:sz="4" w:space="0" w:color="auto"/>
            </w:tcBorders>
            <w:hideMark/>
          </w:tcPr>
          <w:p w14:paraId="61717275" w14:textId="77777777" w:rsidR="00470B48" w:rsidRPr="00F03C54" w:rsidRDefault="00615769">
            <w:pPr>
              <w:rPr>
                <w:sz w:val="22"/>
                <w:szCs w:val="22"/>
              </w:rPr>
            </w:pPr>
            <w:r w:rsidRPr="00F03C54">
              <w:rPr>
                <w:b/>
                <w:sz w:val="22"/>
                <w:szCs w:val="22"/>
              </w:rPr>
              <w:t>Artrite idiopática juvenil pol</w:t>
            </w:r>
            <w:r>
              <w:rPr>
                <w:b/>
                <w:sz w:val="22"/>
                <w:szCs w:val="22"/>
              </w:rPr>
              <w:t>iarticular</w:t>
            </w:r>
          </w:p>
        </w:tc>
      </w:tr>
      <w:tr w:rsidR="00A7162A" w14:paraId="6199FD06" w14:textId="77777777" w:rsidTr="00895ADB">
        <w:tc>
          <w:tcPr>
            <w:tcW w:w="3095" w:type="dxa"/>
            <w:tcBorders>
              <w:top w:val="single" w:sz="4" w:space="0" w:color="auto"/>
              <w:left w:val="single" w:sz="4" w:space="0" w:color="auto"/>
              <w:bottom w:val="single" w:sz="4" w:space="0" w:color="auto"/>
              <w:right w:val="single" w:sz="4" w:space="0" w:color="auto"/>
            </w:tcBorders>
            <w:hideMark/>
          </w:tcPr>
          <w:p w14:paraId="4ABAE8D2" w14:textId="77777777" w:rsidR="00470B48" w:rsidRPr="00470B48" w:rsidRDefault="00615769">
            <w:pPr>
              <w:rPr>
                <w:sz w:val="22"/>
                <w:szCs w:val="22"/>
                <w:lang w:val="en-GB"/>
              </w:rPr>
            </w:pPr>
            <w:r>
              <w:rPr>
                <w:b/>
                <w:sz w:val="22"/>
                <w:szCs w:val="22"/>
                <w:lang w:val="en-US"/>
              </w:rPr>
              <w:t>Idade</w:t>
            </w:r>
            <w:r w:rsidRPr="00470B48">
              <w:rPr>
                <w:b/>
                <w:sz w:val="22"/>
                <w:szCs w:val="22"/>
                <w:lang w:val="en-US"/>
              </w:rPr>
              <w:t xml:space="preserve"> o</w:t>
            </w:r>
            <w:r>
              <w:rPr>
                <w:b/>
                <w:sz w:val="22"/>
                <w:szCs w:val="22"/>
                <w:lang w:val="en-US"/>
              </w:rPr>
              <w:t>u</w:t>
            </w:r>
            <w:r w:rsidRPr="00470B48">
              <w:rPr>
                <w:b/>
                <w:sz w:val="22"/>
                <w:szCs w:val="22"/>
                <w:lang w:val="en-US"/>
              </w:rPr>
              <w:t xml:space="preserve"> </w:t>
            </w:r>
            <w:r>
              <w:rPr>
                <w:b/>
                <w:sz w:val="22"/>
                <w:szCs w:val="22"/>
                <w:lang w:val="en-US"/>
              </w:rPr>
              <w:t>peso corporal</w:t>
            </w:r>
          </w:p>
        </w:tc>
        <w:tc>
          <w:tcPr>
            <w:tcW w:w="3096" w:type="dxa"/>
            <w:tcBorders>
              <w:top w:val="single" w:sz="4" w:space="0" w:color="auto"/>
              <w:left w:val="single" w:sz="4" w:space="0" w:color="auto"/>
              <w:bottom w:val="single" w:sz="4" w:space="0" w:color="auto"/>
              <w:right w:val="single" w:sz="4" w:space="0" w:color="auto"/>
            </w:tcBorders>
            <w:hideMark/>
          </w:tcPr>
          <w:p w14:paraId="7F828E5C" w14:textId="77777777" w:rsidR="00470B48" w:rsidRPr="00F03C54" w:rsidRDefault="00615769">
            <w:pPr>
              <w:rPr>
                <w:sz w:val="22"/>
                <w:szCs w:val="22"/>
              </w:rPr>
            </w:pPr>
            <w:r w:rsidRPr="00454F99">
              <w:rPr>
                <w:b/>
                <w:sz w:val="22"/>
              </w:rPr>
              <w:t>Qual</w:t>
            </w:r>
            <w:r w:rsidRPr="004F0FBC">
              <w:rPr>
                <w:b/>
                <w:sz w:val="22"/>
              </w:rPr>
              <w:t xml:space="preserve"> a dose e com que freq</w:t>
            </w:r>
            <w:r w:rsidRPr="006462E3">
              <w:rPr>
                <w:b/>
                <w:sz w:val="22"/>
              </w:rPr>
              <w:t>uência se deve tomar?</w:t>
            </w:r>
          </w:p>
        </w:tc>
        <w:tc>
          <w:tcPr>
            <w:tcW w:w="3096" w:type="dxa"/>
            <w:tcBorders>
              <w:top w:val="single" w:sz="4" w:space="0" w:color="auto"/>
              <w:left w:val="single" w:sz="4" w:space="0" w:color="auto"/>
              <w:bottom w:val="single" w:sz="4" w:space="0" w:color="auto"/>
              <w:right w:val="single" w:sz="4" w:space="0" w:color="auto"/>
            </w:tcBorders>
            <w:hideMark/>
          </w:tcPr>
          <w:p w14:paraId="4E9C69F7" w14:textId="77777777" w:rsidR="00470B48" w:rsidRPr="00470B48" w:rsidRDefault="00615769">
            <w:pPr>
              <w:rPr>
                <w:sz w:val="22"/>
                <w:szCs w:val="22"/>
                <w:lang w:val="en-GB"/>
              </w:rPr>
            </w:pPr>
            <w:r w:rsidRPr="00470B48">
              <w:rPr>
                <w:b/>
                <w:sz w:val="22"/>
                <w:szCs w:val="22"/>
                <w:lang w:val="en-US"/>
              </w:rPr>
              <w:t>Not</w:t>
            </w:r>
            <w:r>
              <w:rPr>
                <w:b/>
                <w:sz w:val="22"/>
                <w:szCs w:val="22"/>
                <w:lang w:val="en-US"/>
              </w:rPr>
              <w:t>a</w:t>
            </w:r>
            <w:r w:rsidRPr="00470B48">
              <w:rPr>
                <w:b/>
                <w:sz w:val="22"/>
                <w:szCs w:val="22"/>
                <w:lang w:val="en-US"/>
              </w:rPr>
              <w:t>s</w:t>
            </w:r>
          </w:p>
        </w:tc>
      </w:tr>
      <w:tr w:rsidR="00A7162A" w14:paraId="26DDC476" w14:textId="77777777" w:rsidTr="00895ADB">
        <w:tc>
          <w:tcPr>
            <w:tcW w:w="3095" w:type="dxa"/>
            <w:tcBorders>
              <w:top w:val="single" w:sz="4" w:space="0" w:color="auto"/>
              <w:left w:val="single" w:sz="4" w:space="0" w:color="auto"/>
              <w:bottom w:val="single" w:sz="4" w:space="0" w:color="auto"/>
              <w:right w:val="single" w:sz="4" w:space="0" w:color="auto"/>
            </w:tcBorders>
            <w:hideMark/>
          </w:tcPr>
          <w:p w14:paraId="6B8CB647" w14:textId="77777777" w:rsidR="00470B48" w:rsidRPr="00F03C54" w:rsidRDefault="00615769">
            <w:pPr>
              <w:rPr>
                <w:sz w:val="22"/>
                <w:szCs w:val="22"/>
              </w:rPr>
            </w:pPr>
            <w:r w:rsidRPr="00F03C54">
              <w:rPr>
                <w:sz w:val="22"/>
                <w:szCs w:val="22"/>
              </w:rPr>
              <w:t xml:space="preserve">Crianças, adolescentes e adultos a </w:t>
            </w:r>
            <w:r>
              <w:rPr>
                <w:sz w:val="22"/>
                <w:szCs w:val="22"/>
              </w:rPr>
              <w:t>partir</w:t>
            </w:r>
            <w:r w:rsidRPr="00F03C54">
              <w:rPr>
                <w:sz w:val="22"/>
                <w:szCs w:val="22"/>
              </w:rPr>
              <w:t xml:space="preserve"> dos </w:t>
            </w:r>
            <w:r>
              <w:rPr>
                <w:sz w:val="22"/>
                <w:szCs w:val="22"/>
              </w:rPr>
              <w:t xml:space="preserve">2 </w:t>
            </w:r>
            <w:r w:rsidRPr="00F03C54">
              <w:rPr>
                <w:sz w:val="22"/>
                <w:szCs w:val="22"/>
              </w:rPr>
              <w:t xml:space="preserve">anos de idade com peso igual ou superior a 30 kg </w:t>
            </w:r>
          </w:p>
        </w:tc>
        <w:tc>
          <w:tcPr>
            <w:tcW w:w="3096" w:type="dxa"/>
            <w:tcBorders>
              <w:top w:val="single" w:sz="4" w:space="0" w:color="auto"/>
              <w:left w:val="single" w:sz="4" w:space="0" w:color="auto"/>
              <w:bottom w:val="single" w:sz="4" w:space="0" w:color="auto"/>
              <w:right w:val="single" w:sz="4" w:space="0" w:color="auto"/>
            </w:tcBorders>
            <w:hideMark/>
          </w:tcPr>
          <w:p w14:paraId="1039BF9A" w14:textId="77777777" w:rsidR="00470B48" w:rsidRPr="00470B48" w:rsidRDefault="00615769">
            <w:pPr>
              <w:rPr>
                <w:sz w:val="22"/>
                <w:szCs w:val="22"/>
                <w:lang w:val="en-GB"/>
              </w:rPr>
            </w:pPr>
            <w:r w:rsidRPr="00470B48">
              <w:rPr>
                <w:sz w:val="22"/>
                <w:szCs w:val="22"/>
                <w:lang w:val="en-US"/>
              </w:rPr>
              <w:t xml:space="preserve">40 mg </w:t>
            </w:r>
            <w:r>
              <w:rPr>
                <w:sz w:val="22"/>
                <w:szCs w:val="22"/>
                <w:lang w:val="en-US"/>
              </w:rPr>
              <w:t>em semanas alternadas</w:t>
            </w:r>
          </w:p>
        </w:tc>
        <w:tc>
          <w:tcPr>
            <w:tcW w:w="3096" w:type="dxa"/>
            <w:tcBorders>
              <w:top w:val="single" w:sz="4" w:space="0" w:color="auto"/>
              <w:left w:val="single" w:sz="4" w:space="0" w:color="auto"/>
              <w:bottom w:val="single" w:sz="4" w:space="0" w:color="auto"/>
              <w:right w:val="single" w:sz="4" w:space="0" w:color="auto"/>
            </w:tcBorders>
          </w:tcPr>
          <w:p w14:paraId="12782986" w14:textId="77777777" w:rsidR="00470B48" w:rsidRPr="00470B48" w:rsidRDefault="00615769">
            <w:pPr>
              <w:rPr>
                <w:sz w:val="22"/>
                <w:szCs w:val="22"/>
                <w:lang w:val="en-GB"/>
              </w:rPr>
            </w:pPr>
            <w:r>
              <w:rPr>
                <w:sz w:val="22"/>
                <w:szCs w:val="22"/>
                <w:lang w:val="en-GB"/>
              </w:rPr>
              <w:t>Não aplicável</w:t>
            </w:r>
          </w:p>
        </w:tc>
      </w:tr>
      <w:tr w:rsidR="00A7162A" w14:paraId="125F6831" w14:textId="77777777" w:rsidTr="00895ADB">
        <w:tc>
          <w:tcPr>
            <w:tcW w:w="3095" w:type="dxa"/>
            <w:tcBorders>
              <w:top w:val="single" w:sz="4" w:space="0" w:color="auto"/>
              <w:left w:val="single" w:sz="4" w:space="0" w:color="auto"/>
              <w:bottom w:val="single" w:sz="4" w:space="0" w:color="auto"/>
              <w:right w:val="single" w:sz="4" w:space="0" w:color="auto"/>
            </w:tcBorders>
            <w:hideMark/>
          </w:tcPr>
          <w:p w14:paraId="24C6A0FC" w14:textId="77777777" w:rsidR="00470B48" w:rsidRPr="00F03C54" w:rsidRDefault="00615769">
            <w:pPr>
              <w:rPr>
                <w:sz w:val="22"/>
                <w:szCs w:val="22"/>
              </w:rPr>
            </w:pPr>
            <w:r w:rsidRPr="00470B48">
              <w:rPr>
                <w:sz w:val="22"/>
                <w:szCs w:val="22"/>
              </w:rPr>
              <w:t>Crianças e adolescent</w:t>
            </w:r>
            <w:r w:rsidR="00A44FDA">
              <w:rPr>
                <w:sz w:val="22"/>
                <w:szCs w:val="22"/>
              </w:rPr>
              <w:t>e</w:t>
            </w:r>
            <w:r w:rsidRPr="00470B48">
              <w:rPr>
                <w:sz w:val="22"/>
                <w:szCs w:val="22"/>
              </w:rPr>
              <w:t xml:space="preserve">s a partir dos 2 anos de idade com peso </w:t>
            </w:r>
            <w:r w:rsidRPr="00F03C54">
              <w:rPr>
                <w:sz w:val="22"/>
                <w:szCs w:val="22"/>
              </w:rPr>
              <w:t xml:space="preserve">igual a 10 kg </w:t>
            </w:r>
            <w:r>
              <w:rPr>
                <w:sz w:val="22"/>
                <w:szCs w:val="22"/>
              </w:rPr>
              <w:t>ou inferior a</w:t>
            </w:r>
            <w:r w:rsidRPr="00F03C54">
              <w:rPr>
                <w:sz w:val="22"/>
                <w:szCs w:val="22"/>
              </w:rPr>
              <w:t xml:space="preserve"> 30 kg</w:t>
            </w:r>
          </w:p>
        </w:tc>
        <w:tc>
          <w:tcPr>
            <w:tcW w:w="3096" w:type="dxa"/>
            <w:tcBorders>
              <w:top w:val="single" w:sz="4" w:space="0" w:color="auto"/>
              <w:left w:val="single" w:sz="4" w:space="0" w:color="auto"/>
              <w:bottom w:val="single" w:sz="4" w:space="0" w:color="auto"/>
              <w:right w:val="single" w:sz="4" w:space="0" w:color="auto"/>
            </w:tcBorders>
            <w:hideMark/>
          </w:tcPr>
          <w:p w14:paraId="731AAD46" w14:textId="77777777" w:rsidR="00470B48" w:rsidRPr="00470B48" w:rsidRDefault="00615769">
            <w:pPr>
              <w:rPr>
                <w:sz w:val="22"/>
                <w:szCs w:val="22"/>
                <w:lang w:val="en-US"/>
              </w:rPr>
            </w:pPr>
            <w:r w:rsidRPr="00470B48">
              <w:rPr>
                <w:sz w:val="22"/>
                <w:szCs w:val="22"/>
                <w:lang w:val="en-US"/>
              </w:rPr>
              <w:t xml:space="preserve">20 mg </w:t>
            </w:r>
            <w:r>
              <w:rPr>
                <w:sz w:val="22"/>
                <w:szCs w:val="22"/>
                <w:lang w:val="en-US"/>
              </w:rPr>
              <w:t>em semanas alternadas</w:t>
            </w:r>
          </w:p>
        </w:tc>
        <w:tc>
          <w:tcPr>
            <w:tcW w:w="3096" w:type="dxa"/>
            <w:tcBorders>
              <w:top w:val="single" w:sz="4" w:space="0" w:color="auto"/>
              <w:left w:val="single" w:sz="4" w:space="0" w:color="auto"/>
              <w:bottom w:val="single" w:sz="4" w:space="0" w:color="auto"/>
              <w:right w:val="single" w:sz="4" w:space="0" w:color="auto"/>
            </w:tcBorders>
          </w:tcPr>
          <w:p w14:paraId="61764C71" w14:textId="77777777" w:rsidR="00470B48" w:rsidRPr="00470B48" w:rsidRDefault="00615769">
            <w:pPr>
              <w:rPr>
                <w:sz w:val="22"/>
                <w:szCs w:val="22"/>
                <w:lang w:val="en-GB"/>
              </w:rPr>
            </w:pPr>
            <w:r>
              <w:rPr>
                <w:sz w:val="22"/>
                <w:szCs w:val="22"/>
                <w:lang w:val="en-GB"/>
              </w:rPr>
              <w:t>Não aplicável</w:t>
            </w:r>
          </w:p>
        </w:tc>
      </w:tr>
    </w:tbl>
    <w:p w14:paraId="712CCACF" w14:textId="77777777" w:rsidR="00470B48" w:rsidRPr="00470B48" w:rsidRDefault="00470B48" w:rsidP="00470B48">
      <w:pPr>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22"/>
        <w:gridCol w:w="3014"/>
      </w:tblGrid>
      <w:tr w:rsidR="00A7162A" w14:paraId="21E61D0D" w14:textId="77777777" w:rsidTr="00895ADB">
        <w:tc>
          <w:tcPr>
            <w:tcW w:w="9287" w:type="dxa"/>
            <w:gridSpan w:val="3"/>
            <w:tcBorders>
              <w:top w:val="single" w:sz="4" w:space="0" w:color="auto"/>
              <w:left w:val="single" w:sz="4" w:space="0" w:color="auto"/>
              <w:bottom w:val="single" w:sz="4" w:space="0" w:color="auto"/>
              <w:right w:val="single" w:sz="4" w:space="0" w:color="auto"/>
            </w:tcBorders>
            <w:hideMark/>
          </w:tcPr>
          <w:p w14:paraId="5E6D4B14" w14:textId="77777777" w:rsidR="00470B48" w:rsidRPr="00F03C54" w:rsidRDefault="00615769">
            <w:pPr>
              <w:rPr>
                <w:b/>
                <w:sz w:val="22"/>
                <w:szCs w:val="22"/>
              </w:rPr>
            </w:pPr>
            <w:r>
              <w:rPr>
                <w:b/>
                <w:sz w:val="22"/>
                <w:szCs w:val="22"/>
              </w:rPr>
              <w:t>Artrite relacionada com entesite</w:t>
            </w:r>
          </w:p>
        </w:tc>
      </w:tr>
      <w:tr w:rsidR="00A7162A" w14:paraId="2F386019" w14:textId="77777777" w:rsidTr="00895ADB">
        <w:tc>
          <w:tcPr>
            <w:tcW w:w="3095" w:type="dxa"/>
            <w:tcBorders>
              <w:top w:val="single" w:sz="4" w:space="0" w:color="auto"/>
              <w:left w:val="single" w:sz="4" w:space="0" w:color="auto"/>
              <w:bottom w:val="single" w:sz="4" w:space="0" w:color="auto"/>
              <w:right w:val="single" w:sz="4" w:space="0" w:color="auto"/>
            </w:tcBorders>
            <w:hideMark/>
          </w:tcPr>
          <w:p w14:paraId="13F54CF3" w14:textId="77777777" w:rsidR="004524F6" w:rsidRPr="00470B48" w:rsidRDefault="00615769">
            <w:pPr>
              <w:rPr>
                <w:sz w:val="22"/>
                <w:szCs w:val="22"/>
                <w:lang w:val="en-GB"/>
              </w:rPr>
            </w:pPr>
            <w:r>
              <w:rPr>
                <w:b/>
                <w:sz w:val="22"/>
                <w:szCs w:val="22"/>
                <w:lang w:val="en-US"/>
              </w:rPr>
              <w:t>Idade ou peso corporal</w:t>
            </w:r>
          </w:p>
        </w:tc>
        <w:tc>
          <w:tcPr>
            <w:tcW w:w="3096" w:type="dxa"/>
            <w:tcBorders>
              <w:top w:val="single" w:sz="4" w:space="0" w:color="auto"/>
              <w:left w:val="single" w:sz="4" w:space="0" w:color="auto"/>
              <w:bottom w:val="single" w:sz="4" w:space="0" w:color="auto"/>
              <w:right w:val="single" w:sz="4" w:space="0" w:color="auto"/>
            </w:tcBorders>
            <w:hideMark/>
          </w:tcPr>
          <w:p w14:paraId="4495B5DB" w14:textId="77777777" w:rsidR="004524F6" w:rsidRPr="00F03C54" w:rsidRDefault="00615769" w:rsidP="00470B48">
            <w:pPr>
              <w:rPr>
                <w:sz w:val="22"/>
                <w:szCs w:val="22"/>
              </w:rPr>
            </w:pPr>
            <w:r w:rsidRPr="00454F99">
              <w:rPr>
                <w:b/>
                <w:sz w:val="22"/>
              </w:rPr>
              <w:t>Qual</w:t>
            </w:r>
            <w:r w:rsidRPr="004F0FBC">
              <w:rPr>
                <w:b/>
                <w:sz w:val="22"/>
              </w:rPr>
              <w:t xml:space="preserve"> a dose e com que freq</w:t>
            </w:r>
            <w:r w:rsidRPr="006462E3">
              <w:rPr>
                <w:b/>
                <w:sz w:val="22"/>
              </w:rPr>
              <w:t>uência se deve tomar?</w:t>
            </w:r>
          </w:p>
        </w:tc>
        <w:tc>
          <w:tcPr>
            <w:tcW w:w="3096" w:type="dxa"/>
            <w:tcBorders>
              <w:top w:val="single" w:sz="4" w:space="0" w:color="auto"/>
              <w:left w:val="single" w:sz="4" w:space="0" w:color="auto"/>
              <w:bottom w:val="single" w:sz="4" w:space="0" w:color="auto"/>
              <w:right w:val="single" w:sz="4" w:space="0" w:color="auto"/>
            </w:tcBorders>
            <w:hideMark/>
          </w:tcPr>
          <w:p w14:paraId="3E6E7983" w14:textId="77777777" w:rsidR="004524F6" w:rsidRPr="00470B48" w:rsidRDefault="00615769">
            <w:pPr>
              <w:rPr>
                <w:sz w:val="22"/>
                <w:szCs w:val="22"/>
                <w:lang w:val="en-GB"/>
              </w:rPr>
            </w:pPr>
            <w:r w:rsidRPr="00470B48">
              <w:rPr>
                <w:b/>
                <w:sz w:val="22"/>
                <w:szCs w:val="22"/>
                <w:lang w:val="en-US"/>
              </w:rPr>
              <w:t>Not</w:t>
            </w:r>
            <w:r>
              <w:rPr>
                <w:b/>
                <w:sz w:val="22"/>
                <w:szCs w:val="22"/>
                <w:lang w:val="en-US"/>
              </w:rPr>
              <w:t>a</w:t>
            </w:r>
            <w:r w:rsidRPr="00470B48">
              <w:rPr>
                <w:b/>
                <w:sz w:val="22"/>
                <w:szCs w:val="22"/>
                <w:lang w:val="en-US"/>
              </w:rPr>
              <w:t>s</w:t>
            </w:r>
          </w:p>
        </w:tc>
      </w:tr>
      <w:tr w:rsidR="00A7162A" w14:paraId="526CF410" w14:textId="77777777" w:rsidTr="00895ADB">
        <w:tc>
          <w:tcPr>
            <w:tcW w:w="3095" w:type="dxa"/>
            <w:tcBorders>
              <w:top w:val="single" w:sz="4" w:space="0" w:color="auto"/>
              <w:left w:val="single" w:sz="4" w:space="0" w:color="auto"/>
              <w:bottom w:val="single" w:sz="4" w:space="0" w:color="auto"/>
              <w:right w:val="single" w:sz="4" w:space="0" w:color="auto"/>
            </w:tcBorders>
            <w:hideMark/>
          </w:tcPr>
          <w:p w14:paraId="20CB59D4" w14:textId="77777777" w:rsidR="004524F6" w:rsidRPr="00F03C54" w:rsidRDefault="00615769">
            <w:pPr>
              <w:rPr>
                <w:sz w:val="22"/>
                <w:szCs w:val="22"/>
              </w:rPr>
            </w:pPr>
            <w:r w:rsidRPr="00F03C54">
              <w:rPr>
                <w:sz w:val="22"/>
                <w:szCs w:val="22"/>
              </w:rPr>
              <w:t>C</w:t>
            </w:r>
            <w:r w:rsidR="00824CA3" w:rsidRPr="00F03C54">
              <w:rPr>
                <w:sz w:val="22"/>
                <w:szCs w:val="22"/>
              </w:rPr>
              <w:t>rianças, adolescent</w:t>
            </w:r>
            <w:r w:rsidR="00A44FDA">
              <w:rPr>
                <w:sz w:val="22"/>
                <w:szCs w:val="22"/>
              </w:rPr>
              <w:t>e</w:t>
            </w:r>
            <w:r w:rsidR="00824CA3" w:rsidRPr="00F03C54">
              <w:rPr>
                <w:sz w:val="22"/>
                <w:szCs w:val="22"/>
              </w:rPr>
              <w:t>s e adultos a partir dos 6 anos de idade</w:t>
            </w:r>
            <w:r w:rsidR="00824CA3" w:rsidRPr="0072666C">
              <w:rPr>
                <w:sz w:val="22"/>
                <w:szCs w:val="22"/>
              </w:rPr>
              <w:t xml:space="preserve"> com peso igual ou superior a 30 kg</w:t>
            </w:r>
          </w:p>
        </w:tc>
        <w:tc>
          <w:tcPr>
            <w:tcW w:w="3096" w:type="dxa"/>
            <w:tcBorders>
              <w:top w:val="single" w:sz="4" w:space="0" w:color="auto"/>
              <w:left w:val="single" w:sz="4" w:space="0" w:color="auto"/>
              <w:bottom w:val="single" w:sz="4" w:space="0" w:color="auto"/>
              <w:right w:val="single" w:sz="4" w:space="0" w:color="auto"/>
            </w:tcBorders>
            <w:hideMark/>
          </w:tcPr>
          <w:p w14:paraId="3441DD14" w14:textId="77777777" w:rsidR="004524F6" w:rsidRPr="00470B48" w:rsidRDefault="00615769">
            <w:pPr>
              <w:rPr>
                <w:sz w:val="22"/>
                <w:szCs w:val="22"/>
                <w:lang w:val="en-GB"/>
              </w:rPr>
            </w:pPr>
            <w:r w:rsidRPr="00470B48">
              <w:rPr>
                <w:sz w:val="22"/>
                <w:szCs w:val="22"/>
                <w:lang w:val="en-US"/>
              </w:rPr>
              <w:t>40</w:t>
            </w:r>
            <w:r w:rsidR="00D67443">
              <w:rPr>
                <w:sz w:val="22"/>
                <w:szCs w:val="22"/>
                <w:lang w:val="en-US"/>
              </w:rPr>
              <w:t> </w:t>
            </w:r>
            <w:r w:rsidRPr="00470B48">
              <w:rPr>
                <w:sz w:val="22"/>
                <w:szCs w:val="22"/>
                <w:lang w:val="en-US"/>
              </w:rPr>
              <w:t xml:space="preserve">mg </w:t>
            </w:r>
            <w:r>
              <w:rPr>
                <w:sz w:val="22"/>
                <w:szCs w:val="22"/>
                <w:lang w:val="en-US"/>
              </w:rPr>
              <w:t>em semanas alternadas</w:t>
            </w:r>
          </w:p>
        </w:tc>
        <w:tc>
          <w:tcPr>
            <w:tcW w:w="3096" w:type="dxa"/>
            <w:tcBorders>
              <w:top w:val="single" w:sz="4" w:space="0" w:color="auto"/>
              <w:left w:val="single" w:sz="4" w:space="0" w:color="auto"/>
              <w:bottom w:val="single" w:sz="4" w:space="0" w:color="auto"/>
              <w:right w:val="single" w:sz="4" w:space="0" w:color="auto"/>
            </w:tcBorders>
          </w:tcPr>
          <w:p w14:paraId="5DCB118B" w14:textId="77777777" w:rsidR="004524F6" w:rsidRPr="00470B48" w:rsidRDefault="00615769" w:rsidP="00470B48">
            <w:pPr>
              <w:rPr>
                <w:sz w:val="22"/>
                <w:szCs w:val="22"/>
                <w:lang w:val="en-GB"/>
              </w:rPr>
            </w:pPr>
            <w:r w:rsidRPr="00D67443">
              <w:rPr>
                <w:sz w:val="22"/>
                <w:szCs w:val="22"/>
                <w:lang w:val="en-GB"/>
              </w:rPr>
              <w:t>Não aplicável</w:t>
            </w:r>
          </w:p>
        </w:tc>
      </w:tr>
      <w:tr w:rsidR="00A7162A" w14:paraId="688899AD" w14:textId="77777777" w:rsidTr="00895ADB">
        <w:tc>
          <w:tcPr>
            <w:tcW w:w="3095" w:type="dxa"/>
            <w:tcBorders>
              <w:top w:val="single" w:sz="4" w:space="0" w:color="auto"/>
              <w:left w:val="single" w:sz="4" w:space="0" w:color="auto"/>
              <w:bottom w:val="single" w:sz="4" w:space="0" w:color="auto"/>
              <w:right w:val="single" w:sz="4" w:space="0" w:color="auto"/>
            </w:tcBorders>
            <w:hideMark/>
          </w:tcPr>
          <w:p w14:paraId="38DBD93D" w14:textId="77777777" w:rsidR="004524F6" w:rsidRPr="00F03C54" w:rsidRDefault="00615769">
            <w:pPr>
              <w:rPr>
                <w:sz w:val="22"/>
                <w:szCs w:val="22"/>
              </w:rPr>
            </w:pPr>
            <w:r w:rsidRPr="00F03C54">
              <w:rPr>
                <w:sz w:val="22"/>
                <w:szCs w:val="22"/>
              </w:rPr>
              <w:t>C</w:t>
            </w:r>
            <w:r w:rsidR="00824CA3" w:rsidRPr="00F03C54">
              <w:rPr>
                <w:sz w:val="22"/>
                <w:szCs w:val="22"/>
              </w:rPr>
              <w:t>rianças e adolescent</w:t>
            </w:r>
            <w:r w:rsidR="00A44FDA">
              <w:rPr>
                <w:sz w:val="22"/>
                <w:szCs w:val="22"/>
              </w:rPr>
              <w:t>e</w:t>
            </w:r>
            <w:r w:rsidR="00824CA3" w:rsidRPr="00F03C54">
              <w:rPr>
                <w:sz w:val="22"/>
                <w:szCs w:val="22"/>
              </w:rPr>
              <w:t>s a partir dos 6 anos de idade com peso igual a 15</w:t>
            </w:r>
            <w:r w:rsidR="002E4541">
              <w:rPr>
                <w:sz w:val="22"/>
                <w:szCs w:val="22"/>
              </w:rPr>
              <w:t xml:space="preserve"> </w:t>
            </w:r>
            <w:r w:rsidRPr="00F03C54">
              <w:rPr>
                <w:sz w:val="22"/>
                <w:szCs w:val="22"/>
              </w:rPr>
              <w:t xml:space="preserve">kg </w:t>
            </w:r>
            <w:r w:rsidR="00824CA3" w:rsidRPr="00F03C54">
              <w:rPr>
                <w:sz w:val="22"/>
                <w:szCs w:val="22"/>
              </w:rPr>
              <w:t xml:space="preserve">ou inferior a </w:t>
            </w:r>
            <w:r w:rsidRPr="00F03C54">
              <w:rPr>
                <w:sz w:val="22"/>
                <w:szCs w:val="22"/>
              </w:rPr>
              <w:t>30 kg</w:t>
            </w:r>
          </w:p>
        </w:tc>
        <w:tc>
          <w:tcPr>
            <w:tcW w:w="3096" w:type="dxa"/>
            <w:tcBorders>
              <w:top w:val="single" w:sz="4" w:space="0" w:color="auto"/>
              <w:left w:val="single" w:sz="4" w:space="0" w:color="auto"/>
              <w:bottom w:val="nil"/>
              <w:right w:val="single" w:sz="4" w:space="0" w:color="auto"/>
            </w:tcBorders>
            <w:hideMark/>
          </w:tcPr>
          <w:p w14:paraId="6529C150" w14:textId="77777777" w:rsidR="004524F6" w:rsidRPr="00470B48" w:rsidRDefault="00615769">
            <w:pPr>
              <w:rPr>
                <w:sz w:val="22"/>
                <w:szCs w:val="22"/>
                <w:lang w:val="en-US"/>
              </w:rPr>
            </w:pPr>
            <w:r w:rsidRPr="00470B48">
              <w:rPr>
                <w:sz w:val="22"/>
                <w:szCs w:val="22"/>
                <w:lang w:val="en-US"/>
              </w:rPr>
              <w:t>20</w:t>
            </w:r>
            <w:r w:rsidR="00D67443">
              <w:rPr>
                <w:sz w:val="22"/>
                <w:szCs w:val="22"/>
                <w:lang w:val="en-US"/>
              </w:rPr>
              <w:t> </w:t>
            </w:r>
            <w:r w:rsidRPr="00470B48">
              <w:rPr>
                <w:sz w:val="22"/>
                <w:szCs w:val="22"/>
                <w:lang w:val="en-US"/>
              </w:rPr>
              <w:t>mg e</w:t>
            </w:r>
            <w:r>
              <w:rPr>
                <w:sz w:val="22"/>
                <w:szCs w:val="22"/>
                <w:lang w:val="en-US"/>
              </w:rPr>
              <w:t>m semanas alternadas</w:t>
            </w:r>
          </w:p>
        </w:tc>
        <w:tc>
          <w:tcPr>
            <w:tcW w:w="3096" w:type="dxa"/>
            <w:tcBorders>
              <w:top w:val="single" w:sz="4" w:space="0" w:color="auto"/>
              <w:left w:val="single" w:sz="4" w:space="0" w:color="auto"/>
              <w:bottom w:val="nil"/>
              <w:right w:val="single" w:sz="4" w:space="0" w:color="auto"/>
            </w:tcBorders>
          </w:tcPr>
          <w:p w14:paraId="0DEA1732" w14:textId="77777777" w:rsidR="004524F6" w:rsidRPr="00470B48" w:rsidRDefault="00615769" w:rsidP="00470B48">
            <w:pPr>
              <w:rPr>
                <w:sz w:val="22"/>
                <w:szCs w:val="22"/>
                <w:lang w:val="en-GB"/>
              </w:rPr>
            </w:pPr>
            <w:r w:rsidRPr="00D67443">
              <w:rPr>
                <w:sz w:val="22"/>
                <w:szCs w:val="22"/>
                <w:lang w:val="en-GB"/>
              </w:rPr>
              <w:t>Não aplicável</w:t>
            </w:r>
          </w:p>
        </w:tc>
      </w:tr>
    </w:tbl>
    <w:p w14:paraId="5B7C6ABF" w14:textId="77777777" w:rsidR="00470B48" w:rsidRPr="00470B48" w:rsidRDefault="00470B48" w:rsidP="00470B48">
      <w:pPr>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22"/>
        <w:gridCol w:w="3014"/>
      </w:tblGrid>
      <w:tr w:rsidR="00A7162A" w14:paraId="67C29E15" w14:textId="77777777" w:rsidTr="00895ADB">
        <w:tc>
          <w:tcPr>
            <w:tcW w:w="9287" w:type="dxa"/>
            <w:gridSpan w:val="3"/>
            <w:tcBorders>
              <w:top w:val="single" w:sz="4" w:space="0" w:color="auto"/>
              <w:left w:val="single" w:sz="4" w:space="0" w:color="auto"/>
              <w:bottom w:val="single" w:sz="4" w:space="0" w:color="auto"/>
              <w:right w:val="single" w:sz="4" w:space="0" w:color="auto"/>
            </w:tcBorders>
            <w:hideMark/>
          </w:tcPr>
          <w:p w14:paraId="4F18069D" w14:textId="77777777" w:rsidR="00470B48" w:rsidRPr="00470B48" w:rsidRDefault="00615769" w:rsidP="00421DAF">
            <w:pPr>
              <w:keepNext/>
              <w:rPr>
                <w:sz w:val="22"/>
                <w:szCs w:val="22"/>
                <w:lang w:val="en-GB"/>
              </w:rPr>
            </w:pPr>
            <w:r>
              <w:rPr>
                <w:b/>
                <w:sz w:val="22"/>
                <w:szCs w:val="22"/>
                <w:lang w:val="en-GB"/>
              </w:rPr>
              <w:t xml:space="preserve">Psoríase </w:t>
            </w:r>
            <w:r w:rsidR="00D67443">
              <w:rPr>
                <w:b/>
                <w:sz w:val="22"/>
                <w:szCs w:val="22"/>
                <w:lang w:val="en-GB"/>
              </w:rPr>
              <w:t xml:space="preserve">pediátrica </w:t>
            </w:r>
            <w:r>
              <w:rPr>
                <w:b/>
                <w:sz w:val="22"/>
                <w:szCs w:val="22"/>
                <w:lang w:val="en-GB"/>
              </w:rPr>
              <w:t>em placas</w:t>
            </w:r>
          </w:p>
        </w:tc>
      </w:tr>
      <w:tr w:rsidR="00A7162A" w14:paraId="2B31DB7B" w14:textId="77777777" w:rsidTr="00895ADB">
        <w:tc>
          <w:tcPr>
            <w:tcW w:w="3095" w:type="dxa"/>
            <w:tcBorders>
              <w:top w:val="single" w:sz="4" w:space="0" w:color="auto"/>
              <w:left w:val="single" w:sz="4" w:space="0" w:color="auto"/>
              <w:bottom w:val="single" w:sz="4" w:space="0" w:color="auto"/>
              <w:right w:val="single" w:sz="4" w:space="0" w:color="auto"/>
            </w:tcBorders>
            <w:hideMark/>
          </w:tcPr>
          <w:p w14:paraId="30377ECC" w14:textId="77777777" w:rsidR="00470B48" w:rsidRPr="00470B48" w:rsidRDefault="00615769" w:rsidP="00421DAF">
            <w:pPr>
              <w:keepNext/>
              <w:rPr>
                <w:sz w:val="22"/>
                <w:szCs w:val="22"/>
                <w:lang w:val="en-GB"/>
              </w:rPr>
            </w:pPr>
            <w:r>
              <w:rPr>
                <w:b/>
                <w:sz w:val="22"/>
                <w:szCs w:val="22"/>
                <w:lang w:val="en-US"/>
              </w:rPr>
              <w:t>Idade ou peso corporal</w:t>
            </w:r>
            <w:r w:rsidRPr="00470B48">
              <w:rPr>
                <w:b/>
                <w:sz w:val="22"/>
                <w:szCs w:val="22"/>
                <w:lang w:val="en-US"/>
              </w:rPr>
              <w:t xml:space="preserve"> </w:t>
            </w:r>
          </w:p>
        </w:tc>
        <w:tc>
          <w:tcPr>
            <w:tcW w:w="3096" w:type="dxa"/>
            <w:tcBorders>
              <w:top w:val="single" w:sz="4" w:space="0" w:color="auto"/>
              <w:left w:val="single" w:sz="4" w:space="0" w:color="auto"/>
              <w:bottom w:val="single" w:sz="4" w:space="0" w:color="auto"/>
              <w:right w:val="single" w:sz="4" w:space="0" w:color="auto"/>
            </w:tcBorders>
            <w:hideMark/>
          </w:tcPr>
          <w:p w14:paraId="5C08128D" w14:textId="77777777" w:rsidR="00470B48" w:rsidRPr="00F03C54" w:rsidRDefault="00615769" w:rsidP="00421DAF">
            <w:pPr>
              <w:keepNext/>
              <w:rPr>
                <w:sz w:val="22"/>
                <w:szCs w:val="22"/>
              </w:rPr>
            </w:pPr>
            <w:r w:rsidRPr="00454F99">
              <w:rPr>
                <w:b/>
                <w:sz w:val="22"/>
              </w:rPr>
              <w:t>Qual</w:t>
            </w:r>
            <w:r w:rsidRPr="004F0FBC">
              <w:rPr>
                <w:b/>
                <w:sz w:val="22"/>
              </w:rPr>
              <w:t xml:space="preserve"> a dose e com que freq</w:t>
            </w:r>
            <w:r w:rsidRPr="006462E3">
              <w:rPr>
                <w:b/>
                <w:sz w:val="22"/>
              </w:rPr>
              <w:t>uência se deve tomar?</w:t>
            </w:r>
          </w:p>
        </w:tc>
        <w:tc>
          <w:tcPr>
            <w:tcW w:w="3096" w:type="dxa"/>
            <w:tcBorders>
              <w:top w:val="single" w:sz="4" w:space="0" w:color="auto"/>
              <w:left w:val="single" w:sz="4" w:space="0" w:color="auto"/>
              <w:bottom w:val="single" w:sz="4" w:space="0" w:color="auto"/>
              <w:right w:val="single" w:sz="4" w:space="0" w:color="auto"/>
            </w:tcBorders>
            <w:hideMark/>
          </w:tcPr>
          <w:p w14:paraId="3CBC9F23" w14:textId="77777777" w:rsidR="00470B48" w:rsidRPr="00470B48" w:rsidRDefault="00615769" w:rsidP="00421DAF">
            <w:pPr>
              <w:keepNext/>
              <w:rPr>
                <w:sz w:val="22"/>
                <w:szCs w:val="22"/>
                <w:lang w:val="en-GB"/>
              </w:rPr>
            </w:pPr>
            <w:r w:rsidRPr="00470B48">
              <w:rPr>
                <w:b/>
                <w:sz w:val="22"/>
                <w:szCs w:val="22"/>
                <w:lang w:val="en-US"/>
              </w:rPr>
              <w:t>Not</w:t>
            </w:r>
            <w:r>
              <w:rPr>
                <w:b/>
                <w:sz w:val="22"/>
                <w:szCs w:val="22"/>
                <w:lang w:val="en-US"/>
              </w:rPr>
              <w:t>a</w:t>
            </w:r>
            <w:r w:rsidRPr="00470B48">
              <w:rPr>
                <w:b/>
                <w:sz w:val="22"/>
                <w:szCs w:val="22"/>
                <w:lang w:val="en-US"/>
              </w:rPr>
              <w:t>s</w:t>
            </w:r>
          </w:p>
        </w:tc>
      </w:tr>
      <w:tr w:rsidR="00A7162A" w14:paraId="23C61909" w14:textId="77777777" w:rsidTr="00895ADB">
        <w:tc>
          <w:tcPr>
            <w:tcW w:w="3095" w:type="dxa"/>
            <w:tcBorders>
              <w:top w:val="single" w:sz="4" w:space="0" w:color="auto"/>
              <w:left w:val="single" w:sz="4" w:space="0" w:color="auto"/>
              <w:bottom w:val="single" w:sz="4" w:space="0" w:color="auto"/>
              <w:right w:val="single" w:sz="4" w:space="0" w:color="auto"/>
            </w:tcBorders>
            <w:hideMark/>
          </w:tcPr>
          <w:p w14:paraId="32BDC863" w14:textId="77777777" w:rsidR="00470B48" w:rsidRPr="00F03C54" w:rsidRDefault="00615769" w:rsidP="00421DAF">
            <w:pPr>
              <w:keepNext/>
              <w:rPr>
                <w:sz w:val="22"/>
                <w:szCs w:val="22"/>
              </w:rPr>
            </w:pPr>
            <w:r w:rsidRPr="00F03C54">
              <w:rPr>
                <w:sz w:val="22"/>
                <w:szCs w:val="22"/>
              </w:rPr>
              <w:t>C</w:t>
            </w:r>
            <w:r w:rsidR="00824CA3" w:rsidRPr="00F03C54">
              <w:rPr>
                <w:sz w:val="22"/>
                <w:szCs w:val="22"/>
              </w:rPr>
              <w:t>rianças e adolescent</w:t>
            </w:r>
            <w:r w:rsidR="00A44FDA">
              <w:rPr>
                <w:sz w:val="22"/>
                <w:szCs w:val="22"/>
              </w:rPr>
              <w:t>e</w:t>
            </w:r>
            <w:r w:rsidR="00824CA3" w:rsidRPr="00F03C54">
              <w:rPr>
                <w:sz w:val="22"/>
                <w:szCs w:val="22"/>
              </w:rPr>
              <w:t xml:space="preserve">s entre os 4 e os 17 anos de idade </w:t>
            </w:r>
            <w:r w:rsidR="00824CA3" w:rsidRPr="0072666C">
              <w:rPr>
                <w:sz w:val="22"/>
                <w:szCs w:val="22"/>
              </w:rPr>
              <w:t xml:space="preserve">com peso igual </w:t>
            </w:r>
            <w:r w:rsidR="00824CA3">
              <w:rPr>
                <w:sz w:val="22"/>
                <w:szCs w:val="22"/>
              </w:rPr>
              <w:t>ou superior a</w:t>
            </w:r>
            <w:r w:rsidR="00824CA3" w:rsidRPr="0072666C">
              <w:rPr>
                <w:sz w:val="22"/>
                <w:szCs w:val="22"/>
              </w:rPr>
              <w:t xml:space="preserve"> 30 kg</w:t>
            </w:r>
            <w:r w:rsidRPr="00F03C54">
              <w:rPr>
                <w:sz w:val="22"/>
                <w:szCs w:val="22"/>
              </w:rPr>
              <w:t xml:space="preserve"> </w:t>
            </w:r>
          </w:p>
        </w:tc>
        <w:tc>
          <w:tcPr>
            <w:tcW w:w="3096" w:type="dxa"/>
            <w:tcBorders>
              <w:top w:val="single" w:sz="4" w:space="0" w:color="auto"/>
              <w:left w:val="single" w:sz="4" w:space="0" w:color="auto"/>
              <w:bottom w:val="single" w:sz="4" w:space="0" w:color="auto"/>
              <w:right w:val="single" w:sz="4" w:space="0" w:color="auto"/>
            </w:tcBorders>
          </w:tcPr>
          <w:p w14:paraId="35BD5B7A" w14:textId="77777777" w:rsidR="00470B48" w:rsidRPr="00F03C54" w:rsidRDefault="00615769" w:rsidP="00421DAF">
            <w:pPr>
              <w:keepNext/>
              <w:rPr>
                <w:sz w:val="22"/>
                <w:szCs w:val="22"/>
              </w:rPr>
            </w:pPr>
            <w:r w:rsidRPr="00F03C54">
              <w:rPr>
                <w:sz w:val="22"/>
                <w:szCs w:val="22"/>
              </w:rPr>
              <w:t>Dose inicial de 40 mg, seguida de 40 mg uma semana após a dose inicial</w:t>
            </w:r>
            <w:r w:rsidR="00166A51">
              <w:rPr>
                <w:sz w:val="22"/>
                <w:szCs w:val="22"/>
              </w:rPr>
              <w:t>.</w:t>
            </w:r>
            <w:r>
              <w:rPr>
                <w:sz w:val="22"/>
                <w:szCs w:val="22"/>
              </w:rPr>
              <w:t xml:space="preserve"> </w:t>
            </w:r>
          </w:p>
          <w:p w14:paraId="3C6B252C" w14:textId="77777777" w:rsidR="00470B48" w:rsidRPr="00F03C54" w:rsidRDefault="00470B48" w:rsidP="00421DAF">
            <w:pPr>
              <w:keepNext/>
              <w:rPr>
                <w:sz w:val="22"/>
                <w:szCs w:val="22"/>
              </w:rPr>
            </w:pPr>
          </w:p>
          <w:p w14:paraId="757DD841" w14:textId="77777777" w:rsidR="00470B48" w:rsidRPr="00F03C54" w:rsidRDefault="00615769" w:rsidP="00421DAF">
            <w:pPr>
              <w:keepNext/>
              <w:rPr>
                <w:sz w:val="22"/>
                <w:szCs w:val="22"/>
              </w:rPr>
            </w:pPr>
            <w:r w:rsidRPr="00F03C54">
              <w:rPr>
                <w:sz w:val="22"/>
                <w:szCs w:val="22"/>
              </w:rPr>
              <w:t xml:space="preserve">Depois disso, a dose habitual </w:t>
            </w:r>
            <w:r w:rsidR="00166A51">
              <w:rPr>
                <w:sz w:val="22"/>
                <w:szCs w:val="22"/>
              </w:rPr>
              <w:t>é</w:t>
            </w:r>
            <w:r w:rsidR="00166A51" w:rsidRPr="00F03C54">
              <w:rPr>
                <w:sz w:val="22"/>
                <w:szCs w:val="22"/>
              </w:rPr>
              <w:t xml:space="preserve"> </w:t>
            </w:r>
            <w:r w:rsidRPr="00F03C54">
              <w:rPr>
                <w:sz w:val="22"/>
                <w:szCs w:val="22"/>
              </w:rPr>
              <w:t>40 mg em semanas alternadas</w:t>
            </w:r>
            <w:r>
              <w:rPr>
                <w:sz w:val="22"/>
                <w:szCs w:val="22"/>
              </w:rPr>
              <w:t>.</w:t>
            </w:r>
          </w:p>
        </w:tc>
        <w:tc>
          <w:tcPr>
            <w:tcW w:w="3096" w:type="dxa"/>
            <w:tcBorders>
              <w:top w:val="single" w:sz="4" w:space="0" w:color="auto"/>
              <w:left w:val="single" w:sz="4" w:space="0" w:color="auto"/>
              <w:bottom w:val="single" w:sz="4" w:space="0" w:color="auto"/>
              <w:right w:val="single" w:sz="4" w:space="0" w:color="auto"/>
            </w:tcBorders>
          </w:tcPr>
          <w:p w14:paraId="77DE3C8E" w14:textId="77777777" w:rsidR="00470B48" w:rsidRPr="00F03C54" w:rsidRDefault="00615769" w:rsidP="00421DAF">
            <w:pPr>
              <w:keepNext/>
              <w:rPr>
                <w:sz w:val="22"/>
                <w:szCs w:val="22"/>
              </w:rPr>
            </w:pPr>
            <w:r>
              <w:rPr>
                <w:sz w:val="22"/>
                <w:szCs w:val="22"/>
              </w:rPr>
              <w:t>Não aplicável</w:t>
            </w:r>
          </w:p>
        </w:tc>
      </w:tr>
      <w:tr w:rsidR="00A7162A" w14:paraId="7AEAFFEF" w14:textId="77777777" w:rsidTr="00895ADB">
        <w:tc>
          <w:tcPr>
            <w:tcW w:w="3095" w:type="dxa"/>
            <w:tcBorders>
              <w:top w:val="single" w:sz="4" w:space="0" w:color="auto"/>
              <w:left w:val="single" w:sz="4" w:space="0" w:color="auto"/>
              <w:bottom w:val="single" w:sz="4" w:space="0" w:color="auto"/>
              <w:right w:val="single" w:sz="4" w:space="0" w:color="auto"/>
            </w:tcBorders>
            <w:hideMark/>
          </w:tcPr>
          <w:p w14:paraId="01BB3515" w14:textId="77777777" w:rsidR="00470B48" w:rsidRPr="00F03C54" w:rsidRDefault="00615769" w:rsidP="00421DAF">
            <w:pPr>
              <w:keepNext/>
              <w:rPr>
                <w:sz w:val="22"/>
                <w:szCs w:val="22"/>
              </w:rPr>
            </w:pPr>
            <w:r w:rsidRPr="00F03C54">
              <w:rPr>
                <w:sz w:val="22"/>
                <w:szCs w:val="22"/>
              </w:rPr>
              <w:t>C</w:t>
            </w:r>
            <w:r w:rsidR="00202AE8" w:rsidRPr="00F03C54">
              <w:rPr>
                <w:sz w:val="22"/>
                <w:szCs w:val="22"/>
              </w:rPr>
              <w:t>rianças e adolescent</w:t>
            </w:r>
            <w:r w:rsidR="00A44FDA">
              <w:rPr>
                <w:sz w:val="22"/>
                <w:szCs w:val="22"/>
              </w:rPr>
              <w:t>e</w:t>
            </w:r>
            <w:r w:rsidR="00202AE8" w:rsidRPr="00F03C54">
              <w:rPr>
                <w:sz w:val="22"/>
                <w:szCs w:val="22"/>
              </w:rPr>
              <w:t>s entre os 4 e os 17 anos d</w:t>
            </w:r>
            <w:r w:rsidR="00C30B7A">
              <w:rPr>
                <w:sz w:val="22"/>
                <w:szCs w:val="22"/>
              </w:rPr>
              <w:t xml:space="preserve">e idade com peso igual a 15 kg </w:t>
            </w:r>
            <w:r w:rsidR="00202AE8" w:rsidRPr="00F03C54">
              <w:rPr>
                <w:sz w:val="22"/>
                <w:szCs w:val="22"/>
              </w:rPr>
              <w:t>ou inferior a 30 kg</w:t>
            </w:r>
          </w:p>
        </w:tc>
        <w:tc>
          <w:tcPr>
            <w:tcW w:w="3096" w:type="dxa"/>
            <w:tcBorders>
              <w:top w:val="single" w:sz="4" w:space="0" w:color="auto"/>
              <w:left w:val="single" w:sz="4" w:space="0" w:color="auto"/>
              <w:bottom w:val="single" w:sz="4" w:space="0" w:color="auto"/>
              <w:right w:val="single" w:sz="4" w:space="0" w:color="auto"/>
            </w:tcBorders>
          </w:tcPr>
          <w:p w14:paraId="05F00CB2" w14:textId="77777777" w:rsidR="00470B48" w:rsidRPr="00F03C54" w:rsidRDefault="00615769" w:rsidP="00421DAF">
            <w:pPr>
              <w:keepNext/>
              <w:rPr>
                <w:sz w:val="22"/>
                <w:szCs w:val="22"/>
              </w:rPr>
            </w:pPr>
            <w:r w:rsidRPr="00F03C54">
              <w:rPr>
                <w:sz w:val="22"/>
                <w:szCs w:val="22"/>
              </w:rPr>
              <w:t xml:space="preserve">Dose inicial de 20 mg, seguida de 20 mg </w:t>
            </w:r>
            <w:r w:rsidR="00166A51" w:rsidRPr="00F03C54">
              <w:rPr>
                <w:sz w:val="22"/>
                <w:szCs w:val="22"/>
              </w:rPr>
              <w:t>uma semana após a dose inicial</w:t>
            </w:r>
            <w:r w:rsidRPr="00F03C54">
              <w:rPr>
                <w:sz w:val="22"/>
                <w:szCs w:val="22"/>
              </w:rPr>
              <w:t>.</w:t>
            </w:r>
          </w:p>
          <w:p w14:paraId="6523C6A1" w14:textId="77777777" w:rsidR="00470B48" w:rsidRPr="00F03C54" w:rsidRDefault="00470B48" w:rsidP="00421DAF">
            <w:pPr>
              <w:keepNext/>
              <w:rPr>
                <w:sz w:val="22"/>
                <w:szCs w:val="22"/>
              </w:rPr>
            </w:pPr>
          </w:p>
          <w:p w14:paraId="288807A4" w14:textId="77777777" w:rsidR="00470B48" w:rsidRPr="00F03C54" w:rsidRDefault="00615769" w:rsidP="00421DAF">
            <w:pPr>
              <w:keepNext/>
              <w:rPr>
                <w:sz w:val="22"/>
                <w:szCs w:val="22"/>
              </w:rPr>
            </w:pPr>
            <w:r w:rsidRPr="0072666C">
              <w:rPr>
                <w:sz w:val="22"/>
                <w:szCs w:val="22"/>
              </w:rPr>
              <w:t xml:space="preserve">Depois disso, a dose habitual </w:t>
            </w:r>
            <w:r w:rsidR="00166A51">
              <w:rPr>
                <w:sz w:val="22"/>
                <w:szCs w:val="22"/>
              </w:rPr>
              <w:t>é</w:t>
            </w:r>
            <w:r w:rsidR="00166A51" w:rsidRPr="0072666C">
              <w:rPr>
                <w:sz w:val="22"/>
                <w:szCs w:val="22"/>
              </w:rPr>
              <w:t xml:space="preserve"> </w:t>
            </w:r>
            <w:r>
              <w:rPr>
                <w:sz w:val="22"/>
                <w:szCs w:val="22"/>
              </w:rPr>
              <w:t>2</w:t>
            </w:r>
            <w:r w:rsidRPr="0072666C">
              <w:rPr>
                <w:sz w:val="22"/>
                <w:szCs w:val="22"/>
              </w:rPr>
              <w:t>0 mg em semanas alternadas</w:t>
            </w:r>
            <w:r>
              <w:rPr>
                <w:sz w:val="22"/>
                <w:szCs w:val="22"/>
              </w:rPr>
              <w:t>.</w:t>
            </w:r>
          </w:p>
        </w:tc>
        <w:tc>
          <w:tcPr>
            <w:tcW w:w="3096" w:type="dxa"/>
            <w:tcBorders>
              <w:top w:val="single" w:sz="4" w:space="0" w:color="auto"/>
              <w:left w:val="single" w:sz="4" w:space="0" w:color="auto"/>
              <w:bottom w:val="single" w:sz="4" w:space="0" w:color="auto"/>
              <w:right w:val="single" w:sz="4" w:space="0" w:color="auto"/>
            </w:tcBorders>
          </w:tcPr>
          <w:p w14:paraId="0599DE1F" w14:textId="77777777" w:rsidR="00470B48" w:rsidRPr="00F03C54" w:rsidRDefault="00615769" w:rsidP="00421DAF">
            <w:pPr>
              <w:keepNext/>
              <w:rPr>
                <w:sz w:val="22"/>
                <w:szCs w:val="22"/>
              </w:rPr>
            </w:pPr>
            <w:r w:rsidRPr="00D67443">
              <w:rPr>
                <w:sz w:val="22"/>
                <w:szCs w:val="22"/>
              </w:rPr>
              <w:t>Não aplicável</w:t>
            </w:r>
          </w:p>
        </w:tc>
      </w:tr>
    </w:tbl>
    <w:p w14:paraId="24696844" w14:textId="77777777" w:rsidR="00470B48" w:rsidRPr="00F03C54" w:rsidRDefault="00470B48" w:rsidP="00470B4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0"/>
        <w:gridCol w:w="3018"/>
      </w:tblGrid>
      <w:tr w:rsidR="00A7162A" w14:paraId="5A59A047" w14:textId="77777777" w:rsidTr="00895ADB">
        <w:tc>
          <w:tcPr>
            <w:tcW w:w="9287" w:type="dxa"/>
            <w:gridSpan w:val="3"/>
            <w:tcBorders>
              <w:top w:val="single" w:sz="4" w:space="0" w:color="auto"/>
              <w:left w:val="single" w:sz="4" w:space="0" w:color="auto"/>
              <w:bottom w:val="single" w:sz="4" w:space="0" w:color="auto"/>
              <w:right w:val="single" w:sz="4" w:space="0" w:color="auto"/>
            </w:tcBorders>
            <w:hideMark/>
          </w:tcPr>
          <w:p w14:paraId="7AD1B6AA" w14:textId="77777777" w:rsidR="00470B48" w:rsidRPr="00470B48" w:rsidRDefault="00615769">
            <w:pPr>
              <w:rPr>
                <w:sz w:val="22"/>
                <w:szCs w:val="22"/>
                <w:lang w:val="en-GB"/>
              </w:rPr>
            </w:pPr>
            <w:r>
              <w:rPr>
                <w:b/>
                <w:sz w:val="22"/>
                <w:szCs w:val="22"/>
                <w:lang w:val="en-GB"/>
              </w:rPr>
              <w:t>Doença de Crohn</w:t>
            </w:r>
            <w:r w:rsidR="00D67443">
              <w:rPr>
                <w:b/>
                <w:sz w:val="22"/>
                <w:szCs w:val="22"/>
                <w:lang w:val="en-GB"/>
              </w:rPr>
              <w:t xml:space="preserve"> pediátrica</w:t>
            </w:r>
          </w:p>
        </w:tc>
      </w:tr>
      <w:tr w:rsidR="00A7162A" w14:paraId="5FB35AE5" w14:textId="77777777" w:rsidTr="00895ADB">
        <w:tc>
          <w:tcPr>
            <w:tcW w:w="3095" w:type="dxa"/>
            <w:tcBorders>
              <w:top w:val="single" w:sz="4" w:space="0" w:color="auto"/>
              <w:left w:val="single" w:sz="4" w:space="0" w:color="auto"/>
              <w:bottom w:val="single" w:sz="4" w:space="0" w:color="auto"/>
              <w:right w:val="single" w:sz="4" w:space="0" w:color="auto"/>
            </w:tcBorders>
            <w:hideMark/>
          </w:tcPr>
          <w:p w14:paraId="3B669BD6" w14:textId="77777777" w:rsidR="00470B48" w:rsidRPr="00470B48" w:rsidRDefault="00615769">
            <w:pPr>
              <w:rPr>
                <w:sz w:val="22"/>
                <w:szCs w:val="22"/>
                <w:lang w:val="en-GB"/>
              </w:rPr>
            </w:pPr>
            <w:r>
              <w:rPr>
                <w:b/>
                <w:sz w:val="22"/>
                <w:szCs w:val="22"/>
                <w:lang w:val="en-US"/>
              </w:rPr>
              <w:t>Idade ou peso corporal</w:t>
            </w:r>
          </w:p>
        </w:tc>
        <w:tc>
          <w:tcPr>
            <w:tcW w:w="3096" w:type="dxa"/>
            <w:tcBorders>
              <w:top w:val="single" w:sz="4" w:space="0" w:color="auto"/>
              <w:left w:val="single" w:sz="4" w:space="0" w:color="auto"/>
              <w:bottom w:val="single" w:sz="4" w:space="0" w:color="auto"/>
              <w:right w:val="single" w:sz="4" w:space="0" w:color="auto"/>
            </w:tcBorders>
            <w:hideMark/>
          </w:tcPr>
          <w:p w14:paraId="6A7524A0" w14:textId="77777777" w:rsidR="00470B48" w:rsidRPr="00F03C54" w:rsidRDefault="00615769">
            <w:pPr>
              <w:rPr>
                <w:sz w:val="22"/>
                <w:szCs w:val="22"/>
              </w:rPr>
            </w:pPr>
            <w:r w:rsidRPr="00454F99">
              <w:rPr>
                <w:b/>
                <w:sz w:val="22"/>
              </w:rPr>
              <w:t>Qual</w:t>
            </w:r>
            <w:r w:rsidRPr="004F0FBC">
              <w:rPr>
                <w:b/>
                <w:sz w:val="22"/>
              </w:rPr>
              <w:t xml:space="preserve"> a dose e com que freq</w:t>
            </w:r>
            <w:r w:rsidRPr="006462E3">
              <w:rPr>
                <w:b/>
                <w:sz w:val="22"/>
              </w:rPr>
              <w:t>uência se deve tomar?</w:t>
            </w:r>
          </w:p>
        </w:tc>
        <w:tc>
          <w:tcPr>
            <w:tcW w:w="3096" w:type="dxa"/>
            <w:tcBorders>
              <w:top w:val="single" w:sz="4" w:space="0" w:color="auto"/>
              <w:left w:val="single" w:sz="4" w:space="0" w:color="auto"/>
              <w:bottom w:val="single" w:sz="4" w:space="0" w:color="auto"/>
              <w:right w:val="single" w:sz="4" w:space="0" w:color="auto"/>
            </w:tcBorders>
            <w:hideMark/>
          </w:tcPr>
          <w:p w14:paraId="2B0AFDB2" w14:textId="77777777" w:rsidR="00470B48" w:rsidRPr="00470B48" w:rsidRDefault="00615769">
            <w:pPr>
              <w:rPr>
                <w:sz w:val="22"/>
                <w:szCs w:val="22"/>
                <w:lang w:val="en-GB"/>
              </w:rPr>
            </w:pPr>
            <w:r w:rsidRPr="00470B48">
              <w:rPr>
                <w:b/>
                <w:sz w:val="22"/>
                <w:szCs w:val="22"/>
                <w:lang w:val="en-US"/>
              </w:rPr>
              <w:t>Not</w:t>
            </w:r>
            <w:r>
              <w:rPr>
                <w:b/>
                <w:sz w:val="22"/>
                <w:szCs w:val="22"/>
                <w:lang w:val="en-US"/>
              </w:rPr>
              <w:t>a</w:t>
            </w:r>
            <w:r w:rsidRPr="00470B48">
              <w:rPr>
                <w:b/>
                <w:sz w:val="22"/>
                <w:szCs w:val="22"/>
                <w:lang w:val="en-US"/>
              </w:rPr>
              <w:t>s</w:t>
            </w:r>
          </w:p>
        </w:tc>
      </w:tr>
      <w:tr w:rsidR="00A7162A" w14:paraId="4B212557" w14:textId="77777777" w:rsidTr="00895ADB">
        <w:tc>
          <w:tcPr>
            <w:tcW w:w="3095" w:type="dxa"/>
            <w:tcBorders>
              <w:top w:val="single" w:sz="4" w:space="0" w:color="auto"/>
              <w:left w:val="single" w:sz="4" w:space="0" w:color="auto"/>
              <w:bottom w:val="single" w:sz="4" w:space="0" w:color="auto"/>
              <w:right w:val="single" w:sz="4" w:space="0" w:color="auto"/>
            </w:tcBorders>
          </w:tcPr>
          <w:p w14:paraId="7EB2FD19" w14:textId="77777777" w:rsidR="00470B48" w:rsidRPr="00F03C54" w:rsidRDefault="00615769" w:rsidP="00470B48">
            <w:pPr>
              <w:rPr>
                <w:sz w:val="22"/>
                <w:szCs w:val="22"/>
              </w:rPr>
            </w:pPr>
            <w:r w:rsidRPr="00F03C54">
              <w:rPr>
                <w:sz w:val="22"/>
                <w:szCs w:val="22"/>
              </w:rPr>
              <w:t>C</w:t>
            </w:r>
            <w:r w:rsidR="002426D6" w:rsidRPr="00F03C54">
              <w:rPr>
                <w:sz w:val="22"/>
                <w:szCs w:val="22"/>
              </w:rPr>
              <w:t>rianças e adolescent</w:t>
            </w:r>
            <w:r w:rsidR="00895ADB">
              <w:rPr>
                <w:sz w:val="22"/>
                <w:szCs w:val="22"/>
              </w:rPr>
              <w:t>e</w:t>
            </w:r>
            <w:r w:rsidR="002426D6" w:rsidRPr="00F03C54">
              <w:rPr>
                <w:sz w:val="22"/>
                <w:szCs w:val="22"/>
              </w:rPr>
              <w:t xml:space="preserve">s entre os </w:t>
            </w:r>
            <w:r w:rsidRPr="00F03C54">
              <w:rPr>
                <w:sz w:val="22"/>
                <w:szCs w:val="22"/>
              </w:rPr>
              <w:t xml:space="preserve">6 </w:t>
            </w:r>
            <w:r w:rsidR="002426D6" w:rsidRPr="00F03C54">
              <w:rPr>
                <w:sz w:val="22"/>
                <w:szCs w:val="22"/>
              </w:rPr>
              <w:t>e os 17 anos de idade com peso igu</w:t>
            </w:r>
            <w:r w:rsidR="00983BD6">
              <w:rPr>
                <w:sz w:val="22"/>
                <w:szCs w:val="22"/>
              </w:rPr>
              <w:t>a</w:t>
            </w:r>
            <w:r w:rsidR="002426D6" w:rsidRPr="00F03C54">
              <w:rPr>
                <w:sz w:val="22"/>
                <w:szCs w:val="22"/>
              </w:rPr>
              <w:t xml:space="preserve">l ou superior a </w:t>
            </w:r>
            <w:r w:rsidRPr="00F03C54">
              <w:rPr>
                <w:sz w:val="22"/>
                <w:szCs w:val="22"/>
              </w:rPr>
              <w:t>40 kg</w:t>
            </w:r>
          </w:p>
          <w:p w14:paraId="33A4963A" w14:textId="77777777" w:rsidR="00470B48" w:rsidRPr="00F03C54" w:rsidRDefault="00470B48" w:rsidP="00470B48">
            <w:pPr>
              <w:rPr>
                <w:sz w:val="22"/>
                <w:szCs w:val="22"/>
              </w:rPr>
            </w:pPr>
          </w:p>
        </w:tc>
        <w:tc>
          <w:tcPr>
            <w:tcW w:w="3096" w:type="dxa"/>
            <w:tcBorders>
              <w:top w:val="single" w:sz="4" w:space="0" w:color="auto"/>
              <w:left w:val="single" w:sz="4" w:space="0" w:color="auto"/>
              <w:bottom w:val="single" w:sz="4" w:space="0" w:color="auto"/>
              <w:right w:val="single" w:sz="4" w:space="0" w:color="auto"/>
            </w:tcBorders>
          </w:tcPr>
          <w:p w14:paraId="4C240982" w14:textId="77777777" w:rsidR="00470B48" w:rsidRPr="00F03C54" w:rsidRDefault="00615769" w:rsidP="00470B48">
            <w:pPr>
              <w:rPr>
                <w:sz w:val="22"/>
                <w:szCs w:val="22"/>
              </w:rPr>
            </w:pPr>
            <w:r w:rsidRPr="00F03C54">
              <w:rPr>
                <w:sz w:val="22"/>
                <w:szCs w:val="22"/>
              </w:rPr>
              <w:t>Dose inicial de 80 mg, seguida de 40 mg duas semanas ap</w:t>
            </w:r>
            <w:r>
              <w:rPr>
                <w:sz w:val="22"/>
                <w:szCs w:val="22"/>
              </w:rPr>
              <w:t>ós a dose inicial</w:t>
            </w:r>
            <w:r w:rsidRPr="00F03C54">
              <w:rPr>
                <w:sz w:val="22"/>
                <w:szCs w:val="22"/>
              </w:rPr>
              <w:t>.</w:t>
            </w:r>
          </w:p>
          <w:p w14:paraId="1D8DA349" w14:textId="77777777" w:rsidR="00470B48" w:rsidRPr="00F03C54" w:rsidRDefault="00470B48" w:rsidP="00470B48">
            <w:pPr>
              <w:rPr>
                <w:sz w:val="22"/>
                <w:szCs w:val="22"/>
              </w:rPr>
            </w:pPr>
          </w:p>
          <w:p w14:paraId="5DBDDFF0" w14:textId="77777777" w:rsidR="00470B48" w:rsidRPr="00F03C54" w:rsidRDefault="00615769" w:rsidP="00F03C54">
            <w:pPr>
              <w:ind w:right="34"/>
              <w:rPr>
                <w:sz w:val="22"/>
                <w:szCs w:val="22"/>
              </w:rPr>
            </w:pPr>
            <w:r w:rsidRPr="008912CF">
              <w:rPr>
                <w:bCs/>
                <w:sz w:val="22"/>
                <w:szCs w:val="22"/>
              </w:rPr>
              <w:t>Nos casos onde é necessária uma resposta mais rápida, o médico da sua criança pode prescrever uma dose inicial de 160 mg</w:t>
            </w:r>
            <w:r>
              <w:rPr>
                <w:bCs/>
                <w:sz w:val="22"/>
                <w:szCs w:val="22"/>
              </w:rPr>
              <w:t>,</w:t>
            </w:r>
            <w:r w:rsidRPr="008912CF">
              <w:rPr>
                <w:sz w:val="22"/>
                <w:szCs w:val="22"/>
              </w:rPr>
              <w:t xml:space="preserve"> </w:t>
            </w:r>
            <w:r w:rsidRPr="008912CF">
              <w:rPr>
                <w:bCs/>
                <w:sz w:val="22"/>
                <w:szCs w:val="22"/>
              </w:rPr>
              <w:t>seguida de 80 mg duas semanas após a dose inicial.</w:t>
            </w:r>
          </w:p>
          <w:p w14:paraId="5844F1C6" w14:textId="77777777" w:rsidR="00470B48" w:rsidRPr="00F03C54" w:rsidRDefault="00470B48" w:rsidP="00470B48">
            <w:pPr>
              <w:rPr>
                <w:sz w:val="22"/>
                <w:szCs w:val="22"/>
              </w:rPr>
            </w:pPr>
          </w:p>
          <w:p w14:paraId="67FC0EDF" w14:textId="77777777" w:rsidR="00470B48" w:rsidRPr="00F03C54" w:rsidRDefault="00615769" w:rsidP="00166A51">
            <w:pPr>
              <w:rPr>
                <w:sz w:val="22"/>
                <w:szCs w:val="22"/>
              </w:rPr>
            </w:pPr>
            <w:r w:rsidRPr="0072666C">
              <w:rPr>
                <w:sz w:val="22"/>
                <w:szCs w:val="22"/>
              </w:rPr>
              <w:t xml:space="preserve">Depois disso, a dose habitual </w:t>
            </w:r>
            <w:r w:rsidR="00166A51">
              <w:rPr>
                <w:sz w:val="22"/>
                <w:szCs w:val="22"/>
              </w:rPr>
              <w:t>é</w:t>
            </w:r>
            <w:r w:rsidR="00166A51" w:rsidRPr="0072666C">
              <w:rPr>
                <w:sz w:val="22"/>
                <w:szCs w:val="22"/>
              </w:rPr>
              <w:t xml:space="preserve"> </w:t>
            </w:r>
            <w:r w:rsidRPr="0072666C">
              <w:rPr>
                <w:sz w:val="22"/>
                <w:szCs w:val="22"/>
              </w:rPr>
              <w:t>40 mg em semanas alternadas</w:t>
            </w:r>
            <w:r>
              <w:rPr>
                <w:sz w:val="22"/>
                <w:szCs w:val="22"/>
              </w:rPr>
              <w:t>.</w:t>
            </w:r>
          </w:p>
        </w:tc>
        <w:tc>
          <w:tcPr>
            <w:tcW w:w="3096" w:type="dxa"/>
            <w:tcBorders>
              <w:top w:val="single" w:sz="4" w:space="0" w:color="auto"/>
              <w:left w:val="single" w:sz="4" w:space="0" w:color="auto"/>
              <w:bottom w:val="single" w:sz="4" w:space="0" w:color="auto"/>
              <w:right w:val="single" w:sz="4" w:space="0" w:color="auto"/>
            </w:tcBorders>
          </w:tcPr>
          <w:p w14:paraId="4BD367F6" w14:textId="77777777" w:rsidR="00202AE8" w:rsidRPr="008912CF" w:rsidRDefault="00615769" w:rsidP="00202AE8">
            <w:pPr>
              <w:numPr>
                <w:ilvl w:val="12"/>
                <w:numId w:val="0"/>
              </w:numPr>
              <w:ind w:right="-2"/>
              <w:rPr>
                <w:sz w:val="22"/>
                <w:szCs w:val="22"/>
              </w:rPr>
            </w:pPr>
            <w:r>
              <w:rPr>
                <w:sz w:val="22"/>
                <w:szCs w:val="22"/>
              </w:rPr>
              <w:t>O</w:t>
            </w:r>
            <w:r w:rsidRPr="008912CF">
              <w:rPr>
                <w:sz w:val="22"/>
                <w:szCs w:val="22"/>
              </w:rPr>
              <w:t xml:space="preserve"> médico </w:t>
            </w:r>
            <w:r w:rsidR="00983BD6">
              <w:rPr>
                <w:sz w:val="22"/>
                <w:szCs w:val="22"/>
              </w:rPr>
              <w:t>da sua criança</w:t>
            </w:r>
            <w:r>
              <w:rPr>
                <w:sz w:val="22"/>
                <w:szCs w:val="22"/>
              </w:rPr>
              <w:t xml:space="preserve"> </w:t>
            </w:r>
            <w:r w:rsidRPr="008912CF">
              <w:rPr>
                <w:sz w:val="22"/>
                <w:szCs w:val="22"/>
              </w:rPr>
              <w:t>pode aumentar a dose para 40 mg por semana</w:t>
            </w:r>
            <w:r w:rsidR="00BF2279">
              <w:rPr>
                <w:sz w:val="22"/>
                <w:szCs w:val="22"/>
              </w:rPr>
              <w:t xml:space="preserve"> ou 80 mg em semanas alternadas</w:t>
            </w:r>
            <w:r w:rsidRPr="008912CF">
              <w:rPr>
                <w:sz w:val="22"/>
                <w:szCs w:val="22"/>
              </w:rPr>
              <w:t>.</w:t>
            </w:r>
          </w:p>
          <w:p w14:paraId="0848383D" w14:textId="77777777" w:rsidR="00202AE8" w:rsidRPr="008912CF" w:rsidRDefault="00202AE8" w:rsidP="00202AE8">
            <w:pPr>
              <w:rPr>
                <w:sz w:val="22"/>
                <w:szCs w:val="22"/>
              </w:rPr>
            </w:pPr>
          </w:p>
          <w:p w14:paraId="55A236E7" w14:textId="77777777" w:rsidR="00470B48" w:rsidRPr="00F03C54" w:rsidRDefault="00470B48" w:rsidP="00470B48">
            <w:pPr>
              <w:rPr>
                <w:sz w:val="22"/>
                <w:szCs w:val="22"/>
              </w:rPr>
            </w:pPr>
          </w:p>
        </w:tc>
      </w:tr>
      <w:tr w:rsidR="00A7162A" w14:paraId="15065D6D" w14:textId="77777777" w:rsidTr="00895ADB">
        <w:tc>
          <w:tcPr>
            <w:tcW w:w="3095" w:type="dxa"/>
            <w:tcBorders>
              <w:top w:val="single" w:sz="4" w:space="0" w:color="auto"/>
              <w:left w:val="single" w:sz="4" w:space="0" w:color="auto"/>
              <w:bottom w:val="single" w:sz="4" w:space="0" w:color="auto"/>
              <w:right w:val="single" w:sz="4" w:space="0" w:color="auto"/>
            </w:tcBorders>
            <w:hideMark/>
          </w:tcPr>
          <w:p w14:paraId="51A26A3F" w14:textId="77777777" w:rsidR="00470B48" w:rsidRPr="00F03C54" w:rsidRDefault="00615769">
            <w:pPr>
              <w:rPr>
                <w:sz w:val="22"/>
                <w:szCs w:val="22"/>
              </w:rPr>
            </w:pPr>
            <w:r w:rsidRPr="0072666C">
              <w:rPr>
                <w:sz w:val="22"/>
                <w:szCs w:val="22"/>
              </w:rPr>
              <w:t>Crianças e adolescent</w:t>
            </w:r>
            <w:r>
              <w:rPr>
                <w:sz w:val="22"/>
                <w:szCs w:val="22"/>
              </w:rPr>
              <w:t>e</w:t>
            </w:r>
            <w:r w:rsidRPr="0072666C">
              <w:rPr>
                <w:sz w:val="22"/>
                <w:szCs w:val="22"/>
              </w:rPr>
              <w:t>s entre os 6 e os 17 anos de idade com peso</w:t>
            </w:r>
            <w:r w:rsidRPr="00F03C54">
              <w:rPr>
                <w:sz w:val="22"/>
                <w:szCs w:val="22"/>
              </w:rPr>
              <w:t xml:space="preserve"> </w:t>
            </w:r>
            <w:r>
              <w:rPr>
                <w:sz w:val="22"/>
                <w:szCs w:val="22"/>
              </w:rPr>
              <w:t xml:space="preserve">inferior a </w:t>
            </w:r>
            <w:r w:rsidRPr="00F03C54">
              <w:rPr>
                <w:sz w:val="22"/>
                <w:szCs w:val="22"/>
              </w:rPr>
              <w:t>40 kg</w:t>
            </w:r>
          </w:p>
        </w:tc>
        <w:tc>
          <w:tcPr>
            <w:tcW w:w="3096" w:type="dxa"/>
            <w:tcBorders>
              <w:top w:val="single" w:sz="4" w:space="0" w:color="auto"/>
              <w:left w:val="single" w:sz="4" w:space="0" w:color="auto"/>
              <w:bottom w:val="single" w:sz="4" w:space="0" w:color="auto"/>
              <w:right w:val="single" w:sz="4" w:space="0" w:color="auto"/>
            </w:tcBorders>
          </w:tcPr>
          <w:p w14:paraId="5ED2E573" w14:textId="77777777" w:rsidR="00470B48" w:rsidRPr="00F03C54" w:rsidRDefault="00615769" w:rsidP="00470B48">
            <w:pPr>
              <w:rPr>
                <w:sz w:val="22"/>
                <w:szCs w:val="22"/>
              </w:rPr>
            </w:pPr>
            <w:r>
              <w:rPr>
                <w:sz w:val="22"/>
                <w:szCs w:val="22"/>
              </w:rPr>
              <w:t xml:space="preserve">Dose inicial de </w:t>
            </w:r>
            <w:r w:rsidRPr="00F03C54">
              <w:rPr>
                <w:sz w:val="22"/>
                <w:szCs w:val="22"/>
              </w:rPr>
              <w:t>40 mg, seguida de 20 mg duas semanas ap</w:t>
            </w:r>
            <w:r>
              <w:rPr>
                <w:sz w:val="22"/>
                <w:szCs w:val="22"/>
              </w:rPr>
              <w:t>ós a dose inicial.</w:t>
            </w:r>
            <w:r w:rsidRPr="00F03C54">
              <w:rPr>
                <w:sz w:val="22"/>
                <w:szCs w:val="22"/>
              </w:rPr>
              <w:t xml:space="preserve"> </w:t>
            </w:r>
          </w:p>
          <w:p w14:paraId="5BB96290" w14:textId="77777777" w:rsidR="00470B48" w:rsidRPr="00F03C54" w:rsidRDefault="00470B48" w:rsidP="00470B48">
            <w:pPr>
              <w:rPr>
                <w:sz w:val="22"/>
                <w:szCs w:val="22"/>
              </w:rPr>
            </w:pPr>
          </w:p>
          <w:p w14:paraId="72071CD4" w14:textId="77777777" w:rsidR="00470B48" w:rsidRPr="00F03C54" w:rsidRDefault="00615769" w:rsidP="00F03C54">
            <w:pPr>
              <w:ind w:right="34"/>
              <w:rPr>
                <w:sz w:val="22"/>
                <w:szCs w:val="22"/>
              </w:rPr>
            </w:pPr>
            <w:r w:rsidRPr="008912CF">
              <w:rPr>
                <w:bCs/>
                <w:sz w:val="22"/>
                <w:szCs w:val="22"/>
              </w:rPr>
              <w:t xml:space="preserve">Nos casos onde é necessária uma resposta mais rápida, o médico da sua criança pode prescrever uma dose inicial de </w:t>
            </w:r>
            <w:r>
              <w:rPr>
                <w:bCs/>
                <w:sz w:val="22"/>
                <w:szCs w:val="22"/>
              </w:rPr>
              <w:t xml:space="preserve">80 mg, </w:t>
            </w:r>
            <w:r w:rsidRPr="008912CF">
              <w:rPr>
                <w:sz w:val="22"/>
                <w:szCs w:val="22"/>
              </w:rPr>
              <w:t xml:space="preserve"> </w:t>
            </w:r>
            <w:r w:rsidRPr="008912CF">
              <w:rPr>
                <w:bCs/>
                <w:sz w:val="22"/>
                <w:szCs w:val="22"/>
              </w:rPr>
              <w:t xml:space="preserve">seguida de </w:t>
            </w:r>
            <w:r>
              <w:rPr>
                <w:bCs/>
                <w:sz w:val="22"/>
                <w:szCs w:val="22"/>
              </w:rPr>
              <w:t>4</w:t>
            </w:r>
            <w:r w:rsidRPr="008912CF">
              <w:rPr>
                <w:bCs/>
                <w:sz w:val="22"/>
                <w:szCs w:val="22"/>
              </w:rPr>
              <w:t>0 mg duas semanas após a dose inicial.</w:t>
            </w:r>
          </w:p>
          <w:p w14:paraId="15E9EE26" w14:textId="77777777" w:rsidR="00470B48" w:rsidRPr="00F03C54" w:rsidRDefault="00470B48" w:rsidP="00470B48">
            <w:pPr>
              <w:rPr>
                <w:sz w:val="22"/>
                <w:szCs w:val="22"/>
              </w:rPr>
            </w:pPr>
          </w:p>
          <w:p w14:paraId="4A61E878" w14:textId="77777777" w:rsidR="00470B48" w:rsidRPr="00F03C54" w:rsidRDefault="00615769" w:rsidP="00166A51">
            <w:pPr>
              <w:rPr>
                <w:sz w:val="22"/>
                <w:szCs w:val="22"/>
              </w:rPr>
            </w:pPr>
            <w:r w:rsidRPr="00F03C54">
              <w:rPr>
                <w:sz w:val="22"/>
                <w:szCs w:val="22"/>
              </w:rPr>
              <w:t xml:space="preserve">Depois disso, a dose habitual </w:t>
            </w:r>
            <w:r w:rsidR="00166A51">
              <w:rPr>
                <w:sz w:val="22"/>
                <w:szCs w:val="22"/>
              </w:rPr>
              <w:t>é</w:t>
            </w:r>
            <w:r w:rsidR="00166A51" w:rsidRPr="00F03C54">
              <w:rPr>
                <w:sz w:val="22"/>
                <w:szCs w:val="22"/>
              </w:rPr>
              <w:t xml:space="preserve"> </w:t>
            </w:r>
            <w:r w:rsidRPr="00F03C54">
              <w:rPr>
                <w:sz w:val="22"/>
                <w:szCs w:val="22"/>
              </w:rPr>
              <w:t>20 mg em semanas alternadas.</w:t>
            </w:r>
          </w:p>
        </w:tc>
        <w:tc>
          <w:tcPr>
            <w:tcW w:w="3096" w:type="dxa"/>
            <w:tcBorders>
              <w:top w:val="single" w:sz="4" w:space="0" w:color="auto"/>
              <w:left w:val="single" w:sz="4" w:space="0" w:color="auto"/>
              <w:bottom w:val="single" w:sz="4" w:space="0" w:color="auto"/>
              <w:right w:val="single" w:sz="4" w:space="0" w:color="auto"/>
            </w:tcBorders>
          </w:tcPr>
          <w:p w14:paraId="29201412" w14:textId="77777777" w:rsidR="002426D6" w:rsidRPr="008912CF" w:rsidRDefault="00615769" w:rsidP="002426D6">
            <w:pPr>
              <w:numPr>
                <w:ilvl w:val="12"/>
                <w:numId w:val="0"/>
              </w:numPr>
              <w:ind w:right="-2"/>
              <w:rPr>
                <w:sz w:val="22"/>
                <w:szCs w:val="22"/>
              </w:rPr>
            </w:pPr>
            <w:r>
              <w:rPr>
                <w:sz w:val="22"/>
                <w:szCs w:val="22"/>
              </w:rPr>
              <w:t>O</w:t>
            </w:r>
            <w:r w:rsidRPr="008912CF">
              <w:rPr>
                <w:sz w:val="22"/>
                <w:szCs w:val="22"/>
              </w:rPr>
              <w:t xml:space="preserve"> médico </w:t>
            </w:r>
            <w:r w:rsidR="00983BD6">
              <w:rPr>
                <w:sz w:val="22"/>
                <w:szCs w:val="22"/>
              </w:rPr>
              <w:t>da sua criança</w:t>
            </w:r>
            <w:r>
              <w:rPr>
                <w:sz w:val="22"/>
                <w:szCs w:val="22"/>
              </w:rPr>
              <w:t xml:space="preserve"> </w:t>
            </w:r>
            <w:r w:rsidRPr="008912CF">
              <w:rPr>
                <w:sz w:val="22"/>
                <w:szCs w:val="22"/>
              </w:rPr>
              <w:t xml:space="preserve">pode aumentar a </w:t>
            </w:r>
            <w:r w:rsidR="00166A51">
              <w:rPr>
                <w:sz w:val="22"/>
                <w:szCs w:val="22"/>
              </w:rPr>
              <w:t xml:space="preserve">frequência da </w:t>
            </w:r>
            <w:r w:rsidRPr="008912CF">
              <w:rPr>
                <w:sz w:val="22"/>
                <w:szCs w:val="22"/>
              </w:rPr>
              <w:t xml:space="preserve">dose para </w:t>
            </w:r>
            <w:r>
              <w:rPr>
                <w:sz w:val="22"/>
                <w:szCs w:val="22"/>
              </w:rPr>
              <w:t>2</w:t>
            </w:r>
            <w:r w:rsidRPr="008912CF">
              <w:rPr>
                <w:sz w:val="22"/>
                <w:szCs w:val="22"/>
              </w:rPr>
              <w:t>0 mg por semana.</w:t>
            </w:r>
          </w:p>
          <w:p w14:paraId="4EAEAD29" w14:textId="77777777" w:rsidR="002426D6" w:rsidRPr="008912CF" w:rsidRDefault="002426D6" w:rsidP="002426D6">
            <w:pPr>
              <w:rPr>
                <w:sz w:val="22"/>
                <w:szCs w:val="22"/>
              </w:rPr>
            </w:pPr>
          </w:p>
          <w:p w14:paraId="1E35E7B2" w14:textId="77777777" w:rsidR="00470B48" w:rsidRPr="00F03C54" w:rsidRDefault="00470B48">
            <w:pPr>
              <w:rPr>
                <w:sz w:val="22"/>
                <w:szCs w:val="22"/>
              </w:rPr>
            </w:pPr>
          </w:p>
        </w:tc>
      </w:tr>
    </w:tbl>
    <w:p w14:paraId="303AD632" w14:textId="77777777" w:rsidR="00470B48" w:rsidRPr="00F03C54" w:rsidRDefault="00470B48" w:rsidP="00470B4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17"/>
        <w:gridCol w:w="3024"/>
      </w:tblGrid>
      <w:tr w:rsidR="00A7162A" w14:paraId="6D6944C7" w14:textId="77777777" w:rsidTr="00895ADB">
        <w:tc>
          <w:tcPr>
            <w:tcW w:w="9287" w:type="dxa"/>
            <w:gridSpan w:val="3"/>
          </w:tcPr>
          <w:p w14:paraId="5C380D76" w14:textId="77777777" w:rsidR="00470B48" w:rsidRPr="00470B48" w:rsidRDefault="00615769" w:rsidP="00421DAF">
            <w:pPr>
              <w:keepNext/>
              <w:rPr>
                <w:b/>
                <w:sz w:val="22"/>
                <w:szCs w:val="22"/>
                <w:lang w:val="en-GB"/>
              </w:rPr>
            </w:pPr>
            <w:r>
              <w:rPr>
                <w:b/>
                <w:sz w:val="22"/>
                <w:szCs w:val="22"/>
                <w:lang w:val="en-US"/>
              </w:rPr>
              <w:t xml:space="preserve">Uveíte </w:t>
            </w:r>
            <w:r w:rsidR="00D67443">
              <w:rPr>
                <w:b/>
                <w:sz w:val="22"/>
                <w:szCs w:val="22"/>
                <w:lang w:val="en-US"/>
              </w:rPr>
              <w:t>pediátrica</w:t>
            </w:r>
          </w:p>
        </w:tc>
      </w:tr>
      <w:tr w:rsidR="00A7162A" w14:paraId="53DE8E5B" w14:textId="77777777" w:rsidTr="00895ADB">
        <w:tc>
          <w:tcPr>
            <w:tcW w:w="3095" w:type="dxa"/>
          </w:tcPr>
          <w:p w14:paraId="7A80691F" w14:textId="77777777" w:rsidR="00470B48" w:rsidRPr="00470B48" w:rsidRDefault="00615769" w:rsidP="00421DAF">
            <w:pPr>
              <w:keepNext/>
              <w:rPr>
                <w:sz w:val="22"/>
                <w:szCs w:val="22"/>
                <w:lang w:val="en-US"/>
              </w:rPr>
            </w:pPr>
            <w:r>
              <w:rPr>
                <w:b/>
                <w:sz w:val="22"/>
                <w:szCs w:val="22"/>
                <w:lang w:val="en-US"/>
              </w:rPr>
              <w:t>Idade ou peso corporal</w:t>
            </w:r>
          </w:p>
        </w:tc>
        <w:tc>
          <w:tcPr>
            <w:tcW w:w="3096" w:type="dxa"/>
          </w:tcPr>
          <w:p w14:paraId="2B4DBA95" w14:textId="77777777" w:rsidR="00470B48" w:rsidRPr="00F03C54" w:rsidRDefault="00615769" w:rsidP="00421DAF">
            <w:pPr>
              <w:keepNext/>
              <w:rPr>
                <w:sz w:val="22"/>
                <w:szCs w:val="22"/>
              </w:rPr>
            </w:pPr>
            <w:r w:rsidRPr="00454F99">
              <w:rPr>
                <w:b/>
                <w:sz w:val="22"/>
              </w:rPr>
              <w:t>Qual</w:t>
            </w:r>
            <w:r w:rsidRPr="004F0FBC">
              <w:rPr>
                <w:b/>
                <w:sz w:val="22"/>
              </w:rPr>
              <w:t xml:space="preserve"> a dose e com que freq</w:t>
            </w:r>
            <w:r w:rsidRPr="006462E3">
              <w:rPr>
                <w:b/>
                <w:sz w:val="22"/>
              </w:rPr>
              <w:t>uência se deve tomar?</w:t>
            </w:r>
          </w:p>
        </w:tc>
        <w:tc>
          <w:tcPr>
            <w:tcW w:w="3096" w:type="dxa"/>
          </w:tcPr>
          <w:p w14:paraId="5FFBA465" w14:textId="77777777" w:rsidR="00470B48" w:rsidRPr="00470B48" w:rsidRDefault="00615769" w:rsidP="00421DAF">
            <w:pPr>
              <w:keepNext/>
              <w:rPr>
                <w:sz w:val="22"/>
                <w:szCs w:val="22"/>
                <w:lang w:val="en-GB"/>
              </w:rPr>
            </w:pPr>
            <w:r w:rsidRPr="00470B48">
              <w:rPr>
                <w:b/>
                <w:sz w:val="22"/>
                <w:szCs w:val="22"/>
                <w:lang w:val="en-US"/>
              </w:rPr>
              <w:t>Not</w:t>
            </w:r>
            <w:r>
              <w:rPr>
                <w:b/>
                <w:sz w:val="22"/>
                <w:szCs w:val="22"/>
                <w:lang w:val="en-US"/>
              </w:rPr>
              <w:t>a</w:t>
            </w:r>
            <w:r w:rsidRPr="00470B48">
              <w:rPr>
                <w:b/>
                <w:sz w:val="22"/>
                <w:szCs w:val="22"/>
                <w:lang w:val="en-US"/>
              </w:rPr>
              <w:t>s</w:t>
            </w:r>
          </w:p>
        </w:tc>
      </w:tr>
      <w:tr w:rsidR="00A7162A" w14:paraId="0568EE93" w14:textId="77777777" w:rsidTr="00895ADB">
        <w:tc>
          <w:tcPr>
            <w:tcW w:w="3095" w:type="dxa"/>
          </w:tcPr>
          <w:p w14:paraId="1C0826D5" w14:textId="77777777" w:rsidR="00470B48" w:rsidRPr="00F03C54" w:rsidRDefault="00615769" w:rsidP="00421DAF">
            <w:pPr>
              <w:keepNext/>
              <w:rPr>
                <w:sz w:val="22"/>
                <w:szCs w:val="22"/>
              </w:rPr>
            </w:pPr>
            <w:r w:rsidRPr="00F03C54">
              <w:rPr>
                <w:sz w:val="22"/>
                <w:szCs w:val="22"/>
              </w:rPr>
              <w:t>C</w:t>
            </w:r>
            <w:r w:rsidR="008F2CDC" w:rsidRPr="00F03C54">
              <w:rPr>
                <w:sz w:val="22"/>
                <w:szCs w:val="22"/>
              </w:rPr>
              <w:t>rianças e adolescent</w:t>
            </w:r>
            <w:r w:rsidR="008F2CDC">
              <w:rPr>
                <w:sz w:val="22"/>
                <w:szCs w:val="22"/>
              </w:rPr>
              <w:t>e</w:t>
            </w:r>
            <w:r w:rsidR="008F2CDC" w:rsidRPr="00F03C54">
              <w:rPr>
                <w:sz w:val="22"/>
                <w:szCs w:val="22"/>
              </w:rPr>
              <w:t>s a partir dos 2 anos de idade com peso inferior a 30 kg</w:t>
            </w:r>
          </w:p>
          <w:p w14:paraId="7FC670D3" w14:textId="77777777" w:rsidR="00470B48" w:rsidRPr="00F03C54" w:rsidRDefault="00470B48" w:rsidP="00421DAF">
            <w:pPr>
              <w:keepNext/>
              <w:rPr>
                <w:sz w:val="22"/>
                <w:szCs w:val="22"/>
              </w:rPr>
            </w:pPr>
          </w:p>
        </w:tc>
        <w:tc>
          <w:tcPr>
            <w:tcW w:w="3096" w:type="dxa"/>
          </w:tcPr>
          <w:p w14:paraId="7AE3385F" w14:textId="77777777" w:rsidR="00470B48" w:rsidRPr="00470B48" w:rsidRDefault="00615769" w:rsidP="00421DAF">
            <w:pPr>
              <w:keepNext/>
              <w:rPr>
                <w:sz w:val="22"/>
                <w:szCs w:val="22"/>
                <w:lang w:val="en-US"/>
              </w:rPr>
            </w:pPr>
            <w:r w:rsidRPr="00470B48">
              <w:rPr>
                <w:sz w:val="22"/>
                <w:szCs w:val="22"/>
                <w:lang w:val="en-US"/>
              </w:rPr>
              <w:t xml:space="preserve">20 mg </w:t>
            </w:r>
            <w:r w:rsidR="008F2CDC">
              <w:rPr>
                <w:sz w:val="22"/>
                <w:szCs w:val="22"/>
                <w:lang w:val="en-US"/>
              </w:rPr>
              <w:t>em semanas alternadas</w:t>
            </w:r>
          </w:p>
        </w:tc>
        <w:tc>
          <w:tcPr>
            <w:tcW w:w="3096" w:type="dxa"/>
          </w:tcPr>
          <w:p w14:paraId="79F6A01A" w14:textId="77777777" w:rsidR="00470B48" w:rsidRPr="00F03C54" w:rsidRDefault="00615769" w:rsidP="00421DAF">
            <w:pPr>
              <w:keepNext/>
              <w:ind w:right="-2"/>
              <w:rPr>
                <w:sz w:val="22"/>
                <w:szCs w:val="22"/>
              </w:rPr>
            </w:pPr>
            <w:r>
              <w:rPr>
                <w:bCs/>
                <w:sz w:val="22"/>
                <w:szCs w:val="22"/>
              </w:rPr>
              <w:t>O</w:t>
            </w:r>
            <w:r w:rsidRPr="008912CF">
              <w:rPr>
                <w:bCs/>
                <w:sz w:val="22"/>
                <w:szCs w:val="22"/>
              </w:rPr>
              <w:t xml:space="preserve"> médico da sua criança pode </w:t>
            </w:r>
            <w:r>
              <w:rPr>
                <w:bCs/>
                <w:sz w:val="22"/>
                <w:szCs w:val="22"/>
              </w:rPr>
              <w:t xml:space="preserve">também </w:t>
            </w:r>
            <w:r w:rsidRPr="008912CF">
              <w:rPr>
                <w:bCs/>
                <w:sz w:val="22"/>
                <w:szCs w:val="22"/>
              </w:rPr>
              <w:t>prescrever uma dose inicial de</w:t>
            </w:r>
            <w:r>
              <w:rPr>
                <w:bCs/>
                <w:sz w:val="22"/>
                <w:szCs w:val="22"/>
              </w:rPr>
              <w:t xml:space="preserve"> 40 mg que pode ser administrada uma semana a</w:t>
            </w:r>
            <w:r w:rsidR="00434FDF">
              <w:rPr>
                <w:bCs/>
                <w:sz w:val="22"/>
                <w:szCs w:val="22"/>
              </w:rPr>
              <w:t>ntes do início da dose habitual de 20 mg em semanas alternadas.</w:t>
            </w:r>
            <w:r w:rsidRPr="00F03C54">
              <w:rPr>
                <w:sz w:val="22"/>
                <w:szCs w:val="22"/>
              </w:rPr>
              <w:t xml:space="preserve"> Humira </w:t>
            </w:r>
            <w:r w:rsidR="00AA43F3" w:rsidRPr="00F03C54">
              <w:rPr>
                <w:sz w:val="22"/>
                <w:szCs w:val="22"/>
              </w:rPr>
              <w:t>é recomendado para utilização em associação co</w:t>
            </w:r>
            <w:r w:rsidR="00AA43F3">
              <w:rPr>
                <w:sz w:val="22"/>
                <w:szCs w:val="22"/>
              </w:rPr>
              <w:t>m</w:t>
            </w:r>
            <w:r w:rsidR="00AA43F3" w:rsidRPr="00F03C54">
              <w:rPr>
                <w:sz w:val="22"/>
                <w:szCs w:val="22"/>
              </w:rPr>
              <w:t xml:space="preserve"> metotrexato.</w:t>
            </w:r>
          </w:p>
        </w:tc>
      </w:tr>
      <w:tr w:rsidR="00A7162A" w14:paraId="68286FDE" w14:textId="77777777" w:rsidTr="00895ADB">
        <w:tc>
          <w:tcPr>
            <w:tcW w:w="3095" w:type="dxa"/>
          </w:tcPr>
          <w:p w14:paraId="25952AE3" w14:textId="77777777" w:rsidR="00AA43F3" w:rsidRPr="00F03C54" w:rsidRDefault="00615769" w:rsidP="00421DAF">
            <w:pPr>
              <w:keepNext/>
              <w:rPr>
                <w:sz w:val="22"/>
                <w:szCs w:val="22"/>
              </w:rPr>
            </w:pPr>
            <w:r w:rsidRPr="00F03C54">
              <w:rPr>
                <w:sz w:val="22"/>
                <w:szCs w:val="22"/>
              </w:rPr>
              <w:t>Crianças e adolescent</w:t>
            </w:r>
            <w:r w:rsidR="00A44FDA">
              <w:rPr>
                <w:sz w:val="22"/>
                <w:szCs w:val="22"/>
              </w:rPr>
              <w:t>e</w:t>
            </w:r>
            <w:r w:rsidRPr="00F03C54">
              <w:rPr>
                <w:sz w:val="22"/>
                <w:szCs w:val="22"/>
              </w:rPr>
              <w:t>s a par</w:t>
            </w:r>
            <w:r w:rsidR="00A44FDA">
              <w:rPr>
                <w:sz w:val="22"/>
                <w:szCs w:val="22"/>
              </w:rPr>
              <w:t>t</w:t>
            </w:r>
            <w:r w:rsidRPr="00F03C54">
              <w:rPr>
                <w:sz w:val="22"/>
                <w:szCs w:val="22"/>
              </w:rPr>
              <w:t>ir dos 2 anos de idade com peso igual ou superior a 30 kg</w:t>
            </w:r>
          </w:p>
          <w:p w14:paraId="669B03C1" w14:textId="77777777" w:rsidR="00AA43F3" w:rsidRPr="00F03C54" w:rsidRDefault="00AA43F3" w:rsidP="00421DAF">
            <w:pPr>
              <w:keepNext/>
              <w:rPr>
                <w:sz w:val="22"/>
                <w:szCs w:val="22"/>
              </w:rPr>
            </w:pPr>
          </w:p>
        </w:tc>
        <w:tc>
          <w:tcPr>
            <w:tcW w:w="3096" w:type="dxa"/>
          </w:tcPr>
          <w:p w14:paraId="63EBF347" w14:textId="77777777" w:rsidR="00AA43F3" w:rsidRPr="00F03C54" w:rsidRDefault="00615769" w:rsidP="00421DAF">
            <w:pPr>
              <w:keepNext/>
              <w:rPr>
                <w:sz w:val="22"/>
                <w:szCs w:val="22"/>
              </w:rPr>
            </w:pPr>
            <w:r w:rsidRPr="00F03C54">
              <w:rPr>
                <w:sz w:val="22"/>
                <w:szCs w:val="22"/>
              </w:rPr>
              <w:t xml:space="preserve">40 mg em semanas alternadas </w:t>
            </w:r>
          </w:p>
        </w:tc>
        <w:tc>
          <w:tcPr>
            <w:tcW w:w="3096" w:type="dxa"/>
          </w:tcPr>
          <w:p w14:paraId="6DE0E7C5" w14:textId="77777777" w:rsidR="00AA43F3" w:rsidRPr="00F03C54" w:rsidRDefault="00615769" w:rsidP="00421DAF">
            <w:pPr>
              <w:keepNext/>
              <w:rPr>
                <w:sz w:val="22"/>
                <w:szCs w:val="22"/>
              </w:rPr>
            </w:pPr>
            <w:r>
              <w:rPr>
                <w:bCs/>
                <w:sz w:val="22"/>
                <w:szCs w:val="22"/>
              </w:rPr>
              <w:t>O</w:t>
            </w:r>
            <w:r w:rsidRPr="008912CF">
              <w:rPr>
                <w:bCs/>
                <w:sz w:val="22"/>
                <w:szCs w:val="22"/>
              </w:rPr>
              <w:t xml:space="preserve"> médico da sua criança pode </w:t>
            </w:r>
            <w:r>
              <w:rPr>
                <w:bCs/>
                <w:sz w:val="22"/>
                <w:szCs w:val="22"/>
              </w:rPr>
              <w:t xml:space="preserve">também </w:t>
            </w:r>
            <w:r w:rsidRPr="008912CF">
              <w:rPr>
                <w:bCs/>
                <w:sz w:val="22"/>
                <w:szCs w:val="22"/>
              </w:rPr>
              <w:t>prescrever uma dose inicial de</w:t>
            </w:r>
            <w:r>
              <w:rPr>
                <w:bCs/>
                <w:sz w:val="22"/>
                <w:szCs w:val="22"/>
              </w:rPr>
              <w:t xml:space="preserve"> 80 mg que pode ser administrada uma semana antes do início da dose habitual de 40 mg em semanas alternadas.</w:t>
            </w:r>
            <w:r w:rsidRPr="0072666C">
              <w:rPr>
                <w:sz w:val="22"/>
                <w:szCs w:val="22"/>
              </w:rPr>
              <w:t xml:space="preserve"> Humira é recomendado para utilização em associação co</w:t>
            </w:r>
            <w:r>
              <w:rPr>
                <w:sz w:val="22"/>
                <w:szCs w:val="22"/>
              </w:rPr>
              <w:t>m</w:t>
            </w:r>
            <w:r w:rsidRPr="0072666C">
              <w:rPr>
                <w:sz w:val="22"/>
                <w:szCs w:val="22"/>
              </w:rPr>
              <w:t xml:space="preserve"> metotrexato.</w:t>
            </w:r>
          </w:p>
        </w:tc>
      </w:tr>
    </w:tbl>
    <w:p w14:paraId="725888DD" w14:textId="77777777" w:rsidR="00470B48" w:rsidRDefault="00470B48" w:rsidP="008D4B8F">
      <w:pPr>
        <w:rPr>
          <w:sz w:val="22"/>
          <w:szCs w:val="22"/>
        </w:rPr>
      </w:pPr>
    </w:p>
    <w:p w14:paraId="498771BB" w14:textId="77777777" w:rsidR="008D4B8F" w:rsidRPr="008912CF" w:rsidRDefault="00615769" w:rsidP="008D4B8F">
      <w:pPr>
        <w:ind w:right="-2"/>
        <w:rPr>
          <w:b/>
          <w:bCs/>
          <w:sz w:val="22"/>
          <w:szCs w:val="22"/>
        </w:rPr>
      </w:pPr>
      <w:r w:rsidRPr="008912CF">
        <w:rPr>
          <w:b/>
          <w:bCs/>
          <w:sz w:val="22"/>
          <w:szCs w:val="22"/>
        </w:rPr>
        <w:t>Modo e via de administração</w:t>
      </w:r>
    </w:p>
    <w:p w14:paraId="6C22FF0E" w14:textId="77777777" w:rsidR="008D4B8F" w:rsidRPr="008912CF" w:rsidRDefault="008D4B8F" w:rsidP="008D4B8F">
      <w:pPr>
        <w:ind w:right="-2"/>
        <w:rPr>
          <w:sz w:val="22"/>
          <w:szCs w:val="22"/>
        </w:rPr>
      </w:pPr>
    </w:p>
    <w:p w14:paraId="159F9A0D" w14:textId="77777777" w:rsidR="008D4B8F" w:rsidRPr="008912CF" w:rsidRDefault="00615769" w:rsidP="008D4B8F">
      <w:pPr>
        <w:ind w:right="-2"/>
        <w:rPr>
          <w:sz w:val="22"/>
          <w:szCs w:val="22"/>
        </w:rPr>
      </w:pPr>
      <w:r w:rsidRPr="008912CF">
        <w:rPr>
          <w:sz w:val="22"/>
          <w:szCs w:val="22"/>
        </w:rPr>
        <w:t>Humira é administrado por injeção debaixo da pele (via subcutânea).</w:t>
      </w:r>
    </w:p>
    <w:p w14:paraId="26E58FCF" w14:textId="77777777" w:rsidR="008D4B8F" w:rsidRPr="008912CF" w:rsidRDefault="008D4B8F" w:rsidP="008D4B8F">
      <w:pPr>
        <w:ind w:right="-2"/>
        <w:rPr>
          <w:sz w:val="22"/>
          <w:szCs w:val="22"/>
        </w:rPr>
      </w:pPr>
    </w:p>
    <w:p w14:paraId="4FCABCAF" w14:textId="77777777" w:rsidR="008D4B8F" w:rsidRPr="008912CF" w:rsidRDefault="00615769" w:rsidP="008D4B8F">
      <w:pPr>
        <w:keepNext/>
        <w:rPr>
          <w:b/>
          <w:sz w:val="22"/>
          <w:szCs w:val="22"/>
        </w:rPr>
      </w:pPr>
      <w:r w:rsidRPr="00F03C54">
        <w:rPr>
          <w:b/>
          <w:sz w:val="22"/>
          <w:szCs w:val="22"/>
        </w:rPr>
        <w:t xml:space="preserve">Instruções </w:t>
      </w:r>
      <w:r w:rsidR="00167385">
        <w:rPr>
          <w:b/>
          <w:sz w:val="22"/>
          <w:szCs w:val="22"/>
        </w:rPr>
        <w:t xml:space="preserve">detalhadas </w:t>
      </w:r>
      <w:r w:rsidR="00166A51">
        <w:rPr>
          <w:b/>
          <w:sz w:val="22"/>
          <w:szCs w:val="22"/>
        </w:rPr>
        <w:t>sobr</w:t>
      </w:r>
      <w:r w:rsidR="00167385">
        <w:rPr>
          <w:b/>
          <w:sz w:val="22"/>
          <w:szCs w:val="22"/>
        </w:rPr>
        <w:t xml:space="preserve">e como injetar </w:t>
      </w:r>
      <w:r w:rsidRPr="00F03C54">
        <w:rPr>
          <w:b/>
          <w:bCs/>
          <w:sz w:val="22"/>
          <w:szCs w:val="22"/>
        </w:rPr>
        <w:t>Humira</w:t>
      </w:r>
      <w:r w:rsidR="00AA43F3" w:rsidRPr="00F03C54">
        <w:rPr>
          <w:b/>
          <w:bCs/>
          <w:sz w:val="22"/>
          <w:szCs w:val="22"/>
        </w:rPr>
        <w:t xml:space="preserve"> estão descritas na secção 7 “</w:t>
      </w:r>
      <w:r w:rsidR="00D6007A">
        <w:rPr>
          <w:b/>
          <w:bCs/>
          <w:sz w:val="22"/>
          <w:szCs w:val="22"/>
        </w:rPr>
        <w:t>Injetar Humira</w:t>
      </w:r>
      <w:r w:rsidR="00AA43F3" w:rsidRPr="00167385">
        <w:rPr>
          <w:b/>
          <w:bCs/>
          <w:sz w:val="22"/>
          <w:szCs w:val="22"/>
        </w:rPr>
        <w:t>”</w:t>
      </w:r>
      <w:r w:rsidR="0067252B">
        <w:rPr>
          <w:b/>
          <w:bCs/>
          <w:sz w:val="22"/>
          <w:szCs w:val="22"/>
        </w:rPr>
        <w:t>.</w:t>
      </w:r>
    </w:p>
    <w:p w14:paraId="2FB5602A" w14:textId="77777777" w:rsidR="008D4B8F" w:rsidRPr="008912CF" w:rsidRDefault="008D4B8F" w:rsidP="008D4B8F">
      <w:pPr>
        <w:keepNext/>
        <w:rPr>
          <w:b/>
          <w:sz w:val="22"/>
          <w:szCs w:val="22"/>
          <w:u w:val="single"/>
        </w:rPr>
      </w:pPr>
    </w:p>
    <w:p w14:paraId="5C36F5E3" w14:textId="77777777" w:rsidR="00AA43F3" w:rsidRDefault="00615769" w:rsidP="008D4B8F">
      <w:pPr>
        <w:keepNext/>
        <w:rPr>
          <w:sz w:val="22"/>
          <w:szCs w:val="22"/>
        </w:rPr>
      </w:pPr>
      <w:r w:rsidRPr="008912CF">
        <w:rPr>
          <w:b/>
          <w:sz w:val="22"/>
          <w:szCs w:val="22"/>
        </w:rPr>
        <w:t>Se utilizar</w:t>
      </w:r>
      <w:r w:rsidR="0067252B">
        <w:rPr>
          <w:b/>
          <w:sz w:val="22"/>
          <w:szCs w:val="22"/>
        </w:rPr>
        <w:t xml:space="preserve"> </w:t>
      </w:r>
      <w:r w:rsidRPr="008912CF">
        <w:rPr>
          <w:b/>
          <w:sz w:val="22"/>
          <w:szCs w:val="22"/>
        </w:rPr>
        <w:t>mais Humira do que deveria</w:t>
      </w:r>
    </w:p>
    <w:p w14:paraId="4383DC02" w14:textId="77777777" w:rsidR="00AA43F3" w:rsidRDefault="00AA43F3" w:rsidP="008D4B8F">
      <w:pPr>
        <w:keepNext/>
        <w:rPr>
          <w:sz w:val="22"/>
          <w:szCs w:val="22"/>
        </w:rPr>
      </w:pPr>
    </w:p>
    <w:p w14:paraId="349C0AB3" w14:textId="77777777" w:rsidR="00BD02F4" w:rsidRPr="008912CF" w:rsidRDefault="00615769" w:rsidP="00BD02F4">
      <w:pPr>
        <w:rPr>
          <w:sz w:val="22"/>
          <w:szCs w:val="22"/>
        </w:rPr>
      </w:pPr>
      <w:r w:rsidRPr="008912CF">
        <w:rPr>
          <w:sz w:val="22"/>
          <w:szCs w:val="22"/>
        </w:rPr>
        <w:t>Se injetar acidentalmente Humira mais frequentemente do que o prescrito, contacte o seu médico ou farmacêutico e informe-os de</w:t>
      </w:r>
      <w:r w:rsidR="0067252B">
        <w:rPr>
          <w:sz w:val="22"/>
          <w:szCs w:val="22"/>
        </w:rPr>
        <w:t xml:space="preserve"> que a sua criança</w:t>
      </w:r>
      <w:r w:rsidRPr="008912CF">
        <w:rPr>
          <w:sz w:val="22"/>
          <w:szCs w:val="22"/>
        </w:rPr>
        <w:t xml:space="preserve"> utilizou mais do que devia. Leve sempre consigo a embalagem exterior do medicamento, mesmo que esteja vazia. </w:t>
      </w:r>
    </w:p>
    <w:p w14:paraId="615343ED" w14:textId="77777777" w:rsidR="00BD02F4" w:rsidRPr="008912CF" w:rsidRDefault="00BD02F4" w:rsidP="00BD02F4">
      <w:pPr>
        <w:rPr>
          <w:sz w:val="22"/>
          <w:szCs w:val="22"/>
        </w:rPr>
      </w:pPr>
    </w:p>
    <w:p w14:paraId="5261BF33" w14:textId="77777777" w:rsidR="00BD02F4" w:rsidRPr="008912CF" w:rsidRDefault="00615769" w:rsidP="00BD02F4">
      <w:pPr>
        <w:rPr>
          <w:sz w:val="22"/>
          <w:szCs w:val="22"/>
        </w:rPr>
      </w:pPr>
      <w:r w:rsidRPr="008912CF">
        <w:rPr>
          <w:b/>
          <w:sz w:val="22"/>
          <w:szCs w:val="22"/>
        </w:rPr>
        <w:t xml:space="preserve">Caso se tenha esquecido de utilizar </w:t>
      </w:r>
      <w:r>
        <w:rPr>
          <w:b/>
          <w:bCs/>
          <w:sz w:val="22"/>
          <w:szCs w:val="22"/>
        </w:rPr>
        <w:t>Humira</w:t>
      </w:r>
    </w:p>
    <w:p w14:paraId="0AF0FB25" w14:textId="77777777" w:rsidR="00BD02F4" w:rsidRPr="008912CF" w:rsidRDefault="00BD02F4" w:rsidP="00BD02F4">
      <w:pPr>
        <w:rPr>
          <w:sz w:val="22"/>
          <w:szCs w:val="22"/>
        </w:rPr>
      </w:pPr>
    </w:p>
    <w:p w14:paraId="59DF7855" w14:textId="77777777" w:rsidR="00BD02F4" w:rsidRPr="008912CF" w:rsidRDefault="00615769" w:rsidP="00BD02F4">
      <w:pPr>
        <w:pStyle w:val="BodyText3"/>
        <w:rPr>
          <w:szCs w:val="22"/>
        </w:rPr>
      </w:pPr>
      <w:r w:rsidRPr="008912CF">
        <w:rPr>
          <w:szCs w:val="22"/>
        </w:rPr>
        <w:t>Caso se tenha esquecido de administrar uma injeção</w:t>
      </w:r>
      <w:r w:rsidR="0067252B">
        <w:rPr>
          <w:szCs w:val="22"/>
        </w:rPr>
        <w:t xml:space="preserve"> à sua criança</w:t>
      </w:r>
      <w:r w:rsidRPr="008912CF">
        <w:rPr>
          <w:szCs w:val="22"/>
        </w:rPr>
        <w:t xml:space="preserve">, administre a próxima dose de Humira logo que se lembrar. Administre a dose seguinte </w:t>
      </w:r>
      <w:r w:rsidR="0067252B">
        <w:rPr>
          <w:szCs w:val="22"/>
        </w:rPr>
        <w:t xml:space="preserve">à sua criança </w:t>
      </w:r>
      <w:r w:rsidRPr="008912CF">
        <w:rPr>
          <w:szCs w:val="22"/>
        </w:rPr>
        <w:t xml:space="preserve">conforme prescrito, como se não tivesse omitido a dose anterior. </w:t>
      </w:r>
    </w:p>
    <w:p w14:paraId="6D183010" w14:textId="77777777" w:rsidR="00BD02F4" w:rsidRPr="008912CF" w:rsidRDefault="00BD02F4" w:rsidP="00BD02F4">
      <w:pPr>
        <w:suppressAutoHyphens/>
        <w:rPr>
          <w:b/>
          <w:sz w:val="22"/>
          <w:szCs w:val="22"/>
        </w:rPr>
      </w:pPr>
    </w:p>
    <w:p w14:paraId="53F8D830" w14:textId="77777777" w:rsidR="00BD02F4" w:rsidRPr="008912CF" w:rsidRDefault="00615769" w:rsidP="00BD02F4">
      <w:pPr>
        <w:suppressAutoHyphens/>
        <w:rPr>
          <w:sz w:val="22"/>
          <w:szCs w:val="22"/>
        </w:rPr>
      </w:pPr>
      <w:r w:rsidRPr="008912CF">
        <w:rPr>
          <w:b/>
          <w:sz w:val="22"/>
          <w:szCs w:val="22"/>
        </w:rPr>
        <w:t>Se parar de u</w:t>
      </w:r>
      <w:r>
        <w:rPr>
          <w:b/>
          <w:sz w:val="22"/>
          <w:szCs w:val="22"/>
        </w:rPr>
        <w:t>tilizar Humira</w:t>
      </w:r>
    </w:p>
    <w:p w14:paraId="0C8A8561" w14:textId="77777777" w:rsidR="00BD02F4" w:rsidRPr="008912CF" w:rsidRDefault="00BD02F4" w:rsidP="00BD02F4">
      <w:pPr>
        <w:rPr>
          <w:sz w:val="22"/>
          <w:szCs w:val="22"/>
        </w:rPr>
      </w:pPr>
    </w:p>
    <w:p w14:paraId="392B88D8" w14:textId="77777777" w:rsidR="00BD02F4" w:rsidRPr="008912CF" w:rsidRDefault="00615769" w:rsidP="00BD02F4">
      <w:pPr>
        <w:rPr>
          <w:sz w:val="22"/>
          <w:szCs w:val="22"/>
        </w:rPr>
      </w:pPr>
      <w:r w:rsidRPr="008912CF">
        <w:rPr>
          <w:sz w:val="22"/>
          <w:szCs w:val="22"/>
        </w:rPr>
        <w:t>A decisão de parar de utilizar Humira deve ser avaliada com o seu médico. Os sintomas</w:t>
      </w:r>
      <w:r w:rsidR="0067252B">
        <w:rPr>
          <w:sz w:val="22"/>
          <w:szCs w:val="22"/>
        </w:rPr>
        <w:t xml:space="preserve"> da sua criança</w:t>
      </w:r>
      <w:r w:rsidRPr="008912CF">
        <w:rPr>
          <w:sz w:val="22"/>
          <w:szCs w:val="22"/>
        </w:rPr>
        <w:t xml:space="preserve"> podem voltar após descontinuação.</w:t>
      </w:r>
    </w:p>
    <w:p w14:paraId="562D9F8F" w14:textId="77777777" w:rsidR="00BD02F4" w:rsidRPr="008912CF" w:rsidRDefault="00BD02F4" w:rsidP="00BD02F4">
      <w:pPr>
        <w:ind w:right="-2"/>
        <w:rPr>
          <w:sz w:val="22"/>
          <w:szCs w:val="22"/>
        </w:rPr>
      </w:pPr>
    </w:p>
    <w:p w14:paraId="2F4F09AA" w14:textId="77777777" w:rsidR="008D4B8F" w:rsidRPr="008912CF" w:rsidRDefault="00615769" w:rsidP="008D4B8F">
      <w:pPr>
        <w:ind w:right="-2"/>
        <w:rPr>
          <w:sz w:val="22"/>
          <w:szCs w:val="22"/>
        </w:rPr>
      </w:pPr>
      <w:r w:rsidRPr="008912CF">
        <w:rPr>
          <w:sz w:val="22"/>
          <w:szCs w:val="22"/>
        </w:rPr>
        <w:t>Caso</w:t>
      </w:r>
      <w:r w:rsidR="00954510">
        <w:rPr>
          <w:sz w:val="22"/>
          <w:szCs w:val="22"/>
        </w:rPr>
        <w:t xml:space="preserve"> ainda</w:t>
      </w:r>
      <w:r w:rsidRPr="008912CF">
        <w:rPr>
          <w:sz w:val="22"/>
          <w:szCs w:val="22"/>
        </w:rPr>
        <w:t xml:space="preserve"> tenha dúvidas sobre a utilização deste medicamento, fale com o seu médico ou farmacêutico.</w:t>
      </w:r>
    </w:p>
    <w:p w14:paraId="06329B00" w14:textId="77777777" w:rsidR="008D4B8F" w:rsidRPr="008912CF" w:rsidRDefault="008D4B8F" w:rsidP="008D4B8F">
      <w:pPr>
        <w:ind w:right="-2"/>
        <w:rPr>
          <w:sz w:val="22"/>
          <w:szCs w:val="22"/>
        </w:rPr>
      </w:pPr>
    </w:p>
    <w:p w14:paraId="5E70F31D" w14:textId="77777777" w:rsidR="008D4B8F" w:rsidRPr="008912CF" w:rsidRDefault="00615769" w:rsidP="008D4B8F">
      <w:pPr>
        <w:ind w:left="567" w:hanging="567"/>
        <w:rPr>
          <w:sz w:val="22"/>
          <w:szCs w:val="22"/>
        </w:rPr>
      </w:pPr>
      <w:r w:rsidRPr="008912CF">
        <w:rPr>
          <w:b/>
          <w:sz w:val="22"/>
          <w:szCs w:val="22"/>
        </w:rPr>
        <w:t>4.</w:t>
      </w:r>
      <w:r w:rsidRPr="008912CF">
        <w:rPr>
          <w:b/>
          <w:sz w:val="22"/>
          <w:szCs w:val="22"/>
        </w:rPr>
        <w:tab/>
        <w:t xml:space="preserve">Efeitos </w:t>
      </w:r>
      <w:r w:rsidR="00571C82">
        <w:rPr>
          <w:b/>
          <w:sz w:val="22"/>
          <w:szCs w:val="22"/>
        </w:rPr>
        <w:t>indesejáveis</w:t>
      </w:r>
      <w:r w:rsidRPr="008912CF">
        <w:rPr>
          <w:b/>
          <w:sz w:val="22"/>
          <w:szCs w:val="22"/>
        </w:rPr>
        <w:t xml:space="preserve"> possíveis</w:t>
      </w:r>
    </w:p>
    <w:p w14:paraId="2E2B8E81" w14:textId="77777777" w:rsidR="008D4B8F" w:rsidRPr="008912CF" w:rsidRDefault="008D4B8F" w:rsidP="008D4B8F">
      <w:pPr>
        <w:ind w:right="-2"/>
        <w:rPr>
          <w:sz w:val="22"/>
          <w:szCs w:val="22"/>
        </w:rPr>
      </w:pPr>
    </w:p>
    <w:p w14:paraId="5806C513" w14:textId="77777777" w:rsidR="008D4B8F" w:rsidRPr="008912CF" w:rsidRDefault="00615769" w:rsidP="008D4B8F">
      <w:pPr>
        <w:rPr>
          <w:sz w:val="22"/>
          <w:szCs w:val="22"/>
        </w:rPr>
      </w:pPr>
      <w:r w:rsidRPr="008912CF">
        <w:rPr>
          <w:sz w:val="22"/>
          <w:szCs w:val="22"/>
        </w:rPr>
        <w:t xml:space="preserve">Como todos os medicamentos, este medicamento pode causar efeitos </w:t>
      </w:r>
      <w:r w:rsidR="00571C82">
        <w:rPr>
          <w:sz w:val="22"/>
          <w:szCs w:val="22"/>
        </w:rPr>
        <w:t>indesejáveis</w:t>
      </w:r>
      <w:r w:rsidRPr="008912CF">
        <w:rPr>
          <w:sz w:val="22"/>
          <w:szCs w:val="22"/>
        </w:rPr>
        <w:t xml:space="preserve">, embora estes não se manifestem em todas as pessoas. A maioria dos efeitos </w:t>
      </w:r>
      <w:r w:rsidR="00571C82">
        <w:rPr>
          <w:sz w:val="22"/>
          <w:szCs w:val="22"/>
        </w:rPr>
        <w:t>indesejáveis</w:t>
      </w:r>
      <w:r w:rsidRPr="008912CF">
        <w:rPr>
          <w:sz w:val="22"/>
          <w:szCs w:val="22"/>
        </w:rPr>
        <w:t xml:space="preserve"> são ligeiros a moderados. No entanto, alguns podem ser graves e requerer tratamento. Podem ocorrer efeitos </w:t>
      </w:r>
      <w:r w:rsidR="00571C82">
        <w:rPr>
          <w:sz w:val="22"/>
          <w:szCs w:val="22"/>
        </w:rPr>
        <w:t>indesejáveis</w:t>
      </w:r>
      <w:r w:rsidRPr="008912CF">
        <w:rPr>
          <w:sz w:val="22"/>
          <w:szCs w:val="22"/>
        </w:rPr>
        <w:t xml:space="preserve"> pelo menos até 4 meses após a última injeção de Humira. </w:t>
      </w:r>
    </w:p>
    <w:p w14:paraId="16C35E6B" w14:textId="77777777" w:rsidR="008D4B8F" w:rsidRPr="008912CF" w:rsidRDefault="008D4B8F" w:rsidP="008D4B8F">
      <w:pPr>
        <w:rPr>
          <w:sz w:val="22"/>
          <w:szCs w:val="22"/>
        </w:rPr>
      </w:pPr>
    </w:p>
    <w:p w14:paraId="6009F3A7" w14:textId="77777777" w:rsidR="008D4B8F" w:rsidRPr="00CF00A8" w:rsidRDefault="00615769" w:rsidP="00421DAF">
      <w:pPr>
        <w:keepNext/>
        <w:rPr>
          <w:b/>
          <w:sz w:val="22"/>
          <w:szCs w:val="22"/>
        </w:rPr>
      </w:pPr>
      <w:r w:rsidRPr="00CF00A8">
        <w:rPr>
          <w:b/>
          <w:sz w:val="22"/>
          <w:szCs w:val="22"/>
        </w:rPr>
        <w:t>Informe imediatamente o seu médico se tiv</w:t>
      </w:r>
      <w:r w:rsidR="00BD02F4" w:rsidRPr="00CF00A8">
        <w:rPr>
          <w:b/>
          <w:sz w:val="22"/>
          <w:szCs w:val="22"/>
        </w:rPr>
        <w:t>er algum dos seguintes sintomas</w:t>
      </w:r>
    </w:p>
    <w:p w14:paraId="78D54420" w14:textId="77777777" w:rsidR="008D4B8F" w:rsidRPr="008912CF" w:rsidRDefault="008D4B8F" w:rsidP="00421DAF">
      <w:pPr>
        <w:keepNext/>
        <w:rPr>
          <w:sz w:val="22"/>
          <w:szCs w:val="22"/>
        </w:rPr>
      </w:pPr>
    </w:p>
    <w:p w14:paraId="28A3867F" w14:textId="77777777" w:rsidR="008D4B8F" w:rsidRPr="008912CF" w:rsidRDefault="00615769" w:rsidP="00421DAF">
      <w:pPr>
        <w:keepNext/>
        <w:numPr>
          <w:ilvl w:val="1"/>
          <w:numId w:val="36"/>
        </w:numPr>
        <w:tabs>
          <w:tab w:val="num" w:pos="1440"/>
        </w:tabs>
        <w:rPr>
          <w:sz w:val="22"/>
          <w:szCs w:val="22"/>
        </w:rPr>
      </w:pPr>
      <w:r>
        <w:rPr>
          <w:sz w:val="22"/>
          <w:szCs w:val="22"/>
        </w:rPr>
        <w:t>p</w:t>
      </w:r>
      <w:r w:rsidRPr="008912CF">
        <w:rPr>
          <w:sz w:val="22"/>
          <w:szCs w:val="22"/>
        </w:rPr>
        <w:t>ele muito irritada, comichão ou outros sinais de reação alérgica</w:t>
      </w:r>
    </w:p>
    <w:p w14:paraId="246B8E2E" w14:textId="77777777" w:rsidR="008D4B8F" w:rsidRPr="008912CF" w:rsidRDefault="00615769" w:rsidP="008D4B8F">
      <w:pPr>
        <w:numPr>
          <w:ilvl w:val="0"/>
          <w:numId w:val="37"/>
        </w:numPr>
        <w:rPr>
          <w:sz w:val="22"/>
          <w:szCs w:val="22"/>
        </w:rPr>
      </w:pPr>
      <w:r>
        <w:rPr>
          <w:sz w:val="22"/>
          <w:szCs w:val="22"/>
        </w:rPr>
        <w:t>i</w:t>
      </w:r>
      <w:r w:rsidRPr="008912CF">
        <w:rPr>
          <w:sz w:val="22"/>
          <w:szCs w:val="22"/>
        </w:rPr>
        <w:t xml:space="preserve">nchaço da face, mãos, pés </w:t>
      </w:r>
    </w:p>
    <w:p w14:paraId="4D3A3E98" w14:textId="77777777" w:rsidR="008D4B8F" w:rsidRPr="008912CF" w:rsidRDefault="00615769" w:rsidP="008D4B8F">
      <w:pPr>
        <w:numPr>
          <w:ilvl w:val="0"/>
          <w:numId w:val="38"/>
        </w:numPr>
        <w:rPr>
          <w:sz w:val="22"/>
          <w:szCs w:val="22"/>
        </w:rPr>
      </w:pPr>
      <w:r>
        <w:rPr>
          <w:sz w:val="22"/>
          <w:szCs w:val="22"/>
        </w:rPr>
        <w:t>d</w:t>
      </w:r>
      <w:r w:rsidRPr="008912CF">
        <w:rPr>
          <w:sz w:val="22"/>
          <w:szCs w:val="22"/>
        </w:rPr>
        <w:t>ificuldades em respirar, em engolir</w:t>
      </w:r>
    </w:p>
    <w:p w14:paraId="4E803CC9" w14:textId="77777777" w:rsidR="008D4B8F" w:rsidRPr="008912CF" w:rsidRDefault="00615769" w:rsidP="008D4B8F">
      <w:pPr>
        <w:numPr>
          <w:ilvl w:val="0"/>
          <w:numId w:val="38"/>
        </w:numPr>
        <w:rPr>
          <w:sz w:val="22"/>
          <w:szCs w:val="22"/>
          <w:u w:val="single"/>
        </w:rPr>
      </w:pPr>
      <w:r>
        <w:rPr>
          <w:sz w:val="22"/>
          <w:szCs w:val="22"/>
        </w:rPr>
        <w:t>f</w:t>
      </w:r>
      <w:r w:rsidRPr="008912CF">
        <w:rPr>
          <w:sz w:val="22"/>
          <w:szCs w:val="22"/>
        </w:rPr>
        <w:t>alta de ar durante o esforço ou quando deitado ou inchaço dos pés</w:t>
      </w:r>
    </w:p>
    <w:p w14:paraId="28A8D69E" w14:textId="77777777" w:rsidR="008D4B8F" w:rsidRPr="008912CF" w:rsidRDefault="008D4B8F" w:rsidP="008D4B8F">
      <w:pPr>
        <w:rPr>
          <w:sz w:val="22"/>
          <w:szCs w:val="22"/>
          <w:u w:val="single"/>
        </w:rPr>
      </w:pPr>
    </w:p>
    <w:p w14:paraId="703E3EF1" w14:textId="77777777" w:rsidR="008D4B8F" w:rsidRPr="00CF00A8" w:rsidRDefault="00615769" w:rsidP="008D4B8F">
      <w:pPr>
        <w:rPr>
          <w:b/>
          <w:sz w:val="22"/>
          <w:szCs w:val="22"/>
        </w:rPr>
      </w:pPr>
      <w:r w:rsidRPr="00CF00A8">
        <w:rPr>
          <w:b/>
          <w:sz w:val="22"/>
          <w:szCs w:val="22"/>
        </w:rPr>
        <w:t>Informe imediatamente o seu médico se tiver algum do</w:t>
      </w:r>
      <w:r w:rsidR="00BD02F4" w:rsidRPr="00CF00A8">
        <w:rPr>
          <w:b/>
          <w:sz w:val="22"/>
          <w:szCs w:val="22"/>
        </w:rPr>
        <w:t xml:space="preserve">s seguintes efeitos </w:t>
      </w:r>
      <w:r w:rsidR="00571C82">
        <w:rPr>
          <w:b/>
          <w:sz w:val="22"/>
          <w:szCs w:val="22"/>
        </w:rPr>
        <w:t>indesejáveis</w:t>
      </w:r>
    </w:p>
    <w:p w14:paraId="1F0191B3" w14:textId="77777777" w:rsidR="008D4B8F" w:rsidRPr="008912CF" w:rsidRDefault="008D4B8F" w:rsidP="008D4B8F">
      <w:pPr>
        <w:rPr>
          <w:sz w:val="22"/>
          <w:szCs w:val="22"/>
        </w:rPr>
      </w:pPr>
    </w:p>
    <w:p w14:paraId="1A3F341B" w14:textId="77777777" w:rsidR="008D4B8F" w:rsidRPr="008912CF" w:rsidRDefault="00615769" w:rsidP="008D4B8F">
      <w:pPr>
        <w:numPr>
          <w:ilvl w:val="1"/>
          <w:numId w:val="38"/>
        </w:numPr>
        <w:tabs>
          <w:tab w:val="left" w:pos="993"/>
        </w:tabs>
        <w:rPr>
          <w:sz w:val="22"/>
          <w:szCs w:val="22"/>
        </w:rPr>
      </w:pPr>
      <w:r>
        <w:rPr>
          <w:sz w:val="22"/>
          <w:szCs w:val="22"/>
        </w:rPr>
        <w:t>s</w:t>
      </w:r>
      <w:r w:rsidRPr="008912CF">
        <w:rPr>
          <w:sz w:val="22"/>
          <w:szCs w:val="22"/>
        </w:rPr>
        <w:t>inais de infeção tais como febre, má disposição, feridas, problemas dentários ou sensação de ardor ao urinar</w:t>
      </w:r>
    </w:p>
    <w:p w14:paraId="05BEAC81" w14:textId="77777777" w:rsidR="008D4B8F" w:rsidRPr="008912CF" w:rsidRDefault="00615769" w:rsidP="008D4B8F">
      <w:pPr>
        <w:numPr>
          <w:ilvl w:val="1"/>
          <w:numId w:val="38"/>
        </w:numPr>
        <w:tabs>
          <w:tab w:val="left" w:pos="993"/>
        </w:tabs>
        <w:rPr>
          <w:sz w:val="22"/>
          <w:szCs w:val="22"/>
        </w:rPr>
      </w:pPr>
      <w:r>
        <w:rPr>
          <w:sz w:val="22"/>
          <w:szCs w:val="22"/>
        </w:rPr>
        <w:t>s</w:t>
      </w:r>
      <w:r w:rsidRPr="008912CF">
        <w:rPr>
          <w:sz w:val="22"/>
          <w:szCs w:val="22"/>
        </w:rPr>
        <w:t>ensação de fraqueza ou cansaço</w:t>
      </w:r>
    </w:p>
    <w:p w14:paraId="7EEC8948" w14:textId="77777777" w:rsidR="008D4B8F" w:rsidRPr="008912CF" w:rsidRDefault="00615769" w:rsidP="008D4B8F">
      <w:pPr>
        <w:numPr>
          <w:ilvl w:val="1"/>
          <w:numId w:val="38"/>
        </w:numPr>
        <w:tabs>
          <w:tab w:val="left" w:pos="993"/>
        </w:tabs>
        <w:rPr>
          <w:sz w:val="22"/>
          <w:szCs w:val="22"/>
        </w:rPr>
      </w:pPr>
      <w:r>
        <w:rPr>
          <w:sz w:val="22"/>
          <w:szCs w:val="22"/>
        </w:rPr>
        <w:t>t</w:t>
      </w:r>
      <w:r w:rsidRPr="008912CF">
        <w:rPr>
          <w:sz w:val="22"/>
          <w:szCs w:val="22"/>
        </w:rPr>
        <w:t>osse</w:t>
      </w:r>
    </w:p>
    <w:p w14:paraId="535B86BE" w14:textId="77777777" w:rsidR="008D4B8F" w:rsidRPr="008912CF" w:rsidRDefault="00615769" w:rsidP="008D4B8F">
      <w:pPr>
        <w:numPr>
          <w:ilvl w:val="1"/>
          <w:numId w:val="38"/>
        </w:numPr>
        <w:tabs>
          <w:tab w:val="left" w:pos="993"/>
        </w:tabs>
        <w:rPr>
          <w:sz w:val="22"/>
          <w:szCs w:val="22"/>
        </w:rPr>
      </w:pPr>
      <w:r>
        <w:rPr>
          <w:sz w:val="22"/>
          <w:szCs w:val="22"/>
        </w:rPr>
        <w:t>f</w:t>
      </w:r>
      <w:r w:rsidRPr="008912CF">
        <w:rPr>
          <w:sz w:val="22"/>
          <w:szCs w:val="22"/>
        </w:rPr>
        <w:t>ormigueiro</w:t>
      </w:r>
    </w:p>
    <w:p w14:paraId="794CFCF7" w14:textId="77777777" w:rsidR="008D4B8F" w:rsidRPr="008912CF" w:rsidRDefault="00615769" w:rsidP="008D4B8F">
      <w:pPr>
        <w:numPr>
          <w:ilvl w:val="1"/>
          <w:numId w:val="38"/>
        </w:numPr>
        <w:tabs>
          <w:tab w:val="left" w:pos="993"/>
        </w:tabs>
        <w:rPr>
          <w:sz w:val="22"/>
          <w:szCs w:val="22"/>
        </w:rPr>
      </w:pPr>
      <w:r>
        <w:rPr>
          <w:sz w:val="22"/>
          <w:szCs w:val="22"/>
        </w:rPr>
        <w:t>d</w:t>
      </w:r>
      <w:r w:rsidRPr="008912CF">
        <w:rPr>
          <w:sz w:val="22"/>
          <w:szCs w:val="22"/>
        </w:rPr>
        <w:t>ormência</w:t>
      </w:r>
    </w:p>
    <w:p w14:paraId="199176AF" w14:textId="77777777" w:rsidR="008D4B8F" w:rsidRPr="008912CF" w:rsidRDefault="00615769" w:rsidP="008D4B8F">
      <w:pPr>
        <w:numPr>
          <w:ilvl w:val="1"/>
          <w:numId w:val="38"/>
        </w:numPr>
        <w:tabs>
          <w:tab w:val="left" w:pos="993"/>
        </w:tabs>
        <w:rPr>
          <w:sz w:val="22"/>
          <w:szCs w:val="22"/>
        </w:rPr>
      </w:pPr>
      <w:r>
        <w:rPr>
          <w:sz w:val="22"/>
          <w:szCs w:val="22"/>
        </w:rPr>
        <w:t>v</w:t>
      </w:r>
      <w:r w:rsidRPr="008912CF">
        <w:rPr>
          <w:sz w:val="22"/>
          <w:szCs w:val="22"/>
        </w:rPr>
        <w:t xml:space="preserve">isão dupla </w:t>
      </w:r>
    </w:p>
    <w:p w14:paraId="7C82E13A" w14:textId="77777777" w:rsidR="008D4B8F" w:rsidRPr="008912CF" w:rsidRDefault="00615769" w:rsidP="008D4B8F">
      <w:pPr>
        <w:numPr>
          <w:ilvl w:val="1"/>
          <w:numId w:val="38"/>
        </w:numPr>
        <w:tabs>
          <w:tab w:val="left" w:pos="993"/>
        </w:tabs>
        <w:rPr>
          <w:sz w:val="22"/>
          <w:szCs w:val="22"/>
        </w:rPr>
      </w:pPr>
      <w:r>
        <w:rPr>
          <w:sz w:val="22"/>
          <w:szCs w:val="22"/>
        </w:rPr>
        <w:t>s</w:t>
      </w:r>
      <w:r w:rsidRPr="008912CF">
        <w:rPr>
          <w:sz w:val="22"/>
          <w:szCs w:val="22"/>
        </w:rPr>
        <w:t>ensação de fraqueza nos braços ou pernas</w:t>
      </w:r>
    </w:p>
    <w:p w14:paraId="44075D1D" w14:textId="77777777" w:rsidR="008D4B8F" w:rsidRPr="008912CF" w:rsidRDefault="00615769" w:rsidP="008D4B8F">
      <w:pPr>
        <w:numPr>
          <w:ilvl w:val="1"/>
          <w:numId w:val="38"/>
        </w:numPr>
        <w:tabs>
          <w:tab w:val="left" w:pos="993"/>
        </w:tabs>
        <w:rPr>
          <w:sz w:val="22"/>
          <w:szCs w:val="22"/>
        </w:rPr>
      </w:pPr>
      <w:r>
        <w:rPr>
          <w:color w:val="000000"/>
          <w:sz w:val="22"/>
          <w:szCs w:val="22"/>
        </w:rPr>
        <w:t>i</w:t>
      </w:r>
      <w:r w:rsidRPr="008912CF">
        <w:rPr>
          <w:color w:val="000000"/>
          <w:sz w:val="22"/>
          <w:szCs w:val="22"/>
        </w:rPr>
        <w:t>nchaço ou ferida aberta que não cicatriza</w:t>
      </w:r>
    </w:p>
    <w:p w14:paraId="698C02DD" w14:textId="77777777" w:rsidR="008D4B8F" w:rsidRPr="008912CF" w:rsidRDefault="00615769" w:rsidP="008D4B8F">
      <w:pPr>
        <w:numPr>
          <w:ilvl w:val="1"/>
          <w:numId w:val="38"/>
        </w:numPr>
        <w:tabs>
          <w:tab w:val="left" w:pos="993"/>
        </w:tabs>
        <w:rPr>
          <w:sz w:val="22"/>
          <w:szCs w:val="22"/>
        </w:rPr>
      </w:pPr>
      <w:r>
        <w:rPr>
          <w:sz w:val="22"/>
          <w:szCs w:val="22"/>
        </w:rPr>
        <w:t>s</w:t>
      </w:r>
      <w:r w:rsidRPr="008912CF">
        <w:rPr>
          <w:sz w:val="22"/>
          <w:szCs w:val="22"/>
        </w:rPr>
        <w:t>inais ou sintomas sugestivos de alterações sanguíneas tais como febre persistente, nódoas negras, hemorragias, palidez</w:t>
      </w:r>
    </w:p>
    <w:p w14:paraId="3B56D69D" w14:textId="77777777" w:rsidR="008D4B8F" w:rsidRPr="008912CF" w:rsidRDefault="008D4B8F" w:rsidP="008D4B8F">
      <w:pPr>
        <w:rPr>
          <w:sz w:val="22"/>
          <w:szCs w:val="22"/>
        </w:rPr>
      </w:pPr>
    </w:p>
    <w:p w14:paraId="0D742852" w14:textId="77777777" w:rsidR="008D4B8F" w:rsidRPr="008912CF" w:rsidRDefault="00615769" w:rsidP="008D4B8F">
      <w:pPr>
        <w:rPr>
          <w:sz w:val="22"/>
          <w:szCs w:val="22"/>
        </w:rPr>
      </w:pPr>
      <w:r w:rsidRPr="008912CF">
        <w:rPr>
          <w:sz w:val="22"/>
          <w:szCs w:val="22"/>
        </w:rPr>
        <w:t xml:space="preserve">Os sintomas descritos acima podem ser sinais dos efeitos </w:t>
      </w:r>
      <w:r w:rsidR="00571C82">
        <w:rPr>
          <w:sz w:val="22"/>
          <w:szCs w:val="22"/>
        </w:rPr>
        <w:t>indesejáveis</w:t>
      </w:r>
      <w:r w:rsidRPr="008912CF">
        <w:rPr>
          <w:sz w:val="22"/>
          <w:szCs w:val="22"/>
        </w:rPr>
        <w:t xml:space="preserve"> descritos a seguir e que foram observados com Humira</w:t>
      </w:r>
      <w:r w:rsidR="00E72CB7">
        <w:rPr>
          <w:sz w:val="22"/>
          <w:szCs w:val="22"/>
        </w:rPr>
        <w:t>.</w:t>
      </w:r>
    </w:p>
    <w:p w14:paraId="3C3B78C1" w14:textId="77777777" w:rsidR="008D4B8F" w:rsidRPr="008912CF" w:rsidRDefault="008D4B8F" w:rsidP="008D4B8F">
      <w:pPr>
        <w:rPr>
          <w:sz w:val="22"/>
          <w:szCs w:val="22"/>
        </w:rPr>
      </w:pPr>
    </w:p>
    <w:p w14:paraId="509448F9" w14:textId="77777777" w:rsidR="008D4B8F" w:rsidRPr="008912CF" w:rsidRDefault="00615769" w:rsidP="008D4B8F">
      <w:pPr>
        <w:rPr>
          <w:sz w:val="22"/>
          <w:szCs w:val="22"/>
        </w:rPr>
      </w:pPr>
      <w:r w:rsidRPr="00CF00A8">
        <w:rPr>
          <w:b/>
          <w:sz w:val="22"/>
          <w:szCs w:val="22"/>
        </w:rPr>
        <w:t>Muito frequentes</w:t>
      </w:r>
      <w:r w:rsidRPr="008912CF">
        <w:rPr>
          <w:sz w:val="22"/>
          <w:szCs w:val="22"/>
        </w:rPr>
        <w:t xml:space="preserve"> (podem afetar mais de 1 em 10 pessoas)</w:t>
      </w:r>
    </w:p>
    <w:p w14:paraId="63C04F86" w14:textId="77777777" w:rsidR="008D4B8F" w:rsidRPr="008912CF" w:rsidRDefault="008D4B8F" w:rsidP="008D4B8F">
      <w:pPr>
        <w:rPr>
          <w:sz w:val="22"/>
          <w:szCs w:val="22"/>
        </w:rPr>
      </w:pPr>
    </w:p>
    <w:p w14:paraId="63B7A410"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reações no local da injeção (incluindo dor, inchaço, vermelhidão ou comichão)</w:t>
      </w:r>
    </w:p>
    <w:p w14:paraId="171DF898"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infeções do trato respiratório (incluindo constipação, nariz a pingar, infeção sinusal, pneumonia)</w:t>
      </w:r>
    </w:p>
    <w:p w14:paraId="73D69F94"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dor de cabeça</w:t>
      </w:r>
    </w:p>
    <w:p w14:paraId="0BB4F218"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dor abdominal</w:t>
      </w:r>
    </w:p>
    <w:p w14:paraId="37B849FA"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náuseas e vómitos</w:t>
      </w:r>
    </w:p>
    <w:p w14:paraId="33FACBB2"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erupção cutânea</w:t>
      </w:r>
    </w:p>
    <w:p w14:paraId="37653744"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dor musculoesquelética</w:t>
      </w:r>
    </w:p>
    <w:p w14:paraId="4106101B" w14:textId="77777777" w:rsidR="008D4B8F" w:rsidRPr="008912CF" w:rsidRDefault="008D4B8F" w:rsidP="008D4B8F">
      <w:pPr>
        <w:tabs>
          <w:tab w:val="left" w:pos="600"/>
        </w:tabs>
        <w:ind w:left="600" w:hanging="600"/>
        <w:rPr>
          <w:sz w:val="22"/>
          <w:szCs w:val="22"/>
        </w:rPr>
      </w:pPr>
    </w:p>
    <w:p w14:paraId="20A4C4EF" w14:textId="77777777" w:rsidR="008D4B8F" w:rsidRPr="008912CF" w:rsidRDefault="00615769" w:rsidP="008D4B8F">
      <w:pPr>
        <w:tabs>
          <w:tab w:val="left" w:pos="600"/>
        </w:tabs>
        <w:ind w:left="600" w:hanging="600"/>
        <w:rPr>
          <w:sz w:val="22"/>
          <w:szCs w:val="22"/>
        </w:rPr>
      </w:pPr>
      <w:r w:rsidRPr="00CF00A8">
        <w:rPr>
          <w:b/>
          <w:sz w:val="22"/>
          <w:szCs w:val="22"/>
        </w:rPr>
        <w:t>Frequentes</w:t>
      </w:r>
      <w:r w:rsidRPr="008912CF">
        <w:rPr>
          <w:sz w:val="22"/>
          <w:szCs w:val="22"/>
        </w:rPr>
        <w:t xml:space="preserve"> (podem afetar até 1 em 10 pessoas)</w:t>
      </w:r>
    </w:p>
    <w:p w14:paraId="6C23D897" w14:textId="77777777" w:rsidR="008D4B8F" w:rsidRPr="008912CF" w:rsidRDefault="008D4B8F" w:rsidP="008D4B8F">
      <w:pPr>
        <w:tabs>
          <w:tab w:val="left" w:pos="600"/>
        </w:tabs>
        <w:ind w:left="600" w:hanging="600"/>
        <w:rPr>
          <w:sz w:val="22"/>
          <w:szCs w:val="22"/>
        </w:rPr>
      </w:pPr>
    </w:p>
    <w:p w14:paraId="36391BE8"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infeções graves (incluindo envenenamento do sangue e gripe)</w:t>
      </w:r>
    </w:p>
    <w:p w14:paraId="47F06148" w14:textId="77777777" w:rsidR="006D79D1" w:rsidRDefault="00615769" w:rsidP="008D4B8F">
      <w:pPr>
        <w:numPr>
          <w:ilvl w:val="0"/>
          <w:numId w:val="67"/>
        </w:numPr>
        <w:tabs>
          <w:tab w:val="clear" w:pos="284"/>
          <w:tab w:val="left" w:pos="600"/>
        </w:tabs>
        <w:ind w:left="600" w:hanging="600"/>
        <w:rPr>
          <w:sz w:val="22"/>
          <w:szCs w:val="22"/>
        </w:rPr>
      </w:pPr>
      <w:r>
        <w:rPr>
          <w:sz w:val="22"/>
          <w:szCs w:val="22"/>
        </w:rPr>
        <w:t>infeções intestinais (incluindo gastroenterite)</w:t>
      </w:r>
    </w:p>
    <w:p w14:paraId="6BD0E45D"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infeções da pele (incluindo celulite e zona)</w:t>
      </w:r>
    </w:p>
    <w:p w14:paraId="47D5C27D"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 xml:space="preserve">infeções </w:t>
      </w:r>
      <w:r>
        <w:rPr>
          <w:sz w:val="22"/>
          <w:szCs w:val="22"/>
        </w:rPr>
        <w:t>dos ouvidos</w:t>
      </w:r>
    </w:p>
    <w:p w14:paraId="6E93153E"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infeções orais (incluindo infeções dentárias e constipações)</w:t>
      </w:r>
    </w:p>
    <w:p w14:paraId="1BA2D194"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infeções do sistema reprodutor</w:t>
      </w:r>
    </w:p>
    <w:p w14:paraId="504EDD87"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infeção do trato urinário</w:t>
      </w:r>
    </w:p>
    <w:p w14:paraId="7C9557CF"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infeções fúngicas</w:t>
      </w:r>
    </w:p>
    <w:p w14:paraId="0856A341"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 xml:space="preserve">infeções </w:t>
      </w:r>
      <w:r>
        <w:rPr>
          <w:sz w:val="22"/>
          <w:szCs w:val="22"/>
        </w:rPr>
        <w:t>das articulações</w:t>
      </w:r>
    </w:p>
    <w:p w14:paraId="7EC19C3F"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tumores benignos</w:t>
      </w:r>
    </w:p>
    <w:p w14:paraId="64942075"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cancro da pele</w:t>
      </w:r>
    </w:p>
    <w:p w14:paraId="21AE2736"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reações alérgicas (incluindo alergia sazonal)</w:t>
      </w:r>
    </w:p>
    <w:p w14:paraId="3122FC03"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desidratação</w:t>
      </w:r>
    </w:p>
    <w:p w14:paraId="262ADE2D"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alterações do humor (incluindo depressão)</w:t>
      </w:r>
    </w:p>
    <w:p w14:paraId="559A2B14"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ansiedade</w:t>
      </w:r>
    </w:p>
    <w:p w14:paraId="16738A17"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dificuldade em adormecer</w:t>
      </w:r>
    </w:p>
    <w:p w14:paraId="69855671"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alterações neurológicas tais como prurido, comichão ou dormência</w:t>
      </w:r>
    </w:p>
    <w:p w14:paraId="3B520ED5"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enxaqueca</w:t>
      </w:r>
    </w:p>
    <w:p w14:paraId="560FDCCA"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compressão da raiz nervosa (incluindo dor lombar e dor nas pernas)</w:t>
      </w:r>
    </w:p>
    <w:p w14:paraId="3996224D"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alterações da visão</w:t>
      </w:r>
    </w:p>
    <w:p w14:paraId="4FAEB38C"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inflamação dos olhos</w:t>
      </w:r>
    </w:p>
    <w:p w14:paraId="7C2AD7F3"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inflamação das pálpebras e inchaço d</w:t>
      </w:r>
      <w:r w:rsidR="0095297D">
        <w:rPr>
          <w:sz w:val="22"/>
          <w:szCs w:val="22"/>
        </w:rPr>
        <w:t>os</w:t>
      </w:r>
      <w:r w:rsidRPr="008912CF">
        <w:rPr>
          <w:sz w:val="22"/>
          <w:szCs w:val="22"/>
        </w:rPr>
        <w:t xml:space="preserve"> olhos</w:t>
      </w:r>
    </w:p>
    <w:p w14:paraId="12AB7A2B"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vertige</w:t>
      </w:r>
      <w:r w:rsidR="00C706AB">
        <w:rPr>
          <w:sz w:val="22"/>
          <w:szCs w:val="22"/>
        </w:rPr>
        <w:t>m (</w:t>
      </w:r>
      <w:r w:rsidR="00C706AB" w:rsidRPr="008B0DDF">
        <w:rPr>
          <w:sz w:val="22"/>
          <w:szCs w:val="22"/>
        </w:rPr>
        <w:t>sensação de tontura ou movimento</w:t>
      </w:r>
      <w:r w:rsidR="00C706AB">
        <w:rPr>
          <w:sz w:val="22"/>
          <w:szCs w:val="22"/>
        </w:rPr>
        <w:t>)</w:t>
      </w:r>
    </w:p>
    <w:p w14:paraId="577A84E2"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sensação de batimento cardíaco rápido</w:t>
      </w:r>
    </w:p>
    <w:p w14:paraId="1248B3F6" w14:textId="77777777" w:rsidR="008D4B8F" w:rsidRPr="008912CF" w:rsidRDefault="00615769" w:rsidP="008D4B8F">
      <w:pPr>
        <w:numPr>
          <w:ilvl w:val="0"/>
          <w:numId w:val="67"/>
        </w:numPr>
        <w:tabs>
          <w:tab w:val="clear" w:pos="284"/>
          <w:tab w:val="left" w:pos="600"/>
        </w:tabs>
        <w:ind w:left="600" w:hanging="600"/>
        <w:rPr>
          <w:sz w:val="22"/>
          <w:szCs w:val="22"/>
        </w:rPr>
      </w:pPr>
      <w:r>
        <w:rPr>
          <w:sz w:val="22"/>
          <w:szCs w:val="22"/>
        </w:rPr>
        <w:t>tensão</w:t>
      </w:r>
      <w:r w:rsidRPr="008912CF">
        <w:rPr>
          <w:sz w:val="22"/>
          <w:szCs w:val="22"/>
        </w:rPr>
        <w:t xml:space="preserve"> arterial alta</w:t>
      </w:r>
    </w:p>
    <w:p w14:paraId="0A2CA063" w14:textId="77777777" w:rsidR="008D4B8F" w:rsidRPr="008912CF" w:rsidRDefault="00615769" w:rsidP="008D4B8F">
      <w:pPr>
        <w:numPr>
          <w:ilvl w:val="0"/>
          <w:numId w:val="67"/>
        </w:numPr>
        <w:tabs>
          <w:tab w:val="clear" w:pos="284"/>
          <w:tab w:val="left" w:pos="600"/>
        </w:tabs>
        <w:ind w:left="600" w:hanging="600"/>
        <w:rPr>
          <w:sz w:val="22"/>
          <w:szCs w:val="22"/>
        </w:rPr>
      </w:pPr>
      <w:r>
        <w:rPr>
          <w:sz w:val="22"/>
          <w:szCs w:val="22"/>
        </w:rPr>
        <w:t>vermelhidão</w:t>
      </w:r>
    </w:p>
    <w:p w14:paraId="6D11BC65"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hematoma</w:t>
      </w:r>
      <w:r w:rsidR="002A7154">
        <w:rPr>
          <w:sz w:val="22"/>
          <w:szCs w:val="22"/>
        </w:rPr>
        <w:t xml:space="preserve"> </w:t>
      </w:r>
      <w:r w:rsidR="002A7154" w:rsidRPr="002A7154">
        <w:rPr>
          <w:sz w:val="22"/>
          <w:szCs w:val="22"/>
        </w:rPr>
        <w:t>(</w:t>
      </w:r>
      <w:r w:rsidR="002A7154" w:rsidRPr="00F03C54">
        <w:rPr>
          <w:sz w:val="22"/>
          <w:szCs w:val="22"/>
        </w:rPr>
        <w:t>concentração de sangue fora dos vasos sanguíneos)</w:t>
      </w:r>
    </w:p>
    <w:p w14:paraId="5C756500"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tosse</w:t>
      </w:r>
    </w:p>
    <w:p w14:paraId="1EB0AA03"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asma</w:t>
      </w:r>
    </w:p>
    <w:p w14:paraId="7A76F5F9"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dificuldade em respirar</w:t>
      </w:r>
    </w:p>
    <w:p w14:paraId="40C75D33"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hemorragia gastrointestinal</w:t>
      </w:r>
    </w:p>
    <w:p w14:paraId="3B4F3E3A"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dispepsia (indigestão, inchaço, azia)</w:t>
      </w:r>
    </w:p>
    <w:p w14:paraId="6A130299" w14:textId="77777777" w:rsidR="008D4B8F" w:rsidRPr="008912CF" w:rsidRDefault="00615769" w:rsidP="008D4B8F">
      <w:pPr>
        <w:numPr>
          <w:ilvl w:val="0"/>
          <w:numId w:val="67"/>
        </w:numPr>
        <w:tabs>
          <w:tab w:val="clear" w:pos="284"/>
          <w:tab w:val="left" w:pos="600"/>
        </w:tabs>
        <w:ind w:left="600" w:hanging="600"/>
        <w:rPr>
          <w:sz w:val="22"/>
          <w:szCs w:val="22"/>
        </w:rPr>
      </w:pPr>
      <w:r w:rsidRPr="008912CF">
        <w:rPr>
          <w:sz w:val="22"/>
          <w:szCs w:val="22"/>
        </w:rPr>
        <w:t>doença de refluxo</w:t>
      </w:r>
    </w:p>
    <w:p w14:paraId="76578504" w14:textId="77777777" w:rsidR="008D4B8F" w:rsidRPr="008912CF" w:rsidRDefault="00615769" w:rsidP="008D4B8F">
      <w:pPr>
        <w:numPr>
          <w:ilvl w:val="0"/>
          <w:numId w:val="67"/>
        </w:numPr>
        <w:tabs>
          <w:tab w:val="clear" w:pos="284"/>
          <w:tab w:val="num" w:pos="600"/>
        </w:tabs>
        <w:ind w:hanging="567"/>
        <w:rPr>
          <w:sz w:val="22"/>
          <w:szCs w:val="22"/>
        </w:rPr>
      </w:pPr>
      <w:r w:rsidRPr="008912CF">
        <w:rPr>
          <w:sz w:val="22"/>
          <w:szCs w:val="22"/>
        </w:rPr>
        <w:t>síndrome de sicca (incluindo olhos e boca seca)</w:t>
      </w:r>
    </w:p>
    <w:p w14:paraId="1696D7B4" w14:textId="77777777" w:rsidR="008D4B8F" w:rsidRPr="008912CF" w:rsidRDefault="00615769" w:rsidP="008D4B8F">
      <w:pPr>
        <w:numPr>
          <w:ilvl w:val="0"/>
          <w:numId w:val="67"/>
        </w:numPr>
        <w:tabs>
          <w:tab w:val="clear" w:pos="284"/>
          <w:tab w:val="num" w:pos="600"/>
        </w:tabs>
        <w:ind w:hanging="567"/>
        <w:rPr>
          <w:sz w:val="22"/>
          <w:szCs w:val="22"/>
        </w:rPr>
      </w:pPr>
      <w:r w:rsidRPr="008912CF">
        <w:rPr>
          <w:sz w:val="22"/>
          <w:szCs w:val="22"/>
        </w:rPr>
        <w:t>comichão</w:t>
      </w:r>
    </w:p>
    <w:p w14:paraId="33DDC193" w14:textId="77777777" w:rsidR="008D4B8F" w:rsidRPr="008912CF" w:rsidRDefault="00615769" w:rsidP="008D4B8F">
      <w:pPr>
        <w:numPr>
          <w:ilvl w:val="0"/>
          <w:numId w:val="67"/>
        </w:numPr>
        <w:tabs>
          <w:tab w:val="clear" w:pos="284"/>
          <w:tab w:val="num" w:pos="600"/>
        </w:tabs>
        <w:ind w:hanging="567"/>
        <w:rPr>
          <w:sz w:val="22"/>
          <w:szCs w:val="22"/>
        </w:rPr>
      </w:pPr>
      <w:r w:rsidRPr="008912CF">
        <w:rPr>
          <w:sz w:val="22"/>
          <w:szCs w:val="22"/>
        </w:rPr>
        <w:t>erupção da pele com comichão</w:t>
      </w:r>
    </w:p>
    <w:p w14:paraId="5D57EC2F" w14:textId="77777777" w:rsidR="008D4B8F" w:rsidRPr="008912CF" w:rsidRDefault="00615769" w:rsidP="008D4B8F">
      <w:pPr>
        <w:numPr>
          <w:ilvl w:val="0"/>
          <w:numId w:val="67"/>
        </w:numPr>
        <w:tabs>
          <w:tab w:val="clear" w:pos="284"/>
          <w:tab w:val="num" w:pos="600"/>
        </w:tabs>
        <w:ind w:hanging="567"/>
        <w:rPr>
          <w:sz w:val="22"/>
          <w:szCs w:val="22"/>
        </w:rPr>
      </w:pPr>
      <w:r w:rsidRPr="008912CF">
        <w:rPr>
          <w:sz w:val="22"/>
          <w:szCs w:val="22"/>
        </w:rPr>
        <w:t>nódoas negras</w:t>
      </w:r>
    </w:p>
    <w:p w14:paraId="110CA15E" w14:textId="77777777" w:rsidR="008D4B8F" w:rsidRPr="008912CF" w:rsidRDefault="00615769" w:rsidP="008D4B8F">
      <w:pPr>
        <w:numPr>
          <w:ilvl w:val="0"/>
          <w:numId w:val="67"/>
        </w:numPr>
        <w:tabs>
          <w:tab w:val="clear" w:pos="284"/>
          <w:tab w:val="num" w:pos="600"/>
        </w:tabs>
        <w:ind w:hanging="567"/>
        <w:rPr>
          <w:sz w:val="22"/>
          <w:szCs w:val="22"/>
        </w:rPr>
      </w:pPr>
      <w:r w:rsidRPr="008912CF">
        <w:rPr>
          <w:sz w:val="22"/>
          <w:szCs w:val="22"/>
        </w:rPr>
        <w:t>inflamação da pele (tais como eczema)</w:t>
      </w:r>
    </w:p>
    <w:p w14:paraId="2C9741E8" w14:textId="77777777" w:rsidR="008D4B8F" w:rsidRPr="008912CF" w:rsidRDefault="00615769" w:rsidP="008D4B8F">
      <w:pPr>
        <w:numPr>
          <w:ilvl w:val="0"/>
          <w:numId w:val="67"/>
        </w:numPr>
        <w:tabs>
          <w:tab w:val="clear" w:pos="284"/>
          <w:tab w:val="num" w:pos="600"/>
        </w:tabs>
        <w:ind w:hanging="567"/>
        <w:rPr>
          <w:sz w:val="22"/>
          <w:szCs w:val="22"/>
        </w:rPr>
      </w:pPr>
      <w:r w:rsidRPr="008912CF">
        <w:rPr>
          <w:sz w:val="22"/>
          <w:szCs w:val="22"/>
        </w:rPr>
        <w:t>unhas das mãos e dos pés quebradiças</w:t>
      </w:r>
    </w:p>
    <w:p w14:paraId="41C821F2" w14:textId="77777777" w:rsidR="008D4B8F" w:rsidRPr="008912CF" w:rsidRDefault="00615769" w:rsidP="008D4B8F">
      <w:pPr>
        <w:numPr>
          <w:ilvl w:val="0"/>
          <w:numId w:val="67"/>
        </w:numPr>
        <w:tabs>
          <w:tab w:val="clear" w:pos="284"/>
          <w:tab w:val="num" w:pos="600"/>
        </w:tabs>
        <w:ind w:hanging="567"/>
        <w:rPr>
          <w:sz w:val="22"/>
          <w:szCs w:val="22"/>
        </w:rPr>
      </w:pPr>
      <w:r w:rsidRPr="008912CF">
        <w:rPr>
          <w:sz w:val="22"/>
          <w:szCs w:val="22"/>
        </w:rPr>
        <w:t>aumento de suor</w:t>
      </w:r>
    </w:p>
    <w:p w14:paraId="35CB1163" w14:textId="77777777" w:rsidR="008D4B8F" w:rsidRPr="008912CF" w:rsidRDefault="00615769" w:rsidP="008D4B8F">
      <w:pPr>
        <w:numPr>
          <w:ilvl w:val="0"/>
          <w:numId w:val="67"/>
        </w:numPr>
        <w:tabs>
          <w:tab w:val="clear" w:pos="284"/>
          <w:tab w:val="num" w:pos="600"/>
        </w:tabs>
        <w:ind w:hanging="567"/>
        <w:rPr>
          <w:sz w:val="22"/>
          <w:szCs w:val="22"/>
        </w:rPr>
      </w:pPr>
      <w:r w:rsidRPr="008912CF">
        <w:rPr>
          <w:sz w:val="22"/>
          <w:szCs w:val="22"/>
        </w:rPr>
        <w:t>perda de cabelo</w:t>
      </w:r>
    </w:p>
    <w:p w14:paraId="4A66DFF3" w14:textId="77777777" w:rsidR="008D4B8F" w:rsidRPr="008912CF" w:rsidRDefault="00615769" w:rsidP="008D4B8F">
      <w:pPr>
        <w:numPr>
          <w:ilvl w:val="0"/>
          <w:numId w:val="67"/>
        </w:numPr>
        <w:tabs>
          <w:tab w:val="clear" w:pos="284"/>
          <w:tab w:val="num" w:pos="600"/>
        </w:tabs>
        <w:ind w:hanging="567"/>
        <w:rPr>
          <w:sz w:val="22"/>
          <w:szCs w:val="22"/>
        </w:rPr>
      </w:pPr>
      <w:r w:rsidRPr="008912CF">
        <w:rPr>
          <w:sz w:val="22"/>
          <w:szCs w:val="22"/>
        </w:rPr>
        <w:t>início ou agravamento da psoríase</w:t>
      </w:r>
    </w:p>
    <w:p w14:paraId="67AA5713" w14:textId="77777777" w:rsidR="008D4B8F" w:rsidRPr="008912CF" w:rsidRDefault="00615769" w:rsidP="008D4B8F">
      <w:pPr>
        <w:numPr>
          <w:ilvl w:val="0"/>
          <w:numId w:val="67"/>
        </w:numPr>
        <w:tabs>
          <w:tab w:val="clear" w:pos="284"/>
          <w:tab w:val="num" w:pos="600"/>
        </w:tabs>
        <w:ind w:hanging="567"/>
        <w:rPr>
          <w:sz w:val="22"/>
          <w:szCs w:val="22"/>
        </w:rPr>
      </w:pPr>
      <w:r w:rsidRPr="008912CF">
        <w:rPr>
          <w:sz w:val="22"/>
          <w:szCs w:val="22"/>
        </w:rPr>
        <w:t>espasmos musculares</w:t>
      </w:r>
    </w:p>
    <w:p w14:paraId="0CDB6007" w14:textId="77777777" w:rsidR="008D4B8F" w:rsidRPr="008912CF" w:rsidRDefault="00615769" w:rsidP="008D4B8F">
      <w:pPr>
        <w:numPr>
          <w:ilvl w:val="0"/>
          <w:numId w:val="67"/>
        </w:numPr>
        <w:tabs>
          <w:tab w:val="clear" w:pos="284"/>
          <w:tab w:val="num" w:pos="600"/>
        </w:tabs>
        <w:ind w:hanging="567"/>
        <w:rPr>
          <w:sz w:val="22"/>
          <w:szCs w:val="22"/>
        </w:rPr>
      </w:pPr>
      <w:r w:rsidRPr="008912CF">
        <w:rPr>
          <w:sz w:val="22"/>
          <w:szCs w:val="22"/>
        </w:rPr>
        <w:t>sangue na urina</w:t>
      </w:r>
    </w:p>
    <w:p w14:paraId="56FFA424" w14:textId="77777777" w:rsidR="008D4B8F" w:rsidRPr="008912CF" w:rsidRDefault="00615769" w:rsidP="008D4B8F">
      <w:pPr>
        <w:numPr>
          <w:ilvl w:val="0"/>
          <w:numId w:val="67"/>
        </w:numPr>
        <w:tabs>
          <w:tab w:val="clear" w:pos="284"/>
          <w:tab w:val="num" w:pos="600"/>
        </w:tabs>
        <w:ind w:hanging="567"/>
        <w:rPr>
          <w:sz w:val="22"/>
          <w:szCs w:val="22"/>
        </w:rPr>
      </w:pPr>
      <w:r w:rsidRPr="008912CF">
        <w:rPr>
          <w:sz w:val="22"/>
          <w:szCs w:val="22"/>
        </w:rPr>
        <w:t>perturbações renais</w:t>
      </w:r>
    </w:p>
    <w:p w14:paraId="2848CA61" w14:textId="77777777" w:rsidR="008D4B8F" w:rsidRPr="008912CF" w:rsidRDefault="00615769" w:rsidP="008D4B8F">
      <w:pPr>
        <w:numPr>
          <w:ilvl w:val="0"/>
          <w:numId w:val="67"/>
        </w:numPr>
        <w:tabs>
          <w:tab w:val="clear" w:pos="284"/>
          <w:tab w:val="num" w:pos="600"/>
        </w:tabs>
        <w:ind w:hanging="567"/>
        <w:rPr>
          <w:sz w:val="22"/>
          <w:szCs w:val="22"/>
        </w:rPr>
      </w:pPr>
      <w:r w:rsidRPr="008912CF">
        <w:rPr>
          <w:sz w:val="22"/>
          <w:szCs w:val="22"/>
        </w:rPr>
        <w:t>dor no peito</w:t>
      </w:r>
    </w:p>
    <w:p w14:paraId="0B88A1CA" w14:textId="77777777" w:rsidR="008D4B8F" w:rsidRPr="008912CF" w:rsidRDefault="00615769" w:rsidP="008D4B8F">
      <w:pPr>
        <w:numPr>
          <w:ilvl w:val="0"/>
          <w:numId w:val="67"/>
        </w:numPr>
        <w:tabs>
          <w:tab w:val="clear" w:pos="284"/>
          <w:tab w:val="num" w:pos="600"/>
        </w:tabs>
        <w:ind w:hanging="567"/>
        <w:rPr>
          <w:sz w:val="22"/>
          <w:szCs w:val="22"/>
        </w:rPr>
      </w:pPr>
      <w:r>
        <w:rPr>
          <w:sz w:val="22"/>
          <w:szCs w:val="22"/>
        </w:rPr>
        <w:t>edema (</w:t>
      </w:r>
      <w:r w:rsidRPr="008912CF">
        <w:rPr>
          <w:sz w:val="22"/>
          <w:szCs w:val="22"/>
        </w:rPr>
        <w:t>inchaço</w:t>
      </w:r>
      <w:r>
        <w:rPr>
          <w:sz w:val="22"/>
          <w:szCs w:val="22"/>
        </w:rPr>
        <w:t>)</w:t>
      </w:r>
    </w:p>
    <w:p w14:paraId="13B37EDA" w14:textId="77777777" w:rsidR="008D4B8F" w:rsidRPr="008912CF" w:rsidRDefault="00615769" w:rsidP="008D4B8F">
      <w:pPr>
        <w:numPr>
          <w:ilvl w:val="0"/>
          <w:numId w:val="67"/>
        </w:numPr>
        <w:tabs>
          <w:tab w:val="clear" w:pos="284"/>
          <w:tab w:val="num" w:pos="600"/>
        </w:tabs>
        <w:ind w:hanging="567"/>
        <w:rPr>
          <w:sz w:val="22"/>
          <w:szCs w:val="22"/>
        </w:rPr>
      </w:pPr>
      <w:r w:rsidRPr="008912CF">
        <w:rPr>
          <w:sz w:val="22"/>
          <w:szCs w:val="22"/>
        </w:rPr>
        <w:t>febre</w:t>
      </w:r>
    </w:p>
    <w:p w14:paraId="68163B13" w14:textId="77777777" w:rsidR="008D4B8F" w:rsidRPr="008912CF" w:rsidRDefault="00615769" w:rsidP="008D4B8F">
      <w:pPr>
        <w:numPr>
          <w:ilvl w:val="0"/>
          <w:numId w:val="67"/>
        </w:numPr>
        <w:tabs>
          <w:tab w:val="clear" w:pos="284"/>
          <w:tab w:val="num" w:pos="600"/>
        </w:tabs>
        <w:ind w:hanging="567"/>
        <w:rPr>
          <w:sz w:val="22"/>
          <w:szCs w:val="22"/>
        </w:rPr>
      </w:pPr>
      <w:r w:rsidRPr="008912CF">
        <w:rPr>
          <w:sz w:val="22"/>
          <w:szCs w:val="22"/>
        </w:rPr>
        <w:t>redução nas plaquetas sanguíneas aumentando o risco de hemorragia ou de nódoas negras</w:t>
      </w:r>
    </w:p>
    <w:p w14:paraId="37E5257D" w14:textId="77777777" w:rsidR="008D4B8F" w:rsidRPr="008912CF" w:rsidRDefault="00615769" w:rsidP="008D4B8F">
      <w:pPr>
        <w:numPr>
          <w:ilvl w:val="0"/>
          <w:numId w:val="67"/>
        </w:numPr>
        <w:tabs>
          <w:tab w:val="clear" w:pos="284"/>
          <w:tab w:val="num" w:pos="600"/>
        </w:tabs>
        <w:ind w:hanging="567"/>
        <w:rPr>
          <w:sz w:val="22"/>
          <w:szCs w:val="22"/>
        </w:rPr>
      </w:pPr>
      <w:r w:rsidRPr="008912CF">
        <w:rPr>
          <w:sz w:val="22"/>
          <w:szCs w:val="22"/>
        </w:rPr>
        <w:t>alteração de cicatrização</w:t>
      </w:r>
    </w:p>
    <w:p w14:paraId="6CDC013A" w14:textId="77777777" w:rsidR="008D4B8F" w:rsidRPr="008912CF" w:rsidRDefault="008D4B8F" w:rsidP="008D4B8F">
      <w:pPr>
        <w:tabs>
          <w:tab w:val="num" w:pos="600"/>
        </w:tabs>
        <w:ind w:hanging="567"/>
        <w:rPr>
          <w:sz w:val="22"/>
          <w:szCs w:val="22"/>
        </w:rPr>
      </w:pPr>
    </w:p>
    <w:p w14:paraId="4F27FF96" w14:textId="77777777" w:rsidR="008D4B8F" w:rsidRPr="008912CF" w:rsidRDefault="00615769" w:rsidP="00907F74">
      <w:pPr>
        <w:pStyle w:val="BodyText2"/>
        <w:tabs>
          <w:tab w:val="num" w:pos="600"/>
        </w:tabs>
        <w:autoSpaceDE/>
        <w:autoSpaceDN/>
        <w:adjustRightInd/>
        <w:rPr>
          <w:szCs w:val="22"/>
        </w:rPr>
      </w:pPr>
      <w:r w:rsidRPr="00CF00A8">
        <w:rPr>
          <w:b/>
          <w:szCs w:val="22"/>
        </w:rPr>
        <w:t>Pouco frequentes</w:t>
      </w:r>
      <w:r w:rsidRPr="008912CF">
        <w:rPr>
          <w:szCs w:val="22"/>
        </w:rPr>
        <w:t xml:space="preserve"> (podem afetar até 1 em 100 pessoas)</w:t>
      </w:r>
    </w:p>
    <w:p w14:paraId="4C84FE86" w14:textId="77777777" w:rsidR="008D4B8F" w:rsidRPr="008912CF" w:rsidRDefault="008D4B8F" w:rsidP="00907F74">
      <w:pPr>
        <w:pStyle w:val="BodyText2"/>
        <w:tabs>
          <w:tab w:val="num" w:pos="600"/>
        </w:tabs>
        <w:autoSpaceDE/>
        <w:autoSpaceDN/>
        <w:adjustRightInd/>
        <w:rPr>
          <w:szCs w:val="22"/>
        </w:rPr>
      </w:pPr>
    </w:p>
    <w:p w14:paraId="25253D23" w14:textId="77777777" w:rsidR="008D4B8F" w:rsidRPr="008912CF" w:rsidRDefault="00615769" w:rsidP="00907F74">
      <w:pPr>
        <w:numPr>
          <w:ilvl w:val="0"/>
          <w:numId w:val="68"/>
        </w:numPr>
        <w:tabs>
          <w:tab w:val="clear" w:pos="283"/>
          <w:tab w:val="num" w:pos="600"/>
        </w:tabs>
        <w:ind w:left="568" w:hanging="567"/>
        <w:rPr>
          <w:sz w:val="22"/>
          <w:szCs w:val="22"/>
        </w:rPr>
      </w:pPr>
      <w:r w:rsidRPr="008912CF">
        <w:rPr>
          <w:sz w:val="22"/>
          <w:szCs w:val="22"/>
        </w:rPr>
        <w:t>infeções oportunistas (as quais incluem tuberculose e outras infeções que ocorrem quando a resistência à doença está diminuída)</w:t>
      </w:r>
    </w:p>
    <w:p w14:paraId="20A7351E" w14:textId="77777777" w:rsidR="008D4B8F" w:rsidRPr="008912CF" w:rsidRDefault="00615769" w:rsidP="00907F74">
      <w:pPr>
        <w:numPr>
          <w:ilvl w:val="0"/>
          <w:numId w:val="68"/>
        </w:numPr>
        <w:tabs>
          <w:tab w:val="clear" w:pos="283"/>
          <w:tab w:val="num" w:pos="600"/>
        </w:tabs>
        <w:ind w:left="568" w:hanging="567"/>
        <w:rPr>
          <w:sz w:val="22"/>
          <w:szCs w:val="22"/>
        </w:rPr>
      </w:pPr>
      <w:r w:rsidRPr="008912CF">
        <w:rPr>
          <w:sz w:val="22"/>
          <w:szCs w:val="22"/>
        </w:rPr>
        <w:t>infeções neurológicas (incluindo meningite viral)</w:t>
      </w:r>
    </w:p>
    <w:p w14:paraId="49AD8BBA" w14:textId="77777777" w:rsidR="008D4B8F" w:rsidRPr="008912CF" w:rsidRDefault="00615769" w:rsidP="00907F74">
      <w:pPr>
        <w:numPr>
          <w:ilvl w:val="0"/>
          <w:numId w:val="68"/>
        </w:numPr>
        <w:tabs>
          <w:tab w:val="clear" w:pos="283"/>
          <w:tab w:val="num" w:pos="600"/>
        </w:tabs>
        <w:ind w:left="568" w:hanging="567"/>
        <w:rPr>
          <w:sz w:val="22"/>
          <w:szCs w:val="22"/>
        </w:rPr>
      </w:pPr>
      <w:r w:rsidRPr="008912CF">
        <w:rPr>
          <w:sz w:val="22"/>
          <w:szCs w:val="22"/>
        </w:rPr>
        <w:t>infeções oculares</w:t>
      </w:r>
    </w:p>
    <w:p w14:paraId="21D63185"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infeções bacterianas</w:t>
      </w:r>
    </w:p>
    <w:p w14:paraId="313671B7"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diverticulite (inflamação e infeção do intestino grosso)</w:t>
      </w:r>
    </w:p>
    <w:p w14:paraId="10B54E61"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cancro</w:t>
      </w:r>
    </w:p>
    <w:p w14:paraId="168C8B00"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cancro que afeta o sistema linfático</w:t>
      </w:r>
    </w:p>
    <w:p w14:paraId="28BD357A"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melanoma</w:t>
      </w:r>
    </w:p>
    <w:p w14:paraId="7DB93ED1"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perturbações do sistema imunitário que podem afetar os pulmões, pele e gânglios linfáticos (apresentando-se mais frequentemente como sarcoidose)</w:t>
      </w:r>
    </w:p>
    <w:p w14:paraId="46ABCC4A"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vasculite (inflamação dos vasos sanguíneos)</w:t>
      </w:r>
    </w:p>
    <w:p w14:paraId="47C9102B"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tremor</w:t>
      </w:r>
    </w:p>
    <w:p w14:paraId="077E20EF" w14:textId="77777777" w:rsidR="006D79D1" w:rsidRDefault="00615769" w:rsidP="00907F74">
      <w:pPr>
        <w:numPr>
          <w:ilvl w:val="0"/>
          <w:numId w:val="68"/>
        </w:numPr>
        <w:tabs>
          <w:tab w:val="clear" w:pos="283"/>
          <w:tab w:val="num" w:pos="600"/>
        </w:tabs>
        <w:ind w:hanging="567"/>
        <w:rPr>
          <w:sz w:val="22"/>
          <w:szCs w:val="22"/>
        </w:rPr>
      </w:pPr>
      <w:r w:rsidRPr="008912CF">
        <w:rPr>
          <w:sz w:val="22"/>
          <w:szCs w:val="22"/>
        </w:rPr>
        <w:t xml:space="preserve">neuropatia </w:t>
      </w:r>
      <w:r>
        <w:rPr>
          <w:sz w:val="22"/>
          <w:szCs w:val="22"/>
        </w:rPr>
        <w:t>(doença dos nervos)</w:t>
      </w:r>
    </w:p>
    <w:p w14:paraId="0CC2261A"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AVC</w:t>
      </w:r>
    </w:p>
    <w:p w14:paraId="0F3C6C8B"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perda de audição, zumbido</w:t>
      </w:r>
    </w:p>
    <w:p w14:paraId="1C1CD3B6"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sensação de batimento irregular do coração tal como palpitações</w:t>
      </w:r>
    </w:p>
    <w:p w14:paraId="18F29DF9"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problemas no coração que podem causar falta de ar ou inchaço nos tornozelos</w:t>
      </w:r>
    </w:p>
    <w:p w14:paraId="2EA31D6B"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ataque cardíaco</w:t>
      </w:r>
    </w:p>
    <w:p w14:paraId="42AC620B" w14:textId="77777777" w:rsidR="008D4B8F" w:rsidRPr="008912CF" w:rsidRDefault="00615769" w:rsidP="00907F74">
      <w:pPr>
        <w:numPr>
          <w:ilvl w:val="0"/>
          <w:numId w:val="68"/>
        </w:numPr>
        <w:tabs>
          <w:tab w:val="clear" w:pos="283"/>
          <w:tab w:val="num" w:pos="600"/>
        </w:tabs>
        <w:ind w:hanging="566"/>
        <w:rPr>
          <w:sz w:val="22"/>
          <w:szCs w:val="22"/>
        </w:rPr>
      </w:pPr>
      <w:r w:rsidRPr="008912CF">
        <w:rPr>
          <w:sz w:val="22"/>
          <w:szCs w:val="22"/>
        </w:rPr>
        <w:t>quisto na parede de uma artéria maior, inflamação e coágulo de uma veia, bloqueio de um vaso sanguíneo</w:t>
      </w:r>
    </w:p>
    <w:p w14:paraId="6A3A2778"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doenças pulmonares causando falta de ar (incluindo inflamação)</w:t>
      </w:r>
    </w:p>
    <w:p w14:paraId="540920E0"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emboli</w:t>
      </w:r>
      <w:r w:rsidR="003E3AA9">
        <w:rPr>
          <w:sz w:val="22"/>
          <w:szCs w:val="22"/>
        </w:rPr>
        <w:t>a</w:t>
      </w:r>
      <w:r w:rsidRPr="008912CF">
        <w:rPr>
          <w:sz w:val="22"/>
          <w:szCs w:val="22"/>
        </w:rPr>
        <w:t xml:space="preserve"> pulmonar (bloqueio de uma artéria no pulmão)</w:t>
      </w:r>
    </w:p>
    <w:p w14:paraId="7D3F1BFF"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derrame pleural (acumulação anormal de líquido no espaço pleural)</w:t>
      </w:r>
    </w:p>
    <w:p w14:paraId="7921F1AE"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inflamação do pâncreas que causa dor grave no abdómen e costas</w:t>
      </w:r>
    </w:p>
    <w:p w14:paraId="26419DB8"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dificuldade em engolir</w:t>
      </w:r>
    </w:p>
    <w:p w14:paraId="3E4C58E9"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edema facial</w:t>
      </w:r>
      <w:r w:rsidR="006D79D1">
        <w:rPr>
          <w:sz w:val="22"/>
          <w:szCs w:val="22"/>
        </w:rPr>
        <w:t xml:space="preserve"> </w:t>
      </w:r>
      <w:r w:rsidR="00F3002E">
        <w:rPr>
          <w:sz w:val="22"/>
          <w:szCs w:val="22"/>
        </w:rPr>
        <w:t>(</w:t>
      </w:r>
      <w:r w:rsidR="006D79D1">
        <w:rPr>
          <w:sz w:val="22"/>
          <w:szCs w:val="22"/>
        </w:rPr>
        <w:t>inchaço do rosto)</w:t>
      </w:r>
    </w:p>
    <w:p w14:paraId="11FBBDE9"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inflamação da vesícula, pedra na vesícula</w:t>
      </w:r>
    </w:p>
    <w:p w14:paraId="01B15044"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fígado gordo</w:t>
      </w:r>
    </w:p>
    <w:p w14:paraId="0A60F229"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suores noturnos</w:t>
      </w:r>
    </w:p>
    <w:p w14:paraId="4436BDE1"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escaras</w:t>
      </w:r>
    </w:p>
    <w:p w14:paraId="031F26F1"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colapso muscular anormal</w:t>
      </w:r>
    </w:p>
    <w:p w14:paraId="5D25974F" w14:textId="77777777" w:rsidR="008D4B8F" w:rsidRPr="008912CF" w:rsidRDefault="00615769" w:rsidP="00907F74">
      <w:pPr>
        <w:numPr>
          <w:ilvl w:val="0"/>
          <w:numId w:val="68"/>
        </w:numPr>
        <w:tabs>
          <w:tab w:val="clear" w:pos="283"/>
          <w:tab w:val="num" w:pos="600"/>
        </w:tabs>
        <w:ind w:hanging="567"/>
        <w:rPr>
          <w:sz w:val="22"/>
          <w:szCs w:val="22"/>
        </w:rPr>
      </w:pPr>
      <w:r w:rsidRPr="008912CF">
        <w:rPr>
          <w:sz w:val="22"/>
          <w:szCs w:val="22"/>
        </w:rPr>
        <w:t>lúpus eritematoso sistémico (incluindo inflamação da pele, coração, pulmão, articulações e outros sistemas de órgãos)</w:t>
      </w:r>
    </w:p>
    <w:p w14:paraId="062A8E8B" w14:textId="77777777" w:rsidR="008D4B8F" w:rsidRPr="008912CF" w:rsidRDefault="00615769" w:rsidP="008D4B8F">
      <w:pPr>
        <w:keepNext/>
        <w:numPr>
          <w:ilvl w:val="0"/>
          <w:numId w:val="68"/>
        </w:numPr>
        <w:tabs>
          <w:tab w:val="clear" w:pos="283"/>
          <w:tab w:val="num" w:pos="600"/>
        </w:tabs>
        <w:ind w:hanging="567"/>
        <w:rPr>
          <w:sz w:val="22"/>
          <w:szCs w:val="22"/>
        </w:rPr>
      </w:pPr>
      <w:r w:rsidRPr="008912CF">
        <w:rPr>
          <w:sz w:val="22"/>
          <w:szCs w:val="22"/>
        </w:rPr>
        <w:t>interrupções de sono</w:t>
      </w:r>
    </w:p>
    <w:p w14:paraId="29AB10A3" w14:textId="77777777" w:rsidR="008D4B8F" w:rsidRPr="008912CF" w:rsidRDefault="00615769" w:rsidP="008D4B8F">
      <w:pPr>
        <w:keepNext/>
        <w:numPr>
          <w:ilvl w:val="0"/>
          <w:numId w:val="68"/>
        </w:numPr>
        <w:tabs>
          <w:tab w:val="clear" w:pos="283"/>
          <w:tab w:val="num" w:pos="600"/>
        </w:tabs>
        <w:ind w:hanging="567"/>
        <w:rPr>
          <w:sz w:val="22"/>
          <w:szCs w:val="22"/>
        </w:rPr>
      </w:pPr>
      <w:r w:rsidRPr="008912CF">
        <w:rPr>
          <w:sz w:val="22"/>
          <w:szCs w:val="22"/>
        </w:rPr>
        <w:t>impotência</w:t>
      </w:r>
    </w:p>
    <w:p w14:paraId="22AA0227" w14:textId="77777777" w:rsidR="008D4B8F" w:rsidRPr="008912CF" w:rsidRDefault="00615769" w:rsidP="008D4B8F">
      <w:pPr>
        <w:keepNext/>
        <w:numPr>
          <w:ilvl w:val="0"/>
          <w:numId w:val="68"/>
        </w:numPr>
        <w:tabs>
          <w:tab w:val="clear" w:pos="283"/>
          <w:tab w:val="num" w:pos="600"/>
        </w:tabs>
        <w:ind w:hanging="567"/>
        <w:rPr>
          <w:sz w:val="22"/>
          <w:szCs w:val="22"/>
        </w:rPr>
      </w:pPr>
      <w:r w:rsidRPr="008912CF">
        <w:rPr>
          <w:sz w:val="22"/>
          <w:szCs w:val="22"/>
        </w:rPr>
        <w:t>inflamações</w:t>
      </w:r>
    </w:p>
    <w:p w14:paraId="6F2149D6" w14:textId="77777777" w:rsidR="008D4B8F" w:rsidRPr="008912CF" w:rsidRDefault="008D4B8F" w:rsidP="008D4B8F">
      <w:pPr>
        <w:ind w:left="-1"/>
        <w:rPr>
          <w:sz w:val="22"/>
          <w:szCs w:val="22"/>
        </w:rPr>
      </w:pPr>
    </w:p>
    <w:p w14:paraId="6B1A955E" w14:textId="77777777" w:rsidR="008D4B8F" w:rsidRPr="008912CF" w:rsidRDefault="00615769" w:rsidP="008D4B8F">
      <w:pPr>
        <w:pStyle w:val="BodyText2"/>
        <w:autoSpaceDE/>
        <w:autoSpaceDN/>
        <w:adjustRightInd/>
        <w:rPr>
          <w:szCs w:val="22"/>
        </w:rPr>
      </w:pPr>
      <w:r w:rsidRPr="00F03C54">
        <w:rPr>
          <w:b/>
          <w:szCs w:val="22"/>
        </w:rPr>
        <w:t>Raros</w:t>
      </w:r>
      <w:r w:rsidRPr="008912CF">
        <w:rPr>
          <w:szCs w:val="22"/>
        </w:rPr>
        <w:t xml:space="preserve"> (podem afetar até 1 em 1.000 pessoas)</w:t>
      </w:r>
    </w:p>
    <w:p w14:paraId="75E13673" w14:textId="77777777" w:rsidR="008D4B8F" w:rsidRPr="008912CF" w:rsidRDefault="008D4B8F" w:rsidP="008D4B8F">
      <w:pPr>
        <w:pStyle w:val="BodyText2"/>
        <w:autoSpaceDE/>
        <w:autoSpaceDN/>
        <w:adjustRightInd/>
        <w:rPr>
          <w:szCs w:val="22"/>
        </w:rPr>
      </w:pPr>
    </w:p>
    <w:p w14:paraId="5BF2CAFE" w14:textId="77777777" w:rsidR="008D4B8F" w:rsidRPr="008912CF" w:rsidRDefault="00615769" w:rsidP="00166A51">
      <w:pPr>
        <w:numPr>
          <w:ilvl w:val="0"/>
          <w:numId w:val="68"/>
        </w:numPr>
        <w:tabs>
          <w:tab w:val="clear" w:pos="283"/>
          <w:tab w:val="num" w:pos="600"/>
        </w:tabs>
        <w:ind w:hanging="567"/>
        <w:rPr>
          <w:sz w:val="22"/>
          <w:szCs w:val="22"/>
        </w:rPr>
      </w:pPr>
      <w:r w:rsidRPr="008912CF">
        <w:rPr>
          <w:sz w:val="22"/>
          <w:szCs w:val="22"/>
        </w:rPr>
        <w:t>leucemia (cancro que afeta o sangue e a medula óssea)</w:t>
      </w:r>
    </w:p>
    <w:p w14:paraId="0C625DCD" w14:textId="77777777" w:rsidR="008D4B8F" w:rsidRPr="008912CF" w:rsidRDefault="00615769" w:rsidP="00166A51">
      <w:pPr>
        <w:numPr>
          <w:ilvl w:val="0"/>
          <w:numId w:val="68"/>
        </w:numPr>
        <w:tabs>
          <w:tab w:val="clear" w:pos="283"/>
          <w:tab w:val="num" w:pos="600"/>
        </w:tabs>
        <w:ind w:hanging="567"/>
        <w:rPr>
          <w:sz w:val="22"/>
          <w:szCs w:val="22"/>
        </w:rPr>
      </w:pPr>
      <w:r w:rsidRPr="008912CF">
        <w:rPr>
          <w:sz w:val="22"/>
          <w:szCs w:val="22"/>
        </w:rPr>
        <w:t>reação alérgica grave com choque</w:t>
      </w:r>
    </w:p>
    <w:p w14:paraId="34B527B0" w14:textId="77777777" w:rsidR="008D4B8F" w:rsidRPr="008912CF" w:rsidRDefault="00615769" w:rsidP="00166A51">
      <w:pPr>
        <w:numPr>
          <w:ilvl w:val="0"/>
          <w:numId w:val="68"/>
        </w:numPr>
        <w:tabs>
          <w:tab w:val="clear" w:pos="283"/>
          <w:tab w:val="num" w:pos="600"/>
        </w:tabs>
        <w:ind w:hanging="567"/>
        <w:rPr>
          <w:sz w:val="22"/>
          <w:szCs w:val="22"/>
        </w:rPr>
      </w:pPr>
      <w:r w:rsidRPr="008912CF">
        <w:rPr>
          <w:sz w:val="22"/>
          <w:szCs w:val="22"/>
        </w:rPr>
        <w:t>esclerose múltipla</w:t>
      </w:r>
    </w:p>
    <w:p w14:paraId="24C056D8" w14:textId="77777777" w:rsidR="008D4B8F" w:rsidRPr="008912CF" w:rsidRDefault="00615769" w:rsidP="00166A51">
      <w:pPr>
        <w:numPr>
          <w:ilvl w:val="0"/>
          <w:numId w:val="68"/>
        </w:numPr>
        <w:tabs>
          <w:tab w:val="clear" w:pos="283"/>
          <w:tab w:val="num" w:pos="600"/>
        </w:tabs>
        <w:ind w:hanging="567"/>
        <w:rPr>
          <w:sz w:val="22"/>
          <w:szCs w:val="22"/>
        </w:rPr>
      </w:pPr>
      <w:r w:rsidRPr="008912CF">
        <w:rPr>
          <w:sz w:val="22"/>
          <w:szCs w:val="22"/>
        </w:rPr>
        <w:t>alterações neurológicas (tais como inflamação do nervo ocular e síndrome de Guillain-Barré que pode causar fraqueza muscular, sensações anormais, formigueiro nos braços e na parte superior do corpo)</w:t>
      </w:r>
    </w:p>
    <w:p w14:paraId="01D05006" w14:textId="77777777" w:rsidR="008D4B8F" w:rsidRPr="008912CF" w:rsidRDefault="00615769" w:rsidP="00166A51">
      <w:pPr>
        <w:numPr>
          <w:ilvl w:val="0"/>
          <w:numId w:val="68"/>
        </w:numPr>
        <w:tabs>
          <w:tab w:val="clear" w:pos="283"/>
          <w:tab w:val="num" w:pos="600"/>
        </w:tabs>
        <w:ind w:hanging="567"/>
        <w:rPr>
          <w:sz w:val="22"/>
          <w:szCs w:val="22"/>
        </w:rPr>
      </w:pPr>
      <w:r w:rsidRPr="008912CF">
        <w:rPr>
          <w:sz w:val="22"/>
          <w:szCs w:val="22"/>
        </w:rPr>
        <w:t>o coração deixa de bombear</w:t>
      </w:r>
    </w:p>
    <w:p w14:paraId="2F9AA875" w14:textId="77777777" w:rsidR="008D4B8F" w:rsidRPr="008912CF" w:rsidRDefault="00615769" w:rsidP="00166A51">
      <w:pPr>
        <w:numPr>
          <w:ilvl w:val="0"/>
          <w:numId w:val="68"/>
        </w:numPr>
        <w:tabs>
          <w:tab w:val="clear" w:pos="283"/>
          <w:tab w:val="num" w:pos="600"/>
        </w:tabs>
        <w:ind w:hanging="567"/>
        <w:rPr>
          <w:sz w:val="22"/>
          <w:szCs w:val="22"/>
        </w:rPr>
      </w:pPr>
      <w:r w:rsidRPr="008912CF">
        <w:rPr>
          <w:sz w:val="22"/>
          <w:szCs w:val="22"/>
        </w:rPr>
        <w:t>fibrose pulmonar (cicatrizes no pulmão)</w:t>
      </w:r>
    </w:p>
    <w:p w14:paraId="5B3D65C6" w14:textId="77777777" w:rsidR="008D4B8F" w:rsidRPr="008912CF" w:rsidRDefault="00615769" w:rsidP="00166A51">
      <w:pPr>
        <w:numPr>
          <w:ilvl w:val="0"/>
          <w:numId w:val="68"/>
        </w:numPr>
        <w:tabs>
          <w:tab w:val="clear" w:pos="283"/>
          <w:tab w:val="num" w:pos="600"/>
        </w:tabs>
        <w:ind w:hanging="567"/>
        <w:rPr>
          <w:sz w:val="22"/>
          <w:szCs w:val="22"/>
        </w:rPr>
      </w:pPr>
      <w:r w:rsidRPr="008912CF">
        <w:rPr>
          <w:sz w:val="22"/>
          <w:szCs w:val="22"/>
        </w:rPr>
        <w:t>perfuração intestinal</w:t>
      </w:r>
    </w:p>
    <w:p w14:paraId="5D764288" w14:textId="77777777" w:rsidR="008D4B8F" w:rsidRPr="008912CF" w:rsidRDefault="00615769" w:rsidP="00166A51">
      <w:pPr>
        <w:numPr>
          <w:ilvl w:val="0"/>
          <w:numId w:val="68"/>
        </w:numPr>
        <w:tabs>
          <w:tab w:val="clear" w:pos="283"/>
          <w:tab w:val="num" w:pos="600"/>
        </w:tabs>
        <w:ind w:hanging="567"/>
        <w:rPr>
          <w:sz w:val="22"/>
          <w:szCs w:val="22"/>
        </w:rPr>
      </w:pPr>
      <w:r w:rsidRPr="008912CF">
        <w:rPr>
          <w:sz w:val="22"/>
          <w:szCs w:val="22"/>
        </w:rPr>
        <w:t>hepatite</w:t>
      </w:r>
    </w:p>
    <w:p w14:paraId="1CE340F0" w14:textId="77777777" w:rsidR="008D4B8F" w:rsidRPr="008912CF" w:rsidRDefault="00615769" w:rsidP="00166A51">
      <w:pPr>
        <w:numPr>
          <w:ilvl w:val="0"/>
          <w:numId w:val="68"/>
        </w:numPr>
        <w:tabs>
          <w:tab w:val="clear" w:pos="283"/>
          <w:tab w:val="num" w:pos="600"/>
        </w:tabs>
        <w:ind w:hanging="567"/>
        <w:rPr>
          <w:sz w:val="22"/>
          <w:szCs w:val="22"/>
        </w:rPr>
      </w:pPr>
      <w:r w:rsidRPr="008912CF">
        <w:rPr>
          <w:sz w:val="22"/>
          <w:szCs w:val="22"/>
        </w:rPr>
        <w:t>reativação da hepatite B</w:t>
      </w:r>
    </w:p>
    <w:p w14:paraId="553EEF62" w14:textId="77777777" w:rsidR="008D4B8F" w:rsidRPr="00166A51" w:rsidRDefault="00615769" w:rsidP="00166A51">
      <w:pPr>
        <w:numPr>
          <w:ilvl w:val="0"/>
          <w:numId w:val="68"/>
        </w:numPr>
        <w:tabs>
          <w:tab w:val="clear" w:pos="283"/>
          <w:tab w:val="num" w:pos="600"/>
        </w:tabs>
        <w:ind w:hanging="567"/>
        <w:rPr>
          <w:sz w:val="22"/>
          <w:szCs w:val="22"/>
        </w:rPr>
      </w:pPr>
      <w:r w:rsidRPr="00166A51">
        <w:rPr>
          <w:sz w:val="22"/>
          <w:szCs w:val="22"/>
        </w:rPr>
        <w:t>hepatite autoimune (inflamação do fígado causada pelo próprio sistema imunitário do corpo)</w:t>
      </w:r>
    </w:p>
    <w:p w14:paraId="6A726548" w14:textId="77777777" w:rsidR="008D4B8F" w:rsidRPr="008912CF" w:rsidRDefault="00615769" w:rsidP="00166A51">
      <w:pPr>
        <w:numPr>
          <w:ilvl w:val="0"/>
          <w:numId w:val="68"/>
        </w:numPr>
        <w:tabs>
          <w:tab w:val="clear" w:pos="283"/>
          <w:tab w:val="num" w:pos="600"/>
        </w:tabs>
        <w:ind w:hanging="567"/>
        <w:rPr>
          <w:sz w:val="22"/>
          <w:szCs w:val="22"/>
        </w:rPr>
      </w:pPr>
      <w:r w:rsidRPr="008912CF">
        <w:rPr>
          <w:sz w:val="22"/>
          <w:szCs w:val="22"/>
        </w:rPr>
        <w:t>vasculite cutânea (inflamação dos vasos sanguíneos da pele)</w:t>
      </w:r>
    </w:p>
    <w:p w14:paraId="41A45D76" w14:textId="77777777" w:rsidR="008D4B8F" w:rsidRPr="008912CF" w:rsidRDefault="00615769" w:rsidP="00166A51">
      <w:pPr>
        <w:numPr>
          <w:ilvl w:val="0"/>
          <w:numId w:val="68"/>
        </w:numPr>
        <w:tabs>
          <w:tab w:val="clear" w:pos="283"/>
          <w:tab w:val="num" w:pos="600"/>
        </w:tabs>
        <w:ind w:hanging="567"/>
        <w:rPr>
          <w:sz w:val="22"/>
          <w:szCs w:val="22"/>
        </w:rPr>
      </w:pPr>
      <w:r w:rsidRPr="008912CF">
        <w:rPr>
          <w:sz w:val="22"/>
          <w:szCs w:val="22"/>
        </w:rPr>
        <w:t>síndrome de Stevens-Johnson (sintomas iniciais incluindo indisposição, febre, dor de cabeça e erupção cutânea)</w:t>
      </w:r>
    </w:p>
    <w:p w14:paraId="59A25DB2" w14:textId="77777777" w:rsidR="008D4B8F" w:rsidRPr="008912CF" w:rsidRDefault="00615769" w:rsidP="00166A51">
      <w:pPr>
        <w:numPr>
          <w:ilvl w:val="0"/>
          <w:numId w:val="68"/>
        </w:numPr>
        <w:tabs>
          <w:tab w:val="clear" w:pos="283"/>
          <w:tab w:val="num" w:pos="600"/>
        </w:tabs>
        <w:ind w:hanging="567"/>
        <w:rPr>
          <w:sz w:val="22"/>
          <w:szCs w:val="22"/>
        </w:rPr>
      </w:pPr>
      <w:r w:rsidRPr="008912CF">
        <w:rPr>
          <w:sz w:val="22"/>
          <w:szCs w:val="22"/>
        </w:rPr>
        <w:t>edema facial associado com reações alérgicas</w:t>
      </w:r>
    </w:p>
    <w:p w14:paraId="44F149BC" w14:textId="77777777" w:rsidR="008D4B8F" w:rsidRPr="008912CF" w:rsidRDefault="00615769" w:rsidP="00166A51">
      <w:pPr>
        <w:numPr>
          <w:ilvl w:val="0"/>
          <w:numId w:val="68"/>
        </w:numPr>
        <w:tabs>
          <w:tab w:val="clear" w:pos="283"/>
          <w:tab w:val="num" w:pos="600"/>
        </w:tabs>
        <w:ind w:hanging="567"/>
        <w:rPr>
          <w:sz w:val="22"/>
          <w:szCs w:val="22"/>
        </w:rPr>
      </w:pPr>
      <w:r w:rsidRPr="008912CF">
        <w:rPr>
          <w:sz w:val="22"/>
          <w:szCs w:val="22"/>
        </w:rPr>
        <w:t>eritema multiforme (erupção cutânea inflamatória)</w:t>
      </w:r>
    </w:p>
    <w:p w14:paraId="77A6837D" w14:textId="77777777" w:rsidR="008D4B8F" w:rsidRDefault="00615769" w:rsidP="00166A51">
      <w:pPr>
        <w:numPr>
          <w:ilvl w:val="0"/>
          <w:numId w:val="68"/>
        </w:numPr>
        <w:tabs>
          <w:tab w:val="clear" w:pos="283"/>
          <w:tab w:val="num" w:pos="600"/>
        </w:tabs>
        <w:ind w:hanging="567"/>
        <w:rPr>
          <w:sz w:val="22"/>
          <w:szCs w:val="22"/>
        </w:rPr>
      </w:pPr>
      <w:r w:rsidRPr="008912CF">
        <w:rPr>
          <w:sz w:val="22"/>
          <w:szCs w:val="22"/>
        </w:rPr>
        <w:t>síndrome tipo lúpus</w:t>
      </w:r>
    </w:p>
    <w:p w14:paraId="4A0F5C94" w14:textId="77777777" w:rsidR="005619A2" w:rsidRDefault="00615769" w:rsidP="00166A51">
      <w:pPr>
        <w:numPr>
          <w:ilvl w:val="0"/>
          <w:numId w:val="68"/>
        </w:numPr>
        <w:tabs>
          <w:tab w:val="clear" w:pos="283"/>
          <w:tab w:val="num" w:pos="600"/>
        </w:tabs>
        <w:ind w:hanging="567"/>
        <w:rPr>
          <w:sz w:val="22"/>
          <w:szCs w:val="22"/>
        </w:rPr>
      </w:pPr>
      <w:r>
        <w:rPr>
          <w:sz w:val="22"/>
          <w:szCs w:val="22"/>
        </w:rPr>
        <w:t>angioedema (</w:t>
      </w:r>
      <w:r w:rsidR="002355AF">
        <w:rPr>
          <w:sz w:val="22"/>
          <w:szCs w:val="22"/>
        </w:rPr>
        <w:t>inchaço localizado da pele)</w:t>
      </w:r>
    </w:p>
    <w:p w14:paraId="4A5F7182" w14:textId="77777777" w:rsidR="00D6007A" w:rsidRPr="008912CF" w:rsidRDefault="00615769" w:rsidP="00166A51">
      <w:pPr>
        <w:numPr>
          <w:ilvl w:val="0"/>
          <w:numId w:val="68"/>
        </w:numPr>
        <w:tabs>
          <w:tab w:val="clear" w:pos="283"/>
          <w:tab w:val="num" w:pos="600"/>
        </w:tabs>
        <w:ind w:hanging="567"/>
        <w:rPr>
          <w:sz w:val="22"/>
          <w:szCs w:val="22"/>
        </w:rPr>
      </w:pPr>
      <w:r>
        <w:rPr>
          <w:sz w:val="22"/>
          <w:szCs w:val="22"/>
        </w:rPr>
        <w:t xml:space="preserve">reação cutânea liquenoide (erupção </w:t>
      </w:r>
      <w:r w:rsidR="0025198D">
        <w:rPr>
          <w:sz w:val="22"/>
          <w:szCs w:val="22"/>
        </w:rPr>
        <w:t>na pele</w:t>
      </w:r>
      <w:r w:rsidR="00D24F87">
        <w:rPr>
          <w:sz w:val="22"/>
          <w:szCs w:val="22"/>
        </w:rPr>
        <w:t xml:space="preserve"> vermelho-púrpura com comichão)</w:t>
      </w:r>
    </w:p>
    <w:p w14:paraId="4A92569A" w14:textId="77777777" w:rsidR="008D4B8F" w:rsidRPr="008912CF" w:rsidRDefault="008D4B8F" w:rsidP="008D4B8F">
      <w:pPr>
        <w:rPr>
          <w:sz w:val="22"/>
          <w:szCs w:val="22"/>
        </w:rPr>
      </w:pPr>
    </w:p>
    <w:p w14:paraId="6B112BA2" w14:textId="77777777" w:rsidR="008D4B8F" w:rsidRPr="008912CF" w:rsidRDefault="00615769" w:rsidP="008D4B8F">
      <w:pPr>
        <w:rPr>
          <w:sz w:val="22"/>
          <w:szCs w:val="22"/>
        </w:rPr>
      </w:pPr>
      <w:r w:rsidRPr="00F03C54">
        <w:rPr>
          <w:b/>
          <w:sz w:val="22"/>
          <w:szCs w:val="22"/>
        </w:rPr>
        <w:t>Desconhecido</w:t>
      </w:r>
      <w:r w:rsidRPr="008912CF">
        <w:rPr>
          <w:sz w:val="22"/>
          <w:szCs w:val="22"/>
        </w:rPr>
        <w:t xml:space="preserve"> (a frequência não pode ser calculada a partir dos dados disponíveis)</w:t>
      </w:r>
    </w:p>
    <w:p w14:paraId="0CC3CFF4" w14:textId="77777777" w:rsidR="008D4B8F" w:rsidRPr="008912CF" w:rsidRDefault="008D4B8F" w:rsidP="008D4B8F">
      <w:pPr>
        <w:rPr>
          <w:sz w:val="22"/>
          <w:szCs w:val="22"/>
        </w:rPr>
      </w:pPr>
    </w:p>
    <w:p w14:paraId="4F0D7EE9" w14:textId="77777777" w:rsidR="008D4B8F" w:rsidRPr="008D61F9" w:rsidRDefault="00615769" w:rsidP="008D4B8F">
      <w:pPr>
        <w:pStyle w:val="ListParagraph"/>
        <w:numPr>
          <w:ilvl w:val="2"/>
          <w:numId w:val="112"/>
        </w:numPr>
        <w:ind w:left="567" w:hanging="567"/>
        <w:rPr>
          <w:sz w:val="22"/>
          <w:szCs w:val="22"/>
        </w:rPr>
      </w:pPr>
      <w:r w:rsidRPr="008D61F9">
        <w:rPr>
          <w:sz w:val="22"/>
          <w:szCs w:val="22"/>
        </w:rPr>
        <w:t>linfoma hepatoesplénico de linfócitos T (um raro cancro de sangue que muitas vezes é fatal)</w:t>
      </w:r>
    </w:p>
    <w:p w14:paraId="53CA7E1F" w14:textId="77777777" w:rsidR="008D4B8F" w:rsidRDefault="00615769" w:rsidP="008D4B8F">
      <w:pPr>
        <w:pStyle w:val="ListParagraph"/>
        <w:numPr>
          <w:ilvl w:val="2"/>
          <w:numId w:val="69"/>
        </w:numPr>
        <w:ind w:left="567" w:hanging="567"/>
        <w:rPr>
          <w:sz w:val="22"/>
          <w:szCs w:val="22"/>
        </w:rPr>
      </w:pPr>
      <w:r w:rsidRPr="008D61F9">
        <w:rPr>
          <w:sz w:val="22"/>
          <w:szCs w:val="22"/>
        </w:rPr>
        <w:t>carcinoma de células de Merkel (um tipo de cancro de pele)</w:t>
      </w:r>
    </w:p>
    <w:p w14:paraId="1A553E0F" w14:textId="77777777" w:rsidR="006819E5" w:rsidRPr="008D61F9" w:rsidRDefault="00615769" w:rsidP="008D4B8F">
      <w:pPr>
        <w:pStyle w:val="ListParagraph"/>
        <w:numPr>
          <w:ilvl w:val="2"/>
          <w:numId w:val="69"/>
        </w:numPr>
        <w:ind w:left="567" w:hanging="567"/>
        <w:rPr>
          <w:sz w:val="22"/>
          <w:szCs w:val="22"/>
        </w:rPr>
      </w:pPr>
      <w:r>
        <w:rPr>
          <w:sz w:val="22"/>
          <w:szCs w:val="22"/>
        </w:rPr>
        <w:t>s</w:t>
      </w:r>
      <w:r w:rsidRPr="006819E5">
        <w:rPr>
          <w:sz w:val="22"/>
          <w:szCs w:val="22"/>
        </w:rPr>
        <w:t>arcoma de Kaposi, um cancro raro relacionado com a infeção pelo vírus herpes humano 8. O sarcoma de Kaposi aparece mais frequentemente na forma de lesões cutâneas de cor púrpura</w:t>
      </w:r>
    </w:p>
    <w:p w14:paraId="533A9446" w14:textId="77777777" w:rsidR="008D4B8F" w:rsidRPr="008D61F9" w:rsidRDefault="00615769" w:rsidP="008D4B8F">
      <w:pPr>
        <w:pStyle w:val="ListParagraph"/>
        <w:numPr>
          <w:ilvl w:val="0"/>
          <w:numId w:val="113"/>
        </w:numPr>
        <w:ind w:left="567" w:hanging="567"/>
        <w:rPr>
          <w:sz w:val="22"/>
          <w:szCs w:val="22"/>
        </w:rPr>
      </w:pPr>
      <w:r w:rsidRPr="008D61F9">
        <w:rPr>
          <w:sz w:val="22"/>
          <w:szCs w:val="22"/>
        </w:rPr>
        <w:t>insuficiência hepática</w:t>
      </w:r>
    </w:p>
    <w:p w14:paraId="09571E92" w14:textId="77777777" w:rsidR="008D4B8F" w:rsidRDefault="00615769" w:rsidP="008D4B8F">
      <w:pPr>
        <w:pStyle w:val="ListParagraph"/>
        <w:numPr>
          <w:ilvl w:val="0"/>
          <w:numId w:val="114"/>
        </w:numPr>
        <w:ind w:left="567" w:hanging="567"/>
        <w:rPr>
          <w:sz w:val="22"/>
          <w:szCs w:val="22"/>
        </w:rPr>
      </w:pPr>
      <w:r w:rsidRPr="008D61F9">
        <w:rPr>
          <w:sz w:val="22"/>
          <w:szCs w:val="22"/>
        </w:rPr>
        <w:t>agravamento de uma doença chamada dermatomiosite (que corresponde a uma erupção cutânea acompanhada de fraqueza muscular)</w:t>
      </w:r>
    </w:p>
    <w:p w14:paraId="6E3C720C" w14:textId="77777777" w:rsidR="007A4E33" w:rsidRPr="008D61F9" w:rsidRDefault="00615769" w:rsidP="008D4B8F">
      <w:pPr>
        <w:pStyle w:val="ListParagraph"/>
        <w:numPr>
          <w:ilvl w:val="0"/>
          <w:numId w:val="114"/>
        </w:numPr>
        <w:ind w:left="567" w:hanging="567"/>
        <w:rPr>
          <w:sz w:val="22"/>
          <w:szCs w:val="22"/>
        </w:rPr>
      </w:pPr>
      <w:r>
        <w:rPr>
          <w:sz w:val="22"/>
          <w:szCs w:val="22"/>
        </w:rPr>
        <w:t>a</w:t>
      </w:r>
      <w:r w:rsidRPr="007A4E33">
        <w:rPr>
          <w:sz w:val="22"/>
          <w:szCs w:val="22"/>
        </w:rPr>
        <w:t>umento de peso (para a maioria dos doentes, o aumento de peso foi pequeno)</w:t>
      </w:r>
    </w:p>
    <w:p w14:paraId="1FF01A3E" w14:textId="77777777" w:rsidR="008D4B8F" w:rsidRPr="008912CF" w:rsidRDefault="008D4B8F" w:rsidP="008D4B8F">
      <w:pPr>
        <w:rPr>
          <w:sz w:val="22"/>
          <w:szCs w:val="22"/>
        </w:rPr>
      </w:pPr>
    </w:p>
    <w:p w14:paraId="592B74F1" w14:textId="77777777" w:rsidR="008D4B8F" w:rsidRPr="008912CF" w:rsidRDefault="00615769" w:rsidP="008D4B8F">
      <w:pPr>
        <w:rPr>
          <w:sz w:val="22"/>
          <w:szCs w:val="22"/>
        </w:rPr>
      </w:pPr>
      <w:r w:rsidRPr="008912CF">
        <w:rPr>
          <w:sz w:val="22"/>
          <w:szCs w:val="22"/>
        </w:rPr>
        <w:t xml:space="preserve">Alguns efeitos </w:t>
      </w:r>
      <w:r w:rsidR="00571C82">
        <w:rPr>
          <w:sz w:val="22"/>
          <w:szCs w:val="22"/>
        </w:rPr>
        <w:t>indesejáveis</w:t>
      </w:r>
      <w:r w:rsidRPr="008912CF">
        <w:rPr>
          <w:sz w:val="22"/>
          <w:szCs w:val="22"/>
        </w:rPr>
        <w:t xml:space="preserve"> observados com Humira podem não ter sintomas e só podem ser identificados através de análises ao sangue. Estes incluem:</w:t>
      </w:r>
    </w:p>
    <w:p w14:paraId="73323922" w14:textId="77777777" w:rsidR="008D4B8F" w:rsidRPr="008912CF" w:rsidRDefault="008D4B8F" w:rsidP="008D4B8F">
      <w:pPr>
        <w:rPr>
          <w:sz w:val="22"/>
          <w:szCs w:val="22"/>
        </w:rPr>
      </w:pPr>
    </w:p>
    <w:p w14:paraId="68C6C9A8" w14:textId="77777777" w:rsidR="008D4B8F" w:rsidRPr="008912CF" w:rsidRDefault="00615769" w:rsidP="00EC0461">
      <w:pPr>
        <w:keepNext/>
        <w:rPr>
          <w:sz w:val="22"/>
          <w:szCs w:val="22"/>
        </w:rPr>
      </w:pPr>
      <w:r w:rsidRPr="00F03C54">
        <w:rPr>
          <w:b/>
          <w:sz w:val="22"/>
          <w:szCs w:val="22"/>
        </w:rPr>
        <w:t>Muito frequentes</w:t>
      </w:r>
      <w:r w:rsidRPr="008912CF">
        <w:rPr>
          <w:sz w:val="22"/>
          <w:szCs w:val="22"/>
        </w:rPr>
        <w:t xml:space="preserve"> (podem afetar mais de 1 em 10 pessoas)</w:t>
      </w:r>
    </w:p>
    <w:p w14:paraId="2D33190F" w14:textId="77777777" w:rsidR="008D4B8F" w:rsidRPr="008912CF" w:rsidRDefault="008D4B8F" w:rsidP="00EC0461">
      <w:pPr>
        <w:keepNext/>
        <w:rPr>
          <w:sz w:val="22"/>
          <w:szCs w:val="22"/>
        </w:rPr>
      </w:pPr>
    </w:p>
    <w:p w14:paraId="1C5524ED" w14:textId="77777777" w:rsidR="008D4B8F" w:rsidRPr="008912CF" w:rsidRDefault="00615769" w:rsidP="00EC0461">
      <w:pPr>
        <w:pStyle w:val="ListParagraph"/>
        <w:keepNext/>
        <w:numPr>
          <w:ilvl w:val="2"/>
          <w:numId w:val="112"/>
        </w:numPr>
        <w:ind w:left="567" w:hanging="567"/>
        <w:rPr>
          <w:sz w:val="22"/>
          <w:szCs w:val="22"/>
        </w:rPr>
      </w:pPr>
      <w:r w:rsidRPr="008912CF">
        <w:rPr>
          <w:sz w:val="22"/>
          <w:szCs w:val="22"/>
        </w:rPr>
        <w:t>contagem diminuída dos glóbulos brancos</w:t>
      </w:r>
    </w:p>
    <w:p w14:paraId="09764EB9" w14:textId="77777777" w:rsidR="008D4B8F" w:rsidRPr="008912CF" w:rsidRDefault="00615769" w:rsidP="00EC0461">
      <w:pPr>
        <w:pStyle w:val="ListParagraph"/>
        <w:keepNext/>
        <w:numPr>
          <w:ilvl w:val="2"/>
          <w:numId w:val="112"/>
        </w:numPr>
        <w:ind w:left="567" w:hanging="567"/>
        <w:rPr>
          <w:sz w:val="22"/>
          <w:szCs w:val="22"/>
        </w:rPr>
      </w:pPr>
      <w:r w:rsidRPr="008912CF">
        <w:rPr>
          <w:sz w:val="22"/>
          <w:szCs w:val="22"/>
        </w:rPr>
        <w:t>contagem diminuída dos glóbulos vermelhos</w:t>
      </w:r>
    </w:p>
    <w:p w14:paraId="1AB6D2A5" w14:textId="77777777" w:rsidR="008D4B8F" w:rsidRPr="008912CF" w:rsidRDefault="00615769" w:rsidP="00EC0461">
      <w:pPr>
        <w:pStyle w:val="ListParagraph"/>
        <w:keepNext/>
        <w:numPr>
          <w:ilvl w:val="2"/>
          <w:numId w:val="112"/>
        </w:numPr>
        <w:ind w:left="567" w:hanging="567"/>
        <w:rPr>
          <w:sz w:val="22"/>
          <w:szCs w:val="22"/>
        </w:rPr>
      </w:pPr>
      <w:r w:rsidRPr="008912CF">
        <w:rPr>
          <w:sz w:val="22"/>
          <w:szCs w:val="22"/>
        </w:rPr>
        <w:t>aumento dos lípidos no sangue</w:t>
      </w:r>
    </w:p>
    <w:p w14:paraId="72BBC9B2" w14:textId="77777777" w:rsidR="008D4B8F" w:rsidRPr="008912CF" w:rsidRDefault="00615769" w:rsidP="00166A51">
      <w:pPr>
        <w:pStyle w:val="ListParagraph"/>
        <w:numPr>
          <w:ilvl w:val="2"/>
          <w:numId w:val="112"/>
        </w:numPr>
        <w:ind w:left="567" w:hanging="567"/>
        <w:rPr>
          <w:sz w:val="22"/>
          <w:szCs w:val="22"/>
        </w:rPr>
      </w:pPr>
      <w:r w:rsidRPr="008912CF">
        <w:rPr>
          <w:sz w:val="22"/>
          <w:szCs w:val="22"/>
        </w:rPr>
        <w:t>aumento das enzimas hepáticas</w:t>
      </w:r>
    </w:p>
    <w:p w14:paraId="2935B5FD" w14:textId="77777777" w:rsidR="008D4B8F" w:rsidRPr="008912CF" w:rsidRDefault="008D4B8F" w:rsidP="008D4B8F">
      <w:pPr>
        <w:rPr>
          <w:sz w:val="22"/>
          <w:szCs w:val="22"/>
        </w:rPr>
      </w:pPr>
    </w:p>
    <w:p w14:paraId="0C937C5C" w14:textId="77777777" w:rsidR="008D4B8F" w:rsidRPr="008912CF" w:rsidRDefault="00615769" w:rsidP="008D4B8F">
      <w:pPr>
        <w:rPr>
          <w:sz w:val="22"/>
          <w:szCs w:val="22"/>
        </w:rPr>
      </w:pPr>
      <w:r w:rsidRPr="00F03C54">
        <w:rPr>
          <w:b/>
          <w:sz w:val="22"/>
          <w:szCs w:val="22"/>
        </w:rPr>
        <w:t>Frequentes</w:t>
      </w:r>
      <w:r w:rsidRPr="008912CF">
        <w:rPr>
          <w:sz w:val="22"/>
          <w:szCs w:val="22"/>
        </w:rPr>
        <w:t xml:space="preserve"> (podem afetar até 1 em 10 pessoas)</w:t>
      </w:r>
    </w:p>
    <w:p w14:paraId="111699E9" w14:textId="77777777" w:rsidR="008D4B8F" w:rsidRPr="008912CF" w:rsidRDefault="008D4B8F" w:rsidP="008D4B8F">
      <w:pPr>
        <w:rPr>
          <w:sz w:val="22"/>
          <w:szCs w:val="22"/>
        </w:rPr>
      </w:pPr>
    </w:p>
    <w:p w14:paraId="2B1B33DF" w14:textId="77777777" w:rsidR="008D4B8F" w:rsidRPr="008912CF" w:rsidRDefault="00615769" w:rsidP="00166A51">
      <w:pPr>
        <w:pStyle w:val="ListParagraph"/>
        <w:numPr>
          <w:ilvl w:val="2"/>
          <w:numId w:val="112"/>
        </w:numPr>
        <w:ind w:left="567" w:hanging="567"/>
        <w:rPr>
          <w:sz w:val="22"/>
          <w:szCs w:val="22"/>
        </w:rPr>
      </w:pPr>
      <w:r w:rsidRPr="008912CF">
        <w:rPr>
          <w:sz w:val="22"/>
          <w:szCs w:val="22"/>
        </w:rPr>
        <w:t>contagem aumentada dos glóbulos brancos</w:t>
      </w:r>
    </w:p>
    <w:p w14:paraId="4DA1BCA4" w14:textId="77777777" w:rsidR="008D4B8F" w:rsidRPr="008912CF" w:rsidRDefault="00615769" w:rsidP="00166A51">
      <w:pPr>
        <w:pStyle w:val="ListParagraph"/>
        <w:numPr>
          <w:ilvl w:val="2"/>
          <w:numId w:val="112"/>
        </w:numPr>
        <w:ind w:left="567" w:hanging="567"/>
        <w:rPr>
          <w:sz w:val="22"/>
          <w:szCs w:val="22"/>
        </w:rPr>
      </w:pPr>
      <w:r w:rsidRPr="008912CF">
        <w:rPr>
          <w:sz w:val="22"/>
          <w:szCs w:val="22"/>
        </w:rPr>
        <w:t>contagem diminuída das plaquetas</w:t>
      </w:r>
    </w:p>
    <w:p w14:paraId="50CEB61F" w14:textId="77777777" w:rsidR="008D4B8F" w:rsidRPr="008912CF" w:rsidRDefault="00615769" w:rsidP="00166A51">
      <w:pPr>
        <w:pStyle w:val="ListParagraph"/>
        <w:numPr>
          <w:ilvl w:val="2"/>
          <w:numId w:val="112"/>
        </w:numPr>
        <w:ind w:left="567" w:hanging="567"/>
        <w:rPr>
          <w:sz w:val="22"/>
          <w:szCs w:val="22"/>
        </w:rPr>
      </w:pPr>
      <w:r w:rsidRPr="008912CF">
        <w:rPr>
          <w:sz w:val="22"/>
          <w:szCs w:val="22"/>
        </w:rPr>
        <w:t>aumento de ácido úrico no sangue</w:t>
      </w:r>
    </w:p>
    <w:p w14:paraId="252D953C" w14:textId="77777777" w:rsidR="008D4B8F" w:rsidRPr="008912CF" w:rsidRDefault="00615769" w:rsidP="00166A51">
      <w:pPr>
        <w:pStyle w:val="ListParagraph"/>
        <w:numPr>
          <w:ilvl w:val="2"/>
          <w:numId w:val="112"/>
        </w:numPr>
        <w:ind w:left="567" w:hanging="567"/>
        <w:rPr>
          <w:sz w:val="22"/>
          <w:szCs w:val="22"/>
        </w:rPr>
      </w:pPr>
      <w:r w:rsidRPr="008912CF">
        <w:rPr>
          <w:sz w:val="22"/>
          <w:szCs w:val="22"/>
        </w:rPr>
        <w:t>contagem anormal de sódio no sangue</w:t>
      </w:r>
    </w:p>
    <w:p w14:paraId="60C2EDB2" w14:textId="77777777" w:rsidR="008D4B8F" w:rsidRPr="008912CF" w:rsidRDefault="00615769" w:rsidP="00166A51">
      <w:pPr>
        <w:pStyle w:val="ListParagraph"/>
        <w:numPr>
          <w:ilvl w:val="2"/>
          <w:numId w:val="112"/>
        </w:numPr>
        <w:ind w:left="567" w:hanging="567"/>
        <w:rPr>
          <w:sz w:val="22"/>
          <w:szCs w:val="22"/>
        </w:rPr>
      </w:pPr>
      <w:r w:rsidRPr="008912CF">
        <w:rPr>
          <w:sz w:val="22"/>
          <w:szCs w:val="22"/>
        </w:rPr>
        <w:t>contagem diminuída de cálcio no sangue</w:t>
      </w:r>
    </w:p>
    <w:p w14:paraId="3125A9C5" w14:textId="77777777" w:rsidR="008D4B8F" w:rsidRPr="008912CF" w:rsidRDefault="00615769" w:rsidP="00166A51">
      <w:pPr>
        <w:pStyle w:val="ListParagraph"/>
        <w:numPr>
          <w:ilvl w:val="2"/>
          <w:numId w:val="112"/>
        </w:numPr>
        <w:ind w:left="567" w:hanging="567"/>
        <w:rPr>
          <w:sz w:val="22"/>
          <w:szCs w:val="22"/>
        </w:rPr>
      </w:pPr>
      <w:r w:rsidRPr="008912CF">
        <w:rPr>
          <w:sz w:val="22"/>
          <w:szCs w:val="22"/>
        </w:rPr>
        <w:t>contagem diminuída de fosfato no sangue</w:t>
      </w:r>
    </w:p>
    <w:p w14:paraId="0CEEB7D2" w14:textId="77777777" w:rsidR="008D4B8F" w:rsidRPr="008912CF" w:rsidRDefault="00615769" w:rsidP="00166A51">
      <w:pPr>
        <w:pStyle w:val="ListParagraph"/>
        <w:numPr>
          <w:ilvl w:val="2"/>
          <w:numId w:val="112"/>
        </w:numPr>
        <w:ind w:left="567" w:hanging="567"/>
        <w:rPr>
          <w:sz w:val="22"/>
          <w:szCs w:val="22"/>
        </w:rPr>
      </w:pPr>
      <w:r w:rsidRPr="008912CF">
        <w:rPr>
          <w:sz w:val="22"/>
          <w:szCs w:val="22"/>
        </w:rPr>
        <w:t>nível de açúcar aumentado no sangue</w:t>
      </w:r>
    </w:p>
    <w:p w14:paraId="3D0EB12E" w14:textId="77777777" w:rsidR="008D4B8F" w:rsidRPr="008912CF" w:rsidRDefault="00615769" w:rsidP="00166A51">
      <w:pPr>
        <w:pStyle w:val="ListParagraph"/>
        <w:numPr>
          <w:ilvl w:val="2"/>
          <w:numId w:val="112"/>
        </w:numPr>
        <w:ind w:left="567" w:hanging="567"/>
        <w:rPr>
          <w:sz w:val="22"/>
          <w:szCs w:val="22"/>
        </w:rPr>
      </w:pPr>
      <w:r w:rsidRPr="008912CF">
        <w:rPr>
          <w:sz w:val="22"/>
          <w:szCs w:val="22"/>
        </w:rPr>
        <w:t>valores aumentados de dehidrogenase láctica no sangue</w:t>
      </w:r>
    </w:p>
    <w:p w14:paraId="77B00CE5" w14:textId="77777777" w:rsidR="007D3C14" w:rsidRDefault="00615769" w:rsidP="00166A51">
      <w:pPr>
        <w:pStyle w:val="ListParagraph"/>
        <w:numPr>
          <w:ilvl w:val="2"/>
          <w:numId w:val="112"/>
        </w:numPr>
        <w:ind w:left="567" w:hanging="567"/>
        <w:rPr>
          <w:sz w:val="22"/>
          <w:szCs w:val="22"/>
        </w:rPr>
      </w:pPr>
      <w:r w:rsidRPr="008912CF">
        <w:rPr>
          <w:sz w:val="22"/>
          <w:szCs w:val="22"/>
        </w:rPr>
        <w:t>presença de autoanticorpos no sangu</w:t>
      </w:r>
      <w:r w:rsidR="00ED04BB">
        <w:rPr>
          <w:sz w:val="22"/>
          <w:szCs w:val="22"/>
        </w:rPr>
        <w:t>e</w:t>
      </w:r>
    </w:p>
    <w:p w14:paraId="37EBAF91" w14:textId="77777777" w:rsidR="00127FFD" w:rsidRPr="00127FFD" w:rsidRDefault="00615769" w:rsidP="00166A51">
      <w:pPr>
        <w:pStyle w:val="ListParagraph"/>
        <w:numPr>
          <w:ilvl w:val="2"/>
          <w:numId w:val="112"/>
        </w:numPr>
        <w:ind w:left="567" w:hanging="567"/>
        <w:rPr>
          <w:sz w:val="22"/>
          <w:szCs w:val="22"/>
        </w:rPr>
      </w:pPr>
      <w:r>
        <w:rPr>
          <w:sz w:val="22"/>
          <w:szCs w:val="22"/>
        </w:rPr>
        <w:t>baixo teor de potássio no sangue</w:t>
      </w:r>
    </w:p>
    <w:p w14:paraId="67BB299C" w14:textId="77777777" w:rsidR="00127FFD" w:rsidRDefault="00127FFD" w:rsidP="008D4B8F">
      <w:pPr>
        <w:rPr>
          <w:sz w:val="22"/>
          <w:szCs w:val="22"/>
        </w:rPr>
      </w:pPr>
    </w:p>
    <w:p w14:paraId="12384102" w14:textId="77777777" w:rsidR="007D3C14" w:rsidRDefault="00615769" w:rsidP="008D4B8F">
      <w:pPr>
        <w:rPr>
          <w:sz w:val="22"/>
          <w:szCs w:val="22"/>
        </w:rPr>
      </w:pPr>
      <w:r w:rsidRPr="00F03C54">
        <w:rPr>
          <w:b/>
          <w:sz w:val="22"/>
          <w:szCs w:val="22"/>
        </w:rPr>
        <w:t>Pouco frequentes</w:t>
      </w:r>
      <w:r w:rsidRPr="00127FFD">
        <w:rPr>
          <w:sz w:val="22"/>
          <w:szCs w:val="22"/>
        </w:rPr>
        <w:t xml:space="preserve"> (podem afetar até 1 em 100 pessoas</w:t>
      </w:r>
      <w:r w:rsidR="00F3002E">
        <w:rPr>
          <w:sz w:val="22"/>
          <w:szCs w:val="22"/>
        </w:rPr>
        <w:t>)</w:t>
      </w:r>
    </w:p>
    <w:p w14:paraId="13229C75" w14:textId="77777777" w:rsidR="00166A51" w:rsidRDefault="00166A51" w:rsidP="008D4B8F">
      <w:pPr>
        <w:rPr>
          <w:sz w:val="22"/>
          <w:szCs w:val="22"/>
        </w:rPr>
      </w:pPr>
    </w:p>
    <w:p w14:paraId="31D8E6DB" w14:textId="77777777" w:rsidR="007D3C14" w:rsidRDefault="00615769" w:rsidP="00166A51">
      <w:pPr>
        <w:pStyle w:val="ListParagraph"/>
        <w:numPr>
          <w:ilvl w:val="2"/>
          <w:numId w:val="112"/>
        </w:numPr>
        <w:ind w:left="567" w:hanging="567"/>
        <w:rPr>
          <w:sz w:val="22"/>
          <w:szCs w:val="22"/>
        </w:rPr>
      </w:pPr>
      <w:r>
        <w:rPr>
          <w:sz w:val="22"/>
          <w:szCs w:val="22"/>
        </w:rPr>
        <w:t xml:space="preserve">contagem </w:t>
      </w:r>
      <w:r w:rsidR="00127FFD">
        <w:rPr>
          <w:sz w:val="22"/>
          <w:szCs w:val="22"/>
        </w:rPr>
        <w:t>aument</w:t>
      </w:r>
      <w:r>
        <w:rPr>
          <w:sz w:val="22"/>
          <w:szCs w:val="22"/>
        </w:rPr>
        <w:t>ada</w:t>
      </w:r>
      <w:r w:rsidR="00127FFD">
        <w:rPr>
          <w:sz w:val="22"/>
          <w:szCs w:val="22"/>
        </w:rPr>
        <w:t xml:space="preserve"> de bilirrubina (</w:t>
      </w:r>
      <w:r w:rsidR="00A20116">
        <w:rPr>
          <w:sz w:val="22"/>
          <w:szCs w:val="22"/>
        </w:rPr>
        <w:t>análises de sangue</w:t>
      </w:r>
      <w:r w:rsidR="00127FFD">
        <w:rPr>
          <w:sz w:val="22"/>
          <w:szCs w:val="22"/>
        </w:rPr>
        <w:t xml:space="preserve"> </w:t>
      </w:r>
      <w:r w:rsidR="00A20116">
        <w:rPr>
          <w:sz w:val="22"/>
          <w:szCs w:val="22"/>
        </w:rPr>
        <w:t>ao fígado</w:t>
      </w:r>
      <w:r w:rsidR="00127FFD">
        <w:rPr>
          <w:sz w:val="22"/>
          <w:szCs w:val="22"/>
        </w:rPr>
        <w:t>)</w:t>
      </w:r>
    </w:p>
    <w:p w14:paraId="691D3BCB" w14:textId="77777777" w:rsidR="007D3C14" w:rsidRDefault="007D3C14" w:rsidP="00166A51">
      <w:pPr>
        <w:pStyle w:val="ListParagraph"/>
        <w:ind w:left="567"/>
        <w:rPr>
          <w:sz w:val="22"/>
          <w:szCs w:val="22"/>
        </w:rPr>
      </w:pPr>
    </w:p>
    <w:p w14:paraId="218BCB97" w14:textId="77777777" w:rsidR="008D4B8F" w:rsidRPr="008912CF" w:rsidRDefault="00615769" w:rsidP="008D4B8F">
      <w:pPr>
        <w:rPr>
          <w:sz w:val="22"/>
          <w:szCs w:val="22"/>
        </w:rPr>
      </w:pPr>
      <w:r w:rsidRPr="00F03C54">
        <w:rPr>
          <w:b/>
          <w:sz w:val="22"/>
          <w:szCs w:val="22"/>
        </w:rPr>
        <w:t>Raros</w:t>
      </w:r>
      <w:r w:rsidRPr="008912CF">
        <w:rPr>
          <w:sz w:val="22"/>
          <w:szCs w:val="22"/>
        </w:rPr>
        <w:t xml:space="preserve"> (podem afetar até 1 em 1.000 pessoas)</w:t>
      </w:r>
    </w:p>
    <w:p w14:paraId="0B0E2877" w14:textId="77777777" w:rsidR="008D4B8F" w:rsidRPr="008912CF" w:rsidRDefault="008D4B8F" w:rsidP="008D4B8F">
      <w:pPr>
        <w:rPr>
          <w:sz w:val="22"/>
          <w:szCs w:val="22"/>
        </w:rPr>
      </w:pPr>
    </w:p>
    <w:p w14:paraId="39331115" w14:textId="77777777" w:rsidR="008D4B8F" w:rsidRPr="008912CF" w:rsidRDefault="00615769" w:rsidP="00166A51">
      <w:pPr>
        <w:pStyle w:val="ListParagraph"/>
        <w:numPr>
          <w:ilvl w:val="2"/>
          <w:numId w:val="112"/>
        </w:numPr>
        <w:ind w:left="567" w:hanging="567"/>
        <w:rPr>
          <w:sz w:val="22"/>
          <w:szCs w:val="22"/>
        </w:rPr>
      </w:pPr>
      <w:r w:rsidRPr="008912CF">
        <w:rPr>
          <w:sz w:val="22"/>
          <w:szCs w:val="22"/>
        </w:rPr>
        <w:t>contagem diminuída de glóbulos brancos, glóbulos vermelhos e plaquetas</w:t>
      </w:r>
    </w:p>
    <w:p w14:paraId="772320C7" w14:textId="77777777" w:rsidR="008D4B8F" w:rsidRPr="008912CF" w:rsidRDefault="008D4B8F" w:rsidP="008D4B8F">
      <w:pPr>
        <w:rPr>
          <w:sz w:val="23"/>
          <w:szCs w:val="23"/>
          <w:lang w:eastAsia="pt-PT"/>
        </w:rPr>
      </w:pPr>
    </w:p>
    <w:p w14:paraId="19AD5D71" w14:textId="77777777" w:rsidR="008D4B8F" w:rsidRPr="006F7D34" w:rsidRDefault="00615769" w:rsidP="008D4B8F">
      <w:pPr>
        <w:suppressAutoHyphens/>
        <w:rPr>
          <w:b/>
          <w:sz w:val="22"/>
          <w:szCs w:val="22"/>
        </w:rPr>
      </w:pPr>
      <w:r w:rsidRPr="006F7D34">
        <w:rPr>
          <w:b/>
          <w:sz w:val="22"/>
          <w:szCs w:val="22"/>
        </w:rPr>
        <w:t xml:space="preserve">Comunicação de efeitos </w:t>
      </w:r>
      <w:r w:rsidR="00571C82">
        <w:rPr>
          <w:b/>
          <w:sz w:val="22"/>
          <w:szCs w:val="22"/>
        </w:rPr>
        <w:t>indesejáveis</w:t>
      </w:r>
    </w:p>
    <w:p w14:paraId="2AE6884D" w14:textId="77777777" w:rsidR="008D4B8F" w:rsidRPr="008912CF" w:rsidRDefault="00615769" w:rsidP="008D4B8F">
      <w:pPr>
        <w:suppressAutoHyphens/>
        <w:rPr>
          <w:sz w:val="22"/>
          <w:szCs w:val="22"/>
        </w:rPr>
      </w:pPr>
      <w:r w:rsidRPr="008912CF">
        <w:rPr>
          <w:sz w:val="22"/>
          <w:szCs w:val="22"/>
        </w:rPr>
        <w:t xml:space="preserve">Se a sua criança tiver quaisquer efeitos </w:t>
      </w:r>
      <w:r w:rsidR="00571C82">
        <w:rPr>
          <w:sz w:val="22"/>
          <w:szCs w:val="22"/>
        </w:rPr>
        <w:t>indesejáveis</w:t>
      </w:r>
      <w:r w:rsidRPr="008912CF">
        <w:rPr>
          <w:sz w:val="22"/>
          <w:szCs w:val="22"/>
        </w:rPr>
        <w:t xml:space="preserve">, incluindo possíveis efeitos </w:t>
      </w:r>
      <w:r w:rsidR="00571C82">
        <w:rPr>
          <w:sz w:val="22"/>
          <w:szCs w:val="22"/>
        </w:rPr>
        <w:t>indesejáveis</w:t>
      </w:r>
      <w:r w:rsidRPr="008912CF">
        <w:rPr>
          <w:sz w:val="22"/>
          <w:szCs w:val="22"/>
        </w:rPr>
        <w:t xml:space="preserve"> não indicados neste folheto, fale com o médico ou farmacêutico da sua criança.</w:t>
      </w:r>
      <w:r w:rsidR="00103AA2">
        <w:rPr>
          <w:szCs w:val="22"/>
        </w:rPr>
        <w:t xml:space="preserve"> </w:t>
      </w:r>
      <w:r w:rsidRPr="008912CF">
        <w:rPr>
          <w:sz w:val="22"/>
          <w:szCs w:val="22"/>
        </w:rPr>
        <w:t xml:space="preserve">Também poderá comunicar efeitos </w:t>
      </w:r>
      <w:r w:rsidR="00571C82">
        <w:rPr>
          <w:sz w:val="22"/>
          <w:szCs w:val="22"/>
        </w:rPr>
        <w:t>indesejáveis</w:t>
      </w:r>
      <w:r w:rsidRPr="008912CF">
        <w:rPr>
          <w:sz w:val="22"/>
          <w:szCs w:val="22"/>
        </w:rPr>
        <w:t xml:space="preserve"> diretamente através </w:t>
      </w:r>
      <w:r w:rsidRPr="008912CF">
        <w:rPr>
          <w:sz w:val="22"/>
          <w:szCs w:val="22"/>
          <w:highlight w:val="lightGray"/>
        </w:rPr>
        <w:t xml:space="preserve">do sistema nacional de notificação mencionado no </w:t>
      </w:r>
      <w:hyperlink r:id="rId22" w:history="1">
        <w:r w:rsidR="008D4B8F" w:rsidRPr="008912CF">
          <w:rPr>
            <w:rStyle w:val="Hyperlink"/>
            <w:sz w:val="22"/>
            <w:szCs w:val="22"/>
            <w:highlight w:val="lightGray"/>
          </w:rPr>
          <w:t>Apêndice V</w:t>
        </w:r>
      </w:hyperlink>
      <w:r w:rsidRPr="008912CF">
        <w:rPr>
          <w:sz w:val="22"/>
          <w:szCs w:val="22"/>
        </w:rPr>
        <w:t xml:space="preserve">. Ao comunicar efeitos </w:t>
      </w:r>
      <w:r w:rsidR="00571C82">
        <w:rPr>
          <w:sz w:val="22"/>
          <w:szCs w:val="22"/>
        </w:rPr>
        <w:t>indesejáveis</w:t>
      </w:r>
      <w:r w:rsidRPr="008912CF">
        <w:rPr>
          <w:sz w:val="22"/>
          <w:szCs w:val="22"/>
        </w:rPr>
        <w:t>, estará a ajudar a fornecer mais informações sobre a segurança deste medicamento.</w:t>
      </w:r>
    </w:p>
    <w:p w14:paraId="6907BA0D" w14:textId="77777777" w:rsidR="008D4B8F" w:rsidRPr="008912CF" w:rsidRDefault="008D4B8F" w:rsidP="008D4B8F">
      <w:pPr>
        <w:ind w:right="-2"/>
        <w:rPr>
          <w:sz w:val="22"/>
          <w:szCs w:val="22"/>
        </w:rPr>
      </w:pPr>
    </w:p>
    <w:p w14:paraId="68797AE2" w14:textId="77777777" w:rsidR="008D4B8F" w:rsidRPr="008912CF" w:rsidRDefault="008D4B8F" w:rsidP="008D4B8F">
      <w:pPr>
        <w:ind w:right="-2"/>
        <w:rPr>
          <w:sz w:val="22"/>
          <w:szCs w:val="22"/>
        </w:rPr>
      </w:pPr>
    </w:p>
    <w:p w14:paraId="176C1B1A" w14:textId="77777777" w:rsidR="008D4B8F" w:rsidRPr="008912CF" w:rsidRDefault="00615769" w:rsidP="008D4B8F">
      <w:pPr>
        <w:ind w:left="567" w:hanging="567"/>
        <w:rPr>
          <w:sz w:val="22"/>
          <w:szCs w:val="22"/>
        </w:rPr>
      </w:pPr>
      <w:r w:rsidRPr="008912CF">
        <w:rPr>
          <w:b/>
          <w:sz w:val="22"/>
          <w:szCs w:val="22"/>
        </w:rPr>
        <w:t>5.</w:t>
      </w:r>
      <w:r w:rsidRPr="008912CF">
        <w:rPr>
          <w:b/>
          <w:sz w:val="22"/>
          <w:szCs w:val="22"/>
        </w:rPr>
        <w:tab/>
        <w:t>Como conservar Humira</w:t>
      </w:r>
    </w:p>
    <w:p w14:paraId="2958769C" w14:textId="77777777" w:rsidR="008D4B8F" w:rsidRPr="008912CF" w:rsidRDefault="008D4B8F" w:rsidP="008D4B8F">
      <w:pPr>
        <w:ind w:right="-2"/>
        <w:rPr>
          <w:sz w:val="22"/>
          <w:szCs w:val="22"/>
        </w:rPr>
      </w:pPr>
    </w:p>
    <w:p w14:paraId="41CB010F" w14:textId="77777777" w:rsidR="008D4B8F" w:rsidRPr="008912CF" w:rsidRDefault="00615769" w:rsidP="008D4B8F">
      <w:pPr>
        <w:ind w:right="-2"/>
        <w:rPr>
          <w:sz w:val="22"/>
          <w:szCs w:val="22"/>
        </w:rPr>
      </w:pPr>
      <w:r w:rsidRPr="008912CF">
        <w:rPr>
          <w:sz w:val="22"/>
          <w:szCs w:val="22"/>
        </w:rPr>
        <w:t xml:space="preserve">Manter este medicamento fora da vista e do alcance das crianças. </w:t>
      </w:r>
    </w:p>
    <w:p w14:paraId="23F473BE" w14:textId="77777777" w:rsidR="008D4B8F" w:rsidRPr="008912CF" w:rsidRDefault="008D4B8F" w:rsidP="008D4B8F">
      <w:pPr>
        <w:ind w:right="-2"/>
        <w:rPr>
          <w:sz w:val="22"/>
          <w:szCs w:val="22"/>
        </w:rPr>
      </w:pPr>
    </w:p>
    <w:p w14:paraId="74090AF3" w14:textId="77777777" w:rsidR="008D4B8F" w:rsidRPr="008912CF" w:rsidRDefault="00615769" w:rsidP="008D4B8F">
      <w:pPr>
        <w:ind w:right="-2"/>
        <w:rPr>
          <w:sz w:val="22"/>
          <w:szCs w:val="22"/>
        </w:rPr>
      </w:pPr>
      <w:r w:rsidRPr="008912CF">
        <w:rPr>
          <w:sz w:val="22"/>
          <w:szCs w:val="22"/>
        </w:rPr>
        <w:t xml:space="preserve">Não utilize este medicamento após o prazo de validade impresso no rótulo/blister/embalagem, após </w:t>
      </w:r>
      <w:r w:rsidR="006D79D1">
        <w:rPr>
          <w:sz w:val="22"/>
          <w:szCs w:val="22"/>
        </w:rPr>
        <w:t>EXP</w:t>
      </w:r>
      <w:r w:rsidRPr="006D79D1">
        <w:rPr>
          <w:sz w:val="22"/>
          <w:szCs w:val="22"/>
        </w:rPr>
        <w:t>.</w:t>
      </w:r>
    </w:p>
    <w:p w14:paraId="19F5FEB2" w14:textId="77777777" w:rsidR="008D4B8F" w:rsidRPr="008912CF" w:rsidRDefault="008D4B8F" w:rsidP="008D4B8F">
      <w:pPr>
        <w:ind w:right="-2"/>
        <w:rPr>
          <w:sz w:val="22"/>
          <w:szCs w:val="22"/>
        </w:rPr>
      </w:pPr>
    </w:p>
    <w:p w14:paraId="0D38B43B" w14:textId="77777777" w:rsidR="008D4B8F" w:rsidRPr="008912CF" w:rsidRDefault="00615769" w:rsidP="008D4B8F">
      <w:pPr>
        <w:pStyle w:val="BodyText3"/>
        <w:rPr>
          <w:szCs w:val="22"/>
        </w:rPr>
      </w:pPr>
      <w:r w:rsidRPr="008912CF">
        <w:rPr>
          <w:szCs w:val="22"/>
        </w:rPr>
        <w:t xml:space="preserve">Conservar no frigorífico </w:t>
      </w:r>
      <w:r w:rsidR="00184BF5">
        <w:rPr>
          <w:szCs w:val="22"/>
        </w:rPr>
        <w:t>(2º</w:t>
      </w:r>
      <w:r w:rsidR="00AA2EEA">
        <w:rPr>
          <w:szCs w:val="22"/>
        </w:rPr>
        <w:t xml:space="preserve"> </w:t>
      </w:r>
      <w:r w:rsidR="00184BF5" w:rsidRPr="008912CF">
        <w:rPr>
          <w:szCs w:val="22"/>
        </w:rPr>
        <w:t>C</w:t>
      </w:r>
      <w:r w:rsidR="00184BF5">
        <w:rPr>
          <w:szCs w:val="22"/>
        </w:rPr>
        <w:t xml:space="preserve"> – </w:t>
      </w:r>
      <w:r w:rsidR="00184BF5" w:rsidRPr="008912CF">
        <w:rPr>
          <w:szCs w:val="22"/>
        </w:rPr>
        <w:t>8</w:t>
      </w:r>
      <w:r w:rsidR="00184BF5">
        <w:rPr>
          <w:szCs w:val="22"/>
        </w:rPr>
        <w:t>º</w:t>
      </w:r>
      <w:r w:rsidR="00AA2EEA">
        <w:rPr>
          <w:szCs w:val="22"/>
        </w:rPr>
        <w:t xml:space="preserve"> </w:t>
      </w:r>
      <w:r w:rsidR="00184BF5" w:rsidRPr="008912CF">
        <w:rPr>
          <w:szCs w:val="22"/>
        </w:rPr>
        <w:t>C)</w:t>
      </w:r>
      <w:r w:rsidRPr="008912CF">
        <w:rPr>
          <w:szCs w:val="22"/>
        </w:rPr>
        <w:t>. Não congelar.</w:t>
      </w:r>
    </w:p>
    <w:p w14:paraId="5366EC70" w14:textId="77777777" w:rsidR="008D4B8F" w:rsidRPr="008912CF" w:rsidRDefault="008D4B8F" w:rsidP="008D4B8F">
      <w:pPr>
        <w:pStyle w:val="BodyText3"/>
        <w:rPr>
          <w:szCs w:val="22"/>
        </w:rPr>
      </w:pPr>
    </w:p>
    <w:p w14:paraId="2E895696" w14:textId="77777777" w:rsidR="008D4B8F" w:rsidRPr="008912CF" w:rsidRDefault="00615769" w:rsidP="008D4B8F">
      <w:pPr>
        <w:pStyle w:val="BodyText3"/>
        <w:rPr>
          <w:szCs w:val="22"/>
        </w:rPr>
      </w:pPr>
      <w:r w:rsidRPr="008912CF">
        <w:rPr>
          <w:szCs w:val="22"/>
        </w:rPr>
        <w:t xml:space="preserve">Manter </w:t>
      </w:r>
      <w:r w:rsidR="00F3002E">
        <w:rPr>
          <w:szCs w:val="22"/>
        </w:rPr>
        <w:t>a seringa pré-cheia</w:t>
      </w:r>
      <w:r w:rsidRPr="008912CF">
        <w:rPr>
          <w:szCs w:val="22"/>
        </w:rPr>
        <w:t xml:space="preserve"> na embalagem exterior para proteger da luz.</w:t>
      </w:r>
    </w:p>
    <w:p w14:paraId="65CB806C" w14:textId="77777777" w:rsidR="008D4B8F" w:rsidRDefault="008D4B8F" w:rsidP="008D4B8F">
      <w:pPr>
        <w:ind w:right="-2"/>
        <w:rPr>
          <w:sz w:val="22"/>
          <w:szCs w:val="22"/>
        </w:rPr>
      </w:pPr>
    </w:p>
    <w:p w14:paraId="4B0A9776" w14:textId="77777777" w:rsidR="00070F7D" w:rsidRPr="008912CF" w:rsidRDefault="00615769" w:rsidP="00070F7D">
      <w:pPr>
        <w:rPr>
          <w:rStyle w:val="hpsatn"/>
          <w:sz w:val="22"/>
          <w:szCs w:val="22"/>
        </w:rPr>
      </w:pPr>
      <w:r w:rsidRPr="008912CF">
        <w:rPr>
          <w:rStyle w:val="hpsatn"/>
          <w:sz w:val="22"/>
          <w:szCs w:val="22"/>
        </w:rPr>
        <w:t>Conservação Alternativa:</w:t>
      </w:r>
    </w:p>
    <w:p w14:paraId="706156BE" w14:textId="77777777" w:rsidR="00070F7D" w:rsidRPr="008912CF" w:rsidRDefault="00070F7D" w:rsidP="00070F7D">
      <w:pPr>
        <w:rPr>
          <w:rStyle w:val="hpsatn"/>
          <w:sz w:val="22"/>
          <w:szCs w:val="22"/>
        </w:rPr>
      </w:pPr>
    </w:p>
    <w:p w14:paraId="61499ECC" w14:textId="77777777" w:rsidR="00070F7D" w:rsidRPr="008912CF" w:rsidRDefault="00615769" w:rsidP="00070F7D">
      <w:pPr>
        <w:rPr>
          <w:rStyle w:val="hps"/>
          <w:sz w:val="22"/>
          <w:szCs w:val="22"/>
        </w:rPr>
      </w:pPr>
      <w:r w:rsidRPr="008912CF">
        <w:rPr>
          <w:rStyle w:val="hpsatn"/>
          <w:sz w:val="22"/>
          <w:szCs w:val="22"/>
        </w:rPr>
        <w:t>Quando necessário (</w:t>
      </w:r>
      <w:r w:rsidRPr="008912CF">
        <w:rPr>
          <w:sz w:val="22"/>
          <w:szCs w:val="22"/>
        </w:rPr>
        <w:t xml:space="preserve">por exemplo, quando </w:t>
      </w:r>
      <w:r w:rsidRPr="008912CF">
        <w:rPr>
          <w:rStyle w:val="hps"/>
          <w:sz w:val="22"/>
          <w:szCs w:val="22"/>
        </w:rPr>
        <w:t>está a viajar</w:t>
      </w:r>
      <w:r w:rsidRPr="008912CF">
        <w:rPr>
          <w:sz w:val="22"/>
          <w:szCs w:val="22"/>
        </w:rPr>
        <w:t xml:space="preserve">), uma </w:t>
      </w:r>
      <w:r>
        <w:rPr>
          <w:sz w:val="22"/>
          <w:szCs w:val="22"/>
        </w:rPr>
        <w:t>seringa</w:t>
      </w:r>
      <w:r w:rsidRPr="008912CF">
        <w:rPr>
          <w:rStyle w:val="hps"/>
          <w:sz w:val="22"/>
          <w:szCs w:val="22"/>
        </w:rPr>
        <w:t xml:space="preserve"> pré-cheia</w:t>
      </w:r>
      <w:r w:rsidRPr="008912CF">
        <w:rPr>
          <w:sz w:val="22"/>
          <w:szCs w:val="22"/>
        </w:rPr>
        <w:t xml:space="preserve"> de </w:t>
      </w:r>
      <w:r w:rsidRPr="008912CF">
        <w:rPr>
          <w:rStyle w:val="hps"/>
          <w:sz w:val="22"/>
          <w:szCs w:val="22"/>
        </w:rPr>
        <w:t>Humira pode ser</w:t>
      </w:r>
      <w:r w:rsidRPr="008912CF">
        <w:rPr>
          <w:sz w:val="22"/>
          <w:szCs w:val="22"/>
        </w:rPr>
        <w:t xml:space="preserve"> conservada</w:t>
      </w:r>
      <w:r w:rsidRPr="008912CF">
        <w:rPr>
          <w:rStyle w:val="hps"/>
          <w:sz w:val="22"/>
          <w:szCs w:val="22"/>
        </w:rPr>
        <w:t xml:space="preserve"> até um período</w:t>
      </w:r>
      <w:r w:rsidRPr="008912CF">
        <w:rPr>
          <w:sz w:val="22"/>
          <w:szCs w:val="22"/>
        </w:rPr>
        <w:t xml:space="preserve"> </w:t>
      </w:r>
      <w:r w:rsidRPr="008912CF">
        <w:rPr>
          <w:rStyle w:val="hps"/>
          <w:sz w:val="22"/>
          <w:szCs w:val="22"/>
        </w:rPr>
        <w:t>máximo de 14 dias,</w:t>
      </w:r>
      <w:r w:rsidRPr="008912CF">
        <w:rPr>
          <w:sz w:val="22"/>
          <w:szCs w:val="22"/>
        </w:rPr>
        <w:t xml:space="preserve"> </w:t>
      </w:r>
      <w:r w:rsidRPr="008912CF">
        <w:rPr>
          <w:rStyle w:val="hps"/>
          <w:sz w:val="22"/>
          <w:szCs w:val="22"/>
        </w:rPr>
        <w:t>à temperatura ambiente</w:t>
      </w:r>
      <w:r w:rsidRPr="008912CF">
        <w:rPr>
          <w:sz w:val="22"/>
          <w:szCs w:val="22"/>
        </w:rPr>
        <w:t xml:space="preserve"> </w:t>
      </w:r>
      <w:r w:rsidRPr="008912CF">
        <w:rPr>
          <w:rStyle w:val="hps"/>
          <w:sz w:val="22"/>
          <w:szCs w:val="22"/>
        </w:rPr>
        <w:t>(até 25</w:t>
      </w:r>
      <w:r w:rsidRPr="008912CF">
        <w:rPr>
          <w:sz w:val="22"/>
          <w:szCs w:val="22"/>
        </w:rPr>
        <w:t xml:space="preserve"> </w:t>
      </w:r>
      <w:r w:rsidRPr="008912CF">
        <w:rPr>
          <w:rStyle w:val="hps"/>
          <w:sz w:val="22"/>
          <w:szCs w:val="22"/>
        </w:rPr>
        <w:t>° C)</w:t>
      </w:r>
      <w:r w:rsidRPr="008912CF">
        <w:rPr>
          <w:sz w:val="22"/>
          <w:szCs w:val="22"/>
        </w:rPr>
        <w:t xml:space="preserve"> </w:t>
      </w:r>
      <w:r w:rsidRPr="008912CF">
        <w:rPr>
          <w:rStyle w:val="hps"/>
          <w:sz w:val="22"/>
          <w:szCs w:val="22"/>
        </w:rPr>
        <w:t>-</w:t>
      </w:r>
      <w:r w:rsidRPr="008912CF">
        <w:rPr>
          <w:sz w:val="22"/>
          <w:szCs w:val="22"/>
        </w:rPr>
        <w:t xml:space="preserve"> </w:t>
      </w:r>
      <w:r w:rsidRPr="008912CF">
        <w:rPr>
          <w:rStyle w:val="hps"/>
          <w:sz w:val="22"/>
          <w:szCs w:val="22"/>
        </w:rPr>
        <w:t>ter a certeza que</w:t>
      </w:r>
      <w:r w:rsidRPr="008912CF">
        <w:rPr>
          <w:sz w:val="22"/>
          <w:szCs w:val="22"/>
        </w:rPr>
        <w:t xml:space="preserve"> a</w:t>
      </w:r>
      <w:r w:rsidRPr="008912CF">
        <w:rPr>
          <w:rStyle w:val="hps"/>
          <w:sz w:val="22"/>
          <w:szCs w:val="22"/>
        </w:rPr>
        <w:t xml:space="preserve"> protege da luz</w:t>
      </w:r>
      <w:r w:rsidRPr="008912CF">
        <w:rPr>
          <w:sz w:val="22"/>
          <w:szCs w:val="22"/>
        </w:rPr>
        <w:t xml:space="preserve">. </w:t>
      </w:r>
      <w:r w:rsidRPr="008912CF">
        <w:rPr>
          <w:rStyle w:val="hps"/>
          <w:sz w:val="22"/>
          <w:szCs w:val="22"/>
        </w:rPr>
        <w:t>Uma vez</w:t>
      </w:r>
      <w:r w:rsidRPr="008912CF">
        <w:rPr>
          <w:sz w:val="22"/>
          <w:szCs w:val="22"/>
        </w:rPr>
        <w:t xml:space="preserve"> </w:t>
      </w:r>
      <w:r w:rsidRPr="008912CF">
        <w:rPr>
          <w:rStyle w:val="hps"/>
          <w:sz w:val="22"/>
          <w:szCs w:val="22"/>
        </w:rPr>
        <w:t>retirada do</w:t>
      </w:r>
      <w:r w:rsidRPr="008912CF">
        <w:rPr>
          <w:sz w:val="22"/>
          <w:szCs w:val="22"/>
        </w:rPr>
        <w:t xml:space="preserve"> </w:t>
      </w:r>
      <w:r w:rsidRPr="008912CF">
        <w:rPr>
          <w:rStyle w:val="hps"/>
          <w:sz w:val="22"/>
          <w:szCs w:val="22"/>
        </w:rPr>
        <w:t>frigorífico</w:t>
      </w:r>
      <w:r w:rsidRPr="008912CF">
        <w:rPr>
          <w:sz w:val="22"/>
          <w:szCs w:val="22"/>
        </w:rPr>
        <w:t xml:space="preserve"> </w:t>
      </w:r>
      <w:r w:rsidRPr="008912CF">
        <w:rPr>
          <w:rStyle w:val="hps"/>
          <w:sz w:val="22"/>
          <w:szCs w:val="22"/>
        </w:rPr>
        <w:t>para a temperatura ambiente</w:t>
      </w:r>
      <w:r w:rsidRPr="008912CF">
        <w:rPr>
          <w:sz w:val="22"/>
          <w:szCs w:val="22"/>
        </w:rPr>
        <w:t xml:space="preserve">, a </w:t>
      </w:r>
      <w:r>
        <w:rPr>
          <w:sz w:val="22"/>
          <w:szCs w:val="22"/>
        </w:rPr>
        <w:t>seringa</w:t>
      </w:r>
      <w:r w:rsidRPr="008912CF">
        <w:rPr>
          <w:sz w:val="22"/>
          <w:szCs w:val="22"/>
        </w:rPr>
        <w:t xml:space="preserve"> </w:t>
      </w:r>
      <w:r w:rsidRPr="008912CF">
        <w:rPr>
          <w:rStyle w:val="hps"/>
          <w:b/>
          <w:bCs/>
          <w:sz w:val="22"/>
          <w:szCs w:val="22"/>
        </w:rPr>
        <w:t>deve ser utilizada</w:t>
      </w:r>
      <w:r w:rsidRPr="008912CF">
        <w:rPr>
          <w:b/>
          <w:bCs/>
          <w:sz w:val="22"/>
          <w:szCs w:val="22"/>
        </w:rPr>
        <w:t xml:space="preserve"> </w:t>
      </w:r>
      <w:r w:rsidRPr="008912CF">
        <w:rPr>
          <w:rStyle w:val="hps"/>
          <w:b/>
          <w:bCs/>
          <w:sz w:val="22"/>
          <w:szCs w:val="22"/>
        </w:rPr>
        <w:t>dentro de 14 dias</w:t>
      </w:r>
      <w:r w:rsidRPr="008912CF">
        <w:rPr>
          <w:b/>
          <w:bCs/>
          <w:sz w:val="22"/>
          <w:szCs w:val="22"/>
        </w:rPr>
        <w:t xml:space="preserve"> </w:t>
      </w:r>
      <w:r w:rsidRPr="008912CF">
        <w:rPr>
          <w:rStyle w:val="hps"/>
          <w:b/>
          <w:bCs/>
          <w:sz w:val="22"/>
          <w:szCs w:val="22"/>
        </w:rPr>
        <w:t>ou eliminada</w:t>
      </w:r>
      <w:r w:rsidRPr="008912CF">
        <w:rPr>
          <w:sz w:val="22"/>
          <w:szCs w:val="22"/>
        </w:rPr>
        <w:t>, mesmo que a volte a colocar n</w:t>
      </w:r>
      <w:r w:rsidRPr="008912CF">
        <w:rPr>
          <w:rStyle w:val="hps"/>
          <w:sz w:val="22"/>
          <w:szCs w:val="22"/>
        </w:rPr>
        <w:t>o frigorífico.</w:t>
      </w:r>
    </w:p>
    <w:p w14:paraId="605DE7FA" w14:textId="77777777" w:rsidR="00070F7D" w:rsidRPr="008912CF" w:rsidRDefault="00070F7D" w:rsidP="00070F7D">
      <w:pPr>
        <w:rPr>
          <w:rStyle w:val="hps"/>
          <w:sz w:val="22"/>
          <w:szCs w:val="22"/>
        </w:rPr>
      </w:pPr>
    </w:p>
    <w:p w14:paraId="0D9942EE" w14:textId="77777777" w:rsidR="00070F7D" w:rsidRPr="008912CF" w:rsidRDefault="00615769" w:rsidP="00070F7D">
      <w:pPr>
        <w:ind w:right="-2"/>
        <w:rPr>
          <w:sz w:val="22"/>
          <w:szCs w:val="22"/>
        </w:rPr>
      </w:pPr>
      <w:r w:rsidRPr="008912CF">
        <w:rPr>
          <w:rStyle w:val="hps"/>
          <w:sz w:val="22"/>
          <w:szCs w:val="22"/>
        </w:rPr>
        <w:t>Deve registar a data em que</w:t>
      </w:r>
      <w:r w:rsidRPr="008912CF">
        <w:rPr>
          <w:sz w:val="22"/>
          <w:szCs w:val="22"/>
        </w:rPr>
        <w:t xml:space="preserve"> </w:t>
      </w:r>
      <w:r w:rsidRPr="008912CF">
        <w:rPr>
          <w:rStyle w:val="hps"/>
          <w:sz w:val="22"/>
          <w:szCs w:val="22"/>
        </w:rPr>
        <w:t xml:space="preserve">a </w:t>
      </w:r>
      <w:r>
        <w:rPr>
          <w:rStyle w:val="hps"/>
          <w:sz w:val="22"/>
          <w:szCs w:val="22"/>
        </w:rPr>
        <w:t>seringa</w:t>
      </w:r>
      <w:r w:rsidRPr="008912CF">
        <w:rPr>
          <w:rStyle w:val="hps"/>
          <w:sz w:val="22"/>
          <w:szCs w:val="22"/>
        </w:rPr>
        <w:t xml:space="preserve"> foi inicialmente </w:t>
      </w:r>
      <w:r w:rsidRPr="008912CF">
        <w:rPr>
          <w:sz w:val="22"/>
          <w:szCs w:val="22"/>
        </w:rPr>
        <w:t>r</w:t>
      </w:r>
      <w:r w:rsidRPr="008912CF">
        <w:rPr>
          <w:rStyle w:val="hps"/>
          <w:sz w:val="22"/>
          <w:szCs w:val="22"/>
        </w:rPr>
        <w:t>etirada do frigorífico e a data em que deve ser eliminada.</w:t>
      </w:r>
    </w:p>
    <w:p w14:paraId="4BA96785" w14:textId="77777777" w:rsidR="00070F7D" w:rsidRPr="008912CF" w:rsidRDefault="00070F7D" w:rsidP="00070F7D">
      <w:pPr>
        <w:ind w:right="-2"/>
        <w:rPr>
          <w:sz w:val="22"/>
          <w:szCs w:val="22"/>
        </w:rPr>
      </w:pPr>
    </w:p>
    <w:p w14:paraId="3CF548F6" w14:textId="77777777" w:rsidR="00070F7D" w:rsidRPr="008912CF" w:rsidRDefault="00615769" w:rsidP="00070F7D">
      <w:pPr>
        <w:ind w:right="-2"/>
        <w:rPr>
          <w:bCs/>
          <w:sz w:val="22"/>
          <w:szCs w:val="22"/>
        </w:rPr>
      </w:pPr>
      <w:r w:rsidRPr="008912CF">
        <w:rPr>
          <w:sz w:val="22"/>
          <w:szCs w:val="22"/>
        </w:rPr>
        <w:t xml:space="preserve">Não deite fora quaisquer medicamentos na canalização ou no lixo doméstico. Pergunte ao seu </w:t>
      </w:r>
      <w:r w:rsidR="00723763">
        <w:rPr>
          <w:sz w:val="22"/>
          <w:szCs w:val="22"/>
        </w:rPr>
        <w:t xml:space="preserve">médico ou </w:t>
      </w:r>
      <w:r w:rsidRPr="008912CF">
        <w:rPr>
          <w:sz w:val="22"/>
          <w:szCs w:val="22"/>
        </w:rPr>
        <w:t xml:space="preserve">farmacêutico como deitar fora os medicamentos que já não utiliza. Estas medidas ajudarão a proteger o ambiente. </w:t>
      </w:r>
    </w:p>
    <w:p w14:paraId="28FCD192" w14:textId="77777777" w:rsidR="008D4B8F" w:rsidRPr="008912CF" w:rsidRDefault="008D4B8F" w:rsidP="008D4B8F">
      <w:pPr>
        <w:ind w:right="-2"/>
        <w:rPr>
          <w:b/>
          <w:sz w:val="22"/>
          <w:szCs w:val="22"/>
        </w:rPr>
      </w:pPr>
    </w:p>
    <w:p w14:paraId="06009D78" w14:textId="77777777" w:rsidR="008D4B8F" w:rsidRPr="008912CF" w:rsidRDefault="00615769" w:rsidP="008D4B8F">
      <w:pPr>
        <w:ind w:left="567" w:right="-2" w:hanging="567"/>
        <w:rPr>
          <w:b/>
          <w:sz w:val="22"/>
          <w:szCs w:val="22"/>
        </w:rPr>
      </w:pPr>
      <w:r w:rsidRPr="008912CF">
        <w:rPr>
          <w:b/>
          <w:sz w:val="22"/>
          <w:szCs w:val="22"/>
        </w:rPr>
        <w:t>6.</w:t>
      </w:r>
      <w:r w:rsidRPr="008912CF">
        <w:rPr>
          <w:b/>
          <w:sz w:val="22"/>
          <w:szCs w:val="22"/>
        </w:rPr>
        <w:tab/>
        <w:t>Conteúdo da embalagem e outras informações</w:t>
      </w:r>
    </w:p>
    <w:p w14:paraId="60A5A662" w14:textId="77777777" w:rsidR="008D4B8F" w:rsidRPr="008912CF" w:rsidRDefault="008D4B8F" w:rsidP="008D4B8F">
      <w:pPr>
        <w:pStyle w:val="Heading8"/>
        <w:keepNext w:val="0"/>
        <w:rPr>
          <w:szCs w:val="22"/>
        </w:rPr>
      </w:pPr>
    </w:p>
    <w:p w14:paraId="4DECFABB" w14:textId="77777777" w:rsidR="008D4B8F" w:rsidRPr="008912CF" w:rsidRDefault="00615769" w:rsidP="008D4B8F">
      <w:pPr>
        <w:pStyle w:val="Heading8"/>
        <w:keepNext w:val="0"/>
        <w:rPr>
          <w:szCs w:val="22"/>
        </w:rPr>
      </w:pPr>
      <w:r w:rsidRPr="008912CF">
        <w:rPr>
          <w:szCs w:val="22"/>
        </w:rPr>
        <w:t>Qual a composição de Humira</w:t>
      </w:r>
    </w:p>
    <w:p w14:paraId="175BBED0" w14:textId="77777777" w:rsidR="008D4B8F" w:rsidRPr="008912CF" w:rsidRDefault="008D4B8F" w:rsidP="008D4B8F">
      <w:pPr>
        <w:ind w:right="-2"/>
        <w:rPr>
          <w:b/>
          <w:bCs/>
          <w:sz w:val="22"/>
          <w:szCs w:val="22"/>
        </w:rPr>
      </w:pPr>
    </w:p>
    <w:p w14:paraId="35B3F41A" w14:textId="77777777" w:rsidR="008D4B8F" w:rsidRPr="008912CF" w:rsidRDefault="00615769" w:rsidP="008D4B8F">
      <w:pPr>
        <w:ind w:right="-2"/>
        <w:rPr>
          <w:sz w:val="22"/>
          <w:szCs w:val="22"/>
        </w:rPr>
      </w:pPr>
      <w:r w:rsidRPr="008912CF">
        <w:rPr>
          <w:sz w:val="22"/>
          <w:szCs w:val="22"/>
        </w:rPr>
        <w:t>A substância ativa é adalimumab.</w:t>
      </w:r>
    </w:p>
    <w:p w14:paraId="53A8484F" w14:textId="77777777" w:rsidR="008D4B8F" w:rsidRPr="008912CF" w:rsidRDefault="00615769" w:rsidP="008D4B8F">
      <w:pPr>
        <w:ind w:right="-2"/>
        <w:rPr>
          <w:sz w:val="22"/>
          <w:szCs w:val="22"/>
        </w:rPr>
      </w:pPr>
      <w:r w:rsidRPr="008912CF">
        <w:rPr>
          <w:sz w:val="22"/>
          <w:szCs w:val="22"/>
        </w:rPr>
        <w:t>Os outros componentes são manitol, polissorbato 80</w:t>
      </w:r>
      <w:r w:rsidR="00070F7D">
        <w:rPr>
          <w:sz w:val="22"/>
          <w:szCs w:val="22"/>
        </w:rPr>
        <w:t xml:space="preserve"> </w:t>
      </w:r>
      <w:r w:rsidRPr="008912CF">
        <w:rPr>
          <w:sz w:val="22"/>
          <w:szCs w:val="22"/>
        </w:rPr>
        <w:t>e água para preparações injetáveis.</w:t>
      </w:r>
    </w:p>
    <w:p w14:paraId="79EAE7BF" w14:textId="77777777" w:rsidR="008D4B8F" w:rsidRPr="008912CF" w:rsidRDefault="008D4B8F" w:rsidP="008D4B8F">
      <w:pPr>
        <w:ind w:right="-2"/>
        <w:rPr>
          <w:sz w:val="22"/>
          <w:szCs w:val="22"/>
        </w:rPr>
      </w:pPr>
    </w:p>
    <w:p w14:paraId="43C97D8D" w14:textId="77777777" w:rsidR="008D4B8F" w:rsidRPr="008912CF" w:rsidRDefault="00615769" w:rsidP="008D4B8F">
      <w:pPr>
        <w:pStyle w:val="Heading8"/>
        <w:keepNext w:val="0"/>
        <w:rPr>
          <w:szCs w:val="22"/>
        </w:rPr>
      </w:pPr>
      <w:r w:rsidRPr="008912CF">
        <w:rPr>
          <w:szCs w:val="22"/>
        </w:rPr>
        <w:t>Qual o aspeto d</w:t>
      </w:r>
      <w:r w:rsidR="00070F7D">
        <w:rPr>
          <w:szCs w:val="22"/>
        </w:rPr>
        <w:t>a seringa pré-cheia de</w:t>
      </w:r>
      <w:r w:rsidRPr="008912CF">
        <w:rPr>
          <w:szCs w:val="22"/>
        </w:rPr>
        <w:t xml:space="preserve"> Humira e conteúdo da embalagem</w:t>
      </w:r>
    </w:p>
    <w:p w14:paraId="23E26B1B" w14:textId="77777777" w:rsidR="008D4B8F" w:rsidRPr="008912CF" w:rsidRDefault="008D4B8F" w:rsidP="008D4B8F">
      <w:pPr>
        <w:ind w:right="-2"/>
        <w:rPr>
          <w:sz w:val="22"/>
          <w:szCs w:val="22"/>
        </w:rPr>
      </w:pPr>
    </w:p>
    <w:p w14:paraId="4033BF54" w14:textId="77777777" w:rsidR="008D4B8F" w:rsidRPr="008912CF" w:rsidRDefault="00615769" w:rsidP="008D4B8F">
      <w:pPr>
        <w:ind w:right="-2"/>
        <w:rPr>
          <w:sz w:val="22"/>
          <w:szCs w:val="22"/>
        </w:rPr>
      </w:pPr>
      <w:r>
        <w:rPr>
          <w:sz w:val="22"/>
          <w:szCs w:val="22"/>
        </w:rPr>
        <w:t>Humira 2</w:t>
      </w:r>
      <w:r w:rsidRPr="008912CF">
        <w:rPr>
          <w:sz w:val="22"/>
          <w:szCs w:val="22"/>
        </w:rPr>
        <w:t xml:space="preserve">0 mg solução injetável em </w:t>
      </w:r>
      <w:r>
        <w:rPr>
          <w:sz w:val="22"/>
          <w:szCs w:val="22"/>
        </w:rPr>
        <w:t xml:space="preserve">seringa pré-cheia para uso pediátrico </w:t>
      </w:r>
      <w:r w:rsidRPr="008912CF">
        <w:rPr>
          <w:sz w:val="22"/>
          <w:szCs w:val="22"/>
        </w:rPr>
        <w:t xml:space="preserve">é fornecido sob a forma de uma solução estéril contendo </w:t>
      </w:r>
      <w:r>
        <w:rPr>
          <w:sz w:val="22"/>
          <w:szCs w:val="22"/>
        </w:rPr>
        <w:t>2</w:t>
      </w:r>
      <w:r w:rsidRPr="008912CF">
        <w:rPr>
          <w:sz w:val="22"/>
          <w:szCs w:val="22"/>
        </w:rPr>
        <w:t>0 mg de adalimumab dissolvido em 0,</w:t>
      </w:r>
      <w:r>
        <w:rPr>
          <w:sz w:val="22"/>
          <w:szCs w:val="22"/>
        </w:rPr>
        <w:t>2</w:t>
      </w:r>
      <w:r w:rsidRPr="008912CF">
        <w:rPr>
          <w:sz w:val="22"/>
          <w:szCs w:val="22"/>
        </w:rPr>
        <w:t> ml de solução.</w:t>
      </w:r>
    </w:p>
    <w:p w14:paraId="1C3FCF29" w14:textId="77777777" w:rsidR="008D4B8F" w:rsidRPr="008912CF" w:rsidRDefault="008D4B8F" w:rsidP="008D4B8F">
      <w:pPr>
        <w:ind w:right="-2"/>
        <w:rPr>
          <w:sz w:val="22"/>
          <w:szCs w:val="22"/>
        </w:rPr>
      </w:pPr>
    </w:p>
    <w:p w14:paraId="56FB22F9" w14:textId="77777777" w:rsidR="00435AA4" w:rsidRDefault="00615769" w:rsidP="008D4B8F">
      <w:pPr>
        <w:ind w:right="-2"/>
        <w:rPr>
          <w:sz w:val="22"/>
          <w:szCs w:val="22"/>
        </w:rPr>
      </w:pPr>
      <w:r>
        <w:rPr>
          <w:sz w:val="22"/>
          <w:szCs w:val="22"/>
        </w:rPr>
        <w:t>A seringa pré-cheia de</w:t>
      </w:r>
      <w:r w:rsidR="008D4B8F" w:rsidRPr="008912CF">
        <w:rPr>
          <w:sz w:val="22"/>
          <w:szCs w:val="22"/>
        </w:rPr>
        <w:t xml:space="preserve"> Humira é de vidro contendo a solução de adalimumab. </w:t>
      </w:r>
    </w:p>
    <w:p w14:paraId="7B798471" w14:textId="77777777" w:rsidR="00435AA4" w:rsidRDefault="00435AA4" w:rsidP="008D4B8F">
      <w:pPr>
        <w:ind w:right="-2"/>
        <w:rPr>
          <w:sz w:val="22"/>
          <w:szCs w:val="22"/>
        </w:rPr>
      </w:pPr>
    </w:p>
    <w:p w14:paraId="7FDAE905" w14:textId="77777777" w:rsidR="008D4B8F" w:rsidRPr="008912CF" w:rsidRDefault="00615769" w:rsidP="008D4B8F">
      <w:pPr>
        <w:ind w:right="-2"/>
        <w:rPr>
          <w:sz w:val="22"/>
          <w:szCs w:val="22"/>
        </w:rPr>
      </w:pPr>
      <w:r>
        <w:rPr>
          <w:sz w:val="22"/>
          <w:szCs w:val="22"/>
        </w:rPr>
        <w:t xml:space="preserve">A seringa pré-cheia de Humira está disponível em embalagens contendo 2 </w:t>
      </w:r>
      <w:r w:rsidRPr="008912CF">
        <w:rPr>
          <w:sz w:val="22"/>
          <w:szCs w:val="22"/>
        </w:rPr>
        <w:t>seringa</w:t>
      </w:r>
      <w:r>
        <w:rPr>
          <w:sz w:val="22"/>
          <w:szCs w:val="22"/>
        </w:rPr>
        <w:t>s</w:t>
      </w:r>
      <w:r w:rsidRPr="008912CF">
        <w:rPr>
          <w:sz w:val="22"/>
          <w:szCs w:val="22"/>
        </w:rPr>
        <w:t xml:space="preserve"> </w:t>
      </w:r>
      <w:r>
        <w:rPr>
          <w:sz w:val="22"/>
          <w:szCs w:val="22"/>
        </w:rPr>
        <w:t xml:space="preserve">pré-cheias e 2 </w:t>
      </w:r>
      <w:r w:rsidRPr="008912CF">
        <w:rPr>
          <w:sz w:val="22"/>
          <w:szCs w:val="22"/>
        </w:rPr>
        <w:t xml:space="preserve">compressas embebidas em álcool.  </w:t>
      </w:r>
    </w:p>
    <w:p w14:paraId="0C2A5C55" w14:textId="77777777" w:rsidR="008D4B8F" w:rsidRPr="008912CF" w:rsidRDefault="008D4B8F" w:rsidP="008D4B8F">
      <w:pPr>
        <w:ind w:right="-2"/>
        <w:rPr>
          <w:sz w:val="22"/>
          <w:szCs w:val="22"/>
        </w:rPr>
      </w:pPr>
    </w:p>
    <w:p w14:paraId="5024D190" w14:textId="77777777" w:rsidR="008D4B8F" w:rsidRPr="008912CF" w:rsidRDefault="00615769" w:rsidP="008D4B8F">
      <w:pPr>
        <w:ind w:right="-2"/>
        <w:rPr>
          <w:sz w:val="22"/>
          <w:szCs w:val="22"/>
        </w:rPr>
      </w:pPr>
      <w:r w:rsidRPr="008912CF">
        <w:rPr>
          <w:sz w:val="22"/>
          <w:szCs w:val="22"/>
        </w:rPr>
        <w:t xml:space="preserve">Humira </w:t>
      </w:r>
      <w:r w:rsidR="00F3002E">
        <w:rPr>
          <w:sz w:val="22"/>
          <w:szCs w:val="22"/>
        </w:rPr>
        <w:t>pode estar</w:t>
      </w:r>
      <w:r w:rsidRPr="008912CF">
        <w:rPr>
          <w:sz w:val="22"/>
          <w:szCs w:val="22"/>
        </w:rPr>
        <w:t xml:space="preserve"> disponível em </w:t>
      </w:r>
      <w:r w:rsidR="00435AA4">
        <w:rPr>
          <w:sz w:val="22"/>
          <w:szCs w:val="22"/>
        </w:rPr>
        <w:t xml:space="preserve">frasco para injetáveis, </w:t>
      </w:r>
      <w:r w:rsidRPr="008912CF">
        <w:rPr>
          <w:sz w:val="22"/>
          <w:szCs w:val="22"/>
        </w:rPr>
        <w:t>seringa pré-cheia ou em caneta pré-cheia.</w:t>
      </w:r>
    </w:p>
    <w:p w14:paraId="2F88735B" w14:textId="77777777" w:rsidR="008D4B8F" w:rsidRPr="008912CF" w:rsidRDefault="008D4B8F" w:rsidP="008D4B8F">
      <w:pPr>
        <w:ind w:right="-2"/>
        <w:rPr>
          <w:sz w:val="22"/>
          <w:szCs w:val="22"/>
        </w:rPr>
      </w:pPr>
    </w:p>
    <w:p w14:paraId="20BE2F12" w14:textId="77777777" w:rsidR="008D4B8F" w:rsidRPr="008912CF" w:rsidRDefault="00615769" w:rsidP="008D4B8F">
      <w:pPr>
        <w:pStyle w:val="Heading8"/>
        <w:keepNext w:val="0"/>
        <w:rPr>
          <w:szCs w:val="22"/>
        </w:rPr>
      </w:pPr>
      <w:r w:rsidRPr="008912CF">
        <w:rPr>
          <w:szCs w:val="22"/>
        </w:rPr>
        <w:t>Titular</w:t>
      </w:r>
      <w:r w:rsidR="00EF021D">
        <w:rPr>
          <w:szCs w:val="22"/>
        </w:rPr>
        <w:t xml:space="preserve"> </w:t>
      </w:r>
      <w:r w:rsidRPr="008912CF">
        <w:rPr>
          <w:szCs w:val="22"/>
        </w:rPr>
        <w:t xml:space="preserve">da Autorização de Introdução no Mercado </w:t>
      </w:r>
    </w:p>
    <w:p w14:paraId="3B20842E" w14:textId="77777777" w:rsidR="008D4B8F" w:rsidRPr="008912CF" w:rsidRDefault="008D4B8F" w:rsidP="008D4B8F">
      <w:pPr>
        <w:ind w:right="-2"/>
        <w:rPr>
          <w:sz w:val="22"/>
          <w:szCs w:val="22"/>
        </w:rPr>
      </w:pPr>
    </w:p>
    <w:p w14:paraId="697BACDA" w14:textId="77777777" w:rsidR="0011498D" w:rsidRPr="00140752" w:rsidRDefault="00615769" w:rsidP="0011498D">
      <w:pPr>
        <w:tabs>
          <w:tab w:val="left" w:pos="720"/>
        </w:tabs>
        <w:rPr>
          <w:sz w:val="22"/>
          <w:szCs w:val="22"/>
          <w:lang w:val="de-DE"/>
        </w:rPr>
      </w:pPr>
      <w:r w:rsidRPr="00140752">
        <w:rPr>
          <w:sz w:val="22"/>
          <w:szCs w:val="22"/>
          <w:lang w:val="de-DE"/>
        </w:rPr>
        <w:t>AbbVie Deutschland GmbH &amp; Co. KG</w:t>
      </w:r>
    </w:p>
    <w:p w14:paraId="48A326B9" w14:textId="77777777" w:rsidR="0011498D" w:rsidRPr="008D6D3A" w:rsidRDefault="00615769" w:rsidP="0011498D">
      <w:pPr>
        <w:tabs>
          <w:tab w:val="left" w:pos="720"/>
        </w:tabs>
        <w:rPr>
          <w:sz w:val="22"/>
          <w:szCs w:val="22"/>
          <w:lang w:val="de-CH"/>
        </w:rPr>
      </w:pPr>
      <w:r w:rsidRPr="008D6D3A">
        <w:rPr>
          <w:sz w:val="22"/>
          <w:szCs w:val="22"/>
          <w:lang w:val="de-CH"/>
        </w:rPr>
        <w:t>Knollstrasse</w:t>
      </w:r>
    </w:p>
    <w:p w14:paraId="361166E4" w14:textId="77777777" w:rsidR="0011498D" w:rsidRPr="008D6D3A" w:rsidRDefault="00615769" w:rsidP="0011498D">
      <w:pPr>
        <w:tabs>
          <w:tab w:val="left" w:pos="720"/>
        </w:tabs>
        <w:rPr>
          <w:sz w:val="22"/>
          <w:szCs w:val="22"/>
          <w:lang w:val="de-CH"/>
        </w:rPr>
      </w:pPr>
      <w:r w:rsidRPr="008D6D3A">
        <w:rPr>
          <w:sz w:val="22"/>
          <w:szCs w:val="22"/>
          <w:lang w:val="de-CH"/>
        </w:rPr>
        <w:t>67061 Ludwigshafen</w:t>
      </w:r>
    </w:p>
    <w:p w14:paraId="54A510F1" w14:textId="77777777" w:rsidR="008D4B8F" w:rsidRPr="008D6D3A" w:rsidRDefault="00615769" w:rsidP="008D4B8F">
      <w:pPr>
        <w:rPr>
          <w:sz w:val="22"/>
          <w:szCs w:val="22"/>
          <w:lang w:val="de-CH"/>
        </w:rPr>
      </w:pPr>
      <w:r w:rsidRPr="008D6D3A">
        <w:rPr>
          <w:sz w:val="22"/>
          <w:szCs w:val="22"/>
          <w:lang w:val="de-CH"/>
        </w:rPr>
        <w:t>Alemanha</w:t>
      </w:r>
    </w:p>
    <w:p w14:paraId="5B87DEC4" w14:textId="77777777" w:rsidR="008D4B8F" w:rsidRPr="008D6D3A" w:rsidRDefault="008D4B8F" w:rsidP="008D4B8F">
      <w:pPr>
        <w:ind w:right="-2"/>
        <w:rPr>
          <w:sz w:val="22"/>
          <w:szCs w:val="22"/>
          <w:lang w:val="de-CH"/>
        </w:rPr>
      </w:pPr>
    </w:p>
    <w:p w14:paraId="0679F0A7" w14:textId="77777777" w:rsidR="008D4B8F" w:rsidRPr="008D6D3A" w:rsidRDefault="00615769" w:rsidP="008D4B8F">
      <w:pPr>
        <w:ind w:right="-2"/>
        <w:rPr>
          <w:b/>
          <w:bCs/>
          <w:sz w:val="22"/>
          <w:szCs w:val="22"/>
          <w:lang w:val="de-CH"/>
        </w:rPr>
      </w:pPr>
      <w:r w:rsidRPr="008D6D3A">
        <w:rPr>
          <w:b/>
          <w:bCs/>
          <w:sz w:val="22"/>
          <w:szCs w:val="22"/>
          <w:lang w:val="de-CH"/>
        </w:rPr>
        <w:t>Fabricante</w:t>
      </w:r>
    </w:p>
    <w:p w14:paraId="0F11FC48" w14:textId="77777777" w:rsidR="008D4B8F" w:rsidRPr="008D6D3A" w:rsidRDefault="008D4B8F" w:rsidP="008D4B8F">
      <w:pPr>
        <w:ind w:right="-2"/>
        <w:rPr>
          <w:bCs/>
          <w:sz w:val="22"/>
          <w:szCs w:val="22"/>
          <w:lang w:val="de-CH"/>
        </w:rPr>
      </w:pPr>
    </w:p>
    <w:p w14:paraId="4007FFD1" w14:textId="77777777" w:rsidR="008D4B8F" w:rsidRPr="008D6D3A" w:rsidRDefault="00615769" w:rsidP="008D4B8F">
      <w:pPr>
        <w:rPr>
          <w:sz w:val="22"/>
          <w:szCs w:val="22"/>
          <w:lang w:val="de-CH"/>
        </w:rPr>
      </w:pPr>
      <w:r w:rsidRPr="008D6D3A">
        <w:rPr>
          <w:sz w:val="22"/>
          <w:szCs w:val="22"/>
          <w:lang w:val="de-CH"/>
        </w:rPr>
        <w:t>AbbVie Biotechnology GmBH</w:t>
      </w:r>
    </w:p>
    <w:p w14:paraId="0DEDCE78" w14:textId="77777777" w:rsidR="00435AA4" w:rsidRPr="008D6D3A" w:rsidRDefault="00615769" w:rsidP="00435AA4">
      <w:pPr>
        <w:numPr>
          <w:ilvl w:val="12"/>
          <w:numId w:val="0"/>
        </w:numPr>
        <w:tabs>
          <w:tab w:val="left" w:pos="720"/>
        </w:tabs>
        <w:suppressAutoHyphens/>
        <w:rPr>
          <w:rFonts w:eastAsia="Times New Roman"/>
          <w:sz w:val="22"/>
          <w:lang w:val="de-CH"/>
        </w:rPr>
      </w:pPr>
      <w:r w:rsidRPr="008D6D3A">
        <w:rPr>
          <w:rFonts w:eastAsia="Times New Roman"/>
          <w:sz w:val="22"/>
          <w:lang w:val="de-CH"/>
        </w:rPr>
        <w:t>Knollstrasse</w:t>
      </w:r>
    </w:p>
    <w:p w14:paraId="77168764" w14:textId="77777777" w:rsidR="00435AA4" w:rsidRPr="008D6D3A" w:rsidRDefault="00615769" w:rsidP="00435AA4">
      <w:pPr>
        <w:numPr>
          <w:ilvl w:val="12"/>
          <w:numId w:val="0"/>
        </w:numPr>
        <w:tabs>
          <w:tab w:val="left" w:pos="720"/>
        </w:tabs>
        <w:suppressAutoHyphens/>
        <w:rPr>
          <w:rFonts w:eastAsia="Times New Roman"/>
          <w:sz w:val="22"/>
          <w:lang w:val="de-CH"/>
        </w:rPr>
      </w:pPr>
      <w:r w:rsidRPr="008D6D3A">
        <w:rPr>
          <w:rFonts w:eastAsia="Times New Roman"/>
          <w:sz w:val="22"/>
          <w:lang w:val="de-CH"/>
        </w:rPr>
        <w:t>67061 Ludwigshafen</w:t>
      </w:r>
    </w:p>
    <w:p w14:paraId="3654F134" w14:textId="77777777" w:rsidR="00435AA4" w:rsidRPr="00F03C54" w:rsidRDefault="00615769" w:rsidP="00435AA4">
      <w:pPr>
        <w:numPr>
          <w:ilvl w:val="12"/>
          <w:numId w:val="0"/>
        </w:numPr>
        <w:tabs>
          <w:tab w:val="left" w:pos="720"/>
        </w:tabs>
        <w:suppressAutoHyphens/>
        <w:rPr>
          <w:rFonts w:eastAsia="Times New Roman"/>
          <w:sz w:val="22"/>
        </w:rPr>
      </w:pPr>
      <w:r w:rsidRPr="00F03C54">
        <w:rPr>
          <w:rFonts w:eastAsia="Times New Roman"/>
          <w:sz w:val="22"/>
        </w:rPr>
        <w:t>Alemanha</w:t>
      </w:r>
    </w:p>
    <w:p w14:paraId="73B624B0" w14:textId="77777777" w:rsidR="008D4B8F" w:rsidRPr="008912CF" w:rsidRDefault="008D4B8F" w:rsidP="008D4B8F">
      <w:pPr>
        <w:ind w:right="-2"/>
        <w:rPr>
          <w:sz w:val="22"/>
          <w:szCs w:val="22"/>
        </w:rPr>
      </w:pPr>
    </w:p>
    <w:p w14:paraId="2DAA7B1C" w14:textId="77777777" w:rsidR="008D4B8F" w:rsidRPr="008912CF" w:rsidRDefault="00615769" w:rsidP="008D4B8F">
      <w:pPr>
        <w:ind w:right="-2"/>
        <w:rPr>
          <w:sz w:val="22"/>
          <w:szCs w:val="22"/>
        </w:rPr>
      </w:pPr>
      <w:r w:rsidRPr="008912CF">
        <w:rPr>
          <w:sz w:val="22"/>
          <w:szCs w:val="22"/>
        </w:rPr>
        <w:t>Para quaisquer informações sobre este medicamento, queira contactar o representante local do Titular d</w:t>
      </w:r>
      <w:r w:rsidR="004E51CA">
        <w:rPr>
          <w:sz w:val="22"/>
          <w:szCs w:val="22"/>
        </w:rPr>
        <w:t>a</w:t>
      </w:r>
      <w:r w:rsidRPr="008912CF">
        <w:rPr>
          <w:sz w:val="22"/>
          <w:szCs w:val="22"/>
        </w:rPr>
        <w:t xml:space="preserve"> Autorização de Introdução no Mercado</w:t>
      </w:r>
      <w:r w:rsidR="004D2A1C">
        <w:rPr>
          <w:sz w:val="22"/>
          <w:szCs w:val="22"/>
        </w:rPr>
        <w:t>:</w:t>
      </w:r>
    </w:p>
    <w:p w14:paraId="0041AEBA" w14:textId="77777777" w:rsidR="008D4B8F" w:rsidRPr="008912CF" w:rsidRDefault="008D4B8F" w:rsidP="008D4B8F"/>
    <w:tbl>
      <w:tblPr>
        <w:tblW w:w="9356" w:type="dxa"/>
        <w:tblInd w:w="-34" w:type="dxa"/>
        <w:tblLayout w:type="fixed"/>
        <w:tblLook w:val="0000" w:firstRow="0" w:lastRow="0" w:firstColumn="0" w:lastColumn="0" w:noHBand="0" w:noVBand="0"/>
      </w:tblPr>
      <w:tblGrid>
        <w:gridCol w:w="34"/>
        <w:gridCol w:w="4610"/>
        <w:gridCol w:w="34"/>
        <w:gridCol w:w="4678"/>
      </w:tblGrid>
      <w:tr w:rsidR="00A7162A" w14:paraId="606820D1" w14:textId="77777777" w:rsidTr="001F79B0">
        <w:tc>
          <w:tcPr>
            <w:tcW w:w="4644" w:type="dxa"/>
            <w:gridSpan w:val="2"/>
          </w:tcPr>
          <w:p w14:paraId="72D8C8F8" w14:textId="77777777" w:rsidR="00012D36" w:rsidRPr="00346547" w:rsidRDefault="00615769" w:rsidP="001F79B0">
            <w:pPr>
              <w:rPr>
                <w:b/>
                <w:bCs/>
                <w:sz w:val="22"/>
                <w:szCs w:val="22"/>
                <w:lang w:val="fr-BE"/>
              </w:rPr>
            </w:pPr>
            <w:r w:rsidRPr="00346547">
              <w:rPr>
                <w:b/>
                <w:bCs/>
                <w:sz w:val="22"/>
                <w:szCs w:val="22"/>
                <w:lang w:val="fr-BE"/>
              </w:rPr>
              <w:t>België/Belgique/Belgien</w:t>
            </w:r>
          </w:p>
          <w:p w14:paraId="01A2C32B" w14:textId="77777777" w:rsidR="00012D36" w:rsidRPr="00346547" w:rsidRDefault="00615769" w:rsidP="001F79B0">
            <w:pPr>
              <w:tabs>
                <w:tab w:val="center" w:pos="2214"/>
              </w:tabs>
              <w:rPr>
                <w:bCs/>
                <w:sz w:val="22"/>
                <w:szCs w:val="22"/>
                <w:lang w:val="fr-FR"/>
              </w:rPr>
            </w:pPr>
            <w:r w:rsidRPr="00346547">
              <w:rPr>
                <w:bCs/>
                <w:sz w:val="22"/>
                <w:szCs w:val="22"/>
                <w:lang w:val="fr-FR"/>
              </w:rPr>
              <w:t>AbbVie SA</w:t>
            </w:r>
          </w:p>
          <w:p w14:paraId="5C25E7DD" w14:textId="77777777" w:rsidR="00012D36" w:rsidRPr="00346547" w:rsidRDefault="00615769" w:rsidP="001F79B0">
            <w:pPr>
              <w:rPr>
                <w:sz w:val="22"/>
                <w:szCs w:val="22"/>
                <w:lang w:val="fr-FR"/>
              </w:rPr>
            </w:pPr>
            <w:r w:rsidRPr="00346547">
              <w:rPr>
                <w:bCs/>
                <w:sz w:val="22"/>
                <w:szCs w:val="22"/>
                <w:lang w:val="fr-FR"/>
              </w:rPr>
              <w:t xml:space="preserve">Tél/Tel: +32 10 </w:t>
            </w:r>
            <w:r w:rsidRPr="00346547">
              <w:rPr>
                <w:sz w:val="22"/>
                <w:szCs w:val="22"/>
                <w:lang w:val="fr-FR"/>
              </w:rPr>
              <w:t>477811</w:t>
            </w:r>
          </w:p>
          <w:p w14:paraId="353CFFAD" w14:textId="77777777" w:rsidR="00012D36" w:rsidRPr="00346547" w:rsidRDefault="00012D36" w:rsidP="001F79B0">
            <w:pPr>
              <w:rPr>
                <w:bCs/>
                <w:sz w:val="22"/>
                <w:szCs w:val="22"/>
                <w:lang w:val="fr-FR"/>
              </w:rPr>
            </w:pPr>
          </w:p>
        </w:tc>
        <w:tc>
          <w:tcPr>
            <w:tcW w:w="4678" w:type="dxa"/>
            <w:gridSpan w:val="2"/>
          </w:tcPr>
          <w:p w14:paraId="00294E7E" w14:textId="77777777" w:rsidR="00012D36" w:rsidRPr="00346547" w:rsidRDefault="00615769" w:rsidP="001F79B0">
            <w:pPr>
              <w:rPr>
                <w:b/>
                <w:bCs/>
                <w:sz w:val="22"/>
                <w:szCs w:val="22"/>
                <w:lang w:val="lt-LT"/>
              </w:rPr>
            </w:pPr>
            <w:r w:rsidRPr="00346547">
              <w:rPr>
                <w:b/>
                <w:bCs/>
                <w:sz w:val="22"/>
                <w:szCs w:val="22"/>
                <w:lang w:val="lt-LT"/>
              </w:rPr>
              <w:t>Lietuva</w:t>
            </w:r>
          </w:p>
          <w:p w14:paraId="4BB4E58E" w14:textId="77777777" w:rsidR="00012D36" w:rsidRPr="00346547" w:rsidRDefault="00615769" w:rsidP="001F79B0">
            <w:pPr>
              <w:rPr>
                <w:bCs/>
                <w:sz w:val="22"/>
                <w:szCs w:val="22"/>
                <w:lang w:val="lv-LV"/>
              </w:rPr>
            </w:pPr>
            <w:r w:rsidRPr="00346547">
              <w:rPr>
                <w:bCs/>
                <w:sz w:val="22"/>
                <w:szCs w:val="22"/>
                <w:lang w:val="lv-LV"/>
              </w:rPr>
              <w:t xml:space="preserve">AbbVie UAB </w:t>
            </w:r>
          </w:p>
          <w:p w14:paraId="75D751C0" w14:textId="77777777" w:rsidR="00012D36" w:rsidRPr="00346547" w:rsidRDefault="00615769" w:rsidP="001F79B0">
            <w:pPr>
              <w:jc w:val="both"/>
              <w:rPr>
                <w:bCs/>
                <w:sz w:val="22"/>
                <w:szCs w:val="22"/>
                <w:lang w:val="lv-LV"/>
              </w:rPr>
            </w:pPr>
            <w:r w:rsidRPr="00346547">
              <w:rPr>
                <w:bCs/>
                <w:sz w:val="22"/>
                <w:szCs w:val="22"/>
                <w:lang w:val="lv-LV"/>
              </w:rPr>
              <w:t>Tel: +370 5 205 3023</w:t>
            </w:r>
          </w:p>
        </w:tc>
      </w:tr>
      <w:tr w:rsidR="00A7162A" w14:paraId="55B7F379" w14:textId="77777777" w:rsidTr="001F79B0">
        <w:tc>
          <w:tcPr>
            <w:tcW w:w="4644" w:type="dxa"/>
            <w:gridSpan w:val="2"/>
          </w:tcPr>
          <w:p w14:paraId="15BFEBB0" w14:textId="77777777" w:rsidR="00012D36" w:rsidRPr="00346547" w:rsidRDefault="00615769" w:rsidP="001F79B0">
            <w:pPr>
              <w:autoSpaceDE w:val="0"/>
              <w:autoSpaceDN w:val="0"/>
              <w:adjustRightInd w:val="0"/>
              <w:rPr>
                <w:b/>
                <w:bCs/>
                <w:sz w:val="22"/>
                <w:szCs w:val="22"/>
                <w:lang w:val="bg-BG"/>
              </w:rPr>
            </w:pPr>
            <w:r w:rsidRPr="00346547">
              <w:rPr>
                <w:b/>
                <w:bCs/>
                <w:sz w:val="22"/>
                <w:szCs w:val="22"/>
                <w:lang w:val="bg-BG"/>
              </w:rPr>
              <w:t>България</w:t>
            </w:r>
          </w:p>
          <w:p w14:paraId="7EC178C7" w14:textId="77777777" w:rsidR="00012D36" w:rsidRPr="00346547" w:rsidRDefault="00615769" w:rsidP="001F79B0">
            <w:pPr>
              <w:autoSpaceDE w:val="0"/>
              <w:autoSpaceDN w:val="0"/>
              <w:adjustRightInd w:val="0"/>
              <w:rPr>
                <w:sz w:val="22"/>
                <w:szCs w:val="22"/>
                <w:lang w:val="da-DK"/>
              </w:rPr>
            </w:pPr>
            <w:r w:rsidRPr="00346547">
              <w:rPr>
                <w:rFonts w:eastAsia="MS Mincho"/>
                <w:sz w:val="22"/>
                <w:szCs w:val="22"/>
                <w:lang w:eastAsia="ja-JP"/>
              </w:rPr>
              <w:t>АбВи ЕООД</w:t>
            </w:r>
          </w:p>
          <w:p w14:paraId="5F43732F" w14:textId="77777777" w:rsidR="00012D36" w:rsidRPr="00346547" w:rsidRDefault="00615769" w:rsidP="001F79B0">
            <w:pPr>
              <w:tabs>
                <w:tab w:val="left" w:pos="-720"/>
              </w:tabs>
              <w:rPr>
                <w:bCs/>
                <w:sz w:val="22"/>
                <w:szCs w:val="22"/>
                <w:lang w:val="da-DK"/>
              </w:rPr>
            </w:pPr>
            <w:r w:rsidRPr="00346547">
              <w:rPr>
                <w:rFonts w:eastAsia="MS Mincho"/>
                <w:sz w:val="22"/>
                <w:szCs w:val="22"/>
                <w:lang w:eastAsia="ja-JP"/>
              </w:rPr>
              <w:t>Тел</w:t>
            </w:r>
            <w:r w:rsidRPr="00346547">
              <w:rPr>
                <w:rFonts w:eastAsia="MS Mincho"/>
                <w:sz w:val="22"/>
                <w:szCs w:val="22"/>
                <w:lang w:val="it-IT" w:eastAsia="ja-JP"/>
              </w:rPr>
              <w:t>.:+359 2 90 30 430</w:t>
            </w:r>
          </w:p>
        </w:tc>
        <w:tc>
          <w:tcPr>
            <w:tcW w:w="4678" w:type="dxa"/>
            <w:gridSpan w:val="2"/>
          </w:tcPr>
          <w:p w14:paraId="39A6CCE2" w14:textId="77777777" w:rsidR="00012D36" w:rsidRPr="00346547" w:rsidRDefault="00615769" w:rsidP="001F79B0">
            <w:pPr>
              <w:rPr>
                <w:b/>
                <w:bCs/>
                <w:sz w:val="22"/>
                <w:szCs w:val="22"/>
                <w:lang w:val="de-DE"/>
              </w:rPr>
            </w:pPr>
            <w:r w:rsidRPr="00346547">
              <w:rPr>
                <w:b/>
                <w:bCs/>
                <w:sz w:val="22"/>
                <w:szCs w:val="22"/>
                <w:lang w:val="de-DE"/>
              </w:rPr>
              <w:t>Luxembourg/Luxemburg</w:t>
            </w:r>
          </w:p>
          <w:p w14:paraId="4F0EC8C7" w14:textId="77777777" w:rsidR="00012D36" w:rsidRPr="00346547" w:rsidRDefault="00615769" w:rsidP="001F79B0">
            <w:pPr>
              <w:rPr>
                <w:bCs/>
                <w:sz w:val="22"/>
                <w:szCs w:val="22"/>
                <w:lang w:val="de-DE"/>
              </w:rPr>
            </w:pPr>
            <w:r w:rsidRPr="00346547">
              <w:rPr>
                <w:bCs/>
                <w:sz w:val="22"/>
                <w:szCs w:val="22"/>
                <w:lang w:val="de-DE"/>
              </w:rPr>
              <w:t>AbbVie SA</w:t>
            </w:r>
          </w:p>
          <w:p w14:paraId="0539497F" w14:textId="77777777" w:rsidR="00012D36" w:rsidRPr="00346547" w:rsidRDefault="00615769" w:rsidP="001F79B0">
            <w:pPr>
              <w:tabs>
                <w:tab w:val="center" w:pos="2231"/>
              </w:tabs>
              <w:rPr>
                <w:bCs/>
                <w:sz w:val="22"/>
                <w:szCs w:val="22"/>
                <w:lang w:val="de-DE"/>
              </w:rPr>
            </w:pPr>
            <w:r w:rsidRPr="00346547">
              <w:rPr>
                <w:bCs/>
                <w:sz w:val="22"/>
                <w:szCs w:val="22"/>
                <w:lang w:val="de-DE"/>
              </w:rPr>
              <w:t>Belgique/Belgien</w:t>
            </w:r>
          </w:p>
          <w:p w14:paraId="01C54064" w14:textId="77777777" w:rsidR="00012D36" w:rsidRPr="00346547" w:rsidRDefault="00615769" w:rsidP="001F79B0">
            <w:pPr>
              <w:rPr>
                <w:bCs/>
                <w:sz w:val="22"/>
                <w:szCs w:val="22"/>
                <w:lang w:val="fr-FR"/>
              </w:rPr>
            </w:pPr>
            <w:r w:rsidRPr="00346547">
              <w:rPr>
                <w:bCs/>
                <w:sz w:val="22"/>
                <w:szCs w:val="22"/>
                <w:lang w:val="fr-FR"/>
              </w:rPr>
              <w:t>Tél/Tel: +32 10 477811</w:t>
            </w:r>
          </w:p>
          <w:p w14:paraId="0743F919" w14:textId="77777777" w:rsidR="00012D36" w:rsidRPr="00346547" w:rsidRDefault="00012D36" w:rsidP="001F79B0">
            <w:pPr>
              <w:rPr>
                <w:bCs/>
                <w:sz w:val="22"/>
                <w:szCs w:val="22"/>
                <w:lang w:val="fr-FR"/>
              </w:rPr>
            </w:pPr>
          </w:p>
        </w:tc>
      </w:tr>
      <w:tr w:rsidR="00A7162A" w14:paraId="224E67E0" w14:textId="77777777" w:rsidTr="001F79B0">
        <w:tc>
          <w:tcPr>
            <w:tcW w:w="4644" w:type="dxa"/>
            <w:gridSpan w:val="2"/>
          </w:tcPr>
          <w:p w14:paraId="0D044D0E" w14:textId="77777777" w:rsidR="00012D36" w:rsidRPr="00346547" w:rsidRDefault="00615769" w:rsidP="001F79B0">
            <w:pPr>
              <w:keepNext/>
              <w:rPr>
                <w:b/>
                <w:bCs/>
                <w:sz w:val="22"/>
                <w:szCs w:val="22"/>
              </w:rPr>
            </w:pPr>
            <w:r w:rsidRPr="00346547">
              <w:rPr>
                <w:b/>
                <w:bCs/>
                <w:sz w:val="22"/>
                <w:szCs w:val="22"/>
              </w:rPr>
              <w:t>Česká republika</w:t>
            </w:r>
          </w:p>
          <w:p w14:paraId="790CD00C" w14:textId="77777777" w:rsidR="00012D36" w:rsidRPr="00346547" w:rsidRDefault="00615769" w:rsidP="001F79B0">
            <w:pPr>
              <w:keepNext/>
              <w:rPr>
                <w:bCs/>
                <w:sz w:val="22"/>
                <w:szCs w:val="22"/>
              </w:rPr>
            </w:pPr>
            <w:r w:rsidRPr="00346547">
              <w:rPr>
                <w:bCs/>
                <w:sz w:val="22"/>
                <w:szCs w:val="22"/>
              </w:rPr>
              <w:t xml:space="preserve">AbbVie s.r.o. </w:t>
            </w:r>
          </w:p>
          <w:p w14:paraId="7B9664E0" w14:textId="77777777" w:rsidR="00012D36" w:rsidRPr="00346547" w:rsidRDefault="00615769" w:rsidP="001F79B0">
            <w:pPr>
              <w:keepNext/>
              <w:rPr>
                <w:bCs/>
                <w:sz w:val="22"/>
                <w:szCs w:val="22"/>
              </w:rPr>
            </w:pPr>
            <w:r w:rsidRPr="00346547">
              <w:rPr>
                <w:bCs/>
                <w:sz w:val="22"/>
                <w:szCs w:val="22"/>
              </w:rPr>
              <w:t>Tel: +420 233 098 111</w:t>
            </w:r>
          </w:p>
        </w:tc>
        <w:tc>
          <w:tcPr>
            <w:tcW w:w="4678" w:type="dxa"/>
            <w:gridSpan w:val="2"/>
          </w:tcPr>
          <w:p w14:paraId="53A8E3C7" w14:textId="77777777" w:rsidR="00012D36" w:rsidRPr="00346547" w:rsidRDefault="00615769" w:rsidP="001F79B0">
            <w:pPr>
              <w:keepNext/>
              <w:rPr>
                <w:b/>
                <w:bCs/>
                <w:sz w:val="22"/>
                <w:szCs w:val="22"/>
                <w:lang w:val="hu-HU"/>
              </w:rPr>
            </w:pPr>
            <w:r w:rsidRPr="00346547">
              <w:rPr>
                <w:b/>
                <w:bCs/>
                <w:sz w:val="22"/>
                <w:szCs w:val="22"/>
                <w:lang w:val="hu-HU"/>
              </w:rPr>
              <w:t>Magyarország</w:t>
            </w:r>
          </w:p>
          <w:p w14:paraId="1137339F" w14:textId="77777777" w:rsidR="00012D36" w:rsidRPr="00346547" w:rsidRDefault="00615769" w:rsidP="001F79B0">
            <w:pPr>
              <w:keepNext/>
              <w:rPr>
                <w:bCs/>
                <w:sz w:val="22"/>
                <w:szCs w:val="22"/>
                <w:lang w:val="hu-HU"/>
              </w:rPr>
            </w:pPr>
            <w:r w:rsidRPr="00346547">
              <w:rPr>
                <w:bCs/>
                <w:sz w:val="22"/>
                <w:szCs w:val="22"/>
                <w:lang w:val="hu-HU"/>
              </w:rPr>
              <w:t>AbbVie Kft.</w:t>
            </w:r>
          </w:p>
          <w:p w14:paraId="0DC40493" w14:textId="77777777" w:rsidR="00012D36" w:rsidRPr="00346547" w:rsidRDefault="00615769" w:rsidP="001F79B0">
            <w:pPr>
              <w:keepNext/>
              <w:tabs>
                <w:tab w:val="left" w:pos="562"/>
                <w:tab w:val="left" w:pos="2380"/>
              </w:tabs>
              <w:rPr>
                <w:bCs/>
                <w:sz w:val="22"/>
                <w:szCs w:val="22"/>
                <w:lang w:val="hu-HU"/>
              </w:rPr>
            </w:pPr>
            <w:r w:rsidRPr="00346547">
              <w:rPr>
                <w:bCs/>
                <w:sz w:val="22"/>
                <w:szCs w:val="22"/>
                <w:lang w:val="hu-HU"/>
              </w:rPr>
              <w:t>Tel.:+36 1 455 8600</w:t>
            </w:r>
          </w:p>
          <w:p w14:paraId="33F03C84" w14:textId="77777777" w:rsidR="00012D36" w:rsidRPr="00346547" w:rsidRDefault="00012D36" w:rsidP="001F79B0">
            <w:pPr>
              <w:keepNext/>
              <w:tabs>
                <w:tab w:val="left" w:pos="562"/>
                <w:tab w:val="left" w:pos="2380"/>
              </w:tabs>
              <w:rPr>
                <w:bCs/>
                <w:sz w:val="22"/>
                <w:szCs w:val="22"/>
                <w:lang w:val="hu-HU"/>
              </w:rPr>
            </w:pPr>
          </w:p>
        </w:tc>
      </w:tr>
      <w:tr w:rsidR="00A7162A" w14:paraId="69E92F10" w14:textId="77777777" w:rsidTr="001F79B0">
        <w:trPr>
          <w:trHeight w:val="737"/>
        </w:trPr>
        <w:tc>
          <w:tcPr>
            <w:tcW w:w="4644" w:type="dxa"/>
            <w:gridSpan w:val="2"/>
          </w:tcPr>
          <w:p w14:paraId="34F3C0A3" w14:textId="77777777" w:rsidR="00012D36" w:rsidRPr="00346547" w:rsidRDefault="00615769" w:rsidP="001F79B0">
            <w:pPr>
              <w:rPr>
                <w:b/>
                <w:bCs/>
                <w:sz w:val="22"/>
                <w:szCs w:val="22"/>
                <w:lang w:val="en-US"/>
              </w:rPr>
            </w:pPr>
            <w:r w:rsidRPr="00346547">
              <w:rPr>
                <w:b/>
                <w:bCs/>
                <w:sz w:val="22"/>
                <w:szCs w:val="22"/>
                <w:lang w:val="en-US"/>
              </w:rPr>
              <w:t>Danmark</w:t>
            </w:r>
          </w:p>
          <w:p w14:paraId="0631F2E7" w14:textId="77777777" w:rsidR="00012D36" w:rsidRPr="00346547" w:rsidRDefault="00615769" w:rsidP="001F79B0">
            <w:pPr>
              <w:rPr>
                <w:bCs/>
                <w:sz w:val="22"/>
                <w:szCs w:val="22"/>
                <w:lang w:val="en-US"/>
              </w:rPr>
            </w:pPr>
            <w:r w:rsidRPr="00346547">
              <w:rPr>
                <w:bCs/>
                <w:sz w:val="22"/>
                <w:szCs w:val="22"/>
                <w:lang w:val="en-US"/>
              </w:rPr>
              <w:t>AbbVie A/S</w:t>
            </w:r>
          </w:p>
          <w:p w14:paraId="4540388C" w14:textId="7F565642" w:rsidR="00012D36" w:rsidRPr="00860B88" w:rsidRDefault="00615769" w:rsidP="001F79B0">
            <w:pPr>
              <w:rPr>
                <w:bCs/>
                <w:sz w:val="22"/>
                <w:szCs w:val="22"/>
                <w:lang w:val="en-US"/>
              </w:rPr>
            </w:pPr>
            <w:r w:rsidRPr="00346547">
              <w:rPr>
                <w:bCs/>
                <w:sz w:val="22"/>
                <w:szCs w:val="22"/>
                <w:lang w:val="en-US"/>
              </w:rPr>
              <w:t>Tlf</w:t>
            </w:r>
            <w:ins w:id="12603" w:author="AbbVie2" w:date="2025-05-14T10:28:00Z">
              <w:r w:rsidR="00F558D8">
                <w:rPr>
                  <w:bCs/>
                  <w:sz w:val="22"/>
                  <w:szCs w:val="22"/>
                  <w:lang w:val="en-US"/>
                </w:rPr>
                <w:t>.</w:t>
              </w:r>
            </w:ins>
            <w:r w:rsidRPr="00346547">
              <w:rPr>
                <w:bCs/>
                <w:sz w:val="22"/>
                <w:szCs w:val="22"/>
                <w:lang w:val="en-US"/>
              </w:rPr>
              <w:t>: +45 72 30-20-28</w:t>
            </w:r>
          </w:p>
        </w:tc>
        <w:tc>
          <w:tcPr>
            <w:tcW w:w="4678" w:type="dxa"/>
            <w:gridSpan w:val="2"/>
          </w:tcPr>
          <w:p w14:paraId="4BC62847" w14:textId="77777777" w:rsidR="00012D36" w:rsidRPr="00346547" w:rsidRDefault="00615769" w:rsidP="001F79B0">
            <w:pPr>
              <w:rPr>
                <w:b/>
                <w:bCs/>
                <w:sz w:val="22"/>
                <w:szCs w:val="22"/>
                <w:lang w:val="mt-MT"/>
              </w:rPr>
            </w:pPr>
            <w:r w:rsidRPr="00346547">
              <w:rPr>
                <w:b/>
                <w:bCs/>
                <w:sz w:val="22"/>
                <w:szCs w:val="22"/>
                <w:lang w:val="mt-MT"/>
              </w:rPr>
              <w:t>Malta</w:t>
            </w:r>
          </w:p>
          <w:p w14:paraId="0C040855" w14:textId="77777777" w:rsidR="00012D36" w:rsidRPr="00346547" w:rsidRDefault="00615769" w:rsidP="001F79B0">
            <w:pPr>
              <w:rPr>
                <w:bCs/>
                <w:sz w:val="22"/>
                <w:szCs w:val="22"/>
              </w:rPr>
            </w:pPr>
            <w:r w:rsidRPr="00346547">
              <w:rPr>
                <w:bCs/>
                <w:sz w:val="22"/>
                <w:szCs w:val="22"/>
              </w:rPr>
              <w:t xml:space="preserve">V.J.Salomone Pharma Limited </w:t>
            </w:r>
          </w:p>
          <w:p w14:paraId="11C064DF" w14:textId="3CD56A65" w:rsidR="00012D36" w:rsidRPr="00346547" w:rsidRDefault="00615769" w:rsidP="001F79B0">
            <w:pPr>
              <w:rPr>
                <w:bCs/>
                <w:sz w:val="22"/>
                <w:szCs w:val="22"/>
              </w:rPr>
            </w:pPr>
            <w:r w:rsidRPr="00346547">
              <w:rPr>
                <w:bCs/>
                <w:sz w:val="22"/>
                <w:szCs w:val="22"/>
              </w:rPr>
              <w:t xml:space="preserve">Tel: </w:t>
            </w:r>
            <w:r w:rsidRPr="00E663CE">
              <w:rPr>
                <w:bCs/>
                <w:sz w:val="22"/>
                <w:szCs w:val="22"/>
                <w:lang w:val="en-GB"/>
              </w:rPr>
              <w:t>+356 21220174</w:t>
            </w:r>
          </w:p>
          <w:p w14:paraId="1CEA7723" w14:textId="77777777" w:rsidR="00012D36" w:rsidRPr="00346547" w:rsidRDefault="00012D36" w:rsidP="001F79B0">
            <w:pPr>
              <w:rPr>
                <w:bCs/>
                <w:sz w:val="22"/>
                <w:szCs w:val="22"/>
              </w:rPr>
            </w:pPr>
          </w:p>
        </w:tc>
      </w:tr>
      <w:tr w:rsidR="00A7162A" w14:paraId="1720757D" w14:textId="77777777" w:rsidTr="001F79B0">
        <w:tc>
          <w:tcPr>
            <w:tcW w:w="4644" w:type="dxa"/>
            <w:gridSpan w:val="2"/>
          </w:tcPr>
          <w:p w14:paraId="31BF5F3E" w14:textId="77777777" w:rsidR="00012D36" w:rsidRPr="00346547" w:rsidRDefault="00615769" w:rsidP="001F79B0">
            <w:pPr>
              <w:keepNext/>
              <w:rPr>
                <w:b/>
                <w:bCs/>
                <w:sz w:val="22"/>
                <w:szCs w:val="22"/>
                <w:lang w:val="de-DE"/>
              </w:rPr>
            </w:pPr>
            <w:r w:rsidRPr="00346547">
              <w:rPr>
                <w:b/>
                <w:bCs/>
                <w:sz w:val="22"/>
                <w:szCs w:val="22"/>
                <w:lang w:val="de-DE"/>
              </w:rPr>
              <w:t>Deutschland</w:t>
            </w:r>
          </w:p>
          <w:p w14:paraId="15B58C9E" w14:textId="77777777" w:rsidR="00012D36" w:rsidRPr="00346547" w:rsidRDefault="00615769" w:rsidP="001F79B0">
            <w:pPr>
              <w:keepNext/>
              <w:rPr>
                <w:bCs/>
                <w:sz w:val="22"/>
                <w:szCs w:val="22"/>
                <w:lang w:val="de-DE"/>
              </w:rPr>
            </w:pPr>
            <w:r w:rsidRPr="00346547">
              <w:rPr>
                <w:sz w:val="22"/>
                <w:szCs w:val="22"/>
                <w:lang w:val="de-DE"/>
              </w:rPr>
              <w:t xml:space="preserve">AbbVie Deutschland </w:t>
            </w:r>
            <w:r w:rsidRPr="00346547">
              <w:rPr>
                <w:bCs/>
                <w:sz w:val="22"/>
                <w:szCs w:val="22"/>
                <w:lang w:val="de-DE"/>
              </w:rPr>
              <w:t>GmbH &amp; Co. KG</w:t>
            </w:r>
          </w:p>
          <w:p w14:paraId="70E03AA0" w14:textId="77777777" w:rsidR="00012D36" w:rsidRPr="00346547" w:rsidRDefault="00615769" w:rsidP="001F79B0">
            <w:pPr>
              <w:keepNext/>
              <w:rPr>
                <w:sz w:val="22"/>
                <w:szCs w:val="22"/>
                <w:lang w:val="de-DE"/>
              </w:rPr>
            </w:pPr>
            <w:r w:rsidRPr="00346547">
              <w:rPr>
                <w:sz w:val="22"/>
                <w:szCs w:val="22"/>
                <w:lang w:val="de-DE"/>
              </w:rPr>
              <w:t>Tel: 00800 222843 33 (gebührenfrei)</w:t>
            </w:r>
          </w:p>
          <w:p w14:paraId="6535F2ED" w14:textId="77777777" w:rsidR="00012D36" w:rsidRPr="00346547" w:rsidRDefault="00615769" w:rsidP="001F79B0">
            <w:pPr>
              <w:keepNext/>
              <w:rPr>
                <w:sz w:val="22"/>
                <w:szCs w:val="22"/>
                <w:lang w:val="de-DE"/>
              </w:rPr>
            </w:pPr>
            <w:r w:rsidRPr="00346547">
              <w:rPr>
                <w:sz w:val="22"/>
                <w:szCs w:val="22"/>
                <w:lang w:val="de-DE"/>
              </w:rPr>
              <w:t>Tel: +49 (0) 611 / 1720-0</w:t>
            </w:r>
          </w:p>
          <w:p w14:paraId="61B55007" w14:textId="77777777" w:rsidR="00012D36" w:rsidRPr="00346547" w:rsidRDefault="00012D36" w:rsidP="001F79B0">
            <w:pPr>
              <w:keepNext/>
              <w:rPr>
                <w:sz w:val="22"/>
                <w:szCs w:val="22"/>
                <w:lang w:val="de-DE"/>
              </w:rPr>
            </w:pPr>
          </w:p>
        </w:tc>
        <w:tc>
          <w:tcPr>
            <w:tcW w:w="4678" w:type="dxa"/>
            <w:gridSpan w:val="2"/>
          </w:tcPr>
          <w:p w14:paraId="03CC05E5" w14:textId="77777777" w:rsidR="00012D36" w:rsidRPr="00346547" w:rsidRDefault="00615769" w:rsidP="001F79B0">
            <w:pPr>
              <w:keepNext/>
              <w:rPr>
                <w:b/>
                <w:bCs/>
                <w:sz w:val="22"/>
                <w:szCs w:val="22"/>
                <w:lang w:val="nl-NL"/>
              </w:rPr>
            </w:pPr>
            <w:r w:rsidRPr="00346547">
              <w:rPr>
                <w:b/>
                <w:bCs/>
                <w:sz w:val="22"/>
                <w:szCs w:val="22"/>
                <w:lang w:val="nl-NL"/>
              </w:rPr>
              <w:t>Nederland</w:t>
            </w:r>
          </w:p>
          <w:p w14:paraId="450AE481" w14:textId="77777777" w:rsidR="00012D36" w:rsidRPr="00346547" w:rsidRDefault="00615769" w:rsidP="001F79B0">
            <w:pPr>
              <w:keepNext/>
              <w:rPr>
                <w:bCs/>
                <w:sz w:val="22"/>
                <w:szCs w:val="22"/>
                <w:lang w:val="de-DE"/>
              </w:rPr>
            </w:pPr>
            <w:r w:rsidRPr="00346547">
              <w:rPr>
                <w:bCs/>
                <w:sz w:val="22"/>
                <w:szCs w:val="22"/>
                <w:lang w:val="de-DE"/>
              </w:rPr>
              <w:t>AbbVie B.V.</w:t>
            </w:r>
          </w:p>
          <w:p w14:paraId="4DECF930" w14:textId="77777777" w:rsidR="00012D36" w:rsidRPr="00346547" w:rsidRDefault="00615769" w:rsidP="001F79B0">
            <w:pPr>
              <w:keepNext/>
              <w:rPr>
                <w:bCs/>
                <w:sz w:val="22"/>
                <w:szCs w:val="22"/>
                <w:lang w:val="de-DE"/>
              </w:rPr>
            </w:pPr>
            <w:r w:rsidRPr="00346547">
              <w:rPr>
                <w:bCs/>
                <w:sz w:val="22"/>
                <w:szCs w:val="22"/>
                <w:lang w:val="de-DE"/>
              </w:rPr>
              <w:t>Tel: +31 (0)88 322 2843</w:t>
            </w:r>
          </w:p>
        </w:tc>
      </w:tr>
      <w:tr w:rsidR="00A7162A" w14:paraId="63251630" w14:textId="77777777" w:rsidTr="001F79B0">
        <w:tc>
          <w:tcPr>
            <w:tcW w:w="4644" w:type="dxa"/>
            <w:gridSpan w:val="2"/>
          </w:tcPr>
          <w:p w14:paraId="53480816" w14:textId="77777777" w:rsidR="00012D36" w:rsidRPr="00346547" w:rsidRDefault="00615769" w:rsidP="001F79B0">
            <w:pPr>
              <w:rPr>
                <w:b/>
                <w:bCs/>
                <w:sz w:val="22"/>
                <w:szCs w:val="22"/>
                <w:lang w:val="et-EE"/>
              </w:rPr>
            </w:pPr>
            <w:r w:rsidRPr="00346547">
              <w:rPr>
                <w:b/>
                <w:bCs/>
                <w:sz w:val="22"/>
                <w:szCs w:val="22"/>
                <w:lang w:val="et-EE"/>
              </w:rPr>
              <w:t>Eesti</w:t>
            </w:r>
          </w:p>
          <w:p w14:paraId="0D6B1F5E" w14:textId="77777777" w:rsidR="00012D36" w:rsidRPr="00346547" w:rsidRDefault="00615769" w:rsidP="001F79B0">
            <w:pPr>
              <w:rPr>
                <w:bCs/>
                <w:sz w:val="22"/>
                <w:szCs w:val="22"/>
                <w:lang w:val="et-EE"/>
              </w:rPr>
            </w:pPr>
            <w:r w:rsidRPr="00346547">
              <w:rPr>
                <w:bCs/>
                <w:sz w:val="22"/>
                <w:szCs w:val="22"/>
                <w:lang w:val="et-EE"/>
              </w:rPr>
              <w:t xml:space="preserve">AbbVie </w:t>
            </w:r>
            <w:r w:rsidRPr="00346547">
              <w:rPr>
                <w:bCs/>
                <w:sz w:val="22"/>
                <w:szCs w:val="22"/>
              </w:rPr>
              <w:t>OÜ</w:t>
            </w:r>
            <w:r w:rsidRPr="00346547">
              <w:rPr>
                <w:bCs/>
                <w:sz w:val="22"/>
                <w:szCs w:val="22"/>
                <w:lang w:val="et-EE"/>
              </w:rPr>
              <w:t xml:space="preserve"> </w:t>
            </w:r>
          </w:p>
          <w:p w14:paraId="619F17C9" w14:textId="77777777" w:rsidR="00012D36" w:rsidRPr="00346547" w:rsidRDefault="00615769" w:rsidP="001F79B0">
            <w:pPr>
              <w:rPr>
                <w:bCs/>
                <w:sz w:val="22"/>
                <w:szCs w:val="22"/>
                <w:lang w:val="lv-LV"/>
              </w:rPr>
            </w:pPr>
            <w:r w:rsidRPr="00346547">
              <w:rPr>
                <w:bCs/>
                <w:sz w:val="22"/>
                <w:szCs w:val="22"/>
                <w:lang w:val="et-EE"/>
              </w:rPr>
              <w:t>Tel: +372 623 1011</w:t>
            </w:r>
          </w:p>
        </w:tc>
        <w:tc>
          <w:tcPr>
            <w:tcW w:w="4678" w:type="dxa"/>
            <w:gridSpan w:val="2"/>
          </w:tcPr>
          <w:p w14:paraId="2F607487" w14:textId="77777777" w:rsidR="00012D36" w:rsidRPr="00346547" w:rsidRDefault="00615769" w:rsidP="001F79B0">
            <w:pPr>
              <w:rPr>
                <w:b/>
                <w:bCs/>
                <w:sz w:val="22"/>
                <w:szCs w:val="22"/>
                <w:lang w:val="nb-NO"/>
              </w:rPr>
            </w:pPr>
            <w:r w:rsidRPr="00346547">
              <w:rPr>
                <w:b/>
                <w:bCs/>
                <w:sz w:val="22"/>
                <w:szCs w:val="22"/>
                <w:lang w:val="nb-NO"/>
              </w:rPr>
              <w:t>Norge</w:t>
            </w:r>
          </w:p>
          <w:p w14:paraId="22633836" w14:textId="77777777" w:rsidR="00012D36" w:rsidRPr="00346547" w:rsidRDefault="00615769" w:rsidP="001F79B0">
            <w:pPr>
              <w:rPr>
                <w:bCs/>
                <w:sz w:val="22"/>
                <w:szCs w:val="22"/>
              </w:rPr>
            </w:pPr>
            <w:r w:rsidRPr="00346547">
              <w:rPr>
                <w:bCs/>
                <w:sz w:val="22"/>
                <w:szCs w:val="22"/>
              </w:rPr>
              <w:t>AbbVie AS</w:t>
            </w:r>
          </w:p>
          <w:p w14:paraId="537028F0" w14:textId="77777777" w:rsidR="00012D36" w:rsidRPr="00346547" w:rsidRDefault="00615769" w:rsidP="001F79B0">
            <w:pPr>
              <w:rPr>
                <w:bCs/>
                <w:sz w:val="22"/>
                <w:szCs w:val="22"/>
              </w:rPr>
            </w:pPr>
            <w:r w:rsidRPr="00346547">
              <w:rPr>
                <w:bCs/>
                <w:sz w:val="22"/>
                <w:szCs w:val="22"/>
              </w:rPr>
              <w:t>Tlf: +47 67 81 80 00</w:t>
            </w:r>
          </w:p>
          <w:p w14:paraId="10DF574E" w14:textId="77777777" w:rsidR="00012D36" w:rsidRPr="00346547" w:rsidRDefault="00012D36" w:rsidP="001F79B0">
            <w:pPr>
              <w:rPr>
                <w:bCs/>
                <w:sz w:val="22"/>
                <w:szCs w:val="22"/>
              </w:rPr>
            </w:pPr>
          </w:p>
        </w:tc>
      </w:tr>
      <w:tr w:rsidR="00A7162A" w14:paraId="7A22E65C" w14:textId="77777777" w:rsidTr="001F79B0">
        <w:trPr>
          <w:trHeight w:val="794"/>
        </w:trPr>
        <w:tc>
          <w:tcPr>
            <w:tcW w:w="4644" w:type="dxa"/>
            <w:gridSpan w:val="2"/>
          </w:tcPr>
          <w:p w14:paraId="20D11AE3" w14:textId="77777777" w:rsidR="00012D36" w:rsidRPr="00346547" w:rsidRDefault="00615769" w:rsidP="001F79B0">
            <w:pPr>
              <w:rPr>
                <w:b/>
                <w:bCs/>
                <w:sz w:val="22"/>
                <w:szCs w:val="22"/>
                <w:lang w:val="el-GR"/>
              </w:rPr>
            </w:pPr>
            <w:r w:rsidRPr="00346547">
              <w:rPr>
                <w:b/>
                <w:bCs/>
                <w:sz w:val="22"/>
                <w:szCs w:val="22"/>
                <w:lang w:val="el-GR"/>
              </w:rPr>
              <w:t>Ελλάδα</w:t>
            </w:r>
          </w:p>
          <w:p w14:paraId="11013C14" w14:textId="77777777" w:rsidR="00012D36" w:rsidRPr="00346547" w:rsidRDefault="00615769" w:rsidP="001F79B0">
            <w:pPr>
              <w:rPr>
                <w:bCs/>
                <w:sz w:val="22"/>
                <w:szCs w:val="22"/>
                <w:lang w:val="el-GR"/>
              </w:rPr>
            </w:pPr>
            <w:r w:rsidRPr="00346547">
              <w:rPr>
                <w:bCs/>
                <w:sz w:val="22"/>
                <w:szCs w:val="22"/>
                <w:lang w:val="et-EE"/>
              </w:rPr>
              <w:t xml:space="preserve">AbbVie </w:t>
            </w:r>
            <w:r w:rsidRPr="00346547">
              <w:rPr>
                <w:sz w:val="22"/>
                <w:szCs w:val="22"/>
                <w:lang w:val="el-GR"/>
              </w:rPr>
              <w:t>ΦΑΡΜΑΚΕΥΤΙΚΗ Α.Ε.</w:t>
            </w:r>
          </w:p>
          <w:p w14:paraId="776A74EC" w14:textId="77777777" w:rsidR="00012D36" w:rsidRPr="00346547" w:rsidRDefault="00615769" w:rsidP="001F79B0">
            <w:pPr>
              <w:rPr>
                <w:bCs/>
                <w:sz w:val="22"/>
                <w:szCs w:val="22"/>
              </w:rPr>
            </w:pPr>
            <w:r w:rsidRPr="00346547">
              <w:rPr>
                <w:bCs/>
                <w:sz w:val="22"/>
                <w:szCs w:val="22"/>
                <w:lang w:val="el-GR"/>
              </w:rPr>
              <w:t xml:space="preserve">Τηλ: +30 </w:t>
            </w:r>
            <w:r w:rsidRPr="00346547">
              <w:rPr>
                <w:bCs/>
                <w:sz w:val="22"/>
                <w:szCs w:val="22"/>
              </w:rPr>
              <w:t>214 4165 555</w:t>
            </w:r>
          </w:p>
        </w:tc>
        <w:tc>
          <w:tcPr>
            <w:tcW w:w="4678" w:type="dxa"/>
            <w:gridSpan w:val="2"/>
          </w:tcPr>
          <w:p w14:paraId="4A1481A3" w14:textId="77777777" w:rsidR="00012D36" w:rsidRPr="00346547" w:rsidRDefault="00615769" w:rsidP="001F79B0">
            <w:pPr>
              <w:rPr>
                <w:b/>
                <w:bCs/>
                <w:sz w:val="22"/>
                <w:szCs w:val="22"/>
                <w:lang w:val="de-DE"/>
              </w:rPr>
            </w:pPr>
            <w:r w:rsidRPr="00346547">
              <w:rPr>
                <w:b/>
                <w:bCs/>
                <w:sz w:val="22"/>
                <w:szCs w:val="22"/>
                <w:lang w:val="de-DE"/>
              </w:rPr>
              <w:t>Österreich</w:t>
            </w:r>
          </w:p>
          <w:p w14:paraId="0FBE2674" w14:textId="77777777" w:rsidR="00012D36" w:rsidRPr="00346547" w:rsidRDefault="00615769" w:rsidP="001F79B0">
            <w:pPr>
              <w:rPr>
                <w:bCs/>
                <w:sz w:val="22"/>
                <w:szCs w:val="22"/>
                <w:lang w:val="de-DE"/>
              </w:rPr>
            </w:pPr>
            <w:r w:rsidRPr="00346547">
              <w:rPr>
                <w:bCs/>
                <w:sz w:val="22"/>
                <w:szCs w:val="22"/>
                <w:lang w:val="de-DE"/>
              </w:rPr>
              <w:t xml:space="preserve">AbbVie GmbH </w:t>
            </w:r>
          </w:p>
          <w:p w14:paraId="0CD5FA9F" w14:textId="77777777" w:rsidR="00012D36" w:rsidRPr="00346547" w:rsidRDefault="00615769" w:rsidP="001F79B0">
            <w:pPr>
              <w:rPr>
                <w:bCs/>
                <w:sz w:val="22"/>
                <w:szCs w:val="22"/>
                <w:lang w:val="de-DE"/>
              </w:rPr>
            </w:pPr>
            <w:r w:rsidRPr="00346547">
              <w:rPr>
                <w:bCs/>
                <w:sz w:val="22"/>
                <w:szCs w:val="22"/>
                <w:lang w:val="de-DE"/>
              </w:rPr>
              <w:t>Tel: +43 1 20589-0</w:t>
            </w:r>
          </w:p>
          <w:p w14:paraId="07FC6E5F" w14:textId="77777777" w:rsidR="00012D36" w:rsidRPr="00346547" w:rsidRDefault="00012D36" w:rsidP="001F79B0">
            <w:pPr>
              <w:rPr>
                <w:bCs/>
                <w:sz w:val="22"/>
                <w:szCs w:val="22"/>
                <w:lang w:val="de-DE"/>
              </w:rPr>
            </w:pPr>
          </w:p>
        </w:tc>
      </w:tr>
      <w:tr w:rsidR="00A7162A" w14:paraId="40316DF6" w14:textId="77777777" w:rsidTr="001F79B0">
        <w:trPr>
          <w:gridBefore w:val="1"/>
          <w:wBefore w:w="34" w:type="dxa"/>
        </w:trPr>
        <w:tc>
          <w:tcPr>
            <w:tcW w:w="4644" w:type="dxa"/>
            <w:gridSpan w:val="2"/>
          </w:tcPr>
          <w:p w14:paraId="27EC4BF0" w14:textId="77777777" w:rsidR="00012D36" w:rsidRPr="00346547" w:rsidRDefault="00615769" w:rsidP="001F79B0">
            <w:pPr>
              <w:rPr>
                <w:b/>
                <w:bCs/>
                <w:sz w:val="22"/>
                <w:szCs w:val="22"/>
                <w:lang w:val="es-ES"/>
              </w:rPr>
            </w:pPr>
            <w:r w:rsidRPr="00346547">
              <w:rPr>
                <w:b/>
                <w:bCs/>
                <w:sz w:val="22"/>
                <w:szCs w:val="22"/>
                <w:lang w:val="es-ES"/>
              </w:rPr>
              <w:t>España</w:t>
            </w:r>
          </w:p>
          <w:p w14:paraId="2F29FB0C" w14:textId="77777777" w:rsidR="00012D36" w:rsidRPr="00346547" w:rsidRDefault="00615769" w:rsidP="001F79B0">
            <w:pPr>
              <w:rPr>
                <w:sz w:val="22"/>
                <w:szCs w:val="22"/>
                <w:lang w:val="es-ES"/>
              </w:rPr>
            </w:pPr>
            <w:r w:rsidRPr="00346547">
              <w:rPr>
                <w:sz w:val="22"/>
                <w:szCs w:val="22"/>
                <w:lang w:val="es-ES"/>
              </w:rPr>
              <w:t xml:space="preserve">AbbVie </w:t>
            </w:r>
            <w:r w:rsidRPr="00346547">
              <w:rPr>
                <w:bCs/>
                <w:sz w:val="22"/>
                <w:szCs w:val="22"/>
                <w:lang w:val="es-ES"/>
              </w:rPr>
              <w:t>Spain</w:t>
            </w:r>
            <w:r w:rsidRPr="00346547">
              <w:rPr>
                <w:sz w:val="22"/>
                <w:szCs w:val="22"/>
                <w:lang w:val="es-ES"/>
              </w:rPr>
              <w:t>, S.L.U</w:t>
            </w:r>
            <w:r w:rsidRPr="00346547">
              <w:rPr>
                <w:bCs/>
                <w:sz w:val="22"/>
                <w:szCs w:val="22"/>
                <w:lang w:val="es-ES"/>
              </w:rPr>
              <w:t>.</w:t>
            </w:r>
          </w:p>
          <w:p w14:paraId="7890D26C" w14:textId="77777777" w:rsidR="00012D36" w:rsidRPr="00346547" w:rsidRDefault="00615769" w:rsidP="001F79B0">
            <w:pPr>
              <w:rPr>
                <w:bCs/>
                <w:sz w:val="22"/>
                <w:szCs w:val="22"/>
                <w:lang w:val="pl-PL"/>
              </w:rPr>
            </w:pPr>
            <w:r w:rsidRPr="00346547">
              <w:rPr>
                <w:bCs/>
                <w:sz w:val="22"/>
                <w:szCs w:val="22"/>
              </w:rPr>
              <w:t>Tel: +34 91 384 09 10</w:t>
            </w:r>
          </w:p>
        </w:tc>
        <w:tc>
          <w:tcPr>
            <w:tcW w:w="4678" w:type="dxa"/>
          </w:tcPr>
          <w:p w14:paraId="66E57BFB" w14:textId="77777777" w:rsidR="00012D36" w:rsidRPr="00346547" w:rsidRDefault="00615769" w:rsidP="001F79B0">
            <w:pPr>
              <w:rPr>
                <w:b/>
                <w:bCs/>
                <w:iCs/>
                <w:sz w:val="22"/>
                <w:szCs w:val="22"/>
                <w:lang w:val="pl-PL"/>
              </w:rPr>
            </w:pPr>
            <w:r w:rsidRPr="00346547">
              <w:rPr>
                <w:b/>
                <w:bCs/>
                <w:iCs/>
                <w:sz w:val="22"/>
                <w:szCs w:val="22"/>
                <w:lang w:val="pl-PL"/>
              </w:rPr>
              <w:t>Polska</w:t>
            </w:r>
          </w:p>
          <w:p w14:paraId="0CD24B0A" w14:textId="77777777" w:rsidR="00012D36" w:rsidRPr="00346547" w:rsidRDefault="00615769" w:rsidP="001F79B0">
            <w:pPr>
              <w:rPr>
                <w:bCs/>
                <w:sz w:val="22"/>
                <w:szCs w:val="22"/>
                <w:lang w:val="pl-PL"/>
              </w:rPr>
            </w:pPr>
            <w:r w:rsidRPr="00346547">
              <w:rPr>
                <w:bCs/>
                <w:sz w:val="22"/>
                <w:szCs w:val="22"/>
                <w:lang w:val="pl-PL"/>
              </w:rPr>
              <w:t>AbbVie Sp. z o.o.</w:t>
            </w:r>
          </w:p>
          <w:p w14:paraId="7A9585F6" w14:textId="77777777" w:rsidR="00012D36" w:rsidRPr="00346547" w:rsidRDefault="00615769" w:rsidP="001F79B0">
            <w:pPr>
              <w:pStyle w:val="Footer"/>
              <w:rPr>
                <w:bCs/>
                <w:sz w:val="22"/>
                <w:szCs w:val="22"/>
                <w:lang w:val="pl-PL"/>
              </w:rPr>
            </w:pPr>
            <w:r w:rsidRPr="00346547">
              <w:rPr>
                <w:sz w:val="22"/>
                <w:szCs w:val="22"/>
                <w:lang w:val="es-ES"/>
              </w:rPr>
              <w:t xml:space="preserve">Tel.: +48 22 </w:t>
            </w:r>
            <w:r w:rsidRPr="00346547">
              <w:rPr>
                <w:bCs/>
                <w:sz w:val="22"/>
                <w:szCs w:val="22"/>
                <w:lang w:val="pl-PL"/>
              </w:rPr>
              <w:t xml:space="preserve">372 78 00 </w:t>
            </w:r>
          </w:p>
          <w:p w14:paraId="55412B92" w14:textId="77777777" w:rsidR="00012D36" w:rsidRPr="00346547" w:rsidRDefault="00012D36" w:rsidP="001F79B0">
            <w:pPr>
              <w:pStyle w:val="Footer"/>
              <w:rPr>
                <w:bCs/>
                <w:sz w:val="22"/>
                <w:szCs w:val="22"/>
                <w:lang w:val="pl-PL"/>
              </w:rPr>
            </w:pPr>
          </w:p>
        </w:tc>
      </w:tr>
      <w:tr w:rsidR="00A7162A" w14:paraId="7063B4BE" w14:textId="77777777" w:rsidTr="001F79B0">
        <w:trPr>
          <w:trHeight w:val="734"/>
        </w:trPr>
        <w:tc>
          <w:tcPr>
            <w:tcW w:w="4678" w:type="dxa"/>
            <w:gridSpan w:val="3"/>
          </w:tcPr>
          <w:p w14:paraId="43543BC0" w14:textId="77777777" w:rsidR="00012D36" w:rsidRPr="00346547" w:rsidRDefault="00615769" w:rsidP="001F79B0">
            <w:pPr>
              <w:ind w:firstLine="34"/>
              <w:rPr>
                <w:b/>
                <w:bCs/>
                <w:sz w:val="22"/>
                <w:szCs w:val="22"/>
                <w:lang w:val="fr-FR"/>
              </w:rPr>
            </w:pPr>
            <w:r w:rsidRPr="00346547">
              <w:rPr>
                <w:b/>
                <w:bCs/>
                <w:sz w:val="22"/>
                <w:szCs w:val="22"/>
                <w:lang w:val="fr-FR"/>
              </w:rPr>
              <w:t>France</w:t>
            </w:r>
          </w:p>
          <w:p w14:paraId="1185163C" w14:textId="77777777" w:rsidR="00012D36" w:rsidRPr="00346547" w:rsidRDefault="00615769" w:rsidP="001F79B0">
            <w:pPr>
              <w:ind w:firstLine="34"/>
              <w:rPr>
                <w:bCs/>
                <w:sz w:val="22"/>
                <w:szCs w:val="22"/>
                <w:lang w:val="fr-FR"/>
              </w:rPr>
            </w:pPr>
            <w:r w:rsidRPr="00346547">
              <w:rPr>
                <w:bCs/>
                <w:sz w:val="22"/>
                <w:szCs w:val="22"/>
                <w:lang w:val="fr-FR"/>
              </w:rPr>
              <w:t>AbbVie</w:t>
            </w:r>
          </w:p>
          <w:p w14:paraId="39B2BB56" w14:textId="77777777" w:rsidR="00012D36" w:rsidRPr="00346547" w:rsidRDefault="00615769" w:rsidP="001F79B0">
            <w:pPr>
              <w:ind w:firstLine="34"/>
              <w:rPr>
                <w:bCs/>
                <w:sz w:val="22"/>
                <w:szCs w:val="22"/>
                <w:lang w:val="fr-FR"/>
              </w:rPr>
            </w:pPr>
            <w:r w:rsidRPr="00346547">
              <w:rPr>
                <w:bCs/>
                <w:sz w:val="22"/>
                <w:szCs w:val="22"/>
                <w:lang w:val="fr-FR"/>
              </w:rPr>
              <w:t>Tél: +33 (0) 1 45 60 13 00</w:t>
            </w:r>
          </w:p>
        </w:tc>
        <w:tc>
          <w:tcPr>
            <w:tcW w:w="4678" w:type="dxa"/>
          </w:tcPr>
          <w:p w14:paraId="18C9AD48" w14:textId="77777777" w:rsidR="00012D36" w:rsidRPr="00346547" w:rsidRDefault="00615769" w:rsidP="001F79B0">
            <w:pPr>
              <w:rPr>
                <w:b/>
                <w:bCs/>
                <w:sz w:val="22"/>
                <w:szCs w:val="22"/>
              </w:rPr>
            </w:pPr>
            <w:r w:rsidRPr="00346547">
              <w:rPr>
                <w:b/>
                <w:bCs/>
                <w:sz w:val="22"/>
                <w:szCs w:val="22"/>
              </w:rPr>
              <w:t>Portugal</w:t>
            </w:r>
          </w:p>
          <w:p w14:paraId="0C09713C" w14:textId="77777777" w:rsidR="00012D36" w:rsidRPr="00346547" w:rsidRDefault="00615769" w:rsidP="001F79B0">
            <w:pPr>
              <w:pStyle w:val="Footer"/>
              <w:rPr>
                <w:bCs/>
                <w:sz w:val="22"/>
                <w:szCs w:val="22"/>
                <w:lang w:val="fr-FR"/>
              </w:rPr>
            </w:pPr>
            <w:r w:rsidRPr="00346547">
              <w:rPr>
                <w:bCs/>
                <w:sz w:val="22"/>
                <w:szCs w:val="22"/>
                <w:lang w:val="fr-FR"/>
              </w:rPr>
              <w:t xml:space="preserve">AbbVie, Lda. </w:t>
            </w:r>
          </w:p>
          <w:p w14:paraId="6149C89C" w14:textId="77777777" w:rsidR="00012D36" w:rsidRPr="00346547" w:rsidRDefault="00615769" w:rsidP="001F79B0">
            <w:pPr>
              <w:pStyle w:val="Footer"/>
              <w:rPr>
                <w:sz w:val="22"/>
                <w:szCs w:val="22"/>
                <w:lang w:val="fr-FR"/>
              </w:rPr>
            </w:pPr>
            <w:r w:rsidRPr="00346547">
              <w:rPr>
                <w:sz w:val="22"/>
                <w:szCs w:val="22"/>
                <w:lang w:val="fr-FR"/>
              </w:rPr>
              <w:t>Tel: +351 (0)21 1908400</w:t>
            </w:r>
          </w:p>
          <w:p w14:paraId="66A20341" w14:textId="77777777" w:rsidR="00012D36" w:rsidRPr="00346547" w:rsidRDefault="00012D36" w:rsidP="001F79B0">
            <w:pPr>
              <w:pStyle w:val="Footer"/>
              <w:rPr>
                <w:sz w:val="22"/>
                <w:szCs w:val="22"/>
                <w:lang w:val="fr-FR"/>
              </w:rPr>
            </w:pPr>
          </w:p>
        </w:tc>
      </w:tr>
      <w:tr w:rsidR="00A7162A" w14:paraId="5EE92293" w14:textId="77777777" w:rsidTr="001F79B0">
        <w:trPr>
          <w:gridBefore w:val="1"/>
          <w:wBefore w:w="34" w:type="dxa"/>
        </w:trPr>
        <w:tc>
          <w:tcPr>
            <w:tcW w:w="4644" w:type="dxa"/>
            <w:gridSpan w:val="2"/>
          </w:tcPr>
          <w:p w14:paraId="3C19DEF3" w14:textId="77777777" w:rsidR="00012D36" w:rsidRPr="00860B88" w:rsidRDefault="00615769" w:rsidP="001F79B0">
            <w:pPr>
              <w:pStyle w:val="Default"/>
              <w:rPr>
                <w:color w:val="auto"/>
                <w:sz w:val="22"/>
                <w:szCs w:val="22"/>
                <w:lang w:val="pt-PT"/>
              </w:rPr>
            </w:pPr>
            <w:r w:rsidRPr="00860B88">
              <w:rPr>
                <w:b/>
                <w:bCs/>
                <w:color w:val="auto"/>
                <w:sz w:val="22"/>
                <w:szCs w:val="22"/>
                <w:lang w:val="pt-PT"/>
              </w:rPr>
              <w:t xml:space="preserve">Hrvatska </w:t>
            </w:r>
          </w:p>
          <w:p w14:paraId="478AE8EB" w14:textId="77777777" w:rsidR="00012D36" w:rsidRPr="00346547" w:rsidRDefault="00615769" w:rsidP="001F79B0">
            <w:pPr>
              <w:rPr>
                <w:sz w:val="22"/>
                <w:szCs w:val="22"/>
                <w:lang w:val="hr-HR"/>
              </w:rPr>
            </w:pPr>
            <w:r w:rsidRPr="00346547">
              <w:rPr>
                <w:sz w:val="22"/>
                <w:szCs w:val="22"/>
                <w:lang w:val="hr-HR"/>
              </w:rPr>
              <w:t>AbbVie d.o.o.</w:t>
            </w:r>
          </w:p>
          <w:p w14:paraId="371654A4" w14:textId="77777777" w:rsidR="00012D36" w:rsidRPr="00346547" w:rsidRDefault="00615769" w:rsidP="001F79B0">
            <w:pPr>
              <w:rPr>
                <w:bCs/>
                <w:sz w:val="22"/>
                <w:szCs w:val="22"/>
                <w:lang w:val="it-IT"/>
              </w:rPr>
            </w:pPr>
            <w:r w:rsidRPr="00346547">
              <w:rPr>
                <w:sz w:val="22"/>
                <w:szCs w:val="22"/>
                <w:lang w:val="hr-HR"/>
              </w:rPr>
              <w:t xml:space="preserve">Tel + 385 (0)1 </w:t>
            </w:r>
            <w:r w:rsidRPr="00346547">
              <w:rPr>
                <w:sz w:val="22"/>
                <w:szCs w:val="22"/>
                <w:lang w:val="en-US"/>
              </w:rPr>
              <w:t>5625 501</w:t>
            </w:r>
          </w:p>
        </w:tc>
        <w:tc>
          <w:tcPr>
            <w:tcW w:w="4678" w:type="dxa"/>
          </w:tcPr>
          <w:p w14:paraId="6EB9E62D" w14:textId="77777777" w:rsidR="00012D36" w:rsidRPr="00346547" w:rsidRDefault="00615769" w:rsidP="001F79B0">
            <w:pPr>
              <w:pStyle w:val="EMEANormal"/>
              <w:rPr>
                <w:b/>
                <w:bCs/>
                <w:szCs w:val="22"/>
                <w:lang w:val="it-IT"/>
              </w:rPr>
            </w:pPr>
            <w:r w:rsidRPr="00346547">
              <w:rPr>
                <w:b/>
                <w:bCs/>
                <w:szCs w:val="22"/>
                <w:lang w:val="it-IT"/>
              </w:rPr>
              <w:t>România</w:t>
            </w:r>
          </w:p>
          <w:p w14:paraId="6CC03AF0" w14:textId="77777777" w:rsidR="00012D36" w:rsidRPr="00346547" w:rsidRDefault="00615769" w:rsidP="001F79B0">
            <w:pPr>
              <w:rPr>
                <w:rFonts w:eastAsia="MS Mincho"/>
                <w:sz w:val="22"/>
                <w:szCs w:val="22"/>
                <w:lang w:val="it-IT" w:eastAsia="ja-JP"/>
              </w:rPr>
            </w:pPr>
            <w:r w:rsidRPr="00346547">
              <w:rPr>
                <w:rFonts w:eastAsia="MS Mincho"/>
                <w:sz w:val="22"/>
                <w:szCs w:val="22"/>
                <w:lang w:val="it-IT" w:eastAsia="ja-JP"/>
              </w:rPr>
              <w:t>AbbVie S.R.L.</w:t>
            </w:r>
          </w:p>
          <w:p w14:paraId="25A20D4A" w14:textId="77777777" w:rsidR="00012D36" w:rsidRPr="00346547" w:rsidRDefault="00615769" w:rsidP="001F79B0">
            <w:pPr>
              <w:rPr>
                <w:sz w:val="22"/>
                <w:szCs w:val="22"/>
                <w:lang w:val="pl-PL"/>
              </w:rPr>
            </w:pPr>
            <w:r w:rsidRPr="00346547">
              <w:rPr>
                <w:sz w:val="22"/>
                <w:szCs w:val="22"/>
                <w:lang w:val="pl-PL"/>
              </w:rPr>
              <w:t>Tel: +40 21 529 30 35</w:t>
            </w:r>
          </w:p>
          <w:p w14:paraId="54E48C59" w14:textId="77777777" w:rsidR="00012D36" w:rsidRPr="00346547" w:rsidRDefault="00012D36" w:rsidP="001F79B0">
            <w:pPr>
              <w:rPr>
                <w:sz w:val="22"/>
                <w:szCs w:val="22"/>
                <w:lang w:val="pl-PL"/>
              </w:rPr>
            </w:pPr>
          </w:p>
        </w:tc>
      </w:tr>
      <w:tr w:rsidR="00A7162A" w14:paraId="44ACF1B9" w14:textId="77777777" w:rsidTr="001F79B0">
        <w:trPr>
          <w:gridBefore w:val="1"/>
          <w:wBefore w:w="34" w:type="dxa"/>
        </w:trPr>
        <w:tc>
          <w:tcPr>
            <w:tcW w:w="4644" w:type="dxa"/>
            <w:gridSpan w:val="2"/>
          </w:tcPr>
          <w:p w14:paraId="30E03EFD" w14:textId="77777777" w:rsidR="00012D36" w:rsidRPr="00346547" w:rsidRDefault="00615769" w:rsidP="001F79B0">
            <w:pPr>
              <w:rPr>
                <w:b/>
                <w:bCs/>
                <w:sz w:val="22"/>
                <w:szCs w:val="22"/>
              </w:rPr>
            </w:pPr>
            <w:r w:rsidRPr="00346547">
              <w:rPr>
                <w:b/>
                <w:bCs/>
                <w:sz w:val="22"/>
                <w:szCs w:val="22"/>
              </w:rPr>
              <w:t>Ireland</w:t>
            </w:r>
          </w:p>
          <w:p w14:paraId="25DD44BB" w14:textId="77777777" w:rsidR="00012D36" w:rsidRPr="00346547" w:rsidRDefault="00615769" w:rsidP="001F79B0">
            <w:pPr>
              <w:rPr>
                <w:bCs/>
                <w:sz w:val="22"/>
                <w:szCs w:val="22"/>
              </w:rPr>
            </w:pPr>
            <w:r w:rsidRPr="00346547">
              <w:rPr>
                <w:bCs/>
                <w:sz w:val="22"/>
                <w:szCs w:val="22"/>
              </w:rPr>
              <w:t xml:space="preserve">AbbVie Limited </w:t>
            </w:r>
          </w:p>
          <w:p w14:paraId="34A28516" w14:textId="77777777" w:rsidR="00012D36" w:rsidRPr="00346547" w:rsidRDefault="00615769" w:rsidP="001F79B0">
            <w:pPr>
              <w:rPr>
                <w:bCs/>
                <w:sz w:val="22"/>
                <w:szCs w:val="22"/>
              </w:rPr>
            </w:pPr>
            <w:r w:rsidRPr="00346547">
              <w:rPr>
                <w:bCs/>
                <w:sz w:val="22"/>
                <w:szCs w:val="22"/>
              </w:rPr>
              <w:t>Tel: +353 (0)1 428790</w:t>
            </w:r>
            <w:r w:rsidR="00794A65">
              <w:rPr>
                <w:bCs/>
                <w:sz w:val="22"/>
                <w:szCs w:val="22"/>
              </w:rPr>
              <w:t>0</w:t>
            </w:r>
          </w:p>
        </w:tc>
        <w:tc>
          <w:tcPr>
            <w:tcW w:w="4678" w:type="dxa"/>
          </w:tcPr>
          <w:p w14:paraId="59D87DF3" w14:textId="77777777" w:rsidR="00012D36" w:rsidRPr="00346547" w:rsidRDefault="00615769" w:rsidP="001F79B0">
            <w:pPr>
              <w:rPr>
                <w:b/>
                <w:bCs/>
                <w:sz w:val="22"/>
                <w:szCs w:val="22"/>
                <w:lang w:val="sl-SI"/>
              </w:rPr>
            </w:pPr>
            <w:r w:rsidRPr="00346547">
              <w:rPr>
                <w:b/>
                <w:bCs/>
                <w:sz w:val="22"/>
                <w:szCs w:val="22"/>
                <w:lang w:val="sl-SI"/>
              </w:rPr>
              <w:t>Slovenija</w:t>
            </w:r>
          </w:p>
          <w:p w14:paraId="6164AEC3" w14:textId="77777777" w:rsidR="00012D36" w:rsidRPr="00346547" w:rsidRDefault="00615769" w:rsidP="001F79B0">
            <w:pPr>
              <w:rPr>
                <w:bCs/>
                <w:sz w:val="22"/>
                <w:szCs w:val="22"/>
                <w:lang w:val="sl-SI"/>
              </w:rPr>
            </w:pPr>
            <w:r w:rsidRPr="00346547">
              <w:rPr>
                <w:bCs/>
                <w:sz w:val="22"/>
                <w:szCs w:val="22"/>
                <w:lang w:val="sl-SI"/>
              </w:rPr>
              <w:t xml:space="preserve">AbbVie </w:t>
            </w:r>
            <w:r w:rsidRPr="00346547">
              <w:rPr>
                <w:sz w:val="22"/>
                <w:szCs w:val="22"/>
                <w:lang w:val="sl-SI"/>
              </w:rPr>
              <w:t>Biofarmacevtska družba d.o.o.</w:t>
            </w:r>
          </w:p>
          <w:p w14:paraId="6E9166B9" w14:textId="77777777" w:rsidR="00012D36" w:rsidRPr="00346547" w:rsidRDefault="00615769" w:rsidP="001F79B0">
            <w:pPr>
              <w:rPr>
                <w:bCs/>
                <w:sz w:val="22"/>
                <w:szCs w:val="22"/>
                <w:lang w:val="sl-SI"/>
              </w:rPr>
            </w:pPr>
            <w:r w:rsidRPr="00346547">
              <w:rPr>
                <w:bCs/>
                <w:sz w:val="22"/>
                <w:szCs w:val="22"/>
                <w:lang w:val="sl-SI"/>
              </w:rPr>
              <w:t>Tel: +386 (1)32 08 060</w:t>
            </w:r>
          </w:p>
          <w:p w14:paraId="5B1EB906" w14:textId="77777777" w:rsidR="00012D36" w:rsidRPr="00346547" w:rsidRDefault="00012D36" w:rsidP="001F79B0">
            <w:pPr>
              <w:rPr>
                <w:bCs/>
                <w:sz w:val="22"/>
                <w:szCs w:val="22"/>
                <w:lang w:val="sl-SI"/>
              </w:rPr>
            </w:pPr>
          </w:p>
        </w:tc>
      </w:tr>
      <w:tr w:rsidR="00A7162A" w14:paraId="2A9EE5AB" w14:textId="77777777" w:rsidTr="001F79B0">
        <w:trPr>
          <w:gridBefore w:val="1"/>
          <w:wBefore w:w="34" w:type="dxa"/>
        </w:trPr>
        <w:tc>
          <w:tcPr>
            <w:tcW w:w="4644" w:type="dxa"/>
            <w:gridSpan w:val="2"/>
          </w:tcPr>
          <w:p w14:paraId="39C2182E" w14:textId="77777777" w:rsidR="00012D36" w:rsidRPr="00346547" w:rsidRDefault="00615769" w:rsidP="001F79B0">
            <w:pPr>
              <w:keepNext/>
              <w:rPr>
                <w:b/>
                <w:bCs/>
                <w:sz w:val="22"/>
                <w:szCs w:val="22"/>
                <w:lang w:val="is-IS"/>
              </w:rPr>
            </w:pPr>
            <w:r w:rsidRPr="00346547">
              <w:rPr>
                <w:b/>
                <w:bCs/>
                <w:sz w:val="22"/>
                <w:szCs w:val="22"/>
                <w:lang w:val="is-IS"/>
              </w:rPr>
              <w:t>Ísland</w:t>
            </w:r>
          </w:p>
          <w:p w14:paraId="66266B9C" w14:textId="77777777" w:rsidR="00012D36" w:rsidRPr="00346547" w:rsidRDefault="00615769" w:rsidP="001F79B0">
            <w:pPr>
              <w:keepNext/>
              <w:rPr>
                <w:bCs/>
                <w:sz w:val="22"/>
                <w:szCs w:val="22"/>
              </w:rPr>
            </w:pPr>
            <w:r w:rsidRPr="00346547">
              <w:rPr>
                <w:bCs/>
                <w:sz w:val="22"/>
                <w:szCs w:val="22"/>
              </w:rPr>
              <w:t>Vistor</w:t>
            </w:r>
            <w:del w:id="12604" w:author="AbbVie2" w:date="2025-05-14T10:21:00Z">
              <w:r w:rsidRPr="00346547">
                <w:rPr>
                  <w:bCs/>
                  <w:sz w:val="22"/>
                  <w:szCs w:val="22"/>
                </w:rPr>
                <w:delText xml:space="preserve"> hf.</w:delText>
              </w:r>
            </w:del>
          </w:p>
          <w:p w14:paraId="6AFB23C6" w14:textId="77777777" w:rsidR="00012D36" w:rsidRPr="00346547" w:rsidRDefault="00615769" w:rsidP="001F79B0">
            <w:pPr>
              <w:keepNext/>
              <w:rPr>
                <w:bCs/>
                <w:sz w:val="22"/>
                <w:szCs w:val="22"/>
              </w:rPr>
            </w:pPr>
            <w:r w:rsidRPr="00346547">
              <w:rPr>
                <w:bCs/>
                <w:sz w:val="22"/>
                <w:szCs w:val="22"/>
              </w:rPr>
              <w:t>Tel: +354 535 7000</w:t>
            </w:r>
          </w:p>
        </w:tc>
        <w:tc>
          <w:tcPr>
            <w:tcW w:w="4678" w:type="dxa"/>
          </w:tcPr>
          <w:p w14:paraId="3F98568B" w14:textId="77777777" w:rsidR="00012D36" w:rsidRPr="00346547" w:rsidRDefault="00615769" w:rsidP="001F79B0">
            <w:pPr>
              <w:keepNext/>
              <w:rPr>
                <w:b/>
                <w:bCs/>
                <w:sz w:val="22"/>
                <w:szCs w:val="22"/>
              </w:rPr>
            </w:pPr>
            <w:r w:rsidRPr="00346547">
              <w:rPr>
                <w:b/>
                <w:bCs/>
                <w:sz w:val="22"/>
                <w:szCs w:val="22"/>
              </w:rPr>
              <w:t>Slovenská republika</w:t>
            </w:r>
          </w:p>
          <w:p w14:paraId="523CF6D3" w14:textId="77777777" w:rsidR="00012D36" w:rsidRPr="00346547" w:rsidRDefault="00615769" w:rsidP="001F79B0">
            <w:pPr>
              <w:keepNext/>
              <w:rPr>
                <w:bCs/>
                <w:sz w:val="22"/>
                <w:szCs w:val="22"/>
              </w:rPr>
            </w:pPr>
            <w:r w:rsidRPr="00346547">
              <w:rPr>
                <w:bCs/>
                <w:sz w:val="22"/>
                <w:szCs w:val="22"/>
              </w:rPr>
              <w:t>AbbVie s.r.o.</w:t>
            </w:r>
          </w:p>
          <w:p w14:paraId="07D5DED0" w14:textId="77777777" w:rsidR="00012D36" w:rsidRPr="00346547" w:rsidRDefault="00615769" w:rsidP="001F79B0">
            <w:pPr>
              <w:keepNext/>
              <w:rPr>
                <w:bCs/>
                <w:sz w:val="22"/>
                <w:szCs w:val="22"/>
              </w:rPr>
            </w:pPr>
            <w:r w:rsidRPr="00346547">
              <w:rPr>
                <w:bCs/>
                <w:sz w:val="22"/>
                <w:szCs w:val="22"/>
              </w:rPr>
              <w:t>Tel: +421 2 5050 0777</w:t>
            </w:r>
          </w:p>
          <w:p w14:paraId="32D18317" w14:textId="77777777" w:rsidR="00012D36" w:rsidRPr="00346547" w:rsidRDefault="00012D36" w:rsidP="001F79B0">
            <w:pPr>
              <w:keepNext/>
              <w:rPr>
                <w:bCs/>
                <w:sz w:val="22"/>
                <w:szCs w:val="22"/>
              </w:rPr>
            </w:pPr>
          </w:p>
        </w:tc>
      </w:tr>
      <w:tr w:rsidR="00A7162A" w14:paraId="7A0B35F0" w14:textId="77777777" w:rsidTr="001F79B0">
        <w:trPr>
          <w:gridBefore w:val="1"/>
          <w:wBefore w:w="34" w:type="dxa"/>
        </w:trPr>
        <w:tc>
          <w:tcPr>
            <w:tcW w:w="4644" w:type="dxa"/>
            <w:gridSpan w:val="2"/>
          </w:tcPr>
          <w:p w14:paraId="2CDDA292" w14:textId="77777777" w:rsidR="00012D36" w:rsidRPr="00346547" w:rsidRDefault="00615769" w:rsidP="001F79B0">
            <w:pPr>
              <w:rPr>
                <w:b/>
                <w:bCs/>
                <w:sz w:val="22"/>
                <w:szCs w:val="22"/>
                <w:lang w:val="it-IT"/>
              </w:rPr>
            </w:pPr>
            <w:r w:rsidRPr="00346547">
              <w:rPr>
                <w:b/>
                <w:bCs/>
                <w:sz w:val="22"/>
                <w:szCs w:val="22"/>
                <w:lang w:val="it-IT"/>
              </w:rPr>
              <w:t>Italia</w:t>
            </w:r>
          </w:p>
          <w:p w14:paraId="4DB27F86" w14:textId="77777777" w:rsidR="00012D36" w:rsidRPr="00346547" w:rsidRDefault="00615769" w:rsidP="001F79B0">
            <w:pPr>
              <w:pStyle w:val="EndnoteText"/>
              <w:spacing w:line="260" w:lineRule="exact"/>
              <w:rPr>
                <w:bCs/>
                <w:szCs w:val="22"/>
              </w:rPr>
            </w:pPr>
            <w:r w:rsidRPr="00346547">
              <w:rPr>
                <w:bCs/>
                <w:szCs w:val="22"/>
              </w:rPr>
              <w:t xml:space="preserve">AbbVie S.r.l. </w:t>
            </w:r>
          </w:p>
          <w:p w14:paraId="53D31244" w14:textId="77777777" w:rsidR="00012D36" w:rsidRPr="00346547" w:rsidRDefault="00615769" w:rsidP="001F79B0">
            <w:pPr>
              <w:rPr>
                <w:bCs/>
                <w:sz w:val="22"/>
                <w:szCs w:val="22"/>
                <w:lang w:val="fi-FI"/>
              </w:rPr>
            </w:pPr>
            <w:r w:rsidRPr="00346547">
              <w:rPr>
                <w:bCs/>
                <w:sz w:val="22"/>
                <w:szCs w:val="22"/>
                <w:lang w:val="fr-FR"/>
              </w:rPr>
              <w:t>Tel: +39 06 928921</w:t>
            </w:r>
          </w:p>
        </w:tc>
        <w:tc>
          <w:tcPr>
            <w:tcW w:w="4678" w:type="dxa"/>
          </w:tcPr>
          <w:p w14:paraId="6370ABB1" w14:textId="77777777" w:rsidR="00012D36" w:rsidRPr="00346547" w:rsidRDefault="00615769" w:rsidP="001F79B0">
            <w:pPr>
              <w:rPr>
                <w:b/>
                <w:bCs/>
                <w:sz w:val="22"/>
                <w:szCs w:val="22"/>
                <w:lang w:val="fi-FI"/>
              </w:rPr>
            </w:pPr>
            <w:r w:rsidRPr="00346547">
              <w:rPr>
                <w:b/>
                <w:bCs/>
                <w:sz w:val="22"/>
                <w:szCs w:val="22"/>
                <w:lang w:val="fi-FI"/>
              </w:rPr>
              <w:t>Suomi/Finland</w:t>
            </w:r>
          </w:p>
          <w:p w14:paraId="7477A234" w14:textId="77777777" w:rsidR="00012D36" w:rsidRPr="00346547" w:rsidRDefault="00615769" w:rsidP="001F79B0">
            <w:pPr>
              <w:rPr>
                <w:bCs/>
                <w:sz w:val="22"/>
                <w:szCs w:val="22"/>
                <w:lang w:val="de-CH"/>
              </w:rPr>
            </w:pPr>
            <w:r w:rsidRPr="00860B88">
              <w:rPr>
                <w:bCs/>
                <w:sz w:val="22"/>
                <w:szCs w:val="22"/>
                <w:lang w:val="en-US"/>
              </w:rPr>
              <w:t>AbbVie Oy</w:t>
            </w:r>
          </w:p>
          <w:p w14:paraId="2C969D3A" w14:textId="77777777" w:rsidR="00012D36" w:rsidRPr="00860B88" w:rsidRDefault="00615769" w:rsidP="001F79B0">
            <w:pPr>
              <w:rPr>
                <w:bCs/>
                <w:sz w:val="22"/>
                <w:szCs w:val="22"/>
                <w:lang w:val="en-US"/>
              </w:rPr>
            </w:pPr>
            <w:r w:rsidRPr="00860B88">
              <w:rPr>
                <w:bCs/>
                <w:sz w:val="22"/>
                <w:szCs w:val="22"/>
                <w:lang w:val="en-US"/>
              </w:rPr>
              <w:t>Puh/Tel: +358 (0)10 2411 200</w:t>
            </w:r>
          </w:p>
          <w:p w14:paraId="291A891F" w14:textId="77777777" w:rsidR="00012D36" w:rsidRPr="00860B88" w:rsidRDefault="00012D36" w:rsidP="001F79B0">
            <w:pPr>
              <w:rPr>
                <w:sz w:val="22"/>
                <w:szCs w:val="22"/>
                <w:lang w:val="en-US"/>
              </w:rPr>
            </w:pPr>
          </w:p>
        </w:tc>
      </w:tr>
      <w:tr w:rsidR="00A7162A" w14:paraId="59FACBDE" w14:textId="77777777" w:rsidTr="001F79B0">
        <w:trPr>
          <w:gridBefore w:val="1"/>
          <w:wBefore w:w="34" w:type="dxa"/>
          <w:cantSplit/>
          <w:trHeight w:val="887"/>
        </w:trPr>
        <w:tc>
          <w:tcPr>
            <w:tcW w:w="4644" w:type="dxa"/>
            <w:gridSpan w:val="2"/>
          </w:tcPr>
          <w:p w14:paraId="1B212390" w14:textId="77777777" w:rsidR="00012D36" w:rsidRPr="00346547" w:rsidRDefault="00615769" w:rsidP="001F79B0">
            <w:pPr>
              <w:rPr>
                <w:b/>
                <w:bCs/>
                <w:sz w:val="22"/>
                <w:szCs w:val="22"/>
                <w:lang w:val="el-GR"/>
              </w:rPr>
            </w:pPr>
            <w:r w:rsidRPr="00346547">
              <w:rPr>
                <w:b/>
                <w:bCs/>
                <w:sz w:val="22"/>
                <w:szCs w:val="22"/>
                <w:lang w:val="el-GR"/>
              </w:rPr>
              <w:t>Κύπρος</w:t>
            </w:r>
          </w:p>
          <w:p w14:paraId="615E0A07" w14:textId="77777777" w:rsidR="00012D36" w:rsidRPr="00346547" w:rsidRDefault="00615769" w:rsidP="001F79B0">
            <w:pPr>
              <w:rPr>
                <w:bCs/>
                <w:sz w:val="22"/>
                <w:szCs w:val="22"/>
                <w:lang w:val="el-GR"/>
              </w:rPr>
            </w:pPr>
            <w:r w:rsidRPr="00BE62F9">
              <w:rPr>
                <w:bCs/>
                <w:sz w:val="22"/>
                <w:szCs w:val="22"/>
                <w:lang w:val="en-US"/>
                <w:rPrChange w:id="12605" w:author="AbbVie2" w:date="2025-09-08T09:53:00Z">
                  <w:rPr>
                    <w:bCs/>
                    <w:sz w:val="22"/>
                    <w:szCs w:val="22"/>
                  </w:rPr>
                </w:rPrChange>
              </w:rPr>
              <w:t xml:space="preserve">Lifepharma (Z.A.M.) </w:t>
            </w:r>
            <w:r w:rsidRPr="00346547">
              <w:rPr>
                <w:bCs/>
                <w:sz w:val="22"/>
                <w:szCs w:val="22"/>
                <w:lang w:val="it-IT"/>
              </w:rPr>
              <w:t>Ltd</w:t>
            </w:r>
          </w:p>
          <w:p w14:paraId="6FB389A7" w14:textId="77777777" w:rsidR="00012D36" w:rsidRPr="00346547" w:rsidRDefault="00615769" w:rsidP="001F79B0">
            <w:pPr>
              <w:rPr>
                <w:bCs/>
                <w:sz w:val="22"/>
                <w:szCs w:val="22"/>
                <w:lang w:val="lv-LV"/>
              </w:rPr>
            </w:pPr>
            <w:r w:rsidRPr="00346547">
              <w:rPr>
                <w:bCs/>
                <w:sz w:val="22"/>
                <w:szCs w:val="22"/>
                <w:lang w:val="el-GR"/>
              </w:rPr>
              <w:t>Τηλ.: +357 22 34 74 40</w:t>
            </w:r>
          </w:p>
        </w:tc>
        <w:tc>
          <w:tcPr>
            <w:tcW w:w="4678" w:type="dxa"/>
          </w:tcPr>
          <w:p w14:paraId="55B4C713" w14:textId="77777777" w:rsidR="00012D36" w:rsidRPr="00346547" w:rsidRDefault="00615769" w:rsidP="001F79B0">
            <w:pPr>
              <w:rPr>
                <w:b/>
                <w:bCs/>
                <w:sz w:val="22"/>
                <w:szCs w:val="22"/>
              </w:rPr>
            </w:pPr>
            <w:r w:rsidRPr="00346547">
              <w:rPr>
                <w:b/>
                <w:bCs/>
                <w:sz w:val="22"/>
                <w:szCs w:val="22"/>
              </w:rPr>
              <w:t>Sverige</w:t>
            </w:r>
          </w:p>
          <w:p w14:paraId="1346040A" w14:textId="77777777" w:rsidR="00012D36" w:rsidRPr="00346547" w:rsidRDefault="00615769" w:rsidP="001F79B0">
            <w:pPr>
              <w:rPr>
                <w:bCs/>
                <w:sz w:val="22"/>
                <w:szCs w:val="22"/>
              </w:rPr>
            </w:pPr>
            <w:r w:rsidRPr="00346547">
              <w:rPr>
                <w:bCs/>
                <w:sz w:val="22"/>
                <w:szCs w:val="22"/>
              </w:rPr>
              <w:t>AbbVie AB</w:t>
            </w:r>
          </w:p>
          <w:p w14:paraId="0015A8D6" w14:textId="77777777" w:rsidR="00012D36" w:rsidRPr="00346547" w:rsidRDefault="00615769" w:rsidP="001F79B0">
            <w:pPr>
              <w:rPr>
                <w:bCs/>
                <w:sz w:val="22"/>
                <w:szCs w:val="22"/>
              </w:rPr>
            </w:pPr>
            <w:r w:rsidRPr="00346547">
              <w:rPr>
                <w:bCs/>
                <w:sz w:val="22"/>
                <w:szCs w:val="22"/>
                <w:lang w:val="da-DK"/>
              </w:rPr>
              <w:t>Tel: +46 (0)8 684 44 600</w:t>
            </w:r>
          </w:p>
        </w:tc>
      </w:tr>
      <w:tr w:rsidR="00A7162A" w14:paraId="66767318" w14:textId="77777777" w:rsidTr="001F79B0">
        <w:trPr>
          <w:gridBefore w:val="1"/>
          <w:wBefore w:w="34" w:type="dxa"/>
          <w:cantSplit/>
          <w:trHeight w:val="761"/>
        </w:trPr>
        <w:tc>
          <w:tcPr>
            <w:tcW w:w="4644" w:type="dxa"/>
            <w:gridSpan w:val="2"/>
          </w:tcPr>
          <w:p w14:paraId="056BF159" w14:textId="77777777" w:rsidR="00012D36" w:rsidRPr="00346547" w:rsidRDefault="00615769" w:rsidP="001F79B0">
            <w:pPr>
              <w:rPr>
                <w:b/>
                <w:bCs/>
                <w:sz w:val="22"/>
                <w:szCs w:val="22"/>
                <w:lang w:val="lv-LV"/>
              </w:rPr>
            </w:pPr>
            <w:r w:rsidRPr="00346547">
              <w:rPr>
                <w:b/>
                <w:bCs/>
                <w:sz w:val="22"/>
                <w:szCs w:val="22"/>
                <w:lang w:val="lv-LV"/>
              </w:rPr>
              <w:t>Latvija</w:t>
            </w:r>
          </w:p>
          <w:p w14:paraId="1916A173" w14:textId="77777777" w:rsidR="00012D36" w:rsidRPr="00346547" w:rsidRDefault="00615769" w:rsidP="001F79B0">
            <w:pPr>
              <w:rPr>
                <w:bCs/>
                <w:sz w:val="22"/>
                <w:szCs w:val="22"/>
                <w:lang w:val="lv-LV"/>
              </w:rPr>
            </w:pPr>
            <w:r w:rsidRPr="00346547">
              <w:rPr>
                <w:bCs/>
                <w:sz w:val="22"/>
                <w:szCs w:val="22"/>
                <w:lang w:val="lv-LV"/>
              </w:rPr>
              <w:t xml:space="preserve">AbbVie SIA </w:t>
            </w:r>
          </w:p>
          <w:p w14:paraId="143C8283" w14:textId="77777777" w:rsidR="00012D36" w:rsidRPr="00346547" w:rsidRDefault="00615769" w:rsidP="001F79B0">
            <w:pPr>
              <w:rPr>
                <w:bCs/>
                <w:sz w:val="22"/>
                <w:szCs w:val="22"/>
                <w:lang w:val="lv-LV"/>
              </w:rPr>
            </w:pPr>
            <w:r w:rsidRPr="00346547">
              <w:rPr>
                <w:bCs/>
                <w:sz w:val="22"/>
                <w:szCs w:val="22"/>
                <w:lang w:val="lv-LV"/>
              </w:rPr>
              <w:t>Tel: +371 67605000</w:t>
            </w:r>
          </w:p>
        </w:tc>
        <w:tc>
          <w:tcPr>
            <w:tcW w:w="4678" w:type="dxa"/>
          </w:tcPr>
          <w:p w14:paraId="090A2D3F" w14:textId="65188A8A" w:rsidR="00012D36" w:rsidRPr="00346547" w:rsidRDefault="00012D36" w:rsidP="001F79B0">
            <w:pPr>
              <w:rPr>
                <w:b/>
                <w:bCs/>
                <w:sz w:val="22"/>
                <w:szCs w:val="22"/>
              </w:rPr>
            </w:pPr>
          </w:p>
        </w:tc>
      </w:tr>
    </w:tbl>
    <w:p w14:paraId="692A5C2C" w14:textId="77777777" w:rsidR="008D4B8F" w:rsidRPr="00FA69E8" w:rsidRDefault="008D4B8F" w:rsidP="008D4B8F">
      <w:pPr>
        <w:rPr>
          <w:lang w:val="en-US"/>
        </w:rPr>
      </w:pPr>
    </w:p>
    <w:p w14:paraId="191EF8E0" w14:textId="77777777" w:rsidR="008D4B8F" w:rsidRPr="008912CF" w:rsidRDefault="00615769" w:rsidP="008D4B8F">
      <w:pPr>
        <w:keepNext/>
        <w:ind w:right="-2"/>
        <w:rPr>
          <w:sz w:val="22"/>
          <w:szCs w:val="22"/>
        </w:rPr>
      </w:pPr>
      <w:r w:rsidRPr="008912CF">
        <w:rPr>
          <w:b/>
          <w:sz w:val="22"/>
          <w:szCs w:val="22"/>
        </w:rPr>
        <w:t>Este folheto</w:t>
      </w:r>
      <w:r w:rsidR="00EC0461">
        <w:rPr>
          <w:b/>
          <w:sz w:val="22"/>
          <w:szCs w:val="22"/>
        </w:rPr>
        <w:t xml:space="preserve"> foi revisto pela última vez em</w:t>
      </w:r>
    </w:p>
    <w:p w14:paraId="543E6AA3" w14:textId="77777777" w:rsidR="008D4B8F" w:rsidRPr="008912CF" w:rsidRDefault="008D4B8F" w:rsidP="008D4B8F">
      <w:pPr>
        <w:keepNext/>
        <w:ind w:right="-2"/>
        <w:rPr>
          <w:sz w:val="22"/>
          <w:szCs w:val="22"/>
        </w:rPr>
      </w:pPr>
    </w:p>
    <w:p w14:paraId="798DD111" w14:textId="67C48CDD" w:rsidR="008D4B8F" w:rsidRDefault="00615769" w:rsidP="008D4B8F">
      <w:pPr>
        <w:keepNext/>
        <w:ind w:right="-2"/>
        <w:rPr>
          <w:color w:val="0000FF"/>
          <w:sz w:val="22"/>
          <w:szCs w:val="22"/>
        </w:rPr>
      </w:pPr>
      <w:r w:rsidRPr="008912CF">
        <w:rPr>
          <w:sz w:val="22"/>
          <w:szCs w:val="22"/>
        </w:rPr>
        <w:t xml:space="preserve">Está disponível informação pormenorizada sobre este medicamento no sítio da internet da Agência Europeia de Medicamentos: </w:t>
      </w:r>
      <w:ins w:id="12606" w:author="AbbVie2" w:date="2025-05-14T10:22:00Z">
        <w:r w:rsidR="00AD4F25">
          <w:rPr>
            <w:sz w:val="22"/>
            <w:szCs w:val="22"/>
          </w:rPr>
          <w:fldChar w:fldCharType="begin"/>
        </w:r>
        <w:r w:rsidR="00AD4F25">
          <w:rPr>
            <w:sz w:val="22"/>
            <w:szCs w:val="22"/>
          </w:rPr>
          <w:instrText>HYPERLINK "</w:instrText>
        </w:r>
      </w:ins>
      <w:r w:rsidR="00AD4F25" w:rsidRPr="00AD4F25">
        <w:rPr>
          <w:rStyle w:val="Hyperlink"/>
          <w:sz w:val="22"/>
          <w:szCs w:val="22"/>
        </w:rPr>
        <w:instrText>http</w:instrText>
      </w:r>
      <w:ins w:id="12607" w:author="AbbVie2" w:date="2025-05-14T10:21:00Z">
        <w:r w:rsidR="00AD4F25" w:rsidRPr="00AD4F25">
          <w:rPr>
            <w:rStyle w:val="Hyperlink"/>
            <w:sz w:val="22"/>
            <w:szCs w:val="22"/>
          </w:rPr>
          <w:instrText>s</w:instrText>
        </w:r>
      </w:ins>
      <w:r w:rsidR="00AD4F25" w:rsidRPr="00AD4F25">
        <w:rPr>
          <w:rStyle w:val="Hyperlink"/>
          <w:sz w:val="22"/>
          <w:szCs w:val="22"/>
        </w:rPr>
        <w:instrText>://www.ema.europa.eu</w:instrText>
      </w:r>
      <w:ins w:id="12608" w:author="AbbVie2" w:date="2025-05-14T10:22:00Z">
        <w:r w:rsidR="00AD4F25">
          <w:rPr>
            <w:sz w:val="22"/>
            <w:szCs w:val="22"/>
          </w:rPr>
          <w:instrText>"</w:instrText>
        </w:r>
        <w:r w:rsidR="00AD4F25">
          <w:rPr>
            <w:sz w:val="22"/>
            <w:szCs w:val="22"/>
          </w:rPr>
        </w:r>
        <w:r w:rsidR="00AD4F25">
          <w:rPr>
            <w:sz w:val="22"/>
            <w:szCs w:val="22"/>
          </w:rPr>
          <w:fldChar w:fldCharType="separate"/>
        </w:r>
      </w:ins>
      <w:r w:rsidR="00AD4F25" w:rsidRPr="00AD4F25">
        <w:rPr>
          <w:rStyle w:val="Hyperlink"/>
          <w:sz w:val="22"/>
          <w:szCs w:val="22"/>
        </w:rPr>
        <w:t>http</w:t>
      </w:r>
      <w:ins w:id="12609" w:author="AbbVie2" w:date="2025-05-14T10:21:00Z">
        <w:r w:rsidR="00AD4F25" w:rsidRPr="00AD4F25">
          <w:rPr>
            <w:rStyle w:val="Hyperlink"/>
            <w:sz w:val="22"/>
            <w:szCs w:val="22"/>
          </w:rPr>
          <w:t>s</w:t>
        </w:r>
      </w:ins>
      <w:r w:rsidR="00AD4F25" w:rsidRPr="00AD4F25">
        <w:rPr>
          <w:rStyle w:val="Hyperlink"/>
          <w:sz w:val="22"/>
          <w:szCs w:val="22"/>
        </w:rPr>
        <w:t>://www.ema.europa.eu</w:t>
      </w:r>
      <w:ins w:id="12610" w:author="AbbVie2" w:date="2025-05-14T10:22:00Z">
        <w:r w:rsidR="00AD4F25">
          <w:rPr>
            <w:sz w:val="22"/>
            <w:szCs w:val="22"/>
          </w:rPr>
          <w:fldChar w:fldCharType="end"/>
        </w:r>
      </w:ins>
    </w:p>
    <w:p w14:paraId="509A81EB" w14:textId="77777777" w:rsidR="008D4B8F" w:rsidRPr="00EC0461" w:rsidRDefault="008D4B8F" w:rsidP="008D4B8F">
      <w:pPr>
        <w:numPr>
          <w:ilvl w:val="12"/>
          <w:numId w:val="0"/>
        </w:numPr>
        <w:ind w:right="-2"/>
        <w:rPr>
          <w:noProof/>
          <w:sz w:val="22"/>
          <w:szCs w:val="22"/>
        </w:rPr>
      </w:pPr>
    </w:p>
    <w:p w14:paraId="5277013E" w14:textId="77777777" w:rsidR="008D4B8F" w:rsidRPr="00FE24B0" w:rsidRDefault="00615769" w:rsidP="008D4B8F">
      <w:pPr>
        <w:numPr>
          <w:ilvl w:val="12"/>
          <w:numId w:val="0"/>
        </w:numPr>
        <w:ind w:right="-2"/>
        <w:rPr>
          <w:sz w:val="22"/>
          <w:szCs w:val="22"/>
        </w:rPr>
      </w:pPr>
      <w:r w:rsidRPr="00D45244">
        <w:rPr>
          <w:b/>
          <w:noProof/>
          <w:sz w:val="22"/>
          <w:szCs w:val="22"/>
        </w:rPr>
        <w:t xml:space="preserve">Para ouvir ou solicitar uma cópia deste folheto em </w:t>
      </w:r>
      <w:r w:rsidRPr="00D45244">
        <w:rPr>
          <w:b/>
          <w:noProof/>
          <w:sz w:val="22"/>
          <w:szCs w:val="22"/>
          <w:highlight w:val="lightGray"/>
        </w:rPr>
        <w:t>&lt;Braille&gt;, &lt;caracteres grandes&gt; ou &lt;áudio&gt;</w:t>
      </w:r>
      <w:r w:rsidRPr="00D45244">
        <w:rPr>
          <w:b/>
          <w:noProof/>
          <w:sz w:val="22"/>
          <w:szCs w:val="22"/>
        </w:rPr>
        <w:t>, por favor contacte o representante local do Titular da Autorização de Introdução no Mercado.</w:t>
      </w:r>
    </w:p>
    <w:p w14:paraId="3A777E71" w14:textId="77777777" w:rsidR="00435AA4" w:rsidRPr="00EC0461" w:rsidRDefault="00435AA4" w:rsidP="008D4B8F">
      <w:pPr>
        <w:pStyle w:val="IndexHeading"/>
        <w:tabs>
          <w:tab w:val="clear" w:pos="567"/>
        </w:tabs>
        <w:spacing w:line="240" w:lineRule="auto"/>
        <w:rPr>
          <w:rFonts w:ascii="Times New Roman" w:hAnsi="Times New Roman"/>
          <w:b w:val="0"/>
          <w:szCs w:val="22"/>
          <w:lang w:val="pt-PT"/>
        </w:rPr>
      </w:pPr>
    </w:p>
    <w:p w14:paraId="153A8381" w14:textId="77777777" w:rsidR="00A710A1" w:rsidRPr="00EC0461" w:rsidRDefault="00615769" w:rsidP="00435AA4">
      <w:pPr>
        <w:keepNext/>
        <w:ind w:right="-2"/>
        <w:rPr>
          <w:sz w:val="22"/>
          <w:szCs w:val="22"/>
        </w:rPr>
      </w:pPr>
      <w:r w:rsidRPr="006462E3">
        <w:rPr>
          <w:b/>
          <w:sz w:val="22"/>
          <w:szCs w:val="22"/>
        </w:rPr>
        <w:t>7.</w:t>
      </w:r>
      <w:r w:rsidRPr="006462E3">
        <w:rPr>
          <w:b/>
          <w:sz w:val="22"/>
          <w:szCs w:val="22"/>
        </w:rPr>
        <w:tab/>
      </w:r>
      <w:r w:rsidR="00D24F87">
        <w:rPr>
          <w:b/>
          <w:sz w:val="22"/>
          <w:szCs w:val="22"/>
        </w:rPr>
        <w:t>Injetar Humira</w:t>
      </w:r>
    </w:p>
    <w:p w14:paraId="00D3A629" w14:textId="77777777" w:rsidR="00435AA4" w:rsidRPr="00EC0461" w:rsidRDefault="00435AA4" w:rsidP="00435AA4">
      <w:pPr>
        <w:keepNext/>
        <w:ind w:right="-2"/>
        <w:rPr>
          <w:sz w:val="22"/>
          <w:szCs w:val="22"/>
        </w:rPr>
      </w:pPr>
    </w:p>
    <w:p w14:paraId="529A3282" w14:textId="77777777" w:rsidR="00435AA4" w:rsidRPr="00D33370" w:rsidRDefault="00615769" w:rsidP="00435AA4">
      <w:pPr>
        <w:keepNext/>
        <w:numPr>
          <w:ilvl w:val="0"/>
          <w:numId w:val="89"/>
        </w:numPr>
        <w:tabs>
          <w:tab w:val="clear" w:pos="720"/>
        </w:tabs>
        <w:suppressAutoHyphens/>
        <w:ind w:left="567" w:hanging="567"/>
        <w:rPr>
          <w:sz w:val="22"/>
        </w:rPr>
      </w:pPr>
      <w:r w:rsidRPr="00854C93">
        <w:rPr>
          <w:sz w:val="22"/>
        </w:rPr>
        <w:t xml:space="preserve">As instruções a seguir indicadas explicam como </w:t>
      </w:r>
      <w:r w:rsidR="0034241F">
        <w:rPr>
          <w:sz w:val="22"/>
        </w:rPr>
        <w:t xml:space="preserve">administrar à sua criança uma injeção subcutânea de </w:t>
      </w:r>
      <w:r w:rsidRPr="000B3FE3">
        <w:rPr>
          <w:sz w:val="22"/>
        </w:rPr>
        <w:t xml:space="preserve">Humira em </w:t>
      </w:r>
      <w:r>
        <w:rPr>
          <w:sz w:val="22"/>
        </w:rPr>
        <w:t>seringa</w:t>
      </w:r>
      <w:r w:rsidRPr="000B3FE3">
        <w:rPr>
          <w:sz w:val="22"/>
        </w:rPr>
        <w:t xml:space="preserve"> pré-cheia.</w:t>
      </w:r>
      <w:r w:rsidRPr="004931CE">
        <w:rPr>
          <w:sz w:val="22"/>
        </w:rPr>
        <w:t xml:space="preserve"> </w:t>
      </w:r>
      <w:r w:rsidRPr="00653128">
        <w:rPr>
          <w:sz w:val="22"/>
        </w:rPr>
        <w:t>Leia atentamente as instruções e siga-as passo a passo.</w:t>
      </w:r>
      <w:r w:rsidRPr="00D33370">
        <w:rPr>
          <w:sz w:val="22"/>
        </w:rPr>
        <w:t xml:space="preserve"> </w:t>
      </w:r>
    </w:p>
    <w:p w14:paraId="0090873D" w14:textId="77777777" w:rsidR="00435AA4" w:rsidRPr="002D4DE5" w:rsidRDefault="00435AA4" w:rsidP="00435AA4">
      <w:pPr>
        <w:keepNext/>
        <w:tabs>
          <w:tab w:val="num" w:pos="567"/>
        </w:tabs>
        <w:suppressAutoHyphens/>
        <w:ind w:left="720" w:hanging="567"/>
        <w:rPr>
          <w:sz w:val="22"/>
        </w:rPr>
      </w:pPr>
    </w:p>
    <w:p w14:paraId="43A0DE37" w14:textId="77777777" w:rsidR="00435AA4" w:rsidRPr="005F6F98" w:rsidRDefault="00615769" w:rsidP="00435AA4">
      <w:pPr>
        <w:keepNext/>
        <w:numPr>
          <w:ilvl w:val="0"/>
          <w:numId w:val="89"/>
        </w:numPr>
        <w:tabs>
          <w:tab w:val="clear" w:pos="720"/>
        </w:tabs>
        <w:suppressAutoHyphens/>
        <w:ind w:left="567" w:hanging="567"/>
        <w:rPr>
          <w:sz w:val="22"/>
        </w:rPr>
      </w:pPr>
      <w:r w:rsidRPr="00003560">
        <w:rPr>
          <w:sz w:val="22"/>
        </w:rPr>
        <w:t>O seu médico, enfermeiro ou farmacêutico dar-lhe-á instruç</w:t>
      </w:r>
      <w:r w:rsidR="00EC0461">
        <w:rPr>
          <w:sz w:val="22"/>
        </w:rPr>
        <w:t>ões sobre a técnica de injeção.</w:t>
      </w:r>
    </w:p>
    <w:p w14:paraId="0D79C086" w14:textId="77777777" w:rsidR="00435AA4" w:rsidRPr="002B2441" w:rsidRDefault="00435AA4" w:rsidP="00435AA4">
      <w:pPr>
        <w:keepNext/>
        <w:tabs>
          <w:tab w:val="num" w:pos="567"/>
        </w:tabs>
        <w:suppressAutoHyphens/>
        <w:ind w:left="720" w:hanging="567"/>
        <w:rPr>
          <w:sz w:val="22"/>
        </w:rPr>
      </w:pPr>
    </w:p>
    <w:p w14:paraId="12DB79C6" w14:textId="77777777" w:rsidR="00435AA4" w:rsidRPr="008B0DDF" w:rsidRDefault="00615769" w:rsidP="00435AA4">
      <w:pPr>
        <w:keepNext/>
        <w:numPr>
          <w:ilvl w:val="0"/>
          <w:numId w:val="89"/>
        </w:numPr>
        <w:tabs>
          <w:tab w:val="clear" w:pos="720"/>
        </w:tabs>
        <w:suppressAutoHyphens/>
        <w:ind w:left="567" w:hanging="567"/>
        <w:rPr>
          <w:sz w:val="22"/>
        </w:rPr>
      </w:pPr>
      <w:r>
        <w:rPr>
          <w:sz w:val="22"/>
        </w:rPr>
        <w:t xml:space="preserve">Não </w:t>
      </w:r>
      <w:r w:rsidRPr="002B2441">
        <w:rPr>
          <w:sz w:val="22"/>
        </w:rPr>
        <w:t>injetar</w:t>
      </w:r>
      <w:r>
        <w:rPr>
          <w:sz w:val="22"/>
        </w:rPr>
        <w:t xml:space="preserve"> a sua criança </w:t>
      </w:r>
      <w:r w:rsidRPr="002B2441">
        <w:rPr>
          <w:sz w:val="22"/>
        </w:rPr>
        <w:t>antes de estar certo de ter compreendido</w:t>
      </w:r>
      <w:r w:rsidRPr="00B830EC">
        <w:rPr>
          <w:sz w:val="22"/>
        </w:rPr>
        <w:t xml:space="preserve"> </w:t>
      </w:r>
      <w:r w:rsidRPr="008B0DDF">
        <w:rPr>
          <w:sz w:val="22"/>
        </w:rPr>
        <w:t xml:space="preserve">o modo de preparar e administrar a injeção. </w:t>
      </w:r>
    </w:p>
    <w:p w14:paraId="08DB510A" w14:textId="77777777" w:rsidR="00435AA4" w:rsidRPr="008B0DDF" w:rsidRDefault="00435AA4" w:rsidP="00435AA4">
      <w:pPr>
        <w:keepNext/>
        <w:tabs>
          <w:tab w:val="num" w:pos="567"/>
        </w:tabs>
        <w:suppressAutoHyphens/>
        <w:ind w:left="720" w:hanging="567"/>
        <w:rPr>
          <w:sz w:val="22"/>
        </w:rPr>
      </w:pPr>
    </w:p>
    <w:p w14:paraId="60C09145" w14:textId="77777777" w:rsidR="00435AA4" w:rsidRPr="008B0DDF" w:rsidRDefault="00615769" w:rsidP="00435AA4">
      <w:pPr>
        <w:keepNext/>
        <w:numPr>
          <w:ilvl w:val="0"/>
          <w:numId w:val="89"/>
        </w:numPr>
        <w:tabs>
          <w:tab w:val="clear" w:pos="720"/>
        </w:tabs>
        <w:suppressAutoHyphens/>
        <w:ind w:left="567" w:hanging="567"/>
        <w:rPr>
          <w:sz w:val="22"/>
        </w:rPr>
      </w:pPr>
      <w:r w:rsidRPr="008B0DDF">
        <w:rPr>
          <w:sz w:val="22"/>
        </w:rPr>
        <w:t>Após treino adequado, a injeção pode ser administrada pel</w:t>
      </w:r>
      <w:r w:rsidR="006D79D1">
        <w:rPr>
          <w:sz w:val="22"/>
        </w:rPr>
        <w:t>a sua criança</w:t>
      </w:r>
      <w:r w:rsidRPr="008B0DDF">
        <w:rPr>
          <w:sz w:val="22"/>
        </w:rPr>
        <w:t xml:space="preserve"> ou por outra pessoa, por exemplo um familiar ou amigo.</w:t>
      </w:r>
    </w:p>
    <w:p w14:paraId="5691FD73" w14:textId="77777777" w:rsidR="00435AA4" w:rsidRPr="008B0DDF" w:rsidRDefault="00435AA4" w:rsidP="00435AA4">
      <w:pPr>
        <w:keepNext/>
        <w:tabs>
          <w:tab w:val="num" w:pos="567"/>
        </w:tabs>
        <w:suppressAutoHyphens/>
        <w:ind w:left="720" w:hanging="567"/>
        <w:rPr>
          <w:sz w:val="22"/>
        </w:rPr>
      </w:pPr>
    </w:p>
    <w:p w14:paraId="39B50882" w14:textId="77777777" w:rsidR="00435AA4" w:rsidRPr="008B0DDF" w:rsidRDefault="00615769" w:rsidP="00435AA4">
      <w:pPr>
        <w:keepNext/>
        <w:numPr>
          <w:ilvl w:val="0"/>
          <w:numId w:val="89"/>
        </w:numPr>
        <w:tabs>
          <w:tab w:val="clear" w:pos="720"/>
        </w:tabs>
        <w:suppressAutoHyphens/>
        <w:ind w:left="567" w:hanging="567"/>
        <w:rPr>
          <w:sz w:val="22"/>
          <w:szCs w:val="20"/>
        </w:rPr>
      </w:pPr>
      <w:r w:rsidRPr="008B0DDF">
        <w:rPr>
          <w:sz w:val="22"/>
          <w:szCs w:val="20"/>
        </w:rPr>
        <w:t xml:space="preserve">Use só uma </w:t>
      </w:r>
      <w:r>
        <w:rPr>
          <w:sz w:val="22"/>
          <w:szCs w:val="20"/>
        </w:rPr>
        <w:t>seringa</w:t>
      </w:r>
      <w:r w:rsidRPr="008B0DDF">
        <w:rPr>
          <w:sz w:val="22"/>
          <w:szCs w:val="20"/>
        </w:rPr>
        <w:t xml:space="preserve"> pré-cheia por injeção.</w:t>
      </w:r>
    </w:p>
    <w:p w14:paraId="711433FF" w14:textId="77777777" w:rsidR="00435AA4" w:rsidRDefault="00435AA4" w:rsidP="00435AA4">
      <w:pPr>
        <w:rPr>
          <w:sz w:val="22"/>
          <w:szCs w:val="22"/>
        </w:rPr>
      </w:pPr>
    </w:p>
    <w:p w14:paraId="2F1BB67F" w14:textId="77777777" w:rsidR="00435AA4" w:rsidRPr="00EC0461" w:rsidRDefault="00615769" w:rsidP="00435AA4">
      <w:pPr>
        <w:keepNext/>
        <w:tabs>
          <w:tab w:val="left" w:pos="562"/>
        </w:tabs>
        <w:suppressAutoHyphens/>
        <w:rPr>
          <w:sz w:val="22"/>
          <w:szCs w:val="20"/>
        </w:rPr>
      </w:pPr>
      <w:r>
        <w:rPr>
          <w:b/>
          <w:sz w:val="22"/>
          <w:szCs w:val="20"/>
        </w:rPr>
        <w:t>Seringa</w:t>
      </w:r>
      <w:r w:rsidRPr="008B0DDF">
        <w:rPr>
          <w:b/>
          <w:sz w:val="22"/>
          <w:szCs w:val="20"/>
        </w:rPr>
        <w:t xml:space="preserve"> Pré-cheia de Humira</w:t>
      </w:r>
    </w:p>
    <w:p w14:paraId="5534FF86" w14:textId="77777777" w:rsidR="00435AA4" w:rsidRPr="008B0DDF" w:rsidRDefault="00435AA4" w:rsidP="00435AA4">
      <w:pPr>
        <w:keepNext/>
        <w:tabs>
          <w:tab w:val="left" w:pos="562"/>
        </w:tabs>
        <w:suppressAutoHyphens/>
        <w:rPr>
          <w:sz w:val="22"/>
          <w:szCs w:val="20"/>
        </w:rPr>
      </w:pPr>
    </w:p>
    <w:p w14:paraId="6D3BAC44" w14:textId="77777777" w:rsidR="00435AA4" w:rsidRPr="00EC0461" w:rsidRDefault="00615769" w:rsidP="00435AA4">
      <w:pPr>
        <w:keepNext/>
        <w:tabs>
          <w:tab w:val="left" w:pos="562"/>
        </w:tabs>
        <w:suppressAutoHyphens/>
        <w:rPr>
          <w:sz w:val="22"/>
          <w:szCs w:val="20"/>
        </w:rPr>
      </w:pPr>
      <w:r w:rsidRPr="008B0DDF">
        <w:rPr>
          <w:b/>
          <w:sz w:val="22"/>
          <w:szCs w:val="20"/>
        </w:rPr>
        <w:t xml:space="preserve">   </w:t>
      </w:r>
      <w:r w:rsidRPr="00854C93">
        <w:rPr>
          <w:b/>
          <w:sz w:val="22"/>
          <w:szCs w:val="20"/>
        </w:rPr>
        <w:t xml:space="preserve">     </w:t>
      </w:r>
      <w:r>
        <w:rPr>
          <w:b/>
          <w:sz w:val="22"/>
          <w:szCs w:val="20"/>
        </w:rPr>
        <w:tab/>
      </w:r>
      <w:r>
        <w:rPr>
          <w:b/>
          <w:sz w:val="22"/>
          <w:szCs w:val="20"/>
        </w:rPr>
        <w:tab/>
      </w:r>
      <w:r>
        <w:rPr>
          <w:b/>
          <w:sz w:val="22"/>
          <w:szCs w:val="20"/>
        </w:rPr>
        <w:tab/>
      </w:r>
      <w:r w:rsidR="00C546DC">
        <w:rPr>
          <w:b/>
          <w:sz w:val="22"/>
          <w:szCs w:val="20"/>
        </w:rPr>
        <w:t xml:space="preserve">         </w:t>
      </w:r>
      <w:r>
        <w:rPr>
          <w:b/>
          <w:sz w:val="22"/>
          <w:szCs w:val="20"/>
        </w:rPr>
        <w:t xml:space="preserve"> Êmbolo</w:t>
      </w:r>
      <w:r>
        <w:rPr>
          <w:b/>
          <w:sz w:val="22"/>
          <w:szCs w:val="20"/>
        </w:rPr>
        <w:tab/>
      </w:r>
      <w:r>
        <w:rPr>
          <w:b/>
          <w:sz w:val="22"/>
          <w:szCs w:val="20"/>
        </w:rPr>
        <w:tab/>
      </w:r>
      <w:r w:rsidR="00C546DC">
        <w:rPr>
          <w:b/>
          <w:sz w:val="22"/>
          <w:szCs w:val="20"/>
        </w:rPr>
        <w:t xml:space="preserve"> </w:t>
      </w:r>
      <w:r>
        <w:rPr>
          <w:b/>
          <w:sz w:val="22"/>
          <w:szCs w:val="20"/>
        </w:rPr>
        <w:t>Apoio dos dedos</w:t>
      </w:r>
      <w:r>
        <w:rPr>
          <w:b/>
          <w:sz w:val="22"/>
          <w:szCs w:val="20"/>
        </w:rPr>
        <w:tab/>
        <w:t>Tampa da agulha</w:t>
      </w:r>
    </w:p>
    <w:p w14:paraId="254C9ED2" w14:textId="77777777" w:rsidR="002275ED" w:rsidRDefault="00615769" w:rsidP="007960C9">
      <w:pPr>
        <w:keepNext/>
        <w:tabs>
          <w:tab w:val="left" w:pos="562"/>
        </w:tabs>
        <w:suppressAutoHyphens/>
        <w:ind w:left="1985"/>
        <w:rPr>
          <w:b/>
          <w:sz w:val="22"/>
          <w:szCs w:val="20"/>
        </w:rPr>
      </w:pPr>
      <w:r>
        <w:rPr>
          <w:noProof/>
          <w:lang w:val="en-GB" w:eastAsia="en-GB"/>
        </w:rPr>
        <w:drawing>
          <wp:inline distT="0" distB="0" distL="0" distR="0" wp14:anchorId="7FE5BD12" wp14:editId="2B93670F">
            <wp:extent cx="3364992" cy="1478124"/>
            <wp:effectExtent l="0" t="0" r="6985" b="825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Humira_Exploded_Syringe_Only_new grey.jpg"/>
                    <pic:cNvPicPr/>
                  </pic:nvPicPr>
                  <pic:blipFill>
                    <a:blip r:embed="rId23">
                      <a:extLst>
                        <a:ext uri="{28A0092B-C50C-407E-A947-70E740481C1C}">
                          <a14:useLocalDpi xmlns:a14="http://schemas.microsoft.com/office/drawing/2010/main" val="0"/>
                        </a:ext>
                      </a:extLst>
                    </a:blip>
                    <a:stretch>
                      <a:fillRect/>
                    </a:stretch>
                  </pic:blipFill>
                  <pic:spPr>
                    <a:xfrm>
                      <a:off x="0" y="0"/>
                      <a:ext cx="3364992" cy="1478124"/>
                    </a:xfrm>
                    <a:prstGeom prst="rect">
                      <a:avLst/>
                    </a:prstGeom>
                  </pic:spPr>
                </pic:pic>
              </a:graphicData>
            </a:graphic>
          </wp:inline>
        </w:drawing>
      </w:r>
    </w:p>
    <w:p w14:paraId="0775AA58" w14:textId="77777777" w:rsidR="00435AA4" w:rsidRPr="00EC0461" w:rsidRDefault="00435AA4" w:rsidP="007960C9">
      <w:pPr>
        <w:keepNext/>
        <w:tabs>
          <w:tab w:val="left" w:pos="562"/>
        </w:tabs>
        <w:suppressAutoHyphens/>
        <w:ind w:left="1985"/>
        <w:rPr>
          <w:sz w:val="22"/>
          <w:szCs w:val="20"/>
        </w:rPr>
      </w:pPr>
    </w:p>
    <w:p w14:paraId="4814B375" w14:textId="77777777" w:rsidR="00435AA4" w:rsidRPr="00EC0461" w:rsidRDefault="00615769" w:rsidP="00435AA4">
      <w:pPr>
        <w:keepNext/>
        <w:tabs>
          <w:tab w:val="left" w:pos="562"/>
        </w:tabs>
        <w:suppressAutoHyphens/>
        <w:rPr>
          <w:sz w:val="22"/>
          <w:szCs w:val="20"/>
        </w:rPr>
      </w:pPr>
      <w:r w:rsidRPr="000B3FE3">
        <w:rPr>
          <w:b/>
          <w:sz w:val="22"/>
          <w:szCs w:val="20"/>
        </w:rPr>
        <w:t xml:space="preserve">Não use a </w:t>
      </w:r>
      <w:r>
        <w:rPr>
          <w:b/>
          <w:sz w:val="22"/>
          <w:szCs w:val="20"/>
        </w:rPr>
        <w:t xml:space="preserve">seringa </w:t>
      </w:r>
      <w:r w:rsidRPr="000B3FE3">
        <w:rPr>
          <w:b/>
          <w:sz w:val="22"/>
          <w:szCs w:val="20"/>
        </w:rPr>
        <w:t xml:space="preserve">pré-cheia e fale com o seu médico ou farmacêutico </w:t>
      </w:r>
      <w:r w:rsidRPr="004931CE">
        <w:rPr>
          <w:b/>
          <w:sz w:val="22"/>
          <w:szCs w:val="20"/>
        </w:rPr>
        <w:t>se</w:t>
      </w:r>
    </w:p>
    <w:p w14:paraId="5D355FE7" w14:textId="77777777" w:rsidR="00435AA4" w:rsidRPr="00EC0461" w:rsidRDefault="00435AA4" w:rsidP="00435AA4">
      <w:pPr>
        <w:keepNext/>
        <w:tabs>
          <w:tab w:val="left" w:pos="562"/>
        </w:tabs>
        <w:suppressAutoHyphens/>
        <w:rPr>
          <w:sz w:val="22"/>
          <w:szCs w:val="20"/>
        </w:rPr>
      </w:pPr>
    </w:p>
    <w:p w14:paraId="63ACF6EF" w14:textId="77777777" w:rsidR="00435AA4" w:rsidRPr="005F6F98" w:rsidRDefault="00615769" w:rsidP="00435AA4">
      <w:pPr>
        <w:keepNext/>
        <w:numPr>
          <w:ilvl w:val="0"/>
          <w:numId w:val="90"/>
        </w:numPr>
        <w:suppressAutoHyphens/>
        <w:ind w:left="567" w:hanging="567"/>
        <w:rPr>
          <w:sz w:val="22"/>
          <w:szCs w:val="20"/>
        </w:rPr>
      </w:pPr>
      <w:r w:rsidRPr="00D33370">
        <w:rPr>
          <w:sz w:val="22"/>
          <w:szCs w:val="20"/>
        </w:rPr>
        <w:t>o</w:t>
      </w:r>
      <w:r w:rsidRPr="002D4DE5">
        <w:rPr>
          <w:sz w:val="22"/>
          <w:szCs w:val="20"/>
        </w:rPr>
        <w:t xml:space="preserve"> líquido está turvo, descorado</w:t>
      </w:r>
      <w:r w:rsidRPr="00003560">
        <w:rPr>
          <w:sz w:val="22"/>
          <w:szCs w:val="20"/>
        </w:rPr>
        <w:t>, o</w:t>
      </w:r>
      <w:r w:rsidRPr="005F6F98">
        <w:rPr>
          <w:sz w:val="22"/>
          <w:szCs w:val="20"/>
        </w:rPr>
        <w:t>u com flocos ou partículas em suspensão</w:t>
      </w:r>
    </w:p>
    <w:p w14:paraId="7D8A1CBE" w14:textId="77777777" w:rsidR="00435AA4" w:rsidRPr="008B0DDF" w:rsidRDefault="00615769" w:rsidP="00435AA4">
      <w:pPr>
        <w:keepNext/>
        <w:numPr>
          <w:ilvl w:val="0"/>
          <w:numId w:val="90"/>
        </w:numPr>
        <w:suppressAutoHyphens/>
        <w:ind w:left="567" w:hanging="567"/>
        <w:rPr>
          <w:sz w:val="22"/>
          <w:szCs w:val="20"/>
        </w:rPr>
      </w:pPr>
      <w:r w:rsidRPr="002B2441">
        <w:rPr>
          <w:sz w:val="22"/>
          <w:szCs w:val="20"/>
        </w:rPr>
        <w:t xml:space="preserve">prazo de </w:t>
      </w:r>
      <w:r w:rsidRPr="006D79D1">
        <w:rPr>
          <w:sz w:val="22"/>
          <w:szCs w:val="20"/>
        </w:rPr>
        <w:t>validade (EXP) foi</w:t>
      </w:r>
      <w:r w:rsidRPr="00B830EC">
        <w:rPr>
          <w:sz w:val="22"/>
          <w:szCs w:val="20"/>
        </w:rPr>
        <w:t xml:space="preserve"> </w:t>
      </w:r>
      <w:r w:rsidRPr="008B0DDF">
        <w:rPr>
          <w:sz w:val="22"/>
          <w:szCs w:val="20"/>
        </w:rPr>
        <w:t xml:space="preserve">ultrapassado </w:t>
      </w:r>
    </w:p>
    <w:p w14:paraId="367D90C5" w14:textId="77777777" w:rsidR="00435AA4" w:rsidRPr="008B0DDF" w:rsidRDefault="00615769" w:rsidP="00435AA4">
      <w:pPr>
        <w:keepNext/>
        <w:numPr>
          <w:ilvl w:val="0"/>
          <w:numId w:val="90"/>
        </w:numPr>
        <w:suppressAutoHyphens/>
        <w:ind w:left="567" w:hanging="567"/>
        <w:rPr>
          <w:sz w:val="22"/>
          <w:szCs w:val="20"/>
        </w:rPr>
      </w:pPr>
      <w:r w:rsidRPr="008B0DDF">
        <w:rPr>
          <w:sz w:val="22"/>
          <w:szCs w:val="20"/>
        </w:rPr>
        <w:t>o líquido estiver congelado ou se foi deixado à luz direta do sol</w:t>
      </w:r>
    </w:p>
    <w:p w14:paraId="0A27B734" w14:textId="77777777" w:rsidR="00435AA4" w:rsidRPr="008B0DDF" w:rsidRDefault="00615769" w:rsidP="00435AA4">
      <w:pPr>
        <w:keepNext/>
        <w:numPr>
          <w:ilvl w:val="0"/>
          <w:numId w:val="90"/>
        </w:numPr>
        <w:suppressAutoHyphens/>
        <w:ind w:left="567" w:hanging="567"/>
        <w:rPr>
          <w:sz w:val="22"/>
          <w:szCs w:val="20"/>
        </w:rPr>
      </w:pPr>
      <w:r w:rsidRPr="008B0DDF">
        <w:rPr>
          <w:sz w:val="22"/>
          <w:szCs w:val="20"/>
        </w:rPr>
        <w:t xml:space="preserve">a </w:t>
      </w:r>
      <w:r>
        <w:rPr>
          <w:sz w:val="22"/>
          <w:szCs w:val="20"/>
        </w:rPr>
        <w:t>seringa</w:t>
      </w:r>
      <w:r w:rsidRPr="008B0DDF">
        <w:rPr>
          <w:sz w:val="22"/>
          <w:szCs w:val="20"/>
        </w:rPr>
        <w:t xml:space="preserve"> pré-cheia </w:t>
      </w:r>
      <w:r w:rsidR="002E4828">
        <w:rPr>
          <w:sz w:val="22"/>
          <w:szCs w:val="20"/>
        </w:rPr>
        <w:t>tiver caído</w:t>
      </w:r>
      <w:r w:rsidRPr="008B0DDF">
        <w:rPr>
          <w:sz w:val="22"/>
          <w:szCs w:val="20"/>
        </w:rPr>
        <w:t xml:space="preserve"> ou estiver danificada</w:t>
      </w:r>
    </w:p>
    <w:p w14:paraId="30ABED01" w14:textId="77777777" w:rsidR="00435AA4" w:rsidRPr="008B0DDF" w:rsidRDefault="00435AA4" w:rsidP="00435AA4">
      <w:pPr>
        <w:tabs>
          <w:tab w:val="left" w:pos="562"/>
        </w:tabs>
        <w:suppressAutoHyphens/>
        <w:rPr>
          <w:sz w:val="22"/>
          <w:szCs w:val="20"/>
        </w:rPr>
      </w:pPr>
    </w:p>
    <w:p w14:paraId="4EB01229" w14:textId="77777777" w:rsidR="00816FFE" w:rsidRPr="00EC0461" w:rsidRDefault="00615769" w:rsidP="00435AA4">
      <w:pPr>
        <w:keepNext/>
        <w:tabs>
          <w:tab w:val="left" w:pos="0"/>
        </w:tabs>
        <w:suppressAutoHyphens/>
        <w:rPr>
          <w:sz w:val="22"/>
          <w:szCs w:val="20"/>
        </w:rPr>
      </w:pPr>
      <w:r w:rsidRPr="006D79D1">
        <w:rPr>
          <w:b/>
          <w:sz w:val="22"/>
          <w:szCs w:val="20"/>
        </w:rPr>
        <w:t xml:space="preserve">Retire só a tampa </w:t>
      </w:r>
      <w:r w:rsidR="00EC0461">
        <w:rPr>
          <w:b/>
          <w:sz w:val="22"/>
          <w:szCs w:val="20"/>
        </w:rPr>
        <w:t>imediatamente antes da injeção.</w:t>
      </w:r>
    </w:p>
    <w:p w14:paraId="53B57DB8" w14:textId="77777777" w:rsidR="00435AA4" w:rsidRPr="00EC0461" w:rsidRDefault="00615769" w:rsidP="00435AA4">
      <w:pPr>
        <w:keepNext/>
        <w:tabs>
          <w:tab w:val="left" w:pos="0"/>
        </w:tabs>
        <w:suppressAutoHyphens/>
        <w:rPr>
          <w:sz w:val="22"/>
          <w:szCs w:val="20"/>
        </w:rPr>
      </w:pPr>
      <w:r w:rsidRPr="006D79D1">
        <w:rPr>
          <w:b/>
          <w:sz w:val="22"/>
          <w:szCs w:val="20"/>
        </w:rPr>
        <w:t>Manter Humira fora da vista e do alcance</w:t>
      </w:r>
      <w:r w:rsidRPr="008B0DDF">
        <w:rPr>
          <w:b/>
          <w:sz w:val="22"/>
          <w:szCs w:val="20"/>
        </w:rPr>
        <w:t xml:space="preserve"> das crianças.</w:t>
      </w:r>
    </w:p>
    <w:p w14:paraId="74A4D8FA" w14:textId="77777777" w:rsidR="00435AA4" w:rsidRPr="00EC0461" w:rsidRDefault="00435AA4" w:rsidP="00435AA4">
      <w:pPr>
        <w:tabs>
          <w:tab w:val="left" w:pos="562"/>
        </w:tabs>
        <w:suppressAutoHyphens/>
        <w:rPr>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A7162A" w14:paraId="253AD20C" w14:textId="77777777" w:rsidTr="00D62E4B">
        <w:tc>
          <w:tcPr>
            <w:tcW w:w="9287" w:type="dxa"/>
            <w:gridSpan w:val="2"/>
            <w:tcBorders>
              <w:bottom w:val="single" w:sz="4" w:space="0" w:color="auto"/>
            </w:tcBorders>
          </w:tcPr>
          <w:p w14:paraId="7324E68E" w14:textId="77777777" w:rsidR="00435AA4" w:rsidRPr="00EC0461" w:rsidRDefault="00615769" w:rsidP="00EC0461">
            <w:pPr>
              <w:tabs>
                <w:tab w:val="left" w:pos="562"/>
              </w:tabs>
              <w:suppressAutoHyphens/>
              <w:rPr>
                <w:sz w:val="22"/>
                <w:szCs w:val="20"/>
              </w:rPr>
            </w:pPr>
            <w:r w:rsidRPr="008B0DDF">
              <w:rPr>
                <w:b/>
                <w:sz w:val="22"/>
                <w:szCs w:val="20"/>
              </w:rPr>
              <w:t>PASSO 1</w:t>
            </w:r>
          </w:p>
          <w:p w14:paraId="69ADB99D" w14:textId="77777777" w:rsidR="00435AA4" w:rsidRPr="00EC0461" w:rsidRDefault="00435AA4" w:rsidP="00EC0461">
            <w:pPr>
              <w:tabs>
                <w:tab w:val="left" w:pos="562"/>
              </w:tabs>
              <w:suppressAutoHyphens/>
              <w:rPr>
                <w:sz w:val="22"/>
                <w:szCs w:val="20"/>
              </w:rPr>
            </w:pPr>
          </w:p>
          <w:p w14:paraId="48B6A8C2" w14:textId="77777777" w:rsidR="00435AA4" w:rsidRPr="008B0DDF" w:rsidRDefault="00615769" w:rsidP="00EC0461">
            <w:pPr>
              <w:tabs>
                <w:tab w:val="left" w:pos="562"/>
              </w:tabs>
              <w:suppressAutoHyphens/>
              <w:rPr>
                <w:sz w:val="22"/>
                <w:szCs w:val="20"/>
              </w:rPr>
            </w:pPr>
            <w:r w:rsidRPr="008B0DDF">
              <w:rPr>
                <w:sz w:val="22"/>
                <w:szCs w:val="20"/>
              </w:rPr>
              <w:t>Retire Humira do frigorífico.</w:t>
            </w:r>
          </w:p>
          <w:p w14:paraId="2274E375" w14:textId="77777777" w:rsidR="00435AA4" w:rsidRPr="008B0DDF" w:rsidRDefault="00435AA4" w:rsidP="00EC0461">
            <w:pPr>
              <w:tabs>
                <w:tab w:val="left" w:pos="562"/>
              </w:tabs>
              <w:suppressAutoHyphens/>
              <w:rPr>
                <w:sz w:val="22"/>
                <w:szCs w:val="20"/>
              </w:rPr>
            </w:pPr>
          </w:p>
          <w:p w14:paraId="7946D631" w14:textId="77777777" w:rsidR="00435AA4" w:rsidRPr="008B0DDF" w:rsidRDefault="00615769" w:rsidP="00EC0461">
            <w:pPr>
              <w:tabs>
                <w:tab w:val="left" w:pos="562"/>
              </w:tabs>
              <w:suppressAutoHyphens/>
              <w:rPr>
                <w:sz w:val="22"/>
                <w:szCs w:val="20"/>
              </w:rPr>
            </w:pPr>
            <w:r w:rsidRPr="008B0DDF">
              <w:rPr>
                <w:sz w:val="22"/>
                <w:szCs w:val="20"/>
              </w:rPr>
              <w:t xml:space="preserve">Deixe Humira à temperatura ambiente durante </w:t>
            </w:r>
            <w:r w:rsidRPr="008B0DDF">
              <w:rPr>
                <w:b/>
                <w:sz w:val="22"/>
                <w:szCs w:val="20"/>
              </w:rPr>
              <w:t xml:space="preserve">15 a 30 minutos </w:t>
            </w:r>
            <w:r w:rsidRPr="008B0DDF">
              <w:rPr>
                <w:sz w:val="22"/>
                <w:szCs w:val="20"/>
              </w:rPr>
              <w:t>antes de administrar a injeção.</w:t>
            </w:r>
          </w:p>
          <w:p w14:paraId="2D941C13" w14:textId="77777777" w:rsidR="00435AA4" w:rsidRPr="008B0DDF" w:rsidRDefault="00435AA4" w:rsidP="00EC0461">
            <w:pPr>
              <w:tabs>
                <w:tab w:val="left" w:pos="562"/>
              </w:tabs>
              <w:suppressAutoHyphens/>
              <w:rPr>
                <w:sz w:val="22"/>
                <w:szCs w:val="20"/>
              </w:rPr>
            </w:pPr>
          </w:p>
          <w:p w14:paraId="2605CB90" w14:textId="77777777" w:rsidR="00435AA4" w:rsidRPr="008B0DDF" w:rsidRDefault="00615769" w:rsidP="00EC0461">
            <w:pPr>
              <w:numPr>
                <w:ilvl w:val="0"/>
                <w:numId w:val="91"/>
              </w:numPr>
              <w:suppressAutoHyphens/>
              <w:ind w:left="567" w:hanging="567"/>
              <w:rPr>
                <w:sz w:val="22"/>
                <w:szCs w:val="20"/>
              </w:rPr>
            </w:pPr>
            <w:r w:rsidRPr="008B0DDF">
              <w:rPr>
                <w:b/>
                <w:sz w:val="22"/>
                <w:szCs w:val="20"/>
              </w:rPr>
              <w:t>Não</w:t>
            </w:r>
            <w:r w:rsidRPr="008B0DDF">
              <w:rPr>
                <w:sz w:val="22"/>
                <w:szCs w:val="20"/>
              </w:rPr>
              <w:t xml:space="preserve"> remova a tampa</w:t>
            </w:r>
            <w:r>
              <w:rPr>
                <w:sz w:val="22"/>
                <w:szCs w:val="20"/>
              </w:rPr>
              <w:t xml:space="preserve"> a</w:t>
            </w:r>
            <w:r w:rsidRPr="008B0DDF">
              <w:rPr>
                <w:sz w:val="22"/>
                <w:szCs w:val="20"/>
              </w:rPr>
              <w:t>té que Humira alcance a temperatura ambiente</w:t>
            </w:r>
          </w:p>
          <w:p w14:paraId="475F11CD" w14:textId="77777777" w:rsidR="00435AA4" w:rsidRPr="008B0DDF" w:rsidRDefault="00615769" w:rsidP="00EC0461">
            <w:pPr>
              <w:numPr>
                <w:ilvl w:val="0"/>
                <w:numId w:val="91"/>
              </w:numPr>
              <w:suppressAutoHyphens/>
              <w:ind w:left="567" w:hanging="567"/>
              <w:rPr>
                <w:sz w:val="22"/>
                <w:szCs w:val="20"/>
              </w:rPr>
            </w:pPr>
            <w:r w:rsidRPr="008B0DDF">
              <w:rPr>
                <w:b/>
                <w:sz w:val="22"/>
                <w:szCs w:val="20"/>
              </w:rPr>
              <w:t xml:space="preserve">Não </w:t>
            </w:r>
            <w:r w:rsidRPr="008B0DDF">
              <w:rPr>
                <w:sz w:val="22"/>
                <w:szCs w:val="20"/>
              </w:rPr>
              <w:t xml:space="preserve">aqueça Humira de nenhuma outra forma. Por exemplo, </w:t>
            </w:r>
            <w:r w:rsidRPr="006B7CB4">
              <w:rPr>
                <w:b/>
                <w:sz w:val="22"/>
                <w:szCs w:val="20"/>
              </w:rPr>
              <w:t>não</w:t>
            </w:r>
            <w:r w:rsidRPr="008B0DDF">
              <w:rPr>
                <w:sz w:val="22"/>
                <w:szCs w:val="20"/>
              </w:rPr>
              <w:t xml:space="preserve"> use micro</w:t>
            </w:r>
            <w:r w:rsidR="00750C9C">
              <w:rPr>
                <w:sz w:val="22"/>
                <w:szCs w:val="20"/>
              </w:rPr>
              <w:t>-</w:t>
            </w:r>
            <w:r w:rsidRPr="008B0DDF">
              <w:rPr>
                <w:sz w:val="22"/>
                <w:szCs w:val="20"/>
              </w:rPr>
              <w:t>ondas ou água quente</w:t>
            </w:r>
          </w:p>
        </w:tc>
      </w:tr>
      <w:tr w:rsidR="00A7162A" w14:paraId="61ED7D5B" w14:textId="77777777" w:rsidTr="00D62E4B">
        <w:tc>
          <w:tcPr>
            <w:tcW w:w="3708" w:type="dxa"/>
            <w:tcBorders>
              <w:right w:val="nil"/>
            </w:tcBorders>
          </w:tcPr>
          <w:p w14:paraId="5C98D167" w14:textId="77777777" w:rsidR="00435AA4" w:rsidRPr="00EC0461" w:rsidRDefault="00615769" w:rsidP="00EC0461">
            <w:pPr>
              <w:keepNext/>
              <w:tabs>
                <w:tab w:val="left" w:pos="562"/>
              </w:tabs>
              <w:suppressAutoHyphens/>
              <w:rPr>
                <w:noProof/>
                <w:sz w:val="22"/>
                <w:szCs w:val="20"/>
              </w:rPr>
            </w:pPr>
            <w:r>
              <w:rPr>
                <w:b/>
                <w:noProof/>
                <w:sz w:val="22"/>
                <w:szCs w:val="20"/>
              </w:rPr>
              <w:t>PASSO 2</w:t>
            </w:r>
          </w:p>
          <w:p w14:paraId="6DA63B5A" w14:textId="77777777" w:rsidR="00435AA4" w:rsidRPr="00EC0461" w:rsidRDefault="00435AA4" w:rsidP="00EC0461">
            <w:pPr>
              <w:keepNext/>
              <w:tabs>
                <w:tab w:val="left" w:pos="562"/>
              </w:tabs>
              <w:suppressAutoHyphens/>
              <w:rPr>
                <w:noProof/>
                <w:sz w:val="22"/>
                <w:szCs w:val="20"/>
              </w:rPr>
            </w:pPr>
          </w:p>
          <w:p w14:paraId="1D3FCADB" w14:textId="77777777" w:rsidR="002275ED" w:rsidRPr="00EC0461" w:rsidRDefault="00615769" w:rsidP="00EC0461">
            <w:pPr>
              <w:keepNext/>
              <w:tabs>
                <w:tab w:val="left" w:pos="562"/>
              </w:tabs>
              <w:suppressAutoHyphens/>
              <w:rPr>
                <w:noProof/>
                <w:sz w:val="22"/>
                <w:szCs w:val="20"/>
              </w:rPr>
            </w:pPr>
            <w:r>
              <w:rPr>
                <w:b/>
                <w:noProof/>
                <w:sz w:val="22"/>
                <w:szCs w:val="20"/>
              </w:rPr>
              <w:t xml:space="preserve">                Seringa</w:t>
            </w:r>
          </w:p>
          <w:p w14:paraId="33560169" w14:textId="77777777" w:rsidR="00C66F34" w:rsidRDefault="00615769" w:rsidP="00EC0461">
            <w:pPr>
              <w:keepNext/>
              <w:tabs>
                <w:tab w:val="left" w:pos="562"/>
              </w:tabs>
              <w:suppressAutoHyphens/>
              <w:rPr>
                <w:b/>
                <w:noProof/>
                <w:sz w:val="22"/>
                <w:szCs w:val="20"/>
              </w:rPr>
            </w:pPr>
            <w:r>
              <w:rPr>
                <w:noProof/>
                <w:lang w:val="en-GB" w:eastAsia="en-GB"/>
              </w:rPr>
              <w:drawing>
                <wp:inline distT="0" distB="0" distL="0" distR="0" wp14:anchorId="50E56651" wp14:editId="0B93104A">
                  <wp:extent cx="2217420" cy="2052320"/>
                  <wp:effectExtent l="0" t="0" r="0" b="508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STEP_2_SYRINGE_IFU_SETUP_new grey.jpg"/>
                          <pic:cNvPicPr/>
                        </pic:nvPicPr>
                        <pic:blipFill>
                          <a:blip r:embed="rId24">
                            <a:extLst>
                              <a:ext uri="{28A0092B-C50C-407E-A947-70E740481C1C}">
                                <a14:useLocalDpi xmlns:a14="http://schemas.microsoft.com/office/drawing/2010/main" val="0"/>
                              </a:ext>
                            </a:extLst>
                          </a:blip>
                          <a:stretch>
                            <a:fillRect/>
                          </a:stretch>
                        </pic:blipFill>
                        <pic:spPr>
                          <a:xfrm>
                            <a:off x="0" y="0"/>
                            <a:ext cx="2217420" cy="2052320"/>
                          </a:xfrm>
                          <a:prstGeom prst="rect">
                            <a:avLst/>
                          </a:prstGeom>
                        </pic:spPr>
                      </pic:pic>
                    </a:graphicData>
                  </a:graphic>
                </wp:inline>
              </w:drawing>
            </w:r>
            <w:r w:rsidR="00435AA4" w:rsidRPr="008B0DDF">
              <w:rPr>
                <w:b/>
                <w:noProof/>
                <w:sz w:val="22"/>
                <w:szCs w:val="20"/>
              </w:rPr>
              <w:t xml:space="preserve"> </w:t>
            </w:r>
          </w:p>
          <w:p w14:paraId="0580E86C" w14:textId="77777777" w:rsidR="00435AA4" w:rsidRPr="008B0DDF" w:rsidRDefault="00615769" w:rsidP="00EC0461">
            <w:pPr>
              <w:keepNext/>
              <w:tabs>
                <w:tab w:val="left" w:pos="562"/>
              </w:tabs>
              <w:suppressAutoHyphens/>
              <w:rPr>
                <w:b/>
                <w:sz w:val="22"/>
                <w:szCs w:val="20"/>
              </w:rPr>
            </w:pPr>
            <w:r w:rsidRPr="008B0DDF">
              <w:rPr>
                <w:b/>
                <w:noProof/>
                <w:sz w:val="22"/>
                <w:szCs w:val="20"/>
              </w:rPr>
              <w:t xml:space="preserve">               Compressa</w:t>
            </w:r>
          </w:p>
        </w:tc>
        <w:tc>
          <w:tcPr>
            <w:tcW w:w="5579" w:type="dxa"/>
            <w:tcBorders>
              <w:left w:val="nil"/>
            </w:tcBorders>
          </w:tcPr>
          <w:p w14:paraId="3D613174" w14:textId="77777777" w:rsidR="00435AA4" w:rsidRPr="00854C93" w:rsidRDefault="00615769" w:rsidP="00EC0461">
            <w:pPr>
              <w:keepNext/>
              <w:tabs>
                <w:tab w:val="left" w:pos="562"/>
              </w:tabs>
              <w:suppressAutoHyphens/>
              <w:rPr>
                <w:sz w:val="22"/>
                <w:szCs w:val="20"/>
              </w:rPr>
            </w:pPr>
            <w:r w:rsidRPr="004F0FBC">
              <w:rPr>
                <w:sz w:val="22"/>
                <w:szCs w:val="20"/>
              </w:rPr>
              <w:t>Verifique o praz</w:t>
            </w:r>
            <w:r w:rsidRPr="006462E3">
              <w:rPr>
                <w:sz w:val="22"/>
                <w:szCs w:val="20"/>
              </w:rPr>
              <w:t xml:space="preserve">o de </w:t>
            </w:r>
            <w:r w:rsidRPr="006D79D1">
              <w:rPr>
                <w:sz w:val="22"/>
                <w:szCs w:val="20"/>
              </w:rPr>
              <w:t xml:space="preserve">validade (EXP). </w:t>
            </w:r>
            <w:r w:rsidRPr="006D79D1">
              <w:rPr>
                <w:b/>
                <w:sz w:val="22"/>
                <w:szCs w:val="20"/>
              </w:rPr>
              <w:t xml:space="preserve">Não </w:t>
            </w:r>
            <w:r w:rsidRPr="006D79D1">
              <w:rPr>
                <w:sz w:val="22"/>
                <w:szCs w:val="20"/>
              </w:rPr>
              <w:t>utilize a seringa pré-cheia se já tiver ultrapassado o prazo de validade (EXP)</w:t>
            </w:r>
            <w:r w:rsidRPr="00C17E6E">
              <w:rPr>
                <w:sz w:val="22"/>
                <w:szCs w:val="20"/>
              </w:rPr>
              <w:t>.</w:t>
            </w:r>
          </w:p>
          <w:p w14:paraId="54B30E26" w14:textId="77777777" w:rsidR="00435AA4" w:rsidRPr="0089156B" w:rsidRDefault="00435AA4" w:rsidP="00EC0461">
            <w:pPr>
              <w:keepNext/>
              <w:tabs>
                <w:tab w:val="left" w:pos="562"/>
              </w:tabs>
              <w:suppressAutoHyphens/>
              <w:rPr>
                <w:sz w:val="22"/>
                <w:szCs w:val="20"/>
              </w:rPr>
            </w:pPr>
          </w:p>
          <w:p w14:paraId="7432ADEE" w14:textId="77777777" w:rsidR="00435AA4" w:rsidRPr="00653128" w:rsidRDefault="00615769" w:rsidP="00EC0461">
            <w:pPr>
              <w:keepNext/>
              <w:tabs>
                <w:tab w:val="left" w:pos="562"/>
              </w:tabs>
              <w:suppressAutoHyphens/>
              <w:rPr>
                <w:sz w:val="22"/>
                <w:szCs w:val="20"/>
              </w:rPr>
            </w:pPr>
            <w:r w:rsidRPr="000B3FE3">
              <w:rPr>
                <w:sz w:val="22"/>
                <w:szCs w:val="20"/>
              </w:rPr>
              <w:t xml:space="preserve">Coloque os seguintes elementos numa superfície plana </w:t>
            </w:r>
            <w:r w:rsidRPr="004931CE">
              <w:rPr>
                <w:sz w:val="22"/>
                <w:szCs w:val="20"/>
              </w:rPr>
              <w:t>limpa</w:t>
            </w:r>
          </w:p>
          <w:p w14:paraId="57477367" w14:textId="77777777" w:rsidR="00435AA4" w:rsidRPr="00D33370" w:rsidRDefault="00435AA4" w:rsidP="00EC0461">
            <w:pPr>
              <w:keepNext/>
              <w:tabs>
                <w:tab w:val="left" w:pos="562"/>
              </w:tabs>
              <w:suppressAutoHyphens/>
              <w:rPr>
                <w:sz w:val="22"/>
                <w:szCs w:val="20"/>
              </w:rPr>
            </w:pPr>
          </w:p>
          <w:p w14:paraId="6B231EA4" w14:textId="77777777" w:rsidR="00435AA4" w:rsidRPr="008B0DDF" w:rsidRDefault="00615769" w:rsidP="00EC0461">
            <w:pPr>
              <w:keepNext/>
              <w:numPr>
                <w:ilvl w:val="0"/>
                <w:numId w:val="92"/>
              </w:numPr>
              <w:suppressAutoHyphens/>
              <w:ind w:left="545" w:hanging="545"/>
              <w:rPr>
                <w:sz w:val="22"/>
                <w:szCs w:val="20"/>
              </w:rPr>
            </w:pPr>
            <w:r w:rsidRPr="008B0DDF">
              <w:rPr>
                <w:sz w:val="22"/>
                <w:szCs w:val="20"/>
              </w:rPr>
              <w:t xml:space="preserve">1 </w:t>
            </w:r>
            <w:r>
              <w:rPr>
                <w:sz w:val="22"/>
                <w:szCs w:val="20"/>
              </w:rPr>
              <w:t>seringa</w:t>
            </w:r>
            <w:r w:rsidRPr="008B0DDF">
              <w:rPr>
                <w:sz w:val="22"/>
                <w:szCs w:val="20"/>
              </w:rPr>
              <w:t xml:space="preserve"> pré-cheia e </w:t>
            </w:r>
          </w:p>
          <w:p w14:paraId="3D5B6CD1" w14:textId="77777777" w:rsidR="00435AA4" w:rsidRPr="008B0DDF" w:rsidRDefault="00615769" w:rsidP="00EC0461">
            <w:pPr>
              <w:keepNext/>
              <w:numPr>
                <w:ilvl w:val="0"/>
                <w:numId w:val="92"/>
              </w:numPr>
              <w:suppressAutoHyphens/>
              <w:ind w:left="545" w:hanging="545"/>
              <w:rPr>
                <w:sz w:val="22"/>
                <w:szCs w:val="20"/>
              </w:rPr>
            </w:pPr>
            <w:r w:rsidRPr="008B0DDF">
              <w:rPr>
                <w:sz w:val="22"/>
                <w:szCs w:val="20"/>
              </w:rPr>
              <w:t>1 compressa embebida em álcool</w:t>
            </w:r>
          </w:p>
          <w:p w14:paraId="776A75D9" w14:textId="77777777" w:rsidR="00435AA4" w:rsidRPr="008B0DDF" w:rsidRDefault="00435AA4" w:rsidP="00EC0461">
            <w:pPr>
              <w:keepNext/>
              <w:tabs>
                <w:tab w:val="left" w:pos="562"/>
              </w:tabs>
              <w:suppressAutoHyphens/>
              <w:rPr>
                <w:sz w:val="22"/>
                <w:szCs w:val="20"/>
              </w:rPr>
            </w:pPr>
          </w:p>
          <w:p w14:paraId="4A380390" w14:textId="77777777" w:rsidR="00435AA4" w:rsidRPr="00AF229F" w:rsidRDefault="00615769" w:rsidP="00EC0461">
            <w:pPr>
              <w:keepNext/>
              <w:tabs>
                <w:tab w:val="left" w:pos="562"/>
              </w:tabs>
              <w:suppressAutoHyphens/>
              <w:rPr>
                <w:sz w:val="22"/>
                <w:szCs w:val="20"/>
              </w:rPr>
            </w:pPr>
            <w:r w:rsidRPr="00454F99">
              <w:rPr>
                <w:sz w:val="22"/>
                <w:szCs w:val="20"/>
              </w:rPr>
              <w:t>Lave e seque as mãos</w:t>
            </w:r>
            <w:r w:rsidRPr="00AF229F">
              <w:rPr>
                <w:sz w:val="22"/>
                <w:szCs w:val="20"/>
              </w:rPr>
              <w:t>.</w:t>
            </w:r>
          </w:p>
        </w:tc>
      </w:tr>
      <w:tr w:rsidR="00A7162A" w14:paraId="6591C54D" w14:textId="77777777" w:rsidTr="00D62E4B">
        <w:tc>
          <w:tcPr>
            <w:tcW w:w="3708" w:type="dxa"/>
            <w:tcBorders>
              <w:right w:val="nil"/>
            </w:tcBorders>
          </w:tcPr>
          <w:p w14:paraId="6EEF084A" w14:textId="77777777" w:rsidR="00435AA4" w:rsidRPr="00EC0461" w:rsidRDefault="00615769" w:rsidP="00372D0D">
            <w:pPr>
              <w:keepNext/>
              <w:tabs>
                <w:tab w:val="left" w:pos="562"/>
              </w:tabs>
              <w:suppressAutoHyphens/>
              <w:rPr>
                <w:noProof/>
                <w:sz w:val="22"/>
                <w:szCs w:val="20"/>
              </w:rPr>
            </w:pPr>
            <w:r w:rsidRPr="008B0DDF">
              <w:rPr>
                <w:b/>
                <w:noProof/>
                <w:sz w:val="22"/>
                <w:szCs w:val="20"/>
              </w:rPr>
              <w:t>PASSO 3</w:t>
            </w:r>
          </w:p>
          <w:p w14:paraId="631DDEDD" w14:textId="77777777" w:rsidR="00435AA4" w:rsidRPr="00EC0461" w:rsidRDefault="00435AA4" w:rsidP="00372D0D">
            <w:pPr>
              <w:keepNext/>
              <w:tabs>
                <w:tab w:val="left" w:pos="562"/>
              </w:tabs>
              <w:suppressAutoHyphens/>
              <w:rPr>
                <w:noProof/>
                <w:sz w:val="22"/>
                <w:szCs w:val="20"/>
              </w:rPr>
            </w:pPr>
          </w:p>
          <w:p w14:paraId="0BFBB85A" w14:textId="77777777" w:rsidR="00435AA4" w:rsidRPr="00EC0461" w:rsidRDefault="00615769" w:rsidP="00372D0D">
            <w:pPr>
              <w:keepNext/>
              <w:tabs>
                <w:tab w:val="left" w:pos="562"/>
              </w:tabs>
              <w:suppressAutoHyphens/>
              <w:rPr>
                <w:noProof/>
                <w:sz w:val="22"/>
                <w:szCs w:val="20"/>
              </w:rPr>
            </w:pPr>
            <w:r w:rsidRPr="008B0DDF">
              <w:rPr>
                <w:b/>
                <w:noProof/>
                <w:sz w:val="22"/>
                <w:szCs w:val="20"/>
              </w:rPr>
              <w:t>Locais de Injeção</w:t>
            </w:r>
          </w:p>
          <w:p w14:paraId="52DC1608" w14:textId="77777777" w:rsidR="00435AA4" w:rsidRPr="008B0DDF" w:rsidRDefault="00615769" w:rsidP="00372D0D">
            <w:pPr>
              <w:keepNext/>
              <w:tabs>
                <w:tab w:val="left" w:pos="562"/>
              </w:tabs>
              <w:suppressAutoHyphens/>
              <w:rPr>
                <w:noProof/>
                <w:sz w:val="22"/>
                <w:szCs w:val="20"/>
              </w:rPr>
            </w:pPr>
            <w:r>
              <w:rPr>
                <w:noProof/>
                <w:sz w:val="22"/>
                <w:szCs w:val="20"/>
                <w:lang w:val="en-GB" w:eastAsia="en-GB"/>
              </w:rPr>
              <w:drawing>
                <wp:inline distT="0" distB="0" distL="0" distR="0" wp14:anchorId="23E498B6" wp14:editId="13C34FF1">
                  <wp:extent cx="2275840" cy="2385695"/>
                  <wp:effectExtent l="0" t="0" r="0" b="0"/>
                  <wp:docPr id="134" name="Picture 134"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62" descr="STEP3_grey"/>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2275840" cy="2385695"/>
                          </a:xfrm>
                          <a:prstGeom prst="rect">
                            <a:avLst/>
                          </a:prstGeom>
                          <a:noFill/>
                          <a:ln>
                            <a:noFill/>
                          </a:ln>
                        </pic:spPr>
                      </pic:pic>
                    </a:graphicData>
                  </a:graphic>
                </wp:inline>
              </w:drawing>
            </w:r>
          </w:p>
          <w:p w14:paraId="604619BB" w14:textId="77777777" w:rsidR="00435AA4" w:rsidRPr="008B0DDF" w:rsidRDefault="00615769" w:rsidP="00372D0D">
            <w:pPr>
              <w:keepNext/>
              <w:tabs>
                <w:tab w:val="left" w:pos="562"/>
              </w:tabs>
              <w:suppressAutoHyphens/>
              <w:rPr>
                <w:b/>
                <w:sz w:val="22"/>
                <w:szCs w:val="20"/>
              </w:rPr>
            </w:pPr>
            <w:r w:rsidRPr="008B0DDF">
              <w:rPr>
                <w:noProof/>
                <w:sz w:val="22"/>
                <w:szCs w:val="20"/>
              </w:rPr>
              <w:t xml:space="preserve">   </w:t>
            </w:r>
            <w:r w:rsidRPr="008B0DDF">
              <w:rPr>
                <w:b/>
                <w:noProof/>
                <w:sz w:val="22"/>
                <w:szCs w:val="20"/>
              </w:rPr>
              <w:t>Locais de Injeção</w:t>
            </w:r>
          </w:p>
        </w:tc>
        <w:tc>
          <w:tcPr>
            <w:tcW w:w="5579" w:type="dxa"/>
            <w:tcBorders>
              <w:left w:val="nil"/>
            </w:tcBorders>
          </w:tcPr>
          <w:p w14:paraId="7C55F931" w14:textId="77777777" w:rsidR="00435AA4" w:rsidRPr="006462E3" w:rsidRDefault="00615769" w:rsidP="00372D0D">
            <w:pPr>
              <w:keepNext/>
              <w:tabs>
                <w:tab w:val="left" w:pos="562"/>
              </w:tabs>
              <w:suppressAutoHyphens/>
              <w:rPr>
                <w:sz w:val="22"/>
                <w:szCs w:val="20"/>
              </w:rPr>
            </w:pPr>
            <w:r w:rsidRPr="004F0FBC">
              <w:rPr>
                <w:sz w:val="22"/>
                <w:szCs w:val="20"/>
              </w:rPr>
              <w:t>Escolha um local de injeção</w:t>
            </w:r>
            <w:r w:rsidRPr="006462E3">
              <w:rPr>
                <w:sz w:val="22"/>
                <w:szCs w:val="20"/>
              </w:rPr>
              <w:t>:</w:t>
            </w:r>
          </w:p>
          <w:p w14:paraId="0945B9FA" w14:textId="77777777" w:rsidR="00435AA4" w:rsidRPr="006462E3" w:rsidRDefault="00435AA4" w:rsidP="00372D0D">
            <w:pPr>
              <w:keepNext/>
              <w:tabs>
                <w:tab w:val="left" w:pos="562"/>
              </w:tabs>
              <w:suppressAutoHyphens/>
              <w:rPr>
                <w:sz w:val="22"/>
                <w:szCs w:val="20"/>
              </w:rPr>
            </w:pPr>
          </w:p>
          <w:p w14:paraId="52FC51F5" w14:textId="77777777" w:rsidR="00435AA4" w:rsidRPr="008B0DDF" w:rsidRDefault="00615769" w:rsidP="00372D0D">
            <w:pPr>
              <w:keepNext/>
              <w:numPr>
                <w:ilvl w:val="0"/>
                <w:numId w:val="93"/>
              </w:numPr>
              <w:suppressAutoHyphens/>
              <w:ind w:left="545" w:hanging="545"/>
              <w:rPr>
                <w:sz w:val="22"/>
                <w:szCs w:val="20"/>
              </w:rPr>
            </w:pPr>
            <w:r w:rsidRPr="008B0DDF">
              <w:rPr>
                <w:sz w:val="22"/>
                <w:szCs w:val="20"/>
              </w:rPr>
              <w:t>No cimo da coxa</w:t>
            </w:r>
            <w:r w:rsidR="00C17E6E">
              <w:rPr>
                <w:sz w:val="22"/>
                <w:szCs w:val="20"/>
              </w:rPr>
              <w:t xml:space="preserve"> </w:t>
            </w:r>
            <w:r w:rsidR="006D79D1">
              <w:rPr>
                <w:sz w:val="22"/>
                <w:szCs w:val="20"/>
              </w:rPr>
              <w:t>da sua criança</w:t>
            </w:r>
            <w:r w:rsidRPr="008B0DDF">
              <w:rPr>
                <w:sz w:val="22"/>
                <w:szCs w:val="20"/>
              </w:rPr>
              <w:t xml:space="preserve"> ou</w:t>
            </w:r>
          </w:p>
          <w:p w14:paraId="34E10F4D" w14:textId="77777777" w:rsidR="00435AA4" w:rsidRPr="009A05BE" w:rsidRDefault="00615769" w:rsidP="00372D0D">
            <w:pPr>
              <w:keepNext/>
              <w:numPr>
                <w:ilvl w:val="0"/>
                <w:numId w:val="93"/>
              </w:numPr>
              <w:suppressAutoHyphens/>
              <w:ind w:left="545" w:hanging="545"/>
              <w:rPr>
                <w:sz w:val="22"/>
                <w:szCs w:val="20"/>
              </w:rPr>
            </w:pPr>
            <w:r w:rsidRPr="00454F99">
              <w:rPr>
                <w:sz w:val="22"/>
                <w:szCs w:val="20"/>
              </w:rPr>
              <w:t>Barriga</w:t>
            </w:r>
            <w:r w:rsidRPr="00AF229F">
              <w:rPr>
                <w:sz w:val="22"/>
                <w:szCs w:val="20"/>
              </w:rPr>
              <w:t xml:space="preserve"> (</w:t>
            </w:r>
            <w:r w:rsidRPr="004F0FBC">
              <w:rPr>
                <w:sz w:val="22"/>
                <w:szCs w:val="20"/>
              </w:rPr>
              <w:t xml:space="preserve">estômago) pelo menos a </w:t>
            </w:r>
            <w:r w:rsidRPr="006462E3">
              <w:rPr>
                <w:sz w:val="22"/>
                <w:szCs w:val="20"/>
              </w:rPr>
              <w:t xml:space="preserve">5 cm </w:t>
            </w:r>
            <w:r w:rsidR="006B7CB4">
              <w:rPr>
                <w:sz w:val="22"/>
                <w:szCs w:val="20"/>
              </w:rPr>
              <w:t xml:space="preserve">do </w:t>
            </w:r>
            <w:r w:rsidRPr="006462E3">
              <w:rPr>
                <w:sz w:val="22"/>
                <w:szCs w:val="20"/>
              </w:rPr>
              <w:t>umbigo</w:t>
            </w:r>
            <w:r w:rsidR="002E4828">
              <w:rPr>
                <w:sz w:val="22"/>
                <w:szCs w:val="20"/>
              </w:rPr>
              <w:t xml:space="preserve"> da sua criança</w:t>
            </w:r>
          </w:p>
          <w:p w14:paraId="3914DB02" w14:textId="77777777" w:rsidR="00435AA4" w:rsidRPr="004931CE" w:rsidRDefault="00615769" w:rsidP="00372D0D">
            <w:pPr>
              <w:keepNext/>
              <w:numPr>
                <w:ilvl w:val="0"/>
                <w:numId w:val="93"/>
              </w:numPr>
              <w:suppressAutoHyphens/>
              <w:ind w:left="545" w:hanging="545"/>
              <w:rPr>
                <w:sz w:val="22"/>
                <w:szCs w:val="20"/>
              </w:rPr>
            </w:pPr>
            <w:r w:rsidRPr="00854C93">
              <w:rPr>
                <w:sz w:val="22"/>
                <w:szCs w:val="20"/>
              </w:rPr>
              <w:t xml:space="preserve">Pelo menos a </w:t>
            </w:r>
            <w:r w:rsidRPr="0089156B">
              <w:rPr>
                <w:sz w:val="22"/>
                <w:szCs w:val="20"/>
              </w:rPr>
              <w:t xml:space="preserve">3 cm </w:t>
            </w:r>
            <w:r w:rsidRPr="000B3FE3">
              <w:rPr>
                <w:sz w:val="22"/>
                <w:szCs w:val="20"/>
              </w:rPr>
              <w:t>de distância do local da última injeção</w:t>
            </w:r>
          </w:p>
          <w:p w14:paraId="7022B3FD" w14:textId="77777777" w:rsidR="00435AA4" w:rsidRPr="00653128" w:rsidRDefault="00435AA4" w:rsidP="00372D0D">
            <w:pPr>
              <w:keepNext/>
              <w:tabs>
                <w:tab w:val="left" w:pos="562"/>
              </w:tabs>
              <w:suppressAutoHyphens/>
              <w:rPr>
                <w:sz w:val="22"/>
                <w:szCs w:val="20"/>
              </w:rPr>
            </w:pPr>
          </w:p>
          <w:p w14:paraId="7E5FF00F" w14:textId="77777777" w:rsidR="00435AA4" w:rsidRPr="008B0DDF" w:rsidRDefault="00615769" w:rsidP="00372D0D">
            <w:pPr>
              <w:keepNext/>
              <w:tabs>
                <w:tab w:val="left" w:pos="562"/>
              </w:tabs>
              <w:suppressAutoHyphens/>
              <w:rPr>
                <w:sz w:val="22"/>
                <w:szCs w:val="20"/>
              </w:rPr>
            </w:pPr>
            <w:r w:rsidRPr="00D33370">
              <w:rPr>
                <w:sz w:val="22"/>
                <w:szCs w:val="20"/>
              </w:rPr>
              <w:t xml:space="preserve">Limpe o local da </w:t>
            </w:r>
            <w:r w:rsidRPr="002D4DE5">
              <w:rPr>
                <w:sz w:val="22"/>
                <w:szCs w:val="20"/>
              </w:rPr>
              <w:t>inje</w:t>
            </w:r>
            <w:r w:rsidRPr="005F6F98">
              <w:rPr>
                <w:sz w:val="22"/>
                <w:szCs w:val="20"/>
              </w:rPr>
              <w:t>ção usando a compressa embebida em álcool</w:t>
            </w:r>
            <w:r w:rsidRPr="002B2441">
              <w:rPr>
                <w:sz w:val="22"/>
                <w:szCs w:val="20"/>
              </w:rPr>
              <w:t xml:space="preserve"> com movimentos circulares</w:t>
            </w:r>
            <w:r w:rsidRPr="00B830EC">
              <w:rPr>
                <w:sz w:val="22"/>
                <w:szCs w:val="20"/>
              </w:rPr>
              <w:t>.</w:t>
            </w:r>
          </w:p>
          <w:p w14:paraId="41897918" w14:textId="77777777" w:rsidR="00435AA4" w:rsidRPr="008B0DDF" w:rsidRDefault="00435AA4" w:rsidP="00372D0D">
            <w:pPr>
              <w:keepNext/>
              <w:tabs>
                <w:tab w:val="left" w:pos="562"/>
              </w:tabs>
              <w:suppressAutoHyphens/>
              <w:rPr>
                <w:sz w:val="22"/>
                <w:szCs w:val="20"/>
              </w:rPr>
            </w:pPr>
          </w:p>
          <w:p w14:paraId="51F75B1E" w14:textId="77777777" w:rsidR="00435AA4" w:rsidRPr="008B0DDF" w:rsidRDefault="00615769" w:rsidP="00372D0D">
            <w:pPr>
              <w:keepNext/>
              <w:numPr>
                <w:ilvl w:val="0"/>
                <w:numId w:val="94"/>
              </w:numPr>
              <w:suppressAutoHyphens/>
              <w:ind w:left="545" w:hanging="545"/>
              <w:rPr>
                <w:sz w:val="22"/>
                <w:szCs w:val="20"/>
              </w:rPr>
            </w:pPr>
            <w:r w:rsidRPr="008B0DDF">
              <w:rPr>
                <w:b/>
                <w:sz w:val="22"/>
                <w:szCs w:val="20"/>
              </w:rPr>
              <w:t>Não</w:t>
            </w:r>
            <w:r w:rsidRPr="008B0DDF">
              <w:rPr>
                <w:sz w:val="22"/>
                <w:szCs w:val="20"/>
              </w:rPr>
              <w:t xml:space="preserve"> injete através da roupa</w:t>
            </w:r>
          </w:p>
          <w:p w14:paraId="196F8018" w14:textId="77777777" w:rsidR="00435AA4" w:rsidRPr="00D33370" w:rsidRDefault="00615769" w:rsidP="00372D0D">
            <w:pPr>
              <w:keepNext/>
              <w:numPr>
                <w:ilvl w:val="0"/>
                <w:numId w:val="94"/>
              </w:numPr>
              <w:suppressAutoHyphens/>
              <w:ind w:left="545" w:hanging="545"/>
              <w:rPr>
                <w:sz w:val="22"/>
                <w:szCs w:val="20"/>
              </w:rPr>
            </w:pPr>
            <w:r w:rsidRPr="008B0DDF">
              <w:rPr>
                <w:b/>
                <w:sz w:val="22"/>
                <w:szCs w:val="20"/>
              </w:rPr>
              <w:t xml:space="preserve">Não </w:t>
            </w:r>
            <w:r w:rsidRPr="008B0DDF">
              <w:rPr>
                <w:sz w:val="22"/>
                <w:szCs w:val="20"/>
              </w:rPr>
              <w:t>injete numa área em que a pele esteja dorida,</w:t>
            </w:r>
            <w:r>
              <w:rPr>
                <w:sz w:val="22"/>
                <w:szCs w:val="20"/>
              </w:rPr>
              <w:t xml:space="preserve"> </w:t>
            </w:r>
            <w:r w:rsidRPr="00854C93">
              <w:rPr>
                <w:sz w:val="22"/>
                <w:szCs w:val="20"/>
              </w:rPr>
              <w:t>ferida,</w:t>
            </w:r>
            <w:r w:rsidRPr="000B3FE3">
              <w:rPr>
                <w:sz w:val="22"/>
                <w:szCs w:val="20"/>
              </w:rPr>
              <w:t xml:space="preserve"> avermelhada, </w:t>
            </w:r>
            <w:r w:rsidRPr="004931CE">
              <w:rPr>
                <w:sz w:val="22"/>
                <w:szCs w:val="20"/>
              </w:rPr>
              <w:t>endurecida</w:t>
            </w:r>
            <w:r w:rsidRPr="00653128">
              <w:rPr>
                <w:sz w:val="22"/>
                <w:szCs w:val="20"/>
              </w:rPr>
              <w:t>, tenha estrias ou áreas com placas de psoríase</w:t>
            </w:r>
          </w:p>
        </w:tc>
      </w:tr>
      <w:tr w:rsidR="00A7162A" w14:paraId="58004A22" w14:textId="77777777" w:rsidTr="00D62E4B">
        <w:tc>
          <w:tcPr>
            <w:tcW w:w="3708" w:type="dxa"/>
            <w:tcBorders>
              <w:right w:val="nil"/>
            </w:tcBorders>
          </w:tcPr>
          <w:p w14:paraId="244AF7BC" w14:textId="77777777" w:rsidR="00435AA4" w:rsidRPr="00EC0461" w:rsidRDefault="00615769" w:rsidP="00D62E4B">
            <w:pPr>
              <w:tabs>
                <w:tab w:val="left" w:pos="562"/>
              </w:tabs>
              <w:suppressAutoHyphens/>
              <w:rPr>
                <w:noProof/>
                <w:sz w:val="22"/>
                <w:szCs w:val="20"/>
              </w:rPr>
            </w:pPr>
            <w:r w:rsidRPr="008B0DDF">
              <w:rPr>
                <w:b/>
                <w:noProof/>
                <w:sz w:val="22"/>
                <w:szCs w:val="20"/>
              </w:rPr>
              <w:t>PASSO 4</w:t>
            </w:r>
          </w:p>
          <w:p w14:paraId="6B0EBC30" w14:textId="77777777" w:rsidR="00435AA4" w:rsidRPr="00EC0461" w:rsidRDefault="00435AA4" w:rsidP="00D62E4B">
            <w:pPr>
              <w:tabs>
                <w:tab w:val="left" w:pos="562"/>
              </w:tabs>
              <w:suppressAutoHyphens/>
              <w:rPr>
                <w:noProof/>
                <w:sz w:val="22"/>
                <w:szCs w:val="20"/>
              </w:rPr>
            </w:pPr>
          </w:p>
          <w:p w14:paraId="2F5675EC" w14:textId="77777777" w:rsidR="00580DAA" w:rsidRDefault="00615769" w:rsidP="00D62E4B">
            <w:pPr>
              <w:tabs>
                <w:tab w:val="left" w:pos="562"/>
              </w:tabs>
              <w:suppressAutoHyphens/>
              <w:rPr>
                <w:sz w:val="22"/>
                <w:szCs w:val="20"/>
              </w:rPr>
            </w:pPr>
            <w:r>
              <w:rPr>
                <w:b/>
                <w:noProof/>
                <w:lang w:val="en-GB" w:eastAsia="en-GB"/>
              </w:rPr>
              <w:drawing>
                <wp:inline distT="0" distB="0" distL="0" distR="0" wp14:anchorId="46DE9183" wp14:editId="63813AEF">
                  <wp:extent cx="2011680" cy="1563488"/>
                  <wp:effectExtent l="0" t="0" r="762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STEP_4_SYRINGE_IFU_UNCAP_new grey.jpg"/>
                          <pic:cNvPicPr/>
                        </pic:nvPicPr>
                        <pic:blipFill>
                          <a:blip r:embed="rId26">
                            <a:extLst>
                              <a:ext uri="{28A0092B-C50C-407E-A947-70E740481C1C}">
                                <a14:useLocalDpi xmlns:a14="http://schemas.microsoft.com/office/drawing/2010/main" val="0"/>
                              </a:ext>
                            </a:extLst>
                          </a:blip>
                          <a:stretch>
                            <a:fillRect/>
                          </a:stretch>
                        </pic:blipFill>
                        <pic:spPr>
                          <a:xfrm>
                            <a:off x="0" y="0"/>
                            <a:ext cx="2011680" cy="1563488"/>
                          </a:xfrm>
                          <a:prstGeom prst="rect">
                            <a:avLst/>
                          </a:prstGeom>
                        </pic:spPr>
                      </pic:pic>
                    </a:graphicData>
                  </a:graphic>
                </wp:inline>
              </w:drawing>
            </w:r>
          </w:p>
          <w:p w14:paraId="22F6BB93" w14:textId="77777777" w:rsidR="00580DAA" w:rsidRPr="008B0DDF" w:rsidRDefault="00580DAA" w:rsidP="00EC0461">
            <w:pPr>
              <w:tabs>
                <w:tab w:val="left" w:pos="562"/>
              </w:tabs>
              <w:suppressAutoHyphens/>
              <w:rPr>
                <w:sz w:val="22"/>
                <w:szCs w:val="20"/>
              </w:rPr>
            </w:pPr>
          </w:p>
        </w:tc>
        <w:tc>
          <w:tcPr>
            <w:tcW w:w="5579" w:type="dxa"/>
            <w:tcBorders>
              <w:left w:val="nil"/>
            </w:tcBorders>
          </w:tcPr>
          <w:p w14:paraId="6E86ABE6" w14:textId="77777777" w:rsidR="00435AA4" w:rsidRPr="009A05BE" w:rsidRDefault="00615769" w:rsidP="00D62E4B">
            <w:pPr>
              <w:keepNext/>
              <w:tabs>
                <w:tab w:val="left" w:pos="562"/>
              </w:tabs>
              <w:suppressAutoHyphens/>
              <w:rPr>
                <w:sz w:val="22"/>
                <w:szCs w:val="20"/>
              </w:rPr>
            </w:pPr>
            <w:r w:rsidRPr="00454F99">
              <w:rPr>
                <w:sz w:val="22"/>
                <w:szCs w:val="20"/>
              </w:rPr>
              <w:t xml:space="preserve">Segure na </w:t>
            </w:r>
            <w:r>
              <w:rPr>
                <w:sz w:val="22"/>
                <w:szCs w:val="20"/>
              </w:rPr>
              <w:t>seringa</w:t>
            </w:r>
            <w:r w:rsidRPr="00454F99">
              <w:rPr>
                <w:sz w:val="22"/>
                <w:szCs w:val="20"/>
              </w:rPr>
              <w:t xml:space="preserve"> pré-cheia com </w:t>
            </w:r>
            <w:r>
              <w:rPr>
                <w:sz w:val="22"/>
                <w:szCs w:val="20"/>
              </w:rPr>
              <w:t>uma das mãos</w:t>
            </w:r>
            <w:r w:rsidRPr="009A05BE">
              <w:rPr>
                <w:sz w:val="22"/>
                <w:szCs w:val="20"/>
              </w:rPr>
              <w:t xml:space="preserve">. </w:t>
            </w:r>
          </w:p>
          <w:p w14:paraId="3F7D8AEB" w14:textId="77777777" w:rsidR="00435AA4" w:rsidRPr="00854C93" w:rsidRDefault="00435AA4" w:rsidP="00D62E4B">
            <w:pPr>
              <w:tabs>
                <w:tab w:val="left" w:pos="562"/>
              </w:tabs>
              <w:suppressAutoHyphens/>
              <w:rPr>
                <w:sz w:val="22"/>
                <w:szCs w:val="20"/>
              </w:rPr>
            </w:pPr>
          </w:p>
          <w:p w14:paraId="4E4736A8" w14:textId="77777777" w:rsidR="00435AA4" w:rsidRPr="000B3FE3" w:rsidRDefault="00615769" w:rsidP="00D62E4B">
            <w:pPr>
              <w:keepNext/>
              <w:tabs>
                <w:tab w:val="left" w:pos="562"/>
              </w:tabs>
              <w:suppressAutoHyphens/>
              <w:rPr>
                <w:sz w:val="22"/>
                <w:szCs w:val="20"/>
              </w:rPr>
            </w:pPr>
            <w:r w:rsidRPr="0089156B">
              <w:rPr>
                <w:sz w:val="22"/>
                <w:szCs w:val="20"/>
              </w:rPr>
              <w:t xml:space="preserve">Verifique </w:t>
            </w:r>
            <w:r>
              <w:rPr>
                <w:sz w:val="22"/>
                <w:szCs w:val="20"/>
              </w:rPr>
              <w:t>o líquido na seringa pré-cheia</w:t>
            </w:r>
            <w:r w:rsidRPr="000B3FE3">
              <w:rPr>
                <w:sz w:val="22"/>
                <w:szCs w:val="20"/>
              </w:rPr>
              <w:t>.</w:t>
            </w:r>
          </w:p>
          <w:p w14:paraId="1D08AA58" w14:textId="77777777" w:rsidR="00435AA4" w:rsidRPr="004931CE" w:rsidRDefault="00435AA4" w:rsidP="00D62E4B">
            <w:pPr>
              <w:tabs>
                <w:tab w:val="left" w:pos="562"/>
              </w:tabs>
              <w:suppressAutoHyphens/>
              <w:rPr>
                <w:sz w:val="22"/>
                <w:szCs w:val="20"/>
              </w:rPr>
            </w:pPr>
          </w:p>
          <w:p w14:paraId="707BA73D" w14:textId="77777777" w:rsidR="00435AA4" w:rsidRPr="008B0DDF" w:rsidRDefault="00615769" w:rsidP="00D62E4B">
            <w:pPr>
              <w:keepNext/>
              <w:numPr>
                <w:ilvl w:val="0"/>
                <w:numId w:val="95"/>
              </w:numPr>
              <w:suppressAutoHyphens/>
              <w:ind w:left="545" w:hanging="545"/>
              <w:rPr>
                <w:sz w:val="22"/>
                <w:szCs w:val="20"/>
              </w:rPr>
            </w:pPr>
            <w:r w:rsidRPr="002B2441">
              <w:rPr>
                <w:sz w:val="22"/>
                <w:szCs w:val="20"/>
              </w:rPr>
              <w:t>Assegure</w:t>
            </w:r>
            <w:r w:rsidRPr="00B830EC">
              <w:rPr>
                <w:sz w:val="22"/>
                <w:szCs w:val="20"/>
              </w:rPr>
              <w:t>-se que a solução está límpida e incolor</w:t>
            </w:r>
          </w:p>
          <w:p w14:paraId="52CBD4FB" w14:textId="77777777" w:rsidR="00435AA4" w:rsidRPr="008B0DDF" w:rsidRDefault="00615769" w:rsidP="00D62E4B">
            <w:pPr>
              <w:keepNext/>
              <w:numPr>
                <w:ilvl w:val="0"/>
                <w:numId w:val="95"/>
              </w:numPr>
              <w:suppressAutoHyphens/>
              <w:ind w:left="545" w:hanging="545"/>
              <w:rPr>
                <w:sz w:val="22"/>
                <w:szCs w:val="20"/>
              </w:rPr>
            </w:pPr>
            <w:r w:rsidRPr="008B0DDF">
              <w:rPr>
                <w:b/>
                <w:sz w:val="22"/>
                <w:szCs w:val="20"/>
              </w:rPr>
              <w:t>Não</w:t>
            </w:r>
            <w:r w:rsidRPr="008B0DDF">
              <w:rPr>
                <w:sz w:val="22"/>
                <w:szCs w:val="20"/>
              </w:rPr>
              <w:t xml:space="preserve"> use a </w:t>
            </w:r>
            <w:r>
              <w:rPr>
                <w:sz w:val="22"/>
                <w:szCs w:val="20"/>
              </w:rPr>
              <w:t>seringa pré-cheia</w:t>
            </w:r>
            <w:r w:rsidRPr="008B0DDF">
              <w:rPr>
                <w:sz w:val="22"/>
                <w:szCs w:val="20"/>
              </w:rPr>
              <w:t xml:space="preserve"> se a solução estiver turva ou tiver partículas</w:t>
            </w:r>
          </w:p>
          <w:p w14:paraId="70B68AE8" w14:textId="77777777" w:rsidR="00435AA4" w:rsidRDefault="00615769" w:rsidP="00D62E4B">
            <w:pPr>
              <w:numPr>
                <w:ilvl w:val="0"/>
                <w:numId w:val="95"/>
              </w:numPr>
              <w:suppressAutoHyphens/>
              <w:ind w:left="545" w:hanging="545"/>
              <w:rPr>
                <w:sz w:val="22"/>
                <w:szCs w:val="20"/>
              </w:rPr>
            </w:pPr>
            <w:r w:rsidRPr="008B0DDF">
              <w:rPr>
                <w:b/>
                <w:sz w:val="22"/>
                <w:szCs w:val="20"/>
              </w:rPr>
              <w:t xml:space="preserve">Não </w:t>
            </w:r>
            <w:r w:rsidRPr="008B0DDF">
              <w:rPr>
                <w:sz w:val="22"/>
                <w:szCs w:val="20"/>
              </w:rPr>
              <w:t xml:space="preserve">use a </w:t>
            </w:r>
            <w:r>
              <w:rPr>
                <w:sz w:val="22"/>
                <w:szCs w:val="20"/>
              </w:rPr>
              <w:t>seringa</w:t>
            </w:r>
            <w:r w:rsidRPr="008B0DDF">
              <w:rPr>
                <w:sz w:val="22"/>
                <w:szCs w:val="20"/>
              </w:rPr>
              <w:t xml:space="preserve"> pré-cheia se </w:t>
            </w:r>
            <w:r w:rsidR="002E4828">
              <w:rPr>
                <w:sz w:val="22"/>
                <w:szCs w:val="20"/>
              </w:rPr>
              <w:t>tiver caído</w:t>
            </w:r>
            <w:r w:rsidRPr="008B0DDF">
              <w:rPr>
                <w:sz w:val="22"/>
                <w:szCs w:val="20"/>
              </w:rPr>
              <w:t xml:space="preserve"> ou estiver danificada</w:t>
            </w:r>
          </w:p>
          <w:p w14:paraId="25FBCB70" w14:textId="77777777" w:rsidR="00435AA4" w:rsidRDefault="00435AA4" w:rsidP="00D62E4B">
            <w:pPr>
              <w:tabs>
                <w:tab w:val="left" w:pos="562"/>
                <w:tab w:val="left" w:pos="757"/>
              </w:tabs>
              <w:suppressAutoHyphens/>
              <w:rPr>
                <w:sz w:val="22"/>
                <w:szCs w:val="20"/>
              </w:rPr>
            </w:pPr>
          </w:p>
          <w:p w14:paraId="47B8438E" w14:textId="77777777" w:rsidR="00435AA4" w:rsidRDefault="00615769" w:rsidP="00D62E4B">
            <w:pPr>
              <w:tabs>
                <w:tab w:val="left" w:pos="562"/>
                <w:tab w:val="left" w:pos="757"/>
              </w:tabs>
              <w:suppressAutoHyphens/>
              <w:rPr>
                <w:sz w:val="22"/>
                <w:szCs w:val="20"/>
              </w:rPr>
            </w:pPr>
            <w:r>
              <w:rPr>
                <w:sz w:val="22"/>
                <w:szCs w:val="20"/>
              </w:rPr>
              <w:t>Com a outra mão retire a tampa da agulha com muito cuidado. Deite fora a tampa da agulha. Não volte a colocar a tampa.</w:t>
            </w:r>
          </w:p>
          <w:p w14:paraId="03047D73" w14:textId="77777777" w:rsidR="00435AA4" w:rsidRDefault="00435AA4" w:rsidP="00D62E4B">
            <w:pPr>
              <w:tabs>
                <w:tab w:val="left" w:pos="562"/>
                <w:tab w:val="left" w:pos="757"/>
              </w:tabs>
              <w:suppressAutoHyphens/>
              <w:rPr>
                <w:sz w:val="22"/>
                <w:szCs w:val="20"/>
              </w:rPr>
            </w:pPr>
          </w:p>
          <w:p w14:paraId="5E4D569A" w14:textId="77777777" w:rsidR="00435AA4" w:rsidRPr="008B0DDF" w:rsidRDefault="00615769" w:rsidP="00D62E4B">
            <w:pPr>
              <w:numPr>
                <w:ilvl w:val="0"/>
                <w:numId w:val="111"/>
              </w:numPr>
              <w:suppressAutoHyphens/>
              <w:ind w:left="545" w:hanging="545"/>
              <w:rPr>
                <w:sz w:val="22"/>
                <w:szCs w:val="20"/>
              </w:rPr>
            </w:pPr>
            <w:r w:rsidRPr="00C6420B">
              <w:rPr>
                <w:b/>
                <w:sz w:val="22"/>
                <w:szCs w:val="20"/>
              </w:rPr>
              <w:t>Não</w:t>
            </w:r>
            <w:r>
              <w:rPr>
                <w:sz w:val="22"/>
                <w:szCs w:val="20"/>
              </w:rPr>
              <w:t xml:space="preserve"> toque na agulha com os dedos e não permita que esta toque em qualquer superfície</w:t>
            </w:r>
          </w:p>
        </w:tc>
      </w:tr>
      <w:tr w:rsidR="00A7162A" w14:paraId="244D7228" w14:textId="77777777" w:rsidTr="00D62E4B">
        <w:tc>
          <w:tcPr>
            <w:tcW w:w="3708" w:type="dxa"/>
            <w:tcBorders>
              <w:right w:val="nil"/>
            </w:tcBorders>
          </w:tcPr>
          <w:p w14:paraId="1E28D252" w14:textId="77777777" w:rsidR="00435AA4" w:rsidRPr="008B0DDF" w:rsidRDefault="00615769" w:rsidP="00EC0461">
            <w:pPr>
              <w:keepNext/>
              <w:tabs>
                <w:tab w:val="left" w:pos="562"/>
              </w:tabs>
              <w:suppressAutoHyphens/>
              <w:rPr>
                <w:noProof/>
                <w:sz w:val="22"/>
                <w:szCs w:val="20"/>
              </w:rPr>
            </w:pPr>
            <w:r w:rsidRPr="008B0DDF">
              <w:rPr>
                <w:b/>
                <w:noProof/>
                <w:sz w:val="22"/>
                <w:szCs w:val="20"/>
              </w:rPr>
              <w:t>PASSO 5</w:t>
            </w:r>
          </w:p>
          <w:p w14:paraId="1F1950B5" w14:textId="77777777" w:rsidR="00435AA4" w:rsidRPr="008B0DDF" w:rsidRDefault="00435AA4" w:rsidP="00EC0461">
            <w:pPr>
              <w:keepNext/>
              <w:tabs>
                <w:tab w:val="left" w:pos="562"/>
              </w:tabs>
              <w:suppressAutoHyphens/>
              <w:rPr>
                <w:noProof/>
                <w:sz w:val="22"/>
                <w:szCs w:val="20"/>
              </w:rPr>
            </w:pPr>
          </w:p>
          <w:p w14:paraId="2939FD15" w14:textId="77777777" w:rsidR="00435AA4" w:rsidRPr="00916310" w:rsidRDefault="00615769" w:rsidP="00EC0461">
            <w:pPr>
              <w:keepNext/>
              <w:tabs>
                <w:tab w:val="left" w:pos="562"/>
              </w:tabs>
              <w:suppressAutoHyphens/>
              <w:spacing w:after="100" w:afterAutospacing="1"/>
              <w:rPr>
                <w:noProof/>
                <w:sz w:val="22"/>
                <w:szCs w:val="20"/>
              </w:rPr>
            </w:pPr>
            <w:r w:rsidRPr="008B0DDF">
              <w:rPr>
                <w:noProof/>
                <w:sz w:val="22"/>
                <w:szCs w:val="20"/>
              </w:rPr>
              <w:t xml:space="preserve"> </w:t>
            </w:r>
            <w:r>
              <w:rPr>
                <w:noProof/>
                <w:lang w:val="en-GB" w:eastAsia="en-GB"/>
              </w:rPr>
              <w:drawing>
                <wp:inline distT="0" distB="0" distL="0" distR="0" wp14:anchorId="6FBED5B0" wp14:editId="0718AC3D">
                  <wp:extent cx="1987550" cy="1967865"/>
                  <wp:effectExtent l="0" t="0" r="0" b="0"/>
                  <wp:docPr id="136" name="Picture 136"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6" descr="STEP_5_SYRINGE_IFU_FILLING_grey"/>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987550" cy="1967865"/>
                          </a:xfrm>
                          <a:prstGeom prst="rect">
                            <a:avLst/>
                          </a:prstGeom>
                          <a:noFill/>
                          <a:ln>
                            <a:noFill/>
                          </a:ln>
                        </pic:spPr>
                      </pic:pic>
                    </a:graphicData>
                  </a:graphic>
                </wp:inline>
              </w:drawing>
            </w:r>
          </w:p>
        </w:tc>
        <w:tc>
          <w:tcPr>
            <w:tcW w:w="5579" w:type="dxa"/>
            <w:tcBorders>
              <w:left w:val="nil"/>
            </w:tcBorders>
          </w:tcPr>
          <w:p w14:paraId="30AED37D" w14:textId="77777777" w:rsidR="00435AA4" w:rsidRPr="009A05BE" w:rsidRDefault="00615769" w:rsidP="00EC0461">
            <w:pPr>
              <w:keepNext/>
              <w:tabs>
                <w:tab w:val="left" w:pos="562"/>
              </w:tabs>
              <w:suppressAutoHyphens/>
              <w:rPr>
                <w:sz w:val="22"/>
                <w:szCs w:val="20"/>
              </w:rPr>
            </w:pPr>
            <w:r>
              <w:rPr>
                <w:sz w:val="22"/>
                <w:szCs w:val="20"/>
              </w:rPr>
              <w:t>Segure a seringa pré-cheia com a agulha na vertical.</w:t>
            </w:r>
          </w:p>
          <w:p w14:paraId="3DF4397A" w14:textId="77777777" w:rsidR="00435AA4" w:rsidRPr="00854C93" w:rsidRDefault="00435AA4" w:rsidP="00EC0461">
            <w:pPr>
              <w:keepNext/>
              <w:tabs>
                <w:tab w:val="left" w:pos="562"/>
              </w:tabs>
              <w:suppressAutoHyphens/>
              <w:rPr>
                <w:sz w:val="22"/>
                <w:szCs w:val="20"/>
              </w:rPr>
            </w:pPr>
          </w:p>
          <w:p w14:paraId="5D4DD9B5" w14:textId="77777777" w:rsidR="00435AA4" w:rsidRPr="00653128" w:rsidRDefault="00615769" w:rsidP="00EC0461">
            <w:pPr>
              <w:keepNext/>
              <w:numPr>
                <w:ilvl w:val="0"/>
                <w:numId w:val="96"/>
              </w:numPr>
              <w:suppressAutoHyphens/>
              <w:ind w:left="545" w:hanging="545"/>
              <w:rPr>
                <w:sz w:val="22"/>
                <w:szCs w:val="20"/>
              </w:rPr>
            </w:pPr>
            <w:r>
              <w:rPr>
                <w:sz w:val="22"/>
                <w:szCs w:val="20"/>
              </w:rPr>
              <w:t>Com uma das mãos, segure a seringa pré-cheia ao nível dos olhos de modo a poder observar o ar na seringa</w:t>
            </w:r>
          </w:p>
          <w:p w14:paraId="0EA5CD2C" w14:textId="77777777" w:rsidR="00435AA4" w:rsidRPr="002B2441" w:rsidRDefault="00435AA4" w:rsidP="00EC0461">
            <w:pPr>
              <w:keepNext/>
              <w:tabs>
                <w:tab w:val="left" w:pos="562"/>
              </w:tabs>
              <w:suppressAutoHyphens/>
              <w:rPr>
                <w:sz w:val="22"/>
                <w:szCs w:val="20"/>
              </w:rPr>
            </w:pPr>
          </w:p>
          <w:p w14:paraId="09BCD15A" w14:textId="77777777" w:rsidR="00435AA4" w:rsidRDefault="00615769" w:rsidP="00EC0461">
            <w:pPr>
              <w:keepNext/>
              <w:tabs>
                <w:tab w:val="left" w:pos="562"/>
              </w:tabs>
              <w:suppressAutoHyphens/>
              <w:rPr>
                <w:sz w:val="22"/>
                <w:szCs w:val="20"/>
              </w:rPr>
            </w:pPr>
            <w:r>
              <w:rPr>
                <w:sz w:val="22"/>
                <w:szCs w:val="20"/>
              </w:rPr>
              <w:t>Empurre lentamente o êmbolo para empurrar o ar para fora através da agulha.</w:t>
            </w:r>
          </w:p>
          <w:p w14:paraId="2BB81E4C" w14:textId="77777777" w:rsidR="00435AA4" w:rsidRDefault="00435AA4" w:rsidP="00EC0461">
            <w:pPr>
              <w:keepNext/>
              <w:tabs>
                <w:tab w:val="left" w:pos="562"/>
              </w:tabs>
              <w:suppressAutoHyphens/>
              <w:rPr>
                <w:sz w:val="22"/>
                <w:szCs w:val="20"/>
              </w:rPr>
            </w:pPr>
          </w:p>
          <w:p w14:paraId="516F10B7" w14:textId="77777777" w:rsidR="00435AA4" w:rsidRPr="002B2441" w:rsidRDefault="00615769" w:rsidP="00EC0461">
            <w:pPr>
              <w:keepNext/>
              <w:numPr>
                <w:ilvl w:val="0"/>
                <w:numId w:val="96"/>
              </w:numPr>
              <w:suppressAutoHyphens/>
              <w:ind w:left="545" w:hanging="545"/>
              <w:rPr>
                <w:sz w:val="22"/>
                <w:szCs w:val="20"/>
              </w:rPr>
            </w:pPr>
            <w:r w:rsidRPr="00D33370">
              <w:rPr>
                <w:sz w:val="22"/>
                <w:szCs w:val="20"/>
              </w:rPr>
              <w:t>É normal observar</w:t>
            </w:r>
            <w:r w:rsidRPr="002D4DE5">
              <w:rPr>
                <w:sz w:val="22"/>
                <w:szCs w:val="20"/>
              </w:rPr>
              <w:t>-se</w:t>
            </w:r>
            <w:r w:rsidRPr="00003560">
              <w:rPr>
                <w:sz w:val="22"/>
                <w:szCs w:val="20"/>
              </w:rPr>
              <w:t xml:space="preserve"> algumas gotas de </w:t>
            </w:r>
            <w:r w:rsidRPr="005F6F98">
              <w:rPr>
                <w:sz w:val="22"/>
                <w:szCs w:val="20"/>
              </w:rPr>
              <w:t>solução na agulha</w:t>
            </w:r>
          </w:p>
          <w:p w14:paraId="2CE124C8" w14:textId="77777777" w:rsidR="00435AA4" w:rsidRPr="000B3FE3" w:rsidRDefault="00435AA4" w:rsidP="00EC0461">
            <w:pPr>
              <w:keepNext/>
              <w:tabs>
                <w:tab w:val="left" w:pos="562"/>
              </w:tabs>
              <w:suppressAutoHyphens/>
              <w:rPr>
                <w:sz w:val="22"/>
                <w:szCs w:val="20"/>
              </w:rPr>
            </w:pPr>
          </w:p>
          <w:p w14:paraId="544CE080" w14:textId="77777777" w:rsidR="00435AA4" w:rsidRPr="002B2441" w:rsidRDefault="00435AA4" w:rsidP="00EC0461">
            <w:pPr>
              <w:keepNext/>
              <w:tabs>
                <w:tab w:val="left" w:pos="562"/>
              </w:tabs>
              <w:suppressAutoHyphens/>
              <w:rPr>
                <w:sz w:val="22"/>
                <w:szCs w:val="20"/>
              </w:rPr>
            </w:pPr>
          </w:p>
        </w:tc>
      </w:tr>
      <w:tr w:rsidR="00A7162A" w14:paraId="602C3A06" w14:textId="77777777" w:rsidTr="00D62E4B">
        <w:tc>
          <w:tcPr>
            <w:tcW w:w="3708" w:type="dxa"/>
            <w:tcBorders>
              <w:right w:val="nil"/>
            </w:tcBorders>
          </w:tcPr>
          <w:p w14:paraId="4A213256" w14:textId="77777777" w:rsidR="00435AA4" w:rsidRPr="00EC0461" w:rsidRDefault="00615769" w:rsidP="00372D0D">
            <w:pPr>
              <w:keepNext/>
              <w:tabs>
                <w:tab w:val="left" w:pos="562"/>
              </w:tabs>
              <w:suppressAutoHyphens/>
              <w:rPr>
                <w:noProof/>
                <w:sz w:val="22"/>
                <w:szCs w:val="20"/>
              </w:rPr>
            </w:pPr>
            <w:r w:rsidRPr="008B0DDF">
              <w:rPr>
                <w:b/>
                <w:noProof/>
                <w:sz w:val="22"/>
                <w:szCs w:val="20"/>
              </w:rPr>
              <w:t>PASSO 6</w:t>
            </w:r>
          </w:p>
          <w:p w14:paraId="7694E3DB" w14:textId="77777777" w:rsidR="00435AA4" w:rsidRPr="008B0DDF" w:rsidRDefault="00615769" w:rsidP="00372D0D">
            <w:pPr>
              <w:keepNext/>
              <w:tabs>
                <w:tab w:val="left" w:pos="562"/>
              </w:tabs>
              <w:suppressAutoHyphens/>
              <w:rPr>
                <w:sz w:val="22"/>
                <w:szCs w:val="20"/>
              </w:rPr>
            </w:pPr>
            <w:r>
              <w:rPr>
                <w:noProof/>
                <w:lang w:val="en-GB" w:eastAsia="en-GB"/>
              </w:rPr>
              <w:drawing>
                <wp:inline distT="0" distB="0" distL="0" distR="0" wp14:anchorId="589457D5" wp14:editId="4DFA5EA5">
                  <wp:extent cx="2245995" cy="2146935"/>
                  <wp:effectExtent l="0" t="0" r="1905" b="5715"/>
                  <wp:docPr id="137" name="Picture 137"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7" descr="STEP_6_SYRINGE_IFU_PRE-INJECTION_grey"/>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245995" cy="2146935"/>
                          </a:xfrm>
                          <a:prstGeom prst="rect">
                            <a:avLst/>
                          </a:prstGeom>
                          <a:noFill/>
                          <a:ln>
                            <a:noFill/>
                          </a:ln>
                        </pic:spPr>
                      </pic:pic>
                    </a:graphicData>
                  </a:graphic>
                </wp:inline>
              </w:drawing>
            </w:r>
          </w:p>
        </w:tc>
        <w:tc>
          <w:tcPr>
            <w:tcW w:w="5579" w:type="dxa"/>
            <w:tcBorders>
              <w:left w:val="nil"/>
            </w:tcBorders>
          </w:tcPr>
          <w:p w14:paraId="48F647DD" w14:textId="77777777" w:rsidR="00435AA4" w:rsidRDefault="00615769" w:rsidP="00372D0D">
            <w:pPr>
              <w:keepNext/>
              <w:tabs>
                <w:tab w:val="left" w:pos="562"/>
              </w:tabs>
              <w:suppressAutoHyphens/>
              <w:rPr>
                <w:sz w:val="22"/>
                <w:szCs w:val="20"/>
              </w:rPr>
            </w:pPr>
            <w:r>
              <w:rPr>
                <w:sz w:val="22"/>
                <w:szCs w:val="20"/>
              </w:rPr>
              <w:t>Com uma das mãos, segure o corpo da seringa entre o polegar e o indicador, como se fosse um lápis.</w:t>
            </w:r>
          </w:p>
          <w:p w14:paraId="2B2FB424" w14:textId="77777777" w:rsidR="00435AA4" w:rsidRDefault="00435AA4" w:rsidP="00372D0D">
            <w:pPr>
              <w:keepNext/>
              <w:tabs>
                <w:tab w:val="left" w:pos="562"/>
              </w:tabs>
              <w:suppressAutoHyphens/>
              <w:rPr>
                <w:sz w:val="22"/>
                <w:szCs w:val="20"/>
              </w:rPr>
            </w:pPr>
          </w:p>
          <w:p w14:paraId="601E8E29" w14:textId="77777777" w:rsidR="00435AA4" w:rsidRPr="006462E3" w:rsidRDefault="00615769" w:rsidP="00372D0D">
            <w:pPr>
              <w:keepNext/>
              <w:tabs>
                <w:tab w:val="left" w:pos="562"/>
              </w:tabs>
              <w:suppressAutoHyphens/>
              <w:rPr>
                <w:sz w:val="22"/>
                <w:szCs w:val="20"/>
              </w:rPr>
            </w:pPr>
            <w:r>
              <w:rPr>
                <w:sz w:val="22"/>
                <w:szCs w:val="20"/>
              </w:rPr>
              <w:t>Com a outra mão, a</w:t>
            </w:r>
            <w:r w:rsidRPr="00454F99">
              <w:rPr>
                <w:sz w:val="22"/>
                <w:szCs w:val="20"/>
              </w:rPr>
              <w:t>garre uma prega cutânea</w:t>
            </w:r>
            <w:r>
              <w:rPr>
                <w:sz w:val="22"/>
                <w:szCs w:val="20"/>
              </w:rPr>
              <w:t xml:space="preserve"> elevada</w:t>
            </w:r>
            <w:r w:rsidRPr="00454F99">
              <w:rPr>
                <w:sz w:val="22"/>
                <w:szCs w:val="20"/>
              </w:rPr>
              <w:t xml:space="preserve"> </w:t>
            </w:r>
            <w:r w:rsidRPr="004F0FBC">
              <w:rPr>
                <w:sz w:val="22"/>
                <w:szCs w:val="20"/>
              </w:rPr>
              <w:t>no local da injeção</w:t>
            </w:r>
            <w:r w:rsidR="00E96468">
              <w:rPr>
                <w:sz w:val="22"/>
                <w:szCs w:val="20"/>
              </w:rPr>
              <w:t xml:space="preserve"> da sua criança</w:t>
            </w:r>
            <w:r w:rsidRPr="006462E3">
              <w:rPr>
                <w:sz w:val="22"/>
                <w:szCs w:val="20"/>
              </w:rPr>
              <w:t>, apertando-a firmemente.</w:t>
            </w:r>
          </w:p>
          <w:p w14:paraId="0F40A6DF" w14:textId="77777777" w:rsidR="00435AA4" w:rsidRPr="009A05BE" w:rsidRDefault="00435AA4" w:rsidP="00372D0D">
            <w:pPr>
              <w:keepNext/>
              <w:tabs>
                <w:tab w:val="left" w:pos="562"/>
              </w:tabs>
              <w:suppressAutoHyphens/>
              <w:rPr>
                <w:sz w:val="22"/>
                <w:szCs w:val="20"/>
              </w:rPr>
            </w:pPr>
          </w:p>
          <w:p w14:paraId="3E4E62AC" w14:textId="77777777" w:rsidR="00435AA4" w:rsidRPr="008B0DDF" w:rsidRDefault="00435AA4" w:rsidP="00372D0D">
            <w:pPr>
              <w:keepNext/>
              <w:tabs>
                <w:tab w:val="left" w:pos="562"/>
              </w:tabs>
              <w:suppressAutoHyphens/>
              <w:rPr>
                <w:sz w:val="22"/>
                <w:szCs w:val="20"/>
              </w:rPr>
            </w:pPr>
          </w:p>
        </w:tc>
      </w:tr>
      <w:tr w:rsidR="00A7162A" w14:paraId="00004F32" w14:textId="77777777" w:rsidTr="008F5CCC">
        <w:trPr>
          <w:trHeight w:val="2965"/>
        </w:trPr>
        <w:tc>
          <w:tcPr>
            <w:tcW w:w="3708" w:type="dxa"/>
            <w:tcBorders>
              <w:right w:val="nil"/>
            </w:tcBorders>
          </w:tcPr>
          <w:p w14:paraId="1BBAD458" w14:textId="77777777" w:rsidR="00435AA4" w:rsidRPr="00EC0461" w:rsidRDefault="00615769" w:rsidP="00D62E4B">
            <w:pPr>
              <w:tabs>
                <w:tab w:val="left" w:pos="562"/>
              </w:tabs>
              <w:suppressAutoHyphens/>
              <w:jc w:val="both"/>
              <w:rPr>
                <w:noProof/>
                <w:sz w:val="22"/>
                <w:szCs w:val="20"/>
              </w:rPr>
            </w:pPr>
            <w:r w:rsidRPr="008B0DDF">
              <w:rPr>
                <w:b/>
                <w:noProof/>
                <w:sz w:val="22"/>
                <w:szCs w:val="20"/>
              </w:rPr>
              <w:t>PASSO 7</w:t>
            </w:r>
          </w:p>
          <w:p w14:paraId="6970F77A" w14:textId="77777777" w:rsidR="00435AA4" w:rsidRPr="00EC0461" w:rsidRDefault="00435AA4" w:rsidP="00D62E4B">
            <w:pPr>
              <w:tabs>
                <w:tab w:val="left" w:pos="562"/>
              </w:tabs>
              <w:suppressAutoHyphens/>
              <w:jc w:val="both"/>
              <w:rPr>
                <w:noProof/>
                <w:sz w:val="22"/>
                <w:szCs w:val="20"/>
              </w:rPr>
            </w:pPr>
          </w:p>
          <w:p w14:paraId="2DD2F669" w14:textId="77777777" w:rsidR="00435AA4" w:rsidRPr="00EC0461" w:rsidRDefault="00615769" w:rsidP="00D62E4B">
            <w:pPr>
              <w:tabs>
                <w:tab w:val="left" w:pos="562"/>
              </w:tabs>
              <w:suppressAutoHyphens/>
              <w:rPr>
                <w:b/>
                <w:noProof/>
                <w:sz w:val="22"/>
                <w:szCs w:val="20"/>
              </w:rPr>
            </w:pPr>
            <w:r>
              <w:rPr>
                <w:noProof/>
                <w:lang w:val="en-GB" w:eastAsia="en-GB"/>
              </w:rPr>
              <w:drawing>
                <wp:inline distT="0" distB="0" distL="0" distR="0" wp14:anchorId="190DB8BC" wp14:editId="3E74C124">
                  <wp:extent cx="2186305" cy="2673350"/>
                  <wp:effectExtent l="0" t="0" r="4445" b="0"/>
                  <wp:docPr id="138" name="Picture 138"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8" descr="STEP_7_SYRINGE_IFU_ABDOMEN-THIGH_grey"/>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2186305" cy="2673350"/>
                          </a:xfrm>
                          <a:prstGeom prst="rect">
                            <a:avLst/>
                          </a:prstGeom>
                          <a:noFill/>
                          <a:ln>
                            <a:noFill/>
                          </a:ln>
                        </pic:spPr>
                      </pic:pic>
                    </a:graphicData>
                  </a:graphic>
                </wp:inline>
              </w:drawing>
            </w:r>
            <w:r w:rsidRPr="008B0DDF">
              <w:rPr>
                <w:b/>
                <w:noProof/>
                <w:sz w:val="22"/>
                <w:szCs w:val="20"/>
              </w:rPr>
              <w:t xml:space="preserve">                       </w:t>
            </w:r>
          </w:p>
        </w:tc>
        <w:tc>
          <w:tcPr>
            <w:tcW w:w="5579" w:type="dxa"/>
            <w:tcBorders>
              <w:left w:val="nil"/>
            </w:tcBorders>
          </w:tcPr>
          <w:p w14:paraId="1143F3FD" w14:textId="77777777" w:rsidR="00435AA4" w:rsidRPr="00854C93" w:rsidRDefault="00615769" w:rsidP="00D62E4B">
            <w:pPr>
              <w:keepNext/>
              <w:tabs>
                <w:tab w:val="left" w:pos="562"/>
              </w:tabs>
              <w:suppressAutoHyphens/>
              <w:rPr>
                <w:sz w:val="22"/>
                <w:szCs w:val="20"/>
              </w:rPr>
            </w:pPr>
            <w:r w:rsidRPr="0044327F">
              <w:rPr>
                <w:sz w:val="22"/>
                <w:szCs w:val="20"/>
              </w:rPr>
              <w:t>Introduza a agulha na pele</w:t>
            </w:r>
            <w:r>
              <w:rPr>
                <w:sz w:val="22"/>
                <w:szCs w:val="20"/>
              </w:rPr>
              <w:t xml:space="preserve"> num ângulo de 45º com um movimento curto e rápido.</w:t>
            </w:r>
          </w:p>
          <w:p w14:paraId="76F3DC37" w14:textId="77777777" w:rsidR="00435AA4" w:rsidRPr="002B2441" w:rsidRDefault="00435AA4" w:rsidP="00D62E4B">
            <w:pPr>
              <w:tabs>
                <w:tab w:val="left" w:pos="562"/>
              </w:tabs>
              <w:suppressAutoHyphens/>
              <w:rPr>
                <w:sz w:val="22"/>
                <w:szCs w:val="20"/>
              </w:rPr>
            </w:pPr>
          </w:p>
          <w:p w14:paraId="045429BD" w14:textId="77777777" w:rsidR="00435AA4" w:rsidRPr="008B0DDF" w:rsidRDefault="00615769" w:rsidP="00D62E4B">
            <w:pPr>
              <w:numPr>
                <w:ilvl w:val="0"/>
                <w:numId w:val="111"/>
              </w:numPr>
              <w:suppressAutoHyphens/>
              <w:ind w:left="545" w:hanging="545"/>
              <w:rPr>
                <w:sz w:val="22"/>
                <w:szCs w:val="20"/>
              </w:rPr>
            </w:pPr>
            <w:r>
              <w:rPr>
                <w:sz w:val="22"/>
                <w:szCs w:val="20"/>
              </w:rPr>
              <w:t>Após introduzir a agulha, liberte a prega cutânea</w:t>
            </w:r>
          </w:p>
          <w:p w14:paraId="2BD1DF99" w14:textId="77777777" w:rsidR="00435AA4" w:rsidRDefault="00435AA4" w:rsidP="00D62E4B">
            <w:pPr>
              <w:tabs>
                <w:tab w:val="left" w:pos="562"/>
              </w:tabs>
              <w:suppressAutoHyphens/>
              <w:rPr>
                <w:sz w:val="22"/>
                <w:szCs w:val="20"/>
              </w:rPr>
            </w:pPr>
          </w:p>
          <w:p w14:paraId="2D7BC34E" w14:textId="77777777" w:rsidR="00435AA4" w:rsidRPr="008B0DDF" w:rsidRDefault="00615769" w:rsidP="00D62E4B">
            <w:pPr>
              <w:tabs>
                <w:tab w:val="left" w:pos="562"/>
              </w:tabs>
              <w:suppressAutoHyphens/>
              <w:rPr>
                <w:sz w:val="22"/>
                <w:szCs w:val="20"/>
              </w:rPr>
            </w:pPr>
            <w:r>
              <w:rPr>
                <w:sz w:val="22"/>
                <w:szCs w:val="20"/>
              </w:rPr>
              <w:t>Empurre lentamente o êmbolo até injetar toda a solução e esvaziar a seringa pré-cheia.</w:t>
            </w:r>
          </w:p>
        </w:tc>
      </w:tr>
      <w:tr w:rsidR="00A7162A" w14:paraId="6B9F4388" w14:textId="77777777" w:rsidTr="00D62E4B">
        <w:tc>
          <w:tcPr>
            <w:tcW w:w="3708" w:type="dxa"/>
            <w:tcBorders>
              <w:right w:val="nil"/>
            </w:tcBorders>
          </w:tcPr>
          <w:p w14:paraId="26EAEC0F" w14:textId="77777777" w:rsidR="00435AA4" w:rsidRPr="00EC0461" w:rsidRDefault="00615769" w:rsidP="00EC0461">
            <w:pPr>
              <w:keepNext/>
              <w:tabs>
                <w:tab w:val="left" w:pos="562"/>
              </w:tabs>
              <w:suppressAutoHyphens/>
              <w:rPr>
                <w:noProof/>
                <w:sz w:val="22"/>
                <w:szCs w:val="20"/>
              </w:rPr>
            </w:pPr>
            <w:r w:rsidRPr="008B0DDF">
              <w:rPr>
                <w:b/>
                <w:noProof/>
                <w:sz w:val="22"/>
                <w:szCs w:val="20"/>
              </w:rPr>
              <w:t>PASSO 8</w:t>
            </w:r>
          </w:p>
          <w:p w14:paraId="1D6ECC73" w14:textId="77777777" w:rsidR="00435AA4" w:rsidRPr="00EC0461" w:rsidRDefault="00435AA4" w:rsidP="00EC0461">
            <w:pPr>
              <w:keepNext/>
              <w:tabs>
                <w:tab w:val="left" w:pos="562"/>
              </w:tabs>
              <w:suppressAutoHyphens/>
              <w:rPr>
                <w:noProof/>
                <w:sz w:val="22"/>
                <w:szCs w:val="20"/>
              </w:rPr>
            </w:pPr>
          </w:p>
          <w:p w14:paraId="3EA6269A" w14:textId="77777777" w:rsidR="00C66F34" w:rsidRDefault="00615769" w:rsidP="00EC0461">
            <w:pPr>
              <w:keepNext/>
              <w:tabs>
                <w:tab w:val="left" w:pos="562"/>
              </w:tabs>
              <w:suppressAutoHyphens/>
              <w:rPr>
                <w:noProof/>
                <w:sz w:val="22"/>
                <w:szCs w:val="20"/>
              </w:rPr>
            </w:pPr>
            <w:r w:rsidRPr="008B0DDF">
              <w:rPr>
                <w:noProof/>
                <w:sz w:val="22"/>
                <w:szCs w:val="20"/>
              </w:rPr>
              <w:t xml:space="preserve"> </w:t>
            </w:r>
            <w:r w:rsidR="00FA32A9">
              <w:rPr>
                <w:b/>
                <w:noProof/>
                <w:lang w:val="en-GB" w:eastAsia="en-GB"/>
              </w:rPr>
              <w:drawing>
                <wp:inline distT="0" distB="0" distL="0" distR="0" wp14:anchorId="20224870" wp14:editId="5E41B9AB">
                  <wp:extent cx="1984248" cy="2093976"/>
                  <wp:effectExtent l="0" t="0" r="0" b="190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STEP_8_SYRINGE_IFU_WITHDRAW_grey.REV 06Sep18.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984248" cy="2093976"/>
                          </a:xfrm>
                          <a:prstGeom prst="rect">
                            <a:avLst/>
                          </a:prstGeom>
                        </pic:spPr>
                      </pic:pic>
                    </a:graphicData>
                  </a:graphic>
                </wp:inline>
              </w:drawing>
            </w:r>
          </w:p>
          <w:p w14:paraId="0723BF16" w14:textId="77777777" w:rsidR="00FA32A9" w:rsidRPr="003D294B" w:rsidRDefault="00615769" w:rsidP="00EC0461">
            <w:pPr>
              <w:keepNext/>
              <w:tabs>
                <w:tab w:val="left" w:pos="562"/>
              </w:tabs>
              <w:suppressAutoHyphens/>
              <w:rPr>
                <w:b/>
                <w:noProof/>
                <w:sz w:val="22"/>
                <w:szCs w:val="20"/>
              </w:rPr>
            </w:pPr>
            <w:r>
              <w:rPr>
                <w:b/>
                <w:noProof/>
                <w:sz w:val="22"/>
                <w:szCs w:val="20"/>
              </w:rPr>
              <w:t xml:space="preserve">                  </w:t>
            </w:r>
            <w:r w:rsidRPr="007960C9">
              <w:rPr>
                <w:b/>
                <w:noProof/>
                <w:sz w:val="22"/>
                <w:szCs w:val="20"/>
              </w:rPr>
              <w:t>Algodão</w:t>
            </w:r>
          </w:p>
        </w:tc>
        <w:tc>
          <w:tcPr>
            <w:tcW w:w="5579" w:type="dxa"/>
            <w:tcBorders>
              <w:left w:val="nil"/>
            </w:tcBorders>
          </w:tcPr>
          <w:p w14:paraId="01665A01" w14:textId="77777777" w:rsidR="00435AA4" w:rsidRPr="000B3FE3" w:rsidRDefault="00615769" w:rsidP="00EC0461">
            <w:pPr>
              <w:keepNext/>
              <w:tabs>
                <w:tab w:val="left" w:pos="562"/>
              </w:tabs>
              <w:suppressAutoHyphens/>
              <w:rPr>
                <w:sz w:val="22"/>
                <w:szCs w:val="20"/>
              </w:rPr>
            </w:pPr>
            <w:r w:rsidRPr="00454F99">
              <w:rPr>
                <w:sz w:val="22"/>
                <w:szCs w:val="20"/>
              </w:rPr>
              <w:t>Qu</w:t>
            </w:r>
            <w:r w:rsidRPr="00AF229F">
              <w:rPr>
                <w:sz w:val="22"/>
                <w:szCs w:val="20"/>
              </w:rPr>
              <w:t>a</w:t>
            </w:r>
            <w:r w:rsidRPr="004F0FBC">
              <w:rPr>
                <w:sz w:val="22"/>
                <w:szCs w:val="20"/>
              </w:rPr>
              <w:t>n</w:t>
            </w:r>
            <w:r w:rsidRPr="006462E3">
              <w:rPr>
                <w:sz w:val="22"/>
                <w:szCs w:val="20"/>
              </w:rPr>
              <w:t xml:space="preserve">do a injeção estiver completa, retire lentamente a </w:t>
            </w:r>
            <w:r>
              <w:rPr>
                <w:sz w:val="22"/>
                <w:szCs w:val="20"/>
              </w:rPr>
              <w:t>agulha da pele, procurando manter o mesmo ângulo da inserção.</w:t>
            </w:r>
          </w:p>
          <w:p w14:paraId="4E9795E1" w14:textId="77777777" w:rsidR="00435AA4" w:rsidRPr="004931CE" w:rsidRDefault="00435AA4" w:rsidP="00EC0461">
            <w:pPr>
              <w:keepNext/>
              <w:tabs>
                <w:tab w:val="left" w:pos="562"/>
              </w:tabs>
              <w:suppressAutoHyphens/>
              <w:rPr>
                <w:sz w:val="22"/>
                <w:szCs w:val="20"/>
              </w:rPr>
            </w:pPr>
          </w:p>
          <w:p w14:paraId="285DB773" w14:textId="77777777" w:rsidR="00435AA4" w:rsidRPr="008B0DDF" w:rsidRDefault="00615769" w:rsidP="00EC0461">
            <w:pPr>
              <w:keepNext/>
              <w:tabs>
                <w:tab w:val="left" w:pos="562"/>
              </w:tabs>
              <w:suppressAutoHyphens/>
              <w:rPr>
                <w:sz w:val="22"/>
                <w:szCs w:val="20"/>
              </w:rPr>
            </w:pPr>
            <w:r w:rsidRPr="008B0DDF">
              <w:rPr>
                <w:sz w:val="22"/>
                <w:szCs w:val="20"/>
              </w:rPr>
              <w:t>Após completar a injeção, pressione o local da injeção com algodão ou uma gaze.</w:t>
            </w:r>
          </w:p>
          <w:p w14:paraId="2E538C7F" w14:textId="77777777" w:rsidR="00435AA4" w:rsidRPr="008B0DDF" w:rsidRDefault="00435AA4" w:rsidP="00EC0461">
            <w:pPr>
              <w:keepNext/>
              <w:tabs>
                <w:tab w:val="left" w:pos="562"/>
              </w:tabs>
              <w:suppressAutoHyphens/>
              <w:rPr>
                <w:sz w:val="22"/>
                <w:szCs w:val="20"/>
              </w:rPr>
            </w:pPr>
          </w:p>
          <w:p w14:paraId="5641B62F" w14:textId="77777777" w:rsidR="00435AA4" w:rsidRPr="008B0DDF" w:rsidRDefault="00615769" w:rsidP="00EC0461">
            <w:pPr>
              <w:keepNext/>
              <w:numPr>
                <w:ilvl w:val="0"/>
                <w:numId w:val="98"/>
              </w:numPr>
              <w:suppressAutoHyphens/>
              <w:ind w:left="545" w:hanging="545"/>
              <w:rPr>
                <w:sz w:val="22"/>
                <w:szCs w:val="20"/>
              </w:rPr>
            </w:pPr>
            <w:r w:rsidRPr="008B0DDF">
              <w:rPr>
                <w:b/>
                <w:sz w:val="22"/>
                <w:szCs w:val="20"/>
              </w:rPr>
              <w:t xml:space="preserve">Não </w:t>
            </w:r>
            <w:r w:rsidRPr="008B0DDF">
              <w:rPr>
                <w:sz w:val="22"/>
                <w:szCs w:val="20"/>
              </w:rPr>
              <w:t>friccione</w:t>
            </w:r>
          </w:p>
          <w:p w14:paraId="31F6FEF1" w14:textId="77777777" w:rsidR="00435AA4" w:rsidRPr="006462E3" w:rsidRDefault="00615769" w:rsidP="00EC0461">
            <w:pPr>
              <w:keepNext/>
              <w:numPr>
                <w:ilvl w:val="0"/>
                <w:numId w:val="98"/>
              </w:numPr>
              <w:suppressAutoHyphens/>
              <w:ind w:left="545" w:hanging="545"/>
              <w:rPr>
                <w:sz w:val="22"/>
                <w:szCs w:val="20"/>
              </w:rPr>
            </w:pPr>
            <w:r w:rsidRPr="00454F99">
              <w:rPr>
                <w:sz w:val="22"/>
                <w:szCs w:val="20"/>
              </w:rPr>
              <w:t>É</w:t>
            </w:r>
            <w:r w:rsidRPr="004F0FBC">
              <w:rPr>
                <w:sz w:val="22"/>
                <w:szCs w:val="20"/>
              </w:rPr>
              <w:t xml:space="preserve"> normal aparecer </w:t>
            </w:r>
            <w:r w:rsidRPr="006462E3">
              <w:rPr>
                <w:sz w:val="22"/>
                <w:szCs w:val="20"/>
              </w:rPr>
              <w:t>uma marca de sangue no local da injeção.</w:t>
            </w:r>
          </w:p>
        </w:tc>
      </w:tr>
      <w:tr w:rsidR="00A7162A" w14:paraId="4D711372" w14:textId="77777777" w:rsidTr="00D62E4B">
        <w:tc>
          <w:tcPr>
            <w:tcW w:w="9287" w:type="dxa"/>
            <w:gridSpan w:val="2"/>
          </w:tcPr>
          <w:p w14:paraId="57EEAC65" w14:textId="77777777" w:rsidR="00435AA4" w:rsidRPr="00EC0461" w:rsidRDefault="00615769" w:rsidP="00D62E4B">
            <w:pPr>
              <w:keepNext/>
              <w:tabs>
                <w:tab w:val="left" w:pos="562"/>
              </w:tabs>
              <w:suppressAutoHyphens/>
              <w:rPr>
                <w:sz w:val="22"/>
              </w:rPr>
            </w:pPr>
            <w:r w:rsidRPr="008B0DDF">
              <w:rPr>
                <w:b/>
                <w:sz w:val="22"/>
              </w:rPr>
              <w:t>PASSO 9</w:t>
            </w:r>
          </w:p>
          <w:p w14:paraId="7A587F6C" w14:textId="77777777" w:rsidR="00435AA4" w:rsidRPr="00EC0461" w:rsidRDefault="00435AA4" w:rsidP="00D62E4B">
            <w:pPr>
              <w:keepNext/>
              <w:tabs>
                <w:tab w:val="left" w:pos="562"/>
              </w:tabs>
              <w:suppressAutoHyphens/>
              <w:rPr>
                <w:sz w:val="22"/>
              </w:rPr>
            </w:pPr>
          </w:p>
          <w:p w14:paraId="301D3F2E" w14:textId="77777777" w:rsidR="00435AA4" w:rsidRPr="00454F99" w:rsidRDefault="00615769" w:rsidP="00D62E4B">
            <w:pPr>
              <w:keepNext/>
              <w:tabs>
                <w:tab w:val="left" w:pos="562"/>
              </w:tabs>
              <w:suppressAutoHyphens/>
              <w:rPr>
                <w:sz w:val="22"/>
                <w:szCs w:val="20"/>
              </w:rPr>
            </w:pPr>
            <w:r w:rsidRPr="00454F99">
              <w:rPr>
                <w:sz w:val="22"/>
                <w:szCs w:val="20"/>
              </w:rPr>
              <w:t xml:space="preserve">Elimine imediatamente a </w:t>
            </w:r>
            <w:r>
              <w:rPr>
                <w:sz w:val="22"/>
                <w:szCs w:val="20"/>
              </w:rPr>
              <w:t>seringa</w:t>
            </w:r>
            <w:r w:rsidRPr="00454F99">
              <w:rPr>
                <w:sz w:val="22"/>
                <w:szCs w:val="20"/>
              </w:rPr>
              <w:t xml:space="preserve"> pré</w:t>
            </w:r>
            <w:r w:rsidRPr="004F0FBC">
              <w:rPr>
                <w:sz w:val="22"/>
                <w:szCs w:val="20"/>
              </w:rPr>
              <w:t>-cheia utilizada num recipiente</w:t>
            </w:r>
            <w:r w:rsidRPr="006462E3">
              <w:rPr>
                <w:sz w:val="22"/>
                <w:szCs w:val="20"/>
              </w:rPr>
              <w:t xml:space="preserve"> próprio, de acordo com as instruções dadas pelo seu médico, enfermeiro ou farmacêutico</w:t>
            </w:r>
            <w:r>
              <w:rPr>
                <w:sz w:val="22"/>
                <w:szCs w:val="20"/>
              </w:rPr>
              <w:t xml:space="preserve">. </w:t>
            </w:r>
            <w:r w:rsidRPr="00825A68">
              <w:rPr>
                <w:b/>
                <w:sz w:val="22"/>
                <w:szCs w:val="20"/>
              </w:rPr>
              <w:t>Nunca</w:t>
            </w:r>
            <w:r>
              <w:rPr>
                <w:sz w:val="22"/>
                <w:szCs w:val="20"/>
              </w:rPr>
              <w:t xml:space="preserve"> voltar a colocar a tampa na agulha.</w:t>
            </w:r>
          </w:p>
          <w:p w14:paraId="6D0DA5BE" w14:textId="77777777" w:rsidR="00435AA4" w:rsidRPr="004F0FBC" w:rsidRDefault="00435AA4" w:rsidP="00D62E4B">
            <w:pPr>
              <w:keepNext/>
              <w:tabs>
                <w:tab w:val="left" w:pos="562"/>
              </w:tabs>
              <w:suppressAutoHyphens/>
              <w:rPr>
                <w:sz w:val="22"/>
                <w:szCs w:val="20"/>
              </w:rPr>
            </w:pPr>
          </w:p>
          <w:p w14:paraId="3F9C68A7" w14:textId="77777777" w:rsidR="00435AA4" w:rsidRPr="009A05BE" w:rsidRDefault="00615769" w:rsidP="00D62E4B">
            <w:pPr>
              <w:keepNext/>
              <w:numPr>
                <w:ilvl w:val="0"/>
                <w:numId w:val="99"/>
              </w:numPr>
              <w:suppressAutoHyphens/>
              <w:ind w:left="567" w:hanging="567"/>
              <w:rPr>
                <w:sz w:val="22"/>
                <w:szCs w:val="20"/>
              </w:rPr>
            </w:pPr>
            <w:r w:rsidRPr="006462E3">
              <w:rPr>
                <w:b/>
                <w:sz w:val="22"/>
                <w:szCs w:val="20"/>
              </w:rPr>
              <w:t xml:space="preserve">Não </w:t>
            </w:r>
            <w:r w:rsidRPr="006462E3">
              <w:rPr>
                <w:sz w:val="22"/>
                <w:szCs w:val="20"/>
              </w:rPr>
              <w:t xml:space="preserve">deite fora ou recicle a </w:t>
            </w:r>
            <w:r>
              <w:rPr>
                <w:sz w:val="22"/>
                <w:szCs w:val="20"/>
              </w:rPr>
              <w:t>seringa</w:t>
            </w:r>
            <w:r w:rsidRPr="006462E3">
              <w:rPr>
                <w:sz w:val="22"/>
                <w:szCs w:val="20"/>
              </w:rPr>
              <w:t xml:space="preserve"> pré-cheia no lixo doméstico</w:t>
            </w:r>
          </w:p>
          <w:p w14:paraId="6E67A79B" w14:textId="77777777" w:rsidR="00435AA4" w:rsidRPr="005F6F98" w:rsidRDefault="00615769" w:rsidP="00D62E4B">
            <w:pPr>
              <w:keepNext/>
              <w:numPr>
                <w:ilvl w:val="0"/>
                <w:numId w:val="99"/>
              </w:numPr>
              <w:suppressAutoHyphens/>
              <w:ind w:left="567" w:hanging="567"/>
              <w:rPr>
                <w:sz w:val="22"/>
                <w:szCs w:val="20"/>
              </w:rPr>
            </w:pPr>
            <w:r w:rsidRPr="00854C93">
              <w:rPr>
                <w:sz w:val="22"/>
                <w:szCs w:val="20"/>
              </w:rPr>
              <w:t xml:space="preserve">Manter </w:t>
            </w:r>
            <w:r w:rsidRPr="0089156B">
              <w:rPr>
                <w:b/>
                <w:sz w:val="22"/>
                <w:szCs w:val="20"/>
              </w:rPr>
              <w:t xml:space="preserve">sempre </w:t>
            </w:r>
            <w:r w:rsidRPr="000B3FE3">
              <w:rPr>
                <w:sz w:val="22"/>
                <w:szCs w:val="20"/>
              </w:rPr>
              <w:t xml:space="preserve">a </w:t>
            </w:r>
            <w:r>
              <w:rPr>
                <w:sz w:val="22"/>
                <w:szCs w:val="20"/>
              </w:rPr>
              <w:t>seringa</w:t>
            </w:r>
            <w:r w:rsidRPr="000B3FE3">
              <w:rPr>
                <w:sz w:val="22"/>
                <w:szCs w:val="20"/>
              </w:rPr>
              <w:t xml:space="preserve"> pré-cheia</w:t>
            </w:r>
            <w:r w:rsidRPr="000B3FE3">
              <w:rPr>
                <w:b/>
                <w:sz w:val="22"/>
                <w:szCs w:val="20"/>
              </w:rPr>
              <w:t xml:space="preserve"> </w:t>
            </w:r>
            <w:r w:rsidRPr="000B3FE3">
              <w:rPr>
                <w:sz w:val="22"/>
                <w:szCs w:val="20"/>
              </w:rPr>
              <w:t>e o recipient</w:t>
            </w:r>
            <w:r w:rsidRPr="004931CE">
              <w:rPr>
                <w:sz w:val="22"/>
                <w:szCs w:val="20"/>
              </w:rPr>
              <w:t>e</w:t>
            </w:r>
            <w:r w:rsidRPr="00653128">
              <w:rPr>
                <w:sz w:val="22"/>
                <w:szCs w:val="20"/>
              </w:rPr>
              <w:t xml:space="preserve"> próprio for</w:t>
            </w:r>
            <w:r w:rsidRPr="002D4DE5">
              <w:rPr>
                <w:sz w:val="22"/>
                <w:szCs w:val="20"/>
              </w:rPr>
              <w:t>a</w:t>
            </w:r>
            <w:r w:rsidRPr="00003560">
              <w:rPr>
                <w:sz w:val="22"/>
                <w:szCs w:val="20"/>
              </w:rPr>
              <w:t xml:space="preserve"> </w:t>
            </w:r>
            <w:r w:rsidRPr="005F6F98">
              <w:rPr>
                <w:sz w:val="22"/>
                <w:szCs w:val="20"/>
              </w:rPr>
              <w:t>da vista e do alcance das crianças</w:t>
            </w:r>
          </w:p>
          <w:p w14:paraId="1995D674" w14:textId="77777777" w:rsidR="00435AA4" w:rsidRDefault="00435AA4" w:rsidP="00D62E4B">
            <w:pPr>
              <w:keepNext/>
              <w:tabs>
                <w:tab w:val="left" w:pos="562"/>
              </w:tabs>
              <w:suppressAutoHyphens/>
              <w:rPr>
                <w:sz w:val="22"/>
                <w:szCs w:val="22"/>
              </w:rPr>
            </w:pPr>
          </w:p>
          <w:p w14:paraId="2450DE68" w14:textId="77777777" w:rsidR="00435AA4" w:rsidRPr="008B0DDF" w:rsidRDefault="00615769" w:rsidP="00D62E4B">
            <w:pPr>
              <w:keepNext/>
              <w:tabs>
                <w:tab w:val="left" w:pos="562"/>
              </w:tabs>
              <w:suppressAutoHyphens/>
              <w:rPr>
                <w:sz w:val="22"/>
                <w:szCs w:val="20"/>
              </w:rPr>
            </w:pPr>
            <w:r w:rsidRPr="002B2441">
              <w:rPr>
                <w:sz w:val="22"/>
                <w:szCs w:val="22"/>
              </w:rPr>
              <w:t xml:space="preserve">As tampas, a compressa embebida em </w:t>
            </w:r>
            <w:r w:rsidRPr="00B830EC">
              <w:rPr>
                <w:sz w:val="22"/>
                <w:szCs w:val="22"/>
              </w:rPr>
              <w:t>álcool</w:t>
            </w:r>
            <w:r w:rsidRPr="008B0DDF">
              <w:rPr>
                <w:sz w:val="22"/>
                <w:szCs w:val="22"/>
              </w:rPr>
              <w:t>, o algodão, a gaze, o blister e a embalagem, podem ser deitados fora no lixo doméstico.</w:t>
            </w:r>
          </w:p>
        </w:tc>
      </w:tr>
    </w:tbl>
    <w:p w14:paraId="0603EA30" w14:textId="77777777" w:rsidR="00A710A1" w:rsidRDefault="00A710A1" w:rsidP="00435AA4">
      <w:pPr>
        <w:rPr>
          <w:sz w:val="22"/>
          <w:szCs w:val="22"/>
        </w:rPr>
      </w:pPr>
    </w:p>
    <w:p w14:paraId="5F3BEAE2" w14:textId="77777777" w:rsidR="00A710A1" w:rsidRDefault="00615769">
      <w:pPr>
        <w:spacing w:after="200" w:line="276" w:lineRule="auto"/>
        <w:rPr>
          <w:sz w:val="22"/>
          <w:szCs w:val="22"/>
        </w:rPr>
      </w:pPr>
      <w:r>
        <w:rPr>
          <w:sz w:val="22"/>
          <w:szCs w:val="22"/>
        </w:rPr>
        <w:br w:type="page"/>
      </w:r>
    </w:p>
    <w:p w14:paraId="18AEC9D4" w14:textId="091B9477" w:rsidR="004462A0" w:rsidRPr="000A0D77" w:rsidRDefault="00615769" w:rsidP="00F03C54">
      <w:pPr>
        <w:spacing w:after="200" w:line="276" w:lineRule="auto"/>
        <w:jc w:val="center"/>
        <w:rPr>
          <w:del w:id="12611" w:author="AbbVie2" w:date="2025-05-14T10:22:00Z"/>
          <w:b/>
          <w:sz w:val="22"/>
          <w:szCs w:val="22"/>
        </w:rPr>
      </w:pPr>
      <w:del w:id="12612" w:author="AbbVie2" w:date="2025-05-14T10:22:00Z">
        <w:r w:rsidRPr="000A0D77">
          <w:rPr>
            <w:b/>
            <w:sz w:val="22"/>
            <w:szCs w:val="22"/>
          </w:rPr>
          <w:delText>Folheto informativo: Informação para o doente</w:delText>
        </w:r>
      </w:del>
    </w:p>
    <w:p w14:paraId="048188CF" w14:textId="021B4152" w:rsidR="004462A0" w:rsidRPr="008912CF" w:rsidRDefault="004462A0" w:rsidP="004462A0">
      <w:pPr>
        <w:suppressAutoHyphens/>
        <w:ind w:left="567" w:hanging="567"/>
        <w:jc w:val="center"/>
        <w:rPr>
          <w:del w:id="12613" w:author="AbbVie2" w:date="2025-05-14T10:22:00Z"/>
          <w:sz w:val="22"/>
          <w:szCs w:val="22"/>
        </w:rPr>
      </w:pPr>
    </w:p>
    <w:p w14:paraId="786A28EA" w14:textId="36B9072C" w:rsidR="004462A0" w:rsidRPr="008912CF" w:rsidRDefault="00615769">
      <w:pPr>
        <w:jc w:val="center"/>
        <w:rPr>
          <w:del w:id="12614" w:author="AbbVie2" w:date="2025-05-14T10:22:00Z"/>
          <w:b/>
          <w:sz w:val="22"/>
          <w:szCs w:val="22"/>
        </w:rPr>
      </w:pPr>
      <w:del w:id="12615" w:author="AbbVie2" w:date="2025-05-14T10:22:00Z">
        <w:r w:rsidRPr="008912CF">
          <w:rPr>
            <w:b/>
            <w:sz w:val="22"/>
            <w:szCs w:val="22"/>
          </w:rPr>
          <w:delText xml:space="preserve">Humira </w:delText>
        </w:r>
        <w:r w:rsidRPr="008912CF">
          <w:rPr>
            <w:b/>
            <w:bCs/>
            <w:sz w:val="22"/>
            <w:szCs w:val="22"/>
          </w:rPr>
          <w:delText>40 mg/0,8 ml solução injetável</w:delText>
        </w:r>
        <w:r w:rsidR="00A710A1">
          <w:rPr>
            <w:b/>
            <w:bCs/>
            <w:sz w:val="22"/>
            <w:szCs w:val="22"/>
          </w:rPr>
          <w:delText xml:space="preserve"> </w:delText>
        </w:r>
        <w:r w:rsidRPr="008912CF">
          <w:rPr>
            <w:b/>
            <w:bCs/>
            <w:sz w:val="22"/>
            <w:szCs w:val="22"/>
          </w:rPr>
          <w:delText xml:space="preserve">em frasco para injetáveis </w:delText>
        </w:r>
      </w:del>
    </w:p>
    <w:p w14:paraId="1BB0904C" w14:textId="1D7FA752" w:rsidR="004462A0" w:rsidRPr="008912CF" w:rsidRDefault="00615769">
      <w:pPr>
        <w:jc w:val="center"/>
        <w:rPr>
          <w:del w:id="12616" w:author="AbbVie2" w:date="2025-05-14T10:22:00Z"/>
          <w:bCs/>
          <w:sz w:val="22"/>
          <w:szCs w:val="22"/>
        </w:rPr>
      </w:pPr>
      <w:del w:id="12617" w:author="AbbVie2" w:date="2025-05-14T10:22:00Z">
        <w:r w:rsidRPr="008912CF">
          <w:rPr>
            <w:bCs/>
            <w:sz w:val="22"/>
            <w:szCs w:val="22"/>
          </w:rPr>
          <w:delText>adalimumab</w:delText>
        </w:r>
      </w:del>
    </w:p>
    <w:p w14:paraId="5F9C6DAD" w14:textId="4542ACE9" w:rsidR="004462A0" w:rsidRPr="008912CF" w:rsidRDefault="004462A0" w:rsidP="004462A0">
      <w:pPr>
        <w:jc w:val="center"/>
        <w:rPr>
          <w:del w:id="12618" w:author="AbbVie2" w:date="2025-05-14T10:22:00Z"/>
          <w:bCs/>
          <w:sz w:val="22"/>
          <w:szCs w:val="22"/>
        </w:rPr>
      </w:pPr>
    </w:p>
    <w:p w14:paraId="0F287D49" w14:textId="012E837D" w:rsidR="004462A0" w:rsidRPr="008912CF" w:rsidRDefault="00615769" w:rsidP="004462A0">
      <w:pPr>
        <w:ind w:right="-2"/>
        <w:rPr>
          <w:del w:id="12619" w:author="AbbVie2" w:date="2025-05-14T10:22:00Z"/>
          <w:sz w:val="22"/>
          <w:szCs w:val="22"/>
        </w:rPr>
      </w:pPr>
      <w:del w:id="12620" w:author="AbbVie2" w:date="2025-05-14T10:22:00Z">
        <w:r w:rsidRPr="008912CF">
          <w:rPr>
            <w:b/>
            <w:sz w:val="22"/>
            <w:szCs w:val="22"/>
          </w:rPr>
          <w:delText>Leia com atenção todo este folheto antes de a sua criança começar a utilizar este medicamento, pois contém informação importante para si.</w:delText>
        </w:r>
      </w:del>
    </w:p>
    <w:p w14:paraId="1F5B2187" w14:textId="1A9FEBC6" w:rsidR="004462A0" w:rsidRPr="008912CF" w:rsidRDefault="00615769" w:rsidP="004462A0">
      <w:pPr>
        <w:numPr>
          <w:ilvl w:val="0"/>
          <w:numId w:val="19"/>
        </w:numPr>
        <w:ind w:right="-2"/>
        <w:rPr>
          <w:del w:id="12621" w:author="AbbVie2" w:date="2025-05-14T10:22:00Z"/>
          <w:sz w:val="22"/>
          <w:szCs w:val="22"/>
        </w:rPr>
      </w:pPr>
      <w:del w:id="12622" w:author="AbbVie2" w:date="2025-05-14T10:22:00Z">
        <w:r w:rsidRPr="008912CF">
          <w:rPr>
            <w:sz w:val="22"/>
            <w:szCs w:val="22"/>
          </w:rPr>
          <w:delText>Conserve este folheto. Pode ter necessidade de o ler novamente.</w:delText>
        </w:r>
      </w:del>
    </w:p>
    <w:p w14:paraId="062200E1" w14:textId="64977ACA" w:rsidR="004462A0" w:rsidRPr="008912CF" w:rsidRDefault="00615769" w:rsidP="004462A0">
      <w:pPr>
        <w:numPr>
          <w:ilvl w:val="0"/>
          <w:numId w:val="19"/>
        </w:numPr>
        <w:ind w:right="-2"/>
        <w:rPr>
          <w:del w:id="12623" w:author="AbbVie2" w:date="2025-05-14T10:22:00Z"/>
          <w:sz w:val="22"/>
          <w:szCs w:val="22"/>
        </w:rPr>
      </w:pPr>
      <w:del w:id="12624" w:author="AbbVie2" w:date="2025-05-14T10:22:00Z">
        <w:r w:rsidRPr="008912CF">
          <w:rPr>
            <w:sz w:val="22"/>
            <w:szCs w:val="22"/>
          </w:rPr>
          <w:delText xml:space="preserve">O seu médico vai dar-lhe também um </w:delText>
        </w:r>
        <w:r w:rsidRPr="0083458C">
          <w:rPr>
            <w:b/>
            <w:sz w:val="22"/>
            <w:szCs w:val="22"/>
          </w:rPr>
          <w:delText>Cartão de Segurança do Doente</w:delText>
        </w:r>
        <w:r w:rsidRPr="008912CF">
          <w:rPr>
            <w:sz w:val="22"/>
            <w:szCs w:val="22"/>
          </w:rPr>
          <w:delText xml:space="preserve">, que contém informação de segurança importante que precisa conhecer, antes e durante o tratamento da sua criança com Humira. Mantenha o </w:delText>
        </w:r>
        <w:r w:rsidRPr="0083458C">
          <w:rPr>
            <w:b/>
            <w:sz w:val="22"/>
            <w:szCs w:val="22"/>
          </w:rPr>
          <w:delText>Cartão de Segurança do Doente</w:delText>
        </w:r>
        <w:r w:rsidRPr="008912CF">
          <w:rPr>
            <w:sz w:val="22"/>
            <w:szCs w:val="22"/>
          </w:rPr>
          <w:delText xml:space="preserve"> consigo ou com a sua criança.</w:delText>
        </w:r>
      </w:del>
    </w:p>
    <w:p w14:paraId="61885A21" w14:textId="3829348F" w:rsidR="004462A0" w:rsidRPr="008912CF" w:rsidRDefault="00615769" w:rsidP="004462A0">
      <w:pPr>
        <w:numPr>
          <w:ilvl w:val="0"/>
          <w:numId w:val="20"/>
        </w:numPr>
        <w:ind w:right="-2"/>
        <w:rPr>
          <w:del w:id="12625" w:author="AbbVie2" w:date="2025-05-14T10:22:00Z"/>
          <w:sz w:val="22"/>
          <w:szCs w:val="22"/>
        </w:rPr>
      </w:pPr>
      <w:del w:id="12626" w:author="AbbVie2" w:date="2025-05-14T10:22:00Z">
        <w:r w:rsidRPr="008912CF">
          <w:rPr>
            <w:sz w:val="22"/>
            <w:szCs w:val="22"/>
          </w:rPr>
          <w:delText>Caso ainda tenha dúvidas, fale com o seu médico ou farmacêutico.</w:delText>
        </w:r>
      </w:del>
    </w:p>
    <w:p w14:paraId="46F68C23" w14:textId="5B236A5C" w:rsidR="004462A0" w:rsidRPr="008912CF" w:rsidRDefault="00615769" w:rsidP="004462A0">
      <w:pPr>
        <w:numPr>
          <w:ilvl w:val="0"/>
          <w:numId w:val="21"/>
        </w:numPr>
        <w:ind w:right="-2"/>
        <w:rPr>
          <w:del w:id="12627" w:author="AbbVie2" w:date="2025-05-14T10:22:00Z"/>
          <w:b/>
          <w:sz w:val="22"/>
          <w:szCs w:val="22"/>
        </w:rPr>
      </w:pPr>
      <w:del w:id="12628" w:author="AbbVie2" w:date="2025-05-14T10:22:00Z">
        <w:r w:rsidRPr="008912CF">
          <w:rPr>
            <w:sz w:val="22"/>
            <w:szCs w:val="22"/>
          </w:rPr>
          <w:delText>Este medicamento foi receitado apenas para a sua criança. Não deve dá-lo a outros. O medicamento pode ser-lhes prejudicial mesmo que apresentem os mesmos sinais de doença da sua criança.</w:delText>
        </w:r>
      </w:del>
    </w:p>
    <w:p w14:paraId="7B6B06FC" w14:textId="0B605E41" w:rsidR="004462A0" w:rsidRPr="008912CF" w:rsidRDefault="00615769" w:rsidP="004462A0">
      <w:pPr>
        <w:numPr>
          <w:ilvl w:val="0"/>
          <w:numId w:val="21"/>
        </w:numPr>
        <w:ind w:right="-2"/>
        <w:rPr>
          <w:del w:id="12629" w:author="AbbVie2" w:date="2025-05-14T10:22:00Z"/>
          <w:b/>
          <w:sz w:val="22"/>
          <w:szCs w:val="22"/>
        </w:rPr>
      </w:pPr>
      <w:del w:id="12630" w:author="AbbVie2" w:date="2025-05-14T10:22:00Z">
        <w:r w:rsidRPr="008912CF">
          <w:rPr>
            <w:sz w:val="22"/>
            <w:szCs w:val="22"/>
          </w:rPr>
          <w:delText xml:space="preserve">Se a sua criança tiver quaisquer efeitos </w:delText>
        </w:r>
        <w:r w:rsidR="00571C82">
          <w:rPr>
            <w:sz w:val="22"/>
            <w:szCs w:val="22"/>
          </w:rPr>
          <w:delText>indesejáveis</w:delText>
        </w:r>
        <w:r w:rsidRPr="008912CF">
          <w:rPr>
            <w:sz w:val="22"/>
            <w:szCs w:val="22"/>
          </w:rPr>
          <w:delText xml:space="preserve">, incluindo possíveis efeitos </w:delText>
        </w:r>
        <w:r w:rsidR="00571C82">
          <w:rPr>
            <w:sz w:val="22"/>
            <w:szCs w:val="22"/>
          </w:rPr>
          <w:delText>indesejáveis</w:delText>
        </w:r>
        <w:r w:rsidRPr="008912CF">
          <w:rPr>
            <w:sz w:val="22"/>
            <w:szCs w:val="22"/>
          </w:rPr>
          <w:delText xml:space="preserve"> não indicados neste folheto, informe o médico ou farmacêutico da sua criança (ver secção 4).</w:delText>
        </w:r>
      </w:del>
    </w:p>
    <w:p w14:paraId="53F7DD71" w14:textId="0B0CA794" w:rsidR="004462A0" w:rsidRPr="008912CF" w:rsidRDefault="004462A0" w:rsidP="004462A0">
      <w:pPr>
        <w:ind w:right="-2"/>
        <w:rPr>
          <w:del w:id="12631" w:author="AbbVie2" w:date="2025-05-14T10:22:00Z"/>
          <w:sz w:val="22"/>
          <w:szCs w:val="22"/>
          <w:u w:val="single"/>
        </w:rPr>
      </w:pPr>
    </w:p>
    <w:p w14:paraId="66F72778" w14:textId="550013BB" w:rsidR="004462A0" w:rsidRPr="009B21DC" w:rsidRDefault="00615769" w:rsidP="004462A0">
      <w:pPr>
        <w:ind w:right="-2"/>
        <w:rPr>
          <w:del w:id="12632" w:author="AbbVie2" w:date="2025-05-14T10:22:00Z"/>
          <w:sz w:val="22"/>
          <w:szCs w:val="22"/>
        </w:rPr>
      </w:pPr>
      <w:del w:id="12633" w:author="AbbVie2" w:date="2025-05-14T10:22:00Z">
        <w:r w:rsidRPr="00F1550B">
          <w:rPr>
            <w:b/>
            <w:sz w:val="22"/>
            <w:szCs w:val="22"/>
          </w:rPr>
          <w:delText>O que contém este folheto</w:delText>
        </w:r>
        <w:r w:rsidRPr="009B21DC">
          <w:rPr>
            <w:sz w:val="22"/>
            <w:szCs w:val="22"/>
          </w:rPr>
          <w:delText xml:space="preserve"> </w:delText>
        </w:r>
      </w:del>
    </w:p>
    <w:p w14:paraId="32B20441" w14:textId="05C2A29C" w:rsidR="004462A0" w:rsidRPr="008912CF" w:rsidRDefault="00615769" w:rsidP="004462A0">
      <w:pPr>
        <w:ind w:left="567" w:right="-28" w:hanging="567"/>
        <w:rPr>
          <w:del w:id="12634" w:author="AbbVie2" w:date="2025-05-14T10:22:00Z"/>
          <w:sz w:val="22"/>
          <w:szCs w:val="22"/>
        </w:rPr>
      </w:pPr>
      <w:del w:id="12635" w:author="AbbVie2" w:date="2025-05-14T10:22:00Z">
        <w:r w:rsidRPr="008912CF">
          <w:rPr>
            <w:sz w:val="22"/>
            <w:szCs w:val="22"/>
          </w:rPr>
          <w:delText>1.</w:delText>
        </w:r>
        <w:r w:rsidRPr="008912CF">
          <w:rPr>
            <w:sz w:val="22"/>
            <w:szCs w:val="22"/>
          </w:rPr>
          <w:tab/>
          <w:delText xml:space="preserve">O que é Humira e para que é utilizado </w:delText>
        </w:r>
      </w:del>
    </w:p>
    <w:p w14:paraId="725A0D66" w14:textId="4A7B8BDA" w:rsidR="004462A0" w:rsidRPr="008912CF" w:rsidRDefault="00615769" w:rsidP="004462A0">
      <w:pPr>
        <w:ind w:left="567" w:right="-29" w:hanging="567"/>
        <w:rPr>
          <w:del w:id="12636" w:author="AbbVie2" w:date="2025-05-14T10:22:00Z"/>
          <w:sz w:val="22"/>
          <w:szCs w:val="22"/>
        </w:rPr>
      </w:pPr>
      <w:del w:id="12637" w:author="AbbVie2" w:date="2025-05-14T10:22:00Z">
        <w:r w:rsidRPr="008912CF">
          <w:rPr>
            <w:sz w:val="22"/>
            <w:szCs w:val="22"/>
          </w:rPr>
          <w:delText>2.</w:delText>
        </w:r>
        <w:r w:rsidRPr="008912CF">
          <w:rPr>
            <w:sz w:val="22"/>
            <w:szCs w:val="22"/>
          </w:rPr>
          <w:tab/>
          <w:delText>O que precisa de saber antes d</w:delText>
        </w:r>
        <w:r w:rsidR="001E4A60">
          <w:rPr>
            <w:sz w:val="22"/>
            <w:szCs w:val="22"/>
          </w:rPr>
          <w:delText>a sua criança</w:delText>
        </w:r>
        <w:r w:rsidRPr="008912CF">
          <w:rPr>
            <w:sz w:val="22"/>
            <w:szCs w:val="22"/>
          </w:rPr>
          <w:delText xml:space="preserve"> utilizar Humira</w:delText>
        </w:r>
      </w:del>
    </w:p>
    <w:p w14:paraId="03C0EF74" w14:textId="253BF92E" w:rsidR="004462A0" w:rsidRPr="008912CF" w:rsidRDefault="00615769" w:rsidP="004462A0">
      <w:pPr>
        <w:ind w:left="567" w:right="-29" w:hanging="567"/>
        <w:rPr>
          <w:del w:id="12638" w:author="AbbVie2" w:date="2025-05-14T10:22:00Z"/>
          <w:sz w:val="22"/>
          <w:szCs w:val="22"/>
        </w:rPr>
      </w:pPr>
      <w:del w:id="12639" w:author="AbbVie2" w:date="2025-05-14T10:22:00Z">
        <w:r w:rsidRPr="008912CF">
          <w:rPr>
            <w:sz w:val="22"/>
            <w:szCs w:val="22"/>
          </w:rPr>
          <w:delText>3.</w:delText>
        </w:r>
        <w:r w:rsidRPr="008912CF">
          <w:rPr>
            <w:sz w:val="22"/>
            <w:szCs w:val="22"/>
          </w:rPr>
          <w:tab/>
          <w:delText>Como utilizar Humira</w:delText>
        </w:r>
      </w:del>
    </w:p>
    <w:p w14:paraId="1BAEF01D" w14:textId="3B2E1C3C" w:rsidR="004462A0" w:rsidRPr="008912CF" w:rsidRDefault="00615769" w:rsidP="004462A0">
      <w:pPr>
        <w:ind w:left="567" w:right="-29" w:hanging="567"/>
        <w:rPr>
          <w:del w:id="12640" w:author="AbbVie2" w:date="2025-05-14T10:22:00Z"/>
          <w:sz w:val="22"/>
          <w:szCs w:val="22"/>
        </w:rPr>
      </w:pPr>
      <w:del w:id="12641" w:author="AbbVie2" w:date="2025-05-14T10:22:00Z">
        <w:r w:rsidRPr="008912CF">
          <w:rPr>
            <w:sz w:val="22"/>
            <w:szCs w:val="22"/>
          </w:rPr>
          <w:delText>4.</w:delText>
        </w:r>
        <w:r w:rsidRPr="008912CF">
          <w:rPr>
            <w:sz w:val="22"/>
            <w:szCs w:val="22"/>
          </w:rPr>
          <w:tab/>
          <w:delText xml:space="preserve">Efeitos </w:delText>
        </w:r>
        <w:r w:rsidR="00571C82">
          <w:rPr>
            <w:sz w:val="22"/>
            <w:szCs w:val="22"/>
          </w:rPr>
          <w:delText>indesejáveis</w:delText>
        </w:r>
        <w:r w:rsidRPr="008912CF">
          <w:rPr>
            <w:sz w:val="22"/>
            <w:szCs w:val="22"/>
          </w:rPr>
          <w:delText xml:space="preserve"> possíveis </w:delText>
        </w:r>
      </w:del>
    </w:p>
    <w:p w14:paraId="213E3A24" w14:textId="158539E6" w:rsidR="004462A0" w:rsidRPr="008912CF" w:rsidRDefault="00615769" w:rsidP="004462A0">
      <w:pPr>
        <w:ind w:left="567" w:right="-29" w:hanging="567"/>
        <w:rPr>
          <w:del w:id="12642" w:author="AbbVie2" w:date="2025-05-14T10:22:00Z"/>
          <w:sz w:val="22"/>
          <w:szCs w:val="22"/>
        </w:rPr>
      </w:pPr>
      <w:del w:id="12643" w:author="AbbVie2" w:date="2025-05-14T10:22:00Z">
        <w:r w:rsidRPr="008912CF">
          <w:rPr>
            <w:sz w:val="22"/>
            <w:szCs w:val="22"/>
          </w:rPr>
          <w:delText>5.</w:delText>
        </w:r>
        <w:r w:rsidRPr="008912CF">
          <w:rPr>
            <w:sz w:val="22"/>
            <w:szCs w:val="22"/>
          </w:rPr>
          <w:tab/>
          <w:delText>Como conservar Humira</w:delText>
        </w:r>
      </w:del>
    </w:p>
    <w:p w14:paraId="6B4933FE" w14:textId="4518CF5E" w:rsidR="004462A0" w:rsidRPr="008912CF" w:rsidRDefault="00615769" w:rsidP="004462A0">
      <w:pPr>
        <w:ind w:left="567" w:right="-29" w:hanging="567"/>
        <w:rPr>
          <w:del w:id="12644" w:author="AbbVie2" w:date="2025-05-14T10:22:00Z"/>
          <w:sz w:val="22"/>
          <w:szCs w:val="22"/>
        </w:rPr>
      </w:pPr>
      <w:del w:id="12645" w:author="AbbVie2" w:date="2025-05-14T10:22:00Z">
        <w:r w:rsidRPr="008912CF">
          <w:rPr>
            <w:sz w:val="22"/>
            <w:szCs w:val="22"/>
          </w:rPr>
          <w:delText>6.</w:delText>
        </w:r>
        <w:r w:rsidRPr="008912CF">
          <w:rPr>
            <w:sz w:val="22"/>
            <w:szCs w:val="22"/>
          </w:rPr>
          <w:tab/>
          <w:delText xml:space="preserve">Conteúdo da embalagem e outras informações </w:delText>
        </w:r>
      </w:del>
    </w:p>
    <w:p w14:paraId="725C8AF6" w14:textId="63D83139" w:rsidR="004462A0" w:rsidRPr="008912CF" w:rsidRDefault="004462A0" w:rsidP="004462A0">
      <w:pPr>
        <w:ind w:right="-2"/>
        <w:rPr>
          <w:del w:id="12646" w:author="AbbVie2" w:date="2025-05-14T10:22:00Z"/>
          <w:sz w:val="22"/>
          <w:szCs w:val="22"/>
        </w:rPr>
      </w:pPr>
    </w:p>
    <w:p w14:paraId="634BEA96" w14:textId="77E53D02" w:rsidR="004462A0" w:rsidRPr="008912CF" w:rsidRDefault="004462A0" w:rsidP="004462A0">
      <w:pPr>
        <w:ind w:right="-2"/>
        <w:rPr>
          <w:del w:id="12647" w:author="AbbVie2" w:date="2025-05-14T10:22:00Z"/>
          <w:sz w:val="22"/>
          <w:szCs w:val="22"/>
        </w:rPr>
      </w:pPr>
    </w:p>
    <w:p w14:paraId="727379FF" w14:textId="1B5F623B" w:rsidR="004462A0" w:rsidRPr="008912CF" w:rsidRDefault="00615769" w:rsidP="004462A0">
      <w:pPr>
        <w:ind w:right="-2"/>
        <w:rPr>
          <w:del w:id="12648" w:author="AbbVie2" w:date="2025-05-14T10:22:00Z"/>
          <w:sz w:val="22"/>
          <w:szCs w:val="22"/>
        </w:rPr>
      </w:pPr>
      <w:del w:id="12649" w:author="AbbVie2" w:date="2025-05-14T10:22:00Z">
        <w:r w:rsidRPr="008912CF">
          <w:rPr>
            <w:b/>
            <w:sz w:val="22"/>
            <w:szCs w:val="22"/>
          </w:rPr>
          <w:delText>1.</w:delText>
        </w:r>
        <w:r w:rsidRPr="008912CF">
          <w:rPr>
            <w:b/>
            <w:sz w:val="22"/>
            <w:szCs w:val="22"/>
          </w:rPr>
          <w:tab/>
          <w:delText xml:space="preserve">O que é Humira e para que é utilizado </w:delText>
        </w:r>
      </w:del>
    </w:p>
    <w:p w14:paraId="531C0EFE" w14:textId="2E7FF081" w:rsidR="007D762F" w:rsidRPr="007D762F" w:rsidRDefault="00615769" w:rsidP="007D762F">
      <w:pPr>
        <w:ind w:right="-2"/>
        <w:rPr>
          <w:del w:id="12650" w:author="AbbVie2" w:date="2025-05-14T10:22:00Z"/>
          <w:sz w:val="22"/>
          <w:szCs w:val="22"/>
        </w:rPr>
      </w:pPr>
      <w:del w:id="12651" w:author="AbbVie2" w:date="2025-05-14T10:22:00Z">
        <w:r w:rsidRPr="007D762F">
          <w:rPr>
            <w:sz w:val="22"/>
            <w:szCs w:val="22"/>
          </w:rPr>
          <w:delText>Humira contém adalimumab como substância ativa.</w:delText>
        </w:r>
      </w:del>
    </w:p>
    <w:p w14:paraId="7677FAB7" w14:textId="7D3A4DEA" w:rsidR="007D762F" w:rsidRPr="007D762F" w:rsidRDefault="007D762F" w:rsidP="007D762F">
      <w:pPr>
        <w:ind w:right="-2"/>
        <w:rPr>
          <w:del w:id="12652" w:author="AbbVie2" w:date="2025-05-14T10:22:00Z"/>
          <w:sz w:val="22"/>
          <w:szCs w:val="22"/>
        </w:rPr>
      </w:pPr>
    </w:p>
    <w:p w14:paraId="73DA3384" w14:textId="79666CED" w:rsidR="007D762F" w:rsidRPr="007D762F" w:rsidRDefault="00615769" w:rsidP="007D762F">
      <w:pPr>
        <w:ind w:right="-2"/>
        <w:rPr>
          <w:del w:id="12653" w:author="AbbVie2" w:date="2025-05-14T10:22:00Z"/>
          <w:sz w:val="22"/>
          <w:szCs w:val="22"/>
        </w:rPr>
      </w:pPr>
      <w:del w:id="12654" w:author="AbbVie2" w:date="2025-05-14T10:22:00Z">
        <w:r w:rsidRPr="007D762F">
          <w:rPr>
            <w:sz w:val="22"/>
            <w:szCs w:val="22"/>
          </w:rPr>
          <w:delText>Humira é usado no tratamento da</w:delText>
        </w:r>
        <w:r w:rsidR="004C064C">
          <w:rPr>
            <w:sz w:val="22"/>
            <w:szCs w:val="22"/>
          </w:rPr>
          <w:delText>s</w:delText>
        </w:r>
        <w:r w:rsidRPr="007D762F">
          <w:rPr>
            <w:sz w:val="22"/>
            <w:szCs w:val="22"/>
          </w:rPr>
          <w:delText xml:space="preserve"> doenças inflamatórias abaixo descritas:</w:delText>
        </w:r>
      </w:del>
    </w:p>
    <w:p w14:paraId="14F744AB" w14:textId="2EA5C7B1" w:rsidR="007D762F" w:rsidRPr="007D762F" w:rsidRDefault="00615769" w:rsidP="007D762F">
      <w:pPr>
        <w:ind w:right="-2"/>
        <w:rPr>
          <w:del w:id="12655" w:author="AbbVie2" w:date="2025-05-14T10:22:00Z"/>
          <w:sz w:val="22"/>
          <w:szCs w:val="22"/>
        </w:rPr>
      </w:pPr>
      <w:del w:id="12656" w:author="AbbVie2" w:date="2025-05-14T10:22:00Z">
        <w:r w:rsidRPr="007D762F">
          <w:rPr>
            <w:sz w:val="22"/>
            <w:szCs w:val="22"/>
          </w:rPr>
          <w:delText>•</w:delText>
        </w:r>
        <w:r w:rsidRPr="007D762F">
          <w:rPr>
            <w:sz w:val="22"/>
            <w:szCs w:val="22"/>
          </w:rPr>
          <w:tab/>
          <w:delText xml:space="preserve">Artrite idiopática juvenil poliarticular  </w:delText>
        </w:r>
      </w:del>
    </w:p>
    <w:p w14:paraId="6D121562" w14:textId="4BF10A0E" w:rsidR="007D762F" w:rsidRPr="007D762F" w:rsidRDefault="00615769" w:rsidP="007D762F">
      <w:pPr>
        <w:ind w:right="-2"/>
        <w:rPr>
          <w:del w:id="12657" w:author="AbbVie2" w:date="2025-05-14T10:22:00Z"/>
          <w:sz w:val="22"/>
          <w:szCs w:val="22"/>
        </w:rPr>
      </w:pPr>
      <w:del w:id="12658" w:author="AbbVie2" w:date="2025-05-14T10:22:00Z">
        <w:r w:rsidRPr="007D762F">
          <w:rPr>
            <w:sz w:val="22"/>
            <w:szCs w:val="22"/>
          </w:rPr>
          <w:delText>•</w:delText>
        </w:r>
        <w:r w:rsidRPr="007D762F">
          <w:rPr>
            <w:sz w:val="22"/>
            <w:szCs w:val="22"/>
          </w:rPr>
          <w:tab/>
          <w:delText>Artrite relacionada com entesite</w:delText>
        </w:r>
      </w:del>
    </w:p>
    <w:p w14:paraId="69CB3275" w14:textId="31558378" w:rsidR="007D762F" w:rsidRDefault="00615769" w:rsidP="007D762F">
      <w:pPr>
        <w:ind w:right="-2"/>
        <w:rPr>
          <w:del w:id="12659" w:author="AbbVie2" w:date="2025-05-14T10:22:00Z"/>
          <w:sz w:val="22"/>
          <w:szCs w:val="22"/>
        </w:rPr>
      </w:pPr>
      <w:del w:id="12660" w:author="AbbVie2" w:date="2025-05-14T10:22:00Z">
        <w:r w:rsidRPr="007D762F">
          <w:rPr>
            <w:sz w:val="22"/>
            <w:szCs w:val="22"/>
          </w:rPr>
          <w:delText>•</w:delText>
        </w:r>
        <w:r w:rsidRPr="007D762F">
          <w:rPr>
            <w:sz w:val="22"/>
            <w:szCs w:val="22"/>
          </w:rPr>
          <w:tab/>
          <w:delText>Psoríase pediátrica em placas</w:delText>
        </w:r>
      </w:del>
    </w:p>
    <w:p w14:paraId="335B9509" w14:textId="1B32AF2D" w:rsidR="007D762F" w:rsidRPr="007D762F" w:rsidRDefault="00615769" w:rsidP="007D762F">
      <w:pPr>
        <w:ind w:right="-2"/>
        <w:rPr>
          <w:del w:id="12661" w:author="AbbVie2" w:date="2025-05-14T10:22:00Z"/>
          <w:sz w:val="22"/>
          <w:szCs w:val="22"/>
        </w:rPr>
      </w:pPr>
      <w:del w:id="12662" w:author="AbbVie2" w:date="2025-05-14T10:22:00Z">
        <w:r w:rsidRPr="007D762F">
          <w:rPr>
            <w:sz w:val="22"/>
            <w:szCs w:val="22"/>
          </w:rPr>
          <w:delText>•</w:delText>
        </w:r>
        <w:r w:rsidRPr="007D762F">
          <w:rPr>
            <w:sz w:val="22"/>
            <w:szCs w:val="22"/>
          </w:rPr>
          <w:tab/>
        </w:r>
        <w:r>
          <w:rPr>
            <w:sz w:val="22"/>
            <w:szCs w:val="22"/>
          </w:rPr>
          <w:delText xml:space="preserve">Hidradenite supurativa </w:delText>
        </w:r>
        <w:r w:rsidR="009F083F">
          <w:rPr>
            <w:sz w:val="22"/>
            <w:szCs w:val="22"/>
          </w:rPr>
          <w:delText xml:space="preserve">no </w:delText>
        </w:r>
        <w:r>
          <w:rPr>
            <w:sz w:val="22"/>
            <w:szCs w:val="22"/>
          </w:rPr>
          <w:delText>adolescente</w:delText>
        </w:r>
      </w:del>
    </w:p>
    <w:p w14:paraId="5B714EA3" w14:textId="2F50B2AA" w:rsidR="007D762F" w:rsidRDefault="00615769" w:rsidP="007D762F">
      <w:pPr>
        <w:ind w:right="-2"/>
        <w:rPr>
          <w:del w:id="12663" w:author="AbbVie2" w:date="2025-05-14T10:22:00Z"/>
          <w:sz w:val="22"/>
          <w:szCs w:val="22"/>
        </w:rPr>
      </w:pPr>
      <w:del w:id="12664" w:author="AbbVie2" w:date="2025-05-14T10:22:00Z">
        <w:r w:rsidRPr="007D762F">
          <w:rPr>
            <w:sz w:val="22"/>
            <w:szCs w:val="22"/>
          </w:rPr>
          <w:delText>•</w:delText>
        </w:r>
        <w:r w:rsidRPr="007D762F">
          <w:rPr>
            <w:sz w:val="22"/>
            <w:szCs w:val="22"/>
          </w:rPr>
          <w:tab/>
          <w:delText>Doença de Crohn pediátrica</w:delText>
        </w:r>
      </w:del>
    </w:p>
    <w:p w14:paraId="24E2B149" w14:textId="4705A9F3" w:rsidR="00AB387B" w:rsidRPr="007D762F" w:rsidRDefault="00615769" w:rsidP="007D762F">
      <w:pPr>
        <w:ind w:right="-2"/>
        <w:rPr>
          <w:del w:id="12665" w:author="AbbVie2" w:date="2025-05-14T10:22:00Z"/>
          <w:sz w:val="22"/>
          <w:szCs w:val="22"/>
        </w:rPr>
      </w:pPr>
      <w:del w:id="12666" w:author="AbbVie2" w:date="2025-05-14T10:22:00Z">
        <w:r w:rsidRPr="007D762F">
          <w:rPr>
            <w:sz w:val="22"/>
            <w:szCs w:val="22"/>
          </w:rPr>
          <w:delText>•</w:delText>
        </w:r>
        <w:r>
          <w:rPr>
            <w:sz w:val="22"/>
            <w:szCs w:val="22"/>
          </w:rPr>
          <w:tab/>
          <w:delText>Colite ulcerosa pediátrica</w:delText>
        </w:r>
      </w:del>
    </w:p>
    <w:p w14:paraId="27B810D7" w14:textId="56A15A69" w:rsidR="007D762F" w:rsidRPr="007D762F" w:rsidRDefault="00615769" w:rsidP="007D762F">
      <w:pPr>
        <w:ind w:right="-2"/>
        <w:rPr>
          <w:del w:id="12667" w:author="AbbVie2" w:date="2025-05-14T10:22:00Z"/>
          <w:sz w:val="22"/>
          <w:szCs w:val="22"/>
        </w:rPr>
      </w:pPr>
      <w:del w:id="12668" w:author="AbbVie2" w:date="2025-05-14T10:22:00Z">
        <w:r w:rsidRPr="007D762F">
          <w:rPr>
            <w:sz w:val="22"/>
            <w:szCs w:val="22"/>
          </w:rPr>
          <w:delText>•</w:delText>
        </w:r>
        <w:r w:rsidRPr="007D762F">
          <w:rPr>
            <w:sz w:val="22"/>
            <w:szCs w:val="22"/>
          </w:rPr>
          <w:tab/>
          <w:delText xml:space="preserve">Uveíte pediátrica </w:delText>
        </w:r>
      </w:del>
    </w:p>
    <w:p w14:paraId="5B6AE158" w14:textId="07165879" w:rsidR="007D762F" w:rsidRPr="007D762F" w:rsidRDefault="007D762F" w:rsidP="007D762F">
      <w:pPr>
        <w:ind w:right="-2"/>
        <w:rPr>
          <w:del w:id="12669" w:author="AbbVie2" w:date="2025-05-14T10:22:00Z"/>
          <w:sz w:val="22"/>
          <w:szCs w:val="22"/>
        </w:rPr>
      </w:pPr>
    </w:p>
    <w:p w14:paraId="2E53D39F" w14:textId="3EFF1DAE" w:rsidR="007D762F" w:rsidRPr="007D762F" w:rsidRDefault="00615769" w:rsidP="007D762F">
      <w:pPr>
        <w:ind w:right="-2"/>
        <w:rPr>
          <w:del w:id="12670" w:author="AbbVie2" w:date="2025-05-14T10:22:00Z"/>
          <w:sz w:val="22"/>
          <w:szCs w:val="22"/>
        </w:rPr>
      </w:pPr>
      <w:del w:id="12671" w:author="AbbVie2" w:date="2025-05-14T10:22:00Z">
        <w:r w:rsidRPr="007D762F">
          <w:rPr>
            <w:sz w:val="22"/>
            <w:szCs w:val="22"/>
          </w:rPr>
          <w:delText>A substância ativa de Humira, adalimumab, é um anticorpo monoclonal humano. Os anticorpos monoclonais são proteínas que se ligam a um alvo específico.</w:delText>
        </w:r>
      </w:del>
    </w:p>
    <w:p w14:paraId="60EA4EC1" w14:textId="5C227034" w:rsidR="007D762F" w:rsidRPr="007D762F" w:rsidRDefault="007D762F" w:rsidP="007D762F">
      <w:pPr>
        <w:ind w:right="-2"/>
        <w:rPr>
          <w:del w:id="12672" w:author="AbbVie2" w:date="2025-05-14T10:22:00Z"/>
          <w:sz w:val="22"/>
          <w:szCs w:val="22"/>
        </w:rPr>
      </w:pPr>
    </w:p>
    <w:p w14:paraId="17DC33B5" w14:textId="27D54693" w:rsidR="007D762F" w:rsidRDefault="00615769" w:rsidP="007D762F">
      <w:pPr>
        <w:ind w:right="-2"/>
        <w:rPr>
          <w:del w:id="12673" w:author="AbbVie2" w:date="2025-05-14T10:22:00Z"/>
          <w:sz w:val="22"/>
          <w:szCs w:val="22"/>
        </w:rPr>
      </w:pPr>
      <w:del w:id="12674" w:author="AbbVie2" w:date="2025-05-14T10:22:00Z">
        <w:r w:rsidRPr="007D762F">
          <w:rPr>
            <w:sz w:val="22"/>
            <w:szCs w:val="22"/>
          </w:rPr>
          <w:delText>O alvo de adalimumab é uma proteína denominada fator de necrose tumoral (TNFα), que está envolvida no sistema imunitário (</w:delText>
        </w:r>
        <w:r w:rsidR="009F083F">
          <w:rPr>
            <w:sz w:val="22"/>
            <w:szCs w:val="22"/>
          </w:rPr>
          <w:delText xml:space="preserve">de </w:delText>
        </w:r>
        <w:r w:rsidRPr="007D762F">
          <w:rPr>
            <w:sz w:val="22"/>
            <w:szCs w:val="22"/>
          </w:rPr>
          <w:delText>defesa) e está presente em níveis aumentados nas doenças inflamatórias a</w:delText>
        </w:r>
        <w:r w:rsidR="00816FFE">
          <w:rPr>
            <w:sz w:val="22"/>
            <w:szCs w:val="22"/>
          </w:rPr>
          <w:delText>cima</w:delText>
        </w:r>
        <w:r w:rsidRPr="007D762F">
          <w:rPr>
            <w:sz w:val="22"/>
            <w:szCs w:val="22"/>
          </w:rPr>
          <w:delText xml:space="preserve"> mencionadas. </w:delText>
        </w:r>
        <w:r w:rsidR="00D26B76">
          <w:rPr>
            <w:sz w:val="22"/>
            <w:szCs w:val="22"/>
          </w:rPr>
          <w:delText>Ao ligar-se</w:delText>
        </w:r>
        <w:r w:rsidRPr="007D762F">
          <w:rPr>
            <w:sz w:val="22"/>
            <w:szCs w:val="22"/>
          </w:rPr>
          <w:delText xml:space="preserve"> ao TNFα, Humira diminui o processo inflamatório destas doenças.</w:delText>
        </w:r>
      </w:del>
    </w:p>
    <w:p w14:paraId="75B86850" w14:textId="3C013B50" w:rsidR="004462A0" w:rsidRPr="008912CF" w:rsidRDefault="004462A0" w:rsidP="004462A0">
      <w:pPr>
        <w:ind w:right="-2"/>
        <w:rPr>
          <w:del w:id="12675" w:author="AbbVie2" w:date="2025-05-14T10:22:00Z"/>
          <w:sz w:val="22"/>
          <w:szCs w:val="22"/>
          <w:u w:val="single"/>
        </w:rPr>
      </w:pPr>
    </w:p>
    <w:p w14:paraId="3E86C2CB" w14:textId="2A7483A4" w:rsidR="004462A0" w:rsidRPr="008912CF" w:rsidRDefault="00615769" w:rsidP="004462A0">
      <w:pPr>
        <w:ind w:right="-2"/>
        <w:rPr>
          <w:del w:id="12676" w:author="AbbVie2" w:date="2025-05-14T10:22:00Z"/>
          <w:sz w:val="22"/>
          <w:szCs w:val="22"/>
          <w:u w:val="single"/>
        </w:rPr>
      </w:pPr>
      <w:bookmarkStart w:id="12677" w:name="OLE_LINK4"/>
      <w:del w:id="12678" w:author="AbbVie2" w:date="2025-05-14T10:22:00Z">
        <w:r w:rsidRPr="008912CF">
          <w:rPr>
            <w:sz w:val="22"/>
            <w:szCs w:val="22"/>
            <w:u w:val="single"/>
          </w:rPr>
          <w:delText>Artrite idiopática juvenil poliarticular e artrite relacionada com entesite</w:delText>
        </w:r>
      </w:del>
    </w:p>
    <w:p w14:paraId="52EBB7CB" w14:textId="52EAE1E0" w:rsidR="004462A0" w:rsidRPr="008912CF" w:rsidRDefault="004462A0" w:rsidP="004462A0">
      <w:pPr>
        <w:ind w:right="-2"/>
        <w:rPr>
          <w:del w:id="12679" w:author="AbbVie2" w:date="2025-05-14T10:22:00Z"/>
          <w:sz w:val="22"/>
          <w:szCs w:val="22"/>
        </w:rPr>
      </w:pPr>
    </w:p>
    <w:p w14:paraId="37F6BC9D" w14:textId="40A6544A" w:rsidR="004462A0" w:rsidRPr="008912CF" w:rsidRDefault="00615769" w:rsidP="004462A0">
      <w:pPr>
        <w:ind w:right="-2"/>
        <w:rPr>
          <w:del w:id="12680" w:author="AbbVie2" w:date="2025-05-14T10:22:00Z"/>
          <w:sz w:val="22"/>
          <w:szCs w:val="22"/>
          <w:u w:val="single"/>
        </w:rPr>
      </w:pPr>
      <w:del w:id="12681" w:author="AbbVie2" w:date="2025-05-14T10:22:00Z">
        <w:r w:rsidRPr="008912CF">
          <w:rPr>
            <w:sz w:val="22"/>
            <w:szCs w:val="22"/>
          </w:rPr>
          <w:delText>A artrite idiopática juvenil poliarticular e artrite relacionada com entesite são doenças inflamatórias.</w:delText>
        </w:r>
      </w:del>
    </w:p>
    <w:p w14:paraId="0FAEB306" w14:textId="47FC7C37" w:rsidR="004462A0" w:rsidRPr="008912CF" w:rsidRDefault="004462A0" w:rsidP="004462A0">
      <w:pPr>
        <w:pStyle w:val="BodyText3"/>
        <w:rPr>
          <w:del w:id="12682" w:author="AbbVie2" w:date="2025-05-14T10:22:00Z"/>
          <w:szCs w:val="22"/>
        </w:rPr>
      </w:pPr>
    </w:p>
    <w:p w14:paraId="3C169471" w14:textId="0F9E75FB" w:rsidR="004462A0" w:rsidRPr="008912CF" w:rsidRDefault="00615769">
      <w:pPr>
        <w:pStyle w:val="BodyText3"/>
        <w:rPr>
          <w:del w:id="12683" w:author="AbbVie2" w:date="2025-05-14T10:22:00Z"/>
          <w:szCs w:val="22"/>
        </w:rPr>
      </w:pPr>
      <w:del w:id="12684" w:author="AbbVie2" w:date="2025-05-14T10:22:00Z">
        <w:r w:rsidRPr="008912CF">
          <w:rPr>
            <w:szCs w:val="22"/>
          </w:rPr>
          <w:delText xml:space="preserve">Humira é usado no tratamento da artrite idiopática juvenil poliarticular e artrite relacionada com entesite. </w:delText>
        </w:r>
        <w:r w:rsidR="00D24F87">
          <w:rPr>
            <w:szCs w:val="22"/>
          </w:rPr>
          <w:delText>A sua criança</w:delText>
        </w:r>
        <w:r w:rsidRPr="008912CF">
          <w:rPr>
            <w:szCs w:val="22"/>
          </w:rPr>
          <w:delText xml:space="preserve"> pode ser tratad</w:delText>
        </w:r>
        <w:r w:rsidR="00D24F87">
          <w:rPr>
            <w:szCs w:val="22"/>
          </w:rPr>
          <w:delText>a</w:delText>
        </w:r>
        <w:r w:rsidRPr="008912CF">
          <w:rPr>
            <w:szCs w:val="22"/>
          </w:rPr>
          <w:delText xml:space="preserve"> inicialmente com outros medicamentos modificadores da doença, como por exemplo metotrexato. </w:delText>
        </w:r>
        <w:r w:rsidR="00135B54" w:rsidRPr="00135B54">
          <w:rPr>
            <w:szCs w:val="22"/>
          </w:rPr>
          <w:delText>Se estes medicamentos não funcionarem</w:delText>
        </w:r>
        <w:r w:rsidR="00135B54">
          <w:rPr>
            <w:szCs w:val="22"/>
          </w:rPr>
          <w:delText xml:space="preserve"> </w:delText>
        </w:r>
        <w:r w:rsidR="00135B54" w:rsidRPr="00135B54">
          <w:rPr>
            <w:szCs w:val="22"/>
          </w:rPr>
          <w:delText xml:space="preserve">suficientemente bem, </w:delText>
        </w:r>
        <w:r w:rsidR="00D24F87">
          <w:rPr>
            <w:szCs w:val="22"/>
          </w:rPr>
          <w:delText>a sua criança receberá</w:delText>
        </w:r>
        <w:r w:rsidR="00135B54" w:rsidRPr="00135B54">
          <w:rPr>
            <w:szCs w:val="22"/>
          </w:rPr>
          <w:delText xml:space="preserve"> </w:delText>
        </w:r>
        <w:r w:rsidR="00135B54">
          <w:rPr>
            <w:szCs w:val="22"/>
          </w:rPr>
          <w:delText>Humira</w:delText>
        </w:r>
        <w:r w:rsidRPr="008912CF">
          <w:rPr>
            <w:szCs w:val="22"/>
          </w:rPr>
          <w:delText xml:space="preserve"> para tratar a</w:delText>
        </w:r>
        <w:r w:rsidR="00801616">
          <w:rPr>
            <w:szCs w:val="22"/>
          </w:rPr>
          <w:delText xml:space="preserve"> sua</w:delText>
        </w:r>
        <w:r w:rsidRPr="008912CF">
          <w:rPr>
            <w:szCs w:val="22"/>
          </w:rPr>
          <w:delText xml:space="preserve"> artrite idiopática juvenil poliarticular ou artrite relacionada com entesite.</w:delText>
        </w:r>
        <w:bookmarkEnd w:id="12677"/>
      </w:del>
    </w:p>
    <w:p w14:paraId="494993C8" w14:textId="4D20E4EA" w:rsidR="004462A0" w:rsidRPr="008912CF" w:rsidRDefault="004462A0" w:rsidP="004462A0">
      <w:pPr>
        <w:rPr>
          <w:del w:id="12685" w:author="AbbVie2" w:date="2025-05-14T10:22:00Z"/>
          <w:sz w:val="22"/>
          <w:szCs w:val="22"/>
          <w:u w:val="single"/>
        </w:rPr>
      </w:pPr>
    </w:p>
    <w:p w14:paraId="26B74C9B" w14:textId="0E2A3D78" w:rsidR="004462A0" w:rsidRPr="008912CF" w:rsidRDefault="00615769" w:rsidP="004462A0">
      <w:pPr>
        <w:rPr>
          <w:del w:id="12686" w:author="AbbVie2" w:date="2025-05-14T10:22:00Z"/>
          <w:sz w:val="22"/>
          <w:szCs w:val="22"/>
          <w:u w:val="single"/>
        </w:rPr>
      </w:pPr>
      <w:del w:id="12687" w:author="AbbVie2" w:date="2025-05-14T10:22:00Z">
        <w:r w:rsidRPr="008912CF">
          <w:rPr>
            <w:sz w:val="22"/>
            <w:szCs w:val="22"/>
            <w:u w:val="single"/>
          </w:rPr>
          <w:delText>Psoríase pediátrica em placas</w:delText>
        </w:r>
      </w:del>
    </w:p>
    <w:p w14:paraId="61028DD4" w14:textId="0584E005" w:rsidR="004462A0" w:rsidRPr="008912CF" w:rsidRDefault="004462A0" w:rsidP="004462A0">
      <w:pPr>
        <w:rPr>
          <w:del w:id="12688" w:author="AbbVie2" w:date="2025-05-14T10:22:00Z"/>
          <w:sz w:val="22"/>
          <w:szCs w:val="22"/>
        </w:rPr>
      </w:pPr>
    </w:p>
    <w:p w14:paraId="3A07EEB5" w14:textId="7634F88B" w:rsidR="004462A0" w:rsidRPr="00F03C54" w:rsidRDefault="00615769" w:rsidP="00135B54">
      <w:pPr>
        <w:rPr>
          <w:del w:id="12689" w:author="AbbVie2" w:date="2025-05-14T10:22:00Z"/>
          <w:sz w:val="22"/>
          <w:szCs w:val="22"/>
        </w:rPr>
      </w:pPr>
      <w:del w:id="12690" w:author="AbbVie2" w:date="2025-05-14T10:22:00Z">
        <w:r w:rsidRPr="008912CF">
          <w:rPr>
            <w:sz w:val="22"/>
            <w:szCs w:val="22"/>
          </w:rPr>
          <w:delText xml:space="preserve">A psoríase em placas é uma doença da pele que provoca manchas avermelhadas, secas e com placas na pele, coberta de escamas prateadas. </w:delText>
        </w:r>
        <w:r w:rsidR="00135B54" w:rsidRPr="00135B54">
          <w:rPr>
            <w:sz w:val="22"/>
            <w:szCs w:val="22"/>
          </w:rPr>
          <w:delText>A psoríase em placas pode também afetar as unhas, causando a sua desintegração, tornando-as espessas e descoladas da base da unha, o que pode</w:delText>
        </w:r>
        <w:r w:rsidRPr="00F03C54">
          <w:rPr>
            <w:sz w:val="22"/>
            <w:szCs w:val="22"/>
          </w:rPr>
          <w:delText xml:space="preserve"> </w:delText>
        </w:r>
        <w:r w:rsidR="00135B54" w:rsidRPr="00F03C54">
          <w:rPr>
            <w:sz w:val="22"/>
            <w:szCs w:val="22"/>
          </w:rPr>
          <w:delText xml:space="preserve">ser doloroso. </w:delText>
        </w:r>
        <w:r w:rsidR="002740E6" w:rsidRPr="008912CF">
          <w:rPr>
            <w:sz w:val="22"/>
            <w:szCs w:val="22"/>
          </w:rPr>
          <w:delText>Pensa-se que a psoríase pode ser causada por alterações do sistema imunitário do corpo, que provocam um aumento da produção de células epiteliais.</w:delText>
        </w:r>
      </w:del>
    </w:p>
    <w:p w14:paraId="5D5D76C9" w14:textId="692FE55A" w:rsidR="004462A0" w:rsidRPr="008912CF" w:rsidRDefault="004462A0" w:rsidP="004462A0">
      <w:pPr>
        <w:rPr>
          <w:del w:id="12691" w:author="AbbVie2" w:date="2025-05-14T10:22:00Z"/>
          <w:sz w:val="22"/>
          <w:szCs w:val="22"/>
        </w:rPr>
      </w:pPr>
    </w:p>
    <w:p w14:paraId="65A2DF79" w14:textId="2FD0E301" w:rsidR="004462A0" w:rsidRPr="008912CF" w:rsidRDefault="00615769" w:rsidP="004462A0">
      <w:pPr>
        <w:ind w:right="-2"/>
        <w:rPr>
          <w:del w:id="12692" w:author="AbbVie2" w:date="2025-05-14T10:22:00Z"/>
          <w:sz w:val="22"/>
          <w:szCs w:val="22"/>
        </w:rPr>
      </w:pPr>
      <w:del w:id="12693" w:author="AbbVie2" w:date="2025-05-14T10:22:00Z">
        <w:r w:rsidRPr="008912CF">
          <w:rPr>
            <w:sz w:val="22"/>
            <w:szCs w:val="22"/>
          </w:rPr>
          <w:delText xml:space="preserve">Humira é usado no tratamento da psoríase em placas grave em crianças e adolescentes com idades entre os 4 e os 17 anos de idade, para os quais o tratamento tópico e fototerapias não resultaram ou são inadequados. </w:delText>
        </w:r>
      </w:del>
    </w:p>
    <w:p w14:paraId="346418B9" w14:textId="7BA1691D" w:rsidR="004462A0" w:rsidRPr="008912CF" w:rsidRDefault="004462A0" w:rsidP="004462A0">
      <w:pPr>
        <w:rPr>
          <w:del w:id="12694" w:author="AbbVie2" w:date="2025-05-14T10:22:00Z"/>
          <w:sz w:val="22"/>
          <w:szCs w:val="22"/>
        </w:rPr>
      </w:pPr>
    </w:p>
    <w:p w14:paraId="7F153D08" w14:textId="14B2C569" w:rsidR="004462A0" w:rsidRPr="001712F4" w:rsidRDefault="00615769" w:rsidP="004462A0">
      <w:pPr>
        <w:rPr>
          <w:del w:id="12695" w:author="AbbVie2" w:date="2025-05-14T10:22:00Z"/>
          <w:sz w:val="22"/>
          <w:szCs w:val="22"/>
          <w:u w:val="single"/>
        </w:rPr>
      </w:pPr>
      <w:del w:id="12696" w:author="AbbVie2" w:date="2025-05-14T10:22:00Z">
        <w:r w:rsidRPr="001712F4">
          <w:rPr>
            <w:sz w:val="22"/>
            <w:szCs w:val="22"/>
            <w:u w:val="single"/>
          </w:rPr>
          <w:delText>Hidradenite supurativa no adolescente</w:delText>
        </w:r>
      </w:del>
    </w:p>
    <w:p w14:paraId="6CD35536" w14:textId="294C0950" w:rsidR="004462A0" w:rsidRDefault="004462A0" w:rsidP="004462A0">
      <w:pPr>
        <w:rPr>
          <w:del w:id="12697" w:author="AbbVie2" w:date="2025-05-14T10:22:00Z"/>
          <w:sz w:val="22"/>
          <w:szCs w:val="22"/>
        </w:rPr>
      </w:pPr>
    </w:p>
    <w:p w14:paraId="0278FBD2" w14:textId="275A0121" w:rsidR="004462A0" w:rsidRPr="008912CF" w:rsidRDefault="00615769" w:rsidP="004462A0">
      <w:pPr>
        <w:ind w:right="-2"/>
        <w:rPr>
          <w:del w:id="12698" w:author="AbbVie2" w:date="2025-05-14T10:22:00Z"/>
          <w:sz w:val="22"/>
          <w:szCs w:val="22"/>
        </w:rPr>
      </w:pPr>
      <w:del w:id="12699" w:author="AbbVie2" w:date="2025-05-14T10:22:00Z">
        <w:r w:rsidRPr="008912CF">
          <w:rPr>
            <w:sz w:val="22"/>
            <w:szCs w:val="22"/>
          </w:rPr>
          <w:delText xml:space="preserve">Hidradenite supurativa (por vezes chamada </w:delText>
        </w:r>
        <w:r w:rsidRPr="006462E3">
          <w:rPr>
            <w:sz w:val="22"/>
            <w:szCs w:val="22"/>
          </w:rPr>
          <w:delText>hidrosadenite supurativa</w:delText>
        </w:r>
        <w:r w:rsidRPr="008912CF">
          <w:rPr>
            <w:sz w:val="22"/>
            <w:szCs w:val="22"/>
          </w:rPr>
          <w:delText xml:space="preserve"> </w:delText>
        </w:r>
        <w:r>
          <w:rPr>
            <w:sz w:val="22"/>
            <w:szCs w:val="22"/>
          </w:rPr>
          <w:delText xml:space="preserve">ou </w:delText>
        </w:r>
        <w:r w:rsidRPr="008912CF">
          <w:rPr>
            <w:sz w:val="22"/>
            <w:szCs w:val="22"/>
          </w:rPr>
          <w:delText xml:space="preserve">acne inversa) é uma doença inflamatória crónica da pele, muitas vezes dolorosa. Os sintomas podem incluir nódulos dolorosos (caroços) e abcessos (furúnculos) que podem libertar pus. Frequentemente afeta áreas da pele </w:delText>
        </w:r>
        <w:r w:rsidRPr="00F1550B">
          <w:rPr>
            <w:sz w:val="22"/>
            <w:szCs w:val="22"/>
          </w:rPr>
          <w:delText>específicas</w:delText>
        </w:r>
        <w:r w:rsidRPr="00794F26">
          <w:rPr>
            <w:sz w:val="22"/>
            <w:szCs w:val="22"/>
          </w:rPr>
          <w:delText>,</w:delText>
        </w:r>
        <w:r w:rsidRPr="008912CF">
          <w:rPr>
            <w:sz w:val="22"/>
            <w:szCs w:val="22"/>
          </w:rPr>
          <w:delText xml:space="preserve"> tais como a região inframamária (abaixo das mamas), axilas, coxas, virilhas e nádegas. Nas áreas afetadas, podem também surgir cicatrizes. </w:delText>
        </w:r>
      </w:del>
    </w:p>
    <w:p w14:paraId="76615CDC" w14:textId="42EA0D1B" w:rsidR="004462A0" w:rsidRPr="008912CF" w:rsidRDefault="004462A0" w:rsidP="004462A0">
      <w:pPr>
        <w:ind w:right="-2"/>
        <w:rPr>
          <w:del w:id="12700" w:author="AbbVie2" w:date="2025-05-14T10:22:00Z"/>
          <w:sz w:val="22"/>
          <w:szCs w:val="22"/>
        </w:rPr>
      </w:pPr>
    </w:p>
    <w:p w14:paraId="10345F42" w14:textId="4A72DF4B" w:rsidR="004462A0" w:rsidRDefault="00615769" w:rsidP="004462A0">
      <w:pPr>
        <w:ind w:right="-2"/>
        <w:rPr>
          <w:del w:id="12701" w:author="AbbVie2" w:date="2025-05-14T10:22:00Z"/>
          <w:sz w:val="22"/>
          <w:szCs w:val="22"/>
        </w:rPr>
      </w:pPr>
      <w:del w:id="12702" w:author="AbbVie2" w:date="2025-05-14T10:22:00Z">
        <w:r w:rsidRPr="008912CF">
          <w:rPr>
            <w:sz w:val="22"/>
            <w:szCs w:val="22"/>
          </w:rPr>
          <w:delText xml:space="preserve">Humira é usado no tratamento da hidradenite supurativa em </w:delText>
        </w:r>
        <w:r>
          <w:rPr>
            <w:sz w:val="22"/>
            <w:szCs w:val="22"/>
          </w:rPr>
          <w:delText>adolescentes a partir dos 12 anos de idade</w:delText>
        </w:r>
        <w:r w:rsidRPr="008912CF">
          <w:rPr>
            <w:sz w:val="22"/>
            <w:szCs w:val="22"/>
          </w:rPr>
          <w:delText>. Humira pode reduzir o número de nódulos e abcessos existentes, bem como a dor frequentemente associada com a doença.</w:delText>
        </w:r>
        <w:r>
          <w:rPr>
            <w:sz w:val="22"/>
            <w:szCs w:val="22"/>
          </w:rPr>
          <w:delText xml:space="preserve"> </w:delText>
        </w:r>
        <w:r w:rsidRPr="00653128">
          <w:rPr>
            <w:sz w:val="22"/>
            <w:szCs w:val="22"/>
          </w:rPr>
          <w:delText>Pode ser tratado inicialmente com outros medicamentos. Se não responder suficientemente bem a estes me</w:delText>
        </w:r>
        <w:r w:rsidRPr="00D33370">
          <w:rPr>
            <w:sz w:val="22"/>
            <w:szCs w:val="22"/>
          </w:rPr>
          <w:delText>dicamentos, receberá Humira</w:delText>
        </w:r>
        <w:r>
          <w:rPr>
            <w:sz w:val="22"/>
            <w:szCs w:val="22"/>
          </w:rPr>
          <w:delText>.</w:delText>
        </w:r>
      </w:del>
    </w:p>
    <w:p w14:paraId="443730C8" w14:textId="33ED221B" w:rsidR="00127AF9" w:rsidRDefault="00127AF9" w:rsidP="00127AF9">
      <w:pPr>
        <w:ind w:right="-2"/>
        <w:rPr>
          <w:del w:id="12703" w:author="AbbVie2" w:date="2025-05-14T10:22:00Z"/>
          <w:sz w:val="22"/>
          <w:szCs w:val="22"/>
        </w:rPr>
      </w:pPr>
    </w:p>
    <w:p w14:paraId="14573F47" w14:textId="268B00BF" w:rsidR="00DF66EB" w:rsidRPr="008912CF" w:rsidRDefault="00615769" w:rsidP="00DF66EB">
      <w:pPr>
        <w:pStyle w:val="BodyText"/>
        <w:rPr>
          <w:del w:id="12704" w:author="AbbVie2" w:date="2025-05-14T10:22:00Z"/>
          <w:sz w:val="22"/>
          <w:szCs w:val="22"/>
          <w:u w:val="single"/>
        </w:rPr>
      </w:pPr>
      <w:del w:id="12705" w:author="AbbVie2" w:date="2025-05-14T10:22:00Z">
        <w:r w:rsidRPr="008912CF">
          <w:rPr>
            <w:sz w:val="22"/>
            <w:szCs w:val="22"/>
            <w:u w:val="single"/>
          </w:rPr>
          <w:delText xml:space="preserve">Doença de Crohn pediátrica </w:delText>
        </w:r>
      </w:del>
    </w:p>
    <w:p w14:paraId="7223395E" w14:textId="3DA87029" w:rsidR="00DF66EB" w:rsidRPr="008912CF" w:rsidRDefault="00DF66EB" w:rsidP="00DF66EB">
      <w:pPr>
        <w:pStyle w:val="EMEANormal"/>
        <w:rPr>
          <w:del w:id="12706" w:author="AbbVie2" w:date="2025-05-14T10:22:00Z"/>
          <w:szCs w:val="22"/>
          <w:lang w:val="pt-PT"/>
        </w:rPr>
      </w:pPr>
    </w:p>
    <w:p w14:paraId="4C5CBC4A" w14:textId="0E5C7E26" w:rsidR="00DF66EB" w:rsidRPr="008912CF" w:rsidRDefault="00615769" w:rsidP="00DF66EB">
      <w:pPr>
        <w:ind w:right="-2"/>
        <w:rPr>
          <w:del w:id="12707" w:author="AbbVie2" w:date="2025-05-14T10:22:00Z"/>
          <w:sz w:val="22"/>
          <w:szCs w:val="22"/>
        </w:rPr>
      </w:pPr>
      <w:del w:id="12708" w:author="AbbVie2" w:date="2025-05-14T10:22:00Z">
        <w:r w:rsidRPr="008912CF">
          <w:rPr>
            <w:sz w:val="22"/>
            <w:szCs w:val="22"/>
          </w:rPr>
          <w:delText xml:space="preserve">A doença de Crohn é uma doença inflamatória do </w:delText>
        </w:r>
        <w:r w:rsidR="00030A01">
          <w:rPr>
            <w:sz w:val="22"/>
            <w:szCs w:val="22"/>
          </w:rPr>
          <w:delText>trato digestivo</w:delText>
        </w:r>
        <w:r w:rsidRPr="008912CF">
          <w:rPr>
            <w:sz w:val="22"/>
            <w:szCs w:val="22"/>
          </w:rPr>
          <w:delText>.</w:delText>
        </w:r>
        <w:r>
          <w:rPr>
            <w:sz w:val="22"/>
            <w:szCs w:val="22"/>
          </w:rPr>
          <w:delText xml:space="preserve"> </w:delText>
        </w:r>
        <w:r w:rsidRPr="008912CF">
          <w:rPr>
            <w:sz w:val="22"/>
            <w:szCs w:val="22"/>
          </w:rPr>
          <w:delText xml:space="preserve">Humira está indicado no tratamento da doença de Crohn em crianças dos 6 aos 17 anos de idade. </w:delText>
        </w:r>
        <w:r w:rsidR="00842E29">
          <w:rPr>
            <w:sz w:val="22"/>
            <w:szCs w:val="22"/>
          </w:rPr>
          <w:delText xml:space="preserve">A sua criança </w:delText>
        </w:r>
        <w:r w:rsidR="00367A9E" w:rsidRPr="00367A9E">
          <w:rPr>
            <w:sz w:val="22"/>
            <w:szCs w:val="22"/>
          </w:rPr>
          <w:delText>pode ser tratad</w:delText>
        </w:r>
        <w:r w:rsidR="00842E29">
          <w:rPr>
            <w:sz w:val="22"/>
            <w:szCs w:val="22"/>
          </w:rPr>
          <w:delText>a</w:delText>
        </w:r>
        <w:r w:rsidR="00367A9E" w:rsidRPr="00367A9E">
          <w:rPr>
            <w:sz w:val="22"/>
            <w:szCs w:val="22"/>
          </w:rPr>
          <w:delText xml:space="preserve"> inicialmente com outros medicamentos</w:delText>
        </w:r>
        <w:r w:rsidR="00367A9E">
          <w:rPr>
            <w:sz w:val="22"/>
            <w:szCs w:val="22"/>
          </w:rPr>
          <w:delText xml:space="preserve">. </w:delText>
        </w:r>
        <w:r w:rsidR="0093025B" w:rsidRPr="0093025B">
          <w:rPr>
            <w:sz w:val="22"/>
            <w:szCs w:val="22"/>
          </w:rPr>
          <w:delText xml:space="preserve">Se estes medicamentos não funcionarem suficientemente bem, </w:delText>
        </w:r>
        <w:r w:rsidR="00842E29">
          <w:rPr>
            <w:sz w:val="22"/>
            <w:szCs w:val="22"/>
          </w:rPr>
          <w:delText>a sua criança receberá</w:delText>
        </w:r>
        <w:r w:rsidR="0093025B">
          <w:rPr>
            <w:sz w:val="22"/>
            <w:szCs w:val="22"/>
          </w:rPr>
          <w:delText xml:space="preserve"> Humira para </w:delText>
        </w:r>
        <w:r w:rsidRPr="008912CF">
          <w:rPr>
            <w:sz w:val="22"/>
            <w:szCs w:val="22"/>
          </w:rPr>
          <w:delText>reduzir os sinais e sintomas da doença de Crohn.</w:delText>
        </w:r>
      </w:del>
    </w:p>
    <w:p w14:paraId="1CB04784" w14:textId="0D6028F6" w:rsidR="00DF66EB" w:rsidRDefault="00DF66EB" w:rsidP="00127AF9">
      <w:pPr>
        <w:ind w:right="-2"/>
        <w:rPr>
          <w:del w:id="12709" w:author="AbbVie2" w:date="2025-05-14T10:22:00Z"/>
          <w:sz w:val="22"/>
          <w:szCs w:val="22"/>
        </w:rPr>
      </w:pPr>
    </w:p>
    <w:p w14:paraId="31B44442" w14:textId="2E7BDDCC" w:rsidR="00AB387B" w:rsidRPr="00AB387B" w:rsidRDefault="00615769" w:rsidP="00AB387B">
      <w:pPr>
        <w:pStyle w:val="BodyText"/>
        <w:rPr>
          <w:del w:id="12710" w:author="AbbVie2" w:date="2025-05-14T10:22:00Z"/>
          <w:sz w:val="22"/>
          <w:szCs w:val="22"/>
          <w:u w:val="single"/>
        </w:rPr>
      </w:pPr>
      <w:del w:id="12711" w:author="AbbVie2" w:date="2025-05-14T10:22:00Z">
        <w:r w:rsidRPr="00AB387B">
          <w:rPr>
            <w:sz w:val="22"/>
            <w:szCs w:val="22"/>
            <w:u w:val="single"/>
          </w:rPr>
          <w:delText xml:space="preserve">Colite ulcerosa pediátrica </w:delText>
        </w:r>
      </w:del>
    </w:p>
    <w:p w14:paraId="6BAB5F62" w14:textId="60F89DB8" w:rsidR="00AB387B" w:rsidRPr="00AB387B" w:rsidRDefault="00AB387B" w:rsidP="00AB387B">
      <w:pPr>
        <w:keepNext/>
        <w:rPr>
          <w:del w:id="12712" w:author="AbbVie2" w:date="2025-05-14T10:22:00Z"/>
          <w:sz w:val="22"/>
          <w:szCs w:val="22"/>
        </w:rPr>
      </w:pPr>
    </w:p>
    <w:p w14:paraId="2877106A" w14:textId="2380A828" w:rsidR="00AB387B" w:rsidRPr="00AB387B" w:rsidRDefault="00615769" w:rsidP="00AB387B">
      <w:pPr>
        <w:rPr>
          <w:del w:id="12713" w:author="AbbVie2" w:date="2025-05-14T10:22:00Z"/>
          <w:sz w:val="22"/>
          <w:szCs w:val="22"/>
        </w:rPr>
      </w:pPr>
      <w:del w:id="12714" w:author="AbbVie2" w:date="2025-05-14T10:22:00Z">
        <w:r w:rsidRPr="00AB387B">
          <w:rPr>
            <w:sz w:val="22"/>
            <w:szCs w:val="22"/>
          </w:rPr>
          <w:delText>A colite ulcerosa é uma doença inflamatória do intestino</w:delText>
        </w:r>
        <w:r w:rsidR="006A5654">
          <w:rPr>
            <w:sz w:val="22"/>
            <w:szCs w:val="22"/>
          </w:rPr>
          <w:delText xml:space="preserve"> grosso</w:delText>
        </w:r>
        <w:r w:rsidRPr="00AB387B">
          <w:rPr>
            <w:sz w:val="22"/>
            <w:szCs w:val="22"/>
          </w:rPr>
          <w:delText xml:space="preserve">. Humira </w:delText>
        </w:r>
        <w:r w:rsidR="00994B36">
          <w:rPr>
            <w:sz w:val="22"/>
            <w:szCs w:val="22"/>
          </w:rPr>
          <w:delText>é u</w:delText>
        </w:r>
        <w:r w:rsidR="00571C82">
          <w:rPr>
            <w:sz w:val="22"/>
            <w:szCs w:val="22"/>
          </w:rPr>
          <w:delText>tiliz</w:delText>
        </w:r>
        <w:r w:rsidR="00994B36">
          <w:rPr>
            <w:sz w:val="22"/>
            <w:szCs w:val="22"/>
          </w:rPr>
          <w:delText>ado no tratamento da</w:delText>
        </w:r>
        <w:r w:rsidRPr="00AB387B">
          <w:rPr>
            <w:sz w:val="22"/>
            <w:szCs w:val="22"/>
          </w:rPr>
          <w:delText xml:space="preserve"> colite ulcerosa moderada a grave em crianças </w:delText>
        </w:r>
        <w:r w:rsidR="005E5956">
          <w:rPr>
            <w:sz w:val="22"/>
            <w:szCs w:val="22"/>
          </w:rPr>
          <w:delText>entre os</w:delText>
        </w:r>
        <w:r w:rsidRPr="00AB387B">
          <w:rPr>
            <w:sz w:val="22"/>
            <w:szCs w:val="22"/>
          </w:rPr>
          <w:delText xml:space="preserve"> 6 </w:delText>
        </w:r>
        <w:r w:rsidR="005E5956">
          <w:rPr>
            <w:sz w:val="22"/>
            <w:szCs w:val="22"/>
          </w:rPr>
          <w:delText>e os 17 anos</w:delText>
        </w:r>
        <w:r w:rsidRPr="00AB387B">
          <w:rPr>
            <w:sz w:val="22"/>
            <w:szCs w:val="22"/>
          </w:rPr>
          <w:delText>. A sua criança pode ser tratada inicialmente com outros medicamentos. Se estes medicamentos não funcionarem suficientemente bem, a sua criança receberá Humira para reduzir os sinai</w:delText>
        </w:r>
        <w:r>
          <w:rPr>
            <w:sz w:val="22"/>
            <w:szCs w:val="22"/>
          </w:rPr>
          <w:delText xml:space="preserve">s e sintomas da </w:delText>
        </w:r>
        <w:r w:rsidR="00571C82">
          <w:rPr>
            <w:sz w:val="22"/>
            <w:szCs w:val="22"/>
          </w:rPr>
          <w:delText>sua doença</w:delText>
        </w:r>
        <w:r w:rsidRPr="00AB387B">
          <w:rPr>
            <w:sz w:val="22"/>
            <w:szCs w:val="22"/>
          </w:rPr>
          <w:delText>.</w:delText>
        </w:r>
      </w:del>
    </w:p>
    <w:p w14:paraId="7ABD75DD" w14:textId="19BFDBF4" w:rsidR="00AB387B" w:rsidRPr="00AB387B" w:rsidRDefault="00AB387B" w:rsidP="00AB387B">
      <w:pPr>
        <w:keepNext/>
        <w:numPr>
          <w:ilvl w:val="12"/>
          <w:numId w:val="0"/>
        </w:numPr>
        <w:rPr>
          <w:del w:id="12715" w:author="AbbVie2" w:date="2025-05-14T10:22:00Z"/>
          <w:u w:val="single"/>
        </w:rPr>
      </w:pPr>
    </w:p>
    <w:p w14:paraId="515FAACD" w14:textId="5DED59A4" w:rsidR="00127AF9" w:rsidRPr="0025563F" w:rsidRDefault="00615769" w:rsidP="00127AF9">
      <w:pPr>
        <w:ind w:right="-2"/>
        <w:rPr>
          <w:del w:id="12716" w:author="AbbVie2" w:date="2025-05-14T10:22:00Z"/>
          <w:sz w:val="22"/>
          <w:szCs w:val="22"/>
          <w:u w:val="single"/>
        </w:rPr>
      </w:pPr>
      <w:del w:id="12717" w:author="AbbVie2" w:date="2025-05-14T10:22:00Z">
        <w:r w:rsidRPr="0025563F">
          <w:rPr>
            <w:sz w:val="22"/>
            <w:szCs w:val="22"/>
            <w:u w:val="single"/>
          </w:rPr>
          <w:delText xml:space="preserve">Uveíte </w:delText>
        </w:r>
        <w:r w:rsidR="00DB43D8">
          <w:rPr>
            <w:sz w:val="22"/>
            <w:szCs w:val="22"/>
            <w:u w:val="single"/>
          </w:rPr>
          <w:delText>pediátrica</w:delText>
        </w:r>
      </w:del>
    </w:p>
    <w:p w14:paraId="5E285CB4" w14:textId="7594D239" w:rsidR="00127AF9" w:rsidRDefault="00127AF9" w:rsidP="00127AF9">
      <w:pPr>
        <w:rPr>
          <w:del w:id="12718" w:author="AbbVie2" w:date="2025-05-14T10:22:00Z"/>
          <w:sz w:val="22"/>
          <w:szCs w:val="22"/>
        </w:rPr>
      </w:pPr>
    </w:p>
    <w:p w14:paraId="4D794440" w14:textId="7629FB86" w:rsidR="00127AF9" w:rsidRDefault="00615769" w:rsidP="00127AF9">
      <w:pPr>
        <w:ind w:right="-2"/>
        <w:rPr>
          <w:del w:id="12719" w:author="AbbVie2" w:date="2025-05-14T10:22:00Z"/>
          <w:sz w:val="22"/>
          <w:szCs w:val="22"/>
        </w:rPr>
      </w:pPr>
      <w:del w:id="12720" w:author="AbbVie2" w:date="2025-05-14T10:22:00Z">
        <w:r>
          <w:rPr>
            <w:sz w:val="22"/>
            <w:szCs w:val="22"/>
          </w:rPr>
          <w:delText xml:space="preserve">A uveíte não infecciosa é uma </w:delText>
        </w:r>
        <w:r w:rsidRPr="00566892">
          <w:rPr>
            <w:sz w:val="22"/>
            <w:szCs w:val="22"/>
          </w:rPr>
          <w:delText xml:space="preserve">doença inflamatória que afeta </w:delText>
        </w:r>
        <w:r w:rsidR="006C6F8E">
          <w:rPr>
            <w:sz w:val="22"/>
            <w:szCs w:val="22"/>
          </w:rPr>
          <w:delText>diferentes</w:delText>
        </w:r>
        <w:r w:rsidRPr="00566892">
          <w:rPr>
            <w:sz w:val="22"/>
            <w:szCs w:val="22"/>
          </w:rPr>
          <w:delText xml:space="preserve"> partes do olho.</w:delText>
        </w:r>
      </w:del>
    </w:p>
    <w:p w14:paraId="403C2371" w14:textId="43A32CA8" w:rsidR="00127AF9" w:rsidRDefault="00127AF9" w:rsidP="00127AF9">
      <w:pPr>
        <w:ind w:right="-2"/>
        <w:rPr>
          <w:del w:id="12721" w:author="AbbVie2" w:date="2025-05-14T10:22:00Z"/>
          <w:sz w:val="22"/>
          <w:szCs w:val="22"/>
        </w:rPr>
      </w:pPr>
    </w:p>
    <w:p w14:paraId="5E2877DF" w14:textId="590A3B1F" w:rsidR="00127AF9" w:rsidRDefault="00615769" w:rsidP="00127AF9">
      <w:pPr>
        <w:ind w:right="-2"/>
        <w:rPr>
          <w:del w:id="12722" w:author="AbbVie2" w:date="2025-05-14T10:22:00Z"/>
          <w:sz w:val="22"/>
          <w:szCs w:val="22"/>
        </w:rPr>
      </w:pPr>
      <w:del w:id="12723" w:author="AbbVie2" w:date="2025-05-14T10:22:00Z">
        <w:r>
          <w:rPr>
            <w:sz w:val="22"/>
            <w:szCs w:val="22"/>
          </w:rPr>
          <w:delText xml:space="preserve">Humira é usado no tratamento da uveíte </w:delText>
        </w:r>
        <w:r w:rsidR="00835DDA">
          <w:rPr>
            <w:sz w:val="22"/>
            <w:szCs w:val="22"/>
          </w:rPr>
          <w:delText xml:space="preserve">não infecciosa, </w:delText>
        </w:r>
        <w:r>
          <w:rPr>
            <w:sz w:val="22"/>
            <w:szCs w:val="22"/>
          </w:rPr>
          <w:delText>crónica</w:delText>
        </w:r>
        <w:r w:rsidR="00835DDA">
          <w:rPr>
            <w:sz w:val="22"/>
            <w:szCs w:val="22"/>
          </w:rPr>
          <w:delText>,</w:delText>
        </w:r>
        <w:r>
          <w:rPr>
            <w:sz w:val="22"/>
            <w:szCs w:val="22"/>
          </w:rPr>
          <w:delText xml:space="preserve"> com inflamação, afetando a parte da frente do olho,</w:delText>
        </w:r>
        <w:r w:rsidRPr="00456838">
          <w:rPr>
            <w:sz w:val="22"/>
            <w:szCs w:val="22"/>
          </w:rPr>
          <w:delText xml:space="preserve"> </w:delText>
        </w:r>
        <w:r>
          <w:rPr>
            <w:sz w:val="22"/>
            <w:szCs w:val="22"/>
          </w:rPr>
          <w:delText xml:space="preserve">em crianças a partir dos 2 anos de idade. Esta inflamação leva a uma diminuição da visão e/ou à presença </w:delText>
        </w:r>
        <w:r w:rsidRPr="00DE3483">
          <w:rPr>
            <w:sz w:val="22"/>
            <w:szCs w:val="22"/>
          </w:rPr>
          <w:delText>de moscas vo</w:delText>
        </w:r>
        <w:r>
          <w:rPr>
            <w:sz w:val="22"/>
            <w:szCs w:val="22"/>
          </w:rPr>
          <w:delText>lantes</w:delText>
        </w:r>
        <w:r w:rsidRPr="00DE3483">
          <w:rPr>
            <w:sz w:val="22"/>
            <w:szCs w:val="22"/>
          </w:rPr>
          <w:delText xml:space="preserve"> </w:delText>
        </w:r>
        <w:r>
          <w:rPr>
            <w:sz w:val="22"/>
            <w:szCs w:val="22"/>
          </w:rPr>
          <w:delText>n</w:delText>
        </w:r>
        <w:r w:rsidRPr="00DE3483">
          <w:rPr>
            <w:sz w:val="22"/>
            <w:szCs w:val="22"/>
          </w:rPr>
          <w:delText xml:space="preserve">o olho (pontos pretos ou linhas </w:delText>
        </w:r>
        <w:r>
          <w:rPr>
            <w:sz w:val="22"/>
            <w:szCs w:val="22"/>
          </w:rPr>
          <w:delText>finas</w:delText>
        </w:r>
        <w:r w:rsidRPr="00DE3483">
          <w:rPr>
            <w:sz w:val="22"/>
            <w:szCs w:val="22"/>
          </w:rPr>
          <w:delText xml:space="preserve"> que se movem através do campo de visão).</w:delText>
        </w:r>
        <w:r>
          <w:rPr>
            <w:sz w:val="22"/>
            <w:szCs w:val="22"/>
          </w:rPr>
          <w:delText xml:space="preserve"> Humira atua através da redução da inflamação. </w:delText>
        </w:r>
      </w:del>
    </w:p>
    <w:p w14:paraId="518B8D56" w14:textId="788AF2F8" w:rsidR="004462A0" w:rsidRDefault="004462A0" w:rsidP="004462A0">
      <w:pPr>
        <w:ind w:right="-2"/>
        <w:rPr>
          <w:del w:id="12724" w:author="AbbVie2" w:date="2025-05-14T10:22:00Z"/>
          <w:sz w:val="22"/>
          <w:szCs w:val="22"/>
        </w:rPr>
      </w:pPr>
    </w:p>
    <w:p w14:paraId="71BA0896" w14:textId="059804B7" w:rsidR="004462A0" w:rsidRPr="008912CF" w:rsidRDefault="004462A0" w:rsidP="004462A0">
      <w:pPr>
        <w:rPr>
          <w:del w:id="12725" w:author="AbbVie2" w:date="2025-05-14T10:22:00Z"/>
          <w:sz w:val="22"/>
          <w:szCs w:val="22"/>
        </w:rPr>
      </w:pPr>
    </w:p>
    <w:p w14:paraId="08E8555C" w14:textId="2B30E673" w:rsidR="004462A0" w:rsidRPr="008912CF" w:rsidRDefault="00615769" w:rsidP="00B538F3">
      <w:pPr>
        <w:pStyle w:val="IndexHeading"/>
        <w:keepNext/>
        <w:tabs>
          <w:tab w:val="clear" w:pos="567"/>
        </w:tabs>
        <w:spacing w:line="240" w:lineRule="auto"/>
        <w:rPr>
          <w:del w:id="12726" w:author="AbbVie2" w:date="2025-05-14T10:22:00Z"/>
          <w:rFonts w:ascii="Times New Roman" w:hAnsi="Times New Roman"/>
          <w:szCs w:val="22"/>
          <w:lang w:val="pt-PT"/>
        </w:rPr>
      </w:pPr>
      <w:del w:id="12727" w:author="AbbVie2" w:date="2025-05-14T10:22:00Z">
        <w:r w:rsidRPr="008912CF">
          <w:rPr>
            <w:rFonts w:ascii="Times New Roman" w:hAnsi="Times New Roman"/>
            <w:szCs w:val="22"/>
            <w:lang w:val="pt-PT"/>
          </w:rPr>
          <w:delText>2.</w:delText>
        </w:r>
        <w:r w:rsidRPr="008912CF">
          <w:rPr>
            <w:rFonts w:ascii="Times New Roman" w:hAnsi="Times New Roman"/>
            <w:szCs w:val="22"/>
            <w:lang w:val="pt-PT"/>
          </w:rPr>
          <w:tab/>
          <w:delText xml:space="preserve">O </w:delText>
        </w:r>
        <w:r w:rsidRPr="008912CF">
          <w:rPr>
            <w:rFonts w:ascii="Times New Roman" w:hAnsi="Times New Roman"/>
            <w:szCs w:val="24"/>
            <w:lang w:val="pt-PT"/>
          </w:rPr>
          <w:delText xml:space="preserve">que precisa de saber antes </w:delText>
        </w:r>
        <w:r w:rsidR="001E4A60">
          <w:rPr>
            <w:rFonts w:ascii="Times New Roman" w:hAnsi="Times New Roman"/>
            <w:szCs w:val="24"/>
            <w:lang w:val="pt-PT"/>
          </w:rPr>
          <w:delText>da sua criança</w:delText>
        </w:r>
        <w:r w:rsidR="001E4A60" w:rsidRPr="008912CF">
          <w:rPr>
            <w:rFonts w:ascii="Times New Roman" w:hAnsi="Times New Roman"/>
            <w:szCs w:val="24"/>
            <w:lang w:val="pt-PT"/>
          </w:rPr>
          <w:delText xml:space="preserve"> </w:delText>
        </w:r>
        <w:r w:rsidRPr="008912CF">
          <w:rPr>
            <w:rFonts w:ascii="Times New Roman" w:hAnsi="Times New Roman"/>
            <w:szCs w:val="24"/>
            <w:lang w:val="pt-PT"/>
          </w:rPr>
          <w:delText>utilizar Humira</w:delText>
        </w:r>
      </w:del>
    </w:p>
    <w:p w14:paraId="541F6F6E" w14:textId="0E058BCB" w:rsidR="004462A0" w:rsidRPr="008912CF" w:rsidRDefault="004462A0" w:rsidP="00B538F3">
      <w:pPr>
        <w:keepNext/>
        <w:ind w:right="-2"/>
        <w:rPr>
          <w:del w:id="12728" w:author="AbbVie2" w:date="2025-05-14T10:22:00Z"/>
          <w:sz w:val="22"/>
          <w:szCs w:val="22"/>
        </w:rPr>
      </w:pPr>
    </w:p>
    <w:p w14:paraId="5502B3F7" w14:textId="2E8B3D35" w:rsidR="004462A0" w:rsidRPr="008912CF" w:rsidRDefault="00615769" w:rsidP="00B538F3">
      <w:pPr>
        <w:keepNext/>
        <w:rPr>
          <w:del w:id="12729" w:author="AbbVie2" w:date="2025-05-14T10:22:00Z"/>
          <w:sz w:val="22"/>
          <w:szCs w:val="22"/>
        </w:rPr>
      </w:pPr>
      <w:del w:id="12730" w:author="AbbVie2" w:date="2025-05-14T10:22:00Z">
        <w:r w:rsidRPr="008912CF">
          <w:rPr>
            <w:b/>
            <w:sz w:val="22"/>
            <w:szCs w:val="22"/>
          </w:rPr>
          <w:delText xml:space="preserve">Não utilize </w:delText>
        </w:r>
        <w:r w:rsidRPr="008912CF">
          <w:rPr>
            <w:b/>
            <w:bCs/>
            <w:sz w:val="22"/>
            <w:szCs w:val="22"/>
          </w:rPr>
          <w:delText>Humira</w:delText>
        </w:r>
      </w:del>
    </w:p>
    <w:p w14:paraId="63BEDEE0" w14:textId="2EB7ED5A" w:rsidR="004462A0" w:rsidRPr="008912CF" w:rsidRDefault="004462A0" w:rsidP="00B538F3">
      <w:pPr>
        <w:pStyle w:val="EndnoteText"/>
        <w:keepNext/>
        <w:tabs>
          <w:tab w:val="clear" w:pos="567"/>
        </w:tabs>
        <w:rPr>
          <w:del w:id="12731" w:author="AbbVie2" w:date="2025-05-14T10:22:00Z"/>
          <w:szCs w:val="22"/>
        </w:rPr>
      </w:pPr>
    </w:p>
    <w:p w14:paraId="2C79108B" w14:textId="1D6B8DD3" w:rsidR="004462A0" w:rsidRPr="008912CF" w:rsidRDefault="00615769" w:rsidP="004462A0">
      <w:pPr>
        <w:numPr>
          <w:ilvl w:val="0"/>
          <w:numId w:val="13"/>
        </w:numPr>
        <w:tabs>
          <w:tab w:val="clear" w:pos="360"/>
        </w:tabs>
        <w:ind w:left="567" w:hanging="567"/>
        <w:rPr>
          <w:del w:id="12732" w:author="AbbVie2" w:date="2025-05-14T10:22:00Z"/>
          <w:sz w:val="22"/>
          <w:szCs w:val="22"/>
        </w:rPr>
      </w:pPr>
      <w:del w:id="12733" w:author="AbbVie2" w:date="2025-05-14T10:22:00Z">
        <w:r w:rsidRPr="008912CF">
          <w:rPr>
            <w:sz w:val="22"/>
            <w:szCs w:val="22"/>
          </w:rPr>
          <w:delText>Se a sua criança tem alergia a adalimumab ou a qualquer outro componente deste medicamento (indicados na secção 6).</w:delText>
        </w:r>
      </w:del>
    </w:p>
    <w:p w14:paraId="3B7C5DD1" w14:textId="422C8715" w:rsidR="004462A0" w:rsidRPr="008912CF" w:rsidRDefault="004462A0" w:rsidP="004462A0">
      <w:pPr>
        <w:pStyle w:val="EndnoteText"/>
        <w:tabs>
          <w:tab w:val="clear" w:pos="567"/>
        </w:tabs>
        <w:rPr>
          <w:del w:id="12734" w:author="AbbVie2" w:date="2025-05-14T10:22:00Z"/>
          <w:szCs w:val="22"/>
        </w:rPr>
      </w:pPr>
    </w:p>
    <w:p w14:paraId="2D27F30B" w14:textId="5D49D0B0" w:rsidR="004462A0" w:rsidRPr="008912CF" w:rsidRDefault="00615769" w:rsidP="004462A0">
      <w:pPr>
        <w:numPr>
          <w:ilvl w:val="0"/>
          <w:numId w:val="13"/>
        </w:numPr>
        <w:tabs>
          <w:tab w:val="clear" w:pos="360"/>
          <w:tab w:val="num" w:pos="600"/>
        </w:tabs>
        <w:ind w:left="567" w:hanging="567"/>
        <w:rPr>
          <w:del w:id="12735" w:author="AbbVie2" w:date="2025-05-14T10:22:00Z"/>
          <w:sz w:val="22"/>
          <w:szCs w:val="22"/>
        </w:rPr>
      </w:pPr>
      <w:del w:id="12736" w:author="AbbVie2" w:date="2025-05-14T10:22:00Z">
        <w:r w:rsidRPr="008912CF">
          <w:rPr>
            <w:sz w:val="22"/>
            <w:szCs w:val="22"/>
          </w:rPr>
          <w:delText>Se a sua criança tem uma infeção grave, incluindo tuberculose ativa (ver “Advertências e precauções”). Deve contactar o seu médico se a criança tiver sintomas de infeção, tais como febre, feridas, sensação de cansaço, problemas dentários.</w:delText>
        </w:r>
      </w:del>
    </w:p>
    <w:p w14:paraId="70A3B7D9" w14:textId="73D7D04B" w:rsidR="004462A0" w:rsidRPr="008912CF" w:rsidRDefault="004462A0" w:rsidP="004462A0">
      <w:pPr>
        <w:pStyle w:val="EndnoteText"/>
        <w:tabs>
          <w:tab w:val="clear" w:pos="567"/>
        </w:tabs>
        <w:rPr>
          <w:del w:id="12737" w:author="AbbVie2" w:date="2025-05-14T10:22:00Z"/>
          <w:szCs w:val="22"/>
        </w:rPr>
      </w:pPr>
    </w:p>
    <w:p w14:paraId="53D0EB47" w14:textId="70FEC5FF" w:rsidR="004462A0" w:rsidRPr="008912CF" w:rsidRDefault="00615769" w:rsidP="004462A0">
      <w:pPr>
        <w:numPr>
          <w:ilvl w:val="0"/>
          <w:numId w:val="18"/>
        </w:numPr>
        <w:rPr>
          <w:del w:id="12738" w:author="AbbVie2" w:date="2025-05-14T10:22:00Z"/>
          <w:sz w:val="22"/>
          <w:szCs w:val="22"/>
        </w:rPr>
      </w:pPr>
      <w:del w:id="12739" w:author="AbbVie2" w:date="2025-05-14T10:22:00Z">
        <w:r w:rsidRPr="008912CF">
          <w:rPr>
            <w:sz w:val="22"/>
            <w:szCs w:val="22"/>
          </w:rPr>
          <w:delText>Se a sua criança tem insuficiência cardíaca moderada ou grave. É importante que informe o seu médico se a criança tem ou se teve alterações cardíacas graves (ver “Advertências e precauções</w:delText>
        </w:r>
        <w:r w:rsidRPr="008912CF">
          <w:rPr>
            <w:bCs/>
            <w:sz w:val="22"/>
            <w:szCs w:val="22"/>
          </w:rPr>
          <w:delText>”).</w:delText>
        </w:r>
      </w:del>
    </w:p>
    <w:p w14:paraId="10DEEEEB" w14:textId="78FEB628" w:rsidR="004462A0" w:rsidRPr="008912CF" w:rsidRDefault="004462A0" w:rsidP="004462A0">
      <w:pPr>
        <w:rPr>
          <w:del w:id="12740" w:author="AbbVie2" w:date="2025-05-14T10:22:00Z"/>
          <w:b/>
          <w:sz w:val="22"/>
          <w:szCs w:val="22"/>
        </w:rPr>
      </w:pPr>
    </w:p>
    <w:p w14:paraId="538064F8" w14:textId="165B09DC" w:rsidR="004462A0" w:rsidRPr="008912CF" w:rsidRDefault="00615769" w:rsidP="004462A0">
      <w:pPr>
        <w:rPr>
          <w:del w:id="12741" w:author="AbbVie2" w:date="2025-05-14T10:22:00Z"/>
          <w:b/>
          <w:bCs/>
          <w:sz w:val="22"/>
          <w:szCs w:val="22"/>
        </w:rPr>
      </w:pPr>
      <w:del w:id="12742" w:author="AbbVie2" w:date="2025-05-14T10:22:00Z">
        <w:r w:rsidRPr="008912CF">
          <w:rPr>
            <w:b/>
            <w:sz w:val="22"/>
            <w:szCs w:val="22"/>
          </w:rPr>
          <w:delText>Advertências e precauções</w:delText>
        </w:r>
      </w:del>
    </w:p>
    <w:p w14:paraId="7FAE4F63" w14:textId="3D960740" w:rsidR="004462A0" w:rsidRPr="008912CF" w:rsidRDefault="004462A0" w:rsidP="004462A0">
      <w:pPr>
        <w:rPr>
          <w:del w:id="12743" w:author="AbbVie2" w:date="2025-05-14T10:22:00Z"/>
          <w:b/>
          <w:bCs/>
          <w:sz w:val="22"/>
          <w:szCs w:val="22"/>
        </w:rPr>
      </w:pPr>
    </w:p>
    <w:p w14:paraId="5D288C3D" w14:textId="1F07C39D" w:rsidR="004462A0" w:rsidRPr="008912CF" w:rsidRDefault="00615769" w:rsidP="004462A0">
      <w:pPr>
        <w:rPr>
          <w:del w:id="12744" w:author="AbbVie2" w:date="2025-05-14T10:22:00Z"/>
          <w:sz w:val="22"/>
          <w:szCs w:val="22"/>
        </w:rPr>
      </w:pPr>
      <w:del w:id="12745" w:author="AbbVie2" w:date="2025-05-14T10:22:00Z">
        <w:r w:rsidRPr="008912CF">
          <w:rPr>
            <w:sz w:val="22"/>
            <w:szCs w:val="22"/>
          </w:rPr>
          <w:delText>Fale com o médico ou farmacêutico da sua criança antes de utilizar Humira</w:delText>
        </w:r>
      </w:del>
    </w:p>
    <w:p w14:paraId="7798E2FD" w14:textId="07E82B71" w:rsidR="004462A0" w:rsidRPr="008912CF" w:rsidRDefault="004462A0" w:rsidP="004462A0">
      <w:pPr>
        <w:rPr>
          <w:del w:id="12746" w:author="AbbVie2" w:date="2025-05-14T10:22:00Z"/>
          <w:sz w:val="22"/>
          <w:szCs w:val="22"/>
        </w:rPr>
      </w:pPr>
    </w:p>
    <w:p w14:paraId="3F48F427" w14:textId="0E9736CE" w:rsidR="004462A0" w:rsidRPr="008912CF" w:rsidRDefault="00615769" w:rsidP="004462A0">
      <w:pPr>
        <w:numPr>
          <w:ilvl w:val="0"/>
          <w:numId w:val="15"/>
        </w:numPr>
        <w:rPr>
          <w:del w:id="12747" w:author="AbbVie2" w:date="2025-05-14T10:22:00Z"/>
          <w:sz w:val="22"/>
          <w:szCs w:val="22"/>
        </w:rPr>
      </w:pPr>
      <w:del w:id="12748" w:author="AbbVie2" w:date="2025-05-14T10:22:00Z">
        <w:r w:rsidRPr="008912CF">
          <w:rPr>
            <w:sz w:val="22"/>
            <w:szCs w:val="22"/>
          </w:rPr>
          <w:delText>Se a sua criança tiver reações alérgicas com sintomas, tais como dificuldade em respirar, respiração ofegante, tonturas, inchaço ou pele irritada, interrompa a administração de Humira e contacte imediatamente o seu médico</w:delText>
        </w:r>
        <w:r w:rsidR="00BA5138">
          <w:rPr>
            <w:sz w:val="22"/>
            <w:szCs w:val="22"/>
          </w:rPr>
          <w:delText xml:space="preserve"> uma vez que, em casos raros, estas reações podem ser potencialmente fatais</w:delText>
        </w:r>
        <w:r w:rsidRPr="008912CF">
          <w:rPr>
            <w:sz w:val="22"/>
            <w:szCs w:val="22"/>
          </w:rPr>
          <w:delText>.</w:delText>
        </w:r>
      </w:del>
    </w:p>
    <w:p w14:paraId="6CCB59E7" w14:textId="5A1E33AF" w:rsidR="004462A0" w:rsidRPr="008912CF" w:rsidRDefault="004462A0" w:rsidP="004462A0">
      <w:pPr>
        <w:pStyle w:val="EndnoteText"/>
        <w:tabs>
          <w:tab w:val="clear" w:pos="567"/>
        </w:tabs>
        <w:rPr>
          <w:del w:id="12749" w:author="AbbVie2" w:date="2025-05-14T10:22:00Z"/>
          <w:szCs w:val="22"/>
        </w:rPr>
      </w:pPr>
    </w:p>
    <w:p w14:paraId="5044D5AC" w14:textId="34AFCB9E" w:rsidR="004462A0" w:rsidRDefault="00615769" w:rsidP="004462A0">
      <w:pPr>
        <w:numPr>
          <w:ilvl w:val="0"/>
          <w:numId w:val="15"/>
        </w:numPr>
        <w:rPr>
          <w:del w:id="12750" w:author="AbbVie2" w:date="2025-05-14T10:22:00Z"/>
          <w:sz w:val="22"/>
          <w:szCs w:val="22"/>
        </w:rPr>
      </w:pPr>
      <w:del w:id="12751" w:author="AbbVie2" w:date="2025-05-14T10:22:00Z">
        <w:r w:rsidRPr="008912CF">
          <w:rPr>
            <w:sz w:val="22"/>
            <w:szCs w:val="22"/>
          </w:rPr>
          <w:delText xml:space="preserve">Se a sua criança tiver uma infeção, incluindo uma infeção crónica ou </w:delText>
        </w:r>
        <w:r w:rsidR="00FE0AD3">
          <w:rPr>
            <w:sz w:val="22"/>
            <w:szCs w:val="22"/>
          </w:rPr>
          <w:delText>uma infeção em qualquer parte do seu corpo</w:delText>
        </w:r>
        <w:r w:rsidRPr="008912CF">
          <w:rPr>
            <w:sz w:val="22"/>
            <w:szCs w:val="22"/>
          </w:rPr>
          <w:delText xml:space="preserve"> (por exemplo, úlcera da perna) informe o seu médico antes de iniciar o tratamento com Humira. Se tiver quaisquer dúvidas, deve contactar o seu médico.</w:delText>
        </w:r>
      </w:del>
    </w:p>
    <w:p w14:paraId="7BC610E8" w14:textId="572331DB" w:rsidR="003D66D7" w:rsidRDefault="003D66D7" w:rsidP="003D66D7">
      <w:pPr>
        <w:pStyle w:val="ListParagraph"/>
        <w:rPr>
          <w:del w:id="12752" w:author="AbbVie2" w:date="2025-05-14T10:22:00Z"/>
          <w:sz w:val="22"/>
          <w:szCs w:val="22"/>
        </w:rPr>
      </w:pPr>
    </w:p>
    <w:p w14:paraId="788383EC" w14:textId="08A13D02" w:rsidR="003D66D7" w:rsidRPr="00771F8E" w:rsidRDefault="00615769" w:rsidP="004462A0">
      <w:pPr>
        <w:numPr>
          <w:ilvl w:val="0"/>
          <w:numId w:val="15"/>
        </w:numPr>
        <w:rPr>
          <w:del w:id="12753" w:author="AbbVie2" w:date="2025-05-14T10:22:00Z"/>
          <w:sz w:val="22"/>
          <w:szCs w:val="22"/>
        </w:rPr>
      </w:pPr>
      <w:del w:id="12754" w:author="AbbVie2" w:date="2025-05-14T10:22:00Z">
        <w:r w:rsidRPr="00F03C54">
          <w:rPr>
            <w:sz w:val="22"/>
            <w:szCs w:val="22"/>
          </w:rPr>
          <w:delText>A sua criança pode contrair mais facilmente infeções enquanto estiver a ser tratada com Humira. Este risco pode aumentar se a função pulmonar estiver diminuída. Estas infeções podem ser graves e inclu</w:delText>
        </w:r>
        <w:r w:rsidR="00FE0AD3">
          <w:rPr>
            <w:sz w:val="22"/>
            <w:szCs w:val="22"/>
          </w:rPr>
          <w:delText>em</w:delText>
        </w:r>
        <w:r w:rsidRPr="00F03C54">
          <w:rPr>
            <w:sz w:val="22"/>
            <w:szCs w:val="22"/>
          </w:rPr>
          <w:delText xml:space="preserve"> tuberculose, infeções causadas por vírus, fungos, parasitas ou bactérias, ou outras infeções oportunistas e sepsia que podem, em casos raros, pôr a vida em risco. Deve informar o seu médico se a criança tiver sintomas, tais como febre, feridas, sensação de cansaço ou problemas dentários. O seu médico pode aconselhar a suspensão temporária de Humira</w:delText>
        </w:r>
      </w:del>
    </w:p>
    <w:p w14:paraId="6868E773" w14:textId="2CAE1AD1" w:rsidR="004462A0" w:rsidRPr="008912CF" w:rsidRDefault="004462A0" w:rsidP="004462A0">
      <w:pPr>
        <w:pStyle w:val="EndnoteText"/>
        <w:tabs>
          <w:tab w:val="clear" w:pos="567"/>
        </w:tabs>
        <w:rPr>
          <w:del w:id="12755" w:author="AbbVie2" w:date="2025-05-14T10:22:00Z"/>
          <w:szCs w:val="22"/>
        </w:rPr>
      </w:pPr>
    </w:p>
    <w:p w14:paraId="1B840437" w14:textId="54F6574E" w:rsidR="004462A0" w:rsidRPr="008912CF" w:rsidRDefault="00615769" w:rsidP="004462A0">
      <w:pPr>
        <w:numPr>
          <w:ilvl w:val="0"/>
          <w:numId w:val="16"/>
        </w:numPr>
        <w:rPr>
          <w:del w:id="12756" w:author="AbbVie2" w:date="2025-05-14T10:22:00Z"/>
          <w:sz w:val="22"/>
          <w:szCs w:val="22"/>
        </w:rPr>
      </w:pPr>
      <w:del w:id="12757" w:author="AbbVie2" w:date="2025-05-14T10:22:00Z">
        <w:r w:rsidRPr="008912CF">
          <w:rPr>
            <w:sz w:val="22"/>
            <w:szCs w:val="22"/>
          </w:rPr>
          <w:delText xml:space="preserve">Uma vez que foram notificados casos de tuberculose em doentes tratados com Humira, o seu médico irá avaliar a criança para despiste de sinais e sintomas de tuberculose antes de iniciar a terapêutica com Humira. Esta avaliação irá incluir uma história clínica pormenorizada da sua criança e exames de despiste apropriados (por exemplo uma radiografia do tórax e um teste de tuberculina). A realização e o resultado destes exames deve ser registada no </w:delText>
        </w:r>
        <w:r w:rsidRPr="0083458C">
          <w:rPr>
            <w:b/>
            <w:sz w:val="22"/>
            <w:szCs w:val="22"/>
          </w:rPr>
          <w:delText>Cartão de Segurança do Doente</w:delText>
        </w:r>
        <w:r w:rsidRPr="008912CF">
          <w:rPr>
            <w:sz w:val="22"/>
            <w:szCs w:val="22"/>
          </w:rPr>
          <w:delText xml:space="preserve"> da sua criança. É muito importante que informe o seu médico se a criança já sofreu de tuberculose ou se esteve em contacto próximo com alguém com esta doença. A tuberculose pode vir a manifestar-se durante o tratamento com Humira, ainda que tenha efetuado tratamento de profilaxia da tuberculose. Se surgirem sintomas de tuberculose (tosse persistente, perda de peso, fraqueza, febre ligeira) ou qualquer outra infeção durante ou após o tratamento, informe imediatamente o seu médic</w:delText>
        </w:r>
        <w:r w:rsidRPr="008912CF">
          <w:rPr>
            <w:sz w:val="22"/>
            <w:szCs w:val="22"/>
          </w:rPr>
          <w:delText>o.</w:delText>
        </w:r>
      </w:del>
    </w:p>
    <w:p w14:paraId="32A278DD" w14:textId="09801C1D" w:rsidR="004462A0" w:rsidRPr="008912CF" w:rsidRDefault="004462A0" w:rsidP="004462A0">
      <w:pPr>
        <w:ind w:left="567"/>
        <w:rPr>
          <w:del w:id="12758" w:author="AbbVie2" w:date="2025-05-14T10:22:00Z"/>
          <w:sz w:val="22"/>
          <w:szCs w:val="22"/>
        </w:rPr>
      </w:pPr>
    </w:p>
    <w:p w14:paraId="1E0389AF" w14:textId="53BE34F2" w:rsidR="004462A0" w:rsidRPr="008912CF" w:rsidRDefault="00615769" w:rsidP="004462A0">
      <w:pPr>
        <w:numPr>
          <w:ilvl w:val="0"/>
          <w:numId w:val="17"/>
        </w:numPr>
        <w:rPr>
          <w:del w:id="12759" w:author="AbbVie2" w:date="2025-05-14T10:22:00Z"/>
          <w:sz w:val="22"/>
          <w:szCs w:val="22"/>
        </w:rPr>
      </w:pPr>
      <w:del w:id="12760" w:author="AbbVie2" w:date="2025-05-14T10:22:00Z">
        <w:r w:rsidRPr="008912CF">
          <w:rPr>
            <w:sz w:val="22"/>
            <w:szCs w:val="22"/>
          </w:rPr>
          <w:delText xml:space="preserve">Informe o seu médico se a criança reside ou viaja em regiões nas quais as infeções fúngicas tais como histoplasmose, </w:delText>
        </w:r>
        <w:r w:rsidRPr="008912CF">
          <w:rPr>
            <w:sz w:val="22"/>
            <w:szCs w:val="22"/>
            <w:u w:color="0000FF"/>
          </w:rPr>
          <w:delText>coccidioidomicose ou blastomicose são endémicas.</w:delText>
        </w:r>
      </w:del>
    </w:p>
    <w:p w14:paraId="08C5B86C" w14:textId="4301F7CA" w:rsidR="004462A0" w:rsidRPr="008912CF" w:rsidRDefault="004462A0" w:rsidP="004462A0">
      <w:pPr>
        <w:pStyle w:val="Footer"/>
        <w:tabs>
          <w:tab w:val="clear" w:pos="4320"/>
          <w:tab w:val="clear" w:pos="8640"/>
        </w:tabs>
        <w:rPr>
          <w:del w:id="12761" w:author="AbbVie2" w:date="2025-05-14T10:22:00Z"/>
          <w:sz w:val="22"/>
          <w:szCs w:val="22"/>
        </w:rPr>
      </w:pPr>
    </w:p>
    <w:p w14:paraId="2440C367" w14:textId="371D66F4" w:rsidR="004462A0" w:rsidRPr="008912CF" w:rsidRDefault="00615769" w:rsidP="004462A0">
      <w:pPr>
        <w:numPr>
          <w:ilvl w:val="0"/>
          <w:numId w:val="17"/>
        </w:numPr>
        <w:rPr>
          <w:del w:id="12762" w:author="AbbVie2" w:date="2025-05-14T10:22:00Z"/>
          <w:sz w:val="22"/>
          <w:szCs w:val="22"/>
        </w:rPr>
      </w:pPr>
      <w:del w:id="12763" w:author="AbbVie2" w:date="2025-05-14T10:22:00Z">
        <w:r w:rsidRPr="008912CF">
          <w:rPr>
            <w:sz w:val="22"/>
            <w:szCs w:val="22"/>
          </w:rPr>
          <w:delText>Informe o seu médico se a criança tem antecedentes de infeções recorrentes ou quaisquer outros problemas que aumentem o risco de infeções.</w:delText>
        </w:r>
      </w:del>
    </w:p>
    <w:p w14:paraId="63951AC9" w14:textId="7E036166" w:rsidR="004462A0" w:rsidRPr="008912CF" w:rsidRDefault="004462A0" w:rsidP="004462A0">
      <w:pPr>
        <w:ind w:left="567"/>
        <w:rPr>
          <w:del w:id="12764" w:author="AbbVie2" w:date="2025-05-14T10:22:00Z"/>
          <w:sz w:val="22"/>
          <w:szCs w:val="22"/>
        </w:rPr>
      </w:pPr>
    </w:p>
    <w:p w14:paraId="6A317F16" w14:textId="748E8E45" w:rsidR="004462A0" w:rsidRDefault="00615769" w:rsidP="004462A0">
      <w:pPr>
        <w:numPr>
          <w:ilvl w:val="0"/>
          <w:numId w:val="17"/>
        </w:numPr>
        <w:rPr>
          <w:del w:id="12765" w:author="AbbVie2" w:date="2025-05-14T10:22:00Z"/>
          <w:sz w:val="22"/>
          <w:szCs w:val="22"/>
        </w:rPr>
      </w:pPr>
      <w:del w:id="12766" w:author="AbbVie2" w:date="2025-05-14T10:22:00Z">
        <w:r w:rsidRPr="008912CF">
          <w:rPr>
            <w:sz w:val="22"/>
            <w:szCs w:val="22"/>
          </w:rPr>
          <w:delText>Informe o seu médico se a criança é portadora do vírus da Hepatite B (HBV), se tem o vírus HBV ativo ou se pensa que pode estar em risco de contrair HBV. O médico da sua criança deve avaliá-la para determinar se tem HBV. Humira pode causar reativação de HBV em pessoas portadoras deste vírus. Em alguns casos raros, especialmente se a sua criança tomar outros medicamentos que suprimem o sistema imunitário, a reativação de HBV pode pôr a vida dela em risco.</w:delText>
        </w:r>
      </w:del>
    </w:p>
    <w:p w14:paraId="07E568AE" w14:textId="1BF4EF4B" w:rsidR="003D66D7" w:rsidRDefault="003D66D7" w:rsidP="003D66D7">
      <w:pPr>
        <w:pStyle w:val="ListParagraph"/>
        <w:rPr>
          <w:del w:id="12767" w:author="AbbVie2" w:date="2025-05-14T10:22:00Z"/>
          <w:sz w:val="22"/>
          <w:szCs w:val="22"/>
        </w:rPr>
      </w:pPr>
    </w:p>
    <w:p w14:paraId="06ED8E17" w14:textId="1D3CB3D7" w:rsidR="004462A0" w:rsidRPr="00F03C54" w:rsidRDefault="00615769" w:rsidP="004462A0">
      <w:pPr>
        <w:numPr>
          <w:ilvl w:val="0"/>
          <w:numId w:val="17"/>
        </w:numPr>
        <w:tabs>
          <w:tab w:val="clear" w:pos="567"/>
          <w:tab w:val="num" w:pos="550"/>
        </w:tabs>
        <w:ind w:left="550" w:hanging="550"/>
        <w:rPr>
          <w:del w:id="12768" w:author="AbbVie2" w:date="2025-05-14T10:22:00Z"/>
          <w:sz w:val="22"/>
          <w:szCs w:val="22"/>
        </w:rPr>
      </w:pPr>
      <w:del w:id="12769" w:author="AbbVie2" w:date="2025-05-14T10:22:00Z">
        <w:r w:rsidRPr="00F03C54">
          <w:rPr>
            <w:sz w:val="22"/>
            <w:szCs w:val="22"/>
          </w:rPr>
          <w:delText>É importante informar o médico da sua criança se tiver sintomas de infeções, tais como febre, feridas, sensação de cansaço ou problemas dentários.</w:delText>
        </w:r>
      </w:del>
    </w:p>
    <w:p w14:paraId="6270C8A4" w14:textId="3CCC0F34" w:rsidR="003D66D7" w:rsidRPr="00F03C54" w:rsidRDefault="003D66D7" w:rsidP="003D66D7">
      <w:pPr>
        <w:pStyle w:val="ListParagraph"/>
        <w:rPr>
          <w:del w:id="12770" w:author="AbbVie2" w:date="2025-05-14T10:22:00Z"/>
          <w:sz w:val="22"/>
          <w:szCs w:val="22"/>
        </w:rPr>
      </w:pPr>
    </w:p>
    <w:p w14:paraId="1BCE35F0" w14:textId="345C0E0B" w:rsidR="004462A0" w:rsidRPr="00F03C54" w:rsidRDefault="00615769" w:rsidP="00F03C54">
      <w:pPr>
        <w:numPr>
          <w:ilvl w:val="0"/>
          <w:numId w:val="17"/>
        </w:numPr>
        <w:tabs>
          <w:tab w:val="clear" w:pos="567"/>
        </w:tabs>
        <w:ind w:left="550" w:hanging="550"/>
        <w:rPr>
          <w:del w:id="12771" w:author="AbbVie2" w:date="2025-05-14T10:22:00Z"/>
          <w:sz w:val="22"/>
          <w:szCs w:val="22"/>
        </w:rPr>
      </w:pPr>
      <w:del w:id="12772" w:author="AbbVie2" w:date="2025-05-14T10:22:00Z">
        <w:r w:rsidRPr="00F03C54">
          <w:rPr>
            <w:sz w:val="22"/>
            <w:szCs w:val="22"/>
          </w:rPr>
          <w:delText>Se a sua criança vai ser submetida a uma intervenção cirúrgica ou dentária, informe o seu médico que ela está a tomar Humira. O seu médico pode aconselhar a suspensão temporária de Humira.</w:delText>
        </w:r>
      </w:del>
    </w:p>
    <w:p w14:paraId="50F8036A" w14:textId="4A938C2B" w:rsidR="004462A0" w:rsidRPr="008912CF" w:rsidRDefault="004462A0" w:rsidP="004462A0">
      <w:pPr>
        <w:pStyle w:val="EndnoteText"/>
        <w:tabs>
          <w:tab w:val="clear" w:pos="567"/>
        </w:tabs>
        <w:rPr>
          <w:del w:id="12773" w:author="AbbVie2" w:date="2025-05-14T10:22:00Z"/>
          <w:szCs w:val="22"/>
        </w:rPr>
      </w:pPr>
    </w:p>
    <w:p w14:paraId="55A7E16F" w14:textId="3DEF32D0" w:rsidR="004462A0" w:rsidRPr="008912CF" w:rsidRDefault="00615769" w:rsidP="00F03C54">
      <w:pPr>
        <w:numPr>
          <w:ilvl w:val="0"/>
          <w:numId w:val="22"/>
        </w:numPr>
        <w:ind w:left="550" w:hanging="550"/>
        <w:rPr>
          <w:del w:id="12774" w:author="AbbVie2" w:date="2025-05-14T10:22:00Z"/>
          <w:sz w:val="22"/>
          <w:szCs w:val="22"/>
        </w:rPr>
      </w:pPr>
      <w:del w:id="12775" w:author="AbbVie2" w:date="2025-05-14T10:22:00Z">
        <w:r w:rsidRPr="008912CF">
          <w:rPr>
            <w:sz w:val="22"/>
            <w:szCs w:val="22"/>
          </w:rPr>
          <w:delText xml:space="preserve">Se a sua criança sofre </w:delText>
        </w:r>
        <w:r>
          <w:rPr>
            <w:sz w:val="22"/>
            <w:szCs w:val="22"/>
          </w:rPr>
          <w:delText>ou vier a desenvolver uma</w:delText>
        </w:r>
        <w:r w:rsidRPr="008912CF">
          <w:rPr>
            <w:sz w:val="22"/>
            <w:szCs w:val="22"/>
          </w:rPr>
          <w:delText xml:space="preserve"> doença desmielinizante tal como esclerose múltipla, o seu médico irá decidir se ela pode utilizar </w:delText>
        </w:r>
        <w:r>
          <w:rPr>
            <w:sz w:val="22"/>
            <w:szCs w:val="22"/>
          </w:rPr>
          <w:delText xml:space="preserve">ou continuar a utilizar </w:delText>
        </w:r>
        <w:r w:rsidRPr="008912CF">
          <w:rPr>
            <w:sz w:val="22"/>
            <w:szCs w:val="22"/>
          </w:rPr>
          <w:delText>Humira.</w:delText>
        </w:r>
        <w:r>
          <w:rPr>
            <w:sz w:val="22"/>
            <w:szCs w:val="22"/>
          </w:rPr>
          <w:delText xml:space="preserve"> Caso a sua criança tiver sintomas, tais como alterações na visão, fraqueza nos braços ou pernas ou dormência ou formigueiro em qualquer parte do corpo, informe imediatamente o seu médico. </w:delText>
        </w:r>
      </w:del>
    </w:p>
    <w:p w14:paraId="248036B1" w14:textId="1C7D243D" w:rsidR="004462A0" w:rsidRPr="008912CF" w:rsidRDefault="004462A0" w:rsidP="004462A0">
      <w:pPr>
        <w:rPr>
          <w:del w:id="12776" w:author="AbbVie2" w:date="2025-05-14T10:22:00Z"/>
          <w:sz w:val="22"/>
          <w:szCs w:val="22"/>
        </w:rPr>
      </w:pPr>
    </w:p>
    <w:p w14:paraId="65BEF632" w14:textId="2C21F267" w:rsidR="004462A0" w:rsidRPr="008912CF" w:rsidRDefault="00615769" w:rsidP="004462A0">
      <w:pPr>
        <w:numPr>
          <w:ilvl w:val="0"/>
          <w:numId w:val="23"/>
        </w:numPr>
        <w:rPr>
          <w:del w:id="12777" w:author="AbbVie2" w:date="2025-05-14T10:22:00Z"/>
          <w:sz w:val="22"/>
          <w:szCs w:val="22"/>
        </w:rPr>
      </w:pPr>
      <w:del w:id="12778" w:author="AbbVie2" w:date="2025-05-14T10:22:00Z">
        <w:r w:rsidRPr="008912CF">
          <w:rPr>
            <w:sz w:val="22"/>
            <w:szCs w:val="22"/>
          </w:rPr>
          <w:delText>Certas vacinas podem causar infeções e não devem ser administradas em conjunto com Humira. Contacte o seu médico antes de a criança receber qualquer vacina. Recomenda-se que as crianças, antes de iniciarem o tratamento com Humira, se possível, sejam informadas sobre todas as vacinas, de acordo com o atual plano de vacinação nacional. Se utilizou Humira durante a gravidez, o seu bebé pode ter um risco superior de ter tais infeções até, aproximadamente, cinco meses após a última dose que administrou durante a</w:delText>
        </w:r>
        <w:r w:rsidRPr="008912CF">
          <w:rPr>
            <w:sz w:val="22"/>
            <w:szCs w:val="22"/>
          </w:rPr>
          <w:delText xml:space="preserve"> gravidez. É importante que diga ao médico do seu bebé e a outros profissionais de saúde que usou Humira durante a sua gravidez, para que estes possam decidir quando pode ser dada qualquer vacina ao seu bebé.</w:delText>
        </w:r>
      </w:del>
    </w:p>
    <w:p w14:paraId="69F7CA75" w14:textId="2D5D18CF" w:rsidR="004462A0" w:rsidRPr="008912CF" w:rsidRDefault="004462A0" w:rsidP="004462A0">
      <w:pPr>
        <w:rPr>
          <w:del w:id="12779" w:author="AbbVie2" w:date="2025-05-14T10:22:00Z"/>
          <w:sz w:val="22"/>
          <w:szCs w:val="22"/>
        </w:rPr>
      </w:pPr>
    </w:p>
    <w:p w14:paraId="621ED2BA" w14:textId="54363450" w:rsidR="004462A0" w:rsidRPr="008912CF" w:rsidRDefault="00615769" w:rsidP="004462A0">
      <w:pPr>
        <w:numPr>
          <w:ilvl w:val="0"/>
          <w:numId w:val="23"/>
        </w:numPr>
        <w:rPr>
          <w:del w:id="12780" w:author="AbbVie2" w:date="2025-05-14T10:22:00Z"/>
          <w:sz w:val="22"/>
          <w:szCs w:val="22"/>
        </w:rPr>
      </w:pPr>
      <w:del w:id="12781" w:author="AbbVie2" w:date="2025-05-14T10:22:00Z">
        <w:r w:rsidRPr="008912CF">
          <w:rPr>
            <w:sz w:val="22"/>
            <w:szCs w:val="22"/>
          </w:rPr>
          <w:delText>Se a sua criança sofre de insuficiência cardíaca ligeira e está a ser tratada com Humira, o estado da insuficiência cardíaca dela deve ser controlado cuidadosamente pelo seu médico. Deve informar o seu médico se a criança sofre ou já sofreu de algum problema cardíaco grave. Caso a sua criança desenvolva novos sintomas ou agravamento dos sintomas de insuficiência cardíaca (por exemplo, falta de ar ou inchaço dos pés), deve contactar o seu médico imediatamente. O seu médico irá decidir se a criança pode utili</w:delText>
        </w:r>
        <w:r w:rsidRPr="008912CF">
          <w:rPr>
            <w:sz w:val="22"/>
            <w:szCs w:val="22"/>
          </w:rPr>
          <w:delText>zar Humira.</w:delText>
        </w:r>
      </w:del>
    </w:p>
    <w:p w14:paraId="53871CCF" w14:textId="3E81BC53" w:rsidR="004462A0" w:rsidRPr="008912CF" w:rsidRDefault="004462A0" w:rsidP="004462A0">
      <w:pPr>
        <w:rPr>
          <w:del w:id="12782" w:author="AbbVie2" w:date="2025-05-14T10:22:00Z"/>
          <w:sz w:val="22"/>
          <w:szCs w:val="22"/>
        </w:rPr>
      </w:pPr>
    </w:p>
    <w:p w14:paraId="016918FB" w14:textId="553FB32B" w:rsidR="004462A0" w:rsidRPr="008912CF" w:rsidRDefault="00615769" w:rsidP="004462A0">
      <w:pPr>
        <w:numPr>
          <w:ilvl w:val="0"/>
          <w:numId w:val="23"/>
        </w:numPr>
        <w:rPr>
          <w:del w:id="12783" w:author="AbbVie2" w:date="2025-05-14T10:22:00Z"/>
          <w:sz w:val="22"/>
          <w:szCs w:val="22"/>
        </w:rPr>
      </w:pPr>
      <w:del w:id="12784" w:author="AbbVie2" w:date="2025-05-14T10:22:00Z">
        <w:r w:rsidRPr="008912CF">
          <w:rPr>
            <w:sz w:val="22"/>
            <w:szCs w:val="22"/>
          </w:rPr>
          <w:delText>Em alguns doentes o organismo pode ser incapaz de produzir células sanguíneas suficientes que ajudem o organismo da sua criança a combater infeções ou ajudem a parar hemorragias. Caso verifique febre na sua criança que se mantenha, nódoas negras ou perdas de sangue muito facilmente ou que apresente um aspeto pálido, informe imediatamente o seu médico. O seu médico pode decidir suspender o tratamento.</w:delText>
        </w:r>
      </w:del>
    </w:p>
    <w:p w14:paraId="37EFF840" w14:textId="07C94DF8" w:rsidR="004462A0" w:rsidRPr="008912CF" w:rsidRDefault="004462A0" w:rsidP="004462A0">
      <w:pPr>
        <w:rPr>
          <w:del w:id="12785" w:author="AbbVie2" w:date="2025-05-14T10:22:00Z"/>
          <w:sz w:val="22"/>
          <w:szCs w:val="22"/>
        </w:rPr>
      </w:pPr>
    </w:p>
    <w:p w14:paraId="0C138965" w14:textId="682ECDFE" w:rsidR="004462A0" w:rsidRPr="008912CF" w:rsidRDefault="00615769" w:rsidP="004462A0">
      <w:pPr>
        <w:numPr>
          <w:ilvl w:val="0"/>
          <w:numId w:val="23"/>
        </w:numPr>
        <w:rPr>
          <w:del w:id="12786" w:author="AbbVie2" w:date="2025-05-14T10:22:00Z"/>
          <w:sz w:val="22"/>
          <w:szCs w:val="22"/>
        </w:rPr>
      </w:pPr>
      <w:del w:id="12787" w:author="AbbVie2" w:date="2025-05-14T10:22:00Z">
        <w:r w:rsidRPr="008912CF">
          <w:rPr>
            <w:sz w:val="22"/>
            <w:szCs w:val="22"/>
          </w:rPr>
          <w:delText>T</w:delText>
        </w:r>
        <w:r w:rsidR="00B00E30">
          <w:rPr>
            <w:sz w:val="22"/>
            <w:szCs w:val="22"/>
          </w:rPr>
          <w:delText>ê</w:delText>
        </w:r>
        <w:r w:rsidRPr="008912CF">
          <w:rPr>
            <w:sz w:val="22"/>
            <w:szCs w:val="22"/>
          </w:rPr>
          <w:delText>m ocorrido</w:delText>
        </w:r>
        <w:r w:rsidR="00B00E30">
          <w:rPr>
            <w:sz w:val="22"/>
            <w:szCs w:val="22"/>
          </w:rPr>
          <w:delText>,</w:delText>
        </w:r>
        <w:r w:rsidRPr="008912CF">
          <w:rPr>
            <w:sz w:val="22"/>
            <w:szCs w:val="22"/>
          </w:rPr>
          <w:delText xml:space="preserve"> em casos muito raros, certos tipos de cancro em crianças e adultos doentes tratados com Humira ou com outros antagonistas TNF. Doentes com artrite reumatoide muito grave que tenham doença prolongada podem ter um maior risco médio de aparecimento de linfoma (</w:delText>
        </w:r>
        <w:r w:rsidR="00DB43D8">
          <w:rPr>
            <w:sz w:val="22"/>
            <w:szCs w:val="22"/>
          </w:rPr>
          <w:delText>um</w:delText>
        </w:r>
        <w:r w:rsidRPr="008912CF">
          <w:rPr>
            <w:sz w:val="22"/>
            <w:szCs w:val="22"/>
          </w:rPr>
          <w:delText xml:space="preserve"> cancro que afeta o sistema linfático) e leucemia (</w:delText>
        </w:r>
        <w:r w:rsidR="00DB43D8">
          <w:rPr>
            <w:sz w:val="22"/>
            <w:szCs w:val="22"/>
          </w:rPr>
          <w:delText>um</w:delText>
        </w:r>
        <w:r w:rsidRPr="008912CF">
          <w:rPr>
            <w:sz w:val="22"/>
            <w:szCs w:val="22"/>
          </w:rPr>
          <w:delText xml:space="preserve"> cancro que afeta o sangue e medula óssea). Se a sua criança toma Humira o risco de ter linfoma, leucemia, ou outro tipo de cancro pode aumentar. Em raras ocasiões, em doentes tratados c</w:delText>
        </w:r>
        <w:r w:rsidRPr="008912CF">
          <w:rPr>
            <w:sz w:val="22"/>
            <w:szCs w:val="22"/>
          </w:rPr>
          <w:delText xml:space="preserve">om Humira, foi notificado um tipo de linfoma </w:delText>
        </w:r>
        <w:r w:rsidR="00712F4C">
          <w:rPr>
            <w:sz w:val="22"/>
            <w:szCs w:val="22"/>
          </w:rPr>
          <w:delText xml:space="preserve">pouco frequente </w:delText>
        </w:r>
        <w:r w:rsidRPr="008912CF">
          <w:rPr>
            <w:sz w:val="22"/>
            <w:szCs w:val="22"/>
          </w:rPr>
          <w:delText>e grave. Alguns destes doentes foram também tratados com azatioprina ou 6-mercaptopurina. Diga ao seu médico se a sua criança estiver a tomar azatioprina ou 6-mercaptopurina com Humira. Adicionalmente, foram observados casos de neoplasias cutâneas não melanomas em doentes tratados com Humira. Se aparecerem novas lesões de pele durante ou depois do tratamento, ou se existirem alterações no aspeto de lesões existentes, informe o seu médico.</w:delText>
        </w:r>
      </w:del>
    </w:p>
    <w:p w14:paraId="648A93F9" w14:textId="66A17AB6" w:rsidR="004462A0" w:rsidRPr="008912CF" w:rsidRDefault="004462A0" w:rsidP="004462A0">
      <w:pPr>
        <w:rPr>
          <w:del w:id="12788" w:author="AbbVie2" w:date="2025-05-14T10:22:00Z"/>
          <w:sz w:val="22"/>
          <w:szCs w:val="22"/>
        </w:rPr>
      </w:pPr>
    </w:p>
    <w:p w14:paraId="335B9EB6" w14:textId="44FF1334" w:rsidR="004462A0" w:rsidRDefault="00615769" w:rsidP="004462A0">
      <w:pPr>
        <w:numPr>
          <w:ilvl w:val="0"/>
          <w:numId w:val="23"/>
        </w:numPr>
        <w:rPr>
          <w:del w:id="12789" w:author="AbbVie2" w:date="2025-05-14T10:22:00Z"/>
          <w:sz w:val="22"/>
          <w:szCs w:val="22"/>
        </w:rPr>
      </w:pPr>
      <w:del w:id="12790" w:author="AbbVie2" w:date="2025-05-14T10:22:00Z">
        <w:r w:rsidRPr="008912CF">
          <w:rPr>
            <w:sz w:val="22"/>
            <w:szCs w:val="22"/>
          </w:rPr>
          <w:delText>Existem casos de cancros, para além de linfoma, em doentes com um tipo específico de doença pulmonar denominada Doença Pulmonar Obstrutiva Crónica (DPOC) tratados com outros antagonistas TNF. Se a sua criança tem DPOC ou se fuma muito, deve falar com o seu médico para saber se o tratamento com um bloqueador TNF é adequado.</w:delText>
        </w:r>
      </w:del>
    </w:p>
    <w:p w14:paraId="5CE46B21" w14:textId="0890830B" w:rsidR="00FB24F2" w:rsidRDefault="00FB24F2" w:rsidP="00F03C54">
      <w:pPr>
        <w:pStyle w:val="ListParagraph"/>
        <w:rPr>
          <w:del w:id="12791" w:author="AbbVie2" w:date="2025-05-14T10:22:00Z"/>
          <w:sz w:val="22"/>
          <w:szCs w:val="22"/>
        </w:rPr>
      </w:pPr>
    </w:p>
    <w:p w14:paraId="41EEC7FA" w14:textId="228D0890" w:rsidR="00FB24F2" w:rsidRPr="008912CF" w:rsidRDefault="00615769" w:rsidP="00FB24F2">
      <w:pPr>
        <w:numPr>
          <w:ilvl w:val="0"/>
          <w:numId w:val="23"/>
        </w:numPr>
        <w:rPr>
          <w:del w:id="12792" w:author="AbbVie2" w:date="2025-05-14T10:22:00Z"/>
          <w:sz w:val="22"/>
          <w:szCs w:val="22"/>
        </w:rPr>
      </w:pPr>
      <w:del w:id="12793" w:author="AbbVie2" w:date="2025-05-14T10:22:00Z">
        <w:r w:rsidRPr="00FB24F2">
          <w:rPr>
            <w:sz w:val="22"/>
            <w:szCs w:val="22"/>
          </w:rPr>
          <w:delText>Em raras ocasiões, o tratamento com Humira pode dar origem a sintomas sugestivos de uma síndrome tipo lúpus. Contacte o seu médico se ocorrerem sintomas tais como inesperada erupção cutânea persistente, febre, dor nas articulações ou cansaço</w:delText>
        </w:r>
        <w:r w:rsidR="0093025B">
          <w:rPr>
            <w:sz w:val="22"/>
            <w:szCs w:val="22"/>
          </w:rPr>
          <w:delText>.</w:delText>
        </w:r>
      </w:del>
    </w:p>
    <w:p w14:paraId="007A8662" w14:textId="178E53FB" w:rsidR="004462A0" w:rsidRPr="008912CF" w:rsidRDefault="004462A0" w:rsidP="004462A0">
      <w:pPr>
        <w:rPr>
          <w:del w:id="12794" w:author="AbbVie2" w:date="2025-05-14T10:22:00Z"/>
          <w:sz w:val="22"/>
          <w:szCs w:val="22"/>
        </w:rPr>
      </w:pPr>
    </w:p>
    <w:p w14:paraId="778218CB" w14:textId="764FFDAA" w:rsidR="004462A0" w:rsidRPr="008912CF" w:rsidRDefault="00615769" w:rsidP="004462A0">
      <w:pPr>
        <w:suppressAutoHyphens/>
        <w:rPr>
          <w:del w:id="12795" w:author="AbbVie2" w:date="2025-05-14T10:22:00Z"/>
          <w:b/>
          <w:bCs/>
          <w:sz w:val="22"/>
          <w:szCs w:val="22"/>
        </w:rPr>
      </w:pPr>
      <w:del w:id="12796" w:author="AbbVie2" w:date="2025-05-14T10:22:00Z">
        <w:r w:rsidRPr="008912CF">
          <w:rPr>
            <w:b/>
            <w:bCs/>
            <w:sz w:val="22"/>
            <w:szCs w:val="22"/>
          </w:rPr>
          <w:delText>Outros medicamentos e Humira</w:delText>
        </w:r>
      </w:del>
    </w:p>
    <w:p w14:paraId="54FE109E" w14:textId="75C34C7B" w:rsidR="004462A0" w:rsidRPr="008912CF" w:rsidRDefault="004462A0" w:rsidP="004462A0">
      <w:pPr>
        <w:rPr>
          <w:del w:id="12797" w:author="AbbVie2" w:date="2025-05-14T10:22:00Z"/>
        </w:rPr>
      </w:pPr>
    </w:p>
    <w:p w14:paraId="31D05FEE" w14:textId="7555A6C4" w:rsidR="004462A0" w:rsidRPr="008912CF" w:rsidRDefault="00615769" w:rsidP="004462A0">
      <w:pPr>
        <w:rPr>
          <w:del w:id="12798" w:author="AbbVie2" w:date="2025-05-14T10:22:00Z"/>
          <w:sz w:val="22"/>
          <w:szCs w:val="22"/>
        </w:rPr>
      </w:pPr>
      <w:del w:id="12799" w:author="AbbVie2" w:date="2025-05-14T10:22:00Z">
        <w:r w:rsidRPr="008912CF">
          <w:rPr>
            <w:sz w:val="22"/>
            <w:szCs w:val="22"/>
          </w:rPr>
          <w:delText>Informe o médico ou farmacêutico da sua criança se ela estiver a tomar, tiver tomado recentemente, ou se vier a tomar outros medicamentos.</w:delText>
        </w:r>
      </w:del>
    </w:p>
    <w:p w14:paraId="21FD01D5" w14:textId="71EBA755" w:rsidR="004462A0" w:rsidRPr="008912CF" w:rsidRDefault="004462A0" w:rsidP="004462A0">
      <w:pPr>
        <w:pStyle w:val="EndnoteText"/>
        <w:tabs>
          <w:tab w:val="clear" w:pos="567"/>
        </w:tabs>
        <w:rPr>
          <w:del w:id="12800" w:author="AbbVie2" w:date="2025-05-14T10:22:00Z"/>
          <w:szCs w:val="22"/>
        </w:rPr>
      </w:pPr>
    </w:p>
    <w:p w14:paraId="023C1017" w14:textId="2CCDC7E0" w:rsidR="004462A0" w:rsidRPr="008912CF" w:rsidRDefault="00615769" w:rsidP="004462A0">
      <w:pPr>
        <w:pStyle w:val="EndnoteText"/>
        <w:tabs>
          <w:tab w:val="clear" w:pos="567"/>
        </w:tabs>
        <w:rPr>
          <w:del w:id="12801" w:author="AbbVie2" w:date="2025-05-14T10:22:00Z"/>
          <w:szCs w:val="22"/>
        </w:rPr>
      </w:pPr>
      <w:del w:id="12802" w:author="AbbVie2" w:date="2025-05-14T10:22:00Z">
        <w:r w:rsidRPr="008912CF">
          <w:rPr>
            <w:szCs w:val="22"/>
          </w:rPr>
          <w:delText>Humira pode ser utilizado em conjunto com metotrexato ou com certos medicamentos anti</w:delText>
        </w:r>
        <w:r w:rsidR="00F96DDF">
          <w:rPr>
            <w:szCs w:val="22"/>
          </w:rPr>
          <w:delText>-</w:delText>
        </w:r>
        <w:r w:rsidRPr="008912CF">
          <w:rPr>
            <w:szCs w:val="22"/>
          </w:rPr>
          <w:delText>reumatismais modificadores da doença (</w:delText>
        </w:r>
        <w:r w:rsidR="00712F4C">
          <w:rPr>
            <w:szCs w:val="22"/>
          </w:rPr>
          <w:delText xml:space="preserve">por exemplo, </w:delText>
        </w:r>
        <w:r w:rsidRPr="008912CF">
          <w:rPr>
            <w:szCs w:val="22"/>
          </w:rPr>
          <w:delText>sulfassalazina, hidroxicloroquina, leflunomid</w:delText>
        </w:r>
        <w:r w:rsidR="00082F0B">
          <w:rPr>
            <w:szCs w:val="22"/>
          </w:rPr>
          <w:delText>a</w:delText>
        </w:r>
        <w:r w:rsidRPr="008912CF">
          <w:rPr>
            <w:szCs w:val="22"/>
          </w:rPr>
          <w:delText xml:space="preserve"> e preparações injetáveis de sais de ouro), corticosteroides ou medicamentos analgésicos, incluindo </w:delText>
        </w:r>
        <w:r w:rsidR="003570FF">
          <w:rPr>
            <w:szCs w:val="22"/>
          </w:rPr>
          <w:delText>medicamentos</w:delText>
        </w:r>
        <w:r w:rsidR="003570FF" w:rsidRPr="008912CF">
          <w:rPr>
            <w:szCs w:val="22"/>
          </w:rPr>
          <w:delText xml:space="preserve"> </w:delText>
        </w:r>
        <w:r w:rsidRPr="008912CF">
          <w:rPr>
            <w:szCs w:val="22"/>
          </w:rPr>
          <w:delText>anti-inflamatórios não esteroides (AINEs).</w:delText>
        </w:r>
      </w:del>
    </w:p>
    <w:p w14:paraId="5541EF50" w14:textId="6D79B7B6" w:rsidR="004462A0" w:rsidRPr="008912CF" w:rsidRDefault="004462A0" w:rsidP="004462A0">
      <w:pPr>
        <w:ind w:right="-2"/>
        <w:rPr>
          <w:del w:id="12803" w:author="AbbVie2" w:date="2025-05-14T10:22:00Z"/>
          <w:sz w:val="22"/>
          <w:szCs w:val="22"/>
        </w:rPr>
      </w:pPr>
    </w:p>
    <w:p w14:paraId="5D86A94E" w14:textId="6D8285A5" w:rsidR="004462A0" w:rsidRPr="008912CF" w:rsidRDefault="00615769" w:rsidP="004462A0">
      <w:pPr>
        <w:rPr>
          <w:del w:id="12804" w:author="AbbVie2" w:date="2025-05-14T10:22:00Z"/>
          <w:sz w:val="22"/>
          <w:szCs w:val="22"/>
        </w:rPr>
      </w:pPr>
      <w:del w:id="12805" w:author="AbbVie2" w:date="2025-05-14T10:22:00Z">
        <w:r w:rsidRPr="008912CF">
          <w:rPr>
            <w:sz w:val="22"/>
            <w:szCs w:val="22"/>
          </w:rPr>
          <w:delText>A sua criança não deve tomar Humira com medicamentos contendo a substância ativa ana</w:delText>
        </w:r>
        <w:r w:rsidR="00F7235D">
          <w:rPr>
            <w:sz w:val="22"/>
            <w:szCs w:val="22"/>
          </w:rPr>
          <w:delText>c</w:delText>
        </w:r>
        <w:r w:rsidRPr="008912CF">
          <w:rPr>
            <w:sz w:val="22"/>
            <w:szCs w:val="22"/>
          </w:rPr>
          <w:delText>inra ou abatacept</w:delText>
        </w:r>
        <w:r w:rsidR="00DF66EB">
          <w:rPr>
            <w:sz w:val="22"/>
            <w:szCs w:val="22"/>
          </w:rPr>
          <w:delText xml:space="preserve"> devido ao risco elevado de infeções graves</w:delText>
        </w:r>
        <w:r w:rsidRPr="008912CF">
          <w:rPr>
            <w:sz w:val="22"/>
            <w:szCs w:val="22"/>
          </w:rPr>
          <w:delText>. Se tiver qualquer dúvida, por favor pergunte ao seu médico.</w:delText>
        </w:r>
      </w:del>
    </w:p>
    <w:p w14:paraId="1219ECA1" w14:textId="434DF890" w:rsidR="004462A0" w:rsidRPr="008912CF" w:rsidRDefault="004462A0" w:rsidP="004462A0">
      <w:pPr>
        <w:rPr>
          <w:del w:id="12806" w:author="AbbVie2" w:date="2025-05-14T10:22:00Z"/>
          <w:sz w:val="22"/>
          <w:szCs w:val="22"/>
        </w:rPr>
      </w:pPr>
    </w:p>
    <w:p w14:paraId="0797A76C" w14:textId="01BCE8EA" w:rsidR="004462A0" w:rsidRPr="008912CF" w:rsidRDefault="00615769" w:rsidP="004462A0">
      <w:pPr>
        <w:ind w:right="-2"/>
        <w:rPr>
          <w:del w:id="12807" w:author="AbbVie2" w:date="2025-05-14T10:22:00Z"/>
          <w:b/>
          <w:sz w:val="22"/>
          <w:szCs w:val="22"/>
        </w:rPr>
      </w:pPr>
      <w:del w:id="12808" w:author="AbbVie2" w:date="2025-05-14T10:22:00Z">
        <w:r w:rsidRPr="008912CF">
          <w:rPr>
            <w:b/>
            <w:sz w:val="22"/>
            <w:szCs w:val="22"/>
          </w:rPr>
          <w:delText>Gravidez e amamentação</w:delText>
        </w:r>
      </w:del>
    </w:p>
    <w:p w14:paraId="5FFE7FEC" w14:textId="474012ED" w:rsidR="004462A0" w:rsidRPr="008912CF" w:rsidRDefault="004462A0" w:rsidP="004462A0">
      <w:pPr>
        <w:ind w:right="-2"/>
        <w:rPr>
          <w:del w:id="12809" w:author="AbbVie2" w:date="2025-05-14T10:22:00Z"/>
          <w:bCs/>
          <w:sz w:val="22"/>
          <w:szCs w:val="22"/>
        </w:rPr>
      </w:pPr>
    </w:p>
    <w:p w14:paraId="417E6896" w14:textId="35741AD8" w:rsidR="00012B02" w:rsidRPr="00012B02" w:rsidRDefault="00615769" w:rsidP="00012B02">
      <w:pPr>
        <w:pStyle w:val="ListParagraph"/>
        <w:numPr>
          <w:ilvl w:val="0"/>
          <w:numId w:val="111"/>
        </w:numPr>
        <w:autoSpaceDE w:val="0"/>
        <w:autoSpaceDN w:val="0"/>
        <w:adjustRightInd w:val="0"/>
        <w:rPr>
          <w:del w:id="12810" w:author="AbbVie2" w:date="2025-05-14T10:22:00Z"/>
          <w:i/>
          <w:sz w:val="22"/>
          <w:szCs w:val="22"/>
        </w:rPr>
      </w:pPr>
      <w:del w:id="12811" w:author="AbbVie2" w:date="2025-05-14T10:22:00Z">
        <w:r w:rsidRPr="00012B02">
          <w:rPr>
            <w:sz w:val="22"/>
            <w:szCs w:val="22"/>
          </w:rPr>
          <w:delText xml:space="preserve">A sua criança </w:delText>
        </w:r>
        <w:r w:rsidR="00590E59" w:rsidRPr="00590E59">
          <w:rPr>
            <w:sz w:val="22"/>
            <w:szCs w:val="22"/>
          </w:rPr>
          <w:delText>deverá considerar a utilização de</w:delText>
        </w:r>
        <w:r w:rsidRPr="00012B02">
          <w:rPr>
            <w:sz w:val="22"/>
            <w:szCs w:val="22"/>
          </w:rPr>
          <w:delText xml:space="preserve"> um método contracetivo adequado </w:delText>
        </w:r>
        <w:r w:rsidR="00590E59" w:rsidRPr="00590E59">
          <w:rPr>
            <w:sz w:val="22"/>
            <w:szCs w:val="22"/>
          </w:rPr>
          <w:delText xml:space="preserve">para evitar </w:delText>
        </w:r>
        <w:r w:rsidR="002D1DA8">
          <w:rPr>
            <w:sz w:val="22"/>
            <w:szCs w:val="22"/>
          </w:rPr>
          <w:delText>a gravidez</w:delText>
        </w:r>
        <w:r w:rsidR="00590E59" w:rsidRPr="00590E59">
          <w:rPr>
            <w:sz w:val="22"/>
            <w:szCs w:val="22"/>
          </w:rPr>
          <w:delText xml:space="preserve"> </w:delText>
        </w:r>
        <w:r w:rsidR="002D1DA8">
          <w:rPr>
            <w:sz w:val="22"/>
            <w:szCs w:val="22"/>
          </w:rPr>
          <w:delText xml:space="preserve">e </w:delText>
        </w:r>
        <w:r w:rsidR="00590E59" w:rsidRPr="00590E59">
          <w:rPr>
            <w:sz w:val="22"/>
            <w:szCs w:val="22"/>
          </w:rPr>
          <w:delText>continua</w:delText>
        </w:r>
        <w:r w:rsidR="002D1DA8">
          <w:rPr>
            <w:sz w:val="22"/>
            <w:szCs w:val="22"/>
          </w:rPr>
          <w:delText>r</w:delText>
        </w:r>
        <w:r w:rsidR="00590E59" w:rsidRPr="00590E59">
          <w:rPr>
            <w:sz w:val="22"/>
            <w:szCs w:val="22"/>
          </w:rPr>
          <w:delText xml:space="preserve"> a </w:delText>
        </w:r>
        <w:r w:rsidR="002D1DA8">
          <w:rPr>
            <w:sz w:val="22"/>
            <w:szCs w:val="22"/>
          </w:rPr>
          <w:delText>utilizá-lo</w:delText>
        </w:r>
        <w:r w:rsidRPr="00012B02">
          <w:rPr>
            <w:sz w:val="22"/>
            <w:szCs w:val="22"/>
          </w:rPr>
          <w:delText xml:space="preserve"> durante pelo menos 5 meses após o último tratamento com Humira. </w:delText>
        </w:r>
      </w:del>
    </w:p>
    <w:p w14:paraId="297F12E4" w14:textId="708925F1" w:rsidR="004462A0" w:rsidRDefault="00615769" w:rsidP="00012B02">
      <w:pPr>
        <w:pStyle w:val="ListParagraph"/>
        <w:numPr>
          <w:ilvl w:val="0"/>
          <w:numId w:val="111"/>
        </w:numPr>
        <w:autoSpaceDE w:val="0"/>
        <w:autoSpaceDN w:val="0"/>
        <w:adjustRightInd w:val="0"/>
        <w:rPr>
          <w:del w:id="12812" w:author="AbbVie2" w:date="2025-05-14T10:22:00Z"/>
          <w:sz w:val="22"/>
          <w:szCs w:val="22"/>
        </w:rPr>
      </w:pPr>
      <w:del w:id="12813" w:author="AbbVie2" w:date="2025-05-14T10:22:00Z">
        <w:r w:rsidRPr="00012B02">
          <w:rPr>
            <w:sz w:val="22"/>
            <w:szCs w:val="22"/>
          </w:rPr>
          <w:delText>Se a sua criança está grávida, se pensa que a sua criança pode estar grávida</w:delText>
        </w:r>
        <w:r>
          <w:rPr>
            <w:sz w:val="22"/>
            <w:szCs w:val="22"/>
          </w:rPr>
          <w:delText xml:space="preserve"> ou se planeia engravidar, aconselhe-se com o médico </w:delText>
        </w:r>
        <w:r w:rsidR="00012B02">
          <w:rPr>
            <w:sz w:val="22"/>
            <w:szCs w:val="22"/>
          </w:rPr>
          <w:delText xml:space="preserve">da sua criança </w:delText>
        </w:r>
        <w:r>
          <w:rPr>
            <w:sz w:val="22"/>
            <w:szCs w:val="22"/>
          </w:rPr>
          <w:delText xml:space="preserve">antes </w:delText>
        </w:r>
        <w:r w:rsidR="00012B02">
          <w:rPr>
            <w:sz w:val="22"/>
            <w:szCs w:val="22"/>
          </w:rPr>
          <w:delText xml:space="preserve">de </w:delText>
        </w:r>
        <w:r>
          <w:rPr>
            <w:sz w:val="22"/>
            <w:szCs w:val="22"/>
          </w:rPr>
          <w:delText>u</w:delText>
        </w:r>
        <w:r w:rsidR="00E627F1">
          <w:rPr>
            <w:sz w:val="22"/>
            <w:szCs w:val="22"/>
          </w:rPr>
          <w:delText>tiliza</w:delText>
        </w:r>
        <w:r>
          <w:rPr>
            <w:sz w:val="22"/>
            <w:szCs w:val="22"/>
          </w:rPr>
          <w:delText>r esta terapêutica.</w:delText>
        </w:r>
      </w:del>
    </w:p>
    <w:p w14:paraId="0B048AD9" w14:textId="6D00DFE3" w:rsidR="00590E59" w:rsidRDefault="00615769" w:rsidP="00012B02">
      <w:pPr>
        <w:pStyle w:val="ListParagraph"/>
        <w:numPr>
          <w:ilvl w:val="0"/>
          <w:numId w:val="111"/>
        </w:numPr>
        <w:autoSpaceDE w:val="0"/>
        <w:autoSpaceDN w:val="0"/>
        <w:adjustRightInd w:val="0"/>
        <w:rPr>
          <w:del w:id="12814" w:author="AbbVie2" w:date="2025-05-14T10:22:00Z"/>
          <w:sz w:val="22"/>
          <w:szCs w:val="22"/>
        </w:rPr>
      </w:pPr>
      <w:del w:id="12815" w:author="AbbVie2" w:date="2025-05-14T10:22:00Z">
        <w:r>
          <w:rPr>
            <w:sz w:val="22"/>
            <w:szCs w:val="22"/>
          </w:rPr>
          <w:delText xml:space="preserve">Humira só deve ser utilizado durante </w:delText>
        </w:r>
        <w:r w:rsidR="005D73F4">
          <w:rPr>
            <w:sz w:val="22"/>
            <w:szCs w:val="22"/>
          </w:rPr>
          <w:delText>a gr</w:delText>
        </w:r>
        <w:r>
          <w:rPr>
            <w:sz w:val="22"/>
            <w:szCs w:val="22"/>
          </w:rPr>
          <w:delText>avidez se necessário.</w:delText>
        </w:r>
      </w:del>
    </w:p>
    <w:p w14:paraId="484F6E63" w14:textId="5A5E0E9C" w:rsidR="00590E59" w:rsidRDefault="00615769" w:rsidP="00012B02">
      <w:pPr>
        <w:pStyle w:val="ListParagraph"/>
        <w:numPr>
          <w:ilvl w:val="0"/>
          <w:numId w:val="111"/>
        </w:numPr>
        <w:autoSpaceDE w:val="0"/>
        <w:autoSpaceDN w:val="0"/>
        <w:adjustRightInd w:val="0"/>
        <w:rPr>
          <w:del w:id="12816" w:author="AbbVie2" w:date="2025-05-14T10:22:00Z"/>
          <w:sz w:val="22"/>
          <w:szCs w:val="22"/>
        </w:rPr>
      </w:pPr>
      <w:del w:id="12817" w:author="AbbVie2" w:date="2025-05-14T10:22:00Z">
        <w:r>
          <w:rPr>
            <w:sz w:val="22"/>
            <w:szCs w:val="22"/>
          </w:rPr>
          <w:delText xml:space="preserve">De acordo com um estudo </w:delText>
        </w:r>
        <w:r w:rsidR="00012B02">
          <w:rPr>
            <w:sz w:val="22"/>
            <w:szCs w:val="22"/>
          </w:rPr>
          <w:delText>na</w:delText>
        </w:r>
        <w:r>
          <w:rPr>
            <w:sz w:val="22"/>
            <w:szCs w:val="22"/>
          </w:rPr>
          <w:delText xml:space="preserve"> gravidez, não houve risco mais elevado de malformações congénitas quando a mãe recebeu Humira dura</w:delText>
        </w:r>
        <w:r w:rsidR="00BE2C13">
          <w:rPr>
            <w:sz w:val="22"/>
            <w:szCs w:val="22"/>
          </w:rPr>
          <w:delText>n</w:delText>
        </w:r>
        <w:r>
          <w:rPr>
            <w:sz w:val="22"/>
            <w:szCs w:val="22"/>
          </w:rPr>
          <w:delText>te a gravidez, em comparação com mães com a mesma doença que não receberam Humira.</w:delText>
        </w:r>
      </w:del>
    </w:p>
    <w:p w14:paraId="2A4AB7B7" w14:textId="30C3845B" w:rsidR="00590E59" w:rsidRPr="00012B02" w:rsidRDefault="00615769" w:rsidP="00012B02">
      <w:pPr>
        <w:pStyle w:val="ListParagraph"/>
        <w:numPr>
          <w:ilvl w:val="0"/>
          <w:numId w:val="111"/>
        </w:numPr>
        <w:autoSpaceDE w:val="0"/>
        <w:autoSpaceDN w:val="0"/>
        <w:adjustRightInd w:val="0"/>
        <w:rPr>
          <w:del w:id="12818" w:author="AbbVie2" w:date="2025-05-14T10:22:00Z"/>
          <w:sz w:val="22"/>
          <w:szCs w:val="22"/>
        </w:rPr>
      </w:pPr>
      <w:del w:id="12819" w:author="AbbVie2" w:date="2025-05-14T10:22:00Z">
        <w:r>
          <w:rPr>
            <w:sz w:val="22"/>
            <w:szCs w:val="22"/>
          </w:rPr>
          <w:delText>Humira pode ser utilizado durante a amamentação.</w:delText>
        </w:r>
      </w:del>
    </w:p>
    <w:p w14:paraId="0F76A29A" w14:textId="7D9D798D" w:rsidR="00590E59" w:rsidRDefault="00615769" w:rsidP="00191BE7">
      <w:pPr>
        <w:pStyle w:val="Heading8"/>
        <w:keepNext w:val="0"/>
        <w:numPr>
          <w:ilvl w:val="0"/>
          <w:numId w:val="154"/>
        </w:numPr>
        <w:rPr>
          <w:del w:id="12820" w:author="AbbVie2" w:date="2025-05-14T10:22:00Z"/>
          <w:b w:val="0"/>
          <w:szCs w:val="22"/>
        </w:rPr>
      </w:pPr>
      <w:del w:id="12821" w:author="AbbVie2" w:date="2025-05-14T10:22:00Z">
        <w:r w:rsidRPr="008912CF">
          <w:rPr>
            <w:b w:val="0"/>
            <w:szCs w:val="22"/>
          </w:rPr>
          <w:delText xml:space="preserve">Se durante a gravidez </w:delText>
        </w:r>
        <w:r w:rsidR="00012B02">
          <w:rPr>
            <w:b w:val="0"/>
            <w:szCs w:val="22"/>
          </w:rPr>
          <w:delText xml:space="preserve">a sua criança </w:delText>
        </w:r>
        <w:r w:rsidRPr="008912CF">
          <w:rPr>
            <w:b w:val="0"/>
            <w:szCs w:val="22"/>
          </w:rPr>
          <w:delText>utiliz</w:delText>
        </w:r>
        <w:r w:rsidR="00767DE3">
          <w:rPr>
            <w:b w:val="0"/>
            <w:szCs w:val="22"/>
          </w:rPr>
          <w:delText>ar</w:delText>
        </w:r>
        <w:r w:rsidRPr="008912CF">
          <w:rPr>
            <w:b w:val="0"/>
            <w:szCs w:val="22"/>
          </w:rPr>
          <w:delText xml:space="preserve"> Humira, o seu bebé pode ter um risco superior de ter uma infeção. </w:delText>
        </w:r>
      </w:del>
    </w:p>
    <w:p w14:paraId="5548AD7C" w14:textId="5A7663D3" w:rsidR="004462A0" w:rsidRPr="008912CF" w:rsidRDefault="00615769" w:rsidP="00191BE7">
      <w:pPr>
        <w:pStyle w:val="Heading8"/>
        <w:keepNext w:val="0"/>
        <w:numPr>
          <w:ilvl w:val="0"/>
          <w:numId w:val="154"/>
        </w:numPr>
        <w:rPr>
          <w:del w:id="12822" w:author="AbbVie2" w:date="2025-05-14T10:22:00Z"/>
          <w:b w:val="0"/>
          <w:szCs w:val="22"/>
        </w:rPr>
      </w:pPr>
      <w:del w:id="12823" w:author="AbbVie2" w:date="2025-05-14T10:22:00Z">
        <w:r w:rsidRPr="008912CF">
          <w:rPr>
            <w:b w:val="0"/>
            <w:szCs w:val="22"/>
          </w:rPr>
          <w:delText xml:space="preserve">É importante que diga ao médico do bebé e a outros profissionais de saúde que </w:delText>
        </w:r>
        <w:r w:rsidR="00012B02">
          <w:rPr>
            <w:b w:val="0"/>
            <w:szCs w:val="22"/>
          </w:rPr>
          <w:delText xml:space="preserve">a sua criança </w:delText>
        </w:r>
        <w:r w:rsidRPr="008912CF">
          <w:rPr>
            <w:b w:val="0"/>
            <w:szCs w:val="22"/>
          </w:rPr>
          <w:delText>usou Humira durante a gravidez antes que o seu bebé tome qualquer vacina.</w:delText>
        </w:r>
        <w:r w:rsidR="00AB5C4A">
          <w:rPr>
            <w:b w:val="0"/>
            <w:szCs w:val="22"/>
          </w:rPr>
          <w:delText xml:space="preserve"> </w:delText>
        </w:r>
        <w:r w:rsidR="00690057">
          <w:rPr>
            <w:b w:val="0"/>
            <w:szCs w:val="22"/>
          </w:rPr>
          <w:delText>Para mais informação sobre vacinação, ver secção “Advertências e precauções”.</w:delText>
        </w:r>
      </w:del>
    </w:p>
    <w:p w14:paraId="60344915" w14:textId="0AE08DFE" w:rsidR="004462A0" w:rsidRPr="008912CF" w:rsidRDefault="004462A0" w:rsidP="004462A0">
      <w:pPr>
        <w:rPr>
          <w:del w:id="12824" w:author="AbbVie2" w:date="2025-05-14T10:22:00Z"/>
          <w:sz w:val="22"/>
          <w:szCs w:val="22"/>
        </w:rPr>
      </w:pPr>
    </w:p>
    <w:p w14:paraId="50E49F11" w14:textId="0950764F" w:rsidR="004462A0" w:rsidRPr="008912CF" w:rsidRDefault="00615769" w:rsidP="004462A0">
      <w:pPr>
        <w:pStyle w:val="Heading8"/>
        <w:keepNext w:val="0"/>
        <w:rPr>
          <w:del w:id="12825" w:author="AbbVie2" w:date="2025-05-14T10:22:00Z"/>
          <w:szCs w:val="22"/>
        </w:rPr>
      </w:pPr>
      <w:del w:id="12826" w:author="AbbVie2" w:date="2025-05-14T10:22:00Z">
        <w:r w:rsidRPr="008912CF">
          <w:rPr>
            <w:szCs w:val="22"/>
          </w:rPr>
          <w:delText>Condução de veículos e utilização de máquinas</w:delText>
        </w:r>
      </w:del>
    </w:p>
    <w:p w14:paraId="6DB7335A" w14:textId="6ED75B96" w:rsidR="004462A0" w:rsidRPr="008912CF" w:rsidRDefault="004462A0" w:rsidP="004462A0">
      <w:pPr>
        <w:ind w:right="-2"/>
        <w:rPr>
          <w:del w:id="12827" w:author="AbbVie2" w:date="2025-05-14T10:22:00Z"/>
          <w:sz w:val="22"/>
          <w:szCs w:val="22"/>
        </w:rPr>
      </w:pPr>
    </w:p>
    <w:p w14:paraId="2839FE48" w14:textId="213C13BA" w:rsidR="004462A0" w:rsidRPr="008912CF" w:rsidRDefault="00615769" w:rsidP="004462A0">
      <w:pPr>
        <w:ind w:right="-2"/>
        <w:rPr>
          <w:del w:id="12828" w:author="AbbVie2" w:date="2025-05-14T10:22:00Z"/>
          <w:sz w:val="22"/>
          <w:szCs w:val="22"/>
        </w:rPr>
      </w:pPr>
      <w:del w:id="12829" w:author="AbbVie2" w:date="2025-05-14T10:22:00Z">
        <w:r w:rsidRPr="008912CF">
          <w:rPr>
            <w:sz w:val="22"/>
            <w:szCs w:val="22"/>
          </w:rPr>
          <w:delText xml:space="preserve">Humira pode ter uma pequena influência na capacidade de conduzir, andar de bicicleta ou utilizar máquinas. Depois de tomar Humira podem ocorrer vertigens e alterações da visão. </w:delText>
        </w:r>
      </w:del>
    </w:p>
    <w:p w14:paraId="53DCC9ED" w14:textId="18CD8A29" w:rsidR="004462A0" w:rsidRPr="008912CF" w:rsidRDefault="004462A0" w:rsidP="004462A0">
      <w:pPr>
        <w:ind w:right="-2"/>
        <w:rPr>
          <w:del w:id="12830" w:author="AbbVie2" w:date="2025-05-14T10:22:00Z"/>
          <w:sz w:val="22"/>
          <w:szCs w:val="22"/>
        </w:rPr>
      </w:pPr>
    </w:p>
    <w:p w14:paraId="583B64A9" w14:textId="6A5B2AC9" w:rsidR="004462A0" w:rsidRPr="00F03C54" w:rsidRDefault="00615769" w:rsidP="004462A0">
      <w:pPr>
        <w:ind w:right="-2"/>
        <w:rPr>
          <w:del w:id="12831" w:author="AbbVie2" w:date="2025-05-14T10:22:00Z"/>
          <w:b/>
          <w:sz w:val="22"/>
          <w:szCs w:val="22"/>
        </w:rPr>
      </w:pPr>
      <w:del w:id="12832" w:author="AbbVie2" w:date="2025-05-14T10:22:00Z">
        <w:r w:rsidRPr="00F03C54">
          <w:rPr>
            <w:b/>
            <w:sz w:val="22"/>
            <w:szCs w:val="22"/>
          </w:rPr>
          <w:delText>Humira contém sódio</w:delText>
        </w:r>
      </w:del>
    </w:p>
    <w:p w14:paraId="79917FE2" w14:textId="4685596E" w:rsidR="00DF66EB" w:rsidRDefault="00DF66EB" w:rsidP="004462A0">
      <w:pPr>
        <w:ind w:right="-2"/>
        <w:rPr>
          <w:del w:id="12833" w:author="AbbVie2" w:date="2025-05-14T10:22:00Z"/>
          <w:sz w:val="22"/>
          <w:szCs w:val="22"/>
        </w:rPr>
      </w:pPr>
    </w:p>
    <w:p w14:paraId="5DE3EECC" w14:textId="0740F301" w:rsidR="00DF66EB" w:rsidRPr="008912CF" w:rsidRDefault="00615769" w:rsidP="00DF66EB">
      <w:pPr>
        <w:rPr>
          <w:del w:id="12834" w:author="AbbVie2" w:date="2025-05-14T10:22:00Z"/>
          <w:iCs/>
          <w:sz w:val="22"/>
          <w:szCs w:val="22"/>
        </w:rPr>
      </w:pPr>
      <w:del w:id="12835" w:author="AbbVie2" w:date="2025-05-14T10:22:00Z">
        <w:r>
          <w:rPr>
            <w:iCs/>
            <w:sz w:val="22"/>
            <w:szCs w:val="22"/>
          </w:rPr>
          <w:delText>Este medicamento contém menos de 1 mmol de sódio (23 mg) por dose de 0,8 ml, praticamente “isento de sódio”.</w:delText>
        </w:r>
      </w:del>
    </w:p>
    <w:p w14:paraId="0C4CDEF4" w14:textId="61B714A0" w:rsidR="00DF66EB" w:rsidRDefault="00DF66EB" w:rsidP="004462A0">
      <w:pPr>
        <w:ind w:right="-2"/>
        <w:rPr>
          <w:del w:id="12836" w:author="AbbVie2" w:date="2025-05-14T10:22:00Z"/>
          <w:sz w:val="22"/>
          <w:szCs w:val="22"/>
        </w:rPr>
      </w:pPr>
    </w:p>
    <w:p w14:paraId="7C11FE1E" w14:textId="479F1EDB" w:rsidR="00DF66EB" w:rsidRPr="008912CF" w:rsidRDefault="00DF66EB" w:rsidP="004462A0">
      <w:pPr>
        <w:ind w:right="-2"/>
        <w:rPr>
          <w:del w:id="12837" w:author="AbbVie2" w:date="2025-05-14T10:22:00Z"/>
          <w:sz w:val="22"/>
          <w:szCs w:val="22"/>
        </w:rPr>
      </w:pPr>
    </w:p>
    <w:p w14:paraId="594ED00A" w14:textId="5C06C6BF" w:rsidR="004462A0" w:rsidRPr="008912CF" w:rsidRDefault="00615769" w:rsidP="004462A0">
      <w:pPr>
        <w:ind w:left="567" w:right="-2" w:hanging="567"/>
        <w:rPr>
          <w:del w:id="12838" w:author="AbbVie2" w:date="2025-05-14T10:22:00Z"/>
          <w:sz w:val="22"/>
          <w:szCs w:val="22"/>
        </w:rPr>
      </w:pPr>
      <w:del w:id="12839" w:author="AbbVie2" w:date="2025-05-14T10:22:00Z">
        <w:r w:rsidRPr="008912CF">
          <w:rPr>
            <w:b/>
            <w:sz w:val="22"/>
            <w:szCs w:val="22"/>
          </w:rPr>
          <w:delText>3.</w:delText>
        </w:r>
        <w:r w:rsidRPr="008912CF">
          <w:rPr>
            <w:b/>
            <w:sz w:val="22"/>
            <w:szCs w:val="22"/>
          </w:rPr>
          <w:tab/>
          <w:delText>Como utilizar Humira</w:delText>
        </w:r>
      </w:del>
    </w:p>
    <w:p w14:paraId="3F8FF550" w14:textId="0B037E15" w:rsidR="004462A0" w:rsidRPr="008912CF" w:rsidRDefault="004462A0" w:rsidP="004462A0">
      <w:pPr>
        <w:ind w:right="-2"/>
        <w:rPr>
          <w:del w:id="12840" w:author="AbbVie2" w:date="2025-05-14T10:22:00Z"/>
          <w:sz w:val="22"/>
          <w:szCs w:val="22"/>
        </w:rPr>
      </w:pPr>
    </w:p>
    <w:p w14:paraId="10C2C433" w14:textId="709D1D93" w:rsidR="004462A0" w:rsidRPr="008912CF" w:rsidRDefault="00615769" w:rsidP="004462A0">
      <w:pPr>
        <w:pStyle w:val="BodyText3"/>
        <w:rPr>
          <w:del w:id="12841" w:author="AbbVie2" w:date="2025-05-14T10:22:00Z"/>
          <w:szCs w:val="22"/>
        </w:rPr>
      </w:pPr>
      <w:del w:id="12842" w:author="AbbVie2" w:date="2025-05-14T10:22:00Z">
        <w:r w:rsidRPr="008912CF">
          <w:rPr>
            <w:szCs w:val="22"/>
          </w:rPr>
          <w:delText>Utilize este medicamento exatamente como indicado pelo médico ou farmacêutico da sua criança. Fale com o médico ou farmacêutico da sua criança se tiver dúvidas sobre algumas das instruções ou se tiver algumas questões.</w:delText>
        </w:r>
      </w:del>
    </w:p>
    <w:p w14:paraId="1AED8C9B" w14:textId="22BF90B6" w:rsidR="007C3593" w:rsidRDefault="00615769" w:rsidP="00F03C54">
      <w:pPr>
        <w:ind w:right="-2"/>
        <w:rPr>
          <w:del w:id="12843" w:author="AbbVie2" w:date="2025-05-14T10:22:00Z"/>
          <w:bCs/>
          <w:sz w:val="22"/>
          <w:szCs w:val="22"/>
        </w:rPr>
      </w:pPr>
      <w:del w:id="12844" w:author="AbbVie2" w:date="2025-05-14T10:22:00Z">
        <w:r>
          <w:rPr>
            <w:sz w:val="22"/>
            <w:szCs w:val="22"/>
          </w:rPr>
          <w:delText xml:space="preserve">O seu médico </w:delText>
        </w:r>
        <w:r w:rsidRPr="008912CF">
          <w:rPr>
            <w:bCs/>
            <w:sz w:val="22"/>
            <w:szCs w:val="22"/>
          </w:rPr>
          <w:delText xml:space="preserve">pode prescrever uma dose </w:delText>
        </w:r>
        <w:r>
          <w:rPr>
            <w:bCs/>
            <w:sz w:val="22"/>
            <w:szCs w:val="22"/>
          </w:rPr>
          <w:delText>diferente de Humira de acordo com as necessidades da sua criança.</w:delText>
        </w:r>
      </w:del>
    </w:p>
    <w:p w14:paraId="2637D301" w14:textId="2A1F6851" w:rsidR="004462A0" w:rsidRPr="008912CF" w:rsidRDefault="004462A0" w:rsidP="00F03C54">
      <w:pPr>
        <w:ind w:right="-2"/>
        <w:rPr>
          <w:del w:id="12845" w:author="AbbVie2" w:date="2025-05-14T10:22:00Z"/>
          <w:sz w:val="22"/>
          <w:szCs w:val="22"/>
        </w:rPr>
      </w:pPr>
    </w:p>
    <w:p w14:paraId="46A685C9" w14:textId="677B9E1A" w:rsidR="004462A0" w:rsidRDefault="00615769" w:rsidP="00B538F3">
      <w:pPr>
        <w:keepNext/>
        <w:ind w:right="-2"/>
        <w:rPr>
          <w:del w:id="12846" w:author="AbbVie2" w:date="2025-05-14T10:22:00Z"/>
          <w:sz w:val="22"/>
          <w:szCs w:val="22"/>
          <w:u w:val="single"/>
        </w:rPr>
      </w:pPr>
      <w:del w:id="12847" w:author="AbbVie2" w:date="2025-05-14T10:22:00Z">
        <w:r w:rsidRPr="008912CF">
          <w:rPr>
            <w:sz w:val="22"/>
            <w:szCs w:val="22"/>
            <w:u w:val="single"/>
          </w:rPr>
          <w:delText xml:space="preserve">Crianças </w:delText>
        </w:r>
        <w:r w:rsidR="007C3593">
          <w:rPr>
            <w:sz w:val="22"/>
            <w:szCs w:val="22"/>
            <w:u w:val="single"/>
          </w:rPr>
          <w:delText xml:space="preserve">e adolescentes </w:delText>
        </w:r>
        <w:r w:rsidRPr="008912CF">
          <w:rPr>
            <w:sz w:val="22"/>
            <w:szCs w:val="22"/>
            <w:u w:val="single"/>
          </w:rPr>
          <w:delText>com artrite idiopática juvenil poliarticular</w:delText>
        </w:r>
      </w:del>
    </w:p>
    <w:p w14:paraId="7D67413D" w14:textId="0C6D4B5A" w:rsidR="00572C7B" w:rsidRDefault="00572C7B" w:rsidP="00B538F3">
      <w:pPr>
        <w:keepNext/>
        <w:ind w:right="-2"/>
        <w:rPr>
          <w:del w:id="12848" w:author="AbbVie2" w:date="2025-05-14T10:22:00Z"/>
          <w:sz w:val="22"/>
          <w:szCs w:val="22"/>
          <w:u w:val="single"/>
        </w:rPr>
      </w:pPr>
    </w:p>
    <w:p w14:paraId="7D3EBD76" w14:textId="3E3ED8A6" w:rsidR="00572C7B" w:rsidRPr="00F03C54" w:rsidRDefault="00615769" w:rsidP="004462A0">
      <w:pPr>
        <w:ind w:right="-2"/>
        <w:rPr>
          <w:del w:id="12849" w:author="AbbVie2" w:date="2025-05-14T10:22:00Z"/>
          <w:bCs/>
          <w:i/>
          <w:sz w:val="22"/>
          <w:szCs w:val="22"/>
        </w:rPr>
      </w:pPr>
      <w:del w:id="12850" w:author="AbbVie2" w:date="2025-05-14T10:22:00Z">
        <w:r w:rsidRPr="00F03C54">
          <w:rPr>
            <w:bCs/>
            <w:i/>
            <w:sz w:val="22"/>
            <w:szCs w:val="22"/>
          </w:rPr>
          <w:delText>Crianças e adolescentes a partir dos 2 anos de idade com peso igual ou inferior a 30 kg</w:delText>
        </w:r>
      </w:del>
    </w:p>
    <w:p w14:paraId="6AF76541" w14:textId="0C0A2509" w:rsidR="00572C7B" w:rsidRDefault="00572C7B" w:rsidP="004462A0">
      <w:pPr>
        <w:ind w:right="-2"/>
        <w:rPr>
          <w:del w:id="12851" w:author="AbbVie2" w:date="2025-05-14T10:22:00Z"/>
          <w:bCs/>
          <w:sz w:val="22"/>
          <w:szCs w:val="22"/>
          <w:u w:val="single"/>
        </w:rPr>
      </w:pPr>
    </w:p>
    <w:p w14:paraId="2FF46587" w14:textId="1153DA10" w:rsidR="00572C7B" w:rsidRPr="00F03C54" w:rsidRDefault="00615769" w:rsidP="004462A0">
      <w:pPr>
        <w:ind w:right="-2"/>
        <w:rPr>
          <w:del w:id="12852" w:author="AbbVie2" w:date="2025-05-14T10:22:00Z"/>
          <w:sz w:val="22"/>
          <w:szCs w:val="22"/>
        </w:rPr>
      </w:pPr>
      <w:del w:id="12853" w:author="AbbVie2" w:date="2025-05-14T10:22:00Z">
        <w:r w:rsidRPr="00F03C54">
          <w:rPr>
            <w:sz w:val="22"/>
            <w:szCs w:val="22"/>
          </w:rPr>
          <w:delText>A dose recomendada de Humira é de 20 mg em semanas alternadas.</w:delText>
        </w:r>
      </w:del>
    </w:p>
    <w:p w14:paraId="4DE7A9B5" w14:textId="58E14AFD" w:rsidR="00572C7B" w:rsidRDefault="00572C7B" w:rsidP="004462A0">
      <w:pPr>
        <w:ind w:right="-2"/>
        <w:rPr>
          <w:del w:id="12854" w:author="AbbVie2" w:date="2025-05-14T10:22:00Z"/>
          <w:sz w:val="22"/>
          <w:szCs w:val="22"/>
          <w:u w:val="single"/>
        </w:rPr>
      </w:pPr>
    </w:p>
    <w:p w14:paraId="4B667166" w14:textId="586AA469" w:rsidR="00572C7B" w:rsidRPr="00F03C54" w:rsidRDefault="00615769" w:rsidP="004462A0">
      <w:pPr>
        <w:ind w:right="-2"/>
        <w:rPr>
          <w:del w:id="12855" w:author="AbbVie2" w:date="2025-05-14T10:22:00Z"/>
          <w:sz w:val="22"/>
          <w:szCs w:val="22"/>
        </w:rPr>
      </w:pPr>
      <w:del w:id="12856" w:author="AbbVie2" w:date="2025-05-14T10:22:00Z">
        <w:r w:rsidRPr="00F03C54">
          <w:rPr>
            <w:bCs/>
            <w:i/>
            <w:sz w:val="22"/>
            <w:szCs w:val="22"/>
          </w:rPr>
          <w:delText>Crianças e adolescentes a partir dos 2 anos de idade com peso igual ou superior a 30 kg</w:delText>
        </w:r>
      </w:del>
    </w:p>
    <w:p w14:paraId="34193E6E" w14:textId="0E32433D" w:rsidR="004462A0" w:rsidRPr="008912CF" w:rsidRDefault="004462A0" w:rsidP="004462A0">
      <w:pPr>
        <w:rPr>
          <w:del w:id="12857" w:author="AbbVie2" w:date="2025-05-14T10:22:00Z"/>
          <w:sz w:val="22"/>
          <w:szCs w:val="22"/>
        </w:rPr>
      </w:pPr>
    </w:p>
    <w:p w14:paraId="477CDCC6" w14:textId="101E81DC" w:rsidR="004462A0" w:rsidRPr="008912CF" w:rsidRDefault="00615769" w:rsidP="004462A0">
      <w:pPr>
        <w:rPr>
          <w:del w:id="12858" w:author="AbbVie2" w:date="2025-05-14T10:22:00Z"/>
          <w:sz w:val="22"/>
          <w:szCs w:val="22"/>
        </w:rPr>
      </w:pPr>
      <w:del w:id="12859" w:author="AbbVie2" w:date="2025-05-14T10:22:00Z">
        <w:r w:rsidRPr="008912CF">
          <w:rPr>
            <w:sz w:val="22"/>
            <w:szCs w:val="22"/>
          </w:rPr>
          <w:delText xml:space="preserve">A dose recomendada de Humira </w:delText>
        </w:r>
        <w:r w:rsidR="00572C7B">
          <w:rPr>
            <w:sz w:val="22"/>
            <w:szCs w:val="22"/>
          </w:rPr>
          <w:delText xml:space="preserve">é de 40 mg em semanas alternadas. </w:delText>
        </w:r>
      </w:del>
    </w:p>
    <w:p w14:paraId="1C2E7777" w14:textId="7D687CDB" w:rsidR="00A710A1" w:rsidRDefault="00A710A1" w:rsidP="004462A0">
      <w:pPr>
        <w:ind w:right="-2"/>
        <w:rPr>
          <w:del w:id="12860" w:author="AbbVie2" w:date="2025-05-14T10:22:00Z"/>
          <w:sz w:val="22"/>
          <w:szCs w:val="22"/>
          <w:u w:val="single"/>
        </w:rPr>
      </w:pPr>
    </w:p>
    <w:p w14:paraId="3DA9DA69" w14:textId="648B2525" w:rsidR="004462A0" w:rsidRPr="008912CF" w:rsidRDefault="00615769" w:rsidP="001242C2">
      <w:pPr>
        <w:keepNext/>
        <w:ind w:right="-2"/>
        <w:rPr>
          <w:del w:id="12861" w:author="AbbVie2" w:date="2025-05-14T10:22:00Z"/>
          <w:sz w:val="22"/>
          <w:szCs w:val="22"/>
          <w:u w:val="single"/>
        </w:rPr>
      </w:pPr>
      <w:del w:id="12862" w:author="AbbVie2" w:date="2025-05-14T10:22:00Z">
        <w:r w:rsidRPr="008912CF">
          <w:rPr>
            <w:sz w:val="22"/>
            <w:szCs w:val="22"/>
            <w:u w:val="single"/>
          </w:rPr>
          <w:delText>Crianças</w:delText>
        </w:r>
        <w:r w:rsidR="00572C7B">
          <w:rPr>
            <w:sz w:val="22"/>
            <w:szCs w:val="22"/>
            <w:u w:val="single"/>
          </w:rPr>
          <w:delText>, adolescentes e adultos</w:delText>
        </w:r>
        <w:r w:rsidRPr="008912CF">
          <w:rPr>
            <w:sz w:val="22"/>
            <w:szCs w:val="22"/>
            <w:u w:val="single"/>
          </w:rPr>
          <w:delText xml:space="preserve"> com artrite relacionada com entesite</w:delText>
        </w:r>
      </w:del>
    </w:p>
    <w:p w14:paraId="382CC13E" w14:textId="491CE3D8" w:rsidR="00572C7B" w:rsidRDefault="00572C7B" w:rsidP="001242C2">
      <w:pPr>
        <w:keepNext/>
        <w:ind w:right="-2"/>
        <w:rPr>
          <w:del w:id="12863" w:author="AbbVie2" w:date="2025-05-14T10:22:00Z"/>
          <w:sz w:val="22"/>
          <w:szCs w:val="22"/>
        </w:rPr>
      </w:pPr>
    </w:p>
    <w:p w14:paraId="27FE2BDC" w14:textId="472CD19D" w:rsidR="00572C7B" w:rsidRPr="00F03C54" w:rsidRDefault="00615769" w:rsidP="001242C2">
      <w:pPr>
        <w:keepNext/>
        <w:ind w:right="-2"/>
        <w:rPr>
          <w:del w:id="12864" w:author="AbbVie2" w:date="2025-05-14T10:22:00Z"/>
          <w:bCs/>
          <w:i/>
          <w:sz w:val="22"/>
          <w:szCs w:val="22"/>
        </w:rPr>
      </w:pPr>
      <w:del w:id="12865" w:author="AbbVie2" w:date="2025-05-14T10:22:00Z">
        <w:r w:rsidRPr="00F03C54">
          <w:rPr>
            <w:bCs/>
            <w:i/>
            <w:sz w:val="22"/>
            <w:szCs w:val="22"/>
          </w:rPr>
          <w:delText>Crianças e adolescentes a partir dos 6 anos de idade com peso igual a 15 kg e inferior a 30 kg</w:delText>
        </w:r>
      </w:del>
    </w:p>
    <w:p w14:paraId="5CE56392" w14:textId="1D725FDC" w:rsidR="00572C7B" w:rsidRDefault="00572C7B" w:rsidP="001242C2">
      <w:pPr>
        <w:keepNext/>
        <w:ind w:right="-2"/>
        <w:rPr>
          <w:del w:id="12866" w:author="AbbVie2" w:date="2025-05-14T10:22:00Z"/>
          <w:sz w:val="22"/>
          <w:szCs w:val="22"/>
        </w:rPr>
      </w:pPr>
    </w:p>
    <w:p w14:paraId="6729D145" w14:textId="7D6AF1A3" w:rsidR="00572C7B" w:rsidRDefault="00615769" w:rsidP="001242C2">
      <w:pPr>
        <w:keepNext/>
        <w:ind w:right="-2"/>
        <w:rPr>
          <w:del w:id="12867" w:author="AbbVie2" w:date="2025-05-14T10:22:00Z"/>
          <w:sz w:val="22"/>
          <w:szCs w:val="22"/>
          <w:u w:val="single"/>
        </w:rPr>
      </w:pPr>
      <w:del w:id="12868" w:author="AbbVie2" w:date="2025-05-14T10:22:00Z">
        <w:r w:rsidRPr="00F03C54">
          <w:rPr>
            <w:sz w:val="22"/>
            <w:szCs w:val="22"/>
          </w:rPr>
          <w:delText>A dose recomendada de Humira é de 20 mg em semanas alternadas</w:delText>
        </w:r>
        <w:r w:rsidRPr="001242C2">
          <w:rPr>
            <w:sz w:val="22"/>
            <w:szCs w:val="22"/>
          </w:rPr>
          <w:delText>.</w:delText>
        </w:r>
      </w:del>
    </w:p>
    <w:p w14:paraId="4A4E4039" w14:textId="0AC4EB23" w:rsidR="00572C7B" w:rsidRDefault="00572C7B" w:rsidP="004462A0">
      <w:pPr>
        <w:ind w:right="-2"/>
        <w:rPr>
          <w:del w:id="12869" w:author="AbbVie2" w:date="2025-05-14T10:22:00Z"/>
          <w:sz w:val="22"/>
          <w:szCs w:val="22"/>
        </w:rPr>
      </w:pPr>
    </w:p>
    <w:p w14:paraId="3702A3B9" w14:textId="4419A810" w:rsidR="00572C7B" w:rsidRPr="00F03C54" w:rsidRDefault="00615769" w:rsidP="00572C7B">
      <w:pPr>
        <w:ind w:right="-2"/>
        <w:rPr>
          <w:del w:id="12870" w:author="AbbVie2" w:date="2025-05-14T10:22:00Z"/>
          <w:sz w:val="22"/>
          <w:szCs w:val="22"/>
        </w:rPr>
      </w:pPr>
      <w:del w:id="12871" w:author="AbbVie2" w:date="2025-05-14T10:22:00Z">
        <w:r w:rsidRPr="00F03C54">
          <w:rPr>
            <w:bCs/>
            <w:i/>
            <w:sz w:val="22"/>
            <w:szCs w:val="22"/>
          </w:rPr>
          <w:delText>Crianças, adolescentes e adultos a partir dos 6 anos de idade com peso igual ou superior a 30 kg</w:delText>
        </w:r>
      </w:del>
    </w:p>
    <w:p w14:paraId="7B4FC1F3" w14:textId="27513838" w:rsidR="00572C7B" w:rsidRDefault="00572C7B" w:rsidP="004462A0">
      <w:pPr>
        <w:ind w:right="-2"/>
        <w:rPr>
          <w:del w:id="12872" w:author="AbbVie2" w:date="2025-05-14T10:22:00Z"/>
          <w:sz w:val="22"/>
          <w:szCs w:val="22"/>
        </w:rPr>
      </w:pPr>
    </w:p>
    <w:p w14:paraId="3DD08E00" w14:textId="327BE485" w:rsidR="00A710A1" w:rsidRDefault="00615769" w:rsidP="004462A0">
      <w:pPr>
        <w:ind w:right="-2"/>
        <w:rPr>
          <w:del w:id="12873" w:author="AbbVie2" w:date="2025-05-14T10:22:00Z"/>
          <w:sz w:val="22"/>
          <w:szCs w:val="22"/>
        </w:rPr>
      </w:pPr>
      <w:del w:id="12874" w:author="AbbVie2" w:date="2025-05-14T10:22:00Z">
        <w:r w:rsidRPr="00F03C54">
          <w:rPr>
            <w:sz w:val="22"/>
            <w:szCs w:val="22"/>
          </w:rPr>
          <w:delText>A dose recomendada de Humira é de 40 mg em semanas alternadas</w:delText>
        </w:r>
      </w:del>
    </w:p>
    <w:p w14:paraId="04E46042" w14:textId="55FA902A" w:rsidR="00A710A1" w:rsidRDefault="00A710A1" w:rsidP="004462A0">
      <w:pPr>
        <w:ind w:right="-2"/>
        <w:rPr>
          <w:del w:id="12875" w:author="AbbVie2" w:date="2025-05-14T10:22:00Z"/>
          <w:sz w:val="22"/>
          <w:szCs w:val="22"/>
        </w:rPr>
      </w:pPr>
    </w:p>
    <w:p w14:paraId="484D77AD" w14:textId="5B3B4850" w:rsidR="004462A0" w:rsidRPr="00A710A1" w:rsidRDefault="00615769" w:rsidP="004462A0">
      <w:pPr>
        <w:ind w:right="-2"/>
        <w:rPr>
          <w:del w:id="12876" w:author="AbbVie2" w:date="2025-05-14T10:22:00Z"/>
          <w:sz w:val="22"/>
          <w:szCs w:val="22"/>
          <w:u w:val="single"/>
        </w:rPr>
      </w:pPr>
      <w:del w:id="12877" w:author="AbbVie2" w:date="2025-05-14T10:22:00Z">
        <w:r w:rsidRPr="00A710A1">
          <w:rPr>
            <w:sz w:val="22"/>
            <w:szCs w:val="22"/>
            <w:u w:val="single"/>
          </w:rPr>
          <w:delText xml:space="preserve">Crianças </w:delText>
        </w:r>
        <w:r w:rsidR="00C30B7A" w:rsidRPr="00A710A1">
          <w:rPr>
            <w:sz w:val="22"/>
            <w:szCs w:val="22"/>
            <w:u w:val="single"/>
          </w:rPr>
          <w:delText xml:space="preserve">e </w:delText>
        </w:r>
        <w:r w:rsidRPr="00A710A1">
          <w:rPr>
            <w:sz w:val="22"/>
            <w:szCs w:val="22"/>
            <w:u w:val="single"/>
          </w:rPr>
          <w:delText>adolescentes com psoríase</w:delText>
        </w:r>
      </w:del>
    </w:p>
    <w:p w14:paraId="5EF50E6C" w14:textId="0C521502" w:rsidR="004462A0" w:rsidRDefault="004462A0" w:rsidP="004462A0">
      <w:pPr>
        <w:ind w:right="-2"/>
        <w:rPr>
          <w:del w:id="12878" w:author="AbbVie2" w:date="2025-05-14T10:22:00Z"/>
          <w:sz w:val="22"/>
          <w:szCs w:val="22"/>
        </w:rPr>
      </w:pPr>
    </w:p>
    <w:p w14:paraId="7A37389F" w14:textId="5C4119ED" w:rsidR="00C30B7A" w:rsidRDefault="00615769" w:rsidP="004462A0">
      <w:pPr>
        <w:ind w:right="-2"/>
        <w:rPr>
          <w:del w:id="12879" w:author="AbbVie2" w:date="2025-05-14T10:22:00Z"/>
          <w:i/>
          <w:sz w:val="22"/>
          <w:szCs w:val="22"/>
        </w:rPr>
      </w:pPr>
      <w:del w:id="12880" w:author="AbbVie2" w:date="2025-05-14T10:22:00Z">
        <w:r w:rsidRPr="00F03C54">
          <w:rPr>
            <w:i/>
            <w:sz w:val="22"/>
            <w:szCs w:val="22"/>
          </w:rPr>
          <w:delText>Crianças e adolescentes entre os 4 e os 17 anos de idade com peso igual a 15 kg ou inferior a 30 kg</w:delText>
        </w:r>
      </w:del>
    </w:p>
    <w:p w14:paraId="3384217A" w14:textId="488C8824" w:rsidR="00A710A1" w:rsidRPr="00F03C54" w:rsidRDefault="00A710A1" w:rsidP="004462A0">
      <w:pPr>
        <w:ind w:right="-2"/>
        <w:rPr>
          <w:del w:id="12881" w:author="AbbVie2" w:date="2025-05-14T10:22:00Z"/>
          <w:i/>
          <w:sz w:val="22"/>
          <w:szCs w:val="22"/>
        </w:rPr>
      </w:pPr>
    </w:p>
    <w:p w14:paraId="6F050695" w14:textId="43F693B7" w:rsidR="004462A0" w:rsidRDefault="00615769" w:rsidP="004462A0">
      <w:pPr>
        <w:ind w:right="-2"/>
        <w:rPr>
          <w:del w:id="12882" w:author="AbbVie2" w:date="2025-05-14T10:22:00Z"/>
          <w:sz w:val="22"/>
          <w:szCs w:val="22"/>
        </w:rPr>
      </w:pPr>
      <w:del w:id="12883" w:author="AbbVie2" w:date="2025-05-14T10:22:00Z">
        <w:r w:rsidRPr="008912CF">
          <w:rPr>
            <w:sz w:val="22"/>
            <w:szCs w:val="22"/>
          </w:rPr>
          <w:delText xml:space="preserve">A dose recomendada de Humira </w:delText>
        </w:r>
        <w:r w:rsidR="00C30B7A">
          <w:rPr>
            <w:sz w:val="22"/>
            <w:szCs w:val="22"/>
          </w:rPr>
          <w:delText xml:space="preserve">é de uma dose inicial de 20 mg seguida de 20 mg uma semana após a </w:delText>
        </w:r>
        <w:r w:rsidR="004C0184">
          <w:rPr>
            <w:sz w:val="22"/>
            <w:szCs w:val="22"/>
          </w:rPr>
          <w:delText>dose inicial.</w:delText>
        </w:r>
        <w:r w:rsidR="00C30B7A">
          <w:rPr>
            <w:sz w:val="22"/>
            <w:szCs w:val="22"/>
          </w:rPr>
          <w:delText xml:space="preserve"> Depois disso, a dose habitual é de 20 mg em semanas alternadas.</w:delText>
        </w:r>
      </w:del>
    </w:p>
    <w:p w14:paraId="2EDA63FD" w14:textId="658DAD64" w:rsidR="00C30B7A" w:rsidRDefault="00C30B7A" w:rsidP="004462A0">
      <w:pPr>
        <w:ind w:right="-2"/>
        <w:rPr>
          <w:del w:id="12884" w:author="AbbVie2" w:date="2025-05-14T10:22:00Z"/>
          <w:sz w:val="22"/>
          <w:szCs w:val="22"/>
        </w:rPr>
      </w:pPr>
    </w:p>
    <w:p w14:paraId="0B3A9D15" w14:textId="139BA404" w:rsidR="00C30B7A" w:rsidRPr="00E51FCC" w:rsidRDefault="00615769" w:rsidP="00C30B7A">
      <w:pPr>
        <w:ind w:right="-2"/>
        <w:rPr>
          <w:del w:id="12885" w:author="AbbVie2" w:date="2025-05-14T10:22:00Z"/>
          <w:i/>
          <w:sz w:val="22"/>
          <w:szCs w:val="22"/>
        </w:rPr>
      </w:pPr>
      <w:del w:id="12886" w:author="AbbVie2" w:date="2025-05-14T10:22:00Z">
        <w:r w:rsidRPr="00E51FCC">
          <w:rPr>
            <w:i/>
            <w:sz w:val="22"/>
            <w:szCs w:val="22"/>
          </w:rPr>
          <w:delText xml:space="preserve">Crianças e adolescentes entre os 4 e os 17 anos de idade com peso igual </w:delText>
        </w:r>
        <w:r>
          <w:rPr>
            <w:i/>
            <w:sz w:val="22"/>
            <w:szCs w:val="22"/>
          </w:rPr>
          <w:delText xml:space="preserve">ou superior </w:delText>
        </w:r>
        <w:r w:rsidRPr="00E51FCC">
          <w:rPr>
            <w:i/>
            <w:sz w:val="22"/>
            <w:szCs w:val="22"/>
          </w:rPr>
          <w:delText>a 30 kg</w:delText>
        </w:r>
      </w:del>
    </w:p>
    <w:p w14:paraId="62A8DCA2" w14:textId="54EFE4D3" w:rsidR="00C30B7A" w:rsidRPr="008912CF" w:rsidRDefault="00C30B7A" w:rsidP="004462A0">
      <w:pPr>
        <w:ind w:right="-2"/>
        <w:rPr>
          <w:del w:id="12887" w:author="AbbVie2" w:date="2025-05-14T10:22:00Z"/>
          <w:sz w:val="22"/>
          <w:szCs w:val="22"/>
        </w:rPr>
      </w:pPr>
    </w:p>
    <w:p w14:paraId="032520ED" w14:textId="2C3632EF" w:rsidR="004462A0" w:rsidRDefault="00615769" w:rsidP="004462A0">
      <w:pPr>
        <w:ind w:right="-2"/>
        <w:rPr>
          <w:del w:id="12888" w:author="AbbVie2" w:date="2025-05-14T10:22:00Z"/>
          <w:sz w:val="22"/>
          <w:szCs w:val="22"/>
        </w:rPr>
      </w:pPr>
      <w:del w:id="12889" w:author="AbbVie2" w:date="2025-05-14T10:22:00Z">
        <w:r w:rsidRPr="008912CF">
          <w:rPr>
            <w:sz w:val="22"/>
            <w:szCs w:val="22"/>
          </w:rPr>
          <w:delText>A dose recomendada de Humira</w:delText>
        </w:r>
        <w:r>
          <w:rPr>
            <w:sz w:val="22"/>
            <w:szCs w:val="22"/>
          </w:rPr>
          <w:delText xml:space="preserve"> é de uma dose inicial de 40 mg seguida de 40 mg uma semana após a </w:delText>
        </w:r>
        <w:r w:rsidR="001126E0">
          <w:rPr>
            <w:sz w:val="22"/>
            <w:szCs w:val="22"/>
          </w:rPr>
          <w:delText>dose</w:delText>
        </w:r>
        <w:r>
          <w:rPr>
            <w:sz w:val="22"/>
            <w:szCs w:val="22"/>
          </w:rPr>
          <w:delText xml:space="preserve"> inicial. Depois disso, a dose habitual é de </w:delText>
        </w:r>
        <w:r w:rsidR="003C391D">
          <w:rPr>
            <w:sz w:val="22"/>
            <w:szCs w:val="22"/>
          </w:rPr>
          <w:delText>4</w:delText>
        </w:r>
        <w:r>
          <w:rPr>
            <w:sz w:val="22"/>
            <w:szCs w:val="22"/>
          </w:rPr>
          <w:delText>0 mg em semanas alternadas.</w:delText>
        </w:r>
      </w:del>
    </w:p>
    <w:p w14:paraId="426CD10E" w14:textId="364CB798" w:rsidR="00C30B7A" w:rsidRDefault="00C30B7A" w:rsidP="004462A0">
      <w:pPr>
        <w:ind w:right="-2"/>
        <w:rPr>
          <w:del w:id="12890" w:author="AbbVie2" w:date="2025-05-14T10:22:00Z"/>
          <w:sz w:val="22"/>
          <w:szCs w:val="22"/>
        </w:rPr>
      </w:pPr>
    </w:p>
    <w:p w14:paraId="639CDF53" w14:textId="4F1BFF30" w:rsidR="00A710A1" w:rsidRDefault="00615769" w:rsidP="004462A0">
      <w:pPr>
        <w:ind w:right="-2"/>
        <w:rPr>
          <w:del w:id="12891" w:author="AbbVie2" w:date="2025-05-14T10:22:00Z"/>
          <w:sz w:val="22"/>
          <w:szCs w:val="22"/>
          <w:u w:val="single"/>
        </w:rPr>
      </w:pPr>
      <w:del w:id="12892" w:author="AbbVie2" w:date="2025-05-14T10:22:00Z">
        <w:r w:rsidRPr="00C33FCB">
          <w:rPr>
            <w:sz w:val="22"/>
            <w:szCs w:val="22"/>
            <w:u w:val="single"/>
          </w:rPr>
          <w:delText xml:space="preserve">Adolescentes com hidradenite supurativa </w:delText>
        </w:r>
        <w:r w:rsidR="003C391D" w:rsidRPr="00C33FCB">
          <w:rPr>
            <w:sz w:val="22"/>
            <w:szCs w:val="22"/>
            <w:u w:val="single"/>
          </w:rPr>
          <w:delText xml:space="preserve">entre os </w:delText>
        </w:r>
        <w:r>
          <w:rPr>
            <w:sz w:val="22"/>
            <w:szCs w:val="22"/>
            <w:u w:val="single"/>
          </w:rPr>
          <w:delText>1</w:delText>
        </w:r>
        <w:r w:rsidR="003C391D" w:rsidRPr="00C33FCB">
          <w:rPr>
            <w:sz w:val="22"/>
            <w:szCs w:val="22"/>
            <w:u w:val="single"/>
          </w:rPr>
          <w:delText xml:space="preserve">2 e os 17 </w:delText>
        </w:r>
        <w:r w:rsidRPr="00C33FCB">
          <w:rPr>
            <w:sz w:val="22"/>
            <w:szCs w:val="22"/>
            <w:u w:val="single"/>
          </w:rPr>
          <w:delText xml:space="preserve">anos de idade, com  </w:delText>
        </w:r>
        <w:r w:rsidR="003C391D" w:rsidRPr="00F03C54">
          <w:rPr>
            <w:sz w:val="22"/>
            <w:szCs w:val="22"/>
            <w:u w:val="single"/>
          </w:rPr>
          <w:delText>peso igual ou superior a 30 kg</w:delText>
        </w:r>
      </w:del>
    </w:p>
    <w:p w14:paraId="143070CF" w14:textId="0019A9C9" w:rsidR="00A710A1" w:rsidRDefault="00A710A1" w:rsidP="004462A0">
      <w:pPr>
        <w:ind w:right="-2"/>
        <w:rPr>
          <w:del w:id="12893" w:author="AbbVie2" w:date="2025-05-14T10:22:00Z"/>
          <w:sz w:val="22"/>
          <w:szCs w:val="22"/>
          <w:u w:val="single"/>
        </w:rPr>
      </w:pPr>
    </w:p>
    <w:p w14:paraId="21648021" w14:textId="02392EF5" w:rsidR="004462A0" w:rsidRDefault="00615769" w:rsidP="004462A0">
      <w:pPr>
        <w:ind w:right="-2"/>
        <w:rPr>
          <w:del w:id="12894" w:author="AbbVie2" w:date="2025-05-14T10:22:00Z"/>
          <w:sz w:val="22"/>
        </w:rPr>
      </w:pPr>
      <w:del w:id="12895" w:author="AbbVie2" w:date="2025-05-14T10:22:00Z">
        <w:r>
          <w:rPr>
            <w:sz w:val="22"/>
          </w:rPr>
          <w:delText>A dose recomendada de Humira é u</w:delText>
        </w:r>
        <w:r w:rsidRPr="00454F99">
          <w:rPr>
            <w:sz w:val="22"/>
          </w:rPr>
          <w:delText xml:space="preserve">ma dose inicial de </w:delText>
        </w:r>
        <w:r>
          <w:rPr>
            <w:sz w:val="22"/>
          </w:rPr>
          <w:delText>8</w:delText>
        </w:r>
        <w:r w:rsidRPr="00454F99">
          <w:rPr>
            <w:sz w:val="22"/>
          </w:rPr>
          <w:delText>0 mg (</w:delText>
        </w:r>
        <w:r>
          <w:rPr>
            <w:sz w:val="22"/>
          </w:rPr>
          <w:delText xml:space="preserve">duas </w:delText>
        </w:r>
        <w:r w:rsidRPr="00454F99">
          <w:rPr>
            <w:sz w:val="22"/>
          </w:rPr>
          <w:delText>injeções</w:delText>
        </w:r>
        <w:r w:rsidRPr="006462E3">
          <w:rPr>
            <w:sz w:val="22"/>
          </w:rPr>
          <w:delText xml:space="preserve"> </w:delText>
        </w:r>
        <w:r w:rsidR="004C0184">
          <w:rPr>
            <w:sz w:val="22"/>
          </w:rPr>
          <w:delText xml:space="preserve">de </w:delText>
        </w:r>
        <w:r w:rsidR="00BF2279">
          <w:rPr>
            <w:sz w:val="22"/>
          </w:rPr>
          <w:delText xml:space="preserve">40 mg </w:delText>
        </w:r>
        <w:r w:rsidRPr="006462E3">
          <w:rPr>
            <w:sz w:val="22"/>
          </w:rPr>
          <w:delText>num dia</w:delText>
        </w:r>
        <w:r w:rsidRPr="00854C93">
          <w:rPr>
            <w:sz w:val="22"/>
          </w:rPr>
          <w:delText xml:space="preserve">), seguida de </w:delText>
        </w:r>
        <w:r>
          <w:rPr>
            <w:sz w:val="22"/>
          </w:rPr>
          <w:delText>4</w:delText>
        </w:r>
        <w:r w:rsidRPr="00854C93">
          <w:rPr>
            <w:sz w:val="22"/>
          </w:rPr>
          <w:delText>0</w:delText>
        </w:r>
        <w:r w:rsidRPr="0089156B">
          <w:rPr>
            <w:sz w:val="22"/>
          </w:rPr>
          <w:delText> </w:delText>
        </w:r>
        <w:r w:rsidRPr="004931CE">
          <w:rPr>
            <w:sz w:val="22"/>
          </w:rPr>
          <w:delText>mg</w:delText>
        </w:r>
        <w:r>
          <w:rPr>
            <w:sz w:val="22"/>
          </w:rPr>
          <w:delText xml:space="preserve"> em semanas alternadas, uma</w:delText>
        </w:r>
        <w:r w:rsidRPr="00AA3C8F">
          <w:rPr>
            <w:sz w:val="22"/>
          </w:rPr>
          <w:delText xml:space="preserve"> semana após a dose inicial.</w:delText>
        </w:r>
        <w:r>
          <w:rPr>
            <w:sz w:val="22"/>
          </w:rPr>
          <w:delText xml:space="preserve"> Se tiver uma resposta inadequada</w:delText>
        </w:r>
        <w:r w:rsidR="00BF2279">
          <w:rPr>
            <w:sz w:val="22"/>
          </w:rPr>
          <w:delText xml:space="preserve"> com Humira 40 mg em semanas alternadas</w:delText>
        </w:r>
        <w:r>
          <w:rPr>
            <w:sz w:val="22"/>
          </w:rPr>
          <w:delText>, o seu médico pode aumentar a  dose para 40 mg semanalmente</w:delText>
        </w:r>
        <w:r w:rsidR="00BF2279">
          <w:rPr>
            <w:sz w:val="22"/>
          </w:rPr>
          <w:delText xml:space="preserve"> ou 80 mg em semanas alternadas</w:delText>
        </w:r>
        <w:r>
          <w:rPr>
            <w:sz w:val="22"/>
          </w:rPr>
          <w:delText>.</w:delText>
        </w:r>
      </w:del>
    </w:p>
    <w:p w14:paraId="27943E0B" w14:textId="66CB1B88" w:rsidR="004462A0" w:rsidRDefault="004462A0" w:rsidP="004462A0">
      <w:pPr>
        <w:ind w:right="-2"/>
        <w:rPr>
          <w:del w:id="12896" w:author="AbbVie2" w:date="2025-05-14T10:22:00Z"/>
          <w:sz w:val="22"/>
        </w:rPr>
      </w:pPr>
    </w:p>
    <w:p w14:paraId="7D1CED7B" w14:textId="36E9A6AB" w:rsidR="004462A0" w:rsidRPr="008912CF" w:rsidRDefault="00615769" w:rsidP="004462A0">
      <w:pPr>
        <w:rPr>
          <w:del w:id="12897" w:author="AbbVie2" w:date="2025-05-14T10:22:00Z"/>
          <w:sz w:val="22"/>
          <w:szCs w:val="22"/>
        </w:rPr>
      </w:pPr>
      <w:del w:id="12898" w:author="AbbVie2" w:date="2025-05-14T10:22:00Z">
        <w:r w:rsidRPr="008B0DDF">
          <w:rPr>
            <w:sz w:val="22"/>
            <w:szCs w:val="22"/>
          </w:rPr>
          <w:delText>É recomendável que use um anti-séptico de lavagem diária nas áreas afetadas.</w:delText>
        </w:r>
      </w:del>
    </w:p>
    <w:p w14:paraId="59CF7E72" w14:textId="3CABC0EB" w:rsidR="004462A0" w:rsidRDefault="004462A0" w:rsidP="004462A0">
      <w:pPr>
        <w:ind w:right="-2"/>
        <w:rPr>
          <w:del w:id="12899" w:author="AbbVie2" w:date="2025-05-14T10:22:00Z"/>
          <w:sz w:val="22"/>
          <w:szCs w:val="22"/>
        </w:rPr>
      </w:pPr>
    </w:p>
    <w:p w14:paraId="0832B183" w14:textId="4C04494D" w:rsidR="003C391D" w:rsidRPr="00F03C54" w:rsidRDefault="00615769" w:rsidP="00127AF9">
      <w:pPr>
        <w:ind w:right="-2"/>
        <w:rPr>
          <w:del w:id="12900" w:author="AbbVie2" w:date="2025-05-14T10:22:00Z"/>
          <w:sz w:val="22"/>
          <w:szCs w:val="22"/>
          <w:u w:val="single"/>
        </w:rPr>
      </w:pPr>
      <w:del w:id="12901" w:author="AbbVie2" w:date="2025-05-14T10:22:00Z">
        <w:r w:rsidRPr="00F03C54">
          <w:rPr>
            <w:sz w:val="22"/>
            <w:szCs w:val="22"/>
            <w:u w:val="single"/>
          </w:rPr>
          <w:delText>Crianças e adolescentes com Doença de Crohn</w:delText>
        </w:r>
      </w:del>
    </w:p>
    <w:p w14:paraId="1BD096C1" w14:textId="5B7CE058" w:rsidR="00A710A1" w:rsidRDefault="00A710A1" w:rsidP="003C391D">
      <w:pPr>
        <w:ind w:right="-2"/>
        <w:rPr>
          <w:del w:id="12902" w:author="AbbVie2" w:date="2025-05-14T10:22:00Z"/>
          <w:i/>
          <w:sz w:val="22"/>
          <w:szCs w:val="22"/>
        </w:rPr>
      </w:pPr>
    </w:p>
    <w:p w14:paraId="2C342B61" w14:textId="41F81774" w:rsidR="003C391D" w:rsidRPr="00E51FCC" w:rsidRDefault="00615769" w:rsidP="003C391D">
      <w:pPr>
        <w:ind w:right="-2"/>
        <w:rPr>
          <w:del w:id="12903" w:author="AbbVie2" w:date="2025-05-14T10:22:00Z"/>
          <w:i/>
          <w:sz w:val="22"/>
          <w:szCs w:val="22"/>
        </w:rPr>
      </w:pPr>
      <w:del w:id="12904" w:author="AbbVie2" w:date="2025-05-14T10:22:00Z">
        <w:r w:rsidRPr="00E51FCC">
          <w:rPr>
            <w:i/>
            <w:sz w:val="22"/>
            <w:szCs w:val="22"/>
          </w:rPr>
          <w:delText xml:space="preserve">Crianças e adolescentes entre os </w:delText>
        </w:r>
        <w:r>
          <w:rPr>
            <w:i/>
            <w:sz w:val="22"/>
            <w:szCs w:val="22"/>
          </w:rPr>
          <w:delText>6</w:delText>
        </w:r>
        <w:r w:rsidRPr="00E51FCC">
          <w:rPr>
            <w:i/>
            <w:sz w:val="22"/>
            <w:szCs w:val="22"/>
          </w:rPr>
          <w:delText xml:space="preserve"> e os 17 anos de idade com peso </w:delText>
        </w:r>
        <w:r>
          <w:rPr>
            <w:i/>
            <w:sz w:val="22"/>
            <w:szCs w:val="22"/>
          </w:rPr>
          <w:delText xml:space="preserve">inferior </w:delText>
        </w:r>
        <w:r w:rsidRPr="00E51FCC">
          <w:rPr>
            <w:i/>
            <w:sz w:val="22"/>
            <w:szCs w:val="22"/>
          </w:rPr>
          <w:delText xml:space="preserve">a </w:delText>
        </w:r>
        <w:r>
          <w:rPr>
            <w:i/>
            <w:sz w:val="22"/>
            <w:szCs w:val="22"/>
          </w:rPr>
          <w:delText>4</w:delText>
        </w:r>
        <w:r w:rsidRPr="00E51FCC">
          <w:rPr>
            <w:i/>
            <w:sz w:val="22"/>
            <w:szCs w:val="22"/>
          </w:rPr>
          <w:delText>0 kg</w:delText>
        </w:r>
      </w:del>
    </w:p>
    <w:p w14:paraId="6870E3BB" w14:textId="65A8836C" w:rsidR="003C391D" w:rsidRDefault="003C391D" w:rsidP="00127AF9">
      <w:pPr>
        <w:ind w:right="-2"/>
        <w:rPr>
          <w:del w:id="12905" w:author="AbbVie2" w:date="2025-05-14T10:22:00Z"/>
          <w:sz w:val="22"/>
          <w:szCs w:val="22"/>
        </w:rPr>
      </w:pPr>
    </w:p>
    <w:p w14:paraId="4DDD5F50" w14:textId="4508E585" w:rsidR="001E0ED8" w:rsidRPr="00E51FCC" w:rsidRDefault="00615769" w:rsidP="00F03C54">
      <w:pPr>
        <w:rPr>
          <w:del w:id="12906" w:author="AbbVie2" w:date="2025-05-14T10:22:00Z"/>
          <w:sz w:val="22"/>
          <w:szCs w:val="22"/>
        </w:rPr>
      </w:pPr>
      <w:del w:id="12907" w:author="AbbVie2" w:date="2025-05-14T10:22:00Z">
        <w:r>
          <w:rPr>
            <w:sz w:val="22"/>
            <w:szCs w:val="22"/>
          </w:rPr>
          <w:delText xml:space="preserve">A dose habitual de Humira é de uma dose inicial de 40 mg, seguida de 20 mg </w:delText>
        </w:r>
        <w:r w:rsidRPr="00E51FCC">
          <w:rPr>
            <w:sz w:val="22"/>
            <w:szCs w:val="22"/>
          </w:rPr>
          <w:delText>duas semanas ap</w:delText>
        </w:r>
        <w:r>
          <w:rPr>
            <w:sz w:val="22"/>
            <w:szCs w:val="22"/>
          </w:rPr>
          <w:delText>ós a dose inicial</w:delText>
        </w:r>
        <w:r w:rsidRPr="00E51FCC">
          <w:rPr>
            <w:sz w:val="22"/>
            <w:szCs w:val="22"/>
          </w:rPr>
          <w:delText>.</w:delText>
        </w:r>
        <w:r>
          <w:rPr>
            <w:sz w:val="22"/>
            <w:szCs w:val="22"/>
          </w:rPr>
          <w:delText xml:space="preserve"> </w:delText>
        </w:r>
        <w:r w:rsidRPr="008912CF">
          <w:rPr>
            <w:bCs/>
            <w:sz w:val="22"/>
            <w:szCs w:val="22"/>
          </w:rPr>
          <w:delText xml:space="preserve">Nos casos onde é necessária uma resposta mais rápida, o médico da sua criança pode prescrever uma dose inicial de </w:delText>
        </w:r>
        <w:r>
          <w:rPr>
            <w:bCs/>
            <w:sz w:val="22"/>
            <w:szCs w:val="22"/>
          </w:rPr>
          <w:delText>80</w:delText>
        </w:r>
        <w:r w:rsidRPr="008912CF">
          <w:rPr>
            <w:bCs/>
            <w:sz w:val="22"/>
            <w:szCs w:val="22"/>
          </w:rPr>
          <w:delText> mg</w:delText>
        </w:r>
        <w:r>
          <w:rPr>
            <w:bCs/>
            <w:sz w:val="22"/>
            <w:szCs w:val="22"/>
          </w:rPr>
          <w:delText xml:space="preserve"> (duas injeções </w:delText>
        </w:r>
        <w:r w:rsidR="00BF2279">
          <w:rPr>
            <w:bCs/>
            <w:sz w:val="22"/>
            <w:szCs w:val="22"/>
          </w:rPr>
          <w:delText xml:space="preserve">de 40 mg </w:delText>
        </w:r>
        <w:r>
          <w:rPr>
            <w:bCs/>
            <w:sz w:val="22"/>
            <w:szCs w:val="22"/>
          </w:rPr>
          <w:delText>num dia)</w:delText>
        </w:r>
        <w:r w:rsidRPr="008912CF">
          <w:rPr>
            <w:sz w:val="22"/>
            <w:szCs w:val="22"/>
          </w:rPr>
          <w:delText xml:space="preserve"> </w:delText>
        </w:r>
        <w:r w:rsidRPr="008912CF">
          <w:rPr>
            <w:bCs/>
            <w:sz w:val="22"/>
            <w:szCs w:val="22"/>
          </w:rPr>
          <w:delText xml:space="preserve">seguida de </w:delText>
        </w:r>
        <w:r>
          <w:rPr>
            <w:bCs/>
            <w:sz w:val="22"/>
            <w:szCs w:val="22"/>
          </w:rPr>
          <w:delText>4</w:delText>
        </w:r>
        <w:r w:rsidRPr="008912CF">
          <w:rPr>
            <w:bCs/>
            <w:sz w:val="22"/>
            <w:szCs w:val="22"/>
          </w:rPr>
          <w:delText>0 mg duas semanas após a dose inicial.</w:delText>
        </w:r>
      </w:del>
    </w:p>
    <w:p w14:paraId="409E6CDC" w14:textId="0159EF1F" w:rsidR="001E0ED8" w:rsidRPr="00E51FCC" w:rsidRDefault="001E0ED8" w:rsidP="001E0ED8">
      <w:pPr>
        <w:rPr>
          <w:del w:id="12908" w:author="AbbVie2" w:date="2025-05-14T10:22:00Z"/>
          <w:sz w:val="22"/>
          <w:szCs w:val="22"/>
        </w:rPr>
      </w:pPr>
    </w:p>
    <w:p w14:paraId="18C303E0" w14:textId="02A4703D" w:rsidR="003C391D" w:rsidRDefault="00615769" w:rsidP="001E0ED8">
      <w:pPr>
        <w:ind w:right="-2"/>
        <w:rPr>
          <w:del w:id="12909" w:author="AbbVie2" w:date="2025-05-14T10:22:00Z"/>
          <w:sz w:val="22"/>
          <w:szCs w:val="22"/>
        </w:rPr>
      </w:pPr>
      <w:del w:id="12910" w:author="AbbVie2" w:date="2025-05-14T10:22:00Z">
        <w:r w:rsidRPr="0072666C">
          <w:rPr>
            <w:sz w:val="22"/>
            <w:szCs w:val="22"/>
          </w:rPr>
          <w:delText>De</w:delText>
        </w:r>
        <w:r>
          <w:rPr>
            <w:sz w:val="22"/>
            <w:szCs w:val="22"/>
          </w:rPr>
          <w:delText>pois disso, a dose habitual de 2</w:delText>
        </w:r>
        <w:r w:rsidRPr="0072666C">
          <w:rPr>
            <w:sz w:val="22"/>
            <w:szCs w:val="22"/>
          </w:rPr>
          <w:delText>0 mg em semanas alternadas</w:delText>
        </w:r>
        <w:r>
          <w:rPr>
            <w:sz w:val="22"/>
            <w:szCs w:val="22"/>
          </w:rPr>
          <w:delText xml:space="preserve">. Dependendo da resposta </w:delText>
        </w:r>
        <w:r w:rsidR="00983BD6">
          <w:rPr>
            <w:sz w:val="22"/>
            <w:szCs w:val="22"/>
          </w:rPr>
          <w:delText>da sua criança</w:delText>
        </w:r>
        <w:r>
          <w:rPr>
            <w:sz w:val="22"/>
            <w:szCs w:val="22"/>
          </w:rPr>
          <w:delText>, o médico pode aumentar a dose para 20 mg em semanas alternadas.</w:delText>
        </w:r>
      </w:del>
    </w:p>
    <w:p w14:paraId="0C785496" w14:textId="79728CA7" w:rsidR="001E0ED8" w:rsidRDefault="001E0ED8" w:rsidP="001E0ED8">
      <w:pPr>
        <w:ind w:right="-2"/>
        <w:rPr>
          <w:del w:id="12911" w:author="AbbVie2" w:date="2025-05-14T10:22:00Z"/>
          <w:sz w:val="22"/>
          <w:szCs w:val="22"/>
        </w:rPr>
      </w:pPr>
    </w:p>
    <w:p w14:paraId="7F51B869" w14:textId="60EF2CD3" w:rsidR="001E0ED8" w:rsidRPr="00E51FCC" w:rsidRDefault="00615769" w:rsidP="00040D46">
      <w:pPr>
        <w:keepNext/>
        <w:ind w:right="-2"/>
        <w:rPr>
          <w:del w:id="12912" w:author="AbbVie2" w:date="2025-05-14T10:22:00Z"/>
          <w:i/>
          <w:sz w:val="22"/>
          <w:szCs w:val="22"/>
        </w:rPr>
      </w:pPr>
      <w:del w:id="12913" w:author="AbbVie2" w:date="2025-05-14T10:22:00Z">
        <w:r w:rsidRPr="00E51FCC">
          <w:rPr>
            <w:i/>
            <w:sz w:val="22"/>
            <w:szCs w:val="22"/>
          </w:rPr>
          <w:delText xml:space="preserve">Crianças e adolescentes entre os </w:delText>
        </w:r>
        <w:r>
          <w:rPr>
            <w:i/>
            <w:sz w:val="22"/>
            <w:szCs w:val="22"/>
          </w:rPr>
          <w:delText>6</w:delText>
        </w:r>
        <w:r w:rsidRPr="00E51FCC">
          <w:rPr>
            <w:i/>
            <w:sz w:val="22"/>
            <w:szCs w:val="22"/>
          </w:rPr>
          <w:delText xml:space="preserve"> e os 17 anos de idade com peso </w:delText>
        </w:r>
        <w:r>
          <w:rPr>
            <w:i/>
            <w:sz w:val="22"/>
            <w:szCs w:val="22"/>
          </w:rPr>
          <w:delText>igual ou superior a</w:delText>
        </w:r>
        <w:r w:rsidRPr="00E51FCC">
          <w:rPr>
            <w:i/>
            <w:sz w:val="22"/>
            <w:szCs w:val="22"/>
          </w:rPr>
          <w:delText xml:space="preserve"> </w:delText>
        </w:r>
        <w:r>
          <w:rPr>
            <w:i/>
            <w:sz w:val="22"/>
            <w:szCs w:val="22"/>
          </w:rPr>
          <w:delText>4</w:delText>
        </w:r>
        <w:r w:rsidRPr="00E51FCC">
          <w:rPr>
            <w:i/>
            <w:sz w:val="22"/>
            <w:szCs w:val="22"/>
          </w:rPr>
          <w:delText>0 kg</w:delText>
        </w:r>
      </w:del>
    </w:p>
    <w:p w14:paraId="7D1C7DA4" w14:textId="52977790" w:rsidR="00A710A1" w:rsidRDefault="00A710A1" w:rsidP="00040D46">
      <w:pPr>
        <w:keepNext/>
        <w:rPr>
          <w:del w:id="12914" w:author="AbbVie2" w:date="2025-05-14T10:22:00Z"/>
          <w:sz w:val="22"/>
          <w:szCs w:val="22"/>
        </w:rPr>
      </w:pPr>
    </w:p>
    <w:p w14:paraId="490CF330" w14:textId="0CD94432" w:rsidR="001E0ED8" w:rsidRPr="00E51FCC" w:rsidRDefault="00615769" w:rsidP="001E0ED8">
      <w:pPr>
        <w:rPr>
          <w:del w:id="12915" w:author="AbbVie2" w:date="2025-05-14T10:22:00Z"/>
          <w:sz w:val="22"/>
          <w:szCs w:val="22"/>
        </w:rPr>
      </w:pPr>
      <w:del w:id="12916" w:author="AbbVie2" w:date="2025-05-14T10:22:00Z">
        <w:r>
          <w:rPr>
            <w:sz w:val="22"/>
            <w:szCs w:val="22"/>
          </w:rPr>
          <w:delText xml:space="preserve">A dose habitual de Humira é de uma dose inicial de 80 mg (duas injeções </w:delText>
        </w:r>
        <w:r w:rsidR="00BF2279">
          <w:rPr>
            <w:sz w:val="22"/>
            <w:szCs w:val="22"/>
          </w:rPr>
          <w:delText xml:space="preserve">de 40 mg </w:delText>
        </w:r>
        <w:r>
          <w:rPr>
            <w:sz w:val="22"/>
            <w:szCs w:val="22"/>
          </w:rPr>
          <w:delText>nu</w:delText>
        </w:r>
        <w:r w:rsidR="00BF2279">
          <w:rPr>
            <w:sz w:val="22"/>
            <w:szCs w:val="22"/>
          </w:rPr>
          <w:delText>m</w:delText>
        </w:r>
        <w:r>
          <w:rPr>
            <w:sz w:val="22"/>
            <w:szCs w:val="22"/>
          </w:rPr>
          <w:delText xml:space="preserve"> dia), seguida de 40 mg </w:delText>
        </w:r>
        <w:r w:rsidRPr="00E51FCC">
          <w:rPr>
            <w:sz w:val="22"/>
            <w:szCs w:val="22"/>
          </w:rPr>
          <w:delText>duas semanas ap</w:delText>
        </w:r>
        <w:r>
          <w:rPr>
            <w:sz w:val="22"/>
            <w:szCs w:val="22"/>
          </w:rPr>
          <w:delText>ós a dose inicial</w:delText>
        </w:r>
        <w:r w:rsidRPr="00E51FCC">
          <w:rPr>
            <w:sz w:val="22"/>
            <w:szCs w:val="22"/>
          </w:rPr>
          <w:delText>.</w:delText>
        </w:r>
        <w:r>
          <w:rPr>
            <w:sz w:val="22"/>
            <w:szCs w:val="22"/>
          </w:rPr>
          <w:delText xml:space="preserve"> </w:delText>
        </w:r>
        <w:r w:rsidRPr="008912CF">
          <w:rPr>
            <w:bCs/>
            <w:sz w:val="22"/>
            <w:szCs w:val="22"/>
          </w:rPr>
          <w:delText xml:space="preserve">Nos casos onde é necessária uma resposta mais rápida, o médico da sua criança pode prescrever uma dose inicial de </w:delText>
        </w:r>
        <w:r>
          <w:rPr>
            <w:bCs/>
            <w:sz w:val="22"/>
            <w:szCs w:val="22"/>
          </w:rPr>
          <w:delText>160</w:delText>
        </w:r>
        <w:r w:rsidRPr="008912CF">
          <w:rPr>
            <w:bCs/>
            <w:sz w:val="22"/>
            <w:szCs w:val="22"/>
          </w:rPr>
          <w:delText> mg</w:delText>
        </w:r>
        <w:r>
          <w:rPr>
            <w:bCs/>
            <w:sz w:val="22"/>
            <w:szCs w:val="22"/>
          </w:rPr>
          <w:delText xml:space="preserve"> (quatro injeções </w:delText>
        </w:r>
        <w:r w:rsidR="00BF2279">
          <w:rPr>
            <w:bCs/>
            <w:sz w:val="22"/>
            <w:szCs w:val="22"/>
          </w:rPr>
          <w:delText xml:space="preserve">de 40 mg </w:delText>
        </w:r>
        <w:r>
          <w:rPr>
            <w:bCs/>
            <w:sz w:val="22"/>
            <w:szCs w:val="22"/>
          </w:rPr>
          <w:delText>num dia</w:delText>
        </w:r>
        <w:r w:rsidR="00A80FD3">
          <w:rPr>
            <w:bCs/>
            <w:sz w:val="22"/>
            <w:szCs w:val="22"/>
          </w:rPr>
          <w:delText xml:space="preserve"> ou duas injeções </w:delText>
        </w:r>
        <w:r w:rsidR="00BF2279">
          <w:rPr>
            <w:bCs/>
            <w:sz w:val="22"/>
            <w:szCs w:val="22"/>
          </w:rPr>
          <w:delText xml:space="preserve">de 40 mg </w:delText>
        </w:r>
        <w:r w:rsidR="00A80FD3">
          <w:rPr>
            <w:bCs/>
            <w:sz w:val="22"/>
            <w:szCs w:val="22"/>
          </w:rPr>
          <w:delText>por dia em dois dias consecutivos</w:delText>
        </w:r>
        <w:r>
          <w:rPr>
            <w:bCs/>
            <w:sz w:val="22"/>
            <w:szCs w:val="22"/>
          </w:rPr>
          <w:delText>)</w:delText>
        </w:r>
        <w:r w:rsidRPr="008912CF">
          <w:rPr>
            <w:sz w:val="22"/>
            <w:szCs w:val="22"/>
          </w:rPr>
          <w:delText xml:space="preserve"> </w:delText>
        </w:r>
        <w:r w:rsidRPr="008912CF">
          <w:rPr>
            <w:bCs/>
            <w:sz w:val="22"/>
            <w:szCs w:val="22"/>
          </w:rPr>
          <w:delText xml:space="preserve">seguida de </w:delText>
        </w:r>
        <w:r w:rsidR="00A80FD3">
          <w:rPr>
            <w:bCs/>
            <w:sz w:val="22"/>
            <w:szCs w:val="22"/>
          </w:rPr>
          <w:delText>8</w:delText>
        </w:r>
        <w:r w:rsidRPr="008912CF">
          <w:rPr>
            <w:bCs/>
            <w:sz w:val="22"/>
            <w:szCs w:val="22"/>
          </w:rPr>
          <w:delText xml:space="preserve">0 mg </w:delText>
        </w:r>
        <w:r w:rsidR="00A80FD3">
          <w:rPr>
            <w:bCs/>
            <w:sz w:val="22"/>
            <w:szCs w:val="22"/>
          </w:rPr>
          <w:delText>(duas injeções</w:delText>
        </w:r>
        <w:r w:rsidR="00BF2279">
          <w:rPr>
            <w:bCs/>
            <w:sz w:val="22"/>
            <w:szCs w:val="22"/>
          </w:rPr>
          <w:delText xml:space="preserve"> </w:delText>
        </w:r>
        <w:r w:rsidR="00907DB1">
          <w:rPr>
            <w:bCs/>
            <w:sz w:val="22"/>
            <w:szCs w:val="22"/>
          </w:rPr>
          <w:delText>de 40 mg</w:delText>
        </w:r>
        <w:r w:rsidR="00A80FD3">
          <w:rPr>
            <w:bCs/>
            <w:sz w:val="22"/>
            <w:szCs w:val="22"/>
          </w:rPr>
          <w:delText xml:space="preserve"> num dia) </w:delText>
        </w:r>
        <w:r w:rsidRPr="008912CF">
          <w:rPr>
            <w:bCs/>
            <w:sz w:val="22"/>
            <w:szCs w:val="22"/>
          </w:rPr>
          <w:delText>duas semanas após a dose inicial.</w:delText>
        </w:r>
      </w:del>
    </w:p>
    <w:p w14:paraId="10DA66F6" w14:textId="0619E798" w:rsidR="001E0ED8" w:rsidRPr="00E51FCC" w:rsidRDefault="001E0ED8" w:rsidP="001E0ED8">
      <w:pPr>
        <w:rPr>
          <w:del w:id="12917" w:author="AbbVie2" w:date="2025-05-14T10:22:00Z"/>
          <w:sz w:val="22"/>
          <w:szCs w:val="22"/>
        </w:rPr>
      </w:pPr>
    </w:p>
    <w:p w14:paraId="25AC9BC6" w14:textId="5F5E194F" w:rsidR="001E0ED8" w:rsidRDefault="00615769" w:rsidP="001E0ED8">
      <w:pPr>
        <w:ind w:right="-2"/>
        <w:rPr>
          <w:del w:id="12918" w:author="AbbVie2" w:date="2025-05-14T10:22:00Z"/>
          <w:sz w:val="22"/>
          <w:szCs w:val="22"/>
        </w:rPr>
      </w:pPr>
      <w:del w:id="12919" w:author="AbbVie2" w:date="2025-05-14T10:22:00Z">
        <w:r w:rsidRPr="0072666C">
          <w:rPr>
            <w:sz w:val="22"/>
            <w:szCs w:val="22"/>
          </w:rPr>
          <w:delText>De</w:delText>
        </w:r>
        <w:r>
          <w:rPr>
            <w:sz w:val="22"/>
            <w:szCs w:val="22"/>
          </w:rPr>
          <w:delText xml:space="preserve">pois disso, a dose habitual </w:delText>
        </w:r>
        <w:r w:rsidR="004C0184">
          <w:rPr>
            <w:sz w:val="22"/>
            <w:szCs w:val="22"/>
          </w:rPr>
          <w:delText xml:space="preserve">é </w:delText>
        </w:r>
        <w:r>
          <w:rPr>
            <w:sz w:val="22"/>
            <w:szCs w:val="22"/>
          </w:rPr>
          <w:delText xml:space="preserve">de </w:delText>
        </w:r>
        <w:r w:rsidR="00A80FD3">
          <w:rPr>
            <w:sz w:val="22"/>
            <w:szCs w:val="22"/>
          </w:rPr>
          <w:delText>4</w:delText>
        </w:r>
        <w:r w:rsidRPr="0072666C">
          <w:rPr>
            <w:sz w:val="22"/>
            <w:szCs w:val="22"/>
          </w:rPr>
          <w:delText>0 mg em semanas alternadas</w:delText>
        </w:r>
        <w:r>
          <w:rPr>
            <w:sz w:val="22"/>
            <w:szCs w:val="22"/>
          </w:rPr>
          <w:delText xml:space="preserve">. Dependendo da resposta </w:delText>
        </w:r>
        <w:r w:rsidR="00983BD6">
          <w:rPr>
            <w:sz w:val="22"/>
            <w:szCs w:val="22"/>
          </w:rPr>
          <w:delText>da sua criança</w:delText>
        </w:r>
        <w:r>
          <w:rPr>
            <w:sz w:val="22"/>
            <w:szCs w:val="22"/>
          </w:rPr>
          <w:delText xml:space="preserve">, o médico pode aumentar a dose para </w:delText>
        </w:r>
        <w:r w:rsidR="00A80FD3">
          <w:rPr>
            <w:sz w:val="22"/>
            <w:szCs w:val="22"/>
          </w:rPr>
          <w:delText>4</w:delText>
        </w:r>
        <w:r>
          <w:rPr>
            <w:sz w:val="22"/>
            <w:szCs w:val="22"/>
          </w:rPr>
          <w:delText xml:space="preserve">0 mg </w:delText>
        </w:r>
        <w:r w:rsidR="00907DB1">
          <w:rPr>
            <w:sz w:val="22"/>
            <w:szCs w:val="22"/>
          </w:rPr>
          <w:delText>semanalmente ou 80 mg em semanas alternadas</w:delText>
        </w:r>
        <w:r>
          <w:rPr>
            <w:sz w:val="22"/>
            <w:szCs w:val="22"/>
          </w:rPr>
          <w:delText>.</w:delText>
        </w:r>
      </w:del>
    </w:p>
    <w:p w14:paraId="69E0BB71" w14:textId="37FDE4B6" w:rsidR="001E0ED8" w:rsidRDefault="001E0ED8" w:rsidP="001E0ED8">
      <w:pPr>
        <w:ind w:right="-2"/>
        <w:rPr>
          <w:del w:id="12920" w:author="AbbVie2" w:date="2025-05-14T10:22:00Z"/>
          <w:sz w:val="22"/>
          <w:szCs w:val="22"/>
        </w:rPr>
      </w:pPr>
    </w:p>
    <w:p w14:paraId="6D83C6F3" w14:textId="6D4D9ABD" w:rsidR="00505E4D" w:rsidRPr="00505E4D" w:rsidRDefault="00615769" w:rsidP="00505E4D">
      <w:pPr>
        <w:numPr>
          <w:ilvl w:val="12"/>
          <w:numId w:val="0"/>
        </w:numPr>
        <w:ind w:right="-2"/>
        <w:rPr>
          <w:del w:id="12921" w:author="AbbVie2" w:date="2025-05-14T10:22:00Z"/>
          <w:sz w:val="22"/>
          <w:szCs w:val="22"/>
          <w:u w:val="single"/>
        </w:rPr>
      </w:pPr>
      <w:del w:id="12922" w:author="AbbVie2" w:date="2025-05-14T10:22:00Z">
        <w:r w:rsidRPr="00505E4D">
          <w:rPr>
            <w:sz w:val="22"/>
            <w:szCs w:val="22"/>
            <w:u w:val="single"/>
          </w:rPr>
          <w:delText>Crianças e adolescentes com colite ulcerosa</w:delText>
        </w:r>
      </w:del>
    </w:p>
    <w:p w14:paraId="73743D81" w14:textId="55363BA5" w:rsidR="00505E4D" w:rsidRPr="00505E4D" w:rsidRDefault="00505E4D" w:rsidP="00505E4D">
      <w:pPr>
        <w:numPr>
          <w:ilvl w:val="12"/>
          <w:numId w:val="0"/>
        </w:numPr>
        <w:ind w:right="-2"/>
        <w:rPr>
          <w:del w:id="12923" w:author="AbbVie2" w:date="2025-05-14T10:22:00Z"/>
          <w:i/>
          <w:iCs/>
          <w:sz w:val="22"/>
          <w:szCs w:val="22"/>
        </w:rPr>
      </w:pPr>
    </w:p>
    <w:p w14:paraId="4D6866FD" w14:textId="0455E6D9" w:rsidR="00505E4D" w:rsidRPr="00505E4D" w:rsidRDefault="00615769" w:rsidP="00505E4D">
      <w:pPr>
        <w:numPr>
          <w:ilvl w:val="12"/>
          <w:numId w:val="0"/>
        </w:numPr>
        <w:ind w:right="-2"/>
        <w:rPr>
          <w:del w:id="12924" w:author="AbbVie2" w:date="2025-05-14T10:22:00Z"/>
          <w:i/>
          <w:iCs/>
          <w:sz w:val="22"/>
          <w:szCs w:val="22"/>
        </w:rPr>
      </w:pPr>
      <w:del w:id="12925" w:author="AbbVie2" w:date="2025-05-14T10:22:00Z">
        <w:r w:rsidRPr="00505E4D">
          <w:rPr>
            <w:i/>
            <w:iCs/>
            <w:sz w:val="22"/>
            <w:szCs w:val="22"/>
          </w:rPr>
          <w:delText>Crianças e adolescentes a partir dos 6 anos de idade com peso inferior a 40 kg</w:delText>
        </w:r>
      </w:del>
    </w:p>
    <w:p w14:paraId="3943CBC1" w14:textId="6E85B2F9" w:rsidR="00505E4D" w:rsidRPr="00505E4D" w:rsidRDefault="00505E4D" w:rsidP="00505E4D">
      <w:pPr>
        <w:numPr>
          <w:ilvl w:val="12"/>
          <w:numId w:val="0"/>
        </w:numPr>
        <w:ind w:right="-2"/>
        <w:rPr>
          <w:del w:id="12926" w:author="AbbVie2" w:date="2025-05-14T10:22:00Z"/>
          <w:sz w:val="22"/>
          <w:szCs w:val="22"/>
        </w:rPr>
      </w:pPr>
    </w:p>
    <w:p w14:paraId="78EC8EC4" w14:textId="599BF0FE" w:rsidR="00505E4D" w:rsidRPr="00505E4D" w:rsidRDefault="00615769" w:rsidP="00505E4D">
      <w:pPr>
        <w:numPr>
          <w:ilvl w:val="12"/>
          <w:numId w:val="0"/>
        </w:numPr>
        <w:ind w:right="-2"/>
        <w:rPr>
          <w:del w:id="12927" w:author="AbbVie2" w:date="2025-05-14T10:22:00Z"/>
          <w:sz w:val="22"/>
          <w:szCs w:val="22"/>
        </w:rPr>
      </w:pPr>
      <w:del w:id="12928" w:author="AbbVie2" w:date="2025-05-14T10:22:00Z">
        <w:r w:rsidRPr="00505E4D">
          <w:rPr>
            <w:sz w:val="22"/>
            <w:szCs w:val="22"/>
          </w:rPr>
          <w:delText>A dose habitual de Humira é de uma dose inicial de 80 mg (duas injeções de 40 </w:delText>
        </w:r>
        <w:r w:rsidR="00994B36">
          <w:rPr>
            <w:sz w:val="22"/>
            <w:szCs w:val="22"/>
          </w:rPr>
          <w:delText>mg num dia), seguida de 40 mg (</w:delText>
        </w:r>
        <w:r w:rsidRPr="00505E4D">
          <w:rPr>
            <w:sz w:val="22"/>
            <w:szCs w:val="22"/>
          </w:rPr>
          <w:delText xml:space="preserve">uma injeção de 40 mg) duas semanas após a dose inicial. Depois disso, a dose habitual é de 40 mg em semanas alternadas. </w:delText>
        </w:r>
      </w:del>
    </w:p>
    <w:p w14:paraId="262DE55F" w14:textId="4E792247" w:rsidR="00505E4D" w:rsidRPr="00505E4D" w:rsidRDefault="00505E4D" w:rsidP="00505E4D">
      <w:pPr>
        <w:numPr>
          <w:ilvl w:val="12"/>
          <w:numId w:val="0"/>
        </w:numPr>
        <w:ind w:right="-2"/>
        <w:rPr>
          <w:del w:id="12929" w:author="AbbVie2" w:date="2025-05-14T10:22:00Z"/>
          <w:sz w:val="22"/>
          <w:szCs w:val="22"/>
        </w:rPr>
      </w:pPr>
    </w:p>
    <w:p w14:paraId="49C54434" w14:textId="5BCF8CB9" w:rsidR="00505E4D" w:rsidRPr="00505E4D" w:rsidRDefault="00615769" w:rsidP="00505E4D">
      <w:pPr>
        <w:numPr>
          <w:ilvl w:val="12"/>
          <w:numId w:val="0"/>
        </w:numPr>
        <w:ind w:right="-2"/>
        <w:rPr>
          <w:del w:id="12930" w:author="AbbVie2" w:date="2025-05-14T10:22:00Z"/>
          <w:sz w:val="22"/>
          <w:szCs w:val="22"/>
        </w:rPr>
      </w:pPr>
      <w:del w:id="12931" w:author="AbbVie2" w:date="2025-05-14T10:22:00Z">
        <w:r w:rsidRPr="00505E4D">
          <w:rPr>
            <w:sz w:val="22"/>
            <w:szCs w:val="22"/>
          </w:rPr>
          <w:delText>Os doentes pediátricos que completem 18 anos de idade durante o tratamento com 40 mg em semanas alternadas devem continuar com a dose prescrita.</w:delText>
        </w:r>
      </w:del>
    </w:p>
    <w:p w14:paraId="2FD65ECD" w14:textId="44568C45" w:rsidR="00505E4D" w:rsidRPr="00505E4D" w:rsidRDefault="00505E4D" w:rsidP="00505E4D">
      <w:pPr>
        <w:numPr>
          <w:ilvl w:val="12"/>
          <w:numId w:val="0"/>
        </w:numPr>
        <w:ind w:right="-2"/>
        <w:rPr>
          <w:del w:id="12932" w:author="AbbVie2" w:date="2025-05-14T10:22:00Z"/>
          <w:sz w:val="22"/>
          <w:szCs w:val="22"/>
        </w:rPr>
      </w:pPr>
    </w:p>
    <w:p w14:paraId="4DFFA521" w14:textId="62E6EAA7" w:rsidR="00505E4D" w:rsidRPr="00505E4D" w:rsidRDefault="00615769" w:rsidP="00505E4D">
      <w:pPr>
        <w:numPr>
          <w:ilvl w:val="12"/>
          <w:numId w:val="0"/>
        </w:numPr>
        <w:ind w:right="-2"/>
        <w:rPr>
          <w:del w:id="12933" w:author="AbbVie2" w:date="2025-05-14T10:22:00Z"/>
          <w:i/>
          <w:iCs/>
          <w:sz w:val="22"/>
          <w:szCs w:val="22"/>
        </w:rPr>
      </w:pPr>
      <w:del w:id="12934" w:author="AbbVie2" w:date="2025-05-14T10:22:00Z">
        <w:r w:rsidRPr="00505E4D">
          <w:rPr>
            <w:i/>
            <w:iCs/>
            <w:sz w:val="22"/>
            <w:szCs w:val="22"/>
          </w:rPr>
          <w:delText>Crianças e adolescentes a partir dos 6 anos de idade com peso igual ou superior a 40 kg</w:delText>
        </w:r>
      </w:del>
    </w:p>
    <w:p w14:paraId="636EC7D7" w14:textId="4FC4F5EA" w:rsidR="00505E4D" w:rsidRPr="00505E4D" w:rsidRDefault="00505E4D" w:rsidP="00505E4D">
      <w:pPr>
        <w:numPr>
          <w:ilvl w:val="12"/>
          <w:numId w:val="0"/>
        </w:numPr>
        <w:ind w:right="-2"/>
        <w:rPr>
          <w:del w:id="12935" w:author="AbbVie2" w:date="2025-05-14T10:22:00Z"/>
          <w:i/>
          <w:iCs/>
          <w:sz w:val="22"/>
          <w:szCs w:val="22"/>
        </w:rPr>
      </w:pPr>
    </w:p>
    <w:p w14:paraId="2BF56FAE" w14:textId="6CDF80A0" w:rsidR="00505E4D" w:rsidRPr="00994B36" w:rsidRDefault="00615769" w:rsidP="00505E4D">
      <w:pPr>
        <w:numPr>
          <w:ilvl w:val="12"/>
          <w:numId w:val="0"/>
        </w:numPr>
        <w:ind w:right="-2"/>
        <w:rPr>
          <w:del w:id="12936" w:author="AbbVie2" w:date="2025-05-14T10:22:00Z"/>
          <w:sz w:val="22"/>
          <w:szCs w:val="22"/>
        </w:rPr>
      </w:pPr>
      <w:del w:id="12937" w:author="AbbVie2" w:date="2025-05-14T10:22:00Z">
        <w:r w:rsidRPr="00994B36">
          <w:rPr>
            <w:sz w:val="22"/>
            <w:szCs w:val="22"/>
          </w:rPr>
          <w:delText xml:space="preserve">A dose habitual de Humira é de uma dose inicial de 160 mg (quatro injeções de 40 mg num dia ou duas injeções de 40 mg por dia, em dois dias consecutivos), seguida de 80 mg (duas injeções de 40 mg num dia) duas semanas após a dose inicial. Depois disso, a dose habitual é de 80 mg em semanas alternadas. </w:delText>
        </w:r>
      </w:del>
    </w:p>
    <w:p w14:paraId="01CA2142" w14:textId="55565CA8" w:rsidR="00505E4D" w:rsidRPr="00994B36" w:rsidRDefault="00505E4D" w:rsidP="00505E4D">
      <w:pPr>
        <w:numPr>
          <w:ilvl w:val="12"/>
          <w:numId w:val="0"/>
        </w:numPr>
        <w:ind w:right="-2"/>
        <w:rPr>
          <w:del w:id="12938" w:author="AbbVie2" w:date="2025-05-14T10:22:00Z"/>
          <w:sz w:val="22"/>
          <w:szCs w:val="22"/>
        </w:rPr>
      </w:pPr>
    </w:p>
    <w:p w14:paraId="426A998C" w14:textId="3E5727F9" w:rsidR="00505E4D" w:rsidRPr="00994B36" w:rsidRDefault="00615769" w:rsidP="00994B36">
      <w:pPr>
        <w:numPr>
          <w:ilvl w:val="12"/>
          <w:numId w:val="0"/>
        </w:numPr>
        <w:ind w:right="-2"/>
        <w:rPr>
          <w:del w:id="12939" w:author="AbbVie2" w:date="2025-05-14T10:22:00Z"/>
          <w:sz w:val="22"/>
          <w:szCs w:val="22"/>
        </w:rPr>
      </w:pPr>
      <w:del w:id="12940" w:author="AbbVie2" w:date="2025-05-14T10:22:00Z">
        <w:r w:rsidRPr="00994B36">
          <w:rPr>
            <w:sz w:val="22"/>
            <w:szCs w:val="22"/>
          </w:rPr>
          <w:delText>Os doentes pediátricos que completem 18 anos de id</w:delText>
        </w:r>
        <w:r>
          <w:rPr>
            <w:sz w:val="22"/>
            <w:szCs w:val="22"/>
          </w:rPr>
          <w:delText>ade durante o tratamento com 80 </w:delText>
        </w:r>
        <w:r w:rsidRPr="00994B36">
          <w:rPr>
            <w:sz w:val="22"/>
            <w:szCs w:val="22"/>
          </w:rPr>
          <w:delText>mg em semanas alternadas devem continuar com a dose prescrita.</w:delText>
        </w:r>
      </w:del>
    </w:p>
    <w:p w14:paraId="0E916F06" w14:textId="30A558E5" w:rsidR="00505E4D" w:rsidRPr="00994B36" w:rsidRDefault="00505E4D" w:rsidP="001E0ED8">
      <w:pPr>
        <w:ind w:right="-2"/>
        <w:rPr>
          <w:del w:id="12941" w:author="AbbVie2" w:date="2025-05-14T10:22:00Z"/>
          <w:sz w:val="22"/>
          <w:szCs w:val="22"/>
        </w:rPr>
      </w:pPr>
    </w:p>
    <w:p w14:paraId="7C5CF784" w14:textId="5B915E49" w:rsidR="00127AF9" w:rsidRPr="004D4741" w:rsidRDefault="00615769" w:rsidP="001242C2">
      <w:pPr>
        <w:keepNext/>
        <w:ind w:right="-2"/>
        <w:rPr>
          <w:del w:id="12942" w:author="AbbVie2" w:date="2025-05-14T10:22:00Z"/>
          <w:sz w:val="22"/>
          <w:szCs w:val="22"/>
          <w:u w:val="single"/>
        </w:rPr>
      </w:pPr>
      <w:del w:id="12943" w:author="AbbVie2" w:date="2025-05-14T10:22:00Z">
        <w:r w:rsidRPr="004D4741">
          <w:rPr>
            <w:sz w:val="22"/>
            <w:szCs w:val="22"/>
            <w:u w:val="single"/>
          </w:rPr>
          <w:delText xml:space="preserve">Crianças </w:delText>
        </w:r>
        <w:r w:rsidR="00A80FD3">
          <w:rPr>
            <w:sz w:val="22"/>
            <w:szCs w:val="22"/>
            <w:u w:val="single"/>
          </w:rPr>
          <w:delText xml:space="preserve">e adolescentes </w:delText>
        </w:r>
        <w:r w:rsidRPr="004D4741">
          <w:rPr>
            <w:sz w:val="22"/>
            <w:szCs w:val="22"/>
            <w:u w:val="single"/>
          </w:rPr>
          <w:delText xml:space="preserve">com uveíte </w:delText>
        </w:r>
        <w:r w:rsidR="00835DDA" w:rsidRPr="004D4741">
          <w:rPr>
            <w:sz w:val="22"/>
            <w:szCs w:val="22"/>
            <w:u w:val="single"/>
          </w:rPr>
          <w:delText>não infecciosa</w:delText>
        </w:r>
        <w:r w:rsidR="00835DDA">
          <w:rPr>
            <w:sz w:val="22"/>
            <w:szCs w:val="22"/>
            <w:u w:val="single"/>
          </w:rPr>
          <w:delText>,</w:delText>
        </w:r>
        <w:r w:rsidR="00835DDA" w:rsidRPr="004D4741">
          <w:rPr>
            <w:sz w:val="22"/>
            <w:szCs w:val="22"/>
            <w:u w:val="single"/>
          </w:rPr>
          <w:delText xml:space="preserve"> </w:delText>
        </w:r>
        <w:r w:rsidRPr="004D4741">
          <w:rPr>
            <w:sz w:val="22"/>
            <w:szCs w:val="22"/>
            <w:u w:val="single"/>
          </w:rPr>
          <w:delText>crónica</w:delText>
        </w:r>
        <w:r w:rsidR="00835DDA">
          <w:rPr>
            <w:sz w:val="22"/>
            <w:szCs w:val="22"/>
            <w:u w:val="single"/>
          </w:rPr>
          <w:delText>,</w:delText>
        </w:r>
        <w:r w:rsidRPr="004D4741">
          <w:rPr>
            <w:sz w:val="22"/>
            <w:szCs w:val="22"/>
            <w:u w:val="single"/>
          </w:rPr>
          <w:delText xml:space="preserve"> a partir dos 2 anos de idade</w:delText>
        </w:r>
      </w:del>
    </w:p>
    <w:p w14:paraId="159087F4" w14:textId="72DAEA96" w:rsidR="00127AF9" w:rsidRDefault="00127AF9" w:rsidP="001242C2">
      <w:pPr>
        <w:keepNext/>
        <w:ind w:right="-2"/>
        <w:rPr>
          <w:del w:id="12944" w:author="AbbVie2" w:date="2025-05-14T10:22:00Z"/>
          <w:sz w:val="22"/>
          <w:szCs w:val="22"/>
        </w:rPr>
      </w:pPr>
    </w:p>
    <w:p w14:paraId="64BC5F00" w14:textId="0E1E8DA8" w:rsidR="00127AF9" w:rsidRPr="00F03C54" w:rsidRDefault="00615769" w:rsidP="001242C2">
      <w:pPr>
        <w:keepNext/>
        <w:ind w:right="-2"/>
        <w:rPr>
          <w:del w:id="12945" w:author="AbbVie2" w:date="2025-05-14T10:22:00Z"/>
          <w:sz w:val="22"/>
          <w:szCs w:val="22"/>
        </w:rPr>
      </w:pPr>
      <w:del w:id="12946" w:author="AbbVie2" w:date="2025-05-14T10:22:00Z">
        <w:r w:rsidRPr="00F03C54">
          <w:rPr>
            <w:bCs/>
            <w:i/>
            <w:sz w:val="22"/>
            <w:szCs w:val="22"/>
          </w:rPr>
          <w:delText>Crianças e adolescentes a partir dos 2 anos de idade com peso inferior a 30 kg</w:delText>
        </w:r>
        <w:r w:rsidRPr="00F03C54">
          <w:rPr>
            <w:sz w:val="22"/>
            <w:szCs w:val="22"/>
          </w:rPr>
          <w:delText xml:space="preserve"> </w:delText>
        </w:r>
      </w:del>
    </w:p>
    <w:p w14:paraId="29956828" w14:textId="452D3049" w:rsidR="00127AF9" w:rsidRDefault="00127AF9" w:rsidP="001242C2">
      <w:pPr>
        <w:keepNext/>
        <w:ind w:right="-2"/>
        <w:rPr>
          <w:del w:id="12947" w:author="AbbVie2" w:date="2025-05-14T10:22:00Z"/>
          <w:sz w:val="22"/>
          <w:szCs w:val="22"/>
        </w:rPr>
      </w:pPr>
    </w:p>
    <w:p w14:paraId="63C9823F" w14:textId="1F534D28" w:rsidR="00127AF9" w:rsidRDefault="00615769" w:rsidP="001242C2">
      <w:pPr>
        <w:keepNext/>
        <w:ind w:right="-2"/>
        <w:rPr>
          <w:del w:id="12948" w:author="AbbVie2" w:date="2025-05-14T10:22:00Z"/>
          <w:bCs/>
          <w:sz w:val="22"/>
          <w:szCs w:val="22"/>
        </w:rPr>
      </w:pPr>
      <w:del w:id="12949" w:author="AbbVie2" w:date="2025-05-14T10:22:00Z">
        <w:r w:rsidRPr="008912CF">
          <w:rPr>
            <w:bCs/>
            <w:sz w:val="22"/>
            <w:szCs w:val="22"/>
          </w:rPr>
          <w:delText xml:space="preserve">A dose habitual </w:delText>
        </w:r>
        <w:r>
          <w:rPr>
            <w:bCs/>
            <w:sz w:val="22"/>
            <w:szCs w:val="22"/>
          </w:rPr>
          <w:delText xml:space="preserve">de Humira </w:delText>
        </w:r>
        <w:r w:rsidRPr="008912CF">
          <w:rPr>
            <w:bCs/>
            <w:sz w:val="22"/>
            <w:szCs w:val="22"/>
          </w:rPr>
          <w:delText xml:space="preserve">é de </w:delText>
        </w:r>
        <w:r>
          <w:rPr>
            <w:bCs/>
            <w:sz w:val="22"/>
            <w:szCs w:val="22"/>
          </w:rPr>
          <w:delText>2</w:delText>
        </w:r>
        <w:r w:rsidRPr="008912CF">
          <w:rPr>
            <w:bCs/>
            <w:sz w:val="22"/>
            <w:szCs w:val="22"/>
          </w:rPr>
          <w:delText>0 mg</w:delText>
        </w:r>
        <w:r>
          <w:rPr>
            <w:bCs/>
            <w:sz w:val="22"/>
            <w:szCs w:val="22"/>
          </w:rPr>
          <w:delText xml:space="preserve"> em semanas alternadas com metotrexato.</w:delText>
        </w:r>
      </w:del>
    </w:p>
    <w:p w14:paraId="4496A22C" w14:textId="59C3CC33" w:rsidR="00127AF9" w:rsidRDefault="00127AF9" w:rsidP="00127AF9">
      <w:pPr>
        <w:ind w:right="-2"/>
        <w:rPr>
          <w:del w:id="12950" w:author="AbbVie2" w:date="2025-05-14T10:22:00Z"/>
          <w:bCs/>
          <w:sz w:val="22"/>
          <w:szCs w:val="22"/>
        </w:rPr>
      </w:pPr>
    </w:p>
    <w:p w14:paraId="61D8526A" w14:textId="54D6A91F" w:rsidR="00127AF9" w:rsidRDefault="00615769" w:rsidP="00127AF9">
      <w:pPr>
        <w:ind w:right="-2"/>
        <w:rPr>
          <w:del w:id="12951" w:author="AbbVie2" w:date="2025-05-14T10:22:00Z"/>
          <w:bCs/>
          <w:sz w:val="22"/>
          <w:szCs w:val="22"/>
        </w:rPr>
      </w:pPr>
      <w:del w:id="12952" w:author="AbbVie2" w:date="2025-05-14T10:22:00Z">
        <w:r>
          <w:rPr>
            <w:bCs/>
            <w:sz w:val="22"/>
            <w:szCs w:val="22"/>
          </w:rPr>
          <w:delText>O</w:delText>
        </w:r>
        <w:r w:rsidRPr="008912CF">
          <w:rPr>
            <w:bCs/>
            <w:sz w:val="22"/>
            <w:szCs w:val="22"/>
          </w:rPr>
          <w:delText xml:space="preserve"> médico da sua criança pode </w:delText>
        </w:r>
        <w:r>
          <w:rPr>
            <w:bCs/>
            <w:sz w:val="22"/>
            <w:szCs w:val="22"/>
          </w:rPr>
          <w:delText xml:space="preserve">também </w:delText>
        </w:r>
        <w:r w:rsidRPr="008912CF">
          <w:rPr>
            <w:bCs/>
            <w:sz w:val="22"/>
            <w:szCs w:val="22"/>
          </w:rPr>
          <w:delText>prescrever uma dose inicial de</w:delText>
        </w:r>
        <w:r>
          <w:rPr>
            <w:bCs/>
            <w:sz w:val="22"/>
            <w:szCs w:val="22"/>
          </w:rPr>
          <w:delText xml:space="preserve"> 40 mg que pode ser administrada uma semana</w:delText>
        </w:r>
        <w:r w:rsidR="00E95650">
          <w:rPr>
            <w:bCs/>
            <w:sz w:val="22"/>
            <w:szCs w:val="22"/>
          </w:rPr>
          <w:delText xml:space="preserve"> antes do início da dose habitual</w:delText>
        </w:r>
        <w:r>
          <w:rPr>
            <w:bCs/>
            <w:sz w:val="22"/>
            <w:szCs w:val="22"/>
          </w:rPr>
          <w:delText>.</w:delText>
        </w:r>
      </w:del>
    </w:p>
    <w:p w14:paraId="42DEA3F2" w14:textId="4A22DB42" w:rsidR="00127AF9" w:rsidRDefault="00127AF9" w:rsidP="00127AF9">
      <w:pPr>
        <w:ind w:right="-2"/>
        <w:rPr>
          <w:del w:id="12953" w:author="AbbVie2" w:date="2025-05-14T10:22:00Z"/>
          <w:bCs/>
          <w:sz w:val="22"/>
          <w:szCs w:val="22"/>
        </w:rPr>
      </w:pPr>
    </w:p>
    <w:p w14:paraId="724442EB" w14:textId="2A920831" w:rsidR="00127AF9" w:rsidRPr="004D4741" w:rsidRDefault="00615769" w:rsidP="00127AF9">
      <w:pPr>
        <w:ind w:right="-2"/>
        <w:rPr>
          <w:del w:id="12954" w:author="AbbVie2" w:date="2025-05-14T10:22:00Z"/>
          <w:bCs/>
          <w:sz w:val="22"/>
          <w:szCs w:val="22"/>
          <w:u w:val="single"/>
        </w:rPr>
      </w:pPr>
      <w:del w:id="12955" w:author="AbbVie2" w:date="2025-05-14T10:22:00Z">
        <w:r w:rsidRPr="00F03C54">
          <w:rPr>
            <w:bCs/>
            <w:i/>
            <w:sz w:val="22"/>
            <w:szCs w:val="22"/>
          </w:rPr>
          <w:delText>Crianças e adolescentes a partir dos 2 anos de idade com peso igual ou superior a 30 kg</w:delText>
        </w:r>
      </w:del>
    </w:p>
    <w:p w14:paraId="3FC82091" w14:textId="3F51082F" w:rsidR="00127AF9" w:rsidRPr="004D4741" w:rsidRDefault="00127AF9" w:rsidP="00127AF9">
      <w:pPr>
        <w:ind w:right="-2"/>
        <w:rPr>
          <w:del w:id="12956" w:author="AbbVie2" w:date="2025-05-14T10:22:00Z"/>
          <w:sz w:val="22"/>
          <w:szCs w:val="22"/>
          <w:u w:val="single"/>
        </w:rPr>
      </w:pPr>
    </w:p>
    <w:p w14:paraId="7B96236E" w14:textId="573C80C6" w:rsidR="00127AF9" w:rsidRDefault="00615769" w:rsidP="00127AF9">
      <w:pPr>
        <w:ind w:right="-2"/>
        <w:rPr>
          <w:del w:id="12957" w:author="AbbVie2" w:date="2025-05-14T10:22:00Z"/>
          <w:bCs/>
          <w:sz w:val="22"/>
          <w:szCs w:val="22"/>
        </w:rPr>
      </w:pPr>
      <w:del w:id="12958" w:author="AbbVie2" w:date="2025-05-14T10:22:00Z">
        <w:r w:rsidRPr="008912CF">
          <w:rPr>
            <w:bCs/>
            <w:sz w:val="22"/>
            <w:szCs w:val="22"/>
          </w:rPr>
          <w:delText xml:space="preserve">A dose habitual </w:delText>
        </w:r>
        <w:r>
          <w:rPr>
            <w:bCs/>
            <w:sz w:val="22"/>
            <w:szCs w:val="22"/>
          </w:rPr>
          <w:delText xml:space="preserve">de Humira </w:delText>
        </w:r>
        <w:r w:rsidRPr="008912CF">
          <w:rPr>
            <w:bCs/>
            <w:sz w:val="22"/>
            <w:szCs w:val="22"/>
          </w:rPr>
          <w:delText xml:space="preserve">é de </w:delText>
        </w:r>
        <w:r>
          <w:rPr>
            <w:bCs/>
            <w:sz w:val="22"/>
            <w:szCs w:val="22"/>
          </w:rPr>
          <w:delText>4</w:delText>
        </w:r>
        <w:r w:rsidRPr="008912CF">
          <w:rPr>
            <w:bCs/>
            <w:sz w:val="22"/>
            <w:szCs w:val="22"/>
          </w:rPr>
          <w:delText>0 mg</w:delText>
        </w:r>
        <w:r>
          <w:rPr>
            <w:bCs/>
            <w:sz w:val="22"/>
            <w:szCs w:val="22"/>
          </w:rPr>
          <w:delText xml:space="preserve"> em semanas alternadas com metotrexato.</w:delText>
        </w:r>
      </w:del>
    </w:p>
    <w:p w14:paraId="49DA1B1C" w14:textId="47251DAC" w:rsidR="00127AF9" w:rsidRDefault="00127AF9" w:rsidP="00127AF9">
      <w:pPr>
        <w:ind w:right="-2"/>
        <w:rPr>
          <w:del w:id="12959" w:author="AbbVie2" w:date="2025-05-14T10:22:00Z"/>
          <w:bCs/>
          <w:sz w:val="22"/>
          <w:szCs w:val="22"/>
        </w:rPr>
      </w:pPr>
    </w:p>
    <w:p w14:paraId="4F4EED98" w14:textId="0FB760B8" w:rsidR="00127AF9" w:rsidRDefault="00615769" w:rsidP="00127AF9">
      <w:pPr>
        <w:ind w:right="-2"/>
        <w:rPr>
          <w:del w:id="12960" w:author="AbbVie2" w:date="2025-05-14T10:22:00Z"/>
          <w:bCs/>
          <w:sz w:val="22"/>
          <w:szCs w:val="22"/>
        </w:rPr>
      </w:pPr>
      <w:del w:id="12961" w:author="AbbVie2" w:date="2025-05-14T10:22:00Z">
        <w:r>
          <w:rPr>
            <w:bCs/>
            <w:sz w:val="22"/>
            <w:szCs w:val="22"/>
          </w:rPr>
          <w:delText>O</w:delText>
        </w:r>
        <w:r w:rsidRPr="008912CF">
          <w:rPr>
            <w:bCs/>
            <w:sz w:val="22"/>
            <w:szCs w:val="22"/>
          </w:rPr>
          <w:delText xml:space="preserve"> médico da sua criança pode </w:delText>
        </w:r>
        <w:r>
          <w:rPr>
            <w:bCs/>
            <w:sz w:val="22"/>
            <w:szCs w:val="22"/>
          </w:rPr>
          <w:delText xml:space="preserve">também </w:delText>
        </w:r>
        <w:r w:rsidRPr="008912CF">
          <w:rPr>
            <w:bCs/>
            <w:sz w:val="22"/>
            <w:szCs w:val="22"/>
          </w:rPr>
          <w:delText>prescrever uma dose inicial de</w:delText>
        </w:r>
        <w:r>
          <w:rPr>
            <w:bCs/>
            <w:sz w:val="22"/>
            <w:szCs w:val="22"/>
          </w:rPr>
          <w:delText xml:space="preserve"> 80 mg que pode ser administrada uma semana</w:delText>
        </w:r>
        <w:r w:rsidR="00E95650">
          <w:rPr>
            <w:bCs/>
            <w:sz w:val="22"/>
            <w:szCs w:val="22"/>
          </w:rPr>
          <w:delText xml:space="preserve"> antes do início da dose habitual</w:delText>
        </w:r>
        <w:r>
          <w:rPr>
            <w:bCs/>
            <w:sz w:val="22"/>
            <w:szCs w:val="22"/>
          </w:rPr>
          <w:delText>.</w:delText>
        </w:r>
      </w:del>
    </w:p>
    <w:p w14:paraId="21FDB3B1" w14:textId="090639BB" w:rsidR="004462A0" w:rsidRPr="008912CF" w:rsidRDefault="004462A0" w:rsidP="004462A0">
      <w:pPr>
        <w:ind w:right="-2"/>
        <w:rPr>
          <w:del w:id="12962" w:author="AbbVie2" w:date="2025-05-14T10:22:00Z"/>
          <w:sz w:val="22"/>
          <w:szCs w:val="22"/>
        </w:rPr>
      </w:pPr>
    </w:p>
    <w:p w14:paraId="1CE34E1E" w14:textId="385E4EF0" w:rsidR="004462A0" w:rsidRPr="008912CF" w:rsidRDefault="00615769" w:rsidP="004462A0">
      <w:pPr>
        <w:ind w:right="-2"/>
        <w:rPr>
          <w:del w:id="12963" w:author="AbbVie2" w:date="2025-05-14T10:22:00Z"/>
          <w:b/>
          <w:bCs/>
          <w:sz w:val="22"/>
          <w:szCs w:val="22"/>
        </w:rPr>
      </w:pPr>
      <w:del w:id="12964" w:author="AbbVie2" w:date="2025-05-14T10:22:00Z">
        <w:r w:rsidRPr="008912CF">
          <w:rPr>
            <w:b/>
            <w:bCs/>
            <w:sz w:val="22"/>
            <w:szCs w:val="22"/>
          </w:rPr>
          <w:delText>Modo e via de administração</w:delText>
        </w:r>
      </w:del>
    </w:p>
    <w:p w14:paraId="57388CF2" w14:textId="15072FB9" w:rsidR="004462A0" w:rsidRPr="008912CF" w:rsidRDefault="004462A0" w:rsidP="004462A0">
      <w:pPr>
        <w:ind w:right="-2"/>
        <w:rPr>
          <w:del w:id="12965" w:author="AbbVie2" w:date="2025-05-14T10:22:00Z"/>
          <w:sz w:val="22"/>
          <w:szCs w:val="22"/>
        </w:rPr>
      </w:pPr>
    </w:p>
    <w:p w14:paraId="2F83F4A9" w14:textId="596357B0" w:rsidR="004462A0" w:rsidRPr="008912CF" w:rsidRDefault="00615769" w:rsidP="004462A0">
      <w:pPr>
        <w:ind w:right="-2"/>
        <w:rPr>
          <w:del w:id="12966" w:author="AbbVie2" w:date="2025-05-14T10:22:00Z"/>
          <w:sz w:val="22"/>
          <w:szCs w:val="22"/>
        </w:rPr>
      </w:pPr>
      <w:del w:id="12967" w:author="AbbVie2" w:date="2025-05-14T10:22:00Z">
        <w:r w:rsidRPr="008912CF">
          <w:rPr>
            <w:sz w:val="22"/>
            <w:szCs w:val="22"/>
          </w:rPr>
          <w:delText>Humira é administrado por injeção debaixo da pele (via subcutânea).</w:delText>
        </w:r>
      </w:del>
    </w:p>
    <w:p w14:paraId="744DBB94" w14:textId="5327CE42" w:rsidR="004462A0" w:rsidRPr="008912CF" w:rsidRDefault="004462A0" w:rsidP="004462A0">
      <w:pPr>
        <w:ind w:right="-2"/>
        <w:rPr>
          <w:del w:id="12968" w:author="AbbVie2" w:date="2025-05-14T10:22:00Z"/>
          <w:sz w:val="22"/>
          <w:szCs w:val="22"/>
        </w:rPr>
      </w:pPr>
    </w:p>
    <w:p w14:paraId="652201D8" w14:textId="294599D9" w:rsidR="004462A0" w:rsidRPr="008912CF" w:rsidRDefault="00615769" w:rsidP="004462A0">
      <w:pPr>
        <w:keepNext/>
        <w:rPr>
          <w:del w:id="12969" w:author="AbbVie2" w:date="2025-05-14T10:22:00Z"/>
          <w:b/>
          <w:sz w:val="22"/>
          <w:szCs w:val="22"/>
        </w:rPr>
      </w:pPr>
      <w:del w:id="12970" w:author="AbbVie2" w:date="2025-05-14T10:22:00Z">
        <w:r w:rsidRPr="008912CF">
          <w:rPr>
            <w:b/>
            <w:sz w:val="22"/>
            <w:szCs w:val="22"/>
          </w:rPr>
          <w:delText xml:space="preserve">Instruções para a preparação e administração de uma injeção de </w:delText>
        </w:r>
        <w:r w:rsidRPr="008912CF">
          <w:rPr>
            <w:b/>
            <w:bCs/>
            <w:sz w:val="22"/>
            <w:szCs w:val="22"/>
          </w:rPr>
          <w:delText>Humira</w:delText>
        </w:r>
      </w:del>
    </w:p>
    <w:p w14:paraId="64AD96A8" w14:textId="6E2BE50F" w:rsidR="00A710A1" w:rsidRDefault="00A710A1" w:rsidP="004462A0">
      <w:pPr>
        <w:keepNext/>
        <w:rPr>
          <w:del w:id="12971" w:author="AbbVie2" w:date="2025-05-14T10:22:00Z"/>
          <w:sz w:val="22"/>
          <w:szCs w:val="22"/>
        </w:rPr>
      </w:pPr>
    </w:p>
    <w:p w14:paraId="7279870A" w14:textId="72EE3250" w:rsidR="004462A0" w:rsidRPr="008912CF" w:rsidRDefault="00615769" w:rsidP="004462A0">
      <w:pPr>
        <w:keepNext/>
        <w:rPr>
          <w:del w:id="12972" w:author="AbbVie2" w:date="2025-05-14T10:22:00Z"/>
          <w:sz w:val="22"/>
          <w:szCs w:val="22"/>
        </w:rPr>
      </w:pPr>
      <w:del w:id="12973" w:author="AbbVie2" w:date="2025-05-14T10:22:00Z">
        <w:r w:rsidRPr="008912CF">
          <w:rPr>
            <w:sz w:val="22"/>
            <w:szCs w:val="22"/>
          </w:rPr>
          <w:delText>As instruções a seguir indicadas explicam como injetar Humira. Leia atentamente as instruções e siga-as passo a passo. O médico ou assistente da sua criança prestar-lhe-á informações sobre a técnica de injeção e a quantidade a administrar à criança. Não tente injetar a sua criança antes de estar certo de ter compreendido o modo de preparar e administrar a injeção. Após treino adequado, a injeção pode ser autoadministrada ou administrada por outra pessoa, por exemplo um familiar ou amigo.</w:delText>
        </w:r>
      </w:del>
    </w:p>
    <w:p w14:paraId="3B3E8CEF" w14:textId="370D264B" w:rsidR="004462A0" w:rsidRPr="008912CF" w:rsidRDefault="004462A0" w:rsidP="004462A0">
      <w:pPr>
        <w:keepNext/>
        <w:rPr>
          <w:del w:id="12974" w:author="AbbVie2" w:date="2025-05-14T10:22:00Z"/>
          <w:sz w:val="22"/>
          <w:szCs w:val="22"/>
        </w:rPr>
      </w:pPr>
    </w:p>
    <w:p w14:paraId="69B181DE" w14:textId="6ED4E112" w:rsidR="004462A0" w:rsidRPr="008912CF" w:rsidRDefault="00615769" w:rsidP="004462A0">
      <w:pPr>
        <w:rPr>
          <w:del w:id="12975" w:author="AbbVie2" w:date="2025-05-14T10:22:00Z"/>
          <w:sz w:val="22"/>
          <w:szCs w:val="22"/>
        </w:rPr>
      </w:pPr>
      <w:del w:id="12976" w:author="AbbVie2" w:date="2025-05-14T10:22:00Z">
        <w:r w:rsidRPr="008912CF">
          <w:rPr>
            <w:sz w:val="22"/>
            <w:szCs w:val="22"/>
          </w:rPr>
          <w:delText>O não cumprimento dos passos abaixo descritos, pode causar contaminação, que pode conduzir a uma infeção da sua criança.</w:delText>
        </w:r>
      </w:del>
    </w:p>
    <w:p w14:paraId="59D001B5" w14:textId="77CB69D2" w:rsidR="004462A0" w:rsidRPr="008912CF" w:rsidRDefault="004462A0" w:rsidP="004462A0">
      <w:pPr>
        <w:rPr>
          <w:del w:id="12977" w:author="AbbVie2" w:date="2025-05-14T10:22:00Z"/>
          <w:sz w:val="22"/>
          <w:szCs w:val="22"/>
        </w:rPr>
      </w:pPr>
    </w:p>
    <w:p w14:paraId="1BDE515A" w14:textId="2315E1C5" w:rsidR="004462A0" w:rsidRPr="008912CF" w:rsidRDefault="00615769" w:rsidP="004462A0">
      <w:pPr>
        <w:rPr>
          <w:del w:id="12978" w:author="AbbVie2" w:date="2025-05-14T10:22:00Z"/>
          <w:sz w:val="22"/>
          <w:szCs w:val="22"/>
        </w:rPr>
      </w:pPr>
      <w:del w:id="12979" w:author="AbbVie2" w:date="2025-05-14T10:22:00Z">
        <w:r w:rsidRPr="008912CF">
          <w:rPr>
            <w:sz w:val="22"/>
            <w:szCs w:val="22"/>
          </w:rPr>
          <w:delText>Esta injeção não deve ser misturada com qualquer outro medicamento na mesma seringa ou frasco para injetáveis.</w:delText>
        </w:r>
      </w:del>
    </w:p>
    <w:p w14:paraId="3AE39FF2" w14:textId="1982FA2A" w:rsidR="004462A0" w:rsidRPr="008912CF" w:rsidRDefault="004462A0" w:rsidP="004462A0">
      <w:pPr>
        <w:rPr>
          <w:del w:id="12980" w:author="AbbVie2" w:date="2025-05-14T10:22:00Z"/>
          <w:sz w:val="22"/>
          <w:szCs w:val="22"/>
        </w:rPr>
      </w:pPr>
    </w:p>
    <w:p w14:paraId="497BCDDF" w14:textId="07A39A80" w:rsidR="004462A0" w:rsidRPr="008912CF" w:rsidRDefault="00615769" w:rsidP="004462A0">
      <w:pPr>
        <w:rPr>
          <w:del w:id="12981" w:author="AbbVie2" w:date="2025-05-14T10:22:00Z"/>
          <w:b/>
          <w:sz w:val="22"/>
          <w:szCs w:val="22"/>
        </w:rPr>
      </w:pPr>
      <w:del w:id="12982" w:author="AbbVie2" w:date="2025-05-14T10:22:00Z">
        <w:r w:rsidRPr="008912CF">
          <w:rPr>
            <w:b/>
            <w:sz w:val="22"/>
            <w:szCs w:val="22"/>
          </w:rPr>
          <w:delText>1)</w:delText>
        </w:r>
        <w:r w:rsidRPr="008912CF">
          <w:rPr>
            <w:b/>
            <w:sz w:val="22"/>
            <w:szCs w:val="22"/>
          </w:rPr>
          <w:tab/>
          <w:delText>Preparação</w:delText>
        </w:r>
      </w:del>
    </w:p>
    <w:p w14:paraId="2D95BE60" w14:textId="2A6ADCF8" w:rsidR="004462A0" w:rsidRPr="008912CF" w:rsidRDefault="004462A0" w:rsidP="004462A0">
      <w:pPr>
        <w:rPr>
          <w:del w:id="12983" w:author="AbbVie2" w:date="2025-05-14T10:22:00Z"/>
          <w:b/>
          <w:sz w:val="22"/>
          <w:szCs w:val="22"/>
        </w:rPr>
      </w:pPr>
    </w:p>
    <w:p w14:paraId="64B544F6" w14:textId="4479E814" w:rsidR="004462A0" w:rsidRPr="008912CF" w:rsidRDefault="00615769" w:rsidP="004462A0">
      <w:pPr>
        <w:pStyle w:val="EMEABullet2"/>
        <w:numPr>
          <w:ilvl w:val="0"/>
          <w:numId w:val="78"/>
        </w:numPr>
        <w:tabs>
          <w:tab w:val="clear" w:pos="567"/>
          <w:tab w:val="clear" w:pos="1134"/>
        </w:tabs>
        <w:ind w:left="550" w:hanging="550"/>
        <w:rPr>
          <w:del w:id="12984" w:author="AbbVie2" w:date="2025-05-14T10:22:00Z"/>
          <w:szCs w:val="22"/>
          <w:lang w:val="pt-PT"/>
        </w:rPr>
      </w:pPr>
      <w:del w:id="12985" w:author="AbbVie2" w:date="2025-05-14T10:22:00Z">
        <w:r w:rsidRPr="008912CF">
          <w:rPr>
            <w:szCs w:val="22"/>
            <w:lang w:val="pt-PT"/>
          </w:rPr>
          <w:delText xml:space="preserve">Certifique-se de que sabe a quantidade apropriada (volume) necessária para a administração. Se não sabe a quantidade, </w:delText>
        </w:r>
        <w:r w:rsidRPr="008912CF">
          <w:rPr>
            <w:b/>
            <w:szCs w:val="22"/>
            <w:lang w:val="pt-PT"/>
          </w:rPr>
          <w:delText>PARE AQUI</w:delText>
        </w:r>
        <w:r w:rsidRPr="008912CF">
          <w:rPr>
            <w:szCs w:val="22"/>
            <w:lang w:val="pt-PT"/>
          </w:rPr>
          <w:delText xml:space="preserve"> e contacte o seu médico para mais instruções.</w:delText>
        </w:r>
      </w:del>
    </w:p>
    <w:p w14:paraId="19237446" w14:textId="13C9283A" w:rsidR="004462A0" w:rsidRPr="008912CF" w:rsidRDefault="004462A0" w:rsidP="004462A0">
      <w:pPr>
        <w:pStyle w:val="EMEANormal"/>
        <w:ind w:left="660" w:hanging="660"/>
        <w:rPr>
          <w:del w:id="12986" w:author="AbbVie2" w:date="2025-05-14T10:22:00Z"/>
          <w:szCs w:val="22"/>
          <w:lang w:val="pt-PT"/>
        </w:rPr>
      </w:pPr>
    </w:p>
    <w:p w14:paraId="00307248" w14:textId="0276C5B1" w:rsidR="004462A0" w:rsidRPr="008912CF" w:rsidRDefault="00615769" w:rsidP="004462A0">
      <w:pPr>
        <w:numPr>
          <w:ilvl w:val="0"/>
          <w:numId w:val="24"/>
        </w:numPr>
        <w:rPr>
          <w:del w:id="12987" w:author="AbbVie2" w:date="2025-05-14T10:22:00Z"/>
          <w:rStyle w:val="longtext"/>
          <w:sz w:val="22"/>
          <w:szCs w:val="22"/>
        </w:rPr>
      </w:pPr>
      <w:del w:id="12988" w:author="AbbVie2" w:date="2025-05-14T10:22:00Z">
        <w:r w:rsidRPr="008912CF">
          <w:rPr>
            <w:rStyle w:val="longtext"/>
            <w:color w:val="000000"/>
            <w:sz w:val="22"/>
            <w:szCs w:val="22"/>
            <w:shd w:val="clear" w:color="auto" w:fill="FFFFFF"/>
          </w:rPr>
          <w:delText>Vai precisar de um recipiente específico para resíduos, por exemplo um recipiente para objetos cortantes ou como indicado pelo seu enfermeiro, médico ou farmacêutico. Coloque o recipiente sobre a sua superfície de trabalho.</w:delText>
        </w:r>
      </w:del>
    </w:p>
    <w:p w14:paraId="5D9CE742" w14:textId="218ABC64" w:rsidR="004462A0" w:rsidRPr="008912CF" w:rsidRDefault="004462A0" w:rsidP="004462A0">
      <w:pPr>
        <w:rPr>
          <w:del w:id="12989" w:author="AbbVie2" w:date="2025-05-14T10:22:00Z"/>
          <w:sz w:val="22"/>
          <w:szCs w:val="22"/>
        </w:rPr>
      </w:pPr>
    </w:p>
    <w:p w14:paraId="6760A42B" w14:textId="1C2C5A1E" w:rsidR="004462A0" w:rsidRPr="008912CF" w:rsidRDefault="00615769" w:rsidP="004462A0">
      <w:pPr>
        <w:numPr>
          <w:ilvl w:val="0"/>
          <w:numId w:val="24"/>
        </w:numPr>
        <w:rPr>
          <w:del w:id="12990" w:author="AbbVie2" w:date="2025-05-14T10:22:00Z"/>
          <w:sz w:val="22"/>
          <w:szCs w:val="22"/>
        </w:rPr>
      </w:pPr>
      <w:del w:id="12991" w:author="AbbVie2" w:date="2025-05-14T10:22:00Z">
        <w:r w:rsidRPr="008912CF">
          <w:rPr>
            <w:sz w:val="22"/>
            <w:szCs w:val="22"/>
          </w:rPr>
          <w:delText>Lave cuidadosamente as mãos</w:delText>
        </w:r>
      </w:del>
    </w:p>
    <w:p w14:paraId="01870202" w14:textId="6C89FADA" w:rsidR="004462A0" w:rsidRPr="008912CF" w:rsidRDefault="004462A0" w:rsidP="004462A0">
      <w:pPr>
        <w:rPr>
          <w:del w:id="12992" w:author="AbbVie2" w:date="2025-05-14T10:22:00Z"/>
          <w:sz w:val="22"/>
          <w:szCs w:val="22"/>
        </w:rPr>
      </w:pPr>
    </w:p>
    <w:p w14:paraId="3364A7EC" w14:textId="47DD6E0C" w:rsidR="004462A0" w:rsidRPr="008912CF" w:rsidRDefault="00615769" w:rsidP="004462A0">
      <w:pPr>
        <w:pStyle w:val="EMEABullet2"/>
        <w:tabs>
          <w:tab w:val="clear" w:pos="567"/>
        </w:tabs>
        <w:ind w:left="576" w:hanging="576"/>
        <w:rPr>
          <w:del w:id="12993" w:author="AbbVie2" w:date="2025-05-14T10:22:00Z"/>
          <w:szCs w:val="22"/>
          <w:lang w:val="pt-PT"/>
        </w:rPr>
      </w:pPr>
      <w:del w:id="12994" w:author="AbbVie2" w:date="2025-05-14T10:22:00Z">
        <w:r w:rsidRPr="008912CF">
          <w:rPr>
            <w:szCs w:val="22"/>
            <w:lang w:val="pt-PT"/>
          </w:rPr>
          <w:delText xml:space="preserve">Retire da embalagem uma caixa, contendo uma seringa, um adaptador de frasco para injetáveis, um frasco para injetáveis, duas compressas embebidas em álcool e uma agulha. </w:delText>
        </w:r>
        <w:r w:rsidRPr="008912CF">
          <w:rPr>
            <w:rStyle w:val="longtext"/>
            <w:color w:val="000000"/>
            <w:szCs w:val="22"/>
            <w:shd w:val="clear" w:color="auto" w:fill="FFFFFF"/>
            <w:lang w:val="pt-PT"/>
          </w:rPr>
          <w:delText>Se existir uma segunda caixa na embalagem para uma futura injeção, coloque-a de novo imediatamente no frigorífico.</w:delText>
        </w:r>
      </w:del>
    </w:p>
    <w:p w14:paraId="378ACE1F" w14:textId="14D3978E" w:rsidR="004462A0" w:rsidRPr="008912CF" w:rsidRDefault="004462A0" w:rsidP="004462A0">
      <w:pPr>
        <w:rPr>
          <w:del w:id="12995" w:author="AbbVie2" w:date="2025-05-14T10:22:00Z"/>
          <w:sz w:val="22"/>
          <w:szCs w:val="22"/>
        </w:rPr>
      </w:pPr>
    </w:p>
    <w:p w14:paraId="631241E1" w14:textId="11DB3076" w:rsidR="004462A0" w:rsidRPr="008912CF" w:rsidRDefault="00615769" w:rsidP="004462A0">
      <w:pPr>
        <w:numPr>
          <w:ilvl w:val="0"/>
          <w:numId w:val="24"/>
        </w:numPr>
        <w:rPr>
          <w:del w:id="12996" w:author="AbbVie2" w:date="2025-05-14T10:22:00Z"/>
          <w:sz w:val="22"/>
          <w:szCs w:val="22"/>
        </w:rPr>
      </w:pPr>
      <w:del w:id="12997" w:author="AbbVie2" w:date="2025-05-14T10:22:00Z">
        <w:r w:rsidRPr="008912CF">
          <w:rPr>
            <w:sz w:val="22"/>
            <w:szCs w:val="22"/>
          </w:rPr>
          <w:delText xml:space="preserve">Verifique a data de validade na caixa que vai utilizar. </w:delText>
        </w:r>
        <w:r w:rsidRPr="008912CF">
          <w:rPr>
            <w:b/>
            <w:sz w:val="22"/>
            <w:szCs w:val="22"/>
          </w:rPr>
          <w:delText>NÃO</w:delText>
        </w:r>
        <w:r w:rsidRPr="008912CF">
          <w:rPr>
            <w:sz w:val="22"/>
            <w:szCs w:val="22"/>
          </w:rPr>
          <w:delText xml:space="preserve"> utilize quaisquer dos materiais após a data indicada na caixa. </w:delText>
        </w:r>
      </w:del>
    </w:p>
    <w:p w14:paraId="4E764953" w14:textId="20DED006" w:rsidR="004462A0" w:rsidRPr="008912CF" w:rsidRDefault="004462A0" w:rsidP="004462A0">
      <w:pPr>
        <w:rPr>
          <w:del w:id="12998" w:author="AbbVie2" w:date="2025-05-14T10:22:00Z"/>
          <w:sz w:val="22"/>
          <w:szCs w:val="22"/>
        </w:rPr>
      </w:pPr>
    </w:p>
    <w:p w14:paraId="2AE7E745" w14:textId="06655C2E" w:rsidR="004462A0" w:rsidRPr="008912CF" w:rsidRDefault="00615769" w:rsidP="004462A0">
      <w:pPr>
        <w:numPr>
          <w:ilvl w:val="0"/>
          <w:numId w:val="25"/>
        </w:numPr>
        <w:rPr>
          <w:del w:id="12999" w:author="AbbVie2" w:date="2025-05-14T10:22:00Z"/>
          <w:sz w:val="22"/>
          <w:szCs w:val="22"/>
        </w:rPr>
      </w:pPr>
      <w:del w:id="13000" w:author="AbbVie2" w:date="2025-05-14T10:22:00Z">
        <w:r w:rsidRPr="008912CF">
          <w:rPr>
            <w:sz w:val="22"/>
            <w:szCs w:val="22"/>
          </w:rPr>
          <w:delText xml:space="preserve">Coloque os seguintes materiais sobre uma superfície limpa. </w:delText>
        </w:r>
        <w:r w:rsidRPr="008912CF">
          <w:rPr>
            <w:b/>
            <w:sz w:val="22"/>
            <w:szCs w:val="22"/>
          </w:rPr>
          <w:delText>NÃO</w:delText>
        </w:r>
        <w:r w:rsidRPr="008912CF">
          <w:rPr>
            <w:sz w:val="22"/>
            <w:szCs w:val="22"/>
          </w:rPr>
          <w:delText xml:space="preserve"> os retire ainda da embalagem individual. </w:delText>
        </w:r>
      </w:del>
    </w:p>
    <w:p w14:paraId="1DA00E0C" w14:textId="798E163E" w:rsidR="004462A0" w:rsidRPr="008912CF" w:rsidRDefault="004462A0" w:rsidP="004462A0">
      <w:pPr>
        <w:rPr>
          <w:del w:id="13001" w:author="AbbVie2" w:date="2025-05-14T10:22:00Z"/>
          <w:sz w:val="22"/>
          <w:szCs w:val="22"/>
        </w:rPr>
      </w:pPr>
    </w:p>
    <w:p w14:paraId="20479CE1" w14:textId="7F86F648" w:rsidR="004462A0" w:rsidRPr="008912CF" w:rsidRDefault="00615769" w:rsidP="004462A0">
      <w:pPr>
        <w:numPr>
          <w:ilvl w:val="1"/>
          <w:numId w:val="14"/>
        </w:numPr>
        <w:tabs>
          <w:tab w:val="left" w:pos="1134"/>
        </w:tabs>
        <w:ind w:left="1134" w:hanging="567"/>
        <w:rPr>
          <w:del w:id="13002" w:author="AbbVie2" w:date="2025-05-14T10:22:00Z"/>
          <w:sz w:val="22"/>
          <w:szCs w:val="22"/>
        </w:rPr>
      </w:pPr>
      <w:del w:id="13003" w:author="AbbVie2" w:date="2025-05-14T10:22:00Z">
        <w:r w:rsidRPr="008912CF">
          <w:rPr>
            <w:sz w:val="22"/>
            <w:szCs w:val="22"/>
          </w:rPr>
          <w:delText>Uma seringa de 1 ml (1)</w:delText>
        </w:r>
      </w:del>
    </w:p>
    <w:p w14:paraId="765A3841" w14:textId="4AA633DA" w:rsidR="004462A0" w:rsidRPr="008912CF" w:rsidRDefault="00615769" w:rsidP="004462A0">
      <w:pPr>
        <w:numPr>
          <w:ilvl w:val="1"/>
          <w:numId w:val="14"/>
        </w:numPr>
        <w:tabs>
          <w:tab w:val="left" w:pos="1134"/>
        </w:tabs>
        <w:ind w:left="1134" w:hanging="567"/>
        <w:rPr>
          <w:del w:id="13004" w:author="AbbVie2" w:date="2025-05-14T10:22:00Z"/>
          <w:sz w:val="22"/>
          <w:szCs w:val="22"/>
        </w:rPr>
      </w:pPr>
      <w:del w:id="13005" w:author="AbbVie2" w:date="2025-05-14T10:22:00Z">
        <w:r w:rsidRPr="008912CF">
          <w:rPr>
            <w:sz w:val="22"/>
            <w:szCs w:val="22"/>
          </w:rPr>
          <w:delText>Um adaptador de frasco para injetáveis (2)</w:delText>
        </w:r>
      </w:del>
    </w:p>
    <w:p w14:paraId="7E2D119E" w14:textId="54E86D03" w:rsidR="004462A0" w:rsidRPr="008912CF" w:rsidRDefault="00615769" w:rsidP="004462A0">
      <w:pPr>
        <w:numPr>
          <w:ilvl w:val="1"/>
          <w:numId w:val="14"/>
        </w:numPr>
        <w:tabs>
          <w:tab w:val="left" w:pos="1134"/>
        </w:tabs>
        <w:ind w:left="1134" w:hanging="567"/>
        <w:rPr>
          <w:del w:id="13006" w:author="AbbVie2" w:date="2025-05-14T10:22:00Z"/>
          <w:sz w:val="22"/>
          <w:szCs w:val="22"/>
        </w:rPr>
      </w:pPr>
      <w:del w:id="13007" w:author="AbbVie2" w:date="2025-05-14T10:22:00Z">
        <w:r w:rsidRPr="008912CF">
          <w:rPr>
            <w:sz w:val="22"/>
            <w:szCs w:val="22"/>
          </w:rPr>
          <w:delText>Um frasco para injetáveis de Humira para uso pediátrico (3)</w:delText>
        </w:r>
      </w:del>
    </w:p>
    <w:p w14:paraId="2209CBEB" w14:textId="016B68CC" w:rsidR="004462A0" w:rsidRPr="008912CF" w:rsidRDefault="00615769" w:rsidP="004462A0">
      <w:pPr>
        <w:numPr>
          <w:ilvl w:val="1"/>
          <w:numId w:val="14"/>
        </w:numPr>
        <w:tabs>
          <w:tab w:val="left" w:pos="1134"/>
        </w:tabs>
        <w:ind w:left="1134" w:hanging="567"/>
        <w:rPr>
          <w:del w:id="13008" w:author="AbbVie2" w:date="2025-05-14T10:22:00Z"/>
          <w:sz w:val="22"/>
          <w:szCs w:val="22"/>
        </w:rPr>
      </w:pPr>
      <w:del w:id="13009" w:author="AbbVie2" w:date="2025-05-14T10:22:00Z">
        <w:r w:rsidRPr="008912CF">
          <w:rPr>
            <w:sz w:val="22"/>
            <w:szCs w:val="22"/>
          </w:rPr>
          <w:delText>Duas compressas embebidas em álcool (4)</w:delText>
        </w:r>
      </w:del>
    </w:p>
    <w:p w14:paraId="6CE0B10A" w14:textId="66169219" w:rsidR="004462A0" w:rsidRPr="008912CF" w:rsidRDefault="00615769" w:rsidP="004462A0">
      <w:pPr>
        <w:numPr>
          <w:ilvl w:val="1"/>
          <w:numId w:val="14"/>
        </w:numPr>
        <w:tabs>
          <w:tab w:val="left" w:pos="1134"/>
        </w:tabs>
        <w:ind w:left="1134" w:hanging="567"/>
        <w:rPr>
          <w:del w:id="13010" w:author="AbbVie2" w:date="2025-05-14T10:22:00Z"/>
          <w:sz w:val="22"/>
          <w:szCs w:val="22"/>
        </w:rPr>
      </w:pPr>
      <w:del w:id="13011" w:author="AbbVie2" w:date="2025-05-14T10:22:00Z">
        <w:r w:rsidRPr="008912CF">
          <w:rPr>
            <w:sz w:val="22"/>
            <w:szCs w:val="22"/>
          </w:rPr>
          <w:delText>Uma agulha (5)</w:delText>
        </w:r>
      </w:del>
    </w:p>
    <w:p w14:paraId="02F4AF18" w14:textId="0AEFA416" w:rsidR="004462A0" w:rsidRPr="008912CF" w:rsidRDefault="004462A0" w:rsidP="004462A0">
      <w:pPr>
        <w:tabs>
          <w:tab w:val="left" w:pos="2190"/>
        </w:tabs>
        <w:rPr>
          <w:del w:id="13012" w:author="AbbVie2" w:date="2025-05-14T10:22:00Z"/>
          <w:sz w:val="22"/>
          <w:szCs w:val="22"/>
        </w:rPr>
      </w:pPr>
    </w:p>
    <w:p w14:paraId="7FEDD2E7" w14:textId="3E2A7524" w:rsidR="004462A0" w:rsidRPr="008912CF" w:rsidRDefault="00615769" w:rsidP="004462A0">
      <w:pPr>
        <w:tabs>
          <w:tab w:val="left" w:pos="1134"/>
        </w:tabs>
        <w:ind w:left="1134" w:firstLine="1134"/>
        <w:rPr>
          <w:del w:id="13013" w:author="AbbVie2" w:date="2025-05-14T10:22:00Z"/>
          <w:sz w:val="22"/>
          <w:szCs w:val="22"/>
        </w:rPr>
      </w:pPr>
      <w:del w:id="13014" w:author="AbbVie2" w:date="2025-05-14T10:22:00Z">
        <w:r>
          <w:rPr>
            <w:noProof/>
            <w:lang w:val="en-GB" w:eastAsia="en-GB"/>
          </w:rPr>
          <w:drawing>
            <wp:inline distT="0" distB="0" distL="0" distR="0" wp14:anchorId="1A7CABD1" wp14:editId="3BD82A79">
              <wp:extent cx="1938020" cy="1868805"/>
              <wp:effectExtent l="0" t="0" r="508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19"/>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1938020" cy="1868805"/>
                      </a:xfrm>
                      <a:prstGeom prst="rect">
                        <a:avLst/>
                      </a:prstGeom>
                      <a:noFill/>
                      <a:ln>
                        <a:noFill/>
                      </a:ln>
                    </pic:spPr>
                  </pic:pic>
                </a:graphicData>
              </a:graphic>
            </wp:inline>
          </w:drawing>
        </w:r>
      </w:del>
    </w:p>
    <w:p w14:paraId="61C0E80C" w14:textId="7DDCB726" w:rsidR="004462A0" w:rsidRPr="008912CF" w:rsidRDefault="004462A0" w:rsidP="004462A0">
      <w:pPr>
        <w:rPr>
          <w:del w:id="13015" w:author="AbbVie2" w:date="2025-05-14T10:22:00Z"/>
          <w:sz w:val="22"/>
          <w:szCs w:val="22"/>
        </w:rPr>
      </w:pPr>
    </w:p>
    <w:p w14:paraId="4092F624" w14:textId="08F408B8" w:rsidR="004462A0" w:rsidRPr="008912CF" w:rsidRDefault="00615769" w:rsidP="004462A0">
      <w:pPr>
        <w:numPr>
          <w:ilvl w:val="0"/>
          <w:numId w:val="25"/>
        </w:numPr>
        <w:rPr>
          <w:del w:id="13016" w:author="AbbVie2" w:date="2025-05-14T10:22:00Z"/>
          <w:sz w:val="22"/>
          <w:szCs w:val="22"/>
        </w:rPr>
      </w:pPr>
      <w:del w:id="13017" w:author="AbbVie2" w:date="2025-05-14T10:22:00Z">
        <w:r w:rsidRPr="008912CF">
          <w:rPr>
            <w:sz w:val="22"/>
            <w:szCs w:val="22"/>
          </w:rPr>
          <w:delText xml:space="preserve">Humira é um líquido transparente e incolor. </w:delText>
        </w:r>
        <w:r w:rsidRPr="008912CF">
          <w:rPr>
            <w:rStyle w:val="longtext"/>
            <w:b/>
            <w:color w:val="000000"/>
            <w:sz w:val="22"/>
            <w:szCs w:val="22"/>
            <w:shd w:val="clear" w:color="auto" w:fill="FFFFFF"/>
          </w:rPr>
          <w:delText>NÃO</w:delText>
        </w:r>
        <w:r w:rsidRPr="008912CF">
          <w:rPr>
            <w:rStyle w:val="longtext"/>
            <w:color w:val="000000"/>
            <w:sz w:val="22"/>
            <w:szCs w:val="22"/>
            <w:shd w:val="clear" w:color="auto" w:fill="FFFFFF"/>
          </w:rPr>
          <w:delText xml:space="preserve"> utilize se o líquido estiver turvo, com alteração de cor ou se tiver flocos ou partículas.</w:delText>
        </w:r>
        <w:r w:rsidRPr="008912CF">
          <w:rPr>
            <w:sz w:val="22"/>
            <w:szCs w:val="22"/>
          </w:rPr>
          <w:delText xml:space="preserve"> </w:delText>
        </w:r>
      </w:del>
    </w:p>
    <w:p w14:paraId="60F99E7D" w14:textId="14FF33CB" w:rsidR="004462A0" w:rsidRPr="008912CF" w:rsidRDefault="004462A0" w:rsidP="004462A0">
      <w:pPr>
        <w:rPr>
          <w:del w:id="13018" w:author="AbbVie2" w:date="2025-05-14T10:22:00Z"/>
          <w:sz w:val="22"/>
          <w:szCs w:val="22"/>
        </w:rPr>
      </w:pPr>
    </w:p>
    <w:p w14:paraId="63421253" w14:textId="52A4A746" w:rsidR="004462A0" w:rsidRPr="008912CF" w:rsidRDefault="00615769" w:rsidP="004462A0">
      <w:pPr>
        <w:keepNext/>
        <w:ind w:left="567" w:hanging="567"/>
        <w:rPr>
          <w:del w:id="13019" w:author="AbbVie2" w:date="2025-05-14T10:22:00Z"/>
          <w:b/>
          <w:sz w:val="22"/>
          <w:szCs w:val="22"/>
        </w:rPr>
      </w:pPr>
      <w:del w:id="13020" w:author="AbbVie2" w:date="2025-05-14T10:22:00Z">
        <w:r w:rsidRPr="008912CF">
          <w:rPr>
            <w:b/>
            <w:sz w:val="22"/>
            <w:szCs w:val="22"/>
          </w:rPr>
          <w:delText>2)</w:delText>
        </w:r>
        <w:r w:rsidRPr="008912CF">
          <w:rPr>
            <w:b/>
            <w:sz w:val="22"/>
            <w:szCs w:val="22"/>
          </w:rPr>
          <w:tab/>
          <w:delText>Preparação da dose de Humira para injeção</w:delText>
        </w:r>
      </w:del>
    </w:p>
    <w:p w14:paraId="78C5F016" w14:textId="11B21202" w:rsidR="004462A0" w:rsidRPr="008912CF" w:rsidRDefault="004462A0" w:rsidP="004462A0">
      <w:pPr>
        <w:keepNext/>
        <w:rPr>
          <w:del w:id="13021" w:author="AbbVie2" w:date="2025-05-14T10:22:00Z"/>
          <w:b/>
          <w:sz w:val="22"/>
          <w:szCs w:val="22"/>
        </w:rPr>
      </w:pPr>
    </w:p>
    <w:p w14:paraId="5C987872" w14:textId="04A57765" w:rsidR="004462A0" w:rsidRPr="008912CF" w:rsidRDefault="00615769" w:rsidP="004462A0">
      <w:pPr>
        <w:keepNext/>
        <w:ind w:firstLine="567"/>
        <w:rPr>
          <w:del w:id="13022" w:author="AbbVie2" w:date="2025-05-14T10:22:00Z"/>
          <w:rStyle w:val="longtext"/>
          <w:sz w:val="22"/>
          <w:szCs w:val="22"/>
        </w:rPr>
      </w:pPr>
      <w:del w:id="13023" w:author="AbbVie2" w:date="2025-05-14T10:22:00Z">
        <w:r w:rsidRPr="008912CF">
          <w:rPr>
            <w:sz w:val="22"/>
            <w:szCs w:val="22"/>
          </w:rPr>
          <w:delText xml:space="preserve">Considerações gerais: </w:delText>
        </w:r>
        <w:r w:rsidRPr="008912CF">
          <w:rPr>
            <w:rStyle w:val="longtext"/>
            <w:b/>
            <w:color w:val="000000"/>
            <w:sz w:val="22"/>
            <w:szCs w:val="22"/>
            <w:shd w:val="clear" w:color="auto" w:fill="FFFFFF"/>
          </w:rPr>
          <w:delText>NÃO</w:delText>
        </w:r>
        <w:r w:rsidRPr="008912CF">
          <w:rPr>
            <w:rStyle w:val="longtext"/>
            <w:color w:val="000000"/>
            <w:sz w:val="22"/>
            <w:szCs w:val="22"/>
            <w:shd w:val="clear" w:color="auto" w:fill="FFFFFF"/>
          </w:rPr>
          <w:delText xml:space="preserve"> elimine quaisquer materiais até que a injeção esteja completa.</w:delText>
        </w:r>
      </w:del>
    </w:p>
    <w:p w14:paraId="6051A260" w14:textId="5AE20720" w:rsidR="004462A0" w:rsidRPr="008912CF" w:rsidRDefault="004462A0" w:rsidP="004462A0">
      <w:pPr>
        <w:keepNext/>
        <w:rPr>
          <w:del w:id="13024" w:author="AbbVie2" w:date="2025-05-14T10:22:00Z"/>
          <w:rStyle w:val="longtext"/>
          <w:sz w:val="22"/>
          <w:szCs w:val="22"/>
        </w:rPr>
      </w:pPr>
    </w:p>
    <w:p w14:paraId="36CF2B78" w14:textId="127BE45C" w:rsidR="004462A0" w:rsidRPr="008912CF" w:rsidRDefault="00615769" w:rsidP="004462A0">
      <w:pPr>
        <w:numPr>
          <w:ilvl w:val="0"/>
          <w:numId w:val="25"/>
        </w:numPr>
        <w:rPr>
          <w:del w:id="13025" w:author="AbbVie2" w:date="2025-05-14T10:22:00Z"/>
          <w:sz w:val="22"/>
          <w:szCs w:val="22"/>
        </w:rPr>
      </w:pPr>
      <w:del w:id="13026" w:author="AbbVie2" w:date="2025-05-14T10:22:00Z">
        <w:r w:rsidRPr="008912CF">
          <w:rPr>
            <w:rStyle w:val="longtext"/>
            <w:color w:val="000000"/>
            <w:sz w:val="22"/>
            <w:szCs w:val="22"/>
            <w:shd w:val="clear" w:color="auto" w:fill="FFFFFF"/>
          </w:rPr>
          <w:delText>Prepare a agulha</w:delText>
        </w:r>
        <w:r w:rsidRPr="008912CF">
          <w:rPr>
            <w:color w:val="000000"/>
            <w:sz w:val="22"/>
            <w:szCs w:val="22"/>
            <w:shd w:val="clear" w:color="auto" w:fill="FFFFFF"/>
          </w:rPr>
          <w:delText xml:space="preserve"> abrindo parcialmente o invólucro a partir da extremidade mais próxima do conector </w:delText>
        </w:r>
        <w:r w:rsidRPr="008912CF">
          <w:rPr>
            <w:rStyle w:val="longtext"/>
            <w:color w:val="000000"/>
            <w:sz w:val="22"/>
            <w:szCs w:val="22"/>
            <w:shd w:val="clear" w:color="auto" w:fill="FFFFFF"/>
          </w:rPr>
          <w:delText>amarelo da seringa. Abra o invólucro apenas o suficiente para expor o conector amarelo da seringa. Coloque o invólucro para baixo com o lado transparente voltado para cima.</w:delText>
        </w:r>
      </w:del>
    </w:p>
    <w:p w14:paraId="44C37854" w14:textId="35F4685A" w:rsidR="004462A0" w:rsidRPr="008912CF" w:rsidRDefault="004462A0" w:rsidP="004462A0">
      <w:pPr>
        <w:rPr>
          <w:del w:id="13027" w:author="AbbVie2" w:date="2025-05-14T10:22:00Z"/>
          <w:sz w:val="22"/>
          <w:szCs w:val="22"/>
        </w:rPr>
      </w:pPr>
    </w:p>
    <w:p w14:paraId="19EC1146" w14:textId="44DF5F75" w:rsidR="004462A0" w:rsidRPr="008912CF" w:rsidRDefault="00615769" w:rsidP="004462A0">
      <w:pPr>
        <w:ind w:left="1701" w:firstLine="567"/>
        <w:rPr>
          <w:del w:id="13028" w:author="AbbVie2" w:date="2025-05-14T10:22:00Z"/>
          <w:sz w:val="22"/>
          <w:szCs w:val="22"/>
        </w:rPr>
      </w:pPr>
      <w:del w:id="13029" w:author="AbbVie2" w:date="2025-05-14T10:22:00Z">
        <w:r>
          <w:rPr>
            <w:noProof/>
            <w:lang w:val="en-GB" w:eastAsia="en-GB"/>
          </w:rPr>
          <w:drawing>
            <wp:inline distT="0" distB="0" distL="0" distR="0" wp14:anchorId="6EE22A9D" wp14:editId="7589ADE3">
              <wp:extent cx="1858645" cy="1858645"/>
              <wp:effectExtent l="0" t="0" r="8255" b="825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20"/>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858645" cy="1858645"/>
                      </a:xfrm>
                      <a:prstGeom prst="rect">
                        <a:avLst/>
                      </a:prstGeom>
                      <a:noFill/>
                      <a:ln>
                        <a:noFill/>
                      </a:ln>
                    </pic:spPr>
                  </pic:pic>
                </a:graphicData>
              </a:graphic>
            </wp:inline>
          </w:drawing>
        </w:r>
      </w:del>
    </w:p>
    <w:p w14:paraId="105F6D58" w14:textId="485DE5F1" w:rsidR="004462A0" w:rsidRPr="008912CF" w:rsidRDefault="004462A0" w:rsidP="004462A0">
      <w:pPr>
        <w:rPr>
          <w:del w:id="13030" w:author="AbbVie2" w:date="2025-05-14T10:22:00Z"/>
          <w:sz w:val="22"/>
          <w:szCs w:val="22"/>
        </w:rPr>
      </w:pPr>
    </w:p>
    <w:p w14:paraId="37F28450" w14:textId="5D19F7F1" w:rsidR="004462A0" w:rsidRPr="008912CF" w:rsidRDefault="00615769" w:rsidP="004462A0">
      <w:pPr>
        <w:numPr>
          <w:ilvl w:val="0"/>
          <w:numId w:val="61"/>
        </w:numPr>
        <w:rPr>
          <w:del w:id="13031" w:author="AbbVie2" w:date="2025-05-14T10:22:00Z"/>
          <w:sz w:val="22"/>
          <w:szCs w:val="22"/>
        </w:rPr>
      </w:pPr>
      <w:del w:id="13032" w:author="AbbVie2" w:date="2025-05-14T10:22:00Z">
        <w:r w:rsidRPr="008912CF">
          <w:rPr>
            <w:sz w:val="22"/>
            <w:szCs w:val="22"/>
          </w:rPr>
          <w:delText>Retire a cápsula branca de plástico do frasco para injetáveis até ver a parte superior da tampa do frasco.</w:delText>
        </w:r>
      </w:del>
    </w:p>
    <w:p w14:paraId="6DCAC581" w14:textId="4849AE7E" w:rsidR="004462A0" w:rsidRPr="008912CF" w:rsidRDefault="004462A0" w:rsidP="004462A0">
      <w:pPr>
        <w:rPr>
          <w:del w:id="13033" w:author="AbbVie2" w:date="2025-05-14T10:22:00Z"/>
          <w:sz w:val="22"/>
          <w:szCs w:val="22"/>
        </w:rPr>
      </w:pPr>
    </w:p>
    <w:p w14:paraId="1707DAE7" w14:textId="79B3ABFA" w:rsidR="004462A0" w:rsidRPr="008912CF" w:rsidRDefault="00615769" w:rsidP="004462A0">
      <w:pPr>
        <w:ind w:left="2268"/>
        <w:rPr>
          <w:del w:id="13034" w:author="AbbVie2" w:date="2025-05-14T10:22:00Z"/>
          <w:sz w:val="22"/>
          <w:szCs w:val="22"/>
        </w:rPr>
      </w:pPr>
      <w:del w:id="13035" w:author="AbbVie2" w:date="2025-05-14T10:22:00Z">
        <w:r>
          <w:rPr>
            <w:noProof/>
            <w:lang w:val="en-GB" w:eastAsia="en-GB"/>
          </w:rPr>
          <w:drawing>
            <wp:inline distT="0" distB="0" distL="0" distR="0" wp14:anchorId="3DE0CA30" wp14:editId="73B95C7D">
              <wp:extent cx="1858645" cy="1838960"/>
              <wp:effectExtent l="0" t="0" r="8255"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21"/>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1858645" cy="1838960"/>
                      </a:xfrm>
                      <a:prstGeom prst="rect">
                        <a:avLst/>
                      </a:prstGeom>
                      <a:noFill/>
                      <a:ln>
                        <a:noFill/>
                      </a:ln>
                    </pic:spPr>
                  </pic:pic>
                </a:graphicData>
              </a:graphic>
            </wp:inline>
          </w:drawing>
        </w:r>
      </w:del>
    </w:p>
    <w:p w14:paraId="23659F45" w14:textId="7CD98B9B" w:rsidR="004462A0" w:rsidRPr="008912CF" w:rsidRDefault="004462A0" w:rsidP="004462A0">
      <w:pPr>
        <w:rPr>
          <w:del w:id="13036" w:author="AbbVie2" w:date="2025-05-14T10:22:00Z"/>
          <w:sz w:val="22"/>
          <w:szCs w:val="22"/>
        </w:rPr>
      </w:pPr>
    </w:p>
    <w:p w14:paraId="0C9BDB42" w14:textId="4205AD32" w:rsidR="004462A0" w:rsidRPr="008912CF" w:rsidRDefault="00615769" w:rsidP="00D961A0">
      <w:pPr>
        <w:pStyle w:val="EMEABullet2"/>
        <w:numPr>
          <w:ilvl w:val="0"/>
          <w:numId w:val="130"/>
        </w:numPr>
        <w:tabs>
          <w:tab w:val="clear" w:pos="567"/>
        </w:tabs>
        <w:ind w:left="567" w:hanging="567"/>
        <w:rPr>
          <w:del w:id="13037" w:author="AbbVie2" w:date="2025-05-14T10:22:00Z"/>
          <w:szCs w:val="22"/>
          <w:lang w:val="pt-PT"/>
        </w:rPr>
      </w:pPr>
      <w:del w:id="13038" w:author="AbbVie2" w:date="2025-05-14T10:22:00Z">
        <w:r w:rsidRPr="008912CF">
          <w:rPr>
            <w:szCs w:val="22"/>
            <w:lang w:val="pt-PT"/>
          </w:rPr>
          <w:delText xml:space="preserve">Use uma das compressas embebidas em álcool para limpar a tampa do frasco para injetáveis. </w:delText>
        </w:r>
        <w:r w:rsidRPr="008912CF">
          <w:rPr>
            <w:b/>
            <w:szCs w:val="22"/>
            <w:lang w:val="pt-PT"/>
          </w:rPr>
          <w:delText xml:space="preserve">NÃO </w:delText>
        </w:r>
        <w:r w:rsidRPr="008912CF">
          <w:rPr>
            <w:szCs w:val="22"/>
            <w:lang w:val="pt-PT"/>
          </w:rPr>
          <w:delText>toque na tampa do frasco para injetáveis depois de limpa com a compressa embebida em álcool.</w:delText>
        </w:r>
      </w:del>
    </w:p>
    <w:p w14:paraId="52372780" w14:textId="6ED23CC4" w:rsidR="004462A0" w:rsidRPr="008912CF" w:rsidRDefault="004462A0" w:rsidP="004462A0">
      <w:pPr>
        <w:pStyle w:val="EMEANormal"/>
        <w:rPr>
          <w:del w:id="13039" w:author="AbbVie2" w:date="2025-05-14T10:22:00Z"/>
          <w:szCs w:val="22"/>
          <w:lang w:val="pt-PT"/>
        </w:rPr>
      </w:pPr>
    </w:p>
    <w:p w14:paraId="28F34001" w14:textId="2C340854" w:rsidR="004462A0" w:rsidRPr="008912CF" w:rsidRDefault="00615769" w:rsidP="00D961A0">
      <w:pPr>
        <w:pStyle w:val="EMEABullet2"/>
        <w:numPr>
          <w:ilvl w:val="0"/>
          <w:numId w:val="130"/>
        </w:numPr>
        <w:tabs>
          <w:tab w:val="clear" w:pos="567"/>
        </w:tabs>
        <w:ind w:left="567" w:hanging="567"/>
        <w:rPr>
          <w:del w:id="13040" w:author="AbbVie2" w:date="2025-05-14T10:22:00Z"/>
          <w:szCs w:val="22"/>
          <w:lang w:val="pt-PT"/>
        </w:rPr>
      </w:pPr>
      <w:del w:id="13041" w:author="AbbVie2" w:date="2025-05-14T10:22:00Z">
        <w:r w:rsidRPr="008912CF">
          <w:rPr>
            <w:szCs w:val="22"/>
            <w:lang w:val="pt-PT"/>
          </w:rPr>
          <w:delText>Abra o invólucro transparente da embalagem contendo o adaptador do frasco para injetáveis mas sem retirar o adaptador.</w:delText>
        </w:r>
      </w:del>
    </w:p>
    <w:p w14:paraId="16EB2C6D" w14:textId="63303656" w:rsidR="004462A0" w:rsidRPr="008912CF" w:rsidRDefault="004462A0" w:rsidP="004462A0">
      <w:pPr>
        <w:pStyle w:val="EMEANormal"/>
        <w:rPr>
          <w:del w:id="13042" w:author="AbbVie2" w:date="2025-05-14T10:22:00Z"/>
          <w:szCs w:val="22"/>
          <w:lang w:val="pt-PT"/>
        </w:rPr>
      </w:pPr>
    </w:p>
    <w:p w14:paraId="5713FEB4" w14:textId="47CFD302" w:rsidR="004462A0" w:rsidRPr="008912CF" w:rsidRDefault="00615769" w:rsidP="004462A0">
      <w:pPr>
        <w:pStyle w:val="EMEANormal"/>
        <w:ind w:left="1706" w:firstLine="562"/>
        <w:rPr>
          <w:del w:id="13043" w:author="AbbVie2" w:date="2025-05-14T10:22:00Z"/>
          <w:szCs w:val="22"/>
          <w:lang w:val="pt-PT"/>
        </w:rPr>
      </w:pPr>
      <w:del w:id="13044" w:author="AbbVie2" w:date="2025-05-14T10:22:00Z">
        <w:r>
          <w:rPr>
            <w:noProof/>
            <w:lang w:val="en-GB" w:eastAsia="en-GB"/>
          </w:rPr>
          <w:drawing>
            <wp:inline distT="0" distB="0" distL="0" distR="0" wp14:anchorId="291E2B6F" wp14:editId="05751D44">
              <wp:extent cx="1818640" cy="1809115"/>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22"/>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1818640" cy="1809115"/>
                      </a:xfrm>
                      <a:prstGeom prst="rect">
                        <a:avLst/>
                      </a:prstGeom>
                      <a:noFill/>
                      <a:ln>
                        <a:noFill/>
                      </a:ln>
                    </pic:spPr>
                  </pic:pic>
                </a:graphicData>
              </a:graphic>
            </wp:inline>
          </w:drawing>
        </w:r>
      </w:del>
    </w:p>
    <w:p w14:paraId="351F2691" w14:textId="0ADED6DC" w:rsidR="004462A0" w:rsidRPr="008912CF" w:rsidRDefault="004462A0" w:rsidP="004462A0">
      <w:pPr>
        <w:pStyle w:val="EMEANormal"/>
        <w:rPr>
          <w:del w:id="13045" w:author="AbbVie2" w:date="2025-05-14T10:22:00Z"/>
          <w:szCs w:val="22"/>
          <w:lang w:val="pt-PT"/>
        </w:rPr>
      </w:pPr>
    </w:p>
    <w:p w14:paraId="07176717" w14:textId="7AD24B29" w:rsidR="004462A0" w:rsidRPr="008912CF" w:rsidRDefault="00615769" w:rsidP="004462A0">
      <w:pPr>
        <w:numPr>
          <w:ilvl w:val="0"/>
          <w:numId w:val="61"/>
        </w:numPr>
        <w:rPr>
          <w:del w:id="13046" w:author="AbbVie2" w:date="2025-05-14T10:22:00Z"/>
          <w:sz w:val="22"/>
          <w:szCs w:val="22"/>
        </w:rPr>
      </w:pPr>
      <w:del w:id="13047" w:author="AbbVie2" w:date="2025-05-14T10:22:00Z">
        <w:r w:rsidRPr="008912CF">
          <w:rPr>
            <w:sz w:val="22"/>
            <w:szCs w:val="22"/>
          </w:rPr>
          <w:delText>Segure o frasco para injetáveis com a tampa voltada para cima.</w:delText>
        </w:r>
      </w:del>
    </w:p>
    <w:p w14:paraId="27DA8BBD" w14:textId="709A6093" w:rsidR="004462A0" w:rsidRPr="008912CF" w:rsidRDefault="004462A0" w:rsidP="004462A0">
      <w:pPr>
        <w:rPr>
          <w:del w:id="13048" w:author="AbbVie2" w:date="2025-05-14T10:22:00Z"/>
          <w:sz w:val="22"/>
          <w:szCs w:val="22"/>
        </w:rPr>
      </w:pPr>
    </w:p>
    <w:p w14:paraId="062F95D9" w14:textId="27AD28B8" w:rsidR="004462A0" w:rsidRPr="008912CF" w:rsidRDefault="00615769" w:rsidP="004462A0">
      <w:pPr>
        <w:numPr>
          <w:ilvl w:val="0"/>
          <w:numId w:val="61"/>
        </w:numPr>
        <w:rPr>
          <w:del w:id="13049" w:author="AbbVie2" w:date="2025-05-14T10:22:00Z"/>
          <w:rStyle w:val="longtext"/>
          <w:sz w:val="22"/>
          <w:szCs w:val="22"/>
        </w:rPr>
      </w:pPr>
      <w:del w:id="13050" w:author="AbbVie2" w:date="2025-05-14T10:22:00Z">
        <w:r w:rsidRPr="008912CF">
          <w:rPr>
            <w:rStyle w:val="longtext"/>
            <w:color w:val="000000"/>
            <w:sz w:val="22"/>
            <w:szCs w:val="22"/>
            <w:shd w:val="clear" w:color="auto" w:fill="FFFFFF"/>
          </w:rPr>
          <w:delText>Com o adaptador do frasco para injetáveis ainda no invólucro transparente, encaixe-o na tampa do frasco empurrando-o para baixo até que o adaptador se fixe, com um clique.</w:delText>
        </w:r>
      </w:del>
    </w:p>
    <w:p w14:paraId="6A94648B" w14:textId="38FFDE81" w:rsidR="004462A0" w:rsidRPr="008912CF" w:rsidRDefault="004462A0" w:rsidP="004462A0">
      <w:pPr>
        <w:rPr>
          <w:del w:id="13051" w:author="AbbVie2" w:date="2025-05-14T10:22:00Z"/>
          <w:rStyle w:val="longtext"/>
          <w:sz w:val="22"/>
          <w:szCs w:val="22"/>
        </w:rPr>
      </w:pPr>
    </w:p>
    <w:p w14:paraId="59E229F9" w14:textId="06976DA5" w:rsidR="004462A0" w:rsidRPr="008912CF" w:rsidRDefault="00615769" w:rsidP="004462A0">
      <w:pPr>
        <w:numPr>
          <w:ilvl w:val="0"/>
          <w:numId w:val="61"/>
        </w:numPr>
        <w:rPr>
          <w:del w:id="13052" w:author="AbbVie2" w:date="2025-05-14T10:22:00Z"/>
          <w:rStyle w:val="longtext"/>
          <w:sz w:val="22"/>
          <w:szCs w:val="22"/>
        </w:rPr>
      </w:pPr>
      <w:del w:id="13053" w:author="AbbVie2" w:date="2025-05-14T10:22:00Z">
        <w:r w:rsidRPr="008912CF">
          <w:rPr>
            <w:rStyle w:val="longtext"/>
            <w:color w:val="000000"/>
            <w:sz w:val="22"/>
            <w:szCs w:val="22"/>
            <w:shd w:val="clear" w:color="auto" w:fill="FFFFFF"/>
          </w:rPr>
          <w:delText>Quando tiver a certeza de que o adaptador está encaixado no frasco para injetáveis, remova o invólucro do adaptador.</w:delText>
        </w:r>
      </w:del>
    </w:p>
    <w:p w14:paraId="54710A80" w14:textId="7A55FEFF" w:rsidR="004462A0" w:rsidRPr="008912CF" w:rsidRDefault="004462A0" w:rsidP="004462A0">
      <w:pPr>
        <w:rPr>
          <w:del w:id="13054" w:author="AbbVie2" w:date="2025-05-14T10:22:00Z"/>
          <w:rStyle w:val="longtext"/>
          <w:sz w:val="22"/>
          <w:szCs w:val="22"/>
        </w:rPr>
      </w:pPr>
    </w:p>
    <w:p w14:paraId="0FACB090" w14:textId="0617B96B" w:rsidR="004462A0" w:rsidRPr="008912CF" w:rsidRDefault="00615769" w:rsidP="004462A0">
      <w:pPr>
        <w:numPr>
          <w:ilvl w:val="0"/>
          <w:numId w:val="61"/>
        </w:numPr>
        <w:rPr>
          <w:del w:id="13055" w:author="AbbVie2" w:date="2025-05-14T10:22:00Z"/>
          <w:sz w:val="22"/>
          <w:szCs w:val="22"/>
        </w:rPr>
      </w:pPr>
      <w:del w:id="13056" w:author="AbbVie2" w:date="2025-05-14T10:22:00Z">
        <w:r w:rsidRPr="008912CF">
          <w:rPr>
            <w:sz w:val="22"/>
            <w:szCs w:val="22"/>
          </w:rPr>
          <w:delText xml:space="preserve">Coloque suavemente o frasco para injetáveis com o adaptador numa superfície de trabalho limpa. Tenha cuidado para o não deixar cair. </w:delText>
        </w:r>
        <w:r w:rsidRPr="008912CF">
          <w:rPr>
            <w:b/>
            <w:sz w:val="22"/>
            <w:szCs w:val="22"/>
          </w:rPr>
          <w:delText>NÃO</w:delText>
        </w:r>
        <w:r w:rsidRPr="008912CF">
          <w:rPr>
            <w:sz w:val="22"/>
            <w:szCs w:val="22"/>
          </w:rPr>
          <w:delText xml:space="preserve"> toque no adaptador.</w:delText>
        </w:r>
      </w:del>
    </w:p>
    <w:p w14:paraId="6EFE328A" w14:textId="5730EA9A" w:rsidR="004462A0" w:rsidRPr="008912CF" w:rsidRDefault="004462A0" w:rsidP="004462A0">
      <w:pPr>
        <w:pStyle w:val="EMEANormal"/>
        <w:rPr>
          <w:del w:id="13057" w:author="AbbVie2" w:date="2025-05-14T10:22:00Z"/>
          <w:szCs w:val="22"/>
          <w:lang w:val="pt-PT"/>
        </w:rPr>
      </w:pPr>
    </w:p>
    <w:p w14:paraId="28E5DB1C" w14:textId="2C044609" w:rsidR="004462A0" w:rsidRPr="008912CF" w:rsidRDefault="00615769" w:rsidP="004462A0">
      <w:pPr>
        <w:rPr>
          <w:del w:id="13058" w:author="AbbVie2" w:date="2025-05-14T10:22:00Z"/>
        </w:rPr>
      </w:pPr>
      <w:del w:id="13059" w:author="AbbVie2" w:date="2025-05-14T10:22:00Z">
        <w:r w:rsidRPr="008912CF">
          <w:delText xml:space="preserve">                   </w:delText>
        </w:r>
        <w:r>
          <w:rPr>
            <w:noProof/>
            <w:lang w:val="en-GB" w:eastAsia="en-GB"/>
          </w:rPr>
          <w:drawing>
            <wp:inline distT="0" distB="0" distL="0" distR="0" wp14:anchorId="78F0684E" wp14:editId="39DE77CA">
              <wp:extent cx="3995420" cy="1888490"/>
              <wp:effectExtent l="0" t="0" r="508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23"/>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3995420" cy="1888490"/>
                      </a:xfrm>
                      <a:prstGeom prst="rect">
                        <a:avLst/>
                      </a:prstGeom>
                      <a:noFill/>
                      <a:ln>
                        <a:noFill/>
                      </a:ln>
                    </pic:spPr>
                  </pic:pic>
                </a:graphicData>
              </a:graphic>
            </wp:inline>
          </w:drawing>
        </w:r>
      </w:del>
    </w:p>
    <w:p w14:paraId="15138822" w14:textId="3AFF8A55" w:rsidR="004462A0" w:rsidRPr="008912CF" w:rsidRDefault="004462A0" w:rsidP="004462A0">
      <w:pPr>
        <w:rPr>
          <w:del w:id="13060" w:author="AbbVie2" w:date="2025-05-14T10:22:00Z"/>
          <w:sz w:val="22"/>
          <w:szCs w:val="22"/>
        </w:rPr>
      </w:pPr>
    </w:p>
    <w:p w14:paraId="295A345A" w14:textId="175C3A42" w:rsidR="004462A0" w:rsidRPr="008912CF" w:rsidRDefault="00615769" w:rsidP="004462A0">
      <w:pPr>
        <w:numPr>
          <w:ilvl w:val="0"/>
          <w:numId w:val="61"/>
        </w:numPr>
        <w:rPr>
          <w:del w:id="13061" w:author="AbbVie2" w:date="2025-05-14T10:22:00Z"/>
          <w:rStyle w:val="longtext"/>
          <w:sz w:val="22"/>
          <w:szCs w:val="22"/>
        </w:rPr>
      </w:pPr>
      <w:del w:id="13062" w:author="AbbVie2" w:date="2025-05-14T10:22:00Z">
        <w:r w:rsidRPr="008912CF">
          <w:rPr>
            <w:rStyle w:val="longtext"/>
            <w:color w:val="000000"/>
            <w:sz w:val="22"/>
            <w:szCs w:val="22"/>
            <w:shd w:val="clear" w:color="auto" w:fill="FFFFFF"/>
          </w:rPr>
          <w:delText>Prepare a seringa</w:delText>
        </w:r>
        <w:r w:rsidRPr="008912CF">
          <w:rPr>
            <w:color w:val="000000"/>
            <w:sz w:val="22"/>
            <w:szCs w:val="22"/>
            <w:shd w:val="clear" w:color="auto" w:fill="FFFFFF"/>
          </w:rPr>
          <w:delText xml:space="preserve"> abrindo parcialmente o invólucro a partir da extremidade mais próxima do </w:delText>
        </w:r>
        <w:r w:rsidRPr="008912CF">
          <w:rPr>
            <w:rStyle w:val="longtext"/>
            <w:color w:val="000000"/>
            <w:sz w:val="22"/>
            <w:szCs w:val="22"/>
            <w:shd w:val="clear" w:color="auto" w:fill="FFFFFF"/>
          </w:rPr>
          <w:delText xml:space="preserve">êmbolo branco. </w:delText>
        </w:r>
      </w:del>
    </w:p>
    <w:p w14:paraId="04973CC9" w14:textId="4833A242" w:rsidR="004462A0" w:rsidRPr="008912CF" w:rsidRDefault="004462A0" w:rsidP="004462A0">
      <w:pPr>
        <w:rPr>
          <w:del w:id="13063" w:author="AbbVie2" w:date="2025-05-14T10:22:00Z"/>
          <w:rStyle w:val="longtext"/>
          <w:sz w:val="22"/>
          <w:szCs w:val="22"/>
        </w:rPr>
      </w:pPr>
    </w:p>
    <w:p w14:paraId="3903A790" w14:textId="79901779" w:rsidR="004462A0" w:rsidRPr="008912CF" w:rsidRDefault="00615769" w:rsidP="004462A0">
      <w:pPr>
        <w:numPr>
          <w:ilvl w:val="0"/>
          <w:numId w:val="61"/>
        </w:numPr>
        <w:rPr>
          <w:del w:id="13064" w:author="AbbVie2" w:date="2025-05-14T10:22:00Z"/>
          <w:rStyle w:val="longtext"/>
          <w:sz w:val="22"/>
          <w:szCs w:val="22"/>
        </w:rPr>
      </w:pPr>
      <w:del w:id="13065" w:author="AbbVie2" w:date="2025-05-14T10:22:00Z">
        <w:r w:rsidRPr="008912CF">
          <w:rPr>
            <w:rStyle w:val="longtext"/>
            <w:color w:val="000000"/>
            <w:sz w:val="22"/>
            <w:szCs w:val="22"/>
            <w:shd w:val="clear" w:color="auto" w:fill="FFFFFF"/>
          </w:rPr>
          <w:delText>Abra o invólucro transparente apenas o suficiente para expor o êmbolo branco, mas não retire a seringa do invólucro.</w:delText>
        </w:r>
      </w:del>
    </w:p>
    <w:p w14:paraId="5C401029" w14:textId="27E16EDA" w:rsidR="004462A0" w:rsidRPr="008912CF" w:rsidRDefault="004462A0" w:rsidP="004462A0">
      <w:pPr>
        <w:rPr>
          <w:del w:id="13066" w:author="AbbVie2" w:date="2025-05-14T10:22:00Z"/>
          <w:sz w:val="22"/>
          <w:szCs w:val="22"/>
        </w:rPr>
      </w:pPr>
    </w:p>
    <w:p w14:paraId="20B8CE5C" w14:textId="31DF7357" w:rsidR="004462A0" w:rsidRPr="008912CF" w:rsidRDefault="00615769" w:rsidP="004462A0">
      <w:pPr>
        <w:numPr>
          <w:ilvl w:val="0"/>
          <w:numId w:val="61"/>
        </w:numPr>
        <w:rPr>
          <w:del w:id="13067" w:author="AbbVie2" w:date="2025-05-14T10:22:00Z"/>
          <w:rStyle w:val="longtext"/>
          <w:sz w:val="22"/>
          <w:szCs w:val="22"/>
        </w:rPr>
      </w:pPr>
      <w:del w:id="13068" w:author="AbbVie2" w:date="2025-05-14T10:22:00Z">
        <w:r w:rsidRPr="008912CF">
          <w:rPr>
            <w:rStyle w:val="longtext"/>
            <w:color w:val="000000"/>
            <w:sz w:val="22"/>
            <w:szCs w:val="22"/>
            <w:shd w:val="clear" w:color="auto" w:fill="FFFFFF"/>
          </w:rPr>
          <w:delText xml:space="preserve">Segure a seringa no invólucro e puxe o êmbolo branco </w:delText>
        </w:r>
        <w:r w:rsidRPr="008912CF">
          <w:rPr>
            <w:rStyle w:val="longtext"/>
            <w:b/>
            <w:color w:val="000000"/>
            <w:sz w:val="22"/>
            <w:szCs w:val="22"/>
            <w:shd w:val="clear" w:color="auto" w:fill="FFFFFF"/>
          </w:rPr>
          <w:delText>LENTAMENTE</w:delText>
        </w:r>
        <w:r w:rsidRPr="008912CF">
          <w:rPr>
            <w:rStyle w:val="longtext"/>
            <w:color w:val="000000"/>
            <w:sz w:val="22"/>
            <w:szCs w:val="22"/>
            <w:shd w:val="clear" w:color="auto" w:fill="FFFFFF"/>
          </w:rPr>
          <w:delText xml:space="preserve"> para fora até 0,1 ml a mais da dose prescrita (por exemplo, se a dose prescrita for de 0,5 ml, puxe o êmbolo branco até 0,6 ml). </w:delText>
        </w:r>
        <w:r w:rsidRPr="008912CF">
          <w:rPr>
            <w:rStyle w:val="longtext"/>
            <w:b/>
            <w:color w:val="000000"/>
            <w:sz w:val="22"/>
            <w:szCs w:val="22"/>
            <w:shd w:val="clear" w:color="auto" w:fill="FFFFFF"/>
          </w:rPr>
          <w:delText>NUNCA</w:delText>
        </w:r>
        <w:r w:rsidRPr="008912CF">
          <w:rPr>
            <w:rStyle w:val="longtext"/>
            <w:color w:val="000000"/>
            <w:sz w:val="22"/>
            <w:szCs w:val="22"/>
            <w:shd w:val="clear" w:color="auto" w:fill="FFFFFF"/>
          </w:rPr>
          <w:delText xml:space="preserve"> puxe para além de 0,9 ml, independentemente da dose prescrita. </w:delText>
        </w:r>
      </w:del>
    </w:p>
    <w:p w14:paraId="6CD1749D" w14:textId="6458AC3E" w:rsidR="004462A0" w:rsidRPr="008912CF" w:rsidRDefault="004462A0" w:rsidP="004462A0">
      <w:pPr>
        <w:rPr>
          <w:del w:id="13069" w:author="AbbVie2" w:date="2025-05-14T10:22:00Z"/>
          <w:rStyle w:val="longtext"/>
          <w:color w:val="000000"/>
          <w:sz w:val="22"/>
          <w:szCs w:val="22"/>
          <w:shd w:val="clear" w:color="auto" w:fill="FFFFFF"/>
        </w:rPr>
      </w:pPr>
    </w:p>
    <w:p w14:paraId="3A739908" w14:textId="50F077C2" w:rsidR="004462A0" w:rsidRPr="008912CF" w:rsidRDefault="00615769" w:rsidP="004462A0">
      <w:pPr>
        <w:numPr>
          <w:ilvl w:val="0"/>
          <w:numId w:val="61"/>
        </w:numPr>
        <w:rPr>
          <w:del w:id="13070" w:author="AbbVie2" w:date="2025-05-14T10:22:00Z"/>
          <w:rStyle w:val="longtext"/>
          <w:sz w:val="22"/>
          <w:szCs w:val="22"/>
        </w:rPr>
      </w:pPr>
      <w:del w:id="13071" w:author="AbbVie2" w:date="2025-05-14T10:22:00Z">
        <w:r w:rsidRPr="008912CF">
          <w:rPr>
            <w:rStyle w:val="longtext"/>
            <w:color w:val="000000"/>
            <w:sz w:val="22"/>
            <w:szCs w:val="22"/>
            <w:shd w:val="clear" w:color="auto" w:fill="FFFFFF"/>
          </w:rPr>
          <w:delText>Irá estabelecer o volume para a dose prescrita mais tarde.</w:delText>
        </w:r>
      </w:del>
    </w:p>
    <w:p w14:paraId="7FC29441" w14:textId="342F24B2" w:rsidR="004462A0" w:rsidRPr="008912CF" w:rsidRDefault="004462A0" w:rsidP="004462A0">
      <w:pPr>
        <w:rPr>
          <w:del w:id="13072" w:author="AbbVie2" w:date="2025-05-14T10:22:00Z"/>
          <w:rStyle w:val="longtext"/>
          <w:color w:val="000000"/>
          <w:sz w:val="22"/>
          <w:szCs w:val="22"/>
          <w:shd w:val="clear" w:color="auto" w:fill="FFFFFF"/>
        </w:rPr>
      </w:pPr>
    </w:p>
    <w:p w14:paraId="66BE8556" w14:textId="72245115" w:rsidR="004462A0" w:rsidRPr="008912CF" w:rsidRDefault="00615769" w:rsidP="004462A0">
      <w:pPr>
        <w:numPr>
          <w:ilvl w:val="0"/>
          <w:numId w:val="61"/>
        </w:numPr>
        <w:rPr>
          <w:del w:id="13073" w:author="AbbVie2" w:date="2025-05-14T10:22:00Z"/>
          <w:rStyle w:val="longtext"/>
          <w:sz w:val="22"/>
          <w:szCs w:val="22"/>
        </w:rPr>
      </w:pPr>
      <w:del w:id="13074" w:author="AbbVie2" w:date="2025-05-14T10:22:00Z">
        <w:r w:rsidRPr="008912CF">
          <w:rPr>
            <w:rStyle w:val="longtext"/>
            <w:b/>
            <w:color w:val="000000"/>
            <w:sz w:val="22"/>
            <w:szCs w:val="22"/>
            <w:shd w:val="clear" w:color="auto" w:fill="FFFFFF"/>
          </w:rPr>
          <w:delText xml:space="preserve">NÃO </w:delText>
        </w:r>
        <w:r w:rsidRPr="008912CF">
          <w:rPr>
            <w:rStyle w:val="longtext"/>
            <w:color w:val="000000"/>
            <w:sz w:val="22"/>
            <w:szCs w:val="22"/>
            <w:shd w:val="clear" w:color="auto" w:fill="FFFFFF"/>
          </w:rPr>
          <w:delText>puxe o êmbolo branco completamente para fora da seringa.</w:delText>
        </w:r>
      </w:del>
    </w:p>
    <w:p w14:paraId="360E1AAC" w14:textId="76478CFC" w:rsidR="004462A0" w:rsidRPr="008912CF" w:rsidRDefault="004462A0" w:rsidP="004462A0">
      <w:pPr>
        <w:rPr>
          <w:del w:id="13075" w:author="AbbVie2" w:date="2025-05-14T10:22:00Z"/>
          <w:rStyle w:val="longtext"/>
          <w:color w:val="000000"/>
          <w:sz w:val="22"/>
          <w:szCs w:val="22"/>
          <w:shd w:val="clear" w:color="auto" w:fill="FFFFFF"/>
        </w:rPr>
      </w:pPr>
    </w:p>
    <w:p w14:paraId="5621F793" w14:textId="27E7B396" w:rsidR="004462A0" w:rsidRPr="008912CF" w:rsidRDefault="00615769" w:rsidP="00907F74">
      <w:pPr>
        <w:keepNext/>
        <w:rPr>
          <w:del w:id="13076" w:author="AbbVie2" w:date="2025-05-14T10:22:00Z"/>
          <w:rStyle w:val="longtext"/>
          <w:b/>
          <w:color w:val="000000"/>
          <w:sz w:val="22"/>
          <w:szCs w:val="22"/>
          <w:shd w:val="clear" w:color="auto" w:fill="FFFFFF"/>
        </w:rPr>
      </w:pPr>
      <w:del w:id="13077" w:author="AbbVie2" w:date="2025-05-14T10:22:00Z">
        <w:r w:rsidRPr="008912CF">
          <w:rPr>
            <w:rStyle w:val="longtext"/>
            <w:b/>
            <w:color w:val="000000"/>
            <w:sz w:val="22"/>
            <w:szCs w:val="22"/>
            <w:shd w:val="clear" w:color="auto" w:fill="FFFFFF"/>
          </w:rPr>
          <w:delText>NOTA:</w:delText>
        </w:r>
      </w:del>
    </w:p>
    <w:p w14:paraId="702399FE" w14:textId="7EE15BB4" w:rsidR="004462A0" w:rsidRPr="008912CF" w:rsidRDefault="004462A0" w:rsidP="00907F74">
      <w:pPr>
        <w:keepNext/>
        <w:rPr>
          <w:del w:id="13078" w:author="AbbVie2" w:date="2025-05-14T10:22:00Z"/>
          <w:rStyle w:val="longtext"/>
          <w:color w:val="000000"/>
          <w:sz w:val="22"/>
          <w:szCs w:val="22"/>
          <w:shd w:val="clear" w:color="auto" w:fill="FFFFFF"/>
        </w:rPr>
      </w:pPr>
    </w:p>
    <w:p w14:paraId="20D78C14" w14:textId="7E99B0D3" w:rsidR="004462A0" w:rsidRPr="008912CF" w:rsidRDefault="00615769" w:rsidP="00907F74">
      <w:pPr>
        <w:keepNext/>
        <w:rPr>
          <w:del w:id="13079" w:author="AbbVie2" w:date="2025-05-14T10:22:00Z"/>
          <w:rStyle w:val="longtext"/>
          <w:color w:val="000000"/>
          <w:sz w:val="22"/>
          <w:szCs w:val="22"/>
          <w:shd w:val="clear" w:color="auto" w:fill="FFFFFF"/>
        </w:rPr>
      </w:pPr>
      <w:del w:id="13080" w:author="AbbVie2" w:date="2025-05-14T10:22:00Z">
        <w:r w:rsidRPr="008912CF">
          <w:rPr>
            <w:rStyle w:val="longtext"/>
            <w:color w:val="000000"/>
            <w:sz w:val="22"/>
            <w:szCs w:val="22"/>
            <w:shd w:val="clear" w:color="auto" w:fill="FFFFFF"/>
          </w:rPr>
          <w:delText xml:space="preserve">Se o êmbolo branco for puxado completamente para fora da seringa, rejeite a seringa e contacte o fornecedor de Humira para uma substituição. </w:delText>
        </w:r>
        <w:r w:rsidRPr="008912CF">
          <w:rPr>
            <w:rStyle w:val="longtext"/>
            <w:b/>
            <w:color w:val="000000"/>
            <w:sz w:val="22"/>
            <w:szCs w:val="22"/>
            <w:shd w:val="clear" w:color="auto" w:fill="FFFFFF"/>
          </w:rPr>
          <w:delText>NÃO</w:delText>
        </w:r>
        <w:r w:rsidRPr="008912CF">
          <w:rPr>
            <w:rStyle w:val="longtext"/>
            <w:color w:val="000000"/>
            <w:sz w:val="22"/>
            <w:szCs w:val="22"/>
            <w:shd w:val="clear" w:color="auto" w:fill="FFFFFF"/>
          </w:rPr>
          <w:delText xml:space="preserve"> tente inserir novamente o êmbolo branco.</w:delText>
        </w:r>
      </w:del>
    </w:p>
    <w:p w14:paraId="082596D6" w14:textId="69218D6E" w:rsidR="004462A0" w:rsidRPr="008912CF" w:rsidRDefault="004462A0" w:rsidP="004462A0">
      <w:pPr>
        <w:rPr>
          <w:del w:id="13081" w:author="AbbVie2" w:date="2025-05-14T10:22:00Z"/>
          <w:sz w:val="22"/>
          <w:szCs w:val="22"/>
        </w:rPr>
      </w:pPr>
    </w:p>
    <w:tbl>
      <w:tblPr>
        <w:tblW w:w="0" w:type="auto"/>
        <w:tblLook w:val="01E0" w:firstRow="1" w:lastRow="1" w:firstColumn="1" w:lastColumn="1" w:noHBand="0" w:noVBand="0"/>
      </w:tblPr>
      <w:tblGrid>
        <w:gridCol w:w="4585"/>
        <w:gridCol w:w="4486"/>
      </w:tblGrid>
      <w:tr w:rsidR="00A7162A" w14:paraId="3F29FD14" w14:textId="73FEAC72" w:rsidTr="00F675CF">
        <w:trPr>
          <w:del w:id="13082" w:author="AbbVie2" w:date="2025-05-14T10:22:00Z"/>
        </w:trPr>
        <w:tc>
          <w:tcPr>
            <w:tcW w:w="4643" w:type="dxa"/>
          </w:tcPr>
          <w:p w14:paraId="251852BB" w14:textId="4D68A8B2" w:rsidR="004462A0" w:rsidRPr="008912CF" w:rsidRDefault="00615769" w:rsidP="00F675CF">
            <w:pPr>
              <w:pStyle w:val="EMEANormal"/>
              <w:jc w:val="right"/>
              <w:rPr>
                <w:del w:id="13083" w:author="AbbVie2" w:date="2025-05-14T10:22:00Z"/>
                <w:lang w:val="pt-PT"/>
              </w:rPr>
            </w:pPr>
            <w:del w:id="13084" w:author="AbbVie2" w:date="2025-05-14T10:22:00Z">
              <w:r>
                <w:rPr>
                  <w:noProof/>
                  <w:lang w:val="en-GB" w:eastAsia="en-GB"/>
                </w:rPr>
                <w:drawing>
                  <wp:inline distT="0" distB="0" distL="0" distR="0" wp14:anchorId="26A6592D" wp14:editId="56B7D030">
                    <wp:extent cx="1898650" cy="1898650"/>
                    <wp:effectExtent l="0" t="0" r="635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24"/>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1898650" cy="1898650"/>
                            </a:xfrm>
                            <a:prstGeom prst="rect">
                              <a:avLst/>
                            </a:prstGeom>
                            <a:noFill/>
                            <a:ln>
                              <a:noFill/>
                            </a:ln>
                          </pic:spPr>
                        </pic:pic>
                      </a:graphicData>
                    </a:graphic>
                  </wp:inline>
                </w:drawing>
              </w:r>
            </w:del>
          </w:p>
        </w:tc>
        <w:tc>
          <w:tcPr>
            <w:tcW w:w="4644" w:type="dxa"/>
          </w:tcPr>
          <w:p w14:paraId="312A923F" w14:textId="431CA4D5" w:rsidR="004462A0" w:rsidRPr="008912CF" w:rsidRDefault="004462A0" w:rsidP="00F675CF">
            <w:pPr>
              <w:pStyle w:val="EMEANormal"/>
              <w:rPr>
                <w:del w:id="13085" w:author="AbbVie2" w:date="2025-05-14T10:22:00Z"/>
                <w:lang w:val="pt-PT"/>
              </w:rPr>
            </w:pPr>
          </w:p>
          <w:p w14:paraId="49394B36" w14:textId="3CEC55FF" w:rsidR="004462A0" w:rsidRPr="008912CF" w:rsidRDefault="004462A0" w:rsidP="00F675CF">
            <w:pPr>
              <w:pStyle w:val="EMEANormal"/>
              <w:rPr>
                <w:del w:id="13086" w:author="AbbVie2" w:date="2025-05-14T10:22:00Z"/>
                <w:lang w:val="pt-PT"/>
              </w:rPr>
            </w:pPr>
          </w:p>
          <w:p w14:paraId="360725AB" w14:textId="51ABF093" w:rsidR="004462A0" w:rsidRPr="008912CF" w:rsidRDefault="004462A0" w:rsidP="00F675CF">
            <w:pPr>
              <w:pStyle w:val="EMEANormal"/>
              <w:rPr>
                <w:del w:id="13087" w:author="AbbVie2" w:date="2025-05-14T10:22:00Z"/>
                <w:lang w:val="pt-PT"/>
              </w:rPr>
            </w:pPr>
          </w:p>
          <w:p w14:paraId="4B3CDCCC" w14:textId="4C39288B" w:rsidR="004462A0" w:rsidRPr="008912CF" w:rsidRDefault="004462A0" w:rsidP="00F675CF">
            <w:pPr>
              <w:pStyle w:val="EMEANormal"/>
              <w:rPr>
                <w:del w:id="13088" w:author="AbbVie2" w:date="2025-05-14T10:22:00Z"/>
                <w:lang w:val="pt-PT"/>
              </w:rPr>
            </w:pPr>
          </w:p>
          <w:p w14:paraId="78EF697A" w14:textId="47D540FA" w:rsidR="004462A0" w:rsidRPr="008912CF" w:rsidRDefault="004462A0" w:rsidP="00F675CF">
            <w:pPr>
              <w:pStyle w:val="EMEANormal"/>
              <w:rPr>
                <w:del w:id="13089" w:author="AbbVie2" w:date="2025-05-14T10:22:00Z"/>
                <w:lang w:val="pt-PT"/>
              </w:rPr>
            </w:pPr>
          </w:p>
          <w:p w14:paraId="13AE78B1" w14:textId="5B2A808C" w:rsidR="004462A0" w:rsidRPr="008912CF" w:rsidRDefault="004462A0" w:rsidP="00F675CF">
            <w:pPr>
              <w:pStyle w:val="EMEANormal"/>
              <w:rPr>
                <w:del w:id="13090" w:author="AbbVie2" w:date="2025-05-14T10:22:00Z"/>
                <w:lang w:val="pt-PT"/>
              </w:rPr>
            </w:pPr>
          </w:p>
          <w:p w14:paraId="2758CC15" w14:textId="089270E0" w:rsidR="004462A0" w:rsidRPr="008912CF" w:rsidRDefault="004462A0" w:rsidP="00F675CF">
            <w:pPr>
              <w:pStyle w:val="EMEANormal"/>
              <w:rPr>
                <w:del w:id="13091" w:author="AbbVie2" w:date="2025-05-14T10:22:00Z"/>
                <w:lang w:val="pt-PT"/>
              </w:rPr>
            </w:pPr>
          </w:p>
          <w:p w14:paraId="149A1ACC" w14:textId="7500F812" w:rsidR="004462A0" w:rsidRPr="008912CF" w:rsidRDefault="004462A0" w:rsidP="00F675CF">
            <w:pPr>
              <w:pStyle w:val="EMEANormal"/>
              <w:rPr>
                <w:del w:id="13092" w:author="AbbVie2" w:date="2025-05-14T10:22:00Z"/>
                <w:lang w:val="pt-PT"/>
              </w:rPr>
            </w:pPr>
          </w:p>
          <w:p w14:paraId="7702BD6D" w14:textId="5ED38769" w:rsidR="004462A0" w:rsidRPr="008912CF" w:rsidRDefault="00615769" w:rsidP="00F675CF">
            <w:pPr>
              <w:pStyle w:val="EMEANormal"/>
              <w:rPr>
                <w:del w:id="13093" w:author="AbbVie2" w:date="2025-05-14T10:22:00Z"/>
                <w:lang w:val="pt-PT"/>
              </w:rPr>
            </w:pPr>
            <w:del w:id="13094" w:author="AbbVie2" w:date="2025-05-14T10:22:00Z">
              <w:r w:rsidRPr="008912CF">
                <w:rPr>
                  <w:lang w:val="pt-PT"/>
                </w:rPr>
                <w:delText>Dose + 0,1 ml</w:delText>
              </w:r>
            </w:del>
          </w:p>
        </w:tc>
      </w:tr>
    </w:tbl>
    <w:p w14:paraId="48DEB31E" w14:textId="0C2A816F" w:rsidR="004462A0" w:rsidRPr="008912CF" w:rsidRDefault="004462A0" w:rsidP="004462A0">
      <w:pPr>
        <w:rPr>
          <w:del w:id="13095" w:author="AbbVie2" w:date="2025-05-14T10:22:00Z"/>
          <w:rStyle w:val="longtext"/>
          <w:color w:val="000000"/>
          <w:sz w:val="22"/>
          <w:szCs w:val="22"/>
          <w:shd w:val="clear" w:color="auto" w:fill="FFFFFF"/>
        </w:rPr>
      </w:pPr>
    </w:p>
    <w:p w14:paraId="228A7159" w14:textId="6B713E3D" w:rsidR="004462A0" w:rsidRPr="008912CF" w:rsidRDefault="00615769" w:rsidP="004462A0">
      <w:pPr>
        <w:numPr>
          <w:ilvl w:val="0"/>
          <w:numId w:val="61"/>
        </w:numPr>
        <w:rPr>
          <w:del w:id="13096" w:author="AbbVie2" w:date="2025-05-14T10:22:00Z"/>
          <w:rStyle w:val="longtext"/>
          <w:sz w:val="22"/>
          <w:szCs w:val="22"/>
        </w:rPr>
      </w:pPr>
      <w:del w:id="13097" w:author="AbbVie2" w:date="2025-05-14T10:22:00Z">
        <w:r w:rsidRPr="008912CF">
          <w:rPr>
            <w:rStyle w:val="longtext"/>
            <w:b/>
            <w:color w:val="000000"/>
            <w:sz w:val="22"/>
            <w:szCs w:val="22"/>
            <w:shd w:val="clear" w:color="auto" w:fill="FFFFFF"/>
          </w:rPr>
          <w:delText>NÃO</w:delText>
        </w:r>
        <w:r w:rsidRPr="008912CF">
          <w:rPr>
            <w:rStyle w:val="longtext"/>
            <w:color w:val="000000"/>
            <w:sz w:val="22"/>
            <w:szCs w:val="22"/>
            <w:shd w:val="clear" w:color="auto" w:fill="FFFFFF"/>
          </w:rPr>
          <w:delText xml:space="preserve"> utilize o êmbolo branco para retirar a seringa do invólucro. Segure a seringa pela parte graduada e retire-a do invólucro. </w:delText>
        </w:r>
        <w:r w:rsidRPr="008912CF">
          <w:rPr>
            <w:rStyle w:val="longtext"/>
            <w:b/>
            <w:color w:val="000000"/>
            <w:sz w:val="22"/>
            <w:szCs w:val="22"/>
            <w:shd w:val="clear" w:color="auto" w:fill="FFFFFF"/>
          </w:rPr>
          <w:delText>NÃO</w:delText>
        </w:r>
        <w:r w:rsidRPr="008912CF">
          <w:rPr>
            <w:rStyle w:val="longtext"/>
            <w:color w:val="000000"/>
            <w:sz w:val="22"/>
            <w:szCs w:val="22"/>
            <w:shd w:val="clear" w:color="auto" w:fill="FFFFFF"/>
          </w:rPr>
          <w:delText xml:space="preserve"> poise a seringa, em qualquer altura.</w:delText>
        </w:r>
      </w:del>
    </w:p>
    <w:p w14:paraId="342B28F1" w14:textId="726DA976" w:rsidR="004462A0" w:rsidRPr="008912CF" w:rsidRDefault="004462A0" w:rsidP="004462A0">
      <w:pPr>
        <w:rPr>
          <w:del w:id="13098" w:author="AbbVie2" w:date="2025-05-14T10:22:00Z"/>
          <w:rStyle w:val="longtext"/>
          <w:sz w:val="22"/>
          <w:szCs w:val="22"/>
        </w:rPr>
      </w:pPr>
    </w:p>
    <w:p w14:paraId="76CE7592" w14:textId="6D647941" w:rsidR="004462A0" w:rsidRPr="008912CF" w:rsidRDefault="00615769" w:rsidP="004462A0">
      <w:pPr>
        <w:numPr>
          <w:ilvl w:val="0"/>
          <w:numId w:val="61"/>
        </w:numPr>
        <w:rPr>
          <w:del w:id="13099" w:author="AbbVie2" w:date="2025-05-14T10:22:00Z"/>
          <w:rStyle w:val="longtext"/>
          <w:sz w:val="22"/>
          <w:szCs w:val="22"/>
        </w:rPr>
      </w:pPr>
      <w:del w:id="13100" w:author="AbbVie2" w:date="2025-05-14T10:22:00Z">
        <w:r w:rsidRPr="008912CF">
          <w:rPr>
            <w:rStyle w:val="longtext"/>
            <w:color w:val="000000"/>
            <w:sz w:val="22"/>
            <w:szCs w:val="22"/>
            <w:shd w:val="clear" w:color="auto" w:fill="FFFFFF"/>
          </w:rPr>
          <w:delText xml:space="preserve">Enquanto segura com firmeza o adaptador do frasco para injetáveis, insira </w:delText>
        </w:r>
        <w:r w:rsidRPr="008912CF">
          <w:rPr>
            <w:rStyle w:val="longtext"/>
            <w:color w:val="000000"/>
            <w:sz w:val="22"/>
            <w:szCs w:val="22"/>
          </w:rPr>
          <w:delText>com uma mão</w:delText>
        </w:r>
        <w:r w:rsidRPr="008912CF">
          <w:rPr>
            <w:rStyle w:val="longtext"/>
            <w:color w:val="000000"/>
            <w:sz w:val="22"/>
            <w:szCs w:val="22"/>
            <w:shd w:val="clear" w:color="auto" w:fill="FFFFFF"/>
          </w:rPr>
          <w:delText xml:space="preserve"> a extremidade da seringa no adaptador e rode a seringa no sentido dos ponteiros do relógio</w:delText>
        </w:r>
        <w:r w:rsidRPr="008912CF">
          <w:rPr>
            <w:rStyle w:val="longtext"/>
            <w:color w:val="000000"/>
            <w:sz w:val="22"/>
            <w:szCs w:val="22"/>
          </w:rPr>
          <w:delText xml:space="preserve">, até fixar. </w:delText>
        </w:r>
        <w:r w:rsidRPr="008912CF">
          <w:rPr>
            <w:rStyle w:val="longtext"/>
            <w:b/>
            <w:color w:val="000000"/>
            <w:sz w:val="22"/>
            <w:szCs w:val="22"/>
            <w:shd w:val="clear" w:color="auto" w:fill="FFFFFF"/>
          </w:rPr>
          <w:delText>NÃO</w:delText>
        </w:r>
        <w:r w:rsidRPr="008912CF">
          <w:rPr>
            <w:rStyle w:val="longtext"/>
            <w:color w:val="000000"/>
            <w:sz w:val="22"/>
            <w:szCs w:val="22"/>
            <w:shd w:val="clear" w:color="auto" w:fill="FFFFFF"/>
          </w:rPr>
          <w:delText xml:space="preserve"> aperte excessivamente.</w:delText>
        </w:r>
      </w:del>
    </w:p>
    <w:p w14:paraId="698161F0" w14:textId="428CB537" w:rsidR="004462A0" w:rsidRPr="008912CF" w:rsidRDefault="004462A0" w:rsidP="004462A0">
      <w:pPr>
        <w:ind w:left="1701" w:firstLine="567"/>
        <w:rPr>
          <w:del w:id="13101" w:author="AbbVie2" w:date="2025-05-14T10:22:00Z"/>
          <w:sz w:val="22"/>
          <w:szCs w:val="22"/>
        </w:rPr>
      </w:pPr>
    </w:p>
    <w:p w14:paraId="239736CA" w14:textId="1A6D9682" w:rsidR="004462A0" w:rsidRPr="008912CF" w:rsidRDefault="00615769" w:rsidP="004462A0">
      <w:pPr>
        <w:ind w:left="1701" w:firstLine="567"/>
        <w:rPr>
          <w:del w:id="13102" w:author="AbbVie2" w:date="2025-05-14T10:22:00Z"/>
          <w:sz w:val="22"/>
          <w:szCs w:val="22"/>
        </w:rPr>
      </w:pPr>
      <w:del w:id="13103" w:author="AbbVie2" w:date="2025-05-14T10:22:00Z">
        <w:r>
          <w:rPr>
            <w:noProof/>
            <w:lang w:val="en-GB" w:eastAsia="en-GB"/>
          </w:rPr>
          <w:drawing>
            <wp:inline distT="0" distB="0" distL="0" distR="0" wp14:anchorId="64BAAE28" wp14:editId="68B823DF">
              <wp:extent cx="1858645" cy="1818640"/>
              <wp:effectExtent l="0" t="0" r="825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25"/>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1858645" cy="1818640"/>
                      </a:xfrm>
                      <a:prstGeom prst="rect">
                        <a:avLst/>
                      </a:prstGeom>
                      <a:noFill/>
                      <a:ln>
                        <a:noFill/>
                      </a:ln>
                    </pic:spPr>
                  </pic:pic>
                </a:graphicData>
              </a:graphic>
            </wp:inline>
          </w:drawing>
        </w:r>
      </w:del>
    </w:p>
    <w:p w14:paraId="7B1DADDC" w14:textId="7933B564" w:rsidR="004462A0" w:rsidRPr="008912CF" w:rsidRDefault="004462A0" w:rsidP="004462A0">
      <w:pPr>
        <w:rPr>
          <w:del w:id="13104" w:author="AbbVie2" w:date="2025-05-14T10:22:00Z"/>
          <w:rStyle w:val="longtext"/>
          <w:color w:val="000000"/>
          <w:sz w:val="22"/>
          <w:szCs w:val="22"/>
          <w:shd w:val="clear" w:color="auto" w:fill="FFFFFF"/>
        </w:rPr>
      </w:pPr>
    </w:p>
    <w:p w14:paraId="3CA3BFE4" w14:textId="0BEF2464" w:rsidR="004462A0" w:rsidRPr="008912CF" w:rsidRDefault="00615769" w:rsidP="004462A0">
      <w:pPr>
        <w:numPr>
          <w:ilvl w:val="0"/>
          <w:numId w:val="61"/>
        </w:numPr>
        <w:rPr>
          <w:del w:id="13105" w:author="AbbVie2" w:date="2025-05-14T10:22:00Z"/>
          <w:rStyle w:val="longtext"/>
          <w:sz w:val="22"/>
          <w:szCs w:val="22"/>
        </w:rPr>
      </w:pPr>
      <w:del w:id="13106" w:author="AbbVie2" w:date="2025-05-14T10:22:00Z">
        <w:r w:rsidRPr="008912CF">
          <w:rPr>
            <w:rStyle w:val="longtext"/>
            <w:sz w:val="22"/>
            <w:szCs w:val="22"/>
          </w:rPr>
          <w:delText xml:space="preserve">Enquanto segura o frasco para injetáveis, empurre o êmbolo branco totalmente até abaixo. Este passo é importante para obter a dose apropriada. </w:delText>
        </w:r>
        <w:r w:rsidRPr="008912CF">
          <w:rPr>
            <w:rStyle w:val="longtext"/>
            <w:color w:val="000000"/>
            <w:sz w:val="22"/>
            <w:szCs w:val="22"/>
            <w:shd w:val="clear" w:color="auto" w:fill="FFFFFF"/>
          </w:rPr>
          <w:delText>Mantenha o êmbolo branco nesta posição e rode o frasco para injetáveis e a seringa de cima para baixo</w:delText>
        </w:r>
        <w:r w:rsidRPr="008912CF">
          <w:rPr>
            <w:rStyle w:val="longtext"/>
            <w:sz w:val="22"/>
            <w:szCs w:val="22"/>
          </w:rPr>
          <w:delText xml:space="preserve">. </w:delText>
        </w:r>
      </w:del>
    </w:p>
    <w:p w14:paraId="7105681D" w14:textId="7053B8F0" w:rsidR="004462A0" w:rsidRPr="008912CF" w:rsidRDefault="004462A0" w:rsidP="004462A0">
      <w:pPr>
        <w:rPr>
          <w:del w:id="13107" w:author="AbbVie2" w:date="2025-05-14T10:22:00Z"/>
          <w:sz w:val="22"/>
          <w:szCs w:val="22"/>
        </w:rPr>
      </w:pPr>
    </w:p>
    <w:p w14:paraId="77781C04" w14:textId="64FE8855" w:rsidR="004462A0" w:rsidRPr="008912CF" w:rsidRDefault="00615769" w:rsidP="004462A0">
      <w:pPr>
        <w:ind w:left="1701" w:firstLine="567"/>
        <w:rPr>
          <w:del w:id="13108" w:author="AbbVie2" w:date="2025-05-14T10:22:00Z"/>
          <w:sz w:val="22"/>
          <w:szCs w:val="22"/>
        </w:rPr>
      </w:pPr>
      <w:del w:id="13109" w:author="AbbVie2" w:date="2025-05-14T10:22:00Z">
        <w:r>
          <w:rPr>
            <w:noProof/>
            <w:lang w:val="en-GB" w:eastAsia="en-GB"/>
          </w:rPr>
          <w:drawing>
            <wp:inline distT="0" distB="0" distL="0" distR="0" wp14:anchorId="7B451F10" wp14:editId="25C5AF16">
              <wp:extent cx="1818640" cy="181864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26"/>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1818640" cy="1818640"/>
                      </a:xfrm>
                      <a:prstGeom prst="rect">
                        <a:avLst/>
                      </a:prstGeom>
                      <a:noFill/>
                      <a:ln>
                        <a:noFill/>
                      </a:ln>
                    </pic:spPr>
                  </pic:pic>
                </a:graphicData>
              </a:graphic>
            </wp:inline>
          </w:drawing>
        </w:r>
      </w:del>
    </w:p>
    <w:p w14:paraId="55D7AC7B" w14:textId="13C1205D" w:rsidR="004462A0" w:rsidRPr="008912CF" w:rsidRDefault="004462A0" w:rsidP="004462A0">
      <w:pPr>
        <w:rPr>
          <w:del w:id="13110" w:author="AbbVie2" w:date="2025-05-14T10:22:00Z"/>
          <w:sz w:val="22"/>
          <w:szCs w:val="22"/>
        </w:rPr>
      </w:pPr>
    </w:p>
    <w:p w14:paraId="4E00BB3B" w14:textId="7A7FC755" w:rsidR="004462A0" w:rsidRPr="008912CF" w:rsidRDefault="00615769" w:rsidP="004462A0">
      <w:pPr>
        <w:numPr>
          <w:ilvl w:val="0"/>
          <w:numId w:val="61"/>
        </w:numPr>
        <w:rPr>
          <w:del w:id="13111" w:author="AbbVie2" w:date="2025-05-14T10:22:00Z"/>
          <w:rStyle w:val="longtext"/>
          <w:sz w:val="22"/>
          <w:szCs w:val="22"/>
        </w:rPr>
      </w:pPr>
      <w:del w:id="13112" w:author="AbbVie2" w:date="2025-05-14T10:22:00Z">
        <w:r w:rsidRPr="008912CF">
          <w:rPr>
            <w:rStyle w:val="longtext"/>
            <w:color w:val="000000"/>
            <w:sz w:val="22"/>
            <w:szCs w:val="22"/>
            <w:shd w:val="clear" w:color="auto" w:fill="FFFFFF"/>
          </w:rPr>
          <w:delText xml:space="preserve">Puxe o êmbolo branco </w:delText>
        </w:r>
        <w:r w:rsidRPr="008912CF">
          <w:rPr>
            <w:rStyle w:val="longtext"/>
            <w:b/>
            <w:caps/>
            <w:color w:val="000000"/>
            <w:sz w:val="22"/>
            <w:szCs w:val="22"/>
            <w:shd w:val="clear" w:color="auto" w:fill="FFFFFF"/>
          </w:rPr>
          <w:delText>lentamente</w:delText>
        </w:r>
        <w:r w:rsidRPr="008912CF">
          <w:rPr>
            <w:rStyle w:val="longtext"/>
            <w:color w:val="000000"/>
            <w:sz w:val="22"/>
            <w:szCs w:val="22"/>
            <w:shd w:val="clear" w:color="auto" w:fill="FFFFFF"/>
          </w:rPr>
          <w:delText xml:space="preserve"> para fora até 0,1 ml a mais da dose prescrita. Isto é importante para obter a dose apropriada. Irá estabelecer o volume da dose prescrita na etapa 4, Preparação da Dose. Se a dose prescrita for 0,5 ml, puxe o êmbolo branco até 0,6 ml. Vai ver o medicamento líquido a entrar na seringa.</w:delText>
        </w:r>
      </w:del>
    </w:p>
    <w:p w14:paraId="0D1BAA64" w14:textId="130F1220" w:rsidR="004462A0" w:rsidRPr="008912CF" w:rsidRDefault="004462A0" w:rsidP="004462A0">
      <w:pPr>
        <w:rPr>
          <w:del w:id="13113" w:author="AbbVie2" w:date="2025-05-14T10:22:00Z"/>
          <w:sz w:val="22"/>
          <w:szCs w:val="22"/>
        </w:rPr>
      </w:pPr>
    </w:p>
    <w:p w14:paraId="79647DA4" w14:textId="6307B9E6" w:rsidR="004462A0" w:rsidRPr="008912CF" w:rsidRDefault="00615769" w:rsidP="004462A0">
      <w:pPr>
        <w:ind w:left="1701" w:firstLine="567"/>
        <w:rPr>
          <w:del w:id="13114" w:author="AbbVie2" w:date="2025-05-14T10:22:00Z"/>
          <w:sz w:val="22"/>
          <w:szCs w:val="22"/>
        </w:rPr>
      </w:pPr>
      <w:del w:id="13115" w:author="AbbVie2" w:date="2025-05-14T10:22:00Z">
        <w:r>
          <w:rPr>
            <w:noProof/>
            <w:lang w:val="en-GB" w:eastAsia="en-GB"/>
          </w:rPr>
          <w:drawing>
            <wp:inline distT="0" distB="0" distL="0" distR="0" wp14:anchorId="2BDAA5A7" wp14:editId="7E11B628">
              <wp:extent cx="1818640" cy="181864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27"/>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1818640" cy="1818640"/>
                      </a:xfrm>
                      <a:prstGeom prst="rect">
                        <a:avLst/>
                      </a:prstGeom>
                      <a:noFill/>
                      <a:ln>
                        <a:noFill/>
                      </a:ln>
                    </pic:spPr>
                  </pic:pic>
                </a:graphicData>
              </a:graphic>
            </wp:inline>
          </w:drawing>
        </w:r>
      </w:del>
    </w:p>
    <w:p w14:paraId="1F34E914" w14:textId="3A7395FB" w:rsidR="004462A0" w:rsidRPr="008912CF" w:rsidRDefault="004462A0" w:rsidP="004462A0">
      <w:pPr>
        <w:rPr>
          <w:del w:id="13116" w:author="AbbVie2" w:date="2025-05-14T10:22:00Z"/>
          <w:sz w:val="22"/>
          <w:szCs w:val="22"/>
        </w:rPr>
      </w:pPr>
    </w:p>
    <w:p w14:paraId="4BDE5857" w14:textId="2D8986C7" w:rsidR="004462A0" w:rsidRPr="008912CF" w:rsidRDefault="00615769" w:rsidP="004462A0">
      <w:pPr>
        <w:numPr>
          <w:ilvl w:val="0"/>
          <w:numId w:val="61"/>
        </w:numPr>
        <w:rPr>
          <w:del w:id="13117" w:author="AbbVie2" w:date="2025-05-14T10:22:00Z"/>
          <w:rStyle w:val="longtext"/>
          <w:sz w:val="22"/>
          <w:szCs w:val="22"/>
        </w:rPr>
      </w:pPr>
      <w:del w:id="13118" w:author="AbbVie2" w:date="2025-05-14T10:22:00Z">
        <w:r w:rsidRPr="008912CF">
          <w:rPr>
            <w:rStyle w:val="longtext"/>
            <w:color w:val="000000"/>
            <w:sz w:val="22"/>
            <w:szCs w:val="22"/>
            <w:shd w:val="clear" w:color="auto" w:fill="FFFFFF"/>
          </w:rPr>
          <w:delText xml:space="preserve">Empurre o êmbolo branco totalmente em sentido contrário de forma a empurrar o medicamento líquido de volta para dentro do frasco para injetáveis. Puxe outra vez o êmbolo branco </w:delText>
        </w:r>
        <w:r w:rsidRPr="008912CF">
          <w:rPr>
            <w:rStyle w:val="longtext"/>
            <w:b/>
            <w:color w:val="000000"/>
            <w:sz w:val="22"/>
            <w:szCs w:val="22"/>
            <w:shd w:val="clear" w:color="auto" w:fill="FFFFFF"/>
          </w:rPr>
          <w:delText xml:space="preserve">LENTAMENTE </w:delText>
        </w:r>
        <w:r w:rsidRPr="008912CF">
          <w:rPr>
            <w:rStyle w:val="longtext"/>
            <w:color w:val="000000"/>
            <w:sz w:val="22"/>
            <w:szCs w:val="22"/>
            <w:shd w:val="clear" w:color="auto" w:fill="FFFFFF"/>
          </w:rPr>
          <w:delText>para fora até 0,1 ml para além da dose prescrita, isto é importante para obter a dose apropriada e importante para evitar a formação de bolhas ou de espaços de ar no medicamento líquido. Irá estabelecer o volume para a dose prescrita na etapa 4, Preparação da Dose.</w:delText>
        </w:r>
      </w:del>
    </w:p>
    <w:p w14:paraId="2BEFE4AA" w14:textId="100452F1" w:rsidR="004462A0" w:rsidRPr="008912CF" w:rsidRDefault="004462A0" w:rsidP="004462A0">
      <w:pPr>
        <w:rPr>
          <w:del w:id="13119" w:author="AbbVie2" w:date="2025-05-14T10:22:00Z"/>
          <w:rStyle w:val="longtext"/>
          <w:sz w:val="22"/>
          <w:szCs w:val="22"/>
        </w:rPr>
      </w:pPr>
    </w:p>
    <w:p w14:paraId="2D24062E" w14:textId="095D66E4" w:rsidR="004462A0" w:rsidRPr="008912CF" w:rsidRDefault="00615769" w:rsidP="004462A0">
      <w:pPr>
        <w:ind w:left="1701" w:firstLine="567"/>
        <w:rPr>
          <w:del w:id="13120" w:author="AbbVie2" w:date="2025-05-14T10:22:00Z"/>
          <w:rStyle w:val="longtext"/>
          <w:sz w:val="22"/>
          <w:szCs w:val="22"/>
        </w:rPr>
      </w:pPr>
      <w:del w:id="13121" w:author="AbbVie2" w:date="2025-05-14T10:22:00Z">
        <w:r>
          <w:rPr>
            <w:noProof/>
            <w:lang w:val="en-GB" w:eastAsia="en-GB"/>
          </w:rPr>
          <w:drawing>
            <wp:inline distT="0" distB="0" distL="0" distR="0" wp14:anchorId="0886091B" wp14:editId="19180BEE">
              <wp:extent cx="1858645" cy="1828800"/>
              <wp:effectExtent l="0" t="0" r="825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1858645" cy="1828800"/>
                      </a:xfrm>
                      <a:prstGeom prst="rect">
                        <a:avLst/>
                      </a:prstGeom>
                      <a:noFill/>
                      <a:ln>
                        <a:noFill/>
                      </a:ln>
                    </pic:spPr>
                  </pic:pic>
                </a:graphicData>
              </a:graphic>
            </wp:inline>
          </w:drawing>
        </w:r>
      </w:del>
    </w:p>
    <w:p w14:paraId="5A0DE3EF" w14:textId="5F40F751" w:rsidR="004462A0" w:rsidRPr="008912CF" w:rsidRDefault="004462A0" w:rsidP="004462A0">
      <w:pPr>
        <w:rPr>
          <w:del w:id="13122" w:author="AbbVie2" w:date="2025-05-14T10:22:00Z"/>
          <w:rStyle w:val="longtext"/>
          <w:sz w:val="22"/>
          <w:szCs w:val="22"/>
        </w:rPr>
      </w:pPr>
    </w:p>
    <w:p w14:paraId="61EE1DC4" w14:textId="5284479E" w:rsidR="004462A0" w:rsidRPr="008912CF" w:rsidRDefault="00615769" w:rsidP="004462A0">
      <w:pPr>
        <w:numPr>
          <w:ilvl w:val="0"/>
          <w:numId w:val="61"/>
        </w:numPr>
        <w:rPr>
          <w:del w:id="13123" w:author="AbbVie2" w:date="2025-05-14T10:22:00Z"/>
          <w:rStyle w:val="longtext"/>
          <w:sz w:val="22"/>
          <w:szCs w:val="22"/>
        </w:rPr>
      </w:pPr>
      <w:del w:id="13124" w:author="AbbVie2" w:date="2025-05-14T10:22:00Z">
        <w:r w:rsidRPr="008912CF">
          <w:rPr>
            <w:rStyle w:val="longtext"/>
            <w:sz w:val="22"/>
            <w:szCs w:val="22"/>
          </w:rPr>
          <w:delText xml:space="preserve">Se ainda observar, bolhas ou espaços de ar no medicamento líquido na seringa, pode repetir este processo mais 3 vezes. </w:delText>
        </w:r>
        <w:r w:rsidRPr="008912CF">
          <w:rPr>
            <w:rStyle w:val="longtext"/>
            <w:b/>
            <w:sz w:val="22"/>
            <w:szCs w:val="22"/>
          </w:rPr>
          <w:delText>NÃO</w:delText>
        </w:r>
        <w:r w:rsidRPr="008912CF">
          <w:rPr>
            <w:rStyle w:val="longtext"/>
            <w:sz w:val="22"/>
            <w:szCs w:val="22"/>
          </w:rPr>
          <w:delText xml:space="preserve"> agite a seringa.</w:delText>
        </w:r>
      </w:del>
    </w:p>
    <w:p w14:paraId="06F8CF29" w14:textId="37BC6C77" w:rsidR="004462A0" w:rsidRPr="008912CF" w:rsidRDefault="004462A0" w:rsidP="004462A0">
      <w:pPr>
        <w:rPr>
          <w:del w:id="13125" w:author="AbbVie2" w:date="2025-05-14T10:22:00Z"/>
          <w:rStyle w:val="longtext"/>
          <w:sz w:val="22"/>
          <w:szCs w:val="22"/>
        </w:rPr>
      </w:pPr>
    </w:p>
    <w:p w14:paraId="122FFB0A" w14:textId="33B725C3" w:rsidR="004462A0" w:rsidRPr="008912CF" w:rsidRDefault="00615769" w:rsidP="004462A0">
      <w:pPr>
        <w:rPr>
          <w:del w:id="13126" w:author="AbbVie2" w:date="2025-05-14T10:22:00Z"/>
          <w:rStyle w:val="longtext"/>
          <w:sz w:val="22"/>
          <w:szCs w:val="22"/>
        </w:rPr>
      </w:pPr>
      <w:del w:id="13127" w:author="AbbVie2" w:date="2025-05-14T10:22:00Z">
        <w:r w:rsidRPr="008912CF">
          <w:rPr>
            <w:rStyle w:val="longtext"/>
            <w:b/>
            <w:sz w:val="22"/>
            <w:szCs w:val="22"/>
          </w:rPr>
          <w:delText>NOTA</w:delText>
        </w:r>
        <w:r w:rsidRPr="008912CF">
          <w:rPr>
            <w:rStyle w:val="longtext"/>
            <w:sz w:val="22"/>
            <w:szCs w:val="22"/>
          </w:rPr>
          <w:delText>:</w:delText>
        </w:r>
      </w:del>
    </w:p>
    <w:p w14:paraId="55BE6960" w14:textId="143070CD" w:rsidR="004462A0" w:rsidRPr="008912CF" w:rsidRDefault="004462A0" w:rsidP="004462A0">
      <w:pPr>
        <w:rPr>
          <w:del w:id="13128" w:author="AbbVie2" w:date="2025-05-14T10:22:00Z"/>
          <w:rStyle w:val="longtext"/>
          <w:sz w:val="22"/>
          <w:szCs w:val="22"/>
        </w:rPr>
      </w:pPr>
    </w:p>
    <w:p w14:paraId="04DD714E" w14:textId="1893C8AC" w:rsidR="004462A0" w:rsidRPr="008912CF" w:rsidRDefault="00615769" w:rsidP="004462A0">
      <w:pPr>
        <w:rPr>
          <w:del w:id="13129" w:author="AbbVie2" w:date="2025-05-14T10:22:00Z"/>
          <w:rStyle w:val="longtext"/>
          <w:color w:val="000000"/>
          <w:sz w:val="22"/>
          <w:szCs w:val="22"/>
          <w:shd w:val="clear" w:color="auto" w:fill="FFFFFF"/>
        </w:rPr>
      </w:pPr>
      <w:del w:id="13130" w:author="AbbVie2" w:date="2025-05-14T10:22:00Z">
        <w:r w:rsidRPr="008912CF">
          <w:rPr>
            <w:rStyle w:val="longtext"/>
            <w:sz w:val="22"/>
            <w:szCs w:val="22"/>
          </w:rPr>
          <w:delText>Se o êmbolo branco for puxado completamente para fora da seringa, não utilize</w:delText>
        </w:r>
        <w:r w:rsidRPr="008912CF">
          <w:rPr>
            <w:rStyle w:val="longtext"/>
            <w:color w:val="000000"/>
            <w:sz w:val="22"/>
            <w:szCs w:val="22"/>
            <w:shd w:val="clear" w:color="auto" w:fill="FFFFFF"/>
          </w:rPr>
          <w:delText xml:space="preserve"> a seringa e contacte o fornecedor de Humira para uma substituição. </w:delText>
        </w:r>
        <w:r w:rsidRPr="008912CF">
          <w:rPr>
            <w:rStyle w:val="longtext"/>
            <w:b/>
            <w:color w:val="000000"/>
            <w:sz w:val="22"/>
            <w:szCs w:val="22"/>
            <w:shd w:val="clear" w:color="auto" w:fill="FFFFFF"/>
          </w:rPr>
          <w:delText>NÃO</w:delText>
        </w:r>
        <w:r w:rsidRPr="008912CF">
          <w:rPr>
            <w:rStyle w:val="longtext"/>
            <w:color w:val="000000"/>
            <w:sz w:val="22"/>
            <w:szCs w:val="22"/>
            <w:shd w:val="clear" w:color="auto" w:fill="FFFFFF"/>
          </w:rPr>
          <w:delText xml:space="preserve"> tente inserir novamente o êmbolo branco.</w:delText>
        </w:r>
      </w:del>
    </w:p>
    <w:p w14:paraId="3E506041" w14:textId="78861D50" w:rsidR="004462A0" w:rsidRPr="008912CF" w:rsidRDefault="004462A0" w:rsidP="004462A0">
      <w:pPr>
        <w:rPr>
          <w:del w:id="13131" w:author="AbbVie2" w:date="2025-05-14T10:22:00Z"/>
          <w:rStyle w:val="longtext"/>
          <w:color w:val="000000"/>
          <w:sz w:val="22"/>
          <w:szCs w:val="22"/>
          <w:shd w:val="clear" w:color="auto" w:fill="FFFFFF"/>
        </w:rPr>
      </w:pPr>
    </w:p>
    <w:p w14:paraId="2C8969D1" w14:textId="2C4BD9CF" w:rsidR="004462A0" w:rsidRPr="008912CF" w:rsidRDefault="00615769" w:rsidP="004462A0">
      <w:pPr>
        <w:numPr>
          <w:ilvl w:val="0"/>
          <w:numId w:val="61"/>
        </w:numPr>
        <w:rPr>
          <w:del w:id="13132" w:author="AbbVie2" w:date="2025-05-14T10:22:00Z"/>
          <w:sz w:val="22"/>
          <w:szCs w:val="22"/>
        </w:rPr>
      </w:pPr>
      <w:del w:id="13133" w:author="AbbVie2" w:date="2025-05-14T10:22:00Z">
        <w:r w:rsidRPr="008912CF">
          <w:rPr>
            <w:sz w:val="22"/>
            <w:szCs w:val="22"/>
          </w:rPr>
          <w:delText xml:space="preserve">Enquanto segura ainda a seringa na posição vertical pela zona graduada, com a outra mão retire o adaptador com o frasco para injetáveis, rodando-o. Certifique-se de que retirou o adaptador e o frasco para injetáveis da seringa. </w:delText>
        </w:r>
        <w:r w:rsidRPr="008912CF">
          <w:rPr>
            <w:b/>
            <w:sz w:val="22"/>
            <w:szCs w:val="22"/>
          </w:rPr>
          <w:delText>NÃO</w:delText>
        </w:r>
        <w:r w:rsidRPr="008912CF">
          <w:rPr>
            <w:sz w:val="22"/>
            <w:szCs w:val="22"/>
          </w:rPr>
          <w:delText xml:space="preserve"> toque na extremidade da seringa.</w:delText>
        </w:r>
      </w:del>
    </w:p>
    <w:p w14:paraId="2EAD465A" w14:textId="74EF9949" w:rsidR="004462A0" w:rsidRPr="008912CF" w:rsidRDefault="004462A0" w:rsidP="004462A0">
      <w:pPr>
        <w:rPr>
          <w:del w:id="13134" w:author="AbbVie2" w:date="2025-05-14T10:22:00Z"/>
          <w:sz w:val="22"/>
          <w:szCs w:val="22"/>
        </w:rPr>
      </w:pPr>
    </w:p>
    <w:p w14:paraId="4870B2DA" w14:textId="3D669D73" w:rsidR="004462A0" w:rsidRPr="008912CF" w:rsidRDefault="00615769" w:rsidP="004462A0">
      <w:pPr>
        <w:ind w:left="1701" w:firstLine="567"/>
        <w:rPr>
          <w:del w:id="13135" w:author="AbbVie2" w:date="2025-05-14T10:22:00Z"/>
          <w:sz w:val="22"/>
          <w:szCs w:val="22"/>
        </w:rPr>
      </w:pPr>
      <w:del w:id="13136" w:author="AbbVie2" w:date="2025-05-14T10:22:00Z">
        <w:r>
          <w:rPr>
            <w:noProof/>
            <w:lang w:val="en-GB" w:eastAsia="en-GB"/>
          </w:rPr>
          <w:drawing>
            <wp:inline distT="0" distB="0" distL="0" distR="0" wp14:anchorId="4A8E6900" wp14:editId="545F0009">
              <wp:extent cx="1858645" cy="1848485"/>
              <wp:effectExtent l="0" t="0" r="825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29"/>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1858645" cy="1848485"/>
                      </a:xfrm>
                      <a:prstGeom prst="rect">
                        <a:avLst/>
                      </a:prstGeom>
                      <a:noFill/>
                      <a:ln>
                        <a:noFill/>
                      </a:ln>
                    </pic:spPr>
                  </pic:pic>
                </a:graphicData>
              </a:graphic>
            </wp:inline>
          </w:drawing>
        </w:r>
      </w:del>
    </w:p>
    <w:p w14:paraId="268A2BF7" w14:textId="24B32596" w:rsidR="004462A0" w:rsidRPr="008912CF" w:rsidRDefault="004462A0" w:rsidP="004462A0">
      <w:pPr>
        <w:rPr>
          <w:del w:id="13137" w:author="AbbVie2" w:date="2025-05-14T10:22:00Z"/>
          <w:sz w:val="22"/>
          <w:szCs w:val="22"/>
        </w:rPr>
      </w:pPr>
    </w:p>
    <w:p w14:paraId="1DC5633F" w14:textId="50D1340B" w:rsidR="004462A0" w:rsidRPr="008912CF" w:rsidRDefault="00615769" w:rsidP="004462A0">
      <w:pPr>
        <w:numPr>
          <w:ilvl w:val="0"/>
          <w:numId w:val="61"/>
        </w:numPr>
        <w:rPr>
          <w:del w:id="13138" w:author="AbbVie2" w:date="2025-05-14T10:22:00Z"/>
          <w:sz w:val="22"/>
          <w:szCs w:val="22"/>
        </w:rPr>
      </w:pPr>
      <w:del w:id="13139" w:author="AbbVie2" w:date="2025-05-14T10:22:00Z">
        <w:r w:rsidRPr="008912CF">
          <w:rPr>
            <w:sz w:val="22"/>
            <w:szCs w:val="22"/>
          </w:rPr>
          <w:delText xml:space="preserve">Se observar bolhas ou espaços de ar grandes perto da extremidade da seringa, empurre o êmbolo branco </w:delText>
        </w:r>
        <w:r w:rsidRPr="008912CF">
          <w:rPr>
            <w:b/>
            <w:sz w:val="22"/>
            <w:szCs w:val="22"/>
          </w:rPr>
          <w:delText>LENTAMENTE</w:delText>
        </w:r>
        <w:r w:rsidRPr="008912CF">
          <w:rPr>
            <w:sz w:val="22"/>
            <w:szCs w:val="22"/>
          </w:rPr>
          <w:delText xml:space="preserve"> para dentro até que o líquido comece a entrar na extremidade da seringa. </w:delText>
        </w:r>
        <w:r w:rsidRPr="008912CF">
          <w:rPr>
            <w:b/>
            <w:sz w:val="22"/>
            <w:szCs w:val="22"/>
          </w:rPr>
          <w:delText>NÃO</w:delText>
        </w:r>
        <w:r w:rsidRPr="008912CF">
          <w:rPr>
            <w:sz w:val="22"/>
            <w:szCs w:val="22"/>
          </w:rPr>
          <w:delText xml:space="preserve"> empurre o êmbolo para além da posição da dose.</w:delText>
        </w:r>
      </w:del>
    </w:p>
    <w:p w14:paraId="387D2A6D" w14:textId="04C65B39" w:rsidR="004462A0" w:rsidRPr="008912CF" w:rsidRDefault="004462A0" w:rsidP="004462A0">
      <w:pPr>
        <w:rPr>
          <w:del w:id="13140" w:author="AbbVie2" w:date="2025-05-14T10:22:00Z"/>
          <w:sz w:val="22"/>
          <w:szCs w:val="22"/>
        </w:rPr>
      </w:pPr>
    </w:p>
    <w:p w14:paraId="34D15677" w14:textId="53F62AF9" w:rsidR="004462A0" w:rsidRPr="008912CF" w:rsidRDefault="00615769" w:rsidP="004462A0">
      <w:pPr>
        <w:numPr>
          <w:ilvl w:val="0"/>
          <w:numId w:val="61"/>
        </w:numPr>
        <w:rPr>
          <w:del w:id="13141" w:author="AbbVie2" w:date="2025-05-14T10:22:00Z"/>
          <w:sz w:val="22"/>
          <w:szCs w:val="22"/>
        </w:rPr>
      </w:pPr>
      <w:del w:id="13142" w:author="AbbVie2" w:date="2025-05-14T10:22:00Z">
        <w:r w:rsidRPr="008912CF">
          <w:rPr>
            <w:sz w:val="22"/>
            <w:szCs w:val="22"/>
          </w:rPr>
          <w:delText xml:space="preserve">Por exemplo, se a dose prescrita for 0,5 ml, </w:delText>
        </w:r>
        <w:r w:rsidRPr="008912CF">
          <w:rPr>
            <w:b/>
            <w:sz w:val="22"/>
            <w:szCs w:val="22"/>
          </w:rPr>
          <w:delText>NÃO</w:delText>
        </w:r>
        <w:r w:rsidRPr="008912CF">
          <w:rPr>
            <w:sz w:val="22"/>
            <w:szCs w:val="22"/>
          </w:rPr>
          <w:delText xml:space="preserve"> empurre o êmbolo branco para além de 0,5 ml.</w:delText>
        </w:r>
      </w:del>
    </w:p>
    <w:p w14:paraId="5DEED5EA" w14:textId="25DB7BE2" w:rsidR="004462A0" w:rsidRPr="008912CF" w:rsidRDefault="004462A0" w:rsidP="004462A0">
      <w:pPr>
        <w:rPr>
          <w:del w:id="13143" w:author="AbbVie2" w:date="2025-05-14T10:22:00Z"/>
          <w:sz w:val="22"/>
          <w:szCs w:val="22"/>
        </w:rPr>
      </w:pPr>
    </w:p>
    <w:p w14:paraId="2E91652D" w14:textId="033C2972" w:rsidR="004462A0" w:rsidRPr="008912CF" w:rsidRDefault="00615769" w:rsidP="004462A0">
      <w:pPr>
        <w:numPr>
          <w:ilvl w:val="0"/>
          <w:numId w:val="61"/>
        </w:numPr>
        <w:rPr>
          <w:del w:id="13144" w:author="AbbVie2" w:date="2025-05-14T10:22:00Z"/>
          <w:sz w:val="22"/>
          <w:szCs w:val="22"/>
        </w:rPr>
      </w:pPr>
      <w:del w:id="13145" w:author="AbbVie2" w:date="2025-05-14T10:22:00Z">
        <w:r w:rsidRPr="008912CF">
          <w:rPr>
            <w:sz w:val="22"/>
            <w:szCs w:val="22"/>
          </w:rPr>
          <w:delText xml:space="preserve">Verifique se o líquido na seringa corresponde pelo menos ao volume da dose prescrita. Se o volume for inferior à dose prescrita, </w:delText>
        </w:r>
        <w:r w:rsidRPr="008912CF">
          <w:rPr>
            <w:b/>
            <w:sz w:val="22"/>
            <w:szCs w:val="22"/>
          </w:rPr>
          <w:delText>NÃO</w:delText>
        </w:r>
        <w:r w:rsidRPr="008912CF">
          <w:rPr>
            <w:sz w:val="22"/>
            <w:szCs w:val="22"/>
          </w:rPr>
          <w:delText xml:space="preserve"> utilize a seringa e contacte o seu fornecedor.</w:delText>
        </w:r>
      </w:del>
    </w:p>
    <w:p w14:paraId="1AE329CB" w14:textId="360EADAB" w:rsidR="004462A0" w:rsidRPr="008912CF" w:rsidRDefault="004462A0" w:rsidP="004462A0">
      <w:pPr>
        <w:rPr>
          <w:del w:id="13146" w:author="AbbVie2" w:date="2025-05-14T10:22:00Z"/>
          <w:sz w:val="22"/>
          <w:szCs w:val="22"/>
        </w:rPr>
      </w:pPr>
    </w:p>
    <w:p w14:paraId="17C71E4D" w14:textId="05BE5068" w:rsidR="004462A0" w:rsidRPr="008912CF" w:rsidRDefault="00615769" w:rsidP="004462A0">
      <w:pPr>
        <w:numPr>
          <w:ilvl w:val="0"/>
          <w:numId w:val="61"/>
        </w:numPr>
        <w:rPr>
          <w:del w:id="13147" w:author="AbbVie2" w:date="2025-05-14T10:22:00Z"/>
          <w:sz w:val="22"/>
          <w:szCs w:val="22"/>
        </w:rPr>
      </w:pPr>
      <w:del w:id="13148" w:author="AbbVie2" w:date="2025-05-14T10:22:00Z">
        <w:r w:rsidRPr="008912CF">
          <w:rPr>
            <w:sz w:val="22"/>
            <w:szCs w:val="22"/>
          </w:rPr>
          <w:delText>Com a mão livre, pegue no invólucro da agulha com o conector amarelo da seringa voltado para baixo.</w:delText>
        </w:r>
      </w:del>
    </w:p>
    <w:p w14:paraId="4CE2235F" w14:textId="711F465F" w:rsidR="004462A0" w:rsidRPr="008912CF" w:rsidRDefault="004462A0" w:rsidP="004462A0">
      <w:pPr>
        <w:rPr>
          <w:del w:id="13149" w:author="AbbVie2" w:date="2025-05-14T10:22:00Z"/>
          <w:sz w:val="22"/>
          <w:szCs w:val="22"/>
        </w:rPr>
      </w:pPr>
    </w:p>
    <w:p w14:paraId="1A73E495" w14:textId="73D25688" w:rsidR="004462A0" w:rsidRPr="008912CF" w:rsidRDefault="00615769" w:rsidP="004462A0">
      <w:pPr>
        <w:numPr>
          <w:ilvl w:val="0"/>
          <w:numId w:val="61"/>
        </w:numPr>
        <w:rPr>
          <w:del w:id="13150" w:author="AbbVie2" w:date="2025-05-14T10:22:00Z"/>
          <w:sz w:val="22"/>
          <w:szCs w:val="22"/>
        </w:rPr>
      </w:pPr>
      <w:del w:id="13151" w:author="AbbVie2" w:date="2025-05-14T10:22:00Z">
        <w:r w:rsidRPr="008912CF">
          <w:rPr>
            <w:sz w:val="22"/>
            <w:szCs w:val="22"/>
          </w:rPr>
          <w:delText>Mantendo a seringa para cima, insira a extremidade da seringa no conector amarelo da seringa e rode-a como indicado pela seta na imagem, até fixar. A agulha está agora fixa na seringa.</w:delText>
        </w:r>
      </w:del>
    </w:p>
    <w:p w14:paraId="6B14DF46" w14:textId="674E8E5F" w:rsidR="004462A0" w:rsidRPr="008912CF" w:rsidRDefault="004462A0" w:rsidP="004462A0">
      <w:pPr>
        <w:rPr>
          <w:del w:id="13152" w:author="AbbVie2" w:date="2025-05-14T10:22:00Z"/>
          <w:sz w:val="22"/>
          <w:szCs w:val="22"/>
        </w:rPr>
      </w:pPr>
    </w:p>
    <w:p w14:paraId="1AC674A5" w14:textId="13FCFDDD" w:rsidR="004462A0" w:rsidRPr="008912CF" w:rsidRDefault="00615769" w:rsidP="004462A0">
      <w:pPr>
        <w:ind w:left="1701" w:firstLine="567"/>
        <w:rPr>
          <w:del w:id="13153" w:author="AbbVie2" w:date="2025-05-14T10:22:00Z"/>
          <w:sz w:val="22"/>
          <w:szCs w:val="22"/>
        </w:rPr>
      </w:pPr>
      <w:del w:id="13154" w:author="AbbVie2" w:date="2025-05-14T10:22:00Z">
        <w:r>
          <w:rPr>
            <w:noProof/>
            <w:lang w:val="en-GB" w:eastAsia="en-GB"/>
          </w:rPr>
          <w:drawing>
            <wp:inline distT="0" distB="0" distL="0" distR="0" wp14:anchorId="5B914DB5" wp14:editId="705EFCEE">
              <wp:extent cx="1858645" cy="1828800"/>
              <wp:effectExtent l="0" t="0" r="825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0"/>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1858645" cy="1828800"/>
                      </a:xfrm>
                      <a:prstGeom prst="rect">
                        <a:avLst/>
                      </a:prstGeom>
                      <a:noFill/>
                      <a:ln>
                        <a:noFill/>
                      </a:ln>
                    </pic:spPr>
                  </pic:pic>
                </a:graphicData>
              </a:graphic>
            </wp:inline>
          </w:drawing>
        </w:r>
      </w:del>
    </w:p>
    <w:p w14:paraId="4A75AD4A" w14:textId="6BA3CD0B" w:rsidR="004462A0" w:rsidRPr="008912CF" w:rsidRDefault="004462A0" w:rsidP="004462A0">
      <w:pPr>
        <w:rPr>
          <w:del w:id="13155" w:author="AbbVie2" w:date="2025-05-14T10:22:00Z"/>
          <w:sz w:val="22"/>
          <w:szCs w:val="22"/>
        </w:rPr>
      </w:pPr>
    </w:p>
    <w:p w14:paraId="1F85D770" w14:textId="10DE56DE" w:rsidR="004462A0" w:rsidRPr="008912CF" w:rsidRDefault="00615769" w:rsidP="004462A0">
      <w:pPr>
        <w:numPr>
          <w:ilvl w:val="0"/>
          <w:numId w:val="61"/>
        </w:numPr>
        <w:rPr>
          <w:del w:id="13156" w:author="AbbVie2" w:date="2025-05-14T10:22:00Z"/>
          <w:sz w:val="22"/>
          <w:szCs w:val="22"/>
        </w:rPr>
      </w:pPr>
      <w:del w:id="13157" w:author="AbbVie2" w:date="2025-05-14T10:22:00Z">
        <w:r w:rsidRPr="008912CF">
          <w:rPr>
            <w:sz w:val="22"/>
            <w:szCs w:val="22"/>
          </w:rPr>
          <w:delText xml:space="preserve">Retire a agulha do invólucro, mas </w:delText>
        </w:r>
        <w:r w:rsidRPr="008912CF">
          <w:rPr>
            <w:b/>
            <w:sz w:val="22"/>
            <w:szCs w:val="22"/>
          </w:rPr>
          <w:delText>NÃO</w:delText>
        </w:r>
        <w:r w:rsidRPr="008912CF">
          <w:rPr>
            <w:sz w:val="22"/>
            <w:szCs w:val="22"/>
          </w:rPr>
          <w:delText xml:space="preserve"> remova a tampa transparente da agulha.</w:delText>
        </w:r>
      </w:del>
    </w:p>
    <w:p w14:paraId="6CA69836" w14:textId="3CB734DA" w:rsidR="004462A0" w:rsidRPr="008912CF" w:rsidRDefault="004462A0" w:rsidP="004462A0">
      <w:pPr>
        <w:rPr>
          <w:del w:id="13158" w:author="AbbVie2" w:date="2025-05-14T10:22:00Z"/>
          <w:sz w:val="22"/>
          <w:szCs w:val="22"/>
        </w:rPr>
      </w:pPr>
    </w:p>
    <w:p w14:paraId="4E2A361E" w14:textId="73D6A3DB" w:rsidR="004462A0" w:rsidRPr="008912CF" w:rsidRDefault="00615769" w:rsidP="004462A0">
      <w:pPr>
        <w:numPr>
          <w:ilvl w:val="0"/>
          <w:numId w:val="61"/>
        </w:numPr>
        <w:rPr>
          <w:del w:id="13159" w:author="AbbVie2" w:date="2025-05-14T10:22:00Z"/>
          <w:sz w:val="22"/>
          <w:szCs w:val="22"/>
        </w:rPr>
      </w:pPr>
      <w:del w:id="13160" w:author="AbbVie2" w:date="2025-05-14T10:22:00Z">
        <w:r w:rsidRPr="008912CF">
          <w:rPr>
            <w:sz w:val="22"/>
            <w:szCs w:val="22"/>
          </w:rPr>
          <w:delText>Coloque a seringa na superfície de trabalho limpa. Continue com o local de injeção e preparação da dose imediatamente.</w:delText>
        </w:r>
      </w:del>
    </w:p>
    <w:p w14:paraId="446B0952" w14:textId="0C58F6C8" w:rsidR="004462A0" w:rsidRPr="008912CF" w:rsidRDefault="004462A0" w:rsidP="004462A0">
      <w:pPr>
        <w:rPr>
          <w:del w:id="13161" w:author="AbbVie2" w:date="2025-05-14T10:22:00Z"/>
          <w:sz w:val="22"/>
          <w:szCs w:val="22"/>
        </w:rPr>
      </w:pPr>
    </w:p>
    <w:p w14:paraId="59516242" w14:textId="39B0FF17" w:rsidR="004462A0" w:rsidRPr="008912CF" w:rsidRDefault="00615769" w:rsidP="004462A0">
      <w:pPr>
        <w:rPr>
          <w:del w:id="13162" w:author="AbbVie2" w:date="2025-05-14T10:22:00Z"/>
          <w:b/>
          <w:sz w:val="22"/>
          <w:szCs w:val="22"/>
        </w:rPr>
      </w:pPr>
      <w:del w:id="13163" w:author="AbbVie2" w:date="2025-05-14T10:22:00Z">
        <w:r w:rsidRPr="008912CF">
          <w:rPr>
            <w:b/>
            <w:sz w:val="22"/>
            <w:szCs w:val="22"/>
          </w:rPr>
          <w:delText xml:space="preserve">3) </w:delText>
        </w:r>
        <w:r w:rsidRPr="008912CF">
          <w:rPr>
            <w:b/>
            <w:sz w:val="22"/>
            <w:szCs w:val="22"/>
          </w:rPr>
          <w:tab/>
          <w:delText>Escolha e prepare o local de injeção</w:delText>
        </w:r>
      </w:del>
    </w:p>
    <w:p w14:paraId="22336528" w14:textId="5636F8A2" w:rsidR="004462A0" w:rsidRPr="008912CF" w:rsidRDefault="004462A0" w:rsidP="004462A0">
      <w:pPr>
        <w:rPr>
          <w:del w:id="13164" w:author="AbbVie2" w:date="2025-05-14T10:22:00Z"/>
          <w:sz w:val="22"/>
          <w:szCs w:val="22"/>
        </w:rPr>
      </w:pPr>
    </w:p>
    <w:p w14:paraId="28BC6794" w14:textId="0FD4B504" w:rsidR="004462A0" w:rsidRPr="008912CF" w:rsidRDefault="00615769" w:rsidP="004462A0">
      <w:pPr>
        <w:numPr>
          <w:ilvl w:val="1"/>
          <w:numId w:val="26"/>
        </w:numPr>
        <w:rPr>
          <w:del w:id="13165" w:author="AbbVie2" w:date="2025-05-14T10:22:00Z"/>
          <w:sz w:val="22"/>
          <w:szCs w:val="22"/>
        </w:rPr>
      </w:pPr>
      <w:del w:id="13166" w:author="AbbVie2" w:date="2025-05-14T10:22:00Z">
        <w:r w:rsidRPr="008912CF">
          <w:rPr>
            <w:sz w:val="22"/>
            <w:szCs w:val="22"/>
          </w:rPr>
          <w:delText xml:space="preserve">Escolha um local na coxa ou região abdominal. </w:delText>
        </w:r>
        <w:r w:rsidR="00412500" w:rsidRPr="00F03C54">
          <w:rPr>
            <w:b/>
            <w:sz w:val="22"/>
            <w:szCs w:val="22"/>
          </w:rPr>
          <w:delText>NÃO</w:delText>
        </w:r>
        <w:r w:rsidRPr="008912CF">
          <w:rPr>
            <w:sz w:val="22"/>
            <w:szCs w:val="22"/>
          </w:rPr>
          <w:delText xml:space="preserve"> use o mesmo local utilizado na última injeção.</w:delText>
        </w:r>
      </w:del>
    </w:p>
    <w:p w14:paraId="5EDE6D82" w14:textId="6E310C81" w:rsidR="004462A0" w:rsidRPr="008912CF" w:rsidRDefault="004462A0" w:rsidP="004462A0">
      <w:pPr>
        <w:pStyle w:val="EndnoteText"/>
        <w:tabs>
          <w:tab w:val="clear" w:pos="567"/>
        </w:tabs>
        <w:ind w:left="1701" w:firstLine="567"/>
        <w:rPr>
          <w:del w:id="13167" w:author="AbbVie2" w:date="2025-05-14T10:22:00Z"/>
          <w:szCs w:val="22"/>
        </w:rPr>
      </w:pPr>
    </w:p>
    <w:p w14:paraId="161BFEC7" w14:textId="34875D45" w:rsidR="004462A0" w:rsidRPr="008912CF" w:rsidRDefault="00615769" w:rsidP="004462A0">
      <w:pPr>
        <w:numPr>
          <w:ilvl w:val="1"/>
          <w:numId w:val="26"/>
        </w:numPr>
        <w:rPr>
          <w:del w:id="13168" w:author="AbbVie2" w:date="2025-05-14T10:22:00Z"/>
          <w:sz w:val="22"/>
          <w:szCs w:val="22"/>
        </w:rPr>
      </w:pPr>
      <w:del w:id="13169" w:author="AbbVie2" w:date="2025-05-14T10:22:00Z">
        <w:r w:rsidRPr="008912CF">
          <w:rPr>
            <w:sz w:val="22"/>
            <w:szCs w:val="22"/>
          </w:rPr>
          <w:delText>O novo local de injeção deve ter pelo menos 3 cm de distância do local da última injeção.</w:delText>
        </w:r>
      </w:del>
    </w:p>
    <w:p w14:paraId="4B09D702" w14:textId="4811DE08" w:rsidR="004462A0" w:rsidRPr="008912CF" w:rsidRDefault="004462A0" w:rsidP="004462A0">
      <w:pPr>
        <w:rPr>
          <w:del w:id="13170" w:author="AbbVie2" w:date="2025-05-14T10:22:00Z"/>
          <w:sz w:val="22"/>
          <w:szCs w:val="22"/>
        </w:rPr>
      </w:pPr>
    </w:p>
    <w:p w14:paraId="538A42D7" w14:textId="1D94708B" w:rsidR="004462A0" w:rsidRPr="008912CF" w:rsidRDefault="00615769" w:rsidP="004462A0">
      <w:pPr>
        <w:jc w:val="center"/>
        <w:rPr>
          <w:del w:id="13171" w:author="AbbVie2" w:date="2025-05-14T10:22:00Z"/>
          <w:sz w:val="22"/>
          <w:szCs w:val="22"/>
        </w:rPr>
      </w:pPr>
      <w:del w:id="13172" w:author="AbbVie2" w:date="2025-05-14T10:22:00Z">
        <w:r>
          <w:rPr>
            <w:noProof/>
            <w:lang w:val="en-GB" w:eastAsia="en-GB"/>
          </w:rPr>
          <w:drawing>
            <wp:inline distT="0" distB="0" distL="0" distR="0" wp14:anchorId="071A310C" wp14:editId="12D85322">
              <wp:extent cx="1818640" cy="181864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1"/>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1818640" cy="1818640"/>
                      </a:xfrm>
                      <a:prstGeom prst="rect">
                        <a:avLst/>
                      </a:prstGeom>
                      <a:noFill/>
                      <a:ln>
                        <a:noFill/>
                      </a:ln>
                    </pic:spPr>
                  </pic:pic>
                </a:graphicData>
              </a:graphic>
            </wp:inline>
          </w:drawing>
        </w:r>
      </w:del>
    </w:p>
    <w:p w14:paraId="7A330725" w14:textId="62AE3C9E" w:rsidR="004462A0" w:rsidRPr="008912CF" w:rsidRDefault="004462A0" w:rsidP="004462A0">
      <w:pPr>
        <w:rPr>
          <w:del w:id="13173" w:author="AbbVie2" w:date="2025-05-14T10:22:00Z"/>
          <w:sz w:val="22"/>
          <w:szCs w:val="22"/>
        </w:rPr>
      </w:pPr>
    </w:p>
    <w:p w14:paraId="12A61CDE" w14:textId="7A054808" w:rsidR="004462A0" w:rsidRPr="008912CF" w:rsidRDefault="00615769" w:rsidP="004462A0">
      <w:pPr>
        <w:numPr>
          <w:ilvl w:val="1"/>
          <w:numId w:val="26"/>
        </w:numPr>
        <w:rPr>
          <w:del w:id="13174" w:author="AbbVie2" w:date="2025-05-14T10:22:00Z"/>
          <w:sz w:val="22"/>
          <w:szCs w:val="22"/>
        </w:rPr>
      </w:pPr>
      <w:del w:id="13175" w:author="AbbVie2" w:date="2025-05-14T10:22:00Z">
        <w:r w:rsidRPr="008912CF">
          <w:rPr>
            <w:b/>
            <w:sz w:val="22"/>
            <w:szCs w:val="22"/>
          </w:rPr>
          <w:delText>NÃO</w:delText>
        </w:r>
        <w:r w:rsidRPr="008912CF">
          <w:rPr>
            <w:sz w:val="22"/>
            <w:szCs w:val="22"/>
          </w:rPr>
          <w:delText xml:space="preserve"> injete numa área em que a pele esteja avermelhada, ferida ou endurecida. Isto pode significar que existe uma infeção e portanto deve contactar o seu médico. </w:delText>
        </w:r>
      </w:del>
    </w:p>
    <w:p w14:paraId="09AE1F08" w14:textId="37A958DD" w:rsidR="004462A0" w:rsidRPr="008912CF" w:rsidRDefault="004462A0" w:rsidP="004462A0">
      <w:pPr>
        <w:rPr>
          <w:del w:id="13176" w:author="AbbVie2" w:date="2025-05-14T10:22:00Z"/>
          <w:sz w:val="22"/>
          <w:szCs w:val="22"/>
        </w:rPr>
      </w:pPr>
    </w:p>
    <w:p w14:paraId="77E93A17" w14:textId="033307B2" w:rsidR="004462A0" w:rsidRPr="008912CF" w:rsidRDefault="00615769" w:rsidP="004462A0">
      <w:pPr>
        <w:numPr>
          <w:ilvl w:val="1"/>
          <w:numId w:val="26"/>
        </w:numPr>
        <w:rPr>
          <w:del w:id="13177" w:author="AbbVie2" w:date="2025-05-14T10:22:00Z"/>
          <w:sz w:val="22"/>
          <w:szCs w:val="22"/>
        </w:rPr>
      </w:pPr>
      <w:del w:id="13178" w:author="AbbVie2" w:date="2025-05-14T10:22:00Z">
        <w:r w:rsidRPr="008912CF">
          <w:rPr>
            <w:sz w:val="22"/>
            <w:szCs w:val="22"/>
          </w:rPr>
          <w:delText xml:space="preserve">Para diminuir a possibilidade de infeção, limpe o local da injeção com a outra compressa embebida em álcool. </w:delText>
        </w:r>
        <w:r w:rsidRPr="008912CF">
          <w:rPr>
            <w:b/>
            <w:sz w:val="22"/>
            <w:szCs w:val="22"/>
          </w:rPr>
          <w:delText>NÃO</w:delText>
        </w:r>
        <w:r w:rsidRPr="008912CF">
          <w:rPr>
            <w:sz w:val="22"/>
            <w:szCs w:val="22"/>
          </w:rPr>
          <w:delText xml:space="preserve"> volte a tocar nessa área antes da injeção.</w:delText>
        </w:r>
      </w:del>
    </w:p>
    <w:p w14:paraId="4966696F" w14:textId="57BADE1A" w:rsidR="004462A0" w:rsidRPr="008912CF" w:rsidRDefault="004462A0" w:rsidP="004462A0">
      <w:pPr>
        <w:rPr>
          <w:del w:id="13179" w:author="AbbVie2" w:date="2025-05-14T10:22:00Z"/>
          <w:sz w:val="22"/>
          <w:szCs w:val="22"/>
        </w:rPr>
      </w:pPr>
    </w:p>
    <w:p w14:paraId="78E7A282" w14:textId="58C7E851" w:rsidR="004462A0" w:rsidRPr="008912CF" w:rsidRDefault="00615769" w:rsidP="004462A0">
      <w:pPr>
        <w:ind w:left="567" w:hanging="567"/>
        <w:rPr>
          <w:del w:id="13180" w:author="AbbVie2" w:date="2025-05-14T10:22:00Z"/>
          <w:b/>
          <w:sz w:val="22"/>
          <w:szCs w:val="22"/>
        </w:rPr>
      </w:pPr>
      <w:del w:id="13181" w:author="AbbVie2" w:date="2025-05-14T10:22:00Z">
        <w:r w:rsidRPr="008912CF">
          <w:rPr>
            <w:b/>
            <w:sz w:val="22"/>
            <w:szCs w:val="22"/>
          </w:rPr>
          <w:delText>4)</w:delText>
        </w:r>
        <w:r w:rsidRPr="008912CF">
          <w:rPr>
            <w:b/>
            <w:sz w:val="22"/>
            <w:szCs w:val="22"/>
          </w:rPr>
          <w:tab/>
          <w:delText>Preparação da dose</w:delText>
        </w:r>
        <w:r w:rsidRPr="008912CF">
          <w:rPr>
            <w:b/>
            <w:bCs/>
            <w:sz w:val="22"/>
            <w:szCs w:val="22"/>
          </w:rPr>
          <w:delText xml:space="preserve"> </w:delText>
        </w:r>
      </w:del>
    </w:p>
    <w:p w14:paraId="69525799" w14:textId="08285D52" w:rsidR="004462A0" w:rsidRPr="008912CF" w:rsidRDefault="004462A0" w:rsidP="004462A0">
      <w:pPr>
        <w:rPr>
          <w:del w:id="13182" w:author="AbbVie2" w:date="2025-05-14T10:22:00Z"/>
          <w:b/>
          <w:sz w:val="22"/>
          <w:szCs w:val="22"/>
        </w:rPr>
      </w:pPr>
    </w:p>
    <w:p w14:paraId="16F78AE3" w14:textId="409CEA2B" w:rsidR="004462A0" w:rsidRPr="008912CF" w:rsidRDefault="00615769" w:rsidP="004462A0">
      <w:pPr>
        <w:numPr>
          <w:ilvl w:val="0"/>
          <w:numId w:val="60"/>
        </w:numPr>
        <w:rPr>
          <w:del w:id="13183" w:author="AbbVie2" w:date="2025-05-14T10:22:00Z"/>
          <w:bCs/>
          <w:sz w:val="22"/>
          <w:szCs w:val="22"/>
        </w:rPr>
      </w:pPr>
      <w:del w:id="13184" w:author="AbbVie2" w:date="2025-05-14T10:22:00Z">
        <w:r w:rsidRPr="008912CF">
          <w:rPr>
            <w:bCs/>
            <w:sz w:val="22"/>
            <w:szCs w:val="22"/>
          </w:rPr>
          <w:delText>Segure a seringa com a agulha virada para cima.</w:delText>
        </w:r>
      </w:del>
    </w:p>
    <w:p w14:paraId="3197D512" w14:textId="774144A8" w:rsidR="004462A0" w:rsidRPr="008912CF" w:rsidRDefault="00615769" w:rsidP="004462A0">
      <w:pPr>
        <w:numPr>
          <w:ilvl w:val="0"/>
          <w:numId w:val="60"/>
        </w:numPr>
        <w:rPr>
          <w:del w:id="13185" w:author="AbbVie2" w:date="2025-05-14T10:22:00Z"/>
          <w:bCs/>
          <w:sz w:val="22"/>
          <w:szCs w:val="22"/>
        </w:rPr>
      </w:pPr>
      <w:del w:id="13186" w:author="AbbVie2" w:date="2025-05-14T10:22:00Z">
        <w:r w:rsidRPr="008912CF">
          <w:rPr>
            <w:bCs/>
            <w:sz w:val="22"/>
            <w:szCs w:val="22"/>
          </w:rPr>
          <w:delText>Use a outra mão para mover a proteção cor-de-rosa da agulha ao longo da seringa.</w:delText>
        </w:r>
      </w:del>
    </w:p>
    <w:p w14:paraId="28D5ECA1" w14:textId="1DF3E9ED" w:rsidR="004462A0" w:rsidRPr="008912CF" w:rsidRDefault="004462A0" w:rsidP="004462A0">
      <w:pPr>
        <w:rPr>
          <w:del w:id="13187" w:author="AbbVie2" w:date="2025-05-14T10:22:00Z"/>
          <w:bCs/>
          <w:sz w:val="22"/>
          <w:szCs w:val="22"/>
        </w:rPr>
      </w:pPr>
    </w:p>
    <w:p w14:paraId="31E3B534" w14:textId="219E1BEE" w:rsidR="004462A0" w:rsidRPr="008912CF" w:rsidRDefault="00615769" w:rsidP="004462A0">
      <w:pPr>
        <w:ind w:left="1701" w:firstLine="567"/>
        <w:rPr>
          <w:del w:id="13188" w:author="AbbVie2" w:date="2025-05-14T10:22:00Z"/>
          <w:sz w:val="22"/>
          <w:szCs w:val="22"/>
        </w:rPr>
      </w:pPr>
      <w:del w:id="13189" w:author="AbbVie2" w:date="2025-05-14T10:22:00Z">
        <w:r>
          <w:rPr>
            <w:noProof/>
            <w:lang w:val="en-GB" w:eastAsia="en-GB"/>
          </w:rPr>
          <w:drawing>
            <wp:inline distT="0" distB="0" distL="0" distR="0" wp14:anchorId="0FF9F48E" wp14:editId="03279DB8">
              <wp:extent cx="1858645" cy="1848485"/>
              <wp:effectExtent l="0" t="0" r="825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2"/>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1858645" cy="1848485"/>
                      </a:xfrm>
                      <a:prstGeom prst="rect">
                        <a:avLst/>
                      </a:prstGeom>
                      <a:noFill/>
                      <a:ln>
                        <a:noFill/>
                      </a:ln>
                    </pic:spPr>
                  </pic:pic>
                </a:graphicData>
              </a:graphic>
            </wp:inline>
          </w:drawing>
        </w:r>
      </w:del>
    </w:p>
    <w:p w14:paraId="07AB6822" w14:textId="49A24690" w:rsidR="004462A0" w:rsidRPr="008912CF" w:rsidRDefault="004462A0" w:rsidP="004462A0">
      <w:pPr>
        <w:ind w:left="1701" w:firstLine="567"/>
        <w:rPr>
          <w:del w:id="13190" w:author="AbbVie2" w:date="2025-05-14T10:22:00Z"/>
          <w:bCs/>
          <w:sz w:val="22"/>
          <w:szCs w:val="22"/>
        </w:rPr>
      </w:pPr>
    </w:p>
    <w:p w14:paraId="55C68477" w14:textId="6A787BEA" w:rsidR="004462A0" w:rsidRPr="008912CF" w:rsidRDefault="00615769" w:rsidP="004462A0">
      <w:pPr>
        <w:numPr>
          <w:ilvl w:val="0"/>
          <w:numId w:val="60"/>
        </w:numPr>
        <w:rPr>
          <w:del w:id="13191" w:author="AbbVie2" w:date="2025-05-14T10:22:00Z"/>
          <w:bCs/>
          <w:sz w:val="22"/>
          <w:szCs w:val="22"/>
        </w:rPr>
      </w:pPr>
      <w:del w:id="13192" w:author="AbbVie2" w:date="2025-05-14T10:22:00Z">
        <w:r w:rsidRPr="008912CF">
          <w:rPr>
            <w:bCs/>
            <w:sz w:val="22"/>
            <w:szCs w:val="22"/>
          </w:rPr>
          <w:delText>Com a outra mão retire a tampa transparente da agulha puxando-a para cima.</w:delText>
        </w:r>
      </w:del>
    </w:p>
    <w:p w14:paraId="3BD4B833" w14:textId="2B36C1B6" w:rsidR="004462A0" w:rsidRPr="008912CF" w:rsidRDefault="004462A0" w:rsidP="004462A0">
      <w:pPr>
        <w:rPr>
          <w:del w:id="13193" w:author="AbbVie2" w:date="2025-05-14T10:22:00Z"/>
          <w:bCs/>
          <w:sz w:val="22"/>
          <w:szCs w:val="22"/>
        </w:rPr>
      </w:pPr>
    </w:p>
    <w:p w14:paraId="6AAB56BD" w14:textId="655100CF" w:rsidR="004462A0" w:rsidRPr="008912CF" w:rsidRDefault="00615769" w:rsidP="004462A0">
      <w:pPr>
        <w:ind w:left="1701" w:firstLine="567"/>
        <w:rPr>
          <w:del w:id="13194" w:author="AbbVie2" w:date="2025-05-14T10:22:00Z"/>
          <w:bCs/>
          <w:sz w:val="22"/>
          <w:szCs w:val="22"/>
        </w:rPr>
      </w:pPr>
      <w:del w:id="13195" w:author="AbbVie2" w:date="2025-05-14T10:22:00Z">
        <w:r>
          <w:rPr>
            <w:noProof/>
            <w:lang w:val="en-GB" w:eastAsia="en-GB"/>
          </w:rPr>
          <w:drawing>
            <wp:inline distT="0" distB="0" distL="0" distR="0" wp14:anchorId="21DA3CD0" wp14:editId="4C5BCE68">
              <wp:extent cx="1818640" cy="18288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3"/>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1818640" cy="1828800"/>
                      </a:xfrm>
                      <a:prstGeom prst="rect">
                        <a:avLst/>
                      </a:prstGeom>
                      <a:noFill/>
                      <a:ln>
                        <a:noFill/>
                      </a:ln>
                    </pic:spPr>
                  </pic:pic>
                </a:graphicData>
              </a:graphic>
            </wp:inline>
          </w:drawing>
        </w:r>
      </w:del>
    </w:p>
    <w:p w14:paraId="4A2B852C" w14:textId="6F98F5AA" w:rsidR="004462A0" w:rsidRPr="008912CF" w:rsidRDefault="004462A0" w:rsidP="004462A0">
      <w:pPr>
        <w:ind w:left="567"/>
        <w:rPr>
          <w:del w:id="13196" w:author="AbbVie2" w:date="2025-05-14T10:22:00Z"/>
          <w:bCs/>
          <w:sz w:val="22"/>
          <w:szCs w:val="22"/>
        </w:rPr>
      </w:pPr>
    </w:p>
    <w:p w14:paraId="02A0D423" w14:textId="030CF8B6" w:rsidR="004462A0" w:rsidRPr="008912CF" w:rsidRDefault="00615769" w:rsidP="004462A0">
      <w:pPr>
        <w:numPr>
          <w:ilvl w:val="0"/>
          <w:numId w:val="60"/>
        </w:numPr>
        <w:rPr>
          <w:del w:id="13197" w:author="AbbVie2" w:date="2025-05-14T10:22:00Z"/>
          <w:bCs/>
          <w:sz w:val="22"/>
          <w:szCs w:val="22"/>
        </w:rPr>
      </w:pPr>
      <w:del w:id="13198" w:author="AbbVie2" w:date="2025-05-14T10:22:00Z">
        <w:r w:rsidRPr="008912CF">
          <w:rPr>
            <w:bCs/>
            <w:sz w:val="22"/>
            <w:szCs w:val="22"/>
          </w:rPr>
          <w:delText>A agulha está limpa e a descoberto.</w:delText>
        </w:r>
      </w:del>
    </w:p>
    <w:p w14:paraId="6EF6EC73" w14:textId="7D1CCE02" w:rsidR="004462A0" w:rsidRPr="008912CF" w:rsidRDefault="00615769" w:rsidP="004462A0">
      <w:pPr>
        <w:numPr>
          <w:ilvl w:val="0"/>
          <w:numId w:val="60"/>
        </w:numPr>
        <w:rPr>
          <w:del w:id="13199" w:author="AbbVie2" w:date="2025-05-14T10:22:00Z"/>
          <w:bCs/>
          <w:sz w:val="22"/>
          <w:szCs w:val="22"/>
        </w:rPr>
      </w:pPr>
      <w:del w:id="13200" w:author="AbbVie2" w:date="2025-05-14T10:22:00Z">
        <w:r w:rsidRPr="008912CF">
          <w:rPr>
            <w:b/>
            <w:bCs/>
            <w:sz w:val="22"/>
            <w:szCs w:val="22"/>
          </w:rPr>
          <w:delText>NÃO</w:delText>
        </w:r>
        <w:r w:rsidRPr="008912CF">
          <w:rPr>
            <w:bCs/>
            <w:sz w:val="22"/>
            <w:szCs w:val="22"/>
          </w:rPr>
          <w:delText xml:space="preserve"> toque na agulha.</w:delText>
        </w:r>
      </w:del>
    </w:p>
    <w:p w14:paraId="11D9D84A" w14:textId="0BFA7EA7" w:rsidR="004462A0" w:rsidRPr="008912CF" w:rsidRDefault="00615769" w:rsidP="004462A0">
      <w:pPr>
        <w:numPr>
          <w:ilvl w:val="0"/>
          <w:numId w:val="60"/>
        </w:numPr>
        <w:rPr>
          <w:del w:id="13201" w:author="AbbVie2" w:date="2025-05-14T10:22:00Z"/>
          <w:bCs/>
          <w:sz w:val="22"/>
          <w:szCs w:val="22"/>
        </w:rPr>
      </w:pPr>
      <w:del w:id="13202" w:author="AbbVie2" w:date="2025-05-14T10:22:00Z">
        <w:r w:rsidRPr="008912CF">
          <w:rPr>
            <w:b/>
            <w:bCs/>
            <w:sz w:val="22"/>
            <w:szCs w:val="22"/>
          </w:rPr>
          <w:delText>NÃO</w:delText>
        </w:r>
        <w:r w:rsidRPr="008912CF">
          <w:rPr>
            <w:bCs/>
            <w:sz w:val="22"/>
            <w:szCs w:val="22"/>
          </w:rPr>
          <w:delText xml:space="preserve"> vire a seringa para baixo em qualquer altura, depois de retirada a tampa transparente.</w:delText>
        </w:r>
      </w:del>
    </w:p>
    <w:p w14:paraId="6D4B57A3" w14:textId="30A9B9C5" w:rsidR="004462A0" w:rsidRPr="008912CF" w:rsidRDefault="00615769" w:rsidP="004462A0">
      <w:pPr>
        <w:numPr>
          <w:ilvl w:val="0"/>
          <w:numId w:val="60"/>
        </w:numPr>
        <w:rPr>
          <w:del w:id="13203" w:author="AbbVie2" w:date="2025-05-14T10:22:00Z"/>
          <w:bCs/>
          <w:sz w:val="22"/>
          <w:szCs w:val="22"/>
        </w:rPr>
      </w:pPr>
      <w:del w:id="13204" w:author="AbbVie2" w:date="2025-05-14T10:22:00Z">
        <w:r w:rsidRPr="008912CF">
          <w:rPr>
            <w:b/>
            <w:bCs/>
            <w:sz w:val="22"/>
            <w:szCs w:val="22"/>
          </w:rPr>
          <w:delText>NÃO</w:delText>
        </w:r>
        <w:r w:rsidRPr="008912CF">
          <w:rPr>
            <w:bCs/>
            <w:sz w:val="22"/>
            <w:szCs w:val="22"/>
          </w:rPr>
          <w:delText xml:space="preserve"> volte a colocar a tampa transparente na agulha.</w:delText>
        </w:r>
      </w:del>
    </w:p>
    <w:p w14:paraId="7E6DF05D" w14:textId="7A487F0C" w:rsidR="004462A0" w:rsidRPr="008912CF" w:rsidRDefault="004462A0" w:rsidP="004462A0">
      <w:pPr>
        <w:rPr>
          <w:del w:id="13205" w:author="AbbVie2" w:date="2025-05-14T10:22:00Z"/>
          <w:bCs/>
          <w:sz w:val="22"/>
          <w:szCs w:val="22"/>
        </w:rPr>
      </w:pPr>
    </w:p>
    <w:p w14:paraId="5AAB0C35" w14:textId="734EF7B6" w:rsidR="004462A0" w:rsidRPr="008912CF" w:rsidRDefault="00615769" w:rsidP="004462A0">
      <w:pPr>
        <w:numPr>
          <w:ilvl w:val="0"/>
          <w:numId w:val="60"/>
        </w:numPr>
        <w:rPr>
          <w:del w:id="13206" w:author="AbbVie2" w:date="2025-05-14T10:22:00Z"/>
          <w:bCs/>
          <w:sz w:val="22"/>
          <w:szCs w:val="22"/>
        </w:rPr>
      </w:pPr>
      <w:del w:id="13207" w:author="AbbVie2" w:date="2025-05-14T10:22:00Z">
        <w:r w:rsidRPr="008912CF">
          <w:rPr>
            <w:bCs/>
            <w:sz w:val="22"/>
            <w:szCs w:val="22"/>
          </w:rPr>
          <w:delText>Mantenha a seringa ao nível dos olhos com a agulha para cima para ver claramente a quantidade. Tenha cuidado para não esguichar o líquido nos olhos.</w:delText>
        </w:r>
      </w:del>
    </w:p>
    <w:p w14:paraId="6F0020CC" w14:textId="0FAD8D3B" w:rsidR="004462A0" w:rsidRPr="008912CF" w:rsidRDefault="00615769" w:rsidP="004462A0">
      <w:pPr>
        <w:numPr>
          <w:ilvl w:val="0"/>
          <w:numId w:val="60"/>
        </w:numPr>
        <w:rPr>
          <w:del w:id="13208" w:author="AbbVie2" w:date="2025-05-14T10:22:00Z"/>
          <w:bCs/>
          <w:sz w:val="22"/>
          <w:szCs w:val="22"/>
        </w:rPr>
      </w:pPr>
      <w:del w:id="13209" w:author="AbbVie2" w:date="2025-05-14T10:22:00Z">
        <w:r w:rsidRPr="008912CF">
          <w:rPr>
            <w:bCs/>
            <w:sz w:val="22"/>
            <w:szCs w:val="22"/>
          </w:rPr>
          <w:delText>Verifique novamente a quantidade prescrita do medicamento.</w:delText>
        </w:r>
      </w:del>
    </w:p>
    <w:p w14:paraId="72F72040" w14:textId="38226C42" w:rsidR="004462A0" w:rsidRPr="008912CF" w:rsidRDefault="00615769" w:rsidP="004462A0">
      <w:pPr>
        <w:numPr>
          <w:ilvl w:val="0"/>
          <w:numId w:val="60"/>
        </w:numPr>
        <w:rPr>
          <w:del w:id="13210" w:author="AbbVie2" w:date="2025-05-14T10:22:00Z"/>
          <w:bCs/>
          <w:sz w:val="22"/>
          <w:szCs w:val="22"/>
        </w:rPr>
      </w:pPr>
      <w:del w:id="13211" w:author="AbbVie2" w:date="2025-05-14T10:22:00Z">
        <w:r w:rsidRPr="008912CF">
          <w:rPr>
            <w:bCs/>
            <w:sz w:val="22"/>
            <w:szCs w:val="22"/>
          </w:rPr>
          <w:delText xml:space="preserve">Empurre o êmbolo branco com cuidado para cima até que a seringa contenha a quantidade de líquido prescrita. Enquanto empurra o êmbolo branco pode sair líquido em excesso pela agulha. </w:delText>
        </w:r>
        <w:r w:rsidRPr="008912CF">
          <w:rPr>
            <w:b/>
            <w:bCs/>
            <w:sz w:val="22"/>
            <w:szCs w:val="22"/>
          </w:rPr>
          <w:delText>NÃO</w:delText>
        </w:r>
        <w:r w:rsidRPr="008912CF">
          <w:rPr>
            <w:bCs/>
            <w:sz w:val="22"/>
            <w:szCs w:val="22"/>
          </w:rPr>
          <w:delText xml:space="preserve"> limpe a agulha ou a seringa.</w:delText>
        </w:r>
      </w:del>
    </w:p>
    <w:p w14:paraId="0D9D380E" w14:textId="1B9FF373" w:rsidR="004462A0" w:rsidRPr="008912CF" w:rsidRDefault="004462A0" w:rsidP="004462A0">
      <w:pPr>
        <w:rPr>
          <w:del w:id="13212" w:author="AbbVie2" w:date="2025-05-14T10:22:00Z"/>
          <w:bCs/>
          <w:sz w:val="22"/>
          <w:szCs w:val="22"/>
        </w:rPr>
      </w:pPr>
    </w:p>
    <w:p w14:paraId="637C2DDA" w14:textId="7664C372" w:rsidR="004462A0" w:rsidRPr="008912CF" w:rsidRDefault="00615769" w:rsidP="004462A0">
      <w:pPr>
        <w:rPr>
          <w:del w:id="13213" w:author="AbbVie2" w:date="2025-05-14T10:22:00Z"/>
          <w:b/>
          <w:bCs/>
          <w:sz w:val="22"/>
          <w:szCs w:val="22"/>
        </w:rPr>
      </w:pPr>
      <w:del w:id="13214" w:author="AbbVie2" w:date="2025-05-14T10:22:00Z">
        <w:r>
          <w:rPr>
            <w:b/>
            <w:bCs/>
            <w:sz w:val="22"/>
            <w:szCs w:val="22"/>
          </w:rPr>
          <w:delText>5)</w:delText>
        </w:r>
        <w:r>
          <w:rPr>
            <w:b/>
            <w:bCs/>
            <w:sz w:val="22"/>
            <w:szCs w:val="22"/>
          </w:rPr>
          <w:tab/>
        </w:r>
        <w:r w:rsidRPr="008912CF">
          <w:rPr>
            <w:b/>
            <w:bCs/>
            <w:sz w:val="22"/>
            <w:szCs w:val="22"/>
          </w:rPr>
          <w:delText>Injetar Humira</w:delText>
        </w:r>
      </w:del>
    </w:p>
    <w:p w14:paraId="2DF7E9F3" w14:textId="12AAD70A" w:rsidR="004462A0" w:rsidRPr="008912CF" w:rsidRDefault="004462A0" w:rsidP="004462A0">
      <w:pPr>
        <w:rPr>
          <w:del w:id="13215" w:author="AbbVie2" w:date="2025-05-14T10:22:00Z"/>
          <w:b/>
          <w:bCs/>
          <w:sz w:val="22"/>
          <w:szCs w:val="22"/>
        </w:rPr>
      </w:pPr>
    </w:p>
    <w:p w14:paraId="1AD6DC62" w14:textId="3F66BA4A" w:rsidR="004462A0" w:rsidRPr="008912CF" w:rsidRDefault="00615769" w:rsidP="004462A0">
      <w:pPr>
        <w:numPr>
          <w:ilvl w:val="0"/>
          <w:numId w:val="27"/>
        </w:numPr>
        <w:rPr>
          <w:del w:id="13216" w:author="AbbVie2" w:date="2025-05-14T10:22:00Z"/>
          <w:sz w:val="22"/>
          <w:szCs w:val="22"/>
        </w:rPr>
      </w:pPr>
      <w:del w:id="13217" w:author="AbbVie2" w:date="2025-05-14T10:22:00Z">
        <w:r w:rsidRPr="008912CF">
          <w:rPr>
            <w:sz w:val="22"/>
            <w:szCs w:val="22"/>
          </w:rPr>
          <w:delText xml:space="preserve">Com a mão livre, agarre cuidadosamente uma prega cutânea da área que já se encontra limpa, apertando-a firmemente. </w:delText>
        </w:r>
      </w:del>
    </w:p>
    <w:p w14:paraId="3FD14B8E" w14:textId="642D139F" w:rsidR="004462A0" w:rsidRPr="008912CF" w:rsidRDefault="00615769" w:rsidP="004462A0">
      <w:pPr>
        <w:numPr>
          <w:ilvl w:val="0"/>
          <w:numId w:val="28"/>
        </w:numPr>
        <w:rPr>
          <w:del w:id="13218" w:author="AbbVie2" w:date="2025-05-14T10:22:00Z"/>
          <w:sz w:val="22"/>
          <w:szCs w:val="22"/>
        </w:rPr>
      </w:pPr>
      <w:del w:id="13219" w:author="AbbVie2" w:date="2025-05-14T10:22:00Z">
        <w:r w:rsidRPr="008912CF">
          <w:rPr>
            <w:sz w:val="22"/>
            <w:szCs w:val="22"/>
          </w:rPr>
          <w:delText>Com a outra mão, segure a seringa sobre a prega cutânea num ângulo de 45º.</w:delText>
        </w:r>
      </w:del>
    </w:p>
    <w:p w14:paraId="5B4C6A04" w14:textId="05E89A1A" w:rsidR="004462A0" w:rsidRPr="008912CF" w:rsidRDefault="00615769" w:rsidP="004462A0">
      <w:pPr>
        <w:numPr>
          <w:ilvl w:val="0"/>
          <w:numId w:val="29"/>
        </w:numPr>
        <w:rPr>
          <w:del w:id="13220" w:author="AbbVie2" w:date="2025-05-14T10:22:00Z"/>
          <w:sz w:val="22"/>
          <w:szCs w:val="22"/>
        </w:rPr>
      </w:pPr>
      <w:del w:id="13221" w:author="AbbVie2" w:date="2025-05-14T10:22:00Z">
        <w:r w:rsidRPr="008912CF">
          <w:rPr>
            <w:sz w:val="22"/>
            <w:szCs w:val="22"/>
          </w:rPr>
          <w:delText>Introduza a agulha na pele com um movimento curto e rápido.</w:delText>
        </w:r>
      </w:del>
    </w:p>
    <w:p w14:paraId="1D8BF6B8" w14:textId="2AAA0AF1" w:rsidR="004462A0" w:rsidRPr="008912CF" w:rsidRDefault="00615769" w:rsidP="004462A0">
      <w:pPr>
        <w:numPr>
          <w:ilvl w:val="0"/>
          <w:numId w:val="30"/>
        </w:numPr>
        <w:rPr>
          <w:del w:id="13222" w:author="AbbVie2" w:date="2025-05-14T10:22:00Z"/>
          <w:sz w:val="22"/>
          <w:szCs w:val="22"/>
        </w:rPr>
      </w:pPr>
      <w:del w:id="13223" w:author="AbbVie2" w:date="2025-05-14T10:22:00Z">
        <w:r w:rsidRPr="008912CF">
          <w:rPr>
            <w:sz w:val="22"/>
            <w:szCs w:val="22"/>
          </w:rPr>
          <w:delText>Liberte a prega cutânea da outra mão.</w:delText>
        </w:r>
      </w:del>
    </w:p>
    <w:p w14:paraId="1D84AD77" w14:textId="3D3FFC59" w:rsidR="004462A0" w:rsidRPr="008912CF" w:rsidRDefault="00615769" w:rsidP="004462A0">
      <w:pPr>
        <w:numPr>
          <w:ilvl w:val="0"/>
          <w:numId w:val="31"/>
        </w:numPr>
        <w:rPr>
          <w:del w:id="13224" w:author="AbbVie2" w:date="2025-05-14T10:22:00Z"/>
          <w:sz w:val="22"/>
          <w:szCs w:val="22"/>
        </w:rPr>
      </w:pPr>
      <w:del w:id="13225" w:author="AbbVie2" w:date="2025-05-14T10:22:00Z">
        <w:r w:rsidRPr="008912CF">
          <w:rPr>
            <w:sz w:val="22"/>
            <w:szCs w:val="22"/>
          </w:rPr>
          <w:delText>Empurre o êmbolo branco para injetar o medicamento líquido até esvaziar a seringa.</w:delText>
        </w:r>
      </w:del>
    </w:p>
    <w:p w14:paraId="05FF5FB0" w14:textId="2F3EF2D0" w:rsidR="004462A0" w:rsidRPr="008912CF" w:rsidRDefault="00615769" w:rsidP="004462A0">
      <w:pPr>
        <w:numPr>
          <w:ilvl w:val="0"/>
          <w:numId w:val="32"/>
        </w:numPr>
        <w:rPr>
          <w:del w:id="13226" w:author="AbbVie2" w:date="2025-05-14T10:22:00Z"/>
          <w:sz w:val="22"/>
          <w:szCs w:val="22"/>
        </w:rPr>
      </w:pPr>
      <w:del w:id="13227" w:author="AbbVie2" w:date="2025-05-14T10:22:00Z">
        <w:r w:rsidRPr="008912CF">
          <w:rPr>
            <w:sz w:val="22"/>
            <w:szCs w:val="22"/>
          </w:rPr>
          <w:delText>Após esvaziar a seringa, retire a agulha da pele, tendo o cuidado de a retirar no mesmo ângulo da inserção.</w:delText>
        </w:r>
      </w:del>
    </w:p>
    <w:p w14:paraId="310691EB" w14:textId="1CF5E105" w:rsidR="004462A0" w:rsidRPr="008912CF" w:rsidRDefault="004462A0" w:rsidP="004462A0">
      <w:pPr>
        <w:rPr>
          <w:del w:id="13228" w:author="AbbVie2" w:date="2025-05-14T10:22:00Z"/>
          <w:sz w:val="22"/>
          <w:szCs w:val="22"/>
        </w:rPr>
      </w:pPr>
    </w:p>
    <w:p w14:paraId="6418B9F0" w14:textId="774DFBA5" w:rsidR="004462A0" w:rsidRPr="008912CF" w:rsidRDefault="00615769" w:rsidP="004462A0">
      <w:pPr>
        <w:ind w:left="2268" w:firstLine="567"/>
        <w:rPr>
          <w:del w:id="13229" w:author="AbbVie2" w:date="2025-05-14T10:22:00Z"/>
          <w:sz w:val="22"/>
          <w:szCs w:val="22"/>
        </w:rPr>
      </w:pPr>
      <w:del w:id="13230" w:author="AbbVie2" w:date="2025-05-14T10:22:00Z">
        <w:r>
          <w:rPr>
            <w:noProof/>
            <w:lang w:val="en-GB" w:eastAsia="en-GB"/>
          </w:rPr>
          <w:drawing>
            <wp:inline distT="0" distB="0" distL="0" distR="0" wp14:anchorId="790A4A43" wp14:editId="1ACFEE6B">
              <wp:extent cx="1898650" cy="1858645"/>
              <wp:effectExtent l="0" t="0" r="6350"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1898650" cy="1858645"/>
                      </a:xfrm>
                      <a:prstGeom prst="rect">
                        <a:avLst/>
                      </a:prstGeom>
                      <a:noFill/>
                      <a:ln>
                        <a:noFill/>
                      </a:ln>
                    </pic:spPr>
                  </pic:pic>
                </a:graphicData>
              </a:graphic>
            </wp:inline>
          </w:drawing>
        </w:r>
      </w:del>
    </w:p>
    <w:p w14:paraId="23A216AA" w14:textId="05BBE8A0" w:rsidR="004462A0" w:rsidRPr="008912CF" w:rsidRDefault="004462A0" w:rsidP="004462A0">
      <w:pPr>
        <w:rPr>
          <w:del w:id="13231" w:author="AbbVie2" w:date="2025-05-14T10:22:00Z"/>
          <w:sz w:val="22"/>
          <w:szCs w:val="22"/>
        </w:rPr>
      </w:pPr>
    </w:p>
    <w:p w14:paraId="1C4C2F82" w14:textId="0CE423EB" w:rsidR="004462A0" w:rsidRPr="008912CF" w:rsidRDefault="00615769" w:rsidP="004462A0">
      <w:pPr>
        <w:numPr>
          <w:ilvl w:val="0"/>
          <w:numId w:val="33"/>
        </w:numPr>
        <w:rPr>
          <w:del w:id="13232" w:author="AbbVie2" w:date="2025-05-14T10:22:00Z"/>
          <w:sz w:val="22"/>
          <w:szCs w:val="22"/>
        </w:rPr>
      </w:pPr>
      <w:del w:id="13233" w:author="AbbVie2" w:date="2025-05-14T10:22:00Z">
        <w:r w:rsidRPr="008912CF">
          <w:rPr>
            <w:sz w:val="22"/>
            <w:szCs w:val="22"/>
          </w:rPr>
          <w:delText>Com cuidado mova</w:delText>
        </w:r>
        <w:r w:rsidRPr="008912CF">
          <w:rPr>
            <w:bCs/>
            <w:sz w:val="22"/>
            <w:szCs w:val="22"/>
          </w:rPr>
          <w:delText xml:space="preserve"> a proteção cor-de-rosa da agulha ao longo da mesma, tape-a e coloque-a na superfície de trabalho. </w:delText>
        </w:r>
        <w:r w:rsidRPr="008912CF">
          <w:rPr>
            <w:b/>
            <w:bCs/>
            <w:sz w:val="22"/>
            <w:szCs w:val="22"/>
          </w:rPr>
          <w:delText>NÃO</w:delText>
        </w:r>
        <w:r w:rsidRPr="008912CF">
          <w:rPr>
            <w:bCs/>
            <w:sz w:val="22"/>
            <w:szCs w:val="22"/>
          </w:rPr>
          <w:delText xml:space="preserve"> volte a colocar a tampa transparente na agulha.</w:delText>
        </w:r>
      </w:del>
    </w:p>
    <w:p w14:paraId="31C74719" w14:textId="415EFDFB" w:rsidR="004462A0" w:rsidRPr="008912CF" w:rsidRDefault="00615769" w:rsidP="004462A0">
      <w:pPr>
        <w:rPr>
          <w:del w:id="13234" w:author="AbbVie2" w:date="2025-05-14T10:22:00Z"/>
          <w:bCs/>
          <w:sz w:val="22"/>
          <w:szCs w:val="22"/>
        </w:rPr>
      </w:pPr>
      <w:del w:id="13235" w:author="AbbVie2" w:date="2025-05-14T10:22:00Z">
        <w:r w:rsidRPr="008912CF">
          <w:rPr>
            <w:bCs/>
            <w:sz w:val="22"/>
            <w:szCs w:val="22"/>
          </w:rPr>
          <w:delText xml:space="preserve"> </w:delText>
        </w:r>
      </w:del>
    </w:p>
    <w:p w14:paraId="44FF5EC0" w14:textId="133004A4" w:rsidR="004462A0" w:rsidRPr="008912CF" w:rsidRDefault="00615769" w:rsidP="004462A0">
      <w:pPr>
        <w:ind w:left="1134" w:firstLine="567"/>
        <w:rPr>
          <w:del w:id="13236" w:author="AbbVie2" w:date="2025-05-14T10:22:00Z"/>
          <w:sz w:val="22"/>
          <w:szCs w:val="22"/>
        </w:rPr>
      </w:pPr>
      <w:del w:id="13237" w:author="AbbVie2" w:date="2025-05-14T10:22:00Z">
        <w:r>
          <w:rPr>
            <w:noProof/>
            <w:lang w:val="en-GB" w:eastAsia="en-GB"/>
          </w:rPr>
          <w:drawing>
            <wp:inline distT="0" distB="0" distL="0" distR="0" wp14:anchorId="35FA3EF0" wp14:editId="5C4D3C47">
              <wp:extent cx="3916045" cy="1798955"/>
              <wp:effectExtent l="0" t="0" r="825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5"/>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3916045" cy="1798955"/>
                      </a:xfrm>
                      <a:prstGeom prst="rect">
                        <a:avLst/>
                      </a:prstGeom>
                      <a:noFill/>
                      <a:ln>
                        <a:noFill/>
                      </a:ln>
                    </pic:spPr>
                  </pic:pic>
                </a:graphicData>
              </a:graphic>
            </wp:inline>
          </w:drawing>
        </w:r>
      </w:del>
    </w:p>
    <w:p w14:paraId="13E2CF55" w14:textId="342EC7A5" w:rsidR="004462A0" w:rsidRPr="008912CF" w:rsidRDefault="004462A0" w:rsidP="004462A0">
      <w:pPr>
        <w:rPr>
          <w:del w:id="13238" w:author="AbbVie2" w:date="2025-05-14T10:22:00Z"/>
          <w:sz w:val="22"/>
          <w:szCs w:val="22"/>
        </w:rPr>
      </w:pPr>
    </w:p>
    <w:p w14:paraId="7F38B2B6" w14:textId="1A0B141F" w:rsidR="004462A0" w:rsidRPr="008912CF" w:rsidRDefault="00615769" w:rsidP="004462A0">
      <w:pPr>
        <w:numPr>
          <w:ilvl w:val="0"/>
          <w:numId w:val="33"/>
        </w:numPr>
        <w:rPr>
          <w:del w:id="13239" w:author="AbbVie2" w:date="2025-05-14T10:22:00Z"/>
          <w:sz w:val="22"/>
          <w:szCs w:val="22"/>
        </w:rPr>
      </w:pPr>
      <w:del w:id="13240" w:author="AbbVie2" w:date="2025-05-14T10:22:00Z">
        <w:r w:rsidRPr="008912CF">
          <w:rPr>
            <w:sz w:val="22"/>
            <w:szCs w:val="22"/>
          </w:rPr>
          <w:delText xml:space="preserve">Utilizando uma gaze, pressione o local de injeção durante 10 segundos. Pode ocorrer uma pequena hemorragia. </w:delText>
        </w:r>
        <w:r w:rsidRPr="008912CF">
          <w:rPr>
            <w:b/>
            <w:sz w:val="22"/>
            <w:szCs w:val="22"/>
          </w:rPr>
          <w:delText>NÃO</w:delText>
        </w:r>
        <w:r w:rsidRPr="008912CF">
          <w:rPr>
            <w:sz w:val="22"/>
            <w:szCs w:val="22"/>
          </w:rPr>
          <w:delText xml:space="preserve"> friccione o local da injeção. Se desejar, coloque um penso rápido.</w:delText>
        </w:r>
      </w:del>
    </w:p>
    <w:p w14:paraId="3D2CF138" w14:textId="360F9B8A" w:rsidR="004462A0" w:rsidRPr="008912CF" w:rsidRDefault="004462A0" w:rsidP="004462A0">
      <w:pPr>
        <w:rPr>
          <w:del w:id="13241" w:author="AbbVie2" w:date="2025-05-14T10:22:00Z"/>
          <w:sz w:val="22"/>
          <w:szCs w:val="22"/>
        </w:rPr>
      </w:pPr>
    </w:p>
    <w:p w14:paraId="002EC9FD" w14:textId="6DF0F00B" w:rsidR="004462A0" w:rsidRPr="008912CF" w:rsidRDefault="00615769" w:rsidP="00F03C54">
      <w:pPr>
        <w:tabs>
          <w:tab w:val="left" w:pos="0"/>
        </w:tabs>
        <w:rPr>
          <w:del w:id="13242" w:author="AbbVie2" w:date="2025-05-14T10:22:00Z"/>
          <w:b/>
          <w:sz w:val="22"/>
          <w:szCs w:val="22"/>
        </w:rPr>
      </w:pPr>
      <w:del w:id="13243" w:author="AbbVie2" w:date="2025-05-14T10:22:00Z">
        <w:r>
          <w:rPr>
            <w:b/>
            <w:sz w:val="22"/>
            <w:szCs w:val="22"/>
          </w:rPr>
          <w:delText>6)</w:delText>
        </w:r>
        <w:r>
          <w:rPr>
            <w:b/>
            <w:sz w:val="22"/>
            <w:szCs w:val="22"/>
          </w:rPr>
          <w:tab/>
        </w:r>
        <w:r w:rsidRPr="008912CF">
          <w:rPr>
            <w:b/>
            <w:sz w:val="22"/>
            <w:szCs w:val="22"/>
          </w:rPr>
          <w:delText>Eliminação dos materiais</w:delText>
        </w:r>
      </w:del>
    </w:p>
    <w:p w14:paraId="1E079DD1" w14:textId="4F35DA18" w:rsidR="004462A0" w:rsidRPr="008912CF" w:rsidRDefault="004462A0" w:rsidP="004462A0">
      <w:pPr>
        <w:rPr>
          <w:del w:id="13244" w:author="AbbVie2" w:date="2025-05-14T10:22:00Z"/>
          <w:b/>
          <w:sz w:val="22"/>
          <w:szCs w:val="22"/>
        </w:rPr>
      </w:pPr>
    </w:p>
    <w:p w14:paraId="253E2987" w14:textId="7B61F707" w:rsidR="004462A0" w:rsidRPr="008912CF" w:rsidRDefault="00615769" w:rsidP="004462A0">
      <w:pPr>
        <w:numPr>
          <w:ilvl w:val="0"/>
          <w:numId w:val="34"/>
        </w:numPr>
        <w:rPr>
          <w:del w:id="13245" w:author="AbbVie2" w:date="2025-05-14T10:22:00Z"/>
          <w:sz w:val="22"/>
          <w:szCs w:val="22"/>
        </w:rPr>
      </w:pPr>
      <w:del w:id="13246" w:author="AbbVie2" w:date="2025-05-14T10:22:00Z">
        <w:r w:rsidRPr="008912CF">
          <w:rPr>
            <w:sz w:val="22"/>
            <w:szCs w:val="22"/>
          </w:rPr>
          <w:delText>Utilize um recipiente específico para resíduos, como por exemplo um recipiente para agulhas ou como indicado pelo seu enfermeiro, médico ou farmacêutico.</w:delText>
        </w:r>
      </w:del>
    </w:p>
    <w:p w14:paraId="5CCBF6A9" w14:textId="66CDF6B5" w:rsidR="004462A0" w:rsidRPr="008912CF" w:rsidRDefault="00615769" w:rsidP="004462A0">
      <w:pPr>
        <w:numPr>
          <w:ilvl w:val="0"/>
          <w:numId w:val="34"/>
        </w:numPr>
        <w:rPr>
          <w:del w:id="13247" w:author="AbbVie2" w:date="2025-05-14T10:22:00Z"/>
          <w:sz w:val="22"/>
          <w:szCs w:val="22"/>
        </w:rPr>
      </w:pPr>
      <w:del w:id="13248" w:author="AbbVie2" w:date="2025-05-14T10:22:00Z">
        <w:r w:rsidRPr="008912CF">
          <w:rPr>
            <w:sz w:val="22"/>
            <w:szCs w:val="22"/>
          </w:rPr>
          <w:delText xml:space="preserve">Coloque a seringa com a agulha, o frasco para injetáveis e o adaptador num recipiente específico para resíduos. </w:delText>
        </w:r>
        <w:r w:rsidRPr="008912CF">
          <w:rPr>
            <w:b/>
            <w:sz w:val="22"/>
            <w:szCs w:val="22"/>
          </w:rPr>
          <w:delText>NÃO</w:delText>
        </w:r>
        <w:r w:rsidRPr="008912CF">
          <w:rPr>
            <w:sz w:val="22"/>
            <w:szCs w:val="22"/>
          </w:rPr>
          <w:delText xml:space="preserve"> coloque estes materiais no lixo doméstico normal.</w:delText>
        </w:r>
      </w:del>
    </w:p>
    <w:p w14:paraId="17C28A56" w14:textId="08841CF8" w:rsidR="004462A0" w:rsidRPr="008912CF" w:rsidRDefault="00615769" w:rsidP="004462A0">
      <w:pPr>
        <w:numPr>
          <w:ilvl w:val="0"/>
          <w:numId w:val="34"/>
        </w:numPr>
        <w:rPr>
          <w:del w:id="13249" w:author="AbbVie2" w:date="2025-05-14T10:22:00Z"/>
          <w:sz w:val="22"/>
          <w:szCs w:val="22"/>
        </w:rPr>
      </w:pPr>
      <w:del w:id="13250" w:author="AbbVie2" w:date="2025-05-14T10:22:00Z">
        <w:r w:rsidRPr="008912CF">
          <w:rPr>
            <w:sz w:val="22"/>
            <w:szCs w:val="22"/>
          </w:rPr>
          <w:delText xml:space="preserve">A seringa, a agulha, o frasco para injetáveis e o adaptador </w:delText>
        </w:r>
        <w:r w:rsidRPr="008912CF">
          <w:rPr>
            <w:b/>
            <w:sz w:val="22"/>
            <w:szCs w:val="22"/>
          </w:rPr>
          <w:delText>NUNCA</w:delText>
        </w:r>
        <w:r w:rsidRPr="008912CF">
          <w:rPr>
            <w:sz w:val="22"/>
            <w:szCs w:val="22"/>
          </w:rPr>
          <w:delText xml:space="preserve"> </w:delText>
        </w:r>
        <w:r w:rsidRPr="008912CF">
          <w:rPr>
            <w:b/>
            <w:sz w:val="22"/>
            <w:szCs w:val="22"/>
          </w:rPr>
          <w:delText>PODEM</w:delText>
        </w:r>
        <w:r w:rsidRPr="008912CF">
          <w:rPr>
            <w:sz w:val="22"/>
            <w:szCs w:val="22"/>
          </w:rPr>
          <w:delText xml:space="preserve"> ser reutilizados.</w:delText>
        </w:r>
      </w:del>
    </w:p>
    <w:p w14:paraId="1D41D006" w14:textId="0250F6BD" w:rsidR="004462A0" w:rsidRPr="008912CF" w:rsidRDefault="00615769" w:rsidP="004462A0">
      <w:pPr>
        <w:numPr>
          <w:ilvl w:val="0"/>
          <w:numId w:val="35"/>
        </w:numPr>
        <w:rPr>
          <w:del w:id="13251" w:author="AbbVie2" w:date="2025-05-14T10:22:00Z"/>
          <w:sz w:val="22"/>
          <w:szCs w:val="22"/>
        </w:rPr>
      </w:pPr>
      <w:del w:id="13252" w:author="AbbVie2" w:date="2025-05-14T10:22:00Z">
        <w:r w:rsidRPr="008912CF">
          <w:rPr>
            <w:sz w:val="22"/>
            <w:szCs w:val="22"/>
          </w:rPr>
          <w:delText>Manter sempre o recipiente específico fora da vista e do alcance das crianças.</w:delText>
        </w:r>
      </w:del>
    </w:p>
    <w:p w14:paraId="00D6344D" w14:textId="2EB95F29" w:rsidR="004462A0" w:rsidRPr="008912CF" w:rsidRDefault="00615769" w:rsidP="004462A0">
      <w:pPr>
        <w:numPr>
          <w:ilvl w:val="0"/>
          <w:numId w:val="35"/>
        </w:numPr>
        <w:rPr>
          <w:del w:id="13253" w:author="AbbVie2" w:date="2025-05-14T10:22:00Z"/>
          <w:sz w:val="22"/>
          <w:szCs w:val="22"/>
        </w:rPr>
      </w:pPr>
      <w:del w:id="13254" w:author="AbbVie2" w:date="2025-05-14T10:22:00Z">
        <w:r w:rsidRPr="008912CF">
          <w:rPr>
            <w:sz w:val="22"/>
            <w:szCs w:val="22"/>
          </w:rPr>
          <w:delText>Coloque todos os outros materiais no lixo doméstico normal.</w:delText>
        </w:r>
      </w:del>
    </w:p>
    <w:p w14:paraId="34A11157" w14:textId="18847AFE" w:rsidR="004462A0" w:rsidRPr="008912CF" w:rsidRDefault="004462A0" w:rsidP="004462A0">
      <w:pPr>
        <w:rPr>
          <w:del w:id="13255" w:author="AbbVie2" w:date="2025-05-14T10:22:00Z"/>
          <w:sz w:val="22"/>
          <w:szCs w:val="22"/>
        </w:rPr>
      </w:pPr>
    </w:p>
    <w:p w14:paraId="22230642" w14:textId="55A925F9" w:rsidR="004462A0" w:rsidRPr="008912CF" w:rsidRDefault="00615769" w:rsidP="004462A0">
      <w:pPr>
        <w:rPr>
          <w:del w:id="13256" w:author="AbbVie2" w:date="2025-05-14T10:22:00Z"/>
          <w:b/>
          <w:sz w:val="22"/>
          <w:szCs w:val="22"/>
        </w:rPr>
      </w:pPr>
      <w:del w:id="13257" w:author="AbbVie2" w:date="2025-05-14T10:22:00Z">
        <w:r w:rsidRPr="008912CF">
          <w:rPr>
            <w:b/>
            <w:sz w:val="22"/>
            <w:szCs w:val="22"/>
          </w:rPr>
          <w:delText xml:space="preserve">Se utilizar mais </w:delText>
        </w:r>
        <w:r w:rsidRPr="008912CF">
          <w:rPr>
            <w:b/>
            <w:bCs/>
            <w:sz w:val="22"/>
            <w:szCs w:val="22"/>
          </w:rPr>
          <w:delText>Humira do</w:delText>
        </w:r>
        <w:r w:rsidRPr="008912CF">
          <w:rPr>
            <w:b/>
            <w:sz w:val="22"/>
            <w:szCs w:val="22"/>
          </w:rPr>
          <w:delText xml:space="preserve"> que deveria</w:delText>
        </w:r>
      </w:del>
    </w:p>
    <w:p w14:paraId="34B3D42D" w14:textId="55229A8C" w:rsidR="004462A0" w:rsidRPr="008912CF" w:rsidRDefault="004462A0" w:rsidP="004462A0">
      <w:pPr>
        <w:rPr>
          <w:del w:id="13258" w:author="AbbVie2" w:date="2025-05-14T10:22:00Z"/>
          <w:sz w:val="22"/>
          <w:szCs w:val="22"/>
        </w:rPr>
      </w:pPr>
    </w:p>
    <w:p w14:paraId="71DF9B66" w14:textId="459B74A4" w:rsidR="004462A0" w:rsidRPr="008912CF" w:rsidRDefault="00615769" w:rsidP="004462A0">
      <w:pPr>
        <w:rPr>
          <w:del w:id="13259" w:author="AbbVie2" w:date="2025-05-14T10:22:00Z"/>
          <w:sz w:val="22"/>
          <w:szCs w:val="22"/>
        </w:rPr>
      </w:pPr>
      <w:del w:id="13260" w:author="AbbVie2" w:date="2025-05-14T10:22:00Z">
        <w:r w:rsidRPr="008912CF">
          <w:rPr>
            <w:sz w:val="22"/>
            <w:szCs w:val="22"/>
          </w:rPr>
          <w:delText xml:space="preserve">Se injetar acidentalmente uma quantidade maior de Humira, ou se injetar Humira mais frequentemente do que o prescrito, contacte o seu médico e informe-o de que a criança recebeu mais do que devia. Leve sempre consigo a embalagem exterior ou o frasco do medicamento, mesmo que esteja vazia. </w:delText>
        </w:r>
      </w:del>
    </w:p>
    <w:p w14:paraId="2A598078" w14:textId="77D6820E" w:rsidR="004462A0" w:rsidRPr="008912CF" w:rsidRDefault="004462A0" w:rsidP="004462A0">
      <w:pPr>
        <w:rPr>
          <w:del w:id="13261" w:author="AbbVie2" w:date="2025-05-14T10:22:00Z"/>
          <w:b/>
          <w:sz w:val="22"/>
          <w:szCs w:val="22"/>
        </w:rPr>
      </w:pPr>
    </w:p>
    <w:p w14:paraId="46A246BF" w14:textId="555FE72B" w:rsidR="004462A0" w:rsidRPr="008912CF" w:rsidRDefault="00615769" w:rsidP="004462A0">
      <w:pPr>
        <w:rPr>
          <w:del w:id="13262" w:author="AbbVie2" w:date="2025-05-14T10:22:00Z"/>
          <w:b/>
          <w:sz w:val="22"/>
          <w:szCs w:val="22"/>
        </w:rPr>
      </w:pPr>
      <w:del w:id="13263" w:author="AbbVie2" w:date="2025-05-14T10:22:00Z">
        <w:r w:rsidRPr="008912CF">
          <w:rPr>
            <w:b/>
            <w:sz w:val="22"/>
            <w:szCs w:val="22"/>
          </w:rPr>
          <w:delText xml:space="preserve">Se utilizar menos </w:delText>
        </w:r>
        <w:r w:rsidRPr="008912CF">
          <w:rPr>
            <w:b/>
            <w:bCs/>
            <w:sz w:val="22"/>
            <w:szCs w:val="22"/>
          </w:rPr>
          <w:delText>Humira do</w:delText>
        </w:r>
        <w:r w:rsidRPr="008912CF">
          <w:rPr>
            <w:b/>
            <w:sz w:val="22"/>
            <w:szCs w:val="22"/>
          </w:rPr>
          <w:delText xml:space="preserve"> que deveria</w:delText>
        </w:r>
      </w:del>
    </w:p>
    <w:p w14:paraId="5A80EE58" w14:textId="5B344F56" w:rsidR="004462A0" w:rsidRPr="008912CF" w:rsidRDefault="004462A0" w:rsidP="004462A0">
      <w:pPr>
        <w:rPr>
          <w:del w:id="13264" w:author="AbbVie2" w:date="2025-05-14T10:22:00Z"/>
          <w:sz w:val="22"/>
          <w:szCs w:val="22"/>
        </w:rPr>
      </w:pPr>
    </w:p>
    <w:p w14:paraId="1F448175" w14:textId="7163C138" w:rsidR="004462A0" w:rsidRPr="008912CF" w:rsidRDefault="00615769" w:rsidP="004462A0">
      <w:pPr>
        <w:rPr>
          <w:del w:id="13265" w:author="AbbVie2" w:date="2025-05-14T10:22:00Z"/>
          <w:sz w:val="22"/>
          <w:szCs w:val="22"/>
        </w:rPr>
      </w:pPr>
      <w:del w:id="13266" w:author="AbbVie2" w:date="2025-05-14T10:22:00Z">
        <w:r w:rsidRPr="008912CF">
          <w:rPr>
            <w:sz w:val="22"/>
            <w:szCs w:val="22"/>
          </w:rPr>
          <w:delText xml:space="preserve">Se injetar acidentalmente uma quantidade menor de Humira, ou se injetar Humira menos frequentemente do que o prescrito, contacte o médico ou farmacêutico da sua criança e informe-o de que a criança recebeu menos do que devia. Leve sempre consigo a embalagem exterior ou o frasco para injetáveis do medicamento, mesmo que esteja vazia. </w:delText>
        </w:r>
      </w:del>
    </w:p>
    <w:p w14:paraId="22273707" w14:textId="1AF87F3A" w:rsidR="004462A0" w:rsidRPr="008912CF" w:rsidRDefault="004462A0" w:rsidP="004462A0">
      <w:pPr>
        <w:rPr>
          <w:del w:id="13267" w:author="AbbVie2" w:date="2025-05-14T10:22:00Z"/>
          <w:sz w:val="22"/>
          <w:szCs w:val="22"/>
        </w:rPr>
      </w:pPr>
    </w:p>
    <w:p w14:paraId="5576D2FF" w14:textId="48BF2036" w:rsidR="004462A0" w:rsidRPr="008912CF" w:rsidRDefault="00615769" w:rsidP="004462A0">
      <w:pPr>
        <w:keepNext/>
        <w:rPr>
          <w:del w:id="13268" w:author="AbbVie2" w:date="2025-05-14T10:22:00Z"/>
          <w:sz w:val="22"/>
          <w:szCs w:val="22"/>
        </w:rPr>
      </w:pPr>
      <w:del w:id="13269" w:author="AbbVie2" w:date="2025-05-14T10:22:00Z">
        <w:r w:rsidRPr="008912CF">
          <w:rPr>
            <w:b/>
            <w:sz w:val="22"/>
            <w:szCs w:val="22"/>
          </w:rPr>
          <w:delText xml:space="preserve">Caso se tenha esquecido de utilizar </w:delText>
        </w:r>
        <w:r w:rsidRPr="008912CF">
          <w:rPr>
            <w:b/>
            <w:bCs/>
            <w:sz w:val="22"/>
            <w:szCs w:val="22"/>
          </w:rPr>
          <w:delText>Humira</w:delText>
        </w:r>
      </w:del>
    </w:p>
    <w:p w14:paraId="4A89571B" w14:textId="674390C8" w:rsidR="004462A0" w:rsidRPr="008912CF" w:rsidRDefault="004462A0" w:rsidP="004462A0">
      <w:pPr>
        <w:keepNext/>
        <w:rPr>
          <w:del w:id="13270" w:author="AbbVie2" w:date="2025-05-14T10:22:00Z"/>
          <w:sz w:val="22"/>
          <w:szCs w:val="22"/>
        </w:rPr>
      </w:pPr>
    </w:p>
    <w:p w14:paraId="11DF71D1" w14:textId="3B1669B9" w:rsidR="004462A0" w:rsidRPr="008912CF" w:rsidRDefault="00615769" w:rsidP="004462A0">
      <w:pPr>
        <w:keepNext/>
        <w:ind w:right="-2"/>
        <w:rPr>
          <w:del w:id="13271" w:author="AbbVie2" w:date="2025-05-14T10:22:00Z"/>
          <w:sz w:val="22"/>
          <w:szCs w:val="22"/>
        </w:rPr>
      </w:pPr>
      <w:del w:id="13272" w:author="AbbVie2" w:date="2025-05-14T10:22:00Z">
        <w:r w:rsidRPr="008912CF">
          <w:rPr>
            <w:sz w:val="22"/>
            <w:szCs w:val="22"/>
          </w:rPr>
          <w:delText xml:space="preserve">Caso se tenha esquecido de administrar à sua criança uma injeção de Humira, administre a dose de Humira logo que se lembrar. Administre à sua criança a dose seguinte conforme prescrito, como se não tivesse omitido a dose anterior. </w:delText>
        </w:r>
      </w:del>
    </w:p>
    <w:p w14:paraId="441E0B95" w14:textId="65E2A90F" w:rsidR="004462A0" w:rsidRPr="008912CF" w:rsidRDefault="004462A0" w:rsidP="004462A0">
      <w:pPr>
        <w:suppressAutoHyphens/>
        <w:rPr>
          <w:del w:id="13273" w:author="AbbVie2" w:date="2025-05-14T10:22:00Z"/>
          <w:b/>
        </w:rPr>
      </w:pPr>
    </w:p>
    <w:p w14:paraId="4FAF36DC" w14:textId="1CA9302A" w:rsidR="004462A0" w:rsidRPr="008912CF" w:rsidRDefault="00615769" w:rsidP="004462A0">
      <w:pPr>
        <w:suppressAutoHyphens/>
        <w:rPr>
          <w:del w:id="13274" w:author="AbbVie2" w:date="2025-05-14T10:22:00Z"/>
          <w:sz w:val="22"/>
          <w:szCs w:val="22"/>
        </w:rPr>
      </w:pPr>
      <w:del w:id="13275" w:author="AbbVie2" w:date="2025-05-14T10:22:00Z">
        <w:r w:rsidRPr="008912CF">
          <w:rPr>
            <w:b/>
            <w:sz w:val="22"/>
            <w:szCs w:val="22"/>
          </w:rPr>
          <w:delText>Se a sua criança parar de utilizar Humira</w:delText>
        </w:r>
      </w:del>
    </w:p>
    <w:p w14:paraId="0FD866B3" w14:textId="21A98B49" w:rsidR="004462A0" w:rsidRPr="008912CF" w:rsidRDefault="004462A0" w:rsidP="004462A0">
      <w:pPr>
        <w:rPr>
          <w:del w:id="13276" w:author="AbbVie2" w:date="2025-05-14T10:22:00Z"/>
          <w:sz w:val="22"/>
          <w:szCs w:val="22"/>
        </w:rPr>
      </w:pPr>
    </w:p>
    <w:p w14:paraId="7BE88D28" w14:textId="43ACE2D3" w:rsidR="004462A0" w:rsidRPr="008912CF" w:rsidRDefault="00615769" w:rsidP="004462A0">
      <w:pPr>
        <w:rPr>
          <w:del w:id="13277" w:author="AbbVie2" w:date="2025-05-14T10:22:00Z"/>
          <w:sz w:val="22"/>
          <w:szCs w:val="22"/>
        </w:rPr>
      </w:pPr>
      <w:del w:id="13278" w:author="AbbVie2" w:date="2025-05-14T10:22:00Z">
        <w:r w:rsidRPr="008912CF">
          <w:rPr>
            <w:sz w:val="22"/>
            <w:szCs w:val="22"/>
          </w:rPr>
          <w:delText>A decisão de parar de utilizar Humira deve ser avaliada com o médico da sua criança. Os sintomas da sua criança podem voltar após descontinuação.</w:delText>
        </w:r>
      </w:del>
    </w:p>
    <w:p w14:paraId="237C3736" w14:textId="5A86A287" w:rsidR="004462A0" w:rsidRPr="008912CF" w:rsidRDefault="004462A0" w:rsidP="004462A0">
      <w:pPr>
        <w:rPr>
          <w:del w:id="13279" w:author="AbbVie2" w:date="2025-05-14T10:22:00Z"/>
          <w:sz w:val="22"/>
          <w:szCs w:val="22"/>
        </w:rPr>
      </w:pPr>
    </w:p>
    <w:p w14:paraId="6F5ED9DF" w14:textId="36AB0393" w:rsidR="004462A0" w:rsidRPr="008912CF" w:rsidRDefault="00615769" w:rsidP="004462A0">
      <w:pPr>
        <w:ind w:right="-2"/>
        <w:rPr>
          <w:del w:id="13280" w:author="AbbVie2" w:date="2025-05-14T10:22:00Z"/>
          <w:sz w:val="22"/>
          <w:szCs w:val="22"/>
        </w:rPr>
      </w:pPr>
      <w:del w:id="13281" w:author="AbbVie2" w:date="2025-05-14T10:22:00Z">
        <w:r w:rsidRPr="008912CF">
          <w:rPr>
            <w:sz w:val="22"/>
            <w:szCs w:val="22"/>
          </w:rPr>
          <w:delText>Caso ainda tenha dúvidas sobre a utilização deste medicamento, fale com o seu médico ou farmacêutico.</w:delText>
        </w:r>
      </w:del>
    </w:p>
    <w:p w14:paraId="24D93640" w14:textId="59B4FE89" w:rsidR="004462A0" w:rsidRPr="008912CF" w:rsidRDefault="004462A0" w:rsidP="004462A0">
      <w:pPr>
        <w:ind w:right="-2"/>
        <w:rPr>
          <w:del w:id="13282" w:author="AbbVie2" w:date="2025-05-14T10:22:00Z"/>
          <w:sz w:val="22"/>
          <w:szCs w:val="22"/>
        </w:rPr>
      </w:pPr>
    </w:p>
    <w:p w14:paraId="3C030101" w14:textId="0F95A956" w:rsidR="004462A0" w:rsidRPr="008912CF" w:rsidRDefault="004462A0" w:rsidP="004462A0">
      <w:pPr>
        <w:ind w:right="-2"/>
        <w:rPr>
          <w:del w:id="13283" w:author="AbbVie2" w:date="2025-05-14T10:22:00Z"/>
          <w:sz w:val="22"/>
          <w:szCs w:val="22"/>
        </w:rPr>
      </w:pPr>
    </w:p>
    <w:p w14:paraId="5A4A4F57" w14:textId="09E5428C" w:rsidR="004462A0" w:rsidRPr="008912CF" w:rsidRDefault="00615769" w:rsidP="004462A0">
      <w:pPr>
        <w:ind w:left="567" w:hanging="567"/>
        <w:rPr>
          <w:del w:id="13284" w:author="AbbVie2" w:date="2025-05-14T10:22:00Z"/>
          <w:sz w:val="22"/>
          <w:szCs w:val="22"/>
        </w:rPr>
      </w:pPr>
      <w:del w:id="13285" w:author="AbbVie2" w:date="2025-05-14T10:22:00Z">
        <w:r w:rsidRPr="008912CF">
          <w:rPr>
            <w:b/>
            <w:sz w:val="22"/>
            <w:szCs w:val="22"/>
          </w:rPr>
          <w:delText>4.</w:delText>
        </w:r>
        <w:r w:rsidRPr="008912CF">
          <w:rPr>
            <w:b/>
            <w:sz w:val="22"/>
            <w:szCs w:val="22"/>
          </w:rPr>
          <w:tab/>
          <w:delText xml:space="preserve">Efeitos </w:delText>
        </w:r>
        <w:r w:rsidR="00571C82">
          <w:rPr>
            <w:b/>
            <w:sz w:val="22"/>
            <w:szCs w:val="22"/>
          </w:rPr>
          <w:delText>indesejáveis</w:delText>
        </w:r>
        <w:r w:rsidRPr="008912CF">
          <w:rPr>
            <w:b/>
            <w:sz w:val="22"/>
            <w:szCs w:val="22"/>
          </w:rPr>
          <w:delText xml:space="preserve"> possíveis</w:delText>
        </w:r>
      </w:del>
    </w:p>
    <w:p w14:paraId="6FD29D7C" w14:textId="3B36B346" w:rsidR="004462A0" w:rsidRPr="008912CF" w:rsidRDefault="004462A0" w:rsidP="004462A0">
      <w:pPr>
        <w:ind w:right="-2"/>
        <w:rPr>
          <w:del w:id="13286" w:author="AbbVie2" w:date="2025-05-14T10:22:00Z"/>
          <w:sz w:val="22"/>
          <w:szCs w:val="22"/>
        </w:rPr>
      </w:pPr>
    </w:p>
    <w:p w14:paraId="7DF098ED" w14:textId="21C6B94B" w:rsidR="004462A0" w:rsidRPr="008912CF" w:rsidRDefault="00615769" w:rsidP="004462A0">
      <w:pPr>
        <w:rPr>
          <w:del w:id="13287" w:author="AbbVie2" w:date="2025-05-14T10:22:00Z"/>
          <w:sz w:val="22"/>
          <w:szCs w:val="22"/>
        </w:rPr>
      </w:pPr>
      <w:del w:id="13288" w:author="AbbVie2" w:date="2025-05-14T10:22:00Z">
        <w:r w:rsidRPr="008912CF">
          <w:rPr>
            <w:sz w:val="22"/>
            <w:szCs w:val="22"/>
          </w:rPr>
          <w:delText xml:space="preserve">Como todos os medicamentos, este medicamento pode causar efeitos </w:delText>
        </w:r>
        <w:r w:rsidR="00571C82">
          <w:rPr>
            <w:sz w:val="22"/>
            <w:szCs w:val="22"/>
          </w:rPr>
          <w:delText>indesejáveis</w:delText>
        </w:r>
        <w:r w:rsidRPr="008912CF">
          <w:rPr>
            <w:sz w:val="22"/>
            <w:szCs w:val="22"/>
          </w:rPr>
          <w:delText xml:space="preserve">, embora estes não se manifestem em todas as pessoas. A maioria dos efeitos </w:delText>
        </w:r>
        <w:r w:rsidR="00571C82">
          <w:rPr>
            <w:sz w:val="22"/>
            <w:szCs w:val="22"/>
          </w:rPr>
          <w:delText>indesejáveis</w:delText>
        </w:r>
        <w:r w:rsidRPr="008912CF">
          <w:rPr>
            <w:sz w:val="22"/>
            <w:szCs w:val="22"/>
          </w:rPr>
          <w:delText xml:space="preserve"> são ligeiros a moderados. No entanto, alguns podem ser graves e requerer tratamento. Podem ocorrer efeitos </w:delText>
        </w:r>
        <w:r w:rsidR="00571C82">
          <w:rPr>
            <w:sz w:val="22"/>
            <w:szCs w:val="22"/>
          </w:rPr>
          <w:delText>indesejáveis</w:delText>
        </w:r>
        <w:r w:rsidRPr="008912CF">
          <w:rPr>
            <w:sz w:val="22"/>
            <w:szCs w:val="22"/>
          </w:rPr>
          <w:delText xml:space="preserve"> pelo menos até 4 meses após a última injeção de Humira. </w:delText>
        </w:r>
      </w:del>
    </w:p>
    <w:p w14:paraId="1227B81B" w14:textId="5FBF3083" w:rsidR="004462A0" w:rsidRPr="008912CF" w:rsidRDefault="004462A0" w:rsidP="004462A0">
      <w:pPr>
        <w:rPr>
          <w:del w:id="13289" w:author="AbbVie2" w:date="2025-05-14T10:22:00Z"/>
          <w:sz w:val="22"/>
          <w:szCs w:val="22"/>
        </w:rPr>
      </w:pPr>
    </w:p>
    <w:p w14:paraId="18CEAEF7" w14:textId="6B655062" w:rsidR="004462A0" w:rsidRPr="008912CF" w:rsidRDefault="00615769" w:rsidP="004462A0">
      <w:pPr>
        <w:rPr>
          <w:del w:id="13290" w:author="AbbVie2" w:date="2025-05-14T10:22:00Z"/>
          <w:sz w:val="22"/>
          <w:szCs w:val="22"/>
        </w:rPr>
      </w:pPr>
      <w:del w:id="13291" w:author="AbbVie2" w:date="2025-05-14T10:22:00Z">
        <w:r w:rsidRPr="008912CF">
          <w:rPr>
            <w:sz w:val="22"/>
            <w:szCs w:val="22"/>
          </w:rPr>
          <w:delText>Informe imediatamente o seu médico se tiver algum dos seguintes sintomas</w:delText>
        </w:r>
      </w:del>
    </w:p>
    <w:p w14:paraId="4C1AF453" w14:textId="28C99D6A" w:rsidR="004462A0" w:rsidRPr="008912CF" w:rsidRDefault="004462A0" w:rsidP="004462A0">
      <w:pPr>
        <w:rPr>
          <w:del w:id="13292" w:author="AbbVie2" w:date="2025-05-14T10:22:00Z"/>
          <w:sz w:val="22"/>
          <w:szCs w:val="22"/>
        </w:rPr>
      </w:pPr>
    </w:p>
    <w:p w14:paraId="411BEFA4" w14:textId="14ED1D8F" w:rsidR="004462A0" w:rsidRPr="008912CF" w:rsidRDefault="00615769" w:rsidP="004462A0">
      <w:pPr>
        <w:numPr>
          <w:ilvl w:val="1"/>
          <w:numId w:val="36"/>
        </w:numPr>
        <w:tabs>
          <w:tab w:val="num" w:pos="1440"/>
        </w:tabs>
        <w:rPr>
          <w:del w:id="13293" w:author="AbbVie2" w:date="2025-05-14T10:22:00Z"/>
          <w:sz w:val="22"/>
          <w:szCs w:val="22"/>
        </w:rPr>
      </w:pPr>
      <w:del w:id="13294" w:author="AbbVie2" w:date="2025-05-14T10:22:00Z">
        <w:r>
          <w:rPr>
            <w:sz w:val="22"/>
            <w:szCs w:val="22"/>
          </w:rPr>
          <w:delText>p</w:delText>
        </w:r>
        <w:r w:rsidRPr="008912CF">
          <w:rPr>
            <w:sz w:val="22"/>
            <w:szCs w:val="22"/>
          </w:rPr>
          <w:delText>ele muito irritada, comichão ou outros sinais de reação alérgica;</w:delText>
        </w:r>
      </w:del>
    </w:p>
    <w:p w14:paraId="67C53819" w14:textId="332F9C78" w:rsidR="004462A0" w:rsidRPr="008912CF" w:rsidRDefault="00615769" w:rsidP="004462A0">
      <w:pPr>
        <w:numPr>
          <w:ilvl w:val="0"/>
          <w:numId w:val="37"/>
        </w:numPr>
        <w:rPr>
          <w:del w:id="13295" w:author="AbbVie2" w:date="2025-05-14T10:22:00Z"/>
          <w:sz w:val="22"/>
          <w:szCs w:val="22"/>
        </w:rPr>
      </w:pPr>
      <w:del w:id="13296" w:author="AbbVie2" w:date="2025-05-14T10:22:00Z">
        <w:r>
          <w:rPr>
            <w:sz w:val="22"/>
            <w:szCs w:val="22"/>
          </w:rPr>
          <w:delText>i</w:delText>
        </w:r>
        <w:r w:rsidRPr="008912CF">
          <w:rPr>
            <w:sz w:val="22"/>
            <w:szCs w:val="22"/>
          </w:rPr>
          <w:delText xml:space="preserve">nchaço da face, mãos, pés; </w:delText>
        </w:r>
      </w:del>
    </w:p>
    <w:p w14:paraId="140608E7" w14:textId="0DC5AE0D" w:rsidR="004462A0" w:rsidRPr="008912CF" w:rsidRDefault="00615769" w:rsidP="004462A0">
      <w:pPr>
        <w:numPr>
          <w:ilvl w:val="0"/>
          <w:numId w:val="38"/>
        </w:numPr>
        <w:rPr>
          <w:del w:id="13297" w:author="AbbVie2" w:date="2025-05-14T10:22:00Z"/>
          <w:sz w:val="22"/>
          <w:szCs w:val="22"/>
        </w:rPr>
      </w:pPr>
      <w:del w:id="13298" w:author="AbbVie2" w:date="2025-05-14T10:22:00Z">
        <w:r>
          <w:rPr>
            <w:sz w:val="22"/>
            <w:szCs w:val="22"/>
          </w:rPr>
          <w:delText>d</w:delText>
        </w:r>
        <w:r w:rsidRPr="008912CF">
          <w:rPr>
            <w:sz w:val="22"/>
            <w:szCs w:val="22"/>
          </w:rPr>
          <w:delText>ificuldades em respirar, em engolir;</w:delText>
        </w:r>
      </w:del>
    </w:p>
    <w:p w14:paraId="46903606" w14:textId="496B191C" w:rsidR="004462A0" w:rsidRPr="008912CF" w:rsidRDefault="00615769" w:rsidP="004462A0">
      <w:pPr>
        <w:numPr>
          <w:ilvl w:val="0"/>
          <w:numId w:val="38"/>
        </w:numPr>
        <w:rPr>
          <w:del w:id="13299" w:author="AbbVie2" w:date="2025-05-14T10:22:00Z"/>
          <w:sz w:val="22"/>
          <w:szCs w:val="22"/>
          <w:u w:val="single"/>
        </w:rPr>
      </w:pPr>
      <w:del w:id="13300" w:author="AbbVie2" w:date="2025-05-14T10:22:00Z">
        <w:r>
          <w:rPr>
            <w:sz w:val="22"/>
            <w:szCs w:val="22"/>
          </w:rPr>
          <w:delText>f</w:delText>
        </w:r>
        <w:r w:rsidRPr="008912CF">
          <w:rPr>
            <w:sz w:val="22"/>
            <w:szCs w:val="22"/>
          </w:rPr>
          <w:delText>alta de ar durante o esforço ou quando deitado ou inchaço dos pés.</w:delText>
        </w:r>
      </w:del>
    </w:p>
    <w:p w14:paraId="25754F2F" w14:textId="2CAF1732" w:rsidR="004462A0" w:rsidRPr="008912CF" w:rsidRDefault="004462A0" w:rsidP="004462A0">
      <w:pPr>
        <w:rPr>
          <w:del w:id="13301" w:author="AbbVie2" w:date="2025-05-14T10:22:00Z"/>
          <w:sz w:val="22"/>
          <w:szCs w:val="22"/>
          <w:u w:val="single"/>
        </w:rPr>
      </w:pPr>
    </w:p>
    <w:p w14:paraId="206B9119" w14:textId="30CF2E19" w:rsidR="004462A0" w:rsidRPr="008912CF" w:rsidRDefault="00615769" w:rsidP="004462A0">
      <w:pPr>
        <w:rPr>
          <w:del w:id="13302" w:author="AbbVie2" w:date="2025-05-14T10:22:00Z"/>
          <w:sz w:val="22"/>
          <w:szCs w:val="22"/>
        </w:rPr>
      </w:pPr>
      <w:del w:id="13303" w:author="AbbVie2" w:date="2025-05-14T10:22:00Z">
        <w:r w:rsidRPr="008912CF">
          <w:rPr>
            <w:sz w:val="22"/>
            <w:szCs w:val="22"/>
          </w:rPr>
          <w:delText xml:space="preserve">Informe imediatamente o seu médico se tiver algum dos seguintes efeitos </w:delText>
        </w:r>
        <w:r w:rsidR="00571C82">
          <w:rPr>
            <w:sz w:val="22"/>
            <w:szCs w:val="22"/>
          </w:rPr>
          <w:delText>indesejáveis</w:delText>
        </w:r>
      </w:del>
    </w:p>
    <w:p w14:paraId="59AA2972" w14:textId="172841E3" w:rsidR="004462A0" w:rsidRPr="008912CF" w:rsidRDefault="004462A0" w:rsidP="004462A0">
      <w:pPr>
        <w:rPr>
          <w:del w:id="13304" w:author="AbbVie2" w:date="2025-05-14T10:22:00Z"/>
          <w:sz w:val="22"/>
          <w:szCs w:val="22"/>
        </w:rPr>
      </w:pPr>
    </w:p>
    <w:p w14:paraId="7004F18C" w14:textId="2644A301" w:rsidR="004462A0" w:rsidRPr="008912CF" w:rsidRDefault="00615769" w:rsidP="004462A0">
      <w:pPr>
        <w:numPr>
          <w:ilvl w:val="1"/>
          <w:numId w:val="38"/>
        </w:numPr>
        <w:tabs>
          <w:tab w:val="left" w:pos="993"/>
        </w:tabs>
        <w:rPr>
          <w:del w:id="13305" w:author="AbbVie2" w:date="2025-05-14T10:22:00Z"/>
          <w:sz w:val="22"/>
          <w:szCs w:val="22"/>
        </w:rPr>
      </w:pPr>
      <w:del w:id="13306" w:author="AbbVie2" w:date="2025-05-14T10:22:00Z">
        <w:r>
          <w:rPr>
            <w:sz w:val="22"/>
            <w:szCs w:val="22"/>
          </w:rPr>
          <w:delText>s</w:delText>
        </w:r>
        <w:r w:rsidRPr="008912CF">
          <w:rPr>
            <w:sz w:val="22"/>
            <w:szCs w:val="22"/>
          </w:rPr>
          <w:delText>inais de infeção tais como febre, má disposição, feridas, problemas dentários ou sensação de ardor ao urinar;</w:delText>
        </w:r>
      </w:del>
    </w:p>
    <w:p w14:paraId="08B380B9" w14:textId="1AB0329F" w:rsidR="004462A0" w:rsidRPr="008912CF" w:rsidRDefault="00615769" w:rsidP="004462A0">
      <w:pPr>
        <w:numPr>
          <w:ilvl w:val="1"/>
          <w:numId w:val="38"/>
        </w:numPr>
        <w:tabs>
          <w:tab w:val="left" w:pos="993"/>
        </w:tabs>
        <w:rPr>
          <w:del w:id="13307" w:author="AbbVie2" w:date="2025-05-14T10:22:00Z"/>
          <w:sz w:val="22"/>
          <w:szCs w:val="22"/>
        </w:rPr>
      </w:pPr>
      <w:del w:id="13308" w:author="AbbVie2" w:date="2025-05-14T10:22:00Z">
        <w:r>
          <w:rPr>
            <w:sz w:val="22"/>
            <w:szCs w:val="22"/>
          </w:rPr>
          <w:delText>s</w:delText>
        </w:r>
        <w:r w:rsidRPr="008912CF">
          <w:rPr>
            <w:sz w:val="22"/>
            <w:szCs w:val="22"/>
          </w:rPr>
          <w:delText>ensação de fraqueza ou cansaço;</w:delText>
        </w:r>
      </w:del>
    </w:p>
    <w:p w14:paraId="695DEC3B" w14:textId="287CC37F" w:rsidR="004462A0" w:rsidRPr="008912CF" w:rsidRDefault="00615769" w:rsidP="004462A0">
      <w:pPr>
        <w:numPr>
          <w:ilvl w:val="1"/>
          <w:numId w:val="38"/>
        </w:numPr>
        <w:tabs>
          <w:tab w:val="left" w:pos="993"/>
        </w:tabs>
        <w:rPr>
          <w:del w:id="13309" w:author="AbbVie2" w:date="2025-05-14T10:22:00Z"/>
          <w:sz w:val="22"/>
          <w:szCs w:val="22"/>
        </w:rPr>
      </w:pPr>
      <w:del w:id="13310" w:author="AbbVie2" w:date="2025-05-14T10:22:00Z">
        <w:r>
          <w:rPr>
            <w:sz w:val="22"/>
            <w:szCs w:val="22"/>
          </w:rPr>
          <w:delText>t</w:delText>
        </w:r>
        <w:r w:rsidRPr="008912CF">
          <w:rPr>
            <w:sz w:val="22"/>
            <w:szCs w:val="22"/>
          </w:rPr>
          <w:delText>osse;</w:delText>
        </w:r>
      </w:del>
    </w:p>
    <w:p w14:paraId="533C8805" w14:textId="1FCE2492" w:rsidR="004462A0" w:rsidRPr="008912CF" w:rsidRDefault="00615769" w:rsidP="004462A0">
      <w:pPr>
        <w:numPr>
          <w:ilvl w:val="1"/>
          <w:numId w:val="38"/>
        </w:numPr>
        <w:tabs>
          <w:tab w:val="left" w:pos="993"/>
        </w:tabs>
        <w:rPr>
          <w:del w:id="13311" w:author="AbbVie2" w:date="2025-05-14T10:22:00Z"/>
          <w:sz w:val="22"/>
          <w:szCs w:val="22"/>
        </w:rPr>
      </w:pPr>
      <w:del w:id="13312" w:author="AbbVie2" w:date="2025-05-14T10:22:00Z">
        <w:r>
          <w:rPr>
            <w:sz w:val="22"/>
            <w:szCs w:val="22"/>
          </w:rPr>
          <w:delText>f</w:delText>
        </w:r>
        <w:r w:rsidRPr="008912CF">
          <w:rPr>
            <w:sz w:val="22"/>
            <w:szCs w:val="22"/>
          </w:rPr>
          <w:delText>ormigueiro;</w:delText>
        </w:r>
      </w:del>
    </w:p>
    <w:p w14:paraId="543B19EE" w14:textId="50C90A98" w:rsidR="004462A0" w:rsidRPr="008912CF" w:rsidRDefault="00615769" w:rsidP="004462A0">
      <w:pPr>
        <w:numPr>
          <w:ilvl w:val="1"/>
          <w:numId w:val="38"/>
        </w:numPr>
        <w:tabs>
          <w:tab w:val="left" w:pos="993"/>
        </w:tabs>
        <w:rPr>
          <w:del w:id="13313" w:author="AbbVie2" w:date="2025-05-14T10:22:00Z"/>
          <w:sz w:val="22"/>
          <w:szCs w:val="22"/>
        </w:rPr>
      </w:pPr>
      <w:del w:id="13314" w:author="AbbVie2" w:date="2025-05-14T10:22:00Z">
        <w:r>
          <w:rPr>
            <w:sz w:val="22"/>
            <w:szCs w:val="22"/>
          </w:rPr>
          <w:delText>d</w:delText>
        </w:r>
        <w:r w:rsidRPr="008912CF">
          <w:rPr>
            <w:sz w:val="22"/>
            <w:szCs w:val="22"/>
          </w:rPr>
          <w:delText>ormência;</w:delText>
        </w:r>
      </w:del>
    </w:p>
    <w:p w14:paraId="7A5EB1CC" w14:textId="6B4FABE9" w:rsidR="004462A0" w:rsidRPr="008912CF" w:rsidRDefault="00615769" w:rsidP="004462A0">
      <w:pPr>
        <w:numPr>
          <w:ilvl w:val="1"/>
          <w:numId w:val="38"/>
        </w:numPr>
        <w:tabs>
          <w:tab w:val="left" w:pos="993"/>
        </w:tabs>
        <w:rPr>
          <w:del w:id="13315" w:author="AbbVie2" w:date="2025-05-14T10:22:00Z"/>
          <w:sz w:val="22"/>
          <w:szCs w:val="22"/>
        </w:rPr>
      </w:pPr>
      <w:del w:id="13316" w:author="AbbVie2" w:date="2025-05-14T10:22:00Z">
        <w:r>
          <w:rPr>
            <w:sz w:val="22"/>
            <w:szCs w:val="22"/>
          </w:rPr>
          <w:delText>v</w:delText>
        </w:r>
        <w:r w:rsidRPr="008912CF">
          <w:rPr>
            <w:sz w:val="22"/>
            <w:szCs w:val="22"/>
          </w:rPr>
          <w:delText xml:space="preserve">isão dupla; </w:delText>
        </w:r>
      </w:del>
    </w:p>
    <w:p w14:paraId="1DD7E65B" w14:textId="3B710266" w:rsidR="004462A0" w:rsidRPr="008912CF" w:rsidRDefault="00615769" w:rsidP="004462A0">
      <w:pPr>
        <w:numPr>
          <w:ilvl w:val="1"/>
          <w:numId w:val="38"/>
        </w:numPr>
        <w:tabs>
          <w:tab w:val="left" w:pos="993"/>
        </w:tabs>
        <w:rPr>
          <w:del w:id="13317" w:author="AbbVie2" w:date="2025-05-14T10:22:00Z"/>
          <w:sz w:val="22"/>
          <w:szCs w:val="22"/>
        </w:rPr>
      </w:pPr>
      <w:del w:id="13318" w:author="AbbVie2" w:date="2025-05-14T10:22:00Z">
        <w:r>
          <w:rPr>
            <w:sz w:val="22"/>
            <w:szCs w:val="22"/>
          </w:rPr>
          <w:delText>s</w:delText>
        </w:r>
        <w:r w:rsidRPr="008912CF">
          <w:rPr>
            <w:sz w:val="22"/>
            <w:szCs w:val="22"/>
          </w:rPr>
          <w:delText>ensação de fraqueza nos braços ou pernas;</w:delText>
        </w:r>
      </w:del>
    </w:p>
    <w:p w14:paraId="7EAD05A6" w14:textId="55E8FB33" w:rsidR="004462A0" w:rsidRPr="008912CF" w:rsidRDefault="00615769" w:rsidP="004462A0">
      <w:pPr>
        <w:numPr>
          <w:ilvl w:val="1"/>
          <w:numId w:val="38"/>
        </w:numPr>
        <w:tabs>
          <w:tab w:val="left" w:pos="993"/>
        </w:tabs>
        <w:rPr>
          <w:del w:id="13319" w:author="AbbVie2" w:date="2025-05-14T10:22:00Z"/>
          <w:sz w:val="22"/>
          <w:szCs w:val="22"/>
        </w:rPr>
      </w:pPr>
      <w:del w:id="13320" w:author="AbbVie2" w:date="2025-05-14T10:22:00Z">
        <w:r>
          <w:rPr>
            <w:color w:val="000000"/>
            <w:sz w:val="22"/>
            <w:szCs w:val="22"/>
          </w:rPr>
          <w:delText>i</w:delText>
        </w:r>
        <w:r w:rsidRPr="008912CF">
          <w:rPr>
            <w:color w:val="000000"/>
            <w:sz w:val="22"/>
            <w:szCs w:val="22"/>
          </w:rPr>
          <w:delText>nchaço ou ferida aberta que não cicatriza;</w:delText>
        </w:r>
      </w:del>
    </w:p>
    <w:p w14:paraId="4EBEB447" w14:textId="7686872A" w:rsidR="004462A0" w:rsidRPr="008912CF" w:rsidRDefault="00615769" w:rsidP="004462A0">
      <w:pPr>
        <w:numPr>
          <w:ilvl w:val="1"/>
          <w:numId w:val="38"/>
        </w:numPr>
        <w:tabs>
          <w:tab w:val="left" w:pos="993"/>
        </w:tabs>
        <w:rPr>
          <w:del w:id="13321" w:author="AbbVie2" w:date="2025-05-14T10:22:00Z"/>
          <w:sz w:val="22"/>
          <w:szCs w:val="22"/>
        </w:rPr>
      </w:pPr>
      <w:del w:id="13322" w:author="AbbVie2" w:date="2025-05-14T10:22:00Z">
        <w:r>
          <w:rPr>
            <w:sz w:val="22"/>
            <w:szCs w:val="22"/>
          </w:rPr>
          <w:delText>s</w:delText>
        </w:r>
        <w:r w:rsidRPr="008912CF">
          <w:rPr>
            <w:sz w:val="22"/>
            <w:szCs w:val="22"/>
          </w:rPr>
          <w:delText>inais ou sintomas sugestivos de alterações sanguíneas tais como febre persistente, nódoas negras, hemorragias, palidez.</w:delText>
        </w:r>
      </w:del>
    </w:p>
    <w:p w14:paraId="0516F51E" w14:textId="21FC5D0E" w:rsidR="004462A0" w:rsidRPr="008912CF" w:rsidRDefault="004462A0" w:rsidP="004462A0">
      <w:pPr>
        <w:rPr>
          <w:del w:id="13323" w:author="AbbVie2" w:date="2025-05-14T10:22:00Z"/>
          <w:sz w:val="22"/>
          <w:szCs w:val="22"/>
        </w:rPr>
      </w:pPr>
    </w:p>
    <w:p w14:paraId="5CC633E6" w14:textId="47727F62" w:rsidR="004462A0" w:rsidRPr="008912CF" w:rsidRDefault="00615769" w:rsidP="004462A0">
      <w:pPr>
        <w:rPr>
          <w:del w:id="13324" w:author="AbbVie2" w:date="2025-05-14T10:22:00Z"/>
          <w:sz w:val="22"/>
          <w:szCs w:val="22"/>
        </w:rPr>
      </w:pPr>
      <w:del w:id="13325" w:author="AbbVie2" w:date="2025-05-14T10:22:00Z">
        <w:r w:rsidRPr="008912CF">
          <w:rPr>
            <w:sz w:val="22"/>
            <w:szCs w:val="22"/>
          </w:rPr>
          <w:delText xml:space="preserve">Os sintomas descritos acima podem ser sinais dos efeitos </w:delText>
        </w:r>
        <w:r w:rsidR="00571C82">
          <w:rPr>
            <w:sz w:val="22"/>
            <w:szCs w:val="22"/>
          </w:rPr>
          <w:delText>indesejáveis</w:delText>
        </w:r>
        <w:r w:rsidRPr="008912CF">
          <w:rPr>
            <w:sz w:val="22"/>
            <w:szCs w:val="22"/>
          </w:rPr>
          <w:delText xml:space="preserve"> descritos a seguir e que foram observados com Humira</w:delText>
        </w:r>
        <w:r w:rsidR="00491A73">
          <w:rPr>
            <w:sz w:val="22"/>
            <w:szCs w:val="22"/>
          </w:rPr>
          <w:delText>.</w:delText>
        </w:r>
      </w:del>
    </w:p>
    <w:p w14:paraId="3AC1DAA4" w14:textId="0E8DAA45" w:rsidR="004462A0" w:rsidRPr="008912CF" w:rsidRDefault="004462A0" w:rsidP="004462A0">
      <w:pPr>
        <w:rPr>
          <w:del w:id="13326" w:author="AbbVie2" w:date="2025-05-14T10:22:00Z"/>
          <w:sz w:val="22"/>
          <w:szCs w:val="22"/>
        </w:rPr>
      </w:pPr>
    </w:p>
    <w:p w14:paraId="39EDA87C" w14:textId="3AB55FC5" w:rsidR="004462A0" w:rsidRPr="008912CF" w:rsidRDefault="00615769" w:rsidP="004462A0">
      <w:pPr>
        <w:rPr>
          <w:del w:id="13327" w:author="AbbVie2" w:date="2025-05-14T10:22:00Z"/>
          <w:sz w:val="22"/>
          <w:szCs w:val="22"/>
        </w:rPr>
      </w:pPr>
      <w:del w:id="13328" w:author="AbbVie2" w:date="2025-05-14T10:22:00Z">
        <w:r w:rsidRPr="008912CF">
          <w:rPr>
            <w:sz w:val="22"/>
            <w:szCs w:val="22"/>
          </w:rPr>
          <w:delText>Muito frequentes (podem afetar mais de 1 em 10 pessoas)</w:delText>
        </w:r>
      </w:del>
    </w:p>
    <w:p w14:paraId="6D656DE4" w14:textId="5B27CBED" w:rsidR="004462A0" w:rsidRPr="008912CF" w:rsidRDefault="004462A0" w:rsidP="004462A0">
      <w:pPr>
        <w:rPr>
          <w:del w:id="13329" w:author="AbbVie2" w:date="2025-05-14T10:22:00Z"/>
          <w:sz w:val="22"/>
          <w:szCs w:val="22"/>
        </w:rPr>
      </w:pPr>
    </w:p>
    <w:p w14:paraId="6735C3A7" w14:textId="13600156" w:rsidR="004462A0" w:rsidRPr="008912CF" w:rsidRDefault="00615769" w:rsidP="004462A0">
      <w:pPr>
        <w:numPr>
          <w:ilvl w:val="0"/>
          <w:numId w:val="67"/>
        </w:numPr>
        <w:tabs>
          <w:tab w:val="clear" w:pos="284"/>
          <w:tab w:val="left" w:pos="600"/>
        </w:tabs>
        <w:ind w:left="600" w:hanging="600"/>
        <w:rPr>
          <w:del w:id="13330" w:author="AbbVie2" w:date="2025-05-14T10:22:00Z"/>
          <w:sz w:val="22"/>
          <w:szCs w:val="22"/>
        </w:rPr>
      </w:pPr>
      <w:del w:id="13331" w:author="AbbVie2" w:date="2025-05-14T10:22:00Z">
        <w:r w:rsidRPr="008912CF">
          <w:rPr>
            <w:sz w:val="22"/>
            <w:szCs w:val="22"/>
          </w:rPr>
          <w:delText>reações no local da injeção (incluindo dor, inchaço, vermelhidão ou comichão);</w:delText>
        </w:r>
      </w:del>
    </w:p>
    <w:p w14:paraId="149FD961" w14:textId="147F9AE9" w:rsidR="004462A0" w:rsidRPr="008912CF" w:rsidRDefault="00615769" w:rsidP="004462A0">
      <w:pPr>
        <w:numPr>
          <w:ilvl w:val="0"/>
          <w:numId w:val="67"/>
        </w:numPr>
        <w:tabs>
          <w:tab w:val="clear" w:pos="284"/>
          <w:tab w:val="left" w:pos="600"/>
        </w:tabs>
        <w:ind w:left="600" w:hanging="600"/>
        <w:rPr>
          <w:del w:id="13332" w:author="AbbVie2" w:date="2025-05-14T10:22:00Z"/>
          <w:sz w:val="22"/>
          <w:szCs w:val="22"/>
        </w:rPr>
      </w:pPr>
      <w:del w:id="13333" w:author="AbbVie2" w:date="2025-05-14T10:22:00Z">
        <w:r w:rsidRPr="008912CF">
          <w:rPr>
            <w:sz w:val="22"/>
            <w:szCs w:val="22"/>
          </w:rPr>
          <w:delText>infeções do trato respiratório (incluindo constipação, nariz a pingar, infeção sinusal, pneumonia);</w:delText>
        </w:r>
      </w:del>
    </w:p>
    <w:p w14:paraId="53630D71" w14:textId="3E637611" w:rsidR="004462A0" w:rsidRPr="008912CF" w:rsidRDefault="00615769" w:rsidP="004462A0">
      <w:pPr>
        <w:numPr>
          <w:ilvl w:val="0"/>
          <w:numId w:val="67"/>
        </w:numPr>
        <w:tabs>
          <w:tab w:val="clear" w:pos="284"/>
          <w:tab w:val="left" w:pos="600"/>
        </w:tabs>
        <w:ind w:left="600" w:hanging="600"/>
        <w:rPr>
          <w:del w:id="13334" w:author="AbbVie2" w:date="2025-05-14T10:22:00Z"/>
          <w:sz w:val="22"/>
          <w:szCs w:val="22"/>
        </w:rPr>
      </w:pPr>
      <w:del w:id="13335" w:author="AbbVie2" w:date="2025-05-14T10:22:00Z">
        <w:r w:rsidRPr="008912CF">
          <w:rPr>
            <w:sz w:val="22"/>
            <w:szCs w:val="22"/>
          </w:rPr>
          <w:delText>dor de cabeça;</w:delText>
        </w:r>
      </w:del>
    </w:p>
    <w:p w14:paraId="1A079287" w14:textId="2A757C5B" w:rsidR="004462A0" w:rsidRPr="008912CF" w:rsidRDefault="00615769" w:rsidP="004462A0">
      <w:pPr>
        <w:numPr>
          <w:ilvl w:val="0"/>
          <w:numId w:val="67"/>
        </w:numPr>
        <w:tabs>
          <w:tab w:val="clear" w:pos="284"/>
          <w:tab w:val="left" w:pos="600"/>
        </w:tabs>
        <w:ind w:left="600" w:hanging="600"/>
        <w:rPr>
          <w:del w:id="13336" w:author="AbbVie2" w:date="2025-05-14T10:22:00Z"/>
          <w:sz w:val="22"/>
          <w:szCs w:val="22"/>
        </w:rPr>
      </w:pPr>
      <w:del w:id="13337" w:author="AbbVie2" w:date="2025-05-14T10:22:00Z">
        <w:r w:rsidRPr="008912CF">
          <w:rPr>
            <w:sz w:val="22"/>
            <w:szCs w:val="22"/>
          </w:rPr>
          <w:delText>dor abdominal;</w:delText>
        </w:r>
      </w:del>
    </w:p>
    <w:p w14:paraId="2F8CFCCA" w14:textId="74C7E1DA" w:rsidR="004462A0" w:rsidRPr="008912CF" w:rsidRDefault="00615769" w:rsidP="004462A0">
      <w:pPr>
        <w:numPr>
          <w:ilvl w:val="0"/>
          <w:numId w:val="67"/>
        </w:numPr>
        <w:tabs>
          <w:tab w:val="clear" w:pos="284"/>
          <w:tab w:val="left" w:pos="600"/>
        </w:tabs>
        <w:ind w:left="600" w:hanging="600"/>
        <w:rPr>
          <w:del w:id="13338" w:author="AbbVie2" w:date="2025-05-14T10:22:00Z"/>
          <w:sz w:val="22"/>
          <w:szCs w:val="22"/>
        </w:rPr>
      </w:pPr>
      <w:del w:id="13339" w:author="AbbVie2" w:date="2025-05-14T10:22:00Z">
        <w:r w:rsidRPr="008912CF">
          <w:rPr>
            <w:sz w:val="22"/>
            <w:szCs w:val="22"/>
          </w:rPr>
          <w:delText>náuseas e vómitos;</w:delText>
        </w:r>
      </w:del>
    </w:p>
    <w:p w14:paraId="4ECAB09E" w14:textId="5F958BAB" w:rsidR="004462A0" w:rsidRPr="008912CF" w:rsidRDefault="00615769" w:rsidP="004462A0">
      <w:pPr>
        <w:numPr>
          <w:ilvl w:val="0"/>
          <w:numId w:val="67"/>
        </w:numPr>
        <w:tabs>
          <w:tab w:val="clear" w:pos="284"/>
          <w:tab w:val="left" w:pos="600"/>
        </w:tabs>
        <w:ind w:left="600" w:hanging="600"/>
        <w:rPr>
          <w:del w:id="13340" w:author="AbbVie2" w:date="2025-05-14T10:22:00Z"/>
          <w:sz w:val="22"/>
          <w:szCs w:val="22"/>
        </w:rPr>
      </w:pPr>
      <w:del w:id="13341" w:author="AbbVie2" w:date="2025-05-14T10:22:00Z">
        <w:r w:rsidRPr="008912CF">
          <w:rPr>
            <w:sz w:val="22"/>
            <w:szCs w:val="22"/>
          </w:rPr>
          <w:delText>erupção cutânea;</w:delText>
        </w:r>
      </w:del>
    </w:p>
    <w:p w14:paraId="50E67211" w14:textId="57D45F68" w:rsidR="004462A0" w:rsidRPr="008912CF" w:rsidRDefault="00615769" w:rsidP="004462A0">
      <w:pPr>
        <w:numPr>
          <w:ilvl w:val="0"/>
          <w:numId w:val="67"/>
        </w:numPr>
        <w:tabs>
          <w:tab w:val="clear" w:pos="284"/>
          <w:tab w:val="left" w:pos="600"/>
        </w:tabs>
        <w:ind w:left="600" w:hanging="600"/>
        <w:rPr>
          <w:del w:id="13342" w:author="AbbVie2" w:date="2025-05-14T10:22:00Z"/>
          <w:sz w:val="22"/>
          <w:szCs w:val="22"/>
        </w:rPr>
      </w:pPr>
      <w:del w:id="13343" w:author="AbbVie2" w:date="2025-05-14T10:22:00Z">
        <w:r w:rsidRPr="008912CF">
          <w:rPr>
            <w:sz w:val="22"/>
            <w:szCs w:val="22"/>
          </w:rPr>
          <w:delText>dor musculoesquelética.</w:delText>
        </w:r>
      </w:del>
    </w:p>
    <w:p w14:paraId="33B2D9C2" w14:textId="095D0B93" w:rsidR="004462A0" w:rsidRPr="008912CF" w:rsidRDefault="004462A0" w:rsidP="004462A0">
      <w:pPr>
        <w:tabs>
          <w:tab w:val="left" w:pos="600"/>
        </w:tabs>
        <w:ind w:left="600" w:hanging="600"/>
        <w:rPr>
          <w:del w:id="13344" w:author="AbbVie2" w:date="2025-05-14T10:22:00Z"/>
          <w:sz w:val="22"/>
          <w:szCs w:val="22"/>
        </w:rPr>
      </w:pPr>
    </w:p>
    <w:p w14:paraId="6F58AA4F" w14:textId="60272C4E" w:rsidR="004462A0" w:rsidRPr="008912CF" w:rsidRDefault="00615769" w:rsidP="004462A0">
      <w:pPr>
        <w:tabs>
          <w:tab w:val="left" w:pos="600"/>
        </w:tabs>
        <w:ind w:left="600" w:hanging="600"/>
        <w:rPr>
          <w:del w:id="13345" w:author="AbbVie2" w:date="2025-05-14T10:22:00Z"/>
          <w:sz w:val="22"/>
          <w:szCs w:val="22"/>
        </w:rPr>
      </w:pPr>
      <w:del w:id="13346" w:author="AbbVie2" w:date="2025-05-14T10:22:00Z">
        <w:r w:rsidRPr="008912CF">
          <w:rPr>
            <w:sz w:val="22"/>
            <w:szCs w:val="22"/>
          </w:rPr>
          <w:delText>Frequentes (podem afetar até 1 em 10 pessoas)</w:delText>
        </w:r>
      </w:del>
    </w:p>
    <w:p w14:paraId="378A99CD" w14:textId="59DB843A" w:rsidR="004462A0" w:rsidRPr="008912CF" w:rsidRDefault="004462A0" w:rsidP="004462A0">
      <w:pPr>
        <w:tabs>
          <w:tab w:val="left" w:pos="600"/>
        </w:tabs>
        <w:ind w:left="600" w:hanging="600"/>
        <w:rPr>
          <w:del w:id="13347" w:author="AbbVie2" w:date="2025-05-14T10:22:00Z"/>
          <w:sz w:val="22"/>
          <w:szCs w:val="22"/>
        </w:rPr>
      </w:pPr>
    </w:p>
    <w:p w14:paraId="5B3B261D" w14:textId="375314D8" w:rsidR="004462A0" w:rsidRDefault="00615769" w:rsidP="004462A0">
      <w:pPr>
        <w:numPr>
          <w:ilvl w:val="0"/>
          <w:numId w:val="67"/>
        </w:numPr>
        <w:tabs>
          <w:tab w:val="clear" w:pos="284"/>
          <w:tab w:val="left" w:pos="600"/>
        </w:tabs>
        <w:ind w:left="600" w:hanging="600"/>
        <w:rPr>
          <w:del w:id="13348" w:author="AbbVie2" w:date="2025-05-14T10:22:00Z"/>
          <w:sz w:val="22"/>
          <w:szCs w:val="22"/>
        </w:rPr>
      </w:pPr>
      <w:del w:id="13349" w:author="AbbVie2" w:date="2025-05-14T10:22:00Z">
        <w:r w:rsidRPr="008912CF">
          <w:rPr>
            <w:sz w:val="22"/>
            <w:szCs w:val="22"/>
          </w:rPr>
          <w:delText xml:space="preserve">infeções </w:delText>
        </w:r>
        <w:r w:rsidR="00842E29">
          <w:rPr>
            <w:sz w:val="22"/>
            <w:szCs w:val="22"/>
          </w:rPr>
          <w:delText>graves</w:delText>
        </w:r>
        <w:r w:rsidRPr="008912CF">
          <w:rPr>
            <w:sz w:val="22"/>
            <w:szCs w:val="22"/>
          </w:rPr>
          <w:delText xml:space="preserve"> (incluindo envenenamento do sangue e gripe);</w:delText>
        </w:r>
      </w:del>
    </w:p>
    <w:p w14:paraId="0731FBCF" w14:textId="60900E7E" w:rsidR="005619A2" w:rsidRPr="008912CF" w:rsidRDefault="00615769" w:rsidP="004462A0">
      <w:pPr>
        <w:numPr>
          <w:ilvl w:val="0"/>
          <w:numId w:val="67"/>
        </w:numPr>
        <w:tabs>
          <w:tab w:val="clear" w:pos="284"/>
          <w:tab w:val="left" w:pos="600"/>
        </w:tabs>
        <w:ind w:left="600" w:hanging="600"/>
        <w:rPr>
          <w:del w:id="13350" w:author="AbbVie2" w:date="2025-05-14T10:22:00Z"/>
          <w:sz w:val="22"/>
          <w:szCs w:val="22"/>
        </w:rPr>
      </w:pPr>
      <w:del w:id="13351" w:author="AbbVie2" w:date="2025-05-14T10:22:00Z">
        <w:r>
          <w:rPr>
            <w:sz w:val="22"/>
            <w:szCs w:val="22"/>
          </w:rPr>
          <w:delText>infeções intestinais (incluindo gastroenterite);</w:delText>
        </w:r>
      </w:del>
    </w:p>
    <w:p w14:paraId="2395DC70" w14:textId="4CD2182F" w:rsidR="004462A0" w:rsidRPr="008912CF" w:rsidRDefault="00615769" w:rsidP="004462A0">
      <w:pPr>
        <w:numPr>
          <w:ilvl w:val="0"/>
          <w:numId w:val="67"/>
        </w:numPr>
        <w:tabs>
          <w:tab w:val="clear" w:pos="284"/>
          <w:tab w:val="left" w:pos="600"/>
        </w:tabs>
        <w:ind w:left="600" w:hanging="600"/>
        <w:rPr>
          <w:del w:id="13352" w:author="AbbVie2" w:date="2025-05-14T10:22:00Z"/>
          <w:sz w:val="22"/>
          <w:szCs w:val="22"/>
        </w:rPr>
      </w:pPr>
      <w:del w:id="13353" w:author="AbbVie2" w:date="2025-05-14T10:22:00Z">
        <w:r w:rsidRPr="008912CF">
          <w:rPr>
            <w:sz w:val="22"/>
            <w:szCs w:val="22"/>
          </w:rPr>
          <w:delText>infeções da pele (incluindo celulite e zona);</w:delText>
        </w:r>
      </w:del>
    </w:p>
    <w:p w14:paraId="47367CEB" w14:textId="75474E6B" w:rsidR="004462A0" w:rsidRPr="008912CF" w:rsidRDefault="00615769" w:rsidP="004462A0">
      <w:pPr>
        <w:numPr>
          <w:ilvl w:val="0"/>
          <w:numId w:val="67"/>
        </w:numPr>
        <w:tabs>
          <w:tab w:val="clear" w:pos="284"/>
          <w:tab w:val="left" w:pos="600"/>
        </w:tabs>
        <w:ind w:left="600" w:hanging="600"/>
        <w:rPr>
          <w:del w:id="13354" w:author="AbbVie2" w:date="2025-05-14T10:22:00Z"/>
          <w:sz w:val="22"/>
          <w:szCs w:val="22"/>
        </w:rPr>
      </w:pPr>
      <w:del w:id="13355" w:author="AbbVie2" w:date="2025-05-14T10:22:00Z">
        <w:r w:rsidRPr="008912CF">
          <w:rPr>
            <w:sz w:val="22"/>
            <w:szCs w:val="22"/>
          </w:rPr>
          <w:delText xml:space="preserve">infeções </w:delText>
        </w:r>
        <w:r>
          <w:rPr>
            <w:sz w:val="22"/>
            <w:szCs w:val="22"/>
          </w:rPr>
          <w:delText>dos ouvidos</w:delText>
        </w:r>
        <w:r w:rsidRPr="008912CF">
          <w:rPr>
            <w:sz w:val="22"/>
            <w:szCs w:val="22"/>
          </w:rPr>
          <w:delText>;</w:delText>
        </w:r>
      </w:del>
    </w:p>
    <w:p w14:paraId="1063211C" w14:textId="2BE6974B" w:rsidR="004462A0" w:rsidRPr="008912CF" w:rsidRDefault="00615769" w:rsidP="004462A0">
      <w:pPr>
        <w:numPr>
          <w:ilvl w:val="0"/>
          <w:numId w:val="67"/>
        </w:numPr>
        <w:tabs>
          <w:tab w:val="clear" w:pos="284"/>
          <w:tab w:val="left" w:pos="600"/>
        </w:tabs>
        <w:ind w:left="600" w:hanging="600"/>
        <w:rPr>
          <w:del w:id="13356" w:author="AbbVie2" w:date="2025-05-14T10:22:00Z"/>
          <w:sz w:val="22"/>
          <w:szCs w:val="22"/>
        </w:rPr>
      </w:pPr>
      <w:del w:id="13357" w:author="AbbVie2" w:date="2025-05-14T10:22:00Z">
        <w:r w:rsidRPr="008912CF">
          <w:rPr>
            <w:sz w:val="22"/>
            <w:szCs w:val="22"/>
          </w:rPr>
          <w:delText>infeções orais (incluindo infeções dentárias e constipações);</w:delText>
        </w:r>
      </w:del>
    </w:p>
    <w:p w14:paraId="45F9EB90" w14:textId="63607792" w:rsidR="004462A0" w:rsidRPr="008912CF" w:rsidRDefault="00615769" w:rsidP="004462A0">
      <w:pPr>
        <w:numPr>
          <w:ilvl w:val="0"/>
          <w:numId w:val="67"/>
        </w:numPr>
        <w:tabs>
          <w:tab w:val="clear" w:pos="284"/>
          <w:tab w:val="left" w:pos="600"/>
        </w:tabs>
        <w:ind w:left="600" w:hanging="600"/>
        <w:rPr>
          <w:del w:id="13358" w:author="AbbVie2" w:date="2025-05-14T10:22:00Z"/>
          <w:sz w:val="22"/>
          <w:szCs w:val="22"/>
        </w:rPr>
      </w:pPr>
      <w:del w:id="13359" w:author="AbbVie2" w:date="2025-05-14T10:22:00Z">
        <w:r w:rsidRPr="008912CF">
          <w:rPr>
            <w:sz w:val="22"/>
            <w:szCs w:val="22"/>
          </w:rPr>
          <w:delText>infeções do sistema reprodutor;</w:delText>
        </w:r>
      </w:del>
    </w:p>
    <w:p w14:paraId="1FCEDC97" w14:textId="27289D17" w:rsidR="004462A0" w:rsidRPr="008912CF" w:rsidRDefault="00615769" w:rsidP="004462A0">
      <w:pPr>
        <w:numPr>
          <w:ilvl w:val="0"/>
          <w:numId w:val="67"/>
        </w:numPr>
        <w:tabs>
          <w:tab w:val="clear" w:pos="284"/>
          <w:tab w:val="left" w:pos="600"/>
        </w:tabs>
        <w:ind w:left="600" w:hanging="600"/>
        <w:rPr>
          <w:del w:id="13360" w:author="AbbVie2" w:date="2025-05-14T10:22:00Z"/>
          <w:sz w:val="22"/>
          <w:szCs w:val="22"/>
        </w:rPr>
      </w:pPr>
      <w:del w:id="13361" w:author="AbbVie2" w:date="2025-05-14T10:22:00Z">
        <w:r w:rsidRPr="008912CF">
          <w:rPr>
            <w:sz w:val="22"/>
            <w:szCs w:val="22"/>
          </w:rPr>
          <w:delText>infeção do trato urinário;</w:delText>
        </w:r>
      </w:del>
    </w:p>
    <w:p w14:paraId="5DF14832" w14:textId="38A415E1" w:rsidR="004462A0" w:rsidRPr="008912CF" w:rsidRDefault="00615769" w:rsidP="004462A0">
      <w:pPr>
        <w:numPr>
          <w:ilvl w:val="0"/>
          <w:numId w:val="67"/>
        </w:numPr>
        <w:tabs>
          <w:tab w:val="clear" w:pos="284"/>
          <w:tab w:val="left" w:pos="600"/>
        </w:tabs>
        <w:ind w:left="600" w:hanging="600"/>
        <w:rPr>
          <w:del w:id="13362" w:author="AbbVie2" w:date="2025-05-14T10:22:00Z"/>
          <w:sz w:val="22"/>
          <w:szCs w:val="22"/>
        </w:rPr>
      </w:pPr>
      <w:del w:id="13363" w:author="AbbVie2" w:date="2025-05-14T10:22:00Z">
        <w:r w:rsidRPr="008912CF">
          <w:rPr>
            <w:sz w:val="22"/>
            <w:szCs w:val="22"/>
          </w:rPr>
          <w:delText>infeções fúngicas;</w:delText>
        </w:r>
      </w:del>
    </w:p>
    <w:p w14:paraId="0C6BA0FA" w14:textId="3B565AF1" w:rsidR="004462A0" w:rsidRPr="008912CF" w:rsidRDefault="00615769" w:rsidP="004462A0">
      <w:pPr>
        <w:numPr>
          <w:ilvl w:val="0"/>
          <w:numId w:val="67"/>
        </w:numPr>
        <w:tabs>
          <w:tab w:val="clear" w:pos="284"/>
          <w:tab w:val="left" w:pos="600"/>
        </w:tabs>
        <w:ind w:left="600" w:hanging="600"/>
        <w:rPr>
          <w:del w:id="13364" w:author="AbbVie2" w:date="2025-05-14T10:22:00Z"/>
          <w:sz w:val="22"/>
          <w:szCs w:val="22"/>
        </w:rPr>
      </w:pPr>
      <w:del w:id="13365" w:author="AbbVie2" w:date="2025-05-14T10:22:00Z">
        <w:r w:rsidRPr="008912CF">
          <w:rPr>
            <w:sz w:val="22"/>
            <w:szCs w:val="22"/>
          </w:rPr>
          <w:delText xml:space="preserve">infeções </w:delText>
        </w:r>
        <w:r>
          <w:rPr>
            <w:sz w:val="22"/>
            <w:szCs w:val="22"/>
          </w:rPr>
          <w:delText>das articulações</w:delText>
        </w:r>
        <w:r w:rsidRPr="008912CF">
          <w:rPr>
            <w:sz w:val="22"/>
            <w:szCs w:val="22"/>
          </w:rPr>
          <w:delText>;</w:delText>
        </w:r>
      </w:del>
    </w:p>
    <w:p w14:paraId="180B3F22" w14:textId="3F694082" w:rsidR="004462A0" w:rsidRPr="008912CF" w:rsidRDefault="00615769" w:rsidP="004462A0">
      <w:pPr>
        <w:numPr>
          <w:ilvl w:val="0"/>
          <w:numId w:val="67"/>
        </w:numPr>
        <w:tabs>
          <w:tab w:val="clear" w:pos="284"/>
          <w:tab w:val="left" w:pos="600"/>
        </w:tabs>
        <w:ind w:left="600" w:hanging="600"/>
        <w:rPr>
          <w:del w:id="13366" w:author="AbbVie2" w:date="2025-05-14T10:22:00Z"/>
          <w:sz w:val="22"/>
          <w:szCs w:val="22"/>
        </w:rPr>
      </w:pPr>
      <w:del w:id="13367" w:author="AbbVie2" w:date="2025-05-14T10:22:00Z">
        <w:r w:rsidRPr="008912CF">
          <w:rPr>
            <w:sz w:val="22"/>
            <w:szCs w:val="22"/>
          </w:rPr>
          <w:delText>tumores benignos;</w:delText>
        </w:r>
      </w:del>
    </w:p>
    <w:p w14:paraId="0281CA8E" w14:textId="7E2D576B" w:rsidR="004462A0" w:rsidRPr="008912CF" w:rsidRDefault="00615769" w:rsidP="004462A0">
      <w:pPr>
        <w:numPr>
          <w:ilvl w:val="0"/>
          <w:numId w:val="67"/>
        </w:numPr>
        <w:tabs>
          <w:tab w:val="clear" w:pos="284"/>
          <w:tab w:val="left" w:pos="600"/>
        </w:tabs>
        <w:ind w:left="600" w:hanging="600"/>
        <w:rPr>
          <w:del w:id="13368" w:author="AbbVie2" w:date="2025-05-14T10:22:00Z"/>
          <w:sz w:val="22"/>
          <w:szCs w:val="22"/>
        </w:rPr>
      </w:pPr>
      <w:del w:id="13369" w:author="AbbVie2" w:date="2025-05-14T10:22:00Z">
        <w:r w:rsidRPr="008912CF">
          <w:rPr>
            <w:sz w:val="22"/>
            <w:szCs w:val="22"/>
          </w:rPr>
          <w:delText>cancro da pele;</w:delText>
        </w:r>
      </w:del>
    </w:p>
    <w:p w14:paraId="48445CD6" w14:textId="3450E67C" w:rsidR="004462A0" w:rsidRPr="008912CF" w:rsidRDefault="00615769" w:rsidP="004462A0">
      <w:pPr>
        <w:numPr>
          <w:ilvl w:val="0"/>
          <w:numId w:val="67"/>
        </w:numPr>
        <w:tabs>
          <w:tab w:val="clear" w:pos="284"/>
          <w:tab w:val="left" w:pos="600"/>
        </w:tabs>
        <w:ind w:left="600" w:hanging="600"/>
        <w:rPr>
          <w:del w:id="13370" w:author="AbbVie2" w:date="2025-05-14T10:22:00Z"/>
          <w:sz w:val="22"/>
          <w:szCs w:val="22"/>
        </w:rPr>
      </w:pPr>
      <w:del w:id="13371" w:author="AbbVie2" w:date="2025-05-14T10:22:00Z">
        <w:r w:rsidRPr="008912CF">
          <w:rPr>
            <w:sz w:val="22"/>
            <w:szCs w:val="22"/>
          </w:rPr>
          <w:delText>reações alérgicas (incluindo alergia sazonal);</w:delText>
        </w:r>
      </w:del>
    </w:p>
    <w:p w14:paraId="01AA60E1" w14:textId="02F9336A" w:rsidR="004462A0" w:rsidRPr="008912CF" w:rsidRDefault="00615769" w:rsidP="004462A0">
      <w:pPr>
        <w:numPr>
          <w:ilvl w:val="0"/>
          <w:numId w:val="67"/>
        </w:numPr>
        <w:tabs>
          <w:tab w:val="clear" w:pos="284"/>
          <w:tab w:val="left" w:pos="600"/>
        </w:tabs>
        <w:ind w:left="600" w:hanging="600"/>
        <w:rPr>
          <w:del w:id="13372" w:author="AbbVie2" w:date="2025-05-14T10:22:00Z"/>
          <w:sz w:val="22"/>
          <w:szCs w:val="22"/>
        </w:rPr>
      </w:pPr>
      <w:del w:id="13373" w:author="AbbVie2" w:date="2025-05-14T10:22:00Z">
        <w:r w:rsidRPr="008912CF">
          <w:rPr>
            <w:sz w:val="22"/>
            <w:szCs w:val="22"/>
          </w:rPr>
          <w:delText>desidratação;</w:delText>
        </w:r>
      </w:del>
    </w:p>
    <w:p w14:paraId="005347C6" w14:textId="0F8726C9" w:rsidR="004462A0" w:rsidRPr="008912CF" w:rsidRDefault="00615769" w:rsidP="004462A0">
      <w:pPr>
        <w:numPr>
          <w:ilvl w:val="0"/>
          <w:numId w:val="67"/>
        </w:numPr>
        <w:tabs>
          <w:tab w:val="clear" w:pos="284"/>
          <w:tab w:val="left" w:pos="600"/>
        </w:tabs>
        <w:ind w:left="600" w:hanging="600"/>
        <w:rPr>
          <w:del w:id="13374" w:author="AbbVie2" w:date="2025-05-14T10:22:00Z"/>
          <w:sz w:val="22"/>
          <w:szCs w:val="22"/>
        </w:rPr>
      </w:pPr>
      <w:del w:id="13375" w:author="AbbVie2" w:date="2025-05-14T10:22:00Z">
        <w:r w:rsidRPr="008912CF">
          <w:rPr>
            <w:sz w:val="22"/>
            <w:szCs w:val="22"/>
          </w:rPr>
          <w:delText>alterações do humor (incluindo depressão);</w:delText>
        </w:r>
      </w:del>
    </w:p>
    <w:p w14:paraId="15F5149B" w14:textId="2835AC1A" w:rsidR="004462A0" w:rsidRPr="008912CF" w:rsidRDefault="00615769" w:rsidP="004462A0">
      <w:pPr>
        <w:numPr>
          <w:ilvl w:val="0"/>
          <w:numId w:val="67"/>
        </w:numPr>
        <w:tabs>
          <w:tab w:val="clear" w:pos="284"/>
          <w:tab w:val="left" w:pos="600"/>
        </w:tabs>
        <w:ind w:left="600" w:hanging="600"/>
        <w:rPr>
          <w:del w:id="13376" w:author="AbbVie2" w:date="2025-05-14T10:22:00Z"/>
          <w:sz w:val="22"/>
          <w:szCs w:val="22"/>
        </w:rPr>
      </w:pPr>
      <w:del w:id="13377" w:author="AbbVie2" w:date="2025-05-14T10:22:00Z">
        <w:r w:rsidRPr="008912CF">
          <w:rPr>
            <w:sz w:val="22"/>
            <w:szCs w:val="22"/>
          </w:rPr>
          <w:delText>ansiedade;</w:delText>
        </w:r>
      </w:del>
    </w:p>
    <w:p w14:paraId="76244615" w14:textId="705CCB92" w:rsidR="004462A0" w:rsidRPr="008912CF" w:rsidRDefault="00615769" w:rsidP="004462A0">
      <w:pPr>
        <w:numPr>
          <w:ilvl w:val="0"/>
          <w:numId w:val="67"/>
        </w:numPr>
        <w:tabs>
          <w:tab w:val="clear" w:pos="284"/>
          <w:tab w:val="left" w:pos="600"/>
        </w:tabs>
        <w:ind w:left="600" w:hanging="600"/>
        <w:rPr>
          <w:del w:id="13378" w:author="AbbVie2" w:date="2025-05-14T10:22:00Z"/>
          <w:sz w:val="22"/>
          <w:szCs w:val="22"/>
        </w:rPr>
      </w:pPr>
      <w:del w:id="13379" w:author="AbbVie2" w:date="2025-05-14T10:22:00Z">
        <w:r w:rsidRPr="008912CF">
          <w:rPr>
            <w:sz w:val="22"/>
            <w:szCs w:val="22"/>
          </w:rPr>
          <w:delText>dificuldade em adormecer;</w:delText>
        </w:r>
      </w:del>
    </w:p>
    <w:p w14:paraId="68A18405" w14:textId="535282BC" w:rsidR="004462A0" w:rsidRPr="008912CF" w:rsidRDefault="00615769" w:rsidP="004462A0">
      <w:pPr>
        <w:numPr>
          <w:ilvl w:val="0"/>
          <w:numId w:val="67"/>
        </w:numPr>
        <w:tabs>
          <w:tab w:val="clear" w:pos="284"/>
          <w:tab w:val="left" w:pos="600"/>
        </w:tabs>
        <w:ind w:left="600" w:hanging="600"/>
        <w:rPr>
          <w:del w:id="13380" w:author="AbbVie2" w:date="2025-05-14T10:22:00Z"/>
          <w:sz w:val="22"/>
          <w:szCs w:val="22"/>
        </w:rPr>
      </w:pPr>
      <w:del w:id="13381" w:author="AbbVie2" w:date="2025-05-14T10:22:00Z">
        <w:r w:rsidRPr="008912CF">
          <w:rPr>
            <w:sz w:val="22"/>
            <w:szCs w:val="22"/>
          </w:rPr>
          <w:delText>alterações neurológicas tais como prurido, comichão ou dormência;</w:delText>
        </w:r>
      </w:del>
    </w:p>
    <w:p w14:paraId="17529F57" w14:textId="66BB8C90" w:rsidR="004462A0" w:rsidRPr="008912CF" w:rsidRDefault="00615769" w:rsidP="004462A0">
      <w:pPr>
        <w:numPr>
          <w:ilvl w:val="0"/>
          <w:numId w:val="67"/>
        </w:numPr>
        <w:tabs>
          <w:tab w:val="clear" w:pos="284"/>
          <w:tab w:val="left" w:pos="600"/>
        </w:tabs>
        <w:ind w:left="600" w:hanging="600"/>
        <w:rPr>
          <w:del w:id="13382" w:author="AbbVie2" w:date="2025-05-14T10:22:00Z"/>
          <w:sz w:val="22"/>
          <w:szCs w:val="22"/>
        </w:rPr>
      </w:pPr>
      <w:del w:id="13383" w:author="AbbVie2" w:date="2025-05-14T10:22:00Z">
        <w:r w:rsidRPr="008912CF">
          <w:rPr>
            <w:sz w:val="22"/>
            <w:szCs w:val="22"/>
          </w:rPr>
          <w:delText>enxaqueca;</w:delText>
        </w:r>
      </w:del>
    </w:p>
    <w:p w14:paraId="57B7992E" w14:textId="27DB9C74" w:rsidR="004462A0" w:rsidRPr="008912CF" w:rsidRDefault="00615769" w:rsidP="004462A0">
      <w:pPr>
        <w:numPr>
          <w:ilvl w:val="0"/>
          <w:numId w:val="67"/>
        </w:numPr>
        <w:tabs>
          <w:tab w:val="clear" w:pos="284"/>
          <w:tab w:val="left" w:pos="600"/>
        </w:tabs>
        <w:ind w:left="600" w:hanging="600"/>
        <w:rPr>
          <w:del w:id="13384" w:author="AbbVie2" w:date="2025-05-14T10:22:00Z"/>
          <w:sz w:val="22"/>
          <w:szCs w:val="22"/>
        </w:rPr>
      </w:pPr>
      <w:del w:id="13385" w:author="AbbVie2" w:date="2025-05-14T10:22:00Z">
        <w:r w:rsidRPr="008912CF">
          <w:rPr>
            <w:sz w:val="22"/>
            <w:szCs w:val="22"/>
          </w:rPr>
          <w:delText>compressão da raiz nervosa (incluindo dor lombar e dor nas pernas);</w:delText>
        </w:r>
      </w:del>
    </w:p>
    <w:p w14:paraId="397C6BFA" w14:textId="3EF76E7E" w:rsidR="004462A0" w:rsidRPr="008912CF" w:rsidRDefault="00615769" w:rsidP="004462A0">
      <w:pPr>
        <w:numPr>
          <w:ilvl w:val="0"/>
          <w:numId w:val="67"/>
        </w:numPr>
        <w:tabs>
          <w:tab w:val="clear" w:pos="284"/>
          <w:tab w:val="left" w:pos="600"/>
        </w:tabs>
        <w:ind w:left="600" w:hanging="600"/>
        <w:rPr>
          <w:del w:id="13386" w:author="AbbVie2" w:date="2025-05-14T10:22:00Z"/>
          <w:sz w:val="22"/>
          <w:szCs w:val="22"/>
        </w:rPr>
      </w:pPr>
      <w:del w:id="13387" w:author="AbbVie2" w:date="2025-05-14T10:22:00Z">
        <w:r w:rsidRPr="008912CF">
          <w:rPr>
            <w:sz w:val="22"/>
            <w:szCs w:val="22"/>
          </w:rPr>
          <w:delText>alterações da visão;</w:delText>
        </w:r>
      </w:del>
    </w:p>
    <w:p w14:paraId="75472FBB" w14:textId="583C58FA" w:rsidR="004462A0" w:rsidRPr="008912CF" w:rsidRDefault="00615769" w:rsidP="004462A0">
      <w:pPr>
        <w:numPr>
          <w:ilvl w:val="0"/>
          <w:numId w:val="67"/>
        </w:numPr>
        <w:tabs>
          <w:tab w:val="clear" w:pos="284"/>
          <w:tab w:val="left" w:pos="600"/>
        </w:tabs>
        <w:ind w:left="600" w:hanging="600"/>
        <w:rPr>
          <w:del w:id="13388" w:author="AbbVie2" w:date="2025-05-14T10:22:00Z"/>
          <w:sz w:val="22"/>
          <w:szCs w:val="22"/>
        </w:rPr>
      </w:pPr>
      <w:del w:id="13389" w:author="AbbVie2" w:date="2025-05-14T10:22:00Z">
        <w:r w:rsidRPr="008912CF">
          <w:rPr>
            <w:sz w:val="22"/>
            <w:szCs w:val="22"/>
          </w:rPr>
          <w:delText>inflamação dos olhos;</w:delText>
        </w:r>
      </w:del>
    </w:p>
    <w:p w14:paraId="46FF17F0" w14:textId="5B3EBE71" w:rsidR="004462A0" w:rsidRPr="008912CF" w:rsidRDefault="00615769" w:rsidP="004462A0">
      <w:pPr>
        <w:numPr>
          <w:ilvl w:val="0"/>
          <w:numId w:val="67"/>
        </w:numPr>
        <w:tabs>
          <w:tab w:val="clear" w:pos="284"/>
          <w:tab w:val="left" w:pos="600"/>
        </w:tabs>
        <w:ind w:left="600" w:hanging="600"/>
        <w:rPr>
          <w:del w:id="13390" w:author="AbbVie2" w:date="2025-05-14T10:22:00Z"/>
          <w:sz w:val="22"/>
          <w:szCs w:val="22"/>
        </w:rPr>
      </w:pPr>
      <w:del w:id="13391" w:author="AbbVie2" w:date="2025-05-14T10:22:00Z">
        <w:r w:rsidRPr="008912CF">
          <w:rPr>
            <w:sz w:val="22"/>
            <w:szCs w:val="22"/>
          </w:rPr>
          <w:delText>inflamação das pálpebras e inchaço d</w:delText>
        </w:r>
        <w:r w:rsidR="0095297D">
          <w:rPr>
            <w:sz w:val="22"/>
            <w:szCs w:val="22"/>
          </w:rPr>
          <w:delText>os</w:delText>
        </w:r>
        <w:r w:rsidRPr="008912CF">
          <w:rPr>
            <w:sz w:val="22"/>
            <w:szCs w:val="22"/>
          </w:rPr>
          <w:delText xml:space="preserve"> olhos;</w:delText>
        </w:r>
      </w:del>
    </w:p>
    <w:p w14:paraId="43462788" w14:textId="3B899249" w:rsidR="004462A0" w:rsidRPr="008912CF" w:rsidRDefault="00615769" w:rsidP="004462A0">
      <w:pPr>
        <w:numPr>
          <w:ilvl w:val="0"/>
          <w:numId w:val="67"/>
        </w:numPr>
        <w:tabs>
          <w:tab w:val="clear" w:pos="284"/>
          <w:tab w:val="left" w:pos="600"/>
        </w:tabs>
        <w:ind w:left="600" w:hanging="600"/>
        <w:rPr>
          <w:del w:id="13392" w:author="AbbVie2" w:date="2025-05-14T10:22:00Z"/>
          <w:sz w:val="22"/>
          <w:szCs w:val="22"/>
        </w:rPr>
      </w:pPr>
      <w:del w:id="13393" w:author="AbbVie2" w:date="2025-05-14T10:22:00Z">
        <w:r w:rsidRPr="008912CF">
          <w:rPr>
            <w:sz w:val="22"/>
            <w:szCs w:val="22"/>
          </w:rPr>
          <w:delText>vertige</w:delText>
        </w:r>
        <w:r w:rsidR="00B507B6">
          <w:rPr>
            <w:sz w:val="22"/>
            <w:szCs w:val="22"/>
          </w:rPr>
          <w:delText>m (</w:delText>
        </w:r>
        <w:r w:rsidR="00B507B6" w:rsidRPr="008B0DDF">
          <w:rPr>
            <w:sz w:val="22"/>
            <w:szCs w:val="22"/>
          </w:rPr>
          <w:delText>sensação de tontura ou movimento</w:delText>
        </w:r>
        <w:r w:rsidR="00B507B6">
          <w:rPr>
            <w:sz w:val="22"/>
            <w:szCs w:val="22"/>
          </w:rPr>
          <w:delText>)</w:delText>
        </w:r>
        <w:r w:rsidRPr="008912CF">
          <w:rPr>
            <w:sz w:val="22"/>
            <w:szCs w:val="22"/>
          </w:rPr>
          <w:delText>;</w:delText>
        </w:r>
      </w:del>
    </w:p>
    <w:p w14:paraId="756761F9" w14:textId="385AA12A" w:rsidR="004462A0" w:rsidRPr="008912CF" w:rsidRDefault="00615769" w:rsidP="004462A0">
      <w:pPr>
        <w:numPr>
          <w:ilvl w:val="0"/>
          <w:numId w:val="67"/>
        </w:numPr>
        <w:tabs>
          <w:tab w:val="clear" w:pos="284"/>
          <w:tab w:val="left" w:pos="600"/>
        </w:tabs>
        <w:ind w:left="600" w:hanging="600"/>
        <w:rPr>
          <w:del w:id="13394" w:author="AbbVie2" w:date="2025-05-14T10:22:00Z"/>
          <w:sz w:val="22"/>
          <w:szCs w:val="22"/>
        </w:rPr>
      </w:pPr>
      <w:del w:id="13395" w:author="AbbVie2" w:date="2025-05-14T10:22:00Z">
        <w:r w:rsidRPr="008912CF">
          <w:rPr>
            <w:sz w:val="22"/>
            <w:szCs w:val="22"/>
          </w:rPr>
          <w:delText>sensação de batimento cardíaco rápido;</w:delText>
        </w:r>
      </w:del>
    </w:p>
    <w:p w14:paraId="1A2677EF" w14:textId="62323BE7" w:rsidR="004462A0" w:rsidRPr="008912CF" w:rsidRDefault="00615769" w:rsidP="004462A0">
      <w:pPr>
        <w:numPr>
          <w:ilvl w:val="0"/>
          <w:numId w:val="67"/>
        </w:numPr>
        <w:tabs>
          <w:tab w:val="clear" w:pos="284"/>
          <w:tab w:val="left" w:pos="600"/>
        </w:tabs>
        <w:ind w:left="600" w:hanging="600"/>
        <w:rPr>
          <w:del w:id="13396" w:author="AbbVie2" w:date="2025-05-14T10:22:00Z"/>
          <w:sz w:val="22"/>
          <w:szCs w:val="22"/>
        </w:rPr>
      </w:pPr>
      <w:del w:id="13397" w:author="AbbVie2" w:date="2025-05-14T10:22:00Z">
        <w:r>
          <w:rPr>
            <w:sz w:val="22"/>
            <w:szCs w:val="22"/>
          </w:rPr>
          <w:delText>tensão</w:delText>
        </w:r>
        <w:r w:rsidRPr="008912CF">
          <w:rPr>
            <w:sz w:val="22"/>
            <w:szCs w:val="22"/>
          </w:rPr>
          <w:delText xml:space="preserve"> arterial alta;</w:delText>
        </w:r>
      </w:del>
    </w:p>
    <w:p w14:paraId="50D3C3A5" w14:textId="6A102E2E" w:rsidR="004462A0" w:rsidRPr="008912CF" w:rsidRDefault="00615769" w:rsidP="004462A0">
      <w:pPr>
        <w:numPr>
          <w:ilvl w:val="0"/>
          <w:numId w:val="67"/>
        </w:numPr>
        <w:tabs>
          <w:tab w:val="clear" w:pos="284"/>
          <w:tab w:val="left" w:pos="600"/>
        </w:tabs>
        <w:ind w:left="600" w:hanging="600"/>
        <w:rPr>
          <w:del w:id="13398" w:author="AbbVie2" w:date="2025-05-14T10:22:00Z"/>
          <w:sz w:val="22"/>
          <w:szCs w:val="22"/>
        </w:rPr>
      </w:pPr>
      <w:del w:id="13399" w:author="AbbVie2" w:date="2025-05-14T10:22:00Z">
        <w:r>
          <w:rPr>
            <w:sz w:val="22"/>
            <w:szCs w:val="22"/>
          </w:rPr>
          <w:delText>vermelhidão</w:delText>
        </w:r>
        <w:r w:rsidRPr="008912CF">
          <w:rPr>
            <w:sz w:val="22"/>
            <w:szCs w:val="22"/>
          </w:rPr>
          <w:delText>;</w:delText>
        </w:r>
      </w:del>
    </w:p>
    <w:p w14:paraId="67057724" w14:textId="0466D045" w:rsidR="004462A0" w:rsidRPr="008912CF" w:rsidRDefault="00615769" w:rsidP="004462A0">
      <w:pPr>
        <w:numPr>
          <w:ilvl w:val="0"/>
          <w:numId w:val="67"/>
        </w:numPr>
        <w:tabs>
          <w:tab w:val="clear" w:pos="284"/>
          <w:tab w:val="left" w:pos="600"/>
        </w:tabs>
        <w:ind w:left="600" w:hanging="600"/>
        <w:rPr>
          <w:del w:id="13400" w:author="AbbVie2" w:date="2025-05-14T10:22:00Z"/>
          <w:sz w:val="22"/>
          <w:szCs w:val="22"/>
        </w:rPr>
      </w:pPr>
      <w:del w:id="13401" w:author="AbbVie2" w:date="2025-05-14T10:22:00Z">
        <w:r w:rsidRPr="008912CF">
          <w:rPr>
            <w:sz w:val="22"/>
            <w:szCs w:val="22"/>
          </w:rPr>
          <w:delText>hematoma</w:delText>
        </w:r>
        <w:r w:rsidR="002A7154">
          <w:rPr>
            <w:sz w:val="22"/>
            <w:szCs w:val="22"/>
          </w:rPr>
          <w:delText xml:space="preserve"> </w:delText>
        </w:r>
        <w:r w:rsidR="002A7154" w:rsidRPr="002A7154">
          <w:rPr>
            <w:sz w:val="22"/>
            <w:szCs w:val="22"/>
          </w:rPr>
          <w:delText>(concentração de sangue fora dos vasos sanguíneos</w:delText>
        </w:r>
        <w:r w:rsidR="002A7154" w:rsidRPr="00F03C54">
          <w:rPr>
            <w:sz w:val="22"/>
            <w:szCs w:val="22"/>
          </w:rPr>
          <w:delText>)</w:delText>
        </w:r>
        <w:r w:rsidRPr="002A7154">
          <w:rPr>
            <w:sz w:val="22"/>
            <w:szCs w:val="22"/>
          </w:rPr>
          <w:delText>;</w:delText>
        </w:r>
      </w:del>
    </w:p>
    <w:p w14:paraId="57B896FD" w14:textId="686B4D81" w:rsidR="004462A0" w:rsidRPr="008912CF" w:rsidRDefault="00615769" w:rsidP="004462A0">
      <w:pPr>
        <w:numPr>
          <w:ilvl w:val="0"/>
          <w:numId w:val="67"/>
        </w:numPr>
        <w:tabs>
          <w:tab w:val="clear" w:pos="284"/>
          <w:tab w:val="left" w:pos="600"/>
        </w:tabs>
        <w:ind w:left="600" w:hanging="600"/>
        <w:rPr>
          <w:del w:id="13402" w:author="AbbVie2" w:date="2025-05-14T10:22:00Z"/>
          <w:sz w:val="22"/>
          <w:szCs w:val="22"/>
        </w:rPr>
      </w:pPr>
      <w:del w:id="13403" w:author="AbbVie2" w:date="2025-05-14T10:22:00Z">
        <w:r w:rsidRPr="008912CF">
          <w:rPr>
            <w:sz w:val="22"/>
            <w:szCs w:val="22"/>
          </w:rPr>
          <w:delText>tosse;</w:delText>
        </w:r>
      </w:del>
    </w:p>
    <w:p w14:paraId="5F854BDD" w14:textId="67E106BA" w:rsidR="004462A0" w:rsidRPr="008912CF" w:rsidRDefault="00615769" w:rsidP="004462A0">
      <w:pPr>
        <w:numPr>
          <w:ilvl w:val="0"/>
          <w:numId w:val="67"/>
        </w:numPr>
        <w:tabs>
          <w:tab w:val="clear" w:pos="284"/>
          <w:tab w:val="left" w:pos="600"/>
        </w:tabs>
        <w:ind w:left="600" w:hanging="600"/>
        <w:rPr>
          <w:del w:id="13404" w:author="AbbVie2" w:date="2025-05-14T10:22:00Z"/>
          <w:sz w:val="22"/>
          <w:szCs w:val="22"/>
        </w:rPr>
      </w:pPr>
      <w:del w:id="13405" w:author="AbbVie2" w:date="2025-05-14T10:22:00Z">
        <w:r w:rsidRPr="008912CF">
          <w:rPr>
            <w:sz w:val="22"/>
            <w:szCs w:val="22"/>
          </w:rPr>
          <w:delText>asma;</w:delText>
        </w:r>
      </w:del>
    </w:p>
    <w:p w14:paraId="17BC42F7" w14:textId="33564C54" w:rsidR="004462A0" w:rsidRPr="008912CF" w:rsidRDefault="00615769" w:rsidP="004462A0">
      <w:pPr>
        <w:numPr>
          <w:ilvl w:val="0"/>
          <w:numId w:val="67"/>
        </w:numPr>
        <w:tabs>
          <w:tab w:val="clear" w:pos="284"/>
          <w:tab w:val="left" w:pos="600"/>
        </w:tabs>
        <w:ind w:left="600" w:hanging="600"/>
        <w:rPr>
          <w:del w:id="13406" w:author="AbbVie2" w:date="2025-05-14T10:22:00Z"/>
          <w:sz w:val="22"/>
          <w:szCs w:val="22"/>
        </w:rPr>
      </w:pPr>
      <w:del w:id="13407" w:author="AbbVie2" w:date="2025-05-14T10:22:00Z">
        <w:r w:rsidRPr="008912CF">
          <w:rPr>
            <w:sz w:val="22"/>
            <w:szCs w:val="22"/>
          </w:rPr>
          <w:delText>dificuldade em respirar;</w:delText>
        </w:r>
      </w:del>
    </w:p>
    <w:p w14:paraId="2C61C3DD" w14:textId="73098E66" w:rsidR="004462A0" w:rsidRPr="008912CF" w:rsidRDefault="00615769" w:rsidP="004462A0">
      <w:pPr>
        <w:numPr>
          <w:ilvl w:val="0"/>
          <w:numId w:val="67"/>
        </w:numPr>
        <w:tabs>
          <w:tab w:val="clear" w:pos="284"/>
          <w:tab w:val="left" w:pos="600"/>
        </w:tabs>
        <w:ind w:left="600" w:hanging="600"/>
        <w:rPr>
          <w:del w:id="13408" w:author="AbbVie2" w:date="2025-05-14T10:22:00Z"/>
          <w:sz w:val="22"/>
          <w:szCs w:val="22"/>
        </w:rPr>
      </w:pPr>
      <w:del w:id="13409" w:author="AbbVie2" w:date="2025-05-14T10:22:00Z">
        <w:r w:rsidRPr="008912CF">
          <w:rPr>
            <w:sz w:val="22"/>
            <w:szCs w:val="22"/>
          </w:rPr>
          <w:delText>hemorragia gastrointestinal;</w:delText>
        </w:r>
      </w:del>
    </w:p>
    <w:p w14:paraId="3DA3CFB9" w14:textId="43340681" w:rsidR="004462A0" w:rsidRPr="008912CF" w:rsidRDefault="00615769" w:rsidP="004462A0">
      <w:pPr>
        <w:numPr>
          <w:ilvl w:val="0"/>
          <w:numId w:val="67"/>
        </w:numPr>
        <w:tabs>
          <w:tab w:val="clear" w:pos="284"/>
          <w:tab w:val="left" w:pos="600"/>
        </w:tabs>
        <w:ind w:left="600" w:hanging="600"/>
        <w:rPr>
          <w:del w:id="13410" w:author="AbbVie2" w:date="2025-05-14T10:22:00Z"/>
          <w:sz w:val="22"/>
          <w:szCs w:val="22"/>
        </w:rPr>
      </w:pPr>
      <w:del w:id="13411" w:author="AbbVie2" w:date="2025-05-14T10:22:00Z">
        <w:r w:rsidRPr="008912CF">
          <w:rPr>
            <w:sz w:val="22"/>
            <w:szCs w:val="22"/>
          </w:rPr>
          <w:delText>dispepsia (indigestão, inchaço, azia);</w:delText>
        </w:r>
      </w:del>
    </w:p>
    <w:p w14:paraId="5064CF43" w14:textId="622FBFDB" w:rsidR="004462A0" w:rsidRPr="008912CF" w:rsidRDefault="00615769" w:rsidP="004462A0">
      <w:pPr>
        <w:numPr>
          <w:ilvl w:val="0"/>
          <w:numId w:val="67"/>
        </w:numPr>
        <w:tabs>
          <w:tab w:val="clear" w:pos="284"/>
          <w:tab w:val="left" w:pos="600"/>
        </w:tabs>
        <w:ind w:left="600" w:hanging="600"/>
        <w:rPr>
          <w:del w:id="13412" w:author="AbbVie2" w:date="2025-05-14T10:22:00Z"/>
          <w:sz w:val="22"/>
          <w:szCs w:val="22"/>
        </w:rPr>
      </w:pPr>
      <w:del w:id="13413" w:author="AbbVie2" w:date="2025-05-14T10:22:00Z">
        <w:r w:rsidRPr="008912CF">
          <w:rPr>
            <w:sz w:val="22"/>
            <w:szCs w:val="22"/>
          </w:rPr>
          <w:delText>doença de refluxo;</w:delText>
        </w:r>
      </w:del>
    </w:p>
    <w:p w14:paraId="46701C20" w14:textId="1C445D55" w:rsidR="004462A0" w:rsidRPr="008912CF" w:rsidRDefault="00615769" w:rsidP="004462A0">
      <w:pPr>
        <w:numPr>
          <w:ilvl w:val="0"/>
          <w:numId w:val="67"/>
        </w:numPr>
        <w:tabs>
          <w:tab w:val="clear" w:pos="284"/>
          <w:tab w:val="num" w:pos="600"/>
        </w:tabs>
        <w:ind w:hanging="567"/>
        <w:rPr>
          <w:del w:id="13414" w:author="AbbVie2" w:date="2025-05-14T10:22:00Z"/>
          <w:sz w:val="22"/>
          <w:szCs w:val="22"/>
        </w:rPr>
      </w:pPr>
      <w:del w:id="13415" w:author="AbbVie2" w:date="2025-05-14T10:22:00Z">
        <w:r w:rsidRPr="008912CF">
          <w:rPr>
            <w:sz w:val="22"/>
            <w:szCs w:val="22"/>
          </w:rPr>
          <w:delText>síndrome de sicca (incluindo olhos e boca seca);</w:delText>
        </w:r>
      </w:del>
    </w:p>
    <w:p w14:paraId="55F3C8D9" w14:textId="46963202" w:rsidR="004462A0" w:rsidRPr="008912CF" w:rsidRDefault="00615769" w:rsidP="004462A0">
      <w:pPr>
        <w:numPr>
          <w:ilvl w:val="0"/>
          <w:numId w:val="67"/>
        </w:numPr>
        <w:tabs>
          <w:tab w:val="clear" w:pos="284"/>
          <w:tab w:val="num" w:pos="600"/>
        </w:tabs>
        <w:ind w:hanging="567"/>
        <w:rPr>
          <w:del w:id="13416" w:author="AbbVie2" w:date="2025-05-14T10:22:00Z"/>
          <w:sz w:val="22"/>
          <w:szCs w:val="22"/>
        </w:rPr>
      </w:pPr>
      <w:del w:id="13417" w:author="AbbVie2" w:date="2025-05-14T10:22:00Z">
        <w:r w:rsidRPr="008912CF">
          <w:rPr>
            <w:sz w:val="22"/>
            <w:szCs w:val="22"/>
          </w:rPr>
          <w:delText>comichão;</w:delText>
        </w:r>
      </w:del>
    </w:p>
    <w:p w14:paraId="046D02C7" w14:textId="7E9B6566" w:rsidR="004462A0" w:rsidRPr="008912CF" w:rsidRDefault="00615769" w:rsidP="004462A0">
      <w:pPr>
        <w:numPr>
          <w:ilvl w:val="0"/>
          <w:numId w:val="67"/>
        </w:numPr>
        <w:tabs>
          <w:tab w:val="clear" w:pos="284"/>
          <w:tab w:val="num" w:pos="600"/>
        </w:tabs>
        <w:ind w:hanging="567"/>
        <w:rPr>
          <w:del w:id="13418" w:author="AbbVie2" w:date="2025-05-14T10:22:00Z"/>
          <w:sz w:val="22"/>
          <w:szCs w:val="22"/>
        </w:rPr>
      </w:pPr>
      <w:del w:id="13419" w:author="AbbVie2" w:date="2025-05-14T10:22:00Z">
        <w:r w:rsidRPr="008912CF">
          <w:rPr>
            <w:sz w:val="22"/>
            <w:szCs w:val="22"/>
          </w:rPr>
          <w:delText>erupção da pele com comichão;</w:delText>
        </w:r>
      </w:del>
    </w:p>
    <w:p w14:paraId="65104CE1" w14:textId="20F22851" w:rsidR="004462A0" w:rsidRPr="008912CF" w:rsidRDefault="00615769" w:rsidP="004462A0">
      <w:pPr>
        <w:numPr>
          <w:ilvl w:val="0"/>
          <w:numId w:val="67"/>
        </w:numPr>
        <w:tabs>
          <w:tab w:val="clear" w:pos="284"/>
          <w:tab w:val="num" w:pos="600"/>
        </w:tabs>
        <w:ind w:hanging="567"/>
        <w:rPr>
          <w:del w:id="13420" w:author="AbbVie2" w:date="2025-05-14T10:22:00Z"/>
          <w:sz w:val="22"/>
          <w:szCs w:val="22"/>
        </w:rPr>
      </w:pPr>
      <w:del w:id="13421" w:author="AbbVie2" w:date="2025-05-14T10:22:00Z">
        <w:r w:rsidRPr="008912CF">
          <w:rPr>
            <w:sz w:val="22"/>
            <w:szCs w:val="22"/>
          </w:rPr>
          <w:delText>nódoas negras;</w:delText>
        </w:r>
      </w:del>
    </w:p>
    <w:p w14:paraId="3D62439B" w14:textId="220425AF" w:rsidR="004462A0" w:rsidRPr="008912CF" w:rsidRDefault="00615769" w:rsidP="004462A0">
      <w:pPr>
        <w:numPr>
          <w:ilvl w:val="0"/>
          <w:numId w:val="67"/>
        </w:numPr>
        <w:tabs>
          <w:tab w:val="clear" w:pos="284"/>
          <w:tab w:val="num" w:pos="600"/>
        </w:tabs>
        <w:ind w:hanging="567"/>
        <w:rPr>
          <w:del w:id="13422" w:author="AbbVie2" w:date="2025-05-14T10:22:00Z"/>
          <w:sz w:val="22"/>
          <w:szCs w:val="22"/>
        </w:rPr>
      </w:pPr>
      <w:del w:id="13423" w:author="AbbVie2" w:date="2025-05-14T10:22:00Z">
        <w:r w:rsidRPr="008912CF">
          <w:rPr>
            <w:sz w:val="22"/>
            <w:szCs w:val="22"/>
          </w:rPr>
          <w:delText>inflamação da pele (tais como eczema);</w:delText>
        </w:r>
      </w:del>
    </w:p>
    <w:p w14:paraId="7DC8726A" w14:textId="2368170E" w:rsidR="004462A0" w:rsidRPr="008912CF" w:rsidRDefault="00615769" w:rsidP="004462A0">
      <w:pPr>
        <w:numPr>
          <w:ilvl w:val="0"/>
          <w:numId w:val="67"/>
        </w:numPr>
        <w:tabs>
          <w:tab w:val="clear" w:pos="284"/>
          <w:tab w:val="num" w:pos="600"/>
        </w:tabs>
        <w:ind w:hanging="567"/>
        <w:rPr>
          <w:del w:id="13424" w:author="AbbVie2" w:date="2025-05-14T10:22:00Z"/>
          <w:sz w:val="22"/>
          <w:szCs w:val="22"/>
        </w:rPr>
      </w:pPr>
      <w:del w:id="13425" w:author="AbbVie2" w:date="2025-05-14T10:22:00Z">
        <w:r w:rsidRPr="008912CF">
          <w:rPr>
            <w:sz w:val="22"/>
            <w:szCs w:val="22"/>
          </w:rPr>
          <w:delText>unhas das mãos e dos pés quebradiças;</w:delText>
        </w:r>
      </w:del>
    </w:p>
    <w:p w14:paraId="0DDA35EF" w14:textId="72769A59" w:rsidR="004462A0" w:rsidRPr="008912CF" w:rsidRDefault="00615769" w:rsidP="004462A0">
      <w:pPr>
        <w:numPr>
          <w:ilvl w:val="0"/>
          <w:numId w:val="67"/>
        </w:numPr>
        <w:tabs>
          <w:tab w:val="clear" w:pos="284"/>
          <w:tab w:val="num" w:pos="600"/>
        </w:tabs>
        <w:ind w:hanging="567"/>
        <w:rPr>
          <w:del w:id="13426" w:author="AbbVie2" w:date="2025-05-14T10:22:00Z"/>
          <w:sz w:val="22"/>
          <w:szCs w:val="22"/>
        </w:rPr>
      </w:pPr>
      <w:del w:id="13427" w:author="AbbVie2" w:date="2025-05-14T10:22:00Z">
        <w:r w:rsidRPr="008912CF">
          <w:rPr>
            <w:sz w:val="22"/>
            <w:szCs w:val="22"/>
          </w:rPr>
          <w:delText>aumento de suor;</w:delText>
        </w:r>
      </w:del>
    </w:p>
    <w:p w14:paraId="0753DB2F" w14:textId="326134D8" w:rsidR="004462A0" w:rsidRPr="008912CF" w:rsidRDefault="00615769" w:rsidP="004462A0">
      <w:pPr>
        <w:numPr>
          <w:ilvl w:val="0"/>
          <w:numId w:val="67"/>
        </w:numPr>
        <w:tabs>
          <w:tab w:val="clear" w:pos="284"/>
          <w:tab w:val="num" w:pos="600"/>
        </w:tabs>
        <w:ind w:hanging="567"/>
        <w:rPr>
          <w:del w:id="13428" w:author="AbbVie2" w:date="2025-05-14T10:22:00Z"/>
          <w:sz w:val="22"/>
          <w:szCs w:val="22"/>
        </w:rPr>
      </w:pPr>
      <w:del w:id="13429" w:author="AbbVie2" w:date="2025-05-14T10:22:00Z">
        <w:r w:rsidRPr="008912CF">
          <w:rPr>
            <w:sz w:val="22"/>
            <w:szCs w:val="22"/>
          </w:rPr>
          <w:delText>perda de cabelo;</w:delText>
        </w:r>
      </w:del>
    </w:p>
    <w:p w14:paraId="370C46E2" w14:textId="4C7DCC0A" w:rsidR="004462A0" w:rsidRPr="008912CF" w:rsidRDefault="00615769" w:rsidP="004462A0">
      <w:pPr>
        <w:numPr>
          <w:ilvl w:val="0"/>
          <w:numId w:val="67"/>
        </w:numPr>
        <w:tabs>
          <w:tab w:val="clear" w:pos="284"/>
          <w:tab w:val="num" w:pos="600"/>
        </w:tabs>
        <w:ind w:hanging="567"/>
        <w:rPr>
          <w:del w:id="13430" w:author="AbbVie2" w:date="2025-05-14T10:22:00Z"/>
          <w:sz w:val="22"/>
          <w:szCs w:val="22"/>
        </w:rPr>
      </w:pPr>
      <w:del w:id="13431" w:author="AbbVie2" w:date="2025-05-14T10:22:00Z">
        <w:r w:rsidRPr="008912CF">
          <w:rPr>
            <w:sz w:val="22"/>
            <w:szCs w:val="22"/>
          </w:rPr>
          <w:delText>início ou agravamento da psoríase;</w:delText>
        </w:r>
      </w:del>
    </w:p>
    <w:p w14:paraId="6D081767" w14:textId="30E42C0A" w:rsidR="004462A0" w:rsidRPr="008912CF" w:rsidRDefault="00615769" w:rsidP="004462A0">
      <w:pPr>
        <w:numPr>
          <w:ilvl w:val="0"/>
          <w:numId w:val="67"/>
        </w:numPr>
        <w:tabs>
          <w:tab w:val="clear" w:pos="284"/>
          <w:tab w:val="num" w:pos="600"/>
        </w:tabs>
        <w:ind w:hanging="567"/>
        <w:rPr>
          <w:del w:id="13432" w:author="AbbVie2" w:date="2025-05-14T10:22:00Z"/>
          <w:sz w:val="22"/>
          <w:szCs w:val="22"/>
        </w:rPr>
      </w:pPr>
      <w:del w:id="13433" w:author="AbbVie2" w:date="2025-05-14T10:22:00Z">
        <w:r w:rsidRPr="008912CF">
          <w:rPr>
            <w:sz w:val="22"/>
            <w:szCs w:val="22"/>
          </w:rPr>
          <w:delText>espasmos musculares;</w:delText>
        </w:r>
      </w:del>
    </w:p>
    <w:p w14:paraId="6A76B94F" w14:textId="38E95A43" w:rsidR="004462A0" w:rsidRPr="008912CF" w:rsidRDefault="00615769" w:rsidP="004462A0">
      <w:pPr>
        <w:numPr>
          <w:ilvl w:val="0"/>
          <w:numId w:val="67"/>
        </w:numPr>
        <w:tabs>
          <w:tab w:val="clear" w:pos="284"/>
          <w:tab w:val="num" w:pos="600"/>
        </w:tabs>
        <w:ind w:hanging="567"/>
        <w:rPr>
          <w:del w:id="13434" w:author="AbbVie2" w:date="2025-05-14T10:22:00Z"/>
          <w:sz w:val="22"/>
          <w:szCs w:val="22"/>
        </w:rPr>
      </w:pPr>
      <w:del w:id="13435" w:author="AbbVie2" w:date="2025-05-14T10:22:00Z">
        <w:r w:rsidRPr="008912CF">
          <w:rPr>
            <w:sz w:val="22"/>
            <w:szCs w:val="22"/>
          </w:rPr>
          <w:delText>sangue na urina;</w:delText>
        </w:r>
      </w:del>
    </w:p>
    <w:p w14:paraId="67B0054E" w14:textId="765343F5" w:rsidR="004462A0" w:rsidRPr="008912CF" w:rsidRDefault="00615769" w:rsidP="004462A0">
      <w:pPr>
        <w:numPr>
          <w:ilvl w:val="0"/>
          <w:numId w:val="67"/>
        </w:numPr>
        <w:tabs>
          <w:tab w:val="clear" w:pos="284"/>
          <w:tab w:val="num" w:pos="600"/>
        </w:tabs>
        <w:ind w:hanging="567"/>
        <w:rPr>
          <w:del w:id="13436" w:author="AbbVie2" w:date="2025-05-14T10:22:00Z"/>
          <w:sz w:val="22"/>
          <w:szCs w:val="22"/>
        </w:rPr>
      </w:pPr>
      <w:del w:id="13437" w:author="AbbVie2" w:date="2025-05-14T10:22:00Z">
        <w:r w:rsidRPr="008912CF">
          <w:rPr>
            <w:sz w:val="22"/>
            <w:szCs w:val="22"/>
          </w:rPr>
          <w:delText>perturbações renais;</w:delText>
        </w:r>
      </w:del>
    </w:p>
    <w:p w14:paraId="66C879F8" w14:textId="3664C432" w:rsidR="004462A0" w:rsidRPr="008912CF" w:rsidRDefault="00615769" w:rsidP="004462A0">
      <w:pPr>
        <w:numPr>
          <w:ilvl w:val="0"/>
          <w:numId w:val="67"/>
        </w:numPr>
        <w:tabs>
          <w:tab w:val="clear" w:pos="284"/>
          <w:tab w:val="num" w:pos="600"/>
        </w:tabs>
        <w:ind w:hanging="567"/>
        <w:rPr>
          <w:del w:id="13438" w:author="AbbVie2" w:date="2025-05-14T10:22:00Z"/>
          <w:sz w:val="22"/>
          <w:szCs w:val="22"/>
        </w:rPr>
      </w:pPr>
      <w:del w:id="13439" w:author="AbbVie2" w:date="2025-05-14T10:22:00Z">
        <w:r w:rsidRPr="008912CF">
          <w:rPr>
            <w:sz w:val="22"/>
            <w:szCs w:val="22"/>
          </w:rPr>
          <w:delText>dor no peito;</w:delText>
        </w:r>
      </w:del>
    </w:p>
    <w:p w14:paraId="33FC09DE" w14:textId="4387E21C" w:rsidR="004462A0" w:rsidRPr="008912CF" w:rsidRDefault="00615769" w:rsidP="004462A0">
      <w:pPr>
        <w:numPr>
          <w:ilvl w:val="0"/>
          <w:numId w:val="67"/>
        </w:numPr>
        <w:tabs>
          <w:tab w:val="clear" w:pos="284"/>
          <w:tab w:val="num" w:pos="600"/>
        </w:tabs>
        <w:ind w:hanging="567"/>
        <w:rPr>
          <w:del w:id="13440" w:author="AbbVie2" w:date="2025-05-14T10:22:00Z"/>
          <w:sz w:val="22"/>
          <w:szCs w:val="22"/>
        </w:rPr>
      </w:pPr>
      <w:del w:id="13441" w:author="AbbVie2" w:date="2025-05-14T10:22:00Z">
        <w:r>
          <w:rPr>
            <w:sz w:val="22"/>
            <w:szCs w:val="22"/>
          </w:rPr>
          <w:delText>edema (</w:delText>
        </w:r>
        <w:r w:rsidRPr="008912CF">
          <w:rPr>
            <w:sz w:val="22"/>
            <w:szCs w:val="22"/>
          </w:rPr>
          <w:delText>inchaço</w:delText>
        </w:r>
        <w:r>
          <w:rPr>
            <w:sz w:val="22"/>
            <w:szCs w:val="22"/>
          </w:rPr>
          <w:delText>)</w:delText>
        </w:r>
        <w:r w:rsidRPr="008912CF">
          <w:rPr>
            <w:sz w:val="22"/>
            <w:szCs w:val="22"/>
          </w:rPr>
          <w:delText>;</w:delText>
        </w:r>
      </w:del>
    </w:p>
    <w:p w14:paraId="67135D44" w14:textId="6BB1085B" w:rsidR="004462A0" w:rsidRPr="008912CF" w:rsidRDefault="00615769" w:rsidP="004462A0">
      <w:pPr>
        <w:numPr>
          <w:ilvl w:val="0"/>
          <w:numId w:val="67"/>
        </w:numPr>
        <w:tabs>
          <w:tab w:val="clear" w:pos="284"/>
          <w:tab w:val="num" w:pos="600"/>
        </w:tabs>
        <w:ind w:hanging="567"/>
        <w:rPr>
          <w:del w:id="13442" w:author="AbbVie2" w:date="2025-05-14T10:22:00Z"/>
          <w:sz w:val="22"/>
          <w:szCs w:val="22"/>
        </w:rPr>
      </w:pPr>
      <w:del w:id="13443" w:author="AbbVie2" w:date="2025-05-14T10:22:00Z">
        <w:r w:rsidRPr="008912CF">
          <w:rPr>
            <w:sz w:val="22"/>
            <w:szCs w:val="22"/>
          </w:rPr>
          <w:delText>febre;</w:delText>
        </w:r>
      </w:del>
    </w:p>
    <w:p w14:paraId="6CEDEED0" w14:textId="2072FFF3" w:rsidR="004462A0" w:rsidRPr="008912CF" w:rsidRDefault="00615769" w:rsidP="004462A0">
      <w:pPr>
        <w:numPr>
          <w:ilvl w:val="0"/>
          <w:numId w:val="67"/>
        </w:numPr>
        <w:tabs>
          <w:tab w:val="clear" w:pos="284"/>
          <w:tab w:val="num" w:pos="600"/>
        </w:tabs>
        <w:ind w:hanging="567"/>
        <w:rPr>
          <w:del w:id="13444" w:author="AbbVie2" w:date="2025-05-14T10:22:00Z"/>
          <w:sz w:val="22"/>
          <w:szCs w:val="22"/>
        </w:rPr>
      </w:pPr>
      <w:del w:id="13445" w:author="AbbVie2" w:date="2025-05-14T10:22:00Z">
        <w:r w:rsidRPr="008912CF">
          <w:rPr>
            <w:sz w:val="22"/>
            <w:szCs w:val="22"/>
          </w:rPr>
          <w:delText>redução nas plaquetas sanguíneas aumentando o risco de hemorragia ou de nódoas negras;</w:delText>
        </w:r>
      </w:del>
    </w:p>
    <w:p w14:paraId="7EEF9E17" w14:textId="027AB16A" w:rsidR="004462A0" w:rsidRPr="006E6749" w:rsidRDefault="00615769" w:rsidP="006E6749">
      <w:pPr>
        <w:numPr>
          <w:ilvl w:val="0"/>
          <w:numId w:val="67"/>
        </w:numPr>
        <w:tabs>
          <w:tab w:val="clear" w:pos="284"/>
          <w:tab w:val="num" w:pos="600"/>
        </w:tabs>
        <w:ind w:hanging="567"/>
        <w:rPr>
          <w:del w:id="13446" w:author="AbbVie2" w:date="2025-05-14T10:22:00Z"/>
          <w:sz w:val="22"/>
          <w:szCs w:val="22"/>
        </w:rPr>
      </w:pPr>
      <w:del w:id="13447" w:author="AbbVie2" w:date="2025-05-14T10:22:00Z">
        <w:r w:rsidRPr="008912CF">
          <w:rPr>
            <w:sz w:val="22"/>
            <w:szCs w:val="22"/>
          </w:rPr>
          <w:delText>alteração de cicatrização.</w:delText>
        </w:r>
      </w:del>
    </w:p>
    <w:p w14:paraId="4990D45D" w14:textId="37F4E741" w:rsidR="006E6749" w:rsidRDefault="006E6749" w:rsidP="006E6749">
      <w:pPr>
        <w:pStyle w:val="BodyText2"/>
        <w:tabs>
          <w:tab w:val="num" w:pos="600"/>
        </w:tabs>
        <w:autoSpaceDE/>
        <w:autoSpaceDN/>
        <w:adjustRightInd/>
        <w:rPr>
          <w:del w:id="13448" w:author="AbbVie2" w:date="2025-05-14T10:22:00Z"/>
          <w:szCs w:val="22"/>
        </w:rPr>
      </w:pPr>
    </w:p>
    <w:p w14:paraId="542FBEF0" w14:textId="64607B81" w:rsidR="004462A0" w:rsidRPr="008912CF" w:rsidRDefault="00615769" w:rsidP="006E6749">
      <w:pPr>
        <w:pStyle w:val="BodyText2"/>
        <w:tabs>
          <w:tab w:val="num" w:pos="600"/>
        </w:tabs>
        <w:autoSpaceDE/>
        <w:autoSpaceDN/>
        <w:adjustRightInd/>
        <w:rPr>
          <w:del w:id="13449" w:author="AbbVie2" w:date="2025-05-14T10:22:00Z"/>
          <w:szCs w:val="22"/>
        </w:rPr>
      </w:pPr>
      <w:del w:id="13450" w:author="AbbVie2" w:date="2025-05-14T10:22:00Z">
        <w:r w:rsidRPr="008912CF">
          <w:rPr>
            <w:szCs w:val="22"/>
          </w:rPr>
          <w:delText>Pouco frequentes (podem afetar até 1 em 100 pessoas)</w:delText>
        </w:r>
      </w:del>
    </w:p>
    <w:p w14:paraId="46BCDE25" w14:textId="646EDE60" w:rsidR="004462A0" w:rsidRPr="008912CF" w:rsidRDefault="004462A0" w:rsidP="006E6749">
      <w:pPr>
        <w:pStyle w:val="BodyText2"/>
        <w:tabs>
          <w:tab w:val="num" w:pos="600"/>
        </w:tabs>
        <w:autoSpaceDE/>
        <w:autoSpaceDN/>
        <w:adjustRightInd/>
        <w:rPr>
          <w:del w:id="13451" w:author="AbbVie2" w:date="2025-05-14T10:22:00Z"/>
          <w:szCs w:val="22"/>
        </w:rPr>
      </w:pPr>
    </w:p>
    <w:p w14:paraId="56A30CEE" w14:textId="58543C37" w:rsidR="004462A0" w:rsidRPr="008912CF" w:rsidRDefault="00615769" w:rsidP="006E6749">
      <w:pPr>
        <w:numPr>
          <w:ilvl w:val="0"/>
          <w:numId w:val="68"/>
        </w:numPr>
        <w:tabs>
          <w:tab w:val="clear" w:pos="283"/>
          <w:tab w:val="num" w:pos="600"/>
        </w:tabs>
        <w:ind w:left="568" w:hanging="567"/>
        <w:rPr>
          <w:del w:id="13452" w:author="AbbVie2" w:date="2025-05-14T10:22:00Z"/>
          <w:sz w:val="22"/>
          <w:szCs w:val="22"/>
        </w:rPr>
      </w:pPr>
      <w:del w:id="13453" w:author="AbbVie2" w:date="2025-05-14T10:22:00Z">
        <w:r w:rsidRPr="008912CF">
          <w:rPr>
            <w:sz w:val="22"/>
            <w:szCs w:val="22"/>
          </w:rPr>
          <w:delText>infeções oportunistas (as quais incluem tuberculose e outras infeções que ocorrem quando a resistência à doença está diminuída);</w:delText>
        </w:r>
      </w:del>
    </w:p>
    <w:p w14:paraId="4833D7FC" w14:textId="66324CF8" w:rsidR="004462A0" w:rsidRPr="008912CF" w:rsidRDefault="00615769" w:rsidP="006E6749">
      <w:pPr>
        <w:numPr>
          <w:ilvl w:val="0"/>
          <w:numId w:val="68"/>
        </w:numPr>
        <w:tabs>
          <w:tab w:val="clear" w:pos="283"/>
          <w:tab w:val="num" w:pos="600"/>
        </w:tabs>
        <w:ind w:left="568" w:hanging="567"/>
        <w:rPr>
          <w:del w:id="13454" w:author="AbbVie2" w:date="2025-05-14T10:22:00Z"/>
          <w:sz w:val="22"/>
          <w:szCs w:val="22"/>
        </w:rPr>
      </w:pPr>
      <w:del w:id="13455" w:author="AbbVie2" w:date="2025-05-14T10:22:00Z">
        <w:r w:rsidRPr="008912CF">
          <w:rPr>
            <w:sz w:val="22"/>
            <w:szCs w:val="22"/>
          </w:rPr>
          <w:delText>infeções neurológicas (incluindo meningite viral);</w:delText>
        </w:r>
      </w:del>
    </w:p>
    <w:p w14:paraId="07F1AA01" w14:textId="0107B038" w:rsidR="004462A0" w:rsidRPr="008912CF" w:rsidRDefault="00615769" w:rsidP="006E6749">
      <w:pPr>
        <w:numPr>
          <w:ilvl w:val="0"/>
          <w:numId w:val="68"/>
        </w:numPr>
        <w:tabs>
          <w:tab w:val="clear" w:pos="283"/>
          <w:tab w:val="num" w:pos="600"/>
        </w:tabs>
        <w:ind w:left="568" w:hanging="567"/>
        <w:rPr>
          <w:del w:id="13456" w:author="AbbVie2" w:date="2025-05-14T10:22:00Z"/>
          <w:sz w:val="22"/>
          <w:szCs w:val="22"/>
        </w:rPr>
      </w:pPr>
      <w:del w:id="13457" w:author="AbbVie2" w:date="2025-05-14T10:22:00Z">
        <w:r w:rsidRPr="008912CF">
          <w:rPr>
            <w:sz w:val="22"/>
            <w:szCs w:val="22"/>
          </w:rPr>
          <w:delText>infeções oculares;</w:delText>
        </w:r>
      </w:del>
    </w:p>
    <w:p w14:paraId="5D139877" w14:textId="5DAC26CF" w:rsidR="004462A0" w:rsidRPr="008912CF" w:rsidRDefault="00615769" w:rsidP="006E6749">
      <w:pPr>
        <w:numPr>
          <w:ilvl w:val="0"/>
          <w:numId w:val="68"/>
        </w:numPr>
        <w:tabs>
          <w:tab w:val="clear" w:pos="283"/>
          <w:tab w:val="num" w:pos="600"/>
        </w:tabs>
        <w:ind w:hanging="567"/>
        <w:rPr>
          <w:del w:id="13458" w:author="AbbVie2" w:date="2025-05-14T10:22:00Z"/>
          <w:sz w:val="22"/>
          <w:szCs w:val="22"/>
        </w:rPr>
      </w:pPr>
      <w:del w:id="13459" w:author="AbbVie2" w:date="2025-05-14T10:22:00Z">
        <w:r w:rsidRPr="008912CF">
          <w:rPr>
            <w:sz w:val="22"/>
            <w:szCs w:val="22"/>
          </w:rPr>
          <w:delText>infeções bacterianas;</w:delText>
        </w:r>
      </w:del>
    </w:p>
    <w:p w14:paraId="53CCFE99" w14:textId="7BF572E7" w:rsidR="004462A0" w:rsidRPr="008912CF" w:rsidRDefault="00615769" w:rsidP="006E6749">
      <w:pPr>
        <w:numPr>
          <w:ilvl w:val="0"/>
          <w:numId w:val="68"/>
        </w:numPr>
        <w:tabs>
          <w:tab w:val="clear" w:pos="283"/>
          <w:tab w:val="num" w:pos="600"/>
        </w:tabs>
        <w:ind w:hanging="567"/>
        <w:rPr>
          <w:del w:id="13460" w:author="AbbVie2" w:date="2025-05-14T10:22:00Z"/>
          <w:sz w:val="22"/>
          <w:szCs w:val="22"/>
        </w:rPr>
      </w:pPr>
      <w:del w:id="13461" w:author="AbbVie2" w:date="2025-05-14T10:22:00Z">
        <w:r w:rsidRPr="008912CF">
          <w:rPr>
            <w:sz w:val="22"/>
            <w:szCs w:val="22"/>
          </w:rPr>
          <w:delText>diverticulite (inflamação e infeção do intestino grosso);</w:delText>
        </w:r>
      </w:del>
    </w:p>
    <w:p w14:paraId="7A500699" w14:textId="2322A57A" w:rsidR="004462A0" w:rsidRPr="008912CF" w:rsidRDefault="00615769" w:rsidP="006E6749">
      <w:pPr>
        <w:numPr>
          <w:ilvl w:val="0"/>
          <w:numId w:val="68"/>
        </w:numPr>
        <w:tabs>
          <w:tab w:val="clear" w:pos="283"/>
          <w:tab w:val="num" w:pos="600"/>
        </w:tabs>
        <w:ind w:hanging="567"/>
        <w:rPr>
          <w:del w:id="13462" w:author="AbbVie2" w:date="2025-05-14T10:22:00Z"/>
          <w:sz w:val="22"/>
          <w:szCs w:val="22"/>
        </w:rPr>
      </w:pPr>
      <w:del w:id="13463" w:author="AbbVie2" w:date="2025-05-14T10:22:00Z">
        <w:r w:rsidRPr="008912CF">
          <w:rPr>
            <w:sz w:val="22"/>
            <w:szCs w:val="22"/>
          </w:rPr>
          <w:delText>cancro;</w:delText>
        </w:r>
      </w:del>
    </w:p>
    <w:p w14:paraId="6B1A25AC" w14:textId="56CF5BF5" w:rsidR="004462A0" w:rsidRPr="008912CF" w:rsidRDefault="00615769" w:rsidP="006E6749">
      <w:pPr>
        <w:numPr>
          <w:ilvl w:val="0"/>
          <w:numId w:val="68"/>
        </w:numPr>
        <w:tabs>
          <w:tab w:val="clear" w:pos="283"/>
          <w:tab w:val="num" w:pos="600"/>
        </w:tabs>
        <w:ind w:hanging="567"/>
        <w:rPr>
          <w:del w:id="13464" w:author="AbbVie2" w:date="2025-05-14T10:22:00Z"/>
          <w:sz w:val="22"/>
          <w:szCs w:val="22"/>
        </w:rPr>
      </w:pPr>
      <w:del w:id="13465" w:author="AbbVie2" w:date="2025-05-14T10:22:00Z">
        <w:r w:rsidRPr="008912CF">
          <w:rPr>
            <w:sz w:val="22"/>
            <w:szCs w:val="22"/>
          </w:rPr>
          <w:delText>cancro que afeta o sistema linfático;</w:delText>
        </w:r>
      </w:del>
    </w:p>
    <w:p w14:paraId="65242EB1" w14:textId="7CE21AC0" w:rsidR="004462A0" w:rsidRPr="008912CF" w:rsidRDefault="00615769" w:rsidP="006E6749">
      <w:pPr>
        <w:numPr>
          <w:ilvl w:val="0"/>
          <w:numId w:val="68"/>
        </w:numPr>
        <w:tabs>
          <w:tab w:val="clear" w:pos="283"/>
          <w:tab w:val="num" w:pos="600"/>
        </w:tabs>
        <w:ind w:hanging="567"/>
        <w:rPr>
          <w:del w:id="13466" w:author="AbbVie2" w:date="2025-05-14T10:22:00Z"/>
          <w:sz w:val="22"/>
          <w:szCs w:val="22"/>
        </w:rPr>
      </w:pPr>
      <w:del w:id="13467" w:author="AbbVie2" w:date="2025-05-14T10:22:00Z">
        <w:r w:rsidRPr="008912CF">
          <w:rPr>
            <w:sz w:val="22"/>
            <w:szCs w:val="22"/>
          </w:rPr>
          <w:delText>melanoma;</w:delText>
        </w:r>
      </w:del>
    </w:p>
    <w:p w14:paraId="38203C34" w14:textId="0D265F76" w:rsidR="004462A0" w:rsidRPr="008912CF" w:rsidRDefault="00615769" w:rsidP="006E6749">
      <w:pPr>
        <w:numPr>
          <w:ilvl w:val="0"/>
          <w:numId w:val="68"/>
        </w:numPr>
        <w:tabs>
          <w:tab w:val="clear" w:pos="283"/>
          <w:tab w:val="num" w:pos="600"/>
        </w:tabs>
        <w:ind w:hanging="567"/>
        <w:rPr>
          <w:del w:id="13468" w:author="AbbVie2" w:date="2025-05-14T10:22:00Z"/>
          <w:sz w:val="22"/>
          <w:szCs w:val="22"/>
        </w:rPr>
      </w:pPr>
      <w:del w:id="13469" w:author="AbbVie2" w:date="2025-05-14T10:22:00Z">
        <w:r w:rsidRPr="008912CF">
          <w:rPr>
            <w:sz w:val="22"/>
            <w:szCs w:val="22"/>
          </w:rPr>
          <w:delText>perturbações do sistema imunitário que podem afetar os pulmões, pele e gânglios linfáticos (apresentando-se mais frequentemente como sarcoidose);</w:delText>
        </w:r>
      </w:del>
    </w:p>
    <w:p w14:paraId="47B2730D" w14:textId="7F4F5A02" w:rsidR="004462A0" w:rsidRPr="008912CF" w:rsidRDefault="00615769" w:rsidP="006E6749">
      <w:pPr>
        <w:numPr>
          <w:ilvl w:val="0"/>
          <w:numId w:val="68"/>
        </w:numPr>
        <w:tabs>
          <w:tab w:val="clear" w:pos="283"/>
          <w:tab w:val="num" w:pos="600"/>
        </w:tabs>
        <w:ind w:hanging="567"/>
        <w:rPr>
          <w:del w:id="13470" w:author="AbbVie2" w:date="2025-05-14T10:22:00Z"/>
          <w:sz w:val="22"/>
          <w:szCs w:val="22"/>
        </w:rPr>
      </w:pPr>
      <w:del w:id="13471" w:author="AbbVie2" w:date="2025-05-14T10:22:00Z">
        <w:r w:rsidRPr="008912CF">
          <w:rPr>
            <w:sz w:val="22"/>
            <w:szCs w:val="22"/>
          </w:rPr>
          <w:delText>vasculite (inflamação dos vasos sanguíneos);</w:delText>
        </w:r>
      </w:del>
    </w:p>
    <w:p w14:paraId="23F4A399" w14:textId="19B09AC4" w:rsidR="004462A0" w:rsidRPr="008912CF" w:rsidRDefault="00615769" w:rsidP="006E6749">
      <w:pPr>
        <w:numPr>
          <w:ilvl w:val="0"/>
          <w:numId w:val="68"/>
        </w:numPr>
        <w:tabs>
          <w:tab w:val="clear" w:pos="283"/>
          <w:tab w:val="num" w:pos="600"/>
        </w:tabs>
        <w:ind w:hanging="567"/>
        <w:rPr>
          <w:del w:id="13472" w:author="AbbVie2" w:date="2025-05-14T10:22:00Z"/>
          <w:sz w:val="22"/>
          <w:szCs w:val="22"/>
        </w:rPr>
      </w:pPr>
      <w:del w:id="13473" w:author="AbbVie2" w:date="2025-05-14T10:22:00Z">
        <w:r w:rsidRPr="008912CF">
          <w:rPr>
            <w:sz w:val="22"/>
            <w:szCs w:val="22"/>
          </w:rPr>
          <w:delText xml:space="preserve">tremor; </w:delText>
        </w:r>
      </w:del>
    </w:p>
    <w:p w14:paraId="7B34F14E" w14:textId="2AB001CF" w:rsidR="004462A0" w:rsidRPr="008912CF" w:rsidRDefault="00615769" w:rsidP="006E6749">
      <w:pPr>
        <w:numPr>
          <w:ilvl w:val="0"/>
          <w:numId w:val="68"/>
        </w:numPr>
        <w:tabs>
          <w:tab w:val="clear" w:pos="283"/>
          <w:tab w:val="num" w:pos="600"/>
        </w:tabs>
        <w:ind w:hanging="567"/>
        <w:rPr>
          <w:del w:id="13474" w:author="AbbVie2" w:date="2025-05-14T10:22:00Z"/>
          <w:sz w:val="22"/>
          <w:szCs w:val="22"/>
        </w:rPr>
      </w:pPr>
      <w:del w:id="13475" w:author="AbbVie2" w:date="2025-05-14T10:22:00Z">
        <w:r w:rsidRPr="008912CF">
          <w:rPr>
            <w:sz w:val="22"/>
            <w:szCs w:val="22"/>
          </w:rPr>
          <w:delText>AVC;</w:delText>
        </w:r>
      </w:del>
    </w:p>
    <w:p w14:paraId="391A3D8A" w14:textId="2D93A502" w:rsidR="004462A0" w:rsidRPr="008912CF" w:rsidRDefault="00615769" w:rsidP="006E6749">
      <w:pPr>
        <w:numPr>
          <w:ilvl w:val="0"/>
          <w:numId w:val="68"/>
        </w:numPr>
        <w:tabs>
          <w:tab w:val="clear" w:pos="283"/>
          <w:tab w:val="num" w:pos="600"/>
        </w:tabs>
        <w:ind w:hanging="567"/>
        <w:rPr>
          <w:del w:id="13476" w:author="AbbVie2" w:date="2025-05-14T10:22:00Z"/>
          <w:sz w:val="22"/>
          <w:szCs w:val="22"/>
        </w:rPr>
      </w:pPr>
      <w:del w:id="13477" w:author="AbbVie2" w:date="2025-05-14T10:22:00Z">
        <w:r w:rsidRPr="008912CF">
          <w:rPr>
            <w:sz w:val="22"/>
            <w:szCs w:val="22"/>
          </w:rPr>
          <w:delText>neuropatia;</w:delText>
        </w:r>
      </w:del>
    </w:p>
    <w:p w14:paraId="3EB7A8E1" w14:textId="471A098C" w:rsidR="004462A0" w:rsidRPr="000E1CF5" w:rsidRDefault="00615769" w:rsidP="006E6749">
      <w:pPr>
        <w:numPr>
          <w:ilvl w:val="0"/>
          <w:numId w:val="68"/>
        </w:numPr>
        <w:tabs>
          <w:tab w:val="clear" w:pos="283"/>
          <w:tab w:val="num" w:pos="600"/>
        </w:tabs>
        <w:ind w:hanging="567"/>
        <w:rPr>
          <w:del w:id="13478" w:author="AbbVie2" w:date="2025-05-14T10:22:00Z"/>
          <w:sz w:val="22"/>
          <w:szCs w:val="22"/>
        </w:rPr>
      </w:pPr>
      <w:del w:id="13479" w:author="AbbVie2" w:date="2025-05-14T10:22:00Z">
        <w:r w:rsidRPr="000E1CF5">
          <w:rPr>
            <w:sz w:val="22"/>
            <w:szCs w:val="22"/>
          </w:rPr>
          <w:delText>perda de audição, zumbido;</w:delText>
        </w:r>
      </w:del>
    </w:p>
    <w:p w14:paraId="26D6A019" w14:textId="3DEEA5FC" w:rsidR="004462A0" w:rsidRPr="008912CF" w:rsidRDefault="00615769" w:rsidP="006E6749">
      <w:pPr>
        <w:numPr>
          <w:ilvl w:val="0"/>
          <w:numId w:val="68"/>
        </w:numPr>
        <w:tabs>
          <w:tab w:val="clear" w:pos="283"/>
          <w:tab w:val="num" w:pos="600"/>
        </w:tabs>
        <w:ind w:hanging="567"/>
        <w:rPr>
          <w:del w:id="13480" w:author="AbbVie2" w:date="2025-05-14T10:22:00Z"/>
          <w:sz w:val="22"/>
          <w:szCs w:val="22"/>
        </w:rPr>
      </w:pPr>
      <w:del w:id="13481" w:author="AbbVie2" w:date="2025-05-14T10:22:00Z">
        <w:r w:rsidRPr="008912CF">
          <w:rPr>
            <w:sz w:val="22"/>
            <w:szCs w:val="22"/>
          </w:rPr>
          <w:delText>sensação de batimento irregular do coração tal como palpitações;</w:delText>
        </w:r>
      </w:del>
    </w:p>
    <w:p w14:paraId="12C8A930" w14:textId="356D62C8" w:rsidR="004462A0" w:rsidRPr="008912CF" w:rsidRDefault="00615769" w:rsidP="006E6749">
      <w:pPr>
        <w:numPr>
          <w:ilvl w:val="0"/>
          <w:numId w:val="68"/>
        </w:numPr>
        <w:tabs>
          <w:tab w:val="clear" w:pos="283"/>
          <w:tab w:val="num" w:pos="600"/>
        </w:tabs>
        <w:ind w:hanging="567"/>
        <w:rPr>
          <w:del w:id="13482" w:author="AbbVie2" w:date="2025-05-14T10:22:00Z"/>
          <w:sz w:val="22"/>
          <w:szCs w:val="22"/>
        </w:rPr>
      </w:pPr>
      <w:del w:id="13483" w:author="AbbVie2" w:date="2025-05-14T10:22:00Z">
        <w:r w:rsidRPr="008912CF">
          <w:rPr>
            <w:sz w:val="22"/>
            <w:szCs w:val="22"/>
          </w:rPr>
          <w:delText>problemas no coração que podem causar falta de ar ou inchaço nos tornozelos;</w:delText>
        </w:r>
      </w:del>
    </w:p>
    <w:p w14:paraId="370F6291" w14:textId="2527AC0E" w:rsidR="004462A0" w:rsidRPr="008912CF" w:rsidRDefault="00615769" w:rsidP="006E6749">
      <w:pPr>
        <w:numPr>
          <w:ilvl w:val="0"/>
          <w:numId w:val="68"/>
        </w:numPr>
        <w:tabs>
          <w:tab w:val="clear" w:pos="283"/>
          <w:tab w:val="num" w:pos="600"/>
        </w:tabs>
        <w:ind w:hanging="567"/>
        <w:rPr>
          <w:del w:id="13484" w:author="AbbVie2" w:date="2025-05-14T10:22:00Z"/>
          <w:sz w:val="22"/>
          <w:szCs w:val="22"/>
        </w:rPr>
      </w:pPr>
      <w:del w:id="13485" w:author="AbbVie2" w:date="2025-05-14T10:22:00Z">
        <w:r w:rsidRPr="008912CF">
          <w:rPr>
            <w:sz w:val="22"/>
            <w:szCs w:val="22"/>
          </w:rPr>
          <w:delText>ataque cardíaco;</w:delText>
        </w:r>
      </w:del>
    </w:p>
    <w:p w14:paraId="64451D21" w14:textId="6E98AF34" w:rsidR="004462A0" w:rsidRPr="008912CF" w:rsidRDefault="00615769" w:rsidP="006E6749">
      <w:pPr>
        <w:numPr>
          <w:ilvl w:val="0"/>
          <w:numId w:val="68"/>
        </w:numPr>
        <w:tabs>
          <w:tab w:val="clear" w:pos="283"/>
          <w:tab w:val="num" w:pos="600"/>
        </w:tabs>
        <w:ind w:hanging="566"/>
        <w:rPr>
          <w:del w:id="13486" w:author="AbbVie2" w:date="2025-05-14T10:22:00Z"/>
          <w:sz w:val="22"/>
          <w:szCs w:val="22"/>
        </w:rPr>
      </w:pPr>
      <w:del w:id="13487" w:author="AbbVie2" w:date="2025-05-14T10:22:00Z">
        <w:r w:rsidRPr="008912CF">
          <w:rPr>
            <w:sz w:val="22"/>
            <w:szCs w:val="22"/>
          </w:rPr>
          <w:delText>quisto na parede de uma artéria maior, inflamação e coágulo de uma veia, bloqueio de um vaso sanguíneo;</w:delText>
        </w:r>
      </w:del>
    </w:p>
    <w:p w14:paraId="4A7B6DA1" w14:textId="2481B6BF" w:rsidR="004462A0" w:rsidRPr="008912CF" w:rsidRDefault="00615769" w:rsidP="006E6749">
      <w:pPr>
        <w:numPr>
          <w:ilvl w:val="0"/>
          <w:numId w:val="68"/>
        </w:numPr>
        <w:tabs>
          <w:tab w:val="clear" w:pos="283"/>
          <w:tab w:val="num" w:pos="600"/>
        </w:tabs>
        <w:ind w:hanging="567"/>
        <w:rPr>
          <w:del w:id="13488" w:author="AbbVie2" w:date="2025-05-14T10:22:00Z"/>
          <w:sz w:val="22"/>
          <w:szCs w:val="22"/>
        </w:rPr>
      </w:pPr>
      <w:del w:id="13489" w:author="AbbVie2" w:date="2025-05-14T10:22:00Z">
        <w:r w:rsidRPr="008912CF">
          <w:rPr>
            <w:sz w:val="22"/>
            <w:szCs w:val="22"/>
          </w:rPr>
          <w:delText>doenças pulmonares causando falta de ar (incluindo inflamação);</w:delText>
        </w:r>
      </w:del>
    </w:p>
    <w:p w14:paraId="7C298FE1" w14:textId="70DA7C7C" w:rsidR="004462A0" w:rsidRPr="008912CF" w:rsidRDefault="00615769" w:rsidP="006E6749">
      <w:pPr>
        <w:numPr>
          <w:ilvl w:val="0"/>
          <w:numId w:val="68"/>
        </w:numPr>
        <w:tabs>
          <w:tab w:val="clear" w:pos="283"/>
          <w:tab w:val="num" w:pos="600"/>
        </w:tabs>
        <w:ind w:hanging="567"/>
        <w:rPr>
          <w:del w:id="13490" w:author="AbbVie2" w:date="2025-05-14T10:22:00Z"/>
          <w:sz w:val="22"/>
          <w:szCs w:val="22"/>
        </w:rPr>
      </w:pPr>
      <w:del w:id="13491" w:author="AbbVie2" w:date="2025-05-14T10:22:00Z">
        <w:r w:rsidRPr="008912CF">
          <w:rPr>
            <w:sz w:val="22"/>
            <w:szCs w:val="22"/>
          </w:rPr>
          <w:delText>emboli</w:delText>
        </w:r>
        <w:r w:rsidR="003E3AA9">
          <w:rPr>
            <w:sz w:val="22"/>
            <w:szCs w:val="22"/>
          </w:rPr>
          <w:delText>a</w:delText>
        </w:r>
        <w:r w:rsidRPr="008912CF">
          <w:rPr>
            <w:sz w:val="22"/>
            <w:szCs w:val="22"/>
          </w:rPr>
          <w:delText xml:space="preserve"> pulmonar (bloqueio de uma artéria no pulmão);</w:delText>
        </w:r>
      </w:del>
    </w:p>
    <w:p w14:paraId="61819522" w14:textId="135A5F46" w:rsidR="004462A0" w:rsidRPr="008912CF" w:rsidRDefault="00615769" w:rsidP="006E6749">
      <w:pPr>
        <w:numPr>
          <w:ilvl w:val="0"/>
          <w:numId w:val="68"/>
        </w:numPr>
        <w:tabs>
          <w:tab w:val="clear" w:pos="283"/>
          <w:tab w:val="num" w:pos="600"/>
        </w:tabs>
        <w:ind w:hanging="567"/>
        <w:rPr>
          <w:del w:id="13492" w:author="AbbVie2" w:date="2025-05-14T10:22:00Z"/>
          <w:sz w:val="22"/>
          <w:szCs w:val="22"/>
        </w:rPr>
      </w:pPr>
      <w:del w:id="13493" w:author="AbbVie2" w:date="2025-05-14T10:22:00Z">
        <w:r w:rsidRPr="008912CF">
          <w:rPr>
            <w:sz w:val="22"/>
            <w:szCs w:val="22"/>
          </w:rPr>
          <w:delText>derrame pleural (acumulação anormal de líquido no espaço pleural);</w:delText>
        </w:r>
      </w:del>
    </w:p>
    <w:p w14:paraId="434336DB" w14:textId="322F1649" w:rsidR="004462A0" w:rsidRPr="008912CF" w:rsidRDefault="00615769" w:rsidP="006E6749">
      <w:pPr>
        <w:numPr>
          <w:ilvl w:val="0"/>
          <w:numId w:val="68"/>
        </w:numPr>
        <w:tabs>
          <w:tab w:val="clear" w:pos="283"/>
          <w:tab w:val="num" w:pos="600"/>
        </w:tabs>
        <w:ind w:hanging="567"/>
        <w:rPr>
          <w:del w:id="13494" w:author="AbbVie2" w:date="2025-05-14T10:22:00Z"/>
          <w:sz w:val="22"/>
          <w:szCs w:val="22"/>
        </w:rPr>
      </w:pPr>
      <w:del w:id="13495" w:author="AbbVie2" w:date="2025-05-14T10:22:00Z">
        <w:r w:rsidRPr="008912CF">
          <w:rPr>
            <w:sz w:val="22"/>
            <w:szCs w:val="22"/>
          </w:rPr>
          <w:delText>inflamação do pâncreas que causa dor grave no abdómen e costas;</w:delText>
        </w:r>
      </w:del>
    </w:p>
    <w:p w14:paraId="049C52EB" w14:textId="0E30ABC3" w:rsidR="004462A0" w:rsidRPr="008912CF" w:rsidRDefault="00615769" w:rsidP="006E6749">
      <w:pPr>
        <w:numPr>
          <w:ilvl w:val="0"/>
          <w:numId w:val="68"/>
        </w:numPr>
        <w:tabs>
          <w:tab w:val="clear" w:pos="283"/>
          <w:tab w:val="num" w:pos="600"/>
        </w:tabs>
        <w:ind w:hanging="567"/>
        <w:rPr>
          <w:del w:id="13496" w:author="AbbVie2" w:date="2025-05-14T10:22:00Z"/>
          <w:sz w:val="22"/>
          <w:szCs w:val="22"/>
        </w:rPr>
      </w:pPr>
      <w:del w:id="13497" w:author="AbbVie2" w:date="2025-05-14T10:22:00Z">
        <w:r w:rsidRPr="008912CF">
          <w:rPr>
            <w:sz w:val="22"/>
            <w:szCs w:val="22"/>
          </w:rPr>
          <w:delText>dificuldade em engolir;</w:delText>
        </w:r>
      </w:del>
    </w:p>
    <w:p w14:paraId="7C25AF4C" w14:textId="5AE207CF" w:rsidR="004462A0" w:rsidRPr="008912CF" w:rsidRDefault="00615769" w:rsidP="006E6749">
      <w:pPr>
        <w:numPr>
          <w:ilvl w:val="0"/>
          <w:numId w:val="68"/>
        </w:numPr>
        <w:tabs>
          <w:tab w:val="clear" w:pos="283"/>
          <w:tab w:val="num" w:pos="600"/>
        </w:tabs>
        <w:ind w:hanging="567"/>
        <w:rPr>
          <w:del w:id="13498" w:author="AbbVie2" w:date="2025-05-14T10:22:00Z"/>
          <w:sz w:val="22"/>
          <w:szCs w:val="22"/>
        </w:rPr>
      </w:pPr>
      <w:del w:id="13499" w:author="AbbVie2" w:date="2025-05-14T10:22:00Z">
        <w:r w:rsidRPr="008912CF">
          <w:rPr>
            <w:sz w:val="22"/>
            <w:szCs w:val="22"/>
          </w:rPr>
          <w:delText>edema facial;</w:delText>
        </w:r>
      </w:del>
    </w:p>
    <w:p w14:paraId="4CC30413" w14:textId="753E5F50" w:rsidR="004462A0" w:rsidRPr="008912CF" w:rsidRDefault="00615769" w:rsidP="006E6749">
      <w:pPr>
        <w:numPr>
          <w:ilvl w:val="0"/>
          <w:numId w:val="68"/>
        </w:numPr>
        <w:tabs>
          <w:tab w:val="clear" w:pos="283"/>
          <w:tab w:val="num" w:pos="600"/>
        </w:tabs>
        <w:ind w:hanging="567"/>
        <w:rPr>
          <w:del w:id="13500" w:author="AbbVie2" w:date="2025-05-14T10:22:00Z"/>
          <w:sz w:val="22"/>
          <w:szCs w:val="22"/>
        </w:rPr>
      </w:pPr>
      <w:del w:id="13501" w:author="AbbVie2" w:date="2025-05-14T10:22:00Z">
        <w:r w:rsidRPr="008912CF">
          <w:rPr>
            <w:sz w:val="22"/>
            <w:szCs w:val="22"/>
          </w:rPr>
          <w:delText xml:space="preserve">inflamação da vesícula, pedra na vesícula; </w:delText>
        </w:r>
      </w:del>
    </w:p>
    <w:p w14:paraId="70802457" w14:textId="22B50F62" w:rsidR="004462A0" w:rsidRPr="008912CF" w:rsidRDefault="00615769" w:rsidP="006E6749">
      <w:pPr>
        <w:numPr>
          <w:ilvl w:val="0"/>
          <w:numId w:val="68"/>
        </w:numPr>
        <w:tabs>
          <w:tab w:val="clear" w:pos="283"/>
          <w:tab w:val="num" w:pos="600"/>
        </w:tabs>
        <w:ind w:hanging="567"/>
        <w:rPr>
          <w:del w:id="13502" w:author="AbbVie2" w:date="2025-05-14T10:22:00Z"/>
          <w:sz w:val="22"/>
          <w:szCs w:val="22"/>
        </w:rPr>
      </w:pPr>
      <w:del w:id="13503" w:author="AbbVie2" w:date="2025-05-14T10:22:00Z">
        <w:r w:rsidRPr="008912CF">
          <w:rPr>
            <w:sz w:val="22"/>
            <w:szCs w:val="22"/>
          </w:rPr>
          <w:delText>fígado gordo;</w:delText>
        </w:r>
      </w:del>
    </w:p>
    <w:p w14:paraId="7EFF1CD5" w14:textId="2731D26A" w:rsidR="004462A0" w:rsidRPr="008912CF" w:rsidRDefault="00615769" w:rsidP="006E6749">
      <w:pPr>
        <w:numPr>
          <w:ilvl w:val="0"/>
          <w:numId w:val="68"/>
        </w:numPr>
        <w:tabs>
          <w:tab w:val="clear" w:pos="283"/>
          <w:tab w:val="num" w:pos="600"/>
        </w:tabs>
        <w:ind w:hanging="567"/>
        <w:rPr>
          <w:del w:id="13504" w:author="AbbVie2" w:date="2025-05-14T10:22:00Z"/>
          <w:sz w:val="22"/>
          <w:szCs w:val="22"/>
        </w:rPr>
      </w:pPr>
      <w:del w:id="13505" w:author="AbbVie2" w:date="2025-05-14T10:22:00Z">
        <w:r w:rsidRPr="008912CF">
          <w:rPr>
            <w:sz w:val="22"/>
            <w:szCs w:val="22"/>
          </w:rPr>
          <w:delText>suores noturnos;</w:delText>
        </w:r>
      </w:del>
    </w:p>
    <w:p w14:paraId="1C0201B4" w14:textId="72F6A8E2" w:rsidR="004462A0" w:rsidRPr="008912CF" w:rsidRDefault="00615769" w:rsidP="006E6749">
      <w:pPr>
        <w:numPr>
          <w:ilvl w:val="0"/>
          <w:numId w:val="68"/>
        </w:numPr>
        <w:tabs>
          <w:tab w:val="clear" w:pos="283"/>
          <w:tab w:val="num" w:pos="600"/>
        </w:tabs>
        <w:ind w:hanging="567"/>
        <w:rPr>
          <w:del w:id="13506" w:author="AbbVie2" w:date="2025-05-14T10:22:00Z"/>
          <w:sz w:val="22"/>
          <w:szCs w:val="22"/>
        </w:rPr>
      </w:pPr>
      <w:del w:id="13507" w:author="AbbVie2" w:date="2025-05-14T10:22:00Z">
        <w:r w:rsidRPr="008912CF">
          <w:rPr>
            <w:sz w:val="22"/>
            <w:szCs w:val="22"/>
          </w:rPr>
          <w:delText>escaras;</w:delText>
        </w:r>
      </w:del>
    </w:p>
    <w:p w14:paraId="140826A4" w14:textId="23E225D0" w:rsidR="004462A0" w:rsidRPr="008912CF" w:rsidRDefault="00615769" w:rsidP="006E6749">
      <w:pPr>
        <w:numPr>
          <w:ilvl w:val="0"/>
          <w:numId w:val="68"/>
        </w:numPr>
        <w:tabs>
          <w:tab w:val="clear" w:pos="283"/>
          <w:tab w:val="num" w:pos="600"/>
        </w:tabs>
        <w:ind w:hanging="567"/>
        <w:rPr>
          <w:del w:id="13508" w:author="AbbVie2" w:date="2025-05-14T10:22:00Z"/>
          <w:sz w:val="22"/>
          <w:szCs w:val="22"/>
        </w:rPr>
      </w:pPr>
      <w:del w:id="13509" w:author="AbbVie2" w:date="2025-05-14T10:22:00Z">
        <w:r w:rsidRPr="008912CF">
          <w:rPr>
            <w:sz w:val="22"/>
            <w:szCs w:val="22"/>
          </w:rPr>
          <w:delText>colapso muscular anormal;</w:delText>
        </w:r>
      </w:del>
    </w:p>
    <w:p w14:paraId="17BF29A9" w14:textId="3B3A52D2" w:rsidR="004462A0" w:rsidRPr="008912CF" w:rsidRDefault="00615769" w:rsidP="006E6749">
      <w:pPr>
        <w:numPr>
          <w:ilvl w:val="0"/>
          <w:numId w:val="68"/>
        </w:numPr>
        <w:tabs>
          <w:tab w:val="clear" w:pos="283"/>
          <w:tab w:val="num" w:pos="600"/>
        </w:tabs>
        <w:ind w:hanging="567"/>
        <w:rPr>
          <w:del w:id="13510" w:author="AbbVie2" w:date="2025-05-14T10:22:00Z"/>
          <w:sz w:val="22"/>
          <w:szCs w:val="22"/>
        </w:rPr>
      </w:pPr>
      <w:del w:id="13511" w:author="AbbVie2" w:date="2025-05-14T10:22:00Z">
        <w:r w:rsidRPr="008912CF">
          <w:rPr>
            <w:sz w:val="22"/>
            <w:szCs w:val="22"/>
          </w:rPr>
          <w:delText xml:space="preserve">lúpus eritematoso sistémico (incluindo inflamação da pele, coração, pulmão, articulações e outros sistemas de órgãos); </w:delText>
        </w:r>
      </w:del>
    </w:p>
    <w:p w14:paraId="1BAE0832" w14:textId="4B6CB281" w:rsidR="004462A0" w:rsidRPr="008912CF" w:rsidRDefault="00615769" w:rsidP="006E6749">
      <w:pPr>
        <w:numPr>
          <w:ilvl w:val="0"/>
          <w:numId w:val="68"/>
        </w:numPr>
        <w:tabs>
          <w:tab w:val="clear" w:pos="283"/>
          <w:tab w:val="num" w:pos="600"/>
        </w:tabs>
        <w:ind w:hanging="567"/>
        <w:rPr>
          <w:del w:id="13512" w:author="AbbVie2" w:date="2025-05-14T10:22:00Z"/>
          <w:sz w:val="22"/>
          <w:szCs w:val="22"/>
        </w:rPr>
      </w:pPr>
      <w:del w:id="13513" w:author="AbbVie2" w:date="2025-05-14T10:22:00Z">
        <w:r w:rsidRPr="008912CF">
          <w:rPr>
            <w:sz w:val="22"/>
            <w:szCs w:val="22"/>
          </w:rPr>
          <w:delText>interrupções de sono;</w:delText>
        </w:r>
      </w:del>
    </w:p>
    <w:p w14:paraId="7E7D2ACB" w14:textId="0473ABCA" w:rsidR="004462A0" w:rsidRPr="008912CF" w:rsidRDefault="00615769" w:rsidP="0050748E">
      <w:pPr>
        <w:keepNext/>
        <w:numPr>
          <w:ilvl w:val="0"/>
          <w:numId w:val="68"/>
        </w:numPr>
        <w:tabs>
          <w:tab w:val="clear" w:pos="283"/>
          <w:tab w:val="num" w:pos="600"/>
        </w:tabs>
        <w:ind w:hanging="567"/>
        <w:rPr>
          <w:del w:id="13514" w:author="AbbVie2" w:date="2025-05-14T10:22:00Z"/>
          <w:sz w:val="22"/>
          <w:szCs w:val="22"/>
        </w:rPr>
      </w:pPr>
      <w:del w:id="13515" w:author="AbbVie2" w:date="2025-05-14T10:22:00Z">
        <w:r w:rsidRPr="008912CF">
          <w:rPr>
            <w:sz w:val="22"/>
            <w:szCs w:val="22"/>
          </w:rPr>
          <w:delText>impotência;</w:delText>
        </w:r>
      </w:del>
    </w:p>
    <w:p w14:paraId="22DFBCA3" w14:textId="51AA7B9D" w:rsidR="004462A0" w:rsidRPr="008912CF" w:rsidRDefault="00615769" w:rsidP="0050748E">
      <w:pPr>
        <w:keepNext/>
        <w:numPr>
          <w:ilvl w:val="0"/>
          <w:numId w:val="68"/>
        </w:numPr>
        <w:tabs>
          <w:tab w:val="clear" w:pos="283"/>
          <w:tab w:val="num" w:pos="600"/>
        </w:tabs>
        <w:ind w:hanging="567"/>
        <w:rPr>
          <w:del w:id="13516" w:author="AbbVie2" w:date="2025-05-14T10:22:00Z"/>
          <w:sz w:val="22"/>
          <w:szCs w:val="22"/>
        </w:rPr>
      </w:pPr>
      <w:del w:id="13517" w:author="AbbVie2" w:date="2025-05-14T10:22:00Z">
        <w:r w:rsidRPr="008912CF">
          <w:rPr>
            <w:sz w:val="22"/>
            <w:szCs w:val="22"/>
          </w:rPr>
          <w:delText>inflamações.</w:delText>
        </w:r>
      </w:del>
    </w:p>
    <w:p w14:paraId="7C547BAC" w14:textId="14551413" w:rsidR="004462A0" w:rsidRPr="008912CF" w:rsidRDefault="004462A0" w:rsidP="004462A0">
      <w:pPr>
        <w:ind w:left="-1"/>
        <w:rPr>
          <w:del w:id="13518" w:author="AbbVie2" w:date="2025-05-14T10:22:00Z"/>
          <w:sz w:val="22"/>
          <w:szCs w:val="22"/>
        </w:rPr>
      </w:pPr>
    </w:p>
    <w:p w14:paraId="50197A1B" w14:textId="7E8F1654" w:rsidR="004462A0" w:rsidRPr="008912CF" w:rsidRDefault="00615769" w:rsidP="004462A0">
      <w:pPr>
        <w:pStyle w:val="BodyText2"/>
        <w:autoSpaceDE/>
        <w:autoSpaceDN/>
        <w:adjustRightInd/>
        <w:rPr>
          <w:del w:id="13519" w:author="AbbVie2" w:date="2025-05-14T10:22:00Z"/>
          <w:szCs w:val="22"/>
        </w:rPr>
      </w:pPr>
      <w:del w:id="13520" w:author="AbbVie2" w:date="2025-05-14T10:22:00Z">
        <w:r w:rsidRPr="008912CF">
          <w:rPr>
            <w:szCs w:val="22"/>
          </w:rPr>
          <w:delText>Raros (podem afetar até 1 em 1.000 pessoas):</w:delText>
        </w:r>
      </w:del>
    </w:p>
    <w:p w14:paraId="7C6E4B20" w14:textId="5258813C" w:rsidR="004462A0" w:rsidRPr="008912CF" w:rsidRDefault="004462A0" w:rsidP="004462A0">
      <w:pPr>
        <w:pStyle w:val="BodyText2"/>
        <w:autoSpaceDE/>
        <w:autoSpaceDN/>
        <w:adjustRightInd/>
        <w:rPr>
          <w:del w:id="13521" w:author="AbbVie2" w:date="2025-05-14T10:22:00Z"/>
          <w:szCs w:val="22"/>
        </w:rPr>
      </w:pPr>
    </w:p>
    <w:p w14:paraId="2E450B5A" w14:textId="70F47DA3" w:rsidR="004462A0" w:rsidRPr="008912CF" w:rsidRDefault="00615769" w:rsidP="00636825">
      <w:pPr>
        <w:pStyle w:val="ListParagraph"/>
        <w:numPr>
          <w:ilvl w:val="2"/>
          <w:numId w:val="112"/>
        </w:numPr>
        <w:ind w:left="567" w:hanging="567"/>
        <w:rPr>
          <w:del w:id="13522" w:author="AbbVie2" w:date="2025-05-14T10:22:00Z"/>
          <w:sz w:val="22"/>
          <w:szCs w:val="22"/>
        </w:rPr>
      </w:pPr>
      <w:del w:id="13523" w:author="AbbVie2" w:date="2025-05-14T10:22:00Z">
        <w:r w:rsidRPr="008912CF">
          <w:rPr>
            <w:sz w:val="22"/>
            <w:szCs w:val="22"/>
          </w:rPr>
          <w:delText>leucemia (cancro que afeta o sangue e a medula óssea);</w:delText>
        </w:r>
      </w:del>
    </w:p>
    <w:p w14:paraId="29D157EF" w14:textId="796D5541" w:rsidR="004462A0" w:rsidRPr="008912CF" w:rsidRDefault="00615769" w:rsidP="00636825">
      <w:pPr>
        <w:pStyle w:val="ListParagraph"/>
        <w:numPr>
          <w:ilvl w:val="2"/>
          <w:numId w:val="112"/>
        </w:numPr>
        <w:ind w:left="567" w:hanging="567"/>
        <w:rPr>
          <w:del w:id="13524" w:author="AbbVie2" w:date="2025-05-14T10:22:00Z"/>
          <w:sz w:val="22"/>
          <w:szCs w:val="22"/>
        </w:rPr>
      </w:pPr>
      <w:del w:id="13525" w:author="AbbVie2" w:date="2025-05-14T10:22:00Z">
        <w:r w:rsidRPr="008912CF">
          <w:rPr>
            <w:sz w:val="22"/>
            <w:szCs w:val="22"/>
          </w:rPr>
          <w:delText>reação alérgica grave com choque;</w:delText>
        </w:r>
      </w:del>
    </w:p>
    <w:p w14:paraId="5F27364D" w14:textId="488372CC" w:rsidR="004462A0" w:rsidRPr="008912CF" w:rsidRDefault="00615769" w:rsidP="00636825">
      <w:pPr>
        <w:pStyle w:val="ListParagraph"/>
        <w:numPr>
          <w:ilvl w:val="2"/>
          <w:numId w:val="112"/>
        </w:numPr>
        <w:ind w:left="567" w:hanging="567"/>
        <w:rPr>
          <w:del w:id="13526" w:author="AbbVie2" w:date="2025-05-14T10:22:00Z"/>
          <w:sz w:val="22"/>
          <w:szCs w:val="22"/>
        </w:rPr>
      </w:pPr>
      <w:del w:id="13527" w:author="AbbVie2" w:date="2025-05-14T10:22:00Z">
        <w:r w:rsidRPr="008912CF">
          <w:rPr>
            <w:sz w:val="22"/>
            <w:szCs w:val="22"/>
          </w:rPr>
          <w:delText>esclerose múltipla;</w:delText>
        </w:r>
      </w:del>
    </w:p>
    <w:p w14:paraId="7E5B16F0" w14:textId="4F4F4114" w:rsidR="004462A0" w:rsidRPr="008912CF" w:rsidRDefault="00615769" w:rsidP="00636825">
      <w:pPr>
        <w:pStyle w:val="ListParagraph"/>
        <w:numPr>
          <w:ilvl w:val="2"/>
          <w:numId w:val="112"/>
        </w:numPr>
        <w:ind w:left="567" w:hanging="567"/>
        <w:rPr>
          <w:del w:id="13528" w:author="AbbVie2" w:date="2025-05-14T10:22:00Z"/>
          <w:sz w:val="22"/>
          <w:szCs w:val="22"/>
        </w:rPr>
      </w:pPr>
      <w:del w:id="13529" w:author="AbbVie2" w:date="2025-05-14T10:22:00Z">
        <w:r w:rsidRPr="008912CF">
          <w:rPr>
            <w:sz w:val="22"/>
            <w:szCs w:val="22"/>
          </w:rPr>
          <w:delText>alterações neurológicas (tais como inflamação do nervo ocular e síndrome de Guillain-Barré que pode causar fraqueza muscular, sensações anormais, formigueiro nos braços e na parte superior do corpo);</w:delText>
        </w:r>
      </w:del>
    </w:p>
    <w:p w14:paraId="078BF5C5" w14:textId="1350A3B0" w:rsidR="004462A0" w:rsidRPr="008912CF" w:rsidRDefault="00615769" w:rsidP="00636825">
      <w:pPr>
        <w:pStyle w:val="ListParagraph"/>
        <w:numPr>
          <w:ilvl w:val="2"/>
          <w:numId w:val="112"/>
        </w:numPr>
        <w:ind w:left="567" w:hanging="567"/>
        <w:rPr>
          <w:del w:id="13530" w:author="AbbVie2" w:date="2025-05-14T10:22:00Z"/>
          <w:sz w:val="22"/>
          <w:szCs w:val="22"/>
        </w:rPr>
      </w:pPr>
      <w:del w:id="13531" w:author="AbbVie2" w:date="2025-05-14T10:22:00Z">
        <w:r w:rsidRPr="008912CF">
          <w:rPr>
            <w:sz w:val="22"/>
            <w:szCs w:val="22"/>
          </w:rPr>
          <w:delText>o coração deixa de bombear;</w:delText>
        </w:r>
      </w:del>
    </w:p>
    <w:p w14:paraId="1F602E5B" w14:textId="160F4770" w:rsidR="004462A0" w:rsidRPr="008912CF" w:rsidRDefault="00615769" w:rsidP="00636825">
      <w:pPr>
        <w:pStyle w:val="ListParagraph"/>
        <w:numPr>
          <w:ilvl w:val="2"/>
          <w:numId w:val="112"/>
        </w:numPr>
        <w:ind w:left="567" w:hanging="567"/>
        <w:rPr>
          <w:del w:id="13532" w:author="AbbVie2" w:date="2025-05-14T10:22:00Z"/>
          <w:sz w:val="22"/>
          <w:szCs w:val="22"/>
        </w:rPr>
      </w:pPr>
      <w:del w:id="13533" w:author="AbbVie2" w:date="2025-05-14T10:22:00Z">
        <w:r w:rsidRPr="008912CF">
          <w:rPr>
            <w:sz w:val="22"/>
            <w:szCs w:val="22"/>
          </w:rPr>
          <w:delText>fibrose pulmonar (cicatrizes no pulmão);</w:delText>
        </w:r>
      </w:del>
    </w:p>
    <w:p w14:paraId="47DF1DD8" w14:textId="6BDF36C9" w:rsidR="004462A0" w:rsidRPr="008912CF" w:rsidRDefault="00615769" w:rsidP="00636825">
      <w:pPr>
        <w:pStyle w:val="ListParagraph"/>
        <w:numPr>
          <w:ilvl w:val="2"/>
          <w:numId w:val="112"/>
        </w:numPr>
        <w:ind w:left="567" w:hanging="567"/>
        <w:rPr>
          <w:del w:id="13534" w:author="AbbVie2" w:date="2025-05-14T10:22:00Z"/>
          <w:sz w:val="22"/>
          <w:szCs w:val="22"/>
        </w:rPr>
      </w:pPr>
      <w:del w:id="13535" w:author="AbbVie2" w:date="2025-05-14T10:22:00Z">
        <w:r w:rsidRPr="008912CF">
          <w:rPr>
            <w:sz w:val="22"/>
            <w:szCs w:val="22"/>
          </w:rPr>
          <w:delText>perfuração intestinal;</w:delText>
        </w:r>
      </w:del>
    </w:p>
    <w:p w14:paraId="5588B791" w14:textId="22B07C8C" w:rsidR="004462A0" w:rsidRPr="008912CF" w:rsidRDefault="00615769" w:rsidP="00636825">
      <w:pPr>
        <w:pStyle w:val="ListParagraph"/>
        <w:numPr>
          <w:ilvl w:val="2"/>
          <w:numId w:val="112"/>
        </w:numPr>
        <w:ind w:left="567" w:hanging="567"/>
        <w:rPr>
          <w:del w:id="13536" w:author="AbbVie2" w:date="2025-05-14T10:22:00Z"/>
          <w:sz w:val="22"/>
          <w:szCs w:val="22"/>
        </w:rPr>
      </w:pPr>
      <w:del w:id="13537" w:author="AbbVie2" w:date="2025-05-14T10:22:00Z">
        <w:r w:rsidRPr="008912CF">
          <w:rPr>
            <w:sz w:val="22"/>
            <w:szCs w:val="22"/>
          </w:rPr>
          <w:delText>hepatite;</w:delText>
        </w:r>
      </w:del>
    </w:p>
    <w:p w14:paraId="78F7162E" w14:textId="07A5491A" w:rsidR="004462A0" w:rsidRPr="008912CF" w:rsidRDefault="00615769" w:rsidP="00636825">
      <w:pPr>
        <w:pStyle w:val="ListParagraph"/>
        <w:numPr>
          <w:ilvl w:val="2"/>
          <w:numId w:val="112"/>
        </w:numPr>
        <w:ind w:left="567" w:hanging="567"/>
        <w:rPr>
          <w:del w:id="13538" w:author="AbbVie2" w:date="2025-05-14T10:22:00Z"/>
          <w:sz w:val="22"/>
          <w:szCs w:val="22"/>
        </w:rPr>
      </w:pPr>
      <w:del w:id="13539" w:author="AbbVie2" w:date="2025-05-14T10:22:00Z">
        <w:r w:rsidRPr="008912CF">
          <w:rPr>
            <w:sz w:val="22"/>
            <w:szCs w:val="22"/>
          </w:rPr>
          <w:delText>reativação da hepatite B;</w:delText>
        </w:r>
      </w:del>
    </w:p>
    <w:p w14:paraId="3A1AE11E" w14:textId="6361D033" w:rsidR="004462A0" w:rsidRPr="005307A8" w:rsidRDefault="00615769" w:rsidP="00636825">
      <w:pPr>
        <w:pStyle w:val="ListParagraph"/>
        <w:numPr>
          <w:ilvl w:val="2"/>
          <w:numId w:val="112"/>
        </w:numPr>
        <w:ind w:left="567" w:hanging="567"/>
        <w:rPr>
          <w:del w:id="13540" w:author="AbbVie2" w:date="2025-05-14T10:22:00Z"/>
          <w:szCs w:val="22"/>
        </w:rPr>
      </w:pPr>
      <w:del w:id="13541" w:author="AbbVie2" w:date="2025-05-14T10:22:00Z">
        <w:r w:rsidRPr="00636825">
          <w:rPr>
            <w:sz w:val="22"/>
            <w:szCs w:val="22"/>
          </w:rPr>
          <w:delText>hepatite autoimune (inflamação do fígado causada pelo próprio sistema imunitário do corpo);</w:delText>
        </w:r>
      </w:del>
    </w:p>
    <w:p w14:paraId="343AFFDC" w14:textId="6EF84BA4" w:rsidR="004462A0" w:rsidRPr="008912CF" w:rsidRDefault="00615769" w:rsidP="00636825">
      <w:pPr>
        <w:pStyle w:val="ListParagraph"/>
        <w:numPr>
          <w:ilvl w:val="2"/>
          <w:numId w:val="112"/>
        </w:numPr>
        <w:ind w:left="567" w:hanging="567"/>
        <w:rPr>
          <w:del w:id="13542" w:author="AbbVie2" w:date="2025-05-14T10:22:00Z"/>
          <w:sz w:val="22"/>
          <w:szCs w:val="22"/>
        </w:rPr>
      </w:pPr>
      <w:del w:id="13543" w:author="AbbVie2" w:date="2025-05-14T10:22:00Z">
        <w:r w:rsidRPr="008912CF">
          <w:rPr>
            <w:sz w:val="22"/>
            <w:szCs w:val="22"/>
          </w:rPr>
          <w:delText>vasculite cutânea (inflamação dos vasos sanguíneos da pele);</w:delText>
        </w:r>
      </w:del>
    </w:p>
    <w:p w14:paraId="56766B18" w14:textId="6CFB822F" w:rsidR="004462A0" w:rsidRPr="008912CF" w:rsidRDefault="00615769" w:rsidP="00636825">
      <w:pPr>
        <w:pStyle w:val="ListParagraph"/>
        <w:numPr>
          <w:ilvl w:val="2"/>
          <w:numId w:val="112"/>
        </w:numPr>
        <w:ind w:left="567" w:hanging="567"/>
        <w:rPr>
          <w:del w:id="13544" w:author="AbbVie2" w:date="2025-05-14T10:22:00Z"/>
          <w:sz w:val="22"/>
          <w:szCs w:val="22"/>
        </w:rPr>
      </w:pPr>
      <w:del w:id="13545" w:author="AbbVie2" w:date="2025-05-14T10:22:00Z">
        <w:r w:rsidRPr="008912CF">
          <w:rPr>
            <w:sz w:val="22"/>
            <w:szCs w:val="22"/>
          </w:rPr>
          <w:delText>síndrome de Stevens-Johnson (sintomas iniciais incluindo indisposição, febre, dor de cabeça e erupção cutânea);</w:delText>
        </w:r>
      </w:del>
    </w:p>
    <w:p w14:paraId="17F75F33" w14:textId="24D71B9F" w:rsidR="004462A0" w:rsidRPr="008912CF" w:rsidRDefault="00615769" w:rsidP="00636825">
      <w:pPr>
        <w:pStyle w:val="ListParagraph"/>
        <w:numPr>
          <w:ilvl w:val="2"/>
          <w:numId w:val="112"/>
        </w:numPr>
        <w:ind w:left="567" w:hanging="567"/>
        <w:rPr>
          <w:del w:id="13546" w:author="AbbVie2" w:date="2025-05-14T10:22:00Z"/>
          <w:sz w:val="22"/>
          <w:szCs w:val="22"/>
        </w:rPr>
      </w:pPr>
      <w:del w:id="13547" w:author="AbbVie2" w:date="2025-05-14T10:22:00Z">
        <w:r w:rsidRPr="008912CF">
          <w:rPr>
            <w:sz w:val="22"/>
            <w:szCs w:val="22"/>
          </w:rPr>
          <w:delText>edema facial associado com reações alérgicas;</w:delText>
        </w:r>
      </w:del>
    </w:p>
    <w:p w14:paraId="080BD516" w14:textId="45044AA6" w:rsidR="004462A0" w:rsidRPr="008912CF" w:rsidRDefault="00615769" w:rsidP="00636825">
      <w:pPr>
        <w:pStyle w:val="ListParagraph"/>
        <w:numPr>
          <w:ilvl w:val="2"/>
          <w:numId w:val="112"/>
        </w:numPr>
        <w:ind w:left="567" w:hanging="567"/>
        <w:rPr>
          <w:del w:id="13548" w:author="AbbVie2" w:date="2025-05-14T10:22:00Z"/>
          <w:sz w:val="22"/>
          <w:szCs w:val="22"/>
        </w:rPr>
      </w:pPr>
      <w:del w:id="13549" w:author="AbbVie2" w:date="2025-05-14T10:22:00Z">
        <w:r w:rsidRPr="008912CF">
          <w:rPr>
            <w:sz w:val="22"/>
            <w:szCs w:val="22"/>
          </w:rPr>
          <w:delText>eritema multiforme (erupção cutânea inflamatória);</w:delText>
        </w:r>
      </w:del>
    </w:p>
    <w:p w14:paraId="48FA7140" w14:textId="6B8A6696" w:rsidR="004462A0" w:rsidRDefault="00615769" w:rsidP="00636825">
      <w:pPr>
        <w:pStyle w:val="ListParagraph"/>
        <w:numPr>
          <w:ilvl w:val="2"/>
          <w:numId w:val="112"/>
        </w:numPr>
        <w:ind w:left="567" w:hanging="567"/>
        <w:rPr>
          <w:del w:id="13550" w:author="AbbVie2" w:date="2025-05-14T10:22:00Z"/>
          <w:sz w:val="22"/>
          <w:szCs w:val="22"/>
        </w:rPr>
      </w:pPr>
      <w:del w:id="13551" w:author="AbbVie2" w:date="2025-05-14T10:22:00Z">
        <w:r w:rsidRPr="008912CF">
          <w:rPr>
            <w:sz w:val="22"/>
            <w:szCs w:val="22"/>
          </w:rPr>
          <w:delText>síndrome tipo lúpus</w:delText>
        </w:r>
        <w:r w:rsidR="005619A2">
          <w:rPr>
            <w:sz w:val="22"/>
            <w:szCs w:val="22"/>
          </w:rPr>
          <w:delText>;</w:delText>
        </w:r>
      </w:del>
    </w:p>
    <w:p w14:paraId="4AD7904C" w14:textId="70C9C884" w:rsidR="00801616" w:rsidRDefault="00615769" w:rsidP="00636825">
      <w:pPr>
        <w:pStyle w:val="ListParagraph"/>
        <w:numPr>
          <w:ilvl w:val="2"/>
          <w:numId w:val="112"/>
        </w:numPr>
        <w:ind w:left="567" w:hanging="567"/>
        <w:rPr>
          <w:del w:id="13552" w:author="AbbVie2" w:date="2025-05-14T10:22:00Z"/>
          <w:sz w:val="22"/>
          <w:szCs w:val="22"/>
        </w:rPr>
      </w:pPr>
      <w:del w:id="13553" w:author="AbbVie2" w:date="2025-05-14T10:22:00Z">
        <w:r w:rsidRPr="002355AF">
          <w:rPr>
            <w:sz w:val="22"/>
            <w:szCs w:val="22"/>
          </w:rPr>
          <w:delText>angioedema (</w:delText>
        </w:r>
        <w:r w:rsidR="002355AF" w:rsidRPr="002355AF">
          <w:rPr>
            <w:sz w:val="22"/>
            <w:szCs w:val="22"/>
          </w:rPr>
          <w:delText>inchaço localizado da pele)</w:delText>
        </w:r>
        <w:r w:rsidR="00842E29">
          <w:rPr>
            <w:sz w:val="22"/>
            <w:szCs w:val="22"/>
          </w:rPr>
          <w:delText>;</w:delText>
        </w:r>
      </w:del>
    </w:p>
    <w:p w14:paraId="4AC78A9A" w14:textId="273C37ED" w:rsidR="00842E29" w:rsidRPr="00636825" w:rsidRDefault="00615769" w:rsidP="00636825">
      <w:pPr>
        <w:pStyle w:val="ListParagraph"/>
        <w:numPr>
          <w:ilvl w:val="2"/>
          <w:numId w:val="112"/>
        </w:numPr>
        <w:ind w:left="567" w:hanging="567"/>
        <w:rPr>
          <w:del w:id="13554" w:author="AbbVie2" w:date="2025-05-14T10:22:00Z"/>
          <w:sz w:val="22"/>
          <w:szCs w:val="22"/>
        </w:rPr>
      </w:pPr>
      <w:del w:id="13555" w:author="AbbVie2" w:date="2025-05-14T10:22:00Z">
        <w:r w:rsidRPr="00636825">
          <w:rPr>
            <w:sz w:val="22"/>
            <w:szCs w:val="22"/>
          </w:rPr>
          <w:delText>reação cutânea liquen</w:delText>
        </w:r>
        <w:r w:rsidR="00801616">
          <w:rPr>
            <w:sz w:val="22"/>
            <w:szCs w:val="22"/>
          </w:rPr>
          <w:delText>o</w:delText>
        </w:r>
        <w:r w:rsidRPr="00636825">
          <w:rPr>
            <w:sz w:val="22"/>
            <w:szCs w:val="22"/>
          </w:rPr>
          <w:delText xml:space="preserve">ide (erupção </w:delText>
        </w:r>
        <w:r w:rsidR="00801616">
          <w:rPr>
            <w:sz w:val="22"/>
            <w:szCs w:val="22"/>
          </w:rPr>
          <w:delText>na pele</w:delText>
        </w:r>
        <w:r w:rsidRPr="00636825">
          <w:rPr>
            <w:sz w:val="22"/>
            <w:szCs w:val="22"/>
          </w:rPr>
          <w:delText xml:space="preserve"> vermelho-púrpura com comichão)</w:delText>
        </w:r>
        <w:r w:rsidR="0007231B">
          <w:rPr>
            <w:sz w:val="22"/>
            <w:szCs w:val="22"/>
          </w:rPr>
          <w:delText>.</w:delText>
        </w:r>
      </w:del>
    </w:p>
    <w:p w14:paraId="641D0B5D" w14:textId="4C3A50FE" w:rsidR="004462A0" w:rsidRPr="008912CF" w:rsidRDefault="004462A0" w:rsidP="004462A0">
      <w:pPr>
        <w:rPr>
          <w:del w:id="13556" w:author="AbbVie2" w:date="2025-05-14T10:22:00Z"/>
          <w:sz w:val="22"/>
          <w:szCs w:val="22"/>
        </w:rPr>
      </w:pPr>
    </w:p>
    <w:p w14:paraId="4949CB52" w14:textId="2535B8E7" w:rsidR="004462A0" w:rsidRPr="008912CF" w:rsidRDefault="00615769" w:rsidP="004462A0">
      <w:pPr>
        <w:rPr>
          <w:del w:id="13557" w:author="AbbVie2" w:date="2025-05-14T10:22:00Z"/>
          <w:sz w:val="22"/>
          <w:szCs w:val="22"/>
        </w:rPr>
      </w:pPr>
      <w:del w:id="13558" w:author="AbbVie2" w:date="2025-05-14T10:22:00Z">
        <w:r w:rsidRPr="008912CF">
          <w:rPr>
            <w:sz w:val="22"/>
            <w:szCs w:val="22"/>
          </w:rPr>
          <w:delText>Desconhecido (a frequência não pode ser calculada a partir dos dados disponíveis)</w:delText>
        </w:r>
      </w:del>
    </w:p>
    <w:p w14:paraId="2F09EF24" w14:textId="190342DF" w:rsidR="004462A0" w:rsidRPr="008912CF" w:rsidRDefault="004462A0" w:rsidP="004462A0">
      <w:pPr>
        <w:rPr>
          <w:del w:id="13559" w:author="AbbVie2" w:date="2025-05-14T10:22:00Z"/>
          <w:sz w:val="22"/>
          <w:szCs w:val="22"/>
        </w:rPr>
      </w:pPr>
    </w:p>
    <w:p w14:paraId="2B281690" w14:textId="1FBF4101" w:rsidR="004462A0" w:rsidRPr="008D61F9" w:rsidRDefault="00615769" w:rsidP="004462A0">
      <w:pPr>
        <w:pStyle w:val="ListParagraph"/>
        <w:numPr>
          <w:ilvl w:val="2"/>
          <w:numId w:val="112"/>
        </w:numPr>
        <w:ind w:left="567" w:hanging="567"/>
        <w:rPr>
          <w:del w:id="13560" w:author="AbbVie2" w:date="2025-05-14T10:22:00Z"/>
          <w:sz w:val="22"/>
          <w:szCs w:val="22"/>
        </w:rPr>
      </w:pPr>
      <w:del w:id="13561" w:author="AbbVie2" w:date="2025-05-14T10:22:00Z">
        <w:r w:rsidRPr="008D61F9">
          <w:rPr>
            <w:sz w:val="22"/>
            <w:szCs w:val="22"/>
          </w:rPr>
          <w:delText>linfoma hepatoesplénico de linfócitos T (um raro cancro de sangue que muitas vezes é fatal);</w:delText>
        </w:r>
      </w:del>
    </w:p>
    <w:p w14:paraId="3BF66E06" w14:textId="764EC69C" w:rsidR="004462A0" w:rsidRDefault="00615769" w:rsidP="004462A0">
      <w:pPr>
        <w:pStyle w:val="ListParagraph"/>
        <w:numPr>
          <w:ilvl w:val="2"/>
          <w:numId w:val="69"/>
        </w:numPr>
        <w:ind w:left="567" w:hanging="567"/>
        <w:rPr>
          <w:del w:id="13562" w:author="AbbVie2" w:date="2025-05-14T10:22:00Z"/>
          <w:sz w:val="22"/>
          <w:szCs w:val="22"/>
        </w:rPr>
      </w:pPr>
      <w:del w:id="13563" w:author="AbbVie2" w:date="2025-05-14T10:22:00Z">
        <w:r w:rsidRPr="008D61F9">
          <w:rPr>
            <w:sz w:val="22"/>
            <w:szCs w:val="22"/>
          </w:rPr>
          <w:delText>carcinoma de células de Merkel (um tipo de cancro de pele);</w:delText>
        </w:r>
      </w:del>
    </w:p>
    <w:p w14:paraId="77E7C29B" w14:textId="3BD8B51D" w:rsidR="006819E5" w:rsidRPr="00381888" w:rsidRDefault="00615769" w:rsidP="006819E5">
      <w:pPr>
        <w:pStyle w:val="ListParagraph"/>
        <w:numPr>
          <w:ilvl w:val="2"/>
          <w:numId w:val="69"/>
        </w:numPr>
        <w:ind w:left="567" w:hanging="567"/>
        <w:rPr>
          <w:del w:id="13564" w:author="AbbVie2" w:date="2025-05-14T10:22:00Z"/>
          <w:sz w:val="22"/>
          <w:szCs w:val="22"/>
        </w:rPr>
      </w:pPr>
      <w:del w:id="13565" w:author="AbbVie2" w:date="2025-05-14T10:22:00Z">
        <w:r>
          <w:rPr>
            <w:sz w:val="22"/>
            <w:szCs w:val="22"/>
          </w:rPr>
          <w:delText>s</w:delText>
        </w:r>
        <w:r w:rsidRPr="006819E5">
          <w:rPr>
            <w:sz w:val="22"/>
            <w:szCs w:val="22"/>
          </w:rPr>
          <w:delText>arcoma de Kaposi, um cancro raro relacionado com a infeção pelo vírus herpes humano 8. O sarcoma de Kaposi aparece mais frequentemente na forma de lesões cutâneas de cor púrpura</w:delText>
        </w:r>
        <w:r>
          <w:rPr>
            <w:sz w:val="22"/>
            <w:szCs w:val="22"/>
          </w:rPr>
          <w:delText>;</w:delText>
        </w:r>
      </w:del>
    </w:p>
    <w:p w14:paraId="112199C4" w14:textId="01FDED87" w:rsidR="004462A0" w:rsidRPr="008D61F9" w:rsidRDefault="00615769" w:rsidP="004462A0">
      <w:pPr>
        <w:pStyle w:val="ListParagraph"/>
        <w:numPr>
          <w:ilvl w:val="0"/>
          <w:numId w:val="113"/>
        </w:numPr>
        <w:ind w:left="567" w:hanging="567"/>
        <w:rPr>
          <w:del w:id="13566" w:author="AbbVie2" w:date="2025-05-14T10:22:00Z"/>
          <w:sz w:val="22"/>
          <w:szCs w:val="22"/>
        </w:rPr>
      </w:pPr>
      <w:del w:id="13567" w:author="AbbVie2" w:date="2025-05-14T10:22:00Z">
        <w:r w:rsidRPr="008D61F9">
          <w:rPr>
            <w:sz w:val="22"/>
            <w:szCs w:val="22"/>
          </w:rPr>
          <w:delText xml:space="preserve">insuficiência hepática; </w:delText>
        </w:r>
      </w:del>
    </w:p>
    <w:p w14:paraId="5114A595" w14:textId="19D9C6C7" w:rsidR="004462A0" w:rsidRDefault="00615769" w:rsidP="004462A0">
      <w:pPr>
        <w:pStyle w:val="ListParagraph"/>
        <w:numPr>
          <w:ilvl w:val="0"/>
          <w:numId w:val="114"/>
        </w:numPr>
        <w:ind w:left="567" w:hanging="567"/>
        <w:rPr>
          <w:del w:id="13568" w:author="AbbVie2" w:date="2025-05-14T10:22:00Z"/>
          <w:sz w:val="22"/>
          <w:szCs w:val="22"/>
        </w:rPr>
      </w:pPr>
      <w:del w:id="13569" w:author="AbbVie2" w:date="2025-05-14T10:22:00Z">
        <w:r w:rsidRPr="008D61F9">
          <w:rPr>
            <w:sz w:val="22"/>
            <w:szCs w:val="22"/>
          </w:rPr>
          <w:delText>agravamento de uma doença chamada dermatomiosite (que corresponde a uma erupção cutânea acompanhada de fraqueza muscular)</w:delText>
        </w:r>
        <w:r w:rsidR="007A4E33">
          <w:rPr>
            <w:sz w:val="22"/>
            <w:szCs w:val="22"/>
          </w:rPr>
          <w:delText>;</w:delText>
        </w:r>
      </w:del>
    </w:p>
    <w:p w14:paraId="20211382" w14:textId="2D0A535A" w:rsidR="007A4E33" w:rsidRPr="008D61F9" w:rsidRDefault="00615769" w:rsidP="004462A0">
      <w:pPr>
        <w:pStyle w:val="ListParagraph"/>
        <w:numPr>
          <w:ilvl w:val="0"/>
          <w:numId w:val="114"/>
        </w:numPr>
        <w:ind w:left="567" w:hanging="567"/>
        <w:rPr>
          <w:del w:id="13570" w:author="AbbVie2" w:date="2025-05-14T10:22:00Z"/>
          <w:sz w:val="22"/>
          <w:szCs w:val="22"/>
        </w:rPr>
      </w:pPr>
      <w:del w:id="13571" w:author="AbbVie2" w:date="2025-05-14T10:22:00Z">
        <w:r>
          <w:rPr>
            <w:sz w:val="22"/>
            <w:szCs w:val="22"/>
          </w:rPr>
          <w:delText>a</w:delText>
        </w:r>
        <w:r w:rsidRPr="007A4E33">
          <w:rPr>
            <w:sz w:val="22"/>
            <w:szCs w:val="22"/>
          </w:rPr>
          <w:delText>umento de peso (para a maioria dos doentes, o aumento de peso foi pequeno)</w:delText>
        </w:r>
        <w:r>
          <w:rPr>
            <w:sz w:val="22"/>
            <w:szCs w:val="22"/>
          </w:rPr>
          <w:delText>.</w:delText>
        </w:r>
      </w:del>
    </w:p>
    <w:p w14:paraId="2FF6158E" w14:textId="002C7E5D" w:rsidR="004462A0" w:rsidRPr="008912CF" w:rsidRDefault="004462A0" w:rsidP="004462A0">
      <w:pPr>
        <w:rPr>
          <w:del w:id="13572" w:author="AbbVie2" w:date="2025-05-14T10:22:00Z"/>
          <w:sz w:val="22"/>
          <w:szCs w:val="22"/>
        </w:rPr>
      </w:pPr>
    </w:p>
    <w:p w14:paraId="0EA5AC53" w14:textId="43DA12C6" w:rsidR="004462A0" w:rsidRPr="008912CF" w:rsidRDefault="00615769" w:rsidP="004462A0">
      <w:pPr>
        <w:rPr>
          <w:del w:id="13573" w:author="AbbVie2" w:date="2025-05-14T10:22:00Z"/>
          <w:sz w:val="22"/>
          <w:szCs w:val="22"/>
        </w:rPr>
      </w:pPr>
      <w:del w:id="13574" w:author="AbbVie2" w:date="2025-05-14T10:22:00Z">
        <w:r w:rsidRPr="008912CF">
          <w:rPr>
            <w:sz w:val="22"/>
            <w:szCs w:val="22"/>
          </w:rPr>
          <w:delText xml:space="preserve">Alguns efeitos </w:delText>
        </w:r>
        <w:r w:rsidR="00571C82">
          <w:rPr>
            <w:sz w:val="22"/>
            <w:szCs w:val="22"/>
          </w:rPr>
          <w:delText>indesejáveis</w:delText>
        </w:r>
        <w:r w:rsidRPr="008912CF">
          <w:rPr>
            <w:sz w:val="22"/>
            <w:szCs w:val="22"/>
          </w:rPr>
          <w:delText xml:space="preserve"> observados com Humira podem não ter sintomas e só podem ser identificados através de análises ao sangue. Estes incluem:</w:delText>
        </w:r>
      </w:del>
    </w:p>
    <w:p w14:paraId="04D0A76D" w14:textId="200F13D1" w:rsidR="004462A0" w:rsidRPr="008912CF" w:rsidRDefault="004462A0" w:rsidP="004462A0">
      <w:pPr>
        <w:rPr>
          <w:del w:id="13575" w:author="AbbVie2" w:date="2025-05-14T10:22:00Z"/>
          <w:sz w:val="22"/>
          <w:szCs w:val="22"/>
        </w:rPr>
      </w:pPr>
    </w:p>
    <w:p w14:paraId="53B3A7B6" w14:textId="0021B5A6" w:rsidR="004462A0" w:rsidRPr="008912CF" w:rsidRDefault="00615769" w:rsidP="004462A0">
      <w:pPr>
        <w:rPr>
          <w:del w:id="13576" w:author="AbbVie2" w:date="2025-05-14T10:22:00Z"/>
          <w:sz w:val="22"/>
          <w:szCs w:val="22"/>
        </w:rPr>
      </w:pPr>
      <w:del w:id="13577" w:author="AbbVie2" w:date="2025-05-14T10:22:00Z">
        <w:r w:rsidRPr="008912CF">
          <w:rPr>
            <w:sz w:val="22"/>
            <w:szCs w:val="22"/>
          </w:rPr>
          <w:delText>Muito frequentes (podem afetar mais de 1 em 10 pessoas)</w:delText>
        </w:r>
      </w:del>
    </w:p>
    <w:p w14:paraId="2E35C3EA" w14:textId="28425D79" w:rsidR="004462A0" w:rsidRPr="008912CF" w:rsidRDefault="004462A0" w:rsidP="004462A0">
      <w:pPr>
        <w:rPr>
          <w:del w:id="13578" w:author="AbbVie2" w:date="2025-05-14T10:22:00Z"/>
          <w:sz w:val="22"/>
          <w:szCs w:val="22"/>
        </w:rPr>
      </w:pPr>
    </w:p>
    <w:p w14:paraId="5FA9B6D5" w14:textId="0BA0CF9D" w:rsidR="004462A0" w:rsidRPr="008912CF" w:rsidRDefault="00615769" w:rsidP="004462A0">
      <w:pPr>
        <w:numPr>
          <w:ilvl w:val="0"/>
          <w:numId w:val="69"/>
        </w:numPr>
        <w:tabs>
          <w:tab w:val="clear" w:pos="0"/>
        </w:tabs>
        <w:ind w:left="568" w:hanging="568"/>
        <w:rPr>
          <w:del w:id="13579" w:author="AbbVie2" w:date="2025-05-14T10:22:00Z"/>
          <w:sz w:val="22"/>
          <w:szCs w:val="22"/>
        </w:rPr>
      </w:pPr>
      <w:del w:id="13580" w:author="AbbVie2" w:date="2025-05-14T10:22:00Z">
        <w:r w:rsidRPr="008912CF">
          <w:rPr>
            <w:sz w:val="22"/>
            <w:szCs w:val="22"/>
          </w:rPr>
          <w:delText xml:space="preserve">contagem diminuída dos glóbulos brancos; </w:delText>
        </w:r>
      </w:del>
    </w:p>
    <w:p w14:paraId="0CD7E685" w14:textId="2148FFCB" w:rsidR="004462A0" w:rsidRPr="008912CF" w:rsidRDefault="00615769" w:rsidP="004462A0">
      <w:pPr>
        <w:numPr>
          <w:ilvl w:val="0"/>
          <w:numId w:val="69"/>
        </w:numPr>
        <w:tabs>
          <w:tab w:val="clear" w:pos="0"/>
        </w:tabs>
        <w:ind w:left="568" w:hanging="568"/>
        <w:rPr>
          <w:del w:id="13581" w:author="AbbVie2" w:date="2025-05-14T10:22:00Z"/>
          <w:sz w:val="22"/>
          <w:szCs w:val="22"/>
        </w:rPr>
      </w:pPr>
      <w:del w:id="13582" w:author="AbbVie2" w:date="2025-05-14T10:22:00Z">
        <w:r w:rsidRPr="008912CF">
          <w:rPr>
            <w:sz w:val="22"/>
            <w:szCs w:val="22"/>
          </w:rPr>
          <w:delText>contagem diminuída dos glóbulos vermelhos;</w:delText>
        </w:r>
      </w:del>
    </w:p>
    <w:p w14:paraId="51B32753" w14:textId="2920688B" w:rsidR="004462A0" w:rsidRPr="008912CF" w:rsidRDefault="00615769" w:rsidP="004462A0">
      <w:pPr>
        <w:numPr>
          <w:ilvl w:val="0"/>
          <w:numId w:val="69"/>
        </w:numPr>
        <w:tabs>
          <w:tab w:val="clear" w:pos="0"/>
        </w:tabs>
        <w:ind w:left="568" w:hanging="568"/>
        <w:rPr>
          <w:del w:id="13583" w:author="AbbVie2" w:date="2025-05-14T10:22:00Z"/>
          <w:sz w:val="22"/>
          <w:szCs w:val="22"/>
        </w:rPr>
      </w:pPr>
      <w:del w:id="13584" w:author="AbbVie2" w:date="2025-05-14T10:22:00Z">
        <w:r w:rsidRPr="008912CF">
          <w:rPr>
            <w:sz w:val="22"/>
            <w:szCs w:val="22"/>
          </w:rPr>
          <w:delText>aumento dos lípidos no sangue;</w:delText>
        </w:r>
      </w:del>
    </w:p>
    <w:p w14:paraId="60F87F08" w14:textId="427B1469" w:rsidR="004462A0" w:rsidRPr="008912CF" w:rsidRDefault="00615769" w:rsidP="004462A0">
      <w:pPr>
        <w:numPr>
          <w:ilvl w:val="0"/>
          <w:numId w:val="69"/>
        </w:numPr>
        <w:tabs>
          <w:tab w:val="clear" w:pos="0"/>
        </w:tabs>
        <w:ind w:left="568" w:hanging="568"/>
        <w:rPr>
          <w:del w:id="13585" w:author="AbbVie2" w:date="2025-05-14T10:22:00Z"/>
          <w:sz w:val="22"/>
          <w:szCs w:val="22"/>
        </w:rPr>
      </w:pPr>
      <w:del w:id="13586" w:author="AbbVie2" w:date="2025-05-14T10:22:00Z">
        <w:r w:rsidRPr="008912CF">
          <w:rPr>
            <w:sz w:val="22"/>
            <w:szCs w:val="22"/>
          </w:rPr>
          <w:delText>aumento das enzimas hepáticas.</w:delText>
        </w:r>
      </w:del>
    </w:p>
    <w:p w14:paraId="382E349E" w14:textId="06CAD2B8" w:rsidR="004462A0" w:rsidRPr="008912CF" w:rsidRDefault="004462A0" w:rsidP="004462A0">
      <w:pPr>
        <w:rPr>
          <w:del w:id="13587" w:author="AbbVie2" w:date="2025-05-14T10:22:00Z"/>
          <w:sz w:val="22"/>
          <w:szCs w:val="22"/>
        </w:rPr>
      </w:pPr>
    </w:p>
    <w:p w14:paraId="5FA55BA7" w14:textId="345EA057" w:rsidR="004462A0" w:rsidRPr="008912CF" w:rsidRDefault="00615769" w:rsidP="004462A0">
      <w:pPr>
        <w:rPr>
          <w:del w:id="13588" w:author="AbbVie2" w:date="2025-05-14T10:22:00Z"/>
          <w:sz w:val="22"/>
          <w:szCs w:val="22"/>
        </w:rPr>
      </w:pPr>
      <w:del w:id="13589" w:author="AbbVie2" w:date="2025-05-14T10:22:00Z">
        <w:r w:rsidRPr="008912CF">
          <w:rPr>
            <w:sz w:val="22"/>
            <w:szCs w:val="22"/>
          </w:rPr>
          <w:delText>Frequentes (podem afetar até 1 em 10 pessoas)</w:delText>
        </w:r>
      </w:del>
    </w:p>
    <w:p w14:paraId="65B9EFBB" w14:textId="2D39F9DB" w:rsidR="004462A0" w:rsidRPr="008912CF" w:rsidRDefault="004462A0" w:rsidP="004462A0">
      <w:pPr>
        <w:rPr>
          <w:del w:id="13590" w:author="AbbVie2" w:date="2025-05-14T10:22:00Z"/>
          <w:sz w:val="22"/>
          <w:szCs w:val="22"/>
        </w:rPr>
      </w:pPr>
    </w:p>
    <w:p w14:paraId="292EBF83" w14:textId="55C57960" w:rsidR="004462A0" w:rsidRPr="008912CF" w:rsidRDefault="00615769" w:rsidP="004462A0">
      <w:pPr>
        <w:numPr>
          <w:ilvl w:val="0"/>
          <w:numId w:val="69"/>
        </w:numPr>
        <w:tabs>
          <w:tab w:val="clear" w:pos="0"/>
        </w:tabs>
        <w:ind w:left="568" w:hanging="568"/>
        <w:rPr>
          <w:del w:id="13591" w:author="AbbVie2" w:date="2025-05-14T10:22:00Z"/>
          <w:sz w:val="22"/>
          <w:szCs w:val="22"/>
        </w:rPr>
      </w:pPr>
      <w:del w:id="13592" w:author="AbbVie2" w:date="2025-05-14T10:22:00Z">
        <w:r w:rsidRPr="008912CF">
          <w:rPr>
            <w:sz w:val="22"/>
            <w:szCs w:val="22"/>
          </w:rPr>
          <w:delText>contagem aumentada dos glóbulos brancos;</w:delText>
        </w:r>
      </w:del>
    </w:p>
    <w:p w14:paraId="0175D19F" w14:textId="6AE84D89" w:rsidR="004462A0" w:rsidRPr="008912CF" w:rsidRDefault="00615769" w:rsidP="004462A0">
      <w:pPr>
        <w:numPr>
          <w:ilvl w:val="0"/>
          <w:numId w:val="69"/>
        </w:numPr>
        <w:tabs>
          <w:tab w:val="clear" w:pos="0"/>
        </w:tabs>
        <w:ind w:left="568" w:hanging="568"/>
        <w:rPr>
          <w:del w:id="13593" w:author="AbbVie2" w:date="2025-05-14T10:22:00Z"/>
          <w:sz w:val="22"/>
          <w:szCs w:val="22"/>
        </w:rPr>
      </w:pPr>
      <w:del w:id="13594" w:author="AbbVie2" w:date="2025-05-14T10:22:00Z">
        <w:r w:rsidRPr="008912CF">
          <w:rPr>
            <w:sz w:val="22"/>
            <w:szCs w:val="22"/>
          </w:rPr>
          <w:delText>contagem diminuída das plaquetas;</w:delText>
        </w:r>
      </w:del>
    </w:p>
    <w:p w14:paraId="1FF769C0" w14:textId="5123EAC2" w:rsidR="004462A0" w:rsidRPr="008912CF" w:rsidRDefault="00615769" w:rsidP="004462A0">
      <w:pPr>
        <w:numPr>
          <w:ilvl w:val="0"/>
          <w:numId w:val="69"/>
        </w:numPr>
        <w:tabs>
          <w:tab w:val="clear" w:pos="0"/>
        </w:tabs>
        <w:ind w:left="568" w:hanging="568"/>
        <w:rPr>
          <w:del w:id="13595" w:author="AbbVie2" w:date="2025-05-14T10:22:00Z"/>
          <w:sz w:val="22"/>
          <w:szCs w:val="22"/>
        </w:rPr>
      </w:pPr>
      <w:del w:id="13596" w:author="AbbVie2" w:date="2025-05-14T10:22:00Z">
        <w:r w:rsidRPr="008912CF">
          <w:rPr>
            <w:sz w:val="22"/>
            <w:szCs w:val="22"/>
          </w:rPr>
          <w:delText>aumento de ácido úrico no sangue;</w:delText>
        </w:r>
      </w:del>
    </w:p>
    <w:p w14:paraId="71A0ABF0" w14:textId="012DECA7" w:rsidR="004462A0" w:rsidRPr="008912CF" w:rsidRDefault="00615769" w:rsidP="004462A0">
      <w:pPr>
        <w:numPr>
          <w:ilvl w:val="0"/>
          <w:numId w:val="69"/>
        </w:numPr>
        <w:tabs>
          <w:tab w:val="clear" w:pos="0"/>
        </w:tabs>
        <w:ind w:left="568" w:hanging="568"/>
        <w:rPr>
          <w:del w:id="13597" w:author="AbbVie2" w:date="2025-05-14T10:22:00Z"/>
          <w:sz w:val="22"/>
          <w:szCs w:val="22"/>
        </w:rPr>
      </w:pPr>
      <w:del w:id="13598" w:author="AbbVie2" w:date="2025-05-14T10:22:00Z">
        <w:r w:rsidRPr="008912CF">
          <w:rPr>
            <w:sz w:val="22"/>
            <w:szCs w:val="22"/>
          </w:rPr>
          <w:delText>contagem anormal de sódio no sangue;</w:delText>
        </w:r>
      </w:del>
    </w:p>
    <w:p w14:paraId="3BF0FC94" w14:textId="7B4568BF" w:rsidR="004462A0" w:rsidRPr="008912CF" w:rsidRDefault="00615769" w:rsidP="004462A0">
      <w:pPr>
        <w:numPr>
          <w:ilvl w:val="0"/>
          <w:numId w:val="69"/>
        </w:numPr>
        <w:tabs>
          <w:tab w:val="clear" w:pos="0"/>
        </w:tabs>
        <w:ind w:left="568" w:hanging="568"/>
        <w:rPr>
          <w:del w:id="13599" w:author="AbbVie2" w:date="2025-05-14T10:22:00Z"/>
          <w:sz w:val="22"/>
          <w:szCs w:val="22"/>
        </w:rPr>
      </w:pPr>
      <w:del w:id="13600" w:author="AbbVie2" w:date="2025-05-14T10:22:00Z">
        <w:r w:rsidRPr="008912CF">
          <w:rPr>
            <w:sz w:val="22"/>
            <w:szCs w:val="22"/>
          </w:rPr>
          <w:delText>contagem diminuída de cálcio no sangue;</w:delText>
        </w:r>
      </w:del>
    </w:p>
    <w:p w14:paraId="271688AB" w14:textId="4653BB54" w:rsidR="004462A0" w:rsidRPr="008912CF" w:rsidRDefault="00615769" w:rsidP="004462A0">
      <w:pPr>
        <w:numPr>
          <w:ilvl w:val="0"/>
          <w:numId w:val="69"/>
        </w:numPr>
        <w:tabs>
          <w:tab w:val="clear" w:pos="0"/>
        </w:tabs>
        <w:ind w:left="568" w:hanging="568"/>
        <w:rPr>
          <w:del w:id="13601" w:author="AbbVie2" w:date="2025-05-14T10:22:00Z"/>
          <w:sz w:val="22"/>
          <w:szCs w:val="22"/>
        </w:rPr>
      </w:pPr>
      <w:del w:id="13602" w:author="AbbVie2" w:date="2025-05-14T10:22:00Z">
        <w:r w:rsidRPr="008912CF">
          <w:rPr>
            <w:sz w:val="22"/>
            <w:szCs w:val="22"/>
          </w:rPr>
          <w:delText>contagem diminuída de fosfato no sangue;</w:delText>
        </w:r>
      </w:del>
    </w:p>
    <w:p w14:paraId="2685C5DD" w14:textId="48B38CFF" w:rsidR="004462A0" w:rsidRPr="008912CF" w:rsidRDefault="00615769" w:rsidP="004462A0">
      <w:pPr>
        <w:numPr>
          <w:ilvl w:val="0"/>
          <w:numId w:val="69"/>
        </w:numPr>
        <w:tabs>
          <w:tab w:val="clear" w:pos="0"/>
        </w:tabs>
        <w:ind w:left="568" w:hanging="568"/>
        <w:rPr>
          <w:del w:id="13603" w:author="AbbVie2" w:date="2025-05-14T10:22:00Z"/>
          <w:sz w:val="22"/>
          <w:szCs w:val="22"/>
        </w:rPr>
      </w:pPr>
      <w:del w:id="13604" w:author="AbbVie2" w:date="2025-05-14T10:22:00Z">
        <w:r w:rsidRPr="008912CF">
          <w:rPr>
            <w:sz w:val="22"/>
            <w:szCs w:val="22"/>
          </w:rPr>
          <w:delText>nível de açúcar aumentado no sangue;</w:delText>
        </w:r>
      </w:del>
    </w:p>
    <w:p w14:paraId="75047C89" w14:textId="162B989F" w:rsidR="004462A0" w:rsidRPr="008912CF" w:rsidRDefault="00615769" w:rsidP="004462A0">
      <w:pPr>
        <w:numPr>
          <w:ilvl w:val="0"/>
          <w:numId w:val="69"/>
        </w:numPr>
        <w:tabs>
          <w:tab w:val="clear" w:pos="0"/>
        </w:tabs>
        <w:ind w:left="568" w:hanging="568"/>
        <w:rPr>
          <w:del w:id="13605" w:author="AbbVie2" w:date="2025-05-14T10:22:00Z"/>
          <w:sz w:val="22"/>
          <w:szCs w:val="22"/>
        </w:rPr>
      </w:pPr>
      <w:del w:id="13606" w:author="AbbVie2" w:date="2025-05-14T10:22:00Z">
        <w:r w:rsidRPr="008912CF">
          <w:rPr>
            <w:sz w:val="22"/>
            <w:szCs w:val="22"/>
          </w:rPr>
          <w:delText>valores aumentados de dehidrogenase láctica no sangue;</w:delText>
        </w:r>
      </w:del>
    </w:p>
    <w:p w14:paraId="482A7806" w14:textId="66B8257C" w:rsidR="004462A0" w:rsidRDefault="00615769" w:rsidP="004462A0">
      <w:pPr>
        <w:numPr>
          <w:ilvl w:val="0"/>
          <w:numId w:val="69"/>
        </w:numPr>
        <w:tabs>
          <w:tab w:val="clear" w:pos="0"/>
        </w:tabs>
        <w:ind w:left="568" w:hanging="568"/>
        <w:rPr>
          <w:del w:id="13607" w:author="AbbVie2" w:date="2025-05-14T10:22:00Z"/>
          <w:sz w:val="22"/>
          <w:szCs w:val="22"/>
        </w:rPr>
      </w:pPr>
      <w:del w:id="13608" w:author="AbbVie2" w:date="2025-05-14T10:22:00Z">
        <w:r w:rsidRPr="008912CF">
          <w:rPr>
            <w:sz w:val="22"/>
            <w:szCs w:val="22"/>
          </w:rPr>
          <w:delText>presença de autoanticorpos no sangue</w:delText>
        </w:r>
        <w:r w:rsidR="002355AF">
          <w:rPr>
            <w:sz w:val="22"/>
            <w:szCs w:val="22"/>
          </w:rPr>
          <w:delText>;</w:delText>
        </w:r>
      </w:del>
    </w:p>
    <w:p w14:paraId="204B5985" w14:textId="43B1A3AC" w:rsidR="002355AF" w:rsidRPr="002355AF" w:rsidRDefault="00615769" w:rsidP="00F03C54">
      <w:pPr>
        <w:numPr>
          <w:ilvl w:val="0"/>
          <w:numId w:val="69"/>
        </w:numPr>
        <w:tabs>
          <w:tab w:val="clear" w:pos="0"/>
        </w:tabs>
        <w:ind w:left="568" w:hanging="568"/>
        <w:rPr>
          <w:del w:id="13609" w:author="AbbVie2" w:date="2025-05-14T10:22:00Z"/>
          <w:sz w:val="22"/>
          <w:szCs w:val="22"/>
        </w:rPr>
      </w:pPr>
      <w:del w:id="13610" w:author="AbbVie2" w:date="2025-05-14T10:22:00Z">
        <w:r w:rsidRPr="002355AF">
          <w:rPr>
            <w:sz w:val="22"/>
            <w:szCs w:val="22"/>
          </w:rPr>
          <w:delText>baixo teor de potássio no sangue</w:delText>
        </w:r>
        <w:r w:rsidR="000E1CF5">
          <w:rPr>
            <w:sz w:val="22"/>
            <w:szCs w:val="22"/>
          </w:rPr>
          <w:delText>.</w:delText>
        </w:r>
      </w:del>
    </w:p>
    <w:p w14:paraId="05B606E8" w14:textId="10E0C9D7" w:rsidR="004462A0" w:rsidRPr="008912CF" w:rsidRDefault="004462A0" w:rsidP="004462A0">
      <w:pPr>
        <w:rPr>
          <w:del w:id="13611" w:author="AbbVie2" w:date="2025-05-14T10:22:00Z"/>
          <w:sz w:val="22"/>
          <w:szCs w:val="22"/>
        </w:rPr>
      </w:pPr>
    </w:p>
    <w:p w14:paraId="33339F9D" w14:textId="51C06FB9" w:rsidR="00330BCC" w:rsidRDefault="00615769" w:rsidP="001242C2">
      <w:pPr>
        <w:keepNext/>
        <w:rPr>
          <w:del w:id="13612" w:author="AbbVie2" w:date="2025-05-14T10:22:00Z"/>
          <w:sz w:val="22"/>
          <w:szCs w:val="22"/>
        </w:rPr>
      </w:pPr>
      <w:del w:id="13613" w:author="AbbVie2" w:date="2025-05-14T10:22:00Z">
        <w:r>
          <w:rPr>
            <w:sz w:val="22"/>
            <w:szCs w:val="22"/>
          </w:rPr>
          <w:delText>Pouco frequentes (podem afetar até 1 em 100 pessoas)</w:delText>
        </w:r>
      </w:del>
    </w:p>
    <w:p w14:paraId="5E7F1FC0" w14:textId="5E8AE3B9" w:rsidR="00330BCC" w:rsidRDefault="00330BCC" w:rsidP="001242C2">
      <w:pPr>
        <w:keepNext/>
        <w:rPr>
          <w:del w:id="13614" w:author="AbbVie2" w:date="2025-05-14T10:22:00Z"/>
          <w:sz w:val="22"/>
          <w:szCs w:val="22"/>
        </w:rPr>
      </w:pPr>
    </w:p>
    <w:p w14:paraId="4DF20129" w14:textId="4C4EDE0E" w:rsidR="00330BCC" w:rsidRDefault="00615769" w:rsidP="001242C2">
      <w:pPr>
        <w:keepNext/>
        <w:ind w:left="567" w:hanging="567"/>
        <w:rPr>
          <w:del w:id="13615" w:author="AbbVie2" w:date="2025-05-14T10:22:00Z"/>
          <w:sz w:val="22"/>
          <w:szCs w:val="22"/>
        </w:rPr>
      </w:pPr>
      <w:del w:id="13616" w:author="AbbVie2" w:date="2025-05-14T10:22:00Z">
        <w:r w:rsidRPr="007D3C14">
          <w:rPr>
            <w:sz w:val="22"/>
            <w:szCs w:val="22"/>
          </w:rPr>
          <w:delText>•</w:delText>
        </w:r>
        <w:r w:rsidRPr="007D3C14">
          <w:rPr>
            <w:sz w:val="22"/>
            <w:szCs w:val="22"/>
          </w:rPr>
          <w:tab/>
        </w:r>
        <w:r>
          <w:rPr>
            <w:sz w:val="22"/>
            <w:szCs w:val="22"/>
          </w:rPr>
          <w:delText>aumento de bilirrubina (análises de sangue ao fígado)</w:delText>
        </w:r>
        <w:r w:rsidR="000E1CF5">
          <w:rPr>
            <w:sz w:val="22"/>
            <w:szCs w:val="22"/>
          </w:rPr>
          <w:delText>.</w:delText>
        </w:r>
      </w:del>
    </w:p>
    <w:p w14:paraId="582357C3" w14:textId="08A9A405" w:rsidR="00330BCC" w:rsidRDefault="00330BCC" w:rsidP="004462A0">
      <w:pPr>
        <w:rPr>
          <w:del w:id="13617" w:author="AbbVie2" w:date="2025-05-14T10:22:00Z"/>
          <w:sz w:val="22"/>
          <w:szCs w:val="22"/>
        </w:rPr>
      </w:pPr>
    </w:p>
    <w:p w14:paraId="5EEAB3D2" w14:textId="106BBE51" w:rsidR="004462A0" w:rsidRPr="008912CF" w:rsidRDefault="00615769" w:rsidP="004462A0">
      <w:pPr>
        <w:rPr>
          <w:del w:id="13618" w:author="AbbVie2" w:date="2025-05-14T10:22:00Z"/>
          <w:sz w:val="22"/>
          <w:szCs w:val="22"/>
        </w:rPr>
      </w:pPr>
      <w:del w:id="13619" w:author="AbbVie2" w:date="2025-05-14T10:22:00Z">
        <w:r w:rsidRPr="008912CF">
          <w:rPr>
            <w:sz w:val="22"/>
            <w:szCs w:val="22"/>
          </w:rPr>
          <w:delText>Raros (podem afetar até 1 em 1.000 pessoas)</w:delText>
        </w:r>
      </w:del>
    </w:p>
    <w:p w14:paraId="6D017347" w14:textId="1070E5AC" w:rsidR="004462A0" w:rsidRPr="008912CF" w:rsidRDefault="004462A0" w:rsidP="004462A0">
      <w:pPr>
        <w:rPr>
          <w:del w:id="13620" w:author="AbbVie2" w:date="2025-05-14T10:22:00Z"/>
          <w:sz w:val="22"/>
          <w:szCs w:val="22"/>
        </w:rPr>
      </w:pPr>
    </w:p>
    <w:p w14:paraId="6BB04B86" w14:textId="4B0FEE74" w:rsidR="004462A0" w:rsidRPr="008912CF" w:rsidRDefault="00615769" w:rsidP="004462A0">
      <w:pPr>
        <w:numPr>
          <w:ilvl w:val="0"/>
          <w:numId w:val="69"/>
        </w:numPr>
        <w:tabs>
          <w:tab w:val="clear" w:pos="0"/>
        </w:tabs>
        <w:ind w:left="568" w:hanging="568"/>
        <w:rPr>
          <w:del w:id="13621" w:author="AbbVie2" w:date="2025-05-14T10:22:00Z"/>
          <w:sz w:val="22"/>
          <w:szCs w:val="22"/>
        </w:rPr>
      </w:pPr>
      <w:del w:id="13622" w:author="AbbVie2" w:date="2025-05-14T10:22:00Z">
        <w:r w:rsidRPr="008912CF">
          <w:rPr>
            <w:sz w:val="22"/>
            <w:szCs w:val="22"/>
          </w:rPr>
          <w:delText>contagem diminuída de glóbulos brancos, glóbulos vermelhos e plaquetas.</w:delText>
        </w:r>
      </w:del>
    </w:p>
    <w:p w14:paraId="654E40B3" w14:textId="3D3BABD6" w:rsidR="004462A0" w:rsidRPr="008912CF" w:rsidRDefault="004462A0" w:rsidP="004462A0">
      <w:pPr>
        <w:rPr>
          <w:del w:id="13623" w:author="AbbVie2" w:date="2025-05-14T10:22:00Z"/>
          <w:sz w:val="23"/>
          <w:szCs w:val="23"/>
          <w:lang w:eastAsia="pt-PT"/>
        </w:rPr>
      </w:pPr>
    </w:p>
    <w:p w14:paraId="0614F7F6" w14:textId="12D31CE1" w:rsidR="004462A0" w:rsidRPr="00636825" w:rsidRDefault="00615769" w:rsidP="004462A0">
      <w:pPr>
        <w:suppressAutoHyphens/>
        <w:rPr>
          <w:del w:id="13624" w:author="AbbVie2" w:date="2025-05-14T10:22:00Z"/>
          <w:b/>
          <w:sz w:val="22"/>
          <w:szCs w:val="22"/>
        </w:rPr>
      </w:pPr>
      <w:del w:id="13625" w:author="AbbVie2" w:date="2025-05-14T10:22:00Z">
        <w:r w:rsidRPr="00636825">
          <w:rPr>
            <w:b/>
            <w:sz w:val="22"/>
            <w:szCs w:val="22"/>
          </w:rPr>
          <w:delText xml:space="preserve">Comunicação de efeitos </w:delText>
        </w:r>
        <w:r w:rsidR="00571C82">
          <w:rPr>
            <w:b/>
            <w:sz w:val="22"/>
            <w:szCs w:val="22"/>
          </w:rPr>
          <w:delText>indesejáveis</w:delText>
        </w:r>
      </w:del>
    </w:p>
    <w:p w14:paraId="6D793F2D" w14:textId="725B568C" w:rsidR="004462A0" w:rsidRPr="008912CF" w:rsidRDefault="00615769" w:rsidP="004462A0">
      <w:pPr>
        <w:suppressAutoHyphens/>
        <w:rPr>
          <w:del w:id="13626" w:author="AbbVie2" w:date="2025-05-14T10:22:00Z"/>
          <w:sz w:val="22"/>
          <w:szCs w:val="22"/>
        </w:rPr>
      </w:pPr>
      <w:del w:id="13627" w:author="AbbVie2" w:date="2025-05-14T10:22:00Z">
        <w:r w:rsidRPr="008912CF">
          <w:rPr>
            <w:sz w:val="22"/>
            <w:szCs w:val="22"/>
          </w:rPr>
          <w:delText xml:space="preserve">Se a sua criança tiver quaisquer efeitos </w:delText>
        </w:r>
        <w:r w:rsidR="00571C82">
          <w:rPr>
            <w:sz w:val="22"/>
            <w:szCs w:val="22"/>
          </w:rPr>
          <w:delText>indesejáveis</w:delText>
        </w:r>
        <w:r w:rsidRPr="008912CF">
          <w:rPr>
            <w:sz w:val="22"/>
            <w:szCs w:val="22"/>
          </w:rPr>
          <w:delText xml:space="preserve">, incluindo possíveis efeitos </w:delText>
        </w:r>
        <w:r w:rsidR="00571C82">
          <w:rPr>
            <w:sz w:val="22"/>
            <w:szCs w:val="22"/>
          </w:rPr>
          <w:delText>indesejáveis</w:delText>
        </w:r>
        <w:r w:rsidRPr="008912CF">
          <w:rPr>
            <w:sz w:val="22"/>
            <w:szCs w:val="22"/>
          </w:rPr>
          <w:delText xml:space="preserve"> não indicados neste folheto, fale com o médico ou farmacêutico da sua criança.</w:delText>
        </w:r>
        <w:r w:rsidR="00103AA2">
          <w:rPr>
            <w:szCs w:val="22"/>
          </w:rPr>
          <w:delText xml:space="preserve"> </w:delText>
        </w:r>
        <w:r w:rsidRPr="008912CF">
          <w:rPr>
            <w:sz w:val="22"/>
            <w:szCs w:val="22"/>
          </w:rPr>
          <w:delText xml:space="preserve">Também poderá comunicar efeitos </w:delText>
        </w:r>
        <w:r w:rsidR="00571C82">
          <w:rPr>
            <w:sz w:val="22"/>
            <w:szCs w:val="22"/>
          </w:rPr>
          <w:delText>indesejáveis</w:delText>
        </w:r>
        <w:r w:rsidRPr="008912CF">
          <w:rPr>
            <w:sz w:val="22"/>
            <w:szCs w:val="22"/>
          </w:rPr>
          <w:delText xml:space="preserve"> diretamente através </w:delText>
        </w:r>
        <w:r w:rsidRPr="008912CF">
          <w:rPr>
            <w:sz w:val="22"/>
            <w:szCs w:val="22"/>
            <w:highlight w:val="lightGray"/>
          </w:rPr>
          <w:delText xml:space="preserve">do sistema nacional de notificação mencionado no </w:delText>
        </w:r>
        <w:r>
          <w:fldChar w:fldCharType="begin"/>
        </w:r>
        <w:r>
          <w:delInstrText>HYPERLINK "http://www.ema.europa.eu/docs/en_GB/document_library/Template_or_form/2013/03/WC500139752.doc"</w:delInstrText>
        </w:r>
        <w:r>
          <w:fldChar w:fldCharType="separate"/>
        </w:r>
        <w:r w:rsidRPr="008912CF">
          <w:rPr>
            <w:rStyle w:val="Hyperlink"/>
            <w:sz w:val="22"/>
            <w:szCs w:val="22"/>
            <w:highlight w:val="lightGray"/>
          </w:rPr>
          <w:delText>Apêndice V</w:delText>
        </w:r>
        <w:r>
          <w:fldChar w:fldCharType="end"/>
        </w:r>
        <w:r w:rsidRPr="008912CF">
          <w:rPr>
            <w:sz w:val="22"/>
            <w:szCs w:val="22"/>
          </w:rPr>
          <w:delText xml:space="preserve">. Ao comunicar efeitos </w:delText>
        </w:r>
        <w:r w:rsidR="00571C82">
          <w:rPr>
            <w:sz w:val="22"/>
            <w:szCs w:val="22"/>
          </w:rPr>
          <w:delText>indesejáveis</w:delText>
        </w:r>
        <w:r w:rsidRPr="008912CF">
          <w:rPr>
            <w:sz w:val="22"/>
            <w:szCs w:val="22"/>
          </w:rPr>
          <w:delText>, estará a ajudar a fornecer mais informações sobre a segurança deste medicamento.</w:delText>
        </w:r>
      </w:del>
    </w:p>
    <w:p w14:paraId="5F79A4FF" w14:textId="35141A7E" w:rsidR="004462A0" w:rsidRPr="008912CF" w:rsidRDefault="004462A0" w:rsidP="004462A0">
      <w:pPr>
        <w:ind w:right="-2"/>
        <w:rPr>
          <w:del w:id="13628" w:author="AbbVie2" w:date="2025-05-14T10:22:00Z"/>
          <w:sz w:val="22"/>
          <w:szCs w:val="22"/>
        </w:rPr>
      </w:pPr>
    </w:p>
    <w:p w14:paraId="58BBAA05" w14:textId="5F492153" w:rsidR="004462A0" w:rsidRPr="008912CF" w:rsidRDefault="004462A0" w:rsidP="004462A0">
      <w:pPr>
        <w:ind w:right="-2"/>
        <w:rPr>
          <w:del w:id="13629" w:author="AbbVie2" w:date="2025-05-14T10:22:00Z"/>
          <w:sz w:val="22"/>
          <w:szCs w:val="22"/>
        </w:rPr>
      </w:pPr>
    </w:p>
    <w:p w14:paraId="3276646C" w14:textId="20FD7014" w:rsidR="004462A0" w:rsidRPr="008912CF" w:rsidRDefault="00615769" w:rsidP="00907F74">
      <w:pPr>
        <w:keepNext/>
        <w:ind w:left="567" w:hanging="567"/>
        <w:rPr>
          <w:del w:id="13630" w:author="AbbVie2" w:date="2025-05-14T10:22:00Z"/>
          <w:sz w:val="22"/>
          <w:szCs w:val="22"/>
        </w:rPr>
      </w:pPr>
      <w:del w:id="13631" w:author="AbbVie2" w:date="2025-05-14T10:22:00Z">
        <w:r w:rsidRPr="008912CF">
          <w:rPr>
            <w:b/>
            <w:sz w:val="22"/>
            <w:szCs w:val="22"/>
          </w:rPr>
          <w:delText>5.</w:delText>
        </w:r>
        <w:r w:rsidRPr="008912CF">
          <w:rPr>
            <w:b/>
            <w:sz w:val="22"/>
            <w:szCs w:val="22"/>
          </w:rPr>
          <w:tab/>
        </w:r>
        <w:r w:rsidRPr="008912CF">
          <w:rPr>
            <w:b/>
            <w:sz w:val="22"/>
            <w:szCs w:val="22"/>
          </w:rPr>
          <w:delText>Como conservar Humira</w:delText>
        </w:r>
      </w:del>
    </w:p>
    <w:p w14:paraId="02F75E93" w14:textId="35C1666A" w:rsidR="004462A0" w:rsidRPr="008912CF" w:rsidRDefault="004462A0" w:rsidP="00907F74">
      <w:pPr>
        <w:keepNext/>
        <w:ind w:right="-2"/>
        <w:rPr>
          <w:del w:id="13632" w:author="AbbVie2" w:date="2025-05-14T10:22:00Z"/>
          <w:sz w:val="22"/>
          <w:szCs w:val="22"/>
        </w:rPr>
      </w:pPr>
    </w:p>
    <w:p w14:paraId="66F3F0FC" w14:textId="4DCD9EB2" w:rsidR="004462A0" w:rsidRPr="008912CF" w:rsidRDefault="00615769" w:rsidP="00907F74">
      <w:pPr>
        <w:keepNext/>
        <w:ind w:right="-2"/>
        <w:rPr>
          <w:del w:id="13633" w:author="AbbVie2" w:date="2025-05-14T10:22:00Z"/>
          <w:sz w:val="22"/>
          <w:szCs w:val="22"/>
        </w:rPr>
      </w:pPr>
      <w:del w:id="13634" w:author="AbbVie2" w:date="2025-05-14T10:22:00Z">
        <w:r w:rsidRPr="008912CF">
          <w:rPr>
            <w:sz w:val="22"/>
            <w:szCs w:val="22"/>
          </w:rPr>
          <w:delText xml:space="preserve">Manter este medicamento fora da vista e do alcance das crianças. </w:delText>
        </w:r>
      </w:del>
    </w:p>
    <w:p w14:paraId="3770ED9C" w14:textId="644DF33F" w:rsidR="004462A0" w:rsidRPr="008912CF" w:rsidRDefault="004462A0" w:rsidP="004462A0">
      <w:pPr>
        <w:ind w:right="-2"/>
        <w:rPr>
          <w:del w:id="13635" w:author="AbbVie2" w:date="2025-05-14T10:22:00Z"/>
          <w:sz w:val="22"/>
          <w:szCs w:val="22"/>
        </w:rPr>
      </w:pPr>
    </w:p>
    <w:p w14:paraId="02584009" w14:textId="1B46023A" w:rsidR="004462A0" w:rsidRPr="008912CF" w:rsidRDefault="00615769" w:rsidP="004462A0">
      <w:pPr>
        <w:ind w:right="-2"/>
        <w:rPr>
          <w:del w:id="13636" w:author="AbbVie2" w:date="2025-05-14T10:22:00Z"/>
          <w:sz w:val="22"/>
          <w:szCs w:val="22"/>
        </w:rPr>
      </w:pPr>
      <w:del w:id="13637" w:author="AbbVie2" w:date="2025-05-14T10:22:00Z">
        <w:r w:rsidRPr="008912CF">
          <w:rPr>
            <w:sz w:val="22"/>
            <w:szCs w:val="22"/>
          </w:rPr>
          <w:delText xml:space="preserve">Não utilize este medicamento após o prazo de validade impresso no rótulo/blister/embalagem, após </w:delText>
        </w:r>
        <w:r w:rsidR="00D751CF">
          <w:rPr>
            <w:sz w:val="22"/>
            <w:szCs w:val="22"/>
          </w:rPr>
          <w:delText>EXP</w:delText>
        </w:r>
        <w:r w:rsidRPr="008912CF">
          <w:rPr>
            <w:sz w:val="22"/>
            <w:szCs w:val="22"/>
          </w:rPr>
          <w:delText>.</w:delText>
        </w:r>
      </w:del>
    </w:p>
    <w:p w14:paraId="0E9D3BE4" w14:textId="67D02A02" w:rsidR="004462A0" w:rsidRPr="008912CF" w:rsidRDefault="004462A0" w:rsidP="004462A0">
      <w:pPr>
        <w:ind w:right="-2"/>
        <w:rPr>
          <w:del w:id="13638" w:author="AbbVie2" w:date="2025-05-14T10:22:00Z"/>
          <w:sz w:val="22"/>
          <w:szCs w:val="22"/>
        </w:rPr>
      </w:pPr>
    </w:p>
    <w:p w14:paraId="410F4A29" w14:textId="41BE680D" w:rsidR="004462A0" w:rsidRPr="008912CF" w:rsidRDefault="00615769" w:rsidP="004462A0">
      <w:pPr>
        <w:pStyle w:val="BodyText3"/>
        <w:rPr>
          <w:del w:id="13639" w:author="AbbVie2" w:date="2025-05-14T10:22:00Z"/>
          <w:szCs w:val="22"/>
        </w:rPr>
      </w:pPr>
      <w:del w:id="13640" w:author="AbbVie2" w:date="2025-05-14T10:22:00Z">
        <w:r w:rsidRPr="008912CF">
          <w:rPr>
            <w:szCs w:val="22"/>
          </w:rPr>
          <w:delText xml:space="preserve">Conservar no frigorífico </w:delText>
        </w:r>
        <w:r w:rsidR="00184BF5">
          <w:rPr>
            <w:szCs w:val="22"/>
          </w:rPr>
          <w:delText>(2º</w:delText>
        </w:r>
        <w:r w:rsidR="00AA2EEA">
          <w:rPr>
            <w:szCs w:val="22"/>
          </w:rPr>
          <w:delText xml:space="preserve"> </w:delText>
        </w:r>
        <w:r w:rsidR="00184BF5" w:rsidRPr="008912CF">
          <w:rPr>
            <w:szCs w:val="22"/>
          </w:rPr>
          <w:delText>C</w:delText>
        </w:r>
        <w:r w:rsidR="00184BF5">
          <w:rPr>
            <w:szCs w:val="22"/>
          </w:rPr>
          <w:delText xml:space="preserve"> – </w:delText>
        </w:r>
        <w:r w:rsidR="00184BF5" w:rsidRPr="008912CF">
          <w:rPr>
            <w:szCs w:val="22"/>
          </w:rPr>
          <w:delText>8</w:delText>
        </w:r>
        <w:r w:rsidR="00184BF5">
          <w:rPr>
            <w:szCs w:val="22"/>
          </w:rPr>
          <w:delText>º</w:delText>
        </w:r>
        <w:r w:rsidR="00AA2EEA">
          <w:rPr>
            <w:szCs w:val="22"/>
          </w:rPr>
          <w:delText xml:space="preserve"> </w:delText>
        </w:r>
        <w:r w:rsidR="00184BF5" w:rsidRPr="008912CF">
          <w:rPr>
            <w:szCs w:val="22"/>
          </w:rPr>
          <w:delText>C)</w:delText>
        </w:r>
        <w:r w:rsidRPr="008912CF">
          <w:rPr>
            <w:szCs w:val="22"/>
          </w:rPr>
          <w:delText>. Não congelar.</w:delText>
        </w:r>
      </w:del>
    </w:p>
    <w:p w14:paraId="029CD772" w14:textId="40AA8F04" w:rsidR="004462A0" w:rsidRPr="008912CF" w:rsidRDefault="004462A0" w:rsidP="004462A0">
      <w:pPr>
        <w:pStyle w:val="BodyText3"/>
        <w:rPr>
          <w:del w:id="13641" w:author="AbbVie2" w:date="2025-05-14T10:22:00Z"/>
          <w:szCs w:val="22"/>
        </w:rPr>
      </w:pPr>
    </w:p>
    <w:p w14:paraId="5601EE01" w14:textId="5286E607" w:rsidR="004462A0" w:rsidRPr="008912CF" w:rsidRDefault="00615769" w:rsidP="004462A0">
      <w:pPr>
        <w:pStyle w:val="BodyText3"/>
        <w:rPr>
          <w:del w:id="13642" w:author="AbbVie2" w:date="2025-05-14T10:22:00Z"/>
          <w:szCs w:val="22"/>
        </w:rPr>
      </w:pPr>
      <w:del w:id="13643" w:author="AbbVie2" w:date="2025-05-14T10:22:00Z">
        <w:r w:rsidRPr="008912CF">
          <w:rPr>
            <w:szCs w:val="22"/>
          </w:rPr>
          <w:delText>Manter o frasco para injetáveis na embalagem exterior para proteger da luz.</w:delText>
        </w:r>
      </w:del>
    </w:p>
    <w:p w14:paraId="2314820C" w14:textId="1C337369" w:rsidR="004462A0" w:rsidRPr="008912CF" w:rsidRDefault="004462A0" w:rsidP="004462A0">
      <w:pPr>
        <w:ind w:right="-2"/>
        <w:rPr>
          <w:del w:id="13644" w:author="AbbVie2" w:date="2025-05-14T10:22:00Z"/>
          <w:sz w:val="22"/>
          <w:szCs w:val="22"/>
        </w:rPr>
      </w:pPr>
    </w:p>
    <w:p w14:paraId="64CDBD21" w14:textId="713ED0E8" w:rsidR="004462A0" w:rsidRPr="008912CF" w:rsidRDefault="00615769" w:rsidP="004462A0">
      <w:pPr>
        <w:ind w:right="-2"/>
        <w:rPr>
          <w:del w:id="13645" w:author="AbbVie2" w:date="2025-05-14T10:22:00Z"/>
          <w:bCs/>
          <w:sz w:val="22"/>
          <w:szCs w:val="22"/>
        </w:rPr>
      </w:pPr>
      <w:del w:id="13646" w:author="AbbVie2" w:date="2025-05-14T10:22:00Z">
        <w:r w:rsidRPr="008912CF">
          <w:rPr>
            <w:sz w:val="22"/>
            <w:szCs w:val="22"/>
          </w:rPr>
          <w:delText xml:space="preserve">Não deite fora quaisquer medicamentos na canalização ou no lixo doméstico. Pergunte ao seu </w:delText>
        </w:r>
        <w:r w:rsidR="00723763">
          <w:rPr>
            <w:sz w:val="22"/>
            <w:szCs w:val="22"/>
          </w:rPr>
          <w:delText xml:space="preserve">médico ou </w:delText>
        </w:r>
        <w:r w:rsidRPr="008912CF">
          <w:rPr>
            <w:sz w:val="22"/>
            <w:szCs w:val="22"/>
          </w:rPr>
          <w:delText xml:space="preserve">farmacêutico como deitar fora os medicamentos que já não utiliza. Estas medidas ajudarão a proteger o ambiente. </w:delText>
        </w:r>
      </w:del>
    </w:p>
    <w:p w14:paraId="43DD92B9" w14:textId="11E1461A" w:rsidR="004462A0" w:rsidRPr="008912CF" w:rsidRDefault="004462A0" w:rsidP="004462A0">
      <w:pPr>
        <w:ind w:right="-2"/>
        <w:rPr>
          <w:del w:id="13647" w:author="AbbVie2" w:date="2025-05-14T10:22:00Z"/>
          <w:b/>
          <w:sz w:val="22"/>
          <w:szCs w:val="22"/>
        </w:rPr>
      </w:pPr>
    </w:p>
    <w:p w14:paraId="2652A717" w14:textId="0A4B03A1" w:rsidR="004462A0" w:rsidRPr="008912CF" w:rsidRDefault="004462A0" w:rsidP="004462A0">
      <w:pPr>
        <w:ind w:right="-2"/>
        <w:rPr>
          <w:del w:id="13648" w:author="AbbVie2" w:date="2025-05-14T10:22:00Z"/>
          <w:b/>
          <w:sz w:val="22"/>
          <w:szCs w:val="22"/>
        </w:rPr>
      </w:pPr>
    </w:p>
    <w:p w14:paraId="4BE0D5B3" w14:textId="20D304FC" w:rsidR="004462A0" w:rsidRPr="008912CF" w:rsidRDefault="00615769" w:rsidP="004462A0">
      <w:pPr>
        <w:ind w:left="567" w:right="-2" w:hanging="567"/>
        <w:rPr>
          <w:del w:id="13649" w:author="AbbVie2" w:date="2025-05-14T10:22:00Z"/>
          <w:b/>
          <w:sz w:val="22"/>
          <w:szCs w:val="22"/>
        </w:rPr>
      </w:pPr>
      <w:del w:id="13650" w:author="AbbVie2" w:date="2025-05-14T10:22:00Z">
        <w:r w:rsidRPr="008912CF">
          <w:rPr>
            <w:b/>
            <w:sz w:val="22"/>
            <w:szCs w:val="22"/>
          </w:rPr>
          <w:delText>6.</w:delText>
        </w:r>
        <w:r w:rsidRPr="008912CF">
          <w:rPr>
            <w:b/>
            <w:sz w:val="22"/>
            <w:szCs w:val="22"/>
          </w:rPr>
          <w:tab/>
          <w:delText>Conteúdo da embalagem e outras informações</w:delText>
        </w:r>
      </w:del>
    </w:p>
    <w:p w14:paraId="0B7324A6" w14:textId="5A72F55D" w:rsidR="004462A0" w:rsidRPr="008912CF" w:rsidRDefault="004462A0" w:rsidP="004462A0">
      <w:pPr>
        <w:pStyle w:val="Heading8"/>
        <w:keepNext w:val="0"/>
        <w:rPr>
          <w:del w:id="13651" w:author="AbbVie2" w:date="2025-05-14T10:22:00Z"/>
          <w:szCs w:val="22"/>
        </w:rPr>
      </w:pPr>
    </w:p>
    <w:p w14:paraId="5B51A801" w14:textId="1B019780" w:rsidR="004462A0" w:rsidRPr="008912CF" w:rsidRDefault="00615769" w:rsidP="004462A0">
      <w:pPr>
        <w:pStyle w:val="Heading8"/>
        <w:keepNext w:val="0"/>
        <w:rPr>
          <w:del w:id="13652" w:author="AbbVie2" w:date="2025-05-14T10:22:00Z"/>
          <w:szCs w:val="22"/>
        </w:rPr>
      </w:pPr>
      <w:del w:id="13653" w:author="AbbVie2" w:date="2025-05-14T10:22:00Z">
        <w:r w:rsidRPr="008912CF">
          <w:rPr>
            <w:szCs w:val="22"/>
          </w:rPr>
          <w:delText>Qual a composição de Humira</w:delText>
        </w:r>
      </w:del>
    </w:p>
    <w:p w14:paraId="66A714F0" w14:textId="271DBEB3" w:rsidR="004462A0" w:rsidRPr="008912CF" w:rsidRDefault="004462A0" w:rsidP="004462A0">
      <w:pPr>
        <w:ind w:right="-2"/>
        <w:rPr>
          <w:del w:id="13654" w:author="AbbVie2" w:date="2025-05-14T10:22:00Z"/>
          <w:b/>
          <w:bCs/>
          <w:sz w:val="22"/>
          <w:szCs w:val="22"/>
        </w:rPr>
      </w:pPr>
    </w:p>
    <w:p w14:paraId="32DB2E94" w14:textId="498C02A6" w:rsidR="004462A0" w:rsidRPr="008912CF" w:rsidRDefault="00615769" w:rsidP="004462A0">
      <w:pPr>
        <w:ind w:right="-2"/>
        <w:rPr>
          <w:del w:id="13655" w:author="AbbVie2" w:date="2025-05-14T10:22:00Z"/>
          <w:sz w:val="22"/>
          <w:szCs w:val="22"/>
        </w:rPr>
      </w:pPr>
      <w:del w:id="13656" w:author="AbbVie2" w:date="2025-05-14T10:22:00Z">
        <w:r w:rsidRPr="008912CF">
          <w:rPr>
            <w:sz w:val="22"/>
            <w:szCs w:val="22"/>
          </w:rPr>
          <w:delText>A substância ativa é adalimumab.</w:delText>
        </w:r>
      </w:del>
    </w:p>
    <w:p w14:paraId="1D96B31E" w14:textId="2B57864A" w:rsidR="004462A0" w:rsidRPr="008912CF" w:rsidRDefault="00615769" w:rsidP="004462A0">
      <w:pPr>
        <w:ind w:right="-2"/>
        <w:rPr>
          <w:del w:id="13657" w:author="AbbVie2" w:date="2025-05-14T10:22:00Z"/>
          <w:sz w:val="22"/>
          <w:szCs w:val="22"/>
        </w:rPr>
      </w:pPr>
      <w:del w:id="13658" w:author="AbbVie2" w:date="2025-05-14T10:22:00Z">
        <w:r w:rsidRPr="008912CF">
          <w:rPr>
            <w:sz w:val="22"/>
            <w:szCs w:val="22"/>
          </w:rPr>
          <w:delText>Os outros componentes são manitol, ácido cítrico mono-hidratado, citrato de sódio, fosfato monossódico di-hidratado, fosfato dissódico di-hidratado, cloreto de sódio, polissorbato 80, hidróxido de sódio e água para preparações injetáveis.</w:delText>
        </w:r>
      </w:del>
    </w:p>
    <w:p w14:paraId="39624716" w14:textId="57C7834C" w:rsidR="004462A0" w:rsidRPr="008912CF" w:rsidRDefault="004462A0" w:rsidP="004462A0">
      <w:pPr>
        <w:ind w:right="-2"/>
        <w:rPr>
          <w:del w:id="13659" w:author="AbbVie2" w:date="2025-05-14T10:22:00Z"/>
          <w:sz w:val="22"/>
          <w:szCs w:val="22"/>
        </w:rPr>
      </w:pPr>
    </w:p>
    <w:p w14:paraId="0A4DF1E2" w14:textId="021A5D26" w:rsidR="004462A0" w:rsidRPr="008912CF" w:rsidRDefault="00615769" w:rsidP="004462A0">
      <w:pPr>
        <w:pStyle w:val="Heading8"/>
        <w:keepNext w:val="0"/>
        <w:rPr>
          <w:del w:id="13660" w:author="AbbVie2" w:date="2025-05-14T10:22:00Z"/>
          <w:szCs w:val="22"/>
        </w:rPr>
      </w:pPr>
      <w:del w:id="13661" w:author="AbbVie2" w:date="2025-05-14T10:22:00Z">
        <w:r w:rsidRPr="008912CF">
          <w:rPr>
            <w:szCs w:val="22"/>
          </w:rPr>
          <w:delText>Qual o aspeto de Humira e conteúdo da embalagem</w:delText>
        </w:r>
      </w:del>
    </w:p>
    <w:p w14:paraId="6B452B3D" w14:textId="48743300" w:rsidR="004462A0" w:rsidRPr="008912CF" w:rsidRDefault="004462A0" w:rsidP="004462A0">
      <w:pPr>
        <w:ind w:right="-2"/>
        <w:rPr>
          <w:del w:id="13662" w:author="AbbVie2" w:date="2025-05-14T10:22:00Z"/>
          <w:sz w:val="22"/>
          <w:szCs w:val="22"/>
        </w:rPr>
      </w:pPr>
    </w:p>
    <w:p w14:paraId="5798AF95" w14:textId="5D2C9814" w:rsidR="004462A0" w:rsidRPr="008912CF" w:rsidRDefault="00615769" w:rsidP="004462A0">
      <w:pPr>
        <w:ind w:right="-2"/>
        <w:rPr>
          <w:del w:id="13663" w:author="AbbVie2" w:date="2025-05-14T10:22:00Z"/>
          <w:sz w:val="22"/>
          <w:szCs w:val="22"/>
        </w:rPr>
      </w:pPr>
      <w:del w:id="13664" w:author="AbbVie2" w:date="2025-05-14T10:22:00Z">
        <w:r w:rsidRPr="008912CF">
          <w:rPr>
            <w:sz w:val="22"/>
            <w:szCs w:val="22"/>
          </w:rPr>
          <w:delText>Humira 40 mg solução injetável em frascos para injetáveis é fornecido sob a forma de uma solução estéril contendo 40 mg de adalimumab dissolvido em 0,8 ml de solução.</w:delText>
        </w:r>
      </w:del>
    </w:p>
    <w:p w14:paraId="1794BAAD" w14:textId="12D30C2A" w:rsidR="004462A0" w:rsidRPr="008912CF" w:rsidRDefault="004462A0" w:rsidP="004462A0">
      <w:pPr>
        <w:ind w:right="-2"/>
        <w:rPr>
          <w:del w:id="13665" w:author="AbbVie2" w:date="2025-05-14T10:22:00Z"/>
          <w:sz w:val="22"/>
          <w:szCs w:val="22"/>
        </w:rPr>
      </w:pPr>
    </w:p>
    <w:p w14:paraId="3FCA46A1" w14:textId="4D2B9D4A" w:rsidR="004462A0" w:rsidRPr="008912CF" w:rsidRDefault="00615769" w:rsidP="004462A0">
      <w:pPr>
        <w:ind w:right="-2"/>
        <w:rPr>
          <w:del w:id="13666" w:author="AbbVie2" w:date="2025-05-14T10:22:00Z"/>
          <w:sz w:val="22"/>
          <w:szCs w:val="22"/>
        </w:rPr>
      </w:pPr>
      <w:del w:id="13667" w:author="AbbVie2" w:date="2025-05-14T10:22:00Z">
        <w:r w:rsidRPr="008912CF">
          <w:rPr>
            <w:sz w:val="22"/>
            <w:szCs w:val="22"/>
          </w:rPr>
          <w:delText xml:space="preserve">O frasco para injetáveis de Humira é de vidro contendo a solução de adalimumab. Uma embalagem contém 2 caixas, contendo cada uma, 1 frasco para injetáveis, uma seringa esterilizada vazia para injeção, 1 agulha, 1 adaptador de frasco para injetáveis e 2 compressas embebidas em álcool.  </w:delText>
        </w:r>
      </w:del>
    </w:p>
    <w:p w14:paraId="4E0468C7" w14:textId="1D3DFBBF" w:rsidR="004462A0" w:rsidRPr="008912CF" w:rsidRDefault="004462A0" w:rsidP="004462A0">
      <w:pPr>
        <w:ind w:right="-2"/>
        <w:rPr>
          <w:del w:id="13668" w:author="AbbVie2" w:date="2025-05-14T10:22:00Z"/>
          <w:sz w:val="22"/>
          <w:szCs w:val="22"/>
        </w:rPr>
      </w:pPr>
    </w:p>
    <w:p w14:paraId="1A346F6A" w14:textId="565BB5E1" w:rsidR="004462A0" w:rsidRPr="008912CF" w:rsidRDefault="00615769" w:rsidP="004462A0">
      <w:pPr>
        <w:ind w:right="-2"/>
        <w:rPr>
          <w:del w:id="13669" w:author="AbbVie2" w:date="2025-05-14T10:22:00Z"/>
          <w:sz w:val="22"/>
          <w:szCs w:val="22"/>
        </w:rPr>
      </w:pPr>
      <w:del w:id="13670" w:author="AbbVie2" w:date="2025-05-14T10:22:00Z">
        <w:r w:rsidRPr="008912CF">
          <w:rPr>
            <w:sz w:val="22"/>
            <w:szCs w:val="22"/>
          </w:rPr>
          <w:delText xml:space="preserve">Humira  </w:delText>
        </w:r>
        <w:r w:rsidR="00595C42">
          <w:rPr>
            <w:sz w:val="22"/>
            <w:szCs w:val="22"/>
          </w:rPr>
          <w:delText xml:space="preserve">pode estar </w:delText>
        </w:r>
        <w:r w:rsidRPr="008912CF">
          <w:rPr>
            <w:sz w:val="22"/>
            <w:szCs w:val="22"/>
          </w:rPr>
          <w:delText xml:space="preserve">disponível em </w:delText>
        </w:r>
        <w:r w:rsidR="004C064C" w:rsidRPr="008912CF">
          <w:rPr>
            <w:sz w:val="22"/>
            <w:szCs w:val="22"/>
          </w:rPr>
          <w:delText>frasco para injetáveis</w:delText>
        </w:r>
        <w:r w:rsidR="004C064C">
          <w:rPr>
            <w:sz w:val="22"/>
            <w:szCs w:val="22"/>
          </w:rPr>
          <w:delText>,</w:delText>
        </w:r>
        <w:r w:rsidR="004C064C" w:rsidRPr="008912CF">
          <w:rPr>
            <w:sz w:val="22"/>
            <w:szCs w:val="22"/>
          </w:rPr>
          <w:delText xml:space="preserve"> </w:delText>
        </w:r>
        <w:r w:rsidRPr="008912CF">
          <w:rPr>
            <w:sz w:val="22"/>
            <w:szCs w:val="22"/>
          </w:rPr>
          <w:delText xml:space="preserve">seringa pré-cheia </w:delText>
        </w:r>
        <w:r w:rsidR="004C064C">
          <w:rPr>
            <w:sz w:val="22"/>
            <w:szCs w:val="22"/>
          </w:rPr>
          <w:delText>e/</w:delText>
        </w:r>
        <w:r w:rsidRPr="008912CF">
          <w:rPr>
            <w:sz w:val="22"/>
            <w:szCs w:val="22"/>
          </w:rPr>
          <w:delText>ou em caneta pré-cheia.</w:delText>
        </w:r>
      </w:del>
    </w:p>
    <w:p w14:paraId="68A2F62B" w14:textId="175D69A8" w:rsidR="004462A0" w:rsidRPr="008912CF" w:rsidRDefault="004462A0" w:rsidP="004462A0">
      <w:pPr>
        <w:ind w:right="-2"/>
        <w:rPr>
          <w:del w:id="13671" w:author="AbbVie2" w:date="2025-05-14T10:22:00Z"/>
          <w:sz w:val="22"/>
          <w:szCs w:val="22"/>
        </w:rPr>
      </w:pPr>
    </w:p>
    <w:p w14:paraId="4ECAC675" w14:textId="41350D67" w:rsidR="004462A0" w:rsidRPr="008912CF" w:rsidRDefault="00615769" w:rsidP="001242C2">
      <w:pPr>
        <w:pStyle w:val="Heading8"/>
        <w:rPr>
          <w:del w:id="13672" w:author="AbbVie2" w:date="2025-05-14T10:22:00Z"/>
          <w:szCs w:val="22"/>
        </w:rPr>
      </w:pPr>
      <w:del w:id="13673" w:author="AbbVie2" w:date="2025-05-14T10:22:00Z">
        <w:r w:rsidRPr="008912CF">
          <w:rPr>
            <w:szCs w:val="22"/>
          </w:rPr>
          <w:delText xml:space="preserve">Titular da Autorização de Introdução no Mercado </w:delText>
        </w:r>
      </w:del>
    </w:p>
    <w:p w14:paraId="542C537D" w14:textId="2B4FF705" w:rsidR="004462A0" w:rsidRPr="008912CF" w:rsidRDefault="004462A0" w:rsidP="001242C2">
      <w:pPr>
        <w:keepNext/>
        <w:ind w:right="-2"/>
        <w:rPr>
          <w:del w:id="13674" w:author="AbbVie2" w:date="2025-05-14T10:22:00Z"/>
          <w:sz w:val="22"/>
          <w:szCs w:val="22"/>
        </w:rPr>
      </w:pPr>
    </w:p>
    <w:p w14:paraId="438BCC36" w14:textId="454D0118" w:rsidR="00EA5EC7" w:rsidRPr="00140752" w:rsidRDefault="00615769" w:rsidP="001242C2">
      <w:pPr>
        <w:keepNext/>
        <w:tabs>
          <w:tab w:val="left" w:pos="720"/>
        </w:tabs>
        <w:rPr>
          <w:del w:id="13675" w:author="AbbVie2" w:date="2025-05-14T10:22:00Z"/>
          <w:sz w:val="22"/>
          <w:szCs w:val="22"/>
          <w:lang w:val="de-DE"/>
        </w:rPr>
      </w:pPr>
      <w:del w:id="13676" w:author="AbbVie2" w:date="2025-05-14T10:22:00Z">
        <w:r w:rsidRPr="00140752">
          <w:rPr>
            <w:sz w:val="22"/>
            <w:szCs w:val="22"/>
            <w:lang w:val="de-DE"/>
          </w:rPr>
          <w:delText>AbbVie Deutschland GmbH &amp; Co. KG</w:delText>
        </w:r>
      </w:del>
    </w:p>
    <w:p w14:paraId="6525F960" w14:textId="6490833B" w:rsidR="00EA5EC7" w:rsidRPr="00140752" w:rsidRDefault="00615769" w:rsidP="001242C2">
      <w:pPr>
        <w:keepNext/>
        <w:tabs>
          <w:tab w:val="left" w:pos="720"/>
        </w:tabs>
        <w:rPr>
          <w:del w:id="13677" w:author="AbbVie2" w:date="2025-05-14T10:22:00Z"/>
          <w:sz w:val="22"/>
          <w:szCs w:val="22"/>
          <w:lang w:val="de-DE"/>
        </w:rPr>
      </w:pPr>
      <w:del w:id="13678" w:author="AbbVie2" w:date="2025-05-14T10:22:00Z">
        <w:r w:rsidRPr="00140752">
          <w:rPr>
            <w:sz w:val="22"/>
            <w:szCs w:val="22"/>
            <w:lang w:val="de-DE"/>
          </w:rPr>
          <w:delText>Knollstrasse</w:delText>
        </w:r>
      </w:del>
    </w:p>
    <w:p w14:paraId="7CDCB5D5" w14:textId="0E9A4987" w:rsidR="00EA5EC7" w:rsidRPr="008D6D3A" w:rsidRDefault="00615769" w:rsidP="001242C2">
      <w:pPr>
        <w:keepNext/>
        <w:tabs>
          <w:tab w:val="left" w:pos="720"/>
        </w:tabs>
        <w:rPr>
          <w:del w:id="13679" w:author="AbbVie2" w:date="2025-05-14T10:22:00Z"/>
          <w:sz w:val="22"/>
          <w:szCs w:val="22"/>
          <w:lang w:val="de-DE"/>
        </w:rPr>
      </w:pPr>
      <w:del w:id="13680" w:author="AbbVie2" w:date="2025-05-14T10:22:00Z">
        <w:r w:rsidRPr="008D6D3A">
          <w:rPr>
            <w:sz w:val="22"/>
            <w:szCs w:val="22"/>
            <w:lang w:val="de-DE"/>
          </w:rPr>
          <w:delText>67061 Ludwigshafen</w:delText>
        </w:r>
      </w:del>
    </w:p>
    <w:p w14:paraId="3A38A40A" w14:textId="2DC73A42" w:rsidR="004462A0" w:rsidRPr="008D6D3A" w:rsidRDefault="00615769" w:rsidP="001242C2">
      <w:pPr>
        <w:keepNext/>
        <w:rPr>
          <w:del w:id="13681" w:author="AbbVie2" w:date="2025-05-14T10:22:00Z"/>
          <w:sz w:val="22"/>
          <w:szCs w:val="22"/>
          <w:lang w:val="de-DE"/>
        </w:rPr>
      </w:pPr>
      <w:del w:id="13682" w:author="AbbVie2" w:date="2025-05-14T10:22:00Z">
        <w:r w:rsidRPr="008D6D3A">
          <w:rPr>
            <w:sz w:val="22"/>
            <w:szCs w:val="22"/>
            <w:lang w:val="de-DE"/>
          </w:rPr>
          <w:delText>Alemanha</w:delText>
        </w:r>
      </w:del>
    </w:p>
    <w:p w14:paraId="29F9F09F" w14:textId="4F12CF97" w:rsidR="004462A0" w:rsidRPr="008D6D3A" w:rsidRDefault="004462A0" w:rsidP="004462A0">
      <w:pPr>
        <w:ind w:right="-2"/>
        <w:rPr>
          <w:del w:id="13683" w:author="AbbVie2" w:date="2025-05-14T10:22:00Z"/>
          <w:sz w:val="22"/>
          <w:szCs w:val="22"/>
          <w:lang w:val="de-DE"/>
        </w:rPr>
      </w:pPr>
    </w:p>
    <w:p w14:paraId="7490C732" w14:textId="2622C74D" w:rsidR="004462A0" w:rsidRPr="008D6D3A" w:rsidRDefault="00615769" w:rsidP="004462A0">
      <w:pPr>
        <w:ind w:right="-2"/>
        <w:rPr>
          <w:del w:id="13684" w:author="AbbVie2" w:date="2025-05-14T10:22:00Z"/>
          <w:b/>
          <w:bCs/>
          <w:sz w:val="22"/>
          <w:szCs w:val="22"/>
          <w:lang w:val="de-DE"/>
        </w:rPr>
      </w:pPr>
      <w:del w:id="13685" w:author="AbbVie2" w:date="2025-05-14T10:22:00Z">
        <w:r w:rsidRPr="008D6D3A">
          <w:rPr>
            <w:b/>
            <w:bCs/>
            <w:sz w:val="22"/>
            <w:szCs w:val="22"/>
            <w:lang w:val="de-DE"/>
          </w:rPr>
          <w:delText>Fabricante</w:delText>
        </w:r>
      </w:del>
    </w:p>
    <w:p w14:paraId="7136B548" w14:textId="1F44A214" w:rsidR="004462A0" w:rsidRPr="008D6D3A" w:rsidRDefault="004462A0" w:rsidP="004462A0">
      <w:pPr>
        <w:numPr>
          <w:ilvl w:val="12"/>
          <w:numId w:val="0"/>
        </w:numPr>
        <w:tabs>
          <w:tab w:val="left" w:pos="720"/>
        </w:tabs>
        <w:suppressAutoHyphens/>
        <w:rPr>
          <w:del w:id="13686" w:author="AbbVie2" w:date="2025-05-14T10:22:00Z"/>
          <w:sz w:val="22"/>
          <w:lang w:val="de-CH"/>
        </w:rPr>
      </w:pPr>
    </w:p>
    <w:p w14:paraId="5AD58F8E" w14:textId="5A3F0CC6" w:rsidR="004462A0" w:rsidRPr="008D6D3A" w:rsidRDefault="00615769" w:rsidP="004462A0">
      <w:pPr>
        <w:keepNext/>
        <w:tabs>
          <w:tab w:val="left" w:pos="562"/>
        </w:tabs>
        <w:suppressAutoHyphens/>
        <w:rPr>
          <w:del w:id="13687" w:author="AbbVie2" w:date="2025-05-14T10:22:00Z"/>
          <w:sz w:val="22"/>
          <w:lang w:val="de-CH"/>
        </w:rPr>
      </w:pPr>
      <w:del w:id="13688" w:author="AbbVie2" w:date="2025-05-14T10:22:00Z">
        <w:r w:rsidRPr="008D6D3A">
          <w:rPr>
            <w:sz w:val="22"/>
            <w:lang w:val="de-CH"/>
          </w:rPr>
          <w:delText>AbbVie Biotechnology GmbH</w:delText>
        </w:r>
      </w:del>
    </w:p>
    <w:p w14:paraId="4DF112ED" w14:textId="24EDB1C8" w:rsidR="004462A0" w:rsidRPr="008912CF" w:rsidRDefault="00615769" w:rsidP="004462A0">
      <w:pPr>
        <w:keepNext/>
        <w:numPr>
          <w:ilvl w:val="12"/>
          <w:numId w:val="0"/>
        </w:numPr>
        <w:tabs>
          <w:tab w:val="left" w:pos="720"/>
        </w:tabs>
        <w:suppressAutoHyphens/>
        <w:rPr>
          <w:del w:id="13689" w:author="AbbVie2" w:date="2025-05-14T10:22:00Z"/>
          <w:sz w:val="22"/>
        </w:rPr>
      </w:pPr>
      <w:del w:id="13690" w:author="AbbVie2" w:date="2025-05-14T10:22:00Z">
        <w:r w:rsidRPr="008912CF">
          <w:rPr>
            <w:sz w:val="22"/>
          </w:rPr>
          <w:delText>Knollstrasse</w:delText>
        </w:r>
      </w:del>
    </w:p>
    <w:p w14:paraId="346FEDDB" w14:textId="5DD9804D" w:rsidR="004462A0" w:rsidRPr="008912CF" w:rsidRDefault="00615769" w:rsidP="004462A0">
      <w:pPr>
        <w:keepNext/>
        <w:numPr>
          <w:ilvl w:val="12"/>
          <w:numId w:val="0"/>
        </w:numPr>
        <w:tabs>
          <w:tab w:val="left" w:pos="720"/>
        </w:tabs>
        <w:suppressAutoHyphens/>
        <w:rPr>
          <w:del w:id="13691" w:author="AbbVie2" w:date="2025-05-14T10:22:00Z"/>
          <w:sz w:val="22"/>
        </w:rPr>
      </w:pPr>
      <w:del w:id="13692" w:author="AbbVie2" w:date="2025-05-14T10:22:00Z">
        <w:r w:rsidRPr="008912CF">
          <w:rPr>
            <w:sz w:val="22"/>
          </w:rPr>
          <w:delText>67061 Ludwigshafen</w:delText>
        </w:r>
      </w:del>
    </w:p>
    <w:p w14:paraId="4504C9A5" w14:textId="545B9B9B" w:rsidR="004462A0" w:rsidRPr="008912CF" w:rsidRDefault="00615769" w:rsidP="004462A0">
      <w:pPr>
        <w:keepNext/>
        <w:numPr>
          <w:ilvl w:val="12"/>
          <w:numId w:val="0"/>
        </w:numPr>
        <w:tabs>
          <w:tab w:val="left" w:pos="720"/>
        </w:tabs>
        <w:suppressAutoHyphens/>
        <w:rPr>
          <w:del w:id="13693" w:author="AbbVie2" w:date="2025-05-14T10:22:00Z"/>
          <w:sz w:val="22"/>
        </w:rPr>
      </w:pPr>
      <w:del w:id="13694" w:author="AbbVie2" w:date="2025-05-14T10:22:00Z">
        <w:r w:rsidRPr="008912CF">
          <w:rPr>
            <w:sz w:val="22"/>
          </w:rPr>
          <w:delText>Alemanha</w:delText>
        </w:r>
      </w:del>
    </w:p>
    <w:p w14:paraId="63B885AC" w14:textId="596D677E" w:rsidR="004462A0" w:rsidRPr="008912CF" w:rsidRDefault="004462A0" w:rsidP="004462A0">
      <w:pPr>
        <w:ind w:right="-2"/>
        <w:rPr>
          <w:del w:id="13695" w:author="AbbVie2" w:date="2025-05-14T10:22:00Z"/>
          <w:sz w:val="22"/>
          <w:szCs w:val="22"/>
        </w:rPr>
      </w:pPr>
    </w:p>
    <w:p w14:paraId="38ED034F" w14:textId="78F49835" w:rsidR="004462A0" w:rsidRPr="008912CF" w:rsidRDefault="00615769" w:rsidP="004462A0">
      <w:pPr>
        <w:ind w:right="-2"/>
        <w:rPr>
          <w:del w:id="13696" w:author="AbbVie2" w:date="2025-05-14T10:22:00Z"/>
          <w:sz w:val="22"/>
          <w:szCs w:val="22"/>
        </w:rPr>
      </w:pPr>
      <w:del w:id="13697" w:author="AbbVie2" w:date="2025-05-14T10:22:00Z">
        <w:r w:rsidRPr="008912CF">
          <w:rPr>
            <w:sz w:val="22"/>
            <w:szCs w:val="22"/>
          </w:rPr>
          <w:delText>Para quaisquer informações sobre este medicamento, queira contactar o representante local do Titular d</w:delText>
        </w:r>
        <w:r w:rsidR="004E51CA">
          <w:rPr>
            <w:sz w:val="22"/>
            <w:szCs w:val="22"/>
          </w:rPr>
          <w:delText>a</w:delText>
        </w:r>
        <w:r w:rsidRPr="008912CF">
          <w:rPr>
            <w:sz w:val="22"/>
            <w:szCs w:val="22"/>
          </w:rPr>
          <w:delText xml:space="preserve"> Autorização de Introdução no Mercado</w:delText>
        </w:r>
        <w:r w:rsidR="004D2A1C">
          <w:rPr>
            <w:sz w:val="22"/>
            <w:szCs w:val="22"/>
          </w:rPr>
          <w:delText>:</w:delText>
        </w:r>
      </w:del>
    </w:p>
    <w:p w14:paraId="77A4AFC8" w14:textId="5A8033A5" w:rsidR="004462A0" w:rsidRPr="008912CF" w:rsidRDefault="004462A0" w:rsidP="004462A0">
      <w:pPr>
        <w:rPr>
          <w:del w:id="13698" w:author="AbbVie2" w:date="2025-05-14T10:22:00Z"/>
        </w:rPr>
      </w:pPr>
    </w:p>
    <w:tbl>
      <w:tblPr>
        <w:tblW w:w="9356" w:type="dxa"/>
        <w:tblInd w:w="-34" w:type="dxa"/>
        <w:tblLayout w:type="fixed"/>
        <w:tblLook w:val="0000" w:firstRow="0" w:lastRow="0" w:firstColumn="0" w:lastColumn="0" w:noHBand="0" w:noVBand="0"/>
      </w:tblPr>
      <w:tblGrid>
        <w:gridCol w:w="34"/>
        <w:gridCol w:w="4610"/>
        <w:gridCol w:w="34"/>
        <w:gridCol w:w="4678"/>
      </w:tblGrid>
      <w:tr w:rsidR="00A7162A" w14:paraId="769BB862" w14:textId="4433CE7C" w:rsidTr="001F79B0">
        <w:trPr>
          <w:del w:id="13699" w:author="AbbVie2" w:date="2025-05-14T10:22:00Z"/>
        </w:trPr>
        <w:tc>
          <w:tcPr>
            <w:tcW w:w="4644" w:type="dxa"/>
            <w:gridSpan w:val="2"/>
          </w:tcPr>
          <w:p w14:paraId="03F893CE" w14:textId="4FC69BBD" w:rsidR="00012D36" w:rsidRPr="00346547" w:rsidRDefault="00615769" w:rsidP="001F79B0">
            <w:pPr>
              <w:rPr>
                <w:del w:id="13700" w:author="AbbVie2" w:date="2025-05-14T10:22:00Z"/>
                <w:b/>
                <w:bCs/>
                <w:sz w:val="22"/>
                <w:szCs w:val="22"/>
                <w:lang w:val="fr-BE"/>
              </w:rPr>
            </w:pPr>
            <w:del w:id="13701" w:author="AbbVie2" w:date="2025-05-14T10:22:00Z">
              <w:r w:rsidRPr="00346547">
                <w:rPr>
                  <w:b/>
                  <w:bCs/>
                  <w:sz w:val="22"/>
                  <w:szCs w:val="22"/>
                  <w:lang w:val="fr-BE"/>
                </w:rPr>
                <w:delText>België/Belgique/Belgien</w:delText>
              </w:r>
            </w:del>
          </w:p>
          <w:p w14:paraId="724AFAF5" w14:textId="7D830B9A" w:rsidR="00012D36" w:rsidRPr="00346547" w:rsidRDefault="00615769" w:rsidP="001F79B0">
            <w:pPr>
              <w:tabs>
                <w:tab w:val="center" w:pos="2214"/>
              </w:tabs>
              <w:rPr>
                <w:del w:id="13702" w:author="AbbVie2" w:date="2025-05-14T10:22:00Z"/>
                <w:bCs/>
                <w:sz w:val="22"/>
                <w:szCs w:val="22"/>
                <w:lang w:val="fr-FR"/>
              </w:rPr>
            </w:pPr>
            <w:del w:id="13703" w:author="AbbVie2" w:date="2025-05-14T10:22:00Z">
              <w:r w:rsidRPr="00346547">
                <w:rPr>
                  <w:bCs/>
                  <w:sz w:val="22"/>
                  <w:szCs w:val="22"/>
                  <w:lang w:val="fr-FR"/>
                </w:rPr>
                <w:delText>AbbVie SA</w:delText>
              </w:r>
            </w:del>
          </w:p>
          <w:p w14:paraId="418A80E4" w14:textId="1AB13AB1" w:rsidR="00012D36" w:rsidRPr="00346547" w:rsidRDefault="00615769" w:rsidP="001F79B0">
            <w:pPr>
              <w:rPr>
                <w:del w:id="13704" w:author="AbbVie2" w:date="2025-05-14T10:22:00Z"/>
                <w:sz w:val="22"/>
                <w:szCs w:val="22"/>
                <w:lang w:val="fr-FR"/>
              </w:rPr>
            </w:pPr>
            <w:del w:id="13705" w:author="AbbVie2" w:date="2025-05-14T10:22:00Z">
              <w:r w:rsidRPr="00346547">
                <w:rPr>
                  <w:bCs/>
                  <w:sz w:val="22"/>
                  <w:szCs w:val="22"/>
                  <w:lang w:val="fr-FR"/>
                </w:rPr>
                <w:delText xml:space="preserve">Tél/Tel: +32 10 </w:delText>
              </w:r>
              <w:r w:rsidRPr="00346547">
                <w:rPr>
                  <w:sz w:val="22"/>
                  <w:szCs w:val="22"/>
                  <w:lang w:val="fr-FR"/>
                </w:rPr>
                <w:delText>477811</w:delText>
              </w:r>
            </w:del>
          </w:p>
          <w:p w14:paraId="797F7647" w14:textId="1C256A80" w:rsidR="00012D36" w:rsidRPr="00346547" w:rsidRDefault="00012D36" w:rsidP="001F79B0">
            <w:pPr>
              <w:rPr>
                <w:del w:id="13706" w:author="AbbVie2" w:date="2025-05-14T10:22:00Z"/>
                <w:bCs/>
                <w:sz w:val="22"/>
                <w:szCs w:val="22"/>
                <w:lang w:val="fr-FR"/>
              </w:rPr>
            </w:pPr>
          </w:p>
        </w:tc>
        <w:tc>
          <w:tcPr>
            <w:tcW w:w="4678" w:type="dxa"/>
            <w:gridSpan w:val="2"/>
          </w:tcPr>
          <w:p w14:paraId="29E97EA0" w14:textId="014D8E4C" w:rsidR="00012D36" w:rsidRPr="00346547" w:rsidRDefault="00615769" w:rsidP="001F79B0">
            <w:pPr>
              <w:rPr>
                <w:del w:id="13707" w:author="AbbVie2" w:date="2025-05-14T10:22:00Z"/>
                <w:b/>
                <w:bCs/>
                <w:sz w:val="22"/>
                <w:szCs w:val="22"/>
                <w:lang w:val="lt-LT"/>
              </w:rPr>
            </w:pPr>
            <w:del w:id="13708" w:author="AbbVie2" w:date="2025-05-14T10:22:00Z">
              <w:r w:rsidRPr="00346547">
                <w:rPr>
                  <w:b/>
                  <w:bCs/>
                  <w:sz w:val="22"/>
                  <w:szCs w:val="22"/>
                  <w:lang w:val="lt-LT"/>
                </w:rPr>
                <w:delText>Lietuva</w:delText>
              </w:r>
            </w:del>
          </w:p>
          <w:p w14:paraId="7DAB8B46" w14:textId="3E3D2A74" w:rsidR="00012D36" w:rsidRPr="00346547" w:rsidRDefault="00615769" w:rsidP="001F79B0">
            <w:pPr>
              <w:rPr>
                <w:del w:id="13709" w:author="AbbVie2" w:date="2025-05-14T10:22:00Z"/>
                <w:bCs/>
                <w:sz w:val="22"/>
                <w:szCs w:val="22"/>
                <w:lang w:val="lv-LV"/>
              </w:rPr>
            </w:pPr>
            <w:del w:id="13710" w:author="AbbVie2" w:date="2025-05-14T10:22:00Z">
              <w:r w:rsidRPr="00346547">
                <w:rPr>
                  <w:bCs/>
                  <w:sz w:val="22"/>
                  <w:szCs w:val="22"/>
                  <w:lang w:val="lv-LV"/>
                </w:rPr>
                <w:delText xml:space="preserve">AbbVie UAB </w:delText>
              </w:r>
            </w:del>
          </w:p>
          <w:p w14:paraId="390B03C0" w14:textId="4C611A1E" w:rsidR="00012D36" w:rsidRPr="00346547" w:rsidRDefault="00615769" w:rsidP="001F79B0">
            <w:pPr>
              <w:jc w:val="both"/>
              <w:rPr>
                <w:del w:id="13711" w:author="AbbVie2" w:date="2025-05-14T10:22:00Z"/>
                <w:bCs/>
                <w:sz w:val="22"/>
                <w:szCs w:val="22"/>
                <w:lang w:val="lv-LV"/>
              </w:rPr>
            </w:pPr>
            <w:del w:id="13712" w:author="AbbVie2" w:date="2025-05-14T10:22:00Z">
              <w:r w:rsidRPr="00346547">
                <w:rPr>
                  <w:bCs/>
                  <w:sz w:val="22"/>
                  <w:szCs w:val="22"/>
                  <w:lang w:val="lv-LV"/>
                </w:rPr>
                <w:delText>Tel: +370 5 205 3023</w:delText>
              </w:r>
            </w:del>
          </w:p>
        </w:tc>
      </w:tr>
      <w:tr w:rsidR="00A7162A" w14:paraId="78D42F79" w14:textId="3A953094" w:rsidTr="001F79B0">
        <w:trPr>
          <w:del w:id="13713" w:author="AbbVie2" w:date="2025-05-14T10:22:00Z"/>
        </w:trPr>
        <w:tc>
          <w:tcPr>
            <w:tcW w:w="4644" w:type="dxa"/>
            <w:gridSpan w:val="2"/>
          </w:tcPr>
          <w:p w14:paraId="4EFD8D6C" w14:textId="1CEFF2CE" w:rsidR="00012D36" w:rsidRPr="00346547" w:rsidRDefault="00615769" w:rsidP="001F79B0">
            <w:pPr>
              <w:autoSpaceDE w:val="0"/>
              <w:autoSpaceDN w:val="0"/>
              <w:adjustRightInd w:val="0"/>
              <w:rPr>
                <w:del w:id="13714" w:author="AbbVie2" w:date="2025-05-14T10:22:00Z"/>
                <w:b/>
                <w:bCs/>
                <w:sz w:val="22"/>
                <w:szCs w:val="22"/>
                <w:lang w:val="bg-BG"/>
              </w:rPr>
            </w:pPr>
            <w:del w:id="13715" w:author="AbbVie2" w:date="2025-05-14T10:22:00Z">
              <w:r w:rsidRPr="00346547">
                <w:rPr>
                  <w:b/>
                  <w:bCs/>
                  <w:sz w:val="22"/>
                  <w:szCs w:val="22"/>
                  <w:lang w:val="bg-BG"/>
                </w:rPr>
                <w:delText>България</w:delText>
              </w:r>
            </w:del>
          </w:p>
          <w:p w14:paraId="702751F5" w14:textId="5EB8EE72" w:rsidR="00012D36" w:rsidRPr="00346547" w:rsidRDefault="00615769" w:rsidP="001F79B0">
            <w:pPr>
              <w:autoSpaceDE w:val="0"/>
              <w:autoSpaceDN w:val="0"/>
              <w:adjustRightInd w:val="0"/>
              <w:rPr>
                <w:del w:id="13716" w:author="AbbVie2" w:date="2025-05-14T10:22:00Z"/>
                <w:sz w:val="22"/>
                <w:szCs w:val="22"/>
                <w:lang w:val="da-DK"/>
              </w:rPr>
            </w:pPr>
            <w:del w:id="13717" w:author="AbbVie2" w:date="2025-05-14T10:22:00Z">
              <w:r w:rsidRPr="00346547">
                <w:rPr>
                  <w:rFonts w:eastAsia="MS Mincho"/>
                  <w:sz w:val="22"/>
                  <w:szCs w:val="22"/>
                  <w:lang w:eastAsia="ja-JP"/>
                </w:rPr>
                <w:delText>АбВи ЕООД</w:delText>
              </w:r>
            </w:del>
          </w:p>
          <w:p w14:paraId="2F800929" w14:textId="3A4FE824" w:rsidR="00012D36" w:rsidRPr="00346547" w:rsidRDefault="00615769" w:rsidP="001F79B0">
            <w:pPr>
              <w:tabs>
                <w:tab w:val="left" w:pos="-720"/>
              </w:tabs>
              <w:rPr>
                <w:del w:id="13718" w:author="AbbVie2" w:date="2025-05-14T10:22:00Z"/>
                <w:bCs/>
                <w:sz w:val="22"/>
                <w:szCs w:val="22"/>
                <w:lang w:val="da-DK"/>
              </w:rPr>
            </w:pPr>
            <w:del w:id="13719" w:author="AbbVie2" w:date="2025-05-14T10:22:00Z">
              <w:r w:rsidRPr="00346547">
                <w:rPr>
                  <w:rFonts w:eastAsia="MS Mincho"/>
                  <w:sz w:val="22"/>
                  <w:szCs w:val="22"/>
                  <w:lang w:eastAsia="ja-JP"/>
                </w:rPr>
                <w:delText>Тел</w:delText>
              </w:r>
              <w:r w:rsidRPr="00346547">
                <w:rPr>
                  <w:rFonts w:eastAsia="MS Mincho"/>
                  <w:sz w:val="22"/>
                  <w:szCs w:val="22"/>
                  <w:lang w:val="it-IT" w:eastAsia="ja-JP"/>
                </w:rPr>
                <w:delText>.:+359 2 90 30 430</w:delText>
              </w:r>
            </w:del>
          </w:p>
        </w:tc>
        <w:tc>
          <w:tcPr>
            <w:tcW w:w="4678" w:type="dxa"/>
            <w:gridSpan w:val="2"/>
          </w:tcPr>
          <w:p w14:paraId="5DEC25C3" w14:textId="03DBE4A0" w:rsidR="00012D36" w:rsidRPr="00346547" w:rsidRDefault="00615769" w:rsidP="001F79B0">
            <w:pPr>
              <w:rPr>
                <w:del w:id="13720" w:author="AbbVie2" w:date="2025-05-14T10:22:00Z"/>
                <w:b/>
                <w:bCs/>
                <w:sz w:val="22"/>
                <w:szCs w:val="22"/>
                <w:lang w:val="de-DE"/>
              </w:rPr>
            </w:pPr>
            <w:del w:id="13721" w:author="AbbVie2" w:date="2025-05-14T10:22:00Z">
              <w:r w:rsidRPr="00346547">
                <w:rPr>
                  <w:b/>
                  <w:bCs/>
                  <w:sz w:val="22"/>
                  <w:szCs w:val="22"/>
                  <w:lang w:val="de-DE"/>
                </w:rPr>
                <w:delText>Luxembourg/Luxemburg</w:delText>
              </w:r>
            </w:del>
          </w:p>
          <w:p w14:paraId="477188B3" w14:textId="65A890E6" w:rsidR="00012D36" w:rsidRPr="00346547" w:rsidRDefault="00615769" w:rsidP="001F79B0">
            <w:pPr>
              <w:rPr>
                <w:del w:id="13722" w:author="AbbVie2" w:date="2025-05-14T10:22:00Z"/>
                <w:bCs/>
                <w:sz w:val="22"/>
                <w:szCs w:val="22"/>
                <w:lang w:val="de-DE"/>
              </w:rPr>
            </w:pPr>
            <w:del w:id="13723" w:author="AbbVie2" w:date="2025-05-14T10:22:00Z">
              <w:r w:rsidRPr="00346547">
                <w:rPr>
                  <w:bCs/>
                  <w:sz w:val="22"/>
                  <w:szCs w:val="22"/>
                  <w:lang w:val="de-DE"/>
                </w:rPr>
                <w:delText>AbbVie SA</w:delText>
              </w:r>
            </w:del>
          </w:p>
          <w:p w14:paraId="69961337" w14:textId="368AFF63" w:rsidR="00012D36" w:rsidRPr="00346547" w:rsidRDefault="00615769" w:rsidP="001F79B0">
            <w:pPr>
              <w:tabs>
                <w:tab w:val="center" w:pos="2231"/>
              </w:tabs>
              <w:rPr>
                <w:del w:id="13724" w:author="AbbVie2" w:date="2025-05-14T10:22:00Z"/>
                <w:bCs/>
                <w:sz w:val="22"/>
                <w:szCs w:val="22"/>
                <w:lang w:val="de-DE"/>
              </w:rPr>
            </w:pPr>
            <w:del w:id="13725" w:author="AbbVie2" w:date="2025-05-14T10:22:00Z">
              <w:r w:rsidRPr="00346547">
                <w:rPr>
                  <w:bCs/>
                  <w:sz w:val="22"/>
                  <w:szCs w:val="22"/>
                  <w:lang w:val="de-DE"/>
                </w:rPr>
                <w:delText>Belgique/Belgien</w:delText>
              </w:r>
            </w:del>
          </w:p>
          <w:p w14:paraId="3D6C1D2A" w14:textId="12F7A573" w:rsidR="00012D36" w:rsidRPr="00346547" w:rsidRDefault="00615769" w:rsidP="001F79B0">
            <w:pPr>
              <w:rPr>
                <w:del w:id="13726" w:author="AbbVie2" w:date="2025-05-14T10:22:00Z"/>
                <w:bCs/>
                <w:sz w:val="22"/>
                <w:szCs w:val="22"/>
                <w:lang w:val="fr-FR"/>
              </w:rPr>
            </w:pPr>
            <w:del w:id="13727" w:author="AbbVie2" w:date="2025-05-14T10:22:00Z">
              <w:r w:rsidRPr="00346547">
                <w:rPr>
                  <w:bCs/>
                  <w:sz w:val="22"/>
                  <w:szCs w:val="22"/>
                  <w:lang w:val="fr-FR"/>
                </w:rPr>
                <w:delText>Tél/Tel: +32 10 477811</w:delText>
              </w:r>
            </w:del>
          </w:p>
          <w:p w14:paraId="77A7BB95" w14:textId="4192DF81" w:rsidR="00012D36" w:rsidRPr="00346547" w:rsidRDefault="00012D36" w:rsidP="001F79B0">
            <w:pPr>
              <w:rPr>
                <w:del w:id="13728" w:author="AbbVie2" w:date="2025-05-14T10:22:00Z"/>
                <w:bCs/>
                <w:sz w:val="22"/>
                <w:szCs w:val="22"/>
                <w:lang w:val="fr-FR"/>
              </w:rPr>
            </w:pPr>
          </w:p>
        </w:tc>
      </w:tr>
      <w:tr w:rsidR="00A7162A" w14:paraId="5FEEFD3B" w14:textId="2BE176CC" w:rsidTr="001F79B0">
        <w:trPr>
          <w:del w:id="13729" w:author="AbbVie2" w:date="2025-05-14T10:22:00Z"/>
        </w:trPr>
        <w:tc>
          <w:tcPr>
            <w:tcW w:w="4644" w:type="dxa"/>
            <w:gridSpan w:val="2"/>
          </w:tcPr>
          <w:p w14:paraId="7F2E27F8" w14:textId="1DD642D8" w:rsidR="00012D36" w:rsidRPr="00346547" w:rsidRDefault="00615769" w:rsidP="001F79B0">
            <w:pPr>
              <w:keepNext/>
              <w:rPr>
                <w:del w:id="13730" w:author="AbbVie2" w:date="2025-05-14T10:22:00Z"/>
                <w:b/>
                <w:bCs/>
                <w:sz w:val="22"/>
                <w:szCs w:val="22"/>
              </w:rPr>
            </w:pPr>
            <w:del w:id="13731" w:author="AbbVie2" w:date="2025-05-14T10:22:00Z">
              <w:r w:rsidRPr="00346547">
                <w:rPr>
                  <w:b/>
                  <w:bCs/>
                  <w:sz w:val="22"/>
                  <w:szCs w:val="22"/>
                </w:rPr>
                <w:delText>Česká republika</w:delText>
              </w:r>
            </w:del>
          </w:p>
          <w:p w14:paraId="28C04E68" w14:textId="0834B01F" w:rsidR="00012D36" w:rsidRPr="00346547" w:rsidRDefault="00615769" w:rsidP="001F79B0">
            <w:pPr>
              <w:keepNext/>
              <w:rPr>
                <w:del w:id="13732" w:author="AbbVie2" w:date="2025-05-14T10:22:00Z"/>
                <w:bCs/>
                <w:sz w:val="22"/>
                <w:szCs w:val="22"/>
              </w:rPr>
            </w:pPr>
            <w:del w:id="13733" w:author="AbbVie2" w:date="2025-05-14T10:22:00Z">
              <w:r w:rsidRPr="00346547">
                <w:rPr>
                  <w:bCs/>
                  <w:sz w:val="22"/>
                  <w:szCs w:val="22"/>
                </w:rPr>
                <w:delText xml:space="preserve">AbbVie s.r.o. </w:delText>
              </w:r>
            </w:del>
          </w:p>
          <w:p w14:paraId="748CA240" w14:textId="2913E082" w:rsidR="00012D36" w:rsidRPr="00346547" w:rsidRDefault="00615769" w:rsidP="001F79B0">
            <w:pPr>
              <w:keepNext/>
              <w:rPr>
                <w:del w:id="13734" w:author="AbbVie2" w:date="2025-05-14T10:22:00Z"/>
                <w:bCs/>
                <w:sz w:val="22"/>
                <w:szCs w:val="22"/>
              </w:rPr>
            </w:pPr>
            <w:del w:id="13735" w:author="AbbVie2" w:date="2025-05-14T10:22:00Z">
              <w:r w:rsidRPr="00346547">
                <w:rPr>
                  <w:bCs/>
                  <w:sz w:val="22"/>
                  <w:szCs w:val="22"/>
                </w:rPr>
                <w:delText>Tel: +420 233 098 111</w:delText>
              </w:r>
            </w:del>
          </w:p>
        </w:tc>
        <w:tc>
          <w:tcPr>
            <w:tcW w:w="4678" w:type="dxa"/>
            <w:gridSpan w:val="2"/>
          </w:tcPr>
          <w:p w14:paraId="52397379" w14:textId="4DF16FA9" w:rsidR="00012D36" w:rsidRPr="00346547" w:rsidRDefault="00615769" w:rsidP="001F79B0">
            <w:pPr>
              <w:keepNext/>
              <w:rPr>
                <w:del w:id="13736" w:author="AbbVie2" w:date="2025-05-14T10:22:00Z"/>
                <w:b/>
                <w:bCs/>
                <w:sz w:val="22"/>
                <w:szCs w:val="22"/>
                <w:lang w:val="hu-HU"/>
              </w:rPr>
            </w:pPr>
            <w:del w:id="13737" w:author="AbbVie2" w:date="2025-05-14T10:22:00Z">
              <w:r w:rsidRPr="00346547">
                <w:rPr>
                  <w:b/>
                  <w:bCs/>
                  <w:sz w:val="22"/>
                  <w:szCs w:val="22"/>
                  <w:lang w:val="hu-HU"/>
                </w:rPr>
                <w:delText>Magyarország</w:delText>
              </w:r>
            </w:del>
          </w:p>
          <w:p w14:paraId="010FDD7A" w14:textId="64E05292" w:rsidR="00012D36" w:rsidRPr="00346547" w:rsidRDefault="00615769" w:rsidP="001F79B0">
            <w:pPr>
              <w:keepNext/>
              <w:rPr>
                <w:del w:id="13738" w:author="AbbVie2" w:date="2025-05-14T10:22:00Z"/>
                <w:bCs/>
                <w:sz w:val="22"/>
                <w:szCs w:val="22"/>
                <w:lang w:val="hu-HU"/>
              </w:rPr>
            </w:pPr>
            <w:del w:id="13739" w:author="AbbVie2" w:date="2025-05-14T10:22:00Z">
              <w:r w:rsidRPr="00346547">
                <w:rPr>
                  <w:bCs/>
                  <w:sz w:val="22"/>
                  <w:szCs w:val="22"/>
                  <w:lang w:val="hu-HU"/>
                </w:rPr>
                <w:delText>AbbVie Kft.</w:delText>
              </w:r>
            </w:del>
          </w:p>
          <w:p w14:paraId="58B02FBD" w14:textId="205417E8" w:rsidR="00012D36" w:rsidRPr="00346547" w:rsidRDefault="00615769" w:rsidP="001F79B0">
            <w:pPr>
              <w:keepNext/>
              <w:tabs>
                <w:tab w:val="left" w:pos="562"/>
                <w:tab w:val="left" w:pos="2380"/>
              </w:tabs>
              <w:rPr>
                <w:del w:id="13740" w:author="AbbVie2" w:date="2025-05-14T10:22:00Z"/>
                <w:bCs/>
                <w:sz w:val="22"/>
                <w:szCs w:val="22"/>
                <w:lang w:val="hu-HU"/>
              </w:rPr>
            </w:pPr>
            <w:del w:id="13741" w:author="AbbVie2" w:date="2025-05-14T10:22:00Z">
              <w:r w:rsidRPr="00346547">
                <w:rPr>
                  <w:bCs/>
                  <w:sz w:val="22"/>
                  <w:szCs w:val="22"/>
                  <w:lang w:val="hu-HU"/>
                </w:rPr>
                <w:delText>Tel.:+36 1 455 8600</w:delText>
              </w:r>
            </w:del>
          </w:p>
          <w:p w14:paraId="7A245C1F" w14:textId="5525F2D3" w:rsidR="00012D36" w:rsidRPr="00346547" w:rsidRDefault="00012D36" w:rsidP="001F79B0">
            <w:pPr>
              <w:keepNext/>
              <w:tabs>
                <w:tab w:val="left" w:pos="562"/>
                <w:tab w:val="left" w:pos="2380"/>
              </w:tabs>
              <w:rPr>
                <w:del w:id="13742" w:author="AbbVie2" w:date="2025-05-14T10:22:00Z"/>
                <w:bCs/>
                <w:sz w:val="22"/>
                <w:szCs w:val="22"/>
                <w:lang w:val="hu-HU"/>
              </w:rPr>
            </w:pPr>
          </w:p>
        </w:tc>
      </w:tr>
      <w:tr w:rsidR="00A7162A" w14:paraId="0E9577C7" w14:textId="406B72B8" w:rsidTr="001F79B0">
        <w:trPr>
          <w:trHeight w:val="737"/>
          <w:del w:id="13743" w:author="AbbVie2" w:date="2025-05-14T10:22:00Z"/>
        </w:trPr>
        <w:tc>
          <w:tcPr>
            <w:tcW w:w="4644" w:type="dxa"/>
            <w:gridSpan w:val="2"/>
          </w:tcPr>
          <w:p w14:paraId="6E75B6E5" w14:textId="5E0E002C" w:rsidR="00012D36" w:rsidRPr="00FF65EF" w:rsidRDefault="00615769" w:rsidP="001F79B0">
            <w:pPr>
              <w:rPr>
                <w:del w:id="13744" w:author="AbbVie2" w:date="2025-05-14T10:22:00Z"/>
                <w:b/>
                <w:bCs/>
                <w:sz w:val="22"/>
                <w:szCs w:val="22"/>
                <w:rPrChange w:id="13745" w:author="AbbVie2" w:date="2025-05-14T12:36:00Z">
                  <w:rPr>
                    <w:del w:id="13746" w:author="AbbVie2" w:date="2025-05-14T10:22:00Z"/>
                    <w:b/>
                    <w:bCs/>
                    <w:sz w:val="22"/>
                    <w:szCs w:val="22"/>
                    <w:lang w:val="en-US"/>
                  </w:rPr>
                </w:rPrChange>
              </w:rPr>
            </w:pPr>
            <w:del w:id="13747" w:author="AbbVie2" w:date="2025-05-14T10:22:00Z">
              <w:r w:rsidRPr="00FF65EF">
                <w:rPr>
                  <w:b/>
                  <w:bCs/>
                  <w:sz w:val="22"/>
                  <w:szCs w:val="22"/>
                  <w:rPrChange w:id="13748" w:author="AbbVie2" w:date="2025-05-14T12:36:00Z">
                    <w:rPr>
                      <w:b/>
                      <w:bCs/>
                      <w:sz w:val="22"/>
                      <w:szCs w:val="22"/>
                      <w:lang w:val="en-US"/>
                    </w:rPr>
                  </w:rPrChange>
                </w:rPr>
                <w:delText>Danmark</w:delText>
              </w:r>
            </w:del>
          </w:p>
          <w:p w14:paraId="34F64FB3" w14:textId="04FA6691" w:rsidR="00012D36" w:rsidRPr="00FF65EF" w:rsidRDefault="00615769" w:rsidP="001F79B0">
            <w:pPr>
              <w:rPr>
                <w:del w:id="13749" w:author="AbbVie2" w:date="2025-05-14T10:22:00Z"/>
                <w:bCs/>
                <w:sz w:val="22"/>
                <w:szCs w:val="22"/>
                <w:rPrChange w:id="13750" w:author="AbbVie2" w:date="2025-05-14T12:36:00Z">
                  <w:rPr>
                    <w:del w:id="13751" w:author="AbbVie2" w:date="2025-05-14T10:22:00Z"/>
                    <w:bCs/>
                    <w:sz w:val="22"/>
                    <w:szCs w:val="22"/>
                    <w:lang w:val="en-US"/>
                  </w:rPr>
                </w:rPrChange>
              </w:rPr>
            </w:pPr>
            <w:del w:id="13752" w:author="AbbVie2" w:date="2025-05-14T10:22:00Z">
              <w:r w:rsidRPr="00FF65EF">
                <w:rPr>
                  <w:bCs/>
                  <w:sz w:val="22"/>
                  <w:szCs w:val="22"/>
                  <w:rPrChange w:id="13753" w:author="AbbVie2" w:date="2025-05-14T12:36:00Z">
                    <w:rPr>
                      <w:bCs/>
                      <w:sz w:val="22"/>
                      <w:szCs w:val="22"/>
                      <w:lang w:val="en-US"/>
                    </w:rPr>
                  </w:rPrChange>
                </w:rPr>
                <w:delText>AbbVie A/S</w:delText>
              </w:r>
            </w:del>
          </w:p>
          <w:p w14:paraId="685C5E11" w14:textId="73497068" w:rsidR="00012D36" w:rsidRPr="00FF65EF" w:rsidRDefault="00615769" w:rsidP="001F79B0">
            <w:pPr>
              <w:rPr>
                <w:del w:id="13754" w:author="AbbVie2" w:date="2025-05-14T10:22:00Z"/>
                <w:bCs/>
                <w:sz w:val="22"/>
                <w:szCs w:val="22"/>
                <w:rPrChange w:id="13755" w:author="AbbVie2" w:date="2025-05-14T12:36:00Z">
                  <w:rPr>
                    <w:del w:id="13756" w:author="AbbVie2" w:date="2025-05-14T10:22:00Z"/>
                    <w:bCs/>
                    <w:sz w:val="22"/>
                    <w:szCs w:val="22"/>
                    <w:lang w:val="en-US"/>
                  </w:rPr>
                </w:rPrChange>
              </w:rPr>
            </w:pPr>
            <w:del w:id="13757" w:author="AbbVie2" w:date="2025-05-14T10:22:00Z">
              <w:r w:rsidRPr="00FF65EF">
                <w:rPr>
                  <w:bCs/>
                  <w:sz w:val="22"/>
                  <w:szCs w:val="22"/>
                  <w:rPrChange w:id="13758" w:author="AbbVie2" w:date="2025-05-14T12:36:00Z">
                    <w:rPr>
                      <w:bCs/>
                      <w:sz w:val="22"/>
                      <w:szCs w:val="22"/>
                      <w:lang w:val="en-US"/>
                    </w:rPr>
                  </w:rPrChange>
                </w:rPr>
                <w:delText>Tlf: +45 72 30-20-28</w:delText>
              </w:r>
            </w:del>
          </w:p>
        </w:tc>
        <w:tc>
          <w:tcPr>
            <w:tcW w:w="4678" w:type="dxa"/>
            <w:gridSpan w:val="2"/>
          </w:tcPr>
          <w:p w14:paraId="3A919C6D" w14:textId="7C0948F3" w:rsidR="00012D36" w:rsidRPr="00346547" w:rsidRDefault="00615769" w:rsidP="001F79B0">
            <w:pPr>
              <w:rPr>
                <w:del w:id="13759" w:author="AbbVie2" w:date="2025-05-14T10:22:00Z"/>
                <w:b/>
                <w:bCs/>
                <w:sz w:val="22"/>
                <w:szCs w:val="22"/>
                <w:lang w:val="mt-MT"/>
              </w:rPr>
            </w:pPr>
            <w:del w:id="13760" w:author="AbbVie2" w:date="2025-05-14T10:22:00Z">
              <w:r w:rsidRPr="00346547">
                <w:rPr>
                  <w:b/>
                  <w:bCs/>
                  <w:sz w:val="22"/>
                  <w:szCs w:val="22"/>
                  <w:lang w:val="mt-MT"/>
                </w:rPr>
                <w:delText>Malta</w:delText>
              </w:r>
            </w:del>
          </w:p>
          <w:p w14:paraId="7F2ACACD" w14:textId="4703ED39" w:rsidR="00012D36" w:rsidRPr="00346547" w:rsidRDefault="00615769" w:rsidP="001F79B0">
            <w:pPr>
              <w:rPr>
                <w:del w:id="13761" w:author="AbbVie2" w:date="2025-05-14T10:22:00Z"/>
                <w:bCs/>
                <w:sz w:val="22"/>
                <w:szCs w:val="22"/>
              </w:rPr>
            </w:pPr>
            <w:del w:id="13762" w:author="AbbVie2" w:date="2025-05-14T10:22:00Z">
              <w:r w:rsidRPr="00346547">
                <w:rPr>
                  <w:bCs/>
                  <w:sz w:val="22"/>
                  <w:szCs w:val="22"/>
                </w:rPr>
                <w:delText xml:space="preserve">V.J.Salomone Pharma Limited </w:delText>
              </w:r>
            </w:del>
          </w:p>
          <w:p w14:paraId="27B30612" w14:textId="5B4257D9" w:rsidR="00012D36" w:rsidRPr="00346547" w:rsidRDefault="00615769" w:rsidP="001F79B0">
            <w:pPr>
              <w:rPr>
                <w:del w:id="13763" w:author="AbbVie2" w:date="2025-05-14T10:22:00Z"/>
                <w:bCs/>
                <w:sz w:val="22"/>
                <w:szCs w:val="22"/>
              </w:rPr>
            </w:pPr>
            <w:del w:id="13764" w:author="AbbVie2" w:date="2025-05-14T10:22:00Z">
              <w:r w:rsidRPr="00346547">
                <w:rPr>
                  <w:bCs/>
                  <w:sz w:val="22"/>
                  <w:szCs w:val="22"/>
                </w:rPr>
                <w:delText xml:space="preserve">Tel: </w:delText>
              </w:r>
              <w:r w:rsidRPr="00FF65EF">
                <w:rPr>
                  <w:bCs/>
                  <w:sz w:val="22"/>
                  <w:szCs w:val="22"/>
                  <w:rPrChange w:id="13765" w:author="AbbVie2" w:date="2025-05-14T12:36:00Z">
                    <w:rPr>
                      <w:bCs/>
                      <w:sz w:val="22"/>
                      <w:szCs w:val="22"/>
                      <w:lang w:val="en-GB"/>
                    </w:rPr>
                  </w:rPrChange>
                </w:rPr>
                <w:delText>+356 21220174</w:delText>
              </w:r>
            </w:del>
          </w:p>
          <w:p w14:paraId="19FCB416" w14:textId="1B30F674" w:rsidR="00012D36" w:rsidRPr="00346547" w:rsidRDefault="00012D36" w:rsidP="001F79B0">
            <w:pPr>
              <w:rPr>
                <w:del w:id="13766" w:author="AbbVie2" w:date="2025-05-14T10:22:00Z"/>
                <w:bCs/>
                <w:sz w:val="22"/>
                <w:szCs w:val="22"/>
              </w:rPr>
            </w:pPr>
          </w:p>
        </w:tc>
      </w:tr>
      <w:tr w:rsidR="00A7162A" w14:paraId="1B3649D9" w14:textId="0209ECB2" w:rsidTr="001F79B0">
        <w:trPr>
          <w:del w:id="13767" w:author="AbbVie2" w:date="2025-05-14T10:22:00Z"/>
        </w:trPr>
        <w:tc>
          <w:tcPr>
            <w:tcW w:w="4644" w:type="dxa"/>
            <w:gridSpan w:val="2"/>
          </w:tcPr>
          <w:p w14:paraId="1720C139" w14:textId="6C23033D" w:rsidR="00012D36" w:rsidRPr="00346547" w:rsidRDefault="00615769" w:rsidP="001F79B0">
            <w:pPr>
              <w:keepNext/>
              <w:rPr>
                <w:del w:id="13768" w:author="AbbVie2" w:date="2025-05-14T10:22:00Z"/>
                <w:b/>
                <w:bCs/>
                <w:sz w:val="22"/>
                <w:szCs w:val="22"/>
                <w:lang w:val="de-DE"/>
              </w:rPr>
            </w:pPr>
            <w:del w:id="13769" w:author="AbbVie2" w:date="2025-05-14T10:22:00Z">
              <w:r w:rsidRPr="00346547">
                <w:rPr>
                  <w:b/>
                  <w:bCs/>
                  <w:sz w:val="22"/>
                  <w:szCs w:val="22"/>
                  <w:lang w:val="de-DE"/>
                </w:rPr>
                <w:delText>Deutschland</w:delText>
              </w:r>
            </w:del>
          </w:p>
          <w:p w14:paraId="5EA15676" w14:textId="26A02D2A" w:rsidR="00012D36" w:rsidRPr="00346547" w:rsidRDefault="00615769" w:rsidP="001F79B0">
            <w:pPr>
              <w:keepNext/>
              <w:rPr>
                <w:del w:id="13770" w:author="AbbVie2" w:date="2025-05-14T10:22:00Z"/>
                <w:bCs/>
                <w:sz w:val="22"/>
                <w:szCs w:val="22"/>
                <w:lang w:val="de-DE"/>
              </w:rPr>
            </w:pPr>
            <w:del w:id="13771" w:author="AbbVie2" w:date="2025-05-14T10:22:00Z">
              <w:r w:rsidRPr="00346547">
                <w:rPr>
                  <w:sz w:val="22"/>
                  <w:szCs w:val="22"/>
                  <w:lang w:val="de-DE"/>
                </w:rPr>
                <w:delText xml:space="preserve">AbbVie Deutschland </w:delText>
              </w:r>
              <w:r w:rsidRPr="00346547">
                <w:rPr>
                  <w:bCs/>
                  <w:sz w:val="22"/>
                  <w:szCs w:val="22"/>
                  <w:lang w:val="de-DE"/>
                </w:rPr>
                <w:delText>GmbH &amp; Co. KG</w:delText>
              </w:r>
            </w:del>
          </w:p>
          <w:p w14:paraId="6E7ED3E4" w14:textId="6D9F77DC" w:rsidR="00012D36" w:rsidRPr="00346547" w:rsidRDefault="00615769" w:rsidP="001F79B0">
            <w:pPr>
              <w:keepNext/>
              <w:rPr>
                <w:del w:id="13772" w:author="AbbVie2" w:date="2025-05-14T10:22:00Z"/>
                <w:sz w:val="22"/>
                <w:szCs w:val="22"/>
                <w:lang w:val="de-DE"/>
              </w:rPr>
            </w:pPr>
            <w:del w:id="13773" w:author="AbbVie2" w:date="2025-05-14T10:22:00Z">
              <w:r w:rsidRPr="00346547">
                <w:rPr>
                  <w:sz w:val="22"/>
                  <w:szCs w:val="22"/>
                  <w:lang w:val="de-DE"/>
                </w:rPr>
                <w:delText>Tel: 00800 222843 33 (gebührenfrei)</w:delText>
              </w:r>
            </w:del>
          </w:p>
          <w:p w14:paraId="1293C8AB" w14:textId="60B30641" w:rsidR="00012D36" w:rsidRPr="00346547" w:rsidRDefault="00615769" w:rsidP="001F79B0">
            <w:pPr>
              <w:keepNext/>
              <w:rPr>
                <w:del w:id="13774" w:author="AbbVie2" w:date="2025-05-14T10:22:00Z"/>
                <w:sz w:val="22"/>
                <w:szCs w:val="22"/>
                <w:lang w:val="de-DE"/>
              </w:rPr>
            </w:pPr>
            <w:del w:id="13775" w:author="AbbVie2" w:date="2025-05-14T10:22:00Z">
              <w:r w:rsidRPr="00346547">
                <w:rPr>
                  <w:sz w:val="22"/>
                  <w:szCs w:val="22"/>
                  <w:lang w:val="de-DE"/>
                </w:rPr>
                <w:delText>Tel: +49 (0) 611 / 1720-0</w:delText>
              </w:r>
            </w:del>
          </w:p>
          <w:p w14:paraId="4A85FEE5" w14:textId="4F03D184" w:rsidR="00012D36" w:rsidRPr="00346547" w:rsidRDefault="00012D36" w:rsidP="001F79B0">
            <w:pPr>
              <w:keepNext/>
              <w:rPr>
                <w:del w:id="13776" w:author="AbbVie2" w:date="2025-05-14T10:22:00Z"/>
                <w:sz w:val="22"/>
                <w:szCs w:val="22"/>
                <w:lang w:val="de-DE"/>
              </w:rPr>
            </w:pPr>
          </w:p>
        </w:tc>
        <w:tc>
          <w:tcPr>
            <w:tcW w:w="4678" w:type="dxa"/>
            <w:gridSpan w:val="2"/>
          </w:tcPr>
          <w:p w14:paraId="11906891" w14:textId="1865D15A" w:rsidR="00012D36" w:rsidRPr="00346547" w:rsidRDefault="00615769" w:rsidP="001F79B0">
            <w:pPr>
              <w:keepNext/>
              <w:rPr>
                <w:del w:id="13777" w:author="AbbVie2" w:date="2025-05-14T10:22:00Z"/>
                <w:b/>
                <w:bCs/>
                <w:sz w:val="22"/>
                <w:szCs w:val="22"/>
                <w:lang w:val="nl-NL"/>
              </w:rPr>
            </w:pPr>
            <w:del w:id="13778" w:author="AbbVie2" w:date="2025-05-14T10:22:00Z">
              <w:r w:rsidRPr="00346547">
                <w:rPr>
                  <w:b/>
                  <w:bCs/>
                  <w:sz w:val="22"/>
                  <w:szCs w:val="22"/>
                  <w:lang w:val="nl-NL"/>
                </w:rPr>
                <w:delText>Nederland</w:delText>
              </w:r>
            </w:del>
          </w:p>
          <w:p w14:paraId="6C084031" w14:textId="1A81A0D0" w:rsidR="00012D36" w:rsidRPr="00346547" w:rsidRDefault="00615769" w:rsidP="001F79B0">
            <w:pPr>
              <w:keepNext/>
              <w:rPr>
                <w:del w:id="13779" w:author="AbbVie2" w:date="2025-05-14T10:22:00Z"/>
                <w:bCs/>
                <w:sz w:val="22"/>
                <w:szCs w:val="22"/>
                <w:lang w:val="de-DE"/>
              </w:rPr>
            </w:pPr>
            <w:del w:id="13780" w:author="AbbVie2" w:date="2025-05-14T10:22:00Z">
              <w:r w:rsidRPr="00346547">
                <w:rPr>
                  <w:bCs/>
                  <w:sz w:val="22"/>
                  <w:szCs w:val="22"/>
                  <w:lang w:val="de-DE"/>
                </w:rPr>
                <w:delText>AbbVie B.V.</w:delText>
              </w:r>
            </w:del>
          </w:p>
          <w:p w14:paraId="13937683" w14:textId="60F06971" w:rsidR="00012D36" w:rsidRPr="00346547" w:rsidRDefault="00615769" w:rsidP="001F79B0">
            <w:pPr>
              <w:keepNext/>
              <w:rPr>
                <w:del w:id="13781" w:author="AbbVie2" w:date="2025-05-14T10:22:00Z"/>
                <w:bCs/>
                <w:sz w:val="22"/>
                <w:szCs w:val="22"/>
                <w:lang w:val="de-DE"/>
              </w:rPr>
            </w:pPr>
            <w:del w:id="13782" w:author="AbbVie2" w:date="2025-05-14T10:22:00Z">
              <w:r w:rsidRPr="00346547">
                <w:rPr>
                  <w:bCs/>
                  <w:sz w:val="22"/>
                  <w:szCs w:val="22"/>
                  <w:lang w:val="de-DE"/>
                </w:rPr>
                <w:delText>Tel: +31 (0)88 322 2843</w:delText>
              </w:r>
            </w:del>
          </w:p>
        </w:tc>
      </w:tr>
      <w:tr w:rsidR="00A7162A" w14:paraId="04711CA9" w14:textId="0CA24081" w:rsidTr="001F79B0">
        <w:trPr>
          <w:del w:id="13783" w:author="AbbVie2" w:date="2025-05-14T10:22:00Z"/>
        </w:trPr>
        <w:tc>
          <w:tcPr>
            <w:tcW w:w="4644" w:type="dxa"/>
            <w:gridSpan w:val="2"/>
          </w:tcPr>
          <w:p w14:paraId="0CBBBD89" w14:textId="50F70AA4" w:rsidR="00012D36" w:rsidRPr="00346547" w:rsidRDefault="00615769" w:rsidP="001F79B0">
            <w:pPr>
              <w:rPr>
                <w:del w:id="13784" w:author="AbbVie2" w:date="2025-05-14T10:22:00Z"/>
                <w:b/>
                <w:bCs/>
                <w:sz w:val="22"/>
                <w:szCs w:val="22"/>
                <w:lang w:val="et-EE"/>
              </w:rPr>
            </w:pPr>
            <w:del w:id="13785" w:author="AbbVie2" w:date="2025-05-14T10:22:00Z">
              <w:r w:rsidRPr="00346547">
                <w:rPr>
                  <w:b/>
                  <w:bCs/>
                  <w:sz w:val="22"/>
                  <w:szCs w:val="22"/>
                  <w:lang w:val="et-EE"/>
                </w:rPr>
                <w:delText>Eesti</w:delText>
              </w:r>
            </w:del>
          </w:p>
          <w:p w14:paraId="1962F0FC" w14:textId="7AC0AF5C" w:rsidR="00012D36" w:rsidRPr="00346547" w:rsidRDefault="00615769" w:rsidP="001F79B0">
            <w:pPr>
              <w:rPr>
                <w:del w:id="13786" w:author="AbbVie2" w:date="2025-05-14T10:22:00Z"/>
                <w:bCs/>
                <w:sz w:val="22"/>
                <w:szCs w:val="22"/>
                <w:lang w:val="et-EE"/>
              </w:rPr>
            </w:pPr>
            <w:del w:id="13787" w:author="AbbVie2" w:date="2025-05-14T10:22:00Z">
              <w:r w:rsidRPr="00346547">
                <w:rPr>
                  <w:bCs/>
                  <w:sz w:val="22"/>
                  <w:szCs w:val="22"/>
                  <w:lang w:val="et-EE"/>
                </w:rPr>
                <w:delText xml:space="preserve">AbbVie </w:delText>
              </w:r>
              <w:r w:rsidRPr="00346547">
                <w:rPr>
                  <w:bCs/>
                  <w:sz w:val="22"/>
                  <w:szCs w:val="22"/>
                </w:rPr>
                <w:delText>OÜ</w:delText>
              </w:r>
              <w:r w:rsidRPr="00346547">
                <w:rPr>
                  <w:bCs/>
                  <w:sz w:val="22"/>
                  <w:szCs w:val="22"/>
                  <w:lang w:val="et-EE"/>
                </w:rPr>
                <w:delText xml:space="preserve"> </w:delText>
              </w:r>
            </w:del>
          </w:p>
          <w:p w14:paraId="03C3C094" w14:textId="22600A38" w:rsidR="00012D36" w:rsidRPr="00346547" w:rsidRDefault="00615769" w:rsidP="001F79B0">
            <w:pPr>
              <w:rPr>
                <w:del w:id="13788" w:author="AbbVie2" w:date="2025-05-14T10:22:00Z"/>
                <w:bCs/>
                <w:sz w:val="22"/>
                <w:szCs w:val="22"/>
                <w:lang w:val="lv-LV"/>
              </w:rPr>
            </w:pPr>
            <w:del w:id="13789" w:author="AbbVie2" w:date="2025-05-14T10:22:00Z">
              <w:r w:rsidRPr="00346547">
                <w:rPr>
                  <w:bCs/>
                  <w:sz w:val="22"/>
                  <w:szCs w:val="22"/>
                  <w:lang w:val="et-EE"/>
                </w:rPr>
                <w:delText>Tel: +372 623 1011</w:delText>
              </w:r>
            </w:del>
          </w:p>
        </w:tc>
        <w:tc>
          <w:tcPr>
            <w:tcW w:w="4678" w:type="dxa"/>
            <w:gridSpan w:val="2"/>
          </w:tcPr>
          <w:p w14:paraId="07BF96C1" w14:textId="721CF003" w:rsidR="00012D36" w:rsidRPr="00BE62F9" w:rsidRDefault="00615769" w:rsidP="001F79B0">
            <w:pPr>
              <w:rPr>
                <w:del w:id="13790" w:author="AbbVie2" w:date="2025-05-14T10:22:00Z"/>
                <w:b/>
                <w:bCs/>
                <w:sz w:val="22"/>
                <w:szCs w:val="22"/>
                <w:rPrChange w:id="13791" w:author="AbbVie2" w:date="2025-09-08T09:53:00Z">
                  <w:rPr>
                    <w:del w:id="13792" w:author="AbbVie2" w:date="2025-05-14T10:22:00Z"/>
                    <w:b/>
                    <w:bCs/>
                    <w:sz w:val="22"/>
                    <w:szCs w:val="22"/>
                    <w:lang w:val="en-US"/>
                  </w:rPr>
                </w:rPrChange>
              </w:rPr>
            </w:pPr>
            <w:del w:id="13793" w:author="AbbVie2" w:date="2025-05-14T10:22:00Z">
              <w:r w:rsidRPr="00BE62F9">
                <w:rPr>
                  <w:b/>
                  <w:bCs/>
                  <w:sz w:val="22"/>
                  <w:szCs w:val="22"/>
                  <w:rPrChange w:id="13794" w:author="AbbVie2" w:date="2025-09-08T09:53:00Z">
                    <w:rPr>
                      <w:b/>
                      <w:bCs/>
                      <w:sz w:val="22"/>
                      <w:szCs w:val="22"/>
                      <w:lang w:val="en-US"/>
                    </w:rPr>
                  </w:rPrChange>
                </w:rPr>
                <w:delText>Norge</w:delText>
              </w:r>
            </w:del>
          </w:p>
          <w:p w14:paraId="5C072B4D" w14:textId="73ECA64E" w:rsidR="00012D36" w:rsidRPr="00346547" w:rsidRDefault="00615769" w:rsidP="001F79B0">
            <w:pPr>
              <w:rPr>
                <w:del w:id="13795" w:author="AbbVie2" w:date="2025-05-14T10:22:00Z"/>
                <w:bCs/>
                <w:sz w:val="22"/>
                <w:szCs w:val="22"/>
              </w:rPr>
            </w:pPr>
            <w:del w:id="13796" w:author="AbbVie2" w:date="2025-05-14T10:22:00Z">
              <w:r w:rsidRPr="00346547">
                <w:rPr>
                  <w:bCs/>
                  <w:sz w:val="22"/>
                  <w:szCs w:val="22"/>
                </w:rPr>
                <w:delText>AbbVie AS</w:delText>
              </w:r>
            </w:del>
          </w:p>
          <w:p w14:paraId="1A1503DD" w14:textId="2E9F139C" w:rsidR="00012D36" w:rsidRPr="00346547" w:rsidRDefault="00615769" w:rsidP="001F79B0">
            <w:pPr>
              <w:rPr>
                <w:del w:id="13797" w:author="AbbVie2" w:date="2025-05-14T10:22:00Z"/>
                <w:bCs/>
                <w:sz w:val="22"/>
                <w:szCs w:val="22"/>
              </w:rPr>
            </w:pPr>
            <w:del w:id="13798" w:author="AbbVie2" w:date="2025-05-14T10:22:00Z">
              <w:r w:rsidRPr="00346547">
                <w:rPr>
                  <w:bCs/>
                  <w:sz w:val="22"/>
                  <w:szCs w:val="22"/>
                </w:rPr>
                <w:delText>Tlf: +47 67 81 80 00</w:delText>
              </w:r>
            </w:del>
          </w:p>
          <w:p w14:paraId="3341F56D" w14:textId="27C00590" w:rsidR="00012D36" w:rsidRPr="00346547" w:rsidRDefault="00012D36" w:rsidP="001F79B0">
            <w:pPr>
              <w:rPr>
                <w:del w:id="13799" w:author="AbbVie2" w:date="2025-05-14T10:22:00Z"/>
                <w:bCs/>
                <w:sz w:val="22"/>
                <w:szCs w:val="22"/>
              </w:rPr>
            </w:pPr>
          </w:p>
        </w:tc>
      </w:tr>
      <w:tr w:rsidR="00A7162A" w14:paraId="7ABEDDE2" w14:textId="45F2AC43" w:rsidTr="001F79B0">
        <w:trPr>
          <w:trHeight w:val="794"/>
          <w:del w:id="13800" w:author="AbbVie2" w:date="2025-05-14T10:22:00Z"/>
        </w:trPr>
        <w:tc>
          <w:tcPr>
            <w:tcW w:w="4644" w:type="dxa"/>
            <w:gridSpan w:val="2"/>
          </w:tcPr>
          <w:p w14:paraId="02652C81" w14:textId="2BE45F87" w:rsidR="00012D36" w:rsidRPr="00346547" w:rsidRDefault="00615769" w:rsidP="001F79B0">
            <w:pPr>
              <w:rPr>
                <w:del w:id="13801" w:author="AbbVie2" w:date="2025-05-14T10:22:00Z"/>
                <w:b/>
                <w:bCs/>
                <w:sz w:val="22"/>
                <w:szCs w:val="22"/>
                <w:lang w:val="el-GR"/>
              </w:rPr>
            </w:pPr>
            <w:del w:id="13802" w:author="AbbVie2" w:date="2025-05-14T10:22:00Z">
              <w:r w:rsidRPr="00346547">
                <w:rPr>
                  <w:b/>
                  <w:bCs/>
                  <w:sz w:val="22"/>
                  <w:szCs w:val="22"/>
                  <w:lang w:val="el-GR"/>
                </w:rPr>
                <w:delText>Ελλάδα</w:delText>
              </w:r>
            </w:del>
          </w:p>
          <w:p w14:paraId="7E6911AC" w14:textId="20A3C481" w:rsidR="00012D36" w:rsidRPr="00346547" w:rsidRDefault="00615769" w:rsidP="001F79B0">
            <w:pPr>
              <w:rPr>
                <w:del w:id="13803" w:author="AbbVie2" w:date="2025-05-14T10:22:00Z"/>
                <w:bCs/>
                <w:sz w:val="22"/>
                <w:szCs w:val="22"/>
                <w:lang w:val="el-GR"/>
              </w:rPr>
            </w:pPr>
            <w:del w:id="13804" w:author="AbbVie2" w:date="2025-05-14T10:22:00Z">
              <w:r w:rsidRPr="00346547">
                <w:rPr>
                  <w:bCs/>
                  <w:sz w:val="22"/>
                  <w:szCs w:val="22"/>
                  <w:lang w:val="et-EE"/>
                </w:rPr>
                <w:delText xml:space="preserve">AbbVie </w:delText>
              </w:r>
              <w:r w:rsidRPr="00346547">
                <w:rPr>
                  <w:sz w:val="22"/>
                  <w:szCs w:val="22"/>
                  <w:lang w:val="el-GR"/>
                </w:rPr>
                <w:delText>ΦΑΡΜΑΚΕΥΤΙΚΗ Α.Ε.</w:delText>
              </w:r>
            </w:del>
          </w:p>
          <w:p w14:paraId="1FD7F843" w14:textId="2CC0DC84" w:rsidR="00012D36" w:rsidRPr="00346547" w:rsidRDefault="00615769" w:rsidP="001F79B0">
            <w:pPr>
              <w:rPr>
                <w:del w:id="13805" w:author="AbbVie2" w:date="2025-05-14T10:22:00Z"/>
                <w:bCs/>
                <w:sz w:val="22"/>
                <w:szCs w:val="22"/>
              </w:rPr>
            </w:pPr>
            <w:del w:id="13806" w:author="AbbVie2" w:date="2025-05-14T10:22:00Z">
              <w:r w:rsidRPr="00346547">
                <w:rPr>
                  <w:bCs/>
                  <w:sz w:val="22"/>
                  <w:szCs w:val="22"/>
                  <w:lang w:val="el-GR"/>
                </w:rPr>
                <w:delText xml:space="preserve">Τηλ: +30 </w:delText>
              </w:r>
              <w:r w:rsidRPr="00346547">
                <w:rPr>
                  <w:bCs/>
                  <w:sz w:val="22"/>
                  <w:szCs w:val="22"/>
                </w:rPr>
                <w:delText>214 4165 555</w:delText>
              </w:r>
            </w:del>
          </w:p>
        </w:tc>
        <w:tc>
          <w:tcPr>
            <w:tcW w:w="4678" w:type="dxa"/>
            <w:gridSpan w:val="2"/>
          </w:tcPr>
          <w:p w14:paraId="3B5BE7CD" w14:textId="77517B97" w:rsidR="00012D36" w:rsidRPr="00346547" w:rsidRDefault="00615769" w:rsidP="001F79B0">
            <w:pPr>
              <w:rPr>
                <w:del w:id="13807" w:author="AbbVie2" w:date="2025-05-14T10:22:00Z"/>
                <w:b/>
                <w:bCs/>
                <w:sz w:val="22"/>
                <w:szCs w:val="22"/>
                <w:lang w:val="de-DE"/>
              </w:rPr>
            </w:pPr>
            <w:del w:id="13808" w:author="AbbVie2" w:date="2025-05-14T10:22:00Z">
              <w:r w:rsidRPr="00346547">
                <w:rPr>
                  <w:b/>
                  <w:bCs/>
                  <w:sz w:val="22"/>
                  <w:szCs w:val="22"/>
                  <w:lang w:val="de-DE"/>
                </w:rPr>
                <w:delText>Österreich</w:delText>
              </w:r>
            </w:del>
          </w:p>
          <w:p w14:paraId="4FD8658F" w14:textId="5898D045" w:rsidR="00012D36" w:rsidRPr="00346547" w:rsidRDefault="00615769" w:rsidP="001F79B0">
            <w:pPr>
              <w:rPr>
                <w:del w:id="13809" w:author="AbbVie2" w:date="2025-05-14T10:22:00Z"/>
                <w:bCs/>
                <w:sz w:val="22"/>
                <w:szCs w:val="22"/>
                <w:lang w:val="de-DE"/>
              </w:rPr>
            </w:pPr>
            <w:del w:id="13810" w:author="AbbVie2" w:date="2025-05-14T10:22:00Z">
              <w:r w:rsidRPr="00346547">
                <w:rPr>
                  <w:bCs/>
                  <w:sz w:val="22"/>
                  <w:szCs w:val="22"/>
                  <w:lang w:val="de-DE"/>
                </w:rPr>
                <w:delText xml:space="preserve">AbbVie GmbH </w:delText>
              </w:r>
            </w:del>
          </w:p>
          <w:p w14:paraId="3BBD00BB" w14:textId="76D6E3F9" w:rsidR="00012D36" w:rsidRPr="00346547" w:rsidRDefault="00615769" w:rsidP="001F79B0">
            <w:pPr>
              <w:rPr>
                <w:del w:id="13811" w:author="AbbVie2" w:date="2025-05-14T10:22:00Z"/>
                <w:bCs/>
                <w:sz w:val="22"/>
                <w:szCs w:val="22"/>
                <w:lang w:val="de-DE"/>
              </w:rPr>
            </w:pPr>
            <w:del w:id="13812" w:author="AbbVie2" w:date="2025-05-14T10:22:00Z">
              <w:r w:rsidRPr="00346547">
                <w:rPr>
                  <w:bCs/>
                  <w:sz w:val="22"/>
                  <w:szCs w:val="22"/>
                  <w:lang w:val="de-DE"/>
                </w:rPr>
                <w:delText>Tel: +43 1 20589-0</w:delText>
              </w:r>
            </w:del>
          </w:p>
          <w:p w14:paraId="5CD1E158" w14:textId="2CF4C9E9" w:rsidR="00012D36" w:rsidRPr="00346547" w:rsidRDefault="00012D36" w:rsidP="001F79B0">
            <w:pPr>
              <w:rPr>
                <w:del w:id="13813" w:author="AbbVie2" w:date="2025-05-14T10:22:00Z"/>
                <w:bCs/>
                <w:sz w:val="22"/>
                <w:szCs w:val="22"/>
                <w:lang w:val="de-DE"/>
              </w:rPr>
            </w:pPr>
          </w:p>
        </w:tc>
      </w:tr>
      <w:tr w:rsidR="00A7162A" w14:paraId="0CAC4E86" w14:textId="43CE9EAF" w:rsidTr="001F79B0">
        <w:trPr>
          <w:gridBefore w:val="1"/>
          <w:wBefore w:w="34" w:type="dxa"/>
          <w:del w:id="13814" w:author="AbbVie2" w:date="2025-05-14T10:22:00Z"/>
        </w:trPr>
        <w:tc>
          <w:tcPr>
            <w:tcW w:w="4644" w:type="dxa"/>
            <w:gridSpan w:val="2"/>
          </w:tcPr>
          <w:p w14:paraId="07531D0B" w14:textId="4073F9E0" w:rsidR="00012D36" w:rsidRPr="00346547" w:rsidRDefault="00615769" w:rsidP="001F79B0">
            <w:pPr>
              <w:rPr>
                <w:del w:id="13815" w:author="AbbVie2" w:date="2025-05-14T10:22:00Z"/>
                <w:b/>
                <w:bCs/>
                <w:sz w:val="22"/>
                <w:szCs w:val="22"/>
                <w:lang w:val="es-ES"/>
              </w:rPr>
            </w:pPr>
            <w:del w:id="13816" w:author="AbbVie2" w:date="2025-05-14T10:22:00Z">
              <w:r w:rsidRPr="00346547">
                <w:rPr>
                  <w:b/>
                  <w:bCs/>
                  <w:sz w:val="22"/>
                  <w:szCs w:val="22"/>
                  <w:lang w:val="es-ES"/>
                </w:rPr>
                <w:delText>España</w:delText>
              </w:r>
            </w:del>
          </w:p>
          <w:p w14:paraId="1A8DDEE1" w14:textId="43268891" w:rsidR="00012D36" w:rsidRPr="00346547" w:rsidRDefault="00615769" w:rsidP="001F79B0">
            <w:pPr>
              <w:rPr>
                <w:del w:id="13817" w:author="AbbVie2" w:date="2025-05-14T10:22:00Z"/>
                <w:sz w:val="22"/>
                <w:szCs w:val="22"/>
                <w:lang w:val="es-ES"/>
              </w:rPr>
            </w:pPr>
            <w:del w:id="13818" w:author="AbbVie2" w:date="2025-05-14T10:22:00Z">
              <w:r w:rsidRPr="00346547">
                <w:rPr>
                  <w:sz w:val="22"/>
                  <w:szCs w:val="22"/>
                  <w:lang w:val="es-ES"/>
                </w:rPr>
                <w:delText xml:space="preserve">AbbVie </w:delText>
              </w:r>
              <w:r w:rsidRPr="00346547">
                <w:rPr>
                  <w:bCs/>
                  <w:sz w:val="22"/>
                  <w:szCs w:val="22"/>
                  <w:lang w:val="es-ES"/>
                </w:rPr>
                <w:delText>Spain</w:delText>
              </w:r>
              <w:r w:rsidRPr="00346547">
                <w:rPr>
                  <w:sz w:val="22"/>
                  <w:szCs w:val="22"/>
                  <w:lang w:val="es-ES"/>
                </w:rPr>
                <w:delText>, S.L.U</w:delText>
              </w:r>
              <w:r w:rsidRPr="00346547">
                <w:rPr>
                  <w:bCs/>
                  <w:sz w:val="22"/>
                  <w:szCs w:val="22"/>
                  <w:lang w:val="es-ES"/>
                </w:rPr>
                <w:delText>.</w:delText>
              </w:r>
            </w:del>
          </w:p>
          <w:p w14:paraId="4FAC13D6" w14:textId="3DC6D4D0" w:rsidR="00012D36" w:rsidRPr="00346547" w:rsidRDefault="00615769" w:rsidP="001F79B0">
            <w:pPr>
              <w:rPr>
                <w:del w:id="13819" w:author="AbbVie2" w:date="2025-05-14T10:22:00Z"/>
                <w:bCs/>
                <w:sz w:val="22"/>
                <w:szCs w:val="22"/>
                <w:lang w:val="pl-PL"/>
              </w:rPr>
            </w:pPr>
            <w:del w:id="13820" w:author="AbbVie2" w:date="2025-05-14T10:22:00Z">
              <w:r w:rsidRPr="00346547">
                <w:rPr>
                  <w:bCs/>
                  <w:sz w:val="22"/>
                  <w:szCs w:val="22"/>
                </w:rPr>
                <w:delText>Tel: +34 91 384 09 10</w:delText>
              </w:r>
            </w:del>
          </w:p>
        </w:tc>
        <w:tc>
          <w:tcPr>
            <w:tcW w:w="4678" w:type="dxa"/>
          </w:tcPr>
          <w:p w14:paraId="1781D821" w14:textId="7A9B0489" w:rsidR="00012D36" w:rsidRPr="00346547" w:rsidRDefault="00615769" w:rsidP="001F79B0">
            <w:pPr>
              <w:rPr>
                <w:del w:id="13821" w:author="AbbVie2" w:date="2025-05-14T10:22:00Z"/>
                <w:b/>
                <w:bCs/>
                <w:iCs/>
                <w:sz w:val="22"/>
                <w:szCs w:val="22"/>
                <w:lang w:val="pl-PL"/>
              </w:rPr>
            </w:pPr>
            <w:del w:id="13822" w:author="AbbVie2" w:date="2025-05-14T10:22:00Z">
              <w:r w:rsidRPr="00346547">
                <w:rPr>
                  <w:b/>
                  <w:bCs/>
                  <w:iCs/>
                  <w:sz w:val="22"/>
                  <w:szCs w:val="22"/>
                  <w:lang w:val="pl-PL"/>
                </w:rPr>
                <w:delText>Polska</w:delText>
              </w:r>
            </w:del>
          </w:p>
          <w:p w14:paraId="6B4D263A" w14:textId="2059A51F" w:rsidR="00012D36" w:rsidRPr="00346547" w:rsidRDefault="00615769" w:rsidP="001F79B0">
            <w:pPr>
              <w:rPr>
                <w:del w:id="13823" w:author="AbbVie2" w:date="2025-05-14T10:22:00Z"/>
                <w:bCs/>
                <w:sz w:val="22"/>
                <w:szCs w:val="22"/>
                <w:lang w:val="pl-PL"/>
              </w:rPr>
            </w:pPr>
            <w:del w:id="13824" w:author="AbbVie2" w:date="2025-05-14T10:22:00Z">
              <w:r w:rsidRPr="00346547">
                <w:rPr>
                  <w:bCs/>
                  <w:sz w:val="22"/>
                  <w:szCs w:val="22"/>
                  <w:lang w:val="pl-PL"/>
                </w:rPr>
                <w:delText>AbbVie Sp. z o.o.</w:delText>
              </w:r>
            </w:del>
          </w:p>
          <w:p w14:paraId="09C080C6" w14:textId="2F06F55D" w:rsidR="00012D36" w:rsidRPr="00346547" w:rsidRDefault="00615769" w:rsidP="001F79B0">
            <w:pPr>
              <w:pStyle w:val="Footer"/>
              <w:rPr>
                <w:del w:id="13825" w:author="AbbVie2" w:date="2025-05-14T10:22:00Z"/>
                <w:bCs/>
                <w:sz w:val="22"/>
                <w:szCs w:val="22"/>
                <w:lang w:val="pl-PL"/>
              </w:rPr>
            </w:pPr>
            <w:del w:id="13826" w:author="AbbVie2" w:date="2025-05-14T10:22:00Z">
              <w:r w:rsidRPr="00346547">
                <w:rPr>
                  <w:sz w:val="22"/>
                  <w:szCs w:val="22"/>
                  <w:lang w:val="es-ES"/>
                </w:rPr>
                <w:delText xml:space="preserve">Tel.: +48 22 </w:delText>
              </w:r>
              <w:r w:rsidRPr="00346547">
                <w:rPr>
                  <w:bCs/>
                  <w:sz w:val="22"/>
                  <w:szCs w:val="22"/>
                  <w:lang w:val="pl-PL"/>
                </w:rPr>
                <w:delText xml:space="preserve">372 78 00 </w:delText>
              </w:r>
            </w:del>
          </w:p>
          <w:p w14:paraId="3918EF97" w14:textId="38FFAE4D" w:rsidR="00012D36" w:rsidRPr="00346547" w:rsidRDefault="00012D36" w:rsidP="001F79B0">
            <w:pPr>
              <w:pStyle w:val="Footer"/>
              <w:rPr>
                <w:del w:id="13827" w:author="AbbVie2" w:date="2025-05-14T10:22:00Z"/>
                <w:bCs/>
                <w:sz w:val="22"/>
                <w:szCs w:val="22"/>
                <w:lang w:val="pl-PL"/>
              </w:rPr>
            </w:pPr>
          </w:p>
        </w:tc>
      </w:tr>
      <w:tr w:rsidR="00A7162A" w14:paraId="64D5B125" w14:textId="3D059251" w:rsidTr="001F79B0">
        <w:trPr>
          <w:trHeight w:val="734"/>
          <w:del w:id="13828" w:author="AbbVie2" w:date="2025-05-14T10:22:00Z"/>
        </w:trPr>
        <w:tc>
          <w:tcPr>
            <w:tcW w:w="4678" w:type="dxa"/>
            <w:gridSpan w:val="3"/>
          </w:tcPr>
          <w:p w14:paraId="494D15EA" w14:textId="6CAAC414" w:rsidR="00012D36" w:rsidRPr="00346547" w:rsidRDefault="00615769" w:rsidP="001F79B0">
            <w:pPr>
              <w:ind w:firstLine="34"/>
              <w:rPr>
                <w:del w:id="13829" w:author="AbbVie2" w:date="2025-05-14T10:22:00Z"/>
                <w:b/>
                <w:bCs/>
                <w:sz w:val="22"/>
                <w:szCs w:val="22"/>
                <w:lang w:val="fr-FR"/>
              </w:rPr>
            </w:pPr>
            <w:del w:id="13830" w:author="AbbVie2" w:date="2025-05-14T10:22:00Z">
              <w:r w:rsidRPr="00346547">
                <w:rPr>
                  <w:b/>
                  <w:bCs/>
                  <w:sz w:val="22"/>
                  <w:szCs w:val="22"/>
                  <w:lang w:val="fr-FR"/>
                </w:rPr>
                <w:delText>France</w:delText>
              </w:r>
            </w:del>
          </w:p>
          <w:p w14:paraId="2D4E846E" w14:textId="6CB94091" w:rsidR="00012D36" w:rsidRPr="00346547" w:rsidRDefault="00615769" w:rsidP="001F79B0">
            <w:pPr>
              <w:ind w:firstLine="34"/>
              <w:rPr>
                <w:del w:id="13831" w:author="AbbVie2" w:date="2025-05-14T10:22:00Z"/>
                <w:bCs/>
                <w:sz w:val="22"/>
                <w:szCs w:val="22"/>
                <w:lang w:val="fr-FR"/>
              </w:rPr>
            </w:pPr>
            <w:del w:id="13832" w:author="AbbVie2" w:date="2025-05-14T10:22:00Z">
              <w:r w:rsidRPr="00346547">
                <w:rPr>
                  <w:bCs/>
                  <w:sz w:val="22"/>
                  <w:szCs w:val="22"/>
                  <w:lang w:val="fr-FR"/>
                </w:rPr>
                <w:delText>AbbVie</w:delText>
              </w:r>
            </w:del>
          </w:p>
          <w:p w14:paraId="383B424F" w14:textId="7F97216E" w:rsidR="00012D36" w:rsidRPr="00346547" w:rsidRDefault="00615769" w:rsidP="001F79B0">
            <w:pPr>
              <w:ind w:firstLine="34"/>
              <w:rPr>
                <w:del w:id="13833" w:author="AbbVie2" w:date="2025-05-14T10:22:00Z"/>
                <w:bCs/>
                <w:sz w:val="22"/>
                <w:szCs w:val="22"/>
                <w:lang w:val="fr-FR"/>
              </w:rPr>
            </w:pPr>
            <w:del w:id="13834" w:author="AbbVie2" w:date="2025-05-14T10:22:00Z">
              <w:r w:rsidRPr="00346547">
                <w:rPr>
                  <w:bCs/>
                  <w:sz w:val="22"/>
                  <w:szCs w:val="22"/>
                  <w:lang w:val="fr-FR"/>
                </w:rPr>
                <w:delText>Tél: +33 (0) 1 45 60 13 00</w:delText>
              </w:r>
            </w:del>
          </w:p>
        </w:tc>
        <w:tc>
          <w:tcPr>
            <w:tcW w:w="4678" w:type="dxa"/>
          </w:tcPr>
          <w:p w14:paraId="546B9C13" w14:textId="35DAEA8F" w:rsidR="00012D36" w:rsidRPr="00346547" w:rsidRDefault="00615769" w:rsidP="001F79B0">
            <w:pPr>
              <w:rPr>
                <w:del w:id="13835" w:author="AbbVie2" w:date="2025-05-14T10:22:00Z"/>
                <w:b/>
                <w:bCs/>
                <w:sz w:val="22"/>
                <w:szCs w:val="22"/>
              </w:rPr>
            </w:pPr>
            <w:del w:id="13836" w:author="AbbVie2" w:date="2025-05-14T10:22:00Z">
              <w:r w:rsidRPr="00346547">
                <w:rPr>
                  <w:b/>
                  <w:bCs/>
                  <w:sz w:val="22"/>
                  <w:szCs w:val="22"/>
                </w:rPr>
                <w:delText>Portugal</w:delText>
              </w:r>
            </w:del>
          </w:p>
          <w:p w14:paraId="3F4F7AC4" w14:textId="0A0644FB" w:rsidR="00012D36" w:rsidRPr="00346547" w:rsidRDefault="00615769" w:rsidP="001F79B0">
            <w:pPr>
              <w:pStyle w:val="Footer"/>
              <w:rPr>
                <w:del w:id="13837" w:author="AbbVie2" w:date="2025-05-14T10:22:00Z"/>
                <w:bCs/>
                <w:sz w:val="22"/>
                <w:szCs w:val="22"/>
                <w:lang w:val="fr-FR"/>
              </w:rPr>
            </w:pPr>
            <w:del w:id="13838" w:author="AbbVie2" w:date="2025-05-14T10:22:00Z">
              <w:r w:rsidRPr="00346547">
                <w:rPr>
                  <w:bCs/>
                  <w:sz w:val="22"/>
                  <w:szCs w:val="22"/>
                  <w:lang w:val="fr-FR"/>
                </w:rPr>
                <w:delText xml:space="preserve">AbbVie, Lda. </w:delText>
              </w:r>
            </w:del>
          </w:p>
          <w:p w14:paraId="67258053" w14:textId="429BC627" w:rsidR="00012D36" w:rsidRPr="00346547" w:rsidRDefault="00615769" w:rsidP="001F79B0">
            <w:pPr>
              <w:pStyle w:val="Footer"/>
              <w:rPr>
                <w:del w:id="13839" w:author="AbbVie2" w:date="2025-05-14T10:22:00Z"/>
                <w:sz w:val="22"/>
                <w:szCs w:val="22"/>
                <w:lang w:val="fr-FR"/>
              </w:rPr>
            </w:pPr>
            <w:del w:id="13840" w:author="AbbVie2" w:date="2025-05-14T10:22:00Z">
              <w:r w:rsidRPr="00346547">
                <w:rPr>
                  <w:sz w:val="22"/>
                  <w:szCs w:val="22"/>
                  <w:lang w:val="fr-FR"/>
                </w:rPr>
                <w:delText>Tel: +351 (0)21 1908400</w:delText>
              </w:r>
            </w:del>
          </w:p>
          <w:p w14:paraId="24B8E92A" w14:textId="6D0D9477" w:rsidR="00012D36" w:rsidRPr="00346547" w:rsidRDefault="00012D36" w:rsidP="001F79B0">
            <w:pPr>
              <w:pStyle w:val="Footer"/>
              <w:rPr>
                <w:del w:id="13841" w:author="AbbVie2" w:date="2025-05-14T10:22:00Z"/>
                <w:sz w:val="22"/>
                <w:szCs w:val="22"/>
                <w:lang w:val="fr-FR"/>
              </w:rPr>
            </w:pPr>
          </w:p>
        </w:tc>
      </w:tr>
      <w:tr w:rsidR="00A7162A" w14:paraId="4224755C" w14:textId="03F32CCC" w:rsidTr="001F79B0">
        <w:trPr>
          <w:gridBefore w:val="1"/>
          <w:wBefore w:w="34" w:type="dxa"/>
          <w:del w:id="13842" w:author="AbbVie2" w:date="2025-05-14T10:22:00Z"/>
        </w:trPr>
        <w:tc>
          <w:tcPr>
            <w:tcW w:w="4644" w:type="dxa"/>
            <w:gridSpan w:val="2"/>
          </w:tcPr>
          <w:p w14:paraId="74F9BDD1" w14:textId="1A30AC6A" w:rsidR="00012D36" w:rsidRPr="00860B88" w:rsidRDefault="00615769" w:rsidP="001F79B0">
            <w:pPr>
              <w:pStyle w:val="Default"/>
              <w:rPr>
                <w:del w:id="13843" w:author="AbbVie2" w:date="2025-05-14T10:22:00Z"/>
                <w:color w:val="auto"/>
                <w:sz w:val="22"/>
                <w:szCs w:val="22"/>
                <w:lang w:val="pt-PT"/>
              </w:rPr>
            </w:pPr>
            <w:del w:id="13844" w:author="AbbVie2" w:date="2025-05-14T10:22:00Z">
              <w:r w:rsidRPr="00860B88">
                <w:rPr>
                  <w:b/>
                  <w:bCs/>
                  <w:color w:val="auto"/>
                  <w:sz w:val="22"/>
                  <w:szCs w:val="22"/>
                  <w:lang w:val="pt-PT"/>
                </w:rPr>
                <w:delText xml:space="preserve">Hrvatska </w:delText>
              </w:r>
            </w:del>
          </w:p>
          <w:p w14:paraId="2BF3F1EA" w14:textId="0A524F45" w:rsidR="00012D36" w:rsidRPr="00346547" w:rsidRDefault="00615769" w:rsidP="001F79B0">
            <w:pPr>
              <w:rPr>
                <w:del w:id="13845" w:author="AbbVie2" w:date="2025-05-14T10:22:00Z"/>
                <w:sz w:val="22"/>
                <w:szCs w:val="22"/>
                <w:lang w:val="hr-HR"/>
              </w:rPr>
            </w:pPr>
            <w:del w:id="13846" w:author="AbbVie2" w:date="2025-05-14T10:22:00Z">
              <w:r w:rsidRPr="00346547">
                <w:rPr>
                  <w:sz w:val="22"/>
                  <w:szCs w:val="22"/>
                  <w:lang w:val="hr-HR"/>
                </w:rPr>
                <w:delText>AbbVie d.o.o.</w:delText>
              </w:r>
            </w:del>
          </w:p>
          <w:p w14:paraId="48946291" w14:textId="396DD8D1" w:rsidR="00012D36" w:rsidRPr="00346547" w:rsidRDefault="00615769" w:rsidP="001F79B0">
            <w:pPr>
              <w:rPr>
                <w:del w:id="13847" w:author="AbbVie2" w:date="2025-05-14T10:22:00Z"/>
                <w:bCs/>
                <w:sz w:val="22"/>
                <w:szCs w:val="22"/>
                <w:lang w:val="it-IT"/>
              </w:rPr>
            </w:pPr>
            <w:del w:id="13848" w:author="AbbVie2" w:date="2025-05-14T10:22:00Z">
              <w:r w:rsidRPr="00346547">
                <w:rPr>
                  <w:sz w:val="22"/>
                  <w:szCs w:val="22"/>
                  <w:lang w:val="hr-HR"/>
                </w:rPr>
                <w:delText xml:space="preserve">Tel + 385 (0)1 </w:delText>
              </w:r>
              <w:r w:rsidRPr="00FF65EF">
                <w:rPr>
                  <w:sz w:val="22"/>
                  <w:szCs w:val="22"/>
                  <w:rPrChange w:id="13849" w:author="AbbVie2" w:date="2025-05-14T12:36:00Z">
                    <w:rPr>
                      <w:sz w:val="22"/>
                      <w:szCs w:val="22"/>
                      <w:lang w:val="en-US"/>
                    </w:rPr>
                  </w:rPrChange>
                </w:rPr>
                <w:delText>5625 501</w:delText>
              </w:r>
            </w:del>
          </w:p>
        </w:tc>
        <w:tc>
          <w:tcPr>
            <w:tcW w:w="4678" w:type="dxa"/>
          </w:tcPr>
          <w:p w14:paraId="7F96363B" w14:textId="606846B6" w:rsidR="00012D36" w:rsidRPr="00346547" w:rsidRDefault="00615769" w:rsidP="001F79B0">
            <w:pPr>
              <w:pStyle w:val="EMEANormal"/>
              <w:rPr>
                <w:del w:id="13850" w:author="AbbVie2" w:date="2025-05-14T10:22:00Z"/>
                <w:b/>
                <w:bCs/>
                <w:szCs w:val="22"/>
                <w:lang w:val="it-IT"/>
              </w:rPr>
            </w:pPr>
            <w:del w:id="13851" w:author="AbbVie2" w:date="2025-05-14T10:22:00Z">
              <w:r w:rsidRPr="00346547">
                <w:rPr>
                  <w:b/>
                  <w:bCs/>
                  <w:szCs w:val="22"/>
                  <w:lang w:val="it-IT"/>
                </w:rPr>
                <w:delText>România</w:delText>
              </w:r>
            </w:del>
          </w:p>
          <w:p w14:paraId="40AB624E" w14:textId="550B6041" w:rsidR="00012D36" w:rsidRPr="00346547" w:rsidRDefault="00615769" w:rsidP="001F79B0">
            <w:pPr>
              <w:rPr>
                <w:del w:id="13852" w:author="AbbVie2" w:date="2025-05-14T10:22:00Z"/>
                <w:rFonts w:eastAsia="MS Mincho"/>
                <w:sz w:val="22"/>
                <w:szCs w:val="22"/>
                <w:lang w:val="it-IT" w:eastAsia="ja-JP"/>
              </w:rPr>
            </w:pPr>
            <w:del w:id="13853" w:author="AbbVie2" w:date="2025-05-14T10:22:00Z">
              <w:r w:rsidRPr="00346547">
                <w:rPr>
                  <w:rFonts w:eastAsia="MS Mincho"/>
                  <w:sz w:val="22"/>
                  <w:szCs w:val="22"/>
                  <w:lang w:val="it-IT" w:eastAsia="ja-JP"/>
                </w:rPr>
                <w:delText>AbbVie S.R.L.</w:delText>
              </w:r>
            </w:del>
          </w:p>
          <w:p w14:paraId="09E72155" w14:textId="176EDB9E" w:rsidR="00012D36" w:rsidRPr="00346547" w:rsidRDefault="00615769" w:rsidP="001F79B0">
            <w:pPr>
              <w:rPr>
                <w:del w:id="13854" w:author="AbbVie2" w:date="2025-05-14T10:22:00Z"/>
                <w:sz w:val="22"/>
                <w:szCs w:val="22"/>
                <w:lang w:val="pl-PL"/>
              </w:rPr>
            </w:pPr>
            <w:del w:id="13855" w:author="AbbVie2" w:date="2025-05-14T10:22:00Z">
              <w:r w:rsidRPr="00346547">
                <w:rPr>
                  <w:sz w:val="22"/>
                  <w:szCs w:val="22"/>
                  <w:lang w:val="pl-PL"/>
                </w:rPr>
                <w:delText>Tel: +40 21 529 30 35</w:delText>
              </w:r>
            </w:del>
          </w:p>
          <w:p w14:paraId="02F668F0" w14:textId="12EC07C8" w:rsidR="00012D36" w:rsidRPr="00346547" w:rsidRDefault="00012D36" w:rsidP="001F79B0">
            <w:pPr>
              <w:rPr>
                <w:del w:id="13856" w:author="AbbVie2" w:date="2025-05-14T10:22:00Z"/>
                <w:sz w:val="22"/>
                <w:szCs w:val="22"/>
                <w:lang w:val="pl-PL"/>
              </w:rPr>
            </w:pPr>
          </w:p>
        </w:tc>
      </w:tr>
      <w:tr w:rsidR="00A7162A" w14:paraId="41C3117B" w14:textId="368BB9DB" w:rsidTr="001F79B0">
        <w:trPr>
          <w:gridBefore w:val="1"/>
          <w:wBefore w:w="34" w:type="dxa"/>
          <w:del w:id="13857" w:author="AbbVie2" w:date="2025-05-14T10:22:00Z"/>
        </w:trPr>
        <w:tc>
          <w:tcPr>
            <w:tcW w:w="4644" w:type="dxa"/>
            <w:gridSpan w:val="2"/>
          </w:tcPr>
          <w:p w14:paraId="0BB730C8" w14:textId="59E7DBA8" w:rsidR="00012D36" w:rsidRPr="00346547" w:rsidRDefault="00615769" w:rsidP="001F79B0">
            <w:pPr>
              <w:rPr>
                <w:del w:id="13858" w:author="AbbVie2" w:date="2025-05-14T10:22:00Z"/>
                <w:b/>
                <w:bCs/>
                <w:sz w:val="22"/>
                <w:szCs w:val="22"/>
              </w:rPr>
            </w:pPr>
            <w:del w:id="13859" w:author="AbbVie2" w:date="2025-05-14T10:22:00Z">
              <w:r w:rsidRPr="00346547">
                <w:rPr>
                  <w:b/>
                  <w:bCs/>
                  <w:sz w:val="22"/>
                  <w:szCs w:val="22"/>
                </w:rPr>
                <w:delText>Ireland</w:delText>
              </w:r>
            </w:del>
          </w:p>
          <w:p w14:paraId="0DD7116C" w14:textId="479EE689" w:rsidR="00012D36" w:rsidRPr="00346547" w:rsidRDefault="00615769" w:rsidP="001F79B0">
            <w:pPr>
              <w:rPr>
                <w:del w:id="13860" w:author="AbbVie2" w:date="2025-05-14T10:22:00Z"/>
                <w:bCs/>
                <w:sz w:val="22"/>
                <w:szCs w:val="22"/>
              </w:rPr>
            </w:pPr>
            <w:del w:id="13861" w:author="AbbVie2" w:date="2025-05-14T10:22:00Z">
              <w:r w:rsidRPr="00346547">
                <w:rPr>
                  <w:bCs/>
                  <w:sz w:val="22"/>
                  <w:szCs w:val="22"/>
                </w:rPr>
                <w:delText xml:space="preserve">AbbVie Limited </w:delText>
              </w:r>
            </w:del>
          </w:p>
          <w:p w14:paraId="0EC40885" w14:textId="4773F9CE" w:rsidR="00012D36" w:rsidRPr="00346547" w:rsidRDefault="00615769" w:rsidP="001F79B0">
            <w:pPr>
              <w:rPr>
                <w:del w:id="13862" w:author="AbbVie2" w:date="2025-05-14T10:22:00Z"/>
                <w:bCs/>
                <w:sz w:val="22"/>
                <w:szCs w:val="22"/>
              </w:rPr>
            </w:pPr>
            <w:del w:id="13863" w:author="AbbVie2" w:date="2025-05-14T10:22:00Z">
              <w:r w:rsidRPr="00346547">
                <w:rPr>
                  <w:bCs/>
                  <w:sz w:val="22"/>
                  <w:szCs w:val="22"/>
                </w:rPr>
                <w:delText>Tel: +353 (0)1 428790</w:delText>
              </w:r>
              <w:r w:rsidR="00794A65">
                <w:rPr>
                  <w:bCs/>
                  <w:sz w:val="22"/>
                  <w:szCs w:val="22"/>
                </w:rPr>
                <w:delText>0</w:delText>
              </w:r>
            </w:del>
          </w:p>
        </w:tc>
        <w:tc>
          <w:tcPr>
            <w:tcW w:w="4678" w:type="dxa"/>
          </w:tcPr>
          <w:p w14:paraId="11879735" w14:textId="7A1636AB" w:rsidR="00012D36" w:rsidRPr="00346547" w:rsidRDefault="00615769" w:rsidP="001F79B0">
            <w:pPr>
              <w:rPr>
                <w:del w:id="13864" w:author="AbbVie2" w:date="2025-05-14T10:22:00Z"/>
                <w:b/>
                <w:bCs/>
                <w:sz w:val="22"/>
                <w:szCs w:val="22"/>
                <w:lang w:val="sl-SI"/>
              </w:rPr>
            </w:pPr>
            <w:del w:id="13865" w:author="AbbVie2" w:date="2025-05-14T10:22:00Z">
              <w:r w:rsidRPr="00346547">
                <w:rPr>
                  <w:b/>
                  <w:bCs/>
                  <w:sz w:val="22"/>
                  <w:szCs w:val="22"/>
                  <w:lang w:val="sl-SI"/>
                </w:rPr>
                <w:delText>Slovenija</w:delText>
              </w:r>
            </w:del>
          </w:p>
          <w:p w14:paraId="19C08B45" w14:textId="2D45C388" w:rsidR="00012D36" w:rsidRPr="00346547" w:rsidRDefault="00615769" w:rsidP="001F79B0">
            <w:pPr>
              <w:rPr>
                <w:del w:id="13866" w:author="AbbVie2" w:date="2025-05-14T10:22:00Z"/>
                <w:bCs/>
                <w:sz w:val="22"/>
                <w:szCs w:val="22"/>
                <w:lang w:val="sl-SI"/>
              </w:rPr>
            </w:pPr>
            <w:del w:id="13867" w:author="AbbVie2" w:date="2025-05-14T10:22:00Z">
              <w:r w:rsidRPr="00346547">
                <w:rPr>
                  <w:bCs/>
                  <w:sz w:val="22"/>
                  <w:szCs w:val="22"/>
                  <w:lang w:val="sl-SI"/>
                </w:rPr>
                <w:delText xml:space="preserve">AbbVie </w:delText>
              </w:r>
              <w:r w:rsidRPr="00346547">
                <w:rPr>
                  <w:sz w:val="22"/>
                  <w:szCs w:val="22"/>
                  <w:lang w:val="sl-SI"/>
                </w:rPr>
                <w:delText>Biofarmacevtska družba d.o.o.</w:delText>
              </w:r>
            </w:del>
          </w:p>
          <w:p w14:paraId="0AABA6B1" w14:textId="6F430593" w:rsidR="00012D36" w:rsidRPr="00346547" w:rsidRDefault="00615769" w:rsidP="001F79B0">
            <w:pPr>
              <w:rPr>
                <w:del w:id="13868" w:author="AbbVie2" w:date="2025-05-14T10:22:00Z"/>
                <w:bCs/>
                <w:sz w:val="22"/>
                <w:szCs w:val="22"/>
                <w:lang w:val="sl-SI"/>
              </w:rPr>
            </w:pPr>
            <w:del w:id="13869" w:author="AbbVie2" w:date="2025-05-14T10:22:00Z">
              <w:r w:rsidRPr="00346547">
                <w:rPr>
                  <w:bCs/>
                  <w:sz w:val="22"/>
                  <w:szCs w:val="22"/>
                  <w:lang w:val="sl-SI"/>
                </w:rPr>
                <w:delText>Tel: +386 (1)32 08 060</w:delText>
              </w:r>
            </w:del>
          </w:p>
          <w:p w14:paraId="762698DB" w14:textId="7939B96E" w:rsidR="00012D36" w:rsidRPr="00346547" w:rsidRDefault="00012D36" w:rsidP="001F79B0">
            <w:pPr>
              <w:rPr>
                <w:del w:id="13870" w:author="AbbVie2" w:date="2025-05-14T10:22:00Z"/>
                <w:bCs/>
                <w:sz w:val="22"/>
                <w:szCs w:val="22"/>
                <w:lang w:val="sl-SI"/>
              </w:rPr>
            </w:pPr>
          </w:p>
        </w:tc>
      </w:tr>
      <w:tr w:rsidR="00A7162A" w14:paraId="56A89C44" w14:textId="1D95E016" w:rsidTr="001F79B0">
        <w:trPr>
          <w:gridBefore w:val="1"/>
          <w:wBefore w:w="34" w:type="dxa"/>
          <w:del w:id="13871" w:author="AbbVie2" w:date="2025-05-14T10:22:00Z"/>
        </w:trPr>
        <w:tc>
          <w:tcPr>
            <w:tcW w:w="4644" w:type="dxa"/>
            <w:gridSpan w:val="2"/>
          </w:tcPr>
          <w:p w14:paraId="73826257" w14:textId="438F840A" w:rsidR="00012D36" w:rsidRPr="00346547" w:rsidRDefault="00615769" w:rsidP="001F79B0">
            <w:pPr>
              <w:keepNext/>
              <w:rPr>
                <w:del w:id="13872" w:author="AbbVie2" w:date="2025-05-14T10:22:00Z"/>
                <w:b/>
                <w:bCs/>
                <w:sz w:val="22"/>
                <w:szCs w:val="22"/>
                <w:lang w:val="is-IS"/>
              </w:rPr>
            </w:pPr>
            <w:del w:id="13873" w:author="AbbVie2" w:date="2025-05-14T10:22:00Z">
              <w:r w:rsidRPr="00346547">
                <w:rPr>
                  <w:b/>
                  <w:bCs/>
                  <w:sz w:val="22"/>
                  <w:szCs w:val="22"/>
                  <w:lang w:val="is-IS"/>
                </w:rPr>
                <w:delText>Ísland</w:delText>
              </w:r>
            </w:del>
          </w:p>
          <w:p w14:paraId="6C038875" w14:textId="0B15BEFF" w:rsidR="00012D36" w:rsidRPr="00346547" w:rsidRDefault="00615769" w:rsidP="001F79B0">
            <w:pPr>
              <w:keepNext/>
              <w:rPr>
                <w:del w:id="13874" w:author="AbbVie2" w:date="2025-05-14T10:22:00Z"/>
                <w:bCs/>
                <w:sz w:val="22"/>
                <w:szCs w:val="22"/>
              </w:rPr>
            </w:pPr>
            <w:del w:id="13875" w:author="AbbVie2" w:date="2025-05-14T10:22:00Z">
              <w:r w:rsidRPr="00346547">
                <w:rPr>
                  <w:bCs/>
                  <w:sz w:val="22"/>
                  <w:szCs w:val="22"/>
                </w:rPr>
                <w:delText>Vistor hf.</w:delText>
              </w:r>
            </w:del>
          </w:p>
          <w:p w14:paraId="5E96DD39" w14:textId="1008CA2D" w:rsidR="00012D36" w:rsidRPr="00346547" w:rsidRDefault="00615769" w:rsidP="001F79B0">
            <w:pPr>
              <w:keepNext/>
              <w:rPr>
                <w:del w:id="13876" w:author="AbbVie2" w:date="2025-05-14T10:22:00Z"/>
                <w:bCs/>
                <w:sz w:val="22"/>
                <w:szCs w:val="22"/>
              </w:rPr>
            </w:pPr>
            <w:del w:id="13877" w:author="AbbVie2" w:date="2025-05-14T10:22:00Z">
              <w:r w:rsidRPr="00346547">
                <w:rPr>
                  <w:bCs/>
                  <w:sz w:val="22"/>
                  <w:szCs w:val="22"/>
                </w:rPr>
                <w:delText>Tel: +354 535 7000</w:delText>
              </w:r>
            </w:del>
          </w:p>
        </w:tc>
        <w:tc>
          <w:tcPr>
            <w:tcW w:w="4678" w:type="dxa"/>
          </w:tcPr>
          <w:p w14:paraId="5CB1C320" w14:textId="1C226D50" w:rsidR="00012D36" w:rsidRPr="00346547" w:rsidRDefault="00615769" w:rsidP="001F79B0">
            <w:pPr>
              <w:keepNext/>
              <w:rPr>
                <w:del w:id="13878" w:author="AbbVie2" w:date="2025-05-14T10:22:00Z"/>
                <w:b/>
                <w:bCs/>
                <w:sz w:val="22"/>
                <w:szCs w:val="22"/>
              </w:rPr>
            </w:pPr>
            <w:del w:id="13879" w:author="AbbVie2" w:date="2025-05-14T10:22:00Z">
              <w:r w:rsidRPr="00346547">
                <w:rPr>
                  <w:b/>
                  <w:bCs/>
                  <w:sz w:val="22"/>
                  <w:szCs w:val="22"/>
                </w:rPr>
                <w:delText>Slovenská republika</w:delText>
              </w:r>
            </w:del>
          </w:p>
          <w:p w14:paraId="2A978049" w14:textId="7329F440" w:rsidR="00012D36" w:rsidRPr="00346547" w:rsidRDefault="00615769" w:rsidP="001F79B0">
            <w:pPr>
              <w:keepNext/>
              <w:rPr>
                <w:del w:id="13880" w:author="AbbVie2" w:date="2025-05-14T10:22:00Z"/>
                <w:bCs/>
                <w:sz w:val="22"/>
                <w:szCs w:val="22"/>
              </w:rPr>
            </w:pPr>
            <w:del w:id="13881" w:author="AbbVie2" w:date="2025-05-14T10:22:00Z">
              <w:r w:rsidRPr="00346547">
                <w:rPr>
                  <w:bCs/>
                  <w:sz w:val="22"/>
                  <w:szCs w:val="22"/>
                </w:rPr>
                <w:delText>AbbVie s.r.o.</w:delText>
              </w:r>
            </w:del>
          </w:p>
          <w:p w14:paraId="11214C4F" w14:textId="39765511" w:rsidR="00012D36" w:rsidRPr="00346547" w:rsidRDefault="00615769" w:rsidP="001F79B0">
            <w:pPr>
              <w:keepNext/>
              <w:rPr>
                <w:del w:id="13882" w:author="AbbVie2" w:date="2025-05-14T10:22:00Z"/>
                <w:bCs/>
                <w:sz w:val="22"/>
                <w:szCs w:val="22"/>
              </w:rPr>
            </w:pPr>
            <w:del w:id="13883" w:author="AbbVie2" w:date="2025-05-14T10:22:00Z">
              <w:r w:rsidRPr="00346547">
                <w:rPr>
                  <w:bCs/>
                  <w:sz w:val="22"/>
                  <w:szCs w:val="22"/>
                </w:rPr>
                <w:delText>Tel: +421 2 5050 0777</w:delText>
              </w:r>
            </w:del>
          </w:p>
          <w:p w14:paraId="457939BB" w14:textId="0BAA4140" w:rsidR="00012D36" w:rsidRPr="00346547" w:rsidRDefault="00012D36" w:rsidP="001F79B0">
            <w:pPr>
              <w:keepNext/>
              <w:rPr>
                <w:del w:id="13884" w:author="AbbVie2" w:date="2025-05-14T10:22:00Z"/>
                <w:bCs/>
                <w:sz w:val="22"/>
                <w:szCs w:val="22"/>
              </w:rPr>
            </w:pPr>
          </w:p>
        </w:tc>
      </w:tr>
      <w:tr w:rsidR="00A7162A" w14:paraId="660378EE" w14:textId="1BBA8005" w:rsidTr="001F79B0">
        <w:trPr>
          <w:gridBefore w:val="1"/>
          <w:wBefore w:w="34" w:type="dxa"/>
          <w:del w:id="13885" w:author="AbbVie2" w:date="2025-05-14T10:22:00Z"/>
        </w:trPr>
        <w:tc>
          <w:tcPr>
            <w:tcW w:w="4644" w:type="dxa"/>
            <w:gridSpan w:val="2"/>
          </w:tcPr>
          <w:p w14:paraId="1D7FB4AC" w14:textId="52539F11" w:rsidR="00012D36" w:rsidRPr="00346547" w:rsidRDefault="00615769" w:rsidP="001F79B0">
            <w:pPr>
              <w:rPr>
                <w:del w:id="13886" w:author="AbbVie2" w:date="2025-05-14T10:22:00Z"/>
                <w:b/>
                <w:bCs/>
                <w:sz w:val="22"/>
                <w:szCs w:val="22"/>
                <w:lang w:val="it-IT"/>
              </w:rPr>
            </w:pPr>
            <w:del w:id="13887" w:author="AbbVie2" w:date="2025-05-14T10:22:00Z">
              <w:r w:rsidRPr="00346547">
                <w:rPr>
                  <w:b/>
                  <w:bCs/>
                  <w:sz w:val="22"/>
                  <w:szCs w:val="22"/>
                  <w:lang w:val="it-IT"/>
                </w:rPr>
                <w:delText>Italia</w:delText>
              </w:r>
            </w:del>
          </w:p>
          <w:p w14:paraId="4742E767" w14:textId="381C83EA" w:rsidR="00012D36" w:rsidRPr="00346547" w:rsidRDefault="00615769" w:rsidP="001F79B0">
            <w:pPr>
              <w:pStyle w:val="EndnoteText"/>
              <w:spacing w:line="260" w:lineRule="exact"/>
              <w:rPr>
                <w:del w:id="13888" w:author="AbbVie2" w:date="2025-05-14T10:22:00Z"/>
                <w:bCs/>
                <w:szCs w:val="22"/>
              </w:rPr>
            </w:pPr>
            <w:del w:id="13889" w:author="AbbVie2" w:date="2025-05-14T10:22:00Z">
              <w:r w:rsidRPr="00346547">
                <w:rPr>
                  <w:bCs/>
                  <w:szCs w:val="22"/>
                </w:rPr>
                <w:delText xml:space="preserve">AbbVie S.r.l. </w:delText>
              </w:r>
            </w:del>
          </w:p>
          <w:p w14:paraId="6CB427BE" w14:textId="6D1E1986" w:rsidR="00012D36" w:rsidRPr="00346547" w:rsidRDefault="00615769" w:rsidP="001F79B0">
            <w:pPr>
              <w:rPr>
                <w:del w:id="13890" w:author="AbbVie2" w:date="2025-05-14T10:22:00Z"/>
                <w:bCs/>
                <w:sz w:val="22"/>
                <w:szCs w:val="22"/>
                <w:lang w:val="fi-FI"/>
              </w:rPr>
            </w:pPr>
            <w:del w:id="13891" w:author="AbbVie2" w:date="2025-05-14T10:22:00Z">
              <w:r w:rsidRPr="00346547">
                <w:rPr>
                  <w:bCs/>
                  <w:sz w:val="22"/>
                  <w:szCs w:val="22"/>
                  <w:lang w:val="fr-FR"/>
                </w:rPr>
                <w:delText>Tel: +39 06 928921</w:delText>
              </w:r>
            </w:del>
          </w:p>
        </w:tc>
        <w:tc>
          <w:tcPr>
            <w:tcW w:w="4678" w:type="dxa"/>
          </w:tcPr>
          <w:p w14:paraId="56658F3F" w14:textId="68C9314C" w:rsidR="00012D36" w:rsidRPr="00346547" w:rsidRDefault="00615769" w:rsidP="001F79B0">
            <w:pPr>
              <w:rPr>
                <w:del w:id="13892" w:author="AbbVie2" w:date="2025-05-14T10:22:00Z"/>
                <w:b/>
                <w:bCs/>
                <w:sz w:val="22"/>
                <w:szCs w:val="22"/>
                <w:lang w:val="fi-FI"/>
              </w:rPr>
            </w:pPr>
            <w:del w:id="13893" w:author="AbbVie2" w:date="2025-05-14T10:22:00Z">
              <w:r w:rsidRPr="00346547">
                <w:rPr>
                  <w:b/>
                  <w:bCs/>
                  <w:sz w:val="22"/>
                  <w:szCs w:val="22"/>
                  <w:lang w:val="fi-FI"/>
                </w:rPr>
                <w:delText>Suomi/Finland</w:delText>
              </w:r>
            </w:del>
          </w:p>
          <w:p w14:paraId="11353B08" w14:textId="6EBC1A4B" w:rsidR="00012D36" w:rsidRPr="00346547" w:rsidRDefault="00615769" w:rsidP="001F79B0">
            <w:pPr>
              <w:rPr>
                <w:del w:id="13894" w:author="AbbVie2" w:date="2025-05-14T10:22:00Z"/>
                <w:bCs/>
                <w:sz w:val="22"/>
                <w:szCs w:val="22"/>
                <w:lang w:val="de-CH"/>
              </w:rPr>
            </w:pPr>
            <w:del w:id="13895" w:author="AbbVie2" w:date="2025-05-14T10:22:00Z">
              <w:r w:rsidRPr="00FF65EF">
                <w:rPr>
                  <w:bCs/>
                  <w:sz w:val="22"/>
                  <w:szCs w:val="22"/>
                  <w:rPrChange w:id="13896" w:author="AbbVie2" w:date="2025-05-14T12:36:00Z">
                    <w:rPr>
                      <w:bCs/>
                      <w:sz w:val="22"/>
                      <w:szCs w:val="22"/>
                      <w:lang w:val="en-US"/>
                    </w:rPr>
                  </w:rPrChange>
                </w:rPr>
                <w:delText>AbbVie Oy</w:delText>
              </w:r>
            </w:del>
          </w:p>
          <w:p w14:paraId="42265EE6" w14:textId="41EE0B2F" w:rsidR="00012D36" w:rsidRPr="00FF65EF" w:rsidRDefault="00615769" w:rsidP="001F79B0">
            <w:pPr>
              <w:rPr>
                <w:del w:id="13897" w:author="AbbVie2" w:date="2025-05-14T10:22:00Z"/>
                <w:bCs/>
                <w:sz w:val="22"/>
                <w:szCs w:val="22"/>
                <w:rPrChange w:id="13898" w:author="AbbVie2" w:date="2025-05-14T12:36:00Z">
                  <w:rPr>
                    <w:del w:id="13899" w:author="AbbVie2" w:date="2025-05-14T10:22:00Z"/>
                    <w:bCs/>
                    <w:sz w:val="22"/>
                    <w:szCs w:val="22"/>
                    <w:lang w:val="en-US"/>
                  </w:rPr>
                </w:rPrChange>
              </w:rPr>
            </w:pPr>
            <w:del w:id="13900" w:author="AbbVie2" w:date="2025-05-14T10:22:00Z">
              <w:r w:rsidRPr="00FF65EF">
                <w:rPr>
                  <w:bCs/>
                  <w:sz w:val="22"/>
                  <w:szCs w:val="22"/>
                  <w:rPrChange w:id="13901" w:author="AbbVie2" w:date="2025-05-14T12:36:00Z">
                    <w:rPr>
                      <w:bCs/>
                      <w:sz w:val="22"/>
                      <w:szCs w:val="22"/>
                      <w:lang w:val="en-US"/>
                    </w:rPr>
                  </w:rPrChange>
                </w:rPr>
                <w:delText>Puh/Tel: +358 (0)10 2411 200</w:delText>
              </w:r>
            </w:del>
          </w:p>
          <w:p w14:paraId="551371D9" w14:textId="642FE03D" w:rsidR="00012D36" w:rsidRPr="00FF65EF" w:rsidRDefault="00012D36" w:rsidP="001F79B0">
            <w:pPr>
              <w:rPr>
                <w:del w:id="13902" w:author="AbbVie2" w:date="2025-05-14T10:22:00Z"/>
                <w:sz w:val="22"/>
                <w:szCs w:val="22"/>
                <w:rPrChange w:id="13903" w:author="AbbVie2" w:date="2025-05-14T12:36:00Z">
                  <w:rPr>
                    <w:del w:id="13904" w:author="AbbVie2" w:date="2025-05-14T10:22:00Z"/>
                    <w:sz w:val="22"/>
                    <w:szCs w:val="22"/>
                    <w:lang w:val="en-US"/>
                  </w:rPr>
                </w:rPrChange>
              </w:rPr>
            </w:pPr>
          </w:p>
        </w:tc>
      </w:tr>
      <w:tr w:rsidR="00A7162A" w14:paraId="0E48A5E8" w14:textId="71EDDE67" w:rsidTr="001F79B0">
        <w:trPr>
          <w:gridBefore w:val="1"/>
          <w:wBefore w:w="34" w:type="dxa"/>
          <w:cantSplit/>
          <w:trHeight w:val="887"/>
          <w:del w:id="13905" w:author="AbbVie2" w:date="2025-05-14T10:22:00Z"/>
        </w:trPr>
        <w:tc>
          <w:tcPr>
            <w:tcW w:w="4644" w:type="dxa"/>
            <w:gridSpan w:val="2"/>
          </w:tcPr>
          <w:p w14:paraId="2E434044" w14:textId="656E253C" w:rsidR="00012D36" w:rsidRPr="00346547" w:rsidRDefault="00615769" w:rsidP="001F79B0">
            <w:pPr>
              <w:rPr>
                <w:del w:id="13906" w:author="AbbVie2" w:date="2025-05-14T10:22:00Z"/>
                <w:b/>
                <w:bCs/>
                <w:sz w:val="22"/>
                <w:szCs w:val="22"/>
                <w:lang w:val="el-GR"/>
              </w:rPr>
            </w:pPr>
            <w:del w:id="13907" w:author="AbbVie2" w:date="2025-05-14T10:22:00Z">
              <w:r w:rsidRPr="00346547">
                <w:rPr>
                  <w:b/>
                  <w:bCs/>
                  <w:sz w:val="22"/>
                  <w:szCs w:val="22"/>
                  <w:lang w:val="el-GR"/>
                </w:rPr>
                <w:delText>Κύπρος</w:delText>
              </w:r>
            </w:del>
          </w:p>
          <w:p w14:paraId="65054991" w14:textId="2F47A288" w:rsidR="00012D36" w:rsidRPr="00346547" w:rsidRDefault="00615769" w:rsidP="001F79B0">
            <w:pPr>
              <w:rPr>
                <w:del w:id="13908" w:author="AbbVie2" w:date="2025-05-14T10:22:00Z"/>
                <w:bCs/>
                <w:sz w:val="22"/>
                <w:szCs w:val="22"/>
                <w:lang w:val="el-GR"/>
              </w:rPr>
            </w:pPr>
            <w:del w:id="13909" w:author="AbbVie2" w:date="2025-05-14T10:22:00Z">
              <w:r w:rsidRPr="00FF65EF">
                <w:rPr>
                  <w:bCs/>
                  <w:sz w:val="22"/>
                  <w:szCs w:val="22"/>
                </w:rPr>
                <w:delText xml:space="preserve">Lifepharma (Z.A.M.) </w:delText>
              </w:r>
              <w:r w:rsidRPr="00346547">
                <w:rPr>
                  <w:bCs/>
                  <w:sz w:val="22"/>
                  <w:szCs w:val="22"/>
                  <w:lang w:val="it-IT"/>
                </w:rPr>
                <w:delText>Ltd</w:delText>
              </w:r>
            </w:del>
          </w:p>
          <w:p w14:paraId="16E429DA" w14:textId="41088E7F" w:rsidR="00012D36" w:rsidRPr="00346547" w:rsidRDefault="00615769" w:rsidP="001F79B0">
            <w:pPr>
              <w:rPr>
                <w:del w:id="13910" w:author="AbbVie2" w:date="2025-05-14T10:22:00Z"/>
                <w:bCs/>
                <w:sz w:val="22"/>
                <w:szCs w:val="22"/>
                <w:lang w:val="lv-LV"/>
              </w:rPr>
            </w:pPr>
            <w:del w:id="13911" w:author="AbbVie2" w:date="2025-05-14T10:22:00Z">
              <w:r w:rsidRPr="00346547">
                <w:rPr>
                  <w:bCs/>
                  <w:sz w:val="22"/>
                  <w:szCs w:val="22"/>
                  <w:lang w:val="el-GR"/>
                </w:rPr>
                <w:delText>Τηλ.: +357 22 34 74 40</w:delText>
              </w:r>
            </w:del>
          </w:p>
        </w:tc>
        <w:tc>
          <w:tcPr>
            <w:tcW w:w="4678" w:type="dxa"/>
          </w:tcPr>
          <w:p w14:paraId="4A26526E" w14:textId="01BADA84" w:rsidR="00012D36" w:rsidRPr="00346547" w:rsidRDefault="00615769" w:rsidP="001F79B0">
            <w:pPr>
              <w:rPr>
                <w:del w:id="13912" w:author="AbbVie2" w:date="2025-05-14T10:22:00Z"/>
                <w:b/>
                <w:bCs/>
                <w:sz w:val="22"/>
                <w:szCs w:val="22"/>
              </w:rPr>
            </w:pPr>
            <w:del w:id="13913" w:author="AbbVie2" w:date="2025-05-14T10:22:00Z">
              <w:r w:rsidRPr="00346547">
                <w:rPr>
                  <w:b/>
                  <w:bCs/>
                  <w:sz w:val="22"/>
                  <w:szCs w:val="22"/>
                </w:rPr>
                <w:delText>Sverige</w:delText>
              </w:r>
            </w:del>
          </w:p>
          <w:p w14:paraId="3B3535AE" w14:textId="3D742DC4" w:rsidR="00012D36" w:rsidRPr="00346547" w:rsidRDefault="00615769" w:rsidP="001F79B0">
            <w:pPr>
              <w:rPr>
                <w:del w:id="13914" w:author="AbbVie2" w:date="2025-05-14T10:22:00Z"/>
                <w:bCs/>
                <w:sz w:val="22"/>
                <w:szCs w:val="22"/>
              </w:rPr>
            </w:pPr>
            <w:del w:id="13915" w:author="AbbVie2" w:date="2025-05-14T10:22:00Z">
              <w:r w:rsidRPr="00346547">
                <w:rPr>
                  <w:bCs/>
                  <w:sz w:val="22"/>
                  <w:szCs w:val="22"/>
                </w:rPr>
                <w:delText>AbbVie AB</w:delText>
              </w:r>
            </w:del>
          </w:p>
          <w:p w14:paraId="03592763" w14:textId="6CD2E6D1" w:rsidR="00012D36" w:rsidRPr="00346547" w:rsidRDefault="00615769" w:rsidP="001F79B0">
            <w:pPr>
              <w:rPr>
                <w:del w:id="13916" w:author="AbbVie2" w:date="2025-05-14T10:22:00Z"/>
                <w:bCs/>
                <w:sz w:val="22"/>
                <w:szCs w:val="22"/>
              </w:rPr>
            </w:pPr>
            <w:del w:id="13917" w:author="AbbVie2" w:date="2025-05-14T10:22:00Z">
              <w:r w:rsidRPr="00346547">
                <w:rPr>
                  <w:bCs/>
                  <w:sz w:val="22"/>
                  <w:szCs w:val="22"/>
                  <w:lang w:val="da-DK"/>
                </w:rPr>
                <w:delText>Tel: +46 (0)8 684 44 600</w:delText>
              </w:r>
            </w:del>
          </w:p>
        </w:tc>
      </w:tr>
      <w:tr w:rsidR="00A7162A" w14:paraId="5A13D90A" w14:textId="7EF5ABFB" w:rsidTr="001F79B0">
        <w:trPr>
          <w:gridBefore w:val="1"/>
          <w:wBefore w:w="34" w:type="dxa"/>
          <w:cantSplit/>
          <w:trHeight w:val="761"/>
          <w:del w:id="13918" w:author="AbbVie2" w:date="2025-05-14T10:22:00Z"/>
        </w:trPr>
        <w:tc>
          <w:tcPr>
            <w:tcW w:w="4644" w:type="dxa"/>
            <w:gridSpan w:val="2"/>
          </w:tcPr>
          <w:p w14:paraId="14117DD1" w14:textId="5D5D605F" w:rsidR="00012D36" w:rsidRPr="00346547" w:rsidRDefault="00615769" w:rsidP="001F79B0">
            <w:pPr>
              <w:rPr>
                <w:del w:id="13919" w:author="AbbVie2" w:date="2025-05-14T10:22:00Z"/>
                <w:b/>
                <w:bCs/>
                <w:sz w:val="22"/>
                <w:szCs w:val="22"/>
                <w:lang w:val="lv-LV"/>
              </w:rPr>
            </w:pPr>
            <w:del w:id="13920" w:author="AbbVie2" w:date="2025-05-14T10:22:00Z">
              <w:r w:rsidRPr="00346547">
                <w:rPr>
                  <w:b/>
                  <w:bCs/>
                  <w:sz w:val="22"/>
                  <w:szCs w:val="22"/>
                  <w:lang w:val="lv-LV"/>
                </w:rPr>
                <w:delText>Latvija</w:delText>
              </w:r>
            </w:del>
          </w:p>
          <w:p w14:paraId="7E1467CE" w14:textId="5B28A10B" w:rsidR="00012D36" w:rsidRPr="00346547" w:rsidRDefault="00615769" w:rsidP="001F79B0">
            <w:pPr>
              <w:rPr>
                <w:del w:id="13921" w:author="AbbVie2" w:date="2025-05-14T10:22:00Z"/>
                <w:bCs/>
                <w:sz w:val="22"/>
                <w:szCs w:val="22"/>
                <w:lang w:val="lv-LV"/>
              </w:rPr>
            </w:pPr>
            <w:del w:id="13922" w:author="AbbVie2" w:date="2025-05-14T10:22:00Z">
              <w:r w:rsidRPr="00346547">
                <w:rPr>
                  <w:bCs/>
                  <w:sz w:val="22"/>
                  <w:szCs w:val="22"/>
                  <w:lang w:val="lv-LV"/>
                </w:rPr>
                <w:delText xml:space="preserve">AbbVie SIA </w:delText>
              </w:r>
            </w:del>
          </w:p>
          <w:p w14:paraId="6FDF4278" w14:textId="47114F49" w:rsidR="00012D36" w:rsidRPr="00346547" w:rsidRDefault="00615769" w:rsidP="001F79B0">
            <w:pPr>
              <w:rPr>
                <w:del w:id="13923" w:author="AbbVie2" w:date="2025-05-14T10:22:00Z"/>
                <w:bCs/>
                <w:sz w:val="22"/>
                <w:szCs w:val="22"/>
                <w:lang w:val="lv-LV"/>
              </w:rPr>
            </w:pPr>
            <w:del w:id="13924" w:author="AbbVie2" w:date="2025-05-14T10:22:00Z">
              <w:r w:rsidRPr="00346547">
                <w:rPr>
                  <w:bCs/>
                  <w:sz w:val="22"/>
                  <w:szCs w:val="22"/>
                  <w:lang w:val="lv-LV"/>
                </w:rPr>
                <w:delText>Tel: +371 67605000</w:delText>
              </w:r>
            </w:del>
          </w:p>
        </w:tc>
        <w:tc>
          <w:tcPr>
            <w:tcW w:w="4678" w:type="dxa"/>
          </w:tcPr>
          <w:p w14:paraId="05138CF9" w14:textId="7E1B78C9" w:rsidR="00012D36" w:rsidRPr="00346547" w:rsidRDefault="00012D36" w:rsidP="001F79B0">
            <w:pPr>
              <w:rPr>
                <w:del w:id="13925" w:author="AbbVie2" w:date="2025-05-14T10:22:00Z"/>
                <w:b/>
                <w:bCs/>
                <w:sz w:val="22"/>
                <w:szCs w:val="22"/>
              </w:rPr>
            </w:pPr>
          </w:p>
        </w:tc>
      </w:tr>
    </w:tbl>
    <w:p w14:paraId="467A3165" w14:textId="31D3AADB" w:rsidR="004462A0" w:rsidRPr="00FF65EF" w:rsidRDefault="004462A0" w:rsidP="004462A0">
      <w:pPr>
        <w:rPr>
          <w:del w:id="13926" w:author="AbbVie2" w:date="2025-05-14T10:22:00Z"/>
          <w:rPrChange w:id="13927" w:author="AbbVie2" w:date="2025-05-14T12:36:00Z">
            <w:rPr>
              <w:del w:id="13928" w:author="AbbVie2" w:date="2025-05-14T10:22:00Z"/>
              <w:lang w:val="en-US"/>
            </w:rPr>
          </w:rPrChange>
        </w:rPr>
      </w:pPr>
    </w:p>
    <w:p w14:paraId="58C5C495" w14:textId="77ABA30F" w:rsidR="004462A0" w:rsidRPr="008912CF" w:rsidRDefault="00615769" w:rsidP="00625E2D">
      <w:pPr>
        <w:keepNext/>
        <w:ind w:right="-2"/>
        <w:rPr>
          <w:del w:id="13929" w:author="AbbVie2" w:date="2025-05-14T10:22:00Z"/>
          <w:sz w:val="22"/>
          <w:szCs w:val="22"/>
        </w:rPr>
      </w:pPr>
      <w:del w:id="13930" w:author="AbbVie2" w:date="2025-05-14T10:22:00Z">
        <w:r w:rsidRPr="008912CF">
          <w:rPr>
            <w:b/>
            <w:sz w:val="22"/>
            <w:szCs w:val="22"/>
          </w:rPr>
          <w:delText xml:space="preserve">Este folheto foi revisto pela última vez em </w:delText>
        </w:r>
      </w:del>
    </w:p>
    <w:p w14:paraId="3613809D" w14:textId="0E9B5BFB" w:rsidR="004462A0" w:rsidRPr="008912CF" w:rsidRDefault="004462A0" w:rsidP="00625E2D">
      <w:pPr>
        <w:keepNext/>
        <w:ind w:right="-2"/>
        <w:rPr>
          <w:del w:id="13931" w:author="AbbVie2" w:date="2025-05-14T10:22:00Z"/>
          <w:sz w:val="22"/>
          <w:szCs w:val="22"/>
        </w:rPr>
      </w:pPr>
    </w:p>
    <w:p w14:paraId="2539E3E0" w14:textId="3DA8EE29" w:rsidR="004462A0" w:rsidRDefault="00615769" w:rsidP="00625E2D">
      <w:pPr>
        <w:keepNext/>
        <w:ind w:right="-2"/>
        <w:rPr>
          <w:del w:id="13932" w:author="AbbVie2" w:date="2025-05-14T10:22:00Z"/>
          <w:color w:val="0000FF"/>
          <w:sz w:val="22"/>
          <w:szCs w:val="22"/>
        </w:rPr>
      </w:pPr>
      <w:del w:id="13933" w:author="AbbVie2" w:date="2025-05-14T10:22:00Z">
        <w:r w:rsidRPr="008912CF">
          <w:rPr>
            <w:sz w:val="22"/>
            <w:szCs w:val="22"/>
          </w:rPr>
          <w:delText xml:space="preserve">Está disponível informação pormenorizada sobre este medicamento no sítio da internet da Agência Europeia de Medicamentos: </w:delText>
        </w:r>
        <w:r w:rsidR="00127AF9">
          <w:fldChar w:fldCharType="begin"/>
        </w:r>
        <w:r w:rsidR="00127AF9">
          <w:delInstrText>HYPERLINK "http://www.ema.europa.eu"</w:delInstrText>
        </w:r>
        <w:r w:rsidR="00127AF9">
          <w:fldChar w:fldCharType="separate"/>
        </w:r>
        <w:r w:rsidR="00127AF9" w:rsidRPr="00F96848">
          <w:rPr>
            <w:rStyle w:val="Hyperlink"/>
            <w:sz w:val="22"/>
            <w:szCs w:val="22"/>
          </w:rPr>
          <w:delText>http://www.ema.europa.eu</w:delText>
        </w:r>
        <w:r w:rsidR="00127AF9">
          <w:fldChar w:fldCharType="end"/>
        </w:r>
      </w:del>
    </w:p>
    <w:p w14:paraId="38E7BDE0" w14:textId="14C57915" w:rsidR="004F4910" w:rsidRDefault="004F4910" w:rsidP="004F4910">
      <w:pPr>
        <w:numPr>
          <w:ilvl w:val="12"/>
          <w:numId w:val="0"/>
        </w:numPr>
        <w:ind w:right="-2"/>
        <w:rPr>
          <w:del w:id="13934" w:author="AbbVie2" w:date="2025-05-14T10:22:00Z"/>
          <w:b/>
          <w:noProof/>
          <w:szCs w:val="22"/>
        </w:rPr>
      </w:pPr>
    </w:p>
    <w:p w14:paraId="2D6C0860" w14:textId="031CA985" w:rsidR="004F4910" w:rsidRPr="00FE24B0" w:rsidRDefault="00615769" w:rsidP="00D45244">
      <w:pPr>
        <w:numPr>
          <w:ilvl w:val="12"/>
          <w:numId w:val="0"/>
        </w:numPr>
        <w:ind w:right="-2"/>
        <w:rPr>
          <w:del w:id="13935" w:author="AbbVie2" w:date="2025-05-14T10:22:00Z"/>
          <w:sz w:val="22"/>
          <w:szCs w:val="22"/>
        </w:rPr>
      </w:pPr>
      <w:del w:id="13936" w:author="AbbVie2" w:date="2025-05-14T10:22:00Z">
        <w:r w:rsidRPr="00D45244">
          <w:rPr>
            <w:b/>
            <w:noProof/>
            <w:sz w:val="22"/>
            <w:szCs w:val="22"/>
          </w:rPr>
          <w:delText xml:space="preserve">Para ouvir ou solicitar uma cópia deste folheto em </w:delText>
        </w:r>
        <w:r w:rsidRPr="00D45244">
          <w:rPr>
            <w:b/>
            <w:noProof/>
            <w:sz w:val="22"/>
            <w:szCs w:val="22"/>
            <w:highlight w:val="lightGray"/>
          </w:rPr>
          <w:delText>&lt;Braille&gt;, &lt;caracteres grandes&gt; ou &lt;áudio&gt;</w:delText>
        </w:r>
        <w:r w:rsidRPr="00D45244">
          <w:rPr>
            <w:b/>
            <w:noProof/>
            <w:sz w:val="22"/>
            <w:szCs w:val="22"/>
          </w:rPr>
          <w:delText>, por favor contacte o representante local do Titular da Autorização de Introdução no Mercado.</w:delText>
        </w:r>
        <w:r w:rsidRPr="004F4910">
          <w:rPr>
            <w:sz w:val="22"/>
            <w:szCs w:val="22"/>
          </w:rPr>
          <w:delText xml:space="preserve"> </w:delText>
        </w:r>
      </w:del>
    </w:p>
    <w:p w14:paraId="248A2816" w14:textId="7F56C9BC" w:rsidR="004462A0" w:rsidRPr="008912CF" w:rsidRDefault="00615769" w:rsidP="004462A0">
      <w:pPr>
        <w:pStyle w:val="IndexHeading"/>
        <w:tabs>
          <w:tab w:val="clear" w:pos="567"/>
        </w:tabs>
        <w:spacing w:line="240" w:lineRule="auto"/>
        <w:rPr>
          <w:del w:id="13937" w:author="AbbVie2" w:date="2025-05-14T10:22:00Z"/>
          <w:rFonts w:ascii="Times New Roman" w:hAnsi="Times New Roman"/>
          <w:szCs w:val="22"/>
          <w:lang w:val="pt-PT"/>
        </w:rPr>
      </w:pPr>
      <w:del w:id="13938" w:author="AbbVie2" w:date="2025-05-14T10:22:00Z">
        <w:r w:rsidRPr="008912CF">
          <w:rPr>
            <w:rFonts w:ascii="Times New Roman" w:hAnsi="Times New Roman"/>
            <w:szCs w:val="22"/>
            <w:lang w:val="pt-PT"/>
          </w:rPr>
          <w:br w:type="page"/>
        </w:r>
      </w:del>
    </w:p>
    <w:p w14:paraId="6330AC55" w14:textId="70978787" w:rsidR="004462A0" w:rsidRPr="008912CF" w:rsidRDefault="00615769" w:rsidP="004462A0">
      <w:pPr>
        <w:suppressAutoHyphens/>
        <w:ind w:left="567" w:hanging="567"/>
        <w:jc w:val="center"/>
        <w:rPr>
          <w:del w:id="13939" w:author="AbbVie2" w:date="2025-05-14T10:24:00Z"/>
          <w:sz w:val="22"/>
          <w:szCs w:val="22"/>
        </w:rPr>
      </w:pPr>
      <w:del w:id="13940" w:author="AbbVie2" w:date="2025-05-14T10:24:00Z">
        <w:r w:rsidRPr="008912CF">
          <w:rPr>
            <w:b/>
            <w:sz w:val="22"/>
            <w:szCs w:val="22"/>
          </w:rPr>
          <w:delText>Folheto informativo: Informação para o doente</w:delText>
        </w:r>
      </w:del>
    </w:p>
    <w:p w14:paraId="5D5018A3" w14:textId="003747E6" w:rsidR="004462A0" w:rsidRPr="008912CF" w:rsidRDefault="004462A0" w:rsidP="004462A0">
      <w:pPr>
        <w:pStyle w:val="EMEATitle"/>
        <w:tabs>
          <w:tab w:val="clear" w:pos="562"/>
        </w:tabs>
        <w:suppressAutoHyphens w:val="0"/>
        <w:rPr>
          <w:del w:id="13941" w:author="AbbVie2" w:date="2025-05-14T10:24:00Z"/>
          <w:rFonts w:ascii="Times New Roman" w:hAnsi="Times New Roman"/>
          <w:caps w:val="0"/>
          <w:szCs w:val="22"/>
          <w:lang w:val="pt-PT"/>
        </w:rPr>
      </w:pPr>
    </w:p>
    <w:p w14:paraId="64CE044C" w14:textId="16E52F92" w:rsidR="004462A0" w:rsidRPr="008912CF" w:rsidRDefault="00615769" w:rsidP="004462A0">
      <w:pPr>
        <w:pStyle w:val="EMEATitle"/>
        <w:tabs>
          <w:tab w:val="clear" w:pos="562"/>
        </w:tabs>
        <w:suppressAutoHyphens w:val="0"/>
        <w:rPr>
          <w:del w:id="13942" w:author="AbbVie2" w:date="2025-05-14T10:24:00Z"/>
          <w:rFonts w:ascii="Times New Roman" w:hAnsi="Times New Roman"/>
          <w:caps w:val="0"/>
          <w:szCs w:val="22"/>
          <w:lang w:val="pt-PT"/>
        </w:rPr>
      </w:pPr>
      <w:del w:id="13943" w:author="AbbVie2" w:date="2025-05-14T10:24:00Z">
        <w:r w:rsidRPr="008912CF">
          <w:rPr>
            <w:rFonts w:ascii="Times New Roman" w:hAnsi="Times New Roman"/>
            <w:caps w:val="0"/>
            <w:szCs w:val="22"/>
            <w:lang w:val="pt-PT"/>
          </w:rPr>
          <w:delText xml:space="preserve">Humira </w:delText>
        </w:r>
        <w:r w:rsidRPr="008912CF">
          <w:rPr>
            <w:rFonts w:ascii="Times New Roman" w:hAnsi="Times New Roman"/>
            <w:bCs/>
            <w:caps w:val="0"/>
            <w:szCs w:val="22"/>
            <w:lang w:val="pt-PT"/>
          </w:rPr>
          <w:delText xml:space="preserve">40 mg solução injetável em seringa pré-cheia </w:delText>
        </w:r>
      </w:del>
    </w:p>
    <w:p w14:paraId="4E87C4B4" w14:textId="5A2D2384" w:rsidR="004462A0" w:rsidRPr="008912CF" w:rsidRDefault="00615769" w:rsidP="004462A0">
      <w:pPr>
        <w:jc w:val="center"/>
        <w:rPr>
          <w:del w:id="13944" w:author="AbbVie2" w:date="2025-05-14T10:24:00Z"/>
          <w:bCs/>
          <w:sz w:val="22"/>
          <w:szCs w:val="22"/>
        </w:rPr>
      </w:pPr>
      <w:del w:id="13945" w:author="AbbVie2" w:date="2025-05-14T10:24:00Z">
        <w:r w:rsidRPr="008912CF">
          <w:rPr>
            <w:bCs/>
            <w:sz w:val="22"/>
            <w:szCs w:val="22"/>
          </w:rPr>
          <w:delText>adalimumab</w:delText>
        </w:r>
      </w:del>
    </w:p>
    <w:p w14:paraId="49921936" w14:textId="10B86BAD" w:rsidR="004462A0" w:rsidRPr="008912CF" w:rsidRDefault="004462A0" w:rsidP="004462A0">
      <w:pPr>
        <w:jc w:val="center"/>
        <w:rPr>
          <w:del w:id="13946" w:author="AbbVie2" w:date="2025-05-14T10:24:00Z"/>
          <w:sz w:val="22"/>
          <w:szCs w:val="22"/>
        </w:rPr>
      </w:pPr>
    </w:p>
    <w:p w14:paraId="04DE1512" w14:textId="53E55FB5" w:rsidR="004462A0" w:rsidRPr="008912CF" w:rsidRDefault="00615769" w:rsidP="004462A0">
      <w:pPr>
        <w:ind w:right="-2"/>
        <w:rPr>
          <w:del w:id="13947" w:author="AbbVie2" w:date="2025-05-14T10:24:00Z"/>
          <w:sz w:val="22"/>
          <w:szCs w:val="22"/>
        </w:rPr>
      </w:pPr>
      <w:del w:id="13948" w:author="AbbVie2" w:date="2025-05-14T10:24:00Z">
        <w:r w:rsidRPr="008912CF">
          <w:rPr>
            <w:b/>
            <w:sz w:val="22"/>
            <w:szCs w:val="22"/>
          </w:rPr>
          <w:delText>Leia com atenção todo este folheto antes de começar a utilizar este medicamento, pois contém informação importante para si.</w:delText>
        </w:r>
      </w:del>
    </w:p>
    <w:p w14:paraId="56DB0EF5" w14:textId="7FC27A69" w:rsidR="004462A0" w:rsidRPr="008912CF" w:rsidRDefault="00615769" w:rsidP="004462A0">
      <w:pPr>
        <w:numPr>
          <w:ilvl w:val="0"/>
          <w:numId w:val="19"/>
        </w:numPr>
        <w:ind w:right="-2"/>
        <w:rPr>
          <w:del w:id="13949" w:author="AbbVie2" w:date="2025-05-14T10:24:00Z"/>
          <w:sz w:val="22"/>
          <w:szCs w:val="22"/>
        </w:rPr>
      </w:pPr>
      <w:del w:id="13950" w:author="AbbVie2" w:date="2025-05-14T10:24:00Z">
        <w:r w:rsidRPr="008912CF">
          <w:rPr>
            <w:sz w:val="22"/>
            <w:szCs w:val="22"/>
          </w:rPr>
          <w:delText xml:space="preserve">Conserve este folheto. Pode ter necessidade de o ler novamente. </w:delText>
        </w:r>
      </w:del>
    </w:p>
    <w:p w14:paraId="2CD9A86B" w14:textId="2DDDB363" w:rsidR="004462A0" w:rsidRPr="008912CF" w:rsidRDefault="00615769" w:rsidP="004462A0">
      <w:pPr>
        <w:numPr>
          <w:ilvl w:val="0"/>
          <w:numId w:val="19"/>
        </w:numPr>
        <w:ind w:right="-2"/>
        <w:rPr>
          <w:del w:id="13951" w:author="AbbVie2" w:date="2025-05-14T10:24:00Z"/>
          <w:sz w:val="22"/>
          <w:szCs w:val="22"/>
        </w:rPr>
      </w:pPr>
      <w:del w:id="13952" w:author="AbbVie2" w:date="2025-05-14T10:24:00Z">
        <w:r w:rsidRPr="008912CF">
          <w:rPr>
            <w:sz w:val="22"/>
            <w:szCs w:val="22"/>
          </w:rPr>
          <w:delText xml:space="preserve">O seu médico vai dar-lhe também um </w:delText>
        </w:r>
        <w:r w:rsidRPr="0083458C">
          <w:rPr>
            <w:b/>
            <w:sz w:val="22"/>
            <w:szCs w:val="22"/>
          </w:rPr>
          <w:delText>Cartão de Segurança do Doente</w:delText>
        </w:r>
        <w:r w:rsidRPr="008912CF">
          <w:rPr>
            <w:sz w:val="22"/>
            <w:szCs w:val="22"/>
          </w:rPr>
          <w:delText xml:space="preserve">, que contém informação de segurança importante que precisa conhecer, antes e durante o tratamento com Humira. Mantenha o </w:delText>
        </w:r>
        <w:r w:rsidRPr="0083458C">
          <w:rPr>
            <w:b/>
            <w:sz w:val="22"/>
            <w:szCs w:val="22"/>
          </w:rPr>
          <w:delText>Cartão de Segurança do Doente</w:delText>
        </w:r>
        <w:r w:rsidRPr="008912CF">
          <w:rPr>
            <w:sz w:val="22"/>
            <w:szCs w:val="22"/>
          </w:rPr>
          <w:delText xml:space="preserve"> consigo.</w:delText>
        </w:r>
      </w:del>
    </w:p>
    <w:p w14:paraId="351EDB6D" w14:textId="49539DB6" w:rsidR="004462A0" w:rsidRPr="008912CF" w:rsidRDefault="00615769" w:rsidP="004462A0">
      <w:pPr>
        <w:numPr>
          <w:ilvl w:val="0"/>
          <w:numId w:val="39"/>
        </w:numPr>
        <w:ind w:right="-2"/>
        <w:rPr>
          <w:del w:id="13953" w:author="AbbVie2" w:date="2025-05-14T10:24:00Z"/>
          <w:sz w:val="22"/>
          <w:szCs w:val="22"/>
        </w:rPr>
      </w:pPr>
      <w:del w:id="13954" w:author="AbbVie2" w:date="2025-05-14T10:24:00Z">
        <w:r w:rsidRPr="008912CF">
          <w:rPr>
            <w:sz w:val="22"/>
            <w:szCs w:val="22"/>
          </w:rPr>
          <w:delText>Caso ainda tenha dúvidas, fale com o seu médico ou farmacêutico.</w:delText>
        </w:r>
      </w:del>
    </w:p>
    <w:p w14:paraId="7BD4B42B" w14:textId="5F10639D" w:rsidR="004462A0" w:rsidRPr="008912CF" w:rsidRDefault="00615769" w:rsidP="004462A0">
      <w:pPr>
        <w:numPr>
          <w:ilvl w:val="0"/>
          <w:numId w:val="39"/>
        </w:numPr>
        <w:ind w:right="-2"/>
        <w:rPr>
          <w:del w:id="13955" w:author="AbbVie2" w:date="2025-05-14T10:24:00Z"/>
          <w:b/>
          <w:sz w:val="22"/>
          <w:szCs w:val="22"/>
        </w:rPr>
      </w:pPr>
      <w:del w:id="13956" w:author="AbbVie2" w:date="2025-05-14T10:24:00Z">
        <w:r w:rsidRPr="008912CF">
          <w:rPr>
            <w:sz w:val="22"/>
            <w:szCs w:val="22"/>
          </w:rPr>
          <w:delText>Este medicamento foi receitado apenas para si. Não deve dá-lo a outros. O medicamento pode ser-lhes prejudicial mesmo que apresentem os mesmos sinais de doença.</w:delText>
        </w:r>
      </w:del>
    </w:p>
    <w:p w14:paraId="2A10D214" w14:textId="6EB59B50" w:rsidR="005A3FC0" w:rsidRPr="00653128" w:rsidRDefault="00615769" w:rsidP="005A3FC0">
      <w:pPr>
        <w:numPr>
          <w:ilvl w:val="0"/>
          <w:numId w:val="39"/>
        </w:numPr>
        <w:ind w:right="-2"/>
        <w:rPr>
          <w:del w:id="13957" w:author="AbbVie2" w:date="2025-05-14T10:24:00Z"/>
          <w:b/>
          <w:sz w:val="22"/>
          <w:szCs w:val="22"/>
        </w:rPr>
      </w:pPr>
      <w:del w:id="13958" w:author="AbbVie2" w:date="2025-05-14T10:24:00Z">
        <w:r w:rsidRPr="009A05BE">
          <w:rPr>
            <w:sz w:val="22"/>
            <w:szCs w:val="22"/>
          </w:rPr>
          <w:delText xml:space="preserve">Se tiver quaisquer efeitos </w:delText>
        </w:r>
        <w:r w:rsidR="00571C82">
          <w:rPr>
            <w:sz w:val="22"/>
            <w:szCs w:val="22"/>
          </w:rPr>
          <w:delText>indesejáveis</w:delText>
        </w:r>
        <w:r w:rsidRPr="009A05BE">
          <w:rPr>
            <w:sz w:val="22"/>
            <w:szCs w:val="22"/>
          </w:rPr>
          <w:delText xml:space="preserve">, incluindo possíveis efeitos </w:delText>
        </w:r>
        <w:r w:rsidR="00571C82">
          <w:rPr>
            <w:sz w:val="22"/>
            <w:szCs w:val="22"/>
          </w:rPr>
          <w:delText>indesejáveis</w:delText>
        </w:r>
        <w:r w:rsidRPr="00854C93">
          <w:rPr>
            <w:sz w:val="22"/>
            <w:szCs w:val="22"/>
          </w:rPr>
          <w:delText xml:space="preserve"> não indicados neste folheto, fale com o seu médico ou farmacêutico</w:delText>
        </w:r>
        <w:r w:rsidRPr="0089156B">
          <w:rPr>
            <w:sz w:val="22"/>
            <w:szCs w:val="22"/>
          </w:rPr>
          <w:delText xml:space="preserve">. </w:delText>
        </w:r>
        <w:r w:rsidRPr="000B3FE3">
          <w:rPr>
            <w:sz w:val="22"/>
            <w:szCs w:val="22"/>
          </w:rPr>
          <w:delText>Ver secção 4</w:delText>
        </w:r>
        <w:r w:rsidRPr="004931CE">
          <w:rPr>
            <w:sz w:val="22"/>
            <w:szCs w:val="22"/>
          </w:rPr>
          <w:delText>.</w:delText>
        </w:r>
      </w:del>
    </w:p>
    <w:p w14:paraId="625817DD" w14:textId="481435C9" w:rsidR="004462A0" w:rsidRPr="008912CF" w:rsidRDefault="004462A0" w:rsidP="004462A0">
      <w:pPr>
        <w:ind w:right="-2"/>
        <w:rPr>
          <w:del w:id="13959" w:author="AbbVie2" w:date="2025-05-14T10:24:00Z"/>
          <w:sz w:val="22"/>
          <w:szCs w:val="22"/>
          <w:u w:val="single"/>
        </w:rPr>
      </w:pPr>
    </w:p>
    <w:p w14:paraId="689867E1" w14:textId="370C45FD" w:rsidR="004462A0" w:rsidRPr="009B21DC" w:rsidRDefault="00615769" w:rsidP="004462A0">
      <w:pPr>
        <w:ind w:right="-2"/>
        <w:rPr>
          <w:del w:id="13960" w:author="AbbVie2" w:date="2025-05-14T10:24:00Z"/>
          <w:sz w:val="22"/>
          <w:szCs w:val="22"/>
        </w:rPr>
      </w:pPr>
      <w:del w:id="13961" w:author="AbbVie2" w:date="2025-05-14T10:24:00Z">
        <w:r w:rsidRPr="00F1550B">
          <w:rPr>
            <w:b/>
            <w:sz w:val="22"/>
            <w:szCs w:val="22"/>
          </w:rPr>
          <w:delText>O que contém este folheto</w:delText>
        </w:r>
        <w:r w:rsidRPr="009B21DC">
          <w:rPr>
            <w:sz w:val="22"/>
            <w:szCs w:val="22"/>
          </w:rPr>
          <w:delText xml:space="preserve"> </w:delText>
        </w:r>
      </w:del>
    </w:p>
    <w:p w14:paraId="39D60079" w14:textId="0F2ECF89" w:rsidR="004462A0" w:rsidRPr="008912CF" w:rsidRDefault="00615769" w:rsidP="004462A0">
      <w:pPr>
        <w:ind w:left="567" w:hanging="567"/>
        <w:rPr>
          <w:del w:id="13962" w:author="AbbVie2" w:date="2025-05-14T10:24:00Z"/>
          <w:sz w:val="22"/>
          <w:szCs w:val="22"/>
        </w:rPr>
      </w:pPr>
      <w:del w:id="13963" w:author="AbbVie2" w:date="2025-05-14T10:24:00Z">
        <w:r w:rsidRPr="008912CF">
          <w:rPr>
            <w:sz w:val="22"/>
            <w:szCs w:val="22"/>
          </w:rPr>
          <w:delText>1.</w:delText>
        </w:r>
        <w:r w:rsidRPr="008912CF">
          <w:rPr>
            <w:sz w:val="22"/>
            <w:szCs w:val="22"/>
          </w:rPr>
          <w:tab/>
          <w:delText xml:space="preserve">O que é Humira e para que é utilizado </w:delText>
        </w:r>
      </w:del>
    </w:p>
    <w:p w14:paraId="61DD04B6" w14:textId="4F44E6A8" w:rsidR="004462A0" w:rsidRPr="008912CF" w:rsidRDefault="00615769" w:rsidP="004462A0">
      <w:pPr>
        <w:ind w:left="567" w:hanging="567"/>
        <w:rPr>
          <w:del w:id="13964" w:author="AbbVie2" w:date="2025-05-14T10:24:00Z"/>
          <w:sz w:val="22"/>
          <w:szCs w:val="22"/>
        </w:rPr>
      </w:pPr>
      <w:del w:id="13965" w:author="AbbVie2" w:date="2025-05-14T10:24:00Z">
        <w:r w:rsidRPr="008912CF">
          <w:rPr>
            <w:sz w:val="22"/>
            <w:szCs w:val="22"/>
          </w:rPr>
          <w:delText>2.</w:delText>
        </w:r>
        <w:r w:rsidRPr="008912CF">
          <w:rPr>
            <w:sz w:val="22"/>
            <w:szCs w:val="22"/>
          </w:rPr>
          <w:tab/>
          <w:delText>O que precisa de saber antes de utilizar Humira</w:delText>
        </w:r>
      </w:del>
    </w:p>
    <w:p w14:paraId="770AA363" w14:textId="500B74BA" w:rsidR="004462A0" w:rsidRPr="008912CF" w:rsidRDefault="00615769" w:rsidP="004462A0">
      <w:pPr>
        <w:ind w:left="567" w:hanging="567"/>
        <w:rPr>
          <w:del w:id="13966" w:author="AbbVie2" w:date="2025-05-14T10:24:00Z"/>
          <w:sz w:val="22"/>
          <w:szCs w:val="22"/>
        </w:rPr>
      </w:pPr>
      <w:del w:id="13967" w:author="AbbVie2" w:date="2025-05-14T10:24:00Z">
        <w:r w:rsidRPr="008912CF">
          <w:rPr>
            <w:sz w:val="22"/>
            <w:szCs w:val="22"/>
          </w:rPr>
          <w:delText>3.</w:delText>
        </w:r>
        <w:r w:rsidRPr="008912CF">
          <w:rPr>
            <w:sz w:val="22"/>
            <w:szCs w:val="22"/>
          </w:rPr>
          <w:tab/>
          <w:delText>Como utilizar Humira</w:delText>
        </w:r>
      </w:del>
    </w:p>
    <w:p w14:paraId="6E2B1508" w14:textId="17DE08F5" w:rsidR="004462A0" w:rsidRPr="008912CF" w:rsidRDefault="00615769" w:rsidP="004462A0">
      <w:pPr>
        <w:ind w:left="567" w:hanging="567"/>
        <w:rPr>
          <w:del w:id="13968" w:author="AbbVie2" w:date="2025-05-14T10:24:00Z"/>
          <w:sz w:val="22"/>
          <w:szCs w:val="22"/>
        </w:rPr>
      </w:pPr>
      <w:del w:id="13969" w:author="AbbVie2" w:date="2025-05-14T10:24:00Z">
        <w:r w:rsidRPr="008912CF">
          <w:rPr>
            <w:sz w:val="22"/>
            <w:szCs w:val="22"/>
          </w:rPr>
          <w:delText>4.</w:delText>
        </w:r>
        <w:r w:rsidRPr="008912CF">
          <w:rPr>
            <w:sz w:val="22"/>
            <w:szCs w:val="22"/>
          </w:rPr>
          <w:tab/>
          <w:delText xml:space="preserve">Efeitos </w:delText>
        </w:r>
        <w:r w:rsidR="00571C82">
          <w:rPr>
            <w:sz w:val="22"/>
            <w:szCs w:val="22"/>
          </w:rPr>
          <w:delText>indesejáveis</w:delText>
        </w:r>
        <w:r w:rsidRPr="008912CF">
          <w:rPr>
            <w:sz w:val="22"/>
            <w:szCs w:val="22"/>
          </w:rPr>
          <w:delText xml:space="preserve"> possíveis </w:delText>
        </w:r>
      </w:del>
    </w:p>
    <w:p w14:paraId="05D2CEB8" w14:textId="7694819D" w:rsidR="004462A0" w:rsidRPr="008912CF" w:rsidRDefault="00615769" w:rsidP="004462A0">
      <w:pPr>
        <w:pStyle w:val="EMEABullet"/>
        <w:tabs>
          <w:tab w:val="clear" w:pos="567"/>
        </w:tabs>
        <w:suppressAutoHyphens w:val="0"/>
        <w:rPr>
          <w:del w:id="13970" w:author="AbbVie2" w:date="2025-05-14T10:24:00Z"/>
          <w:szCs w:val="22"/>
          <w:lang w:val="pt-PT"/>
        </w:rPr>
      </w:pPr>
      <w:del w:id="13971" w:author="AbbVie2" w:date="2025-05-14T10:24:00Z">
        <w:r w:rsidRPr="008912CF">
          <w:rPr>
            <w:szCs w:val="22"/>
            <w:lang w:val="pt-PT"/>
          </w:rPr>
          <w:delText>5</w:delText>
        </w:r>
        <w:r w:rsidRPr="008912CF">
          <w:rPr>
            <w:szCs w:val="22"/>
            <w:lang w:val="pt-PT"/>
          </w:rPr>
          <w:tab/>
          <w:delText>Como conservar Humira</w:delText>
        </w:r>
      </w:del>
    </w:p>
    <w:p w14:paraId="0351113C" w14:textId="61189FDF" w:rsidR="004462A0" w:rsidRPr="008912CF" w:rsidRDefault="00615769" w:rsidP="004462A0">
      <w:pPr>
        <w:ind w:left="567" w:hanging="567"/>
        <w:rPr>
          <w:del w:id="13972" w:author="AbbVie2" w:date="2025-05-14T10:24:00Z"/>
          <w:sz w:val="22"/>
          <w:szCs w:val="22"/>
        </w:rPr>
      </w:pPr>
      <w:del w:id="13973" w:author="AbbVie2" w:date="2025-05-14T10:24:00Z">
        <w:r w:rsidRPr="008912CF">
          <w:rPr>
            <w:sz w:val="22"/>
            <w:szCs w:val="22"/>
          </w:rPr>
          <w:delText>6.</w:delText>
        </w:r>
        <w:r w:rsidRPr="008912CF">
          <w:rPr>
            <w:sz w:val="22"/>
            <w:szCs w:val="22"/>
          </w:rPr>
          <w:tab/>
          <w:delText>Conteúdo da embalagem e outras informações</w:delText>
        </w:r>
      </w:del>
    </w:p>
    <w:p w14:paraId="580EDA9A" w14:textId="08BA235A" w:rsidR="004462A0" w:rsidRPr="008912CF" w:rsidRDefault="004462A0" w:rsidP="004462A0">
      <w:pPr>
        <w:ind w:right="-2"/>
        <w:rPr>
          <w:del w:id="13974" w:author="AbbVie2" w:date="2025-05-14T10:24:00Z"/>
          <w:sz w:val="22"/>
          <w:szCs w:val="22"/>
        </w:rPr>
      </w:pPr>
    </w:p>
    <w:p w14:paraId="4CE51B71" w14:textId="67EAF867" w:rsidR="004462A0" w:rsidRPr="008912CF" w:rsidRDefault="004462A0" w:rsidP="004462A0">
      <w:pPr>
        <w:ind w:right="-2"/>
        <w:rPr>
          <w:del w:id="13975" w:author="AbbVie2" w:date="2025-05-14T10:24:00Z"/>
          <w:sz w:val="22"/>
          <w:szCs w:val="22"/>
        </w:rPr>
      </w:pPr>
    </w:p>
    <w:p w14:paraId="0C5A9233" w14:textId="4306AD46" w:rsidR="004462A0" w:rsidRPr="008912CF" w:rsidRDefault="00615769" w:rsidP="004462A0">
      <w:pPr>
        <w:ind w:left="567" w:right="-2" w:hanging="567"/>
        <w:rPr>
          <w:del w:id="13976" w:author="AbbVie2" w:date="2025-05-14T10:24:00Z"/>
          <w:sz w:val="22"/>
          <w:szCs w:val="22"/>
        </w:rPr>
      </w:pPr>
      <w:del w:id="13977" w:author="AbbVie2" w:date="2025-05-14T10:24:00Z">
        <w:r w:rsidRPr="008912CF">
          <w:rPr>
            <w:b/>
            <w:sz w:val="22"/>
            <w:szCs w:val="22"/>
          </w:rPr>
          <w:delText>1.</w:delText>
        </w:r>
        <w:r w:rsidRPr="008912CF">
          <w:rPr>
            <w:b/>
            <w:sz w:val="22"/>
            <w:szCs w:val="22"/>
          </w:rPr>
          <w:tab/>
          <w:delText>O que é Humira e para que é utilizado</w:delText>
        </w:r>
      </w:del>
    </w:p>
    <w:p w14:paraId="09A76155" w14:textId="72322E18" w:rsidR="004462A0" w:rsidRPr="008912CF" w:rsidRDefault="004462A0" w:rsidP="004462A0">
      <w:pPr>
        <w:pStyle w:val="EndnoteText"/>
        <w:tabs>
          <w:tab w:val="clear" w:pos="567"/>
        </w:tabs>
        <w:rPr>
          <w:del w:id="13978" w:author="AbbVie2" w:date="2025-05-14T10:24:00Z"/>
          <w:szCs w:val="22"/>
        </w:rPr>
      </w:pPr>
    </w:p>
    <w:p w14:paraId="754DB332" w14:textId="6B60654B" w:rsidR="004C064C" w:rsidRPr="007D762F" w:rsidRDefault="00615769" w:rsidP="004C064C">
      <w:pPr>
        <w:ind w:right="-2"/>
        <w:rPr>
          <w:del w:id="13979" w:author="AbbVie2" w:date="2025-05-14T10:24:00Z"/>
          <w:sz w:val="22"/>
          <w:szCs w:val="22"/>
        </w:rPr>
      </w:pPr>
      <w:del w:id="13980" w:author="AbbVie2" w:date="2025-05-14T10:24:00Z">
        <w:r w:rsidRPr="007D762F">
          <w:rPr>
            <w:sz w:val="22"/>
            <w:szCs w:val="22"/>
          </w:rPr>
          <w:delText>Humira contém adalimumab como substância ativa.</w:delText>
        </w:r>
      </w:del>
    </w:p>
    <w:p w14:paraId="40E083A5" w14:textId="6C1ADEF0" w:rsidR="004C064C" w:rsidRPr="007D762F" w:rsidRDefault="004C064C" w:rsidP="004C064C">
      <w:pPr>
        <w:ind w:right="-2"/>
        <w:rPr>
          <w:del w:id="13981" w:author="AbbVie2" w:date="2025-05-14T10:24:00Z"/>
          <w:sz w:val="22"/>
          <w:szCs w:val="22"/>
        </w:rPr>
      </w:pPr>
    </w:p>
    <w:p w14:paraId="00271BCD" w14:textId="1A598419" w:rsidR="004C064C" w:rsidRPr="007D762F" w:rsidRDefault="00615769" w:rsidP="004C064C">
      <w:pPr>
        <w:ind w:right="-2"/>
        <w:rPr>
          <w:del w:id="13982" w:author="AbbVie2" w:date="2025-05-14T10:24:00Z"/>
          <w:sz w:val="22"/>
          <w:szCs w:val="22"/>
        </w:rPr>
      </w:pPr>
      <w:del w:id="13983" w:author="AbbVie2" w:date="2025-05-14T10:24:00Z">
        <w:r w:rsidRPr="007D762F">
          <w:rPr>
            <w:sz w:val="22"/>
            <w:szCs w:val="22"/>
          </w:rPr>
          <w:delText>Humira é usado no tratamento d</w:delText>
        </w:r>
        <w:r w:rsidR="005E450E">
          <w:rPr>
            <w:sz w:val="22"/>
            <w:szCs w:val="22"/>
          </w:rPr>
          <w:delText>as</w:delText>
        </w:r>
        <w:r w:rsidRPr="007D762F">
          <w:rPr>
            <w:sz w:val="22"/>
            <w:szCs w:val="22"/>
          </w:rPr>
          <w:delText xml:space="preserve"> doenças inflamatórias abaixo descritas:</w:delText>
        </w:r>
      </w:del>
    </w:p>
    <w:p w14:paraId="77622631" w14:textId="76727EBB" w:rsidR="005E450E" w:rsidRDefault="00615769" w:rsidP="004C064C">
      <w:pPr>
        <w:ind w:right="-2"/>
        <w:rPr>
          <w:del w:id="13984" w:author="AbbVie2" w:date="2025-05-14T10:24:00Z"/>
          <w:sz w:val="22"/>
          <w:szCs w:val="22"/>
        </w:rPr>
      </w:pPr>
      <w:del w:id="13985" w:author="AbbVie2" w:date="2025-05-14T10:24:00Z">
        <w:r w:rsidRPr="007D762F">
          <w:rPr>
            <w:sz w:val="22"/>
            <w:szCs w:val="22"/>
          </w:rPr>
          <w:delText>•</w:delText>
        </w:r>
        <w:r w:rsidRPr="007D762F">
          <w:rPr>
            <w:sz w:val="22"/>
            <w:szCs w:val="22"/>
          </w:rPr>
          <w:tab/>
          <w:delText xml:space="preserve">Artrite </w:delText>
        </w:r>
        <w:r>
          <w:rPr>
            <w:sz w:val="22"/>
            <w:szCs w:val="22"/>
          </w:rPr>
          <w:delText>reumat</w:delText>
        </w:r>
        <w:r w:rsidR="00FF670B">
          <w:rPr>
            <w:sz w:val="22"/>
            <w:szCs w:val="22"/>
          </w:rPr>
          <w:delText>o</w:delText>
        </w:r>
        <w:r>
          <w:rPr>
            <w:sz w:val="22"/>
            <w:szCs w:val="22"/>
          </w:rPr>
          <w:delText>ide</w:delText>
        </w:r>
        <w:r w:rsidR="00B954D6">
          <w:rPr>
            <w:sz w:val="22"/>
            <w:szCs w:val="22"/>
          </w:rPr>
          <w:delText>,</w:delText>
        </w:r>
      </w:del>
    </w:p>
    <w:p w14:paraId="0B6011C7" w14:textId="0836E9F5" w:rsidR="004C064C" w:rsidRPr="00F03C54" w:rsidRDefault="00615769" w:rsidP="00F03C54">
      <w:pPr>
        <w:pStyle w:val="ListParagraph"/>
        <w:numPr>
          <w:ilvl w:val="0"/>
          <w:numId w:val="69"/>
        </w:numPr>
        <w:ind w:left="709" w:right="-2" w:hanging="709"/>
        <w:rPr>
          <w:del w:id="13986" w:author="AbbVie2" w:date="2025-05-14T10:24:00Z"/>
          <w:sz w:val="22"/>
          <w:szCs w:val="22"/>
        </w:rPr>
      </w:pPr>
      <w:del w:id="13987" w:author="AbbVie2" w:date="2025-05-14T10:24:00Z">
        <w:r w:rsidRPr="00F03C54">
          <w:rPr>
            <w:sz w:val="22"/>
            <w:szCs w:val="22"/>
          </w:rPr>
          <w:delText>Artrite idiopática juvenil poliarticular</w:delText>
        </w:r>
        <w:r w:rsidR="00B954D6">
          <w:rPr>
            <w:sz w:val="22"/>
            <w:szCs w:val="22"/>
          </w:rPr>
          <w:delText>,</w:delText>
        </w:r>
        <w:r w:rsidRPr="00F03C54">
          <w:rPr>
            <w:sz w:val="22"/>
            <w:szCs w:val="22"/>
          </w:rPr>
          <w:delText xml:space="preserve">  </w:delText>
        </w:r>
      </w:del>
    </w:p>
    <w:p w14:paraId="7F96B769" w14:textId="1A309E37" w:rsidR="004C064C" w:rsidRDefault="00615769" w:rsidP="004C064C">
      <w:pPr>
        <w:ind w:right="-2"/>
        <w:rPr>
          <w:del w:id="13988" w:author="AbbVie2" w:date="2025-05-14T10:24:00Z"/>
          <w:sz w:val="22"/>
          <w:szCs w:val="22"/>
        </w:rPr>
      </w:pPr>
      <w:del w:id="13989" w:author="AbbVie2" w:date="2025-05-14T10:24:00Z">
        <w:r w:rsidRPr="007D762F">
          <w:rPr>
            <w:sz w:val="22"/>
            <w:szCs w:val="22"/>
          </w:rPr>
          <w:delText>•</w:delText>
        </w:r>
        <w:r w:rsidRPr="007D762F">
          <w:rPr>
            <w:sz w:val="22"/>
            <w:szCs w:val="22"/>
          </w:rPr>
          <w:tab/>
          <w:delText>Artrite relacionada com entesite</w:delText>
        </w:r>
        <w:r w:rsidR="00B954D6">
          <w:rPr>
            <w:sz w:val="22"/>
            <w:szCs w:val="22"/>
          </w:rPr>
          <w:delText>,</w:delText>
        </w:r>
      </w:del>
    </w:p>
    <w:p w14:paraId="54073938" w14:textId="6BC8C987" w:rsidR="00B954D6" w:rsidRPr="00ED00A2" w:rsidRDefault="00615769" w:rsidP="00F03C54">
      <w:pPr>
        <w:pStyle w:val="ListParagraph"/>
        <w:numPr>
          <w:ilvl w:val="0"/>
          <w:numId w:val="69"/>
        </w:numPr>
        <w:ind w:left="709" w:right="-2" w:hanging="709"/>
        <w:rPr>
          <w:del w:id="13990" w:author="AbbVie2" w:date="2025-05-14T10:24:00Z"/>
          <w:sz w:val="22"/>
          <w:szCs w:val="22"/>
        </w:rPr>
      </w:pPr>
      <w:del w:id="13991" w:author="AbbVie2" w:date="2025-05-14T10:24:00Z">
        <w:r w:rsidRPr="00ED00A2">
          <w:rPr>
            <w:sz w:val="22"/>
            <w:szCs w:val="22"/>
          </w:rPr>
          <w:delText>Espondilite anquilosante,</w:delText>
        </w:r>
      </w:del>
    </w:p>
    <w:p w14:paraId="342AFFC6" w14:textId="380CAD2F" w:rsidR="00B954D6" w:rsidRPr="00F03C54" w:rsidRDefault="00615769" w:rsidP="00F03C54">
      <w:pPr>
        <w:pStyle w:val="ListParagraph"/>
        <w:numPr>
          <w:ilvl w:val="0"/>
          <w:numId w:val="69"/>
        </w:numPr>
        <w:ind w:left="709" w:right="-2" w:hanging="709"/>
        <w:rPr>
          <w:del w:id="13992" w:author="AbbVie2" w:date="2025-05-14T10:24:00Z"/>
          <w:sz w:val="22"/>
          <w:szCs w:val="22"/>
        </w:rPr>
      </w:pPr>
      <w:del w:id="13993" w:author="AbbVie2" w:date="2025-05-14T10:24:00Z">
        <w:r w:rsidRPr="00F03C54">
          <w:rPr>
            <w:sz w:val="22"/>
            <w:szCs w:val="22"/>
          </w:rPr>
          <w:delText>Espondilartrite axial sem evidência radiográfica de espondilite anquilosante,</w:delText>
        </w:r>
      </w:del>
    </w:p>
    <w:p w14:paraId="70A30E04" w14:textId="563C2830" w:rsidR="00B954D6" w:rsidRPr="00F03C54" w:rsidRDefault="00615769" w:rsidP="00F03C54">
      <w:pPr>
        <w:pStyle w:val="ListParagraph"/>
        <w:numPr>
          <w:ilvl w:val="0"/>
          <w:numId w:val="69"/>
        </w:numPr>
        <w:ind w:left="709" w:right="-2" w:hanging="709"/>
        <w:rPr>
          <w:del w:id="13994" w:author="AbbVie2" w:date="2025-05-14T10:24:00Z"/>
          <w:sz w:val="22"/>
          <w:szCs w:val="22"/>
        </w:rPr>
      </w:pPr>
      <w:del w:id="13995" w:author="AbbVie2" w:date="2025-05-14T10:24:00Z">
        <w:r w:rsidRPr="00F03C54">
          <w:rPr>
            <w:sz w:val="22"/>
            <w:szCs w:val="22"/>
          </w:rPr>
          <w:delText>Artrite psoriática,</w:delText>
        </w:r>
      </w:del>
    </w:p>
    <w:p w14:paraId="3A5DAD69" w14:textId="3AAB37B3" w:rsidR="004C064C" w:rsidRDefault="00615769" w:rsidP="004C064C">
      <w:pPr>
        <w:ind w:right="-2"/>
        <w:rPr>
          <w:del w:id="13996" w:author="AbbVie2" w:date="2025-05-14T10:24:00Z"/>
          <w:sz w:val="22"/>
          <w:szCs w:val="22"/>
        </w:rPr>
      </w:pPr>
      <w:del w:id="13997" w:author="AbbVie2" w:date="2025-05-14T10:24:00Z">
        <w:r w:rsidRPr="007D762F">
          <w:rPr>
            <w:sz w:val="22"/>
            <w:szCs w:val="22"/>
          </w:rPr>
          <w:delText>•</w:delText>
        </w:r>
        <w:r w:rsidRPr="007D762F">
          <w:rPr>
            <w:sz w:val="22"/>
            <w:szCs w:val="22"/>
          </w:rPr>
          <w:tab/>
          <w:delText>Psoríase</w:delText>
        </w:r>
        <w:r w:rsidR="00B954D6">
          <w:rPr>
            <w:sz w:val="22"/>
            <w:szCs w:val="22"/>
          </w:rPr>
          <w:delText>,</w:delText>
        </w:r>
      </w:del>
    </w:p>
    <w:p w14:paraId="36D255A9" w14:textId="4FC1E121" w:rsidR="004C064C" w:rsidRPr="007D762F" w:rsidRDefault="00615769" w:rsidP="004C064C">
      <w:pPr>
        <w:ind w:right="-2"/>
        <w:rPr>
          <w:del w:id="13998" w:author="AbbVie2" w:date="2025-05-14T10:24:00Z"/>
          <w:sz w:val="22"/>
          <w:szCs w:val="22"/>
        </w:rPr>
      </w:pPr>
      <w:del w:id="13999" w:author="AbbVie2" w:date="2025-05-14T10:24:00Z">
        <w:r w:rsidRPr="007D762F">
          <w:rPr>
            <w:sz w:val="22"/>
            <w:szCs w:val="22"/>
          </w:rPr>
          <w:delText>•</w:delText>
        </w:r>
        <w:r w:rsidRPr="007D762F">
          <w:rPr>
            <w:sz w:val="22"/>
            <w:szCs w:val="22"/>
          </w:rPr>
          <w:tab/>
        </w:r>
        <w:r>
          <w:rPr>
            <w:sz w:val="22"/>
            <w:szCs w:val="22"/>
          </w:rPr>
          <w:delText>Hidradenite supurativa</w:delText>
        </w:r>
        <w:r w:rsidR="00B954D6">
          <w:rPr>
            <w:sz w:val="22"/>
            <w:szCs w:val="22"/>
          </w:rPr>
          <w:delText>,</w:delText>
        </w:r>
      </w:del>
    </w:p>
    <w:p w14:paraId="3E2CF6EE" w14:textId="142E57BE" w:rsidR="004C064C" w:rsidRPr="007D762F" w:rsidRDefault="00615769" w:rsidP="004C064C">
      <w:pPr>
        <w:ind w:right="-2"/>
        <w:rPr>
          <w:del w:id="14000" w:author="AbbVie2" w:date="2025-05-14T10:24:00Z"/>
          <w:sz w:val="22"/>
          <w:szCs w:val="22"/>
        </w:rPr>
      </w:pPr>
      <w:del w:id="14001" w:author="AbbVie2" w:date="2025-05-14T10:24:00Z">
        <w:r w:rsidRPr="007D762F">
          <w:rPr>
            <w:sz w:val="22"/>
            <w:szCs w:val="22"/>
          </w:rPr>
          <w:delText>•</w:delText>
        </w:r>
        <w:r w:rsidRPr="007D762F">
          <w:rPr>
            <w:sz w:val="22"/>
            <w:szCs w:val="22"/>
          </w:rPr>
          <w:tab/>
          <w:delText>Doença de Crohn</w:delText>
        </w:r>
        <w:r w:rsidR="00B954D6">
          <w:rPr>
            <w:sz w:val="22"/>
            <w:szCs w:val="22"/>
          </w:rPr>
          <w:delText>,</w:delText>
        </w:r>
      </w:del>
    </w:p>
    <w:p w14:paraId="5E09EDB0" w14:textId="0CB4055B" w:rsidR="00B954D6" w:rsidRDefault="00615769" w:rsidP="004C064C">
      <w:pPr>
        <w:ind w:right="-2"/>
        <w:rPr>
          <w:del w:id="14002" w:author="AbbVie2" w:date="2025-05-14T10:24:00Z"/>
          <w:sz w:val="22"/>
          <w:szCs w:val="22"/>
        </w:rPr>
      </w:pPr>
      <w:del w:id="14003" w:author="AbbVie2" w:date="2025-05-14T10:24:00Z">
        <w:r w:rsidRPr="007D762F">
          <w:rPr>
            <w:sz w:val="22"/>
            <w:szCs w:val="22"/>
          </w:rPr>
          <w:delText>•</w:delText>
        </w:r>
        <w:r w:rsidRPr="007D762F">
          <w:rPr>
            <w:sz w:val="22"/>
            <w:szCs w:val="22"/>
          </w:rPr>
          <w:tab/>
        </w:r>
        <w:r>
          <w:rPr>
            <w:sz w:val="22"/>
            <w:szCs w:val="22"/>
          </w:rPr>
          <w:delText>Colite ulcerosa e</w:delText>
        </w:r>
      </w:del>
    </w:p>
    <w:p w14:paraId="3DF061FD" w14:textId="7C116E66" w:rsidR="004C064C" w:rsidRPr="00B954D6" w:rsidRDefault="00615769" w:rsidP="00F03C54">
      <w:pPr>
        <w:pStyle w:val="ListParagraph"/>
        <w:numPr>
          <w:ilvl w:val="0"/>
          <w:numId w:val="147"/>
        </w:numPr>
        <w:ind w:right="-2" w:hanging="720"/>
        <w:rPr>
          <w:del w:id="14004" w:author="AbbVie2" w:date="2025-05-14T10:24:00Z"/>
          <w:sz w:val="22"/>
          <w:szCs w:val="22"/>
        </w:rPr>
      </w:pPr>
      <w:del w:id="14005" w:author="AbbVie2" w:date="2025-05-14T10:24:00Z">
        <w:r w:rsidRPr="00F03C54">
          <w:rPr>
            <w:sz w:val="22"/>
            <w:szCs w:val="22"/>
          </w:rPr>
          <w:delText xml:space="preserve">Uveíte </w:delText>
        </w:r>
        <w:r w:rsidR="00B954D6" w:rsidRPr="00B954D6">
          <w:rPr>
            <w:sz w:val="22"/>
            <w:szCs w:val="22"/>
          </w:rPr>
          <w:delText>não infecciosa</w:delText>
        </w:r>
        <w:r w:rsidRPr="00B954D6">
          <w:rPr>
            <w:sz w:val="22"/>
            <w:szCs w:val="22"/>
          </w:rPr>
          <w:delText xml:space="preserve"> </w:delText>
        </w:r>
      </w:del>
    </w:p>
    <w:p w14:paraId="49EBF3B6" w14:textId="43C53418" w:rsidR="004C064C" w:rsidRPr="007D762F" w:rsidRDefault="004C064C" w:rsidP="004C064C">
      <w:pPr>
        <w:ind w:right="-2"/>
        <w:rPr>
          <w:del w:id="14006" w:author="AbbVie2" w:date="2025-05-14T10:24:00Z"/>
          <w:sz w:val="22"/>
          <w:szCs w:val="22"/>
        </w:rPr>
      </w:pPr>
    </w:p>
    <w:p w14:paraId="7BF16DEC" w14:textId="78AF0FB9" w:rsidR="004C064C" w:rsidRPr="007D762F" w:rsidRDefault="00615769" w:rsidP="004C064C">
      <w:pPr>
        <w:ind w:right="-2"/>
        <w:rPr>
          <w:del w:id="14007" w:author="AbbVie2" w:date="2025-05-14T10:24:00Z"/>
          <w:sz w:val="22"/>
          <w:szCs w:val="22"/>
        </w:rPr>
      </w:pPr>
      <w:del w:id="14008" w:author="AbbVie2" w:date="2025-05-14T10:24:00Z">
        <w:r w:rsidRPr="007D762F">
          <w:rPr>
            <w:sz w:val="22"/>
            <w:szCs w:val="22"/>
          </w:rPr>
          <w:delText>A substância ativa de Humira, adalimumab, é um anticorpo monoclonal humano. Os anticorpos monoclonais são proteínas que se ligam a um alvo específico.</w:delText>
        </w:r>
      </w:del>
    </w:p>
    <w:p w14:paraId="7812EAA5" w14:textId="6EFB2D9B" w:rsidR="004C064C" w:rsidRPr="007D762F" w:rsidRDefault="004C064C" w:rsidP="004C064C">
      <w:pPr>
        <w:ind w:right="-2"/>
        <w:rPr>
          <w:del w:id="14009" w:author="AbbVie2" w:date="2025-05-14T10:24:00Z"/>
          <w:sz w:val="22"/>
          <w:szCs w:val="22"/>
        </w:rPr>
      </w:pPr>
    </w:p>
    <w:p w14:paraId="08C0BC26" w14:textId="31DC9F07" w:rsidR="004C064C" w:rsidRDefault="00615769" w:rsidP="004C064C">
      <w:pPr>
        <w:ind w:right="-2"/>
        <w:rPr>
          <w:del w:id="14010" w:author="AbbVie2" w:date="2025-05-14T10:24:00Z"/>
          <w:sz w:val="22"/>
          <w:szCs w:val="22"/>
        </w:rPr>
      </w:pPr>
      <w:del w:id="14011" w:author="AbbVie2" w:date="2025-05-14T10:24:00Z">
        <w:r w:rsidRPr="007D762F">
          <w:rPr>
            <w:sz w:val="22"/>
            <w:szCs w:val="22"/>
          </w:rPr>
          <w:delText>O alvo de adalimumab é uma proteína denominada fator de necrose tumoral (TNFα), que está envolvida no sistema imunitário (defesa) e está presente em níveis aumentados nas doenças inflamatórias a</w:delText>
        </w:r>
        <w:r w:rsidR="00816FFE">
          <w:rPr>
            <w:sz w:val="22"/>
            <w:szCs w:val="22"/>
          </w:rPr>
          <w:delText>cima</w:delText>
        </w:r>
        <w:r w:rsidRPr="007D762F">
          <w:rPr>
            <w:sz w:val="22"/>
            <w:szCs w:val="22"/>
          </w:rPr>
          <w:delText xml:space="preserve"> mencionadas. </w:delText>
        </w:r>
        <w:r w:rsidR="00D26B76">
          <w:rPr>
            <w:sz w:val="22"/>
            <w:szCs w:val="22"/>
          </w:rPr>
          <w:delText>Ao ligar-se</w:delText>
        </w:r>
        <w:r w:rsidRPr="007D762F">
          <w:rPr>
            <w:sz w:val="22"/>
            <w:szCs w:val="22"/>
          </w:rPr>
          <w:delText xml:space="preserve"> ao TNFα, Humira diminui o processo inflamatório destas doenças.</w:delText>
        </w:r>
      </w:del>
    </w:p>
    <w:p w14:paraId="64FEA930" w14:textId="77CDAB54" w:rsidR="004462A0" w:rsidRPr="008912CF" w:rsidRDefault="004462A0" w:rsidP="004462A0">
      <w:pPr>
        <w:rPr>
          <w:del w:id="14012" w:author="AbbVie2" w:date="2025-05-14T10:24:00Z"/>
          <w:sz w:val="22"/>
          <w:szCs w:val="22"/>
        </w:rPr>
      </w:pPr>
    </w:p>
    <w:p w14:paraId="18AD76CC" w14:textId="39A0A5FA" w:rsidR="004462A0" w:rsidRPr="008912CF" w:rsidRDefault="00615769" w:rsidP="004462A0">
      <w:pPr>
        <w:pStyle w:val="Heading9"/>
        <w:keepNext w:val="0"/>
        <w:rPr>
          <w:del w:id="14013" w:author="AbbVie2" w:date="2025-05-14T10:24:00Z"/>
          <w:szCs w:val="22"/>
        </w:rPr>
      </w:pPr>
      <w:del w:id="14014" w:author="AbbVie2" w:date="2025-05-14T10:24:00Z">
        <w:r w:rsidRPr="008912CF">
          <w:rPr>
            <w:szCs w:val="22"/>
          </w:rPr>
          <w:delText>Artrite reumatoide</w:delText>
        </w:r>
      </w:del>
    </w:p>
    <w:p w14:paraId="51B33A36" w14:textId="630C3FC9" w:rsidR="004462A0" w:rsidRPr="008912CF" w:rsidRDefault="004462A0" w:rsidP="004462A0">
      <w:pPr>
        <w:rPr>
          <w:del w:id="14015" w:author="AbbVie2" w:date="2025-05-14T10:24:00Z"/>
          <w:sz w:val="22"/>
          <w:szCs w:val="22"/>
        </w:rPr>
      </w:pPr>
    </w:p>
    <w:p w14:paraId="63CD1C1B" w14:textId="2C24884D" w:rsidR="004462A0" w:rsidRPr="008912CF" w:rsidRDefault="00615769" w:rsidP="004462A0">
      <w:pPr>
        <w:rPr>
          <w:del w:id="14016" w:author="AbbVie2" w:date="2025-05-14T10:24:00Z"/>
          <w:sz w:val="22"/>
          <w:szCs w:val="22"/>
        </w:rPr>
      </w:pPr>
      <w:del w:id="14017" w:author="AbbVie2" w:date="2025-05-14T10:24:00Z">
        <w:r w:rsidRPr="008912CF">
          <w:rPr>
            <w:sz w:val="22"/>
            <w:szCs w:val="22"/>
          </w:rPr>
          <w:delText>A artrite reumatoide é uma doença inflamatória das articulações.</w:delText>
        </w:r>
      </w:del>
    </w:p>
    <w:p w14:paraId="4EBC26A1" w14:textId="108DB6D6" w:rsidR="004462A0" w:rsidRPr="008912CF" w:rsidRDefault="004462A0" w:rsidP="004462A0">
      <w:pPr>
        <w:rPr>
          <w:del w:id="14018" w:author="AbbVie2" w:date="2025-05-14T10:24:00Z"/>
          <w:sz w:val="22"/>
          <w:szCs w:val="22"/>
        </w:rPr>
      </w:pPr>
    </w:p>
    <w:p w14:paraId="2322BAC4" w14:textId="07CE51CE" w:rsidR="004462A0" w:rsidRPr="008912CF" w:rsidRDefault="00615769" w:rsidP="004462A0">
      <w:pPr>
        <w:rPr>
          <w:del w:id="14019" w:author="AbbVie2" w:date="2025-05-14T10:24:00Z"/>
          <w:sz w:val="22"/>
          <w:szCs w:val="22"/>
        </w:rPr>
      </w:pPr>
      <w:del w:id="14020" w:author="AbbVie2" w:date="2025-05-14T10:24:00Z">
        <w:r w:rsidRPr="008912CF">
          <w:rPr>
            <w:sz w:val="22"/>
            <w:szCs w:val="22"/>
          </w:rPr>
          <w:delText>Humira é usado no tratamento da artrite reumatoide no adulto. Se tem artrite reumatoide ativa moderada a grave, é possível que tenha sido previamente tratado com outros medicamentos modificadores da doença, como metotrexato. Se a sua resposta a estes medicamentos tiver sido insuficiente, ser-lhe-á administrado Humira para tratar a sua artrite reumatoide.</w:delText>
        </w:r>
      </w:del>
    </w:p>
    <w:p w14:paraId="0663C799" w14:textId="1124FDE4" w:rsidR="004462A0" w:rsidRPr="008912CF" w:rsidRDefault="004462A0" w:rsidP="004462A0">
      <w:pPr>
        <w:rPr>
          <w:del w:id="14021" w:author="AbbVie2" w:date="2025-05-14T10:24:00Z"/>
          <w:sz w:val="22"/>
          <w:szCs w:val="22"/>
        </w:rPr>
      </w:pPr>
    </w:p>
    <w:p w14:paraId="3CECFC9E" w14:textId="79D536C3" w:rsidR="004462A0" w:rsidRPr="008912CF" w:rsidRDefault="00615769" w:rsidP="004462A0">
      <w:pPr>
        <w:rPr>
          <w:del w:id="14022" w:author="AbbVie2" w:date="2025-05-14T10:24:00Z"/>
          <w:sz w:val="22"/>
          <w:szCs w:val="22"/>
        </w:rPr>
      </w:pPr>
      <w:del w:id="14023" w:author="AbbVie2" w:date="2025-05-14T10:24:00Z">
        <w:r w:rsidRPr="008912CF">
          <w:rPr>
            <w:sz w:val="22"/>
            <w:szCs w:val="22"/>
          </w:rPr>
          <w:delText>Humira pode ser usado no tratamento da artrite reumatoide grave, ativa e progressiva sem tratamento prévio com metotrexato.</w:delText>
        </w:r>
      </w:del>
    </w:p>
    <w:p w14:paraId="6AA4108A" w14:textId="03A2C450" w:rsidR="004462A0" w:rsidRPr="008912CF" w:rsidRDefault="004462A0" w:rsidP="004462A0">
      <w:pPr>
        <w:rPr>
          <w:del w:id="14024" w:author="AbbVie2" w:date="2025-05-14T10:24:00Z"/>
          <w:sz w:val="22"/>
          <w:szCs w:val="22"/>
        </w:rPr>
      </w:pPr>
    </w:p>
    <w:p w14:paraId="331B617D" w14:textId="60E6FAB7" w:rsidR="004462A0" w:rsidRPr="008912CF" w:rsidRDefault="00615769" w:rsidP="004462A0">
      <w:pPr>
        <w:rPr>
          <w:del w:id="14025" w:author="AbbVie2" w:date="2025-05-14T10:24:00Z"/>
          <w:sz w:val="22"/>
          <w:szCs w:val="22"/>
        </w:rPr>
      </w:pPr>
      <w:del w:id="14026" w:author="AbbVie2" w:date="2025-05-14T10:24:00Z">
        <w:r w:rsidRPr="008912CF">
          <w:rPr>
            <w:sz w:val="22"/>
            <w:szCs w:val="22"/>
          </w:rPr>
          <w:delText>Humira demonstrou retardar a lesão da cartilagem e osso das articulações causada pela doença e melhorar a função física.</w:delText>
        </w:r>
      </w:del>
    </w:p>
    <w:p w14:paraId="3C77CCB4" w14:textId="182D1E04" w:rsidR="004462A0" w:rsidRPr="008912CF" w:rsidRDefault="004462A0" w:rsidP="004462A0">
      <w:pPr>
        <w:ind w:right="-2"/>
        <w:rPr>
          <w:del w:id="14027" w:author="AbbVie2" w:date="2025-05-14T10:24:00Z"/>
          <w:sz w:val="22"/>
          <w:szCs w:val="22"/>
        </w:rPr>
      </w:pPr>
    </w:p>
    <w:p w14:paraId="5AF4FC7E" w14:textId="18469EF3" w:rsidR="004462A0" w:rsidRPr="008912CF" w:rsidRDefault="00615769" w:rsidP="004462A0">
      <w:pPr>
        <w:ind w:right="-2"/>
        <w:rPr>
          <w:del w:id="14028" w:author="AbbVie2" w:date="2025-05-14T10:24:00Z"/>
          <w:sz w:val="22"/>
          <w:szCs w:val="22"/>
        </w:rPr>
      </w:pPr>
      <w:del w:id="14029" w:author="AbbVie2" w:date="2025-05-14T10:24:00Z">
        <w:r w:rsidRPr="008912CF">
          <w:rPr>
            <w:sz w:val="22"/>
            <w:szCs w:val="22"/>
          </w:rPr>
          <w:delText>Humira é usado habitualmente com metotrexato. Se o médico considerar que metotrexato não é adequado, Humira pode ser administrado isoladamente.</w:delText>
        </w:r>
      </w:del>
    </w:p>
    <w:p w14:paraId="03874538" w14:textId="684C949C" w:rsidR="004462A0" w:rsidRPr="008912CF" w:rsidRDefault="004462A0" w:rsidP="004462A0">
      <w:pPr>
        <w:ind w:right="-2"/>
        <w:rPr>
          <w:del w:id="14030" w:author="AbbVie2" w:date="2025-05-14T10:24:00Z"/>
          <w:sz w:val="22"/>
          <w:szCs w:val="22"/>
        </w:rPr>
      </w:pPr>
    </w:p>
    <w:p w14:paraId="777727D8" w14:textId="350F8DCF" w:rsidR="004462A0" w:rsidRPr="008912CF" w:rsidRDefault="00615769" w:rsidP="004462A0">
      <w:pPr>
        <w:ind w:right="-2"/>
        <w:rPr>
          <w:del w:id="14031" w:author="AbbVie2" w:date="2025-05-14T10:24:00Z"/>
          <w:sz w:val="22"/>
          <w:szCs w:val="22"/>
          <w:u w:val="single"/>
        </w:rPr>
      </w:pPr>
      <w:del w:id="14032" w:author="AbbVie2" w:date="2025-05-14T10:24:00Z">
        <w:r w:rsidRPr="008912CF">
          <w:rPr>
            <w:sz w:val="22"/>
            <w:szCs w:val="22"/>
            <w:u w:val="single"/>
          </w:rPr>
          <w:delText>Artrite idiopática juvenil poliarticular e artrite relacionada com entesite</w:delText>
        </w:r>
      </w:del>
    </w:p>
    <w:p w14:paraId="314073A5" w14:textId="30C013FE" w:rsidR="004462A0" w:rsidRPr="008912CF" w:rsidRDefault="004462A0" w:rsidP="004462A0">
      <w:pPr>
        <w:ind w:right="-2"/>
        <w:rPr>
          <w:del w:id="14033" w:author="AbbVie2" w:date="2025-05-14T10:24:00Z"/>
          <w:sz w:val="22"/>
          <w:szCs w:val="22"/>
        </w:rPr>
      </w:pPr>
    </w:p>
    <w:p w14:paraId="10A14342" w14:textId="4D0278A1" w:rsidR="004462A0" w:rsidRPr="008912CF" w:rsidRDefault="00615769" w:rsidP="004462A0">
      <w:pPr>
        <w:ind w:right="-2"/>
        <w:rPr>
          <w:del w:id="14034" w:author="AbbVie2" w:date="2025-05-14T10:24:00Z"/>
          <w:sz w:val="22"/>
          <w:szCs w:val="22"/>
          <w:u w:val="single"/>
        </w:rPr>
      </w:pPr>
      <w:del w:id="14035" w:author="AbbVie2" w:date="2025-05-14T10:24:00Z">
        <w:r w:rsidRPr="008912CF">
          <w:rPr>
            <w:sz w:val="22"/>
            <w:szCs w:val="22"/>
          </w:rPr>
          <w:delText>A artrite idiopática juvenil poliarticular e artrite relacionada com entesite são doenças inflamatórias.</w:delText>
        </w:r>
      </w:del>
    </w:p>
    <w:p w14:paraId="159DE4F0" w14:textId="72DA98D8" w:rsidR="004462A0" w:rsidRPr="008912CF" w:rsidRDefault="004462A0" w:rsidP="004462A0">
      <w:pPr>
        <w:pStyle w:val="BodyText3"/>
        <w:rPr>
          <w:del w:id="14036" w:author="AbbVie2" w:date="2025-05-14T10:24:00Z"/>
          <w:szCs w:val="22"/>
        </w:rPr>
      </w:pPr>
    </w:p>
    <w:p w14:paraId="65649A3C" w14:textId="59152C45" w:rsidR="004462A0" w:rsidRPr="008912CF" w:rsidRDefault="00615769" w:rsidP="004462A0">
      <w:pPr>
        <w:pStyle w:val="BodyText3"/>
        <w:rPr>
          <w:del w:id="14037" w:author="AbbVie2" w:date="2025-05-14T10:24:00Z"/>
          <w:szCs w:val="22"/>
        </w:rPr>
      </w:pPr>
      <w:del w:id="14038" w:author="AbbVie2" w:date="2025-05-14T10:24:00Z">
        <w:r w:rsidRPr="008912CF">
          <w:rPr>
            <w:szCs w:val="22"/>
          </w:rPr>
          <w:delText>Humira é usado no tratamento da artrite idiopática juvenil poliarticular em crianças e adolescentes com idade entre os 2 e os 17 anos e artrite relacionada com entesite em crianças e adolescentes com idade entre os 6 e os 17 anos. Pode ser tratado inicialmente com outros medicamentos modificadores da doença, como por exemplo metotrexato. Se não responder suficientemente bem a estes medicamentos, receberá Humira para tratar a sua artrite idiopática juvenil poliarticular ou</w:delText>
        </w:r>
        <w:r w:rsidRPr="008912CF">
          <w:rPr>
            <w:szCs w:val="22"/>
            <w:u w:val="single"/>
          </w:rPr>
          <w:delText xml:space="preserve"> </w:delText>
        </w:r>
        <w:r w:rsidRPr="008912CF">
          <w:rPr>
            <w:szCs w:val="22"/>
          </w:rPr>
          <w:delText>artrite relacionada com entesite.</w:delText>
        </w:r>
      </w:del>
    </w:p>
    <w:p w14:paraId="5F7DE1D6" w14:textId="1C5029D6" w:rsidR="004462A0" w:rsidRPr="008912CF" w:rsidRDefault="004462A0" w:rsidP="004462A0">
      <w:pPr>
        <w:ind w:right="-2"/>
        <w:rPr>
          <w:del w:id="14039" w:author="AbbVie2" w:date="2025-05-14T10:24:00Z"/>
          <w:sz w:val="22"/>
          <w:szCs w:val="22"/>
        </w:rPr>
      </w:pPr>
    </w:p>
    <w:p w14:paraId="7B4DBA1C" w14:textId="2377EDBA" w:rsidR="004462A0" w:rsidRPr="008912CF" w:rsidRDefault="00615769" w:rsidP="004462A0">
      <w:pPr>
        <w:ind w:right="-2"/>
        <w:rPr>
          <w:del w:id="14040" w:author="AbbVie2" w:date="2025-05-14T10:24:00Z"/>
          <w:sz w:val="22"/>
          <w:szCs w:val="22"/>
          <w:u w:val="single"/>
        </w:rPr>
      </w:pPr>
      <w:del w:id="14041" w:author="AbbVie2" w:date="2025-05-14T10:24:00Z">
        <w:r w:rsidRPr="008912CF">
          <w:rPr>
            <w:sz w:val="22"/>
            <w:szCs w:val="22"/>
            <w:u w:val="single"/>
          </w:rPr>
          <w:delText>Espondilite anquilosante e espondilartrite axial sem evidência radiográfica de espondilite anquilosante</w:delText>
        </w:r>
      </w:del>
    </w:p>
    <w:p w14:paraId="6FE9CF89" w14:textId="4AE7CD17" w:rsidR="004462A0" w:rsidRPr="008912CF" w:rsidRDefault="004462A0" w:rsidP="004462A0">
      <w:pPr>
        <w:ind w:right="-2"/>
        <w:rPr>
          <w:del w:id="14042" w:author="AbbVie2" w:date="2025-05-14T10:24:00Z"/>
          <w:sz w:val="22"/>
          <w:szCs w:val="22"/>
        </w:rPr>
      </w:pPr>
    </w:p>
    <w:p w14:paraId="77CBB546" w14:textId="3FFFE814" w:rsidR="004462A0" w:rsidRPr="008912CF" w:rsidRDefault="00615769" w:rsidP="004462A0">
      <w:pPr>
        <w:ind w:right="-2"/>
        <w:rPr>
          <w:del w:id="14043" w:author="AbbVie2" w:date="2025-05-14T10:24:00Z"/>
          <w:sz w:val="22"/>
          <w:szCs w:val="22"/>
        </w:rPr>
      </w:pPr>
      <w:del w:id="14044" w:author="AbbVie2" w:date="2025-05-14T10:24:00Z">
        <w:r w:rsidRPr="008912CF">
          <w:rPr>
            <w:sz w:val="22"/>
            <w:szCs w:val="22"/>
          </w:rPr>
          <w:delText>A espondilite anquilosante e espondilartrite axial sem evidência radiográfica de espondilite anquilosante são doenças inflamatórias da espinha dorsal.</w:delText>
        </w:r>
      </w:del>
    </w:p>
    <w:p w14:paraId="5CF63E08" w14:textId="57772141" w:rsidR="004462A0" w:rsidRPr="008912CF" w:rsidRDefault="004462A0" w:rsidP="004462A0">
      <w:pPr>
        <w:ind w:right="-2"/>
        <w:rPr>
          <w:del w:id="14045" w:author="AbbVie2" w:date="2025-05-14T10:24:00Z"/>
          <w:sz w:val="22"/>
          <w:szCs w:val="22"/>
          <w:u w:val="single"/>
        </w:rPr>
      </w:pPr>
    </w:p>
    <w:p w14:paraId="6DB69FA1" w14:textId="3D09E17B" w:rsidR="004462A0" w:rsidRPr="008912CF" w:rsidRDefault="00615769" w:rsidP="004462A0">
      <w:pPr>
        <w:ind w:right="-2"/>
        <w:rPr>
          <w:del w:id="14046" w:author="AbbVie2" w:date="2025-05-14T10:24:00Z"/>
          <w:sz w:val="22"/>
          <w:szCs w:val="22"/>
        </w:rPr>
      </w:pPr>
      <w:del w:id="14047" w:author="AbbVie2" w:date="2025-05-14T10:24:00Z">
        <w:r w:rsidRPr="008912CF">
          <w:rPr>
            <w:sz w:val="22"/>
            <w:szCs w:val="22"/>
          </w:rPr>
          <w:delText xml:space="preserve">Humira é usado </w:delText>
        </w:r>
        <w:r w:rsidRPr="008912CF">
          <w:rPr>
            <w:szCs w:val="22"/>
          </w:rPr>
          <w:delText>no tratamento d</w:delText>
        </w:r>
        <w:r w:rsidRPr="008912CF">
          <w:rPr>
            <w:sz w:val="22"/>
            <w:szCs w:val="22"/>
          </w:rPr>
          <w:delText>a espondilite anquilosante e da espondilartrite axial sem evidência radiográfica de espondilite anquilosante em adultos. No caso de sofrer de espondilite anquilosante ou espondilartrite axial sem evidência radiográfica de espondilite anquilosante receberá primeiro outros medicamentos. Caso não responda de modo suficiente a esses medicamentos, receberá Humira para reduzir os sinais e sintomas da sua doença.</w:delText>
        </w:r>
      </w:del>
    </w:p>
    <w:p w14:paraId="1216E4D1" w14:textId="3F1BF4D0" w:rsidR="004462A0" w:rsidRPr="008912CF" w:rsidRDefault="004462A0" w:rsidP="004462A0">
      <w:pPr>
        <w:ind w:right="-2"/>
        <w:rPr>
          <w:del w:id="14048" w:author="AbbVie2" w:date="2025-05-14T10:24:00Z"/>
          <w:sz w:val="22"/>
          <w:szCs w:val="22"/>
          <w:u w:val="single"/>
        </w:rPr>
      </w:pPr>
    </w:p>
    <w:p w14:paraId="1354ED30" w14:textId="408C9378" w:rsidR="004462A0" w:rsidRPr="008912CF" w:rsidRDefault="00615769" w:rsidP="004462A0">
      <w:pPr>
        <w:ind w:right="-2"/>
        <w:rPr>
          <w:del w:id="14049" w:author="AbbVie2" w:date="2025-05-14T10:24:00Z"/>
          <w:sz w:val="22"/>
          <w:szCs w:val="22"/>
          <w:u w:val="single"/>
        </w:rPr>
      </w:pPr>
      <w:del w:id="14050" w:author="AbbVie2" w:date="2025-05-14T10:24:00Z">
        <w:r w:rsidRPr="008912CF">
          <w:rPr>
            <w:sz w:val="22"/>
            <w:szCs w:val="22"/>
            <w:u w:val="single"/>
          </w:rPr>
          <w:delText>Artrite psoriática</w:delText>
        </w:r>
      </w:del>
    </w:p>
    <w:p w14:paraId="3C1BF3F3" w14:textId="6C022A00" w:rsidR="004462A0" w:rsidRPr="008912CF" w:rsidRDefault="004462A0" w:rsidP="004462A0">
      <w:pPr>
        <w:ind w:right="-2"/>
        <w:rPr>
          <w:del w:id="14051" w:author="AbbVie2" w:date="2025-05-14T10:24:00Z"/>
          <w:sz w:val="22"/>
          <w:szCs w:val="22"/>
        </w:rPr>
      </w:pPr>
    </w:p>
    <w:p w14:paraId="176A7CE2" w14:textId="145B31ED" w:rsidR="004462A0" w:rsidRPr="008912CF" w:rsidRDefault="00615769" w:rsidP="004462A0">
      <w:pPr>
        <w:ind w:right="-2"/>
        <w:rPr>
          <w:del w:id="14052" w:author="AbbVie2" w:date="2025-05-14T10:24:00Z"/>
          <w:sz w:val="22"/>
          <w:szCs w:val="22"/>
        </w:rPr>
      </w:pPr>
      <w:del w:id="14053" w:author="AbbVie2" w:date="2025-05-14T10:24:00Z">
        <w:r w:rsidRPr="008912CF">
          <w:rPr>
            <w:sz w:val="22"/>
            <w:szCs w:val="22"/>
          </w:rPr>
          <w:delText>A artrite psoriática é uma inflamação da articulação associada a psoríase.</w:delText>
        </w:r>
      </w:del>
    </w:p>
    <w:p w14:paraId="6B45A824" w14:textId="09970FE4" w:rsidR="004462A0" w:rsidRPr="008912CF" w:rsidRDefault="004462A0" w:rsidP="004462A0">
      <w:pPr>
        <w:ind w:right="-2"/>
        <w:rPr>
          <w:del w:id="14054" w:author="AbbVie2" w:date="2025-05-14T10:24:00Z"/>
          <w:sz w:val="22"/>
          <w:szCs w:val="22"/>
        </w:rPr>
      </w:pPr>
    </w:p>
    <w:p w14:paraId="6A505633" w14:textId="44354F6E" w:rsidR="004462A0" w:rsidRPr="008912CF" w:rsidRDefault="00615769" w:rsidP="004462A0">
      <w:pPr>
        <w:ind w:right="-2"/>
        <w:rPr>
          <w:del w:id="14055" w:author="AbbVie2" w:date="2025-05-14T10:24:00Z"/>
          <w:sz w:val="22"/>
          <w:szCs w:val="22"/>
        </w:rPr>
      </w:pPr>
      <w:del w:id="14056" w:author="AbbVie2" w:date="2025-05-14T10:24:00Z">
        <w:r w:rsidRPr="008912CF">
          <w:rPr>
            <w:sz w:val="22"/>
            <w:szCs w:val="22"/>
          </w:rPr>
          <w:delText xml:space="preserve">Humira é usado </w:delText>
        </w:r>
        <w:r w:rsidRPr="008912CF">
          <w:rPr>
            <w:szCs w:val="22"/>
          </w:rPr>
          <w:delText>no tratamento d</w:delText>
        </w:r>
        <w:r w:rsidRPr="008912CF">
          <w:rPr>
            <w:sz w:val="22"/>
            <w:szCs w:val="22"/>
          </w:rPr>
          <w:delText>a artrite psoriática em adultos. Humira demonstrou retardar a lesão da cartilagem e osso das articulações causada pela doença e melhorar a função física.</w:delText>
        </w:r>
      </w:del>
    </w:p>
    <w:p w14:paraId="2707DCBD" w14:textId="4C351443" w:rsidR="004462A0" w:rsidRPr="008912CF" w:rsidRDefault="004462A0" w:rsidP="004462A0">
      <w:pPr>
        <w:ind w:right="-2"/>
        <w:rPr>
          <w:del w:id="14057" w:author="AbbVie2" w:date="2025-05-14T10:24:00Z"/>
          <w:sz w:val="22"/>
          <w:szCs w:val="22"/>
        </w:rPr>
      </w:pPr>
    </w:p>
    <w:p w14:paraId="73ABFBF3" w14:textId="4D00181A" w:rsidR="004462A0" w:rsidRPr="008912CF" w:rsidRDefault="00615769" w:rsidP="004462A0">
      <w:pPr>
        <w:pStyle w:val="DefaultText"/>
        <w:rPr>
          <w:del w:id="14058" w:author="AbbVie2" w:date="2025-05-14T10:24:00Z"/>
          <w:rFonts w:ascii="Times New Roman" w:hAnsi="Times New Roman"/>
          <w:szCs w:val="22"/>
          <w:u w:val="single"/>
          <w:lang w:val="pt-PT"/>
        </w:rPr>
      </w:pPr>
      <w:del w:id="14059" w:author="AbbVie2" w:date="2025-05-14T10:24:00Z">
        <w:r w:rsidRPr="008912CF">
          <w:rPr>
            <w:rFonts w:ascii="Times New Roman" w:hAnsi="Times New Roman"/>
            <w:szCs w:val="22"/>
            <w:u w:val="single"/>
            <w:lang w:val="pt-PT"/>
          </w:rPr>
          <w:delText>Psoríase em placas em adultos e crianças</w:delText>
        </w:r>
      </w:del>
    </w:p>
    <w:p w14:paraId="27ED8972" w14:textId="17A97EA1" w:rsidR="004462A0" w:rsidRPr="008912CF" w:rsidRDefault="004462A0" w:rsidP="004462A0">
      <w:pPr>
        <w:ind w:right="-2"/>
        <w:rPr>
          <w:del w:id="14060" w:author="AbbVie2" w:date="2025-05-14T10:24:00Z"/>
          <w:sz w:val="22"/>
          <w:szCs w:val="22"/>
          <w:u w:val="single"/>
        </w:rPr>
      </w:pPr>
    </w:p>
    <w:p w14:paraId="5EBEB11B" w14:textId="0C9C9C6C" w:rsidR="004462A0" w:rsidRPr="008912CF" w:rsidRDefault="00615769" w:rsidP="004462A0">
      <w:pPr>
        <w:rPr>
          <w:del w:id="14061" w:author="AbbVie2" w:date="2025-05-14T10:24:00Z"/>
        </w:rPr>
      </w:pPr>
      <w:del w:id="14062" w:author="AbbVie2" w:date="2025-05-14T10:24:00Z">
        <w:r w:rsidRPr="008912CF">
          <w:rPr>
            <w:sz w:val="22"/>
            <w:szCs w:val="22"/>
          </w:rPr>
          <w:delText xml:space="preserve">Psoríase em placas é uma doença da pele que provoca manchas avermelhadas, secas e com placas na pele, cobertas de escamas prateadas. </w:delText>
        </w:r>
        <w:r>
          <w:rPr>
            <w:sz w:val="22"/>
            <w:szCs w:val="22"/>
          </w:rPr>
          <w:delText xml:space="preserve">A psoríase em placas pode também afetar as unhas, causando a sua desintegração, tornando-as espessas e descoladas da base da unha o que pode ser doloroso. </w:delText>
        </w:r>
        <w:r w:rsidRPr="008912CF">
          <w:rPr>
            <w:sz w:val="22"/>
            <w:szCs w:val="22"/>
          </w:rPr>
          <w:delText>Pensa-se que a psoríase pode ser causada por alterações do sistema imunitário do corpo, que provocam um aumento da produção de células epiteliais.</w:delText>
        </w:r>
        <w:r w:rsidRPr="008912CF">
          <w:delText xml:space="preserve"> </w:delText>
        </w:r>
      </w:del>
    </w:p>
    <w:p w14:paraId="549D38B7" w14:textId="6F298D82" w:rsidR="004462A0" w:rsidRPr="008912CF" w:rsidRDefault="004462A0" w:rsidP="004462A0">
      <w:pPr>
        <w:rPr>
          <w:del w:id="14063" w:author="AbbVie2" w:date="2025-05-14T10:24:00Z"/>
        </w:rPr>
      </w:pPr>
    </w:p>
    <w:p w14:paraId="2E95B181" w14:textId="4DEC694F" w:rsidR="004462A0" w:rsidRPr="008912CF" w:rsidRDefault="00615769" w:rsidP="004462A0">
      <w:pPr>
        <w:pStyle w:val="DefaultText"/>
        <w:rPr>
          <w:del w:id="14064" w:author="AbbVie2" w:date="2025-05-14T10:24:00Z"/>
          <w:rFonts w:ascii="Times New Roman" w:hAnsi="Times New Roman"/>
          <w:szCs w:val="22"/>
          <w:u w:val="single"/>
          <w:lang w:val="pt-PT"/>
        </w:rPr>
      </w:pPr>
      <w:del w:id="14065" w:author="AbbVie2" w:date="2025-05-14T10:24:00Z">
        <w:r w:rsidRPr="008912CF">
          <w:rPr>
            <w:rFonts w:ascii="Times New Roman" w:hAnsi="Times New Roman"/>
            <w:szCs w:val="22"/>
            <w:lang w:val="pt-PT"/>
          </w:rPr>
          <w:delText>Humira é usado no tratamento da psoríase em placas moderada a grave</w:delText>
        </w:r>
        <w:r>
          <w:rPr>
            <w:rFonts w:ascii="Times New Roman" w:hAnsi="Times New Roman"/>
            <w:szCs w:val="22"/>
            <w:lang w:val="pt-PT"/>
          </w:rPr>
          <w:delText>,</w:delText>
        </w:r>
        <w:r w:rsidRPr="008912CF">
          <w:rPr>
            <w:rFonts w:ascii="Times New Roman" w:hAnsi="Times New Roman"/>
            <w:szCs w:val="22"/>
            <w:lang w:val="pt-PT"/>
          </w:rPr>
          <w:delText xml:space="preserve"> em adultos. Humira também é usado no tratamento da psoríase em placas grave em crianças e adolescentes com idades entre os 4 e os 17 anos de idade, para os quais o tratamento tópico e fototerapias não resultaram ou são inadequados.</w:delText>
        </w:r>
      </w:del>
    </w:p>
    <w:p w14:paraId="3FC7605B" w14:textId="0190ED38" w:rsidR="004462A0" w:rsidRPr="008912CF" w:rsidRDefault="004462A0" w:rsidP="004462A0">
      <w:pPr>
        <w:rPr>
          <w:del w:id="14066" w:author="AbbVie2" w:date="2025-05-14T10:24:00Z"/>
          <w:sz w:val="22"/>
          <w:szCs w:val="22"/>
        </w:rPr>
      </w:pPr>
    </w:p>
    <w:p w14:paraId="5EC84944" w14:textId="0FC642E0" w:rsidR="004462A0" w:rsidRPr="008912CF" w:rsidRDefault="00615769" w:rsidP="00907F74">
      <w:pPr>
        <w:keepNext/>
        <w:ind w:right="-2"/>
        <w:rPr>
          <w:del w:id="14067" w:author="AbbVie2" w:date="2025-05-14T10:24:00Z"/>
          <w:sz w:val="22"/>
          <w:szCs w:val="22"/>
          <w:u w:val="single"/>
        </w:rPr>
      </w:pPr>
      <w:del w:id="14068" w:author="AbbVie2" w:date="2025-05-14T10:24:00Z">
        <w:r w:rsidRPr="008912CF">
          <w:rPr>
            <w:sz w:val="22"/>
            <w:szCs w:val="22"/>
            <w:u w:val="single"/>
          </w:rPr>
          <w:delText>Hidradenite supurativa</w:delText>
        </w:r>
        <w:r>
          <w:rPr>
            <w:sz w:val="22"/>
            <w:szCs w:val="22"/>
            <w:u w:val="single"/>
          </w:rPr>
          <w:delText xml:space="preserve"> em adultos e adolescentes</w:delText>
        </w:r>
      </w:del>
    </w:p>
    <w:p w14:paraId="44AF971C" w14:textId="44003F1D" w:rsidR="004462A0" w:rsidRPr="008912CF" w:rsidRDefault="004462A0" w:rsidP="00907F74">
      <w:pPr>
        <w:keepNext/>
        <w:ind w:right="-2"/>
        <w:rPr>
          <w:del w:id="14069" w:author="AbbVie2" w:date="2025-05-14T10:24:00Z"/>
          <w:sz w:val="22"/>
          <w:szCs w:val="22"/>
        </w:rPr>
      </w:pPr>
    </w:p>
    <w:p w14:paraId="1F44EC1C" w14:textId="56211185" w:rsidR="004462A0" w:rsidRPr="008912CF" w:rsidRDefault="00615769" w:rsidP="00907F74">
      <w:pPr>
        <w:keepNext/>
        <w:ind w:right="-2"/>
        <w:rPr>
          <w:del w:id="14070" w:author="AbbVie2" w:date="2025-05-14T10:24:00Z"/>
          <w:sz w:val="22"/>
          <w:szCs w:val="22"/>
        </w:rPr>
      </w:pPr>
      <w:del w:id="14071" w:author="AbbVie2" w:date="2025-05-14T10:24:00Z">
        <w:r w:rsidRPr="008912CF">
          <w:rPr>
            <w:sz w:val="22"/>
            <w:szCs w:val="22"/>
          </w:rPr>
          <w:delText xml:space="preserve">Hidradenite supurativa (por vezes chamada hidrosadenite supurativa ou acne inversa) é uma doença inflamatória crónica da pele, muitas vezes dolorosa. Os sintomas podem incluir nódulos dolorosos (caroços) e abcessos (furúnculos) que podem libertar pus. Frequentemente afeta áreas da pele </w:delText>
        </w:r>
        <w:r w:rsidRPr="008912CF">
          <w:delText>específicas</w:delText>
        </w:r>
        <w:r w:rsidRPr="008912CF">
          <w:rPr>
            <w:sz w:val="22"/>
            <w:szCs w:val="22"/>
          </w:rPr>
          <w:delText xml:space="preserve">, tais como a região inframamária (abaixo das mamas), axilas, coxas, virilhas e nádegas. Nas áreas afetadas, podem também surgir cicatrizes. </w:delText>
        </w:r>
      </w:del>
    </w:p>
    <w:p w14:paraId="3222A6F8" w14:textId="4DA9FEE5" w:rsidR="004462A0" w:rsidRPr="008912CF" w:rsidRDefault="004462A0" w:rsidP="004462A0">
      <w:pPr>
        <w:ind w:right="-2"/>
        <w:rPr>
          <w:del w:id="14072" w:author="AbbVie2" w:date="2025-05-14T10:24:00Z"/>
          <w:sz w:val="22"/>
          <w:szCs w:val="22"/>
        </w:rPr>
      </w:pPr>
    </w:p>
    <w:p w14:paraId="766C45CB" w14:textId="2C1E130A" w:rsidR="004462A0" w:rsidRDefault="00615769" w:rsidP="004462A0">
      <w:pPr>
        <w:ind w:right="-2"/>
        <w:rPr>
          <w:del w:id="14073" w:author="AbbVie2" w:date="2025-05-14T10:24:00Z"/>
          <w:sz w:val="22"/>
          <w:szCs w:val="22"/>
        </w:rPr>
      </w:pPr>
      <w:del w:id="14074" w:author="AbbVie2" w:date="2025-05-14T10:24:00Z">
        <w:r w:rsidRPr="008912CF">
          <w:rPr>
            <w:sz w:val="22"/>
            <w:szCs w:val="22"/>
          </w:rPr>
          <w:delText>Humira é usado no tratamento da hidradenite supurativa em adultos</w:delText>
        </w:r>
        <w:r>
          <w:rPr>
            <w:sz w:val="22"/>
            <w:szCs w:val="22"/>
          </w:rPr>
          <w:delText xml:space="preserve"> e adolescentes a partir dos 12 anos de idade</w:delText>
        </w:r>
        <w:r w:rsidRPr="008912CF">
          <w:rPr>
            <w:sz w:val="22"/>
            <w:szCs w:val="22"/>
          </w:rPr>
          <w:delText>. Humira pode reduzir o número de nódulos e abcessos existentes, bem como a dor frequentemente associada com a doença.</w:delText>
        </w:r>
        <w:r>
          <w:rPr>
            <w:sz w:val="22"/>
            <w:szCs w:val="22"/>
          </w:rPr>
          <w:delText xml:space="preserve"> </w:delText>
        </w:r>
        <w:r w:rsidRPr="00653128">
          <w:rPr>
            <w:sz w:val="22"/>
            <w:szCs w:val="22"/>
          </w:rPr>
          <w:delText>Pode ser tratado inicialmente com outros medicamentos. Se não responder suficientemente bem a estes me</w:delText>
        </w:r>
        <w:r w:rsidRPr="00D33370">
          <w:rPr>
            <w:sz w:val="22"/>
            <w:szCs w:val="22"/>
          </w:rPr>
          <w:delText>dicamentos, receberá Humira</w:delText>
        </w:r>
        <w:r>
          <w:rPr>
            <w:sz w:val="22"/>
            <w:szCs w:val="22"/>
          </w:rPr>
          <w:delText>.</w:delText>
        </w:r>
      </w:del>
    </w:p>
    <w:p w14:paraId="32BE6473" w14:textId="18CD24D3" w:rsidR="004462A0" w:rsidRPr="008912CF" w:rsidRDefault="004462A0" w:rsidP="004462A0">
      <w:pPr>
        <w:ind w:right="-2"/>
        <w:rPr>
          <w:del w:id="14075" w:author="AbbVie2" w:date="2025-05-14T10:24:00Z"/>
          <w:sz w:val="22"/>
          <w:szCs w:val="22"/>
        </w:rPr>
      </w:pPr>
    </w:p>
    <w:p w14:paraId="4D20523D" w14:textId="5B5DDF39" w:rsidR="004462A0" w:rsidRPr="008912CF" w:rsidRDefault="00615769" w:rsidP="004462A0">
      <w:pPr>
        <w:keepNext/>
        <w:rPr>
          <w:del w:id="14076" w:author="AbbVie2" w:date="2025-05-14T10:24:00Z"/>
          <w:sz w:val="22"/>
          <w:szCs w:val="22"/>
          <w:u w:val="single"/>
        </w:rPr>
      </w:pPr>
      <w:del w:id="14077" w:author="AbbVie2" w:date="2025-05-14T10:24:00Z">
        <w:r w:rsidRPr="008912CF">
          <w:rPr>
            <w:sz w:val="22"/>
            <w:szCs w:val="22"/>
            <w:u w:val="single"/>
          </w:rPr>
          <w:delText>Doença de Crohn em crianças e adultos</w:delText>
        </w:r>
      </w:del>
    </w:p>
    <w:p w14:paraId="6BFFCC6B" w14:textId="3B496B25" w:rsidR="004462A0" w:rsidRPr="008912CF" w:rsidRDefault="004462A0" w:rsidP="004462A0">
      <w:pPr>
        <w:pStyle w:val="EndnoteText"/>
        <w:keepNext/>
        <w:tabs>
          <w:tab w:val="clear" w:pos="567"/>
        </w:tabs>
        <w:rPr>
          <w:del w:id="14078" w:author="AbbVie2" w:date="2025-05-14T10:24:00Z"/>
          <w:szCs w:val="22"/>
        </w:rPr>
      </w:pPr>
    </w:p>
    <w:p w14:paraId="4F52120A" w14:textId="3E91108C" w:rsidR="004462A0" w:rsidRPr="008912CF" w:rsidRDefault="00615769" w:rsidP="004462A0">
      <w:pPr>
        <w:pStyle w:val="EndnoteText"/>
        <w:keepNext/>
        <w:tabs>
          <w:tab w:val="clear" w:pos="567"/>
        </w:tabs>
        <w:rPr>
          <w:del w:id="14079" w:author="AbbVie2" w:date="2025-05-14T10:24:00Z"/>
          <w:szCs w:val="22"/>
        </w:rPr>
      </w:pPr>
      <w:del w:id="14080" w:author="AbbVie2" w:date="2025-05-14T10:24:00Z">
        <w:r w:rsidRPr="008912CF">
          <w:rPr>
            <w:szCs w:val="22"/>
          </w:rPr>
          <w:delText>A doença de Crohn é uma doença inflamatória do aparelho digestivo.</w:delText>
        </w:r>
      </w:del>
    </w:p>
    <w:p w14:paraId="1A8AFC80" w14:textId="5E34AB11" w:rsidR="004462A0" w:rsidRPr="008912CF" w:rsidRDefault="004462A0" w:rsidP="004462A0">
      <w:pPr>
        <w:pStyle w:val="BodyText2"/>
        <w:autoSpaceDE/>
        <w:autoSpaceDN/>
        <w:adjustRightInd/>
        <w:rPr>
          <w:del w:id="14081" w:author="AbbVie2" w:date="2025-05-14T10:24:00Z"/>
          <w:szCs w:val="22"/>
        </w:rPr>
      </w:pPr>
    </w:p>
    <w:p w14:paraId="61057F6F" w14:textId="28B02D20" w:rsidR="004462A0" w:rsidRPr="008912CF" w:rsidRDefault="00615769" w:rsidP="004462A0">
      <w:pPr>
        <w:pStyle w:val="BodyText2"/>
        <w:autoSpaceDE/>
        <w:autoSpaceDN/>
        <w:adjustRightInd/>
        <w:rPr>
          <w:del w:id="14082" w:author="AbbVie2" w:date="2025-05-14T10:24:00Z"/>
          <w:szCs w:val="22"/>
        </w:rPr>
      </w:pPr>
      <w:del w:id="14083" w:author="AbbVie2" w:date="2025-05-14T10:24:00Z">
        <w:r w:rsidRPr="008912CF">
          <w:rPr>
            <w:szCs w:val="22"/>
          </w:rPr>
          <w:delText>Humira é usado no tratamento da doença de Crohn em adultos e crianças entre os 6 e os 17 anos. No caso de sofrer de doença de Crohn receberá primeiro outros medicamentos. Caso não responda de modo suficiente a esses medicamentos, receberá Humira para reduzir os sinais e sintomas da sua doença de Crohn.</w:delText>
        </w:r>
      </w:del>
    </w:p>
    <w:p w14:paraId="2AF6A35C" w14:textId="09BFEC56" w:rsidR="004462A0" w:rsidRPr="008912CF" w:rsidRDefault="004462A0" w:rsidP="004462A0">
      <w:pPr>
        <w:pStyle w:val="BodyText2"/>
        <w:autoSpaceDE/>
        <w:autoSpaceDN/>
        <w:adjustRightInd/>
        <w:rPr>
          <w:del w:id="14084" w:author="AbbVie2" w:date="2025-05-14T10:24:00Z"/>
          <w:szCs w:val="22"/>
        </w:rPr>
      </w:pPr>
    </w:p>
    <w:p w14:paraId="52E5D8B0" w14:textId="37AB5ADB" w:rsidR="004462A0" w:rsidRPr="008912CF" w:rsidRDefault="00615769" w:rsidP="004462A0">
      <w:pPr>
        <w:pStyle w:val="BodyText2"/>
        <w:autoSpaceDE/>
        <w:autoSpaceDN/>
        <w:adjustRightInd/>
        <w:rPr>
          <w:del w:id="14085" w:author="AbbVie2" w:date="2025-05-14T10:24:00Z"/>
          <w:szCs w:val="22"/>
          <w:u w:val="single"/>
        </w:rPr>
      </w:pPr>
      <w:del w:id="14086" w:author="AbbVie2" w:date="2025-05-14T10:24:00Z">
        <w:r w:rsidRPr="008912CF">
          <w:rPr>
            <w:szCs w:val="22"/>
            <w:u w:val="single"/>
          </w:rPr>
          <w:delText>Colite ulcerosa</w:delText>
        </w:r>
        <w:r w:rsidR="00994B36">
          <w:rPr>
            <w:szCs w:val="22"/>
            <w:u w:val="single"/>
          </w:rPr>
          <w:delText xml:space="preserve"> em adultos e crianças</w:delText>
        </w:r>
      </w:del>
    </w:p>
    <w:p w14:paraId="56B6B0BA" w14:textId="43C9578E" w:rsidR="004462A0" w:rsidRPr="008912CF" w:rsidRDefault="004462A0" w:rsidP="004462A0">
      <w:pPr>
        <w:pStyle w:val="BodyText2"/>
        <w:autoSpaceDE/>
        <w:autoSpaceDN/>
        <w:adjustRightInd/>
        <w:rPr>
          <w:del w:id="14087" w:author="AbbVie2" w:date="2025-05-14T10:24:00Z"/>
          <w:szCs w:val="22"/>
        </w:rPr>
      </w:pPr>
    </w:p>
    <w:p w14:paraId="39A6B2C7" w14:textId="670BFA30" w:rsidR="004462A0" w:rsidRPr="008912CF" w:rsidRDefault="00615769" w:rsidP="004462A0">
      <w:pPr>
        <w:pStyle w:val="BodyText2"/>
        <w:autoSpaceDE/>
        <w:autoSpaceDN/>
        <w:adjustRightInd/>
        <w:rPr>
          <w:del w:id="14088" w:author="AbbVie2" w:date="2025-05-14T10:24:00Z"/>
          <w:szCs w:val="22"/>
        </w:rPr>
      </w:pPr>
      <w:del w:id="14089" w:author="AbbVie2" w:date="2025-05-14T10:24:00Z">
        <w:r w:rsidRPr="008912CF">
          <w:rPr>
            <w:szCs w:val="22"/>
          </w:rPr>
          <w:delText>A colite ulcerosa é uma doença inflamatória do intestino</w:delText>
        </w:r>
        <w:r w:rsidR="00FA678D">
          <w:rPr>
            <w:szCs w:val="22"/>
          </w:rPr>
          <w:delText xml:space="preserve"> grosso</w:delText>
        </w:r>
        <w:r w:rsidRPr="008912CF">
          <w:rPr>
            <w:szCs w:val="22"/>
          </w:rPr>
          <w:delText>.</w:delText>
        </w:r>
      </w:del>
    </w:p>
    <w:p w14:paraId="4B2542A6" w14:textId="5189F1BB" w:rsidR="004462A0" w:rsidRPr="008912CF" w:rsidRDefault="004462A0" w:rsidP="004462A0">
      <w:pPr>
        <w:pStyle w:val="BodyText2"/>
        <w:autoSpaceDE/>
        <w:autoSpaceDN/>
        <w:adjustRightInd/>
        <w:rPr>
          <w:del w:id="14090" w:author="AbbVie2" w:date="2025-05-14T10:24:00Z"/>
          <w:szCs w:val="22"/>
        </w:rPr>
      </w:pPr>
    </w:p>
    <w:p w14:paraId="6F7AC9A5" w14:textId="4B1FCA8C" w:rsidR="004462A0" w:rsidRPr="008912CF" w:rsidRDefault="00615769" w:rsidP="004462A0">
      <w:pPr>
        <w:pStyle w:val="BodyText2"/>
        <w:autoSpaceDE/>
        <w:autoSpaceDN/>
        <w:adjustRightInd/>
        <w:rPr>
          <w:del w:id="14091" w:author="AbbVie2" w:date="2025-05-14T10:24:00Z"/>
          <w:szCs w:val="22"/>
        </w:rPr>
      </w:pPr>
      <w:del w:id="14092" w:author="AbbVie2" w:date="2025-05-14T10:24:00Z">
        <w:r w:rsidRPr="008912CF">
          <w:rPr>
            <w:szCs w:val="22"/>
          </w:rPr>
          <w:delText xml:space="preserve">Humira é usado no tratamento da colite ulcerosa </w:delText>
        </w:r>
        <w:r w:rsidR="00994B36">
          <w:rPr>
            <w:szCs w:val="22"/>
          </w:rPr>
          <w:delText xml:space="preserve">moderada a grave </w:delText>
        </w:r>
        <w:r w:rsidRPr="008912CF">
          <w:rPr>
            <w:szCs w:val="22"/>
          </w:rPr>
          <w:delText>em adultos</w:delText>
        </w:r>
        <w:r w:rsidR="00994B36">
          <w:rPr>
            <w:szCs w:val="22"/>
          </w:rPr>
          <w:delText xml:space="preserve"> e </w:delText>
        </w:r>
        <w:r w:rsidR="00994B36" w:rsidRPr="00994B36">
          <w:rPr>
            <w:szCs w:val="22"/>
          </w:rPr>
          <w:delText xml:space="preserve">crianças </w:delText>
        </w:r>
        <w:r w:rsidR="005E5956">
          <w:rPr>
            <w:szCs w:val="22"/>
          </w:rPr>
          <w:delText>entre os</w:delText>
        </w:r>
        <w:r w:rsidR="00994B36" w:rsidRPr="00994B36">
          <w:rPr>
            <w:szCs w:val="22"/>
          </w:rPr>
          <w:delText xml:space="preserve"> 6 </w:delText>
        </w:r>
        <w:r w:rsidR="005E5956">
          <w:rPr>
            <w:szCs w:val="22"/>
          </w:rPr>
          <w:delText>e os</w:delText>
        </w:r>
        <w:r w:rsidR="00994B36" w:rsidRPr="00994B36">
          <w:rPr>
            <w:szCs w:val="22"/>
          </w:rPr>
          <w:delText xml:space="preserve"> 17 ano</w:delText>
        </w:r>
        <w:r w:rsidR="005E5956">
          <w:rPr>
            <w:szCs w:val="22"/>
          </w:rPr>
          <w:delText>s</w:delText>
        </w:r>
        <w:r w:rsidRPr="008912CF">
          <w:rPr>
            <w:szCs w:val="22"/>
          </w:rPr>
          <w:delText xml:space="preserve">. No caso de sofrer de colite ulcerosa </w:delText>
        </w:r>
        <w:r w:rsidR="00B57746">
          <w:rPr>
            <w:szCs w:val="22"/>
          </w:rPr>
          <w:delText xml:space="preserve">pode ser tratado inicialmente com </w:delText>
        </w:r>
        <w:r w:rsidRPr="008912CF">
          <w:rPr>
            <w:szCs w:val="22"/>
          </w:rPr>
          <w:delText>outros medicamentos. Caso não responda de modo suficiente a esses medicamentos, receberá Humira para reduzir os sinais e sintomas da sua doença.</w:delText>
        </w:r>
      </w:del>
    </w:p>
    <w:p w14:paraId="5496BBFF" w14:textId="1DAA44B6" w:rsidR="004462A0" w:rsidRDefault="004462A0" w:rsidP="004462A0">
      <w:pPr>
        <w:ind w:right="-2"/>
        <w:rPr>
          <w:del w:id="14093" w:author="AbbVie2" w:date="2025-05-14T10:24:00Z"/>
          <w:sz w:val="22"/>
          <w:szCs w:val="22"/>
        </w:rPr>
      </w:pPr>
    </w:p>
    <w:p w14:paraId="35B7059F" w14:textId="4783BB03" w:rsidR="004462A0" w:rsidRPr="00DF2122" w:rsidRDefault="00615769" w:rsidP="004462A0">
      <w:pPr>
        <w:ind w:right="-2"/>
        <w:rPr>
          <w:del w:id="14094" w:author="AbbVie2" w:date="2025-05-14T10:24:00Z"/>
          <w:sz w:val="22"/>
          <w:szCs w:val="22"/>
          <w:u w:val="single"/>
        </w:rPr>
      </w:pPr>
      <w:del w:id="14095" w:author="AbbVie2" w:date="2025-05-14T10:24:00Z">
        <w:r w:rsidRPr="00DF2122">
          <w:rPr>
            <w:sz w:val="22"/>
            <w:szCs w:val="22"/>
            <w:u w:val="single"/>
          </w:rPr>
          <w:delText xml:space="preserve">Uveíte não infecciosa </w:delText>
        </w:r>
        <w:r w:rsidR="00FE24B0">
          <w:rPr>
            <w:sz w:val="22"/>
            <w:szCs w:val="22"/>
            <w:u w:val="single"/>
          </w:rPr>
          <w:delText>em adultos e crianças</w:delText>
        </w:r>
      </w:del>
    </w:p>
    <w:p w14:paraId="495F7263" w14:textId="23AA4DD7" w:rsidR="004462A0" w:rsidRDefault="004462A0" w:rsidP="004462A0">
      <w:pPr>
        <w:ind w:right="-2"/>
        <w:rPr>
          <w:del w:id="14096" w:author="AbbVie2" w:date="2025-05-14T10:24:00Z"/>
          <w:sz w:val="22"/>
          <w:szCs w:val="22"/>
        </w:rPr>
      </w:pPr>
    </w:p>
    <w:p w14:paraId="6DB420B2" w14:textId="550B2C9C" w:rsidR="004462A0" w:rsidRDefault="00615769" w:rsidP="004462A0">
      <w:pPr>
        <w:ind w:right="-2"/>
        <w:rPr>
          <w:del w:id="14097" w:author="AbbVie2" w:date="2025-05-14T10:24:00Z"/>
          <w:sz w:val="22"/>
          <w:szCs w:val="22"/>
        </w:rPr>
      </w:pPr>
      <w:del w:id="14098" w:author="AbbVie2" w:date="2025-05-14T10:24:00Z">
        <w:r>
          <w:rPr>
            <w:sz w:val="22"/>
            <w:szCs w:val="22"/>
          </w:rPr>
          <w:delText>A uveíte não infecciosa é uma doença inflamatória que afeta diferentes partes do olho.</w:delText>
        </w:r>
      </w:del>
    </w:p>
    <w:p w14:paraId="3257399C" w14:textId="28BB37B6" w:rsidR="004462A0" w:rsidRDefault="004462A0" w:rsidP="004462A0">
      <w:pPr>
        <w:ind w:right="-2"/>
        <w:rPr>
          <w:del w:id="14099" w:author="AbbVie2" w:date="2025-05-14T10:24:00Z"/>
          <w:sz w:val="22"/>
          <w:szCs w:val="22"/>
        </w:rPr>
      </w:pPr>
    </w:p>
    <w:p w14:paraId="5749F3B5" w14:textId="2734AEFB" w:rsidR="00FE24B0" w:rsidRDefault="00615769" w:rsidP="004462A0">
      <w:pPr>
        <w:ind w:right="-2"/>
        <w:rPr>
          <w:del w:id="14100" w:author="AbbVie2" w:date="2025-05-14T10:24:00Z"/>
          <w:sz w:val="22"/>
          <w:szCs w:val="22"/>
        </w:rPr>
      </w:pPr>
      <w:del w:id="14101" w:author="AbbVie2" w:date="2025-05-14T10:24:00Z">
        <w:r>
          <w:rPr>
            <w:sz w:val="22"/>
            <w:szCs w:val="22"/>
          </w:rPr>
          <w:delText xml:space="preserve">Humira é usado no tratamento da </w:delText>
        </w:r>
      </w:del>
    </w:p>
    <w:p w14:paraId="4B173F05" w14:textId="6523CEC8" w:rsidR="00FE24B0" w:rsidRDefault="00615769" w:rsidP="00F03C54">
      <w:pPr>
        <w:pStyle w:val="ListParagraph"/>
        <w:numPr>
          <w:ilvl w:val="0"/>
          <w:numId w:val="119"/>
        </w:numPr>
        <w:ind w:left="567" w:right="-2" w:hanging="567"/>
        <w:rPr>
          <w:del w:id="14102" w:author="AbbVie2" w:date="2025-05-14T10:24:00Z"/>
          <w:sz w:val="22"/>
          <w:szCs w:val="22"/>
        </w:rPr>
      </w:pPr>
      <w:del w:id="14103" w:author="AbbVie2" w:date="2025-05-14T10:24:00Z">
        <w:r>
          <w:rPr>
            <w:sz w:val="22"/>
            <w:szCs w:val="22"/>
          </w:rPr>
          <w:delText>U</w:delText>
        </w:r>
        <w:r w:rsidR="004462A0" w:rsidRPr="00D45244">
          <w:rPr>
            <w:sz w:val="22"/>
            <w:szCs w:val="22"/>
          </w:rPr>
          <w:delText>veíte não infecciosa com inflamação, afetando a parte de trás do olho, em adultos</w:delText>
        </w:r>
      </w:del>
    </w:p>
    <w:p w14:paraId="55D97B9B" w14:textId="7EB9F941" w:rsidR="00FE24B0" w:rsidRDefault="00615769" w:rsidP="00D45244">
      <w:pPr>
        <w:pStyle w:val="ListParagraph"/>
        <w:numPr>
          <w:ilvl w:val="0"/>
          <w:numId w:val="119"/>
        </w:numPr>
        <w:ind w:left="567" w:right="-2" w:hanging="567"/>
        <w:rPr>
          <w:del w:id="14104" w:author="AbbVie2" w:date="2025-05-14T10:24:00Z"/>
          <w:sz w:val="22"/>
          <w:szCs w:val="22"/>
        </w:rPr>
      </w:pPr>
      <w:del w:id="14105" w:author="AbbVie2" w:date="2025-05-14T10:24:00Z">
        <w:r>
          <w:rPr>
            <w:sz w:val="22"/>
            <w:szCs w:val="22"/>
          </w:rPr>
          <w:delText xml:space="preserve">Uveíte </w:delText>
        </w:r>
        <w:r w:rsidR="00835DDA">
          <w:rPr>
            <w:sz w:val="22"/>
            <w:szCs w:val="22"/>
          </w:rPr>
          <w:delText xml:space="preserve">não infecciosa, </w:delText>
        </w:r>
        <w:r>
          <w:rPr>
            <w:sz w:val="22"/>
            <w:szCs w:val="22"/>
          </w:rPr>
          <w:delText>crónica</w:delText>
        </w:r>
        <w:r w:rsidR="00835DDA">
          <w:rPr>
            <w:sz w:val="22"/>
            <w:szCs w:val="22"/>
          </w:rPr>
          <w:delText>,</w:delText>
        </w:r>
        <w:r w:rsidR="00EF7E97">
          <w:rPr>
            <w:sz w:val="22"/>
            <w:szCs w:val="22"/>
          </w:rPr>
          <w:delText xml:space="preserve"> </w:delText>
        </w:r>
        <w:r>
          <w:rPr>
            <w:sz w:val="22"/>
            <w:szCs w:val="22"/>
          </w:rPr>
          <w:delText>com inflamação, afetando a parte da frente do olho, em crianças a partir dos 2 anos de idade</w:delText>
        </w:r>
      </w:del>
    </w:p>
    <w:p w14:paraId="1367CC84" w14:textId="3F9C3AAF" w:rsidR="00FE24B0" w:rsidRDefault="00FE24B0" w:rsidP="00D45244">
      <w:pPr>
        <w:pStyle w:val="ListParagraph"/>
        <w:ind w:left="567" w:right="-2"/>
        <w:rPr>
          <w:del w:id="14106" w:author="AbbVie2" w:date="2025-05-14T10:24:00Z"/>
          <w:sz w:val="22"/>
          <w:szCs w:val="22"/>
        </w:rPr>
      </w:pPr>
    </w:p>
    <w:p w14:paraId="101DAA50" w14:textId="39759EF3" w:rsidR="004462A0" w:rsidRPr="00D45244" w:rsidRDefault="00615769" w:rsidP="00D45244">
      <w:pPr>
        <w:pStyle w:val="ListParagraph"/>
        <w:ind w:left="0" w:right="-2"/>
        <w:rPr>
          <w:del w:id="14107" w:author="AbbVie2" w:date="2025-05-14T10:24:00Z"/>
          <w:sz w:val="22"/>
          <w:szCs w:val="22"/>
        </w:rPr>
      </w:pPr>
      <w:del w:id="14108" w:author="AbbVie2" w:date="2025-05-14T10:24:00Z">
        <w:r w:rsidRPr="00D45244">
          <w:rPr>
            <w:sz w:val="22"/>
            <w:szCs w:val="22"/>
          </w:rPr>
          <w:delText xml:space="preserve">Esta inflamação </w:delText>
        </w:r>
        <w:r w:rsidR="00FE24B0">
          <w:rPr>
            <w:sz w:val="22"/>
            <w:szCs w:val="22"/>
          </w:rPr>
          <w:delText xml:space="preserve">pode </w:delText>
        </w:r>
        <w:r w:rsidRPr="00D45244">
          <w:rPr>
            <w:sz w:val="22"/>
            <w:szCs w:val="22"/>
          </w:rPr>
          <w:delText>leva</w:delText>
        </w:r>
        <w:r w:rsidR="00FE24B0">
          <w:rPr>
            <w:sz w:val="22"/>
            <w:szCs w:val="22"/>
          </w:rPr>
          <w:delText>r</w:delText>
        </w:r>
        <w:r w:rsidRPr="00D45244">
          <w:rPr>
            <w:sz w:val="22"/>
            <w:szCs w:val="22"/>
          </w:rPr>
          <w:delText xml:space="preserve"> a uma diminuição da visão e/ou à presença de moscas volantes no olho (pontos pretos ou linhas finas que se movem através do campo de visão). Humira atua através da redução da inflamação.</w:delText>
        </w:r>
      </w:del>
    </w:p>
    <w:p w14:paraId="5D1B880B" w14:textId="705FA458" w:rsidR="004462A0" w:rsidRPr="008912CF" w:rsidRDefault="004462A0" w:rsidP="004462A0">
      <w:pPr>
        <w:ind w:right="-2"/>
        <w:rPr>
          <w:del w:id="14109" w:author="AbbVie2" w:date="2025-05-14T10:24:00Z"/>
          <w:sz w:val="22"/>
          <w:szCs w:val="22"/>
        </w:rPr>
      </w:pPr>
    </w:p>
    <w:p w14:paraId="043EE4B1" w14:textId="2030BC88" w:rsidR="004462A0" w:rsidRPr="008912CF" w:rsidRDefault="004462A0" w:rsidP="004462A0">
      <w:pPr>
        <w:ind w:right="-2"/>
        <w:rPr>
          <w:del w:id="14110" w:author="AbbVie2" w:date="2025-05-14T10:24:00Z"/>
          <w:sz w:val="22"/>
          <w:szCs w:val="22"/>
        </w:rPr>
      </w:pPr>
    </w:p>
    <w:p w14:paraId="7BD813D8" w14:textId="21C8AB30" w:rsidR="004462A0" w:rsidRPr="008912CF" w:rsidRDefault="00615769" w:rsidP="004462A0">
      <w:pPr>
        <w:ind w:left="567" w:hanging="567"/>
        <w:rPr>
          <w:del w:id="14111" w:author="AbbVie2" w:date="2025-05-14T10:24:00Z"/>
          <w:sz w:val="22"/>
          <w:szCs w:val="22"/>
        </w:rPr>
      </w:pPr>
      <w:del w:id="14112" w:author="AbbVie2" w:date="2025-05-14T10:24:00Z">
        <w:r w:rsidRPr="008912CF">
          <w:rPr>
            <w:b/>
            <w:sz w:val="22"/>
            <w:szCs w:val="22"/>
          </w:rPr>
          <w:delText>2.</w:delText>
        </w:r>
        <w:r w:rsidRPr="008912CF">
          <w:rPr>
            <w:b/>
            <w:sz w:val="22"/>
            <w:szCs w:val="22"/>
          </w:rPr>
          <w:tab/>
        </w:r>
        <w:r w:rsidRPr="008912CF">
          <w:rPr>
            <w:b/>
            <w:bCs/>
            <w:sz w:val="22"/>
            <w:szCs w:val="22"/>
          </w:rPr>
          <w:delText>O que precisa de saber antes de utilizar Humira</w:delText>
        </w:r>
        <w:r w:rsidRPr="008912CF">
          <w:rPr>
            <w:b/>
            <w:sz w:val="22"/>
            <w:szCs w:val="22"/>
          </w:rPr>
          <w:delText xml:space="preserve"> </w:delText>
        </w:r>
      </w:del>
    </w:p>
    <w:p w14:paraId="2B7E327E" w14:textId="2A5C10CD" w:rsidR="004462A0" w:rsidRPr="008912CF" w:rsidRDefault="004462A0" w:rsidP="004462A0">
      <w:pPr>
        <w:ind w:right="-2"/>
        <w:rPr>
          <w:del w:id="14113" w:author="AbbVie2" w:date="2025-05-14T10:24:00Z"/>
          <w:sz w:val="22"/>
          <w:szCs w:val="22"/>
        </w:rPr>
      </w:pPr>
    </w:p>
    <w:p w14:paraId="2363CA57" w14:textId="11575A35" w:rsidR="004462A0" w:rsidRPr="008912CF" w:rsidRDefault="00615769" w:rsidP="004462A0">
      <w:pPr>
        <w:rPr>
          <w:del w:id="14114" w:author="AbbVie2" w:date="2025-05-14T10:24:00Z"/>
          <w:sz w:val="22"/>
          <w:szCs w:val="22"/>
        </w:rPr>
      </w:pPr>
      <w:del w:id="14115" w:author="AbbVie2" w:date="2025-05-14T10:24:00Z">
        <w:r w:rsidRPr="008912CF">
          <w:rPr>
            <w:b/>
            <w:sz w:val="22"/>
            <w:szCs w:val="22"/>
          </w:rPr>
          <w:delText xml:space="preserve">Não utilize </w:delText>
        </w:r>
        <w:r w:rsidRPr="008912CF">
          <w:rPr>
            <w:b/>
            <w:bCs/>
            <w:sz w:val="22"/>
            <w:szCs w:val="22"/>
          </w:rPr>
          <w:delText>Humira</w:delText>
        </w:r>
        <w:r w:rsidRPr="008912CF">
          <w:rPr>
            <w:b/>
            <w:sz w:val="22"/>
            <w:szCs w:val="22"/>
          </w:rPr>
          <w:delText xml:space="preserve"> </w:delText>
        </w:r>
      </w:del>
    </w:p>
    <w:p w14:paraId="465638C8" w14:textId="5F2C609E" w:rsidR="004462A0" w:rsidRPr="008912CF" w:rsidRDefault="004462A0" w:rsidP="004462A0">
      <w:pPr>
        <w:pStyle w:val="EndnoteText"/>
        <w:tabs>
          <w:tab w:val="clear" w:pos="567"/>
        </w:tabs>
        <w:rPr>
          <w:del w:id="14116" w:author="AbbVie2" w:date="2025-05-14T10:24:00Z"/>
          <w:szCs w:val="22"/>
        </w:rPr>
      </w:pPr>
    </w:p>
    <w:p w14:paraId="74CD2DF0" w14:textId="04804E45" w:rsidR="004462A0" w:rsidRPr="008912CF" w:rsidRDefault="00615769" w:rsidP="004462A0">
      <w:pPr>
        <w:numPr>
          <w:ilvl w:val="1"/>
          <w:numId w:val="40"/>
        </w:numPr>
        <w:rPr>
          <w:del w:id="14117" w:author="AbbVie2" w:date="2025-05-14T10:24:00Z"/>
          <w:sz w:val="22"/>
          <w:szCs w:val="22"/>
        </w:rPr>
      </w:pPr>
      <w:del w:id="14118" w:author="AbbVie2" w:date="2025-05-14T10:24:00Z">
        <w:r w:rsidRPr="008912CF">
          <w:rPr>
            <w:sz w:val="22"/>
            <w:szCs w:val="22"/>
          </w:rPr>
          <w:delText>Se tem alergia a adalimumab ou a qualquer outro componente deste medicamento (indicados na secção 6).</w:delText>
        </w:r>
      </w:del>
    </w:p>
    <w:p w14:paraId="7E6855DB" w14:textId="49476004" w:rsidR="004462A0" w:rsidRPr="008912CF" w:rsidRDefault="004462A0" w:rsidP="004462A0">
      <w:pPr>
        <w:pStyle w:val="EndnoteText"/>
        <w:tabs>
          <w:tab w:val="clear" w:pos="567"/>
        </w:tabs>
        <w:rPr>
          <w:del w:id="14119" w:author="AbbVie2" w:date="2025-05-14T10:24:00Z"/>
          <w:szCs w:val="22"/>
        </w:rPr>
      </w:pPr>
    </w:p>
    <w:p w14:paraId="03B2B490" w14:textId="0E049559" w:rsidR="004462A0" w:rsidRPr="008912CF" w:rsidRDefault="00615769" w:rsidP="004462A0">
      <w:pPr>
        <w:numPr>
          <w:ilvl w:val="1"/>
          <w:numId w:val="40"/>
        </w:numPr>
        <w:rPr>
          <w:del w:id="14120" w:author="AbbVie2" w:date="2025-05-14T10:24:00Z"/>
          <w:sz w:val="22"/>
          <w:szCs w:val="22"/>
        </w:rPr>
      </w:pPr>
      <w:del w:id="14121" w:author="AbbVie2" w:date="2025-05-14T10:24:00Z">
        <w:r w:rsidRPr="008912CF">
          <w:rPr>
            <w:sz w:val="22"/>
            <w:szCs w:val="22"/>
          </w:rPr>
          <w:delText xml:space="preserve">Se tem tuberculose ativa </w:delText>
        </w:r>
        <w:r w:rsidR="00A64DFC">
          <w:rPr>
            <w:sz w:val="22"/>
            <w:szCs w:val="22"/>
          </w:rPr>
          <w:delText xml:space="preserve">ou outras infeções graves </w:delText>
        </w:r>
        <w:r w:rsidRPr="008912CF">
          <w:rPr>
            <w:sz w:val="22"/>
            <w:szCs w:val="22"/>
          </w:rPr>
          <w:delText>(ver “Advertências e precauções”). Deve contactar o seu médico se tiver sintomas de infeção, tais como febre, feridas, sensação de cansaço, problemas dentários.</w:delText>
        </w:r>
      </w:del>
    </w:p>
    <w:p w14:paraId="79C5B17B" w14:textId="60E224BD" w:rsidR="004462A0" w:rsidRPr="008912CF" w:rsidRDefault="004462A0" w:rsidP="004462A0">
      <w:pPr>
        <w:rPr>
          <w:del w:id="14122" w:author="AbbVie2" w:date="2025-05-14T10:24:00Z"/>
          <w:sz w:val="22"/>
          <w:szCs w:val="22"/>
        </w:rPr>
      </w:pPr>
    </w:p>
    <w:p w14:paraId="3036AC3A" w14:textId="5D816938" w:rsidR="004462A0" w:rsidRPr="008912CF" w:rsidRDefault="00615769" w:rsidP="004462A0">
      <w:pPr>
        <w:numPr>
          <w:ilvl w:val="1"/>
          <w:numId w:val="40"/>
        </w:numPr>
        <w:rPr>
          <w:del w:id="14123" w:author="AbbVie2" w:date="2025-05-14T10:24:00Z"/>
          <w:sz w:val="22"/>
          <w:szCs w:val="22"/>
        </w:rPr>
      </w:pPr>
      <w:del w:id="14124" w:author="AbbVie2" w:date="2025-05-14T10:24:00Z">
        <w:r w:rsidRPr="008912CF">
          <w:rPr>
            <w:sz w:val="22"/>
            <w:szCs w:val="22"/>
          </w:rPr>
          <w:delText>Se tem insuficiência cardíaca moderada a grave. É importante que informe o seu médico se tem ou se teve alterações cardíacas graves (ver “Advertências e precauções</w:delText>
        </w:r>
        <w:r w:rsidRPr="008912CF">
          <w:rPr>
            <w:bCs/>
            <w:sz w:val="22"/>
            <w:szCs w:val="22"/>
          </w:rPr>
          <w:delText>”).</w:delText>
        </w:r>
      </w:del>
    </w:p>
    <w:p w14:paraId="3C7A0051" w14:textId="48AE65E1" w:rsidR="004462A0" w:rsidRPr="008912CF" w:rsidRDefault="004462A0" w:rsidP="004462A0">
      <w:pPr>
        <w:pStyle w:val="IndexHeading"/>
        <w:tabs>
          <w:tab w:val="clear" w:pos="567"/>
        </w:tabs>
        <w:spacing w:line="240" w:lineRule="auto"/>
        <w:rPr>
          <w:del w:id="14125" w:author="AbbVie2" w:date="2025-05-14T10:24:00Z"/>
          <w:rFonts w:ascii="Times New Roman" w:hAnsi="Times New Roman"/>
          <w:szCs w:val="22"/>
          <w:lang w:val="pt-PT"/>
        </w:rPr>
      </w:pPr>
    </w:p>
    <w:p w14:paraId="2F6AF5B3" w14:textId="12F203D8" w:rsidR="004462A0" w:rsidRPr="008912CF" w:rsidRDefault="00615769" w:rsidP="004462A0">
      <w:pPr>
        <w:rPr>
          <w:del w:id="14126" w:author="AbbVie2" w:date="2025-05-14T10:24:00Z"/>
          <w:sz w:val="22"/>
          <w:szCs w:val="22"/>
        </w:rPr>
      </w:pPr>
      <w:del w:id="14127" w:author="AbbVie2" w:date="2025-05-14T10:24:00Z">
        <w:r w:rsidRPr="008912CF">
          <w:rPr>
            <w:b/>
            <w:sz w:val="22"/>
            <w:szCs w:val="22"/>
          </w:rPr>
          <w:delText>Advertências e precauções</w:delText>
        </w:r>
      </w:del>
    </w:p>
    <w:p w14:paraId="35609870" w14:textId="698A2AD1" w:rsidR="004462A0" w:rsidRPr="008912CF" w:rsidRDefault="004462A0" w:rsidP="004462A0">
      <w:pPr>
        <w:pStyle w:val="EndnoteText"/>
        <w:tabs>
          <w:tab w:val="clear" w:pos="567"/>
        </w:tabs>
        <w:rPr>
          <w:del w:id="14128" w:author="AbbVie2" w:date="2025-05-14T10:24:00Z"/>
          <w:szCs w:val="22"/>
        </w:rPr>
      </w:pPr>
    </w:p>
    <w:p w14:paraId="55C4D44E" w14:textId="3EF7B426" w:rsidR="004462A0" w:rsidRPr="008912CF" w:rsidRDefault="00615769" w:rsidP="004462A0">
      <w:pPr>
        <w:pStyle w:val="EndnoteText"/>
        <w:tabs>
          <w:tab w:val="clear" w:pos="567"/>
        </w:tabs>
        <w:rPr>
          <w:del w:id="14129" w:author="AbbVie2" w:date="2025-05-14T10:24:00Z"/>
          <w:szCs w:val="22"/>
        </w:rPr>
      </w:pPr>
      <w:del w:id="14130" w:author="AbbVie2" w:date="2025-05-14T10:24:00Z">
        <w:r w:rsidRPr="008912CF">
          <w:rPr>
            <w:szCs w:val="22"/>
          </w:rPr>
          <w:delText>Fale com o seu médico ou farmacêutico antes de utilizar Humira.</w:delText>
        </w:r>
      </w:del>
    </w:p>
    <w:p w14:paraId="7B11A972" w14:textId="3FC6ED8C" w:rsidR="004462A0" w:rsidRPr="008912CF" w:rsidRDefault="004462A0" w:rsidP="004462A0">
      <w:pPr>
        <w:rPr>
          <w:del w:id="14131" w:author="AbbVie2" w:date="2025-05-14T10:24:00Z"/>
        </w:rPr>
      </w:pPr>
    </w:p>
    <w:p w14:paraId="6F9E76F1" w14:textId="41B1C913" w:rsidR="004462A0" w:rsidRPr="008912CF" w:rsidRDefault="00615769" w:rsidP="004462A0">
      <w:pPr>
        <w:numPr>
          <w:ilvl w:val="0"/>
          <w:numId w:val="15"/>
        </w:numPr>
        <w:rPr>
          <w:del w:id="14132" w:author="AbbVie2" w:date="2025-05-14T10:24:00Z"/>
          <w:sz w:val="22"/>
          <w:szCs w:val="22"/>
        </w:rPr>
      </w:pPr>
      <w:del w:id="14133" w:author="AbbVie2" w:date="2025-05-14T10:24:00Z">
        <w:r w:rsidRPr="008912CF">
          <w:rPr>
            <w:sz w:val="22"/>
            <w:szCs w:val="22"/>
          </w:rPr>
          <w:delText>Se tiver reações alérgicas com sintomas, tais como dificuldade em respirar, respiração ofegante, tonturas, inchaço ou pele irritada, interrompa a administração de Humira e contacte imediatamente o seu médico</w:delText>
        </w:r>
        <w:r w:rsidR="00BA5138">
          <w:rPr>
            <w:sz w:val="22"/>
            <w:szCs w:val="22"/>
          </w:rPr>
          <w:delText xml:space="preserve"> uma vez que, em casos raros, estas reações podem ser potencialmente fatais</w:delText>
        </w:r>
        <w:r w:rsidRPr="008912CF">
          <w:rPr>
            <w:sz w:val="22"/>
            <w:szCs w:val="22"/>
          </w:rPr>
          <w:delText>.</w:delText>
        </w:r>
      </w:del>
    </w:p>
    <w:p w14:paraId="2D45F78F" w14:textId="5C7BAB60" w:rsidR="004462A0" w:rsidRPr="008912CF" w:rsidRDefault="004462A0" w:rsidP="004462A0">
      <w:pPr>
        <w:pStyle w:val="EndnoteText"/>
        <w:tabs>
          <w:tab w:val="clear" w:pos="567"/>
        </w:tabs>
        <w:rPr>
          <w:del w:id="14134" w:author="AbbVie2" w:date="2025-05-14T10:24:00Z"/>
          <w:szCs w:val="22"/>
        </w:rPr>
      </w:pPr>
    </w:p>
    <w:p w14:paraId="7036F41A" w14:textId="4957F2EF" w:rsidR="004462A0" w:rsidRPr="008912CF" w:rsidRDefault="00615769" w:rsidP="004462A0">
      <w:pPr>
        <w:numPr>
          <w:ilvl w:val="0"/>
          <w:numId w:val="15"/>
        </w:numPr>
        <w:rPr>
          <w:del w:id="14135" w:author="AbbVie2" w:date="2025-05-14T10:24:00Z"/>
          <w:sz w:val="22"/>
          <w:szCs w:val="22"/>
        </w:rPr>
      </w:pPr>
      <w:del w:id="14136" w:author="AbbVie2" w:date="2025-05-14T10:24:00Z">
        <w:r w:rsidRPr="008912CF">
          <w:rPr>
            <w:sz w:val="22"/>
            <w:szCs w:val="22"/>
          </w:rPr>
          <w:delText xml:space="preserve">Se tiver uma infeção, incluindo uma infeção crónica ou </w:delText>
        </w:r>
        <w:r w:rsidR="00FE0AD3">
          <w:rPr>
            <w:sz w:val="22"/>
            <w:szCs w:val="22"/>
          </w:rPr>
          <w:delText>uma infeção em qualquer parte do seu corpo</w:delText>
        </w:r>
        <w:r w:rsidRPr="008912CF">
          <w:rPr>
            <w:sz w:val="22"/>
            <w:szCs w:val="22"/>
          </w:rPr>
          <w:delText xml:space="preserve"> (por exemplo, úlcera da perna) informe o seu médico antes de iniciar o tratamento com Humira. Se tiver quaisquer dúvidas, deve contactar o seu médico. </w:delText>
        </w:r>
      </w:del>
    </w:p>
    <w:p w14:paraId="073F6A68" w14:textId="4E0F8F55" w:rsidR="004462A0" w:rsidRPr="008912CF" w:rsidRDefault="004462A0" w:rsidP="004462A0">
      <w:pPr>
        <w:tabs>
          <w:tab w:val="num" w:pos="567"/>
        </w:tabs>
        <w:ind w:left="567" w:hanging="567"/>
        <w:rPr>
          <w:del w:id="14137" w:author="AbbVie2" w:date="2025-05-14T10:24:00Z"/>
          <w:sz w:val="22"/>
          <w:szCs w:val="22"/>
        </w:rPr>
      </w:pPr>
    </w:p>
    <w:p w14:paraId="26E1CD0F" w14:textId="51709F4A" w:rsidR="004462A0" w:rsidRPr="008912CF" w:rsidRDefault="00615769" w:rsidP="004462A0">
      <w:pPr>
        <w:pStyle w:val="EMEABullet"/>
        <w:numPr>
          <w:ilvl w:val="1"/>
          <w:numId w:val="41"/>
        </w:numPr>
        <w:suppressAutoHyphens w:val="0"/>
        <w:rPr>
          <w:del w:id="14138" w:author="AbbVie2" w:date="2025-05-14T10:24:00Z"/>
          <w:szCs w:val="22"/>
          <w:lang w:val="pt-PT"/>
        </w:rPr>
      </w:pPr>
      <w:del w:id="14139" w:author="AbbVie2" w:date="2025-05-14T10:24:00Z">
        <w:r w:rsidRPr="008912CF">
          <w:rPr>
            <w:szCs w:val="22"/>
            <w:lang w:val="pt-PT"/>
          </w:rPr>
          <w:delText>Pode contrair mais facilmente infeções enquanto estiver a ser tratado com Humira. Este risco pode aumentar se a sua função pulmonar estiver diminuída. Estas infeções podem ser graves e inclu</w:delText>
        </w:r>
        <w:r w:rsidR="00FE0AD3">
          <w:rPr>
            <w:szCs w:val="22"/>
            <w:lang w:val="pt-PT"/>
          </w:rPr>
          <w:delText>em</w:delText>
        </w:r>
        <w:r w:rsidRPr="008912CF">
          <w:rPr>
            <w:szCs w:val="22"/>
            <w:lang w:val="pt-PT"/>
          </w:rPr>
          <w:delText xml:space="preserve"> tuberculose, infeções causadas por vírus, fungos, parasitas ou bactérias, ou outras infeções oportunistas e sepsia que podem, em casos raros, pôr a vida em risco. Deve informar o seu médico se tiver sintomas, tais como febre, feridas, sensação de cansaço ou problemas dentários. O seu médico pode aconselhar a suspensão temporária de Humira.</w:delText>
        </w:r>
      </w:del>
    </w:p>
    <w:p w14:paraId="3F84718C" w14:textId="689BC6E7" w:rsidR="004462A0" w:rsidRPr="008912CF" w:rsidRDefault="004462A0" w:rsidP="004462A0">
      <w:pPr>
        <w:rPr>
          <w:del w:id="14140" w:author="AbbVie2" w:date="2025-05-14T10:24:00Z"/>
          <w:sz w:val="22"/>
          <w:szCs w:val="22"/>
        </w:rPr>
      </w:pPr>
    </w:p>
    <w:p w14:paraId="5704CB12" w14:textId="7938D631" w:rsidR="004462A0" w:rsidRPr="008912CF" w:rsidRDefault="00615769" w:rsidP="004462A0">
      <w:pPr>
        <w:pStyle w:val="EMEABullet"/>
        <w:numPr>
          <w:ilvl w:val="1"/>
          <w:numId w:val="41"/>
        </w:numPr>
        <w:suppressAutoHyphens w:val="0"/>
        <w:rPr>
          <w:del w:id="14141" w:author="AbbVie2" w:date="2025-05-14T10:24:00Z"/>
          <w:szCs w:val="22"/>
          <w:lang w:val="pt-PT"/>
        </w:rPr>
      </w:pPr>
      <w:del w:id="14142" w:author="AbbVie2" w:date="2025-05-14T10:24:00Z">
        <w:r w:rsidRPr="008912CF">
          <w:rPr>
            <w:szCs w:val="22"/>
            <w:lang w:val="pt-PT"/>
          </w:rPr>
          <w:delText xml:space="preserve">Uma vez que foram notificados casos de tuberculose em doentes tratados com Humira, o seu médico irá avaliá-lo para despiste de sinais e sintomas de tuberculose antes de iniciar a terapêutica com Humira. Esta avaliação irá incluir uma história clínica pormenorizada e exames de despiste apropriados (por exemplo, uma radiografia do tórax e um teste de tuberculina). A realização e o resultado destes exames devem ser registados no </w:delText>
        </w:r>
        <w:r w:rsidRPr="0083458C">
          <w:rPr>
            <w:b/>
            <w:szCs w:val="22"/>
            <w:lang w:val="pt-PT"/>
          </w:rPr>
          <w:delText>Cartão de Segurança do Doente</w:delText>
        </w:r>
        <w:r w:rsidRPr="008912CF">
          <w:rPr>
            <w:szCs w:val="22"/>
            <w:lang w:val="pt-PT"/>
          </w:rPr>
          <w:delText>. É muito importante que informe o seu médico se já sofreu de tuberculose ou se esteve em contacto próximo com alguém com esta doença. A tuberculose pode vir a manifestar-se durante o tratamento com Humira, ainda que tenha efetuado tratamento de profilaxia da tuberculose. Se surgirem sintomas de tuberculose (tosse persistente, perda de peso, fraqueza, febre ligeira) ou qualquer outra infeção durante ou após o tratamento, informe imediatamente o seu médico.</w:delText>
        </w:r>
      </w:del>
    </w:p>
    <w:p w14:paraId="6DEF48C1" w14:textId="147E1B53" w:rsidR="004462A0" w:rsidRPr="008912CF" w:rsidRDefault="004462A0" w:rsidP="004462A0">
      <w:pPr>
        <w:pStyle w:val="Footer"/>
        <w:tabs>
          <w:tab w:val="clear" w:pos="4320"/>
          <w:tab w:val="clear" w:pos="8640"/>
        </w:tabs>
        <w:rPr>
          <w:del w:id="14143" w:author="AbbVie2" w:date="2025-05-14T10:24:00Z"/>
          <w:sz w:val="22"/>
          <w:szCs w:val="22"/>
        </w:rPr>
      </w:pPr>
    </w:p>
    <w:p w14:paraId="0FC6FE71" w14:textId="4BF3081E" w:rsidR="004462A0" w:rsidRPr="008912CF" w:rsidRDefault="00615769" w:rsidP="004462A0">
      <w:pPr>
        <w:numPr>
          <w:ilvl w:val="2"/>
          <w:numId w:val="41"/>
        </w:numPr>
        <w:rPr>
          <w:del w:id="14144" w:author="AbbVie2" w:date="2025-05-14T10:24:00Z"/>
          <w:sz w:val="22"/>
          <w:szCs w:val="22"/>
        </w:rPr>
      </w:pPr>
      <w:del w:id="14145" w:author="AbbVie2" w:date="2025-05-14T10:24:00Z">
        <w:r w:rsidRPr="008912CF">
          <w:rPr>
            <w:sz w:val="22"/>
            <w:szCs w:val="22"/>
          </w:rPr>
          <w:delText xml:space="preserve">Informe o seu médico se reside ou viaja em regiões nas quais as infeções fúngicas tais como histoplasmose, </w:delText>
        </w:r>
        <w:r w:rsidRPr="008912CF">
          <w:rPr>
            <w:sz w:val="22"/>
            <w:szCs w:val="22"/>
            <w:u w:color="0000FF"/>
          </w:rPr>
          <w:delText>coccidioidomicose ou blastomicose são endémicas</w:delText>
        </w:r>
        <w:r w:rsidRPr="008912CF">
          <w:rPr>
            <w:color w:val="0000FF"/>
            <w:sz w:val="22"/>
            <w:szCs w:val="22"/>
            <w:u w:color="0000FF"/>
          </w:rPr>
          <w:delText>.</w:delText>
        </w:r>
      </w:del>
    </w:p>
    <w:p w14:paraId="601BDEEF" w14:textId="458B4D07" w:rsidR="004462A0" w:rsidRPr="008912CF" w:rsidRDefault="004462A0" w:rsidP="004462A0">
      <w:pPr>
        <w:pStyle w:val="EndnoteText"/>
        <w:tabs>
          <w:tab w:val="clear" w:pos="567"/>
        </w:tabs>
        <w:rPr>
          <w:del w:id="14146" w:author="AbbVie2" w:date="2025-05-14T10:24:00Z"/>
          <w:szCs w:val="22"/>
        </w:rPr>
      </w:pPr>
    </w:p>
    <w:p w14:paraId="28446545" w14:textId="5123888B" w:rsidR="004462A0" w:rsidRPr="008912CF" w:rsidRDefault="00615769" w:rsidP="004462A0">
      <w:pPr>
        <w:numPr>
          <w:ilvl w:val="2"/>
          <w:numId w:val="41"/>
        </w:numPr>
        <w:rPr>
          <w:del w:id="14147" w:author="AbbVie2" w:date="2025-05-14T10:24:00Z"/>
          <w:sz w:val="22"/>
          <w:szCs w:val="22"/>
        </w:rPr>
      </w:pPr>
      <w:del w:id="14148" w:author="AbbVie2" w:date="2025-05-14T10:24:00Z">
        <w:r w:rsidRPr="008912CF">
          <w:rPr>
            <w:sz w:val="22"/>
            <w:szCs w:val="22"/>
          </w:rPr>
          <w:delText>Informe o seu médico se tem antecedentes de infeções recorrentes ou quaisquer outros problemas que aumentem o risco de infeções.</w:delText>
        </w:r>
      </w:del>
    </w:p>
    <w:p w14:paraId="62EDD7DD" w14:textId="5B3A2C83" w:rsidR="004462A0" w:rsidRPr="008912CF" w:rsidRDefault="004462A0" w:rsidP="004462A0">
      <w:pPr>
        <w:pStyle w:val="EndnoteText"/>
        <w:tabs>
          <w:tab w:val="clear" w:pos="567"/>
        </w:tabs>
        <w:rPr>
          <w:del w:id="14149" w:author="AbbVie2" w:date="2025-05-14T10:24:00Z"/>
          <w:szCs w:val="22"/>
        </w:rPr>
      </w:pPr>
    </w:p>
    <w:p w14:paraId="597F2448" w14:textId="29762A22" w:rsidR="004462A0" w:rsidRPr="008912CF" w:rsidRDefault="00615769" w:rsidP="004462A0">
      <w:pPr>
        <w:numPr>
          <w:ilvl w:val="2"/>
          <w:numId w:val="41"/>
        </w:numPr>
        <w:rPr>
          <w:del w:id="14150" w:author="AbbVie2" w:date="2025-05-14T10:24:00Z"/>
          <w:sz w:val="22"/>
          <w:szCs w:val="22"/>
        </w:rPr>
      </w:pPr>
      <w:del w:id="14151" w:author="AbbVie2" w:date="2025-05-14T10:24:00Z">
        <w:r w:rsidRPr="008912CF">
          <w:rPr>
            <w:sz w:val="22"/>
            <w:szCs w:val="22"/>
          </w:rPr>
          <w:delText>Informe o seu médico se é um portador do vírus da Hepatite B (HBV), se tem o vírus HBV ativo ou se pensa que pode estar em risco de contrair HBV. O seu médico deve avaliá-lo para determinar se tem HBV. Humira pode causar reativação de HBV em pessoas portadoras deste vírus. Em alguns casos</w:delText>
        </w:r>
        <w:r w:rsidR="00BA1FF6">
          <w:rPr>
            <w:sz w:val="22"/>
            <w:szCs w:val="22"/>
          </w:rPr>
          <w:delText xml:space="preserve"> raros</w:delText>
        </w:r>
        <w:r w:rsidRPr="008912CF">
          <w:rPr>
            <w:sz w:val="22"/>
            <w:szCs w:val="22"/>
          </w:rPr>
          <w:delText>, especialmente se tomar outros medicamentos que suprimem o sistema imunitário, a reativação de HBV pode pôr a sua vida em risco.</w:delText>
        </w:r>
      </w:del>
    </w:p>
    <w:p w14:paraId="7D9FC6AE" w14:textId="353B26EE" w:rsidR="004462A0" w:rsidRPr="008912CF" w:rsidRDefault="004462A0" w:rsidP="004462A0">
      <w:pPr>
        <w:pStyle w:val="EndnoteText"/>
        <w:tabs>
          <w:tab w:val="clear" w:pos="567"/>
        </w:tabs>
        <w:rPr>
          <w:del w:id="14152" w:author="AbbVie2" w:date="2025-05-14T10:24:00Z"/>
          <w:szCs w:val="22"/>
        </w:rPr>
      </w:pPr>
    </w:p>
    <w:p w14:paraId="7595E9F5" w14:textId="7DB87DB2" w:rsidR="004462A0" w:rsidRPr="008912CF" w:rsidRDefault="00615769" w:rsidP="004462A0">
      <w:pPr>
        <w:numPr>
          <w:ilvl w:val="2"/>
          <w:numId w:val="41"/>
        </w:numPr>
        <w:rPr>
          <w:del w:id="14153" w:author="AbbVie2" w:date="2025-05-14T10:24:00Z"/>
          <w:sz w:val="22"/>
          <w:szCs w:val="22"/>
        </w:rPr>
      </w:pPr>
      <w:del w:id="14154" w:author="AbbVie2" w:date="2025-05-14T10:24:00Z">
        <w:r w:rsidRPr="008912CF">
          <w:rPr>
            <w:sz w:val="22"/>
            <w:szCs w:val="22"/>
          </w:rPr>
          <w:delText>Se tem mais de 65 anos pode estar mais suscetível a infeções enquanto estiver a ser tratado com Humira. Em conjunto com o seu médico, deve tomar especial atenção a sinais de infeção enquanto estiver a ser tratado com Humira. É importante informar o seu médico se tiver sintomas de infeções, tais como febre, feridas, sensação de cansaço ou problemas dentários.</w:delText>
        </w:r>
      </w:del>
    </w:p>
    <w:p w14:paraId="133D59D0" w14:textId="29BB14AB" w:rsidR="004462A0" w:rsidRPr="008912CF" w:rsidRDefault="004462A0" w:rsidP="004462A0">
      <w:pPr>
        <w:rPr>
          <w:del w:id="14155" w:author="AbbVie2" w:date="2025-05-14T10:24:00Z"/>
          <w:sz w:val="22"/>
          <w:szCs w:val="22"/>
        </w:rPr>
      </w:pPr>
    </w:p>
    <w:p w14:paraId="33AB3324" w14:textId="7B1BDFCC" w:rsidR="004462A0" w:rsidRPr="008912CF" w:rsidRDefault="00615769" w:rsidP="004462A0">
      <w:pPr>
        <w:numPr>
          <w:ilvl w:val="2"/>
          <w:numId w:val="41"/>
        </w:numPr>
        <w:rPr>
          <w:del w:id="14156" w:author="AbbVie2" w:date="2025-05-14T10:24:00Z"/>
          <w:sz w:val="22"/>
          <w:szCs w:val="22"/>
        </w:rPr>
      </w:pPr>
      <w:del w:id="14157" w:author="AbbVie2" w:date="2025-05-14T10:24:00Z">
        <w:r w:rsidRPr="008912CF">
          <w:rPr>
            <w:sz w:val="22"/>
            <w:szCs w:val="22"/>
          </w:rPr>
          <w:delText>Se vai ser submetido a uma intervenção cirúrgica ou dentária, informe o seu médico que está a tomar Humira. O seu médico pode aconselhar a suspensão temporária de Humira.</w:delText>
        </w:r>
      </w:del>
    </w:p>
    <w:p w14:paraId="49D5B6DB" w14:textId="77657F94" w:rsidR="004462A0" w:rsidRPr="008912CF" w:rsidRDefault="004462A0" w:rsidP="004462A0">
      <w:pPr>
        <w:rPr>
          <w:del w:id="14158" w:author="AbbVie2" w:date="2025-05-14T10:24:00Z"/>
          <w:sz w:val="22"/>
          <w:szCs w:val="22"/>
        </w:rPr>
      </w:pPr>
    </w:p>
    <w:p w14:paraId="26D4D40A" w14:textId="6AB72602" w:rsidR="004462A0" w:rsidRPr="00D03949" w:rsidRDefault="00615769" w:rsidP="004462A0">
      <w:pPr>
        <w:numPr>
          <w:ilvl w:val="2"/>
          <w:numId w:val="41"/>
        </w:numPr>
        <w:rPr>
          <w:del w:id="14159" w:author="AbbVie2" w:date="2025-05-14T10:24:00Z"/>
          <w:sz w:val="22"/>
          <w:szCs w:val="22"/>
        </w:rPr>
      </w:pPr>
      <w:del w:id="14160" w:author="AbbVie2" w:date="2025-05-14T10:24:00Z">
        <w:r w:rsidRPr="00DE3483">
          <w:rPr>
            <w:sz w:val="22"/>
            <w:szCs w:val="22"/>
          </w:rPr>
          <w:delText xml:space="preserve">Se sofre </w:delText>
        </w:r>
        <w:r w:rsidRPr="008123C1">
          <w:rPr>
            <w:sz w:val="22"/>
            <w:szCs w:val="22"/>
          </w:rPr>
          <w:delText>ou vier a desenvolve</w:delText>
        </w:r>
        <w:r w:rsidRPr="005972D0">
          <w:rPr>
            <w:sz w:val="22"/>
            <w:szCs w:val="22"/>
          </w:rPr>
          <w:delText>r uma</w:delText>
        </w:r>
        <w:r w:rsidRPr="0095665F">
          <w:rPr>
            <w:sz w:val="22"/>
            <w:szCs w:val="22"/>
          </w:rPr>
          <w:delText xml:space="preserve"> doença desmielinizante tal como esclerose múltipla, o seu médico irá decidir se pode utilizar</w:delText>
        </w:r>
        <w:r w:rsidRPr="0095508D">
          <w:rPr>
            <w:sz w:val="22"/>
            <w:szCs w:val="22"/>
          </w:rPr>
          <w:delText xml:space="preserve"> ou continuar a utilizar</w:delText>
        </w:r>
        <w:r w:rsidRPr="00D03949">
          <w:rPr>
            <w:sz w:val="22"/>
            <w:szCs w:val="22"/>
          </w:rPr>
          <w:delText xml:space="preserve"> Humira. Caso </w:delText>
        </w:r>
        <w:r w:rsidR="00BA1FF6">
          <w:rPr>
            <w:sz w:val="22"/>
            <w:szCs w:val="22"/>
          </w:rPr>
          <w:delText>desenvolva</w:delText>
        </w:r>
        <w:r>
          <w:rPr>
            <w:sz w:val="22"/>
            <w:szCs w:val="22"/>
          </w:rPr>
          <w:delText xml:space="preserve"> </w:delText>
        </w:r>
        <w:r w:rsidRPr="00D03949">
          <w:rPr>
            <w:sz w:val="22"/>
            <w:szCs w:val="22"/>
          </w:rPr>
          <w:delText>sintomas</w:delText>
        </w:r>
        <w:r w:rsidRPr="00D43276">
          <w:rPr>
            <w:sz w:val="22"/>
            <w:szCs w:val="22"/>
          </w:rPr>
          <w:delText xml:space="preserve">, tais como alterações na visão, fraqueza nos braços </w:delText>
        </w:r>
        <w:r w:rsidRPr="00A1061E">
          <w:rPr>
            <w:sz w:val="22"/>
            <w:szCs w:val="22"/>
          </w:rPr>
          <w:delText>ou pernas ou dormência ou formigueir</w:delText>
        </w:r>
        <w:r w:rsidRPr="000919AA">
          <w:rPr>
            <w:sz w:val="22"/>
            <w:szCs w:val="22"/>
          </w:rPr>
          <w:delText xml:space="preserve">o em qualquer parte do corpo, </w:delText>
        </w:r>
        <w:r>
          <w:rPr>
            <w:sz w:val="22"/>
            <w:szCs w:val="22"/>
          </w:rPr>
          <w:delText xml:space="preserve">informe imediatamente </w:delText>
        </w:r>
        <w:r w:rsidRPr="00D03949">
          <w:rPr>
            <w:sz w:val="22"/>
            <w:szCs w:val="22"/>
          </w:rPr>
          <w:delText>o seu médico</w:delText>
        </w:r>
        <w:r>
          <w:rPr>
            <w:sz w:val="22"/>
            <w:szCs w:val="22"/>
          </w:rPr>
          <w:delText>.</w:delText>
        </w:r>
        <w:r w:rsidRPr="00D03949">
          <w:rPr>
            <w:sz w:val="22"/>
            <w:szCs w:val="22"/>
          </w:rPr>
          <w:delText xml:space="preserve"> </w:delText>
        </w:r>
      </w:del>
    </w:p>
    <w:p w14:paraId="4DD74D5D" w14:textId="0F39FB76" w:rsidR="004462A0" w:rsidRPr="008912CF" w:rsidRDefault="004462A0" w:rsidP="004462A0">
      <w:pPr>
        <w:rPr>
          <w:del w:id="14161" w:author="AbbVie2" w:date="2025-05-14T10:24:00Z"/>
          <w:sz w:val="22"/>
          <w:szCs w:val="22"/>
        </w:rPr>
      </w:pPr>
    </w:p>
    <w:p w14:paraId="57BFB86F" w14:textId="78501D15" w:rsidR="004462A0" w:rsidRPr="008912CF" w:rsidRDefault="00615769" w:rsidP="004462A0">
      <w:pPr>
        <w:numPr>
          <w:ilvl w:val="2"/>
          <w:numId w:val="41"/>
        </w:numPr>
        <w:rPr>
          <w:del w:id="14162" w:author="AbbVie2" w:date="2025-05-14T10:24:00Z"/>
          <w:sz w:val="22"/>
          <w:szCs w:val="22"/>
        </w:rPr>
      </w:pPr>
      <w:del w:id="14163" w:author="AbbVie2" w:date="2025-05-14T10:24:00Z">
        <w:r w:rsidRPr="008912CF">
          <w:rPr>
            <w:sz w:val="22"/>
            <w:szCs w:val="22"/>
          </w:rPr>
          <w:delText>Certas vacinas podem causar infeções e não devem ser administradas em conjunto com Humira. Contacte o seu médico antes de receber qualquer vacina. Recomenda-se que as crianças, antes de iniciarem o tratamento com Humira, se possível, sejam informadas sobre todas as vacinas, de acordo com o atual plano de vacinação nacional. Se utilizou Humira durante a gravidez, o seu bebé pode ter um risco superior de ter tais infeções até, aproximadamente, cinco meses após a última dose que administrou durante a gravidez.</w:delText>
        </w:r>
        <w:r w:rsidRPr="008912CF">
          <w:rPr>
            <w:sz w:val="22"/>
            <w:szCs w:val="22"/>
          </w:rPr>
          <w:delText xml:space="preserve"> É importante que diga ao médico do seu bebé e a outros profissionais de saúde que usou Humira durante a sua gravidez, para que estes possam decidir quando pode ser dada qualquer vacina ao seu bebé.</w:delText>
        </w:r>
      </w:del>
    </w:p>
    <w:p w14:paraId="71135762" w14:textId="3478B607" w:rsidR="004462A0" w:rsidRPr="008912CF" w:rsidRDefault="004462A0" w:rsidP="004462A0">
      <w:pPr>
        <w:rPr>
          <w:del w:id="14164" w:author="AbbVie2" w:date="2025-05-14T10:24:00Z"/>
          <w:sz w:val="22"/>
          <w:szCs w:val="22"/>
        </w:rPr>
      </w:pPr>
    </w:p>
    <w:p w14:paraId="0E0C3B5F" w14:textId="196E40EA" w:rsidR="004462A0" w:rsidRPr="008912CF" w:rsidRDefault="00615769" w:rsidP="004462A0">
      <w:pPr>
        <w:numPr>
          <w:ilvl w:val="0"/>
          <w:numId w:val="23"/>
        </w:numPr>
        <w:rPr>
          <w:del w:id="14165" w:author="AbbVie2" w:date="2025-05-14T10:24:00Z"/>
          <w:sz w:val="22"/>
          <w:szCs w:val="22"/>
        </w:rPr>
      </w:pPr>
      <w:del w:id="14166" w:author="AbbVie2" w:date="2025-05-14T10:24:00Z">
        <w:r w:rsidRPr="008912CF">
          <w:rPr>
            <w:sz w:val="22"/>
            <w:szCs w:val="22"/>
          </w:rPr>
          <w:delText>Se sofre de insuficiência cardíaca ligeira e está a ser tratado com Humira, o estado da sua insuficiência cardíaca deve ser controlado cuidadosamente pelo seu médico. Deve informar o seu médico se sofre ou já sofreu de algum problema cardíaco grave. Caso se verifique desenvolvimento de novos sintomas ou agravamento dos sintomas de insuficiência cardíaca (por exemplo, falta de ar ou inchaço dos pés), deve contactar o seu médico imediatamente. O seu médico irá decidir se pode utilizar Humira.</w:delText>
        </w:r>
      </w:del>
    </w:p>
    <w:p w14:paraId="064E6D3A" w14:textId="35BD1DA9" w:rsidR="004462A0" w:rsidRPr="008912CF" w:rsidRDefault="004462A0" w:rsidP="004462A0">
      <w:pPr>
        <w:pStyle w:val="EndnoteText"/>
        <w:tabs>
          <w:tab w:val="clear" w:pos="567"/>
        </w:tabs>
        <w:rPr>
          <w:del w:id="14167" w:author="AbbVie2" w:date="2025-05-14T10:24:00Z"/>
          <w:szCs w:val="22"/>
        </w:rPr>
      </w:pPr>
    </w:p>
    <w:p w14:paraId="09C10904" w14:textId="147B9980" w:rsidR="004462A0" w:rsidRPr="008912CF" w:rsidRDefault="00615769" w:rsidP="004462A0">
      <w:pPr>
        <w:numPr>
          <w:ilvl w:val="0"/>
          <w:numId w:val="23"/>
        </w:numPr>
        <w:rPr>
          <w:del w:id="14168" w:author="AbbVie2" w:date="2025-05-14T10:24:00Z"/>
          <w:sz w:val="22"/>
          <w:szCs w:val="22"/>
        </w:rPr>
      </w:pPr>
      <w:del w:id="14169" w:author="AbbVie2" w:date="2025-05-14T10:24:00Z">
        <w:r w:rsidRPr="008912CF">
          <w:rPr>
            <w:sz w:val="22"/>
            <w:szCs w:val="22"/>
          </w:rPr>
          <w:delText>Em alguns doentes o organismo pode ser incapaz de produzir suficientes células sanguíneas que ajudem o organismo a combater infeções ou ajudem a parar hemorragias. Caso verifique febre que se mantenha, nódoas negras ou perdas de sangue muito facilmente ou que apresente um aspeto pálido, informe imediatamente o seu médico. O seu médico pode decidir suspender o tratamento.</w:delText>
        </w:r>
      </w:del>
    </w:p>
    <w:p w14:paraId="4D8381BE" w14:textId="64BC7626" w:rsidR="004462A0" w:rsidRPr="008912CF" w:rsidRDefault="004462A0" w:rsidP="004462A0">
      <w:pPr>
        <w:rPr>
          <w:del w:id="14170" w:author="AbbVie2" w:date="2025-05-14T10:24:00Z"/>
          <w:sz w:val="22"/>
          <w:szCs w:val="22"/>
        </w:rPr>
      </w:pPr>
    </w:p>
    <w:p w14:paraId="49154511" w14:textId="24F46F60" w:rsidR="004462A0" w:rsidRPr="008912CF" w:rsidRDefault="00615769" w:rsidP="004462A0">
      <w:pPr>
        <w:numPr>
          <w:ilvl w:val="0"/>
          <w:numId w:val="23"/>
        </w:numPr>
        <w:rPr>
          <w:del w:id="14171" w:author="AbbVie2" w:date="2025-05-14T10:24:00Z"/>
          <w:sz w:val="22"/>
          <w:szCs w:val="22"/>
        </w:rPr>
      </w:pPr>
      <w:del w:id="14172" w:author="AbbVie2" w:date="2025-05-14T10:24:00Z">
        <w:r w:rsidRPr="008912CF">
          <w:rPr>
            <w:sz w:val="22"/>
            <w:szCs w:val="22"/>
          </w:rPr>
          <w:delText>T</w:delText>
        </w:r>
        <w:r w:rsidR="00B00E30">
          <w:rPr>
            <w:sz w:val="22"/>
            <w:szCs w:val="22"/>
          </w:rPr>
          <w:delText>ê</w:delText>
        </w:r>
        <w:r w:rsidRPr="008912CF">
          <w:rPr>
            <w:sz w:val="22"/>
            <w:szCs w:val="22"/>
          </w:rPr>
          <w:delText>m ocorrido</w:delText>
        </w:r>
        <w:r w:rsidR="00B00E30">
          <w:rPr>
            <w:sz w:val="22"/>
            <w:szCs w:val="22"/>
          </w:rPr>
          <w:delText>,</w:delText>
        </w:r>
        <w:r w:rsidRPr="008912CF">
          <w:rPr>
            <w:sz w:val="22"/>
            <w:szCs w:val="22"/>
          </w:rPr>
          <w:delText xml:space="preserve"> em casos muito raros, certos tipos de cancro em crianças e adultos doentes tratados com Humira ou com outros antagonistas</w:delText>
        </w:r>
        <w:r w:rsidRPr="008912CF">
          <w:rPr>
            <w:sz w:val="22"/>
            <w:szCs w:val="22"/>
          </w:rPr>
          <w:noBreakHyphen/>
          <w:delText>TNF. Doentes com artrite reumatoide muito grave que tenham doença prolongada podem ter um maior risco médio de aparecimento de linfoma (cancro que afeta o sistema linfático) e leucemia (</w:delText>
        </w:r>
        <w:r w:rsidR="004362CE">
          <w:rPr>
            <w:sz w:val="22"/>
            <w:szCs w:val="22"/>
          </w:rPr>
          <w:delText xml:space="preserve">um </w:delText>
        </w:r>
        <w:r w:rsidRPr="008912CF">
          <w:rPr>
            <w:sz w:val="22"/>
            <w:szCs w:val="22"/>
          </w:rPr>
          <w:delText>cancro que afeta o sangue e medula óssea). Se toma Humira o risco de ter linfoma, leucemia, ou outro tipo de cancro pode aumentar. Em raras ocasiões, em doentes tratados com Humira, foi no</w:delText>
        </w:r>
        <w:r w:rsidRPr="008912CF">
          <w:rPr>
            <w:sz w:val="22"/>
            <w:szCs w:val="22"/>
          </w:rPr>
          <w:delText xml:space="preserve">tificado um tipo de linfoma </w:delText>
        </w:r>
        <w:r w:rsidR="00712F4C">
          <w:rPr>
            <w:sz w:val="22"/>
            <w:szCs w:val="22"/>
          </w:rPr>
          <w:delText>pouco frequente</w:delText>
        </w:r>
        <w:r w:rsidR="00712F4C" w:rsidRPr="008912CF">
          <w:rPr>
            <w:sz w:val="22"/>
            <w:szCs w:val="22"/>
          </w:rPr>
          <w:delText xml:space="preserve"> </w:delText>
        </w:r>
        <w:r w:rsidRPr="008912CF">
          <w:rPr>
            <w:sz w:val="22"/>
            <w:szCs w:val="22"/>
          </w:rPr>
          <w:delText>e grave. Alguns destes doentes foram também tratados com azatioprina ou 6-mercaptopurina. Diga ao seu médico se está a tomar azatioprina ou 6-mercaptopurina com Humira</w:delText>
        </w:r>
        <w:r w:rsidR="006A5654">
          <w:rPr>
            <w:sz w:val="22"/>
            <w:szCs w:val="22"/>
          </w:rPr>
          <w:delText>.</w:delText>
        </w:r>
        <w:r w:rsidRPr="008912CF">
          <w:rPr>
            <w:sz w:val="22"/>
            <w:szCs w:val="22"/>
          </w:rPr>
          <w:delText xml:space="preserve"> Adicionalmente</w:delText>
        </w:r>
        <w:r w:rsidR="006A5654">
          <w:rPr>
            <w:sz w:val="22"/>
            <w:szCs w:val="22"/>
          </w:rPr>
          <w:delText>,</w:delText>
        </w:r>
        <w:r w:rsidRPr="008912CF">
          <w:rPr>
            <w:sz w:val="22"/>
            <w:szCs w:val="22"/>
          </w:rPr>
          <w:delText xml:space="preserve"> foram observados casos de neoplasias cutâneas não-melanomas em doentes tratados com Humira. Se aparecerem novas lesões de pele durante ou depois do tratamento, ou se existirem alterações no aspeto de lesões existentes, informe o seu médico.</w:delText>
        </w:r>
      </w:del>
    </w:p>
    <w:p w14:paraId="50077E5B" w14:textId="506180BA" w:rsidR="004462A0" w:rsidRPr="008912CF" w:rsidRDefault="004462A0" w:rsidP="004462A0">
      <w:pPr>
        <w:rPr>
          <w:del w:id="14173" w:author="AbbVie2" w:date="2025-05-14T10:24:00Z"/>
          <w:sz w:val="22"/>
          <w:szCs w:val="22"/>
        </w:rPr>
      </w:pPr>
    </w:p>
    <w:p w14:paraId="4A875973" w14:textId="1F0EC46D" w:rsidR="004462A0" w:rsidRDefault="00615769" w:rsidP="004462A0">
      <w:pPr>
        <w:numPr>
          <w:ilvl w:val="0"/>
          <w:numId w:val="23"/>
        </w:numPr>
        <w:rPr>
          <w:del w:id="14174" w:author="AbbVie2" w:date="2025-05-14T10:24:00Z"/>
          <w:sz w:val="22"/>
          <w:szCs w:val="22"/>
        </w:rPr>
      </w:pPr>
      <w:del w:id="14175" w:author="AbbVie2" w:date="2025-05-14T10:24:00Z">
        <w:r w:rsidRPr="008912CF">
          <w:rPr>
            <w:sz w:val="22"/>
            <w:szCs w:val="22"/>
          </w:rPr>
          <w:delText>Existem casos de cancros, para além de linfoma, em doentes com um tipo específico de doença pulmonar denominada Doença Pulmonar Obstrutiva Crónica (DPOC) tratados com outros antagonistas</w:delText>
        </w:r>
        <w:r w:rsidRPr="008912CF">
          <w:rPr>
            <w:sz w:val="22"/>
            <w:szCs w:val="22"/>
          </w:rPr>
          <w:noBreakHyphen/>
          <w:delText>TNF. Se tem DPOC, ou se fuma muito, deve falar com o seu médico para saber se o tratamento com um bloqueador</w:delText>
        </w:r>
        <w:r w:rsidRPr="008912CF">
          <w:rPr>
            <w:sz w:val="22"/>
            <w:szCs w:val="22"/>
          </w:rPr>
          <w:noBreakHyphen/>
          <w:delText>TNF é apropriado para si.</w:delText>
        </w:r>
      </w:del>
    </w:p>
    <w:p w14:paraId="457F7C4D" w14:textId="149259A0" w:rsidR="009178C4" w:rsidRDefault="009178C4" w:rsidP="00F03C54">
      <w:pPr>
        <w:pStyle w:val="ListParagraph"/>
        <w:rPr>
          <w:del w:id="14176" w:author="AbbVie2" w:date="2025-05-14T10:24:00Z"/>
          <w:sz w:val="22"/>
          <w:szCs w:val="22"/>
        </w:rPr>
      </w:pPr>
    </w:p>
    <w:p w14:paraId="46D0628D" w14:textId="02B62023" w:rsidR="009178C4" w:rsidRPr="009178C4" w:rsidRDefault="00615769" w:rsidP="00F03C54">
      <w:pPr>
        <w:pStyle w:val="ListParagraph"/>
        <w:numPr>
          <w:ilvl w:val="0"/>
          <w:numId w:val="23"/>
        </w:numPr>
        <w:rPr>
          <w:del w:id="14177" w:author="AbbVie2" w:date="2025-05-14T10:24:00Z"/>
          <w:sz w:val="22"/>
          <w:szCs w:val="22"/>
        </w:rPr>
      </w:pPr>
      <w:del w:id="14178" w:author="AbbVie2" w:date="2025-05-14T10:24:00Z">
        <w:r w:rsidRPr="009178C4">
          <w:rPr>
            <w:sz w:val="22"/>
            <w:szCs w:val="22"/>
          </w:rPr>
          <w:delText xml:space="preserve">Em raras ocasiões, o tratamento com Humira pode dar origem a sintomas sugestivos de uma síndrome  tipo lúpus. Contacte o seu médico se ocorrerem sintomas tais como inesperada erupção cutânea persistente, febre, dor nas articulações ou cansaço. </w:delText>
        </w:r>
      </w:del>
    </w:p>
    <w:p w14:paraId="43618720" w14:textId="1FFBA23A" w:rsidR="004462A0" w:rsidRPr="008912CF" w:rsidRDefault="004462A0" w:rsidP="004462A0">
      <w:pPr>
        <w:rPr>
          <w:del w:id="14179" w:author="AbbVie2" w:date="2025-05-14T10:24:00Z"/>
          <w:sz w:val="22"/>
          <w:szCs w:val="22"/>
        </w:rPr>
      </w:pPr>
    </w:p>
    <w:p w14:paraId="0F89B08B" w14:textId="63B41DF3" w:rsidR="004462A0" w:rsidRPr="008912CF" w:rsidRDefault="00615769" w:rsidP="004462A0">
      <w:pPr>
        <w:pStyle w:val="EMEAHeadingLeaflet"/>
        <w:spacing w:before="0" w:after="0"/>
        <w:rPr>
          <w:del w:id="14180" w:author="AbbVie2" w:date="2025-05-14T10:24:00Z"/>
          <w:rFonts w:ascii="Times New Roman" w:hAnsi="Times New Roman"/>
          <w:szCs w:val="22"/>
          <w:lang w:val="pt-PT"/>
        </w:rPr>
      </w:pPr>
      <w:del w:id="14181" w:author="AbbVie2" w:date="2025-05-14T10:24:00Z">
        <w:r w:rsidRPr="008912CF">
          <w:rPr>
            <w:rFonts w:ascii="Times New Roman" w:hAnsi="Times New Roman"/>
            <w:szCs w:val="22"/>
            <w:lang w:val="pt-PT"/>
          </w:rPr>
          <w:delText>Crianças e adolescentes</w:delText>
        </w:r>
      </w:del>
    </w:p>
    <w:p w14:paraId="304676C6" w14:textId="0FEDE240" w:rsidR="004462A0" w:rsidRPr="008912CF" w:rsidRDefault="004462A0" w:rsidP="004462A0">
      <w:pPr>
        <w:pStyle w:val="EMEANormal"/>
        <w:rPr>
          <w:del w:id="14182" w:author="AbbVie2" w:date="2025-05-14T10:24:00Z"/>
          <w:lang w:val="pt-PT"/>
        </w:rPr>
      </w:pPr>
    </w:p>
    <w:p w14:paraId="1A475F33" w14:textId="07DC065F" w:rsidR="004462A0" w:rsidRPr="008912CF" w:rsidRDefault="00615769" w:rsidP="00D961A0">
      <w:pPr>
        <w:pStyle w:val="EMEABullet2"/>
        <w:numPr>
          <w:ilvl w:val="0"/>
          <w:numId w:val="131"/>
        </w:numPr>
        <w:ind w:left="567" w:hanging="567"/>
        <w:rPr>
          <w:del w:id="14183" w:author="AbbVie2" w:date="2025-05-14T10:24:00Z"/>
          <w:szCs w:val="22"/>
          <w:lang w:val="pt-PT"/>
        </w:rPr>
      </w:pPr>
      <w:del w:id="14184" w:author="AbbVie2" w:date="2025-05-14T10:24:00Z">
        <w:r w:rsidRPr="008912CF">
          <w:rPr>
            <w:szCs w:val="22"/>
            <w:lang w:val="pt-PT"/>
          </w:rPr>
          <w:delText>Vacinação: se possível, antes de iniciar Humira, a sua criança deve ter todas as vacinas atualizadas</w:delText>
        </w:r>
        <w:r w:rsidR="00134325">
          <w:rPr>
            <w:szCs w:val="22"/>
            <w:lang w:val="pt-PT"/>
          </w:rPr>
          <w:delText>.</w:delText>
        </w:r>
      </w:del>
    </w:p>
    <w:p w14:paraId="3F1BF621" w14:textId="1EED1440" w:rsidR="004462A0" w:rsidRPr="008912CF" w:rsidRDefault="004462A0" w:rsidP="004462A0">
      <w:pPr>
        <w:pStyle w:val="EMEABullet2"/>
        <w:rPr>
          <w:del w:id="14185" w:author="AbbVie2" w:date="2025-05-14T10:24:00Z"/>
          <w:szCs w:val="22"/>
          <w:lang w:val="pt-PT"/>
        </w:rPr>
      </w:pPr>
    </w:p>
    <w:p w14:paraId="2EBE1838" w14:textId="19AF4E72" w:rsidR="004462A0" w:rsidRPr="008912CF" w:rsidRDefault="00615769" w:rsidP="00F03C54">
      <w:pPr>
        <w:pStyle w:val="EMEABullet2"/>
        <w:numPr>
          <w:ilvl w:val="0"/>
          <w:numId w:val="133"/>
        </w:numPr>
        <w:ind w:left="567" w:hanging="567"/>
        <w:rPr>
          <w:del w:id="14186" w:author="AbbVie2" w:date="2025-05-14T10:24:00Z"/>
          <w:szCs w:val="22"/>
          <w:lang w:val="pt-PT"/>
        </w:rPr>
      </w:pPr>
      <w:del w:id="14187" w:author="AbbVie2" w:date="2025-05-14T10:24:00Z">
        <w:r w:rsidRPr="008912CF">
          <w:rPr>
            <w:szCs w:val="22"/>
            <w:lang w:val="pt-PT"/>
          </w:rPr>
          <w:delText xml:space="preserve">Não utilizar Humira em crianças com artrite idiopática juvenil </w:delText>
        </w:r>
        <w:r w:rsidRPr="008912CF">
          <w:rPr>
            <w:lang w:val="pt-PT"/>
          </w:rPr>
          <w:delText xml:space="preserve">poliarticular, </w:delText>
        </w:r>
        <w:r w:rsidRPr="008912CF">
          <w:rPr>
            <w:szCs w:val="22"/>
            <w:lang w:val="pt-PT"/>
          </w:rPr>
          <w:delText>com idade inferior a 2 anos.</w:delText>
        </w:r>
      </w:del>
    </w:p>
    <w:p w14:paraId="4DB3FA14" w14:textId="75611D77" w:rsidR="004462A0" w:rsidRPr="008912CF" w:rsidRDefault="004462A0" w:rsidP="004462A0">
      <w:pPr>
        <w:rPr>
          <w:del w:id="14188" w:author="AbbVie2" w:date="2025-05-14T10:24:00Z"/>
          <w:b/>
          <w:bCs/>
          <w:sz w:val="22"/>
          <w:szCs w:val="22"/>
        </w:rPr>
      </w:pPr>
    </w:p>
    <w:p w14:paraId="0C8DB406" w14:textId="03C6460C" w:rsidR="004462A0" w:rsidRPr="008912CF" w:rsidRDefault="00615769" w:rsidP="001242C2">
      <w:pPr>
        <w:keepNext/>
        <w:rPr>
          <w:del w:id="14189" w:author="AbbVie2" w:date="2025-05-14T10:24:00Z"/>
          <w:b/>
          <w:bCs/>
          <w:sz w:val="22"/>
          <w:szCs w:val="22"/>
        </w:rPr>
      </w:pPr>
      <w:del w:id="14190" w:author="AbbVie2" w:date="2025-05-14T10:24:00Z">
        <w:r w:rsidRPr="008912CF">
          <w:rPr>
            <w:b/>
            <w:bCs/>
            <w:sz w:val="22"/>
            <w:szCs w:val="22"/>
          </w:rPr>
          <w:delText>Outros medicamentos e Humira</w:delText>
        </w:r>
      </w:del>
    </w:p>
    <w:p w14:paraId="33400D17" w14:textId="6879E212" w:rsidR="004462A0" w:rsidRPr="008912CF" w:rsidRDefault="004462A0" w:rsidP="001242C2">
      <w:pPr>
        <w:keepNext/>
        <w:rPr>
          <w:del w:id="14191" w:author="AbbVie2" w:date="2025-05-14T10:24:00Z"/>
          <w:sz w:val="22"/>
          <w:szCs w:val="22"/>
        </w:rPr>
      </w:pPr>
    </w:p>
    <w:p w14:paraId="3B430D10" w14:textId="1FAC7F7B" w:rsidR="004462A0" w:rsidRPr="008912CF" w:rsidRDefault="00615769" w:rsidP="001242C2">
      <w:pPr>
        <w:keepNext/>
        <w:rPr>
          <w:del w:id="14192" w:author="AbbVie2" w:date="2025-05-14T10:24:00Z"/>
          <w:sz w:val="22"/>
          <w:szCs w:val="22"/>
        </w:rPr>
      </w:pPr>
      <w:del w:id="14193" w:author="AbbVie2" w:date="2025-05-14T10:24:00Z">
        <w:r w:rsidRPr="008912CF">
          <w:rPr>
            <w:sz w:val="22"/>
            <w:szCs w:val="22"/>
          </w:rPr>
          <w:delText>Informe o</w:delText>
        </w:r>
        <w:r w:rsidR="00082F0B">
          <w:rPr>
            <w:sz w:val="22"/>
            <w:szCs w:val="22"/>
          </w:rPr>
          <w:delText xml:space="preserve"> seu</w:delText>
        </w:r>
        <w:r w:rsidRPr="008912CF">
          <w:rPr>
            <w:sz w:val="22"/>
            <w:szCs w:val="22"/>
          </w:rPr>
          <w:delText xml:space="preserve"> médico ou farmacêutico se estiver a tomar, tiver tomado recentemente, ou se vier a tomar outros medicamentos.</w:delText>
        </w:r>
      </w:del>
    </w:p>
    <w:p w14:paraId="1658F342" w14:textId="37A343D0" w:rsidR="004462A0" w:rsidRPr="008912CF" w:rsidRDefault="004462A0" w:rsidP="004462A0">
      <w:pPr>
        <w:rPr>
          <w:del w:id="14194" w:author="AbbVie2" w:date="2025-05-14T10:24:00Z"/>
          <w:sz w:val="22"/>
          <w:szCs w:val="22"/>
        </w:rPr>
      </w:pPr>
    </w:p>
    <w:p w14:paraId="6D78F9A6" w14:textId="5B2DA7D1" w:rsidR="004462A0" w:rsidRPr="008912CF" w:rsidRDefault="00615769" w:rsidP="004462A0">
      <w:pPr>
        <w:ind w:right="-2"/>
        <w:rPr>
          <w:del w:id="14195" w:author="AbbVie2" w:date="2025-05-14T10:24:00Z"/>
          <w:sz w:val="22"/>
          <w:szCs w:val="22"/>
        </w:rPr>
      </w:pPr>
      <w:del w:id="14196" w:author="AbbVie2" w:date="2025-05-14T10:24:00Z">
        <w:r w:rsidRPr="008912CF">
          <w:rPr>
            <w:sz w:val="22"/>
            <w:szCs w:val="22"/>
          </w:rPr>
          <w:delText>Humira pode ser utilizado em conjunto com metotrexato ou com certos medicamentos anti</w:delText>
        </w:r>
        <w:r w:rsidR="00F96DDF">
          <w:rPr>
            <w:sz w:val="22"/>
            <w:szCs w:val="22"/>
          </w:rPr>
          <w:delText>-</w:delText>
        </w:r>
        <w:r w:rsidRPr="008912CF">
          <w:rPr>
            <w:sz w:val="22"/>
            <w:szCs w:val="22"/>
          </w:rPr>
          <w:delText>reumatismais modificadores da doença (</w:delText>
        </w:r>
        <w:r w:rsidR="00712F4C">
          <w:rPr>
            <w:sz w:val="22"/>
            <w:szCs w:val="22"/>
          </w:rPr>
          <w:delText xml:space="preserve">por exemplo, </w:delText>
        </w:r>
        <w:r w:rsidRPr="008912CF">
          <w:rPr>
            <w:sz w:val="22"/>
            <w:szCs w:val="22"/>
          </w:rPr>
          <w:delText>sulfassalazina, hidroxicloroquina, leflunomid</w:delText>
        </w:r>
        <w:r w:rsidR="00082F0B">
          <w:rPr>
            <w:sz w:val="22"/>
            <w:szCs w:val="22"/>
          </w:rPr>
          <w:delText>a</w:delText>
        </w:r>
        <w:r w:rsidRPr="008912CF">
          <w:rPr>
            <w:sz w:val="22"/>
            <w:szCs w:val="22"/>
          </w:rPr>
          <w:delText xml:space="preserve"> e preparações injetáveis de sais de ouro), corticosteroides ou medicamentos analgésicos, incluindo </w:delText>
        </w:r>
        <w:r w:rsidR="003570FF">
          <w:rPr>
            <w:sz w:val="22"/>
            <w:szCs w:val="22"/>
          </w:rPr>
          <w:delText>medicamentos</w:delText>
        </w:r>
        <w:r w:rsidR="003570FF" w:rsidRPr="008912CF">
          <w:rPr>
            <w:sz w:val="22"/>
            <w:szCs w:val="22"/>
          </w:rPr>
          <w:delText xml:space="preserve"> </w:delText>
        </w:r>
        <w:r w:rsidRPr="008912CF">
          <w:rPr>
            <w:sz w:val="22"/>
            <w:szCs w:val="22"/>
          </w:rPr>
          <w:delText>anti-inflamatórios não</w:delText>
        </w:r>
        <w:r w:rsidR="003E5033">
          <w:rPr>
            <w:sz w:val="22"/>
            <w:szCs w:val="22"/>
          </w:rPr>
          <w:delText xml:space="preserve"> </w:delText>
        </w:r>
        <w:r w:rsidRPr="008912CF">
          <w:rPr>
            <w:sz w:val="22"/>
            <w:szCs w:val="22"/>
          </w:rPr>
          <w:delText>esteroides (AINEs).</w:delText>
        </w:r>
      </w:del>
    </w:p>
    <w:p w14:paraId="550E4ADE" w14:textId="018BD4AC" w:rsidR="004462A0" w:rsidRPr="008912CF" w:rsidRDefault="004462A0" w:rsidP="004462A0">
      <w:pPr>
        <w:ind w:right="-2"/>
        <w:rPr>
          <w:del w:id="14197" w:author="AbbVie2" w:date="2025-05-14T10:24:00Z"/>
          <w:sz w:val="22"/>
          <w:szCs w:val="22"/>
        </w:rPr>
      </w:pPr>
    </w:p>
    <w:p w14:paraId="205B0057" w14:textId="3D73A1CA" w:rsidR="004462A0" w:rsidRPr="008912CF" w:rsidRDefault="00615769" w:rsidP="004462A0">
      <w:pPr>
        <w:rPr>
          <w:del w:id="14198" w:author="AbbVie2" w:date="2025-05-14T10:24:00Z"/>
          <w:sz w:val="22"/>
          <w:szCs w:val="22"/>
        </w:rPr>
      </w:pPr>
      <w:del w:id="14199" w:author="AbbVie2" w:date="2025-05-14T10:24:00Z">
        <w:r w:rsidRPr="008912CF">
          <w:rPr>
            <w:sz w:val="22"/>
            <w:szCs w:val="22"/>
          </w:rPr>
          <w:delText>Não deve tomar Humira com medicamentos contendo a</w:delText>
        </w:r>
        <w:r w:rsidR="00DF06F3">
          <w:rPr>
            <w:sz w:val="22"/>
            <w:szCs w:val="22"/>
          </w:rPr>
          <w:delText>s</w:delText>
        </w:r>
        <w:r w:rsidRPr="008912CF">
          <w:rPr>
            <w:sz w:val="22"/>
            <w:szCs w:val="22"/>
          </w:rPr>
          <w:delText xml:space="preserve"> substância</w:delText>
        </w:r>
        <w:r w:rsidR="00DF06F3">
          <w:rPr>
            <w:sz w:val="22"/>
            <w:szCs w:val="22"/>
          </w:rPr>
          <w:delText>s</w:delText>
        </w:r>
        <w:r w:rsidRPr="008912CF">
          <w:rPr>
            <w:sz w:val="22"/>
            <w:szCs w:val="22"/>
          </w:rPr>
          <w:delText xml:space="preserve"> ativa</w:delText>
        </w:r>
        <w:r w:rsidR="00DF06F3">
          <w:rPr>
            <w:sz w:val="22"/>
            <w:szCs w:val="22"/>
          </w:rPr>
          <w:delText>s</w:delText>
        </w:r>
        <w:r w:rsidRPr="008912CF">
          <w:rPr>
            <w:sz w:val="22"/>
            <w:szCs w:val="22"/>
          </w:rPr>
          <w:delText xml:space="preserve"> ana</w:delText>
        </w:r>
        <w:r w:rsidR="00F7235D">
          <w:rPr>
            <w:sz w:val="22"/>
            <w:szCs w:val="22"/>
          </w:rPr>
          <w:delText>c</w:delText>
        </w:r>
        <w:r w:rsidRPr="008912CF">
          <w:rPr>
            <w:sz w:val="22"/>
            <w:szCs w:val="22"/>
          </w:rPr>
          <w:delText>inra ou abatacept</w:delText>
        </w:r>
        <w:r w:rsidR="00DF06F3">
          <w:rPr>
            <w:sz w:val="22"/>
            <w:szCs w:val="22"/>
          </w:rPr>
          <w:delText xml:space="preserve"> devido ao risco elevado de infeções graves</w:delText>
        </w:r>
        <w:r w:rsidRPr="008912CF">
          <w:rPr>
            <w:sz w:val="22"/>
            <w:szCs w:val="22"/>
          </w:rPr>
          <w:delText>. Se tiver qualquer dúvida, por favor pergunte ao seu médico.</w:delText>
        </w:r>
      </w:del>
    </w:p>
    <w:p w14:paraId="5E28CD57" w14:textId="1812999A" w:rsidR="004462A0" w:rsidRPr="008912CF" w:rsidRDefault="004462A0" w:rsidP="004462A0">
      <w:pPr>
        <w:pStyle w:val="EndnoteText"/>
        <w:tabs>
          <w:tab w:val="clear" w:pos="567"/>
        </w:tabs>
        <w:rPr>
          <w:del w:id="14200" w:author="AbbVie2" w:date="2025-05-14T10:24:00Z"/>
          <w:szCs w:val="22"/>
        </w:rPr>
      </w:pPr>
    </w:p>
    <w:p w14:paraId="5E5A643C" w14:textId="11ADD075" w:rsidR="004462A0" w:rsidRPr="008912CF" w:rsidRDefault="00615769" w:rsidP="00683E8D">
      <w:pPr>
        <w:keepNext/>
        <w:rPr>
          <w:del w:id="14201" w:author="AbbVie2" w:date="2025-05-14T10:24:00Z"/>
          <w:b/>
          <w:sz w:val="22"/>
          <w:szCs w:val="22"/>
        </w:rPr>
      </w:pPr>
      <w:del w:id="14202" w:author="AbbVie2" w:date="2025-05-14T10:24:00Z">
        <w:r w:rsidRPr="008912CF">
          <w:rPr>
            <w:b/>
            <w:sz w:val="22"/>
            <w:szCs w:val="22"/>
          </w:rPr>
          <w:delText xml:space="preserve">Gravidez e amamentação </w:delText>
        </w:r>
      </w:del>
    </w:p>
    <w:p w14:paraId="4CC445A3" w14:textId="5422D99E" w:rsidR="004462A0" w:rsidRPr="008912CF" w:rsidRDefault="004462A0" w:rsidP="00683E8D">
      <w:pPr>
        <w:keepNext/>
        <w:ind w:right="-2"/>
        <w:rPr>
          <w:del w:id="14203" w:author="AbbVie2" w:date="2025-05-14T10:24:00Z"/>
          <w:bCs/>
          <w:sz w:val="22"/>
          <w:szCs w:val="22"/>
        </w:rPr>
      </w:pPr>
    </w:p>
    <w:p w14:paraId="20B05103" w14:textId="4F117CE7" w:rsidR="004462A0" w:rsidRPr="004B67CB" w:rsidRDefault="00615769" w:rsidP="004B67CB">
      <w:pPr>
        <w:pStyle w:val="BodyText2"/>
        <w:keepNext/>
        <w:numPr>
          <w:ilvl w:val="0"/>
          <w:numId w:val="133"/>
        </w:numPr>
        <w:rPr>
          <w:del w:id="14204" w:author="AbbVie2" w:date="2025-05-14T10:24:00Z"/>
          <w:i/>
          <w:szCs w:val="22"/>
        </w:rPr>
      </w:pPr>
      <w:del w:id="14205" w:author="AbbVie2" w:date="2025-05-14T10:24:00Z">
        <w:r>
          <w:rPr>
            <w:szCs w:val="22"/>
          </w:rPr>
          <w:delText>Deverá considerar a utilização de</w:delText>
        </w:r>
        <w:r w:rsidRPr="008912CF">
          <w:rPr>
            <w:szCs w:val="22"/>
          </w:rPr>
          <w:delText xml:space="preserve"> um método contracetivo adequado </w:delText>
        </w:r>
        <w:r>
          <w:rPr>
            <w:szCs w:val="22"/>
          </w:rPr>
          <w:delText xml:space="preserve">para evitar </w:delText>
        </w:r>
        <w:r w:rsidR="002D1DA8">
          <w:rPr>
            <w:szCs w:val="22"/>
          </w:rPr>
          <w:delText>a gravidez</w:delText>
        </w:r>
        <w:r>
          <w:rPr>
            <w:szCs w:val="22"/>
          </w:rPr>
          <w:delText xml:space="preserve"> </w:delText>
        </w:r>
        <w:r w:rsidR="002D1DA8">
          <w:rPr>
            <w:szCs w:val="22"/>
          </w:rPr>
          <w:delText xml:space="preserve">e </w:delText>
        </w:r>
        <w:r>
          <w:rPr>
            <w:szCs w:val="22"/>
          </w:rPr>
          <w:delText>continua</w:delText>
        </w:r>
        <w:r w:rsidR="002D1DA8">
          <w:rPr>
            <w:szCs w:val="22"/>
          </w:rPr>
          <w:delText>r a utilizá-lo</w:delText>
        </w:r>
        <w:r w:rsidRPr="008912CF">
          <w:rPr>
            <w:szCs w:val="22"/>
          </w:rPr>
          <w:delText xml:space="preserve"> durante pelo menos 5 meses após o último tratamento com Humira. </w:delText>
        </w:r>
      </w:del>
    </w:p>
    <w:p w14:paraId="2720AEEB" w14:textId="481B5715" w:rsidR="00F06203" w:rsidRPr="00CA2F11" w:rsidRDefault="00615769" w:rsidP="00F06203">
      <w:pPr>
        <w:pStyle w:val="ListParagraph"/>
        <w:numPr>
          <w:ilvl w:val="0"/>
          <w:numId w:val="133"/>
        </w:numPr>
        <w:rPr>
          <w:del w:id="14206" w:author="AbbVie2" w:date="2025-05-14T10:24:00Z"/>
          <w:sz w:val="22"/>
          <w:szCs w:val="22"/>
        </w:rPr>
      </w:pPr>
      <w:del w:id="14207" w:author="AbbVie2" w:date="2025-05-14T10:24:00Z">
        <w:r w:rsidRPr="00CA2F11">
          <w:rPr>
            <w:sz w:val="22"/>
            <w:szCs w:val="22"/>
          </w:rPr>
          <w:delText>Se est</w:delText>
        </w:r>
        <w:r>
          <w:rPr>
            <w:sz w:val="22"/>
            <w:szCs w:val="22"/>
          </w:rPr>
          <w:delText>á g</w:delText>
        </w:r>
        <w:r w:rsidRPr="00CA2F11">
          <w:rPr>
            <w:sz w:val="22"/>
            <w:szCs w:val="22"/>
          </w:rPr>
          <w:delText>rávida, se pensa que pode estar gr</w:delText>
        </w:r>
        <w:r>
          <w:rPr>
            <w:sz w:val="22"/>
            <w:szCs w:val="22"/>
          </w:rPr>
          <w:delText xml:space="preserve">ávida ou se planeia </w:delText>
        </w:r>
        <w:r w:rsidRPr="00CA2F11">
          <w:rPr>
            <w:sz w:val="22"/>
            <w:szCs w:val="22"/>
          </w:rPr>
          <w:delText>engravidar</w:delText>
        </w:r>
        <w:r>
          <w:rPr>
            <w:sz w:val="22"/>
            <w:szCs w:val="22"/>
          </w:rPr>
          <w:delText>,</w:delText>
        </w:r>
        <w:r w:rsidRPr="00CA2F11">
          <w:rPr>
            <w:sz w:val="22"/>
            <w:szCs w:val="22"/>
          </w:rPr>
          <w:delText xml:space="preserve"> aconselhe-se com o seu médico antes </w:delText>
        </w:r>
        <w:r w:rsidR="004B67CB">
          <w:rPr>
            <w:sz w:val="22"/>
            <w:szCs w:val="22"/>
          </w:rPr>
          <w:delText>de</w:delText>
        </w:r>
        <w:r w:rsidRPr="00CA2F11">
          <w:rPr>
            <w:sz w:val="22"/>
            <w:szCs w:val="22"/>
          </w:rPr>
          <w:delText xml:space="preserve"> u</w:delText>
        </w:r>
        <w:r w:rsidR="004B67CB">
          <w:rPr>
            <w:sz w:val="22"/>
            <w:szCs w:val="22"/>
          </w:rPr>
          <w:delText>tiliza</w:delText>
        </w:r>
        <w:r w:rsidRPr="00CA2F11">
          <w:rPr>
            <w:sz w:val="22"/>
            <w:szCs w:val="22"/>
          </w:rPr>
          <w:delText>r esta terapêutica.</w:delText>
        </w:r>
      </w:del>
    </w:p>
    <w:p w14:paraId="2BE32425" w14:textId="318BB63B" w:rsidR="00F06203" w:rsidRDefault="00615769" w:rsidP="00F06203">
      <w:pPr>
        <w:pStyle w:val="ListParagraph"/>
        <w:numPr>
          <w:ilvl w:val="0"/>
          <w:numId w:val="133"/>
        </w:numPr>
        <w:autoSpaceDE w:val="0"/>
        <w:autoSpaceDN w:val="0"/>
        <w:adjustRightInd w:val="0"/>
        <w:rPr>
          <w:del w:id="14208" w:author="AbbVie2" w:date="2025-05-14T10:24:00Z"/>
          <w:sz w:val="22"/>
          <w:szCs w:val="22"/>
        </w:rPr>
      </w:pPr>
      <w:del w:id="14209" w:author="AbbVie2" w:date="2025-05-14T10:24:00Z">
        <w:r w:rsidRPr="00CA2F11">
          <w:rPr>
            <w:sz w:val="22"/>
            <w:szCs w:val="22"/>
          </w:rPr>
          <w:delText xml:space="preserve">Humira só deve ser utilizado durante </w:delText>
        </w:r>
        <w:r w:rsidR="005D73F4">
          <w:rPr>
            <w:sz w:val="22"/>
            <w:szCs w:val="22"/>
          </w:rPr>
          <w:delText xml:space="preserve">a </w:delText>
        </w:r>
        <w:r w:rsidRPr="00CA2F11">
          <w:rPr>
            <w:sz w:val="22"/>
            <w:szCs w:val="22"/>
          </w:rPr>
          <w:delText>gravidez se necessário.</w:delText>
        </w:r>
      </w:del>
    </w:p>
    <w:p w14:paraId="43EE70D0" w14:textId="7B7977BB" w:rsidR="00F06203" w:rsidRDefault="00615769" w:rsidP="00F06203">
      <w:pPr>
        <w:pStyle w:val="ListParagraph"/>
        <w:numPr>
          <w:ilvl w:val="0"/>
          <w:numId w:val="133"/>
        </w:numPr>
        <w:autoSpaceDE w:val="0"/>
        <w:autoSpaceDN w:val="0"/>
        <w:adjustRightInd w:val="0"/>
        <w:rPr>
          <w:del w:id="14210" w:author="AbbVie2" w:date="2025-05-14T10:24:00Z"/>
          <w:sz w:val="22"/>
          <w:szCs w:val="22"/>
        </w:rPr>
      </w:pPr>
      <w:del w:id="14211" w:author="AbbVie2" w:date="2025-05-14T10:24:00Z">
        <w:r w:rsidRPr="008004F8">
          <w:rPr>
            <w:sz w:val="22"/>
            <w:szCs w:val="22"/>
          </w:rPr>
          <w:delText xml:space="preserve">De acordo com um estudo </w:delText>
        </w:r>
        <w:r w:rsidR="004B67CB">
          <w:rPr>
            <w:sz w:val="22"/>
            <w:szCs w:val="22"/>
          </w:rPr>
          <w:delText>na</w:delText>
        </w:r>
        <w:r w:rsidRPr="008004F8">
          <w:rPr>
            <w:sz w:val="22"/>
            <w:szCs w:val="22"/>
          </w:rPr>
          <w:delText xml:space="preserve"> gravidez, não houve risco mais elevado de </w:delText>
        </w:r>
        <w:r>
          <w:rPr>
            <w:sz w:val="22"/>
            <w:szCs w:val="22"/>
          </w:rPr>
          <w:delText>malformações con</w:delText>
        </w:r>
        <w:r w:rsidRPr="008004F8">
          <w:rPr>
            <w:sz w:val="22"/>
            <w:szCs w:val="22"/>
          </w:rPr>
          <w:delText>génit</w:delText>
        </w:r>
        <w:r>
          <w:rPr>
            <w:sz w:val="22"/>
            <w:szCs w:val="22"/>
          </w:rPr>
          <w:delText>as</w:delText>
        </w:r>
        <w:r w:rsidRPr="008004F8">
          <w:rPr>
            <w:sz w:val="22"/>
            <w:szCs w:val="22"/>
          </w:rPr>
          <w:delText xml:space="preserve"> quando a mãe recebeu Humira durante a gravidez, em comparação com mães com a mesma doença que não receberam Humira.</w:delText>
        </w:r>
      </w:del>
    </w:p>
    <w:p w14:paraId="2D6ABF72" w14:textId="75594D04" w:rsidR="00F06203" w:rsidRDefault="00615769" w:rsidP="00F06203">
      <w:pPr>
        <w:pStyle w:val="ListParagraph"/>
        <w:numPr>
          <w:ilvl w:val="0"/>
          <w:numId w:val="133"/>
        </w:numPr>
        <w:autoSpaceDE w:val="0"/>
        <w:autoSpaceDN w:val="0"/>
        <w:adjustRightInd w:val="0"/>
        <w:rPr>
          <w:del w:id="14212" w:author="AbbVie2" w:date="2025-05-14T10:24:00Z"/>
          <w:sz w:val="22"/>
          <w:szCs w:val="22"/>
        </w:rPr>
      </w:pPr>
      <w:del w:id="14213" w:author="AbbVie2" w:date="2025-05-14T10:24:00Z">
        <w:r>
          <w:rPr>
            <w:sz w:val="22"/>
            <w:szCs w:val="22"/>
          </w:rPr>
          <w:delText>Humira pode ser utilizado durante a amamentação.</w:delText>
        </w:r>
      </w:del>
    </w:p>
    <w:p w14:paraId="733F30C2" w14:textId="3AEDA2A5" w:rsidR="00F06203" w:rsidRPr="004B67CB" w:rsidRDefault="00615769" w:rsidP="004B67CB">
      <w:pPr>
        <w:pStyle w:val="ListParagraph"/>
        <w:numPr>
          <w:ilvl w:val="0"/>
          <w:numId w:val="155"/>
        </w:numPr>
        <w:rPr>
          <w:del w:id="14214" w:author="AbbVie2" w:date="2025-05-14T10:24:00Z"/>
          <w:b/>
          <w:i/>
          <w:sz w:val="22"/>
          <w:szCs w:val="22"/>
        </w:rPr>
      </w:pPr>
      <w:del w:id="14215" w:author="AbbVie2" w:date="2025-05-14T10:24:00Z">
        <w:r w:rsidRPr="004B67CB">
          <w:rPr>
            <w:sz w:val="22"/>
            <w:szCs w:val="22"/>
          </w:rPr>
          <w:delText>Se durante a sua gravidez utiliz</w:delText>
        </w:r>
        <w:r w:rsidR="00767DE3">
          <w:rPr>
            <w:sz w:val="22"/>
            <w:szCs w:val="22"/>
          </w:rPr>
          <w:delText>ar</w:delText>
        </w:r>
        <w:r w:rsidRPr="004B67CB">
          <w:rPr>
            <w:sz w:val="22"/>
            <w:szCs w:val="22"/>
          </w:rPr>
          <w:delText xml:space="preserve"> Humira, o seu bebé pode ter um risco superior de ter uma infeção. </w:delText>
        </w:r>
      </w:del>
    </w:p>
    <w:p w14:paraId="5A3E7318" w14:textId="46D7DCD9" w:rsidR="004462A0" w:rsidRPr="008912CF" w:rsidRDefault="00615769" w:rsidP="004B67CB">
      <w:pPr>
        <w:pStyle w:val="ListParagraph"/>
        <w:numPr>
          <w:ilvl w:val="0"/>
          <w:numId w:val="155"/>
        </w:numPr>
        <w:rPr>
          <w:del w:id="14216" w:author="AbbVie2" w:date="2025-05-14T10:24:00Z"/>
        </w:rPr>
      </w:pPr>
      <w:del w:id="14217" w:author="AbbVie2" w:date="2025-05-14T10:24:00Z">
        <w:r w:rsidRPr="004B67CB">
          <w:rPr>
            <w:sz w:val="22"/>
            <w:szCs w:val="22"/>
          </w:rPr>
          <w:delText>É importante que diga ao médico do seu bebé e a outros profissionais de saúde que usou Humira durante a sua gravidez antes que o seu bebé tome qualquer vacina</w:delText>
        </w:r>
        <w:r w:rsidR="00767DE3">
          <w:rPr>
            <w:sz w:val="22"/>
            <w:szCs w:val="22"/>
          </w:rPr>
          <w:delText>.</w:delText>
        </w:r>
        <w:r w:rsidRPr="004B67CB">
          <w:rPr>
            <w:sz w:val="22"/>
            <w:szCs w:val="22"/>
          </w:rPr>
          <w:delText xml:space="preserve"> </w:delText>
        </w:r>
        <w:r w:rsidR="00767DE3">
          <w:rPr>
            <w:sz w:val="22"/>
            <w:szCs w:val="22"/>
          </w:rPr>
          <w:delText>P</w:delText>
        </w:r>
        <w:r w:rsidRPr="004B67CB">
          <w:rPr>
            <w:sz w:val="22"/>
            <w:szCs w:val="22"/>
          </w:rPr>
          <w:delText xml:space="preserve">ara mais informação </w:delText>
        </w:r>
        <w:r w:rsidR="00F06203">
          <w:rPr>
            <w:sz w:val="22"/>
            <w:szCs w:val="22"/>
          </w:rPr>
          <w:delText xml:space="preserve">sobre vacinação, </w:delText>
        </w:r>
        <w:r w:rsidRPr="004B67CB">
          <w:rPr>
            <w:sz w:val="22"/>
            <w:szCs w:val="22"/>
          </w:rPr>
          <w:delText xml:space="preserve">ver secção </w:delText>
        </w:r>
        <w:r w:rsidR="00F06203">
          <w:rPr>
            <w:sz w:val="22"/>
            <w:szCs w:val="22"/>
          </w:rPr>
          <w:delText>“Advertências e precauções”</w:delText>
        </w:r>
        <w:r w:rsidRPr="004B67CB">
          <w:rPr>
            <w:sz w:val="22"/>
            <w:szCs w:val="22"/>
          </w:rPr>
          <w:delText>.</w:delText>
        </w:r>
      </w:del>
    </w:p>
    <w:p w14:paraId="28D239DC" w14:textId="62405CE0" w:rsidR="004462A0" w:rsidRPr="008912CF" w:rsidRDefault="004462A0" w:rsidP="004462A0">
      <w:pPr>
        <w:ind w:right="-2"/>
        <w:rPr>
          <w:del w:id="14218" w:author="AbbVie2" w:date="2025-05-14T10:24:00Z"/>
          <w:sz w:val="22"/>
          <w:szCs w:val="22"/>
        </w:rPr>
      </w:pPr>
    </w:p>
    <w:p w14:paraId="2402741B" w14:textId="309AAD5A" w:rsidR="004462A0" w:rsidRPr="008912CF" w:rsidRDefault="00615769" w:rsidP="004462A0">
      <w:pPr>
        <w:pStyle w:val="Heading8"/>
        <w:rPr>
          <w:del w:id="14219" w:author="AbbVie2" w:date="2025-05-14T10:24:00Z"/>
          <w:szCs w:val="22"/>
        </w:rPr>
      </w:pPr>
      <w:del w:id="14220" w:author="AbbVie2" w:date="2025-05-14T10:24:00Z">
        <w:r w:rsidRPr="008912CF">
          <w:rPr>
            <w:szCs w:val="22"/>
          </w:rPr>
          <w:delText>Condução de veículos e utilização de máquinas</w:delText>
        </w:r>
      </w:del>
    </w:p>
    <w:p w14:paraId="0D2CF8B8" w14:textId="38F9323C" w:rsidR="004462A0" w:rsidRPr="008912CF" w:rsidRDefault="004462A0" w:rsidP="004462A0">
      <w:pPr>
        <w:keepNext/>
        <w:ind w:right="-2"/>
        <w:rPr>
          <w:del w:id="14221" w:author="AbbVie2" w:date="2025-05-14T10:24:00Z"/>
          <w:sz w:val="22"/>
          <w:szCs w:val="22"/>
        </w:rPr>
      </w:pPr>
    </w:p>
    <w:p w14:paraId="114E5435" w14:textId="30D47894" w:rsidR="004462A0" w:rsidRPr="008912CF" w:rsidRDefault="00615769" w:rsidP="004462A0">
      <w:pPr>
        <w:keepNext/>
        <w:ind w:right="-2"/>
        <w:rPr>
          <w:del w:id="14222" w:author="AbbVie2" w:date="2025-05-14T10:24:00Z"/>
          <w:sz w:val="22"/>
          <w:szCs w:val="22"/>
        </w:rPr>
      </w:pPr>
      <w:del w:id="14223" w:author="AbbVie2" w:date="2025-05-14T10:24:00Z">
        <w:r w:rsidRPr="008912CF">
          <w:rPr>
            <w:sz w:val="22"/>
            <w:szCs w:val="22"/>
          </w:rPr>
          <w:delText>Humira pode ter uma pequena influência na sua capacidade de conduzir, andar de bicicleta ou utilizar máquinas. Depois de tomar Humira pode ter vertigens e alterações da visão.</w:delText>
        </w:r>
      </w:del>
    </w:p>
    <w:p w14:paraId="050132EC" w14:textId="622285D4" w:rsidR="004462A0" w:rsidRDefault="004462A0" w:rsidP="004462A0">
      <w:pPr>
        <w:ind w:right="-2"/>
        <w:rPr>
          <w:del w:id="14224" w:author="AbbVie2" w:date="2025-05-14T10:24:00Z"/>
          <w:sz w:val="22"/>
          <w:szCs w:val="22"/>
        </w:rPr>
      </w:pPr>
    </w:p>
    <w:p w14:paraId="1A0B4E05" w14:textId="5FE0022F" w:rsidR="00412728" w:rsidRPr="00E51FCC" w:rsidRDefault="00615769" w:rsidP="00412728">
      <w:pPr>
        <w:ind w:right="-2"/>
        <w:rPr>
          <w:del w:id="14225" w:author="AbbVie2" w:date="2025-05-14T10:24:00Z"/>
          <w:b/>
          <w:sz w:val="22"/>
          <w:szCs w:val="22"/>
        </w:rPr>
      </w:pPr>
      <w:del w:id="14226" w:author="AbbVie2" w:date="2025-05-14T10:24:00Z">
        <w:r w:rsidRPr="00E51FCC">
          <w:rPr>
            <w:b/>
            <w:sz w:val="22"/>
            <w:szCs w:val="22"/>
          </w:rPr>
          <w:delText>Humira contém sódio</w:delText>
        </w:r>
      </w:del>
    </w:p>
    <w:p w14:paraId="3EBCD7D4" w14:textId="2FC0ABE1" w:rsidR="00412728" w:rsidRDefault="00412728" w:rsidP="00412728">
      <w:pPr>
        <w:ind w:right="-2"/>
        <w:rPr>
          <w:del w:id="14227" w:author="AbbVie2" w:date="2025-05-14T10:24:00Z"/>
          <w:sz w:val="22"/>
          <w:szCs w:val="22"/>
        </w:rPr>
      </w:pPr>
    </w:p>
    <w:p w14:paraId="6DB0BAD4" w14:textId="318FA3B0" w:rsidR="00412728" w:rsidRPr="008912CF" w:rsidRDefault="00615769" w:rsidP="00412728">
      <w:pPr>
        <w:rPr>
          <w:del w:id="14228" w:author="AbbVie2" w:date="2025-05-14T10:24:00Z"/>
          <w:iCs/>
          <w:sz w:val="22"/>
          <w:szCs w:val="22"/>
        </w:rPr>
      </w:pPr>
      <w:del w:id="14229" w:author="AbbVie2" w:date="2025-05-14T10:24:00Z">
        <w:r>
          <w:rPr>
            <w:iCs/>
            <w:sz w:val="22"/>
            <w:szCs w:val="22"/>
          </w:rPr>
          <w:delText>Este medicamento contém menos de 1 mmol de sódio (23 mg) por dose de 0,8 ml, praticamente “isento de sódio”.</w:delText>
        </w:r>
      </w:del>
    </w:p>
    <w:p w14:paraId="2FFC368D" w14:textId="6E87593F" w:rsidR="00412728" w:rsidRPr="008912CF" w:rsidRDefault="00412728" w:rsidP="004462A0">
      <w:pPr>
        <w:ind w:right="-2"/>
        <w:rPr>
          <w:del w:id="14230" w:author="AbbVie2" w:date="2025-05-14T10:24:00Z"/>
          <w:sz w:val="22"/>
          <w:szCs w:val="22"/>
        </w:rPr>
      </w:pPr>
    </w:p>
    <w:p w14:paraId="79C58979" w14:textId="5977BC92" w:rsidR="004462A0" w:rsidRPr="008912CF" w:rsidRDefault="004462A0" w:rsidP="004462A0">
      <w:pPr>
        <w:ind w:right="-2"/>
        <w:rPr>
          <w:del w:id="14231" w:author="AbbVie2" w:date="2025-05-14T10:24:00Z"/>
          <w:sz w:val="22"/>
          <w:szCs w:val="22"/>
        </w:rPr>
      </w:pPr>
    </w:p>
    <w:p w14:paraId="2A37E763" w14:textId="0B5887D2" w:rsidR="004462A0" w:rsidRPr="008912CF" w:rsidRDefault="00615769" w:rsidP="004462A0">
      <w:pPr>
        <w:keepNext/>
        <w:ind w:left="567" w:hanging="567"/>
        <w:rPr>
          <w:del w:id="14232" w:author="AbbVie2" w:date="2025-05-14T10:24:00Z"/>
          <w:sz w:val="22"/>
          <w:szCs w:val="22"/>
        </w:rPr>
      </w:pPr>
      <w:del w:id="14233" w:author="AbbVie2" w:date="2025-05-14T10:24:00Z">
        <w:r w:rsidRPr="008912CF">
          <w:rPr>
            <w:b/>
            <w:sz w:val="22"/>
            <w:szCs w:val="22"/>
          </w:rPr>
          <w:delText>3.</w:delText>
        </w:r>
        <w:r w:rsidRPr="008912CF">
          <w:rPr>
            <w:b/>
            <w:sz w:val="22"/>
            <w:szCs w:val="22"/>
          </w:rPr>
          <w:tab/>
          <w:delText>Como utilizar Humira</w:delText>
        </w:r>
      </w:del>
    </w:p>
    <w:p w14:paraId="3DB48154" w14:textId="5E5F484C" w:rsidR="004462A0" w:rsidRPr="008912CF" w:rsidRDefault="004462A0" w:rsidP="004462A0">
      <w:pPr>
        <w:keepNext/>
        <w:ind w:right="-2"/>
        <w:rPr>
          <w:del w:id="14234" w:author="AbbVie2" w:date="2025-05-14T10:24:00Z"/>
          <w:sz w:val="22"/>
          <w:szCs w:val="22"/>
        </w:rPr>
      </w:pPr>
    </w:p>
    <w:p w14:paraId="50D24E7A" w14:textId="5BFA377D" w:rsidR="004462A0" w:rsidRPr="008912CF" w:rsidRDefault="00615769" w:rsidP="004462A0">
      <w:pPr>
        <w:ind w:right="-2"/>
        <w:rPr>
          <w:del w:id="14235" w:author="AbbVie2" w:date="2025-05-14T10:24:00Z"/>
          <w:sz w:val="22"/>
          <w:szCs w:val="22"/>
          <w:u w:val="single"/>
        </w:rPr>
      </w:pPr>
      <w:del w:id="14236" w:author="AbbVie2" w:date="2025-05-14T10:24:00Z">
        <w:r w:rsidRPr="008912CF">
          <w:rPr>
            <w:sz w:val="22"/>
            <w:szCs w:val="22"/>
          </w:rPr>
          <w:delText xml:space="preserve">Utilize este medicamento exatamente como indicado pelo seu médico ou farmacêutico. Fale com o seu médico ou farmacêutico se tiver dúvidas. </w:delText>
        </w:r>
        <w:r w:rsidR="00412728">
          <w:rPr>
            <w:sz w:val="22"/>
            <w:szCs w:val="22"/>
          </w:rPr>
          <w:delText xml:space="preserve">O seu médico </w:delText>
        </w:r>
        <w:r w:rsidR="00412728" w:rsidRPr="008912CF">
          <w:rPr>
            <w:bCs/>
            <w:sz w:val="22"/>
            <w:szCs w:val="22"/>
          </w:rPr>
          <w:delText xml:space="preserve">pode prescrever uma dose </w:delText>
        </w:r>
        <w:r w:rsidR="00412728">
          <w:rPr>
            <w:bCs/>
            <w:sz w:val="22"/>
            <w:szCs w:val="22"/>
          </w:rPr>
          <w:delText xml:space="preserve">diferente de Humira de acordo com as </w:delText>
        </w:r>
        <w:r w:rsidR="00041FA6">
          <w:rPr>
            <w:bCs/>
            <w:sz w:val="22"/>
            <w:szCs w:val="22"/>
          </w:rPr>
          <w:delText xml:space="preserve">suas </w:delText>
        </w:r>
        <w:r w:rsidR="00412728">
          <w:rPr>
            <w:bCs/>
            <w:sz w:val="22"/>
            <w:szCs w:val="22"/>
          </w:rPr>
          <w:delText>necessidades.</w:delText>
        </w:r>
      </w:del>
    </w:p>
    <w:p w14:paraId="2F198BCB" w14:textId="292FA262" w:rsidR="002D31C1" w:rsidRDefault="002D31C1" w:rsidP="004462A0">
      <w:pPr>
        <w:ind w:right="-2"/>
        <w:rPr>
          <w:del w:id="14237" w:author="AbbVie2" w:date="2025-05-14T10:24:00Z"/>
          <w:sz w:val="22"/>
          <w:szCs w:val="22"/>
          <w:u w:val="single"/>
        </w:rPr>
      </w:pPr>
    </w:p>
    <w:p w14:paraId="0214ACB0" w14:textId="67FC28AA" w:rsidR="004462A0" w:rsidRPr="008912CF" w:rsidRDefault="00615769" w:rsidP="004462A0">
      <w:pPr>
        <w:ind w:right="-2"/>
        <w:rPr>
          <w:del w:id="14238" w:author="AbbVie2" w:date="2025-05-14T10:24:00Z"/>
          <w:sz w:val="22"/>
          <w:szCs w:val="22"/>
          <w:u w:val="single"/>
        </w:rPr>
      </w:pPr>
      <w:del w:id="14239" w:author="AbbVie2" w:date="2025-05-14T10:24:00Z">
        <w:r w:rsidRPr="008912CF">
          <w:rPr>
            <w:sz w:val="22"/>
            <w:szCs w:val="22"/>
            <w:u w:val="single"/>
          </w:rPr>
          <w:delText>Adultos com artrite reumatoide, artrite psoriática, espondilite anquilosante ou espondilartrite axial sem evidência radiográfica de espondilite anquilosante</w:delText>
        </w:r>
      </w:del>
    </w:p>
    <w:p w14:paraId="6E31896B" w14:textId="4FB0DDEB" w:rsidR="004462A0" w:rsidRPr="008912CF" w:rsidRDefault="004462A0" w:rsidP="004462A0">
      <w:pPr>
        <w:ind w:right="-2"/>
        <w:rPr>
          <w:del w:id="14240" w:author="AbbVie2" w:date="2025-05-14T10:24:00Z"/>
          <w:sz w:val="22"/>
          <w:szCs w:val="22"/>
        </w:rPr>
      </w:pPr>
    </w:p>
    <w:p w14:paraId="7D71B186" w14:textId="287EBF9D" w:rsidR="004462A0" w:rsidRPr="008912CF" w:rsidRDefault="00615769" w:rsidP="004462A0">
      <w:pPr>
        <w:pStyle w:val="BodyText3"/>
        <w:rPr>
          <w:del w:id="14241" w:author="AbbVie2" w:date="2025-05-14T10:24:00Z"/>
          <w:szCs w:val="22"/>
        </w:rPr>
      </w:pPr>
      <w:del w:id="14242" w:author="AbbVie2" w:date="2025-05-14T10:24:00Z">
        <w:r w:rsidRPr="008912CF">
          <w:rPr>
            <w:szCs w:val="22"/>
          </w:rPr>
          <w:delText xml:space="preserve">Humira é injetado debaixo da pele (via subcutânea). A dose habitual em adultos com artrite reumatoide, espondilite anquilosante, espondilartrite axial sem evidência radiográfica de espondilite anquilosante e em doentes com artrite psoriática é de 40 mg de adalimumab administrada em semanas alternadas, numa dose única.  </w:delText>
        </w:r>
      </w:del>
    </w:p>
    <w:p w14:paraId="0DB468EE" w14:textId="2189C3E0" w:rsidR="004462A0" w:rsidRPr="008912CF" w:rsidRDefault="004462A0" w:rsidP="004462A0">
      <w:pPr>
        <w:pStyle w:val="BodyText3"/>
        <w:rPr>
          <w:del w:id="14243" w:author="AbbVie2" w:date="2025-05-14T10:24:00Z"/>
          <w:szCs w:val="22"/>
        </w:rPr>
      </w:pPr>
    </w:p>
    <w:p w14:paraId="5D2A20B1" w14:textId="10850EFA" w:rsidR="004462A0" w:rsidRPr="008912CF" w:rsidRDefault="00615769" w:rsidP="004462A0">
      <w:pPr>
        <w:ind w:right="-2"/>
        <w:rPr>
          <w:del w:id="14244" w:author="AbbVie2" w:date="2025-05-14T10:24:00Z"/>
          <w:sz w:val="22"/>
          <w:szCs w:val="22"/>
        </w:rPr>
      </w:pPr>
      <w:del w:id="14245" w:author="AbbVie2" w:date="2025-05-14T10:24:00Z">
        <w:r w:rsidRPr="008912CF">
          <w:rPr>
            <w:sz w:val="22"/>
            <w:szCs w:val="22"/>
          </w:rPr>
          <w:delText>Na artrite reumatoide, metotrexato continua a ser utilizado enquanto se usa Humira. Se o seu médico considerar que metotrexato não é adequado, Humira pode ser usado isoladamente.</w:delText>
        </w:r>
      </w:del>
    </w:p>
    <w:p w14:paraId="343502EA" w14:textId="5B9C5892" w:rsidR="004462A0" w:rsidRPr="008912CF" w:rsidRDefault="004462A0" w:rsidP="004462A0">
      <w:pPr>
        <w:ind w:right="-2"/>
        <w:rPr>
          <w:del w:id="14246" w:author="AbbVie2" w:date="2025-05-14T10:24:00Z"/>
          <w:sz w:val="22"/>
          <w:szCs w:val="22"/>
        </w:rPr>
      </w:pPr>
    </w:p>
    <w:p w14:paraId="70BD91F6" w14:textId="7BD3F44C" w:rsidR="004462A0" w:rsidRPr="008912CF" w:rsidRDefault="00615769" w:rsidP="004462A0">
      <w:pPr>
        <w:ind w:right="-2"/>
        <w:rPr>
          <w:del w:id="14247" w:author="AbbVie2" w:date="2025-05-14T10:24:00Z"/>
          <w:sz w:val="22"/>
          <w:szCs w:val="22"/>
        </w:rPr>
      </w:pPr>
      <w:del w:id="14248" w:author="AbbVie2" w:date="2025-05-14T10:24:00Z">
        <w:r w:rsidRPr="008912CF">
          <w:rPr>
            <w:sz w:val="22"/>
            <w:szCs w:val="22"/>
          </w:rPr>
          <w:delText>Se tem artrite reumatoide e não usar metotrexato conjuntamente com Humira, o seu médico pode decidir administrar 40 mg de adalimumab semanalmente</w:delText>
        </w:r>
        <w:r w:rsidR="009D1824">
          <w:rPr>
            <w:sz w:val="22"/>
            <w:szCs w:val="22"/>
          </w:rPr>
          <w:delText xml:space="preserve"> ou 80 mg em semanas alternadas</w:delText>
        </w:r>
        <w:r w:rsidRPr="008912CF">
          <w:rPr>
            <w:sz w:val="22"/>
            <w:szCs w:val="22"/>
          </w:rPr>
          <w:delText>.</w:delText>
        </w:r>
      </w:del>
    </w:p>
    <w:p w14:paraId="33958B18" w14:textId="0D4FF921" w:rsidR="004462A0" w:rsidRPr="008912CF" w:rsidRDefault="004462A0" w:rsidP="004462A0">
      <w:pPr>
        <w:pStyle w:val="BodyText3"/>
        <w:rPr>
          <w:del w:id="14249" w:author="AbbVie2" w:date="2025-05-14T10:24:00Z"/>
          <w:szCs w:val="22"/>
        </w:rPr>
      </w:pPr>
    </w:p>
    <w:p w14:paraId="0B05F3F6" w14:textId="03F6CB65" w:rsidR="004462A0" w:rsidRPr="008912CF" w:rsidRDefault="00615769" w:rsidP="004462A0">
      <w:pPr>
        <w:pStyle w:val="BodyText3"/>
        <w:rPr>
          <w:del w:id="14250" w:author="AbbVie2" w:date="2025-05-14T10:24:00Z"/>
          <w:szCs w:val="22"/>
          <w:u w:val="single"/>
        </w:rPr>
      </w:pPr>
      <w:del w:id="14251" w:author="AbbVie2" w:date="2025-05-14T10:24:00Z">
        <w:r w:rsidRPr="008912CF">
          <w:rPr>
            <w:szCs w:val="22"/>
            <w:u w:val="single"/>
          </w:rPr>
          <w:delText>Crianças</w:delText>
        </w:r>
        <w:r w:rsidR="00412728">
          <w:rPr>
            <w:szCs w:val="22"/>
            <w:u w:val="single"/>
          </w:rPr>
          <w:delText>, adolescentes e adultos</w:delText>
        </w:r>
        <w:r w:rsidRPr="008912CF">
          <w:rPr>
            <w:szCs w:val="22"/>
            <w:u w:val="single"/>
          </w:rPr>
          <w:delText xml:space="preserve"> com artrite idiopática juvenil poliarticular</w:delText>
        </w:r>
      </w:del>
    </w:p>
    <w:p w14:paraId="7E6CC87B" w14:textId="2DE58E46" w:rsidR="004462A0" w:rsidRPr="008912CF" w:rsidRDefault="004462A0" w:rsidP="004462A0">
      <w:pPr>
        <w:pStyle w:val="BodyText3"/>
        <w:rPr>
          <w:del w:id="14252" w:author="AbbVie2" w:date="2025-05-14T10:24:00Z"/>
          <w:szCs w:val="22"/>
          <w:u w:val="single"/>
        </w:rPr>
      </w:pPr>
    </w:p>
    <w:p w14:paraId="2E5405A7" w14:textId="5EFE5CB1" w:rsidR="00412728" w:rsidRPr="00F03C54" w:rsidRDefault="00615769" w:rsidP="004462A0">
      <w:pPr>
        <w:pStyle w:val="BodyText3"/>
        <w:rPr>
          <w:del w:id="14253" w:author="AbbVie2" w:date="2025-05-14T10:24:00Z"/>
          <w:i/>
          <w:szCs w:val="22"/>
        </w:rPr>
      </w:pPr>
      <w:del w:id="14254" w:author="AbbVie2" w:date="2025-05-14T10:24:00Z">
        <w:r w:rsidRPr="00F03C54">
          <w:rPr>
            <w:i/>
            <w:szCs w:val="22"/>
          </w:rPr>
          <w:delText>Crianças e adolescentes a partir dos 2 anos de idade com peso igual a 10 kg ou inferior a 30 kg</w:delText>
        </w:r>
      </w:del>
    </w:p>
    <w:p w14:paraId="6869B1F4" w14:textId="5F36EAC9" w:rsidR="00412728" w:rsidRDefault="00412728" w:rsidP="004462A0">
      <w:pPr>
        <w:pStyle w:val="BodyText3"/>
        <w:rPr>
          <w:del w:id="14255" w:author="AbbVie2" w:date="2025-05-14T10:24:00Z"/>
          <w:szCs w:val="22"/>
        </w:rPr>
      </w:pPr>
    </w:p>
    <w:p w14:paraId="39DCD920" w14:textId="3DEC966C" w:rsidR="00412728" w:rsidRDefault="00615769" w:rsidP="004462A0">
      <w:pPr>
        <w:pStyle w:val="BodyText3"/>
        <w:rPr>
          <w:del w:id="14256" w:author="AbbVie2" w:date="2025-05-14T10:24:00Z"/>
          <w:szCs w:val="22"/>
        </w:rPr>
      </w:pPr>
      <w:del w:id="14257" w:author="AbbVie2" w:date="2025-05-14T10:24:00Z">
        <w:r>
          <w:rPr>
            <w:szCs w:val="22"/>
          </w:rPr>
          <w:delText>A dose recomendada de Humira é de 20 mg em semanas alternadas.</w:delText>
        </w:r>
      </w:del>
    </w:p>
    <w:p w14:paraId="68826149" w14:textId="38537B3C" w:rsidR="00412728" w:rsidRDefault="00412728" w:rsidP="004462A0">
      <w:pPr>
        <w:pStyle w:val="BodyText3"/>
        <w:rPr>
          <w:del w:id="14258" w:author="AbbVie2" w:date="2025-05-14T10:24:00Z"/>
          <w:szCs w:val="22"/>
        </w:rPr>
      </w:pPr>
    </w:p>
    <w:p w14:paraId="6CDB245A" w14:textId="56362E39" w:rsidR="00412728" w:rsidRPr="00E51FCC" w:rsidRDefault="00615769" w:rsidP="00412728">
      <w:pPr>
        <w:pStyle w:val="BodyText3"/>
        <w:rPr>
          <w:del w:id="14259" w:author="AbbVie2" w:date="2025-05-14T10:24:00Z"/>
          <w:i/>
          <w:szCs w:val="22"/>
        </w:rPr>
      </w:pPr>
      <w:del w:id="14260" w:author="AbbVie2" w:date="2025-05-14T10:24:00Z">
        <w:r w:rsidRPr="00E51FCC">
          <w:rPr>
            <w:i/>
            <w:szCs w:val="22"/>
          </w:rPr>
          <w:delText>Crianças</w:delText>
        </w:r>
        <w:r>
          <w:rPr>
            <w:i/>
            <w:szCs w:val="22"/>
          </w:rPr>
          <w:delText xml:space="preserve">, </w:delText>
        </w:r>
        <w:r w:rsidRPr="00E51FCC">
          <w:rPr>
            <w:i/>
            <w:szCs w:val="22"/>
          </w:rPr>
          <w:delText xml:space="preserve">adolescentes </w:delText>
        </w:r>
        <w:r>
          <w:rPr>
            <w:i/>
            <w:szCs w:val="22"/>
          </w:rPr>
          <w:delText xml:space="preserve">e adultos </w:delText>
        </w:r>
        <w:r w:rsidRPr="00E51FCC">
          <w:rPr>
            <w:i/>
            <w:szCs w:val="22"/>
          </w:rPr>
          <w:delText xml:space="preserve">a partir dos 2 anos de idade com peso igual </w:delText>
        </w:r>
        <w:r>
          <w:rPr>
            <w:i/>
            <w:szCs w:val="22"/>
          </w:rPr>
          <w:delText>ou superior</w:delText>
        </w:r>
        <w:r w:rsidRPr="00E51FCC">
          <w:rPr>
            <w:i/>
            <w:szCs w:val="22"/>
          </w:rPr>
          <w:delText xml:space="preserve"> a 30 kg</w:delText>
        </w:r>
      </w:del>
    </w:p>
    <w:p w14:paraId="2E0E940C" w14:textId="77981DFD" w:rsidR="00412728" w:rsidRDefault="00412728" w:rsidP="004462A0">
      <w:pPr>
        <w:pStyle w:val="BodyText3"/>
        <w:rPr>
          <w:del w:id="14261" w:author="AbbVie2" w:date="2025-05-14T10:24:00Z"/>
          <w:szCs w:val="22"/>
        </w:rPr>
      </w:pPr>
    </w:p>
    <w:p w14:paraId="005253E0" w14:textId="62F5C7C4" w:rsidR="00412728" w:rsidRDefault="00615769" w:rsidP="004462A0">
      <w:pPr>
        <w:pStyle w:val="BodyText3"/>
        <w:rPr>
          <w:del w:id="14262" w:author="AbbVie2" w:date="2025-05-14T10:24:00Z"/>
          <w:szCs w:val="22"/>
        </w:rPr>
      </w:pPr>
      <w:del w:id="14263" w:author="AbbVie2" w:date="2025-05-14T10:24:00Z">
        <w:r>
          <w:rPr>
            <w:szCs w:val="22"/>
          </w:rPr>
          <w:delText>A dose recomendada de Humira é de 40 mg em semanas alternadas.</w:delText>
        </w:r>
      </w:del>
    </w:p>
    <w:p w14:paraId="71685EBC" w14:textId="09FD89AA" w:rsidR="004462A0" w:rsidRPr="008912CF" w:rsidRDefault="004462A0" w:rsidP="004462A0">
      <w:pPr>
        <w:pStyle w:val="BodyText3"/>
        <w:rPr>
          <w:del w:id="14264" w:author="AbbVie2" w:date="2025-05-14T10:24:00Z"/>
          <w:szCs w:val="22"/>
        </w:rPr>
      </w:pPr>
    </w:p>
    <w:p w14:paraId="4C075280" w14:textId="486CA15A" w:rsidR="004462A0" w:rsidRPr="008912CF" w:rsidRDefault="00615769" w:rsidP="004462A0">
      <w:pPr>
        <w:ind w:right="-2"/>
        <w:rPr>
          <w:del w:id="14265" w:author="AbbVie2" w:date="2025-05-14T10:24:00Z"/>
          <w:sz w:val="22"/>
          <w:szCs w:val="22"/>
          <w:u w:val="single"/>
        </w:rPr>
      </w:pPr>
      <w:del w:id="14266" w:author="AbbVie2" w:date="2025-05-14T10:24:00Z">
        <w:r w:rsidRPr="008912CF">
          <w:rPr>
            <w:sz w:val="22"/>
            <w:szCs w:val="22"/>
            <w:u w:val="single"/>
          </w:rPr>
          <w:delText>Crianças</w:delText>
        </w:r>
        <w:r w:rsidR="000234B4">
          <w:rPr>
            <w:sz w:val="22"/>
            <w:szCs w:val="22"/>
            <w:u w:val="single"/>
          </w:rPr>
          <w:delText>, adolescentes e adultos</w:delText>
        </w:r>
        <w:r w:rsidRPr="008912CF">
          <w:rPr>
            <w:sz w:val="22"/>
            <w:szCs w:val="22"/>
            <w:u w:val="single"/>
          </w:rPr>
          <w:delText xml:space="preserve"> com artrite relacionada com entesite</w:delText>
        </w:r>
      </w:del>
    </w:p>
    <w:p w14:paraId="4FF4D8A2" w14:textId="0A76E12D" w:rsidR="004462A0" w:rsidRPr="008912CF" w:rsidRDefault="004462A0" w:rsidP="004462A0">
      <w:pPr>
        <w:ind w:right="-2"/>
        <w:rPr>
          <w:del w:id="14267" w:author="AbbVie2" w:date="2025-05-14T10:24:00Z"/>
          <w:sz w:val="22"/>
          <w:szCs w:val="22"/>
        </w:rPr>
      </w:pPr>
    </w:p>
    <w:p w14:paraId="7F279A69" w14:textId="503D7C9B" w:rsidR="000234B4" w:rsidRPr="00E51FCC" w:rsidRDefault="00615769" w:rsidP="000234B4">
      <w:pPr>
        <w:pStyle w:val="BodyText3"/>
        <w:rPr>
          <w:del w:id="14268" w:author="AbbVie2" w:date="2025-05-14T10:24:00Z"/>
          <w:i/>
          <w:szCs w:val="22"/>
        </w:rPr>
      </w:pPr>
      <w:del w:id="14269" w:author="AbbVie2" w:date="2025-05-14T10:24:00Z">
        <w:r w:rsidRPr="00E51FCC">
          <w:rPr>
            <w:i/>
            <w:szCs w:val="22"/>
          </w:rPr>
          <w:delText xml:space="preserve">Crianças e adolescentes a partir dos </w:delText>
        </w:r>
        <w:r>
          <w:rPr>
            <w:i/>
            <w:szCs w:val="22"/>
          </w:rPr>
          <w:delText>6</w:delText>
        </w:r>
        <w:r w:rsidRPr="00E51FCC">
          <w:rPr>
            <w:i/>
            <w:szCs w:val="22"/>
          </w:rPr>
          <w:delText xml:space="preserve"> anos de idade com peso igual a 1</w:delText>
        </w:r>
        <w:r>
          <w:rPr>
            <w:i/>
            <w:szCs w:val="22"/>
          </w:rPr>
          <w:delText>5</w:delText>
        </w:r>
        <w:r w:rsidRPr="00E51FCC">
          <w:rPr>
            <w:i/>
            <w:szCs w:val="22"/>
          </w:rPr>
          <w:delText xml:space="preserve"> kg ou inferior a 30 kg</w:delText>
        </w:r>
      </w:del>
    </w:p>
    <w:p w14:paraId="2D5BAD00" w14:textId="61E2288A" w:rsidR="000234B4" w:rsidRDefault="000234B4" w:rsidP="004462A0">
      <w:pPr>
        <w:ind w:right="-2"/>
        <w:rPr>
          <w:del w:id="14270" w:author="AbbVie2" w:date="2025-05-14T10:24:00Z"/>
          <w:sz w:val="22"/>
          <w:szCs w:val="22"/>
        </w:rPr>
      </w:pPr>
    </w:p>
    <w:p w14:paraId="3108A068" w14:textId="1B442C77" w:rsidR="000234B4" w:rsidRDefault="00615769" w:rsidP="000234B4">
      <w:pPr>
        <w:pStyle w:val="BodyText3"/>
        <w:rPr>
          <w:del w:id="14271" w:author="AbbVie2" w:date="2025-05-14T10:24:00Z"/>
          <w:szCs w:val="22"/>
        </w:rPr>
      </w:pPr>
      <w:del w:id="14272" w:author="AbbVie2" w:date="2025-05-14T10:24:00Z">
        <w:r>
          <w:rPr>
            <w:szCs w:val="22"/>
          </w:rPr>
          <w:delText>A dose recomendada de Humira é de 20 mg em semanas alternadas.</w:delText>
        </w:r>
      </w:del>
    </w:p>
    <w:p w14:paraId="32FE9398" w14:textId="216AA30E" w:rsidR="000234B4" w:rsidRDefault="000234B4" w:rsidP="004462A0">
      <w:pPr>
        <w:ind w:right="-2"/>
        <w:rPr>
          <w:del w:id="14273" w:author="AbbVie2" w:date="2025-05-14T10:24:00Z"/>
          <w:sz w:val="22"/>
          <w:szCs w:val="22"/>
        </w:rPr>
      </w:pPr>
    </w:p>
    <w:p w14:paraId="6B70F194" w14:textId="5FFF57A3" w:rsidR="000234B4" w:rsidRPr="00E51FCC" w:rsidRDefault="00615769" w:rsidP="000234B4">
      <w:pPr>
        <w:pStyle w:val="BodyText3"/>
        <w:rPr>
          <w:del w:id="14274" w:author="AbbVie2" w:date="2025-05-14T10:24:00Z"/>
          <w:i/>
          <w:szCs w:val="22"/>
        </w:rPr>
      </w:pPr>
      <w:del w:id="14275" w:author="AbbVie2" w:date="2025-05-14T10:24:00Z">
        <w:r w:rsidRPr="00E51FCC">
          <w:rPr>
            <w:i/>
            <w:szCs w:val="22"/>
          </w:rPr>
          <w:delText>Crianças</w:delText>
        </w:r>
        <w:r>
          <w:rPr>
            <w:i/>
            <w:szCs w:val="22"/>
          </w:rPr>
          <w:delText xml:space="preserve">, </w:delText>
        </w:r>
        <w:r w:rsidRPr="00E51FCC">
          <w:rPr>
            <w:i/>
            <w:szCs w:val="22"/>
          </w:rPr>
          <w:delText xml:space="preserve">adolescentes </w:delText>
        </w:r>
        <w:r>
          <w:rPr>
            <w:i/>
            <w:szCs w:val="22"/>
          </w:rPr>
          <w:delText xml:space="preserve">e adultos </w:delText>
        </w:r>
        <w:r w:rsidRPr="00E51FCC">
          <w:rPr>
            <w:i/>
            <w:szCs w:val="22"/>
          </w:rPr>
          <w:delText xml:space="preserve">a partir dos </w:delText>
        </w:r>
        <w:r>
          <w:rPr>
            <w:i/>
            <w:szCs w:val="22"/>
          </w:rPr>
          <w:delText>6</w:delText>
        </w:r>
        <w:r w:rsidRPr="00E51FCC">
          <w:rPr>
            <w:i/>
            <w:szCs w:val="22"/>
          </w:rPr>
          <w:delText xml:space="preserve"> anos de idade com peso</w:delText>
        </w:r>
        <w:r>
          <w:rPr>
            <w:i/>
            <w:szCs w:val="22"/>
          </w:rPr>
          <w:delText xml:space="preserve"> igual ou superior</w:delText>
        </w:r>
        <w:r w:rsidRPr="00E51FCC">
          <w:rPr>
            <w:i/>
            <w:szCs w:val="22"/>
          </w:rPr>
          <w:delText xml:space="preserve"> a 30 kg</w:delText>
        </w:r>
      </w:del>
    </w:p>
    <w:p w14:paraId="66F09FEB" w14:textId="61D1E5E0" w:rsidR="000234B4" w:rsidRDefault="000234B4" w:rsidP="004462A0">
      <w:pPr>
        <w:ind w:right="-2"/>
        <w:rPr>
          <w:del w:id="14276" w:author="AbbVie2" w:date="2025-05-14T10:24:00Z"/>
          <w:sz w:val="22"/>
          <w:szCs w:val="22"/>
        </w:rPr>
      </w:pPr>
    </w:p>
    <w:p w14:paraId="3833DC9A" w14:textId="41B4D97D" w:rsidR="000234B4" w:rsidRDefault="00615769" w:rsidP="000234B4">
      <w:pPr>
        <w:pStyle w:val="BodyText3"/>
        <w:rPr>
          <w:del w:id="14277" w:author="AbbVie2" w:date="2025-05-14T10:24:00Z"/>
          <w:szCs w:val="22"/>
        </w:rPr>
      </w:pPr>
      <w:del w:id="14278" w:author="AbbVie2" w:date="2025-05-14T10:24:00Z">
        <w:r>
          <w:rPr>
            <w:szCs w:val="22"/>
          </w:rPr>
          <w:delText>A dose recomendada de Humira é de 40 mg em semanas alternadas.</w:delText>
        </w:r>
      </w:del>
    </w:p>
    <w:p w14:paraId="38A2DECE" w14:textId="520854F8" w:rsidR="004462A0" w:rsidRPr="008912CF" w:rsidRDefault="004462A0" w:rsidP="004462A0">
      <w:pPr>
        <w:pStyle w:val="BodyText3"/>
        <w:rPr>
          <w:del w:id="14279" w:author="AbbVie2" w:date="2025-05-14T10:24:00Z"/>
          <w:szCs w:val="22"/>
        </w:rPr>
      </w:pPr>
    </w:p>
    <w:p w14:paraId="5B4A5D06" w14:textId="2483C02D" w:rsidR="004462A0" w:rsidRPr="008912CF" w:rsidRDefault="00615769" w:rsidP="004462A0">
      <w:pPr>
        <w:pStyle w:val="BodyText3"/>
        <w:rPr>
          <w:del w:id="14280" w:author="AbbVie2" w:date="2025-05-14T10:24:00Z"/>
          <w:szCs w:val="22"/>
          <w:u w:val="single"/>
        </w:rPr>
      </w:pPr>
      <w:del w:id="14281" w:author="AbbVie2" w:date="2025-05-14T10:24:00Z">
        <w:r w:rsidRPr="008912CF">
          <w:rPr>
            <w:szCs w:val="22"/>
            <w:u w:val="single"/>
          </w:rPr>
          <w:delText>Adultos com psoríase</w:delText>
        </w:r>
      </w:del>
    </w:p>
    <w:p w14:paraId="4EDFA75D" w14:textId="6D705543" w:rsidR="004462A0" w:rsidRPr="008912CF" w:rsidRDefault="004462A0" w:rsidP="004462A0">
      <w:pPr>
        <w:pStyle w:val="BodyText3"/>
        <w:rPr>
          <w:del w:id="14282" w:author="AbbVie2" w:date="2025-05-14T10:24:00Z"/>
          <w:szCs w:val="22"/>
        </w:rPr>
      </w:pPr>
    </w:p>
    <w:p w14:paraId="7524821C" w14:textId="49B878CD" w:rsidR="004462A0" w:rsidRPr="008912CF" w:rsidRDefault="00615769" w:rsidP="004462A0">
      <w:pPr>
        <w:pStyle w:val="BodyText3"/>
        <w:rPr>
          <w:del w:id="14283" w:author="AbbVie2" w:date="2025-05-14T10:24:00Z"/>
          <w:szCs w:val="22"/>
        </w:rPr>
      </w:pPr>
      <w:del w:id="14284" w:author="AbbVie2" w:date="2025-05-14T10:24:00Z">
        <w:r w:rsidRPr="008912CF">
          <w:rPr>
            <w:szCs w:val="22"/>
          </w:rPr>
          <w:delText>A dose habitual inicial em adultos com psoríase é de 80 mg</w:delText>
        </w:r>
        <w:r w:rsidR="000234B4">
          <w:rPr>
            <w:szCs w:val="22"/>
          </w:rPr>
          <w:delText xml:space="preserve"> (duas injeções</w:delText>
        </w:r>
        <w:r w:rsidR="00B50AD9">
          <w:rPr>
            <w:szCs w:val="22"/>
          </w:rPr>
          <w:delText xml:space="preserve"> de 40 mg </w:delText>
        </w:r>
        <w:r w:rsidR="000234B4">
          <w:rPr>
            <w:szCs w:val="22"/>
          </w:rPr>
          <w:delText>num dia)</w:delText>
        </w:r>
        <w:r w:rsidRPr="008912CF">
          <w:rPr>
            <w:szCs w:val="22"/>
          </w:rPr>
          <w:delText>, seguida de 40 mg administrada em semanas alternadas, uma semana após a dose inicial. Deve continuar a administrar Humira de acordo com as indicações do seu médico. Dependendo da sua resposta, o médico pode aumentar a dose para 40 mg por semana</w:delText>
        </w:r>
        <w:r w:rsidR="00B50AD9">
          <w:rPr>
            <w:szCs w:val="22"/>
          </w:rPr>
          <w:delText xml:space="preserve"> ou 80 mg em semanas alternadas</w:delText>
        </w:r>
        <w:r w:rsidRPr="008912CF">
          <w:rPr>
            <w:szCs w:val="22"/>
          </w:rPr>
          <w:delText>.</w:delText>
        </w:r>
      </w:del>
    </w:p>
    <w:p w14:paraId="14A05885" w14:textId="44FF2A3D" w:rsidR="004462A0" w:rsidRPr="008912CF" w:rsidRDefault="004462A0" w:rsidP="004462A0">
      <w:pPr>
        <w:pStyle w:val="BodyText3"/>
        <w:rPr>
          <w:del w:id="14285" w:author="AbbVie2" w:date="2025-05-14T10:24:00Z"/>
          <w:szCs w:val="22"/>
        </w:rPr>
      </w:pPr>
    </w:p>
    <w:p w14:paraId="6670B2F7" w14:textId="0A0B32A5" w:rsidR="004462A0" w:rsidRPr="008912CF" w:rsidRDefault="00615769" w:rsidP="004462A0">
      <w:pPr>
        <w:ind w:right="-2"/>
        <w:rPr>
          <w:del w:id="14286" w:author="AbbVie2" w:date="2025-05-14T10:24:00Z"/>
          <w:sz w:val="22"/>
          <w:szCs w:val="22"/>
          <w:u w:val="single"/>
        </w:rPr>
      </w:pPr>
      <w:del w:id="14287" w:author="AbbVie2" w:date="2025-05-14T10:24:00Z">
        <w:r w:rsidRPr="008912CF">
          <w:rPr>
            <w:sz w:val="22"/>
            <w:szCs w:val="22"/>
            <w:u w:val="single"/>
          </w:rPr>
          <w:delText xml:space="preserve">Crianças </w:delText>
        </w:r>
        <w:r w:rsidR="000234B4">
          <w:rPr>
            <w:sz w:val="22"/>
            <w:szCs w:val="22"/>
            <w:u w:val="single"/>
          </w:rPr>
          <w:delText>e</w:delText>
        </w:r>
        <w:r w:rsidRPr="008912CF">
          <w:rPr>
            <w:sz w:val="22"/>
            <w:szCs w:val="22"/>
            <w:u w:val="single"/>
          </w:rPr>
          <w:delText xml:space="preserve"> adolescentes com psoríase em placas</w:delText>
        </w:r>
      </w:del>
    </w:p>
    <w:p w14:paraId="0C8EA6F8" w14:textId="6AA29E29" w:rsidR="004462A0" w:rsidRPr="008912CF" w:rsidRDefault="004462A0" w:rsidP="004462A0">
      <w:pPr>
        <w:ind w:right="-2"/>
        <w:rPr>
          <w:del w:id="14288" w:author="AbbVie2" w:date="2025-05-14T10:24:00Z"/>
          <w:sz w:val="22"/>
          <w:szCs w:val="22"/>
        </w:rPr>
      </w:pPr>
    </w:p>
    <w:p w14:paraId="57A82786" w14:textId="196C9136" w:rsidR="000234B4" w:rsidRPr="00F03C54" w:rsidRDefault="00615769" w:rsidP="004462A0">
      <w:pPr>
        <w:ind w:right="-2"/>
        <w:rPr>
          <w:del w:id="14289" w:author="AbbVie2" w:date="2025-05-14T10:24:00Z"/>
          <w:i/>
          <w:sz w:val="22"/>
          <w:szCs w:val="22"/>
        </w:rPr>
      </w:pPr>
      <w:del w:id="14290" w:author="AbbVie2" w:date="2025-05-14T10:24:00Z">
        <w:r w:rsidRPr="00F03C54">
          <w:rPr>
            <w:i/>
            <w:sz w:val="22"/>
            <w:szCs w:val="22"/>
          </w:rPr>
          <w:delText>Crianças e adolescentes entre os 4 e os 17 anos de idade com peso igual a 15</w:delText>
        </w:r>
        <w:r w:rsidR="002E4541">
          <w:rPr>
            <w:i/>
            <w:sz w:val="22"/>
            <w:szCs w:val="22"/>
          </w:rPr>
          <w:delText xml:space="preserve"> </w:delText>
        </w:r>
        <w:r w:rsidRPr="00F03C54">
          <w:rPr>
            <w:i/>
            <w:sz w:val="22"/>
            <w:szCs w:val="22"/>
          </w:rPr>
          <w:delText>kg ou inferior a 30 kg</w:delText>
        </w:r>
      </w:del>
    </w:p>
    <w:p w14:paraId="690118B1" w14:textId="750B867A" w:rsidR="000234B4" w:rsidRDefault="000234B4" w:rsidP="004462A0">
      <w:pPr>
        <w:ind w:right="-2"/>
        <w:rPr>
          <w:del w:id="14291" w:author="AbbVie2" w:date="2025-05-14T10:24:00Z"/>
          <w:sz w:val="22"/>
          <w:szCs w:val="22"/>
        </w:rPr>
      </w:pPr>
    </w:p>
    <w:p w14:paraId="6A1D3669" w14:textId="70315D11" w:rsidR="000234B4" w:rsidRDefault="00615769" w:rsidP="000234B4">
      <w:pPr>
        <w:ind w:right="-2"/>
        <w:rPr>
          <w:del w:id="14292" w:author="AbbVie2" w:date="2025-05-14T10:24:00Z"/>
          <w:sz w:val="22"/>
          <w:szCs w:val="22"/>
        </w:rPr>
      </w:pPr>
      <w:del w:id="14293" w:author="AbbVie2" w:date="2025-05-14T10:24:00Z">
        <w:r>
          <w:rPr>
            <w:sz w:val="22"/>
            <w:szCs w:val="22"/>
          </w:rPr>
          <w:delText xml:space="preserve">A dose recomendada de Humira é de uma dose inicial de 20 mg seguida de 20 mg uma semana após a </w:delText>
        </w:r>
        <w:r w:rsidR="008649AC">
          <w:rPr>
            <w:sz w:val="22"/>
            <w:szCs w:val="22"/>
          </w:rPr>
          <w:delText>dose</w:delText>
        </w:r>
        <w:r>
          <w:rPr>
            <w:sz w:val="22"/>
            <w:szCs w:val="22"/>
          </w:rPr>
          <w:delText xml:space="preserve"> inicial. Depois disso, a dose habitual é de 20 mg em semanas alternadas.</w:delText>
        </w:r>
      </w:del>
    </w:p>
    <w:p w14:paraId="7DBD3A80" w14:textId="30CC5168" w:rsidR="000234B4" w:rsidRDefault="000234B4" w:rsidP="000234B4">
      <w:pPr>
        <w:ind w:right="-2"/>
        <w:rPr>
          <w:del w:id="14294" w:author="AbbVie2" w:date="2025-05-14T10:24:00Z"/>
          <w:sz w:val="22"/>
          <w:szCs w:val="22"/>
        </w:rPr>
      </w:pPr>
    </w:p>
    <w:p w14:paraId="5F7A30F7" w14:textId="496C13BD" w:rsidR="000234B4" w:rsidRPr="00E51FCC" w:rsidRDefault="00615769" w:rsidP="000234B4">
      <w:pPr>
        <w:ind w:right="-2"/>
        <w:rPr>
          <w:del w:id="14295" w:author="AbbVie2" w:date="2025-05-14T10:24:00Z"/>
          <w:i/>
          <w:sz w:val="22"/>
          <w:szCs w:val="22"/>
        </w:rPr>
      </w:pPr>
      <w:del w:id="14296" w:author="AbbVie2" w:date="2025-05-14T10:24:00Z">
        <w:r w:rsidRPr="00E51FCC">
          <w:rPr>
            <w:i/>
            <w:sz w:val="22"/>
            <w:szCs w:val="22"/>
          </w:rPr>
          <w:delText xml:space="preserve">Crianças e adolescentes entre os 4 e os 17 anos de idade com peso igual </w:delText>
        </w:r>
        <w:r>
          <w:rPr>
            <w:i/>
            <w:sz w:val="22"/>
            <w:szCs w:val="22"/>
          </w:rPr>
          <w:delText xml:space="preserve">ou superior </w:delText>
        </w:r>
        <w:r w:rsidRPr="00E51FCC">
          <w:rPr>
            <w:i/>
            <w:sz w:val="22"/>
            <w:szCs w:val="22"/>
          </w:rPr>
          <w:delText>a 30 kg</w:delText>
        </w:r>
      </w:del>
    </w:p>
    <w:p w14:paraId="6DB5664B" w14:textId="523E1080" w:rsidR="000234B4" w:rsidRPr="008912CF" w:rsidRDefault="000234B4" w:rsidP="000234B4">
      <w:pPr>
        <w:ind w:right="-2"/>
        <w:rPr>
          <w:del w:id="14297" w:author="AbbVie2" w:date="2025-05-14T10:24:00Z"/>
          <w:sz w:val="22"/>
          <w:szCs w:val="22"/>
        </w:rPr>
      </w:pPr>
    </w:p>
    <w:p w14:paraId="63224108" w14:textId="082B8E53" w:rsidR="000234B4" w:rsidRDefault="00615769" w:rsidP="000234B4">
      <w:pPr>
        <w:ind w:right="-2"/>
        <w:rPr>
          <w:del w:id="14298" w:author="AbbVie2" w:date="2025-05-14T10:24:00Z"/>
          <w:sz w:val="22"/>
          <w:szCs w:val="22"/>
        </w:rPr>
      </w:pPr>
      <w:del w:id="14299" w:author="AbbVie2" w:date="2025-05-14T10:24:00Z">
        <w:r w:rsidRPr="008912CF">
          <w:rPr>
            <w:sz w:val="22"/>
            <w:szCs w:val="22"/>
          </w:rPr>
          <w:delText>A dose recomendada de Humira</w:delText>
        </w:r>
        <w:r>
          <w:rPr>
            <w:sz w:val="22"/>
            <w:szCs w:val="22"/>
          </w:rPr>
          <w:delText xml:space="preserve"> é de uma dose inicial de 40 mg seguida de 40 mg uma semana após a </w:delText>
        </w:r>
        <w:r w:rsidR="008649AC">
          <w:rPr>
            <w:sz w:val="22"/>
            <w:szCs w:val="22"/>
          </w:rPr>
          <w:delText>dose</w:delText>
        </w:r>
        <w:r>
          <w:rPr>
            <w:sz w:val="22"/>
            <w:szCs w:val="22"/>
          </w:rPr>
          <w:delText xml:space="preserve"> inicial. Depois disso, a dose habitual é de 40 mg em semanas alternadas.</w:delText>
        </w:r>
      </w:del>
    </w:p>
    <w:p w14:paraId="3425BE6D" w14:textId="09FFC971" w:rsidR="004462A0" w:rsidRPr="008912CF" w:rsidRDefault="004462A0" w:rsidP="004462A0">
      <w:pPr>
        <w:pStyle w:val="BodyText3"/>
        <w:rPr>
          <w:del w:id="14300" w:author="AbbVie2" w:date="2025-05-14T10:24:00Z"/>
          <w:szCs w:val="22"/>
        </w:rPr>
      </w:pPr>
    </w:p>
    <w:p w14:paraId="2707325E" w14:textId="03D17038" w:rsidR="004462A0" w:rsidRPr="008912CF" w:rsidRDefault="00615769" w:rsidP="004462A0">
      <w:pPr>
        <w:pStyle w:val="BodyText3"/>
        <w:keepNext/>
        <w:rPr>
          <w:del w:id="14301" w:author="AbbVie2" w:date="2025-05-14T10:24:00Z"/>
          <w:szCs w:val="22"/>
          <w:u w:val="single"/>
        </w:rPr>
      </w:pPr>
      <w:del w:id="14302" w:author="AbbVie2" w:date="2025-05-14T10:24:00Z">
        <w:r w:rsidRPr="008912CF">
          <w:rPr>
            <w:szCs w:val="22"/>
            <w:u w:val="single"/>
          </w:rPr>
          <w:delText>Adultos com hidradenite supurativa</w:delText>
        </w:r>
      </w:del>
    </w:p>
    <w:p w14:paraId="5A2400A9" w14:textId="14CABE88" w:rsidR="004462A0" w:rsidRPr="008912CF" w:rsidRDefault="004462A0" w:rsidP="004462A0">
      <w:pPr>
        <w:pStyle w:val="BodyText3"/>
        <w:keepNext/>
        <w:rPr>
          <w:del w:id="14303" w:author="AbbVie2" w:date="2025-05-14T10:24:00Z"/>
          <w:szCs w:val="22"/>
        </w:rPr>
      </w:pPr>
    </w:p>
    <w:p w14:paraId="323A3C4C" w14:textId="46BDB527" w:rsidR="004462A0" w:rsidRPr="008912CF" w:rsidRDefault="00615769" w:rsidP="004462A0">
      <w:pPr>
        <w:pStyle w:val="BodyText3"/>
        <w:keepNext/>
        <w:rPr>
          <w:del w:id="14304" w:author="AbbVie2" w:date="2025-05-14T10:24:00Z"/>
          <w:szCs w:val="22"/>
        </w:rPr>
      </w:pPr>
      <w:del w:id="14305" w:author="AbbVie2" w:date="2025-05-14T10:24:00Z">
        <w:r w:rsidRPr="008912CF">
          <w:rPr>
            <w:szCs w:val="22"/>
          </w:rPr>
          <w:delText>A dose habitual inicial na hidradenite supurativa é de 160 mg (</w:delText>
        </w:r>
        <w:r w:rsidR="00217FAC">
          <w:rPr>
            <w:szCs w:val="22"/>
          </w:rPr>
          <w:delText>quatro</w:delText>
        </w:r>
        <w:r w:rsidRPr="008912CF">
          <w:rPr>
            <w:szCs w:val="22"/>
          </w:rPr>
          <w:delText xml:space="preserve"> injeções</w:delText>
        </w:r>
        <w:r w:rsidR="00B50AD9">
          <w:rPr>
            <w:szCs w:val="22"/>
          </w:rPr>
          <w:delText xml:space="preserve"> de 40 mg</w:delText>
        </w:r>
        <w:r w:rsidRPr="008912CF">
          <w:rPr>
            <w:szCs w:val="22"/>
          </w:rPr>
          <w:delText xml:space="preserve"> num dia ou </w:delText>
        </w:r>
        <w:r w:rsidR="00217FAC">
          <w:rPr>
            <w:szCs w:val="22"/>
          </w:rPr>
          <w:delText>duas</w:delText>
        </w:r>
        <w:r w:rsidRPr="008912CF">
          <w:rPr>
            <w:szCs w:val="22"/>
          </w:rPr>
          <w:delText xml:space="preserve"> injeções </w:delText>
        </w:r>
        <w:r w:rsidR="00B50AD9">
          <w:rPr>
            <w:szCs w:val="22"/>
          </w:rPr>
          <w:delText xml:space="preserve">de 40 mg </w:delText>
        </w:r>
        <w:r w:rsidRPr="008912CF">
          <w:rPr>
            <w:szCs w:val="22"/>
          </w:rPr>
          <w:delText>por dia, em dois dias consecutivos), seguida de 80 mg (</w:delText>
        </w:r>
        <w:r w:rsidR="00217FAC">
          <w:rPr>
            <w:szCs w:val="22"/>
          </w:rPr>
          <w:delText>duas</w:delText>
        </w:r>
        <w:r w:rsidRPr="008912CF">
          <w:rPr>
            <w:szCs w:val="22"/>
          </w:rPr>
          <w:delText xml:space="preserve"> injeções </w:delText>
        </w:r>
        <w:r w:rsidR="00B50AD9">
          <w:rPr>
            <w:szCs w:val="22"/>
          </w:rPr>
          <w:delText xml:space="preserve">de 40 mg </w:delText>
        </w:r>
        <w:r w:rsidRPr="008912CF">
          <w:rPr>
            <w:szCs w:val="22"/>
          </w:rPr>
          <w:delText>por dia) duas semanas após a dose inicial. Após mais duas semanas, continuar com uma dose de 40 mg por semana</w:delText>
        </w:r>
        <w:r w:rsidR="00B50AD9">
          <w:rPr>
            <w:szCs w:val="22"/>
          </w:rPr>
          <w:delText xml:space="preserve"> ou 80 mg em semanas alternadas, conforme prescrito pelo seu médico</w:delText>
        </w:r>
        <w:r w:rsidRPr="008912CF">
          <w:rPr>
            <w:szCs w:val="22"/>
          </w:rPr>
          <w:delText>. É recomendável que use um anti-séptico de lavagem diária nas áreas afetadas.</w:delText>
        </w:r>
      </w:del>
    </w:p>
    <w:p w14:paraId="7F27EE78" w14:textId="76DB78C6" w:rsidR="004462A0" w:rsidRDefault="004462A0" w:rsidP="004462A0">
      <w:pPr>
        <w:pStyle w:val="BodyText3"/>
        <w:rPr>
          <w:del w:id="14306" w:author="AbbVie2" w:date="2025-05-14T10:24:00Z"/>
          <w:szCs w:val="22"/>
        </w:rPr>
      </w:pPr>
    </w:p>
    <w:p w14:paraId="39F48102" w14:textId="53D90213" w:rsidR="004462A0" w:rsidRPr="00EB572F" w:rsidRDefault="00615769" w:rsidP="001242C2">
      <w:pPr>
        <w:keepNext/>
        <w:ind w:right="-2"/>
        <w:rPr>
          <w:del w:id="14307" w:author="AbbVie2" w:date="2025-05-14T10:24:00Z"/>
          <w:sz w:val="22"/>
          <w:szCs w:val="22"/>
          <w:u w:val="single"/>
        </w:rPr>
      </w:pPr>
      <w:del w:id="14308" w:author="AbbVie2" w:date="2025-05-14T10:24:00Z">
        <w:r w:rsidRPr="00EB572F">
          <w:rPr>
            <w:sz w:val="22"/>
            <w:szCs w:val="22"/>
            <w:u w:val="single"/>
          </w:rPr>
          <w:delText xml:space="preserve">Adolescentes com hidradenite supurativa </w:delText>
        </w:r>
        <w:r w:rsidR="00217FAC">
          <w:rPr>
            <w:sz w:val="22"/>
            <w:szCs w:val="22"/>
            <w:u w:val="single"/>
          </w:rPr>
          <w:delText>entre os</w:delText>
        </w:r>
        <w:r w:rsidRPr="00EB572F">
          <w:rPr>
            <w:sz w:val="22"/>
            <w:szCs w:val="22"/>
            <w:u w:val="single"/>
          </w:rPr>
          <w:delText xml:space="preserve"> 12 </w:delText>
        </w:r>
        <w:r w:rsidR="0074276E">
          <w:rPr>
            <w:sz w:val="22"/>
            <w:szCs w:val="22"/>
            <w:u w:val="single"/>
          </w:rPr>
          <w:delText xml:space="preserve">e os 17 </w:delText>
        </w:r>
        <w:r w:rsidRPr="00EB572F">
          <w:rPr>
            <w:sz w:val="22"/>
            <w:szCs w:val="22"/>
            <w:u w:val="single"/>
          </w:rPr>
          <w:delText xml:space="preserve">anos de idade com </w:delText>
        </w:r>
        <w:r w:rsidR="0074276E">
          <w:rPr>
            <w:sz w:val="22"/>
            <w:szCs w:val="22"/>
            <w:u w:val="single"/>
          </w:rPr>
          <w:delText>peso igual ou superior a</w:delText>
        </w:r>
        <w:r w:rsidRPr="00EB572F">
          <w:rPr>
            <w:sz w:val="22"/>
            <w:szCs w:val="22"/>
            <w:u w:val="single"/>
          </w:rPr>
          <w:delText xml:space="preserve"> 30</w:delText>
        </w:r>
        <w:r>
          <w:rPr>
            <w:sz w:val="22"/>
            <w:szCs w:val="22"/>
            <w:u w:val="single"/>
          </w:rPr>
          <w:delText> </w:delText>
        </w:r>
        <w:r w:rsidRPr="00EB572F">
          <w:rPr>
            <w:sz w:val="22"/>
            <w:szCs w:val="22"/>
            <w:u w:val="single"/>
          </w:rPr>
          <w:delText>Kg</w:delText>
        </w:r>
      </w:del>
    </w:p>
    <w:p w14:paraId="7405F6AD" w14:textId="4731677F" w:rsidR="004462A0" w:rsidRDefault="004462A0" w:rsidP="001242C2">
      <w:pPr>
        <w:keepNext/>
        <w:ind w:right="-2"/>
        <w:rPr>
          <w:del w:id="14309" w:author="AbbVie2" w:date="2025-05-14T10:24:00Z"/>
          <w:sz w:val="22"/>
          <w:szCs w:val="22"/>
        </w:rPr>
      </w:pPr>
    </w:p>
    <w:p w14:paraId="23D53998" w14:textId="464BCE2E" w:rsidR="004462A0" w:rsidRDefault="00615769" w:rsidP="001242C2">
      <w:pPr>
        <w:keepNext/>
        <w:ind w:right="-2"/>
        <w:rPr>
          <w:del w:id="14310" w:author="AbbVie2" w:date="2025-05-14T10:24:00Z"/>
          <w:sz w:val="22"/>
        </w:rPr>
      </w:pPr>
      <w:del w:id="14311" w:author="AbbVie2" w:date="2025-05-14T10:24:00Z">
        <w:r>
          <w:rPr>
            <w:sz w:val="22"/>
          </w:rPr>
          <w:delText>A dose recomendada de Humira é u</w:delText>
        </w:r>
        <w:r w:rsidRPr="00454F99">
          <w:rPr>
            <w:sz w:val="22"/>
          </w:rPr>
          <w:delText xml:space="preserve">ma dose inicial de </w:delText>
        </w:r>
        <w:r>
          <w:rPr>
            <w:sz w:val="22"/>
          </w:rPr>
          <w:delText>8</w:delText>
        </w:r>
        <w:r w:rsidRPr="00454F99">
          <w:rPr>
            <w:sz w:val="22"/>
          </w:rPr>
          <w:delText>0 mg (</w:delText>
        </w:r>
        <w:r>
          <w:rPr>
            <w:sz w:val="22"/>
          </w:rPr>
          <w:delText xml:space="preserve">duas </w:delText>
        </w:r>
        <w:r w:rsidRPr="00454F99">
          <w:rPr>
            <w:sz w:val="22"/>
          </w:rPr>
          <w:delText xml:space="preserve">injeções </w:delText>
        </w:r>
        <w:r w:rsidR="00B50AD9">
          <w:rPr>
            <w:sz w:val="22"/>
          </w:rPr>
          <w:delText xml:space="preserve">de 40 mg </w:delText>
        </w:r>
        <w:r w:rsidRPr="006462E3">
          <w:rPr>
            <w:sz w:val="22"/>
          </w:rPr>
          <w:delText>num dia</w:delText>
        </w:r>
        <w:r w:rsidRPr="00854C93">
          <w:rPr>
            <w:sz w:val="22"/>
          </w:rPr>
          <w:delText xml:space="preserve">), seguida de </w:delText>
        </w:r>
        <w:r>
          <w:rPr>
            <w:sz w:val="22"/>
          </w:rPr>
          <w:delText>4</w:delText>
        </w:r>
        <w:r w:rsidRPr="00854C93">
          <w:rPr>
            <w:sz w:val="22"/>
          </w:rPr>
          <w:delText>0</w:delText>
        </w:r>
        <w:r w:rsidRPr="0089156B">
          <w:rPr>
            <w:sz w:val="22"/>
          </w:rPr>
          <w:delText> </w:delText>
        </w:r>
        <w:r w:rsidRPr="004931CE">
          <w:rPr>
            <w:sz w:val="22"/>
          </w:rPr>
          <w:delText>mg</w:delText>
        </w:r>
        <w:r>
          <w:rPr>
            <w:sz w:val="22"/>
          </w:rPr>
          <w:delText xml:space="preserve"> em semanas alternadas, uma</w:delText>
        </w:r>
        <w:r w:rsidRPr="00AA3C8F">
          <w:rPr>
            <w:sz w:val="22"/>
          </w:rPr>
          <w:delText xml:space="preserve"> semana após a dose inicial.</w:delText>
        </w:r>
        <w:r>
          <w:rPr>
            <w:sz w:val="22"/>
          </w:rPr>
          <w:delText xml:space="preserve"> Se tiver uma resposta inadequada</w:delText>
        </w:r>
        <w:r w:rsidR="00B50AD9">
          <w:rPr>
            <w:sz w:val="22"/>
          </w:rPr>
          <w:delText xml:space="preserve"> com Humira 40 mg em semanas alternadas</w:delText>
        </w:r>
        <w:r>
          <w:rPr>
            <w:sz w:val="22"/>
          </w:rPr>
          <w:delText>, o seu médico pode aumentar a dose para 40 mg semanalmente</w:delText>
        </w:r>
        <w:r w:rsidR="00B50AD9">
          <w:rPr>
            <w:sz w:val="22"/>
          </w:rPr>
          <w:delText xml:space="preserve"> ou 80 mg em semanas alternadas</w:delText>
        </w:r>
        <w:r>
          <w:rPr>
            <w:sz w:val="22"/>
          </w:rPr>
          <w:delText>.</w:delText>
        </w:r>
      </w:del>
    </w:p>
    <w:p w14:paraId="460F41AD" w14:textId="65319AEB" w:rsidR="004462A0" w:rsidRDefault="004462A0" w:rsidP="004462A0">
      <w:pPr>
        <w:ind w:right="-2"/>
        <w:rPr>
          <w:del w:id="14312" w:author="AbbVie2" w:date="2025-05-14T10:24:00Z"/>
          <w:sz w:val="22"/>
        </w:rPr>
      </w:pPr>
    </w:p>
    <w:p w14:paraId="5257724C" w14:textId="1802714A" w:rsidR="004462A0" w:rsidRDefault="00615769" w:rsidP="004462A0">
      <w:pPr>
        <w:pStyle w:val="BodyText3"/>
        <w:rPr>
          <w:del w:id="14313" w:author="AbbVie2" w:date="2025-05-14T10:24:00Z"/>
          <w:szCs w:val="22"/>
          <w:u w:val="single"/>
        </w:rPr>
      </w:pPr>
      <w:del w:id="14314" w:author="AbbVie2" w:date="2025-05-14T10:24:00Z">
        <w:r w:rsidRPr="008B0DDF">
          <w:rPr>
            <w:szCs w:val="22"/>
          </w:rPr>
          <w:delText>É recomendável que use um anti-séptico de lavagem diária nas áreas afetadas.</w:delText>
        </w:r>
      </w:del>
    </w:p>
    <w:p w14:paraId="7FC8AF63" w14:textId="30C0EB97" w:rsidR="004462A0" w:rsidRDefault="004462A0" w:rsidP="004462A0">
      <w:pPr>
        <w:pStyle w:val="BodyText3"/>
        <w:rPr>
          <w:del w:id="14315" w:author="AbbVie2" w:date="2025-05-14T10:24:00Z"/>
          <w:szCs w:val="22"/>
          <w:u w:val="single"/>
        </w:rPr>
      </w:pPr>
    </w:p>
    <w:p w14:paraId="50FD6ABD" w14:textId="44243E96" w:rsidR="004462A0" w:rsidRPr="008912CF" w:rsidRDefault="00615769" w:rsidP="00907F74">
      <w:pPr>
        <w:pStyle w:val="BodyText3"/>
        <w:keepNext/>
        <w:rPr>
          <w:del w:id="14316" w:author="AbbVie2" w:date="2025-05-14T10:24:00Z"/>
          <w:szCs w:val="22"/>
          <w:u w:val="single"/>
        </w:rPr>
      </w:pPr>
      <w:del w:id="14317" w:author="AbbVie2" w:date="2025-05-14T10:24:00Z">
        <w:r w:rsidRPr="008912CF">
          <w:rPr>
            <w:szCs w:val="22"/>
            <w:u w:val="single"/>
          </w:rPr>
          <w:delText>Adultos com doença de Crohn</w:delText>
        </w:r>
      </w:del>
    </w:p>
    <w:p w14:paraId="24F4C594" w14:textId="3D81E738" w:rsidR="004462A0" w:rsidRPr="008912CF" w:rsidRDefault="004462A0" w:rsidP="00907F74">
      <w:pPr>
        <w:pStyle w:val="BodyText3"/>
        <w:keepNext/>
        <w:rPr>
          <w:del w:id="14318" w:author="AbbVie2" w:date="2025-05-14T10:24:00Z"/>
          <w:szCs w:val="22"/>
        </w:rPr>
      </w:pPr>
    </w:p>
    <w:p w14:paraId="5D4C8E57" w14:textId="7B6F0136" w:rsidR="004462A0" w:rsidRPr="008912CF" w:rsidRDefault="00615769" w:rsidP="00907F74">
      <w:pPr>
        <w:pStyle w:val="BodyText3"/>
        <w:keepNext/>
        <w:rPr>
          <w:del w:id="14319" w:author="AbbVie2" w:date="2025-05-14T10:24:00Z"/>
          <w:szCs w:val="22"/>
        </w:rPr>
      </w:pPr>
      <w:del w:id="14320" w:author="AbbVie2" w:date="2025-05-14T10:24:00Z">
        <w:r w:rsidRPr="008912CF">
          <w:rPr>
            <w:szCs w:val="22"/>
          </w:rPr>
          <w:delText xml:space="preserve">A dose habitual inicial na doença de Crohn é de 80 mg </w:delText>
        </w:r>
        <w:r w:rsidR="0074276E">
          <w:rPr>
            <w:szCs w:val="22"/>
          </w:rPr>
          <w:delText xml:space="preserve">(duas injeções </w:delText>
        </w:r>
        <w:r w:rsidR="00416A8C">
          <w:rPr>
            <w:szCs w:val="22"/>
          </w:rPr>
          <w:delText xml:space="preserve">de 40 mg </w:delText>
        </w:r>
        <w:r w:rsidR="0074276E">
          <w:rPr>
            <w:szCs w:val="22"/>
          </w:rPr>
          <w:delText xml:space="preserve">num dia) </w:delText>
        </w:r>
        <w:r w:rsidRPr="008912CF">
          <w:rPr>
            <w:szCs w:val="22"/>
          </w:rPr>
          <w:delText xml:space="preserve">seguida de 40 mg em semanas alternadas, duas </w:delText>
        </w:r>
        <w:r w:rsidRPr="008912CF">
          <w:rPr>
            <w:bCs/>
          </w:rPr>
          <w:delText>semanas após a dose inicial</w:delText>
        </w:r>
        <w:r w:rsidRPr="008912CF">
          <w:rPr>
            <w:szCs w:val="22"/>
          </w:rPr>
          <w:delText>. Se é necessária uma resposta mais rápida, o seu médico pode prescrever uma dose inicial de 160 mg (</w:delText>
        </w:r>
        <w:r w:rsidR="0074276E">
          <w:rPr>
            <w:szCs w:val="22"/>
          </w:rPr>
          <w:delText xml:space="preserve">quatro </w:delText>
        </w:r>
        <w:r w:rsidRPr="008912CF">
          <w:rPr>
            <w:szCs w:val="22"/>
          </w:rPr>
          <w:delText xml:space="preserve">injeções </w:delText>
        </w:r>
        <w:r w:rsidR="00416A8C">
          <w:rPr>
            <w:szCs w:val="22"/>
          </w:rPr>
          <w:delText xml:space="preserve">de 40 mg </w:delText>
        </w:r>
        <w:r w:rsidRPr="008912CF">
          <w:rPr>
            <w:szCs w:val="22"/>
          </w:rPr>
          <w:delText xml:space="preserve">num dia ou </w:delText>
        </w:r>
        <w:r w:rsidR="0074276E">
          <w:rPr>
            <w:szCs w:val="22"/>
          </w:rPr>
          <w:delText>duas</w:delText>
        </w:r>
        <w:r w:rsidRPr="008912CF">
          <w:rPr>
            <w:szCs w:val="22"/>
          </w:rPr>
          <w:delText xml:space="preserve"> injeções </w:delText>
        </w:r>
        <w:r w:rsidR="00416A8C">
          <w:rPr>
            <w:szCs w:val="22"/>
          </w:rPr>
          <w:delText xml:space="preserve">de 40 mg </w:delText>
        </w:r>
        <w:r w:rsidRPr="008912CF">
          <w:rPr>
            <w:szCs w:val="22"/>
          </w:rPr>
          <w:delText>por dia em dois dias consecutivos), seguida de 80 mg</w:delText>
        </w:r>
        <w:r w:rsidR="0074276E">
          <w:rPr>
            <w:szCs w:val="22"/>
          </w:rPr>
          <w:delText xml:space="preserve"> (duas injeções </w:delText>
        </w:r>
        <w:r w:rsidR="00416A8C">
          <w:rPr>
            <w:szCs w:val="22"/>
          </w:rPr>
          <w:delText xml:space="preserve">de 40 mg </w:delText>
        </w:r>
        <w:r w:rsidR="0074276E">
          <w:rPr>
            <w:szCs w:val="22"/>
          </w:rPr>
          <w:delText>num dia)</w:delText>
        </w:r>
        <w:r w:rsidRPr="008912CF">
          <w:rPr>
            <w:szCs w:val="22"/>
          </w:rPr>
          <w:delText xml:space="preserve">, duas </w:delText>
        </w:r>
        <w:r w:rsidRPr="008912CF">
          <w:rPr>
            <w:bCs/>
          </w:rPr>
          <w:delText>semanas após a dose inicial</w:delText>
        </w:r>
        <w:r w:rsidRPr="008912CF">
          <w:rPr>
            <w:szCs w:val="22"/>
          </w:rPr>
          <w:delText xml:space="preserve"> e depois disso 40 mg em semanas alternadas. Dependendo da sua resposta, o médico pode aumentar a dose para 40 mg por semana</w:delText>
        </w:r>
        <w:r w:rsidR="00416A8C">
          <w:rPr>
            <w:szCs w:val="22"/>
          </w:rPr>
          <w:delText xml:space="preserve"> ou 80 mg em semanas alternadas</w:delText>
        </w:r>
        <w:r w:rsidRPr="008912CF">
          <w:rPr>
            <w:szCs w:val="22"/>
          </w:rPr>
          <w:delText xml:space="preserve">. </w:delText>
        </w:r>
      </w:del>
    </w:p>
    <w:p w14:paraId="5CFD75B2" w14:textId="6C8E641C" w:rsidR="004462A0" w:rsidRPr="008912CF" w:rsidRDefault="004462A0" w:rsidP="004462A0">
      <w:pPr>
        <w:ind w:right="-2"/>
        <w:rPr>
          <w:del w:id="14321" w:author="AbbVie2" w:date="2025-05-14T10:24:00Z"/>
          <w:sz w:val="22"/>
          <w:szCs w:val="22"/>
          <w:u w:val="single"/>
        </w:rPr>
      </w:pPr>
    </w:p>
    <w:p w14:paraId="0299228E" w14:textId="6D0CFAE5" w:rsidR="004462A0" w:rsidRPr="008912CF" w:rsidRDefault="00615769" w:rsidP="004462A0">
      <w:pPr>
        <w:ind w:right="-2"/>
        <w:rPr>
          <w:del w:id="14322" w:author="AbbVie2" w:date="2025-05-14T10:24:00Z"/>
          <w:sz w:val="22"/>
          <w:szCs w:val="22"/>
          <w:u w:val="single"/>
        </w:rPr>
      </w:pPr>
      <w:del w:id="14323" w:author="AbbVie2" w:date="2025-05-14T10:24:00Z">
        <w:r w:rsidRPr="008912CF">
          <w:rPr>
            <w:sz w:val="22"/>
            <w:szCs w:val="22"/>
            <w:u w:val="single"/>
          </w:rPr>
          <w:delText xml:space="preserve">Crianças </w:delText>
        </w:r>
        <w:r w:rsidR="0074276E">
          <w:rPr>
            <w:sz w:val="22"/>
            <w:szCs w:val="22"/>
            <w:u w:val="single"/>
          </w:rPr>
          <w:delText>e</w:delText>
        </w:r>
        <w:r w:rsidRPr="008912CF">
          <w:rPr>
            <w:sz w:val="22"/>
            <w:szCs w:val="22"/>
            <w:u w:val="single"/>
          </w:rPr>
          <w:delText xml:space="preserve"> adolescentes com doença de Crohn</w:delText>
        </w:r>
      </w:del>
    </w:p>
    <w:p w14:paraId="47CF62D9" w14:textId="26021B3B" w:rsidR="004462A0" w:rsidRDefault="004462A0" w:rsidP="004462A0">
      <w:pPr>
        <w:ind w:right="-2"/>
        <w:rPr>
          <w:del w:id="14324" w:author="AbbVie2" w:date="2025-05-14T10:24:00Z"/>
          <w:sz w:val="22"/>
          <w:szCs w:val="22"/>
          <w:u w:val="single"/>
        </w:rPr>
      </w:pPr>
    </w:p>
    <w:p w14:paraId="7A1000B0" w14:textId="32792A43" w:rsidR="0074276E" w:rsidRPr="00F03C54" w:rsidRDefault="00615769" w:rsidP="004462A0">
      <w:pPr>
        <w:ind w:right="-2"/>
        <w:rPr>
          <w:del w:id="14325" w:author="AbbVie2" w:date="2025-05-14T10:24:00Z"/>
          <w:i/>
          <w:sz w:val="22"/>
          <w:szCs w:val="22"/>
        </w:rPr>
      </w:pPr>
      <w:del w:id="14326" w:author="AbbVie2" w:date="2025-05-14T10:24:00Z">
        <w:r w:rsidRPr="00F03C54">
          <w:rPr>
            <w:i/>
            <w:sz w:val="22"/>
            <w:szCs w:val="22"/>
          </w:rPr>
          <w:delText>Crianças e adolescentes entre os 6 e os 17 anos de idade com peso inferior a 40 kg</w:delText>
        </w:r>
      </w:del>
    </w:p>
    <w:p w14:paraId="52F75952" w14:textId="6D5714CB" w:rsidR="004462A0" w:rsidRPr="008912CF" w:rsidRDefault="004462A0" w:rsidP="004462A0">
      <w:pPr>
        <w:ind w:right="34"/>
        <w:rPr>
          <w:del w:id="14327" w:author="AbbVie2" w:date="2025-05-14T10:24:00Z"/>
          <w:bCs/>
          <w:sz w:val="22"/>
          <w:szCs w:val="22"/>
        </w:rPr>
      </w:pPr>
    </w:p>
    <w:p w14:paraId="762A8284" w14:textId="3D14B0FB" w:rsidR="004462A0" w:rsidRPr="008912CF" w:rsidRDefault="00615769" w:rsidP="004462A0">
      <w:pPr>
        <w:ind w:right="34"/>
        <w:rPr>
          <w:del w:id="14328" w:author="AbbVie2" w:date="2025-05-14T10:24:00Z"/>
          <w:bCs/>
          <w:sz w:val="22"/>
          <w:szCs w:val="22"/>
        </w:rPr>
      </w:pPr>
      <w:del w:id="14329" w:author="AbbVie2" w:date="2025-05-14T10:24:00Z">
        <w:r w:rsidRPr="008912CF">
          <w:rPr>
            <w:bCs/>
            <w:sz w:val="22"/>
            <w:szCs w:val="22"/>
          </w:rPr>
          <w:delText>A dose habitual inicial é de 40 mg seguida de 20 mg duas semanas após a dose inicial. Se é necessária uma resposta mais rápida, o médico da sua criança pode prescrever uma dose inicial de 80 mg (</w:delText>
        </w:r>
        <w:r w:rsidR="0074276E">
          <w:rPr>
            <w:bCs/>
            <w:sz w:val="22"/>
            <w:szCs w:val="22"/>
          </w:rPr>
          <w:delText>duas</w:delText>
        </w:r>
        <w:r w:rsidRPr="008912CF">
          <w:rPr>
            <w:sz w:val="22"/>
            <w:szCs w:val="22"/>
          </w:rPr>
          <w:delText xml:space="preserve"> injeções</w:delText>
        </w:r>
        <w:r w:rsidR="00416A8C">
          <w:rPr>
            <w:sz w:val="22"/>
            <w:szCs w:val="22"/>
          </w:rPr>
          <w:delText xml:space="preserve"> de 40 mg</w:delText>
        </w:r>
        <w:r w:rsidRPr="008912CF">
          <w:rPr>
            <w:sz w:val="22"/>
            <w:szCs w:val="22"/>
          </w:rPr>
          <w:delText xml:space="preserve"> num dia) </w:delText>
        </w:r>
        <w:r w:rsidRPr="008912CF">
          <w:rPr>
            <w:bCs/>
            <w:sz w:val="22"/>
            <w:szCs w:val="22"/>
          </w:rPr>
          <w:delText>seguida de 40 mg duas semanas após a dose inicial.</w:delText>
        </w:r>
      </w:del>
    </w:p>
    <w:p w14:paraId="57DDF917" w14:textId="5DD65916" w:rsidR="004462A0" w:rsidRPr="008912CF" w:rsidRDefault="004462A0" w:rsidP="004462A0">
      <w:pPr>
        <w:pStyle w:val="BodyText3"/>
        <w:rPr>
          <w:del w:id="14330" w:author="AbbVie2" w:date="2025-05-14T10:24:00Z"/>
          <w:szCs w:val="22"/>
        </w:rPr>
      </w:pPr>
    </w:p>
    <w:p w14:paraId="79A9BA00" w14:textId="22B570F8" w:rsidR="004462A0" w:rsidRPr="008912CF" w:rsidRDefault="00615769" w:rsidP="004462A0">
      <w:pPr>
        <w:numPr>
          <w:ilvl w:val="12"/>
          <w:numId w:val="0"/>
        </w:numPr>
        <w:ind w:right="-2"/>
        <w:rPr>
          <w:del w:id="14331" w:author="AbbVie2" w:date="2025-05-14T10:24:00Z"/>
          <w:sz w:val="22"/>
          <w:szCs w:val="22"/>
        </w:rPr>
      </w:pPr>
      <w:del w:id="14332" w:author="AbbVie2" w:date="2025-05-14T10:24:00Z">
        <w:r w:rsidRPr="008912CF">
          <w:rPr>
            <w:sz w:val="22"/>
            <w:szCs w:val="22"/>
          </w:rPr>
          <w:delText xml:space="preserve">Depois disso, a dose habitual é de 20 mg em semanas alternadas. Dependendo da resposta </w:delText>
        </w:r>
        <w:r w:rsidR="00983BD6">
          <w:rPr>
            <w:sz w:val="22"/>
            <w:szCs w:val="22"/>
          </w:rPr>
          <w:delText>da sua criança</w:delText>
        </w:r>
        <w:r w:rsidRPr="008912CF">
          <w:rPr>
            <w:sz w:val="22"/>
            <w:szCs w:val="22"/>
          </w:rPr>
          <w:delText>, o médico pode aumentar a dose para 20 mg por semana.</w:delText>
        </w:r>
      </w:del>
    </w:p>
    <w:p w14:paraId="7F51793F" w14:textId="25BB9943" w:rsidR="004462A0" w:rsidRPr="008912CF" w:rsidRDefault="004462A0" w:rsidP="004462A0">
      <w:pPr>
        <w:rPr>
          <w:del w:id="14333" w:author="AbbVie2" w:date="2025-05-14T10:24:00Z"/>
          <w:sz w:val="22"/>
          <w:szCs w:val="22"/>
        </w:rPr>
      </w:pPr>
    </w:p>
    <w:p w14:paraId="73A571C6" w14:textId="19ABDE76" w:rsidR="004462A0" w:rsidRPr="008912CF" w:rsidRDefault="00615769" w:rsidP="00F03C54">
      <w:pPr>
        <w:ind w:right="-2"/>
        <w:rPr>
          <w:del w:id="14334" w:author="AbbVie2" w:date="2025-05-14T10:24:00Z"/>
          <w:bCs/>
          <w:sz w:val="22"/>
          <w:szCs w:val="22"/>
          <w:u w:val="single"/>
        </w:rPr>
      </w:pPr>
      <w:del w:id="14335" w:author="AbbVie2" w:date="2025-05-14T10:24:00Z">
        <w:r w:rsidRPr="00E51FCC">
          <w:rPr>
            <w:i/>
            <w:sz w:val="22"/>
            <w:szCs w:val="22"/>
          </w:rPr>
          <w:delText>Crianças e adolescentes entre os 6 e os 17 anos de idade com peso i</w:delText>
        </w:r>
        <w:r>
          <w:rPr>
            <w:i/>
            <w:sz w:val="22"/>
            <w:szCs w:val="22"/>
          </w:rPr>
          <w:delText>gual ou superior</w:delText>
        </w:r>
        <w:r w:rsidRPr="00E51FCC">
          <w:rPr>
            <w:i/>
            <w:sz w:val="22"/>
            <w:szCs w:val="22"/>
          </w:rPr>
          <w:delText xml:space="preserve"> a 40 kg</w:delText>
        </w:r>
      </w:del>
    </w:p>
    <w:p w14:paraId="2D0ABDEE" w14:textId="71820292" w:rsidR="004462A0" w:rsidRPr="008912CF" w:rsidRDefault="004462A0" w:rsidP="004462A0">
      <w:pPr>
        <w:ind w:right="34"/>
        <w:rPr>
          <w:del w:id="14336" w:author="AbbVie2" w:date="2025-05-14T10:24:00Z"/>
          <w:bCs/>
          <w:sz w:val="22"/>
          <w:szCs w:val="22"/>
        </w:rPr>
      </w:pPr>
    </w:p>
    <w:p w14:paraId="102516D3" w14:textId="25E3AD8A" w:rsidR="004462A0" w:rsidRPr="008912CF" w:rsidRDefault="00615769" w:rsidP="004462A0">
      <w:pPr>
        <w:ind w:right="34"/>
        <w:rPr>
          <w:del w:id="14337" w:author="AbbVie2" w:date="2025-05-14T10:24:00Z"/>
          <w:bCs/>
          <w:sz w:val="22"/>
          <w:szCs w:val="22"/>
        </w:rPr>
      </w:pPr>
      <w:del w:id="14338" w:author="AbbVie2" w:date="2025-05-14T10:24:00Z">
        <w:r w:rsidRPr="008912CF">
          <w:rPr>
            <w:bCs/>
            <w:sz w:val="22"/>
            <w:szCs w:val="22"/>
          </w:rPr>
          <w:delText xml:space="preserve">A dose habitual inicial é de 80 mg </w:delText>
        </w:r>
        <w:r w:rsidR="0074276E">
          <w:rPr>
            <w:bCs/>
            <w:sz w:val="22"/>
            <w:szCs w:val="22"/>
          </w:rPr>
          <w:delText>(duas injeções</w:delText>
        </w:r>
        <w:r w:rsidR="00416A8C">
          <w:rPr>
            <w:bCs/>
            <w:sz w:val="22"/>
            <w:szCs w:val="22"/>
          </w:rPr>
          <w:delText xml:space="preserve"> de 40 mg</w:delText>
        </w:r>
        <w:r w:rsidR="0074276E">
          <w:rPr>
            <w:bCs/>
            <w:sz w:val="22"/>
            <w:szCs w:val="22"/>
          </w:rPr>
          <w:delText xml:space="preserve"> num dia) </w:delText>
        </w:r>
        <w:r w:rsidRPr="008912CF">
          <w:rPr>
            <w:bCs/>
            <w:sz w:val="22"/>
            <w:szCs w:val="22"/>
          </w:rPr>
          <w:delText>seguida de 40 mg duas semanas após a dose inicial. Nos casos onde é necessária uma resposta mais rápida, o médico da sua criança pode prescrever uma dose inicial de 160 mg (</w:delText>
        </w:r>
        <w:r w:rsidR="0074276E">
          <w:rPr>
            <w:sz w:val="22"/>
            <w:szCs w:val="22"/>
          </w:rPr>
          <w:delText>quatro</w:delText>
        </w:r>
        <w:r w:rsidRPr="008912CF">
          <w:rPr>
            <w:sz w:val="22"/>
            <w:szCs w:val="22"/>
          </w:rPr>
          <w:delText xml:space="preserve"> injeções </w:delText>
        </w:r>
        <w:r w:rsidR="00416A8C">
          <w:rPr>
            <w:sz w:val="22"/>
            <w:szCs w:val="22"/>
          </w:rPr>
          <w:delText xml:space="preserve">de 40 mg </w:delText>
        </w:r>
        <w:r w:rsidRPr="008912CF">
          <w:rPr>
            <w:sz w:val="22"/>
            <w:szCs w:val="22"/>
          </w:rPr>
          <w:delText xml:space="preserve">num dia ou </w:delText>
        </w:r>
        <w:r w:rsidR="0074276E">
          <w:rPr>
            <w:sz w:val="22"/>
            <w:szCs w:val="22"/>
          </w:rPr>
          <w:delText>duas</w:delText>
        </w:r>
        <w:r w:rsidRPr="008912CF">
          <w:rPr>
            <w:sz w:val="22"/>
            <w:szCs w:val="22"/>
          </w:rPr>
          <w:delText xml:space="preserve"> injeções</w:delText>
        </w:r>
        <w:r w:rsidR="00E46082">
          <w:rPr>
            <w:sz w:val="22"/>
            <w:szCs w:val="22"/>
          </w:rPr>
          <w:delText xml:space="preserve"> de 40 mg</w:delText>
        </w:r>
        <w:r w:rsidRPr="008912CF">
          <w:rPr>
            <w:sz w:val="22"/>
            <w:szCs w:val="22"/>
          </w:rPr>
          <w:delText xml:space="preserve"> por dia em dois dias consecutivos) </w:delText>
        </w:r>
        <w:r w:rsidRPr="008912CF">
          <w:rPr>
            <w:bCs/>
            <w:sz w:val="22"/>
            <w:szCs w:val="22"/>
          </w:rPr>
          <w:delText>seguida de 80 mg</w:delText>
        </w:r>
        <w:r w:rsidR="0074276E">
          <w:rPr>
            <w:bCs/>
            <w:sz w:val="22"/>
            <w:szCs w:val="22"/>
          </w:rPr>
          <w:delText xml:space="preserve"> (duas injeções </w:delText>
        </w:r>
        <w:r w:rsidR="00416A8C">
          <w:rPr>
            <w:bCs/>
            <w:sz w:val="22"/>
            <w:szCs w:val="22"/>
          </w:rPr>
          <w:delText xml:space="preserve">de 40 mg </w:delText>
        </w:r>
        <w:r w:rsidR="0074276E">
          <w:rPr>
            <w:bCs/>
            <w:sz w:val="22"/>
            <w:szCs w:val="22"/>
          </w:rPr>
          <w:delText>num dia)</w:delText>
        </w:r>
        <w:r w:rsidRPr="008912CF">
          <w:rPr>
            <w:bCs/>
            <w:sz w:val="22"/>
            <w:szCs w:val="22"/>
          </w:rPr>
          <w:delText xml:space="preserve"> duas semanas após a dose inicial.</w:delText>
        </w:r>
      </w:del>
    </w:p>
    <w:p w14:paraId="79E95B70" w14:textId="2A8546B6" w:rsidR="004462A0" w:rsidRPr="008912CF" w:rsidRDefault="004462A0" w:rsidP="004462A0">
      <w:pPr>
        <w:pStyle w:val="BodyText3"/>
        <w:rPr>
          <w:del w:id="14339" w:author="AbbVie2" w:date="2025-05-14T10:24:00Z"/>
          <w:szCs w:val="22"/>
        </w:rPr>
      </w:pPr>
    </w:p>
    <w:p w14:paraId="0865E023" w14:textId="3CBDE287" w:rsidR="004462A0" w:rsidRPr="008912CF" w:rsidRDefault="00615769" w:rsidP="004462A0">
      <w:pPr>
        <w:numPr>
          <w:ilvl w:val="12"/>
          <w:numId w:val="0"/>
        </w:numPr>
        <w:ind w:right="-2"/>
        <w:rPr>
          <w:del w:id="14340" w:author="AbbVie2" w:date="2025-05-14T10:24:00Z"/>
          <w:sz w:val="22"/>
          <w:szCs w:val="22"/>
        </w:rPr>
      </w:pPr>
      <w:del w:id="14341" w:author="AbbVie2" w:date="2025-05-14T10:24:00Z">
        <w:r w:rsidRPr="008912CF">
          <w:rPr>
            <w:sz w:val="22"/>
            <w:szCs w:val="22"/>
          </w:rPr>
          <w:delText xml:space="preserve">Depois disso, a dose habitual é de 40 mg em semanas alternadas. Dependendo da resposta </w:delText>
        </w:r>
        <w:r w:rsidR="00983BD6">
          <w:rPr>
            <w:sz w:val="22"/>
            <w:szCs w:val="22"/>
          </w:rPr>
          <w:delText>da sua criança</w:delText>
        </w:r>
        <w:r w:rsidRPr="008912CF">
          <w:rPr>
            <w:sz w:val="22"/>
            <w:szCs w:val="22"/>
          </w:rPr>
          <w:delText>, o médico pode aumentar a dose para 40 mg por semana</w:delText>
        </w:r>
        <w:r w:rsidR="00416A8C">
          <w:rPr>
            <w:sz w:val="22"/>
            <w:szCs w:val="22"/>
          </w:rPr>
          <w:delText xml:space="preserve"> ou 80 mg em semanas alternadas</w:delText>
        </w:r>
        <w:r w:rsidRPr="008912CF">
          <w:rPr>
            <w:sz w:val="22"/>
            <w:szCs w:val="22"/>
          </w:rPr>
          <w:delText>.</w:delText>
        </w:r>
      </w:del>
    </w:p>
    <w:p w14:paraId="47544959" w14:textId="5BA822F8" w:rsidR="004462A0" w:rsidRPr="008912CF" w:rsidRDefault="004462A0" w:rsidP="004462A0">
      <w:pPr>
        <w:rPr>
          <w:del w:id="14342" w:author="AbbVie2" w:date="2025-05-14T10:24:00Z"/>
          <w:bCs/>
          <w:iCs/>
          <w:sz w:val="22"/>
          <w:szCs w:val="22"/>
        </w:rPr>
      </w:pPr>
    </w:p>
    <w:p w14:paraId="078EC2BD" w14:textId="5E6071B4" w:rsidR="004462A0" w:rsidRPr="008912CF" w:rsidRDefault="00615769" w:rsidP="004462A0">
      <w:pPr>
        <w:numPr>
          <w:ilvl w:val="12"/>
          <w:numId w:val="0"/>
        </w:numPr>
        <w:ind w:right="-2"/>
        <w:rPr>
          <w:del w:id="14343" w:author="AbbVie2" w:date="2025-05-14T10:24:00Z"/>
          <w:sz w:val="22"/>
          <w:szCs w:val="22"/>
          <w:u w:val="single"/>
        </w:rPr>
      </w:pPr>
      <w:del w:id="14344" w:author="AbbVie2" w:date="2025-05-14T10:24:00Z">
        <w:r w:rsidRPr="008912CF">
          <w:rPr>
            <w:sz w:val="22"/>
            <w:szCs w:val="22"/>
            <w:u w:val="single"/>
          </w:rPr>
          <w:delText>Adultos com colite ulcerosa</w:delText>
        </w:r>
      </w:del>
    </w:p>
    <w:p w14:paraId="0AD17340" w14:textId="34F6E5C6" w:rsidR="004462A0" w:rsidRPr="008912CF" w:rsidRDefault="004462A0" w:rsidP="004462A0">
      <w:pPr>
        <w:pStyle w:val="BodyText3"/>
        <w:rPr>
          <w:del w:id="14345" w:author="AbbVie2" w:date="2025-05-14T10:24:00Z"/>
          <w:szCs w:val="22"/>
        </w:rPr>
      </w:pPr>
    </w:p>
    <w:p w14:paraId="203F26A2" w14:textId="51AAB31D" w:rsidR="004462A0" w:rsidRPr="008912CF" w:rsidRDefault="00615769" w:rsidP="004462A0">
      <w:pPr>
        <w:pStyle w:val="BodyText3"/>
        <w:rPr>
          <w:del w:id="14346" w:author="AbbVie2" w:date="2025-05-14T10:24:00Z"/>
          <w:szCs w:val="22"/>
        </w:rPr>
      </w:pPr>
      <w:del w:id="14347" w:author="AbbVie2" w:date="2025-05-14T10:24:00Z">
        <w:r w:rsidRPr="008912CF">
          <w:rPr>
            <w:szCs w:val="22"/>
          </w:rPr>
          <w:delText xml:space="preserve">A dose habitual em adultos com colite ulcerosa é de 160 mg </w:delText>
        </w:r>
        <w:r w:rsidR="0074276E">
          <w:rPr>
            <w:szCs w:val="22"/>
          </w:rPr>
          <w:delText xml:space="preserve">(quatro injeções </w:delText>
        </w:r>
        <w:r w:rsidR="00416A8C">
          <w:rPr>
            <w:szCs w:val="22"/>
          </w:rPr>
          <w:delText xml:space="preserve">de 40 mg </w:delText>
        </w:r>
        <w:r w:rsidR="0074276E">
          <w:rPr>
            <w:szCs w:val="22"/>
          </w:rPr>
          <w:delText xml:space="preserve">num dia ou duas injeções </w:delText>
        </w:r>
        <w:r w:rsidR="00416A8C">
          <w:rPr>
            <w:szCs w:val="22"/>
          </w:rPr>
          <w:delText xml:space="preserve">de 40 mg </w:delText>
        </w:r>
        <w:r w:rsidR="0074276E">
          <w:rPr>
            <w:szCs w:val="22"/>
          </w:rPr>
          <w:delText xml:space="preserve">por dia em dois dias consecutivos) </w:delText>
        </w:r>
        <w:r w:rsidRPr="008912CF">
          <w:rPr>
            <w:szCs w:val="22"/>
          </w:rPr>
          <w:delText xml:space="preserve">na Semana 0 e 80 mg </w:delText>
        </w:r>
        <w:r w:rsidR="0074276E">
          <w:rPr>
            <w:szCs w:val="22"/>
          </w:rPr>
          <w:delText>(duas injeções</w:delText>
        </w:r>
        <w:r w:rsidR="00416A8C">
          <w:rPr>
            <w:szCs w:val="22"/>
          </w:rPr>
          <w:delText xml:space="preserve"> de 40 mg</w:delText>
        </w:r>
        <w:r w:rsidR="0074276E">
          <w:rPr>
            <w:szCs w:val="22"/>
          </w:rPr>
          <w:delText xml:space="preserve"> num dia) </w:delText>
        </w:r>
        <w:r w:rsidRPr="008912CF">
          <w:rPr>
            <w:szCs w:val="22"/>
          </w:rPr>
          <w:delText>na Semana 2 e depois disso 40 mg em semanas alternadas. Dependendo da sua resposta, o médico pode aumentar a dose para 40 mg por semana</w:delText>
        </w:r>
        <w:r w:rsidR="00416A8C">
          <w:rPr>
            <w:szCs w:val="22"/>
          </w:rPr>
          <w:delText xml:space="preserve"> ou 80 mg em semanas alternadas</w:delText>
        </w:r>
        <w:r w:rsidRPr="008912CF">
          <w:rPr>
            <w:szCs w:val="22"/>
          </w:rPr>
          <w:delText>.</w:delText>
        </w:r>
      </w:del>
    </w:p>
    <w:p w14:paraId="31B9DA29" w14:textId="1CA65387" w:rsidR="004462A0" w:rsidRDefault="004462A0" w:rsidP="004462A0">
      <w:pPr>
        <w:pStyle w:val="BodyText3"/>
        <w:rPr>
          <w:del w:id="14348" w:author="AbbVie2" w:date="2025-05-14T10:24:00Z"/>
        </w:rPr>
      </w:pPr>
    </w:p>
    <w:p w14:paraId="41F33168" w14:textId="1151D518" w:rsidR="006A5654" w:rsidRPr="006A5654" w:rsidRDefault="00615769" w:rsidP="006A5654">
      <w:pPr>
        <w:numPr>
          <w:ilvl w:val="12"/>
          <w:numId w:val="0"/>
        </w:numPr>
        <w:ind w:right="-2"/>
        <w:rPr>
          <w:del w:id="14349" w:author="AbbVie2" w:date="2025-05-14T10:24:00Z"/>
          <w:sz w:val="22"/>
          <w:szCs w:val="22"/>
          <w:u w:val="single"/>
        </w:rPr>
      </w:pPr>
      <w:del w:id="14350" w:author="AbbVie2" w:date="2025-05-14T10:24:00Z">
        <w:r w:rsidRPr="006A5654">
          <w:rPr>
            <w:sz w:val="22"/>
            <w:szCs w:val="22"/>
            <w:u w:val="single"/>
          </w:rPr>
          <w:delText>Crianças e adolescentes com colite ulcerosa</w:delText>
        </w:r>
      </w:del>
    </w:p>
    <w:p w14:paraId="29BB4CCE" w14:textId="0B68B13F" w:rsidR="006A5654" w:rsidRPr="006A5654" w:rsidRDefault="006A5654" w:rsidP="006A5654">
      <w:pPr>
        <w:numPr>
          <w:ilvl w:val="12"/>
          <w:numId w:val="0"/>
        </w:numPr>
        <w:ind w:right="-2"/>
        <w:rPr>
          <w:del w:id="14351" w:author="AbbVie2" w:date="2025-05-14T10:24:00Z"/>
          <w:sz w:val="22"/>
          <w:szCs w:val="22"/>
        </w:rPr>
      </w:pPr>
    </w:p>
    <w:p w14:paraId="117E5581" w14:textId="080AC93B" w:rsidR="006A5654" w:rsidRPr="006A5654" w:rsidRDefault="00615769" w:rsidP="006A5654">
      <w:pPr>
        <w:numPr>
          <w:ilvl w:val="12"/>
          <w:numId w:val="0"/>
        </w:numPr>
        <w:ind w:right="-2"/>
        <w:rPr>
          <w:del w:id="14352" w:author="AbbVie2" w:date="2025-05-14T10:24:00Z"/>
          <w:i/>
          <w:iCs/>
          <w:sz w:val="22"/>
          <w:szCs w:val="22"/>
        </w:rPr>
      </w:pPr>
      <w:del w:id="14353" w:author="AbbVie2" w:date="2025-05-14T10:24:00Z">
        <w:r w:rsidRPr="006A5654">
          <w:rPr>
            <w:i/>
            <w:iCs/>
            <w:sz w:val="22"/>
            <w:szCs w:val="22"/>
          </w:rPr>
          <w:delText>Crianças e adolescentes a partir dos 6 anos de idade com peso inferior a 40 kg</w:delText>
        </w:r>
      </w:del>
    </w:p>
    <w:p w14:paraId="36A2E119" w14:textId="20D69887" w:rsidR="006A5654" w:rsidRPr="006A5654" w:rsidRDefault="006A5654" w:rsidP="006A5654">
      <w:pPr>
        <w:numPr>
          <w:ilvl w:val="12"/>
          <w:numId w:val="0"/>
        </w:numPr>
        <w:ind w:right="-2"/>
        <w:rPr>
          <w:del w:id="14354" w:author="AbbVie2" w:date="2025-05-14T10:24:00Z"/>
          <w:sz w:val="22"/>
          <w:szCs w:val="22"/>
        </w:rPr>
      </w:pPr>
    </w:p>
    <w:p w14:paraId="21A24E81" w14:textId="7C03213D" w:rsidR="006A5654" w:rsidRPr="006A5654" w:rsidRDefault="00615769" w:rsidP="006A5654">
      <w:pPr>
        <w:numPr>
          <w:ilvl w:val="12"/>
          <w:numId w:val="0"/>
        </w:numPr>
        <w:ind w:right="-2"/>
        <w:rPr>
          <w:del w:id="14355" w:author="AbbVie2" w:date="2025-05-14T10:24:00Z"/>
          <w:sz w:val="22"/>
          <w:szCs w:val="22"/>
        </w:rPr>
      </w:pPr>
      <w:del w:id="14356" w:author="AbbVie2" w:date="2025-05-14T10:24:00Z">
        <w:r w:rsidRPr="006A5654">
          <w:rPr>
            <w:sz w:val="22"/>
            <w:szCs w:val="22"/>
          </w:rPr>
          <w:delText xml:space="preserve">A dose habitual de Humira é de uma dose inicial de 80 mg (duas injeções de 40 mg num dia), seguida de 40 mg (uma injeção de 40 mg) duas semanas após a dose inicial. Depois disso, a dose habitual é de 40 mg em semanas alternadas. </w:delText>
        </w:r>
      </w:del>
    </w:p>
    <w:p w14:paraId="6AAA7D35" w14:textId="1F1F1A79" w:rsidR="006A5654" w:rsidRPr="006A5654" w:rsidRDefault="006A5654" w:rsidP="006A5654">
      <w:pPr>
        <w:numPr>
          <w:ilvl w:val="12"/>
          <w:numId w:val="0"/>
        </w:numPr>
        <w:ind w:right="-2"/>
        <w:rPr>
          <w:del w:id="14357" w:author="AbbVie2" w:date="2025-05-14T10:24:00Z"/>
          <w:sz w:val="22"/>
          <w:szCs w:val="22"/>
        </w:rPr>
      </w:pPr>
    </w:p>
    <w:p w14:paraId="29924BFF" w14:textId="54FF39D2" w:rsidR="006A5654" w:rsidRPr="006A5654" w:rsidRDefault="00615769" w:rsidP="006A5654">
      <w:pPr>
        <w:numPr>
          <w:ilvl w:val="12"/>
          <w:numId w:val="0"/>
        </w:numPr>
        <w:ind w:right="-2"/>
        <w:rPr>
          <w:del w:id="14358" w:author="AbbVie2" w:date="2025-05-14T10:24:00Z"/>
          <w:sz w:val="22"/>
          <w:szCs w:val="22"/>
        </w:rPr>
      </w:pPr>
      <w:del w:id="14359" w:author="AbbVie2" w:date="2025-05-14T10:24:00Z">
        <w:r w:rsidRPr="006A5654">
          <w:rPr>
            <w:sz w:val="22"/>
            <w:szCs w:val="22"/>
          </w:rPr>
          <w:delText>Os doentes pediátricos que completem 18 anos de idade durante o tratamento com 40 mg em semanas alternadas devem continuar com a dose prescrita.</w:delText>
        </w:r>
      </w:del>
    </w:p>
    <w:p w14:paraId="6C7A4522" w14:textId="5E5A21A7" w:rsidR="006A5654" w:rsidRPr="006A5654" w:rsidRDefault="006A5654" w:rsidP="006A5654">
      <w:pPr>
        <w:numPr>
          <w:ilvl w:val="12"/>
          <w:numId w:val="0"/>
        </w:numPr>
        <w:ind w:right="-2"/>
        <w:rPr>
          <w:del w:id="14360" w:author="AbbVie2" w:date="2025-05-14T10:24:00Z"/>
          <w:sz w:val="22"/>
          <w:szCs w:val="22"/>
        </w:rPr>
      </w:pPr>
    </w:p>
    <w:p w14:paraId="29BB1ED7" w14:textId="55C4F014" w:rsidR="006A5654" w:rsidRPr="006A5654" w:rsidRDefault="00615769" w:rsidP="006A5654">
      <w:pPr>
        <w:numPr>
          <w:ilvl w:val="12"/>
          <w:numId w:val="0"/>
        </w:numPr>
        <w:ind w:right="-2"/>
        <w:rPr>
          <w:del w:id="14361" w:author="AbbVie2" w:date="2025-05-14T10:24:00Z"/>
          <w:i/>
          <w:iCs/>
          <w:sz w:val="22"/>
          <w:szCs w:val="22"/>
        </w:rPr>
      </w:pPr>
      <w:del w:id="14362" w:author="AbbVie2" w:date="2025-05-14T10:24:00Z">
        <w:r w:rsidRPr="006A5654">
          <w:rPr>
            <w:i/>
            <w:iCs/>
            <w:sz w:val="22"/>
            <w:szCs w:val="22"/>
          </w:rPr>
          <w:delText>Crianças e adolescentes a partir dos 6 anos de idade com peso igual ou superior a 40 kg</w:delText>
        </w:r>
      </w:del>
    </w:p>
    <w:p w14:paraId="0A9AF0C1" w14:textId="7F3B0F05" w:rsidR="006A5654" w:rsidRPr="006A5654" w:rsidRDefault="006A5654" w:rsidP="006A5654">
      <w:pPr>
        <w:numPr>
          <w:ilvl w:val="12"/>
          <w:numId w:val="0"/>
        </w:numPr>
        <w:ind w:right="-2"/>
        <w:rPr>
          <w:del w:id="14363" w:author="AbbVie2" w:date="2025-05-14T10:24:00Z"/>
          <w:i/>
          <w:iCs/>
          <w:sz w:val="22"/>
          <w:szCs w:val="22"/>
        </w:rPr>
      </w:pPr>
    </w:p>
    <w:p w14:paraId="7512DD00" w14:textId="2AC74F83" w:rsidR="006A5654" w:rsidRPr="006A5654" w:rsidRDefault="00615769" w:rsidP="006A5654">
      <w:pPr>
        <w:numPr>
          <w:ilvl w:val="12"/>
          <w:numId w:val="0"/>
        </w:numPr>
        <w:ind w:right="-2"/>
        <w:rPr>
          <w:del w:id="14364" w:author="AbbVie2" w:date="2025-05-14T10:24:00Z"/>
          <w:sz w:val="22"/>
          <w:szCs w:val="22"/>
        </w:rPr>
      </w:pPr>
      <w:del w:id="14365" w:author="AbbVie2" w:date="2025-05-14T10:24:00Z">
        <w:r w:rsidRPr="006A5654">
          <w:rPr>
            <w:sz w:val="22"/>
            <w:szCs w:val="22"/>
          </w:rPr>
          <w:delText xml:space="preserve">A dose habitual de Humira é de uma dose inicial de 160 mg (quatro injeções de 40 mg num dia ou duas injeções de 40 mg por dia, em dois dias consecutivos), seguida de 80 mg (duas injeções de 40 mg num dia) duas semanas após a dose inicial. Depois disso, a dose habitual é de 80 mg em semanas alternadas. </w:delText>
        </w:r>
      </w:del>
    </w:p>
    <w:p w14:paraId="6FB52E60" w14:textId="3B422104" w:rsidR="006A5654" w:rsidRPr="006A5654" w:rsidRDefault="006A5654" w:rsidP="006A5654">
      <w:pPr>
        <w:numPr>
          <w:ilvl w:val="12"/>
          <w:numId w:val="0"/>
        </w:numPr>
        <w:ind w:right="-2"/>
        <w:rPr>
          <w:del w:id="14366" w:author="AbbVie2" w:date="2025-05-14T10:24:00Z"/>
          <w:sz w:val="22"/>
          <w:szCs w:val="22"/>
        </w:rPr>
      </w:pPr>
    </w:p>
    <w:p w14:paraId="14C10FF0" w14:textId="67E82CCF" w:rsidR="006A5654" w:rsidRPr="006A5654" w:rsidRDefault="00615769" w:rsidP="006A5654">
      <w:pPr>
        <w:numPr>
          <w:ilvl w:val="12"/>
          <w:numId w:val="0"/>
        </w:numPr>
        <w:ind w:right="-2"/>
        <w:rPr>
          <w:del w:id="14367" w:author="AbbVie2" w:date="2025-05-14T10:24:00Z"/>
          <w:sz w:val="22"/>
          <w:szCs w:val="22"/>
        </w:rPr>
      </w:pPr>
      <w:del w:id="14368" w:author="AbbVie2" w:date="2025-05-14T10:24:00Z">
        <w:r w:rsidRPr="006A5654">
          <w:rPr>
            <w:sz w:val="22"/>
            <w:szCs w:val="22"/>
          </w:rPr>
          <w:delText>Os doentes pediátricos que completem 18 anos de idade durante o tratamento com 80 mg em semanas alternadas devem continuar com a dose prescrita.</w:delText>
        </w:r>
      </w:del>
    </w:p>
    <w:p w14:paraId="4D8D35CA" w14:textId="510BFF9A" w:rsidR="006A5654" w:rsidRPr="006A5654" w:rsidRDefault="006A5654" w:rsidP="006A5654">
      <w:pPr>
        <w:numPr>
          <w:ilvl w:val="12"/>
          <w:numId w:val="0"/>
        </w:numPr>
        <w:ind w:right="-2"/>
        <w:rPr>
          <w:del w:id="14369" w:author="AbbVie2" w:date="2025-05-14T10:24:00Z"/>
          <w:u w:val="single"/>
        </w:rPr>
      </w:pPr>
    </w:p>
    <w:p w14:paraId="3D556ACA" w14:textId="1BB6B778" w:rsidR="004462A0" w:rsidRDefault="00615769" w:rsidP="004462A0">
      <w:pPr>
        <w:pStyle w:val="BodyText3"/>
        <w:keepNext/>
        <w:rPr>
          <w:del w:id="14370" w:author="AbbVie2" w:date="2025-05-14T10:24:00Z"/>
          <w:u w:val="single"/>
        </w:rPr>
      </w:pPr>
      <w:del w:id="14371" w:author="AbbVie2" w:date="2025-05-14T10:24:00Z">
        <w:r w:rsidRPr="005972D0">
          <w:rPr>
            <w:u w:val="single"/>
          </w:rPr>
          <w:delText>Adultos com uveíte não</w:delText>
        </w:r>
        <w:r>
          <w:rPr>
            <w:u w:val="single"/>
          </w:rPr>
          <w:delText xml:space="preserve"> </w:delText>
        </w:r>
        <w:r w:rsidRPr="005972D0">
          <w:rPr>
            <w:u w:val="single"/>
          </w:rPr>
          <w:delText>infe</w:delText>
        </w:r>
        <w:r>
          <w:rPr>
            <w:u w:val="single"/>
          </w:rPr>
          <w:delText>c</w:delText>
        </w:r>
        <w:r w:rsidRPr="005972D0">
          <w:rPr>
            <w:u w:val="single"/>
          </w:rPr>
          <w:delText>ciosa</w:delText>
        </w:r>
      </w:del>
    </w:p>
    <w:p w14:paraId="10EE8A26" w14:textId="4BA94797" w:rsidR="004462A0" w:rsidRDefault="004462A0" w:rsidP="004462A0">
      <w:pPr>
        <w:pStyle w:val="BodyText3"/>
        <w:keepNext/>
        <w:rPr>
          <w:del w:id="14372" w:author="AbbVie2" w:date="2025-05-14T10:24:00Z"/>
          <w:u w:val="single"/>
        </w:rPr>
      </w:pPr>
    </w:p>
    <w:p w14:paraId="2A368137" w14:textId="1F4142C7" w:rsidR="004462A0" w:rsidRPr="00DE2803" w:rsidRDefault="00615769" w:rsidP="004462A0">
      <w:pPr>
        <w:pStyle w:val="BodyText3"/>
        <w:keepNext/>
        <w:rPr>
          <w:del w:id="14373" w:author="AbbVie2" w:date="2025-05-14T10:24:00Z"/>
        </w:rPr>
      </w:pPr>
      <w:del w:id="14374" w:author="AbbVie2" w:date="2025-05-14T10:24:00Z">
        <w:r w:rsidRPr="00DE2803">
          <w:delText>A dose habitual inicial em adultos com uveíte não infecciosa é de 80</w:delText>
        </w:r>
        <w:r>
          <w:delText> </w:delText>
        </w:r>
        <w:r w:rsidRPr="00DE2803">
          <w:delText>mg</w:delText>
        </w:r>
        <w:r w:rsidR="00B83476">
          <w:delText xml:space="preserve"> (duas injeções num dia)</w:delText>
        </w:r>
        <w:r w:rsidRPr="00DE2803">
          <w:delText xml:space="preserve">, seguida de </w:delText>
        </w:r>
        <w:r w:rsidRPr="009B116D">
          <w:delText xml:space="preserve">40 mg </w:delText>
        </w:r>
        <w:r w:rsidRPr="00DE2803">
          <w:delText>em semanas alternadas, uma semana após a dose inicial. Deve continuar a administrar Humira durante o tempo que lhe foi indicado pelo seu médico.</w:delText>
        </w:r>
      </w:del>
    </w:p>
    <w:p w14:paraId="0807D14F" w14:textId="25AB9EA4" w:rsidR="004462A0" w:rsidRPr="00DE2803" w:rsidRDefault="004462A0" w:rsidP="004462A0">
      <w:pPr>
        <w:pStyle w:val="BodyText3"/>
        <w:rPr>
          <w:del w:id="14375" w:author="AbbVie2" w:date="2025-05-14T10:24:00Z"/>
        </w:rPr>
      </w:pPr>
    </w:p>
    <w:p w14:paraId="2EF56B43" w14:textId="2D1DBA81" w:rsidR="004462A0" w:rsidRPr="00DE2803" w:rsidRDefault="00615769" w:rsidP="004462A0">
      <w:pPr>
        <w:pStyle w:val="BodyText3"/>
        <w:rPr>
          <w:del w:id="14376" w:author="AbbVie2" w:date="2025-05-14T10:24:00Z"/>
        </w:rPr>
      </w:pPr>
      <w:del w:id="14377" w:author="AbbVie2" w:date="2025-05-14T10:24:00Z">
        <w:r w:rsidRPr="00DE2803">
          <w:delText>Na uveíte não infecciosa, pode continuar a utilizar corticosteroides ou outros medicamentos que influenciam o sistema imunitário enquanto usa Humira. Humira pode ser usado isoladamente.</w:delText>
        </w:r>
      </w:del>
    </w:p>
    <w:p w14:paraId="1820BF96" w14:textId="6888B5FC" w:rsidR="00FE24B0" w:rsidRDefault="00FE24B0" w:rsidP="00FE24B0">
      <w:pPr>
        <w:pStyle w:val="BodyText3"/>
        <w:rPr>
          <w:del w:id="14378" w:author="AbbVie2" w:date="2025-05-14T10:24:00Z"/>
        </w:rPr>
      </w:pPr>
    </w:p>
    <w:p w14:paraId="3B629397" w14:textId="7F67C4A4" w:rsidR="00FE24B0" w:rsidRPr="004D4741" w:rsidRDefault="00615769" w:rsidP="00FE24B0">
      <w:pPr>
        <w:ind w:right="-2"/>
        <w:rPr>
          <w:del w:id="14379" w:author="AbbVie2" w:date="2025-05-14T10:24:00Z"/>
          <w:sz w:val="22"/>
          <w:szCs w:val="22"/>
          <w:u w:val="single"/>
        </w:rPr>
      </w:pPr>
      <w:del w:id="14380" w:author="AbbVie2" w:date="2025-05-14T10:24:00Z">
        <w:r w:rsidRPr="004D4741">
          <w:rPr>
            <w:sz w:val="22"/>
            <w:szCs w:val="22"/>
            <w:u w:val="single"/>
          </w:rPr>
          <w:delText xml:space="preserve">Crianças </w:delText>
        </w:r>
        <w:r w:rsidR="00B83476">
          <w:rPr>
            <w:sz w:val="22"/>
            <w:szCs w:val="22"/>
            <w:u w:val="single"/>
          </w:rPr>
          <w:delText xml:space="preserve">e adolescentes </w:delText>
        </w:r>
        <w:r w:rsidRPr="004D4741">
          <w:rPr>
            <w:sz w:val="22"/>
            <w:szCs w:val="22"/>
            <w:u w:val="single"/>
          </w:rPr>
          <w:delText xml:space="preserve">com uveíte </w:delText>
        </w:r>
        <w:r w:rsidR="00835DDA" w:rsidRPr="004D4741">
          <w:rPr>
            <w:sz w:val="22"/>
            <w:szCs w:val="22"/>
            <w:u w:val="single"/>
          </w:rPr>
          <w:delText>não infecciosa</w:delText>
        </w:r>
        <w:r w:rsidR="00835DDA">
          <w:rPr>
            <w:sz w:val="22"/>
            <w:szCs w:val="22"/>
            <w:u w:val="single"/>
          </w:rPr>
          <w:delText>,</w:delText>
        </w:r>
        <w:r w:rsidR="00835DDA" w:rsidRPr="004D4741">
          <w:rPr>
            <w:sz w:val="22"/>
            <w:szCs w:val="22"/>
            <w:u w:val="single"/>
          </w:rPr>
          <w:delText xml:space="preserve"> </w:delText>
        </w:r>
        <w:r w:rsidRPr="004D4741">
          <w:rPr>
            <w:sz w:val="22"/>
            <w:szCs w:val="22"/>
            <w:u w:val="single"/>
          </w:rPr>
          <w:delText>crónica</w:delText>
        </w:r>
        <w:r w:rsidR="00835DDA">
          <w:rPr>
            <w:sz w:val="22"/>
            <w:szCs w:val="22"/>
            <w:u w:val="single"/>
          </w:rPr>
          <w:delText>,</w:delText>
        </w:r>
        <w:r w:rsidRPr="004D4741">
          <w:rPr>
            <w:sz w:val="22"/>
            <w:szCs w:val="22"/>
            <w:u w:val="single"/>
          </w:rPr>
          <w:delText xml:space="preserve"> a partir dos 2</w:delText>
        </w:r>
        <w:r>
          <w:rPr>
            <w:sz w:val="22"/>
            <w:szCs w:val="22"/>
            <w:u w:val="single"/>
          </w:rPr>
          <w:delText> </w:delText>
        </w:r>
        <w:r w:rsidRPr="004D4741">
          <w:rPr>
            <w:sz w:val="22"/>
            <w:szCs w:val="22"/>
            <w:u w:val="single"/>
          </w:rPr>
          <w:delText>anos de idade</w:delText>
        </w:r>
      </w:del>
    </w:p>
    <w:p w14:paraId="4FC4E73D" w14:textId="4AEFB7E5" w:rsidR="00FE24B0" w:rsidRDefault="00FE24B0" w:rsidP="00FE24B0">
      <w:pPr>
        <w:ind w:right="-2"/>
        <w:rPr>
          <w:del w:id="14381" w:author="AbbVie2" w:date="2025-05-14T10:24:00Z"/>
          <w:sz w:val="22"/>
          <w:szCs w:val="22"/>
        </w:rPr>
      </w:pPr>
    </w:p>
    <w:p w14:paraId="4FE7F1C4" w14:textId="56823FF4" w:rsidR="00FE0090" w:rsidRPr="00E51FCC" w:rsidRDefault="00615769" w:rsidP="00FE0090">
      <w:pPr>
        <w:pStyle w:val="BodyText3"/>
        <w:rPr>
          <w:del w:id="14382" w:author="AbbVie2" w:date="2025-05-14T10:24:00Z"/>
          <w:i/>
          <w:szCs w:val="22"/>
        </w:rPr>
      </w:pPr>
      <w:del w:id="14383" w:author="AbbVie2" w:date="2025-05-14T10:24:00Z">
        <w:r w:rsidRPr="00E51FCC">
          <w:rPr>
            <w:i/>
            <w:szCs w:val="22"/>
          </w:rPr>
          <w:delText>Crianças e adolescentes a partir dos 2 anos de idade com peso inferior a 30 kg</w:delText>
        </w:r>
      </w:del>
    </w:p>
    <w:p w14:paraId="1032C78B" w14:textId="5DDC6169" w:rsidR="00FE24B0" w:rsidRPr="004D4741" w:rsidRDefault="00FE24B0" w:rsidP="00FE24B0">
      <w:pPr>
        <w:ind w:right="-2"/>
        <w:rPr>
          <w:del w:id="14384" w:author="AbbVie2" w:date="2025-05-14T10:24:00Z"/>
          <w:sz w:val="22"/>
          <w:szCs w:val="22"/>
          <w:u w:val="single"/>
        </w:rPr>
      </w:pPr>
    </w:p>
    <w:p w14:paraId="071DE316" w14:textId="7E4DCB71" w:rsidR="00FE24B0" w:rsidRDefault="00615769" w:rsidP="00FE24B0">
      <w:pPr>
        <w:ind w:right="-2"/>
        <w:rPr>
          <w:del w:id="14385" w:author="AbbVie2" w:date="2025-05-14T10:24:00Z"/>
          <w:bCs/>
          <w:sz w:val="22"/>
          <w:szCs w:val="22"/>
        </w:rPr>
      </w:pPr>
      <w:del w:id="14386" w:author="AbbVie2" w:date="2025-05-14T10:24:00Z">
        <w:r w:rsidRPr="008912CF">
          <w:rPr>
            <w:bCs/>
            <w:sz w:val="22"/>
            <w:szCs w:val="22"/>
          </w:rPr>
          <w:delText xml:space="preserve">A dose habitual </w:delText>
        </w:r>
        <w:r>
          <w:rPr>
            <w:bCs/>
            <w:sz w:val="22"/>
            <w:szCs w:val="22"/>
          </w:rPr>
          <w:delText xml:space="preserve">de Humira </w:delText>
        </w:r>
        <w:r w:rsidRPr="008912CF">
          <w:rPr>
            <w:bCs/>
            <w:sz w:val="22"/>
            <w:szCs w:val="22"/>
          </w:rPr>
          <w:delText xml:space="preserve">é de </w:delText>
        </w:r>
        <w:r>
          <w:rPr>
            <w:bCs/>
            <w:sz w:val="22"/>
            <w:szCs w:val="22"/>
          </w:rPr>
          <w:delText>2</w:delText>
        </w:r>
        <w:r w:rsidRPr="008912CF">
          <w:rPr>
            <w:bCs/>
            <w:sz w:val="22"/>
            <w:szCs w:val="22"/>
          </w:rPr>
          <w:delText>0 mg</w:delText>
        </w:r>
        <w:r>
          <w:rPr>
            <w:bCs/>
            <w:sz w:val="22"/>
            <w:szCs w:val="22"/>
          </w:rPr>
          <w:delText xml:space="preserve"> em semanas alternadas com metotrexato.</w:delText>
        </w:r>
      </w:del>
    </w:p>
    <w:p w14:paraId="209D7053" w14:textId="0982BBBE" w:rsidR="00FE24B0" w:rsidRDefault="00FE24B0" w:rsidP="00FE24B0">
      <w:pPr>
        <w:ind w:right="-2"/>
        <w:rPr>
          <w:del w:id="14387" w:author="AbbVie2" w:date="2025-05-14T10:24:00Z"/>
          <w:bCs/>
          <w:sz w:val="22"/>
          <w:szCs w:val="22"/>
        </w:rPr>
      </w:pPr>
    </w:p>
    <w:p w14:paraId="52EAF5DF" w14:textId="74989BD0" w:rsidR="00FE24B0" w:rsidRDefault="00615769" w:rsidP="00FE24B0">
      <w:pPr>
        <w:ind w:right="-2"/>
        <w:rPr>
          <w:del w:id="14388" w:author="AbbVie2" w:date="2025-05-14T10:24:00Z"/>
          <w:bCs/>
          <w:sz w:val="22"/>
          <w:szCs w:val="22"/>
        </w:rPr>
      </w:pPr>
      <w:del w:id="14389" w:author="AbbVie2" w:date="2025-05-14T10:24:00Z">
        <w:r>
          <w:rPr>
            <w:bCs/>
            <w:sz w:val="22"/>
            <w:szCs w:val="22"/>
          </w:rPr>
          <w:delText>O</w:delText>
        </w:r>
        <w:r w:rsidRPr="008912CF">
          <w:rPr>
            <w:bCs/>
            <w:sz w:val="22"/>
            <w:szCs w:val="22"/>
          </w:rPr>
          <w:delText xml:space="preserve"> </w:delText>
        </w:r>
        <w:r w:rsidR="00FE0090">
          <w:rPr>
            <w:bCs/>
            <w:sz w:val="22"/>
            <w:szCs w:val="22"/>
          </w:rPr>
          <w:delText xml:space="preserve">seu </w:delText>
        </w:r>
        <w:r w:rsidRPr="008912CF">
          <w:rPr>
            <w:bCs/>
            <w:sz w:val="22"/>
            <w:szCs w:val="22"/>
          </w:rPr>
          <w:delText xml:space="preserve">médico pode </w:delText>
        </w:r>
        <w:r>
          <w:rPr>
            <w:bCs/>
            <w:sz w:val="22"/>
            <w:szCs w:val="22"/>
          </w:rPr>
          <w:delText xml:space="preserve">também </w:delText>
        </w:r>
        <w:r w:rsidRPr="008912CF">
          <w:rPr>
            <w:bCs/>
            <w:sz w:val="22"/>
            <w:szCs w:val="22"/>
          </w:rPr>
          <w:delText>prescrever uma dose inicial de</w:delText>
        </w:r>
        <w:r>
          <w:rPr>
            <w:bCs/>
            <w:sz w:val="22"/>
            <w:szCs w:val="22"/>
          </w:rPr>
          <w:delText xml:space="preserve"> 40 mg que pode ser administrada uma semana</w:delText>
        </w:r>
        <w:r w:rsidR="00E95650">
          <w:rPr>
            <w:bCs/>
            <w:sz w:val="22"/>
            <w:szCs w:val="22"/>
          </w:rPr>
          <w:delText xml:space="preserve"> antes do início da dose habitual</w:delText>
        </w:r>
        <w:r>
          <w:rPr>
            <w:bCs/>
            <w:sz w:val="22"/>
            <w:szCs w:val="22"/>
          </w:rPr>
          <w:delText>.</w:delText>
        </w:r>
      </w:del>
    </w:p>
    <w:p w14:paraId="1AE73E10" w14:textId="1D9E67A9" w:rsidR="00FE24B0" w:rsidRDefault="00FE24B0" w:rsidP="00FE24B0">
      <w:pPr>
        <w:ind w:right="-2"/>
        <w:rPr>
          <w:del w:id="14390" w:author="AbbVie2" w:date="2025-05-14T10:24:00Z"/>
          <w:bCs/>
          <w:sz w:val="22"/>
          <w:szCs w:val="22"/>
        </w:rPr>
      </w:pPr>
    </w:p>
    <w:p w14:paraId="34449B51" w14:textId="1264DD9F" w:rsidR="00FE0090" w:rsidRPr="00E51FCC" w:rsidRDefault="00615769" w:rsidP="00907F74">
      <w:pPr>
        <w:pStyle w:val="BodyText3"/>
        <w:keepNext/>
        <w:rPr>
          <w:del w:id="14391" w:author="AbbVie2" w:date="2025-05-14T10:24:00Z"/>
          <w:i/>
          <w:szCs w:val="22"/>
        </w:rPr>
      </w:pPr>
      <w:del w:id="14392" w:author="AbbVie2" w:date="2025-05-14T10:24:00Z">
        <w:r w:rsidRPr="00E51FCC">
          <w:rPr>
            <w:i/>
            <w:szCs w:val="22"/>
          </w:rPr>
          <w:delText>Crianças e adolescentes a partir dos 2 anos de idade com peso i</w:delText>
        </w:r>
        <w:r>
          <w:rPr>
            <w:i/>
            <w:szCs w:val="22"/>
          </w:rPr>
          <w:delText>gual ou superior</w:delText>
        </w:r>
        <w:r w:rsidRPr="00E51FCC">
          <w:rPr>
            <w:i/>
            <w:szCs w:val="22"/>
          </w:rPr>
          <w:delText xml:space="preserve"> a 30 kg</w:delText>
        </w:r>
      </w:del>
    </w:p>
    <w:p w14:paraId="47075269" w14:textId="4296E751" w:rsidR="00FE24B0" w:rsidRPr="004D4741" w:rsidRDefault="00FE24B0" w:rsidP="00907F74">
      <w:pPr>
        <w:keepNext/>
        <w:ind w:right="-2"/>
        <w:rPr>
          <w:del w:id="14393" w:author="AbbVie2" w:date="2025-05-14T10:24:00Z"/>
          <w:bCs/>
          <w:sz w:val="22"/>
          <w:szCs w:val="22"/>
          <w:u w:val="single"/>
        </w:rPr>
      </w:pPr>
    </w:p>
    <w:p w14:paraId="7EF153C4" w14:textId="7B34A29E" w:rsidR="00FE24B0" w:rsidRDefault="00615769" w:rsidP="00907F74">
      <w:pPr>
        <w:keepNext/>
        <w:ind w:right="-2"/>
        <w:rPr>
          <w:del w:id="14394" w:author="AbbVie2" w:date="2025-05-14T10:24:00Z"/>
          <w:bCs/>
          <w:sz w:val="22"/>
          <w:szCs w:val="22"/>
        </w:rPr>
      </w:pPr>
      <w:del w:id="14395" w:author="AbbVie2" w:date="2025-05-14T10:24:00Z">
        <w:r w:rsidRPr="008912CF">
          <w:rPr>
            <w:bCs/>
            <w:sz w:val="22"/>
            <w:szCs w:val="22"/>
          </w:rPr>
          <w:delText xml:space="preserve">A dose habitual </w:delText>
        </w:r>
        <w:r>
          <w:rPr>
            <w:bCs/>
            <w:sz w:val="22"/>
            <w:szCs w:val="22"/>
          </w:rPr>
          <w:delText xml:space="preserve">de Humira </w:delText>
        </w:r>
        <w:r w:rsidRPr="008912CF">
          <w:rPr>
            <w:bCs/>
            <w:sz w:val="22"/>
            <w:szCs w:val="22"/>
          </w:rPr>
          <w:delText xml:space="preserve">é de </w:delText>
        </w:r>
        <w:r>
          <w:rPr>
            <w:bCs/>
            <w:sz w:val="22"/>
            <w:szCs w:val="22"/>
          </w:rPr>
          <w:delText>4</w:delText>
        </w:r>
        <w:r w:rsidRPr="008912CF">
          <w:rPr>
            <w:bCs/>
            <w:sz w:val="22"/>
            <w:szCs w:val="22"/>
          </w:rPr>
          <w:delText>0 mg</w:delText>
        </w:r>
        <w:r>
          <w:rPr>
            <w:bCs/>
            <w:sz w:val="22"/>
            <w:szCs w:val="22"/>
          </w:rPr>
          <w:delText xml:space="preserve"> em semanas alternadas com metotrexato.</w:delText>
        </w:r>
      </w:del>
    </w:p>
    <w:p w14:paraId="0B278D4D" w14:textId="2D4F7505" w:rsidR="00FE24B0" w:rsidRDefault="00FE24B0" w:rsidP="00FE24B0">
      <w:pPr>
        <w:ind w:right="-2"/>
        <w:rPr>
          <w:del w:id="14396" w:author="AbbVie2" w:date="2025-05-14T10:24:00Z"/>
          <w:bCs/>
          <w:sz w:val="22"/>
          <w:szCs w:val="22"/>
        </w:rPr>
      </w:pPr>
    </w:p>
    <w:p w14:paraId="076489A2" w14:textId="2E9B6A1C" w:rsidR="00FE24B0" w:rsidRDefault="00615769" w:rsidP="00FE24B0">
      <w:pPr>
        <w:ind w:right="-2"/>
        <w:rPr>
          <w:del w:id="14397" w:author="AbbVie2" w:date="2025-05-14T10:24:00Z"/>
        </w:rPr>
      </w:pPr>
      <w:del w:id="14398" w:author="AbbVie2" w:date="2025-05-14T10:24:00Z">
        <w:r>
          <w:rPr>
            <w:bCs/>
            <w:sz w:val="22"/>
            <w:szCs w:val="22"/>
          </w:rPr>
          <w:delText>O</w:delText>
        </w:r>
        <w:r w:rsidRPr="008912CF">
          <w:rPr>
            <w:bCs/>
            <w:sz w:val="22"/>
            <w:szCs w:val="22"/>
          </w:rPr>
          <w:delText xml:space="preserve"> </w:delText>
        </w:r>
        <w:r w:rsidR="00FE0090">
          <w:rPr>
            <w:bCs/>
            <w:sz w:val="22"/>
            <w:szCs w:val="22"/>
          </w:rPr>
          <w:delText xml:space="preserve">seu </w:delText>
        </w:r>
        <w:r w:rsidRPr="008912CF">
          <w:rPr>
            <w:bCs/>
            <w:sz w:val="22"/>
            <w:szCs w:val="22"/>
          </w:rPr>
          <w:delText xml:space="preserve">médico  pode </w:delText>
        </w:r>
        <w:r>
          <w:rPr>
            <w:bCs/>
            <w:sz w:val="22"/>
            <w:szCs w:val="22"/>
          </w:rPr>
          <w:delText xml:space="preserve">também </w:delText>
        </w:r>
        <w:r w:rsidRPr="008912CF">
          <w:rPr>
            <w:bCs/>
            <w:sz w:val="22"/>
            <w:szCs w:val="22"/>
          </w:rPr>
          <w:delText>prescrever uma dose inicial de</w:delText>
        </w:r>
        <w:r>
          <w:rPr>
            <w:bCs/>
            <w:sz w:val="22"/>
            <w:szCs w:val="22"/>
          </w:rPr>
          <w:delText xml:space="preserve"> 80 mg que pode ser administrada uma semana</w:delText>
        </w:r>
        <w:r w:rsidR="00E95650">
          <w:rPr>
            <w:bCs/>
            <w:sz w:val="22"/>
            <w:szCs w:val="22"/>
          </w:rPr>
          <w:delText xml:space="preserve"> antes do início da dose habitual</w:delText>
        </w:r>
        <w:r>
          <w:rPr>
            <w:bCs/>
            <w:sz w:val="22"/>
            <w:szCs w:val="22"/>
          </w:rPr>
          <w:delText>.</w:delText>
        </w:r>
      </w:del>
    </w:p>
    <w:p w14:paraId="3700CA58" w14:textId="1B4279EF" w:rsidR="004462A0" w:rsidRPr="008912CF" w:rsidRDefault="004462A0" w:rsidP="004462A0">
      <w:pPr>
        <w:pStyle w:val="BodyText3"/>
        <w:rPr>
          <w:del w:id="14399" w:author="AbbVie2" w:date="2025-05-14T10:24:00Z"/>
        </w:rPr>
      </w:pPr>
    </w:p>
    <w:p w14:paraId="345F582D" w14:textId="71746987" w:rsidR="004462A0" w:rsidRPr="008912CF" w:rsidRDefault="00615769" w:rsidP="004462A0">
      <w:pPr>
        <w:pStyle w:val="BodyText3"/>
        <w:rPr>
          <w:del w:id="14400" w:author="AbbVie2" w:date="2025-05-14T10:24:00Z"/>
          <w:b/>
          <w:bCs/>
        </w:rPr>
      </w:pPr>
      <w:del w:id="14401" w:author="AbbVie2" w:date="2025-05-14T10:24:00Z">
        <w:r w:rsidRPr="008912CF">
          <w:rPr>
            <w:b/>
            <w:bCs/>
          </w:rPr>
          <w:delText>Modo e via de administração</w:delText>
        </w:r>
      </w:del>
    </w:p>
    <w:p w14:paraId="48C697C1" w14:textId="1A016352" w:rsidR="004462A0" w:rsidRPr="008912CF" w:rsidRDefault="004462A0" w:rsidP="004462A0">
      <w:pPr>
        <w:ind w:right="-2"/>
        <w:rPr>
          <w:del w:id="14402" w:author="AbbVie2" w:date="2025-05-14T10:24:00Z"/>
          <w:sz w:val="22"/>
          <w:szCs w:val="22"/>
        </w:rPr>
      </w:pPr>
    </w:p>
    <w:p w14:paraId="05B8A60D" w14:textId="783F96DA" w:rsidR="004462A0" w:rsidRPr="008912CF" w:rsidRDefault="00615769" w:rsidP="004462A0">
      <w:pPr>
        <w:ind w:right="-2"/>
        <w:rPr>
          <w:del w:id="14403" w:author="AbbVie2" w:date="2025-05-14T10:24:00Z"/>
          <w:sz w:val="22"/>
          <w:szCs w:val="22"/>
        </w:rPr>
      </w:pPr>
      <w:del w:id="14404" w:author="AbbVie2" w:date="2025-05-14T10:24:00Z">
        <w:r w:rsidRPr="008912CF">
          <w:rPr>
            <w:sz w:val="22"/>
            <w:szCs w:val="22"/>
          </w:rPr>
          <w:delText>Humira é administrado por injeção debaixo da pele (via subcutânea).</w:delText>
        </w:r>
      </w:del>
    </w:p>
    <w:p w14:paraId="17C6F985" w14:textId="3A8B2D25" w:rsidR="004462A0" w:rsidRPr="008912CF" w:rsidRDefault="004462A0" w:rsidP="004462A0">
      <w:pPr>
        <w:pStyle w:val="BodyText3"/>
        <w:rPr>
          <w:del w:id="14405" w:author="AbbVie2" w:date="2025-05-14T10:24:00Z"/>
        </w:rPr>
      </w:pPr>
    </w:p>
    <w:p w14:paraId="475F3104" w14:textId="2D7CCE9F" w:rsidR="004462A0" w:rsidRPr="008912CF" w:rsidRDefault="00615769" w:rsidP="004462A0">
      <w:pPr>
        <w:rPr>
          <w:del w:id="14406" w:author="AbbVie2" w:date="2025-05-14T10:24:00Z"/>
          <w:b/>
          <w:sz w:val="22"/>
          <w:szCs w:val="22"/>
        </w:rPr>
      </w:pPr>
      <w:del w:id="14407" w:author="AbbVie2" w:date="2025-05-14T10:24:00Z">
        <w:r w:rsidRPr="008912CF">
          <w:rPr>
            <w:b/>
            <w:sz w:val="22"/>
            <w:szCs w:val="22"/>
          </w:rPr>
          <w:delText xml:space="preserve">Instruções para a preparação e administração de uma injeção de </w:delText>
        </w:r>
        <w:r w:rsidRPr="008912CF">
          <w:rPr>
            <w:b/>
            <w:bCs/>
            <w:sz w:val="22"/>
            <w:szCs w:val="22"/>
          </w:rPr>
          <w:delText>Humira</w:delText>
        </w:r>
      </w:del>
    </w:p>
    <w:p w14:paraId="29E84E28" w14:textId="280F85B3" w:rsidR="004462A0" w:rsidRPr="008912CF" w:rsidRDefault="004462A0" w:rsidP="004462A0">
      <w:pPr>
        <w:rPr>
          <w:del w:id="14408" w:author="AbbVie2" w:date="2025-05-14T10:24:00Z"/>
          <w:b/>
          <w:sz w:val="22"/>
          <w:szCs w:val="22"/>
          <w:u w:val="single"/>
        </w:rPr>
      </w:pPr>
    </w:p>
    <w:p w14:paraId="500B16FE" w14:textId="4991E35C" w:rsidR="004462A0" w:rsidRPr="008912CF" w:rsidRDefault="00615769" w:rsidP="004462A0">
      <w:pPr>
        <w:rPr>
          <w:del w:id="14409" w:author="AbbVie2" w:date="2025-05-14T10:24:00Z"/>
          <w:sz w:val="22"/>
          <w:szCs w:val="22"/>
        </w:rPr>
      </w:pPr>
      <w:del w:id="14410" w:author="AbbVie2" w:date="2025-05-14T10:24:00Z">
        <w:r w:rsidRPr="008912CF">
          <w:rPr>
            <w:sz w:val="22"/>
            <w:szCs w:val="22"/>
          </w:rPr>
          <w:delText>As instruções a seguir indicadas explicam como injetar Humira. Leia atentamente as instruções e siga-as passo a passo. O seu médico ou assistente prestar-lhe-á informações sobre a técnica de autoinjeção. Não tente autoinjetar-se antes de estar certo de ter compreendido o modo de preparar e administrar a injeção. Após treino adequado, a injeção pode ser administrada pelo doente ou por outra pessoa, por exemplo um familiar ou amigo.</w:delText>
        </w:r>
      </w:del>
    </w:p>
    <w:p w14:paraId="547DEC88" w14:textId="7CCC23B3" w:rsidR="004462A0" w:rsidRPr="008912CF" w:rsidRDefault="004462A0" w:rsidP="004462A0">
      <w:pPr>
        <w:rPr>
          <w:del w:id="14411" w:author="AbbVie2" w:date="2025-05-14T10:24:00Z"/>
          <w:sz w:val="22"/>
          <w:szCs w:val="22"/>
        </w:rPr>
      </w:pPr>
    </w:p>
    <w:p w14:paraId="7DE80A93" w14:textId="2F1DC0B4" w:rsidR="004462A0" w:rsidRPr="008912CF" w:rsidRDefault="00615769" w:rsidP="004462A0">
      <w:pPr>
        <w:rPr>
          <w:del w:id="14412" w:author="AbbVie2" w:date="2025-05-14T10:24:00Z"/>
          <w:sz w:val="22"/>
          <w:szCs w:val="22"/>
        </w:rPr>
      </w:pPr>
      <w:del w:id="14413" w:author="AbbVie2" w:date="2025-05-14T10:24:00Z">
        <w:r w:rsidRPr="008912CF">
          <w:rPr>
            <w:sz w:val="22"/>
            <w:szCs w:val="22"/>
          </w:rPr>
          <w:delText>Esta injeção não deve ser misturada com qualquer outro medicamento na mesma seringa ou frasco para injetáveis.</w:delText>
        </w:r>
      </w:del>
    </w:p>
    <w:p w14:paraId="49EA9C31" w14:textId="23769076" w:rsidR="004462A0" w:rsidRPr="008912CF" w:rsidRDefault="004462A0" w:rsidP="004462A0">
      <w:pPr>
        <w:rPr>
          <w:del w:id="14414" w:author="AbbVie2" w:date="2025-05-14T10:24:00Z"/>
          <w:sz w:val="22"/>
          <w:szCs w:val="22"/>
        </w:rPr>
      </w:pPr>
    </w:p>
    <w:p w14:paraId="4876E821" w14:textId="61001E36" w:rsidR="004462A0" w:rsidRPr="008912CF" w:rsidRDefault="00615769" w:rsidP="004462A0">
      <w:pPr>
        <w:ind w:left="567" w:hanging="567"/>
        <w:rPr>
          <w:del w:id="14415" w:author="AbbVie2" w:date="2025-05-14T10:24:00Z"/>
          <w:b/>
          <w:sz w:val="22"/>
          <w:szCs w:val="22"/>
        </w:rPr>
      </w:pPr>
      <w:del w:id="14416" w:author="AbbVie2" w:date="2025-05-14T10:24:00Z">
        <w:r w:rsidRPr="008912CF">
          <w:rPr>
            <w:b/>
            <w:sz w:val="22"/>
            <w:szCs w:val="22"/>
          </w:rPr>
          <w:delText>1)</w:delText>
        </w:r>
        <w:r w:rsidRPr="008912CF">
          <w:rPr>
            <w:sz w:val="22"/>
            <w:szCs w:val="22"/>
          </w:rPr>
          <w:tab/>
        </w:r>
        <w:r w:rsidRPr="008912CF">
          <w:rPr>
            <w:b/>
            <w:sz w:val="22"/>
            <w:szCs w:val="22"/>
          </w:rPr>
          <w:delText>Preparação</w:delText>
        </w:r>
      </w:del>
    </w:p>
    <w:p w14:paraId="14B41C26" w14:textId="5C93EB16" w:rsidR="004462A0" w:rsidRPr="008912CF" w:rsidRDefault="004462A0" w:rsidP="004462A0">
      <w:pPr>
        <w:rPr>
          <w:del w:id="14417" w:author="AbbVie2" w:date="2025-05-14T10:24:00Z"/>
          <w:sz w:val="22"/>
          <w:szCs w:val="22"/>
        </w:rPr>
      </w:pPr>
    </w:p>
    <w:p w14:paraId="5CA88F55" w14:textId="11557818" w:rsidR="004462A0" w:rsidRPr="008912CF" w:rsidRDefault="00615769" w:rsidP="004462A0">
      <w:pPr>
        <w:numPr>
          <w:ilvl w:val="0"/>
          <w:numId w:val="42"/>
        </w:numPr>
        <w:rPr>
          <w:del w:id="14418" w:author="AbbVie2" w:date="2025-05-14T10:24:00Z"/>
          <w:sz w:val="22"/>
          <w:szCs w:val="22"/>
        </w:rPr>
      </w:pPr>
      <w:del w:id="14419" w:author="AbbVie2" w:date="2025-05-14T10:24:00Z">
        <w:r w:rsidRPr="008912CF">
          <w:rPr>
            <w:sz w:val="22"/>
            <w:szCs w:val="22"/>
          </w:rPr>
          <w:delText xml:space="preserve">Lave cuidadosamente as mãos </w:delText>
        </w:r>
      </w:del>
    </w:p>
    <w:p w14:paraId="498F8C31" w14:textId="63A2D1CF" w:rsidR="004462A0" w:rsidRPr="008912CF" w:rsidRDefault="00615769" w:rsidP="004462A0">
      <w:pPr>
        <w:numPr>
          <w:ilvl w:val="0"/>
          <w:numId w:val="42"/>
        </w:numPr>
        <w:rPr>
          <w:del w:id="14420" w:author="AbbVie2" w:date="2025-05-14T10:24:00Z"/>
          <w:sz w:val="22"/>
          <w:szCs w:val="22"/>
        </w:rPr>
      </w:pPr>
      <w:del w:id="14421" w:author="AbbVie2" w:date="2025-05-14T10:24:00Z">
        <w:r w:rsidRPr="008912CF">
          <w:rPr>
            <w:sz w:val="22"/>
            <w:szCs w:val="22"/>
          </w:rPr>
          <w:delText>Coloque os seguintes elementos sobre uma superfície limpa</w:delText>
        </w:r>
      </w:del>
    </w:p>
    <w:p w14:paraId="23020540" w14:textId="7857CB23" w:rsidR="004462A0" w:rsidRPr="008912CF" w:rsidRDefault="004462A0" w:rsidP="004462A0">
      <w:pPr>
        <w:pStyle w:val="EndnoteText"/>
        <w:rPr>
          <w:del w:id="14422" w:author="AbbVie2" w:date="2025-05-14T10:24:00Z"/>
          <w:szCs w:val="22"/>
          <w:highlight w:val="yellow"/>
        </w:rPr>
      </w:pPr>
    </w:p>
    <w:p w14:paraId="1F902CBD" w14:textId="365CA437" w:rsidR="004462A0" w:rsidRPr="008912CF" w:rsidRDefault="00615769" w:rsidP="004462A0">
      <w:pPr>
        <w:numPr>
          <w:ilvl w:val="1"/>
          <w:numId w:val="14"/>
        </w:numPr>
        <w:tabs>
          <w:tab w:val="left" w:pos="1134"/>
        </w:tabs>
        <w:ind w:left="1134" w:hanging="567"/>
        <w:rPr>
          <w:del w:id="14423" w:author="AbbVie2" w:date="2025-05-14T10:24:00Z"/>
          <w:sz w:val="22"/>
          <w:szCs w:val="22"/>
        </w:rPr>
      </w:pPr>
      <w:del w:id="14424" w:author="AbbVie2" w:date="2025-05-14T10:24:00Z">
        <w:r w:rsidRPr="008912CF">
          <w:rPr>
            <w:sz w:val="22"/>
            <w:szCs w:val="22"/>
          </w:rPr>
          <w:delText>Uma seringa pré-cheia de Humira</w:delText>
        </w:r>
        <w:r w:rsidRPr="008912CF">
          <w:rPr>
            <w:b/>
            <w:sz w:val="22"/>
            <w:szCs w:val="22"/>
          </w:rPr>
          <w:delText xml:space="preserve"> </w:delText>
        </w:r>
        <w:r w:rsidRPr="008912CF">
          <w:rPr>
            <w:sz w:val="22"/>
            <w:szCs w:val="22"/>
          </w:rPr>
          <w:delText>para uso injetável</w:delText>
        </w:r>
      </w:del>
    </w:p>
    <w:p w14:paraId="791102E2" w14:textId="03A8C21C" w:rsidR="004462A0" w:rsidRPr="008912CF" w:rsidRDefault="00615769" w:rsidP="004462A0">
      <w:pPr>
        <w:numPr>
          <w:ilvl w:val="1"/>
          <w:numId w:val="14"/>
        </w:numPr>
        <w:tabs>
          <w:tab w:val="left" w:pos="1134"/>
        </w:tabs>
        <w:ind w:left="1134" w:hanging="567"/>
        <w:rPr>
          <w:del w:id="14425" w:author="AbbVie2" w:date="2025-05-14T10:24:00Z"/>
          <w:sz w:val="22"/>
          <w:szCs w:val="22"/>
        </w:rPr>
      </w:pPr>
      <w:del w:id="14426" w:author="AbbVie2" w:date="2025-05-14T10:24:00Z">
        <w:r w:rsidRPr="008912CF">
          <w:rPr>
            <w:sz w:val="22"/>
            <w:szCs w:val="22"/>
          </w:rPr>
          <w:delText>Uma compressa embebida em álcool</w:delText>
        </w:r>
      </w:del>
    </w:p>
    <w:p w14:paraId="1CA88919" w14:textId="7C2B6AF5" w:rsidR="004462A0" w:rsidRPr="008912CF" w:rsidRDefault="004462A0" w:rsidP="004462A0">
      <w:pPr>
        <w:rPr>
          <w:del w:id="14427" w:author="AbbVie2" w:date="2025-05-14T10:24:00Z"/>
          <w:sz w:val="22"/>
          <w:szCs w:val="22"/>
        </w:rPr>
      </w:pPr>
    </w:p>
    <w:p w14:paraId="08A03444" w14:textId="63A88251" w:rsidR="004462A0" w:rsidRPr="008912CF" w:rsidRDefault="00615769" w:rsidP="004462A0">
      <w:pPr>
        <w:ind w:left="1701" w:firstLine="567"/>
        <w:rPr>
          <w:del w:id="14428" w:author="AbbVie2" w:date="2025-05-14T10:24:00Z"/>
          <w:sz w:val="22"/>
          <w:szCs w:val="22"/>
        </w:rPr>
      </w:pPr>
      <w:del w:id="14429" w:author="AbbVie2" w:date="2025-05-14T10:24:00Z">
        <w:r>
          <w:rPr>
            <w:noProof/>
            <w:lang w:val="en-GB" w:eastAsia="en-GB"/>
          </w:rPr>
          <w:drawing>
            <wp:inline distT="0" distB="0" distL="0" distR="0" wp14:anchorId="1A0E4763" wp14:editId="30D56168">
              <wp:extent cx="2047240" cy="202755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6"/>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2047240" cy="2027555"/>
                      </a:xfrm>
                      <a:prstGeom prst="rect">
                        <a:avLst/>
                      </a:prstGeom>
                      <a:noFill/>
                      <a:ln>
                        <a:noFill/>
                      </a:ln>
                    </pic:spPr>
                  </pic:pic>
                </a:graphicData>
              </a:graphic>
            </wp:inline>
          </w:drawing>
        </w:r>
      </w:del>
    </w:p>
    <w:p w14:paraId="0501C051" w14:textId="529C4773" w:rsidR="004462A0" w:rsidRPr="008912CF" w:rsidRDefault="004462A0" w:rsidP="004462A0">
      <w:pPr>
        <w:rPr>
          <w:del w:id="14430" w:author="AbbVie2" w:date="2025-05-14T10:24:00Z"/>
          <w:sz w:val="22"/>
          <w:szCs w:val="22"/>
        </w:rPr>
      </w:pPr>
    </w:p>
    <w:p w14:paraId="2F3B8BF7" w14:textId="226E7DA6" w:rsidR="004462A0" w:rsidRPr="008912CF" w:rsidRDefault="00615769" w:rsidP="004462A0">
      <w:pPr>
        <w:numPr>
          <w:ilvl w:val="1"/>
          <w:numId w:val="43"/>
        </w:numPr>
        <w:rPr>
          <w:del w:id="14431" w:author="AbbVie2" w:date="2025-05-14T10:24:00Z"/>
          <w:sz w:val="22"/>
          <w:szCs w:val="22"/>
        </w:rPr>
      </w:pPr>
      <w:del w:id="14432" w:author="AbbVie2" w:date="2025-05-14T10:24:00Z">
        <w:r w:rsidRPr="008912CF">
          <w:rPr>
            <w:sz w:val="22"/>
            <w:szCs w:val="22"/>
          </w:rPr>
          <w:delText>Verifique o prazo de validade na seringa. Não utilize o produto se já tiver expirado o mês e ano indicados.</w:delText>
        </w:r>
      </w:del>
    </w:p>
    <w:p w14:paraId="1A754079" w14:textId="03D71BBB" w:rsidR="004462A0" w:rsidRPr="008912CF" w:rsidRDefault="004462A0" w:rsidP="004462A0">
      <w:pPr>
        <w:rPr>
          <w:del w:id="14433" w:author="AbbVie2" w:date="2025-05-14T10:24:00Z"/>
          <w:sz w:val="22"/>
          <w:szCs w:val="22"/>
        </w:rPr>
      </w:pPr>
    </w:p>
    <w:p w14:paraId="1F372F36" w14:textId="7B1182BF" w:rsidR="004462A0" w:rsidRPr="008912CF" w:rsidRDefault="00615769" w:rsidP="004462A0">
      <w:pPr>
        <w:pStyle w:val="Heading2"/>
        <w:keepNext w:val="0"/>
        <w:rPr>
          <w:del w:id="14434" w:author="AbbVie2" w:date="2025-05-14T10:24:00Z"/>
          <w:szCs w:val="22"/>
        </w:rPr>
      </w:pPr>
      <w:del w:id="14435" w:author="AbbVie2" w:date="2025-05-14T10:24:00Z">
        <w:r w:rsidRPr="008912CF">
          <w:rPr>
            <w:szCs w:val="22"/>
          </w:rPr>
          <w:delText>2)</w:delText>
        </w:r>
        <w:r w:rsidRPr="008912CF">
          <w:rPr>
            <w:szCs w:val="22"/>
          </w:rPr>
          <w:tab/>
          <w:delText>Escolha e preparação do local de injeção</w:delText>
        </w:r>
      </w:del>
    </w:p>
    <w:p w14:paraId="231AE883" w14:textId="69D1CF66" w:rsidR="004462A0" w:rsidRPr="008912CF" w:rsidRDefault="004462A0" w:rsidP="004462A0">
      <w:pPr>
        <w:rPr>
          <w:del w:id="14436" w:author="AbbVie2" w:date="2025-05-14T10:24:00Z"/>
          <w:b/>
          <w:sz w:val="22"/>
          <w:szCs w:val="22"/>
        </w:rPr>
      </w:pPr>
    </w:p>
    <w:p w14:paraId="5A569E6A" w14:textId="0E807E2D" w:rsidR="004462A0" w:rsidRPr="008912CF" w:rsidRDefault="00615769" w:rsidP="004462A0">
      <w:pPr>
        <w:numPr>
          <w:ilvl w:val="1"/>
          <w:numId w:val="26"/>
        </w:numPr>
        <w:rPr>
          <w:del w:id="14437" w:author="AbbVie2" w:date="2025-05-14T10:24:00Z"/>
          <w:sz w:val="22"/>
          <w:szCs w:val="22"/>
        </w:rPr>
      </w:pPr>
      <w:del w:id="14438" w:author="AbbVie2" w:date="2025-05-14T10:24:00Z">
        <w:r w:rsidRPr="008912CF">
          <w:rPr>
            <w:sz w:val="22"/>
            <w:szCs w:val="22"/>
          </w:rPr>
          <w:delText>Escolha um local na coxa ou região abdominal</w:delText>
        </w:r>
      </w:del>
    </w:p>
    <w:p w14:paraId="48082485" w14:textId="727541DC" w:rsidR="004462A0" w:rsidRPr="008912CF" w:rsidRDefault="004462A0" w:rsidP="004462A0">
      <w:pPr>
        <w:rPr>
          <w:del w:id="14439" w:author="AbbVie2" w:date="2025-05-14T10:24:00Z"/>
        </w:rPr>
      </w:pPr>
    </w:p>
    <w:p w14:paraId="7B6DDE40" w14:textId="281C808D" w:rsidR="004462A0" w:rsidRPr="008912CF" w:rsidRDefault="00615769" w:rsidP="004462A0">
      <w:pPr>
        <w:ind w:left="1701" w:firstLine="567"/>
        <w:rPr>
          <w:del w:id="14440" w:author="AbbVie2" w:date="2025-05-14T10:24:00Z"/>
        </w:rPr>
      </w:pPr>
      <w:del w:id="14441" w:author="AbbVie2" w:date="2025-05-14T10:24:00Z">
        <w:r>
          <w:rPr>
            <w:noProof/>
            <w:lang w:val="en-GB" w:eastAsia="en-GB"/>
          </w:rPr>
          <w:drawing>
            <wp:inline distT="0" distB="0" distL="0" distR="0" wp14:anchorId="05068E5A" wp14:editId="678FD5AE">
              <wp:extent cx="2047240" cy="2037715"/>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7"/>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2047240" cy="2037715"/>
                      </a:xfrm>
                      <a:prstGeom prst="rect">
                        <a:avLst/>
                      </a:prstGeom>
                      <a:noFill/>
                      <a:ln>
                        <a:noFill/>
                      </a:ln>
                    </pic:spPr>
                  </pic:pic>
                </a:graphicData>
              </a:graphic>
            </wp:inline>
          </w:drawing>
        </w:r>
      </w:del>
    </w:p>
    <w:p w14:paraId="40F43895" w14:textId="687C6268" w:rsidR="004462A0" w:rsidRPr="008912CF" w:rsidRDefault="004462A0" w:rsidP="004462A0">
      <w:pPr>
        <w:rPr>
          <w:del w:id="14442" w:author="AbbVie2" w:date="2025-05-14T10:24:00Z"/>
          <w:sz w:val="22"/>
          <w:szCs w:val="22"/>
        </w:rPr>
      </w:pPr>
    </w:p>
    <w:p w14:paraId="742B855E" w14:textId="2EDDE669" w:rsidR="004462A0" w:rsidRPr="008912CF" w:rsidRDefault="00615769" w:rsidP="004462A0">
      <w:pPr>
        <w:numPr>
          <w:ilvl w:val="1"/>
          <w:numId w:val="44"/>
        </w:numPr>
        <w:rPr>
          <w:del w:id="14443" w:author="AbbVie2" w:date="2025-05-14T10:24:00Z"/>
          <w:sz w:val="22"/>
          <w:szCs w:val="22"/>
        </w:rPr>
      </w:pPr>
      <w:del w:id="14444" w:author="AbbVie2" w:date="2025-05-14T10:24:00Z">
        <w:r w:rsidRPr="008912CF">
          <w:rPr>
            <w:sz w:val="22"/>
            <w:szCs w:val="22"/>
          </w:rPr>
          <w:delText>Cada nova injeção deve ser administrada com pelo menos 3 cm de distância do local da última injeção.</w:delText>
        </w:r>
      </w:del>
    </w:p>
    <w:p w14:paraId="44A84DCD" w14:textId="68C36E5C" w:rsidR="004462A0" w:rsidRPr="008912CF" w:rsidRDefault="00615769" w:rsidP="004462A0">
      <w:pPr>
        <w:numPr>
          <w:ilvl w:val="1"/>
          <w:numId w:val="14"/>
        </w:numPr>
        <w:tabs>
          <w:tab w:val="left" w:pos="1134"/>
        </w:tabs>
        <w:ind w:left="1134" w:hanging="567"/>
        <w:rPr>
          <w:del w:id="14445" w:author="AbbVie2" w:date="2025-05-14T10:24:00Z"/>
          <w:sz w:val="22"/>
          <w:szCs w:val="22"/>
        </w:rPr>
      </w:pPr>
      <w:del w:id="14446" w:author="AbbVie2" w:date="2025-05-14T10:24:00Z">
        <w:r w:rsidRPr="008912CF">
          <w:rPr>
            <w:sz w:val="22"/>
            <w:szCs w:val="22"/>
          </w:rPr>
          <w:delText>Não injete numa área em que a pele esteja avermelhada, ferida ou endurecida. Isto pode significar que existe uma infeção.</w:delText>
        </w:r>
      </w:del>
    </w:p>
    <w:p w14:paraId="07BD859F" w14:textId="059D19FF" w:rsidR="004462A0" w:rsidRPr="008912CF" w:rsidRDefault="00615769" w:rsidP="004462A0">
      <w:pPr>
        <w:numPr>
          <w:ilvl w:val="1"/>
          <w:numId w:val="14"/>
        </w:numPr>
        <w:tabs>
          <w:tab w:val="left" w:pos="1134"/>
        </w:tabs>
        <w:ind w:left="1134" w:hanging="567"/>
        <w:rPr>
          <w:del w:id="14447" w:author="AbbVie2" w:date="2025-05-14T10:24:00Z"/>
          <w:sz w:val="22"/>
          <w:szCs w:val="22"/>
        </w:rPr>
      </w:pPr>
      <w:del w:id="14448" w:author="AbbVie2" w:date="2025-05-14T10:24:00Z">
        <w:r w:rsidRPr="008912CF">
          <w:rPr>
            <w:sz w:val="22"/>
            <w:szCs w:val="22"/>
          </w:rPr>
          <w:delText>Limpe o local da injeção com a compressa embebida em álcool, com movimentos circulares.</w:delText>
        </w:r>
      </w:del>
    </w:p>
    <w:p w14:paraId="0CBBD791" w14:textId="15565601" w:rsidR="004462A0" w:rsidRPr="008912CF" w:rsidRDefault="00615769" w:rsidP="004462A0">
      <w:pPr>
        <w:numPr>
          <w:ilvl w:val="1"/>
          <w:numId w:val="14"/>
        </w:numPr>
        <w:tabs>
          <w:tab w:val="left" w:pos="1134"/>
        </w:tabs>
        <w:ind w:left="1134" w:hanging="567"/>
        <w:rPr>
          <w:del w:id="14449" w:author="AbbVie2" w:date="2025-05-14T10:24:00Z"/>
          <w:sz w:val="22"/>
          <w:szCs w:val="22"/>
        </w:rPr>
      </w:pPr>
      <w:del w:id="14450" w:author="AbbVie2" w:date="2025-05-14T10:24:00Z">
        <w:r w:rsidRPr="008912CF">
          <w:rPr>
            <w:sz w:val="22"/>
            <w:szCs w:val="22"/>
          </w:rPr>
          <w:delText>Não volte a tocar nessa área antes da injeção.</w:delText>
        </w:r>
      </w:del>
    </w:p>
    <w:p w14:paraId="1D498F00" w14:textId="2C2E233B" w:rsidR="004462A0" w:rsidRPr="008912CF" w:rsidRDefault="004462A0" w:rsidP="004462A0">
      <w:pPr>
        <w:rPr>
          <w:del w:id="14451" w:author="AbbVie2" w:date="2025-05-14T10:24:00Z"/>
          <w:sz w:val="22"/>
          <w:szCs w:val="22"/>
        </w:rPr>
      </w:pPr>
    </w:p>
    <w:p w14:paraId="29FFA4C1" w14:textId="03D6DF11" w:rsidR="004462A0" w:rsidRPr="008912CF" w:rsidRDefault="00615769" w:rsidP="004462A0">
      <w:pPr>
        <w:keepNext/>
        <w:ind w:left="567" w:hanging="567"/>
        <w:rPr>
          <w:del w:id="14452" w:author="AbbVie2" w:date="2025-05-14T10:24:00Z"/>
          <w:b/>
          <w:sz w:val="22"/>
          <w:szCs w:val="22"/>
        </w:rPr>
      </w:pPr>
      <w:del w:id="14453" w:author="AbbVie2" w:date="2025-05-14T10:24:00Z">
        <w:r w:rsidRPr="008912CF">
          <w:rPr>
            <w:b/>
            <w:sz w:val="22"/>
            <w:szCs w:val="22"/>
          </w:rPr>
          <w:delText>3)</w:delText>
        </w:r>
        <w:r w:rsidRPr="008912CF">
          <w:rPr>
            <w:b/>
            <w:sz w:val="22"/>
            <w:szCs w:val="22"/>
          </w:rPr>
          <w:tab/>
          <w:delText xml:space="preserve">Injeção de Humira </w:delText>
        </w:r>
      </w:del>
    </w:p>
    <w:p w14:paraId="4F604AF7" w14:textId="6538499E" w:rsidR="004462A0" w:rsidRPr="008912CF" w:rsidRDefault="004462A0" w:rsidP="004462A0">
      <w:pPr>
        <w:pStyle w:val="IndexHeading"/>
        <w:keepNext/>
        <w:tabs>
          <w:tab w:val="clear" w:pos="567"/>
        </w:tabs>
        <w:spacing w:line="240" w:lineRule="auto"/>
        <w:rPr>
          <w:del w:id="14454" w:author="AbbVie2" w:date="2025-05-14T10:24:00Z"/>
          <w:rFonts w:ascii="Times New Roman" w:hAnsi="Times New Roman"/>
          <w:szCs w:val="22"/>
          <w:lang w:val="pt-PT"/>
        </w:rPr>
      </w:pPr>
    </w:p>
    <w:p w14:paraId="3C28D12E" w14:textId="671CB301" w:rsidR="004462A0" w:rsidRPr="008912CF" w:rsidRDefault="00615769" w:rsidP="004462A0">
      <w:pPr>
        <w:keepNext/>
        <w:numPr>
          <w:ilvl w:val="1"/>
          <w:numId w:val="45"/>
        </w:numPr>
        <w:rPr>
          <w:del w:id="14455" w:author="AbbVie2" w:date="2025-05-14T10:24:00Z"/>
          <w:sz w:val="22"/>
          <w:szCs w:val="22"/>
        </w:rPr>
      </w:pPr>
      <w:del w:id="14456" w:author="AbbVie2" w:date="2025-05-14T10:24:00Z">
        <w:r w:rsidRPr="008912CF">
          <w:rPr>
            <w:sz w:val="22"/>
            <w:szCs w:val="22"/>
          </w:rPr>
          <w:delText>NÃO agitar a seringa</w:delText>
        </w:r>
      </w:del>
    </w:p>
    <w:p w14:paraId="04ED9753" w14:textId="371B8AA7" w:rsidR="004462A0" w:rsidRPr="008912CF" w:rsidRDefault="00615769" w:rsidP="004462A0">
      <w:pPr>
        <w:numPr>
          <w:ilvl w:val="1"/>
          <w:numId w:val="45"/>
        </w:numPr>
        <w:rPr>
          <w:del w:id="14457" w:author="AbbVie2" w:date="2025-05-14T10:24:00Z"/>
          <w:sz w:val="22"/>
          <w:szCs w:val="22"/>
        </w:rPr>
      </w:pPr>
      <w:del w:id="14458" w:author="AbbVie2" w:date="2025-05-14T10:24:00Z">
        <w:r w:rsidRPr="008912CF">
          <w:rPr>
            <w:sz w:val="22"/>
            <w:szCs w:val="22"/>
          </w:rPr>
          <w:delText>Retire a tampa de proteção da agulha da seringa, tendo muito cuidado para não tocar na agulha ou que esta toque em qualquer superfície.</w:delText>
        </w:r>
      </w:del>
    </w:p>
    <w:p w14:paraId="29D2F4D0" w14:textId="2730E090" w:rsidR="004462A0" w:rsidRPr="008912CF" w:rsidRDefault="00615769" w:rsidP="004462A0">
      <w:pPr>
        <w:numPr>
          <w:ilvl w:val="1"/>
          <w:numId w:val="45"/>
        </w:numPr>
        <w:rPr>
          <w:del w:id="14459" w:author="AbbVie2" w:date="2025-05-14T10:24:00Z"/>
          <w:sz w:val="22"/>
          <w:szCs w:val="22"/>
        </w:rPr>
      </w:pPr>
      <w:del w:id="14460" w:author="AbbVie2" w:date="2025-05-14T10:24:00Z">
        <w:r w:rsidRPr="008912CF">
          <w:rPr>
            <w:sz w:val="22"/>
            <w:szCs w:val="22"/>
          </w:rPr>
          <w:delText xml:space="preserve">Com uma das mãos, agarre cuidadosamente uma prega cutânea da área que já se encontra limpa, apertando-a firmemente. </w:delText>
        </w:r>
      </w:del>
    </w:p>
    <w:p w14:paraId="1D06A91B" w14:textId="1923C397" w:rsidR="004462A0" w:rsidRPr="008912CF" w:rsidRDefault="004462A0" w:rsidP="004462A0">
      <w:pPr>
        <w:rPr>
          <w:del w:id="14461" w:author="AbbVie2" w:date="2025-05-14T10:24:00Z"/>
          <w:sz w:val="22"/>
          <w:szCs w:val="22"/>
        </w:rPr>
      </w:pPr>
    </w:p>
    <w:p w14:paraId="2392269C" w14:textId="1BA70447" w:rsidR="004462A0" w:rsidRPr="008912CF" w:rsidRDefault="00615769" w:rsidP="004462A0">
      <w:pPr>
        <w:ind w:left="2268" w:firstLine="567"/>
        <w:rPr>
          <w:del w:id="14462" w:author="AbbVie2" w:date="2025-05-14T10:24:00Z"/>
        </w:rPr>
      </w:pPr>
      <w:del w:id="14463" w:author="AbbVie2" w:date="2025-05-14T10:24:00Z">
        <w:r>
          <w:rPr>
            <w:noProof/>
            <w:lang w:val="en-GB" w:eastAsia="en-GB"/>
          </w:rPr>
          <w:drawing>
            <wp:inline distT="0" distB="0" distL="0" distR="0" wp14:anchorId="14055CE4" wp14:editId="2CC940CA">
              <wp:extent cx="2007870" cy="1978025"/>
              <wp:effectExtent l="0" t="0" r="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8"/>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2007870" cy="1978025"/>
                      </a:xfrm>
                      <a:prstGeom prst="rect">
                        <a:avLst/>
                      </a:prstGeom>
                      <a:noFill/>
                      <a:ln>
                        <a:noFill/>
                      </a:ln>
                    </pic:spPr>
                  </pic:pic>
                </a:graphicData>
              </a:graphic>
            </wp:inline>
          </w:drawing>
        </w:r>
      </w:del>
    </w:p>
    <w:p w14:paraId="38DFF22F" w14:textId="715BE172" w:rsidR="004462A0" w:rsidRPr="008912CF" w:rsidRDefault="004462A0" w:rsidP="004462A0">
      <w:pPr>
        <w:ind w:left="2268" w:firstLine="567"/>
        <w:rPr>
          <w:del w:id="14464" w:author="AbbVie2" w:date="2025-05-14T10:24:00Z"/>
          <w:sz w:val="22"/>
          <w:szCs w:val="22"/>
        </w:rPr>
      </w:pPr>
    </w:p>
    <w:p w14:paraId="025AC1CE" w14:textId="1EDE86D7" w:rsidR="004462A0" w:rsidRPr="008912CF" w:rsidRDefault="00615769" w:rsidP="004462A0">
      <w:pPr>
        <w:numPr>
          <w:ilvl w:val="0"/>
          <w:numId w:val="46"/>
        </w:numPr>
        <w:rPr>
          <w:del w:id="14465" w:author="AbbVie2" w:date="2025-05-14T10:24:00Z"/>
          <w:sz w:val="22"/>
          <w:szCs w:val="22"/>
        </w:rPr>
      </w:pPr>
      <w:del w:id="14466" w:author="AbbVie2" w:date="2025-05-14T10:24:00Z">
        <w:r w:rsidRPr="008912CF">
          <w:rPr>
            <w:sz w:val="22"/>
            <w:szCs w:val="22"/>
          </w:rPr>
          <w:delText>Com a outra mão, segure a seringa sobre a prega cutânea num ângulo de 45º, mantendo para cima o lado que tem a ranhura.</w:delText>
        </w:r>
      </w:del>
    </w:p>
    <w:p w14:paraId="6EC9AF4F" w14:textId="24B6BDE8" w:rsidR="004462A0" w:rsidRPr="008912CF" w:rsidRDefault="00615769" w:rsidP="004462A0">
      <w:pPr>
        <w:numPr>
          <w:ilvl w:val="0"/>
          <w:numId w:val="46"/>
        </w:numPr>
        <w:rPr>
          <w:del w:id="14467" w:author="AbbVie2" w:date="2025-05-14T10:24:00Z"/>
          <w:sz w:val="22"/>
          <w:szCs w:val="22"/>
        </w:rPr>
      </w:pPr>
      <w:del w:id="14468" w:author="AbbVie2" w:date="2025-05-14T10:24:00Z">
        <w:r w:rsidRPr="008912CF">
          <w:rPr>
            <w:sz w:val="22"/>
            <w:szCs w:val="22"/>
          </w:rPr>
          <w:delText>Introduza a agulha na pele com um movimento curto e rápido.</w:delText>
        </w:r>
      </w:del>
    </w:p>
    <w:p w14:paraId="4A5761BD" w14:textId="4A571EA5" w:rsidR="004462A0" w:rsidRPr="008912CF" w:rsidRDefault="00615769" w:rsidP="004462A0">
      <w:pPr>
        <w:numPr>
          <w:ilvl w:val="0"/>
          <w:numId w:val="46"/>
        </w:numPr>
        <w:rPr>
          <w:del w:id="14469" w:author="AbbVie2" w:date="2025-05-14T10:24:00Z"/>
          <w:sz w:val="22"/>
          <w:szCs w:val="22"/>
        </w:rPr>
      </w:pPr>
      <w:del w:id="14470" w:author="AbbVie2" w:date="2025-05-14T10:24:00Z">
        <w:r w:rsidRPr="008912CF">
          <w:rPr>
            <w:sz w:val="22"/>
            <w:szCs w:val="22"/>
          </w:rPr>
          <w:delText>Liberte a prega cutânea da outra mão.</w:delText>
        </w:r>
      </w:del>
    </w:p>
    <w:p w14:paraId="154D59C4" w14:textId="1C3E4A32" w:rsidR="004462A0" w:rsidRPr="008912CF" w:rsidRDefault="00615769" w:rsidP="004462A0">
      <w:pPr>
        <w:numPr>
          <w:ilvl w:val="0"/>
          <w:numId w:val="46"/>
        </w:numPr>
        <w:rPr>
          <w:del w:id="14471" w:author="AbbVie2" w:date="2025-05-14T10:24:00Z"/>
          <w:sz w:val="22"/>
          <w:szCs w:val="22"/>
        </w:rPr>
      </w:pPr>
      <w:del w:id="14472" w:author="AbbVie2" w:date="2025-05-14T10:24:00Z">
        <w:r w:rsidRPr="008912CF">
          <w:rPr>
            <w:sz w:val="22"/>
            <w:szCs w:val="22"/>
          </w:rPr>
          <w:delText>Empurre o êmbolo para injetar a solução - pode demorar 2 a 5 segundos a esvaziar a seringa.</w:delText>
        </w:r>
      </w:del>
    </w:p>
    <w:p w14:paraId="53798054" w14:textId="505C8B79" w:rsidR="004462A0" w:rsidRPr="008912CF" w:rsidRDefault="00615769" w:rsidP="004462A0">
      <w:pPr>
        <w:numPr>
          <w:ilvl w:val="0"/>
          <w:numId w:val="46"/>
        </w:numPr>
        <w:rPr>
          <w:del w:id="14473" w:author="AbbVie2" w:date="2025-05-14T10:24:00Z"/>
          <w:sz w:val="22"/>
          <w:szCs w:val="22"/>
        </w:rPr>
      </w:pPr>
      <w:del w:id="14474" w:author="AbbVie2" w:date="2025-05-14T10:24:00Z">
        <w:r w:rsidRPr="008912CF">
          <w:rPr>
            <w:sz w:val="22"/>
            <w:szCs w:val="22"/>
          </w:rPr>
          <w:delText>Após esvaziar a seringa, retire a agulha da pele, procurando manter o mesmo ângulo da inserção.</w:delText>
        </w:r>
      </w:del>
    </w:p>
    <w:p w14:paraId="773D0555" w14:textId="30F09F05" w:rsidR="004462A0" w:rsidRPr="008912CF" w:rsidRDefault="00615769" w:rsidP="004462A0">
      <w:pPr>
        <w:numPr>
          <w:ilvl w:val="0"/>
          <w:numId w:val="46"/>
        </w:numPr>
        <w:rPr>
          <w:del w:id="14475" w:author="AbbVie2" w:date="2025-05-14T10:24:00Z"/>
          <w:sz w:val="22"/>
          <w:szCs w:val="22"/>
        </w:rPr>
      </w:pPr>
      <w:del w:id="14476" w:author="AbbVie2" w:date="2025-05-14T10:24:00Z">
        <w:r w:rsidRPr="008912CF">
          <w:rPr>
            <w:sz w:val="22"/>
            <w:szCs w:val="22"/>
          </w:rPr>
          <w:delText>Utilizando o polegar ou uma gaze, pressione o local de injeção durante 10 segundos. Pode ocorrer uma pequena hemorragia. Não friccione o local da injeção. Se desejar, coloque um penso rápido.</w:delText>
        </w:r>
      </w:del>
    </w:p>
    <w:p w14:paraId="7B028084" w14:textId="1A115FCE" w:rsidR="004462A0" w:rsidRPr="008912CF" w:rsidRDefault="004462A0" w:rsidP="004462A0">
      <w:pPr>
        <w:pStyle w:val="EndnoteText"/>
        <w:tabs>
          <w:tab w:val="clear" w:pos="567"/>
        </w:tabs>
        <w:rPr>
          <w:del w:id="14477" w:author="AbbVie2" w:date="2025-05-14T10:24:00Z"/>
          <w:szCs w:val="22"/>
        </w:rPr>
      </w:pPr>
    </w:p>
    <w:p w14:paraId="2A0944DC" w14:textId="1FC3B431" w:rsidR="004462A0" w:rsidRPr="008912CF" w:rsidRDefault="00615769" w:rsidP="00907F74">
      <w:pPr>
        <w:keepNext/>
        <w:rPr>
          <w:del w:id="14478" w:author="AbbVie2" w:date="2025-05-14T10:24:00Z"/>
          <w:b/>
          <w:sz w:val="22"/>
          <w:szCs w:val="22"/>
        </w:rPr>
      </w:pPr>
      <w:del w:id="14479" w:author="AbbVie2" w:date="2025-05-14T10:24:00Z">
        <w:r w:rsidRPr="008912CF">
          <w:rPr>
            <w:b/>
            <w:sz w:val="22"/>
            <w:szCs w:val="22"/>
          </w:rPr>
          <w:delText xml:space="preserve">4) </w:delText>
        </w:r>
        <w:r w:rsidRPr="008912CF">
          <w:rPr>
            <w:b/>
            <w:sz w:val="22"/>
            <w:szCs w:val="22"/>
          </w:rPr>
          <w:tab/>
          <w:delText>Eliminação das seringas</w:delText>
        </w:r>
      </w:del>
    </w:p>
    <w:p w14:paraId="40A37DF8" w14:textId="31E47366" w:rsidR="004462A0" w:rsidRPr="008912CF" w:rsidRDefault="004462A0" w:rsidP="00907F74">
      <w:pPr>
        <w:keepNext/>
        <w:rPr>
          <w:del w:id="14480" w:author="AbbVie2" w:date="2025-05-14T10:24:00Z"/>
          <w:b/>
          <w:sz w:val="22"/>
          <w:szCs w:val="22"/>
        </w:rPr>
      </w:pPr>
    </w:p>
    <w:p w14:paraId="5B2468F6" w14:textId="06C97D98" w:rsidR="004462A0" w:rsidRPr="008912CF" w:rsidRDefault="00615769" w:rsidP="00907F74">
      <w:pPr>
        <w:keepNext/>
        <w:numPr>
          <w:ilvl w:val="1"/>
          <w:numId w:val="47"/>
        </w:numPr>
        <w:rPr>
          <w:del w:id="14481" w:author="AbbVie2" w:date="2025-05-14T10:24:00Z"/>
          <w:sz w:val="22"/>
          <w:szCs w:val="22"/>
        </w:rPr>
      </w:pPr>
      <w:del w:id="14482" w:author="AbbVie2" w:date="2025-05-14T10:24:00Z">
        <w:r w:rsidRPr="008912CF">
          <w:rPr>
            <w:b/>
            <w:sz w:val="22"/>
            <w:szCs w:val="22"/>
          </w:rPr>
          <w:delText>NUNCA</w:delText>
        </w:r>
        <w:r w:rsidRPr="008912CF">
          <w:rPr>
            <w:sz w:val="22"/>
            <w:szCs w:val="22"/>
          </w:rPr>
          <w:delText xml:space="preserve"> reutilizar a seringa de Humira. </w:delText>
        </w:r>
        <w:r w:rsidRPr="008912CF">
          <w:rPr>
            <w:b/>
            <w:bCs/>
            <w:sz w:val="22"/>
            <w:szCs w:val="22"/>
          </w:rPr>
          <w:delText>NUNCA</w:delText>
        </w:r>
        <w:r w:rsidRPr="008912CF">
          <w:rPr>
            <w:sz w:val="22"/>
            <w:szCs w:val="22"/>
          </w:rPr>
          <w:delText xml:space="preserve"> voltar a colocar a cápsula na agulha.</w:delText>
        </w:r>
      </w:del>
    </w:p>
    <w:p w14:paraId="1EDB855A" w14:textId="113D0709" w:rsidR="004462A0" w:rsidRPr="008912CF" w:rsidRDefault="00615769" w:rsidP="004462A0">
      <w:pPr>
        <w:numPr>
          <w:ilvl w:val="1"/>
          <w:numId w:val="47"/>
        </w:numPr>
        <w:rPr>
          <w:del w:id="14483" w:author="AbbVie2" w:date="2025-05-14T10:24:00Z"/>
          <w:sz w:val="22"/>
          <w:szCs w:val="22"/>
        </w:rPr>
      </w:pPr>
      <w:del w:id="14484" w:author="AbbVie2" w:date="2025-05-14T10:24:00Z">
        <w:r w:rsidRPr="008912CF">
          <w:rPr>
            <w:sz w:val="22"/>
            <w:szCs w:val="22"/>
          </w:rPr>
          <w:delText>Após a injeção de Humira, elimine imediatamente a seringa utilizada num recipiente próprio, de acordo com as instruções dadas pelo seu médico, enfermeiro ou farmacêutico.</w:delText>
        </w:r>
      </w:del>
    </w:p>
    <w:p w14:paraId="66979B52" w14:textId="566BDD2F" w:rsidR="004462A0" w:rsidRPr="008912CF" w:rsidRDefault="00615769" w:rsidP="004462A0">
      <w:pPr>
        <w:numPr>
          <w:ilvl w:val="1"/>
          <w:numId w:val="47"/>
        </w:numPr>
        <w:rPr>
          <w:del w:id="14485" w:author="AbbVie2" w:date="2025-05-14T10:24:00Z"/>
          <w:sz w:val="22"/>
          <w:szCs w:val="22"/>
        </w:rPr>
      </w:pPr>
      <w:del w:id="14486" w:author="AbbVie2" w:date="2025-05-14T10:24:00Z">
        <w:r w:rsidRPr="008912CF">
          <w:rPr>
            <w:sz w:val="22"/>
            <w:szCs w:val="22"/>
          </w:rPr>
          <w:delText>Manter o recipiente fora da vista e do alcance das crianças.</w:delText>
        </w:r>
      </w:del>
    </w:p>
    <w:p w14:paraId="612E7985" w14:textId="03114658" w:rsidR="004462A0" w:rsidRPr="008912CF" w:rsidRDefault="004462A0" w:rsidP="004462A0">
      <w:pPr>
        <w:pStyle w:val="EndnoteText"/>
        <w:tabs>
          <w:tab w:val="clear" w:pos="567"/>
        </w:tabs>
        <w:rPr>
          <w:del w:id="14487" w:author="AbbVie2" w:date="2025-05-14T10:24:00Z"/>
          <w:szCs w:val="22"/>
        </w:rPr>
      </w:pPr>
    </w:p>
    <w:p w14:paraId="4EF8D043" w14:textId="546E2A46" w:rsidR="00DE1B6C" w:rsidRPr="00F03C54" w:rsidRDefault="00615769" w:rsidP="00DE1B6C">
      <w:pPr>
        <w:keepNext/>
        <w:rPr>
          <w:del w:id="14488" w:author="AbbVie2" w:date="2025-05-14T10:24:00Z"/>
          <w:b/>
          <w:sz w:val="22"/>
          <w:szCs w:val="22"/>
          <w:highlight w:val="lightGray"/>
        </w:rPr>
      </w:pPr>
      <w:del w:id="14489" w:author="AbbVie2" w:date="2025-05-14T10:24:00Z">
        <w:r w:rsidRPr="00F03C54">
          <w:rPr>
            <w:b/>
            <w:sz w:val="22"/>
            <w:szCs w:val="22"/>
            <w:highlight w:val="lightGray"/>
          </w:rPr>
          <w:delText xml:space="preserve">Instruções para a preparação e administração de uma injeção de </w:delText>
        </w:r>
        <w:r w:rsidRPr="00F03C54">
          <w:rPr>
            <w:b/>
            <w:bCs/>
            <w:sz w:val="22"/>
            <w:szCs w:val="22"/>
            <w:highlight w:val="lightGray"/>
          </w:rPr>
          <w:delText>Humira</w:delText>
        </w:r>
      </w:del>
    </w:p>
    <w:p w14:paraId="3A5A783A" w14:textId="2158AB54" w:rsidR="00DE1B6C" w:rsidRPr="00F03C54" w:rsidRDefault="00DE1B6C" w:rsidP="00DE1B6C">
      <w:pPr>
        <w:keepNext/>
        <w:rPr>
          <w:del w:id="14490" w:author="AbbVie2" w:date="2025-05-14T10:24:00Z"/>
          <w:sz w:val="22"/>
          <w:szCs w:val="22"/>
          <w:highlight w:val="lightGray"/>
        </w:rPr>
      </w:pPr>
    </w:p>
    <w:p w14:paraId="3BC31366" w14:textId="5F5CA2D0" w:rsidR="00DE1B6C" w:rsidRPr="00F03C54" w:rsidRDefault="00615769" w:rsidP="00DE1B6C">
      <w:pPr>
        <w:rPr>
          <w:del w:id="14491" w:author="AbbVie2" w:date="2025-05-14T10:24:00Z"/>
          <w:sz w:val="22"/>
          <w:szCs w:val="22"/>
          <w:highlight w:val="lightGray"/>
        </w:rPr>
      </w:pPr>
      <w:del w:id="14492" w:author="AbbVie2" w:date="2025-05-14T10:24:00Z">
        <w:r w:rsidRPr="00F03C54">
          <w:rPr>
            <w:sz w:val="22"/>
            <w:szCs w:val="22"/>
            <w:highlight w:val="lightGray"/>
          </w:rPr>
          <w:delText>As instruções a seguir indicadas explicam como injetar Humira. Leia atentamente as instruções e siga-as passo a passo. O seu médico ou assistente prestar-lhe-á informações sobre a técnica de autoinjeção. Não tente autoinjetar-se antes de estar certo de ter compreendido o modo de preparar e administrar a injeção. Após treino adequado, a injeção pode ser administrada pelo doente ou por outra pessoa, por exemplo um familiar ou amigo.</w:delText>
        </w:r>
      </w:del>
    </w:p>
    <w:p w14:paraId="45CC1116" w14:textId="7FDEF307" w:rsidR="00DE1B6C" w:rsidRPr="00F03C54" w:rsidRDefault="00DE1B6C" w:rsidP="00DE1B6C">
      <w:pPr>
        <w:rPr>
          <w:del w:id="14493" w:author="AbbVie2" w:date="2025-05-14T10:24:00Z"/>
          <w:sz w:val="22"/>
          <w:szCs w:val="22"/>
          <w:highlight w:val="lightGray"/>
        </w:rPr>
      </w:pPr>
    </w:p>
    <w:p w14:paraId="40B85B73" w14:textId="53AA5F19" w:rsidR="00DE1B6C" w:rsidRPr="00F03C54" w:rsidRDefault="00615769" w:rsidP="00DE1B6C">
      <w:pPr>
        <w:rPr>
          <w:del w:id="14494" w:author="AbbVie2" w:date="2025-05-14T10:24:00Z"/>
          <w:sz w:val="22"/>
          <w:szCs w:val="22"/>
          <w:highlight w:val="lightGray"/>
        </w:rPr>
      </w:pPr>
      <w:del w:id="14495" w:author="AbbVie2" w:date="2025-05-14T10:24:00Z">
        <w:r w:rsidRPr="00F03C54">
          <w:rPr>
            <w:sz w:val="22"/>
            <w:szCs w:val="22"/>
            <w:highlight w:val="lightGray"/>
          </w:rPr>
          <w:delText>Esta injeção não deve ser misturada com qualquer outro medicamento na mesma seringa ou frasco para injetáveis.</w:delText>
        </w:r>
      </w:del>
    </w:p>
    <w:p w14:paraId="7B99182D" w14:textId="4A0F25BD" w:rsidR="00DE1B6C" w:rsidRPr="00F03C54" w:rsidRDefault="00DE1B6C" w:rsidP="004462A0">
      <w:pPr>
        <w:rPr>
          <w:del w:id="14496" w:author="AbbVie2" w:date="2025-05-14T10:24:00Z"/>
          <w:b/>
          <w:sz w:val="22"/>
          <w:szCs w:val="22"/>
          <w:highlight w:val="lightGray"/>
        </w:rPr>
      </w:pPr>
    </w:p>
    <w:p w14:paraId="3B41688A" w14:textId="22B443B6" w:rsidR="00DE1B6C" w:rsidRPr="00F03C54" w:rsidRDefault="00615769" w:rsidP="00DE1B6C">
      <w:pPr>
        <w:ind w:left="567" w:hanging="567"/>
        <w:rPr>
          <w:del w:id="14497" w:author="AbbVie2" w:date="2025-05-14T10:24:00Z"/>
          <w:b/>
          <w:sz w:val="22"/>
          <w:szCs w:val="22"/>
          <w:highlight w:val="lightGray"/>
        </w:rPr>
      </w:pPr>
      <w:del w:id="14498" w:author="AbbVie2" w:date="2025-05-14T10:24:00Z">
        <w:r w:rsidRPr="00F03C54">
          <w:rPr>
            <w:b/>
            <w:sz w:val="22"/>
            <w:szCs w:val="22"/>
            <w:highlight w:val="lightGray"/>
          </w:rPr>
          <w:delText>1)</w:delText>
        </w:r>
        <w:r w:rsidRPr="00F03C54">
          <w:rPr>
            <w:sz w:val="22"/>
            <w:szCs w:val="22"/>
            <w:highlight w:val="lightGray"/>
          </w:rPr>
          <w:tab/>
        </w:r>
        <w:r w:rsidRPr="00F03C54">
          <w:rPr>
            <w:b/>
            <w:sz w:val="22"/>
            <w:szCs w:val="22"/>
            <w:highlight w:val="lightGray"/>
          </w:rPr>
          <w:delText>Preparação</w:delText>
        </w:r>
      </w:del>
    </w:p>
    <w:p w14:paraId="57544914" w14:textId="7896723C" w:rsidR="00DE1B6C" w:rsidRPr="00F03C54" w:rsidRDefault="00DE1B6C" w:rsidP="00DE1B6C">
      <w:pPr>
        <w:rPr>
          <w:del w:id="14499" w:author="AbbVie2" w:date="2025-05-14T10:24:00Z"/>
          <w:sz w:val="22"/>
          <w:szCs w:val="22"/>
          <w:highlight w:val="lightGray"/>
        </w:rPr>
      </w:pPr>
    </w:p>
    <w:p w14:paraId="57846107" w14:textId="0041C534" w:rsidR="00DE1B6C" w:rsidRPr="00F03C54" w:rsidRDefault="00615769" w:rsidP="00DE1B6C">
      <w:pPr>
        <w:numPr>
          <w:ilvl w:val="0"/>
          <w:numId w:val="42"/>
        </w:numPr>
        <w:rPr>
          <w:del w:id="14500" w:author="AbbVie2" w:date="2025-05-14T10:24:00Z"/>
          <w:sz w:val="22"/>
          <w:szCs w:val="22"/>
          <w:highlight w:val="lightGray"/>
        </w:rPr>
      </w:pPr>
      <w:del w:id="14501" w:author="AbbVie2" w:date="2025-05-14T10:24:00Z">
        <w:r w:rsidRPr="00F03C54">
          <w:rPr>
            <w:sz w:val="22"/>
            <w:szCs w:val="22"/>
            <w:highlight w:val="lightGray"/>
          </w:rPr>
          <w:delText xml:space="preserve">Lave cuidadosamente as mãos </w:delText>
        </w:r>
      </w:del>
    </w:p>
    <w:p w14:paraId="0C8B1E71" w14:textId="3AD9695D" w:rsidR="00DE1B6C" w:rsidRPr="00F03C54" w:rsidRDefault="00615769" w:rsidP="00DE1B6C">
      <w:pPr>
        <w:numPr>
          <w:ilvl w:val="0"/>
          <w:numId w:val="42"/>
        </w:numPr>
        <w:rPr>
          <w:del w:id="14502" w:author="AbbVie2" w:date="2025-05-14T10:24:00Z"/>
          <w:sz w:val="22"/>
          <w:szCs w:val="22"/>
          <w:highlight w:val="lightGray"/>
        </w:rPr>
      </w:pPr>
      <w:del w:id="14503" w:author="AbbVie2" w:date="2025-05-14T10:24:00Z">
        <w:r w:rsidRPr="00F03C54">
          <w:rPr>
            <w:sz w:val="22"/>
            <w:szCs w:val="22"/>
            <w:highlight w:val="lightGray"/>
          </w:rPr>
          <w:delText>Coloque os seguintes elementos sobre uma superfície limpa</w:delText>
        </w:r>
      </w:del>
    </w:p>
    <w:p w14:paraId="501B80CF" w14:textId="41ABE961" w:rsidR="00DE1B6C" w:rsidRPr="00F03C54" w:rsidRDefault="00DE1B6C" w:rsidP="00DE1B6C">
      <w:pPr>
        <w:pStyle w:val="EndnoteText"/>
        <w:rPr>
          <w:del w:id="14504" w:author="AbbVie2" w:date="2025-05-14T10:24:00Z"/>
          <w:szCs w:val="22"/>
          <w:highlight w:val="lightGray"/>
        </w:rPr>
      </w:pPr>
    </w:p>
    <w:p w14:paraId="4A296209" w14:textId="3EBC7B5D" w:rsidR="00DE1B6C" w:rsidRPr="00F03C54" w:rsidRDefault="00615769" w:rsidP="00DE1B6C">
      <w:pPr>
        <w:numPr>
          <w:ilvl w:val="1"/>
          <w:numId w:val="14"/>
        </w:numPr>
        <w:tabs>
          <w:tab w:val="left" w:pos="1134"/>
        </w:tabs>
        <w:ind w:left="1134" w:hanging="567"/>
        <w:rPr>
          <w:del w:id="14505" w:author="AbbVie2" w:date="2025-05-14T10:24:00Z"/>
          <w:sz w:val="22"/>
          <w:szCs w:val="22"/>
          <w:highlight w:val="lightGray"/>
        </w:rPr>
      </w:pPr>
      <w:del w:id="14506" w:author="AbbVie2" w:date="2025-05-14T10:24:00Z">
        <w:r w:rsidRPr="00F03C54">
          <w:rPr>
            <w:sz w:val="22"/>
            <w:szCs w:val="22"/>
            <w:highlight w:val="lightGray"/>
          </w:rPr>
          <w:delText>Uma seringa pré-cheia de Humira</w:delText>
        </w:r>
        <w:r w:rsidRPr="00F03C54">
          <w:rPr>
            <w:b/>
            <w:sz w:val="22"/>
            <w:szCs w:val="22"/>
            <w:highlight w:val="lightGray"/>
          </w:rPr>
          <w:delText xml:space="preserve"> </w:delText>
        </w:r>
        <w:r w:rsidRPr="00F03C54">
          <w:rPr>
            <w:sz w:val="22"/>
            <w:szCs w:val="22"/>
            <w:highlight w:val="lightGray"/>
          </w:rPr>
          <w:delText>para uso injetável</w:delText>
        </w:r>
      </w:del>
    </w:p>
    <w:p w14:paraId="30A2CF22" w14:textId="1C3F1B44" w:rsidR="00DE1B6C" w:rsidRPr="00F03C54" w:rsidRDefault="00615769" w:rsidP="00DE1B6C">
      <w:pPr>
        <w:numPr>
          <w:ilvl w:val="1"/>
          <w:numId w:val="14"/>
        </w:numPr>
        <w:tabs>
          <w:tab w:val="left" w:pos="1134"/>
        </w:tabs>
        <w:ind w:left="1134" w:hanging="567"/>
        <w:rPr>
          <w:del w:id="14507" w:author="AbbVie2" w:date="2025-05-14T10:24:00Z"/>
          <w:sz w:val="22"/>
          <w:szCs w:val="22"/>
          <w:highlight w:val="lightGray"/>
        </w:rPr>
      </w:pPr>
      <w:del w:id="14508" w:author="AbbVie2" w:date="2025-05-14T10:24:00Z">
        <w:r w:rsidRPr="00F03C54">
          <w:rPr>
            <w:sz w:val="22"/>
            <w:szCs w:val="22"/>
            <w:highlight w:val="lightGray"/>
          </w:rPr>
          <w:delText>Uma compressa embebida em álcool</w:delText>
        </w:r>
      </w:del>
    </w:p>
    <w:p w14:paraId="70F11959" w14:textId="3C05AF48" w:rsidR="00DE1B6C" w:rsidRDefault="00DE1B6C" w:rsidP="004462A0">
      <w:pPr>
        <w:rPr>
          <w:del w:id="14509" w:author="AbbVie2" w:date="2025-05-14T10:24:00Z"/>
          <w:b/>
          <w:sz w:val="22"/>
          <w:szCs w:val="22"/>
        </w:rPr>
      </w:pPr>
    </w:p>
    <w:p w14:paraId="6C666EE7" w14:textId="66EE96DD" w:rsidR="00DE1B6C" w:rsidRDefault="00615769" w:rsidP="00F03C54">
      <w:pPr>
        <w:jc w:val="center"/>
        <w:rPr>
          <w:del w:id="14510" w:author="AbbVie2" w:date="2025-05-14T10:24:00Z"/>
          <w:b/>
          <w:sz w:val="22"/>
          <w:szCs w:val="22"/>
        </w:rPr>
      </w:pPr>
      <w:del w:id="14511" w:author="AbbVie2" w:date="2025-05-14T10:24:00Z">
        <w:r>
          <w:rPr>
            <w:highlight w:val="lightGray"/>
            <w:lang w:val="en-GB"/>
          </w:rPr>
          <w:object w:dxaOrig="3601" w:dyaOrig="2761" w14:anchorId="653770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05pt;height:138.05pt" o:ole="">
              <v:imagedata r:id="rId51" o:title=""/>
            </v:shape>
            <o:OLEObject Type="Embed" ProgID="PBrush" ShapeID="_x0000_i1025" DrawAspect="Content" ObjectID="_1819005141" r:id="rId52"/>
          </w:object>
        </w:r>
      </w:del>
    </w:p>
    <w:p w14:paraId="30B9929F" w14:textId="6A1E996A" w:rsidR="00DE1B6C" w:rsidRPr="008912CF" w:rsidRDefault="00DE1B6C" w:rsidP="00DE1B6C">
      <w:pPr>
        <w:rPr>
          <w:del w:id="14512" w:author="AbbVie2" w:date="2025-05-14T10:24:00Z"/>
          <w:sz w:val="22"/>
          <w:szCs w:val="22"/>
        </w:rPr>
      </w:pPr>
    </w:p>
    <w:p w14:paraId="5A3ABD98" w14:textId="22D619BB" w:rsidR="00DE1B6C" w:rsidRPr="00F03C54" w:rsidRDefault="00615769" w:rsidP="00DE1B6C">
      <w:pPr>
        <w:numPr>
          <w:ilvl w:val="1"/>
          <w:numId w:val="43"/>
        </w:numPr>
        <w:rPr>
          <w:del w:id="14513" w:author="AbbVie2" w:date="2025-05-14T10:24:00Z"/>
          <w:sz w:val="22"/>
          <w:szCs w:val="22"/>
          <w:highlight w:val="lightGray"/>
        </w:rPr>
      </w:pPr>
      <w:del w:id="14514" w:author="AbbVie2" w:date="2025-05-14T10:24:00Z">
        <w:r w:rsidRPr="00F03C54">
          <w:rPr>
            <w:sz w:val="22"/>
            <w:szCs w:val="22"/>
            <w:highlight w:val="lightGray"/>
          </w:rPr>
          <w:delText>Verifique o prazo de validade na seringa. Não utilize o produto se já tiver expirado o mês e ano indicados.</w:delText>
        </w:r>
      </w:del>
    </w:p>
    <w:p w14:paraId="1A885646" w14:textId="0AA5DDA0" w:rsidR="00DE1B6C" w:rsidRPr="00F03C54" w:rsidRDefault="00DE1B6C" w:rsidP="00DE1B6C">
      <w:pPr>
        <w:rPr>
          <w:del w:id="14515" w:author="AbbVie2" w:date="2025-05-14T10:24:00Z"/>
          <w:sz w:val="22"/>
          <w:szCs w:val="22"/>
          <w:highlight w:val="lightGray"/>
        </w:rPr>
      </w:pPr>
    </w:p>
    <w:p w14:paraId="7B627E0A" w14:textId="1A941A1F" w:rsidR="00DE1B6C" w:rsidRPr="00F03C54" w:rsidRDefault="00615769" w:rsidP="00DE1B6C">
      <w:pPr>
        <w:pStyle w:val="Heading2"/>
        <w:keepNext w:val="0"/>
        <w:rPr>
          <w:del w:id="14516" w:author="AbbVie2" w:date="2025-05-14T10:24:00Z"/>
          <w:szCs w:val="22"/>
          <w:highlight w:val="lightGray"/>
        </w:rPr>
      </w:pPr>
      <w:del w:id="14517" w:author="AbbVie2" w:date="2025-05-14T10:24:00Z">
        <w:r w:rsidRPr="00F03C54">
          <w:rPr>
            <w:szCs w:val="22"/>
            <w:highlight w:val="lightGray"/>
          </w:rPr>
          <w:delText>2)</w:delText>
        </w:r>
        <w:r w:rsidRPr="00F03C54">
          <w:rPr>
            <w:szCs w:val="22"/>
            <w:highlight w:val="lightGray"/>
          </w:rPr>
          <w:tab/>
          <w:delText>Escolha e preparação do local de injeção</w:delText>
        </w:r>
      </w:del>
    </w:p>
    <w:p w14:paraId="0C8A31D5" w14:textId="3EBAE4D0" w:rsidR="00DE1B6C" w:rsidRPr="00F03C54" w:rsidRDefault="00DE1B6C" w:rsidP="00DE1B6C">
      <w:pPr>
        <w:rPr>
          <w:del w:id="14518" w:author="AbbVie2" w:date="2025-05-14T10:24:00Z"/>
          <w:b/>
          <w:sz w:val="22"/>
          <w:szCs w:val="22"/>
          <w:highlight w:val="lightGray"/>
        </w:rPr>
      </w:pPr>
    </w:p>
    <w:p w14:paraId="2CA676F2" w14:textId="59E63638" w:rsidR="00DE1B6C" w:rsidRPr="00F03C54" w:rsidRDefault="00615769" w:rsidP="00DE1B6C">
      <w:pPr>
        <w:numPr>
          <w:ilvl w:val="1"/>
          <w:numId w:val="26"/>
        </w:numPr>
        <w:rPr>
          <w:del w:id="14519" w:author="AbbVie2" w:date="2025-05-14T10:24:00Z"/>
          <w:sz w:val="22"/>
          <w:szCs w:val="22"/>
          <w:highlight w:val="lightGray"/>
        </w:rPr>
      </w:pPr>
      <w:del w:id="14520" w:author="AbbVie2" w:date="2025-05-14T10:24:00Z">
        <w:r w:rsidRPr="00F03C54">
          <w:rPr>
            <w:sz w:val="22"/>
            <w:szCs w:val="22"/>
            <w:highlight w:val="lightGray"/>
          </w:rPr>
          <w:delText>Escolha um local na coxa ou região abdominal</w:delText>
        </w:r>
      </w:del>
    </w:p>
    <w:p w14:paraId="092DEF18" w14:textId="6FBADFDA" w:rsidR="00DE1B6C" w:rsidRDefault="00DE1B6C" w:rsidP="004462A0">
      <w:pPr>
        <w:rPr>
          <w:del w:id="14521" w:author="AbbVie2" w:date="2025-05-14T10:24:00Z"/>
          <w:b/>
          <w:sz w:val="22"/>
          <w:szCs w:val="22"/>
        </w:rPr>
      </w:pPr>
    </w:p>
    <w:p w14:paraId="423A22A4" w14:textId="06F0E524" w:rsidR="00DE1B6C" w:rsidRDefault="00615769" w:rsidP="00F03C54">
      <w:pPr>
        <w:jc w:val="center"/>
        <w:rPr>
          <w:del w:id="14522" w:author="AbbVie2" w:date="2025-05-14T10:24:00Z"/>
          <w:b/>
          <w:sz w:val="22"/>
          <w:szCs w:val="22"/>
        </w:rPr>
      </w:pPr>
      <w:del w:id="14523" w:author="AbbVie2" w:date="2025-05-14T10:24:00Z">
        <w:r>
          <w:rPr>
            <w:highlight w:val="lightGray"/>
            <w:lang w:val="en-GB"/>
          </w:rPr>
          <w:object w:dxaOrig="2400" w:dyaOrig="2130" w14:anchorId="7C88E16D">
            <v:shape id="_x0000_i1026" type="#_x0000_t75" style="width:120pt;height:106.5pt" o:ole="">
              <v:imagedata r:id="rId53" o:title=""/>
            </v:shape>
            <o:OLEObject Type="Embed" ProgID="MSPhotoEd.3" ShapeID="_x0000_i1026" DrawAspect="Content" ObjectID="_1819005142" r:id="rId54"/>
          </w:object>
        </w:r>
      </w:del>
    </w:p>
    <w:p w14:paraId="4B4FCCE3" w14:textId="62935025" w:rsidR="00DE1B6C" w:rsidRDefault="00DE1B6C" w:rsidP="004462A0">
      <w:pPr>
        <w:rPr>
          <w:del w:id="14524" w:author="AbbVie2" w:date="2025-05-14T10:24:00Z"/>
          <w:b/>
          <w:sz w:val="22"/>
          <w:szCs w:val="22"/>
        </w:rPr>
      </w:pPr>
    </w:p>
    <w:p w14:paraId="4F73FC1A" w14:textId="07ED89C0" w:rsidR="00017FBD" w:rsidRPr="00F03C54" w:rsidRDefault="00615769" w:rsidP="00017FBD">
      <w:pPr>
        <w:numPr>
          <w:ilvl w:val="1"/>
          <w:numId w:val="44"/>
        </w:numPr>
        <w:rPr>
          <w:del w:id="14525" w:author="AbbVie2" w:date="2025-05-14T10:24:00Z"/>
          <w:sz w:val="22"/>
          <w:szCs w:val="22"/>
          <w:highlight w:val="lightGray"/>
        </w:rPr>
      </w:pPr>
      <w:del w:id="14526" w:author="AbbVie2" w:date="2025-05-14T10:24:00Z">
        <w:r w:rsidRPr="00F03C54">
          <w:rPr>
            <w:sz w:val="22"/>
            <w:szCs w:val="22"/>
            <w:highlight w:val="lightGray"/>
          </w:rPr>
          <w:delText>Cada nova injeção deve ser administrada com pelo menos 3 cm de distância do local da última injeção.</w:delText>
        </w:r>
      </w:del>
    </w:p>
    <w:p w14:paraId="2F9B50E8" w14:textId="6D358619" w:rsidR="00017FBD" w:rsidRPr="00F03C54" w:rsidRDefault="00615769" w:rsidP="00017FBD">
      <w:pPr>
        <w:numPr>
          <w:ilvl w:val="1"/>
          <w:numId w:val="14"/>
        </w:numPr>
        <w:tabs>
          <w:tab w:val="left" w:pos="1134"/>
        </w:tabs>
        <w:ind w:left="1134" w:hanging="567"/>
        <w:rPr>
          <w:del w:id="14527" w:author="AbbVie2" w:date="2025-05-14T10:24:00Z"/>
          <w:sz w:val="22"/>
          <w:szCs w:val="22"/>
          <w:highlight w:val="lightGray"/>
        </w:rPr>
      </w:pPr>
      <w:del w:id="14528" w:author="AbbVie2" w:date="2025-05-14T10:24:00Z">
        <w:r w:rsidRPr="00F03C54">
          <w:rPr>
            <w:sz w:val="22"/>
            <w:szCs w:val="22"/>
            <w:highlight w:val="lightGray"/>
          </w:rPr>
          <w:delText>Não injete numa área em que a pele esteja avermelhada, ferida ou endurecida. Isto pode significar que existe uma infeção.</w:delText>
        </w:r>
      </w:del>
    </w:p>
    <w:p w14:paraId="747B977D" w14:textId="36213908" w:rsidR="00017FBD" w:rsidRPr="00F03C54" w:rsidRDefault="00615769" w:rsidP="00017FBD">
      <w:pPr>
        <w:numPr>
          <w:ilvl w:val="1"/>
          <w:numId w:val="14"/>
        </w:numPr>
        <w:tabs>
          <w:tab w:val="left" w:pos="1134"/>
        </w:tabs>
        <w:ind w:left="1134" w:hanging="567"/>
        <w:rPr>
          <w:del w:id="14529" w:author="AbbVie2" w:date="2025-05-14T10:24:00Z"/>
          <w:sz w:val="22"/>
          <w:szCs w:val="22"/>
          <w:highlight w:val="lightGray"/>
        </w:rPr>
      </w:pPr>
      <w:del w:id="14530" w:author="AbbVie2" w:date="2025-05-14T10:24:00Z">
        <w:r w:rsidRPr="00F03C54">
          <w:rPr>
            <w:sz w:val="22"/>
            <w:szCs w:val="22"/>
            <w:highlight w:val="lightGray"/>
          </w:rPr>
          <w:delText>Limpe o local da injeção com a compressa embebida em álcool, com movimentos circulares.</w:delText>
        </w:r>
      </w:del>
    </w:p>
    <w:p w14:paraId="446F93FD" w14:textId="0F767942" w:rsidR="00017FBD" w:rsidRPr="00F03C54" w:rsidRDefault="00615769" w:rsidP="00017FBD">
      <w:pPr>
        <w:numPr>
          <w:ilvl w:val="1"/>
          <w:numId w:val="14"/>
        </w:numPr>
        <w:tabs>
          <w:tab w:val="left" w:pos="1134"/>
        </w:tabs>
        <w:ind w:left="1134" w:hanging="567"/>
        <w:rPr>
          <w:del w:id="14531" w:author="AbbVie2" w:date="2025-05-14T10:24:00Z"/>
          <w:sz w:val="22"/>
          <w:szCs w:val="22"/>
          <w:highlight w:val="lightGray"/>
        </w:rPr>
      </w:pPr>
      <w:del w:id="14532" w:author="AbbVie2" w:date="2025-05-14T10:24:00Z">
        <w:r w:rsidRPr="00F03C54">
          <w:rPr>
            <w:sz w:val="22"/>
            <w:szCs w:val="22"/>
            <w:highlight w:val="lightGray"/>
          </w:rPr>
          <w:delText>Não volte a tocar nessa área antes da injeção.</w:delText>
        </w:r>
      </w:del>
    </w:p>
    <w:p w14:paraId="078D3B3D" w14:textId="4F16875B" w:rsidR="00017FBD" w:rsidRPr="00F03C54" w:rsidRDefault="00017FBD" w:rsidP="00017FBD">
      <w:pPr>
        <w:rPr>
          <w:del w:id="14533" w:author="AbbVie2" w:date="2025-05-14T10:24:00Z"/>
          <w:sz w:val="22"/>
          <w:szCs w:val="22"/>
          <w:highlight w:val="lightGray"/>
        </w:rPr>
      </w:pPr>
    </w:p>
    <w:p w14:paraId="50263CF8" w14:textId="58125763" w:rsidR="00017FBD" w:rsidRPr="00F03C54" w:rsidRDefault="00615769" w:rsidP="00017FBD">
      <w:pPr>
        <w:keepNext/>
        <w:ind w:left="567" w:hanging="567"/>
        <w:rPr>
          <w:del w:id="14534" w:author="AbbVie2" w:date="2025-05-14T10:24:00Z"/>
          <w:b/>
          <w:sz w:val="22"/>
          <w:szCs w:val="22"/>
          <w:highlight w:val="lightGray"/>
        </w:rPr>
      </w:pPr>
      <w:del w:id="14535" w:author="AbbVie2" w:date="2025-05-14T10:24:00Z">
        <w:r w:rsidRPr="00F03C54">
          <w:rPr>
            <w:b/>
            <w:sz w:val="22"/>
            <w:szCs w:val="22"/>
            <w:highlight w:val="lightGray"/>
          </w:rPr>
          <w:delText>3)</w:delText>
        </w:r>
        <w:r w:rsidRPr="00F03C54">
          <w:rPr>
            <w:b/>
            <w:sz w:val="22"/>
            <w:szCs w:val="22"/>
            <w:highlight w:val="lightGray"/>
          </w:rPr>
          <w:tab/>
          <w:delText xml:space="preserve">Injeção de Humira </w:delText>
        </w:r>
      </w:del>
    </w:p>
    <w:p w14:paraId="65FDDD91" w14:textId="52AF4C14" w:rsidR="00017FBD" w:rsidRPr="00F03C54" w:rsidRDefault="00017FBD" w:rsidP="00017FBD">
      <w:pPr>
        <w:pStyle w:val="IndexHeading"/>
        <w:keepNext/>
        <w:tabs>
          <w:tab w:val="clear" w:pos="567"/>
        </w:tabs>
        <w:spacing w:line="240" w:lineRule="auto"/>
        <w:rPr>
          <w:del w:id="14536" w:author="AbbVie2" w:date="2025-05-14T10:24:00Z"/>
          <w:rFonts w:ascii="Times New Roman" w:hAnsi="Times New Roman"/>
          <w:szCs w:val="22"/>
          <w:highlight w:val="lightGray"/>
          <w:lang w:val="pt-PT"/>
        </w:rPr>
      </w:pPr>
    </w:p>
    <w:p w14:paraId="5729FDF5" w14:textId="540F66C2" w:rsidR="00017FBD" w:rsidRPr="00F03C54" w:rsidRDefault="00615769" w:rsidP="00017FBD">
      <w:pPr>
        <w:keepNext/>
        <w:numPr>
          <w:ilvl w:val="1"/>
          <w:numId w:val="45"/>
        </w:numPr>
        <w:rPr>
          <w:del w:id="14537" w:author="AbbVie2" w:date="2025-05-14T10:24:00Z"/>
          <w:sz w:val="22"/>
          <w:szCs w:val="22"/>
          <w:highlight w:val="lightGray"/>
        </w:rPr>
      </w:pPr>
      <w:del w:id="14538" w:author="AbbVie2" w:date="2025-05-14T10:24:00Z">
        <w:r w:rsidRPr="00F03C54">
          <w:rPr>
            <w:sz w:val="22"/>
            <w:szCs w:val="22"/>
            <w:highlight w:val="lightGray"/>
          </w:rPr>
          <w:delText>NÃO agitar a seringa</w:delText>
        </w:r>
      </w:del>
    </w:p>
    <w:p w14:paraId="01008AA2" w14:textId="29F79027" w:rsidR="00017FBD" w:rsidRPr="00F03C54" w:rsidRDefault="00615769" w:rsidP="00017FBD">
      <w:pPr>
        <w:numPr>
          <w:ilvl w:val="1"/>
          <w:numId w:val="45"/>
        </w:numPr>
        <w:rPr>
          <w:del w:id="14539" w:author="AbbVie2" w:date="2025-05-14T10:24:00Z"/>
          <w:sz w:val="22"/>
          <w:szCs w:val="22"/>
          <w:highlight w:val="lightGray"/>
        </w:rPr>
      </w:pPr>
      <w:del w:id="14540" w:author="AbbVie2" w:date="2025-05-14T10:24:00Z">
        <w:r w:rsidRPr="00F03C54">
          <w:rPr>
            <w:sz w:val="22"/>
            <w:szCs w:val="22"/>
            <w:highlight w:val="lightGray"/>
          </w:rPr>
          <w:delText>Retire a tampa de proteção da agulha da seringa, tendo muito cuidado para não tocar na agulha ou que esta toque em qualquer superfície.</w:delText>
        </w:r>
      </w:del>
    </w:p>
    <w:p w14:paraId="0CD3082D" w14:textId="5D1F78FD" w:rsidR="00017FBD" w:rsidRPr="00F03C54" w:rsidRDefault="00615769" w:rsidP="00017FBD">
      <w:pPr>
        <w:numPr>
          <w:ilvl w:val="1"/>
          <w:numId w:val="45"/>
        </w:numPr>
        <w:rPr>
          <w:del w:id="14541" w:author="AbbVie2" w:date="2025-05-14T10:24:00Z"/>
          <w:sz w:val="22"/>
          <w:szCs w:val="22"/>
          <w:highlight w:val="lightGray"/>
        </w:rPr>
      </w:pPr>
      <w:del w:id="14542" w:author="AbbVie2" w:date="2025-05-14T10:24:00Z">
        <w:r w:rsidRPr="00F03C54">
          <w:rPr>
            <w:sz w:val="22"/>
            <w:szCs w:val="22"/>
            <w:highlight w:val="lightGray"/>
          </w:rPr>
          <w:delText xml:space="preserve">Com uma das mãos, agarre cuidadosamente uma prega cutânea da área que já se encontra limpa, apertando-a firmemente. </w:delText>
        </w:r>
      </w:del>
    </w:p>
    <w:p w14:paraId="16ED56FB" w14:textId="1B715E00" w:rsidR="00DE1B6C" w:rsidRDefault="00DE1B6C" w:rsidP="004462A0">
      <w:pPr>
        <w:rPr>
          <w:del w:id="14543" w:author="AbbVie2" w:date="2025-05-14T10:24:00Z"/>
          <w:b/>
          <w:sz w:val="22"/>
          <w:szCs w:val="22"/>
        </w:rPr>
      </w:pPr>
    </w:p>
    <w:p w14:paraId="2A2E95BE" w14:textId="59AEB650" w:rsidR="00017FBD" w:rsidRDefault="00615769" w:rsidP="00F03C54">
      <w:pPr>
        <w:jc w:val="center"/>
        <w:rPr>
          <w:del w:id="14544" w:author="AbbVie2" w:date="2025-05-14T10:24:00Z"/>
          <w:b/>
          <w:sz w:val="22"/>
          <w:szCs w:val="22"/>
        </w:rPr>
      </w:pPr>
      <w:del w:id="14545" w:author="AbbVie2" w:date="2025-05-14T10:24:00Z">
        <w:r>
          <w:rPr>
            <w:highlight w:val="lightGray"/>
            <w:lang w:val="en-GB"/>
          </w:rPr>
          <w:object w:dxaOrig="2774" w:dyaOrig="2774" w14:anchorId="41D2FECB">
            <v:shape id="_x0000_i1027" type="#_x0000_t75" style="width:138.7pt;height:138.7pt" o:ole="" o:allowoverlap="f">
              <v:imagedata r:id="rId55" o:title=""/>
            </v:shape>
            <o:OLEObject Type="Embed" ProgID="PBrush" ShapeID="_x0000_i1027" DrawAspect="Content" ObjectID="_1819005143" r:id="rId56"/>
          </w:object>
        </w:r>
      </w:del>
    </w:p>
    <w:p w14:paraId="58335ED8" w14:textId="1E94EF36" w:rsidR="00017FBD" w:rsidRPr="008912CF" w:rsidRDefault="00017FBD" w:rsidP="00017FBD">
      <w:pPr>
        <w:ind w:left="2268" w:firstLine="567"/>
        <w:rPr>
          <w:del w:id="14546" w:author="AbbVie2" w:date="2025-05-14T10:24:00Z"/>
          <w:sz w:val="22"/>
          <w:szCs w:val="22"/>
        </w:rPr>
      </w:pPr>
    </w:p>
    <w:p w14:paraId="45CA6B3C" w14:textId="5008F18E" w:rsidR="00017FBD" w:rsidRPr="00F03C54" w:rsidRDefault="00615769" w:rsidP="00017FBD">
      <w:pPr>
        <w:numPr>
          <w:ilvl w:val="0"/>
          <w:numId w:val="46"/>
        </w:numPr>
        <w:rPr>
          <w:del w:id="14547" w:author="AbbVie2" w:date="2025-05-14T10:24:00Z"/>
          <w:sz w:val="22"/>
          <w:szCs w:val="22"/>
          <w:highlight w:val="lightGray"/>
        </w:rPr>
      </w:pPr>
      <w:del w:id="14548" w:author="AbbVie2" w:date="2025-05-14T10:24:00Z">
        <w:r w:rsidRPr="00F03C54">
          <w:rPr>
            <w:sz w:val="22"/>
            <w:szCs w:val="22"/>
            <w:highlight w:val="lightGray"/>
          </w:rPr>
          <w:delText>Com a outra mão, segure a seringa sobre a prega cutânea num ângulo de 45º, mantendo para cima o lado que tem a ranhura.</w:delText>
        </w:r>
      </w:del>
    </w:p>
    <w:p w14:paraId="0180A807" w14:textId="4719403E" w:rsidR="00017FBD" w:rsidRPr="00F03C54" w:rsidRDefault="00615769" w:rsidP="00017FBD">
      <w:pPr>
        <w:numPr>
          <w:ilvl w:val="0"/>
          <w:numId w:val="46"/>
        </w:numPr>
        <w:rPr>
          <w:del w:id="14549" w:author="AbbVie2" w:date="2025-05-14T10:24:00Z"/>
          <w:sz w:val="22"/>
          <w:szCs w:val="22"/>
          <w:highlight w:val="lightGray"/>
        </w:rPr>
      </w:pPr>
      <w:del w:id="14550" w:author="AbbVie2" w:date="2025-05-14T10:24:00Z">
        <w:r w:rsidRPr="00F03C54">
          <w:rPr>
            <w:sz w:val="22"/>
            <w:szCs w:val="22"/>
            <w:highlight w:val="lightGray"/>
          </w:rPr>
          <w:delText>Introduza a agulha na pele com um movimento curto e rápido.</w:delText>
        </w:r>
      </w:del>
    </w:p>
    <w:p w14:paraId="3FBAD61B" w14:textId="7534AE11" w:rsidR="00017FBD" w:rsidRPr="00F03C54" w:rsidRDefault="00615769" w:rsidP="00017FBD">
      <w:pPr>
        <w:numPr>
          <w:ilvl w:val="0"/>
          <w:numId w:val="46"/>
        </w:numPr>
        <w:rPr>
          <w:del w:id="14551" w:author="AbbVie2" w:date="2025-05-14T10:24:00Z"/>
          <w:sz w:val="22"/>
          <w:szCs w:val="22"/>
          <w:highlight w:val="lightGray"/>
        </w:rPr>
      </w:pPr>
      <w:del w:id="14552" w:author="AbbVie2" w:date="2025-05-14T10:24:00Z">
        <w:r w:rsidRPr="00F03C54">
          <w:rPr>
            <w:sz w:val="22"/>
            <w:szCs w:val="22"/>
            <w:highlight w:val="lightGray"/>
          </w:rPr>
          <w:delText>Liberte a prega cutânea da outra mão.</w:delText>
        </w:r>
      </w:del>
    </w:p>
    <w:p w14:paraId="7DB4A12C" w14:textId="78877592" w:rsidR="00017FBD" w:rsidRPr="00F03C54" w:rsidRDefault="00615769" w:rsidP="00017FBD">
      <w:pPr>
        <w:numPr>
          <w:ilvl w:val="0"/>
          <w:numId w:val="46"/>
        </w:numPr>
        <w:rPr>
          <w:del w:id="14553" w:author="AbbVie2" w:date="2025-05-14T10:24:00Z"/>
          <w:sz w:val="22"/>
          <w:szCs w:val="22"/>
          <w:highlight w:val="lightGray"/>
        </w:rPr>
      </w:pPr>
      <w:del w:id="14554" w:author="AbbVie2" w:date="2025-05-14T10:24:00Z">
        <w:r w:rsidRPr="00F03C54">
          <w:rPr>
            <w:sz w:val="22"/>
            <w:szCs w:val="22"/>
            <w:highlight w:val="lightGray"/>
          </w:rPr>
          <w:delText>Empurre o êmbolo para injetar a solução - pode demorar 2 a 5 segundos a esvaziar a seringa.</w:delText>
        </w:r>
      </w:del>
    </w:p>
    <w:p w14:paraId="159818B6" w14:textId="144551D5" w:rsidR="00017FBD" w:rsidRPr="00F03C54" w:rsidRDefault="00615769" w:rsidP="00017FBD">
      <w:pPr>
        <w:numPr>
          <w:ilvl w:val="0"/>
          <w:numId w:val="46"/>
        </w:numPr>
        <w:rPr>
          <w:del w:id="14555" w:author="AbbVie2" w:date="2025-05-14T10:24:00Z"/>
          <w:sz w:val="22"/>
          <w:szCs w:val="22"/>
          <w:highlight w:val="lightGray"/>
        </w:rPr>
      </w:pPr>
      <w:del w:id="14556" w:author="AbbVie2" w:date="2025-05-14T10:24:00Z">
        <w:r w:rsidRPr="00F03C54">
          <w:rPr>
            <w:sz w:val="22"/>
            <w:szCs w:val="22"/>
            <w:highlight w:val="lightGray"/>
          </w:rPr>
          <w:delText>Após esvaziar a seringa, retire a agulha da pele, procurando manter o mesmo ângulo da inserção.</w:delText>
        </w:r>
      </w:del>
    </w:p>
    <w:p w14:paraId="06F8BE2F" w14:textId="1EA0B2C9" w:rsidR="00017FBD" w:rsidRPr="00F03C54" w:rsidRDefault="00615769" w:rsidP="00017FBD">
      <w:pPr>
        <w:numPr>
          <w:ilvl w:val="0"/>
          <w:numId w:val="46"/>
        </w:numPr>
        <w:rPr>
          <w:del w:id="14557" w:author="AbbVie2" w:date="2025-05-14T10:24:00Z"/>
          <w:sz w:val="22"/>
          <w:szCs w:val="22"/>
          <w:highlight w:val="lightGray"/>
        </w:rPr>
      </w:pPr>
      <w:del w:id="14558" w:author="AbbVie2" w:date="2025-05-14T10:24:00Z">
        <w:r w:rsidRPr="00F03C54">
          <w:rPr>
            <w:sz w:val="22"/>
            <w:szCs w:val="22"/>
            <w:highlight w:val="lightGray"/>
          </w:rPr>
          <w:delText>Utilizando o polegar ou uma gaze, pressione o local de injeção durante 10 segundos. Pode ocorrer uma pequena hemorragia. Não friccione o local da injeção. Se desejar, coloque um penso rápido.</w:delText>
        </w:r>
      </w:del>
    </w:p>
    <w:p w14:paraId="0FA4D02B" w14:textId="15F798D2" w:rsidR="00017FBD" w:rsidRPr="00F03C54" w:rsidRDefault="00017FBD" w:rsidP="00017FBD">
      <w:pPr>
        <w:pStyle w:val="EndnoteText"/>
        <w:tabs>
          <w:tab w:val="clear" w:pos="567"/>
        </w:tabs>
        <w:rPr>
          <w:del w:id="14559" w:author="AbbVie2" w:date="2025-05-14T10:24:00Z"/>
          <w:szCs w:val="22"/>
          <w:highlight w:val="lightGray"/>
        </w:rPr>
      </w:pPr>
    </w:p>
    <w:p w14:paraId="40D2B2D9" w14:textId="7DC86A42" w:rsidR="00017FBD" w:rsidRPr="00F03C54" w:rsidRDefault="00615769" w:rsidP="00017FBD">
      <w:pPr>
        <w:rPr>
          <w:del w:id="14560" w:author="AbbVie2" w:date="2025-05-14T10:24:00Z"/>
          <w:b/>
          <w:sz w:val="22"/>
          <w:szCs w:val="22"/>
          <w:highlight w:val="lightGray"/>
        </w:rPr>
      </w:pPr>
      <w:del w:id="14561" w:author="AbbVie2" w:date="2025-05-14T10:24:00Z">
        <w:r w:rsidRPr="00F03C54">
          <w:rPr>
            <w:b/>
            <w:sz w:val="22"/>
            <w:szCs w:val="22"/>
            <w:highlight w:val="lightGray"/>
          </w:rPr>
          <w:delText xml:space="preserve">4) </w:delText>
        </w:r>
        <w:r w:rsidRPr="00F03C54">
          <w:rPr>
            <w:b/>
            <w:sz w:val="22"/>
            <w:szCs w:val="22"/>
            <w:highlight w:val="lightGray"/>
          </w:rPr>
          <w:tab/>
          <w:delText>Eliminação das seringas</w:delText>
        </w:r>
      </w:del>
    </w:p>
    <w:p w14:paraId="6E2415A2" w14:textId="0CA14EBB" w:rsidR="00017FBD" w:rsidRPr="00F03C54" w:rsidRDefault="00017FBD" w:rsidP="00017FBD">
      <w:pPr>
        <w:rPr>
          <w:del w:id="14562" w:author="AbbVie2" w:date="2025-05-14T10:24:00Z"/>
          <w:b/>
          <w:sz w:val="22"/>
          <w:szCs w:val="22"/>
          <w:highlight w:val="lightGray"/>
        </w:rPr>
      </w:pPr>
    </w:p>
    <w:p w14:paraId="795EC9C8" w14:textId="3F4F369D" w:rsidR="00017FBD" w:rsidRPr="00F03C54" w:rsidRDefault="00615769" w:rsidP="00017FBD">
      <w:pPr>
        <w:numPr>
          <w:ilvl w:val="1"/>
          <w:numId w:val="47"/>
        </w:numPr>
        <w:rPr>
          <w:del w:id="14563" w:author="AbbVie2" w:date="2025-05-14T10:24:00Z"/>
          <w:sz w:val="22"/>
          <w:szCs w:val="22"/>
          <w:highlight w:val="lightGray"/>
        </w:rPr>
      </w:pPr>
      <w:del w:id="14564" w:author="AbbVie2" w:date="2025-05-14T10:24:00Z">
        <w:r w:rsidRPr="00F03C54">
          <w:rPr>
            <w:b/>
            <w:sz w:val="22"/>
            <w:szCs w:val="22"/>
            <w:highlight w:val="lightGray"/>
          </w:rPr>
          <w:delText>NUNCA</w:delText>
        </w:r>
        <w:r w:rsidRPr="00F03C54">
          <w:rPr>
            <w:sz w:val="22"/>
            <w:szCs w:val="22"/>
            <w:highlight w:val="lightGray"/>
          </w:rPr>
          <w:delText xml:space="preserve"> reutilizar a seringa de Humira. </w:delText>
        </w:r>
        <w:r w:rsidRPr="00F03C54">
          <w:rPr>
            <w:b/>
            <w:bCs/>
            <w:sz w:val="22"/>
            <w:szCs w:val="22"/>
            <w:highlight w:val="lightGray"/>
          </w:rPr>
          <w:delText>NUNCA</w:delText>
        </w:r>
        <w:r w:rsidRPr="00F03C54">
          <w:rPr>
            <w:sz w:val="22"/>
            <w:szCs w:val="22"/>
            <w:highlight w:val="lightGray"/>
          </w:rPr>
          <w:delText xml:space="preserve"> voltar a colocar a cápsula na agulha.</w:delText>
        </w:r>
      </w:del>
    </w:p>
    <w:p w14:paraId="446FE715" w14:textId="6091A45E" w:rsidR="00017FBD" w:rsidRPr="00F03C54" w:rsidRDefault="00615769" w:rsidP="00017FBD">
      <w:pPr>
        <w:numPr>
          <w:ilvl w:val="1"/>
          <w:numId w:val="47"/>
        </w:numPr>
        <w:rPr>
          <w:del w:id="14565" w:author="AbbVie2" w:date="2025-05-14T10:24:00Z"/>
          <w:sz w:val="22"/>
          <w:szCs w:val="22"/>
          <w:highlight w:val="lightGray"/>
        </w:rPr>
      </w:pPr>
      <w:del w:id="14566" w:author="AbbVie2" w:date="2025-05-14T10:24:00Z">
        <w:r w:rsidRPr="00F03C54">
          <w:rPr>
            <w:sz w:val="22"/>
            <w:szCs w:val="22"/>
            <w:highlight w:val="lightGray"/>
          </w:rPr>
          <w:delText>Após a injeção de Humira, elimine imediatamente a seringa utilizada num recipiente próprio, de acordo com as instruções dadas pelo seu médico, enfermeiro ou farmacêutico.</w:delText>
        </w:r>
      </w:del>
    </w:p>
    <w:p w14:paraId="1400D9FD" w14:textId="2CB47B1A" w:rsidR="00017FBD" w:rsidRPr="00F03C54" w:rsidRDefault="00615769" w:rsidP="00017FBD">
      <w:pPr>
        <w:numPr>
          <w:ilvl w:val="1"/>
          <w:numId w:val="47"/>
        </w:numPr>
        <w:rPr>
          <w:del w:id="14567" w:author="AbbVie2" w:date="2025-05-14T10:24:00Z"/>
          <w:sz w:val="22"/>
          <w:szCs w:val="22"/>
          <w:highlight w:val="lightGray"/>
        </w:rPr>
      </w:pPr>
      <w:del w:id="14568" w:author="AbbVie2" w:date="2025-05-14T10:24:00Z">
        <w:r w:rsidRPr="00F03C54">
          <w:rPr>
            <w:sz w:val="22"/>
            <w:szCs w:val="22"/>
            <w:highlight w:val="lightGray"/>
          </w:rPr>
          <w:delText>Manter o recipiente fora da vista e do alcance das crianças.</w:delText>
        </w:r>
      </w:del>
    </w:p>
    <w:p w14:paraId="7FB76BB7" w14:textId="22E36A9D" w:rsidR="00017FBD" w:rsidRDefault="00017FBD" w:rsidP="004462A0">
      <w:pPr>
        <w:rPr>
          <w:del w:id="14569" w:author="AbbVie2" w:date="2025-05-14T10:24:00Z"/>
          <w:b/>
          <w:sz w:val="22"/>
          <w:szCs w:val="22"/>
        </w:rPr>
      </w:pPr>
    </w:p>
    <w:p w14:paraId="3AAC3D26" w14:textId="3CCEC48C" w:rsidR="004462A0" w:rsidRPr="008912CF" w:rsidRDefault="00615769" w:rsidP="001242C2">
      <w:pPr>
        <w:keepNext/>
        <w:rPr>
          <w:del w:id="14570" w:author="AbbVie2" w:date="2025-05-14T10:24:00Z"/>
          <w:b/>
          <w:sz w:val="22"/>
          <w:szCs w:val="22"/>
        </w:rPr>
      </w:pPr>
      <w:del w:id="14571" w:author="AbbVie2" w:date="2025-05-14T10:24:00Z">
        <w:r w:rsidRPr="008912CF">
          <w:rPr>
            <w:b/>
            <w:sz w:val="22"/>
            <w:szCs w:val="22"/>
          </w:rPr>
          <w:delText>Se utilizar mais Humira do que deveria</w:delText>
        </w:r>
      </w:del>
    </w:p>
    <w:p w14:paraId="7CB2A368" w14:textId="63571117" w:rsidR="004462A0" w:rsidRPr="008912CF" w:rsidRDefault="004462A0" w:rsidP="001242C2">
      <w:pPr>
        <w:keepNext/>
        <w:rPr>
          <w:del w:id="14572" w:author="AbbVie2" w:date="2025-05-14T10:24:00Z"/>
          <w:sz w:val="22"/>
          <w:szCs w:val="22"/>
        </w:rPr>
      </w:pPr>
    </w:p>
    <w:p w14:paraId="6C33CD5B" w14:textId="51F1DC2C" w:rsidR="004462A0" w:rsidRPr="008912CF" w:rsidRDefault="00615769" w:rsidP="001242C2">
      <w:pPr>
        <w:keepNext/>
        <w:rPr>
          <w:del w:id="14573" w:author="AbbVie2" w:date="2025-05-14T10:24:00Z"/>
          <w:sz w:val="22"/>
          <w:szCs w:val="22"/>
        </w:rPr>
      </w:pPr>
      <w:del w:id="14574" w:author="AbbVie2" w:date="2025-05-14T10:24:00Z">
        <w:r w:rsidRPr="008912CF">
          <w:rPr>
            <w:sz w:val="22"/>
            <w:szCs w:val="22"/>
          </w:rPr>
          <w:delText xml:space="preserve">Se injetar acidentalmente Humira mais frequentemente do que o prescrito, contacte o seu médico ou farmacêutico e informe-os de que utilizou mais do que devia. Leve sempre consigo a embalagem exterior do medicamento, mesmo que esteja vazia. </w:delText>
        </w:r>
      </w:del>
    </w:p>
    <w:p w14:paraId="1A5A1093" w14:textId="469855CE" w:rsidR="004462A0" w:rsidRPr="008912CF" w:rsidRDefault="004462A0" w:rsidP="001242C2">
      <w:pPr>
        <w:keepNext/>
        <w:rPr>
          <w:del w:id="14575" w:author="AbbVie2" w:date="2025-05-14T10:24:00Z"/>
          <w:sz w:val="22"/>
          <w:szCs w:val="22"/>
        </w:rPr>
      </w:pPr>
    </w:p>
    <w:p w14:paraId="0C3A9C44" w14:textId="18776307" w:rsidR="004462A0" w:rsidRPr="008912CF" w:rsidRDefault="00615769" w:rsidP="004462A0">
      <w:pPr>
        <w:rPr>
          <w:del w:id="14576" w:author="AbbVie2" w:date="2025-05-14T10:24:00Z"/>
          <w:sz w:val="22"/>
          <w:szCs w:val="22"/>
        </w:rPr>
      </w:pPr>
      <w:del w:id="14577" w:author="AbbVie2" w:date="2025-05-14T10:24:00Z">
        <w:r w:rsidRPr="008912CF">
          <w:rPr>
            <w:b/>
            <w:sz w:val="22"/>
            <w:szCs w:val="22"/>
          </w:rPr>
          <w:delText xml:space="preserve">Caso se tenha esquecido de utilizar </w:delText>
        </w:r>
        <w:r w:rsidRPr="008912CF">
          <w:rPr>
            <w:b/>
            <w:bCs/>
            <w:sz w:val="22"/>
            <w:szCs w:val="22"/>
          </w:rPr>
          <w:delText>Humira</w:delText>
        </w:r>
      </w:del>
    </w:p>
    <w:p w14:paraId="3F898D68" w14:textId="371EC87A" w:rsidR="004462A0" w:rsidRPr="008912CF" w:rsidRDefault="004462A0" w:rsidP="004462A0">
      <w:pPr>
        <w:rPr>
          <w:del w:id="14578" w:author="AbbVie2" w:date="2025-05-14T10:24:00Z"/>
          <w:sz w:val="22"/>
          <w:szCs w:val="22"/>
        </w:rPr>
      </w:pPr>
    </w:p>
    <w:p w14:paraId="1B02AB2C" w14:textId="4DE25153" w:rsidR="004462A0" w:rsidRPr="008912CF" w:rsidRDefault="00615769" w:rsidP="004462A0">
      <w:pPr>
        <w:pStyle w:val="BodyText3"/>
        <w:rPr>
          <w:del w:id="14579" w:author="AbbVie2" w:date="2025-05-14T10:24:00Z"/>
          <w:szCs w:val="22"/>
        </w:rPr>
      </w:pPr>
      <w:del w:id="14580" w:author="AbbVie2" w:date="2025-05-14T10:24:00Z">
        <w:r w:rsidRPr="008912CF">
          <w:rPr>
            <w:szCs w:val="22"/>
          </w:rPr>
          <w:delText xml:space="preserve">Caso se tenha esquecido de administrar uma injeção, administre a próxima dose de Humira logo que se lembrar. Administre a dose seguinte conforme prescrito, como se não tivesse omitido a dose anterior. </w:delText>
        </w:r>
      </w:del>
    </w:p>
    <w:p w14:paraId="506D6909" w14:textId="7E56B5F0" w:rsidR="004462A0" w:rsidRPr="008912CF" w:rsidRDefault="004462A0" w:rsidP="004462A0">
      <w:pPr>
        <w:suppressAutoHyphens/>
        <w:rPr>
          <w:del w:id="14581" w:author="AbbVie2" w:date="2025-05-14T10:24:00Z"/>
          <w:b/>
          <w:sz w:val="22"/>
          <w:szCs w:val="22"/>
        </w:rPr>
      </w:pPr>
    </w:p>
    <w:p w14:paraId="10636500" w14:textId="02ABF5D7" w:rsidR="004462A0" w:rsidRPr="008912CF" w:rsidRDefault="00615769" w:rsidP="00907F74">
      <w:pPr>
        <w:keepNext/>
        <w:suppressAutoHyphens/>
        <w:rPr>
          <w:del w:id="14582" w:author="AbbVie2" w:date="2025-05-14T10:24:00Z"/>
          <w:sz w:val="22"/>
          <w:szCs w:val="22"/>
        </w:rPr>
      </w:pPr>
      <w:del w:id="14583" w:author="AbbVie2" w:date="2025-05-14T10:24:00Z">
        <w:r w:rsidRPr="008912CF">
          <w:rPr>
            <w:b/>
            <w:sz w:val="22"/>
            <w:szCs w:val="22"/>
          </w:rPr>
          <w:delText>Se parar de utilizar Humira</w:delText>
        </w:r>
      </w:del>
    </w:p>
    <w:p w14:paraId="50266599" w14:textId="1A02DBBA" w:rsidR="004462A0" w:rsidRPr="008912CF" w:rsidRDefault="004462A0" w:rsidP="00907F74">
      <w:pPr>
        <w:keepNext/>
        <w:rPr>
          <w:del w:id="14584" w:author="AbbVie2" w:date="2025-05-14T10:24:00Z"/>
          <w:sz w:val="22"/>
          <w:szCs w:val="22"/>
        </w:rPr>
      </w:pPr>
    </w:p>
    <w:p w14:paraId="6C148C0D" w14:textId="6B125477" w:rsidR="004462A0" w:rsidRPr="008912CF" w:rsidRDefault="00615769" w:rsidP="00907F74">
      <w:pPr>
        <w:keepNext/>
        <w:rPr>
          <w:del w:id="14585" w:author="AbbVie2" w:date="2025-05-14T10:24:00Z"/>
          <w:sz w:val="22"/>
          <w:szCs w:val="22"/>
        </w:rPr>
      </w:pPr>
      <w:del w:id="14586" w:author="AbbVie2" w:date="2025-05-14T10:24:00Z">
        <w:r w:rsidRPr="008912CF">
          <w:rPr>
            <w:sz w:val="22"/>
            <w:szCs w:val="22"/>
          </w:rPr>
          <w:delText>A decisão de parar de utilizar Humira deve ser avaliada com o seu médico. Os seus sintomas podem voltar após descontinuação.</w:delText>
        </w:r>
      </w:del>
    </w:p>
    <w:p w14:paraId="6B4DB705" w14:textId="393F3D43" w:rsidR="004462A0" w:rsidRPr="008912CF" w:rsidRDefault="004462A0" w:rsidP="004462A0">
      <w:pPr>
        <w:ind w:right="-2"/>
        <w:rPr>
          <w:del w:id="14587" w:author="AbbVie2" w:date="2025-05-14T10:24:00Z"/>
          <w:sz w:val="22"/>
          <w:szCs w:val="22"/>
        </w:rPr>
      </w:pPr>
    </w:p>
    <w:p w14:paraId="1F733507" w14:textId="6E77F8DA" w:rsidR="004462A0" w:rsidRPr="008912CF" w:rsidRDefault="00615769" w:rsidP="004462A0">
      <w:pPr>
        <w:ind w:right="-2"/>
        <w:rPr>
          <w:del w:id="14588" w:author="AbbVie2" w:date="2025-05-14T10:24:00Z"/>
          <w:sz w:val="22"/>
          <w:szCs w:val="22"/>
        </w:rPr>
      </w:pPr>
      <w:del w:id="14589" w:author="AbbVie2" w:date="2025-05-14T10:24:00Z">
        <w:r w:rsidRPr="008912CF">
          <w:rPr>
            <w:sz w:val="22"/>
            <w:szCs w:val="22"/>
          </w:rPr>
          <w:delText xml:space="preserve">Caso </w:delText>
        </w:r>
        <w:r w:rsidR="00954510">
          <w:rPr>
            <w:sz w:val="22"/>
            <w:szCs w:val="22"/>
          </w:rPr>
          <w:delText xml:space="preserve">ainda </w:delText>
        </w:r>
        <w:r w:rsidRPr="008912CF">
          <w:rPr>
            <w:sz w:val="22"/>
            <w:szCs w:val="22"/>
          </w:rPr>
          <w:delText>tenha dúvidas sobre a utilização deste medicamento, fale com o seu médico ou farmacêutico.</w:delText>
        </w:r>
      </w:del>
    </w:p>
    <w:p w14:paraId="21C60AE9" w14:textId="0B92B743" w:rsidR="004462A0" w:rsidRPr="008912CF" w:rsidRDefault="004462A0" w:rsidP="004462A0">
      <w:pPr>
        <w:ind w:right="-2"/>
        <w:rPr>
          <w:del w:id="14590" w:author="AbbVie2" w:date="2025-05-14T10:24:00Z"/>
          <w:sz w:val="22"/>
          <w:szCs w:val="22"/>
        </w:rPr>
      </w:pPr>
    </w:p>
    <w:p w14:paraId="459D5D6B" w14:textId="168D46C1" w:rsidR="004462A0" w:rsidRPr="008912CF" w:rsidRDefault="004462A0" w:rsidP="004462A0">
      <w:pPr>
        <w:ind w:right="-2"/>
        <w:rPr>
          <w:del w:id="14591" w:author="AbbVie2" w:date="2025-05-14T10:24:00Z"/>
          <w:sz w:val="22"/>
          <w:szCs w:val="22"/>
        </w:rPr>
      </w:pPr>
    </w:p>
    <w:p w14:paraId="4115A45E" w14:textId="46F842F6" w:rsidR="004462A0" w:rsidRPr="008912CF" w:rsidRDefault="00615769" w:rsidP="004462A0">
      <w:pPr>
        <w:ind w:left="567" w:right="-2" w:hanging="567"/>
        <w:rPr>
          <w:del w:id="14592" w:author="AbbVie2" w:date="2025-05-14T10:24:00Z"/>
          <w:sz w:val="22"/>
          <w:szCs w:val="22"/>
        </w:rPr>
      </w:pPr>
      <w:del w:id="14593" w:author="AbbVie2" w:date="2025-05-14T10:24:00Z">
        <w:r w:rsidRPr="008912CF">
          <w:rPr>
            <w:b/>
            <w:sz w:val="22"/>
            <w:szCs w:val="22"/>
          </w:rPr>
          <w:delText>4.</w:delText>
        </w:r>
        <w:r w:rsidRPr="008912CF">
          <w:rPr>
            <w:b/>
            <w:sz w:val="22"/>
            <w:szCs w:val="22"/>
          </w:rPr>
          <w:tab/>
          <w:delText xml:space="preserve">Efeitos </w:delText>
        </w:r>
        <w:r w:rsidR="00571C82">
          <w:rPr>
            <w:b/>
            <w:sz w:val="22"/>
            <w:szCs w:val="22"/>
          </w:rPr>
          <w:delText>indesejáveis</w:delText>
        </w:r>
        <w:r w:rsidRPr="008912CF">
          <w:rPr>
            <w:b/>
            <w:sz w:val="22"/>
            <w:szCs w:val="22"/>
          </w:rPr>
          <w:delText xml:space="preserve"> possíveis </w:delText>
        </w:r>
      </w:del>
    </w:p>
    <w:p w14:paraId="764F8376" w14:textId="3D2DA717" w:rsidR="004462A0" w:rsidRPr="008912CF" w:rsidRDefault="004462A0" w:rsidP="004462A0">
      <w:pPr>
        <w:ind w:right="-2"/>
        <w:rPr>
          <w:del w:id="14594" w:author="AbbVie2" w:date="2025-05-14T10:24:00Z"/>
          <w:sz w:val="22"/>
          <w:szCs w:val="22"/>
        </w:rPr>
      </w:pPr>
    </w:p>
    <w:p w14:paraId="6373337C" w14:textId="4C30D6C8" w:rsidR="004462A0" w:rsidRPr="008912CF" w:rsidRDefault="00615769" w:rsidP="004462A0">
      <w:pPr>
        <w:rPr>
          <w:del w:id="14595" w:author="AbbVie2" w:date="2025-05-14T10:24:00Z"/>
          <w:sz w:val="22"/>
          <w:szCs w:val="22"/>
        </w:rPr>
      </w:pPr>
      <w:del w:id="14596" w:author="AbbVie2" w:date="2025-05-14T10:24:00Z">
        <w:r w:rsidRPr="008912CF">
          <w:rPr>
            <w:sz w:val="22"/>
            <w:szCs w:val="22"/>
          </w:rPr>
          <w:delText xml:space="preserve">Como todos os medicamentos, este medicamento pode causar efeitos </w:delText>
        </w:r>
        <w:r w:rsidR="00571C82">
          <w:rPr>
            <w:sz w:val="22"/>
            <w:szCs w:val="22"/>
          </w:rPr>
          <w:delText>indesejáveis</w:delText>
        </w:r>
        <w:r w:rsidRPr="008912CF">
          <w:rPr>
            <w:sz w:val="22"/>
            <w:szCs w:val="22"/>
          </w:rPr>
          <w:delText xml:space="preserve">, embora estes não se manifestem em todas as pessoas. A maioria dos efeitos </w:delText>
        </w:r>
        <w:r w:rsidR="00571C82">
          <w:rPr>
            <w:sz w:val="22"/>
            <w:szCs w:val="22"/>
          </w:rPr>
          <w:delText>indesejáveis</w:delText>
        </w:r>
        <w:r w:rsidRPr="008912CF">
          <w:rPr>
            <w:sz w:val="22"/>
            <w:szCs w:val="22"/>
          </w:rPr>
          <w:delText xml:space="preserve"> </w:delText>
        </w:r>
        <w:r w:rsidR="00F57DD7">
          <w:rPr>
            <w:sz w:val="22"/>
            <w:szCs w:val="22"/>
          </w:rPr>
          <w:delText>são</w:delText>
        </w:r>
        <w:r w:rsidRPr="008912CF">
          <w:rPr>
            <w:sz w:val="22"/>
            <w:szCs w:val="22"/>
          </w:rPr>
          <w:delText xml:space="preserve"> ligeir</w:delText>
        </w:r>
        <w:r w:rsidR="00F57DD7">
          <w:rPr>
            <w:sz w:val="22"/>
            <w:szCs w:val="22"/>
          </w:rPr>
          <w:delText>os</w:delText>
        </w:r>
        <w:r w:rsidRPr="008912CF">
          <w:rPr>
            <w:sz w:val="22"/>
            <w:szCs w:val="22"/>
          </w:rPr>
          <w:delText xml:space="preserve"> a moderad</w:delText>
        </w:r>
        <w:r w:rsidR="00F57DD7">
          <w:rPr>
            <w:sz w:val="22"/>
            <w:szCs w:val="22"/>
          </w:rPr>
          <w:delText>os</w:delText>
        </w:r>
        <w:r w:rsidRPr="008912CF">
          <w:rPr>
            <w:sz w:val="22"/>
            <w:szCs w:val="22"/>
          </w:rPr>
          <w:delText xml:space="preserve">. No entanto, alguns podem ser graves e requerer tratamento. Podem ocorrer efeitos </w:delText>
        </w:r>
        <w:r w:rsidR="00571C82">
          <w:rPr>
            <w:sz w:val="22"/>
            <w:szCs w:val="22"/>
          </w:rPr>
          <w:delText>indesejáveis</w:delText>
        </w:r>
        <w:r w:rsidRPr="008912CF">
          <w:rPr>
            <w:sz w:val="22"/>
            <w:szCs w:val="22"/>
          </w:rPr>
          <w:delText xml:space="preserve"> pelo menos até 4 meses após a última injeção de Humira. </w:delText>
        </w:r>
      </w:del>
    </w:p>
    <w:p w14:paraId="558B125C" w14:textId="08ACA747" w:rsidR="004462A0" w:rsidRPr="008912CF" w:rsidRDefault="004462A0" w:rsidP="004462A0">
      <w:pPr>
        <w:rPr>
          <w:del w:id="14597" w:author="AbbVie2" w:date="2025-05-14T10:24:00Z"/>
          <w:sz w:val="22"/>
          <w:szCs w:val="22"/>
        </w:rPr>
      </w:pPr>
    </w:p>
    <w:p w14:paraId="534C25FE" w14:textId="495E825A" w:rsidR="004462A0" w:rsidRPr="008912CF" w:rsidRDefault="00615769" w:rsidP="004462A0">
      <w:pPr>
        <w:rPr>
          <w:del w:id="14598" w:author="AbbVie2" w:date="2025-05-14T10:24:00Z"/>
          <w:sz w:val="22"/>
          <w:szCs w:val="22"/>
        </w:rPr>
      </w:pPr>
      <w:del w:id="14599" w:author="AbbVie2" w:date="2025-05-14T10:24:00Z">
        <w:r w:rsidRPr="008912CF">
          <w:rPr>
            <w:sz w:val="22"/>
            <w:szCs w:val="22"/>
          </w:rPr>
          <w:delText>Informe imediatamente o seu médico se tiver algum dos seguintes sintomas:</w:delText>
        </w:r>
      </w:del>
    </w:p>
    <w:p w14:paraId="2B5A618F" w14:textId="49BB83B9" w:rsidR="004462A0" w:rsidRPr="008912CF" w:rsidRDefault="004462A0" w:rsidP="004462A0">
      <w:pPr>
        <w:rPr>
          <w:del w:id="14600" w:author="AbbVie2" w:date="2025-05-14T10:24:00Z"/>
          <w:sz w:val="22"/>
          <w:szCs w:val="22"/>
        </w:rPr>
      </w:pPr>
    </w:p>
    <w:p w14:paraId="455D6E16" w14:textId="28B3839B" w:rsidR="004462A0" w:rsidRPr="008912CF" w:rsidRDefault="00615769" w:rsidP="004462A0">
      <w:pPr>
        <w:numPr>
          <w:ilvl w:val="1"/>
          <w:numId w:val="48"/>
        </w:numPr>
        <w:tabs>
          <w:tab w:val="num" w:pos="1440"/>
        </w:tabs>
        <w:rPr>
          <w:del w:id="14601" w:author="AbbVie2" w:date="2025-05-14T10:24:00Z"/>
          <w:sz w:val="22"/>
          <w:szCs w:val="22"/>
        </w:rPr>
      </w:pPr>
      <w:del w:id="14602" w:author="AbbVie2" w:date="2025-05-14T10:24:00Z">
        <w:r>
          <w:rPr>
            <w:sz w:val="22"/>
            <w:szCs w:val="22"/>
          </w:rPr>
          <w:delText>p</w:delText>
        </w:r>
        <w:r w:rsidRPr="008912CF">
          <w:rPr>
            <w:sz w:val="22"/>
            <w:szCs w:val="22"/>
          </w:rPr>
          <w:delText>ele muito irritada, comichão ou outros sinais de reação alérgica;</w:delText>
        </w:r>
      </w:del>
    </w:p>
    <w:p w14:paraId="2C55123E" w14:textId="50E41B36" w:rsidR="004462A0" w:rsidRPr="008912CF" w:rsidRDefault="00615769" w:rsidP="004462A0">
      <w:pPr>
        <w:numPr>
          <w:ilvl w:val="1"/>
          <w:numId w:val="48"/>
        </w:numPr>
        <w:tabs>
          <w:tab w:val="num" w:pos="1440"/>
        </w:tabs>
        <w:rPr>
          <w:del w:id="14603" w:author="AbbVie2" w:date="2025-05-14T10:24:00Z"/>
          <w:sz w:val="22"/>
          <w:szCs w:val="22"/>
        </w:rPr>
      </w:pPr>
      <w:del w:id="14604" w:author="AbbVie2" w:date="2025-05-14T10:24:00Z">
        <w:r>
          <w:rPr>
            <w:sz w:val="22"/>
            <w:szCs w:val="22"/>
          </w:rPr>
          <w:delText>i</w:delText>
        </w:r>
        <w:r w:rsidRPr="008912CF">
          <w:rPr>
            <w:sz w:val="22"/>
            <w:szCs w:val="22"/>
          </w:rPr>
          <w:delText xml:space="preserve">nchaço da face, mãos, pés; </w:delText>
        </w:r>
      </w:del>
    </w:p>
    <w:p w14:paraId="56A99C9A" w14:textId="3656AA47" w:rsidR="004462A0" w:rsidRPr="008912CF" w:rsidRDefault="00615769" w:rsidP="004462A0">
      <w:pPr>
        <w:numPr>
          <w:ilvl w:val="1"/>
          <w:numId w:val="48"/>
        </w:numPr>
        <w:tabs>
          <w:tab w:val="num" w:pos="1440"/>
        </w:tabs>
        <w:rPr>
          <w:del w:id="14605" w:author="AbbVie2" w:date="2025-05-14T10:24:00Z"/>
          <w:sz w:val="22"/>
          <w:szCs w:val="22"/>
        </w:rPr>
      </w:pPr>
      <w:del w:id="14606" w:author="AbbVie2" w:date="2025-05-14T10:24:00Z">
        <w:r>
          <w:rPr>
            <w:sz w:val="22"/>
            <w:szCs w:val="22"/>
          </w:rPr>
          <w:delText>d</w:delText>
        </w:r>
        <w:r w:rsidRPr="008912CF">
          <w:rPr>
            <w:sz w:val="22"/>
            <w:szCs w:val="22"/>
          </w:rPr>
          <w:delText>ificuldades em respirar, em engolir;</w:delText>
        </w:r>
      </w:del>
    </w:p>
    <w:p w14:paraId="43E9B61B" w14:textId="3DE892AB" w:rsidR="004462A0" w:rsidRPr="008912CF" w:rsidRDefault="00615769" w:rsidP="004462A0">
      <w:pPr>
        <w:numPr>
          <w:ilvl w:val="1"/>
          <w:numId w:val="48"/>
        </w:numPr>
        <w:tabs>
          <w:tab w:val="num" w:pos="1440"/>
        </w:tabs>
        <w:rPr>
          <w:del w:id="14607" w:author="AbbVie2" w:date="2025-05-14T10:24:00Z"/>
          <w:sz w:val="22"/>
          <w:szCs w:val="22"/>
        </w:rPr>
      </w:pPr>
      <w:del w:id="14608" w:author="AbbVie2" w:date="2025-05-14T10:24:00Z">
        <w:r>
          <w:rPr>
            <w:sz w:val="22"/>
            <w:szCs w:val="22"/>
          </w:rPr>
          <w:delText>f</w:delText>
        </w:r>
        <w:r w:rsidRPr="008912CF">
          <w:rPr>
            <w:sz w:val="22"/>
            <w:szCs w:val="22"/>
          </w:rPr>
          <w:delText>alta de ar durante o esforço ou quando deitado ou inchaço dos pés.</w:delText>
        </w:r>
      </w:del>
    </w:p>
    <w:p w14:paraId="77FC14CE" w14:textId="1E4F7F2B" w:rsidR="004462A0" w:rsidRPr="008912CF" w:rsidRDefault="004462A0" w:rsidP="004462A0">
      <w:pPr>
        <w:rPr>
          <w:del w:id="14609" w:author="AbbVie2" w:date="2025-05-14T10:24:00Z"/>
          <w:sz w:val="22"/>
          <w:szCs w:val="22"/>
        </w:rPr>
      </w:pPr>
    </w:p>
    <w:p w14:paraId="1CB70B5D" w14:textId="3EE40CCA" w:rsidR="004462A0" w:rsidRPr="008912CF" w:rsidRDefault="00615769" w:rsidP="00040D46">
      <w:pPr>
        <w:keepNext/>
        <w:rPr>
          <w:del w:id="14610" w:author="AbbVie2" w:date="2025-05-14T10:24:00Z"/>
          <w:sz w:val="22"/>
          <w:szCs w:val="22"/>
        </w:rPr>
      </w:pPr>
      <w:del w:id="14611" w:author="AbbVie2" w:date="2025-05-14T10:24:00Z">
        <w:r w:rsidRPr="008912CF">
          <w:rPr>
            <w:sz w:val="22"/>
            <w:szCs w:val="22"/>
          </w:rPr>
          <w:delText xml:space="preserve">Informe imediatamente o seu médico se tiver algum dos seguintes efeitos </w:delText>
        </w:r>
        <w:r w:rsidR="00571C82">
          <w:rPr>
            <w:sz w:val="22"/>
            <w:szCs w:val="22"/>
          </w:rPr>
          <w:delText>indesejáveis</w:delText>
        </w:r>
        <w:r w:rsidRPr="008912CF">
          <w:rPr>
            <w:sz w:val="22"/>
            <w:szCs w:val="22"/>
          </w:rPr>
          <w:delText>:</w:delText>
        </w:r>
      </w:del>
    </w:p>
    <w:p w14:paraId="353BB13F" w14:textId="4DCB77A0" w:rsidR="004462A0" w:rsidRPr="008912CF" w:rsidRDefault="004462A0" w:rsidP="00040D46">
      <w:pPr>
        <w:keepNext/>
        <w:rPr>
          <w:del w:id="14612" w:author="AbbVie2" w:date="2025-05-14T10:24:00Z"/>
          <w:sz w:val="22"/>
          <w:szCs w:val="22"/>
        </w:rPr>
      </w:pPr>
    </w:p>
    <w:p w14:paraId="4E0B9C25" w14:textId="711721FA" w:rsidR="004462A0" w:rsidRPr="008912CF" w:rsidRDefault="00615769" w:rsidP="00040D46">
      <w:pPr>
        <w:keepNext/>
        <w:numPr>
          <w:ilvl w:val="2"/>
          <w:numId w:val="48"/>
        </w:numPr>
        <w:tabs>
          <w:tab w:val="left" w:pos="993"/>
        </w:tabs>
        <w:rPr>
          <w:del w:id="14613" w:author="AbbVie2" w:date="2025-05-14T10:24:00Z"/>
          <w:sz w:val="22"/>
          <w:szCs w:val="22"/>
        </w:rPr>
      </w:pPr>
      <w:del w:id="14614" w:author="AbbVie2" w:date="2025-05-14T10:24:00Z">
        <w:r>
          <w:rPr>
            <w:sz w:val="22"/>
            <w:szCs w:val="22"/>
          </w:rPr>
          <w:delText>s</w:delText>
        </w:r>
        <w:r w:rsidRPr="008912CF">
          <w:rPr>
            <w:sz w:val="22"/>
            <w:szCs w:val="22"/>
          </w:rPr>
          <w:delText xml:space="preserve">inais de infeção tais como febre, má disposição, feridas, problemas dentários ou sensação de ardor ao urinar; </w:delText>
        </w:r>
      </w:del>
    </w:p>
    <w:p w14:paraId="2E72249D" w14:textId="758C3944" w:rsidR="004462A0" w:rsidRPr="008912CF" w:rsidRDefault="00615769" w:rsidP="004462A0">
      <w:pPr>
        <w:numPr>
          <w:ilvl w:val="2"/>
          <w:numId w:val="48"/>
        </w:numPr>
        <w:tabs>
          <w:tab w:val="left" w:pos="993"/>
        </w:tabs>
        <w:rPr>
          <w:del w:id="14615" w:author="AbbVie2" w:date="2025-05-14T10:24:00Z"/>
          <w:sz w:val="22"/>
          <w:szCs w:val="22"/>
        </w:rPr>
      </w:pPr>
      <w:del w:id="14616" w:author="AbbVie2" w:date="2025-05-14T10:24:00Z">
        <w:r>
          <w:rPr>
            <w:sz w:val="22"/>
            <w:szCs w:val="22"/>
          </w:rPr>
          <w:delText>s</w:delText>
        </w:r>
        <w:r w:rsidRPr="008912CF">
          <w:rPr>
            <w:sz w:val="22"/>
            <w:szCs w:val="22"/>
          </w:rPr>
          <w:delText>ensação de fraqueza ou cansaço;</w:delText>
        </w:r>
      </w:del>
    </w:p>
    <w:p w14:paraId="6BF36776" w14:textId="0CD08BB6" w:rsidR="004462A0" w:rsidRPr="008912CF" w:rsidRDefault="00615769" w:rsidP="004462A0">
      <w:pPr>
        <w:numPr>
          <w:ilvl w:val="2"/>
          <w:numId w:val="48"/>
        </w:numPr>
        <w:tabs>
          <w:tab w:val="left" w:pos="993"/>
        </w:tabs>
        <w:rPr>
          <w:del w:id="14617" w:author="AbbVie2" w:date="2025-05-14T10:24:00Z"/>
          <w:sz w:val="22"/>
          <w:szCs w:val="22"/>
        </w:rPr>
      </w:pPr>
      <w:del w:id="14618" w:author="AbbVie2" w:date="2025-05-14T10:24:00Z">
        <w:r>
          <w:rPr>
            <w:sz w:val="22"/>
            <w:szCs w:val="22"/>
          </w:rPr>
          <w:delText>t</w:delText>
        </w:r>
        <w:r w:rsidRPr="008912CF">
          <w:rPr>
            <w:sz w:val="22"/>
            <w:szCs w:val="22"/>
          </w:rPr>
          <w:delText>osse;</w:delText>
        </w:r>
      </w:del>
    </w:p>
    <w:p w14:paraId="73D4FE31" w14:textId="20ECCA43" w:rsidR="004462A0" w:rsidRPr="008912CF" w:rsidRDefault="00615769" w:rsidP="004462A0">
      <w:pPr>
        <w:numPr>
          <w:ilvl w:val="2"/>
          <w:numId w:val="48"/>
        </w:numPr>
        <w:tabs>
          <w:tab w:val="left" w:pos="993"/>
        </w:tabs>
        <w:rPr>
          <w:del w:id="14619" w:author="AbbVie2" w:date="2025-05-14T10:24:00Z"/>
          <w:sz w:val="22"/>
          <w:szCs w:val="22"/>
        </w:rPr>
      </w:pPr>
      <w:del w:id="14620" w:author="AbbVie2" w:date="2025-05-14T10:24:00Z">
        <w:r>
          <w:rPr>
            <w:sz w:val="22"/>
            <w:szCs w:val="22"/>
          </w:rPr>
          <w:delText>f</w:delText>
        </w:r>
        <w:r w:rsidRPr="008912CF">
          <w:rPr>
            <w:sz w:val="22"/>
            <w:szCs w:val="22"/>
          </w:rPr>
          <w:delText>ormigueiro;</w:delText>
        </w:r>
      </w:del>
    </w:p>
    <w:p w14:paraId="4D28A665" w14:textId="7FBAD616" w:rsidR="004462A0" w:rsidRPr="008912CF" w:rsidRDefault="00615769" w:rsidP="004462A0">
      <w:pPr>
        <w:numPr>
          <w:ilvl w:val="2"/>
          <w:numId w:val="48"/>
        </w:numPr>
        <w:tabs>
          <w:tab w:val="left" w:pos="993"/>
        </w:tabs>
        <w:rPr>
          <w:del w:id="14621" w:author="AbbVie2" w:date="2025-05-14T10:24:00Z"/>
          <w:sz w:val="22"/>
          <w:szCs w:val="22"/>
        </w:rPr>
      </w:pPr>
      <w:del w:id="14622" w:author="AbbVie2" w:date="2025-05-14T10:24:00Z">
        <w:r>
          <w:rPr>
            <w:sz w:val="22"/>
            <w:szCs w:val="22"/>
          </w:rPr>
          <w:delText>d</w:delText>
        </w:r>
        <w:r w:rsidRPr="008912CF">
          <w:rPr>
            <w:sz w:val="22"/>
            <w:szCs w:val="22"/>
          </w:rPr>
          <w:delText>ormência;</w:delText>
        </w:r>
      </w:del>
    </w:p>
    <w:p w14:paraId="2B844FA1" w14:textId="4B6BB07E" w:rsidR="004462A0" w:rsidRPr="008912CF" w:rsidRDefault="00615769" w:rsidP="004462A0">
      <w:pPr>
        <w:numPr>
          <w:ilvl w:val="2"/>
          <w:numId w:val="48"/>
        </w:numPr>
        <w:tabs>
          <w:tab w:val="left" w:pos="993"/>
        </w:tabs>
        <w:rPr>
          <w:del w:id="14623" w:author="AbbVie2" w:date="2025-05-14T10:24:00Z"/>
          <w:sz w:val="22"/>
          <w:szCs w:val="22"/>
        </w:rPr>
      </w:pPr>
      <w:del w:id="14624" w:author="AbbVie2" w:date="2025-05-14T10:24:00Z">
        <w:r>
          <w:rPr>
            <w:sz w:val="22"/>
            <w:szCs w:val="22"/>
          </w:rPr>
          <w:delText>v</w:delText>
        </w:r>
        <w:r w:rsidRPr="008912CF">
          <w:rPr>
            <w:sz w:val="22"/>
            <w:szCs w:val="22"/>
          </w:rPr>
          <w:delText xml:space="preserve">isão dupla; </w:delText>
        </w:r>
      </w:del>
    </w:p>
    <w:p w14:paraId="0DEF8C4A" w14:textId="01A869A0" w:rsidR="004462A0" w:rsidRPr="008912CF" w:rsidRDefault="00615769" w:rsidP="004462A0">
      <w:pPr>
        <w:numPr>
          <w:ilvl w:val="0"/>
          <w:numId w:val="49"/>
        </w:numPr>
        <w:tabs>
          <w:tab w:val="left" w:pos="993"/>
        </w:tabs>
        <w:rPr>
          <w:del w:id="14625" w:author="AbbVie2" w:date="2025-05-14T10:24:00Z"/>
          <w:sz w:val="22"/>
          <w:szCs w:val="22"/>
        </w:rPr>
      </w:pPr>
      <w:del w:id="14626" w:author="AbbVie2" w:date="2025-05-14T10:24:00Z">
        <w:r>
          <w:rPr>
            <w:sz w:val="22"/>
            <w:szCs w:val="22"/>
          </w:rPr>
          <w:delText>s</w:delText>
        </w:r>
        <w:r w:rsidRPr="008912CF">
          <w:rPr>
            <w:sz w:val="22"/>
            <w:szCs w:val="22"/>
          </w:rPr>
          <w:delText>ensação de fraqueza nos braços ou pernas;</w:delText>
        </w:r>
      </w:del>
    </w:p>
    <w:p w14:paraId="39E59A39" w14:textId="38080395" w:rsidR="004462A0" w:rsidRPr="008912CF" w:rsidRDefault="00615769" w:rsidP="004462A0">
      <w:pPr>
        <w:numPr>
          <w:ilvl w:val="0"/>
          <w:numId w:val="49"/>
        </w:numPr>
        <w:tabs>
          <w:tab w:val="left" w:pos="993"/>
        </w:tabs>
        <w:rPr>
          <w:del w:id="14627" w:author="AbbVie2" w:date="2025-05-14T10:24:00Z"/>
          <w:sz w:val="22"/>
          <w:szCs w:val="22"/>
        </w:rPr>
      </w:pPr>
      <w:del w:id="14628" w:author="AbbVie2" w:date="2025-05-14T10:24:00Z">
        <w:r>
          <w:rPr>
            <w:sz w:val="22"/>
            <w:szCs w:val="22"/>
          </w:rPr>
          <w:delText>i</w:delText>
        </w:r>
        <w:r w:rsidRPr="008912CF">
          <w:rPr>
            <w:sz w:val="22"/>
            <w:szCs w:val="22"/>
          </w:rPr>
          <w:delText>nchaço ou ferida aberta que não cicatriza;</w:delText>
        </w:r>
      </w:del>
    </w:p>
    <w:p w14:paraId="385A3E0C" w14:textId="71D5F6B1" w:rsidR="004462A0" w:rsidRPr="008912CF" w:rsidRDefault="00615769" w:rsidP="004462A0">
      <w:pPr>
        <w:numPr>
          <w:ilvl w:val="0"/>
          <w:numId w:val="49"/>
        </w:numPr>
        <w:tabs>
          <w:tab w:val="left" w:pos="993"/>
        </w:tabs>
        <w:rPr>
          <w:del w:id="14629" w:author="AbbVie2" w:date="2025-05-14T10:24:00Z"/>
          <w:sz w:val="22"/>
          <w:szCs w:val="22"/>
        </w:rPr>
      </w:pPr>
      <w:del w:id="14630" w:author="AbbVie2" w:date="2025-05-14T10:24:00Z">
        <w:r>
          <w:rPr>
            <w:sz w:val="22"/>
            <w:szCs w:val="22"/>
          </w:rPr>
          <w:delText>s</w:delText>
        </w:r>
        <w:r w:rsidRPr="008912CF">
          <w:rPr>
            <w:sz w:val="22"/>
            <w:szCs w:val="22"/>
          </w:rPr>
          <w:delText>inais ou sintomas sugestivos de alterações sanguíneas tais como febre persistente, nódoas negras, hemorragias, palidez.</w:delText>
        </w:r>
      </w:del>
    </w:p>
    <w:p w14:paraId="790B14D1" w14:textId="3865DD50" w:rsidR="004462A0" w:rsidRPr="008912CF" w:rsidRDefault="004462A0" w:rsidP="004462A0">
      <w:pPr>
        <w:rPr>
          <w:del w:id="14631" w:author="AbbVie2" w:date="2025-05-14T10:24:00Z"/>
          <w:sz w:val="22"/>
          <w:szCs w:val="22"/>
        </w:rPr>
      </w:pPr>
    </w:p>
    <w:p w14:paraId="392A9A8D" w14:textId="5877DCA7" w:rsidR="004462A0" w:rsidRPr="008912CF" w:rsidRDefault="00615769" w:rsidP="004462A0">
      <w:pPr>
        <w:rPr>
          <w:del w:id="14632" w:author="AbbVie2" w:date="2025-05-14T10:24:00Z"/>
          <w:sz w:val="22"/>
          <w:szCs w:val="22"/>
        </w:rPr>
      </w:pPr>
      <w:del w:id="14633" w:author="AbbVie2" w:date="2025-05-14T10:24:00Z">
        <w:r w:rsidRPr="008912CF">
          <w:rPr>
            <w:sz w:val="22"/>
            <w:szCs w:val="22"/>
          </w:rPr>
          <w:delText xml:space="preserve">Os sintomas descritos acima podem ser sinais dos efeitos </w:delText>
        </w:r>
        <w:r w:rsidR="00571C82">
          <w:rPr>
            <w:sz w:val="22"/>
            <w:szCs w:val="22"/>
          </w:rPr>
          <w:delText>indesejáveis</w:delText>
        </w:r>
        <w:r w:rsidRPr="008912CF">
          <w:rPr>
            <w:sz w:val="22"/>
            <w:szCs w:val="22"/>
          </w:rPr>
          <w:delText xml:space="preserve"> descritos a seguir e que foram observados com Humira</w:delText>
        </w:r>
        <w:r w:rsidR="009B0E0D">
          <w:rPr>
            <w:sz w:val="22"/>
            <w:szCs w:val="22"/>
          </w:rPr>
          <w:delText>.</w:delText>
        </w:r>
      </w:del>
    </w:p>
    <w:p w14:paraId="3277DA2E" w14:textId="0958C6D1" w:rsidR="004462A0" w:rsidRPr="008912CF" w:rsidRDefault="004462A0" w:rsidP="004462A0">
      <w:pPr>
        <w:rPr>
          <w:del w:id="14634" w:author="AbbVie2" w:date="2025-05-14T10:24:00Z"/>
          <w:sz w:val="22"/>
          <w:szCs w:val="22"/>
        </w:rPr>
      </w:pPr>
    </w:p>
    <w:p w14:paraId="3AF9F113" w14:textId="1D9FA942" w:rsidR="004462A0" w:rsidRPr="008912CF" w:rsidRDefault="00615769" w:rsidP="004462A0">
      <w:pPr>
        <w:rPr>
          <w:del w:id="14635" w:author="AbbVie2" w:date="2025-05-14T10:24:00Z"/>
          <w:sz w:val="22"/>
          <w:szCs w:val="22"/>
        </w:rPr>
      </w:pPr>
      <w:del w:id="14636" w:author="AbbVie2" w:date="2025-05-14T10:24:00Z">
        <w:r w:rsidRPr="008912CF">
          <w:rPr>
            <w:sz w:val="22"/>
            <w:szCs w:val="22"/>
          </w:rPr>
          <w:delText xml:space="preserve">Muito frequentes (podem afetar mais de 1 em 10 pessoas) </w:delText>
        </w:r>
      </w:del>
    </w:p>
    <w:p w14:paraId="21A241FE" w14:textId="112CFABB" w:rsidR="004462A0" w:rsidRPr="008912CF" w:rsidRDefault="004462A0" w:rsidP="004462A0">
      <w:pPr>
        <w:rPr>
          <w:del w:id="14637" w:author="AbbVie2" w:date="2025-05-14T10:24:00Z"/>
          <w:sz w:val="22"/>
          <w:szCs w:val="22"/>
        </w:rPr>
      </w:pPr>
    </w:p>
    <w:p w14:paraId="68CA69D0" w14:textId="3EC0E478" w:rsidR="004462A0" w:rsidRPr="008912CF" w:rsidRDefault="00615769" w:rsidP="004462A0">
      <w:pPr>
        <w:numPr>
          <w:ilvl w:val="0"/>
          <w:numId w:val="70"/>
        </w:numPr>
        <w:tabs>
          <w:tab w:val="clear" w:pos="0"/>
        </w:tabs>
        <w:ind w:left="568" w:hanging="568"/>
        <w:rPr>
          <w:del w:id="14638" w:author="AbbVie2" w:date="2025-05-14T10:24:00Z"/>
          <w:sz w:val="22"/>
          <w:szCs w:val="22"/>
        </w:rPr>
      </w:pPr>
      <w:del w:id="14639" w:author="AbbVie2" w:date="2025-05-14T10:24:00Z">
        <w:r w:rsidRPr="008912CF">
          <w:rPr>
            <w:sz w:val="22"/>
            <w:szCs w:val="22"/>
          </w:rPr>
          <w:delText>reações no local da injeção (incluindo dor, inchaço, vermelhidão ou comichão);</w:delText>
        </w:r>
      </w:del>
    </w:p>
    <w:p w14:paraId="384A47C6" w14:textId="570ED98C" w:rsidR="004462A0" w:rsidRPr="008912CF" w:rsidRDefault="00615769" w:rsidP="004462A0">
      <w:pPr>
        <w:numPr>
          <w:ilvl w:val="0"/>
          <w:numId w:val="67"/>
        </w:numPr>
        <w:tabs>
          <w:tab w:val="clear" w:pos="284"/>
          <w:tab w:val="left" w:pos="600"/>
        </w:tabs>
        <w:ind w:left="600" w:hanging="600"/>
        <w:rPr>
          <w:del w:id="14640" w:author="AbbVie2" w:date="2025-05-14T10:24:00Z"/>
          <w:sz w:val="22"/>
          <w:szCs w:val="22"/>
        </w:rPr>
      </w:pPr>
      <w:del w:id="14641" w:author="AbbVie2" w:date="2025-05-14T10:24:00Z">
        <w:r w:rsidRPr="008912CF">
          <w:rPr>
            <w:sz w:val="22"/>
            <w:szCs w:val="22"/>
          </w:rPr>
          <w:delText>infeções do trato respiratório (incluindo constipação, nariz a pingar, infeção sinusal, pneumonia);</w:delText>
        </w:r>
      </w:del>
    </w:p>
    <w:p w14:paraId="14B05066" w14:textId="342025B1" w:rsidR="004462A0" w:rsidRPr="008912CF" w:rsidRDefault="00615769" w:rsidP="004462A0">
      <w:pPr>
        <w:numPr>
          <w:ilvl w:val="0"/>
          <w:numId w:val="67"/>
        </w:numPr>
        <w:tabs>
          <w:tab w:val="clear" w:pos="284"/>
          <w:tab w:val="left" w:pos="600"/>
        </w:tabs>
        <w:ind w:left="600" w:hanging="600"/>
        <w:rPr>
          <w:del w:id="14642" w:author="AbbVie2" w:date="2025-05-14T10:24:00Z"/>
          <w:sz w:val="22"/>
          <w:szCs w:val="22"/>
        </w:rPr>
      </w:pPr>
      <w:del w:id="14643" w:author="AbbVie2" w:date="2025-05-14T10:24:00Z">
        <w:r w:rsidRPr="008912CF">
          <w:rPr>
            <w:sz w:val="22"/>
            <w:szCs w:val="22"/>
          </w:rPr>
          <w:delText>dor de cabeça;</w:delText>
        </w:r>
      </w:del>
    </w:p>
    <w:p w14:paraId="4B0907E2" w14:textId="1239FA41" w:rsidR="004462A0" w:rsidRPr="008912CF" w:rsidRDefault="00615769" w:rsidP="004462A0">
      <w:pPr>
        <w:numPr>
          <w:ilvl w:val="0"/>
          <w:numId w:val="67"/>
        </w:numPr>
        <w:tabs>
          <w:tab w:val="clear" w:pos="284"/>
          <w:tab w:val="left" w:pos="600"/>
        </w:tabs>
        <w:ind w:left="600" w:hanging="600"/>
        <w:rPr>
          <w:del w:id="14644" w:author="AbbVie2" w:date="2025-05-14T10:24:00Z"/>
          <w:sz w:val="22"/>
          <w:szCs w:val="22"/>
        </w:rPr>
      </w:pPr>
      <w:del w:id="14645" w:author="AbbVie2" w:date="2025-05-14T10:24:00Z">
        <w:r w:rsidRPr="008912CF">
          <w:rPr>
            <w:sz w:val="22"/>
            <w:szCs w:val="22"/>
          </w:rPr>
          <w:delText>dor abdominal;</w:delText>
        </w:r>
      </w:del>
    </w:p>
    <w:p w14:paraId="34805719" w14:textId="6DFCEE05" w:rsidR="004462A0" w:rsidRPr="008912CF" w:rsidRDefault="00615769" w:rsidP="004462A0">
      <w:pPr>
        <w:numPr>
          <w:ilvl w:val="0"/>
          <w:numId w:val="67"/>
        </w:numPr>
        <w:tabs>
          <w:tab w:val="clear" w:pos="284"/>
          <w:tab w:val="left" w:pos="600"/>
        </w:tabs>
        <w:ind w:left="600" w:hanging="600"/>
        <w:rPr>
          <w:del w:id="14646" w:author="AbbVie2" w:date="2025-05-14T10:24:00Z"/>
          <w:sz w:val="22"/>
          <w:szCs w:val="22"/>
        </w:rPr>
      </w:pPr>
      <w:del w:id="14647" w:author="AbbVie2" w:date="2025-05-14T10:24:00Z">
        <w:r w:rsidRPr="008912CF">
          <w:rPr>
            <w:sz w:val="22"/>
            <w:szCs w:val="22"/>
          </w:rPr>
          <w:delText>náuseas e vómitos;</w:delText>
        </w:r>
      </w:del>
    </w:p>
    <w:p w14:paraId="3A9A266F" w14:textId="209489B0" w:rsidR="004462A0" w:rsidRPr="008912CF" w:rsidRDefault="00615769" w:rsidP="004462A0">
      <w:pPr>
        <w:numPr>
          <w:ilvl w:val="0"/>
          <w:numId w:val="67"/>
        </w:numPr>
        <w:tabs>
          <w:tab w:val="clear" w:pos="284"/>
          <w:tab w:val="left" w:pos="600"/>
        </w:tabs>
        <w:ind w:left="600" w:hanging="600"/>
        <w:rPr>
          <w:del w:id="14648" w:author="AbbVie2" w:date="2025-05-14T10:24:00Z"/>
          <w:sz w:val="22"/>
          <w:szCs w:val="22"/>
        </w:rPr>
      </w:pPr>
      <w:del w:id="14649" w:author="AbbVie2" w:date="2025-05-14T10:24:00Z">
        <w:r w:rsidRPr="008912CF">
          <w:rPr>
            <w:sz w:val="22"/>
            <w:szCs w:val="22"/>
          </w:rPr>
          <w:delText>erupção cutânea;</w:delText>
        </w:r>
      </w:del>
    </w:p>
    <w:p w14:paraId="46C14DAF" w14:textId="3EE452A1" w:rsidR="004462A0" w:rsidRPr="008912CF" w:rsidRDefault="00615769" w:rsidP="004462A0">
      <w:pPr>
        <w:numPr>
          <w:ilvl w:val="0"/>
          <w:numId w:val="70"/>
        </w:numPr>
        <w:tabs>
          <w:tab w:val="clear" w:pos="0"/>
        </w:tabs>
        <w:ind w:left="568" w:hanging="568"/>
        <w:rPr>
          <w:del w:id="14650" w:author="AbbVie2" w:date="2025-05-14T10:24:00Z"/>
          <w:sz w:val="22"/>
          <w:szCs w:val="22"/>
        </w:rPr>
      </w:pPr>
      <w:del w:id="14651" w:author="AbbVie2" w:date="2025-05-14T10:24:00Z">
        <w:r w:rsidRPr="008912CF">
          <w:rPr>
            <w:sz w:val="22"/>
            <w:szCs w:val="22"/>
          </w:rPr>
          <w:delText xml:space="preserve">dor musculoesquelética. </w:delText>
        </w:r>
      </w:del>
    </w:p>
    <w:p w14:paraId="00CE18DB" w14:textId="5842CB85" w:rsidR="004462A0" w:rsidRPr="008912CF" w:rsidRDefault="004462A0" w:rsidP="004462A0">
      <w:pPr>
        <w:ind w:left="568" w:hanging="568"/>
        <w:rPr>
          <w:del w:id="14652" w:author="AbbVie2" w:date="2025-05-14T10:24:00Z"/>
          <w:sz w:val="22"/>
          <w:szCs w:val="22"/>
        </w:rPr>
      </w:pPr>
    </w:p>
    <w:p w14:paraId="7D9C3AB5" w14:textId="66466C54" w:rsidR="004462A0" w:rsidRPr="008912CF" w:rsidRDefault="00615769" w:rsidP="004462A0">
      <w:pPr>
        <w:ind w:left="568" w:hanging="568"/>
        <w:rPr>
          <w:del w:id="14653" w:author="AbbVie2" w:date="2025-05-14T10:24:00Z"/>
          <w:sz w:val="22"/>
          <w:szCs w:val="22"/>
        </w:rPr>
      </w:pPr>
      <w:del w:id="14654" w:author="AbbVie2" w:date="2025-05-14T10:24:00Z">
        <w:r w:rsidRPr="008912CF">
          <w:rPr>
            <w:sz w:val="22"/>
            <w:szCs w:val="22"/>
          </w:rPr>
          <w:delText>Frequentes (podem afetar até 1 em 10 pessoas)</w:delText>
        </w:r>
      </w:del>
    </w:p>
    <w:p w14:paraId="6D8537F3" w14:textId="36B6C4B5" w:rsidR="004462A0" w:rsidRPr="008912CF" w:rsidRDefault="004462A0" w:rsidP="004462A0">
      <w:pPr>
        <w:ind w:left="568" w:hanging="568"/>
        <w:rPr>
          <w:del w:id="14655" w:author="AbbVie2" w:date="2025-05-14T10:24:00Z"/>
          <w:sz w:val="22"/>
          <w:szCs w:val="22"/>
        </w:rPr>
      </w:pPr>
    </w:p>
    <w:p w14:paraId="2AC056F2" w14:textId="75E10CE9" w:rsidR="004462A0" w:rsidRDefault="00615769" w:rsidP="004462A0">
      <w:pPr>
        <w:numPr>
          <w:ilvl w:val="0"/>
          <w:numId w:val="70"/>
        </w:numPr>
        <w:tabs>
          <w:tab w:val="clear" w:pos="0"/>
        </w:tabs>
        <w:ind w:left="567" w:hanging="567"/>
        <w:rPr>
          <w:del w:id="14656" w:author="AbbVie2" w:date="2025-05-14T10:24:00Z"/>
          <w:sz w:val="22"/>
          <w:szCs w:val="22"/>
        </w:rPr>
      </w:pPr>
      <w:del w:id="14657" w:author="AbbVie2" w:date="2025-05-14T10:24:00Z">
        <w:r w:rsidRPr="008912CF">
          <w:rPr>
            <w:sz w:val="22"/>
            <w:szCs w:val="22"/>
          </w:rPr>
          <w:delText xml:space="preserve">infeções </w:delText>
        </w:r>
        <w:r w:rsidR="00D84E4E">
          <w:rPr>
            <w:sz w:val="22"/>
            <w:szCs w:val="22"/>
          </w:rPr>
          <w:delText>graves</w:delText>
        </w:r>
        <w:r w:rsidRPr="008912CF">
          <w:rPr>
            <w:sz w:val="22"/>
            <w:szCs w:val="22"/>
          </w:rPr>
          <w:delText xml:space="preserve"> (incluindo envenenamento do sangue e gripe);</w:delText>
        </w:r>
      </w:del>
    </w:p>
    <w:p w14:paraId="2FD44A85" w14:textId="4052BF68" w:rsidR="009B0E0D" w:rsidRPr="008912CF" w:rsidRDefault="00615769" w:rsidP="004462A0">
      <w:pPr>
        <w:numPr>
          <w:ilvl w:val="0"/>
          <w:numId w:val="70"/>
        </w:numPr>
        <w:tabs>
          <w:tab w:val="clear" w:pos="0"/>
        </w:tabs>
        <w:ind w:left="567" w:hanging="567"/>
        <w:rPr>
          <w:del w:id="14658" w:author="AbbVie2" w:date="2025-05-14T10:24:00Z"/>
          <w:sz w:val="22"/>
          <w:szCs w:val="22"/>
        </w:rPr>
      </w:pPr>
      <w:del w:id="14659" w:author="AbbVie2" w:date="2025-05-14T10:24:00Z">
        <w:r>
          <w:rPr>
            <w:sz w:val="22"/>
            <w:szCs w:val="22"/>
          </w:rPr>
          <w:delText>infeções intestinais (incluindo gastroenterite);</w:delText>
        </w:r>
      </w:del>
    </w:p>
    <w:p w14:paraId="7E3BAA87" w14:textId="453317D7" w:rsidR="004462A0" w:rsidRPr="008912CF" w:rsidRDefault="00615769" w:rsidP="004462A0">
      <w:pPr>
        <w:numPr>
          <w:ilvl w:val="0"/>
          <w:numId w:val="70"/>
        </w:numPr>
        <w:tabs>
          <w:tab w:val="clear" w:pos="0"/>
        </w:tabs>
        <w:ind w:left="567" w:hanging="567"/>
        <w:rPr>
          <w:del w:id="14660" w:author="AbbVie2" w:date="2025-05-14T10:24:00Z"/>
          <w:sz w:val="22"/>
          <w:szCs w:val="22"/>
        </w:rPr>
      </w:pPr>
      <w:del w:id="14661" w:author="AbbVie2" w:date="2025-05-14T10:24:00Z">
        <w:r w:rsidRPr="008912CF">
          <w:rPr>
            <w:sz w:val="22"/>
            <w:szCs w:val="22"/>
          </w:rPr>
          <w:delText>infeções da pele (incluindo celulite e zona);</w:delText>
        </w:r>
      </w:del>
    </w:p>
    <w:p w14:paraId="5209F18E" w14:textId="7207B948" w:rsidR="004462A0" w:rsidRPr="008912CF" w:rsidRDefault="00615769" w:rsidP="004462A0">
      <w:pPr>
        <w:numPr>
          <w:ilvl w:val="0"/>
          <w:numId w:val="70"/>
        </w:numPr>
        <w:tabs>
          <w:tab w:val="clear" w:pos="0"/>
        </w:tabs>
        <w:ind w:left="567" w:hanging="567"/>
        <w:rPr>
          <w:del w:id="14662" w:author="AbbVie2" w:date="2025-05-14T10:24:00Z"/>
          <w:sz w:val="22"/>
          <w:szCs w:val="22"/>
        </w:rPr>
      </w:pPr>
      <w:del w:id="14663" w:author="AbbVie2" w:date="2025-05-14T10:24:00Z">
        <w:r w:rsidRPr="008912CF">
          <w:rPr>
            <w:sz w:val="22"/>
            <w:szCs w:val="22"/>
          </w:rPr>
          <w:delText xml:space="preserve">infeções </w:delText>
        </w:r>
        <w:r>
          <w:rPr>
            <w:sz w:val="22"/>
            <w:szCs w:val="22"/>
          </w:rPr>
          <w:delText>dos ouvidos</w:delText>
        </w:r>
        <w:r w:rsidRPr="008912CF">
          <w:rPr>
            <w:sz w:val="22"/>
            <w:szCs w:val="22"/>
          </w:rPr>
          <w:delText>;</w:delText>
        </w:r>
      </w:del>
    </w:p>
    <w:p w14:paraId="6284BFCE" w14:textId="3D6E9D73" w:rsidR="004462A0" w:rsidRPr="008912CF" w:rsidRDefault="00615769" w:rsidP="004462A0">
      <w:pPr>
        <w:numPr>
          <w:ilvl w:val="0"/>
          <w:numId w:val="70"/>
        </w:numPr>
        <w:tabs>
          <w:tab w:val="clear" w:pos="0"/>
        </w:tabs>
        <w:ind w:left="567" w:hanging="567"/>
        <w:rPr>
          <w:del w:id="14664" w:author="AbbVie2" w:date="2025-05-14T10:24:00Z"/>
          <w:sz w:val="22"/>
          <w:szCs w:val="22"/>
        </w:rPr>
      </w:pPr>
      <w:del w:id="14665" w:author="AbbVie2" w:date="2025-05-14T10:24:00Z">
        <w:r w:rsidRPr="008912CF">
          <w:rPr>
            <w:sz w:val="22"/>
            <w:szCs w:val="22"/>
          </w:rPr>
          <w:delText>infeções orais (incluindo infeções dentárias e constipações);</w:delText>
        </w:r>
      </w:del>
    </w:p>
    <w:p w14:paraId="19BF3F45" w14:textId="71CAA968" w:rsidR="004462A0" w:rsidRPr="008912CF" w:rsidRDefault="00615769" w:rsidP="004462A0">
      <w:pPr>
        <w:numPr>
          <w:ilvl w:val="0"/>
          <w:numId w:val="70"/>
        </w:numPr>
        <w:tabs>
          <w:tab w:val="clear" w:pos="0"/>
        </w:tabs>
        <w:ind w:left="567" w:hanging="567"/>
        <w:rPr>
          <w:del w:id="14666" w:author="AbbVie2" w:date="2025-05-14T10:24:00Z"/>
          <w:sz w:val="22"/>
          <w:szCs w:val="22"/>
        </w:rPr>
      </w:pPr>
      <w:del w:id="14667" w:author="AbbVie2" w:date="2025-05-14T10:24:00Z">
        <w:r w:rsidRPr="008912CF">
          <w:rPr>
            <w:sz w:val="22"/>
            <w:szCs w:val="22"/>
          </w:rPr>
          <w:delText>infeções do sistema reprodutor;</w:delText>
        </w:r>
      </w:del>
    </w:p>
    <w:p w14:paraId="58EAF017" w14:textId="41963BB5" w:rsidR="004462A0" w:rsidRPr="008912CF" w:rsidRDefault="00615769" w:rsidP="004462A0">
      <w:pPr>
        <w:numPr>
          <w:ilvl w:val="0"/>
          <w:numId w:val="70"/>
        </w:numPr>
        <w:tabs>
          <w:tab w:val="clear" w:pos="0"/>
        </w:tabs>
        <w:ind w:left="568" w:hanging="568"/>
        <w:rPr>
          <w:del w:id="14668" w:author="AbbVie2" w:date="2025-05-14T10:24:00Z"/>
          <w:sz w:val="22"/>
          <w:szCs w:val="22"/>
        </w:rPr>
      </w:pPr>
      <w:del w:id="14669" w:author="AbbVie2" w:date="2025-05-14T10:24:00Z">
        <w:r w:rsidRPr="008912CF">
          <w:rPr>
            <w:sz w:val="22"/>
            <w:szCs w:val="22"/>
          </w:rPr>
          <w:delText>infeção do trato urinário;</w:delText>
        </w:r>
      </w:del>
    </w:p>
    <w:p w14:paraId="48097AC5" w14:textId="5797E491" w:rsidR="004462A0" w:rsidRPr="008912CF" w:rsidRDefault="00615769" w:rsidP="004462A0">
      <w:pPr>
        <w:numPr>
          <w:ilvl w:val="0"/>
          <w:numId w:val="70"/>
        </w:numPr>
        <w:tabs>
          <w:tab w:val="clear" w:pos="0"/>
        </w:tabs>
        <w:ind w:left="568" w:hanging="568"/>
        <w:rPr>
          <w:del w:id="14670" w:author="AbbVie2" w:date="2025-05-14T10:24:00Z"/>
          <w:sz w:val="22"/>
          <w:szCs w:val="22"/>
        </w:rPr>
      </w:pPr>
      <w:del w:id="14671" w:author="AbbVie2" w:date="2025-05-14T10:24:00Z">
        <w:r w:rsidRPr="008912CF">
          <w:rPr>
            <w:sz w:val="22"/>
            <w:szCs w:val="22"/>
          </w:rPr>
          <w:delText>infeções fúngicas;</w:delText>
        </w:r>
      </w:del>
    </w:p>
    <w:p w14:paraId="2EB7BE4B" w14:textId="2813861B" w:rsidR="004462A0" w:rsidRPr="008912CF" w:rsidRDefault="00615769" w:rsidP="004462A0">
      <w:pPr>
        <w:numPr>
          <w:ilvl w:val="0"/>
          <w:numId w:val="70"/>
        </w:numPr>
        <w:tabs>
          <w:tab w:val="clear" w:pos="0"/>
        </w:tabs>
        <w:ind w:left="568" w:hanging="568"/>
        <w:rPr>
          <w:del w:id="14672" w:author="AbbVie2" w:date="2025-05-14T10:24:00Z"/>
          <w:sz w:val="22"/>
          <w:szCs w:val="22"/>
        </w:rPr>
      </w:pPr>
      <w:del w:id="14673" w:author="AbbVie2" w:date="2025-05-14T10:24:00Z">
        <w:r w:rsidRPr="008912CF">
          <w:rPr>
            <w:sz w:val="22"/>
            <w:szCs w:val="22"/>
          </w:rPr>
          <w:delText xml:space="preserve">infeções </w:delText>
        </w:r>
        <w:r>
          <w:rPr>
            <w:sz w:val="22"/>
            <w:szCs w:val="22"/>
          </w:rPr>
          <w:delText>das articulações</w:delText>
        </w:r>
        <w:r w:rsidRPr="008912CF">
          <w:rPr>
            <w:sz w:val="22"/>
            <w:szCs w:val="22"/>
          </w:rPr>
          <w:delText>;</w:delText>
        </w:r>
      </w:del>
    </w:p>
    <w:p w14:paraId="5A0C1E35" w14:textId="4C3BA7FA" w:rsidR="004462A0" w:rsidRPr="008912CF" w:rsidRDefault="00615769" w:rsidP="004462A0">
      <w:pPr>
        <w:numPr>
          <w:ilvl w:val="0"/>
          <w:numId w:val="70"/>
        </w:numPr>
        <w:tabs>
          <w:tab w:val="clear" w:pos="0"/>
        </w:tabs>
        <w:ind w:left="567" w:hanging="567"/>
        <w:rPr>
          <w:del w:id="14674" w:author="AbbVie2" w:date="2025-05-14T10:24:00Z"/>
          <w:sz w:val="22"/>
          <w:szCs w:val="22"/>
        </w:rPr>
      </w:pPr>
      <w:del w:id="14675" w:author="AbbVie2" w:date="2025-05-14T10:24:00Z">
        <w:r w:rsidRPr="008912CF">
          <w:rPr>
            <w:sz w:val="22"/>
            <w:szCs w:val="22"/>
          </w:rPr>
          <w:delText>tumores benignos;</w:delText>
        </w:r>
      </w:del>
    </w:p>
    <w:p w14:paraId="1DEFC4BA" w14:textId="75037652" w:rsidR="004462A0" w:rsidRPr="008912CF" w:rsidRDefault="00615769" w:rsidP="004462A0">
      <w:pPr>
        <w:numPr>
          <w:ilvl w:val="0"/>
          <w:numId w:val="70"/>
        </w:numPr>
        <w:tabs>
          <w:tab w:val="clear" w:pos="0"/>
        </w:tabs>
        <w:ind w:left="567" w:hanging="567"/>
        <w:rPr>
          <w:del w:id="14676" w:author="AbbVie2" w:date="2025-05-14T10:24:00Z"/>
          <w:sz w:val="22"/>
          <w:szCs w:val="22"/>
        </w:rPr>
      </w:pPr>
      <w:del w:id="14677" w:author="AbbVie2" w:date="2025-05-14T10:24:00Z">
        <w:r w:rsidRPr="008912CF">
          <w:rPr>
            <w:sz w:val="22"/>
            <w:szCs w:val="22"/>
          </w:rPr>
          <w:delText>cancro da pele;</w:delText>
        </w:r>
      </w:del>
    </w:p>
    <w:p w14:paraId="125AD583" w14:textId="27EC3C9D" w:rsidR="004462A0" w:rsidRPr="008912CF" w:rsidRDefault="00615769" w:rsidP="004462A0">
      <w:pPr>
        <w:numPr>
          <w:ilvl w:val="0"/>
          <w:numId w:val="70"/>
        </w:numPr>
        <w:tabs>
          <w:tab w:val="clear" w:pos="0"/>
        </w:tabs>
        <w:ind w:left="567" w:hanging="567"/>
        <w:rPr>
          <w:del w:id="14678" w:author="AbbVie2" w:date="2025-05-14T10:24:00Z"/>
          <w:sz w:val="22"/>
          <w:szCs w:val="22"/>
        </w:rPr>
      </w:pPr>
      <w:del w:id="14679" w:author="AbbVie2" w:date="2025-05-14T10:24:00Z">
        <w:r w:rsidRPr="008912CF">
          <w:rPr>
            <w:sz w:val="22"/>
            <w:szCs w:val="22"/>
          </w:rPr>
          <w:delText>reações alérgicas (incluindo alergia sazonal);</w:delText>
        </w:r>
      </w:del>
    </w:p>
    <w:p w14:paraId="41BDB012" w14:textId="60B492D5" w:rsidR="004462A0" w:rsidRPr="008912CF" w:rsidRDefault="00615769" w:rsidP="004462A0">
      <w:pPr>
        <w:numPr>
          <w:ilvl w:val="0"/>
          <w:numId w:val="70"/>
        </w:numPr>
        <w:tabs>
          <w:tab w:val="clear" w:pos="0"/>
        </w:tabs>
        <w:ind w:left="567" w:hanging="567"/>
        <w:rPr>
          <w:del w:id="14680" w:author="AbbVie2" w:date="2025-05-14T10:24:00Z"/>
          <w:sz w:val="22"/>
          <w:szCs w:val="22"/>
        </w:rPr>
      </w:pPr>
      <w:del w:id="14681" w:author="AbbVie2" w:date="2025-05-14T10:24:00Z">
        <w:r w:rsidRPr="008912CF">
          <w:rPr>
            <w:sz w:val="22"/>
            <w:szCs w:val="22"/>
          </w:rPr>
          <w:delText>desidratação;</w:delText>
        </w:r>
      </w:del>
    </w:p>
    <w:p w14:paraId="25188632" w14:textId="4D972CF4" w:rsidR="004462A0" w:rsidRPr="008912CF" w:rsidRDefault="00615769" w:rsidP="004462A0">
      <w:pPr>
        <w:numPr>
          <w:ilvl w:val="0"/>
          <w:numId w:val="70"/>
        </w:numPr>
        <w:tabs>
          <w:tab w:val="clear" w:pos="0"/>
        </w:tabs>
        <w:ind w:left="567" w:hanging="567"/>
        <w:rPr>
          <w:del w:id="14682" w:author="AbbVie2" w:date="2025-05-14T10:24:00Z"/>
          <w:sz w:val="22"/>
          <w:szCs w:val="22"/>
        </w:rPr>
      </w:pPr>
      <w:del w:id="14683" w:author="AbbVie2" w:date="2025-05-14T10:24:00Z">
        <w:r w:rsidRPr="008912CF">
          <w:rPr>
            <w:sz w:val="22"/>
            <w:szCs w:val="22"/>
          </w:rPr>
          <w:delText>alterações do humor (incluindo depressão);</w:delText>
        </w:r>
      </w:del>
    </w:p>
    <w:p w14:paraId="38E0F5F8" w14:textId="2B2203B2" w:rsidR="004462A0" w:rsidRPr="008912CF" w:rsidRDefault="00615769" w:rsidP="004462A0">
      <w:pPr>
        <w:numPr>
          <w:ilvl w:val="0"/>
          <w:numId w:val="70"/>
        </w:numPr>
        <w:tabs>
          <w:tab w:val="clear" w:pos="0"/>
        </w:tabs>
        <w:ind w:left="567" w:hanging="567"/>
        <w:rPr>
          <w:del w:id="14684" w:author="AbbVie2" w:date="2025-05-14T10:24:00Z"/>
          <w:sz w:val="22"/>
          <w:szCs w:val="22"/>
        </w:rPr>
      </w:pPr>
      <w:del w:id="14685" w:author="AbbVie2" w:date="2025-05-14T10:24:00Z">
        <w:r w:rsidRPr="008912CF">
          <w:rPr>
            <w:sz w:val="22"/>
            <w:szCs w:val="22"/>
          </w:rPr>
          <w:delText>ansiedade;</w:delText>
        </w:r>
      </w:del>
    </w:p>
    <w:p w14:paraId="294901B6" w14:textId="45FCA63B" w:rsidR="004462A0" w:rsidRPr="008912CF" w:rsidRDefault="00615769" w:rsidP="004462A0">
      <w:pPr>
        <w:numPr>
          <w:ilvl w:val="0"/>
          <w:numId w:val="70"/>
        </w:numPr>
        <w:tabs>
          <w:tab w:val="clear" w:pos="0"/>
        </w:tabs>
        <w:ind w:left="567" w:hanging="567"/>
        <w:rPr>
          <w:del w:id="14686" w:author="AbbVie2" w:date="2025-05-14T10:24:00Z"/>
          <w:sz w:val="22"/>
          <w:szCs w:val="22"/>
        </w:rPr>
      </w:pPr>
      <w:del w:id="14687" w:author="AbbVie2" w:date="2025-05-14T10:24:00Z">
        <w:r w:rsidRPr="008912CF">
          <w:rPr>
            <w:sz w:val="22"/>
            <w:szCs w:val="22"/>
          </w:rPr>
          <w:delText>dificuldade em adormecer;</w:delText>
        </w:r>
      </w:del>
    </w:p>
    <w:p w14:paraId="70D37C0E" w14:textId="7FAC20C5" w:rsidR="004462A0" w:rsidRPr="008912CF" w:rsidRDefault="00615769" w:rsidP="004462A0">
      <w:pPr>
        <w:numPr>
          <w:ilvl w:val="0"/>
          <w:numId w:val="70"/>
        </w:numPr>
        <w:tabs>
          <w:tab w:val="clear" w:pos="0"/>
        </w:tabs>
        <w:ind w:left="567" w:hanging="567"/>
        <w:rPr>
          <w:del w:id="14688" w:author="AbbVie2" w:date="2025-05-14T10:24:00Z"/>
          <w:sz w:val="22"/>
          <w:szCs w:val="22"/>
        </w:rPr>
      </w:pPr>
      <w:del w:id="14689" w:author="AbbVie2" w:date="2025-05-14T10:24:00Z">
        <w:r w:rsidRPr="008912CF">
          <w:rPr>
            <w:sz w:val="22"/>
            <w:szCs w:val="22"/>
          </w:rPr>
          <w:delText>alterações neurológicas tais como prurido, comichão ou dormência;</w:delText>
        </w:r>
      </w:del>
    </w:p>
    <w:p w14:paraId="7C4B1639" w14:textId="78C9E336" w:rsidR="004462A0" w:rsidRPr="008912CF" w:rsidRDefault="00615769" w:rsidP="004462A0">
      <w:pPr>
        <w:numPr>
          <w:ilvl w:val="0"/>
          <w:numId w:val="70"/>
        </w:numPr>
        <w:tabs>
          <w:tab w:val="clear" w:pos="0"/>
        </w:tabs>
        <w:ind w:left="567" w:hanging="567"/>
        <w:rPr>
          <w:del w:id="14690" w:author="AbbVie2" w:date="2025-05-14T10:24:00Z"/>
          <w:sz w:val="22"/>
          <w:szCs w:val="22"/>
        </w:rPr>
      </w:pPr>
      <w:del w:id="14691" w:author="AbbVie2" w:date="2025-05-14T10:24:00Z">
        <w:r w:rsidRPr="008912CF">
          <w:rPr>
            <w:sz w:val="22"/>
            <w:szCs w:val="22"/>
          </w:rPr>
          <w:delText>enxaqueca;</w:delText>
        </w:r>
      </w:del>
    </w:p>
    <w:p w14:paraId="67A093B2" w14:textId="508E2050" w:rsidR="004462A0" w:rsidRPr="008912CF" w:rsidRDefault="00615769" w:rsidP="004462A0">
      <w:pPr>
        <w:numPr>
          <w:ilvl w:val="0"/>
          <w:numId w:val="70"/>
        </w:numPr>
        <w:tabs>
          <w:tab w:val="clear" w:pos="0"/>
        </w:tabs>
        <w:ind w:left="567" w:hanging="567"/>
        <w:rPr>
          <w:del w:id="14692" w:author="AbbVie2" w:date="2025-05-14T10:24:00Z"/>
          <w:sz w:val="22"/>
          <w:szCs w:val="22"/>
        </w:rPr>
      </w:pPr>
      <w:del w:id="14693" w:author="AbbVie2" w:date="2025-05-14T10:24:00Z">
        <w:r w:rsidRPr="008912CF">
          <w:rPr>
            <w:sz w:val="22"/>
            <w:szCs w:val="22"/>
          </w:rPr>
          <w:delText>compressão da raiz nervosa (incluindo dor lombar e dor nas pernas);</w:delText>
        </w:r>
      </w:del>
    </w:p>
    <w:p w14:paraId="164F11C5" w14:textId="30C5C6DE" w:rsidR="004462A0" w:rsidRPr="008912CF" w:rsidRDefault="00615769" w:rsidP="004462A0">
      <w:pPr>
        <w:numPr>
          <w:ilvl w:val="0"/>
          <w:numId w:val="70"/>
        </w:numPr>
        <w:tabs>
          <w:tab w:val="clear" w:pos="0"/>
        </w:tabs>
        <w:ind w:left="567" w:hanging="567"/>
        <w:rPr>
          <w:del w:id="14694" w:author="AbbVie2" w:date="2025-05-14T10:24:00Z"/>
          <w:sz w:val="22"/>
          <w:szCs w:val="22"/>
        </w:rPr>
      </w:pPr>
      <w:del w:id="14695" w:author="AbbVie2" w:date="2025-05-14T10:24:00Z">
        <w:r w:rsidRPr="008912CF">
          <w:rPr>
            <w:sz w:val="22"/>
            <w:szCs w:val="22"/>
          </w:rPr>
          <w:delText>alterações da visão;</w:delText>
        </w:r>
      </w:del>
    </w:p>
    <w:p w14:paraId="726980F0" w14:textId="58611065" w:rsidR="004462A0" w:rsidRPr="008912CF" w:rsidRDefault="00615769" w:rsidP="004462A0">
      <w:pPr>
        <w:numPr>
          <w:ilvl w:val="0"/>
          <w:numId w:val="70"/>
        </w:numPr>
        <w:tabs>
          <w:tab w:val="clear" w:pos="0"/>
        </w:tabs>
        <w:ind w:left="567" w:hanging="567"/>
        <w:rPr>
          <w:del w:id="14696" w:author="AbbVie2" w:date="2025-05-14T10:24:00Z"/>
          <w:sz w:val="22"/>
          <w:szCs w:val="22"/>
        </w:rPr>
      </w:pPr>
      <w:del w:id="14697" w:author="AbbVie2" w:date="2025-05-14T10:24:00Z">
        <w:r w:rsidRPr="008912CF">
          <w:rPr>
            <w:sz w:val="22"/>
            <w:szCs w:val="22"/>
          </w:rPr>
          <w:delText>inflamação dos olhos;</w:delText>
        </w:r>
      </w:del>
    </w:p>
    <w:p w14:paraId="5484773D" w14:textId="1EB9A180" w:rsidR="004462A0" w:rsidRPr="008912CF" w:rsidRDefault="00615769" w:rsidP="004462A0">
      <w:pPr>
        <w:numPr>
          <w:ilvl w:val="0"/>
          <w:numId w:val="70"/>
        </w:numPr>
        <w:rPr>
          <w:del w:id="14698" w:author="AbbVie2" w:date="2025-05-14T10:24:00Z"/>
          <w:sz w:val="22"/>
          <w:szCs w:val="22"/>
        </w:rPr>
      </w:pPr>
      <w:del w:id="14699" w:author="AbbVie2" w:date="2025-05-14T10:24:00Z">
        <w:r>
          <w:rPr>
            <w:sz w:val="22"/>
            <w:szCs w:val="22"/>
          </w:rPr>
          <w:delText xml:space="preserve">     </w:delText>
        </w:r>
        <w:r w:rsidRPr="008912CF">
          <w:rPr>
            <w:sz w:val="22"/>
            <w:szCs w:val="22"/>
          </w:rPr>
          <w:delText>inflamação das pálpebras e inchaço d</w:delText>
        </w:r>
        <w:r w:rsidR="0095297D">
          <w:rPr>
            <w:sz w:val="22"/>
            <w:szCs w:val="22"/>
          </w:rPr>
          <w:delText>os</w:delText>
        </w:r>
        <w:r w:rsidRPr="008912CF">
          <w:rPr>
            <w:sz w:val="22"/>
            <w:szCs w:val="22"/>
          </w:rPr>
          <w:delText xml:space="preserve"> olhos;</w:delText>
        </w:r>
      </w:del>
    </w:p>
    <w:p w14:paraId="78DF4955" w14:textId="5039EE1C" w:rsidR="004462A0" w:rsidRPr="008912CF" w:rsidRDefault="00615769" w:rsidP="004462A0">
      <w:pPr>
        <w:numPr>
          <w:ilvl w:val="0"/>
          <w:numId w:val="70"/>
        </w:numPr>
        <w:tabs>
          <w:tab w:val="clear" w:pos="0"/>
        </w:tabs>
        <w:ind w:left="568" w:hanging="568"/>
        <w:rPr>
          <w:del w:id="14700" w:author="AbbVie2" w:date="2025-05-14T10:24:00Z"/>
          <w:sz w:val="22"/>
          <w:szCs w:val="22"/>
        </w:rPr>
      </w:pPr>
      <w:del w:id="14701" w:author="AbbVie2" w:date="2025-05-14T10:24:00Z">
        <w:r>
          <w:rPr>
            <w:sz w:val="22"/>
            <w:szCs w:val="22"/>
          </w:rPr>
          <w:delText>v</w:delText>
        </w:r>
        <w:r w:rsidRPr="008912CF">
          <w:rPr>
            <w:sz w:val="22"/>
            <w:szCs w:val="22"/>
          </w:rPr>
          <w:delText>ertige</w:delText>
        </w:r>
        <w:r w:rsidR="00B507B6">
          <w:rPr>
            <w:sz w:val="22"/>
            <w:szCs w:val="22"/>
          </w:rPr>
          <w:delText>m (</w:delText>
        </w:r>
        <w:r w:rsidR="00B507B6" w:rsidRPr="008B0DDF">
          <w:rPr>
            <w:sz w:val="22"/>
            <w:szCs w:val="22"/>
          </w:rPr>
          <w:delText>sensação de tontura ou movimento</w:delText>
        </w:r>
        <w:r w:rsidR="00B507B6">
          <w:rPr>
            <w:sz w:val="22"/>
            <w:szCs w:val="22"/>
          </w:rPr>
          <w:delText>)</w:delText>
        </w:r>
        <w:r w:rsidRPr="008912CF">
          <w:rPr>
            <w:sz w:val="22"/>
            <w:szCs w:val="22"/>
          </w:rPr>
          <w:delText>;</w:delText>
        </w:r>
      </w:del>
    </w:p>
    <w:p w14:paraId="290D2A7B" w14:textId="4EA562D4" w:rsidR="004462A0" w:rsidRPr="008912CF" w:rsidRDefault="00615769" w:rsidP="004462A0">
      <w:pPr>
        <w:numPr>
          <w:ilvl w:val="0"/>
          <w:numId w:val="70"/>
        </w:numPr>
        <w:tabs>
          <w:tab w:val="clear" w:pos="0"/>
        </w:tabs>
        <w:ind w:left="567" w:hanging="567"/>
        <w:rPr>
          <w:del w:id="14702" w:author="AbbVie2" w:date="2025-05-14T10:24:00Z"/>
          <w:sz w:val="22"/>
          <w:szCs w:val="22"/>
        </w:rPr>
      </w:pPr>
      <w:del w:id="14703" w:author="AbbVie2" w:date="2025-05-14T10:24:00Z">
        <w:r w:rsidRPr="008912CF">
          <w:rPr>
            <w:sz w:val="22"/>
            <w:szCs w:val="22"/>
          </w:rPr>
          <w:delText>sensação de batimento cardíaco rápido;</w:delText>
        </w:r>
      </w:del>
    </w:p>
    <w:p w14:paraId="79237A09" w14:textId="0B135FDB" w:rsidR="004462A0" w:rsidRPr="008912CF" w:rsidRDefault="00615769" w:rsidP="004462A0">
      <w:pPr>
        <w:numPr>
          <w:ilvl w:val="0"/>
          <w:numId w:val="70"/>
        </w:numPr>
        <w:tabs>
          <w:tab w:val="clear" w:pos="0"/>
        </w:tabs>
        <w:ind w:left="567" w:hanging="567"/>
        <w:rPr>
          <w:del w:id="14704" w:author="AbbVie2" w:date="2025-05-14T10:24:00Z"/>
          <w:sz w:val="22"/>
          <w:szCs w:val="22"/>
        </w:rPr>
      </w:pPr>
      <w:del w:id="14705" w:author="AbbVie2" w:date="2025-05-14T10:24:00Z">
        <w:r>
          <w:rPr>
            <w:sz w:val="22"/>
            <w:szCs w:val="22"/>
          </w:rPr>
          <w:delText>tensão</w:delText>
        </w:r>
        <w:r w:rsidRPr="008912CF">
          <w:rPr>
            <w:sz w:val="22"/>
            <w:szCs w:val="22"/>
          </w:rPr>
          <w:delText xml:space="preserve"> arterial alta;</w:delText>
        </w:r>
      </w:del>
    </w:p>
    <w:p w14:paraId="610DA4CD" w14:textId="3A03AC0B" w:rsidR="004462A0" w:rsidRPr="008912CF" w:rsidRDefault="00615769" w:rsidP="004462A0">
      <w:pPr>
        <w:numPr>
          <w:ilvl w:val="0"/>
          <w:numId w:val="70"/>
        </w:numPr>
        <w:tabs>
          <w:tab w:val="clear" w:pos="0"/>
        </w:tabs>
        <w:ind w:left="567" w:hanging="567"/>
        <w:rPr>
          <w:del w:id="14706" w:author="AbbVie2" w:date="2025-05-14T10:24:00Z"/>
          <w:sz w:val="22"/>
          <w:szCs w:val="22"/>
        </w:rPr>
      </w:pPr>
      <w:del w:id="14707" w:author="AbbVie2" w:date="2025-05-14T10:24:00Z">
        <w:r>
          <w:rPr>
            <w:sz w:val="22"/>
            <w:szCs w:val="22"/>
          </w:rPr>
          <w:delText>vermelhidão</w:delText>
        </w:r>
        <w:r w:rsidRPr="008912CF">
          <w:rPr>
            <w:sz w:val="22"/>
            <w:szCs w:val="22"/>
          </w:rPr>
          <w:delText>;</w:delText>
        </w:r>
      </w:del>
    </w:p>
    <w:p w14:paraId="63783E49" w14:textId="10D68A3B" w:rsidR="004462A0" w:rsidRPr="008912CF" w:rsidRDefault="00615769" w:rsidP="004462A0">
      <w:pPr>
        <w:numPr>
          <w:ilvl w:val="0"/>
          <w:numId w:val="70"/>
        </w:numPr>
        <w:tabs>
          <w:tab w:val="clear" w:pos="0"/>
        </w:tabs>
        <w:ind w:left="567" w:hanging="567"/>
        <w:rPr>
          <w:del w:id="14708" w:author="AbbVie2" w:date="2025-05-14T10:24:00Z"/>
          <w:sz w:val="22"/>
          <w:szCs w:val="22"/>
        </w:rPr>
      </w:pPr>
      <w:del w:id="14709" w:author="AbbVie2" w:date="2025-05-14T10:24:00Z">
        <w:r w:rsidRPr="008912CF">
          <w:rPr>
            <w:sz w:val="22"/>
            <w:szCs w:val="22"/>
          </w:rPr>
          <w:delText>hematoma</w:delText>
        </w:r>
        <w:r w:rsidR="002A7154">
          <w:rPr>
            <w:sz w:val="22"/>
            <w:szCs w:val="22"/>
          </w:rPr>
          <w:delText xml:space="preserve"> </w:delText>
        </w:r>
        <w:r w:rsidR="002A7154" w:rsidRPr="002A7154">
          <w:rPr>
            <w:sz w:val="22"/>
            <w:szCs w:val="22"/>
          </w:rPr>
          <w:delText>(concentração de sangue fora dos vasos sanguíneos)</w:delText>
        </w:r>
        <w:r w:rsidRPr="002A7154">
          <w:rPr>
            <w:sz w:val="22"/>
            <w:szCs w:val="22"/>
          </w:rPr>
          <w:delText>;</w:delText>
        </w:r>
      </w:del>
    </w:p>
    <w:p w14:paraId="16FA735A" w14:textId="3806CA7B" w:rsidR="004462A0" w:rsidRPr="008912CF" w:rsidRDefault="00615769" w:rsidP="004462A0">
      <w:pPr>
        <w:numPr>
          <w:ilvl w:val="0"/>
          <w:numId w:val="70"/>
        </w:numPr>
        <w:tabs>
          <w:tab w:val="clear" w:pos="0"/>
        </w:tabs>
        <w:ind w:left="568" w:hanging="568"/>
        <w:rPr>
          <w:del w:id="14710" w:author="AbbVie2" w:date="2025-05-14T10:24:00Z"/>
          <w:sz w:val="22"/>
          <w:szCs w:val="22"/>
        </w:rPr>
      </w:pPr>
      <w:del w:id="14711" w:author="AbbVie2" w:date="2025-05-14T10:24:00Z">
        <w:r w:rsidRPr="008912CF">
          <w:rPr>
            <w:sz w:val="22"/>
            <w:szCs w:val="22"/>
          </w:rPr>
          <w:delText>tosse;</w:delText>
        </w:r>
      </w:del>
    </w:p>
    <w:p w14:paraId="21280EB3" w14:textId="4DBC29D9" w:rsidR="004462A0" w:rsidRPr="008912CF" w:rsidRDefault="00615769" w:rsidP="004462A0">
      <w:pPr>
        <w:numPr>
          <w:ilvl w:val="0"/>
          <w:numId w:val="70"/>
        </w:numPr>
        <w:tabs>
          <w:tab w:val="clear" w:pos="0"/>
        </w:tabs>
        <w:ind w:left="567" w:hanging="567"/>
        <w:rPr>
          <w:del w:id="14712" w:author="AbbVie2" w:date="2025-05-14T10:24:00Z"/>
          <w:sz w:val="22"/>
          <w:szCs w:val="22"/>
        </w:rPr>
      </w:pPr>
      <w:del w:id="14713" w:author="AbbVie2" w:date="2025-05-14T10:24:00Z">
        <w:r w:rsidRPr="008912CF">
          <w:rPr>
            <w:sz w:val="22"/>
            <w:szCs w:val="22"/>
          </w:rPr>
          <w:delText>asma;</w:delText>
        </w:r>
      </w:del>
    </w:p>
    <w:p w14:paraId="18C8BC0D" w14:textId="3F82FB92" w:rsidR="004462A0" w:rsidRPr="008912CF" w:rsidRDefault="00615769" w:rsidP="004462A0">
      <w:pPr>
        <w:numPr>
          <w:ilvl w:val="0"/>
          <w:numId w:val="70"/>
        </w:numPr>
        <w:tabs>
          <w:tab w:val="clear" w:pos="0"/>
        </w:tabs>
        <w:ind w:left="567" w:hanging="567"/>
        <w:rPr>
          <w:del w:id="14714" w:author="AbbVie2" w:date="2025-05-14T10:24:00Z"/>
          <w:sz w:val="22"/>
          <w:szCs w:val="22"/>
        </w:rPr>
      </w:pPr>
      <w:del w:id="14715" w:author="AbbVie2" w:date="2025-05-14T10:24:00Z">
        <w:r w:rsidRPr="008912CF">
          <w:rPr>
            <w:sz w:val="22"/>
            <w:szCs w:val="22"/>
          </w:rPr>
          <w:delText>dificuldade em respirar;</w:delText>
        </w:r>
      </w:del>
    </w:p>
    <w:p w14:paraId="67E2FC16" w14:textId="63F2FEB2" w:rsidR="004462A0" w:rsidRPr="008912CF" w:rsidRDefault="00615769" w:rsidP="004462A0">
      <w:pPr>
        <w:numPr>
          <w:ilvl w:val="0"/>
          <w:numId w:val="70"/>
        </w:numPr>
        <w:tabs>
          <w:tab w:val="clear" w:pos="0"/>
        </w:tabs>
        <w:ind w:left="567" w:hanging="567"/>
        <w:rPr>
          <w:del w:id="14716" w:author="AbbVie2" w:date="2025-05-14T10:24:00Z"/>
          <w:sz w:val="22"/>
          <w:szCs w:val="22"/>
        </w:rPr>
      </w:pPr>
      <w:del w:id="14717" w:author="AbbVie2" w:date="2025-05-14T10:24:00Z">
        <w:r w:rsidRPr="008912CF">
          <w:rPr>
            <w:sz w:val="22"/>
            <w:szCs w:val="22"/>
          </w:rPr>
          <w:delText>hemorragia gastrointestinal;</w:delText>
        </w:r>
      </w:del>
    </w:p>
    <w:p w14:paraId="09EDCF22" w14:textId="38DA3516" w:rsidR="004462A0" w:rsidRPr="008912CF" w:rsidRDefault="00615769" w:rsidP="004462A0">
      <w:pPr>
        <w:numPr>
          <w:ilvl w:val="0"/>
          <w:numId w:val="70"/>
        </w:numPr>
        <w:tabs>
          <w:tab w:val="clear" w:pos="0"/>
        </w:tabs>
        <w:ind w:left="567" w:hanging="567"/>
        <w:rPr>
          <w:del w:id="14718" w:author="AbbVie2" w:date="2025-05-14T10:24:00Z"/>
          <w:sz w:val="22"/>
          <w:szCs w:val="22"/>
        </w:rPr>
      </w:pPr>
      <w:del w:id="14719" w:author="AbbVie2" w:date="2025-05-14T10:24:00Z">
        <w:r w:rsidRPr="008912CF">
          <w:rPr>
            <w:sz w:val="22"/>
            <w:szCs w:val="22"/>
          </w:rPr>
          <w:delText>dispepsia (indigestão, inchaço, azia);</w:delText>
        </w:r>
      </w:del>
    </w:p>
    <w:p w14:paraId="032FF77D" w14:textId="1BF456F4" w:rsidR="004462A0" w:rsidRPr="008912CF" w:rsidRDefault="00615769" w:rsidP="004462A0">
      <w:pPr>
        <w:numPr>
          <w:ilvl w:val="0"/>
          <w:numId w:val="70"/>
        </w:numPr>
        <w:tabs>
          <w:tab w:val="clear" w:pos="0"/>
        </w:tabs>
        <w:ind w:left="567" w:hanging="567"/>
        <w:rPr>
          <w:del w:id="14720" w:author="AbbVie2" w:date="2025-05-14T10:24:00Z"/>
          <w:sz w:val="22"/>
          <w:szCs w:val="22"/>
        </w:rPr>
      </w:pPr>
      <w:del w:id="14721" w:author="AbbVie2" w:date="2025-05-14T10:24:00Z">
        <w:r w:rsidRPr="008912CF">
          <w:rPr>
            <w:sz w:val="22"/>
            <w:szCs w:val="22"/>
          </w:rPr>
          <w:delText>doença de refluxo;</w:delText>
        </w:r>
      </w:del>
    </w:p>
    <w:p w14:paraId="6236295C" w14:textId="4BA6D31B" w:rsidR="004462A0" w:rsidRPr="008912CF" w:rsidRDefault="00615769" w:rsidP="004462A0">
      <w:pPr>
        <w:numPr>
          <w:ilvl w:val="0"/>
          <w:numId w:val="70"/>
        </w:numPr>
        <w:tabs>
          <w:tab w:val="clear" w:pos="0"/>
        </w:tabs>
        <w:ind w:left="567" w:hanging="567"/>
        <w:rPr>
          <w:del w:id="14722" w:author="AbbVie2" w:date="2025-05-14T10:24:00Z"/>
          <w:sz w:val="22"/>
          <w:szCs w:val="22"/>
        </w:rPr>
      </w:pPr>
      <w:del w:id="14723" w:author="AbbVie2" w:date="2025-05-14T10:24:00Z">
        <w:r w:rsidRPr="008912CF">
          <w:rPr>
            <w:sz w:val="22"/>
            <w:szCs w:val="22"/>
          </w:rPr>
          <w:delText>síndrome de sicca (incluindo olhos e boca seca);</w:delText>
        </w:r>
      </w:del>
    </w:p>
    <w:p w14:paraId="52DD9C0B" w14:textId="6F7C88CD" w:rsidR="004462A0" w:rsidRPr="008912CF" w:rsidRDefault="00615769" w:rsidP="004462A0">
      <w:pPr>
        <w:numPr>
          <w:ilvl w:val="0"/>
          <w:numId w:val="70"/>
        </w:numPr>
        <w:tabs>
          <w:tab w:val="clear" w:pos="0"/>
        </w:tabs>
        <w:ind w:left="568" w:hanging="568"/>
        <w:rPr>
          <w:del w:id="14724" w:author="AbbVie2" w:date="2025-05-14T10:24:00Z"/>
          <w:sz w:val="22"/>
          <w:szCs w:val="22"/>
        </w:rPr>
      </w:pPr>
      <w:del w:id="14725" w:author="AbbVie2" w:date="2025-05-14T10:24:00Z">
        <w:r w:rsidRPr="008912CF">
          <w:rPr>
            <w:sz w:val="22"/>
            <w:szCs w:val="22"/>
          </w:rPr>
          <w:delText>comichão;</w:delText>
        </w:r>
      </w:del>
    </w:p>
    <w:p w14:paraId="1AB838E0" w14:textId="66C13307" w:rsidR="004462A0" w:rsidRPr="008912CF" w:rsidRDefault="00615769" w:rsidP="004462A0">
      <w:pPr>
        <w:numPr>
          <w:ilvl w:val="0"/>
          <w:numId w:val="67"/>
        </w:numPr>
        <w:tabs>
          <w:tab w:val="clear" w:pos="284"/>
          <w:tab w:val="num" w:pos="600"/>
        </w:tabs>
        <w:ind w:hanging="567"/>
        <w:rPr>
          <w:del w:id="14726" w:author="AbbVie2" w:date="2025-05-14T10:24:00Z"/>
          <w:sz w:val="22"/>
          <w:szCs w:val="22"/>
        </w:rPr>
      </w:pPr>
      <w:del w:id="14727" w:author="AbbVie2" w:date="2025-05-14T10:24:00Z">
        <w:r w:rsidRPr="008912CF">
          <w:rPr>
            <w:sz w:val="22"/>
            <w:szCs w:val="22"/>
          </w:rPr>
          <w:delText>erupção da pele com comichão;</w:delText>
        </w:r>
      </w:del>
    </w:p>
    <w:p w14:paraId="286AABEA" w14:textId="5D75F0D5" w:rsidR="004462A0" w:rsidRPr="008912CF" w:rsidRDefault="00615769" w:rsidP="004462A0">
      <w:pPr>
        <w:numPr>
          <w:ilvl w:val="0"/>
          <w:numId w:val="67"/>
        </w:numPr>
        <w:tabs>
          <w:tab w:val="clear" w:pos="284"/>
          <w:tab w:val="num" w:pos="600"/>
        </w:tabs>
        <w:ind w:hanging="567"/>
        <w:rPr>
          <w:del w:id="14728" w:author="AbbVie2" w:date="2025-05-14T10:24:00Z"/>
          <w:sz w:val="22"/>
          <w:szCs w:val="22"/>
        </w:rPr>
      </w:pPr>
      <w:del w:id="14729" w:author="AbbVie2" w:date="2025-05-14T10:24:00Z">
        <w:r w:rsidRPr="008912CF">
          <w:rPr>
            <w:sz w:val="22"/>
            <w:szCs w:val="22"/>
          </w:rPr>
          <w:delText>nódoas negras;</w:delText>
        </w:r>
      </w:del>
    </w:p>
    <w:p w14:paraId="1F51EEE0" w14:textId="2437CD51" w:rsidR="004462A0" w:rsidRPr="008912CF" w:rsidRDefault="00615769" w:rsidP="004462A0">
      <w:pPr>
        <w:numPr>
          <w:ilvl w:val="0"/>
          <w:numId w:val="67"/>
        </w:numPr>
        <w:tabs>
          <w:tab w:val="clear" w:pos="284"/>
          <w:tab w:val="num" w:pos="600"/>
        </w:tabs>
        <w:ind w:hanging="567"/>
        <w:rPr>
          <w:del w:id="14730" w:author="AbbVie2" w:date="2025-05-14T10:24:00Z"/>
          <w:sz w:val="22"/>
          <w:szCs w:val="22"/>
        </w:rPr>
      </w:pPr>
      <w:del w:id="14731" w:author="AbbVie2" w:date="2025-05-14T10:24:00Z">
        <w:r w:rsidRPr="008912CF">
          <w:rPr>
            <w:sz w:val="22"/>
            <w:szCs w:val="22"/>
          </w:rPr>
          <w:delText>inflamação da pele (tais como eczema);</w:delText>
        </w:r>
      </w:del>
    </w:p>
    <w:p w14:paraId="2545CA10" w14:textId="09C92218" w:rsidR="004462A0" w:rsidRPr="008912CF" w:rsidRDefault="00615769" w:rsidP="004462A0">
      <w:pPr>
        <w:numPr>
          <w:ilvl w:val="0"/>
          <w:numId w:val="67"/>
        </w:numPr>
        <w:tabs>
          <w:tab w:val="clear" w:pos="284"/>
          <w:tab w:val="num" w:pos="600"/>
        </w:tabs>
        <w:ind w:hanging="567"/>
        <w:rPr>
          <w:del w:id="14732" w:author="AbbVie2" w:date="2025-05-14T10:24:00Z"/>
          <w:sz w:val="22"/>
          <w:szCs w:val="22"/>
        </w:rPr>
      </w:pPr>
      <w:del w:id="14733" w:author="AbbVie2" w:date="2025-05-14T10:24:00Z">
        <w:r w:rsidRPr="008912CF">
          <w:rPr>
            <w:sz w:val="22"/>
            <w:szCs w:val="22"/>
          </w:rPr>
          <w:delText>unhas das mãos e dos pés quebradiças;</w:delText>
        </w:r>
      </w:del>
    </w:p>
    <w:p w14:paraId="0165949E" w14:textId="6858C64C" w:rsidR="004462A0" w:rsidRPr="008912CF" w:rsidRDefault="00615769" w:rsidP="004462A0">
      <w:pPr>
        <w:numPr>
          <w:ilvl w:val="0"/>
          <w:numId w:val="67"/>
        </w:numPr>
        <w:tabs>
          <w:tab w:val="clear" w:pos="284"/>
          <w:tab w:val="num" w:pos="600"/>
        </w:tabs>
        <w:ind w:hanging="567"/>
        <w:rPr>
          <w:del w:id="14734" w:author="AbbVie2" w:date="2025-05-14T10:24:00Z"/>
          <w:sz w:val="22"/>
          <w:szCs w:val="22"/>
        </w:rPr>
      </w:pPr>
      <w:del w:id="14735" w:author="AbbVie2" w:date="2025-05-14T10:24:00Z">
        <w:r w:rsidRPr="008912CF">
          <w:rPr>
            <w:sz w:val="22"/>
            <w:szCs w:val="22"/>
          </w:rPr>
          <w:delText>aumento de suor;</w:delText>
        </w:r>
      </w:del>
    </w:p>
    <w:p w14:paraId="31032BD8" w14:textId="405F8F7B" w:rsidR="004462A0" w:rsidRPr="008912CF" w:rsidRDefault="00615769" w:rsidP="004462A0">
      <w:pPr>
        <w:numPr>
          <w:ilvl w:val="0"/>
          <w:numId w:val="67"/>
        </w:numPr>
        <w:tabs>
          <w:tab w:val="clear" w:pos="284"/>
          <w:tab w:val="num" w:pos="600"/>
        </w:tabs>
        <w:ind w:hanging="567"/>
        <w:rPr>
          <w:del w:id="14736" w:author="AbbVie2" w:date="2025-05-14T10:24:00Z"/>
          <w:sz w:val="22"/>
          <w:szCs w:val="22"/>
        </w:rPr>
      </w:pPr>
      <w:del w:id="14737" w:author="AbbVie2" w:date="2025-05-14T10:24:00Z">
        <w:r w:rsidRPr="008912CF">
          <w:rPr>
            <w:sz w:val="22"/>
            <w:szCs w:val="22"/>
          </w:rPr>
          <w:delText>perda de cabelo;</w:delText>
        </w:r>
      </w:del>
    </w:p>
    <w:p w14:paraId="61B5CB05" w14:textId="401D2D83" w:rsidR="004462A0" w:rsidRPr="008912CF" w:rsidRDefault="00615769" w:rsidP="004462A0">
      <w:pPr>
        <w:numPr>
          <w:ilvl w:val="0"/>
          <w:numId w:val="67"/>
        </w:numPr>
        <w:tabs>
          <w:tab w:val="clear" w:pos="284"/>
          <w:tab w:val="num" w:pos="600"/>
        </w:tabs>
        <w:ind w:hanging="567"/>
        <w:rPr>
          <w:del w:id="14738" w:author="AbbVie2" w:date="2025-05-14T10:24:00Z"/>
          <w:sz w:val="22"/>
          <w:szCs w:val="22"/>
        </w:rPr>
      </w:pPr>
      <w:del w:id="14739" w:author="AbbVie2" w:date="2025-05-14T10:24:00Z">
        <w:r w:rsidRPr="008912CF">
          <w:rPr>
            <w:sz w:val="22"/>
            <w:szCs w:val="22"/>
          </w:rPr>
          <w:delText>início ou agravamento d</w:delText>
        </w:r>
        <w:r w:rsidR="00F840DB">
          <w:rPr>
            <w:sz w:val="22"/>
            <w:szCs w:val="22"/>
          </w:rPr>
          <w:delText>a</w:delText>
        </w:r>
        <w:r w:rsidRPr="008912CF">
          <w:rPr>
            <w:sz w:val="22"/>
            <w:szCs w:val="22"/>
          </w:rPr>
          <w:delText xml:space="preserve"> psoríase;</w:delText>
        </w:r>
      </w:del>
    </w:p>
    <w:p w14:paraId="163A6416" w14:textId="3CFF899D" w:rsidR="004462A0" w:rsidRPr="008912CF" w:rsidRDefault="00615769" w:rsidP="004462A0">
      <w:pPr>
        <w:numPr>
          <w:ilvl w:val="0"/>
          <w:numId w:val="67"/>
        </w:numPr>
        <w:tabs>
          <w:tab w:val="clear" w:pos="284"/>
          <w:tab w:val="num" w:pos="600"/>
        </w:tabs>
        <w:ind w:hanging="567"/>
        <w:rPr>
          <w:del w:id="14740" w:author="AbbVie2" w:date="2025-05-14T10:24:00Z"/>
          <w:sz w:val="22"/>
          <w:szCs w:val="22"/>
        </w:rPr>
      </w:pPr>
      <w:del w:id="14741" w:author="AbbVie2" w:date="2025-05-14T10:24:00Z">
        <w:r w:rsidRPr="008912CF">
          <w:rPr>
            <w:sz w:val="22"/>
            <w:szCs w:val="22"/>
          </w:rPr>
          <w:delText>espasmos musculares;</w:delText>
        </w:r>
      </w:del>
    </w:p>
    <w:p w14:paraId="591E52F1" w14:textId="234FBE52" w:rsidR="004462A0" w:rsidRPr="008912CF" w:rsidRDefault="00615769" w:rsidP="004462A0">
      <w:pPr>
        <w:numPr>
          <w:ilvl w:val="0"/>
          <w:numId w:val="67"/>
        </w:numPr>
        <w:tabs>
          <w:tab w:val="clear" w:pos="284"/>
          <w:tab w:val="num" w:pos="600"/>
        </w:tabs>
        <w:ind w:hanging="567"/>
        <w:rPr>
          <w:del w:id="14742" w:author="AbbVie2" w:date="2025-05-14T10:24:00Z"/>
          <w:sz w:val="22"/>
          <w:szCs w:val="22"/>
        </w:rPr>
      </w:pPr>
      <w:del w:id="14743" w:author="AbbVie2" w:date="2025-05-14T10:24:00Z">
        <w:r w:rsidRPr="008912CF">
          <w:rPr>
            <w:sz w:val="22"/>
            <w:szCs w:val="22"/>
          </w:rPr>
          <w:delText>sangue na urina;</w:delText>
        </w:r>
      </w:del>
    </w:p>
    <w:p w14:paraId="7B60D52B" w14:textId="09049B0B" w:rsidR="004462A0" w:rsidRPr="008912CF" w:rsidRDefault="00615769" w:rsidP="004462A0">
      <w:pPr>
        <w:numPr>
          <w:ilvl w:val="0"/>
          <w:numId w:val="67"/>
        </w:numPr>
        <w:tabs>
          <w:tab w:val="clear" w:pos="284"/>
          <w:tab w:val="num" w:pos="600"/>
        </w:tabs>
        <w:ind w:hanging="567"/>
        <w:rPr>
          <w:del w:id="14744" w:author="AbbVie2" w:date="2025-05-14T10:24:00Z"/>
          <w:sz w:val="22"/>
          <w:szCs w:val="22"/>
        </w:rPr>
      </w:pPr>
      <w:del w:id="14745" w:author="AbbVie2" w:date="2025-05-14T10:24:00Z">
        <w:r w:rsidRPr="008912CF">
          <w:rPr>
            <w:sz w:val="22"/>
            <w:szCs w:val="22"/>
          </w:rPr>
          <w:delText>perturbações renais;</w:delText>
        </w:r>
      </w:del>
    </w:p>
    <w:p w14:paraId="4CDEC8DC" w14:textId="31CE6DAA" w:rsidR="004462A0" w:rsidRPr="008912CF" w:rsidRDefault="00615769" w:rsidP="004462A0">
      <w:pPr>
        <w:numPr>
          <w:ilvl w:val="0"/>
          <w:numId w:val="67"/>
        </w:numPr>
        <w:tabs>
          <w:tab w:val="clear" w:pos="284"/>
          <w:tab w:val="num" w:pos="600"/>
        </w:tabs>
        <w:ind w:hanging="567"/>
        <w:rPr>
          <w:del w:id="14746" w:author="AbbVie2" w:date="2025-05-14T10:24:00Z"/>
          <w:sz w:val="22"/>
          <w:szCs w:val="22"/>
        </w:rPr>
      </w:pPr>
      <w:del w:id="14747" w:author="AbbVie2" w:date="2025-05-14T10:24:00Z">
        <w:r w:rsidRPr="008912CF">
          <w:rPr>
            <w:sz w:val="22"/>
            <w:szCs w:val="22"/>
          </w:rPr>
          <w:delText>dor no peito;</w:delText>
        </w:r>
      </w:del>
    </w:p>
    <w:p w14:paraId="19CC6BAD" w14:textId="7967E3DC" w:rsidR="004462A0" w:rsidRPr="008912CF" w:rsidRDefault="00615769" w:rsidP="004462A0">
      <w:pPr>
        <w:numPr>
          <w:ilvl w:val="0"/>
          <w:numId w:val="67"/>
        </w:numPr>
        <w:tabs>
          <w:tab w:val="clear" w:pos="284"/>
          <w:tab w:val="num" w:pos="600"/>
        </w:tabs>
        <w:ind w:hanging="567"/>
        <w:rPr>
          <w:del w:id="14748" w:author="AbbVie2" w:date="2025-05-14T10:24:00Z"/>
          <w:sz w:val="22"/>
          <w:szCs w:val="22"/>
        </w:rPr>
      </w:pPr>
      <w:del w:id="14749" w:author="AbbVie2" w:date="2025-05-14T10:24:00Z">
        <w:r w:rsidRPr="008912CF">
          <w:rPr>
            <w:sz w:val="22"/>
            <w:szCs w:val="22"/>
          </w:rPr>
          <w:delText>inchaço;</w:delText>
        </w:r>
      </w:del>
    </w:p>
    <w:p w14:paraId="524B97D3" w14:textId="2E1F02FF" w:rsidR="004462A0" w:rsidRPr="008912CF" w:rsidRDefault="00615769" w:rsidP="004462A0">
      <w:pPr>
        <w:numPr>
          <w:ilvl w:val="0"/>
          <w:numId w:val="67"/>
        </w:numPr>
        <w:tabs>
          <w:tab w:val="clear" w:pos="284"/>
          <w:tab w:val="num" w:pos="600"/>
        </w:tabs>
        <w:ind w:hanging="567"/>
        <w:rPr>
          <w:del w:id="14750" w:author="AbbVie2" w:date="2025-05-14T10:24:00Z"/>
          <w:sz w:val="22"/>
          <w:szCs w:val="22"/>
        </w:rPr>
      </w:pPr>
      <w:del w:id="14751" w:author="AbbVie2" w:date="2025-05-14T10:24:00Z">
        <w:r w:rsidRPr="008912CF">
          <w:rPr>
            <w:sz w:val="22"/>
            <w:szCs w:val="22"/>
          </w:rPr>
          <w:delText>febre;</w:delText>
        </w:r>
      </w:del>
    </w:p>
    <w:p w14:paraId="390C5A89" w14:textId="27CAB3EB" w:rsidR="004462A0" w:rsidRPr="008912CF" w:rsidRDefault="00615769" w:rsidP="004462A0">
      <w:pPr>
        <w:numPr>
          <w:ilvl w:val="0"/>
          <w:numId w:val="67"/>
        </w:numPr>
        <w:tabs>
          <w:tab w:val="clear" w:pos="284"/>
          <w:tab w:val="num" w:pos="600"/>
        </w:tabs>
        <w:ind w:hanging="567"/>
        <w:rPr>
          <w:del w:id="14752" w:author="AbbVie2" w:date="2025-05-14T10:24:00Z"/>
          <w:sz w:val="22"/>
          <w:szCs w:val="22"/>
        </w:rPr>
      </w:pPr>
      <w:del w:id="14753" w:author="AbbVie2" w:date="2025-05-14T10:24:00Z">
        <w:r w:rsidRPr="008912CF">
          <w:rPr>
            <w:sz w:val="22"/>
            <w:szCs w:val="22"/>
          </w:rPr>
          <w:delText>redução nas plaquetas sanguíneas aumentando o risco de hemorragia ou de nódoas negras;</w:delText>
        </w:r>
      </w:del>
    </w:p>
    <w:p w14:paraId="29FA0E4A" w14:textId="0E956A58" w:rsidR="004462A0" w:rsidRPr="008912CF" w:rsidRDefault="00615769" w:rsidP="004462A0">
      <w:pPr>
        <w:numPr>
          <w:ilvl w:val="0"/>
          <w:numId w:val="70"/>
        </w:numPr>
        <w:tabs>
          <w:tab w:val="clear" w:pos="0"/>
        </w:tabs>
        <w:ind w:left="568" w:hanging="568"/>
        <w:rPr>
          <w:del w:id="14754" w:author="AbbVie2" w:date="2025-05-14T10:24:00Z"/>
          <w:sz w:val="22"/>
          <w:szCs w:val="22"/>
        </w:rPr>
      </w:pPr>
      <w:del w:id="14755" w:author="AbbVie2" w:date="2025-05-14T10:24:00Z">
        <w:r w:rsidRPr="008912CF">
          <w:rPr>
            <w:sz w:val="22"/>
            <w:szCs w:val="22"/>
          </w:rPr>
          <w:delText>diminuição na cicatrização.</w:delText>
        </w:r>
      </w:del>
    </w:p>
    <w:p w14:paraId="79030286" w14:textId="151D78EE" w:rsidR="004462A0" w:rsidRPr="008912CF" w:rsidRDefault="004462A0" w:rsidP="004462A0">
      <w:pPr>
        <w:ind w:left="568" w:hanging="568"/>
        <w:rPr>
          <w:del w:id="14756" w:author="AbbVie2" w:date="2025-05-14T10:24:00Z"/>
          <w:sz w:val="22"/>
          <w:szCs w:val="22"/>
        </w:rPr>
      </w:pPr>
    </w:p>
    <w:p w14:paraId="0384C020" w14:textId="075FE8F5" w:rsidR="004462A0" w:rsidRPr="008912CF" w:rsidRDefault="00615769" w:rsidP="004462A0">
      <w:pPr>
        <w:ind w:left="568" w:hanging="568"/>
        <w:rPr>
          <w:del w:id="14757" w:author="AbbVie2" w:date="2025-05-14T10:24:00Z"/>
          <w:sz w:val="22"/>
          <w:szCs w:val="22"/>
        </w:rPr>
      </w:pPr>
      <w:del w:id="14758" w:author="AbbVie2" w:date="2025-05-14T10:24:00Z">
        <w:r w:rsidRPr="008912CF">
          <w:rPr>
            <w:sz w:val="22"/>
            <w:szCs w:val="22"/>
          </w:rPr>
          <w:delText>Pouco frequentes (podem afetar até 1 em 100 pessoas)</w:delText>
        </w:r>
      </w:del>
    </w:p>
    <w:p w14:paraId="16CB3F67" w14:textId="0578BB8D" w:rsidR="004462A0" w:rsidRPr="008912CF" w:rsidRDefault="004462A0" w:rsidP="004462A0">
      <w:pPr>
        <w:ind w:left="568" w:hanging="568"/>
        <w:rPr>
          <w:del w:id="14759" w:author="AbbVie2" w:date="2025-05-14T10:24:00Z"/>
          <w:sz w:val="22"/>
          <w:szCs w:val="22"/>
        </w:rPr>
      </w:pPr>
    </w:p>
    <w:p w14:paraId="0E4C199A" w14:textId="6D6A8B37" w:rsidR="004462A0" w:rsidRPr="008912CF" w:rsidRDefault="00615769" w:rsidP="004462A0">
      <w:pPr>
        <w:numPr>
          <w:ilvl w:val="0"/>
          <w:numId w:val="68"/>
        </w:numPr>
        <w:tabs>
          <w:tab w:val="clear" w:pos="283"/>
          <w:tab w:val="num" w:pos="600"/>
        </w:tabs>
        <w:ind w:left="568" w:hanging="567"/>
        <w:rPr>
          <w:del w:id="14760" w:author="AbbVie2" w:date="2025-05-14T10:24:00Z"/>
          <w:sz w:val="22"/>
          <w:szCs w:val="22"/>
        </w:rPr>
      </w:pPr>
      <w:del w:id="14761" w:author="AbbVie2" w:date="2025-05-14T10:24:00Z">
        <w:r w:rsidRPr="008912CF">
          <w:rPr>
            <w:sz w:val="22"/>
            <w:szCs w:val="22"/>
          </w:rPr>
          <w:delText>infeções oportunistas (as quais incluem tuberculose e outras infeções que ocorrem quando a resistência à doença está diminuída);</w:delText>
        </w:r>
      </w:del>
    </w:p>
    <w:p w14:paraId="187EF1DA" w14:textId="5E934DD6" w:rsidR="004462A0" w:rsidRPr="008912CF" w:rsidRDefault="00615769" w:rsidP="004462A0">
      <w:pPr>
        <w:numPr>
          <w:ilvl w:val="0"/>
          <w:numId w:val="70"/>
        </w:numPr>
        <w:tabs>
          <w:tab w:val="clear" w:pos="0"/>
        </w:tabs>
        <w:ind w:left="568" w:hanging="568"/>
        <w:rPr>
          <w:del w:id="14762" w:author="AbbVie2" w:date="2025-05-14T10:24:00Z"/>
          <w:sz w:val="22"/>
          <w:szCs w:val="22"/>
        </w:rPr>
      </w:pPr>
      <w:del w:id="14763" w:author="AbbVie2" w:date="2025-05-14T10:24:00Z">
        <w:r w:rsidRPr="008912CF">
          <w:rPr>
            <w:sz w:val="22"/>
            <w:szCs w:val="22"/>
          </w:rPr>
          <w:delText>infeções neurológicas (incluindo meningite viral);</w:delText>
        </w:r>
      </w:del>
    </w:p>
    <w:p w14:paraId="591107EB" w14:textId="1E9CA2D7" w:rsidR="004462A0" w:rsidRPr="008912CF" w:rsidRDefault="00615769" w:rsidP="004462A0">
      <w:pPr>
        <w:numPr>
          <w:ilvl w:val="0"/>
          <w:numId w:val="70"/>
        </w:numPr>
        <w:tabs>
          <w:tab w:val="clear" w:pos="0"/>
        </w:tabs>
        <w:ind w:left="568" w:hanging="568"/>
        <w:rPr>
          <w:del w:id="14764" w:author="AbbVie2" w:date="2025-05-14T10:24:00Z"/>
          <w:sz w:val="22"/>
          <w:szCs w:val="22"/>
        </w:rPr>
      </w:pPr>
      <w:del w:id="14765" w:author="AbbVie2" w:date="2025-05-14T10:24:00Z">
        <w:r w:rsidRPr="008912CF">
          <w:rPr>
            <w:sz w:val="22"/>
            <w:szCs w:val="22"/>
          </w:rPr>
          <w:delText>infeções oculares;</w:delText>
        </w:r>
      </w:del>
    </w:p>
    <w:p w14:paraId="7D69A666" w14:textId="31D740B0" w:rsidR="004462A0" w:rsidRPr="008912CF" w:rsidRDefault="00615769" w:rsidP="004462A0">
      <w:pPr>
        <w:numPr>
          <w:ilvl w:val="0"/>
          <w:numId w:val="68"/>
        </w:numPr>
        <w:tabs>
          <w:tab w:val="clear" w:pos="283"/>
          <w:tab w:val="num" w:pos="600"/>
        </w:tabs>
        <w:ind w:hanging="567"/>
        <w:rPr>
          <w:del w:id="14766" w:author="AbbVie2" w:date="2025-05-14T10:24:00Z"/>
          <w:sz w:val="22"/>
          <w:szCs w:val="22"/>
        </w:rPr>
      </w:pPr>
      <w:del w:id="14767" w:author="AbbVie2" w:date="2025-05-14T10:24:00Z">
        <w:r w:rsidRPr="008912CF">
          <w:rPr>
            <w:sz w:val="22"/>
            <w:szCs w:val="22"/>
          </w:rPr>
          <w:delText>infeções bacterianas;</w:delText>
        </w:r>
      </w:del>
    </w:p>
    <w:p w14:paraId="592183B3" w14:textId="14F3F20F" w:rsidR="004462A0" w:rsidRPr="008912CF" w:rsidRDefault="00615769" w:rsidP="004462A0">
      <w:pPr>
        <w:numPr>
          <w:ilvl w:val="0"/>
          <w:numId w:val="68"/>
        </w:numPr>
        <w:tabs>
          <w:tab w:val="clear" w:pos="283"/>
          <w:tab w:val="num" w:pos="600"/>
        </w:tabs>
        <w:ind w:hanging="567"/>
        <w:rPr>
          <w:del w:id="14768" w:author="AbbVie2" w:date="2025-05-14T10:24:00Z"/>
          <w:sz w:val="22"/>
          <w:szCs w:val="22"/>
        </w:rPr>
      </w:pPr>
      <w:del w:id="14769" w:author="AbbVie2" w:date="2025-05-14T10:24:00Z">
        <w:r w:rsidRPr="008912CF">
          <w:rPr>
            <w:sz w:val="22"/>
            <w:szCs w:val="22"/>
          </w:rPr>
          <w:delText>diverticulite (inflamação e infeção do intestino grosso);</w:delText>
        </w:r>
      </w:del>
    </w:p>
    <w:p w14:paraId="75C6528D" w14:textId="41C04D27" w:rsidR="004462A0" w:rsidRPr="008912CF" w:rsidRDefault="00615769" w:rsidP="004462A0">
      <w:pPr>
        <w:numPr>
          <w:ilvl w:val="0"/>
          <w:numId w:val="68"/>
        </w:numPr>
        <w:tabs>
          <w:tab w:val="clear" w:pos="283"/>
          <w:tab w:val="num" w:pos="600"/>
        </w:tabs>
        <w:ind w:hanging="567"/>
        <w:rPr>
          <w:del w:id="14770" w:author="AbbVie2" w:date="2025-05-14T10:24:00Z"/>
          <w:sz w:val="22"/>
          <w:szCs w:val="22"/>
        </w:rPr>
      </w:pPr>
      <w:del w:id="14771" w:author="AbbVie2" w:date="2025-05-14T10:24:00Z">
        <w:r w:rsidRPr="008912CF">
          <w:rPr>
            <w:sz w:val="22"/>
            <w:szCs w:val="22"/>
          </w:rPr>
          <w:delText>cancro;</w:delText>
        </w:r>
      </w:del>
    </w:p>
    <w:p w14:paraId="5459D3F9" w14:textId="3FE8E221" w:rsidR="004462A0" w:rsidRPr="008912CF" w:rsidRDefault="00615769" w:rsidP="004462A0">
      <w:pPr>
        <w:numPr>
          <w:ilvl w:val="0"/>
          <w:numId w:val="68"/>
        </w:numPr>
        <w:tabs>
          <w:tab w:val="clear" w:pos="283"/>
          <w:tab w:val="num" w:pos="600"/>
        </w:tabs>
        <w:ind w:hanging="567"/>
        <w:rPr>
          <w:del w:id="14772" w:author="AbbVie2" w:date="2025-05-14T10:24:00Z"/>
          <w:sz w:val="22"/>
          <w:szCs w:val="22"/>
        </w:rPr>
      </w:pPr>
      <w:del w:id="14773" w:author="AbbVie2" w:date="2025-05-14T10:24:00Z">
        <w:r w:rsidRPr="008912CF">
          <w:rPr>
            <w:sz w:val="22"/>
            <w:szCs w:val="22"/>
          </w:rPr>
          <w:delText>cancro que afeta o sistema linfático;</w:delText>
        </w:r>
      </w:del>
    </w:p>
    <w:p w14:paraId="1525CEE7" w14:textId="4C93290E" w:rsidR="004462A0" w:rsidRPr="008912CF" w:rsidRDefault="00615769" w:rsidP="004462A0">
      <w:pPr>
        <w:numPr>
          <w:ilvl w:val="0"/>
          <w:numId w:val="68"/>
        </w:numPr>
        <w:tabs>
          <w:tab w:val="clear" w:pos="283"/>
          <w:tab w:val="num" w:pos="600"/>
        </w:tabs>
        <w:ind w:hanging="567"/>
        <w:rPr>
          <w:del w:id="14774" w:author="AbbVie2" w:date="2025-05-14T10:24:00Z"/>
          <w:sz w:val="22"/>
          <w:szCs w:val="22"/>
        </w:rPr>
      </w:pPr>
      <w:del w:id="14775" w:author="AbbVie2" w:date="2025-05-14T10:24:00Z">
        <w:r w:rsidRPr="008912CF">
          <w:rPr>
            <w:sz w:val="22"/>
            <w:szCs w:val="22"/>
          </w:rPr>
          <w:delText>melanoma;</w:delText>
        </w:r>
      </w:del>
    </w:p>
    <w:p w14:paraId="667F266B" w14:textId="45D62F93" w:rsidR="004462A0" w:rsidRPr="008912CF" w:rsidRDefault="00615769" w:rsidP="004462A0">
      <w:pPr>
        <w:numPr>
          <w:ilvl w:val="0"/>
          <w:numId w:val="68"/>
        </w:numPr>
        <w:tabs>
          <w:tab w:val="clear" w:pos="283"/>
          <w:tab w:val="num" w:pos="600"/>
        </w:tabs>
        <w:ind w:hanging="567"/>
        <w:rPr>
          <w:del w:id="14776" w:author="AbbVie2" w:date="2025-05-14T10:24:00Z"/>
          <w:sz w:val="22"/>
          <w:szCs w:val="22"/>
        </w:rPr>
      </w:pPr>
      <w:del w:id="14777" w:author="AbbVie2" w:date="2025-05-14T10:24:00Z">
        <w:r w:rsidRPr="008912CF">
          <w:rPr>
            <w:sz w:val="22"/>
            <w:szCs w:val="22"/>
          </w:rPr>
          <w:delText>perturbações do sistema imunitário que podem afetar os pulmões, pele e gânglios linfáticos (apresentando-se mais frequentemente como sarcoidose);</w:delText>
        </w:r>
      </w:del>
    </w:p>
    <w:p w14:paraId="36F1C10C" w14:textId="2C3F1D90" w:rsidR="004462A0" w:rsidRPr="008912CF" w:rsidRDefault="00615769" w:rsidP="004462A0">
      <w:pPr>
        <w:numPr>
          <w:ilvl w:val="0"/>
          <w:numId w:val="68"/>
        </w:numPr>
        <w:tabs>
          <w:tab w:val="clear" w:pos="283"/>
          <w:tab w:val="num" w:pos="600"/>
        </w:tabs>
        <w:ind w:hanging="567"/>
        <w:rPr>
          <w:del w:id="14778" w:author="AbbVie2" w:date="2025-05-14T10:24:00Z"/>
          <w:sz w:val="22"/>
          <w:szCs w:val="22"/>
        </w:rPr>
      </w:pPr>
      <w:del w:id="14779" w:author="AbbVie2" w:date="2025-05-14T10:24:00Z">
        <w:r w:rsidRPr="008912CF">
          <w:rPr>
            <w:sz w:val="22"/>
            <w:szCs w:val="22"/>
          </w:rPr>
          <w:delText>vasculite (inflamação dos vasos sanguíneos);</w:delText>
        </w:r>
      </w:del>
    </w:p>
    <w:p w14:paraId="7387AB98" w14:textId="0C46E030" w:rsidR="004462A0" w:rsidRPr="008912CF" w:rsidRDefault="00615769" w:rsidP="004462A0">
      <w:pPr>
        <w:numPr>
          <w:ilvl w:val="0"/>
          <w:numId w:val="68"/>
        </w:numPr>
        <w:tabs>
          <w:tab w:val="clear" w:pos="283"/>
          <w:tab w:val="num" w:pos="600"/>
        </w:tabs>
        <w:ind w:hanging="567"/>
        <w:rPr>
          <w:del w:id="14780" w:author="AbbVie2" w:date="2025-05-14T10:24:00Z"/>
          <w:sz w:val="22"/>
          <w:szCs w:val="22"/>
        </w:rPr>
      </w:pPr>
      <w:del w:id="14781" w:author="AbbVie2" w:date="2025-05-14T10:24:00Z">
        <w:r w:rsidRPr="008912CF">
          <w:rPr>
            <w:sz w:val="22"/>
            <w:szCs w:val="22"/>
          </w:rPr>
          <w:delText>tremor;</w:delText>
        </w:r>
      </w:del>
    </w:p>
    <w:p w14:paraId="36CED5F0" w14:textId="7CF9CEA8" w:rsidR="004462A0" w:rsidRPr="008912CF" w:rsidRDefault="00615769" w:rsidP="004462A0">
      <w:pPr>
        <w:numPr>
          <w:ilvl w:val="0"/>
          <w:numId w:val="68"/>
        </w:numPr>
        <w:tabs>
          <w:tab w:val="clear" w:pos="283"/>
          <w:tab w:val="num" w:pos="600"/>
        </w:tabs>
        <w:ind w:hanging="567"/>
        <w:rPr>
          <w:del w:id="14782" w:author="AbbVie2" w:date="2025-05-14T10:24:00Z"/>
          <w:sz w:val="22"/>
          <w:szCs w:val="22"/>
        </w:rPr>
      </w:pPr>
      <w:del w:id="14783" w:author="AbbVie2" w:date="2025-05-14T10:24:00Z">
        <w:r w:rsidRPr="008912CF">
          <w:rPr>
            <w:sz w:val="22"/>
            <w:szCs w:val="22"/>
          </w:rPr>
          <w:delText>neuropatia;</w:delText>
        </w:r>
      </w:del>
    </w:p>
    <w:p w14:paraId="37F22B6F" w14:textId="63BDD0D1" w:rsidR="004462A0" w:rsidRPr="008912CF" w:rsidRDefault="00615769" w:rsidP="004462A0">
      <w:pPr>
        <w:numPr>
          <w:ilvl w:val="0"/>
          <w:numId w:val="68"/>
        </w:numPr>
        <w:tabs>
          <w:tab w:val="clear" w:pos="283"/>
          <w:tab w:val="num" w:pos="600"/>
        </w:tabs>
        <w:ind w:hanging="567"/>
        <w:rPr>
          <w:del w:id="14784" w:author="AbbVie2" w:date="2025-05-14T10:24:00Z"/>
          <w:sz w:val="22"/>
          <w:szCs w:val="22"/>
        </w:rPr>
      </w:pPr>
      <w:del w:id="14785" w:author="AbbVie2" w:date="2025-05-14T10:24:00Z">
        <w:r w:rsidRPr="008912CF">
          <w:rPr>
            <w:sz w:val="22"/>
            <w:szCs w:val="22"/>
          </w:rPr>
          <w:delText>AVC;</w:delText>
        </w:r>
      </w:del>
    </w:p>
    <w:p w14:paraId="60791398" w14:textId="2BE537BB" w:rsidR="004462A0" w:rsidRPr="009B0E0D" w:rsidRDefault="00615769" w:rsidP="00F03C54">
      <w:pPr>
        <w:numPr>
          <w:ilvl w:val="0"/>
          <w:numId w:val="68"/>
        </w:numPr>
        <w:tabs>
          <w:tab w:val="clear" w:pos="283"/>
          <w:tab w:val="num" w:pos="600"/>
        </w:tabs>
        <w:ind w:hanging="567"/>
        <w:rPr>
          <w:del w:id="14786" w:author="AbbVie2" w:date="2025-05-14T10:24:00Z"/>
          <w:sz w:val="22"/>
          <w:szCs w:val="22"/>
        </w:rPr>
      </w:pPr>
      <w:del w:id="14787" w:author="AbbVie2" w:date="2025-05-14T10:24:00Z">
        <w:r w:rsidRPr="009B0E0D">
          <w:rPr>
            <w:sz w:val="22"/>
            <w:szCs w:val="22"/>
          </w:rPr>
          <w:delText>perda de audição, zumbido;</w:delText>
        </w:r>
      </w:del>
    </w:p>
    <w:p w14:paraId="1FF198FE" w14:textId="3F35C334" w:rsidR="004462A0" w:rsidRPr="008912CF" w:rsidRDefault="00615769" w:rsidP="004462A0">
      <w:pPr>
        <w:numPr>
          <w:ilvl w:val="0"/>
          <w:numId w:val="68"/>
        </w:numPr>
        <w:tabs>
          <w:tab w:val="clear" w:pos="283"/>
          <w:tab w:val="num" w:pos="600"/>
        </w:tabs>
        <w:ind w:hanging="567"/>
        <w:rPr>
          <w:del w:id="14788" w:author="AbbVie2" w:date="2025-05-14T10:24:00Z"/>
          <w:sz w:val="22"/>
          <w:szCs w:val="22"/>
        </w:rPr>
      </w:pPr>
      <w:del w:id="14789" w:author="AbbVie2" w:date="2025-05-14T10:24:00Z">
        <w:r w:rsidRPr="008912CF">
          <w:rPr>
            <w:sz w:val="22"/>
            <w:szCs w:val="22"/>
          </w:rPr>
          <w:delText>sensação de batimento irregular do coração tal como palpitações;</w:delText>
        </w:r>
      </w:del>
    </w:p>
    <w:p w14:paraId="12871BE6" w14:textId="2F63E81E" w:rsidR="004462A0" w:rsidRPr="008912CF" w:rsidRDefault="00615769" w:rsidP="004462A0">
      <w:pPr>
        <w:numPr>
          <w:ilvl w:val="0"/>
          <w:numId w:val="68"/>
        </w:numPr>
        <w:tabs>
          <w:tab w:val="clear" w:pos="283"/>
          <w:tab w:val="num" w:pos="600"/>
        </w:tabs>
        <w:ind w:hanging="567"/>
        <w:rPr>
          <w:del w:id="14790" w:author="AbbVie2" w:date="2025-05-14T10:24:00Z"/>
          <w:sz w:val="22"/>
          <w:szCs w:val="22"/>
        </w:rPr>
      </w:pPr>
      <w:del w:id="14791" w:author="AbbVie2" w:date="2025-05-14T10:24:00Z">
        <w:r w:rsidRPr="008912CF">
          <w:rPr>
            <w:sz w:val="22"/>
            <w:szCs w:val="22"/>
          </w:rPr>
          <w:delText>problemas no coração que podem causar falta de ar ou inchaço nos tornozelos;</w:delText>
        </w:r>
      </w:del>
    </w:p>
    <w:p w14:paraId="6445EEF0" w14:textId="12EEC7F5" w:rsidR="004462A0" w:rsidRPr="008912CF" w:rsidRDefault="00615769" w:rsidP="004462A0">
      <w:pPr>
        <w:numPr>
          <w:ilvl w:val="0"/>
          <w:numId w:val="68"/>
        </w:numPr>
        <w:tabs>
          <w:tab w:val="clear" w:pos="283"/>
          <w:tab w:val="num" w:pos="600"/>
        </w:tabs>
        <w:ind w:hanging="567"/>
        <w:rPr>
          <w:del w:id="14792" w:author="AbbVie2" w:date="2025-05-14T10:24:00Z"/>
          <w:sz w:val="22"/>
          <w:szCs w:val="22"/>
        </w:rPr>
      </w:pPr>
      <w:del w:id="14793" w:author="AbbVie2" w:date="2025-05-14T10:24:00Z">
        <w:r w:rsidRPr="008912CF">
          <w:rPr>
            <w:sz w:val="22"/>
            <w:szCs w:val="22"/>
          </w:rPr>
          <w:delText>ataque cardíaco;</w:delText>
        </w:r>
      </w:del>
    </w:p>
    <w:p w14:paraId="69EC69B7" w14:textId="712E419D" w:rsidR="004462A0" w:rsidRPr="008912CF" w:rsidRDefault="00615769" w:rsidP="004462A0">
      <w:pPr>
        <w:numPr>
          <w:ilvl w:val="0"/>
          <w:numId w:val="68"/>
        </w:numPr>
        <w:tabs>
          <w:tab w:val="clear" w:pos="283"/>
          <w:tab w:val="num" w:pos="600"/>
        </w:tabs>
        <w:ind w:hanging="566"/>
        <w:rPr>
          <w:del w:id="14794" w:author="AbbVie2" w:date="2025-05-14T10:24:00Z"/>
          <w:sz w:val="22"/>
          <w:szCs w:val="22"/>
        </w:rPr>
      </w:pPr>
      <w:del w:id="14795" w:author="AbbVie2" w:date="2025-05-14T10:24:00Z">
        <w:r w:rsidRPr="008912CF">
          <w:rPr>
            <w:sz w:val="22"/>
            <w:szCs w:val="22"/>
          </w:rPr>
          <w:delText>quisto na parede de uma artéria maior, inflamação e coágulo de uma veia, bloqueio de um vaso sanguíneo;</w:delText>
        </w:r>
      </w:del>
    </w:p>
    <w:p w14:paraId="2DA08D57" w14:textId="611E3EAC" w:rsidR="004462A0" w:rsidRPr="008912CF" w:rsidRDefault="00615769" w:rsidP="004462A0">
      <w:pPr>
        <w:numPr>
          <w:ilvl w:val="0"/>
          <w:numId w:val="68"/>
        </w:numPr>
        <w:tabs>
          <w:tab w:val="clear" w:pos="283"/>
          <w:tab w:val="num" w:pos="600"/>
        </w:tabs>
        <w:ind w:hanging="567"/>
        <w:rPr>
          <w:del w:id="14796" w:author="AbbVie2" w:date="2025-05-14T10:24:00Z"/>
          <w:sz w:val="22"/>
          <w:szCs w:val="22"/>
        </w:rPr>
      </w:pPr>
      <w:del w:id="14797" w:author="AbbVie2" w:date="2025-05-14T10:24:00Z">
        <w:r w:rsidRPr="008912CF">
          <w:rPr>
            <w:sz w:val="22"/>
            <w:szCs w:val="22"/>
          </w:rPr>
          <w:delText>doenças pulmonares causando falta de ar (incluindo inflamação);</w:delText>
        </w:r>
      </w:del>
    </w:p>
    <w:p w14:paraId="035AFFC0" w14:textId="44EE8305" w:rsidR="004462A0" w:rsidRPr="008912CF" w:rsidRDefault="00615769" w:rsidP="004462A0">
      <w:pPr>
        <w:numPr>
          <w:ilvl w:val="0"/>
          <w:numId w:val="68"/>
        </w:numPr>
        <w:tabs>
          <w:tab w:val="clear" w:pos="283"/>
          <w:tab w:val="num" w:pos="600"/>
        </w:tabs>
        <w:ind w:hanging="567"/>
        <w:rPr>
          <w:del w:id="14798" w:author="AbbVie2" w:date="2025-05-14T10:24:00Z"/>
          <w:sz w:val="22"/>
          <w:szCs w:val="22"/>
        </w:rPr>
      </w:pPr>
      <w:del w:id="14799" w:author="AbbVie2" w:date="2025-05-14T10:24:00Z">
        <w:r w:rsidRPr="008912CF">
          <w:rPr>
            <w:sz w:val="22"/>
            <w:szCs w:val="22"/>
          </w:rPr>
          <w:delText>emboli</w:delText>
        </w:r>
        <w:r w:rsidR="003E3AA9">
          <w:rPr>
            <w:sz w:val="22"/>
            <w:szCs w:val="22"/>
          </w:rPr>
          <w:delText>a</w:delText>
        </w:r>
        <w:r w:rsidRPr="008912CF">
          <w:rPr>
            <w:sz w:val="22"/>
            <w:szCs w:val="22"/>
          </w:rPr>
          <w:delText xml:space="preserve"> pulmonar (bloqueio de uma artéria no pulmão);</w:delText>
        </w:r>
      </w:del>
    </w:p>
    <w:p w14:paraId="5512249E" w14:textId="653320F0" w:rsidR="004462A0" w:rsidRPr="008912CF" w:rsidRDefault="00615769" w:rsidP="004462A0">
      <w:pPr>
        <w:numPr>
          <w:ilvl w:val="0"/>
          <w:numId w:val="68"/>
        </w:numPr>
        <w:tabs>
          <w:tab w:val="clear" w:pos="283"/>
          <w:tab w:val="num" w:pos="600"/>
        </w:tabs>
        <w:ind w:hanging="567"/>
        <w:rPr>
          <w:del w:id="14800" w:author="AbbVie2" w:date="2025-05-14T10:24:00Z"/>
          <w:sz w:val="22"/>
          <w:szCs w:val="22"/>
        </w:rPr>
      </w:pPr>
      <w:del w:id="14801" w:author="AbbVie2" w:date="2025-05-14T10:24:00Z">
        <w:r w:rsidRPr="008912CF">
          <w:rPr>
            <w:sz w:val="22"/>
            <w:szCs w:val="22"/>
          </w:rPr>
          <w:delText>derrame pleural (acumulação anormal de líquido no espaço pleural);</w:delText>
        </w:r>
      </w:del>
    </w:p>
    <w:p w14:paraId="3413A042" w14:textId="4F5A424A" w:rsidR="004462A0" w:rsidRPr="008912CF" w:rsidRDefault="00615769" w:rsidP="004462A0">
      <w:pPr>
        <w:numPr>
          <w:ilvl w:val="0"/>
          <w:numId w:val="68"/>
        </w:numPr>
        <w:tabs>
          <w:tab w:val="clear" w:pos="283"/>
          <w:tab w:val="num" w:pos="600"/>
        </w:tabs>
        <w:ind w:hanging="567"/>
        <w:rPr>
          <w:del w:id="14802" w:author="AbbVie2" w:date="2025-05-14T10:24:00Z"/>
          <w:sz w:val="22"/>
          <w:szCs w:val="22"/>
        </w:rPr>
      </w:pPr>
      <w:del w:id="14803" w:author="AbbVie2" w:date="2025-05-14T10:24:00Z">
        <w:r w:rsidRPr="008912CF">
          <w:rPr>
            <w:sz w:val="22"/>
            <w:szCs w:val="22"/>
          </w:rPr>
          <w:delText>inflamação do pâncreas que causa dor grave no abdómen e costas;</w:delText>
        </w:r>
      </w:del>
    </w:p>
    <w:p w14:paraId="6FF7DC2A" w14:textId="32656699" w:rsidR="004462A0" w:rsidRPr="008912CF" w:rsidRDefault="00615769" w:rsidP="004462A0">
      <w:pPr>
        <w:numPr>
          <w:ilvl w:val="0"/>
          <w:numId w:val="68"/>
        </w:numPr>
        <w:tabs>
          <w:tab w:val="clear" w:pos="283"/>
          <w:tab w:val="num" w:pos="600"/>
        </w:tabs>
        <w:ind w:hanging="567"/>
        <w:rPr>
          <w:del w:id="14804" w:author="AbbVie2" w:date="2025-05-14T10:24:00Z"/>
          <w:sz w:val="22"/>
          <w:szCs w:val="22"/>
        </w:rPr>
      </w:pPr>
      <w:del w:id="14805" w:author="AbbVie2" w:date="2025-05-14T10:24:00Z">
        <w:r w:rsidRPr="008912CF">
          <w:rPr>
            <w:sz w:val="22"/>
            <w:szCs w:val="22"/>
          </w:rPr>
          <w:delText>dificuldade em engolir;</w:delText>
        </w:r>
      </w:del>
    </w:p>
    <w:p w14:paraId="12C62F72" w14:textId="4FAB153B" w:rsidR="004462A0" w:rsidRPr="008912CF" w:rsidRDefault="00615769" w:rsidP="004462A0">
      <w:pPr>
        <w:numPr>
          <w:ilvl w:val="0"/>
          <w:numId w:val="68"/>
        </w:numPr>
        <w:tabs>
          <w:tab w:val="clear" w:pos="283"/>
          <w:tab w:val="num" w:pos="600"/>
        </w:tabs>
        <w:ind w:hanging="567"/>
        <w:rPr>
          <w:del w:id="14806" w:author="AbbVie2" w:date="2025-05-14T10:24:00Z"/>
          <w:sz w:val="22"/>
          <w:szCs w:val="22"/>
        </w:rPr>
      </w:pPr>
      <w:del w:id="14807" w:author="AbbVie2" w:date="2025-05-14T10:24:00Z">
        <w:r w:rsidRPr="008912CF">
          <w:rPr>
            <w:sz w:val="22"/>
            <w:szCs w:val="22"/>
          </w:rPr>
          <w:delText>edema facial;</w:delText>
        </w:r>
      </w:del>
    </w:p>
    <w:p w14:paraId="5816E960" w14:textId="33B97A95" w:rsidR="004462A0" w:rsidRPr="008912CF" w:rsidRDefault="00615769" w:rsidP="004462A0">
      <w:pPr>
        <w:numPr>
          <w:ilvl w:val="0"/>
          <w:numId w:val="68"/>
        </w:numPr>
        <w:tabs>
          <w:tab w:val="clear" w:pos="283"/>
          <w:tab w:val="num" w:pos="600"/>
        </w:tabs>
        <w:ind w:hanging="567"/>
        <w:rPr>
          <w:del w:id="14808" w:author="AbbVie2" w:date="2025-05-14T10:24:00Z"/>
          <w:sz w:val="22"/>
          <w:szCs w:val="22"/>
        </w:rPr>
      </w:pPr>
      <w:del w:id="14809" w:author="AbbVie2" w:date="2025-05-14T10:24:00Z">
        <w:r w:rsidRPr="008912CF">
          <w:rPr>
            <w:sz w:val="22"/>
            <w:szCs w:val="22"/>
          </w:rPr>
          <w:delText xml:space="preserve">inflamação da vesícula, pedra na vesícula; </w:delText>
        </w:r>
      </w:del>
    </w:p>
    <w:p w14:paraId="0203F43A" w14:textId="3F493690" w:rsidR="004462A0" w:rsidRPr="008912CF" w:rsidRDefault="00615769" w:rsidP="004462A0">
      <w:pPr>
        <w:numPr>
          <w:ilvl w:val="0"/>
          <w:numId w:val="68"/>
        </w:numPr>
        <w:tabs>
          <w:tab w:val="clear" w:pos="283"/>
          <w:tab w:val="num" w:pos="600"/>
        </w:tabs>
        <w:ind w:hanging="567"/>
        <w:rPr>
          <w:del w:id="14810" w:author="AbbVie2" w:date="2025-05-14T10:24:00Z"/>
          <w:sz w:val="22"/>
          <w:szCs w:val="22"/>
        </w:rPr>
      </w:pPr>
      <w:del w:id="14811" w:author="AbbVie2" w:date="2025-05-14T10:24:00Z">
        <w:r w:rsidRPr="008912CF">
          <w:rPr>
            <w:sz w:val="22"/>
            <w:szCs w:val="22"/>
          </w:rPr>
          <w:delText>fígado gordo;</w:delText>
        </w:r>
      </w:del>
    </w:p>
    <w:p w14:paraId="6CBCFB35" w14:textId="18DD95E1" w:rsidR="004462A0" w:rsidRPr="008912CF" w:rsidRDefault="00615769" w:rsidP="004462A0">
      <w:pPr>
        <w:numPr>
          <w:ilvl w:val="0"/>
          <w:numId w:val="68"/>
        </w:numPr>
        <w:tabs>
          <w:tab w:val="clear" w:pos="283"/>
          <w:tab w:val="num" w:pos="600"/>
        </w:tabs>
        <w:ind w:hanging="567"/>
        <w:rPr>
          <w:del w:id="14812" w:author="AbbVie2" w:date="2025-05-14T10:24:00Z"/>
          <w:sz w:val="22"/>
          <w:szCs w:val="22"/>
        </w:rPr>
      </w:pPr>
      <w:del w:id="14813" w:author="AbbVie2" w:date="2025-05-14T10:24:00Z">
        <w:r w:rsidRPr="008912CF">
          <w:rPr>
            <w:sz w:val="22"/>
            <w:szCs w:val="22"/>
          </w:rPr>
          <w:delText>suores noturnos;</w:delText>
        </w:r>
      </w:del>
    </w:p>
    <w:p w14:paraId="28FE0B8E" w14:textId="289AD6F6" w:rsidR="004462A0" w:rsidRPr="008912CF" w:rsidRDefault="00615769" w:rsidP="004462A0">
      <w:pPr>
        <w:numPr>
          <w:ilvl w:val="0"/>
          <w:numId w:val="68"/>
        </w:numPr>
        <w:tabs>
          <w:tab w:val="clear" w:pos="283"/>
          <w:tab w:val="num" w:pos="600"/>
        </w:tabs>
        <w:ind w:hanging="567"/>
        <w:rPr>
          <w:del w:id="14814" w:author="AbbVie2" w:date="2025-05-14T10:24:00Z"/>
          <w:sz w:val="22"/>
          <w:szCs w:val="22"/>
        </w:rPr>
      </w:pPr>
      <w:del w:id="14815" w:author="AbbVie2" w:date="2025-05-14T10:24:00Z">
        <w:r w:rsidRPr="008912CF">
          <w:rPr>
            <w:sz w:val="22"/>
            <w:szCs w:val="22"/>
          </w:rPr>
          <w:delText>escaras;</w:delText>
        </w:r>
      </w:del>
    </w:p>
    <w:p w14:paraId="350E1556" w14:textId="37B9111E" w:rsidR="004462A0" w:rsidRPr="008912CF" w:rsidRDefault="00615769" w:rsidP="004462A0">
      <w:pPr>
        <w:numPr>
          <w:ilvl w:val="0"/>
          <w:numId w:val="68"/>
        </w:numPr>
        <w:tabs>
          <w:tab w:val="clear" w:pos="283"/>
          <w:tab w:val="num" w:pos="600"/>
        </w:tabs>
        <w:ind w:hanging="567"/>
        <w:rPr>
          <w:del w:id="14816" w:author="AbbVie2" w:date="2025-05-14T10:24:00Z"/>
          <w:sz w:val="22"/>
          <w:szCs w:val="22"/>
        </w:rPr>
      </w:pPr>
      <w:del w:id="14817" w:author="AbbVie2" w:date="2025-05-14T10:24:00Z">
        <w:r w:rsidRPr="008912CF">
          <w:rPr>
            <w:sz w:val="22"/>
            <w:szCs w:val="22"/>
          </w:rPr>
          <w:delText>colapso muscular anormal;</w:delText>
        </w:r>
      </w:del>
    </w:p>
    <w:p w14:paraId="78555A68" w14:textId="2233BA9E" w:rsidR="004462A0" w:rsidRPr="008912CF" w:rsidRDefault="00615769" w:rsidP="004462A0">
      <w:pPr>
        <w:numPr>
          <w:ilvl w:val="0"/>
          <w:numId w:val="68"/>
        </w:numPr>
        <w:tabs>
          <w:tab w:val="clear" w:pos="283"/>
          <w:tab w:val="num" w:pos="600"/>
        </w:tabs>
        <w:ind w:hanging="566"/>
        <w:rPr>
          <w:del w:id="14818" w:author="AbbVie2" w:date="2025-05-14T10:24:00Z"/>
          <w:sz w:val="22"/>
          <w:szCs w:val="22"/>
        </w:rPr>
      </w:pPr>
      <w:del w:id="14819" w:author="AbbVie2" w:date="2025-05-14T10:24:00Z">
        <w:r w:rsidRPr="008912CF">
          <w:rPr>
            <w:sz w:val="22"/>
            <w:szCs w:val="22"/>
          </w:rPr>
          <w:delText xml:space="preserve">lúpus eritematoso sistémico (incluindo inflamação da pele, coração, pulmão, articulações e outros </w:delText>
        </w:r>
        <w:r w:rsidR="00CC20F9">
          <w:rPr>
            <w:sz w:val="22"/>
            <w:szCs w:val="22"/>
          </w:rPr>
          <w:delText xml:space="preserve">sistemas de </w:delText>
        </w:r>
        <w:r w:rsidRPr="008912CF">
          <w:rPr>
            <w:sz w:val="22"/>
            <w:szCs w:val="22"/>
          </w:rPr>
          <w:delText>órgãos);</w:delText>
        </w:r>
      </w:del>
    </w:p>
    <w:p w14:paraId="7D7A43A2" w14:textId="2FBF3F99" w:rsidR="004462A0" w:rsidRPr="008912CF" w:rsidRDefault="00615769" w:rsidP="004462A0">
      <w:pPr>
        <w:numPr>
          <w:ilvl w:val="0"/>
          <w:numId w:val="68"/>
        </w:numPr>
        <w:tabs>
          <w:tab w:val="clear" w:pos="283"/>
          <w:tab w:val="num" w:pos="600"/>
        </w:tabs>
        <w:ind w:hanging="567"/>
        <w:rPr>
          <w:del w:id="14820" w:author="AbbVie2" w:date="2025-05-14T10:24:00Z"/>
          <w:sz w:val="22"/>
          <w:szCs w:val="22"/>
        </w:rPr>
      </w:pPr>
      <w:del w:id="14821" w:author="AbbVie2" w:date="2025-05-14T10:24:00Z">
        <w:r w:rsidRPr="008912CF">
          <w:rPr>
            <w:sz w:val="22"/>
            <w:szCs w:val="22"/>
          </w:rPr>
          <w:delText>interrupções de sono;</w:delText>
        </w:r>
      </w:del>
    </w:p>
    <w:p w14:paraId="5681A7CB" w14:textId="75438F0F" w:rsidR="004462A0" w:rsidRPr="008912CF" w:rsidRDefault="00615769" w:rsidP="004462A0">
      <w:pPr>
        <w:numPr>
          <w:ilvl w:val="0"/>
          <w:numId w:val="68"/>
        </w:numPr>
        <w:tabs>
          <w:tab w:val="clear" w:pos="283"/>
          <w:tab w:val="num" w:pos="600"/>
        </w:tabs>
        <w:ind w:hanging="567"/>
        <w:rPr>
          <w:del w:id="14822" w:author="AbbVie2" w:date="2025-05-14T10:24:00Z"/>
          <w:sz w:val="22"/>
          <w:szCs w:val="22"/>
        </w:rPr>
      </w:pPr>
      <w:del w:id="14823" w:author="AbbVie2" w:date="2025-05-14T10:24:00Z">
        <w:r w:rsidRPr="008912CF">
          <w:rPr>
            <w:sz w:val="22"/>
            <w:szCs w:val="22"/>
          </w:rPr>
          <w:delText>impotência;</w:delText>
        </w:r>
      </w:del>
    </w:p>
    <w:p w14:paraId="470F0005" w14:textId="57267CB9" w:rsidR="004462A0" w:rsidRPr="008912CF" w:rsidRDefault="00615769" w:rsidP="004462A0">
      <w:pPr>
        <w:numPr>
          <w:ilvl w:val="0"/>
          <w:numId w:val="70"/>
        </w:numPr>
        <w:tabs>
          <w:tab w:val="clear" w:pos="0"/>
        </w:tabs>
        <w:ind w:left="568" w:hanging="568"/>
        <w:rPr>
          <w:del w:id="14824" w:author="AbbVie2" w:date="2025-05-14T10:24:00Z"/>
          <w:sz w:val="22"/>
          <w:szCs w:val="22"/>
        </w:rPr>
      </w:pPr>
      <w:del w:id="14825" w:author="AbbVie2" w:date="2025-05-14T10:24:00Z">
        <w:r w:rsidRPr="008912CF">
          <w:rPr>
            <w:sz w:val="22"/>
            <w:szCs w:val="22"/>
          </w:rPr>
          <w:delText>inflamações.</w:delText>
        </w:r>
      </w:del>
    </w:p>
    <w:p w14:paraId="2580A186" w14:textId="7A8BB00D" w:rsidR="004462A0" w:rsidRPr="008912CF" w:rsidRDefault="004462A0" w:rsidP="004462A0">
      <w:pPr>
        <w:ind w:left="568" w:hanging="568"/>
        <w:rPr>
          <w:del w:id="14826" w:author="AbbVie2" w:date="2025-05-14T10:24:00Z"/>
          <w:sz w:val="22"/>
          <w:szCs w:val="22"/>
        </w:rPr>
      </w:pPr>
    </w:p>
    <w:p w14:paraId="52C16620" w14:textId="62BAB4BB" w:rsidR="004462A0" w:rsidRPr="008912CF" w:rsidRDefault="00615769" w:rsidP="004462A0">
      <w:pPr>
        <w:ind w:left="568" w:hanging="568"/>
        <w:rPr>
          <w:del w:id="14827" w:author="AbbVie2" w:date="2025-05-14T10:24:00Z"/>
          <w:sz w:val="22"/>
          <w:szCs w:val="22"/>
        </w:rPr>
      </w:pPr>
      <w:del w:id="14828" w:author="AbbVie2" w:date="2025-05-14T10:24:00Z">
        <w:r w:rsidRPr="008912CF">
          <w:rPr>
            <w:sz w:val="22"/>
            <w:szCs w:val="22"/>
          </w:rPr>
          <w:delText>Raros (podem afetar até 1 em 1.000 pessoas)</w:delText>
        </w:r>
      </w:del>
    </w:p>
    <w:p w14:paraId="6077A84C" w14:textId="2FB45E26" w:rsidR="004462A0" w:rsidRPr="008912CF" w:rsidRDefault="004462A0" w:rsidP="004462A0">
      <w:pPr>
        <w:ind w:left="568" w:hanging="568"/>
        <w:rPr>
          <w:del w:id="14829" w:author="AbbVie2" w:date="2025-05-14T10:24:00Z"/>
          <w:sz w:val="22"/>
          <w:szCs w:val="22"/>
        </w:rPr>
      </w:pPr>
    </w:p>
    <w:p w14:paraId="6980612B" w14:textId="6FF28AD8" w:rsidR="004462A0" w:rsidRPr="008912CF" w:rsidRDefault="00615769" w:rsidP="00636825">
      <w:pPr>
        <w:pStyle w:val="ListParagraph"/>
        <w:numPr>
          <w:ilvl w:val="0"/>
          <w:numId w:val="115"/>
        </w:numPr>
        <w:ind w:left="567" w:hanging="567"/>
        <w:rPr>
          <w:del w:id="14830" w:author="AbbVie2" w:date="2025-05-14T10:24:00Z"/>
          <w:sz w:val="22"/>
          <w:szCs w:val="22"/>
        </w:rPr>
      </w:pPr>
      <w:del w:id="14831" w:author="AbbVie2" w:date="2025-05-14T10:24:00Z">
        <w:r w:rsidRPr="008912CF">
          <w:rPr>
            <w:sz w:val="22"/>
            <w:szCs w:val="22"/>
          </w:rPr>
          <w:delText>leucemia (cancro que afeta o sangue e a medula óssea);</w:delText>
        </w:r>
      </w:del>
    </w:p>
    <w:p w14:paraId="7D1CAE98" w14:textId="22AC6F3C" w:rsidR="004462A0" w:rsidRPr="008912CF" w:rsidRDefault="00615769" w:rsidP="00636825">
      <w:pPr>
        <w:pStyle w:val="ListParagraph"/>
        <w:numPr>
          <w:ilvl w:val="0"/>
          <w:numId w:val="115"/>
        </w:numPr>
        <w:ind w:left="567" w:hanging="567"/>
        <w:rPr>
          <w:del w:id="14832" w:author="AbbVie2" w:date="2025-05-14T10:24:00Z"/>
          <w:sz w:val="22"/>
          <w:szCs w:val="22"/>
        </w:rPr>
      </w:pPr>
      <w:del w:id="14833" w:author="AbbVie2" w:date="2025-05-14T10:24:00Z">
        <w:r w:rsidRPr="008912CF">
          <w:rPr>
            <w:sz w:val="22"/>
            <w:szCs w:val="22"/>
          </w:rPr>
          <w:delText>reação alérgica grave com choque;</w:delText>
        </w:r>
      </w:del>
    </w:p>
    <w:p w14:paraId="506306B6" w14:textId="05E4BCF4" w:rsidR="004462A0" w:rsidRPr="008912CF" w:rsidRDefault="00615769" w:rsidP="00636825">
      <w:pPr>
        <w:pStyle w:val="ListParagraph"/>
        <w:numPr>
          <w:ilvl w:val="0"/>
          <w:numId w:val="115"/>
        </w:numPr>
        <w:ind w:left="567" w:hanging="567"/>
        <w:rPr>
          <w:del w:id="14834" w:author="AbbVie2" w:date="2025-05-14T10:24:00Z"/>
          <w:sz w:val="22"/>
          <w:szCs w:val="22"/>
        </w:rPr>
      </w:pPr>
      <w:del w:id="14835" w:author="AbbVie2" w:date="2025-05-14T10:24:00Z">
        <w:r w:rsidRPr="008912CF">
          <w:rPr>
            <w:sz w:val="22"/>
            <w:szCs w:val="22"/>
          </w:rPr>
          <w:delText>esclerose múltipla;</w:delText>
        </w:r>
      </w:del>
    </w:p>
    <w:p w14:paraId="020559F3" w14:textId="112A6CC9" w:rsidR="004462A0" w:rsidRPr="008912CF" w:rsidRDefault="00615769" w:rsidP="00636825">
      <w:pPr>
        <w:pStyle w:val="ListParagraph"/>
        <w:numPr>
          <w:ilvl w:val="0"/>
          <w:numId w:val="115"/>
        </w:numPr>
        <w:ind w:left="567" w:hanging="567"/>
        <w:rPr>
          <w:del w:id="14836" w:author="AbbVie2" w:date="2025-05-14T10:24:00Z"/>
          <w:sz w:val="22"/>
          <w:szCs w:val="22"/>
        </w:rPr>
      </w:pPr>
      <w:del w:id="14837" w:author="AbbVie2" w:date="2025-05-14T10:24:00Z">
        <w:r w:rsidRPr="008912CF">
          <w:rPr>
            <w:sz w:val="22"/>
            <w:szCs w:val="22"/>
          </w:rPr>
          <w:delText>alterações neurológicas (tais como inflamação do nervo ocular e síndrome de Guillain-Barré que pode causar fraqueza muscular, sensações anormais, formigueiro nos braços e na parte superior do corpo);</w:delText>
        </w:r>
      </w:del>
    </w:p>
    <w:p w14:paraId="22586CFC" w14:textId="38126B36" w:rsidR="004462A0" w:rsidRPr="008912CF" w:rsidRDefault="00615769" w:rsidP="00636825">
      <w:pPr>
        <w:pStyle w:val="ListParagraph"/>
        <w:numPr>
          <w:ilvl w:val="0"/>
          <w:numId w:val="115"/>
        </w:numPr>
        <w:ind w:left="567" w:hanging="567"/>
        <w:rPr>
          <w:del w:id="14838" w:author="AbbVie2" w:date="2025-05-14T10:24:00Z"/>
          <w:sz w:val="22"/>
          <w:szCs w:val="22"/>
        </w:rPr>
      </w:pPr>
      <w:del w:id="14839" w:author="AbbVie2" w:date="2025-05-14T10:24:00Z">
        <w:r w:rsidRPr="008912CF">
          <w:rPr>
            <w:sz w:val="22"/>
            <w:szCs w:val="22"/>
          </w:rPr>
          <w:delText>o coração deixa de bombear;</w:delText>
        </w:r>
      </w:del>
    </w:p>
    <w:p w14:paraId="3559D1BF" w14:textId="7F966576" w:rsidR="004462A0" w:rsidRPr="008912CF" w:rsidRDefault="00615769" w:rsidP="00636825">
      <w:pPr>
        <w:pStyle w:val="ListParagraph"/>
        <w:numPr>
          <w:ilvl w:val="0"/>
          <w:numId w:val="115"/>
        </w:numPr>
        <w:ind w:left="567" w:hanging="567"/>
        <w:rPr>
          <w:del w:id="14840" w:author="AbbVie2" w:date="2025-05-14T10:24:00Z"/>
          <w:sz w:val="22"/>
          <w:szCs w:val="22"/>
        </w:rPr>
      </w:pPr>
      <w:del w:id="14841" w:author="AbbVie2" w:date="2025-05-14T10:24:00Z">
        <w:r w:rsidRPr="008912CF">
          <w:rPr>
            <w:sz w:val="22"/>
            <w:szCs w:val="22"/>
          </w:rPr>
          <w:delText>fibrose pulmonar (cicatrizes no pulmão);</w:delText>
        </w:r>
      </w:del>
    </w:p>
    <w:p w14:paraId="51D060D5" w14:textId="11D89B41" w:rsidR="004462A0" w:rsidRPr="008912CF" w:rsidRDefault="00615769" w:rsidP="00636825">
      <w:pPr>
        <w:pStyle w:val="ListParagraph"/>
        <w:numPr>
          <w:ilvl w:val="0"/>
          <w:numId w:val="115"/>
        </w:numPr>
        <w:ind w:left="567" w:hanging="567"/>
        <w:rPr>
          <w:del w:id="14842" w:author="AbbVie2" w:date="2025-05-14T10:24:00Z"/>
          <w:sz w:val="22"/>
          <w:szCs w:val="22"/>
        </w:rPr>
      </w:pPr>
      <w:del w:id="14843" w:author="AbbVie2" w:date="2025-05-14T10:24:00Z">
        <w:r w:rsidRPr="008912CF">
          <w:rPr>
            <w:sz w:val="22"/>
            <w:szCs w:val="22"/>
          </w:rPr>
          <w:delText>perfuração intestinal;</w:delText>
        </w:r>
      </w:del>
    </w:p>
    <w:p w14:paraId="421F9A0E" w14:textId="5B978BD8" w:rsidR="004462A0" w:rsidRPr="008912CF" w:rsidRDefault="00615769" w:rsidP="00636825">
      <w:pPr>
        <w:pStyle w:val="ListParagraph"/>
        <w:numPr>
          <w:ilvl w:val="0"/>
          <w:numId w:val="115"/>
        </w:numPr>
        <w:ind w:left="567" w:hanging="567"/>
        <w:rPr>
          <w:del w:id="14844" w:author="AbbVie2" w:date="2025-05-14T10:24:00Z"/>
          <w:sz w:val="22"/>
          <w:szCs w:val="22"/>
        </w:rPr>
      </w:pPr>
      <w:del w:id="14845" w:author="AbbVie2" w:date="2025-05-14T10:24:00Z">
        <w:r w:rsidRPr="008912CF">
          <w:rPr>
            <w:sz w:val="22"/>
            <w:szCs w:val="22"/>
          </w:rPr>
          <w:delText>hepatite;</w:delText>
        </w:r>
      </w:del>
    </w:p>
    <w:p w14:paraId="5165DA49" w14:textId="30DE89F8" w:rsidR="004462A0" w:rsidRPr="008912CF" w:rsidRDefault="00615769" w:rsidP="00636825">
      <w:pPr>
        <w:pStyle w:val="ListParagraph"/>
        <w:numPr>
          <w:ilvl w:val="0"/>
          <w:numId w:val="115"/>
        </w:numPr>
        <w:ind w:left="567" w:hanging="567"/>
        <w:rPr>
          <w:del w:id="14846" w:author="AbbVie2" w:date="2025-05-14T10:24:00Z"/>
          <w:sz w:val="22"/>
          <w:szCs w:val="22"/>
        </w:rPr>
      </w:pPr>
      <w:del w:id="14847" w:author="AbbVie2" w:date="2025-05-14T10:24:00Z">
        <w:r w:rsidRPr="008912CF">
          <w:rPr>
            <w:sz w:val="22"/>
            <w:szCs w:val="22"/>
          </w:rPr>
          <w:delText>reativação da hepatite B;</w:delText>
        </w:r>
      </w:del>
    </w:p>
    <w:p w14:paraId="4B73FC22" w14:textId="469B8DCD" w:rsidR="004462A0" w:rsidRPr="005307A8" w:rsidRDefault="00615769" w:rsidP="00636825">
      <w:pPr>
        <w:pStyle w:val="ListParagraph"/>
        <w:numPr>
          <w:ilvl w:val="0"/>
          <w:numId w:val="115"/>
        </w:numPr>
        <w:ind w:left="567" w:hanging="567"/>
        <w:rPr>
          <w:del w:id="14848" w:author="AbbVie2" w:date="2025-05-14T10:24:00Z"/>
          <w:szCs w:val="22"/>
        </w:rPr>
      </w:pPr>
      <w:del w:id="14849" w:author="AbbVie2" w:date="2025-05-14T10:24:00Z">
        <w:r w:rsidRPr="00636825">
          <w:rPr>
            <w:sz w:val="22"/>
            <w:szCs w:val="22"/>
          </w:rPr>
          <w:delText>hepatite autoimune (inflamação do fígado causada pelo próprio sistema imunitário do corpo);</w:delText>
        </w:r>
      </w:del>
    </w:p>
    <w:p w14:paraId="3B9C877B" w14:textId="6DA258E9" w:rsidR="004462A0" w:rsidRPr="008912CF" w:rsidRDefault="00615769" w:rsidP="00636825">
      <w:pPr>
        <w:pStyle w:val="ListParagraph"/>
        <w:numPr>
          <w:ilvl w:val="0"/>
          <w:numId w:val="115"/>
        </w:numPr>
        <w:ind w:left="567" w:hanging="567"/>
        <w:rPr>
          <w:del w:id="14850" w:author="AbbVie2" w:date="2025-05-14T10:24:00Z"/>
          <w:sz w:val="22"/>
          <w:szCs w:val="22"/>
        </w:rPr>
      </w:pPr>
      <w:del w:id="14851" w:author="AbbVie2" w:date="2025-05-14T10:24:00Z">
        <w:r w:rsidRPr="008912CF">
          <w:rPr>
            <w:sz w:val="22"/>
            <w:szCs w:val="22"/>
          </w:rPr>
          <w:delText>vasculite cutânea (inflamação dos vasos sanguíneos da pele);</w:delText>
        </w:r>
      </w:del>
    </w:p>
    <w:p w14:paraId="7F065F6F" w14:textId="2DFD24F6" w:rsidR="004462A0" w:rsidRPr="008912CF" w:rsidRDefault="00615769" w:rsidP="00636825">
      <w:pPr>
        <w:pStyle w:val="ListParagraph"/>
        <w:numPr>
          <w:ilvl w:val="0"/>
          <w:numId w:val="115"/>
        </w:numPr>
        <w:ind w:left="567" w:hanging="567"/>
        <w:rPr>
          <w:del w:id="14852" w:author="AbbVie2" w:date="2025-05-14T10:24:00Z"/>
          <w:sz w:val="22"/>
          <w:szCs w:val="22"/>
        </w:rPr>
      </w:pPr>
      <w:del w:id="14853" w:author="AbbVie2" w:date="2025-05-14T10:24:00Z">
        <w:r w:rsidRPr="008912CF">
          <w:rPr>
            <w:sz w:val="22"/>
            <w:szCs w:val="22"/>
          </w:rPr>
          <w:delText>síndrome de Stevens-Johnson (sintomas iniciais incluindo indisposição, febre, dor de cabeça e erupção cutânea);</w:delText>
        </w:r>
      </w:del>
    </w:p>
    <w:p w14:paraId="328818CA" w14:textId="37705C55" w:rsidR="004462A0" w:rsidRPr="008912CF" w:rsidRDefault="00615769" w:rsidP="00636825">
      <w:pPr>
        <w:pStyle w:val="ListParagraph"/>
        <w:numPr>
          <w:ilvl w:val="0"/>
          <w:numId w:val="115"/>
        </w:numPr>
        <w:ind w:left="567" w:hanging="567"/>
        <w:rPr>
          <w:del w:id="14854" w:author="AbbVie2" w:date="2025-05-14T10:24:00Z"/>
          <w:sz w:val="22"/>
          <w:szCs w:val="22"/>
        </w:rPr>
      </w:pPr>
      <w:del w:id="14855" w:author="AbbVie2" w:date="2025-05-14T10:24:00Z">
        <w:r w:rsidRPr="008912CF">
          <w:rPr>
            <w:sz w:val="22"/>
            <w:szCs w:val="22"/>
          </w:rPr>
          <w:delText>edema facial associado com reações alérgicas;</w:delText>
        </w:r>
      </w:del>
    </w:p>
    <w:p w14:paraId="2A2BD3C7" w14:textId="5D9A2D00" w:rsidR="004462A0" w:rsidRPr="008912CF" w:rsidRDefault="00615769" w:rsidP="00636825">
      <w:pPr>
        <w:pStyle w:val="ListParagraph"/>
        <w:numPr>
          <w:ilvl w:val="0"/>
          <w:numId w:val="115"/>
        </w:numPr>
        <w:ind w:left="567" w:hanging="567"/>
        <w:rPr>
          <w:del w:id="14856" w:author="AbbVie2" w:date="2025-05-14T10:24:00Z"/>
          <w:sz w:val="22"/>
          <w:szCs w:val="22"/>
        </w:rPr>
      </w:pPr>
      <w:del w:id="14857" w:author="AbbVie2" w:date="2025-05-14T10:24:00Z">
        <w:r w:rsidRPr="008912CF">
          <w:rPr>
            <w:sz w:val="22"/>
            <w:szCs w:val="22"/>
          </w:rPr>
          <w:delText>eritema multiforme (erupção cutânea inflamatória);</w:delText>
        </w:r>
      </w:del>
    </w:p>
    <w:p w14:paraId="6E683D53" w14:textId="53A02985" w:rsidR="004462A0" w:rsidRDefault="00615769" w:rsidP="00636825">
      <w:pPr>
        <w:pStyle w:val="ListParagraph"/>
        <w:numPr>
          <w:ilvl w:val="0"/>
          <w:numId w:val="115"/>
        </w:numPr>
        <w:ind w:left="567" w:hanging="567"/>
        <w:rPr>
          <w:del w:id="14858" w:author="AbbVie2" w:date="2025-05-14T10:24:00Z"/>
          <w:sz w:val="22"/>
          <w:szCs w:val="22"/>
        </w:rPr>
      </w:pPr>
      <w:del w:id="14859" w:author="AbbVie2" w:date="2025-05-14T10:24:00Z">
        <w:r w:rsidRPr="008912CF">
          <w:rPr>
            <w:sz w:val="22"/>
            <w:szCs w:val="22"/>
          </w:rPr>
          <w:delText>síndrome tipo lúpus</w:delText>
        </w:r>
        <w:r w:rsidR="009B0E0D">
          <w:rPr>
            <w:sz w:val="22"/>
            <w:szCs w:val="22"/>
          </w:rPr>
          <w:delText>;</w:delText>
        </w:r>
      </w:del>
    </w:p>
    <w:p w14:paraId="300596A9" w14:textId="345FAD55" w:rsidR="00E1263F" w:rsidRDefault="00615769" w:rsidP="00636825">
      <w:pPr>
        <w:pStyle w:val="ListParagraph"/>
        <w:numPr>
          <w:ilvl w:val="0"/>
          <w:numId w:val="115"/>
        </w:numPr>
        <w:ind w:left="567" w:hanging="567"/>
        <w:rPr>
          <w:del w:id="14860" w:author="AbbVie2" w:date="2025-05-14T10:24:00Z"/>
          <w:sz w:val="22"/>
          <w:szCs w:val="22"/>
        </w:rPr>
      </w:pPr>
      <w:del w:id="14861" w:author="AbbVie2" w:date="2025-05-14T10:24:00Z">
        <w:r w:rsidRPr="009B0E0D">
          <w:rPr>
            <w:sz w:val="22"/>
            <w:szCs w:val="22"/>
          </w:rPr>
          <w:delText>angioedema (inchaço localizado da pele)</w:delText>
        </w:r>
        <w:r w:rsidR="00D84E4E">
          <w:rPr>
            <w:sz w:val="22"/>
            <w:szCs w:val="22"/>
          </w:rPr>
          <w:delText>;</w:delText>
        </w:r>
      </w:del>
    </w:p>
    <w:p w14:paraId="61718E76" w14:textId="6E6D5078" w:rsidR="00D84E4E" w:rsidRPr="00636825" w:rsidRDefault="00615769" w:rsidP="00636825">
      <w:pPr>
        <w:pStyle w:val="ListParagraph"/>
        <w:numPr>
          <w:ilvl w:val="0"/>
          <w:numId w:val="115"/>
        </w:numPr>
        <w:ind w:left="567" w:hanging="567"/>
        <w:rPr>
          <w:del w:id="14862" w:author="AbbVie2" w:date="2025-05-14T10:24:00Z"/>
          <w:sz w:val="22"/>
          <w:szCs w:val="22"/>
        </w:rPr>
      </w:pPr>
      <w:del w:id="14863" w:author="AbbVie2" w:date="2025-05-14T10:24:00Z">
        <w:r w:rsidRPr="00636825">
          <w:rPr>
            <w:sz w:val="22"/>
            <w:szCs w:val="22"/>
          </w:rPr>
          <w:delText>reação cutânea liquen</w:delText>
        </w:r>
        <w:r w:rsidR="00E1263F">
          <w:rPr>
            <w:sz w:val="22"/>
            <w:szCs w:val="22"/>
          </w:rPr>
          <w:delText>o</w:delText>
        </w:r>
        <w:r w:rsidRPr="00636825">
          <w:rPr>
            <w:sz w:val="22"/>
            <w:szCs w:val="22"/>
          </w:rPr>
          <w:delText xml:space="preserve">ide (erupção </w:delText>
        </w:r>
        <w:r w:rsidR="00E1263F">
          <w:rPr>
            <w:sz w:val="22"/>
            <w:szCs w:val="22"/>
          </w:rPr>
          <w:delText>na pele</w:delText>
        </w:r>
        <w:r w:rsidRPr="00636825">
          <w:rPr>
            <w:sz w:val="22"/>
            <w:szCs w:val="22"/>
          </w:rPr>
          <w:delText xml:space="preserve"> vermelho-púrpura com comichão)</w:delText>
        </w:r>
        <w:r w:rsidR="00E1263F">
          <w:rPr>
            <w:sz w:val="22"/>
            <w:szCs w:val="22"/>
          </w:rPr>
          <w:delText>.</w:delText>
        </w:r>
      </w:del>
    </w:p>
    <w:p w14:paraId="5C732021" w14:textId="72B4EBCD" w:rsidR="004462A0" w:rsidRPr="008912CF" w:rsidRDefault="004462A0" w:rsidP="004462A0">
      <w:pPr>
        <w:rPr>
          <w:del w:id="14864" w:author="AbbVie2" w:date="2025-05-14T10:24:00Z"/>
          <w:sz w:val="22"/>
          <w:szCs w:val="22"/>
        </w:rPr>
      </w:pPr>
    </w:p>
    <w:p w14:paraId="47A474F8" w14:textId="6971CCCE" w:rsidR="004462A0" w:rsidRPr="008912CF" w:rsidRDefault="00615769" w:rsidP="004462A0">
      <w:pPr>
        <w:rPr>
          <w:del w:id="14865" w:author="AbbVie2" w:date="2025-05-14T10:24:00Z"/>
          <w:sz w:val="22"/>
          <w:szCs w:val="22"/>
        </w:rPr>
      </w:pPr>
      <w:del w:id="14866" w:author="AbbVie2" w:date="2025-05-14T10:24:00Z">
        <w:r w:rsidRPr="008912CF">
          <w:rPr>
            <w:sz w:val="22"/>
            <w:szCs w:val="22"/>
          </w:rPr>
          <w:delText>Desconhecido (a frequência não pode ser calculada a partir dos dados disponíveis)</w:delText>
        </w:r>
      </w:del>
    </w:p>
    <w:p w14:paraId="0B2825EA" w14:textId="4DCAEFE0" w:rsidR="004462A0" w:rsidRPr="008912CF" w:rsidRDefault="004462A0" w:rsidP="004462A0">
      <w:pPr>
        <w:rPr>
          <w:del w:id="14867" w:author="AbbVie2" w:date="2025-05-14T10:24:00Z"/>
          <w:sz w:val="22"/>
          <w:szCs w:val="22"/>
        </w:rPr>
      </w:pPr>
    </w:p>
    <w:p w14:paraId="1E4330FE" w14:textId="15046805" w:rsidR="004462A0" w:rsidRPr="008D61F9" w:rsidRDefault="00615769" w:rsidP="004462A0">
      <w:pPr>
        <w:pStyle w:val="ListParagraph"/>
        <w:numPr>
          <w:ilvl w:val="0"/>
          <w:numId w:val="115"/>
        </w:numPr>
        <w:ind w:left="567" w:hanging="567"/>
        <w:rPr>
          <w:del w:id="14868" w:author="AbbVie2" w:date="2025-05-14T10:24:00Z"/>
          <w:sz w:val="22"/>
          <w:szCs w:val="22"/>
        </w:rPr>
      </w:pPr>
      <w:del w:id="14869" w:author="AbbVie2" w:date="2025-05-14T10:24:00Z">
        <w:r w:rsidRPr="008D61F9">
          <w:rPr>
            <w:sz w:val="22"/>
            <w:szCs w:val="22"/>
          </w:rPr>
          <w:delText>linfoma hepatoesplénico de linfócitos T (um raro cancro de sangue que muitas vezes é fatal);</w:delText>
        </w:r>
      </w:del>
    </w:p>
    <w:p w14:paraId="12BB2F7B" w14:textId="48AEEDE2" w:rsidR="004462A0" w:rsidRDefault="00615769" w:rsidP="004462A0">
      <w:pPr>
        <w:pStyle w:val="ListParagraph"/>
        <w:numPr>
          <w:ilvl w:val="0"/>
          <w:numId w:val="115"/>
        </w:numPr>
        <w:ind w:left="567" w:hanging="567"/>
        <w:rPr>
          <w:del w:id="14870" w:author="AbbVie2" w:date="2025-05-14T10:24:00Z"/>
          <w:sz w:val="22"/>
          <w:szCs w:val="22"/>
        </w:rPr>
      </w:pPr>
      <w:del w:id="14871" w:author="AbbVie2" w:date="2025-05-14T10:24:00Z">
        <w:r w:rsidRPr="008D61F9">
          <w:rPr>
            <w:sz w:val="22"/>
            <w:szCs w:val="22"/>
          </w:rPr>
          <w:delText>carcinoma de células de Merkel (um tipo de cancro de pele);</w:delText>
        </w:r>
      </w:del>
    </w:p>
    <w:p w14:paraId="321945CB" w14:textId="6CEB55E9" w:rsidR="00A06FA4" w:rsidRPr="008D61F9" w:rsidRDefault="00615769" w:rsidP="004462A0">
      <w:pPr>
        <w:pStyle w:val="ListParagraph"/>
        <w:numPr>
          <w:ilvl w:val="0"/>
          <w:numId w:val="115"/>
        </w:numPr>
        <w:ind w:left="567" w:hanging="567"/>
        <w:rPr>
          <w:del w:id="14872" w:author="AbbVie2" w:date="2025-05-14T10:24:00Z"/>
          <w:sz w:val="22"/>
          <w:szCs w:val="22"/>
        </w:rPr>
      </w:pPr>
      <w:del w:id="14873" w:author="AbbVie2" w:date="2025-05-14T10:24:00Z">
        <w:r>
          <w:rPr>
            <w:sz w:val="22"/>
            <w:szCs w:val="22"/>
          </w:rPr>
          <w:delText>s</w:delText>
        </w:r>
        <w:r w:rsidRPr="006819E5">
          <w:rPr>
            <w:sz w:val="22"/>
            <w:szCs w:val="22"/>
          </w:rPr>
          <w:delText>arcoma de Kaposi, um cancro raro relacionado com a infeção pelo vírus herpes humano 8. O sarcoma de Kaposi aparece mais frequentemente na forma de lesões cutâneas de cor púrpura</w:delText>
        </w:r>
        <w:r>
          <w:rPr>
            <w:sz w:val="22"/>
            <w:szCs w:val="22"/>
          </w:rPr>
          <w:delText>;</w:delText>
        </w:r>
      </w:del>
    </w:p>
    <w:p w14:paraId="0E975ADC" w14:textId="42825C10" w:rsidR="004462A0" w:rsidRPr="008D61F9" w:rsidRDefault="00615769" w:rsidP="004462A0">
      <w:pPr>
        <w:pStyle w:val="ListParagraph"/>
        <w:numPr>
          <w:ilvl w:val="0"/>
          <w:numId w:val="115"/>
        </w:numPr>
        <w:ind w:left="567" w:hanging="567"/>
        <w:rPr>
          <w:del w:id="14874" w:author="AbbVie2" w:date="2025-05-14T10:24:00Z"/>
          <w:sz w:val="22"/>
          <w:szCs w:val="22"/>
        </w:rPr>
      </w:pPr>
      <w:del w:id="14875" w:author="AbbVie2" w:date="2025-05-14T10:24:00Z">
        <w:r w:rsidRPr="008D61F9">
          <w:rPr>
            <w:sz w:val="22"/>
            <w:szCs w:val="22"/>
          </w:rPr>
          <w:delText xml:space="preserve">insuficiência hepática; </w:delText>
        </w:r>
      </w:del>
    </w:p>
    <w:p w14:paraId="5F8562CA" w14:textId="7DD8CDAB" w:rsidR="007A4E33" w:rsidRDefault="00615769" w:rsidP="007A4E33">
      <w:pPr>
        <w:pStyle w:val="ListParagraph"/>
        <w:numPr>
          <w:ilvl w:val="0"/>
          <w:numId w:val="114"/>
        </w:numPr>
        <w:ind w:left="567" w:hanging="567"/>
        <w:rPr>
          <w:del w:id="14876" w:author="AbbVie2" w:date="2025-05-14T10:24:00Z"/>
          <w:sz w:val="22"/>
          <w:szCs w:val="22"/>
        </w:rPr>
      </w:pPr>
      <w:del w:id="14877" w:author="AbbVie2" w:date="2025-05-14T10:24:00Z">
        <w:r w:rsidRPr="008D61F9">
          <w:rPr>
            <w:sz w:val="22"/>
            <w:szCs w:val="22"/>
          </w:rPr>
          <w:delText>agravamento de uma doença chamada dermatomiosite (que corresponde a uma erupção cutânea acompanhada de fraqueza muscular)</w:delText>
        </w:r>
        <w:r>
          <w:rPr>
            <w:sz w:val="22"/>
            <w:szCs w:val="22"/>
          </w:rPr>
          <w:delText>;</w:delText>
        </w:r>
      </w:del>
    </w:p>
    <w:p w14:paraId="1B2BDA6B" w14:textId="72C5452C" w:rsidR="004462A0" w:rsidRPr="00A10CE1" w:rsidRDefault="00615769" w:rsidP="00A10CE1">
      <w:pPr>
        <w:pStyle w:val="ListParagraph"/>
        <w:numPr>
          <w:ilvl w:val="0"/>
          <w:numId w:val="114"/>
        </w:numPr>
        <w:ind w:left="567" w:hanging="567"/>
        <w:rPr>
          <w:del w:id="14878" w:author="AbbVie2" w:date="2025-05-14T10:24:00Z"/>
          <w:sz w:val="22"/>
          <w:szCs w:val="22"/>
        </w:rPr>
      </w:pPr>
      <w:del w:id="14879" w:author="AbbVie2" w:date="2025-05-14T10:24:00Z">
        <w:r>
          <w:rPr>
            <w:sz w:val="22"/>
            <w:szCs w:val="22"/>
          </w:rPr>
          <w:delText>a</w:delText>
        </w:r>
        <w:r w:rsidRPr="007A4E33">
          <w:rPr>
            <w:sz w:val="22"/>
            <w:szCs w:val="22"/>
          </w:rPr>
          <w:delText>umento de peso (para a maioria dos doentes, o aumento de peso foi pequeno)</w:delText>
        </w:r>
        <w:r>
          <w:rPr>
            <w:sz w:val="22"/>
            <w:szCs w:val="22"/>
          </w:rPr>
          <w:delText>.</w:delText>
        </w:r>
      </w:del>
    </w:p>
    <w:p w14:paraId="7C66F816" w14:textId="14FBA666" w:rsidR="004462A0" w:rsidRPr="008912CF" w:rsidRDefault="004462A0" w:rsidP="004462A0">
      <w:pPr>
        <w:rPr>
          <w:del w:id="14880" w:author="AbbVie2" w:date="2025-05-14T10:24:00Z"/>
          <w:sz w:val="22"/>
          <w:szCs w:val="22"/>
        </w:rPr>
      </w:pPr>
    </w:p>
    <w:p w14:paraId="15484D32" w14:textId="2E13CCA5" w:rsidR="004462A0" w:rsidRPr="008912CF" w:rsidRDefault="00615769" w:rsidP="004462A0">
      <w:pPr>
        <w:rPr>
          <w:del w:id="14881" w:author="AbbVie2" w:date="2025-05-14T10:24:00Z"/>
          <w:sz w:val="22"/>
          <w:szCs w:val="22"/>
        </w:rPr>
      </w:pPr>
      <w:del w:id="14882" w:author="AbbVie2" w:date="2025-05-14T10:24:00Z">
        <w:r w:rsidRPr="008912CF">
          <w:rPr>
            <w:sz w:val="22"/>
            <w:szCs w:val="22"/>
          </w:rPr>
          <w:delText xml:space="preserve">Alguns efeitos </w:delText>
        </w:r>
        <w:r w:rsidR="00571C82">
          <w:rPr>
            <w:sz w:val="22"/>
            <w:szCs w:val="22"/>
          </w:rPr>
          <w:delText>indesejáveis</w:delText>
        </w:r>
        <w:r w:rsidRPr="008912CF">
          <w:rPr>
            <w:sz w:val="22"/>
            <w:szCs w:val="22"/>
          </w:rPr>
          <w:delText xml:space="preserve"> observados com Humira podem não ter sintomas e só podem ser identificados através de análises ao sangue. Estes incluem:</w:delText>
        </w:r>
      </w:del>
    </w:p>
    <w:p w14:paraId="11C62B8B" w14:textId="489EA763" w:rsidR="004462A0" w:rsidRPr="008912CF" w:rsidRDefault="004462A0" w:rsidP="004462A0">
      <w:pPr>
        <w:rPr>
          <w:del w:id="14883" w:author="AbbVie2" w:date="2025-05-14T10:24:00Z"/>
          <w:sz w:val="22"/>
          <w:szCs w:val="22"/>
        </w:rPr>
      </w:pPr>
    </w:p>
    <w:p w14:paraId="7A8125B2" w14:textId="519CE526" w:rsidR="004462A0" w:rsidRPr="008912CF" w:rsidRDefault="00615769" w:rsidP="004462A0">
      <w:pPr>
        <w:keepNext/>
        <w:rPr>
          <w:del w:id="14884" w:author="AbbVie2" w:date="2025-05-14T10:24:00Z"/>
          <w:sz w:val="22"/>
          <w:szCs w:val="22"/>
        </w:rPr>
      </w:pPr>
      <w:del w:id="14885" w:author="AbbVie2" w:date="2025-05-14T10:24:00Z">
        <w:r w:rsidRPr="008912CF">
          <w:rPr>
            <w:sz w:val="22"/>
            <w:szCs w:val="22"/>
          </w:rPr>
          <w:delText>Muito frequentes (podem afetar mais de 1 em 10 pessoas)</w:delText>
        </w:r>
      </w:del>
    </w:p>
    <w:p w14:paraId="47901254" w14:textId="0B0FD3CD" w:rsidR="004462A0" w:rsidRPr="008912CF" w:rsidRDefault="004462A0" w:rsidP="004462A0">
      <w:pPr>
        <w:keepNext/>
        <w:rPr>
          <w:del w:id="14886" w:author="AbbVie2" w:date="2025-05-14T10:24:00Z"/>
          <w:sz w:val="22"/>
          <w:szCs w:val="22"/>
        </w:rPr>
      </w:pPr>
    </w:p>
    <w:p w14:paraId="7D1BF34F" w14:textId="368E4BA4" w:rsidR="004462A0" w:rsidRPr="008912CF" w:rsidRDefault="00615769" w:rsidP="004462A0">
      <w:pPr>
        <w:keepNext/>
        <w:numPr>
          <w:ilvl w:val="0"/>
          <w:numId w:val="69"/>
        </w:numPr>
        <w:tabs>
          <w:tab w:val="clear" w:pos="0"/>
        </w:tabs>
        <w:ind w:left="568" w:hanging="568"/>
        <w:rPr>
          <w:del w:id="14887" w:author="AbbVie2" w:date="2025-05-14T10:24:00Z"/>
          <w:sz w:val="22"/>
          <w:szCs w:val="22"/>
        </w:rPr>
      </w:pPr>
      <w:del w:id="14888" w:author="AbbVie2" w:date="2025-05-14T10:24:00Z">
        <w:r w:rsidRPr="008912CF">
          <w:rPr>
            <w:sz w:val="22"/>
            <w:szCs w:val="22"/>
          </w:rPr>
          <w:delText xml:space="preserve">contagem diminuída dos glóbulos brancos; </w:delText>
        </w:r>
      </w:del>
    </w:p>
    <w:p w14:paraId="345212E3" w14:textId="5C5D692A" w:rsidR="004462A0" w:rsidRPr="008912CF" w:rsidRDefault="00615769" w:rsidP="004462A0">
      <w:pPr>
        <w:keepNext/>
        <w:numPr>
          <w:ilvl w:val="0"/>
          <w:numId w:val="69"/>
        </w:numPr>
        <w:tabs>
          <w:tab w:val="clear" w:pos="0"/>
        </w:tabs>
        <w:ind w:left="568" w:hanging="568"/>
        <w:rPr>
          <w:del w:id="14889" w:author="AbbVie2" w:date="2025-05-14T10:24:00Z"/>
          <w:sz w:val="22"/>
          <w:szCs w:val="22"/>
        </w:rPr>
      </w:pPr>
      <w:del w:id="14890" w:author="AbbVie2" w:date="2025-05-14T10:24:00Z">
        <w:r w:rsidRPr="008912CF">
          <w:rPr>
            <w:sz w:val="22"/>
            <w:szCs w:val="22"/>
          </w:rPr>
          <w:delText>contagem diminuída dos glóbulos vermelhos;</w:delText>
        </w:r>
      </w:del>
    </w:p>
    <w:p w14:paraId="4BAB6B9A" w14:textId="1E00147E" w:rsidR="004462A0" w:rsidRPr="008912CF" w:rsidRDefault="00615769" w:rsidP="004462A0">
      <w:pPr>
        <w:keepNext/>
        <w:numPr>
          <w:ilvl w:val="0"/>
          <w:numId w:val="69"/>
        </w:numPr>
        <w:tabs>
          <w:tab w:val="clear" w:pos="0"/>
        </w:tabs>
        <w:ind w:left="568" w:hanging="568"/>
        <w:rPr>
          <w:del w:id="14891" w:author="AbbVie2" w:date="2025-05-14T10:24:00Z"/>
          <w:sz w:val="22"/>
          <w:szCs w:val="22"/>
        </w:rPr>
      </w:pPr>
      <w:del w:id="14892" w:author="AbbVie2" w:date="2025-05-14T10:24:00Z">
        <w:r w:rsidRPr="008912CF">
          <w:rPr>
            <w:sz w:val="22"/>
            <w:szCs w:val="22"/>
          </w:rPr>
          <w:delText>aumento dos lípidos no sangue;</w:delText>
        </w:r>
      </w:del>
    </w:p>
    <w:p w14:paraId="0A4BC452" w14:textId="33668589" w:rsidR="004462A0" w:rsidRPr="008912CF" w:rsidRDefault="00615769" w:rsidP="004462A0">
      <w:pPr>
        <w:keepNext/>
        <w:numPr>
          <w:ilvl w:val="0"/>
          <w:numId w:val="69"/>
        </w:numPr>
        <w:tabs>
          <w:tab w:val="clear" w:pos="0"/>
        </w:tabs>
        <w:ind w:left="568" w:hanging="568"/>
        <w:rPr>
          <w:del w:id="14893" w:author="AbbVie2" w:date="2025-05-14T10:24:00Z"/>
          <w:sz w:val="22"/>
          <w:szCs w:val="22"/>
        </w:rPr>
      </w:pPr>
      <w:del w:id="14894" w:author="AbbVie2" w:date="2025-05-14T10:24:00Z">
        <w:r w:rsidRPr="008912CF">
          <w:rPr>
            <w:sz w:val="22"/>
            <w:szCs w:val="22"/>
          </w:rPr>
          <w:delText>aumento das enzimas hepáticas.</w:delText>
        </w:r>
      </w:del>
    </w:p>
    <w:p w14:paraId="17B73B4F" w14:textId="7F1DB873" w:rsidR="004462A0" w:rsidRPr="008912CF" w:rsidRDefault="004462A0" w:rsidP="004462A0">
      <w:pPr>
        <w:rPr>
          <w:del w:id="14895" w:author="AbbVie2" w:date="2025-05-14T10:24:00Z"/>
          <w:sz w:val="22"/>
          <w:szCs w:val="22"/>
        </w:rPr>
      </w:pPr>
    </w:p>
    <w:p w14:paraId="6B6AFE0B" w14:textId="78DB38D4" w:rsidR="004462A0" w:rsidRPr="008912CF" w:rsidRDefault="00615769" w:rsidP="004462A0">
      <w:pPr>
        <w:rPr>
          <w:del w:id="14896" w:author="AbbVie2" w:date="2025-05-14T10:24:00Z"/>
          <w:sz w:val="22"/>
          <w:szCs w:val="22"/>
        </w:rPr>
      </w:pPr>
      <w:del w:id="14897" w:author="AbbVie2" w:date="2025-05-14T10:24:00Z">
        <w:r w:rsidRPr="008912CF">
          <w:rPr>
            <w:sz w:val="22"/>
            <w:szCs w:val="22"/>
          </w:rPr>
          <w:delText>Frequentes (podem afetar até 1 em 10 pessoas)</w:delText>
        </w:r>
      </w:del>
    </w:p>
    <w:p w14:paraId="02A0DC9E" w14:textId="0D200877" w:rsidR="004462A0" w:rsidRPr="008912CF" w:rsidRDefault="004462A0" w:rsidP="004462A0">
      <w:pPr>
        <w:rPr>
          <w:del w:id="14898" w:author="AbbVie2" w:date="2025-05-14T10:24:00Z"/>
          <w:sz w:val="22"/>
          <w:szCs w:val="22"/>
        </w:rPr>
      </w:pPr>
    </w:p>
    <w:p w14:paraId="703C4D2C" w14:textId="2EC3994F" w:rsidR="004462A0" w:rsidRPr="008912CF" w:rsidRDefault="00615769" w:rsidP="004462A0">
      <w:pPr>
        <w:numPr>
          <w:ilvl w:val="0"/>
          <w:numId w:val="69"/>
        </w:numPr>
        <w:tabs>
          <w:tab w:val="clear" w:pos="0"/>
        </w:tabs>
        <w:ind w:left="568" w:hanging="568"/>
        <w:rPr>
          <w:del w:id="14899" w:author="AbbVie2" w:date="2025-05-14T10:24:00Z"/>
          <w:sz w:val="22"/>
          <w:szCs w:val="22"/>
        </w:rPr>
      </w:pPr>
      <w:del w:id="14900" w:author="AbbVie2" w:date="2025-05-14T10:24:00Z">
        <w:r w:rsidRPr="008912CF">
          <w:rPr>
            <w:sz w:val="22"/>
            <w:szCs w:val="22"/>
          </w:rPr>
          <w:delText>contagem aumentada dos glóbulos brancos;</w:delText>
        </w:r>
      </w:del>
    </w:p>
    <w:p w14:paraId="54697E88" w14:textId="643A4B5F" w:rsidR="004462A0" w:rsidRPr="008912CF" w:rsidRDefault="00615769" w:rsidP="004462A0">
      <w:pPr>
        <w:numPr>
          <w:ilvl w:val="0"/>
          <w:numId w:val="69"/>
        </w:numPr>
        <w:tabs>
          <w:tab w:val="clear" w:pos="0"/>
        </w:tabs>
        <w:ind w:left="568" w:hanging="568"/>
        <w:rPr>
          <w:del w:id="14901" w:author="AbbVie2" w:date="2025-05-14T10:24:00Z"/>
          <w:sz w:val="22"/>
          <w:szCs w:val="22"/>
        </w:rPr>
      </w:pPr>
      <w:del w:id="14902" w:author="AbbVie2" w:date="2025-05-14T10:24:00Z">
        <w:r w:rsidRPr="008912CF">
          <w:rPr>
            <w:sz w:val="22"/>
            <w:szCs w:val="22"/>
          </w:rPr>
          <w:delText>contagem diminuída das plaquetas;</w:delText>
        </w:r>
      </w:del>
    </w:p>
    <w:p w14:paraId="6E280763" w14:textId="2C168FD0" w:rsidR="004462A0" w:rsidRPr="008912CF" w:rsidRDefault="00615769" w:rsidP="004462A0">
      <w:pPr>
        <w:numPr>
          <w:ilvl w:val="0"/>
          <w:numId w:val="69"/>
        </w:numPr>
        <w:tabs>
          <w:tab w:val="clear" w:pos="0"/>
        </w:tabs>
        <w:ind w:left="568" w:hanging="568"/>
        <w:rPr>
          <w:del w:id="14903" w:author="AbbVie2" w:date="2025-05-14T10:24:00Z"/>
          <w:sz w:val="22"/>
          <w:szCs w:val="22"/>
        </w:rPr>
      </w:pPr>
      <w:del w:id="14904" w:author="AbbVie2" w:date="2025-05-14T10:24:00Z">
        <w:r w:rsidRPr="008912CF">
          <w:rPr>
            <w:sz w:val="22"/>
            <w:szCs w:val="22"/>
          </w:rPr>
          <w:delText>aumento de ácido úrico no sangue;</w:delText>
        </w:r>
      </w:del>
    </w:p>
    <w:p w14:paraId="10B054F5" w14:textId="77D9A7D4" w:rsidR="004462A0" w:rsidRPr="008912CF" w:rsidRDefault="00615769" w:rsidP="004462A0">
      <w:pPr>
        <w:numPr>
          <w:ilvl w:val="0"/>
          <w:numId w:val="69"/>
        </w:numPr>
        <w:tabs>
          <w:tab w:val="clear" w:pos="0"/>
        </w:tabs>
        <w:ind w:left="568" w:hanging="568"/>
        <w:rPr>
          <w:del w:id="14905" w:author="AbbVie2" w:date="2025-05-14T10:24:00Z"/>
          <w:sz w:val="22"/>
          <w:szCs w:val="22"/>
        </w:rPr>
      </w:pPr>
      <w:del w:id="14906" w:author="AbbVie2" w:date="2025-05-14T10:24:00Z">
        <w:r w:rsidRPr="008912CF">
          <w:rPr>
            <w:sz w:val="22"/>
            <w:szCs w:val="22"/>
          </w:rPr>
          <w:delText>contagem anormal de sódio no sangue;</w:delText>
        </w:r>
      </w:del>
    </w:p>
    <w:p w14:paraId="57B7F55F" w14:textId="041ED693" w:rsidR="004462A0" w:rsidRPr="008912CF" w:rsidRDefault="00615769" w:rsidP="004462A0">
      <w:pPr>
        <w:numPr>
          <w:ilvl w:val="0"/>
          <w:numId w:val="69"/>
        </w:numPr>
        <w:tabs>
          <w:tab w:val="clear" w:pos="0"/>
        </w:tabs>
        <w:ind w:left="568" w:hanging="568"/>
        <w:rPr>
          <w:del w:id="14907" w:author="AbbVie2" w:date="2025-05-14T10:24:00Z"/>
          <w:sz w:val="22"/>
          <w:szCs w:val="22"/>
        </w:rPr>
      </w:pPr>
      <w:del w:id="14908" w:author="AbbVie2" w:date="2025-05-14T10:24:00Z">
        <w:r w:rsidRPr="008912CF">
          <w:rPr>
            <w:sz w:val="22"/>
            <w:szCs w:val="22"/>
          </w:rPr>
          <w:delText>contagem diminuída de cálcio no sangue;</w:delText>
        </w:r>
      </w:del>
    </w:p>
    <w:p w14:paraId="474D2A75" w14:textId="4A3A0EC9" w:rsidR="004462A0" w:rsidRPr="008912CF" w:rsidRDefault="00615769" w:rsidP="004462A0">
      <w:pPr>
        <w:numPr>
          <w:ilvl w:val="0"/>
          <w:numId w:val="69"/>
        </w:numPr>
        <w:tabs>
          <w:tab w:val="clear" w:pos="0"/>
        </w:tabs>
        <w:ind w:left="568" w:hanging="568"/>
        <w:rPr>
          <w:del w:id="14909" w:author="AbbVie2" w:date="2025-05-14T10:24:00Z"/>
          <w:sz w:val="22"/>
          <w:szCs w:val="22"/>
        </w:rPr>
      </w:pPr>
      <w:del w:id="14910" w:author="AbbVie2" w:date="2025-05-14T10:24:00Z">
        <w:r w:rsidRPr="008912CF">
          <w:rPr>
            <w:sz w:val="22"/>
            <w:szCs w:val="22"/>
          </w:rPr>
          <w:delText>contagem diminuída de fosfato no sangue;</w:delText>
        </w:r>
      </w:del>
    </w:p>
    <w:p w14:paraId="7662A863" w14:textId="73817D31" w:rsidR="004462A0" w:rsidRPr="008912CF" w:rsidRDefault="00615769" w:rsidP="004462A0">
      <w:pPr>
        <w:numPr>
          <w:ilvl w:val="0"/>
          <w:numId w:val="69"/>
        </w:numPr>
        <w:tabs>
          <w:tab w:val="clear" w:pos="0"/>
        </w:tabs>
        <w:ind w:left="568" w:hanging="568"/>
        <w:rPr>
          <w:del w:id="14911" w:author="AbbVie2" w:date="2025-05-14T10:24:00Z"/>
          <w:sz w:val="22"/>
          <w:szCs w:val="22"/>
        </w:rPr>
      </w:pPr>
      <w:del w:id="14912" w:author="AbbVie2" w:date="2025-05-14T10:24:00Z">
        <w:r w:rsidRPr="008912CF">
          <w:rPr>
            <w:sz w:val="22"/>
            <w:szCs w:val="22"/>
          </w:rPr>
          <w:delText>nível de açúcar aumentado no sangue;</w:delText>
        </w:r>
      </w:del>
    </w:p>
    <w:p w14:paraId="41E2CEA8" w14:textId="0016BBE9" w:rsidR="004462A0" w:rsidRPr="008912CF" w:rsidRDefault="00615769" w:rsidP="004462A0">
      <w:pPr>
        <w:numPr>
          <w:ilvl w:val="0"/>
          <w:numId w:val="69"/>
        </w:numPr>
        <w:tabs>
          <w:tab w:val="clear" w:pos="0"/>
        </w:tabs>
        <w:ind w:left="568" w:hanging="568"/>
        <w:rPr>
          <w:del w:id="14913" w:author="AbbVie2" w:date="2025-05-14T10:24:00Z"/>
          <w:sz w:val="22"/>
          <w:szCs w:val="22"/>
        </w:rPr>
      </w:pPr>
      <w:del w:id="14914" w:author="AbbVie2" w:date="2025-05-14T10:24:00Z">
        <w:r w:rsidRPr="008912CF">
          <w:rPr>
            <w:sz w:val="22"/>
            <w:szCs w:val="22"/>
          </w:rPr>
          <w:delText>valores aumentados de dehidrogenase láctica no sangue;</w:delText>
        </w:r>
      </w:del>
    </w:p>
    <w:p w14:paraId="351EE410" w14:textId="3F7542AD" w:rsidR="009B0E0D" w:rsidRDefault="00615769" w:rsidP="004462A0">
      <w:pPr>
        <w:numPr>
          <w:ilvl w:val="0"/>
          <w:numId w:val="69"/>
        </w:numPr>
        <w:tabs>
          <w:tab w:val="clear" w:pos="0"/>
        </w:tabs>
        <w:ind w:left="568" w:hanging="568"/>
        <w:rPr>
          <w:del w:id="14915" w:author="AbbVie2" w:date="2025-05-14T10:24:00Z"/>
          <w:sz w:val="22"/>
          <w:szCs w:val="22"/>
        </w:rPr>
      </w:pPr>
      <w:del w:id="14916" w:author="AbbVie2" w:date="2025-05-14T10:24:00Z">
        <w:r w:rsidRPr="008912CF">
          <w:rPr>
            <w:sz w:val="22"/>
            <w:szCs w:val="22"/>
          </w:rPr>
          <w:delText>presença de autoanticorpos no sangue</w:delText>
        </w:r>
        <w:r>
          <w:rPr>
            <w:sz w:val="22"/>
            <w:szCs w:val="22"/>
          </w:rPr>
          <w:delText>;</w:delText>
        </w:r>
      </w:del>
    </w:p>
    <w:p w14:paraId="7D201C44" w14:textId="2EAA5516" w:rsidR="00595C42" w:rsidRPr="00E51FCC" w:rsidRDefault="00615769" w:rsidP="00595C42">
      <w:pPr>
        <w:numPr>
          <w:ilvl w:val="0"/>
          <w:numId w:val="69"/>
        </w:numPr>
        <w:tabs>
          <w:tab w:val="clear" w:pos="0"/>
        </w:tabs>
        <w:ind w:left="568" w:hanging="568"/>
        <w:rPr>
          <w:del w:id="14917" w:author="AbbVie2" w:date="2025-05-14T10:24:00Z"/>
          <w:sz w:val="22"/>
          <w:szCs w:val="22"/>
        </w:rPr>
      </w:pPr>
      <w:del w:id="14918" w:author="AbbVie2" w:date="2025-05-14T10:24:00Z">
        <w:r w:rsidRPr="00E51FCC">
          <w:rPr>
            <w:sz w:val="22"/>
            <w:szCs w:val="22"/>
          </w:rPr>
          <w:delText>baixo teor de potássio no sangue</w:delText>
        </w:r>
        <w:r>
          <w:rPr>
            <w:sz w:val="22"/>
            <w:szCs w:val="22"/>
          </w:rPr>
          <w:delText>.</w:delText>
        </w:r>
      </w:del>
    </w:p>
    <w:p w14:paraId="53E95077" w14:textId="578EEEC7" w:rsidR="00595C42" w:rsidRPr="008912CF" w:rsidRDefault="00595C42" w:rsidP="00595C42">
      <w:pPr>
        <w:rPr>
          <w:del w:id="14919" w:author="AbbVie2" w:date="2025-05-14T10:24:00Z"/>
          <w:sz w:val="22"/>
          <w:szCs w:val="22"/>
        </w:rPr>
      </w:pPr>
    </w:p>
    <w:p w14:paraId="38C0D77F" w14:textId="28CC6436" w:rsidR="00595C42" w:rsidRDefault="00615769" w:rsidP="00595C42">
      <w:pPr>
        <w:rPr>
          <w:del w:id="14920" w:author="AbbVie2" w:date="2025-05-14T10:24:00Z"/>
          <w:sz w:val="22"/>
          <w:szCs w:val="22"/>
        </w:rPr>
      </w:pPr>
      <w:del w:id="14921" w:author="AbbVie2" w:date="2025-05-14T10:24:00Z">
        <w:r>
          <w:rPr>
            <w:sz w:val="22"/>
            <w:szCs w:val="22"/>
          </w:rPr>
          <w:delText>Pouco frequentes (podem afetar até 1 em 100 pessoas)</w:delText>
        </w:r>
      </w:del>
    </w:p>
    <w:p w14:paraId="5917FD0D" w14:textId="442D34AC" w:rsidR="00595C42" w:rsidRDefault="00595C42" w:rsidP="00595C42">
      <w:pPr>
        <w:rPr>
          <w:del w:id="14922" w:author="AbbVie2" w:date="2025-05-14T10:24:00Z"/>
          <w:sz w:val="22"/>
          <w:szCs w:val="22"/>
        </w:rPr>
      </w:pPr>
    </w:p>
    <w:p w14:paraId="0853B45E" w14:textId="61FBD177" w:rsidR="004462A0" w:rsidRPr="008912CF" w:rsidRDefault="00615769" w:rsidP="00595C42">
      <w:pPr>
        <w:ind w:left="567" w:hanging="567"/>
        <w:rPr>
          <w:del w:id="14923" w:author="AbbVie2" w:date="2025-05-14T10:24:00Z"/>
          <w:sz w:val="22"/>
          <w:szCs w:val="22"/>
        </w:rPr>
      </w:pPr>
      <w:del w:id="14924" w:author="AbbVie2" w:date="2025-05-14T10:24:00Z">
        <w:r w:rsidRPr="007D3C14">
          <w:rPr>
            <w:sz w:val="22"/>
            <w:szCs w:val="22"/>
          </w:rPr>
          <w:delText>•</w:delText>
        </w:r>
        <w:r w:rsidRPr="007D3C14">
          <w:rPr>
            <w:sz w:val="22"/>
            <w:szCs w:val="22"/>
          </w:rPr>
          <w:tab/>
        </w:r>
        <w:r>
          <w:rPr>
            <w:sz w:val="22"/>
            <w:szCs w:val="22"/>
          </w:rPr>
          <w:delText>aumento de bilirrubina (análises de sangue ao fígado).</w:delText>
        </w:r>
      </w:del>
    </w:p>
    <w:p w14:paraId="0E3B290F" w14:textId="149FA391" w:rsidR="004462A0" w:rsidRPr="008912CF" w:rsidRDefault="004462A0" w:rsidP="004462A0">
      <w:pPr>
        <w:rPr>
          <w:del w:id="14925" w:author="AbbVie2" w:date="2025-05-14T10:24:00Z"/>
          <w:sz w:val="22"/>
          <w:szCs w:val="22"/>
        </w:rPr>
      </w:pPr>
    </w:p>
    <w:p w14:paraId="0EA2CCB0" w14:textId="33DEAC3B" w:rsidR="004462A0" w:rsidRPr="008912CF" w:rsidRDefault="00615769" w:rsidP="004462A0">
      <w:pPr>
        <w:rPr>
          <w:del w:id="14926" w:author="AbbVie2" w:date="2025-05-14T10:24:00Z"/>
          <w:sz w:val="22"/>
          <w:szCs w:val="22"/>
        </w:rPr>
      </w:pPr>
      <w:del w:id="14927" w:author="AbbVie2" w:date="2025-05-14T10:24:00Z">
        <w:r w:rsidRPr="008912CF">
          <w:rPr>
            <w:sz w:val="22"/>
            <w:szCs w:val="22"/>
          </w:rPr>
          <w:delText>Raros (podem afetar até 1 em 1.000 pessoas)</w:delText>
        </w:r>
      </w:del>
    </w:p>
    <w:p w14:paraId="1693442C" w14:textId="0082184C" w:rsidR="004462A0" w:rsidRPr="008912CF" w:rsidRDefault="004462A0" w:rsidP="004462A0">
      <w:pPr>
        <w:rPr>
          <w:del w:id="14928" w:author="AbbVie2" w:date="2025-05-14T10:24:00Z"/>
          <w:sz w:val="22"/>
          <w:szCs w:val="22"/>
        </w:rPr>
      </w:pPr>
    </w:p>
    <w:p w14:paraId="2AAB035C" w14:textId="5FACF573" w:rsidR="004462A0" w:rsidRPr="008912CF" w:rsidRDefault="00615769" w:rsidP="004462A0">
      <w:pPr>
        <w:numPr>
          <w:ilvl w:val="0"/>
          <w:numId w:val="69"/>
        </w:numPr>
        <w:tabs>
          <w:tab w:val="clear" w:pos="0"/>
        </w:tabs>
        <w:ind w:left="568" w:hanging="568"/>
        <w:rPr>
          <w:del w:id="14929" w:author="AbbVie2" w:date="2025-05-14T10:24:00Z"/>
          <w:sz w:val="22"/>
          <w:szCs w:val="22"/>
        </w:rPr>
      </w:pPr>
      <w:del w:id="14930" w:author="AbbVie2" w:date="2025-05-14T10:24:00Z">
        <w:r w:rsidRPr="008912CF">
          <w:rPr>
            <w:sz w:val="22"/>
            <w:szCs w:val="22"/>
          </w:rPr>
          <w:delText>contagem diminuída de glóbulos brancos, glóbulos vermelhos e plaquetas.</w:delText>
        </w:r>
      </w:del>
    </w:p>
    <w:p w14:paraId="7DAC9CD0" w14:textId="095120B3" w:rsidR="004462A0" w:rsidRPr="008912CF" w:rsidRDefault="004462A0" w:rsidP="004462A0">
      <w:pPr>
        <w:rPr>
          <w:del w:id="14931" w:author="AbbVie2" w:date="2025-05-14T10:24:00Z"/>
          <w:sz w:val="23"/>
          <w:szCs w:val="23"/>
          <w:lang w:eastAsia="pt-PT"/>
        </w:rPr>
      </w:pPr>
    </w:p>
    <w:p w14:paraId="6208C0D6" w14:textId="083C56B9" w:rsidR="004462A0" w:rsidRPr="00636825" w:rsidRDefault="00615769" w:rsidP="004462A0">
      <w:pPr>
        <w:rPr>
          <w:del w:id="14932" w:author="AbbVie2" w:date="2025-05-14T10:24:00Z"/>
          <w:b/>
          <w:sz w:val="22"/>
          <w:szCs w:val="22"/>
        </w:rPr>
      </w:pPr>
      <w:del w:id="14933" w:author="AbbVie2" w:date="2025-05-14T10:24:00Z">
        <w:r w:rsidRPr="00636825">
          <w:rPr>
            <w:b/>
            <w:sz w:val="22"/>
            <w:szCs w:val="22"/>
          </w:rPr>
          <w:delText xml:space="preserve">Comunicação de efeitos </w:delText>
        </w:r>
        <w:r w:rsidR="00571C82">
          <w:rPr>
            <w:b/>
            <w:sz w:val="22"/>
            <w:szCs w:val="22"/>
          </w:rPr>
          <w:delText>indesejáveis</w:delText>
        </w:r>
        <w:r w:rsidRPr="00636825">
          <w:rPr>
            <w:b/>
            <w:sz w:val="22"/>
            <w:szCs w:val="22"/>
          </w:rPr>
          <w:delText xml:space="preserve"> </w:delText>
        </w:r>
      </w:del>
    </w:p>
    <w:p w14:paraId="04DAB387" w14:textId="67E48EE4" w:rsidR="004462A0" w:rsidRPr="008912CF" w:rsidRDefault="00615769" w:rsidP="00636825">
      <w:pPr>
        <w:ind w:right="-2"/>
        <w:rPr>
          <w:del w:id="14934" w:author="AbbVie2" w:date="2025-05-14T10:24:00Z"/>
          <w:sz w:val="22"/>
          <w:szCs w:val="22"/>
        </w:rPr>
      </w:pPr>
      <w:del w:id="14935" w:author="AbbVie2" w:date="2025-05-14T10:24:00Z">
        <w:r w:rsidRPr="008912CF">
          <w:rPr>
            <w:sz w:val="22"/>
            <w:szCs w:val="22"/>
          </w:rPr>
          <w:delText xml:space="preserve">Se tiver quaisquer efeitos </w:delText>
        </w:r>
        <w:r w:rsidR="00571C82">
          <w:rPr>
            <w:sz w:val="22"/>
            <w:szCs w:val="22"/>
          </w:rPr>
          <w:delText>indesejáveis</w:delText>
        </w:r>
        <w:r w:rsidRPr="008912CF">
          <w:rPr>
            <w:sz w:val="22"/>
            <w:szCs w:val="22"/>
          </w:rPr>
          <w:delText xml:space="preserve">, incluindo possíveis efeitos </w:delText>
        </w:r>
        <w:r w:rsidR="00571C82">
          <w:rPr>
            <w:sz w:val="22"/>
            <w:szCs w:val="22"/>
          </w:rPr>
          <w:delText>indesejáveis</w:delText>
        </w:r>
        <w:r w:rsidRPr="008912CF">
          <w:rPr>
            <w:sz w:val="22"/>
            <w:szCs w:val="22"/>
          </w:rPr>
          <w:delText xml:space="preserve"> não indicados neste folheto, fale com o seu médico ou farmacêutico.</w:delText>
        </w:r>
        <w:r w:rsidR="00B52A5B">
          <w:rPr>
            <w:sz w:val="22"/>
            <w:szCs w:val="22"/>
          </w:rPr>
          <w:delText xml:space="preserve"> </w:delText>
        </w:r>
        <w:r w:rsidRPr="008912CF">
          <w:rPr>
            <w:sz w:val="22"/>
            <w:szCs w:val="22"/>
          </w:rPr>
          <w:delText xml:space="preserve">Também poderá comunicar efeitos </w:delText>
        </w:r>
        <w:r w:rsidR="00571C82">
          <w:rPr>
            <w:sz w:val="22"/>
            <w:szCs w:val="22"/>
          </w:rPr>
          <w:delText>indesejáveis</w:delText>
        </w:r>
        <w:r w:rsidRPr="008912CF">
          <w:rPr>
            <w:sz w:val="22"/>
            <w:szCs w:val="22"/>
          </w:rPr>
          <w:delText xml:space="preserve"> diretamente através </w:delText>
        </w:r>
        <w:r w:rsidRPr="008912CF">
          <w:rPr>
            <w:sz w:val="22"/>
            <w:szCs w:val="22"/>
            <w:highlight w:val="lightGray"/>
          </w:rPr>
          <w:delText xml:space="preserve">do sistema nacional de notificação mencionado no </w:delText>
        </w:r>
        <w:r>
          <w:fldChar w:fldCharType="begin"/>
        </w:r>
        <w:r>
          <w:delInstrText>HYPERLINK "http://www.ema.europa.eu/docs/en_GB/document_library/Template_or_form/2013/03/WC500139752.doc"</w:delInstrText>
        </w:r>
        <w:r>
          <w:fldChar w:fldCharType="separate"/>
        </w:r>
        <w:r w:rsidRPr="008912CF">
          <w:rPr>
            <w:rStyle w:val="Hyperlink"/>
            <w:sz w:val="22"/>
            <w:szCs w:val="22"/>
            <w:highlight w:val="lightGray"/>
          </w:rPr>
          <w:delText>Apêndice V</w:delText>
        </w:r>
        <w:r>
          <w:fldChar w:fldCharType="end"/>
        </w:r>
        <w:r w:rsidRPr="008912CF">
          <w:rPr>
            <w:sz w:val="22"/>
            <w:szCs w:val="22"/>
          </w:rPr>
          <w:delText xml:space="preserve">. Ao comunicar efeitos </w:delText>
        </w:r>
        <w:r w:rsidR="00571C82">
          <w:rPr>
            <w:sz w:val="22"/>
            <w:szCs w:val="22"/>
          </w:rPr>
          <w:delText>indesejáveis</w:delText>
        </w:r>
        <w:r w:rsidRPr="008912CF">
          <w:rPr>
            <w:sz w:val="22"/>
            <w:szCs w:val="22"/>
          </w:rPr>
          <w:delText>, estará a ajudar a fornecer mais informações sobre a segurança deste medicamento.</w:delText>
        </w:r>
      </w:del>
    </w:p>
    <w:p w14:paraId="5525F717" w14:textId="464AB604" w:rsidR="004462A0" w:rsidRPr="008912CF" w:rsidRDefault="004462A0" w:rsidP="004462A0">
      <w:pPr>
        <w:ind w:right="-2"/>
        <w:rPr>
          <w:del w:id="14936" w:author="AbbVie2" w:date="2025-05-14T10:24:00Z"/>
          <w:sz w:val="22"/>
          <w:szCs w:val="22"/>
        </w:rPr>
      </w:pPr>
    </w:p>
    <w:p w14:paraId="2C851E46" w14:textId="3B359497" w:rsidR="004462A0" w:rsidRPr="008912CF" w:rsidRDefault="004462A0" w:rsidP="004462A0">
      <w:pPr>
        <w:ind w:right="-2"/>
        <w:rPr>
          <w:del w:id="14937" w:author="AbbVie2" w:date="2025-05-14T10:24:00Z"/>
          <w:sz w:val="22"/>
          <w:szCs w:val="22"/>
        </w:rPr>
      </w:pPr>
    </w:p>
    <w:p w14:paraId="09E73302" w14:textId="313732F3" w:rsidR="004462A0" w:rsidRPr="008912CF" w:rsidRDefault="00615769" w:rsidP="004462A0">
      <w:pPr>
        <w:ind w:left="567" w:hanging="567"/>
        <w:rPr>
          <w:del w:id="14938" w:author="AbbVie2" w:date="2025-05-14T10:24:00Z"/>
          <w:sz w:val="22"/>
          <w:szCs w:val="22"/>
        </w:rPr>
      </w:pPr>
      <w:del w:id="14939" w:author="AbbVie2" w:date="2025-05-14T10:24:00Z">
        <w:r w:rsidRPr="008912CF">
          <w:rPr>
            <w:b/>
            <w:sz w:val="22"/>
            <w:szCs w:val="22"/>
          </w:rPr>
          <w:delText>5.</w:delText>
        </w:r>
        <w:r w:rsidRPr="008912CF">
          <w:rPr>
            <w:b/>
            <w:sz w:val="22"/>
            <w:szCs w:val="22"/>
          </w:rPr>
          <w:tab/>
          <w:delText>Como conservar Humira</w:delText>
        </w:r>
      </w:del>
    </w:p>
    <w:p w14:paraId="059C8376" w14:textId="2DAA72FD" w:rsidR="004462A0" w:rsidRPr="008912CF" w:rsidRDefault="004462A0" w:rsidP="004462A0">
      <w:pPr>
        <w:ind w:right="-2"/>
        <w:rPr>
          <w:del w:id="14940" w:author="AbbVie2" w:date="2025-05-14T10:24:00Z"/>
          <w:sz w:val="22"/>
          <w:szCs w:val="22"/>
        </w:rPr>
      </w:pPr>
    </w:p>
    <w:p w14:paraId="606BEE07" w14:textId="42340B52" w:rsidR="004462A0" w:rsidRPr="008912CF" w:rsidRDefault="00615769" w:rsidP="004462A0">
      <w:pPr>
        <w:ind w:right="-2"/>
        <w:rPr>
          <w:del w:id="14941" w:author="AbbVie2" w:date="2025-05-14T10:24:00Z"/>
          <w:sz w:val="22"/>
          <w:szCs w:val="22"/>
        </w:rPr>
      </w:pPr>
      <w:del w:id="14942" w:author="AbbVie2" w:date="2025-05-14T10:24:00Z">
        <w:r w:rsidRPr="008912CF">
          <w:rPr>
            <w:sz w:val="22"/>
            <w:szCs w:val="22"/>
          </w:rPr>
          <w:delText xml:space="preserve">Manter este medicamento fora da vista e do alcance das crianças. </w:delText>
        </w:r>
      </w:del>
    </w:p>
    <w:p w14:paraId="27976A2C" w14:textId="61A32F84" w:rsidR="004462A0" w:rsidRPr="008912CF" w:rsidRDefault="004462A0" w:rsidP="004462A0">
      <w:pPr>
        <w:ind w:right="-2"/>
        <w:rPr>
          <w:del w:id="14943" w:author="AbbVie2" w:date="2025-05-14T10:24:00Z"/>
          <w:sz w:val="22"/>
          <w:szCs w:val="22"/>
        </w:rPr>
      </w:pPr>
    </w:p>
    <w:p w14:paraId="76D0D579" w14:textId="2A230E9C" w:rsidR="004462A0" w:rsidRPr="008912CF" w:rsidRDefault="00615769" w:rsidP="004462A0">
      <w:pPr>
        <w:ind w:right="-2"/>
        <w:rPr>
          <w:del w:id="14944" w:author="AbbVie2" w:date="2025-05-14T10:24:00Z"/>
          <w:sz w:val="22"/>
          <w:szCs w:val="22"/>
        </w:rPr>
      </w:pPr>
      <w:del w:id="14945" w:author="AbbVie2" w:date="2025-05-14T10:24:00Z">
        <w:r w:rsidRPr="008912CF">
          <w:rPr>
            <w:sz w:val="22"/>
            <w:szCs w:val="22"/>
          </w:rPr>
          <w:delText>Não utilize este medicamento após o prazo de validade impresso no rótulo/bli</w:delText>
        </w:r>
        <w:r w:rsidR="0023344C">
          <w:rPr>
            <w:sz w:val="22"/>
            <w:szCs w:val="22"/>
          </w:rPr>
          <w:delText>ster/embalagem, após EXP</w:delText>
        </w:r>
        <w:r w:rsidRPr="008912CF">
          <w:rPr>
            <w:sz w:val="22"/>
            <w:szCs w:val="22"/>
          </w:rPr>
          <w:delText xml:space="preserve">. </w:delText>
        </w:r>
      </w:del>
    </w:p>
    <w:p w14:paraId="449A8BB4" w14:textId="1DF44AF8" w:rsidR="004462A0" w:rsidRPr="008912CF" w:rsidRDefault="004462A0" w:rsidP="004462A0">
      <w:pPr>
        <w:ind w:right="-2"/>
        <w:rPr>
          <w:del w:id="14946" w:author="AbbVie2" w:date="2025-05-14T10:24:00Z"/>
          <w:sz w:val="22"/>
          <w:szCs w:val="22"/>
        </w:rPr>
      </w:pPr>
    </w:p>
    <w:p w14:paraId="77EE3EE5" w14:textId="1BE557A8" w:rsidR="004462A0" w:rsidRPr="008912CF" w:rsidRDefault="00615769" w:rsidP="004462A0">
      <w:pPr>
        <w:ind w:right="-2"/>
        <w:rPr>
          <w:del w:id="14947" w:author="AbbVie2" w:date="2025-05-14T10:24:00Z"/>
          <w:sz w:val="22"/>
          <w:szCs w:val="22"/>
        </w:rPr>
      </w:pPr>
      <w:del w:id="14948" w:author="AbbVie2" w:date="2025-05-14T10:24:00Z">
        <w:r w:rsidRPr="008912CF">
          <w:rPr>
            <w:sz w:val="22"/>
            <w:szCs w:val="22"/>
          </w:rPr>
          <w:delText xml:space="preserve">Conservar no frigorífico </w:delText>
        </w:r>
        <w:r w:rsidR="00184BF5">
          <w:rPr>
            <w:sz w:val="22"/>
            <w:szCs w:val="22"/>
          </w:rPr>
          <w:delText>(2º</w:delText>
        </w:r>
        <w:r w:rsidR="00AA2EEA">
          <w:rPr>
            <w:sz w:val="22"/>
            <w:szCs w:val="22"/>
          </w:rPr>
          <w:delText xml:space="preserve"> </w:delText>
        </w:r>
        <w:r w:rsidR="00184BF5" w:rsidRPr="008912CF">
          <w:rPr>
            <w:sz w:val="22"/>
            <w:szCs w:val="22"/>
          </w:rPr>
          <w:delText>C</w:delText>
        </w:r>
        <w:r w:rsidR="00184BF5">
          <w:rPr>
            <w:sz w:val="22"/>
            <w:szCs w:val="22"/>
          </w:rPr>
          <w:delText xml:space="preserve"> – </w:delText>
        </w:r>
        <w:r w:rsidR="00184BF5" w:rsidRPr="008912CF">
          <w:rPr>
            <w:sz w:val="22"/>
            <w:szCs w:val="22"/>
          </w:rPr>
          <w:delText>8</w:delText>
        </w:r>
        <w:r w:rsidR="00184BF5">
          <w:rPr>
            <w:sz w:val="22"/>
            <w:szCs w:val="22"/>
          </w:rPr>
          <w:delText>º</w:delText>
        </w:r>
        <w:r w:rsidR="00AA2EEA">
          <w:rPr>
            <w:sz w:val="22"/>
            <w:szCs w:val="22"/>
          </w:rPr>
          <w:delText xml:space="preserve"> </w:delText>
        </w:r>
        <w:r w:rsidR="00184BF5" w:rsidRPr="008912CF">
          <w:rPr>
            <w:sz w:val="22"/>
            <w:szCs w:val="22"/>
          </w:rPr>
          <w:delText>C)</w:delText>
        </w:r>
        <w:r w:rsidRPr="008912CF">
          <w:rPr>
            <w:sz w:val="22"/>
            <w:szCs w:val="22"/>
          </w:rPr>
          <w:delText>. Não congelar.</w:delText>
        </w:r>
      </w:del>
    </w:p>
    <w:p w14:paraId="09EFD47A" w14:textId="48607E34" w:rsidR="004462A0" w:rsidRPr="008912CF" w:rsidRDefault="004462A0" w:rsidP="004462A0">
      <w:pPr>
        <w:ind w:right="-2"/>
        <w:rPr>
          <w:del w:id="14949" w:author="AbbVie2" w:date="2025-05-14T10:24:00Z"/>
          <w:sz w:val="22"/>
          <w:szCs w:val="22"/>
        </w:rPr>
      </w:pPr>
    </w:p>
    <w:p w14:paraId="50B6F468" w14:textId="7B6E7C6F" w:rsidR="004462A0" w:rsidRPr="008912CF" w:rsidRDefault="00615769" w:rsidP="004462A0">
      <w:pPr>
        <w:ind w:right="-2"/>
        <w:rPr>
          <w:del w:id="14950" w:author="AbbVie2" w:date="2025-05-14T10:24:00Z"/>
          <w:sz w:val="22"/>
          <w:szCs w:val="22"/>
        </w:rPr>
      </w:pPr>
      <w:del w:id="14951" w:author="AbbVie2" w:date="2025-05-14T10:24:00Z">
        <w:r w:rsidRPr="008912CF">
          <w:rPr>
            <w:sz w:val="22"/>
            <w:szCs w:val="22"/>
          </w:rPr>
          <w:delText>Manter as seringas pré-cheias na embalagem exterior para proteger da luz.</w:delText>
        </w:r>
      </w:del>
    </w:p>
    <w:p w14:paraId="15CB1A71" w14:textId="58A8BB1D" w:rsidR="004462A0" w:rsidRPr="008912CF" w:rsidRDefault="004462A0" w:rsidP="004462A0">
      <w:pPr>
        <w:ind w:right="-2"/>
        <w:rPr>
          <w:del w:id="14952" w:author="AbbVie2" w:date="2025-05-14T10:24:00Z"/>
          <w:sz w:val="22"/>
          <w:szCs w:val="22"/>
        </w:rPr>
      </w:pPr>
    </w:p>
    <w:p w14:paraId="2BC220AB" w14:textId="33109D60" w:rsidR="004462A0" w:rsidRPr="008912CF" w:rsidRDefault="00615769" w:rsidP="004462A0">
      <w:pPr>
        <w:ind w:right="-2"/>
        <w:rPr>
          <w:del w:id="14953" w:author="AbbVie2" w:date="2025-05-14T10:24:00Z"/>
          <w:sz w:val="22"/>
          <w:szCs w:val="22"/>
        </w:rPr>
      </w:pPr>
      <w:del w:id="14954" w:author="AbbVie2" w:date="2025-05-14T10:24:00Z">
        <w:r w:rsidRPr="008912CF">
          <w:rPr>
            <w:sz w:val="22"/>
            <w:szCs w:val="22"/>
          </w:rPr>
          <w:delText>Conservação Alternativa:</w:delText>
        </w:r>
      </w:del>
    </w:p>
    <w:p w14:paraId="516BFBC3" w14:textId="1F722832" w:rsidR="004462A0" w:rsidRPr="008912CF" w:rsidRDefault="004462A0" w:rsidP="004462A0">
      <w:pPr>
        <w:rPr>
          <w:del w:id="14955" w:author="AbbVie2" w:date="2025-05-14T10:24:00Z"/>
          <w:rStyle w:val="hpsatn"/>
          <w:color w:val="333333"/>
          <w:sz w:val="22"/>
          <w:szCs w:val="22"/>
        </w:rPr>
      </w:pPr>
    </w:p>
    <w:p w14:paraId="36A65829" w14:textId="0F0F5832" w:rsidR="004462A0" w:rsidRPr="008912CF" w:rsidRDefault="00615769" w:rsidP="004462A0">
      <w:pPr>
        <w:rPr>
          <w:del w:id="14956" w:author="AbbVie2" w:date="2025-05-14T10:24:00Z"/>
          <w:rStyle w:val="hps"/>
          <w:sz w:val="22"/>
          <w:szCs w:val="22"/>
        </w:rPr>
      </w:pPr>
      <w:del w:id="14957" w:author="AbbVie2" w:date="2025-05-14T10:24:00Z">
        <w:r w:rsidRPr="008912CF">
          <w:rPr>
            <w:rStyle w:val="hpsatn"/>
            <w:sz w:val="22"/>
            <w:szCs w:val="22"/>
          </w:rPr>
          <w:delText>Quando necessário (</w:delText>
        </w:r>
        <w:r w:rsidRPr="008912CF">
          <w:rPr>
            <w:sz w:val="22"/>
            <w:szCs w:val="22"/>
          </w:rPr>
          <w:delText xml:space="preserve">por exemplo, quando </w:delText>
        </w:r>
        <w:r w:rsidRPr="008912CF">
          <w:rPr>
            <w:rStyle w:val="hps"/>
            <w:sz w:val="22"/>
            <w:szCs w:val="22"/>
          </w:rPr>
          <w:delText>está a viajar</w:delText>
        </w:r>
        <w:r w:rsidRPr="008912CF">
          <w:rPr>
            <w:sz w:val="22"/>
            <w:szCs w:val="22"/>
          </w:rPr>
          <w:delText xml:space="preserve">), uma </w:delText>
        </w:r>
        <w:r w:rsidRPr="008912CF">
          <w:rPr>
            <w:rStyle w:val="hps"/>
            <w:sz w:val="22"/>
            <w:szCs w:val="22"/>
          </w:rPr>
          <w:delText>seringa pré-cheia</w:delText>
        </w:r>
        <w:r w:rsidRPr="008912CF">
          <w:rPr>
            <w:sz w:val="22"/>
            <w:szCs w:val="22"/>
          </w:rPr>
          <w:delText xml:space="preserve"> de </w:delText>
        </w:r>
        <w:r w:rsidRPr="008912CF">
          <w:rPr>
            <w:rStyle w:val="hps"/>
            <w:sz w:val="22"/>
            <w:szCs w:val="22"/>
          </w:rPr>
          <w:delText>Humira, pode ser</w:delText>
        </w:r>
        <w:r w:rsidRPr="008912CF">
          <w:rPr>
            <w:sz w:val="22"/>
            <w:szCs w:val="22"/>
          </w:rPr>
          <w:delText xml:space="preserve"> conservada</w:delText>
        </w:r>
        <w:r w:rsidRPr="008912CF">
          <w:rPr>
            <w:rStyle w:val="hps"/>
            <w:sz w:val="22"/>
            <w:szCs w:val="22"/>
          </w:rPr>
          <w:delText xml:space="preserve"> até um período</w:delText>
        </w:r>
        <w:r w:rsidRPr="008912CF">
          <w:rPr>
            <w:sz w:val="22"/>
            <w:szCs w:val="22"/>
          </w:rPr>
          <w:delText xml:space="preserve"> </w:delText>
        </w:r>
        <w:r w:rsidRPr="008912CF">
          <w:rPr>
            <w:rStyle w:val="hps"/>
            <w:sz w:val="22"/>
            <w:szCs w:val="22"/>
          </w:rPr>
          <w:delText>máximo de 14 dias</w:delText>
        </w:r>
        <w:r w:rsidRPr="008912CF">
          <w:rPr>
            <w:sz w:val="22"/>
            <w:szCs w:val="22"/>
          </w:rPr>
          <w:delText xml:space="preserve"> </w:delText>
        </w:r>
        <w:r w:rsidRPr="008912CF">
          <w:rPr>
            <w:rStyle w:val="hps"/>
            <w:sz w:val="22"/>
            <w:szCs w:val="22"/>
          </w:rPr>
          <w:delText>à temperatura ambiente</w:delText>
        </w:r>
        <w:r w:rsidRPr="008912CF">
          <w:rPr>
            <w:sz w:val="22"/>
            <w:szCs w:val="22"/>
          </w:rPr>
          <w:delText xml:space="preserve"> </w:delText>
        </w:r>
        <w:r w:rsidRPr="008912CF">
          <w:rPr>
            <w:rStyle w:val="hps"/>
            <w:sz w:val="22"/>
            <w:szCs w:val="22"/>
          </w:rPr>
          <w:delText>(até 25</w:delText>
        </w:r>
        <w:r w:rsidRPr="008912CF">
          <w:rPr>
            <w:sz w:val="22"/>
            <w:szCs w:val="22"/>
          </w:rPr>
          <w:delText xml:space="preserve"> </w:delText>
        </w:r>
        <w:r w:rsidRPr="008912CF">
          <w:rPr>
            <w:rStyle w:val="hps"/>
            <w:sz w:val="22"/>
            <w:szCs w:val="22"/>
          </w:rPr>
          <w:delText>°C)</w:delText>
        </w:r>
        <w:r w:rsidRPr="008912CF">
          <w:rPr>
            <w:sz w:val="22"/>
            <w:szCs w:val="22"/>
          </w:rPr>
          <w:delText xml:space="preserve"> </w:delText>
        </w:r>
        <w:r w:rsidRPr="008912CF">
          <w:rPr>
            <w:rStyle w:val="hps"/>
            <w:sz w:val="22"/>
            <w:szCs w:val="22"/>
          </w:rPr>
          <w:delText>-</w:delText>
        </w:r>
        <w:r w:rsidRPr="008912CF">
          <w:rPr>
            <w:sz w:val="22"/>
            <w:szCs w:val="22"/>
          </w:rPr>
          <w:delText xml:space="preserve"> </w:delText>
        </w:r>
        <w:r w:rsidRPr="008912CF">
          <w:rPr>
            <w:rStyle w:val="hps"/>
            <w:sz w:val="22"/>
            <w:szCs w:val="22"/>
          </w:rPr>
          <w:delText>ter a certeza que</w:delText>
        </w:r>
        <w:r w:rsidRPr="008912CF">
          <w:rPr>
            <w:sz w:val="22"/>
            <w:szCs w:val="22"/>
          </w:rPr>
          <w:delText xml:space="preserve"> a</w:delText>
        </w:r>
        <w:r w:rsidRPr="008912CF">
          <w:rPr>
            <w:rStyle w:val="hps"/>
            <w:sz w:val="22"/>
            <w:szCs w:val="22"/>
          </w:rPr>
          <w:delText xml:space="preserve"> protege da luz</w:delText>
        </w:r>
        <w:r w:rsidRPr="008912CF">
          <w:rPr>
            <w:sz w:val="22"/>
            <w:szCs w:val="22"/>
          </w:rPr>
          <w:delText xml:space="preserve">. </w:delText>
        </w:r>
        <w:r w:rsidRPr="008912CF">
          <w:rPr>
            <w:rStyle w:val="hps"/>
            <w:sz w:val="22"/>
            <w:szCs w:val="22"/>
          </w:rPr>
          <w:delText>Uma vez</w:delText>
        </w:r>
        <w:r w:rsidRPr="008912CF">
          <w:rPr>
            <w:sz w:val="22"/>
            <w:szCs w:val="22"/>
          </w:rPr>
          <w:delText xml:space="preserve"> </w:delText>
        </w:r>
        <w:r w:rsidRPr="008912CF">
          <w:rPr>
            <w:rStyle w:val="hps"/>
            <w:sz w:val="22"/>
            <w:szCs w:val="22"/>
          </w:rPr>
          <w:delText>retirada do</w:delText>
        </w:r>
        <w:r w:rsidRPr="008912CF">
          <w:rPr>
            <w:sz w:val="22"/>
            <w:szCs w:val="22"/>
          </w:rPr>
          <w:delText xml:space="preserve"> </w:delText>
        </w:r>
        <w:r w:rsidRPr="008912CF">
          <w:rPr>
            <w:rStyle w:val="hps"/>
            <w:sz w:val="22"/>
            <w:szCs w:val="22"/>
          </w:rPr>
          <w:delText>frigorífico</w:delText>
        </w:r>
        <w:r w:rsidRPr="008912CF">
          <w:rPr>
            <w:sz w:val="22"/>
            <w:szCs w:val="22"/>
          </w:rPr>
          <w:delText xml:space="preserve"> </w:delText>
        </w:r>
        <w:r w:rsidRPr="008912CF">
          <w:rPr>
            <w:rStyle w:val="hps"/>
            <w:sz w:val="22"/>
            <w:szCs w:val="22"/>
          </w:rPr>
          <w:delText>para a temperatura ambiente</w:delText>
        </w:r>
        <w:r w:rsidRPr="008912CF">
          <w:rPr>
            <w:sz w:val="22"/>
            <w:szCs w:val="22"/>
          </w:rPr>
          <w:delText xml:space="preserve">, a seringa </w:delText>
        </w:r>
        <w:r w:rsidRPr="008912CF">
          <w:rPr>
            <w:rStyle w:val="hps"/>
            <w:b/>
            <w:bCs/>
            <w:sz w:val="22"/>
            <w:szCs w:val="22"/>
          </w:rPr>
          <w:delText>deve ser utilizada</w:delText>
        </w:r>
        <w:r w:rsidRPr="008912CF">
          <w:rPr>
            <w:b/>
            <w:bCs/>
            <w:sz w:val="22"/>
            <w:szCs w:val="22"/>
          </w:rPr>
          <w:delText xml:space="preserve"> </w:delText>
        </w:r>
        <w:r w:rsidRPr="008912CF">
          <w:rPr>
            <w:rStyle w:val="hps"/>
            <w:b/>
            <w:bCs/>
            <w:sz w:val="22"/>
            <w:szCs w:val="22"/>
          </w:rPr>
          <w:delText>dentro de 14 dias</w:delText>
        </w:r>
        <w:r w:rsidRPr="008912CF">
          <w:rPr>
            <w:b/>
            <w:bCs/>
            <w:sz w:val="22"/>
            <w:szCs w:val="22"/>
          </w:rPr>
          <w:delText xml:space="preserve"> </w:delText>
        </w:r>
        <w:r w:rsidRPr="008912CF">
          <w:rPr>
            <w:rStyle w:val="hps"/>
            <w:b/>
            <w:bCs/>
            <w:sz w:val="22"/>
            <w:szCs w:val="22"/>
          </w:rPr>
          <w:delText>ou eliminada</w:delText>
        </w:r>
        <w:r w:rsidRPr="008912CF">
          <w:rPr>
            <w:sz w:val="22"/>
            <w:szCs w:val="22"/>
          </w:rPr>
          <w:delText>, mesmo que a volte a colocar n</w:delText>
        </w:r>
        <w:r w:rsidRPr="008912CF">
          <w:rPr>
            <w:rStyle w:val="hps"/>
            <w:sz w:val="22"/>
            <w:szCs w:val="22"/>
          </w:rPr>
          <w:delText>o frigorífico.</w:delText>
        </w:r>
      </w:del>
    </w:p>
    <w:p w14:paraId="2690DB16" w14:textId="5AB727B1" w:rsidR="004462A0" w:rsidRPr="008912CF" w:rsidRDefault="004462A0" w:rsidP="004462A0">
      <w:pPr>
        <w:rPr>
          <w:del w:id="14958" w:author="AbbVie2" w:date="2025-05-14T10:24:00Z"/>
          <w:rStyle w:val="hps"/>
          <w:sz w:val="22"/>
          <w:szCs w:val="22"/>
        </w:rPr>
      </w:pPr>
    </w:p>
    <w:p w14:paraId="1E31ABB1" w14:textId="4738A3EF" w:rsidR="004462A0" w:rsidRPr="008912CF" w:rsidRDefault="00615769" w:rsidP="004462A0">
      <w:pPr>
        <w:ind w:right="-2"/>
        <w:rPr>
          <w:del w:id="14959" w:author="AbbVie2" w:date="2025-05-14T10:24:00Z"/>
          <w:sz w:val="22"/>
          <w:szCs w:val="22"/>
          <w:lang w:eastAsia="en-GB"/>
        </w:rPr>
      </w:pPr>
      <w:del w:id="14960" w:author="AbbVie2" w:date="2025-05-14T10:24:00Z">
        <w:r w:rsidRPr="008912CF">
          <w:rPr>
            <w:rStyle w:val="hps"/>
            <w:sz w:val="22"/>
            <w:szCs w:val="22"/>
          </w:rPr>
          <w:delText>Deve registar a data em que</w:delText>
        </w:r>
        <w:r w:rsidRPr="008912CF">
          <w:rPr>
            <w:sz w:val="22"/>
            <w:szCs w:val="22"/>
          </w:rPr>
          <w:delText xml:space="preserve"> </w:delText>
        </w:r>
        <w:r w:rsidRPr="008912CF">
          <w:rPr>
            <w:rStyle w:val="hps"/>
            <w:sz w:val="22"/>
            <w:szCs w:val="22"/>
          </w:rPr>
          <w:delText xml:space="preserve">a seringa foi inicialmente </w:delText>
        </w:r>
        <w:r w:rsidRPr="008912CF">
          <w:rPr>
            <w:sz w:val="22"/>
            <w:szCs w:val="22"/>
          </w:rPr>
          <w:delText>r</w:delText>
        </w:r>
        <w:r w:rsidRPr="008912CF">
          <w:rPr>
            <w:rStyle w:val="hps"/>
            <w:sz w:val="22"/>
            <w:szCs w:val="22"/>
          </w:rPr>
          <w:delText>etirada do frigorífico e a data em que deve ser eliminada</w:delText>
        </w:r>
        <w:r w:rsidRPr="008912CF">
          <w:rPr>
            <w:sz w:val="22"/>
            <w:szCs w:val="22"/>
            <w:lang w:eastAsia="en-GB"/>
          </w:rPr>
          <w:delText>.</w:delText>
        </w:r>
      </w:del>
    </w:p>
    <w:p w14:paraId="729470D3" w14:textId="62F5DDB1" w:rsidR="004462A0" w:rsidRPr="008912CF" w:rsidRDefault="004462A0" w:rsidP="004462A0">
      <w:pPr>
        <w:ind w:right="-2"/>
        <w:rPr>
          <w:del w:id="14961" w:author="AbbVie2" w:date="2025-05-14T10:24:00Z"/>
          <w:sz w:val="22"/>
          <w:szCs w:val="22"/>
          <w:lang w:eastAsia="en-GB"/>
        </w:rPr>
      </w:pPr>
    </w:p>
    <w:p w14:paraId="43B95274" w14:textId="73D05A01" w:rsidR="004462A0" w:rsidRPr="008912CF" w:rsidRDefault="00615769" w:rsidP="004462A0">
      <w:pPr>
        <w:ind w:right="-2"/>
        <w:rPr>
          <w:del w:id="14962" w:author="AbbVie2" w:date="2025-05-14T10:24:00Z"/>
          <w:bCs/>
          <w:sz w:val="22"/>
          <w:szCs w:val="22"/>
        </w:rPr>
      </w:pPr>
      <w:del w:id="14963" w:author="AbbVie2" w:date="2025-05-14T10:24:00Z">
        <w:r w:rsidRPr="008912CF">
          <w:rPr>
            <w:sz w:val="22"/>
            <w:szCs w:val="22"/>
          </w:rPr>
          <w:delText xml:space="preserve">Não deite fora quaisquer medicamentos na canalização ou no lixo doméstico. Pergunte ao seu </w:delText>
        </w:r>
        <w:r w:rsidR="00723763">
          <w:rPr>
            <w:sz w:val="22"/>
            <w:szCs w:val="22"/>
          </w:rPr>
          <w:delText xml:space="preserve">médico ou </w:delText>
        </w:r>
        <w:r w:rsidRPr="008912CF">
          <w:rPr>
            <w:sz w:val="22"/>
            <w:szCs w:val="22"/>
          </w:rPr>
          <w:delText xml:space="preserve">farmacêutico como deitar fora os medicamentos que já não utiliza. Estas medidas ajudarão a proteger o ambiente. </w:delText>
        </w:r>
      </w:del>
    </w:p>
    <w:p w14:paraId="379CF319" w14:textId="1B19BD38" w:rsidR="004462A0" w:rsidRPr="008912CF" w:rsidRDefault="004462A0" w:rsidP="004462A0">
      <w:pPr>
        <w:ind w:right="-2"/>
        <w:rPr>
          <w:del w:id="14964" w:author="AbbVie2" w:date="2025-05-14T10:24:00Z"/>
          <w:sz w:val="22"/>
          <w:szCs w:val="22"/>
        </w:rPr>
      </w:pPr>
    </w:p>
    <w:p w14:paraId="1B26E073" w14:textId="457CD3B4" w:rsidR="004462A0" w:rsidRPr="008912CF" w:rsidRDefault="004462A0" w:rsidP="004462A0">
      <w:pPr>
        <w:ind w:right="-2"/>
        <w:rPr>
          <w:del w:id="14965" w:author="AbbVie2" w:date="2025-05-14T10:24:00Z"/>
          <w:sz w:val="22"/>
          <w:szCs w:val="22"/>
        </w:rPr>
      </w:pPr>
    </w:p>
    <w:p w14:paraId="3D7D5180" w14:textId="03213835" w:rsidR="004462A0" w:rsidRPr="008912CF" w:rsidRDefault="00615769" w:rsidP="00040D46">
      <w:pPr>
        <w:keepNext/>
        <w:ind w:left="567" w:right="-2" w:hanging="567"/>
        <w:rPr>
          <w:del w:id="14966" w:author="AbbVie2" w:date="2025-05-14T10:24:00Z"/>
          <w:b/>
          <w:sz w:val="22"/>
          <w:szCs w:val="22"/>
        </w:rPr>
      </w:pPr>
      <w:del w:id="14967" w:author="AbbVie2" w:date="2025-05-14T10:24:00Z">
        <w:r w:rsidRPr="008912CF">
          <w:rPr>
            <w:b/>
            <w:sz w:val="22"/>
            <w:szCs w:val="22"/>
          </w:rPr>
          <w:delText>6.</w:delText>
        </w:r>
        <w:r w:rsidRPr="008912CF">
          <w:rPr>
            <w:b/>
            <w:sz w:val="22"/>
            <w:szCs w:val="22"/>
          </w:rPr>
          <w:tab/>
          <w:delText>Conteúdo da embalagem e outras informações</w:delText>
        </w:r>
      </w:del>
    </w:p>
    <w:p w14:paraId="0BAC7E69" w14:textId="2C7602CD" w:rsidR="004462A0" w:rsidRPr="008912CF" w:rsidRDefault="004462A0" w:rsidP="00040D46">
      <w:pPr>
        <w:keepNext/>
        <w:ind w:right="-2"/>
        <w:rPr>
          <w:del w:id="14968" w:author="AbbVie2" w:date="2025-05-14T10:24:00Z"/>
          <w:sz w:val="22"/>
          <w:szCs w:val="22"/>
        </w:rPr>
      </w:pPr>
    </w:p>
    <w:p w14:paraId="737A2CA0" w14:textId="74DAA2D8" w:rsidR="004462A0" w:rsidRPr="008912CF" w:rsidRDefault="00615769" w:rsidP="00040D46">
      <w:pPr>
        <w:pStyle w:val="Heading8"/>
        <w:rPr>
          <w:del w:id="14969" w:author="AbbVie2" w:date="2025-05-14T10:24:00Z"/>
          <w:szCs w:val="22"/>
        </w:rPr>
      </w:pPr>
      <w:del w:id="14970" w:author="AbbVie2" w:date="2025-05-14T10:24:00Z">
        <w:r w:rsidRPr="008912CF">
          <w:rPr>
            <w:szCs w:val="22"/>
          </w:rPr>
          <w:delText>Qual a composição de Humira</w:delText>
        </w:r>
      </w:del>
    </w:p>
    <w:p w14:paraId="310EF5F4" w14:textId="02A61BFA" w:rsidR="004462A0" w:rsidRPr="008912CF" w:rsidRDefault="004462A0" w:rsidP="004462A0">
      <w:pPr>
        <w:ind w:right="-2"/>
        <w:rPr>
          <w:del w:id="14971" w:author="AbbVie2" w:date="2025-05-14T10:24:00Z"/>
          <w:b/>
          <w:bCs/>
          <w:sz w:val="22"/>
          <w:szCs w:val="22"/>
        </w:rPr>
      </w:pPr>
    </w:p>
    <w:p w14:paraId="25FE66FC" w14:textId="4B299BCC" w:rsidR="004462A0" w:rsidRPr="008912CF" w:rsidRDefault="00615769" w:rsidP="004462A0">
      <w:pPr>
        <w:ind w:right="-2"/>
        <w:rPr>
          <w:del w:id="14972" w:author="AbbVie2" w:date="2025-05-14T10:24:00Z"/>
          <w:sz w:val="22"/>
          <w:szCs w:val="22"/>
        </w:rPr>
      </w:pPr>
      <w:del w:id="14973" w:author="AbbVie2" w:date="2025-05-14T10:24:00Z">
        <w:r w:rsidRPr="008912CF">
          <w:rPr>
            <w:sz w:val="22"/>
            <w:szCs w:val="22"/>
          </w:rPr>
          <w:delText>A substância ativa é adalimumab.</w:delText>
        </w:r>
      </w:del>
    </w:p>
    <w:p w14:paraId="2BC1A71E" w14:textId="01379F83" w:rsidR="004462A0" w:rsidRPr="00F03C54" w:rsidRDefault="00615769" w:rsidP="004462A0">
      <w:pPr>
        <w:pStyle w:val="Heading8"/>
        <w:keepNext w:val="0"/>
        <w:rPr>
          <w:del w:id="14974" w:author="AbbVie2" w:date="2025-05-14T10:24:00Z"/>
          <w:b w:val="0"/>
          <w:szCs w:val="22"/>
        </w:rPr>
      </w:pPr>
      <w:del w:id="14975" w:author="AbbVie2" w:date="2025-05-14T10:24:00Z">
        <w:r w:rsidRPr="002D31C1">
          <w:rPr>
            <w:szCs w:val="22"/>
          </w:rPr>
          <w:delText>Os outros componentes são manitol, ácido cítrico mono-hidratado, citrato de sódio, fosfato monossódico di-hidratado, fosfato dissódico di-hidratado, cloreto de sódio, polissorbato 80, hidróxido de sódio e água para preparações injetáveis.</w:delText>
        </w:r>
      </w:del>
    </w:p>
    <w:p w14:paraId="3F34EE02" w14:textId="4DEF0422" w:rsidR="002D31C1" w:rsidRDefault="002D31C1" w:rsidP="004462A0">
      <w:pPr>
        <w:pStyle w:val="Heading8"/>
        <w:keepNext w:val="0"/>
        <w:rPr>
          <w:del w:id="14976" w:author="AbbVie2" w:date="2025-05-14T10:24:00Z"/>
          <w:b w:val="0"/>
          <w:szCs w:val="22"/>
        </w:rPr>
      </w:pPr>
    </w:p>
    <w:p w14:paraId="6C9BA0D6" w14:textId="3FD803C5" w:rsidR="004462A0" w:rsidRPr="002D31C1" w:rsidRDefault="00615769" w:rsidP="004462A0">
      <w:pPr>
        <w:pStyle w:val="Heading8"/>
        <w:keepNext w:val="0"/>
        <w:rPr>
          <w:del w:id="14977" w:author="AbbVie2" w:date="2025-05-14T10:24:00Z"/>
          <w:szCs w:val="22"/>
        </w:rPr>
      </w:pPr>
      <w:del w:id="14978" w:author="AbbVie2" w:date="2025-05-14T10:24:00Z">
        <w:r w:rsidRPr="002D31C1">
          <w:rPr>
            <w:szCs w:val="22"/>
          </w:rPr>
          <w:delText>Qual o aspeto de Humira em seringa pré-cheia e conteúdo da embalagem</w:delText>
        </w:r>
      </w:del>
    </w:p>
    <w:p w14:paraId="297610FA" w14:textId="5D157235" w:rsidR="004462A0" w:rsidRPr="002D31C1" w:rsidRDefault="004462A0" w:rsidP="004462A0">
      <w:pPr>
        <w:ind w:right="-2"/>
        <w:rPr>
          <w:del w:id="14979" w:author="AbbVie2" w:date="2025-05-14T10:24:00Z"/>
          <w:sz w:val="22"/>
          <w:szCs w:val="22"/>
        </w:rPr>
      </w:pPr>
    </w:p>
    <w:p w14:paraId="31761B91" w14:textId="044A22A8" w:rsidR="004462A0" w:rsidRPr="008912CF" w:rsidRDefault="00615769" w:rsidP="004462A0">
      <w:pPr>
        <w:ind w:right="-2"/>
        <w:rPr>
          <w:del w:id="14980" w:author="AbbVie2" w:date="2025-05-14T10:24:00Z"/>
          <w:sz w:val="22"/>
          <w:szCs w:val="22"/>
        </w:rPr>
      </w:pPr>
      <w:del w:id="14981" w:author="AbbVie2" w:date="2025-05-14T10:24:00Z">
        <w:r w:rsidRPr="008912CF">
          <w:rPr>
            <w:sz w:val="22"/>
            <w:szCs w:val="22"/>
          </w:rPr>
          <w:delText>Humira 40 mg solução injetável em seringa pré-cheia é fornecido sob a forma de uma solução estéril contendo 40 mg de adalimumab dissolvido em 0,8 ml de solução.</w:delText>
        </w:r>
      </w:del>
    </w:p>
    <w:p w14:paraId="1B0C4DDD" w14:textId="2B204047" w:rsidR="004462A0" w:rsidRPr="008912CF" w:rsidRDefault="004462A0" w:rsidP="004462A0">
      <w:pPr>
        <w:ind w:right="-2"/>
        <w:rPr>
          <w:del w:id="14982" w:author="AbbVie2" w:date="2025-05-14T10:24:00Z"/>
          <w:sz w:val="22"/>
          <w:szCs w:val="22"/>
        </w:rPr>
      </w:pPr>
    </w:p>
    <w:p w14:paraId="4213D600" w14:textId="144A2AD6" w:rsidR="002D31C1" w:rsidRDefault="00615769" w:rsidP="004462A0">
      <w:pPr>
        <w:rPr>
          <w:del w:id="14983" w:author="AbbVie2" w:date="2025-05-14T10:24:00Z"/>
          <w:sz w:val="22"/>
          <w:szCs w:val="22"/>
        </w:rPr>
      </w:pPr>
      <w:del w:id="14984" w:author="AbbVie2" w:date="2025-05-14T10:24:00Z">
        <w:r w:rsidRPr="008912CF">
          <w:rPr>
            <w:sz w:val="22"/>
            <w:szCs w:val="22"/>
          </w:rPr>
          <w:delText>Humira em seringa pré-cheia é constituído por uma seringa de vidro contendo uma solução de adalimumab. Cada embalagem contém 1, 2, 4 ou 6 seringas pré-cheias para autoadministração pelo doente com</w:delText>
        </w:r>
        <w:r w:rsidR="00723763">
          <w:rPr>
            <w:sz w:val="22"/>
            <w:szCs w:val="22"/>
          </w:rPr>
          <w:delText>,</w:delText>
        </w:r>
        <w:r w:rsidRPr="008912CF">
          <w:rPr>
            <w:sz w:val="22"/>
            <w:szCs w:val="22"/>
          </w:rPr>
          <w:delText xml:space="preserve"> respetivamente</w:delText>
        </w:r>
        <w:r w:rsidR="00723763">
          <w:rPr>
            <w:sz w:val="22"/>
            <w:szCs w:val="22"/>
          </w:rPr>
          <w:delText>,</w:delText>
        </w:r>
        <w:r w:rsidRPr="008912CF">
          <w:rPr>
            <w:sz w:val="22"/>
            <w:szCs w:val="22"/>
          </w:rPr>
          <w:delText xml:space="preserve"> 1, 2, 4 ou 6 compressas embebidas em álcool.</w:delText>
        </w:r>
      </w:del>
    </w:p>
    <w:p w14:paraId="0E05991E" w14:textId="7C5A1B26" w:rsidR="002D31C1" w:rsidRDefault="002D31C1" w:rsidP="004462A0">
      <w:pPr>
        <w:rPr>
          <w:del w:id="14985" w:author="AbbVie2" w:date="2025-05-14T10:24:00Z"/>
          <w:sz w:val="22"/>
          <w:szCs w:val="22"/>
        </w:rPr>
      </w:pPr>
    </w:p>
    <w:p w14:paraId="07CFC295" w14:textId="587A51EF" w:rsidR="004462A0" w:rsidRPr="008912CF" w:rsidRDefault="00615769" w:rsidP="004462A0">
      <w:pPr>
        <w:rPr>
          <w:del w:id="14986" w:author="AbbVie2" w:date="2025-05-14T10:24:00Z"/>
          <w:sz w:val="22"/>
          <w:szCs w:val="22"/>
        </w:rPr>
      </w:pPr>
      <w:del w:id="14987" w:author="AbbVie2" w:date="2025-05-14T10:24:00Z">
        <w:r w:rsidRPr="008912CF">
          <w:rPr>
            <w:sz w:val="22"/>
            <w:szCs w:val="22"/>
          </w:rPr>
          <w:delText>É possível que não sejam comercializadas todas as apresentaçõe</w:delText>
        </w:r>
        <w:r w:rsidR="00F01603">
          <w:rPr>
            <w:sz w:val="22"/>
            <w:szCs w:val="22"/>
          </w:rPr>
          <w:delText>s.</w:delText>
        </w:r>
      </w:del>
    </w:p>
    <w:p w14:paraId="486887D3" w14:textId="67A61BB6" w:rsidR="004462A0" w:rsidRPr="008912CF" w:rsidRDefault="004462A0" w:rsidP="004462A0">
      <w:pPr>
        <w:pStyle w:val="BodyText3"/>
        <w:rPr>
          <w:del w:id="14988" w:author="AbbVie2" w:date="2025-05-14T10:24:00Z"/>
          <w:szCs w:val="22"/>
        </w:rPr>
      </w:pPr>
    </w:p>
    <w:p w14:paraId="6D2F7E3E" w14:textId="4A9A3C77" w:rsidR="004462A0" w:rsidRPr="008912CF" w:rsidRDefault="00615769" w:rsidP="004462A0">
      <w:pPr>
        <w:ind w:right="-2"/>
        <w:rPr>
          <w:del w:id="14989" w:author="AbbVie2" w:date="2025-05-14T10:24:00Z"/>
          <w:sz w:val="22"/>
          <w:szCs w:val="22"/>
        </w:rPr>
      </w:pPr>
      <w:del w:id="14990" w:author="AbbVie2" w:date="2025-05-14T10:24:00Z">
        <w:r w:rsidRPr="008912CF">
          <w:rPr>
            <w:sz w:val="22"/>
            <w:szCs w:val="22"/>
          </w:rPr>
          <w:delText xml:space="preserve">Humira </w:delText>
        </w:r>
        <w:r w:rsidR="00595C42">
          <w:rPr>
            <w:sz w:val="22"/>
            <w:szCs w:val="22"/>
          </w:rPr>
          <w:delText>pode estar</w:delText>
        </w:r>
        <w:r w:rsidRPr="008912CF">
          <w:rPr>
            <w:sz w:val="22"/>
            <w:szCs w:val="22"/>
          </w:rPr>
          <w:delText xml:space="preserve"> disponível em frasco para injetáveis, em seringa pré-cheia e</w:delText>
        </w:r>
        <w:r w:rsidR="00595C42">
          <w:rPr>
            <w:sz w:val="22"/>
            <w:szCs w:val="22"/>
          </w:rPr>
          <w:delText>/ou</w:delText>
        </w:r>
        <w:r w:rsidRPr="008912CF">
          <w:rPr>
            <w:sz w:val="22"/>
            <w:szCs w:val="22"/>
          </w:rPr>
          <w:delText xml:space="preserve"> em caneta pré-cheia.</w:delText>
        </w:r>
      </w:del>
    </w:p>
    <w:p w14:paraId="520B137F" w14:textId="1A0E7D9F" w:rsidR="004462A0" w:rsidRPr="008912CF" w:rsidRDefault="004462A0" w:rsidP="004462A0">
      <w:pPr>
        <w:ind w:right="-2"/>
        <w:rPr>
          <w:del w:id="14991" w:author="AbbVie2" w:date="2025-05-14T10:24:00Z"/>
          <w:sz w:val="22"/>
          <w:szCs w:val="22"/>
        </w:rPr>
      </w:pPr>
    </w:p>
    <w:p w14:paraId="0DF7DC76" w14:textId="4DD7884A" w:rsidR="004462A0" w:rsidRPr="008912CF" w:rsidRDefault="00615769" w:rsidP="001242C2">
      <w:pPr>
        <w:pStyle w:val="Heading8"/>
        <w:rPr>
          <w:del w:id="14992" w:author="AbbVie2" w:date="2025-05-14T10:24:00Z"/>
          <w:szCs w:val="22"/>
        </w:rPr>
      </w:pPr>
      <w:del w:id="14993" w:author="AbbVie2" w:date="2025-05-14T10:24:00Z">
        <w:r w:rsidRPr="008912CF">
          <w:rPr>
            <w:szCs w:val="22"/>
          </w:rPr>
          <w:delText xml:space="preserve">Titular da Autorização de Introdução no Mercado </w:delText>
        </w:r>
      </w:del>
    </w:p>
    <w:p w14:paraId="78D14EDD" w14:textId="609459D8" w:rsidR="004462A0" w:rsidRPr="008912CF" w:rsidRDefault="004462A0" w:rsidP="001242C2">
      <w:pPr>
        <w:keepNext/>
        <w:ind w:right="-2"/>
        <w:rPr>
          <w:del w:id="14994" w:author="AbbVie2" w:date="2025-05-14T10:24:00Z"/>
          <w:sz w:val="22"/>
          <w:szCs w:val="22"/>
        </w:rPr>
      </w:pPr>
    </w:p>
    <w:p w14:paraId="10CB76BD" w14:textId="74F5FF7C" w:rsidR="00957A69" w:rsidRPr="00140752" w:rsidRDefault="00615769" w:rsidP="001242C2">
      <w:pPr>
        <w:keepNext/>
        <w:ind w:right="-2"/>
        <w:rPr>
          <w:del w:id="14995" w:author="AbbVie2" w:date="2025-05-14T10:24:00Z"/>
          <w:sz w:val="22"/>
          <w:szCs w:val="22"/>
          <w:lang w:val="de-DE"/>
        </w:rPr>
      </w:pPr>
      <w:del w:id="14996" w:author="AbbVie2" w:date="2025-05-14T10:24:00Z">
        <w:r w:rsidRPr="00140752">
          <w:rPr>
            <w:sz w:val="22"/>
            <w:szCs w:val="22"/>
            <w:lang w:val="de-DE"/>
          </w:rPr>
          <w:delText>AbbVie Deutschland GmbH &amp; Co. KG</w:delText>
        </w:r>
      </w:del>
    </w:p>
    <w:p w14:paraId="6896ED46" w14:textId="582FCB57" w:rsidR="00957A69" w:rsidRPr="00140752" w:rsidRDefault="00615769" w:rsidP="001242C2">
      <w:pPr>
        <w:keepNext/>
        <w:ind w:right="-2"/>
        <w:rPr>
          <w:del w:id="14997" w:author="AbbVie2" w:date="2025-05-14T10:24:00Z"/>
          <w:sz w:val="22"/>
          <w:szCs w:val="22"/>
          <w:lang w:val="de-DE"/>
        </w:rPr>
      </w:pPr>
      <w:del w:id="14998" w:author="AbbVie2" w:date="2025-05-14T10:24:00Z">
        <w:r w:rsidRPr="00140752">
          <w:rPr>
            <w:sz w:val="22"/>
            <w:szCs w:val="22"/>
            <w:lang w:val="de-DE"/>
          </w:rPr>
          <w:delText>Knollstrasse</w:delText>
        </w:r>
      </w:del>
    </w:p>
    <w:p w14:paraId="0119949D" w14:textId="4B00AE85" w:rsidR="00957A69" w:rsidRPr="008D6D3A" w:rsidRDefault="00615769" w:rsidP="001242C2">
      <w:pPr>
        <w:keepNext/>
        <w:ind w:right="-2"/>
        <w:rPr>
          <w:del w:id="14999" w:author="AbbVie2" w:date="2025-05-14T10:24:00Z"/>
          <w:sz w:val="22"/>
          <w:szCs w:val="22"/>
          <w:lang w:val="de-DE"/>
        </w:rPr>
      </w:pPr>
      <w:del w:id="15000" w:author="AbbVie2" w:date="2025-05-14T10:24:00Z">
        <w:r w:rsidRPr="008D6D3A">
          <w:rPr>
            <w:sz w:val="22"/>
            <w:szCs w:val="22"/>
            <w:lang w:val="de-DE"/>
          </w:rPr>
          <w:delText>67061 Ludwigshafen</w:delText>
        </w:r>
      </w:del>
    </w:p>
    <w:p w14:paraId="4D66FA04" w14:textId="0995F71D" w:rsidR="004462A0" w:rsidRPr="008D6D3A" w:rsidRDefault="00615769" w:rsidP="001242C2">
      <w:pPr>
        <w:keepNext/>
        <w:rPr>
          <w:del w:id="15001" w:author="AbbVie2" w:date="2025-05-14T10:24:00Z"/>
          <w:sz w:val="22"/>
          <w:szCs w:val="22"/>
          <w:lang w:val="de-DE"/>
        </w:rPr>
      </w:pPr>
      <w:del w:id="15002" w:author="AbbVie2" w:date="2025-05-14T10:24:00Z">
        <w:r w:rsidRPr="008D6D3A">
          <w:rPr>
            <w:sz w:val="22"/>
            <w:szCs w:val="22"/>
            <w:lang w:val="de-DE"/>
          </w:rPr>
          <w:delText>Alemanha</w:delText>
        </w:r>
      </w:del>
    </w:p>
    <w:p w14:paraId="02924107" w14:textId="5935BD1F" w:rsidR="004462A0" w:rsidRPr="008D6D3A" w:rsidRDefault="004462A0" w:rsidP="004462A0">
      <w:pPr>
        <w:ind w:right="-2"/>
        <w:rPr>
          <w:del w:id="15003" w:author="AbbVie2" w:date="2025-05-14T10:24:00Z"/>
          <w:sz w:val="22"/>
          <w:szCs w:val="22"/>
          <w:lang w:val="de-DE"/>
        </w:rPr>
      </w:pPr>
    </w:p>
    <w:p w14:paraId="3FD552C1" w14:textId="42E96BA9" w:rsidR="004462A0" w:rsidRPr="008D6D3A" w:rsidRDefault="00615769" w:rsidP="004462A0">
      <w:pPr>
        <w:ind w:right="-2"/>
        <w:rPr>
          <w:del w:id="15004" w:author="AbbVie2" w:date="2025-05-14T10:24:00Z"/>
          <w:b/>
          <w:bCs/>
          <w:sz w:val="22"/>
          <w:szCs w:val="22"/>
          <w:lang w:val="de-DE"/>
        </w:rPr>
      </w:pPr>
      <w:del w:id="15005" w:author="AbbVie2" w:date="2025-05-14T10:24:00Z">
        <w:r w:rsidRPr="008D6D3A">
          <w:rPr>
            <w:b/>
            <w:bCs/>
            <w:sz w:val="22"/>
            <w:szCs w:val="22"/>
            <w:lang w:val="de-DE"/>
          </w:rPr>
          <w:delText>Fabricante</w:delText>
        </w:r>
      </w:del>
    </w:p>
    <w:p w14:paraId="75D48C35" w14:textId="0FD41BF9" w:rsidR="004462A0" w:rsidRPr="008D6D3A" w:rsidRDefault="004462A0" w:rsidP="004462A0">
      <w:pPr>
        <w:ind w:right="-2"/>
        <w:rPr>
          <w:del w:id="15006" w:author="AbbVie2" w:date="2025-05-14T10:24:00Z"/>
          <w:bCs/>
          <w:sz w:val="22"/>
          <w:szCs w:val="22"/>
          <w:lang w:val="de-DE"/>
        </w:rPr>
      </w:pPr>
    </w:p>
    <w:p w14:paraId="7613B2C7" w14:textId="68EE235A" w:rsidR="004462A0" w:rsidRPr="008D6D3A" w:rsidRDefault="00615769" w:rsidP="004462A0">
      <w:pPr>
        <w:tabs>
          <w:tab w:val="left" w:pos="562"/>
        </w:tabs>
        <w:suppressAutoHyphens/>
        <w:rPr>
          <w:del w:id="15007" w:author="AbbVie2" w:date="2025-05-14T10:24:00Z"/>
          <w:sz w:val="22"/>
          <w:lang w:val="de-CH"/>
        </w:rPr>
      </w:pPr>
      <w:del w:id="15008" w:author="AbbVie2" w:date="2025-05-14T10:24:00Z">
        <w:r w:rsidRPr="008D6D3A">
          <w:rPr>
            <w:sz w:val="22"/>
            <w:lang w:val="de-CH"/>
          </w:rPr>
          <w:delText>AbbVie Biotechnology GmbH</w:delText>
        </w:r>
      </w:del>
    </w:p>
    <w:p w14:paraId="6CBE814A" w14:textId="2E523AE8" w:rsidR="004462A0" w:rsidRPr="00DD403A" w:rsidRDefault="00615769" w:rsidP="004462A0">
      <w:pPr>
        <w:numPr>
          <w:ilvl w:val="12"/>
          <w:numId w:val="0"/>
        </w:numPr>
        <w:tabs>
          <w:tab w:val="left" w:pos="720"/>
        </w:tabs>
        <w:suppressAutoHyphens/>
        <w:rPr>
          <w:del w:id="15009" w:author="AbbVie2" w:date="2025-05-14T10:24:00Z"/>
          <w:sz w:val="22"/>
        </w:rPr>
      </w:pPr>
      <w:del w:id="15010" w:author="AbbVie2" w:date="2025-05-14T10:24:00Z">
        <w:r w:rsidRPr="00DD403A">
          <w:rPr>
            <w:sz w:val="22"/>
          </w:rPr>
          <w:delText>Knollstrasse</w:delText>
        </w:r>
      </w:del>
    </w:p>
    <w:p w14:paraId="6372DD9B" w14:textId="62F78C2D" w:rsidR="004462A0" w:rsidRPr="00DD403A" w:rsidRDefault="00615769" w:rsidP="004462A0">
      <w:pPr>
        <w:numPr>
          <w:ilvl w:val="12"/>
          <w:numId w:val="0"/>
        </w:numPr>
        <w:tabs>
          <w:tab w:val="left" w:pos="720"/>
        </w:tabs>
        <w:suppressAutoHyphens/>
        <w:rPr>
          <w:del w:id="15011" w:author="AbbVie2" w:date="2025-05-14T10:24:00Z"/>
          <w:sz w:val="22"/>
        </w:rPr>
      </w:pPr>
      <w:del w:id="15012" w:author="AbbVie2" w:date="2025-05-14T10:24:00Z">
        <w:r w:rsidRPr="00DD403A">
          <w:rPr>
            <w:sz w:val="22"/>
          </w:rPr>
          <w:delText>67061 Ludwigshafen</w:delText>
        </w:r>
      </w:del>
    </w:p>
    <w:p w14:paraId="48AC6889" w14:textId="49CDA9CF" w:rsidR="004462A0" w:rsidRPr="00DD403A" w:rsidRDefault="00615769" w:rsidP="004462A0">
      <w:pPr>
        <w:ind w:right="-2"/>
        <w:rPr>
          <w:del w:id="15013" w:author="AbbVie2" w:date="2025-05-14T10:24:00Z"/>
          <w:sz w:val="22"/>
        </w:rPr>
      </w:pPr>
      <w:del w:id="15014" w:author="AbbVie2" w:date="2025-05-14T10:24:00Z">
        <w:r w:rsidRPr="00DD403A">
          <w:rPr>
            <w:sz w:val="22"/>
          </w:rPr>
          <w:delText>Alemanha</w:delText>
        </w:r>
      </w:del>
    </w:p>
    <w:p w14:paraId="193338D2" w14:textId="71F846BC" w:rsidR="004462A0" w:rsidRPr="00DD403A" w:rsidRDefault="004462A0" w:rsidP="004462A0">
      <w:pPr>
        <w:ind w:right="-2"/>
        <w:rPr>
          <w:del w:id="15015" w:author="AbbVie2" w:date="2025-05-14T10:24:00Z"/>
          <w:sz w:val="22"/>
          <w:szCs w:val="22"/>
        </w:rPr>
      </w:pPr>
    </w:p>
    <w:p w14:paraId="5D179D17" w14:textId="2FF0534D" w:rsidR="004462A0" w:rsidRPr="008912CF" w:rsidRDefault="00615769" w:rsidP="004462A0">
      <w:pPr>
        <w:ind w:right="-2"/>
        <w:rPr>
          <w:del w:id="15016" w:author="AbbVie2" w:date="2025-05-14T10:24:00Z"/>
          <w:sz w:val="22"/>
          <w:szCs w:val="22"/>
        </w:rPr>
      </w:pPr>
      <w:del w:id="15017" w:author="AbbVie2" w:date="2025-05-14T10:24:00Z">
        <w:r w:rsidRPr="008912CF">
          <w:rPr>
            <w:sz w:val="22"/>
            <w:szCs w:val="22"/>
          </w:rPr>
          <w:delText>Para quaisquer informações sobre este medicamento, queira contactar o representante local do Titular d</w:delText>
        </w:r>
        <w:r w:rsidR="004E51CA">
          <w:rPr>
            <w:sz w:val="22"/>
            <w:szCs w:val="22"/>
          </w:rPr>
          <w:delText>a</w:delText>
        </w:r>
        <w:r w:rsidRPr="008912CF">
          <w:rPr>
            <w:sz w:val="22"/>
            <w:szCs w:val="22"/>
          </w:rPr>
          <w:delText xml:space="preserve"> Autorização de Introdução no Mercado</w:delText>
        </w:r>
        <w:r w:rsidR="004D2A1C">
          <w:rPr>
            <w:sz w:val="22"/>
            <w:szCs w:val="22"/>
          </w:rPr>
          <w:delText>:</w:delText>
        </w:r>
      </w:del>
    </w:p>
    <w:p w14:paraId="6DF25C29" w14:textId="31B88186" w:rsidR="004462A0" w:rsidRPr="008912CF" w:rsidRDefault="004462A0" w:rsidP="004462A0">
      <w:pPr>
        <w:rPr>
          <w:del w:id="15018" w:author="AbbVie2" w:date="2025-05-14T10:24:00Z"/>
        </w:rPr>
      </w:pPr>
    </w:p>
    <w:tbl>
      <w:tblPr>
        <w:tblW w:w="9356" w:type="dxa"/>
        <w:tblInd w:w="-34" w:type="dxa"/>
        <w:tblLayout w:type="fixed"/>
        <w:tblLook w:val="0000" w:firstRow="0" w:lastRow="0" w:firstColumn="0" w:lastColumn="0" w:noHBand="0" w:noVBand="0"/>
      </w:tblPr>
      <w:tblGrid>
        <w:gridCol w:w="34"/>
        <w:gridCol w:w="4610"/>
        <w:gridCol w:w="34"/>
        <w:gridCol w:w="4678"/>
      </w:tblGrid>
      <w:tr w:rsidR="00A7162A" w14:paraId="0C8AC43A" w14:textId="15D9B194" w:rsidTr="001F79B0">
        <w:trPr>
          <w:del w:id="15019" w:author="AbbVie2" w:date="2025-05-14T10:24:00Z"/>
        </w:trPr>
        <w:tc>
          <w:tcPr>
            <w:tcW w:w="4644" w:type="dxa"/>
            <w:gridSpan w:val="2"/>
          </w:tcPr>
          <w:p w14:paraId="05C684D0" w14:textId="5549CFBE" w:rsidR="00012D36" w:rsidRPr="00346547" w:rsidRDefault="00615769" w:rsidP="001F79B0">
            <w:pPr>
              <w:rPr>
                <w:del w:id="15020" w:author="AbbVie2" w:date="2025-05-14T10:24:00Z"/>
                <w:b/>
                <w:bCs/>
                <w:sz w:val="22"/>
                <w:szCs w:val="22"/>
                <w:lang w:val="fr-BE"/>
              </w:rPr>
            </w:pPr>
            <w:del w:id="15021" w:author="AbbVie2" w:date="2025-05-14T10:24:00Z">
              <w:r w:rsidRPr="00346547">
                <w:rPr>
                  <w:b/>
                  <w:bCs/>
                  <w:sz w:val="22"/>
                  <w:szCs w:val="22"/>
                  <w:lang w:val="fr-BE"/>
                </w:rPr>
                <w:delText>België/Belgique/Belgien</w:delText>
              </w:r>
            </w:del>
          </w:p>
          <w:p w14:paraId="2BE1D30A" w14:textId="03EF00C2" w:rsidR="00012D36" w:rsidRPr="00346547" w:rsidRDefault="00615769" w:rsidP="001F79B0">
            <w:pPr>
              <w:tabs>
                <w:tab w:val="center" w:pos="2214"/>
              </w:tabs>
              <w:rPr>
                <w:del w:id="15022" w:author="AbbVie2" w:date="2025-05-14T10:24:00Z"/>
                <w:bCs/>
                <w:sz w:val="22"/>
                <w:szCs w:val="22"/>
                <w:lang w:val="fr-FR"/>
              </w:rPr>
            </w:pPr>
            <w:del w:id="15023" w:author="AbbVie2" w:date="2025-05-14T10:24:00Z">
              <w:r w:rsidRPr="00346547">
                <w:rPr>
                  <w:bCs/>
                  <w:sz w:val="22"/>
                  <w:szCs w:val="22"/>
                  <w:lang w:val="fr-FR"/>
                </w:rPr>
                <w:delText>AbbVie SA</w:delText>
              </w:r>
            </w:del>
          </w:p>
          <w:p w14:paraId="1169F84F" w14:textId="0D8A5950" w:rsidR="00012D36" w:rsidRPr="00346547" w:rsidRDefault="00615769" w:rsidP="001F79B0">
            <w:pPr>
              <w:rPr>
                <w:del w:id="15024" w:author="AbbVie2" w:date="2025-05-14T10:24:00Z"/>
                <w:sz w:val="22"/>
                <w:szCs w:val="22"/>
                <w:lang w:val="fr-FR"/>
              </w:rPr>
            </w:pPr>
            <w:del w:id="15025" w:author="AbbVie2" w:date="2025-05-14T10:24:00Z">
              <w:r w:rsidRPr="00346547">
                <w:rPr>
                  <w:bCs/>
                  <w:sz w:val="22"/>
                  <w:szCs w:val="22"/>
                  <w:lang w:val="fr-FR"/>
                </w:rPr>
                <w:delText xml:space="preserve">Tél/Tel: +32 10 </w:delText>
              </w:r>
              <w:r w:rsidRPr="00346547">
                <w:rPr>
                  <w:sz w:val="22"/>
                  <w:szCs w:val="22"/>
                  <w:lang w:val="fr-FR"/>
                </w:rPr>
                <w:delText>477811</w:delText>
              </w:r>
            </w:del>
          </w:p>
          <w:p w14:paraId="2967A1BA" w14:textId="0F910996" w:rsidR="00012D36" w:rsidRPr="00346547" w:rsidRDefault="00012D36" w:rsidP="001F79B0">
            <w:pPr>
              <w:rPr>
                <w:del w:id="15026" w:author="AbbVie2" w:date="2025-05-14T10:24:00Z"/>
                <w:bCs/>
                <w:sz w:val="22"/>
                <w:szCs w:val="22"/>
                <w:lang w:val="fr-FR"/>
              </w:rPr>
            </w:pPr>
          </w:p>
        </w:tc>
        <w:tc>
          <w:tcPr>
            <w:tcW w:w="4678" w:type="dxa"/>
            <w:gridSpan w:val="2"/>
          </w:tcPr>
          <w:p w14:paraId="07B42ACD" w14:textId="36991E52" w:rsidR="00012D36" w:rsidRPr="00346547" w:rsidRDefault="00615769" w:rsidP="001F79B0">
            <w:pPr>
              <w:rPr>
                <w:del w:id="15027" w:author="AbbVie2" w:date="2025-05-14T10:24:00Z"/>
                <w:b/>
                <w:bCs/>
                <w:sz w:val="22"/>
                <w:szCs w:val="22"/>
                <w:lang w:val="lt-LT"/>
              </w:rPr>
            </w:pPr>
            <w:del w:id="15028" w:author="AbbVie2" w:date="2025-05-14T10:24:00Z">
              <w:r w:rsidRPr="00346547">
                <w:rPr>
                  <w:b/>
                  <w:bCs/>
                  <w:sz w:val="22"/>
                  <w:szCs w:val="22"/>
                  <w:lang w:val="lt-LT"/>
                </w:rPr>
                <w:delText>Lietuva</w:delText>
              </w:r>
            </w:del>
          </w:p>
          <w:p w14:paraId="25DA9FDD" w14:textId="7B21C849" w:rsidR="00012D36" w:rsidRPr="00346547" w:rsidRDefault="00615769" w:rsidP="001F79B0">
            <w:pPr>
              <w:rPr>
                <w:del w:id="15029" w:author="AbbVie2" w:date="2025-05-14T10:24:00Z"/>
                <w:bCs/>
                <w:sz w:val="22"/>
                <w:szCs w:val="22"/>
                <w:lang w:val="lv-LV"/>
              </w:rPr>
            </w:pPr>
            <w:del w:id="15030" w:author="AbbVie2" w:date="2025-05-14T10:24:00Z">
              <w:r w:rsidRPr="00346547">
                <w:rPr>
                  <w:bCs/>
                  <w:sz w:val="22"/>
                  <w:szCs w:val="22"/>
                  <w:lang w:val="lv-LV"/>
                </w:rPr>
                <w:delText xml:space="preserve">AbbVie UAB </w:delText>
              </w:r>
            </w:del>
          </w:p>
          <w:p w14:paraId="4F33AD43" w14:textId="548F3B10" w:rsidR="00012D36" w:rsidRPr="00346547" w:rsidRDefault="00615769" w:rsidP="001F79B0">
            <w:pPr>
              <w:jc w:val="both"/>
              <w:rPr>
                <w:del w:id="15031" w:author="AbbVie2" w:date="2025-05-14T10:24:00Z"/>
                <w:bCs/>
                <w:sz w:val="22"/>
                <w:szCs w:val="22"/>
                <w:lang w:val="lv-LV"/>
              </w:rPr>
            </w:pPr>
            <w:del w:id="15032" w:author="AbbVie2" w:date="2025-05-14T10:24:00Z">
              <w:r w:rsidRPr="00346547">
                <w:rPr>
                  <w:bCs/>
                  <w:sz w:val="22"/>
                  <w:szCs w:val="22"/>
                  <w:lang w:val="lv-LV"/>
                </w:rPr>
                <w:delText>Tel: +370 5 205 3023</w:delText>
              </w:r>
            </w:del>
          </w:p>
        </w:tc>
      </w:tr>
      <w:tr w:rsidR="00A7162A" w14:paraId="1A5F18D4" w14:textId="2141B6AB" w:rsidTr="001F79B0">
        <w:trPr>
          <w:del w:id="15033" w:author="AbbVie2" w:date="2025-05-14T10:24:00Z"/>
        </w:trPr>
        <w:tc>
          <w:tcPr>
            <w:tcW w:w="4644" w:type="dxa"/>
            <w:gridSpan w:val="2"/>
          </w:tcPr>
          <w:p w14:paraId="4296933A" w14:textId="12031ABC" w:rsidR="00012D36" w:rsidRPr="00346547" w:rsidRDefault="00615769" w:rsidP="001F79B0">
            <w:pPr>
              <w:autoSpaceDE w:val="0"/>
              <w:autoSpaceDN w:val="0"/>
              <w:adjustRightInd w:val="0"/>
              <w:rPr>
                <w:del w:id="15034" w:author="AbbVie2" w:date="2025-05-14T10:24:00Z"/>
                <w:b/>
                <w:bCs/>
                <w:sz w:val="22"/>
                <w:szCs w:val="22"/>
                <w:lang w:val="bg-BG"/>
              </w:rPr>
            </w:pPr>
            <w:del w:id="15035" w:author="AbbVie2" w:date="2025-05-14T10:24:00Z">
              <w:r w:rsidRPr="00346547">
                <w:rPr>
                  <w:b/>
                  <w:bCs/>
                  <w:sz w:val="22"/>
                  <w:szCs w:val="22"/>
                  <w:lang w:val="bg-BG"/>
                </w:rPr>
                <w:delText>България</w:delText>
              </w:r>
            </w:del>
          </w:p>
          <w:p w14:paraId="259AEDB7" w14:textId="5F31E56D" w:rsidR="00012D36" w:rsidRPr="00346547" w:rsidRDefault="00615769" w:rsidP="001F79B0">
            <w:pPr>
              <w:autoSpaceDE w:val="0"/>
              <w:autoSpaceDN w:val="0"/>
              <w:adjustRightInd w:val="0"/>
              <w:rPr>
                <w:del w:id="15036" w:author="AbbVie2" w:date="2025-05-14T10:24:00Z"/>
                <w:sz w:val="22"/>
                <w:szCs w:val="22"/>
                <w:lang w:val="da-DK"/>
              </w:rPr>
            </w:pPr>
            <w:del w:id="15037" w:author="AbbVie2" w:date="2025-05-14T10:24:00Z">
              <w:r w:rsidRPr="00346547">
                <w:rPr>
                  <w:rFonts w:eastAsia="MS Mincho"/>
                  <w:sz w:val="22"/>
                  <w:szCs w:val="22"/>
                  <w:lang w:eastAsia="ja-JP"/>
                </w:rPr>
                <w:delText>АбВи ЕООД</w:delText>
              </w:r>
            </w:del>
          </w:p>
          <w:p w14:paraId="439E508F" w14:textId="5394621B" w:rsidR="00012D36" w:rsidRPr="00346547" w:rsidRDefault="00615769" w:rsidP="001F79B0">
            <w:pPr>
              <w:tabs>
                <w:tab w:val="left" w:pos="-720"/>
              </w:tabs>
              <w:rPr>
                <w:del w:id="15038" w:author="AbbVie2" w:date="2025-05-14T10:24:00Z"/>
                <w:bCs/>
                <w:sz w:val="22"/>
                <w:szCs w:val="22"/>
                <w:lang w:val="da-DK"/>
              </w:rPr>
            </w:pPr>
            <w:del w:id="15039" w:author="AbbVie2" w:date="2025-05-14T10:24:00Z">
              <w:r w:rsidRPr="00346547">
                <w:rPr>
                  <w:rFonts w:eastAsia="MS Mincho"/>
                  <w:sz w:val="22"/>
                  <w:szCs w:val="22"/>
                  <w:lang w:eastAsia="ja-JP"/>
                </w:rPr>
                <w:delText>Тел</w:delText>
              </w:r>
              <w:r w:rsidRPr="00346547">
                <w:rPr>
                  <w:rFonts w:eastAsia="MS Mincho"/>
                  <w:sz w:val="22"/>
                  <w:szCs w:val="22"/>
                  <w:lang w:val="it-IT" w:eastAsia="ja-JP"/>
                </w:rPr>
                <w:delText>.:+359 2 90 30 430</w:delText>
              </w:r>
            </w:del>
          </w:p>
        </w:tc>
        <w:tc>
          <w:tcPr>
            <w:tcW w:w="4678" w:type="dxa"/>
            <w:gridSpan w:val="2"/>
          </w:tcPr>
          <w:p w14:paraId="2B8557F1" w14:textId="3D04EAC3" w:rsidR="00012D36" w:rsidRPr="00346547" w:rsidRDefault="00615769" w:rsidP="001F79B0">
            <w:pPr>
              <w:rPr>
                <w:del w:id="15040" w:author="AbbVie2" w:date="2025-05-14T10:24:00Z"/>
                <w:b/>
                <w:bCs/>
                <w:sz w:val="22"/>
                <w:szCs w:val="22"/>
                <w:lang w:val="de-DE"/>
              </w:rPr>
            </w:pPr>
            <w:del w:id="15041" w:author="AbbVie2" w:date="2025-05-14T10:24:00Z">
              <w:r w:rsidRPr="00346547">
                <w:rPr>
                  <w:b/>
                  <w:bCs/>
                  <w:sz w:val="22"/>
                  <w:szCs w:val="22"/>
                  <w:lang w:val="de-DE"/>
                </w:rPr>
                <w:delText>Luxembourg/Luxemburg</w:delText>
              </w:r>
            </w:del>
          </w:p>
          <w:p w14:paraId="358B71CC" w14:textId="54DF09BB" w:rsidR="00012D36" w:rsidRPr="00346547" w:rsidRDefault="00615769" w:rsidP="001F79B0">
            <w:pPr>
              <w:rPr>
                <w:del w:id="15042" w:author="AbbVie2" w:date="2025-05-14T10:24:00Z"/>
                <w:bCs/>
                <w:sz w:val="22"/>
                <w:szCs w:val="22"/>
                <w:lang w:val="de-DE"/>
              </w:rPr>
            </w:pPr>
            <w:del w:id="15043" w:author="AbbVie2" w:date="2025-05-14T10:24:00Z">
              <w:r w:rsidRPr="00346547">
                <w:rPr>
                  <w:bCs/>
                  <w:sz w:val="22"/>
                  <w:szCs w:val="22"/>
                  <w:lang w:val="de-DE"/>
                </w:rPr>
                <w:delText>AbbVie SA</w:delText>
              </w:r>
            </w:del>
          </w:p>
          <w:p w14:paraId="41997042" w14:textId="0F730AF7" w:rsidR="00012D36" w:rsidRPr="00346547" w:rsidRDefault="00615769" w:rsidP="001F79B0">
            <w:pPr>
              <w:tabs>
                <w:tab w:val="center" w:pos="2231"/>
              </w:tabs>
              <w:rPr>
                <w:del w:id="15044" w:author="AbbVie2" w:date="2025-05-14T10:24:00Z"/>
                <w:bCs/>
                <w:sz w:val="22"/>
                <w:szCs w:val="22"/>
                <w:lang w:val="de-DE"/>
              </w:rPr>
            </w:pPr>
            <w:del w:id="15045" w:author="AbbVie2" w:date="2025-05-14T10:24:00Z">
              <w:r w:rsidRPr="00346547">
                <w:rPr>
                  <w:bCs/>
                  <w:sz w:val="22"/>
                  <w:szCs w:val="22"/>
                  <w:lang w:val="de-DE"/>
                </w:rPr>
                <w:delText>Belgique/Belgien</w:delText>
              </w:r>
            </w:del>
          </w:p>
          <w:p w14:paraId="367462F4" w14:textId="6184C920" w:rsidR="00012D36" w:rsidRPr="00346547" w:rsidRDefault="00615769" w:rsidP="001F79B0">
            <w:pPr>
              <w:rPr>
                <w:del w:id="15046" w:author="AbbVie2" w:date="2025-05-14T10:24:00Z"/>
                <w:bCs/>
                <w:sz w:val="22"/>
                <w:szCs w:val="22"/>
                <w:lang w:val="fr-FR"/>
              </w:rPr>
            </w:pPr>
            <w:del w:id="15047" w:author="AbbVie2" w:date="2025-05-14T10:24:00Z">
              <w:r w:rsidRPr="00346547">
                <w:rPr>
                  <w:bCs/>
                  <w:sz w:val="22"/>
                  <w:szCs w:val="22"/>
                  <w:lang w:val="fr-FR"/>
                </w:rPr>
                <w:delText>Tél/Tel: +32 10 477811</w:delText>
              </w:r>
            </w:del>
          </w:p>
          <w:p w14:paraId="2A04EF5A" w14:textId="3E24B508" w:rsidR="00012D36" w:rsidRPr="00346547" w:rsidRDefault="00012D36" w:rsidP="001F79B0">
            <w:pPr>
              <w:rPr>
                <w:del w:id="15048" w:author="AbbVie2" w:date="2025-05-14T10:24:00Z"/>
                <w:bCs/>
                <w:sz w:val="22"/>
                <w:szCs w:val="22"/>
                <w:lang w:val="fr-FR"/>
              </w:rPr>
            </w:pPr>
          </w:p>
        </w:tc>
      </w:tr>
      <w:tr w:rsidR="00A7162A" w14:paraId="0BEAB890" w14:textId="7DB97B33" w:rsidTr="001F79B0">
        <w:trPr>
          <w:del w:id="15049" w:author="AbbVie2" w:date="2025-05-14T10:24:00Z"/>
        </w:trPr>
        <w:tc>
          <w:tcPr>
            <w:tcW w:w="4644" w:type="dxa"/>
            <w:gridSpan w:val="2"/>
          </w:tcPr>
          <w:p w14:paraId="4D483B48" w14:textId="172EB484" w:rsidR="00012D36" w:rsidRPr="00346547" w:rsidRDefault="00615769" w:rsidP="001F79B0">
            <w:pPr>
              <w:keepNext/>
              <w:rPr>
                <w:del w:id="15050" w:author="AbbVie2" w:date="2025-05-14T10:24:00Z"/>
                <w:b/>
                <w:bCs/>
                <w:sz w:val="22"/>
                <w:szCs w:val="22"/>
              </w:rPr>
            </w:pPr>
            <w:del w:id="15051" w:author="AbbVie2" w:date="2025-05-14T10:24:00Z">
              <w:r w:rsidRPr="00346547">
                <w:rPr>
                  <w:b/>
                  <w:bCs/>
                  <w:sz w:val="22"/>
                  <w:szCs w:val="22"/>
                </w:rPr>
                <w:delText>Česká republika</w:delText>
              </w:r>
            </w:del>
          </w:p>
          <w:p w14:paraId="671710D2" w14:textId="46B4E2DA" w:rsidR="00012D36" w:rsidRPr="00346547" w:rsidRDefault="00615769" w:rsidP="001F79B0">
            <w:pPr>
              <w:keepNext/>
              <w:rPr>
                <w:del w:id="15052" w:author="AbbVie2" w:date="2025-05-14T10:24:00Z"/>
                <w:bCs/>
                <w:sz w:val="22"/>
                <w:szCs w:val="22"/>
              </w:rPr>
            </w:pPr>
            <w:del w:id="15053" w:author="AbbVie2" w:date="2025-05-14T10:24:00Z">
              <w:r w:rsidRPr="00346547">
                <w:rPr>
                  <w:bCs/>
                  <w:sz w:val="22"/>
                  <w:szCs w:val="22"/>
                </w:rPr>
                <w:delText xml:space="preserve">AbbVie s.r.o. </w:delText>
              </w:r>
            </w:del>
          </w:p>
          <w:p w14:paraId="7AED360E" w14:textId="68FB7087" w:rsidR="00012D36" w:rsidRPr="00346547" w:rsidRDefault="00615769" w:rsidP="001F79B0">
            <w:pPr>
              <w:keepNext/>
              <w:rPr>
                <w:del w:id="15054" w:author="AbbVie2" w:date="2025-05-14T10:24:00Z"/>
                <w:bCs/>
                <w:sz w:val="22"/>
                <w:szCs w:val="22"/>
              </w:rPr>
            </w:pPr>
            <w:del w:id="15055" w:author="AbbVie2" w:date="2025-05-14T10:24:00Z">
              <w:r w:rsidRPr="00346547">
                <w:rPr>
                  <w:bCs/>
                  <w:sz w:val="22"/>
                  <w:szCs w:val="22"/>
                </w:rPr>
                <w:delText>Tel: +420 233 098 111</w:delText>
              </w:r>
            </w:del>
          </w:p>
        </w:tc>
        <w:tc>
          <w:tcPr>
            <w:tcW w:w="4678" w:type="dxa"/>
            <w:gridSpan w:val="2"/>
          </w:tcPr>
          <w:p w14:paraId="793FBB42" w14:textId="7F0F1AB8" w:rsidR="00012D36" w:rsidRPr="00346547" w:rsidRDefault="00615769" w:rsidP="001F79B0">
            <w:pPr>
              <w:keepNext/>
              <w:rPr>
                <w:del w:id="15056" w:author="AbbVie2" w:date="2025-05-14T10:24:00Z"/>
                <w:b/>
                <w:bCs/>
                <w:sz w:val="22"/>
                <w:szCs w:val="22"/>
                <w:lang w:val="hu-HU"/>
              </w:rPr>
            </w:pPr>
            <w:del w:id="15057" w:author="AbbVie2" w:date="2025-05-14T10:24:00Z">
              <w:r w:rsidRPr="00346547">
                <w:rPr>
                  <w:b/>
                  <w:bCs/>
                  <w:sz w:val="22"/>
                  <w:szCs w:val="22"/>
                  <w:lang w:val="hu-HU"/>
                </w:rPr>
                <w:delText>Magyarország</w:delText>
              </w:r>
            </w:del>
          </w:p>
          <w:p w14:paraId="1CFFBCB4" w14:textId="4A9D9248" w:rsidR="00012D36" w:rsidRPr="00346547" w:rsidRDefault="00615769" w:rsidP="001F79B0">
            <w:pPr>
              <w:keepNext/>
              <w:rPr>
                <w:del w:id="15058" w:author="AbbVie2" w:date="2025-05-14T10:24:00Z"/>
                <w:bCs/>
                <w:sz w:val="22"/>
                <w:szCs w:val="22"/>
                <w:lang w:val="hu-HU"/>
              </w:rPr>
            </w:pPr>
            <w:del w:id="15059" w:author="AbbVie2" w:date="2025-05-14T10:24:00Z">
              <w:r w:rsidRPr="00346547">
                <w:rPr>
                  <w:bCs/>
                  <w:sz w:val="22"/>
                  <w:szCs w:val="22"/>
                  <w:lang w:val="hu-HU"/>
                </w:rPr>
                <w:delText>AbbVie Kft.</w:delText>
              </w:r>
            </w:del>
          </w:p>
          <w:p w14:paraId="19F70442" w14:textId="4FB8F309" w:rsidR="00012D36" w:rsidRPr="00346547" w:rsidRDefault="00615769" w:rsidP="001F79B0">
            <w:pPr>
              <w:keepNext/>
              <w:tabs>
                <w:tab w:val="left" w:pos="562"/>
                <w:tab w:val="left" w:pos="2380"/>
              </w:tabs>
              <w:rPr>
                <w:del w:id="15060" w:author="AbbVie2" w:date="2025-05-14T10:24:00Z"/>
                <w:bCs/>
                <w:sz w:val="22"/>
                <w:szCs w:val="22"/>
                <w:lang w:val="hu-HU"/>
              </w:rPr>
            </w:pPr>
            <w:del w:id="15061" w:author="AbbVie2" w:date="2025-05-14T10:24:00Z">
              <w:r w:rsidRPr="00346547">
                <w:rPr>
                  <w:bCs/>
                  <w:sz w:val="22"/>
                  <w:szCs w:val="22"/>
                  <w:lang w:val="hu-HU"/>
                </w:rPr>
                <w:delText>Tel.:+36 1 455 8600</w:delText>
              </w:r>
            </w:del>
          </w:p>
          <w:p w14:paraId="346B1AAA" w14:textId="0550898C" w:rsidR="00012D36" w:rsidRPr="00346547" w:rsidRDefault="00012D36" w:rsidP="001F79B0">
            <w:pPr>
              <w:keepNext/>
              <w:tabs>
                <w:tab w:val="left" w:pos="562"/>
                <w:tab w:val="left" w:pos="2380"/>
              </w:tabs>
              <w:rPr>
                <w:del w:id="15062" w:author="AbbVie2" w:date="2025-05-14T10:24:00Z"/>
                <w:bCs/>
                <w:sz w:val="22"/>
                <w:szCs w:val="22"/>
                <w:lang w:val="hu-HU"/>
              </w:rPr>
            </w:pPr>
          </w:p>
        </w:tc>
      </w:tr>
      <w:tr w:rsidR="00A7162A" w14:paraId="3AB89F90" w14:textId="0B9A6A2B" w:rsidTr="001F79B0">
        <w:trPr>
          <w:trHeight w:val="737"/>
          <w:del w:id="15063" w:author="AbbVie2" w:date="2025-05-14T10:24:00Z"/>
        </w:trPr>
        <w:tc>
          <w:tcPr>
            <w:tcW w:w="4644" w:type="dxa"/>
            <w:gridSpan w:val="2"/>
          </w:tcPr>
          <w:p w14:paraId="46B726C2" w14:textId="6CA207FD" w:rsidR="00012D36" w:rsidRPr="00FF65EF" w:rsidRDefault="00615769" w:rsidP="001F79B0">
            <w:pPr>
              <w:rPr>
                <w:del w:id="15064" w:author="AbbVie2" w:date="2025-05-14T10:24:00Z"/>
                <w:b/>
                <w:bCs/>
                <w:sz w:val="22"/>
                <w:szCs w:val="22"/>
                <w:rPrChange w:id="15065" w:author="AbbVie2" w:date="2025-05-14T12:36:00Z">
                  <w:rPr>
                    <w:del w:id="15066" w:author="AbbVie2" w:date="2025-05-14T10:24:00Z"/>
                    <w:b/>
                    <w:bCs/>
                    <w:sz w:val="22"/>
                    <w:szCs w:val="22"/>
                    <w:lang w:val="en-US"/>
                  </w:rPr>
                </w:rPrChange>
              </w:rPr>
            </w:pPr>
            <w:del w:id="15067" w:author="AbbVie2" w:date="2025-05-14T10:24:00Z">
              <w:r w:rsidRPr="00FF65EF">
                <w:rPr>
                  <w:b/>
                  <w:bCs/>
                  <w:sz w:val="22"/>
                  <w:szCs w:val="22"/>
                  <w:rPrChange w:id="15068" w:author="AbbVie2" w:date="2025-05-14T12:36:00Z">
                    <w:rPr>
                      <w:b/>
                      <w:bCs/>
                      <w:sz w:val="22"/>
                      <w:szCs w:val="22"/>
                      <w:lang w:val="en-US"/>
                    </w:rPr>
                  </w:rPrChange>
                </w:rPr>
                <w:delText>Danmark</w:delText>
              </w:r>
            </w:del>
          </w:p>
          <w:p w14:paraId="7B56AE06" w14:textId="2E21D1B2" w:rsidR="00012D36" w:rsidRPr="00FF65EF" w:rsidRDefault="00615769" w:rsidP="001F79B0">
            <w:pPr>
              <w:rPr>
                <w:del w:id="15069" w:author="AbbVie2" w:date="2025-05-14T10:24:00Z"/>
                <w:bCs/>
                <w:sz w:val="22"/>
                <w:szCs w:val="22"/>
                <w:rPrChange w:id="15070" w:author="AbbVie2" w:date="2025-05-14T12:36:00Z">
                  <w:rPr>
                    <w:del w:id="15071" w:author="AbbVie2" w:date="2025-05-14T10:24:00Z"/>
                    <w:bCs/>
                    <w:sz w:val="22"/>
                    <w:szCs w:val="22"/>
                    <w:lang w:val="en-US"/>
                  </w:rPr>
                </w:rPrChange>
              </w:rPr>
            </w:pPr>
            <w:del w:id="15072" w:author="AbbVie2" w:date="2025-05-14T10:24:00Z">
              <w:r w:rsidRPr="00FF65EF">
                <w:rPr>
                  <w:bCs/>
                  <w:sz w:val="22"/>
                  <w:szCs w:val="22"/>
                  <w:rPrChange w:id="15073" w:author="AbbVie2" w:date="2025-05-14T12:36:00Z">
                    <w:rPr>
                      <w:bCs/>
                      <w:sz w:val="22"/>
                      <w:szCs w:val="22"/>
                      <w:lang w:val="en-US"/>
                    </w:rPr>
                  </w:rPrChange>
                </w:rPr>
                <w:delText>AbbVie A/S</w:delText>
              </w:r>
            </w:del>
          </w:p>
          <w:p w14:paraId="475F1C4F" w14:textId="7303A702" w:rsidR="00012D36" w:rsidRPr="00FF65EF" w:rsidRDefault="00615769" w:rsidP="001F79B0">
            <w:pPr>
              <w:rPr>
                <w:del w:id="15074" w:author="AbbVie2" w:date="2025-05-14T10:24:00Z"/>
                <w:bCs/>
                <w:sz w:val="22"/>
                <w:szCs w:val="22"/>
                <w:rPrChange w:id="15075" w:author="AbbVie2" w:date="2025-05-14T12:36:00Z">
                  <w:rPr>
                    <w:del w:id="15076" w:author="AbbVie2" w:date="2025-05-14T10:24:00Z"/>
                    <w:bCs/>
                    <w:sz w:val="22"/>
                    <w:szCs w:val="22"/>
                    <w:lang w:val="en-US"/>
                  </w:rPr>
                </w:rPrChange>
              </w:rPr>
            </w:pPr>
            <w:del w:id="15077" w:author="AbbVie2" w:date="2025-05-14T10:24:00Z">
              <w:r w:rsidRPr="00FF65EF">
                <w:rPr>
                  <w:bCs/>
                  <w:sz w:val="22"/>
                  <w:szCs w:val="22"/>
                  <w:rPrChange w:id="15078" w:author="AbbVie2" w:date="2025-05-14T12:36:00Z">
                    <w:rPr>
                      <w:bCs/>
                      <w:sz w:val="22"/>
                      <w:szCs w:val="22"/>
                      <w:lang w:val="en-US"/>
                    </w:rPr>
                  </w:rPrChange>
                </w:rPr>
                <w:delText>Tlf: +45 72 30-20-28</w:delText>
              </w:r>
            </w:del>
          </w:p>
        </w:tc>
        <w:tc>
          <w:tcPr>
            <w:tcW w:w="4678" w:type="dxa"/>
            <w:gridSpan w:val="2"/>
          </w:tcPr>
          <w:p w14:paraId="26CDCD8E" w14:textId="02538D2E" w:rsidR="00012D36" w:rsidRPr="00346547" w:rsidRDefault="00615769" w:rsidP="001F79B0">
            <w:pPr>
              <w:rPr>
                <w:del w:id="15079" w:author="AbbVie2" w:date="2025-05-14T10:24:00Z"/>
                <w:b/>
                <w:bCs/>
                <w:sz w:val="22"/>
                <w:szCs w:val="22"/>
                <w:lang w:val="mt-MT"/>
              </w:rPr>
            </w:pPr>
            <w:del w:id="15080" w:author="AbbVie2" w:date="2025-05-14T10:24:00Z">
              <w:r w:rsidRPr="00346547">
                <w:rPr>
                  <w:b/>
                  <w:bCs/>
                  <w:sz w:val="22"/>
                  <w:szCs w:val="22"/>
                  <w:lang w:val="mt-MT"/>
                </w:rPr>
                <w:delText>Malta</w:delText>
              </w:r>
            </w:del>
          </w:p>
          <w:p w14:paraId="405385AC" w14:textId="0DD702BD" w:rsidR="00012D36" w:rsidRPr="00346547" w:rsidRDefault="00615769" w:rsidP="001F79B0">
            <w:pPr>
              <w:rPr>
                <w:del w:id="15081" w:author="AbbVie2" w:date="2025-05-14T10:24:00Z"/>
                <w:bCs/>
                <w:sz w:val="22"/>
                <w:szCs w:val="22"/>
              </w:rPr>
            </w:pPr>
            <w:del w:id="15082" w:author="AbbVie2" w:date="2025-05-14T10:24:00Z">
              <w:r w:rsidRPr="00346547">
                <w:rPr>
                  <w:bCs/>
                  <w:sz w:val="22"/>
                  <w:szCs w:val="22"/>
                </w:rPr>
                <w:delText xml:space="preserve">V.J.Salomone Pharma Limited </w:delText>
              </w:r>
            </w:del>
          </w:p>
          <w:p w14:paraId="169DB1BF" w14:textId="186C3E30" w:rsidR="00012D36" w:rsidRPr="00346547" w:rsidRDefault="00615769" w:rsidP="001F79B0">
            <w:pPr>
              <w:rPr>
                <w:del w:id="15083" w:author="AbbVie2" w:date="2025-05-14T10:24:00Z"/>
                <w:bCs/>
                <w:sz w:val="22"/>
                <w:szCs w:val="22"/>
              </w:rPr>
            </w:pPr>
            <w:del w:id="15084" w:author="AbbVie2" w:date="2025-05-14T10:24:00Z">
              <w:r w:rsidRPr="00346547">
                <w:rPr>
                  <w:bCs/>
                  <w:sz w:val="22"/>
                  <w:szCs w:val="22"/>
                </w:rPr>
                <w:delText xml:space="preserve">Tel: </w:delText>
              </w:r>
              <w:r w:rsidRPr="00FF65EF">
                <w:rPr>
                  <w:bCs/>
                  <w:sz w:val="22"/>
                  <w:szCs w:val="22"/>
                  <w:rPrChange w:id="15085" w:author="AbbVie2" w:date="2025-05-14T12:36:00Z">
                    <w:rPr>
                      <w:bCs/>
                      <w:sz w:val="22"/>
                      <w:szCs w:val="22"/>
                      <w:lang w:val="en-GB"/>
                    </w:rPr>
                  </w:rPrChange>
                </w:rPr>
                <w:delText>+356 21220174</w:delText>
              </w:r>
            </w:del>
          </w:p>
        </w:tc>
      </w:tr>
      <w:tr w:rsidR="00A7162A" w14:paraId="5145D393" w14:textId="5BE37907" w:rsidTr="001F79B0">
        <w:trPr>
          <w:del w:id="15086" w:author="AbbVie2" w:date="2025-05-14T10:24:00Z"/>
        </w:trPr>
        <w:tc>
          <w:tcPr>
            <w:tcW w:w="4644" w:type="dxa"/>
            <w:gridSpan w:val="2"/>
          </w:tcPr>
          <w:p w14:paraId="57CE3379" w14:textId="7AD71DB1" w:rsidR="00012D36" w:rsidRPr="00346547" w:rsidRDefault="00615769" w:rsidP="001F79B0">
            <w:pPr>
              <w:keepNext/>
              <w:rPr>
                <w:del w:id="15087" w:author="AbbVie2" w:date="2025-05-14T10:24:00Z"/>
                <w:b/>
                <w:bCs/>
                <w:sz w:val="22"/>
                <w:szCs w:val="22"/>
                <w:lang w:val="de-DE"/>
              </w:rPr>
            </w:pPr>
            <w:del w:id="15088" w:author="AbbVie2" w:date="2025-05-14T10:24:00Z">
              <w:r w:rsidRPr="00346547">
                <w:rPr>
                  <w:b/>
                  <w:bCs/>
                  <w:sz w:val="22"/>
                  <w:szCs w:val="22"/>
                  <w:lang w:val="de-DE"/>
                </w:rPr>
                <w:delText>Deutschland</w:delText>
              </w:r>
            </w:del>
          </w:p>
          <w:p w14:paraId="1C9992D5" w14:textId="42E7EA51" w:rsidR="00012D36" w:rsidRPr="00346547" w:rsidRDefault="00615769" w:rsidP="001F79B0">
            <w:pPr>
              <w:keepNext/>
              <w:rPr>
                <w:del w:id="15089" w:author="AbbVie2" w:date="2025-05-14T10:24:00Z"/>
                <w:bCs/>
                <w:sz w:val="22"/>
                <w:szCs w:val="22"/>
                <w:lang w:val="de-DE"/>
              </w:rPr>
            </w:pPr>
            <w:del w:id="15090" w:author="AbbVie2" w:date="2025-05-14T10:24:00Z">
              <w:r w:rsidRPr="00346547">
                <w:rPr>
                  <w:sz w:val="22"/>
                  <w:szCs w:val="22"/>
                  <w:lang w:val="de-DE"/>
                </w:rPr>
                <w:delText xml:space="preserve">AbbVie Deutschland </w:delText>
              </w:r>
              <w:r w:rsidRPr="00346547">
                <w:rPr>
                  <w:bCs/>
                  <w:sz w:val="22"/>
                  <w:szCs w:val="22"/>
                  <w:lang w:val="de-DE"/>
                </w:rPr>
                <w:delText>GmbH &amp; Co. KG</w:delText>
              </w:r>
            </w:del>
          </w:p>
          <w:p w14:paraId="4AA2C21B" w14:textId="7B9507C6" w:rsidR="00012D36" w:rsidRPr="00346547" w:rsidRDefault="00615769" w:rsidP="001F79B0">
            <w:pPr>
              <w:keepNext/>
              <w:rPr>
                <w:del w:id="15091" w:author="AbbVie2" w:date="2025-05-14T10:24:00Z"/>
                <w:sz w:val="22"/>
                <w:szCs w:val="22"/>
                <w:lang w:val="de-DE"/>
              </w:rPr>
            </w:pPr>
            <w:del w:id="15092" w:author="AbbVie2" w:date="2025-05-14T10:24:00Z">
              <w:r w:rsidRPr="00346547">
                <w:rPr>
                  <w:sz w:val="22"/>
                  <w:szCs w:val="22"/>
                  <w:lang w:val="de-DE"/>
                </w:rPr>
                <w:delText>Tel: 00800 222843 33 (gebührenfrei)</w:delText>
              </w:r>
            </w:del>
          </w:p>
          <w:p w14:paraId="60FD5FA5" w14:textId="13C40212" w:rsidR="00012D36" w:rsidRPr="00346547" w:rsidRDefault="00615769" w:rsidP="001F79B0">
            <w:pPr>
              <w:keepNext/>
              <w:rPr>
                <w:del w:id="15093" w:author="AbbVie2" w:date="2025-05-14T10:24:00Z"/>
                <w:sz w:val="22"/>
                <w:szCs w:val="22"/>
                <w:lang w:val="de-DE"/>
              </w:rPr>
            </w:pPr>
            <w:del w:id="15094" w:author="AbbVie2" w:date="2025-05-14T10:24:00Z">
              <w:r w:rsidRPr="00346547">
                <w:rPr>
                  <w:sz w:val="22"/>
                  <w:szCs w:val="22"/>
                  <w:lang w:val="de-DE"/>
                </w:rPr>
                <w:delText>Tel: +49 (0) 611 / 1720-0</w:delText>
              </w:r>
            </w:del>
          </w:p>
          <w:p w14:paraId="734B34F9" w14:textId="619028EE" w:rsidR="00012D36" w:rsidRPr="00346547" w:rsidRDefault="00012D36" w:rsidP="001F79B0">
            <w:pPr>
              <w:keepNext/>
              <w:rPr>
                <w:del w:id="15095" w:author="AbbVie2" w:date="2025-05-14T10:24:00Z"/>
                <w:sz w:val="22"/>
                <w:szCs w:val="22"/>
                <w:lang w:val="de-DE"/>
              </w:rPr>
            </w:pPr>
          </w:p>
        </w:tc>
        <w:tc>
          <w:tcPr>
            <w:tcW w:w="4678" w:type="dxa"/>
            <w:gridSpan w:val="2"/>
          </w:tcPr>
          <w:p w14:paraId="273C3436" w14:textId="1157DD02" w:rsidR="00012D36" w:rsidRPr="00346547" w:rsidRDefault="00615769" w:rsidP="001F79B0">
            <w:pPr>
              <w:keepNext/>
              <w:rPr>
                <w:del w:id="15096" w:author="AbbVie2" w:date="2025-05-14T10:24:00Z"/>
                <w:b/>
                <w:bCs/>
                <w:sz w:val="22"/>
                <w:szCs w:val="22"/>
                <w:lang w:val="nl-NL"/>
              </w:rPr>
            </w:pPr>
            <w:del w:id="15097" w:author="AbbVie2" w:date="2025-05-14T10:24:00Z">
              <w:r w:rsidRPr="00346547">
                <w:rPr>
                  <w:b/>
                  <w:bCs/>
                  <w:sz w:val="22"/>
                  <w:szCs w:val="22"/>
                  <w:lang w:val="nl-NL"/>
                </w:rPr>
                <w:delText>Nederland</w:delText>
              </w:r>
            </w:del>
          </w:p>
          <w:p w14:paraId="4BABC9EB" w14:textId="3B242AE0" w:rsidR="00012D36" w:rsidRPr="00346547" w:rsidRDefault="00615769" w:rsidP="001F79B0">
            <w:pPr>
              <w:keepNext/>
              <w:rPr>
                <w:del w:id="15098" w:author="AbbVie2" w:date="2025-05-14T10:24:00Z"/>
                <w:bCs/>
                <w:sz w:val="22"/>
                <w:szCs w:val="22"/>
                <w:lang w:val="de-DE"/>
              </w:rPr>
            </w:pPr>
            <w:del w:id="15099" w:author="AbbVie2" w:date="2025-05-14T10:24:00Z">
              <w:r w:rsidRPr="00346547">
                <w:rPr>
                  <w:bCs/>
                  <w:sz w:val="22"/>
                  <w:szCs w:val="22"/>
                  <w:lang w:val="de-DE"/>
                </w:rPr>
                <w:delText>AbbVie B.V.</w:delText>
              </w:r>
            </w:del>
          </w:p>
          <w:p w14:paraId="186E0F18" w14:textId="3B7A3F84" w:rsidR="00012D36" w:rsidRPr="00346547" w:rsidRDefault="00615769" w:rsidP="001F79B0">
            <w:pPr>
              <w:keepNext/>
              <w:rPr>
                <w:del w:id="15100" w:author="AbbVie2" w:date="2025-05-14T10:24:00Z"/>
                <w:bCs/>
                <w:sz w:val="22"/>
                <w:szCs w:val="22"/>
                <w:lang w:val="de-DE"/>
              </w:rPr>
            </w:pPr>
            <w:del w:id="15101" w:author="AbbVie2" w:date="2025-05-14T10:24:00Z">
              <w:r w:rsidRPr="00346547">
                <w:rPr>
                  <w:bCs/>
                  <w:sz w:val="22"/>
                  <w:szCs w:val="22"/>
                  <w:lang w:val="de-DE"/>
                </w:rPr>
                <w:delText>Tel: +31 (0)88 322 2843</w:delText>
              </w:r>
            </w:del>
          </w:p>
        </w:tc>
      </w:tr>
      <w:tr w:rsidR="00A7162A" w14:paraId="1C577628" w14:textId="32A24B83" w:rsidTr="001F79B0">
        <w:trPr>
          <w:del w:id="15102" w:author="AbbVie2" w:date="2025-05-14T10:24:00Z"/>
        </w:trPr>
        <w:tc>
          <w:tcPr>
            <w:tcW w:w="4644" w:type="dxa"/>
            <w:gridSpan w:val="2"/>
          </w:tcPr>
          <w:p w14:paraId="7ED28FA8" w14:textId="5DC7BE6D" w:rsidR="00012D36" w:rsidRPr="00346547" w:rsidRDefault="00615769" w:rsidP="001F79B0">
            <w:pPr>
              <w:rPr>
                <w:del w:id="15103" w:author="AbbVie2" w:date="2025-05-14T10:24:00Z"/>
                <w:b/>
                <w:bCs/>
                <w:sz w:val="22"/>
                <w:szCs w:val="22"/>
                <w:lang w:val="et-EE"/>
              </w:rPr>
            </w:pPr>
            <w:del w:id="15104" w:author="AbbVie2" w:date="2025-05-14T10:24:00Z">
              <w:r w:rsidRPr="00346547">
                <w:rPr>
                  <w:b/>
                  <w:bCs/>
                  <w:sz w:val="22"/>
                  <w:szCs w:val="22"/>
                  <w:lang w:val="et-EE"/>
                </w:rPr>
                <w:delText>Eesti</w:delText>
              </w:r>
            </w:del>
          </w:p>
          <w:p w14:paraId="6EDE1764" w14:textId="46AD17D2" w:rsidR="00012D36" w:rsidRPr="00346547" w:rsidRDefault="00615769" w:rsidP="001F79B0">
            <w:pPr>
              <w:rPr>
                <w:del w:id="15105" w:author="AbbVie2" w:date="2025-05-14T10:24:00Z"/>
                <w:bCs/>
                <w:sz w:val="22"/>
                <w:szCs w:val="22"/>
                <w:lang w:val="et-EE"/>
              </w:rPr>
            </w:pPr>
            <w:del w:id="15106" w:author="AbbVie2" w:date="2025-05-14T10:24:00Z">
              <w:r w:rsidRPr="00346547">
                <w:rPr>
                  <w:bCs/>
                  <w:sz w:val="22"/>
                  <w:szCs w:val="22"/>
                  <w:lang w:val="et-EE"/>
                </w:rPr>
                <w:delText xml:space="preserve">AbbVie </w:delText>
              </w:r>
              <w:r w:rsidRPr="00346547">
                <w:rPr>
                  <w:bCs/>
                  <w:sz w:val="22"/>
                  <w:szCs w:val="22"/>
                </w:rPr>
                <w:delText>OÜ</w:delText>
              </w:r>
              <w:r w:rsidRPr="00346547">
                <w:rPr>
                  <w:bCs/>
                  <w:sz w:val="22"/>
                  <w:szCs w:val="22"/>
                  <w:lang w:val="et-EE"/>
                </w:rPr>
                <w:delText xml:space="preserve"> </w:delText>
              </w:r>
            </w:del>
          </w:p>
          <w:p w14:paraId="59343ECE" w14:textId="7EC6A1D4" w:rsidR="00012D36" w:rsidRPr="00346547" w:rsidRDefault="00615769" w:rsidP="001F79B0">
            <w:pPr>
              <w:rPr>
                <w:del w:id="15107" w:author="AbbVie2" w:date="2025-05-14T10:24:00Z"/>
                <w:bCs/>
                <w:sz w:val="22"/>
                <w:szCs w:val="22"/>
                <w:lang w:val="lv-LV"/>
              </w:rPr>
            </w:pPr>
            <w:del w:id="15108" w:author="AbbVie2" w:date="2025-05-14T10:24:00Z">
              <w:r w:rsidRPr="00346547">
                <w:rPr>
                  <w:bCs/>
                  <w:sz w:val="22"/>
                  <w:szCs w:val="22"/>
                  <w:lang w:val="et-EE"/>
                </w:rPr>
                <w:delText>Tel: +372 623 1011</w:delText>
              </w:r>
            </w:del>
          </w:p>
        </w:tc>
        <w:tc>
          <w:tcPr>
            <w:tcW w:w="4678" w:type="dxa"/>
            <w:gridSpan w:val="2"/>
          </w:tcPr>
          <w:p w14:paraId="445A38D5" w14:textId="6F119CF3" w:rsidR="00012D36" w:rsidRPr="00BE62F9" w:rsidRDefault="00615769" w:rsidP="001F79B0">
            <w:pPr>
              <w:rPr>
                <w:del w:id="15109" w:author="AbbVie2" w:date="2025-05-14T10:24:00Z"/>
                <w:b/>
                <w:bCs/>
                <w:sz w:val="22"/>
                <w:szCs w:val="22"/>
                <w:rPrChange w:id="15110" w:author="AbbVie2" w:date="2025-09-08T09:53:00Z">
                  <w:rPr>
                    <w:del w:id="15111" w:author="AbbVie2" w:date="2025-05-14T10:24:00Z"/>
                    <w:b/>
                    <w:bCs/>
                    <w:sz w:val="22"/>
                    <w:szCs w:val="22"/>
                    <w:lang w:val="en-US"/>
                  </w:rPr>
                </w:rPrChange>
              </w:rPr>
            </w:pPr>
            <w:del w:id="15112" w:author="AbbVie2" w:date="2025-05-14T10:24:00Z">
              <w:r w:rsidRPr="00BE62F9">
                <w:rPr>
                  <w:b/>
                  <w:bCs/>
                  <w:sz w:val="22"/>
                  <w:szCs w:val="22"/>
                  <w:rPrChange w:id="15113" w:author="AbbVie2" w:date="2025-09-08T09:53:00Z">
                    <w:rPr>
                      <w:b/>
                      <w:bCs/>
                      <w:sz w:val="22"/>
                      <w:szCs w:val="22"/>
                      <w:lang w:val="en-US"/>
                    </w:rPr>
                  </w:rPrChange>
                </w:rPr>
                <w:delText>Norge</w:delText>
              </w:r>
            </w:del>
          </w:p>
          <w:p w14:paraId="54430E9B" w14:textId="669E0EBE" w:rsidR="00012D36" w:rsidRPr="00346547" w:rsidRDefault="00615769" w:rsidP="001F79B0">
            <w:pPr>
              <w:rPr>
                <w:del w:id="15114" w:author="AbbVie2" w:date="2025-05-14T10:24:00Z"/>
                <w:bCs/>
                <w:sz w:val="22"/>
                <w:szCs w:val="22"/>
              </w:rPr>
            </w:pPr>
            <w:del w:id="15115" w:author="AbbVie2" w:date="2025-05-14T10:24:00Z">
              <w:r w:rsidRPr="00346547">
                <w:rPr>
                  <w:bCs/>
                  <w:sz w:val="22"/>
                  <w:szCs w:val="22"/>
                </w:rPr>
                <w:delText>AbbVie AS</w:delText>
              </w:r>
            </w:del>
          </w:p>
          <w:p w14:paraId="2B94383C" w14:textId="5235BC27" w:rsidR="00012D36" w:rsidRPr="00346547" w:rsidRDefault="00615769" w:rsidP="001F79B0">
            <w:pPr>
              <w:rPr>
                <w:del w:id="15116" w:author="AbbVie2" w:date="2025-05-14T10:24:00Z"/>
                <w:bCs/>
                <w:sz w:val="22"/>
                <w:szCs w:val="22"/>
              </w:rPr>
            </w:pPr>
            <w:del w:id="15117" w:author="AbbVie2" w:date="2025-05-14T10:24:00Z">
              <w:r w:rsidRPr="00346547">
                <w:rPr>
                  <w:bCs/>
                  <w:sz w:val="22"/>
                  <w:szCs w:val="22"/>
                </w:rPr>
                <w:delText>Tlf: +47 67 81 80 00</w:delText>
              </w:r>
            </w:del>
          </w:p>
          <w:p w14:paraId="703E2D29" w14:textId="727FF9E2" w:rsidR="00012D36" w:rsidRPr="00346547" w:rsidRDefault="00012D36" w:rsidP="001F79B0">
            <w:pPr>
              <w:rPr>
                <w:del w:id="15118" w:author="AbbVie2" w:date="2025-05-14T10:24:00Z"/>
                <w:bCs/>
                <w:sz w:val="22"/>
                <w:szCs w:val="22"/>
              </w:rPr>
            </w:pPr>
          </w:p>
        </w:tc>
      </w:tr>
      <w:tr w:rsidR="00A7162A" w14:paraId="25BFB081" w14:textId="66A8D035" w:rsidTr="001F79B0">
        <w:trPr>
          <w:trHeight w:val="794"/>
          <w:del w:id="15119" w:author="AbbVie2" w:date="2025-05-14T10:24:00Z"/>
        </w:trPr>
        <w:tc>
          <w:tcPr>
            <w:tcW w:w="4644" w:type="dxa"/>
            <w:gridSpan w:val="2"/>
          </w:tcPr>
          <w:p w14:paraId="625CA489" w14:textId="4F62665B" w:rsidR="00012D36" w:rsidRPr="00346547" w:rsidRDefault="00615769" w:rsidP="001F79B0">
            <w:pPr>
              <w:rPr>
                <w:del w:id="15120" w:author="AbbVie2" w:date="2025-05-14T10:24:00Z"/>
                <w:b/>
                <w:bCs/>
                <w:sz w:val="22"/>
                <w:szCs w:val="22"/>
                <w:lang w:val="el-GR"/>
              </w:rPr>
            </w:pPr>
            <w:del w:id="15121" w:author="AbbVie2" w:date="2025-05-14T10:24:00Z">
              <w:r w:rsidRPr="00346547">
                <w:rPr>
                  <w:b/>
                  <w:bCs/>
                  <w:sz w:val="22"/>
                  <w:szCs w:val="22"/>
                  <w:lang w:val="el-GR"/>
                </w:rPr>
                <w:delText>Ελλάδα</w:delText>
              </w:r>
            </w:del>
          </w:p>
          <w:p w14:paraId="17210AF7" w14:textId="7CEA0550" w:rsidR="00012D36" w:rsidRPr="00346547" w:rsidRDefault="00615769" w:rsidP="001F79B0">
            <w:pPr>
              <w:rPr>
                <w:del w:id="15122" w:author="AbbVie2" w:date="2025-05-14T10:24:00Z"/>
                <w:bCs/>
                <w:sz w:val="22"/>
                <w:szCs w:val="22"/>
                <w:lang w:val="el-GR"/>
              </w:rPr>
            </w:pPr>
            <w:del w:id="15123" w:author="AbbVie2" w:date="2025-05-14T10:24:00Z">
              <w:r w:rsidRPr="00346547">
                <w:rPr>
                  <w:bCs/>
                  <w:sz w:val="22"/>
                  <w:szCs w:val="22"/>
                  <w:lang w:val="et-EE"/>
                </w:rPr>
                <w:delText xml:space="preserve">AbbVie </w:delText>
              </w:r>
              <w:r w:rsidRPr="00346547">
                <w:rPr>
                  <w:sz w:val="22"/>
                  <w:szCs w:val="22"/>
                  <w:lang w:val="el-GR"/>
                </w:rPr>
                <w:delText>ΦΑΡΜΑΚΕΥΤΙΚΗ Α.Ε.</w:delText>
              </w:r>
            </w:del>
          </w:p>
          <w:p w14:paraId="69AE6E7C" w14:textId="78249430" w:rsidR="00012D36" w:rsidRPr="00346547" w:rsidRDefault="00615769" w:rsidP="001F79B0">
            <w:pPr>
              <w:rPr>
                <w:del w:id="15124" w:author="AbbVie2" w:date="2025-05-14T10:24:00Z"/>
                <w:bCs/>
                <w:sz w:val="22"/>
                <w:szCs w:val="22"/>
              </w:rPr>
            </w:pPr>
            <w:del w:id="15125" w:author="AbbVie2" w:date="2025-05-14T10:24:00Z">
              <w:r w:rsidRPr="00346547">
                <w:rPr>
                  <w:bCs/>
                  <w:sz w:val="22"/>
                  <w:szCs w:val="22"/>
                  <w:lang w:val="el-GR"/>
                </w:rPr>
                <w:delText xml:space="preserve">Τηλ: +30 </w:delText>
              </w:r>
              <w:r w:rsidRPr="00346547">
                <w:rPr>
                  <w:bCs/>
                  <w:sz w:val="22"/>
                  <w:szCs w:val="22"/>
                </w:rPr>
                <w:delText>214 4165 555</w:delText>
              </w:r>
            </w:del>
          </w:p>
        </w:tc>
        <w:tc>
          <w:tcPr>
            <w:tcW w:w="4678" w:type="dxa"/>
            <w:gridSpan w:val="2"/>
          </w:tcPr>
          <w:p w14:paraId="63D17332" w14:textId="2F874B50" w:rsidR="00012D36" w:rsidRPr="00346547" w:rsidRDefault="00615769" w:rsidP="001F79B0">
            <w:pPr>
              <w:rPr>
                <w:del w:id="15126" w:author="AbbVie2" w:date="2025-05-14T10:24:00Z"/>
                <w:b/>
                <w:bCs/>
                <w:sz w:val="22"/>
                <w:szCs w:val="22"/>
                <w:lang w:val="de-DE"/>
              </w:rPr>
            </w:pPr>
            <w:del w:id="15127" w:author="AbbVie2" w:date="2025-05-14T10:24:00Z">
              <w:r w:rsidRPr="00346547">
                <w:rPr>
                  <w:b/>
                  <w:bCs/>
                  <w:sz w:val="22"/>
                  <w:szCs w:val="22"/>
                  <w:lang w:val="de-DE"/>
                </w:rPr>
                <w:delText>Österreich</w:delText>
              </w:r>
            </w:del>
          </w:p>
          <w:p w14:paraId="753D316F" w14:textId="4AF3F7B4" w:rsidR="00012D36" w:rsidRPr="00346547" w:rsidRDefault="00615769" w:rsidP="001F79B0">
            <w:pPr>
              <w:rPr>
                <w:del w:id="15128" w:author="AbbVie2" w:date="2025-05-14T10:24:00Z"/>
                <w:bCs/>
                <w:sz w:val="22"/>
                <w:szCs w:val="22"/>
                <w:lang w:val="de-DE"/>
              </w:rPr>
            </w:pPr>
            <w:del w:id="15129" w:author="AbbVie2" w:date="2025-05-14T10:24:00Z">
              <w:r w:rsidRPr="00346547">
                <w:rPr>
                  <w:bCs/>
                  <w:sz w:val="22"/>
                  <w:szCs w:val="22"/>
                  <w:lang w:val="de-DE"/>
                </w:rPr>
                <w:delText xml:space="preserve">AbbVie GmbH </w:delText>
              </w:r>
            </w:del>
          </w:p>
          <w:p w14:paraId="479E5B39" w14:textId="2131C5D5" w:rsidR="00012D36" w:rsidRPr="00346547" w:rsidRDefault="00615769" w:rsidP="001F79B0">
            <w:pPr>
              <w:rPr>
                <w:del w:id="15130" w:author="AbbVie2" w:date="2025-05-14T10:24:00Z"/>
                <w:bCs/>
                <w:sz w:val="22"/>
                <w:szCs w:val="22"/>
                <w:lang w:val="de-DE"/>
              </w:rPr>
            </w:pPr>
            <w:del w:id="15131" w:author="AbbVie2" w:date="2025-05-14T10:24:00Z">
              <w:r w:rsidRPr="00346547">
                <w:rPr>
                  <w:bCs/>
                  <w:sz w:val="22"/>
                  <w:szCs w:val="22"/>
                  <w:lang w:val="de-DE"/>
                </w:rPr>
                <w:delText>Tel: +43 1 20589-0</w:delText>
              </w:r>
            </w:del>
          </w:p>
          <w:p w14:paraId="211E62C4" w14:textId="0D7F45E3" w:rsidR="00012D36" w:rsidRPr="00346547" w:rsidRDefault="00012D36" w:rsidP="001F79B0">
            <w:pPr>
              <w:rPr>
                <w:del w:id="15132" w:author="AbbVie2" w:date="2025-05-14T10:24:00Z"/>
                <w:bCs/>
                <w:sz w:val="22"/>
                <w:szCs w:val="22"/>
                <w:lang w:val="de-DE"/>
              </w:rPr>
            </w:pPr>
          </w:p>
        </w:tc>
      </w:tr>
      <w:tr w:rsidR="00A7162A" w14:paraId="60E19606" w14:textId="6D10EB67" w:rsidTr="001F79B0">
        <w:trPr>
          <w:gridBefore w:val="1"/>
          <w:wBefore w:w="34" w:type="dxa"/>
          <w:del w:id="15133" w:author="AbbVie2" w:date="2025-05-14T10:24:00Z"/>
        </w:trPr>
        <w:tc>
          <w:tcPr>
            <w:tcW w:w="4644" w:type="dxa"/>
            <w:gridSpan w:val="2"/>
          </w:tcPr>
          <w:p w14:paraId="45E2FA4A" w14:textId="76315E7D" w:rsidR="00012D36" w:rsidRPr="00346547" w:rsidRDefault="00615769" w:rsidP="001F79B0">
            <w:pPr>
              <w:rPr>
                <w:del w:id="15134" w:author="AbbVie2" w:date="2025-05-14T10:24:00Z"/>
                <w:b/>
                <w:bCs/>
                <w:sz w:val="22"/>
                <w:szCs w:val="22"/>
                <w:lang w:val="es-ES"/>
              </w:rPr>
            </w:pPr>
            <w:del w:id="15135" w:author="AbbVie2" w:date="2025-05-14T10:24:00Z">
              <w:r w:rsidRPr="00346547">
                <w:rPr>
                  <w:b/>
                  <w:bCs/>
                  <w:sz w:val="22"/>
                  <w:szCs w:val="22"/>
                  <w:lang w:val="es-ES"/>
                </w:rPr>
                <w:delText>España</w:delText>
              </w:r>
            </w:del>
          </w:p>
          <w:p w14:paraId="2FA8AFEB" w14:textId="6EC98CBB" w:rsidR="00012D36" w:rsidRPr="00346547" w:rsidRDefault="00615769" w:rsidP="001F79B0">
            <w:pPr>
              <w:rPr>
                <w:del w:id="15136" w:author="AbbVie2" w:date="2025-05-14T10:24:00Z"/>
                <w:sz w:val="22"/>
                <w:szCs w:val="22"/>
                <w:lang w:val="es-ES"/>
              </w:rPr>
            </w:pPr>
            <w:del w:id="15137" w:author="AbbVie2" w:date="2025-05-14T10:24:00Z">
              <w:r w:rsidRPr="00346547">
                <w:rPr>
                  <w:sz w:val="22"/>
                  <w:szCs w:val="22"/>
                  <w:lang w:val="es-ES"/>
                </w:rPr>
                <w:delText xml:space="preserve">AbbVie </w:delText>
              </w:r>
              <w:r w:rsidRPr="00346547">
                <w:rPr>
                  <w:bCs/>
                  <w:sz w:val="22"/>
                  <w:szCs w:val="22"/>
                  <w:lang w:val="es-ES"/>
                </w:rPr>
                <w:delText>Spain</w:delText>
              </w:r>
              <w:r w:rsidRPr="00346547">
                <w:rPr>
                  <w:sz w:val="22"/>
                  <w:szCs w:val="22"/>
                  <w:lang w:val="es-ES"/>
                </w:rPr>
                <w:delText>, S.L.U</w:delText>
              </w:r>
              <w:r w:rsidRPr="00346547">
                <w:rPr>
                  <w:bCs/>
                  <w:sz w:val="22"/>
                  <w:szCs w:val="22"/>
                  <w:lang w:val="es-ES"/>
                </w:rPr>
                <w:delText>.</w:delText>
              </w:r>
            </w:del>
          </w:p>
          <w:p w14:paraId="75718556" w14:textId="49113192" w:rsidR="00012D36" w:rsidRPr="00346547" w:rsidRDefault="00615769" w:rsidP="001F79B0">
            <w:pPr>
              <w:rPr>
                <w:del w:id="15138" w:author="AbbVie2" w:date="2025-05-14T10:24:00Z"/>
                <w:bCs/>
                <w:sz w:val="22"/>
                <w:szCs w:val="22"/>
                <w:lang w:val="pl-PL"/>
              </w:rPr>
            </w:pPr>
            <w:del w:id="15139" w:author="AbbVie2" w:date="2025-05-14T10:24:00Z">
              <w:r w:rsidRPr="00346547">
                <w:rPr>
                  <w:bCs/>
                  <w:sz w:val="22"/>
                  <w:szCs w:val="22"/>
                </w:rPr>
                <w:delText>Tel: +34 91 384 09 10</w:delText>
              </w:r>
            </w:del>
          </w:p>
        </w:tc>
        <w:tc>
          <w:tcPr>
            <w:tcW w:w="4678" w:type="dxa"/>
          </w:tcPr>
          <w:p w14:paraId="1F153293" w14:textId="402B10D9" w:rsidR="00012D36" w:rsidRPr="00346547" w:rsidRDefault="00615769" w:rsidP="001F79B0">
            <w:pPr>
              <w:rPr>
                <w:del w:id="15140" w:author="AbbVie2" w:date="2025-05-14T10:24:00Z"/>
                <w:b/>
                <w:bCs/>
                <w:iCs/>
                <w:sz w:val="22"/>
                <w:szCs w:val="22"/>
                <w:lang w:val="pl-PL"/>
              </w:rPr>
            </w:pPr>
            <w:del w:id="15141" w:author="AbbVie2" w:date="2025-05-14T10:24:00Z">
              <w:r w:rsidRPr="00346547">
                <w:rPr>
                  <w:b/>
                  <w:bCs/>
                  <w:iCs/>
                  <w:sz w:val="22"/>
                  <w:szCs w:val="22"/>
                  <w:lang w:val="pl-PL"/>
                </w:rPr>
                <w:delText>Polska</w:delText>
              </w:r>
            </w:del>
          </w:p>
          <w:p w14:paraId="0B41EE79" w14:textId="5007D2C1" w:rsidR="00012D36" w:rsidRPr="00346547" w:rsidRDefault="00615769" w:rsidP="001F79B0">
            <w:pPr>
              <w:rPr>
                <w:del w:id="15142" w:author="AbbVie2" w:date="2025-05-14T10:24:00Z"/>
                <w:bCs/>
                <w:sz w:val="22"/>
                <w:szCs w:val="22"/>
                <w:lang w:val="pl-PL"/>
              </w:rPr>
            </w:pPr>
            <w:del w:id="15143" w:author="AbbVie2" w:date="2025-05-14T10:24:00Z">
              <w:r w:rsidRPr="00346547">
                <w:rPr>
                  <w:bCs/>
                  <w:sz w:val="22"/>
                  <w:szCs w:val="22"/>
                  <w:lang w:val="pl-PL"/>
                </w:rPr>
                <w:delText>AbbVie Sp. z o.o.</w:delText>
              </w:r>
            </w:del>
          </w:p>
          <w:p w14:paraId="7B664CDA" w14:textId="70C587B1" w:rsidR="00012D36" w:rsidRPr="00346547" w:rsidRDefault="00615769" w:rsidP="001F79B0">
            <w:pPr>
              <w:pStyle w:val="Footer"/>
              <w:rPr>
                <w:del w:id="15144" w:author="AbbVie2" w:date="2025-05-14T10:24:00Z"/>
                <w:bCs/>
                <w:sz w:val="22"/>
                <w:szCs w:val="22"/>
                <w:lang w:val="pl-PL"/>
              </w:rPr>
            </w:pPr>
            <w:del w:id="15145" w:author="AbbVie2" w:date="2025-05-14T10:24:00Z">
              <w:r w:rsidRPr="00346547">
                <w:rPr>
                  <w:sz w:val="22"/>
                  <w:szCs w:val="22"/>
                  <w:lang w:val="es-ES"/>
                </w:rPr>
                <w:delText xml:space="preserve">Tel.: +48 22 </w:delText>
              </w:r>
              <w:r w:rsidRPr="00346547">
                <w:rPr>
                  <w:bCs/>
                  <w:sz w:val="22"/>
                  <w:szCs w:val="22"/>
                  <w:lang w:val="pl-PL"/>
                </w:rPr>
                <w:delText xml:space="preserve">372 78 00 </w:delText>
              </w:r>
            </w:del>
          </w:p>
          <w:p w14:paraId="1E9F508B" w14:textId="64F383B7" w:rsidR="00012D36" w:rsidRPr="00346547" w:rsidRDefault="00012D36" w:rsidP="001F79B0">
            <w:pPr>
              <w:pStyle w:val="Footer"/>
              <w:rPr>
                <w:del w:id="15146" w:author="AbbVie2" w:date="2025-05-14T10:24:00Z"/>
                <w:bCs/>
                <w:sz w:val="22"/>
                <w:szCs w:val="22"/>
                <w:lang w:val="pl-PL"/>
              </w:rPr>
            </w:pPr>
          </w:p>
        </w:tc>
      </w:tr>
      <w:tr w:rsidR="00A7162A" w14:paraId="718AA056" w14:textId="731A3BFB" w:rsidTr="001F79B0">
        <w:trPr>
          <w:trHeight w:val="734"/>
          <w:del w:id="15147" w:author="AbbVie2" w:date="2025-05-14T10:24:00Z"/>
        </w:trPr>
        <w:tc>
          <w:tcPr>
            <w:tcW w:w="4678" w:type="dxa"/>
            <w:gridSpan w:val="3"/>
          </w:tcPr>
          <w:p w14:paraId="4945407E" w14:textId="215B9FDA" w:rsidR="00012D36" w:rsidRPr="00346547" w:rsidRDefault="00615769" w:rsidP="001F79B0">
            <w:pPr>
              <w:ind w:firstLine="34"/>
              <w:rPr>
                <w:del w:id="15148" w:author="AbbVie2" w:date="2025-05-14T10:24:00Z"/>
                <w:b/>
                <w:bCs/>
                <w:sz w:val="22"/>
                <w:szCs w:val="22"/>
                <w:lang w:val="fr-FR"/>
              </w:rPr>
            </w:pPr>
            <w:del w:id="15149" w:author="AbbVie2" w:date="2025-05-14T10:24:00Z">
              <w:r w:rsidRPr="00346547">
                <w:rPr>
                  <w:b/>
                  <w:bCs/>
                  <w:sz w:val="22"/>
                  <w:szCs w:val="22"/>
                  <w:lang w:val="fr-FR"/>
                </w:rPr>
                <w:delText>France</w:delText>
              </w:r>
            </w:del>
          </w:p>
          <w:p w14:paraId="00C7F33A" w14:textId="320FF9CC" w:rsidR="00012D36" w:rsidRPr="00346547" w:rsidRDefault="00615769" w:rsidP="001F79B0">
            <w:pPr>
              <w:ind w:firstLine="34"/>
              <w:rPr>
                <w:del w:id="15150" w:author="AbbVie2" w:date="2025-05-14T10:24:00Z"/>
                <w:bCs/>
                <w:sz w:val="22"/>
                <w:szCs w:val="22"/>
                <w:lang w:val="fr-FR"/>
              </w:rPr>
            </w:pPr>
            <w:del w:id="15151" w:author="AbbVie2" w:date="2025-05-14T10:24:00Z">
              <w:r w:rsidRPr="00346547">
                <w:rPr>
                  <w:bCs/>
                  <w:sz w:val="22"/>
                  <w:szCs w:val="22"/>
                  <w:lang w:val="fr-FR"/>
                </w:rPr>
                <w:delText>AbbVie</w:delText>
              </w:r>
            </w:del>
          </w:p>
          <w:p w14:paraId="11CA9632" w14:textId="4A641107" w:rsidR="00012D36" w:rsidRPr="00346547" w:rsidRDefault="00615769" w:rsidP="001F79B0">
            <w:pPr>
              <w:ind w:firstLine="34"/>
              <w:rPr>
                <w:del w:id="15152" w:author="AbbVie2" w:date="2025-05-14T10:24:00Z"/>
                <w:bCs/>
                <w:sz w:val="22"/>
                <w:szCs w:val="22"/>
                <w:lang w:val="fr-FR"/>
              </w:rPr>
            </w:pPr>
            <w:del w:id="15153" w:author="AbbVie2" w:date="2025-05-14T10:24:00Z">
              <w:r w:rsidRPr="00346547">
                <w:rPr>
                  <w:bCs/>
                  <w:sz w:val="22"/>
                  <w:szCs w:val="22"/>
                  <w:lang w:val="fr-FR"/>
                </w:rPr>
                <w:delText>Tél: +33 (0) 1 45 60 13 00</w:delText>
              </w:r>
            </w:del>
          </w:p>
        </w:tc>
        <w:tc>
          <w:tcPr>
            <w:tcW w:w="4678" w:type="dxa"/>
          </w:tcPr>
          <w:p w14:paraId="23F0B064" w14:textId="7A47674B" w:rsidR="00012D36" w:rsidRPr="00346547" w:rsidRDefault="00615769" w:rsidP="001F79B0">
            <w:pPr>
              <w:rPr>
                <w:del w:id="15154" w:author="AbbVie2" w:date="2025-05-14T10:24:00Z"/>
                <w:b/>
                <w:bCs/>
                <w:sz w:val="22"/>
                <w:szCs w:val="22"/>
              </w:rPr>
            </w:pPr>
            <w:del w:id="15155" w:author="AbbVie2" w:date="2025-05-14T10:24:00Z">
              <w:r w:rsidRPr="00346547">
                <w:rPr>
                  <w:b/>
                  <w:bCs/>
                  <w:sz w:val="22"/>
                  <w:szCs w:val="22"/>
                </w:rPr>
                <w:delText>Portugal</w:delText>
              </w:r>
            </w:del>
          </w:p>
          <w:p w14:paraId="63ABC275" w14:textId="1BC4F02B" w:rsidR="00012D36" w:rsidRPr="00346547" w:rsidRDefault="00615769" w:rsidP="001F79B0">
            <w:pPr>
              <w:pStyle w:val="Footer"/>
              <w:rPr>
                <w:del w:id="15156" w:author="AbbVie2" w:date="2025-05-14T10:24:00Z"/>
                <w:bCs/>
                <w:sz w:val="22"/>
                <w:szCs w:val="22"/>
                <w:lang w:val="fr-FR"/>
              </w:rPr>
            </w:pPr>
            <w:del w:id="15157" w:author="AbbVie2" w:date="2025-05-14T10:24:00Z">
              <w:r w:rsidRPr="00346547">
                <w:rPr>
                  <w:bCs/>
                  <w:sz w:val="22"/>
                  <w:szCs w:val="22"/>
                  <w:lang w:val="fr-FR"/>
                </w:rPr>
                <w:delText xml:space="preserve">AbbVie, Lda. </w:delText>
              </w:r>
            </w:del>
          </w:p>
          <w:p w14:paraId="4F4FE7B2" w14:textId="0D0B3DF8" w:rsidR="00012D36" w:rsidRPr="00346547" w:rsidRDefault="00615769" w:rsidP="001F79B0">
            <w:pPr>
              <w:pStyle w:val="Footer"/>
              <w:rPr>
                <w:del w:id="15158" w:author="AbbVie2" w:date="2025-05-14T10:24:00Z"/>
                <w:sz w:val="22"/>
                <w:szCs w:val="22"/>
                <w:lang w:val="fr-FR"/>
              </w:rPr>
            </w:pPr>
            <w:del w:id="15159" w:author="AbbVie2" w:date="2025-05-14T10:24:00Z">
              <w:r w:rsidRPr="00346547">
                <w:rPr>
                  <w:sz w:val="22"/>
                  <w:szCs w:val="22"/>
                  <w:lang w:val="fr-FR"/>
                </w:rPr>
                <w:delText>Tel: +351 (0)21 1908400</w:delText>
              </w:r>
            </w:del>
          </w:p>
          <w:p w14:paraId="47786A16" w14:textId="03551BDA" w:rsidR="00012D36" w:rsidRPr="00346547" w:rsidRDefault="00012D36" w:rsidP="001F79B0">
            <w:pPr>
              <w:pStyle w:val="Footer"/>
              <w:rPr>
                <w:del w:id="15160" w:author="AbbVie2" w:date="2025-05-14T10:24:00Z"/>
                <w:sz w:val="22"/>
                <w:szCs w:val="22"/>
                <w:lang w:val="fr-FR"/>
              </w:rPr>
            </w:pPr>
          </w:p>
        </w:tc>
      </w:tr>
      <w:tr w:rsidR="00A7162A" w14:paraId="322D08D1" w14:textId="52B67BBC" w:rsidTr="001F79B0">
        <w:trPr>
          <w:gridBefore w:val="1"/>
          <w:wBefore w:w="34" w:type="dxa"/>
          <w:del w:id="15161" w:author="AbbVie2" w:date="2025-05-14T10:24:00Z"/>
        </w:trPr>
        <w:tc>
          <w:tcPr>
            <w:tcW w:w="4644" w:type="dxa"/>
            <w:gridSpan w:val="2"/>
          </w:tcPr>
          <w:p w14:paraId="6E35F4FB" w14:textId="3EF77D0A" w:rsidR="00012D36" w:rsidRPr="00860B88" w:rsidRDefault="00615769" w:rsidP="001F79B0">
            <w:pPr>
              <w:pStyle w:val="Default"/>
              <w:rPr>
                <w:del w:id="15162" w:author="AbbVie2" w:date="2025-05-14T10:24:00Z"/>
                <w:color w:val="auto"/>
                <w:sz w:val="22"/>
                <w:szCs w:val="22"/>
                <w:lang w:val="pt-PT"/>
              </w:rPr>
            </w:pPr>
            <w:del w:id="15163" w:author="AbbVie2" w:date="2025-05-14T10:24:00Z">
              <w:r w:rsidRPr="00860B88">
                <w:rPr>
                  <w:b/>
                  <w:bCs/>
                  <w:color w:val="auto"/>
                  <w:sz w:val="22"/>
                  <w:szCs w:val="22"/>
                  <w:lang w:val="pt-PT"/>
                </w:rPr>
                <w:delText xml:space="preserve">Hrvatska </w:delText>
              </w:r>
            </w:del>
          </w:p>
          <w:p w14:paraId="27043733" w14:textId="7D057807" w:rsidR="00012D36" w:rsidRPr="00346547" w:rsidRDefault="00615769" w:rsidP="001F79B0">
            <w:pPr>
              <w:rPr>
                <w:del w:id="15164" w:author="AbbVie2" w:date="2025-05-14T10:24:00Z"/>
                <w:sz w:val="22"/>
                <w:szCs w:val="22"/>
                <w:lang w:val="hr-HR"/>
              </w:rPr>
            </w:pPr>
            <w:del w:id="15165" w:author="AbbVie2" w:date="2025-05-14T10:24:00Z">
              <w:r w:rsidRPr="00346547">
                <w:rPr>
                  <w:sz w:val="22"/>
                  <w:szCs w:val="22"/>
                  <w:lang w:val="hr-HR"/>
                </w:rPr>
                <w:delText>AbbVie d.o.o.</w:delText>
              </w:r>
            </w:del>
          </w:p>
          <w:p w14:paraId="67C6564C" w14:textId="1482411C" w:rsidR="00012D36" w:rsidRPr="00346547" w:rsidRDefault="00615769" w:rsidP="001F79B0">
            <w:pPr>
              <w:rPr>
                <w:del w:id="15166" w:author="AbbVie2" w:date="2025-05-14T10:24:00Z"/>
                <w:bCs/>
                <w:sz w:val="22"/>
                <w:szCs w:val="22"/>
                <w:lang w:val="it-IT"/>
              </w:rPr>
            </w:pPr>
            <w:del w:id="15167" w:author="AbbVie2" w:date="2025-05-14T10:24:00Z">
              <w:r w:rsidRPr="00346547">
                <w:rPr>
                  <w:sz w:val="22"/>
                  <w:szCs w:val="22"/>
                  <w:lang w:val="hr-HR"/>
                </w:rPr>
                <w:delText xml:space="preserve">Tel + 385 (0)1 </w:delText>
              </w:r>
              <w:r w:rsidRPr="00FF65EF">
                <w:rPr>
                  <w:sz w:val="22"/>
                  <w:szCs w:val="22"/>
                  <w:rPrChange w:id="15168" w:author="AbbVie2" w:date="2025-05-14T12:36:00Z">
                    <w:rPr>
                      <w:sz w:val="22"/>
                      <w:szCs w:val="22"/>
                      <w:lang w:val="en-US"/>
                    </w:rPr>
                  </w:rPrChange>
                </w:rPr>
                <w:delText>5625 501</w:delText>
              </w:r>
            </w:del>
          </w:p>
        </w:tc>
        <w:tc>
          <w:tcPr>
            <w:tcW w:w="4678" w:type="dxa"/>
          </w:tcPr>
          <w:p w14:paraId="3EE99958" w14:textId="3532AFDB" w:rsidR="00012D36" w:rsidRPr="00346547" w:rsidRDefault="00615769" w:rsidP="001F79B0">
            <w:pPr>
              <w:pStyle w:val="EMEANormal"/>
              <w:rPr>
                <w:del w:id="15169" w:author="AbbVie2" w:date="2025-05-14T10:24:00Z"/>
                <w:b/>
                <w:bCs/>
                <w:szCs w:val="22"/>
                <w:lang w:val="it-IT"/>
              </w:rPr>
            </w:pPr>
            <w:del w:id="15170" w:author="AbbVie2" w:date="2025-05-14T10:24:00Z">
              <w:r w:rsidRPr="00346547">
                <w:rPr>
                  <w:b/>
                  <w:bCs/>
                  <w:szCs w:val="22"/>
                  <w:lang w:val="it-IT"/>
                </w:rPr>
                <w:delText>România</w:delText>
              </w:r>
            </w:del>
          </w:p>
          <w:p w14:paraId="22ACA8DA" w14:textId="044A12C3" w:rsidR="00012D36" w:rsidRPr="00346547" w:rsidRDefault="00615769" w:rsidP="001F79B0">
            <w:pPr>
              <w:rPr>
                <w:del w:id="15171" w:author="AbbVie2" w:date="2025-05-14T10:24:00Z"/>
                <w:rFonts w:eastAsia="MS Mincho"/>
                <w:sz w:val="22"/>
                <w:szCs w:val="22"/>
                <w:lang w:val="it-IT" w:eastAsia="ja-JP"/>
              </w:rPr>
            </w:pPr>
            <w:del w:id="15172" w:author="AbbVie2" w:date="2025-05-14T10:24:00Z">
              <w:r w:rsidRPr="00346547">
                <w:rPr>
                  <w:rFonts w:eastAsia="MS Mincho"/>
                  <w:sz w:val="22"/>
                  <w:szCs w:val="22"/>
                  <w:lang w:val="it-IT" w:eastAsia="ja-JP"/>
                </w:rPr>
                <w:delText>AbbVie S.R.L.</w:delText>
              </w:r>
            </w:del>
          </w:p>
          <w:p w14:paraId="54D66B8A" w14:textId="300CB93C" w:rsidR="00012D36" w:rsidRPr="00346547" w:rsidRDefault="00615769" w:rsidP="001F79B0">
            <w:pPr>
              <w:rPr>
                <w:del w:id="15173" w:author="AbbVie2" w:date="2025-05-14T10:24:00Z"/>
                <w:sz w:val="22"/>
                <w:szCs w:val="22"/>
                <w:lang w:val="pl-PL"/>
              </w:rPr>
            </w:pPr>
            <w:del w:id="15174" w:author="AbbVie2" w:date="2025-05-14T10:24:00Z">
              <w:r w:rsidRPr="00346547">
                <w:rPr>
                  <w:sz w:val="22"/>
                  <w:szCs w:val="22"/>
                  <w:lang w:val="pl-PL"/>
                </w:rPr>
                <w:delText>Tel: +40 21 529 30 35</w:delText>
              </w:r>
            </w:del>
          </w:p>
          <w:p w14:paraId="40E87DC0" w14:textId="732AF99A" w:rsidR="00012D36" w:rsidRPr="00346547" w:rsidRDefault="00012D36" w:rsidP="001F79B0">
            <w:pPr>
              <w:rPr>
                <w:del w:id="15175" w:author="AbbVie2" w:date="2025-05-14T10:24:00Z"/>
                <w:sz w:val="22"/>
                <w:szCs w:val="22"/>
                <w:lang w:val="pl-PL"/>
              </w:rPr>
            </w:pPr>
          </w:p>
        </w:tc>
      </w:tr>
      <w:tr w:rsidR="00A7162A" w14:paraId="0A3244C9" w14:textId="086C9C85" w:rsidTr="001F79B0">
        <w:trPr>
          <w:gridBefore w:val="1"/>
          <w:wBefore w:w="34" w:type="dxa"/>
          <w:del w:id="15176" w:author="AbbVie2" w:date="2025-05-14T10:24:00Z"/>
        </w:trPr>
        <w:tc>
          <w:tcPr>
            <w:tcW w:w="4644" w:type="dxa"/>
            <w:gridSpan w:val="2"/>
          </w:tcPr>
          <w:p w14:paraId="04B7FA25" w14:textId="00853F49" w:rsidR="00012D36" w:rsidRPr="00346547" w:rsidRDefault="00615769" w:rsidP="001F79B0">
            <w:pPr>
              <w:rPr>
                <w:del w:id="15177" w:author="AbbVie2" w:date="2025-05-14T10:24:00Z"/>
                <w:b/>
                <w:bCs/>
                <w:sz w:val="22"/>
                <w:szCs w:val="22"/>
              </w:rPr>
            </w:pPr>
            <w:del w:id="15178" w:author="AbbVie2" w:date="2025-05-14T10:24:00Z">
              <w:r w:rsidRPr="00346547">
                <w:rPr>
                  <w:b/>
                  <w:bCs/>
                  <w:sz w:val="22"/>
                  <w:szCs w:val="22"/>
                </w:rPr>
                <w:delText>Ireland</w:delText>
              </w:r>
            </w:del>
          </w:p>
          <w:p w14:paraId="2104041B" w14:textId="3DD1F9AC" w:rsidR="00012D36" w:rsidRPr="00346547" w:rsidRDefault="00615769" w:rsidP="001F79B0">
            <w:pPr>
              <w:rPr>
                <w:del w:id="15179" w:author="AbbVie2" w:date="2025-05-14T10:24:00Z"/>
                <w:bCs/>
                <w:sz w:val="22"/>
                <w:szCs w:val="22"/>
              </w:rPr>
            </w:pPr>
            <w:del w:id="15180" w:author="AbbVie2" w:date="2025-05-14T10:24:00Z">
              <w:r w:rsidRPr="00346547">
                <w:rPr>
                  <w:bCs/>
                  <w:sz w:val="22"/>
                  <w:szCs w:val="22"/>
                </w:rPr>
                <w:delText xml:space="preserve">AbbVie Limited </w:delText>
              </w:r>
            </w:del>
          </w:p>
          <w:p w14:paraId="321E4F29" w14:textId="43802C71" w:rsidR="00012D36" w:rsidRPr="00346547" w:rsidRDefault="00615769" w:rsidP="001F79B0">
            <w:pPr>
              <w:rPr>
                <w:del w:id="15181" w:author="AbbVie2" w:date="2025-05-14T10:24:00Z"/>
                <w:bCs/>
                <w:sz w:val="22"/>
                <w:szCs w:val="22"/>
              </w:rPr>
            </w:pPr>
            <w:del w:id="15182" w:author="AbbVie2" w:date="2025-05-14T10:24:00Z">
              <w:r w:rsidRPr="00346547">
                <w:rPr>
                  <w:bCs/>
                  <w:sz w:val="22"/>
                  <w:szCs w:val="22"/>
                </w:rPr>
                <w:delText>Tel: +353 (0)1 428790</w:delText>
              </w:r>
              <w:r w:rsidR="00794A65">
                <w:rPr>
                  <w:bCs/>
                  <w:sz w:val="22"/>
                  <w:szCs w:val="22"/>
                </w:rPr>
                <w:delText>0</w:delText>
              </w:r>
            </w:del>
          </w:p>
        </w:tc>
        <w:tc>
          <w:tcPr>
            <w:tcW w:w="4678" w:type="dxa"/>
          </w:tcPr>
          <w:p w14:paraId="4FCF9915" w14:textId="52372E60" w:rsidR="00012D36" w:rsidRPr="00346547" w:rsidRDefault="00615769" w:rsidP="001F79B0">
            <w:pPr>
              <w:rPr>
                <w:del w:id="15183" w:author="AbbVie2" w:date="2025-05-14T10:24:00Z"/>
                <w:b/>
                <w:bCs/>
                <w:sz w:val="22"/>
                <w:szCs w:val="22"/>
                <w:lang w:val="sl-SI"/>
              </w:rPr>
            </w:pPr>
            <w:del w:id="15184" w:author="AbbVie2" w:date="2025-05-14T10:24:00Z">
              <w:r w:rsidRPr="00346547">
                <w:rPr>
                  <w:b/>
                  <w:bCs/>
                  <w:sz w:val="22"/>
                  <w:szCs w:val="22"/>
                  <w:lang w:val="sl-SI"/>
                </w:rPr>
                <w:delText>Slovenija</w:delText>
              </w:r>
            </w:del>
          </w:p>
          <w:p w14:paraId="6A309584" w14:textId="38CF729A" w:rsidR="00012D36" w:rsidRPr="00346547" w:rsidRDefault="00615769" w:rsidP="001F79B0">
            <w:pPr>
              <w:rPr>
                <w:del w:id="15185" w:author="AbbVie2" w:date="2025-05-14T10:24:00Z"/>
                <w:bCs/>
                <w:sz w:val="22"/>
                <w:szCs w:val="22"/>
                <w:lang w:val="sl-SI"/>
              </w:rPr>
            </w:pPr>
            <w:del w:id="15186" w:author="AbbVie2" w:date="2025-05-14T10:24:00Z">
              <w:r w:rsidRPr="00346547">
                <w:rPr>
                  <w:bCs/>
                  <w:sz w:val="22"/>
                  <w:szCs w:val="22"/>
                  <w:lang w:val="sl-SI"/>
                </w:rPr>
                <w:delText xml:space="preserve">AbbVie </w:delText>
              </w:r>
              <w:r w:rsidRPr="00346547">
                <w:rPr>
                  <w:sz w:val="22"/>
                  <w:szCs w:val="22"/>
                  <w:lang w:val="sl-SI"/>
                </w:rPr>
                <w:delText>Biofarmacevtska družba d.o.o.</w:delText>
              </w:r>
            </w:del>
          </w:p>
          <w:p w14:paraId="64E4CF74" w14:textId="1AC71ED6" w:rsidR="00012D36" w:rsidRPr="00346547" w:rsidRDefault="00615769" w:rsidP="001F79B0">
            <w:pPr>
              <w:rPr>
                <w:del w:id="15187" w:author="AbbVie2" w:date="2025-05-14T10:24:00Z"/>
                <w:bCs/>
                <w:sz w:val="22"/>
                <w:szCs w:val="22"/>
                <w:lang w:val="sl-SI"/>
              </w:rPr>
            </w:pPr>
            <w:del w:id="15188" w:author="AbbVie2" w:date="2025-05-14T10:24:00Z">
              <w:r w:rsidRPr="00346547">
                <w:rPr>
                  <w:bCs/>
                  <w:sz w:val="22"/>
                  <w:szCs w:val="22"/>
                  <w:lang w:val="sl-SI"/>
                </w:rPr>
                <w:delText>Tel: +386 (1)32 08 060</w:delText>
              </w:r>
            </w:del>
          </w:p>
          <w:p w14:paraId="38F78190" w14:textId="63F6A6DF" w:rsidR="00012D36" w:rsidRPr="00346547" w:rsidRDefault="00012D36" w:rsidP="001F79B0">
            <w:pPr>
              <w:rPr>
                <w:del w:id="15189" w:author="AbbVie2" w:date="2025-05-14T10:24:00Z"/>
                <w:bCs/>
                <w:sz w:val="22"/>
                <w:szCs w:val="22"/>
                <w:lang w:val="sl-SI"/>
              </w:rPr>
            </w:pPr>
          </w:p>
        </w:tc>
      </w:tr>
      <w:tr w:rsidR="00A7162A" w14:paraId="29042164" w14:textId="6E3F8EF2" w:rsidTr="001F79B0">
        <w:trPr>
          <w:gridBefore w:val="1"/>
          <w:wBefore w:w="34" w:type="dxa"/>
          <w:del w:id="15190" w:author="AbbVie2" w:date="2025-05-14T10:24:00Z"/>
        </w:trPr>
        <w:tc>
          <w:tcPr>
            <w:tcW w:w="4644" w:type="dxa"/>
            <w:gridSpan w:val="2"/>
          </w:tcPr>
          <w:p w14:paraId="458593D5" w14:textId="7FA027EE" w:rsidR="00012D36" w:rsidRPr="00346547" w:rsidRDefault="00615769" w:rsidP="001F79B0">
            <w:pPr>
              <w:keepNext/>
              <w:rPr>
                <w:del w:id="15191" w:author="AbbVie2" w:date="2025-05-14T10:24:00Z"/>
                <w:b/>
                <w:bCs/>
                <w:sz w:val="22"/>
                <w:szCs w:val="22"/>
                <w:lang w:val="is-IS"/>
              </w:rPr>
            </w:pPr>
            <w:del w:id="15192" w:author="AbbVie2" w:date="2025-05-14T10:24:00Z">
              <w:r w:rsidRPr="00346547">
                <w:rPr>
                  <w:b/>
                  <w:bCs/>
                  <w:sz w:val="22"/>
                  <w:szCs w:val="22"/>
                  <w:lang w:val="is-IS"/>
                </w:rPr>
                <w:delText>Ísland</w:delText>
              </w:r>
            </w:del>
          </w:p>
          <w:p w14:paraId="308530CA" w14:textId="3F5A6F5A" w:rsidR="00012D36" w:rsidRPr="00346547" w:rsidRDefault="00615769" w:rsidP="001F79B0">
            <w:pPr>
              <w:keepNext/>
              <w:rPr>
                <w:del w:id="15193" w:author="AbbVie2" w:date="2025-05-14T10:24:00Z"/>
                <w:bCs/>
                <w:sz w:val="22"/>
                <w:szCs w:val="22"/>
              </w:rPr>
            </w:pPr>
            <w:del w:id="15194" w:author="AbbVie2" w:date="2025-05-14T10:24:00Z">
              <w:r w:rsidRPr="00346547">
                <w:rPr>
                  <w:bCs/>
                  <w:sz w:val="22"/>
                  <w:szCs w:val="22"/>
                </w:rPr>
                <w:delText>Vistor hf.</w:delText>
              </w:r>
            </w:del>
          </w:p>
          <w:p w14:paraId="00AD8A22" w14:textId="2CBBBD5A" w:rsidR="00012D36" w:rsidRPr="00346547" w:rsidRDefault="00615769" w:rsidP="001F79B0">
            <w:pPr>
              <w:keepNext/>
              <w:rPr>
                <w:del w:id="15195" w:author="AbbVie2" w:date="2025-05-14T10:24:00Z"/>
                <w:bCs/>
                <w:sz w:val="22"/>
                <w:szCs w:val="22"/>
              </w:rPr>
            </w:pPr>
            <w:del w:id="15196" w:author="AbbVie2" w:date="2025-05-14T10:24:00Z">
              <w:r w:rsidRPr="00346547">
                <w:rPr>
                  <w:bCs/>
                  <w:sz w:val="22"/>
                  <w:szCs w:val="22"/>
                </w:rPr>
                <w:delText>Tel: +354 535 7000</w:delText>
              </w:r>
            </w:del>
          </w:p>
        </w:tc>
        <w:tc>
          <w:tcPr>
            <w:tcW w:w="4678" w:type="dxa"/>
          </w:tcPr>
          <w:p w14:paraId="1C98D82D" w14:textId="1775B2D1" w:rsidR="00012D36" w:rsidRPr="00346547" w:rsidRDefault="00615769" w:rsidP="001F79B0">
            <w:pPr>
              <w:keepNext/>
              <w:rPr>
                <w:del w:id="15197" w:author="AbbVie2" w:date="2025-05-14T10:24:00Z"/>
                <w:b/>
                <w:bCs/>
                <w:sz w:val="22"/>
                <w:szCs w:val="22"/>
              </w:rPr>
            </w:pPr>
            <w:del w:id="15198" w:author="AbbVie2" w:date="2025-05-14T10:24:00Z">
              <w:r w:rsidRPr="00346547">
                <w:rPr>
                  <w:b/>
                  <w:bCs/>
                  <w:sz w:val="22"/>
                  <w:szCs w:val="22"/>
                </w:rPr>
                <w:delText>Slovenská republika</w:delText>
              </w:r>
            </w:del>
          </w:p>
          <w:p w14:paraId="2EA9F511" w14:textId="23F50E33" w:rsidR="00012D36" w:rsidRPr="00346547" w:rsidRDefault="00615769" w:rsidP="001F79B0">
            <w:pPr>
              <w:keepNext/>
              <w:rPr>
                <w:del w:id="15199" w:author="AbbVie2" w:date="2025-05-14T10:24:00Z"/>
                <w:bCs/>
                <w:sz w:val="22"/>
                <w:szCs w:val="22"/>
              </w:rPr>
            </w:pPr>
            <w:del w:id="15200" w:author="AbbVie2" w:date="2025-05-14T10:24:00Z">
              <w:r w:rsidRPr="00346547">
                <w:rPr>
                  <w:bCs/>
                  <w:sz w:val="22"/>
                  <w:szCs w:val="22"/>
                </w:rPr>
                <w:delText>AbbVie s.r.o.</w:delText>
              </w:r>
            </w:del>
          </w:p>
          <w:p w14:paraId="492B4D6D" w14:textId="1232EC07" w:rsidR="00012D36" w:rsidRPr="00346547" w:rsidRDefault="00615769" w:rsidP="001F79B0">
            <w:pPr>
              <w:keepNext/>
              <w:rPr>
                <w:del w:id="15201" w:author="AbbVie2" w:date="2025-05-14T10:24:00Z"/>
                <w:bCs/>
                <w:sz w:val="22"/>
                <w:szCs w:val="22"/>
              </w:rPr>
            </w:pPr>
            <w:del w:id="15202" w:author="AbbVie2" w:date="2025-05-14T10:24:00Z">
              <w:r w:rsidRPr="00346547">
                <w:rPr>
                  <w:bCs/>
                  <w:sz w:val="22"/>
                  <w:szCs w:val="22"/>
                </w:rPr>
                <w:delText>Tel: +421 2 5050 0777</w:delText>
              </w:r>
            </w:del>
          </w:p>
          <w:p w14:paraId="1D46324B" w14:textId="469571E7" w:rsidR="00012D36" w:rsidRPr="00346547" w:rsidRDefault="00012D36" w:rsidP="001F79B0">
            <w:pPr>
              <w:keepNext/>
              <w:rPr>
                <w:del w:id="15203" w:author="AbbVie2" w:date="2025-05-14T10:24:00Z"/>
                <w:bCs/>
                <w:sz w:val="22"/>
                <w:szCs w:val="22"/>
              </w:rPr>
            </w:pPr>
          </w:p>
        </w:tc>
      </w:tr>
      <w:tr w:rsidR="00A7162A" w14:paraId="60696625" w14:textId="23193F89" w:rsidTr="001F79B0">
        <w:trPr>
          <w:gridBefore w:val="1"/>
          <w:wBefore w:w="34" w:type="dxa"/>
          <w:del w:id="15204" w:author="AbbVie2" w:date="2025-05-14T10:24:00Z"/>
        </w:trPr>
        <w:tc>
          <w:tcPr>
            <w:tcW w:w="4644" w:type="dxa"/>
            <w:gridSpan w:val="2"/>
          </w:tcPr>
          <w:p w14:paraId="1E81D15F" w14:textId="36DD447A" w:rsidR="00012D36" w:rsidRPr="00346547" w:rsidRDefault="00615769" w:rsidP="001F79B0">
            <w:pPr>
              <w:rPr>
                <w:del w:id="15205" w:author="AbbVie2" w:date="2025-05-14T10:24:00Z"/>
                <w:b/>
                <w:bCs/>
                <w:sz w:val="22"/>
                <w:szCs w:val="22"/>
                <w:lang w:val="it-IT"/>
              </w:rPr>
            </w:pPr>
            <w:del w:id="15206" w:author="AbbVie2" w:date="2025-05-14T10:24:00Z">
              <w:r w:rsidRPr="00346547">
                <w:rPr>
                  <w:b/>
                  <w:bCs/>
                  <w:sz w:val="22"/>
                  <w:szCs w:val="22"/>
                  <w:lang w:val="it-IT"/>
                </w:rPr>
                <w:delText>Italia</w:delText>
              </w:r>
            </w:del>
          </w:p>
          <w:p w14:paraId="7549ED65" w14:textId="3BD8FD0C" w:rsidR="00012D36" w:rsidRPr="00346547" w:rsidRDefault="00615769" w:rsidP="001F79B0">
            <w:pPr>
              <w:pStyle w:val="EndnoteText"/>
              <w:spacing w:line="260" w:lineRule="exact"/>
              <w:rPr>
                <w:del w:id="15207" w:author="AbbVie2" w:date="2025-05-14T10:24:00Z"/>
                <w:bCs/>
                <w:szCs w:val="22"/>
              </w:rPr>
            </w:pPr>
            <w:del w:id="15208" w:author="AbbVie2" w:date="2025-05-14T10:24:00Z">
              <w:r w:rsidRPr="00346547">
                <w:rPr>
                  <w:bCs/>
                  <w:szCs w:val="22"/>
                </w:rPr>
                <w:delText xml:space="preserve">AbbVie S.r.l. </w:delText>
              </w:r>
            </w:del>
          </w:p>
          <w:p w14:paraId="30252B43" w14:textId="633E52AC" w:rsidR="00012D36" w:rsidRPr="00346547" w:rsidRDefault="00615769" w:rsidP="001F79B0">
            <w:pPr>
              <w:rPr>
                <w:del w:id="15209" w:author="AbbVie2" w:date="2025-05-14T10:24:00Z"/>
                <w:bCs/>
                <w:sz w:val="22"/>
                <w:szCs w:val="22"/>
                <w:lang w:val="fi-FI"/>
              </w:rPr>
            </w:pPr>
            <w:del w:id="15210" w:author="AbbVie2" w:date="2025-05-14T10:24:00Z">
              <w:r w:rsidRPr="00346547">
                <w:rPr>
                  <w:bCs/>
                  <w:sz w:val="22"/>
                  <w:szCs w:val="22"/>
                  <w:lang w:val="fr-FR"/>
                </w:rPr>
                <w:delText>Tel: +39 06 928921</w:delText>
              </w:r>
            </w:del>
          </w:p>
        </w:tc>
        <w:tc>
          <w:tcPr>
            <w:tcW w:w="4678" w:type="dxa"/>
          </w:tcPr>
          <w:p w14:paraId="1CF96EA7" w14:textId="54AF51E7" w:rsidR="00012D36" w:rsidRPr="00346547" w:rsidRDefault="00615769" w:rsidP="001F79B0">
            <w:pPr>
              <w:rPr>
                <w:del w:id="15211" w:author="AbbVie2" w:date="2025-05-14T10:24:00Z"/>
                <w:b/>
                <w:bCs/>
                <w:sz w:val="22"/>
                <w:szCs w:val="22"/>
                <w:lang w:val="fi-FI"/>
              </w:rPr>
            </w:pPr>
            <w:del w:id="15212" w:author="AbbVie2" w:date="2025-05-14T10:24:00Z">
              <w:r w:rsidRPr="00346547">
                <w:rPr>
                  <w:b/>
                  <w:bCs/>
                  <w:sz w:val="22"/>
                  <w:szCs w:val="22"/>
                  <w:lang w:val="fi-FI"/>
                </w:rPr>
                <w:delText>Suomi/Finland</w:delText>
              </w:r>
            </w:del>
          </w:p>
          <w:p w14:paraId="2816B0D2" w14:textId="6588157D" w:rsidR="00012D36" w:rsidRPr="00346547" w:rsidRDefault="00615769" w:rsidP="001F79B0">
            <w:pPr>
              <w:rPr>
                <w:del w:id="15213" w:author="AbbVie2" w:date="2025-05-14T10:24:00Z"/>
                <w:bCs/>
                <w:sz w:val="22"/>
                <w:szCs w:val="22"/>
                <w:lang w:val="de-CH"/>
              </w:rPr>
            </w:pPr>
            <w:del w:id="15214" w:author="AbbVie2" w:date="2025-05-14T10:24:00Z">
              <w:r w:rsidRPr="00FF65EF">
                <w:rPr>
                  <w:bCs/>
                  <w:sz w:val="22"/>
                  <w:szCs w:val="22"/>
                  <w:rPrChange w:id="15215" w:author="AbbVie2" w:date="2025-05-14T12:36:00Z">
                    <w:rPr>
                      <w:bCs/>
                      <w:sz w:val="22"/>
                      <w:szCs w:val="22"/>
                      <w:lang w:val="en-US"/>
                    </w:rPr>
                  </w:rPrChange>
                </w:rPr>
                <w:delText>AbbVie Oy</w:delText>
              </w:r>
            </w:del>
          </w:p>
          <w:p w14:paraId="098A2BF4" w14:textId="012C39BC" w:rsidR="00012D36" w:rsidRPr="00FF65EF" w:rsidRDefault="00615769" w:rsidP="001F79B0">
            <w:pPr>
              <w:rPr>
                <w:del w:id="15216" w:author="AbbVie2" w:date="2025-05-14T10:24:00Z"/>
                <w:bCs/>
                <w:sz w:val="22"/>
                <w:szCs w:val="22"/>
                <w:rPrChange w:id="15217" w:author="AbbVie2" w:date="2025-05-14T12:36:00Z">
                  <w:rPr>
                    <w:del w:id="15218" w:author="AbbVie2" w:date="2025-05-14T10:24:00Z"/>
                    <w:bCs/>
                    <w:sz w:val="22"/>
                    <w:szCs w:val="22"/>
                    <w:lang w:val="en-US"/>
                  </w:rPr>
                </w:rPrChange>
              </w:rPr>
            </w:pPr>
            <w:del w:id="15219" w:author="AbbVie2" w:date="2025-05-14T10:24:00Z">
              <w:r w:rsidRPr="00FF65EF">
                <w:rPr>
                  <w:bCs/>
                  <w:sz w:val="22"/>
                  <w:szCs w:val="22"/>
                  <w:rPrChange w:id="15220" w:author="AbbVie2" w:date="2025-05-14T12:36:00Z">
                    <w:rPr>
                      <w:bCs/>
                      <w:sz w:val="22"/>
                      <w:szCs w:val="22"/>
                      <w:lang w:val="en-US"/>
                    </w:rPr>
                  </w:rPrChange>
                </w:rPr>
                <w:delText>Puh/Tel: +358 (0)10 2411 200</w:delText>
              </w:r>
            </w:del>
          </w:p>
          <w:p w14:paraId="14C4E3F2" w14:textId="18AF95F9" w:rsidR="00012D36" w:rsidRPr="00FF65EF" w:rsidRDefault="00012D36" w:rsidP="001F79B0">
            <w:pPr>
              <w:rPr>
                <w:del w:id="15221" w:author="AbbVie2" w:date="2025-05-14T10:24:00Z"/>
                <w:sz w:val="22"/>
                <w:szCs w:val="22"/>
                <w:rPrChange w:id="15222" w:author="AbbVie2" w:date="2025-05-14T12:36:00Z">
                  <w:rPr>
                    <w:del w:id="15223" w:author="AbbVie2" w:date="2025-05-14T10:24:00Z"/>
                    <w:sz w:val="22"/>
                    <w:szCs w:val="22"/>
                    <w:lang w:val="en-US"/>
                  </w:rPr>
                </w:rPrChange>
              </w:rPr>
            </w:pPr>
          </w:p>
        </w:tc>
      </w:tr>
      <w:tr w:rsidR="00A7162A" w14:paraId="40EACA11" w14:textId="04190B7E" w:rsidTr="001F79B0">
        <w:trPr>
          <w:gridBefore w:val="1"/>
          <w:wBefore w:w="34" w:type="dxa"/>
          <w:cantSplit/>
          <w:trHeight w:val="887"/>
          <w:del w:id="15224" w:author="AbbVie2" w:date="2025-05-14T10:24:00Z"/>
        </w:trPr>
        <w:tc>
          <w:tcPr>
            <w:tcW w:w="4644" w:type="dxa"/>
            <w:gridSpan w:val="2"/>
          </w:tcPr>
          <w:p w14:paraId="4680923A" w14:textId="1B8612DD" w:rsidR="00012D36" w:rsidRPr="00346547" w:rsidRDefault="00615769" w:rsidP="001F79B0">
            <w:pPr>
              <w:rPr>
                <w:del w:id="15225" w:author="AbbVie2" w:date="2025-05-14T10:24:00Z"/>
                <w:b/>
                <w:bCs/>
                <w:sz w:val="22"/>
                <w:szCs w:val="22"/>
                <w:lang w:val="el-GR"/>
              </w:rPr>
            </w:pPr>
            <w:del w:id="15226" w:author="AbbVie2" w:date="2025-05-14T10:24:00Z">
              <w:r w:rsidRPr="00346547">
                <w:rPr>
                  <w:b/>
                  <w:bCs/>
                  <w:sz w:val="22"/>
                  <w:szCs w:val="22"/>
                  <w:lang w:val="el-GR"/>
                </w:rPr>
                <w:delText>Κύπρος</w:delText>
              </w:r>
            </w:del>
          </w:p>
          <w:p w14:paraId="4D768D6A" w14:textId="7B749531" w:rsidR="00012D36" w:rsidRPr="00346547" w:rsidRDefault="00615769" w:rsidP="001F79B0">
            <w:pPr>
              <w:rPr>
                <w:del w:id="15227" w:author="AbbVie2" w:date="2025-05-14T10:24:00Z"/>
                <w:bCs/>
                <w:sz w:val="22"/>
                <w:szCs w:val="22"/>
                <w:lang w:val="el-GR"/>
              </w:rPr>
            </w:pPr>
            <w:del w:id="15228" w:author="AbbVie2" w:date="2025-05-14T10:24:00Z">
              <w:r w:rsidRPr="00FF65EF">
                <w:rPr>
                  <w:bCs/>
                  <w:sz w:val="22"/>
                  <w:szCs w:val="22"/>
                </w:rPr>
                <w:delText xml:space="preserve">Lifepharma (Z.A.M.) </w:delText>
              </w:r>
              <w:r w:rsidRPr="00346547">
                <w:rPr>
                  <w:bCs/>
                  <w:sz w:val="22"/>
                  <w:szCs w:val="22"/>
                  <w:lang w:val="it-IT"/>
                </w:rPr>
                <w:delText>Ltd</w:delText>
              </w:r>
            </w:del>
          </w:p>
          <w:p w14:paraId="581C0D3F" w14:textId="214D35A6" w:rsidR="00012D36" w:rsidRPr="00346547" w:rsidRDefault="00615769" w:rsidP="001F79B0">
            <w:pPr>
              <w:rPr>
                <w:del w:id="15229" w:author="AbbVie2" w:date="2025-05-14T10:24:00Z"/>
                <w:bCs/>
                <w:sz w:val="22"/>
                <w:szCs w:val="22"/>
                <w:lang w:val="lv-LV"/>
              </w:rPr>
            </w:pPr>
            <w:del w:id="15230" w:author="AbbVie2" w:date="2025-05-14T10:24:00Z">
              <w:r w:rsidRPr="00346547">
                <w:rPr>
                  <w:bCs/>
                  <w:sz w:val="22"/>
                  <w:szCs w:val="22"/>
                  <w:lang w:val="el-GR"/>
                </w:rPr>
                <w:delText>Τηλ.: +357 22 34 74 40</w:delText>
              </w:r>
            </w:del>
          </w:p>
        </w:tc>
        <w:tc>
          <w:tcPr>
            <w:tcW w:w="4678" w:type="dxa"/>
          </w:tcPr>
          <w:p w14:paraId="47351FC0" w14:textId="3DE11D21" w:rsidR="00012D36" w:rsidRPr="00346547" w:rsidRDefault="00615769" w:rsidP="001F79B0">
            <w:pPr>
              <w:rPr>
                <w:del w:id="15231" w:author="AbbVie2" w:date="2025-05-14T10:24:00Z"/>
                <w:b/>
                <w:bCs/>
                <w:sz w:val="22"/>
                <w:szCs w:val="22"/>
              </w:rPr>
            </w:pPr>
            <w:del w:id="15232" w:author="AbbVie2" w:date="2025-05-14T10:24:00Z">
              <w:r w:rsidRPr="00346547">
                <w:rPr>
                  <w:b/>
                  <w:bCs/>
                  <w:sz w:val="22"/>
                  <w:szCs w:val="22"/>
                </w:rPr>
                <w:delText>Sverige</w:delText>
              </w:r>
            </w:del>
          </w:p>
          <w:p w14:paraId="5C0FD7DF" w14:textId="7E364E79" w:rsidR="00012D36" w:rsidRPr="00346547" w:rsidRDefault="00615769" w:rsidP="001F79B0">
            <w:pPr>
              <w:rPr>
                <w:del w:id="15233" w:author="AbbVie2" w:date="2025-05-14T10:24:00Z"/>
                <w:bCs/>
                <w:sz w:val="22"/>
                <w:szCs w:val="22"/>
              </w:rPr>
            </w:pPr>
            <w:del w:id="15234" w:author="AbbVie2" w:date="2025-05-14T10:24:00Z">
              <w:r w:rsidRPr="00346547">
                <w:rPr>
                  <w:bCs/>
                  <w:sz w:val="22"/>
                  <w:szCs w:val="22"/>
                </w:rPr>
                <w:delText>AbbVie AB</w:delText>
              </w:r>
            </w:del>
          </w:p>
          <w:p w14:paraId="66D97F05" w14:textId="7357A31A" w:rsidR="00012D36" w:rsidRPr="00346547" w:rsidRDefault="00615769" w:rsidP="001F79B0">
            <w:pPr>
              <w:rPr>
                <w:del w:id="15235" w:author="AbbVie2" w:date="2025-05-14T10:24:00Z"/>
                <w:bCs/>
                <w:sz w:val="22"/>
                <w:szCs w:val="22"/>
              </w:rPr>
            </w:pPr>
            <w:del w:id="15236" w:author="AbbVie2" w:date="2025-05-14T10:24:00Z">
              <w:r w:rsidRPr="00346547">
                <w:rPr>
                  <w:bCs/>
                  <w:sz w:val="22"/>
                  <w:szCs w:val="22"/>
                  <w:lang w:val="da-DK"/>
                </w:rPr>
                <w:delText>Tel: +46 (0)8 684 44 600</w:delText>
              </w:r>
            </w:del>
          </w:p>
        </w:tc>
      </w:tr>
      <w:tr w:rsidR="00A7162A" w14:paraId="555F686C" w14:textId="0CBDB9F9" w:rsidTr="001F79B0">
        <w:trPr>
          <w:gridBefore w:val="1"/>
          <w:wBefore w:w="34" w:type="dxa"/>
          <w:cantSplit/>
          <w:trHeight w:val="761"/>
          <w:del w:id="15237" w:author="AbbVie2" w:date="2025-05-14T10:24:00Z"/>
        </w:trPr>
        <w:tc>
          <w:tcPr>
            <w:tcW w:w="4644" w:type="dxa"/>
            <w:gridSpan w:val="2"/>
          </w:tcPr>
          <w:p w14:paraId="0A56D38F" w14:textId="10959FFE" w:rsidR="00012D36" w:rsidRPr="00346547" w:rsidRDefault="00615769" w:rsidP="001F79B0">
            <w:pPr>
              <w:rPr>
                <w:del w:id="15238" w:author="AbbVie2" w:date="2025-05-14T10:24:00Z"/>
                <w:b/>
                <w:bCs/>
                <w:sz w:val="22"/>
                <w:szCs w:val="22"/>
                <w:lang w:val="lv-LV"/>
              </w:rPr>
            </w:pPr>
            <w:del w:id="15239" w:author="AbbVie2" w:date="2025-05-14T10:24:00Z">
              <w:r w:rsidRPr="00346547">
                <w:rPr>
                  <w:b/>
                  <w:bCs/>
                  <w:sz w:val="22"/>
                  <w:szCs w:val="22"/>
                  <w:lang w:val="lv-LV"/>
                </w:rPr>
                <w:delText>Latvija</w:delText>
              </w:r>
            </w:del>
          </w:p>
          <w:p w14:paraId="3FFEBF36" w14:textId="23D37521" w:rsidR="00012D36" w:rsidRPr="00346547" w:rsidRDefault="00615769" w:rsidP="001F79B0">
            <w:pPr>
              <w:rPr>
                <w:del w:id="15240" w:author="AbbVie2" w:date="2025-05-14T10:24:00Z"/>
                <w:bCs/>
                <w:sz w:val="22"/>
                <w:szCs w:val="22"/>
                <w:lang w:val="lv-LV"/>
              </w:rPr>
            </w:pPr>
            <w:del w:id="15241" w:author="AbbVie2" w:date="2025-05-14T10:24:00Z">
              <w:r w:rsidRPr="00346547">
                <w:rPr>
                  <w:bCs/>
                  <w:sz w:val="22"/>
                  <w:szCs w:val="22"/>
                  <w:lang w:val="lv-LV"/>
                </w:rPr>
                <w:delText xml:space="preserve">AbbVie SIA </w:delText>
              </w:r>
            </w:del>
          </w:p>
          <w:p w14:paraId="2AFA3F2E" w14:textId="1B0856E7" w:rsidR="00012D36" w:rsidRPr="00346547" w:rsidRDefault="00615769" w:rsidP="001F79B0">
            <w:pPr>
              <w:rPr>
                <w:del w:id="15242" w:author="AbbVie2" w:date="2025-05-14T10:24:00Z"/>
                <w:bCs/>
                <w:sz w:val="22"/>
                <w:szCs w:val="22"/>
                <w:lang w:val="lv-LV"/>
              </w:rPr>
            </w:pPr>
            <w:del w:id="15243" w:author="AbbVie2" w:date="2025-05-14T10:24:00Z">
              <w:r w:rsidRPr="00346547">
                <w:rPr>
                  <w:bCs/>
                  <w:sz w:val="22"/>
                  <w:szCs w:val="22"/>
                  <w:lang w:val="lv-LV"/>
                </w:rPr>
                <w:delText>Tel: +371 67605000</w:delText>
              </w:r>
            </w:del>
          </w:p>
        </w:tc>
        <w:tc>
          <w:tcPr>
            <w:tcW w:w="4678" w:type="dxa"/>
          </w:tcPr>
          <w:p w14:paraId="2ED2504D" w14:textId="29FA91F2" w:rsidR="00012D36" w:rsidRPr="00346547" w:rsidRDefault="00012D36" w:rsidP="001F79B0">
            <w:pPr>
              <w:rPr>
                <w:del w:id="15244" w:author="AbbVie2" w:date="2025-05-14T10:24:00Z"/>
                <w:b/>
                <w:bCs/>
                <w:sz w:val="22"/>
                <w:szCs w:val="22"/>
              </w:rPr>
            </w:pPr>
          </w:p>
        </w:tc>
      </w:tr>
    </w:tbl>
    <w:p w14:paraId="4835D7E4" w14:textId="65943CC1" w:rsidR="004462A0" w:rsidRPr="00FF65EF" w:rsidRDefault="004462A0" w:rsidP="004462A0">
      <w:pPr>
        <w:rPr>
          <w:del w:id="15245" w:author="AbbVie2" w:date="2025-05-14T10:24:00Z"/>
          <w:rPrChange w:id="15246" w:author="AbbVie2" w:date="2025-05-14T12:36:00Z">
            <w:rPr>
              <w:del w:id="15247" w:author="AbbVie2" w:date="2025-05-14T10:24:00Z"/>
              <w:lang w:val="en-US"/>
            </w:rPr>
          </w:rPrChange>
        </w:rPr>
      </w:pPr>
    </w:p>
    <w:p w14:paraId="54A82BCE" w14:textId="2295CBF4" w:rsidR="004462A0" w:rsidRPr="008912CF" w:rsidRDefault="00615769" w:rsidP="00907F74">
      <w:pPr>
        <w:keepNext/>
        <w:ind w:right="-2"/>
        <w:rPr>
          <w:del w:id="15248" w:author="AbbVie2" w:date="2025-05-14T10:24:00Z"/>
          <w:sz w:val="22"/>
          <w:szCs w:val="22"/>
        </w:rPr>
      </w:pPr>
      <w:del w:id="15249" w:author="AbbVie2" w:date="2025-05-14T10:24:00Z">
        <w:r w:rsidRPr="008912CF">
          <w:rPr>
            <w:b/>
            <w:sz w:val="22"/>
            <w:szCs w:val="22"/>
          </w:rPr>
          <w:delText xml:space="preserve">Este folheto foi revisto pela última vez em </w:delText>
        </w:r>
      </w:del>
    </w:p>
    <w:p w14:paraId="52A55FD7" w14:textId="67BE0A9C" w:rsidR="004462A0" w:rsidRPr="008912CF" w:rsidRDefault="004462A0" w:rsidP="00907F74">
      <w:pPr>
        <w:keepNext/>
        <w:ind w:right="-449"/>
        <w:rPr>
          <w:del w:id="15250" w:author="AbbVie2" w:date="2025-05-14T10:24:00Z"/>
          <w:sz w:val="22"/>
          <w:szCs w:val="22"/>
        </w:rPr>
      </w:pPr>
    </w:p>
    <w:p w14:paraId="2D5AAB6D" w14:textId="13CE46D8" w:rsidR="00FE24B0" w:rsidRDefault="00615769" w:rsidP="00907F74">
      <w:pPr>
        <w:keepNext/>
        <w:ind w:right="-2"/>
        <w:rPr>
          <w:del w:id="15251" w:author="AbbVie2" w:date="2025-05-14T10:24:00Z"/>
          <w:color w:val="0000FF"/>
          <w:sz w:val="22"/>
          <w:szCs w:val="22"/>
        </w:rPr>
      </w:pPr>
      <w:del w:id="15252" w:author="AbbVie2" w:date="2025-05-14T10:24:00Z">
        <w:r w:rsidRPr="008912CF">
          <w:rPr>
            <w:sz w:val="22"/>
            <w:szCs w:val="22"/>
          </w:rPr>
          <w:delText xml:space="preserve">Está disponível informação pormenorizada sobre este medicamento no sítio da internet da Agência Europeia de Medicamentos: </w:delText>
        </w:r>
        <w:r w:rsidR="00D961A0">
          <w:rPr>
            <w:color w:val="0000FF"/>
            <w:sz w:val="22"/>
            <w:szCs w:val="22"/>
          </w:rPr>
          <w:delText>http://www.ema.europa.eu</w:delText>
        </w:r>
        <w:r w:rsidRPr="00FE24B0">
          <w:rPr>
            <w:color w:val="0000FF"/>
            <w:sz w:val="22"/>
            <w:szCs w:val="22"/>
          </w:rPr>
          <w:delText xml:space="preserve"> </w:delText>
        </w:r>
      </w:del>
    </w:p>
    <w:p w14:paraId="0A6F32CB" w14:textId="6B8084D0" w:rsidR="00FE24B0" w:rsidRDefault="00FE24B0" w:rsidP="00FE24B0">
      <w:pPr>
        <w:numPr>
          <w:ilvl w:val="12"/>
          <w:numId w:val="0"/>
        </w:numPr>
        <w:ind w:right="-2"/>
        <w:rPr>
          <w:del w:id="15253" w:author="AbbVie2" w:date="2025-05-14T10:24:00Z"/>
          <w:b/>
          <w:noProof/>
          <w:szCs w:val="22"/>
        </w:rPr>
      </w:pPr>
    </w:p>
    <w:p w14:paraId="66FC4014" w14:textId="5C143A24" w:rsidR="004462A0" w:rsidRPr="008912CF" w:rsidRDefault="00615769" w:rsidP="00FE24B0">
      <w:pPr>
        <w:ind w:right="-2"/>
        <w:rPr>
          <w:del w:id="15254" w:author="AbbVie2" w:date="2025-05-14T10:24:00Z"/>
          <w:sz w:val="22"/>
          <w:szCs w:val="22"/>
        </w:rPr>
      </w:pPr>
      <w:del w:id="15255" w:author="AbbVie2" w:date="2025-05-14T10:24:00Z">
        <w:r w:rsidRPr="004D4741">
          <w:rPr>
            <w:b/>
            <w:noProof/>
            <w:sz w:val="22"/>
            <w:szCs w:val="22"/>
          </w:rPr>
          <w:delText xml:space="preserve">Para ouvir ou solicitar uma cópia deste folheto em </w:delText>
        </w:r>
        <w:r w:rsidRPr="004D4741">
          <w:rPr>
            <w:b/>
            <w:noProof/>
            <w:sz w:val="22"/>
            <w:szCs w:val="22"/>
            <w:highlight w:val="lightGray"/>
          </w:rPr>
          <w:delText>&lt;Braille&gt;, &lt;caracteres grandes&gt; ou &lt;áudio&gt;</w:delText>
        </w:r>
        <w:r w:rsidRPr="004D4741">
          <w:rPr>
            <w:b/>
            <w:noProof/>
            <w:sz w:val="22"/>
            <w:szCs w:val="22"/>
          </w:rPr>
          <w:delText>, por favor contacte o representante local do Titular da Autorização de Introdução no Mercado.</w:delText>
        </w:r>
      </w:del>
    </w:p>
    <w:p w14:paraId="76333127" w14:textId="2AF6A829" w:rsidR="004462A0" w:rsidRPr="008912CF" w:rsidRDefault="00615769" w:rsidP="004462A0">
      <w:pPr>
        <w:rPr>
          <w:del w:id="15256" w:author="AbbVie2" w:date="2025-05-14T10:24:00Z"/>
          <w:b/>
          <w:sz w:val="22"/>
          <w:szCs w:val="22"/>
        </w:rPr>
      </w:pPr>
      <w:del w:id="15257" w:author="AbbVie2" w:date="2025-05-14T10:24:00Z">
        <w:r w:rsidRPr="008912CF">
          <w:rPr>
            <w:sz w:val="22"/>
            <w:szCs w:val="22"/>
          </w:rPr>
          <w:br w:type="page"/>
        </w:r>
      </w:del>
    </w:p>
    <w:p w14:paraId="24F1A8F8" w14:textId="5E5890DB" w:rsidR="004462A0" w:rsidRPr="001242C2" w:rsidRDefault="00615769" w:rsidP="004462A0">
      <w:pPr>
        <w:pStyle w:val="EMEATitle"/>
        <w:tabs>
          <w:tab w:val="clear" w:pos="562"/>
        </w:tabs>
        <w:suppressAutoHyphens w:val="0"/>
        <w:rPr>
          <w:del w:id="15258" w:author="AbbVie2" w:date="2025-05-14T10:25:00Z"/>
          <w:rFonts w:ascii="Times New Roman" w:hAnsi="Times New Roman"/>
          <w:caps w:val="0"/>
          <w:szCs w:val="22"/>
          <w:lang w:val="pt-PT"/>
        </w:rPr>
      </w:pPr>
      <w:del w:id="15259" w:author="AbbVie2" w:date="2025-05-14T10:25:00Z">
        <w:r w:rsidRPr="001242C2">
          <w:rPr>
            <w:rFonts w:ascii="Times New Roman" w:hAnsi="Times New Roman"/>
            <w:bCs/>
            <w:caps w:val="0"/>
            <w:szCs w:val="22"/>
            <w:lang w:val="pt-PT"/>
          </w:rPr>
          <w:delText>Folheto informativo:</w:delText>
        </w:r>
        <w:r w:rsidRPr="001242C2">
          <w:rPr>
            <w:rFonts w:ascii="Times New Roman" w:hAnsi="Times New Roman"/>
            <w:caps w:val="0"/>
            <w:szCs w:val="22"/>
            <w:lang w:val="pt-PT"/>
          </w:rPr>
          <w:delText xml:space="preserve"> Informação para o </w:delText>
        </w:r>
        <w:r w:rsidR="00E27628">
          <w:rPr>
            <w:rFonts w:ascii="Times New Roman" w:hAnsi="Times New Roman"/>
            <w:caps w:val="0"/>
            <w:szCs w:val="22"/>
            <w:lang w:val="pt-PT"/>
          </w:rPr>
          <w:delText>doente</w:delText>
        </w:r>
      </w:del>
    </w:p>
    <w:p w14:paraId="65EBF90D" w14:textId="06BA0A89" w:rsidR="004462A0" w:rsidRPr="001242C2" w:rsidRDefault="004462A0" w:rsidP="004462A0">
      <w:pPr>
        <w:pStyle w:val="EMEATitle"/>
        <w:tabs>
          <w:tab w:val="clear" w:pos="562"/>
        </w:tabs>
        <w:suppressAutoHyphens w:val="0"/>
        <w:rPr>
          <w:del w:id="15260" w:author="AbbVie2" w:date="2025-05-14T10:25:00Z"/>
          <w:rFonts w:ascii="Times New Roman" w:hAnsi="Times New Roman"/>
          <w:caps w:val="0"/>
          <w:szCs w:val="22"/>
          <w:lang w:val="pt-PT"/>
        </w:rPr>
      </w:pPr>
    </w:p>
    <w:p w14:paraId="28BE4217" w14:textId="5CFA87A8" w:rsidR="004462A0" w:rsidRPr="008912CF" w:rsidRDefault="00615769" w:rsidP="004462A0">
      <w:pPr>
        <w:jc w:val="center"/>
        <w:rPr>
          <w:del w:id="15261" w:author="AbbVie2" w:date="2025-05-14T10:25:00Z"/>
          <w:b/>
          <w:sz w:val="22"/>
          <w:szCs w:val="22"/>
        </w:rPr>
      </w:pPr>
      <w:del w:id="15262" w:author="AbbVie2" w:date="2025-05-14T10:25:00Z">
        <w:r w:rsidRPr="008912CF">
          <w:rPr>
            <w:b/>
            <w:sz w:val="22"/>
            <w:szCs w:val="22"/>
          </w:rPr>
          <w:delText xml:space="preserve">Humira </w:delText>
        </w:r>
        <w:r w:rsidRPr="008912CF">
          <w:rPr>
            <w:b/>
            <w:bCs/>
            <w:sz w:val="22"/>
            <w:szCs w:val="22"/>
          </w:rPr>
          <w:delText>40 mg solução injetável em caneta pré-cheia</w:delText>
        </w:r>
      </w:del>
    </w:p>
    <w:p w14:paraId="25FA2215" w14:textId="4F29E830" w:rsidR="004462A0" w:rsidRPr="008912CF" w:rsidRDefault="00615769" w:rsidP="004462A0">
      <w:pPr>
        <w:jc w:val="center"/>
        <w:rPr>
          <w:del w:id="15263" w:author="AbbVie2" w:date="2025-05-14T10:25:00Z"/>
          <w:bCs/>
          <w:sz w:val="22"/>
          <w:szCs w:val="22"/>
        </w:rPr>
      </w:pPr>
      <w:del w:id="15264" w:author="AbbVie2" w:date="2025-05-14T10:25:00Z">
        <w:r w:rsidRPr="008912CF">
          <w:rPr>
            <w:bCs/>
            <w:sz w:val="22"/>
            <w:szCs w:val="22"/>
          </w:rPr>
          <w:delText>adalimumab</w:delText>
        </w:r>
      </w:del>
    </w:p>
    <w:p w14:paraId="07FA3C2D" w14:textId="15BD59A6" w:rsidR="004462A0" w:rsidRPr="008912CF" w:rsidRDefault="004462A0" w:rsidP="004462A0">
      <w:pPr>
        <w:jc w:val="center"/>
        <w:rPr>
          <w:del w:id="15265" w:author="AbbVie2" w:date="2025-05-14T10:25:00Z"/>
          <w:b/>
          <w:sz w:val="22"/>
          <w:szCs w:val="22"/>
        </w:rPr>
      </w:pPr>
    </w:p>
    <w:p w14:paraId="25E334D5" w14:textId="50508353" w:rsidR="004462A0" w:rsidRPr="008912CF" w:rsidRDefault="00615769" w:rsidP="004462A0">
      <w:pPr>
        <w:ind w:right="-2"/>
        <w:rPr>
          <w:del w:id="15266" w:author="AbbVie2" w:date="2025-05-14T10:25:00Z"/>
          <w:sz w:val="22"/>
          <w:szCs w:val="22"/>
        </w:rPr>
      </w:pPr>
      <w:del w:id="15267" w:author="AbbVie2" w:date="2025-05-14T10:25:00Z">
        <w:r w:rsidRPr="008912CF">
          <w:rPr>
            <w:b/>
            <w:sz w:val="22"/>
            <w:szCs w:val="22"/>
          </w:rPr>
          <w:delText xml:space="preserve">Leia com atenção todo este folheto antes de começar a utilizar este medicamento, pois contém informação importante para si </w:delText>
        </w:r>
      </w:del>
    </w:p>
    <w:p w14:paraId="186EA8D9" w14:textId="742E5F06" w:rsidR="004462A0" w:rsidRPr="008912CF" w:rsidRDefault="00615769" w:rsidP="004462A0">
      <w:pPr>
        <w:numPr>
          <w:ilvl w:val="0"/>
          <w:numId w:val="59"/>
        </w:numPr>
        <w:ind w:right="-2"/>
        <w:rPr>
          <w:del w:id="15268" w:author="AbbVie2" w:date="2025-05-14T10:25:00Z"/>
          <w:sz w:val="22"/>
          <w:szCs w:val="22"/>
        </w:rPr>
      </w:pPr>
      <w:del w:id="15269" w:author="AbbVie2" w:date="2025-05-14T10:25:00Z">
        <w:r w:rsidRPr="008912CF">
          <w:rPr>
            <w:sz w:val="22"/>
            <w:szCs w:val="22"/>
          </w:rPr>
          <w:delText>Conserve este folheto. Pode ter necessidade de o ler novamente.</w:delText>
        </w:r>
      </w:del>
    </w:p>
    <w:p w14:paraId="68503BA9" w14:textId="3B2F1CB8" w:rsidR="004462A0" w:rsidRPr="008912CF" w:rsidRDefault="00615769" w:rsidP="004462A0">
      <w:pPr>
        <w:numPr>
          <w:ilvl w:val="0"/>
          <w:numId w:val="19"/>
        </w:numPr>
        <w:ind w:right="-2"/>
        <w:rPr>
          <w:del w:id="15270" w:author="AbbVie2" w:date="2025-05-14T10:25:00Z"/>
          <w:sz w:val="22"/>
          <w:szCs w:val="22"/>
        </w:rPr>
      </w:pPr>
      <w:del w:id="15271" w:author="AbbVie2" w:date="2025-05-14T10:25:00Z">
        <w:r w:rsidRPr="008912CF">
          <w:rPr>
            <w:sz w:val="22"/>
            <w:szCs w:val="22"/>
          </w:rPr>
          <w:delText xml:space="preserve">O seu médico vai dar-lhe também um </w:delText>
        </w:r>
        <w:r w:rsidRPr="0083458C">
          <w:rPr>
            <w:b/>
            <w:sz w:val="22"/>
            <w:szCs w:val="22"/>
          </w:rPr>
          <w:delText>Cartão de Segurança do Doente</w:delText>
        </w:r>
        <w:r w:rsidRPr="008912CF">
          <w:rPr>
            <w:sz w:val="22"/>
            <w:szCs w:val="22"/>
          </w:rPr>
          <w:delText xml:space="preserve">, que contém informação de segurança importante que precisa conhecer, antes e durante o tratamento com Humira. Mantenha o </w:delText>
        </w:r>
        <w:r w:rsidRPr="0083458C">
          <w:rPr>
            <w:b/>
            <w:sz w:val="22"/>
            <w:szCs w:val="22"/>
          </w:rPr>
          <w:delText>Cartão de Segurança do Doente</w:delText>
        </w:r>
        <w:r w:rsidRPr="008912CF">
          <w:rPr>
            <w:sz w:val="22"/>
            <w:szCs w:val="22"/>
          </w:rPr>
          <w:delText xml:space="preserve"> consigo.</w:delText>
        </w:r>
      </w:del>
    </w:p>
    <w:p w14:paraId="690DB063" w14:textId="1D61B96B" w:rsidR="004462A0" w:rsidRPr="008912CF" w:rsidRDefault="00615769" w:rsidP="004462A0">
      <w:pPr>
        <w:numPr>
          <w:ilvl w:val="0"/>
          <w:numId w:val="59"/>
        </w:numPr>
        <w:ind w:right="-2"/>
        <w:rPr>
          <w:del w:id="15272" w:author="AbbVie2" w:date="2025-05-14T10:25:00Z"/>
          <w:sz w:val="22"/>
          <w:szCs w:val="22"/>
        </w:rPr>
      </w:pPr>
      <w:del w:id="15273" w:author="AbbVie2" w:date="2025-05-14T10:25:00Z">
        <w:r w:rsidRPr="008912CF">
          <w:rPr>
            <w:sz w:val="22"/>
            <w:szCs w:val="22"/>
          </w:rPr>
          <w:delText>Caso ainda tenha dúvidas, fale com o seu médico ou farmacêutico.</w:delText>
        </w:r>
      </w:del>
    </w:p>
    <w:p w14:paraId="4D34B8AE" w14:textId="7B7EBE6D" w:rsidR="004462A0" w:rsidRPr="008912CF" w:rsidRDefault="00615769" w:rsidP="004462A0">
      <w:pPr>
        <w:numPr>
          <w:ilvl w:val="0"/>
          <w:numId w:val="59"/>
        </w:numPr>
        <w:ind w:right="-2"/>
        <w:rPr>
          <w:del w:id="15274" w:author="AbbVie2" w:date="2025-05-14T10:25:00Z"/>
          <w:b/>
          <w:sz w:val="22"/>
          <w:szCs w:val="22"/>
        </w:rPr>
      </w:pPr>
      <w:del w:id="15275" w:author="AbbVie2" w:date="2025-05-14T10:25:00Z">
        <w:r w:rsidRPr="008912CF">
          <w:rPr>
            <w:sz w:val="22"/>
            <w:szCs w:val="22"/>
          </w:rPr>
          <w:delText>Este medicamento foi receitado apenas para si. Não deve dá-lo a outros. O medicamento pode ser-lhes prejudicial mesmo que apresentem os mesmos sinais de doença.</w:delText>
        </w:r>
      </w:del>
    </w:p>
    <w:p w14:paraId="7A9DC891" w14:textId="260C28EF" w:rsidR="005A3FC0" w:rsidRPr="00653128" w:rsidRDefault="00615769" w:rsidP="005A3FC0">
      <w:pPr>
        <w:numPr>
          <w:ilvl w:val="0"/>
          <w:numId w:val="59"/>
        </w:numPr>
        <w:ind w:right="-2"/>
        <w:rPr>
          <w:del w:id="15276" w:author="AbbVie2" w:date="2025-05-14T10:25:00Z"/>
          <w:b/>
          <w:sz w:val="22"/>
          <w:szCs w:val="22"/>
        </w:rPr>
      </w:pPr>
      <w:del w:id="15277" w:author="AbbVie2" w:date="2025-05-14T10:25:00Z">
        <w:r w:rsidRPr="009A05BE">
          <w:rPr>
            <w:sz w:val="22"/>
            <w:szCs w:val="22"/>
          </w:rPr>
          <w:delText xml:space="preserve">Se tiver quaisquer efeitos </w:delText>
        </w:r>
        <w:r w:rsidR="00571C82">
          <w:rPr>
            <w:sz w:val="22"/>
            <w:szCs w:val="22"/>
          </w:rPr>
          <w:delText>indesejáveis</w:delText>
        </w:r>
        <w:r w:rsidRPr="009A05BE">
          <w:rPr>
            <w:sz w:val="22"/>
            <w:szCs w:val="22"/>
          </w:rPr>
          <w:delText xml:space="preserve">, incluindo possíveis efeitos </w:delText>
        </w:r>
        <w:r w:rsidR="00571C82">
          <w:rPr>
            <w:sz w:val="22"/>
            <w:szCs w:val="22"/>
          </w:rPr>
          <w:delText>indesejáveis</w:delText>
        </w:r>
        <w:r w:rsidRPr="00854C93">
          <w:rPr>
            <w:sz w:val="22"/>
            <w:szCs w:val="22"/>
          </w:rPr>
          <w:delText xml:space="preserve"> não indicados neste folheto, fale com o seu médico ou farmacêutico</w:delText>
        </w:r>
        <w:r w:rsidRPr="0089156B">
          <w:rPr>
            <w:sz w:val="22"/>
            <w:szCs w:val="22"/>
          </w:rPr>
          <w:delText xml:space="preserve">. </w:delText>
        </w:r>
        <w:r w:rsidRPr="000B3FE3">
          <w:rPr>
            <w:sz w:val="22"/>
            <w:szCs w:val="22"/>
          </w:rPr>
          <w:delText>Ver secção 4</w:delText>
        </w:r>
        <w:r w:rsidRPr="004931CE">
          <w:rPr>
            <w:sz w:val="22"/>
            <w:szCs w:val="22"/>
          </w:rPr>
          <w:delText>.</w:delText>
        </w:r>
      </w:del>
    </w:p>
    <w:p w14:paraId="12246F52" w14:textId="3B8B11C5" w:rsidR="004462A0" w:rsidRPr="008912CF" w:rsidRDefault="004462A0" w:rsidP="004462A0">
      <w:pPr>
        <w:ind w:right="-2"/>
        <w:rPr>
          <w:del w:id="15278" w:author="AbbVie2" w:date="2025-05-14T10:25:00Z"/>
          <w:sz w:val="22"/>
          <w:szCs w:val="22"/>
          <w:u w:val="single"/>
        </w:rPr>
      </w:pPr>
    </w:p>
    <w:p w14:paraId="1ACF4E05" w14:textId="51BA7FE8" w:rsidR="004462A0" w:rsidRPr="008912CF" w:rsidRDefault="00615769" w:rsidP="004462A0">
      <w:pPr>
        <w:ind w:right="-2"/>
        <w:rPr>
          <w:del w:id="15279" w:author="AbbVie2" w:date="2025-05-14T10:25:00Z"/>
          <w:sz w:val="22"/>
          <w:szCs w:val="22"/>
        </w:rPr>
      </w:pPr>
      <w:del w:id="15280" w:author="AbbVie2" w:date="2025-05-14T10:25:00Z">
        <w:r w:rsidRPr="00F1550B">
          <w:rPr>
            <w:b/>
            <w:sz w:val="22"/>
            <w:szCs w:val="22"/>
          </w:rPr>
          <w:delText>O que contém este folheto</w:delText>
        </w:r>
        <w:r w:rsidRPr="008912CF">
          <w:rPr>
            <w:sz w:val="22"/>
            <w:szCs w:val="22"/>
          </w:rPr>
          <w:delText xml:space="preserve"> </w:delText>
        </w:r>
      </w:del>
    </w:p>
    <w:p w14:paraId="1DF0D642" w14:textId="289DF876" w:rsidR="004462A0" w:rsidRPr="008912CF" w:rsidRDefault="00615769" w:rsidP="004462A0">
      <w:pPr>
        <w:ind w:left="567" w:right="-28" w:hanging="567"/>
        <w:rPr>
          <w:del w:id="15281" w:author="AbbVie2" w:date="2025-05-14T10:25:00Z"/>
          <w:sz w:val="22"/>
          <w:szCs w:val="22"/>
        </w:rPr>
      </w:pPr>
      <w:del w:id="15282" w:author="AbbVie2" w:date="2025-05-14T10:25:00Z">
        <w:r w:rsidRPr="008912CF">
          <w:rPr>
            <w:sz w:val="22"/>
            <w:szCs w:val="22"/>
          </w:rPr>
          <w:delText>1.</w:delText>
        </w:r>
        <w:r w:rsidRPr="008912CF">
          <w:rPr>
            <w:sz w:val="22"/>
            <w:szCs w:val="22"/>
          </w:rPr>
          <w:tab/>
          <w:delText xml:space="preserve">O que é Humira e para que é utilizado </w:delText>
        </w:r>
      </w:del>
    </w:p>
    <w:p w14:paraId="3B585D8C" w14:textId="7359AD2E" w:rsidR="004462A0" w:rsidRPr="008912CF" w:rsidRDefault="00615769" w:rsidP="004462A0">
      <w:pPr>
        <w:ind w:left="567" w:right="-28" w:hanging="567"/>
        <w:rPr>
          <w:del w:id="15283" w:author="AbbVie2" w:date="2025-05-14T10:25:00Z"/>
          <w:sz w:val="22"/>
          <w:szCs w:val="22"/>
        </w:rPr>
      </w:pPr>
      <w:del w:id="15284" w:author="AbbVie2" w:date="2025-05-14T10:25:00Z">
        <w:r w:rsidRPr="008912CF">
          <w:rPr>
            <w:sz w:val="22"/>
            <w:szCs w:val="22"/>
          </w:rPr>
          <w:delText>2.</w:delText>
        </w:r>
        <w:r w:rsidRPr="008912CF">
          <w:rPr>
            <w:sz w:val="22"/>
            <w:szCs w:val="22"/>
          </w:rPr>
          <w:tab/>
        </w:r>
        <w:r w:rsidRPr="008912CF">
          <w:delText xml:space="preserve">O que precisa de saber antes </w:delText>
        </w:r>
        <w:r w:rsidRPr="008912CF">
          <w:rPr>
            <w:sz w:val="22"/>
            <w:szCs w:val="22"/>
          </w:rPr>
          <w:delText>de utilizar Humira</w:delText>
        </w:r>
      </w:del>
    </w:p>
    <w:p w14:paraId="480986D8" w14:textId="3AD7349F" w:rsidR="004462A0" w:rsidRPr="008912CF" w:rsidRDefault="00615769" w:rsidP="004462A0">
      <w:pPr>
        <w:ind w:left="567" w:right="-28" w:hanging="567"/>
        <w:rPr>
          <w:del w:id="15285" w:author="AbbVie2" w:date="2025-05-14T10:25:00Z"/>
          <w:sz w:val="22"/>
          <w:szCs w:val="22"/>
        </w:rPr>
      </w:pPr>
      <w:del w:id="15286" w:author="AbbVie2" w:date="2025-05-14T10:25:00Z">
        <w:r w:rsidRPr="008912CF">
          <w:rPr>
            <w:sz w:val="22"/>
            <w:szCs w:val="22"/>
          </w:rPr>
          <w:delText>3.</w:delText>
        </w:r>
        <w:r w:rsidRPr="008912CF">
          <w:rPr>
            <w:sz w:val="22"/>
            <w:szCs w:val="22"/>
          </w:rPr>
          <w:tab/>
          <w:delText>Como utilizar Humira</w:delText>
        </w:r>
      </w:del>
    </w:p>
    <w:p w14:paraId="3086F525" w14:textId="35A9BF71" w:rsidR="004462A0" w:rsidRPr="008912CF" w:rsidRDefault="00615769" w:rsidP="004462A0">
      <w:pPr>
        <w:ind w:left="567" w:right="-28" w:hanging="567"/>
        <w:rPr>
          <w:del w:id="15287" w:author="AbbVie2" w:date="2025-05-14T10:25:00Z"/>
          <w:sz w:val="22"/>
          <w:szCs w:val="22"/>
        </w:rPr>
      </w:pPr>
      <w:del w:id="15288" w:author="AbbVie2" w:date="2025-05-14T10:25:00Z">
        <w:r w:rsidRPr="008912CF">
          <w:rPr>
            <w:sz w:val="22"/>
            <w:szCs w:val="22"/>
          </w:rPr>
          <w:delText>4.</w:delText>
        </w:r>
        <w:r w:rsidRPr="008912CF">
          <w:rPr>
            <w:sz w:val="22"/>
            <w:szCs w:val="22"/>
          </w:rPr>
          <w:tab/>
          <w:delText xml:space="preserve">Efeitos </w:delText>
        </w:r>
        <w:r w:rsidR="00571C82">
          <w:rPr>
            <w:sz w:val="22"/>
            <w:szCs w:val="22"/>
          </w:rPr>
          <w:delText>indesejáveis</w:delText>
        </w:r>
        <w:r w:rsidRPr="008912CF">
          <w:rPr>
            <w:sz w:val="22"/>
            <w:szCs w:val="22"/>
          </w:rPr>
          <w:delText xml:space="preserve"> possíveis </w:delText>
        </w:r>
      </w:del>
    </w:p>
    <w:p w14:paraId="44775CC4" w14:textId="569B9442" w:rsidR="004462A0" w:rsidRPr="008912CF" w:rsidRDefault="00615769" w:rsidP="004462A0">
      <w:pPr>
        <w:ind w:left="567" w:right="-28" w:hanging="567"/>
        <w:rPr>
          <w:del w:id="15289" w:author="AbbVie2" w:date="2025-05-14T10:25:00Z"/>
          <w:sz w:val="22"/>
          <w:szCs w:val="22"/>
        </w:rPr>
      </w:pPr>
      <w:del w:id="15290" w:author="AbbVie2" w:date="2025-05-14T10:25:00Z">
        <w:r w:rsidRPr="008912CF">
          <w:rPr>
            <w:sz w:val="22"/>
            <w:szCs w:val="22"/>
          </w:rPr>
          <w:delText>5</w:delText>
        </w:r>
        <w:r w:rsidRPr="008912CF">
          <w:rPr>
            <w:sz w:val="22"/>
            <w:szCs w:val="22"/>
          </w:rPr>
          <w:tab/>
          <w:delText>Como conservar Humira</w:delText>
        </w:r>
      </w:del>
    </w:p>
    <w:p w14:paraId="322E9A41" w14:textId="0090A9D9" w:rsidR="004462A0" w:rsidRPr="008912CF" w:rsidRDefault="00615769" w:rsidP="004462A0">
      <w:pPr>
        <w:ind w:left="567" w:right="-28" w:hanging="567"/>
        <w:rPr>
          <w:del w:id="15291" w:author="AbbVie2" w:date="2025-05-14T10:25:00Z"/>
          <w:sz w:val="22"/>
          <w:szCs w:val="22"/>
        </w:rPr>
      </w:pPr>
      <w:del w:id="15292" w:author="AbbVie2" w:date="2025-05-14T10:25:00Z">
        <w:r w:rsidRPr="008912CF">
          <w:rPr>
            <w:sz w:val="22"/>
            <w:szCs w:val="22"/>
          </w:rPr>
          <w:delText>6.</w:delText>
        </w:r>
        <w:r w:rsidRPr="008912CF">
          <w:rPr>
            <w:sz w:val="22"/>
            <w:szCs w:val="22"/>
          </w:rPr>
          <w:tab/>
        </w:r>
        <w:r w:rsidRPr="008912CF">
          <w:delText>Conteúdo da embalagem e outras informações</w:delText>
        </w:r>
        <w:r w:rsidRPr="008912CF">
          <w:rPr>
            <w:sz w:val="22"/>
            <w:szCs w:val="22"/>
          </w:rPr>
          <w:delText xml:space="preserve"> </w:delText>
        </w:r>
      </w:del>
    </w:p>
    <w:p w14:paraId="40E07B4B" w14:textId="48D09A29" w:rsidR="004462A0" w:rsidRPr="008912CF" w:rsidRDefault="004462A0" w:rsidP="004462A0">
      <w:pPr>
        <w:ind w:right="-2"/>
        <w:rPr>
          <w:del w:id="15293" w:author="AbbVie2" w:date="2025-05-14T10:25:00Z"/>
          <w:sz w:val="22"/>
          <w:szCs w:val="22"/>
        </w:rPr>
      </w:pPr>
    </w:p>
    <w:p w14:paraId="7EE6B140" w14:textId="05B6F6CF" w:rsidR="004462A0" w:rsidRPr="008912CF" w:rsidRDefault="004462A0" w:rsidP="004462A0">
      <w:pPr>
        <w:ind w:right="-2"/>
        <w:rPr>
          <w:del w:id="15294" w:author="AbbVie2" w:date="2025-05-14T10:25:00Z"/>
          <w:sz w:val="22"/>
          <w:szCs w:val="22"/>
        </w:rPr>
      </w:pPr>
    </w:p>
    <w:p w14:paraId="732AEF9D" w14:textId="1075A9D8" w:rsidR="004462A0" w:rsidRPr="008912CF" w:rsidRDefault="00615769" w:rsidP="004462A0">
      <w:pPr>
        <w:ind w:left="567" w:hanging="567"/>
        <w:rPr>
          <w:del w:id="15295" w:author="AbbVie2" w:date="2025-05-14T10:25:00Z"/>
          <w:sz w:val="22"/>
          <w:szCs w:val="22"/>
        </w:rPr>
      </w:pPr>
      <w:del w:id="15296" w:author="AbbVie2" w:date="2025-05-14T10:25:00Z">
        <w:r w:rsidRPr="008912CF">
          <w:rPr>
            <w:b/>
            <w:sz w:val="22"/>
            <w:szCs w:val="22"/>
          </w:rPr>
          <w:delText>1.</w:delText>
        </w:r>
        <w:r w:rsidRPr="008912CF">
          <w:rPr>
            <w:b/>
            <w:sz w:val="22"/>
            <w:szCs w:val="22"/>
          </w:rPr>
          <w:tab/>
          <w:delText>O que é Humira e para que é utilizado</w:delText>
        </w:r>
      </w:del>
    </w:p>
    <w:p w14:paraId="5137548B" w14:textId="0D0178F9" w:rsidR="004462A0" w:rsidRPr="008912CF" w:rsidRDefault="004462A0" w:rsidP="004462A0">
      <w:pPr>
        <w:ind w:right="-2"/>
        <w:rPr>
          <w:del w:id="15297" w:author="AbbVie2" w:date="2025-05-14T10:25:00Z"/>
          <w:sz w:val="22"/>
          <w:szCs w:val="22"/>
        </w:rPr>
      </w:pPr>
    </w:p>
    <w:p w14:paraId="52B331BC" w14:textId="3AC6C5EE" w:rsidR="00595C42" w:rsidRPr="007D762F" w:rsidRDefault="00615769" w:rsidP="00595C42">
      <w:pPr>
        <w:ind w:right="-2"/>
        <w:rPr>
          <w:del w:id="15298" w:author="AbbVie2" w:date="2025-05-14T10:25:00Z"/>
          <w:sz w:val="22"/>
          <w:szCs w:val="22"/>
        </w:rPr>
      </w:pPr>
      <w:del w:id="15299" w:author="AbbVie2" w:date="2025-05-14T10:25:00Z">
        <w:r w:rsidRPr="007D762F">
          <w:rPr>
            <w:sz w:val="22"/>
            <w:szCs w:val="22"/>
          </w:rPr>
          <w:delText>Humira contém adalimumab como substância ativa.</w:delText>
        </w:r>
      </w:del>
    </w:p>
    <w:p w14:paraId="3F87DFF3" w14:textId="76A413CC" w:rsidR="00595C42" w:rsidRPr="007D762F" w:rsidRDefault="00595C42" w:rsidP="00595C42">
      <w:pPr>
        <w:ind w:right="-2"/>
        <w:rPr>
          <w:del w:id="15300" w:author="AbbVie2" w:date="2025-05-14T10:25:00Z"/>
          <w:sz w:val="22"/>
          <w:szCs w:val="22"/>
        </w:rPr>
      </w:pPr>
    </w:p>
    <w:p w14:paraId="5AA74145" w14:textId="60F7ADF6" w:rsidR="00595C42" w:rsidRPr="007D762F" w:rsidRDefault="00615769" w:rsidP="00595C42">
      <w:pPr>
        <w:ind w:right="-2"/>
        <w:rPr>
          <w:del w:id="15301" w:author="AbbVie2" w:date="2025-05-14T10:25:00Z"/>
          <w:sz w:val="22"/>
          <w:szCs w:val="22"/>
        </w:rPr>
      </w:pPr>
      <w:del w:id="15302" w:author="AbbVie2" w:date="2025-05-14T10:25:00Z">
        <w:r w:rsidRPr="007D762F">
          <w:rPr>
            <w:sz w:val="22"/>
            <w:szCs w:val="22"/>
          </w:rPr>
          <w:delText>Humira é usado no tratamento d</w:delText>
        </w:r>
        <w:r>
          <w:rPr>
            <w:sz w:val="22"/>
            <w:szCs w:val="22"/>
          </w:rPr>
          <w:delText>as</w:delText>
        </w:r>
        <w:r w:rsidRPr="007D762F">
          <w:rPr>
            <w:sz w:val="22"/>
            <w:szCs w:val="22"/>
          </w:rPr>
          <w:delText xml:space="preserve"> doenças inflamatórias abaixo descritas:</w:delText>
        </w:r>
      </w:del>
    </w:p>
    <w:p w14:paraId="5D7FE5A8" w14:textId="5AEA935A" w:rsidR="00595C42" w:rsidRDefault="00615769" w:rsidP="00595C42">
      <w:pPr>
        <w:ind w:right="-2"/>
        <w:rPr>
          <w:del w:id="15303" w:author="AbbVie2" w:date="2025-05-14T10:25:00Z"/>
          <w:sz w:val="22"/>
          <w:szCs w:val="22"/>
        </w:rPr>
      </w:pPr>
      <w:del w:id="15304" w:author="AbbVie2" w:date="2025-05-14T10:25:00Z">
        <w:r w:rsidRPr="007D762F">
          <w:rPr>
            <w:sz w:val="22"/>
            <w:szCs w:val="22"/>
          </w:rPr>
          <w:delText>•</w:delText>
        </w:r>
        <w:r w:rsidRPr="007D762F">
          <w:rPr>
            <w:sz w:val="22"/>
            <w:szCs w:val="22"/>
          </w:rPr>
          <w:tab/>
          <w:delText xml:space="preserve">Artrite </w:delText>
        </w:r>
        <w:r>
          <w:rPr>
            <w:sz w:val="22"/>
            <w:szCs w:val="22"/>
          </w:rPr>
          <w:delText>reumat</w:delText>
        </w:r>
        <w:r w:rsidR="00FF670B">
          <w:rPr>
            <w:sz w:val="22"/>
            <w:szCs w:val="22"/>
          </w:rPr>
          <w:delText>o</w:delText>
        </w:r>
        <w:r>
          <w:rPr>
            <w:sz w:val="22"/>
            <w:szCs w:val="22"/>
          </w:rPr>
          <w:delText>ide,</w:delText>
        </w:r>
      </w:del>
    </w:p>
    <w:p w14:paraId="0E9A45F6" w14:textId="4128B820" w:rsidR="00595C42" w:rsidRPr="00E51FCC" w:rsidRDefault="00615769" w:rsidP="00595C42">
      <w:pPr>
        <w:pStyle w:val="ListParagraph"/>
        <w:numPr>
          <w:ilvl w:val="0"/>
          <w:numId w:val="69"/>
        </w:numPr>
        <w:ind w:left="709" w:right="-2" w:hanging="709"/>
        <w:rPr>
          <w:del w:id="15305" w:author="AbbVie2" w:date="2025-05-14T10:25:00Z"/>
          <w:sz w:val="22"/>
          <w:szCs w:val="22"/>
        </w:rPr>
      </w:pPr>
      <w:del w:id="15306" w:author="AbbVie2" w:date="2025-05-14T10:25:00Z">
        <w:r w:rsidRPr="00E51FCC">
          <w:rPr>
            <w:sz w:val="22"/>
            <w:szCs w:val="22"/>
          </w:rPr>
          <w:delText>Artrite idiopática juvenil poliarticular</w:delText>
        </w:r>
        <w:r>
          <w:rPr>
            <w:sz w:val="22"/>
            <w:szCs w:val="22"/>
          </w:rPr>
          <w:delText>,</w:delText>
        </w:r>
        <w:r w:rsidRPr="00E51FCC">
          <w:rPr>
            <w:sz w:val="22"/>
            <w:szCs w:val="22"/>
          </w:rPr>
          <w:delText xml:space="preserve">  </w:delText>
        </w:r>
      </w:del>
    </w:p>
    <w:p w14:paraId="4F7A9F5F" w14:textId="149E73A6" w:rsidR="00595C42" w:rsidRDefault="00615769" w:rsidP="00595C42">
      <w:pPr>
        <w:ind w:right="-2"/>
        <w:rPr>
          <w:del w:id="15307" w:author="AbbVie2" w:date="2025-05-14T10:25:00Z"/>
          <w:sz w:val="22"/>
          <w:szCs w:val="22"/>
        </w:rPr>
      </w:pPr>
      <w:del w:id="15308" w:author="AbbVie2" w:date="2025-05-14T10:25:00Z">
        <w:r w:rsidRPr="007D762F">
          <w:rPr>
            <w:sz w:val="22"/>
            <w:szCs w:val="22"/>
          </w:rPr>
          <w:delText>•</w:delText>
        </w:r>
        <w:r w:rsidRPr="007D762F">
          <w:rPr>
            <w:sz w:val="22"/>
            <w:szCs w:val="22"/>
          </w:rPr>
          <w:tab/>
          <w:delText>Artrite relacionada com entesite</w:delText>
        </w:r>
        <w:r>
          <w:rPr>
            <w:sz w:val="22"/>
            <w:szCs w:val="22"/>
          </w:rPr>
          <w:delText>,</w:delText>
        </w:r>
      </w:del>
    </w:p>
    <w:p w14:paraId="2E40D169" w14:textId="06DAFAD6" w:rsidR="00595C42" w:rsidRDefault="00615769" w:rsidP="00595C42">
      <w:pPr>
        <w:pStyle w:val="ListParagraph"/>
        <w:numPr>
          <w:ilvl w:val="0"/>
          <w:numId w:val="69"/>
        </w:numPr>
        <w:ind w:left="709" w:right="-2" w:hanging="709"/>
        <w:rPr>
          <w:del w:id="15309" w:author="AbbVie2" w:date="2025-05-14T10:25:00Z"/>
          <w:sz w:val="22"/>
          <w:szCs w:val="22"/>
        </w:rPr>
      </w:pPr>
      <w:del w:id="15310" w:author="AbbVie2" w:date="2025-05-14T10:25:00Z">
        <w:r>
          <w:rPr>
            <w:sz w:val="22"/>
            <w:szCs w:val="22"/>
          </w:rPr>
          <w:delText>Espondilite anquilosante,</w:delText>
        </w:r>
      </w:del>
    </w:p>
    <w:p w14:paraId="07AE7114" w14:textId="330B6606" w:rsidR="00595C42" w:rsidRPr="002D31C1" w:rsidRDefault="00615769" w:rsidP="00595C42">
      <w:pPr>
        <w:pStyle w:val="ListParagraph"/>
        <w:numPr>
          <w:ilvl w:val="0"/>
          <w:numId w:val="69"/>
        </w:numPr>
        <w:ind w:left="709" w:right="-2" w:hanging="709"/>
        <w:rPr>
          <w:del w:id="15311" w:author="AbbVie2" w:date="2025-05-14T10:25:00Z"/>
          <w:sz w:val="22"/>
          <w:szCs w:val="22"/>
        </w:rPr>
      </w:pPr>
      <w:del w:id="15312" w:author="AbbVie2" w:date="2025-05-14T10:25:00Z">
        <w:r w:rsidRPr="00F03C54">
          <w:rPr>
            <w:sz w:val="22"/>
            <w:szCs w:val="22"/>
          </w:rPr>
          <w:delText>Espondilartrite axial sem evidência radiográfica de espondilite anquilosante,</w:delText>
        </w:r>
      </w:del>
    </w:p>
    <w:p w14:paraId="4A34CE21" w14:textId="10FB90EF" w:rsidR="00595C42" w:rsidRPr="002D31C1" w:rsidRDefault="00615769" w:rsidP="00595C42">
      <w:pPr>
        <w:pStyle w:val="ListParagraph"/>
        <w:numPr>
          <w:ilvl w:val="0"/>
          <w:numId w:val="69"/>
        </w:numPr>
        <w:ind w:left="709" w:right="-2" w:hanging="709"/>
        <w:rPr>
          <w:del w:id="15313" w:author="AbbVie2" w:date="2025-05-14T10:25:00Z"/>
          <w:sz w:val="22"/>
          <w:szCs w:val="22"/>
        </w:rPr>
      </w:pPr>
      <w:del w:id="15314" w:author="AbbVie2" w:date="2025-05-14T10:25:00Z">
        <w:r w:rsidRPr="00F03C54">
          <w:rPr>
            <w:sz w:val="22"/>
            <w:szCs w:val="22"/>
          </w:rPr>
          <w:delText>Artrite psoriática,</w:delText>
        </w:r>
      </w:del>
    </w:p>
    <w:p w14:paraId="66D494DD" w14:textId="2D2A4AE6" w:rsidR="00595C42" w:rsidRPr="002D31C1" w:rsidRDefault="00615769" w:rsidP="00595C42">
      <w:pPr>
        <w:ind w:right="-2"/>
        <w:rPr>
          <w:del w:id="15315" w:author="AbbVie2" w:date="2025-05-14T10:25:00Z"/>
          <w:sz w:val="22"/>
          <w:szCs w:val="22"/>
        </w:rPr>
      </w:pPr>
      <w:del w:id="15316" w:author="AbbVie2" w:date="2025-05-14T10:25:00Z">
        <w:r w:rsidRPr="002D31C1">
          <w:rPr>
            <w:sz w:val="22"/>
            <w:szCs w:val="22"/>
          </w:rPr>
          <w:delText>•</w:delText>
        </w:r>
        <w:r w:rsidRPr="002D31C1">
          <w:rPr>
            <w:sz w:val="22"/>
            <w:szCs w:val="22"/>
          </w:rPr>
          <w:tab/>
          <w:delText>Psoríase,</w:delText>
        </w:r>
      </w:del>
    </w:p>
    <w:p w14:paraId="045FCA11" w14:textId="56466B75" w:rsidR="00595C42" w:rsidRPr="007D762F" w:rsidRDefault="00615769" w:rsidP="00595C42">
      <w:pPr>
        <w:ind w:right="-2"/>
        <w:rPr>
          <w:del w:id="15317" w:author="AbbVie2" w:date="2025-05-14T10:25:00Z"/>
          <w:sz w:val="22"/>
          <w:szCs w:val="22"/>
        </w:rPr>
      </w:pPr>
      <w:del w:id="15318" w:author="AbbVie2" w:date="2025-05-14T10:25:00Z">
        <w:r w:rsidRPr="007D762F">
          <w:rPr>
            <w:sz w:val="22"/>
            <w:szCs w:val="22"/>
          </w:rPr>
          <w:delText>•</w:delText>
        </w:r>
        <w:r w:rsidRPr="007D762F">
          <w:rPr>
            <w:sz w:val="22"/>
            <w:szCs w:val="22"/>
          </w:rPr>
          <w:tab/>
        </w:r>
        <w:r>
          <w:rPr>
            <w:sz w:val="22"/>
            <w:szCs w:val="22"/>
          </w:rPr>
          <w:delText>Hidradenite supurativa,</w:delText>
        </w:r>
      </w:del>
    </w:p>
    <w:p w14:paraId="69D7913D" w14:textId="06A0966B" w:rsidR="00595C42" w:rsidRPr="007D762F" w:rsidRDefault="00615769" w:rsidP="00595C42">
      <w:pPr>
        <w:ind w:right="-2"/>
        <w:rPr>
          <w:del w:id="15319" w:author="AbbVie2" w:date="2025-05-14T10:25:00Z"/>
          <w:sz w:val="22"/>
          <w:szCs w:val="22"/>
        </w:rPr>
      </w:pPr>
      <w:del w:id="15320" w:author="AbbVie2" w:date="2025-05-14T10:25:00Z">
        <w:r w:rsidRPr="007D762F">
          <w:rPr>
            <w:sz w:val="22"/>
            <w:szCs w:val="22"/>
          </w:rPr>
          <w:delText>•</w:delText>
        </w:r>
        <w:r w:rsidRPr="007D762F">
          <w:rPr>
            <w:sz w:val="22"/>
            <w:szCs w:val="22"/>
          </w:rPr>
          <w:tab/>
          <w:delText>Doença de Crohn</w:delText>
        </w:r>
        <w:r>
          <w:rPr>
            <w:sz w:val="22"/>
            <w:szCs w:val="22"/>
          </w:rPr>
          <w:delText>,</w:delText>
        </w:r>
      </w:del>
    </w:p>
    <w:p w14:paraId="0DEBD1AA" w14:textId="5E6F35E2" w:rsidR="00595C42" w:rsidRDefault="00615769" w:rsidP="00595C42">
      <w:pPr>
        <w:ind w:right="-2"/>
        <w:rPr>
          <w:del w:id="15321" w:author="AbbVie2" w:date="2025-05-14T10:25:00Z"/>
          <w:sz w:val="22"/>
          <w:szCs w:val="22"/>
        </w:rPr>
      </w:pPr>
      <w:del w:id="15322" w:author="AbbVie2" w:date="2025-05-14T10:25:00Z">
        <w:r w:rsidRPr="007D762F">
          <w:rPr>
            <w:sz w:val="22"/>
            <w:szCs w:val="22"/>
          </w:rPr>
          <w:delText>•</w:delText>
        </w:r>
        <w:r w:rsidRPr="007D762F">
          <w:rPr>
            <w:sz w:val="22"/>
            <w:szCs w:val="22"/>
          </w:rPr>
          <w:tab/>
        </w:r>
        <w:r>
          <w:rPr>
            <w:sz w:val="22"/>
            <w:szCs w:val="22"/>
          </w:rPr>
          <w:delText>Colite ulcerosa e</w:delText>
        </w:r>
      </w:del>
    </w:p>
    <w:p w14:paraId="2AD72DF1" w14:textId="36DBAF2B" w:rsidR="00595C42" w:rsidRPr="00E51FCC" w:rsidRDefault="00615769" w:rsidP="00595C42">
      <w:pPr>
        <w:pStyle w:val="ListParagraph"/>
        <w:numPr>
          <w:ilvl w:val="0"/>
          <w:numId w:val="147"/>
        </w:numPr>
        <w:ind w:right="-2" w:hanging="720"/>
        <w:rPr>
          <w:del w:id="15323" w:author="AbbVie2" w:date="2025-05-14T10:25:00Z"/>
          <w:sz w:val="22"/>
          <w:szCs w:val="22"/>
        </w:rPr>
      </w:pPr>
      <w:del w:id="15324" w:author="AbbVie2" w:date="2025-05-14T10:25:00Z">
        <w:r w:rsidRPr="00E51FCC">
          <w:rPr>
            <w:sz w:val="22"/>
            <w:szCs w:val="22"/>
          </w:rPr>
          <w:delText xml:space="preserve">Uveíte não infecciosa </w:delText>
        </w:r>
      </w:del>
    </w:p>
    <w:p w14:paraId="1C0A3F75" w14:textId="24DBDEC3" w:rsidR="00595C42" w:rsidRPr="007D762F" w:rsidRDefault="00595C42" w:rsidP="00595C42">
      <w:pPr>
        <w:ind w:right="-2"/>
        <w:rPr>
          <w:del w:id="15325" w:author="AbbVie2" w:date="2025-05-14T10:25:00Z"/>
          <w:sz w:val="22"/>
          <w:szCs w:val="22"/>
        </w:rPr>
      </w:pPr>
    </w:p>
    <w:p w14:paraId="50313B3A" w14:textId="1AD6FD16" w:rsidR="00595C42" w:rsidRPr="007D762F" w:rsidRDefault="00615769" w:rsidP="00595C42">
      <w:pPr>
        <w:ind w:right="-2"/>
        <w:rPr>
          <w:del w:id="15326" w:author="AbbVie2" w:date="2025-05-14T10:25:00Z"/>
          <w:sz w:val="22"/>
          <w:szCs w:val="22"/>
        </w:rPr>
      </w:pPr>
      <w:del w:id="15327" w:author="AbbVie2" w:date="2025-05-14T10:25:00Z">
        <w:r w:rsidRPr="007D762F">
          <w:rPr>
            <w:sz w:val="22"/>
            <w:szCs w:val="22"/>
          </w:rPr>
          <w:delText>A substância ativa de Humira, adalimumab, é um anticorpo monoclonal humano. Os anticorpos monoclonais são proteínas que se ligam a um alvo específico.</w:delText>
        </w:r>
      </w:del>
    </w:p>
    <w:p w14:paraId="0BBA041A" w14:textId="44B804B7" w:rsidR="00595C42" w:rsidRPr="007D762F" w:rsidRDefault="00595C42" w:rsidP="00595C42">
      <w:pPr>
        <w:ind w:right="-2"/>
        <w:rPr>
          <w:del w:id="15328" w:author="AbbVie2" w:date="2025-05-14T10:25:00Z"/>
          <w:sz w:val="22"/>
          <w:szCs w:val="22"/>
        </w:rPr>
      </w:pPr>
    </w:p>
    <w:p w14:paraId="7A3C1FBA" w14:textId="3BD8EF43" w:rsidR="00595C42" w:rsidRDefault="00615769" w:rsidP="00F03C54">
      <w:pPr>
        <w:ind w:right="-2"/>
        <w:rPr>
          <w:del w:id="15329" w:author="AbbVie2" w:date="2025-05-14T10:25:00Z"/>
          <w:sz w:val="22"/>
          <w:szCs w:val="22"/>
        </w:rPr>
      </w:pPr>
      <w:del w:id="15330" w:author="AbbVie2" w:date="2025-05-14T10:25:00Z">
        <w:r w:rsidRPr="007D762F">
          <w:rPr>
            <w:sz w:val="22"/>
            <w:szCs w:val="22"/>
          </w:rPr>
          <w:delText>O alvo de adalimumab é uma proteína denominada fator de necrose tumoral (TNFα), que está envolvida no sistema imunitário (defesa) e está presente em níveis aumentados nas doenças inflamatórias a</w:delText>
        </w:r>
        <w:r w:rsidR="00816FFE">
          <w:rPr>
            <w:sz w:val="22"/>
            <w:szCs w:val="22"/>
          </w:rPr>
          <w:delText>cima</w:delText>
        </w:r>
        <w:r w:rsidRPr="007D762F">
          <w:rPr>
            <w:sz w:val="22"/>
            <w:szCs w:val="22"/>
          </w:rPr>
          <w:delText xml:space="preserve"> mencionadas. </w:delText>
        </w:r>
        <w:r w:rsidR="00D26B76">
          <w:rPr>
            <w:sz w:val="22"/>
            <w:szCs w:val="22"/>
          </w:rPr>
          <w:delText>Ao ligar-se</w:delText>
        </w:r>
        <w:r w:rsidRPr="007D762F">
          <w:rPr>
            <w:sz w:val="22"/>
            <w:szCs w:val="22"/>
          </w:rPr>
          <w:delText xml:space="preserve"> ao TNFα, Humira diminui o processo inflamatório destas doenças.</w:delText>
        </w:r>
      </w:del>
    </w:p>
    <w:p w14:paraId="6F9A0AF1" w14:textId="0C5FA1C1" w:rsidR="004462A0" w:rsidRPr="008912CF" w:rsidRDefault="004462A0" w:rsidP="004462A0">
      <w:pPr>
        <w:rPr>
          <w:del w:id="15331" w:author="AbbVie2" w:date="2025-05-14T10:25:00Z"/>
          <w:sz w:val="22"/>
          <w:szCs w:val="22"/>
        </w:rPr>
      </w:pPr>
    </w:p>
    <w:p w14:paraId="03A2C0CE" w14:textId="15E00944" w:rsidR="004462A0" w:rsidRPr="008912CF" w:rsidRDefault="00615769" w:rsidP="004462A0">
      <w:pPr>
        <w:pStyle w:val="Heading9"/>
        <w:keepNext w:val="0"/>
        <w:rPr>
          <w:del w:id="15332" w:author="AbbVie2" w:date="2025-05-14T10:25:00Z"/>
          <w:szCs w:val="22"/>
        </w:rPr>
      </w:pPr>
      <w:del w:id="15333" w:author="AbbVie2" w:date="2025-05-14T10:25:00Z">
        <w:r w:rsidRPr="008912CF">
          <w:rPr>
            <w:szCs w:val="22"/>
          </w:rPr>
          <w:delText>Artrite reumatoide</w:delText>
        </w:r>
      </w:del>
    </w:p>
    <w:p w14:paraId="15CB5F0D" w14:textId="4ED02582" w:rsidR="004462A0" w:rsidRPr="008912CF" w:rsidRDefault="004462A0" w:rsidP="004462A0">
      <w:pPr>
        <w:rPr>
          <w:del w:id="15334" w:author="AbbVie2" w:date="2025-05-14T10:25:00Z"/>
          <w:sz w:val="22"/>
          <w:szCs w:val="22"/>
        </w:rPr>
      </w:pPr>
    </w:p>
    <w:p w14:paraId="360A42C0" w14:textId="69839359" w:rsidR="004462A0" w:rsidRPr="008912CF" w:rsidRDefault="00615769" w:rsidP="004462A0">
      <w:pPr>
        <w:rPr>
          <w:del w:id="15335" w:author="AbbVie2" w:date="2025-05-14T10:25:00Z"/>
          <w:sz w:val="22"/>
          <w:szCs w:val="22"/>
        </w:rPr>
      </w:pPr>
      <w:del w:id="15336" w:author="AbbVie2" w:date="2025-05-14T10:25:00Z">
        <w:r w:rsidRPr="008912CF">
          <w:rPr>
            <w:sz w:val="22"/>
            <w:szCs w:val="22"/>
          </w:rPr>
          <w:delText>A artrite reumatoide é uma doença inflamatória das articulações.</w:delText>
        </w:r>
      </w:del>
    </w:p>
    <w:p w14:paraId="42AF8F19" w14:textId="77B89F8F" w:rsidR="004462A0" w:rsidRPr="008912CF" w:rsidRDefault="004462A0" w:rsidP="004462A0">
      <w:pPr>
        <w:ind w:right="-2"/>
        <w:rPr>
          <w:del w:id="15337" w:author="AbbVie2" w:date="2025-05-14T10:25:00Z"/>
          <w:sz w:val="22"/>
          <w:szCs w:val="22"/>
        </w:rPr>
      </w:pPr>
    </w:p>
    <w:p w14:paraId="641199A2" w14:textId="02010E54" w:rsidR="004462A0" w:rsidRPr="008912CF" w:rsidRDefault="00615769" w:rsidP="004462A0">
      <w:pPr>
        <w:ind w:right="-2"/>
        <w:rPr>
          <w:del w:id="15338" w:author="AbbVie2" w:date="2025-05-14T10:25:00Z"/>
          <w:sz w:val="22"/>
          <w:szCs w:val="22"/>
        </w:rPr>
      </w:pPr>
      <w:del w:id="15339" w:author="AbbVie2" w:date="2025-05-14T10:25:00Z">
        <w:r w:rsidRPr="008912CF">
          <w:rPr>
            <w:sz w:val="22"/>
            <w:szCs w:val="22"/>
          </w:rPr>
          <w:delText>Humira é usado no tratamento da artrite reumatoide em adultos. Se tem artrite reumatoide ativa moderada a grave, é possível que tenha sido previamente tratado com outros medicamentos modificadores da doença, como metotrexato. Se a sua resposta a estes medicamentos tiver sido insuficiente, ser-lhe-á administrado Humira para tratar a sua artrite reumatoide.</w:delText>
        </w:r>
      </w:del>
    </w:p>
    <w:p w14:paraId="123FB6BE" w14:textId="7D8F65E9" w:rsidR="004462A0" w:rsidRPr="008912CF" w:rsidRDefault="004462A0" w:rsidP="004462A0">
      <w:pPr>
        <w:ind w:right="-2"/>
        <w:rPr>
          <w:del w:id="15340" w:author="AbbVie2" w:date="2025-05-14T10:25:00Z"/>
          <w:sz w:val="22"/>
          <w:szCs w:val="22"/>
        </w:rPr>
      </w:pPr>
    </w:p>
    <w:p w14:paraId="3152572A" w14:textId="633B43D9" w:rsidR="004462A0" w:rsidRPr="008912CF" w:rsidRDefault="00615769" w:rsidP="004462A0">
      <w:pPr>
        <w:ind w:right="-2"/>
        <w:rPr>
          <w:del w:id="15341" w:author="AbbVie2" w:date="2025-05-14T10:25:00Z"/>
          <w:sz w:val="22"/>
          <w:szCs w:val="22"/>
        </w:rPr>
      </w:pPr>
      <w:del w:id="15342" w:author="AbbVie2" w:date="2025-05-14T10:25:00Z">
        <w:r w:rsidRPr="008912CF">
          <w:rPr>
            <w:sz w:val="22"/>
            <w:szCs w:val="22"/>
          </w:rPr>
          <w:delText>Humira pode ser usado no tratamento da artrite reumatoide grave, ativa e progressiva sem tratamento prévio com metotrexato.</w:delText>
        </w:r>
      </w:del>
    </w:p>
    <w:p w14:paraId="3EE6AC51" w14:textId="73A6C16F" w:rsidR="004462A0" w:rsidRPr="008912CF" w:rsidRDefault="004462A0" w:rsidP="004462A0">
      <w:pPr>
        <w:ind w:right="-2"/>
        <w:rPr>
          <w:del w:id="15343" w:author="AbbVie2" w:date="2025-05-14T10:25:00Z"/>
          <w:sz w:val="22"/>
          <w:szCs w:val="22"/>
        </w:rPr>
      </w:pPr>
    </w:p>
    <w:p w14:paraId="326D72E6" w14:textId="4213E9F8" w:rsidR="004462A0" w:rsidRPr="008912CF" w:rsidRDefault="00615769" w:rsidP="004462A0">
      <w:pPr>
        <w:ind w:right="-2"/>
        <w:rPr>
          <w:del w:id="15344" w:author="AbbVie2" w:date="2025-05-14T10:25:00Z"/>
          <w:sz w:val="22"/>
          <w:szCs w:val="22"/>
        </w:rPr>
      </w:pPr>
      <w:del w:id="15345" w:author="AbbVie2" w:date="2025-05-14T10:25:00Z">
        <w:r w:rsidRPr="008912CF">
          <w:rPr>
            <w:sz w:val="22"/>
            <w:szCs w:val="22"/>
          </w:rPr>
          <w:delText>Humira demonstrou retardar a lesão da cartilagem e osso das articulações causada pela doença e melhorar a função física.</w:delText>
        </w:r>
      </w:del>
    </w:p>
    <w:p w14:paraId="2BDDA25F" w14:textId="1103A112" w:rsidR="004462A0" w:rsidRPr="008912CF" w:rsidRDefault="004462A0" w:rsidP="004462A0">
      <w:pPr>
        <w:ind w:right="-2"/>
        <w:rPr>
          <w:del w:id="15346" w:author="AbbVie2" w:date="2025-05-14T10:25:00Z"/>
          <w:sz w:val="22"/>
          <w:szCs w:val="22"/>
        </w:rPr>
      </w:pPr>
    </w:p>
    <w:p w14:paraId="70AACE8E" w14:textId="5FDC3501" w:rsidR="004462A0" w:rsidRPr="008912CF" w:rsidRDefault="00615769" w:rsidP="004462A0">
      <w:pPr>
        <w:ind w:right="-2"/>
        <w:rPr>
          <w:del w:id="15347" w:author="AbbVie2" w:date="2025-05-14T10:25:00Z"/>
          <w:sz w:val="22"/>
          <w:szCs w:val="22"/>
        </w:rPr>
      </w:pPr>
      <w:del w:id="15348" w:author="AbbVie2" w:date="2025-05-14T10:25:00Z">
        <w:r w:rsidRPr="008912CF">
          <w:rPr>
            <w:sz w:val="22"/>
            <w:szCs w:val="22"/>
          </w:rPr>
          <w:delText>Humira é usado habitualmente com metotrexato. Se o médico considerar que metotrexato não é adequado, Humira pode ser usado isoladamente.</w:delText>
        </w:r>
      </w:del>
    </w:p>
    <w:p w14:paraId="63C318B1" w14:textId="1DEA5AFB" w:rsidR="004462A0" w:rsidRPr="008912CF" w:rsidRDefault="004462A0" w:rsidP="004462A0">
      <w:pPr>
        <w:ind w:right="-2"/>
        <w:rPr>
          <w:del w:id="15349" w:author="AbbVie2" w:date="2025-05-14T10:25:00Z"/>
          <w:sz w:val="22"/>
          <w:szCs w:val="22"/>
          <w:u w:val="single"/>
        </w:rPr>
      </w:pPr>
    </w:p>
    <w:p w14:paraId="4E9728EC" w14:textId="1D4F6D18" w:rsidR="004462A0" w:rsidRPr="008912CF" w:rsidRDefault="00615769" w:rsidP="004462A0">
      <w:pPr>
        <w:ind w:right="-2"/>
        <w:rPr>
          <w:del w:id="15350" w:author="AbbVie2" w:date="2025-05-14T10:25:00Z"/>
          <w:sz w:val="22"/>
          <w:szCs w:val="22"/>
          <w:u w:val="single"/>
        </w:rPr>
      </w:pPr>
      <w:del w:id="15351" w:author="AbbVie2" w:date="2025-05-14T10:25:00Z">
        <w:r w:rsidRPr="008912CF">
          <w:rPr>
            <w:sz w:val="22"/>
            <w:szCs w:val="22"/>
            <w:u w:val="single"/>
          </w:rPr>
          <w:delText>Artrite idiopática juvenil poliarticular e artrite relacionada com entesite</w:delText>
        </w:r>
      </w:del>
    </w:p>
    <w:p w14:paraId="1809D1C9" w14:textId="0B18E75F" w:rsidR="004462A0" w:rsidRPr="008912CF" w:rsidRDefault="004462A0" w:rsidP="004462A0">
      <w:pPr>
        <w:ind w:right="-2"/>
        <w:rPr>
          <w:del w:id="15352" w:author="AbbVie2" w:date="2025-05-14T10:25:00Z"/>
          <w:sz w:val="22"/>
          <w:szCs w:val="22"/>
        </w:rPr>
      </w:pPr>
    </w:p>
    <w:p w14:paraId="4BC1BCA6" w14:textId="65DE69F5" w:rsidR="004462A0" w:rsidRPr="008912CF" w:rsidRDefault="00615769" w:rsidP="004462A0">
      <w:pPr>
        <w:ind w:right="-2"/>
        <w:rPr>
          <w:del w:id="15353" w:author="AbbVie2" w:date="2025-05-14T10:25:00Z"/>
          <w:sz w:val="22"/>
          <w:szCs w:val="22"/>
          <w:u w:val="single"/>
        </w:rPr>
      </w:pPr>
      <w:del w:id="15354" w:author="AbbVie2" w:date="2025-05-14T10:25:00Z">
        <w:r w:rsidRPr="008912CF">
          <w:rPr>
            <w:sz w:val="22"/>
            <w:szCs w:val="22"/>
          </w:rPr>
          <w:delText>A artrite idiopática juvenil poliarticular e a artrite relacionada com entesite são doenças inflamatórias.</w:delText>
        </w:r>
      </w:del>
    </w:p>
    <w:p w14:paraId="626F01B9" w14:textId="2093DB76" w:rsidR="004462A0" w:rsidRPr="008912CF" w:rsidRDefault="004462A0" w:rsidP="004462A0">
      <w:pPr>
        <w:ind w:right="-2"/>
        <w:rPr>
          <w:del w:id="15355" w:author="AbbVie2" w:date="2025-05-14T10:25:00Z"/>
          <w:sz w:val="22"/>
          <w:szCs w:val="22"/>
        </w:rPr>
      </w:pPr>
    </w:p>
    <w:p w14:paraId="57A1F2BE" w14:textId="194A7095" w:rsidR="004462A0" w:rsidRPr="008912CF" w:rsidRDefault="00615769" w:rsidP="004462A0">
      <w:pPr>
        <w:ind w:right="-2"/>
        <w:rPr>
          <w:del w:id="15356" w:author="AbbVie2" w:date="2025-05-14T10:25:00Z"/>
          <w:sz w:val="22"/>
          <w:szCs w:val="22"/>
        </w:rPr>
      </w:pPr>
      <w:del w:id="15357" w:author="AbbVie2" w:date="2025-05-14T10:25:00Z">
        <w:r w:rsidRPr="008912CF">
          <w:rPr>
            <w:sz w:val="22"/>
            <w:szCs w:val="22"/>
          </w:rPr>
          <w:delText>Humira é usado no tratamento da artrite idiopática juvenil poliarticular em crianças e adolescentes com idade entre os 2 e os 17 anos e artrite relacionada com entesite em crianças e adolescentes com idade entre os 6 e os 17 anos. Pode ser tratado inicialmente com outros medicamentos modificadores da doença, como por exemplo metotrexato. Se não responder suficientemente bem a estes medicamentos, receberá Humira para tratar a sua artrite idiopática juvenil poliarticular ou artrite relacionada com entesite.</w:delText>
        </w:r>
      </w:del>
    </w:p>
    <w:p w14:paraId="7AEA495F" w14:textId="57CDCE9B" w:rsidR="004462A0" w:rsidRPr="008912CF" w:rsidRDefault="004462A0" w:rsidP="004462A0">
      <w:pPr>
        <w:ind w:right="-2"/>
        <w:rPr>
          <w:del w:id="15358" w:author="AbbVie2" w:date="2025-05-14T10:25:00Z"/>
          <w:sz w:val="22"/>
          <w:szCs w:val="22"/>
          <w:u w:val="single"/>
        </w:rPr>
      </w:pPr>
    </w:p>
    <w:p w14:paraId="090DC65D" w14:textId="51E817E0" w:rsidR="004462A0" w:rsidRPr="008912CF" w:rsidRDefault="00615769" w:rsidP="004462A0">
      <w:pPr>
        <w:ind w:right="-2"/>
        <w:rPr>
          <w:del w:id="15359" w:author="AbbVie2" w:date="2025-05-14T10:25:00Z"/>
          <w:sz w:val="22"/>
          <w:szCs w:val="22"/>
          <w:u w:val="single"/>
        </w:rPr>
      </w:pPr>
      <w:del w:id="15360" w:author="AbbVie2" w:date="2025-05-14T10:25:00Z">
        <w:r w:rsidRPr="008912CF">
          <w:rPr>
            <w:sz w:val="22"/>
            <w:szCs w:val="22"/>
            <w:u w:val="single"/>
          </w:rPr>
          <w:delText>Espondilite anquilosante e espondilartrite axial sem evidência radiográfica de espondilite anquilosante</w:delText>
        </w:r>
      </w:del>
    </w:p>
    <w:p w14:paraId="707F9335" w14:textId="4FE8D786" w:rsidR="004462A0" w:rsidRPr="008912CF" w:rsidRDefault="004462A0" w:rsidP="004462A0">
      <w:pPr>
        <w:ind w:right="-2"/>
        <w:rPr>
          <w:del w:id="15361" w:author="AbbVie2" w:date="2025-05-14T10:25:00Z"/>
          <w:sz w:val="22"/>
          <w:szCs w:val="22"/>
        </w:rPr>
      </w:pPr>
    </w:p>
    <w:p w14:paraId="693F45A6" w14:textId="658155CC" w:rsidR="004462A0" w:rsidRPr="008912CF" w:rsidRDefault="00615769" w:rsidP="004462A0">
      <w:pPr>
        <w:ind w:right="-2"/>
        <w:rPr>
          <w:del w:id="15362" w:author="AbbVie2" w:date="2025-05-14T10:25:00Z"/>
          <w:sz w:val="22"/>
          <w:szCs w:val="22"/>
          <w:u w:val="single"/>
        </w:rPr>
      </w:pPr>
      <w:del w:id="15363" w:author="AbbVie2" w:date="2025-05-14T10:25:00Z">
        <w:r w:rsidRPr="008912CF">
          <w:rPr>
            <w:sz w:val="22"/>
            <w:szCs w:val="22"/>
          </w:rPr>
          <w:delText>A espondilite anquilosante e espondilartrite axial sem evidência radiográfica de espondilite anquilosante são doenças inflamatórias da espinha dorsal.</w:delText>
        </w:r>
      </w:del>
    </w:p>
    <w:p w14:paraId="3B5FD2A3" w14:textId="2DC57184" w:rsidR="004462A0" w:rsidRPr="008912CF" w:rsidRDefault="004462A0" w:rsidP="004462A0">
      <w:pPr>
        <w:ind w:right="-2"/>
        <w:rPr>
          <w:del w:id="15364" w:author="AbbVie2" w:date="2025-05-14T10:25:00Z"/>
          <w:sz w:val="22"/>
          <w:szCs w:val="22"/>
        </w:rPr>
      </w:pPr>
    </w:p>
    <w:p w14:paraId="66208F2E" w14:textId="62D87227" w:rsidR="004462A0" w:rsidRPr="008912CF" w:rsidRDefault="00615769" w:rsidP="004462A0">
      <w:pPr>
        <w:ind w:right="-2"/>
        <w:rPr>
          <w:del w:id="15365" w:author="AbbVie2" w:date="2025-05-14T10:25:00Z"/>
          <w:sz w:val="22"/>
          <w:szCs w:val="22"/>
        </w:rPr>
      </w:pPr>
      <w:del w:id="15366" w:author="AbbVie2" w:date="2025-05-14T10:25:00Z">
        <w:r w:rsidRPr="008912CF">
          <w:rPr>
            <w:sz w:val="22"/>
            <w:szCs w:val="22"/>
          </w:rPr>
          <w:delText>Humira é usado no tratamento da espondilite anquilosante e espondilartrite axial sem evidência radiográfica de espondilite anquilosante em adultos.</w:delText>
        </w:r>
        <w:r w:rsidRPr="008912CF">
          <w:rPr>
            <w:sz w:val="22"/>
            <w:szCs w:val="22"/>
            <w:u w:val="single"/>
          </w:rPr>
          <w:delText xml:space="preserve"> </w:delText>
        </w:r>
        <w:r w:rsidRPr="008912CF">
          <w:rPr>
            <w:sz w:val="22"/>
            <w:szCs w:val="22"/>
          </w:rPr>
          <w:delText>No caso de sofrer de espondilite anquilosante ou espondilartrite axial sem evidência radiográfica de espondilite anquilosante, receberá primeiro outros medicamentos. Caso não responda de modo suficiente a esses medicamentos, receberá Humira para reduzir os sinais e sintomas da sua doença.</w:delText>
        </w:r>
      </w:del>
    </w:p>
    <w:p w14:paraId="0A21BAFF" w14:textId="24A03064" w:rsidR="004462A0" w:rsidRPr="008912CF" w:rsidRDefault="004462A0" w:rsidP="004462A0">
      <w:pPr>
        <w:ind w:left="567" w:hanging="567"/>
        <w:rPr>
          <w:del w:id="15367" w:author="AbbVie2" w:date="2025-05-14T10:25:00Z"/>
          <w:sz w:val="22"/>
          <w:szCs w:val="22"/>
          <w:u w:val="single"/>
        </w:rPr>
      </w:pPr>
    </w:p>
    <w:p w14:paraId="4B0F6F99" w14:textId="668686B4" w:rsidR="004462A0" w:rsidRPr="008912CF" w:rsidRDefault="00615769" w:rsidP="004462A0">
      <w:pPr>
        <w:ind w:right="-2"/>
        <w:rPr>
          <w:del w:id="15368" w:author="AbbVie2" w:date="2025-05-14T10:25:00Z"/>
          <w:sz w:val="22"/>
          <w:szCs w:val="22"/>
          <w:u w:val="single"/>
        </w:rPr>
      </w:pPr>
      <w:del w:id="15369" w:author="AbbVie2" w:date="2025-05-14T10:25:00Z">
        <w:r w:rsidRPr="008912CF">
          <w:rPr>
            <w:sz w:val="22"/>
            <w:szCs w:val="22"/>
            <w:u w:val="single"/>
          </w:rPr>
          <w:delText>Artrite psoriática</w:delText>
        </w:r>
      </w:del>
    </w:p>
    <w:p w14:paraId="2A392BCE" w14:textId="51EA8ECA" w:rsidR="004462A0" w:rsidRPr="008912CF" w:rsidRDefault="004462A0" w:rsidP="004462A0">
      <w:pPr>
        <w:ind w:right="-2"/>
        <w:rPr>
          <w:del w:id="15370" w:author="AbbVie2" w:date="2025-05-14T10:25:00Z"/>
          <w:sz w:val="22"/>
          <w:szCs w:val="22"/>
        </w:rPr>
      </w:pPr>
    </w:p>
    <w:p w14:paraId="6E5254E6" w14:textId="522A7168" w:rsidR="004462A0" w:rsidRPr="008912CF" w:rsidRDefault="00615769" w:rsidP="004462A0">
      <w:pPr>
        <w:ind w:right="-2"/>
        <w:rPr>
          <w:del w:id="15371" w:author="AbbVie2" w:date="2025-05-14T10:25:00Z"/>
          <w:sz w:val="22"/>
          <w:szCs w:val="22"/>
        </w:rPr>
      </w:pPr>
      <w:del w:id="15372" w:author="AbbVie2" w:date="2025-05-14T10:25:00Z">
        <w:r w:rsidRPr="008912CF">
          <w:rPr>
            <w:sz w:val="22"/>
            <w:szCs w:val="22"/>
          </w:rPr>
          <w:delText>A artrite psoriática é uma inflamação da articulação associada a psoríase.</w:delText>
        </w:r>
      </w:del>
    </w:p>
    <w:p w14:paraId="678FFE4D" w14:textId="414D8E74" w:rsidR="004462A0" w:rsidRPr="008912CF" w:rsidRDefault="004462A0" w:rsidP="004462A0">
      <w:pPr>
        <w:ind w:right="-2"/>
        <w:rPr>
          <w:del w:id="15373" w:author="AbbVie2" w:date="2025-05-14T10:25:00Z"/>
          <w:sz w:val="22"/>
          <w:szCs w:val="22"/>
        </w:rPr>
      </w:pPr>
    </w:p>
    <w:p w14:paraId="1A1BCED4" w14:textId="6BC43AB0" w:rsidR="004462A0" w:rsidRPr="008912CF" w:rsidRDefault="00615769" w:rsidP="004462A0">
      <w:pPr>
        <w:ind w:right="-2"/>
        <w:rPr>
          <w:del w:id="15374" w:author="AbbVie2" w:date="2025-05-14T10:25:00Z"/>
          <w:sz w:val="22"/>
          <w:szCs w:val="22"/>
        </w:rPr>
      </w:pPr>
      <w:del w:id="15375" w:author="AbbVie2" w:date="2025-05-14T10:25:00Z">
        <w:r w:rsidRPr="008912CF">
          <w:rPr>
            <w:sz w:val="22"/>
            <w:szCs w:val="22"/>
          </w:rPr>
          <w:delText>Humira é usado no tratamento da artrite psoriática em adultos.</w:delText>
        </w:r>
      </w:del>
    </w:p>
    <w:p w14:paraId="37DA6259" w14:textId="12A33F7B" w:rsidR="004462A0" w:rsidRPr="008912CF" w:rsidRDefault="00615769" w:rsidP="004462A0">
      <w:pPr>
        <w:ind w:right="-2"/>
        <w:rPr>
          <w:del w:id="15376" w:author="AbbVie2" w:date="2025-05-14T10:25:00Z"/>
          <w:sz w:val="22"/>
          <w:szCs w:val="22"/>
        </w:rPr>
      </w:pPr>
      <w:del w:id="15377" w:author="AbbVie2" w:date="2025-05-14T10:25:00Z">
        <w:r w:rsidRPr="008912CF">
          <w:rPr>
            <w:sz w:val="22"/>
            <w:szCs w:val="22"/>
          </w:rPr>
          <w:delText>Humira demonstrou retardar a lesão da cartilagem e osso das articulações causada pela doença e melhorar a função física.</w:delText>
        </w:r>
      </w:del>
    </w:p>
    <w:p w14:paraId="4FFBC72C" w14:textId="1BC70BAE" w:rsidR="004462A0" w:rsidRPr="008912CF" w:rsidRDefault="004462A0" w:rsidP="004462A0">
      <w:pPr>
        <w:pStyle w:val="DefaultText"/>
        <w:rPr>
          <w:del w:id="15378" w:author="AbbVie2" w:date="2025-05-14T10:25:00Z"/>
          <w:rFonts w:ascii="Times New Roman" w:hAnsi="Times New Roman"/>
          <w:szCs w:val="22"/>
          <w:u w:val="single"/>
          <w:lang w:val="pt-PT"/>
        </w:rPr>
      </w:pPr>
    </w:p>
    <w:p w14:paraId="0914D0D5" w14:textId="346BDB8E" w:rsidR="004462A0" w:rsidRPr="008912CF" w:rsidRDefault="00615769" w:rsidP="004462A0">
      <w:pPr>
        <w:pStyle w:val="DefaultText"/>
        <w:rPr>
          <w:del w:id="15379" w:author="AbbVie2" w:date="2025-05-14T10:25:00Z"/>
          <w:rFonts w:ascii="Times New Roman" w:hAnsi="Times New Roman"/>
          <w:szCs w:val="22"/>
          <w:u w:val="single"/>
          <w:lang w:val="pt-PT"/>
        </w:rPr>
      </w:pPr>
      <w:del w:id="15380" w:author="AbbVie2" w:date="2025-05-14T10:25:00Z">
        <w:r w:rsidRPr="008912CF">
          <w:rPr>
            <w:rFonts w:ascii="Times New Roman" w:hAnsi="Times New Roman"/>
            <w:szCs w:val="22"/>
            <w:u w:val="single"/>
            <w:lang w:val="pt-PT"/>
          </w:rPr>
          <w:delText>Psoríase em placas em adultos e crianças</w:delText>
        </w:r>
      </w:del>
    </w:p>
    <w:p w14:paraId="7E9C39CA" w14:textId="28D29F0B" w:rsidR="004462A0" w:rsidRPr="008912CF" w:rsidRDefault="004462A0" w:rsidP="004462A0">
      <w:pPr>
        <w:pStyle w:val="DefaultText"/>
        <w:rPr>
          <w:del w:id="15381" w:author="AbbVie2" w:date="2025-05-14T10:25:00Z"/>
          <w:rFonts w:ascii="Times New Roman" w:hAnsi="Times New Roman"/>
          <w:szCs w:val="22"/>
          <w:u w:val="single"/>
          <w:lang w:val="pt-PT"/>
        </w:rPr>
      </w:pPr>
    </w:p>
    <w:p w14:paraId="4A620659" w14:textId="61FCE39A" w:rsidR="004462A0" w:rsidRPr="008912CF" w:rsidRDefault="00615769" w:rsidP="004462A0">
      <w:pPr>
        <w:pStyle w:val="DefaultText"/>
        <w:rPr>
          <w:del w:id="15382" w:author="AbbVie2" w:date="2025-05-14T10:25:00Z"/>
          <w:rFonts w:ascii="Times New Roman" w:hAnsi="Times New Roman"/>
          <w:szCs w:val="22"/>
          <w:u w:val="single"/>
          <w:lang w:val="pt-PT"/>
        </w:rPr>
      </w:pPr>
      <w:del w:id="15383" w:author="AbbVie2" w:date="2025-05-14T10:25:00Z">
        <w:r w:rsidRPr="008912CF">
          <w:rPr>
            <w:rFonts w:ascii="Times New Roman" w:hAnsi="Times New Roman"/>
            <w:szCs w:val="22"/>
            <w:lang w:val="pt-PT"/>
          </w:rPr>
          <w:delText xml:space="preserve">Psoríase em placas é uma doença da pele que provoca manchas avermelhadas, secas e com placas na pele, cobertas de escamas prateadas. </w:delText>
        </w:r>
        <w:r w:rsidRPr="0064352A">
          <w:rPr>
            <w:rFonts w:ascii="Times New Roman" w:hAnsi="Times New Roman"/>
            <w:szCs w:val="22"/>
            <w:lang w:val="pt-PT"/>
          </w:rPr>
          <w:delText>A psoríase em placas pode também afetar as unhas, causando a sua desintegração, tornando-</w:delText>
        </w:r>
        <w:r>
          <w:rPr>
            <w:rFonts w:ascii="Times New Roman" w:hAnsi="Times New Roman"/>
            <w:szCs w:val="22"/>
            <w:lang w:val="pt-PT"/>
          </w:rPr>
          <w:delText>as</w:delText>
        </w:r>
        <w:r w:rsidRPr="0064352A">
          <w:rPr>
            <w:rFonts w:ascii="Times New Roman" w:hAnsi="Times New Roman"/>
            <w:szCs w:val="22"/>
            <w:lang w:val="pt-PT"/>
          </w:rPr>
          <w:delText xml:space="preserve"> espessas e descoladas da </w:delText>
        </w:r>
        <w:r>
          <w:rPr>
            <w:rFonts w:ascii="Times New Roman" w:hAnsi="Times New Roman"/>
            <w:szCs w:val="22"/>
            <w:lang w:val="pt-PT"/>
          </w:rPr>
          <w:delText>base da unha</w:delText>
        </w:r>
        <w:r w:rsidRPr="0064352A">
          <w:rPr>
            <w:rFonts w:ascii="Times New Roman" w:hAnsi="Times New Roman"/>
            <w:szCs w:val="22"/>
            <w:lang w:val="pt-PT"/>
          </w:rPr>
          <w:delText xml:space="preserve"> o que pode ser doloroso.</w:delText>
        </w:r>
        <w:r>
          <w:rPr>
            <w:rFonts w:ascii="Times New Roman" w:hAnsi="Times New Roman"/>
            <w:szCs w:val="22"/>
            <w:lang w:val="pt-PT"/>
          </w:rPr>
          <w:delText xml:space="preserve"> </w:delText>
        </w:r>
        <w:r w:rsidRPr="008912CF">
          <w:rPr>
            <w:rFonts w:ascii="Times New Roman" w:hAnsi="Times New Roman"/>
            <w:szCs w:val="22"/>
            <w:lang w:val="pt-PT"/>
          </w:rPr>
          <w:delText>Pensa-se que a psoríase pode ser causada por alterações do sistema imunitário do corpo, que provocam um aumento da produção de células epiteliais.</w:delText>
        </w:r>
      </w:del>
    </w:p>
    <w:p w14:paraId="2D9A69DC" w14:textId="3DB4751F" w:rsidR="004462A0" w:rsidRPr="008912CF" w:rsidRDefault="004462A0" w:rsidP="004462A0">
      <w:pPr>
        <w:pStyle w:val="EndnoteText"/>
        <w:tabs>
          <w:tab w:val="clear" w:pos="567"/>
        </w:tabs>
        <w:autoSpaceDE w:val="0"/>
        <w:autoSpaceDN w:val="0"/>
        <w:adjustRightInd w:val="0"/>
        <w:rPr>
          <w:del w:id="15384" w:author="AbbVie2" w:date="2025-05-14T10:25:00Z"/>
          <w:szCs w:val="22"/>
        </w:rPr>
      </w:pPr>
    </w:p>
    <w:p w14:paraId="17DBFB7C" w14:textId="0FBEDC64" w:rsidR="004462A0" w:rsidRPr="008912CF" w:rsidRDefault="00615769" w:rsidP="004462A0">
      <w:pPr>
        <w:pStyle w:val="DefaultText"/>
        <w:rPr>
          <w:del w:id="15385" w:author="AbbVie2" w:date="2025-05-14T10:25:00Z"/>
          <w:rFonts w:ascii="Times New Roman" w:hAnsi="Times New Roman"/>
          <w:szCs w:val="22"/>
          <w:lang w:val="pt-PT"/>
        </w:rPr>
      </w:pPr>
      <w:del w:id="15386" w:author="AbbVie2" w:date="2025-05-14T10:25:00Z">
        <w:r w:rsidRPr="008912CF">
          <w:rPr>
            <w:rFonts w:ascii="Times New Roman" w:hAnsi="Times New Roman"/>
            <w:szCs w:val="22"/>
            <w:lang w:val="pt-PT"/>
          </w:rPr>
          <w:delText>Humira é usado no tratamento da psoríase em placas moderada a grave</w:delText>
        </w:r>
        <w:r>
          <w:rPr>
            <w:rFonts w:ascii="Times New Roman" w:hAnsi="Times New Roman"/>
            <w:szCs w:val="22"/>
            <w:lang w:val="pt-PT"/>
          </w:rPr>
          <w:delText>,</w:delText>
        </w:r>
        <w:r w:rsidRPr="008912CF">
          <w:rPr>
            <w:rFonts w:ascii="Times New Roman" w:hAnsi="Times New Roman"/>
            <w:szCs w:val="22"/>
            <w:lang w:val="pt-PT"/>
          </w:rPr>
          <w:delText xml:space="preserve"> em adultos. Humira também é usado no tratamento da psoríase em placas grave em crianças e adolescentes com idades entre os 4 e os 17 anos de idade, para os quais o tratamento tópico e fototerapias não resultaram ou são inadequados.</w:delText>
        </w:r>
      </w:del>
    </w:p>
    <w:p w14:paraId="6D4B805D" w14:textId="2819986F" w:rsidR="004462A0" w:rsidRPr="008912CF" w:rsidRDefault="004462A0" w:rsidP="004462A0">
      <w:pPr>
        <w:ind w:right="-2"/>
        <w:rPr>
          <w:del w:id="15387" w:author="AbbVie2" w:date="2025-05-14T10:25:00Z"/>
          <w:sz w:val="22"/>
          <w:szCs w:val="22"/>
        </w:rPr>
      </w:pPr>
    </w:p>
    <w:p w14:paraId="04885218" w14:textId="1EC61D80" w:rsidR="004462A0" w:rsidRPr="008912CF" w:rsidRDefault="00615769" w:rsidP="00907F74">
      <w:pPr>
        <w:keepNext/>
        <w:ind w:right="-2"/>
        <w:rPr>
          <w:del w:id="15388" w:author="AbbVie2" w:date="2025-05-14T10:25:00Z"/>
          <w:sz w:val="22"/>
          <w:szCs w:val="22"/>
          <w:u w:val="single"/>
        </w:rPr>
      </w:pPr>
      <w:del w:id="15389" w:author="AbbVie2" w:date="2025-05-14T10:25:00Z">
        <w:r w:rsidRPr="008912CF">
          <w:rPr>
            <w:sz w:val="22"/>
            <w:szCs w:val="22"/>
            <w:u w:val="single"/>
          </w:rPr>
          <w:delText>Hidradenite supurativa</w:delText>
        </w:r>
        <w:r>
          <w:rPr>
            <w:sz w:val="22"/>
            <w:szCs w:val="22"/>
            <w:u w:val="single"/>
          </w:rPr>
          <w:delText xml:space="preserve"> em adultos e adolescentes</w:delText>
        </w:r>
      </w:del>
    </w:p>
    <w:p w14:paraId="7CC2222E" w14:textId="31668846" w:rsidR="004462A0" w:rsidRPr="008912CF" w:rsidRDefault="004462A0" w:rsidP="00907F74">
      <w:pPr>
        <w:keepNext/>
        <w:ind w:right="-2"/>
        <w:rPr>
          <w:del w:id="15390" w:author="AbbVie2" w:date="2025-05-14T10:25:00Z"/>
          <w:sz w:val="22"/>
          <w:szCs w:val="22"/>
        </w:rPr>
      </w:pPr>
    </w:p>
    <w:p w14:paraId="3EA63925" w14:textId="5C4AD869" w:rsidR="004462A0" w:rsidRPr="008912CF" w:rsidRDefault="00615769" w:rsidP="00907F74">
      <w:pPr>
        <w:keepNext/>
        <w:ind w:right="-2"/>
        <w:rPr>
          <w:del w:id="15391" w:author="AbbVie2" w:date="2025-05-14T10:25:00Z"/>
          <w:sz w:val="22"/>
          <w:szCs w:val="22"/>
        </w:rPr>
      </w:pPr>
      <w:del w:id="15392" w:author="AbbVie2" w:date="2025-05-14T10:25:00Z">
        <w:r w:rsidRPr="008912CF">
          <w:rPr>
            <w:sz w:val="22"/>
            <w:szCs w:val="22"/>
          </w:rPr>
          <w:delText>Hidradenite supurativa (por vezes chamada hidrosadenite supurativa ou acne inversa) é uma doença inflamatória crónica da pele, muitas vezes dolorosa. Os sintomas podem incluir nódulos dolorosos (caroços) e abcessos (furúnculos) que podem libertar pus. Frequentemente afeta áreas da pele especìficas, tais como a região inframamária (abaixo das mamas), axilas, coxas, virilhas e nádegas. Nas áreas afetadas, podem também surgir cicatrizes.</w:delText>
        </w:r>
      </w:del>
    </w:p>
    <w:p w14:paraId="09EB12CB" w14:textId="3E5D21C4" w:rsidR="004462A0" w:rsidRPr="008912CF" w:rsidRDefault="004462A0" w:rsidP="004462A0">
      <w:pPr>
        <w:ind w:right="-2"/>
        <w:rPr>
          <w:del w:id="15393" w:author="AbbVie2" w:date="2025-05-14T10:25:00Z"/>
          <w:sz w:val="22"/>
          <w:szCs w:val="22"/>
        </w:rPr>
      </w:pPr>
    </w:p>
    <w:p w14:paraId="1A3C9AC3" w14:textId="15FB7D9A" w:rsidR="004462A0" w:rsidRPr="008912CF" w:rsidRDefault="00615769" w:rsidP="004462A0">
      <w:pPr>
        <w:ind w:right="-2"/>
        <w:rPr>
          <w:del w:id="15394" w:author="AbbVie2" w:date="2025-05-14T10:25:00Z"/>
          <w:sz w:val="22"/>
          <w:szCs w:val="22"/>
        </w:rPr>
      </w:pPr>
      <w:del w:id="15395" w:author="AbbVie2" w:date="2025-05-14T10:25:00Z">
        <w:r w:rsidRPr="008912CF">
          <w:rPr>
            <w:sz w:val="22"/>
            <w:szCs w:val="22"/>
          </w:rPr>
          <w:delText>Humira é usado no tratamento da hidradenite supurativa em adultos</w:delText>
        </w:r>
        <w:r>
          <w:rPr>
            <w:sz w:val="22"/>
            <w:szCs w:val="22"/>
          </w:rPr>
          <w:delText xml:space="preserve"> e adolescentes a partir dos 12 anos de idade</w:delText>
        </w:r>
        <w:r w:rsidRPr="008912CF">
          <w:rPr>
            <w:sz w:val="22"/>
            <w:szCs w:val="22"/>
          </w:rPr>
          <w:delText>. Humira pode reduzir o número de nódulos e abcessos existentes, bem como a dor frequentemente associada com a doença.</w:delText>
        </w:r>
        <w:r>
          <w:rPr>
            <w:sz w:val="22"/>
            <w:szCs w:val="22"/>
          </w:rPr>
          <w:delText xml:space="preserve"> </w:delText>
        </w:r>
        <w:r w:rsidRPr="00653128">
          <w:rPr>
            <w:sz w:val="22"/>
            <w:szCs w:val="22"/>
          </w:rPr>
          <w:delText>Pode ser tratado inicialmente com outros medicamentos. Se não responder suficientemente bem a estes me</w:delText>
        </w:r>
        <w:r w:rsidRPr="00D33370">
          <w:rPr>
            <w:sz w:val="22"/>
            <w:szCs w:val="22"/>
          </w:rPr>
          <w:delText>dicamentos, receberá Humira</w:delText>
        </w:r>
        <w:r>
          <w:rPr>
            <w:sz w:val="22"/>
            <w:szCs w:val="22"/>
          </w:rPr>
          <w:delText>.</w:delText>
        </w:r>
      </w:del>
    </w:p>
    <w:p w14:paraId="2209FA57" w14:textId="6C0E47B9" w:rsidR="004462A0" w:rsidRPr="008912CF" w:rsidRDefault="004462A0" w:rsidP="004462A0">
      <w:pPr>
        <w:ind w:right="-2"/>
        <w:rPr>
          <w:del w:id="15396" w:author="AbbVie2" w:date="2025-05-14T10:25:00Z"/>
          <w:sz w:val="22"/>
          <w:szCs w:val="22"/>
        </w:rPr>
      </w:pPr>
    </w:p>
    <w:p w14:paraId="73D5AABA" w14:textId="5AD6F1BE" w:rsidR="004462A0" w:rsidRPr="008912CF" w:rsidRDefault="00615769" w:rsidP="004462A0">
      <w:pPr>
        <w:keepNext/>
        <w:rPr>
          <w:del w:id="15397" w:author="AbbVie2" w:date="2025-05-14T10:25:00Z"/>
          <w:sz w:val="22"/>
          <w:szCs w:val="22"/>
          <w:u w:val="single"/>
        </w:rPr>
      </w:pPr>
      <w:del w:id="15398" w:author="AbbVie2" w:date="2025-05-14T10:25:00Z">
        <w:r w:rsidRPr="008912CF">
          <w:rPr>
            <w:sz w:val="22"/>
            <w:szCs w:val="22"/>
            <w:u w:val="single"/>
          </w:rPr>
          <w:delText>Doença de Crohn em adultos e crianças</w:delText>
        </w:r>
      </w:del>
    </w:p>
    <w:p w14:paraId="67039A94" w14:textId="0304DCB8" w:rsidR="004462A0" w:rsidRPr="008912CF" w:rsidRDefault="004462A0" w:rsidP="004462A0">
      <w:pPr>
        <w:keepNext/>
        <w:rPr>
          <w:del w:id="15399" w:author="AbbVie2" w:date="2025-05-14T10:25:00Z"/>
          <w:sz w:val="22"/>
          <w:szCs w:val="22"/>
        </w:rPr>
      </w:pPr>
    </w:p>
    <w:p w14:paraId="104E0718" w14:textId="0D441AFE" w:rsidR="004462A0" w:rsidRPr="008912CF" w:rsidRDefault="00615769" w:rsidP="004462A0">
      <w:pPr>
        <w:keepNext/>
        <w:rPr>
          <w:del w:id="15400" w:author="AbbVie2" w:date="2025-05-14T10:25:00Z"/>
          <w:sz w:val="22"/>
          <w:szCs w:val="22"/>
          <w:u w:val="single"/>
        </w:rPr>
      </w:pPr>
      <w:del w:id="15401" w:author="AbbVie2" w:date="2025-05-14T10:25:00Z">
        <w:r w:rsidRPr="008912CF">
          <w:rPr>
            <w:sz w:val="22"/>
            <w:szCs w:val="22"/>
          </w:rPr>
          <w:delText>A doença de Crohn é uma doença inflamatória do aparelho digestivo.</w:delText>
        </w:r>
      </w:del>
    </w:p>
    <w:p w14:paraId="1C72E9B4" w14:textId="08CC3168" w:rsidR="004462A0" w:rsidRPr="008912CF" w:rsidRDefault="004462A0" w:rsidP="004462A0">
      <w:pPr>
        <w:ind w:hanging="567"/>
        <w:rPr>
          <w:del w:id="15402" w:author="AbbVie2" w:date="2025-05-14T10:25:00Z"/>
          <w:sz w:val="22"/>
          <w:szCs w:val="22"/>
        </w:rPr>
      </w:pPr>
    </w:p>
    <w:p w14:paraId="7F7C6AE4" w14:textId="602582F7" w:rsidR="004462A0" w:rsidRPr="008912CF" w:rsidRDefault="00615769" w:rsidP="004462A0">
      <w:pPr>
        <w:ind w:hanging="567"/>
        <w:rPr>
          <w:del w:id="15403" w:author="AbbVie2" w:date="2025-05-14T10:25:00Z"/>
          <w:sz w:val="22"/>
          <w:szCs w:val="22"/>
        </w:rPr>
      </w:pPr>
      <w:del w:id="15404" w:author="AbbVie2" w:date="2025-05-14T10:25:00Z">
        <w:r w:rsidRPr="008912CF">
          <w:rPr>
            <w:sz w:val="22"/>
            <w:szCs w:val="22"/>
          </w:rPr>
          <w:tab/>
          <w:delText>Humira é usado no tratamento da doença de Crohn em adultos e crianças entre os 6 e os 17 anos. No caso de sofrer de doença de Crohn receberá primeiro outros medicamentos. Caso não responda de modo suficiente a esses medicamentos, receberá Humira para reduzir os sinais e sintomas da sua doença de Crohn.</w:delText>
        </w:r>
      </w:del>
    </w:p>
    <w:p w14:paraId="631D9820" w14:textId="1A1E1C98" w:rsidR="004462A0" w:rsidRPr="008912CF" w:rsidRDefault="004462A0" w:rsidP="004462A0">
      <w:pPr>
        <w:pStyle w:val="BodyText2"/>
        <w:autoSpaceDE/>
        <w:autoSpaceDN/>
        <w:adjustRightInd/>
        <w:rPr>
          <w:del w:id="15405" w:author="AbbVie2" w:date="2025-05-14T10:25:00Z"/>
          <w:szCs w:val="22"/>
        </w:rPr>
      </w:pPr>
    </w:p>
    <w:p w14:paraId="0161E1AA" w14:textId="2E86820D" w:rsidR="004462A0" w:rsidRPr="008912CF" w:rsidRDefault="00615769" w:rsidP="004462A0">
      <w:pPr>
        <w:pStyle w:val="BodyText2"/>
        <w:autoSpaceDE/>
        <w:autoSpaceDN/>
        <w:adjustRightInd/>
        <w:rPr>
          <w:del w:id="15406" w:author="AbbVie2" w:date="2025-05-14T10:25:00Z"/>
          <w:szCs w:val="22"/>
          <w:u w:val="single"/>
        </w:rPr>
      </w:pPr>
      <w:del w:id="15407" w:author="AbbVie2" w:date="2025-05-14T10:25:00Z">
        <w:r w:rsidRPr="008912CF">
          <w:rPr>
            <w:szCs w:val="22"/>
            <w:u w:val="single"/>
          </w:rPr>
          <w:delText xml:space="preserve">Colite </w:delText>
        </w:r>
        <w:r w:rsidR="006A5654">
          <w:rPr>
            <w:szCs w:val="22"/>
            <w:u w:val="single"/>
          </w:rPr>
          <w:delText>u</w:delText>
        </w:r>
        <w:r w:rsidRPr="008912CF">
          <w:rPr>
            <w:szCs w:val="22"/>
            <w:u w:val="single"/>
          </w:rPr>
          <w:delText>lcerosa</w:delText>
        </w:r>
        <w:r w:rsidR="006A5654">
          <w:rPr>
            <w:szCs w:val="22"/>
            <w:u w:val="single"/>
          </w:rPr>
          <w:delText xml:space="preserve"> em adultos e crianças</w:delText>
        </w:r>
      </w:del>
    </w:p>
    <w:p w14:paraId="231AE8AA" w14:textId="7937FF97" w:rsidR="004462A0" w:rsidRPr="008912CF" w:rsidRDefault="004462A0" w:rsidP="004462A0">
      <w:pPr>
        <w:pStyle w:val="BodyText2"/>
        <w:autoSpaceDE/>
        <w:autoSpaceDN/>
        <w:adjustRightInd/>
        <w:rPr>
          <w:del w:id="15408" w:author="AbbVie2" w:date="2025-05-14T10:25:00Z"/>
          <w:szCs w:val="22"/>
        </w:rPr>
      </w:pPr>
    </w:p>
    <w:p w14:paraId="5A5C742F" w14:textId="4190A6B5" w:rsidR="004462A0" w:rsidRPr="008912CF" w:rsidRDefault="00615769" w:rsidP="004462A0">
      <w:pPr>
        <w:pStyle w:val="BodyText2"/>
        <w:autoSpaceDE/>
        <w:autoSpaceDN/>
        <w:adjustRightInd/>
        <w:rPr>
          <w:del w:id="15409" w:author="AbbVie2" w:date="2025-05-14T10:25:00Z"/>
          <w:szCs w:val="22"/>
        </w:rPr>
      </w:pPr>
      <w:del w:id="15410" w:author="AbbVie2" w:date="2025-05-14T10:25:00Z">
        <w:r w:rsidRPr="008912CF">
          <w:rPr>
            <w:szCs w:val="22"/>
          </w:rPr>
          <w:delText>A colite ulcerosa é uma doença inflamatória do intestino</w:delText>
        </w:r>
        <w:r w:rsidR="00FA678D">
          <w:rPr>
            <w:szCs w:val="22"/>
          </w:rPr>
          <w:delText xml:space="preserve"> grosso</w:delText>
        </w:r>
        <w:r w:rsidRPr="008912CF">
          <w:rPr>
            <w:szCs w:val="22"/>
          </w:rPr>
          <w:delText>.</w:delText>
        </w:r>
      </w:del>
    </w:p>
    <w:p w14:paraId="27E21DC8" w14:textId="6558341C" w:rsidR="004462A0" w:rsidRPr="008912CF" w:rsidRDefault="004462A0" w:rsidP="004462A0">
      <w:pPr>
        <w:ind w:right="-2"/>
        <w:rPr>
          <w:del w:id="15411" w:author="AbbVie2" w:date="2025-05-14T10:25:00Z"/>
          <w:sz w:val="22"/>
          <w:szCs w:val="22"/>
        </w:rPr>
      </w:pPr>
    </w:p>
    <w:p w14:paraId="289D56A0" w14:textId="67E280F4" w:rsidR="004462A0" w:rsidRPr="008912CF" w:rsidRDefault="00615769" w:rsidP="004462A0">
      <w:pPr>
        <w:ind w:right="-2"/>
        <w:rPr>
          <w:del w:id="15412" w:author="AbbVie2" w:date="2025-05-14T10:25:00Z"/>
          <w:sz w:val="22"/>
          <w:szCs w:val="22"/>
        </w:rPr>
      </w:pPr>
      <w:del w:id="15413" w:author="AbbVie2" w:date="2025-05-14T10:25:00Z">
        <w:r w:rsidRPr="008912CF">
          <w:rPr>
            <w:sz w:val="22"/>
            <w:szCs w:val="22"/>
          </w:rPr>
          <w:delText xml:space="preserve">Humira é usado no tratamento da colite ulcerosa </w:delText>
        </w:r>
        <w:r w:rsidR="006A5654">
          <w:rPr>
            <w:sz w:val="22"/>
            <w:szCs w:val="22"/>
          </w:rPr>
          <w:delText xml:space="preserve">moderada a grave </w:delText>
        </w:r>
        <w:r w:rsidRPr="008912CF">
          <w:rPr>
            <w:sz w:val="22"/>
            <w:szCs w:val="22"/>
          </w:rPr>
          <w:delText>em adultos</w:delText>
        </w:r>
        <w:r w:rsidR="006A5654">
          <w:rPr>
            <w:sz w:val="22"/>
            <w:szCs w:val="22"/>
          </w:rPr>
          <w:delText xml:space="preserve"> </w:delText>
        </w:r>
        <w:r w:rsidR="006A5654" w:rsidRPr="006A5654">
          <w:rPr>
            <w:sz w:val="22"/>
            <w:szCs w:val="22"/>
          </w:rPr>
          <w:delText xml:space="preserve">e crianças </w:delText>
        </w:r>
        <w:r w:rsidR="005E5956">
          <w:rPr>
            <w:sz w:val="22"/>
            <w:szCs w:val="22"/>
          </w:rPr>
          <w:delText>entre os</w:delText>
        </w:r>
        <w:r w:rsidR="006A5654" w:rsidRPr="006A5654">
          <w:rPr>
            <w:sz w:val="22"/>
            <w:szCs w:val="22"/>
          </w:rPr>
          <w:delText xml:space="preserve"> 6 </w:delText>
        </w:r>
        <w:r w:rsidR="005E5956">
          <w:rPr>
            <w:sz w:val="22"/>
            <w:szCs w:val="22"/>
          </w:rPr>
          <w:delText xml:space="preserve">e </w:delText>
        </w:r>
        <w:r w:rsidR="006A5654" w:rsidRPr="006A5654">
          <w:rPr>
            <w:sz w:val="22"/>
            <w:szCs w:val="22"/>
          </w:rPr>
          <w:delText>os 17 ano</w:delText>
        </w:r>
        <w:r w:rsidR="005E5956">
          <w:rPr>
            <w:sz w:val="22"/>
            <w:szCs w:val="22"/>
          </w:rPr>
          <w:delText>s</w:delText>
        </w:r>
        <w:r w:rsidRPr="008912CF">
          <w:rPr>
            <w:sz w:val="22"/>
            <w:szCs w:val="22"/>
          </w:rPr>
          <w:delText xml:space="preserve">. No caso de sofrer de colite ulcerosa </w:delText>
        </w:r>
        <w:r w:rsidR="00B57746">
          <w:rPr>
            <w:sz w:val="22"/>
            <w:szCs w:val="22"/>
          </w:rPr>
          <w:delText>pode ser tratado inicialmente com</w:delText>
        </w:r>
        <w:r w:rsidRPr="008912CF">
          <w:rPr>
            <w:sz w:val="22"/>
            <w:szCs w:val="22"/>
          </w:rPr>
          <w:delText xml:space="preserve"> outros medicamentos. Caso não responda de modo suficiente a esses medicamentos, receberá Humira para reduzir os sinais e sintomas da sua doença.</w:delText>
        </w:r>
      </w:del>
    </w:p>
    <w:p w14:paraId="37111137" w14:textId="777A0381" w:rsidR="004462A0" w:rsidRDefault="004462A0" w:rsidP="004462A0">
      <w:pPr>
        <w:ind w:right="-2"/>
        <w:rPr>
          <w:del w:id="15414" w:author="AbbVie2" w:date="2025-05-14T10:25:00Z"/>
          <w:sz w:val="22"/>
          <w:szCs w:val="22"/>
        </w:rPr>
      </w:pPr>
    </w:p>
    <w:p w14:paraId="24CE43B3" w14:textId="3FB08BBA" w:rsidR="004462A0" w:rsidRPr="00566892" w:rsidRDefault="00615769" w:rsidP="004462A0">
      <w:pPr>
        <w:ind w:right="-2"/>
        <w:rPr>
          <w:del w:id="15415" w:author="AbbVie2" w:date="2025-05-14T10:25:00Z"/>
          <w:sz w:val="22"/>
          <w:szCs w:val="22"/>
          <w:u w:val="single"/>
        </w:rPr>
      </w:pPr>
      <w:del w:id="15416" w:author="AbbVie2" w:date="2025-05-14T10:25:00Z">
        <w:r w:rsidRPr="00566892">
          <w:rPr>
            <w:sz w:val="22"/>
            <w:szCs w:val="22"/>
            <w:u w:val="single"/>
          </w:rPr>
          <w:delText xml:space="preserve">Uveíte não infecciosa </w:delText>
        </w:r>
        <w:r w:rsidR="00385E32">
          <w:rPr>
            <w:sz w:val="22"/>
            <w:szCs w:val="22"/>
            <w:u w:val="single"/>
          </w:rPr>
          <w:delText>em adultos e crianças</w:delText>
        </w:r>
      </w:del>
    </w:p>
    <w:p w14:paraId="1807DFE7" w14:textId="72ED375C" w:rsidR="004462A0" w:rsidRPr="00566892" w:rsidRDefault="004462A0" w:rsidP="004462A0">
      <w:pPr>
        <w:ind w:right="-2"/>
        <w:rPr>
          <w:del w:id="15417" w:author="AbbVie2" w:date="2025-05-14T10:25:00Z"/>
          <w:sz w:val="22"/>
          <w:szCs w:val="22"/>
        </w:rPr>
      </w:pPr>
    </w:p>
    <w:p w14:paraId="01256B67" w14:textId="5B405C4B" w:rsidR="004462A0" w:rsidRPr="00566892" w:rsidRDefault="00615769" w:rsidP="004462A0">
      <w:pPr>
        <w:ind w:right="-2"/>
        <w:rPr>
          <w:del w:id="15418" w:author="AbbVie2" w:date="2025-05-14T10:25:00Z"/>
          <w:sz w:val="22"/>
          <w:szCs w:val="22"/>
        </w:rPr>
      </w:pPr>
      <w:del w:id="15419" w:author="AbbVie2" w:date="2025-05-14T10:25:00Z">
        <w:r w:rsidRPr="00566892">
          <w:rPr>
            <w:sz w:val="22"/>
            <w:szCs w:val="22"/>
          </w:rPr>
          <w:delText>A uveíte não</w:delText>
        </w:r>
        <w:r>
          <w:rPr>
            <w:sz w:val="22"/>
            <w:szCs w:val="22"/>
          </w:rPr>
          <w:delText xml:space="preserve"> </w:delText>
        </w:r>
        <w:r w:rsidRPr="00566892">
          <w:rPr>
            <w:sz w:val="22"/>
            <w:szCs w:val="22"/>
          </w:rPr>
          <w:delText>infec</w:delText>
        </w:r>
        <w:r>
          <w:rPr>
            <w:sz w:val="22"/>
            <w:szCs w:val="22"/>
          </w:rPr>
          <w:delText>c</w:delText>
        </w:r>
        <w:r w:rsidRPr="00566892">
          <w:rPr>
            <w:sz w:val="22"/>
            <w:szCs w:val="22"/>
          </w:rPr>
          <w:delText xml:space="preserve">iosa é uma doença inflamatória que afeta </w:delText>
        </w:r>
        <w:r>
          <w:rPr>
            <w:sz w:val="22"/>
            <w:szCs w:val="22"/>
          </w:rPr>
          <w:delText>diferentes</w:delText>
        </w:r>
        <w:r w:rsidRPr="00566892">
          <w:rPr>
            <w:sz w:val="22"/>
            <w:szCs w:val="22"/>
          </w:rPr>
          <w:delText xml:space="preserve"> partes do olho.</w:delText>
        </w:r>
      </w:del>
    </w:p>
    <w:p w14:paraId="1395F0AA" w14:textId="4F218196" w:rsidR="004462A0" w:rsidRPr="00566892" w:rsidRDefault="004462A0" w:rsidP="004462A0">
      <w:pPr>
        <w:ind w:right="-2"/>
        <w:rPr>
          <w:del w:id="15420" w:author="AbbVie2" w:date="2025-05-14T10:25:00Z"/>
          <w:sz w:val="22"/>
          <w:szCs w:val="22"/>
        </w:rPr>
      </w:pPr>
    </w:p>
    <w:p w14:paraId="7A3E5D9B" w14:textId="52D57155" w:rsidR="00385E32" w:rsidRDefault="00615769" w:rsidP="004462A0">
      <w:pPr>
        <w:ind w:right="-2"/>
        <w:rPr>
          <w:del w:id="15421" w:author="AbbVie2" w:date="2025-05-14T10:25:00Z"/>
          <w:sz w:val="22"/>
          <w:szCs w:val="22"/>
        </w:rPr>
      </w:pPr>
      <w:del w:id="15422" w:author="AbbVie2" w:date="2025-05-14T10:25:00Z">
        <w:r w:rsidRPr="00566892">
          <w:rPr>
            <w:sz w:val="22"/>
            <w:szCs w:val="22"/>
          </w:rPr>
          <w:delText xml:space="preserve">Humira é usado no tratamento da </w:delText>
        </w:r>
      </w:del>
    </w:p>
    <w:p w14:paraId="459A0353" w14:textId="429D3E3E" w:rsidR="00B90369" w:rsidRDefault="00615769" w:rsidP="00D45244">
      <w:pPr>
        <w:pStyle w:val="ListParagraph"/>
        <w:numPr>
          <w:ilvl w:val="0"/>
          <w:numId w:val="122"/>
        </w:numPr>
        <w:ind w:left="567" w:right="-2" w:hanging="567"/>
        <w:rPr>
          <w:del w:id="15423" w:author="AbbVie2" w:date="2025-05-14T10:25:00Z"/>
          <w:sz w:val="22"/>
          <w:szCs w:val="22"/>
        </w:rPr>
      </w:pPr>
      <w:del w:id="15424" w:author="AbbVie2" w:date="2025-05-14T10:25:00Z">
        <w:r>
          <w:rPr>
            <w:sz w:val="22"/>
            <w:szCs w:val="22"/>
          </w:rPr>
          <w:delText>U</w:delText>
        </w:r>
        <w:r w:rsidR="004462A0" w:rsidRPr="00D45244">
          <w:rPr>
            <w:sz w:val="22"/>
            <w:szCs w:val="22"/>
          </w:rPr>
          <w:delText>veíte não infecciosa com inflamação, afetando a parte de trás do olho, em adultos</w:delText>
        </w:r>
      </w:del>
    </w:p>
    <w:p w14:paraId="407E5AB3" w14:textId="43E5D05F" w:rsidR="00B90369" w:rsidRDefault="00615769" w:rsidP="00D45244">
      <w:pPr>
        <w:pStyle w:val="ListParagraph"/>
        <w:numPr>
          <w:ilvl w:val="0"/>
          <w:numId w:val="122"/>
        </w:numPr>
        <w:ind w:left="567" w:right="-2" w:hanging="567"/>
        <w:rPr>
          <w:del w:id="15425" w:author="AbbVie2" w:date="2025-05-14T10:25:00Z"/>
          <w:sz w:val="22"/>
          <w:szCs w:val="22"/>
        </w:rPr>
      </w:pPr>
      <w:del w:id="15426" w:author="AbbVie2" w:date="2025-05-14T10:25:00Z">
        <w:r w:rsidRPr="00BE559B">
          <w:rPr>
            <w:sz w:val="22"/>
            <w:szCs w:val="22"/>
          </w:rPr>
          <w:delText xml:space="preserve">Uveíte </w:delText>
        </w:r>
        <w:r w:rsidR="00835DDA" w:rsidRPr="00BE559B">
          <w:rPr>
            <w:sz w:val="22"/>
            <w:szCs w:val="22"/>
          </w:rPr>
          <w:delText>não infecciosa</w:delText>
        </w:r>
        <w:r w:rsidR="00EF7E97">
          <w:rPr>
            <w:sz w:val="22"/>
            <w:szCs w:val="22"/>
          </w:rPr>
          <w:delText>,</w:delText>
        </w:r>
        <w:r w:rsidR="00835DDA" w:rsidRPr="00BE559B">
          <w:rPr>
            <w:sz w:val="22"/>
            <w:szCs w:val="22"/>
          </w:rPr>
          <w:delText xml:space="preserve"> </w:delText>
        </w:r>
        <w:r w:rsidRPr="00BE559B">
          <w:rPr>
            <w:sz w:val="22"/>
            <w:szCs w:val="22"/>
          </w:rPr>
          <w:delText>crónica</w:delText>
        </w:r>
        <w:r w:rsidR="00835DDA">
          <w:rPr>
            <w:sz w:val="22"/>
            <w:szCs w:val="22"/>
          </w:rPr>
          <w:delText>,</w:delText>
        </w:r>
        <w:r w:rsidRPr="00BE559B">
          <w:rPr>
            <w:sz w:val="22"/>
            <w:szCs w:val="22"/>
          </w:rPr>
          <w:delText xml:space="preserve"> com inflamação, afetando a parte da frente do olho, em crianças a partir dos 2</w:delText>
        </w:r>
        <w:r>
          <w:rPr>
            <w:sz w:val="22"/>
            <w:szCs w:val="22"/>
          </w:rPr>
          <w:delText> </w:delText>
        </w:r>
        <w:r w:rsidRPr="00BE559B">
          <w:rPr>
            <w:sz w:val="22"/>
            <w:szCs w:val="22"/>
          </w:rPr>
          <w:delText>anos de idade</w:delText>
        </w:r>
      </w:del>
    </w:p>
    <w:p w14:paraId="4A6A4CCF" w14:textId="62779CD5" w:rsidR="00B90369" w:rsidRPr="00D45244" w:rsidRDefault="00B90369" w:rsidP="00B90369">
      <w:pPr>
        <w:ind w:right="-2"/>
        <w:rPr>
          <w:del w:id="15427" w:author="AbbVie2" w:date="2025-05-14T10:25:00Z"/>
          <w:sz w:val="22"/>
          <w:szCs w:val="22"/>
        </w:rPr>
      </w:pPr>
    </w:p>
    <w:p w14:paraId="6B117B7C" w14:textId="1622136C" w:rsidR="004462A0" w:rsidRPr="00D45244" w:rsidRDefault="00615769" w:rsidP="00B90369">
      <w:pPr>
        <w:ind w:right="-2"/>
        <w:rPr>
          <w:del w:id="15428" w:author="AbbVie2" w:date="2025-05-14T10:25:00Z"/>
          <w:sz w:val="22"/>
          <w:szCs w:val="22"/>
        </w:rPr>
      </w:pPr>
      <w:del w:id="15429" w:author="AbbVie2" w:date="2025-05-14T10:25:00Z">
        <w:r w:rsidRPr="00D45244">
          <w:rPr>
            <w:sz w:val="22"/>
            <w:szCs w:val="22"/>
          </w:rPr>
          <w:delText xml:space="preserve">Esta inflamação </w:delText>
        </w:r>
        <w:r w:rsidR="00B90369">
          <w:rPr>
            <w:sz w:val="22"/>
            <w:szCs w:val="22"/>
          </w:rPr>
          <w:delText xml:space="preserve">pode </w:delText>
        </w:r>
        <w:r w:rsidRPr="00D45244">
          <w:rPr>
            <w:sz w:val="22"/>
            <w:szCs w:val="22"/>
          </w:rPr>
          <w:delText>leva</w:delText>
        </w:r>
        <w:r w:rsidR="00B90369">
          <w:rPr>
            <w:sz w:val="22"/>
            <w:szCs w:val="22"/>
          </w:rPr>
          <w:delText>r</w:delText>
        </w:r>
        <w:r w:rsidRPr="00D45244">
          <w:rPr>
            <w:sz w:val="22"/>
            <w:szCs w:val="22"/>
          </w:rPr>
          <w:delText xml:space="preserve"> a uma diminuição da visão e/ou à presença de moscas volantes no olho (pontos pretos ou linhas finas que se movem através do campo de visão). Humira atua através da redução desta inflamação.</w:delText>
        </w:r>
      </w:del>
    </w:p>
    <w:p w14:paraId="18BB3F88" w14:textId="344FCF8E" w:rsidR="004462A0" w:rsidRPr="008912CF" w:rsidRDefault="004462A0" w:rsidP="004462A0">
      <w:pPr>
        <w:ind w:right="-2"/>
        <w:rPr>
          <w:del w:id="15430" w:author="AbbVie2" w:date="2025-05-14T10:25:00Z"/>
          <w:sz w:val="22"/>
          <w:szCs w:val="22"/>
        </w:rPr>
      </w:pPr>
    </w:p>
    <w:p w14:paraId="62810511" w14:textId="74DA52B3" w:rsidR="004462A0" w:rsidRPr="008912CF" w:rsidRDefault="004462A0" w:rsidP="004462A0">
      <w:pPr>
        <w:ind w:right="-2"/>
        <w:rPr>
          <w:del w:id="15431" w:author="AbbVie2" w:date="2025-05-14T10:25:00Z"/>
          <w:sz w:val="22"/>
          <w:szCs w:val="22"/>
        </w:rPr>
      </w:pPr>
    </w:p>
    <w:p w14:paraId="0AAC5404" w14:textId="1664B504" w:rsidR="004462A0" w:rsidRPr="008912CF" w:rsidRDefault="00615769" w:rsidP="004462A0">
      <w:pPr>
        <w:ind w:left="567" w:hanging="567"/>
        <w:rPr>
          <w:del w:id="15432" w:author="AbbVie2" w:date="2025-05-14T10:25:00Z"/>
          <w:b/>
          <w:bCs/>
          <w:sz w:val="22"/>
          <w:szCs w:val="22"/>
        </w:rPr>
      </w:pPr>
      <w:del w:id="15433" w:author="AbbVie2" w:date="2025-05-14T10:25:00Z">
        <w:r w:rsidRPr="008912CF">
          <w:rPr>
            <w:b/>
            <w:sz w:val="22"/>
            <w:szCs w:val="22"/>
          </w:rPr>
          <w:delText>2.</w:delText>
        </w:r>
        <w:r w:rsidRPr="008912CF">
          <w:rPr>
            <w:b/>
            <w:sz w:val="22"/>
            <w:szCs w:val="22"/>
          </w:rPr>
          <w:tab/>
        </w:r>
        <w:r w:rsidRPr="008912CF">
          <w:rPr>
            <w:b/>
            <w:bCs/>
            <w:sz w:val="22"/>
            <w:szCs w:val="22"/>
          </w:rPr>
          <w:delText>O que precisa de saber antes de utilizar Humira</w:delText>
        </w:r>
      </w:del>
    </w:p>
    <w:p w14:paraId="101FD414" w14:textId="30810709" w:rsidR="004462A0" w:rsidRPr="008912CF" w:rsidRDefault="004462A0" w:rsidP="004462A0">
      <w:pPr>
        <w:ind w:right="-2"/>
        <w:rPr>
          <w:del w:id="15434" w:author="AbbVie2" w:date="2025-05-14T10:25:00Z"/>
          <w:b/>
          <w:bCs/>
          <w:sz w:val="22"/>
          <w:szCs w:val="22"/>
        </w:rPr>
      </w:pPr>
    </w:p>
    <w:p w14:paraId="3017C6B4" w14:textId="0F519E99" w:rsidR="004462A0" w:rsidRPr="008912CF" w:rsidRDefault="00615769" w:rsidP="004462A0">
      <w:pPr>
        <w:rPr>
          <w:del w:id="15435" w:author="AbbVie2" w:date="2025-05-14T10:25:00Z"/>
          <w:sz w:val="22"/>
          <w:szCs w:val="22"/>
        </w:rPr>
      </w:pPr>
      <w:del w:id="15436" w:author="AbbVie2" w:date="2025-05-14T10:25:00Z">
        <w:r w:rsidRPr="008912CF">
          <w:rPr>
            <w:b/>
            <w:sz w:val="22"/>
            <w:szCs w:val="22"/>
          </w:rPr>
          <w:delText xml:space="preserve">Não utilize </w:delText>
        </w:r>
        <w:r w:rsidRPr="008912CF">
          <w:rPr>
            <w:b/>
            <w:bCs/>
            <w:sz w:val="22"/>
            <w:szCs w:val="22"/>
          </w:rPr>
          <w:delText>Humira</w:delText>
        </w:r>
      </w:del>
    </w:p>
    <w:p w14:paraId="1B2EAD27" w14:textId="493E0A0E" w:rsidR="004462A0" w:rsidRPr="008912CF" w:rsidRDefault="004462A0" w:rsidP="004462A0">
      <w:pPr>
        <w:pStyle w:val="EndnoteText"/>
        <w:tabs>
          <w:tab w:val="clear" w:pos="567"/>
        </w:tabs>
        <w:rPr>
          <w:del w:id="15437" w:author="AbbVie2" w:date="2025-05-14T10:25:00Z"/>
          <w:szCs w:val="22"/>
        </w:rPr>
      </w:pPr>
    </w:p>
    <w:p w14:paraId="68B568C3" w14:textId="6CEFB646" w:rsidR="004462A0" w:rsidRPr="008912CF" w:rsidRDefault="00615769" w:rsidP="004462A0">
      <w:pPr>
        <w:numPr>
          <w:ilvl w:val="1"/>
          <w:numId w:val="51"/>
        </w:numPr>
        <w:rPr>
          <w:del w:id="15438" w:author="AbbVie2" w:date="2025-05-14T10:25:00Z"/>
          <w:sz w:val="22"/>
          <w:szCs w:val="22"/>
        </w:rPr>
      </w:pPr>
      <w:del w:id="15439" w:author="AbbVie2" w:date="2025-05-14T10:25:00Z">
        <w:r w:rsidRPr="008912CF">
          <w:rPr>
            <w:sz w:val="22"/>
            <w:szCs w:val="22"/>
          </w:rPr>
          <w:delText>Se tem alergia a adalimumab ou a qualquer outro componente deste medicamento (indicados na secção 6).</w:delText>
        </w:r>
      </w:del>
    </w:p>
    <w:p w14:paraId="1280F881" w14:textId="43309F14" w:rsidR="004462A0" w:rsidRPr="008912CF" w:rsidRDefault="004462A0" w:rsidP="004462A0">
      <w:pPr>
        <w:pStyle w:val="EndnoteText"/>
        <w:tabs>
          <w:tab w:val="clear" w:pos="567"/>
        </w:tabs>
        <w:rPr>
          <w:del w:id="15440" w:author="AbbVie2" w:date="2025-05-14T10:25:00Z"/>
          <w:szCs w:val="22"/>
        </w:rPr>
      </w:pPr>
    </w:p>
    <w:p w14:paraId="78CA2368" w14:textId="33148F22" w:rsidR="004462A0" w:rsidRPr="008912CF" w:rsidRDefault="00615769" w:rsidP="004462A0">
      <w:pPr>
        <w:numPr>
          <w:ilvl w:val="1"/>
          <w:numId w:val="51"/>
        </w:numPr>
        <w:rPr>
          <w:del w:id="15441" w:author="AbbVie2" w:date="2025-05-14T10:25:00Z"/>
          <w:sz w:val="22"/>
          <w:szCs w:val="22"/>
        </w:rPr>
      </w:pPr>
      <w:del w:id="15442" w:author="AbbVie2" w:date="2025-05-14T10:25:00Z">
        <w:r w:rsidRPr="008912CF">
          <w:rPr>
            <w:sz w:val="22"/>
            <w:szCs w:val="22"/>
          </w:rPr>
          <w:delText xml:space="preserve">Se tem tuberculose ativa </w:delText>
        </w:r>
        <w:r>
          <w:rPr>
            <w:sz w:val="22"/>
            <w:szCs w:val="22"/>
          </w:rPr>
          <w:delText xml:space="preserve">ou outras infeções graves </w:delText>
        </w:r>
        <w:r w:rsidRPr="008912CF">
          <w:rPr>
            <w:sz w:val="22"/>
            <w:szCs w:val="22"/>
          </w:rPr>
          <w:delText>(ver “Advertências e precauções”). Deve contactar o seu médico se tiver sintomas de infeção, tais como febre, feridas, sensação de cansaço, problemas dentários.</w:delText>
        </w:r>
      </w:del>
    </w:p>
    <w:p w14:paraId="7DBD55F9" w14:textId="36C3DF0C" w:rsidR="004462A0" w:rsidRPr="008912CF" w:rsidRDefault="004462A0" w:rsidP="004462A0">
      <w:pPr>
        <w:rPr>
          <w:del w:id="15443" w:author="AbbVie2" w:date="2025-05-14T10:25:00Z"/>
          <w:sz w:val="22"/>
          <w:szCs w:val="22"/>
        </w:rPr>
      </w:pPr>
    </w:p>
    <w:p w14:paraId="639821C6" w14:textId="18004CEF" w:rsidR="004462A0" w:rsidRPr="008912CF" w:rsidRDefault="00615769" w:rsidP="004462A0">
      <w:pPr>
        <w:numPr>
          <w:ilvl w:val="1"/>
          <w:numId w:val="51"/>
        </w:numPr>
        <w:rPr>
          <w:del w:id="15444" w:author="AbbVie2" w:date="2025-05-14T10:25:00Z"/>
          <w:sz w:val="22"/>
          <w:szCs w:val="22"/>
        </w:rPr>
      </w:pPr>
      <w:del w:id="15445" w:author="AbbVie2" w:date="2025-05-14T10:25:00Z">
        <w:r w:rsidRPr="008912CF">
          <w:rPr>
            <w:sz w:val="22"/>
            <w:szCs w:val="22"/>
          </w:rPr>
          <w:delText>Se tem insuficiência cardíaca moderada a grave. É importante que informe o seu médico se tem ou se teve alterações cardíacas graves (ver “Advertências e precauções</w:delText>
        </w:r>
        <w:r w:rsidRPr="008912CF">
          <w:rPr>
            <w:bCs/>
            <w:sz w:val="22"/>
            <w:szCs w:val="22"/>
          </w:rPr>
          <w:delText>”).</w:delText>
        </w:r>
      </w:del>
    </w:p>
    <w:p w14:paraId="5E548D8F" w14:textId="5E942671" w:rsidR="004462A0" w:rsidRPr="008912CF" w:rsidRDefault="004462A0" w:rsidP="004462A0">
      <w:pPr>
        <w:rPr>
          <w:del w:id="15446" w:author="AbbVie2" w:date="2025-05-14T10:25:00Z"/>
          <w:b/>
          <w:sz w:val="22"/>
          <w:szCs w:val="22"/>
        </w:rPr>
      </w:pPr>
    </w:p>
    <w:p w14:paraId="6CC77E9D" w14:textId="60FBAD5D" w:rsidR="004462A0" w:rsidRPr="008912CF" w:rsidRDefault="00615769" w:rsidP="004462A0">
      <w:pPr>
        <w:rPr>
          <w:del w:id="15447" w:author="AbbVie2" w:date="2025-05-14T10:25:00Z"/>
          <w:b/>
          <w:sz w:val="22"/>
          <w:szCs w:val="22"/>
        </w:rPr>
      </w:pPr>
      <w:del w:id="15448" w:author="AbbVie2" w:date="2025-05-14T10:25:00Z">
        <w:r w:rsidRPr="008912CF">
          <w:rPr>
            <w:b/>
            <w:sz w:val="22"/>
            <w:szCs w:val="22"/>
          </w:rPr>
          <w:delText>Advertências e precauções</w:delText>
        </w:r>
      </w:del>
    </w:p>
    <w:p w14:paraId="3C513ACE" w14:textId="3236B5CF" w:rsidR="004462A0" w:rsidRPr="008912CF" w:rsidRDefault="004462A0" w:rsidP="004462A0">
      <w:pPr>
        <w:rPr>
          <w:del w:id="15449" w:author="AbbVie2" w:date="2025-05-14T10:25:00Z"/>
          <w:sz w:val="22"/>
          <w:szCs w:val="22"/>
        </w:rPr>
      </w:pPr>
    </w:p>
    <w:p w14:paraId="1349CEB9" w14:textId="54944082" w:rsidR="004462A0" w:rsidRPr="008912CF" w:rsidRDefault="00615769" w:rsidP="004462A0">
      <w:pPr>
        <w:rPr>
          <w:del w:id="15450" w:author="AbbVie2" w:date="2025-05-14T10:25:00Z"/>
          <w:sz w:val="22"/>
          <w:szCs w:val="22"/>
        </w:rPr>
      </w:pPr>
      <w:del w:id="15451" w:author="AbbVie2" w:date="2025-05-14T10:25:00Z">
        <w:r w:rsidRPr="008912CF">
          <w:rPr>
            <w:sz w:val="22"/>
            <w:szCs w:val="22"/>
          </w:rPr>
          <w:delText>Fale com o seu médico ou farmacêutico antes de utilizar Humira</w:delText>
        </w:r>
      </w:del>
    </w:p>
    <w:p w14:paraId="118C598A" w14:textId="567B9CB5" w:rsidR="004462A0" w:rsidRPr="008912CF" w:rsidRDefault="004462A0" w:rsidP="004462A0">
      <w:pPr>
        <w:rPr>
          <w:del w:id="15452" w:author="AbbVie2" w:date="2025-05-14T10:25:00Z"/>
        </w:rPr>
      </w:pPr>
    </w:p>
    <w:p w14:paraId="5053BDCD" w14:textId="5AE8A85D" w:rsidR="004462A0" w:rsidRPr="008912CF" w:rsidRDefault="00615769" w:rsidP="004462A0">
      <w:pPr>
        <w:numPr>
          <w:ilvl w:val="0"/>
          <w:numId w:val="15"/>
        </w:numPr>
        <w:rPr>
          <w:del w:id="15453" w:author="AbbVie2" w:date="2025-05-14T10:25:00Z"/>
          <w:sz w:val="22"/>
          <w:szCs w:val="22"/>
        </w:rPr>
      </w:pPr>
      <w:del w:id="15454" w:author="AbbVie2" w:date="2025-05-14T10:25:00Z">
        <w:r w:rsidRPr="008912CF">
          <w:rPr>
            <w:sz w:val="22"/>
            <w:szCs w:val="22"/>
          </w:rPr>
          <w:delText>Se tiver reações alérgicas com sintomas, tais como dificuldade em respirar, respiração ofegante, tonturas, inchaço ou pele irritada, interrompa a administração de Humira e contacte imediatamente o seu médico</w:delText>
        </w:r>
        <w:r w:rsidR="00BA5138">
          <w:rPr>
            <w:sz w:val="22"/>
            <w:szCs w:val="22"/>
          </w:rPr>
          <w:delText xml:space="preserve"> uma vez que, em casos raros, estas reações podem ser potencialmente fatais</w:delText>
        </w:r>
        <w:r w:rsidRPr="008912CF">
          <w:rPr>
            <w:sz w:val="22"/>
            <w:szCs w:val="22"/>
          </w:rPr>
          <w:delText>.</w:delText>
        </w:r>
      </w:del>
    </w:p>
    <w:p w14:paraId="37A543EE" w14:textId="2A8FD9F1" w:rsidR="004462A0" w:rsidRPr="008912CF" w:rsidRDefault="004462A0" w:rsidP="004462A0">
      <w:pPr>
        <w:rPr>
          <w:del w:id="15455" w:author="AbbVie2" w:date="2025-05-14T10:25:00Z"/>
        </w:rPr>
      </w:pPr>
    </w:p>
    <w:p w14:paraId="5A2BCEDC" w14:textId="20D33449" w:rsidR="004462A0" w:rsidRPr="008912CF" w:rsidRDefault="00615769" w:rsidP="004462A0">
      <w:pPr>
        <w:numPr>
          <w:ilvl w:val="1"/>
          <w:numId w:val="50"/>
        </w:numPr>
        <w:rPr>
          <w:del w:id="15456" w:author="AbbVie2" w:date="2025-05-14T10:25:00Z"/>
          <w:sz w:val="22"/>
          <w:szCs w:val="22"/>
        </w:rPr>
      </w:pPr>
      <w:del w:id="15457" w:author="AbbVie2" w:date="2025-05-14T10:25:00Z">
        <w:r w:rsidRPr="008912CF">
          <w:rPr>
            <w:sz w:val="22"/>
            <w:szCs w:val="22"/>
          </w:rPr>
          <w:delText xml:space="preserve">Se tiver uma infeção, incluindo uma infeção crónica ou </w:delText>
        </w:r>
        <w:r w:rsidR="00FE0AD3">
          <w:rPr>
            <w:sz w:val="22"/>
            <w:szCs w:val="22"/>
          </w:rPr>
          <w:delText>uma infeção em qualquer parte do seu corpo</w:delText>
        </w:r>
        <w:r w:rsidRPr="008912CF">
          <w:rPr>
            <w:sz w:val="22"/>
            <w:szCs w:val="22"/>
          </w:rPr>
          <w:delText xml:space="preserve"> (por exemplo, úlcera da perna) informe o seu médico antes de iniciar o tratamento com Humira. Se tiver quaisquer dúvidas, deve contactar o seu médico. </w:delText>
        </w:r>
      </w:del>
    </w:p>
    <w:p w14:paraId="5DABC01C" w14:textId="618988BE" w:rsidR="004462A0" w:rsidRPr="008912CF" w:rsidRDefault="004462A0" w:rsidP="004462A0">
      <w:pPr>
        <w:tabs>
          <w:tab w:val="num" w:pos="567"/>
        </w:tabs>
        <w:ind w:left="567" w:hanging="567"/>
        <w:rPr>
          <w:del w:id="15458" w:author="AbbVie2" w:date="2025-05-14T10:25:00Z"/>
          <w:sz w:val="22"/>
          <w:szCs w:val="22"/>
        </w:rPr>
      </w:pPr>
    </w:p>
    <w:p w14:paraId="20F5EB7C" w14:textId="1A252709" w:rsidR="004462A0" w:rsidRPr="008912CF" w:rsidRDefault="00615769" w:rsidP="004462A0">
      <w:pPr>
        <w:numPr>
          <w:ilvl w:val="1"/>
          <w:numId w:val="50"/>
        </w:numPr>
        <w:rPr>
          <w:del w:id="15459" w:author="AbbVie2" w:date="2025-05-14T10:25:00Z"/>
          <w:sz w:val="22"/>
          <w:szCs w:val="22"/>
        </w:rPr>
      </w:pPr>
      <w:del w:id="15460" w:author="AbbVie2" w:date="2025-05-14T10:25:00Z">
        <w:r w:rsidRPr="008912CF">
          <w:rPr>
            <w:sz w:val="22"/>
            <w:szCs w:val="22"/>
          </w:rPr>
          <w:delText>Pode contrair mais facilmente infeções enquanto estiver a ser tratado com Humira. Este risco pode aumentar se a sua função pulmonar estiver diminuída. Estas infeções podem ser graves e inclu</w:delText>
        </w:r>
        <w:r w:rsidR="00FE0AD3">
          <w:rPr>
            <w:sz w:val="22"/>
            <w:szCs w:val="22"/>
          </w:rPr>
          <w:delText>em</w:delText>
        </w:r>
        <w:r w:rsidRPr="008912CF">
          <w:rPr>
            <w:sz w:val="22"/>
            <w:szCs w:val="22"/>
          </w:rPr>
          <w:delText xml:space="preserve"> tuberculose, infeções causadas por vírus, fungos, parasitas ou bactérias, ou outras infeções oportunistas e sepsia que podem, em casos raros, pôr a vida em risco. Deve informar o seu médico se tiver sintomas, tais como febre, feridas, sensação de cansaço ou problemas dentários. O seu médico pode aconselhar a suspensão temporária de Humira.</w:delText>
        </w:r>
      </w:del>
    </w:p>
    <w:p w14:paraId="1557AA73" w14:textId="1E5751E6" w:rsidR="004462A0" w:rsidRPr="008912CF" w:rsidRDefault="004462A0" w:rsidP="004462A0">
      <w:pPr>
        <w:rPr>
          <w:del w:id="15461" w:author="AbbVie2" w:date="2025-05-14T10:25:00Z"/>
          <w:sz w:val="22"/>
          <w:szCs w:val="22"/>
        </w:rPr>
      </w:pPr>
    </w:p>
    <w:p w14:paraId="5F32AC4E" w14:textId="459C4669" w:rsidR="004462A0" w:rsidRPr="008912CF" w:rsidRDefault="00615769" w:rsidP="004462A0">
      <w:pPr>
        <w:numPr>
          <w:ilvl w:val="1"/>
          <w:numId w:val="50"/>
        </w:numPr>
        <w:rPr>
          <w:del w:id="15462" w:author="AbbVie2" w:date="2025-05-14T10:25:00Z"/>
          <w:sz w:val="22"/>
          <w:szCs w:val="22"/>
        </w:rPr>
      </w:pPr>
      <w:del w:id="15463" w:author="AbbVie2" w:date="2025-05-14T10:25:00Z">
        <w:r w:rsidRPr="008912CF">
          <w:rPr>
            <w:sz w:val="22"/>
            <w:szCs w:val="22"/>
          </w:rPr>
          <w:delText xml:space="preserve">Uma vez que foram notificados casos de tuberculose em doentes tratados com Humira, o seu médico irá avaliá-lo para despiste de sinais e sintomas de tuberculose antes de iniciar a terapêutica com Humira. Esta avaliação irá incluir uma história clínica pormenorizada, uma radiografia do tórax e um teste de tuberculina. A realização e o resultado destes exames deve ser registada no </w:delText>
        </w:r>
        <w:r w:rsidRPr="0083458C">
          <w:rPr>
            <w:b/>
            <w:sz w:val="22"/>
            <w:szCs w:val="22"/>
          </w:rPr>
          <w:delText>Cartão de Segurança do Doente</w:delText>
        </w:r>
        <w:r w:rsidRPr="008912CF">
          <w:rPr>
            <w:sz w:val="22"/>
            <w:szCs w:val="22"/>
          </w:rPr>
          <w:delText>. É muito importante que informe o seu médico se já sofreu de tuberculose ou se esteve em contacto próximo com alguém com esta doença. A tuberculose pode vir a manifestar-se durante o tratamento com Humira, ainda que tenha efetuado tratamento de profilaxia da tuberculose. Se surgirem sintomas de tuberculose (tosse persistente, perda de peso, fraqueza, febre ligeira) ou qualquer outra infeção durante ou após o tratamento, informe imediatamente o seu médico.</w:delText>
        </w:r>
      </w:del>
    </w:p>
    <w:p w14:paraId="360924D2" w14:textId="17460B2E" w:rsidR="004462A0" w:rsidRPr="008912CF" w:rsidRDefault="004462A0" w:rsidP="004462A0">
      <w:pPr>
        <w:pStyle w:val="EndnoteText"/>
        <w:tabs>
          <w:tab w:val="clear" w:pos="567"/>
        </w:tabs>
        <w:rPr>
          <w:del w:id="15464" w:author="AbbVie2" w:date="2025-05-14T10:25:00Z"/>
          <w:szCs w:val="22"/>
        </w:rPr>
      </w:pPr>
    </w:p>
    <w:p w14:paraId="17D66921" w14:textId="65EB96B9" w:rsidR="004462A0" w:rsidRPr="008912CF" w:rsidRDefault="00615769" w:rsidP="004462A0">
      <w:pPr>
        <w:numPr>
          <w:ilvl w:val="1"/>
          <w:numId w:val="50"/>
        </w:numPr>
        <w:rPr>
          <w:del w:id="15465" w:author="AbbVie2" w:date="2025-05-14T10:25:00Z"/>
          <w:sz w:val="22"/>
          <w:szCs w:val="22"/>
        </w:rPr>
      </w:pPr>
      <w:del w:id="15466" w:author="AbbVie2" w:date="2025-05-14T10:25:00Z">
        <w:r w:rsidRPr="008912CF">
          <w:rPr>
            <w:sz w:val="22"/>
            <w:szCs w:val="22"/>
          </w:rPr>
          <w:delText xml:space="preserve">Informe o seu médico se reside ou viaja em regiões nas quais as infeções fúngicas tais como histoplasmose, </w:delText>
        </w:r>
        <w:r w:rsidRPr="008912CF">
          <w:rPr>
            <w:sz w:val="22"/>
            <w:szCs w:val="22"/>
            <w:u w:color="0000FF"/>
          </w:rPr>
          <w:delText>coccidioidomicose ou blastomicose são endémicas</w:delText>
        </w:r>
        <w:r w:rsidRPr="008912CF">
          <w:rPr>
            <w:sz w:val="22"/>
            <w:szCs w:val="22"/>
          </w:rPr>
          <w:delText>.</w:delText>
        </w:r>
      </w:del>
    </w:p>
    <w:p w14:paraId="178BCC7D" w14:textId="1A023637" w:rsidR="004462A0" w:rsidRPr="008912CF" w:rsidRDefault="004462A0" w:rsidP="004462A0">
      <w:pPr>
        <w:rPr>
          <w:del w:id="15467" w:author="AbbVie2" w:date="2025-05-14T10:25:00Z"/>
          <w:sz w:val="22"/>
          <w:szCs w:val="22"/>
        </w:rPr>
      </w:pPr>
    </w:p>
    <w:p w14:paraId="6930A569" w14:textId="646AF510" w:rsidR="004462A0" w:rsidRPr="008912CF" w:rsidRDefault="00615769" w:rsidP="004462A0">
      <w:pPr>
        <w:pStyle w:val="EMEABullet"/>
        <w:numPr>
          <w:ilvl w:val="1"/>
          <w:numId w:val="50"/>
        </w:numPr>
        <w:suppressAutoHyphens w:val="0"/>
        <w:rPr>
          <w:del w:id="15468" w:author="AbbVie2" w:date="2025-05-14T10:25:00Z"/>
          <w:szCs w:val="22"/>
          <w:lang w:val="pt-PT"/>
        </w:rPr>
      </w:pPr>
      <w:del w:id="15469" w:author="AbbVie2" w:date="2025-05-14T10:25:00Z">
        <w:r w:rsidRPr="008912CF">
          <w:rPr>
            <w:szCs w:val="22"/>
            <w:lang w:val="pt-PT"/>
          </w:rPr>
          <w:delText>Informe o seu médico se tem antecedentes de infeções recorrentes ou quaisquer outros problemas que aumentem o risco de infeções.</w:delText>
        </w:r>
      </w:del>
    </w:p>
    <w:p w14:paraId="0A468A5C" w14:textId="76485567" w:rsidR="004462A0" w:rsidRPr="008912CF" w:rsidRDefault="004462A0" w:rsidP="004462A0">
      <w:pPr>
        <w:pStyle w:val="EndnoteText"/>
        <w:tabs>
          <w:tab w:val="clear" w:pos="567"/>
        </w:tabs>
        <w:rPr>
          <w:del w:id="15470" w:author="AbbVie2" w:date="2025-05-14T10:25:00Z"/>
          <w:szCs w:val="22"/>
        </w:rPr>
      </w:pPr>
    </w:p>
    <w:p w14:paraId="4F369D66" w14:textId="6E03BB23" w:rsidR="004462A0" w:rsidRPr="008912CF" w:rsidRDefault="00615769" w:rsidP="004462A0">
      <w:pPr>
        <w:numPr>
          <w:ilvl w:val="1"/>
          <w:numId w:val="50"/>
        </w:numPr>
        <w:rPr>
          <w:del w:id="15471" w:author="AbbVie2" w:date="2025-05-14T10:25:00Z"/>
          <w:sz w:val="22"/>
          <w:szCs w:val="22"/>
        </w:rPr>
      </w:pPr>
      <w:del w:id="15472" w:author="AbbVie2" w:date="2025-05-14T10:25:00Z">
        <w:r w:rsidRPr="008912CF">
          <w:rPr>
            <w:sz w:val="22"/>
            <w:szCs w:val="22"/>
          </w:rPr>
          <w:delText>Informe o seu médico se é um portador do vírus da Hepatite B (HBV), se tem o vírus HBV ativo ou se pensa que pode estar em risco de contrair HBV. O seu médico deve avaliá-lo para determinar se tem HBV. Humira pode causar reativação de HBV em pessoas portadoras deste vírus. Em alguns casos</w:delText>
        </w:r>
        <w:r w:rsidR="00BA1FF6">
          <w:rPr>
            <w:sz w:val="22"/>
            <w:szCs w:val="22"/>
          </w:rPr>
          <w:delText xml:space="preserve"> raros</w:delText>
        </w:r>
        <w:r w:rsidRPr="008912CF">
          <w:rPr>
            <w:sz w:val="22"/>
            <w:szCs w:val="22"/>
          </w:rPr>
          <w:delText>, especialmente se tomar outros medicamentos que suprimem o sistema imunitário, a reativação de HBV pode pôr a sua vida em risco.</w:delText>
        </w:r>
      </w:del>
    </w:p>
    <w:p w14:paraId="7D4131CF" w14:textId="202F28E6" w:rsidR="004462A0" w:rsidRPr="008912CF" w:rsidRDefault="004462A0" w:rsidP="004462A0">
      <w:pPr>
        <w:pStyle w:val="EndnoteText"/>
        <w:tabs>
          <w:tab w:val="clear" w:pos="567"/>
        </w:tabs>
        <w:rPr>
          <w:del w:id="15473" w:author="AbbVie2" w:date="2025-05-14T10:25:00Z"/>
          <w:szCs w:val="22"/>
        </w:rPr>
      </w:pPr>
    </w:p>
    <w:p w14:paraId="4920D7A5" w14:textId="6CAD62B5" w:rsidR="004462A0" w:rsidRPr="008912CF" w:rsidRDefault="00615769" w:rsidP="004462A0">
      <w:pPr>
        <w:numPr>
          <w:ilvl w:val="1"/>
          <w:numId w:val="50"/>
        </w:numPr>
        <w:rPr>
          <w:del w:id="15474" w:author="AbbVie2" w:date="2025-05-14T10:25:00Z"/>
          <w:sz w:val="22"/>
          <w:szCs w:val="22"/>
        </w:rPr>
      </w:pPr>
      <w:del w:id="15475" w:author="AbbVie2" w:date="2025-05-14T10:25:00Z">
        <w:r w:rsidRPr="008912CF">
          <w:rPr>
            <w:sz w:val="22"/>
            <w:szCs w:val="22"/>
          </w:rPr>
          <w:delText>Se tem mais de 65 anos pode estar mais suscetível a infeções enquanto estiver a ser tratado com Humira. Em conjunto com o seu médico deve tomar especial atenção a sinais de infeção enquanto estiver a ser tratado com Humira. É importante informar o seu médico se tiver sintomas de infeções, tais como febre, feridas, sensação de cansaço ou problemas dentários.</w:delText>
        </w:r>
      </w:del>
    </w:p>
    <w:p w14:paraId="0BFDC21E" w14:textId="52B0BB9B" w:rsidR="004462A0" w:rsidRPr="008912CF" w:rsidRDefault="004462A0" w:rsidP="004462A0">
      <w:pPr>
        <w:rPr>
          <w:del w:id="15476" w:author="AbbVie2" w:date="2025-05-14T10:25:00Z"/>
          <w:sz w:val="22"/>
          <w:szCs w:val="22"/>
        </w:rPr>
      </w:pPr>
    </w:p>
    <w:p w14:paraId="210C9EF7" w14:textId="3CBB68B4" w:rsidR="004462A0" w:rsidRPr="008912CF" w:rsidRDefault="00615769" w:rsidP="004462A0">
      <w:pPr>
        <w:numPr>
          <w:ilvl w:val="1"/>
          <w:numId w:val="50"/>
        </w:numPr>
        <w:rPr>
          <w:del w:id="15477" w:author="AbbVie2" w:date="2025-05-14T10:25:00Z"/>
          <w:sz w:val="22"/>
          <w:szCs w:val="22"/>
        </w:rPr>
      </w:pPr>
      <w:del w:id="15478" w:author="AbbVie2" w:date="2025-05-14T10:25:00Z">
        <w:r w:rsidRPr="008912CF">
          <w:rPr>
            <w:sz w:val="22"/>
            <w:szCs w:val="22"/>
          </w:rPr>
          <w:delText>Se vai ser submetido a uma intervenção cirúrgica ou dentária, informe o seu médico que está a tomar Humira. O seu médico pode aconselhar a suspensão temporária de Humira.</w:delText>
        </w:r>
      </w:del>
    </w:p>
    <w:p w14:paraId="7C3B27B1" w14:textId="7CAC93BC" w:rsidR="004462A0" w:rsidRPr="008912CF" w:rsidRDefault="004462A0" w:rsidP="004462A0">
      <w:pPr>
        <w:pStyle w:val="EndnoteText"/>
        <w:tabs>
          <w:tab w:val="clear" w:pos="567"/>
        </w:tabs>
        <w:rPr>
          <w:del w:id="15479" w:author="AbbVie2" w:date="2025-05-14T10:25:00Z"/>
          <w:szCs w:val="22"/>
        </w:rPr>
      </w:pPr>
    </w:p>
    <w:p w14:paraId="046EB9D3" w14:textId="01D86CB9" w:rsidR="004462A0" w:rsidRPr="008912CF" w:rsidRDefault="00615769" w:rsidP="004462A0">
      <w:pPr>
        <w:numPr>
          <w:ilvl w:val="1"/>
          <w:numId w:val="50"/>
        </w:numPr>
        <w:rPr>
          <w:del w:id="15480" w:author="AbbVie2" w:date="2025-05-14T10:25:00Z"/>
          <w:sz w:val="22"/>
          <w:szCs w:val="22"/>
        </w:rPr>
      </w:pPr>
      <w:del w:id="15481" w:author="AbbVie2" w:date="2025-05-14T10:25:00Z">
        <w:r w:rsidRPr="008912CF">
          <w:rPr>
            <w:sz w:val="22"/>
            <w:szCs w:val="22"/>
          </w:rPr>
          <w:delText xml:space="preserve">Se sofre </w:delText>
        </w:r>
        <w:r>
          <w:rPr>
            <w:sz w:val="22"/>
            <w:szCs w:val="22"/>
          </w:rPr>
          <w:delText>ou vier a desenvolver uma</w:delText>
        </w:r>
        <w:r w:rsidRPr="008912CF">
          <w:rPr>
            <w:sz w:val="22"/>
            <w:szCs w:val="22"/>
          </w:rPr>
          <w:delText xml:space="preserve"> doença desmielinizante tal como esclerose múltipla, o seu médico irá decidir se pode utilizar </w:delText>
        </w:r>
        <w:r>
          <w:rPr>
            <w:sz w:val="22"/>
            <w:szCs w:val="22"/>
          </w:rPr>
          <w:delText xml:space="preserve">ou continuar a utilizar </w:delText>
        </w:r>
        <w:r w:rsidRPr="008912CF">
          <w:rPr>
            <w:sz w:val="22"/>
            <w:szCs w:val="22"/>
          </w:rPr>
          <w:delText>Humira.</w:delText>
        </w:r>
        <w:r>
          <w:rPr>
            <w:sz w:val="22"/>
            <w:szCs w:val="22"/>
          </w:rPr>
          <w:delText xml:space="preserve"> </w:delText>
        </w:r>
        <w:r w:rsidRPr="0095508D">
          <w:rPr>
            <w:sz w:val="22"/>
            <w:szCs w:val="22"/>
          </w:rPr>
          <w:delText xml:space="preserve">Caso </w:delText>
        </w:r>
        <w:r w:rsidR="00BA1FF6">
          <w:rPr>
            <w:sz w:val="22"/>
            <w:szCs w:val="22"/>
          </w:rPr>
          <w:delText>desenvolva</w:delText>
        </w:r>
        <w:r>
          <w:rPr>
            <w:sz w:val="22"/>
            <w:szCs w:val="22"/>
          </w:rPr>
          <w:delText xml:space="preserve"> </w:delText>
        </w:r>
        <w:r w:rsidRPr="0095508D">
          <w:rPr>
            <w:sz w:val="22"/>
            <w:szCs w:val="22"/>
          </w:rPr>
          <w:delText xml:space="preserve">sintomas, tais como alterações na visão, fraqueza nos braços ou pernas ou dormência ou formigueiro em qualquer parte do corpo, </w:delText>
        </w:r>
        <w:r>
          <w:rPr>
            <w:sz w:val="22"/>
            <w:szCs w:val="22"/>
          </w:rPr>
          <w:delText>informe imediatamente</w:delText>
        </w:r>
        <w:r w:rsidRPr="0095508D">
          <w:rPr>
            <w:sz w:val="22"/>
            <w:szCs w:val="22"/>
          </w:rPr>
          <w:delText xml:space="preserve"> o seu médico.</w:delText>
        </w:r>
      </w:del>
    </w:p>
    <w:p w14:paraId="26DB8555" w14:textId="66CFAEAD" w:rsidR="004462A0" w:rsidRPr="008912CF" w:rsidRDefault="004462A0" w:rsidP="004462A0">
      <w:pPr>
        <w:rPr>
          <w:del w:id="15482" w:author="AbbVie2" w:date="2025-05-14T10:25:00Z"/>
          <w:sz w:val="22"/>
          <w:szCs w:val="22"/>
        </w:rPr>
      </w:pPr>
    </w:p>
    <w:p w14:paraId="4E96D1C3" w14:textId="5B8CC789" w:rsidR="004462A0" w:rsidRPr="008912CF" w:rsidRDefault="00615769" w:rsidP="004462A0">
      <w:pPr>
        <w:numPr>
          <w:ilvl w:val="0"/>
          <w:numId w:val="50"/>
        </w:numPr>
        <w:tabs>
          <w:tab w:val="clear" w:pos="720"/>
          <w:tab w:val="num" w:pos="-4900"/>
        </w:tabs>
        <w:ind w:left="600" w:hanging="600"/>
        <w:rPr>
          <w:del w:id="15483" w:author="AbbVie2" w:date="2025-05-14T10:25:00Z"/>
          <w:sz w:val="22"/>
          <w:szCs w:val="22"/>
        </w:rPr>
      </w:pPr>
      <w:del w:id="15484" w:author="AbbVie2" w:date="2025-05-14T10:25:00Z">
        <w:r w:rsidRPr="008912CF">
          <w:rPr>
            <w:sz w:val="22"/>
            <w:szCs w:val="22"/>
          </w:rPr>
          <w:delText>Certas vacinas podem causar infeções e não devem ser administradas em conjunto com Humira. Contacte o seu médico antes de receber qualquer vacina. Recomenda-se que as crianças, antes de iniciar o tratamento com Humira, se possível, sejam informadas sobre todas as vacinas, de acordo com o atual plano de vacinação nacional. Se utilizou Humira durante a gravidez, o seu bebé pode ter um risco superior de ter tais infeções até, aproximadamente, cinco meses após a última dose que administrou durante a gravidez. É</w:delText>
        </w:r>
        <w:r w:rsidRPr="008912CF">
          <w:rPr>
            <w:sz w:val="22"/>
            <w:szCs w:val="22"/>
          </w:rPr>
          <w:delText xml:space="preserve"> importante que diga ao médico do seu bebé e a outros profissionais de saúde que usou Humira durante a sua gravidez, para que estes possam decidir quando pode ser dada qualquer vacina ao seu bebé.</w:delText>
        </w:r>
      </w:del>
    </w:p>
    <w:p w14:paraId="0AFA1569" w14:textId="42CFB886" w:rsidR="004462A0" w:rsidRPr="008912CF" w:rsidRDefault="004462A0" w:rsidP="004462A0">
      <w:pPr>
        <w:pStyle w:val="EndnoteText"/>
        <w:tabs>
          <w:tab w:val="clear" w:pos="567"/>
        </w:tabs>
        <w:rPr>
          <w:del w:id="15485" w:author="AbbVie2" w:date="2025-05-14T10:25:00Z"/>
          <w:szCs w:val="22"/>
        </w:rPr>
      </w:pPr>
    </w:p>
    <w:p w14:paraId="37142261" w14:textId="6F7203F9" w:rsidR="004462A0" w:rsidRPr="008912CF" w:rsidRDefault="00615769" w:rsidP="004462A0">
      <w:pPr>
        <w:numPr>
          <w:ilvl w:val="0"/>
          <w:numId w:val="23"/>
        </w:numPr>
        <w:rPr>
          <w:del w:id="15486" w:author="AbbVie2" w:date="2025-05-14T10:25:00Z"/>
          <w:sz w:val="22"/>
          <w:szCs w:val="22"/>
        </w:rPr>
      </w:pPr>
      <w:del w:id="15487" w:author="AbbVie2" w:date="2025-05-14T10:25:00Z">
        <w:r w:rsidRPr="008912CF">
          <w:rPr>
            <w:sz w:val="22"/>
            <w:szCs w:val="22"/>
          </w:rPr>
          <w:delText>Se sofre de insuficiência cardíaca ligeira e está a ser tratado com Humira, o estado da sua insuficiência cardíaca deve ser controlado cuidadosamente pelo seu médico. Deve informar o seu médico se sofre ou já sofreu de algum problema cardíaco grave. Caso se verifique desenvolvimento de novos sintomas ou agravamento dos sintomas de insuficiência cardíaca (por exemplo, falta de ar ou inchaço dos pés), deve contactar o seu médico imediatamente. O seu médico irá decidir se pode utilizar Humira.</w:delText>
        </w:r>
      </w:del>
    </w:p>
    <w:p w14:paraId="1A77B6C9" w14:textId="040F4AE4" w:rsidR="004462A0" w:rsidRPr="008912CF" w:rsidRDefault="004462A0" w:rsidP="004462A0">
      <w:pPr>
        <w:pStyle w:val="EndnoteText"/>
        <w:tabs>
          <w:tab w:val="clear" w:pos="567"/>
        </w:tabs>
        <w:rPr>
          <w:del w:id="15488" w:author="AbbVie2" w:date="2025-05-14T10:25:00Z"/>
          <w:szCs w:val="22"/>
        </w:rPr>
      </w:pPr>
    </w:p>
    <w:p w14:paraId="7DAC04CC" w14:textId="4B8F65EE" w:rsidR="004462A0" w:rsidRPr="008912CF" w:rsidRDefault="00615769" w:rsidP="004462A0">
      <w:pPr>
        <w:numPr>
          <w:ilvl w:val="0"/>
          <w:numId w:val="23"/>
        </w:numPr>
        <w:rPr>
          <w:del w:id="15489" w:author="AbbVie2" w:date="2025-05-14T10:25:00Z"/>
          <w:sz w:val="22"/>
          <w:szCs w:val="22"/>
        </w:rPr>
      </w:pPr>
      <w:del w:id="15490" w:author="AbbVie2" w:date="2025-05-14T10:25:00Z">
        <w:r w:rsidRPr="008912CF">
          <w:rPr>
            <w:sz w:val="22"/>
            <w:szCs w:val="22"/>
          </w:rPr>
          <w:delText>Em alguns doentes o organismo pode ser incapaz de produzir suficientes células sanguíneas que ajudem o organismo a combater infeções ou ajudem a parar hemorragias. Caso verifique febre que se mantenha, nódoas negras ou perdas de sangue muito facilmente ou que apresente um aspeto pálido, informe imediatamente o seu médico. O seu médico pode decidir suspender o tratamento.</w:delText>
        </w:r>
      </w:del>
    </w:p>
    <w:p w14:paraId="4B4106C3" w14:textId="5746312E" w:rsidR="004462A0" w:rsidRPr="008912CF" w:rsidRDefault="004462A0" w:rsidP="004462A0">
      <w:pPr>
        <w:rPr>
          <w:del w:id="15491" w:author="AbbVie2" w:date="2025-05-14T10:25:00Z"/>
          <w:sz w:val="22"/>
          <w:szCs w:val="22"/>
        </w:rPr>
      </w:pPr>
    </w:p>
    <w:p w14:paraId="18AD3C09" w14:textId="6AE6FF02" w:rsidR="004462A0" w:rsidRPr="008912CF" w:rsidRDefault="00615769" w:rsidP="004462A0">
      <w:pPr>
        <w:numPr>
          <w:ilvl w:val="0"/>
          <w:numId w:val="23"/>
        </w:numPr>
        <w:rPr>
          <w:del w:id="15492" w:author="AbbVie2" w:date="2025-05-14T10:25:00Z"/>
          <w:sz w:val="22"/>
          <w:szCs w:val="22"/>
        </w:rPr>
      </w:pPr>
      <w:del w:id="15493" w:author="AbbVie2" w:date="2025-05-14T10:25:00Z">
        <w:r w:rsidRPr="008912CF">
          <w:rPr>
            <w:sz w:val="22"/>
            <w:szCs w:val="22"/>
          </w:rPr>
          <w:delText>T</w:delText>
        </w:r>
        <w:r w:rsidR="00B00E30">
          <w:rPr>
            <w:sz w:val="22"/>
            <w:szCs w:val="22"/>
          </w:rPr>
          <w:delText>ê</w:delText>
        </w:r>
        <w:r w:rsidRPr="008912CF">
          <w:rPr>
            <w:sz w:val="22"/>
            <w:szCs w:val="22"/>
          </w:rPr>
          <w:delText>m ocorrido</w:delText>
        </w:r>
        <w:r w:rsidR="00B00E30">
          <w:rPr>
            <w:sz w:val="22"/>
            <w:szCs w:val="22"/>
          </w:rPr>
          <w:delText>,</w:delText>
        </w:r>
        <w:r w:rsidRPr="008912CF">
          <w:rPr>
            <w:sz w:val="22"/>
            <w:szCs w:val="22"/>
          </w:rPr>
          <w:delText xml:space="preserve"> em casos muito raros, certos tipos de cancro em crianças e adultos doentes tratados com Humira ou com outros antagonistas TNF. Doentes com artrite reumatoide muito grave que tenham doença prolongada podem ter um maior risco médio de aparecimento de linfoma (tipo de cancro que afeta o sistema linfático) e leucemia (</w:delText>
        </w:r>
        <w:r w:rsidR="00595C42">
          <w:rPr>
            <w:sz w:val="22"/>
            <w:szCs w:val="22"/>
          </w:rPr>
          <w:delText>um</w:delText>
        </w:r>
        <w:r w:rsidRPr="008912CF">
          <w:rPr>
            <w:sz w:val="22"/>
            <w:szCs w:val="22"/>
          </w:rPr>
          <w:delText xml:space="preserve"> cancro que afeta o sangue e medula óssea). Se toma Humira o risco de ter linfoma, leucemia, ou outro cancro pode aumentar. Em raras ocasiões, em doentes tratados com Humira, foi no</w:delText>
        </w:r>
        <w:r w:rsidRPr="008912CF">
          <w:rPr>
            <w:sz w:val="22"/>
            <w:szCs w:val="22"/>
          </w:rPr>
          <w:delText xml:space="preserve">tificado um tipo de linfoma </w:delText>
        </w:r>
        <w:r w:rsidR="00712F4C">
          <w:rPr>
            <w:sz w:val="22"/>
            <w:szCs w:val="22"/>
          </w:rPr>
          <w:delText>pouco frequente</w:delText>
        </w:r>
        <w:r w:rsidR="00712F4C" w:rsidRPr="008912CF">
          <w:rPr>
            <w:sz w:val="22"/>
            <w:szCs w:val="22"/>
          </w:rPr>
          <w:delText xml:space="preserve"> </w:delText>
        </w:r>
        <w:r w:rsidRPr="008912CF">
          <w:rPr>
            <w:sz w:val="22"/>
            <w:szCs w:val="22"/>
          </w:rPr>
          <w:delText>e grave. Alguns destes doentes foram também tratados com azatioprina ou 6-mercaptopurina. Diga ao seu médico se está a tomar azatioprina ou 6-mercaptopurina com Humira</w:delText>
        </w:r>
        <w:r w:rsidR="006A5654">
          <w:rPr>
            <w:sz w:val="22"/>
            <w:szCs w:val="22"/>
          </w:rPr>
          <w:delText>.</w:delText>
        </w:r>
        <w:r w:rsidRPr="008912CF">
          <w:rPr>
            <w:sz w:val="22"/>
            <w:szCs w:val="22"/>
          </w:rPr>
          <w:delText xml:space="preserve"> Adicionalmente</w:delText>
        </w:r>
        <w:r w:rsidR="006A5654">
          <w:rPr>
            <w:sz w:val="22"/>
            <w:szCs w:val="22"/>
          </w:rPr>
          <w:delText>,</w:delText>
        </w:r>
        <w:r w:rsidRPr="008912CF">
          <w:rPr>
            <w:sz w:val="22"/>
            <w:szCs w:val="22"/>
          </w:rPr>
          <w:delText xml:space="preserve"> foram observados casos de neoplasias cutâneas não-melanomas em doentes tratados com Humira. Se aparecerem novas lesões de pele durante ou depois do tratamento, ou se existirem alterações no aspeto de lesões existentes, informe o seu médico.</w:delText>
        </w:r>
      </w:del>
    </w:p>
    <w:p w14:paraId="48E4ECE7" w14:textId="3AD1D495" w:rsidR="004462A0" w:rsidRPr="008912CF" w:rsidRDefault="004462A0" w:rsidP="004462A0">
      <w:pPr>
        <w:rPr>
          <w:del w:id="15494" w:author="AbbVie2" w:date="2025-05-14T10:25:00Z"/>
          <w:sz w:val="22"/>
          <w:szCs w:val="22"/>
        </w:rPr>
      </w:pPr>
    </w:p>
    <w:p w14:paraId="11612646" w14:textId="70FF6A63" w:rsidR="004462A0" w:rsidRDefault="00615769" w:rsidP="004462A0">
      <w:pPr>
        <w:numPr>
          <w:ilvl w:val="0"/>
          <w:numId w:val="23"/>
        </w:numPr>
        <w:rPr>
          <w:del w:id="15495" w:author="AbbVie2" w:date="2025-05-14T10:25:00Z"/>
          <w:sz w:val="22"/>
          <w:szCs w:val="22"/>
        </w:rPr>
      </w:pPr>
      <w:del w:id="15496" w:author="AbbVie2" w:date="2025-05-14T10:25:00Z">
        <w:r w:rsidRPr="008912CF">
          <w:rPr>
            <w:sz w:val="22"/>
            <w:szCs w:val="22"/>
          </w:rPr>
          <w:delText>Existem casos de cancros, para além de linfoma, em doentes com um tipo específico de doença pulmonar denominada Doença Pulmonar Obstrutiva Crónica (DPOC) tratados com outros antagonistas TNF. Se tem DPOC, ou se fuma muito, deve falar com o seu médico para saber se o tratamento com um bloqueador TNF é apropriado para si.</w:delText>
        </w:r>
      </w:del>
    </w:p>
    <w:p w14:paraId="5706026D" w14:textId="11A15506" w:rsidR="004362CE" w:rsidRDefault="004362CE" w:rsidP="00F03C54">
      <w:pPr>
        <w:pStyle w:val="ListParagraph"/>
        <w:rPr>
          <w:del w:id="15497" w:author="AbbVie2" w:date="2025-05-14T10:25:00Z"/>
          <w:sz w:val="22"/>
          <w:szCs w:val="22"/>
        </w:rPr>
      </w:pPr>
    </w:p>
    <w:p w14:paraId="1C97F5E1" w14:textId="53250619" w:rsidR="004362CE" w:rsidRPr="004362CE" w:rsidRDefault="00615769" w:rsidP="00F03C54">
      <w:pPr>
        <w:pStyle w:val="ListParagraph"/>
        <w:numPr>
          <w:ilvl w:val="0"/>
          <w:numId w:val="23"/>
        </w:numPr>
        <w:rPr>
          <w:del w:id="15498" w:author="AbbVie2" w:date="2025-05-14T10:25:00Z"/>
          <w:sz w:val="22"/>
          <w:szCs w:val="22"/>
        </w:rPr>
      </w:pPr>
      <w:del w:id="15499" w:author="AbbVie2" w:date="2025-05-14T10:25:00Z">
        <w:r w:rsidRPr="004362CE">
          <w:rPr>
            <w:sz w:val="22"/>
            <w:szCs w:val="22"/>
          </w:rPr>
          <w:delText xml:space="preserve">Em raras ocasiões, o tratamento com Humira pode dar origem a sintomas sugestivos de uma síndrome do tipo lúpus. Contacte o seu médico se ocorrerem sintomas tais como inesperada erupção cutânea persistente, febre, dor nas articulações ou cansaço. </w:delText>
        </w:r>
      </w:del>
    </w:p>
    <w:p w14:paraId="0CC069E5" w14:textId="4E67CDD0" w:rsidR="004462A0" w:rsidRPr="008912CF" w:rsidRDefault="004462A0" w:rsidP="004462A0">
      <w:pPr>
        <w:rPr>
          <w:del w:id="15500" w:author="AbbVie2" w:date="2025-05-14T10:25:00Z"/>
          <w:sz w:val="22"/>
          <w:szCs w:val="22"/>
        </w:rPr>
      </w:pPr>
    </w:p>
    <w:p w14:paraId="4CAB2FA9" w14:textId="2A8E061D" w:rsidR="004462A0" w:rsidRPr="008912CF" w:rsidRDefault="00615769" w:rsidP="004462A0">
      <w:pPr>
        <w:pStyle w:val="EMEAHeadingLeaflet"/>
        <w:spacing w:before="0" w:after="0"/>
        <w:rPr>
          <w:del w:id="15501" w:author="AbbVie2" w:date="2025-05-14T10:25:00Z"/>
          <w:rFonts w:ascii="Times New Roman" w:hAnsi="Times New Roman"/>
          <w:lang w:val="pt-PT"/>
        </w:rPr>
      </w:pPr>
      <w:del w:id="15502" w:author="AbbVie2" w:date="2025-05-14T10:25:00Z">
        <w:r w:rsidRPr="008912CF">
          <w:rPr>
            <w:rFonts w:ascii="Times New Roman" w:hAnsi="Times New Roman"/>
            <w:lang w:val="pt-PT"/>
          </w:rPr>
          <w:delText>Crianças e adolescentes</w:delText>
        </w:r>
      </w:del>
    </w:p>
    <w:p w14:paraId="5E504C72" w14:textId="258D50F1" w:rsidR="004462A0" w:rsidRPr="008912CF" w:rsidRDefault="004462A0" w:rsidP="004462A0">
      <w:pPr>
        <w:pStyle w:val="EMEANormal"/>
        <w:tabs>
          <w:tab w:val="clear" w:pos="562"/>
        </w:tabs>
        <w:ind w:left="567" w:hanging="567"/>
        <w:rPr>
          <w:del w:id="15503" w:author="AbbVie2" w:date="2025-05-14T10:25:00Z"/>
          <w:lang w:val="pt-PT"/>
        </w:rPr>
      </w:pPr>
    </w:p>
    <w:p w14:paraId="49919A63" w14:textId="11194F10" w:rsidR="004462A0" w:rsidRPr="008912CF" w:rsidRDefault="00615769" w:rsidP="002B1B8A">
      <w:pPr>
        <w:pStyle w:val="EMEABullet2"/>
        <w:numPr>
          <w:ilvl w:val="0"/>
          <w:numId w:val="135"/>
        </w:numPr>
        <w:tabs>
          <w:tab w:val="clear" w:pos="567"/>
        </w:tabs>
        <w:ind w:left="567" w:hanging="567"/>
        <w:rPr>
          <w:del w:id="15504" w:author="AbbVie2" w:date="2025-05-14T10:25:00Z"/>
          <w:lang w:val="pt-PT"/>
        </w:rPr>
      </w:pPr>
      <w:del w:id="15505" w:author="AbbVie2" w:date="2025-05-14T10:25:00Z">
        <w:r w:rsidRPr="008912CF">
          <w:rPr>
            <w:lang w:val="pt-PT"/>
          </w:rPr>
          <w:delText>Vacinação: se possível, antes de iniciar Humira, as crianças devem ter todas as vacinas atualizadas</w:delText>
        </w:r>
        <w:r w:rsidR="00134325">
          <w:rPr>
            <w:lang w:val="pt-PT"/>
          </w:rPr>
          <w:delText>.</w:delText>
        </w:r>
      </w:del>
    </w:p>
    <w:p w14:paraId="71DCB429" w14:textId="12FAD728" w:rsidR="004462A0" w:rsidRPr="008912CF" w:rsidRDefault="004462A0" w:rsidP="004462A0">
      <w:pPr>
        <w:pStyle w:val="EMEABullet2"/>
        <w:rPr>
          <w:del w:id="15506" w:author="AbbVie2" w:date="2025-05-14T10:25:00Z"/>
          <w:lang w:val="pt-PT"/>
        </w:rPr>
      </w:pPr>
    </w:p>
    <w:p w14:paraId="3AF86DD3" w14:textId="38A98F1F" w:rsidR="004462A0" w:rsidRPr="008912CF" w:rsidRDefault="00615769" w:rsidP="002B1B8A">
      <w:pPr>
        <w:pStyle w:val="EMEABullet2"/>
        <w:numPr>
          <w:ilvl w:val="0"/>
          <w:numId w:val="135"/>
        </w:numPr>
        <w:tabs>
          <w:tab w:val="clear" w:pos="567"/>
        </w:tabs>
        <w:ind w:left="567" w:hanging="567"/>
        <w:rPr>
          <w:del w:id="15507" w:author="AbbVie2" w:date="2025-05-14T10:25:00Z"/>
          <w:lang w:val="pt-PT"/>
        </w:rPr>
      </w:pPr>
      <w:del w:id="15508" w:author="AbbVie2" w:date="2025-05-14T10:25:00Z">
        <w:r w:rsidRPr="008912CF">
          <w:rPr>
            <w:lang w:val="pt-PT"/>
          </w:rPr>
          <w:delText>Não utilizar Humira em crianças com artrite idiopática juvenil poliarticular, com idade inferior a 2 anos.</w:delText>
        </w:r>
      </w:del>
    </w:p>
    <w:p w14:paraId="679A04E7" w14:textId="5BE47672" w:rsidR="004462A0" w:rsidRPr="008912CF" w:rsidRDefault="004462A0" w:rsidP="004462A0">
      <w:pPr>
        <w:rPr>
          <w:del w:id="15509" w:author="AbbVie2" w:date="2025-05-14T10:25:00Z"/>
          <w:sz w:val="22"/>
          <w:szCs w:val="22"/>
        </w:rPr>
      </w:pPr>
    </w:p>
    <w:p w14:paraId="1ABAF62D" w14:textId="43C952F2" w:rsidR="004462A0" w:rsidRPr="008912CF" w:rsidRDefault="00615769" w:rsidP="00040D46">
      <w:pPr>
        <w:keepNext/>
        <w:rPr>
          <w:del w:id="15510" w:author="AbbVie2" w:date="2025-05-14T10:25:00Z"/>
          <w:sz w:val="22"/>
          <w:szCs w:val="22"/>
        </w:rPr>
      </w:pPr>
      <w:del w:id="15511" w:author="AbbVie2" w:date="2025-05-14T10:25:00Z">
        <w:r w:rsidRPr="008912CF">
          <w:rPr>
            <w:b/>
            <w:bCs/>
            <w:sz w:val="22"/>
            <w:szCs w:val="22"/>
          </w:rPr>
          <w:delText>Outros medicamentos e Humira</w:delText>
        </w:r>
      </w:del>
    </w:p>
    <w:p w14:paraId="1182D12D" w14:textId="1D7FF1DF" w:rsidR="004462A0" w:rsidRPr="008912CF" w:rsidRDefault="004462A0" w:rsidP="00040D46">
      <w:pPr>
        <w:keepNext/>
        <w:rPr>
          <w:del w:id="15512" w:author="AbbVie2" w:date="2025-05-14T10:25:00Z"/>
          <w:sz w:val="22"/>
          <w:szCs w:val="22"/>
        </w:rPr>
      </w:pPr>
    </w:p>
    <w:p w14:paraId="629F60FF" w14:textId="427BD7A6" w:rsidR="004462A0" w:rsidRPr="008912CF" w:rsidRDefault="00615769" w:rsidP="004462A0">
      <w:pPr>
        <w:rPr>
          <w:del w:id="15513" w:author="AbbVie2" w:date="2025-05-14T10:25:00Z"/>
          <w:sz w:val="22"/>
          <w:szCs w:val="22"/>
        </w:rPr>
      </w:pPr>
      <w:del w:id="15514" w:author="AbbVie2" w:date="2025-05-14T10:25:00Z">
        <w:r w:rsidRPr="008912CF">
          <w:rPr>
            <w:sz w:val="22"/>
            <w:szCs w:val="22"/>
          </w:rPr>
          <w:delText>Informe o seu médico ou farmacêutico se estiver a tomar, tiver tomado recentemente, ou se vier a tomar outros medicamentos.</w:delText>
        </w:r>
      </w:del>
    </w:p>
    <w:p w14:paraId="1758F294" w14:textId="240CD5BF" w:rsidR="004462A0" w:rsidRPr="008912CF" w:rsidRDefault="004462A0" w:rsidP="004462A0">
      <w:pPr>
        <w:rPr>
          <w:del w:id="15515" w:author="AbbVie2" w:date="2025-05-14T10:25:00Z"/>
          <w:sz w:val="22"/>
          <w:szCs w:val="22"/>
        </w:rPr>
      </w:pPr>
    </w:p>
    <w:p w14:paraId="4A5EC65F" w14:textId="4E936931" w:rsidR="004462A0" w:rsidRPr="008912CF" w:rsidRDefault="00615769" w:rsidP="004462A0">
      <w:pPr>
        <w:ind w:right="-2"/>
        <w:rPr>
          <w:del w:id="15516" w:author="AbbVie2" w:date="2025-05-14T10:25:00Z"/>
          <w:sz w:val="22"/>
          <w:szCs w:val="22"/>
        </w:rPr>
      </w:pPr>
      <w:del w:id="15517" w:author="AbbVie2" w:date="2025-05-14T10:25:00Z">
        <w:r w:rsidRPr="008912CF">
          <w:rPr>
            <w:sz w:val="22"/>
            <w:szCs w:val="22"/>
          </w:rPr>
          <w:delText>Humira pode ser utilizado em conjunto com metotrexato ou com certos medicamentos anti</w:delText>
        </w:r>
        <w:r w:rsidR="00F96DDF">
          <w:rPr>
            <w:sz w:val="22"/>
            <w:szCs w:val="22"/>
          </w:rPr>
          <w:delText>-</w:delText>
        </w:r>
        <w:r w:rsidRPr="008912CF">
          <w:rPr>
            <w:sz w:val="22"/>
            <w:szCs w:val="22"/>
          </w:rPr>
          <w:delText>reumatismais modificadores da doença (</w:delText>
        </w:r>
        <w:r w:rsidR="00712F4C">
          <w:rPr>
            <w:sz w:val="22"/>
            <w:szCs w:val="22"/>
          </w:rPr>
          <w:delText xml:space="preserve">por exemplo, </w:delText>
        </w:r>
        <w:r w:rsidRPr="008912CF">
          <w:rPr>
            <w:sz w:val="22"/>
            <w:szCs w:val="22"/>
          </w:rPr>
          <w:delText>sulfassalazina, hidroxicloroquina, leflunomid</w:delText>
        </w:r>
        <w:r w:rsidR="00082F0B">
          <w:rPr>
            <w:sz w:val="22"/>
            <w:szCs w:val="22"/>
          </w:rPr>
          <w:delText>a</w:delText>
        </w:r>
        <w:r w:rsidRPr="008912CF">
          <w:rPr>
            <w:sz w:val="22"/>
            <w:szCs w:val="22"/>
          </w:rPr>
          <w:delText xml:space="preserve"> e preparações injetáveis de sais de ouro), corticosteroides ou medicamentos analgésicos, incluindo </w:delText>
        </w:r>
        <w:r w:rsidR="003570FF">
          <w:rPr>
            <w:sz w:val="22"/>
            <w:szCs w:val="22"/>
          </w:rPr>
          <w:delText>medicamentos</w:delText>
        </w:r>
        <w:r w:rsidR="003570FF" w:rsidRPr="008912CF">
          <w:rPr>
            <w:sz w:val="22"/>
            <w:szCs w:val="22"/>
          </w:rPr>
          <w:delText xml:space="preserve"> </w:delText>
        </w:r>
        <w:r w:rsidRPr="008912CF">
          <w:rPr>
            <w:sz w:val="22"/>
            <w:szCs w:val="22"/>
          </w:rPr>
          <w:delText>anti-inflamatórios não</w:delText>
        </w:r>
        <w:r w:rsidR="003E5033">
          <w:rPr>
            <w:sz w:val="22"/>
            <w:szCs w:val="22"/>
          </w:rPr>
          <w:delText xml:space="preserve"> </w:delText>
        </w:r>
        <w:r w:rsidRPr="008912CF">
          <w:rPr>
            <w:sz w:val="22"/>
            <w:szCs w:val="22"/>
          </w:rPr>
          <w:delText>esteroides (AINEs).</w:delText>
        </w:r>
      </w:del>
    </w:p>
    <w:p w14:paraId="30ED039A" w14:textId="083763AE" w:rsidR="004462A0" w:rsidRPr="008912CF" w:rsidRDefault="004462A0" w:rsidP="004462A0">
      <w:pPr>
        <w:ind w:right="-2"/>
        <w:rPr>
          <w:del w:id="15518" w:author="AbbVie2" w:date="2025-05-14T10:25:00Z"/>
          <w:sz w:val="22"/>
          <w:szCs w:val="22"/>
        </w:rPr>
      </w:pPr>
    </w:p>
    <w:p w14:paraId="0FB003AA" w14:textId="6DF7F3E8" w:rsidR="004462A0" w:rsidRPr="008912CF" w:rsidRDefault="00615769" w:rsidP="004462A0">
      <w:pPr>
        <w:rPr>
          <w:del w:id="15519" w:author="AbbVie2" w:date="2025-05-14T10:25:00Z"/>
          <w:sz w:val="22"/>
          <w:szCs w:val="22"/>
        </w:rPr>
      </w:pPr>
      <w:del w:id="15520" w:author="AbbVie2" w:date="2025-05-14T10:25:00Z">
        <w:r w:rsidRPr="008912CF">
          <w:rPr>
            <w:sz w:val="22"/>
            <w:szCs w:val="22"/>
          </w:rPr>
          <w:delText>Não deve tomar Humira com medicamentos contendo a</w:delText>
        </w:r>
        <w:r w:rsidR="004362CE">
          <w:rPr>
            <w:sz w:val="22"/>
            <w:szCs w:val="22"/>
          </w:rPr>
          <w:delText>s</w:delText>
        </w:r>
        <w:r w:rsidRPr="008912CF">
          <w:rPr>
            <w:sz w:val="22"/>
            <w:szCs w:val="22"/>
          </w:rPr>
          <w:delText xml:space="preserve"> substância</w:delText>
        </w:r>
        <w:r w:rsidR="004362CE">
          <w:rPr>
            <w:sz w:val="22"/>
            <w:szCs w:val="22"/>
          </w:rPr>
          <w:delText>s</w:delText>
        </w:r>
        <w:r w:rsidRPr="008912CF">
          <w:rPr>
            <w:sz w:val="22"/>
            <w:szCs w:val="22"/>
          </w:rPr>
          <w:delText xml:space="preserve"> ativa</w:delText>
        </w:r>
        <w:r w:rsidR="004362CE">
          <w:rPr>
            <w:sz w:val="22"/>
            <w:szCs w:val="22"/>
          </w:rPr>
          <w:delText>s</w:delText>
        </w:r>
        <w:r w:rsidRPr="008912CF">
          <w:rPr>
            <w:sz w:val="22"/>
            <w:szCs w:val="22"/>
          </w:rPr>
          <w:delText xml:space="preserve"> ana</w:delText>
        </w:r>
        <w:r w:rsidR="00F7235D">
          <w:rPr>
            <w:sz w:val="22"/>
            <w:szCs w:val="22"/>
          </w:rPr>
          <w:delText>c</w:delText>
        </w:r>
        <w:r w:rsidRPr="008912CF">
          <w:rPr>
            <w:sz w:val="22"/>
            <w:szCs w:val="22"/>
          </w:rPr>
          <w:delText>inra ou abatacept</w:delText>
        </w:r>
        <w:r w:rsidR="004362CE">
          <w:rPr>
            <w:sz w:val="22"/>
            <w:szCs w:val="22"/>
          </w:rPr>
          <w:delText xml:space="preserve"> devido ao risco elevado de infeções graves</w:delText>
        </w:r>
        <w:r w:rsidR="004362CE" w:rsidRPr="008912CF">
          <w:rPr>
            <w:sz w:val="22"/>
            <w:szCs w:val="22"/>
          </w:rPr>
          <w:delText>.</w:delText>
        </w:r>
        <w:r w:rsidRPr="008912CF">
          <w:rPr>
            <w:sz w:val="22"/>
            <w:szCs w:val="22"/>
          </w:rPr>
          <w:delText xml:space="preserve"> Se tiver qualquer dúvida, por favor pergunte ao seu médico.</w:delText>
        </w:r>
      </w:del>
    </w:p>
    <w:p w14:paraId="6E8946A1" w14:textId="5C550124" w:rsidR="004462A0" w:rsidRPr="008912CF" w:rsidRDefault="004462A0" w:rsidP="004462A0">
      <w:pPr>
        <w:pStyle w:val="EndnoteText"/>
        <w:rPr>
          <w:del w:id="15521" w:author="AbbVie2" w:date="2025-05-14T10:25:00Z"/>
          <w:szCs w:val="22"/>
        </w:rPr>
      </w:pPr>
    </w:p>
    <w:p w14:paraId="23677F55" w14:textId="29A6E832" w:rsidR="004462A0" w:rsidRPr="008912CF" w:rsidRDefault="00615769" w:rsidP="004462A0">
      <w:pPr>
        <w:ind w:right="-2"/>
        <w:rPr>
          <w:del w:id="15522" w:author="AbbVie2" w:date="2025-05-14T10:25:00Z"/>
          <w:b/>
          <w:sz w:val="22"/>
          <w:szCs w:val="22"/>
        </w:rPr>
      </w:pPr>
      <w:del w:id="15523" w:author="AbbVie2" w:date="2025-05-14T10:25:00Z">
        <w:r w:rsidRPr="008912CF">
          <w:rPr>
            <w:b/>
            <w:sz w:val="22"/>
            <w:szCs w:val="22"/>
          </w:rPr>
          <w:delText>Gravidez e amamentação</w:delText>
        </w:r>
      </w:del>
    </w:p>
    <w:p w14:paraId="548CA8A2" w14:textId="032682EF" w:rsidR="004462A0" w:rsidRPr="008912CF" w:rsidRDefault="004462A0" w:rsidP="004462A0">
      <w:pPr>
        <w:ind w:right="-2"/>
        <w:rPr>
          <w:del w:id="15524" w:author="AbbVie2" w:date="2025-05-14T10:25:00Z"/>
          <w:bCs/>
          <w:sz w:val="22"/>
          <w:szCs w:val="22"/>
        </w:rPr>
      </w:pPr>
    </w:p>
    <w:p w14:paraId="332E3701" w14:textId="7EECDC4C" w:rsidR="004462A0" w:rsidRDefault="00615769" w:rsidP="00E627F1">
      <w:pPr>
        <w:pStyle w:val="BodyText2"/>
        <w:numPr>
          <w:ilvl w:val="0"/>
          <w:numId w:val="156"/>
        </w:numPr>
        <w:rPr>
          <w:del w:id="15525" w:author="AbbVie2" w:date="2025-05-14T10:25:00Z"/>
          <w:szCs w:val="22"/>
        </w:rPr>
      </w:pPr>
      <w:del w:id="15526" w:author="AbbVie2" w:date="2025-05-14T10:25:00Z">
        <w:r>
          <w:rPr>
            <w:szCs w:val="22"/>
          </w:rPr>
          <w:delText>Deverá considerar a utilização de</w:delText>
        </w:r>
        <w:r w:rsidRPr="008912CF">
          <w:rPr>
            <w:szCs w:val="22"/>
          </w:rPr>
          <w:delText xml:space="preserve"> um método contracetivo adequado </w:delText>
        </w:r>
        <w:r>
          <w:rPr>
            <w:szCs w:val="22"/>
          </w:rPr>
          <w:delText xml:space="preserve">para evitar </w:delText>
        </w:r>
        <w:r w:rsidR="00FC18F1">
          <w:rPr>
            <w:szCs w:val="22"/>
          </w:rPr>
          <w:delText>a gravidez</w:delText>
        </w:r>
        <w:r>
          <w:rPr>
            <w:szCs w:val="22"/>
          </w:rPr>
          <w:delText xml:space="preserve"> </w:delText>
        </w:r>
        <w:r w:rsidRPr="008912CF">
          <w:rPr>
            <w:szCs w:val="22"/>
          </w:rPr>
          <w:delText xml:space="preserve"> e </w:delText>
        </w:r>
        <w:r w:rsidR="00DD2C89">
          <w:rPr>
            <w:szCs w:val="22"/>
          </w:rPr>
          <w:delText>continua</w:delText>
        </w:r>
        <w:r w:rsidR="00FC18F1">
          <w:rPr>
            <w:szCs w:val="22"/>
          </w:rPr>
          <w:delText>r a utilizá-lo</w:delText>
        </w:r>
        <w:r w:rsidR="00DD2C89">
          <w:rPr>
            <w:szCs w:val="22"/>
          </w:rPr>
          <w:delText xml:space="preserve"> </w:delText>
        </w:r>
        <w:r w:rsidRPr="008912CF">
          <w:rPr>
            <w:szCs w:val="22"/>
          </w:rPr>
          <w:delText xml:space="preserve">durante pelo menos 5 meses após o último tratamento com Humira. </w:delText>
        </w:r>
      </w:del>
    </w:p>
    <w:p w14:paraId="0F00E746" w14:textId="2158DE21" w:rsidR="009311EF" w:rsidRPr="00CA2F11" w:rsidRDefault="00615769" w:rsidP="009311EF">
      <w:pPr>
        <w:pStyle w:val="ListParagraph"/>
        <w:numPr>
          <w:ilvl w:val="0"/>
          <w:numId w:val="153"/>
        </w:numPr>
        <w:rPr>
          <w:del w:id="15527" w:author="AbbVie2" w:date="2025-05-14T10:25:00Z"/>
          <w:sz w:val="22"/>
          <w:szCs w:val="22"/>
        </w:rPr>
      </w:pPr>
      <w:del w:id="15528" w:author="AbbVie2" w:date="2025-05-14T10:25:00Z">
        <w:r w:rsidRPr="00CA2F11">
          <w:rPr>
            <w:sz w:val="22"/>
            <w:szCs w:val="22"/>
          </w:rPr>
          <w:delText>Se est</w:delText>
        </w:r>
        <w:r>
          <w:rPr>
            <w:sz w:val="22"/>
            <w:szCs w:val="22"/>
          </w:rPr>
          <w:delText>á g</w:delText>
        </w:r>
        <w:r w:rsidRPr="00CA2F11">
          <w:rPr>
            <w:sz w:val="22"/>
            <w:szCs w:val="22"/>
          </w:rPr>
          <w:delText>rávida, se pensa que pode estar gr</w:delText>
        </w:r>
        <w:r>
          <w:rPr>
            <w:sz w:val="22"/>
            <w:szCs w:val="22"/>
          </w:rPr>
          <w:delText xml:space="preserve">ávida ou se planeia </w:delText>
        </w:r>
        <w:r w:rsidRPr="00CA2F11">
          <w:rPr>
            <w:sz w:val="22"/>
            <w:szCs w:val="22"/>
          </w:rPr>
          <w:delText>engravidar</w:delText>
        </w:r>
        <w:r>
          <w:rPr>
            <w:sz w:val="22"/>
            <w:szCs w:val="22"/>
          </w:rPr>
          <w:delText>,</w:delText>
        </w:r>
        <w:r w:rsidRPr="00CA2F11">
          <w:rPr>
            <w:sz w:val="22"/>
            <w:szCs w:val="22"/>
          </w:rPr>
          <w:delText xml:space="preserve"> aconselhe-se com o seu médico antes </w:delText>
        </w:r>
        <w:r w:rsidR="002925ED">
          <w:rPr>
            <w:sz w:val="22"/>
            <w:szCs w:val="22"/>
          </w:rPr>
          <w:delText>de</w:delText>
        </w:r>
        <w:r w:rsidRPr="00CA2F11">
          <w:rPr>
            <w:sz w:val="22"/>
            <w:szCs w:val="22"/>
          </w:rPr>
          <w:delText xml:space="preserve"> u</w:delText>
        </w:r>
        <w:r w:rsidR="002925ED">
          <w:rPr>
            <w:sz w:val="22"/>
            <w:szCs w:val="22"/>
          </w:rPr>
          <w:delText>tiliz</w:delText>
        </w:r>
        <w:r w:rsidRPr="00CA2F11">
          <w:rPr>
            <w:sz w:val="22"/>
            <w:szCs w:val="22"/>
          </w:rPr>
          <w:delText>ar esta terapêutica.</w:delText>
        </w:r>
      </w:del>
    </w:p>
    <w:p w14:paraId="30B52DF7" w14:textId="037F675D" w:rsidR="009311EF" w:rsidRDefault="00615769" w:rsidP="009311EF">
      <w:pPr>
        <w:pStyle w:val="ListParagraph"/>
        <w:numPr>
          <w:ilvl w:val="0"/>
          <w:numId w:val="153"/>
        </w:numPr>
        <w:autoSpaceDE w:val="0"/>
        <w:autoSpaceDN w:val="0"/>
        <w:adjustRightInd w:val="0"/>
        <w:rPr>
          <w:del w:id="15529" w:author="AbbVie2" w:date="2025-05-14T10:25:00Z"/>
          <w:sz w:val="22"/>
          <w:szCs w:val="22"/>
        </w:rPr>
      </w:pPr>
      <w:del w:id="15530" w:author="AbbVie2" w:date="2025-05-14T10:25:00Z">
        <w:r w:rsidRPr="00CA2F11">
          <w:rPr>
            <w:sz w:val="22"/>
            <w:szCs w:val="22"/>
          </w:rPr>
          <w:delText xml:space="preserve">Humira </w:delText>
        </w:r>
        <w:r w:rsidR="005D73F4">
          <w:rPr>
            <w:sz w:val="22"/>
            <w:szCs w:val="22"/>
          </w:rPr>
          <w:delText xml:space="preserve">só deve ser utilizado durante </w:delText>
        </w:r>
        <w:r w:rsidRPr="00CA2F11">
          <w:rPr>
            <w:sz w:val="22"/>
            <w:szCs w:val="22"/>
          </w:rPr>
          <w:delText>a gravidez se necessário.</w:delText>
        </w:r>
      </w:del>
    </w:p>
    <w:p w14:paraId="31B125C9" w14:textId="115C7E85" w:rsidR="009311EF" w:rsidRDefault="00615769" w:rsidP="009311EF">
      <w:pPr>
        <w:pStyle w:val="ListParagraph"/>
        <w:numPr>
          <w:ilvl w:val="0"/>
          <w:numId w:val="153"/>
        </w:numPr>
        <w:autoSpaceDE w:val="0"/>
        <w:autoSpaceDN w:val="0"/>
        <w:adjustRightInd w:val="0"/>
        <w:rPr>
          <w:del w:id="15531" w:author="AbbVie2" w:date="2025-05-14T10:25:00Z"/>
          <w:sz w:val="22"/>
          <w:szCs w:val="22"/>
        </w:rPr>
      </w:pPr>
      <w:del w:id="15532" w:author="AbbVie2" w:date="2025-05-14T10:25:00Z">
        <w:r w:rsidRPr="008004F8">
          <w:rPr>
            <w:sz w:val="22"/>
            <w:szCs w:val="22"/>
          </w:rPr>
          <w:delText xml:space="preserve">De acordo com um estudo </w:delText>
        </w:r>
        <w:r w:rsidR="002925ED">
          <w:rPr>
            <w:sz w:val="22"/>
            <w:szCs w:val="22"/>
          </w:rPr>
          <w:delText>na</w:delText>
        </w:r>
        <w:r w:rsidRPr="008004F8">
          <w:rPr>
            <w:sz w:val="22"/>
            <w:szCs w:val="22"/>
          </w:rPr>
          <w:delText xml:space="preserve"> gravidez, não houve risco mais elevado de </w:delText>
        </w:r>
        <w:r>
          <w:rPr>
            <w:sz w:val="22"/>
            <w:szCs w:val="22"/>
          </w:rPr>
          <w:delText>malformações con</w:delText>
        </w:r>
        <w:r w:rsidRPr="008004F8">
          <w:rPr>
            <w:sz w:val="22"/>
            <w:szCs w:val="22"/>
          </w:rPr>
          <w:delText>génit</w:delText>
        </w:r>
        <w:r>
          <w:rPr>
            <w:sz w:val="22"/>
            <w:szCs w:val="22"/>
          </w:rPr>
          <w:delText>as</w:delText>
        </w:r>
        <w:r w:rsidRPr="008004F8">
          <w:rPr>
            <w:sz w:val="22"/>
            <w:szCs w:val="22"/>
          </w:rPr>
          <w:delText xml:space="preserve"> quando a mãe recebeu Humira durante a gravidez, em comparação com mães com a mesma doença que não receberam Humira.</w:delText>
        </w:r>
      </w:del>
    </w:p>
    <w:p w14:paraId="74036DAD" w14:textId="3AB326DE" w:rsidR="009311EF" w:rsidRDefault="00615769" w:rsidP="009311EF">
      <w:pPr>
        <w:pStyle w:val="ListParagraph"/>
        <w:numPr>
          <w:ilvl w:val="0"/>
          <w:numId w:val="153"/>
        </w:numPr>
        <w:autoSpaceDE w:val="0"/>
        <w:autoSpaceDN w:val="0"/>
        <w:adjustRightInd w:val="0"/>
        <w:rPr>
          <w:del w:id="15533" w:author="AbbVie2" w:date="2025-05-14T10:25:00Z"/>
          <w:sz w:val="22"/>
          <w:szCs w:val="22"/>
        </w:rPr>
      </w:pPr>
      <w:del w:id="15534" w:author="AbbVie2" w:date="2025-05-14T10:25:00Z">
        <w:r>
          <w:rPr>
            <w:sz w:val="22"/>
            <w:szCs w:val="22"/>
          </w:rPr>
          <w:delText>Humira pode ser utilizado durante a amamentação.</w:delText>
        </w:r>
      </w:del>
    </w:p>
    <w:p w14:paraId="42938800" w14:textId="279042D1" w:rsidR="009311EF" w:rsidRDefault="00615769" w:rsidP="00E627F1">
      <w:pPr>
        <w:pStyle w:val="ListParagraph"/>
        <w:numPr>
          <w:ilvl w:val="0"/>
          <w:numId w:val="157"/>
        </w:numPr>
        <w:ind w:right="-2"/>
        <w:rPr>
          <w:del w:id="15535" w:author="AbbVie2" w:date="2025-05-14T10:25:00Z"/>
          <w:sz w:val="22"/>
          <w:szCs w:val="22"/>
        </w:rPr>
      </w:pPr>
      <w:del w:id="15536" w:author="AbbVie2" w:date="2025-05-14T10:25:00Z">
        <w:r w:rsidRPr="00E627F1">
          <w:rPr>
            <w:sz w:val="22"/>
            <w:szCs w:val="22"/>
          </w:rPr>
          <w:delText>Se durante a sua gravidez utiliz</w:delText>
        </w:r>
        <w:r w:rsidR="00767DE3">
          <w:rPr>
            <w:sz w:val="22"/>
            <w:szCs w:val="22"/>
          </w:rPr>
          <w:delText>ar</w:delText>
        </w:r>
        <w:r w:rsidRPr="00E627F1">
          <w:rPr>
            <w:sz w:val="22"/>
            <w:szCs w:val="22"/>
          </w:rPr>
          <w:delText xml:space="preserve"> Humira, o seu bebé pode ter um risco superior de ter uma infeção. </w:delText>
        </w:r>
      </w:del>
    </w:p>
    <w:p w14:paraId="30D52F1C" w14:textId="0CC4D8CA" w:rsidR="004462A0" w:rsidRPr="008912CF" w:rsidRDefault="00615769" w:rsidP="00E627F1">
      <w:pPr>
        <w:pStyle w:val="ListParagraph"/>
        <w:numPr>
          <w:ilvl w:val="0"/>
          <w:numId w:val="157"/>
        </w:numPr>
        <w:ind w:right="-2"/>
        <w:rPr>
          <w:del w:id="15537" w:author="AbbVie2" w:date="2025-05-14T10:25:00Z"/>
        </w:rPr>
      </w:pPr>
      <w:del w:id="15538" w:author="AbbVie2" w:date="2025-05-14T10:25:00Z">
        <w:r w:rsidRPr="00E627F1">
          <w:rPr>
            <w:sz w:val="22"/>
            <w:szCs w:val="22"/>
          </w:rPr>
          <w:delText>É importante que diga ao médico do seu bebé e a outros profissionais de saúde que usou Humira durante a sua gravidez antes que o seu bebé tome qualquer vacina</w:delText>
        </w:r>
        <w:r w:rsidR="00767DE3">
          <w:rPr>
            <w:sz w:val="22"/>
            <w:szCs w:val="22"/>
          </w:rPr>
          <w:delText>.</w:delText>
        </w:r>
        <w:r w:rsidRPr="00E627F1">
          <w:rPr>
            <w:sz w:val="22"/>
            <w:szCs w:val="22"/>
          </w:rPr>
          <w:delText xml:space="preserve"> </w:delText>
        </w:r>
        <w:r w:rsidR="00767DE3">
          <w:rPr>
            <w:sz w:val="22"/>
            <w:szCs w:val="22"/>
          </w:rPr>
          <w:delText>P</w:delText>
        </w:r>
        <w:r w:rsidRPr="00E627F1">
          <w:rPr>
            <w:sz w:val="22"/>
            <w:szCs w:val="22"/>
          </w:rPr>
          <w:delText xml:space="preserve">ara mais informação </w:delText>
        </w:r>
        <w:r w:rsidR="009311EF">
          <w:rPr>
            <w:sz w:val="22"/>
            <w:szCs w:val="22"/>
          </w:rPr>
          <w:delText xml:space="preserve">sobre vacinação, </w:delText>
        </w:r>
        <w:r w:rsidRPr="00E627F1">
          <w:rPr>
            <w:sz w:val="22"/>
            <w:szCs w:val="22"/>
          </w:rPr>
          <w:delText xml:space="preserve">ver secção </w:delText>
        </w:r>
        <w:r w:rsidR="009311EF">
          <w:rPr>
            <w:sz w:val="22"/>
            <w:szCs w:val="22"/>
          </w:rPr>
          <w:delText>“Advertências e precauções”</w:delText>
        </w:r>
        <w:r w:rsidRPr="00E627F1">
          <w:rPr>
            <w:sz w:val="22"/>
            <w:szCs w:val="22"/>
          </w:rPr>
          <w:delText>.</w:delText>
        </w:r>
      </w:del>
    </w:p>
    <w:p w14:paraId="7D7D071B" w14:textId="76BD7593" w:rsidR="004462A0" w:rsidRPr="008912CF" w:rsidRDefault="004462A0" w:rsidP="004462A0">
      <w:pPr>
        <w:rPr>
          <w:del w:id="15539" w:author="AbbVie2" w:date="2025-05-14T10:25:00Z"/>
        </w:rPr>
      </w:pPr>
    </w:p>
    <w:p w14:paraId="40869104" w14:textId="105CA4CC" w:rsidR="004462A0" w:rsidRPr="008912CF" w:rsidRDefault="00615769" w:rsidP="004462A0">
      <w:pPr>
        <w:pStyle w:val="Heading8"/>
        <w:keepNext w:val="0"/>
        <w:rPr>
          <w:del w:id="15540" w:author="AbbVie2" w:date="2025-05-14T10:25:00Z"/>
          <w:szCs w:val="22"/>
        </w:rPr>
      </w:pPr>
      <w:del w:id="15541" w:author="AbbVie2" w:date="2025-05-14T10:25:00Z">
        <w:r w:rsidRPr="008912CF">
          <w:rPr>
            <w:szCs w:val="22"/>
          </w:rPr>
          <w:delText>Condução de veículos e utilização de máquinas</w:delText>
        </w:r>
      </w:del>
    </w:p>
    <w:p w14:paraId="05762A30" w14:textId="4D2AEC8B" w:rsidR="004462A0" w:rsidRPr="008912CF" w:rsidRDefault="004462A0" w:rsidP="004462A0">
      <w:pPr>
        <w:ind w:right="-2"/>
        <w:rPr>
          <w:del w:id="15542" w:author="AbbVie2" w:date="2025-05-14T10:25:00Z"/>
          <w:sz w:val="22"/>
          <w:szCs w:val="22"/>
        </w:rPr>
      </w:pPr>
    </w:p>
    <w:p w14:paraId="213D1DD9" w14:textId="4F9DC7FC" w:rsidR="004462A0" w:rsidRPr="008912CF" w:rsidRDefault="00615769" w:rsidP="004462A0">
      <w:pPr>
        <w:ind w:right="-2"/>
        <w:rPr>
          <w:del w:id="15543" w:author="AbbVie2" w:date="2025-05-14T10:25:00Z"/>
          <w:sz w:val="22"/>
          <w:szCs w:val="22"/>
        </w:rPr>
      </w:pPr>
      <w:del w:id="15544" w:author="AbbVie2" w:date="2025-05-14T10:25:00Z">
        <w:r w:rsidRPr="008912CF">
          <w:rPr>
            <w:sz w:val="22"/>
            <w:szCs w:val="22"/>
          </w:rPr>
          <w:delText xml:space="preserve">Humira pode ter uma pequena influência na sua capacidade de conduzir, andar de bicicleta ou utilizar máquinas. Depois de tomar Humira pode ter vertigens e alterações da visão. </w:delText>
        </w:r>
      </w:del>
    </w:p>
    <w:p w14:paraId="40AEE054" w14:textId="730DEED4" w:rsidR="004462A0" w:rsidRPr="008912CF" w:rsidRDefault="004462A0" w:rsidP="004462A0">
      <w:pPr>
        <w:ind w:right="-2"/>
        <w:rPr>
          <w:del w:id="15545" w:author="AbbVie2" w:date="2025-05-14T10:25:00Z"/>
          <w:sz w:val="22"/>
          <w:szCs w:val="22"/>
        </w:rPr>
      </w:pPr>
    </w:p>
    <w:p w14:paraId="0FE0CFD5" w14:textId="50482493" w:rsidR="004362CE" w:rsidRPr="00E51FCC" w:rsidRDefault="00615769" w:rsidP="004362CE">
      <w:pPr>
        <w:ind w:right="-2"/>
        <w:rPr>
          <w:del w:id="15546" w:author="AbbVie2" w:date="2025-05-14T10:25:00Z"/>
          <w:b/>
          <w:sz w:val="22"/>
          <w:szCs w:val="22"/>
        </w:rPr>
      </w:pPr>
      <w:del w:id="15547" w:author="AbbVie2" w:date="2025-05-14T10:25:00Z">
        <w:r w:rsidRPr="00E51FCC">
          <w:rPr>
            <w:b/>
            <w:sz w:val="22"/>
            <w:szCs w:val="22"/>
          </w:rPr>
          <w:delText>Humira contém sódio</w:delText>
        </w:r>
      </w:del>
    </w:p>
    <w:p w14:paraId="3E91E5A3" w14:textId="7AAFEB59" w:rsidR="004362CE" w:rsidRDefault="004362CE" w:rsidP="004362CE">
      <w:pPr>
        <w:ind w:right="-2"/>
        <w:rPr>
          <w:del w:id="15548" w:author="AbbVie2" w:date="2025-05-14T10:25:00Z"/>
          <w:sz w:val="22"/>
          <w:szCs w:val="22"/>
        </w:rPr>
      </w:pPr>
    </w:p>
    <w:p w14:paraId="7E236E16" w14:textId="09FBDACA" w:rsidR="004362CE" w:rsidRPr="008912CF" w:rsidRDefault="00615769" w:rsidP="004362CE">
      <w:pPr>
        <w:rPr>
          <w:del w:id="15549" w:author="AbbVie2" w:date="2025-05-14T10:25:00Z"/>
          <w:iCs/>
          <w:sz w:val="22"/>
          <w:szCs w:val="22"/>
        </w:rPr>
      </w:pPr>
      <w:del w:id="15550" w:author="AbbVie2" w:date="2025-05-14T10:25:00Z">
        <w:r>
          <w:rPr>
            <w:iCs/>
            <w:sz w:val="22"/>
            <w:szCs w:val="22"/>
          </w:rPr>
          <w:delText>Este medicamento contém menos de 1 mmol de sódio (23 mg) por dose de 0,8 ml, praticamente “isento de sódio”.</w:delText>
        </w:r>
      </w:del>
    </w:p>
    <w:p w14:paraId="304333F6" w14:textId="1E053F64" w:rsidR="004462A0" w:rsidRPr="008912CF" w:rsidRDefault="004462A0" w:rsidP="004462A0">
      <w:pPr>
        <w:ind w:right="-2"/>
        <w:rPr>
          <w:del w:id="15551" w:author="AbbVie2" w:date="2025-05-14T10:25:00Z"/>
          <w:sz w:val="22"/>
          <w:szCs w:val="22"/>
        </w:rPr>
      </w:pPr>
    </w:p>
    <w:p w14:paraId="1D2D227C" w14:textId="0608F5A7" w:rsidR="004462A0" w:rsidRPr="008912CF" w:rsidRDefault="00615769" w:rsidP="004462A0">
      <w:pPr>
        <w:ind w:left="567" w:right="-2" w:hanging="567"/>
        <w:rPr>
          <w:del w:id="15552" w:author="AbbVie2" w:date="2025-05-14T10:25:00Z"/>
          <w:sz w:val="22"/>
          <w:szCs w:val="22"/>
        </w:rPr>
      </w:pPr>
      <w:del w:id="15553" w:author="AbbVie2" w:date="2025-05-14T10:25:00Z">
        <w:r w:rsidRPr="008912CF">
          <w:rPr>
            <w:b/>
            <w:sz w:val="22"/>
            <w:szCs w:val="22"/>
          </w:rPr>
          <w:delText>3.</w:delText>
        </w:r>
        <w:r w:rsidRPr="008912CF">
          <w:rPr>
            <w:b/>
            <w:sz w:val="22"/>
            <w:szCs w:val="22"/>
          </w:rPr>
          <w:tab/>
          <w:delText>Como utilizar Humira</w:delText>
        </w:r>
      </w:del>
    </w:p>
    <w:p w14:paraId="6790B8C6" w14:textId="20C4C975" w:rsidR="004462A0" w:rsidRPr="008912CF" w:rsidRDefault="004462A0" w:rsidP="004462A0">
      <w:pPr>
        <w:ind w:right="-2"/>
        <w:rPr>
          <w:del w:id="15554" w:author="AbbVie2" w:date="2025-05-14T10:25:00Z"/>
          <w:sz w:val="22"/>
          <w:szCs w:val="22"/>
        </w:rPr>
      </w:pPr>
    </w:p>
    <w:p w14:paraId="360D79F1" w14:textId="4678F973" w:rsidR="004462A0" w:rsidRPr="008912CF" w:rsidRDefault="00615769" w:rsidP="004462A0">
      <w:pPr>
        <w:ind w:right="-2"/>
        <w:rPr>
          <w:del w:id="15555" w:author="AbbVie2" w:date="2025-05-14T10:25:00Z"/>
          <w:sz w:val="22"/>
          <w:szCs w:val="22"/>
        </w:rPr>
      </w:pPr>
      <w:del w:id="15556" w:author="AbbVie2" w:date="2025-05-14T10:25:00Z">
        <w:r w:rsidRPr="008912CF">
          <w:rPr>
            <w:sz w:val="22"/>
            <w:szCs w:val="22"/>
          </w:rPr>
          <w:delText>Utilize este medicamento exatamente como indicado pelo seu médico ou farmacêutico. Fale com o seu médico ou farmacêutico se tiver dúvidas.</w:delText>
        </w:r>
        <w:r w:rsidR="004362CE">
          <w:rPr>
            <w:sz w:val="22"/>
            <w:szCs w:val="22"/>
          </w:rPr>
          <w:delText xml:space="preserve"> O seu médico </w:delText>
        </w:r>
        <w:r w:rsidR="004362CE" w:rsidRPr="008912CF">
          <w:rPr>
            <w:bCs/>
            <w:sz w:val="22"/>
            <w:szCs w:val="22"/>
          </w:rPr>
          <w:delText xml:space="preserve">pode prescrever uma dose </w:delText>
        </w:r>
        <w:r w:rsidR="004362CE">
          <w:rPr>
            <w:bCs/>
            <w:sz w:val="22"/>
            <w:szCs w:val="22"/>
          </w:rPr>
          <w:delText xml:space="preserve">diferente de Humira de acordo com as </w:delText>
        </w:r>
        <w:r w:rsidR="00041FA6">
          <w:rPr>
            <w:bCs/>
            <w:sz w:val="22"/>
            <w:szCs w:val="22"/>
          </w:rPr>
          <w:delText xml:space="preserve">suas </w:delText>
        </w:r>
        <w:r w:rsidR="004362CE">
          <w:rPr>
            <w:bCs/>
            <w:sz w:val="22"/>
            <w:szCs w:val="22"/>
          </w:rPr>
          <w:delText>necessidades.</w:delText>
        </w:r>
      </w:del>
    </w:p>
    <w:p w14:paraId="3E0BEF9D" w14:textId="2A067F74" w:rsidR="004462A0" w:rsidRPr="008912CF" w:rsidRDefault="004462A0" w:rsidP="004462A0">
      <w:pPr>
        <w:ind w:right="-2"/>
        <w:rPr>
          <w:del w:id="15557" w:author="AbbVie2" w:date="2025-05-14T10:25:00Z"/>
          <w:szCs w:val="22"/>
        </w:rPr>
      </w:pPr>
    </w:p>
    <w:p w14:paraId="6AF42470" w14:textId="7C346737" w:rsidR="004462A0" w:rsidRPr="008912CF" w:rsidRDefault="00615769" w:rsidP="004462A0">
      <w:pPr>
        <w:ind w:right="-2"/>
        <w:rPr>
          <w:del w:id="15558" w:author="AbbVie2" w:date="2025-05-14T10:25:00Z"/>
          <w:szCs w:val="22"/>
        </w:rPr>
      </w:pPr>
      <w:del w:id="15559" w:author="AbbVie2" w:date="2025-05-14T10:25:00Z">
        <w:r w:rsidRPr="008912CF">
          <w:rPr>
            <w:sz w:val="22"/>
            <w:szCs w:val="22"/>
            <w:u w:val="single"/>
          </w:rPr>
          <w:delText>Adultos com artrite reumatoide, artrite psoriática, espondilite anquilosante ou espondilartrite axial sem evidência radiográfica de espondilite anquilosante</w:delText>
        </w:r>
      </w:del>
    </w:p>
    <w:p w14:paraId="3326C4B0" w14:textId="0168B27A" w:rsidR="004462A0" w:rsidRPr="008912CF" w:rsidRDefault="004462A0" w:rsidP="004462A0">
      <w:pPr>
        <w:ind w:right="-2"/>
        <w:rPr>
          <w:del w:id="15560" w:author="AbbVie2" w:date="2025-05-14T10:25:00Z"/>
          <w:szCs w:val="22"/>
        </w:rPr>
      </w:pPr>
    </w:p>
    <w:p w14:paraId="71547245" w14:textId="45184017" w:rsidR="004462A0" w:rsidRPr="008912CF" w:rsidRDefault="00615769" w:rsidP="004462A0">
      <w:pPr>
        <w:pStyle w:val="BodyText3"/>
        <w:rPr>
          <w:del w:id="15561" w:author="AbbVie2" w:date="2025-05-14T10:25:00Z"/>
          <w:szCs w:val="22"/>
        </w:rPr>
      </w:pPr>
      <w:del w:id="15562" w:author="AbbVie2" w:date="2025-05-14T10:25:00Z">
        <w:r w:rsidRPr="008912CF">
          <w:rPr>
            <w:szCs w:val="22"/>
          </w:rPr>
          <w:delText xml:space="preserve">Humira é injetado debaixo da pele (via subcutânea). A dose habitual em adultos com artrite reumatoide, espondilite anquilosante, espondilartrite axial sem evidência radiográfica de espondilite anquilosante e em doentes com artrite psoriática é de 40 mg de adalimumab administrada em semanas alternadas, numa dose única.  </w:delText>
        </w:r>
      </w:del>
    </w:p>
    <w:p w14:paraId="4FB0B534" w14:textId="4E5F900E" w:rsidR="004462A0" w:rsidRPr="008912CF" w:rsidRDefault="004462A0" w:rsidP="004462A0">
      <w:pPr>
        <w:ind w:right="-2"/>
        <w:rPr>
          <w:del w:id="15563" w:author="AbbVie2" w:date="2025-05-14T10:25:00Z"/>
          <w:sz w:val="22"/>
          <w:szCs w:val="22"/>
        </w:rPr>
      </w:pPr>
    </w:p>
    <w:p w14:paraId="49247AB6" w14:textId="2BD44770" w:rsidR="004462A0" w:rsidRPr="008912CF" w:rsidRDefault="00615769" w:rsidP="004462A0">
      <w:pPr>
        <w:pStyle w:val="BodyText3"/>
        <w:rPr>
          <w:del w:id="15564" w:author="AbbVie2" w:date="2025-05-14T10:25:00Z"/>
          <w:szCs w:val="22"/>
        </w:rPr>
      </w:pPr>
      <w:del w:id="15565" w:author="AbbVie2" w:date="2025-05-14T10:25:00Z">
        <w:r w:rsidRPr="008912CF">
          <w:rPr>
            <w:szCs w:val="22"/>
          </w:rPr>
          <w:delText>Na artrite reumatoide, metotrexato continua a ser utilizado enquanto se usa Humira. Se o seu médico considerar que metotrexato não é adequado, Humira pode ser usado isoladamente.</w:delText>
        </w:r>
      </w:del>
    </w:p>
    <w:p w14:paraId="17846466" w14:textId="09C55FF8" w:rsidR="004462A0" w:rsidRPr="008912CF" w:rsidRDefault="004462A0" w:rsidP="004462A0">
      <w:pPr>
        <w:ind w:right="-2"/>
        <w:rPr>
          <w:del w:id="15566" w:author="AbbVie2" w:date="2025-05-14T10:25:00Z"/>
          <w:sz w:val="22"/>
          <w:szCs w:val="22"/>
        </w:rPr>
      </w:pPr>
    </w:p>
    <w:p w14:paraId="4D0C4D15" w14:textId="763BC51F" w:rsidR="004462A0" w:rsidRPr="008912CF" w:rsidRDefault="00615769" w:rsidP="004462A0">
      <w:pPr>
        <w:ind w:right="-2"/>
        <w:rPr>
          <w:del w:id="15567" w:author="AbbVie2" w:date="2025-05-14T10:25:00Z"/>
          <w:sz w:val="22"/>
          <w:szCs w:val="22"/>
        </w:rPr>
      </w:pPr>
      <w:del w:id="15568" w:author="AbbVie2" w:date="2025-05-14T10:25:00Z">
        <w:r w:rsidRPr="008912CF">
          <w:rPr>
            <w:sz w:val="22"/>
            <w:szCs w:val="22"/>
          </w:rPr>
          <w:delText>Se tem artrite reumatoide e não usar metotrexato conjuntamente com Humira, o seu médico pode decidir administrar 40 mg de adalimumab semanalmente</w:delText>
        </w:r>
        <w:r w:rsidR="00751F0E">
          <w:rPr>
            <w:sz w:val="22"/>
            <w:szCs w:val="22"/>
          </w:rPr>
          <w:delText xml:space="preserve"> ou 80 mg em semanas alternadas</w:delText>
        </w:r>
        <w:r w:rsidRPr="008912CF">
          <w:rPr>
            <w:sz w:val="22"/>
            <w:szCs w:val="22"/>
          </w:rPr>
          <w:delText>.</w:delText>
        </w:r>
      </w:del>
    </w:p>
    <w:p w14:paraId="6BF60906" w14:textId="6E0630EB" w:rsidR="004462A0" w:rsidRPr="008912CF" w:rsidRDefault="004462A0" w:rsidP="004462A0">
      <w:pPr>
        <w:ind w:right="-2"/>
        <w:rPr>
          <w:del w:id="15569" w:author="AbbVie2" w:date="2025-05-14T10:25:00Z"/>
          <w:sz w:val="22"/>
          <w:szCs w:val="22"/>
        </w:rPr>
      </w:pPr>
    </w:p>
    <w:p w14:paraId="58C528AF" w14:textId="2CC7FF83" w:rsidR="004462A0" w:rsidRPr="008912CF" w:rsidRDefault="00615769" w:rsidP="004462A0">
      <w:pPr>
        <w:ind w:right="-2"/>
        <w:rPr>
          <w:del w:id="15570" w:author="AbbVie2" w:date="2025-05-14T10:25:00Z"/>
          <w:sz w:val="22"/>
          <w:szCs w:val="22"/>
          <w:u w:val="single"/>
        </w:rPr>
      </w:pPr>
      <w:del w:id="15571" w:author="AbbVie2" w:date="2025-05-14T10:25:00Z">
        <w:r w:rsidRPr="008912CF">
          <w:rPr>
            <w:sz w:val="22"/>
            <w:szCs w:val="22"/>
            <w:u w:val="single"/>
          </w:rPr>
          <w:delText>Crianças</w:delText>
        </w:r>
        <w:r w:rsidR="00967D33">
          <w:rPr>
            <w:sz w:val="22"/>
            <w:szCs w:val="22"/>
            <w:u w:val="single"/>
          </w:rPr>
          <w:delText>, adolescentes e adultos</w:delText>
        </w:r>
        <w:r w:rsidRPr="008912CF">
          <w:rPr>
            <w:sz w:val="22"/>
            <w:szCs w:val="22"/>
            <w:u w:val="single"/>
          </w:rPr>
          <w:delText xml:space="preserve"> com artrite idiopática juvenil poliarticular</w:delText>
        </w:r>
      </w:del>
    </w:p>
    <w:p w14:paraId="1EB6A502" w14:textId="0FA1FF90" w:rsidR="004462A0" w:rsidRPr="008912CF" w:rsidRDefault="004462A0" w:rsidP="004462A0">
      <w:pPr>
        <w:ind w:right="-2"/>
        <w:rPr>
          <w:del w:id="15572" w:author="AbbVie2" w:date="2025-05-14T10:25:00Z"/>
          <w:sz w:val="22"/>
          <w:szCs w:val="22"/>
        </w:rPr>
      </w:pPr>
    </w:p>
    <w:p w14:paraId="5FE4F2A0" w14:textId="7CFB3B62" w:rsidR="00967D33" w:rsidRPr="00F03C54" w:rsidRDefault="00615769" w:rsidP="004462A0">
      <w:pPr>
        <w:pStyle w:val="BodyText3"/>
        <w:rPr>
          <w:del w:id="15573" w:author="AbbVie2" w:date="2025-05-14T10:25:00Z"/>
          <w:i/>
          <w:szCs w:val="22"/>
        </w:rPr>
      </w:pPr>
      <w:del w:id="15574" w:author="AbbVie2" w:date="2025-05-14T10:25:00Z">
        <w:r w:rsidRPr="00F03C54">
          <w:rPr>
            <w:i/>
            <w:szCs w:val="22"/>
          </w:rPr>
          <w:delText xml:space="preserve">Crianças e adolescentes a partir dos </w:delText>
        </w:r>
        <w:r w:rsidR="001126E0">
          <w:rPr>
            <w:i/>
            <w:szCs w:val="22"/>
          </w:rPr>
          <w:delText>2</w:delText>
        </w:r>
        <w:r w:rsidRPr="00F03C54">
          <w:rPr>
            <w:i/>
            <w:szCs w:val="22"/>
          </w:rPr>
          <w:delText xml:space="preserve"> anos de idade</w:delText>
        </w:r>
        <w:r w:rsidR="003B5C55" w:rsidRPr="00F03C54">
          <w:rPr>
            <w:i/>
            <w:szCs w:val="22"/>
          </w:rPr>
          <w:delText xml:space="preserve"> com peso igual a 10 kg ou inferior a 30 kg</w:delText>
        </w:r>
      </w:del>
    </w:p>
    <w:p w14:paraId="6D3CC71A" w14:textId="4D22215A" w:rsidR="003B5C55" w:rsidRDefault="003B5C55" w:rsidP="004462A0">
      <w:pPr>
        <w:pStyle w:val="BodyText3"/>
        <w:rPr>
          <w:del w:id="15575" w:author="AbbVie2" w:date="2025-05-14T10:25:00Z"/>
          <w:szCs w:val="22"/>
        </w:rPr>
      </w:pPr>
    </w:p>
    <w:p w14:paraId="4FAF2EA0" w14:textId="3D6BC2C5" w:rsidR="003B5C55" w:rsidRDefault="00615769" w:rsidP="004462A0">
      <w:pPr>
        <w:pStyle w:val="BodyText3"/>
        <w:rPr>
          <w:del w:id="15576" w:author="AbbVie2" w:date="2025-05-14T10:25:00Z"/>
          <w:szCs w:val="22"/>
        </w:rPr>
      </w:pPr>
      <w:del w:id="15577" w:author="AbbVie2" w:date="2025-05-14T10:25:00Z">
        <w:r>
          <w:rPr>
            <w:szCs w:val="22"/>
          </w:rPr>
          <w:delText>A dose recomendada de Humira é de 20 mg em semanas alternadas.</w:delText>
        </w:r>
      </w:del>
    </w:p>
    <w:p w14:paraId="0E9C8579" w14:textId="6A1BD668" w:rsidR="003B5C55" w:rsidRDefault="003B5C55" w:rsidP="004462A0">
      <w:pPr>
        <w:pStyle w:val="BodyText3"/>
        <w:rPr>
          <w:del w:id="15578" w:author="AbbVie2" w:date="2025-05-14T10:25:00Z"/>
          <w:szCs w:val="22"/>
        </w:rPr>
      </w:pPr>
    </w:p>
    <w:p w14:paraId="25B9222A" w14:textId="40F9BD39" w:rsidR="003B5C55" w:rsidRPr="00E51FCC" w:rsidRDefault="00615769" w:rsidP="003B5C55">
      <w:pPr>
        <w:pStyle w:val="BodyText3"/>
        <w:rPr>
          <w:del w:id="15579" w:author="AbbVie2" w:date="2025-05-14T10:25:00Z"/>
          <w:i/>
          <w:szCs w:val="22"/>
        </w:rPr>
      </w:pPr>
      <w:del w:id="15580" w:author="AbbVie2" w:date="2025-05-14T10:25:00Z">
        <w:r w:rsidRPr="00E51FCC">
          <w:rPr>
            <w:i/>
            <w:szCs w:val="22"/>
          </w:rPr>
          <w:delText xml:space="preserve">Crianças e adolescentes a partir dos </w:delText>
        </w:r>
        <w:r w:rsidR="001126E0">
          <w:rPr>
            <w:i/>
            <w:szCs w:val="22"/>
          </w:rPr>
          <w:delText>2</w:delText>
        </w:r>
        <w:r w:rsidRPr="00E51FCC">
          <w:rPr>
            <w:i/>
            <w:szCs w:val="22"/>
          </w:rPr>
          <w:delText xml:space="preserve"> anos de idade com peso igual ou </w:delText>
        </w:r>
        <w:r>
          <w:rPr>
            <w:i/>
            <w:szCs w:val="22"/>
          </w:rPr>
          <w:delText xml:space="preserve">superior </w:delText>
        </w:r>
        <w:r w:rsidRPr="00E51FCC">
          <w:rPr>
            <w:i/>
            <w:szCs w:val="22"/>
          </w:rPr>
          <w:delText>a 30 kg</w:delText>
        </w:r>
      </w:del>
    </w:p>
    <w:p w14:paraId="4A60695E" w14:textId="47DD1603" w:rsidR="003B5C55" w:rsidRDefault="003B5C55" w:rsidP="003B5C55">
      <w:pPr>
        <w:pStyle w:val="BodyText3"/>
        <w:rPr>
          <w:del w:id="15581" w:author="AbbVie2" w:date="2025-05-14T10:25:00Z"/>
          <w:szCs w:val="22"/>
        </w:rPr>
      </w:pPr>
    </w:p>
    <w:p w14:paraId="6FB71941" w14:textId="79ED4970" w:rsidR="003B5C55" w:rsidRDefault="00615769" w:rsidP="003B5C55">
      <w:pPr>
        <w:pStyle w:val="BodyText3"/>
        <w:rPr>
          <w:del w:id="15582" w:author="AbbVie2" w:date="2025-05-14T10:25:00Z"/>
          <w:szCs w:val="22"/>
        </w:rPr>
      </w:pPr>
      <w:del w:id="15583" w:author="AbbVie2" w:date="2025-05-14T10:25:00Z">
        <w:r>
          <w:rPr>
            <w:szCs w:val="22"/>
          </w:rPr>
          <w:delText>A dose recomendada de Humira é de 40 mg em semanas alternadas.</w:delText>
        </w:r>
      </w:del>
    </w:p>
    <w:p w14:paraId="5E50D835" w14:textId="1F274640" w:rsidR="003B5C55" w:rsidRPr="008912CF" w:rsidRDefault="003B5C55" w:rsidP="004462A0">
      <w:pPr>
        <w:ind w:right="-2"/>
        <w:rPr>
          <w:del w:id="15584" w:author="AbbVie2" w:date="2025-05-14T10:25:00Z"/>
          <w:sz w:val="22"/>
          <w:szCs w:val="22"/>
        </w:rPr>
      </w:pPr>
    </w:p>
    <w:p w14:paraId="5E83645C" w14:textId="4D78227A" w:rsidR="004462A0" w:rsidRPr="008912CF" w:rsidRDefault="00615769" w:rsidP="004462A0">
      <w:pPr>
        <w:ind w:right="-2"/>
        <w:rPr>
          <w:del w:id="15585" w:author="AbbVie2" w:date="2025-05-14T10:25:00Z"/>
          <w:sz w:val="22"/>
          <w:szCs w:val="22"/>
          <w:u w:val="single"/>
        </w:rPr>
      </w:pPr>
      <w:del w:id="15586" w:author="AbbVie2" w:date="2025-05-14T10:25:00Z">
        <w:r w:rsidRPr="008912CF">
          <w:rPr>
            <w:sz w:val="22"/>
            <w:szCs w:val="22"/>
            <w:u w:val="single"/>
          </w:rPr>
          <w:delText>Crianças</w:delText>
        </w:r>
        <w:r w:rsidR="003B5C55">
          <w:rPr>
            <w:sz w:val="22"/>
            <w:szCs w:val="22"/>
            <w:u w:val="single"/>
          </w:rPr>
          <w:delText>, adolescentes e adultos</w:delText>
        </w:r>
        <w:r w:rsidRPr="008912CF">
          <w:rPr>
            <w:sz w:val="22"/>
            <w:szCs w:val="22"/>
            <w:u w:val="single"/>
          </w:rPr>
          <w:delText xml:space="preserve"> com artrite relacionada com entesite</w:delText>
        </w:r>
      </w:del>
    </w:p>
    <w:p w14:paraId="71AE07F8" w14:textId="14CF8FDE" w:rsidR="003B5C55" w:rsidRDefault="003B5C55" w:rsidP="003B5C55">
      <w:pPr>
        <w:pStyle w:val="BodyText3"/>
        <w:rPr>
          <w:del w:id="15587" w:author="AbbVie2" w:date="2025-05-14T10:25:00Z"/>
          <w:i/>
          <w:szCs w:val="22"/>
        </w:rPr>
      </w:pPr>
    </w:p>
    <w:p w14:paraId="3C749A2C" w14:textId="689BA09C" w:rsidR="003B5C55" w:rsidRPr="00E51FCC" w:rsidRDefault="00615769" w:rsidP="003B5C55">
      <w:pPr>
        <w:pStyle w:val="BodyText3"/>
        <w:rPr>
          <w:del w:id="15588" w:author="AbbVie2" w:date="2025-05-14T10:25:00Z"/>
          <w:i/>
          <w:szCs w:val="22"/>
        </w:rPr>
      </w:pPr>
      <w:del w:id="15589" w:author="AbbVie2" w:date="2025-05-14T10:25:00Z">
        <w:r w:rsidRPr="00E51FCC">
          <w:rPr>
            <w:i/>
            <w:szCs w:val="22"/>
          </w:rPr>
          <w:delText xml:space="preserve">Crianças e adolescentes a partir dos </w:delText>
        </w:r>
        <w:r w:rsidR="001126E0">
          <w:rPr>
            <w:i/>
            <w:szCs w:val="22"/>
          </w:rPr>
          <w:delText>6</w:delText>
        </w:r>
        <w:r w:rsidRPr="00E51FCC">
          <w:rPr>
            <w:i/>
            <w:szCs w:val="22"/>
          </w:rPr>
          <w:delText xml:space="preserve"> anos de idade com peso igual a 1</w:delText>
        </w:r>
        <w:r w:rsidR="001126E0">
          <w:rPr>
            <w:i/>
            <w:szCs w:val="22"/>
          </w:rPr>
          <w:delText>5</w:delText>
        </w:r>
        <w:r w:rsidRPr="00E51FCC">
          <w:rPr>
            <w:i/>
            <w:szCs w:val="22"/>
          </w:rPr>
          <w:delText xml:space="preserve"> kg ou inferior a 30 kg</w:delText>
        </w:r>
      </w:del>
    </w:p>
    <w:p w14:paraId="604B652C" w14:textId="356D7E54" w:rsidR="004462A0" w:rsidRDefault="004462A0" w:rsidP="004462A0">
      <w:pPr>
        <w:ind w:right="-2"/>
        <w:rPr>
          <w:del w:id="15590" w:author="AbbVie2" w:date="2025-05-14T10:25:00Z"/>
          <w:sz w:val="22"/>
          <w:szCs w:val="22"/>
        </w:rPr>
      </w:pPr>
    </w:p>
    <w:p w14:paraId="477524FF" w14:textId="02BA0C78" w:rsidR="001126E0" w:rsidRDefault="00615769" w:rsidP="001126E0">
      <w:pPr>
        <w:pStyle w:val="BodyText3"/>
        <w:rPr>
          <w:del w:id="15591" w:author="AbbVie2" w:date="2025-05-14T10:25:00Z"/>
          <w:szCs w:val="22"/>
        </w:rPr>
      </w:pPr>
      <w:del w:id="15592" w:author="AbbVie2" w:date="2025-05-14T10:25:00Z">
        <w:r>
          <w:rPr>
            <w:szCs w:val="22"/>
          </w:rPr>
          <w:delText>A dose recomendada de Humira é de 20 mg em semanas alternadas.</w:delText>
        </w:r>
      </w:del>
    </w:p>
    <w:p w14:paraId="74192692" w14:textId="367D1915" w:rsidR="003B5C55" w:rsidRDefault="003B5C55" w:rsidP="004462A0">
      <w:pPr>
        <w:ind w:right="-2"/>
        <w:rPr>
          <w:del w:id="15593" w:author="AbbVie2" w:date="2025-05-14T10:25:00Z"/>
          <w:sz w:val="22"/>
          <w:szCs w:val="22"/>
        </w:rPr>
      </w:pPr>
    </w:p>
    <w:p w14:paraId="03E9AA60" w14:textId="6E1EE932" w:rsidR="001126E0" w:rsidRPr="00E51FCC" w:rsidRDefault="00615769" w:rsidP="001126E0">
      <w:pPr>
        <w:pStyle w:val="BodyText3"/>
        <w:rPr>
          <w:del w:id="15594" w:author="AbbVie2" w:date="2025-05-14T10:25:00Z"/>
          <w:i/>
          <w:szCs w:val="22"/>
        </w:rPr>
      </w:pPr>
      <w:del w:id="15595" w:author="AbbVie2" w:date="2025-05-14T10:25:00Z">
        <w:r w:rsidRPr="00E51FCC">
          <w:rPr>
            <w:i/>
            <w:szCs w:val="22"/>
          </w:rPr>
          <w:delText>Criança</w:delText>
        </w:r>
        <w:r>
          <w:rPr>
            <w:i/>
            <w:szCs w:val="22"/>
          </w:rPr>
          <w:delText>,</w:delText>
        </w:r>
        <w:r w:rsidRPr="00E51FCC">
          <w:rPr>
            <w:i/>
            <w:szCs w:val="22"/>
          </w:rPr>
          <w:delText xml:space="preserve"> adolescentes</w:delText>
        </w:r>
        <w:r w:rsidR="005A6069">
          <w:rPr>
            <w:i/>
            <w:szCs w:val="22"/>
          </w:rPr>
          <w:delText xml:space="preserve"> </w:delText>
        </w:r>
        <w:r>
          <w:rPr>
            <w:i/>
            <w:szCs w:val="22"/>
          </w:rPr>
          <w:delText xml:space="preserve">e </w:delText>
        </w:r>
        <w:r w:rsidR="005A6069">
          <w:rPr>
            <w:i/>
            <w:szCs w:val="22"/>
          </w:rPr>
          <w:delText xml:space="preserve">adultos </w:delText>
        </w:r>
        <w:r w:rsidR="005A6069" w:rsidRPr="00E51FCC">
          <w:rPr>
            <w:i/>
            <w:szCs w:val="22"/>
          </w:rPr>
          <w:delText>a</w:delText>
        </w:r>
        <w:r w:rsidRPr="00E51FCC">
          <w:rPr>
            <w:i/>
            <w:szCs w:val="22"/>
          </w:rPr>
          <w:delText xml:space="preserve"> partir dos </w:delText>
        </w:r>
        <w:r>
          <w:rPr>
            <w:i/>
            <w:szCs w:val="22"/>
          </w:rPr>
          <w:delText>6</w:delText>
        </w:r>
        <w:r w:rsidRPr="00E51FCC">
          <w:rPr>
            <w:i/>
            <w:szCs w:val="22"/>
          </w:rPr>
          <w:delText xml:space="preserve"> anos de idade com peso igual ou</w:delText>
        </w:r>
        <w:r>
          <w:rPr>
            <w:i/>
            <w:szCs w:val="22"/>
          </w:rPr>
          <w:delText xml:space="preserve"> superior</w:delText>
        </w:r>
        <w:r w:rsidRPr="00E51FCC">
          <w:rPr>
            <w:i/>
            <w:szCs w:val="22"/>
          </w:rPr>
          <w:delText xml:space="preserve"> a 30 kg</w:delText>
        </w:r>
      </w:del>
    </w:p>
    <w:p w14:paraId="3639D7C1" w14:textId="32E50CE4" w:rsidR="001126E0" w:rsidRDefault="001126E0" w:rsidP="001126E0">
      <w:pPr>
        <w:ind w:right="-2"/>
        <w:rPr>
          <w:del w:id="15596" w:author="AbbVie2" w:date="2025-05-14T10:25:00Z"/>
          <w:sz w:val="22"/>
          <w:szCs w:val="22"/>
        </w:rPr>
      </w:pPr>
    </w:p>
    <w:p w14:paraId="6416C766" w14:textId="757A8059" w:rsidR="004462A0" w:rsidRPr="002D31C1" w:rsidRDefault="00615769" w:rsidP="004462A0">
      <w:pPr>
        <w:ind w:right="-2"/>
        <w:rPr>
          <w:del w:id="15597" w:author="AbbVie2" w:date="2025-05-14T10:25:00Z"/>
          <w:sz w:val="22"/>
          <w:szCs w:val="22"/>
        </w:rPr>
      </w:pPr>
      <w:del w:id="15598" w:author="AbbVie2" w:date="2025-05-14T10:25:00Z">
        <w:r w:rsidRPr="00F03C54">
          <w:rPr>
            <w:sz w:val="22"/>
            <w:szCs w:val="22"/>
          </w:rPr>
          <w:delText>A dose recomendada de Humira é de 40 mg em semanas alternadas.</w:delText>
        </w:r>
      </w:del>
    </w:p>
    <w:p w14:paraId="58EC8E69" w14:textId="779AC97E" w:rsidR="004462A0" w:rsidRPr="008912CF" w:rsidRDefault="004462A0" w:rsidP="004462A0">
      <w:pPr>
        <w:ind w:right="-2"/>
        <w:rPr>
          <w:del w:id="15599" w:author="AbbVie2" w:date="2025-05-14T10:25:00Z"/>
          <w:sz w:val="22"/>
          <w:szCs w:val="22"/>
        </w:rPr>
      </w:pPr>
    </w:p>
    <w:p w14:paraId="062043BD" w14:textId="58280A69" w:rsidR="004462A0" w:rsidRPr="008912CF" w:rsidRDefault="00615769" w:rsidP="004462A0">
      <w:pPr>
        <w:ind w:right="-2"/>
        <w:rPr>
          <w:del w:id="15600" w:author="AbbVie2" w:date="2025-05-14T10:25:00Z"/>
          <w:sz w:val="22"/>
          <w:szCs w:val="22"/>
          <w:u w:val="single"/>
        </w:rPr>
      </w:pPr>
      <w:del w:id="15601" w:author="AbbVie2" w:date="2025-05-14T10:25:00Z">
        <w:r w:rsidRPr="008912CF">
          <w:rPr>
            <w:sz w:val="22"/>
            <w:szCs w:val="22"/>
            <w:u w:val="single"/>
          </w:rPr>
          <w:delText>Adultos com psoríase</w:delText>
        </w:r>
      </w:del>
    </w:p>
    <w:p w14:paraId="1ED36B3A" w14:textId="13243AC2" w:rsidR="004462A0" w:rsidRPr="008912CF" w:rsidRDefault="004462A0" w:rsidP="004462A0">
      <w:pPr>
        <w:ind w:right="-2"/>
        <w:rPr>
          <w:del w:id="15602" w:author="AbbVie2" w:date="2025-05-14T10:25:00Z"/>
          <w:sz w:val="22"/>
          <w:szCs w:val="22"/>
        </w:rPr>
      </w:pPr>
    </w:p>
    <w:p w14:paraId="2FC54113" w14:textId="080E6EE8" w:rsidR="004462A0" w:rsidRPr="005A0507" w:rsidRDefault="00615769" w:rsidP="004462A0">
      <w:pPr>
        <w:ind w:right="-2"/>
        <w:rPr>
          <w:del w:id="15603" w:author="AbbVie2" w:date="2025-05-14T10:25:00Z"/>
          <w:sz w:val="22"/>
          <w:szCs w:val="22"/>
        </w:rPr>
      </w:pPr>
      <w:del w:id="15604" w:author="AbbVie2" w:date="2025-05-14T10:25:00Z">
        <w:r w:rsidRPr="008912CF">
          <w:rPr>
            <w:sz w:val="22"/>
            <w:szCs w:val="22"/>
          </w:rPr>
          <w:delText>A dose habitual inicial em adultos com psoríase é de 80 mg</w:delText>
        </w:r>
        <w:r w:rsidR="001126E0">
          <w:rPr>
            <w:sz w:val="22"/>
            <w:szCs w:val="22"/>
          </w:rPr>
          <w:delText xml:space="preserve"> </w:delText>
        </w:r>
        <w:r w:rsidR="005A6069">
          <w:rPr>
            <w:sz w:val="22"/>
            <w:szCs w:val="22"/>
          </w:rPr>
          <w:delText>(</w:delText>
        </w:r>
        <w:r w:rsidR="001126E0">
          <w:rPr>
            <w:sz w:val="22"/>
            <w:szCs w:val="22"/>
          </w:rPr>
          <w:delText xml:space="preserve">duas injeções </w:delText>
        </w:r>
        <w:r w:rsidR="00751F0E">
          <w:rPr>
            <w:sz w:val="22"/>
            <w:szCs w:val="22"/>
          </w:rPr>
          <w:delText xml:space="preserve">de 40 mg </w:delText>
        </w:r>
        <w:r w:rsidR="001126E0">
          <w:rPr>
            <w:sz w:val="22"/>
            <w:szCs w:val="22"/>
          </w:rPr>
          <w:delText>num dia)</w:delText>
        </w:r>
        <w:r w:rsidRPr="008912CF">
          <w:rPr>
            <w:sz w:val="22"/>
            <w:szCs w:val="22"/>
          </w:rPr>
          <w:delText xml:space="preserve">, seguida de 40 mg administrada em semanas alternadas, uma semana após a dose inicial. Deve continuar a administrar Humira de acordo </w:delText>
        </w:r>
        <w:r w:rsidRPr="005A0507">
          <w:rPr>
            <w:sz w:val="22"/>
            <w:szCs w:val="22"/>
          </w:rPr>
          <w:delText xml:space="preserve">com as instruções do seu médico. </w:delText>
        </w:r>
        <w:r w:rsidRPr="00B427DD">
          <w:rPr>
            <w:sz w:val="22"/>
            <w:szCs w:val="22"/>
          </w:rPr>
          <w:delText>Dependendo da sua resposta, o médico pode aumentar a dose para 40 mg por semana</w:delText>
        </w:r>
        <w:r w:rsidR="00DD4820">
          <w:rPr>
            <w:sz w:val="22"/>
            <w:szCs w:val="22"/>
          </w:rPr>
          <w:delText xml:space="preserve"> ou 80 mg em semanas alternadas</w:delText>
        </w:r>
        <w:r w:rsidRPr="00B427DD">
          <w:rPr>
            <w:sz w:val="22"/>
            <w:szCs w:val="22"/>
          </w:rPr>
          <w:delText>.</w:delText>
        </w:r>
      </w:del>
    </w:p>
    <w:p w14:paraId="3D5E47CD" w14:textId="2CC17540" w:rsidR="004462A0" w:rsidRPr="008912CF" w:rsidRDefault="004462A0" w:rsidP="004462A0">
      <w:pPr>
        <w:pStyle w:val="BodyText3"/>
        <w:rPr>
          <w:del w:id="15605" w:author="AbbVie2" w:date="2025-05-14T10:25:00Z"/>
          <w:szCs w:val="22"/>
        </w:rPr>
      </w:pPr>
    </w:p>
    <w:p w14:paraId="64F54B67" w14:textId="5D7C18FB" w:rsidR="004462A0" w:rsidRPr="008912CF" w:rsidRDefault="00615769" w:rsidP="004462A0">
      <w:pPr>
        <w:ind w:right="-2"/>
        <w:rPr>
          <w:del w:id="15606" w:author="AbbVie2" w:date="2025-05-14T10:25:00Z"/>
          <w:sz w:val="22"/>
          <w:szCs w:val="22"/>
          <w:u w:val="single"/>
        </w:rPr>
      </w:pPr>
      <w:del w:id="15607" w:author="AbbVie2" w:date="2025-05-14T10:25:00Z">
        <w:r w:rsidRPr="008912CF">
          <w:rPr>
            <w:sz w:val="22"/>
            <w:szCs w:val="22"/>
            <w:u w:val="single"/>
          </w:rPr>
          <w:delText xml:space="preserve">Crianças </w:delText>
        </w:r>
        <w:r w:rsidR="001126E0">
          <w:rPr>
            <w:sz w:val="22"/>
            <w:szCs w:val="22"/>
            <w:u w:val="single"/>
          </w:rPr>
          <w:delText>e</w:delText>
        </w:r>
        <w:r w:rsidRPr="008912CF">
          <w:rPr>
            <w:sz w:val="22"/>
            <w:szCs w:val="22"/>
            <w:u w:val="single"/>
          </w:rPr>
          <w:delText xml:space="preserve"> adolescentes com psoríase em placas</w:delText>
        </w:r>
      </w:del>
    </w:p>
    <w:p w14:paraId="315A96A5" w14:textId="7CD72C3F" w:rsidR="004462A0" w:rsidRPr="008912CF" w:rsidRDefault="004462A0" w:rsidP="004462A0">
      <w:pPr>
        <w:ind w:right="-2"/>
        <w:rPr>
          <w:del w:id="15608" w:author="AbbVie2" w:date="2025-05-14T10:25:00Z"/>
          <w:sz w:val="22"/>
          <w:szCs w:val="22"/>
        </w:rPr>
      </w:pPr>
    </w:p>
    <w:p w14:paraId="7B5204D1" w14:textId="0656A518" w:rsidR="001126E0" w:rsidRDefault="00615769" w:rsidP="004462A0">
      <w:pPr>
        <w:ind w:right="-2"/>
        <w:rPr>
          <w:del w:id="15609" w:author="AbbVie2" w:date="2025-05-14T10:25:00Z"/>
          <w:sz w:val="22"/>
          <w:szCs w:val="22"/>
        </w:rPr>
      </w:pPr>
      <w:del w:id="15610" w:author="AbbVie2" w:date="2025-05-14T10:25:00Z">
        <w:r>
          <w:rPr>
            <w:i/>
            <w:sz w:val="22"/>
            <w:szCs w:val="22"/>
          </w:rPr>
          <w:delText>C</w:delText>
        </w:r>
        <w:r w:rsidRPr="00E51FCC">
          <w:rPr>
            <w:i/>
            <w:sz w:val="22"/>
            <w:szCs w:val="22"/>
          </w:rPr>
          <w:delText xml:space="preserve">rianças e adolescentes entre os </w:delText>
        </w:r>
        <w:r>
          <w:rPr>
            <w:i/>
            <w:sz w:val="22"/>
            <w:szCs w:val="22"/>
          </w:rPr>
          <w:delText>4</w:delText>
        </w:r>
        <w:r w:rsidRPr="00E51FCC">
          <w:rPr>
            <w:i/>
            <w:sz w:val="22"/>
            <w:szCs w:val="22"/>
          </w:rPr>
          <w:delText xml:space="preserve"> e os 17 anos de idade com peso </w:delText>
        </w:r>
        <w:r>
          <w:rPr>
            <w:i/>
            <w:sz w:val="22"/>
            <w:szCs w:val="22"/>
          </w:rPr>
          <w:delText xml:space="preserve">igual a 15 kg ou </w:delText>
        </w:r>
        <w:r w:rsidRPr="00E51FCC">
          <w:rPr>
            <w:i/>
            <w:sz w:val="22"/>
            <w:szCs w:val="22"/>
          </w:rPr>
          <w:delText>inferior a</w:delText>
        </w:r>
        <w:r>
          <w:rPr>
            <w:i/>
            <w:sz w:val="22"/>
            <w:szCs w:val="22"/>
          </w:rPr>
          <w:delText xml:space="preserve"> 3</w:delText>
        </w:r>
        <w:r w:rsidRPr="00E51FCC">
          <w:rPr>
            <w:i/>
            <w:sz w:val="22"/>
            <w:szCs w:val="22"/>
          </w:rPr>
          <w:delText>0 kg</w:delText>
        </w:r>
      </w:del>
    </w:p>
    <w:p w14:paraId="148FADB4" w14:textId="4508322E" w:rsidR="001126E0" w:rsidRDefault="001126E0" w:rsidP="004462A0">
      <w:pPr>
        <w:ind w:right="-2"/>
        <w:rPr>
          <w:del w:id="15611" w:author="AbbVie2" w:date="2025-05-14T10:25:00Z"/>
          <w:sz w:val="22"/>
          <w:szCs w:val="22"/>
        </w:rPr>
      </w:pPr>
    </w:p>
    <w:p w14:paraId="67079BE5" w14:textId="02896FC6" w:rsidR="001126E0" w:rsidRDefault="00615769" w:rsidP="001126E0">
      <w:pPr>
        <w:ind w:right="-2"/>
        <w:rPr>
          <w:del w:id="15612" w:author="AbbVie2" w:date="2025-05-14T10:25:00Z"/>
          <w:sz w:val="22"/>
          <w:szCs w:val="22"/>
        </w:rPr>
      </w:pPr>
      <w:del w:id="15613" w:author="AbbVie2" w:date="2025-05-14T10:25:00Z">
        <w:r w:rsidRPr="008912CF">
          <w:rPr>
            <w:sz w:val="22"/>
            <w:szCs w:val="22"/>
          </w:rPr>
          <w:delText>A dose recomendada de Humira</w:delText>
        </w:r>
        <w:r>
          <w:rPr>
            <w:sz w:val="22"/>
            <w:szCs w:val="22"/>
          </w:rPr>
          <w:delText xml:space="preserve"> é de uma dose inicial de 20 mg seguida de 20 mg uma semana após a dose inicial. Depois disso, a dose habitual é de 40 mg em semanas alternadas.</w:delText>
        </w:r>
      </w:del>
    </w:p>
    <w:p w14:paraId="29F4814D" w14:textId="6D91B759" w:rsidR="001126E0" w:rsidRDefault="001126E0" w:rsidP="004462A0">
      <w:pPr>
        <w:ind w:right="-2"/>
        <w:rPr>
          <w:del w:id="15614" w:author="AbbVie2" w:date="2025-05-14T10:25:00Z"/>
          <w:sz w:val="22"/>
          <w:szCs w:val="22"/>
        </w:rPr>
      </w:pPr>
    </w:p>
    <w:p w14:paraId="24112A09" w14:textId="61737007" w:rsidR="008649AC" w:rsidRDefault="00615769" w:rsidP="008649AC">
      <w:pPr>
        <w:ind w:right="-2"/>
        <w:rPr>
          <w:del w:id="15615" w:author="AbbVie2" w:date="2025-05-14T10:25:00Z"/>
          <w:sz w:val="22"/>
          <w:szCs w:val="22"/>
        </w:rPr>
      </w:pPr>
      <w:del w:id="15616" w:author="AbbVie2" w:date="2025-05-14T10:25:00Z">
        <w:r>
          <w:rPr>
            <w:i/>
            <w:sz w:val="22"/>
            <w:szCs w:val="22"/>
          </w:rPr>
          <w:delText>C</w:delText>
        </w:r>
        <w:r w:rsidRPr="00E51FCC">
          <w:rPr>
            <w:i/>
            <w:sz w:val="22"/>
            <w:szCs w:val="22"/>
          </w:rPr>
          <w:delText xml:space="preserve">rianças e adolescentes entre os </w:delText>
        </w:r>
        <w:r>
          <w:rPr>
            <w:i/>
            <w:sz w:val="22"/>
            <w:szCs w:val="22"/>
          </w:rPr>
          <w:delText>4</w:delText>
        </w:r>
        <w:r w:rsidRPr="00E51FCC">
          <w:rPr>
            <w:i/>
            <w:sz w:val="22"/>
            <w:szCs w:val="22"/>
          </w:rPr>
          <w:delText xml:space="preserve"> e os 17 anos de idade com peso </w:delText>
        </w:r>
        <w:r>
          <w:rPr>
            <w:i/>
            <w:sz w:val="22"/>
            <w:szCs w:val="22"/>
          </w:rPr>
          <w:delText>igual ou superior a 30 kg</w:delText>
        </w:r>
      </w:del>
    </w:p>
    <w:p w14:paraId="4186648D" w14:textId="249D9C74" w:rsidR="008649AC" w:rsidRDefault="008649AC" w:rsidP="004462A0">
      <w:pPr>
        <w:ind w:right="-2"/>
        <w:rPr>
          <w:del w:id="15617" w:author="AbbVie2" w:date="2025-05-14T10:25:00Z"/>
          <w:sz w:val="22"/>
          <w:szCs w:val="22"/>
        </w:rPr>
      </w:pPr>
    </w:p>
    <w:p w14:paraId="5BCC416C" w14:textId="40A91BF0" w:rsidR="008649AC" w:rsidRDefault="00615769" w:rsidP="008649AC">
      <w:pPr>
        <w:ind w:right="-2"/>
        <w:rPr>
          <w:del w:id="15618" w:author="AbbVie2" w:date="2025-05-14T10:25:00Z"/>
          <w:sz w:val="22"/>
          <w:szCs w:val="22"/>
        </w:rPr>
      </w:pPr>
      <w:del w:id="15619" w:author="AbbVie2" w:date="2025-05-14T10:25:00Z">
        <w:r w:rsidRPr="008912CF">
          <w:rPr>
            <w:sz w:val="22"/>
            <w:szCs w:val="22"/>
          </w:rPr>
          <w:delText>A dose recomendada de Humira</w:delText>
        </w:r>
        <w:r>
          <w:rPr>
            <w:sz w:val="22"/>
            <w:szCs w:val="22"/>
          </w:rPr>
          <w:delText xml:space="preserve"> é de uma dose inicial de 40 mg seguida de 40 mg uma semana após a dose inicial. Depois disso, a dose habitual é de 40 mg em semanas alternadas.</w:delText>
        </w:r>
      </w:del>
    </w:p>
    <w:p w14:paraId="45F6C206" w14:textId="32A1A7AC" w:rsidR="004462A0" w:rsidRPr="008912CF" w:rsidRDefault="004462A0" w:rsidP="00F03C54">
      <w:pPr>
        <w:pStyle w:val="BodyText3"/>
        <w:rPr>
          <w:del w:id="15620" w:author="AbbVie2" w:date="2025-05-14T10:25:00Z"/>
          <w:szCs w:val="22"/>
        </w:rPr>
      </w:pPr>
    </w:p>
    <w:p w14:paraId="267E2856" w14:textId="62278E37" w:rsidR="004462A0" w:rsidRPr="008912CF" w:rsidRDefault="00615769" w:rsidP="004462A0">
      <w:pPr>
        <w:ind w:right="-2"/>
        <w:rPr>
          <w:del w:id="15621" w:author="AbbVie2" w:date="2025-05-14T10:25:00Z"/>
          <w:sz w:val="22"/>
          <w:szCs w:val="22"/>
          <w:u w:val="single"/>
        </w:rPr>
      </w:pPr>
      <w:del w:id="15622" w:author="AbbVie2" w:date="2025-05-14T10:25:00Z">
        <w:r w:rsidRPr="008912CF">
          <w:rPr>
            <w:sz w:val="22"/>
            <w:szCs w:val="22"/>
            <w:u w:val="single"/>
          </w:rPr>
          <w:delText>Adultos com hidradenite supurativa</w:delText>
        </w:r>
      </w:del>
    </w:p>
    <w:p w14:paraId="50DE4202" w14:textId="2287C87F" w:rsidR="004462A0" w:rsidRPr="008912CF" w:rsidRDefault="004462A0" w:rsidP="004462A0">
      <w:pPr>
        <w:ind w:right="-2"/>
        <w:rPr>
          <w:del w:id="15623" w:author="AbbVie2" w:date="2025-05-14T10:25:00Z"/>
          <w:sz w:val="22"/>
          <w:szCs w:val="22"/>
        </w:rPr>
      </w:pPr>
    </w:p>
    <w:p w14:paraId="79972D9A" w14:textId="7396B239" w:rsidR="004462A0" w:rsidRPr="008912CF" w:rsidRDefault="00615769" w:rsidP="004462A0">
      <w:pPr>
        <w:ind w:right="-2"/>
        <w:rPr>
          <w:del w:id="15624" w:author="AbbVie2" w:date="2025-05-14T10:25:00Z"/>
          <w:sz w:val="22"/>
          <w:szCs w:val="22"/>
        </w:rPr>
      </w:pPr>
      <w:del w:id="15625" w:author="AbbVie2" w:date="2025-05-14T10:25:00Z">
        <w:r w:rsidRPr="008912CF">
          <w:rPr>
            <w:sz w:val="22"/>
            <w:szCs w:val="22"/>
          </w:rPr>
          <w:delText>A dose habitual inicial na hidradenite supurativa é de 160 mg (</w:delText>
        </w:r>
        <w:r w:rsidR="008649AC">
          <w:rPr>
            <w:sz w:val="22"/>
            <w:szCs w:val="22"/>
          </w:rPr>
          <w:delText>quatro</w:delText>
        </w:r>
        <w:r w:rsidRPr="008912CF">
          <w:rPr>
            <w:sz w:val="22"/>
            <w:szCs w:val="22"/>
          </w:rPr>
          <w:delText xml:space="preserve"> injeções </w:delText>
        </w:r>
        <w:r w:rsidR="0044722C">
          <w:rPr>
            <w:sz w:val="22"/>
            <w:szCs w:val="22"/>
          </w:rPr>
          <w:delText xml:space="preserve">de 40 mg </w:delText>
        </w:r>
        <w:r w:rsidRPr="008912CF">
          <w:rPr>
            <w:sz w:val="22"/>
            <w:szCs w:val="22"/>
          </w:rPr>
          <w:delText xml:space="preserve">num dia ou </w:delText>
        </w:r>
        <w:r w:rsidR="008649AC">
          <w:rPr>
            <w:sz w:val="22"/>
            <w:szCs w:val="22"/>
          </w:rPr>
          <w:delText>duas</w:delText>
        </w:r>
        <w:r w:rsidRPr="008912CF">
          <w:rPr>
            <w:sz w:val="22"/>
            <w:szCs w:val="22"/>
          </w:rPr>
          <w:delText xml:space="preserve"> injeções </w:delText>
        </w:r>
        <w:r w:rsidR="0044722C">
          <w:rPr>
            <w:sz w:val="22"/>
            <w:szCs w:val="22"/>
          </w:rPr>
          <w:delText xml:space="preserve">de 40 mg </w:delText>
        </w:r>
        <w:r w:rsidRPr="008912CF">
          <w:rPr>
            <w:sz w:val="22"/>
            <w:szCs w:val="22"/>
          </w:rPr>
          <w:delText>por dia, em dois dias consecutivos), seguida de 80 mg (</w:delText>
        </w:r>
        <w:r w:rsidR="008649AC">
          <w:rPr>
            <w:sz w:val="22"/>
            <w:szCs w:val="22"/>
          </w:rPr>
          <w:delText>duas</w:delText>
        </w:r>
        <w:r w:rsidRPr="008912CF">
          <w:rPr>
            <w:sz w:val="22"/>
            <w:szCs w:val="22"/>
          </w:rPr>
          <w:delText xml:space="preserve"> injeções</w:delText>
        </w:r>
        <w:r w:rsidR="0044722C">
          <w:rPr>
            <w:sz w:val="22"/>
            <w:szCs w:val="22"/>
          </w:rPr>
          <w:delText xml:space="preserve"> de 40 mg </w:delText>
        </w:r>
        <w:r w:rsidRPr="008912CF">
          <w:rPr>
            <w:sz w:val="22"/>
            <w:szCs w:val="22"/>
          </w:rPr>
          <w:delText>por dia) duas semanas após a dose inicial. Após mais duas semanas, continuar com uma dose de 40 mg por semana</w:delText>
        </w:r>
        <w:r w:rsidR="0044722C">
          <w:rPr>
            <w:sz w:val="22"/>
            <w:szCs w:val="22"/>
          </w:rPr>
          <w:delText xml:space="preserve"> ou 80 mg em semanas alternadas, conforme prescrito pelo seu médico</w:delText>
        </w:r>
        <w:r w:rsidRPr="008912CF">
          <w:rPr>
            <w:sz w:val="22"/>
            <w:szCs w:val="22"/>
          </w:rPr>
          <w:delText>. É recomendável que use um anti-séptico de lavagem diária nas áreas afetadas.</w:delText>
        </w:r>
      </w:del>
    </w:p>
    <w:p w14:paraId="37BD55D9" w14:textId="7740204D" w:rsidR="004462A0" w:rsidRDefault="004462A0" w:rsidP="004462A0">
      <w:pPr>
        <w:ind w:right="-2"/>
        <w:rPr>
          <w:del w:id="15626" w:author="AbbVie2" w:date="2025-05-14T10:25:00Z"/>
          <w:sz w:val="22"/>
          <w:szCs w:val="22"/>
        </w:rPr>
      </w:pPr>
    </w:p>
    <w:p w14:paraId="759324B2" w14:textId="1735CF7C" w:rsidR="004462A0" w:rsidRPr="00EB572F" w:rsidRDefault="00615769" w:rsidP="00040D46">
      <w:pPr>
        <w:keepNext/>
        <w:ind w:right="-2"/>
        <w:rPr>
          <w:del w:id="15627" w:author="AbbVie2" w:date="2025-05-14T10:25:00Z"/>
          <w:sz w:val="22"/>
          <w:szCs w:val="22"/>
          <w:u w:val="single"/>
        </w:rPr>
      </w:pPr>
      <w:del w:id="15628" w:author="AbbVie2" w:date="2025-05-14T10:25:00Z">
        <w:r w:rsidRPr="00EB572F">
          <w:rPr>
            <w:sz w:val="22"/>
            <w:szCs w:val="22"/>
            <w:u w:val="single"/>
          </w:rPr>
          <w:delText xml:space="preserve">Adolescentes com hidradenite supurativa </w:delText>
        </w:r>
        <w:r w:rsidR="008649AC">
          <w:rPr>
            <w:sz w:val="22"/>
            <w:szCs w:val="22"/>
            <w:u w:val="single"/>
          </w:rPr>
          <w:delText>entre os</w:delText>
        </w:r>
        <w:r w:rsidRPr="00EB572F">
          <w:rPr>
            <w:sz w:val="22"/>
            <w:szCs w:val="22"/>
            <w:u w:val="single"/>
          </w:rPr>
          <w:delText xml:space="preserve"> 12 </w:delText>
        </w:r>
        <w:r w:rsidR="008649AC">
          <w:rPr>
            <w:sz w:val="22"/>
            <w:szCs w:val="22"/>
            <w:u w:val="single"/>
          </w:rPr>
          <w:delText xml:space="preserve">e os 17 </w:delText>
        </w:r>
        <w:r w:rsidRPr="00EB572F">
          <w:rPr>
            <w:sz w:val="22"/>
            <w:szCs w:val="22"/>
            <w:u w:val="single"/>
          </w:rPr>
          <w:delText xml:space="preserve">anos de idade, com </w:delText>
        </w:r>
        <w:r w:rsidR="008649AC">
          <w:rPr>
            <w:sz w:val="22"/>
            <w:szCs w:val="22"/>
            <w:u w:val="single"/>
          </w:rPr>
          <w:delText>peso igual ou superior a</w:delText>
        </w:r>
        <w:r w:rsidRPr="00EB572F">
          <w:rPr>
            <w:sz w:val="22"/>
            <w:szCs w:val="22"/>
            <w:u w:val="single"/>
          </w:rPr>
          <w:delText xml:space="preserve"> 30</w:delText>
        </w:r>
        <w:r>
          <w:rPr>
            <w:sz w:val="22"/>
            <w:szCs w:val="22"/>
            <w:u w:val="single"/>
          </w:rPr>
          <w:delText> </w:delText>
        </w:r>
        <w:r w:rsidR="008649AC">
          <w:rPr>
            <w:sz w:val="22"/>
            <w:szCs w:val="22"/>
            <w:u w:val="single"/>
          </w:rPr>
          <w:delText>k</w:delText>
        </w:r>
        <w:r w:rsidRPr="00EB572F">
          <w:rPr>
            <w:sz w:val="22"/>
            <w:szCs w:val="22"/>
            <w:u w:val="single"/>
          </w:rPr>
          <w:delText>g de peso)</w:delText>
        </w:r>
      </w:del>
    </w:p>
    <w:p w14:paraId="28F3A9B7" w14:textId="06659886" w:rsidR="004462A0" w:rsidRDefault="004462A0" w:rsidP="00040D46">
      <w:pPr>
        <w:keepNext/>
        <w:ind w:right="-2"/>
        <w:rPr>
          <w:del w:id="15629" w:author="AbbVie2" w:date="2025-05-14T10:25:00Z"/>
          <w:sz w:val="22"/>
          <w:szCs w:val="22"/>
        </w:rPr>
      </w:pPr>
    </w:p>
    <w:p w14:paraId="26C29E6F" w14:textId="75F7263E" w:rsidR="004462A0" w:rsidRDefault="00615769" w:rsidP="004462A0">
      <w:pPr>
        <w:ind w:right="-2"/>
        <w:rPr>
          <w:del w:id="15630" w:author="AbbVie2" w:date="2025-05-14T10:25:00Z"/>
          <w:sz w:val="22"/>
        </w:rPr>
      </w:pPr>
      <w:del w:id="15631" w:author="AbbVie2" w:date="2025-05-14T10:25:00Z">
        <w:r>
          <w:rPr>
            <w:sz w:val="22"/>
          </w:rPr>
          <w:delText>A dose recomendada de Humira é u</w:delText>
        </w:r>
        <w:r w:rsidRPr="00454F99">
          <w:rPr>
            <w:sz w:val="22"/>
          </w:rPr>
          <w:delText xml:space="preserve">ma dose inicial de </w:delText>
        </w:r>
        <w:r>
          <w:rPr>
            <w:sz w:val="22"/>
          </w:rPr>
          <w:delText>8</w:delText>
        </w:r>
        <w:r w:rsidRPr="00454F99">
          <w:rPr>
            <w:sz w:val="22"/>
          </w:rPr>
          <w:delText>0 mg (</w:delText>
        </w:r>
        <w:r>
          <w:rPr>
            <w:sz w:val="22"/>
          </w:rPr>
          <w:delText xml:space="preserve">duas </w:delText>
        </w:r>
        <w:r w:rsidRPr="00454F99">
          <w:rPr>
            <w:sz w:val="22"/>
          </w:rPr>
          <w:delText>injeções</w:delText>
        </w:r>
        <w:r w:rsidR="0044722C">
          <w:rPr>
            <w:sz w:val="22"/>
          </w:rPr>
          <w:delText xml:space="preserve"> de 40 mg</w:delText>
        </w:r>
        <w:r w:rsidRPr="00454F99">
          <w:rPr>
            <w:sz w:val="22"/>
          </w:rPr>
          <w:delText xml:space="preserve"> </w:delText>
        </w:r>
        <w:r w:rsidRPr="006462E3">
          <w:rPr>
            <w:sz w:val="22"/>
          </w:rPr>
          <w:delText>num dia</w:delText>
        </w:r>
        <w:r w:rsidRPr="00854C93">
          <w:rPr>
            <w:sz w:val="22"/>
          </w:rPr>
          <w:delText xml:space="preserve">), seguida de </w:delText>
        </w:r>
        <w:r>
          <w:rPr>
            <w:sz w:val="22"/>
          </w:rPr>
          <w:delText>4</w:delText>
        </w:r>
        <w:r w:rsidRPr="00854C93">
          <w:rPr>
            <w:sz w:val="22"/>
          </w:rPr>
          <w:delText>0</w:delText>
        </w:r>
        <w:r w:rsidRPr="0089156B">
          <w:rPr>
            <w:sz w:val="22"/>
          </w:rPr>
          <w:delText> </w:delText>
        </w:r>
        <w:r w:rsidRPr="004931CE">
          <w:rPr>
            <w:sz w:val="22"/>
          </w:rPr>
          <w:delText>mg</w:delText>
        </w:r>
        <w:r>
          <w:rPr>
            <w:sz w:val="22"/>
          </w:rPr>
          <w:delText xml:space="preserve"> em semanas alternadas, uma</w:delText>
        </w:r>
        <w:r w:rsidRPr="00AA3C8F">
          <w:rPr>
            <w:sz w:val="22"/>
          </w:rPr>
          <w:delText xml:space="preserve"> semana após a dose inicial.</w:delText>
        </w:r>
        <w:r>
          <w:rPr>
            <w:sz w:val="22"/>
          </w:rPr>
          <w:delText xml:space="preserve"> Se tiver uma resposta inadequada</w:delText>
        </w:r>
        <w:r w:rsidR="0044722C">
          <w:rPr>
            <w:sz w:val="22"/>
          </w:rPr>
          <w:delText xml:space="preserve"> com Humira 40 mg em semanas alternadas</w:delText>
        </w:r>
        <w:r>
          <w:rPr>
            <w:sz w:val="22"/>
          </w:rPr>
          <w:delText>, o seu médico pode aumentar a dose para 40 mg semanalmente</w:delText>
        </w:r>
        <w:r w:rsidR="0044722C">
          <w:rPr>
            <w:sz w:val="22"/>
          </w:rPr>
          <w:delText xml:space="preserve"> ou 80 mg em semanas alternadas</w:delText>
        </w:r>
        <w:r>
          <w:rPr>
            <w:sz w:val="22"/>
          </w:rPr>
          <w:delText>.</w:delText>
        </w:r>
      </w:del>
    </w:p>
    <w:p w14:paraId="1344D0B5" w14:textId="25831475" w:rsidR="004462A0" w:rsidRDefault="004462A0" w:rsidP="004462A0">
      <w:pPr>
        <w:ind w:right="-2"/>
        <w:rPr>
          <w:del w:id="15632" w:author="AbbVie2" w:date="2025-05-14T10:25:00Z"/>
          <w:sz w:val="22"/>
        </w:rPr>
      </w:pPr>
    </w:p>
    <w:p w14:paraId="52077510" w14:textId="1A2274E4" w:rsidR="004462A0" w:rsidRDefault="00615769" w:rsidP="004462A0">
      <w:pPr>
        <w:ind w:right="-2"/>
        <w:rPr>
          <w:del w:id="15633" w:author="AbbVie2" w:date="2025-05-14T10:25:00Z"/>
          <w:sz w:val="22"/>
          <w:szCs w:val="22"/>
        </w:rPr>
      </w:pPr>
      <w:del w:id="15634" w:author="AbbVie2" w:date="2025-05-14T10:25:00Z">
        <w:r w:rsidRPr="008B0DDF">
          <w:rPr>
            <w:sz w:val="22"/>
            <w:szCs w:val="22"/>
          </w:rPr>
          <w:delText>É recomendável que use um anti-séptico de lavagem diária nas áreas afetadas.</w:delText>
        </w:r>
      </w:del>
    </w:p>
    <w:p w14:paraId="0322C154" w14:textId="36EAFF75" w:rsidR="004462A0" w:rsidRPr="008912CF" w:rsidRDefault="004462A0" w:rsidP="004462A0">
      <w:pPr>
        <w:ind w:right="-2"/>
        <w:rPr>
          <w:del w:id="15635" w:author="AbbVie2" w:date="2025-05-14T10:25:00Z"/>
          <w:sz w:val="22"/>
          <w:szCs w:val="22"/>
        </w:rPr>
      </w:pPr>
    </w:p>
    <w:p w14:paraId="675F772C" w14:textId="54CB3A45" w:rsidR="004462A0" w:rsidRPr="008912CF" w:rsidRDefault="00615769" w:rsidP="00907F74">
      <w:pPr>
        <w:keepNext/>
        <w:ind w:right="-2"/>
        <w:rPr>
          <w:del w:id="15636" w:author="AbbVie2" w:date="2025-05-14T10:25:00Z"/>
          <w:sz w:val="22"/>
          <w:szCs w:val="22"/>
          <w:u w:val="single"/>
        </w:rPr>
      </w:pPr>
      <w:del w:id="15637" w:author="AbbVie2" w:date="2025-05-14T10:25:00Z">
        <w:r w:rsidRPr="008912CF">
          <w:rPr>
            <w:sz w:val="22"/>
            <w:szCs w:val="22"/>
            <w:u w:val="single"/>
          </w:rPr>
          <w:delText>Adultos com doença de Crohn</w:delText>
        </w:r>
      </w:del>
    </w:p>
    <w:p w14:paraId="546BD403" w14:textId="13874F7F" w:rsidR="004462A0" w:rsidRPr="008912CF" w:rsidRDefault="004462A0" w:rsidP="00907F74">
      <w:pPr>
        <w:keepNext/>
        <w:ind w:right="-2"/>
        <w:rPr>
          <w:del w:id="15638" w:author="AbbVie2" w:date="2025-05-14T10:25:00Z"/>
          <w:sz w:val="22"/>
          <w:szCs w:val="22"/>
        </w:rPr>
      </w:pPr>
    </w:p>
    <w:p w14:paraId="47B15FB1" w14:textId="2D9A3672" w:rsidR="004462A0" w:rsidRPr="008912CF" w:rsidRDefault="00615769" w:rsidP="00907F74">
      <w:pPr>
        <w:keepNext/>
        <w:ind w:right="-2"/>
        <w:rPr>
          <w:del w:id="15639" w:author="AbbVie2" w:date="2025-05-14T10:25:00Z"/>
          <w:sz w:val="22"/>
          <w:szCs w:val="22"/>
        </w:rPr>
      </w:pPr>
      <w:del w:id="15640" w:author="AbbVie2" w:date="2025-05-14T10:25:00Z">
        <w:r w:rsidRPr="008912CF">
          <w:rPr>
            <w:sz w:val="22"/>
            <w:szCs w:val="22"/>
          </w:rPr>
          <w:delText xml:space="preserve">A dose habitual inicial na doença de Crohn é de 80 mg </w:delText>
        </w:r>
        <w:r w:rsidR="008649AC">
          <w:rPr>
            <w:sz w:val="22"/>
            <w:szCs w:val="22"/>
          </w:rPr>
          <w:delText>(duas injeções</w:delText>
        </w:r>
        <w:r w:rsidR="005A6069">
          <w:rPr>
            <w:sz w:val="22"/>
            <w:szCs w:val="22"/>
          </w:rPr>
          <w:delText xml:space="preserve"> </w:delText>
        </w:r>
        <w:r w:rsidR="0044722C">
          <w:rPr>
            <w:sz w:val="22"/>
            <w:szCs w:val="22"/>
          </w:rPr>
          <w:delText>de 40 mg</w:delText>
        </w:r>
        <w:r w:rsidR="008649AC">
          <w:rPr>
            <w:sz w:val="22"/>
            <w:szCs w:val="22"/>
          </w:rPr>
          <w:delText xml:space="preserve"> num dia), </w:delText>
        </w:r>
        <w:r w:rsidRPr="008912CF">
          <w:rPr>
            <w:sz w:val="22"/>
            <w:szCs w:val="22"/>
          </w:rPr>
          <w:delText xml:space="preserve">seguida de 40 mg em semanas alternadas, </w:delText>
        </w:r>
        <w:r w:rsidRPr="008912CF">
          <w:rPr>
            <w:bCs/>
            <w:sz w:val="22"/>
            <w:szCs w:val="22"/>
          </w:rPr>
          <w:delText>duas semanas após a dose inicial</w:delText>
        </w:r>
        <w:r w:rsidRPr="008912CF">
          <w:rPr>
            <w:sz w:val="22"/>
            <w:szCs w:val="22"/>
          </w:rPr>
          <w:delText>. Se é necessária uma resposta mais rápida, o seu médico pode prescrever uma dose inicial de 160 mg (</w:delText>
        </w:r>
        <w:r w:rsidR="008649AC">
          <w:rPr>
            <w:sz w:val="22"/>
            <w:szCs w:val="22"/>
          </w:rPr>
          <w:delText>quatro</w:delText>
        </w:r>
        <w:r w:rsidRPr="008912CF">
          <w:rPr>
            <w:sz w:val="22"/>
            <w:szCs w:val="22"/>
          </w:rPr>
          <w:delText xml:space="preserve"> injeções </w:delText>
        </w:r>
        <w:r w:rsidR="0044722C">
          <w:rPr>
            <w:sz w:val="22"/>
            <w:szCs w:val="22"/>
          </w:rPr>
          <w:delText xml:space="preserve">de 40 mg </w:delText>
        </w:r>
        <w:r w:rsidRPr="008912CF">
          <w:rPr>
            <w:sz w:val="22"/>
            <w:szCs w:val="22"/>
          </w:rPr>
          <w:delText xml:space="preserve">num dia ou </w:delText>
        </w:r>
        <w:r w:rsidR="008649AC">
          <w:rPr>
            <w:sz w:val="22"/>
            <w:szCs w:val="22"/>
          </w:rPr>
          <w:delText>duas</w:delText>
        </w:r>
        <w:r w:rsidRPr="008912CF">
          <w:rPr>
            <w:sz w:val="22"/>
            <w:szCs w:val="22"/>
          </w:rPr>
          <w:delText xml:space="preserve"> injeções </w:delText>
        </w:r>
        <w:r w:rsidR="005A6069">
          <w:rPr>
            <w:sz w:val="22"/>
            <w:szCs w:val="22"/>
          </w:rPr>
          <w:delText xml:space="preserve">de 40 mg </w:delText>
        </w:r>
        <w:r w:rsidRPr="008912CF">
          <w:rPr>
            <w:sz w:val="22"/>
            <w:szCs w:val="22"/>
          </w:rPr>
          <w:delText xml:space="preserve">por dia em dois dias consecutivos), seguida de 80 mg </w:delText>
        </w:r>
        <w:r w:rsidR="008649AC">
          <w:rPr>
            <w:sz w:val="22"/>
            <w:szCs w:val="22"/>
          </w:rPr>
          <w:delText xml:space="preserve">(duas injeções </w:delText>
        </w:r>
        <w:r w:rsidR="0044722C">
          <w:rPr>
            <w:sz w:val="22"/>
            <w:szCs w:val="22"/>
          </w:rPr>
          <w:delText xml:space="preserve">de 40 mg </w:delText>
        </w:r>
        <w:r w:rsidR="008649AC">
          <w:rPr>
            <w:sz w:val="22"/>
            <w:szCs w:val="22"/>
          </w:rPr>
          <w:delText xml:space="preserve">num dia) </w:delText>
        </w:r>
        <w:r w:rsidRPr="008912CF">
          <w:rPr>
            <w:bCs/>
          </w:rPr>
          <w:delText>duas semanas após a dose inicial</w:delText>
        </w:r>
        <w:r w:rsidRPr="008912CF">
          <w:rPr>
            <w:sz w:val="22"/>
            <w:szCs w:val="22"/>
          </w:rPr>
          <w:delText>, e depois disso 40 mg em semanas alternadas. Dependendo da sua resposta, o médico pode aumentar a da dose para 40 mg por semana</w:delText>
        </w:r>
        <w:r w:rsidR="0044722C">
          <w:rPr>
            <w:sz w:val="22"/>
            <w:szCs w:val="22"/>
          </w:rPr>
          <w:delText xml:space="preserve"> ou 80 mg em semanas alternadas</w:delText>
        </w:r>
        <w:r w:rsidRPr="008912CF">
          <w:rPr>
            <w:sz w:val="22"/>
            <w:szCs w:val="22"/>
          </w:rPr>
          <w:delText>.</w:delText>
        </w:r>
      </w:del>
    </w:p>
    <w:p w14:paraId="7AB0D2A7" w14:textId="10278D2E" w:rsidR="004462A0" w:rsidRPr="008912CF" w:rsidRDefault="004462A0" w:rsidP="004462A0">
      <w:pPr>
        <w:ind w:right="-2"/>
        <w:rPr>
          <w:del w:id="15641" w:author="AbbVie2" w:date="2025-05-14T10:25:00Z"/>
          <w:sz w:val="22"/>
          <w:szCs w:val="22"/>
          <w:u w:val="single"/>
        </w:rPr>
      </w:pPr>
    </w:p>
    <w:p w14:paraId="6C8E4A33" w14:textId="1472F079" w:rsidR="004462A0" w:rsidRPr="008912CF" w:rsidRDefault="00615769" w:rsidP="004462A0">
      <w:pPr>
        <w:ind w:right="-2"/>
        <w:rPr>
          <w:del w:id="15642" w:author="AbbVie2" w:date="2025-05-14T10:25:00Z"/>
          <w:sz w:val="22"/>
          <w:szCs w:val="22"/>
          <w:u w:val="single"/>
        </w:rPr>
      </w:pPr>
      <w:del w:id="15643" w:author="AbbVie2" w:date="2025-05-14T10:25:00Z">
        <w:r w:rsidRPr="008912CF">
          <w:rPr>
            <w:sz w:val="22"/>
            <w:szCs w:val="22"/>
            <w:u w:val="single"/>
          </w:rPr>
          <w:delText xml:space="preserve">Crianças </w:delText>
        </w:r>
        <w:r w:rsidR="008649AC">
          <w:rPr>
            <w:sz w:val="22"/>
            <w:szCs w:val="22"/>
            <w:u w:val="single"/>
          </w:rPr>
          <w:delText>e</w:delText>
        </w:r>
        <w:r w:rsidRPr="008912CF">
          <w:rPr>
            <w:sz w:val="22"/>
            <w:szCs w:val="22"/>
            <w:u w:val="single"/>
          </w:rPr>
          <w:delText xml:space="preserve"> adolescentes com doença de Crohn</w:delText>
        </w:r>
      </w:del>
    </w:p>
    <w:p w14:paraId="29C17858" w14:textId="18801326" w:rsidR="004462A0" w:rsidRPr="008912CF" w:rsidRDefault="004462A0" w:rsidP="004462A0">
      <w:pPr>
        <w:ind w:right="-2"/>
        <w:rPr>
          <w:del w:id="15644" w:author="AbbVie2" w:date="2025-05-14T10:25:00Z"/>
          <w:sz w:val="22"/>
          <w:szCs w:val="22"/>
          <w:u w:val="single"/>
        </w:rPr>
      </w:pPr>
    </w:p>
    <w:p w14:paraId="7E329E82" w14:textId="29E058A1" w:rsidR="008649AC" w:rsidRDefault="00615769" w:rsidP="008649AC">
      <w:pPr>
        <w:ind w:right="-2"/>
        <w:rPr>
          <w:del w:id="15645" w:author="AbbVie2" w:date="2025-05-14T10:25:00Z"/>
          <w:sz w:val="22"/>
          <w:szCs w:val="22"/>
        </w:rPr>
      </w:pPr>
      <w:del w:id="15646" w:author="AbbVie2" w:date="2025-05-14T10:25:00Z">
        <w:r>
          <w:rPr>
            <w:i/>
            <w:sz w:val="22"/>
            <w:szCs w:val="22"/>
          </w:rPr>
          <w:delText>C</w:delText>
        </w:r>
        <w:r w:rsidRPr="00E51FCC">
          <w:rPr>
            <w:i/>
            <w:sz w:val="22"/>
            <w:szCs w:val="22"/>
          </w:rPr>
          <w:delText xml:space="preserve">rianças e adolescentes entre os </w:delText>
        </w:r>
        <w:r>
          <w:rPr>
            <w:i/>
            <w:sz w:val="22"/>
            <w:szCs w:val="22"/>
          </w:rPr>
          <w:delText>6</w:delText>
        </w:r>
        <w:r w:rsidRPr="00E51FCC">
          <w:rPr>
            <w:i/>
            <w:sz w:val="22"/>
            <w:szCs w:val="22"/>
          </w:rPr>
          <w:delText xml:space="preserve"> e os 17 anos de idade com peso </w:delText>
        </w:r>
        <w:r>
          <w:rPr>
            <w:i/>
            <w:sz w:val="22"/>
            <w:szCs w:val="22"/>
          </w:rPr>
          <w:delText>inferior a 40 kg</w:delText>
        </w:r>
      </w:del>
    </w:p>
    <w:p w14:paraId="76F7D98F" w14:textId="1EB4ECDC" w:rsidR="004462A0" w:rsidRPr="008912CF" w:rsidRDefault="004462A0" w:rsidP="004462A0">
      <w:pPr>
        <w:ind w:right="34"/>
        <w:rPr>
          <w:del w:id="15647" w:author="AbbVie2" w:date="2025-05-14T10:25:00Z"/>
          <w:bCs/>
          <w:sz w:val="22"/>
          <w:szCs w:val="22"/>
          <w:u w:val="single"/>
        </w:rPr>
      </w:pPr>
    </w:p>
    <w:p w14:paraId="1D62385D" w14:textId="6C1A8AC7" w:rsidR="004462A0" w:rsidRPr="008912CF" w:rsidRDefault="00615769" w:rsidP="004462A0">
      <w:pPr>
        <w:ind w:right="34"/>
        <w:rPr>
          <w:del w:id="15648" w:author="AbbVie2" w:date="2025-05-14T10:25:00Z"/>
          <w:bCs/>
          <w:sz w:val="22"/>
          <w:szCs w:val="22"/>
        </w:rPr>
      </w:pPr>
      <w:del w:id="15649" w:author="AbbVie2" w:date="2025-05-14T10:25:00Z">
        <w:r w:rsidRPr="008912CF">
          <w:rPr>
            <w:bCs/>
            <w:sz w:val="22"/>
            <w:szCs w:val="22"/>
          </w:rPr>
          <w:delText>A dose habitual inicial é de 40 mg seguida de 20 mg duas semanas após a dose inicial. Se é necessária uma resposta mais rápida, o médico da sua criança pode prescrever uma dose inicial de 80 mg (</w:delText>
        </w:r>
        <w:r w:rsidR="008649AC">
          <w:rPr>
            <w:bCs/>
            <w:sz w:val="22"/>
            <w:szCs w:val="22"/>
          </w:rPr>
          <w:delText>duas</w:delText>
        </w:r>
        <w:r w:rsidRPr="008912CF">
          <w:rPr>
            <w:sz w:val="22"/>
            <w:szCs w:val="22"/>
          </w:rPr>
          <w:delText xml:space="preserve"> injeções</w:delText>
        </w:r>
        <w:r w:rsidR="0044722C">
          <w:rPr>
            <w:sz w:val="22"/>
            <w:szCs w:val="22"/>
          </w:rPr>
          <w:delText xml:space="preserve"> de 40 mg</w:delText>
        </w:r>
        <w:r w:rsidRPr="008912CF">
          <w:rPr>
            <w:sz w:val="22"/>
            <w:szCs w:val="22"/>
          </w:rPr>
          <w:delText xml:space="preserve"> num dia) </w:delText>
        </w:r>
        <w:r w:rsidRPr="008912CF">
          <w:rPr>
            <w:bCs/>
            <w:sz w:val="22"/>
            <w:szCs w:val="22"/>
          </w:rPr>
          <w:delText>seguida de 40 mg duas semanas após a dose inicial.</w:delText>
        </w:r>
      </w:del>
    </w:p>
    <w:p w14:paraId="5C191389" w14:textId="514AEDE7" w:rsidR="004462A0" w:rsidRPr="008912CF" w:rsidRDefault="004462A0" w:rsidP="004462A0">
      <w:pPr>
        <w:pStyle w:val="BodyText3"/>
        <w:rPr>
          <w:del w:id="15650" w:author="AbbVie2" w:date="2025-05-14T10:25:00Z"/>
          <w:szCs w:val="22"/>
        </w:rPr>
      </w:pPr>
    </w:p>
    <w:p w14:paraId="490F611C" w14:textId="1A474B31" w:rsidR="004462A0" w:rsidRPr="008912CF" w:rsidRDefault="00615769" w:rsidP="004462A0">
      <w:pPr>
        <w:numPr>
          <w:ilvl w:val="12"/>
          <w:numId w:val="0"/>
        </w:numPr>
        <w:ind w:right="-2"/>
        <w:rPr>
          <w:del w:id="15651" w:author="AbbVie2" w:date="2025-05-14T10:25:00Z"/>
          <w:sz w:val="22"/>
          <w:szCs w:val="22"/>
        </w:rPr>
      </w:pPr>
      <w:del w:id="15652" w:author="AbbVie2" w:date="2025-05-14T10:25:00Z">
        <w:r w:rsidRPr="008912CF">
          <w:rPr>
            <w:sz w:val="22"/>
            <w:szCs w:val="22"/>
          </w:rPr>
          <w:delText xml:space="preserve">Depois disso, a dose habitual é de 20 mg em semanas alternadas. Dependendo da resposta </w:delText>
        </w:r>
        <w:r w:rsidR="00983BD6">
          <w:rPr>
            <w:sz w:val="22"/>
            <w:szCs w:val="22"/>
          </w:rPr>
          <w:delText>da sua criança</w:delText>
        </w:r>
        <w:r w:rsidRPr="008912CF">
          <w:rPr>
            <w:sz w:val="22"/>
            <w:szCs w:val="22"/>
          </w:rPr>
          <w:delText>, o médico pode aumentar a dose para 20 mg por semana.</w:delText>
        </w:r>
      </w:del>
    </w:p>
    <w:p w14:paraId="6E0D500D" w14:textId="3C1C4A0D" w:rsidR="004462A0" w:rsidRPr="008912CF" w:rsidRDefault="004462A0" w:rsidP="004462A0">
      <w:pPr>
        <w:rPr>
          <w:del w:id="15653" w:author="AbbVie2" w:date="2025-05-14T10:25:00Z"/>
          <w:sz w:val="22"/>
          <w:szCs w:val="22"/>
        </w:rPr>
      </w:pPr>
    </w:p>
    <w:p w14:paraId="0FC4FD9C" w14:textId="43BD68EC" w:rsidR="00A47665" w:rsidRDefault="00615769" w:rsidP="00A47665">
      <w:pPr>
        <w:ind w:right="-2"/>
        <w:rPr>
          <w:del w:id="15654" w:author="AbbVie2" w:date="2025-05-14T10:25:00Z"/>
          <w:sz w:val="22"/>
          <w:szCs w:val="22"/>
        </w:rPr>
      </w:pPr>
      <w:del w:id="15655" w:author="AbbVie2" w:date="2025-05-14T10:25:00Z">
        <w:r>
          <w:rPr>
            <w:i/>
            <w:sz w:val="22"/>
            <w:szCs w:val="22"/>
          </w:rPr>
          <w:delText>C</w:delText>
        </w:r>
        <w:r w:rsidRPr="00E51FCC">
          <w:rPr>
            <w:i/>
            <w:sz w:val="22"/>
            <w:szCs w:val="22"/>
          </w:rPr>
          <w:delText xml:space="preserve">rianças e adolescentes entre os </w:delText>
        </w:r>
        <w:r>
          <w:rPr>
            <w:i/>
            <w:sz w:val="22"/>
            <w:szCs w:val="22"/>
          </w:rPr>
          <w:delText>6</w:delText>
        </w:r>
        <w:r w:rsidRPr="00E51FCC">
          <w:rPr>
            <w:i/>
            <w:sz w:val="22"/>
            <w:szCs w:val="22"/>
          </w:rPr>
          <w:delText xml:space="preserve"> e os 17 anos de idade com peso </w:delText>
        </w:r>
        <w:r>
          <w:rPr>
            <w:i/>
            <w:sz w:val="22"/>
            <w:szCs w:val="22"/>
          </w:rPr>
          <w:delText xml:space="preserve">igual ou </w:delText>
        </w:r>
        <w:r w:rsidR="005A6069">
          <w:rPr>
            <w:i/>
            <w:sz w:val="22"/>
            <w:szCs w:val="22"/>
          </w:rPr>
          <w:delText>superior a</w:delText>
        </w:r>
        <w:r>
          <w:rPr>
            <w:i/>
            <w:sz w:val="22"/>
            <w:szCs w:val="22"/>
          </w:rPr>
          <w:delText xml:space="preserve"> 40 kg</w:delText>
        </w:r>
      </w:del>
    </w:p>
    <w:p w14:paraId="1341F8F4" w14:textId="546F08B7" w:rsidR="004462A0" w:rsidRPr="008912CF" w:rsidRDefault="004462A0" w:rsidP="004462A0">
      <w:pPr>
        <w:ind w:right="34"/>
        <w:rPr>
          <w:del w:id="15656" w:author="AbbVie2" w:date="2025-05-14T10:25:00Z"/>
          <w:bCs/>
          <w:sz w:val="22"/>
          <w:szCs w:val="22"/>
        </w:rPr>
      </w:pPr>
    </w:p>
    <w:p w14:paraId="64F873B8" w14:textId="382A144F" w:rsidR="004462A0" w:rsidRPr="008912CF" w:rsidRDefault="00615769" w:rsidP="004462A0">
      <w:pPr>
        <w:ind w:right="34"/>
        <w:rPr>
          <w:del w:id="15657" w:author="AbbVie2" w:date="2025-05-14T10:25:00Z"/>
          <w:bCs/>
          <w:sz w:val="22"/>
          <w:szCs w:val="22"/>
        </w:rPr>
      </w:pPr>
      <w:del w:id="15658" w:author="AbbVie2" w:date="2025-05-14T10:25:00Z">
        <w:r w:rsidRPr="008912CF">
          <w:rPr>
            <w:bCs/>
            <w:sz w:val="22"/>
            <w:szCs w:val="22"/>
          </w:rPr>
          <w:delText xml:space="preserve">A dose habitual inicial é de 80 mg </w:delText>
        </w:r>
        <w:r w:rsidR="00A47665">
          <w:rPr>
            <w:bCs/>
            <w:sz w:val="22"/>
            <w:szCs w:val="22"/>
          </w:rPr>
          <w:delText>(duas injeções</w:delText>
        </w:r>
        <w:r w:rsidR="0044722C">
          <w:rPr>
            <w:bCs/>
            <w:sz w:val="22"/>
            <w:szCs w:val="22"/>
          </w:rPr>
          <w:delText xml:space="preserve"> de 40 mg</w:delText>
        </w:r>
        <w:r w:rsidR="00A47665">
          <w:rPr>
            <w:bCs/>
            <w:sz w:val="22"/>
            <w:szCs w:val="22"/>
          </w:rPr>
          <w:delText xml:space="preserve"> num dia) </w:delText>
        </w:r>
        <w:r w:rsidRPr="008912CF">
          <w:rPr>
            <w:bCs/>
            <w:sz w:val="22"/>
            <w:szCs w:val="22"/>
          </w:rPr>
          <w:delText>seguida de 40 mg duas semanas após a dose inicial. Nos casos onde é necessária uma resposta mais rápida, o médico da sua criança pode prescrever uma dose inicial de 160 mg (</w:delText>
        </w:r>
        <w:r w:rsidR="00A47665">
          <w:rPr>
            <w:sz w:val="22"/>
            <w:szCs w:val="22"/>
          </w:rPr>
          <w:delText>quatro</w:delText>
        </w:r>
        <w:r w:rsidRPr="008912CF">
          <w:rPr>
            <w:sz w:val="22"/>
            <w:szCs w:val="22"/>
          </w:rPr>
          <w:delText xml:space="preserve"> injeções </w:delText>
        </w:r>
        <w:r w:rsidR="0044722C">
          <w:rPr>
            <w:sz w:val="22"/>
            <w:szCs w:val="22"/>
          </w:rPr>
          <w:delText xml:space="preserve">de 40 mg </w:delText>
        </w:r>
        <w:r w:rsidRPr="008912CF">
          <w:rPr>
            <w:sz w:val="22"/>
            <w:szCs w:val="22"/>
          </w:rPr>
          <w:delText xml:space="preserve">num dia ou </w:delText>
        </w:r>
        <w:r w:rsidR="00A47665">
          <w:rPr>
            <w:sz w:val="22"/>
            <w:szCs w:val="22"/>
          </w:rPr>
          <w:delText>duas</w:delText>
        </w:r>
        <w:r w:rsidRPr="008912CF">
          <w:rPr>
            <w:sz w:val="22"/>
            <w:szCs w:val="22"/>
          </w:rPr>
          <w:delText xml:space="preserve"> injeções </w:delText>
        </w:r>
        <w:r w:rsidR="00FC202D">
          <w:rPr>
            <w:sz w:val="22"/>
            <w:szCs w:val="22"/>
          </w:rPr>
          <w:delText xml:space="preserve">de 40 mg </w:delText>
        </w:r>
        <w:r w:rsidRPr="008912CF">
          <w:rPr>
            <w:sz w:val="22"/>
            <w:szCs w:val="22"/>
          </w:rPr>
          <w:delText xml:space="preserve">por dia em dois dias consecutivos) </w:delText>
        </w:r>
        <w:r w:rsidRPr="008912CF">
          <w:rPr>
            <w:bCs/>
            <w:sz w:val="22"/>
            <w:szCs w:val="22"/>
          </w:rPr>
          <w:delText xml:space="preserve">seguida de 80 mg </w:delText>
        </w:r>
        <w:r w:rsidR="00A47665">
          <w:rPr>
            <w:bCs/>
            <w:sz w:val="22"/>
            <w:szCs w:val="22"/>
          </w:rPr>
          <w:delText xml:space="preserve">(duas injeções </w:delText>
        </w:r>
        <w:r w:rsidR="0044722C">
          <w:rPr>
            <w:bCs/>
            <w:sz w:val="22"/>
            <w:szCs w:val="22"/>
          </w:rPr>
          <w:delText xml:space="preserve">de 40 mg </w:delText>
        </w:r>
        <w:r w:rsidR="00A47665">
          <w:rPr>
            <w:bCs/>
            <w:sz w:val="22"/>
            <w:szCs w:val="22"/>
          </w:rPr>
          <w:delText xml:space="preserve">num dia) </w:delText>
        </w:r>
        <w:r w:rsidRPr="008912CF">
          <w:rPr>
            <w:bCs/>
            <w:sz w:val="22"/>
            <w:szCs w:val="22"/>
          </w:rPr>
          <w:delText>duas semanas após a dose inicial.</w:delText>
        </w:r>
      </w:del>
    </w:p>
    <w:p w14:paraId="2A7C33D6" w14:textId="4159F1C4" w:rsidR="004462A0" w:rsidRPr="008912CF" w:rsidRDefault="004462A0" w:rsidP="004462A0">
      <w:pPr>
        <w:pStyle w:val="BodyText3"/>
        <w:rPr>
          <w:del w:id="15659" w:author="AbbVie2" w:date="2025-05-14T10:25:00Z"/>
          <w:szCs w:val="22"/>
        </w:rPr>
      </w:pPr>
    </w:p>
    <w:p w14:paraId="79DD51FC" w14:textId="5E0403D2" w:rsidR="004462A0" w:rsidRPr="008912CF" w:rsidRDefault="00615769" w:rsidP="004462A0">
      <w:pPr>
        <w:numPr>
          <w:ilvl w:val="12"/>
          <w:numId w:val="0"/>
        </w:numPr>
        <w:ind w:right="-2"/>
        <w:rPr>
          <w:del w:id="15660" w:author="AbbVie2" w:date="2025-05-14T10:25:00Z"/>
          <w:sz w:val="22"/>
          <w:szCs w:val="22"/>
        </w:rPr>
      </w:pPr>
      <w:del w:id="15661" w:author="AbbVie2" w:date="2025-05-14T10:25:00Z">
        <w:r w:rsidRPr="008912CF">
          <w:rPr>
            <w:sz w:val="22"/>
            <w:szCs w:val="22"/>
          </w:rPr>
          <w:delText xml:space="preserve">Depois disso, a dose habitual é de 40 mg em semanas alternadas. Dependendo da resposta </w:delText>
        </w:r>
        <w:r w:rsidR="00983BD6">
          <w:rPr>
            <w:sz w:val="22"/>
            <w:szCs w:val="22"/>
          </w:rPr>
          <w:delText>da sua criança</w:delText>
        </w:r>
        <w:r w:rsidRPr="008912CF">
          <w:rPr>
            <w:sz w:val="22"/>
            <w:szCs w:val="22"/>
          </w:rPr>
          <w:delText>, o médico pode aumentar a dose para 40 mg por semana</w:delText>
        </w:r>
        <w:r w:rsidR="0044722C">
          <w:rPr>
            <w:sz w:val="22"/>
            <w:szCs w:val="22"/>
          </w:rPr>
          <w:delText xml:space="preserve"> ou 80 mg em semanas alternadas</w:delText>
        </w:r>
        <w:r w:rsidRPr="008912CF">
          <w:rPr>
            <w:sz w:val="22"/>
            <w:szCs w:val="22"/>
          </w:rPr>
          <w:delText>.</w:delText>
        </w:r>
      </w:del>
    </w:p>
    <w:p w14:paraId="3A9F280F" w14:textId="5B138839" w:rsidR="004462A0" w:rsidRPr="008912CF" w:rsidRDefault="004462A0" w:rsidP="004462A0">
      <w:pPr>
        <w:rPr>
          <w:del w:id="15662" w:author="AbbVie2" w:date="2025-05-14T10:25:00Z"/>
          <w:sz w:val="22"/>
          <w:szCs w:val="22"/>
          <w:u w:val="single"/>
        </w:rPr>
      </w:pPr>
    </w:p>
    <w:p w14:paraId="06D09681" w14:textId="05741D6A" w:rsidR="004462A0" w:rsidRPr="008912CF" w:rsidRDefault="00615769" w:rsidP="004462A0">
      <w:pPr>
        <w:pStyle w:val="BodyText3"/>
        <w:rPr>
          <w:del w:id="15663" w:author="AbbVie2" w:date="2025-05-14T10:25:00Z"/>
          <w:szCs w:val="22"/>
          <w:u w:val="single"/>
        </w:rPr>
      </w:pPr>
      <w:del w:id="15664" w:author="AbbVie2" w:date="2025-05-14T10:25:00Z">
        <w:r w:rsidRPr="008912CF">
          <w:rPr>
            <w:szCs w:val="22"/>
            <w:u w:val="single"/>
          </w:rPr>
          <w:delText>Adultos com colite ulcerosa</w:delText>
        </w:r>
      </w:del>
    </w:p>
    <w:p w14:paraId="0B2A782E" w14:textId="52991564" w:rsidR="004462A0" w:rsidRPr="008912CF" w:rsidRDefault="004462A0" w:rsidP="004462A0">
      <w:pPr>
        <w:pStyle w:val="BodyText3"/>
        <w:rPr>
          <w:del w:id="15665" w:author="AbbVie2" w:date="2025-05-14T10:25:00Z"/>
          <w:szCs w:val="22"/>
        </w:rPr>
      </w:pPr>
    </w:p>
    <w:p w14:paraId="775141B8" w14:textId="595D322E" w:rsidR="004462A0" w:rsidRPr="008912CF" w:rsidRDefault="00615769" w:rsidP="004462A0">
      <w:pPr>
        <w:pStyle w:val="BodyText3"/>
        <w:rPr>
          <w:del w:id="15666" w:author="AbbVie2" w:date="2025-05-14T10:25:00Z"/>
          <w:szCs w:val="22"/>
        </w:rPr>
      </w:pPr>
      <w:del w:id="15667" w:author="AbbVie2" w:date="2025-05-14T10:25:00Z">
        <w:r w:rsidRPr="008912CF">
          <w:rPr>
            <w:szCs w:val="22"/>
          </w:rPr>
          <w:delText xml:space="preserve">A dose habitual em adultos com colite ulcerosa é de 160 mg </w:delText>
        </w:r>
        <w:r w:rsidR="00A47665">
          <w:rPr>
            <w:szCs w:val="22"/>
          </w:rPr>
          <w:delText xml:space="preserve">(quatro injeções </w:delText>
        </w:r>
        <w:r w:rsidR="0044722C">
          <w:rPr>
            <w:szCs w:val="22"/>
          </w:rPr>
          <w:delText xml:space="preserve">de 40 mg </w:delText>
        </w:r>
        <w:r w:rsidR="00A47665">
          <w:rPr>
            <w:szCs w:val="22"/>
          </w:rPr>
          <w:delText xml:space="preserve">num dia ou duas injeções </w:delText>
        </w:r>
        <w:r w:rsidR="00FC202D">
          <w:rPr>
            <w:szCs w:val="22"/>
          </w:rPr>
          <w:delText xml:space="preserve">de 40 mg </w:delText>
        </w:r>
        <w:r w:rsidR="00A47665">
          <w:rPr>
            <w:szCs w:val="22"/>
          </w:rPr>
          <w:delText xml:space="preserve">por dia em dois dias consecutivos) </w:delText>
        </w:r>
        <w:r w:rsidRPr="008912CF">
          <w:rPr>
            <w:szCs w:val="22"/>
          </w:rPr>
          <w:delText>na Semana 0, e 80 mg</w:delText>
        </w:r>
        <w:r w:rsidR="00A47665">
          <w:rPr>
            <w:szCs w:val="22"/>
          </w:rPr>
          <w:delText xml:space="preserve"> (duas injeções </w:delText>
        </w:r>
        <w:r w:rsidR="0044722C">
          <w:rPr>
            <w:szCs w:val="22"/>
          </w:rPr>
          <w:delText xml:space="preserve">de 40 mg </w:delText>
        </w:r>
        <w:r w:rsidR="00A47665">
          <w:rPr>
            <w:szCs w:val="22"/>
          </w:rPr>
          <w:delText>num dia)</w:delText>
        </w:r>
        <w:r w:rsidRPr="008912CF">
          <w:rPr>
            <w:szCs w:val="22"/>
          </w:rPr>
          <w:delText xml:space="preserve"> na Semana 2, e depois disso 40 mg em semanas alternadas. Dependendo da sua resposta, o médico pode aumentar a dose para 40 mg por semana</w:delText>
        </w:r>
        <w:r w:rsidR="009159CF">
          <w:rPr>
            <w:szCs w:val="22"/>
          </w:rPr>
          <w:delText xml:space="preserve"> ou 80 mg em semanas alternadas</w:delText>
        </w:r>
        <w:r w:rsidRPr="008912CF">
          <w:rPr>
            <w:szCs w:val="22"/>
          </w:rPr>
          <w:delText>.</w:delText>
        </w:r>
      </w:del>
    </w:p>
    <w:p w14:paraId="035314DA" w14:textId="675AF4B0" w:rsidR="004462A0" w:rsidRDefault="004462A0" w:rsidP="004462A0">
      <w:pPr>
        <w:rPr>
          <w:del w:id="15668" w:author="AbbVie2" w:date="2025-05-14T10:25:00Z"/>
          <w:b/>
          <w:bCs/>
          <w:sz w:val="22"/>
          <w:szCs w:val="22"/>
        </w:rPr>
      </w:pPr>
    </w:p>
    <w:p w14:paraId="25539CFA" w14:textId="24A73EDF" w:rsidR="006A5654" w:rsidRPr="006A5654" w:rsidRDefault="00615769" w:rsidP="006A5654">
      <w:pPr>
        <w:numPr>
          <w:ilvl w:val="12"/>
          <w:numId w:val="0"/>
        </w:numPr>
        <w:ind w:right="-2"/>
        <w:rPr>
          <w:del w:id="15669" w:author="AbbVie2" w:date="2025-05-14T10:25:00Z"/>
          <w:sz w:val="22"/>
          <w:szCs w:val="22"/>
          <w:u w:val="single"/>
        </w:rPr>
      </w:pPr>
      <w:del w:id="15670" w:author="AbbVie2" w:date="2025-05-14T10:25:00Z">
        <w:r w:rsidRPr="006A5654">
          <w:rPr>
            <w:sz w:val="22"/>
            <w:szCs w:val="22"/>
            <w:u w:val="single"/>
          </w:rPr>
          <w:delText>Crianças e adolescentes com colite ulcerosa</w:delText>
        </w:r>
      </w:del>
    </w:p>
    <w:p w14:paraId="13B9FBFE" w14:textId="3F23AF34" w:rsidR="006A5654" w:rsidRPr="006A5654" w:rsidRDefault="006A5654" w:rsidP="006A5654">
      <w:pPr>
        <w:numPr>
          <w:ilvl w:val="12"/>
          <w:numId w:val="0"/>
        </w:numPr>
        <w:ind w:right="-2"/>
        <w:rPr>
          <w:del w:id="15671" w:author="AbbVie2" w:date="2025-05-14T10:25:00Z"/>
          <w:sz w:val="22"/>
          <w:szCs w:val="22"/>
        </w:rPr>
      </w:pPr>
    </w:p>
    <w:p w14:paraId="6104E93B" w14:textId="7CD92261" w:rsidR="006A5654" w:rsidRPr="006A5654" w:rsidRDefault="00615769" w:rsidP="006A5654">
      <w:pPr>
        <w:numPr>
          <w:ilvl w:val="12"/>
          <w:numId w:val="0"/>
        </w:numPr>
        <w:ind w:right="-2"/>
        <w:rPr>
          <w:del w:id="15672" w:author="AbbVie2" w:date="2025-05-14T10:25:00Z"/>
          <w:i/>
          <w:iCs/>
          <w:sz w:val="22"/>
          <w:szCs w:val="22"/>
        </w:rPr>
      </w:pPr>
      <w:del w:id="15673" w:author="AbbVie2" w:date="2025-05-14T10:25:00Z">
        <w:r w:rsidRPr="006A5654">
          <w:rPr>
            <w:i/>
            <w:iCs/>
            <w:sz w:val="22"/>
            <w:szCs w:val="22"/>
          </w:rPr>
          <w:delText>Crianças e adolescentes a partir dos 6 anos de idade com peso inferior a 40 kg</w:delText>
        </w:r>
      </w:del>
    </w:p>
    <w:p w14:paraId="147471D9" w14:textId="3108E70A" w:rsidR="006A5654" w:rsidRPr="006A5654" w:rsidRDefault="006A5654" w:rsidP="006A5654">
      <w:pPr>
        <w:numPr>
          <w:ilvl w:val="12"/>
          <w:numId w:val="0"/>
        </w:numPr>
        <w:ind w:right="-2"/>
        <w:rPr>
          <w:del w:id="15674" w:author="AbbVie2" w:date="2025-05-14T10:25:00Z"/>
          <w:sz w:val="22"/>
          <w:szCs w:val="22"/>
        </w:rPr>
      </w:pPr>
    </w:p>
    <w:p w14:paraId="52405D82" w14:textId="793F4837" w:rsidR="006A5654" w:rsidRPr="006A5654" w:rsidRDefault="00615769" w:rsidP="006A5654">
      <w:pPr>
        <w:numPr>
          <w:ilvl w:val="12"/>
          <w:numId w:val="0"/>
        </w:numPr>
        <w:ind w:right="-2"/>
        <w:rPr>
          <w:del w:id="15675" w:author="AbbVie2" w:date="2025-05-14T10:25:00Z"/>
          <w:sz w:val="22"/>
          <w:szCs w:val="22"/>
        </w:rPr>
      </w:pPr>
      <w:del w:id="15676" w:author="AbbVie2" w:date="2025-05-14T10:25:00Z">
        <w:r w:rsidRPr="006A5654">
          <w:rPr>
            <w:sz w:val="22"/>
            <w:szCs w:val="22"/>
          </w:rPr>
          <w:delText xml:space="preserve">A dose habitual de Humira é de uma dose inicial de 80 mg (duas injeções de 40 mg num dia), seguida de 40 mg (uma injeção de 40 mg) duas semanas após a dose inicial. Depois disso, a dose habitual é de 40 mg em semanas alternadas. </w:delText>
        </w:r>
      </w:del>
    </w:p>
    <w:p w14:paraId="0A502F9A" w14:textId="0BC2686F" w:rsidR="006A5654" w:rsidRPr="006A5654" w:rsidRDefault="006A5654" w:rsidP="006A5654">
      <w:pPr>
        <w:numPr>
          <w:ilvl w:val="12"/>
          <w:numId w:val="0"/>
        </w:numPr>
        <w:ind w:right="-2"/>
        <w:rPr>
          <w:del w:id="15677" w:author="AbbVie2" w:date="2025-05-14T10:25:00Z"/>
          <w:sz w:val="22"/>
          <w:szCs w:val="22"/>
        </w:rPr>
      </w:pPr>
    </w:p>
    <w:p w14:paraId="413EE596" w14:textId="2B3BC35E" w:rsidR="006A5654" w:rsidRPr="006A5654" w:rsidRDefault="00615769" w:rsidP="006A5654">
      <w:pPr>
        <w:numPr>
          <w:ilvl w:val="12"/>
          <w:numId w:val="0"/>
        </w:numPr>
        <w:ind w:right="-2"/>
        <w:rPr>
          <w:del w:id="15678" w:author="AbbVie2" w:date="2025-05-14T10:25:00Z"/>
          <w:sz w:val="22"/>
          <w:szCs w:val="22"/>
        </w:rPr>
      </w:pPr>
      <w:del w:id="15679" w:author="AbbVie2" w:date="2025-05-14T10:25:00Z">
        <w:r w:rsidRPr="006A5654">
          <w:rPr>
            <w:sz w:val="22"/>
            <w:szCs w:val="22"/>
          </w:rPr>
          <w:delText>Os doentes pediátricos que completem 18 anos de idade durante o tratamento com 40 mg em semanas alternadas devem continuar com a dose prescrita.</w:delText>
        </w:r>
      </w:del>
    </w:p>
    <w:p w14:paraId="24FA7FA3" w14:textId="2EC2C27E" w:rsidR="006A5654" w:rsidRPr="006A5654" w:rsidRDefault="006A5654" w:rsidP="006A5654">
      <w:pPr>
        <w:numPr>
          <w:ilvl w:val="12"/>
          <w:numId w:val="0"/>
        </w:numPr>
        <w:ind w:right="-2"/>
        <w:rPr>
          <w:del w:id="15680" w:author="AbbVie2" w:date="2025-05-14T10:25:00Z"/>
          <w:sz w:val="22"/>
          <w:szCs w:val="22"/>
        </w:rPr>
      </w:pPr>
    </w:p>
    <w:p w14:paraId="38FF6961" w14:textId="68EDC114" w:rsidR="006A5654" w:rsidRPr="006A5654" w:rsidRDefault="00615769" w:rsidP="006A5654">
      <w:pPr>
        <w:numPr>
          <w:ilvl w:val="12"/>
          <w:numId w:val="0"/>
        </w:numPr>
        <w:ind w:right="-2"/>
        <w:rPr>
          <w:del w:id="15681" w:author="AbbVie2" w:date="2025-05-14T10:25:00Z"/>
          <w:i/>
          <w:iCs/>
          <w:sz w:val="22"/>
          <w:szCs w:val="22"/>
        </w:rPr>
      </w:pPr>
      <w:del w:id="15682" w:author="AbbVie2" w:date="2025-05-14T10:25:00Z">
        <w:r w:rsidRPr="006A5654">
          <w:rPr>
            <w:i/>
            <w:iCs/>
            <w:sz w:val="22"/>
            <w:szCs w:val="22"/>
          </w:rPr>
          <w:delText>Crianças e adolescentes a partir dos 6 anos de idade com peso igual ou superior a 40 kg</w:delText>
        </w:r>
      </w:del>
    </w:p>
    <w:p w14:paraId="397A8DEC" w14:textId="0414FA61" w:rsidR="006A5654" w:rsidRPr="006A5654" w:rsidRDefault="006A5654" w:rsidP="006A5654">
      <w:pPr>
        <w:numPr>
          <w:ilvl w:val="12"/>
          <w:numId w:val="0"/>
        </w:numPr>
        <w:ind w:right="-2"/>
        <w:rPr>
          <w:del w:id="15683" w:author="AbbVie2" w:date="2025-05-14T10:25:00Z"/>
          <w:i/>
          <w:iCs/>
          <w:sz w:val="22"/>
          <w:szCs w:val="22"/>
        </w:rPr>
      </w:pPr>
    </w:p>
    <w:p w14:paraId="2DA36EDA" w14:textId="3886170E" w:rsidR="006A5654" w:rsidRPr="006A5654" w:rsidRDefault="00615769" w:rsidP="006A5654">
      <w:pPr>
        <w:numPr>
          <w:ilvl w:val="12"/>
          <w:numId w:val="0"/>
        </w:numPr>
        <w:ind w:right="-2"/>
        <w:rPr>
          <w:del w:id="15684" w:author="AbbVie2" w:date="2025-05-14T10:25:00Z"/>
          <w:sz w:val="22"/>
          <w:szCs w:val="22"/>
        </w:rPr>
      </w:pPr>
      <w:del w:id="15685" w:author="AbbVie2" w:date="2025-05-14T10:25:00Z">
        <w:r w:rsidRPr="006A5654">
          <w:rPr>
            <w:sz w:val="22"/>
            <w:szCs w:val="22"/>
          </w:rPr>
          <w:delText xml:space="preserve">A dose habitual de Humira é de uma dose inicial de 160 mg (quatro injeções de 40 mg num dia ou duas injeções de 40 mg por dia, em dois dias consecutivos), seguida de 80 mg (duas injeções de 40 mg num dia) duas semanas após a dose inicial. Depois disso, a dose habitual é de 80 mg em semanas alternadas. </w:delText>
        </w:r>
      </w:del>
    </w:p>
    <w:p w14:paraId="71E06C0C" w14:textId="0B2F46F6" w:rsidR="006A5654" w:rsidRPr="006A5654" w:rsidRDefault="006A5654" w:rsidP="006A5654">
      <w:pPr>
        <w:numPr>
          <w:ilvl w:val="12"/>
          <w:numId w:val="0"/>
        </w:numPr>
        <w:ind w:right="-2"/>
        <w:rPr>
          <w:del w:id="15686" w:author="AbbVie2" w:date="2025-05-14T10:25:00Z"/>
          <w:sz w:val="22"/>
          <w:szCs w:val="22"/>
        </w:rPr>
      </w:pPr>
    </w:p>
    <w:p w14:paraId="499DF3CE" w14:textId="2698C660" w:rsidR="006A5654" w:rsidRPr="006A5654" w:rsidRDefault="00615769" w:rsidP="006A5654">
      <w:pPr>
        <w:numPr>
          <w:ilvl w:val="12"/>
          <w:numId w:val="0"/>
        </w:numPr>
        <w:ind w:right="-2"/>
        <w:rPr>
          <w:del w:id="15687" w:author="AbbVie2" w:date="2025-05-14T10:25:00Z"/>
          <w:sz w:val="22"/>
          <w:szCs w:val="22"/>
        </w:rPr>
      </w:pPr>
      <w:del w:id="15688" w:author="AbbVie2" w:date="2025-05-14T10:25:00Z">
        <w:r w:rsidRPr="006A5654">
          <w:rPr>
            <w:sz w:val="22"/>
            <w:szCs w:val="22"/>
          </w:rPr>
          <w:delText>Os doentes pediátricos que completem 18 anos de idade durante o tratamento com 80 mg em semanas alternadas devem continuar com a dose prescrita.</w:delText>
        </w:r>
      </w:del>
    </w:p>
    <w:p w14:paraId="4B9F11F5" w14:textId="4DFF0ADE" w:rsidR="006A5654" w:rsidRPr="006A5654" w:rsidRDefault="006A5654" w:rsidP="006A5654">
      <w:pPr>
        <w:numPr>
          <w:ilvl w:val="12"/>
          <w:numId w:val="0"/>
        </w:numPr>
        <w:ind w:right="-2"/>
        <w:rPr>
          <w:del w:id="15689" w:author="AbbVie2" w:date="2025-05-14T10:25:00Z"/>
          <w:u w:val="single"/>
        </w:rPr>
      </w:pPr>
    </w:p>
    <w:p w14:paraId="3080C1F7" w14:textId="54596606" w:rsidR="004462A0" w:rsidRPr="00343089" w:rsidRDefault="00615769" w:rsidP="004462A0">
      <w:pPr>
        <w:keepNext/>
        <w:rPr>
          <w:del w:id="15690" w:author="AbbVie2" w:date="2025-05-14T10:25:00Z"/>
          <w:bCs/>
          <w:sz w:val="22"/>
          <w:szCs w:val="22"/>
          <w:u w:val="single"/>
        </w:rPr>
      </w:pPr>
      <w:del w:id="15691" w:author="AbbVie2" w:date="2025-05-14T10:25:00Z">
        <w:r w:rsidRPr="00343089">
          <w:rPr>
            <w:bCs/>
            <w:sz w:val="22"/>
            <w:szCs w:val="22"/>
            <w:u w:val="single"/>
          </w:rPr>
          <w:delText>Adultos com uveíte não infecciosa</w:delText>
        </w:r>
      </w:del>
    </w:p>
    <w:p w14:paraId="569DF207" w14:textId="04ABE301" w:rsidR="004462A0" w:rsidRPr="0095508D" w:rsidRDefault="004462A0" w:rsidP="004462A0">
      <w:pPr>
        <w:keepNext/>
        <w:rPr>
          <w:del w:id="15692" w:author="AbbVie2" w:date="2025-05-14T10:25:00Z"/>
          <w:bCs/>
          <w:sz w:val="22"/>
          <w:szCs w:val="22"/>
          <w:u w:val="single"/>
        </w:rPr>
      </w:pPr>
    </w:p>
    <w:p w14:paraId="045AD375" w14:textId="2BB38A3C" w:rsidR="004462A0" w:rsidRPr="00343089" w:rsidRDefault="00615769" w:rsidP="004462A0">
      <w:pPr>
        <w:keepNext/>
        <w:rPr>
          <w:del w:id="15693" w:author="AbbVie2" w:date="2025-05-14T10:25:00Z"/>
          <w:bCs/>
          <w:sz w:val="22"/>
          <w:szCs w:val="22"/>
        </w:rPr>
      </w:pPr>
      <w:del w:id="15694" w:author="AbbVie2" w:date="2025-05-14T10:25:00Z">
        <w:r w:rsidRPr="00343089">
          <w:rPr>
            <w:bCs/>
            <w:sz w:val="22"/>
            <w:szCs w:val="22"/>
          </w:rPr>
          <w:delText>A dose habitual inicial em adultos com uveíte não infecciosa é de 80</w:delText>
        </w:r>
        <w:r>
          <w:rPr>
            <w:bCs/>
            <w:sz w:val="22"/>
            <w:szCs w:val="22"/>
          </w:rPr>
          <w:delText> </w:delText>
        </w:r>
        <w:r w:rsidRPr="00343089">
          <w:rPr>
            <w:bCs/>
            <w:sz w:val="22"/>
            <w:szCs w:val="22"/>
          </w:rPr>
          <w:delText>mg</w:delText>
        </w:r>
        <w:r w:rsidR="00A47665">
          <w:rPr>
            <w:bCs/>
            <w:sz w:val="22"/>
            <w:szCs w:val="22"/>
          </w:rPr>
          <w:delText xml:space="preserve"> (duas injeções num dia)</w:delText>
        </w:r>
        <w:r w:rsidRPr="00343089">
          <w:rPr>
            <w:bCs/>
            <w:sz w:val="22"/>
            <w:szCs w:val="22"/>
          </w:rPr>
          <w:delText xml:space="preserve">, seguida de </w:delText>
        </w:r>
        <w:r w:rsidRPr="009B116D">
          <w:rPr>
            <w:bCs/>
            <w:sz w:val="22"/>
            <w:szCs w:val="22"/>
          </w:rPr>
          <w:delText xml:space="preserve">40 mg </w:delText>
        </w:r>
        <w:r w:rsidRPr="00343089">
          <w:rPr>
            <w:bCs/>
            <w:sz w:val="22"/>
            <w:szCs w:val="22"/>
          </w:rPr>
          <w:delText>em semanas alternadas, uma semana após a dose inicial. Deve continuar a administrar Humira durante o tempo que lhe foi indicado pelo seu médico.</w:delText>
        </w:r>
      </w:del>
    </w:p>
    <w:p w14:paraId="2B6EEBF9" w14:textId="21CAE39C" w:rsidR="004462A0" w:rsidRPr="00343089" w:rsidRDefault="004462A0" w:rsidP="004462A0">
      <w:pPr>
        <w:rPr>
          <w:del w:id="15695" w:author="AbbVie2" w:date="2025-05-14T10:25:00Z"/>
          <w:bCs/>
          <w:sz w:val="22"/>
          <w:szCs w:val="22"/>
        </w:rPr>
      </w:pPr>
    </w:p>
    <w:p w14:paraId="595F7956" w14:textId="033F4901" w:rsidR="004462A0" w:rsidRPr="009B116D" w:rsidRDefault="00615769" w:rsidP="004462A0">
      <w:pPr>
        <w:rPr>
          <w:del w:id="15696" w:author="AbbVie2" w:date="2025-05-14T10:25:00Z"/>
          <w:b/>
          <w:bCs/>
          <w:sz w:val="22"/>
          <w:szCs w:val="22"/>
        </w:rPr>
      </w:pPr>
      <w:del w:id="15697" w:author="AbbVie2" w:date="2025-05-14T10:25:00Z">
        <w:r w:rsidRPr="00343089">
          <w:rPr>
            <w:bCs/>
            <w:sz w:val="22"/>
            <w:szCs w:val="22"/>
          </w:rPr>
          <w:delText>Na uveíte não infecciosa, pode continuar a utilizar corticosteroides ou outros medicamentos que influenciam o sistema imunitário enquanto usa Humira. Humira pode ser usado isoladamente.</w:delText>
        </w:r>
      </w:del>
    </w:p>
    <w:p w14:paraId="3EBEB5D4" w14:textId="2DE0583F" w:rsidR="00B90369" w:rsidRDefault="00B90369" w:rsidP="00B90369">
      <w:pPr>
        <w:rPr>
          <w:del w:id="15698" w:author="AbbVie2" w:date="2025-05-14T10:25:00Z"/>
          <w:b/>
          <w:bCs/>
          <w:sz w:val="22"/>
          <w:szCs w:val="22"/>
        </w:rPr>
      </w:pPr>
    </w:p>
    <w:p w14:paraId="35525AD6" w14:textId="04C80E14" w:rsidR="00B90369" w:rsidRPr="004D4741" w:rsidRDefault="00615769" w:rsidP="00B90369">
      <w:pPr>
        <w:ind w:right="-2"/>
        <w:rPr>
          <w:del w:id="15699" w:author="AbbVie2" w:date="2025-05-14T10:25:00Z"/>
          <w:sz w:val="22"/>
          <w:szCs w:val="22"/>
          <w:u w:val="single"/>
        </w:rPr>
      </w:pPr>
      <w:del w:id="15700" w:author="AbbVie2" w:date="2025-05-14T10:25:00Z">
        <w:r w:rsidRPr="004D4741">
          <w:rPr>
            <w:sz w:val="22"/>
            <w:szCs w:val="22"/>
            <w:u w:val="single"/>
          </w:rPr>
          <w:delText xml:space="preserve">Crianças </w:delText>
        </w:r>
        <w:r w:rsidR="00A47665">
          <w:rPr>
            <w:sz w:val="22"/>
            <w:szCs w:val="22"/>
            <w:u w:val="single"/>
          </w:rPr>
          <w:delText xml:space="preserve">e adolescentes </w:delText>
        </w:r>
        <w:r w:rsidRPr="004D4741">
          <w:rPr>
            <w:sz w:val="22"/>
            <w:szCs w:val="22"/>
            <w:u w:val="single"/>
          </w:rPr>
          <w:delText xml:space="preserve">com uveíte </w:delText>
        </w:r>
        <w:r w:rsidR="004D5D58" w:rsidRPr="004D4741">
          <w:rPr>
            <w:sz w:val="22"/>
            <w:szCs w:val="22"/>
            <w:u w:val="single"/>
          </w:rPr>
          <w:delText>não infecciosa</w:delText>
        </w:r>
        <w:r w:rsidR="004D5D58">
          <w:rPr>
            <w:sz w:val="22"/>
            <w:szCs w:val="22"/>
            <w:u w:val="single"/>
          </w:rPr>
          <w:delText>,</w:delText>
        </w:r>
        <w:r w:rsidR="004D5D58" w:rsidRPr="004D4741">
          <w:rPr>
            <w:sz w:val="22"/>
            <w:szCs w:val="22"/>
            <w:u w:val="single"/>
          </w:rPr>
          <w:delText xml:space="preserve"> </w:delText>
        </w:r>
        <w:r w:rsidRPr="004D4741">
          <w:rPr>
            <w:sz w:val="22"/>
            <w:szCs w:val="22"/>
            <w:u w:val="single"/>
          </w:rPr>
          <w:delText>crónica</w:delText>
        </w:r>
        <w:r w:rsidR="004D5D58">
          <w:rPr>
            <w:sz w:val="22"/>
            <w:szCs w:val="22"/>
            <w:u w:val="single"/>
          </w:rPr>
          <w:delText>,</w:delText>
        </w:r>
        <w:r w:rsidRPr="004D4741">
          <w:rPr>
            <w:sz w:val="22"/>
            <w:szCs w:val="22"/>
            <w:u w:val="single"/>
          </w:rPr>
          <w:delText>a partir dos 2</w:delText>
        </w:r>
        <w:r>
          <w:rPr>
            <w:sz w:val="22"/>
            <w:szCs w:val="22"/>
            <w:u w:val="single"/>
          </w:rPr>
          <w:delText> </w:delText>
        </w:r>
        <w:r w:rsidRPr="004D4741">
          <w:rPr>
            <w:sz w:val="22"/>
            <w:szCs w:val="22"/>
            <w:u w:val="single"/>
          </w:rPr>
          <w:delText>anos de idade</w:delText>
        </w:r>
      </w:del>
    </w:p>
    <w:p w14:paraId="33738EE5" w14:textId="09D0CF57" w:rsidR="00B90369" w:rsidRDefault="00B90369" w:rsidP="00B90369">
      <w:pPr>
        <w:ind w:right="-2"/>
        <w:rPr>
          <w:del w:id="15701" w:author="AbbVie2" w:date="2025-05-14T10:25:00Z"/>
          <w:sz w:val="22"/>
          <w:szCs w:val="22"/>
        </w:rPr>
      </w:pPr>
    </w:p>
    <w:p w14:paraId="733DC825" w14:textId="46291064" w:rsidR="00B90369" w:rsidRDefault="00615769" w:rsidP="00B90369">
      <w:pPr>
        <w:ind w:right="-2"/>
        <w:rPr>
          <w:del w:id="15702" w:author="AbbVie2" w:date="2025-05-14T10:25:00Z"/>
          <w:sz w:val="22"/>
          <w:szCs w:val="22"/>
        </w:rPr>
      </w:pPr>
      <w:del w:id="15703" w:author="AbbVie2" w:date="2025-05-14T10:25:00Z">
        <w:r w:rsidRPr="00E51FCC">
          <w:rPr>
            <w:i/>
            <w:szCs w:val="22"/>
          </w:rPr>
          <w:delText xml:space="preserve">Crianças e adolescentes a partir dos </w:delText>
        </w:r>
        <w:r>
          <w:rPr>
            <w:i/>
            <w:szCs w:val="22"/>
          </w:rPr>
          <w:delText>2</w:delText>
        </w:r>
        <w:r w:rsidRPr="00E51FCC">
          <w:rPr>
            <w:i/>
            <w:szCs w:val="22"/>
          </w:rPr>
          <w:delText xml:space="preserve"> anos de idade com peso </w:delText>
        </w:r>
        <w:r>
          <w:rPr>
            <w:i/>
            <w:szCs w:val="22"/>
          </w:rPr>
          <w:delText xml:space="preserve">inferior </w:delText>
        </w:r>
        <w:r w:rsidRPr="00E51FCC">
          <w:rPr>
            <w:i/>
            <w:szCs w:val="22"/>
          </w:rPr>
          <w:delText>a 30 kg</w:delText>
        </w:r>
      </w:del>
    </w:p>
    <w:p w14:paraId="2434354B" w14:textId="3066B83A" w:rsidR="005F7A16" w:rsidRDefault="005F7A16" w:rsidP="00B90369">
      <w:pPr>
        <w:ind w:right="-2"/>
        <w:rPr>
          <w:del w:id="15704" w:author="AbbVie2" w:date="2025-05-14T10:25:00Z"/>
          <w:bCs/>
          <w:sz w:val="22"/>
          <w:szCs w:val="22"/>
        </w:rPr>
      </w:pPr>
    </w:p>
    <w:p w14:paraId="01ED4FD9" w14:textId="2F268D24" w:rsidR="00B90369" w:rsidRDefault="00615769" w:rsidP="00B90369">
      <w:pPr>
        <w:ind w:right="-2"/>
        <w:rPr>
          <w:del w:id="15705" w:author="AbbVie2" w:date="2025-05-14T10:25:00Z"/>
          <w:bCs/>
          <w:sz w:val="22"/>
          <w:szCs w:val="22"/>
        </w:rPr>
      </w:pPr>
      <w:del w:id="15706" w:author="AbbVie2" w:date="2025-05-14T10:25:00Z">
        <w:r w:rsidRPr="008912CF">
          <w:rPr>
            <w:bCs/>
            <w:sz w:val="22"/>
            <w:szCs w:val="22"/>
          </w:rPr>
          <w:delText xml:space="preserve">A dose habitual </w:delText>
        </w:r>
        <w:r>
          <w:rPr>
            <w:bCs/>
            <w:sz w:val="22"/>
            <w:szCs w:val="22"/>
          </w:rPr>
          <w:delText xml:space="preserve">de Humira </w:delText>
        </w:r>
        <w:r w:rsidRPr="008912CF">
          <w:rPr>
            <w:bCs/>
            <w:sz w:val="22"/>
            <w:szCs w:val="22"/>
          </w:rPr>
          <w:delText xml:space="preserve">é de </w:delText>
        </w:r>
        <w:r>
          <w:rPr>
            <w:bCs/>
            <w:sz w:val="22"/>
            <w:szCs w:val="22"/>
          </w:rPr>
          <w:delText>2</w:delText>
        </w:r>
        <w:r w:rsidRPr="008912CF">
          <w:rPr>
            <w:bCs/>
            <w:sz w:val="22"/>
            <w:szCs w:val="22"/>
          </w:rPr>
          <w:delText>0 mg</w:delText>
        </w:r>
        <w:r>
          <w:rPr>
            <w:bCs/>
            <w:sz w:val="22"/>
            <w:szCs w:val="22"/>
          </w:rPr>
          <w:delText xml:space="preserve"> em semanas alternadas com metotrexato.</w:delText>
        </w:r>
      </w:del>
    </w:p>
    <w:p w14:paraId="081CE3E5" w14:textId="7501688E" w:rsidR="00B90369" w:rsidRDefault="00B90369" w:rsidP="00B90369">
      <w:pPr>
        <w:ind w:right="-2"/>
        <w:rPr>
          <w:del w:id="15707" w:author="AbbVie2" w:date="2025-05-14T10:25:00Z"/>
          <w:bCs/>
          <w:sz w:val="22"/>
          <w:szCs w:val="22"/>
        </w:rPr>
      </w:pPr>
    </w:p>
    <w:p w14:paraId="575F742D" w14:textId="72D70E12" w:rsidR="00B90369" w:rsidRDefault="00615769" w:rsidP="00B90369">
      <w:pPr>
        <w:ind w:right="-2"/>
        <w:rPr>
          <w:del w:id="15708" w:author="AbbVie2" w:date="2025-05-14T10:25:00Z"/>
          <w:bCs/>
          <w:sz w:val="22"/>
          <w:szCs w:val="22"/>
        </w:rPr>
      </w:pPr>
      <w:del w:id="15709" w:author="AbbVie2" w:date="2025-05-14T10:25:00Z">
        <w:r>
          <w:rPr>
            <w:bCs/>
            <w:sz w:val="22"/>
            <w:szCs w:val="22"/>
          </w:rPr>
          <w:delText>O</w:delText>
        </w:r>
        <w:r w:rsidRPr="008912CF">
          <w:rPr>
            <w:bCs/>
            <w:sz w:val="22"/>
            <w:szCs w:val="22"/>
          </w:rPr>
          <w:delText xml:space="preserve"> </w:delText>
        </w:r>
        <w:r>
          <w:rPr>
            <w:bCs/>
            <w:sz w:val="22"/>
            <w:szCs w:val="22"/>
          </w:rPr>
          <w:delText xml:space="preserve">seu </w:delText>
        </w:r>
        <w:r w:rsidRPr="008912CF">
          <w:rPr>
            <w:bCs/>
            <w:sz w:val="22"/>
            <w:szCs w:val="22"/>
          </w:rPr>
          <w:delText xml:space="preserve">médico pode </w:delText>
        </w:r>
        <w:r>
          <w:rPr>
            <w:bCs/>
            <w:sz w:val="22"/>
            <w:szCs w:val="22"/>
          </w:rPr>
          <w:delText xml:space="preserve">também </w:delText>
        </w:r>
        <w:r w:rsidRPr="008912CF">
          <w:rPr>
            <w:bCs/>
            <w:sz w:val="22"/>
            <w:szCs w:val="22"/>
          </w:rPr>
          <w:delText>prescrever uma dose inicial de</w:delText>
        </w:r>
        <w:r>
          <w:rPr>
            <w:bCs/>
            <w:sz w:val="22"/>
            <w:szCs w:val="22"/>
          </w:rPr>
          <w:delText xml:space="preserve"> 40 mg que pode ser administrada uma semana</w:delText>
        </w:r>
        <w:r w:rsidR="00E95650">
          <w:rPr>
            <w:bCs/>
            <w:sz w:val="22"/>
            <w:szCs w:val="22"/>
          </w:rPr>
          <w:delText xml:space="preserve"> antes do início da dose habitual</w:delText>
        </w:r>
        <w:r>
          <w:rPr>
            <w:bCs/>
            <w:sz w:val="22"/>
            <w:szCs w:val="22"/>
          </w:rPr>
          <w:delText>.</w:delText>
        </w:r>
      </w:del>
    </w:p>
    <w:p w14:paraId="03F8C4B9" w14:textId="3F43C6A5" w:rsidR="00B90369" w:rsidRDefault="00B90369" w:rsidP="00B90369">
      <w:pPr>
        <w:ind w:right="-2"/>
        <w:rPr>
          <w:del w:id="15710" w:author="AbbVie2" w:date="2025-05-14T10:25:00Z"/>
          <w:bCs/>
          <w:sz w:val="22"/>
          <w:szCs w:val="22"/>
        </w:rPr>
      </w:pPr>
    </w:p>
    <w:p w14:paraId="799FA45A" w14:textId="7952BAFC" w:rsidR="00B90369" w:rsidRPr="00907F74" w:rsidRDefault="00615769" w:rsidP="00B90369">
      <w:pPr>
        <w:ind w:right="-2"/>
        <w:rPr>
          <w:del w:id="15711" w:author="AbbVie2" w:date="2025-05-14T10:25:00Z"/>
          <w:bCs/>
          <w:sz w:val="22"/>
          <w:szCs w:val="22"/>
          <w:u w:val="single"/>
        </w:rPr>
      </w:pPr>
      <w:del w:id="15712" w:author="AbbVie2" w:date="2025-05-14T10:25:00Z">
        <w:r w:rsidRPr="00907F74">
          <w:rPr>
            <w:i/>
            <w:sz w:val="22"/>
            <w:szCs w:val="22"/>
          </w:rPr>
          <w:delText>Crianças e adolescentes a partir dos 2 anos de idade com peso igual ou superior a 30 kg</w:delText>
        </w:r>
      </w:del>
    </w:p>
    <w:p w14:paraId="7C7104E8" w14:textId="75DC3B85" w:rsidR="00B90369" w:rsidRPr="004D4741" w:rsidRDefault="00B90369" w:rsidP="00B90369">
      <w:pPr>
        <w:ind w:right="-2"/>
        <w:rPr>
          <w:del w:id="15713" w:author="AbbVie2" w:date="2025-05-14T10:25:00Z"/>
          <w:sz w:val="22"/>
          <w:szCs w:val="22"/>
          <w:u w:val="single"/>
        </w:rPr>
      </w:pPr>
    </w:p>
    <w:p w14:paraId="16D62DFF" w14:textId="2F9E3746" w:rsidR="00B90369" w:rsidRDefault="00615769" w:rsidP="00B90369">
      <w:pPr>
        <w:ind w:right="-2"/>
        <w:rPr>
          <w:del w:id="15714" w:author="AbbVie2" w:date="2025-05-14T10:25:00Z"/>
          <w:bCs/>
          <w:sz w:val="22"/>
          <w:szCs w:val="22"/>
        </w:rPr>
      </w:pPr>
      <w:del w:id="15715" w:author="AbbVie2" w:date="2025-05-14T10:25:00Z">
        <w:r w:rsidRPr="008912CF">
          <w:rPr>
            <w:bCs/>
            <w:sz w:val="22"/>
            <w:szCs w:val="22"/>
          </w:rPr>
          <w:delText>A dose habitual</w:delText>
        </w:r>
        <w:r>
          <w:rPr>
            <w:bCs/>
            <w:sz w:val="22"/>
            <w:szCs w:val="22"/>
          </w:rPr>
          <w:delText xml:space="preserve"> de Humira</w:delText>
        </w:r>
        <w:r w:rsidRPr="008912CF">
          <w:rPr>
            <w:bCs/>
            <w:sz w:val="22"/>
            <w:szCs w:val="22"/>
          </w:rPr>
          <w:delText xml:space="preserve"> é de </w:delText>
        </w:r>
        <w:r>
          <w:rPr>
            <w:bCs/>
            <w:sz w:val="22"/>
            <w:szCs w:val="22"/>
          </w:rPr>
          <w:delText>4</w:delText>
        </w:r>
        <w:r w:rsidRPr="008912CF">
          <w:rPr>
            <w:bCs/>
            <w:sz w:val="22"/>
            <w:szCs w:val="22"/>
          </w:rPr>
          <w:delText>0 mg</w:delText>
        </w:r>
        <w:r>
          <w:rPr>
            <w:bCs/>
            <w:sz w:val="22"/>
            <w:szCs w:val="22"/>
          </w:rPr>
          <w:delText xml:space="preserve"> em semanas alternadas com metotrexato.</w:delText>
        </w:r>
      </w:del>
    </w:p>
    <w:p w14:paraId="31AF50E7" w14:textId="63BB4AED" w:rsidR="00B90369" w:rsidRDefault="00B90369" w:rsidP="00B90369">
      <w:pPr>
        <w:ind w:right="-2"/>
        <w:rPr>
          <w:del w:id="15716" w:author="AbbVie2" w:date="2025-05-14T10:25:00Z"/>
          <w:bCs/>
          <w:sz w:val="22"/>
          <w:szCs w:val="22"/>
        </w:rPr>
      </w:pPr>
    </w:p>
    <w:p w14:paraId="2DBF696A" w14:textId="3755460C" w:rsidR="00B90369" w:rsidRDefault="00615769" w:rsidP="00B90369">
      <w:pPr>
        <w:ind w:right="-2"/>
        <w:rPr>
          <w:del w:id="15717" w:author="AbbVie2" w:date="2025-05-14T10:25:00Z"/>
          <w:sz w:val="22"/>
          <w:szCs w:val="22"/>
        </w:rPr>
      </w:pPr>
      <w:del w:id="15718" w:author="AbbVie2" w:date="2025-05-14T10:25:00Z">
        <w:r>
          <w:rPr>
            <w:bCs/>
            <w:sz w:val="22"/>
            <w:szCs w:val="22"/>
          </w:rPr>
          <w:delText>O</w:delText>
        </w:r>
        <w:r w:rsidRPr="008912CF">
          <w:rPr>
            <w:bCs/>
            <w:sz w:val="22"/>
            <w:szCs w:val="22"/>
          </w:rPr>
          <w:delText xml:space="preserve"> </w:delText>
        </w:r>
        <w:r>
          <w:rPr>
            <w:bCs/>
            <w:sz w:val="22"/>
            <w:szCs w:val="22"/>
          </w:rPr>
          <w:delText xml:space="preserve">seu </w:delText>
        </w:r>
        <w:r w:rsidRPr="008912CF">
          <w:rPr>
            <w:bCs/>
            <w:sz w:val="22"/>
            <w:szCs w:val="22"/>
          </w:rPr>
          <w:delText xml:space="preserve">médico pode </w:delText>
        </w:r>
        <w:r>
          <w:rPr>
            <w:bCs/>
            <w:sz w:val="22"/>
            <w:szCs w:val="22"/>
          </w:rPr>
          <w:delText xml:space="preserve">também </w:delText>
        </w:r>
        <w:r w:rsidRPr="008912CF">
          <w:rPr>
            <w:bCs/>
            <w:sz w:val="22"/>
            <w:szCs w:val="22"/>
          </w:rPr>
          <w:delText>prescrever uma dose inicial de</w:delText>
        </w:r>
        <w:r>
          <w:rPr>
            <w:bCs/>
            <w:sz w:val="22"/>
            <w:szCs w:val="22"/>
          </w:rPr>
          <w:delText xml:space="preserve"> 80 mg que pode ser administrada uma semana</w:delText>
        </w:r>
        <w:r w:rsidR="00E95650">
          <w:rPr>
            <w:bCs/>
            <w:sz w:val="22"/>
            <w:szCs w:val="22"/>
          </w:rPr>
          <w:delText xml:space="preserve"> antes do início da dose habitual</w:delText>
        </w:r>
        <w:r>
          <w:rPr>
            <w:bCs/>
            <w:sz w:val="22"/>
            <w:szCs w:val="22"/>
          </w:rPr>
          <w:delText>.</w:delText>
        </w:r>
      </w:del>
    </w:p>
    <w:p w14:paraId="233BC387" w14:textId="5D6D1698" w:rsidR="004462A0" w:rsidRPr="008912CF" w:rsidRDefault="004462A0" w:rsidP="004462A0">
      <w:pPr>
        <w:rPr>
          <w:del w:id="15719" w:author="AbbVie2" w:date="2025-05-14T10:25:00Z"/>
          <w:b/>
          <w:bCs/>
          <w:sz w:val="22"/>
          <w:szCs w:val="22"/>
        </w:rPr>
      </w:pPr>
    </w:p>
    <w:p w14:paraId="46C8D87A" w14:textId="123D4C6C" w:rsidR="004462A0" w:rsidRPr="008912CF" w:rsidRDefault="00615769" w:rsidP="004462A0">
      <w:pPr>
        <w:rPr>
          <w:del w:id="15720" w:author="AbbVie2" w:date="2025-05-14T10:25:00Z"/>
          <w:b/>
          <w:bCs/>
          <w:sz w:val="22"/>
          <w:szCs w:val="22"/>
        </w:rPr>
      </w:pPr>
      <w:del w:id="15721" w:author="AbbVie2" w:date="2025-05-14T10:25:00Z">
        <w:r w:rsidRPr="008912CF">
          <w:rPr>
            <w:b/>
            <w:bCs/>
            <w:sz w:val="22"/>
            <w:szCs w:val="22"/>
          </w:rPr>
          <w:delText>Modo e via de administração</w:delText>
        </w:r>
      </w:del>
    </w:p>
    <w:p w14:paraId="22259045" w14:textId="54A97F15" w:rsidR="004462A0" w:rsidRPr="008912CF" w:rsidRDefault="004462A0" w:rsidP="004462A0">
      <w:pPr>
        <w:ind w:right="-2"/>
        <w:rPr>
          <w:del w:id="15722" w:author="AbbVie2" w:date="2025-05-14T10:25:00Z"/>
          <w:sz w:val="22"/>
          <w:szCs w:val="22"/>
        </w:rPr>
      </w:pPr>
    </w:p>
    <w:p w14:paraId="161C79A4" w14:textId="309F793A" w:rsidR="004462A0" w:rsidRPr="008912CF" w:rsidRDefault="00615769" w:rsidP="004462A0">
      <w:pPr>
        <w:ind w:right="-2"/>
        <w:rPr>
          <w:del w:id="15723" w:author="AbbVie2" w:date="2025-05-14T10:25:00Z"/>
          <w:sz w:val="22"/>
          <w:szCs w:val="22"/>
        </w:rPr>
      </w:pPr>
      <w:del w:id="15724" w:author="AbbVie2" w:date="2025-05-14T10:25:00Z">
        <w:r w:rsidRPr="008912CF">
          <w:rPr>
            <w:sz w:val="22"/>
            <w:szCs w:val="22"/>
          </w:rPr>
          <w:delText>Humira é administrado por injeção debaixo da pele (via subcutânea).</w:delText>
        </w:r>
      </w:del>
    </w:p>
    <w:p w14:paraId="5D73427F" w14:textId="70FA762A" w:rsidR="004462A0" w:rsidRPr="008912CF" w:rsidRDefault="004462A0" w:rsidP="004462A0">
      <w:pPr>
        <w:ind w:right="-2"/>
        <w:rPr>
          <w:del w:id="15725" w:author="AbbVie2" w:date="2025-05-14T10:25:00Z"/>
          <w:sz w:val="22"/>
          <w:szCs w:val="22"/>
        </w:rPr>
      </w:pPr>
    </w:p>
    <w:p w14:paraId="29CAEBA3" w14:textId="6B4A08CA" w:rsidR="004462A0" w:rsidRPr="008912CF" w:rsidRDefault="00615769" w:rsidP="004462A0">
      <w:pPr>
        <w:rPr>
          <w:del w:id="15726" w:author="AbbVie2" w:date="2025-05-14T10:25:00Z"/>
          <w:b/>
          <w:sz w:val="22"/>
          <w:szCs w:val="22"/>
        </w:rPr>
      </w:pPr>
      <w:del w:id="15727" w:author="AbbVie2" w:date="2025-05-14T10:25:00Z">
        <w:r w:rsidRPr="008912CF">
          <w:rPr>
            <w:b/>
            <w:sz w:val="22"/>
            <w:szCs w:val="22"/>
          </w:rPr>
          <w:delText xml:space="preserve">Autoinjeção de </w:delText>
        </w:r>
        <w:r w:rsidRPr="008912CF">
          <w:rPr>
            <w:b/>
            <w:bCs/>
            <w:sz w:val="22"/>
            <w:szCs w:val="22"/>
          </w:rPr>
          <w:delText>Humira</w:delText>
        </w:r>
      </w:del>
    </w:p>
    <w:p w14:paraId="68BE9C76" w14:textId="12401D1B" w:rsidR="004462A0" w:rsidRPr="008912CF" w:rsidRDefault="004462A0" w:rsidP="004462A0">
      <w:pPr>
        <w:rPr>
          <w:del w:id="15728" w:author="AbbVie2" w:date="2025-05-14T10:25:00Z"/>
          <w:b/>
          <w:sz w:val="22"/>
          <w:szCs w:val="22"/>
          <w:u w:val="single"/>
        </w:rPr>
      </w:pPr>
    </w:p>
    <w:p w14:paraId="7385494F" w14:textId="3849F593" w:rsidR="004462A0" w:rsidRPr="008912CF" w:rsidRDefault="00615769" w:rsidP="004462A0">
      <w:pPr>
        <w:rPr>
          <w:del w:id="15729" w:author="AbbVie2" w:date="2025-05-14T10:25:00Z"/>
          <w:sz w:val="22"/>
          <w:szCs w:val="22"/>
        </w:rPr>
      </w:pPr>
      <w:del w:id="15730" w:author="AbbVie2" w:date="2025-05-14T10:25:00Z">
        <w:r w:rsidRPr="008912CF">
          <w:rPr>
            <w:sz w:val="22"/>
            <w:szCs w:val="22"/>
          </w:rPr>
          <w:delText>As instruções a seguir indicadas explicam como se autoinjetar, utilizando Humira em caneta pré-cheia. Leia atentamente as instruções e siga-as passo a passo. O seu médico ou assistente dar-lhe-á instruções sobre a técnica de autoinjeção. Não tente auto injetar-se antes de estar certo de ter compreendido o modo de preparar e administrar a injeção. Após treino adequado, a injeção pode ser administrada pelo doente ou por outra pessoa, por exemplo um familiar ou amigo.</w:delText>
        </w:r>
      </w:del>
    </w:p>
    <w:p w14:paraId="5B5A51DC" w14:textId="085ECCD1" w:rsidR="004462A0" w:rsidRPr="008912CF" w:rsidRDefault="004462A0" w:rsidP="004462A0">
      <w:pPr>
        <w:rPr>
          <w:del w:id="15731" w:author="AbbVie2" w:date="2025-05-14T10:25:00Z"/>
          <w:sz w:val="22"/>
          <w:szCs w:val="22"/>
        </w:rPr>
      </w:pPr>
    </w:p>
    <w:p w14:paraId="33034FFF" w14:textId="44F3A8D3" w:rsidR="004462A0" w:rsidRPr="008912CF" w:rsidRDefault="00615769" w:rsidP="004462A0">
      <w:pPr>
        <w:rPr>
          <w:del w:id="15732" w:author="AbbVie2" w:date="2025-05-14T10:25:00Z"/>
          <w:b/>
          <w:bCs/>
          <w:sz w:val="22"/>
          <w:szCs w:val="22"/>
        </w:rPr>
      </w:pPr>
      <w:del w:id="15733" w:author="AbbVie2" w:date="2025-05-14T10:25:00Z">
        <w:r w:rsidRPr="008912CF">
          <w:rPr>
            <w:b/>
            <w:bCs/>
            <w:sz w:val="22"/>
            <w:szCs w:val="22"/>
          </w:rPr>
          <w:delText>O que devo fazer antes de autoinjetar Humira por via subcutânea?</w:delText>
        </w:r>
      </w:del>
    </w:p>
    <w:p w14:paraId="2120B2C5" w14:textId="52A07CD2" w:rsidR="004462A0" w:rsidRPr="008912CF" w:rsidRDefault="004462A0" w:rsidP="004462A0">
      <w:pPr>
        <w:rPr>
          <w:del w:id="15734" w:author="AbbVie2" w:date="2025-05-14T10:25:00Z"/>
          <w:sz w:val="22"/>
          <w:szCs w:val="22"/>
        </w:rPr>
      </w:pPr>
    </w:p>
    <w:p w14:paraId="7E76EDD4" w14:textId="6D3E3129" w:rsidR="004462A0" w:rsidRPr="008912CF" w:rsidRDefault="00615769" w:rsidP="004462A0">
      <w:pPr>
        <w:ind w:left="567" w:hanging="567"/>
        <w:rPr>
          <w:del w:id="15735" w:author="AbbVie2" w:date="2025-05-14T10:25:00Z"/>
          <w:sz w:val="22"/>
          <w:szCs w:val="22"/>
        </w:rPr>
      </w:pPr>
      <w:del w:id="15736" w:author="AbbVie2" w:date="2025-05-14T10:25:00Z">
        <w:r w:rsidRPr="008912CF">
          <w:rPr>
            <w:sz w:val="22"/>
            <w:szCs w:val="22"/>
          </w:rPr>
          <w:delText>1.</w:delText>
        </w:r>
        <w:r w:rsidRPr="008912CF">
          <w:rPr>
            <w:sz w:val="22"/>
            <w:szCs w:val="22"/>
          </w:rPr>
          <w:tab/>
          <w:delText>Lave cuidadosamente as mãos.</w:delText>
        </w:r>
      </w:del>
    </w:p>
    <w:p w14:paraId="338EDC0C" w14:textId="0306AE90" w:rsidR="004462A0" w:rsidRPr="008912CF" w:rsidRDefault="00615769" w:rsidP="004462A0">
      <w:pPr>
        <w:pStyle w:val="EndnoteText"/>
        <w:tabs>
          <w:tab w:val="clear" w:pos="567"/>
        </w:tabs>
        <w:ind w:left="567" w:hanging="567"/>
        <w:rPr>
          <w:del w:id="15737" w:author="AbbVie2" w:date="2025-05-14T10:25:00Z"/>
          <w:szCs w:val="22"/>
        </w:rPr>
      </w:pPr>
      <w:del w:id="15738" w:author="AbbVie2" w:date="2025-05-14T10:25:00Z">
        <w:r w:rsidRPr="008912CF">
          <w:rPr>
            <w:szCs w:val="22"/>
          </w:rPr>
          <w:delText xml:space="preserve">2. </w:delText>
        </w:r>
        <w:r w:rsidRPr="008912CF">
          <w:rPr>
            <w:szCs w:val="22"/>
          </w:rPr>
          <w:tab/>
          <w:delText>Retire uma caneta pré-cheia de Humira do frigorífico.</w:delText>
        </w:r>
      </w:del>
    </w:p>
    <w:p w14:paraId="0A9C7FEB" w14:textId="2EA996E0" w:rsidR="004462A0" w:rsidRPr="008912CF" w:rsidRDefault="00615769" w:rsidP="004462A0">
      <w:pPr>
        <w:ind w:left="567" w:hanging="567"/>
        <w:rPr>
          <w:del w:id="15739" w:author="AbbVie2" w:date="2025-05-14T10:25:00Z"/>
          <w:sz w:val="22"/>
          <w:szCs w:val="22"/>
        </w:rPr>
      </w:pPr>
      <w:del w:id="15740" w:author="AbbVie2" w:date="2025-05-14T10:25:00Z">
        <w:r w:rsidRPr="008912CF">
          <w:rPr>
            <w:sz w:val="22"/>
            <w:szCs w:val="22"/>
          </w:rPr>
          <w:delText xml:space="preserve">3. </w:delText>
        </w:r>
        <w:r w:rsidRPr="008912CF">
          <w:rPr>
            <w:sz w:val="22"/>
            <w:szCs w:val="22"/>
          </w:rPr>
          <w:tab/>
          <w:delText>Não agite ou deixe cair a caneta.</w:delText>
        </w:r>
      </w:del>
    </w:p>
    <w:p w14:paraId="30E41FC2" w14:textId="1F7F373E" w:rsidR="004462A0" w:rsidRPr="008912CF" w:rsidRDefault="00615769" w:rsidP="004462A0">
      <w:pPr>
        <w:ind w:left="567" w:hanging="567"/>
        <w:rPr>
          <w:del w:id="15741" w:author="AbbVie2" w:date="2025-05-14T10:25:00Z"/>
          <w:sz w:val="22"/>
          <w:szCs w:val="22"/>
        </w:rPr>
      </w:pPr>
      <w:del w:id="15742" w:author="AbbVie2" w:date="2025-05-14T10:25:00Z">
        <w:r w:rsidRPr="008912CF">
          <w:rPr>
            <w:sz w:val="22"/>
            <w:szCs w:val="22"/>
          </w:rPr>
          <w:delText>4.</w:delText>
        </w:r>
        <w:r w:rsidRPr="008912CF">
          <w:rPr>
            <w:sz w:val="22"/>
            <w:szCs w:val="22"/>
          </w:rPr>
          <w:tab/>
          <w:delText>Coloque os seguintes elementos numa superfície limpa.</w:delText>
        </w:r>
      </w:del>
    </w:p>
    <w:p w14:paraId="3AA31098" w14:textId="6E76FE3E" w:rsidR="004462A0" w:rsidRPr="008912CF" w:rsidRDefault="004462A0" w:rsidP="004462A0">
      <w:pPr>
        <w:pStyle w:val="EndnoteText"/>
        <w:rPr>
          <w:del w:id="15743" w:author="AbbVie2" w:date="2025-05-14T10:25:00Z"/>
          <w:szCs w:val="22"/>
          <w:highlight w:val="yellow"/>
        </w:rPr>
      </w:pPr>
    </w:p>
    <w:p w14:paraId="1CC07D20" w14:textId="55540238" w:rsidR="004462A0" w:rsidRPr="008912CF" w:rsidRDefault="00615769" w:rsidP="004462A0">
      <w:pPr>
        <w:numPr>
          <w:ilvl w:val="1"/>
          <w:numId w:val="14"/>
        </w:numPr>
        <w:tabs>
          <w:tab w:val="left" w:pos="1134"/>
        </w:tabs>
        <w:ind w:left="1134" w:hanging="567"/>
        <w:rPr>
          <w:del w:id="15744" w:author="AbbVie2" w:date="2025-05-14T10:25:00Z"/>
          <w:sz w:val="22"/>
          <w:szCs w:val="22"/>
        </w:rPr>
      </w:pPr>
      <w:del w:id="15745" w:author="AbbVie2" w:date="2025-05-14T10:25:00Z">
        <w:r w:rsidRPr="008912CF">
          <w:rPr>
            <w:sz w:val="22"/>
            <w:szCs w:val="22"/>
          </w:rPr>
          <w:delText>Uma caneta pré-cheia de Humira</w:delText>
        </w:r>
      </w:del>
    </w:p>
    <w:p w14:paraId="1F8CE94D" w14:textId="1D9F7B88" w:rsidR="004462A0" w:rsidRPr="008912CF" w:rsidRDefault="00615769" w:rsidP="004462A0">
      <w:pPr>
        <w:numPr>
          <w:ilvl w:val="1"/>
          <w:numId w:val="14"/>
        </w:numPr>
        <w:tabs>
          <w:tab w:val="left" w:pos="1134"/>
        </w:tabs>
        <w:ind w:left="1134" w:hanging="567"/>
        <w:rPr>
          <w:del w:id="15746" w:author="AbbVie2" w:date="2025-05-14T10:25:00Z"/>
          <w:sz w:val="22"/>
          <w:szCs w:val="22"/>
        </w:rPr>
      </w:pPr>
      <w:del w:id="15747" w:author="AbbVie2" w:date="2025-05-14T10:25:00Z">
        <w:r w:rsidRPr="008912CF">
          <w:rPr>
            <w:sz w:val="22"/>
            <w:szCs w:val="22"/>
          </w:rPr>
          <w:delText>Uma compressa embebida em álcool</w:delText>
        </w:r>
      </w:del>
    </w:p>
    <w:p w14:paraId="7BDEFD0B" w14:textId="0A52C576" w:rsidR="004462A0" w:rsidRPr="008912CF" w:rsidRDefault="004462A0" w:rsidP="004462A0">
      <w:pPr>
        <w:jc w:val="center"/>
        <w:rPr>
          <w:del w:id="15748" w:author="AbbVie2" w:date="2025-05-14T10:25:00Z"/>
          <w:sz w:val="22"/>
          <w:szCs w:val="22"/>
        </w:rPr>
      </w:pPr>
    </w:p>
    <w:tbl>
      <w:tblPr>
        <w:tblW w:w="0" w:type="auto"/>
        <w:jc w:val="center"/>
        <w:tblLook w:val="01E0" w:firstRow="1" w:lastRow="1" w:firstColumn="1" w:lastColumn="1" w:noHBand="0" w:noVBand="0"/>
      </w:tblPr>
      <w:tblGrid>
        <w:gridCol w:w="4568"/>
        <w:gridCol w:w="4503"/>
      </w:tblGrid>
      <w:tr w:rsidR="00A7162A" w14:paraId="5276F156" w14:textId="48B5E254" w:rsidTr="00F675CF">
        <w:trPr>
          <w:jc w:val="center"/>
          <w:del w:id="15749" w:author="AbbVie2" w:date="2025-05-14T10:25:00Z"/>
        </w:trPr>
        <w:tc>
          <w:tcPr>
            <w:tcW w:w="4643" w:type="dxa"/>
          </w:tcPr>
          <w:p w14:paraId="349E998A" w14:textId="08764356" w:rsidR="004462A0" w:rsidRPr="008912CF" w:rsidRDefault="00615769" w:rsidP="00F675CF">
            <w:pPr>
              <w:tabs>
                <w:tab w:val="left" w:pos="562"/>
              </w:tabs>
              <w:suppressAutoHyphens/>
              <w:jc w:val="right"/>
              <w:rPr>
                <w:del w:id="15750" w:author="AbbVie2" w:date="2025-05-14T10:25:00Z"/>
                <w:i/>
                <w:iCs/>
              </w:rPr>
            </w:pPr>
            <w:del w:id="15751" w:author="AbbVie2" w:date="2025-05-14T10:25:00Z">
              <w:r>
                <w:rPr>
                  <w:i/>
                  <w:iCs/>
                  <w:noProof/>
                  <w:lang w:val="en-GB" w:eastAsia="en-GB"/>
                </w:rPr>
                <w:drawing>
                  <wp:inline distT="0" distB="0" distL="0" distR="0" wp14:anchorId="3FC7546F" wp14:editId="5CFEF200">
                    <wp:extent cx="1670050" cy="1610360"/>
                    <wp:effectExtent l="0" t="0" r="635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41"/>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670050" cy="1610360"/>
                            </a:xfrm>
                            <a:prstGeom prst="rect">
                              <a:avLst/>
                            </a:prstGeom>
                            <a:noFill/>
                            <a:ln>
                              <a:noFill/>
                            </a:ln>
                          </pic:spPr>
                        </pic:pic>
                      </a:graphicData>
                    </a:graphic>
                  </wp:inline>
                </w:drawing>
              </w:r>
            </w:del>
          </w:p>
        </w:tc>
        <w:tc>
          <w:tcPr>
            <w:tcW w:w="4644" w:type="dxa"/>
          </w:tcPr>
          <w:p w14:paraId="4375176D" w14:textId="3C01F79C" w:rsidR="004462A0" w:rsidRPr="008912CF" w:rsidRDefault="004462A0" w:rsidP="00F675CF">
            <w:pPr>
              <w:tabs>
                <w:tab w:val="left" w:pos="562"/>
              </w:tabs>
              <w:suppressAutoHyphens/>
              <w:rPr>
                <w:del w:id="15752" w:author="AbbVie2" w:date="2025-05-14T10:25:00Z"/>
                <w:iCs/>
              </w:rPr>
            </w:pPr>
          </w:p>
          <w:p w14:paraId="7E1097B2" w14:textId="3284EC72" w:rsidR="004462A0" w:rsidRPr="008912CF" w:rsidRDefault="004462A0" w:rsidP="00F675CF">
            <w:pPr>
              <w:tabs>
                <w:tab w:val="left" w:pos="562"/>
              </w:tabs>
              <w:suppressAutoHyphens/>
              <w:rPr>
                <w:del w:id="15753" w:author="AbbVie2" w:date="2025-05-14T10:25:00Z"/>
                <w:iCs/>
              </w:rPr>
            </w:pPr>
          </w:p>
          <w:p w14:paraId="5D988578" w14:textId="45EFFAF6" w:rsidR="004462A0" w:rsidRPr="008912CF" w:rsidRDefault="00615769" w:rsidP="00F675CF">
            <w:pPr>
              <w:tabs>
                <w:tab w:val="left" w:pos="562"/>
              </w:tabs>
              <w:suppressAutoHyphens/>
              <w:rPr>
                <w:del w:id="15754" w:author="AbbVie2" w:date="2025-05-14T10:25:00Z"/>
              </w:rPr>
            </w:pPr>
            <w:del w:id="15755" w:author="AbbVie2" w:date="2025-05-14T10:25:00Z">
              <w:r w:rsidRPr="008912CF">
                <w:delText>Compressa</w:delText>
              </w:r>
            </w:del>
          </w:p>
          <w:p w14:paraId="3F452589" w14:textId="227B76A0" w:rsidR="004462A0" w:rsidRPr="008912CF" w:rsidRDefault="004462A0" w:rsidP="00F675CF">
            <w:pPr>
              <w:tabs>
                <w:tab w:val="left" w:pos="562"/>
              </w:tabs>
              <w:suppressAutoHyphens/>
              <w:rPr>
                <w:del w:id="15756" w:author="AbbVie2" w:date="2025-05-14T10:25:00Z"/>
              </w:rPr>
            </w:pPr>
          </w:p>
          <w:p w14:paraId="5ABDC38C" w14:textId="7582A7FF" w:rsidR="004462A0" w:rsidRPr="008912CF" w:rsidRDefault="004462A0" w:rsidP="00F675CF">
            <w:pPr>
              <w:tabs>
                <w:tab w:val="left" w:pos="562"/>
              </w:tabs>
              <w:suppressAutoHyphens/>
              <w:rPr>
                <w:del w:id="15757" w:author="AbbVie2" w:date="2025-05-14T10:25:00Z"/>
              </w:rPr>
            </w:pPr>
          </w:p>
          <w:p w14:paraId="3D03B657" w14:textId="66899F6C" w:rsidR="004462A0" w:rsidRPr="008912CF" w:rsidRDefault="00615769" w:rsidP="00F675CF">
            <w:pPr>
              <w:tabs>
                <w:tab w:val="left" w:pos="562"/>
              </w:tabs>
              <w:suppressAutoHyphens/>
              <w:rPr>
                <w:del w:id="15758" w:author="AbbVie2" w:date="2025-05-14T10:25:00Z"/>
                <w:iCs/>
              </w:rPr>
            </w:pPr>
            <w:del w:id="15759" w:author="AbbVie2" w:date="2025-05-14T10:25:00Z">
              <w:r w:rsidRPr="008912CF">
                <w:delText>Janela</w:delText>
              </w:r>
            </w:del>
          </w:p>
        </w:tc>
      </w:tr>
    </w:tbl>
    <w:p w14:paraId="38153FE4" w14:textId="04B8802B" w:rsidR="004462A0" w:rsidRPr="008912CF" w:rsidRDefault="004462A0" w:rsidP="004462A0">
      <w:pPr>
        <w:jc w:val="center"/>
        <w:rPr>
          <w:del w:id="15760" w:author="AbbVie2" w:date="2025-05-14T10:25:00Z"/>
          <w:sz w:val="22"/>
          <w:szCs w:val="22"/>
        </w:rPr>
      </w:pPr>
    </w:p>
    <w:p w14:paraId="2240EAE4" w14:textId="705553F9" w:rsidR="004462A0" w:rsidRPr="008912CF" w:rsidRDefault="00615769" w:rsidP="004462A0">
      <w:pPr>
        <w:pStyle w:val="BodyText2"/>
        <w:autoSpaceDE/>
        <w:autoSpaceDN/>
        <w:adjustRightInd/>
        <w:ind w:left="567" w:hanging="567"/>
        <w:rPr>
          <w:del w:id="15761" w:author="AbbVie2" w:date="2025-05-14T10:25:00Z"/>
          <w:szCs w:val="22"/>
        </w:rPr>
      </w:pPr>
      <w:del w:id="15762" w:author="AbbVie2" w:date="2025-05-14T10:25:00Z">
        <w:r w:rsidRPr="008912CF">
          <w:rPr>
            <w:szCs w:val="22"/>
          </w:rPr>
          <w:delText>5.</w:delText>
        </w:r>
        <w:r w:rsidRPr="008912CF">
          <w:rPr>
            <w:szCs w:val="22"/>
          </w:rPr>
          <w:tab/>
          <w:delText>Verifique o prazo de validade no rótulo da caneta p</w:delText>
        </w:r>
        <w:r w:rsidR="003D3C3B">
          <w:rPr>
            <w:szCs w:val="22"/>
          </w:rPr>
          <w:delText>ré-cheia (EXP</w:delText>
        </w:r>
        <w:r w:rsidRPr="008912CF">
          <w:rPr>
            <w:szCs w:val="22"/>
          </w:rPr>
          <w:delText>). Não utilize o produto se já tiver expirado o mês e ano indicado.</w:delText>
        </w:r>
      </w:del>
    </w:p>
    <w:p w14:paraId="2F7FF73C" w14:textId="14836621" w:rsidR="004462A0" w:rsidRPr="008912CF" w:rsidRDefault="004462A0" w:rsidP="004462A0">
      <w:pPr>
        <w:pStyle w:val="BodyText2"/>
        <w:autoSpaceDE/>
        <w:autoSpaceDN/>
        <w:adjustRightInd/>
        <w:rPr>
          <w:del w:id="15763" w:author="AbbVie2" w:date="2025-05-14T10:25:00Z"/>
          <w:szCs w:val="22"/>
        </w:rPr>
      </w:pPr>
    </w:p>
    <w:p w14:paraId="5B3C7A6F" w14:textId="5AB57287" w:rsidR="004462A0" w:rsidRPr="008912CF" w:rsidRDefault="00615769" w:rsidP="004462A0">
      <w:pPr>
        <w:pStyle w:val="BodyText2"/>
        <w:autoSpaceDE/>
        <w:autoSpaceDN/>
        <w:adjustRightInd/>
        <w:ind w:left="567" w:hanging="567"/>
        <w:rPr>
          <w:del w:id="15764" w:author="AbbVie2" w:date="2025-05-14T10:25:00Z"/>
          <w:szCs w:val="22"/>
        </w:rPr>
      </w:pPr>
      <w:del w:id="15765" w:author="AbbVie2" w:date="2025-05-14T10:25:00Z">
        <w:r w:rsidRPr="008912CF">
          <w:rPr>
            <w:szCs w:val="22"/>
          </w:rPr>
          <w:delText>6.</w:delText>
        </w:r>
        <w:r w:rsidRPr="008912CF">
          <w:rPr>
            <w:szCs w:val="22"/>
          </w:rPr>
          <w:tab/>
          <w:delText xml:space="preserve">Segure na caneta pré-cheia com a tampa cinzenta (”1”) voltada para cima. Verifique através da janela o aspeto da solução de Humira, nos bordos da caneta pré-cheia. A solução deve estar límpida e incolor. Se estiver turva ou descorada ou com flocos ou partículas em suspensão, não a deve usar. Não use a caneta pré-cheia se estiver congelada ou se foi deixada à luz direta do sol. Retire só a tampa cinzenta e a tampa roxa </w:delText>
        </w:r>
        <w:r w:rsidRPr="008912CF">
          <w:rPr>
            <w:b/>
            <w:bCs/>
            <w:szCs w:val="22"/>
          </w:rPr>
          <w:delText>imediatamente</w:delText>
        </w:r>
        <w:r w:rsidRPr="008912CF">
          <w:rPr>
            <w:szCs w:val="22"/>
          </w:rPr>
          <w:delText xml:space="preserve"> antes da injeção.</w:delText>
        </w:r>
      </w:del>
    </w:p>
    <w:p w14:paraId="3A31D2A9" w14:textId="7DF787B8" w:rsidR="004462A0" w:rsidRPr="008912CF" w:rsidRDefault="004462A0" w:rsidP="004462A0">
      <w:pPr>
        <w:jc w:val="center"/>
        <w:rPr>
          <w:del w:id="15766" w:author="AbbVie2" w:date="2025-05-14T10:25:00Z"/>
          <w:sz w:val="22"/>
          <w:szCs w:val="22"/>
        </w:rPr>
      </w:pPr>
    </w:p>
    <w:tbl>
      <w:tblPr>
        <w:tblW w:w="0" w:type="auto"/>
        <w:tblLook w:val="01E0" w:firstRow="1" w:lastRow="1" w:firstColumn="1" w:lastColumn="1" w:noHBand="0" w:noVBand="0"/>
      </w:tblPr>
      <w:tblGrid>
        <w:gridCol w:w="4575"/>
        <w:gridCol w:w="4496"/>
      </w:tblGrid>
      <w:tr w:rsidR="00A7162A" w14:paraId="05B0B8B6" w14:textId="229FC772" w:rsidTr="00F675CF">
        <w:trPr>
          <w:del w:id="15767" w:author="AbbVie2" w:date="2025-05-14T10:25:00Z"/>
        </w:trPr>
        <w:tc>
          <w:tcPr>
            <w:tcW w:w="4643" w:type="dxa"/>
          </w:tcPr>
          <w:p w14:paraId="246B6B2C" w14:textId="4F109E8B" w:rsidR="004462A0" w:rsidRPr="008912CF" w:rsidRDefault="00615769" w:rsidP="00F675CF">
            <w:pPr>
              <w:suppressAutoHyphens/>
              <w:jc w:val="right"/>
              <w:rPr>
                <w:del w:id="15768" w:author="AbbVie2" w:date="2025-05-14T10:25:00Z"/>
              </w:rPr>
            </w:pPr>
            <w:del w:id="15769" w:author="AbbVie2" w:date="2025-05-14T10:25:00Z">
              <w:r>
                <w:rPr>
                  <w:noProof/>
                  <w:lang w:val="en-GB" w:eastAsia="en-GB"/>
                </w:rPr>
                <w:drawing>
                  <wp:inline distT="0" distB="0" distL="0" distR="0" wp14:anchorId="3B96D55F" wp14:editId="24848284">
                    <wp:extent cx="1739265" cy="17792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2"/>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1739265" cy="1779270"/>
                            </a:xfrm>
                            <a:prstGeom prst="rect">
                              <a:avLst/>
                            </a:prstGeom>
                            <a:noFill/>
                            <a:ln>
                              <a:noFill/>
                            </a:ln>
                          </pic:spPr>
                        </pic:pic>
                      </a:graphicData>
                    </a:graphic>
                  </wp:inline>
                </w:drawing>
              </w:r>
            </w:del>
          </w:p>
        </w:tc>
        <w:tc>
          <w:tcPr>
            <w:tcW w:w="4644" w:type="dxa"/>
          </w:tcPr>
          <w:p w14:paraId="47FB3F4A" w14:textId="4B9F08DF" w:rsidR="004462A0" w:rsidRPr="008912CF" w:rsidRDefault="004462A0" w:rsidP="00F675CF">
            <w:pPr>
              <w:suppressAutoHyphens/>
              <w:rPr>
                <w:del w:id="15770" w:author="AbbVie2" w:date="2025-05-14T10:25:00Z"/>
              </w:rPr>
            </w:pPr>
          </w:p>
          <w:p w14:paraId="0CB7DE97" w14:textId="2F242CB4" w:rsidR="004462A0" w:rsidRPr="008912CF" w:rsidRDefault="004462A0" w:rsidP="00F675CF">
            <w:pPr>
              <w:suppressAutoHyphens/>
              <w:rPr>
                <w:del w:id="15771" w:author="AbbVie2" w:date="2025-05-14T10:25:00Z"/>
              </w:rPr>
            </w:pPr>
          </w:p>
          <w:p w14:paraId="04E2FF21" w14:textId="19D3B921" w:rsidR="004462A0" w:rsidRPr="008912CF" w:rsidRDefault="004462A0" w:rsidP="00F675CF">
            <w:pPr>
              <w:suppressAutoHyphens/>
              <w:rPr>
                <w:del w:id="15772" w:author="AbbVie2" w:date="2025-05-14T10:25:00Z"/>
              </w:rPr>
            </w:pPr>
          </w:p>
          <w:p w14:paraId="13625847" w14:textId="2E01CB74" w:rsidR="004462A0" w:rsidRPr="00F03C54" w:rsidRDefault="00615769" w:rsidP="00F675CF">
            <w:pPr>
              <w:suppressAutoHyphens/>
              <w:rPr>
                <w:del w:id="15773" w:author="AbbVie2" w:date="2025-05-14T10:25:00Z"/>
                <w:sz w:val="22"/>
                <w:szCs w:val="22"/>
              </w:rPr>
            </w:pPr>
            <w:del w:id="15774" w:author="AbbVie2" w:date="2025-05-14T10:25:00Z">
              <w:r w:rsidRPr="00F03C54">
                <w:rPr>
                  <w:sz w:val="22"/>
                  <w:szCs w:val="22"/>
                </w:rPr>
                <w:delText>Janela</w:delText>
              </w:r>
            </w:del>
          </w:p>
          <w:p w14:paraId="3EE1539D" w14:textId="15E6F3F0" w:rsidR="004462A0" w:rsidRPr="00F03C54" w:rsidRDefault="004462A0" w:rsidP="00F675CF">
            <w:pPr>
              <w:suppressAutoHyphens/>
              <w:rPr>
                <w:del w:id="15775" w:author="AbbVie2" w:date="2025-05-14T10:25:00Z"/>
                <w:sz w:val="22"/>
                <w:szCs w:val="22"/>
              </w:rPr>
            </w:pPr>
          </w:p>
          <w:p w14:paraId="6551943C" w14:textId="39E5093A" w:rsidR="004462A0" w:rsidRPr="008912CF" w:rsidRDefault="00615769" w:rsidP="00F675CF">
            <w:pPr>
              <w:suppressAutoHyphens/>
              <w:rPr>
                <w:del w:id="15776" w:author="AbbVie2" w:date="2025-05-14T10:25:00Z"/>
              </w:rPr>
            </w:pPr>
            <w:del w:id="15777" w:author="AbbVie2" w:date="2025-05-14T10:25:00Z">
              <w:r w:rsidRPr="00F03C54">
                <w:rPr>
                  <w:sz w:val="22"/>
                  <w:szCs w:val="22"/>
                </w:rPr>
                <w:delText>Líquido Límpido na Seringa</w:delText>
              </w:r>
            </w:del>
          </w:p>
        </w:tc>
      </w:tr>
    </w:tbl>
    <w:p w14:paraId="67AADBB5" w14:textId="66B31DEE" w:rsidR="004462A0" w:rsidRPr="008912CF" w:rsidRDefault="004462A0" w:rsidP="004462A0">
      <w:pPr>
        <w:ind w:left="567" w:hanging="567"/>
        <w:rPr>
          <w:del w:id="15778" w:author="AbbVie2" w:date="2025-05-14T10:25:00Z"/>
          <w:bCs/>
          <w:sz w:val="22"/>
          <w:szCs w:val="22"/>
        </w:rPr>
      </w:pPr>
    </w:p>
    <w:p w14:paraId="20BB946F" w14:textId="3215EC3D" w:rsidR="004462A0" w:rsidRPr="008912CF" w:rsidRDefault="00615769" w:rsidP="004462A0">
      <w:pPr>
        <w:ind w:left="567" w:hanging="567"/>
        <w:rPr>
          <w:del w:id="15779" w:author="AbbVie2" w:date="2025-05-14T10:25:00Z"/>
          <w:b/>
          <w:sz w:val="22"/>
          <w:szCs w:val="22"/>
        </w:rPr>
      </w:pPr>
      <w:del w:id="15780" w:author="AbbVie2" w:date="2025-05-14T10:25:00Z">
        <w:r w:rsidRPr="008912CF">
          <w:rPr>
            <w:b/>
            <w:sz w:val="22"/>
            <w:szCs w:val="22"/>
          </w:rPr>
          <w:delText>Onde devo dar a injeção?</w:delText>
        </w:r>
      </w:del>
    </w:p>
    <w:p w14:paraId="573A2C75" w14:textId="0E14BA3A" w:rsidR="004462A0" w:rsidRPr="008912CF" w:rsidRDefault="004462A0" w:rsidP="004462A0">
      <w:pPr>
        <w:ind w:left="567" w:hanging="567"/>
        <w:rPr>
          <w:del w:id="15781" w:author="AbbVie2" w:date="2025-05-14T10:25:00Z"/>
          <w:b/>
          <w:sz w:val="22"/>
          <w:szCs w:val="22"/>
        </w:rPr>
      </w:pPr>
    </w:p>
    <w:p w14:paraId="6DC85EF1" w14:textId="43F910B2" w:rsidR="004462A0" w:rsidRPr="008912CF" w:rsidRDefault="00615769" w:rsidP="004462A0">
      <w:pPr>
        <w:ind w:left="567" w:hanging="567"/>
        <w:rPr>
          <w:del w:id="15782" w:author="AbbVie2" w:date="2025-05-14T10:25:00Z"/>
          <w:bCs/>
          <w:sz w:val="22"/>
          <w:szCs w:val="22"/>
        </w:rPr>
      </w:pPr>
      <w:del w:id="15783" w:author="AbbVie2" w:date="2025-05-14T10:25:00Z">
        <w:r w:rsidRPr="008912CF">
          <w:rPr>
            <w:bCs/>
            <w:sz w:val="22"/>
            <w:szCs w:val="22"/>
          </w:rPr>
          <w:delText>1.</w:delText>
        </w:r>
        <w:r w:rsidRPr="008912CF">
          <w:rPr>
            <w:bCs/>
            <w:sz w:val="22"/>
            <w:szCs w:val="22"/>
          </w:rPr>
          <w:tab/>
          <w:delText>Escolha um local no cimo da coxa ou estômago (exceto na área à volta do umbigo).</w:delText>
        </w:r>
      </w:del>
    </w:p>
    <w:p w14:paraId="3AEF269B" w14:textId="45024C63" w:rsidR="004462A0" w:rsidRPr="008912CF" w:rsidRDefault="004462A0" w:rsidP="004462A0">
      <w:pPr>
        <w:ind w:left="567" w:hanging="567"/>
        <w:rPr>
          <w:del w:id="15784" w:author="AbbVie2" w:date="2025-05-14T10:25:00Z"/>
          <w:b/>
          <w:sz w:val="22"/>
          <w:szCs w:val="22"/>
        </w:rPr>
      </w:pPr>
    </w:p>
    <w:p w14:paraId="03A8E73F" w14:textId="2469F5FE" w:rsidR="004462A0" w:rsidRPr="008912CF" w:rsidRDefault="00615769" w:rsidP="004462A0">
      <w:pPr>
        <w:ind w:left="2268" w:firstLine="567"/>
        <w:rPr>
          <w:del w:id="15785" w:author="AbbVie2" w:date="2025-05-14T10:25:00Z"/>
        </w:rPr>
      </w:pPr>
      <w:del w:id="15786" w:author="AbbVie2" w:date="2025-05-14T10:25:00Z">
        <w:r>
          <w:rPr>
            <w:noProof/>
            <w:lang w:val="en-GB" w:eastAsia="en-GB"/>
          </w:rPr>
          <w:drawing>
            <wp:inline distT="0" distB="0" distL="0" distR="0" wp14:anchorId="0A8FD61A" wp14:editId="4B15563F">
              <wp:extent cx="1670050" cy="1670050"/>
              <wp:effectExtent l="0" t="0" r="635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43"/>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1670050" cy="1670050"/>
                      </a:xfrm>
                      <a:prstGeom prst="rect">
                        <a:avLst/>
                      </a:prstGeom>
                      <a:noFill/>
                      <a:ln>
                        <a:noFill/>
                      </a:ln>
                    </pic:spPr>
                  </pic:pic>
                </a:graphicData>
              </a:graphic>
            </wp:inline>
          </w:drawing>
        </w:r>
      </w:del>
    </w:p>
    <w:p w14:paraId="01BC14B0" w14:textId="100EE45F" w:rsidR="004462A0" w:rsidRPr="008912CF" w:rsidRDefault="004462A0" w:rsidP="004462A0">
      <w:pPr>
        <w:rPr>
          <w:del w:id="15787" w:author="AbbVie2" w:date="2025-05-14T10:25:00Z"/>
          <w:sz w:val="22"/>
          <w:szCs w:val="22"/>
        </w:rPr>
      </w:pPr>
    </w:p>
    <w:p w14:paraId="27724B47" w14:textId="2C01557C" w:rsidR="004462A0" w:rsidRPr="008912CF" w:rsidRDefault="00615769" w:rsidP="004462A0">
      <w:pPr>
        <w:ind w:left="567" w:hanging="567"/>
        <w:rPr>
          <w:del w:id="15788" w:author="AbbVie2" w:date="2025-05-14T10:25:00Z"/>
          <w:sz w:val="22"/>
          <w:szCs w:val="22"/>
        </w:rPr>
      </w:pPr>
      <w:del w:id="15789" w:author="AbbVie2" w:date="2025-05-14T10:25:00Z">
        <w:r w:rsidRPr="008912CF">
          <w:rPr>
            <w:sz w:val="22"/>
            <w:szCs w:val="22"/>
          </w:rPr>
          <w:delText>2.</w:delText>
        </w:r>
        <w:r w:rsidRPr="008912CF">
          <w:rPr>
            <w:sz w:val="22"/>
            <w:szCs w:val="22"/>
          </w:rPr>
          <w:tab/>
        </w:r>
        <w:r w:rsidRPr="008912CF">
          <w:rPr>
            <w:sz w:val="22"/>
            <w:szCs w:val="22"/>
          </w:rPr>
          <w:delText>Altere o local de injeção em cada administração de modo a não irritar um só local de injeção. Cada nova injeção deve ser administrada com pelo menos 3 cm de distância do local da última injeção.</w:delText>
        </w:r>
      </w:del>
    </w:p>
    <w:p w14:paraId="66BEA421" w14:textId="4A3948EB" w:rsidR="004462A0" w:rsidRPr="008912CF" w:rsidRDefault="004462A0" w:rsidP="004462A0">
      <w:pPr>
        <w:ind w:left="567" w:hanging="567"/>
        <w:rPr>
          <w:del w:id="15790" w:author="AbbVie2" w:date="2025-05-14T10:25:00Z"/>
          <w:sz w:val="22"/>
          <w:szCs w:val="22"/>
        </w:rPr>
      </w:pPr>
    </w:p>
    <w:p w14:paraId="3AAB85D1" w14:textId="66976545" w:rsidR="004462A0" w:rsidRPr="008912CF" w:rsidRDefault="00615769" w:rsidP="004462A0">
      <w:pPr>
        <w:ind w:left="567" w:hanging="567"/>
        <w:rPr>
          <w:del w:id="15791" w:author="AbbVie2" w:date="2025-05-14T10:25:00Z"/>
          <w:sz w:val="22"/>
          <w:szCs w:val="22"/>
        </w:rPr>
      </w:pPr>
      <w:del w:id="15792" w:author="AbbVie2" w:date="2025-05-14T10:25:00Z">
        <w:r w:rsidRPr="008912CF">
          <w:rPr>
            <w:sz w:val="22"/>
            <w:szCs w:val="22"/>
          </w:rPr>
          <w:delText>3.</w:delText>
        </w:r>
        <w:r w:rsidRPr="008912CF">
          <w:rPr>
            <w:sz w:val="22"/>
            <w:szCs w:val="22"/>
          </w:rPr>
          <w:tab/>
        </w:r>
        <w:r w:rsidRPr="008912CF">
          <w:rPr>
            <w:sz w:val="22"/>
            <w:szCs w:val="22"/>
          </w:rPr>
          <w:delText>Não injete numa área em que a pele esteja avermelhada, ferida ou endurecida. Isto pode significar que existe uma infeção.</w:delText>
        </w:r>
      </w:del>
    </w:p>
    <w:p w14:paraId="6139781E" w14:textId="5915002D" w:rsidR="004462A0" w:rsidRPr="008912CF" w:rsidRDefault="004462A0" w:rsidP="004462A0">
      <w:pPr>
        <w:tabs>
          <w:tab w:val="left" w:pos="1134"/>
        </w:tabs>
        <w:rPr>
          <w:del w:id="15793" w:author="AbbVie2" w:date="2025-05-14T10:25:00Z"/>
          <w:sz w:val="22"/>
          <w:szCs w:val="22"/>
        </w:rPr>
      </w:pPr>
    </w:p>
    <w:p w14:paraId="74C204E4" w14:textId="4D394FDC" w:rsidR="004462A0" w:rsidRPr="008912CF" w:rsidRDefault="00615769" w:rsidP="004462A0">
      <w:pPr>
        <w:tabs>
          <w:tab w:val="left" w:pos="1134"/>
        </w:tabs>
        <w:rPr>
          <w:del w:id="15794" w:author="AbbVie2" w:date="2025-05-14T10:25:00Z"/>
          <w:b/>
          <w:bCs/>
          <w:sz w:val="22"/>
          <w:szCs w:val="22"/>
        </w:rPr>
      </w:pPr>
      <w:del w:id="15795" w:author="AbbVie2" w:date="2025-05-14T10:25:00Z">
        <w:r w:rsidRPr="008912CF">
          <w:rPr>
            <w:b/>
            <w:bCs/>
            <w:sz w:val="22"/>
            <w:szCs w:val="22"/>
          </w:rPr>
          <w:delText>Como devo administrar a injeção?</w:delText>
        </w:r>
      </w:del>
    </w:p>
    <w:p w14:paraId="5242918B" w14:textId="2AB9770D" w:rsidR="004462A0" w:rsidRPr="008912CF" w:rsidRDefault="004462A0" w:rsidP="004462A0">
      <w:pPr>
        <w:tabs>
          <w:tab w:val="left" w:pos="1134"/>
        </w:tabs>
        <w:rPr>
          <w:del w:id="15796" w:author="AbbVie2" w:date="2025-05-14T10:25:00Z"/>
          <w:sz w:val="22"/>
          <w:szCs w:val="22"/>
        </w:rPr>
      </w:pPr>
    </w:p>
    <w:p w14:paraId="5ED65EEE" w14:textId="50B0D64D" w:rsidR="004462A0" w:rsidRPr="008912CF" w:rsidRDefault="00615769" w:rsidP="004462A0">
      <w:pPr>
        <w:tabs>
          <w:tab w:val="left" w:pos="1134"/>
        </w:tabs>
        <w:ind w:left="567" w:hanging="567"/>
        <w:rPr>
          <w:del w:id="15797" w:author="AbbVie2" w:date="2025-05-14T10:25:00Z"/>
          <w:sz w:val="22"/>
          <w:szCs w:val="22"/>
        </w:rPr>
      </w:pPr>
      <w:del w:id="15798" w:author="AbbVie2" w:date="2025-05-14T10:25:00Z">
        <w:r w:rsidRPr="008912CF">
          <w:rPr>
            <w:sz w:val="22"/>
            <w:szCs w:val="22"/>
          </w:rPr>
          <w:delText>1.</w:delText>
        </w:r>
        <w:r w:rsidRPr="008912CF">
          <w:rPr>
            <w:sz w:val="22"/>
            <w:szCs w:val="22"/>
          </w:rPr>
          <w:tab/>
        </w:r>
        <w:r w:rsidRPr="008912CF">
          <w:rPr>
            <w:sz w:val="22"/>
            <w:szCs w:val="22"/>
          </w:rPr>
          <w:delText>Limpe o local da injeção usando a compressa embebida em álcool, com movimentos circulares. Não volte a tocar nessa área antes da injeção.</w:delText>
        </w:r>
      </w:del>
    </w:p>
    <w:p w14:paraId="6104BDB4" w14:textId="2B1A325F" w:rsidR="004462A0" w:rsidRPr="008912CF" w:rsidRDefault="004462A0" w:rsidP="004462A0">
      <w:pPr>
        <w:tabs>
          <w:tab w:val="left" w:pos="1134"/>
        </w:tabs>
        <w:ind w:left="567" w:hanging="567"/>
        <w:rPr>
          <w:del w:id="15799" w:author="AbbVie2" w:date="2025-05-14T10:25:00Z"/>
          <w:sz w:val="22"/>
          <w:szCs w:val="22"/>
        </w:rPr>
      </w:pPr>
    </w:p>
    <w:p w14:paraId="0DEE9C27" w14:textId="7B58BBAC" w:rsidR="004462A0" w:rsidRPr="008912CF" w:rsidRDefault="00615769" w:rsidP="004462A0">
      <w:pPr>
        <w:tabs>
          <w:tab w:val="left" w:pos="1134"/>
        </w:tabs>
        <w:ind w:left="567" w:hanging="567"/>
        <w:rPr>
          <w:del w:id="15800" w:author="AbbVie2" w:date="2025-05-14T10:25:00Z"/>
          <w:sz w:val="22"/>
          <w:szCs w:val="22"/>
        </w:rPr>
      </w:pPr>
      <w:del w:id="15801" w:author="AbbVie2" w:date="2025-05-14T10:25:00Z">
        <w:r w:rsidRPr="008912CF">
          <w:rPr>
            <w:sz w:val="22"/>
            <w:szCs w:val="22"/>
          </w:rPr>
          <w:delText>2.</w:delText>
        </w:r>
        <w:r w:rsidRPr="008912CF">
          <w:rPr>
            <w:sz w:val="22"/>
            <w:szCs w:val="22"/>
          </w:rPr>
          <w:tab/>
          <w:delText xml:space="preserve">Retire só a tampa cinzenta e a tampa roxa </w:delText>
        </w:r>
        <w:r w:rsidRPr="008912CF">
          <w:rPr>
            <w:b/>
            <w:bCs/>
            <w:sz w:val="22"/>
            <w:szCs w:val="22"/>
          </w:rPr>
          <w:delText>imediatamente</w:delText>
        </w:r>
        <w:r w:rsidRPr="008912CF">
          <w:rPr>
            <w:sz w:val="22"/>
            <w:szCs w:val="22"/>
          </w:rPr>
          <w:delText xml:space="preserve"> antes da injeção. Segure o corpo cinzento da caneta pré-cheia com uma mão. Coloque a mão no meio da caneta de modo que nem a tampa cinzenta (1) nem a tampa roxa (2) fiquem tapadas. Segure a caneta pré-cheia com a tampa cinzenta (1) voltada para cima. Com a outra mão, retire a tampa cinzenta (1) na vertical, verifique se a pequena proteção cinzenta da agulha foi removida com a tampa da seringa e depois elimine-a. Se aparecerem na agulha algumas pequena</w:delText>
        </w:r>
        <w:r w:rsidRPr="008912CF">
          <w:rPr>
            <w:sz w:val="22"/>
            <w:szCs w:val="22"/>
          </w:rPr>
          <w:delText xml:space="preserve">s gotas, isto significa que está bem. A proteção branca da agulha está agora visível. Não tente tocar na agulha protegida no cartucho. </w:delText>
        </w:r>
        <w:r w:rsidRPr="008912CF">
          <w:rPr>
            <w:b/>
            <w:bCs/>
            <w:sz w:val="22"/>
            <w:szCs w:val="22"/>
          </w:rPr>
          <w:delText>NÃO VOLTE A COLOCAR A TAMPA,</w:delText>
        </w:r>
        <w:r w:rsidRPr="008912CF">
          <w:rPr>
            <w:sz w:val="22"/>
            <w:szCs w:val="22"/>
          </w:rPr>
          <w:delText xml:space="preserve"> pode danificar o interior da agulha.</w:delText>
        </w:r>
      </w:del>
    </w:p>
    <w:p w14:paraId="15E93E04" w14:textId="1624C0EE" w:rsidR="004462A0" w:rsidRPr="008912CF" w:rsidRDefault="004462A0" w:rsidP="004462A0">
      <w:pPr>
        <w:tabs>
          <w:tab w:val="left" w:pos="1134"/>
        </w:tabs>
        <w:ind w:left="567" w:hanging="567"/>
        <w:rPr>
          <w:del w:id="15802" w:author="AbbVie2" w:date="2025-05-14T10:25:00Z"/>
          <w:sz w:val="22"/>
          <w:szCs w:val="22"/>
        </w:rPr>
      </w:pPr>
    </w:p>
    <w:p w14:paraId="2FFCDB9F" w14:textId="009A877D" w:rsidR="004462A0" w:rsidRPr="008912CF" w:rsidRDefault="00615769" w:rsidP="004462A0">
      <w:pPr>
        <w:tabs>
          <w:tab w:val="left" w:pos="1134"/>
        </w:tabs>
        <w:ind w:left="567" w:hanging="567"/>
        <w:rPr>
          <w:del w:id="15803" w:author="AbbVie2" w:date="2025-05-14T10:25:00Z"/>
        </w:rPr>
      </w:pPr>
      <w:del w:id="15804" w:author="AbbVie2" w:date="2025-05-14T10:25:00Z">
        <w:r w:rsidRPr="008912CF">
          <w:tab/>
        </w:r>
        <w:r w:rsidRPr="008912CF">
          <w:tab/>
        </w:r>
        <w:r w:rsidRPr="008912CF">
          <w:tab/>
        </w:r>
        <w:r w:rsidRPr="008912CF">
          <w:tab/>
        </w:r>
        <w:r>
          <w:rPr>
            <w:noProof/>
            <w:lang w:val="en-GB" w:eastAsia="en-GB"/>
          </w:rPr>
          <w:drawing>
            <wp:inline distT="0" distB="0" distL="0" distR="0" wp14:anchorId="0C9A8E93" wp14:editId="205C4F28">
              <wp:extent cx="1997710" cy="2037715"/>
              <wp:effectExtent l="0" t="0" r="254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44"/>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1997710" cy="2037715"/>
                      </a:xfrm>
                      <a:prstGeom prst="rect">
                        <a:avLst/>
                      </a:prstGeom>
                      <a:noFill/>
                      <a:ln>
                        <a:noFill/>
                      </a:ln>
                    </pic:spPr>
                  </pic:pic>
                </a:graphicData>
              </a:graphic>
            </wp:inline>
          </w:drawing>
        </w:r>
      </w:del>
    </w:p>
    <w:p w14:paraId="12823722" w14:textId="434C65BB" w:rsidR="004462A0" w:rsidRPr="008912CF" w:rsidRDefault="004462A0" w:rsidP="004462A0">
      <w:pPr>
        <w:tabs>
          <w:tab w:val="left" w:pos="1134"/>
        </w:tabs>
        <w:ind w:left="567" w:hanging="567"/>
        <w:rPr>
          <w:del w:id="15805" w:author="AbbVie2" w:date="2025-05-14T10:25:00Z"/>
          <w:sz w:val="22"/>
          <w:szCs w:val="22"/>
        </w:rPr>
      </w:pPr>
    </w:p>
    <w:p w14:paraId="2889DB0F" w14:textId="0A857AB5" w:rsidR="004462A0" w:rsidRPr="008912CF" w:rsidRDefault="00615769" w:rsidP="004462A0">
      <w:pPr>
        <w:tabs>
          <w:tab w:val="left" w:pos="1134"/>
        </w:tabs>
        <w:ind w:left="567" w:hanging="567"/>
        <w:rPr>
          <w:del w:id="15806" w:author="AbbVie2" w:date="2025-05-14T10:25:00Z"/>
          <w:b/>
          <w:bCs/>
          <w:sz w:val="22"/>
          <w:szCs w:val="22"/>
        </w:rPr>
      </w:pPr>
      <w:del w:id="15807" w:author="AbbVie2" w:date="2025-05-14T10:25:00Z">
        <w:r w:rsidRPr="008912CF">
          <w:rPr>
            <w:sz w:val="22"/>
            <w:szCs w:val="22"/>
          </w:rPr>
          <w:delText>3.</w:delText>
        </w:r>
        <w:r w:rsidRPr="008912CF">
          <w:rPr>
            <w:sz w:val="22"/>
            <w:szCs w:val="22"/>
          </w:rPr>
          <w:tab/>
          <w:delText xml:space="preserve">Retire a tampa de segurança de cor roxa da caneta (“2”) de forma a que o botão ativador de cor roxa fique à superfície. A caneta pré-cheia está agora pronta a usar. Não pressione o botão ativador roxo até que esteja adequadamente posicionado, dado que resultaria numa descarga de medicação. </w:delText>
        </w:r>
        <w:r w:rsidRPr="008912CF">
          <w:rPr>
            <w:b/>
            <w:bCs/>
            <w:sz w:val="22"/>
            <w:szCs w:val="22"/>
          </w:rPr>
          <w:delText>NÃO VOLTE A COLOCAR A TAMPA, porque isso pode causar descarga da unidade.</w:delText>
        </w:r>
      </w:del>
    </w:p>
    <w:p w14:paraId="4BA5A1C5" w14:textId="3DC12109" w:rsidR="004462A0" w:rsidRPr="008912CF" w:rsidRDefault="004462A0" w:rsidP="004462A0">
      <w:pPr>
        <w:ind w:left="567" w:hanging="567"/>
        <w:rPr>
          <w:del w:id="15808" w:author="AbbVie2" w:date="2025-05-14T10:25:00Z"/>
          <w:b/>
          <w:sz w:val="22"/>
          <w:szCs w:val="22"/>
        </w:rPr>
      </w:pPr>
    </w:p>
    <w:p w14:paraId="2C3BDBCF" w14:textId="39952D52" w:rsidR="004462A0" w:rsidRPr="008912CF" w:rsidRDefault="00615769" w:rsidP="004462A0">
      <w:pPr>
        <w:ind w:left="567" w:hanging="567"/>
        <w:rPr>
          <w:del w:id="15809" w:author="AbbVie2" w:date="2025-05-14T10:25:00Z"/>
          <w:b/>
          <w:sz w:val="22"/>
          <w:szCs w:val="22"/>
        </w:rPr>
      </w:pPr>
      <w:del w:id="15810" w:author="AbbVie2" w:date="2025-05-14T10:25:00Z">
        <w:r w:rsidRPr="008912CF">
          <w:rPr>
            <w:b/>
            <w:sz w:val="22"/>
            <w:szCs w:val="22"/>
          </w:rPr>
          <w:delText xml:space="preserve">Administrar a injeção </w:delText>
        </w:r>
      </w:del>
    </w:p>
    <w:p w14:paraId="0F6C547E" w14:textId="2AF88266" w:rsidR="004462A0" w:rsidRPr="008912CF" w:rsidRDefault="004462A0" w:rsidP="004462A0">
      <w:pPr>
        <w:rPr>
          <w:del w:id="15811" w:author="AbbVie2" w:date="2025-05-14T10:25:00Z"/>
          <w:b/>
          <w:sz w:val="22"/>
          <w:szCs w:val="22"/>
        </w:rPr>
      </w:pPr>
    </w:p>
    <w:p w14:paraId="49F21368" w14:textId="533E1DDD" w:rsidR="004462A0" w:rsidRPr="008912CF" w:rsidRDefault="00615769" w:rsidP="004462A0">
      <w:pPr>
        <w:pStyle w:val="BodyText2"/>
        <w:autoSpaceDE/>
        <w:autoSpaceDN/>
        <w:adjustRightInd/>
        <w:ind w:left="567" w:hanging="567"/>
        <w:rPr>
          <w:del w:id="15812" w:author="AbbVie2" w:date="2025-05-14T10:25:00Z"/>
          <w:szCs w:val="22"/>
        </w:rPr>
      </w:pPr>
      <w:del w:id="15813" w:author="AbbVie2" w:date="2025-05-14T10:25:00Z">
        <w:r w:rsidRPr="008912CF">
          <w:rPr>
            <w:szCs w:val="22"/>
          </w:rPr>
          <w:delText>1.</w:delText>
        </w:r>
        <w:r w:rsidRPr="008912CF">
          <w:rPr>
            <w:szCs w:val="22"/>
          </w:rPr>
          <w:tab/>
          <w:delText>Com uma mão, agarre cuidadosamente uma prega cutânea bastante grande, no local da injeção que já se encontra limpa, apertando-a firmemente (ver abaixo).</w:delText>
        </w:r>
      </w:del>
    </w:p>
    <w:p w14:paraId="66DF4802" w14:textId="2A579C8E" w:rsidR="004462A0" w:rsidRPr="008912CF" w:rsidRDefault="00615769" w:rsidP="004462A0">
      <w:pPr>
        <w:pStyle w:val="BodyText2"/>
        <w:autoSpaceDE/>
        <w:autoSpaceDN/>
        <w:adjustRightInd/>
        <w:ind w:left="567" w:hanging="567"/>
        <w:rPr>
          <w:del w:id="15814" w:author="AbbVie2" w:date="2025-05-14T10:25:00Z"/>
          <w:szCs w:val="22"/>
        </w:rPr>
      </w:pPr>
      <w:del w:id="15815" w:author="AbbVie2" w:date="2025-05-14T10:25:00Z">
        <w:r w:rsidRPr="008912CF">
          <w:rPr>
            <w:szCs w:val="22"/>
          </w:rPr>
          <w:delText>2.</w:delText>
        </w:r>
        <w:r w:rsidRPr="008912CF">
          <w:rPr>
            <w:szCs w:val="22"/>
          </w:rPr>
          <w:tab/>
        </w:r>
        <w:r w:rsidRPr="008912CF">
          <w:rPr>
            <w:szCs w:val="22"/>
          </w:rPr>
          <w:delText>Coloque a extremidade branca da caneta pré-cheia junto à pele num ângulo reto (90 graus), de modo a que possa ver a janela. É normal a presença de uma ou mais bolhas na janela.</w:delText>
        </w:r>
      </w:del>
    </w:p>
    <w:p w14:paraId="1EDA5CA8" w14:textId="543CCFDC" w:rsidR="004462A0" w:rsidRPr="008912CF" w:rsidRDefault="00615769" w:rsidP="004462A0">
      <w:pPr>
        <w:pStyle w:val="BodyText2"/>
        <w:autoSpaceDE/>
        <w:autoSpaceDN/>
        <w:adjustRightInd/>
        <w:ind w:left="567" w:hanging="567"/>
        <w:rPr>
          <w:del w:id="15816" w:author="AbbVie2" w:date="2025-05-14T10:25:00Z"/>
          <w:szCs w:val="22"/>
        </w:rPr>
      </w:pPr>
      <w:del w:id="15817" w:author="AbbVie2" w:date="2025-05-14T10:25:00Z">
        <w:r w:rsidRPr="008912CF">
          <w:rPr>
            <w:szCs w:val="22"/>
          </w:rPr>
          <w:delText>3.</w:delText>
        </w:r>
        <w:r w:rsidRPr="008912CF">
          <w:rPr>
            <w:szCs w:val="22"/>
          </w:rPr>
          <w:tab/>
          <w:delText>Segure o cartucho da caneta pré-cheia e pressione-o levemente no local de injeção (sem qualquer movimento).</w:delText>
        </w:r>
      </w:del>
    </w:p>
    <w:p w14:paraId="3A214A09" w14:textId="4468DBDA" w:rsidR="004462A0" w:rsidRPr="008912CF" w:rsidRDefault="00615769" w:rsidP="004462A0">
      <w:pPr>
        <w:pStyle w:val="BodyText2"/>
        <w:autoSpaceDE/>
        <w:autoSpaceDN/>
        <w:adjustRightInd/>
        <w:ind w:left="567" w:hanging="567"/>
        <w:rPr>
          <w:del w:id="15818" w:author="AbbVie2" w:date="2025-05-14T10:25:00Z"/>
          <w:szCs w:val="22"/>
        </w:rPr>
      </w:pPr>
      <w:del w:id="15819" w:author="AbbVie2" w:date="2025-05-14T10:25:00Z">
        <w:r w:rsidRPr="008912CF">
          <w:rPr>
            <w:szCs w:val="22"/>
          </w:rPr>
          <w:delText>4.</w:delText>
        </w:r>
        <w:r w:rsidRPr="008912CF">
          <w:rPr>
            <w:szCs w:val="22"/>
          </w:rPr>
          <w:tab/>
          <w:delText>Logo que esteja pronto a iniciar a injeção, pressione com o dedo indicador ou o polegar o botão de cor roxa sobre o local de injeção (ver abaixo). Quando a agulha se solta, ouvirá um “click” num tom audível e irá sentir uma pequena picada quando a agulha penetrar na pele.</w:delText>
        </w:r>
      </w:del>
    </w:p>
    <w:p w14:paraId="2A220D2B" w14:textId="3A8A9C75" w:rsidR="004462A0" w:rsidRPr="008912CF" w:rsidRDefault="00615769" w:rsidP="004462A0">
      <w:pPr>
        <w:pStyle w:val="BodyText2"/>
        <w:autoSpaceDE/>
        <w:autoSpaceDN/>
        <w:adjustRightInd/>
        <w:ind w:left="567" w:hanging="567"/>
        <w:rPr>
          <w:del w:id="15820" w:author="AbbVie2" w:date="2025-05-14T10:25:00Z"/>
          <w:szCs w:val="22"/>
        </w:rPr>
      </w:pPr>
      <w:del w:id="15821" w:author="AbbVie2" w:date="2025-05-14T10:25:00Z">
        <w:r w:rsidRPr="008912CF">
          <w:rPr>
            <w:szCs w:val="22"/>
          </w:rPr>
          <w:delText>5.</w:delText>
        </w:r>
        <w:r w:rsidRPr="008912CF">
          <w:rPr>
            <w:szCs w:val="22"/>
          </w:rPr>
          <w:tab/>
          <w:delText>Mantenha o botão pressionado e continue a segurar a caneta pré-cheia de forma constante no local de injeção</w:delText>
        </w:r>
        <w:r w:rsidRPr="008912CF">
          <w:rPr>
            <w:b/>
            <w:bCs/>
            <w:szCs w:val="22"/>
          </w:rPr>
          <w:delText xml:space="preserve"> durante 10 segundos, para assegurar uma injeção completa.</w:delText>
        </w:r>
        <w:r w:rsidRPr="008912CF">
          <w:rPr>
            <w:szCs w:val="22"/>
          </w:rPr>
          <w:delText xml:space="preserve"> Não remova a caneta pré-cheia enquanto a injeção está a ser administrada.</w:delText>
        </w:r>
      </w:del>
    </w:p>
    <w:p w14:paraId="775FF28D" w14:textId="72A118AE" w:rsidR="004462A0" w:rsidRPr="008912CF" w:rsidRDefault="004462A0" w:rsidP="004462A0">
      <w:pPr>
        <w:ind w:left="567" w:hanging="567"/>
        <w:rPr>
          <w:del w:id="15822" w:author="AbbVie2" w:date="2025-05-14T10:25:00Z"/>
          <w:sz w:val="22"/>
          <w:szCs w:val="22"/>
        </w:rPr>
      </w:pPr>
    </w:p>
    <w:tbl>
      <w:tblPr>
        <w:tblW w:w="0" w:type="auto"/>
        <w:jc w:val="center"/>
        <w:tblLook w:val="01E0" w:firstRow="1" w:lastRow="1" w:firstColumn="1" w:lastColumn="1" w:noHBand="0" w:noVBand="0"/>
      </w:tblPr>
      <w:tblGrid>
        <w:gridCol w:w="4538"/>
        <w:gridCol w:w="4533"/>
      </w:tblGrid>
      <w:tr w:rsidR="00A7162A" w14:paraId="4F8F8150" w14:textId="600947AE" w:rsidTr="00F675CF">
        <w:trPr>
          <w:jc w:val="center"/>
          <w:del w:id="15823" w:author="AbbVie2" w:date="2025-05-14T10:25:00Z"/>
        </w:trPr>
        <w:tc>
          <w:tcPr>
            <w:tcW w:w="4643" w:type="dxa"/>
          </w:tcPr>
          <w:p w14:paraId="36E8F373" w14:textId="261C8428" w:rsidR="004462A0" w:rsidRPr="008912CF" w:rsidRDefault="00615769" w:rsidP="00F675CF">
            <w:pPr>
              <w:tabs>
                <w:tab w:val="left" w:pos="562"/>
              </w:tabs>
              <w:suppressAutoHyphens/>
              <w:jc w:val="center"/>
              <w:rPr>
                <w:del w:id="15824" w:author="AbbVie2" w:date="2025-05-14T10:25:00Z"/>
              </w:rPr>
            </w:pPr>
            <w:del w:id="15825" w:author="AbbVie2" w:date="2025-05-14T10:25:00Z">
              <w:r>
                <w:rPr>
                  <w:noProof/>
                  <w:lang w:val="en-GB" w:eastAsia="en-GB"/>
                </w:rPr>
                <w:drawing>
                  <wp:inline distT="0" distB="0" distL="0" distR="0" wp14:anchorId="10557C63" wp14:editId="3A91A70D">
                    <wp:extent cx="1739265" cy="16795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5"/>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1739265" cy="1679575"/>
                            </a:xfrm>
                            <a:prstGeom prst="rect">
                              <a:avLst/>
                            </a:prstGeom>
                            <a:noFill/>
                            <a:ln>
                              <a:noFill/>
                            </a:ln>
                          </pic:spPr>
                        </pic:pic>
                      </a:graphicData>
                    </a:graphic>
                  </wp:inline>
                </w:drawing>
              </w:r>
            </w:del>
          </w:p>
        </w:tc>
        <w:tc>
          <w:tcPr>
            <w:tcW w:w="4644" w:type="dxa"/>
          </w:tcPr>
          <w:p w14:paraId="21D04FBB" w14:textId="2270E4E1" w:rsidR="004462A0" w:rsidRPr="008912CF" w:rsidRDefault="00615769" w:rsidP="00F675CF">
            <w:pPr>
              <w:tabs>
                <w:tab w:val="left" w:pos="562"/>
              </w:tabs>
              <w:suppressAutoHyphens/>
              <w:jc w:val="center"/>
              <w:rPr>
                <w:del w:id="15826" w:author="AbbVie2" w:date="2025-05-14T10:25:00Z"/>
              </w:rPr>
            </w:pPr>
            <w:del w:id="15827" w:author="AbbVie2" w:date="2025-05-14T10:25:00Z">
              <w:r>
                <w:rPr>
                  <w:noProof/>
                  <w:lang w:val="en-GB" w:eastAsia="en-GB"/>
                </w:rPr>
                <w:drawing>
                  <wp:inline distT="0" distB="0" distL="0" distR="0" wp14:anchorId="00C26356" wp14:editId="3C6983E7">
                    <wp:extent cx="1670050" cy="1659890"/>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6"/>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1670050" cy="1659890"/>
                            </a:xfrm>
                            <a:prstGeom prst="rect">
                              <a:avLst/>
                            </a:prstGeom>
                            <a:noFill/>
                            <a:ln>
                              <a:noFill/>
                            </a:ln>
                          </pic:spPr>
                        </pic:pic>
                      </a:graphicData>
                    </a:graphic>
                  </wp:inline>
                </w:drawing>
              </w:r>
            </w:del>
          </w:p>
        </w:tc>
      </w:tr>
    </w:tbl>
    <w:p w14:paraId="4F60C5BC" w14:textId="5F0FC409" w:rsidR="004462A0" w:rsidRPr="008912CF" w:rsidRDefault="004462A0" w:rsidP="004462A0">
      <w:pPr>
        <w:rPr>
          <w:del w:id="15828" w:author="AbbVie2" w:date="2025-05-14T10:25:00Z"/>
          <w:sz w:val="22"/>
          <w:szCs w:val="22"/>
        </w:rPr>
      </w:pPr>
    </w:p>
    <w:p w14:paraId="4E8E97CF" w14:textId="7E191FF5" w:rsidR="004462A0" w:rsidRPr="008912CF" w:rsidRDefault="00615769" w:rsidP="004462A0">
      <w:pPr>
        <w:shd w:val="clear" w:color="auto" w:fill="FFFFFF"/>
        <w:ind w:left="567" w:hanging="567"/>
        <w:textAlignment w:val="top"/>
        <w:rPr>
          <w:del w:id="15829" w:author="AbbVie2" w:date="2025-05-14T10:25:00Z"/>
          <w:sz w:val="22"/>
          <w:szCs w:val="22"/>
        </w:rPr>
      </w:pPr>
      <w:del w:id="15830" w:author="AbbVie2" w:date="2025-05-14T10:25:00Z">
        <w:r w:rsidRPr="008912CF">
          <w:rPr>
            <w:sz w:val="22"/>
            <w:szCs w:val="22"/>
          </w:rPr>
          <w:delText>6.</w:delText>
        </w:r>
        <w:r w:rsidRPr="008912CF">
          <w:rPr>
            <w:sz w:val="22"/>
            <w:szCs w:val="22"/>
          </w:rPr>
          <w:tab/>
        </w:r>
        <w:r w:rsidRPr="008912CF">
          <w:rPr>
            <w:sz w:val="22"/>
            <w:szCs w:val="22"/>
            <w:shd w:val="clear" w:color="auto" w:fill="FFFFFF"/>
          </w:rPr>
          <w:delText>Verá através da janela, um indicador amarelo a mover-se durante a injeção. A injeção está completa quando o indicador amarelo parar. O indicador amarelo faz parte do êmbolo da caneta pré-cheia. Se o indicador amarelo não é visível na janela, o êmbolo não avançou de forma adequa</w:delText>
        </w:r>
        <w:r w:rsidRPr="008912CF">
          <w:rPr>
            <w:sz w:val="22"/>
            <w:szCs w:val="22"/>
          </w:rPr>
          <w:delText>da e a injeção não está completa.</w:delText>
        </w:r>
      </w:del>
    </w:p>
    <w:p w14:paraId="4F62CA39" w14:textId="24EBFA82" w:rsidR="004462A0" w:rsidRPr="008912CF" w:rsidRDefault="004462A0" w:rsidP="004462A0">
      <w:pPr>
        <w:pStyle w:val="BodyText2"/>
        <w:autoSpaceDE/>
        <w:autoSpaceDN/>
        <w:adjustRightInd/>
        <w:ind w:left="567" w:hanging="567"/>
        <w:rPr>
          <w:del w:id="15831" w:author="AbbVie2" w:date="2025-05-14T10:25:00Z"/>
          <w:szCs w:val="22"/>
        </w:rPr>
      </w:pPr>
    </w:p>
    <w:p w14:paraId="1BF4C75F" w14:textId="1B693157" w:rsidR="004462A0" w:rsidRPr="008912CF" w:rsidRDefault="00615769" w:rsidP="004462A0">
      <w:pPr>
        <w:pStyle w:val="BodyText2"/>
        <w:autoSpaceDE/>
        <w:autoSpaceDN/>
        <w:adjustRightInd/>
        <w:ind w:left="567" w:hanging="567"/>
        <w:rPr>
          <w:del w:id="15832" w:author="AbbVie2" w:date="2025-05-14T10:25:00Z"/>
          <w:szCs w:val="22"/>
        </w:rPr>
      </w:pPr>
      <w:del w:id="15833" w:author="AbbVie2" w:date="2025-05-14T10:25:00Z">
        <w:r w:rsidRPr="008912CF">
          <w:rPr>
            <w:szCs w:val="22"/>
          </w:rPr>
          <w:delText>7.</w:delText>
        </w:r>
        <w:r w:rsidRPr="008912CF">
          <w:rPr>
            <w:szCs w:val="22"/>
          </w:rPr>
          <w:tab/>
          <w:delText xml:space="preserve">Retire verticalmente a caneta pré-cheia do local de injeção. A proteção branca da agulha desliza sobre a agulha e envolve-a completamente. Não tente tocar na agulha. A proteção branca da agulha evita que toque na agulha. </w:delText>
        </w:r>
      </w:del>
    </w:p>
    <w:tbl>
      <w:tblPr>
        <w:tblpPr w:leftFromText="141" w:rightFromText="141" w:vertAnchor="text" w:horzAnchor="margin" w:tblpY="332"/>
        <w:tblW w:w="0" w:type="auto"/>
        <w:tblLook w:val="01E0" w:firstRow="1" w:lastRow="1" w:firstColumn="1" w:lastColumn="1" w:noHBand="0" w:noVBand="0"/>
      </w:tblPr>
      <w:tblGrid>
        <w:gridCol w:w="2856"/>
        <w:gridCol w:w="1692"/>
        <w:gridCol w:w="2796"/>
        <w:gridCol w:w="1727"/>
      </w:tblGrid>
      <w:tr w:rsidR="00A7162A" w14:paraId="7A81ECA9" w14:textId="22801447" w:rsidTr="00F675CF">
        <w:trPr>
          <w:del w:id="15834" w:author="AbbVie2" w:date="2025-05-14T10:25:00Z"/>
        </w:trPr>
        <w:tc>
          <w:tcPr>
            <w:tcW w:w="2840" w:type="dxa"/>
          </w:tcPr>
          <w:p w14:paraId="1891591D" w14:textId="7720533C" w:rsidR="004462A0" w:rsidRPr="008912CF" w:rsidRDefault="00615769" w:rsidP="00F675CF">
            <w:pPr>
              <w:pStyle w:val="EMEANormal"/>
              <w:spacing w:after="240"/>
              <w:rPr>
                <w:del w:id="15835" w:author="AbbVie2" w:date="2025-05-14T10:25:00Z"/>
                <w:lang w:val="pt-PT"/>
              </w:rPr>
            </w:pPr>
            <w:del w:id="15836" w:author="AbbVie2" w:date="2025-05-14T10:25:00Z">
              <w:r>
                <w:rPr>
                  <w:noProof/>
                  <w:lang w:val="en-GB" w:eastAsia="en-GB"/>
                </w:rPr>
                <w:drawing>
                  <wp:inline distT="0" distB="0" distL="0" distR="0" wp14:anchorId="36F60E76" wp14:editId="18958622">
                    <wp:extent cx="1670050" cy="165989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7"/>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1670050" cy="1659890"/>
                            </a:xfrm>
                            <a:prstGeom prst="rect">
                              <a:avLst/>
                            </a:prstGeom>
                            <a:noFill/>
                            <a:ln>
                              <a:noFill/>
                            </a:ln>
                          </pic:spPr>
                        </pic:pic>
                      </a:graphicData>
                    </a:graphic>
                  </wp:inline>
                </w:drawing>
              </w:r>
            </w:del>
          </w:p>
        </w:tc>
        <w:tc>
          <w:tcPr>
            <w:tcW w:w="1820" w:type="dxa"/>
          </w:tcPr>
          <w:p w14:paraId="1B145998" w14:textId="2E260A1A" w:rsidR="004462A0" w:rsidRPr="008912CF" w:rsidRDefault="004462A0" w:rsidP="00F675CF">
            <w:pPr>
              <w:pStyle w:val="EMEANormal"/>
              <w:spacing w:after="240"/>
              <w:rPr>
                <w:del w:id="15837" w:author="AbbVie2" w:date="2025-05-14T10:25:00Z"/>
                <w:lang w:val="pt-PT"/>
              </w:rPr>
            </w:pPr>
          </w:p>
          <w:p w14:paraId="76BDEE90" w14:textId="315A1B21" w:rsidR="004462A0" w:rsidRPr="008912CF" w:rsidRDefault="00615769" w:rsidP="00F675CF">
            <w:pPr>
              <w:pStyle w:val="EMEANormal"/>
              <w:spacing w:after="240"/>
              <w:rPr>
                <w:del w:id="15838" w:author="AbbVie2" w:date="2025-05-14T10:25:00Z"/>
                <w:lang w:val="pt-PT"/>
              </w:rPr>
            </w:pPr>
            <w:del w:id="15839" w:author="AbbVie2" w:date="2025-05-14T10:25:00Z">
              <w:r w:rsidRPr="008912CF">
                <w:rPr>
                  <w:lang w:val="pt-PT"/>
                </w:rPr>
                <w:delText>Proteção Branca da Agulha</w:delText>
              </w:r>
            </w:del>
          </w:p>
        </w:tc>
        <w:tc>
          <w:tcPr>
            <w:tcW w:w="2780" w:type="dxa"/>
          </w:tcPr>
          <w:p w14:paraId="6F75FC0D" w14:textId="444031E5" w:rsidR="004462A0" w:rsidRPr="008912CF" w:rsidRDefault="00615769" w:rsidP="00F675CF">
            <w:pPr>
              <w:pStyle w:val="EMEANormal"/>
              <w:spacing w:after="240"/>
              <w:rPr>
                <w:del w:id="15840" w:author="AbbVie2" w:date="2025-05-14T10:25:00Z"/>
                <w:lang w:val="pt-PT"/>
              </w:rPr>
            </w:pPr>
            <w:del w:id="15841" w:author="AbbVie2" w:date="2025-05-14T10:25:00Z">
              <w:r>
                <w:rPr>
                  <w:noProof/>
                  <w:lang w:val="en-GB" w:eastAsia="en-GB"/>
                </w:rPr>
                <w:drawing>
                  <wp:inline distT="0" distB="0" distL="0" distR="0" wp14:anchorId="3B4781D8" wp14:editId="414D1DDA">
                    <wp:extent cx="1630045" cy="1659890"/>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8"/>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1630045" cy="1659890"/>
                            </a:xfrm>
                            <a:prstGeom prst="rect">
                              <a:avLst/>
                            </a:prstGeom>
                            <a:noFill/>
                            <a:ln>
                              <a:noFill/>
                            </a:ln>
                          </pic:spPr>
                        </pic:pic>
                      </a:graphicData>
                    </a:graphic>
                  </wp:inline>
                </w:drawing>
              </w:r>
            </w:del>
          </w:p>
        </w:tc>
        <w:tc>
          <w:tcPr>
            <w:tcW w:w="1847" w:type="dxa"/>
          </w:tcPr>
          <w:p w14:paraId="1C5374BD" w14:textId="6DC6F734" w:rsidR="004462A0" w:rsidRPr="008912CF" w:rsidRDefault="004462A0" w:rsidP="00F675CF">
            <w:pPr>
              <w:pStyle w:val="EMEANormal"/>
              <w:spacing w:after="240"/>
              <w:rPr>
                <w:del w:id="15842" w:author="AbbVie2" w:date="2025-05-14T10:25:00Z"/>
                <w:lang w:val="pt-PT"/>
              </w:rPr>
            </w:pPr>
          </w:p>
          <w:p w14:paraId="48B22D6F" w14:textId="651CA66E" w:rsidR="004462A0" w:rsidRPr="008912CF" w:rsidRDefault="00615769" w:rsidP="00F675CF">
            <w:pPr>
              <w:pStyle w:val="EMEANormal"/>
              <w:spacing w:after="240"/>
              <w:rPr>
                <w:del w:id="15843" w:author="AbbVie2" w:date="2025-05-14T10:25:00Z"/>
                <w:szCs w:val="22"/>
                <w:lang w:val="pt-PT"/>
              </w:rPr>
            </w:pPr>
            <w:del w:id="15844" w:author="AbbVie2" w:date="2025-05-14T10:25:00Z">
              <w:r w:rsidRPr="008912CF">
                <w:rPr>
                  <w:szCs w:val="22"/>
                  <w:lang w:val="pt-PT"/>
                </w:rPr>
                <w:delText>Janela</w:delText>
              </w:r>
            </w:del>
          </w:p>
          <w:p w14:paraId="7685CCB1" w14:textId="1729C166" w:rsidR="004462A0" w:rsidRPr="008912CF" w:rsidRDefault="004462A0" w:rsidP="00F675CF">
            <w:pPr>
              <w:tabs>
                <w:tab w:val="left" w:pos="7370"/>
              </w:tabs>
              <w:suppressAutoHyphens/>
              <w:rPr>
                <w:del w:id="15845" w:author="AbbVie2" w:date="2025-05-14T10:25:00Z"/>
                <w:sz w:val="22"/>
                <w:szCs w:val="22"/>
              </w:rPr>
            </w:pPr>
          </w:p>
          <w:p w14:paraId="060AAC8C" w14:textId="210CE4A5" w:rsidR="004462A0" w:rsidRPr="008912CF" w:rsidRDefault="00615769" w:rsidP="00F675CF">
            <w:pPr>
              <w:tabs>
                <w:tab w:val="left" w:pos="7370"/>
              </w:tabs>
              <w:suppressAutoHyphens/>
              <w:rPr>
                <w:del w:id="15846" w:author="AbbVie2" w:date="2025-05-14T10:25:00Z"/>
                <w:sz w:val="22"/>
                <w:szCs w:val="22"/>
              </w:rPr>
            </w:pPr>
            <w:del w:id="15847" w:author="AbbVie2" w:date="2025-05-14T10:25:00Z">
              <w:r w:rsidRPr="008912CF">
                <w:rPr>
                  <w:sz w:val="22"/>
                  <w:szCs w:val="22"/>
                </w:rPr>
                <w:delText>Indicador Amarelo Visível</w:delText>
              </w:r>
            </w:del>
          </w:p>
          <w:p w14:paraId="628A2F47" w14:textId="06AC56B3" w:rsidR="004462A0" w:rsidRPr="008912CF" w:rsidRDefault="004462A0" w:rsidP="00F675CF">
            <w:pPr>
              <w:pStyle w:val="EMEANormal"/>
              <w:spacing w:after="240"/>
              <w:rPr>
                <w:del w:id="15848" w:author="AbbVie2" w:date="2025-05-14T10:25:00Z"/>
                <w:szCs w:val="22"/>
                <w:lang w:val="pt-PT"/>
              </w:rPr>
            </w:pPr>
          </w:p>
          <w:p w14:paraId="6A44AE60" w14:textId="1C86D2D1" w:rsidR="004462A0" w:rsidRPr="008912CF" w:rsidRDefault="004462A0" w:rsidP="00F675CF">
            <w:pPr>
              <w:pStyle w:val="EMEANormal"/>
              <w:spacing w:after="240"/>
              <w:rPr>
                <w:del w:id="15849" w:author="AbbVie2" w:date="2025-05-14T10:25:00Z"/>
                <w:szCs w:val="22"/>
                <w:lang w:val="pt-PT"/>
              </w:rPr>
            </w:pPr>
          </w:p>
          <w:p w14:paraId="67E2952E" w14:textId="7B5261D5" w:rsidR="004462A0" w:rsidRPr="008912CF" w:rsidRDefault="004462A0" w:rsidP="00F675CF">
            <w:pPr>
              <w:tabs>
                <w:tab w:val="left" w:pos="562"/>
                <w:tab w:val="left" w:pos="7370"/>
              </w:tabs>
              <w:suppressAutoHyphens/>
              <w:rPr>
                <w:del w:id="15850" w:author="AbbVie2" w:date="2025-05-14T10:25:00Z"/>
              </w:rPr>
            </w:pPr>
          </w:p>
        </w:tc>
      </w:tr>
    </w:tbl>
    <w:p w14:paraId="6560FF43" w14:textId="2696B0DA" w:rsidR="004462A0" w:rsidRPr="008912CF" w:rsidRDefault="004462A0" w:rsidP="004462A0">
      <w:pPr>
        <w:rPr>
          <w:del w:id="15851" w:author="AbbVie2" w:date="2025-05-14T10:25:00Z"/>
          <w:sz w:val="22"/>
          <w:szCs w:val="22"/>
        </w:rPr>
      </w:pPr>
    </w:p>
    <w:p w14:paraId="552D8E85" w14:textId="13688790" w:rsidR="004462A0" w:rsidRPr="008912CF" w:rsidRDefault="00615769" w:rsidP="004462A0">
      <w:pPr>
        <w:ind w:left="567" w:hanging="567"/>
        <w:rPr>
          <w:del w:id="15852" w:author="AbbVie2" w:date="2025-05-14T10:25:00Z"/>
          <w:sz w:val="22"/>
          <w:szCs w:val="22"/>
        </w:rPr>
      </w:pPr>
      <w:del w:id="15853" w:author="AbbVie2" w:date="2025-05-14T10:25:00Z">
        <w:r w:rsidRPr="008912CF">
          <w:rPr>
            <w:sz w:val="22"/>
            <w:szCs w:val="22"/>
          </w:rPr>
          <w:delText>8.</w:delText>
        </w:r>
        <w:r w:rsidRPr="008912CF">
          <w:rPr>
            <w:sz w:val="22"/>
            <w:szCs w:val="22"/>
          </w:rPr>
          <w:tab/>
        </w:r>
        <w:r w:rsidRPr="008912CF">
          <w:rPr>
            <w:sz w:val="22"/>
            <w:szCs w:val="22"/>
          </w:rPr>
          <w:delText>Pode ver uma marca de sangue no local da injeção. Pode pressionar o local de injeção com algodão ou uma gaze, durante 10 segundos. Não friccione o local da injeção. Se desejar, coloque um penso rápido.</w:delText>
        </w:r>
      </w:del>
    </w:p>
    <w:p w14:paraId="4FC174B5" w14:textId="2C25666C" w:rsidR="004462A0" w:rsidRPr="008912CF" w:rsidRDefault="004462A0" w:rsidP="004462A0">
      <w:pPr>
        <w:ind w:left="567" w:hanging="567"/>
        <w:rPr>
          <w:del w:id="15854" w:author="AbbVie2" w:date="2025-05-14T10:25:00Z"/>
          <w:sz w:val="22"/>
          <w:szCs w:val="22"/>
        </w:rPr>
      </w:pPr>
    </w:p>
    <w:p w14:paraId="4BA72F47" w14:textId="20080ED5" w:rsidR="004462A0" w:rsidRPr="008912CF" w:rsidRDefault="00615769" w:rsidP="004462A0">
      <w:pPr>
        <w:ind w:left="567" w:hanging="567"/>
        <w:rPr>
          <w:del w:id="15855" w:author="AbbVie2" w:date="2025-05-14T10:25:00Z"/>
          <w:b/>
          <w:sz w:val="22"/>
          <w:szCs w:val="22"/>
        </w:rPr>
      </w:pPr>
      <w:del w:id="15856" w:author="AbbVie2" w:date="2025-05-14T10:25:00Z">
        <w:r w:rsidRPr="008912CF">
          <w:rPr>
            <w:b/>
            <w:sz w:val="22"/>
            <w:szCs w:val="22"/>
          </w:rPr>
          <w:delText>Eliminação das canetas</w:delText>
        </w:r>
      </w:del>
    </w:p>
    <w:p w14:paraId="67CD835E" w14:textId="702DBEAB" w:rsidR="004462A0" w:rsidRPr="008912CF" w:rsidRDefault="004462A0" w:rsidP="004462A0">
      <w:pPr>
        <w:rPr>
          <w:del w:id="15857" w:author="AbbVie2" w:date="2025-05-14T10:25:00Z"/>
          <w:b/>
          <w:sz w:val="22"/>
          <w:szCs w:val="22"/>
        </w:rPr>
      </w:pPr>
    </w:p>
    <w:p w14:paraId="52359F6A" w14:textId="40EDC650" w:rsidR="004462A0" w:rsidRPr="008912CF" w:rsidRDefault="00615769" w:rsidP="004462A0">
      <w:pPr>
        <w:numPr>
          <w:ilvl w:val="1"/>
          <w:numId w:val="57"/>
        </w:numPr>
        <w:rPr>
          <w:del w:id="15858" w:author="AbbVie2" w:date="2025-05-14T10:25:00Z"/>
          <w:sz w:val="22"/>
          <w:szCs w:val="22"/>
        </w:rPr>
      </w:pPr>
      <w:del w:id="15859" w:author="AbbVie2" w:date="2025-05-14T10:25:00Z">
        <w:r w:rsidRPr="008912CF">
          <w:rPr>
            <w:bCs/>
            <w:sz w:val="22"/>
            <w:szCs w:val="22"/>
          </w:rPr>
          <w:delText>Use só uma caneta pré-cheia por injeção. Não volte a colocar as tampas na caneta pré-cheia</w:delText>
        </w:r>
        <w:r w:rsidRPr="008912CF">
          <w:rPr>
            <w:sz w:val="22"/>
            <w:szCs w:val="22"/>
          </w:rPr>
          <w:delText>.</w:delText>
        </w:r>
      </w:del>
    </w:p>
    <w:p w14:paraId="6E317F6B" w14:textId="3F41CD63" w:rsidR="004462A0" w:rsidRPr="008912CF" w:rsidRDefault="00615769" w:rsidP="004462A0">
      <w:pPr>
        <w:numPr>
          <w:ilvl w:val="1"/>
          <w:numId w:val="57"/>
        </w:numPr>
        <w:rPr>
          <w:del w:id="15860" w:author="AbbVie2" w:date="2025-05-14T10:25:00Z"/>
          <w:sz w:val="22"/>
          <w:szCs w:val="22"/>
        </w:rPr>
      </w:pPr>
      <w:del w:id="15861" w:author="AbbVie2" w:date="2025-05-14T10:25:00Z">
        <w:r w:rsidRPr="008912CF">
          <w:rPr>
            <w:bCs/>
            <w:sz w:val="22"/>
            <w:szCs w:val="22"/>
          </w:rPr>
          <w:delText>Depois de injetar Humira,</w:delText>
        </w:r>
        <w:r w:rsidRPr="008912CF">
          <w:rPr>
            <w:sz w:val="22"/>
            <w:szCs w:val="22"/>
          </w:rPr>
          <w:delText xml:space="preserve"> elimine imediatamente a caneta pré-cheia utilizada num recipiente próprio, de acordo com as instruções dadas pelo seu médico, enfermeiro ou farmacêutico.</w:delText>
        </w:r>
      </w:del>
    </w:p>
    <w:p w14:paraId="7BF22ADF" w14:textId="3FB0759B" w:rsidR="004462A0" w:rsidRPr="008912CF" w:rsidRDefault="00615769" w:rsidP="004462A0">
      <w:pPr>
        <w:numPr>
          <w:ilvl w:val="1"/>
          <w:numId w:val="57"/>
        </w:numPr>
        <w:rPr>
          <w:del w:id="15862" w:author="AbbVie2" w:date="2025-05-14T10:25:00Z"/>
          <w:sz w:val="22"/>
          <w:szCs w:val="22"/>
        </w:rPr>
      </w:pPr>
      <w:del w:id="15863" w:author="AbbVie2" w:date="2025-05-14T10:25:00Z">
        <w:r w:rsidRPr="008912CF">
          <w:rPr>
            <w:sz w:val="22"/>
            <w:szCs w:val="22"/>
          </w:rPr>
          <w:delText>Manter o recipiente fora da vista e do alcance das crianças.</w:delText>
        </w:r>
      </w:del>
    </w:p>
    <w:p w14:paraId="1463A8B9" w14:textId="6F9C9B37" w:rsidR="004462A0" w:rsidRPr="008912CF" w:rsidRDefault="004462A0" w:rsidP="004462A0">
      <w:pPr>
        <w:rPr>
          <w:del w:id="15864" w:author="AbbVie2" w:date="2025-05-14T10:25:00Z"/>
          <w:sz w:val="22"/>
          <w:szCs w:val="22"/>
        </w:rPr>
      </w:pPr>
    </w:p>
    <w:p w14:paraId="4E4C707C" w14:textId="7B8436ED" w:rsidR="004462A0" w:rsidRPr="008912CF" w:rsidRDefault="00615769" w:rsidP="004462A0">
      <w:pPr>
        <w:keepNext/>
        <w:rPr>
          <w:del w:id="15865" w:author="AbbVie2" w:date="2025-05-14T10:25:00Z"/>
          <w:b/>
          <w:sz w:val="22"/>
          <w:szCs w:val="22"/>
        </w:rPr>
      </w:pPr>
      <w:del w:id="15866" w:author="AbbVie2" w:date="2025-05-14T10:25:00Z">
        <w:r w:rsidRPr="008912CF">
          <w:rPr>
            <w:b/>
            <w:sz w:val="22"/>
            <w:szCs w:val="22"/>
          </w:rPr>
          <w:delText>Se utilizar mais Humira do que deveria</w:delText>
        </w:r>
      </w:del>
    </w:p>
    <w:p w14:paraId="6584367D" w14:textId="1A3C15A4" w:rsidR="004462A0" w:rsidRPr="008912CF" w:rsidRDefault="004462A0" w:rsidP="004462A0">
      <w:pPr>
        <w:keepNext/>
        <w:rPr>
          <w:del w:id="15867" w:author="AbbVie2" w:date="2025-05-14T10:25:00Z"/>
          <w:sz w:val="22"/>
          <w:szCs w:val="22"/>
        </w:rPr>
      </w:pPr>
    </w:p>
    <w:p w14:paraId="1C2B3367" w14:textId="205B2C8D" w:rsidR="004462A0" w:rsidRPr="008912CF" w:rsidRDefault="00615769" w:rsidP="004462A0">
      <w:pPr>
        <w:pStyle w:val="BodyText2"/>
        <w:keepNext/>
        <w:autoSpaceDE/>
        <w:autoSpaceDN/>
        <w:adjustRightInd/>
        <w:rPr>
          <w:del w:id="15868" w:author="AbbVie2" w:date="2025-05-14T10:25:00Z"/>
          <w:szCs w:val="22"/>
        </w:rPr>
      </w:pPr>
      <w:del w:id="15869" w:author="AbbVie2" w:date="2025-05-14T10:25:00Z">
        <w:r w:rsidRPr="008912CF">
          <w:rPr>
            <w:szCs w:val="22"/>
          </w:rPr>
          <w:delText xml:space="preserve">Se injetar acidentalmente Humira mais frequentemente do que o prescrito contacte o seu médico ou farmacêutico e informe-os de que utilizou mais do que devia. Leve sempre consigo a embalagem exterior do medicamento, mesmo que esteja vazia. </w:delText>
        </w:r>
      </w:del>
    </w:p>
    <w:p w14:paraId="405FAFAA" w14:textId="64C8F09E" w:rsidR="004462A0" w:rsidRPr="008912CF" w:rsidRDefault="004462A0" w:rsidP="004462A0">
      <w:pPr>
        <w:rPr>
          <w:del w:id="15870" w:author="AbbVie2" w:date="2025-05-14T10:25:00Z"/>
          <w:sz w:val="22"/>
          <w:szCs w:val="22"/>
        </w:rPr>
      </w:pPr>
    </w:p>
    <w:p w14:paraId="31E2DDE8" w14:textId="73C5192C" w:rsidR="004462A0" w:rsidRPr="008912CF" w:rsidRDefault="00615769" w:rsidP="004462A0">
      <w:pPr>
        <w:rPr>
          <w:del w:id="15871" w:author="AbbVie2" w:date="2025-05-14T10:25:00Z"/>
          <w:sz w:val="22"/>
          <w:szCs w:val="22"/>
        </w:rPr>
      </w:pPr>
      <w:del w:id="15872" w:author="AbbVie2" w:date="2025-05-14T10:25:00Z">
        <w:r w:rsidRPr="008912CF">
          <w:rPr>
            <w:b/>
            <w:sz w:val="22"/>
            <w:szCs w:val="22"/>
          </w:rPr>
          <w:delText>Caso se tenha esquecido de utilizar</w:delText>
        </w:r>
        <w:r w:rsidRPr="008912CF">
          <w:rPr>
            <w:b/>
            <w:bCs/>
            <w:sz w:val="22"/>
            <w:szCs w:val="22"/>
          </w:rPr>
          <w:delText xml:space="preserve"> Humira</w:delText>
        </w:r>
      </w:del>
    </w:p>
    <w:p w14:paraId="6767DC41" w14:textId="6B63B49A" w:rsidR="004462A0" w:rsidRPr="008912CF" w:rsidRDefault="004462A0" w:rsidP="004462A0">
      <w:pPr>
        <w:rPr>
          <w:del w:id="15873" w:author="AbbVie2" w:date="2025-05-14T10:25:00Z"/>
          <w:sz w:val="22"/>
          <w:szCs w:val="22"/>
        </w:rPr>
      </w:pPr>
    </w:p>
    <w:p w14:paraId="167994B0" w14:textId="0A04AA8F" w:rsidR="004462A0" w:rsidRPr="008912CF" w:rsidRDefault="00615769" w:rsidP="004462A0">
      <w:pPr>
        <w:ind w:right="-2"/>
        <w:rPr>
          <w:del w:id="15874" w:author="AbbVie2" w:date="2025-05-14T10:25:00Z"/>
          <w:sz w:val="22"/>
          <w:szCs w:val="22"/>
        </w:rPr>
      </w:pPr>
      <w:del w:id="15875" w:author="AbbVie2" w:date="2025-05-14T10:25:00Z">
        <w:r w:rsidRPr="008912CF">
          <w:rPr>
            <w:sz w:val="22"/>
            <w:szCs w:val="22"/>
          </w:rPr>
          <w:delText xml:space="preserve">Caso se tenha esquecido de administrar uma injeção, administre a próxima dose de Humira logo que se lembrar. Administre a dose seguinte conforme prescrito, como se não tivesse omitido a dose anterior. </w:delText>
        </w:r>
      </w:del>
    </w:p>
    <w:p w14:paraId="5149ED11" w14:textId="700FD556" w:rsidR="004462A0" w:rsidRPr="008912CF" w:rsidRDefault="004462A0" w:rsidP="004462A0">
      <w:pPr>
        <w:suppressAutoHyphens/>
        <w:rPr>
          <w:del w:id="15876" w:author="AbbVie2" w:date="2025-05-14T10:25:00Z"/>
          <w:b/>
          <w:sz w:val="22"/>
          <w:szCs w:val="22"/>
        </w:rPr>
      </w:pPr>
    </w:p>
    <w:p w14:paraId="1C1889CF" w14:textId="60D2D329" w:rsidR="004462A0" w:rsidRPr="008912CF" w:rsidRDefault="00615769" w:rsidP="002B1B8A">
      <w:pPr>
        <w:keepNext/>
        <w:suppressAutoHyphens/>
        <w:rPr>
          <w:del w:id="15877" w:author="AbbVie2" w:date="2025-05-14T10:25:00Z"/>
          <w:sz w:val="22"/>
          <w:szCs w:val="22"/>
        </w:rPr>
      </w:pPr>
      <w:del w:id="15878" w:author="AbbVie2" w:date="2025-05-14T10:25:00Z">
        <w:r w:rsidRPr="008912CF">
          <w:rPr>
            <w:b/>
            <w:sz w:val="22"/>
            <w:szCs w:val="22"/>
          </w:rPr>
          <w:delText>Se parar de utilizar Humira</w:delText>
        </w:r>
      </w:del>
    </w:p>
    <w:p w14:paraId="746B7B80" w14:textId="12FBAE5A" w:rsidR="004462A0" w:rsidRPr="008912CF" w:rsidRDefault="004462A0" w:rsidP="002B1B8A">
      <w:pPr>
        <w:keepNext/>
        <w:rPr>
          <w:del w:id="15879" w:author="AbbVie2" w:date="2025-05-14T10:25:00Z"/>
          <w:sz w:val="22"/>
          <w:szCs w:val="22"/>
        </w:rPr>
      </w:pPr>
    </w:p>
    <w:p w14:paraId="5A6DCB45" w14:textId="63AB0AE8" w:rsidR="004462A0" w:rsidRPr="008912CF" w:rsidRDefault="00615769" w:rsidP="002B1B8A">
      <w:pPr>
        <w:keepNext/>
        <w:rPr>
          <w:del w:id="15880" w:author="AbbVie2" w:date="2025-05-14T10:25:00Z"/>
          <w:sz w:val="22"/>
          <w:szCs w:val="22"/>
        </w:rPr>
      </w:pPr>
      <w:del w:id="15881" w:author="AbbVie2" w:date="2025-05-14T10:25:00Z">
        <w:r w:rsidRPr="008912CF">
          <w:rPr>
            <w:sz w:val="22"/>
            <w:szCs w:val="22"/>
          </w:rPr>
          <w:delText>A decisão de parar de utilizar Humira deve ser avaliada com o seu médico. Os seus sintomas podem voltar após descontinuação.</w:delText>
        </w:r>
      </w:del>
    </w:p>
    <w:p w14:paraId="411BF3F4" w14:textId="33CE5F97" w:rsidR="004462A0" w:rsidRPr="008912CF" w:rsidRDefault="004462A0" w:rsidP="004462A0">
      <w:pPr>
        <w:rPr>
          <w:del w:id="15882" w:author="AbbVie2" w:date="2025-05-14T10:25:00Z"/>
          <w:sz w:val="22"/>
          <w:szCs w:val="22"/>
        </w:rPr>
      </w:pPr>
    </w:p>
    <w:p w14:paraId="686AA1F8" w14:textId="42C477FC" w:rsidR="004462A0" w:rsidRPr="008912CF" w:rsidRDefault="00615769" w:rsidP="004462A0">
      <w:pPr>
        <w:ind w:right="-2"/>
        <w:rPr>
          <w:del w:id="15883" w:author="AbbVie2" w:date="2025-05-14T10:25:00Z"/>
          <w:sz w:val="22"/>
          <w:szCs w:val="22"/>
        </w:rPr>
      </w:pPr>
      <w:del w:id="15884" w:author="AbbVie2" w:date="2025-05-14T10:25:00Z">
        <w:r w:rsidRPr="008912CF">
          <w:rPr>
            <w:sz w:val="22"/>
            <w:szCs w:val="22"/>
          </w:rPr>
          <w:delText xml:space="preserve">Caso </w:delText>
        </w:r>
        <w:r w:rsidR="00954510">
          <w:rPr>
            <w:sz w:val="22"/>
            <w:szCs w:val="22"/>
          </w:rPr>
          <w:delText xml:space="preserve">ainda </w:delText>
        </w:r>
        <w:r w:rsidRPr="008912CF">
          <w:rPr>
            <w:sz w:val="22"/>
            <w:szCs w:val="22"/>
          </w:rPr>
          <w:delText>tenha dúvidas sobre a utilização deste medicamento, fale com o seu médico ou farmacêutico.</w:delText>
        </w:r>
      </w:del>
    </w:p>
    <w:p w14:paraId="5DD48820" w14:textId="063BDA6A" w:rsidR="004462A0" w:rsidRPr="008912CF" w:rsidRDefault="004462A0" w:rsidP="004462A0">
      <w:pPr>
        <w:ind w:right="-2"/>
        <w:rPr>
          <w:del w:id="15885" w:author="AbbVie2" w:date="2025-05-14T10:25:00Z"/>
          <w:sz w:val="22"/>
          <w:szCs w:val="22"/>
        </w:rPr>
      </w:pPr>
    </w:p>
    <w:p w14:paraId="3D771615" w14:textId="4136BC25" w:rsidR="004462A0" w:rsidRPr="008912CF" w:rsidRDefault="004462A0" w:rsidP="004462A0">
      <w:pPr>
        <w:ind w:right="-2"/>
        <w:rPr>
          <w:del w:id="15886" w:author="AbbVie2" w:date="2025-05-14T10:25:00Z"/>
          <w:sz w:val="22"/>
          <w:szCs w:val="22"/>
        </w:rPr>
      </w:pPr>
    </w:p>
    <w:p w14:paraId="1C96F108" w14:textId="6EC1EB00" w:rsidR="004462A0" w:rsidRPr="008912CF" w:rsidRDefault="00615769" w:rsidP="004462A0">
      <w:pPr>
        <w:ind w:left="567" w:hanging="567"/>
        <w:rPr>
          <w:del w:id="15887" w:author="AbbVie2" w:date="2025-05-14T10:25:00Z"/>
          <w:sz w:val="22"/>
          <w:szCs w:val="22"/>
        </w:rPr>
      </w:pPr>
      <w:del w:id="15888" w:author="AbbVie2" w:date="2025-05-14T10:25:00Z">
        <w:r w:rsidRPr="008912CF">
          <w:rPr>
            <w:b/>
            <w:sz w:val="22"/>
            <w:szCs w:val="22"/>
          </w:rPr>
          <w:delText>4.</w:delText>
        </w:r>
        <w:r w:rsidRPr="008912CF">
          <w:rPr>
            <w:b/>
            <w:sz w:val="22"/>
            <w:szCs w:val="22"/>
          </w:rPr>
          <w:tab/>
          <w:delText xml:space="preserve">Efeitos </w:delText>
        </w:r>
        <w:r w:rsidR="00571C82">
          <w:rPr>
            <w:b/>
            <w:sz w:val="22"/>
            <w:szCs w:val="22"/>
          </w:rPr>
          <w:delText>indesejáveis</w:delText>
        </w:r>
        <w:r w:rsidRPr="008912CF">
          <w:rPr>
            <w:b/>
            <w:sz w:val="22"/>
            <w:szCs w:val="22"/>
          </w:rPr>
          <w:delText xml:space="preserve"> possíveis </w:delText>
        </w:r>
      </w:del>
    </w:p>
    <w:p w14:paraId="65A98BBB" w14:textId="206147FA" w:rsidR="004462A0" w:rsidRPr="008912CF" w:rsidRDefault="004462A0" w:rsidP="004462A0">
      <w:pPr>
        <w:ind w:right="-2"/>
        <w:rPr>
          <w:del w:id="15889" w:author="AbbVie2" w:date="2025-05-14T10:25:00Z"/>
          <w:sz w:val="22"/>
          <w:szCs w:val="22"/>
        </w:rPr>
      </w:pPr>
    </w:p>
    <w:p w14:paraId="34627E3E" w14:textId="707FB7BC" w:rsidR="004462A0" w:rsidRPr="008912CF" w:rsidRDefault="00615769" w:rsidP="004462A0">
      <w:pPr>
        <w:rPr>
          <w:del w:id="15890" w:author="AbbVie2" w:date="2025-05-14T10:25:00Z"/>
          <w:sz w:val="22"/>
          <w:szCs w:val="22"/>
        </w:rPr>
      </w:pPr>
      <w:del w:id="15891" w:author="AbbVie2" w:date="2025-05-14T10:25:00Z">
        <w:r w:rsidRPr="008912CF">
          <w:rPr>
            <w:sz w:val="22"/>
            <w:szCs w:val="22"/>
          </w:rPr>
          <w:delText xml:space="preserve">Como todos os medicamentos, este medicamento pode causar efeitos </w:delText>
        </w:r>
        <w:r w:rsidR="00571C82">
          <w:rPr>
            <w:sz w:val="22"/>
            <w:szCs w:val="22"/>
          </w:rPr>
          <w:delText>indesejáveis</w:delText>
        </w:r>
        <w:r w:rsidRPr="008912CF">
          <w:rPr>
            <w:sz w:val="22"/>
            <w:szCs w:val="22"/>
          </w:rPr>
          <w:delText xml:space="preserve">, embora estes não se manifestem em todas as pessoas. A maioria dos efeitos </w:delText>
        </w:r>
        <w:r w:rsidR="00571C82">
          <w:rPr>
            <w:sz w:val="22"/>
            <w:szCs w:val="22"/>
          </w:rPr>
          <w:delText>indesejáveis</w:delText>
        </w:r>
        <w:r w:rsidRPr="008912CF">
          <w:rPr>
            <w:sz w:val="22"/>
            <w:szCs w:val="22"/>
          </w:rPr>
          <w:delText xml:space="preserve"> são ligeiros a moderados. No entanto, alguns podem ser graves e requerer tratamento. Podem ocorrer efeitos </w:delText>
        </w:r>
        <w:r w:rsidR="00571C82">
          <w:rPr>
            <w:sz w:val="22"/>
            <w:szCs w:val="22"/>
          </w:rPr>
          <w:delText>indesejáveis</w:delText>
        </w:r>
        <w:r w:rsidRPr="008912CF">
          <w:rPr>
            <w:sz w:val="22"/>
            <w:szCs w:val="22"/>
          </w:rPr>
          <w:delText xml:space="preserve"> pelo menos </w:delText>
        </w:r>
        <w:r w:rsidR="007C7D86">
          <w:rPr>
            <w:sz w:val="22"/>
            <w:szCs w:val="22"/>
          </w:rPr>
          <w:delText xml:space="preserve">até </w:delText>
        </w:r>
        <w:r w:rsidRPr="008912CF">
          <w:rPr>
            <w:sz w:val="22"/>
            <w:szCs w:val="22"/>
          </w:rPr>
          <w:delText>4 meses após a última injeção de Humira.</w:delText>
        </w:r>
      </w:del>
    </w:p>
    <w:p w14:paraId="4191ED49" w14:textId="6EB89284" w:rsidR="004462A0" w:rsidRPr="008912CF" w:rsidRDefault="004462A0" w:rsidP="004462A0">
      <w:pPr>
        <w:rPr>
          <w:del w:id="15892" w:author="AbbVie2" w:date="2025-05-14T10:25:00Z"/>
          <w:sz w:val="22"/>
          <w:szCs w:val="22"/>
        </w:rPr>
      </w:pPr>
    </w:p>
    <w:p w14:paraId="1648DE6B" w14:textId="73F89EEE" w:rsidR="004462A0" w:rsidRPr="008912CF" w:rsidRDefault="00615769" w:rsidP="004462A0">
      <w:pPr>
        <w:pStyle w:val="EndnoteText"/>
        <w:tabs>
          <w:tab w:val="clear" w:pos="567"/>
        </w:tabs>
        <w:rPr>
          <w:del w:id="15893" w:author="AbbVie2" w:date="2025-05-14T10:25:00Z"/>
          <w:szCs w:val="22"/>
        </w:rPr>
      </w:pPr>
      <w:del w:id="15894" w:author="AbbVie2" w:date="2025-05-14T10:25:00Z">
        <w:r w:rsidRPr="008912CF">
          <w:rPr>
            <w:szCs w:val="22"/>
          </w:rPr>
          <w:delText>Informe imediatamente o seu médico se tiver algum dos seguintes sintomas</w:delText>
        </w:r>
      </w:del>
    </w:p>
    <w:p w14:paraId="04895AA2" w14:textId="23F61217" w:rsidR="004462A0" w:rsidRPr="008912CF" w:rsidRDefault="004462A0" w:rsidP="004462A0">
      <w:pPr>
        <w:rPr>
          <w:del w:id="15895" w:author="AbbVie2" w:date="2025-05-14T10:25:00Z"/>
          <w:sz w:val="22"/>
          <w:szCs w:val="22"/>
        </w:rPr>
      </w:pPr>
    </w:p>
    <w:p w14:paraId="2466AF54" w14:textId="1655268F" w:rsidR="004462A0" w:rsidRPr="008912CF" w:rsidRDefault="00615769" w:rsidP="004462A0">
      <w:pPr>
        <w:numPr>
          <w:ilvl w:val="1"/>
          <w:numId w:val="58"/>
        </w:numPr>
        <w:tabs>
          <w:tab w:val="num" w:pos="1440"/>
        </w:tabs>
        <w:rPr>
          <w:del w:id="15896" w:author="AbbVie2" w:date="2025-05-14T10:25:00Z"/>
          <w:sz w:val="22"/>
          <w:szCs w:val="22"/>
        </w:rPr>
      </w:pPr>
      <w:del w:id="15897" w:author="AbbVie2" w:date="2025-05-14T10:25:00Z">
        <w:r>
          <w:rPr>
            <w:sz w:val="22"/>
            <w:szCs w:val="22"/>
          </w:rPr>
          <w:delText>p</w:delText>
        </w:r>
        <w:r w:rsidRPr="008912CF">
          <w:rPr>
            <w:sz w:val="22"/>
            <w:szCs w:val="22"/>
          </w:rPr>
          <w:delText>ele muito irritada, comichão ou outros sinais de reação alérgica;</w:delText>
        </w:r>
      </w:del>
    </w:p>
    <w:p w14:paraId="1260DF04" w14:textId="700D9198" w:rsidR="004462A0" w:rsidRPr="008912CF" w:rsidRDefault="00615769" w:rsidP="004462A0">
      <w:pPr>
        <w:numPr>
          <w:ilvl w:val="1"/>
          <w:numId w:val="58"/>
        </w:numPr>
        <w:tabs>
          <w:tab w:val="num" w:pos="1440"/>
        </w:tabs>
        <w:rPr>
          <w:del w:id="15898" w:author="AbbVie2" w:date="2025-05-14T10:25:00Z"/>
          <w:sz w:val="22"/>
          <w:szCs w:val="22"/>
        </w:rPr>
      </w:pPr>
      <w:del w:id="15899" w:author="AbbVie2" w:date="2025-05-14T10:25:00Z">
        <w:r>
          <w:rPr>
            <w:sz w:val="22"/>
            <w:szCs w:val="22"/>
          </w:rPr>
          <w:delText>i</w:delText>
        </w:r>
        <w:r w:rsidRPr="008912CF">
          <w:rPr>
            <w:sz w:val="22"/>
            <w:szCs w:val="22"/>
          </w:rPr>
          <w:delText>nchaço da face, mãos, pés;</w:delText>
        </w:r>
      </w:del>
    </w:p>
    <w:p w14:paraId="29586A75" w14:textId="1C96052B" w:rsidR="004462A0" w:rsidRPr="008912CF" w:rsidRDefault="00615769" w:rsidP="004462A0">
      <w:pPr>
        <w:numPr>
          <w:ilvl w:val="1"/>
          <w:numId w:val="58"/>
        </w:numPr>
        <w:tabs>
          <w:tab w:val="num" w:pos="1440"/>
        </w:tabs>
        <w:rPr>
          <w:del w:id="15900" w:author="AbbVie2" w:date="2025-05-14T10:25:00Z"/>
          <w:sz w:val="22"/>
          <w:szCs w:val="22"/>
        </w:rPr>
      </w:pPr>
      <w:del w:id="15901" w:author="AbbVie2" w:date="2025-05-14T10:25:00Z">
        <w:r>
          <w:rPr>
            <w:sz w:val="22"/>
            <w:szCs w:val="22"/>
          </w:rPr>
          <w:delText>d</w:delText>
        </w:r>
        <w:r w:rsidRPr="008912CF">
          <w:rPr>
            <w:sz w:val="22"/>
            <w:szCs w:val="22"/>
          </w:rPr>
          <w:delText>ificuldade</w:delText>
        </w:r>
        <w:r w:rsidR="007C7D86">
          <w:rPr>
            <w:sz w:val="22"/>
            <w:szCs w:val="22"/>
          </w:rPr>
          <w:delText>s</w:delText>
        </w:r>
        <w:r w:rsidRPr="008912CF">
          <w:rPr>
            <w:sz w:val="22"/>
            <w:szCs w:val="22"/>
          </w:rPr>
          <w:delText xml:space="preserve"> em respirar, em engolir;</w:delText>
        </w:r>
      </w:del>
    </w:p>
    <w:p w14:paraId="3FF8C15A" w14:textId="157D5E6A" w:rsidR="004462A0" w:rsidRPr="008912CF" w:rsidRDefault="00615769" w:rsidP="004462A0">
      <w:pPr>
        <w:numPr>
          <w:ilvl w:val="1"/>
          <w:numId w:val="58"/>
        </w:numPr>
        <w:tabs>
          <w:tab w:val="num" w:pos="1440"/>
        </w:tabs>
        <w:rPr>
          <w:del w:id="15902" w:author="AbbVie2" w:date="2025-05-14T10:25:00Z"/>
          <w:sz w:val="22"/>
          <w:szCs w:val="22"/>
        </w:rPr>
      </w:pPr>
      <w:del w:id="15903" w:author="AbbVie2" w:date="2025-05-14T10:25:00Z">
        <w:r>
          <w:rPr>
            <w:sz w:val="22"/>
            <w:szCs w:val="22"/>
          </w:rPr>
          <w:delText>f</w:delText>
        </w:r>
        <w:r w:rsidRPr="008912CF">
          <w:rPr>
            <w:sz w:val="22"/>
            <w:szCs w:val="22"/>
          </w:rPr>
          <w:delText>alta de ar durante o esforço ou quando deitado ou inchaço dos pés.</w:delText>
        </w:r>
      </w:del>
    </w:p>
    <w:p w14:paraId="451E7209" w14:textId="059BB41F" w:rsidR="004462A0" w:rsidRPr="008912CF" w:rsidRDefault="004462A0" w:rsidP="004462A0">
      <w:pPr>
        <w:tabs>
          <w:tab w:val="num" w:pos="1440"/>
        </w:tabs>
        <w:rPr>
          <w:del w:id="15904" w:author="AbbVie2" w:date="2025-05-14T10:25:00Z"/>
          <w:sz w:val="22"/>
          <w:szCs w:val="22"/>
        </w:rPr>
      </w:pPr>
    </w:p>
    <w:p w14:paraId="3C09A307" w14:textId="037BE23C" w:rsidR="004462A0" w:rsidRPr="008912CF" w:rsidRDefault="00615769" w:rsidP="004462A0">
      <w:pPr>
        <w:rPr>
          <w:del w:id="15905" w:author="AbbVie2" w:date="2025-05-14T10:25:00Z"/>
          <w:sz w:val="22"/>
          <w:szCs w:val="22"/>
        </w:rPr>
      </w:pPr>
      <w:del w:id="15906" w:author="AbbVie2" w:date="2025-05-14T10:25:00Z">
        <w:r w:rsidRPr="008912CF">
          <w:rPr>
            <w:sz w:val="22"/>
            <w:szCs w:val="22"/>
          </w:rPr>
          <w:delText xml:space="preserve">Informe imediatamente o seu médico se tiver algum dos seguintes efeitos </w:delText>
        </w:r>
        <w:r w:rsidR="00571C82">
          <w:rPr>
            <w:sz w:val="22"/>
            <w:szCs w:val="22"/>
          </w:rPr>
          <w:delText>indesejáveis</w:delText>
        </w:r>
      </w:del>
    </w:p>
    <w:p w14:paraId="58C022A0" w14:textId="42A2D5B0" w:rsidR="004462A0" w:rsidRPr="008912CF" w:rsidRDefault="004462A0" w:rsidP="004462A0">
      <w:pPr>
        <w:rPr>
          <w:del w:id="15907" w:author="AbbVie2" w:date="2025-05-14T10:25:00Z"/>
          <w:sz w:val="22"/>
          <w:szCs w:val="22"/>
        </w:rPr>
      </w:pPr>
    </w:p>
    <w:p w14:paraId="5DFD4138" w14:textId="6F4B7026" w:rsidR="004462A0" w:rsidRPr="008912CF" w:rsidRDefault="00615769" w:rsidP="004462A0">
      <w:pPr>
        <w:numPr>
          <w:ilvl w:val="2"/>
          <w:numId w:val="58"/>
        </w:numPr>
        <w:tabs>
          <w:tab w:val="left" w:pos="993"/>
        </w:tabs>
        <w:rPr>
          <w:del w:id="15908" w:author="AbbVie2" w:date="2025-05-14T10:25:00Z"/>
          <w:sz w:val="22"/>
          <w:szCs w:val="22"/>
        </w:rPr>
      </w:pPr>
      <w:del w:id="15909" w:author="AbbVie2" w:date="2025-05-14T10:25:00Z">
        <w:r>
          <w:rPr>
            <w:sz w:val="22"/>
            <w:szCs w:val="22"/>
          </w:rPr>
          <w:delText>s</w:delText>
        </w:r>
        <w:r w:rsidRPr="008912CF">
          <w:rPr>
            <w:sz w:val="22"/>
            <w:szCs w:val="22"/>
          </w:rPr>
          <w:delText xml:space="preserve">inais de infeção tais como febre, má disposição, feridas, problemas dentários ou sensação de ardor ao urinar; </w:delText>
        </w:r>
      </w:del>
    </w:p>
    <w:p w14:paraId="57BBED2A" w14:textId="2A89D74B" w:rsidR="004462A0" w:rsidRPr="008912CF" w:rsidRDefault="00615769" w:rsidP="004462A0">
      <w:pPr>
        <w:numPr>
          <w:ilvl w:val="2"/>
          <w:numId w:val="58"/>
        </w:numPr>
        <w:tabs>
          <w:tab w:val="left" w:pos="993"/>
        </w:tabs>
        <w:rPr>
          <w:del w:id="15910" w:author="AbbVie2" w:date="2025-05-14T10:25:00Z"/>
          <w:sz w:val="22"/>
          <w:szCs w:val="22"/>
        </w:rPr>
      </w:pPr>
      <w:del w:id="15911" w:author="AbbVie2" w:date="2025-05-14T10:25:00Z">
        <w:r>
          <w:rPr>
            <w:sz w:val="22"/>
            <w:szCs w:val="22"/>
          </w:rPr>
          <w:delText>s</w:delText>
        </w:r>
        <w:r w:rsidRPr="008912CF">
          <w:rPr>
            <w:sz w:val="22"/>
            <w:szCs w:val="22"/>
          </w:rPr>
          <w:delText>ensação de fraqueza ou cansaço;</w:delText>
        </w:r>
      </w:del>
    </w:p>
    <w:p w14:paraId="5F864CB5" w14:textId="2C68DAAD" w:rsidR="004462A0" w:rsidRPr="008912CF" w:rsidRDefault="00615769" w:rsidP="004462A0">
      <w:pPr>
        <w:numPr>
          <w:ilvl w:val="2"/>
          <w:numId w:val="58"/>
        </w:numPr>
        <w:tabs>
          <w:tab w:val="left" w:pos="993"/>
        </w:tabs>
        <w:rPr>
          <w:del w:id="15912" w:author="AbbVie2" w:date="2025-05-14T10:25:00Z"/>
          <w:sz w:val="22"/>
          <w:szCs w:val="22"/>
        </w:rPr>
      </w:pPr>
      <w:del w:id="15913" w:author="AbbVie2" w:date="2025-05-14T10:25:00Z">
        <w:r>
          <w:rPr>
            <w:sz w:val="22"/>
            <w:szCs w:val="22"/>
          </w:rPr>
          <w:delText>t</w:delText>
        </w:r>
        <w:r w:rsidRPr="008912CF">
          <w:rPr>
            <w:sz w:val="22"/>
            <w:szCs w:val="22"/>
          </w:rPr>
          <w:delText>osse;</w:delText>
        </w:r>
      </w:del>
    </w:p>
    <w:p w14:paraId="3E399D89" w14:textId="348F18AC" w:rsidR="004462A0" w:rsidRPr="008912CF" w:rsidRDefault="00615769" w:rsidP="004462A0">
      <w:pPr>
        <w:numPr>
          <w:ilvl w:val="2"/>
          <w:numId w:val="58"/>
        </w:numPr>
        <w:tabs>
          <w:tab w:val="left" w:pos="993"/>
        </w:tabs>
        <w:rPr>
          <w:del w:id="15914" w:author="AbbVie2" w:date="2025-05-14T10:25:00Z"/>
          <w:sz w:val="22"/>
          <w:szCs w:val="22"/>
        </w:rPr>
      </w:pPr>
      <w:del w:id="15915" w:author="AbbVie2" w:date="2025-05-14T10:25:00Z">
        <w:r>
          <w:rPr>
            <w:sz w:val="22"/>
            <w:szCs w:val="22"/>
          </w:rPr>
          <w:delText>f</w:delText>
        </w:r>
        <w:r w:rsidRPr="008912CF">
          <w:rPr>
            <w:sz w:val="22"/>
            <w:szCs w:val="22"/>
          </w:rPr>
          <w:delText>ormigueiro;</w:delText>
        </w:r>
      </w:del>
    </w:p>
    <w:p w14:paraId="435D6C2F" w14:textId="29F9D02E" w:rsidR="004462A0" w:rsidRPr="008912CF" w:rsidRDefault="00615769" w:rsidP="004462A0">
      <w:pPr>
        <w:numPr>
          <w:ilvl w:val="2"/>
          <w:numId w:val="58"/>
        </w:numPr>
        <w:tabs>
          <w:tab w:val="left" w:pos="993"/>
        </w:tabs>
        <w:rPr>
          <w:del w:id="15916" w:author="AbbVie2" w:date="2025-05-14T10:25:00Z"/>
          <w:sz w:val="22"/>
          <w:szCs w:val="22"/>
        </w:rPr>
      </w:pPr>
      <w:del w:id="15917" w:author="AbbVie2" w:date="2025-05-14T10:25:00Z">
        <w:r>
          <w:rPr>
            <w:sz w:val="22"/>
            <w:szCs w:val="22"/>
          </w:rPr>
          <w:delText>d</w:delText>
        </w:r>
        <w:r w:rsidRPr="008912CF">
          <w:rPr>
            <w:sz w:val="22"/>
            <w:szCs w:val="22"/>
          </w:rPr>
          <w:delText>ormência;</w:delText>
        </w:r>
      </w:del>
    </w:p>
    <w:p w14:paraId="720C11A0" w14:textId="4F3CE873" w:rsidR="004462A0" w:rsidRPr="008912CF" w:rsidRDefault="00615769" w:rsidP="004462A0">
      <w:pPr>
        <w:numPr>
          <w:ilvl w:val="2"/>
          <w:numId w:val="58"/>
        </w:numPr>
        <w:tabs>
          <w:tab w:val="left" w:pos="993"/>
        </w:tabs>
        <w:rPr>
          <w:del w:id="15918" w:author="AbbVie2" w:date="2025-05-14T10:25:00Z"/>
          <w:sz w:val="22"/>
          <w:szCs w:val="22"/>
        </w:rPr>
      </w:pPr>
      <w:del w:id="15919" w:author="AbbVie2" w:date="2025-05-14T10:25:00Z">
        <w:r>
          <w:rPr>
            <w:sz w:val="22"/>
            <w:szCs w:val="22"/>
          </w:rPr>
          <w:delText>v</w:delText>
        </w:r>
        <w:r w:rsidRPr="008912CF">
          <w:rPr>
            <w:sz w:val="22"/>
            <w:szCs w:val="22"/>
          </w:rPr>
          <w:delText xml:space="preserve">isão dupla; </w:delText>
        </w:r>
      </w:del>
    </w:p>
    <w:p w14:paraId="540D1D10" w14:textId="39499EF7" w:rsidR="004462A0" w:rsidRPr="008912CF" w:rsidRDefault="00615769" w:rsidP="004462A0">
      <w:pPr>
        <w:numPr>
          <w:ilvl w:val="2"/>
          <w:numId w:val="58"/>
        </w:numPr>
        <w:tabs>
          <w:tab w:val="left" w:pos="993"/>
        </w:tabs>
        <w:rPr>
          <w:del w:id="15920" w:author="AbbVie2" w:date="2025-05-14T10:25:00Z"/>
          <w:sz w:val="22"/>
          <w:szCs w:val="22"/>
        </w:rPr>
      </w:pPr>
      <w:del w:id="15921" w:author="AbbVie2" w:date="2025-05-14T10:25:00Z">
        <w:r>
          <w:rPr>
            <w:sz w:val="22"/>
            <w:szCs w:val="22"/>
          </w:rPr>
          <w:delText>s</w:delText>
        </w:r>
        <w:r w:rsidRPr="008912CF">
          <w:rPr>
            <w:sz w:val="22"/>
            <w:szCs w:val="22"/>
          </w:rPr>
          <w:delText>ensação de fraqueza nos braços ou pernas;</w:delText>
        </w:r>
      </w:del>
    </w:p>
    <w:p w14:paraId="1620C50F" w14:textId="51AE169B" w:rsidR="004462A0" w:rsidRPr="008912CF" w:rsidRDefault="00615769" w:rsidP="004462A0">
      <w:pPr>
        <w:numPr>
          <w:ilvl w:val="2"/>
          <w:numId w:val="58"/>
        </w:numPr>
        <w:tabs>
          <w:tab w:val="left" w:pos="993"/>
        </w:tabs>
        <w:rPr>
          <w:del w:id="15922" w:author="AbbVie2" w:date="2025-05-14T10:25:00Z"/>
          <w:sz w:val="22"/>
          <w:szCs w:val="22"/>
        </w:rPr>
      </w:pPr>
      <w:del w:id="15923" w:author="AbbVie2" w:date="2025-05-14T10:25:00Z">
        <w:r>
          <w:rPr>
            <w:sz w:val="22"/>
            <w:szCs w:val="22"/>
          </w:rPr>
          <w:delText>i</w:delText>
        </w:r>
        <w:r w:rsidRPr="008912CF">
          <w:rPr>
            <w:sz w:val="22"/>
            <w:szCs w:val="22"/>
          </w:rPr>
          <w:delText>nchaço ou ferida aberta que não cicatriza;</w:delText>
        </w:r>
      </w:del>
    </w:p>
    <w:p w14:paraId="0234868D" w14:textId="24609037" w:rsidR="004462A0" w:rsidRPr="008912CF" w:rsidRDefault="00615769" w:rsidP="004462A0">
      <w:pPr>
        <w:numPr>
          <w:ilvl w:val="2"/>
          <w:numId w:val="58"/>
        </w:numPr>
        <w:tabs>
          <w:tab w:val="left" w:pos="993"/>
        </w:tabs>
        <w:rPr>
          <w:del w:id="15924" w:author="AbbVie2" w:date="2025-05-14T10:25:00Z"/>
          <w:sz w:val="22"/>
          <w:szCs w:val="22"/>
        </w:rPr>
      </w:pPr>
      <w:del w:id="15925" w:author="AbbVie2" w:date="2025-05-14T10:25:00Z">
        <w:r>
          <w:rPr>
            <w:sz w:val="22"/>
            <w:szCs w:val="22"/>
          </w:rPr>
          <w:delText>s</w:delText>
        </w:r>
        <w:r w:rsidRPr="008912CF">
          <w:rPr>
            <w:sz w:val="22"/>
            <w:szCs w:val="22"/>
          </w:rPr>
          <w:delText>inais ou sintomas sugestivos de alterações sanguíneas tais como febre persistente, nódoas negras, hemorragias, palidez.</w:delText>
        </w:r>
      </w:del>
    </w:p>
    <w:p w14:paraId="341A883F" w14:textId="278959CF" w:rsidR="004462A0" w:rsidRPr="008912CF" w:rsidRDefault="004462A0" w:rsidP="004462A0">
      <w:pPr>
        <w:rPr>
          <w:del w:id="15926" w:author="AbbVie2" w:date="2025-05-14T10:25:00Z"/>
          <w:sz w:val="22"/>
          <w:szCs w:val="22"/>
        </w:rPr>
      </w:pPr>
    </w:p>
    <w:p w14:paraId="78E99521" w14:textId="5FD86AEA" w:rsidR="004462A0" w:rsidRPr="008912CF" w:rsidRDefault="00615769" w:rsidP="004462A0">
      <w:pPr>
        <w:rPr>
          <w:del w:id="15927" w:author="AbbVie2" w:date="2025-05-14T10:25:00Z"/>
          <w:sz w:val="22"/>
          <w:szCs w:val="22"/>
        </w:rPr>
      </w:pPr>
      <w:del w:id="15928" w:author="AbbVie2" w:date="2025-05-14T10:25:00Z">
        <w:r w:rsidRPr="008912CF">
          <w:rPr>
            <w:sz w:val="22"/>
            <w:szCs w:val="22"/>
          </w:rPr>
          <w:delText xml:space="preserve">Os sintomas descritos acima podem ser sinais dos efeitos </w:delText>
        </w:r>
        <w:r w:rsidR="00571C82">
          <w:rPr>
            <w:sz w:val="22"/>
            <w:szCs w:val="22"/>
          </w:rPr>
          <w:delText>indesejáveis</w:delText>
        </w:r>
        <w:r w:rsidRPr="008912CF">
          <w:rPr>
            <w:sz w:val="22"/>
            <w:szCs w:val="22"/>
          </w:rPr>
          <w:delText xml:space="preserve"> descritos a seguir e que foram observados com Humira</w:delText>
        </w:r>
        <w:r w:rsidR="001E4E3E">
          <w:rPr>
            <w:sz w:val="22"/>
            <w:szCs w:val="22"/>
          </w:rPr>
          <w:delText>.</w:delText>
        </w:r>
      </w:del>
    </w:p>
    <w:p w14:paraId="340B0554" w14:textId="0C8A6EF3" w:rsidR="004462A0" w:rsidRPr="008912CF" w:rsidRDefault="004462A0" w:rsidP="004462A0">
      <w:pPr>
        <w:rPr>
          <w:del w:id="15929" w:author="AbbVie2" w:date="2025-05-14T10:25:00Z"/>
          <w:sz w:val="22"/>
          <w:szCs w:val="22"/>
        </w:rPr>
      </w:pPr>
    </w:p>
    <w:p w14:paraId="25D8488D" w14:textId="637ACD31" w:rsidR="004462A0" w:rsidRPr="008912CF" w:rsidRDefault="00615769" w:rsidP="004462A0">
      <w:pPr>
        <w:rPr>
          <w:del w:id="15930" w:author="AbbVie2" w:date="2025-05-14T10:25:00Z"/>
          <w:sz w:val="22"/>
          <w:szCs w:val="22"/>
        </w:rPr>
      </w:pPr>
      <w:del w:id="15931" w:author="AbbVie2" w:date="2025-05-14T10:25:00Z">
        <w:r w:rsidRPr="008912CF">
          <w:rPr>
            <w:sz w:val="22"/>
            <w:szCs w:val="22"/>
          </w:rPr>
          <w:delText>Muito frequentes (podem afetar mais de 1 em 10 pessoas)</w:delText>
        </w:r>
      </w:del>
    </w:p>
    <w:p w14:paraId="75640550" w14:textId="791EA983" w:rsidR="004462A0" w:rsidRPr="008912CF" w:rsidRDefault="004462A0" w:rsidP="004462A0">
      <w:pPr>
        <w:rPr>
          <w:del w:id="15932" w:author="AbbVie2" w:date="2025-05-14T10:25:00Z"/>
          <w:sz w:val="22"/>
          <w:szCs w:val="22"/>
        </w:rPr>
      </w:pPr>
    </w:p>
    <w:p w14:paraId="192CC1D4" w14:textId="211F675B" w:rsidR="004462A0" w:rsidRPr="008912CF" w:rsidRDefault="00615769" w:rsidP="004462A0">
      <w:pPr>
        <w:numPr>
          <w:ilvl w:val="0"/>
          <w:numId w:val="73"/>
        </w:numPr>
        <w:tabs>
          <w:tab w:val="clear" w:pos="0"/>
        </w:tabs>
        <w:ind w:left="568" w:hanging="568"/>
        <w:rPr>
          <w:del w:id="15933" w:author="AbbVie2" w:date="2025-05-14T10:25:00Z"/>
          <w:sz w:val="22"/>
          <w:szCs w:val="22"/>
        </w:rPr>
      </w:pPr>
      <w:del w:id="15934" w:author="AbbVie2" w:date="2025-05-14T10:25:00Z">
        <w:r w:rsidRPr="008912CF">
          <w:rPr>
            <w:sz w:val="22"/>
            <w:szCs w:val="22"/>
          </w:rPr>
          <w:delText>reações no local da injeção (incluindo dor, inchaço, vermelhidão ou comichão);</w:delText>
        </w:r>
      </w:del>
    </w:p>
    <w:p w14:paraId="6514ADEB" w14:textId="6A5F65F1" w:rsidR="004462A0" w:rsidRPr="008912CF" w:rsidRDefault="00615769" w:rsidP="004462A0">
      <w:pPr>
        <w:numPr>
          <w:ilvl w:val="0"/>
          <w:numId w:val="67"/>
        </w:numPr>
        <w:tabs>
          <w:tab w:val="clear" w:pos="284"/>
          <w:tab w:val="left" w:pos="600"/>
        </w:tabs>
        <w:ind w:left="600" w:hanging="600"/>
        <w:rPr>
          <w:del w:id="15935" w:author="AbbVie2" w:date="2025-05-14T10:25:00Z"/>
          <w:sz w:val="22"/>
          <w:szCs w:val="22"/>
        </w:rPr>
      </w:pPr>
      <w:del w:id="15936" w:author="AbbVie2" w:date="2025-05-14T10:25:00Z">
        <w:r w:rsidRPr="008912CF">
          <w:rPr>
            <w:sz w:val="22"/>
            <w:szCs w:val="22"/>
          </w:rPr>
          <w:delText>infeções do trato respiratório (incluindo constipação, nariz a pingar, infeção sinusal, pneumonia);</w:delText>
        </w:r>
      </w:del>
    </w:p>
    <w:p w14:paraId="6560EA48" w14:textId="12148751" w:rsidR="004462A0" w:rsidRPr="008912CF" w:rsidRDefault="00615769" w:rsidP="004462A0">
      <w:pPr>
        <w:numPr>
          <w:ilvl w:val="0"/>
          <w:numId w:val="67"/>
        </w:numPr>
        <w:tabs>
          <w:tab w:val="clear" w:pos="284"/>
          <w:tab w:val="left" w:pos="600"/>
        </w:tabs>
        <w:ind w:left="600" w:hanging="600"/>
        <w:rPr>
          <w:del w:id="15937" w:author="AbbVie2" w:date="2025-05-14T10:25:00Z"/>
          <w:sz w:val="22"/>
          <w:szCs w:val="22"/>
        </w:rPr>
      </w:pPr>
      <w:del w:id="15938" w:author="AbbVie2" w:date="2025-05-14T10:25:00Z">
        <w:r w:rsidRPr="008912CF">
          <w:rPr>
            <w:sz w:val="22"/>
            <w:szCs w:val="22"/>
          </w:rPr>
          <w:delText>dor de cabeça;</w:delText>
        </w:r>
      </w:del>
    </w:p>
    <w:p w14:paraId="5208CB29" w14:textId="36F5BEC1" w:rsidR="004462A0" w:rsidRPr="008912CF" w:rsidRDefault="00615769" w:rsidP="004462A0">
      <w:pPr>
        <w:numPr>
          <w:ilvl w:val="0"/>
          <w:numId w:val="67"/>
        </w:numPr>
        <w:tabs>
          <w:tab w:val="clear" w:pos="284"/>
          <w:tab w:val="left" w:pos="600"/>
        </w:tabs>
        <w:ind w:left="600" w:hanging="600"/>
        <w:rPr>
          <w:del w:id="15939" w:author="AbbVie2" w:date="2025-05-14T10:25:00Z"/>
          <w:sz w:val="22"/>
          <w:szCs w:val="22"/>
        </w:rPr>
      </w:pPr>
      <w:del w:id="15940" w:author="AbbVie2" w:date="2025-05-14T10:25:00Z">
        <w:r w:rsidRPr="008912CF">
          <w:rPr>
            <w:sz w:val="22"/>
            <w:szCs w:val="22"/>
          </w:rPr>
          <w:delText>dor abdominal;</w:delText>
        </w:r>
      </w:del>
    </w:p>
    <w:p w14:paraId="3666B92A" w14:textId="7FEBA2CE" w:rsidR="004462A0" w:rsidRPr="008912CF" w:rsidRDefault="00615769" w:rsidP="004462A0">
      <w:pPr>
        <w:numPr>
          <w:ilvl w:val="0"/>
          <w:numId w:val="67"/>
        </w:numPr>
        <w:tabs>
          <w:tab w:val="clear" w:pos="284"/>
          <w:tab w:val="left" w:pos="600"/>
        </w:tabs>
        <w:ind w:left="600" w:hanging="600"/>
        <w:rPr>
          <w:del w:id="15941" w:author="AbbVie2" w:date="2025-05-14T10:25:00Z"/>
          <w:sz w:val="22"/>
          <w:szCs w:val="22"/>
        </w:rPr>
      </w:pPr>
      <w:del w:id="15942" w:author="AbbVie2" w:date="2025-05-14T10:25:00Z">
        <w:r w:rsidRPr="008912CF">
          <w:rPr>
            <w:sz w:val="22"/>
            <w:szCs w:val="22"/>
          </w:rPr>
          <w:delText>náuseas e vómitos;</w:delText>
        </w:r>
      </w:del>
    </w:p>
    <w:p w14:paraId="1DDA4EDC" w14:textId="409DB300" w:rsidR="004462A0" w:rsidRPr="008912CF" w:rsidRDefault="00615769" w:rsidP="004462A0">
      <w:pPr>
        <w:numPr>
          <w:ilvl w:val="0"/>
          <w:numId w:val="67"/>
        </w:numPr>
        <w:tabs>
          <w:tab w:val="clear" w:pos="284"/>
          <w:tab w:val="left" w:pos="600"/>
        </w:tabs>
        <w:ind w:left="600" w:hanging="600"/>
        <w:rPr>
          <w:del w:id="15943" w:author="AbbVie2" w:date="2025-05-14T10:25:00Z"/>
          <w:sz w:val="22"/>
          <w:szCs w:val="22"/>
        </w:rPr>
      </w:pPr>
      <w:del w:id="15944" w:author="AbbVie2" w:date="2025-05-14T10:25:00Z">
        <w:r w:rsidRPr="008912CF">
          <w:rPr>
            <w:sz w:val="22"/>
            <w:szCs w:val="22"/>
          </w:rPr>
          <w:delText>erupção cutânea;</w:delText>
        </w:r>
      </w:del>
    </w:p>
    <w:p w14:paraId="5B101627" w14:textId="0BB618E9" w:rsidR="004462A0" w:rsidRPr="008912CF" w:rsidRDefault="00615769" w:rsidP="004462A0">
      <w:pPr>
        <w:numPr>
          <w:ilvl w:val="0"/>
          <w:numId w:val="73"/>
        </w:numPr>
        <w:tabs>
          <w:tab w:val="clear" w:pos="0"/>
        </w:tabs>
        <w:ind w:left="568" w:hanging="568"/>
        <w:rPr>
          <w:del w:id="15945" w:author="AbbVie2" w:date="2025-05-14T10:25:00Z"/>
          <w:sz w:val="22"/>
          <w:szCs w:val="22"/>
        </w:rPr>
      </w:pPr>
      <w:del w:id="15946" w:author="AbbVie2" w:date="2025-05-14T10:25:00Z">
        <w:r w:rsidRPr="008912CF">
          <w:rPr>
            <w:sz w:val="22"/>
            <w:szCs w:val="22"/>
          </w:rPr>
          <w:delText>dor musculoesquelética.</w:delText>
        </w:r>
      </w:del>
    </w:p>
    <w:p w14:paraId="132EB3E8" w14:textId="63E66B8C" w:rsidR="004462A0" w:rsidRPr="008912CF" w:rsidRDefault="004462A0" w:rsidP="004462A0">
      <w:pPr>
        <w:ind w:left="568" w:hanging="568"/>
        <w:rPr>
          <w:del w:id="15947" w:author="AbbVie2" w:date="2025-05-14T10:25:00Z"/>
          <w:sz w:val="22"/>
          <w:szCs w:val="22"/>
        </w:rPr>
      </w:pPr>
    </w:p>
    <w:p w14:paraId="01B887AD" w14:textId="620E5AF1" w:rsidR="004462A0" w:rsidRPr="008912CF" w:rsidRDefault="00615769" w:rsidP="004462A0">
      <w:pPr>
        <w:ind w:left="568" w:hanging="568"/>
        <w:rPr>
          <w:del w:id="15948" w:author="AbbVie2" w:date="2025-05-14T10:25:00Z"/>
          <w:sz w:val="22"/>
          <w:szCs w:val="22"/>
        </w:rPr>
      </w:pPr>
      <w:del w:id="15949" w:author="AbbVie2" w:date="2025-05-14T10:25:00Z">
        <w:r w:rsidRPr="008912CF">
          <w:rPr>
            <w:sz w:val="22"/>
            <w:szCs w:val="22"/>
          </w:rPr>
          <w:delText>Frequentes (podem afetar até 1 em 10 pessoas)</w:delText>
        </w:r>
      </w:del>
    </w:p>
    <w:p w14:paraId="1F39BAC3" w14:textId="5BC3BC32" w:rsidR="004462A0" w:rsidRPr="008912CF" w:rsidRDefault="004462A0" w:rsidP="004462A0">
      <w:pPr>
        <w:ind w:left="568" w:hanging="568"/>
        <w:rPr>
          <w:del w:id="15950" w:author="AbbVie2" w:date="2025-05-14T10:25:00Z"/>
          <w:sz w:val="22"/>
          <w:szCs w:val="22"/>
        </w:rPr>
      </w:pPr>
    </w:p>
    <w:p w14:paraId="04BE8630" w14:textId="026BFEF6" w:rsidR="004462A0" w:rsidRDefault="00615769" w:rsidP="004462A0">
      <w:pPr>
        <w:numPr>
          <w:ilvl w:val="0"/>
          <w:numId w:val="73"/>
        </w:numPr>
        <w:tabs>
          <w:tab w:val="clear" w:pos="0"/>
        </w:tabs>
        <w:ind w:left="567" w:hanging="567"/>
        <w:rPr>
          <w:del w:id="15951" w:author="AbbVie2" w:date="2025-05-14T10:25:00Z"/>
          <w:sz w:val="22"/>
          <w:szCs w:val="22"/>
        </w:rPr>
      </w:pPr>
      <w:del w:id="15952" w:author="AbbVie2" w:date="2025-05-14T10:25:00Z">
        <w:r w:rsidRPr="008912CF">
          <w:rPr>
            <w:sz w:val="22"/>
            <w:szCs w:val="22"/>
          </w:rPr>
          <w:delText xml:space="preserve">infeções </w:delText>
        </w:r>
        <w:r w:rsidR="00750D41">
          <w:rPr>
            <w:sz w:val="22"/>
            <w:szCs w:val="22"/>
          </w:rPr>
          <w:delText>graves</w:delText>
        </w:r>
        <w:r w:rsidRPr="008912CF">
          <w:rPr>
            <w:sz w:val="22"/>
            <w:szCs w:val="22"/>
          </w:rPr>
          <w:delText xml:space="preserve"> (incluindo envenenamento do sangue e gripe);</w:delText>
        </w:r>
      </w:del>
    </w:p>
    <w:p w14:paraId="1C2EA486" w14:textId="79DC39C7" w:rsidR="001E4E3E" w:rsidRPr="008912CF" w:rsidRDefault="00615769" w:rsidP="004462A0">
      <w:pPr>
        <w:numPr>
          <w:ilvl w:val="0"/>
          <w:numId w:val="73"/>
        </w:numPr>
        <w:tabs>
          <w:tab w:val="clear" w:pos="0"/>
        </w:tabs>
        <w:ind w:left="567" w:hanging="567"/>
        <w:rPr>
          <w:del w:id="15953" w:author="AbbVie2" w:date="2025-05-14T10:25:00Z"/>
          <w:sz w:val="22"/>
          <w:szCs w:val="22"/>
        </w:rPr>
      </w:pPr>
      <w:del w:id="15954" w:author="AbbVie2" w:date="2025-05-14T10:25:00Z">
        <w:r>
          <w:rPr>
            <w:sz w:val="22"/>
            <w:szCs w:val="22"/>
          </w:rPr>
          <w:delText>infeções intestinais (incluindo gastroenterite);</w:delText>
        </w:r>
      </w:del>
    </w:p>
    <w:p w14:paraId="446A6E4A" w14:textId="21501802" w:rsidR="004462A0" w:rsidRPr="008912CF" w:rsidRDefault="00615769" w:rsidP="004462A0">
      <w:pPr>
        <w:numPr>
          <w:ilvl w:val="0"/>
          <w:numId w:val="73"/>
        </w:numPr>
        <w:tabs>
          <w:tab w:val="clear" w:pos="0"/>
        </w:tabs>
        <w:ind w:left="567" w:hanging="567"/>
        <w:rPr>
          <w:del w:id="15955" w:author="AbbVie2" w:date="2025-05-14T10:25:00Z"/>
          <w:sz w:val="22"/>
          <w:szCs w:val="22"/>
        </w:rPr>
      </w:pPr>
      <w:del w:id="15956" w:author="AbbVie2" w:date="2025-05-14T10:25:00Z">
        <w:r w:rsidRPr="008912CF">
          <w:rPr>
            <w:sz w:val="22"/>
            <w:szCs w:val="22"/>
          </w:rPr>
          <w:delText>infeções da pele (incluindo celulite e zona);</w:delText>
        </w:r>
      </w:del>
    </w:p>
    <w:p w14:paraId="4215DCE8" w14:textId="07C67BF0" w:rsidR="004462A0" w:rsidRPr="008912CF" w:rsidRDefault="00615769" w:rsidP="004462A0">
      <w:pPr>
        <w:numPr>
          <w:ilvl w:val="0"/>
          <w:numId w:val="73"/>
        </w:numPr>
        <w:tabs>
          <w:tab w:val="clear" w:pos="0"/>
        </w:tabs>
        <w:ind w:left="567" w:hanging="567"/>
        <w:rPr>
          <w:del w:id="15957" w:author="AbbVie2" w:date="2025-05-14T10:25:00Z"/>
          <w:sz w:val="22"/>
          <w:szCs w:val="22"/>
        </w:rPr>
      </w:pPr>
      <w:del w:id="15958" w:author="AbbVie2" w:date="2025-05-14T10:25:00Z">
        <w:r w:rsidRPr="008912CF">
          <w:rPr>
            <w:sz w:val="22"/>
            <w:szCs w:val="22"/>
          </w:rPr>
          <w:delText xml:space="preserve">infeções </w:delText>
        </w:r>
        <w:r>
          <w:rPr>
            <w:sz w:val="22"/>
            <w:szCs w:val="22"/>
          </w:rPr>
          <w:delText>dos ouvidos</w:delText>
        </w:r>
        <w:r w:rsidRPr="008912CF">
          <w:rPr>
            <w:sz w:val="22"/>
            <w:szCs w:val="22"/>
          </w:rPr>
          <w:delText>;</w:delText>
        </w:r>
      </w:del>
    </w:p>
    <w:p w14:paraId="5BC889D2" w14:textId="1E25BB63" w:rsidR="004462A0" w:rsidRPr="008912CF" w:rsidRDefault="00615769" w:rsidP="004462A0">
      <w:pPr>
        <w:numPr>
          <w:ilvl w:val="0"/>
          <w:numId w:val="73"/>
        </w:numPr>
        <w:tabs>
          <w:tab w:val="clear" w:pos="0"/>
        </w:tabs>
        <w:ind w:left="567" w:hanging="567"/>
        <w:rPr>
          <w:del w:id="15959" w:author="AbbVie2" w:date="2025-05-14T10:25:00Z"/>
          <w:sz w:val="22"/>
          <w:szCs w:val="22"/>
        </w:rPr>
      </w:pPr>
      <w:del w:id="15960" w:author="AbbVie2" w:date="2025-05-14T10:25:00Z">
        <w:r w:rsidRPr="008912CF">
          <w:rPr>
            <w:sz w:val="22"/>
            <w:szCs w:val="22"/>
          </w:rPr>
          <w:delText>infeções orais (incluindo infeções dentárias e constipações);</w:delText>
        </w:r>
      </w:del>
    </w:p>
    <w:p w14:paraId="375C1974" w14:textId="1ABB03D5" w:rsidR="004462A0" w:rsidRPr="008912CF" w:rsidRDefault="00615769" w:rsidP="004462A0">
      <w:pPr>
        <w:numPr>
          <w:ilvl w:val="0"/>
          <w:numId w:val="73"/>
        </w:numPr>
        <w:tabs>
          <w:tab w:val="clear" w:pos="0"/>
        </w:tabs>
        <w:ind w:left="567" w:hanging="567"/>
        <w:rPr>
          <w:del w:id="15961" w:author="AbbVie2" w:date="2025-05-14T10:25:00Z"/>
          <w:sz w:val="22"/>
          <w:szCs w:val="22"/>
        </w:rPr>
      </w:pPr>
      <w:del w:id="15962" w:author="AbbVie2" w:date="2025-05-14T10:25:00Z">
        <w:r w:rsidRPr="008912CF">
          <w:rPr>
            <w:sz w:val="22"/>
            <w:szCs w:val="22"/>
          </w:rPr>
          <w:delText>infeções do sistema reprodutor;</w:delText>
        </w:r>
      </w:del>
    </w:p>
    <w:p w14:paraId="63493AA6" w14:textId="653100BD" w:rsidR="004462A0" w:rsidRPr="008912CF" w:rsidRDefault="00615769" w:rsidP="004462A0">
      <w:pPr>
        <w:numPr>
          <w:ilvl w:val="0"/>
          <w:numId w:val="73"/>
        </w:numPr>
        <w:tabs>
          <w:tab w:val="clear" w:pos="0"/>
        </w:tabs>
        <w:ind w:left="568" w:hanging="568"/>
        <w:rPr>
          <w:del w:id="15963" w:author="AbbVie2" w:date="2025-05-14T10:25:00Z"/>
          <w:sz w:val="22"/>
          <w:szCs w:val="22"/>
        </w:rPr>
      </w:pPr>
      <w:del w:id="15964" w:author="AbbVie2" w:date="2025-05-14T10:25:00Z">
        <w:r w:rsidRPr="008912CF">
          <w:rPr>
            <w:sz w:val="22"/>
            <w:szCs w:val="22"/>
          </w:rPr>
          <w:delText>infeção do trato urinário;</w:delText>
        </w:r>
      </w:del>
    </w:p>
    <w:p w14:paraId="0B5BE566" w14:textId="3697565A" w:rsidR="004462A0" w:rsidRPr="008912CF" w:rsidRDefault="00615769" w:rsidP="004462A0">
      <w:pPr>
        <w:numPr>
          <w:ilvl w:val="0"/>
          <w:numId w:val="73"/>
        </w:numPr>
        <w:tabs>
          <w:tab w:val="clear" w:pos="0"/>
        </w:tabs>
        <w:ind w:left="568" w:hanging="568"/>
        <w:rPr>
          <w:del w:id="15965" w:author="AbbVie2" w:date="2025-05-14T10:25:00Z"/>
          <w:sz w:val="22"/>
          <w:szCs w:val="22"/>
        </w:rPr>
      </w:pPr>
      <w:del w:id="15966" w:author="AbbVie2" w:date="2025-05-14T10:25:00Z">
        <w:r w:rsidRPr="008912CF">
          <w:rPr>
            <w:sz w:val="22"/>
            <w:szCs w:val="22"/>
          </w:rPr>
          <w:delText>infeções fúngicas;</w:delText>
        </w:r>
      </w:del>
    </w:p>
    <w:p w14:paraId="5F7C2D87" w14:textId="69EAEA4B" w:rsidR="004462A0" w:rsidRPr="008912CF" w:rsidRDefault="00615769" w:rsidP="004462A0">
      <w:pPr>
        <w:numPr>
          <w:ilvl w:val="0"/>
          <w:numId w:val="73"/>
        </w:numPr>
        <w:tabs>
          <w:tab w:val="clear" w:pos="0"/>
        </w:tabs>
        <w:ind w:left="568" w:hanging="568"/>
        <w:rPr>
          <w:del w:id="15967" w:author="AbbVie2" w:date="2025-05-14T10:25:00Z"/>
          <w:sz w:val="22"/>
          <w:szCs w:val="22"/>
        </w:rPr>
      </w:pPr>
      <w:del w:id="15968" w:author="AbbVie2" w:date="2025-05-14T10:25:00Z">
        <w:r w:rsidRPr="008912CF">
          <w:rPr>
            <w:sz w:val="22"/>
            <w:szCs w:val="22"/>
          </w:rPr>
          <w:delText xml:space="preserve">infeções </w:delText>
        </w:r>
        <w:r>
          <w:rPr>
            <w:sz w:val="22"/>
            <w:szCs w:val="22"/>
          </w:rPr>
          <w:delText>das articulações</w:delText>
        </w:r>
        <w:r w:rsidRPr="008912CF">
          <w:rPr>
            <w:sz w:val="22"/>
            <w:szCs w:val="22"/>
          </w:rPr>
          <w:delText>;</w:delText>
        </w:r>
      </w:del>
    </w:p>
    <w:p w14:paraId="39EB8C14" w14:textId="369ED073" w:rsidR="004462A0" w:rsidRPr="008912CF" w:rsidRDefault="00615769" w:rsidP="004462A0">
      <w:pPr>
        <w:numPr>
          <w:ilvl w:val="0"/>
          <w:numId w:val="73"/>
        </w:numPr>
        <w:tabs>
          <w:tab w:val="clear" w:pos="0"/>
        </w:tabs>
        <w:ind w:left="567" w:hanging="567"/>
        <w:rPr>
          <w:del w:id="15969" w:author="AbbVie2" w:date="2025-05-14T10:25:00Z"/>
          <w:sz w:val="22"/>
          <w:szCs w:val="22"/>
        </w:rPr>
      </w:pPr>
      <w:del w:id="15970" w:author="AbbVie2" w:date="2025-05-14T10:25:00Z">
        <w:r w:rsidRPr="008912CF">
          <w:rPr>
            <w:sz w:val="22"/>
            <w:szCs w:val="22"/>
          </w:rPr>
          <w:delText>tumores benignos;</w:delText>
        </w:r>
      </w:del>
    </w:p>
    <w:p w14:paraId="1C69B4A8" w14:textId="3D51FD01" w:rsidR="004462A0" w:rsidRPr="008912CF" w:rsidRDefault="00615769" w:rsidP="004462A0">
      <w:pPr>
        <w:numPr>
          <w:ilvl w:val="0"/>
          <w:numId w:val="73"/>
        </w:numPr>
        <w:tabs>
          <w:tab w:val="clear" w:pos="0"/>
        </w:tabs>
        <w:ind w:left="567" w:hanging="567"/>
        <w:rPr>
          <w:del w:id="15971" w:author="AbbVie2" w:date="2025-05-14T10:25:00Z"/>
          <w:sz w:val="22"/>
          <w:szCs w:val="22"/>
        </w:rPr>
      </w:pPr>
      <w:del w:id="15972" w:author="AbbVie2" w:date="2025-05-14T10:25:00Z">
        <w:r w:rsidRPr="008912CF">
          <w:rPr>
            <w:sz w:val="22"/>
            <w:szCs w:val="22"/>
          </w:rPr>
          <w:delText>cancro da pele;</w:delText>
        </w:r>
      </w:del>
    </w:p>
    <w:p w14:paraId="1E445F42" w14:textId="4B699369" w:rsidR="004462A0" w:rsidRPr="008912CF" w:rsidRDefault="00615769" w:rsidP="004462A0">
      <w:pPr>
        <w:numPr>
          <w:ilvl w:val="0"/>
          <w:numId w:val="73"/>
        </w:numPr>
        <w:tabs>
          <w:tab w:val="clear" w:pos="0"/>
        </w:tabs>
        <w:ind w:left="567" w:hanging="567"/>
        <w:rPr>
          <w:del w:id="15973" w:author="AbbVie2" w:date="2025-05-14T10:25:00Z"/>
          <w:sz w:val="22"/>
          <w:szCs w:val="22"/>
        </w:rPr>
      </w:pPr>
      <w:del w:id="15974" w:author="AbbVie2" w:date="2025-05-14T10:25:00Z">
        <w:r w:rsidRPr="008912CF">
          <w:rPr>
            <w:sz w:val="22"/>
            <w:szCs w:val="22"/>
          </w:rPr>
          <w:delText>reações alérgicas (incluindo alergia sazonal);</w:delText>
        </w:r>
      </w:del>
    </w:p>
    <w:p w14:paraId="400732BB" w14:textId="060A2DA3" w:rsidR="004462A0" w:rsidRPr="008912CF" w:rsidRDefault="00615769" w:rsidP="004462A0">
      <w:pPr>
        <w:numPr>
          <w:ilvl w:val="0"/>
          <w:numId w:val="73"/>
        </w:numPr>
        <w:tabs>
          <w:tab w:val="clear" w:pos="0"/>
        </w:tabs>
        <w:ind w:left="567" w:hanging="567"/>
        <w:rPr>
          <w:del w:id="15975" w:author="AbbVie2" w:date="2025-05-14T10:25:00Z"/>
          <w:sz w:val="22"/>
          <w:szCs w:val="22"/>
        </w:rPr>
      </w:pPr>
      <w:del w:id="15976" w:author="AbbVie2" w:date="2025-05-14T10:25:00Z">
        <w:r w:rsidRPr="008912CF">
          <w:rPr>
            <w:sz w:val="22"/>
            <w:szCs w:val="22"/>
          </w:rPr>
          <w:delText>desidratação;</w:delText>
        </w:r>
      </w:del>
    </w:p>
    <w:p w14:paraId="6F31FBE9" w14:textId="5054F90E" w:rsidR="004462A0" w:rsidRPr="008912CF" w:rsidRDefault="00615769" w:rsidP="004462A0">
      <w:pPr>
        <w:numPr>
          <w:ilvl w:val="0"/>
          <w:numId w:val="73"/>
        </w:numPr>
        <w:tabs>
          <w:tab w:val="clear" w:pos="0"/>
        </w:tabs>
        <w:ind w:left="567" w:hanging="567"/>
        <w:rPr>
          <w:del w:id="15977" w:author="AbbVie2" w:date="2025-05-14T10:25:00Z"/>
          <w:sz w:val="22"/>
          <w:szCs w:val="22"/>
        </w:rPr>
      </w:pPr>
      <w:del w:id="15978" w:author="AbbVie2" w:date="2025-05-14T10:25:00Z">
        <w:r w:rsidRPr="008912CF">
          <w:rPr>
            <w:sz w:val="22"/>
            <w:szCs w:val="22"/>
          </w:rPr>
          <w:delText>alterações do humor (incluindo depressão);</w:delText>
        </w:r>
      </w:del>
    </w:p>
    <w:p w14:paraId="6B99FA86" w14:textId="3FA62349" w:rsidR="004462A0" w:rsidRPr="008912CF" w:rsidRDefault="00615769" w:rsidP="004462A0">
      <w:pPr>
        <w:numPr>
          <w:ilvl w:val="0"/>
          <w:numId w:val="73"/>
        </w:numPr>
        <w:tabs>
          <w:tab w:val="clear" w:pos="0"/>
        </w:tabs>
        <w:ind w:left="567" w:hanging="567"/>
        <w:rPr>
          <w:del w:id="15979" w:author="AbbVie2" w:date="2025-05-14T10:25:00Z"/>
          <w:sz w:val="22"/>
          <w:szCs w:val="22"/>
        </w:rPr>
      </w:pPr>
      <w:del w:id="15980" w:author="AbbVie2" w:date="2025-05-14T10:25:00Z">
        <w:r w:rsidRPr="008912CF">
          <w:rPr>
            <w:sz w:val="22"/>
            <w:szCs w:val="22"/>
          </w:rPr>
          <w:delText>ansiedade;</w:delText>
        </w:r>
      </w:del>
    </w:p>
    <w:p w14:paraId="0D2CE1A4" w14:textId="322C5251" w:rsidR="004462A0" w:rsidRPr="008912CF" w:rsidRDefault="00615769" w:rsidP="004462A0">
      <w:pPr>
        <w:numPr>
          <w:ilvl w:val="0"/>
          <w:numId w:val="73"/>
        </w:numPr>
        <w:tabs>
          <w:tab w:val="clear" w:pos="0"/>
        </w:tabs>
        <w:ind w:left="567" w:hanging="567"/>
        <w:rPr>
          <w:del w:id="15981" w:author="AbbVie2" w:date="2025-05-14T10:25:00Z"/>
          <w:sz w:val="22"/>
          <w:szCs w:val="22"/>
        </w:rPr>
      </w:pPr>
      <w:del w:id="15982" w:author="AbbVie2" w:date="2025-05-14T10:25:00Z">
        <w:r w:rsidRPr="008912CF">
          <w:rPr>
            <w:sz w:val="22"/>
            <w:szCs w:val="22"/>
          </w:rPr>
          <w:delText>dificuldade em adormecer;</w:delText>
        </w:r>
      </w:del>
    </w:p>
    <w:p w14:paraId="0DD906E8" w14:textId="7514E19A" w:rsidR="004462A0" w:rsidRPr="008912CF" w:rsidRDefault="00615769" w:rsidP="004462A0">
      <w:pPr>
        <w:numPr>
          <w:ilvl w:val="0"/>
          <w:numId w:val="73"/>
        </w:numPr>
        <w:tabs>
          <w:tab w:val="clear" w:pos="0"/>
        </w:tabs>
        <w:ind w:left="567" w:hanging="567"/>
        <w:rPr>
          <w:del w:id="15983" w:author="AbbVie2" w:date="2025-05-14T10:25:00Z"/>
          <w:sz w:val="22"/>
          <w:szCs w:val="22"/>
        </w:rPr>
      </w:pPr>
      <w:del w:id="15984" w:author="AbbVie2" w:date="2025-05-14T10:25:00Z">
        <w:r w:rsidRPr="008912CF">
          <w:rPr>
            <w:sz w:val="22"/>
            <w:szCs w:val="22"/>
          </w:rPr>
          <w:delText>alterações neurológicas tais como prurido, comichão ou dormência;</w:delText>
        </w:r>
      </w:del>
    </w:p>
    <w:p w14:paraId="59EA99D8" w14:textId="09E0C262" w:rsidR="004462A0" w:rsidRPr="008912CF" w:rsidRDefault="00615769" w:rsidP="004462A0">
      <w:pPr>
        <w:numPr>
          <w:ilvl w:val="0"/>
          <w:numId w:val="73"/>
        </w:numPr>
        <w:tabs>
          <w:tab w:val="clear" w:pos="0"/>
        </w:tabs>
        <w:ind w:left="567" w:hanging="567"/>
        <w:rPr>
          <w:del w:id="15985" w:author="AbbVie2" w:date="2025-05-14T10:25:00Z"/>
          <w:sz w:val="22"/>
          <w:szCs w:val="22"/>
        </w:rPr>
      </w:pPr>
      <w:del w:id="15986" w:author="AbbVie2" w:date="2025-05-14T10:25:00Z">
        <w:r w:rsidRPr="008912CF">
          <w:rPr>
            <w:sz w:val="22"/>
            <w:szCs w:val="22"/>
          </w:rPr>
          <w:delText>enxaqueca;</w:delText>
        </w:r>
      </w:del>
    </w:p>
    <w:p w14:paraId="181CC9B7" w14:textId="75022771" w:rsidR="004462A0" w:rsidRPr="008912CF" w:rsidRDefault="00615769" w:rsidP="004462A0">
      <w:pPr>
        <w:numPr>
          <w:ilvl w:val="0"/>
          <w:numId w:val="73"/>
        </w:numPr>
        <w:tabs>
          <w:tab w:val="clear" w:pos="0"/>
        </w:tabs>
        <w:ind w:left="567" w:hanging="567"/>
        <w:rPr>
          <w:del w:id="15987" w:author="AbbVie2" w:date="2025-05-14T10:25:00Z"/>
          <w:sz w:val="22"/>
          <w:szCs w:val="22"/>
        </w:rPr>
      </w:pPr>
      <w:del w:id="15988" w:author="AbbVie2" w:date="2025-05-14T10:25:00Z">
        <w:r w:rsidRPr="008912CF">
          <w:rPr>
            <w:sz w:val="22"/>
            <w:szCs w:val="22"/>
          </w:rPr>
          <w:delText>compressão da raiz nervosa (incluindo dor lombar e dor nas pernas);</w:delText>
        </w:r>
      </w:del>
    </w:p>
    <w:p w14:paraId="23732795" w14:textId="72C6F9FC" w:rsidR="004462A0" w:rsidRPr="008912CF" w:rsidRDefault="00615769" w:rsidP="004462A0">
      <w:pPr>
        <w:numPr>
          <w:ilvl w:val="0"/>
          <w:numId w:val="73"/>
        </w:numPr>
        <w:tabs>
          <w:tab w:val="clear" w:pos="0"/>
        </w:tabs>
        <w:ind w:left="567" w:hanging="567"/>
        <w:rPr>
          <w:del w:id="15989" w:author="AbbVie2" w:date="2025-05-14T10:25:00Z"/>
          <w:sz w:val="22"/>
          <w:szCs w:val="22"/>
        </w:rPr>
      </w:pPr>
      <w:del w:id="15990" w:author="AbbVie2" w:date="2025-05-14T10:25:00Z">
        <w:r w:rsidRPr="008912CF">
          <w:rPr>
            <w:sz w:val="22"/>
            <w:szCs w:val="22"/>
          </w:rPr>
          <w:delText>alterações da visão;</w:delText>
        </w:r>
      </w:del>
    </w:p>
    <w:p w14:paraId="13C23827" w14:textId="4DC69016" w:rsidR="004462A0" w:rsidRPr="008912CF" w:rsidRDefault="00615769" w:rsidP="004462A0">
      <w:pPr>
        <w:numPr>
          <w:ilvl w:val="0"/>
          <w:numId w:val="73"/>
        </w:numPr>
        <w:tabs>
          <w:tab w:val="clear" w:pos="0"/>
        </w:tabs>
        <w:ind w:left="567" w:hanging="567"/>
        <w:rPr>
          <w:del w:id="15991" w:author="AbbVie2" w:date="2025-05-14T10:25:00Z"/>
          <w:sz w:val="22"/>
          <w:szCs w:val="22"/>
        </w:rPr>
      </w:pPr>
      <w:del w:id="15992" w:author="AbbVie2" w:date="2025-05-14T10:25:00Z">
        <w:r w:rsidRPr="008912CF">
          <w:rPr>
            <w:sz w:val="22"/>
            <w:szCs w:val="22"/>
          </w:rPr>
          <w:delText>inflamação dos olhos;</w:delText>
        </w:r>
      </w:del>
    </w:p>
    <w:p w14:paraId="1CF0EC6A" w14:textId="1E5179B4" w:rsidR="004462A0" w:rsidRPr="008912CF" w:rsidRDefault="00615769" w:rsidP="004462A0">
      <w:pPr>
        <w:numPr>
          <w:ilvl w:val="0"/>
          <w:numId w:val="73"/>
        </w:numPr>
        <w:tabs>
          <w:tab w:val="clear" w:pos="0"/>
        </w:tabs>
        <w:ind w:left="567" w:hanging="567"/>
        <w:rPr>
          <w:del w:id="15993" w:author="AbbVie2" w:date="2025-05-14T10:25:00Z"/>
          <w:sz w:val="22"/>
          <w:szCs w:val="22"/>
        </w:rPr>
      </w:pPr>
      <w:del w:id="15994" w:author="AbbVie2" w:date="2025-05-14T10:25:00Z">
        <w:r w:rsidRPr="008912CF">
          <w:rPr>
            <w:sz w:val="22"/>
            <w:szCs w:val="22"/>
          </w:rPr>
          <w:delText>inflamação das pálpebras e inchaço d</w:delText>
        </w:r>
        <w:r w:rsidR="0095297D">
          <w:rPr>
            <w:sz w:val="22"/>
            <w:szCs w:val="22"/>
          </w:rPr>
          <w:delText>os</w:delText>
        </w:r>
        <w:r w:rsidRPr="008912CF">
          <w:rPr>
            <w:sz w:val="22"/>
            <w:szCs w:val="22"/>
          </w:rPr>
          <w:delText xml:space="preserve"> olhos;</w:delText>
        </w:r>
      </w:del>
    </w:p>
    <w:p w14:paraId="61AA537B" w14:textId="0AB291F5" w:rsidR="004462A0" w:rsidRPr="008912CF" w:rsidRDefault="00615769" w:rsidP="004462A0">
      <w:pPr>
        <w:numPr>
          <w:ilvl w:val="0"/>
          <w:numId w:val="73"/>
        </w:numPr>
        <w:tabs>
          <w:tab w:val="clear" w:pos="0"/>
        </w:tabs>
        <w:ind w:left="568" w:hanging="568"/>
        <w:rPr>
          <w:del w:id="15995" w:author="AbbVie2" w:date="2025-05-14T10:25:00Z"/>
          <w:sz w:val="22"/>
          <w:szCs w:val="22"/>
        </w:rPr>
      </w:pPr>
      <w:del w:id="15996" w:author="AbbVie2" w:date="2025-05-14T10:25:00Z">
        <w:r w:rsidRPr="008912CF">
          <w:rPr>
            <w:sz w:val="22"/>
            <w:szCs w:val="22"/>
          </w:rPr>
          <w:delText>vertigem</w:delText>
        </w:r>
        <w:r w:rsidR="00C706AB" w:rsidRPr="00C706AB">
          <w:rPr>
            <w:sz w:val="22"/>
            <w:szCs w:val="22"/>
          </w:rPr>
          <w:delText xml:space="preserve"> </w:delText>
        </w:r>
        <w:r w:rsidR="00C706AB">
          <w:rPr>
            <w:sz w:val="22"/>
            <w:szCs w:val="22"/>
          </w:rPr>
          <w:delText>(</w:delText>
        </w:r>
        <w:r w:rsidR="00C706AB" w:rsidRPr="008B0DDF">
          <w:rPr>
            <w:sz w:val="22"/>
            <w:szCs w:val="22"/>
          </w:rPr>
          <w:delText>sensação de tontura ou movimento</w:delText>
        </w:r>
        <w:r w:rsidR="00C706AB">
          <w:rPr>
            <w:sz w:val="22"/>
            <w:szCs w:val="22"/>
          </w:rPr>
          <w:delText>)</w:delText>
        </w:r>
        <w:r w:rsidRPr="008912CF">
          <w:rPr>
            <w:sz w:val="22"/>
            <w:szCs w:val="22"/>
          </w:rPr>
          <w:delText>;</w:delText>
        </w:r>
      </w:del>
    </w:p>
    <w:p w14:paraId="5E517FA1" w14:textId="3F28F7A9" w:rsidR="004462A0" w:rsidRPr="008912CF" w:rsidRDefault="00615769" w:rsidP="004462A0">
      <w:pPr>
        <w:numPr>
          <w:ilvl w:val="0"/>
          <w:numId w:val="70"/>
        </w:numPr>
        <w:tabs>
          <w:tab w:val="clear" w:pos="0"/>
        </w:tabs>
        <w:ind w:left="567" w:hanging="567"/>
        <w:rPr>
          <w:del w:id="15997" w:author="AbbVie2" w:date="2025-05-14T10:25:00Z"/>
          <w:sz w:val="22"/>
          <w:szCs w:val="22"/>
        </w:rPr>
      </w:pPr>
      <w:del w:id="15998" w:author="AbbVie2" w:date="2025-05-14T10:25:00Z">
        <w:r w:rsidRPr="008912CF">
          <w:rPr>
            <w:sz w:val="22"/>
            <w:szCs w:val="22"/>
          </w:rPr>
          <w:delText>sensação de batimento cardíaco rápido;</w:delText>
        </w:r>
      </w:del>
    </w:p>
    <w:p w14:paraId="779A3D8B" w14:textId="6424FCBD" w:rsidR="004462A0" w:rsidRPr="008912CF" w:rsidRDefault="00615769" w:rsidP="004462A0">
      <w:pPr>
        <w:numPr>
          <w:ilvl w:val="0"/>
          <w:numId w:val="70"/>
        </w:numPr>
        <w:tabs>
          <w:tab w:val="clear" w:pos="0"/>
        </w:tabs>
        <w:ind w:left="567" w:hanging="567"/>
        <w:rPr>
          <w:del w:id="15999" w:author="AbbVie2" w:date="2025-05-14T10:25:00Z"/>
          <w:sz w:val="22"/>
          <w:szCs w:val="22"/>
        </w:rPr>
      </w:pPr>
      <w:del w:id="16000" w:author="AbbVie2" w:date="2025-05-14T10:25:00Z">
        <w:r>
          <w:rPr>
            <w:sz w:val="22"/>
            <w:szCs w:val="22"/>
          </w:rPr>
          <w:delText>tensão</w:delText>
        </w:r>
        <w:r w:rsidRPr="008912CF">
          <w:rPr>
            <w:sz w:val="22"/>
            <w:szCs w:val="22"/>
          </w:rPr>
          <w:delText xml:space="preserve"> arterial alta;</w:delText>
        </w:r>
      </w:del>
    </w:p>
    <w:p w14:paraId="7337F993" w14:textId="10B2042A" w:rsidR="004462A0" w:rsidRPr="008912CF" w:rsidRDefault="00615769" w:rsidP="004462A0">
      <w:pPr>
        <w:numPr>
          <w:ilvl w:val="0"/>
          <w:numId w:val="70"/>
        </w:numPr>
        <w:tabs>
          <w:tab w:val="clear" w:pos="0"/>
        </w:tabs>
        <w:ind w:left="567" w:hanging="567"/>
        <w:rPr>
          <w:del w:id="16001" w:author="AbbVie2" w:date="2025-05-14T10:25:00Z"/>
          <w:sz w:val="22"/>
          <w:szCs w:val="22"/>
        </w:rPr>
      </w:pPr>
      <w:del w:id="16002" w:author="AbbVie2" w:date="2025-05-14T10:25:00Z">
        <w:r>
          <w:rPr>
            <w:sz w:val="22"/>
            <w:szCs w:val="22"/>
          </w:rPr>
          <w:delText>vermelhidão</w:delText>
        </w:r>
        <w:r w:rsidRPr="008912CF">
          <w:rPr>
            <w:sz w:val="22"/>
            <w:szCs w:val="22"/>
          </w:rPr>
          <w:delText>;</w:delText>
        </w:r>
      </w:del>
    </w:p>
    <w:p w14:paraId="456E74D0" w14:textId="115FF383" w:rsidR="004462A0" w:rsidRPr="008912CF" w:rsidRDefault="00615769" w:rsidP="004462A0">
      <w:pPr>
        <w:numPr>
          <w:ilvl w:val="0"/>
          <w:numId w:val="70"/>
        </w:numPr>
        <w:tabs>
          <w:tab w:val="clear" w:pos="0"/>
        </w:tabs>
        <w:ind w:left="567" w:hanging="567"/>
        <w:rPr>
          <w:del w:id="16003" w:author="AbbVie2" w:date="2025-05-14T10:25:00Z"/>
          <w:sz w:val="22"/>
          <w:szCs w:val="22"/>
        </w:rPr>
      </w:pPr>
      <w:del w:id="16004" w:author="AbbVie2" w:date="2025-05-14T10:25:00Z">
        <w:r w:rsidRPr="008912CF">
          <w:rPr>
            <w:sz w:val="22"/>
            <w:szCs w:val="22"/>
          </w:rPr>
          <w:delText>hematoma</w:delText>
        </w:r>
        <w:r w:rsidR="002A7154">
          <w:rPr>
            <w:sz w:val="22"/>
            <w:szCs w:val="22"/>
          </w:rPr>
          <w:delText xml:space="preserve"> (</w:delText>
        </w:r>
        <w:r w:rsidR="002A7154" w:rsidRPr="00F03C54">
          <w:rPr>
            <w:sz w:val="22"/>
            <w:szCs w:val="22"/>
          </w:rPr>
          <w:delText>concentração de sangue fora dos vasos sanguíneos)</w:delText>
        </w:r>
        <w:r w:rsidRPr="002A7154">
          <w:rPr>
            <w:sz w:val="22"/>
            <w:szCs w:val="22"/>
          </w:rPr>
          <w:delText>;</w:delText>
        </w:r>
      </w:del>
    </w:p>
    <w:p w14:paraId="39842582" w14:textId="0ABE8320" w:rsidR="004462A0" w:rsidRPr="008912CF" w:rsidRDefault="00615769" w:rsidP="004462A0">
      <w:pPr>
        <w:numPr>
          <w:ilvl w:val="0"/>
          <w:numId w:val="73"/>
        </w:numPr>
        <w:tabs>
          <w:tab w:val="clear" w:pos="0"/>
        </w:tabs>
        <w:ind w:left="568" w:hanging="568"/>
        <w:rPr>
          <w:del w:id="16005" w:author="AbbVie2" w:date="2025-05-14T10:25:00Z"/>
          <w:sz w:val="22"/>
          <w:szCs w:val="22"/>
        </w:rPr>
      </w:pPr>
      <w:del w:id="16006" w:author="AbbVie2" w:date="2025-05-14T10:25:00Z">
        <w:r w:rsidRPr="008912CF">
          <w:rPr>
            <w:sz w:val="22"/>
            <w:szCs w:val="22"/>
          </w:rPr>
          <w:delText>tosse;</w:delText>
        </w:r>
      </w:del>
    </w:p>
    <w:p w14:paraId="1D9FACD1" w14:textId="5EE1DA79" w:rsidR="004462A0" w:rsidRPr="008912CF" w:rsidRDefault="00615769" w:rsidP="004462A0">
      <w:pPr>
        <w:numPr>
          <w:ilvl w:val="0"/>
          <w:numId w:val="70"/>
        </w:numPr>
        <w:tabs>
          <w:tab w:val="clear" w:pos="0"/>
        </w:tabs>
        <w:ind w:left="567" w:hanging="567"/>
        <w:rPr>
          <w:del w:id="16007" w:author="AbbVie2" w:date="2025-05-14T10:25:00Z"/>
          <w:sz w:val="22"/>
          <w:szCs w:val="22"/>
        </w:rPr>
      </w:pPr>
      <w:del w:id="16008" w:author="AbbVie2" w:date="2025-05-14T10:25:00Z">
        <w:r w:rsidRPr="008912CF">
          <w:rPr>
            <w:sz w:val="22"/>
            <w:szCs w:val="22"/>
          </w:rPr>
          <w:delText>asma;</w:delText>
        </w:r>
      </w:del>
    </w:p>
    <w:p w14:paraId="11B5976F" w14:textId="76E583E0" w:rsidR="004462A0" w:rsidRPr="008912CF" w:rsidRDefault="00615769" w:rsidP="004462A0">
      <w:pPr>
        <w:numPr>
          <w:ilvl w:val="0"/>
          <w:numId w:val="70"/>
        </w:numPr>
        <w:tabs>
          <w:tab w:val="clear" w:pos="0"/>
        </w:tabs>
        <w:ind w:left="567" w:hanging="567"/>
        <w:rPr>
          <w:del w:id="16009" w:author="AbbVie2" w:date="2025-05-14T10:25:00Z"/>
          <w:sz w:val="22"/>
          <w:szCs w:val="22"/>
        </w:rPr>
      </w:pPr>
      <w:del w:id="16010" w:author="AbbVie2" w:date="2025-05-14T10:25:00Z">
        <w:r w:rsidRPr="008912CF">
          <w:rPr>
            <w:sz w:val="22"/>
            <w:szCs w:val="22"/>
          </w:rPr>
          <w:delText>dificuldade em respirar;</w:delText>
        </w:r>
      </w:del>
    </w:p>
    <w:p w14:paraId="7E7F3811" w14:textId="6BE659E0" w:rsidR="004462A0" w:rsidRPr="008912CF" w:rsidRDefault="00615769" w:rsidP="004462A0">
      <w:pPr>
        <w:numPr>
          <w:ilvl w:val="0"/>
          <w:numId w:val="70"/>
        </w:numPr>
        <w:tabs>
          <w:tab w:val="clear" w:pos="0"/>
        </w:tabs>
        <w:ind w:left="567" w:hanging="567"/>
        <w:rPr>
          <w:del w:id="16011" w:author="AbbVie2" w:date="2025-05-14T10:25:00Z"/>
          <w:sz w:val="22"/>
          <w:szCs w:val="22"/>
        </w:rPr>
      </w:pPr>
      <w:del w:id="16012" w:author="AbbVie2" w:date="2025-05-14T10:25:00Z">
        <w:r w:rsidRPr="008912CF">
          <w:rPr>
            <w:sz w:val="22"/>
            <w:szCs w:val="22"/>
          </w:rPr>
          <w:delText>hemorragia gastrointestinal;</w:delText>
        </w:r>
      </w:del>
    </w:p>
    <w:p w14:paraId="7196CD99" w14:textId="0FD49398" w:rsidR="004462A0" w:rsidRPr="008912CF" w:rsidRDefault="00615769" w:rsidP="004462A0">
      <w:pPr>
        <w:numPr>
          <w:ilvl w:val="0"/>
          <w:numId w:val="70"/>
        </w:numPr>
        <w:tabs>
          <w:tab w:val="clear" w:pos="0"/>
        </w:tabs>
        <w:ind w:left="567" w:hanging="567"/>
        <w:rPr>
          <w:del w:id="16013" w:author="AbbVie2" w:date="2025-05-14T10:25:00Z"/>
          <w:sz w:val="22"/>
          <w:szCs w:val="22"/>
        </w:rPr>
      </w:pPr>
      <w:del w:id="16014" w:author="AbbVie2" w:date="2025-05-14T10:25:00Z">
        <w:r w:rsidRPr="008912CF">
          <w:rPr>
            <w:sz w:val="22"/>
            <w:szCs w:val="22"/>
          </w:rPr>
          <w:delText>dispepsia (indigestão, inchaço, azia);</w:delText>
        </w:r>
      </w:del>
    </w:p>
    <w:p w14:paraId="415A564D" w14:textId="44BDD08C" w:rsidR="004462A0" w:rsidRPr="008912CF" w:rsidRDefault="00615769" w:rsidP="004462A0">
      <w:pPr>
        <w:numPr>
          <w:ilvl w:val="0"/>
          <w:numId w:val="70"/>
        </w:numPr>
        <w:tabs>
          <w:tab w:val="clear" w:pos="0"/>
        </w:tabs>
        <w:ind w:left="567" w:hanging="567"/>
        <w:rPr>
          <w:del w:id="16015" w:author="AbbVie2" w:date="2025-05-14T10:25:00Z"/>
          <w:sz w:val="22"/>
          <w:szCs w:val="22"/>
        </w:rPr>
      </w:pPr>
      <w:del w:id="16016" w:author="AbbVie2" w:date="2025-05-14T10:25:00Z">
        <w:r w:rsidRPr="008912CF">
          <w:rPr>
            <w:sz w:val="22"/>
            <w:szCs w:val="22"/>
          </w:rPr>
          <w:delText>doença de refluxo;</w:delText>
        </w:r>
      </w:del>
    </w:p>
    <w:p w14:paraId="41AD9B38" w14:textId="453D52D3" w:rsidR="004462A0" w:rsidRPr="008912CF" w:rsidRDefault="00615769" w:rsidP="004462A0">
      <w:pPr>
        <w:numPr>
          <w:ilvl w:val="0"/>
          <w:numId w:val="70"/>
        </w:numPr>
        <w:tabs>
          <w:tab w:val="clear" w:pos="0"/>
        </w:tabs>
        <w:ind w:left="567" w:hanging="567"/>
        <w:rPr>
          <w:del w:id="16017" w:author="AbbVie2" w:date="2025-05-14T10:25:00Z"/>
          <w:sz w:val="22"/>
          <w:szCs w:val="22"/>
        </w:rPr>
      </w:pPr>
      <w:del w:id="16018" w:author="AbbVie2" w:date="2025-05-14T10:25:00Z">
        <w:r w:rsidRPr="008912CF">
          <w:rPr>
            <w:sz w:val="22"/>
            <w:szCs w:val="22"/>
          </w:rPr>
          <w:delText>síndrome de sicca (incluindo olhos e boca seca);</w:delText>
        </w:r>
      </w:del>
    </w:p>
    <w:p w14:paraId="3C28859E" w14:textId="62FAC223" w:rsidR="004462A0" w:rsidRPr="008912CF" w:rsidRDefault="00615769" w:rsidP="004462A0">
      <w:pPr>
        <w:numPr>
          <w:ilvl w:val="0"/>
          <w:numId w:val="70"/>
        </w:numPr>
        <w:tabs>
          <w:tab w:val="clear" w:pos="0"/>
        </w:tabs>
        <w:ind w:left="567" w:hanging="567"/>
        <w:rPr>
          <w:del w:id="16019" w:author="AbbVie2" w:date="2025-05-14T10:25:00Z"/>
          <w:sz w:val="22"/>
          <w:szCs w:val="22"/>
        </w:rPr>
      </w:pPr>
      <w:del w:id="16020" w:author="AbbVie2" w:date="2025-05-14T10:25:00Z">
        <w:r w:rsidRPr="008912CF">
          <w:rPr>
            <w:sz w:val="22"/>
            <w:szCs w:val="22"/>
          </w:rPr>
          <w:delText>comichão;</w:delText>
        </w:r>
      </w:del>
    </w:p>
    <w:p w14:paraId="799AC2CE" w14:textId="3763D79F" w:rsidR="004462A0" w:rsidRPr="008912CF" w:rsidRDefault="00615769" w:rsidP="004462A0">
      <w:pPr>
        <w:numPr>
          <w:ilvl w:val="0"/>
          <w:numId w:val="67"/>
        </w:numPr>
        <w:tabs>
          <w:tab w:val="clear" w:pos="284"/>
          <w:tab w:val="num" w:pos="600"/>
        </w:tabs>
        <w:ind w:hanging="567"/>
        <w:rPr>
          <w:del w:id="16021" w:author="AbbVie2" w:date="2025-05-14T10:25:00Z"/>
          <w:sz w:val="22"/>
          <w:szCs w:val="22"/>
        </w:rPr>
      </w:pPr>
      <w:del w:id="16022" w:author="AbbVie2" w:date="2025-05-14T10:25:00Z">
        <w:r w:rsidRPr="008912CF">
          <w:rPr>
            <w:sz w:val="22"/>
            <w:szCs w:val="22"/>
          </w:rPr>
          <w:delText>erupção da pele com comichão;</w:delText>
        </w:r>
      </w:del>
    </w:p>
    <w:p w14:paraId="413052D2" w14:textId="015B3AA0" w:rsidR="004462A0" w:rsidRPr="008912CF" w:rsidRDefault="00615769" w:rsidP="004462A0">
      <w:pPr>
        <w:numPr>
          <w:ilvl w:val="0"/>
          <w:numId w:val="67"/>
        </w:numPr>
        <w:tabs>
          <w:tab w:val="clear" w:pos="284"/>
          <w:tab w:val="num" w:pos="600"/>
        </w:tabs>
        <w:ind w:hanging="567"/>
        <w:rPr>
          <w:del w:id="16023" w:author="AbbVie2" w:date="2025-05-14T10:25:00Z"/>
          <w:sz w:val="22"/>
          <w:szCs w:val="22"/>
        </w:rPr>
      </w:pPr>
      <w:del w:id="16024" w:author="AbbVie2" w:date="2025-05-14T10:25:00Z">
        <w:r w:rsidRPr="008912CF">
          <w:rPr>
            <w:sz w:val="22"/>
            <w:szCs w:val="22"/>
          </w:rPr>
          <w:delText>nódoas negras;</w:delText>
        </w:r>
      </w:del>
    </w:p>
    <w:p w14:paraId="75E61109" w14:textId="1BB9700D" w:rsidR="004462A0" w:rsidRPr="008912CF" w:rsidRDefault="00615769" w:rsidP="004462A0">
      <w:pPr>
        <w:numPr>
          <w:ilvl w:val="0"/>
          <w:numId w:val="67"/>
        </w:numPr>
        <w:tabs>
          <w:tab w:val="clear" w:pos="284"/>
          <w:tab w:val="num" w:pos="600"/>
        </w:tabs>
        <w:ind w:hanging="567"/>
        <w:rPr>
          <w:del w:id="16025" w:author="AbbVie2" w:date="2025-05-14T10:25:00Z"/>
          <w:sz w:val="22"/>
          <w:szCs w:val="22"/>
        </w:rPr>
      </w:pPr>
      <w:del w:id="16026" w:author="AbbVie2" w:date="2025-05-14T10:25:00Z">
        <w:r w:rsidRPr="008912CF">
          <w:rPr>
            <w:sz w:val="22"/>
            <w:szCs w:val="22"/>
          </w:rPr>
          <w:delText>inflamação da pele (tais como eczema);</w:delText>
        </w:r>
      </w:del>
    </w:p>
    <w:p w14:paraId="162882CE" w14:textId="57A00C48" w:rsidR="004462A0" w:rsidRPr="008912CF" w:rsidRDefault="00615769" w:rsidP="004462A0">
      <w:pPr>
        <w:numPr>
          <w:ilvl w:val="0"/>
          <w:numId w:val="67"/>
        </w:numPr>
        <w:tabs>
          <w:tab w:val="clear" w:pos="284"/>
          <w:tab w:val="num" w:pos="600"/>
        </w:tabs>
        <w:ind w:hanging="567"/>
        <w:rPr>
          <w:del w:id="16027" w:author="AbbVie2" w:date="2025-05-14T10:25:00Z"/>
          <w:sz w:val="22"/>
          <w:szCs w:val="22"/>
        </w:rPr>
      </w:pPr>
      <w:del w:id="16028" w:author="AbbVie2" w:date="2025-05-14T10:25:00Z">
        <w:r w:rsidRPr="008912CF">
          <w:rPr>
            <w:sz w:val="22"/>
            <w:szCs w:val="22"/>
          </w:rPr>
          <w:delText>unhas das mãos e dos pés quebradiças;</w:delText>
        </w:r>
      </w:del>
    </w:p>
    <w:p w14:paraId="2B2EC81E" w14:textId="5FAA2DF6" w:rsidR="004462A0" w:rsidRPr="008912CF" w:rsidRDefault="00615769" w:rsidP="004462A0">
      <w:pPr>
        <w:numPr>
          <w:ilvl w:val="0"/>
          <w:numId w:val="67"/>
        </w:numPr>
        <w:tabs>
          <w:tab w:val="clear" w:pos="284"/>
          <w:tab w:val="num" w:pos="600"/>
        </w:tabs>
        <w:ind w:hanging="567"/>
        <w:rPr>
          <w:del w:id="16029" w:author="AbbVie2" w:date="2025-05-14T10:25:00Z"/>
          <w:sz w:val="22"/>
          <w:szCs w:val="22"/>
        </w:rPr>
      </w:pPr>
      <w:del w:id="16030" w:author="AbbVie2" w:date="2025-05-14T10:25:00Z">
        <w:r w:rsidRPr="008912CF">
          <w:rPr>
            <w:sz w:val="22"/>
            <w:szCs w:val="22"/>
          </w:rPr>
          <w:delText>aumento de suor;</w:delText>
        </w:r>
      </w:del>
    </w:p>
    <w:p w14:paraId="3CBFF1FA" w14:textId="68A521AC" w:rsidR="004462A0" w:rsidRPr="008912CF" w:rsidRDefault="00615769" w:rsidP="004462A0">
      <w:pPr>
        <w:numPr>
          <w:ilvl w:val="0"/>
          <w:numId w:val="67"/>
        </w:numPr>
        <w:tabs>
          <w:tab w:val="clear" w:pos="284"/>
          <w:tab w:val="num" w:pos="600"/>
        </w:tabs>
        <w:ind w:hanging="567"/>
        <w:rPr>
          <w:del w:id="16031" w:author="AbbVie2" w:date="2025-05-14T10:25:00Z"/>
          <w:sz w:val="22"/>
          <w:szCs w:val="22"/>
        </w:rPr>
      </w:pPr>
      <w:del w:id="16032" w:author="AbbVie2" w:date="2025-05-14T10:25:00Z">
        <w:r w:rsidRPr="008912CF">
          <w:rPr>
            <w:sz w:val="22"/>
            <w:szCs w:val="22"/>
          </w:rPr>
          <w:delText>perda de cabelo;</w:delText>
        </w:r>
      </w:del>
    </w:p>
    <w:p w14:paraId="2AB2DDD0" w14:textId="68C80996" w:rsidR="004462A0" w:rsidRPr="008912CF" w:rsidRDefault="00615769" w:rsidP="004462A0">
      <w:pPr>
        <w:numPr>
          <w:ilvl w:val="0"/>
          <w:numId w:val="67"/>
        </w:numPr>
        <w:tabs>
          <w:tab w:val="clear" w:pos="284"/>
          <w:tab w:val="num" w:pos="600"/>
        </w:tabs>
        <w:ind w:hanging="567"/>
        <w:rPr>
          <w:del w:id="16033" w:author="AbbVie2" w:date="2025-05-14T10:25:00Z"/>
          <w:sz w:val="22"/>
          <w:szCs w:val="22"/>
        </w:rPr>
      </w:pPr>
      <w:del w:id="16034" w:author="AbbVie2" w:date="2025-05-14T10:25:00Z">
        <w:r w:rsidRPr="008912CF">
          <w:rPr>
            <w:sz w:val="22"/>
            <w:szCs w:val="22"/>
          </w:rPr>
          <w:delText>início ou agravamento da psoríase;</w:delText>
        </w:r>
      </w:del>
    </w:p>
    <w:p w14:paraId="2AF42DCF" w14:textId="624BAA55" w:rsidR="004462A0" w:rsidRPr="008912CF" w:rsidRDefault="00615769" w:rsidP="004462A0">
      <w:pPr>
        <w:numPr>
          <w:ilvl w:val="0"/>
          <w:numId w:val="67"/>
        </w:numPr>
        <w:tabs>
          <w:tab w:val="clear" w:pos="284"/>
          <w:tab w:val="num" w:pos="600"/>
        </w:tabs>
        <w:ind w:hanging="567"/>
        <w:rPr>
          <w:del w:id="16035" w:author="AbbVie2" w:date="2025-05-14T10:25:00Z"/>
          <w:sz w:val="22"/>
          <w:szCs w:val="22"/>
        </w:rPr>
      </w:pPr>
      <w:del w:id="16036" w:author="AbbVie2" w:date="2025-05-14T10:25:00Z">
        <w:r w:rsidRPr="008912CF">
          <w:rPr>
            <w:sz w:val="22"/>
            <w:szCs w:val="22"/>
          </w:rPr>
          <w:delText>espasmos musculares;</w:delText>
        </w:r>
      </w:del>
    </w:p>
    <w:p w14:paraId="748E2F58" w14:textId="1FDEB9CD" w:rsidR="004462A0" w:rsidRPr="008912CF" w:rsidRDefault="00615769" w:rsidP="004462A0">
      <w:pPr>
        <w:numPr>
          <w:ilvl w:val="0"/>
          <w:numId w:val="67"/>
        </w:numPr>
        <w:tabs>
          <w:tab w:val="clear" w:pos="284"/>
          <w:tab w:val="num" w:pos="600"/>
        </w:tabs>
        <w:ind w:hanging="567"/>
        <w:rPr>
          <w:del w:id="16037" w:author="AbbVie2" w:date="2025-05-14T10:25:00Z"/>
          <w:sz w:val="22"/>
          <w:szCs w:val="22"/>
        </w:rPr>
      </w:pPr>
      <w:del w:id="16038" w:author="AbbVie2" w:date="2025-05-14T10:25:00Z">
        <w:r w:rsidRPr="008912CF">
          <w:rPr>
            <w:sz w:val="22"/>
            <w:szCs w:val="22"/>
          </w:rPr>
          <w:delText>sangue na urina;</w:delText>
        </w:r>
      </w:del>
    </w:p>
    <w:p w14:paraId="0DBB384F" w14:textId="6B834B73" w:rsidR="004462A0" w:rsidRPr="008912CF" w:rsidRDefault="00615769" w:rsidP="004462A0">
      <w:pPr>
        <w:numPr>
          <w:ilvl w:val="0"/>
          <w:numId w:val="67"/>
        </w:numPr>
        <w:tabs>
          <w:tab w:val="clear" w:pos="284"/>
          <w:tab w:val="num" w:pos="600"/>
        </w:tabs>
        <w:ind w:hanging="567"/>
        <w:rPr>
          <w:del w:id="16039" w:author="AbbVie2" w:date="2025-05-14T10:25:00Z"/>
          <w:sz w:val="22"/>
          <w:szCs w:val="22"/>
        </w:rPr>
      </w:pPr>
      <w:del w:id="16040" w:author="AbbVie2" w:date="2025-05-14T10:25:00Z">
        <w:r w:rsidRPr="008912CF">
          <w:rPr>
            <w:sz w:val="22"/>
            <w:szCs w:val="22"/>
          </w:rPr>
          <w:delText>perturbações renais;</w:delText>
        </w:r>
      </w:del>
    </w:p>
    <w:p w14:paraId="626BF38E" w14:textId="3DB2B462" w:rsidR="004462A0" w:rsidRPr="008912CF" w:rsidRDefault="00615769" w:rsidP="004462A0">
      <w:pPr>
        <w:numPr>
          <w:ilvl w:val="0"/>
          <w:numId w:val="67"/>
        </w:numPr>
        <w:tabs>
          <w:tab w:val="clear" w:pos="284"/>
          <w:tab w:val="num" w:pos="600"/>
        </w:tabs>
        <w:ind w:hanging="567"/>
        <w:rPr>
          <w:del w:id="16041" w:author="AbbVie2" w:date="2025-05-14T10:25:00Z"/>
          <w:sz w:val="22"/>
          <w:szCs w:val="22"/>
        </w:rPr>
      </w:pPr>
      <w:del w:id="16042" w:author="AbbVie2" w:date="2025-05-14T10:25:00Z">
        <w:r w:rsidRPr="008912CF">
          <w:rPr>
            <w:sz w:val="22"/>
            <w:szCs w:val="22"/>
          </w:rPr>
          <w:delText>dor no peito;</w:delText>
        </w:r>
      </w:del>
    </w:p>
    <w:p w14:paraId="626B8C04" w14:textId="37DB6BE3" w:rsidR="004462A0" w:rsidRPr="008912CF" w:rsidRDefault="00615769" w:rsidP="004462A0">
      <w:pPr>
        <w:numPr>
          <w:ilvl w:val="0"/>
          <w:numId w:val="67"/>
        </w:numPr>
        <w:tabs>
          <w:tab w:val="clear" w:pos="284"/>
          <w:tab w:val="num" w:pos="600"/>
        </w:tabs>
        <w:ind w:hanging="567"/>
        <w:rPr>
          <w:del w:id="16043" w:author="AbbVie2" w:date="2025-05-14T10:25:00Z"/>
          <w:sz w:val="22"/>
          <w:szCs w:val="22"/>
        </w:rPr>
      </w:pPr>
      <w:del w:id="16044" w:author="AbbVie2" w:date="2025-05-14T10:25:00Z">
        <w:r w:rsidRPr="008912CF">
          <w:rPr>
            <w:sz w:val="22"/>
            <w:szCs w:val="22"/>
          </w:rPr>
          <w:delText>inchaço;</w:delText>
        </w:r>
      </w:del>
    </w:p>
    <w:p w14:paraId="52E751D7" w14:textId="1B70AC81" w:rsidR="004462A0" w:rsidRPr="008912CF" w:rsidRDefault="00615769" w:rsidP="004462A0">
      <w:pPr>
        <w:numPr>
          <w:ilvl w:val="0"/>
          <w:numId w:val="67"/>
        </w:numPr>
        <w:tabs>
          <w:tab w:val="clear" w:pos="284"/>
          <w:tab w:val="num" w:pos="600"/>
        </w:tabs>
        <w:ind w:hanging="567"/>
        <w:rPr>
          <w:del w:id="16045" w:author="AbbVie2" w:date="2025-05-14T10:25:00Z"/>
          <w:sz w:val="22"/>
          <w:szCs w:val="22"/>
        </w:rPr>
      </w:pPr>
      <w:del w:id="16046" w:author="AbbVie2" w:date="2025-05-14T10:25:00Z">
        <w:r w:rsidRPr="008912CF">
          <w:rPr>
            <w:sz w:val="22"/>
            <w:szCs w:val="22"/>
          </w:rPr>
          <w:delText>febre;</w:delText>
        </w:r>
      </w:del>
    </w:p>
    <w:p w14:paraId="0F3B7D86" w14:textId="4A0B997A" w:rsidR="004462A0" w:rsidRPr="008912CF" w:rsidRDefault="00615769" w:rsidP="004462A0">
      <w:pPr>
        <w:numPr>
          <w:ilvl w:val="0"/>
          <w:numId w:val="67"/>
        </w:numPr>
        <w:tabs>
          <w:tab w:val="clear" w:pos="284"/>
          <w:tab w:val="num" w:pos="600"/>
        </w:tabs>
        <w:ind w:hanging="567"/>
        <w:rPr>
          <w:del w:id="16047" w:author="AbbVie2" w:date="2025-05-14T10:25:00Z"/>
          <w:sz w:val="22"/>
          <w:szCs w:val="22"/>
        </w:rPr>
      </w:pPr>
      <w:del w:id="16048" w:author="AbbVie2" w:date="2025-05-14T10:25:00Z">
        <w:r w:rsidRPr="008912CF">
          <w:rPr>
            <w:sz w:val="22"/>
            <w:szCs w:val="22"/>
          </w:rPr>
          <w:delText>redução nas plaquetas sanguíneas aumentando o risco de hemorragia ou de nódoas negras;</w:delText>
        </w:r>
      </w:del>
    </w:p>
    <w:p w14:paraId="784B3E0A" w14:textId="70391DA6" w:rsidR="004462A0" w:rsidRPr="008912CF" w:rsidRDefault="00615769" w:rsidP="004462A0">
      <w:pPr>
        <w:numPr>
          <w:ilvl w:val="0"/>
          <w:numId w:val="73"/>
        </w:numPr>
        <w:tabs>
          <w:tab w:val="clear" w:pos="0"/>
        </w:tabs>
        <w:ind w:left="568" w:hanging="568"/>
        <w:rPr>
          <w:del w:id="16049" w:author="AbbVie2" w:date="2025-05-14T10:25:00Z"/>
          <w:sz w:val="22"/>
          <w:szCs w:val="22"/>
        </w:rPr>
      </w:pPr>
      <w:del w:id="16050" w:author="AbbVie2" w:date="2025-05-14T10:25:00Z">
        <w:r w:rsidRPr="008912CF">
          <w:rPr>
            <w:sz w:val="22"/>
            <w:szCs w:val="22"/>
          </w:rPr>
          <w:delText>diminuição na cicatrização.</w:delText>
        </w:r>
      </w:del>
    </w:p>
    <w:p w14:paraId="799806F5" w14:textId="5A33543A" w:rsidR="004462A0" w:rsidRPr="008912CF" w:rsidRDefault="004462A0" w:rsidP="004462A0">
      <w:pPr>
        <w:rPr>
          <w:del w:id="16051" w:author="AbbVie2" w:date="2025-05-14T10:25:00Z"/>
          <w:sz w:val="22"/>
          <w:szCs w:val="22"/>
        </w:rPr>
      </w:pPr>
    </w:p>
    <w:p w14:paraId="584FD29F" w14:textId="08FAC4DF" w:rsidR="004462A0" w:rsidRPr="008912CF" w:rsidRDefault="00615769" w:rsidP="004462A0">
      <w:pPr>
        <w:rPr>
          <w:del w:id="16052" w:author="AbbVie2" w:date="2025-05-14T10:25:00Z"/>
          <w:sz w:val="22"/>
          <w:szCs w:val="22"/>
        </w:rPr>
      </w:pPr>
      <w:del w:id="16053" w:author="AbbVie2" w:date="2025-05-14T10:25:00Z">
        <w:r w:rsidRPr="008912CF">
          <w:rPr>
            <w:sz w:val="22"/>
            <w:szCs w:val="22"/>
          </w:rPr>
          <w:delText>Pouco frequentes (podem afetar até 1 em 100 pessoas)</w:delText>
        </w:r>
      </w:del>
    </w:p>
    <w:p w14:paraId="09501414" w14:textId="175F4B99" w:rsidR="004462A0" w:rsidRPr="008912CF" w:rsidRDefault="004462A0" w:rsidP="004462A0">
      <w:pPr>
        <w:rPr>
          <w:del w:id="16054" w:author="AbbVie2" w:date="2025-05-14T10:25:00Z"/>
          <w:sz w:val="22"/>
          <w:szCs w:val="22"/>
        </w:rPr>
      </w:pPr>
    </w:p>
    <w:p w14:paraId="601EEF79" w14:textId="6A878C13" w:rsidR="004462A0" w:rsidRPr="008912CF" w:rsidRDefault="00615769" w:rsidP="004462A0">
      <w:pPr>
        <w:numPr>
          <w:ilvl w:val="0"/>
          <w:numId w:val="68"/>
        </w:numPr>
        <w:tabs>
          <w:tab w:val="clear" w:pos="283"/>
          <w:tab w:val="num" w:pos="600"/>
        </w:tabs>
        <w:ind w:left="568" w:hanging="567"/>
        <w:rPr>
          <w:del w:id="16055" w:author="AbbVie2" w:date="2025-05-14T10:25:00Z"/>
          <w:sz w:val="22"/>
          <w:szCs w:val="22"/>
        </w:rPr>
      </w:pPr>
      <w:del w:id="16056" w:author="AbbVie2" w:date="2025-05-14T10:25:00Z">
        <w:r w:rsidRPr="008912CF">
          <w:rPr>
            <w:sz w:val="22"/>
            <w:szCs w:val="22"/>
          </w:rPr>
          <w:delText>infeções oportunistas (as quais incluem tuberculose e outras infeções que ocorrem quando a resistência à doença está diminuída);</w:delText>
        </w:r>
      </w:del>
    </w:p>
    <w:p w14:paraId="1DD5D53E" w14:textId="73A98BCC" w:rsidR="004462A0" w:rsidRPr="008912CF" w:rsidRDefault="00615769" w:rsidP="004462A0">
      <w:pPr>
        <w:numPr>
          <w:ilvl w:val="0"/>
          <w:numId w:val="68"/>
        </w:numPr>
        <w:tabs>
          <w:tab w:val="clear" w:pos="283"/>
          <w:tab w:val="num" w:pos="600"/>
        </w:tabs>
        <w:ind w:left="568" w:hanging="567"/>
        <w:rPr>
          <w:del w:id="16057" w:author="AbbVie2" w:date="2025-05-14T10:25:00Z"/>
          <w:sz w:val="22"/>
          <w:szCs w:val="22"/>
        </w:rPr>
      </w:pPr>
      <w:del w:id="16058" w:author="AbbVie2" w:date="2025-05-14T10:25:00Z">
        <w:r w:rsidRPr="008912CF">
          <w:rPr>
            <w:sz w:val="22"/>
            <w:szCs w:val="22"/>
          </w:rPr>
          <w:delText>infeções neurológicas (incluindo meningite viral);</w:delText>
        </w:r>
      </w:del>
    </w:p>
    <w:p w14:paraId="2F626EA9" w14:textId="22A67831" w:rsidR="004462A0" w:rsidRPr="008912CF" w:rsidRDefault="00615769" w:rsidP="004462A0">
      <w:pPr>
        <w:numPr>
          <w:ilvl w:val="0"/>
          <w:numId w:val="68"/>
        </w:numPr>
        <w:tabs>
          <w:tab w:val="clear" w:pos="283"/>
          <w:tab w:val="num" w:pos="600"/>
        </w:tabs>
        <w:ind w:left="568" w:hanging="567"/>
        <w:rPr>
          <w:del w:id="16059" w:author="AbbVie2" w:date="2025-05-14T10:25:00Z"/>
          <w:sz w:val="22"/>
          <w:szCs w:val="22"/>
        </w:rPr>
      </w:pPr>
      <w:del w:id="16060" w:author="AbbVie2" w:date="2025-05-14T10:25:00Z">
        <w:r w:rsidRPr="008912CF">
          <w:rPr>
            <w:sz w:val="22"/>
            <w:szCs w:val="22"/>
          </w:rPr>
          <w:delText>infeções oculares;</w:delText>
        </w:r>
      </w:del>
    </w:p>
    <w:p w14:paraId="6E3C19A4" w14:textId="0F3C41BC" w:rsidR="004462A0" w:rsidRPr="008912CF" w:rsidRDefault="00615769" w:rsidP="004462A0">
      <w:pPr>
        <w:numPr>
          <w:ilvl w:val="0"/>
          <w:numId w:val="68"/>
        </w:numPr>
        <w:tabs>
          <w:tab w:val="clear" w:pos="283"/>
          <w:tab w:val="num" w:pos="600"/>
        </w:tabs>
        <w:ind w:hanging="567"/>
        <w:rPr>
          <w:del w:id="16061" w:author="AbbVie2" w:date="2025-05-14T10:25:00Z"/>
          <w:sz w:val="22"/>
          <w:szCs w:val="22"/>
        </w:rPr>
      </w:pPr>
      <w:del w:id="16062" w:author="AbbVie2" w:date="2025-05-14T10:25:00Z">
        <w:r w:rsidRPr="008912CF">
          <w:rPr>
            <w:sz w:val="22"/>
            <w:szCs w:val="22"/>
          </w:rPr>
          <w:delText>infeções bacterianas;</w:delText>
        </w:r>
      </w:del>
    </w:p>
    <w:p w14:paraId="12B09707" w14:textId="7BD3E4D0" w:rsidR="004462A0" w:rsidRPr="008912CF" w:rsidRDefault="00615769" w:rsidP="004462A0">
      <w:pPr>
        <w:numPr>
          <w:ilvl w:val="0"/>
          <w:numId w:val="68"/>
        </w:numPr>
        <w:tabs>
          <w:tab w:val="clear" w:pos="283"/>
          <w:tab w:val="num" w:pos="600"/>
        </w:tabs>
        <w:ind w:hanging="567"/>
        <w:rPr>
          <w:del w:id="16063" w:author="AbbVie2" w:date="2025-05-14T10:25:00Z"/>
          <w:sz w:val="22"/>
          <w:szCs w:val="22"/>
        </w:rPr>
      </w:pPr>
      <w:del w:id="16064" w:author="AbbVie2" w:date="2025-05-14T10:25:00Z">
        <w:r w:rsidRPr="008912CF">
          <w:rPr>
            <w:sz w:val="22"/>
            <w:szCs w:val="22"/>
          </w:rPr>
          <w:delText>diverticulite (inflamação e infeção do intestino grosso);</w:delText>
        </w:r>
      </w:del>
    </w:p>
    <w:p w14:paraId="1B9E9121" w14:textId="4D5DF31E" w:rsidR="004462A0" w:rsidRPr="008912CF" w:rsidRDefault="00615769" w:rsidP="004462A0">
      <w:pPr>
        <w:numPr>
          <w:ilvl w:val="0"/>
          <w:numId w:val="68"/>
        </w:numPr>
        <w:tabs>
          <w:tab w:val="clear" w:pos="283"/>
          <w:tab w:val="num" w:pos="600"/>
        </w:tabs>
        <w:ind w:hanging="567"/>
        <w:rPr>
          <w:del w:id="16065" w:author="AbbVie2" w:date="2025-05-14T10:25:00Z"/>
          <w:sz w:val="22"/>
          <w:szCs w:val="22"/>
        </w:rPr>
      </w:pPr>
      <w:del w:id="16066" w:author="AbbVie2" w:date="2025-05-14T10:25:00Z">
        <w:r w:rsidRPr="008912CF">
          <w:rPr>
            <w:sz w:val="22"/>
            <w:szCs w:val="22"/>
          </w:rPr>
          <w:delText>cancro;</w:delText>
        </w:r>
      </w:del>
    </w:p>
    <w:p w14:paraId="2D327190" w14:textId="6F235FA0" w:rsidR="004462A0" w:rsidRPr="008912CF" w:rsidRDefault="00615769" w:rsidP="004462A0">
      <w:pPr>
        <w:numPr>
          <w:ilvl w:val="0"/>
          <w:numId w:val="68"/>
        </w:numPr>
        <w:tabs>
          <w:tab w:val="clear" w:pos="283"/>
          <w:tab w:val="num" w:pos="600"/>
        </w:tabs>
        <w:ind w:hanging="567"/>
        <w:rPr>
          <w:del w:id="16067" w:author="AbbVie2" w:date="2025-05-14T10:25:00Z"/>
          <w:sz w:val="22"/>
          <w:szCs w:val="22"/>
        </w:rPr>
      </w:pPr>
      <w:del w:id="16068" w:author="AbbVie2" w:date="2025-05-14T10:25:00Z">
        <w:r w:rsidRPr="008912CF">
          <w:rPr>
            <w:sz w:val="22"/>
            <w:szCs w:val="22"/>
          </w:rPr>
          <w:delText>cancro que afeta o sistema linfático;</w:delText>
        </w:r>
      </w:del>
    </w:p>
    <w:p w14:paraId="033B5B3C" w14:textId="359B308B" w:rsidR="004462A0" w:rsidRPr="008912CF" w:rsidRDefault="00615769" w:rsidP="004462A0">
      <w:pPr>
        <w:numPr>
          <w:ilvl w:val="0"/>
          <w:numId w:val="68"/>
        </w:numPr>
        <w:tabs>
          <w:tab w:val="clear" w:pos="283"/>
          <w:tab w:val="num" w:pos="600"/>
        </w:tabs>
        <w:ind w:hanging="567"/>
        <w:rPr>
          <w:del w:id="16069" w:author="AbbVie2" w:date="2025-05-14T10:25:00Z"/>
          <w:sz w:val="22"/>
          <w:szCs w:val="22"/>
        </w:rPr>
      </w:pPr>
      <w:del w:id="16070" w:author="AbbVie2" w:date="2025-05-14T10:25:00Z">
        <w:r w:rsidRPr="008912CF">
          <w:rPr>
            <w:sz w:val="22"/>
            <w:szCs w:val="22"/>
          </w:rPr>
          <w:delText>melanoma;</w:delText>
        </w:r>
      </w:del>
    </w:p>
    <w:p w14:paraId="1727CFEF" w14:textId="6C4ADF41" w:rsidR="004462A0" w:rsidRPr="008912CF" w:rsidRDefault="00615769" w:rsidP="004462A0">
      <w:pPr>
        <w:numPr>
          <w:ilvl w:val="0"/>
          <w:numId w:val="68"/>
        </w:numPr>
        <w:tabs>
          <w:tab w:val="clear" w:pos="283"/>
          <w:tab w:val="num" w:pos="0"/>
        </w:tabs>
        <w:ind w:hanging="566"/>
        <w:rPr>
          <w:del w:id="16071" w:author="AbbVie2" w:date="2025-05-14T10:25:00Z"/>
          <w:sz w:val="22"/>
          <w:szCs w:val="22"/>
        </w:rPr>
      </w:pPr>
      <w:del w:id="16072" w:author="AbbVie2" w:date="2025-05-14T10:25:00Z">
        <w:r w:rsidRPr="008912CF">
          <w:rPr>
            <w:sz w:val="22"/>
            <w:szCs w:val="22"/>
          </w:rPr>
          <w:delText>perturbações do sistema imunitário que podem afetar os pulmões, pele e gânglios linfáticos (apresentando-se mais frequentemente como sarcoidose);</w:delText>
        </w:r>
      </w:del>
    </w:p>
    <w:p w14:paraId="6D60D413" w14:textId="7C28FA4D" w:rsidR="004462A0" w:rsidRPr="008912CF" w:rsidRDefault="00615769" w:rsidP="004462A0">
      <w:pPr>
        <w:numPr>
          <w:ilvl w:val="0"/>
          <w:numId w:val="68"/>
        </w:numPr>
        <w:tabs>
          <w:tab w:val="clear" w:pos="283"/>
          <w:tab w:val="num" w:pos="600"/>
        </w:tabs>
        <w:ind w:hanging="567"/>
        <w:rPr>
          <w:del w:id="16073" w:author="AbbVie2" w:date="2025-05-14T10:25:00Z"/>
          <w:sz w:val="22"/>
          <w:szCs w:val="22"/>
        </w:rPr>
      </w:pPr>
      <w:del w:id="16074" w:author="AbbVie2" w:date="2025-05-14T10:25:00Z">
        <w:r w:rsidRPr="008912CF">
          <w:rPr>
            <w:sz w:val="22"/>
            <w:szCs w:val="22"/>
          </w:rPr>
          <w:delText>vasculite (inflamação dos vasos sanguíneos);</w:delText>
        </w:r>
      </w:del>
    </w:p>
    <w:p w14:paraId="36B4BBFD" w14:textId="56EDC210" w:rsidR="004462A0" w:rsidRPr="008912CF" w:rsidRDefault="00615769" w:rsidP="004462A0">
      <w:pPr>
        <w:numPr>
          <w:ilvl w:val="0"/>
          <w:numId w:val="68"/>
        </w:numPr>
        <w:tabs>
          <w:tab w:val="clear" w:pos="283"/>
          <w:tab w:val="num" w:pos="600"/>
        </w:tabs>
        <w:ind w:hanging="567"/>
        <w:rPr>
          <w:del w:id="16075" w:author="AbbVie2" w:date="2025-05-14T10:25:00Z"/>
          <w:sz w:val="22"/>
          <w:szCs w:val="22"/>
        </w:rPr>
      </w:pPr>
      <w:del w:id="16076" w:author="AbbVie2" w:date="2025-05-14T10:25:00Z">
        <w:r w:rsidRPr="008912CF">
          <w:rPr>
            <w:sz w:val="22"/>
            <w:szCs w:val="22"/>
          </w:rPr>
          <w:delText>tremor;</w:delText>
        </w:r>
      </w:del>
    </w:p>
    <w:p w14:paraId="4E9C9FB8" w14:textId="38F138DA" w:rsidR="004462A0" w:rsidRPr="008912CF" w:rsidRDefault="00615769" w:rsidP="004462A0">
      <w:pPr>
        <w:numPr>
          <w:ilvl w:val="0"/>
          <w:numId w:val="68"/>
        </w:numPr>
        <w:tabs>
          <w:tab w:val="clear" w:pos="283"/>
          <w:tab w:val="num" w:pos="600"/>
        </w:tabs>
        <w:ind w:hanging="567"/>
        <w:rPr>
          <w:del w:id="16077" w:author="AbbVie2" w:date="2025-05-14T10:25:00Z"/>
          <w:sz w:val="22"/>
          <w:szCs w:val="22"/>
        </w:rPr>
      </w:pPr>
      <w:del w:id="16078" w:author="AbbVie2" w:date="2025-05-14T10:25:00Z">
        <w:r w:rsidRPr="008912CF">
          <w:rPr>
            <w:sz w:val="22"/>
            <w:szCs w:val="22"/>
          </w:rPr>
          <w:delText>neuropatia;</w:delText>
        </w:r>
      </w:del>
    </w:p>
    <w:p w14:paraId="69A82245" w14:textId="4D7D51B0" w:rsidR="004462A0" w:rsidRPr="008912CF" w:rsidRDefault="00615769" w:rsidP="004462A0">
      <w:pPr>
        <w:numPr>
          <w:ilvl w:val="0"/>
          <w:numId w:val="68"/>
        </w:numPr>
        <w:tabs>
          <w:tab w:val="clear" w:pos="283"/>
          <w:tab w:val="num" w:pos="600"/>
        </w:tabs>
        <w:ind w:hanging="567"/>
        <w:rPr>
          <w:del w:id="16079" w:author="AbbVie2" w:date="2025-05-14T10:25:00Z"/>
          <w:sz w:val="22"/>
          <w:szCs w:val="22"/>
        </w:rPr>
      </w:pPr>
      <w:del w:id="16080" w:author="AbbVie2" w:date="2025-05-14T10:25:00Z">
        <w:r w:rsidRPr="008912CF">
          <w:rPr>
            <w:sz w:val="22"/>
            <w:szCs w:val="22"/>
          </w:rPr>
          <w:delText>AVC;</w:delText>
        </w:r>
      </w:del>
    </w:p>
    <w:p w14:paraId="72379565" w14:textId="14518625" w:rsidR="004462A0" w:rsidRPr="001E4E3E" w:rsidRDefault="00615769" w:rsidP="00F03C54">
      <w:pPr>
        <w:numPr>
          <w:ilvl w:val="0"/>
          <w:numId w:val="68"/>
        </w:numPr>
        <w:tabs>
          <w:tab w:val="clear" w:pos="283"/>
          <w:tab w:val="num" w:pos="600"/>
        </w:tabs>
        <w:ind w:hanging="567"/>
        <w:rPr>
          <w:del w:id="16081" w:author="AbbVie2" w:date="2025-05-14T10:25:00Z"/>
          <w:sz w:val="22"/>
          <w:szCs w:val="22"/>
        </w:rPr>
      </w:pPr>
      <w:del w:id="16082" w:author="AbbVie2" w:date="2025-05-14T10:25:00Z">
        <w:r w:rsidRPr="001E4E3E">
          <w:rPr>
            <w:sz w:val="22"/>
            <w:szCs w:val="22"/>
          </w:rPr>
          <w:delText>perda de audição, zumbido;</w:delText>
        </w:r>
      </w:del>
    </w:p>
    <w:p w14:paraId="596B25D9" w14:textId="427F15DB" w:rsidR="004462A0" w:rsidRPr="008912CF" w:rsidRDefault="00615769" w:rsidP="004462A0">
      <w:pPr>
        <w:numPr>
          <w:ilvl w:val="0"/>
          <w:numId w:val="68"/>
        </w:numPr>
        <w:tabs>
          <w:tab w:val="clear" w:pos="283"/>
          <w:tab w:val="num" w:pos="600"/>
        </w:tabs>
        <w:ind w:hanging="567"/>
        <w:rPr>
          <w:del w:id="16083" w:author="AbbVie2" w:date="2025-05-14T10:25:00Z"/>
          <w:sz w:val="22"/>
          <w:szCs w:val="22"/>
        </w:rPr>
      </w:pPr>
      <w:del w:id="16084" w:author="AbbVie2" w:date="2025-05-14T10:25:00Z">
        <w:r w:rsidRPr="008912CF">
          <w:rPr>
            <w:sz w:val="22"/>
            <w:szCs w:val="22"/>
          </w:rPr>
          <w:delText>sensação de batimento irregular do coração tal como palpitações;</w:delText>
        </w:r>
      </w:del>
    </w:p>
    <w:p w14:paraId="7E97CDDF" w14:textId="7518B9D4" w:rsidR="004462A0" w:rsidRPr="008912CF" w:rsidRDefault="00615769" w:rsidP="004462A0">
      <w:pPr>
        <w:numPr>
          <w:ilvl w:val="0"/>
          <w:numId w:val="68"/>
        </w:numPr>
        <w:tabs>
          <w:tab w:val="clear" w:pos="283"/>
          <w:tab w:val="num" w:pos="600"/>
        </w:tabs>
        <w:ind w:hanging="567"/>
        <w:rPr>
          <w:del w:id="16085" w:author="AbbVie2" w:date="2025-05-14T10:25:00Z"/>
          <w:sz w:val="22"/>
          <w:szCs w:val="22"/>
        </w:rPr>
      </w:pPr>
      <w:del w:id="16086" w:author="AbbVie2" w:date="2025-05-14T10:25:00Z">
        <w:r w:rsidRPr="008912CF">
          <w:rPr>
            <w:sz w:val="22"/>
            <w:szCs w:val="22"/>
          </w:rPr>
          <w:delText>problemas no coração que podem causar falta de ar ou inchaço nos tornozelos;</w:delText>
        </w:r>
      </w:del>
    </w:p>
    <w:p w14:paraId="20C1CE43" w14:textId="5516E4CD" w:rsidR="004462A0" w:rsidRPr="008912CF" w:rsidRDefault="00615769" w:rsidP="004462A0">
      <w:pPr>
        <w:numPr>
          <w:ilvl w:val="0"/>
          <w:numId w:val="68"/>
        </w:numPr>
        <w:tabs>
          <w:tab w:val="clear" w:pos="283"/>
          <w:tab w:val="num" w:pos="600"/>
        </w:tabs>
        <w:ind w:hanging="567"/>
        <w:rPr>
          <w:del w:id="16087" w:author="AbbVie2" w:date="2025-05-14T10:25:00Z"/>
          <w:sz w:val="22"/>
          <w:szCs w:val="22"/>
        </w:rPr>
      </w:pPr>
      <w:del w:id="16088" w:author="AbbVie2" w:date="2025-05-14T10:25:00Z">
        <w:r w:rsidRPr="008912CF">
          <w:rPr>
            <w:sz w:val="22"/>
            <w:szCs w:val="22"/>
          </w:rPr>
          <w:delText>ataque cardíaco;</w:delText>
        </w:r>
      </w:del>
    </w:p>
    <w:p w14:paraId="4612A9B2" w14:textId="42FFBB92" w:rsidR="004462A0" w:rsidRPr="008912CF" w:rsidRDefault="00615769" w:rsidP="004462A0">
      <w:pPr>
        <w:numPr>
          <w:ilvl w:val="0"/>
          <w:numId w:val="68"/>
        </w:numPr>
        <w:tabs>
          <w:tab w:val="clear" w:pos="283"/>
          <w:tab w:val="num" w:pos="600"/>
        </w:tabs>
        <w:ind w:hanging="567"/>
        <w:rPr>
          <w:del w:id="16089" w:author="AbbVie2" w:date="2025-05-14T10:25:00Z"/>
          <w:sz w:val="22"/>
          <w:szCs w:val="22"/>
        </w:rPr>
      </w:pPr>
      <w:del w:id="16090" w:author="AbbVie2" w:date="2025-05-14T10:25:00Z">
        <w:r w:rsidRPr="008912CF">
          <w:rPr>
            <w:sz w:val="22"/>
            <w:szCs w:val="22"/>
          </w:rPr>
          <w:delText>quisto na parede de uma artéria maior, inflamação e coágulo de uma veia, bloqueio de um vaso sanguíneo;</w:delText>
        </w:r>
      </w:del>
    </w:p>
    <w:p w14:paraId="5504E4D5" w14:textId="0B608CFE" w:rsidR="004462A0" w:rsidRPr="008912CF" w:rsidRDefault="00615769" w:rsidP="004462A0">
      <w:pPr>
        <w:numPr>
          <w:ilvl w:val="0"/>
          <w:numId w:val="68"/>
        </w:numPr>
        <w:tabs>
          <w:tab w:val="clear" w:pos="283"/>
          <w:tab w:val="num" w:pos="600"/>
        </w:tabs>
        <w:ind w:hanging="567"/>
        <w:rPr>
          <w:del w:id="16091" w:author="AbbVie2" w:date="2025-05-14T10:25:00Z"/>
          <w:sz w:val="22"/>
          <w:szCs w:val="22"/>
        </w:rPr>
      </w:pPr>
      <w:del w:id="16092" w:author="AbbVie2" w:date="2025-05-14T10:25:00Z">
        <w:r w:rsidRPr="008912CF">
          <w:rPr>
            <w:sz w:val="22"/>
            <w:szCs w:val="22"/>
          </w:rPr>
          <w:delText>doenças pulmonares causando falta de ar (incluindo inflamação);</w:delText>
        </w:r>
      </w:del>
    </w:p>
    <w:p w14:paraId="37CBB10C" w14:textId="6A3DFA04" w:rsidR="004462A0" w:rsidRPr="008912CF" w:rsidRDefault="00615769" w:rsidP="004462A0">
      <w:pPr>
        <w:numPr>
          <w:ilvl w:val="0"/>
          <w:numId w:val="68"/>
        </w:numPr>
        <w:tabs>
          <w:tab w:val="clear" w:pos="283"/>
          <w:tab w:val="num" w:pos="600"/>
        </w:tabs>
        <w:ind w:hanging="567"/>
        <w:rPr>
          <w:del w:id="16093" w:author="AbbVie2" w:date="2025-05-14T10:25:00Z"/>
          <w:sz w:val="22"/>
          <w:szCs w:val="22"/>
        </w:rPr>
      </w:pPr>
      <w:del w:id="16094" w:author="AbbVie2" w:date="2025-05-14T10:25:00Z">
        <w:r w:rsidRPr="008912CF">
          <w:rPr>
            <w:sz w:val="22"/>
            <w:szCs w:val="22"/>
          </w:rPr>
          <w:delText>emboli</w:delText>
        </w:r>
        <w:r w:rsidR="003E3AA9">
          <w:rPr>
            <w:sz w:val="22"/>
            <w:szCs w:val="22"/>
          </w:rPr>
          <w:delText>a</w:delText>
        </w:r>
        <w:r w:rsidRPr="008912CF">
          <w:rPr>
            <w:sz w:val="22"/>
            <w:szCs w:val="22"/>
          </w:rPr>
          <w:delText xml:space="preserve"> pulmonar (bloqueio de uma artéria </w:delText>
        </w:r>
        <w:r w:rsidR="00F840DB">
          <w:rPr>
            <w:sz w:val="22"/>
            <w:szCs w:val="22"/>
          </w:rPr>
          <w:delText>no pulmão</w:delText>
        </w:r>
        <w:r w:rsidRPr="008912CF">
          <w:rPr>
            <w:sz w:val="22"/>
            <w:szCs w:val="22"/>
          </w:rPr>
          <w:delText>);</w:delText>
        </w:r>
      </w:del>
    </w:p>
    <w:p w14:paraId="1C53E1E4" w14:textId="224AA8C5" w:rsidR="004462A0" w:rsidRPr="008912CF" w:rsidRDefault="00615769" w:rsidP="004462A0">
      <w:pPr>
        <w:numPr>
          <w:ilvl w:val="0"/>
          <w:numId w:val="68"/>
        </w:numPr>
        <w:tabs>
          <w:tab w:val="clear" w:pos="283"/>
          <w:tab w:val="num" w:pos="600"/>
        </w:tabs>
        <w:ind w:hanging="567"/>
        <w:rPr>
          <w:del w:id="16095" w:author="AbbVie2" w:date="2025-05-14T10:25:00Z"/>
          <w:sz w:val="22"/>
          <w:szCs w:val="22"/>
        </w:rPr>
      </w:pPr>
      <w:del w:id="16096" w:author="AbbVie2" w:date="2025-05-14T10:25:00Z">
        <w:r w:rsidRPr="008912CF">
          <w:rPr>
            <w:sz w:val="22"/>
            <w:szCs w:val="22"/>
          </w:rPr>
          <w:delText>derrame pleural (acumulação anormal de líquido no espaço pleural);</w:delText>
        </w:r>
      </w:del>
    </w:p>
    <w:p w14:paraId="590DBB12" w14:textId="24DF425D" w:rsidR="004462A0" w:rsidRPr="008912CF" w:rsidRDefault="00615769" w:rsidP="004462A0">
      <w:pPr>
        <w:numPr>
          <w:ilvl w:val="0"/>
          <w:numId w:val="68"/>
        </w:numPr>
        <w:tabs>
          <w:tab w:val="clear" w:pos="283"/>
          <w:tab w:val="num" w:pos="600"/>
        </w:tabs>
        <w:ind w:hanging="567"/>
        <w:rPr>
          <w:del w:id="16097" w:author="AbbVie2" w:date="2025-05-14T10:25:00Z"/>
          <w:sz w:val="22"/>
          <w:szCs w:val="22"/>
        </w:rPr>
      </w:pPr>
      <w:del w:id="16098" w:author="AbbVie2" w:date="2025-05-14T10:25:00Z">
        <w:r w:rsidRPr="008912CF">
          <w:rPr>
            <w:sz w:val="22"/>
            <w:szCs w:val="22"/>
          </w:rPr>
          <w:delText>inflamação do pâncreas que causa dor grave no abdómen e costas;</w:delText>
        </w:r>
      </w:del>
    </w:p>
    <w:p w14:paraId="7ECE9A2C" w14:textId="6E22F7B0" w:rsidR="004462A0" w:rsidRPr="008912CF" w:rsidRDefault="00615769" w:rsidP="004462A0">
      <w:pPr>
        <w:numPr>
          <w:ilvl w:val="0"/>
          <w:numId w:val="68"/>
        </w:numPr>
        <w:tabs>
          <w:tab w:val="clear" w:pos="283"/>
          <w:tab w:val="num" w:pos="600"/>
        </w:tabs>
        <w:ind w:hanging="567"/>
        <w:rPr>
          <w:del w:id="16099" w:author="AbbVie2" w:date="2025-05-14T10:25:00Z"/>
          <w:sz w:val="22"/>
          <w:szCs w:val="22"/>
        </w:rPr>
      </w:pPr>
      <w:del w:id="16100" w:author="AbbVie2" w:date="2025-05-14T10:25:00Z">
        <w:r w:rsidRPr="008912CF">
          <w:rPr>
            <w:sz w:val="22"/>
            <w:szCs w:val="22"/>
          </w:rPr>
          <w:delText>dificuldade em engolir;</w:delText>
        </w:r>
      </w:del>
    </w:p>
    <w:p w14:paraId="56FD74C2" w14:textId="62FEEACB" w:rsidR="004462A0" w:rsidRPr="008912CF" w:rsidRDefault="00615769" w:rsidP="004462A0">
      <w:pPr>
        <w:numPr>
          <w:ilvl w:val="0"/>
          <w:numId w:val="68"/>
        </w:numPr>
        <w:tabs>
          <w:tab w:val="clear" w:pos="283"/>
          <w:tab w:val="num" w:pos="600"/>
        </w:tabs>
        <w:ind w:hanging="567"/>
        <w:rPr>
          <w:del w:id="16101" w:author="AbbVie2" w:date="2025-05-14T10:25:00Z"/>
          <w:sz w:val="22"/>
          <w:szCs w:val="22"/>
        </w:rPr>
      </w:pPr>
      <w:del w:id="16102" w:author="AbbVie2" w:date="2025-05-14T10:25:00Z">
        <w:r w:rsidRPr="008912CF">
          <w:rPr>
            <w:sz w:val="22"/>
            <w:szCs w:val="22"/>
          </w:rPr>
          <w:delText>edema facial;</w:delText>
        </w:r>
      </w:del>
    </w:p>
    <w:p w14:paraId="54750A2C" w14:textId="6A06AB65" w:rsidR="004462A0" w:rsidRPr="008912CF" w:rsidRDefault="00615769" w:rsidP="004462A0">
      <w:pPr>
        <w:numPr>
          <w:ilvl w:val="0"/>
          <w:numId w:val="68"/>
        </w:numPr>
        <w:tabs>
          <w:tab w:val="clear" w:pos="283"/>
          <w:tab w:val="num" w:pos="600"/>
        </w:tabs>
        <w:ind w:hanging="567"/>
        <w:rPr>
          <w:del w:id="16103" w:author="AbbVie2" w:date="2025-05-14T10:25:00Z"/>
          <w:sz w:val="22"/>
          <w:szCs w:val="22"/>
        </w:rPr>
      </w:pPr>
      <w:del w:id="16104" w:author="AbbVie2" w:date="2025-05-14T10:25:00Z">
        <w:r w:rsidRPr="008912CF">
          <w:rPr>
            <w:sz w:val="22"/>
            <w:szCs w:val="22"/>
          </w:rPr>
          <w:delText xml:space="preserve">inflamação da vesícula, pedra na vesícula; </w:delText>
        </w:r>
      </w:del>
    </w:p>
    <w:p w14:paraId="29140FB4" w14:textId="5D6853FB" w:rsidR="004462A0" w:rsidRPr="008912CF" w:rsidRDefault="00615769" w:rsidP="004462A0">
      <w:pPr>
        <w:numPr>
          <w:ilvl w:val="0"/>
          <w:numId w:val="68"/>
        </w:numPr>
        <w:tabs>
          <w:tab w:val="clear" w:pos="283"/>
          <w:tab w:val="num" w:pos="600"/>
        </w:tabs>
        <w:ind w:hanging="567"/>
        <w:rPr>
          <w:del w:id="16105" w:author="AbbVie2" w:date="2025-05-14T10:25:00Z"/>
          <w:sz w:val="22"/>
          <w:szCs w:val="22"/>
        </w:rPr>
      </w:pPr>
      <w:del w:id="16106" w:author="AbbVie2" w:date="2025-05-14T10:25:00Z">
        <w:r w:rsidRPr="008912CF">
          <w:rPr>
            <w:sz w:val="22"/>
            <w:szCs w:val="22"/>
          </w:rPr>
          <w:delText>fígado gordo;</w:delText>
        </w:r>
      </w:del>
    </w:p>
    <w:p w14:paraId="01AB3E71" w14:textId="44D82B5C" w:rsidR="004462A0" w:rsidRPr="008912CF" w:rsidRDefault="00615769" w:rsidP="004462A0">
      <w:pPr>
        <w:numPr>
          <w:ilvl w:val="0"/>
          <w:numId w:val="68"/>
        </w:numPr>
        <w:tabs>
          <w:tab w:val="clear" w:pos="283"/>
          <w:tab w:val="num" w:pos="600"/>
        </w:tabs>
        <w:ind w:hanging="567"/>
        <w:rPr>
          <w:del w:id="16107" w:author="AbbVie2" w:date="2025-05-14T10:25:00Z"/>
          <w:sz w:val="22"/>
          <w:szCs w:val="22"/>
        </w:rPr>
      </w:pPr>
      <w:del w:id="16108" w:author="AbbVie2" w:date="2025-05-14T10:25:00Z">
        <w:r w:rsidRPr="008912CF">
          <w:rPr>
            <w:sz w:val="22"/>
            <w:szCs w:val="22"/>
          </w:rPr>
          <w:delText>suores noturnos;</w:delText>
        </w:r>
      </w:del>
    </w:p>
    <w:p w14:paraId="2187248F" w14:textId="2049CEB7" w:rsidR="004462A0" w:rsidRPr="008912CF" w:rsidRDefault="00615769" w:rsidP="004462A0">
      <w:pPr>
        <w:numPr>
          <w:ilvl w:val="0"/>
          <w:numId w:val="68"/>
        </w:numPr>
        <w:tabs>
          <w:tab w:val="clear" w:pos="283"/>
          <w:tab w:val="num" w:pos="600"/>
        </w:tabs>
        <w:ind w:hanging="567"/>
        <w:rPr>
          <w:del w:id="16109" w:author="AbbVie2" w:date="2025-05-14T10:25:00Z"/>
          <w:sz w:val="22"/>
          <w:szCs w:val="22"/>
        </w:rPr>
      </w:pPr>
      <w:del w:id="16110" w:author="AbbVie2" w:date="2025-05-14T10:25:00Z">
        <w:r w:rsidRPr="008912CF">
          <w:rPr>
            <w:sz w:val="22"/>
            <w:szCs w:val="22"/>
          </w:rPr>
          <w:delText>escaras;</w:delText>
        </w:r>
      </w:del>
    </w:p>
    <w:p w14:paraId="58923B92" w14:textId="7950082D" w:rsidR="004462A0" w:rsidRPr="008912CF" w:rsidRDefault="00615769" w:rsidP="004462A0">
      <w:pPr>
        <w:numPr>
          <w:ilvl w:val="0"/>
          <w:numId w:val="68"/>
        </w:numPr>
        <w:tabs>
          <w:tab w:val="clear" w:pos="283"/>
          <w:tab w:val="num" w:pos="600"/>
        </w:tabs>
        <w:ind w:hanging="567"/>
        <w:rPr>
          <w:del w:id="16111" w:author="AbbVie2" w:date="2025-05-14T10:25:00Z"/>
          <w:sz w:val="22"/>
          <w:szCs w:val="22"/>
        </w:rPr>
      </w:pPr>
      <w:del w:id="16112" w:author="AbbVie2" w:date="2025-05-14T10:25:00Z">
        <w:r w:rsidRPr="008912CF">
          <w:rPr>
            <w:sz w:val="22"/>
            <w:szCs w:val="22"/>
          </w:rPr>
          <w:delText>colapso muscular anormal;</w:delText>
        </w:r>
      </w:del>
    </w:p>
    <w:p w14:paraId="7D0434AA" w14:textId="4A8A4597" w:rsidR="004462A0" w:rsidRPr="008912CF" w:rsidRDefault="00615769" w:rsidP="004462A0">
      <w:pPr>
        <w:numPr>
          <w:ilvl w:val="0"/>
          <w:numId w:val="68"/>
        </w:numPr>
        <w:tabs>
          <w:tab w:val="clear" w:pos="283"/>
          <w:tab w:val="num" w:pos="600"/>
        </w:tabs>
        <w:ind w:hanging="567"/>
        <w:rPr>
          <w:del w:id="16113" w:author="AbbVie2" w:date="2025-05-14T10:25:00Z"/>
          <w:sz w:val="22"/>
          <w:szCs w:val="22"/>
        </w:rPr>
      </w:pPr>
      <w:del w:id="16114" w:author="AbbVie2" w:date="2025-05-14T10:25:00Z">
        <w:r w:rsidRPr="008912CF">
          <w:rPr>
            <w:sz w:val="22"/>
            <w:szCs w:val="22"/>
          </w:rPr>
          <w:delText>lúpus eritematoso sistémico (incluindo inflamação da pele, coração, pulmão, articulações e outros</w:delText>
        </w:r>
        <w:r w:rsidR="00CC20F9">
          <w:rPr>
            <w:sz w:val="22"/>
            <w:szCs w:val="22"/>
          </w:rPr>
          <w:delText xml:space="preserve"> sistemas de</w:delText>
        </w:r>
        <w:r w:rsidRPr="008912CF">
          <w:rPr>
            <w:sz w:val="22"/>
            <w:szCs w:val="22"/>
          </w:rPr>
          <w:delText xml:space="preserve"> órgãos);</w:delText>
        </w:r>
      </w:del>
    </w:p>
    <w:p w14:paraId="25655BCA" w14:textId="50ADE896" w:rsidR="004462A0" w:rsidRPr="008912CF" w:rsidRDefault="00615769" w:rsidP="004462A0">
      <w:pPr>
        <w:numPr>
          <w:ilvl w:val="0"/>
          <w:numId w:val="68"/>
        </w:numPr>
        <w:tabs>
          <w:tab w:val="clear" w:pos="283"/>
          <w:tab w:val="num" w:pos="600"/>
        </w:tabs>
        <w:ind w:hanging="567"/>
        <w:rPr>
          <w:del w:id="16115" w:author="AbbVie2" w:date="2025-05-14T10:25:00Z"/>
          <w:sz w:val="22"/>
          <w:szCs w:val="22"/>
        </w:rPr>
      </w:pPr>
      <w:del w:id="16116" w:author="AbbVie2" w:date="2025-05-14T10:25:00Z">
        <w:r w:rsidRPr="008912CF">
          <w:rPr>
            <w:sz w:val="22"/>
            <w:szCs w:val="22"/>
          </w:rPr>
          <w:delText>interrupções de sono;</w:delText>
        </w:r>
      </w:del>
    </w:p>
    <w:p w14:paraId="3C7F1BF1" w14:textId="0C25C471" w:rsidR="004462A0" w:rsidRPr="008912CF" w:rsidRDefault="00615769" w:rsidP="004462A0">
      <w:pPr>
        <w:numPr>
          <w:ilvl w:val="0"/>
          <w:numId w:val="68"/>
        </w:numPr>
        <w:tabs>
          <w:tab w:val="clear" w:pos="283"/>
          <w:tab w:val="num" w:pos="600"/>
        </w:tabs>
        <w:ind w:hanging="567"/>
        <w:rPr>
          <w:del w:id="16117" w:author="AbbVie2" w:date="2025-05-14T10:25:00Z"/>
          <w:sz w:val="22"/>
          <w:szCs w:val="22"/>
        </w:rPr>
      </w:pPr>
      <w:del w:id="16118" w:author="AbbVie2" w:date="2025-05-14T10:25:00Z">
        <w:r w:rsidRPr="008912CF">
          <w:rPr>
            <w:sz w:val="22"/>
            <w:szCs w:val="22"/>
          </w:rPr>
          <w:delText>impotência;</w:delText>
        </w:r>
      </w:del>
    </w:p>
    <w:p w14:paraId="735FB1EE" w14:textId="001B43F0" w:rsidR="004462A0" w:rsidRPr="008912CF" w:rsidRDefault="00615769" w:rsidP="004462A0">
      <w:pPr>
        <w:numPr>
          <w:ilvl w:val="0"/>
          <w:numId w:val="74"/>
        </w:numPr>
        <w:tabs>
          <w:tab w:val="clear" w:pos="0"/>
        </w:tabs>
        <w:ind w:left="568" w:hanging="568"/>
        <w:rPr>
          <w:del w:id="16119" w:author="AbbVie2" w:date="2025-05-14T10:25:00Z"/>
          <w:sz w:val="22"/>
          <w:szCs w:val="22"/>
        </w:rPr>
      </w:pPr>
      <w:del w:id="16120" w:author="AbbVie2" w:date="2025-05-14T10:25:00Z">
        <w:r w:rsidRPr="008912CF">
          <w:rPr>
            <w:sz w:val="22"/>
            <w:szCs w:val="22"/>
          </w:rPr>
          <w:delText>inflamações.</w:delText>
        </w:r>
      </w:del>
    </w:p>
    <w:p w14:paraId="3939FF4F" w14:textId="3109FF31" w:rsidR="004462A0" w:rsidRPr="008912CF" w:rsidRDefault="004462A0" w:rsidP="004462A0">
      <w:pPr>
        <w:ind w:left="568" w:hanging="568"/>
        <w:rPr>
          <w:del w:id="16121" w:author="AbbVie2" w:date="2025-05-14T10:25:00Z"/>
          <w:sz w:val="22"/>
          <w:szCs w:val="22"/>
        </w:rPr>
      </w:pPr>
    </w:p>
    <w:p w14:paraId="01043951" w14:textId="12ACC559" w:rsidR="004462A0" w:rsidRPr="008912CF" w:rsidRDefault="00615769" w:rsidP="004462A0">
      <w:pPr>
        <w:ind w:left="568" w:hanging="568"/>
        <w:rPr>
          <w:del w:id="16122" w:author="AbbVie2" w:date="2025-05-14T10:25:00Z"/>
          <w:sz w:val="22"/>
          <w:szCs w:val="22"/>
        </w:rPr>
      </w:pPr>
      <w:del w:id="16123" w:author="AbbVie2" w:date="2025-05-14T10:25:00Z">
        <w:r w:rsidRPr="008912CF">
          <w:rPr>
            <w:sz w:val="22"/>
            <w:szCs w:val="22"/>
          </w:rPr>
          <w:delText>Raros (podem afetar até 1 em 1.000 pessoas)</w:delText>
        </w:r>
      </w:del>
    </w:p>
    <w:p w14:paraId="1A179412" w14:textId="091BA467" w:rsidR="004462A0" w:rsidRPr="008912CF" w:rsidRDefault="004462A0" w:rsidP="004462A0">
      <w:pPr>
        <w:ind w:left="568" w:hanging="568"/>
        <w:rPr>
          <w:del w:id="16124" w:author="AbbVie2" w:date="2025-05-14T10:25:00Z"/>
          <w:sz w:val="22"/>
          <w:szCs w:val="22"/>
        </w:rPr>
      </w:pPr>
    </w:p>
    <w:p w14:paraId="1598407F" w14:textId="0C71DE69" w:rsidR="004462A0" w:rsidRPr="008912CF" w:rsidRDefault="00615769" w:rsidP="00636825">
      <w:pPr>
        <w:numPr>
          <w:ilvl w:val="0"/>
          <w:numId w:val="68"/>
        </w:numPr>
        <w:tabs>
          <w:tab w:val="clear" w:pos="283"/>
          <w:tab w:val="num" w:pos="600"/>
        </w:tabs>
        <w:ind w:hanging="567"/>
        <w:rPr>
          <w:del w:id="16125" w:author="AbbVie2" w:date="2025-05-14T10:25:00Z"/>
          <w:sz w:val="22"/>
          <w:szCs w:val="22"/>
        </w:rPr>
      </w:pPr>
      <w:del w:id="16126" w:author="AbbVie2" w:date="2025-05-14T10:25:00Z">
        <w:r w:rsidRPr="008912CF">
          <w:rPr>
            <w:sz w:val="22"/>
            <w:szCs w:val="22"/>
          </w:rPr>
          <w:delText>leucemia (cancro que afeta o sangue e a medula óssea);</w:delText>
        </w:r>
      </w:del>
    </w:p>
    <w:p w14:paraId="0CEF11D5" w14:textId="24F2A9ED" w:rsidR="004462A0" w:rsidRPr="008912CF" w:rsidRDefault="00615769" w:rsidP="00636825">
      <w:pPr>
        <w:numPr>
          <w:ilvl w:val="0"/>
          <w:numId w:val="68"/>
        </w:numPr>
        <w:tabs>
          <w:tab w:val="clear" w:pos="283"/>
          <w:tab w:val="num" w:pos="600"/>
        </w:tabs>
        <w:ind w:hanging="567"/>
        <w:rPr>
          <w:del w:id="16127" w:author="AbbVie2" w:date="2025-05-14T10:25:00Z"/>
          <w:sz w:val="22"/>
          <w:szCs w:val="22"/>
        </w:rPr>
      </w:pPr>
      <w:del w:id="16128" w:author="AbbVie2" w:date="2025-05-14T10:25:00Z">
        <w:r w:rsidRPr="008912CF">
          <w:rPr>
            <w:sz w:val="22"/>
            <w:szCs w:val="22"/>
          </w:rPr>
          <w:delText>reação alérgica grave com choque;</w:delText>
        </w:r>
      </w:del>
    </w:p>
    <w:p w14:paraId="4A8BD15D" w14:textId="69386A3B" w:rsidR="004462A0" w:rsidRPr="008912CF" w:rsidRDefault="00615769" w:rsidP="00636825">
      <w:pPr>
        <w:numPr>
          <w:ilvl w:val="0"/>
          <w:numId w:val="68"/>
        </w:numPr>
        <w:tabs>
          <w:tab w:val="clear" w:pos="283"/>
          <w:tab w:val="num" w:pos="600"/>
        </w:tabs>
        <w:ind w:hanging="567"/>
        <w:rPr>
          <w:del w:id="16129" w:author="AbbVie2" w:date="2025-05-14T10:25:00Z"/>
          <w:sz w:val="22"/>
          <w:szCs w:val="22"/>
        </w:rPr>
      </w:pPr>
      <w:del w:id="16130" w:author="AbbVie2" w:date="2025-05-14T10:25:00Z">
        <w:r w:rsidRPr="008912CF">
          <w:rPr>
            <w:sz w:val="22"/>
            <w:szCs w:val="22"/>
          </w:rPr>
          <w:delText>esclerose múltipla;</w:delText>
        </w:r>
      </w:del>
    </w:p>
    <w:p w14:paraId="70EBA8B9" w14:textId="046FAEBC" w:rsidR="004462A0" w:rsidRPr="008912CF" w:rsidRDefault="00615769" w:rsidP="00636825">
      <w:pPr>
        <w:numPr>
          <w:ilvl w:val="0"/>
          <w:numId w:val="68"/>
        </w:numPr>
        <w:tabs>
          <w:tab w:val="clear" w:pos="283"/>
          <w:tab w:val="num" w:pos="600"/>
        </w:tabs>
        <w:ind w:hanging="567"/>
        <w:rPr>
          <w:del w:id="16131" w:author="AbbVie2" w:date="2025-05-14T10:25:00Z"/>
          <w:sz w:val="22"/>
          <w:szCs w:val="22"/>
        </w:rPr>
      </w:pPr>
      <w:del w:id="16132" w:author="AbbVie2" w:date="2025-05-14T10:25:00Z">
        <w:r w:rsidRPr="008912CF">
          <w:rPr>
            <w:sz w:val="22"/>
            <w:szCs w:val="22"/>
          </w:rPr>
          <w:delText>alterações neurológicas (tais como inflamação do nervo ocular e síndrome de Guillain-Barré que pode causar fraqueza muscular, sensações anormais, formigueiro nos braços e na parte superior do corpo);</w:delText>
        </w:r>
      </w:del>
    </w:p>
    <w:p w14:paraId="1BB4B1C0" w14:textId="4A7CC786" w:rsidR="004462A0" w:rsidRPr="008912CF" w:rsidRDefault="00615769" w:rsidP="00636825">
      <w:pPr>
        <w:numPr>
          <w:ilvl w:val="0"/>
          <w:numId w:val="68"/>
        </w:numPr>
        <w:tabs>
          <w:tab w:val="clear" w:pos="283"/>
          <w:tab w:val="num" w:pos="600"/>
        </w:tabs>
        <w:ind w:hanging="567"/>
        <w:rPr>
          <w:del w:id="16133" w:author="AbbVie2" w:date="2025-05-14T10:25:00Z"/>
          <w:sz w:val="22"/>
          <w:szCs w:val="22"/>
        </w:rPr>
      </w:pPr>
      <w:del w:id="16134" w:author="AbbVie2" w:date="2025-05-14T10:25:00Z">
        <w:r w:rsidRPr="008912CF">
          <w:rPr>
            <w:sz w:val="22"/>
            <w:szCs w:val="22"/>
          </w:rPr>
          <w:delText>o coração deixa de bombear;</w:delText>
        </w:r>
      </w:del>
    </w:p>
    <w:p w14:paraId="7E13E5FE" w14:textId="6F9BBA79" w:rsidR="004462A0" w:rsidRPr="008912CF" w:rsidRDefault="00615769" w:rsidP="00636825">
      <w:pPr>
        <w:numPr>
          <w:ilvl w:val="0"/>
          <w:numId w:val="68"/>
        </w:numPr>
        <w:tabs>
          <w:tab w:val="clear" w:pos="283"/>
          <w:tab w:val="num" w:pos="600"/>
        </w:tabs>
        <w:ind w:hanging="567"/>
        <w:rPr>
          <w:del w:id="16135" w:author="AbbVie2" w:date="2025-05-14T10:25:00Z"/>
          <w:sz w:val="22"/>
          <w:szCs w:val="22"/>
        </w:rPr>
      </w:pPr>
      <w:del w:id="16136" w:author="AbbVie2" w:date="2025-05-14T10:25:00Z">
        <w:r w:rsidRPr="008912CF">
          <w:rPr>
            <w:sz w:val="22"/>
            <w:szCs w:val="22"/>
          </w:rPr>
          <w:delText>fibrose pulmonar (cicatrizes no pulmão);</w:delText>
        </w:r>
      </w:del>
    </w:p>
    <w:p w14:paraId="5C6B39E8" w14:textId="73D47CE9" w:rsidR="004462A0" w:rsidRPr="008912CF" w:rsidRDefault="00615769" w:rsidP="00636825">
      <w:pPr>
        <w:numPr>
          <w:ilvl w:val="0"/>
          <w:numId w:val="68"/>
        </w:numPr>
        <w:tabs>
          <w:tab w:val="clear" w:pos="283"/>
          <w:tab w:val="num" w:pos="600"/>
        </w:tabs>
        <w:ind w:hanging="567"/>
        <w:rPr>
          <w:del w:id="16137" w:author="AbbVie2" w:date="2025-05-14T10:25:00Z"/>
          <w:sz w:val="22"/>
          <w:szCs w:val="22"/>
        </w:rPr>
      </w:pPr>
      <w:del w:id="16138" w:author="AbbVie2" w:date="2025-05-14T10:25:00Z">
        <w:r w:rsidRPr="008912CF">
          <w:rPr>
            <w:sz w:val="22"/>
            <w:szCs w:val="22"/>
          </w:rPr>
          <w:delText>perfuração intestinal;</w:delText>
        </w:r>
      </w:del>
    </w:p>
    <w:p w14:paraId="18996435" w14:textId="6EB848E2" w:rsidR="004462A0" w:rsidRPr="008912CF" w:rsidRDefault="00615769" w:rsidP="00636825">
      <w:pPr>
        <w:numPr>
          <w:ilvl w:val="0"/>
          <w:numId w:val="68"/>
        </w:numPr>
        <w:tabs>
          <w:tab w:val="clear" w:pos="283"/>
          <w:tab w:val="num" w:pos="600"/>
        </w:tabs>
        <w:ind w:hanging="567"/>
        <w:rPr>
          <w:del w:id="16139" w:author="AbbVie2" w:date="2025-05-14T10:25:00Z"/>
          <w:sz w:val="22"/>
          <w:szCs w:val="22"/>
        </w:rPr>
      </w:pPr>
      <w:del w:id="16140" w:author="AbbVie2" w:date="2025-05-14T10:25:00Z">
        <w:r w:rsidRPr="008912CF">
          <w:rPr>
            <w:sz w:val="22"/>
            <w:szCs w:val="22"/>
          </w:rPr>
          <w:delText>hepatite;</w:delText>
        </w:r>
      </w:del>
    </w:p>
    <w:p w14:paraId="4FA60072" w14:textId="217BEC39" w:rsidR="004462A0" w:rsidRPr="008912CF" w:rsidRDefault="00615769" w:rsidP="00636825">
      <w:pPr>
        <w:numPr>
          <w:ilvl w:val="0"/>
          <w:numId w:val="68"/>
        </w:numPr>
        <w:tabs>
          <w:tab w:val="clear" w:pos="283"/>
          <w:tab w:val="num" w:pos="600"/>
        </w:tabs>
        <w:ind w:hanging="567"/>
        <w:rPr>
          <w:del w:id="16141" w:author="AbbVie2" w:date="2025-05-14T10:25:00Z"/>
          <w:sz w:val="22"/>
          <w:szCs w:val="22"/>
        </w:rPr>
      </w:pPr>
      <w:del w:id="16142" w:author="AbbVie2" w:date="2025-05-14T10:25:00Z">
        <w:r w:rsidRPr="008912CF">
          <w:rPr>
            <w:sz w:val="22"/>
            <w:szCs w:val="22"/>
          </w:rPr>
          <w:delText>reativação da hepatite B;</w:delText>
        </w:r>
      </w:del>
    </w:p>
    <w:p w14:paraId="2E6C0249" w14:textId="785622E7" w:rsidR="004462A0" w:rsidRPr="005307A8" w:rsidRDefault="00615769" w:rsidP="00636825">
      <w:pPr>
        <w:numPr>
          <w:ilvl w:val="0"/>
          <w:numId w:val="68"/>
        </w:numPr>
        <w:tabs>
          <w:tab w:val="clear" w:pos="283"/>
          <w:tab w:val="num" w:pos="600"/>
        </w:tabs>
        <w:ind w:hanging="567"/>
        <w:rPr>
          <w:del w:id="16143" w:author="AbbVie2" w:date="2025-05-14T10:25:00Z"/>
          <w:szCs w:val="22"/>
        </w:rPr>
      </w:pPr>
      <w:del w:id="16144" w:author="AbbVie2" w:date="2025-05-14T10:25:00Z">
        <w:r w:rsidRPr="00636825">
          <w:rPr>
            <w:sz w:val="22"/>
            <w:szCs w:val="22"/>
          </w:rPr>
          <w:delText>hepatite autoimune (inflamação do fígado causada pelo próprio sistema imunitário do corpo);</w:delText>
        </w:r>
      </w:del>
    </w:p>
    <w:p w14:paraId="00A08171" w14:textId="7B170B41" w:rsidR="004462A0" w:rsidRPr="008912CF" w:rsidRDefault="00615769" w:rsidP="00636825">
      <w:pPr>
        <w:numPr>
          <w:ilvl w:val="0"/>
          <w:numId w:val="68"/>
        </w:numPr>
        <w:tabs>
          <w:tab w:val="clear" w:pos="283"/>
          <w:tab w:val="num" w:pos="600"/>
        </w:tabs>
        <w:ind w:hanging="567"/>
        <w:rPr>
          <w:del w:id="16145" w:author="AbbVie2" w:date="2025-05-14T10:25:00Z"/>
          <w:sz w:val="22"/>
          <w:szCs w:val="22"/>
        </w:rPr>
      </w:pPr>
      <w:del w:id="16146" w:author="AbbVie2" w:date="2025-05-14T10:25:00Z">
        <w:r w:rsidRPr="008912CF">
          <w:rPr>
            <w:sz w:val="22"/>
            <w:szCs w:val="22"/>
          </w:rPr>
          <w:delText>vasculite cutânea (inflamação dos vasos sanguíneos da pele);</w:delText>
        </w:r>
      </w:del>
    </w:p>
    <w:p w14:paraId="28927424" w14:textId="2CE7AFF3" w:rsidR="004462A0" w:rsidRPr="008912CF" w:rsidRDefault="00615769" w:rsidP="00636825">
      <w:pPr>
        <w:numPr>
          <w:ilvl w:val="0"/>
          <w:numId w:val="68"/>
        </w:numPr>
        <w:tabs>
          <w:tab w:val="clear" w:pos="283"/>
          <w:tab w:val="num" w:pos="600"/>
        </w:tabs>
        <w:ind w:hanging="567"/>
        <w:rPr>
          <w:del w:id="16147" w:author="AbbVie2" w:date="2025-05-14T10:25:00Z"/>
          <w:sz w:val="22"/>
          <w:szCs w:val="22"/>
        </w:rPr>
      </w:pPr>
      <w:del w:id="16148" w:author="AbbVie2" w:date="2025-05-14T10:25:00Z">
        <w:r w:rsidRPr="008912CF">
          <w:rPr>
            <w:sz w:val="22"/>
            <w:szCs w:val="22"/>
          </w:rPr>
          <w:delText>síndrome de Stevens-Johnson (sintomas iniciais incluindo indisposição, febre, dor de cabeça e erupção cutânea);</w:delText>
        </w:r>
      </w:del>
    </w:p>
    <w:p w14:paraId="157E4360" w14:textId="2BBD04FA" w:rsidR="004462A0" w:rsidRPr="008912CF" w:rsidRDefault="00615769" w:rsidP="00636825">
      <w:pPr>
        <w:numPr>
          <w:ilvl w:val="0"/>
          <w:numId w:val="68"/>
        </w:numPr>
        <w:tabs>
          <w:tab w:val="clear" w:pos="283"/>
          <w:tab w:val="num" w:pos="600"/>
        </w:tabs>
        <w:ind w:hanging="567"/>
        <w:rPr>
          <w:del w:id="16149" w:author="AbbVie2" w:date="2025-05-14T10:25:00Z"/>
          <w:sz w:val="22"/>
          <w:szCs w:val="22"/>
        </w:rPr>
      </w:pPr>
      <w:del w:id="16150" w:author="AbbVie2" w:date="2025-05-14T10:25:00Z">
        <w:r w:rsidRPr="008912CF">
          <w:rPr>
            <w:sz w:val="22"/>
            <w:szCs w:val="22"/>
          </w:rPr>
          <w:delText>edema facial associado com reações alérgicas;</w:delText>
        </w:r>
      </w:del>
    </w:p>
    <w:p w14:paraId="27EB84FE" w14:textId="03C0E803" w:rsidR="004462A0" w:rsidRPr="008912CF" w:rsidRDefault="00615769" w:rsidP="00636825">
      <w:pPr>
        <w:numPr>
          <w:ilvl w:val="0"/>
          <w:numId w:val="68"/>
        </w:numPr>
        <w:tabs>
          <w:tab w:val="clear" w:pos="283"/>
          <w:tab w:val="num" w:pos="600"/>
        </w:tabs>
        <w:ind w:hanging="567"/>
        <w:rPr>
          <w:del w:id="16151" w:author="AbbVie2" w:date="2025-05-14T10:25:00Z"/>
          <w:sz w:val="22"/>
          <w:szCs w:val="22"/>
        </w:rPr>
      </w:pPr>
      <w:del w:id="16152" w:author="AbbVie2" w:date="2025-05-14T10:25:00Z">
        <w:r w:rsidRPr="008912CF">
          <w:rPr>
            <w:sz w:val="22"/>
            <w:szCs w:val="22"/>
          </w:rPr>
          <w:delText>eritema multiforme (erupção cutânea inflamatória);</w:delText>
        </w:r>
      </w:del>
    </w:p>
    <w:p w14:paraId="1159CE91" w14:textId="2A7C87F2" w:rsidR="001E4E3E" w:rsidRDefault="00615769" w:rsidP="00636825">
      <w:pPr>
        <w:numPr>
          <w:ilvl w:val="0"/>
          <w:numId w:val="68"/>
        </w:numPr>
        <w:tabs>
          <w:tab w:val="clear" w:pos="283"/>
          <w:tab w:val="num" w:pos="600"/>
        </w:tabs>
        <w:ind w:hanging="567"/>
        <w:rPr>
          <w:del w:id="16153" w:author="AbbVie2" w:date="2025-05-14T10:25:00Z"/>
          <w:sz w:val="22"/>
          <w:szCs w:val="22"/>
        </w:rPr>
      </w:pPr>
      <w:del w:id="16154" w:author="AbbVie2" w:date="2025-05-14T10:25:00Z">
        <w:r w:rsidRPr="008912CF">
          <w:rPr>
            <w:sz w:val="22"/>
            <w:szCs w:val="22"/>
          </w:rPr>
          <w:delText>síndrome tipo lúpus</w:delText>
        </w:r>
        <w:r>
          <w:rPr>
            <w:sz w:val="22"/>
            <w:szCs w:val="22"/>
          </w:rPr>
          <w:delText>;</w:delText>
        </w:r>
      </w:del>
    </w:p>
    <w:p w14:paraId="3D565B0B" w14:textId="5D14BB74" w:rsidR="004462A0" w:rsidRDefault="00615769" w:rsidP="00636825">
      <w:pPr>
        <w:numPr>
          <w:ilvl w:val="0"/>
          <w:numId w:val="68"/>
        </w:numPr>
        <w:tabs>
          <w:tab w:val="clear" w:pos="283"/>
          <w:tab w:val="num" w:pos="600"/>
        </w:tabs>
        <w:ind w:hanging="567"/>
        <w:rPr>
          <w:del w:id="16155" w:author="AbbVie2" w:date="2025-05-14T10:25:00Z"/>
          <w:sz w:val="22"/>
          <w:szCs w:val="22"/>
        </w:rPr>
      </w:pPr>
      <w:del w:id="16156" w:author="AbbVie2" w:date="2025-05-14T10:25:00Z">
        <w:r>
          <w:rPr>
            <w:sz w:val="22"/>
            <w:szCs w:val="22"/>
          </w:rPr>
          <w:delText>angiodema (inchaço localizado da pele)</w:delText>
        </w:r>
        <w:r w:rsidR="00433BBF">
          <w:rPr>
            <w:sz w:val="22"/>
            <w:szCs w:val="22"/>
          </w:rPr>
          <w:delText>;</w:delText>
        </w:r>
      </w:del>
    </w:p>
    <w:p w14:paraId="34EF8655" w14:textId="6D43A7B0" w:rsidR="00983778" w:rsidRPr="008912CF" w:rsidRDefault="00615769" w:rsidP="00636825">
      <w:pPr>
        <w:numPr>
          <w:ilvl w:val="0"/>
          <w:numId w:val="68"/>
        </w:numPr>
        <w:tabs>
          <w:tab w:val="clear" w:pos="283"/>
          <w:tab w:val="num" w:pos="600"/>
        </w:tabs>
        <w:ind w:hanging="567"/>
        <w:rPr>
          <w:del w:id="16157" w:author="AbbVie2" w:date="2025-05-14T10:25:00Z"/>
          <w:sz w:val="22"/>
          <w:szCs w:val="22"/>
        </w:rPr>
      </w:pPr>
      <w:del w:id="16158" w:author="AbbVie2" w:date="2025-05-14T10:25:00Z">
        <w:r>
          <w:rPr>
            <w:sz w:val="22"/>
            <w:szCs w:val="22"/>
          </w:rPr>
          <w:delText>reação cutânea liquenoide (</w:delText>
        </w:r>
        <w:r w:rsidRPr="00D84E4E">
          <w:rPr>
            <w:sz w:val="22"/>
            <w:szCs w:val="22"/>
          </w:rPr>
          <w:delText xml:space="preserve">erupção </w:delText>
        </w:r>
        <w:r>
          <w:rPr>
            <w:sz w:val="22"/>
            <w:szCs w:val="22"/>
          </w:rPr>
          <w:delText>na pele</w:delText>
        </w:r>
        <w:r w:rsidRPr="00D84E4E">
          <w:rPr>
            <w:sz w:val="22"/>
            <w:szCs w:val="22"/>
          </w:rPr>
          <w:delText xml:space="preserve"> vermelho-púrpura com comichão)</w:delText>
        </w:r>
        <w:r>
          <w:rPr>
            <w:sz w:val="22"/>
            <w:szCs w:val="22"/>
          </w:rPr>
          <w:delText>.</w:delText>
        </w:r>
      </w:del>
    </w:p>
    <w:p w14:paraId="6401380E" w14:textId="5784F410" w:rsidR="004462A0" w:rsidRPr="008912CF" w:rsidRDefault="004462A0" w:rsidP="004462A0">
      <w:pPr>
        <w:rPr>
          <w:del w:id="16159" w:author="AbbVie2" w:date="2025-05-14T10:25:00Z"/>
          <w:sz w:val="22"/>
          <w:szCs w:val="22"/>
        </w:rPr>
      </w:pPr>
    </w:p>
    <w:p w14:paraId="1DD04E60" w14:textId="519C7EBE" w:rsidR="004462A0" w:rsidRPr="008912CF" w:rsidRDefault="00615769" w:rsidP="004462A0">
      <w:pPr>
        <w:rPr>
          <w:del w:id="16160" w:author="AbbVie2" w:date="2025-05-14T10:25:00Z"/>
          <w:sz w:val="22"/>
          <w:szCs w:val="22"/>
        </w:rPr>
      </w:pPr>
      <w:del w:id="16161" w:author="AbbVie2" w:date="2025-05-14T10:25:00Z">
        <w:r w:rsidRPr="008912CF">
          <w:rPr>
            <w:sz w:val="22"/>
            <w:szCs w:val="22"/>
          </w:rPr>
          <w:delText>Desconhecido (a frequência não pode ser calculada a partir dos dados disponíveis)</w:delText>
        </w:r>
      </w:del>
    </w:p>
    <w:p w14:paraId="5B5B71D2" w14:textId="7BB715A3" w:rsidR="004462A0" w:rsidRPr="008912CF" w:rsidRDefault="004462A0" w:rsidP="004462A0">
      <w:pPr>
        <w:rPr>
          <w:del w:id="16162" w:author="AbbVie2" w:date="2025-05-14T10:25:00Z"/>
          <w:sz w:val="22"/>
          <w:szCs w:val="22"/>
        </w:rPr>
      </w:pPr>
    </w:p>
    <w:p w14:paraId="5E2A60ED" w14:textId="7E01722B" w:rsidR="004462A0" w:rsidRPr="008912CF" w:rsidRDefault="00615769" w:rsidP="00636825">
      <w:pPr>
        <w:numPr>
          <w:ilvl w:val="0"/>
          <w:numId w:val="68"/>
        </w:numPr>
        <w:tabs>
          <w:tab w:val="clear" w:pos="283"/>
          <w:tab w:val="num" w:pos="600"/>
        </w:tabs>
        <w:ind w:hanging="567"/>
        <w:rPr>
          <w:del w:id="16163" w:author="AbbVie2" w:date="2025-05-14T10:25:00Z"/>
          <w:sz w:val="22"/>
          <w:szCs w:val="22"/>
        </w:rPr>
      </w:pPr>
      <w:del w:id="16164" w:author="AbbVie2" w:date="2025-05-14T10:25:00Z">
        <w:r w:rsidRPr="008912CF">
          <w:rPr>
            <w:sz w:val="22"/>
            <w:szCs w:val="22"/>
          </w:rPr>
          <w:delText>linfoma hepatoesplénico de linfócitos T (um raro cancro de sangue que muitas vezes é fatal);</w:delText>
        </w:r>
      </w:del>
    </w:p>
    <w:p w14:paraId="1AD5438F" w14:textId="5F32C34C" w:rsidR="004462A0" w:rsidRDefault="00615769" w:rsidP="00636825">
      <w:pPr>
        <w:numPr>
          <w:ilvl w:val="0"/>
          <w:numId w:val="68"/>
        </w:numPr>
        <w:tabs>
          <w:tab w:val="clear" w:pos="283"/>
          <w:tab w:val="num" w:pos="600"/>
        </w:tabs>
        <w:ind w:hanging="567"/>
        <w:rPr>
          <w:del w:id="16165" w:author="AbbVie2" w:date="2025-05-14T10:25:00Z"/>
          <w:sz w:val="22"/>
          <w:szCs w:val="22"/>
        </w:rPr>
      </w:pPr>
      <w:del w:id="16166" w:author="AbbVie2" w:date="2025-05-14T10:25:00Z">
        <w:r w:rsidRPr="008912CF">
          <w:rPr>
            <w:sz w:val="22"/>
            <w:szCs w:val="22"/>
          </w:rPr>
          <w:delText>carcinoma de células de Merkel (um tipo de cancro de pele);</w:delText>
        </w:r>
      </w:del>
    </w:p>
    <w:p w14:paraId="028D882A" w14:textId="11BCB500" w:rsidR="00A06FA4" w:rsidRPr="008912CF" w:rsidRDefault="00615769" w:rsidP="00636825">
      <w:pPr>
        <w:numPr>
          <w:ilvl w:val="0"/>
          <w:numId w:val="68"/>
        </w:numPr>
        <w:tabs>
          <w:tab w:val="clear" w:pos="283"/>
          <w:tab w:val="num" w:pos="600"/>
        </w:tabs>
        <w:ind w:hanging="567"/>
        <w:rPr>
          <w:del w:id="16167" w:author="AbbVie2" w:date="2025-05-14T10:25:00Z"/>
          <w:sz w:val="22"/>
          <w:szCs w:val="22"/>
        </w:rPr>
      </w:pPr>
      <w:del w:id="16168" w:author="AbbVie2" w:date="2025-05-14T10:25:00Z">
        <w:r>
          <w:rPr>
            <w:sz w:val="22"/>
            <w:szCs w:val="22"/>
          </w:rPr>
          <w:delText>s</w:delText>
        </w:r>
        <w:r w:rsidRPr="006819E5">
          <w:rPr>
            <w:sz w:val="22"/>
            <w:szCs w:val="22"/>
          </w:rPr>
          <w:delText>arcoma de Kaposi, um cancro raro relacionado com a infeção pelo vírus herpes humano 8. O sarcoma de Kaposi aparece mais frequentemente na forma de lesões cutâneas de cor púrpura</w:delText>
        </w:r>
        <w:r>
          <w:rPr>
            <w:sz w:val="22"/>
            <w:szCs w:val="22"/>
          </w:rPr>
          <w:delText>;</w:delText>
        </w:r>
      </w:del>
    </w:p>
    <w:p w14:paraId="0AAD641D" w14:textId="1E74B753" w:rsidR="004462A0" w:rsidRPr="008912CF" w:rsidRDefault="00615769" w:rsidP="00636825">
      <w:pPr>
        <w:numPr>
          <w:ilvl w:val="0"/>
          <w:numId w:val="68"/>
        </w:numPr>
        <w:tabs>
          <w:tab w:val="clear" w:pos="283"/>
          <w:tab w:val="num" w:pos="600"/>
        </w:tabs>
        <w:ind w:hanging="567"/>
        <w:rPr>
          <w:del w:id="16169" w:author="AbbVie2" w:date="2025-05-14T10:25:00Z"/>
          <w:sz w:val="22"/>
          <w:szCs w:val="22"/>
        </w:rPr>
      </w:pPr>
      <w:del w:id="16170" w:author="AbbVie2" w:date="2025-05-14T10:25:00Z">
        <w:r w:rsidRPr="008912CF">
          <w:rPr>
            <w:sz w:val="22"/>
            <w:szCs w:val="22"/>
          </w:rPr>
          <w:delText xml:space="preserve">insuficiência hepática; </w:delText>
        </w:r>
      </w:del>
    </w:p>
    <w:p w14:paraId="38E67080" w14:textId="59C866D8" w:rsidR="007A4E33" w:rsidRDefault="00615769" w:rsidP="007A4E33">
      <w:pPr>
        <w:pStyle w:val="ListParagraph"/>
        <w:numPr>
          <w:ilvl w:val="0"/>
          <w:numId w:val="114"/>
        </w:numPr>
        <w:ind w:left="567" w:hanging="567"/>
        <w:rPr>
          <w:del w:id="16171" w:author="AbbVie2" w:date="2025-05-14T10:25:00Z"/>
          <w:sz w:val="22"/>
          <w:szCs w:val="22"/>
        </w:rPr>
      </w:pPr>
      <w:del w:id="16172" w:author="AbbVie2" w:date="2025-05-14T10:25:00Z">
        <w:r w:rsidRPr="008912CF">
          <w:rPr>
            <w:sz w:val="22"/>
            <w:szCs w:val="22"/>
          </w:rPr>
          <w:delText>agravamento de uma doença chamada dermatomiosite (que corresponde a uma erupção cutânea acompanhada de fraqueza muscular)</w:delText>
        </w:r>
        <w:r>
          <w:rPr>
            <w:sz w:val="22"/>
            <w:szCs w:val="22"/>
          </w:rPr>
          <w:delText>;</w:delText>
        </w:r>
        <w:r w:rsidRPr="007A4E33">
          <w:rPr>
            <w:sz w:val="22"/>
            <w:szCs w:val="22"/>
          </w:rPr>
          <w:delText xml:space="preserve"> </w:delText>
        </w:r>
      </w:del>
    </w:p>
    <w:p w14:paraId="7B769F4D" w14:textId="71F3B94C" w:rsidR="004462A0" w:rsidRPr="00A10CE1" w:rsidRDefault="00615769" w:rsidP="00A10CE1">
      <w:pPr>
        <w:pStyle w:val="ListParagraph"/>
        <w:numPr>
          <w:ilvl w:val="0"/>
          <w:numId w:val="114"/>
        </w:numPr>
        <w:ind w:left="567" w:hanging="567"/>
        <w:rPr>
          <w:del w:id="16173" w:author="AbbVie2" w:date="2025-05-14T10:25:00Z"/>
          <w:sz w:val="22"/>
          <w:szCs w:val="22"/>
        </w:rPr>
      </w:pPr>
      <w:del w:id="16174" w:author="AbbVie2" w:date="2025-05-14T10:25:00Z">
        <w:r>
          <w:rPr>
            <w:sz w:val="22"/>
            <w:szCs w:val="22"/>
          </w:rPr>
          <w:delText>a</w:delText>
        </w:r>
        <w:r w:rsidRPr="007A4E33">
          <w:rPr>
            <w:sz w:val="22"/>
            <w:szCs w:val="22"/>
          </w:rPr>
          <w:delText>umento de peso (para a maioria dos doentes, o aumento de peso foi pequeno)</w:delText>
        </w:r>
        <w:r w:rsidRPr="00A10CE1">
          <w:rPr>
            <w:sz w:val="22"/>
            <w:szCs w:val="22"/>
          </w:rPr>
          <w:delText>.</w:delText>
        </w:r>
      </w:del>
    </w:p>
    <w:p w14:paraId="10CA4277" w14:textId="2E1893DE" w:rsidR="004462A0" w:rsidRPr="008912CF" w:rsidRDefault="004462A0" w:rsidP="004462A0">
      <w:pPr>
        <w:rPr>
          <w:del w:id="16175" w:author="AbbVie2" w:date="2025-05-14T10:25:00Z"/>
          <w:sz w:val="22"/>
          <w:szCs w:val="22"/>
        </w:rPr>
      </w:pPr>
    </w:p>
    <w:p w14:paraId="3A647B84" w14:textId="77B98A5B" w:rsidR="004462A0" w:rsidRPr="008912CF" w:rsidRDefault="00615769" w:rsidP="004462A0">
      <w:pPr>
        <w:rPr>
          <w:del w:id="16176" w:author="AbbVie2" w:date="2025-05-14T10:25:00Z"/>
          <w:sz w:val="22"/>
          <w:szCs w:val="22"/>
        </w:rPr>
      </w:pPr>
      <w:del w:id="16177" w:author="AbbVie2" w:date="2025-05-14T10:25:00Z">
        <w:r w:rsidRPr="008912CF">
          <w:rPr>
            <w:sz w:val="22"/>
            <w:szCs w:val="22"/>
          </w:rPr>
          <w:delText xml:space="preserve">Alguns efeitos </w:delText>
        </w:r>
        <w:r w:rsidR="00571C82">
          <w:rPr>
            <w:sz w:val="22"/>
            <w:szCs w:val="22"/>
          </w:rPr>
          <w:delText>indesejáveis</w:delText>
        </w:r>
        <w:r w:rsidRPr="008912CF">
          <w:rPr>
            <w:sz w:val="22"/>
            <w:szCs w:val="22"/>
          </w:rPr>
          <w:delText xml:space="preserve"> observados com Humira podem não ter sintomas e só podem ser identificados através de análises ao sangue. Estes incluem:</w:delText>
        </w:r>
      </w:del>
    </w:p>
    <w:p w14:paraId="3BE337D7" w14:textId="23FDC51D" w:rsidR="004462A0" w:rsidRPr="008912CF" w:rsidRDefault="004462A0" w:rsidP="004462A0">
      <w:pPr>
        <w:rPr>
          <w:del w:id="16178" w:author="AbbVie2" w:date="2025-05-14T10:25:00Z"/>
          <w:sz w:val="22"/>
          <w:szCs w:val="22"/>
        </w:rPr>
      </w:pPr>
    </w:p>
    <w:p w14:paraId="16E2187C" w14:textId="1229F192" w:rsidR="004462A0" w:rsidRPr="008912CF" w:rsidRDefault="00615769" w:rsidP="004462A0">
      <w:pPr>
        <w:rPr>
          <w:del w:id="16179" w:author="AbbVie2" w:date="2025-05-14T10:25:00Z"/>
          <w:sz w:val="22"/>
          <w:szCs w:val="22"/>
        </w:rPr>
      </w:pPr>
      <w:del w:id="16180" w:author="AbbVie2" w:date="2025-05-14T10:25:00Z">
        <w:r w:rsidRPr="008912CF">
          <w:rPr>
            <w:sz w:val="22"/>
            <w:szCs w:val="22"/>
          </w:rPr>
          <w:delText>Muito frequentes (podem afetar mais de 1 em 10 pessoas)</w:delText>
        </w:r>
      </w:del>
    </w:p>
    <w:p w14:paraId="7AD21DAB" w14:textId="6E253764" w:rsidR="004462A0" w:rsidRPr="008912CF" w:rsidRDefault="004462A0" w:rsidP="004462A0">
      <w:pPr>
        <w:rPr>
          <w:del w:id="16181" w:author="AbbVie2" w:date="2025-05-14T10:25:00Z"/>
          <w:sz w:val="22"/>
          <w:szCs w:val="22"/>
        </w:rPr>
      </w:pPr>
    </w:p>
    <w:p w14:paraId="69C9140B" w14:textId="188719BE" w:rsidR="004462A0" w:rsidRPr="008912CF" w:rsidRDefault="00615769" w:rsidP="00636825">
      <w:pPr>
        <w:numPr>
          <w:ilvl w:val="0"/>
          <w:numId w:val="68"/>
        </w:numPr>
        <w:tabs>
          <w:tab w:val="clear" w:pos="283"/>
          <w:tab w:val="num" w:pos="600"/>
        </w:tabs>
        <w:ind w:hanging="567"/>
        <w:rPr>
          <w:del w:id="16182" w:author="AbbVie2" w:date="2025-05-14T10:25:00Z"/>
          <w:sz w:val="22"/>
          <w:szCs w:val="22"/>
        </w:rPr>
      </w:pPr>
      <w:del w:id="16183" w:author="AbbVie2" w:date="2025-05-14T10:25:00Z">
        <w:r w:rsidRPr="008912CF">
          <w:rPr>
            <w:sz w:val="22"/>
            <w:szCs w:val="22"/>
          </w:rPr>
          <w:delText xml:space="preserve">contagem diminuída dos glóbulos brancos; </w:delText>
        </w:r>
      </w:del>
    </w:p>
    <w:p w14:paraId="6212CBA0" w14:textId="3BA342FE" w:rsidR="004462A0" w:rsidRPr="008912CF" w:rsidRDefault="00615769" w:rsidP="00636825">
      <w:pPr>
        <w:numPr>
          <w:ilvl w:val="0"/>
          <w:numId w:val="68"/>
        </w:numPr>
        <w:tabs>
          <w:tab w:val="clear" w:pos="283"/>
          <w:tab w:val="num" w:pos="600"/>
        </w:tabs>
        <w:ind w:hanging="567"/>
        <w:rPr>
          <w:del w:id="16184" w:author="AbbVie2" w:date="2025-05-14T10:25:00Z"/>
          <w:sz w:val="22"/>
          <w:szCs w:val="22"/>
        </w:rPr>
      </w:pPr>
      <w:del w:id="16185" w:author="AbbVie2" w:date="2025-05-14T10:25:00Z">
        <w:r w:rsidRPr="008912CF">
          <w:rPr>
            <w:sz w:val="22"/>
            <w:szCs w:val="22"/>
          </w:rPr>
          <w:delText>contagem diminuída dos glóbulos vermelhos;</w:delText>
        </w:r>
      </w:del>
    </w:p>
    <w:p w14:paraId="061AACF8" w14:textId="232F69FA" w:rsidR="004462A0" w:rsidRPr="008912CF" w:rsidRDefault="00615769" w:rsidP="00636825">
      <w:pPr>
        <w:numPr>
          <w:ilvl w:val="0"/>
          <w:numId w:val="68"/>
        </w:numPr>
        <w:tabs>
          <w:tab w:val="clear" w:pos="283"/>
          <w:tab w:val="num" w:pos="600"/>
        </w:tabs>
        <w:ind w:hanging="567"/>
        <w:rPr>
          <w:del w:id="16186" w:author="AbbVie2" w:date="2025-05-14T10:25:00Z"/>
          <w:sz w:val="22"/>
          <w:szCs w:val="22"/>
        </w:rPr>
      </w:pPr>
      <w:del w:id="16187" w:author="AbbVie2" w:date="2025-05-14T10:25:00Z">
        <w:r w:rsidRPr="008912CF">
          <w:rPr>
            <w:sz w:val="22"/>
            <w:szCs w:val="22"/>
          </w:rPr>
          <w:delText>aumento dos lípidos no sangue;</w:delText>
        </w:r>
      </w:del>
    </w:p>
    <w:p w14:paraId="486A5287" w14:textId="6AAFE137" w:rsidR="004462A0" w:rsidRPr="008912CF" w:rsidRDefault="00615769" w:rsidP="00636825">
      <w:pPr>
        <w:numPr>
          <w:ilvl w:val="0"/>
          <w:numId w:val="68"/>
        </w:numPr>
        <w:tabs>
          <w:tab w:val="clear" w:pos="283"/>
          <w:tab w:val="num" w:pos="600"/>
        </w:tabs>
        <w:ind w:hanging="567"/>
        <w:rPr>
          <w:del w:id="16188" w:author="AbbVie2" w:date="2025-05-14T10:25:00Z"/>
          <w:sz w:val="22"/>
          <w:szCs w:val="22"/>
        </w:rPr>
      </w:pPr>
      <w:del w:id="16189" w:author="AbbVie2" w:date="2025-05-14T10:25:00Z">
        <w:r w:rsidRPr="008912CF">
          <w:rPr>
            <w:sz w:val="22"/>
            <w:szCs w:val="22"/>
          </w:rPr>
          <w:delText>aumento das enzimas hepáticas.</w:delText>
        </w:r>
      </w:del>
    </w:p>
    <w:p w14:paraId="31ECD3DE" w14:textId="785FE30E" w:rsidR="004462A0" w:rsidRPr="008912CF" w:rsidRDefault="004462A0" w:rsidP="004462A0">
      <w:pPr>
        <w:rPr>
          <w:del w:id="16190" w:author="AbbVie2" w:date="2025-05-14T10:25:00Z"/>
          <w:sz w:val="22"/>
          <w:szCs w:val="22"/>
        </w:rPr>
      </w:pPr>
    </w:p>
    <w:p w14:paraId="6588C8C8" w14:textId="542246FB" w:rsidR="004462A0" w:rsidRPr="008912CF" w:rsidRDefault="00615769" w:rsidP="004462A0">
      <w:pPr>
        <w:keepNext/>
        <w:rPr>
          <w:del w:id="16191" w:author="AbbVie2" w:date="2025-05-14T10:25:00Z"/>
          <w:sz w:val="22"/>
          <w:szCs w:val="22"/>
        </w:rPr>
      </w:pPr>
      <w:del w:id="16192" w:author="AbbVie2" w:date="2025-05-14T10:25:00Z">
        <w:r w:rsidRPr="008912CF">
          <w:rPr>
            <w:sz w:val="22"/>
            <w:szCs w:val="22"/>
          </w:rPr>
          <w:delText>Frequentes (podem afetar até 1 em 10 pessoas)</w:delText>
        </w:r>
      </w:del>
    </w:p>
    <w:p w14:paraId="4B8B9864" w14:textId="4209FA3A" w:rsidR="004462A0" w:rsidRPr="008912CF" w:rsidRDefault="004462A0" w:rsidP="004462A0">
      <w:pPr>
        <w:keepNext/>
        <w:rPr>
          <w:del w:id="16193" w:author="AbbVie2" w:date="2025-05-14T10:25:00Z"/>
          <w:sz w:val="22"/>
          <w:szCs w:val="22"/>
        </w:rPr>
      </w:pPr>
    </w:p>
    <w:p w14:paraId="45621835" w14:textId="62FFDBA4" w:rsidR="004462A0" w:rsidRPr="008912CF" w:rsidRDefault="00615769" w:rsidP="004462A0">
      <w:pPr>
        <w:keepNext/>
        <w:numPr>
          <w:ilvl w:val="0"/>
          <w:numId w:val="69"/>
        </w:numPr>
        <w:tabs>
          <w:tab w:val="clear" w:pos="0"/>
        </w:tabs>
        <w:ind w:left="568" w:hanging="568"/>
        <w:rPr>
          <w:del w:id="16194" w:author="AbbVie2" w:date="2025-05-14T10:25:00Z"/>
          <w:sz w:val="22"/>
          <w:szCs w:val="22"/>
        </w:rPr>
      </w:pPr>
      <w:del w:id="16195" w:author="AbbVie2" w:date="2025-05-14T10:25:00Z">
        <w:r w:rsidRPr="008912CF">
          <w:rPr>
            <w:sz w:val="22"/>
            <w:szCs w:val="22"/>
          </w:rPr>
          <w:delText>contagem aumentada dos glóbulos brancos;</w:delText>
        </w:r>
      </w:del>
    </w:p>
    <w:p w14:paraId="5F4787F6" w14:textId="0D1BC807" w:rsidR="004462A0" w:rsidRPr="008912CF" w:rsidRDefault="00615769" w:rsidP="004462A0">
      <w:pPr>
        <w:keepNext/>
        <w:numPr>
          <w:ilvl w:val="0"/>
          <w:numId w:val="69"/>
        </w:numPr>
        <w:tabs>
          <w:tab w:val="clear" w:pos="0"/>
        </w:tabs>
        <w:ind w:left="568" w:hanging="568"/>
        <w:rPr>
          <w:del w:id="16196" w:author="AbbVie2" w:date="2025-05-14T10:25:00Z"/>
          <w:sz w:val="22"/>
          <w:szCs w:val="22"/>
        </w:rPr>
      </w:pPr>
      <w:del w:id="16197" w:author="AbbVie2" w:date="2025-05-14T10:25:00Z">
        <w:r w:rsidRPr="008912CF">
          <w:rPr>
            <w:sz w:val="22"/>
            <w:szCs w:val="22"/>
          </w:rPr>
          <w:delText>contagem diminuída das plaquetas;</w:delText>
        </w:r>
      </w:del>
    </w:p>
    <w:p w14:paraId="5637D8FC" w14:textId="7CEDB18A" w:rsidR="004462A0" w:rsidRPr="008912CF" w:rsidRDefault="00615769" w:rsidP="004462A0">
      <w:pPr>
        <w:keepNext/>
        <w:numPr>
          <w:ilvl w:val="0"/>
          <w:numId w:val="69"/>
        </w:numPr>
        <w:tabs>
          <w:tab w:val="clear" w:pos="0"/>
        </w:tabs>
        <w:ind w:left="568" w:hanging="568"/>
        <w:rPr>
          <w:del w:id="16198" w:author="AbbVie2" w:date="2025-05-14T10:25:00Z"/>
          <w:sz w:val="22"/>
          <w:szCs w:val="22"/>
        </w:rPr>
      </w:pPr>
      <w:del w:id="16199" w:author="AbbVie2" w:date="2025-05-14T10:25:00Z">
        <w:r w:rsidRPr="008912CF">
          <w:rPr>
            <w:sz w:val="22"/>
            <w:szCs w:val="22"/>
          </w:rPr>
          <w:delText>aumento de ácido úrico no sangue;</w:delText>
        </w:r>
      </w:del>
    </w:p>
    <w:p w14:paraId="378C159D" w14:textId="1748E610" w:rsidR="004462A0" w:rsidRPr="008912CF" w:rsidRDefault="00615769" w:rsidP="004462A0">
      <w:pPr>
        <w:keepNext/>
        <w:numPr>
          <w:ilvl w:val="0"/>
          <w:numId w:val="69"/>
        </w:numPr>
        <w:tabs>
          <w:tab w:val="clear" w:pos="0"/>
        </w:tabs>
        <w:ind w:left="568" w:hanging="568"/>
        <w:rPr>
          <w:del w:id="16200" w:author="AbbVie2" w:date="2025-05-14T10:25:00Z"/>
          <w:sz w:val="22"/>
          <w:szCs w:val="22"/>
        </w:rPr>
      </w:pPr>
      <w:del w:id="16201" w:author="AbbVie2" w:date="2025-05-14T10:25:00Z">
        <w:r w:rsidRPr="008912CF">
          <w:rPr>
            <w:sz w:val="22"/>
            <w:szCs w:val="22"/>
          </w:rPr>
          <w:delText>contagem anormal de sódio no sangue;</w:delText>
        </w:r>
      </w:del>
    </w:p>
    <w:p w14:paraId="1425E840" w14:textId="60B0BAED" w:rsidR="004462A0" w:rsidRPr="008912CF" w:rsidRDefault="00615769" w:rsidP="004462A0">
      <w:pPr>
        <w:keepNext/>
        <w:numPr>
          <w:ilvl w:val="0"/>
          <w:numId w:val="69"/>
        </w:numPr>
        <w:tabs>
          <w:tab w:val="clear" w:pos="0"/>
        </w:tabs>
        <w:ind w:left="568" w:hanging="568"/>
        <w:rPr>
          <w:del w:id="16202" w:author="AbbVie2" w:date="2025-05-14T10:25:00Z"/>
          <w:sz w:val="22"/>
          <w:szCs w:val="22"/>
        </w:rPr>
      </w:pPr>
      <w:del w:id="16203" w:author="AbbVie2" w:date="2025-05-14T10:25:00Z">
        <w:r w:rsidRPr="008912CF">
          <w:rPr>
            <w:sz w:val="22"/>
            <w:szCs w:val="22"/>
          </w:rPr>
          <w:delText>contagem diminuída de cálcio no sangue;</w:delText>
        </w:r>
      </w:del>
    </w:p>
    <w:p w14:paraId="0D4BAC48" w14:textId="5448747D" w:rsidR="004462A0" w:rsidRPr="008912CF" w:rsidRDefault="00615769" w:rsidP="004462A0">
      <w:pPr>
        <w:keepNext/>
        <w:numPr>
          <w:ilvl w:val="0"/>
          <w:numId w:val="69"/>
        </w:numPr>
        <w:tabs>
          <w:tab w:val="clear" w:pos="0"/>
        </w:tabs>
        <w:ind w:left="568" w:hanging="568"/>
        <w:rPr>
          <w:del w:id="16204" w:author="AbbVie2" w:date="2025-05-14T10:25:00Z"/>
          <w:sz w:val="22"/>
          <w:szCs w:val="22"/>
        </w:rPr>
      </w:pPr>
      <w:del w:id="16205" w:author="AbbVie2" w:date="2025-05-14T10:25:00Z">
        <w:r w:rsidRPr="008912CF">
          <w:rPr>
            <w:sz w:val="22"/>
            <w:szCs w:val="22"/>
          </w:rPr>
          <w:delText>contagem diminuída de fosfato no sangue;</w:delText>
        </w:r>
      </w:del>
    </w:p>
    <w:p w14:paraId="2B1CEF25" w14:textId="5B7126B7" w:rsidR="004462A0" w:rsidRPr="008912CF" w:rsidRDefault="00615769" w:rsidP="004462A0">
      <w:pPr>
        <w:keepNext/>
        <w:numPr>
          <w:ilvl w:val="0"/>
          <w:numId w:val="69"/>
        </w:numPr>
        <w:tabs>
          <w:tab w:val="clear" w:pos="0"/>
        </w:tabs>
        <w:ind w:left="568" w:hanging="568"/>
        <w:rPr>
          <w:del w:id="16206" w:author="AbbVie2" w:date="2025-05-14T10:25:00Z"/>
          <w:sz w:val="22"/>
          <w:szCs w:val="22"/>
        </w:rPr>
      </w:pPr>
      <w:del w:id="16207" w:author="AbbVie2" w:date="2025-05-14T10:25:00Z">
        <w:r w:rsidRPr="008912CF">
          <w:rPr>
            <w:sz w:val="22"/>
            <w:szCs w:val="22"/>
          </w:rPr>
          <w:delText>nível de açúcar aumentado no sangue;</w:delText>
        </w:r>
      </w:del>
    </w:p>
    <w:p w14:paraId="100F1FA2" w14:textId="7040EAA3" w:rsidR="004462A0" w:rsidRPr="008912CF" w:rsidRDefault="00615769" w:rsidP="004462A0">
      <w:pPr>
        <w:keepNext/>
        <w:numPr>
          <w:ilvl w:val="0"/>
          <w:numId w:val="69"/>
        </w:numPr>
        <w:tabs>
          <w:tab w:val="clear" w:pos="0"/>
        </w:tabs>
        <w:ind w:left="568" w:hanging="568"/>
        <w:rPr>
          <w:del w:id="16208" w:author="AbbVie2" w:date="2025-05-14T10:25:00Z"/>
          <w:sz w:val="22"/>
          <w:szCs w:val="22"/>
        </w:rPr>
      </w:pPr>
      <w:del w:id="16209" w:author="AbbVie2" w:date="2025-05-14T10:25:00Z">
        <w:r w:rsidRPr="008912CF">
          <w:rPr>
            <w:sz w:val="22"/>
            <w:szCs w:val="22"/>
          </w:rPr>
          <w:delText>valores aumentados de dehidrogenase láctica no sangue;</w:delText>
        </w:r>
      </w:del>
    </w:p>
    <w:p w14:paraId="2F3D3E61" w14:textId="4AA9B6B3" w:rsidR="001E4E3E" w:rsidRDefault="00615769" w:rsidP="004462A0">
      <w:pPr>
        <w:keepNext/>
        <w:numPr>
          <w:ilvl w:val="0"/>
          <w:numId w:val="69"/>
        </w:numPr>
        <w:tabs>
          <w:tab w:val="clear" w:pos="0"/>
        </w:tabs>
        <w:ind w:left="568" w:hanging="568"/>
        <w:rPr>
          <w:del w:id="16210" w:author="AbbVie2" w:date="2025-05-14T10:25:00Z"/>
          <w:sz w:val="22"/>
          <w:szCs w:val="22"/>
        </w:rPr>
      </w:pPr>
      <w:del w:id="16211" w:author="AbbVie2" w:date="2025-05-14T10:25:00Z">
        <w:r w:rsidRPr="008912CF">
          <w:rPr>
            <w:sz w:val="22"/>
            <w:szCs w:val="22"/>
          </w:rPr>
          <w:delText>presença de autoanticorpos no sangue</w:delText>
        </w:r>
        <w:r>
          <w:rPr>
            <w:sz w:val="22"/>
            <w:szCs w:val="22"/>
          </w:rPr>
          <w:delText>;</w:delText>
        </w:r>
      </w:del>
    </w:p>
    <w:p w14:paraId="5B8ECF60" w14:textId="4C2E2D44" w:rsidR="004462A0" w:rsidRPr="008912CF" w:rsidRDefault="00615769" w:rsidP="004462A0">
      <w:pPr>
        <w:keepNext/>
        <w:numPr>
          <w:ilvl w:val="0"/>
          <w:numId w:val="69"/>
        </w:numPr>
        <w:tabs>
          <w:tab w:val="clear" w:pos="0"/>
        </w:tabs>
        <w:ind w:left="568" w:hanging="568"/>
        <w:rPr>
          <w:del w:id="16212" w:author="AbbVie2" w:date="2025-05-14T10:25:00Z"/>
          <w:sz w:val="22"/>
          <w:szCs w:val="22"/>
        </w:rPr>
      </w:pPr>
      <w:del w:id="16213" w:author="AbbVie2" w:date="2025-05-14T10:25:00Z">
        <w:r>
          <w:rPr>
            <w:sz w:val="22"/>
            <w:szCs w:val="22"/>
          </w:rPr>
          <w:delText>baixo teor de potássio no sangue</w:delText>
        </w:r>
        <w:r w:rsidRPr="008912CF">
          <w:rPr>
            <w:sz w:val="22"/>
            <w:szCs w:val="22"/>
          </w:rPr>
          <w:delText>.</w:delText>
        </w:r>
      </w:del>
    </w:p>
    <w:p w14:paraId="10B6824D" w14:textId="228B58FB" w:rsidR="004462A0" w:rsidRDefault="004462A0" w:rsidP="004462A0">
      <w:pPr>
        <w:rPr>
          <w:del w:id="16214" w:author="AbbVie2" w:date="2025-05-14T10:25:00Z"/>
          <w:sz w:val="22"/>
          <w:szCs w:val="22"/>
        </w:rPr>
      </w:pPr>
    </w:p>
    <w:p w14:paraId="44B17114" w14:textId="1CB0016E" w:rsidR="001E4E3E" w:rsidRDefault="00615769" w:rsidP="001E4E3E">
      <w:pPr>
        <w:rPr>
          <w:del w:id="16215" w:author="AbbVie2" w:date="2025-05-14T10:25:00Z"/>
          <w:sz w:val="22"/>
          <w:szCs w:val="22"/>
        </w:rPr>
      </w:pPr>
      <w:del w:id="16216" w:author="AbbVie2" w:date="2025-05-14T10:25:00Z">
        <w:r>
          <w:rPr>
            <w:sz w:val="22"/>
            <w:szCs w:val="22"/>
          </w:rPr>
          <w:delText>Pouco frequentes (podem afetar até 1 em 100 pessoas)</w:delText>
        </w:r>
      </w:del>
    </w:p>
    <w:p w14:paraId="664BF371" w14:textId="273398BA" w:rsidR="001E4E3E" w:rsidRDefault="001E4E3E" w:rsidP="001E4E3E">
      <w:pPr>
        <w:rPr>
          <w:del w:id="16217" w:author="AbbVie2" w:date="2025-05-14T10:25:00Z"/>
          <w:sz w:val="22"/>
          <w:szCs w:val="22"/>
        </w:rPr>
      </w:pPr>
    </w:p>
    <w:p w14:paraId="0AC71477" w14:textId="7D19DB0A" w:rsidR="001E4E3E" w:rsidRPr="008912CF" w:rsidRDefault="00615769" w:rsidP="001E4E3E">
      <w:pPr>
        <w:ind w:left="567" w:hanging="567"/>
        <w:rPr>
          <w:del w:id="16218" w:author="AbbVie2" w:date="2025-05-14T10:25:00Z"/>
          <w:sz w:val="22"/>
          <w:szCs w:val="22"/>
        </w:rPr>
      </w:pPr>
      <w:del w:id="16219" w:author="AbbVie2" w:date="2025-05-14T10:25:00Z">
        <w:r w:rsidRPr="007D3C14">
          <w:rPr>
            <w:sz w:val="22"/>
            <w:szCs w:val="22"/>
          </w:rPr>
          <w:delText>•</w:delText>
        </w:r>
        <w:r w:rsidRPr="007D3C14">
          <w:rPr>
            <w:sz w:val="22"/>
            <w:szCs w:val="22"/>
          </w:rPr>
          <w:tab/>
        </w:r>
        <w:r>
          <w:rPr>
            <w:sz w:val="22"/>
            <w:szCs w:val="22"/>
          </w:rPr>
          <w:delText>aumento de bilirrubina (análises de sangue ao fígado).</w:delText>
        </w:r>
      </w:del>
    </w:p>
    <w:p w14:paraId="1268C79D" w14:textId="63F50A1D" w:rsidR="00EF0B10" w:rsidRDefault="00EF0B10" w:rsidP="004462A0">
      <w:pPr>
        <w:rPr>
          <w:del w:id="16220" w:author="AbbVie2" w:date="2025-05-14T10:25:00Z"/>
          <w:sz w:val="22"/>
          <w:szCs w:val="22"/>
        </w:rPr>
      </w:pPr>
    </w:p>
    <w:p w14:paraId="58BE9638" w14:textId="598721C9" w:rsidR="004462A0" w:rsidRPr="008912CF" w:rsidRDefault="00615769" w:rsidP="004462A0">
      <w:pPr>
        <w:rPr>
          <w:del w:id="16221" w:author="AbbVie2" w:date="2025-05-14T10:25:00Z"/>
          <w:sz w:val="22"/>
          <w:szCs w:val="22"/>
        </w:rPr>
      </w:pPr>
      <w:del w:id="16222" w:author="AbbVie2" w:date="2025-05-14T10:25:00Z">
        <w:r w:rsidRPr="008912CF">
          <w:rPr>
            <w:sz w:val="22"/>
            <w:szCs w:val="22"/>
          </w:rPr>
          <w:delText>Raros (podem afetar até 1 em 1.000 pessoas)</w:delText>
        </w:r>
      </w:del>
    </w:p>
    <w:p w14:paraId="2295C76D" w14:textId="3027F902" w:rsidR="004462A0" w:rsidRPr="008912CF" w:rsidRDefault="004462A0" w:rsidP="004462A0">
      <w:pPr>
        <w:rPr>
          <w:del w:id="16223" w:author="AbbVie2" w:date="2025-05-14T10:25:00Z"/>
          <w:sz w:val="22"/>
          <w:szCs w:val="22"/>
        </w:rPr>
      </w:pPr>
    </w:p>
    <w:p w14:paraId="67105558" w14:textId="78696203" w:rsidR="004462A0" w:rsidRPr="008912CF" w:rsidRDefault="00615769" w:rsidP="004462A0">
      <w:pPr>
        <w:numPr>
          <w:ilvl w:val="0"/>
          <w:numId w:val="69"/>
        </w:numPr>
        <w:tabs>
          <w:tab w:val="clear" w:pos="0"/>
        </w:tabs>
        <w:ind w:left="568" w:hanging="568"/>
        <w:rPr>
          <w:del w:id="16224" w:author="AbbVie2" w:date="2025-05-14T10:25:00Z"/>
          <w:sz w:val="22"/>
          <w:szCs w:val="22"/>
        </w:rPr>
      </w:pPr>
      <w:del w:id="16225" w:author="AbbVie2" w:date="2025-05-14T10:25:00Z">
        <w:r w:rsidRPr="008912CF">
          <w:rPr>
            <w:sz w:val="22"/>
            <w:szCs w:val="22"/>
          </w:rPr>
          <w:delText>contagem diminuída de glóbulos brancos, glóbulos vermelhos e plaquetas.</w:delText>
        </w:r>
      </w:del>
    </w:p>
    <w:p w14:paraId="78A70C5F" w14:textId="7DE21169" w:rsidR="004462A0" w:rsidRPr="008912CF" w:rsidRDefault="004462A0" w:rsidP="004462A0">
      <w:pPr>
        <w:rPr>
          <w:del w:id="16226" w:author="AbbVie2" w:date="2025-05-14T10:25:00Z"/>
          <w:sz w:val="22"/>
          <w:szCs w:val="22"/>
        </w:rPr>
      </w:pPr>
    </w:p>
    <w:p w14:paraId="3B929EEF" w14:textId="70C004DE" w:rsidR="004462A0" w:rsidRPr="00636825" w:rsidRDefault="00615769" w:rsidP="004462A0">
      <w:pPr>
        <w:rPr>
          <w:del w:id="16227" w:author="AbbVie2" w:date="2025-05-14T10:25:00Z"/>
          <w:b/>
          <w:sz w:val="22"/>
          <w:szCs w:val="22"/>
        </w:rPr>
      </w:pPr>
      <w:del w:id="16228" w:author="AbbVie2" w:date="2025-05-14T10:25:00Z">
        <w:r w:rsidRPr="00636825">
          <w:rPr>
            <w:b/>
            <w:sz w:val="22"/>
            <w:szCs w:val="22"/>
          </w:rPr>
          <w:delText xml:space="preserve">Comunicação de efeitos </w:delText>
        </w:r>
        <w:r w:rsidR="00571C82">
          <w:rPr>
            <w:b/>
            <w:sz w:val="22"/>
            <w:szCs w:val="22"/>
          </w:rPr>
          <w:delText>indesejáveis</w:delText>
        </w:r>
      </w:del>
    </w:p>
    <w:p w14:paraId="02E80B92" w14:textId="39E4A762" w:rsidR="004462A0" w:rsidRPr="008912CF" w:rsidRDefault="00615769" w:rsidP="00636825">
      <w:pPr>
        <w:ind w:right="-2"/>
        <w:rPr>
          <w:del w:id="16229" w:author="AbbVie2" w:date="2025-05-14T10:25:00Z"/>
          <w:sz w:val="22"/>
          <w:szCs w:val="22"/>
        </w:rPr>
      </w:pPr>
      <w:del w:id="16230" w:author="AbbVie2" w:date="2025-05-14T10:25:00Z">
        <w:r w:rsidRPr="008912CF">
          <w:rPr>
            <w:sz w:val="22"/>
            <w:szCs w:val="22"/>
          </w:rPr>
          <w:delText xml:space="preserve">Se tiver quaisquer efeitos </w:delText>
        </w:r>
        <w:r w:rsidR="00571C82">
          <w:rPr>
            <w:sz w:val="22"/>
            <w:szCs w:val="22"/>
          </w:rPr>
          <w:delText>indesejáveis</w:delText>
        </w:r>
        <w:r w:rsidRPr="008912CF">
          <w:rPr>
            <w:sz w:val="22"/>
            <w:szCs w:val="22"/>
          </w:rPr>
          <w:delText xml:space="preserve">, incluindo possíveis efeitos </w:delText>
        </w:r>
        <w:r w:rsidR="00571C82">
          <w:rPr>
            <w:sz w:val="22"/>
            <w:szCs w:val="22"/>
          </w:rPr>
          <w:delText>indesejáveis</w:delText>
        </w:r>
        <w:r w:rsidRPr="008912CF">
          <w:rPr>
            <w:sz w:val="22"/>
            <w:szCs w:val="22"/>
          </w:rPr>
          <w:delText xml:space="preserve"> não indicados neste folheto, fale com o seu médico ou farmacêutico.</w:delText>
        </w:r>
        <w:r w:rsidR="00103AA2">
          <w:rPr>
            <w:sz w:val="22"/>
            <w:szCs w:val="22"/>
          </w:rPr>
          <w:delText xml:space="preserve"> </w:delText>
        </w:r>
        <w:r w:rsidRPr="008912CF">
          <w:rPr>
            <w:sz w:val="22"/>
            <w:szCs w:val="22"/>
          </w:rPr>
          <w:delText xml:space="preserve">Também poderá comunicar efeitos </w:delText>
        </w:r>
        <w:r w:rsidR="00571C82">
          <w:rPr>
            <w:sz w:val="22"/>
            <w:szCs w:val="22"/>
          </w:rPr>
          <w:delText>indesejáveis</w:delText>
        </w:r>
        <w:r w:rsidRPr="008912CF">
          <w:rPr>
            <w:sz w:val="22"/>
            <w:szCs w:val="22"/>
          </w:rPr>
          <w:delText xml:space="preserve"> diretamente </w:delText>
        </w:r>
        <w:r w:rsidRPr="008912CF">
          <w:rPr>
            <w:sz w:val="22"/>
            <w:szCs w:val="22"/>
            <w:highlight w:val="lightGray"/>
          </w:rPr>
          <w:delText xml:space="preserve">através do sistema nacional de notificação mencionado no </w:delText>
        </w:r>
        <w:r>
          <w:fldChar w:fldCharType="begin"/>
        </w:r>
        <w:r>
          <w:delInstrText>HYPERLINK "http://www.ema.europa.eu/docs/en_GB/document_library/Template_or_form/2013/03/WC500139752.doc"</w:delInstrText>
        </w:r>
        <w:r>
          <w:fldChar w:fldCharType="separate"/>
        </w:r>
        <w:r w:rsidRPr="008912CF">
          <w:rPr>
            <w:rStyle w:val="Hyperlink"/>
            <w:sz w:val="22"/>
            <w:szCs w:val="22"/>
            <w:highlight w:val="lightGray"/>
          </w:rPr>
          <w:delText>Apêndice V</w:delText>
        </w:r>
        <w:r>
          <w:fldChar w:fldCharType="end"/>
        </w:r>
        <w:r w:rsidRPr="008912CF">
          <w:rPr>
            <w:sz w:val="22"/>
            <w:szCs w:val="22"/>
          </w:rPr>
          <w:delText xml:space="preserve">. Ao comunicar efeitos </w:delText>
        </w:r>
        <w:r w:rsidR="00571C82">
          <w:rPr>
            <w:sz w:val="22"/>
            <w:szCs w:val="22"/>
          </w:rPr>
          <w:delText>indesejáveis</w:delText>
        </w:r>
        <w:r w:rsidRPr="008912CF">
          <w:rPr>
            <w:sz w:val="22"/>
            <w:szCs w:val="22"/>
          </w:rPr>
          <w:delText>, estará a ajudar a fornecer mais informações sobre a segurança deste medicamento.</w:delText>
        </w:r>
      </w:del>
    </w:p>
    <w:p w14:paraId="1B10A43A" w14:textId="13F633C5" w:rsidR="004462A0" w:rsidRPr="008912CF" w:rsidRDefault="004462A0" w:rsidP="004462A0">
      <w:pPr>
        <w:ind w:right="-2"/>
        <w:rPr>
          <w:del w:id="16231" w:author="AbbVie2" w:date="2025-05-14T10:25:00Z"/>
          <w:sz w:val="22"/>
          <w:szCs w:val="22"/>
        </w:rPr>
      </w:pPr>
    </w:p>
    <w:p w14:paraId="687903C9" w14:textId="672CC5E2" w:rsidR="004462A0" w:rsidRPr="008912CF" w:rsidRDefault="004462A0" w:rsidP="004462A0">
      <w:pPr>
        <w:ind w:right="-2"/>
        <w:rPr>
          <w:del w:id="16232" w:author="AbbVie2" w:date="2025-05-14T10:25:00Z"/>
          <w:sz w:val="22"/>
          <w:szCs w:val="22"/>
        </w:rPr>
      </w:pPr>
    </w:p>
    <w:p w14:paraId="05932824" w14:textId="7A68B7FB" w:rsidR="004462A0" w:rsidRPr="008912CF" w:rsidRDefault="00615769" w:rsidP="004462A0">
      <w:pPr>
        <w:ind w:left="567" w:hanging="567"/>
        <w:rPr>
          <w:del w:id="16233" w:author="AbbVie2" w:date="2025-05-14T10:25:00Z"/>
          <w:sz w:val="22"/>
          <w:szCs w:val="22"/>
        </w:rPr>
      </w:pPr>
      <w:del w:id="16234" w:author="AbbVie2" w:date="2025-05-14T10:25:00Z">
        <w:r w:rsidRPr="008912CF">
          <w:rPr>
            <w:b/>
            <w:sz w:val="22"/>
            <w:szCs w:val="22"/>
          </w:rPr>
          <w:delText>5.</w:delText>
        </w:r>
        <w:r w:rsidRPr="008912CF">
          <w:rPr>
            <w:b/>
            <w:sz w:val="22"/>
            <w:szCs w:val="22"/>
          </w:rPr>
          <w:tab/>
          <w:delText>Como conservar Humira</w:delText>
        </w:r>
      </w:del>
    </w:p>
    <w:p w14:paraId="797792B0" w14:textId="1E6703A2" w:rsidR="004462A0" w:rsidRPr="008912CF" w:rsidRDefault="004462A0" w:rsidP="004462A0">
      <w:pPr>
        <w:ind w:right="-2"/>
        <w:rPr>
          <w:del w:id="16235" w:author="AbbVie2" w:date="2025-05-14T10:25:00Z"/>
          <w:sz w:val="22"/>
          <w:szCs w:val="22"/>
        </w:rPr>
      </w:pPr>
    </w:p>
    <w:p w14:paraId="7B43712E" w14:textId="2079F5A2" w:rsidR="004462A0" w:rsidRPr="008912CF" w:rsidRDefault="00615769" w:rsidP="004462A0">
      <w:pPr>
        <w:ind w:right="-2"/>
        <w:rPr>
          <w:del w:id="16236" w:author="AbbVie2" w:date="2025-05-14T10:25:00Z"/>
          <w:sz w:val="22"/>
          <w:szCs w:val="22"/>
        </w:rPr>
      </w:pPr>
      <w:del w:id="16237" w:author="AbbVie2" w:date="2025-05-14T10:25:00Z">
        <w:r w:rsidRPr="008912CF">
          <w:rPr>
            <w:sz w:val="22"/>
            <w:szCs w:val="22"/>
          </w:rPr>
          <w:delText xml:space="preserve">Manter este medicamento fora da vista e do alcance das crianças. </w:delText>
        </w:r>
      </w:del>
    </w:p>
    <w:p w14:paraId="6559ECAB" w14:textId="01D1194E" w:rsidR="004462A0" w:rsidRPr="008912CF" w:rsidRDefault="004462A0" w:rsidP="004462A0">
      <w:pPr>
        <w:ind w:right="-2"/>
        <w:rPr>
          <w:del w:id="16238" w:author="AbbVie2" w:date="2025-05-14T10:25:00Z"/>
          <w:sz w:val="22"/>
          <w:szCs w:val="22"/>
        </w:rPr>
      </w:pPr>
    </w:p>
    <w:p w14:paraId="45D938CF" w14:textId="0453462D" w:rsidR="004462A0" w:rsidRPr="008912CF" w:rsidRDefault="00615769" w:rsidP="004462A0">
      <w:pPr>
        <w:ind w:right="-2"/>
        <w:rPr>
          <w:del w:id="16239" w:author="AbbVie2" w:date="2025-05-14T10:25:00Z"/>
          <w:sz w:val="22"/>
          <w:szCs w:val="22"/>
        </w:rPr>
      </w:pPr>
      <w:del w:id="16240" w:author="AbbVie2" w:date="2025-05-14T10:25:00Z">
        <w:r w:rsidRPr="008912CF">
          <w:rPr>
            <w:sz w:val="22"/>
            <w:szCs w:val="22"/>
          </w:rPr>
          <w:delText>Não utilize este medicamento após o prazo de validade impresso no ró</w:delText>
        </w:r>
        <w:r w:rsidR="0023344C">
          <w:rPr>
            <w:sz w:val="22"/>
            <w:szCs w:val="22"/>
          </w:rPr>
          <w:delText>tulo/blister/embalagem, após EXP</w:delText>
        </w:r>
        <w:r w:rsidRPr="008912CF">
          <w:rPr>
            <w:sz w:val="22"/>
            <w:szCs w:val="22"/>
          </w:rPr>
          <w:delText xml:space="preserve">. </w:delText>
        </w:r>
      </w:del>
    </w:p>
    <w:p w14:paraId="39652B20" w14:textId="09B7EFC9" w:rsidR="004462A0" w:rsidRPr="008912CF" w:rsidRDefault="004462A0" w:rsidP="004462A0">
      <w:pPr>
        <w:ind w:right="-2"/>
        <w:rPr>
          <w:del w:id="16241" w:author="AbbVie2" w:date="2025-05-14T10:25:00Z"/>
          <w:sz w:val="22"/>
          <w:szCs w:val="22"/>
        </w:rPr>
      </w:pPr>
    </w:p>
    <w:p w14:paraId="793440DD" w14:textId="36775A06" w:rsidR="004462A0" w:rsidRPr="008912CF" w:rsidRDefault="00615769" w:rsidP="004462A0">
      <w:pPr>
        <w:pStyle w:val="BodyText3"/>
        <w:rPr>
          <w:del w:id="16242" w:author="AbbVie2" w:date="2025-05-14T10:25:00Z"/>
          <w:szCs w:val="22"/>
        </w:rPr>
      </w:pPr>
      <w:del w:id="16243" w:author="AbbVie2" w:date="2025-05-14T10:25:00Z">
        <w:r w:rsidRPr="008912CF">
          <w:rPr>
            <w:szCs w:val="22"/>
          </w:rPr>
          <w:delText xml:space="preserve">Conservar no frigorífico </w:delText>
        </w:r>
        <w:r w:rsidR="00184BF5">
          <w:rPr>
            <w:szCs w:val="22"/>
          </w:rPr>
          <w:delText>(2º</w:delText>
        </w:r>
        <w:r w:rsidR="00AA2EEA">
          <w:rPr>
            <w:szCs w:val="22"/>
          </w:rPr>
          <w:delText xml:space="preserve"> </w:delText>
        </w:r>
        <w:r w:rsidR="00184BF5" w:rsidRPr="008912CF">
          <w:rPr>
            <w:szCs w:val="22"/>
          </w:rPr>
          <w:delText>C</w:delText>
        </w:r>
        <w:r w:rsidR="00184BF5">
          <w:rPr>
            <w:szCs w:val="22"/>
          </w:rPr>
          <w:delText xml:space="preserve"> – </w:delText>
        </w:r>
        <w:r w:rsidR="00184BF5" w:rsidRPr="008912CF">
          <w:rPr>
            <w:szCs w:val="22"/>
          </w:rPr>
          <w:delText>8</w:delText>
        </w:r>
        <w:r w:rsidR="00184BF5">
          <w:rPr>
            <w:szCs w:val="22"/>
          </w:rPr>
          <w:delText>º</w:delText>
        </w:r>
        <w:r w:rsidR="00AA2EEA">
          <w:rPr>
            <w:szCs w:val="22"/>
          </w:rPr>
          <w:delText xml:space="preserve"> </w:delText>
        </w:r>
        <w:r w:rsidR="00184BF5" w:rsidRPr="008912CF">
          <w:rPr>
            <w:szCs w:val="22"/>
          </w:rPr>
          <w:delText>C)</w:delText>
        </w:r>
        <w:r w:rsidRPr="008912CF">
          <w:rPr>
            <w:szCs w:val="22"/>
          </w:rPr>
          <w:delText>. Não congelar.</w:delText>
        </w:r>
      </w:del>
    </w:p>
    <w:p w14:paraId="64A9611C" w14:textId="1BC55613" w:rsidR="004462A0" w:rsidRPr="008912CF" w:rsidRDefault="004462A0" w:rsidP="004462A0">
      <w:pPr>
        <w:pStyle w:val="BodyText3"/>
        <w:rPr>
          <w:del w:id="16244" w:author="AbbVie2" w:date="2025-05-14T10:25:00Z"/>
          <w:szCs w:val="22"/>
        </w:rPr>
      </w:pPr>
    </w:p>
    <w:p w14:paraId="50FF4EB4" w14:textId="672B7A95" w:rsidR="004462A0" w:rsidRPr="008912CF" w:rsidRDefault="00615769" w:rsidP="004462A0">
      <w:pPr>
        <w:pStyle w:val="BodyText3"/>
        <w:rPr>
          <w:del w:id="16245" w:author="AbbVie2" w:date="2025-05-14T10:25:00Z"/>
          <w:szCs w:val="22"/>
        </w:rPr>
      </w:pPr>
      <w:del w:id="16246" w:author="AbbVie2" w:date="2025-05-14T10:25:00Z">
        <w:r w:rsidRPr="008912CF">
          <w:rPr>
            <w:szCs w:val="22"/>
          </w:rPr>
          <w:delText>Manter a caneta pré-cheia na embalagem exterior para proteger da luz.</w:delText>
        </w:r>
      </w:del>
    </w:p>
    <w:p w14:paraId="6D7B3FEE" w14:textId="0A0A8212" w:rsidR="004462A0" w:rsidRPr="008912CF" w:rsidRDefault="004462A0" w:rsidP="004462A0">
      <w:pPr>
        <w:ind w:right="-2"/>
        <w:rPr>
          <w:del w:id="16247" w:author="AbbVie2" w:date="2025-05-14T10:25:00Z"/>
          <w:sz w:val="22"/>
          <w:szCs w:val="22"/>
        </w:rPr>
      </w:pPr>
    </w:p>
    <w:p w14:paraId="2C5086EC" w14:textId="5A48B388" w:rsidR="004462A0" w:rsidRPr="008912CF" w:rsidRDefault="00615769" w:rsidP="004462A0">
      <w:pPr>
        <w:rPr>
          <w:del w:id="16248" w:author="AbbVie2" w:date="2025-05-14T10:25:00Z"/>
          <w:rStyle w:val="hpsatn"/>
          <w:sz w:val="22"/>
          <w:szCs w:val="22"/>
        </w:rPr>
      </w:pPr>
      <w:del w:id="16249" w:author="AbbVie2" w:date="2025-05-14T10:25:00Z">
        <w:r w:rsidRPr="008912CF">
          <w:rPr>
            <w:rStyle w:val="hpsatn"/>
            <w:sz w:val="22"/>
            <w:szCs w:val="22"/>
          </w:rPr>
          <w:delText>Conservação Alternativa:</w:delText>
        </w:r>
      </w:del>
    </w:p>
    <w:p w14:paraId="2854D025" w14:textId="321C411F" w:rsidR="004462A0" w:rsidRPr="008912CF" w:rsidRDefault="004462A0" w:rsidP="004462A0">
      <w:pPr>
        <w:rPr>
          <w:del w:id="16250" w:author="AbbVie2" w:date="2025-05-14T10:25:00Z"/>
          <w:rStyle w:val="hpsatn"/>
          <w:sz w:val="22"/>
          <w:szCs w:val="22"/>
        </w:rPr>
      </w:pPr>
    </w:p>
    <w:p w14:paraId="58C1EF0F" w14:textId="439F0FA2" w:rsidR="004462A0" w:rsidRPr="008912CF" w:rsidRDefault="00615769" w:rsidP="004462A0">
      <w:pPr>
        <w:rPr>
          <w:del w:id="16251" w:author="AbbVie2" w:date="2025-05-14T10:25:00Z"/>
          <w:rStyle w:val="hps"/>
          <w:sz w:val="22"/>
          <w:szCs w:val="22"/>
        </w:rPr>
      </w:pPr>
      <w:del w:id="16252" w:author="AbbVie2" w:date="2025-05-14T10:25:00Z">
        <w:r w:rsidRPr="008912CF">
          <w:rPr>
            <w:rStyle w:val="hpsatn"/>
            <w:sz w:val="22"/>
            <w:szCs w:val="22"/>
          </w:rPr>
          <w:delText>Quando necessário (</w:delText>
        </w:r>
        <w:r w:rsidRPr="008912CF">
          <w:rPr>
            <w:sz w:val="22"/>
            <w:szCs w:val="22"/>
          </w:rPr>
          <w:delText xml:space="preserve">por exemplo, quando </w:delText>
        </w:r>
        <w:r w:rsidRPr="008912CF">
          <w:rPr>
            <w:rStyle w:val="hps"/>
            <w:sz w:val="22"/>
            <w:szCs w:val="22"/>
          </w:rPr>
          <w:delText>está a viajar</w:delText>
        </w:r>
        <w:r w:rsidRPr="008912CF">
          <w:rPr>
            <w:sz w:val="22"/>
            <w:szCs w:val="22"/>
          </w:rPr>
          <w:delText>), uma caneta</w:delText>
        </w:r>
        <w:r w:rsidRPr="008912CF">
          <w:rPr>
            <w:rStyle w:val="hps"/>
            <w:sz w:val="22"/>
            <w:szCs w:val="22"/>
          </w:rPr>
          <w:delText xml:space="preserve"> pré-cheia</w:delText>
        </w:r>
        <w:r w:rsidRPr="008912CF">
          <w:rPr>
            <w:sz w:val="22"/>
            <w:szCs w:val="22"/>
          </w:rPr>
          <w:delText xml:space="preserve"> de </w:delText>
        </w:r>
        <w:r w:rsidRPr="008912CF">
          <w:rPr>
            <w:rStyle w:val="hps"/>
            <w:sz w:val="22"/>
            <w:szCs w:val="22"/>
          </w:rPr>
          <w:delText>Humira, pode ser</w:delText>
        </w:r>
        <w:r w:rsidRPr="008912CF">
          <w:rPr>
            <w:sz w:val="22"/>
            <w:szCs w:val="22"/>
          </w:rPr>
          <w:delText xml:space="preserve"> conservada</w:delText>
        </w:r>
        <w:r w:rsidRPr="008912CF">
          <w:rPr>
            <w:rStyle w:val="hps"/>
            <w:sz w:val="22"/>
            <w:szCs w:val="22"/>
          </w:rPr>
          <w:delText xml:space="preserve"> até um período</w:delText>
        </w:r>
        <w:r w:rsidRPr="008912CF">
          <w:rPr>
            <w:sz w:val="22"/>
            <w:szCs w:val="22"/>
          </w:rPr>
          <w:delText xml:space="preserve"> </w:delText>
        </w:r>
        <w:r w:rsidRPr="008912CF">
          <w:rPr>
            <w:rStyle w:val="hps"/>
            <w:sz w:val="22"/>
            <w:szCs w:val="22"/>
          </w:rPr>
          <w:delText>máximo de 14 dias,</w:delText>
        </w:r>
        <w:r w:rsidRPr="008912CF">
          <w:rPr>
            <w:sz w:val="22"/>
            <w:szCs w:val="22"/>
          </w:rPr>
          <w:delText xml:space="preserve"> </w:delText>
        </w:r>
        <w:r w:rsidRPr="008912CF">
          <w:rPr>
            <w:rStyle w:val="hps"/>
            <w:sz w:val="22"/>
            <w:szCs w:val="22"/>
          </w:rPr>
          <w:delText>à temperatura ambiente</w:delText>
        </w:r>
        <w:r w:rsidRPr="008912CF">
          <w:rPr>
            <w:sz w:val="22"/>
            <w:szCs w:val="22"/>
          </w:rPr>
          <w:delText xml:space="preserve"> </w:delText>
        </w:r>
        <w:r w:rsidRPr="008912CF">
          <w:rPr>
            <w:rStyle w:val="hps"/>
            <w:sz w:val="22"/>
            <w:szCs w:val="22"/>
          </w:rPr>
          <w:delText>(até 25</w:delText>
        </w:r>
        <w:r w:rsidRPr="008912CF">
          <w:rPr>
            <w:sz w:val="22"/>
            <w:szCs w:val="22"/>
          </w:rPr>
          <w:delText xml:space="preserve"> </w:delText>
        </w:r>
        <w:r w:rsidRPr="008912CF">
          <w:rPr>
            <w:rStyle w:val="hps"/>
            <w:sz w:val="22"/>
            <w:szCs w:val="22"/>
          </w:rPr>
          <w:delText>° C)</w:delText>
        </w:r>
        <w:r w:rsidRPr="008912CF">
          <w:rPr>
            <w:sz w:val="22"/>
            <w:szCs w:val="22"/>
          </w:rPr>
          <w:delText xml:space="preserve"> </w:delText>
        </w:r>
        <w:r w:rsidRPr="008912CF">
          <w:rPr>
            <w:rStyle w:val="hps"/>
            <w:sz w:val="22"/>
            <w:szCs w:val="22"/>
          </w:rPr>
          <w:delText>-</w:delText>
        </w:r>
        <w:r w:rsidRPr="008912CF">
          <w:rPr>
            <w:sz w:val="22"/>
            <w:szCs w:val="22"/>
          </w:rPr>
          <w:delText xml:space="preserve"> </w:delText>
        </w:r>
        <w:r w:rsidRPr="008912CF">
          <w:rPr>
            <w:rStyle w:val="hps"/>
            <w:sz w:val="22"/>
            <w:szCs w:val="22"/>
          </w:rPr>
          <w:delText>ter a certeza que</w:delText>
        </w:r>
        <w:r w:rsidRPr="008912CF">
          <w:rPr>
            <w:sz w:val="22"/>
            <w:szCs w:val="22"/>
          </w:rPr>
          <w:delText xml:space="preserve"> a</w:delText>
        </w:r>
        <w:r w:rsidRPr="008912CF">
          <w:rPr>
            <w:rStyle w:val="hps"/>
            <w:sz w:val="22"/>
            <w:szCs w:val="22"/>
          </w:rPr>
          <w:delText xml:space="preserve"> protege da luz</w:delText>
        </w:r>
        <w:r w:rsidRPr="008912CF">
          <w:rPr>
            <w:sz w:val="22"/>
            <w:szCs w:val="22"/>
          </w:rPr>
          <w:delText xml:space="preserve">. </w:delText>
        </w:r>
        <w:r w:rsidRPr="008912CF">
          <w:rPr>
            <w:rStyle w:val="hps"/>
            <w:sz w:val="22"/>
            <w:szCs w:val="22"/>
          </w:rPr>
          <w:delText>Uma vez</w:delText>
        </w:r>
        <w:r w:rsidRPr="008912CF">
          <w:rPr>
            <w:sz w:val="22"/>
            <w:szCs w:val="22"/>
          </w:rPr>
          <w:delText xml:space="preserve"> </w:delText>
        </w:r>
        <w:r w:rsidRPr="008912CF">
          <w:rPr>
            <w:rStyle w:val="hps"/>
            <w:sz w:val="22"/>
            <w:szCs w:val="22"/>
          </w:rPr>
          <w:delText>retirada do</w:delText>
        </w:r>
        <w:r w:rsidRPr="008912CF">
          <w:rPr>
            <w:sz w:val="22"/>
            <w:szCs w:val="22"/>
          </w:rPr>
          <w:delText xml:space="preserve"> </w:delText>
        </w:r>
        <w:r w:rsidRPr="008912CF">
          <w:rPr>
            <w:rStyle w:val="hps"/>
            <w:sz w:val="22"/>
            <w:szCs w:val="22"/>
          </w:rPr>
          <w:delText>frigorífico</w:delText>
        </w:r>
        <w:r w:rsidRPr="008912CF">
          <w:rPr>
            <w:sz w:val="22"/>
            <w:szCs w:val="22"/>
          </w:rPr>
          <w:delText xml:space="preserve"> </w:delText>
        </w:r>
        <w:r w:rsidRPr="008912CF">
          <w:rPr>
            <w:rStyle w:val="hps"/>
            <w:sz w:val="22"/>
            <w:szCs w:val="22"/>
          </w:rPr>
          <w:delText>para a temperatura ambiente</w:delText>
        </w:r>
        <w:r w:rsidRPr="008912CF">
          <w:rPr>
            <w:sz w:val="22"/>
            <w:szCs w:val="22"/>
          </w:rPr>
          <w:delText xml:space="preserve">, a caneta </w:delText>
        </w:r>
        <w:r w:rsidRPr="008912CF">
          <w:rPr>
            <w:rStyle w:val="hps"/>
            <w:b/>
            <w:bCs/>
            <w:sz w:val="22"/>
            <w:szCs w:val="22"/>
          </w:rPr>
          <w:delText>deve ser utilizada</w:delText>
        </w:r>
        <w:r w:rsidRPr="008912CF">
          <w:rPr>
            <w:b/>
            <w:bCs/>
            <w:sz w:val="22"/>
            <w:szCs w:val="22"/>
          </w:rPr>
          <w:delText xml:space="preserve"> </w:delText>
        </w:r>
        <w:r w:rsidRPr="008912CF">
          <w:rPr>
            <w:rStyle w:val="hps"/>
            <w:b/>
            <w:bCs/>
            <w:sz w:val="22"/>
            <w:szCs w:val="22"/>
          </w:rPr>
          <w:delText>dentro de 14 dias</w:delText>
        </w:r>
        <w:r w:rsidRPr="008912CF">
          <w:rPr>
            <w:b/>
            <w:bCs/>
            <w:sz w:val="22"/>
            <w:szCs w:val="22"/>
          </w:rPr>
          <w:delText xml:space="preserve"> </w:delText>
        </w:r>
        <w:r w:rsidRPr="008912CF">
          <w:rPr>
            <w:rStyle w:val="hps"/>
            <w:b/>
            <w:bCs/>
            <w:sz w:val="22"/>
            <w:szCs w:val="22"/>
          </w:rPr>
          <w:delText>ou eliminada</w:delText>
        </w:r>
        <w:r w:rsidRPr="008912CF">
          <w:rPr>
            <w:sz w:val="22"/>
            <w:szCs w:val="22"/>
          </w:rPr>
          <w:delText>, mesmo que a volte a colocar n</w:delText>
        </w:r>
        <w:r w:rsidRPr="008912CF">
          <w:rPr>
            <w:rStyle w:val="hps"/>
            <w:sz w:val="22"/>
            <w:szCs w:val="22"/>
          </w:rPr>
          <w:delText>o frigorífico.</w:delText>
        </w:r>
      </w:del>
    </w:p>
    <w:p w14:paraId="22FD0790" w14:textId="4827A094" w:rsidR="004462A0" w:rsidRPr="008912CF" w:rsidRDefault="004462A0" w:rsidP="004462A0">
      <w:pPr>
        <w:rPr>
          <w:del w:id="16253" w:author="AbbVie2" w:date="2025-05-14T10:25:00Z"/>
          <w:rStyle w:val="hps"/>
          <w:sz w:val="22"/>
          <w:szCs w:val="22"/>
        </w:rPr>
      </w:pPr>
    </w:p>
    <w:p w14:paraId="6017F57A" w14:textId="58965F19" w:rsidR="004462A0" w:rsidRPr="008912CF" w:rsidRDefault="00615769" w:rsidP="004462A0">
      <w:pPr>
        <w:ind w:right="-2"/>
        <w:rPr>
          <w:del w:id="16254" w:author="AbbVie2" w:date="2025-05-14T10:25:00Z"/>
          <w:sz w:val="22"/>
          <w:szCs w:val="22"/>
        </w:rPr>
      </w:pPr>
      <w:del w:id="16255" w:author="AbbVie2" w:date="2025-05-14T10:25:00Z">
        <w:r w:rsidRPr="008912CF">
          <w:rPr>
            <w:rStyle w:val="hps"/>
            <w:sz w:val="22"/>
            <w:szCs w:val="22"/>
          </w:rPr>
          <w:delText>Deve registar a data em que</w:delText>
        </w:r>
        <w:r w:rsidRPr="008912CF">
          <w:rPr>
            <w:sz w:val="22"/>
            <w:szCs w:val="22"/>
          </w:rPr>
          <w:delText xml:space="preserve"> </w:delText>
        </w:r>
        <w:r w:rsidRPr="008912CF">
          <w:rPr>
            <w:rStyle w:val="hps"/>
            <w:sz w:val="22"/>
            <w:szCs w:val="22"/>
          </w:rPr>
          <w:delText xml:space="preserve">a caneta foi inicialmente </w:delText>
        </w:r>
        <w:r w:rsidRPr="008912CF">
          <w:rPr>
            <w:sz w:val="22"/>
            <w:szCs w:val="22"/>
          </w:rPr>
          <w:delText>r</w:delText>
        </w:r>
        <w:r w:rsidRPr="008912CF">
          <w:rPr>
            <w:rStyle w:val="hps"/>
            <w:sz w:val="22"/>
            <w:szCs w:val="22"/>
          </w:rPr>
          <w:delText>etirada do frigorífico e a data em que deve ser eliminada.</w:delText>
        </w:r>
      </w:del>
    </w:p>
    <w:p w14:paraId="1231452E" w14:textId="1BCB18B4" w:rsidR="004462A0" w:rsidRPr="008912CF" w:rsidRDefault="004462A0" w:rsidP="004462A0">
      <w:pPr>
        <w:ind w:right="-2"/>
        <w:rPr>
          <w:del w:id="16256" w:author="AbbVie2" w:date="2025-05-14T10:25:00Z"/>
          <w:sz w:val="22"/>
          <w:szCs w:val="22"/>
        </w:rPr>
      </w:pPr>
    </w:p>
    <w:p w14:paraId="0737B2DB" w14:textId="7FDDE180" w:rsidR="004462A0" w:rsidRPr="008912CF" w:rsidRDefault="00615769" w:rsidP="004462A0">
      <w:pPr>
        <w:ind w:right="-2"/>
        <w:rPr>
          <w:del w:id="16257" w:author="AbbVie2" w:date="2025-05-14T10:25:00Z"/>
          <w:bCs/>
          <w:sz w:val="22"/>
          <w:szCs w:val="22"/>
        </w:rPr>
      </w:pPr>
      <w:del w:id="16258" w:author="AbbVie2" w:date="2025-05-14T10:25:00Z">
        <w:r w:rsidRPr="008912CF">
          <w:rPr>
            <w:sz w:val="22"/>
            <w:szCs w:val="22"/>
          </w:rPr>
          <w:delText xml:space="preserve">Não deite fora quaisquer medicamentos na canalização ou no lixo doméstico. Pergunte ao seu </w:delText>
        </w:r>
        <w:r w:rsidR="00723763">
          <w:rPr>
            <w:sz w:val="22"/>
            <w:szCs w:val="22"/>
          </w:rPr>
          <w:delText xml:space="preserve">médico ou </w:delText>
        </w:r>
        <w:r w:rsidRPr="008912CF">
          <w:rPr>
            <w:sz w:val="22"/>
            <w:szCs w:val="22"/>
          </w:rPr>
          <w:delText xml:space="preserve">farmacêutico como deitar fora os medicamentos que já não utiliza. Estas medidas ajudarão a proteger o ambiente. </w:delText>
        </w:r>
      </w:del>
    </w:p>
    <w:p w14:paraId="7ED5376C" w14:textId="7E20E182" w:rsidR="004462A0" w:rsidRPr="008912CF" w:rsidRDefault="004462A0" w:rsidP="004462A0">
      <w:pPr>
        <w:ind w:right="-2"/>
        <w:rPr>
          <w:del w:id="16259" w:author="AbbVie2" w:date="2025-05-14T10:25:00Z"/>
          <w:sz w:val="22"/>
          <w:szCs w:val="22"/>
        </w:rPr>
      </w:pPr>
    </w:p>
    <w:p w14:paraId="54BC2F75" w14:textId="4E783BBA" w:rsidR="004462A0" w:rsidRPr="008912CF" w:rsidRDefault="004462A0" w:rsidP="004462A0">
      <w:pPr>
        <w:ind w:left="567" w:hanging="567"/>
        <w:rPr>
          <w:del w:id="16260" w:author="AbbVie2" w:date="2025-05-14T10:25:00Z"/>
          <w:b/>
          <w:sz w:val="22"/>
          <w:szCs w:val="22"/>
        </w:rPr>
      </w:pPr>
    </w:p>
    <w:p w14:paraId="527573D8" w14:textId="6811244C" w:rsidR="004462A0" w:rsidRPr="008912CF" w:rsidRDefault="00615769" w:rsidP="00270770">
      <w:pPr>
        <w:keepNext/>
        <w:ind w:left="567" w:hanging="567"/>
        <w:rPr>
          <w:del w:id="16261" w:author="AbbVie2" w:date="2025-05-14T10:25:00Z"/>
          <w:b/>
          <w:sz w:val="22"/>
          <w:szCs w:val="22"/>
        </w:rPr>
      </w:pPr>
      <w:del w:id="16262" w:author="AbbVie2" w:date="2025-05-14T10:25:00Z">
        <w:r w:rsidRPr="008912CF">
          <w:rPr>
            <w:b/>
            <w:sz w:val="22"/>
            <w:szCs w:val="22"/>
          </w:rPr>
          <w:delText>6.</w:delText>
        </w:r>
        <w:r w:rsidRPr="008912CF">
          <w:rPr>
            <w:b/>
            <w:sz w:val="22"/>
            <w:szCs w:val="22"/>
          </w:rPr>
          <w:tab/>
          <w:delText xml:space="preserve">Conteúdo da embalagem e outras informações </w:delText>
        </w:r>
      </w:del>
    </w:p>
    <w:p w14:paraId="7EEA0539" w14:textId="74AA78B5" w:rsidR="004462A0" w:rsidRPr="008912CF" w:rsidRDefault="004462A0" w:rsidP="00270770">
      <w:pPr>
        <w:keepNext/>
        <w:ind w:right="-2"/>
        <w:rPr>
          <w:del w:id="16263" w:author="AbbVie2" w:date="2025-05-14T10:25:00Z"/>
          <w:sz w:val="22"/>
          <w:szCs w:val="22"/>
        </w:rPr>
      </w:pPr>
    </w:p>
    <w:p w14:paraId="72D76127" w14:textId="699E2606" w:rsidR="004462A0" w:rsidRPr="008912CF" w:rsidRDefault="00615769" w:rsidP="00270770">
      <w:pPr>
        <w:pStyle w:val="Heading8"/>
        <w:rPr>
          <w:del w:id="16264" w:author="AbbVie2" w:date="2025-05-14T10:25:00Z"/>
          <w:szCs w:val="22"/>
        </w:rPr>
      </w:pPr>
      <w:del w:id="16265" w:author="AbbVie2" w:date="2025-05-14T10:25:00Z">
        <w:r w:rsidRPr="008912CF">
          <w:rPr>
            <w:szCs w:val="22"/>
          </w:rPr>
          <w:delText>Qual a composição de Humira</w:delText>
        </w:r>
      </w:del>
    </w:p>
    <w:p w14:paraId="4BB70257" w14:textId="732594D6" w:rsidR="004462A0" w:rsidRPr="008912CF" w:rsidRDefault="004462A0" w:rsidP="004462A0">
      <w:pPr>
        <w:ind w:right="-2"/>
        <w:rPr>
          <w:del w:id="16266" w:author="AbbVie2" w:date="2025-05-14T10:25:00Z"/>
          <w:b/>
          <w:bCs/>
          <w:sz w:val="22"/>
          <w:szCs w:val="22"/>
        </w:rPr>
      </w:pPr>
    </w:p>
    <w:p w14:paraId="46E1901B" w14:textId="39ED63ED" w:rsidR="004462A0" w:rsidRPr="008912CF" w:rsidRDefault="00615769" w:rsidP="004462A0">
      <w:pPr>
        <w:ind w:right="-2"/>
        <w:rPr>
          <w:del w:id="16267" w:author="AbbVie2" w:date="2025-05-14T10:25:00Z"/>
          <w:sz w:val="22"/>
          <w:szCs w:val="22"/>
        </w:rPr>
      </w:pPr>
      <w:del w:id="16268" w:author="AbbVie2" w:date="2025-05-14T10:25:00Z">
        <w:r w:rsidRPr="008912CF">
          <w:rPr>
            <w:sz w:val="22"/>
            <w:szCs w:val="22"/>
          </w:rPr>
          <w:delText>A substância ativa é adalimumab.</w:delText>
        </w:r>
      </w:del>
    </w:p>
    <w:p w14:paraId="5662471B" w14:textId="17783453" w:rsidR="004462A0" w:rsidRPr="008912CF" w:rsidRDefault="00615769" w:rsidP="004462A0">
      <w:pPr>
        <w:ind w:right="-2"/>
        <w:rPr>
          <w:del w:id="16269" w:author="AbbVie2" w:date="2025-05-14T10:25:00Z"/>
          <w:sz w:val="22"/>
          <w:szCs w:val="22"/>
        </w:rPr>
      </w:pPr>
      <w:del w:id="16270" w:author="AbbVie2" w:date="2025-05-14T10:25:00Z">
        <w:r w:rsidRPr="008912CF">
          <w:rPr>
            <w:sz w:val="22"/>
            <w:szCs w:val="22"/>
          </w:rPr>
          <w:delText>Os outros componentes são manitol, ácido cítrico mono-hidratado, citrato de sódio, fosfato monossódico di-hidratado, fosfato dissódico di-hidratado, cloreto de sódio, polissorbato 80, hidróxido de sódio e água para preparações injetáveis.</w:delText>
        </w:r>
      </w:del>
    </w:p>
    <w:p w14:paraId="134EB4D9" w14:textId="797C1C28" w:rsidR="004462A0" w:rsidRPr="008912CF" w:rsidRDefault="004462A0" w:rsidP="004462A0">
      <w:pPr>
        <w:ind w:right="-2"/>
        <w:rPr>
          <w:del w:id="16271" w:author="AbbVie2" w:date="2025-05-14T10:25:00Z"/>
          <w:sz w:val="22"/>
          <w:szCs w:val="22"/>
        </w:rPr>
      </w:pPr>
    </w:p>
    <w:p w14:paraId="4D7C9ABC" w14:textId="2754BD54" w:rsidR="004462A0" w:rsidRPr="008912CF" w:rsidRDefault="00615769" w:rsidP="004462A0">
      <w:pPr>
        <w:pStyle w:val="Heading8"/>
        <w:keepNext w:val="0"/>
        <w:rPr>
          <w:del w:id="16272" w:author="AbbVie2" w:date="2025-05-14T10:25:00Z"/>
          <w:szCs w:val="22"/>
        </w:rPr>
      </w:pPr>
      <w:del w:id="16273" w:author="AbbVie2" w:date="2025-05-14T10:25:00Z">
        <w:r w:rsidRPr="008912CF">
          <w:rPr>
            <w:szCs w:val="22"/>
          </w:rPr>
          <w:delText>Qual o aspeto de Humira em caneta pré-cheia e conteúdo da embalagem</w:delText>
        </w:r>
      </w:del>
    </w:p>
    <w:p w14:paraId="4048F716" w14:textId="78F0014D" w:rsidR="004462A0" w:rsidRPr="008912CF" w:rsidRDefault="004462A0" w:rsidP="004462A0">
      <w:pPr>
        <w:ind w:right="-2"/>
        <w:rPr>
          <w:del w:id="16274" w:author="AbbVie2" w:date="2025-05-14T10:25:00Z"/>
          <w:sz w:val="22"/>
          <w:szCs w:val="22"/>
        </w:rPr>
      </w:pPr>
    </w:p>
    <w:p w14:paraId="4A3BEA32" w14:textId="78AADD7E" w:rsidR="004462A0" w:rsidRPr="008912CF" w:rsidRDefault="00615769" w:rsidP="004462A0">
      <w:pPr>
        <w:ind w:right="-2"/>
        <w:rPr>
          <w:del w:id="16275" w:author="AbbVie2" w:date="2025-05-14T10:25:00Z"/>
          <w:sz w:val="22"/>
          <w:szCs w:val="22"/>
        </w:rPr>
      </w:pPr>
      <w:del w:id="16276" w:author="AbbVie2" w:date="2025-05-14T10:25:00Z">
        <w:r w:rsidRPr="008912CF">
          <w:rPr>
            <w:sz w:val="22"/>
            <w:szCs w:val="22"/>
          </w:rPr>
          <w:delText>Humira 40 mg solução injetável em caneta pré-cheia é fornecido sob a forma de uma solução estéril contendo 40 mg de adalimumab dissolvido em 0,8 ml de solução.</w:delText>
        </w:r>
      </w:del>
    </w:p>
    <w:p w14:paraId="77946CE2" w14:textId="4E002129" w:rsidR="004462A0" w:rsidRPr="008912CF" w:rsidRDefault="004462A0" w:rsidP="004462A0">
      <w:pPr>
        <w:ind w:right="-2"/>
        <w:rPr>
          <w:del w:id="16277" w:author="AbbVie2" w:date="2025-05-14T10:25:00Z"/>
          <w:sz w:val="22"/>
          <w:szCs w:val="22"/>
        </w:rPr>
      </w:pPr>
    </w:p>
    <w:p w14:paraId="14220973" w14:textId="382EAD7D" w:rsidR="004462A0" w:rsidRPr="008912CF" w:rsidRDefault="00615769" w:rsidP="004462A0">
      <w:pPr>
        <w:ind w:right="-2"/>
        <w:rPr>
          <w:del w:id="16278" w:author="AbbVie2" w:date="2025-05-14T10:25:00Z"/>
          <w:sz w:val="22"/>
          <w:szCs w:val="22"/>
        </w:rPr>
      </w:pPr>
      <w:del w:id="16279" w:author="AbbVie2" w:date="2025-05-14T10:25:00Z">
        <w:r w:rsidRPr="008912CF">
          <w:rPr>
            <w:sz w:val="22"/>
            <w:szCs w:val="22"/>
          </w:rPr>
          <w:delText>A caneta pré-cheia de Humira é uma caneta de dose única de cor cinzenta e roxa que contém uma seringa de vidro com Humira. Contém duas tampas, uma de cor cinzenta marcada com “1”e outra de cor roxa marcada com “2”. Contém uma janela de cada lado da caneta, através da qual se pode ver a solução de Humira dentro da seringa.</w:delText>
        </w:r>
      </w:del>
    </w:p>
    <w:p w14:paraId="78D13141" w14:textId="71C25811" w:rsidR="004462A0" w:rsidRPr="008912CF" w:rsidRDefault="004462A0" w:rsidP="004462A0">
      <w:pPr>
        <w:ind w:right="-2"/>
        <w:rPr>
          <w:del w:id="16280" w:author="AbbVie2" w:date="2025-05-14T10:25:00Z"/>
          <w:sz w:val="22"/>
          <w:szCs w:val="22"/>
        </w:rPr>
      </w:pPr>
    </w:p>
    <w:p w14:paraId="0C5B7876" w14:textId="3337EDA3" w:rsidR="004462A0" w:rsidRPr="008912CF" w:rsidRDefault="00615769" w:rsidP="004462A0">
      <w:pPr>
        <w:rPr>
          <w:del w:id="16281" w:author="AbbVie2" w:date="2025-05-14T10:25:00Z"/>
          <w:sz w:val="22"/>
          <w:szCs w:val="22"/>
        </w:rPr>
      </w:pPr>
      <w:del w:id="16282" w:author="AbbVie2" w:date="2025-05-14T10:25:00Z">
        <w:r w:rsidRPr="008912CF">
          <w:rPr>
            <w:sz w:val="22"/>
            <w:szCs w:val="22"/>
          </w:rPr>
          <w:delText>Humira em caneta pré-cheia está disponível em embalagens contendo 1, 2, 4 e 6 canetas pré-cheias. A embalagem contendo 1 caneta pré-cheia contém 2 compressas embebidas em álcool. Para as embalagens de 2, 4 e 6 canetas pré-cheias, cada caneta pré-cheia contém 1 compressa embebida em álcool.  É possível que não sejam comercializadas todas as apresentações.</w:delText>
        </w:r>
      </w:del>
    </w:p>
    <w:p w14:paraId="2C29056F" w14:textId="03A46694" w:rsidR="004462A0" w:rsidRPr="008912CF" w:rsidRDefault="004462A0" w:rsidP="004462A0">
      <w:pPr>
        <w:rPr>
          <w:del w:id="16283" w:author="AbbVie2" w:date="2025-05-14T10:25:00Z"/>
          <w:sz w:val="22"/>
          <w:szCs w:val="22"/>
        </w:rPr>
      </w:pPr>
    </w:p>
    <w:p w14:paraId="3CC24080" w14:textId="55958D4E" w:rsidR="004462A0" w:rsidRPr="008912CF" w:rsidRDefault="00615769" w:rsidP="004462A0">
      <w:pPr>
        <w:rPr>
          <w:del w:id="16284" w:author="AbbVie2" w:date="2025-05-14T10:25:00Z"/>
          <w:sz w:val="22"/>
          <w:szCs w:val="22"/>
        </w:rPr>
      </w:pPr>
      <w:del w:id="16285" w:author="AbbVie2" w:date="2025-05-14T10:25:00Z">
        <w:r w:rsidRPr="008912CF">
          <w:rPr>
            <w:sz w:val="22"/>
            <w:szCs w:val="22"/>
          </w:rPr>
          <w:delText xml:space="preserve">Humira </w:delText>
        </w:r>
        <w:r w:rsidR="001E4E3E">
          <w:rPr>
            <w:sz w:val="22"/>
            <w:szCs w:val="22"/>
          </w:rPr>
          <w:delText>pode estar</w:delText>
        </w:r>
        <w:r w:rsidRPr="008912CF">
          <w:rPr>
            <w:sz w:val="22"/>
            <w:szCs w:val="22"/>
          </w:rPr>
          <w:delText xml:space="preserve"> disponível em frasco para injetáveis, em seringa pré-cheia e em caneta pré-cheia.</w:delText>
        </w:r>
      </w:del>
    </w:p>
    <w:p w14:paraId="03314BCA" w14:textId="655AC6B2" w:rsidR="004462A0" w:rsidRPr="008912CF" w:rsidRDefault="004462A0" w:rsidP="004462A0">
      <w:pPr>
        <w:ind w:right="-2"/>
        <w:rPr>
          <w:del w:id="16286" w:author="AbbVie2" w:date="2025-05-14T10:25:00Z"/>
          <w:sz w:val="22"/>
          <w:szCs w:val="22"/>
        </w:rPr>
      </w:pPr>
    </w:p>
    <w:p w14:paraId="15353D55" w14:textId="2AB07512" w:rsidR="004462A0" w:rsidRPr="008912CF" w:rsidRDefault="00615769" w:rsidP="004462A0">
      <w:pPr>
        <w:pStyle w:val="Heading8"/>
        <w:keepNext w:val="0"/>
        <w:rPr>
          <w:del w:id="16287" w:author="AbbVie2" w:date="2025-05-14T10:25:00Z"/>
          <w:szCs w:val="22"/>
        </w:rPr>
      </w:pPr>
      <w:del w:id="16288" w:author="AbbVie2" w:date="2025-05-14T10:25:00Z">
        <w:r w:rsidRPr="008912CF">
          <w:rPr>
            <w:szCs w:val="22"/>
          </w:rPr>
          <w:delText xml:space="preserve">Titular da Autorização de Introdução no Mercado </w:delText>
        </w:r>
      </w:del>
    </w:p>
    <w:p w14:paraId="367E9B28" w14:textId="4E87ED02" w:rsidR="004462A0" w:rsidRPr="008912CF" w:rsidRDefault="004462A0" w:rsidP="004462A0">
      <w:pPr>
        <w:ind w:right="-2"/>
        <w:rPr>
          <w:del w:id="16289" w:author="AbbVie2" w:date="2025-05-14T10:25:00Z"/>
          <w:sz w:val="22"/>
          <w:szCs w:val="22"/>
        </w:rPr>
      </w:pPr>
    </w:p>
    <w:p w14:paraId="32131DA1" w14:textId="3A13FA45" w:rsidR="0011744A" w:rsidRPr="00140752" w:rsidRDefault="00615769" w:rsidP="0011744A">
      <w:pPr>
        <w:tabs>
          <w:tab w:val="left" w:pos="720"/>
        </w:tabs>
        <w:rPr>
          <w:del w:id="16290" w:author="AbbVie2" w:date="2025-05-14T10:25:00Z"/>
          <w:sz w:val="22"/>
          <w:szCs w:val="22"/>
          <w:lang w:val="de-DE"/>
        </w:rPr>
      </w:pPr>
      <w:del w:id="16291" w:author="AbbVie2" w:date="2025-05-14T10:25:00Z">
        <w:r w:rsidRPr="00140752">
          <w:rPr>
            <w:sz w:val="22"/>
            <w:szCs w:val="22"/>
            <w:lang w:val="de-DE"/>
          </w:rPr>
          <w:delText>AbbVie Deutschland GmbH &amp; Co. KG</w:delText>
        </w:r>
      </w:del>
    </w:p>
    <w:p w14:paraId="22648A00" w14:textId="3FFDD27C" w:rsidR="0011744A" w:rsidRPr="00140752" w:rsidRDefault="00615769" w:rsidP="0011744A">
      <w:pPr>
        <w:tabs>
          <w:tab w:val="left" w:pos="720"/>
        </w:tabs>
        <w:rPr>
          <w:del w:id="16292" w:author="AbbVie2" w:date="2025-05-14T10:25:00Z"/>
          <w:sz w:val="22"/>
          <w:szCs w:val="22"/>
          <w:lang w:val="de-DE"/>
        </w:rPr>
      </w:pPr>
      <w:del w:id="16293" w:author="AbbVie2" w:date="2025-05-14T10:25:00Z">
        <w:r w:rsidRPr="00140752">
          <w:rPr>
            <w:sz w:val="22"/>
            <w:szCs w:val="22"/>
            <w:lang w:val="de-DE"/>
          </w:rPr>
          <w:delText>Knollstrasse</w:delText>
        </w:r>
      </w:del>
    </w:p>
    <w:p w14:paraId="060ED3AE" w14:textId="6E5BE3FE" w:rsidR="0011744A" w:rsidRPr="008D6D3A" w:rsidRDefault="00615769" w:rsidP="0011744A">
      <w:pPr>
        <w:tabs>
          <w:tab w:val="left" w:pos="720"/>
        </w:tabs>
        <w:rPr>
          <w:del w:id="16294" w:author="AbbVie2" w:date="2025-05-14T10:25:00Z"/>
          <w:sz w:val="22"/>
          <w:szCs w:val="22"/>
          <w:lang w:val="de-DE"/>
        </w:rPr>
      </w:pPr>
      <w:del w:id="16295" w:author="AbbVie2" w:date="2025-05-14T10:25:00Z">
        <w:r w:rsidRPr="008D6D3A">
          <w:rPr>
            <w:sz w:val="22"/>
            <w:szCs w:val="22"/>
            <w:lang w:val="de-DE"/>
          </w:rPr>
          <w:delText>67061 Ludwigshafen</w:delText>
        </w:r>
      </w:del>
    </w:p>
    <w:p w14:paraId="01DB7E1A" w14:textId="65DA3DC4" w:rsidR="004462A0" w:rsidRPr="008D6D3A" w:rsidRDefault="00615769" w:rsidP="004462A0">
      <w:pPr>
        <w:rPr>
          <w:del w:id="16296" w:author="AbbVie2" w:date="2025-05-14T10:25:00Z"/>
          <w:sz w:val="22"/>
          <w:szCs w:val="22"/>
          <w:lang w:val="de-DE"/>
        </w:rPr>
      </w:pPr>
      <w:del w:id="16297" w:author="AbbVie2" w:date="2025-05-14T10:25:00Z">
        <w:r w:rsidRPr="008D6D3A">
          <w:rPr>
            <w:sz w:val="22"/>
            <w:szCs w:val="22"/>
            <w:lang w:val="de-DE"/>
          </w:rPr>
          <w:delText>Alemanha</w:delText>
        </w:r>
      </w:del>
    </w:p>
    <w:p w14:paraId="5C814E49" w14:textId="008067AA" w:rsidR="004462A0" w:rsidRPr="008D6D3A" w:rsidRDefault="004462A0" w:rsidP="004462A0">
      <w:pPr>
        <w:ind w:right="-2"/>
        <w:rPr>
          <w:del w:id="16298" w:author="AbbVie2" w:date="2025-05-14T10:25:00Z"/>
          <w:sz w:val="22"/>
          <w:szCs w:val="22"/>
          <w:lang w:val="de-DE"/>
        </w:rPr>
      </w:pPr>
    </w:p>
    <w:p w14:paraId="67A5321E" w14:textId="2ED9AC50" w:rsidR="004462A0" w:rsidRPr="008D6D3A" w:rsidRDefault="00615769" w:rsidP="00040D46">
      <w:pPr>
        <w:keepNext/>
        <w:ind w:right="-2"/>
        <w:rPr>
          <w:del w:id="16299" w:author="AbbVie2" w:date="2025-05-14T10:25:00Z"/>
          <w:b/>
          <w:bCs/>
          <w:sz w:val="22"/>
          <w:szCs w:val="22"/>
          <w:lang w:val="de-DE"/>
        </w:rPr>
      </w:pPr>
      <w:del w:id="16300" w:author="AbbVie2" w:date="2025-05-14T10:25:00Z">
        <w:r w:rsidRPr="008D6D3A">
          <w:rPr>
            <w:b/>
            <w:bCs/>
            <w:sz w:val="22"/>
            <w:szCs w:val="22"/>
            <w:lang w:val="de-DE"/>
          </w:rPr>
          <w:delText>Fabricante</w:delText>
        </w:r>
      </w:del>
    </w:p>
    <w:p w14:paraId="47809372" w14:textId="6FB4487C" w:rsidR="004462A0" w:rsidRPr="008D6D3A" w:rsidRDefault="004462A0" w:rsidP="00040D46">
      <w:pPr>
        <w:keepNext/>
        <w:ind w:right="-2"/>
        <w:rPr>
          <w:del w:id="16301" w:author="AbbVie2" w:date="2025-05-14T10:25:00Z"/>
          <w:bCs/>
          <w:sz w:val="22"/>
          <w:szCs w:val="22"/>
          <w:lang w:val="de-DE"/>
        </w:rPr>
      </w:pPr>
    </w:p>
    <w:p w14:paraId="2AA5617E" w14:textId="28BBB085" w:rsidR="004462A0" w:rsidRPr="008D6D3A" w:rsidRDefault="00615769" w:rsidP="004462A0">
      <w:pPr>
        <w:tabs>
          <w:tab w:val="left" w:pos="562"/>
        </w:tabs>
        <w:suppressAutoHyphens/>
        <w:rPr>
          <w:del w:id="16302" w:author="AbbVie2" w:date="2025-05-14T10:25:00Z"/>
          <w:sz w:val="22"/>
          <w:lang w:val="de-CH"/>
        </w:rPr>
      </w:pPr>
      <w:del w:id="16303" w:author="AbbVie2" w:date="2025-05-14T10:25:00Z">
        <w:r w:rsidRPr="008D6D3A">
          <w:rPr>
            <w:sz w:val="22"/>
            <w:lang w:val="de-CH"/>
          </w:rPr>
          <w:delText>AbbVie Biotechnology GmbH</w:delText>
        </w:r>
      </w:del>
    </w:p>
    <w:p w14:paraId="2599F9E3" w14:textId="2D3B47C3" w:rsidR="004462A0" w:rsidRPr="002F2449" w:rsidRDefault="00615769" w:rsidP="004462A0">
      <w:pPr>
        <w:numPr>
          <w:ilvl w:val="12"/>
          <w:numId w:val="0"/>
        </w:numPr>
        <w:tabs>
          <w:tab w:val="left" w:pos="720"/>
        </w:tabs>
        <w:suppressAutoHyphens/>
        <w:rPr>
          <w:del w:id="16304" w:author="AbbVie2" w:date="2025-05-14T10:25:00Z"/>
          <w:sz w:val="22"/>
        </w:rPr>
      </w:pPr>
      <w:del w:id="16305" w:author="AbbVie2" w:date="2025-05-14T10:25:00Z">
        <w:r w:rsidRPr="002F2449">
          <w:rPr>
            <w:sz w:val="22"/>
          </w:rPr>
          <w:delText>Knollstrasse</w:delText>
        </w:r>
      </w:del>
    </w:p>
    <w:p w14:paraId="1F144E83" w14:textId="29547952" w:rsidR="004462A0" w:rsidRPr="002F2449" w:rsidRDefault="00615769" w:rsidP="004462A0">
      <w:pPr>
        <w:numPr>
          <w:ilvl w:val="12"/>
          <w:numId w:val="0"/>
        </w:numPr>
        <w:tabs>
          <w:tab w:val="left" w:pos="720"/>
        </w:tabs>
        <w:suppressAutoHyphens/>
        <w:rPr>
          <w:del w:id="16306" w:author="AbbVie2" w:date="2025-05-14T10:25:00Z"/>
          <w:sz w:val="22"/>
        </w:rPr>
      </w:pPr>
      <w:del w:id="16307" w:author="AbbVie2" w:date="2025-05-14T10:25:00Z">
        <w:r w:rsidRPr="002F2449">
          <w:rPr>
            <w:sz w:val="22"/>
          </w:rPr>
          <w:delText>67061 Ludwigshafen</w:delText>
        </w:r>
      </w:del>
    </w:p>
    <w:p w14:paraId="6914B148" w14:textId="44603E56" w:rsidR="004462A0" w:rsidRPr="002F2449" w:rsidRDefault="00615769" w:rsidP="004462A0">
      <w:pPr>
        <w:ind w:right="-2"/>
        <w:rPr>
          <w:del w:id="16308" w:author="AbbVie2" w:date="2025-05-14T10:25:00Z"/>
          <w:sz w:val="22"/>
        </w:rPr>
      </w:pPr>
      <w:del w:id="16309" w:author="AbbVie2" w:date="2025-05-14T10:25:00Z">
        <w:r w:rsidRPr="002F2449">
          <w:rPr>
            <w:sz w:val="22"/>
          </w:rPr>
          <w:delText>Alemanha</w:delText>
        </w:r>
      </w:del>
    </w:p>
    <w:p w14:paraId="59E2121D" w14:textId="3B443957" w:rsidR="004462A0" w:rsidRPr="002F2449" w:rsidRDefault="004462A0" w:rsidP="004462A0">
      <w:pPr>
        <w:ind w:right="-2"/>
        <w:rPr>
          <w:del w:id="16310" w:author="AbbVie2" w:date="2025-05-14T10:25:00Z"/>
          <w:sz w:val="22"/>
          <w:szCs w:val="22"/>
        </w:rPr>
      </w:pPr>
    </w:p>
    <w:p w14:paraId="50DDBF25" w14:textId="062981B0" w:rsidR="004462A0" w:rsidRPr="008912CF" w:rsidRDefault="00615769" w:rsidP="004462A0">
      <w:pPr>
        <w:ind w:right="-2"/>
        <w:rPr>
          <w:del w:id="16311" w:author="AbbVie2" w:date="2025-05-14T10:25:00Z"/>
          <w:sz w:val="22"/>
          <w:szCs w:val="22"/>
        </w:rPr>
      </w:pPr>
      <w:del w:id="16312" w:author="AbbVie2" w:date="2025-05-14T10:25:00Z">
        <w:r w:rsidRPr="008912CF">
          <w:rPr>
            <w:sz w:val="22"/>
            <w:szCs w:val="22"/>
          </w:rPr>
          <w:delText>Para quaisquer informações sobre este medicamento, queira contactar o representante local do Titular d</w:delText>
        </w:r>
        <w:r w:rsidR="004E51CA">
          <w:rPr>
            <w:sz w:val="22"/>
            <w:szCs w:val="22"/>
          </w:rPr>
          <w:delText>a</w:delText>
        </w:r>
        <w:r w:rsidRPr="008912CF">
          <w:rPr>
            <w:sz w:val="22"/>
            <w:szCs w:val="22"/>
          </w:rPr>
          <w:delText xml:space="preserve"> Autorização de Introdução no Mercado</w:delText>
        </w:r>
        <w:r w:rsidR="004D2A1C">
          <w:rPr>
            <w:sz w:val="22"/>
            <w:szCs w:val="22"/>
          </w:rPr>
          <w:delText>:</w:delText>
        </w:r>
      </w:del>
    </w:p>
    <w:p w14:paraId="65FADBC3" w14:textId="0160F118" w:rsidR="004462A0" w:rsidRPr="008912CF" w:rsidRDefault="004462A0" w:rsidP="004462A0">
      <w:pPr>
        <w:rPr>
          <w:del w:id="16313" w:author="AbbVie2" w:date="2025-05-14T10:25:00Z"/>
        </w:rPr>
      </w:pPr>
    </w:p>
    <w:tbl>
      <w:tblPr>
        <w:tblW w:w="9356" w:type="dxa"/>
        <w:tblInd w:w="-34" w:type="dxa"/>
        <w:tblLayout w:type="fixed"/>
        <w:tblLook w:val="0000" w:firstRow="0" w:lastRow="0" w:firstColumn="0" w:lastColumn="0" w:noHBand="0" w:noVBand="0"/>
      </w:tblPr>
      <w:tblGrid>
        <w:gridCol w:w="34"/>
        <w:gridCol w:w="4610"/>
        <w:gridCol w:w="34"/>
        <w:gridCol w:w="4678"/>
      </w:tblGrid>
      <w:tr w:rsidR="00A7162A" w14:paraId="1DADB0ED" w14:textId="51A2BCB6" w:rsidTr="001F79B0">
        <w:trPr>
          <w:del w:id="16314" w:author="AbbVie2" w:date="2025-05-14T10:25:00Z"/>
        </w:trPr>
        <w:tc>
          <w:tcPr>
            <w:tcW w:w="4644" w:type="dxa"/>
            <w:gridSpan w:val="2"/>
          </w:tcPr>
          <w:p w14:paraId="63CDA234" w14:textId="4FB85946" w:rsidR="00012D36" w:rsidRPr="00346547" w:rsidRDefault="00615769" w:rsidP="001F79B0">
            <w:pPr>
              <w:rPr>
                <w:del w:id="16315" w:author="AbbVie2" w:date="2025-05-14T10:25:00Z"/>
                <w:b/>
                <w:bCs/>
                <w:sz w:val="22"/>
                <w:szCs w:val="22"/>
                <w:lang w:val="fr-BE"/>
              </w:rPr>
            </w:pPr>
            <w:del w:id="16316" w:author="AbbVie2" w:date="2025-05-14T10:25:00Z">
              <w:r w:rsidRPr="00346547">
                <w:rPr>
                  <w:b/>
                  <w:bCs/>
                  <w:sz w:val="22"/>
                  <w:szCs w:val="22"/>
                  <w:lang w:val="fr-BE"/>
                </w:rPr>
                <w:delText>België/Belgique/Belgien</w:delText>
              </w:r>
            </w:del>
          </w:p>
          <w:p w14:paraId="62D480FA" w14:textId="02E5D99F" w:rsidR="00012D36" w:rsidRPr="00346547" w:rsidRDefault="00615769" w:rsidP="001F79B0">
            <w:pPr>
              <w:tabs>
                <w:tab w:val="center" w:pos="2214"/>
              </w:tabs>
              <w:rPr>
                <w:del w:id="16317" w:author="AbbVie2" w:date="2025-05-14T10:25:00Z"/>
                <w:bCs/>
                <w:sz w:val="22"/>
                <w:szCs w:val="22"/>
                <w:lang w:val="fr-FR"/>
              </w:rPr>
            </w:pPr>
            <w:del w:id="16318" w:author="AbbVie2" w:date="2025-05-14T10:25:00Z">
              <w:r w:rsidRPr="00346547">
                <w:rPr>
                  <w:bCs/>
                  <w:sz w:val="22"/>
                  <w:szCs w:val="22"/>
                  <w:lang w:val="fr-FR"/>
                </w:rPr>
                <w:delText>AbbVie SA</w:delText>
              </w:r>
            </w:del>
          </w:p>
          <w:p w14:paraId="0D64D9BB" w14:textId="0CAE26C5" w:rsidR="00012D36" w:rsidRPr="00346547" w:rsidRDefault="00615769" w:rsidP="001F79B0">
            <w:pPr>
              <w:rPr>
                <w:del w:id="16319" w:author="AbbVie2" w:date="2025-05-14T10:25:00Z"/>
                <w:sz w:val="22"/>
                <w:szCs w:val="22"/>
                <w:lang w:val="fr-FR"/>
              </w:rPr>
            </w:pPr>
            <w:del w:id="16320" w:author="AbbVie2" w:date="2025-05-14T10:25:00Z">
              <w:r w:rsidRPr="00346547">
                <w:rPr>
                  <w:bCs/>
                  <w:sz w:val="22"/>
                  <w:szCs w:val="22"/>
                  <w:lang w:val="fr-FR"/>
                </w:rPr>
                <w:delText xml:space="preserve">Tél/Tel: +32 10 </w:delText>
              </w:r>
              <w:r w:rsidRPr="00346547">
                <w:rPr>
                  <w:sz w:val="22"/>
                  <w:szCs w:val="22"/>
                  <w:lang w:val="fr-FR"/>
                </w:rPr>
                <w:delText>477811</w:delText>
              </w:r>
            </w:del>
          </w:p>
          <w:p w14:paraId="7101856A" w14:textId="10120F23" w:rsidR="00012D36" w:rsidRPr="00346547" w:rsidRDefault="00012D36" w:rsidP="001F79B0">
            <w:pPr>
              <w:rPr>
                <w:del w:id="16321" w:author="AbbVie2" w:date="2025-05-14T10:25:00Z"/>
                <w:bCs/>
                <w:sz w:val="22"/>
                <w:szCs w:val="22"/>
                <w:lang w:val="fr-FR"/>
              </w:rPr>
            </w:pPr>
          </w:p>
        </w:tc>
        <w:tc>
          <w:tcPr>
            <w:tcW w:w="4678" w:type="dxa"/>
            <w:gridSpan w:val="2"/>
          </w:tcPr>
          <w:p w14:paraId="62683355" w14:textId="4118DFB4" w:rsidR="00012D36" w:rsidRPr="00346547" w:rsidRDefault="00615769" w:rsidP="001F79B0">
            <w:pPr>
              <w:rPr>
                <w:del w:id="16322" w:author="AbbVie2" w:date="2025-05-14T10:25:00Z"/>
                <w:b/>
                <w:bCs/>
                <w:sz w:val="22"/>
                <w:szCs w:val="22"/>
                <w:lang w:val="lt-LT"/>
              </w:rPr>
            </w:pPr>
            <w:del w:id="16323" w:author="AbbVie2" w:date="2025-05-14T10:25:00Z">
              <w:r w:rsidRPr="00346547">
                <w:rPr>
                  <w:b/>
                  <w:bCs/>
                  <w:sz w:val="22"/>
                  <w:szCs w:val="22"/>
                  <w:lang w:val="lt-LT"/>
                </w:rPr>
                <w:delText>Lietuva</w:delText>
              </w:r>
            </w:del>
          </w:p>
          <w:p w14:paraId="52863F96" w14:textId="3A9C5788" w:rsidR="00012D36" w:rsidRPr="00346547" w:rsidRDefault="00615769" w:rsidP="001F79B0">
            <w:pPr>
              <w:rPr>
                <w:del w:id="16324" w:author="AbbVie2" w:date="2025-05-14T10:25:00Z"/>
                <w:bCs/>
                <w:sz w:val="22"/>
                <w:szCs w:val="22"/>
                <w:lang w:val="lv-LV"/>
              </w:rPr>
            </w:pPr>
            <w:del w:id="16325" w:author="AbbVie2" w:date="2025-05-14T10:25:00Z">
              <w:r w:rsidRPr="00346547">
                <w:rPr>
                  <w:bCs/>
                  <w:sz w:val="22"/>
                  <w:szCs w:val="22"/>
                  <w:lang w:val="lv-LV"/>
                </w:rPr>
                <w:delText xml:space="preserve">AbbVie UAB </w:delText>
              </w:r>
            </w:del>
          </w:p>
          <w:p w14:paraId="03423310" w14:textId="1CFA83E5" w:rsidR="00012D36" w:rsidRPr="00346547" w:rsidRDefault="00615769" w:rsidP="001F79B0">
            <w:pPr>
              <w:jc w:val="both"/>
              <w:rPr>
                <w:del w:id="16326" w:author="AbbVie2" w:date="2025-05-14T10:25:00Z"/>
                <w:bCs/>
                <w:sz w:val="22"/>
                <w:szCs w:val="22"/>
                <w:lang w:val="lv-LV"/>
              </w:rPr>
            </w:pPr>
            <w:del w:id="16327" w:author="AbbVie2" w:date="2025-05-14T10:25:00Z">
              <w:r w:rsidRPr="00346547">
                <w:rPr>
                  <w:bCs/>
                  <w:sz w:val="22"/>
                  <w:szCs w:val="22"/>
                  <w:lang w:val="lv-LV"/>
                </w:rPr>
                <w:delText>Tel: +370 5 205 3023</w:delText>
              </w:r>
            </w:del>
          </w:p>
        </w:tc>
      </w:tr>
      <w:tr w:rsidR="00A7162A" w14:paraId="3C933C64" w14:textId="3685134A" w:rsidTr="001F79B0">
        <w:trPr>
          <w:del w:id="16328" w:author="AbbVie2" w:date="2025-05-14T10:25:00Z"/>
        </w:trPr>
        <w:tc>
          <w:tcPr>
            <w:tcW w:w="4644" w:type="dxa"/>
            <w:gridSpan w:val="2"/>
          </w:tcPr>
          <w:p w14:paraId="2B692BD9" w14:textId="6E4F6EEA" w:rsidR="00012D36" w:rsidRPr="00346547" w:rsidRDefault="00615769" w:rsidP="001F79B0">
            <w:pPr>
              <w:autoSpaceDE w:val="0"/>
              <w:autoSpaceDN w:val="0"/>
              <w:adjustRightInd w:val="0"/>
              <w:rPr>
                <w:del w:id="16329" w:author="AbbVie2" w:date="2025-05-14T10:25:00Z"/>
                <w:b/>
                <w:bCs/>
                <w:sz w:val="22"/>
                <w:szCs w:val="22"/>
                <w:lang w:val="bg-BG"/>
              </w:rPr>
            </w:pPr>
            <w:del w:id="16330" w:author="AbbVie2" w:date="2025-05-14T10:25:00Z">
              <w:r w:rsidRPr="00346547">
                <w:rPr>
                  <w:b/>
                  <w:bCs/>
                  <w:sz w:val="22"/>
                  <w:szCs w:val="22"/>
                  <w:lang w:val="bg-BG"/>
                </w:rPr>
                <w:delText>България</w:delText>
              </w:r>
            </w:del>
          </w:p>
          <w:p w14:paraId="7CC3F3B4" w14:textId="70AFF3D8" w:rsidR="00012D36" w:rsidRPr="00346547" w:rsidRDefault="00615769" w:rsidP="001F79B0">
            <w:pPr>
              <w:autoSpaceDE w:val="0"/>
              <w:autoSpaceDN w:val="0"/>
              <w:adjustRightInd w:val="0"/>
              <w:rPr>
                <w:del w:id="16331" w:author="AbbVie2" w:date="2025-05-14T10:25:00Z"/>
                <w:sz w:val="22"/>
                <w:szCs w:val="22"/>
                <w:lang w:val="da-DK"/>
              </w:rPr>
            </w:pPr>
            <w:del w:id="16332" w:author="AbbVie2" w:date="2025-05-14T10:25:00Z">
              <w:r w:rsidRPr="00346547">
                <w:rPr>
                  <w:rFonts w:eastAsia="MS Mincho"/>
                  <w:sz w:val="22"/>
                  <w:szCs w:val="22"/>
                  <w:lang w:eastAsia="ja-JP"/>
                </w:rPr>
                <w:delText>АбВи ЕООД</w:delText>
              </w:r>
            </w:del>
          </w:p>
          <w:p w14:paraId="0469325C" w14:textId="3FA8E339" w:rsidR="00012D36" w:rsidRPr="00346547" w:rsidRDefault="00615769" w:rsidP="001F79B0">
            <w:pPr>
              <w:tabs>
                <w:tab w:val="left" w:pos="-720"/>
              </w:tabs>
              <w:rPr>
                <w:del w:id="16333" w:author="AbbVie2" w:date="2025-05-14T10:25:00Z"/>
                <w:bCs/>
                <w:sz w:val="22"/>
                <w:szCs w:val="22"/>
                <w:lang w:val="da-DK"/>
              </w:rPr>
            </w:pPr>
            <w:del w:id="16334" w:author="AbbVie2" w:date="2025-05-14T10:25:00Z">
              <w:r w:rsidRPr="00346547">
                <w:rPr>
                  <w:rFonts w:eastAsia="MS Mincho"/>
                  <w:sz w:val="22"/>
                  <w:szCs w:val="22"/>
                  <w:lang w:eastAsia="ja-JP"/>
                </w:rPr>
                <w:delText>Тел</w:delText>
              </w:r>
              <w:r w:rsidRPr="00346547">
                <w:rPr>
                  <w:rFonts w:eastAsia="MS Mincho"/>
                  <w:sz w:val="22"/>
                  <w:szCs w:val="22"/>
                  <w:lang w:val="it-IT" w:eastAsia="ja-JP"/>
                </w:rPr>
                <w:delText>.:+359 2 90 30 430</w:delText>
              </w:r>
            </w:del>
          </w:p>
        </w:tc>
        <w:tc>
          <w:tcPr>
            <w:tcW w:w="4678" w:type="dxa"/>
            <w:gridSpan w:val="2"/>
          </w:tcPr>
          <w:p w14:paraId="52BDB189" w14:textId="28AB079E" w:rsidR="00012D36" w:rsidRPr="00346547" w:rsidRDefault="00615769" w:rsidP="001F79B0">
            <w:pPr>
              <w:rPr>
                <w:del w:id="16335" w:author="AbbVie2" w:date="2025-05-14T10:25:00Z"/>
                <w:b/>
                <w:bCs/>
                <w:sz w:val="22"/>
                <w:szCs w:val="22"/>
                <w:lang w:val="de-DE"/>
              </w:rPr>
            </w:pPr>
            <w:del w:id="16336" w:author="AbbVie2" w:date="2025-05-14T10:25:00Z">
              <w:r w:rsidRPr="00346547">
                <w:rPr>
                  <w:b/>
                  <w:bCs/>
                  <w:sz w:val="22"/>
                  <w:szCs w:val="22"/>
                  <w:lang w:val="de-DE"/>
                </w:rPr>
                <w:delText>Luxembourg/Luxemburg</w:delText>
              </w:r>
            </w:del>
          </w:p>
          <w:p w14:paraId="5250C4DD" w14:textId="4BA8248F" w:rsidR="00012D36" w:rsidRPr="00346547" w:rsidRDefault="00615769" w:rsidP="001F79B0">
            <w:pPr>
              <w:rPr>
                <w:del w:id="16337" w:author="AbbVie2" w:date="2025-05-14T10:25:00Z"/>
                <w:bCs/>
                <w:sz w:val="22"/>
                <w:szCs w:val="22"/>
                <w:lang w:val="de-DE"/>
              </w:rPr>
            </w:pPr>
            <w:del w:id="16338" w:author="AbbVie2" w:date="2025-05-14T10:25:00Z">
              <w:r w:rsidRPr="00346547">
                <w:rPr>
                  <w:bCs/>
                  <w:sz w:val="22"/>
                  <w:szCs w:val="22"/>
                  <w:lang w:val="de-DE"/>
                </w:rPr>
                <w:delText>AbbVie SA</w:delText>
              </w:r>
            </w:del>
          </w:p>
          <w:p w14:paraId="7F9D21EE" w14:textId="759B4534" w:rsidR="00012D36" w:rsidRPr="00346547" w:rsidRDefault="00615769" w:rsidP="001F79B0">
            <w:pPr>
              <w:tabs>
                <w:tab w:val="center" w:pos="2231"/>
              </w:tabs>
              <w:rPr>
                <w:del w:id="16339" w:author="AbbVie2" w:date="2025-05-14T10:25:00Z"/>
                <w:bCs/>
                <w:sz w:val="22"/>
                <w:szCs w:val="22"/>
                <w:lang w:val="de-DE"/>
              </w:rPr>
            </w:pPr>
            <w:del w:id="16340" w:author="AbbVie2" w:date="2025-05-14T10:25:00Z">
              <w:r w:rsidRPr="00346547">
                <w:rPr>
                  <w:bCs/>
                  <w:sz w:val="22"/>
                  <w:szCs w:val="22"/>
                  <w:lang w:val="de-DE"/>
                </w:rPr>
                <w:delText>Belgique/Belgien</w:delText>
              </w:r>
            </w:del>
          </w:p>
          <w:p w14:paraId="4A2BAAE3" w14:textId="79E56A1F" w:rsidR="00012D36" w:rsidRPr="00346547" w:rsidRDefault="00615769" w:rsidP="001F79B0">
            <w:pPr>
              <w:rPr>
                <w:del w:id="16341" w:author="AbbVie2" w:date="2025-05-14T10:25:00Z"/>
                <w:bCs/>
                <w:sz w:val="22"/>
                <w:szCs w:val="22"/>
                <w:lang w:val="fr-FR"/>
              </w:rPr>
            </w:pPr>
            <w:del w:id="16342" w:author="AbbVie2" w:date="2025-05-14T10:25:00Z">
              <w:r w:rsidRPr="00346547">
                <w:rPr>
                  <w:bCs/>
                  <w:sz w:val="22"/>
                  <w:szCs w:val="22"/>
                  <w:lang w:val="fr-FR"/>
                </w:rPr>
                <w:delText>Tél/Tel: +32 10 477811</w:delText>
              </w:r>
            </w:del>
          </w:p>
          <w:p w14:paraId="08479106" w14:textId="71251434" w:rsidR="00012D36" w:rsidRPr="00346547" w:rsidRDefault="00012D36" w:rsidP="001F79B0">
            <w:pPr>
              <w:rPr>
                <w:del w:id="16343" w:author="AbbVie2" w:date="2025-05-14T10:25:00Z"/>
                <w:bCs/>
                <w:sz w:val="22"/>
                <w:szCs w:val="22"/>
                <w:lang w:val="fr-FR"/>
              </w:rPr>
            </w:pPr>
          </w:p>
        </w:tc>
      </w:tr>
      <w:tr w:rsidR="00A7162A" w14:paraId="2F919A43" w14:textId="73F6BB28" w:rsidTr="001F79B0">
        <w:trPr>
          <w:del w:id="16344" w:author="AbbVie2" w:date="2025-05-14T10:25:00Z"/>
        </w:trPr>
        <w:tc>
          <w:tcPr>
            <w:tcW w:w="4644" w:type="dxa"/>
            <w:gridSpan w:val="2"/>
          </w:tcPr>
          <w:p w14:paraId="77809E6B" w14:textId="3AC42877" w:rsidR="00012D36" w:rsidRPr="00346547" w:rsidRDefault="00615769" w:rsidP="001F79B0">
            <w:pPr>
              <w:keepNext/>
              <w:rPr>
                <w:del w:id="16345" w:author="AbbVie2" w:date="2025-05-14T10:25:00Z"/>
                <w:b/>
                <w:bCs/>
                <w:sz w:val="22"/>
                <w:szCs w:val="22"/>
              </w:rPr>
            </w:pPr>
            <w:del w:id="16346" w:author="AbbVie2" w:date="2025-05-14T10:25:00Z">
              <w:r w:rsidRPr="00346547">
                <w:rPr>
                  <w:b/>
                  <w:bCs/>
                  <w:sz w:val="22"/>
                  <w:szCs w:val="22"/>
                </w:rPr>
                <w:delText>Česká republika</w:delText>
              </w:r>
            </w:del>
          </w:p>
          <w:p w14:paraId="1C4A63C3" w14:textId="5183B628" w:rsidR="00012D36" w:rsidRPr="00346547" w:rsidRDefault="00615769" w:rsidP="001F79B0">
            <w:pPr>
              <w:keepNext/>
              <w:rPr>
                <w:del w:id="16347" w:author="AbbVie2" w:date="2025-05-14T10:25:00Z"/>
                <w:bCs/>
                <w:sz w:val="22"/>
                <w:szCs w:val="22"/>
              </w:rPr>
            </w:pPr>
            <w:del w:id="16348" w:author="AbbVie2" w:date="2025-05-14T10:25:00Z">
              <w:r w:rsidRPr="00346547">
                <w:rPr>
                  <w:bCs/>
                  <w:sz w:val="22"/>
                  <w:szCs w:val="22"/>
                </w:rPr>
                <w:delText xml:space="preserve">AbbVie s.r.o. </w:delText>
              </w:r>
            </w:del>
          </w:p>
          <w:p w14:paraId="6CE1F11A" w14:textId="477D4D25" w:rsidR="00012D36" w:rsidRPr="00346547" w:rsidRDefault="00615769" w:rsidP="001F79B0">
            <w:pPr>
              <w:keepNext/>
              <w:rPr>
                <w:del w:id="16349" w:author="AbbVie2" w:date="2025-05-14T10:25:00Z"/>
                <w:bCs/>
                <w:sz w:val="22"/>
                <w:szCs w:val="22"/>
              </w:rPr>
            </w:pPr>
            <w:del w:id="16350" w:author="AbbVie2" w:date="2025-05-14T10:25:00Z">
              <w:r w:rsidRPr="00346547">
                <w:rPr>
                  <w:bCs/>
                  <w:sz w:val="22"/>
                  <w:szCs w:val="22"/>
                </w:rPr>
                <w:delText>Tel: +420 233 098 111</w:delText>
              </w:r>
            </w:del>
          </w:p>
        </w:tc>
        <w:tc>
          <w:tcPr>
            <w:tcW w:w="4678" w:type="dxa"/>
            <w:gridSpan w:val="2"/>
          </w:tcPr>
          <w:p w14:paraId="32EB544E" w14:textId="432F741F" w:rsidR="00012D36" w:rsidRPr="00346547" w:rsidRDefault="00615769" w:rsidP="001F79B0">
            <w:pPr>
              <w:keepNext/>
              <w:rPr>
                <w:del w:id="16351" w:author="AbbVie2" w:date="2025-05-14T10:25:00Z"/>
                <w:b/>
                <w:bCs/>
                <w:sz w:val="22"/>
                <w:szCs w:val="22"/>
                <w:lang w:val="hu-HU"/>
              </w:rPr>
            </w:pPr>
            <w:del w:id="16352" w:author="AbbVie2" w:date="2025-05-14T10:25:00Z">
              <w:r w:rsidRPr="00346547">
                <w:rPr>
                  <w:b/>
                  <w:bCs/>
                  <w:sz w:val="22"/>
                  <w:szCs w:val="22"/>
                  <w:lang w:val="hu-HU"/>
                </w:rPr>
                <w:delText>Magyarország</w:delText>
              </w:r>
            </w:del>
          </w:p>
          <w:p w14:paraId="090DF082" w14:textId="5BE18880" w:rsidR="00012D36" w:rsidRPr="00346547" w:rsidRDefault="00615769" w:rsidP="001F79B0">
            <w:pPr>
              <w:keepNext/>
              <w:rPr>
                <w:del w:id="16353" w:author="AbbVie2" w:date="2025-05-14T10:25:00Z"/>
                <w:bCs/>
                <w:sz w:val="22"/>
                <w:szCs w:val="22"/>
                <w:lang w:val="hu-HU"/>
              </w:rPr>
            </w:pPr>
            <w:del w:id="16354" w:author="AbbVie2" w:date="2025-05-14T10:25:00Z">
              <w:r w:rsidRPr="00346547">
                <w:rPr>
                  <w:bCs/>
                  <w:sz w:val="22"/>
                  <w:szCs w:val="22"/>
                  <w:lang w:val="hu-HU"/>
                </w:rPr>
                <w:delText>AbbVie Kft.</w:delText>
              </w:r>
            </w:del>
          </w:p>
          <w:p w14:paraId="76D0593B" w14:textId="53D8D1BE" w:rsidR="00012D36" w:rsidRPr="00346547" w:rsidRDefault="00615769" w:rsidP="001F79B0">
            <w:pPr>
              <w:keepNext/>
              <w:tabs>
                <w:tab w:val="left" w:pos="562"/>
                <w:tab w:val="left" w:pos="2380"/>
              </w:tabs>
              <w:rPr>
                <w:del w:id="16355" w:author="AbbVie2" w:date="2025-05-14T10:25:00Z"/>
                <w:bCs/>
                <w:sz w:val="22"/>
                <w:szCs w:val="22"/>
                <w:lang w:val="hu-HU"/>
              </w:rPr>
            </w:pPr>
            <w:del w:id="16356" w:author="AbbVie2" w:date="2025-05-14T10:25:00Z">
              <w:r w:rsidRPr="00346547">
                <w:rPr>
                  <w:bCs/>
                  <w:sz w:val="22"/>
                  <w:szCs w:val="22"/>
                  <w:lang w:val="hu-HU"/>
                </w:rPr>
                <w:delText>Tel.:+36 1 455 8600</w:delText>
              </w:r>
            </w:del>
          </w:p>
          <w:p w14:paraId="31FC1A81" w14:textId="3FF34DA6" w:rsidR="00012D36" w:rsidRPr="00346547" w:rsidRDefault="00012D36" w:rsidP="001F79B0">
            <w:pPr>
              <w:keepNext/>
              <w:tabs>
                <w:tab w:val="left" w:pos="562"/>
                <w:tab w:val="left" w:pos="2380"/>
              </w:tabs>
              <w:rPr>
                <w:del w:id="16357" w:author="AbbVie2" w:date="2025-05-14T10:25:00Z"/>
                <w:bCs/>
                <w:sz w:val="22"/>
                <w:szCs w:val="22"/>
                <w:lang w:val="hu-HU"/>
              </w:rPr>
            </w:pPr>
          </w:p>
        </w:tc>
      </w:tr>
      <w:tr w:rsidR="00A7162A" w14:paraId="7BFDC5EB" w14:textId="331E5AF2" w:rsidTr="001F79B0">
        <w:trPr>
          <w:trHeight w:val="737"/>
          <w:del w:id="16358" w:author="AbbVie2" w:date="2025-05-14T10:25:00Z"/>
        </w:trPr>
        <w:tc>
          <w:tcPr>
            <w:tcW w:w="4644" w:type="dxa"/>
            <w:gridSpan w:val="2"/>
          </w:tcPr>
          <w:p w14:paraId="7FD7B62E" w14:textId="7DD2C84C" w:rsidR="00012D36" w:rsidRPr="00FF65EF" w:rsidRDefault="00615769" w:rsidP="001F79B0">
            <w:pPr>
              <w:rPr>
                <w:del w:id="16359" w:author="AbbVie2" w:date="2025-05-14T10:25:00Z"/>
                <w:b/>
                <w:bCs/>
                <w:sz w:val="22"/>
                <w:szCs w:val="22"/>
                <w:rPrChange w:id="16360" w:author="AbbVie2" w:date="2025-05-14T12:36:00Z">
                  <w:rPr>
                    <w:del w:id="16361" w:author="AbbVie2" w:date="2025-05-14T10:25:00Z"/>
                    <w:b/>
                    <w:bCs/>
                    <w:sz w:val="22"/>
                    <w:szCs w:val="22"/>
                    <w:lang w:val="en-US"/>
                  </w:rPr>
                </w:rPrChange>
              </w:rPr>
            </w:pPr>
            <w:del w:id="16362" w:author="AbbVie2" w:date="2025-05-14T10:25:00Z">
              <w:r w:rsidRPr="00FF65EF">
                <w:rPr>
                  <w:b/>
                  <w:bCs/>
                  <w:sz w:val="22"/>
                  <w:szCs w:val="22"/>
                  <w:rPrChange w:id="16363" w:author="AbbVie2" w:date="2025-05-14T12:36:00Z">
                    <w:rPr>
                      <w:b/>
                      <w:bCs/>
                      <w:sz w:val="22"/>
                      <w:szCs w:val="22"/>
                      <w:lang w:val="en-US"/>
                    </w:rPr>
                  </w:rPrChange>
                </w:rPr>
                <w:delText>Danmark</w:delText>
              </w:r>
            </w:del>
          </w:p>
          <w:p w14:paraId="11750B9C" w14:textId="3170E147" w:rsidR="00012D36" w:rsidRPr="00FF65EF" w:rsidRDefault="00615769" w:rsidP="001F79B0">
            <w:pPr>
              <w:rPr>
                <w:del w:id="16364" w:author="AbbVie2" w:date="2025-05-14T10:25:00Z"/>
                <w:bCs/>
                <w:sz w:val="22"/>
                <w:szCs w:val="22"/>
                <w:rPrChange w:id="16365" w:author="AbbVie2" w:date="2025-05-14T12:36:00Z">
                  <w:rPr>
                    <w:del w:id="16366" w:author="AbbVie2" w:date="2025-05-14T10:25:00Z"/>
                    <w:bCs/>
                    <w:sz w:val="22"/>
                    <w:szCs w:val="22"/>
                    <w:lang w:val="en-US"/>
                  </w:rPr>
                </w:rPrChange>
              </w:rPr>
            </w:pPr>
            <w:del w:id="16367" w:author="AbbVie2" w:date="2025-05-14T10:25:00Z">
              <w:r w:rsidRPr="00FF65EF">
                <w:rPr>
                  <w:bCs/>
                  <w:sz w:val="22"/>
                  <w:szCs w:val="22"/>
                  <w:rPrChange w:id="16368" w:author="AbbVie2" w:date="2025-05-14T12:36:00Z">
                    <w:rPr>
                      <w:bCs/>
                      <w:sz w:val="22"/>
                      <w:szCs w:val="22"/>
                      <w:lang w:val="en-US"/>
                    </w:rPr>
                  </w:rPrChange>
                </w:rPr>
                <w:delText>AbbVie A/S</w:delText>
              </w:r>
            </w:del>
          </w:p>
          <w:p w14:paraId="524B0DC1" w14:textId="25E8D41F" w:rsidR="00012D36" w:rsidRPr="00FF65EF" w:rsidRDefault="00615769" w:rsidP="001F79B0">
            <w:pPr>
              <w:rPr>
                <w:del w:id="16369" w:author="AbbVie2" w:date="2025-05-14T10:25:00Z"/>
                <w:bCs/>
                <w:sz w:val="22"/>
                <w:szCs w:val="22"/>
                <w:rPrChange w:id="16370" w:author="AbbVie2" w:date="2025-05-14T12:36:00Z">
                  <w:rPr>
                    <w:del w:id="16371" w:author="AbbVie2" w:date="2025-05-14T10:25:00Z"/>
                    <w:bCs/>
                    <w:sz w:val="22"/>
                    <w:szCs w:val="22"/>
                    <w:lang w:val="en-US"/>
                  </w:rPr>
                </w:rPrChange>
              </w:rPr>
            </w:pPr>
            <w:del w:id="16372" w:author="AbbVie2" w:date="2025-05-14T10:25:00Z">
              <w:r w:rsidRPr="00FF65EF">
                <w:rPr>
                  <w:bCs/>
                  <w:sz w:val="22"/>
                  <w:szCs w:val="22"/>
                  <w:rPrChange w:id="16373" w:author="AbbVie2" w:date="2025-05-14T12:36:00Z">
                    <w:rPr>
                      <w:bCs/>
                      <w:sz w:val="22"/>
                      <w:szCs w:val="22"/>
                      <w:lang w:val="en-US"/>
                    </w:rPr>
                  </w:rPrChange>
                </w:rPr>
                <w:delText>Tlf: +45 72 30-20-28</w:delText>
              </w:r>
            </w:del>
          </w:p>
        </w:tc>
        <w:tc>
          <w:tcPr>
            <w:tcW w:w="4678" w:type="dxa"/>
            <w:gridSpan w:val="2"/>
          </w:tcPr>
          <w:p w14:paraId="245B73CA" w14:textId="5B36E988" w:rsidR="00012D36" w:rsidRPr="00346547" w:rsidRDefault="00615769" w:rsidP="001F79B0">
            <w:pPr>
              <w:rPr>
                <w:del w:id="16374" w:author="AbbVie2" w:date="2025-05-14T10:25:00Z"/>
                <w:b/>
                <w:bCs/>
                <w:sz w:val="22"/>
                <w:szCs w:val="22"/>
                <w:lang w:val="mt-MT"/>
              </w:rPr>
            </w:pPr>
            <w:del w:id="16375" w:author="AbbVie2" w:date="2025-05-14T10:25:00Z">
              <w:r w:rsidRPr="00346547">
                <w:rPr>
                  <w:b/>
                  <w:bCs/>
                  <w:sz w:val="22"/>
                  <w:szCs w:val="22"/>
                  <w:lang w:val="mt-MT"/>
                </w:rPr>
                <w:delText>Malta</w:delText>
              </w:r>
            </w:del>
          </w:p>
          <w:p w14:paraId="6375DB95" w14:textId="68736FDC" w:rsidR="00012D36" w:rsidRPr="00346547" w:rsidRDefault="00615769" w:rsidP="001F79B0">
            <w:pPr>
              <w:rPr>
                <w:del w:id="16376" w:author="AbbVie2" w:date="2025-05-14T10:25:00Z"/>
                <w:bCs/>
                <w:sz w:val="22"/>
                <w:szCs w:val="22"/>
              </w:rPr>
            </w:pPr>
            <w:del w:id="16377" w:author="AbbVie2" w:date="2025-05-14T10:25:00Z">
              <w:r w:rsidRPr="00346547">
                <w:rPr>
                  <w:bCs/>
                  <w:sz w:val="22"/>
                  <w:szCs w:val="22"/>
                </w:rPr>
                <w:delText xml:space="preserve">V.J.Salomone Pharma Limited </w:delText>
              </w:r>
            </w:del>
          </w:p>
          <w:p w14:paraId="3B75BCBE" w14:textId="5DE783C7" w:rsidR="00012D36" w:rsidRPr="00346547" w:rsidRDefault="00615769" w:rsidP="001F79B0">
            <w:pPr>
              <w:rPr>
                <w:del w:id="16378" w:author="AbbVie2" w:date="2025-05-14T10:25:00Z"/>
                <w:bCs/>
                <w:sz w:val="22"/>
                <w:szCs w:val="22"/>
              </w:rPr>
            </w:pPr>
            <w:del w:id="16379" w:author="AbbVie2" w:date="2025-05-14T10:25:00Z">
              <w:r w:rsidRPr="00346547">
                <w:rPr>
                  <w:bCs/>
                  <w:sz w:val="22"/>
                  <w:szCs w:val="22"/>
                </w:rPr>
                <w:delText xml:space="preserve">Tel: </w:delText>
              </w:r>
              <w:r w:rsidRPr="00FF65EF">
                <w:rPr>
                  <w:bCs/>
                  <w:sz w:val="22"/>
                  <w:szCs w:val="22"/>
                  <w:rPrChange w:id="16380" w:author="AbbVie2" w:date="2025-05-14T12:36:00Z">
                    <w:rPr>
                      <w:bCs/>
                      <w:sz w:val="22"/>
                      <w:szCs w:val="22"/>
                      <w:lang w:val="en-GB"/>
                    </w:rPr>
                  </w:rPrChange>
                </w:rPr>
                <w:delText>+356 21220174</w:delText>
              </w:r>
            </w:del>
          </w:p>
          <w:p w14:paraId="2ED6A828" w14:textId="15B746A8" w:rsidR="00012D36" w:rsidRPr="00346547" w:rsidRDefault="00012D36" w:rsidP="001F79B0">
            <w:pPr>
              <w:rPr>
                <w:del w:id="16381" w:author="AbbVie2" w:date="2025-05-14T10:25:00Z"/>
                <w:bCs/>
                <w:sz w:val="22"/>
                <w:szCs w:val="22"/>
              </w:rPr>
            </w:pPr>
          </w:p>
        </w:tc>
      </w:tr>
      <w:tr w:rsidR="00A7162A" w14:paraId="6B8A2BCF" w14:textId="36BE0E40" w:rsidTr="001F79B0">
        <w:trPr>
          <w:del w:id="16382" w:author="AbbVie2" w:date="2025-05-14T10:25:00Z"/>
        </w:trPr>
        <w:tc>
          <w:tcPr>
            <w:tcW w:w="4644" w:type="dxa"/>
            <w:gridSpan w:val="2"/>
          </w:tcPr>
          <w:p w14:paraId="519EBBD6" w14:textId="773CD4CB" w:rsidR="00012D36" w:rsidRPr="00346547" w:rsidRDefault="00615769" w:rsidP="001F79B0">
            <w:pPr>
              <w:keepNext/>
              <w:rPr>
                <w:del w:id="16383" w:author="AbbVie2" w:date="2025-05-14T10:25:00Z"/>
                <w:b/>
                <w:bCs/>
                <w:sz w:val="22"/>
                <w:szCs w:val="22"/>
                <w:lang w:val="de-DE"/>
              </w:rPr>
            </w:pPr>
            <w:del w:id="16384" w:author="AbbVie2" w:date="2025-05-14T10:25:00Z">
              <w:r w:rsidRPr="00346547">
                <w:rPr>
                  <w:b/>
                  <w:bCs/>
                  <w:sz w:val="22"/>
                  <w:szCs w:val="22"/>
                  <w:lang w:val="de-DE"/>
                </w:rPr>
                <w:delText>Deutschland</w:delText>
              </w:r>
            </w:del>
          </w:p>
          <w:p w14:paraId="5198D722" w14:textId="42C33DA4" w:rsidR="00012D36" w:rsidRPr="00346547" w:rsidRDefault="00615769" w:rsidP="001F79B0">
            <w:pPr>
              <w:keepNext/>
              <w:rPr>
                <w:del w:id="16385" w:author="AbbVie2" w:date="2025-05-14T10:25:00Z"/>
                <w:bCs/>
                <w:sz w:val="22"/>
                <w:szCs w:val="22"/>
                <w:lang w:val="de-DE"/>
              </w:rPr>
            </w:pPr>
            <w:del w:id="16386" w:author="AbbVie2" w:date="2025-05-14T10:25:00Z">
              <w:r w:rsidRPr="00346547">
                <w:rPr>
                  <w:sz w:val="22"/>
                  <w:szCs w:val="22"/>
                  <w:lang w:val="de-DE"/>
                </w:rPr>
                <w:delText xml:space="preserve">AbbVie Deutschland </w:delText>
              </w:r>
              <w:r w:rsidRPr="00346547">
                <w:rPr>
                  <w:bCs/>
                  <w:sz w:val="22"/>
                  <w:szCs w:val="22"/>
                  <w:lang w:val="de-DE"/>
                </w:rPr>
                <w:delText>GmbH &amp; Co. KG</w:delText>
              </w:r>
            </w:del>
          </w:p>
          <w:p w14:paraId="6F821DBF" w14:textId="19AFE79B" w:rsidR="00012D36" w:rsidRPr="00346547" w:rsidRDefault="00615769" w:rsidP="001F79B0">
            <w:pPr>
              <w:keepNext/>
              <w:rPr>
                <w:del w:id="16387" w:author="AbbVie2" w:date="2025-05-14T10:25:00Z"/>
                <w:sz w:val="22"/>
                <w:szCs w:val="22"/>
                <w:lang w:val="de-DE"/>
              </w:rPr>
            </w:pPr>
            <w:del w:id="16388" w:author="AbbVie2" w:date="2025-05-14T10:25:00Z">
              <w:r w:rsidRPr="00346547">
                <w:rPr>
                  <w:sz w:val="22"/>
                  <w:szCs w:val="22"/>
                  <w:lang w:val="de-DE"/>
                </w:rPr>
                <w:delText>Tel: 00800 222843 33 (gebührenfrei)</w:delText>
              </w:r>
            </w:del>
          </w:p>
          <w:p w14:paraId="6DBC25E4" w14:textId="2D91CE41" w:rsidR="00012D36" w:rsidRPr="00346547" w:rsidRDefault="00615769" w:rsidP="001F79B0">
            <w:pPr>
              <w:keepNext/>
              <w:rPr>
                <w:del w:id="16389" w:author="AbbVie2" w:date="2025-05-14T10:25:00Z"/>
                <w:sz w:val="22"/>
                <w:szCs w:val="22"/>
                <w:lang w:val="de-DE"/>
              </w:rPr>
            </w:pPr>
            <w:del w:id="16390" w:author="AbbVie2" w:date="2025-05-14T10:25:00Z">
              <w:r w:rsidRPr="00346547">
                <w:rPr>
                  <w:sz w:val="22"/>
                  <w:szCs w:val="22"/>
                  <w:lang w:val="de-DE"/>
                </w:rPr>
                <w:delText>Tel: +49 (0) 611 / 1720-0</w:delText>
              </w:r>
            </w:del>
          </w:p>
          <w:p w14:paraId="66067F42" w14:textId="4DA25E64" w:rsidR="00012D36" w:rsidRPr="00346547" w:rsidRDefault="00012D36" w:rsidP="001F79B0">
            <w:pPr>
              <w:keepNext/>
              <w:rPr>
                <w:del w:id="16391" w:author="AbbVie2" w:date="2025-05-14T10:25:00Z"/>
                <w:sz w:val="22"/>
                <w:szCs w:val="22"/>
                <w:lang w:val="de-DE"/>
              </w:rPr>
            </w:pPr>
          </w:p>
        </w:tc>
        <w:tc>
          <w:tcPr>
            <w:tcW w:w="4678" w:type="dxa"/>
            <w:gridSpan w:val="2"/>
          </w:tcPr>
          <w:p w14:paraId="224CE251" w14:textId="0D6DFCEF" w:rsidR="00012D36" w:rsidRPr="00346547" w:rsidRDefault="00615769" w:rsidP="001F79B0">
            <w:pPr>
              <w:keepNext/>
              <w:rPr>
                <w:del w:id="16392" w:author="AbbVie2" w:date="2025-05-14T10:25:00Z"/>
                <w:b/>
                <w:bCs/>
                <w:sz w:val="22"/>
                <w:szCs w:val="22"/>
                <w:lang w:val="nl-NL"/>
              </w:rPr>
            </w:pPr>
            <w:del w:id="16393" w:author="AbbVie2" w:date="2025-05-14T10:25:00Z">
              <w:r w:rsidRPr="00346547">
                <w:rPr>
                  <w:b/>
                  <w:bCs/>
                  <w:sz w:val="22"/>
                  <w:szCs w:val="22"/>
                  <w:lang w:val="nl-NL"/>
                </w:rPr>
                <w:delText>Nederland</w:delText>
              </w:r>
            </w:del>
          </w:p>
          <w:p w14:paraId="7A930102" w14:textId="70303D3B" w:rsidR="00012D36" w:rsidRPr="00346547" w:rsidRDefault="00615769" w:rsidP="001F79B0">
            <w:pPr>
              <w:keepNext/>
              <w:rPr>
                <w:del w:id="16394" w:author="AbbVie2" w:date="2025-05-14T10:25:00Z"/>
                <w:bCs/>
                <w:sz w:val="22"/>
                <w:szCs w:val="22"/>
                <w:lang w:val="de-DE"/>
              </w:rPr>
            </w:pPr>
            <w:del w:id="16395" w:author="AbbVie2" w:date="2025-05-14T10:25:00Z">
              <w:r w:rsidRPr="00346547">
                <w:rPr>
                  <w:bCs/>
                  <w:sz w:val="22"/>
                  <w:szCs w:val="22"/>
                  <w:lang w:val="de-DE"/>
                </w:rPr>
                <w:delText>AbbVie B.V.</w:delText>
              </w:r>
            </w:del>
          </w:p>
          <w:p w14:paraId="749AA3C8" w14:textId="6397199A" w:rsidR="00012D36" w:rsidRPr="00346547" w:rsidRDefault="00615769" w:rsidP="001F79B0">
            <w:pPr>
              <w:keepNext/>
              <w:rPr>
                <w:del w:id="16396" w:author="AbbVie2" w:date="2025-05-14T10:25:00Z"/>
                <w:bCs/>
                <w:sz w:val="22"/>
                <w:szCs w:val="22"/>
                <w:lang w:val="de-DE"/>
              </w:rPr>
            </w:pPr>
            <w:del w:id="16397" w:author="AbbVie2" w:date="2025-05-14T10:25:00Z">
              <w:r w:rsidRPr="00346547">
                <w:rPr>
                  <w:bCs/>
                  <w:sz w:val="22"/>
                  <w:szCs w:val="22"/>
                  <w:lang w:val="de-DE"/>
                </w:rPr>
                <w:delText>Tel: +31 (0)88 322 2843</w:delText>
              </w:r>
            </w:del>
          </w:p>
        </w:tc>
      </w:tr>
      <w:tr w:rsidR="00A7162A" w14:paraId="125C71C8" w14:textId="17036F7C" w:rsidTr="001F79B0">
        <w:trPr>
          <w:del w:id="16398" w:author="AbbVie2" w:date="2025-05-14T10:25:00Z"/>
        </w:trPr>
        <w:tc>
          <w:tcPr>
            <w:tcW w:w="4644" w:type="dxa"/>
            <w:gridSpan w:val="2"/>
          </w:tcPr>
          <w:p w14:paraId="2EBFA3A7" w14:textId="021F6AF7" w:rsidR="00012D36" w:rsidRPr="00346547" w:rsidRDefault="00615769" w:rsidP="001F79B0">
            <w:pPr>
              <w:rPr>
                <w:del w:id="16399" w:author="AbbVie2" w:date="2025-05-14T10:25:00Z"/>
                <w:b/>
                <w:bCs/>
                <w:sz w:val="22"/>
                <w:szCs w:val="22"/>
                <w:lang w:val="et-EE"/>
              </w:rPr>
            </w:pPr>
            <w:del w:id="16400" w:author="AbbVie2" w:date="2025-05-14T10:25:00Z">
              <w:r w:rsidRPr="00346547">
                <w:rPr>
                  <w:b/>
                  <w:bCs/>
                  <w:sz w:val="22"/>
                  <w:szCs w:val="22"/>
                  <w:lang w:val="et-EE"/>
                </w:rPr>
                <w:delText>Eesti</w:delText>
              </w:r>
            </w:del>
          </w:p>
          <w:p w14:paraId="08F61676" w14:textId="17EA91CB" w:rsidR="00012D36" w:rsidRPr="00346547" w:rsidRDefault="00615769" w:rsidP="001F79B0">
            <w:pPr>
              <w:rPr>
                <w:del w:id="16401" w:author="AbbVie2" w:date="2025-05-14T10:25:00Z"/>
                <w:bCs/>
                <w:sz w:val="22"/>
                <w:szCs w:val="22"/>
                <w:lang w:val="et-EE"/>
              </w:rPr>
            </w:pPr>
            <w:del w:id="16402" w:author="AbbVie2" w:date="2025-05-14T10:25:00Z">
              <w:r w:rsidRPr="00346547">
                <w:rPr>
                  <w:bCs/>
                  <w:sz w:val="22"/>
                  <w:szCs w:val="22"/>
                  <w:lang w:val="et-EE"/>
                </w:rPr>
                <w:delText xml:space="preserve">AbbVie </w:delText>
              </w:r>
              <w:r w:rsidRPr="00346547">
                <w:rPr>
                  <w:bCs/>
                  <w:sz w:val="22"/>
                  <w:szCs w:val="22"/>
                </w:rPr>
                <w:delText>OÜ</w:delText>
              </w:r>
              <w:r w:rsidRPr="00346547">
                <w:rPr>
                  <w:bCs/>
                  <w:sz w:val="22"/>
                  <w:szCs w:val="22"/>
                  <w:lang w:val="et-EE"/>
                </w:rPr>
                <w:delText xml:space="preserve"> </w:delText>
              </w:r>
            </w:del>
          </w:p>
          <w:p w14:paraId="63C869B5" w14:textId="401ECAD8" w:rsidR="00012D36" w:rsidRPr="00346547" w:rsidRDefault="00615769" w:rsidP="001F79B0">
            <w:pPr>
              <w:rPr>
                <w:del w:id="16403" w:author="AbbVie2" w:date="2025-05-14T10:25:00Z"/>
                <w:bCs/>
                <w:sz w:val="22"/>
                <w:szCs w:val="22"/>
                <w:lang w:val="lv-LV"/>
              </w:rPr>
            </w:pPr>
            <w:del w:id="16404" w:author="AbbVie2" w:date="2025-05-14T10:25:00Z">
              <w:r w:rsidRPr="00346547">
                <w:rPr>
                  <w:bCs/>
                  <w:sz w:val="22"/>
                  <w:szCs w:val="22"/>
                  <w:lang w:val="et-EE"/>
                </w:rPr>
                <w:delText>Tel: +372 623 1011</w:delText>
              </w:r>
            </w:del>
          </w:p>
        </w:tc>
        <w:tc>
          <w:tcPr>
            <w:tcW w:w="4678" w:type="dxa"/>
            <w:gridSpan w:val="2"/>
          </w:tcPr>
          <w:p w14:paraId="1A8C317A" w14:textId="7880ED40" w:rsidR="00012D36" w:rsidRPr="00BE62F9" w:rsidRDefault="00615769" w:rsidP="001F79B0">
            <w:pPr>
              <w:rPr>
                <w:del w:id="16405" w:author="AbbVie2" w:date="2025-05-14T10:25:00Z"/>
                <w:b/>
                <w:bCs/>
                <w:sz w:val="22"/>
                <w:szCs w:val="22"/>
                <w:rPrChange w:id="16406" w:author="AbbVie2" w:date="2025-09-08T09:53:00Z">
                  <w:rPr>
                    <w:del w:id="16407" w:author="AbbVie2" w:date="2025-05-14T10:25:00Z"/>
                    <w:b/>
                    <w:bCs/>
                    <w:sz w:val="22"/>
                    <w:szCs w:val="22"/>
                    <w:lang w:val="en-US"/>
                  </w:rPr>
                </w:rPrChange>
              </w:rPr>
            </w:pPr>
            <w:del w:id="16408" w:author="AbbVie2" w:date="2025-05-14T10:25:00Z">
              <w:r w:rsidRPr="00BE62F9">
                <w:rPr>
                  <w:b/>
                  <w:bCs/>
                  <w:sz w:val="22"/>
                  <w:szCs w:val="22"/>
                  <w:rPrChange w:id="16409" w:author="AbbVie2" w:date="2025-09-08T09:53:00Z">
                    <w:rPr>
                      <w:b/>
                      <w:bCs/>
                      <w:sz w:val="22"/>
                      <w:szCs w:val="22"/>
                      <w:lang w:val="en-US"/>
                    </w:rPr>
                  </w:rPrChange>
                </w:rPr>
                <w:delText>Norge</w:delText>
              </w:r>
            </w:del>
          </w:p>
          <w:p w14:paraId="0F52DE4E" w14:textId="6A0D399D" w:rsidR="00012D36" w:rsidRPr="00346547" w:rsidRDefault="00615769" w:rsidP="001F79B0">
            <w:pPr>
              <w:rPr>
                <w:del w:id="16410" w:author="AbbVie2" w:date="2025-05-14T10:25:00Z"/>
                <w:bCs/>
                <w:sz w:val="22"/>
                <w:szCs w:val="22"/>
              </w:rPr>
            </w:pPr>
            <w:del w:id="16411" w:author="AbbVie2" w:date="2025-05-14T10:25:00Z">
              <w:r w:rsidRPr="00346547">
                <w:rPr>
                  <w:bCs/>
                  <w:sz w:val="22"/>
                  <w:szCs w:val="22"/>
                </w:rPr>
                <w:delText>AbbVie AS</w:delText>
              </w:r>
            </w:del>
          </w:p>
          <w:p w14:paraId="792706A9" w14:textId="6D5B15B0" w:rsidR="00012D36" w:rsidRPr="00346547" w:rsidRDefault="00615769" w:rsidP="001F79B0">
            <w:pPr>
              <w:rPr>
                <w:del w:id="16412" w:author="AbbVie2" w:date="2025-05-14T10:25:00Z"/>
                <w:bCs/>
                <w:sz w:val="22"/>
                <w:szCs w:val="22"/>
              </w:rPr>
            </w:pPr>
            <w:del w:id="16413" w:author="AbbVie2" w:date="2025-05-14T10:25:00Z">
              <w:r w:rsidRPr="00346547">
                <w:rPr>
                  <w:bCs/>
                  <w:sz w:val="22"/>
                  <w:szCs w:val="22"/>
                </w:rPr>
                <w:delText>Tlf: +47 67 81 80 00</w:delText>
              </w:r>
            </w:del>
          </w:p>
          <w:p w14:paraId="693787AA" w14:textId="5A5C039C" w:rsidR="00012D36" w:rsidRPr="00346547" w:rsidRDefault="00012D36" w:rsidP="001F79B0">
            <w:pPr>
              <w:rPr>
                <w:del w:id="16414" w:author="AbbVie2" w:date="2025-05-14T10:25:00Z"/>
                <w:bCs/>
                <w:sz w:val="22"/>
                <w:szCs w:val="22"/>
              </w:rPr>
            </w:pPr>
          </w:p>
        </w:tc>
      </w:tr>
      <w:tr w:rsidR="00A7162A" w14:paraId="797069CB" w14:textId="0CAF4DE8" w:rsidTr="001F79B0">
        <w:trPr>
          <w:trHeight w:val="794"/>
          <w:del w:id="16415" w:author="AbbVie2" w:date="2025-05-14T10:25:00Z"/>
        </w:trPr>
        <w:tc>
          <w:tcPr>
            <w:tcW w:w="4644" w:type="dxa"/>
            <w:gridSpan w:val="2"/>
          </w:tcPr>
          <w:p w14:paraId="7F85C425" w14:textId="085FB800" w:rsidR="00012D36" w:rsidRPr="00346547" w:rsidRDefault="00615769" w:rsidP="001F79B0">
            <w:pPr>
              <w:rPr>
                <w:del w:id="16416" w:author="AbbVie2" w:date="2025-05-14T10:25:00Z"/>
                <w:b/>
                <w:bCs/>
                <w:sz w:val="22"/>
                <w:szCs w:val="22"/>
                <w:lang w:val="el-GR"/>
              </w:rPr>
            </w:pPr>
            <w:del w:id="16417" w:author="AbbVie2" w:date="2025-05-14T10:25:00Z">
              <w:r w:rsidRPr="00346547">
                <w:rPr>
                  <w:b/>
                  <w:bCs/>
                  <w:sz w:val="22"/>
                  <w:szCs w:val="22"/>
                  <w:lang w:val="el-GR"/>
                </w:rPr>
                <w:delText>Ελλάδα</w:delText>
              </w:r>
            </w:del>
          </w:p>
          <w:p w14:paraId="49C2AC03" w14:textId="536393C0" w:rsidR="00012D36" w:rsidRPr="00346547" w:rsidRDefault="00615769" w:rsidP="001F79B0">
            <w:pPr>
              <w:rPr>
                <w:del w:id="16418" w:author="AbbVie2" w:date="2025-05-14T10:25:00Z"/>
                <w:bCs/>
                <w:sz w:val="22"/>
                <w:szCs w:val="22"/>
                <w:lang w:val="el-GR"/>
              </w:rPr>
            </w:pPr>
            <w:del w:id="16419" w:author="AbbVie2" w:date="2025-05-14T10:25:00Z">
              <w:r w:rsidRPr="00346547">
                <w:rPr>
                  <w:bCs/>
                  <w:sz w:val="22"/>
                  <w:szCs w:val="22"/>
                  <w:lang w:val="et-EE"/>
                </w:rPr>
                <w:delText xml:space="preserve">AbbVie </w:delText>
              </w:r>
              <w:r w:rsidRPr="00346547">
                <w:rPr>
                  <w:sz w:val="22"/>
                  <w:szCs w:val="22"/>
                  <w:lang w:val="el-GR"/>
                </w:rPr>
                <w:delText>ΦΑΡΜΑΚΕΥΤΙΚΗ Α.Ε.</w:delText>
              </w:r>
            </w:del>
          </w:p>
          <w:p w14:paraId="4C4DD092" w14:textId="40FFE1D9" w:rsidR="00012D36" w:rsidRPr="00346547" w:rsidRDefault="00615769" w:rsidP="001F79B0">
            <w:pPr>
              <w:rPr>
                <w:del w:id="16420" w:author="AbbVie2" w:date="2025-05-14T10:25:00Z"/>
                <w:bCs/>
                <w:sz w:val="22"/>
                <w:szCs w:val="22"/>
              </w:rPr>
            </w:pPr>
            <w:del w:id="16421" w:author="AbbVie2" w:date="2025-05-14T10:25:00Z">
              <w:r w:rsidRPr="00346547">
                <w:rPr>
                  <w:bCs/>
                  <w:sz w:val="22"/>
                  <w:szCs w:val="22"/>
                  <w:lang w:val="el-GR"/>
                </w:rPr>
                <w:delText xml:space="preserve">Τηλ: +30 </w:delText>
              </w:r>
              <w:r w:rsidRPr="00346547">
                <w:rPr>
                  <w:bCs/>
                  <w:sz w:val="22"/>
                  <w:szCs w:val="22"/>
                </w:rPr>
                <w:delText>214 4165 555</w:delText>
              </w:r>
            </w:del>
          </w:p>
        </w:tc>
        <w:tc>
          <w:tcPr>
            <w:tcW w:w="4678" w:type="dxa"/>
            <w:gridSpan w:val="2"/>
          </w:tcPr>
          <w:p w14:paraId="604756F1" w14:textId="0971D1F3" w:rsidR="00012D36" w:rsidRPr="00346547" w:rsidRDefault="00615769" w:rsidP="001F79B0">
            <w:pPr>
              <w:rPr>
                <w:del w:id="16422" w:author="AbbVie2" w:date="2025-05-14T10:25:00Z"/>
                <w:b/>
                <w:bCs/>
                <w:sz w:val="22"/>
                <w:szCs w:val="22"/>
                <w:lang w:val="de-DE"/>
              </w:rPr>
            </w:pPr>
            <w:del w:id="16423" w:author="AbbVie2" w:date="2025-05-14T10:25:00Z">
              <w:r w:rsidRPr="00346547">
                <w:rPr>
                  <w:b/>
                  <w:bCs/>
                  <w:sz w:val="22"/>
                  <w:szCs w:val="22"/>
                  <w:lang w:val="de-DE"/>
                </w:rPr>
                <w:delText>Österreich</w:delText>
              </w:r>
            </w:del>
          </w:p>
          <w:p w14:paraId="2BDF3697" w14:textId="291B8737" w:rsidR="00012D36" w:rsidRPr="00346547" w:rsidRDefault="00615769" w:rsidP="001F79B0">
            <w:pPr>
              <w:rPr>
                <w:del w:id="16424" w:author="AbbVie2" w:date="2025-05-14T10:25:00Z"/>
                <w:bCs/>
                <w:sz w:val="22"/>
                <w:szCs w:val="22"/>
                <w:lang w:val="de-DE"/>
              </w:rPr>
            </w:pPr>
            <w:del w:id="16425" w:author="AbbVie2" w:date="2025-05-14T10:25:00Z">
              <w:r w:rsidRPr="00346547">
                <w:rPr>
                  <w:bCs/>
                  <w:sz w:val="22"/>
                  <w:szCs w:val="22"/>
                  <w:lang w:val="de-DE"/>
                </w:rPr>
                <w:delText xml:space="preserve">AbbVie GmbH </w:delText>
              </w:r>
            </w:del>
          </w:p>
          <w:p w14:paraId="2D3E0CEF" w14:textId="631ABFE5" w:rsidR="00012D36" w:rsidRPr="00346547" w:rsidRDefault="00615769" w:rsidP="001F79B0">
            <w:pPr>
              <w:rPr>
                <w:del w:id="16426" w:author="AbbVie2" w:date="2025-05-14T10:25:00Z"/>
                <w:bCs/>
                <w:sz w:val="22"/>
                <w:szCs w:val="22"/>
                <w:lang w:val="de-DE"/>
              </w:rPr>
            </w:pPr>
            <w:del w:id="16427" w:author="AbbVie2" w:date="2025-05-14T10:25:00Z">
              <w:r w:rsidRPr="00346547">
                <w:rPr>
                  <w:bCs/>
                  <w:sz w:val="22"/>
                  <w:szCs w:val="22"/>
                  <w:lang w:val="de-DE"/>
                </w:rPr>
                <w:delText>Tel: +43 1 20589-0</w:delText>
              </w:r>
            </w:del>
          </w:p>
          <w:p w14:paraId="4082EAA4" w14:textId="14409560" w:rsidR="00012D36" w:rsidRPr="00346547" w:rsidRDefault="00012D36" w:rsidP="001F79B0">
            <w:pPr>
              <w:rPr>
                <w:del w:id="16428" w:author="AbbVie2" w:date="2025-05-14T10:25:00Z"/>
                <w:bCs/>
                <w:sz w:val="22"/>
                <w:szCs w:val="22"/>
                <w:lang w:val="de-DE"/>
              </w:rPr>
            </w:pPr>
          </w:p>
        </w:tc>
      </w:tr>
      <w:tr w:rsidR="00A7162A" w14:paraId="381FDC3D" w14:textId="75A0875C" w:rsidTr="001F79B0">
        <w:trPr>
          <w:gridBefore w:val="1"/>
          <w:wBefore w:w="34" w:type="dxa"/>
          <w:del w:id="16429" w:author="AbbVie2" w:date="2025-05-14T10:25:00Z"/>
        </w:trPr>
        <w:tc>
          <w:tcPr>
            <w:tcW w:w="4644" w:type="dxa"/>
            <w:gridSpan w:val="2"/>
          </w:tcPr>
          <w:p w14:paraId="6897973D" w14:textId="5E34F5A0" w:rsidR="00012D36" w:rsidRPr="00346547" w:rsidRDefault="00615769" w:rsidP="001F79B0">
            <w:pPr>
              <w:rPr>
                <w:del w:id="16430" w:author="AbbVie2" w:date="2025-05-14T10:25:00Z"/>
                <w:b/>
                <w:bCs/>
                <w:sz w:val="22"/>
                <w:szCs w:val="22"/>
                <w:lang w:val="es-ES"/>
              </w:rPr>
            </w:pPr>
            <w:del w:id="16431" w:author="AbbVie2" w:date="2025-05-14T10:25:00Z">
              <w:r w:rsidRPr="00346547">
                <w:rPr>
                  <w:b/>
                  <w:bCs/>
                  <w:sz w:val="22"/>
                  <w:szCs w:val="22"/>
                  <w:lang w:val="es-ES"/>
                </w:rPr>
                <w:delText>España</w:delText>
              </w:r>
            </w:del>
          </w:p>
          <w:p w14:paraId="1A92012A" w14:textId="4ED2CFA4" w:rsidR="00012D36" w:rsidRPr="00346547" w:rsidRDefault="00615769" w:rsidP="001F79B0">
            <w:pPr>
              <w:rPr>
                <w:del w:id="16432" w:author="AbbVie2" w:date="2025-05-14T10:25:00Z"/>
                <w:sz w:val="22"/>
                <w:szCs w:val="22"/>
                <w:lang w:val="es-ES"/>
              </w:rPr>
            </w:pPr>
            <w:del w:id="16433" w:author="AbbVie2" w:date="2025-05-14T10:25:00Z">
              <w:r w:rsidRPr="00346547">
                <w:rPr>
                  <w:sz w:val="22"/>
                  <w:szCs w:val="22"/>
                  <w:lang w:val="es-ES"/>
                </w:rPr>
                <w:delText xml:space="preserve">AbbVie </w:delText>
              </w:r>
              <w:r w:rsidRPr="00346547">
                <w:rPr>
                  <w:bCs/>
                  <w:sz w:val="22"/>
                  <w:szCs w:val="22"/>
                  <w:lang w:val="es-ES"/>
                </w:rPr>
                <w:delText>Spain</w:delText>
              </w:r>
              <w:r w:rsidRPr="00346547">
                <w:rPr>
                  <w:sz w:val="22"/>
                  <w:szCs w:val="22"/>
                  <w:lang w:val="es-ES"/>
                </w:rPr>
                <w:delText>, S.L.U</w:delText>
              </w:r>
              <w:r w:rsidRPr="00346547">
                <w:rPr>
                  <w:bCs/>
                  <w:sz w:val="22"/>
                  <w:szCs w:val="22"/>
                  <w:lang w:val="es-ES"/>
                </w:rPr>
                <w:delText>.</w:delText>
              </w:r>
            </w:del>
          </w:p>
          <w:p w14:paraId="6E43615A" w14:textId="005A1698" w:rsidR="00012D36" w:rsidRPr="00346547" w:rsidRDefault="00615769" w:rsidP="001F79B0">
            <w:pPr>
              <w:rPr>
                <w:del w:id="16434" w:author="AbbVie2" w:date="2025-05-14T10:25:00Z"/>
                <w:bCs/>
                <w:sz w:val="22"/>
                <w:szCs w:val="22"/>
                <w:lang w:val="pl-PL"/>
              </w:rPr>
            </w:pPr>
            <w:del w:id="16435" w:author="AbbVie2" w:date="2025-05-14T10:25:00Z">
              <w:r w:rsidRPr="00346547">
                <w:rPr>
                  <w:bCs/>
                  <w:sz w:val="22"/>
                  <w:szCs w:val="22"/>
                </w:rPr>
                <w:delText>Tel: +34 91 384 09 10</w:delText>
              </w:r>
            </w:del>
          </w:p>
        </w:tc>
        <w:tc>
          <w:tcPr>
            <w:tcW w:w="4678" w:type="dxa"/>
          </w:tcPr>
          <w:p w14:paraId="29FAA345" w14:textId="6ED80E0F" w:rsidR="00012D36" w:rsidRPr="00346547" w:rsidRDefault="00615769" w:rsidP="001F79B0">
            <w:pPr>
              <w:rPr>
                <w:del w:id="16436" w:author="AbbVie2" w:date="2025-05-14T10:25:00Z"/>
                <w:b/>
                <w:bCs/>
                <w:iCs/>
                <w:sz w:val="22"/>
                <w:szCs w:val="22"/>
                <w:lang w:val="pl-PL"/>
              </w:rPr>
            </w:pPr>
            <w:del w:id="16437" w:author="AbbVie2" w:date="2025-05-14T10:25:00Z">
              <w:r w:rsidRPr="00346547">
                <w:rPr>
                  <w:b/>
                  <w:bCs/>
                  <w:iCs/>
                  <w:sz w:val="22"/>
                  <w:szCs w:val="22"/>
                  <w:lang w:val="pl-PL"/>
                </w:rPr>
                <w:delText>Polska</w:delText>
              </w:r>
            </w:del>
          </w:p>
          <w:p w14:paraId="0F56655C" w14:textId="2C119B4D" w:rsidR="00012D36" w:rsidRPr="00346547" w:rsidRDefault="00615769" w:rsidP="001F79B0">
            <w:pPr>
              <w:rPr>
                <w:del w:id="16438" w:author="AbbVie2" w:date="2025-05-14T10:25:00Z"/>
                <w:bCs/>
                <w:sz w:val="22"/>
                <w:szCs w:val="22"/>
                <w:lang w:val="pl-PL"/>
              </w:rPr>
            </w:pPr>
            <w:del w:id="16439" w:author="AbbVie2" w:date="2025-05-14T10:25:00Z">
              <w:r w:rsidRPr="00346547">
                <w:rPr>
                  <w:bCs/>
                  <w:sz w:val="22"/>
                  <w:szCs w:val="22"/>
                  <w:lang w:val="pl-PL"/>
                </w:rPr>
                <w:delText>AbbVie Sp. z o.o.</w:delText>
              </w:r>
            </w:del>
          </w:p>
          <w:p w14:paraId="007B455B" w14:textId="4006BC74" w:rsidR="00012D36" w:rsidRPr="00346547" w:rsidRDefault="00615769" w:rsidP="001F79B0">
            <w:pPr>
              <w:pStyle w:val="Footer"/>
              <w:rPr>
                <w:del w:id="16440" w:author="AbbVie2" w:date="2025-05-14T10:25:00Z"/>
                <w:bCs/>
                <w:sz w:val="22"/>
                <w:szCs w:val="22"/>
                <w:lang w:val="pl-PL"/>
              </w:rPr>
            </w:pPr>
            <w:del w:id="16441" w:author="AbbVie2" w:date="2025-05-14T10:25:00Z">
              <w:r w:rsidRPr="00346547">
                <w:rPr>
                  <w:sz w:val="22"/>
                  <w:szCs w:val="22"/>
                  <w:lang w:val="es-ES"/>
                </w:rPr>
                <w:delText xml:space="preserve">Tel.: +48 22 </w:delText>
              </w:r>
              <w:r w:rsidRPr="00346547">
                <w:rPr>
                  <w:bCs/>
                  <w:sz w:val="22"/>
                  <w:szCs w:val="22"/>
                  <w:lang w:val="pl-PL"/>
                </w:rPr>
                <w:delText xml:space="preserve">372 78 00 </w:delText>
              </w:r>
            </w:del>
          </w:p>
          <w:p w14:paraId="142059C0" w14:textId="5D7892B1" w:rsidR="00012D36" w:rsidRPr="00346547" w:rsidRDefault="00012D36" w:rsidP="001F79B0">
            <w:pPr>
              <w:pStyle w:val="Footer"/>
              <w:rPr>
                <w:del w:id="16442" w:author="AbbVie2" w:date="2025-05-14T10:25:00Z"/>
                <w:bCs/>
                <w:sz w:val="22"/>
                <w:szCs w:val="22"/>
                <w:lang w:val="pl-PL"/>
              </w:rPr>
            </w:pPr>
          </w:p>
        </w:tc>
      </w:tr>
      <w:tr w:rsidR="00A7162A" w14:paraId="5894A6AB" w14:textId="71E08FE7" w:rsidTr="001F79B0">
        <w:trPr>
          <w:trHeight w:val="734"/>
          <w:del w:id="16443" w:author="AbbVie2" w:date="2025-05-14T10:25:00Z"/>
        </w:trPr>
        <w:tc>
          <w:tcPr>
            <w:tcW w:w="4678" w:type="dxa"/>
            <w:gridSpan w:val="3"/>
          </w:tcPr>
          <w:p w14:paraId="3950EC0F" w14:textId="0345C881" w:rsidR="00012D36" w:rsidRPr="00346547" w:rsidRDefault="00615769" w:rsidP="001F79B0">
            <w:pPr>
              <w:ind w:firstLine="34"/>
              <w:rPr>
                <w:del w:id="16444" w:author="AbbVie2" w:date="2025-05-14T10:25:00Z"/>
                <w:b/>
                <w:bCs/>
                <w:sz w:val="22"/>
                <w:szCs w:val="22"/>
                <w:lang w:val="fr-FR"/>
              </w:rPr>
            </w:pPr>
            <w:del w:id="16445" w:author="AbbVie2" w:date="2025-05-14T10:25:00Z">
              <w:r w:rsidRPr="00346547">
                <w:rPr>
                  <w:b/>
                  <w:bCs/>
                  <w:sz w:val="22"/>
                  <w:szCs w:val="22"/>
                  <w:lang w:val="fr-FR"/>
                </w:rPr>
                <w:delText>France</w:delText>
              </w:r>
            </w:del>
          </w:p>
          <w:p w14:paraId="707CE026" w14:textId="02878C01" w:rsidR="00012D36" w:rsidRPr="00346547" w:rsidRDefault="00615769" w:rsidP="001F79B0">
            <w:pPr>
              <w:ind w:firstLine="34"/>
              <w:rPr>
                <w:del w:id="16446" w:author="AbbVie2" w:date="2025-05-14T10:25:00Z"/>
                <w:bCs/>
                <w:sz w:val="22"/>
                <w:szCs w:val="22"/>
                <w:lang w:val="fr-FR"/>
              </w:rPr>
            </w:pPr>
            <w:del w:id="16447" w:author="AbbVie2" w:date="2025-05-14T10:25:00Z">
              <w:r w:rsidRPr="00346547">
                <w:rPr>
                  <w:bCs/>
                  <w:sz w:val="22"/>
                  <w:szCs w:val="22"/>
                  <w:lang w:val="fr-FR"/>
                </w:rPr>
                <w:delText>AbbVie</w:delText>
              </w:r>
            </w:del>
          </w:p>
          <w:p w14:paraId="01B016CE" w14:textId="587DDA4C" w:rsidR="00012D36" w:rsidRPr="00346547" w:rsidRDefault="00615769" w:rsidP="001F79B0">
            <w:pPr>
              <w:ind w:firstLine="34"/>
              <w:rPr>
                <w:del w:id="16448" w:author="AbbVie2" w:date="2025-05-14T10:25:00Z"/>
                <w:bCs/>
                <w:sz w:val="22"/>
                <w:szCs w:val="22"/>
                <w:lang w:val="fr-FR"/>
              </w:rPr>
            </w:pPr>
            <w:del w:id="16449" w:author="AbbVie2" w:date="2025-05-14T10:25:00Z">
              <w:r w:rsidRPr="00346547">
                <w:rPr>
                  <w:bCs/>
                  <w:sz w:val="22"/>
                  <w:szCs w:val="22"/>
                  <w:lang w:val="fr-FR"/>
                </w:rPr>
                <w:delText>Tél: +33 (0) 1 45 60 13 00</w:delText>
              </w:r>
            </w:del>
          </w:p>
        </w:tc>
        <w:tc>
          <w:tcPr>
            <w:tcW w:w="4678" w:type="dxa"/>
          </w:tcPr>
          <w:p w14:paraId="5B67A032" w14:textId="197CA0C4" w:rsidR="00012D36" w:rsidRPr="00346547" w:rsidRDefault="00615769" w:rsidP="001F79B0">
            <w:pPr>
              <w:rPr>
                <w:del w:id="16450" w:author="AbbVie2" w:date="2025-05-14T10:25:00Z"/>
                <w:b/>
                <w:bCs/>
                <w:sz w:val="22"/>
                <w:szCs w:val="22"/>
              </w:rPr>
            </w:pPr>
            <w:del w:id="16451" w:author="AbbVie2" w:date="2025-05-14T10:25:00Z">
              <w:r w:rsidRPr="00346547">
                <w:rPr>
                  <w:b/>
                  <w:bCs/>
                  <w:sz w:val="22"/>
                  <w:szCs w:val="22"/>
                </w:rPr>
                <w:delText>Portugal</w:delText>
              </w:r>
            </w:del>
          </w:p>
          <w:p w14:paraId="31798352" w14:textId="20F1E266" w:rsidR="00012D36" w:rsidRPr="00346547" w:rsidRDefault="00615769" w:rsidP="001F79B0">
            <w:pPr>
              <w:pStyle w:val="Footer"/>
              <w:rPr>
                <w:del w:id="16452" w:author="AbbVie2" w:date="2025-05-14T10:25:00Z"/>
                <w:bCs/>
                <w:sz w:val="22"/>
                <w:szCs w:val="22"/>
                <w:lang w:val="fr-FR"/>
              </w:rPr>
            </w:pPr>
            <w:del w:id="16453" w:author="AbbVie2" w:date="2025-05-14T10:25:00Z">
              <w:r w:rsidRPr="00346547">
                <w:rPr>
                  <w:bCs/>
                  <w:sz w:val="22"/>
                  <w:szCs w:val="22"/>
                  <w:lang w:val="fr-FR"/>
                </w:rPr>
                <w:delText xml:space="preserve">AbbVie, Lda. </w:delText>
              </w:r>
            </w:del>
          </w:p>
          <w:p w14:paraId="1DAFB383" w14:textId="2BABEEC0" w:rsidR="00012D36" w:rsidRPr="00346547" w:rsidRDefault="00615769" w:rsidP="001F79B0">
            <w:pPr>
              <w:pStyle w:val="Footer"/>
              <w:rPr>
                <w:del w:id="16454" w:author="AbbVie2" w:date="2025-05-14T10:25:00Z"/>
                <w:sz w:val="22"/>
                <w:szCs w:val="22"/>
                <w:lang w:val="fr-FR"/>
              </w:rPr>
            </w:pPr>
            <w:del w:id="16455" w:author="AbbVie2" w:date="2025-05-14T10:25:00Z">
              <w:r w:rsidRPr="00346547">
                <w:rPr>
                  <w:sz w:val="22"/>
                  <w:szCs w:val="22"/>
                  <w:lang w:val="fr-FR"/>
                </w:rPr>
                <w:delText>Tel: +351 (0)21 1908400</w:delText>
              </w:r>
            </w:del>
          </w:p>
          <w:p w14:paraId="78867071" w14:textId="7DF317AF" w:rsidR="00012D36" w:rsidRPr="00346547" w:rsidRDefault="00012D36" w:rsidP="001F79B0">
            <w:pPr>
              <w:pStyle w:val="Footer"/>
              <w:rPr>
                <w:del w:id="16456" w:author="AbbVie2" w:date="2025-05-14T10:25:00Z"/>
                <w:sz w:val="22"/>
                <w:szCs w:val="22"/>
                <w:lang w:val="fr-FR"/>
              </w:rPr>
            </w:pPr>
          </w:p>
        </w:tc>
      </w:tr>
      <w:tr w:rsidR="00A7162A" w14:paraId="36CD6607" w14:textId="32C9299B" w:rsidTr="001F79B0">
        <w:trPr>
          <w:gridBefore w:val="1"/>
          <w:wBefore w:w="34" w:type="dxa"/>
          <w:del w:id="16457" w:author="AbbVie2" w:date="2025-05-14T10:25:00Z"/>
        </w:trPr>
        <w:tc>
          <w:tcPr>
            <w:tcW w:w="4644" w:type="dxa"/>
            <w:gridSpan w:val="2"/>
          </w:tcPr>
          <w:p w14:paraId="59CAE5A1" w14:textId="709E250A" w:rsidR="00012D36" w:rsidRPr="00860B88" w:rsidRDefault="00615769" w:rsidP="001F79B0">
            <w:pPr>
              <w:pStyle w:val="Default"/>
              <w:rPr>
                <w:del w:id="16458" w:author="AbbVie2" w:date="2025-05-14T10:25:00Z"/>
                <w:color w:val="auto"/>
                <w:sz w:val="22"/>
                <w:szCs w:val="22"/>
                <w:lang w:val="pt-PT"/>
              </w:rPr>
            </w:pPr>
            <w:del w:id="16459" w:author="AbbVie2" w:date="2025-05-14T10:25:00Z">
              <w:r w:rsidRPr="00860B88">
                <w:rPr>
                  <w:b/>
                  <w:bCs/>
                  <w:color w:val="auto"/>
                  <w:sz w:val="22"/>
                  <w:szCs w:val="22"/>
                  <w:lang w:val="pt-PT"/>
                </w:rPr>
                <w:delText xml:space="preserve">Hrvatska </w:delText>
              </w:r>
            </w:del>
          </w:p>
          <w:p w14:paraId="57D846D3" w14:textId="5EF2319F" w:rsidR="00012D36" w:rsidRPr="00346547" w:rsidRDefault="00615769" w:rsidP="001F79B0">
            <w:pPr>
              <w:rPr>
                <w:del w:id="16460" w:author="AbbVie2" w:date="2025-05-14T10:25:00Z"/>
                <w:sz w:val="22"/>
                <w:szCs w:val="22"/>
                <w:lang w:val="hr-HR"/>
              </w:rPr>
            </w:pPr>
            <w:del w:id="16461" w:author="AbbVie2" w:date="2025-05-14T10:25:00Z">
              <w:r w:rsidRPr="00346547">
                <w:rPr>
                  <w:sz w:val="22"/>
                  <w:szCs w:val="22"/>
                  <w:lang w:val="hr-HR"/>
                </w:rPr>
                <w:delText>AbbVie d.o.o.</w:delText>
              </w:r>
            </w:del>
          </w:p>
          <w:p w14:paraId="1F21F7BA" w14:textId="6639B03D" w:rsidR="00012D36" w:rsidRPr="00346547" w:rsidRDefault="00615769" w:rsidP="001F79B0">
            <w:pPr>
              <w:rPr>
                <w:del w:id="16462" w:author="AbbVie2" w:date="2025-05-14T10:25:00Z"/>
                <w:bCs/>
                <w:sz w:val="22"/>
                <w:szCs w:val="22"/>
                <w:lang w:val="it-IT"/>
              </w:rPr>
            </w:pPr>
            <w:del w:id="16463" w:author="AbbVie2" w:date="2025-05-14T10:25:00Z">
              <w:r w:rsidRPr="00346547">
                <w:rPr>
                  <w:sz w:val="22"/>
                  <w:szCs w:val="22"/>
                  <w:lang w:val="hr-HR"/>
                </w:rPr>
                <w:delText xml:space="preserve">Tel + 385 (0)1 </w:delText>
              </w:r>
              <w:r w:rsidRPr="00FF65EF">
                <w:rPr>
                  <w:sz w:val="22"/>
                  <w:szCs w:val="22"/>
                  <w:rPrChange w:id="16464" w:author="AbbVie2" w:date="2025-05-14T12:36:00Z">
                    <w:rPr>
                      <w:sz w:val="22"/>
                      <w:szCs w:val="22"/>
                      <w:lang w:val="en-US"/>
                    </w:rPr>
                  </w:rPrChange>
                </w:rPr>
                <w:delText>5625 501</w:delText>
              </w:r>
            </w:del>
          </w:p>
        </w:tc>
        <w:tc>
          <w:tcPr>
            <w:tcW w:w="4678" w:type="dxa"/>
          </w:tcPr>
          <w:p w14:paraId="752963B3" w14:textId="62520CA4" w:rsidR="00012D36" w:rsidRPr="00346547" w:rsidRDefault="00615769" w:rsidP="001F79B0">
            <w:pPr>
              <w:pStyle w:val="EMEANormal"/>
              <w:rPr>
                <w:del w:id="16465" w:author="AbbVie2" w:date="2025-05-14T10:25:00Z"/>
                <w:b/>
                <w:bCs/>
                <w:szCs w:val="22"/>
                <w:lang w:val="it-IT"/>
              </w:rPr>
            </w:pPr>
            <w:del w:id="16466" w:author="AbbVie2" w:date="2025-05-14T10:25:00Z">
              <w:r w:rsidRPr="00346547">
                <w:rPr>
                  <w:b/>
                  <w:bCs/>
                  <w:szCs w:val="22"/>
                  <w:lang w:val="it-IT"/>
                </w:rPr>
                <w:delText>România</w:delText>
              </w:r>
            </w:del>
          </w:p>
          <w:p w14:paraId="4FE2AEA8" w14:textId="42415BFA" w:rsidR="00012D36" w:rsidRPr="00346547" w:rsidRDefault="00615769" w:rsidP="001F79B0">
            <w:pPr>
              <w:rPr>
                <w:del w:id="16467" w:author="AbbVie2" w:date="2025-05-14T10:25:00Z"/>
                <w:rFonts w:eastAsia="MS Mincho"/>
                <w:sz w:val="22"/>
                <w:szCs w:val="22"/>
                <w:lang w:val="it-IT" w:eastAsia="ja-JP"/>
              </w:rPr>
            </w:pPr>
            <w:del w:id="16468" w:author="AbbVie2" w:date="2025-05-14T10:25:00Z">
              <w:r w:rsidRPr="00346547">
                <w:rPr>
                  <w:rFonts w:eastAsia="MS Mincho"/>
                  <w:sz w:val="22"/>
                  <w:szCs w:val="22"/>
                  <w:lang w:val="it-IT" w:eastAsia="ja-JP"/>
                </w:rPr>
                <w:delText>AbbVie S.R.L.</w:delText>
              </w:r>
            </w:del>
          </w:p>
          <w:p w14:paraId="46533AC6" w14:textId="215EF5EB" w:rsidR="00012D36" w:rsidRPr="00346547" w:rsidRDefault="00615769" w:rsidP="001F79B0">
            <w:pPr>
              <w:rPr>
                <w:del w:id="16469" w:author="AbbVie2" w:date="2025-05-14T10:25:00Z"/>
                <w:sz w:val="22"/>
                <w:szCs w:val="22"/>
                <w:lang w:val="pl-PL"/>
              </w:rPr>
            </w:pPr>
            <w:del w:id="16470" w:author="AbbVie2" w:date="2025-05-14T10:25:00Z">
              <w:r w:rsidRPr="00346547">
                <w:rPr>
                  <w:sz w:val="22"/>
                  <w:szCs w:val="22"/>
                  <w:lang w:val="pl-PL"/>
                </w:rPr>
                <w:delText>Tel: +40 21 529 30 35</w:delText>
              </w:r>
            </w:del>
          </w:p>
          <w:p w14:paraId="02028C4F" w14:textId="530CF2BD" w:rsidR="00012D36" w:rsidRPr="00346547" w:rsidRDefault="00012D36" w:rsidP="001F79B0">
            <w:pPr>
              <w:rPr>
                <w:del w:id="16471" w:author="AbbVie2" w:date="2025-05-14T10:25:00Z"/>
                <w:sz w:val="22"/>
                <w:szCs w:val="22"/>
                <w:lang w:val="pl-PL"/>
              </w:rPr>
            </w:pPr>
          </w:p>
        </w:tc>
      </w:tr>
      <w:tr w:rsidR="00A7162A" w14:paraId="0B5C5A02" w14:textId="2998D447" w:rsidTr="001F79B0">
        <w:trPr>
          <w:gridBefore w:val="1"/>
          <w:wBefore w:w="34" w:type="dxa"/>
          <w:del w:id="16472" w:author="AbbVie2" w:date="2025-05-14T10:25:00Z"/>
        </w:trPr>
        <w:tc>
          <w:tcPr>
            <w:tcW w:w="4644" w:type="dxa"/>
            <w:gridSpan w:val="2"/>
          </w:tcPr>
          <w:p w14:paraId="00CFDE49" w14:textId="4CF7317E" w:rsidR="00012D36" w:rsidRPr="00346547" w:rsidRDefault="00615769" w:rsidP="001F79B0">
            <w:pPr>
              <w:rPr>
                <w:del w:id="16473" w:author="AbbVie2" w:date="2025-05-14T10:25:00Z"/>
                <w:b/>
                <w:bCs/>
                <w:sz w:val="22"/>
                <w:szCs w:val="22"/>
              </w:rPr>
            </w:pPr>
            <w:del w:id="16474" w:author="AbbVie2" w:date="2025-05-14T10:25:00Z">
              <w:r w:rsidRPr="00346547">
                <w:rPr>
                  <w:b/>
                  <w:bCs/>
                  <w:sz w:val="22"/>
                  <w:szCs w:val="22"/>
                </w:rPr>
                <w:delText>Ireland</w:delText>
              </w:r>
            </w:del>
          </w:p>
          <w:p w14:paraId="418F426E" w14:textId="28C3B44B" w:rsidR="00012D36" w:rsidRPr="00346547" w:rsidRDefault="00615769" w:rsidP="001F79B0">
            <w:pPr>
              <w:rPr>
                <w:del w:id="16475" w:author="AbbVie2" w:date="2025-05-14T10:25:00Z"/>
                <w:bCs/>
                <w:sz w:val="22"/>
                <w:szCs w:val="22"/>
              </w:rPr>
            </w:pPr>
            <w:del w:id="16476" w:author="AbbVie2" w:date="2025-05-14T10:25:00Z">
              <w:r w:rsidRPr="00346547">
                <w:rPr>
                  <w:bCs/>
                  <w:sz w:val="22"/>
                  <w:szCs w:val="22"/>
                </w:rPr>
                <w:delText xml:space="preserve">AbbVie Limited </w:delText>
              </w:r>
            </w:del>
          </w:p>
          <w:p w14:paraId="2FF43A5F" w14:textId="2086D15F" w:rsidR="00012D36" w:rsidRPr="00346547" w:rsidRDefault="00615769" w:rsidP="001F79B0">
            <w:pPr>
              <w:rPr>
                <w:del w:id="16477" w:author="AbbVie2" w:date="2025-05-14T10:25:00Z"/>
                <w:bCs/>
                <w:sz w:val="22"/>
                <w:szCs w:val="22"/>
              </w:rPr>
            </w:pPr>
            <w:del w:id="16478" w:author="AbbVie2" w:date="2025-05-14T10:25:00Z">
              <w:r w:rsidRPr="00346547">
                <w:rPr>
                  <w:bCs/>
                  <w:sz w:val="22"/>
                  <w:szCs w:val="22"/>
                </w:rPr>
                <w:delText>Tel: +353 (0)1 42879</w:delText>
              </w:r>
              <w:r w:rsidR="00794A65">
                <w:rPr>
                  <w:bCs/>
                  <w:sz w:val="22"/>
                  <w:szCs w:val="22"/>
                </w:rPr>
                <w:delText>0</w:delText>
              </w:r>
              <w:r w:rsidRPr="00346547">
                <w:rPr>
                  <w:bCs/>
                  <w:sz w:val="22"/>
                  <w:szCs w:val="22"/>
                </w:rPr>
                <w:delText>0</w:delText>
              </w:r>
            </w:del>
          </w:p>
        </w:tc>
        <w:tc>
          <w:tcPr>
            <w:tcW w:w="4678" w:type="dxa"/>
          </w:tcPr>
          <w:p w14:paraId="47702D98" w14:textId="799EADE6" w:rsidR="00012D36" w:rsidRPr="00346547" w:rsidRDefault="00615769" w:rsidP="001F79B0">
            <w:pPr>
              <w:rPr>
                <w:del w:id="16479" w:author="AbbVie2" w:date="2025-05-14T10:25:00Z"/>
                <w:b/>
                <w:bCs/>
                <w:sz w:val="22"/>
                <w:szCs w:val="22"/>
                <w:lang w:val="sl-SI"/>
              </w:rPr>
            </w:pPr>
            <w:del w:id="16480" w:author="AbbVie2" w:date="2025-05-14T10:25:00Z">
              <w:r w:rsidRPr="00346547">
                <w:rPr>
                  <w:b/>
                  <w:bCs/>
                  <w:sz w:val="22"/>
                  <w:szCs w:val="22"/>
                  <w:lang w:val="sl-SI"/>
                </w:rPr>
                <w:delText>Slovenija</w:delText>
              </w:r>
            </w:del>
          </w:p>
          <w:p w14:paraId="35920D51" w14:textId="06869AB2" w:rsidR="00012D36" w:rsidRPr="00346547" w:rsidRDefault="00615769" w:rsidP="001F79B0">
            <w:pPr>
              <w:rPr>
                <w:del w:id="16481" w:author="AbbVie2" w:date="2025-05-14T10:25:00Z"/>
                <w:bCs/>
                <w:sz w:val="22"/>
                <w:szCs w:val="22"/>
                <w:lang w:val="sl-SI"/>
              </w:rPr>
            </w:pPr>
            <w:del w:id="16482" w:author="AbbVie2" w:date="2025-05-14T10:25:00Z">
              <w:r w:rsidRPr="00346547">
                <w:rPr>
                  <w:bCs/>
                  <w:sz w:val="22"/>
                  <w:szCs w:val="22"/>
                  <w:lang w:val="sl-SI"/>
                </w:rPr>
                <w:delText xml:space="preserve">AbbVie </w:delText>
              </w:r>
              <w:r w:rsidRPr="00346547">
                <w:rPr>
                  <w:sz w:val="22"/>
                  <w:szCs w:val="22"/>
                  <w:lang w:val="sl-SI"/>
                </w:rPr>
                <w:delText>Biofarmacevtska družba d.o.o.</w:delText>
              </w:r>
            </w:del>
          </w:p>
          <w:p w14:paraId="3F15A1E2" w14:textId="35E4420B" w:rsidR="00012D36" w:rsidRPr="00346547" w:rsidRDefault="00615769" w:rsidP="001F79B0">
            <w:pPr>
              <w:rPr>
                <w:del w:id="16483" w:author="AbbVie2" w:date="2025-05-14T10:25:00Z"/>
                <w:bCs/>
                <w:sz w:val="22"/>
                <w:szCs w:val="22"/>
                <w:lang w:val="sl-SI"/>
              </w:rPr>
            </w:pPr>
            <w:del w:id="16484" w:author="AbbVie2" w:date="2025-05-14T10:25:00Z">
              <w:r w:rsidRPr="00346547">
                <w:rPr>
                  <w:bCs/>
                  <w:sz w:val="22"/>
                  <w:szCs w:val="22"/>
                  <w:lang w:val="sl-SI"/>
                </w:rPr>
                <w:delText>Tel: +386 (1)32 08 060</w:delText>
              </w:r>
            </w:del>
          </w:p>
          <w:p w14:paraId="3BF0438D" w14:textId="10C67C3C" w:rsidR="00012D36" w:rsidRPr="00346547" w:rsidRDefault="00012D36" w:rsidP="001F79B0">
            <w:pPr>
              <w:rPr>
                <w:del w:id="16485" w:author="AbbVie2" w:date="2025-05-14T10:25:00Z"/>
                <w:bCs/>
                <w:sz w:val="22"/>
                <w:szCs w:val="22"/>
                <w:lang w:val="sl-SI"/>
              </w:rPr>
            </w:pPr>
          </w:p>
        </w:tc>
      </w:tr>
      <w:tr w:rsidR="00A7162A" w14:paraId="5563AA1C" w14:textId="33DF09C2" w:rsidTr="001F79B0">
        <w:trPr>
          <w:gridBefore w:val="1"/>
          <w:wBefore w:w="34" w:type="dxa"/>
          <w:del w:id="16486" w:author="AbbVie2" w:date="2025-05-14T10:25:00Z"/>
        </w:trPr>
        <w:tc>
          <w:tcPr>
            <w:tcW w:w="4644" w:type="dxa"/>
            <w:gridSpan w:val="2"/>
          </w:tcPr>
          <w:p w14:paraId="70F5B3C6" w14:textId="1628D345" w:rsidR="00012D36" w:rsidRPr="00346547" w:rsidRDefault="00615769" w:rsidP="001F79B0">
            <w:pPr>
              <w:keepNext/>
              <w:rPr>
                <w:del w:id="16487" w:author="AbbVie2" w:date="2025-05-14T10:25:00Z"/>
                <w:b/>
                <w:bCs/>
                <w:sz w:val="22"/>
                <w:szCs w:val="22"/>
                <w:lang w:val="is-IS"/>
              </w:rPr>
            </w:pPr>
            <w:del w:id="16488" w:author="AbbVie2" w:date="2025-05-14T10:25:00Z">
              <w:r w:rsidRPr="00346547">
                <w:rPr>
                  <w:b/>
                  <w:bCs/>
                  <w:sz w:val="22"/>
                  <w:szCs w:val="22"/>
                  <w:lang w:val="is-IS"/>
                </w:rPr>
                <w:delText>Ísland</w:delText>
              </w:r>
            </w:del>
          </w:p>
          <w:p w14:paraId="1CFEA3D9" w14:textId="58D04520" w:rsidR="00012D36" w:rsidRPr="00346547" w:rsidRDefault="00615769" w:rsidP="001F79B0">
            <w:pPr>
              <w:keepNext/>
              <w:rPr>
                <w:del w:id="16489" w:author="AbbVie2" w:date="2025-05-14T10:25:00Z"/>
                <w:bCs/>
                <w:sz w:val="22"/>
                <w:szCs w:val="22"/>
              </w:rPr>
            </w:pPr>
            <w:del w:id="16490" w:author="AbbVie2" w:date="2025-05-14T10:25:00Z">
              <w:r w:rsidRPr="00346547">
                <w:rPr>
                  <w:bCs/>
                  <w:sz w:val="22"/>
                  <w:szCs w:val="22"/>
                </w:rPr>
                <w:delText>Vistor hf.</w:delText>
              </w:r>
            </w:del>
          </w:p>
          <w:p w14:paraId="6FE08B7A" w14:textId="0CC6D381" w:rsidR="00012D36" w:rsidRPr="00346547" w:rsidRDefault="00615769" w:rsidP="001F79B0">
            <w:pPr>
              <w:keepNext/>
              <w:rPr>
                <w:del w:id="16491" w:author="AbbVie2" w:date="2025-05-14T10:25:00Z"/>
                <w:bCs/>
                <w:sz w:val="22"/>
                <w:szCs w:val="22"/>
              </w:rPr>
            </w:pPr>
            <w:del w:id="16492" w:author="AbbVie2" w:date="2025-05-14T10:25:00Z">
              <w:r w:rsidRPr="00346547">
                <w:rPr>
                  <w:bCs/>
                  <w:sz w:val="22"/>
                  <w:szCs w:val="22"/>
                </w:rPr>
                <w:delText>Tel: +354 535 7000</w:delText>
              </w:r>
            </w:del>
          </w:p>
        </w:tc>
        <w:tc>
          <w:tcPr>
            <w:tcW w:w="4678" w:type="dxa"/>
          </w:tcPr>
          <w:p w14:paraId="1453CABF" w14:textId="758A7161" w:rsidR="00012D36" w:rsidRPr="00346547" w:rsidRDefault="00615769" w:rsidP="001F79B0">
            <w:pPr>
              <w:keepNext/>
              <w:rPr>
                <w:del w:id="16493" w:author="AbbVie2" w:date="2025-05-14T10:25:00Z"/>
                <w:b/>
                <w:bCs/>
                <w:sz w:val="22"/>
                <w:szCs w:val="22"/>
              </w:rPr>
            </w:pPr>
            <w:del w:id="16494" w:author="AbbVie2" w:date="2025-05-14T10:25:00Z">
              <w:r w:rsidRPr="00346547">
                <w:rPr>
                  <w:b/>
                  <w:bCs/>
                  <w:sz w:val="22"/>
                  <w:szCs w:val="22"/>
                </w:rPr>
                <w:delText>Slovenská republika</w:delText>
              </w:r>
            </w:del>
          </w:p>
          <w:p w14:paraId="6D95CBF0" w14:textId="56161B82" w:rsidR="00012D36" w:rsidRPr="00346547" w:rsidRDefault="00615769" w:rsidP="001F79B0">
            <w:pPr>
              <w:keepNext/>
              <w:rPr>
                <w:del w:id="16495" w:author="AbbVie2" w:date="2025-05-14T10:25:00Z"/>
                <w:bCs/>
                <w:sz w:val="22"/>
                <w:szCs w:val="22"/>
              </w:rPr>
            </w:pPr>
            <w:del w:id="16496" w:author="AbbVie2" w:date="2025-05-14T10:25:00Z">
              <w:r w:rsidRPr="00346547">
                <w:rPr>
                  <w:bCs/>
                  <w:sz w:val="22"/>
                  <w:szCs w:val="22"/>
                </w:rPr>
                <w:delText>AbbVie s.r.o.</w:delText>
              </w:r>
            </w:del>
          </w:p>
          <w:p w14:paraId="26BDAC20" w14:textId="50D050AF" w:rsidR="00012D36" w:rsidRPr="00346547" w:rsidRDefault="00615769" w:rsidP="001F79B0">
            <w:pPr>
              <w:keepNext/>
              <w:rPr>
                <w:del w:id="16497" w:author="AbbVie2" w:date="2025-05-14T10:25:00Z"/>
                <w:bCs/>
                <w:sz w:val="22"/>
                <w:szCs w:val="22"/>
              </w:rPr>
            </w:pPr>
            <w:del w:id="16498" w:author="AbbVie2" w:date="2025-05-14T10:25:00Z">
              <w:r w:rsidRPr="00346547">
                <w:rPr>
                  <w:bCs/>
                  <w:sz w:val="22"/>
                  <w:szCs w:val="22"/>
                </w:rPr>
                <w:delText>Tel: +421 2 5050 0777</w:delText>
              </w:r>
            </w:del>
          </w:p>
          <w:p w14:paraId="55811DDE" w14:textId="62B4243C" w:rsidR="00012D36" w:rsidRPr="00346547" w:rsidRDefault="00012D36" w:rsidP="001F79B0">
            <w:pPr>
              <w:keepNext/>
              <w:rPr>
                <w:del w:id="16499" w:author="AbbVie2" w:date="2025-05-14T10:25:00Z"/>
                <w:bCs/>
                <w:sz w:val="22"/>
                <w:szCs w:val="22"/>
              </w:rPr>
            </w:pPr>
          </w:p>
        </w:tc>
      </w:tr>
      <w:tr w:rsidR="00A7162A" w14:paraId="6FD1D454" w14:textId="17F2C10A" w:rsidTr="001F79B0">
        <w:trPr>
          <w:gridBefore w:val="1"/>
          <w:wBefore w:w="34" w:type="dxa"/>
          <w:del w:id="16500" w:author="AbbVie2" w:date="2025-05-14T10:25:00Z"/>
        </w:trPr>
        <w:tc>
          <w:tcPr>
            <w:tcW w:w="4644" w:type="dxa"/>
            <w:gridSpan w:val="2"/>
          </w:tcPr>
          <w:p w14:paraId="6B81D38E" w14:textId="4C022EE7" w:rsidR="00012D36" w:rsidRPr="00346547" w:rsidRDefault="00615769" w:rsidP="001F79B0">
            <w:pPr>
              <w:rPr>
                <w:del w:id="16501" w:author="AbbVie2" w:date="2025-05-14T10:25:00Z"/>
                <w:b/>
                <w:bCs/>
                <w:sz w:val="22"/>
                <w:szCs w:val="22"/>
                <w:lang w:val="it-IT"/>
              </w:rPr>
            </w:pPr>
            <w:del w:id="16502" w:author="AbbVie2" w:date="2025-05-14T10:25:00Z">
              <w:r w:rsidRPr="00346547">
                <w:rPr>
                  <w:b/>
                  <w:bCs/>
                  <w:sz w:val="22"/>
                  <w:szCs w:val="22"/>
                  <w:lang w:val="it-IT"/>
                </w:rPr>
                <w:delText>Italia</w:delText>
              </w:r>
            </w:del>
          </w:p>
          <w:p w14:paraId="6E9DD130" w14:textId="2093761C" w:rsidR="00012D36" w:rsidRPr="00346547" w:rsidRDefault="00615769" w:rsidP="001F79B0">
            <w:pPr>
              <w:pStyle w:val="EndnoteText"/>
              <w:spacing w:line="260" w:lineRule="exact"/>
              <w:rPr>
                <w:del w:id="16503" w:author="AbbVie2" w:date="2025-05-14T10:25:00Z"/>
                <w:bCs/>
                <w:szCs w:val="22"/>
              </w:rPr>
            </w:pPr>
            <w:del w:id="16504" w:author="AbbVie2" w:date="2025-05-14T10:25:00Z">
              <w:r w:rsidRPr="00346547">
                <w:rPr>
                  <w:bCs/>
                  <w:szCs w:val="22"/>
                </w:rPr>
                <w:delText xml:space="preserve">AbbVie S.r.l. </w:delText>
              </w:r>
            </w:del>
          </w:p>
          <w:p w14:paraId="376F2024" w14:textId="72513941" w:rsidR="00012D36" w:rsidRPr="00346547" w:rsidRDefault="00615769" w:rsidP="001F79B0">
            <w:pPr>
              <w:rPr>
                <w:del w:id="16505" w:author="AbbVie2" w:date="2025-05-14T10:25:00Z"/>
                <w:bCs/>
                <w:sz w:val="22"/>
                <w:szCs w:val="22"/>
                <w:lang w:val="fi-FI"/>
              </w:rPr>
            </w:pPr>
            <w:del w:id="16506" w:author="AbbVie2" w:date="2025-05-14T10:25:00Z">
              <w:r w:rsidRPr="00346547">
                <w:rPr>
                  <w:bCs/>
                  <w:sz w:val="22"/>
                  <w:szCs w:val="22"/>
                  <w:lang w:val="fr-FR"/>
                </w:rPr>
                <w:delText>Tel: +39 06 928921</w:delText>
              </w:r>
            </w:del>
          </w:p>
        </w:tc>
        <w:tc>
          <w:tcPr>
            <w:tcW w:w="4678" w:type="dxa"/>
          </w:tcPr>
          <w:p w14:paraId="3D30C8BD" w14:textId="0E9A58D1" w:rsidR="00012D36" w:rsidRPr="00346547" w:rsidRDefault="00615769" w:rsidP="001F79B0">
            <w:pPr>
              <w:rPr>
                <w:del w:id="16507" w:author="AbbVie2" w:date="2025-05-14T10:25:00Z"/>
                <w:b/>
                <w:bCs/>
                <w:sz w:val="22"/>
                <w:szCs w:val="22"/>
                <w:lang w:val="fi-FI"/>
              </w:rPr>
            </w:pPr>
            <w:del w:id="16508" w:author="AbbVie2" w:date="2025-05-14T10:25:00Z">
              <w:r w:rsidRPr="00346547">
                <w:rPr>
                  <w:b/>
                  <w:bCs/>
                  <w:sz w:val="22"/>
                  <w:szCs w:val="22"/>
                  <w:lang w:val="fi-FI"/>
                </w:rPr>
                <w:delText>Suomi/Finland</w:delText>
              </w:r>
            </w:del>
          </w:p>
          <w:p w14:paraId="1391D554" w14:textId="15B441F2" w:rsidR="00012D36" w:rsidRPr="00346547" w:rsidRDefault="00615769" w:rsidP="001F79B0">
            <w:pPr>
              <w:rPr>
                <w:del w:id="16509" w:author="AbbVie2" w:date="2025-05-14T10:25:00Z"/>
                <w:bCs/>
                <w:sz w:val="22"/>
                <w:szCs w:val="22"/>
                <w:lang w:val="de-CH"/>
              </w:rPr>
            </w:pPr>
            <w:del w:id="16510" w:author="AbbVie2" w:date="2025-05-14T10:25:00Z">
              <w:r w:rsidRPr="00FF65EF">
                <w:rPr>
                  <w:bCs/>
                  <w:sz w:val="22"/>
                  <w:szCs w:val="22"/>
                  <w:rPrChange w:id="16511" w:author="AbbVie2" w:date="2025-05-14T12:36:00Z">
                    <w:rPr>
                      <w:bCs/>
                      <w:sz w:val="22"/>
                      <w:szCs w:val="22"/>
                      <w:lang w:val="en-US"/>
                    </w:rPr>
                  </w:rPrChange>
                </w:rPr>
                <w:delText>AbbVie Oy</w:delText>
              </w:r>
            </w:del>
          </w:p>
          <w:p w14:paraId="5CB1A2BF" w14:textId="5CE9A108" w:rsidR="00012D36" w:rsidRPr="00FF65EF" w:rsidRDefault="00615769" w:rsidP="001F79B0">
            <w:pPr>
              <w:rPr>
                <w:del w:id="16512" w:author="AbbVie2" w:date="2025-05-14T10:25:00Z"/>
                <w:bCs/>
                <w:sz w:val="22"/>
                <w:szCs w:val="22"/>
                <w:rPrChange w:id="16513" w:author="AbbVie2" w:date="2025-05-14T12:36:00Z">
                  <w:rPr>
                    <w:del w:id="16514" w:author="AbbVie2" w:date="2025-05-14T10:25:00Z"/>
                    <w:bCs/>
                    <w:sz w:val="22"/>
                    <w:szCs w:val="22"/>
                    <w:lang w:val="en-US"/>
                  </w:rPr>
                </w:rPrChange>
              </w:rPr>
            </w:pPr>
            <w:del w:id="16515" w:author="AbbVie2" w:date="2025-05-14T10:25:00Z">
              <w:r w:rsidRPr="00FF65EF">
                <w:rPr>
                  <w:bCs/>
                  <w:sz w:val="22"/>
                  <w:szCs w:val="22"/>
                  <w:rPrChange w:id="16516" w:author="AbbVie2" w:date="2025-05-14T12:36:00Z">
                    <w:rPr>
                      <w:bCs/>
                      <w:sz w:val="22"/>
                      <w:szCs w:val="22"/>
                      <w:lang w:val="en-US"/>
                    </w:rPr>
                  </w:rPrChange>
                </w:rPr>
                <w:delText>Puh/Tel: +358 (0)10 2411 200</w:delText>
              </w:r>
            </w:del>
          </w:p>
          <w:p w14:paraId="25BD722C" w14:textId="09D3A878" w:rsidR="00012D36" w:rsidRPr="00FF65EF" w:rsidRDefault="00012D36" w:rsidP="001F79B0">
            <w:pPr>
              <w:rPr>
                <w:del w:id="16517" w:author="AbbVie2" w:date="2025-05-14T10:25:00Z"/>
                <w:sz w:val="22"/>
                <w:szCs w:val="22"/>
                <w:rPrChange w:id="16518" w:author="AbbVie2" w:date="2025-05-14T12:36:00Z">
                  <w:rPr>
                    <w:del w:id="16519" w:author="AbbVie2" w:date="2025-05-14T10:25:00Z"/>
                    <w:sz w:val="22"/>
                    <w:szCs w:val="22"/>
                    <w:lang w:val="en-US"/>
                  </w:rPr>
                </w:rPrChange>
              </w:rPr>
            </w:pPr>
          </w:p>
        </w:tc>
      </w:tr>
      <w:tr w:rsidR="00A7162A" w14:paraId="3C2A4C38" w14:textId="044B0081" w:rsidTr="001F79B0">
        <w:trPr>
          <w:gridBefore w:val="1"/>
          <w:wBefore w:w="34" w:type="dxa"/>
          <w:cantSplit/>
          <w:trHeight w:val="887"/>
          <w:del w:id="16520" w:author="AbbVie2" w:date="2025-05-14T10:25:00Z"/>
        </w:trPr>
        <w:tc>
          <w:tcPr>
            <w:tcW w:w="4644" w:type="dxa"/>
            <w:gridSpan w:val="2"/>
          </w:tcPr>
          <w:p w14:paraId="5FCB8C41" w14:textId="0F919778" w:rsidR="00012D36" w:rsidRPr="00346547" w:rsidRDefault="00615769" w:rsidP="001F79B0">
            <w:pPr>
              <w:rPr>
                <w:del w:id="16521" w:author="AbbVie2" w:date="2025-05-14T10:25:00Z"/>
                <w:b/>
                <w:bCs/>
                <w:sz w:val="22"/>
                <w:szCs w:val="22"/>
                <w:lang w:val="el-GR"/>
              </w:rPr>
            </w:pPr>
            <w:del w:id="16522" w:author="AbbVie2" w:date="2025-05-14T10:25:00Z">
              <w:r w:rsidRPr="00346547">
                <w:rPr>
                  <w:b/>
                  <w:bCs/>
                  <w:sz w:val="22"/>
                  <w:szCs w:val="22"/>
                  <w:lang w:val="el-GR"/>
                </w:rPr>
                <w:delText>Κύπρος</w:delText>
              </w:r>
            </w:del>
          </w:p>
          <w:p w14:paraId="1ED08FA1" w14:textId="64DD6B39" w:rsidR="00012D36" w:rsidRPr="00346547" w:rsidRDefault="00615769" w:rsidP="001F79B0">
            <w:pPr>
              <w:rPr>
                <w:del w:id="16523" w:author="AbbVie2" w:date="2025-05-14T10:25:00Z"/>
                <w:bCs/>
                <w:sz w:val="22"/>
                <w:szCs w:val="22"/>
                <w:lang w:val="el-GR"/>
              </w:rPr>
            </w:pPr>
            <w:del w:id="16524" w:author="AbbVie2" w:date="2025-05-14T10:25:00Z">
              <w:r w:rsidRPr="00FF65EF">
                <w:rPr>
                  <w:bCs/>
                  <w:sz w:val="22"/>
                  <w:szCs w:val="22"/>
                </w:rPr>
                <w:delText xml:space="preserve">Lifepharma (Z.A.M.) </w:delText>
              </w:r>
              <w:r w:rsidRPr="00346547">
                <w:rPr>
                  <w:bCs/>
                  <w:sz w:val="22"/>
                  <w:szCs w:val="22"/>
                  <w:lang w:val="it-IT"/>
                </w:rPr>
                <w:delText>Ltd</w:delText>
              </w:r>
            </w:del>
          </w:p>
          <w:p w14:paraId="4222CA30" w14:textId="217C96A8" w:rsidR="00012D36" w:rsidRPr="00346547" w:rsidRDefault="00615769" w:rsidP="001F79B0">
            <w:pPr>
              <w:rPr>
                <w:del w:id="16525" w:author="AbbVie2" w:date="2025-05-14T10:25:00Z"/>
                <w:bCs/>
                <w:sz w:val="22"/>
                <w:szCs w:val="22"/>
                <w:lang w:val="lv-LV"/>
              </w:rPr>
            </w:pPr>
            <w:del w:id="16526" w:author="AbbVie2" w:date="2025-05-14T10:25:00Z">
              <w:r w:rsidRPr="00346547">
                <w:rPr>
                  <w:bCs/>
                  <w:sz w:val="22"/>
                  <w:szCs w:val="22"/>
                  <w:lang w:val="el-GR"/>
                </w:rPr>
                <w:delText>Τηλ.: +357 22 34 74 40</w:delText>
              </w:r>
            </w:del>
          </w:p>
        </w:tc>
        <w:tc>
          <w:tcPr>
            <w:tcW w:w="4678" w:type="dxa"/>
          </w:tcPr>
          <w:p w14:paraId="4BB35DD7" w14:textId="4ACBA3B2" w:rsidR="00012D36" w:rsidRPr="00346547" w:rsidRDefault="00615769" w:rsidP="001F79B0">
            <w:pPr>
              <w:rPr>
                <w:del w:id="16527" w:author="AbbVie2" w:date="2025-05-14T10:25:00Z"/>
                <w:b/>
                <w:bCs/>
                <w:sz w:val="22"/>
                <w:szCs w:val="22"/>
              </w:rPr>
            </w:pPr>
            <w:del w:id="16528" w:author="AbbVie2" w:date="2025-05-14T10:25:00Z">
              <w:r w:rsidRPr="00346547">
                <w:rPr>
                  <w:b/>
                  <w:bCs/>
                  <w:sz w:val="22"/>
                  <w:szCs w:val="22"/>
                </w:rPr>
                <w:delText>Sverige</w:delText>
              </w:r>
            </w:del>
          </w:p>
          <w:p w14:paraId="3B23E91B" w14:textId="0354FE27" w:rsidR="00012D36" w:rsidRPr="00346547" w:rsidRDefault="00615769" w:rsidP="001F79B0">
            <w:pPr>
              <w:rPr>
                <w:del w:id="16529" w:author="AbbVie2" w:date="2025-05-14T10:25:00Z"/>
                <w:bCs/>
                <w:sz w:val="22"/>
                <w:szCs w:val="22"/>
              </w:rPr>
            </w:pPr>
            <w:del w:id="16530" w:author="AbbVie2" w:date="2025-05-14T10:25:00Z">
              <w:r w:rsidRPr="00346547">
                <w:rPr>
                  <w:bCs/>
                  <w:sz w:val="22"/>
                  <w:szCs w:val="22"/>
                </w:rPr>
                <w:delText>AbbVie AB</w:delText>
              </w:r>
            </w:del>
          </w:p>
          <w:p w14:paraId="6BB28F24" w14:textId="11805BB6" w:rsidR="00012D36" w:rsidRPr="00346547" w:rsidRDefault="00615769" w:rsidP="001F79B0">
            <w:pPr>
              <w:rPr>
                <w:del w:id="16531" w:author="AbbVie2" w:date="2025-05-14T10:25:00Z"/>
                <w:bCs/>
                <w:sz w:val="22"/>
                <w:szCs w:val="22"/>
              </w:rPr>
            </w:pPr>
            <w:del w:id="16532" w:author="AbbVie2" w:date="2025-05-14T10:25:00Z">
              <w:r w:rsidRPr="00346547">
                <w:rPr>
                  <w:bCs/>
                  <w:sz w:val="22"/>
                  <w:szCs w:val="22"/>
                  <w:lang w:val="da-DK"/>
                </w:rPr>
                <w:delText>Tel: +46 (0)8 684 44 600</w:delText>
              </w:r>
            </w:del>
          </w:p>
        </w:tc>
      </w:tr>
      <w:tr w:rsidR="00A7162A" w14:paraId="47F56327" w14:textId="0E2279DB" w:rsidTr="001F79B0">
        <w:trPr>
          <w:gridBefore w:val="1"/>
          <w:wBefore w:w="34" w:type="dxa"/>
          <w:cantSplit/>
          <w:trHeight w:val="761"/>
          <w:del w:id="16533" w:author="AbbVie2" w:date="2025-05-14T10:25:00Z"/>
        </w:trPr>
        <w:tc>
          <w:tcPr>
            <w:tcW w:w="4644" w:type="dxa"/>
            <w:gridSpan w:val="2"/>
          </w:tcPr>
          <w:p w14:paraId="3DBAC8CD" w14:textId="75C9D806" w:rsidR="00012D36" w:rsidRPr="00346547" w:rsidRDefault="00615769" w:rsidP="001F79B0">
            <w:pPr>
              <w:rPr>
                <w:del w:id="16534" w:author="AbbVie2" w:date="2025-05-14T10:25:00Z"/>
                <w:b/>
                <w:bCs/>
                <w:sz w:val="22"/>
                <w:szCs w:val="22"/>
                <w:lang w:val="lv-LV"/>
              </w:rPr>
            </w:pPr>
            <w:del w:id="16535" w:author="AbbVie2" w:date="2025-05-14T10:25:00Z">
              <w:r w:rsidRPr="00346547">
                <w:rPr>
                  <w:b/>
                  <w:bCs/>
                  <w:sz w:val="22"/>
                  <w:szCs w:val="22"/>
                  <w:lang w:val="lv-LV"/>
                </w:rPr>
                <w:delText>Latvija</w:delText>
              </w:r>
            </w:del>
          </w:p>
          <w:p w14:paraId="41B62CC0" w14:textId="25309EF1" w:rsidR="00012D36" w:rsidRPr="00346547" w:rsidRDefault="00615769" w:rsidP="001F79B0">
            <w:pPr>
              <w:rPr>
                <w:del w:id="16536" w:author="AbbVie2" w:date="2025-05-14T10:25:00Z"/>
                <w:bCs/>
                <w:sz w:val="22"/>
                <w:szCs w:val="22"/>
                <w:lang w:val="lv-LV"/>
              </w:rPr>
            </w:pPr>
            <w:del w:id="16537" w:author="AbbVie2" w:date="2025-05-14T10:25:00Z">
              <w:r w:rsidRPr="00346547">
                <w:rPr>
                  <w:bCs/>
                  <w:sz w:val="22"/>
                  <w:szCs w:val="22"/>
                  <w:lang w:val="lv-LV"/>
                </w:rPr>
                <w:delText xml:space="preserve">AbbVie SIA </w:delText>
              </w:r>
            </w:del>
          </w:p>
          <w:p w14:paraId="04DF9825" w14:textId="38594E69" w:rsidR="00012D36" w:rsidRPr="00346547" w:rsidRDefault="00615769" w:rsidP="001F79B0">
            <w:pPr>
              <w:rPr>
                <w:del w:id="16538" w:author="AbbVie2" w:date="2025-05-14T10:25:00Z"/>
                <w:bCs/>
                <w:sz w:val="22"/>
                <w:szCs w:val="22"/>
                <w:lang w:val="lv-LV"/>
              </w:rPr>
            </w:pPr>
            <w:del w:id="16539" w:author="AbbVie2" w:date="2025-05-14T10:25:00Z">
              <w:r w:rsidRPr="00346547">
                <w:rPr>
                  <w:bCs/>
                  <w:sz w:val="22"/>
                  <w:szCs w:val="22"/>
                  <w:lang w:val="lv-LV"/>
                </w:rPr>
                <w:delText>Tel: +371 67605000</w:delText>
              </w:r>
            </w:del>
          </w:p>
        </w:tc>
        <w:tc>
          <w:tcPr>
            <w:tcW w:w="4678" w:type="dxa"/>
          </w:tcPr>
          <w:p w14:paraId="59D7D439" w14:textId="5521D62E" w:rsidR="00012D36" w:rsidRPr="00346547" w:rsidRDefault="00012D36" w:rsidP="001F79B0">
            <w:pPr>
              <w:rPr>
                <w:del w:id="16540" w:author="AbbVie2" w:date="2025-05-14T10:25:00Z"/>
                <w:b/>
                <w:bCs/>
                <w:sz w:val="22"/>
                <w:szCs w:val="22"/>
              </w:rPr>
            </w:pPr>
          </w:p>
        </w:tc>
      </w:tr>
    </w:tbl>
    <w:p w14:paraId="2BE99DD8" w14:textId="5BA9838D" w:rsidR="004462A0" w:rsidRPr="0026770E" w:rsidRDefault="004462A0" w:rsidP="004462A0">
      <w:pPr>
        <w:rPr>
          <w:del w:id="16541" w:author="AbbVie2" w:date="2025-05-14T10:25:00Z"/>
          <w:lang w:val="en-US"/>
        </w:rPr>
      </w:pPr>
    </w:p>
    <w:p w14:paraId="3C5936AB" w14:textId="5BA38B0E" w:rsidR="004462A0" w:rsidRPr="008912CF" w:rsidRDefault="00615769" w:rsidP="004462A0">
      <w:pPr>
        <w:ind w:right="-449"/>
        <w:rPr>
          <w:del w:id="16542" w:author="AbbVie2" w:date="2025-05-14T10:25:00Z"/>
          <w:b/>
          <w:sz w:val="22"/>
          <w:szCs w:val="22"/>
        </w:rPr>
      </w:pPr>
      <w:del w:id="16543" w:author="AbbVie2" w:date="2025-05-14T10:25:00Z">
        <w:r w:rsidRPr="008912CF">
          <w:rPr>
            <w:b/>
            <w:sz w:val="22"/>
            <w:szCs w:val="22"/>
          </w:rPr>
          <w:delText xml:space="preserve">Este folheto foi revisto pela última vez em </w:delText>
        </w:r>
      </w:del>
    </w:p>
    <w:p w14:paraId="459317BC" w14:textId="2C1A6F87" w:rsidR="004462A0" w:rsidRPr="008912CF" w:rsidRDefault="004462A0" w:rsidP="004462A0">
      <w:pPr>
        <w:ind w:right="-449"/>
        <w:rPr>
          <w:del w:id="16544" w:author="AbbVie2" w:date="2025-05-14T10:25:00Z"/>
          <w:b/>
          <w:sz w:val="22"/>
          <w:szCs w:val="22"/>
        </w:rPr>
      </w:pPr>
    </w:p>
    <w:p w14:paraId="37026A6E" w14:textId="11C2F58F" w:rsidR="00C00953" w:rsidRDefault="00615769" w:rsidP="00C00953">
      <w:pPr>
        <w:ind w:right="-2"/>
        <w:rPr>
          <w:del w:id="16545" w:author="AbbVie2" w:date="2025-05-14T10:25:00Z"/>
          <w:color w:val="0000FF"/>
          <w:sz w:val="22"/>
          <w:szCs w:val="22"/>
        </w:rPr>
      </w:pPr>
      <w:del w:id="16546" w:author="AbbVie2" w:date="2025-05-14T10:25:00Z">
        <w:r w:rsidRPr="008912CF">
          <w:rPr>
            <w:sz w:val="22"/>
            <w:szCs w:val="22"/>
          </w:rPr>
          <w:delText xml:space="preserve">Está disponível informação pormenorizada sobre este medicamento no sítio da internet da Agência Europeia de Medicamentos: </w:delText>
        </w:r>
        <w:r>
          <w:fldChar w:fldCharType="begin"/>
        </w:r>
        <w:r>
          <w:delInstrText>HYPERLINK "http://www.ema.europa.eu"</w:delInstrText>
        </w:r>
        <w:r>
          <w:fldChar w:fldCharType="separate"/>
        </w:r>
        <w:r w:rsidRPr="008912CF">
          <w:rPr>
            <w:rStyle w:val="Hyperlink"/>
            <w:sz w:val="22"/>
            <w:szCs w:val="22"/>
          </w:rPr>
          <w:delText>http://www.ema.europa.eu</w:delText>
        </w:r>
        <w:r>
          <w:fldChar w:fldCharType="end"/>
        </w:r>
        <w:r w:rsidRPr="00C00953">
          <w:rPr>
            <w:color w:val="0000FF"/>
            <w:sz w:val="22"/>
            <w:szCs w:val="22"/>
          </w:rPr>
          <w:delText xml:space="preserve"> </w:delText>
        </w:r>
      </w:del>
    </w:p>
    <w:p w14:paraId="72B9BD59" w14:textId="7F531EC0" w:rsidR="00C00953" w:rsidRDefault="00C00953" w:rsidP="00C00953">
      <w:pPr>
        <w:numPr>
          <w:ilvl w:val="12"/>
          <w:numId w:val="0"/>
        </w:numPr>
        <w:ind w:right="-2"/>
        <w:rPr>
          <w:del w:id="16547" w:author="AbbVie2" w:date="2025-05-14T10:25:00Z"/>
          <w:b/>
          <w:noProof/>
          <w:szCs w:val="22"/>
        </w:rPr>
      </w:pPr>
    </w:p>
    <w:p w14:paraId="5AA1F2CC" w14:textId="6BAA757E" w:rsidR="004462A0" w:rsidRPr="008912CF" w:rsidRDefault="00615769" w:rsidP="00C00953">
      <w:pPr>
        <w:ind w:right="-2"/>
        <w:rPr>
          <w:del w:id="16548" w:author="AbbVie2" w:date="2025-05-14T10:25:00Z"/>
          <w:color w:val="000000"/>
          <w:sz w:val="22"/>
          <w:szCs w:val="22"/>
        </w:rPr>
      </w:pPr>
      <w:del w:id="16549" w:author="AbbVie2" w:date="2025-05-14T10:25:00Z">
        <w:r w:rsidRPr="004D4741">
          <w:rPr>
            <w:b/>
            <w:noProof/>
            <w:sz w:val="22"/>
            <w:szCs w:val="22"/>
          </w:rPr>
          <w:delText xml:space="preserve">Para ouvir ou solicitar uma cópia deste folheto em </w:delText>
        </w:r>
        <w:r w:rsidRPr="004D4741">
          <w:rPr>
            <w:b/>
            <w:noProof/>
            <w:sz w:val="22"/>
            <w:szCs w:val="22"/>
            <w:highlight w:val="lightGray"/>
          </w:rPr>
          <w:delText>&lt;Braille&gt;, &lt;caracteres grandes&gt; ou &lt;áudio&gt;</w:delText>
        </w:r>
        <w:r w:rsidRPr="004D4741">
          <w:rPr>
            <w:b/>
            <w:noProof/>
            <w:sz w:val="22"/>
            <w:szCs w:val="22"/>
          </w:rPr>
          <w:delText>, por favor contacte o representante local do Titular da Autorização de Introdução no Mercado.</w:delText>
        </w:r>
      </w:del>
    </w:p>
    <w:p w14:paraId="11EC5281" w14:textId="056A61B5" w:rsidR="008D13F4" w:rsidRPr="008912CF" w:rsidRDefault="00615769" w:rsidP="008D13F4">
      <w:pPr>
        <w:suppressAutoHyphens/>
        <w:ind w:left="567" w:hanging="567"/>
        <w:jc w:val="center"/>
        <w:rPr>
          <w:sz w:val="22"/>
          <w:szCs w:val="22"/>
        </w:rPr>
      </w:pPr>
      <w:del w:id="16550" w:author="AbbVie2" w:date="2025-05-14T10:25:00Z">
        <w:r w:rsidRPr="008912CF">
          <w:rPr>
            <w:color w:val="0000FF"/>
            <w:sz w:val="22"/>
            <w:szCs w:val="22"/>
          </w:rPr>
          <w:br w:type="page"/>
        </w:r>
      </w:del>
      <w:r w:rsidRPr="008912CF">
        <w:rPr>
          <w:b/>
          <w:sz w:val="22"/>
          <w:szCs w:val="22"/>
        </w:rPr>
        <w:t>Folheto informativo: Informação para o doente</w:t>
      </w:r>
    </w:p>
    <w:p w14:paraId="3225E2E6" w14:textId="77777777" w:rsidR="008D13F4" w:rsidRPr="00DD143A" w:rsidRDefault="008D13F4" w:rsidP="008D13F4">
      <w:pPr>
        <w:pStyle w:val="EMEATitle"/>
        <w:tabs>
          <w:tab w:val="clear" w:pos="562"/>
        </w:tabs>
        <w:suppressAutoHyphens w:val="0"/>
        <w:rPr>
          <w:rFonts w:ascii="Times New Roman" w:hAnsi="Times New Roman"/>
          <w:b w:val="0"/>
          <w:caps w:val="0"/>
          <w:szCs w:val="22"/>
          <w:lang w:val="pt-PT"/>
        </w:rPr>
      </w:pPr>
    </w:p>
    <w:p w14:paraId="727E68B2" w14:textId="77777777" w:rsidR="008D13F4" w:rsidRPr="008912CF" w:rsidRDefault="00615769" w:rsidP="008D13F4">
      <w:pPr>
        <w:pStyle w:val="EMEATitle"/>
        <w:tabs>
          <w:tab w:val="clear" w:pos="562"/>
        </w:tabs>
        <w:suppressAutoHyphens w:val="0"/>
        <w:rPr>
          <w:rFonts w:ascii="Times New Roman" w:hAnsi="Times New Roman"/>
          <w:caps w:val="0"/>
          <w:szCs w:val="22"/>
          <w:lang w:val="pt-PT"/>
        </w:rPr>
      </w:pPr>
      <w:r w:rsidRPr="008912CF">
        <w:rPr>
          <w:rFonts w:ascii="Times New Roman" w:hAnsi="Times New Roman"/>
          <w:caps w:val="0"/>
          <w:szCs w:val="22"/>
          <w:lang w:val="pt-PT"/>
        </w:rPr>
        <w:t xml:space="preserve">Humira </w:t>
      </w:r>
      <w:r w:rsidRPr="008912CF">
        <w:rPr>
          <w:rFonts w:ascii="Times New Roman" w:hAnsi="Times New Roman"/>
          <w:bCs/>
          <w:caps w:val="0"/>
          <w:szCs w:val="22"/>
          <w:lang w:val="pt-PT"/>
        </w:rPr>
        <w:t xml:space="preserve">40 mg solução injetável em seringa pré-cheia </w:t>
      </w:r>
    </w:p>
    <w:p w14:paraId="76835804" w14:textId="77777777" w:rsidR="008D13F4" w:rsidRPr="008912CF" w:rsidRDefault="00615769" w:rsidP="008D13F4">
      <w:pPr>
        <w:jc w:val="center"/>
        <w:rPr>
          <w:bCs/>
          <w:sz w:val="22"/>
          <w:szCs w:val="22"/>
        </w:rPr>
      </w:pPr>
      <w:r w:rsidRPr="008912CF">
        <w:rPr>
          <w:bCs/>
          <w:sz w:val="22"/>
          <w:szCs w:val="22"/>
        </w:rPr>
        <w:t>adalimumab</w:t>
      </w:r>
    </w:p>
    <w:p w14:paraId="27D48C43" w14:textId="77777777" w:rsidR="008D13F4" w:rsidRPr="008912CF" w:rsidRDefault="008D13F4" w:rsidP="008D13F4">
      <w:pPr>
        <w:jc w:val="center"/>
        <w:rPr>
          <w:sz w:val="22"/>
          <w:szCs w:val="22"/>
        </w:rPr>
      </w:pPr>
    </w:p>
    <w:p w14:paraId="2015B517" w14:textId="77777777" w:rsidR="008D13F4" w:rsidRPr="008912CF" w:rsidRDefault="00615769" w:rsidP="008D13F4">
      <w:pPr>
        <w:ind w:right="-2"/>
        <w:rPr>
          <w:sz w:val="22"/>
          <w:szCs w:val="22"/>
        </w:rPr>
      </w:pPr>
      <w:r w:rsidRPr="008912CF">
        <w:rPr>
          <w:b/>
          <w:sz w:val="22"/>
          <w:szCs w:val="22"/>
        </w:rPr>
        <w:t>Leia com atenção todo este folheto antes de começar a utilizar este medicamento, pois contém informação importante para si.</w:t>
      </w:r>
    </w:p>
    <w:p w14:paraId="7BD10985" w14:textId="77777777" w:rsidR="008D13F4" w:rsidRPr="008912CF" w:rsidRDefault="00615769" w:rsidP="008D13F4">
      <w:pPr>
        <w:numPr>
          <w:ilvl w:val="0"/>
          <w:numId w:val="19"/>
        </w:numPr>
        <w:ind w:right="-2"/>
        <w:rPr>
          <w:sz w:val="22"/>
          <w:szCs w:val="22"/>
        </w:rPr>
      </w:pPr>
      <w:r w:rsidRPr="008912CF">
        <w:rPr>
          <w:sz w:val="22"/>
          <w:szCs w:val="22"/>
        </w:rPr>
        <w:t xml:space="preserve">Conserve este folheto. Pode ter necessidade de o ler novamente. </w:t>
      </w:r>
    </w:p>
    <w:p w14:paraId="1D672F2D" w14:textId="77777777" w:rsidR="008D13F4" w:rsidRPr="008912CF" w:rsidRDefault="00615769" w:rsidP="008D13F4">
      <w:pPr>
        <w:numPr>
          <w:ilvl w:val="0"/>
          <w:numId w:val="19"/>
        </w:numPr>
        <w:ind w:right="-2"/>
        <w:rPr>
          <w:sz w:val="22"/>
          <w:szCs w:val="22"/>
        </w:rPr>
      </w:pPr>
      <w:r w:rsidRPr="008912CF">
        <w:rPr>
          <w:sz w:val="22"/>
          <w:szCs w:val="22"/>
        </w:rPr>
        <w:t xml:space="preserve">O seu médico vai dar-lhe também um </w:t>
      </w:r>
      <w:r w:rsidRPr="00824537">
        <w:rPr>
          <w:b/>
          <w:sz w:val="22"/>
          <w:szCs w:val="22"/>
        </w:rPr>
        <w:t>Cartão de Segurança do Doente</w:t>
      </w:r>
      <w:r w:rsidRPr="008912CF">
        <w:rPr>
          <w:sz w:val="22"/>
          <w:szCs w:val="22"/>
        </w:rPr>
        <w:t xml:space="preserve">, que contém informação de segurança importante que precisa conhecer, antes e durante o tratamento com Humira. Mantenha o </w:t>
      </w:r>
      <w:r w:rsidRPr="00824537">
        <w:rPr>
          <w:b/>
          <w:sz w:val="22"/>
          <w:szCs w:val="22"/>
        </w:rPr>
        <w:t>Cartão de Segurança do Doente</w:t>
      </w:r>
      <w:r w:rsidRPr="008912CF">
        <w:rPr>
          <w:sz w:val="22"/>
          <w:szCs w:val="22"/>
        </w:rPr>
        <w:t xml:space="preserve"> consigo.</w:t>
      </w:r>
    </w:p>
    <w:p w14:paraId="1A898E91" w14:textId="77777777" w:rsidR="008D13F4" w:rsidRPr="008912CF" w:rsidRDefault="00615769" w:rsidP="008D13F4">
      <w:pPr>
        <w:numPr>
          <w:ilvl w:val="0"/>
          <w:numId w:val="39"/>
        </w:numPr>
        <w:ind w:right="-2"/>
        <w:rPr>
          <w:sz w:val="22"/>
          <w:szCs w:val="22"/>
        </w:rPr>
      </w:pPr>
      <w:r w:rsidRPr="008912CF">
        <w:rPr>
          <w:sz w:val="22"/>
          <w:szCs w:val="22"/>
        </w:rPr>
        <w:t>Caso ainda tenha dúvidas, fale com o seu médico ou farmacêutico.</w:t>
      </w:r>
    </w:p>
    <w:p w14:paraId="2A2F1383" w14:textId="77777777" w:rsidR="008D13F4" w:rsidRPr="008912CF" w:rsidRDefault="00615769" w:rsidP="008D13F4">
      <w:pPr>
        <w:numPr>
          <w:ilvl w:val="0"/>
          <w:numId w:val="39"/>
        </w:numPr>
        <w:ind w:right="-2"/>
        <w:rPr>
          <w:b/>
          <w:sz w:val="22"/>
          <w:szCs w:val="22"/>
        </w:rPr>
      </w:pPr>
      <w:r w:rsidRPr="008912CF">
        <w:rPr>
          <w:sz w:val="22"/>
          <w:szCs w:val="22"/>
        </w:rPr>
        <w:t>Este medicamento foi receitado apenas para si. Não deve dá-lo a outros. O medicamento pode ser-lhes prejudicial mesmo que apresentem os mesmos sinais de doença.</w:t>
      </w:r>
    </w:p>
    <w:p w14:paraId="6B0C6353" w14:textId="77777777" w:rsidR="008D13F4" w:rsidRPr="001242C2" w:rsidRDefault="00615769" w:rsidP="008D13F4">
      <w:pPr>
        <w:numPr>
          <w:ilvl w:val="0"/>
          <w:numId w:val="21"/>
        </w:numPr>
        <w:ind w:right="-2"/>
        <w:rPr>
          <w:b/>
          <w:sz w:val="22"/>
          <w:szCs w:val="22"/>
        </w:rPr>
      </w:pPr>
      <w:r w:rsidRPr="001242C2">
        <w:rPr>
          <w:sz w:val="22"/>
          <w:szCs w:val="22"/>
        </w:rPr>
        <w:t xml:space="preserve">Se tiver quaisquer efeitos </w:t>
      </w:r>
      <w:r w:rsidR="00571C82">
        <w:rPr>
          <w:sz w:val="22"/>
          <w:szCs w:val="22"/>
        </w:rPr>
        <w:t>indesejáveis</w:t>
      </w:r>
      <w:r w:rsidRPr="001242C2">
        <w:rPr>
          <w:sz w:val="22"/>
          <w:szCs w:val="22"/>
        </w:rPr>
        <w:t xml:space="preserve">, incluindo possíveis efeitos </w:t>
      </w:r>
      <w:r w:rsidR="00571C82">
        <w:rPr>
          <w:sz w:val="22"/>
          <w:szCs w:val="22"/>
        </w:rPr>
        <w:t>indesejáveis</w:t>
      </w:r>
      <w:r w:rsidRPr="001242C2">
        <w:rPr>
          <w:sz w:val="22"/>
          <w:szCs w:val="22"/>
        </w:rPr>
        <w:t xml:space="preserve"> não indicados neste folheto, fale com o seu médico ou farmacêutico. Ver secção 4.</w:t>
      </w:r>
    </w:p>
    <w:p w14:paraId="554B6614" w14:textId="77777777" w:rsidR="008D13F4" w:rsidRPr="001242C2" w:rsidRDefault="008D13F4" w:rsidP="008D13F4">
      <w:pPr>
        <w:ind w:right="-2"/>
        <w:rPr>
          <w:sz w:val="22"/>
          <w:szCs w:val="22"/>
          <w:u w:val="single"/>
        </w:rPr>
      </w:pPr>
    </w:p>
    <w:p w14:paraId="48980214" w14:textId="77777777" w:rsidR="008D13F4" w:rsidRPr="001242C2" w:rsidRDefault="00615769" w:rsidP="008D13F4">
      <w:pPr>
        <w:ind w:right="-2"/>
        <w:rPr>
          <w:sz w:val="22"/>
          <w:szCs w:val="22"/>
        </w:rPr>
      </w:pPr>
      <w:r w:rsidRPr="001242C2">
        <w:rPr>
          <w:b/>
          <w:sz w:val="22"/>
          <w:szCs w:val="22"/>
        </w:rPr>
        <w:t>O que contém este folheto</w:t>
      </w:r>
    </w:p>
    <w:p w14:paraId="0A9499ED" w14:textId="77777777" w:rsidR="008D13F4" w:rsidRPr="001242C2" w:rsidRDefault="00615769" w:rsidP="008D13F4">
      <w:pPr>
        <w:ind w:left="567" w:hanging="567"/>
        <w:rPr>
          <w:sz w:val="22"/>
          <w:szCs w:val="22"/>
        </w:rPr>
      </w:pPr>
      <w:r w:rsidRPr="001242C2">
        <w:rPr>
          <w:sz w:val="22"/>
          <w:szCs w:val="22"/>
        </w:rPr>
        <w:t>1.</w:t>
      </w:r>
      <w:r w:rsidRPr="001242C2">
        <w:rPr>
          <w:sz w:val="22"/>
          <w:szCs w:val="22"/>
        </w:rPr>
        <w:tab/>
        <w:t xml:space="preserve">O que é Humira e para que é utilizado </w:t>
      </w:r>
    </w:p>
    <w:p w14:paraId="01E1D8B7" w14:textId="77777777" w:rsidR="008D13F4" w:rsidRPr="001242C2" w:rsidRDefault="00615769" w:rsidP="008D13F4">
      <w:pPr>
        <w:ind w:left="567" w:hanging="567"/>
        <w:rPr>
          <w:sz w:val="22"/>
          <w:szCs w:val="22"/>
        </w:rPr>
      </w:pPr>
      <w:r w:rsidRPr="001242C2">
        <w:rPr>
          <w:sz w:val="22"/>
          <w:szCs w:val="22"/>
        </w:rPr>
        <w:t>2.</w:t>
      </w:r>
      <w:r w:rsidRPr="001242C2">
        <w:rPr>
          <w:sz w:val="22"/>
          <w:szCs w:val="22"/>
        </w:rPr>
        <w:tab/>
        <w:t>O que precisa de saber antes de utilizar Humira</w:t>
      </w:r>
    </w:p>
    <w:p w14:paraId="5043A01F" w14:textId="77777777" w:rsidR="008D13F4" w:rsidRPr="001242C2" w:rsidRDefault="00615769" w:rsidP="008D13F4">
      <w:pPr>
        <w:ind w:left="567" w:hanging="567"/>
        <w:rPr>
          <w:sz w:val="22"/>
          <w:szCs w:val="22"/>
        </w:rPr>
      </w:pPr>
      <w:r w:rsidRPr="001242C2">
        <w:rPr>
          <w:sz w:val="22"/>
          <w:szCs w:val="22"/>
        </w:rPr>
        <w:t>3.</w:t>
      </w:r>
      <w:r w:rsidRPr="001242C2">
        <w:rPr>
          <w:sz w:val="22"/>
          <w:szCs w:val="22"/>
        </w:rPr>
        <w:tab/>
        <w:t>Como utilizar Humira</w:t>
      </w:r>
    </w:p>
    <w:p w14:paraId="4D62B595" w14:textId="77777777" w:rsidR="008D13F4" w:rsidRPr="001242C2" w:rsidRDefault="00615769" w:rsidP="008D13F4">
      <w:pPr>
        <w:ind w:left="567" w:hanging="567"/>
        <w:rPr>
          <w:sz w:val="22"/>
          <w:szCs w:val="22"/>
        </w:rPr>
      </w:pPr>
      <w:r w:rsidRPr="001242C2">
        <w:rPr>
          <w:sz w:val="22"/>
          <w:szCs w:val="22"/>
        </w:rPr>
        <w:t>4.</w:t>
      </w:r>
      <w:r w:rsidRPr="001242C2">
        <w:rPr>
          <w:sz w:val="22"/>
          <w:szCs w:val="22"/>
        </w:rPr>
        <w:tab/>
        <w:t xml:space="preserve">Efeitos </w:t>
      </w:r>
      <w:r w:rsidR="00571C82">
        <w:rPr>
          <w:sz w:val="22"/>
          <w:szCs w:val="22"/>
        </w:rPr>
        <w:t>indesejáveis</w:t>
      </w:r>
      <w:r w:rsidRPr="001242C2">
        <w:rPr>
          <w:sz w:val="22"/>
          <w:szCs w:val="22"/>
        </w:rPr>
        <w:t xml:space="preserve"> possíveis </w:t>
      </w:r>
    </w:p>
    <w:p w14:paraId="5EDCEA52" w14:textId="77777777" w:rsidR="008D13F4" w:rsidRPr="001242C2" w:rsidRDefault="00615769" w:rsidP="008D13F4">
      <w:pPr>
        <w:pStyle w:val="EMEABullet"/>
        <w:tabs>
          <w:tab w:val="clear" w:pos="567"/>
        </w:tabs>
        <w:suppressAutoHyphens w:val="0"/>
        <w:rPr>
          <w:szCs w:val="22"/>
          <w:lang w:val="pt-PT"/>
        </w:rPr>
      </w:pPr>
      <w:r w:rsidRPr="001242C2">
        <w:rPr>
          <w:szCs w:val="22"/>
          <w:lang w:val="pt-PT"/>
        </w:rPr>
        <w:t>5</w:t>
      </w:r>
      <w:r w:rsidRPr="001242C2">
        <w:rPr>
          <w:szCs w:val="22"/>
          <w:lang w:val="pt-PT"/>
        </w:rPr>
        <w:tab/>
      </w:r>
      <w:r w:rsidRPr="001242C2">
        <w:rPr>
          <w:szCs w:val="22"/>
          <w:lang w:val="pt-PT"/>
        </w:rPr>
        <w:t>Como conservar Humira</w:t>
      </w:r>
    </w:p>
    <w:p w14:paraId="5C1639C8" w14:textId="77777777" w:rsidR="008D13F4" w:rsidRPr="001242C2" w:rsidRDefault="00615769" w:rsidP="008D13F4">
      <w:pPr>
        <w:ind w:left="567" w:hanging="567"/>
        <w:rPr>
          <w:sz w:val="22"/>
          <w:szCs w:val="22"/>
        </w:rPr>
      </w:pPr>
      <w:r w:rsidRPr="001242C2">
        <w:rPr>
          <w:sz w:val="22"/>
          <w:szCs w:val="22"/>
        </w:rPr>
        <w:t>6.</w:t>
      </w:r>
      <w:r w:rsidRPr="001242C2">
        <w:rPr>
          <w:sz w:val="22"/>
          <w:szCs w:val="22"/>
        </w:rPr>
        <w:tab/>
        <w:t>Conteúdo da embalagem e outras informações</w:t>
      </w:r>
    </w:p>
    <w:p w14:paraId="5BB3A05F" w14:textId="77777777" w:rsidR="008D13F4" w:rsidRPr="001242C2" w:rsidRDefault="00615769" w:rsidP="008D13F4">
      <w:pPr>
        <w:ind w:left="567" w:right="-29" w:hanging="567"/>
        <w:rPr>
          <w:sz w:val="22"/>
          <w:szCs w:val="22"/>
        </w:rPr>
      </w:pPr>
      <w:r w:rsidRPr="001242C2">
        <w:rPr>
          <w:sz w:val="22"/>
          <w:szCs w:val="22"/>
        </w:rPr>
        <w:t>7.</w:t>
      </w:r>
      <w:r w:rsidRPr="001242C2">
        <w:rPr>
          <w:sz w:val="22"/>
          <w:szCs w:val="22"/>
        </w:rPr>
        <w:tab/>
      </w:r>
      <w:r w:rsidR="00C833C2">
        <w:rPr>
          <w:sz w:val="22"/>
          <w:szCs w:val="22"/>
        </w:rPr>
        <w:t>Injetar Humira</w:t>
      </w:r>
      <w:r w:rsidRPr="001242C2">
        <w:rPr>
          <w:sz w:val="22"/>
          <w:szCs w:val="22"/>
        </w:rPr>
        <w:t xml:space="preserve"> </w:t>
      </w:r>
    </w:p>
    <w:p w14:paraId="151C39E0" w14:textId="77777777" w:rsidR="008D13F4" w:rsidRPr="008912CF" w:rsidRDefault="008D13F4" w:rsidP="008D13F4">
      <w:pPr>
        <w:ind w:right="-2"/>
        <w:rPr>
          <w:sz w:val="22"/>
          <w:szCs w:val="22"/>
        </w:rPr>
      </w:pPr>
    </w:p>
    <w:p w14:paraId="76E50649" w14:textId="77777777" w:rsidR="008D13F4" w:rsidRPr="008912CF" w:rsidRDefault="008D13F4" w:rsidP="008D13F4">
      <w:pPr>
        <w:ind w:right="-2"/>
        <w:rPr>
          <w:sz w:val="22"/>
          <w:szCs w:val="22"/>
        </w:rPr>
      </w:pPr>
    </w:p>
    <w:p w14:paraId="4B2F1C66" w14:textId="77777777" w:rsidR="008D13F4" w:rsidRPr="008912CF" w:rsidRDefault="00615769" w:rsidP="008D13F4">
      <w:pPr>
        <w:ind w:left="567" w:right="-2" w:hanging="567"/>
        <w:rPr>
          <w:sz w:val="22"/>
          <w:szCs w:val="22"/>
        </w:rPr>
      </w:pPr>
      <w:r w:rsidRPr="008912CF">
        <w:rPr>
          <w:b/>
          <w:sz w:val="22"/>
          <w:szCs w:val="22"/>
        </w:rPr>
        <w:t>1.</w:t>
      </w:r>
      <w:r w:rsidRPr="008912CF">
        <w:rPr>
          <w:b/>
          <w:sz w:val="22"/>
          <w:szCs w:val="22"/>
        </w:rPr>
        <w:tab/>
        <w:t>O que é Humira e para que é utilizado</w:t>
      </w:r>
    </w:p>
    <w:p w14:paraId="696154E3" w14:textId="77777777" w:rsidR="008D13F4" w:rsidRPr="008912CF" w:rsidRDefault="008D13F4" w:rsidP="008D13F4">
      <w:pPr>
        <w:pStyle w:val="EndnoteText"/>
        <w:tabs>
          <w:tab w:val="clear" w:pos="567"/>
        </w:tabs>
        <w:rPr>
          <w:szCs w:val="22"/>
        </w:rPr>
      </w:pPr>
    </w:p>
    <w:p w14:paraId="56026E84" w14:textId="77777777" w:rsidR="008D13F4" w:rsidRPr="007D762F" w:rsidRDefault="00615769" w:rsidP="008D13F4">
      <w:pPr>
        <w:ind w:right="-2"/>
        <w:rPr>
          <w:sz w:val="22"/>
          <w:szCs w:val="22"/>
        </w:rPr>
      </w:pPr>
      <w:r w:rsidRPr="007D762F">
        <w:rPr>
          <w:sz w:val="22"/>
          <w:szCs w:val="22"/>
        </w:rPr>
        <w:t>Humira contém adalimumab como substância ativa.</w:t>
      </w:r>
    </w:p>
    <w:p w14:paraId="3656A6EE" w14:textId="77777777" w:rsidR="008D13F4" w:rsidRDefault="008D13F4" w:rsidP="008D13F4">
      <w:pPr>
        <w:ind w:right="-2"/>
        <w:rPr>
          <w:sz w:val="22"/>
          <w:szCs w:val="22"/>
        </w:rPr>
      </w:pPr>
    </w:p>
    <w:p w14:paraId="354EBE4C" w14:textId="77777777" w:rsidR="008D13F4" w:rsidRPr="007D762F" w:rsidRDefault="00615769" w:rsidP="008D13F4">
      <w:pPr>
        <w:ind w:right="-2"/>
        <w:rPr>
          <w:sz w:val="22"/>
          <w:szCs w:val="22"/>
        </w:rPr>
      </w:pPr>
      <w:r>
        <w:rPr>
          <w:sz w:val="22"/>
          <w:szCs w:val="22"/>
        </w:rPr>
        <w:t>Humira é usado no tratamento da</w:t>
      </w:r>
    </w:p>
    <w:p w14:paraId="28E7282D" w14:textId="77777777" w:rsidR="008D13F4" w:rsidRDefault="00615769" w:rsidP="008D13F4">
      <w:pPr>
        <w:ind w:right="-2"/>
        <w:rPr>
          <w:sz w:val="22"/>
          <w:szCs w:val="22"/>
        </w:rPr>
      </w:pPr>
      <w:r w:rsidRPr="007D762F">
        <w:rPr>
          <w:sz w:val="22"/>
          <w:szCs w:val="22"/>
        </w:rPr>
        <w:t>•</w:t>
      </w:r>
      <w:r w:rsidRPr="007D762F">
        <w:rPr>
          <w:sz w:val="22"/>
          <w:szCs w:val="22"/>
        </w:rPr>
        <w:tab/>
        <w:t xml:space="preserve">Artrite </w:t>
      </w:r>
      <w:r>
        <w:rPr>
          <w:sz w:val="22"/>
          <w:szCs w:val="22"/>
        </w:rPr>
        <w:t>reumat</w:t>
      </w:r>
      <w:r w:rsidR="00FF670B">
        <w:rPr>
          <w:sz w:val="22"/>
          <w:szCs w:val="22"/>
        </w:rPr>
        <w:t>o</w:t>
      </w:r>
      <w:r>
        <w:rPr>
          <w:sz w:val="22"/>
          <w:szCs w:val="22"/>
        </w:rPr>
        <w:t>ide</w:t>
      </w:r>
    </w:p>
    <w:p w14:paraId="46FD1386" w14:textId="77777777" w:rsidR="008D13F4" w:rsidRPr="00E51FCC" w:rsidRDefault="00615769" w:rsidP="008D13F4">
      <w:pPr>
        <w:pStyle w:val="ListParagraph"/>
        <w:numPr>
          <w:ilvl w:val="0"/>
          <w:numId w:val="69"/>
        </w:numPr>
        <w:ind w:left="709" w:right="-2" w:hanging="709"/>
        <w:rPr>
          <w:sz w:val="22"/>
          <w:szCs w:val="22"/>
        </w:rPr>
      </w:pPr>
      <w:r w:rsidRPr="00E51FCC">
        <w:rPr>
          <w:sz w:val="22"/>
          <w:szCs w:val="22"/>
        </w:rPr>
        <w:t xml:space="preserve">Artrite idiopática juvenil poliarticular  </w:t>
      </w:r>
    </w:p>
    <w:p w14:paraId="75E2D8F6" w14:textId="77777777" w:rsidR="008D13F4" w:rsidRDefault="00615769" w:rsidP="008D13F4">
      <w:pPr>
        <w:ind w:right="-2"/>
        <w:rPr>
          <w:sz w:val="22"/>
          <w:szCs w:val="22"/>
        </w:rPr>
      </w:pPr>
      <w:r w:rsidRPr="007D762F">
        <w:rPr>
          <w:sz w:val="22"/>
          <w:szCs w:val="22"/>
        </w:rPr>
        <w:t>•</w:t>
      </w:r>
      <w:r w:rsidRPr="007D762F">
        <w:rPr>
          <w:sz w:val="22"/>
          <w:szCs w:val="22"/>
        </w:rPr>
        <w:tab/>
        <w:t>Artrite relacionada com entesite</w:t>
      </w:r>
    </w:p>
    <w:p w14:paraId="1AAA5B0B" w14:textId="77777777" w:rsidR="008D13F4" w:rsidRDefault="00615769" w:rsidP="008D13F4">
      <w:pPr>
        <w:pStyle w:val="ListParagraph"/>
        <w:numPr>
          <w:ilvl w:val="0"/>
          <w:numId w:val="69"/>
        </w:numPr>
        <w:ind w:left="709" w:right="-2" w:hanging="709"/>
        <w:rPr>
          <w:sz w:val="22"/>
          <w:szCs w:val="22"/>
        </w:rPr>
      </w:pPr>
      <w:r>
        <w:rPr>
          <w:sz w:val="22"/>
          <w:szCs w:val="22"/>
        </w:rPr>
        <w:t>Espondilite anquilosante</w:t>
      </w:r>
    </w:p>
    <w:p w14:paraId="14736A46" w14:textId="77777777" w:rsidR="008D13F4" w:rsidRPr="00AA572A" w:rsidRDefault="00615769" w:rsidP="008D13F4">
      <w:pPr>
        <w:pStyle w:val="ListParagraph"/>
        <w:numPr>
          <w:ilvl w:val="0"/>
          <w:numId w:val="69"/>
        </w:numPr>
        <w:ind w:left="709" w:right="-2" w:hanging="709"/>
        <w:rPr>
          <w:sz w:val="22"/>
          <w:szCs w:val="22"/>
        </w:rPr>
      </w:pPr>
      <w:r w:rsidRPr="00824537">
        <w:rPr>
          <w:sz w:val="22"/>
          <w:szCs w:val="22"/>
        </w:rPr>
        <w:t>Espondilartrite axial sem evidência radiográfica de espondilite anquilosante</w:t>
      </w:r>
    </w:p>
    <w:p w14:paraId="2AC0B887" w14:textId="77777777" w:rsidR="008D13F4" w:rsidRPr="00AA572A" w:rsidRDefault="00615769" w:rsidP="008D13F4">
      <w:pPr>
        <w:pStyle w:val="ListParagraph"/>
        <w:numPr>
          <w:ilvl w:val="0"/>
          <w:numId w:val="69"/>
        </w:numPr>
        <w:ind w:left="709" w:right="-2" w:hanging="709"/>
        <w:rPr>
          <w:sz w:val="22"/>
          <w:szCs w:val="22"/>
        </w:rPr>
      </w:pPr>
      <w:r w:rsidRPr="00824537">
        <w:rPr>
          <w:sz w:val="22"/>
          <w:szCs w:val="22"/>
        </w:rPr>
        <w:t>Artrite psoriática</w:t>
      </w:r>
    </w:p>
    <w:p w14:paraId="3E73D641" w14:textId="77777777" w:rsidR="008D13F4" w:rsidRDefault="00615769" w:rsidP="008D13F4">
      <w:pPr>
        <w:ind w:right="-2"/>
        <w:rPr>
          <w:sz w:val="22"/>
          <w:szCs w:val="22"/>
        </w:rPr>
      </w:pPr>
      <w:r w:rsidRPr="007D762F">
        <w:rPr>
          <w:sz w:val="22"/>
          <w:szCs w:val="22"/>
        </w:rPr>
        <w:t>•</w:t>
      </w:r>
      <w:r w:rsidRPr="007D762F">
        <w:rPr>
          <w:sz w:val="22"/>
          <w:szCs w:val="22"/>
        </w:rPr>
        <w:tab/>
      </w:r>
      <w:r>
        <w:rPr>
          <w:sz w:val="22"/>
          <w:szCs w:val="22"/>
        </w:rPr>
        <w:t>Psoríase em placas</w:t>
      </w:r>
    </w:p>
    <w:p w14:paraId="7CEF52D4" w14:textId="77777777" w:rsidR="008D13F4" w:rsidRPr="007D762F" w:rsidRDefault="00615769" w:rsidP="008D13F4">
      <w:pPr>
        <w:ind w:right="-2"/>
        <w:rPr>
          <w:sz w:val="22"/>
          <w:szCs w:val="22"/>
        </w:rPr>
      </w:pPr>
      <w:r w:rsidRPr="007D762F">
        <w:rPr>
          <w:sz w:val="22"/>
          <w:szCs w:val="22"/>
        </w:rPr>
        <w:t>•</w:t>
      </w:r>
      <w:r w:rsidRPr="007D762F">
        <w:rPr>
          <w:sz w:val="22"/>
          <w:szCs w:val="22"/>
        </w:rPr>
        <w:tab/>
      </w:r>
      <w:r>
        <w:rPr>
          <w:sz w:val="22"/>
          <w:szCs w:val="22"/>
        </w:rPr>
        <w:t>Hidradenite supurativa</w:t>
      </w:r>
    </w:p>
    <w:p w14:paraId="04497958" w14:textId="77777777" w:rsidR="008D13F4" w:rsidRPr="007D762F" w:rsidRDefault="00615769" w:rsidP="008D13F4">
      <w:pPr>
        <w:ind w:right="-2"/>
        <w:rPr>
          <w:sz w:val="22"/>
          <w:szCs w:val="22"/>
        </w:rPr>
      </w:pPr>
      <w:r w:rsidRPr="007D762F">
        <w:rPr>
          <w:sz w:val="22"/>
          <w:szCs w:val="22"/>
        </w:rPr>
        <w:t>•</w:t>
      </w:r>
      <w:r w:rsidRPr="007D762F">
        <w:rPr>
          <w:sz w:val="22"/>
          <w:szCs w:val="22"/>
        </w:rPr>
        <w:tab/>
        <w:t>Doença de Crohn</w:t>
      </w:r>
    </w:p>
    <w:p w14:paraId="11C0CEDB" w14:textId="77777777" w:rsidR="008D13F4" w:rsidRDefault="00615769" w:rsidP="008D13F4">
      <w:pPr>
        <w:ind w:right="-2"/>
        <w:rPr>
          <w:sz w:val="22"/>
          <w:szCs w:val="22"/>
        </w:rPr>
      </w:pPr>
      <w:r w:rsidRPr="007D762F">
        <w:rPr>
          <w:sz w:val="22"/>
          <w:szCs w:val="22"/>
        </w:rPr>
        <w:t>•</w:t>
      </w:r>
      <w:r w:rsidRPr="007D762F">
        <w:rPr>
          <w:sz w:val="22"/>
          <w:szCs w:val="22"/>
        </w:rPr>
        <w:tab/>
      </w:r>
      <w:r>
        <w:rPr>
          <w:sz w:val="22"/>
          <w:szCs w:val="22"/>
        </w:rPr>
        <w:t>Colite ulcerosa</w:t>
      </w:r>
    </w:p>
    <w:p w14:paraId="2CCC6FA4" w14:textId="77777777" w:rsidR="008D13F4" w:rsidRPr="00E51FCC" w:rsidRDefault="00615769" w:rsidP="008D13F4">
      <w:pPr>
        <w:pStyle w:val="ListParagraph"/>
        <w:numPr>
          <w:ilvl w:val="0"/>
          <w:numId w:val="147"/>
        </w:numPr>
        <w:ind w:right="-2" w:hanging="720"/>
        <w:rPr>
          <w:sz w:val="22"/>
          <w:szCs w:val="22"/>
        </w:rPr>
      </w:pPr>
      <w:r w:rsidRPr="00E51FCC">
        <w:rPr>
          <w:sz w:val="22"/>
          <w:szCs w:val="22"/>
        </w:rPr>
        <w:t xml:space="preserve">Uveíte não infecciosa </w:t>
      </w:r>
    </w:p>
    <w:p w14:paraId="39E3B661" w14:textId="77777777" w:rsidR="008D13F4" w:rsidRPr="007D762F" w:rsidRDefault="008D13F4" w:rsidP="008D13F4">
      <w:pPr>
        <w:ind w:right="-2"/>
        <w:rPr>
          <w:sz w:val="22"/>
          <w:szCs w:val="22"/>
        </w:rPr>
      </w:pPr>
    </w:p>
    <w:p w14:paraId="6FD86BDF" w14:textId="77777777" w:rsidR="008D13F4" w:rsidRPr="007D762F" w:rsidRDefault="00615769" w:rsidP="008D13F4">
      <w:pPr>
        <w:ind w:right="-2"/>
        <w:rPr>
          <w:sz w:val="22"/>
          <w:szCs w:val="22"/>
        </w:rPr>
      </w:pPr>
      <w:r w:rsidRPr="007D762F">
        <w:rPr>
          <w:sz w:val="22"/>
          <w:szCs w:val="22"/>
        </w:rPr>
        <w:t>A substância ativa de Humira, adalimumab, é um anticorpo monoclonal humano. Os anticorpos monoclonais são proteínas que se ligam a um alvo específico.</w:t>
      </w:r>
    </w:p>
    <w:p w14:paraId="5CAF3289" w14:textId="77777777" w:rsidR="008D13F4" w:rsidRPr="007D762F" w:rsidRDefault="008D13F4" w:rsidP="008D13F4">
      <w:pPr>
        <w:ind w:right="-2"/>
        <w:rPr>
          <w:sz w:val="22"/>
          <w:szCs w:val="22"/>
        </w:rPr>
      </w:pPr>
    </w:p>
    <w:p w14:paraId="48329A98" w14:textId="77777777" w:rsidR="008D13F4" w:rsidRDefault="00615769" w:rsidP="008D13F4">
      <w:pPr>
        <w:ind w:right="-2"/>
        <w:rPr>
          <w:szCs w:val="22"/>
        </w:rPr>
      </w:pPr>
      <w:r w:rsidRPr="007D762F">
        <w:rPr>
          <w:sz w:val="22"/>
          <w:szCs w:val="22"/>
        </w:rPr>
        <w:t>O alvo de adalimumab é uma proteína denominada fator de necrose tumoral (TNFα), que está envolvida no sistema imunitário (defesa) e está presente em níveis aumentados nas doenças inflamatórias a</w:t>
      </w:r>
      <w:r w:rsidR="00816FFE">
        <w:rPr>
          <w:sz w:val="22"/>
          <w:szCs w:val="22"/>
        </w:rPr>
        <w:t>cima</w:t>
      </w:r>
      <w:r w:rsidRPr="007D762F">
        <w:rPr>
          <w:sz w:val="22"/>
          <w:szCs w:val="22"/>
        </w:rPr>
        <w:t xml:space="preserve"> mencionadas. </w:t>
      </w:r>
      <w:r>
        <w:rPr>
          <w:sz w:val="22"/>
          <w:szCs w:val="22"/>
        </w:rPr>
        <w:t>Ao ligar-se</w:t>
      </w:r>
      <w:r w:rsidRPr="007D762F">
        <w:rPr>
          <w:sz w:val="22"/>
          <w:szCs w:val="22"/>
        </w:rPr>
        <w:t xml:space="preserve"> ao TNFα, Humira diminui o processo inflamatório destas doenças.</w:t>
      </w:r>
    </w:p>
    <w:p w14:paraId="5861977A" w14:textId="77777777" w:rsidR="008D13F4" w:rsidRPr="008912CF" w:rsidRDefault="008D13F4" w:rsidP="008D13F4">
      <w:pPr>
        <w:pStyle w:val="BodyText2"/>
        <w:autoSpaceDE/>
        <w:autoSpaceDN/>
        <w:adjustRightInd/>
        <w:rPr>
          <w:szCs w:val="22"/>
        </w:rPr>
      </w:pPr>
    </w:p>
    <w:p w14:paraId="32FD107E" w14:textId="77777777" w:rsidR="008D13F4" w:rsidRPr="008912CF" w:rsidRDefault="00615769" w:rsidP="008D13F4">
      <w:pPr>
        <w:pStyle w:val="Heading9"/>
        <w:keepNext w:val="0"/>
        <w:rPr>
          <w:szCs w:val="22"/>
        </w:rPr>
      </w:pPr>
      <w:r w:rsidRPr="00824537">
        <w:rPr>
          <w:b/>
          <w:szCs w:val="22"/>
          <w:u w:val="none"/>
        </w:rPr>
        <w:t>Artrite reumatoide</w:t>
      </w:r>
    </w:p>
    <w:p w14:paraId="316E7E34" w14:textId="77777777" w:rsidR="008D13F4" w:rsidRPr="008912CF" w:rsidRDefault="008D13F4" w:rsidP="008D13F4">
      <w:pPr>
        <w:rPr>
          <w:sz w:val="22"/>
          <w:szCs w:val="22"/>
        </w:rPr>
      </w:pPr>
    </w:p>
    <w:p w14:paraId="76EC4EDA" w14:textId="77777777" w:rsidR="008D13F4" w:rsidRPr="008912CF" w:rsidRDefault="00615769" w:rsidP="008D13F4">
      <w:pPr>
        <w:rPr>
          <w:sz w:val="22"/>
          <w:szCs w:val="22"/>
        </w:rPr>
      </w:pPr>
      <w:r w:rsidRPr="008912CF">
        <w:rPr>
          <w:sz w:val="22"/>
          <w:szCs w:val="22"/>
        </w:rPr>
        <w:t>A artrite reumatoide é uma doença inflamatória das articulações.</w:t>
      </w:r>
    </w:p>
    <w:p w14:paraId="629A09B6" w14:textId="77777777" w:rsidR="008D13F4" w:rsidRPr="008912CF" w:rsidRDefault="008D13F4" w:rsidP="008D13F4">
      <w:pPr>
        <w:rPr>
          <w:sz w:val="22"/>
          <w:szCs w:val="22"/>
        </w:rPr>
      </w:pPr>
    </w:p>
    <w:p w14:paraId="4A738985" w14:textId="77777777" w:rsidR="008D13F4" w:rsidRPr="008912CF" w:rsidRDefault="00615769" w:rsidP="008D13F4">
      <w:pPr>
        <w:rPr>
          <w:sz w:val="22"/>
          <w:szCs w:val="22"/>
        </w:rPr>
      </w:pPr>
      <w:r w:rsidRPr="008912CF">
        <w:rPr>
          <w:sz w:val="22"/>
          <w:szCs w:val="22"/>
        </w:rPr>
        <w:t xml:space="preserve">Humira é usado no tratamento da artrite reumatoide </w:t>
      </w:r>
      <w:r>
        <w:rPr>
          <w:sz w:val="22"/>
          <w:szCs w:val="22"/>
        </w:rPr>
        <w:t xml:space="preserve">moderada a grave </w:t>
      </w:r>
      <w:r w:rsidRPr="008912CF">
        <w:rPr>
          <w:sz w:val="22"/>
          <w:szCs w:val="22"/>
        </w:rPr>
        <w:t xml:space="preserve">no adulto. </w:t>
      </w:r>
      <w:r>
        <w:rPr>
          <w:sz w:val="22"/>
          <w:szCs w:val="22"/>
        </w:rPr>
        <w:t>É</w:t>
      </w:r>
      <w:r w:rsidRPr="008912CF">
        <w:rPr>
          <w:sz w:val="22"/>
          <w:szCs w:val="22"/>
        </w:rPr>
        <w:t xml:space="preserve"> possível que tenha sido previamente tratado com outros medicamentos modificadores da doença, como metotrexato. Se a sua resposta a estes medicamentos tiver sido insuficiente, ser-lhe-á administrado Humira.</w:t>
      </w:r>
    </w:p>
    <w:p w14:paraId="4D6F9D90" w14:textId="77777777" w:rsidR="008D13F4" w:rsidRPr="008912CF" w:rsidRDefault="008D13F4" w:rsidP="008D13F4">
      <w:pPr>
        <w:rPr>
          <w:sz w:val="22"/>
          <w:szCs w:val="22"/>
        </w:rPr>
      </w:pPr>
    </w:p>
    <w:p w14:paraId="4DFC8CE1" w14:textId="77777777" w:rsidR="008D13F4" w:rsidRPr="008912CF" w:rsidRDefault="00615769" w:rsidP="008D13F4">
      <w:pPr>
        <w:rPr>
          <w:sz w:val="22"/>
          <w:szCs w:val="22"/>
        </w:rPr>
      </w:pPr>
      <w:r w:rsidRPr="008912CF">
        <w:rPr>
          <w:sz w:val="22"/>
          <w:szCs w:val="22"/>
        </w:rPr>
        <w:t>Humira pode ser usado no tratamento da artrite reumatoide grave, ativa e progressiva sem tratamento prévio com metotrexato.</w:t>
      </w:r>
    </w:p>
    <w:p w14:paraId="6CB57F55" w14:textId="77777777" w:rsidR="008D13F4" w:rsidRPr="008912CF" w:rsidRDefault="008D13F4" w:rsidP="008D13F4">
      <w:pPr>
        <w:rPr>
          <w:sz w:val="22"/>
          <w:szCs w:val="22"/>
        </w:rPr>
      </w:pPr>
    </w:p>
    <w:p w14:paraId="09E2D9CA" w14:textId="77777777" w:rsidR="008D13F4" w:rsidRPr="008912CF" w:rsidRDefault="00615769" w:rsidP="008D13F4">
      <w:pPr>
        <w:autoSpaceDE w:val="0"/>
        <w:autoSpaceDN w:val="0"/>
        <w:adjustRightInd w:val="0"/>
        <w:rPr>
          <w:sz w:val="22"/>
          <w:szCs w:val="22"/>
        </w:rPr>
      </w:pPr>
      <w:r w:rsidRPr="008912CF">
        <w:rPr>
          <w:sz w:val="22"/>
          <w:szCs w:val="22"/>
        </w:rPr>
        <w:t xml:space="preserve">Humira </w:t>
      </w:r>
      <w:r>
        <w:rPr>
          <w:sz w:val="22"/>
          <w:szCs w:val="22"/>
        </w:rPr>
        <w:t>pode</w:t>
      </w:r>
      <w:r w:rsidRPr="008912CF">
        <w:rPr>
          <w:sz w:val="22"/>
          <w:szCs w:val="22"/>
        </w:rPr>
        <w:t xml:space="preserve"> retardar a lesão das articulações causada pela doença </w:t>
      </w:r>
      <w:r>
        <w:rPr>
          <w:sz w:val="22"/>
          <w:szCs w:val="22"/>
        </w:rPr>
        <w:t xml:space="preserve">inflamatória </w:t>
      </w:r>
      <w:r w:rsidRPr="008912CF">
        <w:rPr>
          <w:sz w:val="22"/>
          <w:szCs w:val="22"/>
        </w:rPr>
        <w:t xml:space="preserve">e </w:t>
      </w:r>
      <w:r>
        <w:rPr>
          <w:sz w:val="22"/>
          <w:szCs w:val="22"/>
        </w:rPr>
        <w:t xml:space="preserve">pode </w:t>
      </w:r>
      <w:r>
        <w:rPr>
          <w:rFonts w:eastAsiaTheme="minorEastAsia"/>
          <w:sz w:val="22"/>
          <w:szCs w:val="22"/>
          <w:lang w:eastAsia="zh-CN"/>
        </w:rPr>
        <w:t>ajudá-las a moverem-se mais livremente</w:t>
      </w:r>
      <w:r w:rsidRPr="008912CF">
        <w:rPr>
          <w:sz w:val="22"/>
          <w:szCs w:val="22"/>
        </w:rPr>
        <w:t>.</w:t>
      </w:r>
    </w:p>
    <w:p w14:paraId="5EC9E23D" w14:textId="77777777" w:rsidR="008D13F4" w:rsidRPr="008912CF" w:rsidRDefault="008D13F4" w:rsidP="008D13F4">
      <w:pPr>
        <w:ind w:right="-2"/>
        <w:rPr>
          <w:sz w:val="22"/>
          <w:szCs w:val="22"/>
        </w:rPr>
      </w:pPr>
    </w:p>
    <w:p w14:paraId="01F91F6C" w14:textId="77777777" w:rsidR="008D13F4" w:rsidRPr="008912CF" w:rsidRDefault="00615769" w:rsidP="008D13F4">
      <w:pPr>
        <w:ind w:right="-2"/>
        <w:rPr>
          <w:sz w:val="22"/>
          <w:szCs w:val="22"/>
        </w:rPr>
      </w:pPr>
      <w:r>
        <w:rPr>
          <w:rFonts w:eastAsiaTheme="minorEastAsia"/>
          <w:sz w:val="22"/>
          <w:szCs w:val="22"/>
          <w:lang w:eastAsia="zh-CN"/>
        </w:rPr>
        <w:t xml:space="preserve">O seu médico irá decidir se </w:t>
      </w:r>
      <w:r w:rsidRPr="008912CF">
        <w:rPr>
          <w:sz w:val="22"/>
          <w:szCs w:val="22"/>
        </w:rPr>
        <w:t xml:space="preserve">Humira </w:t>
      </w:r>
      <w:r>
        <w:rPr>
          <w:sz w:val="22"/>
          <w:szCs w:val="22"/>
        </w:rPr>
        <w:t xml:space="preserve">pode ser </w:t>
      </w:r>
      <w:r w:rsidRPr="008912CF">
        <w:rPr>
          <w:sz w:val="22"/>
          <w:szCs w:val="22"/>
        </w:rPr>
        <w:t>usado com metotrexato</w:t>
      </w:r>
      <w:r>
        <w:rPr>
          <w:sz w:val="22"/>
          <w:szCs w:val="22"/>
        </w:rPr>
        <w:t xml:space="preserve"> ou</w:t>
      </w:r>
      <w:r w:rsidRPr="008912CF">
        <w:rPr>
          <w:sz w:val="22"/>
          <w:szCs w:val="22"/>
        </w:rPr>
        <w:t xml:space="preserve"> isoladamente.</w:t>
      </w:r>
    </w:p>
    <w:p w14:paraId="4D371CDE" w14:textId="77777777" w:rsidR="008D13F4" w:rsidRPr="008912CF" w:rsidRDefault="008D13F4" w:rsidP="008D13F4">
      <w:pPr>
        <w:ind w:right="-2"/>
        <w:rPr>
          <w:sz w:val="22"/>
          <w:szCs w:val="22"/>
        </w:rPr>
      </w:pPr>
    </w:p>
    <w:p w14:paraId="565B580D" w14:textId="77777777" w:rsidR="008D13F4" w:rsidRPr="008912CF" w:rsidRDefault="00615769" w:rsidP="008D13F4">
      <w:pPr>
        <w:ind w:right="-2"/>
        <w:rPr>
          <w:sz w:val="22"/>
          <w:szCs w:val="22"/>
          <w:u w:val="single"/>
        </w:rPr>
      </w:pPr>
      <w:r w:rsidRPr="00824537">
        <w:rPr>
          <w:b/>
          <w:sz w:val="22"/>
          <w:szCs w:val="22"/>
        </w:rPr>
        <w:t>Artrite</w:t>
      </w:r>
      <w:r w:rsidRPr="00E47A88">
        <w:rPr>
          <w:b/>
          <w:sz w:val="22"/>
          <w:szCs w:val="22"/>
        </w:rPr>
        <w:t xml:space="preserve"> </w:t>
      </w:r>
      <w:r w:rsidRPr="00824537">
        <w:rPr>
          <w:b/>
          <w:sz w:val="22"/>
          <w:szCs w:val="22"/>
        </w:rPr>
        <w:t>idiopática juvenil poliarticular</w:t>
      </w:r>
    </w:p>
    <w:p w14:paraId="094DCEAE" w14:textId="77777777" w:rsidR="008D13F4" w:rsidRPr="008912CF" w:rsidRDefault="008D13F4" w:rsidP="008D13F4">
      <w:pPr>
        <w:ind w:right="-2"/>
        <w:rPr>
          <w:sz w:val="22"/>
          <w:szCs w:val="22"/>
        </w:rPr>
      </w:pPr>
    </w:p>
    <w:p w14:paraId="08FEA887" w14:textId="77777777" w:rsidR="008D13F4" w:rsidRPr="008912CF" w:rsidRDefault="00615769" w:rsidP="008D13F4">
      <w:pPr>
        <w:ind w:right="-2"/>
        <w:rPr>
          <w:sz w:val="22"/>
          <w:szCs w:val="22"/>
          <w:u w:val="single"/>
        </w:rPr>
      </w:pPr>
      <w:r w:rsidRPr="008912CF">
        <w:rPr>
          <w:sz w:val="22"/>
          <w:szCs w:val="22"/>
        </w:rPr>
        <w:t xml:space="preserve">A artrite idiopática juvenil poliarticular </w:t>
      </w:r>
      <w:r>
        <w:rPr>
          <w:sz w:val="22"/>
          <w:szCs w:val="22"/>
        </w:rPr>
        <w:t>é uma</w:t>
      </w:r>
      <w:r w:rsidRPr="008912CF">
        <w:rPr>
          <w:sz w:val="22"/>
          <w:szCs w:val="22"/>
        </w:rPr>
        <w:t xml:space="preserve"> doençainflamatória</w:t>
      </w:r>
      <w:r>
        <w:rPr>
          <w:sz w:val="22"/>
          <w:szCs w:val="22"/>
        </w:rPr>
        <w:t xml:space="preserve"> das articulações</w:t>
      </w:r>
      <w:r w:rsidRPr="008912CF">
        <w:rPr>
          <w:sz w:val="22"/>
          <w:szCs w:val="22"/>
        </w:rPr>
        <w:t>.</w:t>
      </w:r>
    </w:p>
    <w:p w14:paraId="2C94092D" w14:textId="77777777" w:rsidR="008D13F4" w:rsidRPr="008912CF" w:rsidRDefault="008D13F4" w:rsidP="008D13F4">
      <w:pPr>
        <w:pStyle w:val="BodyText3"/>
        <w:rPr>
          <w:szCs w:val="22"/>
        </w:rPr>
      </w:pPr>
    </w:p>
    <w:p w14:paraId="4630DDC9" w14:textId="77777777" w:rsidR="008D13F4" w:rsidRPr="008912CF" w:rsidRDefault="00615769" w:rsidP="008D13F4">
      <w:pPr>
        <w:pStyle w:val="BodyText3"/>
        <w:rPr>
          <w:szCs w:val="22"/>
        </w:rPr>
      </w:pPr>
      <w:r w:rsidRPr="008912CF">
        <w:rPr>
          <w:szCs w:val="22"/>
        </w:rPr>
        <w:t xml:space="preserve">Humira é usado no tratamento da artrite idiopática juvenil poliarticular em </w:t>
      </w:r>
      <w:r>
        <w:rPr>
          <w:szCs w:val="22"/>
        </w:rPr>
        <w:t>doentes</w:t>
      </w:r>
      <w:r w:rsidRPr="008912CF">
        <w:rPr>
          <w:szCs w:val="22"/>
        </w:rPr>
        <w:t xml:space="preserve"> </w:t>
      </w:r>
      <w:r>
        <w:rPr>
          <w:szCs w:val="22"/>
        </w:rPr>
        <w:t xml:space="preserve">a partir dos 2 anos de </w:t>
      </w:r>
      <w:r w:rsidRPr="008912CF">
        <w:rPr>
          <w:szCs w:val="22"/>
        </w:rPr>
        <w:t>idade. Pode ser tratado inicialmente com outros medicamentos modificadores da doença, como por exemplo metotrexato. Se não responder suficientemente bem a estes medicamentos, receberá Humira.</w:t>
      </w:r>
    </w:p>
    <w:p w14:paraId="5BB94B13" w14:textId="77777777" w:rsidR="008D13F4" w:rsidRPr="008912CF" w:rsidRDefault="008D13F4" w:rsidP="008D13F4">
      <w:pPr>
        <w:ind w:right="-2"/>
        <w:rPr>
          <w:sz w:val="22"/>
          <w:szCs w:val="22"/>
        </w:rPr>
      </w:pPr>
    </w:p>
    <w:p w14:paraId="6E81F6AF" w14:textId="77777777" w:rsidR="008D13F4" w:rsidRDefault="00615769" w:rsidP="008D13F4">
      <w:pPr>
        <w:ind w:right="-2"/>
        <w:rPr>
          <w:rFonts w:eastAsiaTheme="minorEastAsia"/>
          <w:sz w:val="22"/>
          <w:szCs w:val="22"/>
          <w:lang w:eastAsia="zh-CN"/>
        </w:rPr>
      </w:pPr>
      <w:r>
        <w:rPr>
          <w:rFonts w:eastAsiaTheme="minorEastAsia"/>
          <w:sz w:val="22"/>
          <w:szCs w:val="22"/>
          <w:lang w:eastAsia="zh-CN"/>
        </w:rPr>
        <w:t>O seu médico irá decidir se Humira pode ser usado com metotrexato ou isoladamente.</w:t>
      </w:r>
    </w:p>
    <w:p w14:paraId="0AE18F2A" w14:textId="77777777" w:rsidR="008D13F4" w:rsidRDefault="008D13F4" w:rsidP="008D13F4">
      <w:pPr>
        <w:ind w:right="-2"/>
        <w:rPr>
          <w:sz w:val="22"/>
          <w:szCs w:val="22"/>
          <w:u w:val="single"/>
        </w:rPr>
      </w:pPr>
    </w:p>
    <w:p w14:paraId="0A3DEDD7" w14:textId="77777777" w:rsidR="008D13F4" w:rsidRDefault="00615769" w:rsidP="008D13F4">
      <w:pPr>
        <w:autoSpaceDE w:val="0"/>
        <w:autoSpaceDN w:val="0"/>
        <w:adjustRightInd w:val="0"/>
        <w:rPr>
          <w:rFonts w:eastAsiaTheme="minorEastAsia"/>
          <w:b/>
          <w:bCs/>
          <w:sz w:val="22"/>
          <w:szCs w:val="22"/>
          <w:lang w:eastAsia="zh-CN"/>
        </w:rPr>
      </w:pPr>
      <w:r>
        <w:rPr>
          <w:rFonts w:eastAsiaTheme="minorEastAsia"/>
          <w:b/>
          <w:bCs/>
          <w:sz w:val="22"/>
          <w:szCs w:val="22"/>
          <w:lang w:eastAsia="zh-CN"/>
        </w:rPr>
        <w:t>Artrite relacionada com entesite</w:t>
      </w:r>
    </w:p>
    <w:p w14:paraId="04DA11B3" w14:textId="77777777" w:rsidR="008D13F4" w:rsidRPr="00DD143A" w:rsidRDefault="008D13F4" w:rsidP="008D13F4">
      <w:pPr>
        <w:autoSpaceDE w:val="0"/>
        <w:autoSpaceDN w:val="0"/>
        <w:adjustRightInd w:val="0"/>
        <w:rPr>
          <w:rFonts w:eastAsiaTheme="minorEastAsia"/>
          <w:bCs/>
          <w:sz w:val="22"/>
          <w:szCs w:val="22"/>
          <w:lang w:eastAsia="zh-CN"/>
        </w:rPr>
      </w:pPr>
    </w:p>
    <w:p w14:paraId="3CE5A32B" w14:textId="77777777" w:rsidR="008D13F4" w:rsidRDefault="00615769" w:rsidP="008D13F4">
      <w:pPr>
        <w:autoSpaceDE w:val="0"/>
        <w:autoSpaceDN w:val="0"/>
        <w:adjustRightInd w:val="0"/>
        <w:rPr>
          <w:rFonts w:eastAsiaTheme="minorEastAsia"/>
          <w:sz w:val="22"/>
          <w:szCs w:val="22"/>
          <w:lang w:eastAsia="zh-CN"/>
        </w:rPr>
      </w:pPr>
      <w:r>
        <w:rPr>
          <w:rFonts w:eastAsiaTheme="minorEastAsia"/>
          <w:sz w:val="22"/>
          <w:szCs w:val="22"/>
          <w:lang w:eastAsia="zh-CN"/>
        </w:rPr>
        <w:t>A artrite relacionada com entesite é uma doença inflamatória das articulações e dos locais onde os</w:t>
      </w:r>
    </w:p>
    <w:p w14:paraId="50B189BA" w14:textId="77777777" w:rsidR="008D13F4" w:rsidRDefault="00615769" w:rsidP="008D13F4">
      <w:pPr>
        <w:autoSpaceDE w:val="0"/>
        <w:autoSpaceDN w:val="0"/>
        <w:adjustRightInd w:val="0"/>
        <w:rPr>
          <w:rFonts w:eastAsiaTheme="minorEastAsia"/>
          <w:sz w:val="22"/>
          <w:szCs w:val="22"/>
          <w:lang w:eastAsia="zh-CN"/>
        </w:rPr>
      </w:pPr>
      <w:r>
        <w:rPr>
          <w:rFonts w:eastAsiaTheme="minorEastAsia"/>
          <w:sz w:val="22"/>
          <w:szCs w:val="22"/>
          <w:lang w:eastAsia="zh-CN"/>
        </w:rPr>
        <w:t>tendões se ligam ao osso.</w:t>
      </w:r>
    </w:p>
    <w:p w14:paraId="45FD8DFF" w14:textId="77777777" w:rsidR="008D13F4" w:rsidRDefault="008D13F4" w:rsidP="008D13F4">
      <w:pPr>
        <w:autoSpaceDE w:val="0"/>
        <w:autoSpaceDN w:val="0"/>
        <w:adjustRightInd w:val="0"/>
        <w:rPr>
          <w:rFonts w:eastAsiaTheme="minorEastAsia"/>
          <w:sz w:val="22"/>
          <w:szCs w:val="22"/>
          <w:lang w:eastAsia="zh-CN"/>
        </w:rPr>
      </w:pPr>
    </w:p>
    <w:p w14:paraId="2B3D38EB" w14:textId="77777777" w:rsidR="008D13F4" w:rsidRDefault="00615769" w:rsidP="008D13F4">
      <w:pPr>
        <w:autoSpaceDE w:val="0"/>
        <w:autoSpaceDN w:val="0"/>
        <w:adjustRightInd w:val="0"/>
        <w:rPr>
          <w:rFonts w:eastAsiaTheme="minorEastAsia"/>
          <w:sz w:val="22"/>
          <w:szCs w:val="22"/>
          <w:lang w:eastAsia="zh-CN"/>
        </w:rPr>
      </w:pPr>
      <w:r>
        <w:rPr>
          <w:rFonts w:eastAsiaTheme="minorEastAsia"/>
          <w:sz w:val="22"/>
          <w:szCs w:val="22"/>
          <w:lang w:eastAsia="zh-CN"/>
        </w:rPr>
        <w:t>Humira é usado no tratamento da artrite relacionada com entesite em doentes a partir dos 6 anos de</w:t>
      </w:r>
    </w:p>
    <w:p w14:paraId="66BD5B92" w14:textId="77777777" w:rsidR="008D13F4" w:rsidRDefault="00615769" w:rsidP="008D13F4">
      <w:pPr>
        <w:autoSpaceDE w:val="0"/>
        <w:autoSpaceDN w:val="0"/>
        <w:adjustRightInd w:val="0"/>
        <w:rPr>
          <w:rFonts w:eastAsiaTheme="minorEastAsia"/>
          <w:sz w:val="22"/>
          <w:szCs w:val="22"/>
          <w:lang w:eastAsia="zh-CN"/>
        </w:rPr>
      </w:pPr>
      <w:r>
        <w:rPr>
          <w:rFonts w:eastAsiaTheme="minorEastAsia"/>
          <w:sz w:val="22"/>
          <w:szCs w:val="22"/>
          <w:lang w:eastAsia="zh-CN"/>
        </w:rPr>
        <w:t>idade. Pode ser tratado inicialmente com outros medicamentos modificadores da doença, como por</w:t>
      </w:r>
    </w:p>
    <w:p w14:paraId="096EE5D4" w14:textId="77777777" w:rsidR="008D13F4" w:rsidRDefault="00615769" w:rsidP="008D13F4">
      <w:pPr>
        <w:autoSpaceDE w:val="0"/>
        <w:autoSpaceDN w:val="0"/>
        <w:adjustRightInd w:val="0"/>
        <w:rPr>
          <w:rFonts w:eastAsiaTheme="minorEastAsia"/>
          <w:sz w:val="22"/>
          <w:szCs w:val="22"/>
          <w:lang w:eastAsia="zh-CN"/>
        </w:rPr>
      </w:pPr>
      <w:r>
        <w:rPr>
          <w:rFonts w:eastAsiaTheme="minorEastAsia"/>
          <w:sz w:val="22"/>
          <w:szCs w:val="22"/>
          <w:lang w:eastAsia="zh-CN"/>
        </w:rPr>
        <w:t>exemplo metotrexato. Se não responder suficientemente bem a estes medicamentos, receberá</w:t>
      </w:r>
    </w:p>
    <w:p w14:paraId="7E73BE2B" w14:textId="77777777" w:rsidR="008D13F4" w:rsidRDefault="00615769" w:rsidP="008D13F4">
      <w:pPr>
        <w:ind w:right="-2"/>
        <w:rPr>
          <w:sz w:val="22"/>
          <w:szCs w:val="22"/>
          <w:u w:val="single"/>
        </w:rPr>
      </w:pPr>
      <w:r>
        <w:rPr>
          <w:rFonts w:eastAsiaTheme="minorEastAsia"/>
          <w:sz w:val="22"/>
          <w:szCs w:val="22"/>
          <w:lang w:eastAsia="zh-CN"/>
        </w:rPr>
        <w:t>Humira.</w:t>
      </w:r>
    </w:p>
    <w:p w14:paraId="395374C1" w14:textId="77777777" w:rsidR="008D13F4" w:rsidRDefault="008D13F4" w:rsidP="008D13F4">
      <w:pPr>
        <w:ind w:right="-2"/>
        <w:rPr>
          <w:sz w:val="22"/>
          <w:szCs w:val="22"/>
          <w:u w:val="single"/>
        </w:rPr>
      </w:pPr>
    </w:p>
    <w:p w14:paraId="51B2D0C7" w14:textId="77777777" w:rsidR="008D13F4" w:rsidRPr="008912CF" w:rsidRDefault="00615769" w:rsidP="008D13F4">
      <w:pPr>
        <w:ind w:right="-2"/>
        <w:rPr>
          <w:sz w:val="22"/>
          <w:szCs w:val="22"/>
          <w:u w:val="single"/>
        </w:rPr>
      </w:pPr>
      <w:r w:rsidRPr="00824537">
        <w:rPr>
          <w:b/>
          <w:sz w:val="22"/>
          <w:szCs w:val="22"/>
        </w:rPr>
        <w:t xml:space="preserve">Espondilite anquilosante e espondilartrite axial sem evidência radiográfica de espondilite anquilosante </w:t>
      </w:r>
    </w:p>
    <w:p w14:paraId="540032C4" w14:textId="77777777" w:rsidR="008D13F4" w:rsidRPr="008912CF" w:rsidRDefault="008D13F4" w:rsidP="008D13F4">
      <w:pPr>
        <w:ind w:right="-2"/>
        <w:rPr>
          <w:sz w:val="22"/>
          <w:szCs w:val="22"/>
        </w:rPr>
      </w:pPr>
    </w:p>
    <w:p w14:paraId="26A86631" w14:textId="77777777" w:rsidR="008D13F4" w:rsidRPr="008912CF" w:rsidRDefault="00615769" w:rsidP="008D13F4">
      <w:pPr>
        <w:ind w:right="-2"/>
        <w:rPr>
          <w:sz w:val="22"/>
          <w:szCs w:val="22"/>
        </w:rPr>
      </w:pPr>
      <w:r w:rsidRPr="008912CF">
        <w:rPr>
          <w:sz w:val="22"/>
          <w:szCs w:val="22"/>
        </w:rPr>
        <w:t>A espondilite anquilosante e espondilartrite axial sem evidência radiográfica de espondilite anquilosante são doenças inflamatórias da espinha dorsal.</w:t>
      </w:r>
    </w:p>
    <w:p w14:paraId="2565293D" w14:textId="77777777" w:rsidR="008D13F4" w:rsidRPr="008912CF" w:rsidRDefault="008D13F4" w:rsidP="008D13F4">
      <w:pPr>
        <w:ind w:right="-2"/>
        <w:rPr>
          <w:sz w:val="22"/>
          <w:szCs w:val="22"/>
          <w:u w:val="single"/>
        </w:rPr>
      </w:pPr>
    </w:p>
    <w:p w14:paraId="34EBCEEB" w14:textId="77777777" w:rsidR="008D13F4" w:rsidRPr="008912CF" w:rsidRDefault="00615769" w:rsidP="008D13F4">
      <w:pPr>
        <w:autoSpaceDE w:val="0"/>
        <w:autoSpaceDN w:val="0"/>
        <w:adjustRightInd w:val="0"/>
        <w:rPr>
          <w:sz w:val="22"/>
          <w:szCs w:val="22"/>
        </w:rPr>
      </w:pPr>
      <w:r w:rsidRPr="008912CF">
        <w:rPr>
          <w:sz w:val="22"/>
          <w:szCs w:val="22"/>
        </w:rPr>
        <w:t xml:space="preserve">Humira é usado </w:t>
      </w:r>
      <w:r w:rsidRPr="00824537">
        <w:rPr>
          <w:sz w:val="22"/>
          <w:szCs w:val="22"/>
        </w:rPr>
        <w:t>no tratamento da</w:t>
      </w:r>
      <w:r w:rsidRPr="008912CF">
        <w:rPr>
          <w:sz w:val="22"/>
          <w:szCs w:val="22"/>
        </w:rPr>
        <w:t xml:space="preserve"> espondilite anquilosante </w:t>
      </w:r>
      <w:r>
        <w:rPr>
          <w:sz w:val="22"/>
          <w:szCs w:val="22"/>
        </w:rPr>
        <w:t xml:space="preserve">grave </w:t>
      </w:r>
      <w:r w:rsidRPr="008912CF">
        <w:rPr>
          <w:sz w:val="22"/>
          <w:szCs w:val="22"/>
        </w:rPr>
        <w:t xml:space="preserve">e da espondilartrite axial sem evidência radiográfica de espondilite anquilosante em adultos. </w:t>
      </w:r>
      <w:r>
        <w:rPr>
          <w:rFonts w:eastAsiaTheme="minorEastAsia"/>
          <w:sz w:val="22"/>
          <w:szCs w:val="22"/>
          <w:lang w:eastAsia="zh-CN"/>
        </w:rPr>
        <w:t xml:space="preserve">Pode ser tratado inicialmente com </w:t>
      </w:r>
      <w:r w:rsidRPr="008912CF">
        <w:rPr>
          <w:sz w:val="22"/>
          <w:szCs w:val="22"/>
        </w:rPr>
        <w:t>outros medicamentos. Caso não responda de modo suficiente a esses medicamentos, receberá Humira.</w:t>
      </w:r>
    </w:p>
    <w:p w14:paraId="556DEB55" w14:textId="77777777" w:rsidR="008D13F4" w:rsidRPr="008912CF" w:rsidRDefault="008D13F4" w:rsidP="008D13F4">
      <w:pPr>
        <w:ind w:right="-2"/>
        <w:rPr>
          <w:sz w:val="22"/>
          <w:szCs w:val="22"/>
          <w:u w:val="single"/>
        </w:rPr>
      </w:pPr>
    </w:p>
    <w:p w14:paraId="74E9ED2C" w14:textId="77777777" w:rsidR="008D13F4" w:rsidRPr="008912CF" w:rsidRDefault="00615769" w:rsidP="008D13F4">
      <w:pPr>
        <w:ind w:right="-2"/>
        <w:rPr>
          <w:sz w:val="22"/>
          <w:szCs w:val="22"/>
          <w:u w:val="single"/>
        </w:rPr>
      </w:pPr>
      <w:r w:rsidRPr="00824537">
        <w:rPr>
          <w:b/>
          <w:sz w:val="22"/>
          <w:szCs w:val="22"/>
        </w:rPr>
        <w:t>Artrite psoriática</w:t>
      </w:r>
      <w:r>
        <w:rPr>
          <w:sz w:val="22"/>
          <w:szCs w:val="22"/>
          <w:u w:val="single"/>
        </w:rPr>
        <w:t xml:space="preserve"> </w:t>
      </w:r>
    </w:p>
    <w:p w14:paraId="4D3CB442" w14:textId="77777777" w:rsidR="008D13F4" w:rsidRPr="008912CF" w:rsidRDefault="008D13F4" w:rsidP="008D13F4">
      <w:pPr>
        <w:ind w:right="-2"/>
        <w:rPr>
          <w:sz w:val="22"/>
          <w:szCs w:val="22"/>
        </w:rPr>
      </w:pPr>
    </w:p>
    <w:p w14:paraId="2CDC2ACF" w14:textId="77777777" w:rsidR="008D13F4" w:rsidRPr="008912CF" w:rsidRDefault="00615769" w:rsidP="008D13F4">
      <w:pPr>
        <w:ind w:right="-2"/>
        <w:rPr>
          <w:sz w:val="22"/>
          <w:szCs w:val="22"/>
        </w:rPr>
      </w:pPr>
      <w:r w:rsidRPr="008912CF">
        <w:rPr>
          <w:sz w:val="22"/>
          <w:szCs w:val="22"/>
        </w:rPr>
        <w:t xml:space="preserve">A artrite psoriática é uma </w:t>
      </w:r>
      <w:r>
        <w:rPr>
          <w:sz w:val="22"/>
          <w:szCs w:val="22"/>
        </w:rPr>
        <w:t>doença inflamatória</w:t>
      </w:r>
      <w:r w:rsidRPr="008912CF">
        <w:rPr>
          <w:sz w:val="22"/>
          <w:szCs w:val="22"/>
        </w:rPr>
        <w:t xml:space="preserve"> da articulação associada </w:t>
      </w:r>
      <w:r>
        <w:rPr>
          <w:sz w:val="22"/>
          <w:szCs w:val="22"/>
        </w:rPr>
        <w:t xml:space="preserve">geralmente com </w:t>
      </w:r>
      <w:r w:rsidRPr="008912CF">
        <w:rPr>
          <w:sz w:val="22"/>
          <w:szCs w:val="22"/>
        </w:rPr>
        <w:t>a psoríase.</w:t>
      </w:r>
    </w:p>
    <w:p w14:paraId="15631115" w14:textId="77777777" w:rsidR="008D13F4" w:rsidRPr="008912CF" w:rsidRDefault="008D13F4" w:rsidP="008D13F4">
      <w:pPr>
        <w:ind w:right="-2"/>
        <w:rPr>
          <w:sz w:val="22"/>
          <w:szCs w:val="22"/>
        </w:rPr>
      </w:pPr>
    </w:p>
    <w:p w14:paraId="149309DB" w14:textId="77777777" w:rsidR="008D13F4" w:rsidRPr="008912CF" w:rsidRDefault="00615769" w:rsidP="008D13F4">
      <w:pPr>
        <w:ind w:right="-2"/>
        <w:rPr>
          <w:sz w:val="22"/>
          <w:szCs w:val="22"/>
        </w:rPr>
      </w:pPr>
      <w:r w:rsidRPr="008912CF">
        <w:rPr>
          <w:sz w:val="22"/>
          <w:szCs w:val="22"/>
        </w:rPr>
        <w:t xml:space="preserve">Humira é usado </w:t>
      </w:r>
      <w:r w:rsidRPr="00824537">
        <w:rPr>
          <w:sz w:val="22"/>
          <w:szCs w:val="22"/>
        </w:rPr>
        <w:t>no tratamento d</w:t>
      </w:r>
      <w:r w:rsidRPr="008912CF">
        <w:rPr>
          <w:sz w:val="22"/>
          <w:szCs w:val="22"/>
        </w:rPr>
        <w:t xml:space="preserve">a artrite psoriática em adultos. Humira </w:t>
      </w:r>
      <w:r>
        <w:rPr>
          <w:sz w:val="22"/>
          <w:szCs w:val="22"/>
        </w:rPr>
        <w:t>pode</w:t>
      </w:r>
      <w:r w:rsidRPr="008912CF">
        <w:rPr>
          <w:sz w:val="22"/>
          <w:szCs w:val="22"/>
        </w:rPr>
        <w:t xml:space="preserve"> retardar a lesão das articulações causada pela doença e </w:t>
      </w:r>
      <w:r>
        <w:rPr>
          <w:rFonts w:eastAsiaTheme="minorEastAsia"/>
          <w:sz w:val="22"/>
          <w:szCs w:val="22"/>
          <w:lang w:eastAsia="zh-CN"/>
        </w:rPr>
        <w:t>pode ajudá-las a moverem-se mais livremente</w:t>
      </w:r>
      <w:r w:rsidRPr="008912CF">
        <w:rPr>
          <w:sz w:val="22"/>
          <w:szCs w:val="22"/>
        </w:rPr>
        <w:t>.</w:t>
      </w:r>
      <w:r>
        <w:rPr>
          <w:sz w:val="22"/>
          <w:szCs w:val="22"/>
        </w:rPr>
        <w:t xml:space="preserve"> </w:t>
      </w:r>
      <w:r>
        <w:rPr>
          <w:rFonts w:eastAsiaTheme="minorEastAsia"/>
          <w:sz w:val="22"/>
          <w:szCs w:val="22"/>
          <w:lang w:eastAsia="zh-CN"/>
        </w:rPr>
        <w:t xml:space="preserve">Pode ser tratado inicialmente com </w:t>
      </w:r>
      <w:r w:rsidRPr="008912CF">
        <w:rPr>
          <w:sz w:val="22"/>
          <w:szCs w:val="22"/>
        </w:rPr>
        <w:t>outros medicamentos. Caso não responda de modo suficiente a esses medicamentos, receberá Humira</w:t>
      </w:r>
      <w:r>
        <w:rPr>
          <w:sz w:val="22"/>
          <w:szCs w:val="22"/>
        </w:rPr>
        <w:t xml:space="preserve">. </w:t>
      </w:r>
    </w:p>
    <w:p w14:paraId="67EDC503" w14:textId="77777777" w:rsidR="008D13F4" w:rsidRPr="008912CF" w:rsidRDefault="008D13F4" w:rsidP="008D13F4">
      <w:pPr>
        <w:ind w:right="-2"/>
        <w:rPr>
          <w:sz w:val="22"/>
          <w:szCs w:val="22"/>
        </w:rPr>
      </w:pPr>
    </w:p>
    <w:p w14:paraId="27ABF59C" w14:textId="77777777" w:rsidR="008D13F4" w:rsidRPr="008912CF" w:rsidRDefault="00615769" w:rsidP="008D13F4">
      <w:pPr>
        <w:pStyle w:val="DefaultText"/>
        <w:rPr>
          <w:rFonts w:ascii="Times New Roman" w:hAnsi="Times New Roman"/>
          <w:szCs w:val="22"/>
          <w:u w:val="single"/>
          <w:lang w:val="pt-PT"/>
        </w:rPr>
      </w:pPr>
      <w:r w:rsidRPr="00824537">
        <w:rPr>
          <w:rFonts w:ascii="Times New Roman" w:hAnsi="Times New Roman"/>
          <w:b/>
          <w:szCs w:val="22"/>
          <w:lang w:val="pt-PT"/>
        </w:rPr>
        <w:t>Psoríase em placas</w:t>
      </w:r>
    </w:p>
    <w:p w14:paraId="0AFA1C45" w14:textId="77777777" w:rsidR="008D13F4" w:rsidRPr="008912CF" w:rsidRDefault="008D13F4" w:rsidP="008D13F4">
      <w:pPr>
        <w:ind w:right="-2"/>
        <w:rPr>
          <w:sz w:val="22"/>
          <w:szCs w:val="22"/>
          <w:u w:val="single"/>
        </w:rPr>
      </w:pPr>
    </w:p>
    <w:p w14:paraId="381B3831" w14:textId="77777777" w:rsidR="008D13F4" w:rsidRPr="008912CF" w:rsidRDefault="00615769" w:rsidP="008D13F4">
      <w:r w:rsidRPr="008912CF">
        <w:rPr>
          <w:sz w:val="22"/>
          <w:szCs w:val="22"/>
        </w:rPr>
        <w:t xml:space="preserve">Psoríase em placas é uma doença da pele que provoca manchas avermelhadas, secas e com placas na pele, cobertas de escamas prateadas. </w:t>
      </w:r>
      <w:r>
        <w:rPr>
          <w:sz w:val="22"/>
          <w:szCs w:val="22"/>
        </w:rPr>
        <w:t xml:space="preserve">A psoríase em placas pode também afetar as unhas, causando a sua desintegração, tornando-as espessas e descoladas da base da unha o que pode ser doloroso. </w:t>
      </w:r>
      <w:r w:rsidRPr="008912CF">
        <w:t xml:space="preserve"> </w:t>
      </w:r>
    </w:p>
    <w:p w14:paraId="07478154" w14:textId="77777777" w:rsidR="008D13F4" w:rsidRPr="008912CF" w:rsidRDefault="008D13F4" w:rsidP="008D13F4"/>
    <w:p w14:paraId="5D39189B" w14:textId="77777777" w:rsidR="008D13F4" w:rsidRDefault="00615769" w:rsidP="008D13F4">
      <w:pPr>
        <w:rPr>
          <w:sz w:val="22"/>
          <w:szCs w:val="22"/>
        </w:rPr>
      </w:pPr>
      <w:r w:rsidRPr="008912CF">
        <w:rPr>
          <w:sz w:val="22"/>
          <w:szCs w:val="22"/>
        </w:rPr>
        <w:t xml:space="preserve">Humira é usado no tratamento da </w:t>
      </w:r>
    </w:p>
    <w:p w14:paraId="7271C8C6" w14:textId="77777777" w:rsidR="008D13F4" w:rsidRDefault="00615769" w:rsidP="008D13F4">
      <w:pPr>
        <w:pStyle w:val="ListParagraph"/>
        <w:numPr>
          <w:ilvl w:val="0"/>
          <w:numId w:val="149"/>
        </w:numPr>
        <w:rPr>
          <w:sz w:val="22"/>
          <w:szCs w:val="22"/>
        </w:rPr>
      </w:pPr>
      <w:r w:rsidRPr="00824537">
        <w:rPr>
          <w:sz w:val="22"/>
          <w:szCs w:val="22"/>
        </w:rPr>
        <w:t xml:space="preserve">psoríase </w:t>
      </w:r>
      <w:r>
        <w:rPr>
          <w:sz w:val="22"/>
          <w:szCs w:val="22"/>
        </w:rPr>
        <w:t xml:space="preserve">crónica </w:t>
      </w:r>
      <w:r w:rsidRPr="00824537">
        <w:rPr>
          <w:sz w:val="22"/>
          <w:szCs w:val="22"/>
        </w:rPr>
        <w:t>em placas moderada a grave, em adultos</w:t>
      </w:r>
      <w:r>
        <w:rPr>
          <w:sz w:val="22"/>
          <w:szCs w:val="22"/>
        </w:rPr>
        <w:t xml:space="preserve"> e</w:t>
      </w:r>
      <w:r w:rsidRPr="00824537">
        <w:rPr>
          <w:sz w:val="22"/>
          <w:szCs w:val="22"/>
        </w:rPr>
        <w:t xml:space="preserve"> </w:t>
      </w:r>
    </w:p>
    <w:p w14:paraId="1230454D" w14:textId="77777777" w:rsidR="008D13F4" w:rsidRPr="00824537" w:rsidRDefault="00615769" w:rsidP="008D13F4">
      <w:pPr>
        <w:pStyle w:val="ListParagraph"/>
        <w:numPr>
          <w:ilvl w:val="0"/>
          <w:numId w:val="149"/>
        </w:numPr>
        <w:rPr>
          <w:sz w:val="22"/>
          <w:szCs w:val="22"/>
        </w:rPr>
      </w:pPr>
      <w:r w:rsidRPr="00824537">
        <w:rPr>
          <w:sz w:val="22"/>
          <w:szCs w:val="22"/>
        </w:rPr>
        <w:t xml:space="preserve">psoríase </w:t>
      </w:r>
      <w:r>
        <w:rPr>
          <w:sz w:val="22"/>
          <w:szCs w:val="22"/>
        </w:rPr>
        <w:t xml:space="preserve">crónica </w:t>
      </w:r>
      <w:r w:rsidRPr="00824537">
        <w:rPr>
          <w:sz w:val="22"/>
          <w:szCs w:val="22"/>
        </w:rPr>
        <w:t>em placas grave em crianças e adolescentes com idades entre os 4 e os 17 anos de idade, para os quais o tratamento tópico e fototerapias não resultaram ou são inadequados.</w:t>
      </w:r>
    </w:p>
    <w:p w14:paraId="60DF47B4" w14:textId="77777777" w:rsidR="008D13F4" w:rsidRPr="008912CF" w:rsidRDefault="008D13F4" w:rsidP="008D13F4">
      <w:pPr>
        <w:ind w:right="-2"/>
        <w:rPr>
          <w:sz w:val="22"/>
          <w:szCs w:val="22"/>
        </w:rPr>
      </w:pPr>
    </w:p>
    <w:p w14:paraId="70CEAF16" w14:textId="77777777" w:rsidR="008D13F4" w:rsidRPr="008912CF" w:rsidRDefault="00615769" w:rsidP="008D13F4">
      <w:pPr>
        <w:keepNext/>
        <w:ind w:right="-2"/>
        <w:rPr>
          <w:sz w:val="22"/>
          <w:szCs w:val="22"/>
          <w:u w:val="single"/>
        </w:rPr>
      </w:pPr>
      <w:r w:rsidRPr="00824537">
        <w:rPr>
          <w:b/>
          <w:sz w:val="22"/>
          <w:szCs w:val="22"/>
        </w:rPr>
        <w:t>Hidradenite supurativa</w:t>
      </w:r>
    </w:p>
    <w:p w14:paraId="441FD202" w14:textId="77777777" w:rsidR="008D13F4" w:rsidRPr="008912CF" w:rsidRDefault="008D13F4" w:rsidP="008D13F4">
      <w:pPr>
        <w:keepNext/>
        <w:ind w:right="-2"/>
        <w:rPr>
          <w:sz w:val="22"/>
          <w:szCs w:val="22"/>
        </w:rPr>
      </w:pPr>
    </w:p>
    <w:p w14:paraId="13C869AD" w14:textId="77777777" w:rsidR="008D13F4" w:rsidRPr="008912CF" w:rsidRDefault="00615769" w:rsidP="008D13F4">
      <w:pPr>
        <w:keepNext/>
        <w:ind w:right="-2"/>
        <w:rPr>
          <w:sz w:val="22"/>
          <w:szCs w:val="22"/>
        </w:rPr>
      </w:pPr>
      <w:r w:rsidRPr="008912CF">
        <w:rPr>
          <w:sz w:val="22"/>
          <w:szCs w:val="22"/>
        </w:rPr>
        <w:t xml:space="preserve">Hidradenite supurativa (por vezes chamada hidrosadenite supurativa ou acne inversa) é uma doença inflamatória crónica da pele, muitas vezes dolorosa. Os sintomas podem incluir nódulos dolorosos (caroços) e abcessos (furúnculos) que podem libertar pus. Frequentemente afeta áreas da pele específicas, tais como a região inframamária (abaixo das mamas), axilas, coxas, virilhas e nádegas. Nas áreas afetadas, podem também surgir cicatrizes. </w:t>
      </w:r>
    </w:p>
    <w:p w14:paraId="0A8AC840" w14:textId="77777777" w:rsidR="008D13F4" w:rsidRPr="008912CF" w:rsidRDefault="008D13F4" w:rsidP="008D13F4">
      <w:pPr>
        <w:ind w:right="-2"/>
        <w:rPr>
          <w:sz w:val="22"/>
          <w:szCs w:val="22"/>
        </w:rPr>
      </w:pPr>
    </w:p>
    <w:p w14:paraId="0930EDC9" w14:textId="77777777" w:rsidR="008D13F4" w:rsidRDefault="00615769" w:rsidP="008D13F4">
      <w:pPr>
        <w:ind w:right="-2"/>
        <w:rPr>
          <w:sz w:val="22"/>
          <w:szCs w:val="22"/>
        </w:rPr>
      </w:pPr>
      <w:r w:rsidRPr="008912CF">
        <w:rPr>
          <w:sz w:val="22"/>
          <w:szCs w:val="22"/>
        </w:rPr>
        <w:t xml:space="preserve">Humira é usado no tratamento da </w:t>
      </w:r>
    </w:p>
    <w:p w14:paraId="351EE3C7" w14:textId="77777777" w:rsidR="008D13F4" w:rsidRDefault="00615769" w:rsidP="008D13F4">
      <w:pPr>
        <w:pStyle w:val="ListParagraph"/>
        <w:numPr>
          <w:ilvl w:val="0"/>
          <w:numId w:val="147"/>
        </w:numPr>
        <w:ind w:right="-2"/>
        <w:rPr>
          <w:sz w:val="22"/>
          <w:szCs w:val="22"/>
        </w:rPr>
      </w:pPr>
      <w:r w:rsidRPr="00824537">
        <w:rPr>
          <w:sz w:val="22"/>
          <w:szCs w:val="22"/>
        </w:rPr>
        <w:t>hidradenite supurativa</w:t>
      </w:r>
      <w:r>
        <w:rPr>
          <w:sz w:val="22"/>
          <w:szCs w:val="22"/>
        </w:rPr>
        <w:t xml:space="preserve"> moderada a grave</w:t>
      </w:r>
      <w:r w:rsidRPr="00824537">
        <w:rPr>
          <w:sz w:val="22"/>
          <w:szCs w:val="22"/>
        </w:rPr>
        <w:t xml:space="preserve"> em adultos e </w:t>
      </w:r>
    </w:p>
    <w:p w14:paraId="7D152620" w14:textId="77777777" w:rsidR="008D13F4" w:rsidRDefault="00615769" w:rsidP="008D13F4">
      <w:pPr>
        <w:pStyle w:val="ListParagraph"/>
        <w:numPr>
          <w:ilvl w:val="0"/>
          <w:numId w:val="147"/>
        </w:numPr>
        <w:ind w:right="-2"/>
        <w:rPr>
          <w:sz w:val="22"/>
          <w:szCs w:val="22"/>
        </w:rPr>
      </w:pPr>
      <w:r>
        <w:rPr>
          <w:sz w:val="22"/>
          <w:szCs w:val="22"/>
        </w:rPr>
        <w:t xml:space="preserve">hidradenite supurativa moderada a grave em </w:t>
      </w:r>
      <w:r w:rsidRPr="00824537">
        <w:rPr>
          <w:sz w:val="22"/>
          <w:szCs w:val="22"/>
        </w:rPr>
        <w:t>adolescentes</w:t>
      </w:r>
      <w:r w:rsidRPr="00093F09">
        <w:rPr>
          <w:rFonts w:eastAsiaTheme="minorEastAsia"/>
          <w:sz w:val="22"/>
          <w:szCs w:val="22"/>
          <w:lang w:eastAsia="zh-CN"/>
        </w:rPr>
        <w:t xml:space="preserve"> </w:t>
      </w:r>
      <w:r>
        <w:rPr>
          <w:rFonts w:eastAsiaTheme="minorEastAsia"/>
          <w:sz w:val="22"/>
          <w:szCs w:val="22"/>
          <w:lang w:eastAsia="zh-CN"/>
        </w:rPr>
        <w:t xml:space="preserve">entre os </w:t>
      </w:r>
      <w:r w:rsidRPr="00824537">
        <w:rPr>
          <w:sz w:val="22"/>
          <w:szCs w:val="22"/>
        </w:rPr>
        <w:t xml:space="preserve">12 </w:t>
      </w:r>
      <w:r>
        <w:rPr>
          <w:sz w:val="22"/>
          <w:szCs w:val="22"/>
        </w:rPr>
        <w:t xml:space="preserve">e os 17 </w:t>
      </w:r>
      <w:r w:rsidRPr="00824537">
        <w:rPr>
          <w:sz w:val="22"/>
          <w:szCs w:val="22"/>
        </w:rPr>
        <w:t xml:space="preserve">anos. </w:t>
      </w:r>
    </w:p>
    <w:p w14:paraId="2F649BDA" w14:textId="77777777" w:rsidR="008D13F4" w:rsidRDefault="008D13F4" w:rsidP="008D13F4">
      <w:pPr>
        <w:ind w:left="360" w:right="-2"/>
        <w:rPr>
          <w:sz w:val="22"/>
          <w:szCs w:val="22"/>
        </w:rPr>
      </w:pPr>
    </w:p>
    <w:p w14:paraId="41BBC859" w14:textId="77777777" w:rsidR="008D13F4" w:rsidRPr="00824537" w:rsidRDefault="00615769" w:rsidP="008D13F4">
      <w:pPr>
        <w:ind w:right="-2"/>
        <w:rPr>
          <w:sz w:val="22"/>
          <w:szCs w:val="22"/>
        </w:rPr>
      </w:pPr>
      <w:r w:rsidRPr="00824537">
        <w:rPr>
          <w:sz w:val="22"/>
          <w:szCs w:val="22"/>
        </w:rPr>
        <w:t xml:space="preserve">Humira pode reduzir o número de nódulos e abcessos </w:t>
      </w:r>
      <w:r>
        <w:rPr>
          <w:sz w:val="22"/>
          <w:szCs w:val="22"/>
        </w:rPr>
        <w:t>causados pela doença</w:t>
      </w:r>
      <w:r w:rsidRPr="00824537">
        <w:rPr>
          <w:sz w:val="22"/>
          <w:szCs w:val="22"/>
        </w:rPr>
        <w:t>, bem como a dor frequentemente associada com a doença. Pode ser tratado inicialmente com outros medicamentos. Se não responder suficientemente bem a estes medicamentos, receberá Humira.</w:t>
      </w:r>
    </w:p>
    <w:p w14:paraId="5C01C31D" w14:textId="77777777" w:rsidR="008D13F4" w:rsidRPr="008912CF" w:rsidRDefault="008D13F4" w:rsidP="008D13F4">
      <w:pPr>
        <w:rPr>
          <w:sz w:val="22"/>
          <w:szCs w:val="22"/>
          <w:u w:val="single"/>
        </w:rPr>
      </w:pPr>
    </w:p>
    <w:p w14:paraId="4AA725FF" w14:textId="77777777" w:rsidR="008D13F4" w:rsidRPr="008912CF" w:rsidRDefault="00615769" w:rsidP="008D13F4">
      <w:pPr>
        <w:keepNext/>
        <w:rPr>
          <w:sz w:val="22"/>
          <w:szCs w:val="22"/>
          <w:u w:val="single"/>
        </w:rPr>
      </w:pPr>
      <w:r w:rsidRPr="00824537">
        <w:rPr>
          <w:b/>
          <w:sz w:val="22"/>
          <w:szCs w:val="22"/>
        </w:rPr>
        <w:t>Doença de Crohn</w:t>
      </w:r>
      <w:r w:rsidRPr="008912CF">
        <w:rPr>
          <w:sz w:val="22"/>
          <w:szCs w:val="22"/>
          <w:u w:val="single"/>
        </w:rPr>
        <w:t xml:space="preserve"> </w:t>
      </w:r>
    </w:p>
    <w:p w14:paraId="09698826" w14:textId="77777777" w:rsidR="008D13F4" w:rsidRPr="008912CF" w:rsidRDefault="008D13F4" w:rsidP="008D13F4">
      <w:pPr>
        <w:pStyle w:val="EndnoteText"/>
        <w:keepNext/>
        <w:tabs>
          <w:tab w:val="clear" w:pos="567"/>
        </w:tabs>
        <w:rPr>
          <w:szCs w:val="22"/>
        </w:rPr>
      </w:pPr>
    </w:p>
    <w:p w14:paraId="3098CB7C" w14:textId="77777777" w:rsidR="008D13F4" w:rsidRPr="008912CF" w:rsidRDefault="00615769" w:rsidP="008D13F4">
      <w:pPr>
        <w:pStyle w:val="EndnoteText"/>
        <w:keepNext/>
        <w:tabs>
          <w:tab w:val="clear" w:pos="567"/>
        </w:tabs>
        <w:rPr>
          <w:szCs w:val="22"/>
        </w:rPr>
      </w:pPr>
      <w:r w:rsidRPr="008912CF">
        <w:rPr>
          <w:szCs w:val="22"/>
        </w:rPr>
        <w:t>A doença de Crohn é uma doença inflamatória do aparelho digestivo.</w:t>
      </w:r>
    </w:p>
    <w:p w14:paraId="70C317EE" w14:textId="77777777" w:rsidR="008D13F4" w:rsidRPr="008912CF" w:rsidRDefault="008D13F4" w:rsidP="008D13F4">
      <w:pPr>
        <w:pStyle w:val="BodyText2"/>
        <w:keepNext/>
        <w:autoSpaceDE/>
        <w:autoSpaceDN/>
        <w:adjustRightInd/>
        <w:rPr>
          <w:szCs w:val="22"/>
        </w:rPr>
      </w:pPr>
    </w:p>
    <w:p w14:paraId="0779F508" w14:textId="77777777" w:rsidR="008D13F4" w:rsidRDefault="00615769" w:rsidP="008D13F4">
      <w:pPr>
        <w:pStyle w:val="BodyText2"/>
        <w:autoSpaceDE/>
        <w:autoSpaceDN/>
        <w:adjustRightInd/>
        <w:rPr>
          <w:szCs w:val="22"/>
        </w:rPr>
      </w:pPr>
      <w:r w:rsidRPr="008912CF">
        <w:rPr>
          <w:szCs w:val="22"/>
        </w:rPr>
        <w:t xml:space="preserve">Humira é usado no tratamento da </w:t>
      </w:r>
    </w:p>
    <w:p w14:paraId="6CB9F936" w14:textId="77777777" w:rsidR="008D13F4" w:rsidRDefault="00615769" w:rsidP="008D13F4">
      <w:pPr>
        <w:pStyle w:val="BodyText2"/>
        <w:numPr>
          <w:ilvl w:val="0"/>
          <w:numId w:val="150"/>
        </w:numPr>
        <w:autoSpaceDE/>
        <w:autoSpaceDN/>
        <w:adjustRightInd/>
        <w:rPr>
          <w:szCs w:val="22"/>
        </w:rPr>
      </w:pPr>
      <w:r w:rsidRPr="008912CF">
        <w:rPr>
          <w:szCs w:val="22"/>
        </w:rPr>
        <w:t xml:space="preserve">doença de Crohn </w:t>
      </w:r>
      <w:r>
        <w:rPr>
          <w:szCs w:val="22"/>
        </w:rPr>
        <w:t xml:space="preserve">moderada a grave </w:t>
      </w:r>
      <w:r w:rsidRPr="008912CF">
        <w:rPr>
          <w:szCs w:val="22"/>
        </w:rPr>
        <w:t xml:space="preserve">em adultos e </w:t>
      </w:r>
    </w:p>
    <w:p w14:paraId="359A8D7F" w14:textId="77777777" w:rsidR="008D13F4" w:rsidRDefault="00615769" w:rsidP="008D13F4">
      <w:pPr>
        <w:pStyle w:val="BodyText2"/>
        <w:numPr>
          <w:ilvl w:val="0"/>
          <w:numId w:val="150"/>
        </w:numPr>
        <w:autoSpaceDE/>
        <w:autoSpaceDN/>
        <w:adjustRightInd/>
        <w:rPr>
          <w:szCs w:val="22"/>
        </w:rPr>
      </w:pPr>
      <w:r>
        <w:rPr>
          <w:szCs w:val="22"/>
        </w:rPr>
        <w:t xml:space="preserve">doença de Crohn moderada a grave em </w:t>
      </w:r>
      <w:r w:rsidRPr="008912CF">
        <w:rPr>
          <w:szCs w:val="22"/>
        </w:rPr>
        <w:t xml:space="preserve">crianças </w:t>
      </w:r>
      <w:r>
        <w:rPr>
          <w:szCs w:val="22"/>
        </w:rPr>
        <w:t xml:space="preserve">e adolescentes </w:t>
      </w:r>
      <w:r w:rsidRPr="008912CF">
        <w:rPr>
          <w:szCs w:val="22"/>
        </w:rPr>
        <w:t xml:space="preserve">entre os 6 e os 17 anos. </w:t>
      </w:r>
    </w:p>
    <w:p w14:paraId="053304CD" w14:textId="77777777" w:rsidR="008D13F4" w:rsidRDefault="008D13F4" w:rsidP="008D13F4">
      <w:pPr>
        <w:pStyle w:val="BodyText2"/>
        <w:autoSpaceDE/>
        <w:autoSpaceDN/>
        <w:adjustRightInd/>
        <w:rPr>
          <w:szCs w:val="22"/>
        </w:rPr>
      </w:pPr>
    </w:p>
    <w:p w14:paraId="114BE0C7" w14:textId="77777777" w:rsidR="008D13F4" w:rsidRPr="00093F09" w:rsidRDefault="00615769" w:rsidP="008D13F4">
      <w:pPr>
        <w:autoSpaceDE w:val="0"/>
        <w:autoSpaceDN w:val="0"/>
        <w:adjustRightInd w:val="0"/>
        <w:rPr>
          <w:szCs w:val="22"/>
        </w:rPr>
      </w:pPr>
      <w:r w:rsidRPr="00093F09">
        <w:rPr>
          <w:rFonts w:eastAsiaTheme="minorEastAsia"/>
          <w:sz w:val="22"/>
          <w:szCs w:val="22"/>
          <w:lang w:eastAsia="zh-CN"/>
        </w:rPr>
        <w:t xml:space="preserve">Pode ser tratado </w:t>
      </w:r>
      <w:r>
        <w:rPr>
          <w:rFonts w:eastAsiaTheme="minorEastAsia"/>
          <w:sz w:val="22"/>
          <w:szCs w:val="22"/>
          <w:lang w:eastAsia="zh-CN"/>
        </w:rPr>
        <w:t xml:space="preserve">inicialmente </w:t>
      </w:r>
      <w:r w:rsidRPr="00093F09">
        <w:rPr>
          <w:rFonts w:eastAsiaTheme="minorEastAsia"/>
          <w:sz w:val="22"/>
          <w:szCs w:val="22"/>
          <w:lang w:eastAsia="zh-CN"/>
        </w:rPr>
        <w:t xml:space="preserve">com </w:t>
      </w:r>
      <w:r w:rsidRPr="00093F09">
        <w:rPr>
          <w:sz w:val="22"/>
          <w:szCs w:val="22"/>
        </w:rPr>
        <w:t>outros medicamentos. Caso não responda de modo suficiente a esses medicamentos, receberá Humira.</w:t>
      </w:r>
    </w:p>
    <w:p w14:paraId="26FADD87" w14:textId="77777777" w:rsidR="008D13F4" w:rsidRPr="008912CF" w:rsidRDefault="008D13F4" w:rsidP="008D13F4">
      <w:pPr>
        <w:pStyle w:val="BodyText2"/>
        <w:autoSpaceDE/>
        <w:autoSpaceDN/>
        <w:adjustRightInd/>
        <w:rPr>
          <w:szCs w:val="22"/>
        </w:rPr>
      </w:pPr>
    </w:p>
    <w:p w14:paraId="01115678" w14:textId="77777777" w:rsidR="008D13F4" w:rsidRPr="008912CF" w:rsidRDefault="00615769" w:rsidP="008D13F4">
      <w:pPr>
        <w:pStyle w:val="BodyText2"/>
        <w:autoSpaceDE/>
        <w:autoSpaceDN/>
        <w:adjustRightInd/>
        <w:rPr>
          <w:szCs w:val="22"/>
        </w:rPr>
      </w:pPr>
      <w:r w:rsidRPr="00824537">
        <w:rPr>
          <w:b/>
          <w:szCs w:val="22"/>
        </w:rPr>
        <w:t>Colite ulcerosa</w:t>
      </w:r>
    </w:p>
    <w:p w14:paraId="112EE594" w14:textId="77777777" w:rsidR="008D13F4" w:rsidRDefault="008D13F4" w:rsidP="008D13F4">
      <w:pPr>
        <w:pStyle w:val="BodyText2"/>
        <w:autoSpaceDE/>
        <w:autoSpaceDN/>
        <w:adjustRightInd/>
        <w:rPr>
          <w:szCs w:val="22"/>
        </w:rPr>
      </w:pPr>
    </w:p>
    <w:p w14:paraId="4F2A2A25" w14:textId="77777777" w:rsidR="008D13F4" w:rsidRPr="008912CF" w:rsidRDefault="00615769" w:rsidP="008D13F4">
      <w:pPr>
        <w:pStyle w:val="BodyText2"/>
        <w:autoSpaceDE/>
        <w:autoSpaceDN/>
        <w:adjustRightInd/>
        <w:rPr>
          <w:szCs w:val="22"/>
        </w:rPr>
      </w:pPr>
      <w:r w:rsidRPr="008912CF">
        <w:rPr>
          <w:szCs w:val="22"/>
        </w:rPr>
        <w:t>A colite ulcerosa é uma doença inflamatória do intestino</w:t>
      </w:r>
      <w:r>
        <w:rPr>
          <w:szCs w:val="22"/>
        </w:rPr>
        <w:t xml:space="preserve"> grosso</w:t>
      </w:r>
      <w:r w:rsidRPr="008912CF">
        <w:rPr>
          <w:szCs w:val="22"/>
        </w:rPr>
        <w:t>.</w:t>
      </w:r>
    </w:p>
    <w:p w14:paraId="1F9FA872" w14:textId="77777777" w:rsidR="008D13F4" w:rsidRPr="008912CF" w:rsidRDefault="008D13F4" w:rsidP="008D13F4">
      <w:pPr>
        <w:pStyle w:val="BodyText2"/>
        <w:autoSpaceDE/>
        <w:autoSpaceDN/>
        <w:adjustRightInd/>
        <w:rPr>
          <w:szCs w:val="22"/>
        </w:rPr>
      </w:pPr>
    </w:p>
    <w:p w14:paraId="4B0DD4DC" w14:textId="77777777" w:rsidR="0071535A" w:rsidRDefault="00615769" w:rsidP="008D13F4">
      <w:pPr>
        <w:autoSpaceDE w:val="0"/>
        <w:autoSpaceDN w:val="0"/>
        <w:adjustRightInd w:val="0"/>
        <w:rPr>
          <w:sz w:val="22"/>
          <w:szCs w:val="22"/>
        </w:rPr>
      </w:pPr>
      <w:r w:rsidRPr="00F9650A">
        <w:rPr>
          <w:sz w:val="22"/>
          <w:szCs w:val="22"/>
        </w:rPr>
        <w:t>Humira é usado no tratamento d</w:t>
      </w:r>
      <w:r w:rsidR="001B7DFD">
        <w:rPr>
          <w:sz w:val="22"/>
          <w:szCs w:val="22"/>
        </w:rPr>
        <w:t>a</w:t>
      </w:r>
    </w:p>
    <w:p w14:paraId="6CABE5A5" w14:textId="77777777" w:rsidR="0071535A" w:rsidRPr="0071535A" w:rsidRDefault="00615769" w:rsidP="0071535A">
      <w:pPr>
        <w:pStyle w:val="ListParagraph"/>
        <w:numPr>
          <w:ilvl w:val="0"/>
          <w:numId w:val="181"/>
        </w:numPr>
        <w:autoSpaceDE w:val="0"/>
        <w:autoSpaceDN w:val="0"/>
        <w:adjustRightInd w:val="0"/>
        <w:rPr>
          <w:szCs w:val="22"/>
        </w:rPr>
      </w:pPr>
      <w:r w:rsidRPr="0071535A">
        <w:rPr>
          <w:sz w:val="22"/>
          <w:szCs w:val="22"/>
        </w:rPr>
        <w:t>colite ulcerosa moderada a grave em adultos</w:t>
      </w:r>
      <w:r w:rsidRPr="0071535A">
        <w:rPr>
          <w:rFonts w:eastAsiaTheme="minorEastAsia"/>
          <w:sz w:val="22"/>
          <w:szCs w:val="22"/>
          <w:lang w:eastAsia="zh-CN"/>
        </w:rPr>
        <w:t xml:space="preserve"> </w:t>
      </w:r>
      <w:r w:rsidR="00B84012">
        <w:rPr>
          <w:rFonts w:eastAsiaTheme="minorEastAsia"/>
          <w:sz w:val="22"/>
          <w:szCs w:val="22"/>
          <w:lang w:eastAsia="zh-CN"/>
        </w:rPr>
        <w:t>e</w:t>
      </w:r>
    </w:p>
    <w:p w14:paraId="1995D019" w14:textId="77777777" w:rsidR="0071535A" w:rsidRPr="0071535A" w:rsidRDefault="00615769" w:rsidP="0071535A">
      <w:pPr>
        <w:pStyle w:val="ListParagraph"/>
        <w:numPr>
          <w:ilvl w:val="0"/>
          <w:numId w:val="181"/>
        </w:numPr>
        <w:autoSpaceDE w:val="0"/>
        <w:autoSpaceDN w:val="0"/>
        <w:adjustRightInd w:val="0"/>
        <w:rPr>
          <w:sz w:val="22"/>
          <w:szCs w:val="22"/>
        </w:rPr>
      </w:pPr>
      <w:r w:rsidRPr="0071535A">
        <w:rPr>
          <w:sz w:val="22"/>
          <w:szCs w:val="22"/>
        </w:rPr>
        <w:t xml:space="preserve">colite ulcerosa moderada a grave em crianças e adolescentes </w:t>
      </w:r>
      <w:r w:rsidR="00C3693D">
        <w:rPr>
          <w:sz w:val="22"/>
          <w:szCs w:val="22"/>
        </w:rPr>
        <w:t>entre os</w:t>
      </w:r>
      <w:r w:rsidRPr="0071535A">
        <w:rPr>
          <w:sz w:val="22"/>
          <w:szCs w:val="22"/>
        </w:rPr>
        <w:t xml:space="preserve"> 6 </w:t>
      </w:r>
      <w:r w:rsidR="00C3693D">
        <w:rPr>
          <w:sz w:val="22"/>
          <w:szCs w:val="22"/>
        </w:rPr>
        <w:t>e os 17 anos.</w:t>
      </w:r>
    </w:p>
    <w:p w14:paraId="235D0AF4" w14:textId="77777777" w:rsidR="0071535A" w:rsidRDefault="0071535A" w:rsidP="0071535A">
      <w:pPr>
        <w:autoSpaceDE w:val="0"/>
        <w:autoSpaceDN w:val="0"/>
        <w:adjustRightInd w:val="0"/>
        <w:rPr>
          <w:rFonts w:eastAsiaTheme="minorEastAsia"/>
          <w:sz w:val="22"/>
          <w:szCs w:val="22"/>
          <w:lang w:eastAsia="zh-CN"/>
        </w:rPr>
      </w:pPr>
    </w:p>
    <w:p w14:paraId="4379EB23" w14:textId="77777777" w:rsidR="008D13F4" w:rsidRPr="0071535A" w:rsidRDefault="00615769" w:rsidP="0071535A">
      <w:pPr>
        <w:autoSpaceDE w:val="0"/>
        <w:autoSpaceDN w:val="0"/>
        <w:adjustRightInd w:val="0"/>
        <w:rPr>
          <w:szCs w:val="22"/>
        </w:rPr>
      </w:pPr>
      <w:r w:rsidRPr="0071535A">
        <w:rPr>
          <w:rFonts w:eastAsiaTheme="minorEastAsia"/>
          <w:sz w:val="22"/>
          <w:szCs w:val="22"/>
          <w:lang w:eastAsia="zh-CN"/>
        </w:rPr>
        <w:t>Pode ser tratado inicialmente com</w:t>
      </w:r>
      <w:r w:rsidRPr="0071535A">
        <w:rPr>
          <w:sz w:val="22"/>
          <w:szCs w:val="22"/>
        </w:rPr>
        <w:t xml:space="preserve"> outros medicamentos. Caso não responda de modo suficiente a esses medicamentos, receberá Humira.</w:t>
      </w:r>
    </w:p>
    <w:p w14:paraId="373E75E8" w14:textId="77777777" w:rsidR="008D13F4" w:rsidRDefault="008D13F4" w:rsidP="008D13F4">
      <w:pPr>
        <w:ind w:right="-2"/>
        <w:rPr>
          <w:sz w:val="22"/>
          <w:szCs w:val="22"/>
        </w:rPr>
      </w:pPr>
    </w:p>
    <w:p w14:paraId="723E171A" w14:textId="77777777" w:rsidR="008D13F4" w:rsidRPr="00D03949" w:rsidRDefault="00615769" w:rsidP="008D13F4">
      <w:pPr>
        <w:ind w:right="-2"/>
        <w:rPr>
          <w:sz w:val="22"/>
          <w:szCs w:val="22"/>
          <w:u w:val="single"/>
        </w:rPr>
      </w:pPr>
      <w:r w:rsidRPr="00824537">
        <w:rPr>
          <w:b/>
          <w:sz w:val="22"/>
          <w:szCs w:val="22"/>
        </w:rPr>
        <w:t>Uveíte não infecciosa</w:t>
      </w:r>
      <w:r w:rsidRPr="00D03949">
        <w:rPr>
          <w:sz w:val="22"/>
          <w:szCs w:val="22"/>
          <w:u w:val="single"/>
        </w:rPr>
        <w:t xml:space="preserve"> </w:t>
      </w:r>
    </w:p>
    <w:p w14:paraId="530927C5" w14:textId="77777777" w:rsidR="008D13F4" w:rsidRPr="00D03949" w:rsidRDefault="008D13F4" w:rsidP="008D13F4">
      <w:pPr>
        <w:ind w:right="-2"/>
        <w:rPr>
          <w:sz w:val="22"/>
          <w:szCs w:val="22"/>
        </w:rPr>
      </w:pPr>
    </w:p>
    <w:p w14:paraId="21479CFD" w14:textId="77777777" w:rsidR="008D13F4" w:rsidRPr="00D03949" w:rsidRDefault="00615769" w:rsidP="008D13F4">
      <w:pPr>
        <w:ind w:right="-2"/>
        <w:rPr>
          <w:sz w:val="22"/>
          <w:szCs w:val="22"/>
        </w:rPr>
      </w:pPr>
      <w:r w:rsidRPr="00D03949">
        <w:rPr>
          <w:sz w:val="22"/>
          <w:szCs w:val="22"/>
        </w:rPr>
        <w:t>A uveíte não</w:t>
      </w:r>
      <w:r>
        <w:rPr>
          <w:sz w:val="22"/>
          <w:szCs w:val="22"/>
        </w:rPr>
        <w:t xml:space="preserve"> </w:t>
      </w:r>
      <w:r w:rsidRPr="00D03949">
        <w:rPr>
          <w:sz w:val="22"/>
          <w:szCs w:val="22"/>
        </w:rPr>
        <w:t>infe</w:t>
      </w:r>
      <w:r>
        <w:rPr>
          <w:sz w:val="22"/>
          <w:szCs w:val="22"/>
        </w:rPr>
        <w:t>c</w:t>
      </w:r>
      <w:r w:rsidRPr="00D03949">
        <w:rPr>
          <w:sz w:val="22"/>
          <w:szCs w:val="22"/>
        </w:rPr>
        <w:t xml:space="preserve">ciosa é uma doença inflamatória que afeta </w:t>
      </w:r>
      <w:r>
        <w:rPr>
          <w:sz w:val="22"/>
          <w:szCs w:val="22"/>
        </w:rPr>
        <w:t>diferentes</w:t>
      </w:r>
      <w:r w:rsidRPr="00D03949">
        <w:rPr>
          <w:sz w:val="22"/>
          <w:szCs w:val="22"/>
        </w:rPr>
        <w:t xml:space="preserve"> partes do olho.</w:t>
      </w:r>
    </w:p>
    <w:p w14:paraId="535E6961" w14:textId="77777777" w:rsidR="008D13F4" w:rsidRPr="00D03949" w:rsidRDefault="008D13F4" w:rsidP="008D13F4">
      <w:pPr>
        <w:ind w:right="-2"/>
        <w:rPr>
          <w:sz w:val="22"/>
          <w:szCs w:val="22"/>
        </w:rPr>
      </w:pPr>
    </w:p>
    <w:p w14:paraId="67FD956A" w14:textId="77777777" w:rsidR="008D13F4" w:rsidRDefault="00615769" w:rsidP="008D13F4">
      <w:pPr>
        <w:ind w:right="-2"/>
        <w:rPr>
          <w:sz w:val="22"/>
          <w:szCs w:val="22"/>
        </w:rPr>
      </w:pPr>
      <w:r w:rsidRPr="00D03949">
        <w:rPr>
          <w:sz w:val="22"/>
          <w:szCs w:val="22"/>
        </w:rPr>
        <w:t xml:space="preserve">Humira é usado no tratamento da </w:t>
      </w:r>
    </w:p>
    <w:p w14:paraId="0659E1EC" w14:textId="77777777" w:rsidR="008D13F4" w:rsidRDefault="00615769" w:rsidP="008D13F4">
      <w:pPr>
        <w:pStyle w:val="ListParagraph"/>
        <w:numPr>
          <w:ilvl w:val="0"/>
          <w:numId w:val="123"/>
        </w:numPr>
        <w:ind w:left="567" w:right="-2" w:hanging="567"/>
        <w:rPr>
          <w:sz w:val="22"/>
          <w:szCs w:val="22"/>
        </w:rPr>
      </w:pPr>
      <w:r>
        <w:rPr>
          <w:sz w:val="22"/>
          <w:szCs w:val="22"/>
        </w:rPr>
        <w:t>u</w:t>
      </w:r>
      <w:r w:rsidRPr="00D45244">
        <w:rPr>
          <w:sz w:val="22"/>
          <w:szCs w:val="22"/>
        </w:rPr>
        <w:t>veíte não infecciosa com inflamação, afetando a parte de trás do olho, em adultos</w:t>
      </w:r>
    </w:p>
    <w:p w14:paraId="413CC91E" w14:textId="77777777" w:rsidR="008D13F4" w:rsidRPr="004D4741" w:rsidRDefault="00615769" w:rsidP="008D13F4">
      <w:pPr>
        <w:pStyle w:val="ListParagraph"/>
        <w:numPr>
          <w:ilvl w:val="0"/>
          <w:numId w:val="123"/>
        </w:numPr>
        <w:ind w:left="567" w:right="-2" w:hanging="567"/>
        <w:rPr>
          <w:sz w:val="22"/>
          <w:szCs w:val="22"/>
        </w:rPr>
      </w:pPr>
      <w:r>
        <w:rPr>
          <w:sz w:val="22"/>
          <w:szCs w:val="22"/>
        </w:rPr>
        <w:t>u</w:t>
      </w:r>
      <w:r w:rsidRPr="00BE559B">
        <w:rPr>
          <w:sz w:val="22"/>
          <w:szCs w:val="22"/>
        </w:rPr>
        <w:t>veíte não infecciosa</w:t>
      </w:r>
      <w:r>
        <w:rPr>
          <w:sz w:val="22"/>
          <w:szCs w:val="22"/>
        </w:rPr>
        <w:t>,</w:t>
      </w:r>
      <w:r w:rsidRPr="00BE559B">
        <w:rPr>
          <w:sz w:val="22"/>
          <w:szCs w:val="22"/>
        </w:rPr>
        <w:t xml:space="preserve"> crónica</w:t>
      </w:r>
      <w:r>
        <w:rPr>
          <w:sz w:val="22"/>
          <w:szCs w:val="22"/>
        </w:rPr>
        <w:t>,</w:t>
      </w:r>
      <w:r w:rsidRPr="00BE559B">
        <w:rPr>
          <w:sz w:val="22"/>
          <w:szCs w:val="22"/>
        </w:rPr>
        <w:t xml:space="preserve"> com inflamação, afetando a parte da frente do olho, em crianças a partir dos 2</w:t>
      </w:r>
      <w:r>
        <w:rPr>
          <w:sz w:val="22"/>
          <w:szCs w:val="22"/>
        </w:rPr>
        <w:t> </w:t>
      </w:r>
      <w:r w:rsidRPr="00BE559B">
        <w:rPr>
          <w:sz w:val="22"/>
          <w:szCs w:val="22"/>
        </w:rPr>
        <w:t>anos de idade</w:t>
      </w:r>
    </w:p>
    <w:p w14:paraId="53FC4815" w14:textId="77777777" w:rsidR="008D13F4" w:rsidRDefault="008D13F4" w:rsidP="008D13F4">
      <w:pPr>
        <w:ind w:right="-2"/>
        <w:rPr>
          <w:sz w:val="22"/>
          <w:szCs w:val="22"/>
        </w:rPr>
      </w:pPr>
    </w:p>
    <w:p w14:paraId="106632B6" w14:textId="77777777" w:rsidR="008D13F4" w:rsidRPr="00D45244" w:rsidRDefault="00615769" w:rsidP="008D13F4">
      <w:pPr>
        <w:ind w:right="-2"/>
        <w:rPr>
          <w:sz w:val="22"/>
          <w:szCs w:val="22"/>
        </w:rPr>
      </w:pPr>
      <w:r w:rsidRPr="00D45244">
        <w:rPr>
          <w:sz w:val="22"/>
          <w:szCs w:val="22"/>
        </w:rPr>
        <w:t xml:space="preserve">Esta inflamação </w:t>
      </w:r>
      <w:r>
        <w:rPr>
          <w:sz w:val="22"/>
          <w:szCs w:val="22"/>
        </w:rPr>
        <w:t xml:space="preserve">pode </w:t>
      </w:r>
      <w:r w:rsidRPr="00D45244">
        <w:rPr>
          <w:sz w:val="22"/>
          <w:szCs w:val="22"/>
        </w:rPr>
        <w:t>leva</w:t>
      </w:r>
      <w:r>
        <w:rPr>
          <w:sz w:val="22"/>
          <w:szCs w:val="22"/>
        </w:rPr>
        <w:t>r</w:t>
      </w:r>
      <w:r w:rsidRPr="00D45244">
        <w:rPr>
          <w:sz w:val="22"/>
          <w:szCs w:val="22"/>
        </w:rPr>
        <w:t xml:space="preserve"> a uma diminuição da visão e/ou à presença de moscas volantes no olho (pontos pretos ou linhas finas que se movem através do campo de visão). Humira atua através da redução desta inflamação.</w:t>
      </w:r>
    </w:p>
    <w:p w14:paraId="3BB424DE" w14:textId="77777777" w:rsidR="008D13F4" w:rsidRDefault="008D13F4" w:rsidP="008D13F4">
      <w:pPr>
        <w:ind w:right="-2"/>
        <w:rPr>
          <w:sz w:val="22"/>
          <w:szCs w:val="22"/>
        </w:rPr>
      </w:pPr>
    </w:p>
    <w:p w14:paraId="08F72DB2" w14:textId="77777777" w:rsidR="008D13F4" w:rsidRPr="008912CF" w:rsidRDefault="00615769" w:rsidP="008D13F4">
      <w:pPr>
        <w:ind w:right="-2"/>
        <w:rPr>
          <w:sz w:val="22"/>
          <w:szCs w:val="22"/>
        </w:rPr>
      </w:pPr>
      <w:r>
        <w:rPr>
          <w:rFonts w:eastAsiaTheme="minorEastAsia"/>
          <w:sz w:val="22"/>
          <w:szCs w:val="22"/>
          <w:lang w:eastAsia="zh-CN"/>
        </w:rPr>
        <w:t xml:space="preserve">Pode ser tratado inicialmente com </w:t>
      </w:r>
      <w:r w:rsidRPr="008912CF">
        <w:rPr>
          <w:sz w:val="22"/>
          <w:szCs w:val="22"/>
        </w:rPr>
        <w:t>outros medicamentos. Caso não responda de modo suficiente a esses medicamentos, receberá Humira</w:t>
      </w:r>
      <w:r>
        <w:rPr>
          <w:sz w:val="22"/>
          <w:szCs w:val="22"/>
        </w:rPr>
        <w:t xml:space="preserve">. </w:t>
      </w:r>
    </w:p>
    <w:p w14:paraId="0DA0BF5D" w14:textId="77777777" w:rsidR="008D13F4" w:rsidRDefault="008D13F4" w:rsidP="008D13F4">
      <w:pPr>
        <w:ind w:right="-2"/>
        <w:rPr>
          <w:sz w:val="22"/>
          <w:szCs w:val="22"/>
        </w:rPr>
      </w:pPr>
    </w:p>
    <w:p w14:paraId="6ADA0103" w14:textId="77777777" w:rsidR="008D13F4" w:rsidRPr="008912CF" w:rsidRDefault="008D13F4" w:rsidP="008D13F4">
      <w:pPr>
        <w:ind w:right="-2"/>
        <w:rPr>
          <w:sz w:val="22"/>
          <w:szCs w:val="22"/>
        </w:rPr>
      </w:pPr>
    </w:p>
    <w:p w14:paraId="4865D310" w14:textId="77777777" w:rsidR="008D13F4" w:rsidRPr="008912CF" w:rsidRDefault="00615769" w:rsidP="008D13F4">
      <w:pPr>
        <w:ind w:left="567" w:hanging="567"/>
        <w:rPr>
          <w:sz w:val="22"/>
          <w:szCs w:val="22"/>
        </w:rPr>
      </w:pPr>
      <w:r w:rsidRPr="008912CF">
        <w:rPr>
          <w:b/>
          <w:sz w:val="22"/>
          <w:szCs w:val="22"/>
        </w:rPr>
        <w:t>2.</w:t>
      </w:r>
      <w:r w:rsidRPr="008912CF">
        <w:rPr>
          <w:b/>
          <w:sz w:val="22"/>
          <w:szCs w:val="22"/>
        </w:rPr>
        <w:tab/>
      </w:r>
      <w:r w:rsidRPr="008912CF">
        <w:rPr>
          <w:b/>
          <w:bCs/>
          <w:sz w:val="22"/>
          <w:szCs w:val="22"/>
        </w:rPr>
        <w:t>O que precisa de saber antes de utilizar Humira</w:t>
      </w:r>
      <w:r w:rsidRPr="008912CF">
        <w:rPr>
          <w:b/>
          <w:sz w:val="22"/>
          <w:szCs w:val="22"/>
        </w:rPr>
        <w:t xml:space="preserve"> </w:t>
      </w:r>
    </w:p>
    <w:p w14:paraId="055EFA23" w14:textId="77777777" w:rsidR="008D13F4" w:rsidRPr="008912CF" w:rsidRDefault="008D13F4" w:rsidP="008D13F4">
      <w:pPr>
        <w:ind w:right="-2"/>
        <w:rPr>
          <w:sz w:val="22"/>
          <w:szCs w:val="22"/>
        </w:rPr>
      </w:pPr>
    </w:p>
    <w:p w14:paraId="27AEC4B8" w14:textId="77777777" w:rsidR="008D13F4" w:rsidRPr="008912CF" w:rsidRDefault="00615769" w:rsidP="008D13F4">
      <w:pPr>
        <w:rPr>
          <w:sz w:val="22"/>
          <w:szCs w:val="22"/>
        </w:rPr>
      </w:pPr>
      <w:r w:rsidRPr="008912CF">
        <w:rPr>
          <w:b/>
          <w:sz w:val="22"/>
          <w:szCs w:val="22"/>
        </w:rPr>
        <w:t xml:space="preserve">Não utilize </w:t>
      </w:r>
      <w:r w:rsidRPr="008912CF">
        <w:rPr>
          <w:b/>
          <w:bCs/>
          <w:sz w:val="22"/>
          <w:szCs w:val="22"/>
        </w:rPr>
        <w:t>Humira</w:t>
      </w:r>
    </w:p>
    <w:p w14:paraId="76BD7C90" w14:textId="77777777" w:rsidR="008D13F4" w:rsidRPr="008912CF" w:rsidRDefault="008D13F4" w:rsidP="008D13F4">
      <w:pPr>
        <w:pStyle w:val="EndnoteText"/>
        <w:tabs>
          <w:tab w:val="clear" w:pos="567"/>
        </w:tabs>
        <w:rPr>
          <w:szCs w:val="22"/>
        </w:rPr>
      </w:pPr>
    </w:p>
    <w:p w14:paraId="5E60A994" w14:textId="77777777" w:rsidR="008D13F4" w:rsidRPr="008912CF" w:rsidRDefault="00615769" w:rsidP="008D13F4">
      <w:pPr>
        <w:numPr>
          <w:ilvl w:val="1"/>
          <w:numId w:val="40"/>
        </w:numPr>
        <w:rPr>
          <w:sz w:val="22"/>
          <w:szCs w:val="22"/>
        </w:rPr>
      </w:pPr>
      <w:r w:rsidRPr="008912CF">
        <w:rPr>
          <w:sz w:val="22"/>
          <w:szCs w:val="22"/>
        </w:rPr>
        <w:t>Se tem alergia a adalimumab ou a qualquer outro componente deste medicamento (indicados na secção 6).</w:t>
      </w:r>
    </w:p>
    <w:p w14:paraId="3D5689FA" w14:textId="77777777" w:rsidR="008D13F4" w:rsidRPr="008912CF" w:rsidRDefault="008D13F4" w:rsidP="008D13F4">
      <w:pPr>
        <w:pStyle w:val="EndnoteText"/>
        <w:tabs>
          <w:tab w:val="clear" w:pos="567"/>
        </w:tabs>
        <w:rPr>
          <w:szCs w:val="22"/>
        </w:rPr>
      </w:pPr>
    </w:p>
    <w:p w14:paraId="3BF81549" w14:textId="77777777" w:rsidR="008D13F4" w:rsidRPr="008912CF" w:rsidRDefault="00615769" w:rsidP="008D13F4">
      <w:pPr>
        <w:numPr>
          <w:ilvl w:val="1"/>
          <w:numId w:val="40"/>
        </w:numPr>
        <w:rPr>
          <w:sz w:val="22"/>
          <w:szCs w:val="22"/>
        </w:rPr>
      </w:pPr>
      <w:r w:rsidRPr="008912CF">
        <w:rPr>
          <w:sz w:val="22"/>
          <w:szCs w:val="22"/>
        </w:rPr>
        <w:t>Se tem tuberculose ativa</w:t>
      </w:r>
      <w:r>
        <w:rPr>
          <w:sz w:val="22"/>
          <w:szCs w:val="22"/>
        </w:rPr>
        <w:t xml:space="preserve"> </w:t>
      </w:r>
      <w:r>
        <w:rPr>
          <w:rFonts w:eastAsiaTheme="minorEastAsia"/>
          <w:sz w:val="22"/>
          <w:szCs w:val="22"/>
          <w:lang w:eastAsia="zh-CN"/>
        </w:rPr>
        <w:t>ou outras infeções graves</w:t>
      </w:r>
      <w:r w:rsidRPr="008912CF">
        <w:rPr>
          <w:sz w:val="22"/>
          <w:szCs w:val="22"/>
        </w:rPr>
        <w:t xml:space="preserve"> (ver “Advertências e precauções”). Deve contactar o seu médico se tiver sintomas de infeção, </w:t>
      </w:r>
      <w:r>
        <w:rPr>
          <w:rFonts w:eastAsiaTheme="minorEastAsia"/>
          <w:sz w:val="22"/>
          <w:szCs w:val="22"/>
          <w:lang w:eastAsia="zh-CN"/>
        </w:rPr>
        <w:t>por exemplo</w:t>
      </w:r>
      <w:r w:rsidRPr="008912CF">
        <w:rPr>
          <w:sz w:val="22"/>
          <w:szCs w:val="22"/>
        </w:rPr>
        <w:t xml:space="preserve"> febre, feridas, sensação de cansaço, problemas dentários.</w:t>
      </w:r>
    </w:p>
    <w:p w14:paraId="375566B7" w14:textId="77777777" w:rsidR="008D13F4" w:rsidRPr="008912CF" w:rsidRDefault="008D13F4" w:rsidP="008D13F4">
      <w:pPr>
        <w:rPr>
          <w:sz w:val="22"/>
          <w:szCs w:val="22"/>
        </w:rPr>
      </w:pPr>
    </w:p>
    <w:p w14:paraId="6252421C" w14:textId="77777777" w:rsidR="008D13F4" w:rsidRPr="008912CF" w:rsidRDefault="00615769" w:rsidP="008D13F4">
      <w:pPr>
        <w:numPr>
          <w:ilvl w:val="1"/>
          <w:numId w:val="40"/>
        </w:numPr>
        <w:rPr>
          <w:sz w:val="22"/>
          <w:szCs w:val="22"/>
        </w:rPr>
      </w:pPr>
      <w:r w:rsidRPr="008912CF">
        <w:rPr>
          <w:sz w:val="22"/>
          <w:szCs w:val="22"/>
        </w:rPr>
        <w:t>Se tem insuficiência cardíaca moderada a grave. É importante que informe o seu médico se tem ou se teve alterações cardíacas graves (ver “Advertências e precauções</w:t>
      </w:r>
      <w:r w:rsidRPr="008912CF">
        <w:rPr>
          <w:bCs/>
          <w:sz w:val="22"/>
          <w:szCs w:val="22"/>
        </w:rPr>
        <w:t>”).</w:t>
      </w:r>
    </w:p>
    <w:p w14:paraId="08BF1EE4" w14:textId="77777777" w:rsidR="008D13F4" w:rsidRPr="008912CF" w:rsidRDefault="008D13F4" w:rsidP="008D13F4">
      <w:pPr>
        <w:pStyle w:val="IndexHeading"/>
        <w:tabs>
          <w:tab w:val="clear" w:pos="567"/>
        </w:tabs>
        <w:spacing w:line="240" w:lineRule="auto"/>
        <w:rPr>
          <w:rFonts w:ascii="Times New Roman" w:hAnsi="Times New Roman"/>
          <w:szCs w:val="22"/>
          <w:lang w:val="pt-PT"/>
        </w:rPr>
      </w:pPr>
    </w:p>
    <w:p w14:paraId="2710C7D4" w14:textId="77777777" w:rsidR="008D13F4" w:rsidRPr="008912CF" w:rsidRDefault="00615769" w:rsidP="008D13F4">
      <w:pPr>
        <w:rPr>
          <w:sz w:val="22"/>
          <w:szCs w:val="22"/>
        </w:rPr>
      </w:pPr>
      <w:r w:rsidRPr="008912CF">
        <w:rPr>
          <w:b/>
          <w:sz w:val="22"/>
          <w:szCs w:val="22"/>
        </w:rPr>
        <w:t>Advertências e precauções</w:t>
      </w:r>
    </w:p>
    <w:p w14:paraId="49CECFEE" w14:textId="77777777" w:rsidR="008D13F4" w:rsidRPr="008912CF" w:rsidRDefault="008D13F4" w:rsidP="008D13F4">
      <w:pPr>
        <w:pStyle w:val="EndnoteText"/>
        <w:tabs>
          <w:tab w:val="clear" w:pos="567"/>
        </w:tabs>
        <w:rPr>
          <w:szCs w:val="22"/>
        </w:rPr>
      </w:pPr>
    </w:p>
    <w:p w14:paraId="1E0BB4FB" w14:textId="77777777" w:rsidR="008D13F4" w:rsidRPr="008912CF" w:rsidRDefault="00615769" w:rsidP="008D13F4">
      <w:pPr>
        <w:pStyle w:val="EndnoteText"/>
        <w:tabs>
          <w:tab w:val="clear" w:pos="567"/>
        </w:tabs>
        <w:rPr>
          <w:szCs w:val="22"/>
        </w:rPr>
      </w:pPr>
      <w:r w:rsidRPr="008912CF">
        <w:rPr>
          <w:szCs w:val="22"/>
        </w:rPr>
        <w:t>Fale com o seu médico ou farmacêutico antes de utilizar Humira.</w:t>
      </w:r>
    </w:p>
    <w:p w14:paraId="422ABAA7" w14:textId="77777777" w:rsidR="008D13F4" w:rsidRDefault="008D13F4" w:rsidP="008D13F4"/>
    <w:p w14:paraId="7C477EB8" w14:textId="77777777" w:rsidR="008D13F4" w:rsidRPr="00824537" w:rsidRDefault="00615769" w:rsidP="008D13F4">
      <w:pPr>
        <w:rPr>
          <w:rFonts w:eastAsiaTheme="minorEastAsia"/>
          <w:sz w:val="22"/>
          <w:szCs w:val="22"/>
          <w:u w:val="single"/>
          <w:lang w:eastAsia="zh-CN"/>
        </w:rPr>
      </w:pPr>
      <w:r w:rsidRPr="00824537">
        <w:rPr>
          <w:rFonts w:eastAsiaTheme="minorEastAsia"/>
          <w:sz w:val="22"/>
          <w:szCs w:val="22"/>
          <w:u w:val="single"/>
          <w:lang w:eastAsia="zh-CN"/>
        </w:rPr>
        <w:t>Reações alérgicas</w:t>
      </w:r>
    </w:p>
    <w:p w14:paraId="5DD541D1" w14:textId="77777777" w:rsidR="008D13F4" w:rsidRPr="008912CF" w:rsidRDefault="008D13F4" w:rsidP="008D13F4"/>
    <w:p w14:paraId="594ADB32" w14:textId="77777777" w:rsidR="008D13F4" w:rsidRPr="008912CF" w:rsidRDefault="00615769" w:rsidP="008D13F4">
      <w:pPr>
        <w:numPr>
          <w:ilvl w:val="0"/>
          <w:numId w:val="15"/>
        </w:numPr>
        <w:rPr>
          <w:sz w:val="22"/>
          <w:szCs w:val="22"/>
        </w:rPr>
      </w:pPr>
      <w:r w:rsidRPr="008912CF">
        <w:rPr>
          <w:sz w:val="22"/>
          <w:szCs w:val="22"/>
        </w:rPr>
        <w:t>Se tiver reações alérgicas com sintomas, tais como dificuldade em respirar, respiração ofegante, tonturas, inchaço ou pele irritada, interrompa a administração de Humira e contacte imediatamente o seu médico</w:t>
      </w:r>
      <w:r>
        <w:rPr>
          <w:sz w:val="22"/>
          <w:szCs w:val="22"/>
        </w:rPr>
        <w:t xml:space="preserve"> uma vez que, em casos raros, estas reações podem ser potencialmente fatais</w:t>
      </w:r>
      <w:r w:rsidRPr="008912CF">
        <w:rPr>
          <w:sz w:val="22"/>
          <w:szCs w:val="22"/>
        </w:rPr>
        <w:t>.</w:t>
      </w:r>
    </w:p>
    <w:p w14:paraId="27C7F910" w14:textId="77777777" w:rsidR="008D13F4" w:rsidRDefault="008D13F4" w:rsidP="008D13F4">
      <w:pPr>
        <w:pStyle w:val="EndnoteText"/>
        <w:tabs>
          <w:tab w:val="clear" w:pos="567"/>
        </w:tabs>
        <w:rPr>
          <w:szCs w:val="22"/>
        </w:rPr>
      </w:pPr>
    </w:p>
    <w:p w14:paraId="3DAAA3DE" w14:textId="77777777" w:rsidR="008D13F4" w:rsidRPr="00824537" w:rsidRDefault="00615769" w:rsidP="008D13F4">
      <w:pPr>
        <w:rPr>
          <w:szCs w:val="22"/>
          <w:u w:val="single"/>
        </w:rPr>
      </w:pPr>
      <w:r w:rsidRPr="00824537">
        <w:rPr>
          <w:sz w:val="22"/>
          <w:szCs w:val="22"/>
          <w:u w:val="single"/>
        </w:rPr>
        <w:t>Infeções</w:t>
      </w:r>
    </w:p>
    <w:p w14:paraId="565D594F" w14:textId="77777777" w:rsidR="008D13F4" w:rsidRPr="00F9650A" w:rsidRDefault="008D13F4" w:rsidP="008D13F4">
      <w:pPr>
        <w:rPr>
          <w:szCs w:val="22"/>
        </w:rPr>
      </w:pPr>
    </w:p>
    <w:p w14:paraId="5638077C" w14:textId="77777777" w:rsidR="008D13F4" w:rsidRPr="008912CF" w:rsidRDefault="00615769" w:rsidP="008D13F4">
      <w:pPr>
        <w:numPr>
          <w:ilvl w:val="0"/>
          <w:numId w:val="15"/>
        </w:numPr>
        <w:rPr>
          <w:sz w:val="22"/>
          <w:szCs w:val="22"/>
        </w:rPr>
      </w:pPr>
      <w:r w:rsidRPr="008912CF">
        <w:rPr>
          <w:sz w:val="22"/>
          <w:szCs w:val="22"/>
        </w:rPr>
        <w:t xml:space="preserve">Se tiver uma infeção, incluindo uma infeção crónica ou </w:t>
      </w:r>
      <w:r>
        <w:rPr>
          <w:sz w:val="22"/>
          <w:szCs w:val="22"/>
        </w:rPr>
        <w:t>uma infeção em qualquer parte do seu corpo</w:t>
      </w:r>
      <w:r w:rsidRPr="008912CF">
        <w:rPr>
          <w:sz w:val="22"/>
          <w:szCs w:val="22"/>
        </w:rPr>
        <w:t xml:space="preserve"> (por exemplo, úlcera da perna) informe o seu médico antes de iniciar o tratamento com Humira. Se tiver quaisquer dúvidas, deve contactar o seu médico. </w:t>
      </w:r>
    </w:p>
    <w:p w14:paraId="3E840D71" w14:textId="77777777" w:rsidR="008D13F4" w:rsidRPr="008912CF" w:rsidRDefault="008D13F4" w:rsidP="008D13F4">
      <w:pPr>
        <w:tabs>
          <w:tab w:val="num" w:pos="567"/>
        </w:tabs>
        <w:ind w:left="567" w:hanging="567"/>
        <w:rPr>
          <w:sz w:val="22"/>
          <w:szCs w:val="22"/>
        </w:rPr>
      </w:pPr>
    </w:p>
    <w:p w14:paraId="6B048961" w14:textId="77777777" w:rsidR="008D13F4" w:rsidRDefault="00615769" w:rsidP="008D13F4">
      <w:pPr>
        <w:pStyle w:val="EMEABullet"/>
        <w:numPr>
          <w:ilvl w:val="1"/>
          <w:numId w:val="41"/>
        </w:numPr>
        <w:suppressAutoHyphens w:val="0"/>
        <w:rPr>
          <w:szCs w:val="22"/>
          <w:lang w:val="pt-PT"/>
        </w:rPr>
      </w:pPr>
      <w:r w:rsidRPr="008912CF">
        <w:rPr>
          <w:szCs w:val="22"/>
          <w:lang w:val="pt-PT"/>
        </w:rPr>
        <w:t xml:space="preserve">Pode contrair mais facilmente infeções enquanto estiver a ser tratado com Humira. Este risco pode aumentar se </w:t>
      </w:r>
      <w:r w:rsidR="00FE0AD3" w:rsidRPr="00FE0AD3">
        <w:rPr>
          <w:szCs w:val="22"/>
          <w:lang w:val="pt-PT"/>
        </w:rPr>
        <w:t>se a sua função pulmonar estiver diminuída</w:t>
      </w:r>
      <w:r w:rsidRPr="008912CF">
        <w:rPr>
          <w:szCs w:val="22"/>
          <w:lang w:val="pt-PT"/>
        </w:rPr>
        <w:t xml:space="preserve">. Estas infeções podem ser graves e </w:t>
      </w:r>
      <w:r>
        <w:rPr>
          <w:szCs w:val="22"/>
          <w:lang w:val="pt-PT"/>
        </w:rPr>
        <w:t>incluem:</w:t>
      </w:r>
    </w:p>
    <w:p w14:paraId="28174C92" w14:textId="77777777" w:rsidR="008D13F4" w:rsidRDefault="00615769" w:rsidP="008D13F4">
      <w:pPr>
        <w:pStyle w:val="EMEABullet"/>
        <w:numPr>
          <w:ilvl w:val="1"/>
          <w:numId w:val="41"/>
        </w:numPr>
        <w:suppressAutoHyphens w:val="0"/>
        <w:ind w:firstLine="426"/>
        <w:rPr>
          <w:szCs w:val="22"/>
          <w:lang w:val="pt-PT"/>
        </w:rPr>
      </w:pPr>
      <w:r w:rsidRPr="008912CF">
        <w:rPr>
          <w:szCs w:val="22"/>
          <w:lang w:val="pt-PT"/>
        </w:rPr>
        <w:t>tuberculose</w:t>
      </w:r>
    </w:p>
    <w:p w14:paraId="20E13A1C" w14:textId="77777777" w:rsidR="008D13F4" w:rsidRDefault="00615769" w:rsidP="008D13F4">
      <w:pPr>
        <w:pStyle w:val="EMEABullet"/>
        <w:numPr>
          <w:ilvl w:val="1"/>
          <w:numId w:val="41"/>
        </w:numPr>
        <w:suppressAutoHyphens w:val="0"/>
        <w:ind w:firstLine="426"/>
        <w:rPr>
          <w:szCs w:val="22"/>
          <w:lang w:val="pt-PT"/>
        </w:rPr>
      </w:pPr>
      <w:r w:rsidRPr="008912CF">
        <w:rPr>
          <w:szCs w:val="22"/>
          <w:lang w:val="pt-PT"/>
        </w:rPr>
        <w:t>infeções causadas por vírus, fungos, parasitas ou bactérias</w:t>
      </w:r>
    </w:p>
    <w:p w14:paraId="7B7EF911" w14:textId="77777777" w:rsidR="008D13F4" w:rsidRDefault="00615769" w:rsidP="008D13F4">
      <w:pPr>
        <w:pStyle w:val="EMEABullet"/>
        <w:numPr>
          <w:ilvl w:val="1"/>
          <w:numId w:val="41"/>
        </w:numPr>
        <w:suppressAutoHyphens w:val="0"/>
        <w:ind w:firstLine="426"/>
        <w:rPr>
          <w:szCs w:val="22"/>
          <w:lang w:val="pt-PT"/>
        </w:rPr>
      </w:pPr>
      <w:r w:rsidRPr="00824537">
        <w:rPr>
          <w:rFonts w:eastAsiaTheme="minorEastAsia"/>
          <w:szCs w:val="22"/>
          <w:lang w:val="pt-PT" w:eastAsia="zh-CN"/>
        </w:rPr>
        <w:t>infeção grave no sangue (</w:t>
      </w:r>
      <w:r w:rsidRPr="008912CF">
        <w:rPr>
          <w:szCs w:val="22"/>
          <w:lang w:val="pt-PT"/>
        </w:rPr>
        <w:t>sepsia</w:t>
      </w:r>
      <w:r>
        <w:rPr>
          <w:szCs w:val="22"/>
          <w:lang w:val="pt-PT"/>
        </w:rPr>
        <w:t>)</w:t>
      </w:r>
    </w:p>
    <w:p w14:paraId="51260A85" w14:textId="77777777" w:rsidR="008D13F4" w:rsidRDefault="008D13F4" w:rsidP="008D13F4">
      <w:pPr>
        <w:pStyle w:val="EMEABullet"/>
        <w:tabs>
          <w:tab w:val="clear" w:pos="567"/>
        </w:tabs>
        <w:suppressAutoHyphens w:val="0"/>
        <w:ind w:left="0" w:firstLine="0"/>
        <w:rPr>
          <w:szCs w:val="22"/>
          <w:lang w:val="pt-PT"/>
        </w:rPr>
      </w:pPr>
    </w:p>
    <w:p w14:paraId="3B6E6835" w14:textId="77777777" w:rsidR="008D13F4" w:rsidRPr="008912CF" w:rsidRDefault="00615769" w:rsidP="008D13F4">
      <w:pPr>
        <w:pStyle w:val="EMEABullet"/>
        <w:tabs>
          <w:tab w:val="clear" w:pos="567"/>
        </w:tabs>
        <w:suppressAutoHyphens w:val="0"/>
        <w:ind w:firstLine="0"/>
        <w:rPr>
          <w:szCs w:val="22"/>
          <w:lang w:val="pt-PT"/>
        </w:rPr>
      </w:pPr>
      <w:r>
        <w:rPr>
          <w:szCs w:val="22"/>
          <w:lang w:val="pt-PT"/>
        </w:rPr>
        <w:t>E</w:t>
      </w:r>
      <w:r w:rsidRPr="008912CF">
        <w:rPr>
          <w:szCs w:val="22"/>
          <w:lang w:val="pt-PT"/>
        </w:rPr>
        <w:t xml:space="preserve">m casos raros, </w:t>
      </w:r>
      <w:r>
        <w:rPr>
          <w:szCs w:val="22"/>
          <w:lang w:val="pt-PT"/>
        </w:rPr>
        <w:t xml:space="preserve">estas infeções podem </w:t>
      </w:r>
      <w:r w:rsidRPr="008912CF">
        <w:rPr>
          <w:szCs w:val="22"/>
          <w:lang w:val="pt-PT"/>
        </w:rPr>
        <w:t xml:space="preserve">pôr a vida em risco. Deve informar o seu médico se tiver sintomas, tais como febre, feridas, sensação de cansaço ou problemas dentários. O seu médico pode aconselhar a </w:t>
      </w:r>
      <w:r w:rsidR="00720C9C">
        <w:rPr>
          <w:szCs w:val="22"/>
          <w:lang w:val="pt-PT"/>
        </w:rPr>
        <w:t xml:space="preserve">suspensão temporária de </w:t>
      </w:r>
      <w:r w:rsidRPr="008912CF">
        <w:rPr>
          <w:szCs w:val="22"/>
          <w:lang w:val="pt-PT"/>
        </w:rPr>
        <w:t>Humira.</w:t>
      </w:r>
    </w:p>
    <w:p w14:paraId="15A09592" w14:textId="77777777" w:rsidR="008D13F4" w:rsidRPr="008912CF" w:rsidRDefault="008D13F4" w:rsidP="008D13F4">
      <w:pPr>
        <w:rPr>
          <w:sz w:val="22"/>
          <w:szCs w:val="22"/>
        </w:rPr>
      </w:pPr>
    </w:p>
    <w:p w14:paraId="4C96AD1F" w14:textId="77777777" w:rsidR="008D13F4" w:rsidRPr="00824537" w:rsidRDefault="00615769" w:rsidP="008D13F4">
      <w:pPr>
        <w:pStyle w:val="EMEABullet"/>
        <w:numPr>
          <w:ilvl w:val="1"/>
          <w:numId w:val="41"/>
        </w:numPr>
        <w:rPr>
          <w:szCs w:val="22"/>
          <w:lang w:val="pt-PT"/>
        </w:rPr>
      </w:pPr>
      <w:r w:rsidRPr="00824537">
        <w:rPr>
          <w:szCs w:val="22"/>
          <w:lang w:val="pt-PT"/>
        </w:rPr>
        <w:t>Informe o seu médico se reside ou viaja em regiões nas quais as infeções fúngicas (por exemplo</w:t>
      </w:r>
    </w:p>
    <w:p w14:paraId="4B7C691C" w14:textId="77777777" w:rsidR="008D13F4" w:rsidRDefault="00615769" w:rsidP="008D13F4">
      <w:pPr>
        <w:pStyle w:val="EMEABullet"/>
        <w:tabs>
          <w:tab w:val="left" w:pos="567"/>
        </w:tabs>
        <w:ind w:left="0" w:firstLine="0"/>
        <w:rPr>
          <w:szCs w:val="22"/>
          <w:lang w:val="pt-PT"/>
        </w:rPr>
      </w:pPr>
      <w:r>
        <w:rPr>
          <w:szCs w:val="22"/>
          <w:lang w:val="pt-PT"/>
        </w:rPr>
        <w:tab/>
      </w:r>
      <w:r w:rsidRPr="00824537">
        <w:rPr>
          <w:szCs w:val="22"/>
          <w:lang w:val="pt-PT"/>
        </w:rPr>
        <w:t>histoplasmose, coccidioidomicose ou blastomicose) são muito frequentes.</w:t>
      </w:r>
    </w:p>
    <w:p w14:paraId="7ED931C2" w14:textId="77777777" w:rsidR="008D13F4" w:rsidRPr="00824537" w:rsidRDefault="008D13F4" w:rsidP="008D13F4">
      <w:pPr>
        <w:pStyle w:val="EMEABullet"/>
        <w:tabs>
          <w:tab w:val="left" w:pos="567"/>
        </w:tabs>
        <w:ind w:left="0" w:firstLine="0"/>
        <w:rPr>
          <w:szCs w:val="22"/>
          <w:lang w:val="pt-PT"/>
        </w:rPr>
      </w:pPr>
    </w:p>
    <w:p w14:paraId="6D56D077" w14:textId="77777777" w:rsidR="008D13F4" w:rsidRPr="00824537" w:rsidRDefault="00615769" w:rsidP="008D13F4">
      <w:pPr>
        <w:pStyle w:val="EMEABullet"/>
        <w:numPr>
          <w:ilvl w:val="1"/>
          <w:numId w:val="41"/>
        </w:numPr>
        <w:rPr>
          <w:szCs w:val="22"/>
          <w:lang w:val="pt-PT"/>
        </w:rPr>
      </w:pPr>
      <w:r w:rsidRPr="00824537">
        <w:rPr>
          <w:szCs w:val="22"/>
          <w:lang w:val="pt-PT"/>
        </w:rPr>
        <w:t>Informe o seu médico se já sofreu de infeções recorrentes ou quaisquer outros problemas que</w:t>
      </w:r>
    </w:p>
    <w:p w14:paraId="36886223" w14:textId="77777777" w:rsidR="008D13F4" w:rsidRDefault="00615769" w:rsidP="008D13F4">
      <w:pPr>
        <w:pStyle w:val="EMEABullet"/>
        <w:tabs>
          <w:tab w:val="left" w:pos="567"/>
        </w:tabs>
        <w:ind w:left="0" w:firstLine="0"/>
        <w:rPr>
          <w:szCs w:val="22"/>
          <w:lang w:val="pt-PT"/>
        </w:rPr>
      </w:pPr>
      <w:r>
        <w:rPr>
          <w:szCs w:val="22"/>
          <w:lang w:val="pt-PT"/>
        </w:rPr>
        <w:tab/>
      </w:r>
      <w:r w:rsidRPr="00824537">
        <w:rPr>
          <w:szCs w:val="22"/>
          <w:lang w:val="pt-PT"/>
        </w:rPr>
        <w:t>aumentem o risco de infeções.</w:t>
      </w:r>
    </w:p>
    <w:p w14:paraId="2929AAC3" w14:textId="77777777" w:rsidR="008D13F4" w:rsidRPr="00824537" w:rsidRDefault="008D13F4" w:rsidP="008D13F4">
      <w:pPr>
        <w:pStyle w:val="EMEABullet"/>
        <w:tabs>
          <w:tab w:val="left" w:pos="567"/>
        </w:tabs>
        <w:ind w:left="0" w:firstLine="0"/>
        <w:rPr>
          <w:szCs w:val="22"/>
          <w:lang w:val="pt-PT"/>
        </w:rPr>
      </w:pPr>
    </w:p>
    <w:p w14:paraId="3E88D0B5" w14:textId="77777777" w:rsidR="008D13F4" w:rsidRPr="00824537" w:rsidRDefault="00615769" w:rsidP="008D13F4">
      <w:pPr>
        <w:pStyle w:val="EMEABullet"/>
        <w:numPr>
          <w:ilvl w:val="1"/>
          <w:numId w:val="41"/>
        </w:numPr>
        <w:rPr>
          <w:szCs w:val="22"/>
          <w:lang w:val="pt-PT"/>
        </w:rPr>
      </w:pPr>
      <w:r w:rsidRPr="00824537">
        <w:rPr>
          <w:szCs w:val="22"/>
          <w:lang w:val="pt-PT"/>
        </w:rPr>
        <w:t>Se tem mais de 65 anos pode estar mais suscetível a infeções enquanto estiver a ser tratado com</w:t>
      </w:r>
    </w:p>
    <w:p w14:paraId="21BB8FBD" w14:textId="77777777" w:rsidR="008D13F4" w:rsidRPr="00824537" w:rsidRDefault="00615769" w:rsidP="008D13F4">
      <w:pPr>
        <w:pStyle w:val="EMEABullet"/>
        <w:tabs>
          <w:tab w:val="left" w:pos="567"/>
        </w:tabs>
        <w:ind w:left="0" w:firstLine="0"/>
        <w:rPr>
          <w:szCs w:val="22"/>
          <w:lang w:val="pt-PT"/>
        </w:rPr>
      </w:pPr>
      <w:r>
        <w:rPr>
          <w:szCs w:val="22"/>
          <w:lang w:val="pt-PT"/>
        </w:rPr>
        <w:tab/>
      </w:r>
      <w:r w:rsidRPr="00824537">
        <w:rPr>
          <w:szCs w:val="22"/>
          <w:lang w:val="pt-PT"/>
        </w:rPr>
        <w:t>Humira. Em conjunto com o seu médico deve tomar especial atenção a sinais de infeção</w:t>
      </w:r>
      <w:r>
        <w:rPr>
          <w:szCs w:val="22"/>
          <w:lang w:val="pt-PT"/>
        </w:rPr>
        <w:t xml:space="preserve"> </w:t>
      </w:r>
    </w:p>
    <w:p w14:paraId="33861349" w14:textId="77777777" w:rsidR="008D13F4" w:rsidRPr="00824537" w:rsidRDefault="00615769" w:rsidP="008D13F4">
      <w:pPr>
        <w:pStyle w:val="EMEABullet"/>
        <w:tabs>
          <w:tab w:val="left" w:pos="567"/>
        </w:tabs>
        <w:ind w:left="0" w:firstLine="0"/>
        <w:rPr>
          <w:szCs w:val="22"/>
          <w:lang w:val="pt-PT"/>
        </w:rPr>
      </w:pPr>
      <w:r>
        <w:rPr>
          <w:szCs w:val="22"/>
          <w:lang w:val="pt-PT"/>
        </w:rPr>
        <w:tab/>
      </w:r>
      <w:r w:rsidRPr="00824537">
        <w:rPr>
          <w:szCs w:val="22"/>
          <w:lang w:val="pt-PT"/>
        </w:rPr>
        <w:t>enquanto estiver a ser tratado com Humira. É importante informar o seu médico se tiver</w:t>
      </w:r>
    </w:p>
    <w:p w14:paraId="399EB841" w14:textId="77777777" w:rsidR="008D13F4" w:rsidRDefault="00615769" w:rsidP="008D13F4">
      <w:pPr>
        <w:pStyle w:val="EMEABullet"/>
        <w:tabs>
          <w:tab w:val="left" w:pos="567"/>
        </w:tabs>
        <w:suppressAutoHyphens w:val="0"/>
        <w:ind w:left="0" w:firstLine="0"/>
        <w:rPr>
          <w:szCs w:val="22"/>
          <w:lang w:val="pt-PT"/>
        </w:rPr>
      </w:pPr>
      <w:r>
        <w:rPr>
          <w:szCs w:val="22"/>
          <w:lang w:val="pt-PT"/>
        </w:rPr>
        <w:tab/>
      </w:r>
      <w:r w:rsidRPr="00DC4853">
        <w:rPr>
          <w:szCs w:val="22"/>
          <w:lang w:val="pt-PT"/>
        </w:rPr>
        <w:t>sintomas de infeções, tais como febre, feridas, sensação de cansaço ou problemas dentários.</w:t>
      </w:r>
    </w:p>
    <w:p w14:paraId="190F5C33" w14:textId="77777777" w:rsidR="008D13F4" w:rsidRDefault="008D13F4" w:rsidP="008D13F4">
      <w:pPr>
        <w:pStyle w:val="EMEABullet"/>
        <w:tabs>
          <w:tab w:val="left" w:pos="567"/>
        </w:tabs>
        <w:suppressAutoHyphens w:val="0"/>
        <w:ind w:left="0" w:firstLine="0"/>
        <w:rPr>
          <w:szCs w:val="22"/>
          <w:lang w:val="pt-PT"/>
        </w:rPr>
      </w:pPr>
    </w:p>
    <w:p w14:paraId="7D50C80C" w14:textId="77777777" w:rsidR="008D13F4" w:rsidRDefault="00615769" w:rsidP="008D13F4">
      <w:pPr>
        <w:pStyle w:val="EMEABullet"/>
        <w:keepNext/>
        <w:tabs>
          <w:tab w:val="clear" w:pos="567"/>
          <w:tab w:val="left" w:pos="0"/>
        </w:tabs>
        <w:suppressAutoHyphens w:val="0"/>
        <w:ind w:left="0" w:firstLine="0"/>
        <w:rPr>
          <w:szCs w:val="22"/>
          <w:u w:val="single"/>
          <w:lang w:val="pt-PT"/>
        </w:rPr>
      </w:pPr>
      <w:r w:rsidRPr="00824537">
        <w:rPr>
          <w:szCs w:val="22"/>
          <w:u w:val="single"/>
          <w:lang w:val="pt-PT"/>
        </w:rPr>
        <w:t>Tuberculose</w:t>
      </w:r>
    </w:p>
    <w:p w14:paraId="1F17650E" w14:textId="77777777" w:rsidR="008D13F4" w:rsidRDefault="008D13F4" w:rsidP="008D13F4">
      <w:pPr>
        <w:pStyle w:val="EMEABullet"/>
        <w:keepNext/>
        <w:tabs>
          <w:tab w:val="clear" w:pos="567"/>
          <w:tab w:val="left" w:pos="0"/>
        </w:tabs>
        <w:suppressAutoHyphens w:val="0"/>
        <w:ind w:left="0" w:firstLine="0"/>
        <w:rPr>
          <w:szCs w:val="22"/>
          <w:u w:val="single"/>
          <w:lang w:val="pt-PT"/>
        </w:rPr>
      </w:pPr>
    </w:p>
    <w:p w14:paraId="5F8C84C1" w14:textId="77777777" w:rsidR="008D13F4" w:rsidRPr="00824537" w:rsidRDefault="00615769" w:rsidP="008D13F4">
      <w:pPr>
        <w:pStyle w:val="ListParagraph"/>
        <w:keepNext/>
        <w:numPr>
          <w:ilvl w:val="1"/>
          <w:numId w:val="41"/>
        </w:numPr>
        <w:autoSpaceDE w:val="0"/>
        <w:autoSpaceDN w:val="0"/>
        <w:adjustRightInd w:val="0"/>
        <w:rPr>
          <w:rFonts w:eastAsia="SymbolMT"/>
          <w:sz w:val="22"/>
          <w:szCs w:val="22"/>
          <w:lang w:eastAsia="zh-CN"/>
        </w:rPr>
      </w:pPr>
      <w:r w:rsidRPr="00824537">
        <w:rPr>
          <w:rFonts w:eastAsia="SymbolMT"/>
          <w:sz w:val="22"/>
          <w:szCs w:val="22"/>
          <w:lang w:eastAsia="zh-CN"/>
        </w:rPr>
        <w:t>É muito importante que informe o seu médico se já sofreu de tuberculose ou se esteve em</w:t>
      </w:r>
    </w:p>
    <w:p w14:paraId="2CCDC292" w14:textId="77777777" w:rsidR="008D13F4" w:rsidRDefault="00615769" w:rsidP="008D13F4">
      <w:pPr>
        <w:keepNext/>
        <w:autoSpaceDE w:val="0"/>
        <w:autoSpaceDN w:val="0"/>
        <w:adjustRightInd w:val="0"/>
        <w:ind w:left="567"/>
        <w:rPr>
          <w:rFonts w:eastAsia="SymbolMT"/>
          <w:sz w:val="22"/>
          <w:szCs w:val="22"/>
          <w:lang w:eastAsia="zh-CN"/>
        </w:rPr>
      </w:pPr>
      <w:r>
        <w:rPr>
          <w:rFonts w:eastAsia="SymbolMT"/>
          <w:sz w:val="22"/>
          <w:szCs w:val="22"/>
          <w:lang w:eastAsia="zh-CN"/>
        </w:rPr>
        <w:t>contacto próximo com alguém que teve tuberculose. Não utilize Humira se tiver tuberculose</w:t>
      </w:r>
    </w:p>
    <w:p w14:paraId="6CAE2870" w14:textId="77777777" w:rsidR="008D13F4" w:rsidRPr="00824537" w:rsidRDefault="00615769" w:rsidP="008D13F4">
      <w:pPr>
        <w:pStyle w:val="EMEABullet"/>
        <w:keepNext/>
        <w:tabs>
          <w:tab w:val="left" w:pos="567"/>
        </w:tabs>
        <w:suppressAutoHyphens w:val="0"/>
        <w:rPr>
          <w:szCs w:val="22"/>
          <w:u w:val="single"/>
          <w:lang w:val="pt-PT"/>
        </w:rPr>
      </w:pPr>
      <w:r w:rsidRPr="0074724A">
        <w:rPr>
          <w:rFonts w:eastAsia="SymbolMT"/>
          <w:szCs w:val="22"/>
          <w:lang w:val="pt-PT" w:eastAsia="zh-CN"/>
        </w:rPr>
        <w:tab/>
      </w:r>
      <w:r>
        <w:rPr>
          <w:rFonts w:eastAsia="SymbolMT"/>
          <w:szCs w:val="22"/>
          <w:lang w:eastAsia="zh-CN"/>
        </w:rPr>
        <w:t>ativa.</w:t>
      </w:r>
    </w:p>
    <w:p w14:paraId="705242E0" w14:textId="77777777" w:rsidR="008D13F4" w:rsidRDefault="008D13F4" w:rsidP="008D13F4">
      <w:pPr>
        <w:pStyle w:val="EMEABullet"/>
        <w:tabs>
          <w:tab w:val="left" w:pos="567"/>
        </w:tabs>
        <w:suppressAutoHyphens w:val="0"/>
        <w:ind w:left="0" w:firstLine="0"/>
        <w:rPr>
          <w:szCs w:val="22"/>
          <w:lang w:val="pt-PT"/>
        </w:rPr>
      </w:pPr>
    </w:p>
    <w:p w14:paraId="1EDC84B0" w14:textId="77777777" w:rsidR="008D13F4" w:rsidRDefault="00615769" w:rsidP="008D13F4">
      <w:pPr>
        <w:pStyle w:val="EMEABullet"/>
        <w:numPr>
          <w:ilvl w:val="1"/>
          <w:numId w:val="41"/>
        </w:numPr>
        <w:tabs>
          <w:tab w:val="clear" w:pos="567"/>
          <w:tab w:val="num" w:pos="1418"/>
        </w:tabs>
        <w:suppressAutoHyphens w:val="0"/>
        <w:ind w:left="1418"/>
        <w:rPr>
          <w:szCs w:val="22"/>
          <w:lang w:val="pt-PT"/>
        </w:rPr>
      </w:pPr>
      <w:r w:rsidRPr="008912CF">
        <w:rPr>
          <w:szCs w:val="22"/>
          <w:lang w:val="pt-PT"/>
        </w:rPr>
        <w:t xml:space="preserve">Uma vez que foram notificados casos de tuberculose em doentes tratados com Humira, o seu médico irá avaliá-lo para despiste de sinais e sintomas de tuberculose antes de iniciar a terapêutica com Humira. Esta avaliação irá incluir uma história clínica pormenorizada e exames de despiste apropriados (por exemplo, uma radiografia do tórax e um teste de tuberculina). A realização e o resultado destes exames devem ser registados no </w:t>
      </w:r>
      <w:r w:rsidRPr="00824537">
        <w:rPr>
          <w:b/>
          <w:szCs w:val="22"/>
          <w:lang w:val="pt-PT"/>
        </w:rPr>
        <w:t>Cartão de Segurança do Doente</w:t>
      </w:r>
      <w:r w:rsidRPr="008912CF">
        <w:rPr>
          <w:szCs w:val="22"/>
          <w:lang w:val="pt-PT"/>
        </w:rPr>
        <w:t xml:space="preserve">.  </w:t>
      </w:r>
    </w:p>
    <w:p w14:paraId="0CDB0A6A" w14:textId="77777777" w:rsidR="008D13F4" w:rsidRDefault="00615769" w:rsidP="008D13F4">
      <w:pPr>
        <w:pStyle w:val="EMEABullet"/>
        <w:numPr>
          <w:ilvl w:val="1"/>
          <w:numId w:val="41"/>
        </w:numPr>
        <w:tabs>
          <w:tab w:val="clear" w:pos="567"/>
          <w:tab w:val="num" w:pos="1418"/>
        </w:tabs>
        <w:suppressAutoHyphens w:val="0"/>
        <w:ind w:left="1418"/>
        <w:rPr>
          <w:szCs w:val="22"/>
          <w:lang w:val="pt-PT"/>
        </w:rPr>
      </w:pPr>
      <w:r w:rsidRPr="008912CF">
        <w:rPr>
          <w:szCs w:val="22"/>
          <w:lang w:val="pt-PT"/>
        </w:rPr>
        <w:t xml:space="preserve">A tuberculose pode vir a manifestar-se durante o tratamento com Humira, ainda que tenha efetuado tratamento de profilaxia da tuberculose. </w:t>
      </w:r>
    </w:p>
    <w:p w14:paraId="4A2B3A02" w14:textId="77777777" w:rsidR="008D13F4" w:rsidRPr="008912CF" w:rsidRDefault="00615769" w:rsidP="008D13F4">
      <w:pPr>
        <w:pStyle w:val="EMEABullet"/>
        <w:numPr>
          <w:ilvl w:val="1"/>
          <w:numId w:val="41"/>
        </w:numPr>
        <w:tabs>
          <w:tab w:val="clear" w:pos="567"/>
          <w:tab w:val="num" w:pos="1418"/>
        </w:tabs>
        <w:suppressAutoHyphens w:val="0"/>
        <w:ind w:left="1418"/>
        <w:rPr>
          <w:szCs w:val="22"/>
          <w:lang w:val="pt-PT"/>
        </w:rPr>
      </w:pPr>
      <w:r w:rsidRPr="008912CF">
        <w:rPr>
          <w:szCs w:val="22"/>
          <w:lang w:val="pt-PT"/>
        </w:rPr>
        <w:t>Se surgirem sintomas de tuberculose (</w:t>
      </w:r>
      <w:r>
        <w:rPr>
          <w:szCs w:val="22"/>
          <w:lang w:val="pt-PT"/>
        </w:rPr>
        <w:t xml:space="preserve">por exemplo, </w:t>
      </w:r>
      <w:r w:rsidRPr="008912CF">
        <w:rPr>
          <w:szCs w:val="22"/>
          <w:lang w:val="pt-PT"/>
        </w:rPr>
        <w:t xml:space="preserve">tosse </w:t>
      </w:r>
      <w:r>
        <w:rPr>
          <w:szCs w:val="22"/>
          <w:lang w:val="pt-PT"/>
        </w:rPr>
        <w:t>que não desaparece</w:t>
      </w:r>
      <w:r w:rsidRPr="008912CF">
        <w:rPr>
          <w:szCs w:val="22"/>
          <w:lang w:val="pt-PT"/>
        </w:rPr>
        <w:t xml:space="preserve">, perda de peso, </w:t>
      </w:r>
      <w:r>
        <w:rPr>
          <w:szCs w:val="22"/>
          <w:lang w:val="pt-PT"/>
        </w:rPr>
        <w:t>falta de energia</w:t>
      </w:r>
      <w:r w:rsidRPr="008912CF">
        <w:rPr>
          <w:szCs w:val="22"/>
          <w:lang w:val="pt-PT"/>
        </w:rPr>
        <w:t>, febre ligeira) ou qualquer outra infeção durante ou após o tratamento, informe imediatamente o seu médico.</w:t>
      </w:r>
    </w:p>
    <w:p w14:paraId="775D2CB9" w14:textId="77777777" w:rsidR="008D13F4" w:rsidRDefault="008D13F4" w:rsidP="008D13F4">
      <w:pPr>
        <w:pStyle w:val="EndnoteText"/>
        <w:tabs>
          <w:tab w:val="clear" w:pos="567"/>
        </w:tabs>
        <w:rPr>
          <w:szCs w:val="22"/>
        </w:rPr>
      </w:pPr>
    </w:p>
    <w:p w14:paraId="4C89B8C8" w14:textId="77777777" w:rsidR="008D13F4" w:rsidRPr="00824537" w:rsidRDefault="00615769" w:rsidP="008D13F4">
      <w:pPr>
        <w:rPr>
          <w:szCs w:val="22"/>
          <w:u w:val="single"/>
        </w:rPr>
      </w:pPr>
      <w:r w:rsidRPr="00824537">
        <w:rPr>
          <w:sz w:val="22"/>
          <w:szCs w:val="22"/>
          <w:u w:val="single"/>
        </w:rPr>
        <w:t>Hepatite B</w:t>
      </w:r>
    </w:p>
    <w:p w14:paraId="5A82A8FF" w14:textId="77777777" w:rsidR="008D13F4" w:rsidRPr="00824537" w:rsidRDefault="008D13F4" w:rsidP="008D13F4"/>
    <w:p w14:paraId="619A1E65" w14:textId="77777777" w:rsidR="008D13F4" w:rsidRDefault="00615769" w:rsidP="008D13F4">
      <w:pPr>
        <w:numPr>
          <w:ilvl w:val="2"/>
          <w:numId w:val="41"/>
        </w:numPr>
        <w:rPr>
          <w:sz w:val="22"/>
          <w:szCs w:val="22"/>
        </w:rPr>
      </w:pPr>
      <w:r w:rsidRPr="008912CF">
        <w:rPr>
          <w:sz w:val="22"/>
          <w:szCs w:val="22"/>
        </w:rPr>
        <w:t xml:space="preserve">Informe o seu médico se é um portador do vírus da Hepatite B (HBV), se tem o vírus HBV ativo ou se pensa que pode estar em risco de </w:t>
      </w:r>
      <w:r w:rsidR="00720C9C">
        <w:rPr>
          <w:sz w:val="22"/>
          <w:szCs w:val="22"/>
        </w:rPr>
        <w:t>contrair</w:t>
      </w:r>
      <w:r w:rsidRPr="008912CF">
        <w:rPr>
          <w:sz w:val="22"/>
          <w:szCs w:val="22"/>
        </w:rPr>
        <w:t xml:space="preserve"> HBV. </w:t>
      </w:r>
    </w:p>
    <w:p w14:paraId="708CE7C6" w14:textId="77777777" w:rsidR="008D13F4" w:rsidRDefault="00615769" w:rsidP="008D13F4">
      <w:pPr>
        <w:numPr>
          <w:ilvl w:val="2"/>
          <w:numId w:val="41"/>
        </w:numPr>
        <w:ind w:left="1418"/>
        <w:rPr>
          <w:sz w:val="22"/>
          <w:szCs w:val="22"/>
        </w:rPr>
      </w:pPr>
      <w:r w:rsidRPr="008912CF">
        <w:rPr>
          <w:sz w:val="22"/>
          <w:szCs w:val="22"/>
        </w:rPr>
        <w:t xml:space="preserve">O seu médico deve avaliá-lo para determinar se tem HBV. </w:t>
      </w:r>
      <w:r>
        <w:rPr>
          <w:sz w:val="22"/>
          <w:szCs w:val="22"/>
        </w:rPr>
        <w:t>E</w:t>
      </w:r>
      <w:r w:rsidRPr="008912CF">
        <w:rPr>
          <w:sz w:val="22"/>
          <w:szCs w:val="22"/>
        </w:rPr>
        <w:t xml:space="preserve">m pessoas portadoras </w:t>
      </w:r>
      <w:r>
        <w:rPr>
          <w:sz w:val="22"/>
          <w:szCs w:val="22"/>
        </w:rPr>
        <w:t>de HBV,</w:t>
      </w:r>
      <w:r w:rsidRPr="008A6D3C">
        <w:rPr>
          <w:rFonts w:eastAsiaTheme="minorEastAsia"/>
          <w:sz w:val="22"/>
          <w:szCs w:val="22"/>
          <w:lang w:eastAsia="zh-CN"/>
        </w:rPr>
        <w:t xml:space="preserve"> </w:t>
      </w:r>
      <w:r>
        <w:rPr>
          <w:rFonts w:eastAsiaTheme="minorEastAsia"/>
          <w:sz w:val="22"/>
          <w:szCs w:val="22"/>
          <w:lang w:eastAsia="zh-CN"/>
        </w:rPr>
        <w:t xml:space="preserve">Humira pode levar a que o </w:t>
      </w:r>
      <w:r w:rsidRPr="008912CF">
        <w:rPr>
          <w:sz w:val="22"/>
          <w:szCs w:val="22"/>
        </w:rPr>
        <w:t>vírus</w:t>
      </w:r>
      <w:r>
        <w:rPr>
          <w:sz w:val="22"/>
          <w:szCs w:val="22"/>
        </w:rPr>
        <w:t xml:space="preserve"> fique de novo ativo</w:t>
      </w:r>
      <w:r w:rsidRPr="008912CF">
        <w:rPr>
          <w:sz w:val="22"/>
          <w:szCs w:val="22"/>
        </w:rPr>
        <w:t xml:space="preserve">. </w:t>
      </w:r>
    </w:p>
    <w:p w14:paraId="68A48406" w14:textId="77777777" w:rsidR="008D13F4" w:rsidRPr="008912CF" w:rsidRDefault="00615769" w:rsidP="008D13F4">
      <w:pPr>
        <w:numPr>
          <w:ilvl w:val="2"/>
          <w:numId w:val="41"/>
        </w:numPr>
        <w:ind w:left="1418"/>
        <w:rPr>
          <w:sz w:val="22"/>
          <w:szCs w:val="22"/>
        </w:rPr>
      </w:pPr>
      <w:r w:rsidRPr="008912CF">
        <w:rPr>
          <w:sz w:val="22"/>
          <w:szCs w:val="22"/>
        </w:rPr>
        <w:t>Em alguns casos</w:t>
      </w:r>
      <w:r w:rsidR="00BA1FF6">
        <w:rPr>
          <w:sz w:val="22"/>
          <w:szCs w:val="22"/>
        </w:rPr>
        <w:t xml:space="preserve"> raros</w:t>
      </w:r>
      <w:r w:rsidRPr="008912CF">
        <w:rPr>
          <w:sz w:val="22"/>
          <w:szCs w:val="22"/>
        </w:rPr>
        <w:t>, especialmente se tomar outros medicamentos que suprimem o sistema imunitário, a reativação de HBV pode pôr a sua vida em risco.</w:t>
      </w:r>
    </w:p>
    <w:p w14:paraId="0A69C601" w14:textId="77777777" w:rsidR="008D13F4" w:rsidRPr="008912CF" w:rsidRDefault="008D13F4" w:rsidP="008D13F4">
      <w:pPr>
        <w:pStyle w:val="EndnoteText"/>
        <w:tabs>
          <w:tab w:val="clear" w:pos="567"/>
        </w:tabs>
        <w:rPr>
          <w:szCs w:val="22"/>
        </w:rPr>
      </w:pPr>
    </w:p>
    <w:p w14:paraId="16DDD674" w14:textId="77777777" w:rsidR="008D13F4" w:rsidRPr="00824537" w:rsidRDefault="00615769" w:rsidP="008D13F4">
      <w:pPr>
        <w:tabs>
          <w:tab w:val="left" w:pos="0"/>
        </w:tabs>
        <w:rPr>
          <w:sz w:val="22"/>
          <w:szCs w:val="22"/>
          <w:u w:val="single"/>
        </w:rPr>
      </w:pPr>
      <w:r w:rsidRPr="00824537">
        <w:rPr>
          <w:rFonts w:eastAsiaTheme="minorEastAsia"/>
          <w:sz w:val="22"/>
          <w:szCs w:val="22"/>
          <w:u w:val="single"/>
          <w:lang w:eastAsia="zh-CN"/>
        </w:rPr>
        <w:t>Intervenção cirúrgica ou dentária</w:t>
      </w:r>
    </w:p>
    <w:p w14:paraId="5778DB8F" w14:textId="77777777" w:rsidR="008D13F4" w:rsidRDefault="008D13F4" w:rsidP="008D13F4">
      <w:pPr>
        <w:pStyle w:val="ListParagraph"/>
        <w:rPr>
          <w:sz w:val="22"/>
          <w:szCs w:val="22"/>
        </w:rPr>
      </w:pPr>
    </w:p>
    <w:p w14:paraId="528BD85C" w14:textId="77777777" w:rsidR="008D13F4" w:rsidRPr="008912CF" w:rsidRDefault="00615769" w:rsidP="008D13F4">
      <w:pPr>
        <w:numPr>
          <w:ilvl w:val="2"/>
          <w:numId w:val="41"/>
        </w:numPr>
        <w:rPr>
          <w:sz w:val="22"/>
          <w:szCs w:val="22"/>
        </w:rPr>
      </w:pPr>
      <w:r w:rsidRPr="008912CF">
        <w:rPr>
          <w:sz w:val="22"/>
          <w:szCs w:val="22"/>
        </w:rPr>
        <w:t xml:space="preserve">Se </w:t>
      </w:r>
      <w:r>
        <w:rPr>
          <w:sz w:val="22"/>
          <w:szCs w:val="22"/>
        </w:rPr>
        <w:t xml:space="preserve">está prestes a </w:t>
      </w:r>
      <w:r w:rsidRPr="008912CF">
        <w:rPr>
          <w:sz w:val="22"/>
          <w:szCs w:val="22"/>
        </w:rPr>
        <w:t>ser submetido a uma intervenção cirúrgica ou dentária, informe o seu médico que está a tomar Humira. O seu médico pode aconselhar a suspensão temporária de Humira.</w:t>
      </w:r>
    </w:p>
    <w:p w14:paraId="59F83256" w14:textId="77777777" w:rsidR="008D13F4" w:rsidRDefault="008D13F4" w:rsidP="008D13F4">
      <w:pPr>
        <w:rPr>
          <w:rFonts w:eastAsiaTheme="minorEastAsia"/>
          <w:sz w:val="22"/>
          <w:szCs w:val="22"/>
          <w:u w:val="single"/>
          <w:lang w:eastAsia="zh-CN"/>
        </w:rPr>
      </w:pPr>
    </w:p>
    <w:p w14:paraId="21B0032E" w14:textId="77777777" w:rsidR="008D13F4" w:rsidRPr="00824537" w:rsidRDefault="00615769" w:rsidP="008D13F4">
      <w:pPr>
        <w:rPr>
          <w:sz w:val="22"/>
          <w:szCs w:val="22"/>
          <w:u w:val="single"/>
        </w:rPr>
      </w:pPr>
      <w:r w:rsidRPr="00824537">
        <w:rPr>
          <w:rFonts w:eastAsiaTheme="minorEastAsia"/>
          <w:sz w:val="22"/>
          <w:szCs w:val="22"/>
          <w:u w:val="single"/>
          <w:lang w:eastAsia="zh-CN"/>
        </w:rPr>
        <w:t>Doença desmielinizante</w:t>
      </w:r>
    </w:p>
    <w:p w14:paraId="7876D1CD" w14:textId="77777777" w:rsidR="008D13F4" w:rsidRPr="008912CF" w:rsidRDefault="008D13F4" w:rsidP="008D13F4">
      <w:pPr>
        <w:rPr>
          <w:sz w:val="22"/>
          <w:szCs w:val="22"/>
        </w:rPr>
      </w:pPr>
    </w:p>
    <w:p w14:paraId="015B9A5D" w14:textId="77777777" w:rsidR="008D13F4" w:rsidRPr="008912CF" w:rsidRDefault="00615769" w:rsidP="008D13F4">
      <w:pPr>
        <w:numPr>
          <w:ilvl w:val="2"/>
          <w:numId w:val="41"/>
        </w:numPr>
        <w:rPr>
          <w:sz w:val="22"/>
          <w:szCs w:val="22"/>
        </w:rPr>
      </w:pPr>
      <w:r w:rsidRPr="008912CF">
        <w:rPr>
          <w:sz w:val="22"/>
          <w:szCs w:val="22"/>
        </w:rPr>
        <w:t>Se sofre</w:t>
      </w:r>
      <w:r>
        <w:rPr>
          <w:sz w:val="22"/>
          <w:szCs w:val="22"/>
        </w:rPr>
        <w:t xml:space="preserve"> ou vier a desenvolver uma</w:t>
      </w:r>
      <w:r w:rsidRPr="008912CF">
        <w:rPr>
          <w:sz w:val="22"/>
          <w:szCs w:val="22"/>
        </w:rPr>
        <w:t xml:space="preserve"> doença desmielinizante</w:t>
      </w:r>
      <w:r>
        <w:rPr>
          <w:sz w:val="22"/>
          <w:szCs w:val="22"/>
        </w:rPr>
        <w:t xml:space="preserve"> (uma doença que afeta a camada isolante à volta dos nervos,</w:t>
      </w:r>
      <w:r w:rsidRPr="008912CF">
        <w:rPr>
          <w:sz w:val="22"/>
          <w:szCs w:val="22"/>
        </w:rPr>
        <w:t xml:space="preserve"> tal como esclerose múltipla</w:t>
      </w:r>
      <w:r>
        <w:rPr>
          <w:sz w:val="22"/>
          <w:szCs w:val="22"/>
        </w:rPr>
        <w:t>)</w:t>
      </w:r>
      <w:r w:rsidRPr="008912CF">
        <w:rPr>
          <w:sz w:val="22"/>
          <w:szCs w:val="22"/>
        </w:rPr>
        <w:t xml:space="preserve">, o seu médico irá decidir se pode utilizar </w:t>
      </w:r>
      <w:r>
        <w:rPr>
          <w:sz w:val="22"/>
          <w:szCs w:val="22"/>
        </w:rPr>
        <w:t xml:space="preserve">ou continuar </w:t>
      </w:r>
      <w:r w:rsidR="00BA1FF6">
        <w:rPr>
          <w:sz w:val="22"/>
          <w:szCs w:val="22"/>
        </w:rPr>
        <w:t xml:space="preserve">a </w:t>
      </w:r>
      <w:r>
        <w:rPr>
          <w:sz w:val="22"/>
          <w:szCs w:val="22"/>
        </w:rPr>
        <w:t xml:space="preserve">utilizar </w:t>
      </w:r>
      <w:r w:rsidRPr="008912CF">
        <w:rPr>
          <w:sz w:val="22"/>
          <w:szCs w:val="22"/>
        </w:rPr>
        <w:t>Humira.</w:t>
      </w:r>
      <w:r>
        <w:rPr>
          <w:sz w:val="22"/>
          <w:szCs w:val="22"/>
        </w:rPr>
        <w:t xml:space="preserve"> </w:t>
      </w:r>
      <w:r w:rsidRPr="00D03949">
        <w:rPr>
          <w:sz w:val="22"/>
          <w:szCs w:val="22"/>
        </w:rPr>
        <w:t xml:space="preserve">Caso </w:t>
      </w:r>
      <w:r w:rsidR="00BA1FF6">
        <w:rPr>
          <w:sz w:val="22"/>
          <w:szCs w:val="22"/>
        </w:rPr>
        <w:t>desenvolva</w:t>
      </w:r>
      <w:r w:rsidRPr="00D03949">
        <w:rPr>
          <w:sz w:val="22"/>
          <w:szCs w:val="22"/>
        </w:rPr>
        <w:t xml:space="preserve"> sintomas, tais como alterações na visão, fraqueza nos braços ou pernas ou dormência ou formigueiro em qualquer parte do corpo, </w:t>
      </w:r>
      <w:r>
        <w:rPr>
          <w:sz w:val="22"/>
          <w:szCs w:val="22"/>
        </w:rPr>
        <w:t>informe imediatamente o</w:t>
      </w:r>
      <w:r w:rsidRPr="00D03949">
        <w:rPr>
          <w:sz w:val="22"/>
          <w:szCs w:val="22"/>
        </w:rPr>
        <w:t xml:space="preserve"> seu médico</w:t>
      </w:r>
      <w:r w:rsidR="00134325">
        <w:rPr>
          <w:sz w:val="22"/>
          <w:szCs w:val="22"/>
        </w:rPr>
        <w:t>.</w:t>
      </w:r>
    </w:p>
    <w:p w14:paraId="323DA30D" w14:textId="77777777" w:rsidR="008D13F4" w:rsidRDefault="008D13F4" w:rsidP="008D13F4">
      <w:pPr>
        <w:rPr>
          <w:sz w:val="22"/>
          <w:szCs w:val="22"/>
        </w:rPr>
      </w:pPr>
    </w:p>
    <w:p w14:paraId="01A4E539" w14:textId="77777777" w:rsidR="008D13F4" w:rsidRPr="00824537" w:rsidRDefault="00615769" w:rsidP="008D13F4">
      <w:pPr>
        <w:rPr>
          <w:sz w:val="22"/>
          <w:szCs w:val="22"/>
          <w:u w:val="single"/>
        </w:rPr>
      </w:pPr>
      <w:r w:rsidRPr="00824537">
        <w:rPr>
          <w:sz w:val="22"/>
          <w:szCs w:val="22"/>
          <w:u w:val="single"/>
        </w:rPr>
        <w:t>Vacinação</w:t>
      </w:r>
    </w:p>
    <w:p w14:paraId="2DFA5CDD" w14:textId="77777777" w:rsidR="008D13F4" w:rsidRPr="008912CF" w:rsidRDefault="008D13F4" w:rsidP="008D13F4">
      <w:pPr>
        <w:rPr>
          <w:sz w:val="22"/>
          <w:szCs w:val="22"/>
        </w:rPr>
      </w:pPr>
    </w:p>
    <w:p w14:paraId="78C95F5D" w14:textId="77777777" w:rsidR="008D13F4" w:rsidRDefault="00615769" w:rsidP="008D13F4">
      <w:pPr>
        <w:numPr>
          <w:ilvl w:val="2"/>
          <w:numId w:val="41"/>
        </w:numPr>
        <w:rPr>
          <w:sz w:val="22"/>
          <w:szCs w:val="22"/>
        </w:rPr>
      </w:pPr>
      <w:r w:rsidRPr="008912CF">
        <w:rPr>
          <w:sz w:val="22"/>
          <w:szCs w:val="22"/>
        </w:rPr>
        <w:t xml:space="preserve">Certas vacinas podem causar infeções e não devem ser administradas em conjunto com Humira. </w:t>
      </w:r>
    </w:p>
    <w:p w14:paraId="605C7502" w14:textId="77777777" w:rsidR="008D13F4" w:rsidRDefault="008D13F4" w:rsidP="008D13F4">
      <w:pPr>
        <w:rPr>
          <w:sz w:val="22"/>
          <w:szCs w:val="22"/>
        </w:rPr>
      </w:pPr>
    </w:p>
    <w:p w14:paraId="5601C23D" w14:textId="77777777" w:rsidR="008D13F4" w:rsidRDefault="00615769" w:rsidP="008D13F4">
      <w:pPr>
        <w:numPr>
          <w:ilvl w:val="2"/>
          <w:numId w:val="41"/>
        </w:numPr>
        <w:tabs>
          <w:tab w:val="clear" w:pos="567"/>
          <w:tab w:val="num" w:pos="1418"/>
        </w:tabs>
        <w:ind w:left="1418"/>
        <w:rPr>
          <w:sz w:val="22"/>
          <w:szCs w:val="22"/>
        </w:rPr>
      </w:pPr>
      <w:r w:rsidRPr="008912CF">
        <w:rPr>
          <w:sz w:val="22"/>
          <w:szCs w:val="22"/>
        </w:rPr>
        <w:t xml:space="preserve">Contacte o seu médico antes de receber qualquer vacina. </w:t>
      </w:r>
    </w:p>
    <w:p w14:paraId="1C85894F" w14:textId="77777777" w:rsidR="008D13F4" w:rsidRDefault="008D13F4" w:rsidP="008D13F4">
      <w:pPr>
        <w:pStyle w:val="ListParagraph"/>
        <w:tabs>
          <w:tab w:val="num" w:pos="1418"/>
        </w:tabs>
        <w:ind w:left="1418" w:hanging="567"/>
        <w:rPr>
          <w:sz w:val="22"/>
          <w:szCs w:val="22"/>
        </w:rPr>
      </w:pPr>
    </w:p>
    <w:p w14:paraId="49F16BCC" w14:textId="77777777" w:rsidR="008D13F4" w:rsidRDefault="00615769" w:rsidP="008D13F4">
      <w:pPr>
        <w:numPr>
          <w:ilvl w:val="2"/>
          <w:numId w:val="41"/>
        </w:numPr>
        <w:tabs>
          <w:tab w:val="clear" w:pos="567"/>
          <w:tab w:val="num" w:pos="1418"/>
        </w:tabs>
        <w:ind w:left="1418"/>
        <w:rPr>
          <w:sz w:val="22"/>
          <w:szCs w:val="22"/>
        </w:rPr>
      </w:pPr>
      <w:r w:rsidRPr="008912CF">
        <w:rPr>
          <w:sz w:val="22"/>
          <w:szCs w:val="22"/>
        </w:rPr>
        <w:t>Recomenda-se que as crianças, antes de iniciarem o tratamento com Humira, se possível</w:t>
      </w:r>
      <w:r>
        <w:rPr>
          <w:sz w:val="22"/>
          <w:szCs w:val="22"/>
        </w:rPr>
        <w:t>,</w:t>
      </w:r>
      <w:r w:rsidRPr="00D30971">
        <w:rPr>
          <w:sz w:val="22"/>
          <w:szCs w:val="22"/>
        </w:rPr>
        <w:t xml:space="preserve"> recebam todas as vacinas, de acordo com o atual plano de vacinação nacional.</w:t>
      </w:r>
      <w:r w:rsidRPr="008912CF">
        <w:rPr>
          <w:sz w:val="22"/>
          <w:szCs w:val="22"/>
        </w:rPr>
        <w:t xml:space="preserve"> </w:t>
      </w:r>
    </w:p>
    <w:p w14:paraId="4DC1519E" w14:textId="77777777" w:rsidR="008D13F4" w:rsidRDefault="008D13F4" w:rsidP="008D13F4">
      <w:pPr>
        <w:pStyle w:val="ListParagraph"/>
        <w:tabs>
          <w:tab w:val="num" w:pos="1418"/>
        </w:tabs>
        <w:ind w:left="1418" w:hanging="567"/>
        <w:rPr>
          <w:sz w:val="22"/>
          <w:szCs w:val="22"/>
        </w:rPr>
      </w:pPr>
    </w:p>
    <w:p w14:paraId="0C64F271" w14:textId="77777777" w:rsidR="008D13F4" w:rsidRPr="008912CF" w:rsidRDefault="00615769" w:rsidP="008D13F4">
      <w:pPr>
        <w:numPr>
          <w:ilvl w:val="2"/>
          <w:numId w:val="41"/>
        </w:numPr>
        <w:tabs>
          <w:tab w:val="clear" w:pos="567"/>
          <w:tab w:val="num" w:pos="1418"/>
        </w:tabs>
        <w:ind w:left="1418"/>
        <w:rPr>
          <w:sz w:val="22"/>
          <w:szCs w:val="22"/>
        </w:rPr>
      </w:pPr>
      <w:r w:rsidRPr="008912CF">
        <w:rPr>
          <w:sz w:val="22"/>
          <w:szCs w:val="22"/>
        </w:rPr>
        <w:t xml:space="preserve">Se utilizou Humira durante a gravidez, o seu bebé pode ter um risco superior de ter tais infeções até, aproximadamente, cinco meses após a última dose </w:t>
      </w:r>
      <w:r>
        <w:rPr>
          <w:sz w:val="22"/>
          <w:szCs w:val="22"/>
        </w:rPr>
        <w:t xml:space="preserve">de Humira </w:t>
      </w:r>
      <w:r w:rsidRPr="008912CF">
        <w:rPr>
          <w:sz w:val="22"/>
          <w:szCs w:val="22"/>
        </w:rPr>
        <w:t>que administrou durante a gravidez. É importante que diga ao médico do seu bebé e a outros profissionais de saúde que usou Humira durante a sua gravidez, para que estes possam decidir quando pode ser dada qualquer vacina ao seu bebé.</w:t>
      </w:r>
    </w:p>
    <w:p w14:paraId="17B59CF0" w14:textId="77777777" w:rsidR="008D13F4" w:rsidRDefault="008D13F4" w:rsidP="008D13F4">
      <w:pPr>
        <w:rPr>
          <w:sz w:val="22"/>
          <w:szCs w:val="22"/>
        </w:rPr>
      </w:pPr>
    </w:p>
    <w:p w14:paraId="2D526C65" w14:textId="77777777" w:rsidR="008D13F4" w:rsidRPr="00824537" w:rsidRDefault="00615769" w:rsidP="008D13F4">
      <w:pPr>
        <w:rPr>
          <w:sz w:val="22"/>
          <w:szCs w:val="22"/>
          <w:u w:val="single"/>
        </w:rPr>
      </w:pPr>
      <w:r w:rsidRPr="00824537">
        <w:rPr>
          <w:sz w:val="22"/>
          <w:szCs w:val="22"/>
          <w:u w:val="single"/>
        </w:rPr>
        <w:t>Insuficiência cardíaca</w:t>
      </w:r>
    </w:p>
    <w:p w14:paraId="4E1523ED" w14:textId="77777777" w:rsidR="008D13F4" w:rsidRPr="008912CF" w:rsidRDefault="008D13F4" w:rsidP="008D13F4">
      <w:pPr>
        <w:rPr>
          <w:sz w:val="22"/>
          <w:szCs w:val="22"/>
        </w:rPr>
      </w:pPr>
    </w:p>
    <w:p w14:paraId="1C100EA5" w14:textId="77777777" w:rsidR="008D13F4" w:rsidRPr="008912CF" w:rsidRDefault="00615769" w:rsidP="008D13F4">
      <w:pPr>
        <w:numPr>
          <w:ilvl w:val="0"/>
          <w:numId w:val="23"/>
        </w:numPr>
        <w:rPr>
          <w:sz w:val="22"/>
          <w:szCs w:val="22"/>
        </w:rPr>
      </w:pPr>
      <w:r w:rsidRPr="008912CF">
        <w:rPr>
          <w:sz w:val="22"/>
          <w:szCs w:val="22"/>
        </w:rPr>
        <w:t>Se sofre de insuficiência cardíaca ligeira e está a ser tratado com Humira, o estado da sua insuficiência cardíaca deve ser controlado cuidadosamente pelo seu médico. Deve informar o seu médico se sofre ou já sofreu de algum problema cardíaco grave. Caso se verifique desenvolvimento de novos sintomas ou agravamento dos sintomas de insuficiência cardíaca (por exemplo, falta de ar ou inchaço dos pés), deve contactar o seu médico imediatamente. O seu médico irá decidir se pode utilizar Humira.</w:t>
      </w:r>
    </w:p>
    <w:p w14:paraId="2F0E97B9" w14:textId="77777777" w:rsidR="008D13F4" w:rsidRDefault="008D13F4" w:rsidP="008D13F4">
      <w:pPr>
        <w:pStyle w:val="EndnoteText"/>
        <w:tabs>
          <w:tab w:val="clear" w:pos="567"/>
        </w:tabs>
        <w:rPr>
          <w:szCs w:val="22"/>
        </w:rPr>
      </w:pPr>
    </w:p>
    <w:p w14:paraId="5DDF6E7E" w14:textId="77777777" w:rsidR="008D13F4" w:rsidRPr="00824537" w:rsidRDefault="00615769" w:rsidP="008D13F4">
      <w:pPr>
        <w:rPr>
          <w:u w:val="single"/>
        </w:rPr>
      </w:pPr>
      <w:r w:rsidRPr="00824537">
        <w:rPr>
          <w:u w:val="single"/>
        </w:rPr>
        <w:t>Febre, nódoas negras, perdas de sangue ou aspeto pálido</w:t>
      </w:r>
    </w:p>
    <w:p w14:paraId="5F9ED341" w14:textId="77777777" w:rsidR="008D13F4" w:rsidRPr="00824537" w:rsidRDefault="008D13F4" w:rsidP="008D13F4"/>
    <w:p w14:paraId="6B1B4BA3" w14:textId="77777777" w:rsidR="008D13F4" w:rsidRPr="00824537" w:rsidRDefault="00615769" w:rsidP="008D13F4">
      <w:pPr>
        <w:keepNext/>
        <w:numPr>
          <w:ilvl w:val="0"/>
          <w:numId w:val="23"/>
        </w:numPr>
        <w:rPr>
          <w:sz w:val="22"/>
          <w:szCs w:val="22"/>
        </w:rPr>
      </w:pPr>
      <w:r w:rsidRPr="000D1418">
        <w:rPr>
          <w:sz w:val="22"/>
          <w:szCs w:val="22"/>
        </w:rPr>
        <w:t xml:space="preserve">Em alguns doentes o organismo pode ser incapaz de produzir suficientes células sanguíneas que combatam infeções ou ajudem a parar hemorragias. O seu médico pode decidir suspender o tratamento. Caso verifique febre que se mantenha, tiver nódoas negras ou perdas de sangue muito facilmente ou se apresentar um aspeto muito pálido, informe imediatamente o seu médico.  </w:t>
      </w:r>
    </w:p>
    <w:p w14:paraId="1131A30E" w14:textId="77777777" w:rsidR="008D13F4" w:rsidRDefault="008D13F4" w:rsidP="008D13F4">
      <w:pPr>
        <w:rPr>
          <w:sz w:val="22"/>
          <w:szCs w:val="22"/>
        </w:rPr>
      </w:pPr>
    </w:p>
    <w:p w14:paraId="384906DC" w14:textId="77777777" w:rsidR="008D13F4" w:rsidRPr="00824537" w:rsidRDefault="00615769" w:rsidP="008D13F4">
      <w:pPr>
        <w:rPr>
          <w:sz w:val="22"/>
          <w:szCs w:val="22"/>
          <w:u w:val="single"/>
        </w:rPr>
      </w:pPr>
      <w:r w:rsidRPr="00824537">
        <w:rPr>
          <w:sz w:val="22"/>
          <w:szCs w:val="22"/>
          <w:u w:val="single"/>
        </w:rPr>
        <w:t>Cancro</w:t>
      </w:r>
    </w:p>
    <w:p w14:paraId="6498F74B" w14:textId="77777777" w:rsidR="008D13F4" w:rsidRPr="008912CF" w:rsidRDefault="008D13F4" w:rsidP="008D13F4">
      <w:pPr>
        <w:rPr>
          <w:sz w:val="22"/>
          <w:szCs w:val="22"/>
        </w:rPr>
      </w:pPr>
    </w:p>
    <w:p w14:paraId="5B53DC20" w14:textId="77777777" w:rsidR="008D13F4" w:rsidRDefault="00615769" w:rsidP="008D13F4">
      <w:pPr>
        <w:numPr>
          <w:ilvl w:val="0"/>
          <w:numId w:val="23"/>
        </w:numPr>
        <w:rPr>
          <w:sz w:val="22"/>
          <w:szCs w:val="22"/>
        </w:rPr>
      </w:pPr>
      <w:r w:rsidRPr="008912CF">
        <w:rPr>
          <w:sz w:val="22"/>
          <w:szCs w:val="22"/>
        </w:rPr>
        <w:t>T</w:t>
      </w:r>
      <w:r w:rsidR="00B00E30">
        <w:rPr>
          <w:sz w:val="22"/>
          <w:szCs w:val="22"/>
        </w:rPr>
        <w:t>ê</w:t>
      </w:r>
      <w:r w:rsidRPr="008912CF">
        <w:rPr>
          <w:sz w:val="22"/>
          <w:szCs w:val="22"/>
        </w:rPr>
        <w:t>m ocorrido</w:t>
      </w:r>
      <w:r w:rsidR="00B00E30">
        <w:rPr>
          <w:sz w:val="22"/>
          <w:szCs w:val="22"/>
        </w:rPr>
        <w:t>,</w:t>
      </w:r>
      <w:r w:rsidRPr="008912CF">
        <w:rPr>
          <w:sz w:val="22"/>
          <w:szCs w:val="22"/>
        </w:rPr>
        <w:t xml:space="preserve"> em casos muito raros, certos tipos de cancro em crianças e adultos doentes tratados com Humira ou com outros antagonistas</w:t>
      </w:r>
      <w:r w:rsidRPr="008912CF">
        <w:rPr>
          <w:sz w:val="22"/>
          <w:szCs w:val="22"/>
        </w:rPr>
        <w:noBreakHyphen/>
        <w:t xml:space="preserve">TNF. </w:t>
      </w:r>
    </w:p>
    <w:p w14:paraId="3B309656" w14:textId="77777777" w:rsidR="008D13F4" w:rsidRDefault="008D13F4" w:rsidP="008D13F4">
      <w:pPr>
        <w:rPr>
          <w:sz w:val="22"/>
          <w:szCs w:val="22"/>
        </w:rPr>
      </w:pPr>
    </w:p>
    <w:p w14:paraId="52042B7F" w14:textId="77777777" w:rsidR="008D13F4" w:rsidRDefault="00615769" w:rsidP="008D13F4">
      <w:pPr>
        <w:numPr>
          <w:ilvl w:val="0"/>
          <w:numId w:val="23"/>
        </w:numPr>
        <w:tabs>
          <w:tab w:val="clear" w:pos="567"/>
          <w:tab w:val="num" w:pos="1418"/>
        </w:tabs>
        <w:ind w:left="1418"/>
        <w:rPr>
          <w:sz w:val="22"/>
          <w:szCs w:val="22"/>
        </w:rPr>
      </w:pPr>
      <w:r w:rsidRPr="008912CF">
        <w:rPr>
          <w:sz w:val="22"/>
          <w:szCs w:val="22"/>
        </w:rPr>
        <w:t>Doentes com artrite reumatoide muito grave que tenham doença prolongada podem ter um maior risco médio de aparecimento de linfoma (</w:t>
      </w:r>
      <w:r>
        <w:rPr>
          <w:sz w:val="22"/>
          <w:szCs w:val="22"/>
        </w:rPr>
        <w:t>um</w:t>
      </w:r>
      <w:r w:rsidRPr="008912CF">
        <w:rPr>
          <w:sz w:val="22"/>
          <w:szCs w:val="22"/>
        </w:rPr>
        <w:t xml:space="preserve"> cancro que afeta o sistema linfático) e leucemia (</w:t>
      </w:r>
      <w:r>
        <w:rPr>
          <w:sz w:val="22"/>
          <w:szCs w:val="22"/>
        </w:rPr>
        <w:t>um</w:t>
      </w:r>
      <w:r w:rsidRPr="008912CF">
        <w:rPr>
          <w:sz w:val="22"/>
          <w:szCs w:val="22"/>
        </w:rPr>
        <w:t xml:space="preserve"> cancro que afeta o sangue e medula óssea). </w:t>
      </w:r>
    </w:p>
    <w:p w14:paraId="05058134" w14:textId="77777777" w:rsidR="008D13F4" w:rsidRDefault="00615769" w:rsidP="008D13F4">
      <w:pPr>
        <w:numPr>
          <w:ilvl w:val="0"/>
          <w:numId w:val="23"/>
        </w:numPr>
        <w:tabs>
          <w:tab w:val="clear" w:pos="567"/>
          <w:tab w:val="num" w:pos="1418"/>
        </w:tabs>
        <w:ind w:left="1418"/>
        <w:rPr>
          <w:sz w:val="22"/>
          <w:szCs w:val="22"/>
        </w:rPr>
      </w:pPr>
      <w:r w:rsidRPr="008912CF">
        <w:rPr>
          <w:sz w:val="22"/>
          <w:szCs w:val="22"/>
        </w:rPr>
        <w:t xml:space="preserve">Se toma Humira o risco de ter linfoma, leucemia, ou outro tipo de cancro pode aumentar. Em raras ocasiões, em doentes tratados com Humira, foi </w:t>
      </w:r>
      <w:r w:rsidR="00712F4C">
        <w:rPr>
          <w:sz w:val="22"/>
          <w:szCs w:val="22"/>
        </w:rPr>
        <w:t>notific</w:t>
      </w:r>
      <w:r>
        <w:rPr>
          <w:sz w:val="22"/>
          <w:szCs w:val="22"/>
        </w:rPr>
        <w:t>ado</w:t>
      </w:r>
      <w:r w:rsidRPr="008912CF">
        <w:rPr>
          <w:sz w:val="22"/>
          <w:szCs w:val="22"/>
        </w:rPr>
        <w:t xml:space="preserve"> um tipo de linfoma </w:t>
      </w:r>
      <w:r>
        <w:rPr>
          <w:sz w:val="22"/>
          <w:szCs w:val="22"/>
        </w:rPr>
        <w:t>pouco frequente</w:t>
      </w:r>
      <w:r w:rsidRPr="008912CF">
        <w:rPr>
          <w:sz w:val="22"/>
          <w:szCs w:val="22"/>
        </w:rPr>
        <w:t xml:space="preserve"> e grave. Alguns destes doentes foram também tratados com azatioprina ou 6-mercaptopurina. </w:t>
      </w:r>
    </w:p>
    <w:p w14:paraId="3F3A681B" w14:textId="77777777" w:rsidR="008D13F4" w:rsidRDefault="00615769" w:rsidP="008D13F4">
      <w:pPr>
        <w:numPr>
          <w:ilvl w:val="0"/>
          <w:numId w:val="23"/>
        </w:numPr>
        <w:ind w:left="1418"/>
        <w:rPr>
          <w:sz w:val="22"/>
          <w:szCs w:val="22"/>
        </w:rPr>
      </w:pPr>
      <w:r w:rsidRPr="008912CF">
        <w:rPr>
          <w:sz w:val="22"/>
          <w:szCs w:val="22"/>
        </w:rPr>
        <w:t xml:space="preserve">Diga ao seu médico se está a tomar azatioprina ou 6-mercaptopurina com Humira </w:t>
      </w:r>
    </w:p>
    <w:p w14:paraId="3EB8A0D6" w14:textId="77777777" w:rsidR="008D13F4" w:rsidRDefault="00615769" w:rsidP="008D13F4">
      <w:pPr>
        <w:numPr>
          <w:ilvl w:val="0"/>
          <w:numId w:val="23"/>
        </w:numPr>
        <w:ind w:left="1418"/>
        <w:rPr>
          <w:sz w:val="22"/>
          <w:szCs w:val="22"/>
        </w:rPr>
      </w:pPr>
      <w:r>
        <w:rPr>
          <w:sz w:val="22"/>
          <w:szCs w:val="22"/>
        </w:rPr>
        <w:t>F</w:t>
      </w:r>
      <w:r w:rsidRPr="008912CF">
        <w:rPr>
          <w:sz w:val="22"/>
          <w:szCs w:val="22"/>
        </w:rPr>
        <w:t xml:space="preserve">oram observados casos de neoplasias cutâneas não-melanomas em doentes tratados com Humira. </w:t>
      </w:r>
    </w:p>
    <w:p w14:paraId="4BFF0117" w14:textId="77777777" w:rsidR="008D13F4" w:rsidRPr="008912CF" w:rsidRDefault="00615769" w:rsidP="008D13F4">
      <w:pPr>
        <w:numPr>
          <w:ilvl w:val="0"/>
          <w:numId w:val="23"/>
        </w:numPr>
        <w:tabs>
          <w:tab w:val="clear" w:pos="567"/>
          <w:tab w:val="num" w:pos="0"/>
        </w:tabs>
        <w:ind w:left="1418"/>
        <w:rPr>
          <w:sz w:val="22"/>
          <w:szCs w:val="22"/>
        </w:rPr>
      </w:pPr>
      <w:r w:rsidRPr="008912CF">
        <w:rPr>
          <w:sz w:val="22"/>
          <w:szCs w:val="22"/>
        </w:rPr>
        <w:t>Se aparecerem novas lesões de pele durante ou depois do tratamento, ou se existirem alterações no aspeto de lesões existentes, informe o seu médico.</w:t>
      </w:r>
    </w:p>
    <w:p w14:paraId="10D9B6E9" w14:textId="77777777" w:rsidR="008D13F4" w:rsidRPr="008912CF" w:rsidRDefault="008D13F4" w:rsidP="008D13F4">
      <w:pPr>
        <w:rPr>
          <w:sz w:val="22"/>
          <w:szCs w:val="22"/>
        </w:rPr>
      </w:pPr>
    </w:p>
    <w:p w14:paraId="0B4ABD2C" w14:textId="77777777" w:rsidR="008D13F4" w:rsidRDefault="00615769" w:rsidP="008D13F4">
      <w:pPr>
        <w:numPr>
          <w:ilvl w:val="0"/>
          <w:numId w:val="23"/>
        </w:numPr>
        <w:rPr>
          <w:sz w:val="22"/>
          <w:szCs w:val="22"/>
        </w:rPr>
      </w:pPr>
      <w:r w:rsidRPr="008912CF">
        <w:rPr>
          <w:sz w:val="22"/>
          <w:szCs w:val="22"/>
        </w:rPr>
        <w:t>Existem casos de cancros, para além de linfoma, em doentes com um tipo específico de doença pulmonar denominada Doença Pulmonar Obstrutiva Crónica (DPOC) tratados com outros antagonistas</w:t>
      </w:r>
      <w:r w:rsidRPr="008912CF">
        <w:rPr>
          <w:sz w:val="22"/>
          <w:szCs w:val="22"/>
        </w:rPr>
        <w:noBreakHyphen/>
        <w:t>TNF. Se tem DPOC, ou se fuma muito, deve falar com o seu médico para saber se o tratamento com um bloqueador</w:t>
      </w:r>
      <w:r w:rsidRPr="008912CF">
        <w:rPr>
          <w:sz w:val="22"/>
          <w:szCs w:val="22"/>
        </w:rPr>
        <w:noBreakHyphen/>
        <w:t>TNF é apropriado para si.</w:t>
      </w:r>
    </w:p>
    <w:p w14:paraId="4D48011F" w14:textId="77777777" w:rsidR="008D13F4" w:rsidRDefault="008D13F4" w:rsidP="008D13F4">
      <w:pPr>
        <w:pStyle w:val="ListParagraph"/>
        <w:ind w:hanging="720"/>
        <w:rPr>
          <w:sz w:val="22"/>
          <w:szCs w:val="22"/>
        </w:rPr>
      </w:pPr>
    </w:p>
    <w:p w14:paraId="5E5FEEAE" w14:textId="77777777" w:rsidR="008D13F4" w:rsidRPr="00824537" w:rsidRDefault="00615769" w:rsidP="008D13F4">
      <w:pPr>
        <w:pStyle w:val="ListParagraph"/>
        <w:ind w:hanging="720"/>
        <w:rPr>
          <w:sz w:val="22"/>
          <w:szCs w:val="22"/>
          <w:u w:val="single"/>
        </w:rPr>
      </w:pPr>
      <w:r w:rsidRPr="00824537">
        <w:rPr>
          <w:sz w:val="22"/>
          <w:szCs w:val="22"/>
          <w:u w:val="single"/>
        </w:rPr>
        <w:t>Doença autoimune</w:t>
      </w:r>
    </w:p>
    <w:p w14:paraId="2154830C" w14:textId="77777777" w:rsidR="008D13F4" w:rsidRDefault="008D13F4" w:rsidP="008D13F4">
      <w:pPr>
        <w:pStyle w:val="ListParagraph"/>
        <w:ind w:hanging="720"/>
        <w:rPr>
          <w:sz w:val="22"/>
          <w:szCs w:val="22"/>
        </w:rPr>
      </w:pPr>
    </w:p>
    <w:p w14:paraId="4234242C" w14:textId="77777777" w:rsidR="008D13F4" w:rsidRPr="00F071B0" w:rsidRDefault="00615769" w:rsidP="008D13F4">
      <w:pPr>
        <w:pStyle w:val="ListParagraph"/>
        <w:numPr>
          <w:ilvl w:val="0"/>
          <w:numId w:val="23"/>
        </w:numPr>
        <w:rPr>
          <w:sz w:val="22"/>
          <w:szCs w:val="22"/>
        </w:rPr>
      </w:pPr>
      <w:r w:rsidRPr="00F071B0">
        <w:rPr>
          <w:sz w:val="22"/>
          <w:szCs w:val="22"/>
        </w:rPr>
        <w:t xml:space="preserve">Em raras ocasiões, o tratamento com Humira pode dar origem a sintomas sugestivos de uma síndrome do tipo lúpus. Contacte o seu médico se ocorrerem sintomas tais como inesperada erupção cutânea persistente, febre, dor nas articulações ou cansaço. </w:t>
      </w:r>
    </w:p>
    <w:p w14:paraId="655C8A64" w14:textId="77777777" w:rsidR="008D13F4" w:rsidRPr="008912CF" w:rsidRDefault="008D13F4" w:rsidP="008D13F4">
      <w:pPr>
        <w:rPr>
          <w:sz w:val="22"/>
          <w:szCs w:val="22"/>
        </w:rPr>
      </w:pPr>
    </w:p>
    <w:p w14:paraId="2A361970" w14:textId="77777777" w:rsidR="008D13F4" w:rsidRPr="008912CF" w:rsidRDefault="00615769" w:rsidP="008D13F4">
      <w:pPr>
        <w:pStyle w:val="EMEAHeadingLeaflet"/>
        <w:spacing w:before="0" w:after="0"/>
        <w:rPr>
          <w:rFonts w:ascii="Times New Roman" w:hAnsi="Times New Roman"/>
          <w:szCs w:val="22"/>
          <w:lang w:val="pt-PT"/>
        </w:rPr>
      </w:pPr>
      <w:r w:rsidRPr="008912CF">
        <w:rPr>
          <w:rFonts w:ascii="Times New Roman" w:hAnsi="Times New Roman"/>
          <w:szCs w:val="22"/>
          <w:lang w:val="pt-PT"/>
        </w:rPr>
        <w:t>Crianças e adolescentes</w:t>
      </w:r>
    </w:p>
    <w:p w14:paraId="787AA1DE" w14:textId="77777777" w:rsidR="008D13F4" w:rsidRPr="008912CF" w:rsidRDefault="008D13F4" w:rsidP="008D13F4">
      <w:pPr>
        <w:pStyle w:val="EMEANormal"/>
        <w:rPr>
          <w:lang w:val="pt-PT"/>
        </w:rPr>
      </w:pPr>
    </w:p>
    <w:p w14:paraId="13A0CD18" w14:textId="77777777" w:rsidR="008D13F4" w:rsidRPr="008912CF" w:rsidRDefault="00615769" w:rsidP="008D13F4">
      <w:pPr>
        <w:pStyle w:val="EMEABullet2"/>
        <w:numPr>
          <w:ilvl w:val="0"/>
          <w:numId w:val="136"/>
        </w:numPr>
        <w:tabs>
          <w:tab w:val="clear" w:pos="567"/>
        </w:tabs>
        <w:ind w:left="567" w:hanging="567"/>
        <w:rPr>
          <w:szCs w:val="22"/>
          <w:lang w:val="pt-PT"/>
        </w:rPr>
      </w:pPr>
      <w:r w:rsidRPr="008912CF">
        <w:rPr>
          <w:szCs w:val="22"/>
          <w:lang w:val="pt-PT"/>
        </w:rPr>
        <w:t>Vacinação: se possível, antes de iniciar Humira, a sua criança deve ter todas as vacinas atualizadas</w:t>
      </w:r>
      <w:r w:rsidR="00134325">
        <w:rPr>
          <w:szCs w:val="22"/>
          <w:lang w:val="pt-PT"/>
        </w:rPr>
        <w:t>.</w:t>
      </w:r>
    </w:p>
    <w:p w14:paraId="1AE8C68C" w14:textId="77777777" w:rsidR="008D13F4" w:rsidRPr="0074724A" w:rsidRDefault="008D13F4" w:rsidP="008D13F4">
      <w:pPr>
        <w:pStyle w:val="EMEABullet2"/>
        <w:rPr>
          <w:b/>
          <w:bCs/>
          <w:szCs w:val="22"/>
          <w:lang w:val="pt-PT"/>
        </w:rPr>
      </w:pPr>
    </w:p>
    <w:p w14:paraId="6F159E81" w14:textId="77777777" w:rsidR="008D13F4" w:rsidRPr="008912CF" w:rsidRDefault="00615769" w:rsidP="008D13F4">
      <w:pPr>
        <w:rPr>
          <w:b/>
          <w:bCs/>
          <w:sz w:val="22"/>
          <w:szCs w:val="22"/>
        </w:rPr>
      </w:pPr>
      <w:r w:rsidRPr="008912CF">
        <w:rPr>
          <w:b/>
          <w:bCs/>
          <w:sz w:val="22"/>
          <w:szCs w:val="22"/>
        </w:rPr>
        <w:t>Outros medicamentos e Humira</w:t>
      </w:r>
    </w:p>
    <w:p w14:paraId="2B6EBD2A" w14:textId="77777777" w:rsidR="008D13F4" w:rsidRPr="008912CF" w:rsidRDefault="008D13F4" w:rsidP="008D13F4">
      <w:pPr>
        <w:rPr>
          <w:sz w:val="22"/>
          <w:szCs w:val="22"/>
        </w:rPr>
      </w:pPr>
    </w:p>
    <w:p w14:paraId="525BC94D" w14:textId="77777777" w:rsidR="008D13F4" w:rsidRPr="008912CF" w:rsidRDefault="00615769" w:rsidP="008D13F4">
      <w:pPr>
        <w:rPr>
          <w:sz w:val="22"/>
          <w:szCs w:val="22"/>
        </w:rPr>
      </w:pPr>
      <w:r w:rsidRPr="008912CF">
        <w:rPr>
          <w:sz w:val="22"/>
          <w:szCs w:val="22"/>
        </w:rPr>
        <w:t>Informe o</w:t>
      </w:r>
      <w:r w:rsidR="00082F0B">
        <w:rPr>
          <w:sz w:val="22"/>
          <w:szCs w:val="22"/>
        </w:rPr>
        <w:t xml:space="preserve"> seu</w:t>
      </w:r>
      <w:r w:rsidRPr="008912CF">
        <w:rPr>
          <w:sz w:val="22"/>
          <w:szCs w:val="22"/>
        </w:rPr>
        <w:t xml:space="preserve"> médico ou farmacêutico se estiver a tomar, tiver tomado recentemente, ou se vier a tomar outros medicamentos.</w:t>
      </w:r>
    </w:p>
    <w:p w14:paraId="26466F08" w14:textId="77777777" w:rsidR="008D13F4" w:rsidRDefault="008D13F4" w:rsidP="008D13F4">
      <w:pPr>
        <w:rPr>
          <w:sz w:val="22"/>
          <w:szCs w:val="22"/>
        </w:rPr>
      </w:pPr>
    </w:p>
    <w:p w14:paraId="771E5A7F" w14:textId="77777777" w:rsidR="008D13F4" w:rsidRPr="00854C93" w:rsidRDefault="00615769" w:rsidP="008D13F4">
      <w:pPr>
        <w:rPr>
          <w:sz w:val="22"/>
          <w:szCs w:val="22"/>
        </w:rPr>
      </w:pPr>
      <w:r>
        <w:rPr>
          <w:sz w:val="22"/>
          <w:szCs w:val="22"/>
        </w:rPr>
        <w:t>Devido ao risco aumentado de infeções graves, n</w:t>
      </w:r>
      <w:r w:rsidRPr="00854C93">
        <w:rPr>
          <w:sz w:val="22"/>
          <w:szCs w:val="22"/>
        </w:rPr>
        <w:t>ão deve tomar Humira com medicamentos contendo as substâncias ativas</w:t>
      </w:r>
      <w:r>
        <w:rPr>
          <w:sz w:val="22"/>
          <w:szCs w:val="22"/>
        </w:rPr>
        <w:t xml:space="preserve"> seguintes</w:t>
      </w:r>
      <w:r w:rsidRPr="00854C93">
        <w:rPr>
          <w:sz w:val="22"/>
          <w:szCs w:val="22"/>
        </w:rPr>
        <w:t>:</w:t>
      </w:r>
    </w:p>
    <w:p w14:paraId="6282BD1C" w14:textId="77777777" w:rsidR="008D13F4" w:rsidRPr="00854C93" w:rsidRDefault="00615769" w:rsidP="008D13F4">
      <w:pPr>
        <w:numPr>
          <w:ilvl w:val="0"/>
          <w:numId w:val="88"/>
        </w:numPr>
        <w:ind w:left="567" w:hanging="567"/>
        <w:rPr>
          <w:sz w:val="22"/>
          <w:szCs w:val="22"/>
        </w:rPr>
      </w:pPr>
      <w:r w:rsidRPr="00854C93">
        <w:rPr>
          <w:sz w:val="22"/>
          <w:szCs w:val="22"/>
        </w:rPr>
        <w:t>ana</w:t>
      </w:r>
      <w:r w:rsidR="00F7235D">
        <w:rPr>
          <w:sz w:val="22"/>
          <w:szCs w:val="22"/>
        </w:rPr>
        <w:t>c</w:t>
      </w:r>
      <w:r w:rsidRPr="00854C93">
        <w:rPr>
          <w:sz w:val="22"/>
          <w:szCs w:val="22"/>
        </w:rPr>
        <w:t>inra</w:t>
      </w:r>
    </w:p>
    <w:p w14:paraId="4C9DC87E" w14:textId="77777777" w:rsidR="008D13F4" w:rsidRPr="000B3FE3" w:rsidRDefault="00615769" w:rsidP="008D13F4">
      <w:pPr>
        <w:numPr>
          <w:ilvl w:val="0"/>
          <w:numId w:val="88"/>
        </w:numPr>
        <w:ind w:left="567" w:hanging="567"/>
        <w:rPr>
          <w:sz w:val="22"/>
          <w:szCs w:val="22"/>
        </w:rPr>
      </w:pPr>
      <w:r w:rsidRPr="0089156B">
        <w:rPr>
          <w:sz w:val="22"/>
          <w:szCs w:val="22"/>
        </w:rPr>
        <w:t>abatacept.</w:t>
      </w:r>
    </w:p>
    <w:p w14:paraId="5C216423" w14:textId="77777777" w:rsidR="008D13F4" w:rsidRPr="008912CF" w:rsidRDefault="008D13F4" w:rsidP="008D13F4">
      <w:pPr>
        <w:rPr>
          <w:sz w:val="22"/>
          <w:szCs w:val="22"/>
        </w:rPr>
      </w:pPr>
    </w:p>
    <w:p w14:paraId="080B6ECE" w14:textId="77777777" w:rsidR="008D13F4" w:rsidRDefault="00615769" w:rsidP="008D13F4">
      <w:pPr>
        <w:ind w:right="-2"/>
        <w:rPr>
          <w:sz w:val="22"/>
          <w:szCs w:val="22"/>
        </w:rPr>
      </w:pPr>
      <w:r w:rsidRPr="008912CF">
        <w:rPr>
          <w:sz w:val="22"/>
          <w:szCs w:val="22"/>
        </w:rPr>
        <w:t>Humira pode ser utilizado em conjunto com</w:t>
      </w:r>
      <w:r>
        <w:rPr>
          <w:sz w:val="22"/>
          <w:szCs w:val="22"/>
        </w:rPr>
        <w:t>:</w:t>
      </w:r>
    </w:p>
    <w:p w14:paraId="39A69161" w14:textId="77777777" w:rsidR="008D13F4" w:rsidRDefault="00615769" w:rsidP="008D13F4">
      <w:pPr>
        <w:pStyle w:val="ListParagraph"/>
        <w:numPr>
          <w:ilvl w:val="0"/>
          <w:numId w:val="23"/>
        </w:numPr>
        <w:ind w:right="-2"/>
        <w:rPr>
          <w:sz w:val="22"/>
          <w:szCs w:val="22"/>
        </w:rPr>
      </w:pPr>
      <w:r w:rsidRPr="00824537">
        <w:rPr>
          <w:sz w:val="22"/>
          <w:szCs w:val="22"/>
        </w:rPr>
        <w:t xml:space="preserve">metotrexato </w:t>
      </w:r>
    </w:p>
    <w:p w14:paraId="46240716" w14:textId="77777777" w:rsidR="008D13F4" w:rsidRDefault="00615769" w:rsidP="008D13F4">
      <w:pPr>
        <w:pStyle w:val="ListParagraph"/>
        <w:numPr>
          <w:ilvl w:val="0"/>
          <w:numId w:val="23"/>
        </w:numPr>
        <w:ind w:right="-2"/>
        <w:rPr>
          <w:sz w:val="22"/>
          <w:szCs w:val="22"/>
        </w:rPr>
      </w:pPr>
      <w:r w:rsidRPr="00824537">
        <w:rPr>
          <w:sz w:val="22"/>
          <w:szCs w:val="22"/>
        </w:rPr>
        <w:t>certos medicamentos anti</w:t>
      </w:r>
      <w:r w:rsidR="00F96DDF">
        <w:rPr>
          <w:sz w:val="22"/>
          <w:szCs w:val="22"/>
        </w:rPr>
        <w:t>-</w:t>
      </w:r>
      <w:r w:rsidRPr="00824537">
        <w:rPr>
          <w:sz w:val="22"/>
          <w:szCs w:val="22"/>
        </w:rPr>
        <w:t>reumatismais modificadores da doença (</w:t>
      </w:r>
      <w:r>
        <w:rPr>
          <w:sz w:val="22"/>
          <w:szCs w:val="22"/>
        </w:rPr>
        <w:t xml:space="preserve">por exemplo, </w:t>
      </w:r>
      <w:r w:rsidRPr="00824537">
        <w:rPr>
          <w:sz w:val="22"/>
          <w:szCs w:val="22"/>
        </w:rPr>
        <w:t>sulfassalazina, hidroxicloroquina, leflunomid</w:t>
      </w:r>
      <w:r w:rsidR="00082F0B">
        <w:rPr>
          <w:sz w:val="22"/>
          <w:szCs w:val="22"/>
        </w:rPr>
        <w:t>a</w:t>
      </w:r>
      <w:r w:rsidRPr="00824537">
        <w:rPr>
          <w:sz w:val="22"/>
          <w:szCs w:val="22"/>
        </w:rPr>
        <w:t xml:space="preserve"> e preparações injetáveis de sais de ouro) </w:t>
      </w:r>
    </w:p>
    <w:p w14:paraId="6F30B074" w14:textId="77777777" w:rsidR="008D13F4" w:rsidRPr="00824537" w:rsidRDefault="00615769" w:rsidP="008D13F4">
      <w:pPr>
        <w:pStyle w:val="ListParagraph"/>
        <w:numPr>
          <w:ilvl w:val="0"/>
          <w:numId w:val="23"/>
        </w:numPr>
        <w:ind w:right="-2"/>
        <w:rPr>
          <w:sz w:val="22"/>
          <w:szCs w:val="22"/>
        </w:rPr>
      </w:pPr>
      <w:r w:rsidRPr="00824537">
        <w:rPr>
          <w:sz w:val="22"/>
          <w:szCs w:val="22"/>
        </w:rPr>
        <w:t xml:space="preserve">corticosteroides ou medicamentos analgésicos, incluindo </w:t>
      </w:r>
      <w:r w:rsidR="003570FF">
        <w:rPr>
          <w:sz w:val="22"/>
          <w:szCs w:val="22"/>
        </w:rPr>
        <w:t>medicamentos</w:t>
      </w:r>
      <w:r w:rsidR="003570FF" w:rsidRPr="00824537">
        <w:rPr>
          <w:sz w:val="22"/>
          <w:szCs w:val="22"/>
        </w:rPr>
        <w:t xml:space="preserve"> </w:t>
      </w:r>
      <w:r w:rsidRPr="00824537">
        <w:rPr>
          <w:sz w:val="22"/>
          <w:szCs w:val="22"/>
        </w:rPr>
        <w:t>anti-inflamatórios não</w:t>
      </w:r>
      <w:r w:rsidR="003E5033">
        <w:rPr>
          <w:sz w:val="22"/>
          <w:szCs w:val="22"/>
        </w:rPr>
        <w:t xml:space="preserve"> </w:t>
      </w:r>
      <w:r w:rsidRPr="00824537">
        <w:rPr>
          <w:sz w:val="22"/>
          <w:szCs w:val="22"/>
        </w:rPr>
        <w:t>esteroides (AINEs).</w:t>
      </w:r>
    </w:p>
    <w:p w14:paraId="39EE4DB3" w14:textId="77777777" w:rsidR="008D13F4" w:rsidRPr="008912CF" w:rsidRDefault="008D13F4" w:rsidP="008D13F4">
      <w:pPr>
        <w:ind w:right="-2"/>
        <w:rPr>
          <w:sz w:val="22"/>
          <w:szCs w:val="22"/>
        </w:rPr>
      </w:pPr>
    </w:p>
    <w:p w14:paraId="062793BD" w14:textId="77777777" w:rsidR="008D13F4" w:rsidRPr="008912CF" w:rsidRDefault="00615769" w:rsidP="008D13F4">
      <w:pPr>
        <w:rPr>
          <w:sz w:val="22"/>
          <w:szCs w:val="22"/>
        </w:rPr>
      </w:pPr>
      <w:r w:rsidRPr="008912CF">
        <w:rPr>
          <w:sz w:val="22"/>
          <w:szCs w:val="22"/>
        </w:rPr>
        <w:t>Se tiver qualquer dúvida, por favor pergunte ao seu médico.</w:t>
      </w:r>
    </w:p>
    <w:p w14:paraId="375B669E" w14:textId="77777777" w:rsidR="008D13F4" w:rsidRPr="008912CF" w:rsidRDefault="008D13F4" w:rsidP="008D13F4">
      <w:pPr>
        <w:pStyle w:val="EndnoteText"/>
        <w:tabs>
          <w:tab w:val="clear" w:pos="567"/>
        </w:tabs>
        <w:rPr>
          <w:szCs w:val="22"/>
        </w:rPr>
      </w:pPr>
    </w:p>
    <w:p w14:paraId="487C94A3" w14:textId="77777777" w:rsidR="008D13F4" w:rsidRPr="008912CF" w:rsidRDefault="00615769" w:rsidP="008D13F4">
      <w:pPr>
        <w:keepNext/>
        <w:rPr>
          <w:b/>
          <w:sz w:val="22"/>
          <w:szCs w:val="22"/>
        </w:rPr>
      </w:pPr>
      <w:r w:rsidRPr="008912CF">
        <w:rPr>
          <w:b/>
          <w:sz w:val="22"/>
          <w:szCs w:val="22"/>
        </w:rPr>
        <w:t xml:space="preserve">Gravidez e amamentação </w:t>
      </w:r>
    </w:p>
    <w:p w14:paraId="6E5F17DD" w14:textId="77777777" w:rsidR="008D13F4" w:rsidRPr="008912CF" w:rsidRDefault="008D13F4" w:rsidP="008D13F4">
      <w:pPr>
        <w:keepNext/>
        <w:ind w:right="-2"/>
        <w:rPr>
          <w:bCs/>
          <w:sz w:val="22"/>
          <w:szCs w:val="22"/>
        </w:rPr>
      </w:pPr>
    </w:p>
    <w:p w14:paraId="512373A4" w14:textId="77777777" w:rsidR="00DD2C89" w:rsidRDefault="00615769" w:rsidP="009004E9">
      <w:pPr>
        <w:pStyle w:val="ListParagraph"/>
        <w:numPr>
          <w:ilvl w:val="0"/>
          <w:numId w:val="159"/>
        </w:numPr>
        <w:rPr>
          <w:sz w:val="22"/>
          <w:szCs w:val="22"/>
        </w:rPr>
      </w:pPr>
      <w:r w:rsidRPr="009004E9">
        <w:rPr>
          <w:sz w:val="22"/>
          <w:szCs w:val="22"/>
        </w:rPr>
        <w:t>Deverá considerar a utilização de</w:t>
      </w:r>
      <w:r w:rsidR="008D13F4" w:rsidRPr="009004E9">
        <w:rPr>
          <w:sz w:val="22"/>
          <w:szCs w:val="22"/>
        </w:rPr>
        <w:t xml:space="preserve"> um método contracetivo adequado </w:t>
      </w:r>
      <w:r w:rsidRPr="009004E9">
        <w:rPr>
          <w:sz w:val="22"/>
          <w:szCs w:val="22"/>
        </w:rPr>
        <w:t xml:space="preserve">para evitar </w:t>
      </w:r>
      <w:r w:rsidR="00FC18F1">
        <w:rPr>
          <w:sz w:val="22"/>
          <w:szCs w:val="22"/>
        </w:rPr>
        <w:t>a gravidez</w:t>
      </w:r>
      <w:r w:rsidRPr="009004E9">
        <w:rPr>
          <w:sz w:val="22"/>
          <w:szCs w:val="22"/>
        </w:rPr>
        <w:t xml:space="preserve"> </w:t>
      </w:r>
      <w:r w:rsidR="008D13F4" w:rsidRPr="009004E9">
        <w:rPr>
          <w:sz w:val="22"/>
          <w:szCs w:val="22"/>
        </w:rPr>
        <w:t xml:space="preserve"> e </w:t>
      </w:r>
      <w:r w:rsidRPr="009004E9">
        <w:rPr>
          <w:sz w:val="22"/>
          <w:szCs w:val="22"/>
        </w:rPr>
        <w:t>continua</w:t>
      </w:r>
      <w:r w:rsidR="00FC18F1">
        <w:rPr>
          <w:sz w:val="22"/>
          <w:szCs w:val="22"/>
        </w:rPr>
        <w:t>r a utilizá-lo</w:t>
      </w:r>
      <w:r w:rsidRPr="009004E9">
        <w:rPr>
          <w:sz w:val="22"/>
          <w:szCs w:val="22"/>
        </w:rPr>
        <w:t xml:space="preserve"> </w:t>
      </w:r>
      <w:r w:rsidR="008D13F4" w:rsidRPr="009004E9">
        <w:rPr>
          <w:sz w:val="22"/>
          <w:szCs w:val="22"/>
        </w:rPr>
        <w:t xml:space="preserve">durante pelo menos 5 meses após o último tratamento com Humira. </w:t>
      </w:r>
    </w:p>
    <w:p w14:paraId="58184C3E" w14:textId="77777777" w:rsidR="00DD2C89" w:rsidRPr="00CA2F11" w:rsidRDefault="00615769" w:rsidP="00DD2C89">
      <w:pPr>
        <w:pStyle w:val="ListParagraph"/>
        <w:numPr>
          <w:ilvl w:val="0"/>
          <w:numId w:val="159"/>
        </w:numPr>
        <w:rPr>
          <w:sz w:val="22"/>
          <w:szCs w:val="22"/>
        </w:rPr>
      </w:pPr>
      <w:r w:rsidRPr="00CA2F11">
        <w:rPr>
          <w:sz w:val="22"/>
          <w:szCs w:val="22"/>
        </w:rPr>
        <w:t>Se est</w:t>
      </w:r>
      <w:r>
        <w:rPr>
          <w:sz w:val="22"/>
          <w:szCs w:val="22"/>
        </w:rPr>
        <w:t>á g</w:t>
      </w:r>
      <w:r w:rsidRPr="00CA2F11">
        <w:rPr>
          <w:sz w:val="22"/>
          <w:szCs w:val="22"/>
        </w:rPr>
        <w:t>rávida, se pensa que pode estar gr</w:t>
      </w:r>
      <w:r>
        <w:rPr>
          <w:sz w:val="22"/>
          <w:szCs w:val="22"/>
        </w:rPr>
        <w:t xml:space="preserve">ávida ou se planeia </w:t>
      </w:r>
      <w:r w:rsidRPr="00CA2F11">
        <w:rPr>
          <w:sz w:val="22"/>
          <w:szCs w:val="22"/>
        </w:rPr>
        <w:t>engravidar</w:t>
      </w:r>
      <w:r>
        <w:rPr>
          <w:sz w:val="22"/>
          <w:szCs w:val="22"/>
        </w:rPr>
        <w:t>,</w:t>
      </w:r>
      <w:r w:rsidRPr="00CA2F11">
        <w:rPr>
          <w:sz w:val="22"/>
          <w:szCs w:val="22"/>
        </w:rPr>
        <w:t xml:space="preserve"> aconselhe-se com o seu médico antes </w:t>
      </w:r>
      <w:r w:rsidR="009004E9">
        <w:rPr>
          <w:sz w:val="22"/>
          <w:szCs w:val="22"/>
        </w:rPr>
        <w:t>de utilizar</w:t>
      </w:r>
      <w:r w:rsidRPr="00CA2F11">
        <w:rPr>
          <w:sz w:val="22"/>
          <w:szCs w:val="22"/>
        </w:rPr>
        <w:t xml:space="preserve"> esta terapêutica.</w:t>
      </w:r>
    </w:p>
    <w:p w14:paraId="3731D56B" w14:textId="77777777" w:rsidR="00DD2C89" w:rsidRDefault="00615769" w:rsidP="00DD2C89">
      <w:pPr>
        <w:pStyle w:val="ListParagraph"/>
        <w:numPr>
          <w:ilvl w:val="0"/>
          <w:numId w:val="159"/>
        </w:numPr>
        <w:autoSpaceDE w:val="0"/>
        <w:autoSpaceDN w:val="0"/>
        <w:adjustRightInd w:val="0"/>
        <w:rPr>
          <w:sz w:val="22"/>
          <w:szCs w:val="22"/>
        </w:rPr>
      </w:pPr>
      <w:r w:rsidRPr="00CA2F11">
        <w:rPr>
          <w:sz w:val="22"/>
          <w:szCs w:val="22"/>
        </w:rPr>
        <w:t xml:space="preserve">Humira </w:t>
      </w:r>
      <w:r w:rsidR="005D73F4">
        <w:rPr>
          <w:sz w:val="22"/>
          <w:szCs w:val="22"/>
        </w:rPr>
        <w:t xml:space="preserve">só deve ser utilizado durante </w:t>
      </w:r>
      <w:r w:rsidRPr="00CA2F11">
        <w:rPr>
          <w:sz w:val="22"/>
          <w:szCs w:val="22"/>
        </w:rPr>
        <w:t>a gravidez se necessário.</w:t>
      </w:r>
    </w:p>
    <w:p w14:paraId="0DD53D1F" w14:textId="77777777" w:rsidR="00DD2C89" w:rsidRDefault="00615769" w:rsidP="00DD2C89">
      <w:pPr>
        <w:pStyle w:val="ListParagraph"/>
        <w:numPr>
          <w:ilvl w:val="0"/>
          <w:numId w:val="159"/>
        </w:numPr>
        <w:autoSpaceDE w:val="0"/>
        <w:autoSpaceDN w:val="0"/>
        <w:adjustRightInd w:val="0"/>
        <w:rPr>
          <w:sz w:val="22"/>
          <w:szCs w:val="22"/>
        </w:rPr>
      </w:pPr>
      <w:r w:rsidRPr="008004F8">
        <w:rPr>
          <w:sz w:val="22"/>
          <w:szCs w:val="22"/>
        </w:rPr>
        <w:t xml:space="preserve">De acordo com um estudo </w:t>
      </w:r>
      <w:r w:rsidR="009004E9">
        <w:rPr>
          <w:sz w:val="22"/>
          <w:szCs w:val="22"/>
        </w:rPr>
        <w:t>na</w:t>
      </w:r>
      <w:r w:rsidRPr="008004F8">
        <w:rPr>
          <w:sz w:val="22"/>
          <w:szCs w:val="22"/>
        </w:rPr>
        <w:t xml:space="preserve"> gravidez, não houve risco mais elevado de </w:t>
      </w:r>
      <w:r>
        <w:rPr>
          <w:sz w:val="22"/>
          <w:szCs w:val="22"/>
        </w:rPr>
        <w:t>malformações con</w:t>
      </w:r>
      <w:r w:rsidRPr="008004F8">
        <w:rPr>
          <w:sz w:val="22"/>
          <w:szCs w:val="22"/>
        </w:rPr>
        <w:t>génit</w:t>
      </w:r>
      <w:r>
        <w:rPr>
          <w:sz w:val="22"/>
          <w:szCs w:val="22"/>
        </w:rPr>
        <w:t>as</w:t>
      </w:r>
      <w:r w:rsidRPr="008004F8">
        <w:rPr>
          <w:sz w:val="22"/>
          <w:szCs w:val="22"/>
        </w:rPr>
        <w:t xml:space="preserve"> quando a mãe recebeu Humira durante a gravidez, em comparação com mães com a mesma doença que não receberam Humira.</w:t>
      </w:r>
    </w:p>
    <w:p w14:paraId="48967A2B" w14:textId="77777777" w:rsidR="00DD2C89" w:rsidRDefault="00615769" w:rsidP="00DD2C89">
      <w:pPr>
        <w:pStyle w:val="ListParagraph"/>
        <w:numPr>
          <w:ilvl w:val="0"/>
          <w:numId w:val="159"/>
        </w:numPr>
        <w:autoSpaceDE w:val="0"/>
        <w:autoSpaceDN w:val="0"/>
        <w:adjustRightInd w:val="0"/>
        <w:rPr>
          <w:sz w:val="22"/>
          <w:szCs w:val="22"/>
        </w:rPr>
      </w:pPr>
      <w:r>
        <w:rPr>
          <w:sz w:val="22"/>
          <w:szCs w:val="22"/>
        </w:rPr>
        <w:t>Humira pode ser utilizado durante a amamentação.</w:t>
      </w:r>
    </w:p>
    <w:p w14:paraId="4FD9AE65" w14:textId="77777777" w:rsidR="00DD2C89" w:rsidRDefault="00615769" w:rsidP="009004E9">
      <w:pPr>
        <w:pStyle w:val="ListParagraph"/>
        <w:numPr>
          <w:ilvl w:val="0"/>
          <w:numId w:val="159"/>
        </w:numPr>
        <w:rPr>
          <w:sz w:val="22"/>
          <w:szCs w:val="22"/>
        </w:rPr>
      </w:pPr>
      <w:r w:rsidRPr="009004E9">
        <w:rPr>
          <w:sz w:val="22"/>
          <w:szCs w:val="22"/>
        </w:rPr>
        <w:t xml:space="preserve">Se durante a sua gravidez utilizar Humira, o seu bebé pode ter um risco superior de ter uma infeção. </w:t>
      </w:r>
    </w:p>
    <w:p w14:paraId="6D042C4F" w14:textId="77777777" w:rsidR="008D13F4" w:rsidRPr="008912CF" w:rsidRDefault="00615769" w:rsidP="009004E9">
      <w:pPr>
        <w:pStyle w:val="ListParagraph"/>
        <w:numPr>
          <w:ilvl w:val="0"/>
          <w:numId w:val="159"/>
        </w:numPr>
      </w:pPr>
      <w:r w:rsidRPr="009004E9">
        <w:rPr>
          <w:sz w:val="22"/>
          <w:szCs w:val="22"/>
        </w:rPr>
        <w:t>É importante que diga ao médico do seu bebé e a outros profissionais de saúde que usou Humira durante a sua gravidez antes que o seu bebé tome qualquer vacina.</w:t>
      </w:r>
      <w:r w:rsidR="00D958DD" w:rsidRPr="009004E9">
        <w:rPr>
          <w:sz w:val="22"/>
          <w:szCs w:val="22"/>
        </w:rPr>
        <w:t xml:space="preserve"> </w:t>
      </w:r>
      <w:r w:rsidRPr="009004E9">
        <w:rPr>
          <w:sz w:val="22"/>
          <w:szCs w:val="22"/>
        </w:rPr>
        <w:t xml:space="preserve">Para mais informação </w:t>
      </w:r>
      <w:r w:rsidR="00DD2C89">
        <w:rPr>
          <w:sz w:val="22"/>
          <w:szCs w:val="22"/>
        </w:rPr>
        <w:t xml:space="preserve">sobre vacinação, </w:t>
      </w:r>
      <w:r w:rsidRPr="009004E9">
        <w:rPr>
          <w:sz w:val="22"/>
          <w:szCs w:val="22"/>
        </w:rPr>
        <w:t xml:space="preserve">ver secção </w:t>
      </w:r>
      <w:r w:rsidR="00DD2C89">
        <w:rPr>
          <w:sz w:val="22"/>
          <w:szCs w:val="22"/>
        </w:rPr>
        <w:t>“Advertências e precauções”</w:t>
      </w:r>
      <w:r w:rsidRPr="009004E9">
        <w:rPr>
          <w:sz w:val="22"/>
          <w:szCs w:val="22"/>
        </w:rPr>
        <w:t>.</w:t>
      </w:r>
    </w:p>
    <w:p w14:paraId="5424C7D0" w14:textId="77777777" w:rsidR="008D13F4" w:rsidRPr="008912CF" w:rsidRDefault="008D13F4" w:rsidP="008D13F4">
      <w:pPr>
        <w:ind w:right="-2"/>
        <w:rPr>
          <w:sz w:val="22"/>
          <w:szCs w:val="22"/>
        </w:rPr>
      </w:pPr>
    </w:p>
    <w:p w14:paraId="22124CCF" w14:textId="77777777" w:rsidR="008D13F4" w:rsidRPr="008912CF" w:rsidRDefault="00615769" w:rsidP="008D13F4">
      <w:pPr>
        <w:pStyle w:val="Heading8"/>
        <w:rPr>
          <w:szCs w:val="22"/>
        </w:rPr>
      </w:pPr>
      <w:r w:rsidRPr="008912CF">
        <w:rPr>
          <w:szCs w:val="22"/>
        </w:rPr>
        <w:t>Condução de veículos e utilização de máquinas</w:t>
      </w:r>
    </w:p>
    <w:p w14:paraId="3319574C" w14:textId="77777777" w:rsidR="008D13F4" w:rsidRPr="008912CF" w:rsidRDefault="008D13F4" w:rsidP="008D13F4">
      <w:pPr>
        <w:keepNext/>
        <w:ind w:right="-2"/>
        <w:rPr>
          <w:sz w:val="22"/>
          <w:szCs w:val="22"/>
        </w:rPr>
      </w:pPr>
    </w:p>
    <w:p w14:paraId="6E36DDFE" w14:textId="77777777" w:rsidR="008D13F4" w:rsidRPr="008912CF" w:rsidRDefault="00615769" w:rsidP="008D13F4">
      <w:pPr>
        <w:keepNext/>
        <w:ind w:right="-2"/>
        <w:rPr>
          <w:sz w:val="22"/>
          <w:szCs w:val="22"/>
        </w:rPr>
      </w:pPr>
      <w:r w:rsidRPr="008912CF">
        <w:rPr>
          <w:sz w:val="22"/>
          <w:szCs w:val="22"/>
        </w:rPr>
        <w:t xml:space="preserve">Humira pode ter </w:t>
      </w:r>
      <w:r w:rsidR="00594E93" w:rsidRPr="008912CF">
        <w:rPr>
          <w:sz w:val="22"/>
          <w:szCs w:val="22"/>
        </w:rPr>
        <w:t xml:space="preserve">uma pequena influência </w:t>
      </w:r>
      <w:r w:rsidRPr="008912CF">
        <w:rPr>
          <w:sz w:val="22"/>
          <w:szCs w:val="22"/>
        </w:rPr>
        <w:t>na sua capacidade de conduzir, andar de bicicleta ou utilizar máquinas. Depois de tomar Humira pode ter vertigens e alterações da visão.</w:t>
      </w:r>
    </w:p>
    <w:p w14:paraId="49EF3BE1" w14:textId="77777777" w:rsidR="008D13F4" w:rsidRDefault="008D13F4" w:rsidP="008D13F4">
      <w:pPr>
        <w:ind w:right="-2"/>
        <w:rPr>
          <w:ins w:id="16551" w:author="AbbVie2" w:date="2025-05-14T10:26:00Z"/>
          <w:sz w:val="22"/>
          <w:szCs w:val="22"/>
        </w:rPr>
      </w:pPr>
    </w:p>
    <w:p w14:paraId="04BE3D51" w14:textId="77777777" w:rsidR="00AD4F25" w:rsidRPr="000C532F" w:rsidRDefault="00615769" w:rsidP="00AD4F25">
      <w:pPr>
        <w:ind w:right="-2"/>
        <w:rPr>
          <w:ins w:id="16552" w:author="AbbVie2" w:date="2025-05-14T10:26:00Z"/>
          <w:b/>
          <w:bCs/>
          <w:sz w:val="22"/>
          <w:szCs w:val="22"/>
        </w:rPr>
      </w:pPr>
      <w:ins w:id="16553" w:author="AbbVie2" w:date="2025-05-14T10:26:00Z">
        <w:r w:rsidRPr="000C532F">
          <w:rPr>
            <w:b/>
            <w:bCs/>
            <w:sz w:val="22"/>
            <w:szCs w:val="22"/>
          </w:rPr>
          <w:t>Humira contém polissorbato</w:t>
        </w:r>
      </w:ins>
    </w:p>
    <w:p w14:paraId="1142F856" w14:textId="77777777" w:rsidR="00AD4F25" w:rsidRDefault="00AD4F25" w:rsidP="00AD4F25">
      <w:pPr>
        <w:ind w:right="-2"/>
        <w:rPr>
          <w:ins w:id="16554" w:author="AbbVie2" w:date="2025-05-14T10:26:00Z"/>
          <w:sz w:val="22"/>
          <w:szCs w:val="22"/>
        </w:rPr>
      </w:pPr>
    </w:p>
    <w:p w14:paraId="513DBFA7" w14:textId="2C56C7D4" w:rsidR="00AD4F25" w:rsidRDefault="00615769" w:rsidP="00AD4F25">
      <w:pPr>
        <w:ind w:right="-2"/>
        <w:rPr>
          <w:ins w:id="16555" w:author="AbbVie2" w:date="2025-05-14T10:26:00Z"/>
          <w:sz w:val="22"/>
          <w:szCs w:val="22"/>
        </w:rPr>
      </w:pPr>
      <w:ins w:id="16556" w:author="AbbVie2" w:date="2025-05-14T10:26:00Z">
        <w:r>
          <w:rPr>
            <w:sz w:val="22"/>
            <w:szCs w:val="22"/>
          </w:rPr>
          <w:t>Este medicamento contém 0,</w:t>
        </w:r>
      </w:ins>
      <w:ins w:id="16557" w:author="AbbVie2" w:date="2025-05-14T12:37:00Z">
        <w:r w:rsidR="00FF65EF">
          <w:rPr>
            <w:sz w:val="22"/>
            <w:szCs w:val="22"/>
          </w:rPr>
          <w:t>4</w:t>
        </w:r>
      </w:ins>
      <w:ins w:id="16558" w:author="AbbVie2" w:date="2025-05-14T10:26:00Z">
        <w:r>
          <w:rPr>
            <w:sz w:val="22"/>
            <w:szCs w:val="22"/>
          </w:rPr>
          <w:t xml:space="preserve"> mg de polissorbato 80 em cada dose de </w:t>
        </w:r>
      </w:ins>
      <w:ins w:id="16559" w:author="AbbVie2" w:date="2025-05-14T12:37:00Z">
        <w:r w:rsidR="00FF65EF">
          <w:rPr>
            <w:sz w:val="22"/>
            <w:szCs w:val="22"/>
          </w:rPr>
          <w:t>4</w:t>
        </w:r>
      </w:ins>
      <w:ins w:id="16560" w:author="AbbVie2" w:date="2025-05-14T10:26:00Z">
        <w:r>
          <w:rPr>
            <w:sz w:val="22"/>
            <w:szCs w:val="22"/>
          </w:rPr>
          <w:t xml:space="preserve">0 mg. Os polissorbatos podem causar reações alérgicas. Informe o seu médico </w:t>
        </w:r>
      </w:ins>
      <w:ins w:id="16561" w:author="AbbVie2" w:date="2025-05-19T10:09:00Z">
        <w:r w:rsidR="003C277E">
          <w:rPr>
            <w:sz w:val="22"/>
            <w:szCs w:val="22"/>
          </w:rPr>
          <w:t>caso tenha</w:t>
        </w:r>
      </w:ins>
      <w:ins w:id="16562" w:author="AbbVie2" w:date="2025-05-14T10:26:00Z">
        <w:r>
          <w:rPr>
            <w:sz w:val="22"/>
            <w:szCs w:val="22"/>
          </w:rPr>
          <w:t xml:space="preserve"> alguma alergia conhecida.</w:t>
        </w:r>
      </w:ins>
    </w:p>
    <w:p w14:paraId="1FE26D77" w14:textId="77777777" w:rsidR="00AD4F25" w:rsidRPr="008912CF" w:rsidRDefault="00AD4F25" w:rsidP="008D13F4">
      <w:pPr>
        <w:ind w:right="-2"/>
        <w:rPr>
          <w:sz w:val="22"/>
          <w:szCs w:val="22"/>
        </w:rPr>
      </w:pPr>
    </w:p>
    <w:p w14:paraId="79D90213" w14:textId="77777777" w:rsidR="008D13F4" w:rsidRPr="008912CF" w:rsidRDefault="008D13F4" w:rsidP="008D13F4">
      <w:pPr>
        <w:ind w:right="-2"/>
        <w:rPr>
          <w:sz w:val="22"/>
          <w:szCs w:val="22"/>
        </w:rPr>
      </w:pPr>
    </w:p>
    <w:p w14:paraId="15317CDB" w14:textId="77777777" w:rsidR="008D13F4" w:rsidRPr="008912CF" w:rsidRDefault="00615769" w:rsidP="008D13F4">
      <w:pPr>
        <w:keepNext/>
        <w:ind w:left="567" w:hanging="567"/>
        <w:rPr>
          <w:sz w:val="22"/>
          <w:szCs w:val="22"/>
        </w:rPr>
      </w:pPr>
      <w:r w:rsidRPr="008912CF">
        <w:rPr>
          <w:b/>
          <w:sz w:val="22"/>
          <w:szCs w:val="22"/>
        </w:rPr>
        <w:t>3.</w:t>
      </w:r>
      <w:r w:rsidRPr="008912CF">
        <w:rPr>
          <w:b/>
          <w:sz w:val="22"/>
          <w:szCs w:val="22"/>
        </w:rPr>
        <w:tab/>
        <w:t>Como utilizar Humira</w:t>
      </w:r>
    </w:p>
    <w:p w14:paraId="268F8B0B" w14:textId="77777777" w:rsidR="008D13F4" w:rsidRPr="008912CF" w:rsidRDefault="008D13F4" w:rsidP="008D13F4">
      <w:pPr>
        <w:keepNext/>
        <w:ind w:right="-2"/>
        <w:rPr>
          <w:sz w:val="22"/>
          <w:szCs w:val="22"/>
        </w:rPr>
      </w:pPr>
    </w:p>
    <w:p w14:paraId="6BD5E249" w14:textId="77777777" w:rsidR="008D13F4" w:rsidRDefault="00615769" w:rsidP="008D13F4">
      <w:pPr>
        <w:keepNext/>
        <w:ind w:right="-2"/>
        <w:rPr>
          <w:sz w:val="22"/>
          <w:szCs w:val="22"/>
        </w:rPr>
      </w:pPr>
      <w:r w:rsidRPr="008912CF">
        <w:rPr>
          <w:sz w:val="22"/>
          <w:szCs w:val="22"/>
        </w:rPr>
        <w:t>Utilize este medicamento exatamente como indicado pelo seu médico ou farmacêutico. Fale com o seu médico ou farmacêutico se tiver dúvidas.</w:t>
      </w:r>
      <w:r>
        <w:rPr>
          <w:sz w:val="22"/>
          <w:szCs w:val="22"/>
        </w:rPr>
        <w:t xml:space="preserve"> </w:t>
      </w:r>
      <w:r w:rsidRPr="008912CF">
        <w:rPr>
          <w:sz w:val="22"/>
          <w:szCs w:val="22"/>
        </w:rPr>
        <w:t xml:space="preserve"> </w:t>
      </w:r>
    </w:p>
    <w:p w14:paraId="0756FAB1" w14:textId="77777777" w:rsidR="008D13F4" w:rsidRDefault="008D13F4" w:rsidP="008D13F4">
      <w:pPr>
        <w:keepNext/>
        <w:ind w:right="-2"/>
        <w:rPr>
          <w:sz w:val="22"/>
          <w:szCs w:val="22"/>
        </w:rPr>
      </w:pPr>
    </w:p>
    <w:p w14:paraId="2EDC08A2" w14:textId="77777777" w:rsidR="008D13F4" w:rsidRPr="008912CF" w:rsidRDefault="00615769" w:rsidP="008D13F4">
      <w:pPr>
        <w:keepNext/>
        <w:ind w:right="-2"/>
        <w:rPr>
          <w:sz w:val="22"/>
          <w:szCs w:val="22"/>
        </w:rPr>
      </w:pPr>
      <w:r>
        <w:rPr>
          <w:sz w:val="22"/>
          <w:szCs w:val="22"/>
        </w:rPr>
        <w:t xml:space="preserve">As doses recomendadas de Humira em cada uma das indicações aprovadas encontram-se na tabela abaixo. O seu médico </w:t>
      </w:r>
      <w:r w:rsidRPr="008912CF">
        <w:rPr>
          <w:bCs/>
          <w:sz w:val="22"/>
          <w:szCs w:val="22"/>
        </w:rPr>
        <w:t xml:space="preserve">pode prescrever uma dose </w:t>
      </w:r>
      <w:r>
        <w:rPr>
          <w:bCs/>
          <w:sz w:val="22"/>
          <w:szCs w:val="22"/>
        </w:rPr>
        <w:t xml:space="preserve">diferente de Humira de acordo com as </w:t>
      </w:r>
      <w:r w:rsidR="00041FA6">
        <w:rPr>
          <w:bCs/>
          <w:sz w:val="22"/>
          <w:szCs w:val="22"/>
        </w:rPr>
        <w:t xml:space="preserve">suas </w:t>
      </w:r>
      <w:r>
        <w:rPr>
          <w:bCs/>
          <w:sz w:val="22"/>
          <w:szCs w:val="22"/>
        </w:rPr>
        <w:t>necessidades.</w:t>
      </w:r>
      <w:r w:rsidRPr="008912CF">
        <w:rPr>
          <w:sz w:val="22"/>
          <w:szCs w:val="22"/>
        </w:rPr>
        <w:t xml:space="preserve"> </w:t>
      </w:r>
    </w:p>
    <w:p w14:paraId="4A43E865" w14:textId="77777777" w:rsidR="008D13F4" w:rsidRDefault="008D13F4" w:rsidP="008D13F4">
      <w:pPr>
        <w:pStyle w:val="BodyText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3019"/>
        <w:gridCol w:w="3031"/>
      </w:tblGrid>
      <w:tr w:rsidR="00A7162A" w14:paraId="282CC5F9" w14:textId="77777777" w:rsidTr="0074724A">
        <w:tc>
          <w:tcPr>
            <w:tcW w:w="9287" w:type="dxa"/>
            <w:gridSpan w:val="3"/>
          </w:tcPr>
          <w:p w14:paraId="2A3757B7" w14:textId="77777777" w:rsidR="008D13F4" w:rsidRPr="00854C93" w:rsidRDefault="00615769" w:rsidP="0074724A">
            <w:pPr>
              <w:keepNext/>
              <w:numPr>
                <w:ilvl w:val="12"/>
                <w:numId w:val="0"/>
              </w:numPr>
              <w:suppressAutoHyphens/>
              <w:ind w:right="-2"/>
              <w:rPr>
                <w:b/>
                <w:sz w:val="22"/>
              </w:rPr>
            </w:pPr>
            <w:r w:rsidRPr="004F0FBC">
              <w:rPr>
                <w:b/>
                <w:sz w:val="22"/>
              </w:rPr>
              <w:t>Artrite reumatoide</w:t>
            </w:r>
            <w:r w:rsidRPr="006462E3">
              <w:rPr>
                <w:b/>
                <w:sz w:val="22"/>
              </w:rPr>
              <w:t>, artrite psoriática, espondilite anquilosante</w:t>
            </w:r>
            <w:r w:rsidRPr="009A05BE">
              <w:rPr>
                <w:b/>
                <w:sz w:val="22"/>
              </w:rPr>
              <w:t xml:space="preserve"> ou espondilartrite axial sem evidência radiográfica de espondilite anquilosante</w:t>
            </w:r>
          </w:p>
        </w:tc>
      </w:tr>
      <w:tr w:rsidR="00A7162A" w14:paraId="0B8D2F0A" w14:textId="77777777" w:rsidTr="0074724A">
        <w:tc>
          <w:tcPr>
            <w:tcW w:w="3095" w:type="dxa"/>
          </w:tcPr>
          <w:p w14:paraId="58B3A7AA" w14:textId="77777777" w:rsidR="008D13F4" w:rsidRPr="008B0DDF" w:rsidRDefault="00615769" w:rsidP="0074724A">
            <w:pPr>
              <w:keepNext/>
              <w:numPr>
                <w:ilvl w:val="12"/>
                <w:numId w:val="0"/>
              </w:numPr>
              <w:suppressAutoHyphens/>
              <w:ind w:right="-2"/>
              <w:rPr>
                <w:sz w:val="22"/>
              </w:rPr>
            </w:pPr>
            <w:r w:rsidRPr="008B0DDF">
              <w:rPr>
                <w:b/>
                <w:sz w:val="22"/>
              </w:rPr>
              <w:t>Idade ou peso corporal</w:t>
            </w:r>
          </w:p>
        </w:tc>
        <w:tc>
          <w:tcPr>
            <w:tcW w:w="3096" w:type="dxa"/>
          </w:tcPr>
          <w:p w14:paraId="7F340629" w14:textId="77777777" w:rsidR="008D13F4" w:rsidRPr="006462E3" w:rsidRDefault="00615769" w:rsidP="0074724A">
            <w:pPr>
              <w:keepNext/>
              <w:numPr>
                <w:ilvl w:val="12"/>
                <w:numId w:val="0"/>
              </w:numPr>
              <w:suppressAutoHyphens/>
              <w:ind w:right="-2"/>
              <w:rPr>
                <w:sz w:val="22"/>
              </w:rPr>
            </w:pPr>
            <w:r w:rsidRPr="00454F99">
              <w:rPr>
                <w:b/>
                <w:sz w:val="22"/>
              </w:rPr>
              <w:t>Qual</w:t>
            </w:r>
            <w:r w:rsidRPr="004F0FBC">
              <w:rPr>
                <w:b/>
                <w:sz w:val="22"/>
              </w:rPr>
              <w:t xml:space="preserve"> a dose e com que freq</w:t>
            </w:r>
            <w:r w:rsidRPr="006462E3">
              <w:rPr>
                <w:b/>
                <w:sz w:val="22"/>
              </w:rPr>
              <w:t>uência se deve tomar?</w:t>
            </w:r>
          </w:p>
        </w:tc>
        <w:tc>
          <w:tcPr>
            <w:tcW w:w="3096" w:type="dxa"/>
          </w:tcPr>
          <w:p w14:paraId="09DD5832" w14:textId="77777777" w:rsidR="008D13F4" w:rsidRPr="008B0DDF" w:rsidRDefault="00615769" w:rsidP="0074724A">
            <w:pPr>
              <w:keepNext/>
              <w:numPr>
                <w:ilvl w:val="12"/>
                <w:numId w:val="0"/>
              </w:numPr>
              <w:suppressAutoHyphens/>
              <w:ind w:right="-2"/>
              <w:rPr>
                <w:sz w:val="22"/>
              </w:rPr>
            </w:pPr>
            <w:r w:rsidRPr="008B0DDF">
              <w:rPr>
                <w:b/>
                <w:sz w:val="22"/>
              </w:rPr>
              <w:t>Notas</w:t>
            </w:r>
          </w:p>
        </w:tc>
      </w:tr>
      <w:tr w:rsidR="00A7162A" w14:paraId="6E7B6461" w14:textId="77777777" w:rsidTr="0074724A">
        <w:tc>
          <w:tcPr>
            <w:tcW w:w="3095" w:type="dxa"/>
          </w:tcPr>
          <w:p w14:paraId="425240F0" w14:textId="77777777" w:rsidR="008D13F4" w:rsidRPr="008B0DDF" w:rsidRDefault="00615769" w:rsidP="0074724A">
            <w:pPr>
              <w:keepNext/>
              <w:numPr>
                <w:ilvl w:val="12"/>
                <w:numId w:val="0"/>
              </w:numPr>
              <w:suppressAutoHyphens/>
              <w:ind w:right="-2"/>
              <w:rPr>
                <w:sz w:val="22"/>
              </w:rPr>
            </w:pPr>
            <w:r w:rsidRPr="008B0DDF">
              <w:rPr>
                <w:sz w:val="22"/>
              </w:rPr>
              <w:t>Adultos</w:t>
            </w:r>
          </w:p>
        </w:tc>
        <w:tc>
          <w:tcPr>
            <w:tcW w:w="3096" w:type="dxa"/>
          </w:tcPr>
          <w:p w14:paraId="68921AC4" w14:textId="77777777" w:rsidR="008D13F4" w:rsidRPr="008B0DDF" w:rsidRDefault="00615769" w:rsidP="0074724A">
            <w:pPr>
              <w:keepNext/>
              <w:numPr>
                <w:ilvl w:val="12"/>
                <w:numId w:val="0"/>
              </w:numPr>
              <w:suppressAutoHyphens/>
              <w:ind w:right="-2"/>
              <w:rPr>
                <w:sz w:val="22"/>
              </w:rPr>
            </w:pPr>
            <w:r w:rsidRPr="008B0DDF">
              <w:rPr>
                <w:sz w:val="22"/>
              </w:rPr>
              <w:t>40 mg em semanas alternadas</w:t>
            </w:r>
          </w:p>
        </w:tc>
        <w:tc>
          <w:tcPr>
            <w:tcW w:w="3096" w:type="dxa"/>
          </w:tcPr>
          <w:p w14:paraId="4819BA67" w14:textId="77777777" w:rsidR="008D13F4" w:rsidRDefault="00615769" w:rsidP="0074724A">
            <w:pPr>
              <w:keepNext/>
              <w:tabs>
                <w:tab w:val="left" w:pos="562"/>
              </w:tabs>
              <w:suppressAutoHyphens/>
              <w:rPr>
                <w:sz w:val="22"/>
              </w:rPr>
            </w:pPr>
            <w:r w:rsidRPr="00454F99">
              <w:rPr>
                <w:sz w:val="22"/>
              </w:rPr>
              <w:t>Na artrite reumatoide</w:t>
            </w:r>
            <w:r w:rsidRPr="004F0FBC">
              <w:rPr>
                <w:sz w:val="22"/>
              </w:rPr>
              <w:t>,</w:t>
            </w:r>
            <w:r w:rsidRPr="006462E3">
              <w:rPr>
                <w:sz w:val="22"/>
              </w:rPr>
              <w:t xml:space="preserve"> metotrexato continua a ser utilizado enquanto se usa Humira. Se o seu mé</w:t>
            </w:r>
            <w:r w:rsidRPr="009A05BE">
              <w:rPr>
                <w:sz w:val="22"/>
              </w:rPr>
              <w:t>dico considerar</w:t>
            </w:r>
            <w:r w:rsidRPr="00854C93">
              <w:rPr>
                <w:sz w:val="22"/>
              </w:rPr>
              <w:t xml:space="preserve"> que metotrexato não é adequado, </w:t>
            </w:r>
            <w:r w:rsidRPr="0089156B">
              <w:rPr>
                <w:sz w:val="22"/>
              </w:rPr>
              <w:t xml:space="preserve">Humira </w:t>
            </w:r>
            <w:r w:rsidRPr="000B3FE3">
              <w:rPr>
                <w:sz w:val="22"/>
              </w:rPr>
              <w:t>pode ser usado isoladamente.</w:t>
            </w:r>
          </w:p>
          <w:p w14:paraId="1E10DC29" w14:textId="77777777" w:rsidR="008D13F4" w:rsidRDefault="008D13F4" w:rsidP="0074724A">
            <w:pPr>
              <w:keepNext/>
              <w:numPr>
                <w:ilvl w:val="12"/>
                <w:numId w:val="0"/>
              </w:numPr>
              <w:suppressAutoHyphens/>
              <w:ind w:right="-2"/>
              <w:rPr>
                <w:sz w:val="22"/>
              </w:rPr>
            </w:pPr>
          </w:p>
          <w:p w14:paraId="07DAC31A" w14:textId="77777777" w:rsidR="008D13F4" w:rsidRPr="00B830EC" w:rsidRDefault="00615769" w:rsidP="0074724A">
            <w:pPr>
              <w:keepNext/>
              <w:numPr>
                <w:ilvl w:val="12"/>
                <w:numId w:val="0"/>
              </w:numPr>
              <w:suppressAutoHyphens/>
              <w:ind w:right="-2"/>
              <w:rPr>
                <w:sz w:val="22"/>
              </w:rPr>
            </w:pPr>
            <w:r w:rsidRPr="00653128">
              <w:rPr>
                <w:sz w:val="22"/>
              </w:rPr>
              <w:t xml:space="preserve">Se tem artrite reumatoide e não usar metotrexato conjuntamente com </w:t>
            </w:r>
            <w:r w:rsidRPr="00D33370">
              <w:rPr>
                <w:sz w:val="22"/>
              </w:rPr>
              <w:t>Hum</w:t>
            </w:r>
            <w:r w:rsidRPr="002D4DE5">
              <w:rPr>
                <w:sz w:val="22"/>
              </w:rPr>
              <w:t>ira</w:t>
            </w:r>
            <w:r w:rsidRPr="00003560">
              <w:rPr>
                <w:sz w:val="22"/>
              </w:rPr>
              <w:t xml:space="preserve">, o seu médico pode decidir administrar </w:t>
            </w:r>
            <w:r w:rsidRPr="005F6F98">
              <w:rPr>
                <w:sz w:val="22"/>
              </w:rPr>
              <w:t>Humira 40 </w:t>
            </w:r>
            <w:r w:rsidRPr="002B2441">
              <w:rPr>
                <w:sz w:val="22"/>
              </w:rPr>
              <w:t>mg por semana</w:t>
            </w:r>
            <w:r w:rsidR="009159CF">
              <w:rPr>
                <w:sz w:val="22"/>
              </w:rPr>
              <w:t xml:space="preserve"> ou 80 mg em semanas alternadas</w:t>
            </w:r>
            <w:r w:rsidRPr="002B2441">
              <w:rPr>
                <w:sz w:val="22"/>
              </w:rPr>
              <w:t>.</w:t>
            </w:r>
            <w:r w:rsidRPr="00B830EC">
              <w:rPr>
                <w:sz w:val="22"/>
              </w:rPr>
              <w:t xml:space="preserve"> </w:t>
            </w:r>
          </w:p>
        </w:tc>
      </w:tr>
    </w:tbl>
    <w:p w14:paraId="0EC6D653" w14:textId="77777777" w:rsidR="008D13F4" w:rsidRPr="008B0DDF" w:rsidRDefault="008D13F4" w:rsidP="008D13F4">
      <w:pPr>
        <w:numPr>
          <w:ilvl w:val="12"/>
          <w:numId w:val="0"/>
        </w:numPr>
        <w:suppressAutoHyphens/>
        <w:ind w:right="-2"/>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22"/>
        <w:gridCol w:w="3014"/>
      </w:tblGrid>
      <w:tr w:rsidR="00A7162A" w14:paraId="41A28BFC" w14:textId="77777777" w:rsidTr="0074724A">
        <w:tc>
          <w:tcPr>
            <w:tcW w:w="9287" w:type="dxa"/>
            <w:gridSpan w:val="3"/>
          </w:tcPr>
          <w:p w14:paraId="7D18F601" w14:textId="77777777" w:rsidR="008D13F4" w:rsidRPr="008B0DDF" w:rsidRDefault="00615769" w:rsidP="0074724A">
            <w:pPr>
              <w:numPr>
                <w:ilvl w:val="12"/>
                <w:numId w:val="0"/>
              </w:numPr>
              <w:suppressAutoHyphens/>
              <w:ind w:right="-2"/>
              <w:rPr>
                <w:sz w:val="22"/>
              </w:rPr>
            </w:pPr>
            <w:r w:rsidRPr="008B0DDF">
              <w:rPr>
                <w:b/>
                <w:sz w:val="22"/>
              </w:rPr>
              <w:t>Artrite idiopática juvenil poliarticular</w:t>
            </w:r>
          </w:p>
        </w:tc>
      </w:tr>
      <w:tr w:rsidR="00A7162A" w14:paraId="22C4CA04" w14:textId="77777777" w:rsidTr="0074724A">
        <w:tc>
          <w:tcPr>
            <w:tcW w:w="3095" w:type="dxa"/>
          </w:tcPr>
          <w:p w14:paraId="13E113B2" w14:textId="77777777" w:rsidR="008D13F4" w:rsidRPr="008B0DDF" w:rsidRDefault="00615769" w:rsidP="0074724A">
            <w:pPr>
              <w:numPr>
                <w:ilvl w:val="12"/>
                <w:numId w:val="0"/>
              </w:numPr>
              <w:suppressAutoHyphens/>
              <w:ind w:right="-2"/>
              <w:rPr>
                <w:sz w:val="22"/>
              </w:rPr>
            </w:pPr>
            <w:r w:rsidRPr="008B0DDF">
              <w:rPr>
                <w:b/>
                <w:sz w:val="22"/>
              </w:rPr>
              <w:t>Idade ou peso corporal</w:t>
            </w:r>
          </w:p>
        </w:tc>
        <w:tc>
          <w:tcPr>
            <w:tcW w:w="3096" w:type="dxa"/>
          </w:tcPr>
          <w:p w14:paraId="3CBD62A4" w14:textId="77777777" w:rsidR="008D13F4" w:rsidRPr="006462E3" w:rsidRDefault="00615769" w:rsidP="0074724A">
            <w:pPr>
              <w:numPr>
                <w:ilvl w:val="12"/>
                <w:numId w:val="0"/>
              </w:numPr>
              <w:suppressAutoHyphens/>
              <w:ind w:right="-2"/>
              <w:rPr>
                <w:sz w:val="22"/>
              </w:rPr>
            </w:pPr>
            <w:r w:rsidRPr="00454F99">
              <w:rPr>
                <w:b/>
                <w:sz w:val="22"/>
              </w:rPr>
              <w:t>Qual a dose e com que frequência s</w:t>
            </w:r>
            <w:r w:rsidRPr="004F0FBC">
              <w:rPr>
                <w:b/>
                <w:sz w:val="22"/>
              </w:rPr>
              <w:t>e deve tomar?</w:t>
            </w:r>
          </w:p>
        </w:tc>
        <w:tc>
          <w:tcPr>
            <w:tcW w:w="3096" w:type="dxa"/>
          </w:tcPr>
          <w:p w14:paraId="487DF24A" w14:textId="77777777" w:rsidR="008D13F4" w:rsidRPr="008B0DDF" w:rsidRDefault="00615769" w:rsidP="0074724A">
            <w:pPr>
              <w:numPr>
                <w:ilvl w:val="12"/>
                <w:numId w:val="0"/>
              </w:numPr>
              <w:suppressAutoHyphens/>
              <w:ind w:right="-2"/>
              <w:rPr>
                <w:sz w:val="22"/>
              </w:rPr>
            </w:pPr>
            <w:r w:rsidRPr="008B0DDF">
              <w:rPr>
                <w:b/>
                <w:sz w:val="22"/>
              </w:rPr>
              <w:t>Notas</w:t>
            </w:r>
          </w:p>
        </w:tc>
      </w:tr>
      <w:tr w:rsidR="00A7162A" w14:paraId="7C95732F" w14:textId="77777777" w:rsidTr="0074724A">
        <w:tc>
          <w:tcPr>
            <w:tcW w:w="3095" w:type="dxa"/>
          </w:tcPr>
          <w:p w14:paraId="7286B9B7" w14:textId="77777777" w:rsidR="008D13F4" w:rsidRPr="009A05BE" w:rsidRDefault="00615769" w:rsidP="0074724A">
            <w:pPr>
              <w:numPr>
                <w:ilvl w:val="12"/>
                <w:numId w:val="0"/>
              </w:numPr>
              <w:suppressAutoHyphens/>
              <w:ind w:right="-2"/>
              <w:rPr>
                <w:sz w:val="22"/>
              </w:rPr>
            </w:pPr>
            <w:r>
              <w:rPr>
                <w:sz w:val="22"/>
              </w:rPr>
              <w:t>Crianças, a</w:t>
            </w:r>
            <w:r w:rsidRPr="00454F99">
              <w:rPr>
                <w:sz w:val="22"/>
              </w:rPr>
              <w:t>dolescentes e</w:t>
            </w:r>
            <w:r w:rsidRPr="004F0FBC">
              <w:rPr>
                <w:sz w:val="22"/>
              </w:rPr>
              <w:t xml:space="preserve"> adult</w:t>
            </w:r>
            <w:r w:rsidRPr="006462E3">
              <w:rPr>
                <w:sz w:val="22"/>
              </w:rPr>
              <w:t xml:space="preserve">os a partir dos </w:t>
            </w:r>
            <w:r>
              <w:rPr>
                <w:sz w:val="22"/>
              </w:rPr>
              <w:t>2</w:t>
            </w:r>
            <w:r w:rsidRPr="006462E3">
              <w:rPr>
                <w:sz w:val="22"/>
              </w:rPr>
              <w:t xml:space="preserve"> anos de idade</w:t>
            </w:r>
            <w:r w:rsidRPr="009A05BE">
              <w:rPr>
                <w:sz w:val="22"/>
              </w:rPr>
              <w:t xml:space="preserve"> </w:t>
            </w:r>
            <w:r>
              <w:rPr>
                <w:sz w:val="22"/>
              </w:rPr>
              <w:t>com peso igual ou superior a 30 kg</w:t>
            </w:r>
          </w:p>
        </w:tc>
        <w:tc>
          <w:tcPr>
            <w:tcW w:w="3096" w:type="dxa"/>
          </w:tcPr>
          <w:p w14:paraId="358F9F83" w14:textId="77777777" w:rsidR="008D13F4" w:rsidRPr="008B0DDF" w:rsidRDefault="00615769" w:rsidP="0074724A">
            <w:pPr>
              <w:numPr>
                <w:ilvl w:val="12"/>
                <w:numId w:val="0"/>
              </w:numPr>
              <w:suppressAutoHyphens/>
              <w:ind w:right="-2"/>
              <w:rPr>
                <w:sz w:val="22"/>
              </w:rPr>
            </w:pPr>
            <w:r w:rsidRPr="008B0DDF">
              <w:rPr>
                <w:sz w:val="22"/>
              </w:rPr>
              <w:t>40 mg em semanas alternadas</w:t>
            </w:r>
          </w:p>
        </w:tc>
        <w:tc>
          <w:tcPr>
            <w:tcW w:w="3096" w:type="dxa"/>
          </w:tcPr>
          <w:p w14:paraId="61E72C25" w14:textId="77777777" w:rsidR="008D13F4" w:rsidRPr="008B0DDF" w:rsidRDefault="00615769" w:rsidP="0074724A">
            <w:pPr>
              <w:numPr>
                <w:ilvl w:val="12"/>
                <w:numId w:val="0"/>
              </w:numPr>
              <w:suppressAutoHyphens/>
              <w:ind w:right="-2"/>
              <w:rPr>
                <w:sz w:val="22"/>
              </w:rPr>
            </w:pPr>
            <w:r>
              <w:rPr>
                <w:sz w:val="22"/>
              </w:rPr>
              <w:t>Não aplicável</w:t>
            </w:r>
          </w:p>
        </w:tc>
      </w:tr>
      <w:tr w:rsidR="00A7162A" w14:paraId="1BDC2D90" w14:textId="77777777" w:rsidTr="0074724A">
        <w:tc>
          <w:tcPr>
            <w:tcW w:w="3095" w:type="dxa"/>
          </w:tcPr>
          <w:p w14:paraId="0C70D9EC" w14:textId="77777777" w:rsidR="008D13F4" w:rsidRPr="006462E3" w:rsidRDefault="00615769" w:rsidP="0074724A">
            <w:pPr>
              <w:numPr>
                <w:ilvl w:val="12"/>
                <w:numId w:val="0"/>
              </w:numPr>
              <w:suppressAutoHyphens/>
              <w:ind w:right="-2"/>
              <w:rPr>
                <w:sz w:val="22"/>
              </w:rPr>
            </w:pPr>
            <w:r w:rsidRPr="00454F99">
              <w:rPr>
                <w:sz w:val="22"/>
              </w:rPr>
              <w:t xml:space="preserve">Crianças </w:t>
            </w:r>
            <w:r>
              <w:rPr>
                <w:sz w:val="22"/>
              </w:rPr>
              <w:t>e adolescentes a partir dos</w:t>
            </w:r>
            <w:r w:rsidRPr="00454F99">
              <w:rPr>
                <w:sz w:val="22"/>
              </w:rPr>
              <w:t xml:space="preserve"> 2</w:t>
            </w:r>
            <w:r>
              <w:rPr>
                <w:sz w:val="22"/>
              </w:rPr>
              <w:t xml:space="preserve"> </w:t>
            </w:r>
            <w:r w:rsidRPr="004F0FBC">
              <w:rPr>
                <w:sz w:val="22"/>
              </w:rPr>
              <w:t>anos de idade</w:t>
            </w:r>
            <w:r>
              <w:rPr>
                <w:sz w:val="22"/>
              </w:rPr>
              <w:t xml:space="preserve"> com peso igual a 10 kg ou inferior a 30 kg</w:t>
            </w:r>
          </w:p>
        </w:tc>
        <w:tc>
          <w:tcPr>
            <w:tcW w:w="3096" w:type="dxa"/>
          </w:tcPr>
          <w:p w14:paraId="6064F259" w14:textId="77777777" w:rsidR="008D13F4" w:rsidRPr="004931CE" w:rsidRDefault="00615769" w:rsidP="0074724A">
            <w:pPr>
              <w:numPr>
                <w:ilvl w:val="12"/>
                <w:numId w:val="0"/>
              </w:numPr>
              <w:suppressAutoHyphens/>
              <w:ind w:right="-2"/>
              <w:rPr>
                <w:sz w:val="22"/>
              </w:rPr>
            </w:pPr>
            <w:r>
              <w:rPr>
                <w:sz w:val="22"/>
              </w:rPr>
              <w:t>20 mg em semanas alternadas</w:t>
            </w:r>
          </w:p>
        </w:tc>
        <w:tc>
          <w:tcPr>
            <w:tcW w:w="3096" w:type="dxa"/>
          </w:tcPr>
          <w:p w14:paraId="1BB22257" w14:textId="77777777" w:rsidR="008D13F4" w:rsidRPr="00653128" w:rsidRDefault="00615769" w:rsidP="0074724A">
            <w:pPr>
              <w:numPr>
                <w:ilvl w:val="12"/>
                <w:numId w:val="0"/>
              </w:numPr>
              <w:suppressAutoHyphens/>
              <w:ind w:right="-2"/>
              <w:rPr>
                <w:sz w:val="22"/>
              </w:rPr>
            </w:pPr>
            <w:r>
              <w:rPr>
                <w:sz w:val="22"/>
              </w:rPr>
              <w:t>Não aplicável</w:t>
            </w:r>
          </w:p>
        </w:tc>
      </w:tr>
    </w:tbl>
    <w:p w14:paraId="68CCAB80" w14:textId="77777777" w:rsidR="008D13F4" w:rsidRPr="008B0DDF" w:rsidRDefault="008D13F4" w:rsidP="008D13F4">
      <w:pPr>
        <w:numPr>
          <w:ilvl w:val="12"/>
          <w:numId w:val="0"/>
        </w:numPr>
        <w:suppressAutoHyphens/>
        <w:ind w:right="-2"/>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22"/>
        <w:gridCol w:w="3014"/>
      </w:tblGrid>
      <w:tr w:rsidR="00A7162A" w14:paraId="333F13D7" w14:textId="77777777" w:rsidTr="0074724A">
        <w:tc>
          <w:tcPr>
            <w:tcW w:w="9287" w:type="dxa"/>
            <w:gridSpan w:val="3"/>
          </w:tcPr>
          <w:p w14:paraId="0EDC4490" w14:textId="77777777" w:rsidR="008D13F4" w:rsidRPr="008B0DDF" w:rsidRDefault="00615769" w:rsidP="0074724A">
            <w:pPr>
              <w:keepNext/>
              <w:numPr>
                <w:ilvl w:val="12"/>
                <w:numId w:val="0"/>
              </w:numPr>
              <w:suppressAutoHyphens/>
              <w:ind w:right="-2"/>
              <w:rPr>
                <w:b/>
                <w:sz w:val="22"/>
              </w:rPr>
            </w:pPr>
            <w:r w:rsidRPr="008B0DDF">
              <w:rPr>
                <w:b/>
                <w:sz w:val="22"/>
              </w:rPr>
              <w:t>Artrite relacionada com entesite</w:t>
            </w:r>
          </w:p>
        </w:tc>
      </w:tr>
      <w:tr w:rsidR="00A7162A" w14:paraId="6BFC320F" w14:textId="77777777" w:rsidTr="0074724A">
        <w:tc>
          <w:tcPr>
            <w:tcW w:w="3095" w:type="dxa"/>
          </w:tcPr>
          <w:p w14:paraId="15E8FC8B" w14:textId="77777777" w:rsidR="008D13F4" w:rsidRPr="008B0DDF" w:rsidRDefault="00615769" w:rsidP="0074724A">
            <w:pPr>
              <w:keepNext/>
              <w:numPr>
                <w:ilvl w:val="12"/>
                <w:numId w:val="0"/>
              </w:numPr>
              <w:suppressAutoHyphens/>
              <w:ind w:right="-2"/>
              <w:rPr>
                <w:sz w:val="22"/>
              </w:rPr>
            </w:pPr>
            <w:r w:rsidRPr="008B0DDF">
              <w:rPr>
                <w:b/>
                <w:sz w:val="22"/>
              </w:rPr>
              <w:t>Idade ou peso corporal</w:t>
            </w:r>
          </w:p>
        </w:tc>
        <w:tc>
          <w:tcPr>
            <w:tcW w:w="3096" w:type="dxa"/>
          </w:tcPr>
          <w:p w14:paraId="262D2761" w14:textId="77777777" w:rsidR="008D13F4" w:rsidRPr="004F0FBC" w:rsidRDefault="00615769" w:rsidP="0074724A">
            <w:pPr>
              <w:keepNext/>
              <w:numPr>
                <w:ilvl w:val="12"/>
                <w:numId w:val="0"/>
              </w:numPr>
              <w:suppressAutoHyphens/>
              <w:ind w:right="-2"/>
              <w:rPr>
                <w:sz w:val="22"/>
              </w:rPr>
            </w:pPr>
            <w:r w:rsidRPr="00454F99">
              <w:rPr>
                <w:b/>
                <w:sz w:val="22"/>
              </w:rPr>
              <w:t>Qual a dose e com que frequência se deve tomar?</w:t>
            </w:r>
          </w:p>
        </w:tc>
        <w:tc>
          <w:tcPr>
            <w:tcW w:w="3096" w:type="dxa"/>
          </w:tcPr>
          <w:p w14:paraId="2D4C87A3" w14:textId="77777777" w:rsidR="008D13F4" w:rsidRPr="008B0DDF" w:rsidRDefault="00615769" w:rsidP="0074724A">
            <w:pPr>
              <w:keepNext/>
              <w:numPr>
                <w:ilvl w:val="12"/>
                <w:numId w:val="0"/>
              </w:numPr>
              <w:suppressAutoHyphens/>
              <w:ind w:right="-2"/>
              <w:rPr>
                <w:sz w:val="22"/>
              </w:rPr>
            </w:pPr>
            <w:r w:rsidRPr="008B0DDF">
              <w:rPr>
                <w:b/>
                <w:sz w:val="22"/>
              </w:rPr>
              <w:t>Notas</w:t>
            </w:r>
          </w:p>
        </w:tc>
      </w:tr>
      <w:tr w:rsidR="00A7162A" w14:paraId="47161D9B" w14:textId="77777777" w:rsidTr="0074724A">
        <w:tc>
          <w:tcPr>
            <w:tcW w:w="3095" w:type="dxa"/>
          </w:tcPr>
          <w:p w14:paraId="45194BFB" w14:textId="77777777" w:rsidR="008D13F4" w:rsidRPr="004F0FBC" w:rsidRDefault="00615769" w:rsidP="0074724A">
            <w:pPr>
              <w:keepNext/>
              <w:numPr>
                <w:ilvl w:val="12"/>
                <w:numId w:val="0"/>
              </w:numPr>
              <w:suppressAutoHyphens/>
              <w:ind w:right="-2"/>
              <w:rPr>
                <w:sz w:val="22"/>
              </w:rPr>
            </w:pPr>
            <w:r w:rsidRPr="00454F99">
              <w:rPr>
                <w:sz w:val="22"/>
              </w:rPr>
              <w:t>Crianças, adolescentes e adultos a partir dos 6 anos de idade</w:t>
            </w:r>
            <w:r>
              <w:rPr>
                <w:sz w:val="22"/>
              </w:rPr>
              <w:t xml:space="preserve"> com peso igual ou superior a 30 kg</w:t>
            </w:r>
          </w:p>
        </w:tc>
        <w:tc>
          <w:tcPr>
            <w:tcW w:w="3096" w:type="dxa"/>
          </w:tcPr>
          <w:p w14:paraId="7684B0A0" w14:textId="77777777" w:rsidR="008D13F4" w:rsidRPr="00854C93" w:rsidRDefault="00615769" w:rsidP="0074724A">
            <w:pPr>
              <w:keepNext/>
              <w:numPr>
                <w:ilvl w:val="12"/>
                <w:numId w:val="0"/>
              </w:numPr>
              <w:suppressAutoHyphens/>
              <w:ind w:right="-2"/>
              <w:rPr>
                <w:sz w:val="22"/>
              </w:rPr>
            </w:pPr>
            <w:r>
              <w:rPr>
                <w:sz w:val="22"/>
              </w:rPr>
              <w:t>40 mg em semanas alternadas</w:t>
            </w:r>
          </w:p>
        </w:tc>
        <w:tc>
          <w:tcPr>
            <w:tcW w:w="3096" w:type="dxa"/>
          </w:tcPr>
          <w:p w14:paraId="5B78DF29" w14:textId="77777777" w:rsidR="008D13F4" w:rsidRPr="0089156B" w:rsidRDefault="00615769" w:rsidP="0074724A">
            <w:pPr>
              <w:keepNext/>
              <w:numPr>
                <w:ilvl w:val="12"/>
                <w:numId w:val="0"/>
              </w:numPr>
              <w:suppressAutoHyphens/>
              <w:ind w:right="-2"/>
              <w:rPr>
                <w:sz w:val="22"/>
              </w:rPr>
            </w:pPr>
            <w:r>
              <w:rPr>
                <w:sz w:val="22"/>
              </w:rPr>
              <w:t>Não aplicável</w:t>
            </w:r>
          </w:p>
        </w:tc>
      </w:tr>
      <w:tr w:rsidR="00A7162A" w14:paraId="5B375272" w14:textId="77777777" w:rsidTr="0074724A">
        <w:tc>
          <w:tcPr>
            <w:tcW w:w="3095" w:type="dxa"/>
          </w:tcPr>
          <w:p w14:paraId="367AAADC" w14:textId="77777777" w:rsidR="008D13F4" w:rsidRPr="00454F99" w:rsidRDefault="00615769" w:rsidP="0074724A">
            <w:pPr>
              <w:keepNext/>
              <w:numPr>
                <w:ilvl w:val="12"/>
                <w:numId w:val="0"/>
              </w:numPr>
              <w:suppressAutoHyphens/>
              <w:ind w:right="-2"/>
              <w:rPr>
                <w:sz w:val="22"/>
              </w:rPr>
            </w:pPr>
            <w:r w:rsidRPr="00454F99">
              <w:rPr>
                <w:sz w:val="22"/>
              </w:rPr>
              <w:t>Crianças</w:t>
            </w:r>
            <w:r>
              <w:rPr>
                <w:sz w:val="22"/>
              </w:rPr>
              <w:t xml:space="preserve"> e</w:t>
            </w:r>
            <w:r w:rsidRPr="00454F99">
              <w:rPr>
                <w:sz w:val="22"/>
              </w:rPr>
              <w:t xml:space="preserve"> adolescentes a partir dos 6 anos de idade</w:t>
            </w:r>
            <w:r>
              <w:rPr>
                <w:sz w:val="22"/>
              </w:rPr>
              <w:t xml:space="preserve"> com peso igual a 15 kg ou inferior a 30 kg</w:t>
            </w:r>
          </w:p>
        </w:tc>
        <w:tc>
          <w:tcPr>
            <w:tcW w:w="3096" w:type="dxa"/>
          </w:tcPr>
          <w:p w14:paraId="1AF994D0" w14:textId="77777777" w:rsidR="008D13F4" w:rsidRDefault="00615769" w:rsidP="0074724A">
            <w:pPr>
              <w:keepNext/>
              <w:numPr>
                <w:ilvl w:val="12"/>
                <w:numId w:val="0"/>
              </w:numPr>
              <w:suppressAutoHyphens/>
              <w:ind w:right="-2"/>
              <w:rPr>
                <w:sz w:val="22"/>
              </w:rPr>
            </w:pPr>
            <w:r>
              <w:rPr>
                <w:sz w:val="22"/>
              </w:rPr>
              <w:t>20 mg em semanas alternadas</w:t>
            </w:r>
          </w:p>
        </w:tc>
        <w:tc>
          <w:tcPr>
            <w:tcW w:w="3096" w:type="dxa"/>
          </w:tcPr>
          <w:p w14:paraId="73CEAFB3" w14:textId="77777777" w:rsidR="008D13F4" w:rsidRDefault="00615769" w:rsidP="0074724A">
            <w:pPr>
              <w:keepNext/>
              <w:numPr>
                <w:ilvl w:val="12"/>
                <w:numId w:val="0"/>
              </w:numPr>
              <w:suppressAutoHyphens/>
              <w:ind w:right="-2"/>
              <w:rPr>
                <w:sz w:val="22"/>
              </w:rPr>
            </w:pPr>
            <w:r>
              <w:rPr>
                <w:sz w:val="22"/>
              </w:rPr>
              <w:t>Não aplicável</w:t>
            </w:r>
          </w:p>
        </w:tc>
      </w:tr>
    </w:tbl>
    <w:p w14:paraId="7462D952" w14:textId="77777777" w:rsidR="008D13F4" w:rsidRPr="008B0DDF" w:rsidRDefault="008D13F4" w:rsidP="008D13F4">
      <w:pPr>
        <w:numPr>
          <w:ilvl w:val="12"/>
          <w:numId w:val="0"/>
        </w:numPr>
        <w:suppressAutoHyphens/>
        <w:ind w:right="-2"/>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3018"/>
        <w:gridCol w:w="3021"/>
      </w:tblGrid>
      <w:tr w:rsidR="00A7162A" w14:paraId="74550743" w14:textId="77777777" w:rsidTr="0074724A">
        <w:tc>
          <w:tcPr>
            <w:tcW w:w="9287" w:type="dxa"/>
            <w:gridSpan w:val="3"/>
          </w:tcPr>
          <w:p w14:paraId="0F380CF0" w14:textId="77777777" w:rsidR="008D13F4" w:rsidRPr="008B0DDF" w:rsidRDefault="00615769" w:rsidP="0074724A">
            <w:pPr>
              <w:numPr>
                <w:ilvl w:val="12"/>
                <w:numId w:val="0"/>
              </w:numPr>
              <w:suppressAutoHyphens/>
              <w:ind w:right="-2"/>
              <w:rPr>
                <w:sz w:val="22"/>
              </w:rPr>
            </w:pPr>
            <w:r w:rsidRPr="008B0DDF">
              <w:rPr>
                <w:b/>
                <w:sz w:val="22"/>
              </w:rPr>
              <w:t>Psoríase em placas</w:t>
            </w:r>
          </w:p>
        </w:tc>
      </w:tr>
      <w:tr w:rsidR="00A7162A" w14:paraId="7B439416" w14:textId="77777777" w:rsidTr="0074724A">
        <w:tc>
          <w:tcPr>
            <w:tcW w:w="3095" w:type="dxa"/>
          </w:tcPr>
          <w:p w14:paraId="7D047864" w14:textId="77777777" w:rsidR="008D13F4" w:rsidRPr="008B0DDF" w:rsidRDefault="00615769" w:rsidP="0074724A">
            <w:pPr>
              <w:numPr>
                <w:ilvl w:val="12"/>
                <w:numId w:val="0"/>
              </w:numPr>
              <w:suppressAutoHyphens/>
              <w:ind w:right="-2"/>
              <w:rPr>
                <w:sz w:val="22"/>
              </w:rPr>
            </w:pPr>
            <w:r w:rsidRPr="008B0DDF">
              <w:rPr>
                <w:b/>
                <w:sz w:val="22"/>
              </w:rPr>
              <w:t>Idade ou peso corporal</w:t>
            </w:r>
          </w:p>
        </w:tc>
        <w:tc>
          <w:tcPr>
            <w:tcW w:w="3096" w:type="dxa"/>
          </w:tcPr>
          <w:p w14:paraId="2F8B99A0" w14:textId="77777777" w:rsidR="008D13F4" w:rsidRPr="004F0FBC" w:rsidRDefault="00615769" w:rsidP="0074724A">
            <w:pPr>
              <w:numPr>
                <w:ilvl w:val="12"/>
                <w:numId w:val="0"/>
              </w:numPr>
              <w:suppressAutoHyphens/>
              <w:ind w:right="-2"/>
              <w:rPr>
                <w:sz w:val="22"/>
              </w:rPr>
            </w:pPr>
            <w:r w:rsidRPr="00454F99">
              <w:rPr>
                <w:b/>
                <w:sz w:val="22"/>
              </w:rPr>
              <w:t>Qual a dose e com que frequência se deve tomar?</w:t>
            </w:r>
          </w:p>
        </w:tc>
        <w:tc>
          <w:tcPr>
            <w:tcW w:w="3096" w:type="dxa"/>
          </w:tcPr>
          <w:p w14:paraId="19916E5D" w14:textId="77777777" w:rsidR="008D13F4" w:rsidRPr="008B0DDF" w:rsidRDefault="00615769" w:rsidP="0074724A">
            <w:pPr>
              <w:numPr>
                <w:ilvl w:val="12"/>
                <w:numId w:val="0"/>
              </w:numPr>
              <w:suppressAutoHyphens/>
              <w:ind w:right="-2"/>
              <w:rPr>
                <w:sz w:val="22"/>
              </w:rPr>
            </w:pPr>
            <w:r w:rsidRPr="008B0DDF">
              <w:rPr>
                <w:b/>
                <w:sz w:val="22"/>
              </w:rPr>
              <w:t>Notas</w:t>
            </w:r>
          </w:p>
        </w:tc>
      </w:tr>
      <w:tr w:rsidR="00A7162A" w14:paraId="4DC453B1" w14:textId="77777777" w:rsidTr="0074724A">
        <w:tc>
          <w:tcPr>
            <w:tcW w:w="3095" w:type="dxa"/>
          </w:tcPr>
          <w:p w14:paraId="6A9519EF" w14:textId="77777777" w:rsidR="008D13F4" w:rsidRPr="008B0DDF" w:rsidRDefault="00615769" w:rsidP="0074724A">
            <w:pPr>
              <w:numPr>
                <w:ilvl w:val="12"/>
                <w:numId w:val="0"/>
              </w:numPr>
              <w:suppressAutoHyphens/>
              <w:ind w:right="-2"/>
              <w:rPr>
                <w:sz w:val="22"/>
              </w:rPr>
            </w:pPr>
            <w:r w:rsidRPr="008B0DDF">
              <w:rPr>
                <w:sz w:val="22"/>
              </w:rPr>
              <w:t>Adultos</w:t>
            </w:r>
          </w:p>
          <w:p w14:paraId="7510CF18" w14:textId="77777777" w:rsidR="008D13F4" w:rsidRPr="008B0DDF" w:rsidRDefault="008D13F4" w:rsidP="0074724A">
            <w:pPr>
              <w:numPr>
                <w:ilvl w:val="12"/>
                <w:numId w:val="0"/>
              </w:numPr>
              <w:suppressAutoHyphens/>
              <w:ind w:right="-2"/>
              <w:rPr>
                <w:sz w:val="22"/>
              </w:rPr>
            </w:pPr>
          </w:p>
        </w:tc>
        <w:tc>
          <w:tcPr>
            <w:tcW w:w="3096" w:type="dxa"/>
          </w:tcPr>
          <w:p w14:paraId="20E5D3CA" w14:textId="77777777" w:rsidR="008D13F4" w:rsidRPr="002D4DE5" w:rsidRDefault="00615769" w:rsidP="0074724A">
            <w:pPr>
              <w:numPr>
                <w:ilvl w:val="12"/>
                <w:numId w:val="0"/>
              </w:numPr>
              <w:suppressAutoHyphens/>
              <w:ind w:right="-2"/>
              <w:rPr>
                <w:sz w:val="22"/>
              </w:rPr>
            </w:pPr>
            <w:r w:rsidRPr="00454F99">
              <w:rPr>
                <w:sz w:val="22"/>
              </w:rPr>
              <w:t>Uma dose inicial de 80 </w:t>
            </w:r>
            <w:r w:rsidRPr="004F0FBC">
              <w:rPr>
                <w:sz w:val="22"/>
              </w:rPr>
              <w:t>mg (</w:t>
            </w:r>
            <w:r w:rsidRPr="006462E3">
              <w:rPr>
                <w:sz w:val="22"/>
              </w:rPr>
              <w:t>2 injeções de 40 </w:t>
            </w:r>
            <w:r w:rsidRPr="009A05BE">
              <w:rPr>
                <w:sz w:val="22"/>
              </w:rPr>
              <w:t>mg num dia</w:t>
            </w:r>
            <w:r w:rsidRPr="00854C93">
              <w:rPr>
                <w:sz w:val="22"/>
              </w:rPr>
              <w:t xml:space="preserve">), </w:t>
            </w:r>
            <w:r w:rsidRPr="0089156B">
              <w:rPr>
                <w:sz w:val="22"/>
              </w:rPr>
              <w:t>seguida de 4</w:t>
            </w:r>
            <w:r w:rsidRPr="000B3FE3">
              <w:rPr>
                <w:sz w:val="22"/>
              </w:rPr>
              <w:t>0 </w:t>
            </w:r>
            <w:r w:rsidRPr="004931CE">
              <w:rPr>
                <w:sz w:val="22"/>
              </w:rPr>
              <w:t xml:space="preserve">mg </w:t>
            </w:r>
            <w:r w:rsidRPr="00653128">
              <w:rPr>
                <w:sz w:val="22"/>
              </w:rPr>
              <w:t>em semanas alternadas, uma semana ap</w:t>
            </w:r>
            <w:r w:rsidRPr="00D33370">
              <w:rPr>
                <w:sz w:val="22"/>
              </w:rPr>
              <w:t>ós a dose inicial</w:t>
            </w:r>
            <w:r w:rsidRPr="002D4DE5">
              <w:rPr>
                <w:sz w:val="22"/>
              </w:rPr>
              <w:t>.</w:t>
            </w:r>
          </w:p>
        </w:tc>
        <w:tc>
          <w:tcPr>
            <w:tcW w:w="3096" w:type="dxa"/>
          </w:tcPr>
          <w:p w14:paraId="2BFAC0D4" w14:textId="77777777" w:rsidR="008D13F4" w:rsidRPr="008B0DDF" w:rsidRDefault="00615769">
            <w:pPr>
              <w:tabs>
                <w:tab w:val="left" w:pos="562"/>
              </w:tabs>
              <w:suppressAutoHyphens/>
              <w:spacing w:before="100" w:beforeAutospacing="1" w:after="100" w:afterAutospacing="1"/>
              <w:rPr>
                <w:sz w:val="22"/>
              </w:rPr>
            </w:pPr>
            <w:r w:rsidRPr="00003560">
              <w:rPr>
                <w:sz w:val="22"/>
              </w:rPr>
              <w:t>Se tiver uma resposta i</w:t>
            </w:r>
            <w:r w:rsidRPr="005F6F98">
              <w:rPr>
                <w:sz w:val="22"/>
              </w:rPr>
              <w:t xml:space="preserve">nadequada, o seu médico pode aumentar a dose para </w:t>
            </w:r>
            <w:r w:rsidRPr="002B2441">
              <w:rPr>
                <w:sz w:val="22"/>
              </w:rPr>
              <w:t>40 </w:t>
            </w:r>
            <w:r w:rsidRPr="00B830EC">
              <w:rPr>
                <w:sz w:val="22"/>
              </w:rPr>
              <w:t xml:space="preserve">mg </w:t>
            </w:r>
            <w:r w:rsidRPr="008B0DDF">
              <w:rPr>
                <w:sz w:val="22"/>
              </w:rPr>
              <w:t>por semana</w:t>
            </w:r>
            <w:r w:rsidR="009159CF">
              <w:rPr>
                <w:sz w:val="22"/>
              </w:rPr>
              <w:t xml:space="preserve"> ou 80 mg em semanas alternadas</w:t>
            </w:r>
            <w:r w:rsidRPr="008B0DDF">
              <w:rPr>
                <w:sz w:val="22"/>
              </w:rPr>
              <w:t>.</w:t>
            </w:r>
          </w:p>
        </w:tc>
      </w:tr>
      <w:tr w:rsidR="00A7162A" w14:paraId="79C5649D" w14:textId="77777777" w:rsidTr="0074724A">
        <w:tc>
          <w:tcPr>
            <w:tcW w:w="3095" w:type="dxa"/>
          </w:tcPr>
          <w:p w14:paraId="7FCB7C7F" w14:textId="77777777" w:rsidR="008D13F4" w:rsidRPr="008B0DDF" w:rsidRDefault="00615769" w:rsidP="0074724A">
            <w:pPr>
              <w:numPr>
                <w:ilvl w:val="12"/>
                <w:numId w:val="0"/>
              </w:numPr>
              <w:suppressAutoHyphens/>
              <w:ind w:right="-2"/>
              <w:rPr>
                <w:sz w:val="22"/>
              </w:rPr>
            </w:pPr>
            <w:r w:rsidRPr="008B0DDF">
              <w:rPr>
                <w:sz w:val="22"/>
              </w:rPr>
              <w:t xml:space="preserve">Crianças e adolescentes </w:t>
            </w:r>
            <w:r>
              <w:rPr>
                <w:sz w:val="22"/>
              </w:rPr>
              <w:t>entre os</w:t>
            </w:r>
            <w:r w:rsidRPr="008B0DDF">
              <w:rPr>
                <w:sz w:val="22"/>
              </w:rPr>
              <w:t xml:space="preserve"> 4 </w:t>
            </w:r>
            <w:r>
              <w:rPr>
                <w:sz w:val="22"/>
              </w:rPr>
              <w:t xml:space="preserve">e os 17 </w:t>
            </w:r>
            <w:r w:rsidRPr="008B0DDF">
              <w:rPr>
                <w:sz w:val="22"/>
              </w:rPr>
              <w:t>anos de idade</w:t>
            </w:r>
            <w:r>
              <w:rPr>
                <w:sz w:val="22"/>
              </w:rPr>
              <w:t xml:space="preserve"> com peso igual ou superior a 30 kg</w:t>
            </w:r>
          </w:p>
        </w:tc>
        <w:tc>
          <w:tcPr>
            <w:tcW w:w="3096" w:type="dxa"/>
          </w:tcPr>
          <w:p w14:paraId="3C74141D" w14:textId="77777777" w:rsidR="008D13F4" w:rsidRDefault="00615769" w:rsidP="0074724A">
            <w:pPr>
              <w:numPr>
                <w:ilvl w:val="12"/>
                <w:numId w:val="0"/>
              </w:numPr>
              <w:suppressAutoHyphens/>
              <w:ind w:right="-2"/>
              <w:rPr>
                <w:sz w:val="22"/>
              </w:rPr>
            </w:pPr>
            <w:r>
              <w:rPr>
                <w:sz w:val="22"/>
              </w:rPr>
              <w:t>Uma dose inicial de 40 mg, seguida de 40 mg uma semana após a dose inicial.</w:t>
            </w:r>
          </w:p>
          <w:p w14:paraId="4C347FAA" w14:textId="77777777" w:rsidR="008D13F4" w:rsidRDefault="008D13F4" w:rsidP="0074724A">
            <w:pPr>
              <w:numPr>
                <w:ilvl w:val="12"/>
                <w:numId w:val="0"/>
              </w:numPr>
              <w:suppressAutoHyphens/>
              <w:ind w:right="-2"/>
              <w:rPr>
                <w:sz w:val="22"/>
              </w:rPr>
            </w:pPr>
          </w:p>
          <w:p w14:paraId="15128283" w14:textId="77777777" w:rsidR="008D13F4" w:rsidRPr="008B0DDF" w:rsidRDefault="00615769" w:rsidP="0074724A">
            <w:pPr>
              <w:numPr>
                <w:ilvl w:val="12"/>
                <w:numId w:val="0"/>
              </w:numPr>
              <w:suppressAutoHyphens/>
              <w:ind w:right="-2"/>
              <w:rPr>
                <w:sz w:val="22"/>
              </w:rPr>
            </w:pPr>
            <w:r>
              <w:rPr>
                <w:sz w:val="22"/>
              </w:rPr>
              <w:t>Depois disso, a dose habitual é de 40 mg em semanas alternadas.</w:t>
            </w:r>
          </w:p>
        </w:tc>
        <w:tc>
          <w:tcPr>
            <w:tcW w:w="3096" w:type="dxa"/>
          </w:tcPr>
          <w:p w14:paraId="0225A8B2" w14:textId="77777777" w:rsidR="008D13F4" w:rsidRPr="008B0DDF" w:rsidRDefault="00615769" w:rsidP="0074724A">
            <w:pPr>
              <w:numPr>
                <w:ilvl w:val="12"/>
                <w:numId w:val="0"/>
              </w:numPr>
              <w:suppressAutoHyphens/>
              <w:ind w:right="-2"/>
              <w:rPr>
                <w:sz w:val="22"/>
              </w:rPr>
            </w:pPr>
            <w:r>
              <w:rPr>
                <w:sz w:val="22"/>
              </w:rPr>
              <w:t>Não aplicável</w:t>
            </w:r>
          </w:p>
        </w:tc>
      </w:tr>
      <w:tr w:rsidR="00A7162A" w14:paraId="197E72F0" w14:textId="77777777" w:rsidTr="0074724A">
        <w:tc>
          <w:tcPr>
            <w:tcW w:w="3095" w:type="dxa"/>
          </w:tcPr>
          <w:p w14:paraId="24B1E4D5" w14:textId="77777777" w:rsidR="008D13F4" w:rsidRPr="008B0DDF" w:rsidRDefault="00615769" w:rsidP="0074724A">
            <w:pPr>
              <w:numPr>
                <w:ilvl w:val="12"/>
                <w:numId w:val="0"/>
              </w:numPr>
              <w:suppressAutoHyphens/>
              <w:ind w:right="-2"/>
              <w:rPr>
                <w:sz w:val="22"/>
              </w:rPr>
            </w:pPr>
            <w:r w:rsidRPr="008B0DDF">
              <w:rPr>
                <w:sz w:val="22"/>
              </w:rPr>
              <w:t xml:space="preserve">Crianças e adolescentes </w:t>
            </w:r>
            <w:r>
              <w:rPr>
                <w:sz w:val="22"/>
              </w:rPr>
              <w:t>entre os</w:t>
            </w:r>
            <w:r w:rsidRPr="008B0DDF">
              <w:rPr>
                <w:sz w:val="22"/>
              </w:rPr>
              <w:t xml:space="preserve"> 4 </w:t>
            </w:r>
            <w:r>
              <w:rPr>
                <w:sz w:val="22"/>
              </w:rPr>
              <w:t xml:space="preserve">e os 17 </w:t>
            </w:r>
            <w:r w:rsidRPr="008B0DDF">
              <w:rPr>
                <w:sz w:val="22"/>
              </w:rPr>
              <w:t>anos de idade</w:t>
            </w:r>
            <w:r>
              <w:rPr>
                <w:sz w:val="22"/>
              </w:rPr>
              <w:t xml:space="preserve"> com peso igual a 15 kg ou inferior a 30 kg</w:t>
            </w:r>
          </w:p>
        </w:tc>
        <w:tc>
          <w:tcPr>
            <w:tcW w:w="3096" w:type="dxa"/>
          </w:tcPr>
          <w:p w14:paraId="57A48B48" w14:textId="77777777" w:rsidR="008D13F4" w:rsidRDefault="00615769" w:rsidP="0074724A">
            <w:pPr>
              <w:numPr>
                <w:ilvl w:val="12"/>
                <w:numId w:val="0"/>
              </w:numPr>
              <w:suppressAutoHyphens/>
              <w:ind w:right="-2"/>
              <w:rPr>
                <w:sz w:val="22"/>
              </w:rPr>
            </w:pPr>
            <w:r>
              <w:rPr>
                <w:sz w:val="22"/>
              </w:rPr>
              <w:t>Uma dose inicial de 20 mg, seguida de 20 mg uma semana após a dose inicial.</w:t>
            </w:r>
          </w:p>
          <w:p w14:paraId="5E802312" w14:textId="77777777" w:rsidR="008D13F4" w:rsidRDefault="008D13F4" w:rsidP="0074724A">
            <w:pPr>
              <w:numPr>
                <w:ilvl w:val="12"/>
                <w:numId w:val="0"/>
              </w:numPr>
              <w:suppressAutoHyphens/>
              <w:ind w:right="-2"/>
              <w:rPr>
                <w:sz w:val="22"/>
              </w:rPr>
            </w:pPr>
          </w:p>
          <w:p w14:paraId="74CE422D" w14:textId="77777777" w:rsidR="008D13F4" w:rsidRDefault="00615769" w:rsidP="0074724A">
            <w:pPr>
              <w:numPr>
                <w:ilvl w:val="12"/>
                <w:numId w:val="0"/>
              </w:numPr>
              <w:suppressAutoHyphens/>
              <w:ind w:right="-2"/>
              <w:rPr>
                <w:sz w:val="22"/>
              </w:rPr>
            </w:pPr>
            <w:r>
              <w:rPr>
                <w:sz w:val="22"/>
              </w:rPr>
              <w:t>Depois disso, a dose habitual é de 20 mg em semanas alternadas.</w:t>
            </w:r>
          </w:p>
        </w:tc>
        <w:tc>
          <w:tcPr>
            <w:tcW w:w="3096" w:type="dxa"/>
          </w:tcPr>
          <w:p w14:paraId="27CDB3FB" w14:textId="77777777" w:rsidR="008D13F4" w:rsidRDefault="00615769" w:rsidP="0074724A">
            <w:pPr>
              <w:numPr>
                <w:ilvl w:val="12"/>
                <w:numId w:val="0"/>
              </w:numPr>
              <w:suppressAutoHyphens/>
              <w:ind w:right="-2"/>
              <w:rPr>
                <w:sz w:val="22"/>
              </w:rPr>
            </w:pPr>
            <w:r>
              <w:rPr>
                <w:sz w:val="22"/>
              </w:rPr>
              <w:t>Não aplicável</w:t>
            </w:r>
          </w:p>
        </w:tc>
      </w:tr>
    </w:tbl>
    <w:p w14:paraId="230C10FE" w14:textId="77777777" w:rsidR="008D13F4" w:rsidRPr="008B0DDF" w:rsidRDefault="008D13F4" w:rsidP="008D13F4">
      <w:pPr>
        <w:numPr>
          <w:ilvl w:val="12"/>
          <w:numId w:val="0"/>
        </w:numPr>
        <w:suppressAutoHyphens/>
        <w:ind w:right="-2"/>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23"/>
        <w:gridCol w:w="3021"/>
      </w:tblGrid>
      <w:tr w:rsidR="00A7162A" w14:paraId="66EE03B5" w14:textId="77777777" w:rsidTr="0074724A">
        <w:tc>
          <w:tcPr>
            <w:tcW w:w="9287" w:type="dxa"/>
            <w:gridSpan w:val="3"/>
          </w:tcPr>
          <w:p w14:paraId="20F4B5C5" w14:textId="77777777" w:rsidR="008D13F4" w:rsidRPr="008B0DDF" w:rsidRDefault="00615769" w:rsidP="0074724A">
            <w:pPr>
              <w:numPr>
                <w:ilvl w:val="12"/>
                <w:numId w:val="0"/>
              </w:numPr>
              <w:suppressAutoHyphens/>
              <w:ind w:right="-2"/>
              <w:rPr>
                <w:b/>
                <w:sz w:val="22"/>
              </w:rPr>
            </w:pPr>
            <w:r w:rsidRPr="008B0DDF">
              <w:rPr>
                <w:b/>
                <w:sz w:val="22"/>
              </w:rPr>
              <w:t>Hidradenite supurativa</w:t>
            </w:r>
          </w:p>
        </w:tc>
      </w:tr>
      <w:tr w:rsidR="00A7162A" w14:paraId="0E246548" w14:textId="77777777" w:rsidTr="0074724A">
        <w:tc>
          <w:tcPr>
            <w:tcW w:w="3095" w:type="dxa"/>
          </w:tcPr>
          <w:p w14:paraId="541118FC" w14:textId="77777777" w:rsidR="008D13F4" w:rsidRPr="008B0DDF" w:rsidRDefault="00615769" w:rsidP="0074724A">
            <w:pPr>
              <w:numPr>
                <w:ilvl w:val="12"/>
                <w:numId w:val="0"/>
              </w:numPr>
              <w:suppressAutoHyphens/>
              <w:ind w:right="-2"/>
              <w:rPr>
                <w:sz w:val="22"/>
              </w:rPr>
            </w:pPr>
            <w:r w:rsidRPr="008B0DDF">
              <w:rPr>
                <w:b/>
                <w:sz w:val="22"/>
              </w:rPr>
              <w:t>Idade ou peso corporal</w:t>
            </w:r>
          </w:p>
        </w:tc>
        <w:tc>
          <w:tcPr>
            <w:tcW w:w="3096" w:type="dxa"/>
          </w:tcPr>
          <w:p w14:paraId="2EF85A68" w14:textId="77777777" w:rsidR="008D13F4" w:rsidRPr="004F0FBC" w:rsidRDefault="00615769" w:rsidP="0074724A">
            <w:pPr>
              <w:numPr>
                <w:ilvl w:val="12"/>
                <w:numId w:val="0"/>
              </w:numPr>
              <w:suppressAutoHyphens/>
              <w:ind w:right="-2"/>
              <w:rPr>
                <w:sz w:val="22"/>
              </w:rPr>
            </w:pPr>
            <w:r w:rsidRPr="00454F99">
              <w:rPr>
                <w:b/>
                <w:sz w:val="22"/>
              </w:rPr>
              <w:t>Qual a dose e com que frequência se deve tomar?</w:t>
            </w:r>
          </w:p>
        </w:tc>
        <w:tc>
          <w:tcPr>
            <w:tcW w:w="3096" w:type="dxa"/>
          </w:tcPr>
          <w:p w14:paraId="08B11FFA" w14:textId="77777777" w:rsidR="008D13F4" w:rsidRPr="008B0DDF" w:rsidRDefault="00615769" w:rsidP="0074724A">
            <w:pPr>
              <w:numPr>
                <w:ilvl w:val="12"/>
                <w:numId w:val="0"/>
              </w:numPr>
              <w:suppressAutoHyphens/>
              <w:ind w:right="-2"/>
              <w:rPr>
                <w:sz w:val="22"/>
              </w:rPr>
            </w:pPr>
            <w:r w:rsidRPr="008B0DDF">
              <w:rPr>
                <w:b/>
                <w:sz w:val="22"/>
              </w:rPr>
              <w:t>Notas</w:t>
            </w:r>
          </w:p>
        </w:tc>
      </w:tr>
      <w:tr w:rsidR="00A7162A" w14:paraId="0842FD61" w14:textId="77777777" w:rsidTr="0074724A">
        <w:tc>
          <w:tcPr>
            <w:tcW w:w="3095" w:type="dxa"/>
          </w:tcPr>
          <w:p w14:paraId="254E3C1F" w14:textId="77777777" w:rsidR="008D13F4" w:rsidRPr="008B0DDF" w:rsidRDefault="00615769" w:rsidP="0074724A">
            <w:pPr>
              <w:numPr>
                <w:ilvl w:val="12"/>
                <w:numId w:val="0"/>
              </w:numPr>
              <w:suppressAutoHyphens/>
              <w:ind w:right="-2"/>
              <w:rPr>
                <w:sz w:val="22"/>
              </w:rPr>
            </w:pPr>
            <w:r w:rsidRPr="008B0DDF">
              <w:rPr>
                <w:sz w:val="22"/>
              </w:rPr>
              <w:t>Adultos</w:t>
            </w:r>
          </w:p>
        </w:tc>
        <w:tc>
          <w:tcPr>
            <w:tcW w:w="3096" w:type="dxa"/>
          </w:tcPr>
          <w:p w14:paraId="4565373F" w14:textId="77777777" w:rsidR="008D13F4" w:rsidRPr="008B0DDF" w:rsidRDefault="00615769">
            <w:pPr>
              <w:numPr>
                <w:ilvl w:val="12"/>
                <w:numId w:val="0"/>
              </w:numPr>
              <w:suppressAutoHyphens/>
              <w:ind w:right="-2"/>
              <w:rPr>
                <w:sz w:val="22"/>
              </w:rPr>
            </w:pPr>
            <w:r w:rsidRPr="00454F99">
              <w:rPr>
                <w:sz w:val="22"/>
                <w:szCs w:val="22"/>
              </w:rPr>
              <w:t xml:space="preserve">Uma dose inicial de 160 mg (quatro injeções </w:t>
            </w:r>
            <w:r w:rsidRPr="004F0FBC">
              <w:rPr>
                <w:sz w:val="22"/>
                <w:szCs w:val="22"/>
              </w:rPr>
              <w:t>de 40</w:t>
            </w:r>
            <w:r w:rsidRPr="006462E3">
              <w:rPr>
                <w:sz w:val="22"/>
                <w:szCs w:val="22"/>
              </w:rPr>
              <w:t> mg num dia</w:t>
            </w:r>
            <w:r w:rsidRPr="009A05BE">
              <w:rPr>
                <w:sz w:val="22"/>
                <w:szCs w:val="22"/>
              </w:rPr>
              <w:t xml:space="preserve"> ou 2 injeções de 40</w:t>
            </w:r>
            <w:r w:rsidRPr="00854C93">
              <w:rPr>
                <w:sz w:val="22"/>
                <w:szCs w:val="22"/>
              </w:rPr>
              <w:t> mg por d</w:t>
            </w:r>
            <w:r w:rsidRPr="0089156B">
              <w:rPr>
                <w:sz w:val="22"/>
                <w:szCs w:val="22"/>
              </w:rPr>
              <w:t>ia e</w:t>
            </w:r>
            <w:r w:rsidRPr="000B3FE3">
              <w:rPr>
                <w:sz w:val="22"/>
                <w:szCs w:val="22"/>
              </w:rPr>
              <w:t xml:space="preserve">m dois dias consecutivos), </w:t>
            </w:r>
            <w:r w:rsidRPr="004931CE">
              <w:rPr>
                <w:sz w:val="22"/>
                <w:szCs w:val="22"/>
              </w:rPr>
              <w:t xml:space="preserve">seguida de uma dose de </w:t>
            </w:r>
            <w:r w:rsidRPr="00653128">
              <w:rPr>
                <w:sz w:val="22"/>
                <w:szCs w:val="22"/>
              </w:rPr>
              <w:t xml:space="preserve">80 mg (duas injeções </w:t>
            </w:r>
            <w:r w:rsidRPr="00D33370">
              <w:rPr>
                <w:sz w:val="22"/>
                <w:szCs w:val="22"/>
              </w:rPr>
              <w:t xml:space="preserve">de </w:t>
            </w:r>
            <w:r w:rsidRPr="002D4DE5">
              <w:rPr>
                <w:sz w:val="22"/>
                <w:szCs w:val="22"/>
              </w:rPr>
              <w:t>40</w:t>
            </w:r>
            <w:r w:rsidRPr="00003560">
              <w:rPr>
                <w:sz w:val="22"/>
                <w:szCs w:val="22"/>
              </w:rPr>
              <w:t> </w:t>
            </w:r>
            <w:r w:rsidRPr="005F6F98">
              <w:rPr>
                <w:sz w:val="22"/>
                <w:szCs w:val="22"/>
              </w:rPr>
              <w:t xml:space="preserve">mg num </w:t>
            </w:r>
            <w:r w:rsidRPr="002B2441">
              <w:rPr>
                <w:sz w:val="22"/>
                <w:szCs w:val="22"/>
              </w:rPr>
              <w:t>dia) duas semanas ap</w:t>
            </w:r>
            <w:r w:rsidRPr="00B830EC">
              <w:rPr>
                <w:sz w:val="22"/>
                <w:szCs w:val="22"/>
              </w:rPr>
              <w:t>ós a dose inicial.</w:t>
            </w:r>
            <w:r w:rsidRPr="008B0DDF">
              <w:rPr>
                <w:sz w:val="22"/>
                <w:szCs w:val="22"/>
              </w:rPr>
              <w:t xml:space="preserve"> Após mais duas semanas, continuar com uma dose de 40 mg por semana</w:t>
            </w:r>
            <w:r w:rsidR="009159CF">
              <w:rPr>
                <w:sz w:val="22"/>
                <w:szCs w:val="22"/>
              </w:rPr>
              <w:t xml:space="preserve"> ou 80 mg em semanas alternadas, conforme prescrito pelo seu médico</w:t>
            </w:r>
            <w:r w:rsidRPr="008B0DDF">
              <w:rPr>
                <w:sz w:val="22"/>
                <w:szCs w:val="22"/>
              </w:rPr>
              <w:t xml:space="preserve">.  </w:t>
            </w:r>
          </w:p>
        </w:tc>
        <w:tc>
          <w:tcPr>
            <w:tcW w:w="3096" w:type="dxa"/>
          </w:tcPr>
          <w:p w14:paraId="57053863" w14:textId="77777777" w:rsidR="008D13F4" w:rsidRPr="008B0DDF" w:rsidRDefault="00615769" w:rsidP="0074724A">
            <w:pPr>
              <w:spacing w:before="100" w:beforeAutospacing="1" w:after="100" w:afterAutospacing="1"/>
              <w:rPr>
                <w:sz w:val="22"/>
                <w:szCs w:val="22"/>
              </w:rPr>
            </w:pPr>
            <w:r w:rsidRPr="008B0DDF">
              <w:rPr>
                <w:sz w:val="22"/>
                <w:szCs w:val="22"/>
              </w:rPr>
              <w:t>É recomendável que use um anti-séptico de lavagem diária nas áreas afetadas.</w:t>
            </w:r>
          </w:p>
          <w:p w14:paraId="7E511942" w14:textId="77777777" w:rsidR="008D13F4" w:rsidRPr="008B0DDF" w:rsidRDefault="008D13F4" w:rsidP="0074724A">
            <w:pPr>
              <w:numPr>
                <w:ilvl w:val="12"/>
                <w:numId w:val="0"/>
              </w:numPr>
              <w:suppressAutoHyphens/>
              <w:ind w:right="-2"/>
              <w:rPr>
                <w:sz w:val="22"/>
              </w:rPr>
            </w:pPr>
          </w:p>
        </w:tc>
      </w:tr>
      <w:tr w:rsidR="00A7162A" w14:paraId="1A9DE6BA" w14:textId="77777777" w:rsidTr="0074724A">
        <w:tc>
          <w:tcPr>
            <w:tcW w:w="3095" w:type="dxa"/>
          </w:tcPr>
          <w:p w14:paraId="0CFF2438" w14:textId="77777777" w:rsidR="008D13F4" w:rsidRPr="008B0DDF" w:rsidRDefault="00615769" w:rsidP="0074724A">
            <w:pPr>
              <w:numPr>
                <w:ilvl w:val="12"/>
                <w:numId w:val="0"/>
              </w:numPr>
              <w:suppressAutoHyphens/>
              <w:ind w:right="-2"/>
              <w:rPr>
                <w:sz w:val="22"/>
              </w:rPr>
            </w:pPr>
            <w:r>
              <w:rPr>
                <w:sz w:val="22"/>
              </w:rPr>
              <w:t xml:space="preserve">Adolescentes entre os 12 e os 17 anos de idade, com peso igual ou superior a 30 kg </w:t>
            </w:r>
          </w:p>
        </w:tc>
        <w:tc>
          <w:tcPr>
            <w:tcW w:w="3096" w:type="dxa"/>
          </w:tcPr>
          <w:p w14:paraId="331D31BD" w14:textId="77777777" w:rsidR="008D13F4" w:rsidRPr="00454F99" w:rsidRDefault="00615769" w:rsidP="0074724A">
            <w:pPr>
              <w:numPr>
                <w:ilvl w:val="12"/>
                <w:numId w:val="0"/>
              </w:numPr>
              <w:suppressAutoHyphens/>
              <w:ind w:right="-2"/>
              <w:rPr>
                <w:sz w:val="22"/>
                <w:szCs w:val="22"/>
              </w:rPr>
            </w:pPr>
            <w:r w:rsidRPr="00454F99">
              <w:rPr>
                <w:sz w:val="22"/>
              </w:rPr>
              <w:t>Uma dose inicial de 80 </w:t>
            </w:r>
            <w:r w:rsidRPr="004F0FBC">
              <w:rPr>
                <w:sz w:val="22"/>
              </w:rPr>
              <w:t>mg (</w:t>
            </w:r>
            <w:r w:rsidRPr="006462E3">
              <w:rPr>
                <w:sz w:val="22"/>
              </w:rPr>
              <w:t>2 injeções de 40 </w:t>
            </w:r>
            <w:r w:rsidRPr="009A05BE">
              <w:rPr>
                <w:sz w:val="22"/>
              </w:rPr>
              <w:t>mg num dia</w:t>
            </w:r>
            <w:r w:rsidRPr="00854C93">
              <w:rPr>
                <w:sz w:val="22"/>
              </w:rPr>
              <w:t xml:space="preserve">), </w:t>
            </w:r>
            <w:r w:rsidRPr="0089156B">
              <w:rPr>
                <w:sz w:val="22"/>
              </w:rPr>
              <w:t>seguida de 4</w:t>
            </w:r>
            <w:r w:rsidRPr="000B3FE3">
              <w:rPr>
                <w:sz w:val="22"/>
              </w:rPr>
              <w:t>0 </w:t>
            </w:r>
            <w:r w:rsidRPr="004931CE">
              <w:rPr>
                <w:sz w:val="22"/>
              </w:rPr>
              <w:t xml:space="preserve">mg </w:t>
            </w:r>
            <w:r w:rsidRPr="00653128">
              <w:rPr>
                <w:sz w:val="22"/>
              </w:rPr>
              <w:t>em semanas alternadas, uma semana ap</w:t>
            </w:r>
            <w:r w:rsidRPr="00D33370">
              <w:rPr>
                <w:sz w:val="22"/>
              </w:rPr>
              <w:t>ós a dose inicial</w:t>
            </w:r>
            <w:r w:rsidRPr="002D4DE5">
              <w:rPr>
                <w:sz w:val="22"/>
              </w:rPr>
              <w:t>.</w:t>
            </w:r>
          </w:p>
        </w:tc>
        <w:tc>
          <w:tcPr>
            <w:tcW w:w="3096" w:type="dxa"/>
          </w:tcPr>
          <w:p w14:paraId="0209FEC0" w14:textId="77777777" w:rsidR="008D13F4" w:rsidRDefault="00615769" w:rsidP="0074724A">
            <w:pPr>
              <w:rPr>
                <w:sz w:val="22"/>
              </w:rPr>
            </w:pPr>
            <w:r w:rsidRPr="00003560">
              <w:rPr>
                <w:sz w:val="22"/>
              </w:rPr>
              <w:t>Se tiver uma resposta i</w:t>
            </w:r>
            <w:r w:rsidRPr="005F6F98">
              <w:rPr>
                <w:sz w:val="22"/>
              </w:rPr>
              <w:t>nadequada</w:t>
            </w:r>
            <w:r w:rsidR="009159CF">
              <w:rPr>
                <w:sz w:val="22"/>
              </w:rPr>
              <w:t xml:space="preserve"> com Humira 40 mg em semanas alternadas</w:t>
            </w:r>
            <w:r w:rsidRPr="005F6F98">
              <w:rPr>
                <w:sz w:val="22"/>
              </w:rPr>
              <w:t xml:space="preserve">, o seu médico pode aumentar a dose para </w:t>
            </w:r>
            <w:r w:rsidRPr="002B2441">
              <w:rPr>
                <w:sz w:val="22"/>
              </w:rPr>
              <w:t>40 </w:t>
            </w:r>
            <w:r w:rsidRPr="00B830EC">
              <w:rPr>
                <w:sz w:val="22"/>
              </w:rPr>
              <w:t xml:space="preserve">mg </w:t>
            </w:r>
            <w:r w:rsidRPr="008B0DDF">
              <w:rPr>
                <w:sz w:val="22"/>
              </w:rPr>
              <w:t>por semana</w:t>
            </w:r>
            <w:r w:rsidR="009159CF">
              <w:rPr>
                <w:sz w:val="22"/>
              </w:rPr>
              <w:t xml:space="preserve"> ou 80 mg em semanas alternadas</w:t>
            </w:r>
            <w:r w:rsidRPr="008B0DDF">
              <w:rPr>
                <w:sz w:val="22"/>
              </w:rPr>
              <w:t>.</w:t>
            </w:r>
          </w:p>
          <w:p w14:paraId="547EAC1E" w14:textId="77777777" w:rsidR="008D13F4" w:rsidRPr="008B0DDF" w:rsidRDefault="00615769" w:rsidP="0074724A">
            <w:pPr>
              <w:rPr>
                <w:sz w:val="22"/>
                <w:szCs w:val="22"/>
              </w:rPr>
            </w:pPr>
            <w:r w:rsidRPr="008B0DDF">
              <w:rPr>
                <w:sz w:val="22"/>
                <w:szCs w:val="22"/>
              </w:rPr>
              <w:t>É recomendável que use um anti-séptico de lavagem diária nas áreas afetadas.</w:t>
            </w:r>
          </w:p>
        </w:tc>
      </w:tr>
    </w:tbl>
    <w:p w14:paraId="36A9204C" w14:textId="77777777" w:rsidR="008D13F4" w:rsidRPr="008B0DDF" w:rsidRDefault="008D13F4" w:rsidP="008D13F4">
      <w:pPr>
        <w:keepNext/>
        <w:numPr>
          <w:ilvl w:val="12"/>
          <w:numId w:val="0"/>
        </w:numPr>
        <w:suppressAutoHyphens/>
        <w:ind w:right="-2"/>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7"/>
        <w:gridCol w:w="3014"/>
      </w:tblGrid>
      <w:tr w:rsidR="00A7162A" w14:paraId="33393864" w14:textId="77777777" w:rsidTr="0074724A">
        <w:tc>
          <w:tcPr>
            <w:tcW w:w="9287" w:type="dxa"/>
            <w:gridSpan w:val="3"/>
          </w:tcPr>
          <w:p w14:paraId="1148DC54" w14:textId="77777777" w:rsidR="008D13F4" w:rsidRPr="008B0DDF" w:rsidRDefault="00615769" w:rsidP="0074724A">
            <w:pPr>
              <w:keepNext/>
              <w:numPr>
                <w:ilvl w:val="12"/>
                <w:numId w:val="0"/>
              </w:numPr>
              <w:suppressAutoHyphens/>
              <w:ind w:right="-2"/>
              <w:rPr>
                <w:sz w:val="22"/>
              </w:rPr>
            </w:pPr>
            <w:r w:rsidRPr="008B0DDF">
              <w:rPr>
                <w:b/>
                <w:sz w:val="22"/>
              </w:rPr>
              <w:t>Doença de Crohn</w:t>
            </w:r>
          </w:p>
        </w:tc>
      </w:tr>
      <w:tr w:rsidR="00A7162A" w14:paraId="599D80DF" w14:textId="77777777" w:rsidTr="0074724A">
        <w:tc>
          <w:tcPr>
            <w:tcW w:w="3095" w:type="dxa"/>
          </w:tcPr>
          <w:p w14:paraId="35351ECF" w14:textId="77777777" w:rsidR="008D13F4" w:rsidRPr="008B0DDF" w:rsidRDefault="00615769" w:rsidP="0074724A">
            <w:pPr>
              <w:keepNext/>
              <w:numPr>
                <w:ilvl w:val="12"/>
                <w:numId w:val="0"/>
              </w:numPr>
              <w:suppressAutoHyphens/>
              <w:ind w:right="-2"/>
              <w:rPr>
                <w:sz w:val="22"/>
              </w:rPr>
            </w:pPr>
            <w:r w:rsidRPr="008B0DDF">
              <w:rPr>
                <w:b/>
                <w:sz w:val="22"/>
              </w:rPr>
              <w:t>Idade ou peso corporal</w:t>
            </w:r>
          </w:p>
        </w:tc>
        <w:tc>
          <w:tcPr>
            <w:tcW w:w="3096" w:type="dxa"/>
          </w:tcPr>
          <w:p w14:paraId="51EBB3CE" w14:textId="77777777" w:rsidR="008D13F4" w:rsidRPr="004F0FBC" w:rsidRDefault="00615769" w:rsidP="0074724A">
            <w:pPr>
              <w:keepNext/>
              <w:numPr>
                <w:ilvl w:val="12"/>
                <w:numId w:val="0"/>
              </w:numPr>
              <w:suppressAutoHyphens/>
              <w:ind w:right="-2"/>
              <w:rPr>
                <w:sz w:val="22"/>
              </w:rPr>
            </w:pPr>
            <w:r w:rsidRPr="00454F99">
              <w:rPr>
                <w:b/>
                <w:sz w:val="22"/>
              </w:rPr>
              <w:t>Qual a dose e com que frequência se deve tomar?</w:t>
            </w:r>
          </w:p>
        </w:tc>
        <w:tc>
          <w:tcPr>
            <w:tcW w:w="3096" w:type="dxa"/>
          </w:tcPr>
          <w:p w14:paraId="5A5DC00C" w14:textId="77777777" w:rsidR="008D13F4" w:rsidRPr="008B0DDF" w:rsidRDefault="00615769" w:rsidP="0074724A">
            <w:pPr>
              <w:keepNext/>
              <w:numPr>
                <w:ilvl w:val="12"/>
                <w:numId w:val="0"/>
              </w:numPr>
              <w:suppressAutoHyphens/>
              <w:ind w:right="-2"/>
              <w:rPr>
                <w:sz w:val="22"/>
              </w:rPr>
            </w:pPr>
            <w:r w:rsidRPr="008B0DDF">
              <w:rPr>
                <w:b/>
                <w:sz w:val="22"/>
              </w:rPr>
              <w:t>Notas</w:t>
            </w:r>
          </w:p>
        </w:tc>
      </w:tr>
      <w:tr w:rsidR="00A7162A" w14:paraId="0ABA8D50" w14:textId="77777777" w:rsidTr="0074724A">
        <w:tc>
          <w:tcPr>
            <w:tcW w:w="3095" w:type="dxa"/>
          </w:tcPr>
          <w:p w14:paraId="0A65D62A" w14:textId="77777777" w:rsidR="008D13F4" w:rsidRPr="008B0DDF" w:rsidRDefault="00615769" w:rsidP="0074724A">
            <w:pPr>
              <w:numPr>
                <w:ilvl w:val="12"/>
                <w:numId w:val="0"/>
              </w:numPr>
              <w:suppressAutoHyphens/>
              <w:ind w:right="-2"/>
              <w:rPr>
                <w:sz w:val="22"/>
              </w:rPr>
            </w:pPr>
            <w:r w:rsidRPr="008B0DDF">
              <w:rPr>
                <w:sz w:val="22"/>
              </w:rPr>
              <w:t>Crianças</w:t>
            </w:r>
            <w:r>
              <w:rPr>
                <w:sz w:val="22"/>
              </w:rPr>
              <w:t>,</w:t>
            </w:r>
            <w:r w:rsidRPr="008B0DDF">
              <w:rPr>
                <w:sz w:val="22"/>
              </w:rPr>
              <w:t xml:space="preserve"> adolescentes </w:t>
            </w:r>
            <w:r>
              <w:rPr>
                <w:sz w:val="22"/>
              </w:rPr>
              <w:t xml:space="preserve">e adultos </w:t>
            </w:r>
            <w:r w:rsidRPr="008B0DDF">
              <w:rPr>
                <w:sz w:val="22"/>
              </w:rPr>
              <w:t xml:space="preserve">a partir dos 6 anos de idade com peso igual ou superior a 40 kg </w:t>
            </w:r>
          </w:p>
        </w:tc>
        <w:tc>
          <w:tcPr>
            <w:tcW w:w="3096" w:type="dxa"/>
          </w:tcPr>
          <w:p w14:paraId="7FD5B2FD" w14:textId="77777777" w:rsidR="008D13F4" w:rsidRDefault="00615769" w:rsidP="0074724A">
            <w:pPr>
              <w:tabs>
                <w:tab w:val="left" w:pos="562"/>
              </w:tabs>
              <w:suppressAutoHyphens/>
              <w:rPr>
                <w:sz w:val="22"/>
              </w:rPr>
            </w:pPr>
            <w:r w:rsidRPr="008B0DDF">
              <w:rPr>
                <w:sz w:val="22"/>
              </w:rPr>
              <w:t>Uma dose inicial de 80 mg (duas injeções de 40 mg num dia), seguida de 40 mg duas semanas após a dose inicial.</w:t>
            </w:r>
          </w:p>
          <w:p w14:paraId="44409AC8" w14:textId="77777777" w:rsidR="008D13F4" w:rsidRPr="008B0DDF" w:rsidRDefault="008D13F4" w:rsidP="0074724A">
            <w:pPr>
              <w:tabs>
                <w:tab w:val="left" w:pos="562"/>
              </w:tabs>
              <w:suppressAutoHyphens/>
              <w:rPr>
                <w:sz w:val="22"/>
              </w:rPr>
            </w:pPr>
          </w:p>
          <w:p w14:paraId="7D7EC2B2" w14:textId="77777777" w:rsidR="008D13F4" w:rsidRDefault="00615769" w:rsidP="0074724A">
            <w:pPr>
              <w:numPr>
                <w:ilvl w:val="12"/>
                <w:numId w:val="0"/>
              </w:numPr>
              <w:suppressAutoHyphens/>
              <w:rPr>
                <w:sz w:val="22"/>
              </w:rPr>
            </w:pPr>
            <w:r w:rsidRPr="008B0DDF">
              <w:rPr>
                <w:sz w:val="22"/>
              </w:rPr>
              <w:t xml:space="preserve">Se é necessária uma resposta mais rápida, o médico pode prescrever uma dose inicial de 160 mg (quatro injeções de 40 mg num dia ou duas injeções de 40 mg por dia em dois dias consecutivos), seguida de 80 mg (duas injeções de 40 mg num dia) duas semanas após a </w:t>
            </w:r>
            <w:r w:rsidRPr="00854C93">
              <w:rPr>
                <w:sz w:val="22"/>
              </w:rPr>
              <w:t xml:space="preserve">dose inicial. </w:t>
            </w:r>
          </w:p>
          <w:p w14:paraId="030010EB" w14:textId="77777777" w:rsidR="008D13F4" w:rsidRPr="008B0DDF" w:rsidRDefault="008D13F4" w:rsidP="0074724A">
            <w:pPr>
              <w:numPr>
                <w:ilvl w:val="12"/>
                <w:numId w:val="0"/>
              </w:numPr>
              <w:suppressAutoHyphens/>
              <w:rPr>
                <w:sz w:val="22"/>
              </w:rPr>
            </w:pPr>
          </w:p>
          <w:p w14:paraId="3495AA5D" w14:textId="77777777" w:rsidR="008D13F4" w:rsidRPr="006462E3" w:rsidRDefault="00615769" w:rsidP="0074724A">
            <w:pPr>
              <w:numPr>
                <w:ilvl w:val="12"/>
                <w:numId w:val="0"/>
              </w:numPr>
              <w:suppressAutoHyphens/>
              <w:ind w:right="-2"/>
              <w:rPr>
                <w:sz w:val="22"/>
              </w:rPr>
            </w:pPr>
            <w:r w:rsidRPr="00454F99">
              <w:rPr>
                <w:sz w:val="22"/>
              </w:rPr>
              <w:t>Depois disso, a dose habitual é 40</w:t>
            </w:r>
            <w:r w:rsidRPr="004F0FBC">
              <w:rPr>
                <w:sz w:val="22"/>
              </w:rPr>
              <w:t> </w:t>
            </w:r>
            <w:r w:rsidRPr="006462E3">
              <w:rPr>
                <w:sz w:val="22"/>
              </w:rPr>
              <w:t>mg em semanas alternadas.</w:t>
            </w:r>
          </w:p>
        </w:tc>
        <w:tc>
          <w:tcPr>
            <w:tcW w:w="3096" w:type="dxa"/>
          </w:tcPr>
          <w:p w14:paraId="6CB584F5" w14:textId="77777777" w:rsidR="008D13F4" w:rsidRPr="008B0DDF" w:rsidRDefault="00615769">
            <w:pPr>
              <w:tabs>
                <w:tab w:val="left" w:pos="562"/>
              </w:tabs>
              <w:suppressAutoHyphens/>
              <w:spacing w:before="100" w:beforeAutospacing="1" w:after="100" w:afterAutospacing="1"/>
              <w:rPr>
                <w:sz w:val="22"/>
              </w:rPr>
            </w:pPr>
            <w:r w:rsidRPr="009A05BE">
              <w:rPr>
                <w:sz w:val="22"/>
              </w:rPr>
              <w:t>O seu mé</w:t>
            </w:r>
            <w:r w:rsidRPr="00854C93">
              <w:rPr>
                <w:sz w:val="22"/>
              </w:rPr>
              <w:t>dico pode aumentar a dose para 40</w:t>
            </w:r>
            <w:r w:rsidRPr="0089156B">
              <w:rPr>
                <w:sz w:val="22"/>
              </w:rPr>
              <w:t> </w:t>
            </w:r>
            <w:r w:rsidRPr="000B3FE3">
              <w:rPr>
                <w:sz w:val="22"/>
              </w:rPr>
              <w:t>mg por semana</w:t>
            </w:r>
            <w:r w:rsidR="009159CF">
              <w:rPr>
                <w:sz w:val="22"/>
              </w:rPr>
              <w:t xml:space="preserve"> ou 80 mg em semanas alternadas</w:t>
            </w:r>
            <w:r w:rsidRPr="000B3FE3">
              <w:rPr>
                <w:sz w:val="22"/>
              </w:rPr>
              <w:t>.</w:t>
            </w:r>
          </w:p>
        </w:tc>
      </w:tr>
      <w:tr w:rsidR="00A7162A" w14:paraId="35C4F6D9" w14:textId="77777777" w:rsidTr="0074724A">
        <w:tc>
          <w:tcPr>
            <w:tcW w:w="3095" w:type="dxa"/>
          </w:tcPr>
          <w:p w14:paraId="31CBF587" w14:textId="77777777" w:rsidR="008D13F4" w:rsidRPr="006462E3" w:rsidRDefault="00615769" w:rsidP="0074724A">
            <w:pPr>
              <w:keepNext/>
              <w:numPr>
                <w:ilvl w:val="12"/>
                <w:numId w:val="0"/>
              </w:numPr>
              <w:suppressAutoHyphens/>
              <w:ind w:right="-2"/>
              <w:rPr>
                <w:sz w:val="22"/>
              </w:rPr>
            </w:pPr>
            <w:r w:rsidRPr="00454F99">
              <w:rPr>
                <w:sz w:val="22"/>
              </w:rPr>
              <w:t xml:space="preserve">Crianças e adolescentes </w:t>
            </w:r>
            <w:r>
              <w:rPr>
                <w:sz w:val="22"/>
              </w:rPr>
              <w:t xml:space="preserve">entre os </w:t>
            </w:r>
            <w:r w:rsidRPr="00454F99">
              <w:rPr>
                <w:sz w:val="22"/>
              </w:rPr>
              <w:t xml:space="preserve">6 </w:t>
            </w:r>
            <w:r>
              <w:rPr>
                <w:sz w:val="22"/>
              </w:rPr>
              <w:t xml:space="preserve">e os 17 </w:t>
            </w:r>
            <w:r w:rsidRPr="00454F99">
              <w:rPr>
                <w:sz w:val="22"/>
              </w:rPr>
              <w:t>anos</w:t>
            </w:r>
            <w:r w:rsidRPr="004F0FBC">
              <w:rPr>
                <w:sz w:val="22"/>
              </w:rPr>
              <w:t xml:space="preserve"> de idade com peso inferior a </w:t>
            </w:r>
            <w:r w:rsidRPr="006462E3">
              <w:rPr>
                <w:sz w:val="22"/>
              </w:rPr>
              <w:t>40 kg</w:t>
            </w:r>
          </w:p>
        </w:tc>
        <w:tc>
          <w:tcPr>
            <w:tcW w:w="3096" w:type="dxa"/>
          </w:tcPr>
          <w:p w14:paraId="7897101C" w14:textId="77777777" w:rsidR="008D13F4" w:rsidRDefault="00615769" w:rsidP="0074724A">
            <w:pPr>
              <w:keepNext/>
              <w:tabs>
                <w:tab w:val="left" w:pos="562"/>
              </w:tabs>
              <w:suppressAutoHyphens/>
              <w:rPr>
                <w:sz w:val="22"/>
              </w:rPr>
            </w:pPr>
            <w:r w:rsidRPr="009A05BE">
              <w:rPr>
                <w:sz w:val="22"/>
              </w:rPr>
              <w:t>Uma dose inicial de 40 </w:t>
            </w:r>
            <w:r w:rsidRPr="00854C93">
              <w:rPr>
                <w:sz w:val="22"/>
              </w:rPr>
              <w:t xml:space="preserve">mg, </w:t>
            </w:r>
            <w:r w:rsidRPr="0089156B">
              <w:rPr>
                <w:sz w:val="22"/>
              </w:rPr>
              <w:t xml:space="preserve">seguida de </w:t>
            </w:r>
            <w:r w:rsidRPr="000B3FE3">
              <w:rPr>
                <w:sz w:val="22"/>
              </w:rPr>
              <w:t>20 </w:t>
            </w:r>
            <w:r w:rsidRPr="004931CE">
              <w:rPr>
                <w:sz w:val="22"/>
              </w:rPr>
              <w:t xml:space="preserve">mg </w:t>
            </w:r>
            <w:r w:rsidRPr="00653128">
              <w:rPr>
                <w:sz w:val="22"/>
              </w:rPr>
              <w:t>duas semanas após a dose inicial</w:t>
            </w:r>
            <w:r w:rsidRPr="00D33370">
              <w:rPr>
                <w:sz w:val="22"/>
              </w:rPr>
              <w:t xml:space="preserve">. </w:t>
            </w:r>
          </w:p>
          <w:p w14:paraId="5651FABB" w14:textId="77777777" w:rsidR="008D13F4" w:rsidRPr="00D33370" w:rsidRDefault="008D13F4" w:rsidP="0074724A">
            <w:pPr>
              <w:keepNext/>
              <w:tabs>
                <w:tab w:val="left" w:pos="562"/>
              </w:tabs>
              <w:suppressAutoHyphens/>
              <w:rPr>
                <w:sz w:val="22"/>
              </w:rPr>
            </w:pPr>
          </w:p>
          <w:p w14:paraId="220CBBD1" w14:textId="77777777" w:rsidR="008D13F4" w:rsidRDefault="00615769" w:rsidP="0074724A">
            <w:pPr>
              <w:keepNext/>
              <w:numPr>
                <w:ilvl w:val="12"/>
                <w:numId w:val="0"/>
              </w:numPr>
              <w:suppressAutoHyphens/>
              <w:rPr>
                <w:sz w:val="22"/>
              </w:rPr>
            </w:pPr>
            <w:r w:rsidRPr="002D4DE5">
              <w:rPr>
                <w:sz w:val="22"/>
              </w:rPr>
              <w:t>Se é necessária uma resposta mais rápida, o seu m</w:t>
            </w:r>
            <w:r>
              <w:rPr>
                <w:sz w:val="22"/>
              </w:rPr>
              <w:t>é</w:t>
            </w:r>
            <w:r w:rsidRPr="00454F99">
              <w:rPr>
                <w:sz w:val="22"/>
              </w:rPr>
              <w:t xml:space="preserve">dico pode prescrever uma dose inicial de </w:t>
            </w:r>
            <w:r w:rsidRPr="004F0FBC">
              <w:rPr>
                <w:sz w:val="22"/>
              </w:rPr>
              <w:t>80</w:t>
            </w:r>
            <w:r w:rsidRPr="006462E3">
              <w:rPr>
                <w:sz w:val="22"/>
              </w:rPr>
              <w:t> mg (duas</w:t>
            </w:r>
            <w:r w:rsidRPr="009A05BE">
              <w:rPr>
                <w:sz w:val="22"/>
              </w:rPr>
              <w:t xml:space="preserve"> injeções de 40 </w:t>
            </w:r>
            <w:r w:rsidRPr="00854C93">
              <w:rPr>
                <w:sz w:val="22"/>
              </w:rPr>
              <w:t>mg num dia</w:t>
            </w:r>
            <w:r w:rsidRPr="0089156B">
              <w:rPr>
                <w:sz w:val="22"/>
              </w:rPr>
              <w:t>)</w:t>
            </w:r>
            <w:r w:rsidRPr="000B3FE3">
              <w:rPr>
                <w:sz w:val="22"/>
              </w:rPr>
              <w:t>, seguida de 40</w:t>
            </w:r>
            <w:r w:rsidRPr="004931CE">
              <w:rPr>
                <w:sz w:val="22"/>
              </w:rPr>
              <w:t> </w:t>
            </w:r>
            <w:r w:rsidRPr="00653128">
              <w:rPr>
                <w:sz w:val="22"/>
              </w:rPr>
              <w:t xml:space="preserve">mg duas semanas após a dose inicial. </w:t>
            </w:r>
          </w:p>
          <w:p w14:paraId="5D8DF945" w14:textId="77777777" w:rsidR="008D13F4" w:rsidRPr="00D33370" w:rsidRDefault="008D13F4" w:rsidP="0074724A">
            <w:pPr>
              <w:keepNext/>
              <w:numPr>
                <w:ilvl w:val="12"/>
                <w:numId w:val="0"/>
              </w:numPr>
              <w:suppressAutoHyphens/>
              <w:rPr>
                <w:sz w:val="22"/>
              </w:rPr>
            </w:pPr>
          </w:p>
          <w:p w14:paraId="2AA0BCAF" w14:textId="77777777" w:rsidR="008D13F4" w:rsidRPr="005F6F98" w:rsidRDefault="00615769" w:rsidP="0074724A">
            <w:pPr>
              <w:keepNext/>
              <w:numPr>
                <w:ilvl w:val="12"/>
                <w:numId w:val="0"/>
              </w:numPr>
              <w:suppressAutoHyphens/>
              <w:rPr>
                <w:sz w:val="22"/>
              </w:rPr>
            </w:pPr>
            <w:r w:rsidRPr="002D4DE5">
              <w:rPr>
                <w:sz w:val="22"/>
              </w:rPr>
              <w:t xml:space="preserve">Depois disso, a dose habitual é </w:t>
            </w:r>
            <w:r w:rsidRPr="00003560">
              <w:rPr>
                <w:sz w:val="22"/>
              </w:rPr>
              <w:t>2</w:t>
            </w:r>
            <w:r w:rsidRPr="005F6F98">
              <w:rPr>
                <w:sz w:val="22"/>
              </w:rPr>
              <w:t>0 mg em semanas alternadas.</w:t>
            </w:r>
          </w:p>
        </w:tc>
        <w:tc>
          <w:tcPr>
            <w:tcW w:w="3096" w:type="dxa"/>
          </w:tcPr>
          <w:p w14:paraId="73735FA3" w14:textId="77777777" w:rsidR="008D13F4" w:rsidRPr="008B0DDF" w:rsidRDefault="00615769" w:rsidP="0074724A">
            <w:pPr>
              <w:keepNext/>
              <w:tabs>
                <w:tab w:val="left" w:pos="562"/>
              </w:tabs>
              <w:suppressAutoHyphens/>
              <w:spacing w:before="100" w:beforeAutospacing="1" w:after="100" w:afterAutospacing="1"/>
              <w:rPr>
                <w:sz w:val="22"/>
              </w:rPr>
            </w:pPr>
            <w:r w:rsidRPr="002B2441">
              <w:rPr>
                <w:sz w:val="22"/>
              </w:rPr>
              <w:t>O seu mé</w:t>
            </w:r>
            <w:r w:rsidRPr="00B830EC">
              <w:rPr>
                <w:sz w:val="22"/>
              </w:rPr>
              <w:t>dico pode aumentar a frequência da dose para 20</w:t>
            </w:r>
            <w:r>
              <w:rPr>
                <w:sz w:val="22"/>
              </w:rPr>
              <w:t> </w:t>
            </w:r>
            <w:r w:rsidRPr="00B830EC">
              <w:rPr>
                <w:sz w:val="22"/>
              </w:rPr>
              <w:t>mg por semana.</w:t>
            </w:r>
          </w:p>
          <w:p w14:paraId="2C28D6CB" w14:textId="77777777" w:rsidR="008D13F4" w:rsidRPr="008B0DDF" w:rsidRDefault="008D13F4" w:rsidP="0074724A">
            <w:pPr>
              <w:keepNext/>
              <w:numPr>
                <w:ilvl w:val="12"/>
                <w:numId w:val="0"/>
              </w:numPr>
              <w:suppressAutoHyphens/>
              <w:spacing w:before="100" w:beforeAutospacing="1" w:after="100" w:afterAutospacing="1"/>
              <w:ind w:right="-2"/>
              <w:rPr>
                <w:sz w:val="22"/>
              </w:rPr>
            </w:pPr>
          </w:p>
        </w:tc>
      </w:tr>
    </w:tbl>
    <w:p w14:paraId="603EB926" w14:textId="77777777" w:rsidR="008D13F4" w:rsidRPr="008B0DDF" w:rsidRDefault="008D13F4" w:rsidP="008D13F4">
      <w:pPr>
        <w:numPr>
          <w:ilvl w:val="12"/>
          <w:numId w:val="0"/>
        </w:numPr>
        <w:suppressAutoHyphens/>
        <w:ind w:right="-2"/>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3031"/>
        <w:gridCol w:w="3018"/>
      </w:tblGrid>
      <w:tr w:rsidR="00A7162A" w14:paraId="19C83B10" w14:textId="77777777" w:rsidTr="00C3693D">
        <w:tc>
          <w:tcPr>
            <w:tcW w:w="9061" w:type="dxa"/>
            <w:gridSpan w:val="3"/>
          </w:tcPr>
          <w:p w14:paraId="6151CA3C" w14:textId="77777777" w:rsidR="008D13F4" w:rsidRPr="008B0DDF" w:rsidRDefault="00615769" w:rsidP="0074724A">
            <w:pPr>
              <w:keepNext/>
              <w:numPr>
                <w:ilvl w:val="12"/>
                <w:numId w:val="0"/>
              </w:numPr>
              <w:suppressAutoHyphens/>
              <w:ind w:right="-2"/>
              <w:rPr>
                <w:b/>
                <w:sz w:val="22"/>
              </w:rPr>
            </w:pPr>
            <w:r w:rsidRPr="008B0DDF">
              <w:rPr>
                <w:b/>
                <w:sz w:val="22"/>
                <w:szCs w:val="22"/>
              </w:rPr>
              <w:t>Colite ulcerosa</w:t>
            </w:r>
          </w:p>
        </w:tc>
      </w:tr>
      <w:tr w:rsidR="00A7162A" w14:paraId="07CBEDC9" w14:textId="77777777" w:rsidTr="00C3693D">
        <w:tc>
          <w:tcPr>
            <w:tcW w:w="3012" w:type="dxa"/>
          </w:tcPr>
          <w:p w14:paraId="318E916E" w14:textId="77777777" w:rsidR="008D13F4" w:rsidRPr="008B0DDF" w:rsidRDefault="00615769" w:rsidP="0074724A">
            <w:pPr>
              <w:numPr>
                <w:ilvl w:val="12"/>
                <w:numId w:val="0"/>
              </w:numPr>
              <w:suppressAutoHyphens/>
              <w:ind w:right="-2"/>
              <w:rPr>
                <w:sz w:val="22"/>
              </w:rPr>
            </w:pPr>
            <w:r w:rsidRPr="008B0DDF">
              <w:rPr>
                <w:b/>
                <w:sz w:val="22"/>
              </w:rPr>
              <w:t>Idade ou peso corporal</w:t>
            </w:r>
          </w:p>
        </w:tc>
        <w:tc>
          <w:tcPr>
            <w:tcW w:w="3031" w:type="dxa"/>
          </w:tcPr>
          <w:p w14:paraId="456E00C7" w14:textId="77777777" w:rsidR="008D13F4" w:rsidRPr="006462E3" w:rsidRDefault="00615769" w:rsidP="0074724A">
            <w:pPr>
              <w:keepNext/>
              <w:numPr>
                <w:ilvl w:val="12"/>
                <w:numId w:val="0"/>
              </w:numPr>
              <w:suppressAutoHyphens/>
              <w:ind w:right="-2"/>
              <w:rPr>
                <w:sz w:val="22"/>
              </w:rPr>
            </w:pPr>
            <w:r w:rsidRPr="00454F99">
              <w:rPr>
                <w:b/>
                <w:sz w:val="22"/>
              </w:rPr>
              <w:t>Qual a dose e com que frequênc</w:t>
            </w:r>
            <w:r w:rsidRPr="004F0FBC">
              <w:rPr>
                <w:b/>
                <w:sz w:val="22"/>
              </w:rPr>
              <w:t>ia se deve tomar?</w:t>
            </w:r>
          </w:p>
        </w:tc>
        <w:tc>
          <w:tcPr>
            <w:tcW w:w="3018" w:type="dxa"/>
          </w:tcPr>
          <w:p w14:paraId="2820A7A3" w14:textId="77777777" w:rsidR="008D13F4" w:rsidRPr="008B0DDF" w:rsidRDefault="00615769" w:rsidP="0074724A">
            <w:pPr>
              <w:keepNext/>
              <w:numPr>
                <w:ilvl w:val="12"/>
                <w:numId w:val="0"/>
              </w:numPr>
              <w:suppressAutoHyphens/>
              <w:ind w:right="-2"/>
              <w:rPr>
                <w:sz w:val="22"/>
              </w:rPr>
            </w:pPr>
            <w:r w:rsidRPr="008B0DDF">
              <w:rPr>
                <w:b/>
                <w:sz w:val="22"/>
              </w:rPr>
              <w:t>Notas</w:t>
            </w:r>
          </w:p>
        </w:tc>
      </w:tr>
      <w:tr w:rsidR="00A7162A" w14:paraId="251042D0" w14:textId="77777777" w:rsidTr="00C3693D">
        <w:tc>
          <w:tcPr>
            <w:tcW w:w="3012" w:type="dxa"/>
          </w:tcPr>
          <w:p w14:paraId="356DFC21" w14:textId="77777777" w:rsidR="008D13F4" w:rsidRPr="008B0DDF" w:rsidRDefault="00615769" w:rsidP="0074724A">
            <w:pPr>
              <w:numPr>
                <w:ilvl w:val="12"/>
                <w:numId w:val="0"/>
              </w:numPr>
              <w:suppressAutoHyphens/>
              <w:ind w:right="-2"/>
              <w:rPr>
                <w:sz w:val="22"/>
              </w:rPr>
            </w:pPr>
            <w:r w:rsidRPr="008B0DDF">
              <w:rPr>
                <w:sz w:val="22"/>
              </w:rPr>
              <w:t>Adultos</w:t>
            </w:r>
          </w:p>
        </w:tc>
        <w:tc>
          <w:tcPr>
            <w:tcW w:w="3031" w:type="dxa"/>
          </w:tcPr>
          <w:p w14:paraId="576E5C19" w14:textId="77777777" w:rsidR="008D13F4" w:rsidRDefault="00615769" w:rsidP="0074724A">
            <w:pPr>
              <w:keepNext/>
              <w:numPr>
                <w:ilvl w:val="12"/>
                <w:numId w:val="0"/>
              </w:numPr>
              <w:suppressAutoHyphens/>
              <w:rPr>
                <w:sz w:val="22"/>
              </w:rPr>
            </w:pPr>
            <w:r w:rsidRPr="00454F99">
              <w:rPr>
                <w:sz w:val="22"/>
              </w:rPr>
              <w:t>Uma dose inicial de 160 mg (quatro injeções de 40</w:t>
            </w:r>
            <w:r w:rsidRPr="004F0FBC">
              <w:rPr>
                <w:sz w:val="22"/>
              </w:rPr>
              <w:t> </w:t>
            </w:r>
            <w:r w:rsidRPr="006462E3">
              <w:rPr>
                <w:sz w:val="22"/>
              </w:rPr>
              <w:t xml:space="preserve">mg num dia </w:t>
            </w:r>
            <w:r w:rsidRPr="009A05BE">
              <w:rPr>
                <w:sz w:val="22"/>
              </w:rPr>
              <w:t>ou duas injeções de 40 </w:t>
            </w:r>
            <w:r w:rsidRPr="00854C93">
              <w:rPr>
                <w:sz w:val="22"/>
              </w:rPr>
              <w:t>mg por dia em dois dias consecutivos), seguida de 80</w:t>
            </w:r>
            <w:r w:rsidRPr="0089156B">
              <w:rPr>
                <w:sz w:val="22"/>
              </w:rPr>
              <w:t> </w:t>
            </w:r>
            <w:r w:rsidRPr="004931CE">
              <w:rPr>
                <w:sz w:val="22"/>
              </w:rPr>
              <w:t>mg (duas inje</w:t>
            </w:r>
            <w:r w:rsidRPr="00653128">
              <w:rPr>
                <w:sz w:val="22"/>
              </w:rPr>
              <w:t>ções de 40</w:t>
            </w:r>
            <w:r w:rsidRPr="00D33370">
              <w:rPr>
                <w:sz w:val="22"/>
              </w:rPr>
              <w:t> </w:t>
            </w:r>
            <w:r w:rsidRPr="00003560">
              <w:rPr>
                <w:sz w:val="22"/>
              </w:rPr>
              <w:t>mg num dia) duas semanas após a dose inicial.</w:t>
            </w:r>
          </w:p>
          <w:p w14:paraId="3FD00A51" w14:textId="77777777" w:rsidR="008D13F4" w:rsidRPr="00003560" w:rsidRDefault="008D13F4" w:rsidP="0074724A">
            <w:pPr>
              <w:keepNext/>
              <w:numPr>
                <w:ilvl w:val="12"/>
                <w:numId w:val="0"/>
              </w:numPr>
              <w:suppressAutoHyphens/>
              <w:rPr>
                <w:sz w:val="22"/>
              </w:rPr>
            </w:pPr>
          </w:p>
          <w:p w14:paraId="2B289A19" w14:textId="77777777" w:rsidR="008D13F4" w:rsidRPr="00B830EC" w:rsidRDefault="00615769" w:rsidP="0074724A">
            <w:pPr>
              <w:keepNext/>
              <w:numPr>
                <w:ilvl w:val="12"/>
                <w:numId w:val="0"/>
              </w:numPr>
              <w:suppressAutoHyphens/>
              <w:rPr>
                <w:sz w:val="22"/>
              </w:rPr>
            </w:pPr>
            <w:r w:rsidRPr="005F6F98">
              <w:rPr>
                <w:sz w:val="22"/>
              </w:rPr>
              <w:t>Depois disso, a dose habitual é 40</w:t>
            </w:r>
            <w:r w:rsidRPr="002B2441">
              <w:rPr>
                <w:sz w:val="22"/>
              </w:rPr>
              <w:t> mg em semanas alternadas.</w:t>
            </w:r>
          </w:p>
        </w:tc>
        <w:tc>
          <w:tcPr>
            <w:tcW w:w="3018" w:type="dxa"/>
          </w:tcPr>
          <w:p w14:paraId="4FAC6E4C" w14:textId="77777777" w:rsidR="008D13F4" w:rsidRPr="008B0DDF" w:rsidRDefault="00615769">
            <w:pPr>
              <w:keepNext/>
              <w:numPr>
                <w:ilvl w:val="12"/>
                <w:numId w:val="0"/>
              </w:numPr>
              <w:suppressAutoHyphens/>
              <w:ind w:right="-2"/>
              <w:rPr>
                <w:sz w:val="22"/>
              </w:rPr>
            </w:pPr>
            <w:r w:rsidRPr="008B0DDF">
              <w:rPr>
                <w:sz w:val="22"/>
              </w:rPr>
              <w:t>O seu médico pode aumentar a dose para 40 mg por semana</w:t>
            </w:r>
            <w:r w:rsidR="009159CF">
              <w:rPr>
                <w:sz w:val="22"/>
              </w:rPr>
              <w:t xml:space="preserve"> ou 80 mg em semanas alternadas</w:t>
            </w:r>
            <w:r w:rsidRPr="008B0DDF">
              <w:rPr>
                <w:sz w:val="22"/>
              </w:rPr>
              <w:t>.</w:t>
            </w:r>
          </w:p>
        </w:tc>
      </w:tr>
      <w:tr w:rsidR="00A7162A" w14:paraId="692AFE8B" w14:textId="77777777" w:rsidTr="00C3693D">
        <w:tc>
          <w:tcPr>
            <w:tcW w:w="3012" w:type="dxa"/>
          </w:tcPr>
          <w:p w14:paraId="7BDFD9EF" w14:textId="77777777" w:rsidR="00C3693D" w:rsidRPr="00C3693D" w:rsidRDefault="00615769" w:rsidP="00C3693D">
            <w:pPr>
              <w:numPr>
                <w:ilvl w:val="12"/>
                <w:numId w:val="0"/>
              </w:numPr>
              <w:suppressAutoHyphens/>
              <w:ind w:right="-2"/>
              <w:rPr>
                <w:sz w:val="22"/>
                <w:szCs w:val="22"/>
              </w:rPr>
            </w:pPr>
            <w:r w:rsidRPr="00C3693D">
              <w:rPr>
                <w:sz w:val="22"/>
                <w:szCs w:val="22"/>
              </w:rPr>
              <w:t>Crianças e adolescentes a partir dos 6 anos de idade com peso inferior a 40 kg</w:t>
            </w:r>
          </w:p>
        </w:tc>
        <w:tc>
          <w:tcPr>
            <w:tcW w:w="3031" w:type="dxa"/>
          </w:tcPr>
          <w:p w14:paraId="55B8A4C0" w14:textId="77777777" w:rsidR="00C3693D" w:rsidRPr="00C3693D" w:rsidRDefault="00615769" w:rsidP="00C3693D">
            <w:pPr>
              <w:numPr>
                <w:ilvl w:val="12"/>
                <w:numId w:val="0"/>
              </w:numPr>
              <w:rPr>
                <w:sz w:val="22"/>
                <w:szCs w:val="22"/>
              </w:rPr>
            </w:pPr>
            <w:r w:rsidRPr="00C3693D">
              <w:rPr>
                <w:sz w:val="22"/>
                <w:szCs w:val="22"/>
              </w:rPr>
              <w:t>Uma dose inicial de 80 mg (duas injeções de 40 mg num dia), seguida de 40 mg (uma injeção de 40 mg) duas semanas após a dose inicial.</w:t>
            </w:r>
          </w:p>
          <w:p w14:paraId="27954E91" w14:textId="77777777" w:rsidR="00C3693D" w:rsidRPr="00C3693D" w:rsidRDefault="00C3693D" w:rsidP="00C3693D">
            <w:pPr>
              <w:numPr>
                <w:ilvl w:val="12"/>
                <w:numId w:val="0"/>
              </w:numPr>
              <w:rPr>
                <w:sz w:val="22"/>
                <w:szCs w:val="22"/>
              </w:rPr>
            </w:pPr>
          </w:p>
          <w:p w14:paraId="25F3CAF9" w14:textId="77777777" w:rsidR="00C3693D" w:rsidRPr="00C3693D" w:rsidRDefault="00615769" w:rsidP="00C3693D">
            <w:pPr>
              <w:keepNext/>
              <w:numPr>
                <w:ilvl w:val="12"/>
                <w:numId w:val="0"/>
              </w:numPr>
              <w:suppressAutoHyphens/>
              <w:rPr>
                <w:sz w:val="22"/>
                <w:szCs w:val="22"/>
              </w:rPr>
            </w:pPr>
            <w:r w:rsidRPr="00C3693D">
              <w:rPr>
                <w:sz w:val="22"/>
                <w:szCs w:val="22"/>
              </w:rPr>
              <w:t>Depois disso, a dose habitual é de 40 mg em semanas alternadas.</w:t>
            </w:r>
          </w:p>
        </w:tc>
        <w:tc>
          <w:tcPr>
            <w:tcW w:w="3018" w:type="dxa"/>
          </w:tcPr>
          <w:p w14:paraId="14BE7213" w14:textId="77777777" w:rsidR="00C3693D" w:rsidRPr="00C3693D" w:rsidRDefault="00615769" w:rsidP="00C3693D">
            <w:pPr>
              <w:keepNext/>
              <w:numPr>
                <w:ilvl w:val="12"/>
                <w:numId w:val="0"/>
              </w:numPr>
              <w:suppressAutoHyphens/>
              <w:ind w:right="-2"/>
              <w:rPr>
                <w:sz w:val="22"/>
                <w:szCs w:val="22"/>
              </w:rPr>
            </w:pPr>
            <w:r w:rsidRPr="00C3693D">
              <w:rPr>
                <w:sz w:val="22"/>
                <w:szCs w:val="22"/>
              </w:rPr>
              <w:t>Deve continuar a tomar a sua dose habitual de Humira, mesmo após completar 18 anos de idade.</w:t>
            </w:r>
          </w:p>
        </w:tc>
      </w:tr>
      <w:tr w:rsidR="00A7162A" w14:paraId="0D6EB88F" w14:textId="77777777" w:rsidTr="00C3693D">
        <w:tc>
          <w:tcPr>
            <w:tcW w:w="3012" w:type="dxa"/>
          </w:tcPr>
          <w:p w14:paraId="31740AD1" w14:textId="77777777" w:rsidR="00C3693D" w:rsidRPr="00C3693D" w:rsidRDefault="00615769" w:rsidP="00C3693D">
            <w:pPr>
              <w:numPr>
                <w:ilvl w:val="12"/>
                <w:numId w:val="0"/>
              </w:numPr>
              <w:suppressAutoHyphens/>
              <w:ind w:right="-2"/>
              <w:rPr>
                <w:sz w:val="22"/>
                <w:szCs w:val="22"/>
              </w:rPr>
            </w:pPr>
            <w:r w:rsidRPr="00C3693D">
              <w:rPr>
                <w:sz w:val="22"/>
                <w:szCs w:val="22"/>
              </w:rPr>
              <w:t>Crianças e adolescentes a partir dos 6 anos de idade com peso igual ou superior a 40 kg</w:t>
            </w:r>
          </w:p>
        </w:tc>
        <w:tc>
          <w:tcPr>
            <w:tcW w:w="3031" w:type="dxa"/>
          </w:tcPr>
          <w:p w14:paraId="4BCFB21E" w14:textId="77777777" w:rsidR="00C3693D" w:rsidRPr="00C3693D" w:rsidRDefault="00615769" w:rsidP="00C3693D">
            <w:pPr>
              <w:numPr>
                <w:ilvl w:val="12"/>
                <w:numId w:val="0"/>
              </w:numPr>
              <w:rPr>
                <w:sz w:val="22"/>
                <w:szCs w:val="22"/>
              </w:rPr>
            </w:pPr>
            <w:r w:rsidRPr="00C3693D">
              <w:rPr>
                <w:sz w:val="22"/>
                <w:szCs w:val="22"/>
              </w:rPr>
              <w:t>Uma dose inicial de 160 mg (quatro injeções de 40 mg num dia ou duas injeções de 40 mg por dia, em dois dias consecutivos), seguida de 80 mg (duas injeções de 40 mg num dia) duas semanas após a dose inicial.</w:t>
            </w:r>
          </w:p>
          <w:p w14:paraId="79F0F998" w14:textId="77777777" w:rsidR="00C3693D" w:rsidRPr="00C3693D" w:rsidRDefault="00C3693D" w:rsidP="00C3693D">
            <w:pPr>
              <w:numPr>
                <w:ilvl w:val="12"/>
                <w:numId w:val="0"/>
              </w:numPr>
              <w:rPr>
                <w:sz w:val="22"/>
                <w:szCs w:val="22"/>
              </w:rPr>
            </w:pPr>
          </w:p>
          <w:p w14:paraId="2CA42E1C" w14:textId="77777777" w:rsidR="00C3693D" w:rsidRPr="00C3693D" w:rsidRDefault="00615769" w:rsidP="00C3693D">
            <w:pPr>
              <w:numPr>
                <w:ilvl w:val="12"/>
                <w:numId w:val="0"/>
              </w:numPr>
              <w:rPr>
                <w:sz w:val="22"/>
                <w:szCs w:val="22"/>
              </w:rPr>
            </w:pPr>
            <w:r w:rsidRPr="00C3693D">
              <w:rPr>
                <w:sz w:val="22"/>
                <w:szCs w:val="22"/>
              </w:rPr>
              <w:t>Depois</w:t>
            </w:r>
            <w:r w:rsidR="00740DE7">
              <w:rPr>
                <w:sz w:val="22"/>
                <w:szCs w:val="22"/>
              </w:rPr>
              <w:t xml:space="preserve"> disso, a dose habitual é de 80 </w:t>
            </w:r>
            <w:r w:rsidRPr="00C3693D">
              <w:rPr>
                <w:sz w:val="22"/>
                <w:szCs w:val="22"/>
              </w:rPr>
              <w:t>mg em semanas alternadas.</w:t>
            </w:r>
          </w:p>
        </w:tc>
        <w:tc>
          <w:tcPr>
            <w:tcW w:w="3018" w:type="dxa"/>
          </w:tcPr>
          <w:p w14:paraId="3189C59C" w14:textId="77777777" w:rsidR="00C3693D" w:rsidRPr="00C3693D" w:rsidRDefault="00615769" w:rsidP="00C3693D">
            <w:pPr>
              <w:keepNext/>
              <w:numPr>
                <w:ilvl w:val="12"/>
                <w:numId w:val="0"/>
              </w:numPr>
              <w:suppressAutoHyphens/>
              <w:ind w:right="-2"/>
              <w:rPr>
                <w:sz w:val="22"/>
                <w:szCs w:val="22"/>
              </w:rPr>
            </w:pPr>
            <w:r w:rsidRPr="00C3693D">
              <w:rPr>
                <w:sz w:val="22"/>
                <w:szCs w:val="22"/>
              </w:rPr>
              <w:t>Deve continuar a tomar a sua dose habitual de Humira, mesmo após completar 18 anos de idade.</w:t>
            </w:r>
          </w:p>
        </w:tc>
      </w:tr>
    </w:tbl>
    <w:p w14:paraId="6BAAF2FB" w14:textId="77777777" w:rsidR="008D13F4" w:rsidRPr="00C3693D" w:rsidRDefault="00615769" w:rsidP="008D13F4">
      <w:pPr>
        <w:ind w:right="-2"/>
        <w:rPr>
          <w:szCs w:val="22"/>
        </w:rPr>
      </w:pPr>
      <w:r w:rsidRPr="00C3693D">
        <w:rPr>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13"/>
        <w:gridCol w:w="3031"/>
      </w:tblGrid>
      <w:tr w:rsidR="00A7162A" w14:paraId="46E349DC" w14:textId="77777777" w:rsidTr="0074724A">
        <w:tc>
          <w:tcPr>
            <w:tcW w:w="9287" w:type="dxa"/>
            <w:gridSpan w:val="3"/>
          </w:tcPr>
          <w:p w14:paraId="18386765" w14:textId="77777777" w:rsidR="008D13F4" w:rsidRPr="00AA3C8F" w:rsidRDefault="00615769" w:rsidP="0074724A">
            <w:pPr>
              <w:keepNext/>
              <w:numPr>
                <w:ilvl w:val="12"/>
                <w:numId w:val="0"/>
              </w:numPr>
              <w:suppressAutoHyphens/>
              <w:ind w:right="-2"/>
              <w:rPr>
                <w:b/>
                <w:sz w:val="22"/>
              </w:rPr>
            </w:pPr>
            <w:r>
              <w:rPr>
                <w:b/>
                <w:sz w:val="22"/>
                <w:szCs w:val="22"/>
              </w:rPr>
              <w:t>Uveíte não</w:t>
            </w:r>
            <w:r>
              <w:rPr>
                <w:rFonts w:hint="eastAsia"/>
                <w:b/>
                <w:sz w:val="22"/>
                <w:szCs w:val="22"/>
                <w:lang w:eastAsia="zh-TW"/>
              </w:rPr>
              <w:t xml:space="preserve"> </w:t>
            </w:r>
            <w:r>
              <w:rPr>
                <w:b/>
                <w:sz w:val="22"/>
                <w:szCs w:val="22"/>
              </w:rPr>
              <w:t>infecciosa</w:t>
            </w:r>
          </w:p>
        </w:tc>
      </w:tr>
      <w:tr w:rsidR="00A7162A" w14:paraId="32D6669C" w14:textId="77777777" w:rsidTr="0074724A">
        <w:tc>
          <w:tcPr>
            <w:tcW w:w="3095" w:type="dxa"/>
          </w:tcPr>
          <w:p w14:paraId="1895514B" w14:textId="77777777" w:rsidR="008D13F4" w:rsidRPr="00AA3C8F" w:rsidRDefault="00615769" w:rsidP="0074724A">
            <w:pPr>
              <w:keepNext/>
              <w:numPr>
                <w:ilvl w:val="12"/>
                <w:numId w:val="0"/>
              </w:numPr>
              <w:suppressAutoHyphens/>
              <w:ind w:right="-2"/>
              <w:rPr>
                <w:sz w:val="22"/>
              </w:rPr>
            </w:pPr>
            <w:r w:rsidRPr="00AA3C8F">
              <w:rPr>
                <w:b/>
                <w:sz w:val="22"/>
              </w:rPr>
              <w:t>Idade ou peso corporal</w:t>
            </w:r>
          </w:p>
        </w:tc>
        <w:tc>
          <w:tcPr>
            <w:tcW w:w="3096" w:type="dxa"/>
          </w:tcPr>
          <w:p w14:paraId="335C71F4" w14:textId="77777777" w:rsidR="008D13F4" w:rsidRPr="006462E3" w:rsidRDefault="00615769" w:rsidP="0074724A">
            <w:pPr>
              <w:keepNext/>
              <w:numPr>
                <w:ilvl w:val="12"/>
                <w:numId w:val="0"/>
              </w:numPr>
              <w:suppressAutoHyphens/>
              <w:ind w:right="-2"/>
              <w:rPr>
                <w:sz w:val="22"/>
              </w:rPr>
            </w:pPr>
            <w:r w:rsidRPr="00454F99">
              <w:rPr>
                <w:b/>
                <w:sz w:val="22"/>
              </w:rPr>
              <w:t>Qual a dose e com que frequênc</w:t>
            </w:r>
            <w:r w:rsidRPr="004F0FBC">
              <w:rPr>
                <w:b/>
                <w:sz w:val="22"/>
              </w:rPr>
              <w:t>ia se deve tomar?</w:t>
            </w:r>
          </w:p>
        </w:tc>
        <w:tc>
          <w:tcPr>
            <w:tcW w:w="3096" w:type="dxa"/>
          </w:tcPr>
          <w:p w14:paraId="7C8C70F5" w14:textId="77777777" w:rsidR="008D13F4" w:rsidRPr="00AA3C8F" w:rsidRDefault="00615769" w:rsidP="0074724A">
            <w:pPr>
              <w:keepNext/>
              <w:numPr>
                <w:ilvl w:val="12"/>
                <w:numId w:val="0"/>
              </w:numPr>
              <w:suppressAutoHyphens/>
              <w:ind w:right="-2"/>
              <w:rPr>
                <w:sz w:val="22"/>
              </w:rPr>
            </w:pPr>
            <w:r w:rsidRPr="00AA3C8F">
              <w:rPr>
                <w:b/>
                <w:sz w:val="22"/>
              </w:rPr>
              <w:t>Notas</w:t>
            </w:r>
          </w:p>
        </w:tc>
      </w:tr>
      <w:tr w:rsidR="00A7162A" w14:paraId="40192D30" w14:textId="77777777" w:rsidTr="0074724A">
        <w:tc>
          <w:tcPr>
            <w:tcW w:w="3095" w:type="dxa"/>
          </w:tcPr>
          <w:p w14:paraId="662B2F09" w14:textId="77777777" w:rsidR="008D13F4" w:rsidRPr="00AA3C8F" w:rsidRDefault="00615769" w:rsidP="0074724A">
            <w:pPr>
              <w:keepNext/>
              <w:numPr>
                <w:ilvl w:val="12"/>
                <w:numId w:val="0"/>
              </w:numPr>
              <w:suppressAutoHyphens/>
              <w:ind w:right="-2"/>
              <w:rPr>
                <w:sz w:val="22"/>
              </w:rPr>
            </w:pPr>
            <w:r w:rsidRPr="00AA3C8F">
              <w:rPr>
                <w:sz w:val="22"/>
              </w:rPr>
              <w:t>Adultos</w:t>
            </w:r>
          </w:p>
        </w:tc>
        <w:tc>
          <w:tcPr>
            <w:tcW w:w="3096" w:type="dxa"/>
          </w:tcPr>
          <w:p w14:paraId="21B8473C" w14:textId="77777777" w:rsidR="008D13F4" w:rsidRPr="00AA3C8F" w:rsidRDefault="00615769" w:rsidP="0074724A">
            <w:pPr>
              <w:keepNext/>
              <w:numPr>
                <w:ilvl w:val="12"/>
                <w:numId w:val="0"/>
              </w:numPr>
              <w:suppressAutoHyphens/>
              <w:rPr>
                <w:sz w:val="22"/>
              </w:rPr>
            </w:pPr>
            <w:r w:rsidRPr="00454F99">
              <w:rPr>
                <w:sz w:val="22"/>
              </w:rPr>
              <w:t xml:space="preserve">Uma dose inicial de </w:t>
            </w:r>
            <w:r>
              <w:rPr>
                <w:sz w:val="22"/>
              </w:rPr>
              <w:t>8</w:t>
            </w:r>
            <w:r w:rsidRPr="00454F99">
              <w:rPr>
                <w:sz w:val="22"/>
              </w:rPr>
              <w:t>0 mg (</w:t>
            </w:r>
            <w:r>
              <w:rPr>
                <w:sz w:val="22"/>
              </w:rPr>
              <w:t xml:space="preserve">duas </w:t>
            </w:r>
            <w:r w:rsidRPr="00454F99">
              <w:rPr>
                <w:sz w:val="22"/>
              </w:rPr>
              <w:t>injeções de 40</w:t>
            </w:r>
            <w:r w:rsidRPr="004F0FBC">
              <w:rPr>
                <w:sz w:val="22"/>
              </w:rPr>
              <w:t> </w:t>
            </w:r>
            <w:r w:rsidRPr="006462E3">
              <w:rPr>
                <w:sz w:val="22"/>
              </w:rPr>
              <w:t>mg num dia</w:t>
            </w:r>
            <w:r w:rsidRPr="00854C93">
              <w:rPr>
                <w:sz w:val="22"/>
              </w:rPr>
              <w:t xml:space="preserve">), seguida de </w:t>
            </w:r>
            <w:r>
              <w:rPr>
                <w:sz w:val="22"/>
              </w:rPr>
              <w:t>4</w:t>
            </w:r>
            <w:r w:rsidRPr="00854C93">
              <w:rPr>
                <w:sz w:val="22"/>
              </w:rPr>
              <w:t>0</w:t>
            </w:r>
            <w:r w:rsidRPr="0089156B">
              <w:rPr>
                <w:sz w:val="22"/>
              </w:rPr>
              <w:t> </w:t>
            </w:r>
            <w:r w:rsidRPr="004931CE">
              <w:rPr>
                <w:sz w:val="22"/>
              </w:rPr>
              <w:t>mg</w:t>
            </w:r>
            <w:r>
              <w:rPr>
                <w:sz w:val="22"/>
              </w:rPr>
              <w:t xml:space="preserve"> em semanas alternadas, uma</w:t>
            </w:r>
            <w:r w:rsidRPr="00AA3C8F">
              <w:rPr>
                <w:sz w:val="22"/>
              </w:rPr>
              <w:t xml:space="preserve"> semana após a dose inicial.</w:t>
            </w:r>
          </w:p>
        </w:tc>
        <w:tc>
          <w:tcPr>
            <w:tcW w:w="3096" w:type="dxa"/>
          </w:tcPr>
          <w:p w14:paraId="35918FE8" w14:textId="77777777" w:rsidR="008D13F4" w:rsidRPr="00C40041" w:rsidRDefault="00615769" w:rsidP="0074724A">
            <w:pPr>
              <w:keepNext/>
              <w:rPr>
                <w:b/>
                <w:bCs/>
                <w:sz w:val="22"/>
                <w:szCs w:val="22"/>
              </w:rPr>
            </w:pPr>
            <w:r w:rsidRPr="00C40041">
              <w:rPr>
                <w:bCs/>
                <w:sz w:val="22"/>
                <w:szCs w:val="22"/>
              </w:rPr>
              <w:t>Pode continuar a utilizar corticosteroides ou outros medicamentos que influenciam o sistema imunitário enquanto se usa Humira. Humira pode ser usado isoladamente.</w:t>
            </w:r>
          </w:p>
          <w:p w14:paraId="2C4A7938" w14:textId="77777777" w:rsidR="008D13F4" w:rsidRPr="00AA3C8F" w:rsidRDefault="008D13F4" w:rsidP="0074724A">
            <w:pPr>
              <w:keepNext/>
              <w:numPr>
                <w:ilvl w:val="12"/>
                <w:numId w:val="0"/>
              </w:numPr>
              <w:suppressAutoHyphens/>
              <w:ind w:right="-2"/>
              <w:rPr>
                <w:sz w:val="22"/>
              </w:rPr>
            </w:pPr>
          </w:p>
        </w:tc>
      </w:tr>
      <w:tr w:rsidR="00A7162A" w14:paraId="6B9BB38C" w14:textId="77777777" w:rsidTr="0074724A">
        <w:tc>
          <w:tcPr>
            <w:tcW w:w="3095" w:type="dxa"/>
          </w:tcPr>
          <w:p w14:paraId="20E76E18" w14:textId="77777777" w:rsidR="008D13F4" w:rsidRPr="00AA3C8F" w:rsidRDefault="00615769" w:rsidP="0074724A">
            <w:pPr>
              <w:keepNext/>
              <w:numPr>
                <w:ilvl w:val="12"/>
                <w:numId w:val="0"/>
              </w:numPr>
              <w:suppressAutoHyphens/>
              <w:ind w:right="-2"/>
              <w:rPr>
                <w:sz w:val="22"/>
              </w:rPr>
            </w:pPr>
            <w:r>
              <w:rPr>
                <w:sz w:val="22"/>
              </w:rPr>
              <w:t>Crianças e adolescentes a partir dos 2 anos de idade com peso inferior a 30 kg</w:t>
            </w:r>
          </w:p>
        </w:tc>
        <w:tc>
          <w:tcPr>
            <w:tcW w:w="3096" w:type="dxa"/>
          </w:tcPr>
          <w:p w14:paraId="69775885" w14:textId="77777777" w:rsidR="008D13F4" w:rsidRPr="00454F99" w:rsidRDefault="00615769" w:rsidP="0074724A">
            <w:pPr>
              <w:keepNext/>
              <w:numPr>
                <w:ilvl w:val="12"/>
                <w:numId w:val="0"/>
              </w:numPr>
              <w:suppressAutoHyphens/>
              <w:rPr>
                <w:sz w:val="22"/>
              </w:rPr>
            </w:pPr>
            <w:r>
              <w:rPr>
                <w:sz w:val="22"/>
              </w:rPr>
              <w:t>20 mg em semanas alternadas</w:t>
            </w:r>
          </w:p>
        </w:tc>
        <w:tc>
          <w:tcPr>
            <w:tcW w:w="3096" w:type="dxa"/>
          </w:tcPr>
          <w:p w14:paraId="228BE34D" w14:textId="77777777" w:rsidR="008D13F4" w:rsidRPr="00C40041" w:rsidRDefault="00615769" w:rsidP="0074724A">
            <w:pPr>
              <w:keepNext/>
              <w:rPr>
                <w:bCs/>
                <w:sz w:val="22"/>
                <w:szCs w:val="22"/>
              </w:rPr>
            </w:pPr>
            <w:r>
              <w:rPr>
                <w:bCs/>
                <w:sz w:val="22"/>
                <w:szCs w:val="22"/>
              </w:rPr>
              <w:t>O seu médico pode prescrever uma dose inicial de 40 mg que pode ser administrada uma semana antes do início da dose habitual de 20 mg em semanas alternadas. Recomenda-se a utilização de Humira em associação com metotrexato.</w:t>
            </w:r>
          </w:p>
        </w:tc>
      </w:tr>
      <w:tr w:rsidR="00A7162A" w14:paraId="3CEFA117" w14:textId="77777777" w:rsidTr="0074724A">
        <w:tc>
          <w:tcPr>
            <w:tcW w:w="3095" w:type="dxa"/>
          </w:tcPr>
          <w:p w14:paraId="4F43F300" w14:textId="77777777" w:rsidR="008D13F4" w:rsidRPr="00AA3C8F" w:rsidRDefault="00615769" w:rsidP="0074724A">
            <w:pPr>
              <w:keepNext/>
              <w:numPr>
                <w:ilvl w:val="12"/>
                <w:numId w:val="0"/>
              </w:numPr>
              <w:suppressAutoHyphens/>
              <w:ind w:right="-2"/>
              <w:rPr>
                <w:sz w:val="22"/>
              </w:rPr>
            </w:pPr>
            <w:r>
              <w:rPr>
                <w:sz w:val="22"/>
              </w:rPr>
              <w:t>Crianças e adolescentes a partir dos 2 anos de idade com pelo menos 30 kg</w:t>
            </w:r>
          </w:p>
        </w:tc>
        <w:tc>
          <w:tcPr>
            <w:tcW w:w="3096" w:type="dxa"/>
          </w:tcPr>
          <w:p w14:paraId="7CCE2BA0" w14:textId="77777777" w:rsidR="008D13F4" w:rsidRPr="00454F99" w:rsidRDefault="00615769" w:rsidP="0074724A">
            <w:pPr>
              <w:keepNext/>
              <w:numPr>
                <w:ilvl w:val="12"/>
                <w:numId w:val="0"/>
              </w:numPr>
              <w:suppressAutoHyphens/>
              <w:rPr>
                <w:sz w:val="22"/>
              </w:rPr>
            </w:pPr>
            <w:r>
              <w:rPr>
                <w:sz w:val="22"/>
              </w:rPr>
              <w:t>40 mg em semanas alternadas</w:t>
            </w:r>
          </w:p>
        </w:tc>
        <w:tc>
          <w:tcPr>
            <w:tcW w:w="3096" w:type="dxa"/>
          </w:tcPr>
          <w:p w14:paraId="0C6C9728" w14:textId="77777777" w:rsidR="008D13F4" w:rsidRPr="00C40041" w:rsidRDefault="00615769" w:rsidP="0074724A">
            <w:pPr>
              <w:keepNext/>
              <w:rPr>
                <w:bCs/>
                <w:sz w:val="22"/>
                <w:szCs w:val="22"/>
              </w:rPr>
            </w:pPr>
            <w:r>
              <w:rPr>
                <w:bCs/>
                <w:sz w:val="22"/>
                <w:szCs w:val="22"/>
              </w:rPr>
              <w:t>O seu médico pode prescrever uma dose inicial de 80 mg que pode ser administrada uma semana antes do início da dose habitual de 40 mg em semanas alternadas. Recomenda-se a utilização de Humira em associação com metotrexato.</w:t>
            </w:r>
          </w:p>
        </w:tc>
      </w:tr>
    </w:tbl>
    <w:p w14:paraId="5003B4BD" w14:textId="77777777" w:rsidR="008D13F4" w:rsidRDefault="008D13F4" w:rsidP="008D13F4">
      <w:pPr>
        <w:pStyle w:val="BodyText3"/>
      </w:pPr>
    </w:p>
    <w:p w14:paraId="39399825" w14:textId="77777777" w:rsidR="008D13F4" w:rsidRPr="001242C2" w:rsidRDefault="00615769" w:rsidP="008D13F4">
      <w:pPr>
        <w:pStyle w:val="BodyText3"/>
        <w:rPr>
          <w:b/>
          <w:bCs/>
          <w:szCs w:val="22"/>
        </w:rPr>
      </w:pPr>
      <w:r w:rsidRPr="001242C2">
        <w:rPr>
          <w:b/>
          <w:bCs/>
          <w:szCs w:val="22"/>
        </w:rPr>
        <w:t>Modo e via de administração</w:t>
      </w:r>
    </w:p>
    <w:p w14:paraId="718E82FA" w14:textId="77777777" w:rsidR="008D13F4" w:rsidRPr="001242C2" w:rsidRDefault="008D13F4" w:rsidP="008D13F4">
      <w:pPr>
        <w:ind w:right="-2"/>
        <w:rPr>
          <w:sz w:val="22"/>
          <w:szCs w:val="22"/>
        </w:rPr>
      </w:pPr>
    </w:p>
    <w:p w14:paraId="0343B23A" w14:textId="77777777" w:rsidR="008D13F4" w:rsidRPr="001242C2" w:rsidRDefault="00615769" w:rsidP="008D13F4">
      <w:pPr>
        <w:ind w:right="-2"/>
        <w:rPr>
          <w:sz w:val="22"/>
          <w:szCs w:val="22"/>
        </w:rPr>
      </w:pPr>
      <w:r w:rsidRPr="001242C2">
        <w:rPr>
          <w:sz w:val="22"/>
          <w:szCs w:val="22"/>
        </w:rPr>
        <w:t>Humira é administrado por injeção debaixo da pele (via subcutânea).</w:t>
      </w:r>
    </w:p>
    <w:p w14:paraId="571902DB" w14:textId="77777777" w:rsidR="008D13F4" w:rsidRPr="001242C2" w:rsidRDefault="008D13F4" w:rsidP="008D13F4">
      <w:pPr>
        <w:pStyle w:val="BodyText3"/>
        <w:rPr>
          <w:szCs w:val="22"/>
        </w:rPr>
      </w:pPr>
    </w:p>
    <w:p w14:paraId="758F76B5" w14:textId="77777777" w:rsidR="008D13F4" w:rsidRPr="001242C2" w:rsidRDefault="00615769" w:rsidP="008D13F4">
      <w:pPr>
        <w:rPr>
          <w:sz w:val="22"/>
          <w:szCs w:val="22"/>
        </w:rPr>
      </w:pPr>
      <w:r w:rsidRPr="001242C2">
        <w:rPr>
          <w:b/>
          <w:sz w:val="22"/>
          <w:szCs w:val="22"/>
        </w:rPr>
        <w:t>Instruções detalhadas sobre como administrar a injeção de Humira estão indicadas na secção 7 “</w:t>
      </w:r>
      <w:r w:rsidR="00D9427F">
        <w:rPr>
          <w:b/>
          <w:sz w:val="22"/>
          <w:szCs w:val="22"/>
        </w:rPr>
        <w:t>Injetar Humira</w:t>
      </w:r>
      <w:r w:rsidRPr="001242C2">
        <w:rPr>
          <w:b/>
          <w:sz w:val="22"/>
          <w:szCs w:val="22"/>
        </w:rPr>
        <w:t>”</w:t>
      </w:r>
      <w:r w:rsidRPr="001242C2">
        <w:rPr>
          <w:sz w:val="22"/>
          <w:szCs w:val="22"/>
        </w:rPr>
        <w:t>.</w:t>
      </w:r>
    </w:p>
    <w:p w14:paraId="1BC9E4DC" w14:textId="77777777" w:rsidR="008D13F4" w:rsidRPr="001242C2" w:rsidRDefault="008D13F4" w:rsidP="008D13F4">
      <w:pPr>
        <w:rPr>
          <w:sz w:val="22"/>
          <w:szCs w:val="22"/>
        </w:rPr>
      </w:pPr>
    </w:p>
    <w:p w14:paraId="2B5D7D00" w14:textId="77777777" w:rsidR="008D13F4" w:rsidRPr="001242C2" w:rsidRDefault="00615769" w:rsidP="008D13F4">
      <w:pPr>
        <w:rPr>
          <w:b/>
          <w:sz w:val="22"/>
          <w:szCs w:val="22"/>
        </w:rPr>
      </w:pPr>
      <w:r w:rsidRPr="001242C2">
        <w:rPr>
          <w:b/>
          <w:sz w:val="22"/>
          <w:szCs w:val="22"/>
        </w:rPr>
        <w:t>Se utilizar mais Humira do que deveria</w:t>
      </w:r>
    </w:p>
    <w:p w14:paraId="3C9141DE" w14:textId="77777777" w:rsidR="008D13F4" w:rsidRPr="001242C2" w:rsidRDefault="008D13F4" w:rsidP="008D13F4">
      <w:pPr>
        <w:rPr>
          <w:sz w:val="22"/>
          <w:szCs w:val="22"/>
        </w:rPr>
      </w:pPr>
    </w:p>
    <w:p w14:paraId="2B98A576" w14:textId="77777777" w:rsidR="008D13F4" w:rsidRPr="008912CF" w:rsidRDefault="00615769" w:rsidP="008D13F4">
      <w:pPr>
        <w:rPr>
          <w:sz w:val="22"/>
          <w:szCs w:val="22"/>
        </w:rPr>
      </w:pPr>
      <w:r w:rsidRPr="001242C2">
        <w:rPr>
          <w:sz w:val="22"/>
          <w:szCs w:val="22"/>
        </w:rPr>
        <w:t>Se injetar acidentalmente Humira mais frequentemente do</w:t>
      </w:r>
      <w:r w:rsidRPr="008912CF">
        <w:rPr>
          <w:sz w:val="22"/>
          <w:szCs w:val="22"/>
        </w:rPr>
        <w:t xml:space="preserve"> que o prescrito, contacte o seu médico ou farmacêutico e informe-os de que utilizou mais do que devia. Leve sempre consigo a embalagem exterior do medicamento, mesmo que esteja vazia. </w:t>
      </w:r>
    </w:p>
    <w:p w14:paraId="1A10621B" w14:textId="77777777" w:rsidR="008D13F4" w:rsidRPr="008912CF" w:rsidRDefault="008D13F4" w:rsidP="008D13F4">
      <w:pPr>
        <w:rPr>
          <w:sz w:val="22"/>
          <w:szCs w:val="22"/>
        </w:rPr>
      </w:pPr>
    </w:p>
    <w:p w14:paraId="01906F2B" w14:textId="77777777" w:rsidR="008D13F4" w:rsidRPr="008912CF" w:rsidRDefault="00615769" w:rsidP="008D13F4">
      <w:pPr>
        <w:rPr>
          <w:sz w:val="22"/>
          <w:szCs w:val="22"/>
        </w:rPr>
      </w:pPr>
      <w:r w:rsidRPr="008912CF">
        <w:rPr>
          <w:b/>
          <w:sz w:val="22"/>
          <w:szCs w:val="22"/>
        </w:rPr>
        <w:t xml:space="preserve">Caso se tenha esquecido de utilizar </w:t>
      </w:r>
      <w:r w:rsidRPr="008912CF">
        <w:rPr>
          <w:b/>
          <w:bCs/>
          <w:sz w:val="22"/>
          <w:szCs w:val="22"/>
        </w:rPr>
        <w:t>Humira</w:t>
      </w:r>
    </w:p>
    <w:p w14:paraId="1D05716E" w14:textId="77777777" w:rsidR="008D13F4" w:rsidRPr="008912CF" w:rsidRDefault="008D13F4" w:rsidP="008D13F4">
      <w:pPr>
        <w:rPr>
          <w:sz w:val="22"/>
          <w:szCs w:val="22"/>
        </w:rPr>
      </w:pPr>
    </w:p>
    <w:p w14:paraId="74DD5443" w14:textId="77777777" w:rsidR="008D13F4" w:rsidRPr="008912CF" w:rsidRDefault="00615769" w:rsidP="008D13F4">
      <w:pPr>
        <w:pStyle w:val="BodyText3"/>
        <w:rPr>
          <w:szCs w:val="22"/>
        </w:rPr>
      </w:pPr>
      <w:r w:rsidRPr="008912CF">
        <w:rPr>
          <w:szCs w:val="22"/>
        </w:rPr>
        <w:t xml:space="preserve">Caso se tenha esquecido de administrar uma injeção, administre a próxima dose de Humira logo que se lembrar. Administre a dose seguinte conforme prescrito, como se não tivesse omitido a dose anterior. </w:t>
      </w:r>
    </w:p>
    <w:p w14:paraId="69F688BC" w14:textId="77777777" w:rsidR="008D13F4" w:rsidRPr="008912CF" w:rsidRDefault="008D13F4" w:rsidP="008D13F4">
      <w:pPr>
        <w:suppressAutoHyphens/>
        <w:rPr>
          <w:b/>
          <w:sz w:val="22"/>
          <w:szCs w:val="22"/>
        </w:rPr>
      </w:pPr>
    </w:p>
    <w:p w14:paraId="31E8763B" w14:textId="77777777" w:rsidR="008D13F4" w:rsidRPr="008912CF" w:rsidRDefault="00615769" w:rsidP="008D13F4">
      <w:pPr>
        <w:suppressAutoHyphens/>
        <w:rPr>
          <w:sz w:val="22"/>
          <w:szCs w:val="22"/>
        </w:rPr>
      </w:pPr>
      <w:r w:rsidRPr="008912CF">
        <w:rPr>
          <w:b/>
          <w:sz w:val="22"/>
          <w:szCs w:val="22"/>
        </w:rPr>
        <w:t>Se parar de utilizar Humira</w:t>
      </w:r>
    </w:p>
    <w:p w14:paraId="3E0C786C" w14:textId="77777777" w:rsidR="008D13F4" w:rsidRPr="008912CF" w:rsidRDefault="008D13F4" w:rsidP="008D13F4">
      <w:pPr>
        <w:rPr>
          <w:sz w:val="22"/>
          <w:szCs w:val="22"/>
        </w:rPr>
      </w:pPr>
    </w:p>
    <w:p w14:paraId="7F74898B" w14:textId="77777777" w:rsidR="008D13F4" w:rsidRPr="008912CF" w:rsidRDefault="00615769" w:rsidP="008D13F4">
      <w:pPr>
        <w:rPr>
          <w:sz w:val="22"/>
          <w:szCs w:val="22"/>
        </w:rPr>
      </w:pPr>
      <w:r w:rsidRPr="008912CF">
        <w:rPr>
          <w:sz w:val="22"/>
          <w:szCs w:val="22"/>
        </w:rPr>
        <w:t>A decisão de parar de utilizar Humira deve ser avaliada com o seu médico. Os seus sintomas podem voltar</w:t>
      </w:r>
      <w:r w:rsidRPr="00BA3731">
        <w:rPr>
          <w:sz w:val="22"/>
          <w:szCs w:val="22"/>
        </w:rPr>
        <w:t xml:space="preserve"> </w:t>
      </w:r>
      <w:r w:rsidRPr="008B0DDF">
        <w:rPr>
          <w:sz w:val="22"/>
          <w:szCs w:val="22"/>
        </w:rPr>
        <w:t>se parar de utilizar Humira</w:t>
      </w:r>
      <w:r w:rsidRPr="008912CF">
        <w:rPr>
          <w:sz w:val="22"/>
          <w:szCs w:val="22"/>
        </w:rPr>
        <w:t>.</w:t>
      </w:r>
    </w:p>
    <w:p w14:paraId="34CD902F" w14:textId="77777777" w:rsidR="008D13F4" w:rsidRPr="008912CF" w:rsidRDefault="008D13F4" w:rsidP="008D13F4">
      <w:pPr>
        <w:ind w:right="-2"/>
        <w:rPr>
          <w:sz w:val="22"/>
          <w:szCs w:val="22"/>
        </w:rPr>
      </w:pPr>
    </w:p>
    <w:p w14:paraId="4D212A20" w14:textId="77777777" w:rsidR="008D13F4" w:rsidRPr="008912CF" w:rsidRDefault="00615769" w:rsidP="008D13F4">
      <w:pPr>
        <w:ind w:right="-2"/>
        <w:rPr>
          <w:sz w:val="22"/>
          <w:szCs w:val="22"/>
        </w:rPr>
      </w:pPr>
      <w:r w:rsidRPr="008912CF">
        <w:rPr>
          <w:sz w:val="22"/>
          <w:szCs w:val="22"/>
        </w:rPr>
        <w:t xml:space="preserve">Caso </w:t>
      </w:r>
      <w:r w:rsidR="00954510">
        <w:rPr>
          <w:sz w:val="22"/>
          <w:szCs w:val="22"/>
        </w:rPr>
        <w:t xml:space="preserve">ainda </w:t>
      </w:r>
      <w:r w:rsidRPr="008912CF">
        <w:rPr>
          <w:sz w:val="22"/>
          <w:szCs w:val="22"/>
        </w:rPr>
        <w:t>tenha dúvidas sobre a utilização deste medicamento, fale com o seu médico ou farmacêutico.</w:t>
      </w:r>
    </w:p>
    <w:p w14:paraId="0C59D94E" w14:textId="77777777" w:rsidR="008D13F4" w:rsidRPr="008912CF" w:rsidRDefault="008D13F4" w:rsidP="008D13F4">
      <w:pPr>
        <w:ind w:right="-2"/>
        <w:rPr>
          <w:sz w:val="22"/>
          <w:szCs w:val="22"/>
        </w:rPr>
      </w:pPr>
    </w:p>
    <w:p w14:paraId="6DF24A58" w14:textId="77777777" w:rsidR="008D13F4" w:rsidRPr="008912CF" w:rsidRDefault="008D13F4" w:rsidP="008D13F4">
      <w:pPr>
        <w:ind w:right="-2"/>
        <w:rPr>
          <w:sz w:val="22"/>
          <w:szCs w:val="22"/>
        </w:rPr>
      </w:pPr>
    </w:p>
    <w:p w14:paraId="031AF6FA" w14:textId="77777777" w:rsidR="008D13F4" w:rsidRPr="008912CF" w:rsidRDefault="00615769" w:rsidP="00137CFB">
      <w:pPr>
        <w:keepNext/>
        <w:ind w:left="567" w:right="-2" w:hanging="567"/>
        <w:rPr>
          <w:sz w:val="22"/>
          <w:szCs w:val="22"/>
        </w:rPr>
      </w:pPr>
      <w:r w:rsidRPr="008912CF">
        <w:rPr>
          <w:b/>
          <w:sz w:val="22"/>
          <w:szCs w:val="22"/>
        </w:rPr>
        <w:t>4.</w:t>
      </w:r>
      <w:r w:rsidRPr="008912CF">
        <w:rPr>
          <w:b/>
          <w:sz w:val="22"/>
          <w:szCs w:val="22"/>
        </w:rPr>
        <w:tab/>
        <w:t xml:space="preserve">Efeitos </w:t>
      </w:r>
      <w:r w:rsidR="00571C82">
        <w:rPr>
          <w:b/>
          <w:sz w:val="22"/>
          <w:szCs w:val="22"/>
        </w:rPr>
        <w:t>indesejáveis</w:t>
      </w:r>
      <w:r w:rsidRPr="008912CF">
        <w:rPr>
          <w:b/>
          <w:sz w:val="22"/>
          <w:szCs w:val="22"/>
        </w:rPr>
        <w:t xml:space="preserve"> possíveis </w:t>
      </w:r>
    </w:p>
    <w:p w14:paraId="3C81829A" w14:textId="77777777" w:rsidR="008D13F4" w:rsidRPr="008912CF" w:rsidRDefault="008D13F4" w:rsidP="00137CFB">
      <w:pPr>
        <w:keepNext/>
        <w:ind w:right="-2"/>
        <w:rPr>
          <w:sz w:val="22"/>
          <w:szCs w:val="22"/>
        </w:rPr>
      </w:pPr>
    </w:p>
    <w:p w14:paraId="4F7C271D" w14:textId="77777777" w:rsidR="008D13F4" w:rsidRPr="008912CF" w:rsidRDefault="00615769" w:rsidP="00137CFB">
      <w:pPr>
        <w:keepNext/>
        <w:rPr>
          <w:sz w:val="22"/>
          <w:szCs w:val="22"/>
        </w:rPr>
      </w:pPr>
      <w:r w:rsidRPr="008912CF">
        <w:rPr>
          <w:sz w:val="22"/>
          <w:szCs w:val="22"/>
        </w:rPr>
        <w:t xml:space="preserve">Como todos os medicamentos, este medicamento pode causar efeitos </w:t>
      </w:r>
      <w:r w:rsidR="00571C82">
        <w:rPr>
          <w:sz w:val="22"/>
          <w:szCs w:val="22"/>
        </w:rPr>
        <w:t>indesejáveis</w:t>
      </w:r>
      <w:r w:rsidRPr="008912CF">
        <w:rPr>
          <w:sz w:val="22"/>
          <w:szCs w:val="22"/>
        </w:rPr>
        <w:t xml:space="preserve">, embora estes não se manifestem em todas as pessoas. A maioria dos efeitos </w:t>
      </w:r>
      <w:r w:rsidR="00571C82">
        <w:rPr>
          <w:sz w:val="22"/>
          <w:szCs w:val="22"/>
        </w:rPr>
        <w:t>indesejáveis</w:t>
      </w:r>
      <w:r w:rsidRPr="008912CF">
        <w:rPr>
          <w:sz w:val="22"/>
          <w:szCs w:val="22"/>
        </w:rPr>
        <w:t xml:space="preserve"> </w:t>
      </w:r>
      <w:r w:rsidR="00F57DD7">
        <w:rPr>
          <w:sz w:val="22"/>
          <w:szCs w:val="22"/>
        </w:rPr>
        <w:t>são</w:t>
      </w:r>
      <w:r w:rsidRPr="008912CF">
        <w:rPr>
          <w:sz w:val="22"/>
          <w:szCs w:val="22"/>
        </w:rPr>
        <w:t xml:space="preserve"> ligeir</w:t>
      </w:r>
      <w:r w:rsidR="00F57DD7">
        <w:rPr>
          <w:sz w:val="22"/>
          <w:szCs w:val="22"/>
        </w:rPr>
        <w:t>os</w:t>
      </w:r>
      <w:r w:rsidRPr="008912CF">
        <w:rPr>
          <w:sz w:val="22"/>
          <w:szCs w:val="22"/>
        </w:rPr>
        <w:t xml:space="preserve"> a moderad</w:t>
      </w:r>
      <w:r w:rsidR="00F57DD7">
        <w:rPr>
          <w:sz w:val="22"/>
          <w:szCs w:val="22"/>
        </w:rPr>
        <w:t>os</w:t>
      </w:r>
      <w:r w:rsidRPr="008912CF">
        <w:rPr>
          <w:sz w:val="22"/>
          <w:szCs w:val="22"/>
        </w:rPr>
        <w:t xml:space="preserve">. No entanto, alguns podem ser graves e requerer tratamento. Podem ocorrer efeitos </w:t>
      </w:r>
      <w:r w:rsidR="00571C82">
        <w:rPr>
          <w:sz w:val="22"/>
          <w:szCs w:val="22"/>
        </w:rPr>
        <w:t>indesejáveis</w:t>
      </w:r>
      <w:r w:rsidRPr="008912CF">
        <w:rPr>
          <w:sz w:val="22"/>
          <w:szCs w:val="22"/>
        </w:rPr>
        <w:t xml:space="preserve"> pelo menos até 4 meses após a última injeção de Humira. </w:t>
      </w:r>
    </w:p>
    <w:p w14:paraId="68F553DB" w14:textId="77777777" w:rsidR="008D13F4" w:rsidRPr="008912CF" w:rsidRDefault="008D13F4" w:rsidP="008D13F4">
      <w:pPr>
        <w:rPr>
          <w:sz w:val="22"/>
          <w:szCs w:val="22"/>
        </w:rPr>
      </w:pPr>
    </w:p>
    <w:p w14:paraId="269EEDF9" w14:textId="77777777" w:rsidR="008D13F4" w:rsidRPr="008912CF" w:rsidRDefault="00615769" w:rsidP="008D13F4">
      <w:pPr>
        <w:pStyle w:val="EndnoteText"/>
        <w:tabs>
          <w:tab w:val="clear" w:pos="567"/>
        </w:tabs>
        <w:rPr>
          <w:szCs w:val="22"/>
        </w:rPr>
      </w:pPr>
      <w:r w:rsidRPr="008B0DDF">
        <w:rPr>
          <w:b/>
          <w:szCs w:val="22"/>
        </w:rPr>
        <w:t>I</w:t>
      </w:r>
      <w:r w:rsidRPr="00D87764">
        <w:rPr>
          <w:b/>
          <w:szCs w:val="22"/>
        </w:rPr>
        <w:t>nforme imediatamente o seu médico se tiver algum dos seguintes sintomas</w:t>
      </w:r>
    </w:p>
    <w:p w14:paraId="3A1C3523" w14:textId="77777777" w:rsidR="008D13F4" w:rsidRPr="008912CF" w:rsidRDefault="008D13F4" w:rsidP="008D13F4">
      <w:pPr>
        <w:rPr>
          <w:sz w:val="22"/>
          <w:szCs w:val="22"/>
        </w:rPr>
      </w:pPr>
    </w:p>
    <w:p w14:paraId="672F44B9" w14:textId="77777777" w:rsidR="008D13F4" w:rsidRPr="008912CF" w:rsidRDefault="00615769" w:rsidP="008D13F4">
      <w:pPr>
        <w:numPr>
          <w:ilvl w:val="1"/>
          <w:numId w:val="48"/>
        </w:numPr>
        <w:tabs>
          <w:tab w:val="num" w:pos="1440"/>
        </w:tabs>
        <w:rPr>
          <w:sz w:val="22"/>
          <w:szCs w:val="22"/>
        </w:rPr>
      </w:pPr>
      <w:r>
        <w:rPr>
          <w:sz w:val="22"/>
          <w:szCs w:val="22"/>
        </w:rPr>
        <w:t>p</w:t>
      </w:r>
      <w:r w:rsidRPr="008912CF">
        <w:rPr>
          <w:sz w:val="22"/>
          <w:szCs w:val="22"/>
        </w:rPr>
        <w:t>ele muito irritada, comichão ou outros sinais de reação alérgica</w:t>
      </w:r>
    </w:p>
    <w:p w14:paraId="1B6C5237" w14:textId="77777777" w:rsidR="008D13F4" w:rsidRPr="008912CF" w:rsidRDefault="00615769" w:rsidP="008D13F4">
      <w:pPr>
        <w:numPr>
          <w:ilvl w:val="1"/>
          <w:numId w:val="48"/>
        </w:numPr>
        <w:tabs>
          <w:tab w:val="num" w:pos="1440"/>
        </w:tabs>
        <w:rPr>
          <w:sz w:val="22"/>
          <w:szCs w:val="22"/>
        </w:rPr>
      </w:pPr>
      <w:r>
        <w:rPr>
          <w:sz w:val="22"/>
          <w:szCs w:val="22"/>
        </w:rPr>
        <w:t>i</w:t>
      </w:r>
      <w:r w:rsidRPr="008912CF">
        <w:rPr>
          <w:sz w:val="22"/>
          <w:szCs w:val="22"/>
        </w:rPr>
        <w:t xml:space="preserve">nchaço da face, mãos, pés </w:t>
      </w:r>
    </w:p>
    <w:p w14:paraId="259AB5C3" w14:textId="77777777" w:rsidR="008D13F4" w:rsidRPr="008912CF" w:rsidRDefault="00615769" w:rsidP="008D13F4">
      <w:pPr>
        <w:numPr>
          <w:ilvl w:val="1"/>
          <w:numId w:val="48"/>
        </w:numPr>
        <w:tabs>
          <w:tab w:val="num" w:pos="1440"/>
        </w:tabs>
        <w:rPr>
          <w:sz w:val="22"/>
          <w:szCs w:val="22"/>
        </w:rPr>
      </w:pPr>
      <w:r>
        <w:rPr>
          <w:sz w:val="22"/>
          <w:szCs w:val="22"/>
        </w:rPr>
        <w:t>d</w:t>
      </w:r>
      <w:r w:rsidRPr="008912CF">
        <w:rPr>
          <w:sz w:val="22"/>
          <w:szCs w:val="22"/>
        </w:rPr>
        <w:t>ificuldades em respirar, em engolir</w:t>
      </w:r>
    </w:p>
    <w:p w14:paraId="3B3BD301" w14:textId="77777777" w:rsidR="008D13F4" w:rsidRPr="008912CF" w:rsidRDefault="00615769" w:rsidP="008D13F4">
      <w:pPr>
        <w:numPr>
          <w:ilvl w:val="1"/>
          <w:numId w:val="48"/>
        </w:numPr>
        <w:tabs>
          <w:tab w:val="num" w:pos="1440"/>
        </w:tabs>
        <w:rPr>
          <w:sz w:val="22"/>
          <w:szCs w:val="22"/>
        </w:rPr>
      </w:pPr>
      <w:r>
        <w:rPr>
          <w:sz w:val="22"/>
          <w:szCs w:val="22"/>
        </w:rPr>
        <w:t>f</w:t>
      </w:r>
      <w:r w:rsidRPr="008912CF">
        <w:rPr>
          <w:sz w:val="22"/>
          <w:szCs w:val="22"/>
        </w:rPr>
        <w:t xml:space="preserve">alta de ar durante </w:t>
      </w:r>
      <w:r>
        <w:rPr>
          <w:sz w:val="22"/>
          <w:szCs w:val="22"/>
        </w:rPr>
        <w:t>atividade física</w:t>
      </w:r>
      <w:r w:rsidRPr="008912CF">
        <w:rPr>
          <w:sz w:val="22"/>
          <w:szCs w:val="22"/>
        </w:rPr>
        <w:t xml:space="preserve"> ou quando deitado ou inchaço dos pés.</w:t>
      </w:r>
    </w:p>
    <w:p w14:paraId="011AAD0D" w14:textId="77777777" w:rsidR="008D13F4" w:rsidRPr="008912CF" w:rsidRDefault="008D13F4" w:rsidP="008D13F4">
      <w:pPr>
        <w:rPr>
          <w:sz w:val="22"/>
          <w:szCs w:val="22"/>
        </w:rPr>
      </w:pPr>
    </w:p>
    <w:p w14:paraId="776D7D79" w14:textId="77777777" w:rsidR="008D13F4" w:rsidRPr="008B0DDF" w:rsidRDefault="00615769" w:rsidP="008D13F4">
      <w:pPr>
        <w:rPr>
          <w:b/>
          <w:sz w:val="22"/>
          <w:szCs w:val="22"/>
        </w:rPr>
      </w:pPr>
      <w:r w:rsidRPr="008B0DDF">
        <w:rPr>
          <w:b/>
          <w:sz w:val="22"/>
          <w:szCs w:val="22"/>
        </w:rPr>
        <w:t xml:space="preserve">Informe </w:t>
      </w:r>
      <w:r>
        <w:rPr>
          <w:b/>
          <w:sz w:val="22"/>
          <w:szCs w:val="22"/>
        </w:rPr>
        <w:t xml:space="preserve">logo que </w:t>
      </w:r>
      <w:r w:rsidRPr="008B0DDF">
        <w:rPr>
          <w:b/>
          <w:sz w:val="22"/>
          <w:szCs w:val="22"/>
        </w:rPr>
        <w:t>possível o seu médico se tiver algum dos seguintes sintomas</w:t>
      </w:r>
    </w:p>
    <w:p w14:paraId="3E737C2D" w14:textId="77777777" w:rsidR="008D13F4" w:rsidRPr="008912CF" w:rsidRDefault="008D13F4" w:rsidP="008D13F4">
      <w:pPr>
        <w:rPr>
          <w:sz w:val="22"/>
          <w:szCs w:val="22"/>
        </w:rPr>
      </w:pPr>
    </w:p>
    <w:p w14:paraId="6F6F9B0B" w14:textId="77777777" w:rsidR="008D13F4" w:rsidRPr="008912CF" w:rsidRDefault="00615769" w:rsidP="008D13F4">
      <w:pPr>
        <w:numPr>
          <w:ilvl w:val="2"/>
          <w:numId w:val="48"/>
        </w:numPr>
        <w:tabs>
          <w:tab w:val="left" w:pos="993"/>
        </w:tabs>
        <w:rPr>
          <w:sz w:val="22"/>
          <w:szCs w:val="22"/>
        </w:rPr>
      </w:pPr>
      <w:r>
        <w:rPr>
          <w:sz w:val="22"/>
          <w:szCs w:val="22"/>
        </w:rPr>
        <w:t>s</w:t>
      </w:r>
      <w:r w:rsidRPr="008912CF">
        <w:rPr>
          <w:sz w:val="22"/>
          <w:szCs w:val="22"/>
        </w:rPr>
        <w:t xml:space="preserve">inais de infeção tais como febre, má disposição, feridas, problemas dentários ou sensação de ardor ao urinar </w:t>
      </w:r>
    </w:p>
    <w:p w14:paraId="279BE6E4" w14:textId="77777777" w:rsidR="008D13F4" w:rsidRPr="008912CF" w:rsidRDefault="00615769" w:rsidP="008D13F4">
      <w:pPr>
        <w:numPr>
          <w:ilvl w:val="2"/>
          <w:numId w:val="48"/>
        </w:numPr>
        <w:tabs>
          <w:tab w:val="left" w:pos="993"/>
        </w:tabs>
        <w:rPr>
          <w:sz w:val="22"/>
          <w:szCs w:val="22"/>
        </w:rPr>
      </w:pPr>
      <w:r>
        <w:rPr>
          <w:sz w:val="22"/>
          <w:szCs w:val="22"/>
        </w:rPr>
        <w:t>s</w:t>
      </w:r>
      <w:r w:rsidRPr="008912CF">
        <w:rPr>
          <w:sz w:val="22"/>
          <w:szCs w:val="22"/>
        </w:rPr>
        <w:t>ensação de fraqueza ou cansaço</w:t>
      </w:r>
    </w:p>
    <w:p w14:paraId="22F56FE7" w14:textId="77777777" w:rsidR="008D13F4" w:rsidRPr="008912CF" w:rsidRDefault="00615769" w:rsidP="008D13F4">
      <w:pPr>
        <w:numPr>
          <w:ilvl w:val="2"/>
          <w:numId w:val="48"/>
        </w:numPr>
        <w:tabs>
          <w:tab w:val="left" w:pos="993"/>
        </w:tabs>
        <w:rPr>
          <w:sz w:val="22"/>
          <w:szCs w:val="22"/>
        </w:rPr>
      </w:pPr>
      <w:r>
        <w:rPr>
          <w:sz w:val="22"/>
          <w:szCs w:val="22"/>
        </w:rPr>
        <w:t>t</w:t>
      </w:r>
      <w:r w:rsidRPr="008912CF">
        <w:rPr>
          <w:sz w:val="22"/>
          <w:szCs w:val="22"/>
        </w:rPr>
        <w:t>osse</w:t>
      </w:r>
    </w:p>
    <w:p w14:paraId="3CD2B7CD" w14:textId="77777777" w:rsidR="008D13F4" w:rsidRPr="008912CF" w:rsidRDefault="00615769" w:rsidP="008D13F4">
      <w:pPr>
        <w:numPr>
          <w:ilvl w:val="2"/>
          <w:numId w:val="48"/>
        </w:numPr>
        <w:tabs>
          <w:tab w:val="left" w:pos="993"/>
        </w:tabs>
        <w:rPr>
          <w:sz w:val="22"/>
          <w:szCs w:val="22"/>
        </w:rPr>
      </w:pPr>
      <w:r>
        <w:rPr>
          <w:sz w:val="22"/>
          <w:szCs w:val="22"/>
        </w:rPr>
        <w:t>f</w:t>
      </w:r>
      <w:r w:rsidRPr="008912CF">
        <w:rPr>
          <w:sz w:val="22"/>
          <w:szCs w:val="22"/>
        </w:rPr>
        <w:t>ormigueiro</w:t>
      </w:r>
    </w:p>
    <w:p w14:paraId="7AE206DD" w14:textId="77777777" w:rsidR="008D13F4" w:rsidRPr="008912CF" w:rsidRDefault="00615769" w:rsidP="008D13F4">
      <w:pPr>
        <w:numPr>
          <w:ilvl w:val="2"/>
          <w:numId w:val="48"/>
        </w:numPr>
        <w:tabs>
          <w:tab w:val="left" w:pos="993"/>
        </w:tabs>
        <w:rPr>
          <w:sz w:val="22"/>
          <w:szCs w:val="22"/>
        </w:rPr>
      </w:pPr>
      <w:r>
        <w:rPr>
          <w:sz w:val="22"/>
          <w:szCs w:val="22"/>
        </w:rPr>
        <w:t>d</w:t>
      </w:r>
      <w:r w:rsidRPr="008912CF">
        <w:rPr>
          <w:sz w:val="22"/>
          <w:szCs w:val="22"/>
        </w:rPr>
        <w:t>ormência</w:t>
      </w:r>
    </w:p>
    <w:p w14:paraId="4C2E52DB" w14:textId="77777777" w:rsidR="008D13F4" w:rsidRPr="008912CF" w:rsidRDefault="00615769" w:rsidP="008D13F4">
      <w:pPr>
        <w:numPr>
          <w:ilvl w:val="2"/>
          <w:numId w:val="48"/>
        </w:numPr>
        <w:tabs>
          <w:tab w:val="left" w:pos="993"/>
        </w:tabs>
        <w:rPr>
          <w:sz w:val="22"/>
          <w:szCs w:val="22"/>
        </w:rPr>
      </w:pPr>
      <w:r>
        <w:rPr>
          <w:sz w:val="22"/>
          <w:szCs w:val="22"/>
        </w:rPr>
        <w:t>v</w:t>
      </w:r>
      <w:r w:rsidRPr="008912CF">
        <w:rPr>
          <w:sz w:val="22"/>
          <w:szCs w:val="22"/>
        </w:rPr>
        <w:t xml:space="preserve">isão dupla </w:t>
      </w:r>
    </w:p>
    <w:p w14:paraId="282D7E17" w14:textId="77777777" w:rsidR="008D13F4" w:rsidRPr="008912CF" w:rsidRDefault="00615769" w:rsidP="008D13F4">
      <w:pPr>
        <w:numPr>
          <w:ilvl w:val="0"/>
          <w:numId w:val="49"/>
        </w:numPr>
        <w:tabs>
          <w:tab w:val="left" w:pos="993"/>
        </w:tabs>
        <w:rPr>
          <w:sz w:val="22"/>
          <w:szCs w:val="22"/>
        </w:rPr>
      </w:pPr>
      <w:r>
        <w:rPr>
          <w:sz w:val="22"/>
          <w:szCs w:val="22"/>
        </w:rPr>
        <w:t>s</w:t>
      </w:r>
      <w:r w:rsidRPr="008912CF">
        <w:rPr>
          <w:sz w:val="22"/>
          <w:szCs w:val="22"/>
        </w:rPr>
        <w:t>ensação de fraqueza nos braços ou pernas</w:t>
      </w:r>
    </w:p>
    <w:p w14:paraId="744B0CB9" w14:textId="77777777" w:rsidR="008D13F4" w:rsidRPr="008912CF" w:rsidRDefault="00615769" w:rsidP="008D13F4">
      <w:pPr>
        <w:numPr>
          <w:ilvl w:val="0"/>
          <w:numId w:val="49"/>
        </w:numPr>
        <w:tabs>
          <w:tab w:val="left" w:pos="993"/>
        </w:tabs>
        <w:rPr>
          <w:sz w:val="22"/>
          <w:szCs w:val="22"/>
        </w:rPr>
      </w:pPr>
      <w:r>
        <w:rPr>
          <w:sz w:val="22"/>
          <w:szCs w:val="22"/>
        </w:rPr>
        <w:t>i</w:t>
      </w:r>
      <w:r w:rsidRPr="008912CF">
        <w:rPr>
          <w:sz w:val="22"/>
          <w:szCs w:val="22"/>
        </w:rPr>
        <w:t>nchaço ou ferida aberta que não cicatriza</w:t>
      </w:r>
    </w:p>
    <w:p w14:paraId="7E340346" w14:textId="77777777" w:rsidR="008D13F4" w:rsidRPr="008912CF" w:rsidRDefault="00615769" w:rsidP="008D13F4">
      <w:pPr>
        <w:numPr>
          <w:ilvl w:val="0"/>
          <w:numId w:val="49"/>
        </w:numPr>
        <w:tabs>
          <w:tab w:val="left" w:pos="993"/>
        </w:tabs>
        <w:rPr>
          <w:sz w:val="22"/>
          <w:szCs w:val="22"/>
        </w:rPr>
      </w:pPr>
      <w:r>
        <w:rPr>
          <w:sz w:val="22"/>
          <w:szCs w:val="22"/>
        </w:rPr>
        <w:t>s</w:t>
      </w:r>
      <w:r w:rsidRPr="008912CF">
        <w:rPr>
          <w:sz w:val="22"/>
          <w:szCs w:val="22"/>
        </w:rPr>
        <w:t>inais ou sintomas sugestivos de alterações sanguíneas tais como febre persistente, nódoas negras, hemorragias, palidez</w:t>
      </w:r>
    </w:p>
    <w:p w14:paraId="2C6E8E31" w14:textId="77777777" w:rsidR="008D13F4" w:rsidRPr="008912CF" w:rsidRDefault="008D13F4" w:rsidP="008D13F4">
      <w:pPr>
        <w:rPr>
          <w:sz w:val="22"/>
          <w:szCs w:val="22"/>
        </w:rPr>
      </w:pPr>
    </w:p>
    <w:p w14:paraId="2851A7B9" w14:textId="77777777" w:rsidR="008D13F4" w:rsidRPr="008912CF" w:rsidRDefault="00615769" w:rsidP="008D13F4">
      <w:pPr>
        <w:rPr>
          <w:sz w:val="22"/>
          <w:szCs w:val="22"/>
        </w:rPr>
      </w:pPr>
      <w:r w:rsidRPr="008912CF">
        <w:rPr>
          <w:sz w:val="22"/>
          <w:szCs w:val="22"/>
        </w:rPr>
        <w:t xml:space="preserve">Os sintomas descritos acima podem ser sinais dos efeitos </w:t>
      </w:r>
      <w:r w:rsidR="00571C82">
        <w:rPr>
          <w:sz w:val="22"/>
          <w:szCs w:val="22"/>
        </w:rPr>
        <w:t>indesejáveis</w:t>
      </w:r>
      <w:r w:rsidRPr="008912CF">
        <w:rPr>
          <w:sz w:val="22"/>
          <w:szCs w:val="22"/>
        </w:rPr>
        <w:t xml:space="preserve"> descritos a seguir e que foram observados com Humira</w:t>
      </w:r>
      <w:r w:rsidR="00122199">
        <w:rPr>
          <w:sz w:val="22"/>
          <w:szCs w:val="22"/>
        </w:rPr>
        <w:t>.</w:t>
      </w:r>
    </w:p>
    <w:p w14:paraId="5F9C2757" w14:textId="77777777" w:rsidR="008D13F4" w:rsidRPr="008912CF" w:rsidRDefault="008D13F4" w:rsidP="008D13F4">
      <w:pPr>
        <w:rPr>
          <w:sz w:val="22"/>
          <w:szCs w:val="22"/>
        </w:rPr>
      </w:pPr>
    </w:p>
    <w:p w14:paraId="049E2B39" w14:textId="77777777" w:rsidR="008D13F4" w:rsidRPr="008912CF" w:rsidRDefault="00615769" w:rsidP="008D13F4">
      <w:pPr>
        <w:rPr>
          <w:sz w:val="22"/>
          <w:szCs w:val="22"/>
        </w:rPr>
      </w:pPr>
      <w:r w:rsidRPr="00824537">
        <w:rPr>
          <w:b/>
          <w:sz w:val="22"/>
          <w:szCs w:val="22"/>
        </w:rPr>
        <w:t>Muito frequentes</w:t>
      </w:r>
      <w:r w:rsidRPr="008912CF">
        <w:rPr>
          <w:sz w:val="22"/>
          <w:szCs w:val="22"/>
        </w:rPr>
        <w:t xml:space="preserve"> (podem afetar mais de 1 em 10 pessoas) </w:t>
      </w:r>
    </w:p>
    <w:p w14:paraId="42ECCB6D" w14:textId="77777777" w:rsidR="008D13F4" w:rsidRPr="008912CF" w:rsidRDefault="008D13F4" w:rsidP="008D13F4">
      <w:pPr>
        <w:rPr>
          <w:sz w:val="22"/>
          <w:szCs w:val="22"/>
        </w:rPr>
      </w:pPr>
    </w:p>
    <w:p w14:paraId="1144E466" w14:textId="77777777" w:rsidR="008D13F4" w:rsidRPr="008912CF" w:rsidRDefault="00615769" w:rsidP="008D13F4">
      <w:pPr>
        <w:numPr>
          <w:ilvl w:val="0"/>
          <w:numId w:val="70"/>
        </w:numPr>
        <w:tabs>
          <w:tab w:val="clear" w:pos="0"/>
        </w:tabs>
        <w:ind w:left="568" w:hanging="568"/>
        <w:rPr>
          <w:sz w:val="22"/>
          <w:szCs w:val="22"/>
        </w:rPr>
      </w:pPr>
      <w:r w:rsidRPr="008912CF">
        <w:rPr>
          <w:sz w:val="22"/>
          <w:szCs w:val="22"/>
        </w:rPr>
        <w:t>reações no local da injeção (incluindo dor, inchaço, vermelhidão ou comichão)</w:t>
      </w:r>
    </w:p>
    <w:p w14:paraId="1AFAE1B1" w14:textId="77777777" w:rsidR="008D13F4" w:rsidRPr="008912CF" w:rsidRDefault="00615769" w:rsidP="008D13F4">
      <w:pPr>
        <w:numPr>
          <w:ilvl w:val="0"/>
          <w:numId w:val="67"/>
        </w:numPr>
        <w:tabs>
          <w:tab w:val="clear" w:pos="284"/>
          <w:tab w:val="left" w:pos="600"/>
        </w:tabs>
        <w:ind w:left="568" w:hanging="568"/>
        <w:rPr>
          <w:sz w:val="22"/>
          <w:szCs w:val="22"/>
        </w:rPr>
      </w:pPr>
      <w:r w:rsidRPr="008912CF">
        <w:rPr>
          <w:sz w:val="22"/>
          <w:szCs w:val="22"/>
        </w:rPr>
        <w:t>infeções do trato respiratório (incluindo constipação, nariz a pingar, infeção sinusal, pneumonia)</w:t>
      </w:r>
    </w:p>
    <w:p w14:paraId="25B10577" w14:textId="77777777" w:rsidR="008D13F4" w:rsidRPr="008912CF" w:rsidRDefault="00615769" w:rsidP="008D13F4">
      <w:pPr>
        <w:numPr>
          <w:ilvl w:val="0"/>
          <w:numId w:val="67"/>
        </w:numPr>
        <w:tabs>
          <w:tab w:val="clear" w:pos="284"/>
          <w:tab w:val="left" w:pos="600"/>
        </w:tabs>
        <w:ind w:left="568" w:hanging="568"/>
        <w:rPr>
          <w:sz w:val="22"/>
          <w:szCs w:val="22"/>
        </w:rPr>
      </w:pPr>
      <w:r w:rsidRPr="008912CF">
        <w:rPr>
          <w:sz w:val="22"/>
          <w:szCs w:val="22"/>
        </w:rPr>
        <w:t>dor de cabeça</w:t>
      </w:r>
    </w:p>
    <w:p w14:paraId="132B689F" w14:textId="77777777" w:rsidR="008D13F4" w:rsidRPr="008912CF" w:rsidRDefault="00615769" w:rsidP="008D13F4">
      <w:pPr>
        <w:numPr>
          <w:ilvl w:val="0"/>
          <w:numId w:val="67"/>
        </w:numPr>
        <w:tabs>
          <w:tab w:val="clear" w:pos="284"/>
          <w:tab w:val="left" w:pos="600"/>
        </w:tabs>
        <w:ind w:left="568" w:hanging="568"/>
        <w:rPr>
          <w:sz w:val="22"/>
          <w:szCs w:val="22"/>
        </w:rPr>
      </w:pPr>
      <w:r w:rsidRPr="008912CF">
        <w:rPr>
          <w:sz w:val="22"/>
          <w:szCs w:val="22"/>
        </w:rPr>
        <w:t>dor abdominal</w:t>
      </w:r>
    </w:p>
    <w:p w14:paraId="03594CB2" w14:textId="77777777" w:rsidR="008D13F4" w:rsidRPr="008912CF" w:rsidRDefault="00615769" w:rsidP="008D13F4">
      <w:pPr>
        <w:numPr>
          <w:ilvl w:val="0"/>
          <w:numId w:val="67"/>
        </w:numPr>
        <w:tabs>
          <w:tab w:val="clear" w:pos="284"/>
          <w:tab w:val="left" w:pos="600"/>
        </w:tabs>
        <w:ind w:left="568" w:hanging="568"/>
        <w:rPr>
          <w:sz w:val="22"/>
          <w:szCs w:val="22"/>
        </w:rPr>
      </w:pPr>
      <w:r w:rsidRPr="008912CF">
        <w:rPr>
          <w:sz w:val="22"/>
          <w:szCs w:val="22"/>
        </w:rPr>
        <w:t>náuseas e vómitos</w:t>
      </w:r>
    </w:p>
    <w:p w14:paraId="13DFED3B" w14:textId="77777777" w:rsidR="008D13F4" w:rsidRPr="008912CF" w:rsidRDefault="00615769" w:rsidP="008D13F4">
      <w:pPr>
        <w:numPr>
          <w:ilvl w:val="0"/>
          <w:numId w:val="67"/>
        </w:numPr>
        <w:tabs>
          <w:tab w:val="clear" w:pos="284"/>
          <w:tab w:val="left" w:pos="600"/>
        </w:tabs>
        <w:ind w:left="568" w:hanging="568"/>
        <w:rPr>
          <w:sz w:val="22"/>
          <w:szCs w:val="22"/>
        </w:rPr>
      </w:pPr>
      <w:r w:rsidRPr="008912CF">
        <w:rPr>
          <w:sz w:val="22"/>
          <w:szCs w:val="22"/>
        </w:rPr>
        <w:t>erupção cutânea</w:t>
      </w:r>
    </w:p>
    <w:p w14:paraId="109CBC7D" w14:textId="77777777" w:rsidR="008D13F4" w:rsidRPr="008912CF" w:rsidRDefault="00615769" w:rsidP="008D13F4">
      <w:pPr>
        <w:numPr>
          <w:ilvl w:val="0"/>
          <w:numId w:val="70"/>
        </w:numPr>
        <w:tabs>
          <w:tab w:val="clear" w:pos="0"/>
        </w:tabs>
        <w:ind w:left="568" w:hanging="568"/>
        <w:rPr>
          <w:sz w:val="22"/>
          <w:szCs w:val="22"/>
        </w:rPr>
      </w:pPr>
      <w:r w:rsidRPr="008912CF">
        <w:rPr>
          <w:sz w:val="22"/>
          <w:szCs w:val="22"/>
        </w:rPr>
        <w:t xml:space="preserve">dor musculoesquelética </w:t>
      </w:r>
    </w:p>
    <w:p w14:paraId="67F7C8E5" w14:textId="77777777" w:rsidR="008D13F4" w:rsidRPr="008912CF" w:rsidRDefault="008D13F4" w:rsidP="008D13F4">
      <w:pPr>
        <w:ind w:left="568" w:hanging="568"/>
        <w:rPr>
          <w:sz w:val="22"/>
          <w:szCs w:val="22"/>
        </w:rPr>
      </w:pPr>
    </w:p>
    <w:p w14:paraId="27E2EFF4" w14:textId="77777777" w:rsidR="008D13F4" w:rsidRPr="008912CF" w:rsidRDefault="00615769" w:rsidP="008D13F4">
      <w:pPr>
        <w:ind w:left="568" w:hanging="568"/>
        <w:rPr>
          <w:sz w:val="22"/>
          <w:szCs w:val="22"/>
        </w:rPr>
      </w:pPr>
      <w:r w:rsidRPr="00824537">
        <w:rPr>
          <w:b/>
          <w:sz w:val="22"/>
          <w:szCs w:val="22"/>
        </w:rPr>
        <w:t>Frequentes</w:t>
      </w:r>
      <w:r w:rsidRPr="008912CF">
        <w:rPr>
          <w:sz w:val="22"/>
          <w:szCs w:val="22"/>
        </w:rPr>
        <w:t xml:space="preserve"> (podem afetar até 1 em 10 pessoas)</w:t>
      </w:r>
    </w:p>
    <w:p w14:paraId="481C39A8" w14:textId="77777777" w:rsidR="008D13F4" w:rsidRPr="008912CF" w:rsidRDefault="008D13F4" w:rsidP="008D13F4">
      <w:pPr>
        <w:ind w:left="568" w:hanging="568"/>
        <w:rPr>
          <w:sz w:val="22"/>
          <w:szCs w:val="22"/>
        </w:rPr>
      </w:pPr>
    </w:p>
    <w:p w14:paraId="7DDCCFF3" w14:textId="77777777" w:rsidR="008D13F4" w:rsidRDefault="00615769" w:rsidP="008D13F4">
      <w:pPr>
        <w:numPr>
          <w:ilvl w:val="0"/>
          <w:numId w:val="70"/>
        </w:numPr>
        <w:tabs>
          <w:tab w:val="clear" w:pos="0"/>
        </w:tabs>
        <w:ind w:left="567" w:hanging="567"/>
        <w:rPr>
          <w:sz w:val="22"/>
          <w:szCs w:val="22"/>
        </w:rPr>
      </w:pPr>
      <w:r w:rsidRPr="008912CF">
        <w:rPr>
          <w:sz w:val="22"/>
          <w:szCs w:val="22"/>
        </w:rPr>
        <w:t xml:space="preserve">infeções </w:t>
      </w:r>
      <w:r w:rsidR="00D9427F">
        <w:rPr>
          <w:sz w:val="22"/>
          <w:szCs w:val="22"/>
        </w:rPr>
        <w:t>graves</w:t>
      </w:r>
      <w:r w:rsidRPr="008912CF">
        <w:rPr>
          <w:sz w:val="22"/>
          <w:szCs w:val="22"/>
        </w:rPr>
        <w:t xml:space="preserve"> (incluindo envenenamento do sangue e gripe)</w:t>
      </w:r>
    </w:p>
    <w:p w14:paraId="1B228907" w14:textId="77777777" w:rsidR="008D13F4" w:rsidRPr="008912CF" w:rsidRDefault="00615769" w:rsidP="008D13F4">
      <w:pPr>
        <w:numPr>
          <w:ilvl w:val="0"/>
          <w:numId w:val="70"/>
        </w:numPr>
        <w:tabs>
          <w:tab w:val="clear" w:pos="0"/>
        </w:tabs>
        <w:ind w:left="567" w:hanging="567"/>
        <w:rPr>
          <w:sz w:val="22"/>
          <w:szCs w:val="22"/>
        </w:rPr>
      </w:pPr>
      <w:r>
        <w:rPr>
          <w:sz w:val="22"/>
          <w:szCs w:val="22"/>
        </w:rPr>
        <w:t>infeções intestinais (incluindo gastroenterite)</w:t>
      </w:r>
    </w:p>
    <w:p w14:paraId="16EF8CD0" w14:textId="77777777" w:rsidR="008D13F4" w:rsidRPr="008912CF" w:rsidRDefault="00615769" w:rsidP="008D13F4">
      <w:pPr>
        <w:numPr>
          <w:ilvl w:val="0"/>
          <w:numId w:val="70"/>
        </w:numPr>
        <w:tabs>
          <w:tab w:val="clear" w:pos="0"/>
        </w:tabs>
        <w:ind w:left="567" w:hanging="567"/>
        <w:rPr>
          <w:sz w:val="22"/>
          <w:szCs w:val="22"/>
        </w:rPr>
      </w:pPr>
      <w:r w:rsidRPr="008912CF">
        <w:rPr>
          <w:sz w:val="22"/>
          <w:szCs w:val="22"/>
        </w:rPr>
        <w:t>infeções da pele (incluindo celulite e zona)</w:t>
      </w:r>
    </w:p>
    <w:p w14:paraId="7EF9D509" w14:textId="77777777" w:rsidR="008D13F4" w:rsidRPr="008912CF" w:rsidRDefault="00615769" w:rsidP="008D13F4">
      <w:pPr>
        <w:numPr>
          <w:ilvl w:val="0"/>
          <w:numId w:val="70"/>
        </w:numPr>
        <w:tabs>
          <w:tab w:val="clear" w:pos="0"/>
        </w:tabs>
        <w:ind w:left="567" w:hanging="567"/>
        <w:rPr>
          <w:sz w:val="22"/>
          <w:szCs w:val="22"/>
        </w:rPr>
      </w:pPr>
      <w:r w:rsidRPr="008912CF">
        <w:rPr>
          <w:sz w:val="22"/>
          <w:szCs w:val="22"/>
        </w:rPr>
        <w:t xml:space="preserve">infeções </w:t>
      </w:r>
      <w:r>
        <w:rPr>
          <w:sz w:val="22"/>
          <w:szCs w:val="22"/>
        </w:rPr>
        <w:t>dos ouvidos</w:t>
      </w:r>
    </w:p>
    <w:p w14:paraId="516EB36E" w14:textId="77777777" w:rsidR="008D13F4" w:rsidRPr="008912CF" w:rsidRDefault="00615769" w:rsidP="008D13F4">
      <w:pPr>
        <w:numPr>
          <w:ilvl w:val="0"/>
          <w:numId w:val="70"/>
        </w:numPr>
        <w:tabs>
          <w:tab w:val="clear" w:pos="0"/>
        </w:tabs>
        <w:ind w:left="567" w:hanging="567"/>
        <w:rPr>
          <w:sz w:val="22"/>
          <w:szCs w:val="22"/>
        </w:rPr>
      </w:pPr>
      <w:r w:rsidRPr="008912CF">
        <w:rPr>
          <w:sz w:val="22"/>
          <w:szCs w:val="22"/>
        </w:rPr>
        <w:t>infeções orais (incluindo infeções dentárias e constipações)</w:t>
      </w:r>
    </w:p>
    <w:p w14:paraId="1EE651DD" w14:textId="77777777" w:rsidR="008D13F4" w:rsidRPr="008912CF" w:rsidRDefault="00615769" w:rsidP="008D13F4">
      <w:pPr>
        <w:numPr>
          <w:ilvl w:val="0"/>
          <w:numId w:val="70"/>
        </w:numPr>
        <w:tabs>
          <w:tab w:val="clear" w:pos="0"/>
        </w:tabs>
        <w:ind w:left="567" w:hanging="567"/>
        <w:rPr>
          <w:sz w:val="22"/>
          <w:szCs w:val="22"/>
        </w:rPr>
      </w:pPr>
      <w:r w:rsidRPr="008912CF">
        <w:rPr>
          <w:sz w:val="22"/>
          <w:szCs w:val="22"/>
        </w:rPr>
        <w:t>infeções do sistema reprodutor</w:t>
      </w:r>
    </w:p>
    <w:p w14:paraId="04DF4908" w14:textId="77777777" w:rsidR="008D13F4" w:rsidRPr="008912CF" w:rsidRDefault="00615769" w:rsidP="008D13F4">
      <w:pPr>
        <w:numPr>
          <w:ilvl w:val="0"/>
          <w:numId w:val="70"/>
        </w:numPr>
        <w:tabs>
          <w:tab w:val="clear" w:pos="0"/>
          <w:tab w:val="left" w:pos="600"/>
        </w:tabs>
        <w:ind w:left="568" w:hanging="568"/>
        <w:rPr>
          <w:sz w:val="22"/>
          <w:szCs w:val="22"/>
        </w:rPr>
      </w:pPr>
      <w:r w:rsidRPr="008912CF">
        <w:rPr>
          <w:sz w:val="22"/>
          <w:szCs w:val="22"/>
        </w:rPr>
        <w:t>infeção do trato urinário</w:t>
      </w:r>
    </w:p>
    <w:p w14:paraId="05015ECC" w14:textId="77777777" w:rsidR="008D13F4" w:rsidRPr="008912CF" w:rsidRDefault="00615769" w:rsidP="008D13F4">
      <w:pPr>
        <w:numPr>
          <w:ilvl w:val="0"/>
          <w:numId w:val="70"/>
        </w:numPr>
        <w:tabs>
          <w:tab w:val="clear" w:pos="0"/>
          <w:tab w:val="left" w:pos="600"/>
        </w:tabs>
        <w:ind w:left="568" w:hanging="568"/>
        <w:rPr>
          <w:sz w:val="22"/>
          <w:szCs w:val="22"/>
        </w:rPr>
      </w:pPr>
      <w:r w:rsidRPr="008912CF">
        <w:rPr>
          <w:sz w:val="22"/>
          <w:szCs w:val="22"/>
        </w:rPr>
        <w:t>infeções fúngicas</w:t>
      </w:r>
    </w:p>
    <w:p w14:paraId="209E7601" w14:textId="77777777" w:rsidR="008D13F4" w:rsidRPr="008912CF" w:rsidRDefault="00615769" w:rsidP="008D13F4">
      <w:pPr>
        <w:numPr>
          <w:ilvl w:val="0"/>
          <w:numId w:val="70"/>
        </w:numPr>
        <w:tabs>
          <w:tab w:val="clear" w:pos="0"/>
          <w:tab w:val="left" w:pos="600"/>
        </w:tabs>
        <w:ind w:left="568" w:hanging="568"/>
        <w:rPr>
          <w:sz w:val="22"/>
          <w:szCs w:val="22"/>
        </w:rPr>
      </w:pPr>
      <w:r w:rsidRPr="008912CF">
        <w:rPr>
          <w:sz w:val="22"/>
          <w:szCs w:val="22"/>
        </w:rPr>
        <w:t xml:space="preserve">infeções </w:t>
      </w:r>
      <w:r>
        <w:rPr>
          <w:sz w:val="22"/>
          <w:szCs w:val="22"/>
        </w:rPr>
        <w:t>das articulações</w:t>
      </w:r>
    </w:p>
    <w:p w14:paraId="7A21B92F" w14:textId="77777777" w:rsidR="008D13F4" w:rsidRPr="008912CF" w:rsidRDefault="00615769" w:rsidP="008D13F4">
      <w:pPr>
        <w:numPr>
          <w:ilvl w:val="0"/>
          <w:numId w:val="70"/>
        </w:numPr>
        <w:tabs>
          <w:tab w:val="clear" w:pos="0"/>
        </w:tabs>
        <w:ind w:left="567" w:hanging="567"/>
        <w:rPr>
          <w:sz w:val="22"/>
          <w:szCs w:val="22"/>
        </w:rPr>
      </w:pPr>
      <w:r w:rsidRPr="008912CF">
        <w:rPr>
          <w:sz w:val="22"/>
          <w:szCs w:val="22"/>
        </w:rPr>
        <w:t>tumores benignos</w:t>
      </w:r>
    </w:p>
    <w:p w14:paraId="7ACA4272" w14:textId="77777777" w:rsidR="008D13F4" w:rsidRPr="008912CF" w:rsidRDefault="00615769" w:rsidP="008D13F4">
      <w:pPr>
        <w:numPr>
          <w:ilvl w:val="0"/>
          <w:numId w:val="70"/>
        </w:numPr>
        <w:tabs>
          <w:tab w:val="clear" w:pos="0"/>
        </w:tabs>
        <w:ind w:left="567" w:hanging="567"/>
        <w:rPr>
          <w:sz w:val="22"/>
          <w:szCs w:val="22"/>
        </w:rPr>
      </w:pPr>
      <w:r w:rsidRPr="008912CF">
        <w:rPr>
          <w:sz w:val="22"/>
          <w:szCs w:val="22"/>
        </w:rPr>
        <w:t>cancro da pele</w:t>
      </w:r>
    </w:p>
    <w:p w14:paraId="3C6411B7" w14:textId="77777777" w:rsidR="008D13F4" w:rsidRPr="008912CF" w:rsidRDefault="00615769" w:rsidP="008D13F4">
      <w:pPr>
        <w:numPr>
          <w:ilvl w:val="0"/>
          <w:numId w:val="70"/>
        </w:numPr>
        <w:tabs>
          <w:tab w:val="clear" w:pos="0"/>
        </w:tabs>
        <w:ind w:left="567" w:hanging="567"/>
        <w:rPr>
          <w:sz w:val="22"/>
          <w:szCs w:val="22"/>
        </w:rPr>
      </w:pPr>
      <w:r w:rsidRPr="008912CF">
        <w:rPr>
          <w:sz w:val="22"/>
          <w:szCs w:val="22"/>
        </w:rPr>
        <w:t>reações alérgicas (incluindo alergia sazonal)</w:t>
      </w:r>
    </w:p>
    <w:p w14:paraId="66086E86" w14:textId="77777777" w:rsidR="008D13F4" w:rsidRPr="008912CF" w:rsidRDefault="00615769" w:rsidP="008D13F4">
      <w:pPr>
        <w:numPr>
          <w:ilvl w:val="0"/>
          <w:numId w:val="70"/>
        </w:numPr>
        <w:tabs>
          <w:tab w:val="clear" w:pos="0"/>
        </w:tabs>
        <w:ind w:left="567" w:hanging="567"/>
        <w:rPr>
          <w:sz w:val="22"/>
          <w:szCs w:val="22"/>
        </w:rPr>
      </w:pPr>
      <w:r w:rsidRPr="008912CF">
        <w:rPr>
          <w:sz w:val="22"/>
          <w:szCs w:val="22"/>
        </w:rPr>
        <w:t>desidratação</w:t>
      </w:r>
    </w:p>
    <w:p w14:paraId="6C84EABC" w14:textId="77777777" w:rsidR="008D13F4" w:rsidRPr="008912CF" w:rsidRDefault="00615769" w:rsidP="008D13F4">
      <w:pPr>
        <w:numPr>
          <w:ilvl w:val="0"/>
          <w:numId w:val="70"/>
        </w:numPr>
        <w:tabs>
          <w:tab w:val="clear" w:pos="0"/>
        </w:tabs>
        <w:ind w:left="567" w:hanging="567"/>
        <w:rPr>
          <w:sz w:val="22"/>
          <w:szCs w:val="22"/>
        </w:rPr>
      </w:pPr>
      <w:r w:rsidRPr="008912CF">
        <w:rPr>
          <w:sz w:val="22"/>
          <w:szCs w:val="22"/>
        </w:rPr>
        <w:t>alterações do humor (incluindo depressão)</w:t>
      </w:r>
    </w:p>
    <w:p w14:paraId="422E2941" w14:textId="77777777" w:rsidR="008D13F4" w:rsidRPr="008912CF" w:rsidRDefault="00615769" w:rsidP="008D13F4">
      <w:pPr>
        <w:numPr>
          <w:ilvl w:val="0"/>
          <w:numId w:val="70"/>
        </w:numPr>
        <w:tabs>
          <w:tab w:val="clear" w:pos="0"/>
        </w:tabs>
        <w:ind w:left="567" w:hanging="567"/>
        <w:rPr>
          <w:sz w:val="22"/>
          <w:szCs w:val="22"/>
        </w:rPr>
      </w:pPr>
      <w:r w:rsidRPr="008912CF">
        <w:rPr>
          <w:sz w:val="22"/>
          <w:szCs w:val="22"/>
        </w:rPr>
        <w:t>ansiedade</w:t>
      </w:r>
    </w:p>
    <w:p w14:paraId="7FF17F4C" w14:textId="77777777" w:rsidR="008D13F4" w:rsidRPr="008912CF" w:rsidRDefault="00615769" w:rsidP="008D13F4">
      <w:pPr>
        <w:numPr>
          <w:ilvl w:val="0"/>
          <w:numId w:val="70"/>
        </w:numPr>
        <w:tabs>
          <w:tab w:val="clear" w:pos="0"/>
        </w:tabs>
        <w:ind w:left="567" w:hanging="567"/>
        <w:rPr>
          <w:sz w:val="22"/>
          <w:szCs w:val="22"/>
        </w:rPr>
      </w:pPr>
      <w:r w:rsidRPr="008912CF">
        <w:rPr>
          <w:sz w:val="22"/>
          <w:szCs w:val="22"/>
        </w:rPr>
        <w:t>dificuldade em adormecer</w:t>
      </w:r>
    </w:p>
    <w:p w14:paraId="6EAD7AE5" w14:textId="77777777" w:rsidR="008D13F4" w:rsidRPr="008912CF" w:rsidRDefault="00615769" w:rsidP="008D13F4">
      <w:pPr>
        <w:numPr>
          <w:ilvl w:val="0"/>
          <w:numId w:val="70"/>
        </w:numPr>
        <w:tabs>
          <w:tab w:val="clear" w:pos="0"/>
        </w:tabs>
        <w:ind w:left="567" w:hanging="567"/>
        <w:rPr>
          <w:sz w:val="22"/>
          <w:szCs w:val="22"/>
        </w:rPr>
      </w:pPr>
      <w:r w:rsidRPr="008912CF">
        <w:rPr>
          <w:sz w:val="22"/>
          <w:szCs w:val="22"/>
        </w:rPr>
        <w:t>alterações neurológicas tais como prurido, comichão ou dormência</w:t>
      </w:r>
    </w:p>
    <w:p w14:paraId="10509FCD" w14:textId="77777777" w:rsidR="008D13F4" w:rsidRPr="008912CF" w:rsidRDefault="00615769" w:rsidP="008D13F4">
      <w:pPr>
        <w:numPr>
          <w:ilvl w:val="0"/>
          <w:numId w:val="70"/>
        </w:numPr>
        <w:tabs>
          <w:tab w:val="clear" w:pos="0"/>
        </w:tabs>
        <w:ind w:left="567" w:hanging="567"/>
        <w:rPr>
          <w:sz w:val="22"/>
          <w:szCs w:val="22"/>
        </w:rPr>
      </w:pPr>
      <w:r w:rsidRPr="008912CF">
        <w:rPr>
          <w:sz w:val="22"/>
          <w:szCs w:val="22"/>
        </w:rPr>
        <w:t>enxaqueca</w:t>
      </w:r>
    </w:p>
    <w:p w14:paraId="000F31A6" w14:textId="77777777" w:rsidR="008D13F4" w:rsidRPr="008912CF" w:rsidRDefault="00615769" w:rsidP="008D13F4">
      <w:pPr>
        <w:numPr>
          <w:ilvl w:val="0"/>
          <w:numId w:val="70"/>
        </w:numPr>
        <w:tabs>
          <w:tab w:val="clear" w:pos="0"/>
        </w:tabs>
        <w:ind w:left="567" w:hanging="567"/>
        <w:rPr>
          <w:sz w:val="22"/>
          <w:szCs w:val="22"/>
        </w:rPr>
      </w:pPr>
      <w:r w:rsidRPr="008912CF">
        <w:rPr>
          <w:sz w:val="22"/>
          <w:szCs w:val="22"/>
        </w:rPr>
        <w:t>compressão da raiz nervosa (incluindo dor lombar e dor nas pernas)</w:t>
      </w:r>
    </w:p>
    <w:p w14:paraId="61F06D4B" w14:textId="77777777" w:rsidR="008D13F4" w:rsidRPr="008912CF" w:rsidRDefault="00615769" w:rsidP="008D13F4">
      <w:pPr>
        <w:numPr>
          <w:ilvl w:val="0"/>
          <w:numId w:val="70"/>
        </w:numPr>
        <w:tabs>
          <w:tab w:val="clear" w:pos="0"/>
        </w:tabs>
        <w:ind w:left="567" w:hanging="567"/>
        <w:rPr>
          <w:sz w:val="22"/>
          <w:szCs w:val="22"/>
        </w:rPr>
      </w:pPr>
      <w:r w:rsidRPr="008912CF">
        <w:rPr>
          <w:sz w:val="22"/>
          <w:szCs w:val="22"/>
        </w:rPr>
        <w:t>alterações da visão</w:t>
      </w:r>
    </w:p>
    <w:p w14:paraId="5F9DB4BB" w14:textId="77777777" w:rsidR="008D13F4" w:rsidRPr="008912CF" w:rsidRDefault="00615769" w:rsidP="008D13F4">
      <w:pPr>
        <w:numPr>
          <w:ilvl w:val="0"/>
          <w:numId w:val="70"/>
        </w:numPr>
        <w:tabs>
          <w:tab w:val="clear" w:pos="0"/>
        </w:tabs>
        <w:ind w:left="567" w:hanging="567"/>
        <w:rPr>
          <w:sz w:val="22"/>
          <w:szCs w:val="22"/>
        </w:rPr>
      </w:pPr>
      <w:r w:rsidRPr="008912CF">
        <w:rPr>
          <w:sz w:val="22"/>
          <w:szCs w:val="22"/>
        </w:rPr>
        <w:t>inflamação dos olhos</w:t>
      </w:r>
    </w:p>
    <w:p w14:paraId="402B5348" w14:textId="77777777" w:rsidR="008D13F4" w:rsidRPr="008912CF" w:rsidRDefault="00615769" w:rsidP="008D13F4">
      <w:pPr>
        <w:numPr>
          <w:ilvl w:val="0"/>
          <w:numId w:val="70"/>
        </w:numPr>
        <w:tabs>
          <w:tab w:val="clear" w:pos="0"/>
        </w:tabs>
        <w:ind w:left="567" w:hanging="567"/>
        <w:rPr>
          <w:sz w:val="22"/>
          <w:szCs w:val="22"/>
        </w:rPr>
      </w:pPr>
      <w:r w:rsidRPr="008912CF">
        <w:rPr>
          <w:sz w:val="22"/>
          <w:szCs w:val="22"/>
        </w:rPr>
        <w:t>inflamação das pálpebras e inchaço d</w:t>
      </w:r>
      <w:r w:rsidR="0095297D">
        <w:rPr>
          <w:sz w:val="22"/>
          <w:szCs w:val="22"/>
        </w:rPr>
        <w:t>os</w:t>
      </w:r>
      <w:r w:rsidRPr="008912CF">
        <w:rPr>
          <w:sz w:val="22"/>
          <w:szCs w:val="22"/>
        </w:rPr>
        <w:t xml:space="preserve"> olhos</w:t>
      </w:r>
    </w:p>
    <w:p w14:paraId="5926D9D4" w14:textId="77777777" w:rsidR="008D13F4" w:rsidRPr="008912CF" w:rsidRDefault="00615769" w:rsidP="008D13F4">
      <w:pPr>
        <w:numPr>
          <w:ilvl w:val="0"/>
          <w:numId w:val="70"/>
        </w:numPr>
        <w:tabs>
          <w:tab w:val="clear" w:pos="0"/>
        </w:tabs>
        <w:ind w:left="568" w:hanging="568"/>
        <w:rPr>
          <w:sz w:val="22"/>
          <w:szCs w:val="22"/>
        </w:rPr>
      </w:pPr>
      <w:r>
        <w:rPr>
          <w:sz w:val="22"/>
          <w:szCs w:val="22"/>
        </w:rPr>
        <w:t>v</w:t>
      </w:r>
      <w:r w:rsidRPr="008912CF">
        <w:rPr>
          <w:sz w:val="22"/>
          <w:szCs w:val="22"/>
        </w:rPr>
        <w:t>ertige</w:t>
      </w:r>
      <w:r>
        <w:rPr>
          <w:sz w:val="22"/>
          <w:szCs w:val="22"/>
        </w:rPr>
        <w:t>m</w:t>
      </w:r>
      <w:r w:rsidRPr="00C706AB">
        <w:rPr>
          <w:sz w:val="22"/>
          <w:szCs w:val="22"/>
        </w:rPr>
        <w:t xml:space="preserve"> </w:t>
      </w:r>
      <w:r>
        <w:rPr>
          <w:sz w:val="22"/>
          <w:szCs w:val="22"/>
        </w:rPr>
        <w:t>(</w:t>
      </w:r>
      <w:r w:rsidRPr="008B0DDF">
        <w:rPr>
          <w:sz w:val="22"/>
          <w:szCs w:val="22"/>
        </w:rPr>
        <w:t>sensação de tontura ou movimento</w:t>
      </w:r>
      <w:r>
        <w:rPr>
          <w:sz w:val="22"/>
          <w:szCs w:val="22"/>
        </w:rPr>
        <w:t>)</w:t>
      </w:r>
    </w:p>
    <w:p w14:paraId="427F90B4" w14:textId="77777777" w:rsidR="008D13F4" w:rsidRPr="008912CF" w:rsidRDefault="00615769" w:rsidP="008D13F4">
      <w:pPr>
        <w:numPr>
          <w:ilvl w:val="0"/>
          <w:numId w:val="70"/>
        </w:numPr>
        <w:tabs>
          <w:tab w:val="clear" w:pos="0"/>
        </w:tabs>
        <w:ind w:left="567" w:hanging="567"/>
        <w:rPr>
          <w:sz w:val="22"/>
          <w:szCs w:val="22"/>
        </w:rPr>
      </w:pPr>
      <w:r w:rsidRPr="008912CF">
        <w:rPr>
          <w:sz w:val="22"/>
          <w:szCs w:val="22"/>
        </w:rPr>
        <w:t>sensação de batimento cardíaco rápido</w:t>
      </w:r>
    </w:p>
    <w:p w14:paraId="32DF1871" w14:textId="77777777" w:rsidR="008D13F4" w:rsidRPr="008912CF" w:rsidRDefault="00615769" w:rsidP="008D13F4">
      <w:pPr>
        <w:numPr>
          <w:ilvl w:val="0"/>
          <w:numId w:val="70"/>
        </w:numPr>
        <w:tabs>
          <w:tab w:val="clear" w:pos="0"/>
        </w:tabs>
        <w:ind w:left="567" w:hanging="567"/>
        <w:rPr>
          <w:sz w:val="22"/>
          <w:szCs w:val="22"/>
        </w:rPr>
      </w:pPr>
      <w:r>
        <w:rPr>
          <w:sz w:val="22"/>
          <w:szCs w:val="22"/>
        </w:rPr>
        <w:t>tensão</w:t>
      </w:r>
      <w:r w:rsidRPr="008912CF">
        <w:rPr>
          <w:sz w:val="22"/>
          <w:szCs w:val="22"/>
        </w:rPr>
        <w:t xml:space="preserve"> arterial alta</w:t>
      </w:r>
    </w:p>
    <w:p w14:paraId="33B972BB" w14:textId="77777777" w:rsidR="008D13F4" w:rsidRPr="008912CF" w:rsidRDefault="00615769" w:rsidP="008D13F4">
      <w:pPr>
        <w:numPr>
          <w:ilvl w:val="0"/>
          <w:numId w:val="70"/>
        </w:numPr>
        <w:tabs>
          <w:tab w:val="clear" w:pos="0"/>
        </w:tabs>
        <w:ind w:left="567" w:hanging="567"/>
        <w:rPr>
          <w:sz w:val="22"/>
          <w:szCs w:val="22"/>
        </w:rPr>
      </w:pPr>
      <w:r>
        <w:rPr>
          <w:sz w:val="22"/>
          <w:szCs w:val="22"/>
        </w:rPr>
        <w:t>vermelhidão</w:t>
      </w:r>
    </w:p>
    <w:p w14:paraId="6C7334F1" w14:textId="77777777" w:rsidR="008D13F4" w:rsidRPr="002A7154" w:rsidRDefault="00615769" w:rsidP="008D13F4">
      <w:pPr>
        <w:numPr>
          <w:ilvl w:val="0"/>
          <w:numId w:val="70"/>
        </w:numPr>
        <w:tabs>
          <w:tab w:val="clear" w:pos="0"/>
        </w:tabs>
        <w:ind w:left="567" w:hanging="567"/>
        <w:rPr>
          <w:sz w:val="22"/>
          <w:szCs w:val="22"/>
        </w:rPr>
      </w:pPr>
      <w:r w:rsidRPr="008912CF">
        <w:rPr>
          <w:sz w:val="22"/>
          <w:szCs w:val="22"/>
        </w:rPr>
        <w:t>hematoma</w:t>
      </w:r>
      <w:r>
        <w:rPr>
          <w:sz w:val="22"/>
          <w:szCs w:val="22"/>
        </w:rPr>
        <w:t xml:space="preserve"> </w:t>
      </w:r>
      <w:r w:rsidRPr="002A7154">
        <w:rPr>
          <w:sz w:val="22"/>
          <w:szCs w:val="22"/>
        </w:rPr>
        <w:t>(</w:t>
      </w:r>
      <w:r w:rsidRPr="00F03C54">
        <w:rPr>
          <w:sz w:val="22"/>
          <w:szCs w:val="22"/>
        </w:rPr>
        <w:t>concentração de sangue fora dos vasos sanguíneos)</w:t>
      </w:r>
    </w:p>
    <w:p w14:paraId="1AC2E68F" w14:textId="77777777" w:rsidR="008D13F4" w:rsidRPr="008912CF" w:rsidRDefault="00615769" w:rsidP="008D13F4">
      <w:pPr>
        <w:numPr>
          <w:ilvl w:val="0"/>
          <w:numId w:val="70"/>
        </w:numPr>
        <w:tabs>
          <w:tab w:val="clear" w:pos="0"/>
        </w:tabs>
        <w:ind w:left="568" w:hanging="568"/>
        <w:rPr>
          <w:sz w:val="22"/>
          <w:szCs w:val="22"/>
        </w:rPr>
      </w:pPr>
      <w:r w:rsidRPr="008912CF">
        <w:rPr>
          <w:sz w:val="22"/>
          <w:szCs w:val="22"/>
        </w:rPr>
        <w:t>tosse</w:t>
      </w:r>
    </w:p>
    <w:p w14:paraId="4213A9BB" w14:textId="77777777" w:rsidR="008D13F4" w:rsidRPr="008912CF" w:rsidRDefault="00615769" w:rsidP="008D13F4">
      <w:pPr>
        <w:numPr>
          <w:ilvl w:val="0"/>
          <w:numId w:val="70"/>
        </w:numPr>
        <w:tabs>
          <w:tab w:val="clear" w:pos="0"/>
        </w:tabs>
        <w:ind w:left="567" w:hanging="567"/>
        <w:rPr>
          <w:sz w:val="22"/>
          <w:szCs w:val="22"/>
        </w:rPr>
      </w:pPr>
      <w:r w:rsidRPr="008912CF">
        <w:rPr>
          <w:sz w:val="22"/>
          <w:szCs w:val="22"/>
        </w:rPr>
        <w:t>asma</w:t>
      </w:r>
    </w:p>
    <w:p w14:paraId="0763441A" w14:textId="77777777" w:rsidR="008D13F4" w:rsidRPr="008912CF" w:rsidRDefault="00615769" w:rsidP="008D13F4">
      <w:pPr>
        <w:numPr>
          <w:ilvl w:val="0"/>
          <w:numId w:val="70"/>
        </w:numPr>
        <w:tabs>
          <w:tab w:val="clear" w:pos="0"/>
        </w:tabs>
        <w:ind w:left="567" w:hanging="567"/>
        <w:rPr>
          <w:sz w:val="22"/>
          <w:szCs w:val="22"/>
        </w:rPr>
      </w:pPr>
      <w:r w:rsidRPr="008912CF">
        <w:rPr>
          <w:sz w:val="22"/>
          <w:szCs w:val="22"/>
        </w:rPr>
        <w:t>dificuldade em respirar</w:t>
      </w:r>
    </w:p>
    <w:p w14:paraId="063852C5" w14:textId="77777777" w:rsidR="008D13F4" w:rsidRPr="008912CF" w:rsidRDefault="00615769" w:rsidP="008D13F4">
      <w:pPr>
        <w:numPr>
          <w:ilvl w:val="0"/>
          <w:numId w:val="70"/>
        </w:numPr>
        <w:tabs>
          <w:tab w:val="clear" w:pos="0"/>
        </w:tabs>
        <w:ind w:left="567" w:hanging="567"/>
        <w:rPr>
          <w:sz w:val="22"/>
          <w:szCs w:val="22"/>
        </w:rPr>
      </w:pPr>
      <w:r w:rsidRPr="008912CF">
        <w:rPr>
          <w:sz w:val="22"/>
          <w:szCs w:val="22"/>
        </w:rPr>
        <w:t>hemorragia gastrointestinal</w:t>
      </w:r>
    </w:p>
    <w:p w14:paraId="39CC0152" w14:textId="77777777" w:rsidR="008D13F4" w:rsidRPr="008912CF" w:rsidRDefault="00615769" w:rsidP="008D13F4">
      <w:pPr>
        <w:numPr>
          <w:ilvl w:val="0"/>
          <w:numId w:val="70"/>
        </w:numPr>
        <w:tabs>
          <w:tab w:val="clear" w:pos="0"/>
        </w:tabs>
        <w:ind w:left="567" w:hanging="567"/>
        <w:rPr>
          <w:sz w:val="22"/>
          <w:szCs w:val="22"/>
        </w:rPr>
      </w:pPr>
      <w:r w:rsidRPr="008912CF">
        <w:rPr>
          <w:sz w:val="22"/>
          <w:szCs w:val="22"/>
        </w:rPr>
        <w:t>dispepsia (indigestão, inchaço, azia)</w:t>
      </w:r>
    </w:p>
    <w:p w14:paraId="625B71A4" w14:textId="77777777" w:rsidR="008D13F4" w:rsidRPr="008912CF" w:rsidRDefault="00615769" w:rsidP="008D13F4">
      <w:pPr>
        <w:numPr>
          <w:ilvl w:val="0"/>
          <w:numId w:val="70"/>
        </w:numPr>
        <w:tabs>
          <w:tab w:val="clear" w:pos="0"/>
        </w:tabs>
        <w:ind w:left="567" w:hanging="567"/>
        <w:rPr>
          <w:sz w:val="22"/>
          <w:szCs w:val="22"/>
        </w:rPr>
      </w:pPr>
      <w:r w:rsidRPr="008912CF">
        <w:rPr>
          <w:sz w:val="22"/>
          <w:szCs w:val="22"/>
        </w:rPr>
        <w:t>doença de refluxo</w:t>
      </w:r>
    </w:p>
    <w:p w14:paraId="69238C06" w14:textId="77777777" w:rsidR="008D13F4" w:rsidRPr="008912CF" w:rsidRDefault="00615769" w:rsidP="008D13F4">
      <w:pPr>
        <w:numPr>
          <w:ilvl w:val="0"/>
          <w:numId w:val="70"/>
        </w:numPr>
        <w:tabs>
          <w:tab w:val="clear" w:pos="0"/>
        </w:tabs>
        <w:ind w:left="567" w:hanging="567"/>
        <w:rPr>
          <w:sz w:val="22"/>
          <w:szCs w:val="22"/>
        </w:rPr>
      </w:pPr>
      <w:r w:rsidRPr="008912CF">
        <w:rPr>
          <w:sz w:val="22"/>
          <w:szCs w:val="22"/>
        </w:rPr>
        <w:t>síndrome de sicca (incluindo olhos e boca seca)</w:t>
      </w:r>
    </w:p>
    <w:p w14:paraId="13BFAE28" w14:textId="77777777" w:rsidR="008D13F4" w:rsidRPr="008912CF" w:rsidRDefault="00615769" w:rsidP="008D13F4">
      <w:pPr>
        <w:numPr>
          <w:ilvl w:val="0"/>
          <w:numId w:val="70"/>
        </w:numPr>
        <w:tabs>
          <w:tab w:val="clear" w:pos="0"/>
        </w:tabs>
        <w:ind w:left="568" w:hanging="568"/>
        <w:rPr>
          <w:sz w:val="22"/>
          <w:szCs w:val="22"/>
        </w:rPr>
      </w:pPr>
      <w:r w:rsidRPr="008912CF">
        <w:rPr>
          <w:sz w:val="22"/>
          <w:szCs w:val="22"/>
        </w:rPr>
        <w:t>comichão</w:t>
      </w:r>
    </w:p>
    <w:p w14:paraId="3B88DE31" w14:textId="77777777" w:rsidR="008D13F4" w:rsidRPr="008912CF" w:rsidRDefault="00615769" w:rsidP="008D13F4">
      <w:pPr>
        <w:numPr>
          <w:ilvl w:val="0"/>
          <w:numId w:val="67"/>
        </w:numPr>
        <w:tabs>
          <w:tab w:val="clear" w:pos="284"/>
          <w:tab w:val="num" w:pos="600"/>
        </w:tabs>
        <w:ind w:hanging="567"/>
        <w:rPr>
          <w:sz w:val="22"/>
          <w:szCs w:val="22"/>
        </w:rPr>
      </w:pPr>
      <w:r w:rsidRPr="008912CF">
        <w:rPr>
          <w:sz w:val="22"/>
          <w:szCs w:val="22"/>
        </w:rPr>
        <w:t>erupção da pele com comichão</w:t>
      </w:r>
    </w:p>
    <w:p w14:paraId="0CC0D758" w14:textId="77777777" w:rsidR="008D13F4" w:rsidRPr="008912CF" w:rsidRDefault="00615769" w:rsidP="008D13F4">
      <w:pPr>
        <w:numPr>
          <w:ilvl w:val="0"/>
          <w:numId w:val="67"/>
        </w:numPr>
        <w:tabs>
          <w:tab w:val="clear" w:pos="284"/>
          <w:tab w:val="num" w:pos="600"/>
        </w:tabs>
        <w:ind w:hanging="567"/>
        <w:rPr>
          <w:sz w:val="22"/>
          <w:szCs w:val="22"/>
        </w:rPr>
      </w:pPr>
      <w:r w:rsidRPr="008912CF">
        <w:rPr>
          <w:sz w:val="22"/>
          <w:szCs w:val="22"/>
        </w:rPr>
        <w:t>nódoas negras</w:t>
      </w:r>
    </w:p>
    <w:p w14:paraId="5D1200C4" w14:textId="77777777" w:rsidR="008D13F4" w:rsidRPr="008912CF" w:rsidRDefault="00615769" w:rsidP="008D13F4">
      <w:pPr>
        <w:numPr>
          <w:ilvl w:val="0"/>
          <w:numId w:val="67"/>
        </w:numPr>
        <w:tabs>
          <w:tab w:val="clear" w:pos="284"/>
          <w:tab w:val="num" w:pos="600"/>
        </w:tabs>
        <w:ind w:hanging="567"/>
        <w:rPr>
          <w:sz w:val="22"/>
          <w:szCs w:val="22"/>
        </w:rPr>
      </w:pPr>
      <w:r w:rsidRPr="008912CF">
        <w:rPr>
          <w:sz w:val="22"/>
          <w:szCs w:val="22"/>
        </w:rPr>
        <w:t>inflamação da pele (tais como eczema)</w:t>
      </w:r>
    </w:p>
    <w:p w14:paraId="16B44914" w14:textId="77777777" w:rsidR="008D13F4" w:rsidRPr="008912CF" w:rsidRDefault="00615769" w:rsidP="008D13F4">
      <w:pPr>
        <w:numPr>
          <w:ilvl w:val="0"/>
          <w:numId w:val="67"/>
        </w:numPr>
        <w:tabs>
          <w:tab w:val="clear" w:pos="284"/>
          <w:tab w:val="num" w:pos="600"/>
        </w:tabs>
        <w:ind w:hanging="567"/>
        <w:rPr>
          <w:sz w:val="22"/>
          <w:szCs w:val="22"/>
        </w:rPr>
      </w:pPr>
      <w:r w:rsidRPr="008912CF">
        <w:rPr>
          <w:sz w:val="22"/>
          <w:szCs w:val="22"/>
        </w:rPr>
        <w:t>unhas das mãos e dos pés quebradiças</w:t>
      </w:r>
    </w:p>
    <w:p w14:paraId="1D6450FF" w14:textId="77777777" w:rsidR="008D13F4" w:rsidRPr="008912CF" w:rsidRDefault="00615769" w:rsidP="008D13F4">
      <w:pPr>
        <w:numPr>
          <w:ilvl w:val="0"/>
          <w:numId w:val="67"/>
        </w:numPr>
        <w:tabs>
          <w:tab w:val="clear" w:pos="284"/>
          <w:tab w:val="num" w:pos="600"/>
        </w:tabs>
        <w:ind w:hanging="567"/>
        <w:rPr>
          <w:sz w:val="22"/>
          <w:szCs w:val="22"/>
        </w:rPr>
      </w:pPr>
      <w:r w:rsidRPr="008912CF">
        <w:rPr>
          <w:sz w:val="22"/>
          <w:szCs w:val="22"/>
        </w:rPr>
        <w:t>aumento de suor</w:t>
      </w:r>
    </w:p>
    <w:p w14:paraId="2C83FA1D" w14:textId="77777777" w:rsidR="008D13F4" w:rsidRPr="008912CF" w:rsidRDefault="00615769" w:rsidP="008D13F4">
      <w:pPr>
        <w:numPr>
          <w:ilvl w:val="0"/>
          <w:numId w:val="67"/>
        </w:numPr>
        <w:tabs>
          <w:tab w:val="clear" w:pos="284"/>
          <w:tab w:val="num" w:pos="600"/>
        </w:tabs>
        <w:ind w:hanging="567"/>
        <w:rPr>
          <w:sz w:val="22"/>
          <w:szCs w:val="22"/>
        </w:rPr>
      </w:pPr>
      <w:r w:rsidRPr="008912CF">
        <w:rPr>
          <w:sz w:val="22"/>
          <w:szCs w:val="22"/>
        </w:rPr>
        <w:t>perda de cabelo</w:t>
      </w:r>
    </w:p>
    <w:p w14:paraId="5E1EFC35" w14:textId="77777777" w:rsidR="008D13F4" w:rsidRPr="008912CF" w:rsidRDefault="00615769" w:rsidP="008D13F4">
      <w:pPr>
        <w:numPr>
          <w:ilvl w:val="0"/>
          <w:numId w:val="67"/>
        </w:numPr>
        <w:tabs>
          <w:tab w:val="clear" w:pos="284"/>
          <w:tab w:val="num" w:pos="600"/>
        </w:tabs>
        <w:ind w:hanging="567"/>
        <w:rPr>
          <w:sz w:val="22"/>
          <w:szCs w:val="22"/>
        </w:rPr>
      </w:pPr>
      <w:r w:rsidRPr="008912CF">
        <w:rPr>
          <w:sz w:val="22"/>
          <w:szCs w:val="22"/>
        </w:rPr>
        <w:t>início ou agravamento d</w:t>
      </w:r>
      <w:r w:rsidR="00F840DB">
        <w:rPr>
          <w:sz w:val="22"/>
          <w:szCs w:val="22"/>
        </w:rPr>
        <w:t>a</w:t>
      </w:r>
      <w:r w:rsidRPr="008912CF">
        <w:rPr>
          <w:sz w:val="22"/>
          <w:szCs w:val="22"/>
        </w:rPr>
        <w:t xml:space="preserve"> psoríase</w:t>
      </w:r>
    </w:p>
    <w:p w14:paraId="65BE56A4" w14:textId="77777777" w:rsidR="008D13F4" w:rsidRPr="008912CF" w:rsidRDefault="00615769" w:rsidP="008D13F4">
      <w:pPr>
        <w:numPr>
          <w:ilvl w:val="0"/>
          <w:numId w:val="67"/>
        </w:numPr>
        <w:tabs>
          <w:tab w:val="clear" w:pos="284"/>
          <w:tab w:val="num" w:pos="600"/>
        </w:tabs>
        <w:ind w:hanging="567"/>
        <w:rPr>
          <w:sz w:val="22"/>
          <w:szCs w:val="22"/>
        </w:rPr>
      </w:pPr>
      <w:r w:rsidRPr="008912CF">
        <w:rPr>
          <w:sz w:val="22"/>
          <w:szCs w:val="22"/>
        </w:rPr>
        <w:t>espasmos musculares</w:t>
      </w:r>
    </w:p>
    <w:p w14:paraId="520EC62A" w14:textId="77777777" w:rsidR="008D13F4" w:rsidRPr="008912CF" w:rsidRDefault="00615769" w:rsidP="008D13F4">
      <w:pPr>
        <w:numPr>
          <w:ilvl w:val="0"/>
          <w:numId w:val="67"/>
        </w:numPr>
        <w:tabs>
          <w:tab w:val="clear" w:pos="284"/>
          <w:tab w:val="num" w:pos="600"/>
        </w:tabs>
        <w:ind w:hanging="567"/>
        <w:rPr>
          <w:sz w:val="22"/>
          <w:szCs w:val="22"/>
        </w:rPr>
      </w:pPr>
      <w:r w:rsidRPr="008912CF">
        <w:rPr>
          <w:sz w:val="22"/>
          <w:szCs w:val="22"/>
        </w:rPr>
        <w:t>sangue na urina</w:t>
      </w:r>
    </w:p>
    <w:p w14:paraId="1BD52B60" w14:textId="77777777" w:rsidR="008D13F4" w:rsidRPr="008912CF" w:rsidRDefault="00615769" w:rsidP="008D13F4">
      <w:pPr>
        <w:numPr>
          <w:ilvl w:val="0"/>
          <w:numId w:val="67"/>
        </w:numPr>
        <w:tabs>
          <w:tab w:val="clear" w:pos="284"/>
          <w:tab w:val="num" w:pos="600"/>
        </w:tabs>
        <w:ind w:hanging="567"/>
        <w:rPr>
          <w:sz w:val="22"/>
          <w:szCs w:val="22"/>
        </w:rPr>
      </w:pPr>
      <w:r w:rsidRPr="008912CF">
        <w:rPr>
          <w:sz w:val="22"/>
          <w:szCs w:val="22"/>
        </w:rPr>
        <w:t>perturbações renais</w:t>
      </w:r>
    </w:p>
    <w:p w14:paraId="5BEDCDDA" w14:textId="77777777" w:rsidR="008D13F4" w:rsidRPr="008912CF" w:rsidRDefault="00615769" w:rsidP="008D13F4">
      <w:pPr>
        <w:numPr>
          <w:ilvl w:val="0"/>
          <w:numId w:val="67"/>
        </w:numPr>
        <w:tabs>
          <w:tab w:val="clear" w:pos="284"/>
          <w:tab w:val="num" w:pos="600"/>
        </w:tabs>
        <w:ind w:hanging="567"/>
        <w:rPr>
          <w:sz w:val="22"/>
          <w:szCs w:val="22"/>
        </w:rPr>
      </w:pPr>
      <w:r w:rsidRPr="008912CF">
        <w:rPr>
          <w:sz w:val="22"/>
          <w:szCs w:val="22"/>
        </w:rPr>
        <w:t>dor no peito</w:t>
      </w:r>
    </w:p>
    <w:p w14:paraId="4CFF0514" w14:textId="77777777" w:rsidR="008D13F4" w:rsidRPr="008912CF" w:rsidRDefault="00615769" w:rsidP="008D13F4">
      <w:pPr>
        <w:numPr>
          <w:ilvl w:val="0"/>
          <w:numId w:val="67"/>
        </w:numPr>
        <w:tabs>
          <w:tab w:val="clear" w:pos="284"/>
          <w:tab w:val="num" w:pos="600"/>
        </w:tabs>
        <w:ind w:hanging="567"/>
        <w:rPr>
          <w:sz w:val="22"/>
          <w:szCs w:val="22"/>
        </w:rPr>
      </w:pPr>
      <w:r w:rsidRPr="008B0DDF">
        <w:rPr>
          <w:sz w:val="22"/>
          <w:szCs w:val="22"/>
        </w:rPr>
        <w:t>edema</w:t>
      </w:r>
      <w:r w:rsidRPr="008912CF">
        <w:rPr>
          <w:sz w:val="22"/>
          <w:szCs w:val="22"/>
        </w:rPr>
        <w:t xml:space="preserve"> </w:t>
      </w:r>
      <w:r>
        <w:rPr>
          <w:sz w:val="22"/>
          <w:szCs w:val="22"/>
        </w:rPr>
        <w:t>(</w:t>
      </w:r>
      <w:r w:rsidRPr="008912CF">
        <w:rPr>
          <w:sz w:val="22"/>
          <w:szCs w:val="22"/>
        </w:rPr>
        <w:t>inchaço</w:t>
      </w:r>
      <w:r>
        <w:rPr>
          <w:sz w:val="22"/>
          <w:szCs w:val="22"/>
        </w:rPr>
        <w:t>)</w:t>
      </w:r>
    </w:p>
    <w:p w14:paraId="6E72A4C8" w14:textId="77777777" w:rsidR="008D13F4" w:rsidRPr="008912CF" w:rsidRDefault="00615769" w:rsidP="008D13F4">
      <w:pPr>
        <w:numPr>
          <w:ilvl w:val="0"/>
          <w:numId w:val="67"/>
        </w:numPr>
        <w:tabs>
          <w:tab w:val="clear" w:pos="284"/>
          <w:tab w:val="num" w:pos="600"/>
        </w:tabs>
        <w:ind w:hanging="567"/>
        <w:rPr>
          <w:sz w:val="22"/>
          <w:szCs w:val="22"/>
        </w:rPr>
      </w:pPr>
      <w:r w:rsidRPr="008912CF">
        <w:rPr>
          <w:sz w:val="22"/>
          <w:szCs w:val="22"/>
        </w:rPr>
        <w:t>febre</w:t>
      </w:r>
    </w:p>
    <w:p w14:paraId="3F2888AA" w14:textId="77777777" w:rsidR="008D13F4" w:rsidRPr="008912CF" w:rsidRDefault="00615769" w:rsidP="008D13F4">
      <w:pPr>
        <w:numPr>
          <w:ilvl w:val="0"/>
          <w:numId w:val="67"/>
        </w:numPr>
        <w:tabs>
          <w:tab w:val="clear" w:pos="284"/>
          <w:tab w:val="num" w:pos="600"/>
        </w:tabs>
        <w:ind w:hanging="567"/>
        <w:rPr>
          <w:sz w:val="22"/>
          <w:szCs w:val="22"/>
        </w:rPr>
      </w:pPr>
      <w:r w:rsidRPr="008912CF">
        <w:rPr>
          <w:sz w:val="22"/>
          <w:szCs w:val="22"/>
        </w:rPr>
        <w:t>redução nas plaquetas sanguíneas aumentando o risco de hemorragia ou de nódoas negras</w:t>
      </w:r>
    </w:p>
    <w:p w14:paraId="110FACEA" w14:textId="77777777" w:rsidR="008D13F4" w:rsidRPr="008912CF" w:rsidRDefault="00615769" w:rsidP="008D13F4">
      <w:pPr>
        <w:numPr>
          <w:ilvl w:val="0"/>
          <w:numId w:val="70"/>
        </w:numPr>
        <w:tabs>
          <w:tab w:val="clear" w:pos="0"/>
        </w:tabs>
        <w:ind w:left="568" w:hanging="568"/>
        <w:rPr>
          <w:sz w:val="22"/>
          <w:szCs w:val="22"/>
        </w:rPr>
      </w:pPr>
      <w:r w:rsidRPr="008912CF">
        <w:rPr>
          <w:sz w:val="22"/>
          <w:szCs w:val="22"/>
        </w:rPr>
        <w:t>diminuição na cicatrização</w:t>
      </w:r>
    </w:p>
    <w:p w14:paraId="2169479B" w14:textId="77777777" w:rsidR="008D13F4" w:rsidRPr="008912CF" w:rsidRDefault="008D13F4" w:rsidP="008D13F4">
      <w:pPr>
        <w:ind w:left="568" w:hanging="568"/>
        <w:rPr>
          <w:sz w:val="22"/>
          <w:szCs w:val="22"/>
        </w:rPr>
      </w:pPr>
    </w:p>
    <w:p w14:paraId="5EECBA6E" w14:textId="77777777" w:rsidR="008D13F4" w:rsidRPr="008912CF" w:rsidRDefault="00615769" w:rsidP="008D13F4">
      <w:pPr>
        <w:ind w:left="568" w:hanging="568"/>
        <w:rPr>
          <w:sz w:val="22"/>
          <w:szCs w:val="22"/>
        </w:rPr>
      </w:pPr>
      <w:r w:rsidRPr="00824537">
        <w:rPr>
          <w:b/>
          <w:sz w:val="22"/>
          <w:szCs w:val="22"/>
        </w:rPr>
        <w:t xml:space="preserve">Pouco frequentes </w:t>
      </w:r>
      <w:r w:rsidRPr="008912CF">
        <w:rPr>
          <w:sz w:val="22"/>
          <w:szCs w:val="22"/>
        </w:rPr>
        <w:t>(podem afetar até 1 em 100 pessoas)</w:t>
      </w:r>
    </w:p>
    <w:p w14:paraId="3AB905D9" w14:textId="77777777" w:rsidR="008D13F4" w:rsidRPr="008912CF" w:rsidRDefault="008D13F4" w:rsidP="008D13F4">
      <w:pPr>
        <w:ind w:left="568" w:hanging="568"/>
        <w:rPr>
          <w:sz w:val="22"/>
          <w:szCs w:val="22"/>
        </w:rPr>
      </w:pPr>
    </w:p>
    <w:p w14:paraId="67222148" w14:textId="77777777" w:rsidR="008D13F4" w:rsidRPr="008912CF" w:rsidRDefault="00615769" w:rsidP="008D13F4">
      <w:pPr>
        <w:numPr>
          <w:ilvl w:val="0"/>
          <w:numId w:val="68"/>
        </w:numPr>
        <w:tabs>
          <w:tab w:val="clear" w:pos="283"/>
          <w:tab w:val="num" w:pos="600"/>
        </w:tabs>
        <w:ind w:left="568" w:hanging="567"/>
        <w:rPr>
          <w:sz w:val="22"/>
          <w:szCs w:val="22"/>
        </w:rPr>
      </w:pPr>
      <w:r w:rsidRPr="008912CF">
        <w:rPr>
          <w:sz w:val="22"/>
          <w:szCs w:val="22"/>
        </w:rPr>
        <w:t>infeções oportunistas (as quais incluem tuberculose e outras infeções que ocorrem quando a resistência à doença está diminuída)</w:t>
      </w:r>
    </w:p>
    <w:p w14:paraId="2363C3FD" w14:textId="77777777" w:rsidR="008D13F4" w:rsidRPr="008912CF" w:rsidRDefault="00615769" w:rsidP="008D13F4">
      <w:pPr>
        <w:numPr>
          <w:ilvl w:val="0"/>
          <w:numId w:val="70"/>
        </w:numPr>
        <w:tabs>
          <w:tab w:val="clear" w:pos="0"/>
        </w:tabs>
        <w:ind w:left="568" w:hanging="568"/>
        <w:rPr>
          <w:sz w:val="22"/>
          <w:szCs w:val="22"/>
        </w:rPr>
      </w:pPr>
      <w:r w:rsidRPr="008912CF">
        <w:rPr>
          <w:sz w:val="22"/>
          <w:szCs w:val="22"/>
        </w:rPr>
        <w:t>infeções neurológicas (incluindo meningite viral)</w:t>
      </w:r>
    </w:p>
    <w:p w14:paraId="45628BEA" w14:textId="77777777" w:rsidR="008D13F4" w:rsidRPr="008912CF" w:rsidRDefault="00615769" w:rsidP="008D13F4">
      <w:pPr>
        <w:numPr>
          <w:ilvl w:val="0"/>
          <w:numId w:val="70"/>
        </w:numPr>
        <w:tabs>
          <w:tab w:val="clear" w:pos="0"/>
        </w:tabs>
        <w:ind w:left="568" w:hanging="568"/>
        <w:rPr>
          <w:sz w:val="22"/>
          <w:szCs w:val="22"/>
        </w:rPr>
      </w:pPr>
      <w:r w:rsidRPr="008912CF">
        <w:rPr>
          <w:sz w:val="22"/>
          <w:szCs w:val="22"/>
        </w:rPr>
        <w:t>infeções oculares</w:t>
      </w:r>
    </w:p>
    <w:p w14:paraId="709E6307"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infeções bacterianas</w:t>
      </w:r>
    </w:p>
    <w:p w14:paraId="0749E747"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diverticulite (inflamação e infeção do intestino grosso)</w:t>
      </w:r>
    </w:p>
    <w:p w14:paraId="393A3947"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cancro</w:t>
      </w:r>
    </w:p>
    <w:p w14:paraId="09B43243"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cancro que afeta o sistema linfático</w:t>
      </w:r>
    </w:p>
    <w:p w14:paraId="60F8E32B"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melanoma</w:t>
      </w:r>
    </w:p>
    <w:p w14:paraId="472FD69E"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perturbações do sistema imunitário que podem afetar os pulmões, pele e gânglios linfáticos (apresentando-se mais frequentemente como sarcoidose)</w:t>
      </w:r>
    </w:p>
    <w:p w14:paraId="114937C1"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vasculite (inflamação dos vasos sanguíneos)</w:t>
      </w:r>
    </w:p>
    <w:p w14:paraId="40EC9E1C"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tremor</w:t>
      </w:r>
      <w:r>
        <w:rPr>
          <w:sz w:val="22"/>
          <w:szCs w:val="22"/>
        </w:rPr>
        <w:t xml:space="preserve"> (</w:t>
      </w:r>
      <w:r w:rsidRPr="008B0DDF">
        <w:rPr>
          <w:sz w:val="22"/>
          <w:szCs w:val="22"/>
        </w:rPr>
        <w:t>agitação)</w:t>
      </w:r>
    </w:p>
    <w:p w14:paraId="507A7E73" w14:textId="77777777" w:rsidR="008D13F4" w:rsidRPr="00EF6D8E" w:rsidRDefault="00615769" w:rsidP="008D13F4">
      <w:pPr>
        <w:numPr>
          <w:ilvl w:val="0"/>
          <w:numId w:val="68"/>
        </w:numPr>
        <w:tabs>
          <w:tab w:val="clear" w:pos="283"/>
          <w:tab w:val="num" w:pos="600"/>
        </w:tabs>
        <w:ind w:hanging="567"/>
        <w:rPr>
          <w:sz w:val="22"/>
          <w:szCs w:val="22"/>
        </w:rPr>
      </w:pPr>
      <w:r w:rsidRPr="00EF6D8E">
        <w:rPr>
          <w:sz w:val="22"/>
          <w:szCs w:val="22"/>
        </w:rPr>
        <w:t>neuropatia (alteração dos nervos)</w:t>
      </w:r>
    </w:p>
    <w:p w14:paraId="0651D94C"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AVC</w:t>
      </w:r>
    </w:p>
    <w:p w14:paraId="0D09F215" w14:textId="77777777" w:rsidR="008D13F4" w:rsidRPr="00142853" w:rsidRDefault="00615769" w:rsidP="008D13F4">
      <w:pPr>
        <w:numPr>
          <w:ilvl w:val="0"/>
          <w:numId w:val="68"/>
        </w:numPr>
        <w:tabs>
          <w:tab w:val="clear" w:pos="283"/>
          <w:tab w:val="num" w:pos="600"/>
        </w:tabs>
        <w:ind w:hanging="567"/>
        <w:rPr>
          <w:sz w:val="22"/>
          <w:szCs w:val="22"/>
        </w:rPr>
      </w:pPr>
      <w:r w:rsidRPr="00142853">
        <w:rPr>
          <w:sz w:val="22"/>
          <w:szCs w:val="22"/>
        </w:rPr>
        <w:t>perda de audição, zumbido</w:t>
      </w:r>
    </w:p>
    <w:p w14:paraId="5198CF51"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sensação de batimento irregular do coração tal como palpitações</w:t>
      </w:r>
    </w:p>
    <w:p w14:paraId="6E563F66"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problemas no coração que podem causar falta de ar ou inchaço nos tornozelos</w:t>
      </w:r>
    </w:p>
    <w:p w14:paraId="7DCB183F"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ataque cardíaco</w:t>
      </w:r>
    </w:p>
    <w:p w14:paraId="736E342D" w14:textId="77777777" w:rsidR="008D13F4" w:rsidRPr="008912CF" w:rsidRDefault="00615769" w:rsidP="008D13F4">
      <w:pPr>
        <w:numPr>
          <w:ilvl w:val="0"/>
          <w:numId w:val="68"/>
        </w:numPr>
        <w:tabs>
          <w:tab w:val="clear" w:pos="283"/>
          <w:tab w:val="num" w:pos="600"/>
        </w:tabs>
        <w:ind w:hanging="566"/>
        <w:rPr>
          <w:sz w:val="22"/>
          <w:szCs w:val="22"/>
        </w:rPr>
      </w:pPr>
      <w:r w:rsidRPr="008912CF">
        <w:rPr>
          <w:sz w:val="22"/>
          <w:szCs w:val="22"/>
        </w:rPr>
        <w:t>quisto na parede de uma artéria maior, inflamação e coágulo de uma veia, bloqueio de um vaso sanguíneo</w:t>
      </w:r>
    </w:p>
    <w:p w14:paraId="65D495F6"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doenças pulmonares causando falta de ar (incluindo inflamação)</w:t>
      </w:r>
    </w:p>
    <w:p w14:paraId="2789E2B3"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emboli</w:t>
      </w:r>
      <w:r w:rsidR="003E3AA9">
        <w:rPr>
          <w:sz w:val="22"/>
          <w:szCs w:val="22"/>
        </w:rPr>
        <w:t>a</w:t>
      </w:r>
      <w:r w:rsidRPr="008912CF">
        <w:rPr>
          <w:sz w:val="22"/>
          <w:szCs w:val="22"/>
        </w:rPr>
        <w:t xml:space="preserve"> pulmonar (bloqueio de uma artéria no pulmão)</w:t>
      </w:r>
    </w:p>
    <w:p w14:paraId="6FCAA8D1"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derrame pleural (acumulação anormal de líquido no espaço pleural)</w:t>
      </w:r>
    </w:p>
    <w:p w14:paraId="4CBB582E"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inflamação do pâncreas que causa dor grave no abdómen e costas</w:t>
      </w:r>
    </w:p>
    <w:p w14:paraId="4A32B919"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dificuldade em engolir</w:t>
      </w:r>
    </w:p>
    <w:p w14:paraId="16F3CC80"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edema facial</w:t>
      </w:r>
      <w:r>
        <w:rPr>
          <w:sz w:val="22"/>
          <w:szCs w:val="22"/>
        </w:rPr>
        <w:t xml:space="preserve"> (inchaço da face)</w:t>
      </w:r>
    </w:p>
    <w:p w14:paraId="21F90ADE"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 xml:space="preserve">inflamação da vesícula, pedra na vesícula </w:t>
      </w:r>
    </w:p>
    <w:p w14:paraId="6A229B3F"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fígado gordo</w:t>
      </w:r>
    </w:p>
    <w:p w14:paraId="4CAAAD5B"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suores noturnos</w:t>
      </w:r>
    </w:p>
    <w:p w14:paraId="4AC9645C"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escaras</w:t>
      </w:r>
    </w:p>
    <w:p w14:paraId="2B1BF145"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colapso muscular anormal</w:t>
      </w:r>
    </w:p>
    <w:p w14:paraId="6A03A15B" w14:textId="77777777" w:rsidR="008D13F4" w:rsidRPr="008912CF" w:rsidRDefault="00615769" w:rsidP="008D13F4">
      <w:pPr>
        <w:numPr>
          <w:ilvl w:val="0"/>
          <w:numId w:val="68"/>
        </w:numPr>
        <w:tabs>
          <w:tab w:val="clear" w:pos="283"/>
          <w:tab w:val="num" w:pos="600"/>
        </w:tabs>
        <w:ind w:hanging="566"/>
        <w:rPr>
          <w:sz w:val="22"/>
          <w:szCs w:val="22"/>
        </w:rPr>
      </w:pPr>
      <w:r w:rsidRPr="008912CF">
        <w:rPr>
          <w:sz w:val="22"/>
          <w:szCs w:val="22"/>
        </w:rPr>
        <w:t>lúpus eritematoso sistémico (incluindo inflamação da pele, coração, pulmão, articulações e outros</w:t>
      </w:r>
      <w:r w:rsidR="00CC20F9">
        <w:rPr>
          <w:sz w:val="22"/>
          <w:szCs w:val="22"/>
        </w:rPr>
        <w:t xml:space="preserve"> sistemas de</w:t>
      </w:r>
      <w:r w:rsidRPr="008912CF">
        <w:rPr>
          <w:sz w:val="22"/>
          <w:szCs w:val="22"/>
        </w:rPr>
        <w:t xml:space="preserve"> órgãos)</w:t>
      </w:r>
    </w:p>
    <w:p w14:paraId="2852103A"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interrupções de sono</w:t>
      </w:r>
    </w:p>
    <w:p w14:paraId="6F4557AF" w14:textId="77777777" w:rsidR="008D13F4" w:rsidRPr="008912CF" w:rsidRDefault="00615769" w:rsidP="008D13F4">
      <w:pPr>
        <w:numPr>
          <w:ilvl w:val="0"/>
          <w:numId w:val="68"/>
        </w:numPr>
        <w:tabs>
          <w:tab w:val="clear" w:pos="283"/>
          <w:tab w:val="num" w:pos="600"/>
        </w:tabs>
        <w:ind w:hanging="567"/>
        <w:rPr>
          <w:sz w:val="22"/>
          <w:szCs w:val="22"/>
        </w:rPr>
      </w:pPr>
      <w:r w:rsidRPr="008912CF">
        <w:rPr>
          <w:sz w:val="22"/>
          <w:szCs w:val="22"/>
        </w:rPr>
        <w:t>impotência</w:t>
      </w:r>
    </w:p>
    <w:p w14:paraId="5241D3E0" w14:textId="77777777" w:rsidR="008D13F4" w:rsidRPr="008912CF" w:rsidRDefault="00615769" w:rsidP="008D13F4">
      <w:pPr>
        <w:numPr>
          <w:ilvl w:val="0"/>
          <w:numId w:val="70"/>
        </w:numPr>
        <w:tabs>
          <w:tab w:val="clear" w:pos="0"/>
        </w:tabs>
        <w:ind w:left="568" w:hanging="568"/>
        <w:rPr>
          <w:sz w:val="22"/>
          <w:szCs w:val="22"/>
        </w:rPr>
      </w:pPr>
      <w:r w:rsidRPr="008912CF">
        <w:rPr>
          <w:sz w:val="22"/>
          <w:szCs w:val="22"/>
        </w:rPr>
        <w:t>inflamações</w:t>
      </w:r>
    </w:p>
    <w:p w14:paraId="426A2998" w14:textId="77777777" w:rsidR="008D13F4" w:rsidRPr="008912CF" w:rsidRDefault="008D13F4" w:rsidP="008D13F4">
      <w:pPr>
        <w:ind w:left="568" w:hanging="568"/>
        <w:rPr>
          <w:sz w:val="22"/>
          <w:szCs w:val="22"/>
        </w:rPr>
      </w:pPr>
    </w:p>
    <w:p w14:paraId="7DCA714D" w14:textId="77777777" w:rsidR="008D13F4" w:rsidRPr="008912CF" w:rsidRDefault="00615769" w:rsidP="0010302F">
      <w:pPr>
        <w:keepNext/>
        <w:ind w:left="567" w:hanging="567"/>
        <w:rPr>
          <w:sz w:val="22"/>
          <w:szCs w:val="22"/>
        </w:rPr>
      </w:pPr>
      <w:r w:rsidRPr="00824537">
        <w:rPr>
          <w:b/>
          <w:sz w:val="22"/>
          <w:szCs w:val="22"/>
        </w:rPr>
        <w:t>Raros</w:t>
      </w:r>
      <w:r w:rsidRPr="008912CF">
        <w:rPr>
          <w:sz w:val="22"/>
          <w:szCs w:val="22"/>
        </w:rPr>
        <w:t xml:space="preserve"> (podem afetar até 1 em 1.000 pessoas)</w:t>
      </w:r>
    </w:p>
    <w:p w14:paraId="5A6982F1" w14:textId="77777777" w:rsidR="008D13F4" w:rsidRPr="008912CF" w:rsidRDefault="008D13F4" w:rsidP="0010302F">
      <w:pPr>
        <w:keepNext/>
        <w:ind w:left="567" w:hanging="567"/>
        <w:rPr>
          <w:sz w:val="22"/>
          <w:szCs w:val="22"/>
        </w:rPr>
      </w:pPr>
    </w:p>
    <w:p w14:paraId="1CD14E04"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leucemia (cancro que afeta o sangue e a medula óssea)</w:t>
      </w:r>
    </w:p>
    <w:p w14:paraId="24AAA999"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reação alérgica grave com choque</w:t>
      </w:r>
    </w:p>
    <w:p w14:paraId="42392A9F"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esclerose múltipla</w:t>
      </w:r>
    </w:p>
    <w:p w14:paraId="26250003"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alterações neurológicas (tais como inflamação do nervo ocular e síndrome de Guillain-Barré que pode causar fraqueza muscular, sensações anormais, formigueiro nos braços e na parte superior do corpo)</w:t>
      </w:r>
    </w:p>
    <w:p w14:paraId="747E3C4B"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o coração deixa de bombear</w:t>
      </w:r>
    </w:p>
    <w:p w14:paraId="29DBF4D8"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fibrose pulmonar (cicatrizes no pulmão)</w:t>
      </w:r>
    </w:p>
    <w:p w14:paraId="764CD603"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perfuração intestinal</w:t>
      </w:r>
      <w:r>
        <w:rPr>
          <w:sz w:val="22"/>
          <w:szCs w:val="22"/>
        </w:rPr>
        <w:t xml:space="preserve"> (</w:t>
      </w:r>
      <w:r w:rsidRPr="00D87764">
        <w:rPr>
          <w:sz w:val="22"/>
          <w:szCs w:val="22"/>
        </w:rPr>
        <w:t>buraco no intestino)</w:t>
      </w:r>
    </w:p>
    <w:p w14:paraId="7CBB1F3B"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hepatite</w:t>
      </w:r>
    </w:p>
    <w:p w14:paraId="31AA1B3D"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reativação da hepatite B</w:t>
      </w:r>
    </w:p>
    <w:p w14:paraId="65E3AFED" w14:textId="77777777" w:rsidR="008D13F4" w:rsidRPr="005307A8" w:rsidRDefault="00615769" w:rsidP="00636825">
      <w:pPr>
        <w:numPr>
          <w:ilvl w:val="0"/>
          <w:numId w:val="68"/>
        </w:numPr>
        <w:tabs>
          <w:tab w:val="clear" w:pos="283"/>
          <w:tab w:val="num" w:pos="600"/>
        </w:tabs>
        <w:ind w:hanging="567"/>
        <w:rPr>
          <w:szCs w:val="22"/>
        </w:rPr>
      </w:pPr>
      <w:r w:rsidRPr="00636825">
        <w:rPr>
          <w:sz w:val="22"/>
          <w:szCs w:val="22"/>
        </w:rPr>
        <w:t>hepatite autoimune (inflamação do fígado causada pelo próprio sistema imunitário do corpo)</w:t>
      </w:r>
    </w:p>
    <w:p w14:paraId="6AE0FCD9"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vasculite cutânea (inflamação dos vasos sanguíneos da pele)</w:t>
      </w:r>
    </w:p>
    <w:p w14:paraId="5451044C"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síndrome de Stevens-Johnson (sintomas iniciais incluindo indisposição, febre, dor de cabeça e erupção cutânea)</w:t>
      </w:r>
    </w:p>
    <w:p w14:paraId="431EAE00"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 xml:space="preserve">edema facial </w:t>
      </w:r>
      <w:r>
        <w:rPr>
          <w:sz w:val="22"/>
          <w:szCs w:val="22"/>
        </w:rPr>
        <w:t xml:space="preserve">(inchaço da face) </w:t>
      </w:r>
      <w:r w:rsidRPr="008912CF">
        <w:rPr>
          <w:sz w:val="22"/>
          <w:szCs w:val="22"/>
        </w:rPr>
        <w:t>associado com reações alérgicas</w:t>
      </w:r>
    </w:p>
    <w:p w14:paraId="0B062067"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eritema multiforme (erupção cutânea inflamatória)</w:t>
      </w:r>
    </w:p>
    <w:p w14:paraId="0515C033" w14:textId="77777777" w:rsidR="008D13F4" w:rsidRDefault="00615769" w:rsidP="00636825">
      <w:pPr>
        <w:numPr>
          <w:ilvl w:val="0"/>
          <w:numId w:val="68"/>
        </w:numPr>
        <w:tabs>
          <w:tab w:val="clear" w:pos="283"/>
          <w:tab w:val="num" w:pos="600"/>
        </w:tabs>
        <w:ind w:hanging="567"/>
        <w:rPr>
          <w:sz w:val="22"/>
          <w:szCs w:val="22"/>
        </w:rPr>
      </w:pPr>
      <w:r w:rsidRPr="008912CF">
        <w:rPr>
          <w:sz w:val="22"/>
          <w:szCs w:val="22"/>
        </w:rPr>
        <w:t>síndrome tipo lúpus</w:t>
      </w:r>
    </w:p>
    <w:p w14:paraId="2E7B2185" w14:textId="77777777" w:rsidR="008D13F4" w:rsidRDefault="00615769" w:rsidP="00636825">
      <w:pPr>
        <w:numPr>
          <w:ilvl w:val="0"/>
          <w:numId w:val="68"/>
        </w:numPr>
        <w:tabs>
          <w:tab w:val="clear" w:pos="283"/>
          <w:tab w:val="num" w:pos="600"/>
        </w:tabs>
        <w:ind w:hanging="567"/>
        <w:rPr>
          <w:sz w:val="22"/>
          <w:szCs w:val="22"/>
        </w:rPr>
      </w:pPr>
      <w:r>
        <w:rPr>
          <w:sz w:val="22"/>
          <w:szCs w:val="22"/>
        </w:rPr>
        <w:t>angioedema (inchaço localizado da pele)</w:t>
      </w:r>
    </w:p>
    <w:p w14:paraId="44C1BF9C" w14:textId="77777777" w:rsidR="00D9427F" w:rsidRPr="00D9427F" w:rsidRDefault="00615769" w:rsidP="00636825">
      <w:pPr>
        <w:numPr>
          <w:ilvl w:val="0"/>
          <w:numId w:val="68"/>
        </w:numPr>
        <w:tabs>
          <w:tab w:val="clear" w:pos="283"/>
          <w:tab w:val="num" w:pos="600"/>
        </w:tabs>
        <w:ind w:hanging="567"/>
        <w:rPr>
          <w:sz w:val="22"/>
          <w:szCs w:val="22"/>
        </w:rPr>
      </w:pPr>
      <w:r>
        <w:rPr>
          <w:sz w:val="22"/>
          <w:szCs w:val="22"/>
        </w:rPr>
        <w:t>r</w:t>
      </w:r>
      <w:r w:rsidRPr="00D9427F">
        <w:rPr>
          <w:sz w:val="22"/>
          <w:szCs w:val="22"/>
        </w:rPr>
        <w:t>eação cutânea liquen</w:t>
      </w:r>
      <w:r>
        <w:rPr>
          <w:sz w:val="22"/>
          <w:szCs w:val="22"/>
        </w:rPr>
        <w:t>o</w:t>
      </w:r>
      <w:r w:rsidRPr="00D9427F">
        <w:rPr>
          <w:sz w:val="22"/>
          <w:szCs w:val="22"/>
        </w:rPr>
        <w:t xml:space="preserve">ide (erupção </w:t>
      </w:r>
      <w:r>
        <w:rPr>
          <w:sz w:val="22"/>
          <w:szCs w:val="22"/>
        </w:rPr>
        <w:t>na pele</w:t>
      </w:r>
      <w:r w:rsidRPr="00D9427F">
        <w:rPr>
          <w:sz w:val="22"/>
          <w:szCs w:val="22"/>
        </w:rPr>
        <w:t xml:space="preserve"> vermelho-púrpura com comichão)</w:t>
      </w:r>
    </w:p>
    <w:p w14:paraId="57E0AAC6" w14:textId="77777777" w:rsidR="00D9427F" w:rsidRPr="008912CF" w:rsidRDefault="00D9427F" w:rsidP="00D9427F">
      <w:pPr>
        <w:rPr>
          <w:sz w:val="22"/>
          <w:szCs w:val="22"/>
        </w:rPr>
      </w:pPr>
    </w:p>
    <w:p w14:paraId="6104455F" w14:textId="77777777" w:rsidR="008D13F4" w:rsidRPr="008912CF" w:rsidRDefault="00615769" w:rsidP="008D13F4">
      <w:pPr>
        <w:rPr>
          <w:sz w:val="22"/>
          <w:szCs w:val="22"/>
        </w:rPr>
      </w:pPr>
      <w:r w:rsidRPr="00824537">
        <w:rPr>
          <w:b/>
          <w:sz w:val="22"/>
          <w:szCs w:val="22"/>
        </w:rPr>
        <w:t>Desconhecido</w:t>
      </w:r>
      <w:r w:rsidRPr="008912CF">
        <w:rPr>
          <w:sz w:val="22"/>
          <w:szCs w:val="22"/>
        </w:rPr>
        <w:t xml:space="preserve"> (a frequência não pode ser calculada a partir dos dados disponíveis)</w:t>
      </w:r>
    </w:p>
    <w:p w14:paraId="7BE62660" w14:textId="77777777" w:rsidR="008D13F4" w:rsidRPr="008912CF" w:rsidRDefault="008D13F4" w:rsidP="008D13F4">
      <w:pPr>
        <w:rPr>
          <w:sz w:val="22"/>
          <w:szCs w:val="22"/>
        </w:rPr>
      </w:pPr>
    </w:p>
    <w:p w14:paraId="475B1B0C"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linfoma hepatoesplénico de linfócitos T (um raro cancro de sangue que muitas vezes é fatal)</w:t>
      </w:r>
    </w:p>
    <w:p w14:paraId="0D29840A" w14:textId="77777777" w:rsidR="008D13F4" w:rsidRDefault="00615769" w:rsidP="00636825">
      <w:pPr>
        <w:numPr>
          <w:ilvl w:val="0"/>
          <w:numId w:val="68"/>
        </w:numPr>
        <w:tabs>
          <w:tab w:val="clear" w:pos="283"/>
          <w:tab w:val="num" w:pos="600"/>
        </w:tabs>
        <w:ind w:hanging="567"/>
        <w:rPr>
          <w:sz w:val="22"/>
          <w:szCs w:val="22"/>
        </w:rPr>
      </w:pPr>
      <w:r w:rsidRPr="008912CF">
        <w:rPr>
          <w:sz w:val="22"/>
          <w:szCs w:val="22"/>
        </w:rPr>
        <w:t>carcinoma de células de Merkel (um tipo de cancro de pele)</w:t>
      </w:r>
    </w:p>
    <w:p w14:paraId="0CBB1D99" w14:textId="77777777" w:rsidR="00A06FA4" w:rsidRPr="008912CF" w:rsidRDefault="00615769" w:rsidP="00636825">
      <w:pPr>
        <w:numPr>
          <w:ilvl w:val="0"/>
          <w:numId w:val="68"/>
        </w:numPr>
        <w:tabs>
          <w:tab w:val="clear" w:pos="283"/>
          <w:tab w:val="num" w:pos="600"/>
        </w:tabs>
        <w:ind w:hanging="567"/>
        <w:rPr>
          <w:sz w:val="22"/>
          <w:szCs w:val="22"/>
        </w:rPr>
      </w:pPr>
      <w:r>
        <w:rPr>
          <w:sz w:val="22"/>
          <w:szCs w:val="22"/>
        </w:rPr>
        <w:t>s</w:t>
      </w:r>
      <w:r w:rsidRPr="006819E5">
        <w:rPr>
          <w:sz w:val="22"/>
          <w:szCs w:val="22"/>
        </w:rPr>
        <w:t>arcoma de Kaposi, um cancro raro relacionado com a infeção pelo vírus herpes humano 8. O sarcoma de Kaposi aparece mais frequentemente na forma de lesões cutâneas de cor púrpura</w:t>
      </w:r>
    </w:p>
    <w:p w14:paraId="016B1F46"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 xml:space="preserve">insuficiência hepática </w:t>
      </w:r>
    </w:p>
    <w:p w14:paraId="059B65BF" w14:textId="77777777" w:rsidR="007A4E33" w:rsidRDefault="00615769" w:rsidP="007A4E33">
      <w:pPr>
        <w:pStyle w:val="ListParagraph"/>
        <w:numPr>
          <w:ilvl w:val="0"/>
          <w:numId w:val="114"/>
        </w:numPr>
        <w:ind w:left="567" w:hanging="567"/>
        <w:rPr>
          <w:sz w:val="22"/>
          <w:szCs w:val="22"/>
        </w:rPr>
      </w:pPr>
      <w:r w:rsidRPr="008912CF">
        <w:rPr>
          <w:sz w:val="22"/>
          <w:szCs w:val="22"/>
        </w:rPr>
        <w:t>agravamento de uma doença chamada dermatomiosite (que corresponde a uma erupção cutânea acompanhada de fraqueza muscular)</w:t>
      </w:r>
      <w:r w:rsidRPr="007A4E33">
        <w:rPr>
          <w:sz w:val="22"/>
          <w:szCs w:val="22"/>
        </w:rPr>
        <w:t xml:space="preserve"> </w:t>
      </w:r>
    </w:p>
    <w:p w14:paraId="359B1566" w14:textId="77777777" w:rsidR="008D13F4" w:rsidRPr="00A10CE1" w:rsidRDefault="00615769" w:rsidP="00A10CE1">
      <w:pPr>
        <w:pStyle w:val="ListParagraph"/>
        <w:numPr>
          <w:ilvl w:val="0"/>
          <w:numId w:val="114"/>
        </w:numPr>
        <w:ind w:left="567" w:hanging="567"/>
        <w:rPr>
          <w:sz w:val="22"/>
          <w:szCs w:val="22"/>
        </w:rPr>
      </w:pPr>
      <w:r>
        <w:rPr>
          <w:sz w:val="22"/>
          <w:szCs w:val="22"/>
        </w:rPr>
        <w:t>a</w:t>
      </w:r>
      <w:r w:rsidRPr="007A4E33">
        <w:rPr>
          <w:sz w:val="22"/>
          <w:szCs w:val="22"/>
        </w:rPr>
        <w:t>umento de peso (para a maioria dos doentes, o aumento de peso foi pequeno)</w:t>
      </w:r>
    </w:p>
    <w:p w14:paraId="1990B432" w14:textId="77777777" w:rsidR="008D13F4" w:rsidRPr="008912CF" w:rsidRDefault="008D13F4" w:rsidP="008D13F4">
      <w:pPr>
        <w:rPr>
          <w:sz w:val="22"/>
          <w:szCs w:val="22"/>
        </w:rPr>
      </w:pPr>
    </w:p>
    <w:p w14:paraId="5F5D96FD" w14:textId="77777777" w:rsidR="008D13F4" w:rsidRPr="008912CF" w:rsidRDefault="00615769" w:rsidP="008D13F4">
      <w:pPr>
        <w:rPr>
          <w:sz w:val="22"/>
          <w:szCs w:val="22"/>
        </w:rPr>
      </w:pPr>
      <w:r w:rsidRPr="008912CF">
        <w:rPr>
          <w:sz w:val="22"/>
          <w:szCs w:val="22"/>
        </w:rPr>
        <w:t xml:space="preserve">Alguns efeitos </w:t>
      </w:r>
      <w:r w:rsidR="00571C82">
        <w:rPr>
          <w:sz w:val="22"/>
          <w:szCs w:val="22"/>
        </w:rPr>
        <w:t>indesejáveis</w:t>
      </w:r>
      <w:r w:rsidRPr="008912CF">
        <w:rPr>
          <w:sz w:val="22"/>
          <w:szCs w:val="22"/>
        </w:rPr>
        <w:t xml:space="preserve"> observados com Humira podem não ter sintomas e só podem ser identificados através de análises ao sangue. Estes incluem:</w:t>
      </w:r>
    </w:p>
    <w:p w14:paraId="247643ED" w14:textId="77777777" w:rsidR="008D13F4" w:rsidRPr="008912CF" w:rsidRDefault="008D13F4" w:rsidP="008D13F4">
      <w:pPr>
        <w:rPr>
          <w:sz w:val="22"/>
          <w:szCs w:val="22"/>
        </w:rPr>
      </w:pPr>
    </w:p>
    <w:p w14:paraId="681890AB" w14:textId="77777777" w:rsidR="008D13F4" w:rsidRPr="008912CF" w:rsidRDefault="00615769" w:rsidP="008D13F4">
      <w:pPr>
        <w:keepNext/>
        <w:rPr>
          <w:sz w:val="22"/>
          <w:szCs w:val="22"/>
        </w:rPr>
      </w:pPr>
      <w:r w:rsidRPr="00824537">
        <w:rPr>
          <w:b/>
          <w:sz w:val="22"/>
          <w:szCs w:val="22"/>
        </w:rPr>
        <w:t xml:space="preserve">Muito frequentes </w:t>
      </w:r>
      <w:r w:rsidRPr="008912CF">
        <w:rPr>
          <w:sz w:val="22"/>
          <w:szCs w:val="22"/>
        </w:rPr>
        <w:t>(podem afetar mais de 1 em 10 pessoas)</w:t>
      </w:r>
    </w:p>
    <w:p w14:paraId="1172EB75" w14:textId="77777777" w:rsidR="008D13F4" w:rsidRPr="008912CF" w:rsidRDefault="008D13F4" w:rsidP="008D13F4">
      <w:pPr>
        <w:keepNext/>
        <w:rPr>
          <w:sz w:val="22"/>
          <w:szCs w:val="22"/>
        </w:rPr>
      </w:pPr>
    </w:p>
    <w:p w14:paraId="00BF9A3C"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 xml:space="preserve">contagem diminuída dos glóbulos brancos </w:t>
      </w:r>
    </w:p>
    <w:p w14:paraId="518CA226"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contagem diminuída dos glóbulos vermelhos</w:t>
      </w:r>
    </w:p>
    <w:p w14:paraId="1B35680C"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aumento dos lípidos no sangue</w:t>
      </w:r>
    </w:p>
    <w:p w14:paraId="6AE543F0"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aumento das enzimas hepáticas</w:t>
      </w:r>
    </w:p>
    <w:p w14:paraId="786C3523" w14:textId="77777777" w:rsidR="008D13F4" w:rsidRPr="008912CF" w:rsidRDefault="008D13F4" w:rsidP="008D13F4">
      <w:pPr>
        <w:rPr>
          <w:sz w:val="22"/>
          <w:szCs w:val="22"/>
        </w:rPr>
      </w:pPr>
    </w:p>
    <w:p w14:paraId="6A3F6FBB" w14:textId="77777777" w:rsidR="008D13F4" w:rsidRPr="008912CF" w:rsidRDefault="00615769" w:rsidP="008D13F4">
      <w:pPr>
        <w:rPr>
          <w:sz w:val="22"/>
          <w:szCs w:val="22"/>
        </w:rPr>
      </w:pPr>
      <w:r w:rsidRPr="00824537">
        <w:rPr>
          <w:b/>
          <w:sz w:val="22"/>
          <w:szCs w:val="22"/>
        </w:rPr>
        <w:t>Frequentes</w:t>
      </w:r>
      <w:r w:rsidRPr="008912CF">
        <w:rPr>
          <w:sz w:val="22"/>
          <w:szCs w:val="22"/>
        </w:rPr>
        <w:t xml:space="preserve"> (podem afetar até 1 em 10 pessoas)</w:t>
      </w:r>
    </w:p>
    <w:p w14:paraId="1EAE480E" w14:textId="77777777" w:rsidR="008D13F4" w:rsidRPr="008912CF" w:rsidRDefault="008D13F4" w:rsidP="008D13F4">
      <w:pPr>
        <w:rPr>
          <w:sz w:val="22"/>
          <w:szCs w:val="22"/>
        </w:rPr>
      </w:pPr>
    </w:p>
    <w:p w14:paraId="1F0F02E0"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contagem aumentada dos glóbulos brancos</w:t>
      </w:r>
    </w:p>
    <w:p w14:paraId="1DEE1149"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contagem diminuída das plaquetas</w:t>
      </w:r>
    </w:p>
    <w:p w14:paraId="5119E30D"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aumento de ácido úrico no sangue</w:t>
      </w:r>
    </w:p>
    <w:p w14:paraId="69285924"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contagem anormal de sódio no sangue</w:t>
      </w:r>
    </w:p>
    <w:p w14:paraId="4BF097BD"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contagem diminuída de cálcio no sangue</w:t>
      </w:r>
    </w:p>
    <w:p w14:paraId="67FA0972"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contagem diminuída de fosfato no sangue</w:t>
      </w:r>
    </w:p>
    <w:p w14:paraId="7E4947CE"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nível de açúcar aumentado no sangue</w:t>
      </w:r>
    </w:p>
    <w:p w14:paraId="5C54B188"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valores aumentados de dehidrogenase láctica no sangue</w:t>
      </w:r>
    </w:p>
    <w:p w14:paraId="382B8673" w14:textId="77777777" w:rsidR="008D13F4" w:rsidRDefault="00615769" w:rsidP="00636825">
      <w:pPr>
        <w:numPr>
          <w:ilvl w:val="0"/>
          <w:numId w:val="68"/>
        </w:numPr>
        <w:tabs>
          <w:tab w:val="clear" w:pos="283"/>
          <w:tab w:val="num" w:pos="600"/>
        </w:tabs>
        <w:ind w:hanging="567"/>
        <w:rPr>
          <w:sz w:val="22"/>
          <w:szCs w:val="22"/>
        </w:rPr>
      </w:pPr>
      <w:r w:rsidRPr="008912CF">
        <w:rPr>
          <w:sz w:val="22"/>
          <w:szCs w:val="22"/>
        </w:rPr>
        <w:t>presença de autoanticorpos no sangue</w:t>
      </w:r>
    </w:p>
    <w:p w14:paraId="78D1ADA9" w14:textId="77777777" w:rsidR="008D13F4" w:rsidRPr="008912CF" w:rsidRDefault="00615769" w:rsidP="00636825">
      <w:pPr>
        <w:numPr>
          <w:ilvl w:val="0"/>
          <w:numId w:val="68"/>
        </w:numPr>
        <w:tabs>
          <w:tab w:val="clear" w:pos="283"/>
          <w:tab w:val="num" w:pos="600"/>
        </w:tabs>
        <w:ind w:hanging="567"/>
        <w:rPr>
          <w:sz w:val="22"/>
          <w:szCs w:val="22"/>
        </w:rPr>
      </w:pPr>
      <w:r>
        <w:rPr>
          <w:sz w:val="22"/>
          <w:szCs w:val="22"/>
        </w:rPr>
        <w:t>baixo teor de potássio no sangue</w:t>
      </w:r>
    </w:p>
    <w:p w14:paraId="1F001BF7" w14:textId="77777777" w:rsidR="008D13F4" w:rsidRPr="008912CF" w:rsidRDefault="008D13F4" w:rsidP="008D13F4">
      <w:pPr>
        <w:rPr>
          <w:sz w:val="22"/>
          <w:szCs w:val="22"/>
        </w:rPr>
      </w:pPr>
    </w:p>
    <w:p w14:paraId="623D980A" w14:textId="77777777" w:rsidR="008D13F4" w:rsidRDefault="00615769" w:rsidP="0094797C">
      <w:pPr>
        <w:keepNext/>
        <w:rPr>
          <w:sz w:val="22"/>
          <w:szCs w:val="22"/>
        </w:rPr>
      </w:pPr>
      <w:r w:rsidRPr="00824537">
        <w:rPr>
          <w:b/>
          <w:sz w:val="22"/>
          <w:szCs w:val="22"/>
        </w:rPr>
        <w:t xml:space="preserve">Pouco frequentes </w:t>
      </w:r>
      <w:r>
        <w:rPr>
          <w:sz w:val="22"/>
          <w:szCs w:val="22"/>
        </w:rPr>
        <w:t>(podem afetar até 1 em 100 pessoas)</w:t>
      </w:r>
    </w:p>
    <w:p w14:paraId="6FFE9225" w14:textId="77777777" w:rsidR="008D13F4" w:rsidRDefault="008D13F4" w:rsidP="0094797C">
      <w:pPr>
        <w:keepNext/>
        <w:rPr>
          <w:sz w:val="22"/>
          <w:szCs w:val="22"/>
        </w:rPr>
      </w:pPr>
    </w:p>
    <w:p w14:paraId="14397F78" w14:textId="77777777" w:rsidR="008D13F4" w:rsidRPr="008912CF" w:rsidRDefault="00615769" w:rsidP="0094797C">
      <w:pPr>
        <w:keepNext/>
        <w:numPr>
          <w:ilvl w:val="0"/>
          <w:numId w:val="68"/>
        </w:numPr>
        <w:tabs>
          <w:tab w:val="clear" w:pos="283"/>
          <w:tab w:val="num" w:pos="600"/>
        </w:tabs>
        <w:ind w:hanging="567"/>
        <w:rPr>
          <w:sz w:val="22"/>
          <w:szCs w:val="22"/>
        </w:rPr>
      </w:pPr>
      <w:r>
        <w:rPr>
          <w:sz w:val="22"/>
          <w:szCs w:val="22"/>
        </w:rPr>
        <w:t>aumento de bilirrubina (análises de sangue ao fígado)</w:t>
      </w:r>
    </w:p>
    <w:p w14:paraId="7CDBD2F7" w14:textId="77777777" w:rsidR="008D13F4" w:rsidRDefault="008D13F4" w:rsidP="008D13F4">
      <w:pPr>
        <w:rPr>
          <w:sz w:val="22"/>
          <w:szCs w:val="22"/>
        </w:rPr>
      </w:pPr>
    </w:p>
    <w:p w14:paraId="18394CA9" w14:textId="77777777" w:rsidR="008D13F4" w:rsidRPr="008912CF" w:rsidRDefault="00615769" w:rsidP="008D13F4">
      <w:pPr>
        <w:rPr>
          <w:sz w:val="22"/>
          <w:szCs w:val="22"/>
        </w:rPr>
      </w:pPr>
      <w:r w:rsidRPr="00824537">
        <w:rPr>
          <w:b/>
          <w:sz w:val="22"/>
          <w:szCs w:val="22"/>
        </w:rPr>
        <w:t>Raros</w:t>
      </w:r>
      <w:r w:rsidRPr="008912CF">
        <w:rPr>
          <w:sz w:val="22"/>
          <w:szCs w:val="22"/>
        </w:rPr>
        <w:t xml:space="preserve"> (podem afetar até 1 em 1.000 pessoas)</w:t>
      </w:r>
    </w:p>
    <w:p w14:paraId="693EBDD8" w14:textId="77777777" w:rsidR="008D13F4" w:rsidRPr="008912CF" w:rsidRDefault="008D13F4" w:rsidP="008D13F4">
      <w:pPr>
        <w:rPr>
          <w:sz w:val="22"/>
          <w:szCs w:val="22"/>
        </w:rPr>
      </w:pPr>
    </w:p>
    <w:p w14:paraId="2705E821" w14:textId="77777777" w:rsidR="008D13F4" w:rsidRPr="008912CF" w:rsidRDefault="00615769" w:rsidP="00636825">
      <w:pPr>
        <w:numPr>
          <w:ilvl w:val="0"/>
          <w:numId w:val="68"/>
        </w:numPr>
        <w:tabs>
          <w:tab w:val="clear" w:pos="283"/>
          <w:tab w:val="num" w:pos="600"/>
        </w:tabs>
        <w:ind w:hanging="567"/>
        <w:rPr>
          <w:sz w:val="22"/>
          <w:szCs w:val="22"/>
        </w:rPr>
      </w:pPr>
      <w:r w:rsidRPr="008912CF">
        <w:rPr>
          <w:sz w:val="22"/>
          <w:szCs w:val="22"/>
        </w:rPr>
        <w:t>contagem diminuída de glóbulos brancos, glóbulos vermelhos e plaquetas</w:t>
      </w:r>
    </w:p>
    <w:p w14:paraId="28A6F99B" w14:textId="77777777" w:rsidR="008D13F4" w:rsidRPr="008912CF" w:rsidRDefault="008D13F4" w:rsidP="008D13F4">
      <w:pPr>
        <w:rPr>
          <w:sz w:val="22"/>
          <w:szCs w:val="22"/>
        </w:rPr>
      </w:pPr>
    </w:p>
    <w:p w14:paraId="28C26AF4" w14:textId="77777777" w:rsidR="008D13F4" w:rsidRPr="00824537" w:rsidRDefault="00615769" w:rsidP="008D13F4">
      <w:pPr>
        <w:rPr>
          <w:sz w:val="22"/>
          <w:szCs w:val="22"/>
        </w:rPr>
      </w:pPr>
      <w:r w:rsidRPr="00824537">
        <w:rPr>
          <w:b/>
          <w:sz w:val="22"/>
          <w:szCs w:val="22"/>
        </w:rPr>
        <w:t xml:space="preserve">Comunicação de efeitos </w:t>
      </w:r>
      <w:r w:rsidR="00571C82">
        <w:rPr>
          <w:b/>
          <w:sz w:val="22"/>
          <w:szCs w:val="22"/>
        </w:rPr>
        <w:t>indesejáveis</w:t>
      </w:r>
      <w:r w:rsidRPr="00824537">
        <w:rPr>
          <w:b/>
          <w:sz w:val="22"/>
          <w:szCs w:val="22"/>
        </w:rPr>
        <w:t xml:space="preserve"> </w:t>
      </w:r>
    </w:p>
    <w:p w14:paraId="458DDC98" w14:textId="77777777" w:rsidR="008D13F4" w:rsidRPr="008912CF" w:rsidRDefault="00615769" w:rsidP="00636825">
      <w:pPr>
        <w:ind w:right="-2"/>
        <w:rPr>
          <w:sz w:val="22"/>
          <w:szCs w:val="22"/>
        </w:rPr>
      </w:pPr>
      <w:r w:rsidRPr="008912CF">
        <w:rPr>
          <w:sz w:val="22"/>
          <w:szCs w:val="22"/>
        </w:rPr>
        <w:t xml:space="preserve">Se tiver quaisquer efeitos </w:t>
      </w:r>
      <w:r w:rsidR="00571C82">
        <w:rPr>
          <w:sz w:val="22"/>
          <w:szCs w:val="22"/>
        </w:rPr>
        <w:t>indesejáveis</w:t>
      </w:r>
      <w:r w:rsidRPr="008912CF">
        <w:rPr>
          <w:sz w:val="22"/>
          <w:szCs w:val="22"/>
        </w:rPr>
        <w:t xml:space="preserve">, incluindo possíveis efeitos </w:t>
      </w:r>
      <w:r w:rsidR="00571C82">
        <w:rPr>
          <w:sz w:val="22"/>
          <w:szCs w:val="22"/>
        </w:rPr>
        <w:t>indesejáveis</w:t>
      </w:r>
      <w:r w:rsidRPr="008912CF">
        <w:rPr>
          <w:sz w:val="22"/>
          <w:szCs w:val="22"/>
        </w:rPr>
        <w:t xml:space="preserve"> não indicados neste folheto, fale com o seu médico ou farmacêutico.</w:t>
      </w:r>
      <w:r w:rsidR="00103AA2">
        <w:rPr>
          <w:sz w:val="22"/>
          <w:szCs w:val="22"/>
        </w:rPr>
        <w:t xml:space="preserve"> </w:t>
      </w:r>
      <w:r w:rsidRPr="008912CF">
        <w:rPr>
          <w:sz w:val="22"/>
          <w:szCs w:val="22"/>
        </w:rPr>
        <w:t xml:space="preserve">Também poderá comunicar efeitos </w:t>
      </w:r>
      <w:r w:rsidR="00571C82">
        <w:rPr>
          <w:sz w:val="22"/>
          <w:szCs w:val="22"/>
        </w:rPr>
        <w:t>indesejáveis</w:t>
      </w:r>
      <w:r w:rsidRPr="008912CF">
        <w:rPr>
          <w:sz w:val="22"/>
          <w:szCs w:val="22"/>
        </w:rPr>
        <w:t xml:space="preserve"> diretamente através </w:t>
      </w:r>
      <w:r w:rsidRPr="008912CF">
        <w:rPr>
          <w:sz w:val="22"/>
          <w:szCs w:val="22"/>
          <w:highlight w:val="lightGray"/>
        </w:rPr>
        <w:t xml:space="preserve">do sistema nacional de notificação mencionado no </w:t>
      </w:r>
      <w:hyperlink r:id="rId65" w:history="1">
        <w:r w:rsidR="008D13F4" w:rsidRPr="008912CF">
          <w:rPr>
            <w:rStyle w:val="Hyperlink"/>
            <w:sz w:val="22"/>
            <w:szCs w:val="22"/>
            <w:highlight w:val="lightGray"/>
          </w:rPr>
          <w:t>Apêndice V</w:t>
        </w:r>
      </w:hyperlink>
      <w:r w:rsidRPr="008912CF">
        <w:rPr>
          <w:sz w:val="22"/>
          <w:szCs w:val="22"/>
        </w:rPr>
        <w:t xml:space="preserve">. Ao comunicar efeitos </w:t>
      </w:r>
      <w:r w:rsidR="00571C82">
        <w:rPr>
          <w:sz w:val="22"/>
          <w:szCs w:val="22"/>
        </w:rPr>
        <w:t>indesejáveis</w:t>
      </w:r>
      <w:r w:rsidRPr="008912CF">
        <w:rPr>
          <w:sz w:val="22"/>
          <w:szCs w:val="22"/>
        </w:rPr>
        <w:t>, estará a ajudar a fornecer mais informações sobre a segurança deste medicamento.</w:t>
      </w:r>
    </w:p>
    <w:p w14:paraId="6E5497C5" w14:textId="77777777" w:rsidR="008D13F4" w:rsidRPr="008912CF" w:rsidRDefault="008D13F4" w:rsidP="008D13F4">
      <w:pPr>
        <w:ind w:right="-2"/>
        <w:rPr>
          <w:sz w:val="22"/>
          <w:szCs w:val="22"/>
        </w:rPr>
      </w:pPr>
    </w:p>
    <w:p w14:paraId="3E4F57A1" w14:textId="77777777" w:rsidR="008D13F4" w:rsidRPr="008912CF" w:rsidRDefault="008D13F4" w:rsidP="008D13F4">
      <w:pPr>
        <w:ind w:right="-2"/>
        <w:rPr>
          <w:sz w:val="22"/>
          <w:szCs w:val="22"/>
        </w:rPr>
      </w:pPr>
    </w:p>
    <w:p w14:paraId="04E18718" w14:textId="77777777" w:rsidR="008D13F4" w:rsidRPr="008912CF" w:rsidRDefault="00615769" w:rsidP="008D13F4">
      <w:pPr>
        <w:ind w:left="567" w:hanging="567"/>
        <w:rPr>
          <w:sz w:val="22"/>
          <w:szCs w:val="22"/>
        </w:rPr>
      </w:pPr>
      <w:r w:rsidRPr="008912CF">
        <w:rPr>
          <w:b/>
          <w:sz w:val="22"/>
          <w:szCs w:val="22"/>
        </w:rPr>
        <w:t>5.</w:t>
      </w:r>
      <w:r w:rsidRPr="008912CF">
        <w:rPr>
          <w:b/>
          <w:sz w:val="22"/>
          <w:szCs w:val="22"/>
        </w:rPr>
        <w:tab/>
        <w:t>Como conservar Humira</w:t>
      </w:r>
    </w:p>
    <w:p w14:paraId="5B0861C2" w14:textId="77777777" w:rsidR="008D13F4" w:rsidRPr="008912CF" w:rsidRDefault="008D13F4" w:rsidP="008D13F4">
      <w:pPr>
        <w:ind w:right="-2"/>
        <w:rPr>
          <w:sz w:val="22"/>
          <w:szCs w:val="22"/>
        </w:rPr>
      </w:pPr>
    </w:p>
    <w:p w14:paraId="6B9B3899" w14:textId="77777777" w:rsidR="008D13F4" w:rsidRPr="008912CF" w:rsidRDefault="00615769" w:rsidP="008D13F4">
      <w:pPr>
        <w:ind w:right="-2"/>
        <w:rPr>
          <w:sz w:val="22"/>
          <w:szCs w:val="22"/>
        </w:rPr>
      </w:pPr>
      <w:r w:rsidRPr="008912CF">
        <w:rPr>
          <w:sz w:val="22"/>
          <w:szCs w:val="22"/>
        </w:rPr>
        <w:t xml:space="preserve">Manter este medicamento fora da vista e do alcance das crianças. </w:t>
      </w:r>
    </w:p>
    <w:p w14:paraId="3CD73FB7" w14:textId="77777777" w:rsidR="008D13F4" w:rsidRPr="008912CF" w:rsidRDefault="008D13F4" w:rsidP="008D13F4">
      <w:pPr>
        <w:ind w:right="-2"/>
        <w:rPr>
          <w:sz w:val="22"/>
          <w:szCs w:val="22"/>
        </w:rPr>
      </w:pPr>
    </w:p>
    <w:p w14:paraId="28B42C52" w14:textId="77777777" w:rsidR="008D13F4" w:rsidRPr="008912CF" w:rsidRDefault="00615769" w:rsidP="008D13F4">
      <w:pPr>
        <w:ind w:right="-2"/>
        <w:rPr>
          <w:sz w:val="22"/>
          <w:szCs w:val="22"/>
        </w:rPr>
      </w:pPr>
      <w:r w:rsidRPr="008912CF">
        <w:rPr>
          <w:sz w:val="22"/>
          <w:szCs w:val="22"/>
        </w:rPr>
        <w:t>Não utilize este medicamento após o prazo de validade impresso no rótu</w:t>
      </w:r>
      <w:r>
        <w:rPr>
          <w:sz w:val="22"/>
          <w:szCs w:val="22"/>
        </w:rPr>
        <w:t>lo/blister/embalagem, após EXP</w:t>
      </w:r>
      <w:r w:rsidRPr="008912CF">
        <w:rPr>
          <w:sz w:val="22"/>
          <w:szCs w:val="22"/>
        </w:rPr>
        <w:t xml:space="preserve">. </w:t>
      </w:r>
    </w:p>
    <w:p w14:paraId="2314FB4A" w14:textId="77777777" w:rsidR="008D13F4" w:rsidRPr="008912CF" w:rsidRDefault="008D13F4" w:rsidP="008D13F4">
      <w:pPr>
        <w:ind w:right="-2"/>
        <w:rPr>
          <w:sz w:val="22"/>
          <w:szCs w:val="22"/>
        </w:rPr>
      </w:pPr>
    </w:p>
    <w:p w14:paraId="76F913E1" w14:textId="77777777" w:rsidR="008D13F4" w:rsidRPr="008912CF" w:rsidRDefault="00615769" w:rsidP="008D13F4">
      <w:pPr>
        <w:ind w:right="-2"/>
        <w:rPr>
          <w:sz w:val="22"/>
          <w:szCs w:val="22"/>
        </w:rPr>
      </w:pPr>
      <w:r w:rsidRPr="008912CF">
        <w:rPr>
          <w:sz w:val="22"/>
          <w:szCs w:val="22"/>
        </w:rPr>
        <w:t xml:space="preserve">Conservar no frigorífico </w:t>
      </w:r>
      <w:r w:rsidR="00184BF5">
        <w:rPr>
          <w:sz w:val="22"/>
          <w:szCs w:val="22"/>
        </w:rPr>
        <w:t>(2º</w:t>
      </w:r>
      <w:r w:rsidR="00AA2EEA">
        <w:rPr>
          <w:sz w:val="22"/>
          <w:szCs w:val="22"/>
        </w:rPr>
        <w:t xml:space="preserve"> </w:t>
      </w:r>
      <w:r w:rsidR="00184BF5" w:rsidRPr="008912CF">
        <w:rPr>
          <w:sz w:val="22"/>
          <w:szCs w:val="22"/>
        </w:rPr>
        <w:t>C</w:t>
      </w:r>
      <w:r w:rsidR="00184BF5">
        <w:rPr>
          <w:sz w:val="22"/>
          <w:szCs w:val="22"/>
        </w:rPr>
        <w:t xml:space="preserve"> – </w:t>
      </w:r>
      <w:r w:rsidR="00184BF5" w:rsidRPr="008912CF">
        <w:rPr>
          <w:sz w:val="22"/>
          <w:szCs w:val="22"/>
        </w:rPr>
        <w:t>8</w:t>
      </w:r>
      <w:r w:rsidR="00184BF5">
        <w:rPr>
          <w:sz w:val="22"/>
          <w:szCs w:val="22"/>
        </w:rPr>
        <w:t>º</w:t>
      </w:r>
      <w:r w:rsidR="00AA2EEA">
        <w:rPr>
          <w:sz w:val="22"/>
          <w:szCs w:val="22"/>
        </w:rPr>
        <w:t xml:space="preserve"> </w:t>
      </w:r>
      <w:r w:rsidR="00184BF5" w:rsidRPr="008912CF">
        <w:rPr>
          <w:sz w:val="22"/>
          <w:szCs w:val="22"/>
        </w:rPr>
        <w:t>C)</w:t>
      </w:r>
      <w:r w:rsidRPr="008912CF">
        <w:rPr>
          <w:sz w:val="22"/>
          <w:szCs w:val="22"/>
        </w:rPr>
        <w:t>. Não congelar.</w:t>
      </w:r>
    </w:p>
    <w:p w14:paraId="4C7CA250" w14:textId="77777777" w:rsidR="008D13F4" w:rsidRPr="008912CF" w:rsidRDefault="008D13F4" w:rsidP="008D13F4">
      <w:pPr>
        <w:ind w:right="-2"/>
        <w:rPr>
          <w:sz w:val="22"/>
          <w:szCs w:val="22"/>
        </w:rPr>
      </w:pPr>
    </w:p>
    <w:p w14:paraId="646BAF67" w14:textId="77777777" w:rsidR="008D13F4" w:rsidRPr="008912CF" w:rsidRDefault="00615769" w:rsidP="008D13F4">
      <w:pPr>
        <w:ind w:right="-2"/>
        <w:rPr>
          <w:sz w:val="22"/>
          <w:szCs w:val="22"/>
        </w:rPr>
      </w:pPr>
      <w:r w:rsidRPr="008912CF">
        <w:rPr>
          <w:sz w:val="22"/>
          <w:szCs w:val="22"/>
        </w:rPr>
        <w:t>Manter as seringas pré-cheias na embalagem exterior para proteger da luz.</w:t>
      </w:r>
    </w:p>
    <w:p w14:paraId="1234E22E" w14:textId="77777777" w:rsidR="008D13F4" w:rsidRPr="008912CF" w:rsidRDefault="008D13F4" w:rsidP="008D13F4">
      <w:pPr>
        <w:ind w:right="-2"/>
        <w:rPr>
          <w:sz w:val="22"/>
          <w:szCs w:val="22"/>
        </w:rPr>
      </w:pPr>
    </w:p>
    <w:p w14:paraId="11D5B76F" w14:textId="77777777" w:rsidR="008D13F4" w:rsidRPr="008912CF" w:rsidRDefault="00615769" w:rsidP="008D13F4">
      <w:pPr>
        <w:ind w:right="-2"/>
        <w:rPr>
          <w:sz w:val="22"/>
          <w:szCs w:val="22"/>
        </w:rPr>
      </w:pPr>
      <w:r w:rsidRPr="008912CF">
        <w:rPr>
          <w:sz w:val="22"/>
          <w:szCs w:val="22"/>
        </w:rPr>
        <w:t>Conservação Alternativa:</w:t>
      </w:r>
    </w:p>
    <w:p w14:paraId="4EEAE40E" w14:textId="77777777" w:rsidR="008D13F4" w:rsidRPr="008912CF" w:rsidRDefault="008D13F4" w:rsidP="008D13F4">
      <w:pPr>
        <w:rPr>
          <w:rStyle w:val="hpsatn"/>
          <w:color w:val="333333"/>
          <w:sz w:val="22"/>
          <w:szCs w:val="22"/>
        </w:rPr>
      </w:pPr>
    </w:p>
    <w:p w14:paraId="243BD8E9" w14:textId="77777777" w:rsidR="008D13F4" w:rsidRPr="008912CF" w:rsidRDefault="00615769" w:rsidP="008D13F4">
      <w:pPr>
        <w:rPr>
          <w:rStyle w:val="hps"/>
          <w:sz w:val="22"/>
          <w:szCs w:val="22"/>
        </w:rPr>
      </w:pPr>
      <w:r w:rsidRPr="008912CF">
        <w:rPr>
          <w:rStyle w:val="hpsatn"/>
          <w:sz w:val="22"/>
          <w:szCs w:val="22"/>
        </w:rPr>
        <w:t>Quando necessário (</w:t>
      </w:r>
      <w:r w:rsidRPr="008912CF">
        <w:rPr>
          <w:sz w:val="22"/>
          <w:szCs w:val="22"/>
        </w:rPr>
        <w:t xml:space="preserve">por exemplo, quando </w:t>
      </w:r>
      <w:r w:rsidRPr="008912CF">
        <w:rPr>
          <w:rStyle w:val="hps"/>
          <w:sz w:val="22"/>
          <w:szCs w:val="22"/>
        </w:rPr>
        <w:t>está a viajar</w:t>
      </w:r>
      <w:r w:rsidRPr="008912CF">
        <w:rPr>
          <w:sz w:val="22"/>
          <w:szCs w:val="22"/>
        </w:rPr>
        <w:t xml:space="preserve">), uma </w:t>
      </w:r>
      <w:r w:rsidRPr="008912CF">
        <w:rPr>
          <w:rStyle w:val="hps"/>
          <w:sz w:val="22"/>
          <w:szCs w:val="22"/>
        </w:rPr>
        <w:t>seringa pré-cheia</w:t>
      </w:r>
      <w:r w:rsidRPr="008912CF">
        <w:rPr>
          <w:sz w:val="22"/>
          <w:szCs w:val="22"/>
        </w:rPr>
        <w:t xml:space="preserve"> de </w:t>
      </w:r>
      <w:r w:rsidRPr="008912CF">
        <w:rPr>
          <w:rStyle w:val="hps"/>
          <w:sz w:val="22"/>
          <w:szCs w:val="22"/>
        </w:rPr>
        <w:t>Humira, pode ser</w:t>
      </w:r>
      <w:r w:rsidRPr="008912CF">
        <w:rPr>
          <w:sz w:val="22"/>
          <w:szCs w:val="22"/>
        </w:rPr>
        <w:t xml:space="preserve"> conservada</w:t>
      </w:r>
      <w:r w:rsidRPr="008912CF">
        <w:rPr>
          <w:rStyle w:val="hps"/>
          <w:sz w:val="22"/>
          <w:szCs w:val="22"/>
        </w:rPr>
        <w:t xml:space="preserve"> até um período</w:t>
      </w:r>
      <w:r w:rsidRPr="008912CF">
        <w:rPr>
          <w:sz w:val="22"/>
          <w:szCs w:val="22"/>
        </w:rPr>
        <w:t xml:space="preserve"> </w:t>
      </w:r>
      <w:r w:rsidRPr="008912CF">
        <w:rPr>
          <w:rStyle w:val="hps"/>
          <w:sz w:val="22"/>
          <w:szCs w:val="22"/>
        </w:rPr>
        <w:t>máximo de 14 dias</w:t>
      </w:r>
      <w:r w:rsidRPr="008912CF">
        <w:rPr>
          <w:sz w:val="22"/>
          <w:szCs w:val="22"/>
        </w:rPr>
        <w:t xml:space="preserve"> </w:t>
      </w:r>
      <w:r w:rsidRPr="008912CF">
        <w:rPr>
          <w:rStyle w:val="hps"/>
          <w:sz w:val="22"/>
          <w:szCs w:val="22"/>
        </w:rPr>
        <w:t>à temperatura ambiente</w:t>
      </w:r>
      <w:r w:rsidRPr="008912CF">
        <w:rPr>
          <w:sz w:val="22"/>
          <w:szCs w:val="22"/>
        </w:rPr>
        <w:t xml:space="preserve"> </w:t>
      </w:r>
      <w:r w:rsidRPr="008912CF">
        <w:rPr>
          <w:rStyle w:val="hps"/>
          <w:sz w:val="22"/>
          <w:szCs w:val="22"/>
        </w:rPr>
        <w:t>(até 25 °C)</w:t>
      </w:r>
      <w:r w:rsidRPr="008912CF">
        <w:rPr>
          <w:sz w:val="22"/>
          <w:szCs w:val="22"/>
        </w:rPr>
        <w:t xml:space="preserve"> </w:t>
      </w:r>
      <w:r w:rsidRPr="008912CF">
        <w:rPr>
          <w:rStyle w:val="hps"/>
          <w:sz w:val="22"/>
          <w:szCs w:val="22"/>
        </w:rPr>
        <w:t>-</w:t>
      </w:r>
      <w:r w:rsidRPr="008912CF">
        <w:rPr>
          <w:sz w:val="22"/>
          <w:szCs w:val="22"/>
        </w:rPr>
        <w:t xml:space="preserve"> </w:t>
      </w:r>
      <w:r w:rsidRPr="008912CF">
        <w:rPr>
          <w:rStyle w:val="hps"/>
          <w:sz w:val="22"/>
          <w:szCs w:val="22"/>
        </w:rPr>
        <w:t>ter a certeza que</w:t>
      </w:r>
      <w:r w:rsidRPr="008912CF">
        <w:rPr>
          <w:sz w:val="22"/>
          <w:szCs w:val="22"/>
        </w:rPr>
        <w:t xml:space="preserve"> a</w:t>
      </w:r>
      <w:r w:rsidRPr="008912CF">
        <w:rPr>
          <w:rStyle w:val="hps"/>
          <w:sz w:val="22"/>
          <w:szCs w:val="22"/>
        </w:rPr>
        <w:t xml:space="preserve"> protege da luz</w:t>
      </w:r>
      <w:r w:rsidRPr="008912CF">
        <w:rPr>
          <w:sz w:val="22"/>
          <w:szCs w:val="22"/>
        </w:rPr>
        <w:t xml:space="preserve">. </w:t>
      </w:r>
      <w:r w:rsidRPr="008912CF">
        <w:rPr>
          <w:rStyle w:val="hps"/>
          <w:sz w:val="22"/>
          <w:szCs w:val="22"/>
        </w:rPr>
        <w:t>Uma vez</w:t>
      </w:r>
      <w:r w:rsidRPr="008912CF">
        <w:rPr>
          <w:sz w:val="22"/>
          <w:szCs w:val="22"/>
        </w:rPr>
        <w:t xml:space="preserve"> </w:t>
      </w:r>
      <w:r w:rsidRPr="008912CF">
        <w:rPr>
          <w:rStyle w:val="hps"/>
          <w:sz w:val="22"/>
          <w:szCs w:val="22"/>
        </w:rPr>
        <w:t>retirada do</w:t>
      </w:r>
      <w:r w:rsidRPr="008912CF">
        <w:rPr>
          <w:sz w:val="22"/>
          <w:szCs w:val="22"/>
        </w:rPr>
        <w:t xml:space="preserve"> </w:t>
      </w:r>
      <w:r w:rsidRPr="008912CF">
        <w:rPr>
          <w:rStyle w:val="hps"/>
          <w:sz w:val="22"/>
          <w:szCs w:val="22"/>
        </w:rPr>
        <w:t>frigorífico</w:t>
      </w:r>
      <w:r w:rsidRPr="008912CF">
        <w:rPr>
          <w:sz w:val="22"/>
          <w:szCs w:val="22"/>
        </w:rPr>
        <w:t xml:space="preserve"> </w:t>
      </w:r>
      <w:r w:rsidRPr="008912CF">
        <w:rPr>
          <w:rStyle w:val="hps"/>
          <w:sz w:val="22"/>
          <w:szCs w:val="22"/>
        </w:rPr>
        <w:t>para a temperatura ambiente</w:t>
      </w:r>
      <w:r w:rsidRPr="008912CF">
        <w:rPr>
          <w:sz w:val="22"/>
          <w:szCs w:val="22"/>
        </w:rPr>
        <w:t xml:space="preserve">, a seringa </w:t>
      </w:r>
      <w:r w:rsidRPr="008912CF">
        <w:rPr>
          <w:rStyle w:val="hps"/>
          <w:b/>
          <w:bCs/>
          <w:sz w:val="22"/>
          <w:szCs w:val="22"/>
        </w:rPr>
        <w:t>deve ser utilizada</w:t>
      </w:r>
      <w:r w:rsidRPr="008912CF">
        <w:rPr>
          <w:b/>
          <w:bCs/>
          <w:sz w:val="22"/>
          <w:szCs w:val="22"/>
        </w:rPr>
        <w:t xml:space="preserve"> </w:t>
      </w:r>
      <w:r w:rsidRPr="008912CF">
        <w:rPr>
          <w:rStyle w:val="hps"/>
          <w:b/>
          <w:bCs/>
          <w:sz w:val="22"/>
          <w:szCs w:val="22"/>
        </w:rPr>
        <w:t>dentro de 14 dias</w:t>
      </w:r>
      <w:r w:rsidRPr="008912CF">
        <w:rPr>
          <w:b/>
          <w:bCs/>
          <w:sz w:val="22"/>
          <w:szCs w:val="22"/>
        </w:rPr>
        <w:t xml:space="preserve"> </w:t>
      </w:r>
      <w:r w:rsidRPr="008912CF">
        <w:rPr>
          <w:rStyle w:val="hps"/>
          <w:b/>
          <w:bCs/>
          <w:sz w:val="22"/>
          <w:szCs w:val="22"/>
        </w:rPr>
        <w:t>ou eliminada</w:t>
      </w:r>
      <w:r w:rsidRPr="008912CF">
        <w:rPr>
          <w:sz w:val="22"/>
          <w:szCs w:val="22"/>
        </w:rPr>
        <w:t>, mesmo que a volte a colocar n</w:t>
      </w:r>
      <w:r w:rsidRPr="008912CF">
        <w:rPr>
          <w:rStyle w:val="hps"/>
          <w:sz w:val="22"/>
          <w:szCs w:val="22"/>
        </w:rPr>
        <w:t>o frigorífico.</w:t>
      </w:r>
    </w:p>
    <w:p w14:paraId="26FD24BC" w14:textId="77777777" w:rsidR="008D13F4" w:rsidRPr="008912CF" w:rsidRDefault="008D13F4" w:rsidP="008D13F4">
      <w:pPr>
        <w:rPr>
          <w:rStyle w:val="hps"/>
          <w:sz w:val="22"/>
          <w:szCs w:val="22"/>
        </w:rPr>
      </w:pPr>
    </w:p>
    <w:p w14:paraId="5876FBB7" w14:textId="77777777" w:rsidR="008D13F4" w:rsidRPr="008912CF" w:rsidRDefault="00615769" w:rsidP="008D13F4">
      <w:pPr>
        <w:ind w:right="-2"/>
        <w:rPr>
          <w:sz w:val="22"/>
          <w:szCs w:val="22"/>
          <w:lang w:eastAsia="en-GB"/>
        </w:rPr>
      </w:pPr>
      <w:r w:rsidRPr="008912CF">
        <w:rPr>
          <w:rStyle w:val="hps"/>
          <w:sz w:val="22"/>
          <w:szCs w:val="22"/>
        </w:rPr>
        <w:t>Deve registar a data em que</w:t>
      </w:r>
      <w:r w:rsidRPr="008912CF">
        <w:rPr>
          <w:sz w:val="22"/>
          <w:szCs w:val="22"/>
        </w:rPr>
        <w:t xml:space="preserve"> </w:t>
      </w:r>
      <w:r w:rsidRPr="008912CF">
        <w:rPr>
          <w:rStyle w:val="hps"/>
          <w:sz w:val="22"/>
          <w:szCs w:val="22"/>
        </w:rPr>
        <w:t xml:space="preserve">a seringa foi inicialmente </w:t>
      </w:r>
      <w:r w:rsidRPr="008912CF">
        <w:rPr>
          <w:sz w:val="22"/>
          <w:szCs w:val="22"/>
        </w:rPr>
        <w:t>r</w:t>
      </w:r>
      <w:r w:rsidRPr="008912CF">
        <w:rPr>
          <w:rStyle w:val="hps"/>
          <w:sz w:val="22"/>
          <w:szCs w:val="22"/>
        </w:rPr>
        <w:t>etirada do frigorífico e a data em que deve ser eliminada</w:t>
      </w:r>
      <w:r w:rsidRPr="008912CF">
        <w:rPr>
          <w:sz w:val="22"/>
          <w:szCs w:val="22"/>
          <w:lang w:eastAsia="en-GB"/>
        </w:rPr>
        <w:t>.</w:t>
      </w:r>
    </w:p>
    <w:p w14:paraId="67A376E4" w14:textId="77777777" w:rsidR="008D13F4" w:rsidRPr="008912CF" w:rsidRDefault="008D13F4" w:rsidP="008D13F4">
      <w:pPr>
        <w:ind w:right="-2"/>
        <w:rPr>
          <w:sz w:val="22"/>
          <w:szCs w:val="22"/>
          <w:lang w:eastAsia="en-GB"/>
        </w:rPr>
      </w:pPr>
    </w:p>
    <w:p w14:paraId="0514F9C0" w14:textId="77777777" w:rsidR="008D13F4" w:rsidRPr="008912CF" w:rsidRDefault="00615769" w:rsidP="008D13F4">
      <w:pPr>
        <w:ind w:right="-2"/>
        <w:rPr>
          <w:bCs/>
          <w:sz w:val="22"/>
          <w:szCs w:val="22"/>
        </w:rPr>
      </w:pPr>
      <w:r w:rsidRPr="008912CF">
        <w:rPr>
          <w:sz w:val="22"/>
          <w:szCs w:val="22"/>
        </w:rPr>
        <w:t xml:space="preserve">Não deite fora quaisquer medicamentos na canalização ou no lixo doméstico. Pergunte ao seu </w:t>
      </w:r>
      <w:r w:rsidR="00723763">
        <w:rPr>
          <w:sz w:val="22"/>
          <w:szCs w:val="22"/>
        </w:rPr>
        <w:t xml:space="preserve">médico ou </w:t>
      </w:r>
      <w:r w:rsidRPr="008912CF">
        <w:rPr>
          <w:sz w:val="22"/>
          <w:szCs w:val="22"/>
        </w:rPr>
        <w:t xml:space="preserve">farmacêutico como deitar fora os medicamentos que já não utiliza. Estas medidas ajudarão a proteger o ambiente. </w:t>
      </w:r>
    </w:p>
    <w:p w14:paraId="10BDE3F7" w14:textId="77777777" w:rsidR="008D13F4" w:rsidRPr="008912CF" w:rsidRDefault="008D13F4" w:rsidP="008D13F4">
      <w:pPr>
        <w:ind w:right="-2"/>
        <w:rPr>
          <w:sz w:val="22"/>
          <w:szCs w:val="22"/>
        </w:rPr>
      </w:pPr>
    </w:p>
    <w:p w14:paraId="5FDF2A75" w14:textId="77777777" w:rsidR="008D13F4" w:rsidRPr="008912CF" w:rsidRDefault="008D13F4" w:rsidP="008D13F4">
      <w:pPr>
        <w:ind w:right="-2"/>
        <w:rPr>
          <w:sz w:val="22"/>
          <w:szCs w:val="22"/>
        </w:rPr>
      </w:pPr>
    </w:p>
    <w:p w14:paraId="0F6CBF65" w14:textId="77777777" w:rsidR="008D13F4" w:rsidRPr="008912CF" w:rsidRDefault="00615769" w:rsidP="008D13F4">
      <w:pPr>
        <w:ind w:left="567" w:right="-2" w:hanging="567"/>
        <w:rPr>
          <w:b/>
          <w:sz w:val="22"/>
          <w:szCs w:val="22"/>
        </w:rPr>
      </w:pPr>
      <w:r w:rsidRPr="008912CF">
        <w:rPr>
          <w:b/>
          <w:sz w:val="22"/>
          <w:szCs w:val="22"/>
        </w:rPr>
        <w:t>6.</w:t>
      </w:r>
      <w:r w:rsidRPr="008912CF">
        <w:rPr>
          <w:b/>
          <w:sz w:val="22"/>
          <w:szCs w:val="22"/>
        </w:rPr>
        <w:tab/>
        <w:t>Conteúdo da embalagem e outras informações</w:t>
      </w:r>
    </w:p>
    <w:p w14:paraId="59F746F4" w14:textId="77777777" w:rsidR="008D13F4" w:rsidRPr="008912CF" w:rsidRDefault="008D13F4" w:rsidP="008D13F4">
      <w:pPr>
        <w:ind w:right="-2"/>
        <w:rPr>
          <w:sz w:val="22"/>
          <w:szCs w:val="22"/>
        </w:rPr>
      </w:pPr>
    </w:p>
    <w:p w14:paraId="7E69E07E" w14:textId="77777777" w:rsidR="008D13F4" w:rsidRPr="008912CF" w:rsidRDefault="00615769" w:rsidP="008D13F4">
      <w:pPr>
        <w:pStyle w:val="Heading8"/>
        <w:keepNext w:val="0"/>
        <w:rPr>
          <w:szCs w:val="22"/>
        </w:rPr>
      </w:pPr>
      <w:r w:rsidRPr="008912CF">
        <w:rPr>
          <w:szCs w:val="22"/>
        </w:rPr>
        <w:t>Qual a composição de Humira</w:t>
      </w:r>
    </w:p>
    <w:p w14:paraId="3ED64A85" w14:textId="77777777" w:rsidR="008D13F4" w:rsidRPr="008912CF" w:rsidRDefault="008D13F4" w:rsidP="008D13F4">
      <w:pPr>
        <w:ind w:right="-2"/>
        <w:rPr>
          <w:b/>
          <w:bCs/>
          <w:sz w:val="22"/>
          <w:szCs w:val="22"/>
        </w:rPr>
      </w:pPr>
    </w:p>
    <w:p w14:paraId="3DF596D3" w14:textId="77777777" w:rsidR="008D13F4" w:rsidRPr="008912CF" w:rsidRDefault="00615769" w:rsidP="008D13F4">
      <w:pPr>
        <w:ind w:right="-2"/>
        <w:rPr>
          <w:sz w:val="22"/>
          <w:szCs w:val="22"/>
        </w:rPr>
      </w:pPr>
      <w:r w:rsidRPr="008912CF">
        <w:rPr>
          <w:sz w:val="22"/>
          <w:szCs w:val="22"/>
        </w:rPr>
        <w:t>A substância ativa é adalimumab.</w:t>
      </w:r>
    </w:p>
    <w:p w14:paraId="11A7F393" w14:textId="77777777" w:rsidR="008D13F4" w:rsidRPr="008912CF" w:rsidRDefault="00615769" w:rsidP="008D13F4">
      <w:pPr>
        <w:ind w:right="-2"/>
        <w:rPr>
          <w:sz w:val="22"/>
          <w:szCs w:val="22"/>
        </w:rPr>
      </w:pPr>
      <w:r w:rsidRPr="008912CF">
        <w:rPr>
          <w:sz w:val="22"/>
          <w:szCs w:val="22"/>
        </w:rPr>
        <w:t>Os outros componentes são manitol, polissorbato 80 e água para preparações injetáveis.</w:t>
      </w:r>
    </w:p>
    <w:p w14:paraId="7337F67C" w14:textId="77777777" w:rsidR="008D13F4" w:rsidRPr="008912CF" w:rsidRDefault="008D13F4" w:rsidP="008D13F4">
      <w:pPr>
        <w:rPr>
          <w:sz w:val="22"/>
          <w:szCs w:val="22"/>
        </w:rPr>
      </w:pPr>
    </w:p>
    <w:p w14:paraId="44F7FA11" w14:textId="77777777" w:rsidR="008D13F4" w:rsidRPr="008912CF" w:rsidRDefault="00615769" w:rsidP="008D13F4">
      <w:pPr>
        <w:pStyle w:val="Heading8"/>
        <w:keepNext w:val="0"/>
        <w:rPr>
          <w:szCs w:val="22"/>
        </w:rPr>
      </w:pPr>
      <w:r w:rsidRPr="008912CF">
        <w:rPr>
          <w:szCs w:val="22"/>
        </w:rPr>
        <w:t>Qual o aspeto de Humira em seringa pré-cheia e conteúdo da embalagem</w:t>
      </w:r>
    </w:p>
    <w:p w14:paraId="7841444D" w14:textId="77777777" w:rsidR="008D13F4" w:rsidRPr="008912CF" w:rsidRDefault="008D13F4" w:rsidP="008D13F4">
      <w:pPr>
        <w:ind w:right="-2"/>
        <w:rPr>
          <w:sz w:val="22"/>
          <w:szCs w:val="22"/>
        </w:rPr>
      </w:pPr>
    </w:p>
    <w:p w14:paraId="7AE62DEA" w14:textId="77777777" w:rsidR="008D13F4" w:rsidRPr="008912CF" w:rsidRDefault="00615769" w:rsidP="008D13F4">
      <w:pPr>
        <w:ind w:right="-2"/>
        <w:rPr>
          <w:sz w:val="22"/>
          <w:szCs w:val="22"/>
        </w:rPr>
      </w:pPr>
      <w:r w:rsidRPr="008912CF">
        <w:rPr>
          <w:sz w:val="22"/>
          <w:szCs w:val="22"/>
        </w:rPr>
        <w:t>Humira 40 mg solução injetável em seringa pré-cheia é fornecido sob a forma de uma solução estéril contendo 40 mg de adalimumab dissolvido em 0,4 ml de solução.</w:t>
      </w:r>
    </w:p>
    <w:p w14:paraId="6B7C523B" w14:textId="77777777" w:rsidR="008D13F4" w:rsidRPr="008912CF" w:rsidRDefault="008D13F4" w:rsidP="008D13F4">
      <w:pPr>
        <w:ind w:right="-2"/>
        <w:rPr>
          <w:sz w:val="22"/>
          <w:szCs w:val="22"/>
        </w:rPr>
      </w:pPr>
    </w:p>
    <w:p w14:paraId="1B6B94C0" w14:textId="77777777" w:rsidR="008D13F4" w:rsidRPr="008912CF" w:rsidRDefault="00615769" w:rsidP="008D13F4">
      <w:pPr>
        <w:rPr>
          <w:sz w:val="22"/>
          <w:szCs w:val="22"/>
        </w:rPr>
      </w:pPr>
      <w:r w:rsidRPr="008912CF">
        <w:rPr>
          <w:sz w:val="22"/>
          <w:szCs w:val="22"/>
        </w:rPr>
        <w:t>Humira em seringa pré-cheia é constituído por uma seringa de vidro contendo uma solução de adalimumab. Cada embalagem contém 1, 2, 4 ou 6 seringas pré-cheias para autoadministração pelo doente com</w:t>
      </w:r>
      <w:r w:rsidR="00723763">
        <w:rPr>
          <w:sz w:val="22"/>
          <w:szCs w:val="22"/>
        </w:rPr>
        <w:t>,</w:t>
      </w:r>
      <w:r w:rsidRPr="008912CF">
        <w:rPr>
          <w:sz w:val="22"/>
          <w:szCs w:val="22"/>
        </w:rPr>
        <w:t xml:space="preserve"> respetivamente</w:t>
      </w:r>
      <w:r w:rsidR="00723763">
        <w:rPr>
          <w:sz w:val="22"/>
          <w:szCs w:val="22"/>
        </w:rPr>
        <w:t>,</w:t>
      </w:r>
      <w:r w:rsidRPr="008912CF">
        <w:rPr>
          <w:sz w:val="22"/>
          <w:szCs w:val="22"/>
        </w:rPr>
        <w:t xml:space="preserve"> 1, 2, 4 ou 6 compressas embebidas em álcool.</w:t>
      </w:r>
    </w:p>
    <w:p w14:paraId="09365236" w14:textId="77777777" w:rsidR="008D13F4" w:rsidRPr="008912CF" w:rsidRDefault="008D13F4" w:rsidP="008D13F4">
      <w:pPr>
        <w:rPr>
          <w:sz w:val="22"/>
          <w:szCs w:val="22"/>
        </w:rPr>
      </w:pPr>
    </w:p>
    <w:p w14:paraId="03FC8789" w14:textId="77777777" w:rsidR="008D13F4" w:rsidRPr="008912CF" w:rsidRDefault="00615769" w:rsidP="008D13F4">
      <w:pPr>
        <w:rPr>
          <w:sz w:val="22"/>
          <w:szCs w:val="22"/>
        </w:rPr>
      </w:pPr>
      <w:r w:rsidRPr="008912CF">
        <w:rPr>
          <w:sz w:val="22"/>
          <w:szCs w:val="22"/>
        </w:rPr>
        <w:t xml:space="preserve">É possível que não sejam comercializadas todas as apresentações. </w:t>
      </w:r>
    </w:p>
    <w:p w14:paraId="09E842CD" w14:textId="77777777" w:rsidR="008D13F4" w:rsidRPr="008912CF" w:rsidRDefault="008D13F4" w:rsidP="008D13F4">
      <w:pPr>
        <w:pStyle w:val="BodyText3"/>
        <w:rPr>
          <w:szCs w:val="22"/>
        </w:rPr>
      </w:pPr>
    </w:p>
    <w:p w14:paraId="2E577682" w14:textId="77777777" w:rsidR="008D13F4" w:rsidRPr="008912CF" w:rsidRDefault="00615769" w:rsidP="008D13F4">
      <w:pPr>
        <w:ind w:right="-2"/>
        <w:rPr>
          <w:sz w:val="22"/>
          <w:szCs w:val="22"/>
        </w:rPr>
      </w:pPr>
      <w:r w:rsidRPr="008912CF">
        <w:rPr>
          <w:sz w:val="22"/>
          <w:szCs w:val="22"/>
        </w:rPr>
        <w:t xml:space="preserve">Humira </w:t>
      </w:r>
      <w:r>
        <w:rPr>
          <w:sz w:val="22"/>
          <w:szCs w:val="22"/>
        </w:rPr>
        <w:t>pode estar</w:t>
      </w:r>
      <w:r w:rsidRPr="008912CF">
        <w:rPr>
          <w:sz w:val="22"/>
          <w:szCs w:val="22"/>
        </w:rPr>
        <w:t xml:space="preserve"> disponível em frasco para injetáveis, em seringa pré-cheia e</w:t>
      </w:r>
      <w:r>
        <w:rPr>
          <w:sz w:val="22"/>
          <w:szCs w:val="22"/>
        </w:rPr>
        <w:t>/ou</w:t>
      </w:r>
      <w:r w:rsidRPr="008912CF">
        <w:rPr>
          <w:sz w:val="22"/>
          <w:szCs w:val="22"/>
        </w:rPr>
        <w:t xml:space="preserve"> em caneta pré-cheia.</w:t>
      </w:r>
    </w:p>
    <w:p w14:paraId="6C6A305E" w14:textId="77777777" w:rsidR="008D13F4" w:rsidRPr="008912CF" w:rsidRDefault="008D13F4" w:rsidP="008D13F4">
      <w:pPr>
        <w:ind w:right="-2"/>
        <w:rPr>
          <w:sz w:val="22"/>
          <w:szCs w:val="22"/>
        </w:rPr>
      </w:pPr>
    </w:p>
    <w:p w14:paraId="40CE6981" w14:textId="77777777" w:rsidR="008D13F4" w:rsidRPr="008912CF" w:rsidRDefault="00615769" w:rsidP="008D13F4">
      <w:pPr>
        <w:pStyle w:val="Heading8"/>
        <w:keepNext w:val="0"/>
        <w:rPr>
          <w:szCs w:val="22"/>
        </w:rPr>
      </w:pPr>
      <w:r w:rsidRPr="008912CF">
        <w:rPr>
          <w:szCs w:val="22"/>
        </w:rPr>
        <w:t xml:space="preserve">Titular da Autorização de Introdução no Mercado </w:t>
      </w:r>
    </w:p>
    <w:p w14:paraId="49B24E4F" w14:textId="77777777" w:rsidR="008D13F4" w:rsidRPr="008912CF" w:rsidRDefault="008D13F4" w:rsidP="008D13F4">
      <w:pPr>
        <w:ind w:right="-2"/>
        <w:rPr>
          <w:sz w:val="22"/>
          <w:szCs w:val="22"/>
        </w:rPr>
      </w:pPr>
    </w:p>
    <w:p w14:paraId="5872FB5F" w14:textId="77777777" w:rsidR="008D13F4" w:rsidRPr="00140752" w:rsidRDefault="00615769" w:rsidP="008D13F4">
      <w:pPr>
        <w:tabs>
          <w:tab w:val="left" w:pos="720"/>
        </w:tabs>
        <w:rPr>
          <w:sz w:val="22"/>
          <w:szCs w:val="22"/>
          <w:lang w:val="de-DE"/>
        </w:rPr>
      </w:pPr>
      <w:r w:rsidRPr="00140752">
        <w:rPr>
          <w:sz w:val="22"/>
          <w:szCs w:val="22"/>
          <w:lang w:val="de-DE"/>
        </w:rPr>
        <w:t>AbbVie Deutschland GmbH &amp; Co. KG</w:t>
      </w:r>
    </w:p>
    <w:p w14:paraId="4E226113" w14:textId="77777777" w:rsidR="008D13F4" w:rsidRPr="008D6D3A" w:rsidRDefault="00615769" w:rsidP="008D13F4">
      <w:pPr>
        <w:tabs>
          <w:tab w:val="left" w:pos="720"/>
        </w:tabs>
        <w:rPr>
          <w:sz w:val="22"/>
          <w:szCs w:val="22"/>
          <w:lang w:val="de-CH"/>
        </w:rPr>
      </w:pPr>
      <w:r w:rsidRPr="008D6D3A">
        <w:rPr>
          <w:sz w:val="22"/>
          <w:szCs w:val="22"/>
          <w:lang w:val="de-CH"/>
        </w:rPr>
        <w:t>Knollstrasse</w:t>
      </w:r>
    </w:p>
    <w:p w14:paraId="17F2EF85" w14:textId="77777777" w:rsidR="008D13F4" w:rsidRPr="008D6D3A" w:rsidRDefault="00615769" w:rsidP="008D13F4">
      <w:pPr>
        <w:tabs>
          <w:tab w:val="left" w:pos="720"/>
        </w:tabs>
        <w:rPr>
          <w:sz w:val="22"/>
          <w:szCs w:val="22"/>
          <w:lang w:val="de-CH"/>
        </w:rPr>
      </w:pPr>
      <w:r w:rsidRPr="008D6D3A">
        <w:rPr>
          <w:sz w:val="22"/>
          <w:szCs w:val="22"/>
          <w:lang w:val="de-CH"/>
        </w:rPr>
        <w:t>67061 Ludwigshafen</w:t>
      </w:r>
    </w:p>
    <w:p w14:paraId="5DDB7E15" w14:textId="77777777" w:rsidR="008D13F4" w:rsidRPr="008D6D3A" w:rsidRDefault="00615769" w:rsidP="008D13F4">
      <w:pPr>
        <w:rPr>
          <w:sz w:val="22"/>
          <w:szCs w:val="22"/>
          <w:lang w:val="de-CH"/>
        </w:rPr>
      </w:pPr>
      <w:r w:rsidRPr="008D6D3A">
        <w:rPr>
          <w:sz w:val="22"/>
          <w:szCs w:val="22"/>
          <w:lang w:val="de-CH"/>
        </w:rPr>
        <w:t>Alemanha</w:t>
      </w:r>
    </w:p>
    <w:p w14:paraId="4880D162" w14:textId="77777777" w:rsidR="008D13F4" w:rsidRPr="008D6D3A" w:rsidRDefault="008D13F4" w:rsidP="008D13F4">
      <w:pPr>
        <w:ind w:right="-2"/>
        <w:rPr>
          <w:sz w:val="22"/>
          <w:szCs w:val="22"/>
          <w:lang w:val="de-CH"/>
        </w:rPr>
      </w:pPr>
    </w:p>
    <w:p w14:paraId="10ED69B5" w14:textId="77777777" w:rsidR="008D13F4" w:rsidRPr="008D6D3A" w:rsidRDefault="00615769" w:rsidP="008D13F4">
      <w:pPr>
        <w:ind w:right="-2"/>
        <w:rPr>
          <w:b/>
          <w:bCs/>
          <w:sz w:val="22"/>
          <w:szCs w:val="22"/>
          <w:lang w:val="de-CH"/>
        </w:rPr>
      </w:pPr>
      <w:r w:rsidRPr="008D6D3A">
        <w:rPr>
          <w:b/>
          <w:bCs/>
          <w:sz w:val="22"/>
          <w:szCs w:val="22"/>
          <w:lang w:val="de-CH"/>
        </w:rPr>
        <w:t>Fabricante</w:t>
      </w:r>
    </w:p>
    <w:p w14:paraId="7EFCF4B4" w14:textId="77777777" w:rsidR="008D13F4" w:rsidRPr="008D6D3A" w:rsidRDefault="008D13F4" w:rsidP="008D13F4">
      <w:pPr>
        <w:numPr>
          <w:ilvl w:val="12"/>
          <w:numId w:val="0"/>
        </w:numPr>
        <w:tabs>
          <w:tab w:val="left" w:pos="720"/>
        </w:tabs>
        <w:suppressAutoHyphens/>
        <w:rPr>
          <w:sz w:val="22"/>
          <w:lang w:val="de-CH"/>
        </w:rPr>
      </w:pPr>
    </w:p>
    <w:p w14:paraId="4944A72F" w14:textId="77777777" w:rsidR="008D13F4" w:rsidRPr="008D6D3A" w:rsidRDefault="00615769" w:rsidP="008D13F4">
      <w:pPr>
        <w:tabs>
          <w:tab w:val="left" w:pos="562"/>
        </w:tabs>
        <w:suppressAutoHyphens/>
        <w:rPr>
          <w:sz w:val="22"/>
          <w:lang w:val="de-CH"/>
        </w:rPr>
      </w:pPr>
      <w:r w:rsidRPr="008D6D3A">
        <w:rPr>
          <w:sz w:val="22"/>
          <w:lang w:val="de-CH"/>
        </w:rPr>
        <w:t>AbbVie Biotechnology GmbH</w:t>
      </w:r>
    </w:p>
    <w:p w14:paraId="69CE9169" w14:textId="77777777" w:rsidR="008D13F4" w:rsidRPr="008D6D3A" w:rsidRDefault="00615769" w:rsidP="008D13F4">
      <w:pPr>
        <w:numPr>
          <w:ilvl w:val="12"/>
          <w:numId w:val="0"/>
        </w:numPr>
        <w:tabs>
          <w:tab w:val="left" w:pos="720"/>
        </w:tabs>
        <w:suppressAutoHyphens/>
        <w:rPr>
          <w:sz w:val="22"/>
          <w:lang w:val="de-CH"/>
        </w:rPr>
      </w:pPr>
      <w:r w:rsidRPr="008D6D3A">
        <w:rPr>
          <w:sz w:val="22"/>
          <w:lang w:val="de-CH"/>
        </w:rPr>
        <w:t>Knollstrasse</w:t>
      </w:r>
    </w:p>
    <w:p w14:paraId="34AD5318" w14:textId="77777777" w:rsidR="008D13F4" w:rsidRPr="008D6D3A" w:rsidRDefault="00615769" w:rsidP="008D13F4">
      <w:pPr>
        <w:numPr>
          <w:ilvl w:val="12"/>
          <w:numId w:val="0"/>
        </w:numPr>
        <w:tabs>
          <w:tab w:val="left" w:pos="720"/>
        </w:tabs>
        <w:suppressAutoHyphens/>
        <w:rPr>
          <w:sz w:val="22"/>
          <w:lang w:val="de-CH"/>
        </w:rPr>
      </w:pPr>
      <w:r w:rsidRPr="008D6D3A">
        <w:rPr>
          <w:sz w:val="22"/>
          <w:lang w:val="de-CH"/>
        </w:rPr>
        <w:t>67061 Ludwigshafen</w:t>
      </w:r>
    </w:p>
    <w:p w14:paraId="78599369" w14:textId="77777777" w:rsidR="008D13F4" w:rsidRPr="008912CF" w:rsidRDefault="00615769" w:rsidP="008D13F4">
      <w:pPr>
        <w:ind w:right="-2"/>
        <w:rPr>
          <w:sz w:val="22"/>
        </w:rPr>
      </w:pPr>
      <w:r w:rsidRPr="008912CF">
        <w:rPr>
          <w:sz w:val="22"/>
        </w:rPr>
        <w:t>Alemanha</w:t>
      </w:r>
    </w:p>
    <w:p w14:paraId="1F791F3A" w14:textId="77777777" w:rsidR="008D13F4" w:rsidRPr="008912CF" w:rsidRDefault="008D13F4" w:rsidP="008D13F4">
      <w:pPr>
        <w:ind w:right="-2"/>
        <w:rPr>
          <w:sz w:val="22"/>
          <w:szCs w:val="22"/>
        </w:rPr>
      </w:pPr>
    </w:p>
    <w:p w14:paraId="04AFC61F" w14:textId="77777777" w:rsidR="008D13F4" w:rsidRPr="008912CF" w:rsidRDefault="00615769" w:rsidP="008D13F4">
      <w:pPr>
        <w:ind w:right="-2"/>
        <w:rPr>
          <w:sz w:val="22"/>
          <w:szCs w:val="22"/>
        </w:rPr>
      </w:pPr>
      <w:r w:rsidRPr="008912CF">
        <w:rPr>
          <w:sz w:val="22"/>
          <w:szCs w:val="22"/>
        </w:rPr>
        <w:t>Para quaisquer informações sobre este medicamento, queira contactar o r</w:t>
      </w:r>
      <w:r w:rsidR="004E51CA">
        <w:rPr>
          <w:sz w:val="22"/>
          <w:szCs w:val="22"/>
        </w:rPr>
        <w:t>epresentante local do Titular da</w:t>
      </w:r>
      <w:r w:rsidRPr="008912CF">
        <w:rPr>
          <w:sz w:val="22"/>
          <w:szCs w:val="22"/>
        </w:rPr>
        <w:t xml:space="preserve"> Autorização de Introdução no Mercado</w:t>
      </w:r>
      <w:r w:rsidR="004D2A1C">
        <w:rPr>
          <w:sz w:val="22"/>
          <w:szCs w:val="22"/>
        </w:rPr>
        <w:t>:</w:t>
      </w:r>
    </w:p>
    <w:p w14:paraId="665042C4" w14:textId="77777777" w:rsidR="008D13F4" w:rsidRPr="008912CF" w:rsidRDefault="008D13F4" w:rsidP="008D13F4"/>
    <w:tbl>
      <w:tblPr>
        <w:tblW w:w="9356" w:type="dxa"/>
        <w:tblInd w:w="-34" w:type="dxa"/>
        <w:tblLayout w:type="fixed"/>
        <w:tblLook w:val="0000" w:firstRow="0" w:lastRow="0" w:firstColumn="0" w:lastColumn="0" w:noHBand="0" w:noVBand="0"/>
      </w:tblPr>
      <w:tblGrid>
        <w:gridCol w:w="34"/>
        <w:gridCol w:w="4610"/>
        <w:gridCol w:w="34"/>
        <w:gridCol w:w="4678"/>
      </w:tblGrid>
      <w:tr w:rsidR="00A7162A" w14:paraId="75229E4C" w14:textId="77777777" w:rsidTr="001F79B0">
        <w:tc>
          <w:tcPr>
            <w:tcW w:w="4644" w:type="dxa"/>
            <w:gridSpan w:val="2"/>
          </w:tcPr>
          <w:p w14:paraId="301E3930" w14:textId="77777777" w:rsidR="00CE2B63" w:rsidRPr="00346547" w:rsidRDefault="00615769" w:rsidP="001F79B0">
            <w:pPr>
              <w:rPr>
                <w:b/>
                <w:bCs/>
                <w:sz w:val="22"/>
                <w:szCs w:val="22"/>
                <w:lang w:val="fr-BE"/>
              </w:rPr>
            </w:pPr>
            <w:r w:rsidRPr="00346547">
              <w:rPr>
                <w:b/>
                <w:bCs/>
                <w:sz w:val="22"/>
                <w:szCs w:val="22"/>
                <w:lang w:val="fr-BE"/>
              </w:rPr>
              <w:t>België/Belgique/Belgien</w:t>
            </w:r>
          </w:p>
          <w:p w14:paraId="1284B411" w14:textId="77777777" w:rsidR="00CE2B63" w:rsidRPr="00346547" w:rsidRDefault="00615769" w:rsidP="001F79B0">
            <w:pPr>
              <w:tabs>
                <w:tab w:val="center" w:pos="2214"/>
              </w:tabs>
              <w:rPr>
                <w:bCs/>
                <w:sz w:val="22"/>
                <w:szCs w:val="22"/>
                <w:lang w:val="fr-FR"/>
              </w:rPr>
            </w:pPr>
            <w:r w:rsidRPr="00346547">
              <w:rPr>
                <w:bCs/>
                <w:sz w:val="22"/>
                <w:szCs w:val="22"/>
                <w:lang w:val="fr-FR"/>
              </w:rPr>
              <w:t>AbbVie SA</w:t>
            </w:r>
          </w:p>
          <w:p w14:paraId="07FCAA8C" w14:textId="77777777" w:rsidR="00CE2B63" w:rsidRPr="00346547" w:rsidRDefault="00615769" w:rsidP="001F79B0">
            <w:pPr>
              <w:rPr>
                <w:sz w:val="22"/>
                <w:szCs w:val="22"/>
                <w:lang w:val="fr-FR"/>
              </w:rPr>
            </w:pPr>
            <w:r w:rsidRPr="00346547">
              <w:rPr>
                <w:bCs/>
                <w:sz w:val="22"/>
                <w:szCs w:val="22"/>
                <w:lang w:val="fr-FR"/>
              </w:rPr>
              <w:t xml:space="preserve">Tél/Tel: +32 10 </w:t>
            </w:r>
            <w:r w:rsidRPr="00346547">
              <w:rPr>
                <w:sz w:val="22"/>
                <w:szCs w:val="22"/>
                <w:lang w:val="fr-FR"/>
              </w:rPr>
              <w:t>477811</w:t>
            </w:r>
          </w:p>
          <w:p w14:paraId="03278372" w14:textId="77777777" w:rsidR="00CE2B63" w:rsidRPr="00346547" w:rsidRDefault="00CE2B63" w:rsidP="001F79B0">
            <w:pPr>
              <w:rPr>
                <w:bCs/>
                <w:sz w:val="22"/>
                <w:szCs w:val="22"/>
                <w:lang w:val="fr-FR"/>
              </w:rPr>
            </w:pPr>
          </w:p>
        </w:tc>
        <w:tc>
          <w:tcPr>
            <w:tcW w:w="4678" w:type="dxa"/>
            <w:gridSpan w:val="2"/>
          </w:tcPr>
          <w:p w14:paraId="1DEA63F0" w14:textId="77777777" w:rsidR="00CE2B63" w:rsidRPr="00346547" w:rsidRDefault="00615769" w:rsidP="001F79B0">
            <w:pPr>
              <w:rPr>
                <w:b/>
                <w:bCs/>
                <w:sz w:val="22"/>
                <w:szCs w:val="22"/>
                <w:lang w:val="lt-LT"/>
              </w:rPr>
            </w:pPr>
            <w:r w:rsidRPr="00346547">
              <w:rPr>
                <w:b/>
                <w:bCs/>
                <w:sz w:val="22"/>
                <w:szCs w:val="22"/>
                <w:lang w:val="lt-LT"/>
              </w:rPr>
              <w:t>Lietuva</w:t>
            </w:r>
          </w:p>
          <w:p w14:paraId="4408B885" w14:textId="77777777" w:rsidR="00CE2B63" w:rsidRPr="00346547" w:rsidRDefault="00615769" w:rsidP="001F79B0">
            <w:pPr>
              <w:rPr>
                <w:bCs/>
                <w:sz w:val="22"/>
                <w:szCs w:val="22"/>
                <w:lang w:val="lv-LV"/>
              </w:rPr>
            </w:pPr>
            <w:r w:rsidRPr="00346547">
              <w:rPr>
                <w:bCs/>
                <w:sz w:val="22"/>
                <w:szCs w:val="22"/>
                <w:lang w:val="lv-LV"/>
              </w:rPr>
              <w:t xml:space="preserve">AbbVie UAB </w:t>
            </w:r>
          </w:p>
          <w:p w14:paraId="1D9B97FE" w14:textId="77777777" w:rsidR="00CE2B63" w:rsidRPr="00346547" w:rsidRDefault="00615769" w:rsidP="001F79B0">
            <w:pPr>
              <w:jc w:val="both"/>
              <w:rPr>
                <w:bCs/>
                <w:sz w:val="22"/>
                <w:szCs w:val="22"/>
                <w:lang w:val="lv-LV"/>
              </w:rPr>
            </w:pPr>
            <w:r w:rsidRPr="00346547">
              <w:rPr>
                <w:bCs/>
                <w:sz w:val="22"/>
                <w:szCs w:val="22"/>
                <w:lang w:val="lv-LV"/>
              </w:rPr>
              <w:t>Tel: +370 5 205 3023</w:t>
            </w:r>
          </w:p>
        </w:tc>
      </w:tr>
      <w:tr w:rsidR="00A7162A" w14:paraId="50CE6AC1" w14:textId="77777777" w:rsidTr="001F79B0">
        <w:tc>
          <w:tcPr>
            <w:tcW w:w="4644" w:type="dxa"/>
            <w:gridSpan w:val="2"/>
          </w:tcPr>
          <w:p w14:paraId="4C1FBE33" w14:textId="77777777" w:rsidR="00CE2B63" w:rsidRPr="00346547" w:rsidRDefault="00615769" w:rsidP="00CE2B63">
            <w:pPr>
              <w:keepNext/>
              <w:autoSpaceDE w:val="0"/>
              <w:autoSpaceDN w:val="0"/>
              <w:adjustRightInd w:val="0"/>
              <w:rPr>
                <w:b/>
                <w:bCs/>
                <w:sz w:val="22"/>
                <w:szCs w:val="22"/>
                <w:lang w:val="bg-BG"/>
              </w:rPr>
            </w:pPr>
            <w:r w:rsidRPr="00346547">
              <w:rPr>
                <w:b/>
                <w:bCs/>
                <w:sz w:val="22"/>
                <w:szCs w:val="22"/>
                <w:lang w:val="bg-BG"/>
              </w:rPr>
              <w:t>България</w:t>
            </w:r>
          </w:p>
          <w:p w14:paraId="78D07647" w14:textId="77777777" w:rsidR="00CE2B63" w:rsidRPr="00346547" w:rsidRDefault="00615769" w:rsidP="00CE2B63">
            <w:pPr>
              <w:keepNext/>
              <w:autoSpaceDE w:val="0"/>
              <w:autoSpaceDN w:val="0"/>
              <w:adjustRightInd w:val="0"/>
              <w:rPr>
                <w:sz w:val="22"/>
                <w:szCs w:val="22"/>
                <w:lang w:val="da-DK"/>
              </w:rPr>
            </w:pPr>
            <w:r w:rsidRPr="00346547">
              <w:rPr>
                <w:rFonts w:eastAsia="MS Mincho"/>
                <w:sz w:val="22"/>
                <w:szCs w:val="22"/>
                <w:lang w:eastAsia="ja-JP"/>
              </w:rPr>
              <w:t>АбВи ЕООД</w:t>
            </w:r>
          </w:p>
          <w:p w14:paraId="70567422" w14:textId="77777777" w:rsidR="00CE2B63" w:rsidRPr="00346547" w:rsidRDefault="00615769" w:rsidP="00CE2B63">
            <w:pPr>
              <w:keepNext/>
              <w:tabs>
                <w:tab w:val="left" w:pos="-720"/>
              </w:tabs>
              <w:rPr>
                <w:bCs/>
                <w:sz w:val="22"/>
                <w:szCs w:val="22"/>
                <w:lang w:val="da-DK"/>
              </w:rPr>
            </w:pPr>
            <w:r w:rsidRPr="00346547">
              <w:rPr>
                <w:rFonts w:eastAsia="MS Mincho"/>
                <w:sz w:val="22"/>
                <w:szCs w:val="22"/>
                <w:lang w:eastAsia="ja-JP"/>
              </w:rPr>
              <w:t>Тел</w:t>
            </w:r>
            <w:r w:rsidRPr="00346547">
              <w:rPr>
                <w:rFonts w:eastAsia="MS Mincho"/>
                <w:sz w:val="22"/>
                <w:szCs w:val="22"/>
                <w:lang w:val="it-IT" w:eastAsia="ja-JP"/>
              </w:rPr>
              <w:t>.:+359 2 90 30 430</w:t>
            </w:r>
          </w:p>
        </w:tc>
        <w:tc>
          <w:tcPr>
            <w:tcW w:w="4678" w:type="dxa"/>
            <w:gridSpan w:val="2"/>
          </w:tcPr>
          <w:p w14:paraId="3FB21D62" w14:textId="77777777" w:rsidR="00CE2B63" w:rsidRPr="00346547" w:rsidRDefault="00615769" w:rsidP="00CE2B63">
            <w:pPr>
              <w:keepNext/>
              <w:rPr>
                <w:b/>
                <w:bCs/>
                <w:sz w:val="22"/>
                <w:szCs w:val="22"/>
                <w:lang w:val="de-DE"/>
              </w:rPr>
            </w:pPr>
            <w:r w:rsidRPr="00346547">
              <w:rPr>
                <w:b/>
                <w:bCs/>
                <w:sz w:val="22"/>
                <w:szCs w:val="22"/>
                <w:lang w:val="de-DE"/>
              </w:rPr>
              <w:t>Luxembourg/Luxemburg</w:t>
            </w:r>
          </w:p>
          <w:p w14:paraId="2F1E1B22" w14:textId="77777777" w:rsidR="00CE2B63" w:rsidRPr="00346547" w:rsidRDefault="00615769" w:rsidP="00CE2B63">
            <w:pPr>
              <w:keepNext/>
              <w:rPr>
                <w:bCs/>
                <w:sz w:val="22"/>
                <w:szCs w:val="22"/>
                <w:lang w:val="de-DE"/>
              </w:rPr>
            </w:pPr>
            <w:r w:rsidRPr="00346547">
              <w:rPr>
                <w:bCs/>
                <w:sz w:val="22"/>
                <w:szCs w:val="22"/>
                <w:lang w:val="de-DE"/>
              </w:rPr>
              <w:t>AbbVie SA</w:t>
            </w:r>
          </w:p>
          <w:p w14:paraId="3103BBB9" w14:textId="77777777" w:rsidR="00CE2B63" w:rsidRPr="00346547" w:rsidRDefault="00615769" w:rsidP="00CE2B63">
            <w:pPr>
              <w:keepNext/>
              <w:tabs>
                <w:tab w:val="center" w:pos="2231"/>
              </w:tabs>
              <w:rPr>
                <w:bCs/>
                <w:sz w:val="22"/>
                <w:szCs w:val="22"/>
                <w:lang w:val="de-DE"/>
              </w:rPr>
            </w:pPr>
            <w:r w:rsidRPr="00346547">
              <w:rPr>
                <w:bCs/>
                <w:sz w:val="22"/>
                <w:szCs w:val="22"/>
                <w:lang w:val="de-DE"/>
              </w:rPr>
              <w:t>Belgique/Belgien</w:t>
            </w:r>
          </w:p>
          <w:p w14:paraId="77456FE9" w14:textId="77777777" w:rsidR="00CE2B63" w:rsidRPr="00346547" w:rsidRDefault="00615769" w:rsidP="00CE2B63">
            <w:pPr>
              <w:keepNext/>
              <w:rPr>
                <w:bCs/>
                <w:sz w:val="22"/>
                <w:szCs w:val="22"/>
                <w:lang w:val="fr-FR"/>
              </w:rPr>
            </w:pPr>
            <w:r w:rsidRPr="00346547">
              <w:rPr>
                <w:bCs/>
                <w:sz w:val="22"/>
                <w:szCs w:val="22"/>
                <w:lang w:val="fr-FR"/>
              </w:rPr>
              <w:t>Tél/Tel: +32 10 477811</w:t>
            </w:r>
          </w:p>
          <w:p w14:paraId="3DE33754" w14:textId="77777777" w:rsidR="00CE2B63" w:rsidRPr="00346547" w:rsidRDefault="00CE2B63" w:rsidP="00CE2B63">
            <w:pPr>
              <w:keepNext/>
              <w:rPr>
                <w:bCs/>
                <w:sz w:val="22"/>
                <w:szCs w:val="22"/>
                <w:lang w:val="fr-FR"/>
              </w:rPr>
            </w:pPr>
          </w:p>
        </w:tc>
      </w:tr>
      <w:tr w:rsidR="00A7162A" w14:paraId="7F2CE245" w14:textId="77777777" w:rsidTr="001F79B0">
        <w:tc>
          <w:tcPr>
            <w:tcW w:w="4644" w:type="dxa"/>
            <w:gridSpan w:val="2"/>
          </w:tcPr>
          <w:p w14:paraId="19E254C5" w14:textId="77777777" w:rsidR="00CE2B63" w:rsidRPr="00346547" w:rsidRDefault="00615769" w:rsidP="001F79B0">
            <w:pPr>
              <w:keepNext/>
              <w:rPr>
                <w:b/>
                <w:bCs/>
                <w:sz w:val="22"/>
                <w:szCs w:val="22"/>
              </w:rPr>
            </w:pPr>
            <w:r w:rsidRPr="00346547">
              <w:rPr>
                <w:b/>
                <w:bCs/>
                <w:sz w:val="22"/>
                <w:szCs w:val="22"/>
              </w:rPr>
              <w:t>Česká republika</w:t>
            </w:r>
          </w:p>
          <w:p w14:paraId="1ADAB733" w14:textId="77777777" w:rsidR="00CE2B63" w:rsidRPr="00346547" w:rsidRDefault="00615769" w:rsidP="001F79B0">
            <w:pPr>
              <w:keepNext/>
              <w:rPr>
                <w:bCs/>
                <w:sz w:val="22"/>
                <w:szCs w:val="22"/>
              </w:rPr>
            </w:pPr>
            <w:r w:rsidRPr="00346547">
              <w:rPr>
                <w:bCs/>
                <w:sz w:val="22"/>
                <w:szCs w:val="22"/>
              </w:rPr>
              <w:t xml:space="preserve">AbbVie s.r.o. </w:t>
            </w:r>
          </w:p>
          <w:p w14:paraId="53B2EAC1" w14:textId="77777777" w:rsidR="00CE2B63" w:rsidRPr="00346547" w:rsidRDefault="00615769" w:rsidP="001F79B0">
            <w:pPr>
              <w:keepNext/>
              <w:rPr>
                <w:bCs/>
                <w:sz w:val="22"/>
                <w:szCs w:val="22"/>
              </w:rPr>
            </w:pPr>
            <w:r w:rsidRPr="00346547">
              <w:rPr>
                <w:bCs/>
                <w:sz w:val="22"/>
                <w:szCs w:val="22"/>
              </w:rPr>
              <w:t>Tel: +420 233 098 111</w:t>
            </w:r>
          </w:p>
        </w:tc>
        <w:tc>
          <w:tcPr>
            <w:tcW w:w="4678" w:type="dxa"/>
            <w:gridSpan w:val="2"/>
          </w:tcPr>
          <w:p w14:paraId="11E4D60B" w14:textId="77777777" w:rsidR="00CE2B63" w:rsidRPr="00346547" w:rsidRDefault="00615769" w:rsidP="001F79B0">
            <w:pPr>
              <w:keepNext/>
              <w:rPr>
                <w:b/>
                <w:bCs/>
                <w:sz w:val="22"/>
                <w:szCs w:val="22"/>
                <w:lang w:val="hu-HU"/>
              </w:rPr>
            </w:pPr>
            <w:r w:rsidRPr="00346547">
              <w:rPr>
                <w:b/>
                <w:bCs/>
                <w:sz w:val="22"/>
                <w:szCs w:val="22"/>
                <w:lang w:val="hu-HU"/>
              </w:rPr>
              <w:t>Magyarország</w:t>
            </w:r>
          </w:p>
          <w:p w14:paraId="12F41501" w14:textId="77777777" w:rsidR="00CE2B63" w:rsidRPr="00346547" w:rsidRDefault="00615769" w:rsidP="001F79B0">
            <w:pPr>
              <w:keepNext/>
              <w:rPr>
                <w:bCs/>
                <w:sz w:val="22"/>
                <w:szCs w:val="22"/>
                <w:lang w:val="hu-HU"/>
              </w:rPr>
            </w:pPr>
            <w:r w:rsidRPr="00346547">
              <w:rPr>
                <w:bCs/>
                <w:sz w:val="22"/>
                <w:szCs w:val="22"/>
                <w:lang w:val="hu-HU"/>
              </w:rPr>
              <w:t>AbbVie Kft.</w:t>
            </w:r>
          </w:p>
          <w:p w14:paraId="38D672E6" w14:textId="77777777" w:rsidR="00CE2B63" w:rsidRPr="00346547" w:rsidRDefault="00615769" w:rsidP="001F79B0">
            <w:pPr>
              <w:keepNext/>
              <w:tabs>
                <w:tab w:val="left" w:pos="562"/>
                <w:tab w:val="left" w:pos="2380"/>
              </w:tabs>
              <w:rPr>
                <w:bCs/>
                <w:sz w:val="22"/>
                <w:szCs w:val="22"/>
                <w:lang w:val="hu-HU"/>
              </w:rPr>
            </w:pPr>
            <w:r w:rsidRPr="00346547">
              <w:rPr>
                <w:bCs/>
                <w:sz w:val="22"/>
                <w:szCs w:val="22"/>
                <w:lang w:val="hu-HU"/>
              </w:rPr>
              <w:t>Tel.:+36 1 455 8600</w:t>
            </w:r>
          </w:p>
          <w:p w14:paraId="1602A97D" w14:textId="77777777" w:rsidR="00CE2B63" w:rsidRPr="00346547" w:rsidRDefault="00CE2B63" w:rsidP="001F79B0">
            <w:pPr>
              <w:keepNext/>
              <w:tabs>
                <w:tab w:val="left" w:pos="562"/>
                <w:tab w:val="left" w:pos="2380"/>
              </w:tabs>
              <w:rPr>
                <w:bCs/>
                <w:sz w:val="22"/>
                <w:szCs w:val="22"/>
                <w:lang w:val="hu-HU"/>
              </w:rPr>
            </w:pPr>
          </w:p>
        </w:tc>
      </w:tr>
      <w:tr w:rsidR="00A7162A" w14:paraId="5BB1B8B4" w14:textId="77777777" w:rsidTr="001F79B0">
        <w:trPr>
          <w:trHeight w:val="737"/>
        </w:trPr>
        <w:tc>
          <w:tcPr>
            <w:tcW w:w="4644" w:type="dxa"/>
            <w:gridSpan w:val="2"/>
          </w:tcPr>
          <w:p w14:paraId="77F1644E" w14:textId="77777777" w:rsidR="00CE2B63" w:rsidRPr="00346547" w:rsidRDefault="00615769" w:rsidP="001F79B0">
            <w:pPr>
              <w:rPr>
                <w:b/>
                <w:bCs/>
                <w:sz w:val="22"/>
                <w:szCs w:val="22"/>
                <w:lang w:val="en-US"/>
              </w:rPr>
            </w:pPr>
            <w:r w:rsidRPr="00346547">
              <w:rPr>
                <w:b/>
                <w:bCs/>
                <w:sz w:val="22"/>
                <w:szCs w:val="22"/>
                <w:lang w:val="en-US"/>
              </w:rPr>
              <w:t>Danmark</w:t>
            </w:r>
          </w:p>
          <w:p w14:paraId="02A1EC44" w14:textId="77777777" w:rsidR="00CE2B63" w:rsidRPr="00346547" w:rsidRDefault="00615769" w:rsidP="001F79B0">
            <w:pPr>
              <w:rPr>
                <w:bCs/>
                <w:sz w:val="22"/>
                <w:szCs w:val="22"/>
                <w:lang w:val="en-US"/>
              </w:rPr>
            </w:pPr>
            <w:r w:rsidRPr="00346547">
              <w:rPr>
                <w:bCs/>
                <w:sz w:val="22"/>
                <w:szCs w:val="22"/>
                <w:lang w:val="en-US"/>
              </w:rPr>
              <w:t>AbbVie A/S</w:t>
            </w:r>
          </w:p>
          <w:p w14:paraId="18F19DC9" w14:textId="79387943" w:rsidR="00CE2B63" w:rsidRPr="00860B88" w:rsidRDefault="00615769" w:rsidP="001F79B0">
            <w:pPr>
              <w:rPr>
                <w:bCs/>
                <w:sz w:val="22"/>
                <w:szCs w:val="22"/>
                <w:lang w:val="en-US"/>
              </w:rPr>
            </w:pPr>
            <w:r w:rsidRPr="00346547">
              <w:rPr>
                <w:bCs/>
                <w:sz w:val="22"/>
                <w:szCs w:val="22"/>
                <w:lang w:val="en-US"/>
              </w:rPr>
              <w:t>Tlf</w:t>
            </w:r>
            <w:ins w:id="16563" w:author="AbbVie2" w:date="2025-05-14T10:26:00Z">
              <w:r w:rsidR="00AD4F25">
                <w:rPr>
                  <w:bCs/>
                  <w:sz w:val="22"/>
                  <w:szCs w:val="22"/>
                  <w:lang w:val="en-US"/>
                </w:rPr>
                <w:t>.</w:t>
              </w:r>
            </w:ins>
            <w:r w:rsidRPr="00346547">
              <w:rPr>
                <w:bCs/>
                <w:sz w:val="22"/>
                <w:szCs w:val="22"/>
                <w:lang w:val="en-US"/>
              </w:rPr>
              <w:t>: +45 72 30-20-28</w:t>
            </w:r>
          </w:p>
        </w:tc>
        <w:tc>
          <w:tcPr>
            <w:tcW w:w="4678" w:type="dxa"/>
            <w:gridSpan w:val="2"/>
          </w:tcPr>
          <w:p w14:paraId="083EDA87" w14:textId="77777777" w:rsidR="00CE2B63" w:rsidRPr="00346547" w:rsidRDefault="00615769" w:rsidP="001F79B0">
            <w:pPr>
              <w:rPr>
                <w:b/>
                <w:bCs/>
                <w:sz w:val="22"/>
                <w:szCs w:val="22"/>
                <w:lang w:val="mt-MT"/>
              </w:rPr>
            </w:pPr>
            <w:r w:rsidRPr="00346547">
              <w:rPr>
                <w:b/>
                <w:bCs/>
                <w:sz w:val="22"/>
                <w:szCs w:val="22"/>
                <w:lang w:val="mt-MT"/>
              </w:rPr>
              <w:t>Malta</w:t>
            </w:r>
          </w:p>
          <w:p w14:paraId="6E52217E" w14:textId="77777777" w:rsidR="00CE2B63" w:rsidRPr="00346547" w:rsidRDefault="00615769" w:rsidP="001F79B0">
            <w:pPr>
              <w:rPr>
                <w:bCs/>
                <w:sz w:val="22"/>
                <w:szCs w:val="22"/>
              </w:rPr>
            </w:pPr>
            <w:r w:rsidRPr="00346547">
              <w:rPr>
                <w:bCs/>
                <w:sz w:val="22"/>
                <w:szCs w:val="22"/>
              </w:rPr>
              <w:t xml:space="preserve">V.J.Salomone Pharma Limited </w:t>
            </w:r>
          </w:p>
          <w:p w14:paraId="5FDBBE4E" w14:textId="2735BCA6" w:rsidR="00CE2B63" w:rsidRPr="00346547" w:rsidRDefault="00615769" w:rsidP="001F79B0">
            <w:pPr>
              <w:rPr>
                <w:bCs/>
                <w:sz w:val="22"/>
                <w:szCs w:val="22"/>
              </w:rPr>
            </w:pPr>
            <w:r w:rsidRPr="00346547">
              <w:rPr>
                <w:bCs/>
                <w:sz w:val="22"/>
                <w:szCs w:val="22"/>
              </w:rPr>
              <w:t xml:space="preserve">Tel: </w:t>
            </w:r>
            <w:r w:rsidRPr="00E663CE">
              <w:rPr>
                <w:bCs/>
                <w:sz w:val="22"/>
                <w:szCs w:val="22"/>
                <w:lang w:val="en-GB"/>
              </w:rPr>
              <w:t>+356 21220174</w:t>
            </w:r>
          </w:p>
          <w:p w14:paraId="0C20A6F5" w14:textId="77777777" w:rsidR="00CE2B63" w:rsidRPr="00346547" w:rsidRDefault="00CE2B63" w:rsidP="001F79B0">
            <w:pPr>
              <w:rPr>
                <w:bCs/>
                <w:sz w:val="22"/>
                <w:szCs w:val="22"/>
              </w:rPr>
            </w:pPr>
          </w:p>
        </w:tc>
      </w:tr>
      <w:tr w:rsidR="00A7162A" w14:paraId="118AD62A" w14:textId="77777777" w:rsidTr="001F79B0">
        <w:tc>
          <w:tcPr>
            <w:tcW w:w="4644" w:type="dxa"/>
            <w:gridSpan w:val="2"/>
          </w:tcPr>
          <w:p w14:paraId="4C07B7F8" w14:textId="77777777" w:rsidR="00CE2B63" w:rsidRPr="00346547" w:rsidRDefault="00615769" w:rsidP="001F79B0">
            <w:pPr>
              <w:keepNext/>
              <w:rPr>
                <w:b/>
                <w:bCs/>
                <w:sz w:val="22"/>
                <w:szCs w:val="22"/>
                <w:lang w:val="de-DE"/>
              </w:rPr>
            </w:pPr>
            <w:r w:rsidRPr="00346547">
              <w:rPr>
                <w:b/>
                <w:bCs/>
                <w:sz w:val="22"/>
                <w:szCs w:val="22"/>
                <w:lang w:val="de-DE"/>
              </w:rPr>
              <w:t>Deutschland</w:t>
            </w:r>
          </w:p>
          <w:p w14:paraId="5F29721E" w14:textId="77777777" w:rsidR="00CE2B63" w:rsidRPr="00346547" w:rsidRDefault="00615769" w:rsidP="001F79B0">
            <w:pPr>
              <w:keepNext/>
              <w:rPr>
                <w:bCs/>
                <w:sz w:val="22"/>
                <w:szCs w:val="22"/>
                <w:lang w:val="de-DE"/>
              </w:rPr>
            </w:pPr>
            <w:r w:rsidRPr="00346547">
              <w:rPr>
                <w:sz w:val="22"/>
                <w:szCs w:val="22"/>
                <w:lang w:val="de-DE"/>
              </w:rPr>
              <w:t xml:space="preserve">AbbVie Deutschland </w:t>
            </w:r>
            <w:r w:rsidRPr="00346547">
              <w:rPr>
                <w:bCs/>
                <w:sz w:val="22"/>
                <w:szCs w:val="22"/>
                <w:lang w:val="de-DE"/>
              </w:rPr>
              <w:t>GmbH &amp; Co. KG</w:t>
            </w:r>
          </w:p>
          <w:p w14:paraId="540BDE9C" w14:textId="77777777" w:rsidR="00CE2B63" w:rsidRPr="00346547" w:rsidRDefault="00615769" w:rsidP="001F79B0">
            <w:pPr>
              <w:keepNext/>
              <w:rPr>
                <w:sz w:val="22"/>
                <w:szCs w:val="22"/>
                <w:lang w:val="de-DE"/>
              </w:rPr>
            </w:pPr>
            <w:r w:rsidRPr="00346547">
              <w:rPr>
                <w:sz w:val="22"/>
                <w:szCs w:val="22"/>
                <w:lang w:val="de-DE"/>
              </w:rPr>
              <w:t>Tel: 00800 222843 33 (gebührenfrei)</w:t>
            </w:r>
          </w:p>
          <w:p w14:paraId="6667EE39" w14:textId="77777777" w:rsidR="00CE2B63" w:rsidRPr="00346547" w:rsidRDefault="00615769" w:rsidP="001F79B0">
            <w:pPr>
              <w:keepNext/>
              <w:rPr>
                <w:sz w:val="22"/>
                <w:szCs w:val="22"/>
                <w:lang w:val="de-DE"/>
              </w:rPr>
            </w:pPr>
            <w:r w:rsidRPr="00346547">
              <w:rPr>
                <w:sz w:val="22"/>
                <w:szCs w:val="22"/>
                <w:lang w:val="de-DE"/>
              </w:rPr>
              <w:t>Tel: +49 (0) 611 / 1720-0</w:t>
            </w:r>
          </w:p>
          <w:p w14:paraId="3C2ADB98" w14:textId="77777777" w:rsidR="00CE2B63" w:rsidRPr="00346547" w:rsidRDefault="00CE2B63" w:rsidP="001F79B0">
            <w:pPr>
              <w:keepNext/>
              <w:rPr>
                <w:sz w:val="22"/>
                <w:szCs w:val="22"/>
                <w:lang w:val="de-DE"/>
              </w:rPr>
            </w:pPr>
          </w:p>
        </w:tc>
        <w:tc>
          <w:tcPr>
            <w:tcW w:w="4678" w:type="dxa"/>
            <w:gridSpan w:val="2"/>
          </w:tcPr>
          <w:p w14:paraId="53373CB8" w14:textId="77777777" w:rsidR="00CE2B63" w:rsidRPr="00346547" w:rsidRDefault="00615769" w:rsidP="001F79B0">
            <w:pPr>
              <w:keepNext/>
              <w:rPr>
                <w:b/>
                <w:bCs/>
                <w:sz w:val="22"/>
                <w:szCs w:val="22"/>
                <w:lang w:val="nl-NL"/>
              </w:rPr>
            </w:pPr>
            <w:r w:rsidRPr="00346547">
              <w:rPr>
                <w:b/>
                <w:bCs/>
                <w:sz w:val="22"/>
                <w:szCs w:val="22"/>
                <w:lang w:val="nl-NL"/>
              </w:rPr>
              <w:t>Nederland</w:t>
            </w:r>
          </w:p>
          <w:p w14:paraId="09214B45" w14:textId="77777777" w:rsidR="00CE2B63" w:rsidRPr="00346547" w:rsidRDefault="00615769" w:rsidP="001F79B0">
            <w:pPr>
              <w:keepNext/>
              <w:rPr>
                <w:bCs/>
                <w:sz w:val="22"/>
                <w:szCs w:val="22"/>
                <w:lang w:val="de-DE"/>
              </w:rPr>
            </w:pPr>
            <w:r w:rsidRPr="00346547">
              <w:rPr>
                <w:bCs/>
                <w:sz w:val="22"/>
                <w:szCs w:val="22"/>
                <w:lang w:val="de-DE"/>
              </w:rPr>
              <w:t>AbbVie B.V.</w:t>
            </w:r>
          </w:p>
          <w:p w14:paraId="5D51432C" w14:textId="77777777" w:rsidR="00CE2B63" w:rsidRPr="00346547" w:rsidRDefault="00615769" w:rsidP="001F79B0">
            <w:pPr>
              <w:keepNext/>
              <w:rPr>
                <w:bCs/>
                <w:sz w:val="22"/>
                <w:szCs w:val="22"/>
                <w:lang w:val="de-DE"/>
              </w:rPr>
            </w:pPr>
            <w:r w:rsidRPr="00346547">
              <w:rPr>
                <w:bCs/>
                <w:sz w:val="22"/>
                <w:szCs w:val="22"/>
                <w:lang w:val="de-DE"/>
              </w:rPr>
              <w:t>Tel: +31 (0)88 322 2843</w:t>
            </w:r>
          </w:p>
        </w:tc>
      </w:tr>
      <w:tr w:rsidR="00A7162A" w14:paraId="5EBAC102" w14:textId="77777777" w:rsidTr="001F79B0">
        <w:tc>
          <w:tcPr>
            <w:tcW w:w="4644" w:type="dxa"/>
            <w:gridSpan w:val="2"/>
          </w:tcPr>
          <w:p w14:paraId="1646C14F" w14:textId="77777777" w:rsidR="00CE2B63" w:rsidRPr="00346547" w:rsidRDefault="00615769" w:rsidP="001F79B0">
            <w:pPr>
              <w:rPr>
                <w:b/>
                <w:bCs/>
                <w:sz w:val="22"/>
                <w:szCs w:val="22"/>
                <w:lang w:val="et-EE"/>
              </w:rPr>
            </w:pPr>
            <w:r w:rsidRPr="00346547">
              <w:rPr>
                <w:b/>
                <w:bCs/>
                <w:sz w:val="22"/>
                <w:szCs w:val="22"/>
                <w:lang w:val="et-EE"/>
              </w:rPr>
              <w:t>Eesti</w:t>
            </w:r>
          </w:p>
          <w:p w14:paraId="3372A215" w14:textId="77777777" w:rsidR="00CE2B63" w:rsidRPr="00346547" w:rsidRDefault="00615769" w:rsidP="001F79B0">
            <w:pPr>
              <w:rPr>
                <w:bCs/>
                <w:sz w:val="22"/>
                <w:szCs w:val="22"/>
                <w:lang w:val="et-EE"/>
              </w:rPr>
            </w:pPr>
            <w:r w:rsidRPr="00346547">
              <w:rPr>
                <w:bCs/>
                <w:sz w:val="22"/>
                <w:szCs w:val="22"/>
                <w:lang w:val="et-EE"/>
              </w:rPr>
              <w:t xml:space="preserve">AbbVie </w:t>
            </w:r>
            <w:r w:rsidRPr="00346547">
              <w:rPr>
                <w:bCs/>
                <w:sz w:val="22"/>
                <w:szCs w:val="22"/>
              </w:rPr>
              <w:t>OÜ</w:t>
            </w:r>
            <w:r w:rsidRPr="00346547">
              <w:rPr>
                <w:bCs/>
                <w:sz w:val="22"/>
                <w:szCs w:val="22"/>
                <w:lang w:val="et-EE"/>
              </w:rPr>
              <w:t xml:space="preserve"> </w:t>
            </w:r>
          </w:p>
          <w:p w14:paraId="4FC0C3D0" w14:textId="77777777" w:rsidR="00CE2B63" w:rsidRPr="00346547" w:rsidRDefault="00615769" w:rsidP="001F79B0">
            <w:pPr>
              <w:rPr>
                <w:bCs/>
                <w:sz w:val="22"/>
                <w:szCs w:val="22"/>
                <w:lang w:val="lv-LV"/>
              </w:rPr>
            </w:pPr>
            <w:r w:rsidRPr="00346547">
              <w:rPr>
                <w:bCs/>
                <w:sz w:val="22"/>
                <w:szCs w:val="22"/>
                <w:lang w:val="et-EE"/>
              </w:rPr>
              <w:t>Tel: +372 623 1011</w:t>
            </w:r>
          </w:p>
        </w:tc>
        <w:tc>
          <w:tcPr>
            <w:tcW w:w="4678" w:type="dxa"/>
            <w:gridSpan w:val="2"/>
          </w:tcPr>
          <w:p w14:paraId="3124E7A4" w14:textId="77777777" w:rsidR="00CE2B63" w:rsidRPr="00346547" w:rsidRDefault="00615769" w:rsidP="001F79B0">
            <w:pPr>
              <w:rPr>
                <w:b/>
                <w:bCs/>
                <w:sz w:val="22"/>
                <w:szCs w:val="22"/>
                <w:lang w:val="nb-NO"/>
              </w:rPr>
            </w:pPr>
            <w:r w:rsidRPr="00346547">
              <w:rPr>
                <w:b/>
                <w:bCs/>
                <w:sz w:val="22"/>
                <w:szCs w:val="22"/>
                <w:lang w:val="nb-NO"/>
              </w:rPr>
              <w:t>Norge</w:t>
            </w:r>
          </w:p>
          <w:p w14:paraId="6FD759B0" w14:textId="77777777" w:rsidR="00CE2B63" w:rsidRPr="00346547" w:rsidRDefault="00615769" w:rsidP="001F79B0">
            <w:pPr>
              <w:rPr>
                <w:bCs/>
                <w:sz w:val="22"/>
                <w:szCs w:val="22"/>
              </w:rPr>
            </w:pPr>
            <w:r w:rsidRPr="00346547">
              <w:rPr>
                <w:bCs/>
                <w:sz w:val="22"/>
                <w:szCs w:val="22"/>
              </w:rPr>
              <w:t>AbbVie AS</w:t>
            </w:r>
          </w:p>
          <w:p w14:paraId="3398B058" w14:textId="77777777" w:rsidR="00CE2B63" w:rsidRPr="00346547" w:rsidRDefault="00615769" w:rsidP="001F79B0">
            <w:pPr>
              <w:rPr>
                <w:bCs/>
                <w:sz w:val="22"/>
                <w:szCs w:val="22"/>
              </w:rPr>
            </w:pPr>
            <w:r w:rsidRPr="00346547">
              <w:rPr>
                <w:bCs/>
                <w:sz w:val="22"/>
                <w:szCs w:val="22"/>
              </w:rPr>
              <w:t>Tlf: +47 67 81 80 00</w:t>
            </w:r>
          </w:p>
          <w:p w14:paraId="03B2001B" w14:textId="77777777" w:rsidR="00CE2B63" w:rsidRPr="00346547" w:rsidRDefault="00CE2B63" w:rsidP="001F79B0">
            <w:pPr>
              <w:rPr>
                <w:bCs/>
                <w:sz w:val="22"/>
                <w:szCs w:val="22"/>
              </w:rPr>
            </w:pPr>
          </w:p>
        </w:tc>
      </w:tr>
      <w:tr w:rsidR="00A7162A" w14:paraId="2134EF18" w14:textId="77777777" w:rsidTr="001F79B0">
        <w:trPr>
          <w:trHeight w:val="794"/>
        </w:trPr>
        <w:tc>
          <w:tcPr>
            <w:tcW w:w="4644" w:type="dxa"/>
            <w:gridSpan w:val="2"/>
          </w:tcPr>
          <w:p w14:paraId="3D8B4238" w14:textId="77777777" w:rsidR="00CE2B63" w:rsidRPr="00346547" w:rsidRDefault="00615769" w:rsidP="001F79B0">
            <w:pPr>
              <w:rPr>
                <w:b/>
                <w:bCs/>
                <w:sz w:val="22"/>
                <w:szCs w:val="22"/>
                <w:lang w:val="el-GR"/>
              </w:rPr>
            </w:pPr>
            <w:r w:rsidRPr="00346547">
              <w:rPr>
                <w:b/>
                <w:bCs/>
                <w:sz w:val="22"/>
                <w:szCs w:val="22"/>
                <w:lang w:val="el-GR"/>
              </w:rPr>
              <w:t>Ελλάδα</w:t>
            </w:r>
          </w:p>
          <w:p w14:paraId="227825AD" w14:textId="77777777" w:rsidR="00CE2B63" w:rsidRPr="00346547" w:rsidRDefault="00615769" w:rsidP="001F79B0">
            <w:pPr>
              <w:rPr>
                <w:bCs/>
                <w:sz w:val="22"/>
                <w:szCs w:val="22"/>
                <w:lang w:val="el-GR"/>
              </w:rPr>
            </w:pPr>
            <w:r w:rsidRPr="00346547">
              <w:rPr>
                <w:bCs/>
                <w:sz w:val="22"/>
                <w:szCs w:val="22"/>
                <w:lang w:val="et-EE"/>
              </w:rPr>
              <w:t xml:space="preserve">AbbVie </w:t>
            </w:r>
            <w:r w:rsidRPr="00346547">
              <w:rPr>
                <w:sz w:val="22"/>
                <w:szCs w:val="22"/>
                <w:lang w:val="el-GR"/>
              </w:rPr>
              <w:t>ΦΑΡΜΑΚΕΥΤΙΚΗ Α.Ε.</w:t>
            </w:r>
          </w:p>
          <w:p w14:paraId="764A34B0" w14:textId="77777777" w:rsidR="00CE2B63" w:rsidRPr="00346547" w:rsidRDefault="00615769" w:rsidP="001F79B0">
            <w:pPr>
              <w:rPr>
                <w:bCs/>
                <w:sz w:val="22"/>
                <w:szCs w:val="22"/>
              </w:rPr>
            </w:pPr>
            <w:r w:rsidRPr="00346547">
              <w:rPr>
                <w:bCs/>
                <w:sz w:val="22"/>
                <w:szCs w:val="22"/>
                <w:lang w:val="el-GR"/>
              </w:rPr>
              <w:t xml:space="preserve">Τηλ: +30 </w:t>
            </w:r>
            <w:r w:rsidRPr="00346547">
              <w:rPr>
                <w:bCs/>
                <w:sz w:val="22"/>
                <w:szCs w:val="22"/>
              </w:rPr>
              <w:t>214 4165 555</w:t>
            </w:r>
          </w:p>
        </w:tc>
        <w:tc>
          <w:tcPr>
            <w:tcW w:w="4678" w:type="dxa"/>
            <w:gridSpan w:val="2"/>
          </w:tcPr>
          <w:p w14:paraId="17D431C9" w14:textId="77777777" w:rsidR="00CE2B63" w:rsidRPr="00346547" w:rsidRDefault="00615769" w:rsidP="001F79B0">
            <w:pPr>
              <w:rPr>
                <w:b/>
                <w:bCs/>
                <w:sz w:val="22"/>
                <w:szCs w:val="22"/>
                <w:lang w:val="de-DE"/>
              </w:rPr>
            </w:pPr>
            <w:r w:rsidRPr="00346547">
              <w:rPr>
                <w:b/>
                <w:bCs/>
                <w:sz w:val="22"/>
                <w:szCs w:val="22"/>
                <w:lang w:val="de-DE"/>
              </w:rPr>
              <w:t>Österreich</w:t>
            </w:r>
          </w:p>
          <w:p w14:paraId="4286AA96" w14:textId="77777777" w:rsidR="00CE2B63" w:rsidRPr="00346547" w:rsidRDefault="00615769" w:rsidP="001F79B0">
            <w:pPr>
              <w:rPr>
                <w:bCs/>
                <w:sz w:val="22"/>
                <w:szCs w:val="22"/>
                <w:lang w:val="de-DE"/>
              </w:rPr>
            </w:pPr>
            <w:r w:rsidRPr="00346547">
              <w:rPr>
                <w:bCs/>
                <w:sz w:val="22"/>
                <w:szCs w:val="22"/>
                <w:lang w:val="de-DE"/>
              </w:rPr>
              <w:t xml:space="preserve">AbbVie GmbH </w:t>
            </w:r>
          </w:p>
          <w:p w14:paraId="434B09AB" w14:textId="77777777" w:rsidR="00CE2B63" w:rsidRPr="00346547" w:rsidRDefault="00615769" w:rsidP="001F79B0">
            <w:pPr>
              <w:rPr>
                <w:bCs/>
                <w:sz w:val="22"/>
                <w:szCs w:val="22"/>
                <w:lang w:val="de-DE"/>
              </w:rPr>
            </w:pPr>
            <w:r w:rsidRPr="00346547">
              <w:rPr>
                <w:bCs/>
                <w:sz w:val="22"/>
                <w:szCs w:val="22"/>
                <w:lang w:val="de-DE"/>
              </w:rPr>
              <w:t>Tel: +43 1 20589-0</w:t>
            </w:r>
          </w:p>
          <w:p w14:paraId="30BEC268" w14:textId="77777777" w:rsidR="00CE2B63" w:rsidRPr="00346547" w:rsidRDefault="00CE2B63" w:rsidP="001F79B0">
            <w:pPr>
              <w:rPr>
                <w:bCs/>
                <w:sz w:val="22"/>
                <w:szCs w:val="22"/>
                <w:lang w:val="de-DE"/>
              </w:rPr>
            </w:pPr>
          </w:p>
        </w:tc>
      </w:tr>
      <w:tr w:rsidR="00A7162A" w14:paraId="613460A9" w14:textId="77777777" w:rsidTr="001F79B0">
        <w:trPr>
          <w:gridBefore w:val="1"/>
          <w:wBefore w:w="34" w:type="dxa"/>
        </w:trPr>
        <w:tc>
          <w:tcPr>
            <w:tcW w:w="4644" w:type="dxa"/>
            <w:gridSpan w:val="2"/>
          </w:tcPr>
          <w:p w14:paraId="06C520FF" w14:textId="77777777" w:rsidR="00CE2B63" w:rsidRPr="00346547" w:rsidRDefault="00615769" w:rsidP="001F79B0">
            <w:pPr>
              <w:rPr>
                <w:b/>
                <w:bCs/>
                <w:sz w:val="22"/>
                <w:szCs w:val="22"/>
                <w:lang w:val="es-ES"/>
              </w:rPr>
            </w:pPr>
            <w:r w:rsidRPr="00346547">
              <w:rPr>
                <w:b/>
                <w:bCs/>
                <w:sz w:val="22"/>
                <w:szCs w:val="22"/>
                <w:lang w:val="es-ES"/>
              </w:rPr>
              <w:t>España</w:t>
            </w:r>
          </w:p>
          <w:p w14:paraId="538F8FBB" w14:textId="77777777" w:rsidR="00CE2B63" w:rsidRPr="00346547" w:rsidRDefault="00615769" w:rsidP="001F79B0">
            <w:pPr>
              <w:rPr>
                <w:sz w:val="22"/>
                <w:szCs w:val="22"/>
                <w:lang w:val="es-ES"/>
              </w:rPr>
            </w:pPr>
            <w:r w:rsidRPr="00346547">
              <w:rPr>
                <w:sz w:val="22"/>
                <w:szCs w:val="22"/>
                <w:lang w:val="es-ES"/>
              </w:rPr>
              <w:t xml:space="preserve">AbbVie </w:t>
            </w:r>
            <w:r w:rsidRPr="00346547">
              <w:rPr>
                <w:bCs/>
                <w:sz w:val="22"/>
                <w:szCs w:val="22"/>
                <w:lang w:val="es-ES"/>
              </w:rPr>
              <w:t>Spain</w:t>
            </w:r>
            <w:r w:rsidRPr="00346547">
              <w:rPr>
                <w:sz w:val="22"/>
                <w:szCs w:val="22"/>
                <w:lang w:val="es-ES"/>
              </w:rPr>
              <w:t>, S.L.U</w:t>
            </w:r>
            <w:r w:rsidRPr="00346547">
              <w:rPr>
                <w:bCs/>
                <w:sz w:val="22"/>
                <w:szCs w:val="22"/>
                <w:lang w:val="es-ES"/>
              </w:rPr>
              <w:t>.</w:t>
            </w:r>
          </w:p>
          <w:p w14:paraId="4589E282" w14:textId="77777777" w:rsidR="00CE2B63" w:rsidRPr="00346547" w:rsidRDefault="00615769" w:rsidP="001F79B0">
            <w:pPr>
              <w:rPr>
                <w:bCs/>
                <w:sz w:val="22"/>
                <w:szCs w:val="22"/>
                <w:lang w:val="pl-PL"/>
              </w:rPr>
            </w:pPr>
            <w:r w:rsidRPr="00346547">
              <w:rPr>
                <w:bCs/>
                <w:sz w:val="22"/>
                <w:szCs w:val="22"/>
              </w:rPr>
              <w:t>Tel: +34 91 384 09 10</w:t>
            </w:r>
          </w:p>
        </w:tc>
        <w:tc>
          <w:tcPr>
            <w:tcW w:w="4678" w:type="dxa"/>
          </w:tcPr>
          <w:p w14:paraId="55C36C71" w14:textId="77777777" w:rsidR="00CE2B63" w:rsidRPr="00346547" w:rsidRDefault="00615769" w:rsidP="001F79B0">
            <w:pPr>
              <w:rPr>
                <w:b/>
                <w:bCs/>
                <w:iCs/>
                <w:sz w:val="22"/>
                <w:szCs w:val="22"/>
                <w:lang w:val="pl-PL"/>
              </w:rPr>
            </w:pPr>
            <w:r w:rsidRPr="00346547">
              <w:rPr>
                <w:b/>
                <w:bCs/>
                <w:iCs/>
                <w:sz w:val="22"/>
                <w:szCs w:val="22"/>
                <w:lang w:val="pl-PL"/>
              </w:rPr>
              <w:t>Polska</w:t>
            </w:r>
          </w:p>
          <w:p w14:paraId="45241560" w14:textId="77777777" w:rsidR="00CE2B63" w:rsidRPr="00346547" w:rsidRDefault="00615769" w:rsidP="001F79B0">
            <w:pPr>
              <w:rPr>
                <w:bCs/>
                <w:sz w:val="22"/>
                <w:szCs w:val="22"/>
                <w:lang w:val="pl-PL"/>
              </w:rPr>
            </w:pPr>
            <w:r w:rsidRPr="00346547">
              <w:rPr>
                <w:bCs/>
                <w:sz w:val="22"/>
                <w:szCs w:val="22"/>
                <w:lang w:val="pl-PL"/>
              </w:rPr>
              <w:t>AbbVie Sp. z o.o.</w:t>
            </w:r>
          </w:p>
          <w:p w14:paraId="1454D40D" w14:textId="77777777" w:rsidR="00CE2B63" w:rsidRPr="00346547" w:rsidRDefault="00615769" w:rsidP="001F79B0">
            <w:pPr>
              <w:pStyle w:val="Footer"/>
              <w:rPr>
                <w:bCs/>
                <w:sz w:val="22"/>
                <w:szCs w:val="22"/>
                <w:lang w:val="pl-PL"/>
              </w:rPr>
            </w:pPr>
            <w:r w:rsidRPr="00346547">
              <w:rPr>
                <w:sz w:val="22"/>
                <w:szCs w:val="22"/>
                <w:lang w:val="es-ES"/>
              </w:rPr>
              <w:t xml:space="preserve">Tel.: +48 22 </w:t>
            </w:r>
            <w:r w:rsidRPr="00346547">
              <w:rPr>
                <w:bCs/>
                <w:sz w:val="22"/>
                <w:szCs w:val="22"/>
                <w:lang w:val="pl-PL"/>
              </w:rPr>
              <w:t xml:space="preserve">372 78 00 </w:t>
            </w:r>
          </w:p>
          <w:p w14:paraId="1557B7D7" w14:textId="77777777" w:rsidR="00CE2B63" w:rsidRPr="00346547" w:rsidRDefault="00CE2B63" w:rsidP="001F79B0">
            <w:pPr>
              <w:pStyle w:val="Footer"/>
              <w:rPr>
                <w:bCs/>
                <w:sz w:val="22"/>
                <w:szCs w:val="22"/>
                <w:lang w:val="pl-PL"/>
              </w:rPr>
            </w:pPr>
          </w:p>
        </w:tc>
      </w:tr>
      <w:tr w:rsidR="00A7162A" w14:paraId="76AF161A" w14:textId="77777777" w:rsidTr="001F79B0">
        <w:trPr>
          <w:trHeight w:val="734"/>
        </w:trPr>
        <w:tc>
          <w:tcPr>
            <w:tcW w:w="4678" w:type="dxa"/>
            <w:gridSpan w:val="3"/>
          </w:tcPr>
          <w:p w14:paraId="316D1E05" w14:textId="77777777" w:rsidR="00CE2B63" w:rsidRPr="00346547" w:rsidRDefault="00615769" w:rsidP="001F79B0">
            <w:pPr>
              <w:ind w:firstLine="34"/>
              <w:rPr>
                <w:b/>
                <w:bCs/>
                <w:sz w:val="22"/>
                <w:szCs w:val="22"/>
                <w:lang w:val="fr-FR"/>
              </w:rPr>
            </w:pPr>
            <w:r w:rsidRPr="00346547">
              <w:rPr>
                <w:b/>
                <w:bCs/>
                <w:sz w:val="22"/>
                <w:szCs w:val="22"/>
                <w:lang w:val="fr-FR"/>
              </w:rPr>
              <w:t>France</w:t>
            </w:r>
          </w:p>
          <w:p w14:paraId="42256B80" w14:textId="77777777" w:rsidR="00CE2B63" w:rsidRPr="00346547" w:rsidRDefault="00615769" w:rsidP="001F79B0">
            <w:pPr>
              <w:ind w:firstLine="34"/>
              <w:rPr>
                <w:bCs/>
                <w:sz w:val="22"/>
                <w:szCs w:val="22"/>
                <w:lang w:val="fr-FR"/>
              </w:rPr>
            </w:pPr>
            <w:r w:rsidRPr="00346547">
              <w:rPr>
                <w:bCs/>
                <w:sz w:val="22"/>
                <w:szCs w:val="22"/>
                <w:lang w:val="fr-FR"/>
              </w:rPr>
              <w:t>AbbVie</w:t>
            </w:r>
          </w:p>
          <w:p w14:paraId="3099E47E" w14:textId="77777777" w:rsidR="00CE2B63" w:rsidRPr="00346547" w:rsidRDefault="00615769" w:rsidP="001F79B0">
            <w:pPr>
              <w:ind w:firstLine="34"/>
              <w:rPr>
                <w:bCs/>
                <w:sz w:val="22"/>
                <w:szCs w:val="22"/>
                <w:lang w:val="fr-FR"/>
              </w:rPr>
            </w:pPr>
            <w:r w:rsidRPr="00346547">
              <w:rPr>
                <w:bCs/>
                <w:sz w:val="22"/>
                <w:szCs w:val="22"/>
                <w:lang w:val="fr-FR"/>
              </w:rPr>
              <w:t>Tél: +33 (0) 1 45 60 13 00</w:t>
            </w:r>
          </w:p>
        </w:tc>
        <w:tc>
          <w:tcPr>
            <w:tcW w:w="4678" w:type="dxa"/>
          </w:tcPr>
          <w:p w14:paraId="1ADF8B32" w14:textId="77777777" w:rsidR="00CE2B63" w:rsidRPr="00346547" w:rsidRDefault="00615769" w:rsidP="001F79B0">
            <w:pPr>
              <w:rPr>
                <w:b/>
                <w:bCs/>
                <w:sz w:val="22"/>
                <w:szCs w:val="22"/>
              </w:rPr>
            </w:pPr>
            <w:r w:rsidRPr="00346547">
              <w:rPr>
                <w:b/>
                <w:bCs/>
                <w:sz w:val="22"/>
                <w:szCs w:val="22"/>
              </w:rPr>
              <w:t>Portugal</w:t>
            </w:r>
          </w:p>
          <w:p w14:paraId="0CEBB357" w14:textId="77777777" w:rsidR="00CE2B63" w:rsidRPr="00346547" w:rsidRDefault="00615769" w:rsidP="001F79B0">
            <w:pPr>
              <w:pStyle w:val="Footer"/>
              <w:rPr>
                <w:bCs/>
                <w:sz w:val="22"/>
                <w:szCs w:val="22"/>
                <w:lang w:val="fr-FR"/>
              </w:rPr>
            </w:pPr>
            <w:r w:rsidRPr="00346547">
              <w:rPr>
                <w:bCs/>
                <w:sz w:val="22"/>
                <w:szCs w:val="22"/>
                <w:lang w:val="fr-FR"/>
              </w:rPr>
              <w:t xml:space="preserve">AbbVie, Lda. </w:t>
            </w:r>
          </w:p>
          <w:p w14:paraId="494BD098" w14:textId="77777777" w:rsidR="00CE2B63" w:rsidRPr="00346547" w:rsidRDefault="00615769" w:rsidP="001F79B0">
            <w:pPr>
              <w:pStyle w:val="Footer"/>
              <w:rPr>
                <w:sz w:val="22"/>
                <w:szCs w:val="22"/>
                <w:lang w:val="fr-FR"/>
              </w:rPr>
            </w:pPr>
            <w:r w:rsidRPr="00346547">
              <w:rPr>
                <w:sz w:val="22"/>
                <w:szCs w:val="22"/>
                <w:lang w:val="fr-FR"/>
              </w:rPr>
              <w:t>Tel: +351 (0)21 1908400</w:t>
            </w:r>
          </w:p>
          <w:p w14:paraId="7C8E35B3" w14:textId="77777777" w:rsidR="00CE2B63" w:rsidRPr="00346547" w:rsidRDefault="00CE2B63" w:rsidP="001F79B0">
            <w:pPr>
              <w:pStyle w:val="Footer"/>
              <w:rPr>
                <w:sz w:val="22"/>
                <w:szCs w:val="22"/>
                <w:lang w:val="fr-FR"/>
              </w:rPr>
            </w:pPr>
          </w:p>
        </w:tc>
      </w:tr>
      <w:tr w:rsidR="00A7162A" w14:paraId="54E276A1" w14:textId="77777777" w:rsidTr="001F79B0">
        <w:trPr>
          <w:gridBefore w:val="1"/>
          <w:wBefore w:w="34" w:type="dxa"/>
        </w:trPr>
        <w:tc>
          <w:tcPr>
            <w:tcW w:w="4644" w:type="dxa"/>
            <w:gridSpan w:val="2"/>
          </w:tcPr>
          <w:p w14:paraId="35EFC9E0" w14:textId="77777777" w:rsidR="00CE2B63" w:rsidRPr="00860B88" w:rsidRDefault="00615769" w:rsidP="001F79B0">
            <w:pPr>
              <w:pStyle w:val="Default"/>
              <w:rPr>
                <w:color w:val="auto"/>
                <w:sz w:val="22"/>
                <w:szCs w:val="22"/>
                <w:lang w:val="pt-PT"/>
              </w:rPr>
            </w:pPr>
            <w:r w:rsidRPr="00860B88">
              <w:rPr>
                <w:b/>
                <w:bCs/>
                <w:color w:val="auto"/>
                <w:sz w:val="22"/>
                <w:szCs w:val="22"/>
                <w:lang w:val="pt-PT"/>
              </w:rPr>
              <w:t xml:space="preserve">Hrvatska </w:t>
            </w:r>
          </w:p>
          <w:p w14:paraId="4B20558A" w14:textId="77777777" w:rsidR="00CE2B63" w:rsidRPr="00346547" w:rsidRDefault="00615769" w:rsidP="001F79B0">
            <w:pPr>
              <w:rPr>
                <w:sz w:val="22"/>
                <w:szCs w:val="22"/>
                <w:lang w:val="hr-HR"/>
              </w:rPr>
            </w:pPr>
            <w:r w:rsidRPr="00346547">
              <w:rPr>
                <w:sz w:val="22"/>
                <w:szCs w:val="22"/>
                <w:lang w:val="hr-HR"/>
              </w:rPr>
              <w:t>AbbVie d.o.o.</w:t>
            </w:r>
          </w:p>
          <w:p w14:paraId="327E6DB2" w14:textId="77777777" w:rsidR="00CE2B63" w:rsidRPr="00346547" w:rsidRDefault="00615769" w:rsidP="001F79B0">
            <w:pPr>
              <w:rPr>
                <w:bCs/>
                <w:sz w:val="22"/>
                <w:szCs w:val="22"/>
                <w:lang w:val="it-IT"/>
              </w:rPr>
            </w:pPr>
            <w:r w:rsidRPr="00346547">
              <w:rPr>
                <w:sz w:val="22"/>
                <w:szCs w:val="22"/>
                <w:lang w:val="hr-HR"/>
              </w:rPr>
              <w:t xml:space="preserve">Tel + 385 (0)1 </w:t>
            </w:r>
            <w:r w:rsidRPr="00346547">
              <w:rPr>
                <w:sz w:val="22"/>
                <w:szCs w:val="22"/>
                <w:lang w:val="en-US"/>
              </w:rPr>
              <w:t>5625 501</w:t>
            </w:r>
          </w:p>
        </w:tc>
        <w:tc>
          <w:tcPr>
            <w:tcW w:w="4678" w:type="dxa"/>
          </w:tcPr>
          <w:p w14:paraId="374301FB" w14:textId="77777777" w:rsidR="00CE2B63" w:rsidRPr="00346547" w:rsidRDefault="00615769" w:rsidP="001F79B0">
            <w:pPr>
              <w:pStyle w:val="EMEANormal"/>
              <w:rPr>
                <w:b/>
                <w:bCs/>
                <w:szCs w:val="22"/>
                <w:lang w:val="it-IT"/>
              </w:rPr>
            </w:pPr>
            <w:r w:rsidRPr="00346547">
              <w:rPr>
                <w:b/>
                <w:bCs/>
                <w:szCs w:val="22"/>
                <w:lang w:val="it-IT"/>
              </w:rPr>
              <w:t>România</w:t>
            </w:r>
          </w:p>
          <w:p w14:paraId="20AFDC7E" w14:textId="77777777" w:rsidR="00CE2B63" w:rsidRPr="00346547" w:rsidRDefault="00615769" w:rsidP="001F79B0">
            <w:pPr>
              <w:rPr>
                <w:rFonts w:eastAsia="MS Mincho"/>
                <w:sz w:val="22"/>
                <w:szCs w:val="22"/>
                <w:lang w:val="it-IT" w:eastAsia="ja-JP"/>
              </w:rPr>
            </w:pPr>
            <w:r w:rsidRPr="00346547">
              <w:rPr>
                <w:rFonts w:eastAsia="MS Mincho"/>
                <w:sz w:val="22"/>
                <w:szCs w:val="22"/>
                <w:lang w:val="it-IT" w:eastAsia="ja-JP"/>
              </w:rPr>
              <w:t>AbbVie S.R.L.</w:t>
            </w:r>
          </w:p>
          <w:p w14:paraId="15AA8D3E" w14:textId="77777777" w:rsidR="00CE2B63" w:rsidRPr="00346547" w:rsidRDefault="00615769" w:rsidP="001F79B0">
            <w:pPr>
              <w:rPr>
                <w:sz w:val="22"/>
                <w:szCs w:val="22"/>
                <w:lang w:val="pl-PL"/>
              </w:rPr>
            </w:pPr>
            <w:r w:rsidRPr="00346547">
              <w:rPr>
                <w:sz w:val="22"/>
                <w:szCs w:val="22"/>
                <w:lang w:val="pl-PL"/>
              </w:rPr>
              <w:t>Tel: +40 21 529 30 35</w:t>
            </w:r>
          </w:p>
          <w:p w14:paraId="4AF9313B" w14:textId="77777777" w:rsidR="00CE2B63" w:rsidRPr="00346547" w:rsidRDefault="00CE2B63" w:rsidP="001F79B0">
            <w:pPr>
              <w:rPr>
                <w:sz w:val="22"/>
                <w:szCs w:val="22"/>
                <w:lang w:val="pl-PL"/>
              </w:rPr>
            </w:pPr>
          </w:p>
        </w:tc>
      </w:tr>
      <w:tr w:rsidR="00A7162A" w14:paraId="19A5FF46" w14:textId="77777777" w:rsidTr="001F79B0">
        <w:trPr>
          <w:gridBefore w:val="1"/>
          <w:wBefore w:w="34" w:type="dxa"/>
        </w:trPr>
        <w:tc>
          <w:tcPr>
            <w:tcW w:w="4644" w:type="dxa"/>
            <w:gridSpan w:val="2"/>
          </w:tcPr>
          <w:p w14:paraId="0EEDE24C" w14:textId="77777777" w:rsidR="00CE2B63" w:rsidRPr="00346547" w:rsidRDefault="00615769" w:rsidP="001F79B0">
            <w:pPr>
              <w:rPr>
                <w:b/>
                <w:bCs/>
                <w:sz w:val="22"/>
                <w:szCs w:val="22"/>
              </w:rPr>
            </w:pPr>
            <w:r w:rsidRPr="00346547">
              <w:rPr>
                <w:b/>
                <w:bCs/>
                <w:sz w:val="22"/>
                <w:szCs w:val="22"/>
              </w:rPr>
              <w:t>Ireland</w:t>
            </w:r>
          </w:p>
          <w:p w14:paraId="570F2EFC" w14:textId="77777777" w:rsidR="00CE2B63" w:rsidRPr="00346547" w:rsidRDefault="00615769" w:rsidP="001F79B0">
            <w:pPr>
              <w:rPr>
                <w:bCs/>
                <w:sz w:val="22"/>
                <w:szCs w:val="22"/>
              </w:rPr>
            </w:pPr>
            <w:r w:rsidRPr="00346547">
              <w:rPr>
                <w:bCs/>
                <w:sz w:val="22"/>
                <w:szCs w:val="22"/>
              </w:rPr>
              <w:t xml:space="preserve">AbbVie Limited </w:t>
            </w:r>
          </w:p>
          <w:p w14:paraId="7C8A6E48" w14:textId="77777777" w:rsidR="00CE2B63" w:rsidRPr="00346547" w:rsidRDefault="00615769" w:rsidP="001F79B0">
            <w:pPr>
              <w:rPr>
                <w:bCs/>
                <w:sz w:val="22"/>
                <w:szCs w:val="22"/>
              </w:rPr>
            </w:pPr>
            <w:r w:rsidRPr="00346547">
              <w:rPr>
                <w:bCs/>
                <w:sz w:val="22"/>
                <w:szCs w:val="22"/>
              </w:rPr>
              <w:t>Tel: +353 (0)1 428790</w:t>
            </w:r>
            <w:r w:rsidR="00794A65">
              <w:rPr>
                <w:bCs/>
                <w:sz w:val="22"/>
                <w:szCs w:val="22"/>
              </w:rPr>
              <w:t>0</w:t>
            </w:r>
          </w:p>
        </w:tc>
        <w:tc>
          <w:tcPr>
            <w:tcW w:w="4678" w:type="dxa"/>
          </w:tcPr>
          <w:p w14:paraId="65B5C035" w14:textId="77777777" w:rsidR="00CE2B63" w:rsidRPr="00346547" w:rsidRDefault="00615769" w:rsidP="001F79B0">
            <w:pPr>
              <w:rPr>
                <w:b/>
                <w:bCs/>
                <w:sz w:val="22"/>
                <w:szCs w:val="22"/>
                <w:lang w:val="sl-SI"/>
              </w:rPr>
            </w:pPr>
            <w:r w:rsidRPr="00346547">
              <w:rPr>
                <w:b/>
                <w:bCs/>
                <w:sz w:val="22"/>
                <w:szCs w:val="22"/>
                <w:lang w:val="sl-SI"/>
              </w:rPr>
              <w:t>Slovenija</w:t>
            </w:r>
          </w:p>
          <w:p w14:paraId="089B9B6E" w14:textId="77777777" w:rsidR="00CE2B63" w:rsidRPr="00346547" w:rsidRDefault="00615769" w:rsidP="001F79B0">
            <w:pPr>
              <w:rPr>
                <w:bCs/>
                <w:sz w:val="22"/>
                <w:szCs w:val="22"/>
                <w:lang w:val="sl-SI"/>
              </w:rPr>
            </w:pPr>
            <w:r w:rsidRPr="00346547">
              <w:rPr>
                <w:bCs/>
                <w:sz w:val="22"/>
                <w:szCs w:val="22"/>
                <w:lang w:val="sl-SI"/>
              </w:rPr>
              <w:t xml:space="preserve">AbbVie </w:t>
            </w:r>
            <w:r w:rsidRPr="00346547">
              <w:rPr>
                <w:sz w:val="22"/>
                <w:szCs w:val="22"/>
                <w:lang w:val="sl-SI"/>
              </w:rPr>
              <w:t>Biofarmacevtska družba d.o.o.</w:t>
            </w:r>
          </w:p>
          <w:p w14:paraId="54A68D32" w14:textId="77777777" w:rsidR="00CE2B63" w:rsidRPr="00346547" w:rsidRDefault="00615769" w:rsidP="001F79B0">
            <w:pPr>
              <w:rPr>
                <w:bCs/>
                <w:sz w:val="22"/>
                <w:szCs w:val="22"/>
                <w:lang w:val="sl-SI"/>
              </w:rPr>
            </w:pPr>
            <w:r w:rsidRPr="00346547">
              <w:rPr>
                <w:bCs/>
                <w:sz w:val="22"/>
                <w:szCs w:val="22"/>
                <w:lang w:val="sl-SI"/>
              </w:rPr>
              <w:t>Tel: +386 (1)32 08 060</w:t>
            </w:r>
          </w:p>
          <w:p w14:paraId="1483A6E3" w14:textId="77777777" w:rsidR="00CE2B63" w:rsidRPr="00346547" w:rsidRDefault="00CE2B63" w:rsidP="001F79B0">
            <w:pPr>
              <w:rPr>
                <w:bCs/>
                <w:sz w:val="22"/>
                <w:szCs w:val="22"/>
                <w:lang w:val="sl-SI"/>
              </w:rPr>
            </w:pPr>
          </w:p>
        </w:tc>
      </w:tr>
      <w:tr w:rsidR="00A7162A" w14:paraId="6BF4F4FB" w14:textId="77777777" w:rsidTr="001F79B0">
        <w:trPr>
          <w:gridBefore w:val="1"/>
          <w:wBefore w:w="34" w:type="dxa"/>
        </w:trPr>
        <w:tc>
          <w:tcPr>
            <w:tcW w:w="4644" w:type="dxa"/>
            <w:gridSpan w:val="2"/>
          </w:tcPr>
          <w:p w14:paraId="103EEBBC" w14:textId="77777777" w:rsidR="00CE2B63" w:rsidRPr="00346547" w:rsidRDefault="00615769" w:rsidP="001F79B0">
            <w:pPr>
              <w:keepNext/>
              <w:rPr>
                <w:b/>
                <w:bCs/>
                <w:sz w:val="22"/>
                <w:szCs w:val="22"/>
                <w:lang w:val="is-IS"/>
              </w:rPr>
            </w:pPr>
            <w:r w:rsidRPr="00346547">
              <w:rPr>
                <w:b/>
                <w:bCs/>
                <w:sz w:val="22"/>
                <w:szCs w:val="22"/>
                <w:lang w:val="is-IS"/>
              </w:rPr>
              <w:t>Ísland</w:t>
            </w:r>
          </w:p>
          <w:p w14:paraId="58E653D4" w14:textId="77777777" w:rsidR="00CE2B63" w:rsidRPr="00346547" w:rsidRDefault="00615769" w:rsidP="001F79B0">
            <w:pPr>
              <w:keepNext/>
              <w:rPr>
                <w:bCs/>
                <w:sz w:val="22"/>
                <w:szCs w:val="22"/>
              </w:rPr>
            </w:pPr>
            <w:r w:rsidRPr="00346547">
              <w:rPr>
                <w:bCs/>
                <w:sz w:val="22"/>
                <w:szCs w:val="22"/>
              </w:rPr>
              <w:t>Vistor</w:t>
            </w:r>
            <w:del w:id="16564" w:author="AbbVie2" w:date="2025-05-14T10:27:00Z">
              <w:r w:rsidRPr="00346547">
                <w:rPr>
                  <w:bCs/>
                  <w:sz w:val="22"/>
                  <w:szCs w:val="22"/>
                </w:rPr>
                <w:delText xml:space="preserve"> hf.</w:delText>
              </w:r>
            </w:del>
          </w:p>
          <w:p w14:paraId="172ABF44" w14:textId="77777777" w:rsidR="00CE2B63" w:rsidRPr="00346547" w:rsidRDefault="00615769" w:rsidP="001F79B0">
            <w:pPr>
              <w:keepNext/>
              <w:rPr>
                <w:bCs/>
                <w:sz w:val="22"/>
                <w:szCs w:val="22"/>
              </w:rPr>
            </w:pPr>
            <w:r w:rsidRPr="00346547">
              <w:rPr>
                <w:bCs/>
                <w:sz w:val="22"/>
                <w:szCs w:val="22"/>
              </w:rPr>
              <w:t>Tel: +354 535 7000</w:t>
            </w:r>
          </w:p>
        </w:tc>
        <w:tc>
          <w:tcPr>
            <w:tcW w:w="4678" w:type="dxa"/>
          </w:tcPr>
          <w:p w14:paraId="5DF83F9C" w14:textId="77777777" w:rsidR="00CE2B63" w:rsidRPr="00346547" w:rsidRDefault="00615769" w:rsidP="001F79B0">
            <w:pPr>
              <w:keepNext/>
              <w:rPr>
                <w:b/>
                <w:bCs/>
                <w:sz w:val="22"/>
                <w:szCs w:val="22"/>
              </w:rPr>
            </w:pPr>
            <w:r w:rsidRPr="00346547">
              <w:rPr>
                <w:b/>
                <w:bCs/>
                <w:sz w:val="22"/>
                <w:szCs w:val="22"/>
              </w:rPr>
              <w:t>Slovenská republika</w:t>
            </w:r>
          </w:p>
          <w:p w14:paraId="17AD2E73" w14:textId="77777777" w:rsidR="00CE2B63" w:rsidRPr="00346547" w:rsidRDefault="00615769" w:rsidP="001F79B0">
            <w:pPr>
              <w:keepNext/>
              <w:rPr>
                <w:bCs/>
                <w:sz w:val="22"/>
                <w:szCs w:val="22"/>
              </w:rPr>
            </w:pPr>
            <w:r w:rsidRPr="00346547">
              <w:rPr>
                <w:bCs/>
                <w:sz w:val="22"/>
                <w:szCs w:val="22"/>
              </w:rPr>
              <w:t>AbbVie s.r.o.</w:t>
            </w:r>
          </w:p>
          <w:p w14:paraId="69DB9F08" w14:textId="77777777" w:rsidR="00CE2B63" w:rsidRPr="00346547" w:rsidRDefault="00615769" w:rsidP="001F79B0">
            <w:pPr>
              <w:keepNext/>
              <w:rPr>
                <w:bCs/>
                <w:sz w:val="22"/>
                <w:szCs w:val="22"/>
              </w:rPr>
            </w:pPr>
            <w:r w:rsidRPr="00346547">
              <w:rPr>
                <w:bCs/>
                <w:sz w:val="22"/>
                <w:szCs w:val="22"/>
              </w:rPr>
              <w:t>Tel: +421 2 5050 0777</w:t>
            </w:r>
          </w:p>
          <w:p w14:paraId="2970EB05" w14:textId="77777777" w:rsidR="00CE2B63" w:rsidRPr="00346547" w:rsidRDefault="00CE2B63" w:rsidP="001F79B0">
            <w:pPr>
              <w:keepNext/>
              <w:rPr>
                <w:bCs/>
                <w:sz w:val="22"/>
                <w:szCs w:val="22"/>
              </w:rPr>
            </w:pPr>
          </w:p>
        </w:tc>
      </w:tr>
      <w:tr w:rsidR="00A7162A" w14:paraId="209DAA25" w14:textId="77777777" w:rsidTr="001F79B0">
        <w:trPr>
          <w:gridBefore w:val="1"/>
          <w:wBefore w:w="34" w:type="dxa"/>
        </w:trPr>
        <w:tc>
          <w:tcPr>
            <w:tcW w:w="4644" w:type="dxa"/>
            <w:gridSpan w:val="2"/>
          </w:tcPr>
          <w:p w14:paraId="2F673D0B" w14:textId="77777777" w:rsidR="00CE2B63" w:rsidRPr="00346547" w:rsidRDefault="00615769" w:rsidP="001F79B0">
            <w:pPr>
              <w:rPr>
                <w:b/>
                <w:bCs/>
                <w:sz w:val="22"/>
                <w:szCs w:val="22"/>
                <w:lang w:val="it-IT"/>
              </w:rPr>
            </w:pPr>
            <w:r w:rsidRPr="00346547">
              <w:rPr>
                <w:b/>
                <w:bCs/>
                <w:sz w:val="22"/>
                <w:szCs w:val="22"/>
                <w:lang w:val="it-IT"/>
              </w:rPr>
              <w:t>Italia</w:t>
            </w:r>
          </w:p>
          <w:p w14:paraId="269D8C37" w14:textId="77777777" w:rsidR="00CE2B63" w:rsidRPr="00346547" w:rsidRDefault="00615769" w:rsidP="001F79B0">
            <w:pPr>
              <w:pStyle w:val="EndnoteText"/>
              <w:spacing w:line="260" w:lineRule="exact"/>
              <w:rPr>
                <w:bCs/>
                <w:szCs w:val="22"/>
              </w:rPr>
            </w:pPr>
            <w:r w:rsidRPr="00346547">
              <w:rPr>
                <w:bCs/>
                <w:szCs w:val="22"/>
              </w:rPr>
              <w:t xml:space="preserve">AbbVie S.r.l. </w:t>
            </w:r>
          </w:p>
          <w:p w14:paraId="0518DCD2" w14:textId="77777777" w:rsidR="00CE2B63" w:rsidRPr="00346547" w:rsidRDefault="00615769" w:rsidP="001F79B0">
            <w:pPr>
              <w:rPr>
                <w:bCs/>
                <w:sz w:val="22"/>
                <w:szCs w:val="22"/>
                <w:lang w:val="fi-FI"/>
              </w:rPr>
            </w:pPr>
            <w:r w:rsidRPr="00346547">
              <w:rPr>
                <w:bCs/>
                <w:sz w:val="22"/>
                <w:szCs w:val="22"/>
                <w:lang w:val="fr-FR"/>
              </w:rPr>
              <w:t>Tel: +39 06 928921</w:t>
            </w:r>
          </w:p>
        </w:tc>
        <w:tc>
          <w:tcPr>
            <w:tcW w:w="4678" w:type="dxa"/>
          </w:tcPr>
          <w:p w14:paraId="25DC18AA" w14:textId="77777777" w:rsidR="00CE2B63" w:rsidRPr="00346547" w:rsidRDefault="00615769" w:rsidP="001F79B0">
            <w:pPr>
              <w:rPr>
                <w:b/>
                <w:bCs/>
                <w:sz w:val="22"/>
                <w:szCs w:val="22"/>
                <w:lang w:val="fi-FI"/>
              </w:rPr>
            </w:pPr>
            <w:r w:rsidRPr="00346547">
              <w:rPr>
                <w:b/>
                <w:bCs/>
                <w:sz w:val="22"/>
                <w:szCs w:val="22"/>
                <w:lang w:val="fi-FI"/>
              </w:rPr>
              <w:t>Suomi/Finland</w:t>
            </w:r>
          </w:p>
          <w:p w14:paraId="07AB0A54" w14:textId="77777777" w:rsidR="00CE2B63" w:rsidRPr="00346547" w:rsidRDefault="00615769" w:rsidP="001F79B0">
            <w:pPr>
              <w:rPr>
                <w:bCs/>
                <w:sz w:val="22"/>
                <w:szCs w:val="22"/>
                <w:lang w:val="de-CH"/>
              </w:rPr>
            </w:pPr>
            <w:r w:rsidRPr="00860B88">
              <w:rPr>
                <w:bCs/>
                <w:sz w:val="22"/>
                <w:szCs w:val="22"/>
                <w:lang w:val="en-US"/>
              </w:rPr>
              <w:t>AbbVie Oy</w:t>
            </w:r>
          </w:p>
          <w:p w14:paraId="47B7E074" w14:textId="77777777" w:rsidR="00CE2B63" w:rsidRPr="00860B88" w:rsidRDefault="00615769" w:rsidP="001F79B0">
            <w:pPr>
              <w:rPr>
                <w:bCs/>
                <w:sz w:val="22"/>
                <w:szCs w:val="22"/>
                <w:lang w:val="en-US"/>
              </w:rPr>
            </w:pPr>
            <w:r w:rsidRPr="00860B88">
              <w:rPr>
                <w:bCs/>
                <w:sz w:val="22"/>
                <w:szCs w:val="22"/>
                <w:lang w:val="en-US"/>
              </w:rPr>
              <w:t>Puh/Tel: +358 (0)10 2411 200</w:t>
            </w:r>
          </w:p>
          <w:p w14:paraId="742A94DC" w14:textId="77777777" w:rsidR="00CE2B63" w:rsidRPr="00860B88" w:rsidRDefault="00CE2B63" w:rsidP="001F79B0">
            <w:pPr>
              <w:rPr>
                <w:sz w:val="22"/>
                <w:szCs w:val="22"/>
                <w:lang w:val="en-US"/>
              </w:rPr>
            </w:pPr>
          </w:p>
        </w:tc>
      </w:tr>
      <w:tr w:rsidR="00A7162A" w14:paraId="039D6ED9" w14:textId="77777777" w:rsidTr="001F79B0">
        <w:trPr>
          <w:gridBefore w:val="1"/>
          <w:wBefore w:w="34" w:type="dxa"/>
          <w:cantSplit/>
          <w:trHeight w:val="887"/>
        </w:trPr>
        <w:tc>
          <w:tcPr>
            <w:tcW w:w="4644" w:type="dxa"/>
            <w:gridSpan w:val="2"/>
          </w:tcPr>
          <w:p w14:paraId="5B950869" w14:textId="77777777" w:rsidR="00CE2B63" w:rsidRPr="00346547" w:rsidRDefault="00615769" w:rsidP="001F79B0">
            <w:pPr>
              <w:rPr>
                <w:b/>
                <w:bCs/>
                <w:sz w:val="22"/>
                <w:szCs w:val="22"/>
                <w:lang w:val="el-GR"/>
              </w:rPr>
            </w:pPr>
            <w:r w:rsidRPr="00346547">
              <w:rPr>
                <w:b/>
                <w:bCs/>
                <w:sz w:val="22"/>
                <w:szCs w:val="22"/>
                <w:lang w:val="el-GR"/>
              </w:rPr>
              <w:t>Κύπρος</w:t>
            </w:r>
          </w:p>
          <w:p w14:paraId="7F707C1B" w14:textId="77777777" w:rsidR="00CE2B63" w:rsidRPr="00346547" w:rsidRDefault="00615769" w:rsidP="001F79B0">
            <w:pPr>
              <w:rPr>
                <w:bCs/>
                <w:sz w:val="22"/>
                <w:szCs w:val="22"/>
                <w:lang w:val="el-GR"/>
              </w:rPr>
            </w:pPr>
            <w:r w:rsidRPr="00BE62F9">
              <w:rPr>
                <w:bCs/>
                <w:sz w:val="22"/>
                <w:szCs w:val="22"/>
                <w:lang w:val="en-US"/>
                <w:rPrChange w:id="16565" w:author="AbbVie2" w:date="2025-09-08T09:53:00Z">
                  <w:rPr>
                    <w:bCs/>
                    <w:sz w:val="22"/>
                    <w:szCs w:val="22"/>
                  </w:rPr>
                </w:rPrChange>
              </w:rPr>
              <w:t xml:space="preserve">Lifepharma (Z.A.M.) </w:t>
            </w:r>
            <w:r w:rsidRPr="00346547">
              <w:rPr>
                <w:bCs/>
                <w:sz w:val="22"/>
                <w:szCs w:val="22"/>
                <w:lang w:val="it-IT"/>
              </w:rPr>
              <w:t>Ltd</w:t>
            </w:r>
          </w:p>
          <w:p w14:paraId="19562174" w14:textId="77777777" w:rsidR="00CE2B63" w:rsidRPr="00346547" w:rsidRDefault="00615769" w:rsidP="001F79B0">
            <w:pPr>
              <w:rPr>
                <w:bCs/>
                <w:sz w:val="22"/>
                <w:szCs w:val="22"/>
                <w:lang w:val="lv-LV"/>
              </w:rPr>
            </w:pPr>
            <w:r w:rsidRPr="00346547">
              <w:rPr>
                <w:bCs/>
                <w:sz w:val="22"/>
                <w:szCs w:val="22"/>
                <w:lang w:val="el-GR"/>
              </w:rPr>
              <w:t>Τηλ.: +357 22 34 74 40</w:t>
            </w:r>
          </w:p>
        </w:tc>
        <w:tc>
          <w:tcPr>
            <w:tcW w:w="4678" w:type="dxa"/>
          </w:tcPr>
          <w:p w14:paraId="184E2C8B" w14:textId="77777777" w:rsidR="00CE2B63" w:rsidRPr="00346547" w:rsidRDefault="00615769" w:rsidP="001F79B0">
            <w:pPr>
              <w:rPr>
                <w:b/>
                <w:bCs/>
                <w:sz w:val="22"/>
                <w:szCs w:val="22"/>
              </w:rPr>
            </w:pPr>
            <w:r w:rsidRPr="00346547">
              <w:rPr>
                <w:b/>
                <w:bCs/>
                <w:sz w:val="22"/>
                <w:szCs w:val="22"/>
              </w:rPr>
              <w:t>Sverige</w:t>
            </w:r>
          </w:p>
          <w:p w14:paraId="0A0F9C54" w14:textId="77777777" w:rsidR="00CE2B63" w:rsidRPr="00346547" w:rsidRDefault="00615769" w:rsidP="001F79B0">
            <w:pPr>
              <w:rPr>
                <w:bCs/>
                <w:sz w:val="22"/>
                <w:szCs w:val="22"/>
              </w:rPr>
            </w:pPr>
            <w:r w:rsidRPr="00346547">
              <w:rPr>
                <w:bCs/>
                <w:sz w:val="22"/>
                <w:szCs w:val="22"/>
              </w:rPr>
              <w:t>AbbVie AB</w:t>
            </w:r>
          </w:p>
          <w:p w14:paraId="13ECEF1A" w14:textId="77777777" w:rsidR="00CE2B63" w:rsidRPr="00346547" w:rsidRDefault="00615769" w:rsidP="001F79B0">
            <w:pPr>
              <w:rPr>
                <w:bCs/>
                <w:sz w:val="22"/>
                <w:szCs w:val="22"/>
              </w:rPr>
            </w:pPr>
            <w:r w:rsidRPr="00346547">
              <w:rPr>
                <w:bCs/>
                <w:sz w:val="22"/>
                <w:szCs w:val="22"/>
                <w:lang w:val="da-DK"/>
              </w:rPr>
              <w:t>Tel: +46 (0)8 684 44 600</w:t>
            </w:r>
          </w:p>
        </w:tc>
      </w:tr>
      <w:tr w:rsidR="00A7162A" w14:paraId="6B8B4226" w14:textId="77777777" w:rsidTr="001F79B0">
        <w:trPr>
          <w:gridBefore w:val="1"/>
          <w:wBefore w:w="34" w:type="dxa"/>
          <w:cantSplit/>
          <w:trHeight w:val="761"/>
        </w:trPr>
        <w:tc>
          <w:tcPr>
            <w:tcW w:w="4644" w:type="dxa"/>
            <w:gridSpan w:val="2"/>
          </w:tcPr>
          <w:p w14:paraId="49B2295D" w14:textId="77777777" w:rsidR="00CE2B63" w:rsidRPr="00346547" w:rsidRDefault="00615769" w:rsidP="001F79B0">
            <w:pPr>
              <w:rPr>
                <w:b/>
                <w:bCs/>
                <w:sz w:val="22"/>
                <w:szCs w:val="22"/>
                <w:lang w:val="lv-LV"/>
              </w:rPr>
            </w:pPr>
            <w:r w:rsidRPr="00346547">
              <w:rPr>
                <w:b/>
                <w:bCs/>
                <w:sz w:val="22"/>
                <w:szCs w:val="22"/>
                <w:lang w:val="lv-LV"/>
              </w:rPr>
              <w:t>Latvija</w:t>
            </w:r>
          </w:p>
          <w:p w14:paraId="52E9A6E8" w14:textId="77777777" w:rsidR="00CE2B63" w:rsidRPr="00346547" w:rsidRDefault="00615769" w:rsidP="001F79B0">
            <w:pPr>
              <w:rPr>
                <w:bCs/>
                <w:sz w:val="22"/>
                <w:szCs w:val="22"/>
                <w:lang w:val="lv-LV"/>
              </w:rPr>
            </w:pPr>
            <w:r w:rsidRPr="00346547">
              <w:rPr>
                <w:bCs/>
                <w:sz w:val="22"/>
                <w:szCs w:val="22"/>
                <w:lang w:val="lv-LV"/>
              </w:rPr>
              <w:t xml:space="preserve">AbbVie SIA </w:t>
            </w:r>
          </w:p>
          <w:p w14:paraId="68B4EF1E" w14:textId="77777777" w:rsidR="00CE2B63" w:rsidRPr="00346547" w:rsidRDefault="00615769" w:rsidP="001F79B0">
            <w:pPr>
              <w:rPr>
                <w:bCs/>
                <w:sz w:val="22"/>
                <w:szCs w:val="22"/>
                <w:lang w:val="lv-LV"/>
              </w:rPr>
            </w:pPr>
            <w:r w:rsidRPr="00346547">
              <w:rPr>
                <w:bCs/>
                <w:sz w:val="22"/>
                <w:szCs w:val="22"/>
                <w:lang w:val="lv-LV"/>
              </w:rPr>
              <w:t>Tel: +371 67605000</w:t>
            </w:r>
          </w:p>
        </w:tc>
        <w:tc>
          <w:tcPr>
            <w:tcW w:w="4678" w:type="dxa"/>
          </w:tcPr>
          <w:p w14:paraId="4FA79851" w14:textId="558506E8" w:rsidR="00CE2B63" w:rsidRPr="00346547" w:rsidRDefault="00CE2B63" w:rsidP="001F79B0">
            <w:pPr>
              <w:rPr>
                <w:b/>
                <w:bCs/>
                <w:sz w:val="22"/>
                <w:szCs w:val="22"/>
              </w:rPr>
            </w:pPr>
          </w:p>
        </w:tc>
      </w:tr>
    </w:tbl>
    <w:p w14:paraId="5875AD21" w14:textId="77777777" w:rsidR="008D13F4" w:rsidRPr="0026770E" w:rsidRDefault="008D13F4" w:rsidP="008D13F4">
      <w:pPr>
        <w:rPr>
          <w:lang w:val="en-US"/>
        </w:rPr>
      </w:pPr>
    </w:p>
    <w:p w14:paraId="357FB89C" w14:textId="77777777" w:rsidR="008D13F4" w:rsidRPr="008912CF" w:rsidRDefault="00615769" w:rsidP="008D13F4">
      <w:pPr>
        <w:ind w:right="-2"/>
        <w:rPr>
          <w:sz w:val="22"/>
          <w:szCs w:val="22"/>
        </w:rPr>
      </w:pPr>
      <w:r w:rsidRPr="008912CF">
        <w:rPr>
          <w:b/>
          <w:sz w:val="22"/>
          <w:szCs w:val="22"/>
        </w:rPr>
        <w:t xml:space="preserve">Este folheto foi revisto pela última vez em </w:t>
      </w:r>
    </w:p>
    <w:p w14:paraId="7FDA088B" w14:textId="77777777" w:rsidR="008D13F4" w:rsidRPr="008912CF" w:rsidRDefault="008D13F4" w:rsidP="008D13F4">
      <w:pPr>
        <w:ind w:right="-449"/>
        <w:rPr>
          <w:sz w:val="22"/>
          <w:szCs w:val="22"/>
        </w:rPr>
      </w:pPr>
    </w:p>
    <w:p w14:paraId="6A86AE76" w14:textId="5E47EB5B" w:rsidR="008D13F4" w:rsidRDefault="00615769" w:rsidP="008D13F4">
      <w:pPr>
        <w:ind w:right="-2"/>
        <w:rPr>
          <w:color w:val="0000FF"/>
          <w:sz w:val="22"/>
          <w:szCs w:val="22"/>
        </w:rPr>
      </w:pPr>
      <w:r w:rsidRPr="008912CF">
        <w:rPr>
          <w:sz w:val="22"/>
          <w:szCs w:val="22"/>
        </w:rPr>
        <w:t xml:space="preserve">Está disponível informação pormenorizada sobre este medicamento no sítio da internet da Agência Europeia de Medicamentos: </w:t>
      </w:r>
      <w:ins w:id="16566" w:author="AbbVie2" w:date="2025-05-14T10:32:00Z">
        <w:r w:rsidR="00F558D8">
          <w:rPr>
            <w:sz w:val="22"/>
            <w:szCs w:val="22"/>
          </w:rPr>
          <w:fldChar w:fldCharType="begin"/>
        </w:r>
        <w:r w:rsidR="00F558D8">
          <w:rPr>
            <w:sz w:val="22"/>
            <w:szCs w:val="22"/>
          </w:rPr>
          <w:instrText>HYPERLINK "</w:instrText>
        </w:r>
      </w:ins>
      <w:r w:rsidR="00F558D8" w:rsidRPr="00F558D8">
        <w:rPr>
          <w:rStyle w:val="Hyperlink"/>
          <w:sz w:val="22"/>
          <w:szCs w:val="22"/>
        </w:rPr>
        <w:instrText>http</w:instrText>
      </w:r>
      <w:ins w:id="16567" w:author="AbbVie2" w:date="2025-05-14T10:30:00Z">
        <w:r w:rsidR="00F558D8" w:rsidRPr="00F558D8">
          <w:rPr>
            <w:rStyle w:val="Hyperlink"/>
            <w:sz w:val="22"/>
            <w:szCs w:val="22"/>
          </w:rPr>
          <w:instrText>s</w:instrText>
        </w:r>
      </w:ins>
      <w:r w:rsidR="00F558D8" w:rsidRPr="00F558D8">
        <w:rPr>
          <w:rStyle w:val="Hyperlink"/>
          <w:sz w:val="22"/>
          <w:szCs w:val="22"/>
        </w:rPr>
        <w:instrText>://www.ema.europa.eu</w:instrText>
      </w:r>
      <w:ins w:id="16568" w:author="AbbVie2" w:date="2025-05-14T10:32:00Z">
        <w:r w:rsidR="00F558D8">
          <w:rPr>
            <w:sz w:val="22"/>
            <w:szCs w:val="22"/>
          </w:rPr>
          <w:instrText>"</w:instrText>
        </w:r>
        <w:r w:rsidR="00F558D8">
          <w:rPr>
            <w:sz w:val="22"/>
            <w:szCs w:val="22"/>
          </w:rPr>
        </w:r>
        <w:r w:rsidR="00F558D8">
          <w:rPr>
            <w:sz w:val="22"/>
            <w:szCs w:val="22"/>
          </w:rPr>
          <w:fldChar w:fldCharType="separate"/>
        </w:r>
      </w:ins>
      <w:r w:rsidR="00F558D8" w:rsidRPr="00F558D8">
        <w:rPr>
          <w:rStyle w:val="Hyperlink"/>
          <w:sz w:val="22"/>
          <w:szCs w:val="22"/>
        </w:rPr>
        <w:t>http</w:t>
      </w:r>
      <w:ins w:id="16569" w:author="AbbVie2" w:date="2025-05-14T10:30:00Z">
        <w:r w:rsidR="00F558D8" w:rsidRPr="00F558D8">
          <w:rPr>
            <w:rStyle w:val="Hyperlink"/>
            <w:sz w:val="22"/>
            <w:szCs w:val="22"/>
          </w:rPr>
          <w:t>s</w:t>
        </w:r>
      </w:ins>
      <w:r w:rsidR="00F558D8" w:rsidRPr="00F558D8">
        <w:rPr>
          <w:rStyle w:val="Hyperlink"/>
          <w:sz w:val="22"/>
          <w:szCs w:val="22"/>
        </w:rPr>
        <w:t>://www.ema.europa.eu</w:t>
      </w:r>
      <w:ins w:id="16570" w:author="AbbVie2" w:date="2025-05-14T10:32:00Z">
        <w:r w:rsidR="00F558D8">
          <w:rPr>
            <w:sz w:val="22"/>
            <w:szCs w:val="22"/>
          </w:rPr>
          <w:fldChar w:fldCharType="end"/>
        </w:r>
      </w:ins>
      <w:r w:rsidRPr="003167C2">
        <w:rPr>
          <w:color w:val="0000FF"/>
          <w:sz w:val="22"/>
          <w:szCs w:val="22"/>
        </w:rPr>
        <w:t xml:space="preserve"> </w:t>
      </w:r>
    </w:p>
    <w:p w14:paraId="4BDFC958" w14:textId="77777777" w:rsidR="008D13F4" w:rsidRPr="00DD143A" w:rsidRDefault="008D13F4" w:rsidP="008D13F4">
      <w:pPr>
        <w:numPr>
          <w:ilvl w:val="12"/>
          <w:numId w:val="0"/>
        </w:numPr>
        <w:ind w:right="-2"/>
        <w:rPr>
          <w:noProof/>
          <w:szCs w:val="22"/>
        </w:rPr>
      </w:pPr>
    </w:p>
    <w:p w14:paraId="633C250F" w14:textId="77777777" w:rsidR="008D13F4" w:rsidRPr="008912CF" w:rsidRDefault="00615769" w:rsidP="008D13F4">
      <w:pPr>
        <w:ind w:right="-2"/>
        <w:rPr>
          <w:color w:val="0000FF"/>
          <w:sz w:val="22"/>
          <w:szCs w:val="22"/>
        </w:rPr>
      </w:pPr>
      <w:r w:rsidRPr="004D4741">
        <w:rPr>
          <w:b/>
          <w:noProof/>
          <w:sz w:val="22"/>
          <w:szCs w:val="22"/>
        </w:rPr>
        <w:t xml:space="preserve">Para ouvir ou solicitar uma cópia deste folheto em </w:t>
      </w:r>
      <w:r w:rsidRPr="004D4741">
        <w:rPr>
          <w:b/>
          <w:noProof/>
          <w:sz w:val="22"/>
          <w:szCs w:val="22"/>
          <w:highlight w:val="lightGray"/>
        </w:rPr>
        <w:t>&lt;Braille&gt;, &lt;caracteres grandes&gt; ou &lt;áudio&gt;</w:t>
      </w:r>
      <w:r w:rsidRPr="004D4741">
        <w:rPr>
          <w:b/>
          <w:noProof/>
          <w:sz w:val="22"/>
          <w:szCs w:val="22"/>
        </w:rPr>
        <w:t>, por favor contacte o representante local do Titular da Autorização de Introdução no Mercado.</w:t>
      </w:r>
    </w:p>
    <w:p w14:paraId="1566A677" w14:textId="77777777" w:rsidR="008D13F4" w:rsidRDefault="008D13F4" w:rsidP="008D13F4">
      <w:pPr>
        <w:rPr>
          <w:sz w:val="22"/>
          <w:szCs w:val="22"/>
        </w:rPr>
      </w:pPr>
    </w:p>
    <w:p w14:paraId="1E0CD9EE" w14:textId="77777777" w:rsidR="008D13F4" w:rsidRPr="004F0FBC" w:rsidRDefault="008D13F4" w:rsidP="008D13F4">
      <w:pPr>
        <w:rPr>
          <w:sz w:val="22"/>
          <w:szCs w:val="22"/>
        </w:rPr>
      </w:pPr>
    </w:p>
    <w:p w14:paraId="6E1149DD" w14:textId="77777777" w:rsidR="008D13F4" w:rsidRPr="006462E3" w:rsidRDefault="00615769" w:rsidP="008D13F4">
      <w:pPr>
        <w:keepNext/>
        <w:ind w:right="-2"/>
        <w:rPr>
          <w:b/>
          <w:sz w:val="22"/>
          <w:szCs w:val="22"/>
        </w:rPr>
      </w:pPr>
      <w:r w:rsidRPr="006462E3">
        <w:rPr>
          <w:b/>
          <w:sz w:val="22"/>
          <w:szCs w:val="22"/>
        </w:rPr>
        <w:t>7.</w:t>
      </w:r>
      <w:r w:rsidRPr="006462E3">
        <w:rPr>
          <w:b/>
          <w:sz w:val="22"/>
          <w:szCs w:val="22"/>
        </w:rPr>
        <w:tab/>
      </w:r>
      <w:r w:rsidR="006057F6">
        <w:rPr>
          <w:b/>
          <w:sz w:val="22"/>
          <w:szCs w:val="22"/>
        </w:rPr>
        <w:t>Injetar Humira</w:t>
      </w:r>
    </w:p>
    <w:p w14:paraId="284B8B4A" w14:textId="77777777" w:rsidR="008D13F4" w:rsidRPr="009A05BE" w:rsidRDefault="008D13F4" w:rsidP="008D13F4">
      <w:pPr>
        <w:keepNext/>
        <w:ind w:right="-2"/>
        <w:rPr>
          <w:sz w:val="22"/>
          <w:szCs w:val="22"/>
        </w:rPr>
      </w:pPr>
    </w:p>
    <w:p w14:paraId="752B4DDA" w14:textId="77777777" w:rsidR="008D13F4" w:rsidRPr="00D33370" w:rsidRDefault="00615769" w:rsidP="008D13F4">
      <w:pPr>
        <w:keepNext/>
        <w:numPr>
          <w:ilvl w:val="0"/>
          <w:numId w:val="89"/>
        </w:numPr>
        <w:tabs>
          <w:tab w:val="clear" w:pos="720"/>
        </w:tabs>
        <w:suppressAutoHyphens/>
        <w:ind w:left="567" w:hanging="567"/>
        <w:rPr>
          <w:sz w:val="22"/>
        </w:rPr>
      </w:pPr>
      <w:r w:rsidRPr="00854C93">
        <w:rPr>
          <w:sz w:val="22"/>
        </w:rPr>
        <w:t>As instruções a seguir indicadas explicam como se autoin</w:t>
      </w:r>
      <w:r w:rsidRPr="0089156B">
        <w:rPr>
          <w:sz w:val="22"/>
        </w:rPr>
        <w:t>jetar</w:t>
      </w:r>
      <w:r w:rsidRPr="000B3FE3">
        <w:rPr>
          <w:sz w:val="22"/>
        </w:rPr>
        <w:t xml:space="preserve">, </w:t>
      </w:r>
      <w:r>
        <w:rPr>
          <w:sz w:val="22"/>
        </w:rPr>
        <w:t xml:space="preserve">por via subcutânea, </w:t>
      </w:r>
      <w:r w:rsidRPr="000B3FE3">
        <w:rPr>
          <w:sz w:val="22"/>
        </w:rPr>
        <w:t xml:space="preserve">utilizando Humira em </w:t>
      </w:r>
      <w:r>
        <w:rPr>
          <w:sz w:val="22"/>
        </w:rPr>
        <w:t>seringa</w:t>
      </w:r>
      <w:r w:rsidRPr="000B3FE3">
        <w:rPr>
          <w:sz w:val="22"/>
        </w:rPr>
        <w:t xml:space="preserve"> pré-cheia.</w:t>
      </w:r>
      <w:r w:rsidRPr="004931CE">
        <w:rPr>
          <w:sz w:val="22"/>
        </w:rPr>
        <w:t xml:space="preserve"> </w:t>
      </w:r>
      <w:r w:rsidRPr="00653128">
        <w:rPr>
          <w:sz w:val="22"/>
        </w:rPr>
        <w:t>Leia atentamente as instruções e siga-as passo a passo.</w:t>
      </w:r>
      <w:r w:rsidRPr="00D33370">
        <w:rPr>
          <w:sz w:val="22"/>
        </w:rPr>
        <w:t xml:space="preserve"> </w:t>
      </w:r>
    </w:p>
    <w:p w14:paraId="19569856" w14:textId="77777777" w:rsidR="008D13F4" w:rsidRPr="002D4DE5" w:rsidRDefault="008D13F4" w:rsidP="008D13F4">
      <w:pPr>
        <w:keepNext/>
        <w:tabs>
          <w:tab w:val="num" w:pos="567"/>
        </w:tabs>
        <w:suppressAutoHyphens/>
        <w:ind w:left="720" w:hanging="567"/>
        <w:rPr>
          <w:sz w:val="22"/>
        </w:rPr>
      </w:pPr>
    </w:p>
    <w:p w14:paraId="2A1EE3B3" w14:textId="77777777" w:rsidR="008D13F4" w:rsidRPr="005F6F98" w:rsidRDefault="00615769" w:rsidP="008D13F4">
      <w:pPr>
        <w:keepNext/>
        <w:numPr>
          <w:ilvl w:val="0"/>
          <w:numId w:val="89"/>
        </w:numPr>
        <w:tabs>
          <w:tab w:val="clear" w:pos="720"/>
        </w:tabs>
        <w:suppressAutoHyphens/>
        <w:ind w:left="567" w:hanging="567"/>
        <w:rPr>
          <w:sz w:val="22"/>
        </w:rPr>
      </w:pPr>
      <w:r w:rsidRPr="00003560">
        <w:rPr>
          <w:sz w:val="22"/>
        </w:rPr>
        <w:t>O seu médico, enfermeiro ou farmacêutico dar-lhe-á instruç</w:t>
      </w:r>
      <w:r w:rsidRPr="005F6F98">
        <w:rPr>
          <w:sz w:val="22"/>
        </w:rPr>
        <w:t xml:space="preserve">ões sobre a técnica de autoinjeção. </w:t>
      </w:r>
    </w:p>
    <w:p w14:paraId="7E12164D" w14:textId="77777777" w:rsidR="008D13F4" w:rsidRPr="002B2441" w:rsidRDefault="008D13F4" w:rsidP="008D13F4">
      <w:pPr>
        <w:keepNext/>
        <w:tabs>
          <w:tab w:val="num" w:pos="567"/>
        </w:tabs>
        <w:suppressAutoHyphens/>
        <w:ind w:left="720" w:hanging="567"/>
        <w:rPr>
          <w:sz w:val="22"/>
        </w:rPr>
      </w:pPr>
    </w:p>
    <w:p w14:paraId="16EE84BB" w14:textId="77777777" w:rsidR="008D13F4" w:rsidRPr="008B0DDF" w:rsidRDefault="00615769" w:rsidP="008D13F4">
      <w:pPr>
        <w:keepNext/>
        <w:numPr>
          <w:ilvl w:val="0"/>
          <w:numId w:val="89"/>
        </w:numPr>
        <w:tabs>
          <w:tab w:val="clear" w:pos="720"/>
        </w:tabs>
        <w:suppressAutoHyphens/>
        <w:ind w:left="567" w:hanging="567"/>
        <w:rPr>
          <w:sz w:val="22"/>
        </w:rPr>
      </w:pPr>
      <w:r w:rsidRPr="002B2441">
        <w:rPr>
          <w:sz w:val="22"/>
        </w:rPr>
        <w:t>Não tente autoinjetar-se antes de estar certo de ter compreendido</w:t>
      </w:r>
      <w:r w:rsidRPr="00B830EC">
        <w:rPr>
          <w:sz w:val="22"/>
        </w:rPr>
        <w:t xml:space="preserve"> </w:t>
      </w:r>
      <w:r w:rsidRPr="008B0DDF">
        <w:rPr>
          <w:sz w:val="22"/>
        </w:rPr>
        <w:t xml:space="preserve">o modo de preparar e administrar a injeção. </w:t>
      </w:r>
    </w:p>
    <w:p w14:paraId="5766BE0B" w14:textId="77777777" w:rsidR="008D13F4" w:rsidRPr="008B0DDF" w:rsidRDefault="008D13F4" w:rsidP="008D13F4">
      <w:pPr>
        <w:keepNext/>
        <w:tabs>
          <w:tab w:val="num" w:pos="567"/>
        </w:tabs>
        <w:suppressAutoHyphens/>
        <w:ind w:left="720" w:hanging="567"/>
        <w:rPr>
          <w:sz w:val="22"/>
        </w:rPr>
      </w:pPr>
    </w:p>
    <w:p w14:paraId="1B958A1C" w14:textId="77777777" w:rsidR="008D13F4" w:rsidRPr="008B0DDF" w:rsidRDefault="00615769" w:rsidP="008D13F4">
      <w:pPr>
        <w:keepNext/>
        <w:numPr>
          <w:ilvl w:val="0"/>
          <w:numId w:val="89"/>
        </w:numPr>
        <w:tabs>
          <w:tab w:val="clear" w:pos="720"/>
        </w:tabs>
        <w:suppressAutoHyphens/>
        <w:ind w:left="567" w:hanging="567"/>
        <w:rPr>
          <w:sz w:val="22"/>
        </w:rPr>
      </w:pPr>
      <w:r w:rsidRPr="008B0DDF">
        <w:rPr>
          <w:sz w:val="22"/>
        </w:rPr>
        <w:t>Após treino adequado, a injeção pode ser administrada pelo doente ou por outra pessoa, por exemplo um familiar ou amigo.</w:t>
      </w:r>
    </w:p>
    <w:p w14:paraId="52E00D0B" w14:textId="77777777" w:rsidR="008D13F4" w:rsidRPr="008B0DDF" w:rsidRDefault="008D13F4" w:rsidP="008D13F4">
      <w:pPr>
        <w:keepNext/>
        <w:tabs>
          <w:tab w:val="num" w:pos="567"/>
        </w:tabs>
        <w:suppressAutoHyphens/>
        <w:ind w:left="720" w:hanging="567"/>
        <w:rPr>
          <w:sz w:val="22"/>
        </w:rPr>
      </w:pPr>
    </w:p>
    <w:p w14:paraId="786133A9" w14:textId="77777777" w:rsidR="008D13F4" w:rsidRPr="008B0DDF" w:rsidRDefault="00615769" w:rsidP="008D13F4">
      <w:pPr>
        <w:keepNext/>
        <w:numPr>
          <w:ilvl w:val="0"/>
          <w:numId w:val="89"/>
        </w:numPr>
        <w:tabs>
          <w:tab w:val="clear" w:pos="720"/>
        </w:tabs>
        <w:suppressAutoHyphens/>
        <w:ind w:left="567" w:hanging="567"/>
        <w:rPr>
          <w:sz w:val="22"/>
          <w:szCs w:val="20"/>
        </w:rPr>
      </w:pPr>
      <w:r w:rsidRPr="008B0DDF">
        <w:rPr>
          <w:sz w:val="22"/>
          <w:szCs w:val="20"/>
        </w:rPr>
        <w:t xml:space="preserve">Use só uma </w:t>
      </w:r>
      <w:r>
        <w:rPr>
          <w:sz w:val="22"/>
          <w:szCs w:val="20"/>
        </w:rPr>
        <w:t>seringa</w:t>
      </w:r>
      <w:r w:rsidRPr="008B0DDF">
        <w:rPr>
          <w:sz w:val="22"/>
          <w:szCs w:val="20"/>
        </w:rPr>
        <w:t xml:space="preserve"> pré-cheia por injeção.</w:t>
      </w:r>
    </w:p>
    <w:p w14:paraId="4407E456" w14:textId="77777777" w:rsidR="008D13F4" w:rsidRDefault="008D13F4" w:rsidP="008D13F4">
      <w:pPr>
        <w:rPr>
          <w:sz w:val="22"/>
          <w:szCs w:val="22"/>
        </w:rPr>
      </w:pPr>
    </w:p>
    <w:p w14:paraId="7DCFA083" w14:textId="77777777" w:rsidR="008D13F4" w:rsidRPr="00EC0461" w:rsidRDefault="00615769" w:rsidP="00EC0461">
      <w:pPr>
        <w:tabs>
          <w:tab w:val="left" w:pos="562"/>
        </w:tabs>
        <w:suppressAutoHyphens/>
        <w:rPr>
          <w:sz w:val="22"/>
          <w:szCs w:val="20"/>
        </w:rPr>
      </w:pPr>
      <w:r>
        <w:rPr>
          <w:b/>
          <w:sz w:val="22"/>
          <w:szCs w:val="20"/>
        </w:rPr>
        <w:t>Seringa</w:t>
      </w:r>
      <w:r w:rsidRPr="008B0DDF">
        <w:rPr>
          <w:b/>
          <w:sz w:val="22"/>
          <w:szCs w:val="20"/>
        </w:rPr>
        <w:t xml:space="preserve"> Pré-cheia de Humira</w:t>
      </w:r>
    </w:p>
    <w:p w14:paraId="214DC9A9" w14:textId="77777777" w:rsidR="008D13F4" w:rsidRPr="00EC0461" w:rsidRDefault="008D13F4" w:rsidP="00EC0461">
      <w:pPr>
        <w:tabs>
          <w:tab w:val="left" w:pos="562"/>
        </w:tabs>
        <w:suppressAutoHyphens/>
        <w:rPr>
          <w:sz w:val="22"/>
          <w:szCs w:val="20"/>
        </w:rPr>
      </w:pPr>
    </w:p>
    <w:p w14:paraId="403E2CD7" w14:textId="77777777" w:rsidR="008D13F4" w:rsidRPr="00EC0461" w:rsidRDefault="00615769" w:rsidP="00EC0461">
      <w:pPr>
        <w:tabs>
          <w:tab w:val="left" w:pos="562"/>
        </w:tabs>
        <w:suppressAutoHyphens/>
        <w:rPr>
          <w:sz w:val="22"/>
          <w:szCs w:val="20"/>
        </w:rPr>
      </w:pPr>
      <w:r w:rsidRPr="008B0DDF">
        <w:rPr>
          <w:b/>
          <w:sz w:val="22"/>
          <w:szCs w:val="20"/>
        </w:rPr>
        <w:t xml:space="preserve">   </w:t>
      </w:r>
      <w:r w:rsidRPr="00854C93">
        <w:rPr>
          <w:b/>
          <w:sz w:val="22"/>
          <w:szCs w:val="20"/>
        </w:rPr>
        <w:t xml:space="preserve">     </w:t>
      </w:r>
      <w:r>
        <w:rPr>
          <w:b/>
          <w:sz w:val="22"/>
          <w:szCs w:val="20"/>
        </w:rPr>
        <w:tab/>
      </w:r>
      <w:r>
        <w:rPr>
          <w:b/>
          <w:sz w:val="22"/>
          <w:szCs w:val="20"/>
        </w:rPr>
        <w:tab/>
      </w:r>
      <w:r>
        <w:rPr>
          <w:b/>
          <w:sz w:val="22"/>
          <w:szCs w:val="20"/>
        </w:rPr>
        <w:tab/>
      </w:r>
      <w:r w:rsidR="00C66F34">
        <w:rPr>
          <w:b/>
          <w:sz w:val="22"/>
          <w:szCs w:val="20"/>
        </w:rPr>
        <w:t xml:space="preserve">        </w:t>
      </w:r>
      <w:r>
        <w:rPr>
          <w:b/>
          <w:sz w:val="22"/>
          <w:szCs w:val="20"/>
        </w:rPr>
        <w:t>Êmbolo</w:t>
      </w:r>
      <w:r>
        <w:rPr>
          <w:b/>
          <w:sz w:val="22"/>
          <w:szCs w:val="20"/>
        </w:rPr>
        <w:tab/>
      </w:r>
      <w:r>
        <w:rPr>
          <w:b/>
          <w:sz w:val="22"/>
          <w:szCs w:val="20"/>
        </w:rPr>
        <w:tab/>
      </w:r>
      <w:r w:rsidR="00413323">
        <w:rPr>
          <w:b/>
          <w:sz w:val="22"/>
          <w:szCs w:val="20"/>
        </w:rPr>
        <w:t xml:space="preserve">   </w:t>
      </w:r>
      <w:r>
        <w:rPr>
          <w:b/>
          <w:sz w:val="22"/>
          <w:szCs w:val="20"/>
        </w:rPr>
        <w:t>Apoio dos dedos</w:t>
      </w:r>
      <w:r>
        <w:rPr>
          <w:b/>
          <w:sz w:val="22"/>
          <w:szCs w:val="20"/>
        </w:rPr>
        <w:tab/>
      </w:r>
      <w:r w:rsidR="00413323">
        <w:rPr>
          <w:b/>
          <w:sz w:val="22"/>
          <w:szCs w:val="20"/>
        </w:rPr>
        <w:t xml:space="preserve">    </w:t>
      </w:r>
      <w:r>
        <w:rPr>
          <w:b/>
          <w:sz w:val="22"/>
          <w:szCs w:val="20"/>
        </w:rPr>
        <w:t>Tampa da agulha</w:t>
      </w:r>
    </w:p>
    <w:p w14:paraId="2C4B02C8" w14:textId="77777777" w:rsidR="00AF237A" w:rsidRDefault="00615769" w:rsidP="00EC0461">
      <w:pPr>
        <w:tabs>
          <w:tab w:val="left" w:pos="562"/>
        </w:tabs>
        <w:suppressAutoHyphens/>
        <w:ind w:left="1985"/>
        <w:rPr>
          <w:b/>
          <w:sz w:val="22"/>
          <w:szCs w:val="20"/>
        </w:rPr>
      </w:pPr>
      <w:r>
        <w:rPr>
          <w:noProof/>
          <w:lang w:val="en-GB" w:eastAsia="en-GB"/>
        </w:rPr>
        <w:drawing>
          <wp:inline distT="0" distB="0" distL="0" distR="0" wp14:anchorId="467EFAA1" wp14:editId="1061C271">
            <wp:extent cx="3364992" cy="1478124"/>
            <wp:effectExtent l="0" t="0" r="6985" b="825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Humira_Exploded_Syringe_Only_new grey.jpg"/>
                    <pic:cNvPicPr/>
                  </pic:nvPicPr>
                  <pic:blipFill>
                    <a:blip r:embed="rId23">
                      <a:extLst>
                        <a:ext uri="{28A0092B-C50C-407E-A947-70E740481C1C}">
                          <a14:useLocalDpi xmlns:a14="http://schemas.microsoft.com/office/drawing/2010/main" val="0"/>
                        </a:ext>
                      </a:extLst>
                    </a:blip>
                    <a:stretch>
                      <a:fillRect/>
                    </a:stretch>
                  </pic:blipFill>
                  <pic:spPr>
                    <a:xfrm>
                      <a:off x="0" y="0"/>
                      <a:ext cx="3364992" cy="1478124"/>
                    </a:xfrm>
                    <a:prstGeom prst="rect">
                      <a:avLst/>
                    </a:prstGeom>
                  </pic:spPr>
                </pic:pic>
              </a:graphicData>
            </a:graphic>
          </wp:inline>
        </w:drawing>
      </w:r>
    </w:p>
    <w:p w14:paraId="54B681DB" w14:textId="77777777" w:rsidR="00AF237A" w:rsidRDefault="00AF237A" w:rsidP="00EC0461">
      <w:pPr>
        <w:tabs>
          <w:tab w:val="left" w:pos="562"/>
        </w:tabs>
        <w:suppressAutoHyphens/>
        <w:ind w:left="1985"/>
        <w:rPr>
          <w:b/>
          <w:sz w:val="22"/>
          <w:szCs w:val="20"/>
        </w:rPr>
      </w:pPr>
    </w:p>
    <w:p w14:paraId="78A0882B" w14:textId="77777777" w:rsidR="008D13F4" w:rsidRPr="00EC0461" w:rsidRDefault="00615769" w:rsidP="008D13F4">
      <w:pPr>
        <w:keepNext/>
        <w:tabs>
          <w:tab w:val="left" w:pos="562"/>
        </w:tabs>
        <w:suppressAutoHyphens/>
        <w:rPr>
          <w:sz w:val="22"/>
          <w:szCs w:val="20"/>
        </w:rPr>
      </w:pPr>
      <w:r w:rsidRPr="000B3FE3">
        <w:rPr>
          <w:b/>
          <w:sz w:val="22"/>
          <w:szCs w:val="20"/>
        </w:rPr>
        <w:t xml:space="preserve">Não use a </w:t>
      </w:r>
      <w:r>
        <w:rPr>
          <w:b/>
          <w:sz w:val="22"/>
          <w:szCs w:val="20"/>
        </w:rPr>
        <w:t xml:space="preserve">seringa </w:t>
      </w:r>
      <w:r w:rsidRPr="000B3FE3">
        <w:rPr>
          <w:b/>
          <w:sz w:val="22"/>
          <w:szCs w:val="20"/>
        </w:rPr>
        <w:t xml:space="preserve">pré-cheia e fale com o seu médico ou farmacêutico </w:t>
      </w:r>
      <w:r w:rsidRPr="004931CE">
        <w:rPr>
          <w:b/>
          <w:sz w:val="22"/>
          <w:szCs w:val="20"/>
        </w:rPr>
        <w:t>se</w:t>
      </w:r>
    </w:p>
    <w:p w14:paraId="4194E31D" w14:textId="77777777" w:rsidR="008D13F4" w:rsidRPr="00DD143A" w:rsidRDefault="008D13F4" w:rsidP="008D13F4">
      <w:pPr>
        <w:keepNext/>
        <w:tabs>
          <w:tab w:val="left" w:pos="562"/>
        </w:tabs>
        <w:suppressAutoHyphens/>
        <w:rPr>
          <w:sz w:val="22"/>
          <w:szCs w:val="20"/>
        </w:rPr>
      </w:pPr>
    </w:p>
    <w:p w14:paraId="07D9B55E" w14:textId="77777777" w:rsidR="008D13F4" w:rsidRPr="005F6F98" w:rsidRDefault="00615769" w:rsidP="008D13F4">
      <w:pPr>
        <w:keepNext/>
        <w:numPr>
          <w:ilvl w:val="0"/>
          <w:numId w:val="90"/>
        </w:numPr>
        <w:suppressAutoHyphens/>
        <w:ind w:left="567" w:hanging="567"/>
        <w:rPr>
          <w:sz w:val="22"/>
          <w:szCs w:val="20"/>
        </w:rPr>
      </w:pPr>
      <w:r w:rsidRPr="00D33370">
        <w:rPr>
          <w:sz w:val="22"/>
          <w:szCs w:val="20"/>
        </w:rPr>
        <w:t>o</w:t>
      </w:r>
      <w:r w:rsidRPr="002D4DE5">
        <w:rPr>
          <w:sz w:val="22"/>
          <w:szCs w:val="20"/>
        </w:rPr>
        <w:t xml:space="preserve"> líquido está turvo, descorado</w:t>
      </w:r>
      <w:r w:rsidRPr="00003560">
        <w:rPr>
          <w:sz w:val="22"/>
          <w:szCs w:val="20"/>
        </w:rPr>
        <w:t>, o</w:t>
      </w:r>
      <w:r w:rsidRPr="005F6F98">
        <w:rPr>
          <w:sz w:val="22"/>
          <w:szCs w:val="20"/>
        </w:rPr>
        <w:t>u com flocos ou partículas em suspensão</w:t>
      </w:r>
    </w:p>
    <w:p w14:paraId="460F84DB" w14:textId="77777777" w:rsidR="008D13F4" w:rsidRPr="008B0DDF" w:rsidRDefault="00615769" w:rsidP="008D13F4">
      <w:pPr>
        <w:keepNext/>
        <w:numPr>
          <w:ilvl w:val="0"/>
          <w:numId w:val="90"/>
        </w:numPr>
        <w:suppressAutoHyphens/>
        <w:ind w:left="567" w:hanging="567"/>
        <w:rPr>
          <w:sz w:val="22"/>
          <w:szCs w:val="20"/>
        </w:rPr>
      </w:pPr>
      <w:r w:rsidRPr="002B2441">
        <w:rPr>
          <w:sz w:val="22"/>
          <w:szCs w:val="20"/>
        </w:rPr>
        <w:t>prazo de validade (</w:t>
      </w:r>
      <w:r>
        <w:rPr>
          <w:sz w:val="22"/>
          <w:szCs w:val="20"/>
        </w:rPr>
        <w:t>EXP</w:t>
      </w:r>
      <w:r w:rsidRPr="002B2441">
        <w:rPr>
          <w:sz w:val="22"/>
          <w:szCs w:val="20"/>
        </w:rPr>
        <w:t xml:space="preserve">) </w:t>
      </w:r>
      <w:r w:rsidRPr="00B830EC">
        <w:rPr>
          <w:sz w:val="22"/>
          <w:szCs w:val="20"/>
        </w:rPr>
        <w:t xml:space="preserve">foi </w:t>
      </w:r>
      <w:r w:rsidRPr="008B0DDF">
        <w:rPr>
          <w:sz w:val="22"/>
          <w:szCs w:val="20"/>
        </w:rPr>
        <w:t xml:space="preserve">ultrapassado </w:t>
      </w:r>
    </w:p>
    <w:p w14:paraId="5C6897C1" w14:textId="77777777" w:rsidR="008D13F4" w:rsidRPr="008B0DDF" w:rsidRDefault="00615769" w:rsidP="008D13F4">
      <w:pPr>
        <w:keepNext/>
        <w:numPr>
          <w:ilvl w:val="0"/>
          <w:numId w:val="90"/>
        </w:numPr>
        <w:suppressAutoHyphens/>
        <w:ind w:left="567" w:hanging="567"/>
        <w:rPr>
          <w:sz w:val="22"/>
          <w:szCs w:val="20"/>
        </w:rPr>
      </w:pPr>
      <w:r w:rsidRPr="008B0DDF">
        <w:rPr>
          <w:sz w:val="22"/>
          <w:szCs w:val="20"/>
        </w:rPr>
        <w:t>o líquido estiver congelado ou se foi deixado à luz direta do sol</w:t>
      </w:r>
    </w:p>
    <w:p w14:paraId="3392AAEB" w14:textId="77777777" w:rsidR="008D13F4" w:rsidRPr="008B0DDF" w:rsidRDefault="00615769" w:rsidP="008D13F4">
      <w:pPr>
        <w:keepNext/>
        <w:numPr>
          <w:ilvl w:val="0"/>
          <w:numId w:val="90"/>
        </w:numPr>
        <w:suppressAutoHyphens/>
        <w:ind w:left="567" w:hanging="567"/>
        <w:rPr>
          <w:sz w:val="22"/>
          <w:szCs w:val="20"/>
        </w:rPr>
      </w:pPr>
      <w:r w:rsidRPr="008B0DDF">
        <w:rPr>
          <w:sz w:val="22"/>
          <w:szCs w:val="20"/>
        </w:rPr>
        <w:t xml:space="preserve">a </w:t>
      </w:r>
      <w:r>
        <w:rPr>
          <w:sz w:val="22"/>
          <w:szCs w:val="20"/>
        </w:rPr>
        <w:t>seringa</w:t>
      </w:r>
      <w:r w:rsidRPr="008B0DDF">
        <w:rPr>
          <w:sz w:val="22"/>
          <w:szCs w:val="20"/>
        </w:rPr>
        <w:t xml:space="preserve"> pré-cheia </w:t>
      </w:r>
      <w:r w:rsidR="002E4828">
        <w:rPr>
          <w:sz w:val="22"/>
          <w:szCs w:val="20"/>
        </w:rPr>
        <w:t>tiver caído</w:t>
      </w:r>
      <w:r w:rsidR="002E4828" w:rsidRPr="008B0DDF">
        <w:rPr>
          <w:sz w:val="22"/>
          <w:szCs w:val="20"/>
        </w:rPr>
        <w:t xml:space="preserve"> </w:t>
      </w:r>
      <w:r w:rsidRPr="008B0DDF">
        <w:rPr>
          <w:sz w:val="22"/>
          <w:szCs w:val="20"/>
        </w:rPr>
        <w:t>ou estiver danificada</w:t>
      </w:r>
    </w:p>
    <w:p w14:paraId="1CB3D11D" w14:textId="77777777" w:rsidR="008D13F4" w:rsidRPr="008B0DDF" w:rsidRDefault="008D13F4" w:rsidP="008D13F4">
      <w:pPr>
        <w:tabs>
          <w:tab w:val="left" w:pos="562"/>
        </w:tabs>
        <w:suppressAutoHyphens/>
        <w:rPr>
          <w:sz w:val="22"/>
          <w:szCs w:val="20"/>
        </w:rPr>
      </w:pPr>
    </w:p>
    <w:p w14:paraId="396A13E9" w14:textId="77777777" w:rsidR="00816FFE" w:rsidRPr="00EC0461" w:rsidRDefault="00615769" w:rsidP="008D13F4">
      <w:pPr>
        <w:keepNext/>
        <w:tabs>
          <w:tab w:val="left" w:pos="0"/>
        </w:tabs>
        <w:suppressAutoHyphens/>
        <w:rPr>
          <w:sz w:val="22"/>
          <w:szCs w:val="20"/>
        </w:rPr>
      </w:pPr>
      <w:r>
        <w:rPr>
          <w:b/>
          <w:sz w:val="22"/>
          <w:szCs w:val="20"/>
        </w:rPr>
        <w:t>Retire só a</w:t>
      </w:r>
      <w:r w:rsidRPr="008B0DDF">
        <w:rPr>
          <w:b/>
          <w:sz w:val="22"/>
          <w:szCs w:val="20"/>
        </w:rPr>
        <w:t xml:space="preserve"> tampa</w:t>
      </w:r>
      <w:r>
        <w:rPr>
          <w:b/>
          <w:sz w:val="22"/>
          <w:szCs w:val="20"/>
        </w:rPr>
        <w:t xml:space="preserve"> </w:t>
      </w:r>
      <w:r w:rsidR="00EC0461">
        <w:rPr>
          <w:b/>
          <w:sz w:val="22"/>
          <w:szCs w:val="20"/>
        </w:rPr>
        <w:t>imediatamente antes da injeção.</w:t>
      </w:r>
    </w:p>
    <w:p w14:paraId="358AAB56" w14:textId="77777777" w:rsidR="008D13F4" w:rsidRPr="00EC0461" w:rsidRDefault="00615769" w:rsidP="008D13F4">
      <w:pPr>
        <w:keepNext/>
        <w:tabs>
          <w:tab w:val="left" w:pos="0"/>
        </w:tabs>
        <w:suppressAutoHyphens/>
        <w:rPr>
          <w:sz w:val="22"/>
          <w:szCs w:val="20"/>
        </w:rPr>
      </w:pPr>
      <w:r w:rsidRPr="008B0DDF">
        <w:rPr>
          <w:b/>
          <w:sz w:val="22"/>
          <w:szCs w:val="20"/>
        </w:rPr>
        <w:t xml:space="preserve">Manter </w:t>
      </w:r>
      <w:r>
        <w:rPr>
          <w:b/>
          <w:sz w:val="22"/>
          <w:szCs w:val="20"/>
        </w:rPr>
        <w:t xml:space="preserve">Humira </w:t>
      </w:r>
      <w:r w:rsidRPr="008B0DDF">
        <w:rPr>
          <w:b/>
          <w:sz w:val="22"/>
          <w:szCs w:val="20"/>
        </w:rPr>
        <w:t>fora da vista e do alcance das crianças.</w:t>
      </w:r>
    </w:p>
    <w:p w14:paraId="23DBC5FB" w14:textId="77777777" w:rsidR="008D13F4" w:rsidRPr="008B0DDF" w:rsidRDefault="008D13F4" w:rsidP="008D13F4">
      <w:pPr>
        <w:tabs>
          <w:tab w:val="left" w:pos="562"/>
        </w:tabs>
        <w:suppressAutoHyphens/>
        <w:rPr>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A7162A" w14:paraId="1DF5BF00" w14:textId="77777777" w:rsidTr="0074724A">
        <w:tc>
          <w:tcPr>
            <w:tcW w:w="9287" w:type="dxa"/>
            <w:gridSpan w:val="2"/>
            <w:tcBorders>
              <w:bottom w:val="single" w:sz="4" w:space="0" w:color="auto"/>
            </w:tcBorders>
          </w:tcPr>
          <w:p w14:paraId="4146E974" w14:textId="77777777" w:rsidR="008D13F4" w:rsidRPr="00EC0461" w:rsidRDefault="00615769" w:rsidP="0074724A">
            <w:pPr>
              <w:tabs>
                <w:tab w:val="left" w:pos="562"/>
              </w:tabs>
              <w:suppressAutoHyphens/>
              <w:rPr>
                <w:sz w:val="22"/>
                <w:szCs w:val="20"/>
              </w:rPr>
            </w:pPr>
            <w:r w:rsidRPr="008B0DDF">
              <w:rPr>
                <w:b/>
                <w:sz w:val="22"/>
                <w:szCs w:val="20"/>
              </w:rPr>
              <w:t>PASSO 1</w:t>
            </w:r>
          </w:p>
          <w:p w14:paraId="5876D49E" w14:textId="77777777" w:rsidR="008D13F4" w:rsidRPr="00EC0461" w:rsidRDefault="008D13F4" w:rsidP="0074724A">
            <w:pPr>
              <w:tabs>
                <w:tab w:val="left" w:pos="562"/>
              </w:tabs>
              <w:suppressAutoHyphens/>
              <w:rPr>
                <w:sz w:val="22"/>
                <w:szCs w:val="20"/>
              </w:rPr>
            </w:pPr>
          </w:p>
          <w:p w14:paraId="61C78431" w14:textId="77777777" w:rsidR="008D13F4" w:rsidRPr="008B0DDF" w:rsidRDefault="00615769" w:rsidP="0074724A">
            <w:pPr>
              <w:tabs>
                <w:tab w:val="left" w:pos="562"/>
              </w:tabs>
              <w:suppressAutoHyphens/>
              <w:rPr>
                <w:sz w:val="22"/>
                <w:szCs w:val="20"/>
              </w:rPr>
            </w:pPr>
            <w:r w:rsidRPr="008B0DDF">
              <w:rPr>
                <w:sz w:val="22"/>
                <w:szCs w:val="20"/>
              </w:rPr>
              <w:t>Retire Humira do frigorífico.</w:t>
            </w:r>
          </w:p>
          <w:p w14:paraId="3E2740FD" w14:textId="77777777" w:rsidR="008D13F4" w:rsidRPr="008B0DDF" w:rsidRDefault="008D13F4" w:rsidP="0074724A">
            <w:pPr>
              <w:tabs>
                <w:tab w:val="left" w:pos="562"/>
              </w:tabs>
              <w:suppressAutoHyphens/>
              <w:rPr>
                <w:sz w:val="22"/>
                <w:szCs w:val="20"/>
              </w:rPr>
            </w:pPr>
          </w:p>
          <w:p w14:paraId="02F5070D" w14:textId="77777777" w:rsidR="008D13F4" w:rsidRPr="008B0DDF" w:rsidRDefault="00615769" w:rsidP="0074724A">
            <w:pPr>
              <w:tabs>
                <w:tab w:val="left" w:pos="562"/>
              </w:tabs>
              <w:suppressAutoHyphens/>
              <w:rPr>
                <w:sz w:val="22"/>
                <w:szCs w:val="20"/>
              </w:rPr>
            </w:pPr>
            <w:r w:rsidRPr="008B0DDF">
              <w:rPr>
                <w:sz w:val="22"/>
                <w:szCs w:val="20"/>
              </w:rPr>
              <w:t xml:space="preserve">Deixe Humira à temperatura ambiente durante </w:t>
            </w:r>
            <w:r w:rsidRPr="008B0DDF">
              <w:rPr>
                <w:b/>
                <w:sz w:val="22"/>
                <w:szCs w:val="20"/>
              </w:rPr>
              <w:t xml:space="preserve">15 a 30 minutos </w:t>
            </w:r>
            <w:r w:rsidRPr="008B0DDF">
              <w:rPr>
                <w:sz w:val="22"/>
                <w:szCs w:val="20"/>
              </w:rPr>
              <w:t>antes de administrar a injeção.</w:t>
            </w:r>
          </w:p>
          <w:p w14:paraId="0D1C28BC" w14:textId="77777777" w:rsidR="008D13F4" w:rsidRPr="008B0DDF" w:rsidRDefault="008D13F4" w:rsidP="0074724A">
            <w:pPr>
              <w:tabs>
                <w:tab w:val="left" w:pos="562"/>
              </w:tabs>
              <w:suppressAutoHyphens/>
              <w:rPr>
                <w:sz w:val="22"/>
                <w:szCs w:val="20"/>
              </w:rPr>
            </w:pPr>
          </w:p>
          <w:p w14:paraId="0C5371D2" w14:textId="77777777" w:rsidR="008D13F4" w:rsidRPr="008B0DDF" w:rsidRDefault="00615769" w:rsidP="0074724A">
            <w:pPr>
              <w:numPr>
                <w:ilvl w:val="0"/>
                <w:numId w:val="91"/>
              </w:numPr>
              <w:suppressAutoHyphens/>
              <w:ind w:left="567" w:hanging="567"/>
              <w:rPr>
                <w:sz w:val="22"/>
                <w:szCs w:val="20"/>
              </w:rPr>
            </w:pPr>
            <w:r w:rsidRPr="008B0DDF">
              <w:rPr>
                <w:b/>
                <w:sz w:val="22"/>
                <w:szCs w:val="20"/>
              </w:rPr>
              <w:t>Não</w:t>
            </w:r>
            <w:r w:rsidRPr="008B0DDF">
              <w:rPr>
                <w:sz w:val="22"/>
                <w:szCs w:val="20"/>
              </w:rPr>
              <w:t xml:space="preserve"> remova a tampa</w:t>
            </w:r>
            <w:r>
              <w:rPr>
                <w:sz w:val="22"/>
                <w:szCs w:val="20"/>
              </w:rPr>
              <w:t xml:space="preserve"> a</w:t>
            </w:r>
            <w:r w:rsidRPr="008B0DDF">
              <w:rPr>
                <w:sz w:val="22"/>
                <w:szCs w:val="20"/>
              </w:rPr>
              <w:t>té que Humira alcance a temperatura ambiente</w:t>
            </w:r>
          </w:p>
          <w:p w14:paraId="78422E43" w14:textId="77777777" w:rsidR="008D13F4" w:rsidRPr="008B0DDF" w:rsidRDefault="00615769" w:rsidP="0074724A">
            <w:pPr>
              <w:numPr>
                <w:ilvl w:val="0"/>
                <w:numId w:val="91"/>
              </w:numPr>
              <w:suppressAutoHyphens/>
              <w:ind w:left="567" w:hanging="567"/>
              <w:rPr>
                <w:sz w:val="22"/>
                <w:szCs w:val="20"/>
              </w:rPr>
            </w:pPr>
            <w:r w:rsidRPr="008B0DDF">
              <w:rPr>
                <w:b/>
                <w:sz w:val="22"/>
                <w:szCs w:val="20"/>
              </w:rPr>
              <w:t xml:space="preserve">Não </w:t>
            </w:r>
            <w:r w:rsidRPr="008B0DDF">
              <w:rPr>
                <w:sz w:val="22"/>
                <w:szCs w:val="20"/>
              </w:rPr>
              <w:t xml:space="preserve">aqueça Humira de nenhuma outra forma. Por exemplo, </w:t>
            </w:r>
            <w:r w:rsidRPr="006B7CB4">
              <w:rPr>
                <w:b/>
                <w:sz w:val="22"/>
                <w:szCs w:val="20"/>
              </w:rPr>
              <w:t>não</w:t>
            </w:r>
            <w:r w:rsidRPr="008B0DDF">
              <w:rPr>
                <w:sz w:val="22"/>
                <w:szCs w:val="20"/>
              </w:rPr>
              <w:t xml:space="preserve"> use micro</w:t>
            </w:r>
            <w:r w:rsidR="00750C9C">
              <w:rPr>
                <w:sz w:val="22"/>
                <w:szCs w:val="20"/>
              </w:rPr>
              <w:t>-</w:t>
            </w:r>
            <w:r w:rsidRPr="008B0DDF">
              <w:rPr>
                <w:sz w:val="22"/>
                <w:szCs w:val="20"/>
              </w:rPr>
              <w:t>ondas ou água quente</w:t>
            </w:r>
          </w:p>
        </w:tc>
      </w:tr>
      <w:tr w:rsidR="00A7162A" w14:paraId="127D148E" w14:textId="77777777" w:rsidTr="0074724A">
        <w:tc>
          <w:tcPr>
            <w:tcW w:w="3708" w:type="dxa"/>
            <w:tcBorders>
              <w:right w:val="nil"/>
            </w:tcBorders>
          </w:tcPr>
          <w:p w14:paraId="77AD1CEB" w14:textId="77777777" w:rsidR="008D13F4" w:rsidRPr="00EC0461" w:rsidRDefault="00615769" w:rsidP="0074724A">
            <w:pPr>
              <w:keepNext/>
              <w:tabs>
                <w:tab w:val="left" w:pos="562"/>
              </w:tabs>
              <w:suppressAutoHyphens/>
              <w:rPr>
                <w:noProof/>
                <w:sz w:val="22"/>
                <w:szCs w:val="20"/>
              </w:rPr>
            </w:pPr>
            <w:r>
              <w:rPr>
                <w:b/>
                <w:noProof/>
                <w:sz w:val="22"/>
                <w:szCs w:val="20"/>
              </w:rPr>
              <w:t>PASSO 2</w:t>
            </w:r>
          </w:p>
          <w:p w14:paraId="473B4CDF" w14:textId="77777777" w:rsidR="008D13F4" w:rsidRPr="00EC0461" w:rsidRDefault="008D13F4" w:rsidP="0074724A">
            <w:pPr>
              <w:keepNext/>
              <w:tabs>
                <w:tab w:val="left" w:pos="562"/>
              </w:tabs>
              <w:suppressAutoHyphens/>
              <w:rPr>
                <w:noProof/>
                <w:sz w:val="22"/>
                <w:szCs w:val="20"/>
              </w:rPr>
            </w:pPr>
          </w:p>
          <w:p w14:paraId="4900D742" w14:textId="77777777" w:rsidR="00AF237A" w:rsidRDefault="00615769" w:rsidP="001545C2">
            <w:pPr>
              <w:keepNext/>
              <w:tabs>
                <w:tab w:val="left" w:pos="562"/>
              </w:tabs>
              <w:suppressAutoHyphens/>
              <w:rPr>
                <w:b/>
                <w:noProof/>
                <w:sz w:val="22"/>
                <w:szCs w:val="20"/>
              </w:rPr>
            </w:pPr>
            <w:r>
              <w:rPr>
                <w:b/>
                <w:noProof/>
                <w:sz w:val="22"/>
                <w:szCs w:val="20"/>
              </w:rPr>
              <w:t xml:space="preserve">              Seringa</w:t>
            </w:r>
          </w:p>
          <w:p w14:paraId="404EED6C" w14:textId="77777777" w:rsidR="001545C2" w:rsidRDefault="00615769" w:rsidP="0074724A">
            <w:pPr>
              <w:keepNext/>
              <w:tabs>
                <w:tab w:val="left" w:pos="562"/>
              </w:tabs>
              <w:suppressAutoHyphens/>
              <w:rPr>
                <w:b/>
                <w:noProof/>
                <w:sz w:val="22"/>
                <w:szCs w:val="20"/>
              </w:rPr>
            </w:pPr>
            <w:r>
              <w:rPr>
                <w:noProof/>
                <w:szCs w:val="20"/>
                <w:lang w:val="en-GB" w:eastAsia="en-GB"/>
              </w:rPr>
              <w:drawing>
                <wp:inline distT="0" distB="0" distL="0" distR="0" wp14:anchorId="116D1543" wp14:editId="20D56543">
                  <wp:extent cx="2139696" cy="1980383"/>
                  <wp:effectExtent l="0" t="0" r="0" b="127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STEP_2_SYRINGE_IFU_SETUP_new grey.jpg"/>
                          <pic:cNvPicPr/>
                        </pic:nvPicPr>
                        <pic:blipFill>
                          <a:blip r:embed="rId24">
                            <a:extLst>
                              <a:ext uri="{28A0092B-C50C-407E-A947-70E740481C1C}">
                                <a14:useLocalDpi xmlns:a14="http://schemas.microsoft.com/office/drawing/2010/main" val="0"/>
                              </a:ext>
                            </a:extLst>
                          </a:blip>
                          <a:stretch>
                            <a:fillRect/>
                          </a:stretch>
                        </pic:blipFill>
                        <pic:spPr>
                          <a:xfrm>
                            <a:off x="0" y="0"/>
                            <a:ext cx="2139696" cy="1980383"/>
                          </a:xfrm>
                          <a:prstGeom prst="rect">
                            <a:avLst/>
                          </a:prstGeom>
                        </pic:spPr>
                      </pic:pic>
                    </a:graphicData>
                  </a:graphic>
                </wp:inline>
              </w:drawing>
            </w:r>
            <w:r w:rsidR="008D13F4" w:rsidRPr="008B0DDF">
              <w:rPr>
                <w:b/>
                <w:noProof/>
                <w:sz w:val="22"/>
                <w:szCs w:val="20"/>
              </w:rPr>
              <w:t xml:space="preserve">                </w:t>
            </w:r>
          </w:p>
          <w:p w14:paraId="2EF71809" w14:textId="77777777" w:rsidR="008D13F4" w:rsidRPr="008B0DDF" w:rsidRDefault="00615769" w:rsidP="0074724A">
            <w:pPr>
              <w:keepNext/>
              <w:tabs>
                <w:tab w:val="left" w:pos="562"/>
              </w:tabs>
              <w:suppressAutoHyphens/>
              <w:rPr>
                <w:b/>
                <w:sz w:val="22"/>
                <w:szCs w:val="20"/>
              </w:rPr>
            </w:pPr>
            <w:r>
              <w:rPr>
                <w:b/>
                <w:noProof/>
                <w:sz w:val="22"/>
                <w:szCs w:val="20"/>
              </w:rPr>
              <w:t xml:space="preserve">           </w:t>
            </w:r>
            <w:r w:rsidRPr="008B0DDF">
              <w:rPr>
                <w:b/>
                <w:noProof/>
                <w:sz w:val="22"/>
                <w:szCs w:val="20"/>
              </w:rPr>
              <w:t>Compressa</w:t>
            </w:r>
          </w:p>
        </w:tc>
        <w:tc>
          <w:tcPr>
            <w:tcW w:w="5579" w:type="dxa"/>
            <w:tcBorders>
              <w:left w:val="nil"/>
            </w:tcBorders>
          </w:tcPr>
          <w:p w14:paraId="5861D5E7" w14:textId="77777777" w:rsidR="008D13F4" w:rsidRPr="00854C93" w:rsidRDefault="00615769" w:rsidP="0074724A">
            <w:pPr>
              <w:keepNext/>
              <w:tabs>
                <w:tab w:val="left" w:pos="562"/>
              </w:tabs>
              <w:suppressAutoHyphens/>
              <w:rPr>
                <w:sz w:val="22"/>
                <w:szCs w:val="20"/>
              </w:rPr>
            </w:pPr>
            <w:r w:rsidRPr="004F0FBC">
              <w:rPr>
                <w:sz w:val="22"/>
                <w:szCs w:val="20"/>
              </w:rPr>
              <w:t>Verifique o praz</w:t>
            </w:r>
            <w:r w:rsidRPr="006462E3">
              <w:rPr>
                <w:sz w:val="22"/>
                <w:szCs w:val="20"/>
              </w:rPr>
              <w:t>o de validade (</w:t>
            </w:r>
            <w:r>
              <w:rPr>
                <w:sz w:val="22"/>
                <w:szCs w:val="20"/>
              </w:rPr>
              <w:t>EXP</w:t>
            </w:r>
            <w:r w:rsidRPr="006462E3">
              <w:rPr>
                <w:sz w:val="22"/>
                <w:szCs w:val="20"/>
              </w:rPr>
              <w:t xml:space="preserve">). </w:t>
            </w:r>
            <w:r w:rsidRPr="006462E3">
              <w:rPr>
                <w:b/>
                <w:sz w:val="22"/>
                <w:szCs w:val="20"/>
              </w:rPr>
              <w:t xml:space="preserve">Não </w:t>
            </w:r>
            <w:r w:rsidRPr="006462E3">
              <w:rPr>
                <w:sz w:val="22"/>
                <w:szCs w:val="20"/>
              </w:rPr>
              <w:t xml:space="preserve">utilize a </w:t>
            </w:r>
            <w:r>
              <w:rPr>
                <w:sz w:val="22"/>
                <w:szCs w:val="20"/>
              </w:rPr>
              <w:t xml:space="preserve">seringa </w:t>
            </w:r>
            <w:r w:rsidRPr="006462E3">
              <w:rPr>
                <w:sz w:val="22"/>
                <w:szCs w:val="20"/>
              </w:rPr>
              <w:t>pré-cheia</w:t>
            </w:r>
            <w:r w:rsidRPr="009A05BE">
              <w:rPr>
                <w:sz w:val="22"/>
                <w:szCs w:val="20"/>
              </w:rPr>
              <w:t xml:space="preserve"> se já tiver ultrapassado o prazo de validade (</w:t>
            </w:r>
            <w:r>
              <w:rPr>
                <w:sz w:val="22"/>
                <w:szCs w:val="20"/>
              </w:rPr>
              <w:t>EXP</w:t>
            </w:r>
            <w:r w:rsidRPr="009A05BE">
              <w:rPr>
                <w:sz w:val="22"/>
                <w:szCs w:val="20"/>
              </w:rPr>
              <w:t>)</w:t>
            </w:r>
            <w:r w:rsidRPr="00854C93">
              <w:rPr>
                <w:sz w:val="22"/>
                <w:szCs w:val="20"/>
              </w:rPr>
              <w:t>.</w:t>
            </w:r>
          </w:p>
          <w:p w14:paraId="3C57E772" w14:textId="77777777" w:rsidR="008D13F4" w:rsidRPr="0089156B" w:rsidRDefault="008D13F4" w:rsidP="0074724A">
            <w:pPr>
              <w:keepNext/>
              <w:tabs>
                <w:tab w:val="left" w:pos="562"/>
              </w:tabs>
              <w:suppressAutoHyphens/>
              <w:rPr>
                <w:sz w:val="22"/>
                <w:szCs w:val="20"/>
              </w:rPr>
            </w:pPr>
          </w:p>
          <w:p w14:paraId="1356C2CE" w14:textId="77777777" w:rsidR="008D13F4" w:rsidRPr="00653128" w:rsidRDefault="00615769" w:rsidP="0074724A">
            <w:pPr>
              <w:keepNext/>
              <w:tabs>
                <w:tab w:val="left" w:pos="562"/>
              </w:tabs>
              <w:suppressAutoHyphens/>
              <w:rPr>
                <w:sz w:val="22"/>
                <w:szCs w:val="20"/>
              </w:rPr>
            </w:pPr>
            <w:r w:rsidRPr="000B3FE3">
              <w:rPr>
                <w:sz w:val="22"/>
                <w:szCs w:val="20"/>
              </w:rPr>
              <w:t xml:space="preserve">Coloque os seguintes elementos numa superfície plana </w:t>
            </w:r>
            <w:r w:rsidRPr="004931CE">
              <w:rPr>
                <w:sz w:val="22"/>
                <w:szCs w:val="20"/>
              </w:rPr>
              <w:t>limpa</w:t>
            </w:r>
          </w:p>
          <w:p w14:paraId="027C09C5" w14:textId="77777777" w:rsidR="008D13F4" w:rsidRPr="00D33370" w:rsidRDefault="008D13F4" w:rsidP="0074724A">
            <w:pPr>
              <w:keepNext/>
              <w:tabs>
                <w:tab w:val="left" w:pos="562"/>
              </w:tabs>
              <w:suppressAutoHyphens/>
              <w:rPr>
                <w:sz w:val="22"/>
                <w:szCs w:val="20"/>
              </w:rPr>
            </w:pPr>
          </w:p>
          <w:p w14:paraId="6B8F6F21" w14:textId="77777777" w:rsidR="008D13F4" w:rsidRPr="008B0DDF" w:rsidRDefault="00615769" w:rsidP="0074724A">
            <w:pPr>
              <w:keepNext/>
              <w:numPr>
                <w:ilvl w:val="0"/>
                <w:numId w:val="92"/>
              </w:numPr>
              <w:suppressAutoHyphens/>
              <w:ind w:left="545" w:hanging="545"/>
              <w:rPr>
                <w:sz w:val="22"/>
                <w:szCs w:val="20"/>
              </w:rPr>
            </w:pPr>
            <w:r w:rsidRPr="008B0DDF">
              <w:rPr>
                <w:sz w:val="22"/>
                <w:szCs w:val="20"/>
              </w:rPr>
              <w:t xml:space="preserve">1 </w:t>
            </w:r>
            <w:r>
              <w:rPr>
                <w:sz w:val="22"/>
                <w:szCs w:val="20"/>
              </w:rPr>
              <w:t>seringa</w:t>
            </w:r>
            <w:r w:rsidRPr="008B0DDF">
              <w:rPr>
                <w:sz w:val="22"/>
                <w:szCs w:val="20"/>
              </w:rPr>
              <w:t xml:space="preserve"> pré-cheia e </w:t>
            </w:r>
          </w:p>
          <w:p w14:paraId="78A73767" w14:textId="77777777" w:rsidR="008D13F4" w:rsidRPr="008B0DDF" w:rsidRDefault="00615769" w:rsidP="0074724A">
            <w:pPr>
              <w:keepNext/>
              <w:numPr>
                <w:ilvl w:val="0"/>
                <w:numId w:val="92"/>
              </w:numPr>
              <w:suppressAutoHyphens/>
              <w:ind w:left="545" w:hanging="545"/>
              <w:rPr>
                <w:sz w:val="22"/>
                <w:szCs w:val="20"/>
              </w:rPr>
            </w:pPr>
            <w:r w:rsidRPr="008B0DDF">
              <w:rPr>
                <w:sz w:val="22"/>
                <w:szCs w:val="20"/>
              </w:rPr>
              <w:t>1 compressa embebida em álcool</w:t>
            </w:r>
          </w:p>
          <w:p w14:paraId="42056946" w14:textId="77777777" w:rsidR="008D13F4" w:rsidRPr="008B0DDF" w:rsidRDefault="008D13F4" w:rsidP="0074724A">
            <w:pPr>
              <w:keepNext/>
              <w:tabs>
                <w:tab w:val="left" w:pos="562"/>
              </w:tabs>
              <w:suppressAutoHyphens/>
              <w:rPr>
                <w:sz w:val="22"/>
                <w:szCs w:val="20"/>
              </w:rPr>
            </w:pPr>
          </w:p>
          <w:p w14:paraId="64A469D6" w14:textId="77777777" w:rsidR="008D13F4" w:rsidRPr="00AF229F" w:rsidRDefault="00615769" w:rsidP="0074724A">
            <w:pPr>
              <w:keepNext/>
              <w:tabs>
                <w:tab w:val="left" w:pos="562"/>
              </w:tabs>
              <w:suppressAutoHyphens/>
              <w:rPr>
                <w:sz w:val="22"/>
                <w:szCs w:val="20"/>
              </w:rPr>
            </w:pPr>
            <w:r w:rsidRPr="00454F99">
              <w:rPr>
                <w:sz w:val="22"/>
                <w:szCs w:val="20"/>
              </w:rPr>
              <w:t>Lave e seque as mãos</w:t>
            </w:r>
            <w:r w:rsidRPr="00AF229F">
              <w:rPr>
                <w:sz w:val="22"/>
                <w:szCs w:val="20"/>
              </w:rPr>
              <w:t>.</w:t>
            </w:r>
          </w:p>
        </w:tc>
      </w:tr>
      <w:tr w:rsidR="00A7162A" w14:paraId="7D2D5088" w14:textId="77777777" w:rsidTr="0074724A">
        <w:tc>
          <w:tcPr>
            <w:tcW w:w="3708" w:type="dxa"/>
            <w:tcBorders>
              <w:right w:val="nil"/>
            </w:tcBorders>
          </w:tcPr>
          <w:p w14:paraId="638A4EF2" w14:textId="77777777" w:rsidR="008D13F4" w:rsidRPr="00EC0461" w:rsidRDefault="00615769" w:rsidP="0074724A">
            <w:pPr>
              <w:tabs>
                <w:tab w:val="left" w:pos="562"/>
              </w:tabs>
              <w:suppressAutoHyphens/>
              <w:rPr>
                <w:noProof/>
                <w:sz w:val="22"/>
                <w:szCs w:val="20"/>
              </w:rPr>
            </w:pPr>
            <w:r w:rsidRPr="008B0DDF">
              <w:rPr>
                <w:b/>
                <w:noProof/>
                <w:sz w:val="22"/>
                <w:szCs w:val="20"/>
              </w:rPr>
              <w:t>PASSO 3</w:t>
            </w:r>
          </w:p>
          <w:p w14:paraId="4C037F11" w14:textId="77777777" w:rsidR="008D13F4" w:rsidRPr="00EC0461" w:rsidRDefault="008D13F4" w:rsidP="0074724A">
            <w:pPr>
              <w:tabs>
                <w:tab w:val="left" w:pos="562"/>
              </w:tabs>
              <w:suppressAutoHyphens/>
              <w:rPr>
                <w:noProof/>
                <w:sz w:val="22"/>
                <w:szCs w:val="20"/>
              </w:rPr>
            </w:pPr>
          </w:p>
          <w:p w14:paraId="3D2E9142" w14:textId="77777777" w:rsidR="008D13F4" w:rsidRPr="008B0DDF" w:rsidRDefault="00615769" w:rsidP="0074724A">
            <w:pPr>
              <w:tabs>
                <w:tab w:val="left" w:pos="562"/>
              </w:tabs>
              <w:suppressAutoHyphens/>
              <w:rPr>
                <w:b/>
                <w:noProof/>
                <w:sz w:val="22"/>
                <w:szCs w:val="20"/>
              </w:rPr>
            </w:pPr>
            <w:r w:rsidRPr="008B0DDF">
              <w:rPr>
                <w:b/>
                <w:noProof/>
                <w:sz w:val="22"/>
                <w:szCs w:val="20"/>
              </w:rPr>
              <w:t>Locais de Injeção</w:t>
            </w:r>
          </w:p>
          <w:p w14:paraId="3E8761E6" w14:textId="77777777" w:rsidR="008D13F4" w:rsidRPr="008B0DDF" w:rsidRDefault="00615769" w:rsidP="0074724A">
            <w:pPr>
              <w:tabs>
                <w:tab w:val="left" w:pos="562"/>
              </w:tabs>
              <w:suppressAutoHyphens/>
              <w:rPr>
                <w:noProof/>
                <w:sz w:val="22"/>
                <w:szCs w:val="20"/>
              </w:rPr>
            </w:pPr>
            <w:r>
              <w:rPr>
                <w:noProof/>
                <w:sz w:val="22"/>
                <w:szCs w:val="20"/>
                <w:lang w:val="en-GB" w:eastAsia="en-GB"/>
              </w:rPr>
              <w:drawing>
                <wp:inline distT="0" distB="0" distL="0" distR="0" wp14:anchorId="359A7E7A" wp14:editId="02F2DE93">
                  <wp:extent cx="2275840" cy="2385695"/>
                  <wp:effectExtent l="0" t="0" r="0" b="0"/>
                  <wp:docPr id="87" name="Picture 87"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2" descr="STEP3_grey"/>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2275840" cy="2385695"/>
                          </a:xfrm>
                          <a:prstGeom prst="rect">
                            <a:avLst/>
                          </a:prstGeom>
                          <a:noFill/>
                          <a:ln>
                            <a:noFill/>
                          </a:ln>
                        </pic:spPr>
                      </pic:pic>
                    </a:graphicData>
                  </a:graphic>
                </wp:inline>
              </w:drawing>
            </w:r>
          </w:p>
          <w:p w14:paraId="6AC394FC" w14:textId="77777777" w:rsidR="008D13F4" w:rsidRPr="008B0DDF" w:rsidRDefault="00615769" w:rsidP="0074724A">
            <w:pPr>
              <w:tabs>
                <w:tab w:val="left" w:pos="562"/>
              </w:tabs>
              <w:suppressAutoHyphens/>
              <w:rPr>
                <w:b/>
                <w:sz w:val="22"/>
                <w:szCs w:val="20"/>
              </w:rPr>
            </w:pPr>
            <w:r w:rsidRPr="008B0DDF">
              <w:rPr>
                <w:noProof/>
                <w:sz w:val="22"/>
                <w:szCs w:val="20"/>
              </w:rPr>
              <w:t xml:space="preserve">   </w:t>
            </w:r>
            <w:r w:rsidRPr="008B0DDF">
              <w:rPr>
                <w:b/>
                <w:noProof/>
                <w:sz w:val="22"/>
                <w:szCs w:val="20"/>
              </w:rPr>
              <w:t>Locais de Injeção</w:t>
            </w:r>
          </w:p>
        </w:tc>
        <w:tc>
          <w:tcPr>
            <w:tcW w:w="5579" w:type="dxa"/>
            <w:tcBorders>
              <w:left w:val="nil"/>
            </w:tcBorders>
          </w:tcPr>
          <w:p w14:paraId="6C377EFB" w14:textId="77777777" w:rsidR="008D13F4" w:rsidRPr="006462E3" w:rsidRDefault="00615769" w:rsidP="0074724A">
            <w:pPr>
              <w:tabs>
                <w:tab w:val="left" w:pos="562"/>
              </w:tabs>
              <w:suppressAutoHyphens/>
              <w:rPr>
                <w:sz w:val="22"/>
                <w:szCs w:val="20"/>
              </w:rPr>
            </w:pPr>
            <w:r w:rsidRPr="004F0FBC">
              <w:rPr>
                <w:sz w:val="22"/>
                <w:szCs w:val="20"/>
              </w:rPr>
              <w:t>Escolha um local de injeção</w:t>
            </w:r>
            <w:r w:rsidRPr="006462E3">
              <w:rPr>
                <w:sz w:val="22"/>
                <w:szCs w:val="20"/>
              </w:rPr>
              <w:t>:</w:t>
            </w:r>
          </w:p>
          <w:p w14:paraId="280F518E" w14:textId="77777777" w:rsidR="008D13F4" w:rsidRPr="006462E3" w:rsidRDefault="008D13F4" w:rsidP="0074724A">
            <w:pPr>
              <w:tabs>
                <w:tab w:val="left" w:pos="562"/>
              </w:tabs>
              <w:suppressAutoHyphens/>
              <w:rPr>
                <w:sz w:val="22"/>
                <w:szCs w:val="20"/>
              </w:rPr>
            </w:pPr>
          </w:p>
          <w:p w14:paraId="6EB87D7D" w14:textId="77777777" w:rsidR="008D13F4" w:rsidRPr="008B0DDF" w:rsidRDefault="00615769" w:rsidP="0074724A">
            <w:pPr>
              <w:numPr>
                <w:ilvl w:val="0"/>
                <w:numId w:val="93"/>
              </w:numPr>
              <w:suppressAutoHyphens/>
              <w:ind w:left="545" w:hanging="545"/>
              <w:rPr>
                <w:sz w:val="22"/>
                <w:szCs w:val="20"/>
              </w:rPr>
            </w:pPr>
            <w:r w:rsidRPr="008B0DDF">
              <w:rPr>
                <w:sz w:val="22"/>
                <w:szCs w:val="20"/>
              </w:rPr>
              <w:t>No cimo da coxa ou</w:t>
            </w:r>
          </w:p>
          <w:p w14:paraId="36B31A7F" w14:textId="77777777" w:rsidR="008D13F4" w:rsidRPr="009A05BE" w:rsidRDefault="00615769" w:rsidP="0074724A">
            <w:pPr>
              <w:numPr>
                <w:ilvl w:val="0"/>
                <w:numId w:val="93"/>
              </w:numPr>
              <w:suppressAutoHyphens/>
              <w:ind w:left="545" w:hanging="545"/>
              <w:rPr>
                <w:sz w:val="22"/>
                <w:szCs w:val="20"/>
              </w:rPr>
            </w:pPr>
            <w:r w:rsidRPr="00454F99">
              <w:rPr>
                <w:sz w:val="22"/>
                <w:szCs w:val="20"/>
              </w:rPr>
              <w:t>Barriga</w:t>
            </w:r>
            <w:r w:rsidRPr="00AF229F">
              <w:rPr>
                <w:sz w:val="22"/>
                <w:szCs w:val="20"/>
              </w:rPr>
              <w:t xml:space="preserve"> (</w:t>
            </w:r>
            <w:r w:rsidRPr="004F0FBC">
              <w:rPr>
                <w:sz w:val="22"/>
                <w:szCs w:val="20"/>
              </w:rPr>
              <w:t xml:space="preserve">estômago) pelo menos a </w:t>
            </w:r>
            <w:r w:rsidRPr="006462E3">
              <w:rPr>
                <w:sz w:val="22"/>
                <w:szCs w:val="20"/>
              </w:rPr>
              <w:t xml:space="preserve">5 cm </w:t>
            </w:r>
            <w:r w:rsidR="006B7CB4">
              <w:rPr>
                <w:sz w:val="22"/>
                <w:szCs w:val="20"/>
              </w:rPr>
              <w:t xml:space="preserve">do </w:t>
            </w:r>
            <w:r w:rsidRPr="006462E3">
              <w:rPr>
                <w:sz w:val="22"/>
                <w:szCs w:val="20"/>
              </w:rPr>
              <w:t>umbigo</w:t>
            </w:r>
          </w:p>
          <w:p w14:paraId="100C5E2B" w14:textId="77777777" w:rsidR="008D13F4" w:rsidRPr="004931CE" w:rsidRDefault="00615769" w:rsidP="0074724A">
            <w:pPr>
              <w:numPr>
                <w:ilvl w:val="0"/>
                <w:numId w:val="93"/>
              </w:numPr>
              <w:suppressAutoHyphens/>
              <w:ind w:left="545" w:hanging="545"/>
              <w:rPr>
                <w:sz w:val="22"/>
                <w:szCs w:val="20"/>
              </w:rPr>
            </w:pPr>
            <w:r w:rsidRPr="00854C93">
              <w:rPr>
                <w:sz w:val="22"/>
                <w:szCs w:val="20"/>
              </w:rPr>
              <w:t xml:space="preserve">Pelo menos a </w:t>
            </w:r>
            <w:r w:rsidRPr="0089156B">
              <w:rPr>
                <w:sz w:val="22"/>
                <w:szCs w:val="20"/>
              </w:rPr>
              <w:t xml:space="preserve">3 cm </w:t>
            </w:r>
            <w:r w:rsidRPr="000B3FE3">
              <w:rPr>
                <w:sz w:val="22"/>
                <w:szCs w:val="20"/>
              </w:rPr>
              <w:t>de distância do local da última injeção</w:t>
            </w:r>
          </w:p>
          <w:p w14:paraId="45855DE7" w14:textId="77777777" w:rsidR="008D13F4" w:rsidRPr="00653128" w:rsidRDefault="008D13F4" w:rsidP="0074724A">
            <w:pPr>
              <w:tabs>
                <w:tab w:val="left" w:pos="562"/>
              </w:tabs>
              <w:suppressAutoHyphens/>
              <w:rPr>
                <w:sz w:val="22"/>
                <w:szCs w:val="20"/>
              </w:rPr>
            </w:pPr>
          </w:p>
          <w:p w14:paraId="28704F4B" w14:textId="77777777" w:rsidR="008D13F4" w:rsidRPr="008B0DDF" w:rsidRDefault="00615769" w:rsidP="0074724A">
            <w:pPr>
              <w:tabs>
                <w:tab w:val="left" w:pos="562"/>
              </w:tabs>
              <w:suppressAutoHyphens/>
              <w:rPr>
                <w:sz w:val="22"/>
                <w:szCs w:val="20"/>
              </w:rPr>
            </w:pPr>
            <w:r w:rsidRPr="00D33370">
              <w:rPr>
                <w:sz w:val="22"/>
                <w:szCs w:val="20"/>
              </w:rPr>
              <w:t xml:space="preserve">Limpe o local da </w:t>
            </w:r>
            <w:r w:rsidRPr="002D4DE5">
              <w:rPr>
                <w:sz w:val="22"/>
                <w:szCs w:val="20"/>
              </w:rPr>
              <w:t>inje</w:t>
            </w:r>
            <w:r w:rsidRPr="005F6F98">
              <w:rPr>
                <w:sz w:val="22"/>
                <w:szCs w:val="20"/>
              </w:rPr>
              <w:t>ção usando a compressa embebida em álcool</w:t>
            </w:r>
            <w:r w:rsidRPr="002B2441">
              <w:rPr>
                <w:sz w:val="22"/>
                <w:szCs w:val="20"/>
              </w:rPr>
              <w:t xml:space="preserve"> com movimentos circulares</w:t>
            </w:r>
            <w:r w:rsidRPr="00B830EC">
              <w:rPr>
                <w:sz w:val="22"/>
                <w:szCs w:val="20"/>
              </w:rPr>
              <w:t>.</w:t>
            </w:r>
          </w:p>
          <w:p w14:paraId="779ECB0E" w14:textId="77777777" w:rsidR="008D13F4" w:rsidRPr="008B0DDF" w:rsidRDefault="008D13F4" w:rsidP="0074724A">
            <w:pPr>
              <w:tabs>
                <w:tab w:val="left" w:pos="562"/>
              </w:tabs>
              <w:suppressAutoHyphens/>
              <w:rPr>
                <w:sz w:val="22"/>
                <w:szCs w:val="20"/>
              </w:rPr>
            </w:pPr>
          </w:p>
          <w:p w14:paraId="21E0DDFC" w14:textId="77777777" w:rsidR="008D13F4" w:rsidRPr="008B0DDF" w:rsidRDefault="00615769" w:rsidP="0074724A">
            <w:pPr>
              <w:numPr>
                <w:ilvl w:val="0"/>
                <w:numId w:val="94"/>
              </w:numPr>
              <w:suppressAutoHyphens/>
              <w:ind w:left="545" w:hanging="545"/>
              <w:rPr>
                <w:sz w:val="22"/>
                <w:szCs w:val="20"/>
              </w:rPr>
            </w:pPr>
            <w:r w:rsidRPr="008B0DDF">
              <w:rPr>
                <w:b/>
                <w:sz w:val="22"/>
                <w:szCs w:val="20"/>
              </w:rPr>
              <w:t>Não</w:t>
            </w:r>
            <w:r w:rsidRPr="008B0DDF">
              <w:rPr>
                <w:sz w:val="22"/>
                <w:szCs w:val="20"/>
              </w:rPr>
              <w:t xml:space="preserve"> injete através da roupa</w:t>
            </w:r>
          </w:p>
          <w:p w14:paraId="4AB0D6CD" w14:textId="77777777" w:rsidR="008D13F4" w:rsidRPr="00D33370" w:rsidRDefault="00615769" w:rsidP="0074724A">
            <w:pPr>
              <w:numPr>
                <w:ilvl w:val="0"/>
                <w:numId w:val="94"/>
              </w:numPr>
              <w:suppressAutoHyphens/>
              <w:ind w:left="545" w:hanging="545"/>
              <w:rPr>
                <w:sz w:val="22"/>
                <w:szCs w:val="20"/>
              </w:rPr>
            </w:pPr>
            <w:r w:rsidRPr="008B0DDF">
              <w:rPr>
                <w:b/>
                <w:sz w:val="22"/>
                <w:szCs w:val="20"/>
              </w:rPr>
              <w:t xml:space="preserve">Não </w:t>
            </w:r>
            <w:r w:rsidRPr="008B0DDF">
              <w:rPr>
                <w:sz w:val="22"/>
                <w:szCs w:val="20"/>
              </w:rPr>
              <w:t>injete numa área em que a pele esteja dorida,</w:t>
            </w:r>
            <w:r>
              <w:rPr>
                <w:sz w:val="22"/>
                <w:szCs w:val="20"/>
              </w:rPr>
              <w:t xml:space="preserve"> </w:t>
            </w:r>
            <w:r w:rsidRPr="00854C93">
              <w:rPr>
                <w:sz w:val="22"/>
                <w:szCs w:val="20"/>
              </w:rPr>
              <w:t>ferida,</w:t>
            </w:r>
            <w:r w:rsidRPr="000B3FE3">
              <w:rPr>
                <w:sz w:val="22"/>
                <w:szCs w:val="20"/>
              </w:rPr>
              <w:t xml:space="preserve"> avermelhada, </w:t>
            </w:r>
            <w:r w:rsidRPr="004931CE">
              <w:rPr>
                <w:sz w:val="22"/>
                <w:szCs w:val="20"/>
              </w:rPr>
              <w:t>endurecida</w:t>
            </w:r>
            <w:r w:rsidRPr="00653128">
              <w:rPr>
                <w:sz w:val="22"/>
                <w:szCs w:val="20"/>
              </w:rPr>
              <w:t>, tenha estrias ou áreas com placas de psoríase</w:t>
            </w:r>
          </w:p>
        </w:tc>
      </w:tr>
      <w:tr w:rsidR="00A7162A" w14:paraId="7690E4FB" w14:textId="77777777" w:rsidTr="0074724A">
        <w:tc>
          <w:tcPr>
            <w:tcW w:w="3708" w:type="dxa"/>
            <w:tcBorders>
              <w:right w:val="nil"/>
            </w:tcBorders>
          </w:tcPr>
          <w:p w14:paraId="4E777E59" w14:textId="77777777" w:rsidR="008D13F4" w:rsidRPr="00EC0461" w:rsidRDefault="00615769" w:rsidP="00040D46">
            <w:pPr>
              <w:tabs>
                <w:tab w:val="left" w:pos="562"/>
              </w:tabs>
              <w:suppressAutoHyphens/>
              <w:rPr>
                <w:noProof/>
                <w:sz w:val="22"/>
                <w:szCs w:val="20"/>
              </w:rPr>
            </w:pPr>
            <w:r w:rsidRPr="008B0DDF">
              <w:rPr>
                <w:b/>
                <w:noProof/>
                <w:sz w:val="22"/>
                <w:szCs w:val="20"/>
              </w:rPr>
              <w:t>PASSO 4</w:t>
            </w:r>
          </w:p>
          <w:p w14:paraId="5936E96F" w14:textId="77777777" w:rsidR="008D13F4" w:rsidRPr="00EC0461" w:rsidRDefault="008D13F4" w:rsidP="00040D46">
            <w:pPr>
              <w:tabs>
                <w:tab w:val="left" w:pos="562"/>
              </w:tabs>
              <w:suppressAutoHyphens/>
              <w:rPr>
                <w:sz w:val="22"/>
                <w:szCs w:val="20"/>
              </w:rPr>
            </w:pPr>
          </w:p>
          <w:p w14:paraId="2AA61DA5" w14:textId="77777777" w:rsidR="00AF237A" w:rsidRDefault="00615769" w:rsidP="00040D46">
            <w:pPr>
              <w:tabs>
                <w:tab w:val="left" w:pos="562"/>
              </w:tabs>
              <w:suppressAutoHyphens/>
              <w:rPr>
                <w:sz w:val="22"/>
                <w:szCs w:val="20"/>
              </w:rPr>
            </w:pPr>
            <w:r>
              <w:rPr>
                <w:b/>
                <w:noProof/>
                <w:szCs w:val="20"/>
                <w:lang w:val="en-GB" w:eastAsia="en-GB"/>
              </w:rPr>
              <w:drawing>
                <wp:inline distT="0" distB="0" distL="0" distR="0" wp14:anchorId="3A514F1F" wp14:editId="5C552810">
                  <wp:extent cx="2011855" cy="1563624"/>
                  <wp:effectExtent l="0" t="0" r="762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STEP_4_SYRINGE_IFU_UNCAP_new grey.jpg"/>
                          <pic:cNvPicPr/>
                        </pic:nvPicPr>
                        <pic:blipFill>
                          <a:blip r:embed="rId26">
                            <a:extLst>
                              <a:ext uri="{28A0092B-C50C-407E-A947-70E740481C1C}">
                                <a14:useLocalDpi xmlns:a14="http://schemas.microsoft.com/office/drawing/2010/main" val="0"/>
                              </a:ext>
                            </a:extLst>
                          </a:blip>
                          <a:stretch>
                            <a:fillRect/>
                          </a:stretch>
                        </pic:blipFill>
                        <pic:spPr>
                          <a:xfrm>
                            <a:off x="0" y="0"/>
                            <a:ext cx="2011855" cy="1563624"/>
                          </a:xfrm>
                          <a:prstGeom prst="rect">
                            <a:avLst/>
                          </a:prstGeom>
                        </pic:spPr>
                      </pic:pic>
                    </a:graphicData>
                  </a:graphic>
                </wp:inline>
              </w:drawing>
            </w:r>
          </w:p>
          <w:p w14:paraId="41CC0002" w14:textId="77777777" w:rsidR="00AF237A" w:rsidRPr="008B0DDF" w:rsidRDefault="00AF237A" w:rsidP="00040D46">
            <w:pPr>
              <w:tabs>
                <w:tab w:val="left" w:pos="562"/>
              </w:tabs>
              <w:suppressAutoHyphens/>
              <w:rPr>
                <w:sz w:val="22"/>
                <w:szCs w:val="20"/>
              </w:rPr>
            </w:pPr>
          </w:p>
        </w:tc>
        <w:tc>
          <w:tcPr>
            <w:tcW w:w="5579" w:type="dxa"/>
            <w:tcBorders>
              <w:left w:val="nil"/>
            </w:tcBorders>
          </w:tcPr>
          <w:p w14:paraId="4A2927FD" w14:textId="77777777" w:rsidR="008D13F4" w:rsidRPr="009A05BE" w:rsidRDefault="00615769" w:rsidP="00040D46">
            <w:pPr>
              <w:tabs>
                <w:tab w:val="left" w:pos="562"/>
              </w:tabs>
              <w:suppressAutoHyphens/>
              <w:rPr>
                <w:sz w:val="22"/>
                <w:szCs w:val="20"/>
              </w:rPr>
            </w:pPr>
            <w:r w:rsidRPr="00454F99">
              <w:rPr>
                <w:sz w:val="22"/>
                <w:szCs w:val="20"/>
              </w:rPr>
              <w:t xml:space="preserve">Segure na </w:t>
            </w:r>
            <w:r>
              <w:rPr>
                <w:sz w:val="22"/>
                <w:szCs w:val="20"/>
              </w:rPr>
              <w:t>seringa</w:t>
            </w:r>
            <w:r w:rsidRPr="00454F99">
              <w:rPr>
                <w:sz w:val="22"/>
                <w:szCs w:val="20"/>
              </w:rPr>
              <w:t xml:space="preserve"> pré-cheia com </w:t>
            </w:r>
            <w:r>
              <w:rPr>
                <w:sz w:val="22"/>
                <w:szCs w:val="20"/>
              </w:rPr>
              <w:t>uma das mãos</w:t>
            </w:r>
            <w:r w:rsidRPr="009A05BE">
              <w:rPr>
                <w:sz w:val="22"/>
                <w:szCs w:val="20"/>
              </w:rPr>
              <w:t xml:space="preserve">. </w:t>
            </w:r>
          </w:p>
          <w:p w14:paraId="27EFF7E4" w14:textId="77777777" w:rsidR="008D13F4" w:rsidRPr="00854C93" w:rsidRDefault="008D13F4" w:rsidP="00040D46">
            <w:pPr>
              <w:tabs>
                <w:tab w:val="left" w:pos="562"/>
              </w:tabs>
              <w:suppressAutoHyphens/>
              <w:rPr>
                <w:sz w:val="22"/>
                <w:szCs w:val="20"/>
              </w:rPr>
            </w:pPr>
          </w:p>
          <w:p w14:paraId="3C05BDA5" w14:textId="77777777" w:rsidR="008D13F4" w:rsidRPr="000B3FE3" w:rsidRDefault="00615769" w:rsidP="00040D46">
            <w:pPr>
              <w:tabs>
                <w:tab w:val="left" w:pos="562"/>
              </w:tabs>
              <w:suppressAutoHyphens/>
              <w:rPr>
                <w:sz w:val="22"/>
                <w:szCs w:val="20"/>
              </w:rPr>
            </w:pPr>
            <w:r w:rsidRPr="0089156B">
              <w:rPr>
                <w:sz w:val="22"/>
                <w:szCs w:val="20"/>
              </w:rPr>
              <w:t xml:space="preserve">Verifique </w:t>
            </w:r>
            <w:r>
              <w:rPr>
                <w:sz w:val="22"/>
                <w:szCs w:val="20"/>
              </w:rPr>
              <w:t>o líquido na seringa pré-cheia</w:t>
            </w:r>
            <w:r w:rsidRPr="000B3FE3">
              <w:rPr>
                <w:sz w:val="22"/>
                <w:szCs w:val="20"/>
              </w:rPr>
              <w:t>.</w:t>
            </w:r>
          </w:p>
          <w:p w14:paraId="43493849" w14:textId="77777777" w:rsidR="008D13F4" w:rsidRPr="004931CE" w:rsidRDefault="008D13F4" w:rsidP="00040D46">
            <w:pPr>
              <w:tabs>
                <w:tab w:val="left" w:pos="562"/>
              </w:tabs>
              <w:suppressAutoHyphens/>
              <w:rPr>
                <w:sz w:val="22"/>
                <w:szCs w:val="20"/>
              </w:rPr>
            </w:pPr>
          </w:p>
          <w:p w14:paraId="6B011E16" w14:textId="77777777" w:rsidR="008D13F4" w:rsidRPr="008B0DDF" w:rsidRDefault="00615769" w:rsidP="00040D46">
            <w:pPr>
              <w:numPr>
                <w:ilvl w:val="0"/>
                <w:numId w:val="95"/>
              </w:numPr>
              <w:suppressAutoHyphens/>
              <w:ind w:left="545" w:hanging="545"/>
              <w:rPr>
                <w:sz w:val="22"/>
                <w:szCs w:val="20"/>
              </w:rPr>
            </w:pPr>
            <w:r w:rsidRPr="002B2441">
              <w:rPr>
                <w:sz w:val="22"/>
                <w:szCs w:val="20"/>
              </w:rPr>
              <w:t>Assegure</w:t>
            </w:r>
            <w:r w:rsidRPr="00B830EC">
              <w:rPr>
                <w:sz w:val="22"/>
                <w:szCs w:val="20"/>
              </w:rPr>
              <w:t>-se que a solução está límpida e incolor</w:t>
            </w:r>
          </w:p>
          <w:p w14:paraId="24EC1C78" w14:textId="77777777" w:rsidR="008D13F4" w:rsidRPr="008B0DDF" w:rsidRDefault="00615769" w:rsidP="00040D46">
            <w:pPr>
              <w:numPr>
                <w:ilvl w:val="0"/>
                <w:numId w:val="95"/>
              </w:numPr>
              <w:suppressAutoHyphens/>
              <w:ind w:left="545" w:hanging="545"/>
              <w:rPr>
                <w:sz w:val="22"/>
                <w:szCs w:val="20"/>
              </w:rPr>
            </w:pPr>
            <w:r w:rsidRPr="008B0DDF">
              <w:rPr>
                <w:b/>
                <w:sz w:val="22"/>
                <w:szCs w:val="20"/>
              </w:rPr>
              <w:t>Não</w:t>
            </w:r>
            <w:r w:rsidRPr="008B0DDF">
              <w:rPr>
                <w:sz w:val="22"/>
                <w:szCs w:val="20"/>
              </w:rPr>
              <w:t xml:space="preserve"> use a </w:t>
            </w:r>
            <w:r>
              <w:rPr>
                <w:sz w:val="22"/>
                <w:szCs w:val="20"/>
              </w:rPr>
              <w:t>seringa pré-cheia</w:t>
            </w:r>
            <w:r w:rsidRPr="008B0DDF">
              <w:rPr>
                <w:sz w:val="22"/>
                <w:szCs w:val="20"/>
              </w:rPr>
              <w:t xml:space="preserve"> se a solução estiver turva ou tiver partículas</w:t>
            </w:r>
          </w:p>
          <w:p w14:paraId="110CDF6B" w14:textId="77777777" w:rsidR="008D13F4" w:rsidRDefault="00615769" w:rsidP="00040D46">
            <w:pPr>
              <w:numPr>
                <w:ilvl w:val="0"/>
                <w:numId w:val="95"/>
              </w:numPr>
              <w:suppressAutoHyphens/>
              <w:ind w:left="545" w:hanging="545"/>
              <w:rPr>
                <w:sz w:val="22"/>
                <w:szCs w:val="20"/>
              </w:rPr>
            </w:pPr>
            <w:r w:rsidRPr="008B0DDF">
              <w:rPr>
                <w:b/>
                <w:sz w:val="22"/>
                <w:szCs w:val="20"/>
              </w:rPr>
              <w:t xml:space="preserve">Não </w:t>
            </w:r>
            <w:r w:rsidRPr="008B0DDF">
              <w:rPr>
                <w:sz w:val="22"/>
                <w:szCs w:val="20"/>
              </w:rPr>
              <w:t xml:space="preserve">use a </w:t>
            </w:r>
            <w:r>
              <w:rPr>
                <w:sz w:val="22"/>
                <w:szCs w:val="20"/>
              </w:rPr>
              <w:t>seringa</w:t>
            </w:r>
            <w:r w:rsidRPr="008B0DDF">
              <w:rPr>
                <w:sz w:val="22"/>
                <w:szCs w:val="20"/>
              </w:rPr>
              <w:t xml:space="preserve"> pré-cheia se </w:t>
            </w:r>
            <w:r w:rsidR="002E4828">
              <w:rPr>
                <w:sz w:val="22"/>
                <w:szCs w:val="20"/>
              </w:rPr>
              <w:t>tiver caído</w:t>
            </w:r>
            <w:r w:rsidR="002E4828" w:rsidRPr="008B0DDF">
              <w:rPr>
                <w:sz w:val="22"/>
                <w:szCs w:val="20"/>
              </w:rPr>
              <w:t xml:space="preserve"> </w:t>
            </w:r>
            <w:r w:rsidRPr="008B0DDF">
              <w:rPr>
                <w:sz w:val="22"/>
                <w:szCs w:val="20"/>
              </w:rPr>
              <w:t>ou estiver danificada</w:t>
            </w:r>
          </w:p>
          <w:p w14:paraId="35E3CBB6" w14:textId="77777777" w:rsidR="008D13F4" w:rsidRDefault="008D13F4" w:rsidP="00040D46">
            <w:pPr>
              <w:tabs>
                <w:tab w:val="left" w:pos="562"/>
                <w:tab w:val="left" w:pos="757"/>
              </w:tabs>
              <w:suppressAutoHyphens/>
              <w:rPr>
                <w:sz w:val="22"/>
                <w:szCs w:val="20"/>
              </w:rPr>
            </w:pPr>
          </w:p>
          <w:p w14:paraId="7F0AD5A9" w14:textId="77777777" w:rsidR="008D13F4" w:rsidRDefault="00615769" w:rsidP="00040D46">
            <w:pPr>
              <w:tabs>
                <w:tab w:val="left" w:pos="562"/>
                <w:tab w:val="left" w:pos="757"/>
              </w:tabs>
              <w:suppressAutoHyphens/>
              <w:rPr>
                <w:sz w:val="22"/>
                <w:szCs w:val="20"/>
              </w:rPr>
            </w:pPr>
            <w:r>
              <w:rPr>
                <w:sz w:val="22"/>
                <w:szCs w:val="20"/>
              </w:rPr>
              <w:t>Com a outra mão retire a tampa de proteção da agulha com muito cuidado. Deite fora a tampa de proteção da agulha. Não volte a colocar a tampa.</w:t>
            </w:r>
          </w:p>
          <w:p w14:paraId="5DB3BEB6" w14:textId="77777777" w:rsidR="008D13F4" w:rsidRDefault="008D13F4" w:rsidP="00040D46">
            <w:pPr>
              <w:tabs>
                <w:tab w:val="left" w:pos="562"/>
                <w:tab w:val="left" w:pos="757"/>
              </w:tabs>
              <w:suppressAutoHyphens/>
              <w:rPr>
                <w:sz w:val="22"/>
                <w:szCs w:val="20"/>
              </w:rPr>
            </w:pPr>
          </w:p>
          <w:p w14:paraId="53A831F2" w14:textId="77777777" w:rsidR="008D13F4" w:rsidRPr="008B0DDF" w:rsidRDefault="00615769" w:rsidP="00040D46">
            <w:pPr>
              <w:numPr>
                <w:ilvl w:val="0"/>
                <w:numId w:val="111"/>
              </w:numPr>
              <w:suppressAutoHyphens/>
              <w:ind w:left="545" w:hanging="545"/>
              <w:rPr>
                <w:sz w:val="22"/>
                <w:szCs w:val="20"/>
              </w:rPr>
            </w:pPr>
            <w:r w:rsidRPr="00C6420B">
              <w:rPr>
                <w:b/>
                <w:sz w:val="22"/>
                <w:szCs w:val="20"/>
              </w:rPr>
              <w:t>Não</w:t>
            </w:r>
            <w:r>
              <w:rPr>
                <w:sz w:val="22"/>
                <w:szCs w:val="20"/>
              </w:rPr>
              <w:t xml:space="preserve"> toque na agulha com os dedos e não permita que esta toque em qualquer superfície</w:t>
            </w:r>
          </w:p>
        </w:tc>
      </w:tr>
      <w:tr w:rsidR="00A7162A" w14:paraId="002D27A8" w14:textId="77777777" w:rsidTr="0074724A">
        <w:tc>
          <w:tcPr>
            <w:tcW w:w="3708" w:type="dxa"/>
            <w:tcBorders>
              <w:right w:val="nil"/>
            </w:tcBorders>
          </w:tcPr>
          <w:p w14:paraId="2FAD69BF" w14:textId="77777777" w:rsidR="008D13F4" w:rsidRPr="008B0DDF" w:rsidRDefault="00615769" w:rsidP="0074724A">
            <w:pPr>
              <w:keepNext/>
              <w:tabs>
                <w:tab w:val="left" w:pos="562"/>
              </w:tabs>
              <w:suppressAutoHyphens/>
              <w:rPr>
                <w:noProof/>
                <w:sz w:val="22"/>
                <w:szCs w:val="20"/>
              </w:rPr>
            </w:pPr>
            <w:r w:rsidRPr="008B0DDF">
              <w:rPr>
                <w:b/>
                <w:noProof/>
                <w:sz w:val="22"/>
                <w:szCs w:val="20"/>
              </w:rPr>
              <w:t>PASSO 5</w:t>
            </w:r>
          </w:p>
          <w:p w14:paraId="2ABE81E8" w14:textId="77777777" w:rsidR="008D13F4" w:rsidRPr="008B0DDF" w:rsidRDefault="008D13F4" w:rsidP="0074724A">
            <w:pPr>
              <w:keepNext/>
              <w:tabs>
                <w:tab w:val="left" w:pos="562"/>
              </w:tabs>
              <w:suppressAutoHyphens/>
              <w:rPr>
                <w:noProof/>
                <w:sz w:val="22"/>
                <w:szCs w:val="20"/>
              </w:rPr>
            </w:pPr>
          </w:p>
          <w:p w14:paraId="698A59A0" w14:textId="77777777" w:rsidR="008D13F4" w:rsidRPr="00EC0461" w:rsidRDefault="00615769" w:rsidP="00EC0461">
            <w:pPr>
              <w:keepNext/>
              <w:tabs>
                <w:tab w:val="left" w:pos="562"/>
              </w:tabs>
              <w:suppressAutoHyphens/>
              <w:spacing w:after="100" w:afterAutospacing="1"/>
              <w:rPr>
                <w:noProof/>
                <w:sz w:val="22"/>
                <w:szCs w:val="20"/>
              </w:rPr>
            </w:pPr>
            <w:r w:rsidRPr="008B0DDF">
              <w:rPr>
                <w:noProof/>
                <w:sz w:val="22"/>
                <w:szCs w:val="20"/>
              </w:rPr>
              <w:t xml:space="preserve"> </w:t>
            </w:r>
            <w:r>
              <w:rPr>
                <w:noProof/>
                <w:lang w:val="en-GB" w:eastAsia="en-GB"/>
              </w:rPr>
              <w:drawing>
                <wp:inline distT="0" distB="0" distL="0" distR="0" wp14:anchorId="49EEC973" wp14:editId="68B3203C">
                  <wp:extent cx="1987550" cy="1967865"/>
                  <wp:effectExtent l="0" t="0" r="0" b="0"/>
                  <wp:docPr id="92" name="Picture 92"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6" descr="STEP_5_SYRINGE_IFU_FILLING_grey"/>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987550" cy="1967865"/>
                          </a:xfrm>
                          <a:prstGeom prst="rect">
                            <a:avLst/>
                          </a:prstGeom>
                          <a:noFill/>
                          <a:ln>
                            <a:noFill/>
                          </a:ln>
                        </pic:spPr>
                      </pic:pic>
                    </a:graphicData>
                  </a:graphic>
                </wp:inline>
              </w:drawing>
            </w:r>
          </w:p>
        </w:tc>
        <w:tc>
          <w:tcPr>
            <w:tcW w:w="5579" w:type="dxa"/>
            <w:tcBorders>
              <w:left w:val="nil"/>
            </w:tcBorders>
          </w:tcPr>
          <w:p w14:paraId="7B9D3FBD" w14:textId="77777777" w:rsidR="008D13F4" w:rsidRPr="009A05BE" w:rsidRDefault="00615769" w:rsidP="0074724A">
            <w:pPr>
              <w:keepNext/>
              <w:tabs>
                <w:tab w:val="left" w:pos="562"/>
              </w:tabs>
              <w:suppressAutoHyphens/>
              <w:rPr>
                <w:sz w:val="22"/>
                <w:szCs w:val="20"/>
              </w:rPr>
            </w:pPr>
            <w:r>
              <w:rPr>
                <w:sz w:val="22"/>
                <w:szCs w:val="20"/>
              </w:rPr>
              <w:t>Segure a seringa pré-cheia com a agulha na vertical.</w:t>
            </w:r>
          </w:p>
          <w:p w14:paraId="5AA33616" w14:textId="77777777" w:rsidR="008D13F4" w:rsidRPr="00854C93" w:rsidRDefault="008D13F4" w:rsidP="0074724A">
            <w:pPr>
              <w:keepNext/>
              <w:tabs>
                <w:tab w:val="left" w:pos="562"/>
              </w:tabs>
              <w:suppressAutoHyphens/>
              <w:rPr>
                <w:sz w:val="22"/>
                <w:szCs w:val="20"/>
              </w:rPr>
            </w:pPr>
          </w:p>
          <w:p w14:paraId="425ED0B8" w14:textId="77777777" w:rsidR="008D13F4" w:rsidRPr="00653128" w:rsidRDefault="00615769" w:rsidP="0074724A">
            <w:pPr>
              <w:keepNext/>
              <w:numPr>
                <w:ilvl w:val="0"/>
                <w:numId w:val="96"/>
              </w:numPr>
              <w:suppressAutoHyphens/>
              <w:ind w:left="545" w:hanging="545"/>
              <w:rPr>
                <w:sz w:val="22"/>
                <w:szCs w:val="20"/>
              </w:rPr>
            </w:pPr>
            <w:r>
              <w:rPr>
                <w:sz w:val="22"/>
                <w:szCs w:val="20"/>
              </w:rPr>
              <w:t>Com uma das mãos, segure a seringa pré-cheia ao nível dos olhos de modo a poder observar o ar na seringa</w:t>
            </w:r>
          </w:p>
          <w:p w14:paraId="4A79FDCE" w14:textId="77777777" w:rsidR="008D13F4" w:rsidRPr="002B2441" w:rsidRDefault="008D13F4" w:rsidP="0074724A">
            <w:pPr>
              <w:keepNext/>
              <w:tabs>
                <w:tab w:val="left" w:pos="562"/>
              </w:tabs>
              <w:suppressAutoHyphens/>
              <w:rPr>
                <w:sz w:val="22"/>
                <w:szCs w:val="20"/>
              </w:rPr>
            </w:pPr>
          </w:p>
          <w:p w14:paraId="450AB54E" w14:textId="77777777" w:rsidR="008D13F4" w:rsidRDefault="00615769" w:rsidP="0074724A">
            <w:pPr>
              <w:keepNext/>
              <w:tabs>
                <w:tab w:val="left" w:pos="562"/>
              </w:tabs>
              <w:suppressAutoHyphens/>
              <w:rPr>
                <w:sz w:val="22"/>
                <w:szCs w:val="20"/>
              </w:rPr>
            </w:pPr>
            <w:r>
              <w:rPr>
                <w:sz w:val="22"/>
                <w:szCs w:val="20"/>
              </w:rPr>
              <w:t>Empurre lentamente o êmbolo para empurrar o ar para fora através da agulha.</w:t>
            </w:r>
          </w:p>
          <w:p w14:paraId="46DA59A3" w14:textId="77777777" w:rsidR="008D13F4" w:rsidRDefault="008D13F4" w:rsidP="0074724A">
            <w:pPr>
              <w:keepNext/>
              <w:tabs>
                <w:tab w:val="left" w:pos="562"/>
              </w:tabs>
              <w:suppressAutoHyphens/>
              <w:rPr>
                <w:sz w:val="22"/>
                <w:szCs w:val="20"/>
              </w:rPr>
            </w:pPr>
          </w:p>
          <w:p w14:paraId="41AD960F" w14:textId="77777777" w:rsidR="008D13F4" w:rsidRPr="002B2441" w:rsidRDefault="00615769" w:rsidP="0074724A">
            <w:pPr>
              <w:keepNext/>
              <w:numPr>
                <w:ilvl w:val="0"/>
                <w:numId w:val="96"/>
              </w:numPr>
              <w:suppressAutoHyphens/>
              <w:ind w:left="545" w:hanging="545"/>
              <w:rPr>
                <w:sz w:val="22"/>
                <w:szCs w:val="20"/>
              </w:rPr>
            </w:pPr>
            <w:r w:rsidRPr="00D33370">
              <w:rPr>
                <w:sz w:val="22"/>
                <w:szCs w:val="20"/>
              </w:rPr>
              <w:t>É normal observar</w:t>
            </w:r>
            <w:r w:rsidRPr="002D4DE5">
              <w:rPr>
                <w:sz w:val="22"/>
                <w:szCs w:val="20"/>
              </w:rPr>
              <w:t>-se</w:t>
            </w:r>
            <w:r w:rsidRPr="00003560">
              <w:rPr>
                <w:sz w:val="22"/>
                <w:szCs w:val="20"/>
              </w:rPr>
              <w:t xml:space="preserve"> algumas gotas de </w:t>
            </w:r>
            <w:r w:rsidRPr="005F6F98">
              <w:rPr>
                <w:sz w:val="22"/>
                <w:szCs w:val="20"/>
              </w:rPr>
              <w:t>solução na agulha</w:t>
            </w:r>
          </w:p>
          <w:p w14:paraId="3B62A11B" w14:textId="77777777" w:rsidR="008D13F4" w:rsidRPr="000B3FE3" w:rsidRDefault="008D13F4" w:rsidP="0074724A">
            <w:pPr>
              <w:keepNext/>
              <w:tabs>
                <w:tab w:val="left" w:pos="562"/>
              </w:tabs>
              <w:suppressAutoHyphens/>
              <w:rPr>
                <w:sz w:val="22"/>
                <w:szCs w:val="20"/>
              </w:rPr>
            </w:pPr>
          </w:p>
          <w:p w14:paraId="51CB529D" w14:textId="77777777" w:rsidR="008D13F4" w:rsidRPr="002B2441" w:rsidRDefault="008D13F4" w:rsidP="0074724A">
            <w:pPr>
              <w:keepNext/>
              <w:tabs>
                <w:tab w:val="left" w:pos="562"/>
              </w:tabs>
              <w:suppressAutoHyphens/>
              <w:rPr>
                <w:sz w:val="22"/>
                <w:szCs w:val="20"/>
              </w:rPr>
            </w:pPr>
          </w:p>
        </w:tc>
      </w:tr>
      <w:tr w:rsidR="00A7162A" w14:paraId="6397501A" w14:textId="77777777" w:rsidTr="0074724A">
        <w:tc>
          <w:tcPr>
            <w:tcW w:w="3708" w:type="dxa"/>
            <w:tcBorders>
              <w:right w:val="nil"/>
            </w:tcBorders>
          </w:tcPr>
          <w:p w14:paraId="5F570A9B" w14:textId="77777777" w:rsidR="008D13F4" w:rsidRPr="008B0DDF" w:rsidRDefault="00615769" w:rsidP="0074724A">
            <w:pPr>
              <w:tabs>
                <w:tab w:val="left" w:pos="562"/>
              </w:tabs>
              <w:suppressAutoHyphens/>
              <w:rPr>
                <w:b/>
                <w:noProof/>
                <w:sz w:val="22"/>
                <w:szCs w:val="20"/>
              </w:rPr>
            </w:pPr>
            <w:r w:rsidRPr="008B0DDF">
              <w:rPr>
                <w:b/>
                <w:noProof/>
                <w:sz w:val="22"/>
                <w:szCs w:val="20"/>
              </w:rPr>
              <w:t>PASSO 6</w:t>
            </w:r>
          </w:p>
          <w:p w14:paraId="293ECD74" w14:textId="77777777" w:rsidR="008D13F4" w:rsidRPr="008B0DDF" w:rsidRDefault="00615769" w:rsidP="0074724A">
            <w:pPr>
              <w:tabs>
                <w:tab w:val="left" w:pos="562"/>
              </w:tabs>
              <w:suppressAutoHyphens/>
              <w:rPr>
                <w:sz w:val="22"/>
                <w:szCs w:val="20"/>
              </w:rPr>
            </w:pPr>
            <w:r>
              <w:rPr>
                <w:noProof/>
                <w:lang w:val="en-GB" w:eastAsia="en-GB"/>
              </w:rPr>
              <w:drawing>
                <wp:inline distT="0" distB="0" distL="0" distR="0" wp14:anchorId="3AE8875F" wp14:editId="059E1EBB">
                  <wp:extent cx="2245995" cy="2146935"/>
                  <wp:effectExtent l="0" t="0" r="1905" b="5715"/>
                  <wp:docPr id="93" name="Picture 93"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7" descr="STEP_6_SYRINGE_IFU_PRE-INJECTION_grey"/>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245995" cy="2146935"/>
                          </a:xfrm>
                          <a:prstGeom prst="rect">
                            <a:avLst/>
                          </a:prstGeom>
                          <a:noFill/>
                          <a:ln>
                            <a:noFill/>
                          </a:ln>
                        </pic:spPr>
                      </pic:pic>
                    </a:graphicData>
                  </a:graphic>
                </wp:inline>
              </w:drawing>
            </w:r>
          </w:p>
        </w:tc>
        <w:tc>
          <w:tcPr>
            <w:tcW w:w="5579" w:type="dxa"/>
            <w:tcBorders>
              <w:left w:val="nil"/>
            </w:tcBorders>
          </w:tcPr>
          <w:p w14:paraId="695CA7A4" w14:textId="77777777" w:rsidR="008D13F4" w:rsidRDefault="00615769" w:rsidP="0074724A">
            <w:pPr>
              <w:tabs>
                <w:tab w:val="left" w:pos="562"/>
              </w:tabs>
              <w:suppressAutoHyphens/>
              <w:rPr>
                <w:sz w:val="22"/>
                <w:szCs w:val="20"/>
              </w:rPr>
            </w:pPr>
            <w:r>
              <w:rPr>
                <w:sz w:val="22"/>
                <w:szCs w:val="20"/>
              </w:rPr>
              <w:t>Com uma das mãos, segure o corpo da seringa entre o polegar e o indicador, como se fosse um lápis.</w:t>
            </w:r>
          </w:p>
          <w:p w14:paraId="229829E1" w14:textId="77777777" w:rsidR="008D13F4" w:rsidRDefault="008D13F4" w:rsidP="0074724A">
            <w:pPr>
              <w:tabs>
                <w:tab w:val="left" w:pos="562"/>
              </w:tabs>
              <w:suppressAutoHyphens/>
              <w:rPr>
                <w:sz w:val="22"/>
                <w:szCs w:val="20"/>
              </w:rPr>
            </w:pPr>
          </w:p>
          <w:p w14:paraId="428B5469" w14:textId="77777777" w:rsidR="008D13F4" w:rsidRPr="006462E3" w:rsidRDefault="00615769" w:rsidP="0074724A">
            <w:pPr>
              <w:tabs>
                <w:tab w:val="left" w:pos="562"/>
              </w:tabs>
              <w:suppressAutoHyphens/>
              <w:rPr>
                <w:sz w:val="22"/>
                <w:szCs w:val="20"/>
              </w:rPr>
            </w:pPr>
            <w:r>
              <w:rPr>
                <w:sz w:val="22"/>
                <w:szCs w:val="20"/>
              </w:rPr>
              <w:t>Com a outra mão, a</w:t>
            </w:r>
            <w:r w:rsidRPr="00454F99">
              <w:rPr>
                <w:sz w:val="22"/>
                <w:szCs w:val="20"/>
              </w:rPr>
              <w:t>garre uma prega cutânea</w:t>
            </w:r>
            <w:r>
              <w:rPr>
                <w:sz w:val="22"/>
                <w:szCs w:val="20"/>
              </w:rPr>
              <w:t xml:space="preserve"> elevada</w:t>
            </w:r>
            <w:r w:rsidRPr="00454F99">
              <w:rPr>
                <w:sz w:val="22"/>
                <w:szCs w:val="20"/>
              </w:rPr>
              <w:t xml:space="preserve"> </w:t>
            </w:r>
            <w:r w:rsidRPr="004F0FBC">
              <w:rPr>
                <w:sz w:val="22"/>
                <w:szCs w:val="20"/>
              </w:rPr>
              <w:t>no local da injeção</w:t>
            </w:r>
            <w:r w:rsidRPr="006462E3">
              <w:rPr>
                <w:sz w:val="22"/>
                <w:szCs w:val="20"/>
              </w:rPr>
              <w:t>, apertando-a firmemente.</w:t>
            </w:r>
          </w:p>
          <w:p w14:paraId="76321868" w14:textId="77777777" w:rsidR="008D13F4" w:rsidRPr="009A05BE" w:rsidRDefault="008D13F4" w:rsidP="0074724A">
            <w:pPr>
              <w:tabs>
                <w:tab w:val="left" w:pos="562"/>
              </w:tabs>
              <w:suppressAutoHyphens/>
              <w:rPr>
                <w:sz w:val="22"/>
                <w:szCs w:val="20"/>
              </w:rPr>
            </w:pPr>
          </w:p>
          <w:p w14:paraId="7ADF4CEE" w14:textId="77777777" w:rsidR="008D13F4" w:rsidRPr="008B0DDF" w:rsidRDefault="008D13F4" w:rsidP="0074724A">
            <w:pPr>
              <w:tabs>
                <w:tab w:val="left" w:pos="562"/>
              </w:tabs>
              <w:suppressAutoHyphens/>
              <w:rPr>
                <w:sz w:val="22"/>
                <w:szCs w:val="20"/>
              </w:rPr>
            </w:pPr>
          </w:p>
        </w:tc>
      </w:tr>
      <w:tr w:rsidR="00A7162A" w14:paraId="45BCC7AE" w14:textId="77777777" w:rsidTr="0074724A">
        <w:tc>
          <w:tcPr>
            <w:tcW w:w="3708" w:type="dxa"/>
            <w:tcBorders>
              <w:right w:val="nil"/>
            </w:tcBorders>
          </w:tcPr>
          <w:p w14:paraId="3EE8E936" w14:textId="77777777" w:rsidR="008D13F4" w:rsidRPr="00EC0461" w:rsidRDefault="00615769" w:rsidP="00040D46">
            <w:pPr>
              <w:tabs>
                <w:tab w:val="left" w:pos="562"/>
              </w:tabs>
              <w:suppressAutoHyphens/>
              <w:jc w:val="both"/>
              <w:rPr>
                <w:noProof/>
                <w:sz w:val="22"/>
                <w:szCs w:val="20"/>
              </w:rPr>
            </w:pPr>
            <w:r w:rsidRPr="008B0DDF">
              <w:rPr>
                <w:b/>
                <w:noProof/>
                <w:sz w:val="22"/>
                <w:szCs w:val="20"/>
              </w:rPr>
              <w:t>PASSO 7</w:t>
            </w:r>
          </w:p>
          <w:p w14:paraId="08478873" w14:textId="77777777" w:rsidR="00EC0461" w:rsidRDefault="00EC0461" w:rsidP="00040D46">
            <w:pPr>
              <w:tabs>
                <w:tab w:val="left" w:pos="562"/>
              </w:tabs>
              <w:suppressAutoHyphens/>
              <w:rPr>
                <w:noProof/>
                <w:sz w:val="22"/>
                <w:szCs w:val="20"/>
              </w:rPr>
            </w:pPr>
          </w:p>
          <w:p w14:paraId="3B4A505C" w14:textId="77777777" w:rsidR="008D13F4" w:rsidRPr="00EC0461" w:rsidRDefault="00615769" w:rsidP="00040D46">
            <w:pPr>
              <w:tabs>
                <w:tab w:val="left" w:pos="562"/>
              </w:tabs>
              <w:suppressAutoHyphens/>
              <w:rPr>
                <w:b/>
                <w:noProof/>
                <w:sz w:val="22"/>
                <w:szCs w:val="20"/>
              </w:rPr>
            </w:pPr>
            <w:r>
              <w:rPr>
                <w:noProof/>
                <w:lang w:val="en-GB" w:eastAsia="en-GB"/>
              </w:rPr>
              <w:drawing>
                <wp:inline distT="0" distB="0" distL="0" distR="0" wp14:anchorId="1E0DAFE5" wp14:editId="0E21B45E">
                  <wp:extent cx="2186305" cy="2673350"/>
                  <wp:effectExtent l="0" t="0" r="4445" b="0"/>
                  <wp:docPr id="94" name="Picture 94"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8" descr="STEP_7_SYRINGE_IFU_ABDOMEN-THIGH_grey"/>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2186305" cy="2673350"/>
                          </a:xfrm>
                          <a:prstGeom prst="rect">
                            <a:avLst/>
                          </a:prstGeom>
                          <a:noFill/>
                          <a:ln>
                            <a:noFill/>
                          </a:ln>
                        </pic:spPr>
                      </pic:pic>
                    </a:graphicData>
                  </a:graphic>
                </wp:inline>
              </w:drawing>
            </w:r>
            <w:r w:rsidRPr="008B0DDF">
              <w:rPr>
                <w:b/>
                <w:noProof/>
                <w:sz w:val="22"/>
                <w:szCs w:val="20"/>
              </w:rPr>
              <w:t xml:space="preserve">                       </w:t>
            </w:r>
          </w:p>
        </w:tc>
        <w:tc>
          <w:tcPr>
            <w:tcW w:w="5579" w:type="dxa"/>
            <w:tcBorders>
              <w:left w:val="nil"/>
            </w:tcBorders>
          </w:tcPr>
          <w:p w14:paraId="2CF9B62F" w14:textId="77777777" w:rsidR="008D13F4" w:rsidRPr="00854C93" w:rsidRDefault="00615769" w:rsidP="00040D46">
            <w:pPr>
              <w:tabs>
                <w:tab w:val="left" w:pos="562"/>
              </w:tabs>
              <w:suppressAutoHyphens/>
              <w:rPr>
                <w:sz w:val="22"/>
                <w:szCs w:val="20"/>
              </w:rPr>
            </w:pPr>
            <w:r w:rsidRPr="0044327F">
              <w:rPr>
                <w:sz w:val="22"/>
                <w:szCs w:val="20"/>
              </w:rPr>
              <w:t>Introduza a agulha na pele</w:t>
            </w:r>
            <w:r>
              <w:rPr>
                <w:sz w:val="22"/>
                <w:szCs w:val="20"/>
              </w:rPr>
              <w:t xml:space="preserve"> num ângulo de 45º com um movimento curto e rápido.</w:t>
            </w:r>
          </w:p>
          <w:p w14:paraId="02CEFDF9" w14:textId="77777777" w:rsidR="008D13F4" w:rsidRPr="002B2441" w:rsidRDefault="008D13F4" w:rsidP="00040D46">
            <w:pPr>
              <w:tabs>
                <w:tab w:val="left" w:pos="562"/>
              </w:tabs>
              <w:suppressAutoHyphens/>
              <w:rPr>
                <w:sz w:val="22"/>
                <w:szCs w:val="20"/>
              </w:rPr>
            </w:pPr>
          </w:p>
          <w:p w14:paraId="59F1E537" w14:textId="77777777" w:rsidR="008D13F4" w:rsidRPr="008B0DDF" w:rsidRDefault="00615769" w:rsidP="00040D46">
            <w:pPr>
              <w:numPr>
                <w:ilvl w:val="0"/>
                <w:numId w:val="111"/>
              </w:numPr>
              <w:suppressAutoHyphens/>
              <w:ind w:left="545" w:hanging="545"/>
              <w:rPr>
                <w:sz w:val="22"/>
                <w:szCs w:val="20"/>
              </w:rPr>
            </w:pPr>
            <w:r>
              <w:rPr>
                <w:sz w:val="22"/>
                <w:szCs w:val="20"/>
              </w:rPr>
              <w:t>Após introduzir a agulha, liberte a prega cutânea</w:t>
            </w:r>
          </w:p>
          <w:p w14:paraId="2FF34BD2" w14:textId="77777777" w:rsidR="008D13F4" w:rsidRDefault="008D13F4" w:rsidP="00040D46">
            <w:pPr>
              <w:tabs>
                <w:tab w:val="left" w:pos="562"/>
              </w:tabs>
              <w:suppressAutoHyphens/>
              <w:rPr>
                <w:sz w:val="22"/>
                <w:szCs w:val="20"/>
              </w:rPr>
            </w:pPr>
          </w:p>
          <w:p w14:paraId="23B083CB" w14:textId="77777777" w:rsidR="008D13F4" w:rsidRPr="008B0DDF" w:rsidRDefault="00615769" w:rsidP="00040D46">
            <w:pPr>
              <w:tabs>
                <w:tab w:val="left" w:pos="562"/>
              </w:tabs>
              <w:suppressAutoHyphens/>
              <w:rPr>
                <w:sz w:val="22"/>
                <w:szCs w:val="20"/>
              </w:rPr>
            </w:pPr>
            <w:r>
              <w:rPr>
                <w:sz w:val="22"/>
                <w:szCs w:val="20"/>
              </w:rPr>
              <w:t>Empurre lentamente o êmbolo até injetar toda a solução e esvaziar a seringa pré-cheia.</w:t>
            </w:r>
          </w:p>
        </w:tc>
      </w:tr>
      <w:tr w:rsidR="00A7162A" w14:paraId="635EB39E" w14:textId="77777777" w:rsidTr="0074724A">
        <w:tc>
          <w:tcPr>
            <w:tcW w:w="3708" w:type="dxa"/>
            <w:tcBorders>
              <w:right w:val="nil"/>
            </w:tcBorders>
          </w:tcPr>
          <w:p w14:paraId="76453C3E" w14:textId="77777777" w:rsidR="008D13F4" w:rsidRPr="00EC0461" w:rsidRDefault="00615769" w:rsidP="00040D46">
            <w:pPr>
              <w:keepNext/>
              <w:tabs>
                <w:tab w:val="left" w:pos="562"/>
              </w:tabs>
              <w:suppressAutoHyphens/>
              <w:rPr>
                <w:noProof/>
                <w:sz w:val="22"/>
                <w:szCs w:val="20"/>
              </w:rPr>
            </w:pPr>
            <w:r w:rsidRPr="008B0DDF">
              <w:rPr>
                <w:b/>
                <w:noProof/>
                <w:sz w:val="22"/>
                <w:szCs w:val="20"/>
              </w:rPr>
              <w:t>PASSO 8</w:t>
            </w:r>
          </w:p>
          <w:p w14:paraId="59251527" w14:textId="77777777" w:rsidR="008D13F4" w:rsidRPr="00EC0461" w:rsidRDefault="008D13F4" w:rsidP="00040D46">
            <w:pPr>
              <w:keepNext/>
              <w:tabs>
                <w:tab w:val="left" w:pos="562"/>
              </w:tabs>
              <w:suppressAutoHyphens/>
              <w:rPr>
                <w:noProof/>
                <w:sz w:val="22"/>
                <w:szCs w:val="20"/>
              </w:rPr>
            </w:pPr>
          </w:p>
          <w:p w14:paraId="7EA9521B" w14:textId="77777777" w:rsidR="001545C2" w:rsidRDefault="00615769" w:rsidP="00040D46">
            <w:pPr>
              <w:keepNext/>
              <w:tabs>
                <w:tab w:val="left" w:pos="562"/>
              </w:tabs>
              <w:suppressAutoHyphens/>
              <w:rPr>
                <w:noProof/>
                <w:sz w:val="22"/>
                <w:szCs w:val="20"/>
              </w:rPr>
            </w:pPr>
            <w:r w:rsidRPr="008B0DDF">
              <w:rPr>
                <w:noProof/>
                <w:sz w:val="22"/>
                <w:szCs w:val="20"/>
              </w:rPr>
              <w:t xml:space="preserve"> </w:t>
            </w:r>
            <w:r w:rsidR="00FA32A9">
              <w:rPr>
                <w:b/>
                <w:noProof/>
                <w:lang w:val="en-GB" w:eastAsia="en-GB"/>
              </w:rPr>
              <w:drawing>
                <wp:inline distT="0" distB="0" distL="0" distR="0" wp14:anchorId="3E113B43" wp14:editId="361B4D43">
                  <wp:extent cx="1984248" cy="2093976"/>
                  <wp:effectExtent l="0" t="0" r="0" b="190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STEP_8_SYRINGE_IFU_WITHDRAW_grey.REV 06Sep18.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984248" cy="2093976"/>
                          </a:xfrm>
                          <a:prstGeom prst="rect">
                            <a:avLst/>
                          </a:prstGeom>
                        </pic:spPr>
                      </pic:pic>
                    </a:graphicData>
                  </a:graphic>
                </wp:inline>
              </w:drawing>
            </w:r>
          </w:p>
          <w:p w14:paraId="40BFC6F3" w14:textId="77777777" w:rsidR="00FA32A9" w:rsidRPr="007365DF" w:rsidRDefault="00615769" w:rsidP="00040D46">
            <w:pPr>
              <w:keepNext/>
              <w:tabs>
                <w:tab w:val="left" w:pos="562"/>
              </w:tabs>
              <w:suppressAutoHyphens/>
              <w:rPr>
                <w:b/>
                <w:noProof/>
                <w:sz w:val="22"/>
                <w:szCs w:val="20"/>
              </w:rPr>
            </w:pPr>
            <w:r>
              <w:rPr>
                <w:b/>
                <w:noProof/>
                <w:sz w:val="22"/>
                <w:szCs w:val="20"/>
              </w:rPr>
              <w:t xml:space="preserve">                  </w:t>
            </w:r>
            <w:r w:rsidRPr="007960C9">
              <w:rPr>
                <w:b/>
                <w:noProof/>
                <w:sz w:val="22"/>
                <w:szCs w:val="20"/>
              </w:rPr>
              <w:t>Algodão</w:t>
            </w:r>
          </w:p>
        </w:tc>
        <w:tc>
          <w:tcPr>
            <w:tcW w:w="5579" w:type="dxa"/>
            <w:tcBorders>
              <w:left w:val="nil"/>
            </w:tcBorders>
          </w:tcPr>
          <w:p w14:paraId="18403CE9" w14:textId="77777777" w:rsidR="008D13F4" w:rsidRPr="000B3FE3" w:rsidRDefault="00615769" w:rsidP="00040D46">
            <w:pPr>
              <w:keepNext/>
              <w:tabs>
                <w:tab w:val="left" w:pos="562"/>
              </w:tabs>
              <w:suppressAutoHyphens/>
              <w:rPr>
                <w:sz w:val="22"/>
                <w:szCs w:val="20"/>
              </w:rPr>
            </w:pPr>
            <w:r w:rsidRPr="00454F99">
              <w:rPr>
                <w:sz w:val="22"/>
                <w:szCs w:val="20"/>
              </w:rPr>
              <w:t>Qu</w:t>
            </w:r>
            <w:r w:rsidRPr="00AF229F">
              <w:rPr>
                <w:sz w:val="22"/>
                <w:szCs w:val="20"/>
              </w:rPr>
              <w:t>a</w:t>
            </w:r>
            <w:r w:rsidRPr="004F0FBC">
              <w:rPr>
                <w:sz w:val="22"/>
                <w:szCs w:val="20"/>
              </w:rPr>
              <w:t>n</w:t>
            </w:r>
            <w:r w:rsidRPr="006462E3">
              <w:rPr>
                <w:sz w:val="22"/>
                <w:szCs w:val="20"/>
              </w:rPr>
              <w:t xml:space="preserve">do a injeção estiver completa, retire lentamente a </w:t>
            </w:r>
            <w:r>
              <w:rPr>
                <w:sz w:val="22"/>
                <w:szCs w:val="20"/>
              </w:rPr>
              <w:t>agulha da pele, procurando manter o mesmo ângulo da inserção.</w:t>
            </w:r>
          </w:p>
          <w:p w14:paraId="736D67F2" w14:textId="77777777" w:rsidR="008D13F4" w:rsidRPr="004931CE" w:rsidRDefault="008D13F4" w:rsidP="00040D46">
            <w:pPr>
              <w:keepNext/>
              <w:tabs>
                <w:tab w:val="left" w:pos="562"/>
              </w:tabs>
              <w:suppressAutoHyphens/>
              <w:rPr>
                <w:sz w:val="22"/>
                <w:szCs w:val="20"/>
              </w:rPr>
            </w:pPr>
          </w:p>
          <w:p w14:paraId="47399CAF" w14:textId="77777777" w:rsidR="008D13F4" w:rsidRPr="008B0DDF" w:rsidRDefault="00615769" w:rsidP="00040D46">
            <w:pPr>
              <w:keepNext/>
              <w:tabs>
                <w:tab w:val="left" w:pos="562"/>
              </w:tabs>
              <w:suppressAutoHyphens/>
              <w:rPr>
                <w:sz w:val="22"/>
                <w:szCs w:val="20"/>
              </w:rPr>
            </w:pPr>
            <w:r w:rsidRPr="008B0DDF">
              <w:rPr>
                <w:sz w:val="22"/>
                <w:szCs w:val="20"/>
              </w:rPr>
              <w:t>Após completar a injeção, pressione o local da injeção com algodão ou uma gaze.</w:t>
            </w:r>
          </w:p>
          <w:p w14:paraId="083CC377" w14:textId="77777777" w:rsidR="008D13F4" w:rsidRPr="008B0DDF" w:rsidRDefault="008D13F4" w:rsidP="00040D46">
            <w:pPr>
              <w:keepNext/>
              <w:tabs>
                <w:tab w:val="left" w:pos="562"/>
              </w:tabs>
              <w:suppressAutoHyphens/>
              <w:rPr>
                <w:sz w:val="22"/>
                <w:szCs w:val="20"/>
              </w:rPr>
            </w:pPr>
          </w:p>
          <w:p w14:paraId="1E235033" w14:textId="77777777" w:rsidR="008D13F4" w:rsidRPr="008B0DDF" w:rsidRDefault="00615769" w:rsidP="00040D46">
            <w:pPr>
              <w:keepNext/>
              <w:numPr>
                <w:ilvl w:val="0"/>
                <w:numId w:val="98"/>
              </w:numPr>
              <w:suppressAutoHyphens/>
              <w:ind w:left="545" w:hanging="545"/>
              <w:rPr>
                <w:sz w:val="22"/>
                <w:szCs w:val="20"/>
              </w:rPr>
            </w:pPr>
            <w:r w:rsidRPr="008B0DDF">
              <w:rPr>
                <w:b/>
                <w:sz w:val="22"/>
                <w:szCs w:val="20"/>
              </w:rPr>
              <w:t xml:space="preserve">Não </w:t>
            </w:r>
            <w:r w:rsidRPr="008B0DDF">
              <w:rPr>
                <w:sz w:val="22"/>
                <w:szCs w:val="20"/>
              </w:rPr>
              <w:t>friccione</w:t>
            </w:r>
          </w:p>
          <w:p w14:paraId="4BC86F32" w14:textId="77777777" w:rsidR="008D13F4" w:rsidRPr="006462E3" w:rsidRDefault="00615769" w:rsidP="00040D46">
            <w:pPr>
              <w:keepNext/>
              <w:numPr>
                <w:ilvl w:val="0"/>
                <w:numId w:val="98"/>
              </w:numPr>
              <w:suppressAutoHyphens/>
              <w:ind w:left="545" w:hanging="545"/>
              <w:rPr>
                <w:sz w:val="22"/>
                <w:szCs w:val="20"/>
              </w:rPr>
            </w:pPr>
            <w:r w:rsidRPr="00454F99">
              <w:rPr>
                <w:sz w:val="22"/>
                <w:szCs w:val="20"/>
              </w:rPr>
              <w:t>É</w:t>
            </w:r>
            <w:r w:rsidRPr="004F0FBC">
              <w:rPr>
                <w:sz w:val="22"/>
                <w:szCs w:val="20"/>
              </w:rPr>
              <w:t xml:space="preserve"> normal aparecer </w:t>
            </w:r>
            <w:r w:rsidRPr="006462E3">
              <w:rPr>
                <w:sz w:val="22"/>
                <w:szCs w:val="20"/>
              </w:rPr>
              <w:t>uma marca de sangue no local da injeção.</w:t>
            </w:r>
          </w:p>
        </w:tc>
      </w:tr>
      <w:tr w:rsidR="00A7162A" w14:paraId="576846D6" w14:textId="77777777" w:rsidTr="0074724A">
        <w:tc>
          <w:tcPr>
            <w:tcW w:w="9287" w:type="dxa"/>
            <w:gridSpan w:val="2"/>
          </w:tcPr>
          <w:p w14:paraId="431DA82A" w14:textId="77777777" w:rsidR="008D13F4" w:rsidRPr="00EC0461" w:rsidRDefault="00615769" w:rsidP="0074724A">
            <w:pPr>
              <w:keepNext/>
              <w:tabs>
                <w:tab w:val="left" w:pos="562"/>
              </w:tabs>
              <w:suppressAutoHyphens/>
              <w:rPr>
                <w:sz w:val="22"/>
              </w:rPr>
            </w:pPr>
            <w:r w:rsidRPr="008B0DDF">
              <w:rPr>
                <w:b/>
                <w:sz w:val="22"/>
              </w:rPr>
              <w:t>PASSO 9</w:t>
            </w:r>
          </w:p>
          <w:p w14:paraId="63C91F15" w14:textId="77777777" w:rsidR="008D13F4" w:rsidRPr="00EC0461" w:rsidRDefault="008D13F4" w:rsidP="0074724A">
            <w:pPr>
              <w:keepNext/>
              <w:tabs>
                <w:tab w:val="left" w:pos="562"/>
              </w:tabs>
              <w:suppressAutoHyphens/>
              <w:rPr>
                <w:sz w:val="22"/>
              </w:rPr>
            </w:pPr>
          </w:p>
          <w:p w14:paraId="35BA61F0" w14:textId="77777777" w:rsidR="008D13F4" w:rsidRPr="00454F99" w:rsidRDefault="00615769" w:rsidP="0074724A">
            <w:pPr>
              <w:keepNext/>
              <w:tabs>
                <w:tab w:val="left" w:pos="562"/>
              </w:tabs>
              <w:suppressAutoHyphens/>
              <w:rPr>
                <w:sz w:val="22"/>
                <w:szCs w:val="20"/>
              </w:rPr>
            </w:pPr>
            <w:r w:rsidRPr="00454F99">
              <w:rPr>
                <w:sz w:val="22"/>
                <w:szCs w:val="20"/>
              </w:rPr>
              <w:t xml:space="preserve">Elimine imediatamente a </w:t>
            </w:r>
            <w:r>
              <w:rPr>
                <w:sz w:val="22"/>
                <w:szCs w:val="20"/>
              </w:rPr>
              <w:t>seringa</w:t>
            </w:r>
            <w:r w:rsidRPr="00454F99">
              <w:rPr>
                <w:sz w:val="22"/>
                <w:szCs w:val="20"/>
              </w:rPr>
              <w:t xml:space="preserve"> pré</w:t>
            </w:r>
            <w:r w:rsidRPr="004F0FBC">
              <w:rPr>
                <w:sz w:val="22"/>
                <w:szCs w:val="20"/>
              </w:rPr>
              <w:t>-cheia utilizada num recipiente</w:t>
            </w:r>
            <w:r w:rsidRPr="006462E3">
              <w:rPr>
                <w:sz w:val="22"/>
                <w:szCs w:val="20"/>
              </w:rPr>
              <w:t xml:space="preserve"> próprio, de acordo com as instruções dadas pelo seu médico, enfermeiro ou farmacêutico</w:t>
            </w:r>
            <w:r>
              <w:rPr>
                <w:sz w:val="22"/>
                <w:szCs w:val="20"/>
              </w:rPr>
              <w:t xml:space="preserve">. </w:t>
            </w:r>
            <w:r w:rsidRPr="00825A68">
              <w:rPr>
                <w:b/>
                <w:sz w:val="22"/>
                <w:szCs w:val="20"/>
              </w:rPr>
              <w:t>Nunca</w:t>
            </w:r>
            <w:r>
              <w:rPr>
                <w:sz w:val="22"/>
                <w:szCs w:val="20"/>
              </w:rPr>
              <w:t xml:space="preserve"> voltar a colocar a tampa na agulha.</w:t>
            </w:r>
          </w:p>
          <w:p w14:paraId="4A4C10F3" w14:textId="77777777" w:rsidR="008D13F4" w:rsidRPr="004F0FBC" w:rsidRDefault="008D13F4" w:rsidP="0074724A">
            <w:pPr>
              <w:keepNext/>
              <w:tabs>
                <w:tab w:val="left" w:pos="562"/>
              </w:tabs>
              <w:suppressAutoHyphens/>
              <w:rPr>
                <w:sz w:val="22"/>
                <w:szCs w:val="20"/>
              </w:rPr>
            </w:pPr>
          </w:p>
          <w:p w14:paraId="63330F2B" w14:textId="77777777" w:rsidR="008D13F4" w:rsidRPr="009A05BE" w:rsidRDefault="00615769" w:rsidP="0074724A">
            <w:pPr>
              <w:keepNext/>
              <w:numPr>
                <w:ilvl w:val="0"/>
                <w:numId w:val="99"/>
              </w:numPr>
              <w:suppressAutoHyphens/>
              <w:ind w:left="567" w:hanging="567"/>
              <w:rPr>
                <w:sz w:val="22"/>
                <w:szCs w:val="20"/>
              </w:rPr>
            </w:pPr>
            <w:r w:rsidRPr="006462E3">
              <w:rPr>
                <w:b/>
                <w:sz w:val="22"/>
                <w:szCs w:val="20"/>
              </w:rPr>
              <w:t xml:space="preserve">Não </w:t>
            </w:r>
            <w:r w:rsidRPr="006462E3">
              <w:rPr>
                <w:sz w:val="22"/>
                <w:szCs w:val="20"/>
              </w:rPr>
              <w:t xml:space="preserve">deite fora ou recicle a </w:t>
            </w:r>
            <w:r>
              <w:rPr>
                <w:sz w:val="22"/>
                <w:szCs w:val="20"/>
              </w:rPr>
              <w:t>seringa</w:t>
            </w:r>
            <w:r w:rsidRPr="006462E3">
              <w:rPr>
                <w:sz w:val="22"/>
                <w:szCs w:val="20"/>
              </w:rPr>
              <w:t xml:space="preserve"> pré-cheia no lixo doméstico</w:t>
            </w:r>
          </w:p>
          <w:p w14:paraId="38D9DD1B" w14:textId="77777777" w:rsidR="008D13F4" w:rsidRPr="005F6F98" w:rsidRDefault="00615769" w:rsidP="0074724A">
            <w:pPr>
              <w:keepNext/>
              <w:numPr>
                <w:ilvl w:val="0"/>
                <w:numId w:val="99"/>
              </w:numPr>
              <w:suppressAutoHyphens/>
              <w:ind w:left="567" w:hanging="567"/>
              <w:rPr>
                <w:sz w:val="22"/>
                <w:szCs w:val="20"/>
              </w:rPr>
            </w:pPr>
            <w:r w:rsidRPr="00854C93">
              <w:rPr>
                <w:sz w:val="22"/>
                <w:szCs w:val="20"/>
              </w:rPr>
              <w:t xml:space="preserve">Manter </w:t>
            </w:r>
            <w:r w:rsidRPr="0089156B">
              <w:rPr>
                <w:b/>
                <w:sz w:val="22"/>
                <w:szCs w:val="20"/>
              </w:rPr>
              <w:t xml:space="preserve">sempre </w:t>
            </w:r>
            <w:r w:rsidRPr="000B3FE3">
              <w:rPr>
                <w:sz w:val="22"/>
                <w:szCs w:val="20"/>
              </w:rPr>
              <w:t xml:space="preserve">a </w:t>
            </w:r>
            <w:r>
              <w:rPr>
                <w:sz w:val="22"/>
                <w:szCs w:val="20"/>
              </w:rPr>
              <w:t>seringa</w:t>
            </w:r>
            <w:r w:rsidRPr="000B3FE3">
              <w:rPr>
                <w:sz w:val="22"/>
                <w:szCs w:val="20"/>
              </w:rPr>
              <w:t xml:space="preserve"> pré-cheia</w:t>
            </w:r>
            <w:r w:rsidRPr="000B3FE3">
              <w:rPr>
                <w:b/>
                <w:sz w:val="22"/>
                <w:szCs w:val="20"/>
              </w:rPr>
              <w:t xml:space="preserve"> </w:t>
            </w:r>
            <w:r w:rsidRPr="000B3FE3">
              <w:rPr>
                <w:sz w:val="22"/>
                <w:szCs w:val="20"/>
              </w:rPr>
              <w:t>e o recipient</w:t>
            </w:r>
            <w:r w:rsidRPr="004931CE">
              <w:rPr>
                <w:sz w:val="22"/>
                <w:szCs w:val="20"/>
              </w:rPr>
              <w:t>e</w:t>
            </w:r>
            <w:r w:rsidRPr="00653128">
              <w:rPr>
                <w:sz w:val="22"/>
                <w:szCs w:val="20"/>
              </w:rPr>
              <w:t xml:space="preserve"> próprio for</w:t>
            </w:r>
            <w:r w:rsidRPr="002D4DE5">
              <w:rPr>
                <w:sz w:val="22"/>
                <w:szCs w:val="20"/>
              </w:rPr>
              <w:t>a</w:t>
            </w:r>
            <w:r w:rsidRPr="00003560">
              <w:rPr>
                <w:sz w:val="22"/>
                <w:szCs w:val="20"/>
              </w:rPr>
              <w:t xml:space="preserve"> </w:t>
            </w:r>
            <w:r w:rsidRPr="005F6F98">
              <w:rPr>
                <w:sz w:val="22"/>
                <w:szCs w:val="20"/>
              </w:rPr>
              <w:t>da vista e do alcance das crianças.</w:t>
            </w:r>
          </w:p>
          <w:p w14:paraId="190431A6" w14:textId="77777777" w:rsidR="008D13F4" w:rsidRDefault="008D13F4" w:rsidP="0074724A">
            <w:pPr>
              <w:keepNext/>
              <w:tabs>
                <w:tab w:val="left" w:pos="562"/>
              </w:tabs>
              <w:suppressAutoHyphens/>
              <w:rPr>
                <w:sz w:val="22"/>
                <w:szCs w:val="22"/>
              </w:rPr>
            </w:pPr>
          </w:p>
          <w:p w14:paraId="50F162CE" w14:textId="77777777" w:rsidR="008D13F4" w:rsidRPr="008B0DDF" w:rsidRDefault="00615769" w:rsidP="00257246">
            <w:pPr>
              <w:keepNext/>
              <w:tabs>
                <w:tab w:val="left" w:pos="562"/>
              </w:tabs>
              <w:suppressAutoHyphens/>
              <w:rPr>
                <w:sz w:val="22"/>
                <w:szCs w:val="20"/>
              </w:rPr>
            </w:pPr>
            <w:r w:rsidRPr="002B2441">
              <w:rPr>
                <w:sz w:val="22"/>
                <w:szCs w:val="22"/>
              </w:rPr>
              <w:t xml:space="preserve">A tampa, a compressa embebida em </w:t>
            </w:r>
            <w:r w:rsidRPr="00B830EC">
              <w:rPr>
                <w:sz w:val="22"/>
                <w:szCs w:val="22"/>
              </w:rPr>
              <w:t>álcool</w:t>
            </w:r>
            <w:r w:rsidRPr="008B0DDF">
              <w:rPr>
                <w:sz w:val="22"/>
                <w:szCs w:val="22"/>
              </w:rPr>
              <w:t>, o algodão, a gaze, o blister, e a embalagem, podem ser deitados fora no lixo doméstico.</w:t>
            </w:r>
          </w:p>
        </w:tc>
      </w:tr>
    </w:tbl>
    <w:p w14:paraId="56725CF4" w14:textId="77777777" w:rsidR="008D13F4" w:rsidRDefault="008D13F4" w:rsidP="008D13F4">
      <w:pPr>
        <w:rPr>
          <w:sz w:val="22"/>
          <w:szCs w:val="22"/>
        </w:rPr>
      </w:pPr>
    </w:p>
    <w:p w14:paraId="7C64D4FA" w14:textId="77777777" w:rsidR="008D13F4" w:rsidRDefault="00615769" w:rsidP="008D13F4">
      <w:pPr>
        <w:spacing w:after="200" w:line="276" w:lineRule="auto"/>
        <w:rPr>
          <w:sz w:val="22"/>
          <w:szCs w:val="22"/>
        </w:rPr>
      </w:pPr>
      <w:r>
        <w:rPr>
          <w:sz w:val="22"/>
          <w:szCs w:val="22"/>
        </w:rPr>
        <w:br w:type="page"/>
      </w:r>
    </w:p>
    <w:p w14:paraId="434B80F1" w14:textId="77777777" w:rsidR="00CD7BFE" w:rsidRDefault="00CD7BFE">
      <w:pPr>
        <w:spacing w:after="200" w:line="276" w:lineRule="auto"/>
        <w:rPr>
          <w:rFonts w:cs="Times New Roman Bold"/>
          <w:b/>
          <w:bCs/>
          <w:sz w:val="22"/>
          <w:szCs w:val="22"/>
        </w:rPr>
      </w:pPr>
    </w:p>
    <w:p w14:paraId="429E7CC9" w14:textId="77777777" w:rsidR="004462A0" w:rsidRPr="001242C2" w:rsidRDefault="00615769" w:rsidP="008D13F4">
      <w:pPr>
        <w:suppressAutoHyphens/>
        <w:ind w:left="567" w:hanging="567"/>
        <w:jc w:val="center"/>
        <w:rPr>
          <w:rFonts w:cs="Times New Roman Bold"/>
          <w:b/>
          <w:caps/>
          <w:sz w:val="22"/>
          <w:szCs w:val="22"/>
        </w:rPr>
      </w:pPr>
      <w:r w:rsidRPr="001242C2">
        <w:rPr>
          <w:rFonts w:cs="Times New Roman Bold"/>
          <w:b/>
          <w:bCs/>
          <w:sz w:val="22"/>
          <w:szCs w:val="22"/>
        </w:rPr>
        <w:t>Folheto informativo:</w:t>
      </w:r>
      <w:r w:rsidRPr="001242C2">
        <w:rPr>
          <w:rFonts w:cs="Times New Roman Bold"/>
          <w:b/>
          <w:sz w:val="22"/>
          <w:szCs w:val="22"/>
        </w:rPr>
        <w:t xml:space="preserve"> Informação para o </w:t>
      </w:r>
      <w:r w:rsidR="00E27628">
        <w:rPr>
          <w:rFonts w:cs="Times New Roman Bold"/>
          <w:b/>
          <w:sz w:val="22"/>
          <w:szCs w:val="22"/>
        </w:rPr>
        <w:t>doente</w:t>
      </w:r>
    </w:p>
    <w:p w14:paraId="5525FFB0" w14:textId="77777777" w:rsidR="004462A0" w:rsidRPr="001242C2" w:rsidRDefault="004462A0" w:rsidP="004462A0">
      <w:pPr>
        <w:pStyle w:val="EMEATitle"/>
        <w:tabs>
          <w:tab w:val="clear" w:pos="562"/>
        </w:tabs>
        <w:suppressAutoHyphens w:val="0"/>
        <w:rPr>
          <w:rFonts w:ascii="Times New Roman" w:hAnsi="Times New Roman"/>
          <w:caps w:val="0"/>
          <w:szCs w:val="22"/>
          <w:lang w:val="pt-PT"/>
        </w:rPr>
      </w:pPr>
    </w:p>
    <w:p w14:paraId="2DCEE685" w14:textId="77777777" w:rsidR="004462A0" w:rsidRPr="001242C2" w:rsidRDefault="00615769" w:rsidP="004462A0">
      <w:pPr>
        <w:jc w:val="center"/>
        <w:rPr>
          <w:b/>
          <w:sz w:val="22"/>
          <w:szCs w:val="22"/>
        </w:rPr>
      </w:pPr>
      <w:r w:rsidRPr="001242C2">
        <w:rPr>
          <w:b/>
          <w:sz w:val="22"/>
          <w:szCs w:val="22"/>
        </w:rPr>
        <w:t xml:space="preserve">Humira </w:t>
      </w:r>
      <w:r w:rsidRPr="001242C2">
        <w:rPr>
          <w:b/>
          <w:bCs/>
          <w:sz w:val="22"/>
          <w:szCs w:val="22"/>
        </w:rPr>
        <w:t>40 mg solução injetável em caneta pré-cheia</w:t>
      </w:r>
    </w:p>
    <w:p w14:paraId="756E3F26" w14:textId="77777777" w:rsidR="004462A0" w:rsidRPr="001242C2" w:rsidRDefault="00615769" w:rsidP="004462A0">
      <w:pPr>
        <w:jc w:val="center"/>
        <w:rPr>
          <w:bCs/>
          <w:sz w:val="22"/>
          <w:szCs w:val="22"/>
        </w:rPr>
      </w:pPr>
      <w:r w:rsidRPr="001242C2">
        <w:rPr>
          <w:bCs/>
          <w:sz w:val="22"/>
          <w:szCs w:val="22"/>
        </w:rPr>
        <w:t>adalimumab</w:t>
      </w:r>
    </w:p>
    <w:p w14:paraId="217995E9" w14:textId="77777777" w:rsidR="004462A0" w:rsidRPr="001242C2" w:rsidRDefault="004462A0" w:rsidP="004462A0">
      <w:pPr>
        <w:jc w:val="center"/>
        <w:rPr>
          <w:b/>
          <w:sz w:val="22"/>
          <w:szCs w:val="22"/>
        </w:rPr>
      </w:pPr>
    </w:p>
    <w:p w14:paraId="5078BDEC" w14:textId="77777777" w:rsidR="004462A0" w:rsidRPr="001242C2" w:rsidRDefault="00615769" w:rsidP="004462A0">
      <w:pPr>
        <w:ind w:right="-2"/>
        <w:rPr>
          <w:sz w:val="22"/>
          <w:szCs w:val="22"/>
        </w:rPr>
      </w:pPr>
      <w:r w:rsidRPr="001242C2">
        <w:rPr>
          <w:b/>
          <w:sz w:val="22"/>
          <w:szCs w:val="22"/>
        </w:rPr>
        <w:t>Leia com atenção todo este folheto antes de começar a utilizar este medicamento, pois contém informação importante para si</w:t>
      </w:r>
      <w:r w:rsidR="00E47A88" w:rsidRPr="001242C2">
        <w:rPr>
          <w:b/>
          <w:sz w:val="22"/>
          <w:szCs w:val="22"/>
        </w:rPr>
        <w:t>.</w:t>
      </w:r>
      <w:r w:rsidRPr="001242C2">
        <w:rPr>
          <w:b/>
          <w:sz w:val="22"/>
          <w:szCs w:val="22"/>
        </w:rPr>
        <w:t xml:space="preserve"> </w:t>
      </w:r>
    </w:p>
    <w:p w14:paraId="431ADC01" w14:textId="77777777" w:rsidR="004462A0" w:rsidRPr="001242C2" w:rsidRDefault="00615769" w:rsidP="004462A0">
      <w:pPr>
        <w:numPr>
          <w:ilvl w:val="0"/>
          <w:numId w:val="59"/>
        </w:numPr>
        <w:ind w:right="-2"/>
        <w:rPr>
          <w:sz w:val="22"/>
          <w:szCs w:val="22"/>
        </w:rPr>
      </w:pPr>
      <w:r w:rsidRPr="001242C2">
        <w:rPr>
          <w:sz w:val="22"/>
          <w:szCs w:val="22"/>
        </w:rPr>
        <w:t>Conserve este folheto. Pode ter necessidade de o ler novamente.</w:t>
      </w:r>
    </w:p>
    <w:p w14:paraId="7876E0F6" w14:textId="77777777" w:rsidR="004462A0" w:rsidRPr="00454F99" w:rsidRDefault="00615769" w:rsidP="004462A0">
      <w:pPr>
        <w:numPr>
          <w:ilvl w:val="0"/>
          <w:numId w:val="19"/>
        </w:numPr>
        <w:ind w:right="-2"/>
        <w:rPr>
          <w:sz w:val="22"/>
          <w:szCs w:val="22"/>
        </w:rPr>
      </w:pPr>
      <w:r w:rsidRPr="001242C2">
        <w:rPr>
          <w:sz w:val="22"/>
          <w:szCs w:val="22"/>
        </w:rPr>
        <w:t xml:space="preserve">O seu médico vai dar-lhe também um </w:t>
      </w:r>
      <w:r w:rsidRPr="001242C2">
        <w:rPr>
          <w:b/>
          <w:sz w:val="22"/>
          <w:szCs w:val="22"/>
        </w:rPr>
        <w:t>Cartão de Segurança do Doente</w:t>
      </w:r>
      <w:r w:rsidRPr="001242C2">
        <w:rPr>
          <w:sz w:val="22"/>
          <w:szCs w:val="22"/>
        </w:rPr>
        <w:t xml:space="preserve">, que contém informação de segurança importante que precisa conhecer, antes e durante </w:t>
      </w:r>
      <w:r w:rsidRPr="006462E3">
        <w:rPr>
          <w:sz w:val="22"/>
          <w:szCs w:val="22"/>
        </w:rPr>
        <w:t xml:space="preserve">o tratamento com Humira. Mantenha o </w:t>
      </w:r>
      <w:r w:rsidRPr="008B0DDF">
        <w:rPr>
          <w:b/>
          <w:sz w:val="22"/>
          <w:szCs w:val="22"/>
        </w:rPr>
        <w:t xml:space="preserve">Cartão de Segurança do Doente </w:t>
      </w:r>
      <w:r w:rsidRPr="00454F99">
        <w:rPr>
          <w:sz w:val="22"/>
          <w:szCs w:val="22"/>
        </w:rPr>
        <w:t>consigo.</w:t>
      </w:r>
    </w:p>
    <w:p w14:paraId="03A12BF7" w14:textId="77777777" w:rsidR="004462A0" w:rsidRPr="006462E3" w:rsidRDefault="00615769" w:rsidP="004462A0">
      <w:pPr>
        <w:numPr>
          <w:ilvl w:val="0"/>
          <w:numId w:val="59"/>
        </w:numPr>
        <w:ind w:right="-2"/>
        <w:rPr>
          <w:sz w:val="22"/>
          <w:szCs w:val="22"/>
        </w:rPr>
      </w:pPr>
      <w:r w:rsidRPr="004F0FBC">
        <w:rPr>
          <w:sz w:val="22"/>
          <w:szCs w:val="22"/>
        </w:rPr>
        <w:t xml:space="preserve">Caso </w:t>
      </w:r>
      <w:r w:rsidR="0083458C">
        <w:rPr>
          <w:sz w:val="22"/>
          <w:szCs w:val="22"/>
        </w:rPr>
        <w:t xml:space="preserve">ainda </w:t>
      </w:r>
      <w:r w:rsidRPr="006462E3">
        <w:rPr>
          <w:sz w:val="22"/>
          <w:szCs w:val="22"/>
        </w:rPr>
        <w:t>tenha dúvidas, fale com o seu médico ou farmacêutico.</w:t>
      </w:r>
    </w:p>
    <w:p w14:paraId="59205A1A" w14:textId="77777777" w:rsidR="004462A0" w:rsidRPr="006462E3" w:rsidRDefault="00615769" w:rsidP="004462A0">
      <w:pPr>
        <w:numPr>
          <w:ilvl w:val="0"/>
          <w:numId w:val="59"/>
        </w:numPr>
        <w:ind w:right="-2"/>
        <w:rPr>
          <w:b/>
          <w:sz w:val="22"/>
          <w:szCs w:val="22"/>
        </w:rPr>
      </w:pPr>
      <w:r w:rsidRPr="006462E3">
        <w:rPr>
          <w:sz w:val="22"/>
          <w:szCs w:val="22"/>
        </w:rPr>
        <w:t>Este medicamento foi receitado apenas para si. Não deve dá-lo a outros. O medicamento pode ser-lhes prejudicial mesmo que apresentem os mesmos sinais de doença.</w:t>
      </w:r>
    </w:p>
    <w:p w14:paraId="492D7A33" w14:textId="77777777" w:rsidR="004462A0" w:rsidRPr="00653128" w:rsidRDefault="00615769" w:rsidP="004462A0">
      <w:pPr>
        <w:numPr>
          <w:ilvl w:val="0"/>
          <w:numId w:val="59"/>
        </w:numPr>
        <w:ind w:right="-2"/>
        <w:rPr>
          <w:b/>
          <w:sz w:val="22"/>
          <w:szCs w:val="22"/>
        </w:rPr>
      </w:pPr>
      <w:r w:rsidRPr="009A05BE">
        <w:rPr>
          <w:sz w:val="22"/>
          <w:szCs w:val="22"/>
        </w:rPr>
        <w:t xml:space="preserve">Se tiver quaisquer efeitos </w:t>
      </w:r>
      <w:r w:rsidR="00571C82">
        <w:rPr>
          <w:sz w:val="22"/>
          <w:szCs w:val="22"/>
        </w:rPr>
        <w:t>indesejáveis</w:t>
      </w:r>
      <w:r w:rsidRPr="009A05BE">
        <w:rPr>
          <w:sz w:val="22"/>
          <w:szCs w:val="22"/>
        </w:rPr>
        <w:t xml:space="preserve">, incluindo possíveis efeitos </w:t>
      </w:r>
      <w:r w:rsidR="00571C82">
        <w:rPr>
          <w:sz w:val="22"/>
          <w:szCs w:val="22"/>
        </w:rPr>
        <w:t>indesejáveis</w:t>
      </w:r>
      <w:r w:rsidRPr="00854C93">
        <w:rPr>
          <w:sz w:val="22"/>
          <w:szCs w:val="22"/>
        </w:rPr>
        <w:t xml:space="preserve"> não indicados neste folheto, fale com o seu médico ou farmacêutico</w:t>
      </w:r>
      <w:r w:rsidRPr="0089156B">
        <w:rPr>
          <w:sz w:val="22"/>
          <w:szCs w:val="22"/>
        </w:rPr>
        <w:t xml:space="preserve">. </w:t>
      </w:r>
      <w:r w:rsidRPr="000B3FE3">
        <w:rPr>
          <w:sz w:val="22"/>
          <w:szCs w:val="22"/>
        </w:rPr>
        <w:t>Ver secção 4</w:t>
      </w:r>
      <w:r w:rsidRPr="004931CE">
        <w:rPr>
          <w:sz w:val="22"/>
          <w:szCs w:val="22"/>
        </w:rPr>
        <w:t>.</w:t>
      </w:r>
    </w:p>
    <w:p w14:paraId="70B5DFCD" w14:textId="77777777" w:rsidR="004462A0" w:rsidRPr="00653128" w:rsidRDefault="004462A0" w:rsidP="004462A0">
      <w:pPr>
        <w:ind w:right="-2"/>
        <w:rPr>
          <w:sz w:val="22"/>
          <w:szCs w:val="22"/>
          <w:u w:val="single"/>
        </w:rPr>
      </w:pPr>
    </w:p>
    <w:p w14:paraId="0C579D2F" w14:textId="77777777" w:rsidR="004462A0" w:rsidRPr="007F623A" w:rsidRDefault="00615769" w:rsidP="004462A0">
      <w:pPr>
        <w:ind w:right="-2"/>
        <w:rPr>
          <w:sz w:val="22"/>
          <w:szCs w:val="22"/>
        </w:rPr>
      </w:pPr>
      <w:r w:rsidRPr="00F1550B">
        <w:rPr>
          <w:b/>
          <w:sz w:val="22"/>
          <w:szCs w:val="22"/>
        </w:rPr>
        <w:t>O que contém este folheto</w:t>
      </w:r>
      <w:r w:rsidRPr="007F623A">
        <w:rPr>
          <w:sz w:val="22"/>
          <w:szCs w:val="22"/>
        </w:rPr>
        <w:t xml:space="preserve"> </w:t>
      </w:r>
    </w:p>
    <w:p w14:paraId="1835C228" w14:textId="77777777" w:rsidR="004462A0" w:rsidRPr="002D4DE5" w:rsidRDefault="00615769" w:rsidP="004462A0">
      <w:pPr>
        <w:ind w:left="567" w:right="-28" w:hanging="567"/>
        <w:rPr>
          <w:sz w:val="22"/>
          <w:szCs w:val="22"/>
        </w:rPr>
      </w:pPr>
      <w:r w:rsidRPr="002D4DE5">
        <w:rPr>
          <w:sz w:val="22"/>
          <w:szCs w:val="22"/>
        </w:rPr>
        <w:t>1.</w:t>
      </w:r>
      <w:r w:rsidRPr="002D4DE5">
        <w:rPr>
          <w:sz w:val="22"/>
          <w:szCs w:val="22"/>
        </w:rPr>
        <w:tab/>
        <w:t xml:space="preserve">O que é Humira e para que é utilizado </w:t>
      </w:r>
    </w:p>
    <w:p w14:paraId="61664734" w14:textId="77777777" w:rsidR="004462A0" w:rsidRPr="009A05BE" w:rsidRDefault="00615769" w:rsidP="004462A0">
      <w:pPr>
        <w:ind w:left="567" w:right="-28" w:hanging="567"/>
        <w:rPr>
          <w:sz w:val="22"/>
          <w:szCs w:val="22"/>
        </w:rPr>
      </w:pPr>
      <w:r w:rsidRPr="002D4DE5">
        <w:rPr>
          <w:sz w:val="22"/>
          <w:szCs w:val="22"/>
        </w:rPr>
        <w:t>2.</w:t>
      </w:r>
      <w:r w:rsidRPr="002D4DE5">
        <w:rPr>
          <w:sz w:val="22"/>
          <w:szCs w:val="22"/>
        </w:rPr>
        <w:tab/>
      </w:r>
      <w:r w:rsidRPr="008B0DDF">
        <w:rPr>
          <w:sz w:val="22"/>
          <w:szCs w:val="22"/>
        </w:rPr>
        <w:t xml:space="preserve">O que precisa de saber antes </w:t>
      </w:r>
      <w:r w:rsidRPr="006462E3">
        <w:rPr>
          <w:sz w:val="22"/>
          <w:szCs w:val="22"/>
        </w:rPr>
        <w:t>de utilizar Humira</w:t>
      </w:r>
    </w:p>
    <w:p w14:paraId="2BC68B74" w14:textId="77777777" w:rsidR="004462A0" w:rsidRPr="00854C93" w:rsidRDefault="00615769" w:rsidP="004462A0">
      <w:pPr>
        <w:ind w:left="567" w:right="-28" w:hanging="567"/>
        <w:rPr>
          <w:sz w:val="22"/>
          <w:szCs w:val="22"/>
        </w:rPr>
      </w:pPr>
      <w:r w:rsidRPr="00854C93">
        <w:rPr>
          <w:sz w:val="22"/>
          <w:szCs w:val="22"/>
        </w:rPr>
        <w:t>3.</w:t>
      </w:r>
      <w:r w:rsidRPr="00854C93">
        <w:rPr>
          <w:sz w:val="22"/>
          <w:szCs w:val="22"/>
        </w:rPr>
        <w:tab/>
      </w:r>
      <w:r w:rsidRPr="00854C93">
        <w:rPr>
          <w:sz w:val="22"/>
          <w:szCs w:val="22"/>
        </w:rPr>
        <w:t>Como utilizar Humira</w:t>
      </w:r>
    </w:p>
    <w:p w14:paraId="7AE0BAC0" w14:textId="77777777" w:rsidR="004462A0" w:rsidRPr="0089156B" w:rsidRDefault="00615769" w:rsidP="004462A0">
      <w:pPr>
        <w:ind w:left="567" w:right="-28" w:hanging="567"/>
        <w:rPr>
          <w:sz w:val="22"/>
          <w:szCs w:val="22"/>
        </w:rPr>
      </w:pPr>
      <w:r w:rsidRPr="0089156B">
        <w:rPr>
          <w:sz w:val="22"/>
          <w:szCs w:val="22"/>
        </w:rPr>
        <w:t>4.</w:t>
      </w:r>
      <w:r w:rsidRPr="0089156B">
        <w:rPr>
          <w:sz w:val="22"/>
          <w:szCs w:val="22"/>
        </w:rPr>
        <w:tab/>
        <w:t xml:space="preserve">Efeitos </w:t>
      </w:r>
      <w:r w:rsidR="00571C82">
        <w:rPr>
          <w:sz w:val="22"/>
          <w:szCs w:val="22"/>
        </w:rPr>
        <w:t>indesejáveis</w:t>
      </w:r>
      <w:r w:rsidRPr="0089156B">
        <w:rPr>
          <w:sz w:val="22"/>
          <w:szCs w:val="22"/>
        </w:rPr>
        <w:t xml:space="preserve"> possíveis </w:t>
      </w:r>
    </w:p>
    <w:p w14:paraId="1A69613F" w14:textId="77777777" w:rsidR="004462A0" w:rsidRPr="000B3FE3" w:rsidRDefault="00615769" w:rsidP="004462A0">
      <w:pPr>
        <w:ind w:left="567" w:right="-28" w:hanging="567"/>
        <w:rPr>
          <w:sz w:val="22"/>
          <w:szCs w:val="22"/>
        </w:rPr>
      </w:pPr>
      <w:r w:rsidRPr="000B3FE3">
        <w:rPr>
          <w:sz w:val="22"/>
          <w:szCs w:val="22"/>
        </w:rPr>
        <w:t>5</w:t>
      </w:r>
      <w:r w:rsidR="00E47A88">
        <w:rPr>
          <w:sz w:val="22"/>
          <w:szCs w:val="22"/>
        </w:rPr>
        <w:t>.</w:t>
      </w:r>
      <w:r w:rsidRPr="000B3FE3">
        <w:rPr>
          <w:sz w:val="22"/>
          <w:szCs w:val="22"/>
        </w:rPr>
        <w:tab/>
        <w:t>Como conservar Humira</w:t>
      </w:r>
    </w:p>
    <w:p w14:paraId="57C46D5A" w14:textId="77777777" w:rsidR="004462A0" w:rsidRPr="008B0DDF" w:rsidRDefault="00615769" w:rsidP="004462A0">
      <w:pPr>
        <w:ind w:left="567" w:right="-28" w:hanging="567"/>
        <w:rPr>
          <w:sz w:val="22"/>
          <w:szCs w:val="22"/>
        </w:rPr>
      </w:pPr>
      <w:r w:rsidRPr="000B3FE3">
        <w:rPr>
          <w:sz w:val="22"/>
          <w:szCs w:val="22"/>
        </w:rPr>
        <w:t>6.</w:t>
      </w:r>
      <w:r w:rsidRPr="000B3FE3">
        <w:rPr>
          <w:sz w:val="22"/>
          <w:szCs w:val="22"/>
        </w:rPr>
        <w:tab/>
      </w:r>
      <w:r w:rsidRPr="008B0DDF">
        <w:rPr>
          <w:sz w:val="22"/>
          <w:szCs w:val="22"/>
        </w:rPr>
        <w:t>Conteúdo da embalagem e outras informações</w:t>
      </w:r>
    </w:p>
    <w:p w14:paraId="25A3E9C4" w14:textId="77777777" w:rsidR="004462A0" w:rsidRPr="006462E3" w:rsidRDefault="00615769" w:rsidP="004462A0">
      <w:pPr>
        <w:ind w:left="567" w:right="-28" w:hanging="567"/>
        <w:rPr>
          <w:sz w:val="22"/>
          <w:szCs w:val="22"/>
        </w:rPr>
      </w:pPr>
      <w:r w:rsidRPr="006462E3">
        <w:t>7.</w:t>
      </w:r>
      <w:r w:rsidRPr="006462E3">
        <w:tab/>
      </w:r>
      <w:r w:rsidR="006057F6">
        <w:t>Injetar Humira</w:t>
      </w:r>
      <w:r w:rsidRPr="006462E3">
        <w:rPr>
          <w:sz w:val="22"/>
          <w:szCs w:val="22"/>
        </w:rPr>
        <w:t xml:space="preserve"> </w:t>
      </w:r>
    </w:p>
    <w:p w14:paraId="1C4BD667" w14:textId="77777777" w:rsidR="004462A0" w:rsidRPr="009A05BE" w:rsidRDefault="004462A0" w:rsidP="004462A0">
      <w:pPr>
        <w:ind w:right="-2"/>
        <w:rPr>
          <w:sz w:val="22"/>
          <w:szCs w:val="22"/>
        </w:rPr>
      </w:pPr>
    </w:p>
    <w:p w14:paraId="246CEADC" w14:textId="77777777" w:rsidR="004462A0" w:rsidRPr="00854C93" w:rsidRDefault="004462A0" w:rsidP="004462A0">
      <w:pPr>
        <w:ind w:right="-2"/>
        <w:rPr>
          <w:sz w:val="22"/>
          <w:szCs w:val="22"/>
        </w:rPr>
      </w:pPr>
    </w:p>
    <w:p w14:paraId="017AD1AB" w14:textId="77777777" w:rsidR="004462A0" w:rsidRPr="0089156B" w:rsidRDefault="00615769" w:rsidP="004462A0">
      <w:pPr>
        <w:ind w:left="567" w:hanging="567"/>
        <w:rPr>
          <w:sz w:val="22"/>
          <w:szCs w:val="22"/>
        </w:rPr>
      </w:pPr>
      <w:r w:rsidRPr="0089156B">
        <w:rPr>
          <w:b/>
          <w:sz w:val="22"/>
          <w:szCs w:val="22"/>
        </w:rPr>
        <w:t>1.</w:t>
      </w:r>
      <w:r w:rsidRPr="0089156B">
        <w:rPr>
          <w:b/>
          <w:sz w:val="22"/>
          <w:szCs w:val="22"/>
        </w:rPr>
        <w:tab/>
        <w:t>O que é Humira e para que é utilizado</w:t>
      </w:r>
    </w:p>
    <w:p w14:paraId="5FCA3522" w14:textId="77777777" w:rsidR="004462A0" w:rsidRPr="000B3FE3" w:rsidRDefault="004462A0" w:rsidP="004462A0">
      <w:pPr>
        <w:ind w:right="-2"/>
        <w:rPr>
          <w:sz w:val="22"/>
          <w:szCs w:val="22"/>
        </w:rPr>
      </w:pPr>
    </w:p>
    <w:p w14:paraId="6B65330A" w14:textId="77777777" w:rsidR="004462A0" w:rsidRPr="008B0DDF" w:rsidRDefault="00615769" w:rsidP="004462A0">
      <w:pPr>
        <w:rPr>
          <w:sz w:val="22"/>
          <w:szCs w:val="22"/>
        </w:rPr>
      </w:pPr>
      <w:r w:rsidRPr="004931CE">
        <w:rPr>
          <w:sz w:val="22"/>
          <w:szCs w:val="22"/>
        </w:rPr>
        <w:t>Humira contém adalimumab como substância ativa</w:t>
      </w:r>
      <w:r w:rsidRPr="008B0DDF">
        <w:rPr>
          <w:sz w:val="22"/>
          <w:szCs w:val="22"/>
        </w:rPr>
        <w:t>.</w:t>
      </w:r>
    </w:p>
    <w:p w14:paraId="2463FC33" w14:textId="77777777" w:rsidR="004462A0" w:rsidRPr="008B0DDF" w:rsidRDefault="004462A0" w:rsidP="004462A0">
      <w:pPr>
        <w:rPr>
          <w:sz w:val="22"/>
          <w:szCs w:val="22"/>
        </w:rPr>
      </w:pPr>
    </w:p>
    <w:p w14:paraId="2ACEE3DB" w14:textId="77777777" w:rsidR="004462A0" w:rsidRPr="008B0DDF" w:rsidRDefault="00615769" w:rsidP="004462A0">
      <w:pPr>
        <w:rPr>
          <w:sz w:val="22"/>
          <w:szCs w:val="22"/>
        </w:rPr>
      </w:pPr>
      <w:r w:rsidRPr="008B0DDF">
        <w:rPr>
          <w:sz w:val="22"/>
          <w:szCs w:val="22"/>
        </w:rPr>
        <w:t>Humira é usado no tratamento da</w:t>
      </w:r>
    </w:p>
    <w:p w14:paraId="5E080C4B" w14:textId="77777777" w:rsidR="004462A0" w:rsidRPr="008B0DDF" w:rsidRDefault="00615769" w:rsidP="004462A0">
      <w:pPr>
        <w:numPr>
          <w:ilvl w:val="0"/>
          <w:numId w:val="84"/>
        </w:numPr>
        <w:ind w:left="567" w:hanging="567"/>
        <w:rPr>
          <w:sz w:val="22"/>
          <w:szCs w:val="22"/>
        </w:rPr>
      </w:pPr>
      <w:r w:rsidRPr="008B0DDF">
        <w:rPr>
          <w:sz w:val="22"/>
          <w:szCs w:val="22"/>
        </w:rPr>
        <w:t>Artrite reumatoide</w:t>
      </w:r>
    </w:p>
    <w:p w14:paraId="75CC7AE0" w14:textId="77777777" w:rsidR="004462A0" w:rsidRPr="008B0DDF" w:rsidRDefault="00615769" w:rsidP="004462A0">
      <w:pPr>
        <w:numPr>
          <w:ilvl w:val="0"/>
          <w:numId w:val="84"/>
        </w:numPr>
        <w:ind w:left="567" w:hanging="567"/>
        <w:rPr>
          <w:sz w:val="22"/>
          <w:szCs w:val="22"/>
        </w:rPr>
      </w:pPr>
      <w:r w:rsidRPr="008B0DDF">
        <w:rPr>
          <w:sz w:val="22"/>
          <w:szCs w:val="22"/>
        </w:rPr>
        <w:t>Artrite idiopática juvenil poliarticular</w:t>
      </w:r>
    </w:p>
    <w:p w14:paraId="4092D737" w14:textId="77777777" w:rsidR="004462A0" w:rsidRPr="008B0DDF" w:rsidRDefault="00615769" w:rsidP="004462A0">
      <w:pPr>
        <w:numPr>
          <w:ilvl w:val="0"/>
          <w:numId w:val="84"/>
        </w:numPr>
        <w:ind w:left="567" w:hanging="567"/>
        <w:rPr>
          <w:sz w:val="22"/>
          <w:szCs w:val="22"/>
        </w:rPr>
      </w:pPr>
      <w:r w:rsidRPr="008B0DDF">
        <w:rPr>
          <w:sz w:val="22"/>
          <w:szCs w:val="22"/>
        </w:rPr>
        <w:t>Artrite relacionada com entesite</w:t>
      </w:r>
    </w:p>
    <w:p w14:paraId="5C572BED" w14:textId="77777777" w:rsidR="004462A0" w:rsidRPr="008B0DDF" w:rsidRDefault="00615769" w:rsidP="004462A0">
      <w:pPr>
        <w:numPr>
          <w:ilvl w:val="0"/>
          <w:numId w:val="84"/>
        </w:numPr>
        <w:ind w:left="567" w:hanging="567"/>
        <w:rPr>
          <w:sz w:val="22"/>
          <w:szCs w:val="22"/>
        </w:rPr>
      </w:pPr>
      <w:r w:rsidRPr="008B0DDF">
        <w:rPr>
          <w:sz w:val="22"/>
          <w:szCs w:val="22"/>
        </w:rPr>
        <w:t>Espondilite anquilosante</w:t>
      </w:r>
    </w:p>
    <w:p w14:paraId="173CFFDD" w14:textId="77777777" w:rsidR="004462A0" w:rsidRPr="008B0DDF" w:rsidRDefault="00615769" w:rsidP="004462A0">
      <w:pPr>
        <w:numPr>
          <w:ilvl w:val="0"/>
          <w:numId w:val="84"/>
        </w:numPr>
        <w:ind w:left="567" w:hanging="567"/>
        <w:rPr>
          <w:sz w:val="22"/>
          <w:szCs w:val="22"/>
        </w:rPr>
      </w:pPr>
      <w:r w:rsidRPr="008B0DDF">
        <w:rPr>
          <w:sz w:val="22"/>
          <w:szCs w:val="22"/>
        </w:rPr>
        <w:t>Espondilartrite axial sem evidência radiográfica de espondilite anquilosante</w:t>
      </w:r>
    </w:p>
    <w:p w14:paraId="1A306FD1" w14:textId="77777777" w:rsidR="004462A0" w:rsidRPr="008B0DDF" w:rsidRDefault="00615769" w:rsidP="004462A0">
      <w:pPr>
        <w:numPr>
          <w:ilvl w:val="0"/>
          <w:numId w:val="84"/>
        </w:numPr>
        <w:ind w:left="567" w:hanging="567"/>
        <w:rPr>
          <w:sz w:val="22"/>
          <w:szCs w:val="22"/>
        </w:rPr>
      </w:pPr>
      <w:r w:rsidRPr="008B0DDF">
        <w:rPr>
          <w:sz w:val="22"/>
          <w:szCs w:val="22"/>
        </w:rPr>
        <w:t>Artrite psoriática</w:t>
      </w:r>
    </w:p>
    <w:p w14:paraId="4F3E770C" w14:textId="77777777" w:rsidR="004462A0" w:rsidRPr="008B0DDF" w:rsidRDefault="00615769" w:rsidP="004462A0">
      <w:pPr>
        <w:numPr>
          <w:ilvl w:val="0"/>
          <w:numId w:val="84"/>
        </w:numPr>
        <w:ind w:left="567" w:hanging="567"/>
        <w:rPr>
          <w:sz w:val="22"/>
          <w:szCs w:val="22"/>
        </w:rPr>
      </w:pPr>
      <w:r w:rsidRPr="008B0DDF">
        <w:rPr>
          <w:sz w:val="22"/>
          <w:szCs w:val="22"/>
        </w:rPr>
        <w:t>Psoríase em placas</w:t>
      </w:r>
    </w:p>
    <w:p w14:paraId="2A69E432" w14:textId="77777777" w:rsidR="004462A0" w:rsidRPr="008B0DDF" w:rsidRDefault="00615769" w:rsidP="004462A0">
      <w:pPr>
        <w:numPr>
          <w:ilvl w:val="0"/>
          <w:numId w:val="84"/>
        </w:numPr>
        <w:ind w:left="567" w:hanging="567"/>
        <w:rPr>
          <w:sz w:val="22"/>
          <w:szCs w:val="22"/>
        </w:rPr>
      </w:pPr>
      <w:r w:rsidRPr="008B0DDF">
        <w:rPr>
          <w:sz w:val="22"/>
          <w:szCs w:val="22"/>
        </w:rPr>
        <w:t>Hidradenite supurativa</w:t>
      </w:r>
    </w:p>
    <w:p w14:paraId="3B642E07" w14:textId="77777777" w:rsidR="004462A0" w:rsidRPr="008B0DDF" w:rsidRDefault="00615769" w:rsidP="004462A0">
      <w:pPr>
        <w:numPr>
          <w:ilvl w:val="0"/>
          <w:numId w:val="84"/>
        </w:numPr>
        <w:ind w:left="567" w:hanging="567"/>
        <w:rPr>
          <w:sz w:val="22"/>
          <w:szCs w:val="22"/>
        </w:rPr>
      </w:pPr>
      <w:r w:rsidRPr="008B0DDF">
        <w:rPr>
          <w:sz w:val="22"/>
          <w:szCs w:val="22"/>
        </w:rPr>
        <w:t>Doença de Crohn</w:t>
      </w:r>
    </w:p>
    <w:p w14:paraId="0D46908C" w14:textId="77777777" w:rsidR="004462A0" w:rsidRDefault="00615769" w:rsidP="004462A0">
      <w:pPr>
        <w:numPr>
          <w:ilvl w:val="0"/>
          <w:numId w:val="84"/>
        </w:numPr>
        <w:ind w:left="567" w:hanging="567"/>
        <w:rPr>
          <w:sz w:val="22"/>
          <w:szCs w:val="22"/>
        </w:rPr>
      </w:pPr>
      <w:r w:rsidRPr="008B0DDF">
        <w:rPr>
          <w:sz w:val="22"/>
          <w:szCs w:val="22"/>
        </w:rPr>
        <w:t>Colite ulcerosa</w:t>
      </w:r>
    </w:p>
    <w:p w14:paraId="672401B4" w14:textId="77777777" w:rsidR="004462A0" w:rsidRPr="005F6F98" w:rsidRDefault="00615769" w:rsidP="004462A0">
      <w:pPr>
        <w:numPr>
          <w:ilvl w:val="0"/>
          <w:numId w:val="84"/>
        </w:numPr>
        <w:ind w:left="567" w:hanging="567"/>
        <w:rPr>
          <w:sz w:val="22"/>
          <w:szCs w:val="22"/>
        </w:rPr>
      </w:pPr>
      <w:r w:rsidRPr="005F6F98">
        <w:rPr>
          <w:sz w:val="22"/>
          <w:szCs w:val="22"/>
        </w:rPr>
        <w:t>Uveíte não infecciosa</w:t>
      </w:r>
    </w:p>
    <w:p w14:paraId="6B625518" w14:textId="77777777" w:rsidR="004462A0" w:rsidRDefault="00615769" w:rsidP="004462A0">
      <w:pPr>
        <w:rPr>
          <w:sz w:val="22"/>
          <w:szCs w:val="22"/>
        </w:rPr>
      </w:pPr>
      <w:r w:rsidRPr="00003560">
        <w:rPr>
          <w:sz w:val="22"/>
          <w:szCs w:val="22"/>
        </w:rPr>
        <w:t xml:space="preserve"> </w:t>
      </w:r>
    </w:p>
    <w:p w14:paraId="3667597A" w14:textId="77777777" w:rsidR="00ED0ED2" w:rsidRPr="007D762F" w:rsidRDefault="00615769" w:rsidP="00ED0ED2">
      <w:pPr>
        <w:ind w:right="-2"/>
        <w:rPr>
          <w:sz w:val="22"/>
          <w:szCs w:val="22"/>
        </w:rPr>
      </w:pPr>
      <w:r w:rsidRPr="007D762F">
        <w:rPr>
          <w:sz w:val="22"/>
          <w:szCs w:val="22"/>
        </w:rPr>
        <w:t>A substância ativa de Humira, adalimumab, é um anticorpo monoclonal humano. Os anticorpos monoclonais são proteínas que se ligam a um alvo específico.</w:t>
      </w:r>
    </w:p>
    <w:p w14:paraId="35E07C8E" w14:textId="77777777" w:rsidR="00ED0ED2" w:rsidRPr="007D762F" w:rsidRDefault="00ED0ED2" w:rsidP="00ED0ED2">
      <w:pPr>
        <w:ind w:right="-2"/>
        <w:rPr>
          <w:sz w:val="22"/>
          <w:szCs w:val="22"/>
        </w:rPr>
      </w:pPr>
    </w:p>
    <w:p w14:paraId="00172842" w14:textId="77777777" w:rsidR="00ED0ED2" w:rsidRDefault="00615769" w:rsidP="00ED0ED2">
      <w:pPr>
        <w:ind w:right="-2"/>
        <w:rPr>
          <w:sz w:val="22"/>
          <w:szCs w:val="22"/>
        </w:rPr>
      </w:pPr>
      <w:r w:rsidRPr="007D762F">
        <w:rPr>
          <w:sz w:val="22"/>
          <w:szCs w:val="22"/>
        </w:rPr>
        <w:t>O alvo de adalimumab é uma proteína denominada fator de necrose tumoral (TNFα), que está envolvida no sistema imunitário (defesa) e está presente em níveis aumentados nas doenças inflamatórias a</w:t>
      </w:r>
      <w:r w:rsidR="00816FFE">
        <w:rPr>
          <w:sz w:val="22"/>
          <w:szCs w:val="22"/>
        </w:rPr>
        <w:t>cima</w:t>
      </w:r>
      <w:r w:rsidRPr="007D762F">
        <w:rPr>
          <w:sz w:val="22"/>
          <w:szCs w:val="22"/>
        </w:rPr>
        <w:t xml:space="preserve"> mencionadas. </w:t>
      </w:r>
      <w:r w:rsidR="00D26B76">
        <w:rPr>
          <w:sz w:val="22"/>
          <w:szCs w:val="22"/>
        </w:rPr>
        <w:t>Ao ligar-se</w:t>
      </w:r>
      <w:r w:rsidRPr="007D762F">
        <w:rPr>
          <w:sz w:val="22"/>
          <w:szCs w:val="22"/>
        </w:rPr>
        <w:t xml:space="preserve"> ao TNFα, Humira diminui o processo inflamatório destas doenças.</w:t>
      </w:r>
    </w:p>
    <w:p w14:paraId="13702932" w14:textId="77777777" w:rsidR="004462A0" w:rsidRPr="008B0DDF" w:rsidRDefault="004462A0" w:rsidP="004462A0">
      <w:pPr>
        <w:rPr>
          <w:sz w:val="22"/>
          <w:szCs w:val="22"/>
        </w:rPr>
      </w:pPr>
    </w:p>
    <w:p w14:paraId="50E92600" w14:textId="77777777" w:rsidR="004462A0" w:rsidRPr="00277153" w:rsidRDefault="00615769" w:rsidP="004462A0">
      <w:pPr>
        <w:rPr>
          <w:sz w:val="22"/>
          <w:szCs w:val="22"/>
        </w:rPr>
      </w:pPr>
      <w:r w:rsidRPr="00277153">
        <w:rPr>
          <w:b/>
          <w:sz w:val="22"/>
          <w:szCs w:val="22"/>
        </w:rPr>
        <w:t>Artrite reumatoide</w:t>
      </w:r>
    </w:p>
    <w:p w14:paraId="1B63B665" w14:textId="77777777" w:rsidR="004462A0" w:rsidRPr="006462E3" w:rsidRDefault="004462A0" w:rsidP="004462A0">
      <w:pPr>
        <w:rPr>
          <w:sz w:val="22"/>
          <w:szCs w:val="22"/>
        </w:rPr>
      </w:pPr>
    </w:p>
    <w:p w14:paraId="5B5913A3" w14:textId="77777777" w:rsidR="004462A0" w:rsidRPr="006462E3" w:rsidRDefault="00615769" w:rsidP="004462A0">
      <w:pPr>
        <w:rPr>
          <w:sz w:val="22"/>
          <w:szCs w:val="22"/>
        </w:rPr>
      </w:pPr>
      <w:r w:rsidRPr="006462E3">
        <w:rPr>
          <w:sz w:val="22"/>
          <w:szCs w:val="22"/>
        </w:rPr>
        <w:t>A artrite reumatoide é uma doença inflamatória das articulações.</w:t>
      </w:r>
    </w:p>
    <w:p w14:paraId="035330FB" w14:textId="77777777" w:rsidR="004462A0" w:rsidRPr="009A05BE" w:rsidRDefault="004462A0" w:rsidP="004462A0">
      <w:pPr>
        <w:ind w:right="-2"/>
        <w:rPr>
          <w:sz w:val="22"/>
          <w:szCs w:val="22"/>
        </w:rPr>
      </w:pPr>
    </w:p>
    <w:p w14:paraId="298ABBB7" w14:textId="77777777" w:rsidR="004462A0" w:rsidRPr="00653128" w:rsidRDefault="00615769" w:rsidP="004462A0">
      <w:pPr>
        <w:ind w:right="-2"/>
        <w:rPr>
          <w:sz w:val="22"/>
          <w:szCs w:val="22"/>
        </w:rPr>
      </w:pPr>
      <w:r w:rsidRPr="00854C93">
        <w:rPr>
          <w:sz w:val="22"/>
          <w:szCs w:val="22"/>
        </w:rPr>
        <w:t xml:space="preserve">Humira é usado no tratamento da artrite reumatoide moderada a grave em adultos. </w:t>
      </w:r>
      <w:r w:rsidRPr="0089156B">
        <w:rPr>
          <w:sz w:val="22"/>
          <w:szCs w:val="22"/>
        </w:rPr>
        <w:t>É</w:t>
      </w:r>
      <w:r w:rsidRPr="000B3FE3">
        <w:rPr>
          <w:sz w:val="22"/>
          <w:szCs w:val="22"/>
        </w:rPr>
        <w:t xml:space="preserve"> possível que tenha sido previamente tratado com outros medicamentos modificadores da doença, como m</w:t>
      </w:r>
      <w:r w:rsidRPr="004931CE">
        <w:rPr>
          <w:sz w:val="22"/>
          <w:szCs w:val="22"/>
        </w:rPr>
        <w:t>etotrexato. Se a sua resposta a estes medicamentos tiver sido insuficiente, ser-lhe-á administrado Humira</w:t>
      </w:r>
      <w:r w:rsidRPr="00653128">
        <w:rPr>
          <w:sz w:val="22"/>
          <w:szCs w:val="22"/>
        </w:rPr>
        <w:t>.</w:t>
      </w:r>
    </w:p>
    <w:p w14:paraId="4A502D9B" w14:textId="77777777" w:rsidR="004462A0" w:rsidRPr="00653128" w:rsidRDefault="004462A0" w:rsidP="004462A0">
      <w:pPr>
        <w:ind w:right="-2"/>
        <w:rPr>
          <w:sz w:val="22"/>
          <w:szCs w:val="22"/>
        </w:rPr>
      </w:pPr>
    </w:p>
    <w:p w14:paraId="00F260CA" w14:textId="77777777" w:rsidR="004462A0" w:rsidRPr="002D4DE5" w:rsidRDefault="00615769" w:rsidP="004462A0">
      <w:pPr>
        <w:ind w:right="-2"/>
        <w:rPr>
          <w:sz w:val="22"/>
          <w:szCs w:val="22"/>
        </w:rPr>
      </w:pPr>
      <w:r w:rsidRPr="00D33370">
        <w:rPr>
          <w:sz w:val="22"/>
          <w:szCs w:val="22"/>
        </w:rPr>
        <w:t xml:space="preserve">Humira pode ser usado no tratamento da artrite reumatoide grave, ativa e progressiva sem tratamento prévio com </w:t>
      </w:r>
      <w:r w:rsidRPr="002D4DE5">
        <w:rPr>
          <w:sz w:val="22"/>
          <w:szCs w:val="22"/>
        </w:rPr>
        <w:t>metotrexato.</w:t>
      </w:r>
    </w:p>
    <w:p w14:paraId="6D77D1D0" w14:textId="77777777" w:rsidR="004462A0" w:rsidRPr="00003560" w:rsidRDefault="004462A0" w:rsidP="004462A0">
      <w:pPr>
        <w:ind w:right="-2"/>
        <w:rPr>
          <w:sz w:val="22"/>
          <w:szCs w:val="22"/>
        </w:rPr>
      </w:pPr>
    </w:p>
    <w:p w14:paraId="28B90DC1" w14:textId="77777777" w:rsidR="004462A0" w:rsidRPr="00854C93" w:rsidRDefault="00615769" w:rsidP="004462A0">
      <w:pPr>
        <w:ind w:right="-2"/>
        <w:rPr>
          <w:sz w:val="22"/>
          <w:szCs w:val="22"/>
        </w:rPr>
      </w:pPr>
      <w:r w:rsidRPr="00003560">
        <w:rPr>
          <w:sz w:val="22"/>
          <w:szCs w:val="22"/>
        </w:rPr>
        <w:t xml:space="preserve">Humira </w:t>
      </w:r>
      <w:r w:rsidRPr="005F6F98">
        <w:rPr>
          <w:sz w:val="22"/>
          <w:szCs w:val="22"/>
        </w:rPr>
        <w:t xml:space="preserve">pode retardar a lesão das articulações causada pela doença </w:t>
      </w:r>
      <w:r w:rsidRPr="002B2441">
        <w:rPr>
          <w:sz w:val="22"/>
          <w:szCs w:val="22"/>
        </w:rPr>
        <w:t>inflamatória e pode ajud</w:t>
      </w:r>
      <w:r w:rsidRPr="00854C93">
        <w:rPr>
          <w:sz w:val="22"/>
          <w:szCs w:val="22"/>
        </w:rPr>
        <w:t>á-las a mover</w:t>
      </w:r>
      <w:r>
        <w:rPr>
          <w:sz w:val="22"/>
          <w:szCs w:val="22"/>
        </w:rPr>
        <w:t>em</w:t>
      </w:r>
      <w:r w:rsidRPr="00854C93">
        <w:rPr>
          <w:sz w:val="22"/>
          <w:szCs w:val="22"/>
        </w:rPr>
        <w:t>-se mais livremente.</w:t>
      </w:r>
    </w:p>
    <w:p w14:paraId="5E51676C" w14:textId="77777777" w:rsidR="004462A0" w:rsidRPr="0089156B" w:rsidRDefault="004462A0" w:rsidP="004462A0">
      <w:pPr>
        <w:ind w:right="-2"/>
        <w:rPr>
          <w:sz w:val="22"/>
          <w:szCs w:val="22"/>
        </w:rPr>
      </w:pPr>
    </w:p>
    <w:p w14:paraId="73F990EB" w14:textId="77777777" w:rsidR="004462A0" w:rsidRPr="00653128" w:rsidRDefault="00615769" w:rsidP="004462A0">
      <w:pPr>
        <w:ind w:right="-2"/>
        <w:rPr>
          <w:sz w:val="22"/>
          <w:szCs w:val="22"/>
        </w:rPr>
      </w:pPr>
      <w:r w:rsidRPr="004931CE">
        <w:rPr>
          <w:sz w:val="22"/>
          <w:szCs w:val="22"/>
        </w:rPr>
        <w:t>O seu médico irá decidir se Humira pode ser usado com metotrexato ou isola</w:t>
      </w:r>
      <w:r w:rsidRPr="00653128">
        <w:rPr>
          <w:sz w:val="22"/>
          <w:szCs w:val="22"/>
        </w:rPr>
        <w:t>damente.</w:t>
      </w:r>
    </w:p>
    <w:p w14:paraId="48397CC9" w14:textId="77777777" w:rsidR="004462A0" w:rsidRPr="00653128" w:rsidRDefault="004462A0" w:rsidP="004462A0">
      <w:pPr>
        <w:ind w:right="-2"/>
        <w:rPr>
          <w:sz w:val="22"/>
          <w:szCs w:val="22"/>
          <w:u w:val="single"/>
        </w:rPr>
      </w:pPr>
    </w:p>
    <w:p w14:paraId="6074F6C5" w14:textId="77777777" w:rsidR="004462A0" w:rsidRPr="008B0DDF" w:rsidRDefault="00615769" w:rsidP="004462A0">
      <w:pPr>
        <w:ind w:right="-2"/>
        <w:rPr>
          <w:sz w:val="22"/>
          <w:szCs w:val="22"/>
        </w:rPr>
      </w:pPr>
      <w:r w:rsidRPr="008B0DDF">
        <w:rPr>
          <w:b/>
          <w:sz w:val="22"/>
          <w:szCs w:val="22"/>
        </w:rPr>
        <w:t>Artrite idiopática juvenil poliarticular</w:t>
      </w:r>
    </w:p>
    <w:p w14:paraId="022BD5E9" w14:textId="77777777" w:rsidR="004462A0" w:rsidRPr="00454F99" w:rsidRDefault="004462A0" w:rsidP="004462A0">
      <w:pPr>
        <w:ind w:right="-2"/>
        <w:rPr>
          <w:sz w:val="22"/>
          <w:szCs w:val="22"/>
        </w:rPr>
      </w:pPr>
    </w:p>
    <w:p w14:paraId="66BA0629" w14:textId="77777777" w:rsidR="004462A0" w:rsidRPr="00854C93" w:rsidRDefault="00615769" w:rsidP="004462A0">
      <w:pPr>
        <w:ind w:right="-2"/>
        <w:rPr>
          <w:sz w:val="22"/>
          <w:szCs w:val="22"/>
          <w:u w:val="single"/>
        </w:rPr>
      </w:pPr>
      <w:r w:rsidRPr="004F0FBC">
        <w:rPr>
          <w:sz w:val="22"/>
          <w:szCs w:val="22"/>
        </w:rPr>
        <w:t>A artrite idiopática juvenil poliarticular</w:t>
      </w:r>
      <w:r w:rsidRPr="006462E3">
        <w:rPr>
          <w:sz w:val="22"/>
          <w:szCs w:val="22"/>
        </w:rPr>
        <w:t xml:space="preserve"> é uma doença</w:t>
      </w:r>
      <w:r w:rsidRPr="009A05BE">
        <w:rPr>
          <w:sz w:val="22"/>
          <w:szCs w:val="22"/>
        </w:rPr>
        <w:t xml:space="preserve"> inflamatória</w:t>
      </w:r>
      <w:r w:rsidRPr="00854C93">
        <w:rPr>
          <w:sz w:val="22"/>
          <w:szCs w:val="22"/>
        </w:rPr>
        <w:t xml:space="preserve"> das articulações.</w:t>
      </w:r>
    </w:p>
    <w:p w14:paraId="098B4DC8" w14:textId="77777777" w:rsidR="004462A0" w:rsidRPr="0089156B" w:rsidRDefault="004462A0" w:rsidP="004462A0">
      <w:pPr>
        <w:ind w:right="-2"/>
        <w:rPr>
          <w:sz w:val="22"/>
          <w:szCs w:val="22"/>
        </w:rPr>
      </w:pPr>
    </w:p>
    <w:p w14:paraId="4033B7F0" w14:textId="77777777" w:rsidR="004462A0" w:rsidRPr="00003560" w:rsidRDefault="00615769" w:rsidP="004462A0">
      <w:pPr>
        <w:ind w:right="-2"/>
        <w:rPr>
          <w:sz w:val="22"/>
          <w:szCs w:val="22"/>
        </w:rPr>
      </w:pPr>
      <w:r w:rsidRPr="000B3FE3">
        <w:rPr>
          <w:sz w:val="22"/>
          <w:szCs w:val="22"/>
        </w:rPr>
        <w:t>Humira é usado no tratamento da artrite idiopática juvenil poliarticular em doentes</w:t>
      </w:r>
      <w:r w:rsidRPr="004931CE">
        <w:rPr>
          <w:sz w:val="22"/>
          <w:szCs w:val="22"/>
        </w:rPr>
        <w:t xml:space="preserve"> a partir dos </w:t>
      </w:r>
      <w:r w:rsidRPr="00653128">
        <w:rPr>
          <w:sz w:val="22"/>
          <w:szCs w:val="22"/>
        </w:rPr>
        <w:t>2 anos de idade. Pode ser tratado inicialmente com outros medicamentos modificadores da doença, como por e</w:t>
      </w:r>
      <w:r w:rsidRPr="00D33370">
        <w:rPr>
          <w:sz w:val="22"/>
          <w:szCs w:val="22"/>
        </w:rPr>
        <w:t>xemplo metotrexato. Se não responder suficientemente bem a estes medicamentos, receberá Humira</w:t>
      </w:r>
      <w:r w:rsidRPr="00003560">
        <w:rPr>
          <w:sz w:val="22"/>
          <w:szCs w:val="22"/>
        </w:rPr>
        <w:t>.</w:t>
      </w:r>
    </w:p>
    <w:p w14:paraId="1B245A91" w14:textId="77777777" w:rsidR="004462A0" w:rsidRPr="00003560" w:rsidRDefault="004462A0" w:rsidP="004462A0">
      <w:pPr>
        <w:ind w:right="-2"/>
        <w:rPr>
          <w:sz w:val="22"/>
          <w:szCs w:val="22"/>
          <w:u w:val="single"/>
        </w:rPr>
      </w:pPr>
    </w:p>
    <w:p w14:paraId="5CB32120" w14:textId="77777777" w:rsidR="004462A0" w:rsidRPr="002B2441" w:rsidRDefault="00615769" w:rsidP="004462A0">
      <w:pPr>
        <w:ind w:right="-2"/>
        <w:rPr>
          <w:sz w:val="22"/>
          <w:szCs w:val="22"/>
        </w:rPr>
      </w:pPr>
      <w:r w:rsidRPr="002B2441">
        <w:rPr>
          <w:sz w:val="22"/>
          <w:szCs w:val="22"/>
        </w:rPr>
        <w:t>O seu médico irá decidir se Humira pode ser usado com metotrexato ou isoladamente.</w:t>
      </w:r>
    </w:p>
    <w:p w14:paraId="5F0AA828" w14:textId="77777777" w:rsidR="004462A0" w:rsidRPr="002B2441" w:rsidRDefault="004462A0" w:rsidP="004462A0">
      <w:pPr>
        <w:ind w:right="-2"/>
        <w:rPr>
          <w:sz w:val="22"/>
          <w:szCs w:val="22"/>
          <w:u w:val="single"/>
        </w:rPr>
      </w:pPr>
    </w:p>
    <w:p w14:paraId="36E1F713" w14:textId="77777777" w:rsidR="004462A0" w:rsidRPr="008B0DDF" w:rsidRDefault="00615769" w:rsidP="004462A0">
      <w:pPr>
        <w:ind w:right="-2"/>
        <w:rPr>
          <w:b/>
          <w:sz w:val="22"/>
          <w:szCs w:val="22"/>
        </w:rPr>
      </w:pPr>
      <w:r w:rsidRPr="008B0DDF">
        <w:rPr>
          <w:b/>
          <w:sz w:val="22"/>
          <w:szCs w:val="22"/>
        </w:rPr>
        <w:t>Artrite relacionada com entesite</w:t>
      </w:r>
    </w:p>
    <w:p w14:paraId="15D06700" w14:textId="77777777" w:rsidR="004462A0" w:rsidRPr="00454F99" w:rsidRDefault="004462A0" w:rsidP="004462A0">
      <w:pPr>
        <w:ind w:right="-2"/>
        <w:rPr>
          <w:sz w:val="22"/>
          <w:szCs w:val="22"/>
          <w:u w:val="single"/>
        </w:rPr>
      </w:pPr>
    </w:p>
    <w:p w14:paraId="770C2F55" w14:textId="77777777" w:rsidR="004462A0" w:rsidRPr="008B0DDF" w:rsidRDefault="00615769" w:rsidP="004462A0">
      <w:pPr>
        <w:ind w:right="-2"/>
        <w:rPr>
          <w:sz w:val="22"/>
          <w:szCs w:val="22"/>
        </w:rPr>
      </w:pPr>
      <w:r w:rsidRPr="008B0DDF">
        <w:rPr>
          <w:sz w:val="22"/>
          <w:szCs w:val="22"/>
        </w:rPr>
        <w:t xml:space="preserve">A artrite relacionada com entesite é uma doença inflamatória das articulações e dos </w:t>
      </w:r>
      <w:r>
        <w:rPr>
          <w:sz w:val="22"/>
          <w:szCs w:val="22"/>
        </w:rPr>
        <w:t>locais</w:t>
      </w:r>
      <w:r w:rsidRPr="008B0DDF">
        <w:rPr>
          <w:sz w:val="22"/>
          <w:szCs w:val="22"/>
        </w:rPr>
        <w:t xml:space="preserve"> onde os tendões se ligam ao osso.</w:t>
      </w:r>
    </w:p>
    <w:p w14:paraId="2980C2E5" w14:textId="77777777" w:rsidR="004462A0" w:rsidRPr="00454F99" w:rsidRDefault="004462A0" w:rsidP="004462A0">
      <w:pPr>
        <w:ind w:right="-2"/>
        <w:rPr>
          <w:sz w:val="22"/>
          <w:szCs w:val="22"/>
          <w:u w:val="single"/>
        </w:rPr>
      </w:pPr>
    </w:p>
    <w:p w14:paraId="4BC19E23" w14:textId="77777777" w:rsidR="004462A0" w:rsidRPr="00DF5632" w:rsidRDefault="00615769" w:rsidP="004462A0">
      <w:pPr>
        <w:ind w:right="-2"/>
        <w:rPr>
          <w:sz w:val="22"/>
          <w:szCs w:val="22"/>
        </w:rPr>
      </w:pPr>
      <w:r w:rsidRPr="008B0DDF">
        <w:rPr>
          <w:sz w:val="22"/>
          <w:szCs w:val="22"/>
        </w:rPr>
        <w:t xml:space="preserve">Humira é usado no tratamento da artrite relacionada com entesite em doentes a partir dos 6 anos de idade. </w:t>
      </w:r>
      <w:r w:rsidRPr="00454F99">
        <w:rPr>
          <w:sz w:val="22"/>
          <w:szCs w:val="22"/>
        </w:rPr>
        <w:t>Pode ser tratado inicialmente com outros medicamentos modificadores da doença, como por exemplo metotrexato. Se não responder suficientemente bem a estes medicamentos, receberá Humira</w:t>
      </w:r>
      <w:r w:rsidRPr="004F0FBC">
        <w:rPr>
          <w:sz w:val="22"/>
          <w:szCs w:val="22"/>
        </w:rPr>
        <w:t>.</w:t>
      </w:r>
      <w:r w:rsidRPr="006462E3">
        <w:rPr>
          <w:sz w:val="22"/>
          <w:szCs w:val="22"/>
          <w:u w:val="single"/>
        </w:rPr>
        <w:t xml:space="preserve"> </w:t>
      </w:r>
    </w:p>
    <w:p w14:paraId="5DDC8179" w14:textId="77777777" w:rsidR="004462A0" w:rsidRPr="006462E3" w:rsidRDefault="004462A0" w:rsidP="004462A0">
      <w:pPr>
        <w:ind w:right="-2"/>
        <w:rPr>
          <w:sz w:val="22"/>
          <w:szCs w:val="22"/>
          <w:u w:val="single"/>
        </w:rPr>
      </w:pPr>
    </w:p>
    <w:p w14:paraId="6F5FFA36" w14:textId="77777777" w:rsidR="004462A0" w:rsidRPr="006462E3" w:rsidRDefault="00615769" w:rsidP="004462A0">
      <w:pPr>
        <w:ind w:right="-2"/>
        <w:rPr>
          <w:sz w:val="22"/>
          <w:szCs w:val="22"/>
        </w:rPr>
      </w:pPr>
      <w:r w:rsidRPr="008B0DDF">
        <w:rPr>
          <w:b/>
          <w:sz w:val="22"/>
          <w:szCs w:val="22"/>
        </w:rPr>
        <w:t>Espondilite anquilosante e espondilartrite axial sem evidência radiográfica de espondilite anquilosante</w:t>
      </w:r>
    </w:p>
    <w:p w14:paraId="500EE21A" w14:textId="77777777" w:rsidR="004462A0" w:rsidRPr="006462E3" w:rsidRDefault="004462A0" w:rsidP="004462A0">
      <w:pPr>
        <w:ind w:right="-2"/>
        <w:rPr>
          <w:sz w:val="22"/>
          <w:szCs w:val="22"/>
        </w:rPr>
      </w:pPr>
    </w:p>
    <w:p w14:paraId="6604DC48" w14:textId="77777777" w:rsidR="004462A0" w:rsidRPr="009A05BE" w:rsidRDefault="00615769" w:rsidP="004462A0">
      <w:pPr>
        <w:ind w:right="-2"/>
        <w:rPr>
          <w:sz w:val="22"/>
          <w:szCs w:val="22"/>
          <w:u w:val="single"/>
        </w:rPr>
      </w:pPr>
      <w:r w:rsidRPr="006462E3">
        <w:rPr>
          <w:sz w:val="22"/>
          <w:szCs w:val="22"/>
        </w:rPr>
        <w:t>A espondilite anquilosante e espondilartrite axial sem evidência radiográfica de espondilite anquilosante são doenças inflamatórias da espinha dorsal.</w:t>
      </w:r>
    </w:p>
    <w:p w14:paraId="63839204" w14:textId="77777777" w:rsidR="004462A0" w:rsidRPr="00854C93" w:rsidRDefault="004462A0" w:rsidP="004462A0">
      <w:pPr>
        <w:ind w:right="-2"/>
        <w:rPr>
          <w:sz w:val="22"/>
          <w:szCs w:val="22"/>
        </w:rPr>
      </w:pPr>
    </w:p>
    <w:p w14:paraId="498597D1" w14:textId="77777777" w:rsidR="004462A0" w:rsidRPr="00D33370" w:rsidRDefault="00615769" w:rsidP="004462A0">
      <w:pPr>
        <w:ind w:right="-2"/>
        <w:rPr>
          <w:sz w:val="22"/>
          <w:szCs w:val="22"/>
        </w:rPr>
      </w:pPr>
      <w:r w:rsidRPr="0089156B">
        <w:rPr>
          <w:sz w:val="22"/>
          <w:szCs w:val="22"/>
        </w:rPr>
        <w:t xml:space="preserve">Humira é usado no tratamento da espondilite anquilosante </w:t>
      </w:r>
      <w:r w:rsidRPr="000B3FE3">
        <w:rPr>
          <w:sz w:val="22"/>
          <w:szCs w:val="22"/>
        </w:rPr>
        <w:t>grave e espondilartrite axial sem evidência radiográfica de espondilite anquilosante em adultos.</w:t>
      </w:r>
      <w:r w:rsidRPr="00E47A88">
        <w:rPr>
          <w:sz w:val="22"/>
          <w:szCs w:val="22"/>
        </w:rPr>
        <w:t xml:space="preserve"> </w:t>
      </w:r>
      <w:r w:rsidRPr="00653128">
        <w:rPr>
          <w:sz w:val="22"/>
          <w:szCs w:val="22"/>
        </w:rPr>
        <w:t>Pode ser tratado inicialmente com outros medicamentos. Caso não responda de modo suficiente a esses medicamentos, receberá Humira</w:t>
      </w:r>
      <w:r w:rsidRPr="00D33370">
        <w:rPr>
          <w:sz w:val="22"/>
          <w:szCs w:val="22"/>
        </w:rPr>
        <w:t>.</w:t>
      </w:r>
    </w:p>
    <w:p w14:paraId="251E0A23" w14:textId="77777777" w:rsidR="004462A0" w:rsidRPr="002D4DE5" w:rsidRDefault="004462A0" w:rsidP="004462A0">
      <w:pPr>
        <w:ind w:left="567" w:hanging="567"/>
        <w:rPr>
          <w:sz w:val="22"/>
          <w:szCs w:val="22"/>
          <w:u w:val="single"/>
        </w:rPr>
      </w:pPr>
    </w:p>
    <w:p w14:paraId="0C77B90F" w14:textId="77777777" w:rsidR="004462A0" w:rsidRPr="008B0DDF" w:rsidRDefault="00615769" w:rsidP="004462A0">
      <w:pPr>
        <w:ind w:right="-2"/>
        <w:rPr>
          <w:b/>
          <w:sz w:val="22"/>
          <w:szCs w:val="22"/>
        </w:rPr>
      </w:pPr>
      <w:r w:rsidRPr="00003560">
        <w:rPr>
          <w:b/>
          <w:sz w:val="22"/>
          <w:szCs w:val="22"/>
        </w:rPr>
        <w:t>Artrite psoriática</w:t>
      </w:r>
    </w:p>
    <w:p w14:paraId="68032DD8" w14:textId="77777777" w:rsidR="004462A0" w:rsidRPr="00454F99" w:rsidRDefault="004462A0" w:rsidP="004462A0">
      <w:pPr>
        <w:ind w:right="-2"/>
        <w:rPr>
          <w:sz w:val="22"/>
          <w:szCs w:val="22"/>
        </w:rPr>
      </w:pPr>
    </w:p>
    <w:p w14:paraId="5D02968D" w14:textId="77777777" w:rsidR="004462A0" w:rsidRPr="00854C93" w:rsidRDefault="00615769" w:rsidP="004462A0">
      <w:pPr>
        <w:ind w:right="-2"/>
        <w:rPr>
          <w:sz w:val="22"/>
          <w:szCs w:val="22"/>
        </w:rPr>
      </w:pPr>
      <w:r w:rsidRPr="004F0FBC">
        <w:rPr>
          <w:sz w:val="22"/>
          <w:szCs w:val="22"/>
        </w:rPr>
        <w:t xml:space="preserve">A artrite psoriática é uma </w:t>
      </w:r>
      <w:r w:rsidRPr="006462E3">
        <w:rPr>
          <w:sz w:val="22"/>
          <w:szCs w:val="22"/>
        </w:rPr>
        <w:t xml:space="preserve">doença inflamatória da articulação associada geralmente </w:t>
      </w:r>
      <w:r w:rsidRPr="009A05BE">
        <w:rPr>
          <w:sz w:val="22"/>
          <w:szCs w:val="22"/>
        </w:rPr>
        <w:t xml:space="preserve">com </w:t>
      </w:r>
      <w:r w:rsidRPr="00854C93">
        <w:rPr>
          <w:sz w:val="22"/>
          <w:szCs w:val="22"/>
        </w:rPr>
        <w:t>a psoríase.</w:t>
      </w:r>
    </w:p>
    <w:p w14:paraId="47568C51" w14:textId="77777777" w:rsidR="004462A0" w:rsidRPr="0089156B" w:rsidRDefault="004462A0" w:rsidP="004462A0">
      <w:pPr>
        <w:ind w:right="-2"/>
        <w:rPr>
          <w:sz w:val="22"/>
          <w:szCs w:val="22"/>
        </w:rPr>
      </w:pPr>
    </w:p>
    <w:p w14:paraId="5E51EB3F" w14:textId="77777777" w:rsidR="004462A0" w:rsidRPr="00854C93" w:rsidRDefault="00615769" w:rsidP="004462A0">
      <w:pPr>
        <w:ind w:right="-2"/>
        <w:rPr>
          <w:sz w:val="22"/>
          <w:szCs w:val="22"/>
        </w:rPr>
      </w:pPr>
      <w:r w:rsidRPr="00F12F3E">
        <w:rPr>
          <w:sz w:val="22"/>
          <w:szCs w:val="22"/>
        </w:rPr>
        <w:t>Humira é usado no tratamento da artrite psoriática em adultos.</w:t>
      </w:r>
      <w:r w:rsidRPr="0089156B">
        <w:rPr>
          <w:sz w:val="22"/>
          <w:szCs w:val="22"/>
        </w:rPr>
        <w:t xml:space="preserve"> </w:t>
      </w:r>
      <w:r w:rsidRPr="000B3FE3">
        <w:rPr>
          <w:sz w:val="22"/>
          <w:szCs w:val="22"/>
        </w:rPr>
        <w:t xml:space="preserve">Humira pode </w:t>
      </w:r>
      <w:r w:rsidRPr="004931CE">
        <w:rPr>
          <w:sz w:val="22"/>
          <w:szCs w:val="22"/>
        </w:rPr>
        <w:t xml:space="preserve">retardar a lesão </w:t>
      </w:r>
      <w:r w:rsidRPr="00653128">
        <w:rPr>
          <w:sz w:val="22"/>
          <w:szCs w:val="22"/>
        </w:rPr>
        <w:t xml:space="preserve">das articulações causada pela doença e pode </w:t>
      </w:r>
      <w:r>
        <w:rPr>
          <w:sz w:val="22"/>
          <w:szCs w:val="22"/>
        </w:rPr>
        <w:t>ajudá</w:t>
      </w:r>
      <w:r w:rsidRPr="00854C93">
        <w:rPr>
          <w:sz w:val="22"/>
          <w:szCs w:val="22"/>
        </w:rPr>
        <w:t>-las a mover</w:t>
      </w:r>
      <w:r>
        <w:rPr>
          <w:sz w:val="22"/>
          <w:szCs w:val="22"/>
        </w:rPr>
        <w:t>em</w:t>
      </w:r>
      <w:r w:rsidRPr="00854C93">
        <w:rPr>
          <w:sz w:val="22"/>
          <w:szCs w:val="22"/>
        </w:rPr>
        <w:t>-se mais livremente. Pode ser tratado inicialmente com outros medicamentos. Se não responder suficientemente bem a estes medicamentos, receberá Humira.</w:t>
      </w:r>
    </w:p>
    <w:p w14:paraId="07BAB857" w14:textId="77777777" w:rsidR="004462A0" w:rsidRPr="0089156B" w:rsidRDefault="004462A0" w:rsidP="004462A0">
      <w:pPr>
        <w:pStyle w:val="DefaultText"/>
        <w:rPr>
          <w:rFonts w:ascii="Times New Roman" w:hAnsi="Times New Roman"/>
          <w:szCs w:val="22"/>
          <w:u w:val="single"/>
          <w:lang w:val="pt-PT"/>
        </w:rPr>
      </w:pPr>
    </w:p>
    <w:p w14:paraId="213E9D07" w14:textId="77777777" w:rsidR="004462A0" w:rsidRPr="008B0DDF" w:rsidRDefault="00615769" w:rsidP="000F033A">
      <w:pPr>
        <w:pStyle w:val="DefaultText"/>
        <w:keepNext/>
        <w:rPr>
          <w:rFonts w:ascii="Times New Roman" w:hAnsi="Times New Roman"/>
          <w:b/>
          <w:szCs w:val="22"/>
          <w:lang w:val="pt-PT"/>
        </w:rPr>
      </w:pPr>
      <w:r w:rsidRPr="000B3FE3">
        <w:rPr>
          <w:rFonts w:ascii="Times New Roman" w:hAnsi="Times New Roman"/>
          <w:b/>
          <w:szCs w:val="22"/>
          <w:lang w:val="pt-PT"/>
        </w:rPr>
        <w:t>Psoríase em placas</w:t>
      </w:r>
    </w:p>
    <w:p w14:paraId="7A1ACA97" w14:textId="77777777" w:rsidR="004462A0" w:rsidRPr="00454F99" w:rsidRDefault="004462A0" w:rsidP="000F033A">
      <w:pPr>
        <w:pStyle w:val="DefaultText"/>
        <w:keepNext/>
        <w:rPr>
          <w:rFonts w:ascii="Times New Roman" w:hAnsi="Times New Roman"/>
          <w:szCs w:val="22"/>
          <w:u w:val="single"/>
          <w:lang w:val="pt-PT"/>
        </w:rPr>
      </w:pPr>
    </w:p>
    <w:p w14:paraId="70DAF3C5" w14:textId="77777777" w:rsidR="004462A0" w:rsidRPr="0064352A" w:rsidRDefault="00615769" w:rsidP="000F033A">
      <w:pPr>
        <w:pStyle w:val="DefaultText"/>
        <w:keepNext/>
        <w:rPr>
          <w:rFonts w:ascii="Times New Roman" w:hAnsi="Times New Roman"/>
          <w:szCs w:val="22"/>
          <w:lang w:val="pt-PT"/>
        </w:rPr>
      </w:pPr>
      <w:r w:rsidRPr="004F0FBC">
        <w:rPr>
          <w:rFonts w:ascii="Times New Roman" w:hAnsi="Times New Roman"/>
          <w:szCs w:val="22"/>
          <w:lang w:val="pt-PT"/>
        </w:rPr>
        <w:t xml:space="preserve">Psoríase em placas é uma doença da pele que provoca manchas avermelhadas, secas e com placas na pele, cobertas de escamas prateadas. </w:t>
      </w:r>
      <w:r w:rsidRPr="0064352A">
        <w:rPr>
          <w:rFonts w:ascii="Times New Roman" w:hAnsi="Times New Roman"/>
          <w:szCs w:val="22"/>
          <w:lang w:val="pt-PT"/>
        </w:rPr>
        <w:t>A psoríase em placas pode também afetar as unhas, causando a sua desintegração, tornando-</w:t>
      </w:r>
      <w:r>
        <w:rPr>
          <w:rFonts w:ascii="Times New Roman" w:hAnsi="Times New Roman"/>
          <w:szCs w:val="22"/>
          <w:lang w:val="pt-PT"/>
        </w:rPr>
        <w:t>as</w:t>
      </w:r>
      <w:r w:rsidRPr="0064352A">
        <w:rPr>
          <w:rFonts w:ascii="Times New Roman" w:hAnsi="Times New Roman"/>
          <w:szCs w:val="22"/>
          <w:lang w:val="pt-PT"/>
        </w:rPr>
        <w:t xml:space="preserve"> espessas e descoladas da </w:t>
      </w:r>
      <w:r>
        <w:rPr>
          <w:rFonts w:ascii="Times New Roman" w:hAnsi="Times New Roman"/>
          <w:szCs w:val="22"/>
          <w:lang w:val="pt-PT"/>
        </w:rPr>
        <w:t>base da unha</w:t>
      </w:r>
      <w:r w:rsidRPr="0064352A">
        <w:rPr>
          <w:rFonts w:ascii="Times New Roman" w:hAnsi="Times New Roman"/>
          <w:szCs w:val="22"/>
          <w:lang w:val="pt-PT"/>
        </w:rPr>
        <w:t xml:space="preserve"> o que pode ser doloroso.</w:t>
      </w:r>
    </w:p>
    <w:p w14:paraId="1AC6C295" w14:textId="77777777" w:rsidR="004462A0" w:rsidRPr="009A05BE" w:rsidRDefault="004462A0" w:rsidP="004462A0">
      <w:pPr>
        <w:pStyle w:val="EndnoteText"/>
        <w:tabs>
          <w:tab w:val="clear" w:pos="567"/>
        </w:tabs>
        <w:autoSpaceDE w:val="0"/>
        <w:autoSpaceDN w:val="0"/>
        <w:adjustRightInd w:val="0"/>
        <w:rPr>
          <w:szCs w:val="22"/>
        </w:rPr>
      </w:pPr>
    </w:p>
    <w:p w14:paraId="562384E7" w14:textId="77777777" w:rsidR="004462A0" w:rsidRPr="00854C93" w:rsidRDefault="00615769" w:rsidP="004462A0">
      <w:pPr>
        <w:pStyle w:val="DefaultText"/>
        <w:rPr>
          <w:rFonts w:ascii="Times New Roman" w:hAnsi="Times New Roman"/>
          <w:szCs w:val="22"/>
          <w:lang w:val="pt-PT"/>
        </w:rPr>
      </w:pPr>
      <w:r w:rsidRPr="00854C93">
        <w:rPr>
          <w:rFonts w:ascii="Times New Roman" w:hAnsi="Times New Roman"/>
          <w:szCs w:val="22"/>
          <w:lang w:val="pt-PT"/>
        </w:rPr>
        <w:t>Humira é usado no tratamento da</w:t>
      </w:r>
    </w:p>
    <w:p w14:paraId="2BAE634B" w14:textId="77777777" w:rsidR="004462A0" w:rsidRPr="0089156B" w:rsidRDefault="004462A0" w:rsidP="004462A0">
      <w:pPr>
        <w:pStyle w:val="DefaultText"/>
        <w:rPr>
          <w:rFonts w:ascii="Times New Roman" w:hAnsi="Times New Roman"/>
          <w:szCs w:val="22"/>
          <w:lang w:val="pt-PT"/>
        </w:rPr>
      </w:pPr>
    </w:p>
    <w:p w14:paraId="5C23F1C3" w14:textId="77777777" w:rsidR="004462A0" w:rsidRPr="004931CE" w:rsidRDefault="00615769" w:rsidP="004462A0">
      <w:pPr>
        <w:pStyle w:val="DefaultText"/>
        <w:numPr>
          <w:ilvl w:val="0"/>
          <w:numId w:val="85"/>
        </w:numPr>
        <w:ind w:left="567" w:hanging="567"/>
        <w:rPr>
          <w:rFonts w:ascii="Times New Roman" w:hAnsi="Times New Roman"/>
          <w:szCs w:val="22"/>
          <w:lang w:val="pt-PT"/>
        </w:rPr>
      </w:pPr>
      <w:r w:rsidRPr="000B3FE3">
        <w:rPr>
          <w:rFonts w:ascii="Times New Roman" w:hAnsi="Times New Roman"/>
          <w:szCs w:val="22"/>
          <w:lang w:val="pt-PT"/>
        </w:rPr>
        <w:t xml:space="preserve">psoríase crónica </w:t>
      </w:r>
      <w:r w:rsidRPr="004931CE">
        <w:rPr>
          <w:rFonts w:ascii="Times New Roman" w:hAnsi="Times New Roman"/>
          <w:szCs w:val="22"/>
          <w:lang w:val="pt-PT"/>
        </w:rPr>
        <w:t>em placas moderada a grave</w:t>
      </w:r>
      <w:r>
        <w:rPr>
          <w:rFonts w:ascii="Times New Roman" w:hAnsi="Times New Roman"/>
          <w:szCs w:val="22"/>
          <w:lang w:val="pt-PT"/>
        </w:rPr>
        <w:t xml:space="preserve"> </w:t>
      </w:r>
      <w:r w:rsidRPr="004931CE">
        <w:rPr>
          <w:rFonts w:ascii="Times New Roman" w:hAnsi="Times New Roman"/>
          <w:szCs w:val="22"/>
          <w:lang w:val="pt-PT"/>
        </w:rPr>
        <w:t>em adultos e</w:t>
      </w:r>
    </w:p>
    <w:p w14:paraId="69FEA48C" w14:textId="77777777" w:rsidR="004462A0" w:rsidRPr="00653128" w:rsidRDefault="00615769" w:rsidP="004462A0">
      <w:pPr>
        <w:pStyle w:val="DefaultText"/>
        <w:numPr>
          <w:ilvl w:val="0"/>
          <w:numId w:val="85"/>
        </w:numPr>
        <w:ind w:left="567" w:hanging="567"/>
        <w:rPr>
          <w:rFonts w:ascii="Times New Roman" w:hAnsi="Times New Roman"/>
          <w:szCs w:val="22"/>
          <w:lang w:val="pt-PT"/>
        </w:rPr>
      </w:pPr>
      <w:r w:rsidRPr="00653128">
        <w:rPr>
          <w:rFonts w:ascii="Times New Roman" w:hAnsi="Times New Roman"/>
          <w:szCs w:val="22"/>
          <w:lang w:val="pt-PT"/>
        </w:rPr>
        <w:t>psoríase crónica em placas grave em crianças e adolescentes com idades entre os 4 e os 17 anos de idade, para os quais o tratamento tópico e fototerapias não resultaram ou são inadequados.</w:t>
      </w:r>
    </w:p>
    <w:p w14:paraId="68FB7F79" w14:textId="77777777" w:rsidR="004462A0" w:rsidRPr="00D33370" w:rsidRDefault="004462A0" w:rsidP="004462A0">
      <w:pPr>
        <w:ind w:right="-2"/>
        <w:rPr>
          <w:sz w:val="22"/>
          <w:szCs w:val="22"/>
        </w:rPr>
      </w:pPr>
    </w:p>
    <w:p w14:paraId="13564563" w14:textId="77777777" w:rsidR="004462A0" w:rsidRPr="008B0DDF" w:rsidRDefault="00615769" w:rsidP="004462A0">
      <w:pPr>
        <w:ind w:right="-2"/>
        <w:rPr>
          <w:b/>
          <w:sz w:val="22"/>
          <w:szCs w:val="22"/>
        </w:rPr>
      </w:pPr>
      <w:r w:rsidRPr="00D33370">
        <w:rPr>
          <w:b/>
          <w:sz w:val="22"/>
          <w:szCs w:val="22"/>
        </w:rPr>
        <w:t>Hidradenite supurativa</w:t>
      </w:r>
    </w:p>
    <w:p w14:paraId="6FB0A72D" w14:textId="77777777" w:rsidR="004462A0" w:rsidRPr="00454F99" w:rsidRDefault="004462A0" w:rsidP="004462A0">
      <w:pPr>
        <w:ind w:right="-2"/>
        <w:rPr>
          <w:sz w:val="22"/>
          <w:szCs w:val="22"/>
        </w:rPr>
      </w:pPr>
    </w:p>
    <w:p w14:paraId="670A5CBC" w14:textId="77777777" w:rsidR="004462A0" w:rsidRPr="00854C93" w:rsidRDefault="00615769" w:rsidP="004462A0">
      <w:pPr>
        <w:ind w:right="-2"/>
        <w:rPr>
          <w:sz w:val="22"/>
          <w:szCs w:val="22"/>
        </w:rPr>
      </w:pPr>
      <w:r w:rsidRPr="004F0FBC">
        <w:rPr>
          <w:sz w:val="22"/>
          <w:szCs w:val="22"/>
        </w:rPr>
        <w:t>Hid</w:t>
      </w:r>
      <w:r w:rsidRPr="006462E3">
        <w:rPr>
          <w:sz w:val="22"/>
          <w:szCs w:val="22"/>
        </w:rPr>
        <w:t>radenite supurativa (por vezes chamada hidrosadenite supurativa ou acne inversa) é uma doença inflamatória crónica, muitas vezes dolorosa, da pele. Os sintomas podem incluir nódulos dolorosos (caroços) e abcessos (furúnculos) que podem libertar pus. Freque</w:t>
      </w:r>
      <w:r w:rsidRPr="009A05BE">
        <w:rPr>
          <w:sz w:val="22"/>
          <w:szCs w:val="22"/>
        </w:rPr>
        <w:t>ntemente afeta áreas da pele espec</w:t>
      </w:r>
      <w:r w:rsidRPr="00854C93">
        <w:rPr>
          <w:sz w:val="22"/>
          <w:szCs w:val="22"/>
        </w:rPr>
        <w:t>íficas, tais como a região abaixo das mamas, axilas, coxas, virilhas e nádegas. Nas áreas afetadas, podem também surgir cicatrizes.</w:t>
      </w:r>
    </w:p>
    <w:p w14:paraId="13948E03" w14:textId="77777777" w:rsidR="004462A0" w:rsidRPr="0089156B" w:rsidRDefault="004462A0" w:rsidP="004462A0">
      <w:pPr>
        <w:ind w:right="-2"/>
        <w:rPr>
          <w:sz w:val="22"/>
          <w:szCs w:val="22"/>
        </w:rPr>
      </w:pPr>
    </w:p>
    <w:p w14:paraId="4518CA47" w14:textId="77777777" w:rsidR="004462A0" w:rsidRDefault="00615769" w:rsidP="004462A0">
      <w:pPr>
        <w:ind w:right="-2"/>
        <w:rPr>
          <w:sz w:val="22"/>
          <w:szCs w:val="22"/>
        </w:rPr>
      </w:pPr>
      <w:r w:rsidRPr="000B3FE3">
        <w:rPr>
          <w:sz w:val="22"/>
          <w:szCs w:val="22"/>
        </w:rPr>
        <w:t xml:space="preserve">Humira é usado no tratamento da </w:t>
      </w:r>
    </w:p>
    <w:p w14:paraId="6314E0AE" w14:textId="77777777" w:rsidR="004462A0" w:rsidRDefault="00615769" w:rsidP="004462A0">
      <w:pPr>
        <w:numPr>
          <w:ilvl w:val="0"/>
          <w:numId w:val="104"/>
        </w:numPr>
        <w:ind w:left="567" w:right="-2" w:hanging="567"/>
        <w:rPr>
          <w:sz w:val="22"/>
          <w:szCs w:val="22"/>
        </w:rPr>
      </w:pPr>
      <w:r w:rsidRPr="000B3FE3">
        <w:rPr>
          <w:sz w:val="22"/>
          <w:szCs w:val="22"/>
        </w:rPr>
        <w:t xml:space="preserve">hidradenite supurativa moderada a grave </w:t>
      </w:r>
      <w:r w:rsidRPr="004931CE">
        <w:rPr>
          <w:sz w:val="22"/>
          <w:szCs w:val="22"/>
        </w:rPr>
        <w:t>em adultos</w:t>
      </w:r>
      <w:r>
        <w:rPr>
          <w:sz w:val="22"/>
          <w:szCs w:val="22"/>
        </w:rPr>
        <w:t xml:space="preserve"> e</w:t>
      </w:r>
    </w:p>
    <w:p w14:paraId="32FC59B7" w14:textId="77777777" w:rsidR="004462A0" w:rsidRDefault="00615769" w:rsidP="004462A0">
      <w:pPr>
        <w:numPr>
          <w:ilvl w:val="0"/>
          <w:numId w:val="104"/>
        </w:numPr>
        <w:ind w:left="567" w:right="-2" w:hanging="567"/>
        <w:rPr>
          <w:sz w:val="22"/>
          <w:szCs w:val="22"/>
        </w:rPr>
      </w:pPr>
      <w:r>
        <w:rPr>
          <w:sz w:val="22"/>
          <w:szCs w:val="22"/>
        </w:rPr>
        <w:t xml:space="preserve">hidradenite supurativa moderada a grave em adolescentes </w:t>
      </w:r>
      <w:r w:rsidR="00ED0ED2">
        <w:rPr>
          <w:sz w:val="22"/>
          <w:szCs w:val="22"/>
        </w:rPr>
        <w:t>entre os</w:t>
      </w:r>
      <w:r>
        <w:rPr>
          <w:sz w:val="22"/>
          <w:szCs w:val="22"/>
        </w:rPr>
        <w:t xml:space="preserve"> 12 </w:t>
      </w:r>
      <w:r w:rsidR="00B25AD1">
        <w:rPr>
          <w:sz w:val="22"/>
          <w:szCs w:val="22"/>
        </w:rPr>
        <w:t xml:space="preserve">e os 17 </w:t>
      </w:r>
      <w:r>
        <w:rPr>
          <w:sz w:val="22"/>
          <w:szCs w:val="22"/>
        </w:rPr>
        <w:t>anos de idade</w:t>
      </w:r>
      <w:r w:rsidRPr="004931CE">
        <w:rPr>
          <w:sz w:val="22"/>
          <w:szCs w:val="22"/>
        </w:rPr>
        <w:t xml:space="preserve">. </w:t>
      </w:r>
    </w:p>
    <w:p w14:paraId="160A878B" w14:textId="77777777" w:rsidR="004462A0" w:rsidRDefault="004462A0" w:rsidP="004462A0">
      <w:pPr>
        <w:ind w:right="-2"/>
        <w:rPr>
          <w:sz w:val="22"/>
          <w:szCs w:val="22"/>
        </w:rPr>
      </w:pPr>
    </w:p>
    <w:p w14:paraId="2CFE8C9B" w14:textId="77777777" w:rsidR="004462A0" w:rsidRPr="00D33370" w:rsidRDefault="00615769" w:rsidP="004462A0">
      <w:pPr>
        <w:ind w:right="-2"/>
        <w:rPr>
          <w:sz w:val="22"/>
          <w:szCs w:val="22"/>
        </w:rPr>
      </w:pPr>
      <w:r w:rsidRPr="004931CE">
        <w:rPr>
          <w:sz w:val="22"/>
          <w:szCs w:val="22"/>
        </w:rPr>
        <w:t xml:space="preserve">Humira pode reduzir o número de nódulos e abcessos </w:t>
      </w:r>
      <w:r w:rsidRPr="00653128">
        <w:rPr>
          <w:sz w:val="22"/>
          <w:szCs w:val="22"/>
        </w:rPr>
        <w:t>causados pela doença, bem como a dor frequentemente associada com a doença. Pode ser tratado inicialmente com outros medicamentos. Se não responder suficientemente bem a estes me</w:t>
      </w:r>
      <w:r w:rsidRPr="00D33370">
        <w:rPr>
          <w:sz w:val="22"/>
          <w:szCs w:val="22"/>
        </w:rPr>
        <w:t>dicamentos, receberá Humira.</w:t>
      </w:r>
    </w:p>
    <w:p w14:paraId="3C64D71F" w14:textId="77777777" w:rsidR="004462A0" w:rsidRPr="002D4DE5" w:rsidRDefault="004462A0" w:rsidP="004462A0">
      <w:pPr>
        <w:ind w:right="-2"/>
        <w:rPr>
          <w:sz w:val="22"/>
          <w:szCs w:val="22"/>
        </w:rPr>
      </w:pPr>
    </w:p>
    <w:p w14:paraId="039D9EAD" w14:textId="77777777" w:rsidR="004462A0" w:rsidRPr="008B0DDF" w:rsidRDefault="00615769" w:rsidP="004462A0">
      <w:pPr>
        <w:rPr>
          <w:b/>
          <w:sz w:val="22"/>
          <w:szCs w:val="22"/>
        </w:rPr>
      </w:pPr>
      <w:r w:rsidRPr="00003560">
        <w:rPr>
          <w:b/>
          <w:sz w:val="22"/>
          <w:szCs w:val="22"/>
        </w:rPr>
        <w:t>Doença de Crohn</w:t>
      </w:r>
    </w:p>
    <w:p w14:paraId="50DD013A" w14:textId="77777777" w:rsidR="004462A0" w:rsidRPr="00454F99" w:rsidRDefault="004462A0" w:rsidP="004462A0">
      <w:pPr>
        <w:rPr>
          <w:sz w:val="22"/>
          <w:szCs w:val="22"/>
        </w:rPr>
      </w:pPr>
    </w:p>
    <w:p w14:paraId="4984F89E" w14:textId="77777777" w:rsidR="004462A0" w:rsidRPr="006462E3" w:rsidRDefault="00615769" w:rsidP="004462A0">
      <w:pPr>
        <w:rPr>
          <w:sz w:val="22"/>
          <w:szCs w:val="22"/>
          <w:u w:val="single"/>
        </w:rPr>
      </w:pPr>
      <w:r w:rsidRPr="004F0FBC">
        <w:rPr>
          <w:sz w:val="22"/>
          <w:szCs w:val="22"/>
        </w:rPr>
        <w:t>A doença de Crohn é uma doença inflamatória do aparelho digestivo.</w:t>
      </w:r>
    </w:p>
    <w:p w14:paraId="0D42AA7B" w14:textId="77777777" w:rsidR="004462A0" w:rsidRPr="006462E3" w:rsidRDefault="004462A0" w:rsidP="004462A0">
      <w:pPr>
        <w:ind w:hanging="567"/>
        <w:rPr>
          <w:sz w:val="22"/>
          <w:szCs w:val="22"/>
        </w:rPr>
      </w:pPr>
    </w:p>
    <w:p w14:paraId="5192E56F" w14:textId="77777777" w:rsidR="004462A0" w:rsidRPr="006462E3" w:rsidRDefault="00615769" w:rsidP="004462A0">
      <w:pPr>
        <w:ind w:hanging="567"/>
        <w:rPr>
          <w:sz w:val="22"/>
          <w:szCs w:val="22"/>
        </w:rPr>
      </w:pPr>
      <w:r w:rsidRPr="006462E3">
        <w:rPr>
          <w:sz w:val="22"/>
          <w:szCs w:val="22"/>
        </w:rPr>
        <w:tab/>
        <w:t xml:space="preserve">Humira é usado no tratamento da </w:t>
      </w:r>
    </w:p>
    <w:p w14:paraId="0B78A85F" w14:textId="77777777" w:rsidR="004462A0" w:rsidRPr="00854C93" w:rsidRDefault="00615769" w:rsidP="004462A0">
      <w:pPr>
        <w:numPr>
          <w:ilvl w:val="0"/>
          <w:numId w:val="86"/>
        </w:numPr>
        <w:ind w:left="567" w:hanging="567"/>
        <w:rPr>
          <w:sz w:val="22"/>
          <w:szCs w:val="22"/>
        </w:rPr>
      </w:pPr>
      <w:r w:rsidRPr="006462E3">
        <w:rPr>
          <w:sz w:val="22"/>
          <w:szCs w:val="22"/>
        </w:rPr>
        <w:t xml:space="preserve">doença de Crohn moderada a grave </w:t>
      </w:r>
      <w:r w:rsidRPr="009A05BE">
        <w:rPr>
          <w:sz w:val="22"/>
          <w:szCs w:val="22"/>
        </w:rPr>
        <w:t xml:space="preserve">em adultos e </w:t>
      </w:r>
    </w:p>
    <w:p w14:paraId="2EDFFE35" w14:textId="77777777" w:rsidR="004462A0" w:rsidRPr="00653128" w:rsidRDefault="00615769" w:rsidP="004462A0">
      <w:pPr>
        <w:numPr>
          <w:ilvl w:val="0"/>
          <w:numId w:val="86"/>
        </w:numPr>
        <w:ind w:left="567" w:hanging="567"/>
        <w:rPr>
          <w:sz w:val="22"/>
          <w:szCs w:val="22"/>
        </w:rPr>
      </w:pPr>
      <w:r w:rsidRPr="0089156B">
        <w:rPr>
          <w:sz w:val="22"/>
          <w:szCs w:val="22"/>
        </w:rPr>
        <w:t>doença de Crohn moderad</w:t>
      </w:r>
      <w:r w:rsidRPr="000B3FE3">
        <w:rPr>
          <w:sz w:val="22"/>
          <w:szCs w:val="22"/>
        </w:rPr>
        <w:t xml:space="preserve">a a grave em crianças e adolescentes </w:t>
      </w:r>
      <w:r w:rsidR="003167C2">
        <w:rPr>
          <w:sz w:val="22"/>
          <w:szCs w:val="22"/>
        </w:rPr>
        <w:t>entre os 6 e os 17 anos de idade</w:t>
      </w:r>
    </w:p>
    <w:p w14:paraId="62280BD9" w14:textId="77777777" w:rsidR="004462A0" w:rsidRPr="00653128" w:rsidRDefault="004462A0" w:rsidP="004462A0">
      <w:pPr>
        <w:rPr>
          <w:sz w:val="22"/>
          <w:szCs w:val="22"/>
        </w:rPr>
      </w:pPr>
    </w:p>
    <w:p w14:paraId="355B6072" w14:textId="77777777" w:rsidR="004462A0" w:rsidRPr="005F6F98" w:rsidRDefault="00615769" w:rsidP="004462A0">
      <w:pPr>
        <w:ind w:right="-2"/>
        <w:rPr>
          <w:sz w:val="22"/>
          <w:szCs w:val="22"/>
        </w:rPr>
      </w:pPr>
      <w:r w:rsidRPr="00653128">
        <w:rPr>
          <w:sz w:val="22"/>
          <w:szCs w:val="22"/>
        </w:rPr>
        <w:t xml:space="preserve">Pode ser tratado inicialmente com outros medicamentos. Se não responder suficientemente bem a estes medicamentos, </w:t>
      </w:r>
      <w:r w:rsidRPr="002D4DE5">
        <w:rPr>
          <w:sz w:val="22"/>
          <w:szCs w:val="22"/>
        </w:rPr>
        <w:t>receberá Humira</w:t>
      </w:r>
      <w:r w:rsidRPr="005F6F98">
        <w:rPr>
          <w:sz w:val="22"/>
          <w:szCs w:val="22"/>
        </w:rPr>
        <w:t>.</w:t>
      </w:r>
    </w:p>
    <w:p w14:paraId="0D8FBC60" w14:textId="77777777" w:rsidR="004462A0" w:rsidRPr="002B2441" w:rsidRDefault="004462A0" w:rsidP="004462A0">
      <w:pPr>
        <w:pStyle w:val="BodyText2"/>
        <w:autoSpaceDE/>
        <w:autoSpaceDN/>
        <w:adjustRightInd/>
        <w:rPr>
          <w:szCs w:val="22"/>
        </w:rPr>
      </w:pPr>
    </w:p>
    <w:p w14:paraId="5E3A62E0" w14:textId="77777777" w:rsidR="004462A0" w:rsidRPr="00454F99" w:rsidRDefault="00615769" w:rsidP="004462A0">
      <w:pPr>
        <w:pStyle w:val="BodyText2"/>
        <w:autoSpaceDE/>
        <w:autoSpaceDN/>
        <w:adjustRightInd/>
        <w:rPr>
          <w:szCs w:val="22"/>
          <w:u w:val="single"/>
        </w:rPr>
      </w:pPr>
      <w:r w:rsidRPr="008B0DDF">
        <w:rPr>
          <w:b/>
          <w:szCs w:val="22"/>
        </w:rPr>
        <w:t>Colite ulcerosa</w:t>
      </w:r>
    </w:p>
    <w:p w14:paraId="00F00777" w14:textId="77777777" w:rsidR="004462A0" w:rsidRPr="004F0FBC" w:rsidRDefault="004462A0" w:rsidP="004462A0">
      <w:pPr>
        <w:pStyle w:val="BodyText2"/>
        <w:autoSpaceDE/>
        <w:autoSpaceDN/>
        <w:adjustRightInd/>
        <w:rPr>
          <w:szCs w:val="22"/>
        </w:rPr>
      </w:pPr>
    </w:p>
    <w:p w14:paraId="135B1CC7" w14:textId="77777777" w:rsidR="004462A0" w:rsidRPr="006462E3" w:rsidRDefault="00615769" w:rsidP="004462A0">
      <w:pPr>
        <w:pStyle w:val="BodyText2"/>
        <w:autoSpaceDE/>
        <w:autoSpaceDN/>
        <w:adjustRightInd/>
        <w:rPr>
          <w:szCs w:val="22"/>
        </w:rPr>
      </w:pPr>
      <w:r w:rsidRPr="006462E3">
        <w:rPr>
          <w:szCs w:val="22"/>
        </w:rPr>
        <w:t>A colite ulcerosa é uma doença inflamatória do intestino grosso.</w:t>
      </w:r>
    </w:p>
    <w:p w14:paraId="296BA8C8" w14:textId="77777777" w:rsidR="004462A0" w:rsidRPr="009A05BE" w:rsidRDefault="004462A0" w:rsidP="004462A0">
      <w:pPr>
        <w:ind w:right="-2"/>
        <w:rPr>
          <w:sz w:val="22"/>
          <w:szCs w:val="22"/>
        </w:rPr>
      </w:pPr>
    </w:p>
    <w:p w14:paraId="2236BF43" w14:textId="77777777" w:rsidR="004E0FDB" w:rsidRDefault="00615769" w:rsidP="004462A0">
      <w:pPr>
        <w:ind w:right="-2"/>
        <w:rPr>
          <w:sz w:val="22"/>
          <w:szCs w:val="22"/>
        </w:rPr>
      </w:pPr>
      <w:r w:rsidRPr="00854C93">
        <w:rPr>
          <w:sz w:val="22"/>
          <w:szCs w:val="22"/>
        </w:rPr>
        <w:t xml:space="preserve">Humira é usado no tratamento da </w:t>
      </w:r>
    </w:p>
    <w:p w14:paraId="29542AD2" w14:textId="77777777" w:rsidR="004E0FDB" w:rsidRDefault="00615769" w:rsidP="00740DE7">
      <w:pPr>
        <w:pStyle w:val="ListParagraph"/>
        <w:numPr>
          <w:ilvl w:val="0"/>
          <w:numId w:val="182"/>
        </w:numPr>
        <w:ind w:right="-2"/>
        <w:rPr>
          <w:sz w:val="22"/>
          <w:szCs w:val="22"/>
        </w:rPr>
      </w:pPr>
      <w:r w:rsidRPr="00740DE7">
        <w:rPr>
          <w:sz w:val="22"/>
          <w:szCs w:val="22"/>
        </w:rPr>
        <w:t xml:space="preserve">colite ulcerosa moderada a grave em adultos </w:t>
      </w:r>
      <w:r w:rsidR="00B84012">
        <w:rPr>
          <w:sz w:val="22"/>
          <w:szCs w:val="22"/>
        </w:rPr>
        <w:t>e</w:t>
      </w:r>
    </w:p>
    <w:p w14:paraId="1CFB8256" w14:textId="77777777" w:rsidR="004E0FDB" w:rsidRPr="00740DE7" w:rsidRDefault="00615769" w:rsidP="00740DE7">
      <w:pPr>
        <w:pStyle w:val="ListParagraph"/>
        <w:numPr>
          <w:ilvl w:val="0"/>
          <w:numId w:val="182"/>
        </w:numPr>
        <w:ind w:right="-2"/>
        <w:rPr>
          <w:sz w:val="22"/>
          <w:szCs w:val="22"/>
        </w:rPr>
      </w:pPr>
      <w:r w:rsidRPr="004E0FDB">
        <w:rPr>
          <w:sz w:val="22"/>
          <w:szCs w:val="22"/>
        </w:rPr>
        <w:t>colite ulcerosa moderada a grave em crianças e adolescentes entre os 6 e os 17 anos.</w:t>
      </w:r>
    </w:p>
    <w:p w14:paraId="77C3D65F" w14:textId="77777777" w:rsidR="004E0FDB" w:rsidRDefault="004E0FDB" w:rsidP="004462A0">
      <w:pPr>
        <w:ind w:right="-2"/>
        <w:rPr>
          <w:sz w:val="22"/>
          <w:szCs w:val="22"/>
        </w:rPr>
      </w:pPr>
    </w:p>
    <w:p w14:paraId="2F03FAC1" w14:textId="77777777" w:rsidR="004462A0" w:rsidRPr="005F6F98" w:rsidRDefault="00615769" w:rsidP="004462A0">
      <w:pPr>
        <w:ind w:right="-2"/>
        <w:rPr>
          <w:sz w:val="22"/>
          <w:szCs w:val="22"/>
        </w:rPr>
      </w:pPr>
      <w:r w:rsidRPr="004931CE">
        <w:rPr>
          <w:sz w:val="22"/>
          <w:szCs w:val="22"/>
        </w:rPr>
        <w:t>Pode ser tratado inicialmente com</w:t>
      </w:r>
      <w:r w:rsidRPr="00653128">
        <w:rPr>
          <w:sz w:val="22"/>
          <w:szCs w:val="22"/>
        </w:rPr>
        <w:t xml:space="preserve"> outros medicamentos. </w:t>
      </w:r>
      <w:r w:rsidRPr="00D33370">
        <w:rPr>
          <w:sz w:val="22"/>
          <w:szCs w:val="22"/>
        </w:rPr>
        <w:t xml:space="preserve"> Se não responder suficientemente bem a estes medicamentos,</w:t>
      </w:r>
      <w:r w:rsidR="00E47A88">
        <w:rPr>
          <w:sz w:val="22"/>
          <w:szCs w:val="22"/>
        </w:rPr>
        <w:t xml:space="preserve"> </w:t>
      </w:r>
      <w:r w:rsidRPr="00003560">
        <w:rPr>
          <w:sz w:val="22"/>
          <w:szCs w:val="22"/>
        </w:rPr>
        <w:t>receberá Humira</w:t>
      </w:r>
      <w:r w:rsidRPr="005F6F98">
        <w:rPr>
          <w:sz w:val="22"/>
          <w:szCs w:val="22"/>
        </w:rPr>
        <w:t>.</w:t>
      </w:r>
    </w:p>
    <w:p w14:paraId="46B78020" w14:textId="77777777" w:rsidR="004462A0" w:rsidRDefault="004462A0" w:rsidP="004462A0">
      <w:pPr>
        <w:ind w:right="-2"/>
        <w:rPr>
          <w:sz w:val="22"/>
          <w:szCs w:val="22"/>
        </w:rPr>
      </w:pPr>
    </w:p>
    <w:p w14:paraId="08BB2671" w14:textId="77777777" w:rsidR="004462A0" w:rsidRPr="002B2441" w:rsidRDefault="00615769" w:rsidP="004462A0">
      <w:pPr>
        <w:ind w:right="-2"/>
        <w:rPr>
          <w:b/>
          <w:sz w:val="22"/>
          <w:szCs w:val="22"/>
        </w:rPr>
      </w:pPr>
      <w:r w:rsidRPr="002B2441">
        <w:rPr>
          <w:b/>
          <w:sz w:val="22"/>
          <w:szCs w:val="22"/>
        </w:rPr>
        <w:t>Uveíte não infecciosa</w:t>
      </w:r>
    </w:p>
    <w:p w14:paraId="0EBE7639" w14:textId="77777777" w:rsidR="004462A0" w:rsidRPr="005F6F98" w:rsidRDefault="004462A0" w:rsidP="004462A0">
      <w:pPr>
        <w:ind w:right="-2"/>
        <w:rPr>
          <w:sz w:val="22"/>
          <w:szCs w:val="22"/>
        </w:rPr>
      </w:pPr>
    </w:p>
    <w:p w14:paraId="3BCA32E3" w14:textId="77777777" w:rsidR="004462A0" w:rsidRPr="005F6F98" w:rsidRDefault="00615769" w:rsidP="004462A0">
      <w:pPr>
        <w:ind w:right="-2"/>
        <w:rPr>
          <w:sz w:val="22"/>
          <w:szCs w:val="22"/>
        </w:rPr>
      </w:pPr>
      <w:r w:rsidRPr="005F6F98">
        <w:rPr>
          <w:sz w:val="22"/>
          <w:szCs w:val="22"/>
        </w:rPr>
        <w:t>A uveíte não infecciosa é uma doença inflamatória que afeta diferentes partes do olho.</w:t>
      </w:r>
    </w:p>
    <w:p w14:paraId="570F018F" w14:textId="77777777" w:rsidR="004462A0" w:rsidRPr="005F6F98" w:rsidRDefault="004462A0" w:rsidP="004462A0">
      <w:pPr>
        <w:ind w:right="-2"/>
        <w:rPr>
          <w:sz w:val="22"/>
          <w:szCs w:val="22"/>
        </w:rPr>
      </w:pPr>
    </w:p>
    <w:p w14:paraId="75BBB5A5" w14:textId="77777777" w:rsidR="003167C2" w:rsidRDefault="00615769" w:rsidP="004462A0">
      <w:pPr>
        <w:ind w:right="-2"/>
        <w:rPr>
          <w:sz w:val="22"/>
          <w:szCs w:val="22"/>
        </w:rPr>
      </w:pPr>
      <w:r w:rsidRPr="005F6F98">
        <w:rPr>
          <w:sz w:val="22"/>
          <w:szCs w:val="22"/>
        </w:rPr>
        <w:t xml:space="preserve">Humira é usado no tratamento da </w:t>
      </w:r>
    </w:p>
    <w:p w14:paraId="3D346DF5" w14:textId="77777777" w:rsidR="003167C2" w:rsidRDefault="00615769" w:rsidP="00B04323">
      <w:pPr>
        <w:pStyle w:val="ListParagraph"/>
        <w:numPr>
          <w:ilvl w:val="0"/>
          <w:numId w:val="125"/>
        </w:numPr>
        <w:ind w:left="567" w:right="-2" w:hanging="567"/>
        <w:rPr>
          <w:sz w:val="22"/>
          <w:szCs w:val="22"/>
        </w:rPr>
      </w:pPr>
      <w:r>
        <w:rPr>
          <w:sz w:val="22"/>
          <w:szCs w:val="22"/>
        </w:rPr>
        <w:t>u</w:t>
      </w:r>
      <w:r w:rsidRPr="00D45244">
        <w:rPr>
          <w:sz w:val="22"/>
          <w:szCs w:val="22"/>
        </w:rPr>
        <w:t xml:space="preserve">veíte </w:t>
      </w:r>
      <w:r w:rsidR="004462A0" w:rsidRPr="00D45244">
        <w:rPr>
          <w:sz w:val="22"/>
          <w:szCs w:val="22"/>
        </w:rPr>
        <w:t>não infecciosa com inflamação, afetando a parte de trás do olho, em adultos</w:t>
      </w:r>
    </w:p>
    <w:p w14:paraId="1F6B22F4" w14:textId="77777777" w:rsidR="003167C2" w:rsidRDefault="00615769" w:rsidP="00D45244">
      <w:pPr>
        <w:pStyle w:val="ListParagraph"/>
        <w:numPr>
          <w:ilvl w:val="0"/>
          <w:numId w:val="125"/>
        </w:numPr>
        <w:ind w:left="567" w:right="-2" w:hanging="567"/>
        <w:rPr>
          <w:sz w:val="22"/>
          <w:szCs w:val="22"/>
        </w:rPr>
      </w:pPr>
      <w:r>
        <w:rPr>
          <w:sz w:val="22"/>
          <w:szCs w:val="22"/>
        </w:rPr>
        <w:t>u</w:t>
      </w:r>
      <w:r w:rsidR="00403245" w:rsidRPr="003A08D5">
        <w:rPr>
          <w:sz w:val="22"/>
          <w:szCs w:val="22"/>
        </w:rPr>
        <w:t xml:space="preserve">veíte </w:t>
      </w:r>
      <w:r w:rsidR="004D5D58" w:rsidRPr="003A08D5">
        <w:rPr>
          <w:sz w:val="22"/>
          <w:szCs w:val="22"/>
        </w:rPr>
        <w:t>não infecciosa</w:t>
      </w:r>
      <w:r w:rsidR="00EF7E97">
        <w:rPr>
          <w:sz w:val="22"/>
          <w:szCs w:val="22"/>
        </w:rPr>
        <w:t>,</w:t>
      </w:r>
      <w:r w:rsidR="004D5D58" w:rsidRPr="003A08D5">
        <w:rPr>
          <w:sz w:val="22"/>
          <w:szCs w:val="22"/>
        </w:rPr>
        <w:t xml:space="preserve"> </w:t>
      </w:r>
      <w:r w:rsidR="00403245" w:rsidRPr="003A08D5">
        <w:rPr>
          <w:sz w:val="22"/>
          <w:szCs w:val="22"/>
        </w:rPr>
        <w:t>crónica</w:t>
      </w:r>
      <w:r w:rsidR="004D5D58">
        <w:rPr>
          <w:sz w:val="22"/>
          <w:szCs w:val="22"/>
        </w:rPr>
        <w:t>,</w:t>
      </w:r>
      <w:r w:rsidR="00403245" w:rsidRPr="003A08D5">
        <w:rPr>
          <w:sz w:val="22"/>
          <w:szCs w:val="22"/>
        </w:rPr>
        <w:t xml:space="preserve"> com inflamação, afetando a parte da frente do olho, em crianças a partir dos 2</w:t>
      </w:r>
      <w:r w:rsidR="00403245">
        <w:rPr>
          <w:sz w:val="22"/>
          <w:szCs w:val="22"/>
        </w:rPr>
        <w:t> </w:t>
      </w:r>
      <w:r w:rsidR="00403245" w:rsidRPr="003A08D5">
        <w:rPr>
          <w:sz w:val="22"/>
          <w:szCs w:val="22"/>
        </w:rPr>
        <w:t>anos de idade</w:t>
      </w:r>
    </w:p>
    <w:p w14:paraId="6C28A109" w14:textId="77777777" w:rsidR="003167C2" w:rsidRDefault="003167C2" w:rsidP="003167C2">
      <w:pPr>
        <w:ind w:right="-2"/>
        <w:rPr>
          <w:sz w:val="22"/>
          <w:szCs w:val="22"/>
        </w:rPr>
      </w:pPr>
    </w:p>
    <w:p w14:paraId="6DB6D186" w14:textId="77777777" w:rsidR="00E47A88" w:rsidRDefault="00615769" w:rsidP="003167C2">
      <w:pPr>
        <w:ind w:right="-2"/>
        <w:rPr>
          <w:sz w:val="22"/>
          <w:szCs w:val="22"/>
        </w:rPr>
      </w:pPr>
      <w:r w:rsidRPr="00D45244">
        <w:rPr>
          <w:sz w:val="22"/>
          <w:szCs w:val="22"/>
        </w:rPr>
        <w:t xml:space="preserve">Esta inflamação </w:t>
      </w:r>
      <w:r w:rsidR="00403245">
        <w:rPr>
          <w:sz w:val="22"/>
          <w:szCs w:val="22"/>
        </w:rPr>
        <w:t xml:space="preserve">pode </w:t>
      </w:r>
      <w:r w:rsidRPr="00D45244">
        <w:rPr>
          <w:sz w:val="22"/>
          <w:szCs w:val="22"/>
        </w:rPr>
        <w:t>leva</w:t>
      </w:r>
      <w:r w:rsidR="00403245">
        <w:rPr>
          <w:sz w:val="22"/>
          <w:szCs w:val="22"/>
        </w:rPr>
        <w:t>r</w:t>
      </w:r>
      <w:r w:rsidRPr="00D45244">
        <w:rPr>
          <w:sz w:val="22"/>
          <w:szCs w:val="22"/>
        </w:rPr>
        <w:t xml:space="preserve"> a uma diminuição da visão e/ou à presença de moscas volantes no olho (pontos pretos ou linhas finas que se movem através do campo de visão). Humira atua através da redução desta inflamação.</w:t>
      </w:r>
      <w:r w:rsidR="00403245">
        <w:rPr>
          <w:sz w:val="22"/>
          <w:szCs w:val="22"/>
        </w:rPr>
        <w:t xml:space="preserve"> </w:t>
      </w:r>
    </w:p>
    <w:p w14:paraId="1990FA3E" w14:textId="77777777" w:rsidR="00E47A88" w:rsidRDefault="00E47A88" w:rsidP="003167C2">
      <w:pPr>
        <w:ind w:right="-2"/>
        <w:rPr>
          <w:sz w:val="22"/>
          <w:szCs w:val="22"/>
        </w:rPr>
      </w:pPr>
    </w:p>
    <w:p w14:paraId="69DCDA0A" w14:textId="77777777" w:rsidR="004462A0" w:rsidRPr="00D45244" w:rsidRDefault="00615769" w:rsidP="003167C2">
      <w:pPr>
        <w:ind w:right="-2"/>
        <w:rPr>
          <w:sz w:val="22"/>
          <w:szCs w:val="22"/>
        </w:rPr>
      </w:pPr>
      <w:r w:rsidRPr="00653128">
        <w:rPr>
          <w:sz w:val="22"/>
          <w:szCs w:val="22"/>
        </w:rPr>
        <w:t xml:space="preserve">Pode ser tratado inicialmente com outros medicamentos. Se não responder suficientemente bem a estes medicamentos, </w:t>
      </w:r>
      <w:r w:rsidRPr="002D4DE5">
        <w:rPr>
          <w:sz w:val="22"/>
          <w:szCs w:val="22"/>
        </w:rPr>
        <w:t>receberá Humira</w:t>
      </w:r>
      <w:r>
        <w:rPr>
          <w:sz w:val="22"/>
          <w:szCs w:val="22"/>
        </w:rPr>
        <w:t>.</w:t>
      </w:r>
    </w:p>
    <w:p w14:paraId="58A59057" w14:textId="77777777" w:rsidR="004462A0" w:rsidRDefault="004462A0" w:rsidP="004462A0">
      <w:pPr>
        <w:ind w:right="-2"/>
        <w:rPr>
          <w:sz w:val="22"/>
          <w:szCs w:val="22"/>
        </w:rPr>
      </w:pPr>
    </w:p>
    <w:p w14:paraId="629F4A39" w14:textId="77777777" w:rsidR="004462A0" w:rsidRPr="002B2441" w:rsidRDefault="004462A0" w:rsidP="004462A0">
      <w:pPr>
        <w:ind w:right="-2"/>
        <w:rPr>
          <w:sz w:val="22"/>
          <w:szCs w:val="22"/>
        </w:rPr>
      </w:pPr>
    </w:p>
    <w:p w14:paraId="13EF46C6" w14:textId="77777777" w:rsidR="004462A0" w:rsidRPr="002B2441" w:rsidRDefault="00615769" w:rsidP="00683E8D">
      <w:pPr>
        <w:keepNext/>
        <w:ind w:left="567" w:hanging="567"/>
        <w:rPr>
          <w:b/>
          <w:bCs/>
          <w:sz w:val="22"/>
          <w:szCs w:val="22"/>
        </w:rPr>
      </w:pPr>
      <w:r w:rsidRPr="002B2441">
        <w:rPr>
          <w:b/>
          <w:sz w:val="22"/>
          <w:szCs w:val="22"/>
        </w:rPr>
        <w:t>2.</w:t>
      </w:r>
      <w:r w:rsidRPr="002B2441">
        <w:rPr>
          <w:b/>
          <w:sz w:val="22"/>
          <w:szCs w:val="22"/>
        </w:rPr>
        <w:tab/>
      </w:r>
      <w:r w:rsidRPr="002B2441">
        <w:rPr>
          <w:b/>
          <w:bCs/>
          <w:sz w:val="22"/>
          <w:szCs w:val="22"/>
        </w:rPr>
        <w:t>O que precisa de saber antes de utilizar Humira</w:t>
      </w:r>
    </w:p>
    <w:p w14:paraId="5D7ADA24" w14:textId="77777777" w:rsidR="004462A0" w:rsidRPr="00B830EC" w:rsidRDefault="004462A0" w:rsidP="00683E8D">
      <w:pPr>
        <w:keepNext/>
        <w:ind w:right="-2"/>
        <w:rPr>
          <w:b/>
          <w:bCs/>
          <w:sz w:val="22"/>
          <w:szCs w:val="22"/>
        </w:rPr>
      </w:pPr>
    </w:p>
    <w:p w14:paraId="4D0F8A78" w14:textId="77777777" w:rsidR="004462A0" w:rsidRPr="008B0DDF" w:rsidRDefault="00615769" w:rsidP="00683E8D">
      <w:pPr>
        <w:keepNext/>
        <w:rPr>
          <w:sz w:val="22"/>
          <w:szCs w:val="22"/>
        </w:rPr>
      </w:pPr>
      <w:r w:rsidRPr="008B0DDF">
        <w:rPr>
          <w:b/>
          <w:sz w:val="22"/>
          <w:szCs w:val="22"/>
        </w:rPr>
        <w:t xml:space="preserve">Não utilize </w:t>
      </w:r>
      <w:r w:rsidRPr="008B0DDF">
        <w:rPr>
          <w:b/>
          <w:bCs/>
          <w:sz w:val="22"/>
          <w:szCs w:val="22"/>
        </w:rPr>
        <w:t>Humira</w:t>
      </w:r>
    </w:p>
    <w:p w14:paraId="683FECF1" w14:textId="77777777" w:rsidR="004462A0" w:rsidRPr="008B0DDF" w:rsidRDefault="004462A0" w:rsidP="00683E8D">
      <w:pPr>
        <w:pStyle w:val="EndnoteText"/>
        <w:keepNext/>
        <w:tabs>
          <w:tab w:val="clear" w:pos="567"/>
        </w:tabs>
        <w:rPr>
          <w:szCs w:val="22"/>
        </w:rPr>
      </w:pPr>
    </w:p>
    <w:p w14:paraId="7771C119" w14:textId="77777777" w:rsidR="004462A0" w:rsidRPr="008B0DDF" w:rsidRDefault="00615769" w:rsidP="00683E8D">
      <w:pPr>
        <w:keepNext/>
        <w:numPr>
          <w:ilvl w:val="1"/>
          <w:numId w:val="51"/>
        </w:numPr>
        <w:rPr>
          <w:sz w:val="22"/>
          <w:szCs w:val="22"/>
        </w:rPr>
      </w:pPr>
      <w:r w:rsidRPr="008B0DDF">
        <w:rPr>
          <w:sz w:val="22"/>
          <w:szCs w:val="22"/>
        </w:rPr>
        <w:t>se tem alergia a adalimumab ou a qualquer outro componente deste medicamento (indicados na secção 6).</w:t>
      </w:r>
    </w:p>
    <w:p w14:paraId="6209DD55" w14:textId="77777777" w:rsidR="004462A0" w:rsidRPr="008B0DDF" w:rsidRDefault="004462A0" w:rsidP="00683E8D">
      <w:pPr>
        <w:pStyle w:val="EndnoteText"/>
        <w:keepNext/>
        <w:tabs>
          <w:tab w:val="clear" w:pos="567"/>
        </w:tabs>
        <w:rPr>
          <w:szCs w:val="22"/>
        </w:rPr>
      </w:pPr>
    </w:p>
    <w:p w14:paraId="2F7CEC75" w14:textId="77777777" w:rsidR="004462A0" w:rsidRPr="008B0DDF" w:rsidRDefault="00615769" w:rsidP="00683E8D">
      <w:pPr>
        <w:keepNext/>
        <w:numPr>
          <w:ilvl w:val="1"/>
          <w:numId w:val="51"/>
        </w:numPr>
        <w:rPr>
          <w:sz w:val="22"/>
          <w:szCs w:val="22"/>
        </w:rPr>
      </w:pPr>
      <w:r w:rsidRPr="008B0DDF">
        <w:rPr>
          <w:sz w:val="22"/>
          <w:szCs w:val="22"/>
        </w:rPr>
        <w:t>se tem tuberculose ativa ou outras infeções graves (ver “Advertências e precauções”). Deve contactar o seu médico se tiver sintomas de infeção, por exemplo febre, feridas, sensação de cansaço, problemas dentários.</w:t>
      </w:r>
    </w:p>
    <w:p w14:paraId="66881187" w14:textId="77777777" w:rsidR="004462A0" w:rsidRPr="008B0DDF" w:rsidRDefault="004462A0" w:rsidP="00683E8D">
      <w:pPr>
        <w:keepNext/>
        <w:rPr>
          <w:sz w:val="22"/>
          <w:szCs w:val="22"/>
        </w:rPr>
      </w:pPr>
    </w:p>
    <w:p w14:paraId="0D155DC2" w14:textId="77777777" w:rsidR="004462A0" w:rsidRPr="008B0DDF" w:rsidRDefault="00615769" w:rsidP="00683E8D">
      <w:pPr>
        <w:keepNext/>
        <w:numPr>
          <w:ilvl w:val="1"/>
          <w:numId w:val="51"/>
        </w:numPr>
        <w:rPr>
          <w:sz w:val="22"/>
          <w:szCs w:val="22"/>
        </w:rPr>
      </w:pPr>
      <w:r w:rsidRPr="008B0DDF">
        <w:rPr>
          <w:sz w:val="22"/>
          <w:szCs w:val="22"/>
        </w:rPr>
        <w:t>se tem insuficiência cardíaca moderada a grave. É importante que informe o seu médico se tem ou se teve alterações cardíacas graves (ver “Advertências e precauções</w:t>
      </w:r>
      <w:r w:rsidRPr="008B0DDF">
        <w:rPr>
          <w:bCs/>
          <w:sz w:val="22"/>
          <w:szCs w:val="22"/>
        </w:rPr>
        <w:t>”).</w:t>
      </w:r>
    </w:p>
    <w:p w14:paraId="07BA9CAB" w14:textId="77777777" w:rsidR="004462A0" w:rsidRPr="008B0DDF" w:rsidRDefault="004462A0" w:rsidP="004462A0">
      <w:pPr>
        <w:rPr>
          <w:b/>
          <w:sz w:val="22"/>
          <w:szCs w:val="22"/>
        </w:rPr>
      </w:pPr>
    </w:p>
    <w:p w14:paraId="1D1900A6" w14:textId="77777777" w:rsidR="004462A0" w:rsidRPr="008B0DDF" w:rsidRDefault="00615769" w:rsidP="004462A0">
      <w:pPr>
        <w:rPr>
          <w:b/>
          <w:sz w:val="22"/>
          <w:szCs w:val="22"/>
        </w:rPr>
      </w:pPr>
      <w:r w:rsidRPr="008B0DDF">
        <w:rPr>
          <w:b/>
          <w:sz w:val="22"/>
          <w:szCs w:val="22"/>
        </w:rPr>
        <w:t>Advertências e precauções</w:t>
      </w:r>
    </w:p>
    <w:p w14:paraId="633AA071" w14:textId="77777777" w:rsidR="004462A0" w:rsidRPr="008B0DDF" w:rsidRDefault="004462A0" w:rsidP="004462A0">
      <w:pPr>
        <w:rPr>
          <w:sz w:val="22"/>
          <w:szCs w:val="22"/>
        </w:rPr>
      </w:pPr>
    </w:p>
    <w:p w14:paraId="5B29FB78" w14:textId="77777777" w:rsidR="004462A0" w:rsidRPr="008B0DDF" w:rsidRDefault="00615769" w:rsidP="004462A0">
      <w:pPr>
        <w:rPr>
          <w:sz w:val="22"/>
          <w:szCs w:val="22"/>
        </w:rPr>
      </w:pPr>
      <w:r w:rsidRPr="008B0DDF">
        <w:rPr>
          <w:sz w:val="22"/>
          <w:szCs w:val="22"/>
        </w:rPr>
        <w:t>Fale com o seu médico ou farmacêutico antes de utilizar Humira.</w:t>
      </w:r>
    </w:p>
    <w:p w14:paraId="74A1246D" w14:textId="77777777" w:rsidR="004462A0" w:rsidRPr="008B0DDF" w:rsidRDefault="004462A0" w:rsidP="004462A0">
      <w:pPr>
        <w:rPr>
          <w:sz w:val="22"/>
          <w:szCs w:val="22"/>
        </w:rPr>
      </w:pPr>
    </w:p>
    <w:p w14:paraId="64FF50C6" w14:textId="77777777" w:rsidR="004462A0" w:rsidRPr="008B0DDF" w:rsidRDefault="00615769" w:rsidP="004462A0">
      <w:pPr>
        <w:rPr>
          <w:sz w:val="22"/>
          <w:szCs w:val="22"/>
          <w:u w:val="single"/>
        </w:rPr>
      </w:pPr>
      <w:r w:rsidRPr="008B0DDF">
        <w:rPr>
          <w:sz w:val="22"/>
          <w:szCs w:val="22"/>
          <w:u w:val="single"/>
        </w:rPr>
        <w:t>Reações alérgicas</w:t>
      </w:r>
    </w:p>
    <w:p w14:paraId="31CA9A6A" w14:textId="77777777" w:rsidR="004462A0" w:rsidRPr="008B0DDF" w:rsidRDefault="004462A0" w:rsidP="004462A0">
      <w:pPr>
        <w:rPr>
          <w:sz w:val="22"/>
          <w:szCs w:val="22"/>
        </w:rPr>
      </w:pPr>
    </w:p>
    <w:p w14:paraId="4492B038" w14:textId="77777777" w:rsidR="004462A0" w:rsidRPr="004F0FBC" w:rsidRDefault="00615769" w:rsidP="004462A0">
      <w:pPr>
        <w:numPr>
          <w:ilvl w:val="0"/>
          <w:numId w:val="15"/>
        </w:numPr>
        <w:rPr>
          <w:sz w:val="22"/>
          <w:szCs w:val="22"/>
        </w:rPr>
      </w:pPr>
      <w:r w:rsidRPr="004F0FBC">
        <w:rPr>
          <w:sz w:val="22"/>
          <w:szCs w:val="22"/>
        </w:rPr>
        <w:t>Se tiver reações alérgicas com sintomas, tais como dificuldade em respirar, respiração ofegante, tonturas, inchaço ou pele irritada, interrompa a administração de Humira e contacte imediatamente o seu médico</w:t>
      </w:r>
      <w:r w:rsidR="00BA5138">
        <w:rPr>
          <w:sz w:val="22"/>
          <w:szCs w:val="22"/>
        </w:rPr>
        <w:t xml:space="preserve"> uma vez que, em casos raros, estas reações podem ser potencialmente fatais</w:t>
      </w:r>
      <w:r w:rsidRPr="004F0FBC">
        <w:rPr>
          <w:sz w:val="22"/>
          <w:szCs w:val="22"/>
        </w:rPr>
        <w:t>.</w:t>
      </w:r>
    </w:p>
    <w:p w14:paraId="4A7F3AC5" w14:textId="77777777" w:rsidR="004462A0" w:rsidRPr="008B0DDF" w:rsidRDefault="004462A0" w:rsidP="004462A0">
      <w:pPr>
        <w:rPr>
          <w:sz w:val="22"/>
          <w:szCs w:val="22"/>
        </w:rPr>
      </w:pPr>
    </w:p>
    <w:p w14:paraId="0DFE7D06" w14:textId="77777777" w:rsidR="004462A0" w:rsidRPr="008B0DDF" w:rsidRDefault="00615769" w:rsidP="004462A0">
      <w:pPr>
        <w:rPr>
          <w:sz w:val="22"/>
          <w:szCs w:val="22"/>
          <w:u w:val="single"/>
        </w:rPr>
      </w:pPr>
      <w:r w:rsidRPr="008B0DDF">
        <w:rPr>
          <w:sz w:val="22"/>
          <w:szCs w:val="22"/>
          <w:u w:val="single"/>
        </w:rPr>
        <w:t>Infeções</w:t>
      </w:r>
    </w:p>
    <w:p w14:paraId="770F0068" w14:textId="77777777" w:rsidR="004462A0" w:rsidRPr="00454F99" w:rsidRDefault="004462A0" w:rsidP="004462A0">
      <w:pPr>
        <w:rPr>
          <w:sz w:val="22"/>
          <w:szCs w:val="22"/>
        </w:rPr>
      </w:pPr>
    </w:p>
    <w:p w14:paraId="158F7C96" w14:textId="77777777" w:rsidR="004462A0" w:rsidRPr="00854C93" w:rsidRDefault="00615769" w:rsidP="004462A0">
      <w:pPr>
        <w:numPr>
          <w:ilvl w:val="1"/>
          <w:numId w:val="50"/>
        </w:numPr>
        <w:rPr>
          <w:sz w:val="22"/>
          <w:szCs w:val="22"/>
        </w:rPr>
      </w:pPr>
      <w:r w:rsidRPr="004F0FBC">
        <w:rPr>
          <w:sz w:val="22"/>
          <w:szCs w:val="22"/>
        </w:rPr>
        <w:t xml:space="preserve">Se tiver uma infeção, incluindo uma infeção crónica ou </w:t>
      </w:r>
      <w:r w:rsidRPr="006462E3">
        <w:rPr>
          <w:sz w:val="22"/>
          <w:szCs w:val="22"/>
        </w:rPr>
        <w:t>uma infeção em qualquer parte do seu corpo</w:t>
      </w:r>
      <w:r w:rsidRPr="009A05BE">
        <w:rPr>
          <w:sz w:val="22"/>
          <w:szCs w:val="22"/>
        </w:rPr>
        <w:t xml:space="preserve"> (por exemplo, úlcera da perna) informe o seu médico antes de iniciar o tratamento com Humira. Se tiver quaisquer dúvidas, deve contactar o</w:t>
      </w:r>
      <w:r w:rsidRPr="00854C93">
        <w:rPr>
          <w:sz w:val="22"/>
          <w:szCs w:val="22"/>
        </w:rPr>
        <w:t xml:space="preserve"> seu médico. </w:t>
      </w:r>
    </w:p>
    <w:p w14:paraId="3CAB4210" w14:textId="77777777" w:rsidR="004462A0" w:rsidRPr="0089156B" w:rsidRDefault="004462A0" w:rsidP="004462A0">
      <w:pPr>
        <w:tabs>
          <w:tab w:val="num" w:pos="567"/>
        </w:tabs>
        <w:ind w:left="567" w:hanging="567"/>
        <w:rPr>
          <w:sz w:val="22"/>
          <w:szCs w:val="22"/>
        </w:rPr>
      </w:pPr>
    </w:p>
    <w:p w14:paraId="111222CD" w14:textId="77777777" w:rsidR="004462A0" w:rsidRPr="00D33370" w:rsidRDefault="00615769" w:rsidP="004462A0">
      <w:pPr>
        <w:numPr>
          <w:ilvl w:val="1"/>
          <w:numId w:val="50"/>
        </w:numPr>
        <w:rPr>
          <w:sz w:val="22"/>
          <w:szCs w:val="22"/>
        </w:rPr>
      </w:pPr>
      <w:r w:rsidRPr="000B3FE3">
        <w:rPr>
          <w:sz w:val="22"/>
          <w:szCs w:val="22"/>
        </w:rPr>
        <w:t xml:space="preserve">Pode contrair mais facilmente infeções enquanto estiver a ser tratado com Humira. Este risco pode aumentar </w:t>
      </w:r>
      <w:r w:rsidR="00FE0AD3" w:rsidRPr="008912CF">
        <w:rPr>
          <w:sz w:val="22"/>
          <w:szCs w:val="22"/>
        </w:rPr>
        <w:t>se a sua função pulmonar estiver diminuída</w:t>
      </w:r>
      <w:r w:rsidRPr="00653128">
        <w:rPr>
          <w:sz w:val="22"/>
          <w:szCs w:val="22"/>
        </w:rPr>
        <w:t xml:space="preserve">. Estas infeções podem ser graves e </w:t>
      </w:r>
      <w:r w:rsidRPr="00D33370">
        <w:rPr>
          <w:sz w:val="22"/>
          <w:szCs w:val="22"/>
        </w:rPr>
        <w:t>incluem:</w:t>
      </w:r>
    </w:p>
    <w:p w14:paraId="7FCDD4C8" w14:textId="77777777" w:rsidR="004462A0" w:rsidRPr="00D33370" w:rsidRDefault="004462A0" w:rsidP="004462A0">
      <w:pPr>
        <w:pStyle w:val="ListParagraph"/>
        <w:rPr>
          <w:sz w:val="22"/>
          <w:szCs w:val="22"/>
        </w:rPr>
      </w:pPr>
    </w:p>
    <w:p w14:paraId="1668F358" w14:textId="77777777" w:rsidR="004462A0" w:rsidRPr="00003560" w:rsidRDefault="00615769" w:rsidP="004462A0">
      <w:pPr>
        <w:numPr>
          <w:ilvl w:val="0"/>
          <w:numId w:val="87"/>
        </w:numPr>
        <w:ind w:left="1134" w:hanging="567"/>
        <w:rPr>
          <w:sz w:val="22"/>
          <w:szCs w:val="22"/>
        </w:rPr>
      </w:pPr>
      <w:r w:rsidRPr="002D4DE5">
        <w:rPr>
          <w:sz w:val="22"/>
          <w:szCs w:val="22"/>
        </w:rPr>
        <w:t>tuberculose</w:t>
      </w:r>
    </w:p>
    <w:p w14:paraId="534C4604" w14:textId="77777777" w:rsidR="004462A0" w:rsidRPr="005F6F98" w:rsidRDefault="00615769" w:rsidP="004462A0">
      <w:pPr>
        <w:numPr>
          <w:ilvl w:val="0"/>
          <w:numId w:val="87"/>
        </w:numPr>
        <w:ind w:left="1134" w:hanging="567"/>
        <w:rPr>
          <w:sz w:val="22"/>
          <w:szCs w:val="22"/>
        </w:rPr>
      </w:pPr>
      <w:r w:rsidRPr="005F6F98">
        <w:rPr>
          <w:sz w:val="22"/>
          <w:szCs w:val="22"/>
        </w:rPr>
        <w:t>infeções causadas por vírus, fungos, parasitas ou bactérias</w:t>
      </w:r>
    </w:p>
    <w:p w14:paraId="3026F97F" w14:textId="77777777" w:rsidR="004462A0" w:rsidRPr="00B25AD1" w:rsidRDefault="00615769">
      <w:pPr>
        <w:numPr>
          <w:ilvl w:val="0"/>
          <w:numId w:val="87"/>
        </w:numPr>
        <w:ind w:left="1134" w:hanging="567"/>
        <w:rPr>
          <w:sz w:val="22"/>
          <w:szCs w:val="22"/>
        </w:rPr>
      </w:pPr>
      <w:r w:rsidRPr="00B25AD1">
        <w:rPr>
          <w:sz w:val="22"/>
          <w:szCs w:val="22"/>
        </w:rPr>
        <w:t>infeção grave no sangue (sepsia)</w:t>
      </w:r>
    </w:p>
    <w:p w14:paraId="623E4225" w14:textId="77777777" w:rsidR="004462A0" w:rsidRPr="008B0DDF" w:rsidRDefault="00615769" w:rsidP="004462A0">
      <w:pPr>
        <w:ind w:left="567" w:hanging="567"/>
        <w:rPr>
          <w:sz w:val="22"/>
          <w:szCs w:val="22"/>
        </w:rPr>
      </w:pPr>
      <w:r w:rsidRPr="008B0DDF">
        <w:rPr>
          <w:sz w:val="22"/>
          <w:szCs w:val="22"/>
        </w:rPr>
        <w:t xml:space="preserve"> </w:t>
      </w:r>
    </w:p>
    <w:p w14:paraId="097C6A73" w14:textId="77777777" w:rsidR="004462A0" w:rsidRPr="008B0DDF" w:rsidRDefault="00615769" w:rsidP="004462A0">
      <w:pPr>
        <w:ind w:left="567"/>
        <w:rPr>
          <w:sz w:val="22"/>
          <w:szCs w:val="22"/>
        </w:rPr>
      </w:pPr>
      <w:r w:rsidRPr="008B0DDF">
        <w:rPr>
          <w:sz w:val="22"/>
          <w:szCs w:val="22"/>
        </w:rPr>
        <w:t xml:space="preserve">Em casos raros, estas infeções podem pôr a vida em risco. Deve informar o seu médico se tiver sintomas, tais como febre, feridas, sensação de cansaço ou problemas dentários. O seu médico pode aconselhar a </w:t>
      </w:r>
      <w:r w:rsidR="00720C9C">
        <w:rPr>
          <w:sz w:val="22"/>
          <w:szCs w:val="22"/>
        </w:rPr>
        <w:t xml:space="preserve">suspensão temporária de </w:t>
      </w:r>
      <w:r w:rsidRPr="008B0DDF">
        <w:rPr>
          <w:sz w:val="22"/>
          <w:szCs w:val="22"/>
        </w:rPr>
        <w:t>Humira.</w:t>
      </w:r>
    </w:p>
    <w:p w14:paraId="050C6B90" w14:textId="77777777" w:rsidR="004462A0" w:rsidRPr="008B0DDF" w:rsidRDefault="004462A0" w:rsidP="004462A0">
      <w:pPr>
        <w:rPr>
          <w:sz w:val="22"/>
          <w:szCs w:val="22"/>
        </w:rPr>
      </w:pPr>
    </w:p>
    <w:p w14:paraId="4887261D" w14:textId="77777777" w:rsidR="004462A0" w:rsidRPr="008B0DDF" w:rsidRDefault="00615769" w:rsidP="004462A0">
      <w:pPr>
        <w:numPr>
          <w:ilvl w:val="0"/>
          <w:numId w:val="88"/>
        </w:numPr>
        <w:ind w:left="567" w:hanging="567"/>
        <w:rPr>
          <w:sz w:val="22"/>
          <w:szCs w:val="22"/>
        </w:rPr>
      </w:pPr>
      <w:r w:rsidRPr="008B0DDF">
        <w:rPr>
          <w:sz w:val="22"/>
          <w:szCs w:val="22"/>
        </w:rPr>
        <w:t>Informe o seu médico se reside ou viaja em regiões nas quais as infeções fúngicas (por exemplo histoplasmose, coccidioidomicose ou blastomicose) são muito frequentes.</w:t>
      </w:r>
    </w:p>
    <w:p w14:paraId="03CE0639" w14:textId="77777777" w:rsidR="004462A0" w:rsidRPr="008B0DDF" w:rsidRDefault="004462A0" w:rsidP="004462A0">
      <w:pPr>
        <w:rPr>
          <w:sz w:val="22"/>
          <w:szCs w:val="22"/>
        </w:rPr>
      </w:pPr>
    </w:p>
    <w:p w14:paraId="11D16A76" w14:textId="77777777" w:rsidR="004462A0" w:rsidRPr="008B0DDF" w:rsidRDefault="00615769" w:rsidP="004462A0">
      <w:pPr>
        <w:pStyle w:val="EMEABullet"/>
        <w:numPr>
          <w:ilvl w:val="1"/>
          <w:numId w:val="50"/>
        </w:numPr>
        <w:suppressAutoHyphens w:val="0"/>
        <w:rPr>
          <w:szCs w:val="22"/>
          <w:lang w:val="pt-PT"/>
        </w:rPr>
      </w:pPr>
      <w:r w:rsidRPr="008B0DDF">
        <w:rPr>
          <w:szCs w:val="22"/>
          <w:lang w:val="pt-PT"/>
        </w:rPr>
        <w:t>Informe o seu médico se já sofreu de infeções recorrentes ou quaisquer outros problemas que aumentem o risco de infeções.</w:t>
      </w:r>
    </w:p>
    <w:p w14:paraId="29EDFBB9" w14:textId="77777777" w:rsidR="004462A0" w:rsidRPr="008B0DDF" w:rsidRDefault="004462A0" w:rsidP="004462A0">
      <w:pPr>
        <w:rPr>
          <w:sz w:val="22"/>
          <w:szCs w:val="22"/>
        </w:rPr>
      </w:pPr>
    </w:p>
    <w:p w14:paraId="29DEAD4B" w14:textId="77777777" w:rsidR="004462A0" w:rsidRPr="008B0DDF" w:rsidRDefault="00615769" w:rsidP="004462A0">
      <w:pPr>
        <w:numPr>
          <w:ilvl w:val="0"/>
          <w:numId w:val="88"/>
        </w:numPr>
        <w:ind w:left="567" w:hanging="567"/>
        <w:rPr>
          <w:sz w:val="22"/>
          <w:szCs w:val="22"/>
        </w:rPr>
      </w:pPr>
      <w:r w:rsidRPr="008B0DDF">
        <w:rPr>
          <w:sz w:val="22"/>
          <w:szCs w:val="22"/>
        </w:rPr>
        <w:t>Se tem mais de 65 anos pode estar mais suscetível a infeções enquanto estiver a ser tratado com Humira. Em conjunto com o seu médico deve tomar especial atenção a sinais de infeção enquanto estiver a ser tratado com Humira. É importante informar o seu médico se tiver sintomas de infeções, tais como febre, feridas, sensação de cansaço ou problemas dentários.</w:t>
      </w:r>
    </w:p>
    <w:p w14:paraId="5EAADBDA" w14:textId="77777777" w:rsidR="004462A0" w:rsidRPr="008B0DDF" w:rsidRDefault="004462A0" w:rsidP="004462A0">
      <w:pPr>
        <w:rPr>
          <w:sz w:val="22"/>
          <w:szCs w:val="22"/>
        </w:rPr>
      </w:pPr>
    </w:p>
    <w:p w14:paraId="5BC13095" w14:textId="77777777" w:rsidR="004462A0" w:rsidRPr="008B0DDF" w:rsidRDefault="00615769" w:rsidP="004462A0">
      <w:pPr>
        <w:rPr>
          <w:sz w:val="22"/>
          <w:szCs w:val="22"/>
          <w:u w:val="single"/>
        </w:rPr>
      </w:pPr>
      <w:r w:rsidRPr="008B0DDF">
        <w:rPr>
          <w:sz w:val="22"/>
          <w:szCs w:val="22"/>
          <w:u w:val="single"/>
        </w:rPr>
        <w:t>Tuberculose</w:t>
      </w:r>
    </w:p>
    <w:p w14:paraId="1D719DAC" w14:textId="77777777" w:rsidR="004462A0" w:rsidRPr="00454F99" w:rsidRDefault="004462A0" w:rsidP="004462A0">
      <w:pPr>
        <w:rPr>
          <w:sz w:val="22"/>
          <w:szCs w:val="22"/>
        </w:rPr>
      </w:pPr>
    </w:p>
    <w:p w14:paraId="2ABA8549" w14:textId="77777777" w:rsidR="004462A0" w:rsidRPr="00854C93" w:rsidRDefault="00615769" w:rsidP="004462A0">
      <w:pPr>
        <w:numPr>
          <w:ilvl w:val="0"/>
          <w:numId w:val="88"/>
        </w:numPr>
        <w:ind w:left="567" w:hanging="567"/>
        <w:rPr>
          <w:sz w:val="22"/>
          <w:szCs w:val="22"/>
        </w:rPr>
      </w:pPr>
      <w:r w:rsidRPr="00454F99">
        <w:rPr>
          <w:sz w:val="22"/>
          <w:szCs w:val="22"/>
        </w:rPr>
        <w:t>É muito importante que informe o seu médico se já sofreu de tuberculose ou se esteve em contacto próximo com alguém</w:t>
      </w:r>
      <w:r w:rsidRPr="004F0FBC">
        <w:rPr>
          <w:sz w:val="22"/>
          <w:szCs w:val="22"/>
        </w:rPr>
        <w:t xml:space="preserve"> que teve tuberculose</w:t>
      </w:r>
      <w:r w:rsidRPr="006462E3">
        <w:rPr>
          <w:sz w:val="22"/>
          <w:szCs w:val="22"/>
        </w:rPr>
        <w:t xml:space="preserve">. Não utilize Humira </w:t>
      </w:r>
      <w:r w:rsidRPr="009A05BE">
        <w:rPr>
          <w:sz w:val="22"/>
          <w:szCs w:val="22"/>
        </w:rPr>
        <w:t>se tiver tuberculose ativa</w:t>
      </w:r>
      <w:r w:rsidRPr="00854C93">
        <w:rPr>
          <w:sz w:val="22"/>
          <w:szCs w:val="22"/>
        </w:rPr>
        <w:t>.</w:t>
      </w:r>
    </w:p>
    <w:p w14:paraId="50980507" w14:textId="77777777" w:rsidR="004462A0" w:rsidRPr="0089156B" w:rsidRDefault="004462A0" w:rsidP="004462A0">
      <w:pPr>
        <w:rPr>
          <w:sz w:val="22"/>
          <w:szCs w:val="22"/>
        </w:rPr>
      </w:pPr>
    </w:p>
    <w:p w14:paraId="7305D0A1" w14:textId="77777777" w:rsidR="004462A0" w:rsidRPr="006462E3" w:rsidRDefault="00615769" w:rsidP="004462A0">
      <w:pPr>
        <w:numPr>
          <w:ilvl w:val="1"/>
          <w:numId w:val="88"/>
        </w:numPr>
        <w:ind w:left="1134" w:hanging="567"/>
        <w:rPr>
          <w:sz w:val="22"/>
          <w:szCs w:val="22"/>
        </w:rPr>
      </w:pPr>
      <w:r w:rsidRPr="000B3FE3">
        <w:rPr>
          <w:sz w:val="22"/>
          <w:szCs w:val="22"/>
        </w:rPr>
        <w:t xml:space="preserve">Uma vez que foram notificados casos de tuberculose em doentes tratados com Humira, o seu médico irá avaliá-lo para despiste de sinais e sintomas de tuberculose antes de iniciar a terapêutica com Humira. Esta </w:t>
      </w:r>
      <w:r w:rsidRPr="004931CE">
        <w:rPr>
          <w:sz w:val="22"/>
          <w:szCs w:val="22"/>
        </w:rPr>
        <w:t>avaliação irá incluir uma história clínica pormenorizada, uma radiografia do tórax e um teste de tuberculina. A realização e o resultado destes exames devem</w:t>
      </w:r>
      <w:r w:rsidRPr="00653128">
        <w:rPr>
          <w:sz w:val="22"/>
          <w:szCs w:val="22"/>
        </w:rPr>
        <w:t xml:space="preserve"> ser registad</w:t>
      </w:r>
      <w:r w:rsidR="00E47A88">
        <w:rPr>
          <w:sz w:val="22"/>
          <w:szCs w:val="22"/>
        </w:rPr>
        <w:t>os</w:t>
      </w:r>
      <w:r w:rsidRPr="00653128">
        <w:rPr>
          <w:sz w:val="22"/>
          <w:szCs w:val="22"/>
        </w:rPr>
        <w:t xml:space="preserve"> no </w:t>
      </w:r>
      <w:r w:rsidRPr="008B0DDF">
        <w:rPr>
          <w:b/>
          <w:sz w:val="22"/>
          <w:szCs w:val="22"/>
        </w:rPr>
        <w:t>Cartão de Segurança do Doente</w:t>
      </w:r>
      <w:r w:rsidRPr="00454F99">
        <w:rPr>
          <w:sz w:val="22"/>
          <w:szCs w:val="22"/>
        </w:rPr>
        <w:t xml:space="preserve">. </w:t>
      </w:r>
      <w:r w:rsidRPr="004F0FBC">
        <w:rPr>
          <w:sz w:val="22"/>
          <w:szCs w:val="22"/>
        </w:rPr>
        <w:t xml:space="preserve"> </w:t>
      </w:r>
    </w:p>
    <w:p w14:paraId="4121B0B1" w14:textId="77777777" w:rsidR="004462A0" w:rsidRPr="006462E3" w:rsidRDefault="00615769" w:rsidP="004462A0">
      <w:pPr>
        <w:numPr>
          <w:ilvl w:val="1"/>
          <w:numId w:val="88"/>
        </w:numPr>
        <w:ind w:left="1134" w:hanging="567"/>
        <w:rPr>
          <w:sz w:val="22"/>
          <w:szCs w:val="22"/>
        </w:rPr>
      </w:pPr>
      <w:r w:rsidRPr="006462E3">
        <w:rPr>
          <w:sz w:val="22"/>
          <w:szCs w:val="22"/>
        </w:rPr>
        <w:t xml:space="preserve">A tuberculose pode vir a manifestar-se durante o tratamento com Humira, ainda que tenha efetuado tratamento de profilaxia da tuberculose. </w:t>
      </w:r>
    </w:p>
    <w:p w14:paraId="4484480C" w14:textId="77777777" w:rsidR="004462A0" w:rsidRPr="004931CE" w:rsidRDefault="00615769" w:rsidP="004462A0">
      <w:pPr>
        <w:numPr>
          <w:ilvl w:val="1"/>
          <w:numId w:val="88"/>
        </w:numPr>
        <w:ind w:left="1134" w:hanging="567"/>
        <w:rPr>
          <w:sz w:val="22"/>
          <w:szCs w:val="22"/>
        </w:rPr>
      </w:pPr>
      <w:r w:rsidRPr="009A05BE">
        <w:rPr>
          <w:sz w:val="22"/>
          <w:szCs w:val="22"/>
        </w:rPr>
        <w:t>Se surgirem sintomas de tuberculose (</w:t>
      </w:r>
      <w:r w:rsidRPr="00854C93">
        <w:rPr>
          <w:sz w:val="22"/>
          <w:szCs w:val="22"/>
        </w:rPr>
        <w:t>por exemplo, tosse</w:t>
      </w:r>
      <w:r w:rsidRPr="0089156B">
        <w:rPr>
          <w:sz w:val="22"/>
          <w:szCs w:val="22"/>
        </w:rPr>
        <w:t xml:space="preserve"> que não desaparece</w:t>
      </w:r>
      <w:r w:rsidRPr="000B3FE3">
        <w:rPr>
          <w:sz w:val="22"/>
          <w:szCs w:val="22"/>
        </w:rPr>
        <w:t xml:space="preserve">, perda de peso, </w:t>
      </w:r>
      <w:r w:rsidRPr="004931CE">
        <w:rPr>
          <w:sz w:val="22"/>
          <w:szCs w:val="22"/>
        </w:rPr>
        <w:t>falta de energia, febre ligeira) ou qualquer outra infeção durante ou após o tratamento, informe imediatamente o seu médico.</w:t>
      </w:r>
    </w:p>
    <w:p w14:paraId="21CCD4B8" w14:textId="77777777" w:rsidR="004462A0" w:rsidRPr="008B0DDF" w:rsidRDefault="004462A0" w:rsidP="004462A0">
      <w:pPr>
        <w:pStyle w:val="EMEABullet"/>
        <w:tabs>
          <w:tab w:val="clear" w:pos="567"/>
        </w:tabs>
        <w:suppressAutoHyphens w:val="0"/>
        <w:ind w:left="0" w:firstLine="0"/>
        <w:rPr>
          <w:szCs w:val="22"/>
          <w:u w:val="single"/>
          <w:lang w:val="pt-PT"/>
        </w:rPr>
      </w:pPr>
    </w:p>
    <w:p w14:paraId="4A0960F3" w14:textId="77777777" w:rsidR="004462A0" w:rsidRPr="008B0DDF" w:rsidRDefault="00615769" w:rsidP="004462A0">
      <w:pPr>
        <w:pStyle w:val="EMEABullet"/>
        <w:tabs>
          <w:tab w:val="clear" w:pos="567"/>
        </w:tabs>
        <w:suppressAutoHyphens w:val="0"/>
        <w:ind w:left="0" w:firstLine="0"/>
        <w:rPr>
          <w:szCs w:val="22"/>
          <w:u w:val="single"/>
          <w:lang w:val="pt-PT"/>
        </w:rPr>
      </w:pPr>
      <w:r w:rsidRPr="008B0DDF">
        <w:rPr>
          <w:szCs w:val="22"/>
          <w:u w:val="single"/>
          <w:lang w:val="pt-PT"/>
        </w:rPr>
        <w:t>Hepatite B</w:t>
      </w:r>
    </w:p>
    <w:p w14:paraId="64D91667" w14:textId="77777777" w:rsidR="004462A0" w:rsidRPr="008B0DDF" w:rsidRDefault="004462A0" w:rsidP="004462A0">
      <w:pPr>
        <w:pStyle w:val="EMEABullet"/>
        <w:tabs>
          <w:tab w:val="clear" w:pos="567"/>
        </w:tabs>
        <w:suppressAutoHyphens w:val="0"/>
        <w:ind w:left="0" w:firstLine="0"/>
        <w:rPr>
          <w:szCs w:val="22"/>
          <w:lang w:val="pt-PT"/>
        </w:rPr>
      </w:pPr>
    </w:p>
    <w:p w14:paraId="773D5C3C" w14:textId="77777777" w:rsidR="004462A0" w:rsidRPr="006462E3" w:rsidRDefault="00615769" w:rsidP="004462A0">
      <w:pPr>
        <w:numPr>
          <w:ilvl w:val="1"/>
          <w:numId w:val="50"/>
        </w:numPr>
        <w:rPr>
          <w:sz w:val="22"/>
          <w:szCs w:val="22"/>
        </w:rPr>
      </w:pPr>
      <w:r w:rsidRPr="00454F99">
        <w:rPr>
          <w:sz w:val="22"/>
          <w:szCs w:val="22"/>
        </w:rPr>
        <w:t xml:space="preserve">Informe o seu médico se é um portador do vírus da Hepatite B (HBV), se tem o vírus HBV ativo ou se pensa que pode estar em risco de </w:t>
      </w:r>
      <w:r w:rsidR="00720C9C">
        <w:rPr>
          <w:sz w:val="22"/>
          <w:szCs w:val="22"/>
        </w:rPr>
        <w:t>contrai</w:t>
      </w:r>
      <w:r w:rsidRPr="006462E3">
        <w:rPr>
          <w:sz w:val="22"/>
          <w:szCs w:val="22"/>
        </w:rPr>
        <w:t xml:space="preserve">r HBV. </w:t>
      </w:r>
    </w:p>
    <w:p w14:paraId="08085C71" w14:textId="77777777" w:rsidR="004462A0" w:rsidRPr="000B3FE3" w:rsidRDefault="00615769" w:rsidP="004462A0">
      <w:pPr>
        <w:numPr>
          <w:ilvl w:val="0"/>
          <w:numId w:val="100"/>
        </w:numPr>
        <w:ind w:left="1134" w:hanging="567"/>
        <w:rPr>
          <w:sz w:val="22"/>
          <w:szCs w:val="22"/>
        </w:rPr>
      </w:pPr>
      <w:r w:rsidRPr="006462E3">
        <w:rPr>
          <w:sz w:val="22"/>
          <w:szCs w:val="22"/>
        </w:rPr>
        <w:t xml:space="preserve">O seu médico deve avaliá-lo para determinar se tem HBV. Em pessoas portadoras de HBV, </w:t>
      </w:r>
      <w:r w:rsidRPr="009A05BE">
        <w:rPr>
          <w:sz w:val="22"/>
          <w:szCs w:val="22"/>
        </w:rPr>
        <w:t>Humira pode lev</w:t>
      </w:r>
      <w:r w:rsidRPr="00854C93">
        <w:rPr>
          <w:sz w:val="22"/>
          <w:szCs w:val="22"/>
        </w:rPr>
        <w:t>ar a que o vírus fique de novo ativo</w:t>
      </w:r>
      <w:r w:rsidRPr="0089156B">
        <w:rPr>
          <w:sz w:val="22"/>
          <w:szCs w:val="22"/>
        </w:rPr>
        <w:t xml:space="preserve">. </w:t>
      </w:r>
    </w:p>
    <w:p w14:paraId="43CF0B3B" w14:textId="77777777" w:rsidR="004462A0" w:rsidRPr="00653128" w:rsidRDefault="00615769" w:rsidP="004462A0">
      <w:pPr>
        <w:numPr>
          <w:ilvl w:val="0"/>
          <w:numId w:val="100"/>
        </w:numPr>
        <w:ind w:left="1134" w:hanging="567"/>
        <w:rPr>
          <w:sz w:val="22"/>
          <w:szCs w:val="22"/>
        </w:rPr>
      </w:pPr>
      <w:r w:rsidRPr="004931CE">
        <w:rPr>
          <w:sz w:val="22"/>
          <w:szCs w:val="22"/>
        </w:rPr>
        <w:t>Em alguns casos</w:t>
      </w:r>
      <w:r w:rsidR="00BA1FF6">
        <w:rPr>
          <w:sz w:val="22"/>
          <w:szCs w:val="22"/>
        </w:rPr>
        <w:t xml:space="preserve"> raros</w:t>
      </w:r>
      <w:r w:rsidRPr="004931CE">
        <w:rPr>
          <w:sz w:val="22"/>
          <w:szCs w:val="22"/>
        </w:rPr>
        <w:t>, especialmente se tomar outros medicamentos que suprimem o sistema imunitário, a reativação de HBV pode pôr a sua vida em risco.</w:t>
      </w:r>
    </w:p>
    <w:p w14:paraId="78EEA867" w14:textId="77777777" w:rsidR="004462A0" w:rsidRPr="002D4DE5" w:rsidRDefault="004462A0" w:rsidP="004462A0">
      <w:pPr>
        <w:rPr>
          <w:sz w:val="22"/>
          <w:szCs w:val="22"/>
          <w:u w:val="single"/>
        </w:rPr>
      </w:pPr>
    </w:p>
    <w:p w14:paraId="76BF6CAE" w14:textId="77777777" w:rsidR="00154AA2" w:rsidRDefault="00615769" w:rsidP="004462A0">
      <w:pPr>
        <w:rPr>
          <w:sz w:val="22"/>
          <w:szCs w:val="22"/>
          <w:u w:val="single"/>
        </w:rPr>
      </w:pPr>
      <w:r>
        <w:rPr>
          <w:sz w:val="22"/>
          <w:szCs w:val="22"/>
          <w:u w:val="single"/>
        </w:rPr>
        <w:t>Intervenção c</w:t>
      </w:r>
      <w:r w:rsidRPr="008365E9">
        <w:rPr>
          <w:sz w:val="22"/>
          <w:szCs w:val="22"/>
          <w:u w:val="single"/>
        </w:rPr>
        <w:t>ir</w:t>
      </w:r>
      <w:r w:rsidR="00E47A88">
        <w:rPr>
          <w:sz w:val="22"/>
          <w:szCs w:val="22"/>
          <w:u w:val="single"/>
        </w:rPr>
        <w:t>ú</w:t>
      </w:r>
      <w:r w:rsidRPr="008365E9">
        <w:rPr>
          <w:sz w:val="22"/>
          <w:szCs w:val="22"/>
          <w:u w:val="single"/>
        </w:rPr>
        <w:t>rgi</w:t>
      </w:r>
      <w:r>
        <w:rPr>
          <w:sz w:val="22"/>
          <w:szCs w:val="22"/>
          <w:u w:val="single"/>
        </w:rPr>
        <w:t>ca ou dentária</w:t>
      </w:r>
    </w:p>
    <w:p w14:paraId="28B93364" w14:textId="77777777" w:rsidR="004462A0" w:rsidRPr="008B0DDF" w:rsidRDefault="004462A0" w:rsidP="004462A0">
      <w:pPr>
        <w:rPr>
          <w:sz w:val="22"/>
          <w:szCs w:val="22"/>
          <w:u w:val="single"/>
        </w:rPr>
      </w:pPr>
    </w:p>
    <w:p w14:paraId="63F5579F" w14:textId="77777777" w:rsidR="004462A0" w:rsidRPr="009A05BE" w:rsidRDefault="00615769" w:rsidP="004462A0">
      <w:pPr>
        <w:numPr>
          <w:ilvl w:val="1"/>
          <w:numId w:val="50"/>
        </w:numPr>
        <w:rPr>
          <w:sz w:val="22"/>
          <w:szCs w:val="22"/>
        </w:rPr>
      </w:pPr>
      <w:r w:rsidRPr="004F0FBC">
        <w:rPr>
          <w:sz w:val="22"/>
          <w:szCs w:val="22"/>
        </w:rPr>
        <w:t xml:space="preserve">Se </w:t>
      </w:r>
      <w:r w:rsidRPr="006462E3">
        <w:rPr>
          <w:sz w:val="22"/>
          <w:szCs w:val="22"/>
        </w:rPr>
        <w:t>está prestes a ser submetido a uma intervenção cirúrgica ou dentária, informe o seu médico que está a tomar Humira. O seu médico pode aconselhar a sus</w:t>
      </w:r>
      <w:r w:rsidRPr="009A05BE">
        <w:rPr>
          <w:sz w:val="22"/>
          <w:szCs w:val="22"/>
        </w:rPr>
        <w:t>pensão temporária de Humira.</w:t>
      </w:r>
    </w:p>
    <w:p w14:paraId="562F55DD" w14:textId="77777777" w:rsidR="004462A0" w:rsidRPr="00854C93" w:rsidRDefault="004462A0" w:rsidP="004462A0">
      <w:pPr>
        <w:pStyle w:val="EndnoteText"/>
        <w:tabs>
          <w:tab w:val="clear" w:pos="567"/>
        </w:tabs>
        <w:rPr>
          <w:szCs w:val="22"/>
        </w:rPr>
      </w:pPr>
    </w:p>
    <w:p w14:paraId="70FDD6B9" w14:textId="77777777" w:rsidR="004462A0" w:rsidRPr="008B0DDF" w:rsidRDefault="00615769" w:rsidP="004462A0">
      <w:pPr>
        <w:rPr>
          <w:sz w:val="22"/>
          <w:szCs w:val="22"/>
          <w:u w:val="single"/>
        </w:rPr>
      </w:pPr>
      <w:r w:rsidRPr="008B0DDF">
        <w:rPr>
          <w:sz w:val="22"/>
          <w:szCs w:val="22"/>
          <w:u w:val="single"/>
        </w:rPr>
        <w:t>Doença desmielinizante</w:t>
      </w:r>
    </w:p>
    <w:p w14:paraId="5523766F" w14:textId="77777777" w:rsidR="004462A0" w:rsidRPr="008B0DDF" w:rsidRDefault="004462A0" w:rsidP="004462A0">
      <w:pPr>
        <w:rPr>
          <w:sz w:val="22"/>
          <w:szCs w:val="22"/>
          <w:u w:val="single"/>
        </w:rPr>
      </w:pPr>
    </w:p>
    <w:p w14:paraId="4C836AA6" w14:textId="77777777" w:rsidR="004462A0" w:rsidRPr="00D37D11" w:rsidRDefault="00615769">
      <w:pPr>
        <w:numPr>
          <w:ilvl w:val="1"/>
          <w:numId w:val="50"/>
        </w:numPr>
        <w:rPr>
          <w:sz w:val="22"/>
          <w:szCs w:val="22"/>
        </w:rPr>
      </w:pPr>
      <w:r w:rsidRPr="00D37D11">
        <w:rPr>
          <w:sz w:val="22"/>
          <w:szCs w:val="22"/>
        </w:rPr>
        <w:t xml:space="preserve">Se sofre ou vier a desenvolver </w:t>
      </w:r>
      <w:r w:rsidR="00B25AD1" w:rsidRPr="00D37D11">
        <w:rPr>
          <w:sz w:val="22"/>
          <w:szCs w:val="22"/>
        </w:rPr>
        <w:t xml:space="preserve">uma doença </w:t>
      </w:r>
      <w:r w:rsidR="00D37D11" w:rsidRPr="00D37D11">
        <w:rPr>
          <w:sz w:val="22"/>
          <w:szCs w:val="22"/>
        </w:rPr>
        <w:t>desmielinizante (</w:t>
      </w:r>
      <w:r w:rsidR="008A4F29" w:rsidRPr="00D37D11">
        <w:rPr>
          <w:sz w:val="22"/>
          <w:szCs w:val="22"/>
        </w:rPr>
        <w:t>uma doença que afeta a camada isolante à volta dos nervos, tal como esclerose múltipla</w:t>
      </w:r>
      <w:r w:rsidR="00D37D11">
        <w:rPr>
          <w:sz w:val="22"/>
          <w:szCs w:val="22"/>
        </w:rPr>
        <w:t>)</w:t>
      </w:r>
      <w:r w:rsidRPr="00D37D11">
        <w:rPr>
          <w:sz w:val="22"/>
          <w:szCs w:val="22"/>
        </w:rPr>
        <w:t>, o seu médico irá decidir se pode utilizar ou continuar a utilizar Humira. Caso desenvolva sintomas, tais como alterações na visão, fraqueza nos braços ou pernas ou dormência ou formigueiro em qualquer parte do corpo, informe imediatamente o seu médico.</w:t>
      </w:r>
    </w:p>
    <w:p w14:paraId="689F327A" w14:textId="77777777" w:rsidR="004462A0" w:rsidRPr="009A05BE" w:rsidRDefault="004462A0" w:rsidP="004462A0">
      <w:pPr>
        <w:rPr>
          <w:sz w:val="22"/>
          <w:szCs w:val="22"/>
        </w:rPr>
      </w:pPr>
    </w:p>
    <w:p w14:paraId="3E6059CC" w14:textId="77777777" w:rsidR="004462A0" w:rsidRPr="008B0DDF" w:rsidRDefault="00615769" w:rsidP="004462A0">
      <w:pPr>
        <w:rPr>
          <w:sz w:val="22"/>
          <w:szCs w:val="22"/>
          <w:u w:val="single"/>
        </w:rPr>
      </w:pPr>
      <w:r w:rsidRPr="008B0DDF">
        <w:rPr>
          <w:sz w:val="22"/>
          <w:szCs w:val="22"/>
          <w:u w:val="single"/>
        </w:rPr>
        <w:t>Vacina</w:t>
      </w:r>
      <w:r w:rsidR="00154AA2">
        <w:rPr>
          <w:sz w:val="22"/>
          <w:szCs w:val="22"/>
          <w:u w:val="single"/>
        </w:rPr>
        <w:t>ção</w:t>
      </w:r>
    </w:p>
    <w:p w14:paraId="1161BB08" w14:textId="77777777" w:rsidR="004462A0" w:rsidRPr="00454F99" w:rsidRDefault="004462A0" w:rsidP="004462A0">
      <w:pPr>
        <w:rPr>
          <w:sz w:val="22"/>
          <w:szCs w:val="22"/>
        </w:rPr>
      </w:pPr>
    </w:p>
    <w:p w14:paraId="6D50E62A" w14:textId="77777777" w:rsidR="004462A0" w:rsidRPr="006462E3" w:rsidRDefault="00615769" w:rsidP="004462A0">
      <w:pPr>
        <w:numPr>
          <w:ilvl w:val="0"/>
          <w:numId w:val="50"/>
        </w:numPr>
        <w:tabs>
          <w:tab w:val="clear" w:pos="720"/>
          <w:tab w:val="num" w:pos="-4900"/>
        </w:tabs>
        <w:ind w:left="600" w:hanging="600"/>
        <w:rPr>
          <w:sz w:val="22"/>
          <w:szCs w:val="22"/>
        </w:rPr>
      </w:pPr>
      <w:r w:rsidRPr="004F0FBC">
        <w:rPr>
          <w:sz w:val="22"/>
          <w:szCs w:val="22"/>
        </w:rPr>
        <w:t>Certas vacinas podem causar infeções e não d</w:t>
      </w:r>
      <w:r w:rsidRPr="006462E3">
        <w:rPr>
          <w:sz w:val="22"/>
          <w:szCs w:val="22"/>
        </w:rPr>
        <w:t>evem ser administradas em conjunto com Humira.</w:t>
      </w:r>
    </w:p>
    <w:p w14:paraId="539AC54E" w14:textId="77777777" w:rsidR="004462A0" w:rsidRPr="006462E3" w:rsidRDefault="004462A0" w:rsidP="004462A0">
      <w:pPr>
        <w:rPr>
          <w:sz w:val="22"/>
          <w:szCs w:val="22"/>
        </w:rPr>
      </w:pPr>
    </w:p>
    <w:p w14:paraId="7390187A" w14:textId="77777777" w:rsidR="004462A0" w:rsidRPr="009A05BE" w:rsidRDefault="00615769" w:rsidP="004462A0">
      <w:pPr>
        <w:numPr>
          <w:ilvl w:val="0"/>
          <w:numId w:val="50"/>
        </w:numPr>
        <w:tabs>
          <w:tab w:val="clear" w:pos="720"/>
          <w:tab w:val="num" w:pos="-4900"/>
        </w:tabs>
        <w:ind w:left="1134" w:hanging="567"/>
        <w:rPr>
          <w:sz w:val="22"/>
          <w:szCs w:val="22"/>
        </w:rPr>
      </w:pPr>
      <w:r w:rsidRPr="009A05BE">
        <w:rPr>
          <w:sz w:val="22"/>
          <w:szCs w:val="22"/>
        </w:rPr>
        <w:t xml:space="preserve">Contacte o seu médico antes de receber qualquer vacina. </w:t>
      </w:r>
    </w:p>
    <w:p w14:paraId="7A07E3AC" w14:textId="77777777" w:rsidR="004462A0" w:rsidRPr="00854C93" w:rsidRDefault="00615769" w:rsidP="00F03C54">
      <w:pPr>
        <w:numPr>
          <w:ilvl w:val="1"/>
          <w:numId w:val="50"/>
        </w:numPr>
        <w:ind w:left="1134"/>
        <w:rPr>
          <w:sz w:val="22"/>
          <w:szCs w:val="22"/>
        </w:rPr>
      </w:pPr>
      <w:r>
        <w:rPr>
          <w:sz w:val="22"/>
          <w:szCs w:val="22"/>
        </w:rPr>
        <w:t xml:space="preserve">Recomenda-se </w:t>
      </w:r>
      <w:r w:rsidRPr="005B0B80">
        <w:rPr>
          <w:sz w:val="22"/>
          <w:szCs w:val="22"/>
        </w:rPr>
        <w:t xml:space="preserve">que as crianças, antes de iniciarem o tratamento com Humira, se possível, recebam todas as vacinas, de acordo com o atual plano de vacinação nacional. </w:t>
      </w:r>
    </w:p>
    <w:p w14:paraId="1BB6384B" w14:textId="77777777" w:rsidR="004462A0" w:rsidRPr="00653128" w:rsidRDefault="00615769" w:rsidP="004462A0">
      <w:pPr>
        <w:numPr>
          <w:ilvl w:val="0"/>
          <w:numId w:val="50"/>
        </w:numPr>
        <w:tabs>
          <w:tab w:val="clear" w:pos="720"/>
          <w:tab w:val="num" w:pos="-4900"/>
        </w:tabs>
        <w:ind w:left="1134" w:hanging="567"/>
        <w:rPr>
          <w:sz w:val="22"/>
          <w:szCs w:val="22"/>
        </w:rPr>
      </w:pPr>
      <w:r w:rsidRPr="0089156B">
        <w:rPr>
          <w:sz w:val="22"/>
          <w:szCs w:val="22"/>
        </w:rPr>
        <w:t>Se utilizou Humira durante a gra</w:t>
      </w:r>
      <w:r w:rsidRPr="000B3FE3">
        <w:rPr>
          <w:sz w:val="22"/>
          <w:szCs w:val="22"/>
        </w:rPr>
        <w:t xml:space="preserve">videz, o seu bebé pode ter um risco superior de ter tais infeções até, aproximadamente, cinco meses após a última dose </w:t>
      </w:r>
      <w:r w:rsidRPr="004931CE">
        <w:rPr>
          <w:sz w:val="22"/>
          <w:szCs w:val="22"/>
        </w:rPr>
        <w:t>de Humira que administrou durante a gravidez. É importante que diga ao médico do seu bebé e a outros profissionais de saúde que usou Humi</w:t>
      </w:r>
      <w:r w:rsidRPr="00653128">
        <w:rPr>
          <w:sz w:val="22"/>
          <w:szCs w:val="22"/>
        </w:rPr>
        <w:t>ra durante a sua gravidez, para que estes possam decidir quando pode ser dada qualquer vacina ao seu bebé.</w:t>
      </w:r>
    </w:p>
    <w:p w14:paraId="389A63FF" w14:textId="77777777" w:rsidR="004462A0" w:rsidRPr="00D33370" w:rsidRDefault="004462A0" w:rsidP="004462A0">
      <w:pPr>
        <w:pStyle w:val="EndnoteText"/>
        <w:tabs>
          <w:tab w:val="clear" w:pos="567"/>
        </w:tabs>
        <w:ind w:left="1134" w:hanging="567"/>
        <w:rPr>
          <w:szCs w:val="22"/>
        </w:rPr>
      </w:pPr>
    </w:p>
    <w:p w14:paraId="15FB03CF" w14:textId="77777777" w:rsidR="004462A0" w:rsidRPr="006E6749" w:rsidRDefault="00615769" w:rsidP="00040D46">
      <w:pPr>
        <w:keepNext/>
        <w:rPr>
          <w:sz w:val="22"/>
          <w:szCs w:val="22"/>
        </w:rPr>
      </w:pPr>
      <w:r w:rsidRPr="006E6749">
        <w:rPr>
          <w:sz w:val="22"/>
          <w:szCs w:val="22"/>
          <w:u w:val="single"/>
        </w:rPr>
        <w:t>Insuficiência cardíaca</w:t>
      </w:r>
    </w:p>
    <w:p w14:paraId="59CDCB54" w14:textId="77777777" w:rsidR="00E66468" w:rsidRPr="005B0B80" w:rsidRDefault="00615769" w:rsidP="00E66468">
      <w:pPr>
        <w:pStyle w:val="ListParagraph"/>
        <w:numPr>
          <w:ilvl w:val="0"/>
          <w:numId w:val="88"/>
        </w:numPr>
        <w:ind w:left="567" w:hanging="567"/>
        <w:rPr>
          <w:sz w:val="22"/>
          <w:szCs w:val="22"/>
        </w:rPr>
      </w:pPr>
      <w:r w:rsidRPr="006E6749">
        <w:rPr>
          <w:sz w:val="22"/>
          <w:szCs w:val="22"/>
        </w:rPr>
        <w:t>Se sofre de insuficiência cardíaca ligeira e está a ser tratad</w:t>
      </w:r>
      <w:r w:rsidR="000F241E">
        <w:rPr>
          <w:sz w:val="22"/>
          <w:szCs w:val="22"/>
        </w:rPr>
        <w:t>o</w:t>
      </w:r>
      <w:r w:rsidRPr="006E6749">
        <w:rPr>
          <w:sz w:val="22"/>
          <w:szCs w:val="22"/>
        </w:rPr>
        <w:t xml:space="preserve"> com Humira, o estado da sua insuficiência cardíaca deve ser controlado cuidadosamente pelo seu médico. É muito importante que informe o seu médico se sofre ou já sofreu de problemas cardíacos graves. Caso desenvolva novos sintomas ou agravamento dos sintomas de insuficiência cardíaca (por exemplo, falta de ar ou inchaço dos pés), deve contactar o seu médico imediatamente. O seu médico irá decidir se pode utilizar</w:t>
      </w:r>
      <w:r w:rsidRPr="005B0B80">
        <w:rPr>
          <w:sz w:val="22"/>
          <w:szCs w:val="22"/>
        </w:rPr>
        <w:t xml:space="preserve"> Humira</w:t>
      </w:r>
      <w:r w:rsidR="000F241E">
        <w:rPr>
          <w:sz w:val="22"/>
          <w:szCs w:val="22"/>
        </w:rPr>
        <w:t>.</w:t>
      </w:r>
    </w:p>
    <w:p w14:paraId="46FE3905" w14:textId="77777777" w:rsidR="004462A0" w:rsidRDefault="004462A0" w:rsidP="004462A0">
      <w:pPr>
        <w:ind w:left="1134"/>
        <w:rPr>
          <w:sz w:val="22"/>
          <w:szCs w:val="22"/>
        </w:rPr>
      </w:pPr>
    </w:p>
    <w:p w14:paraId="21DE570D" w14:textId="77777777" w:rsidR="0039521D" w:rsidRPr="00154AA2" w:rsidRDefault="00615769" w:rsidP="0039521D">
      <w:pPr>
        <w:rPr>
          <w:sz w:val="22"/>
          <w:szCs w:val="22"/>
          <w:u w:val="single"/>
        </w:rPr>
      </w:pPr>
      <w:r w:rsidRPr="00154AA2">
        <w:rPr>
          <w:sz w:val="22"/>
          <w:szCs w:val="22"/>
          <w:u w:val="single"/>
        </w:rPr>
        <w:t>Febre, nódoas negras, perdas de sangue ou aspeto pálido</w:t>
      </w:r>
    </w:p>
    <w:p w14:paraId="69BE4637" w14:textId="77777777" w:rsidR="0039521D" w:rsidRPr="00653128" w:rsidRDefault="0039521D" w:rsidP="004462A0">
      <w:pPr>
        <w:ind w:left="1134"/>
        <w:rPr>
          <w:sz w:val="22"/>
          <w:szCs w:val="22"/>
        </w:rPr>
      </w:pPr>
    </w:p>
    <w:p w14:paraId="4398AA89" w14:textId="77777777" w:rsidR="004462A0" w:rsidRPr="000B3FE3" w:rsidRDefault="00615769" w:rsidP="00AC03D8">
      <w:pPr>
        <w:pStyle w:val="ListParagraph"/>
        <w:numPr>
          <w:ilvl w:val="0"/>
          <w:numId w:val="88"/>
        </w:numPr>
        <w:ind w:left="567" w:hanging="567"/>
        <w:rPr>
          <w:sz w:val="22"/>
          <w:szCs w:val="22"/>
        </w:rPr>
      </w:pPr>
      <w:r w:rsidRPr="00854C93">
        <w:rPr>
          <w:sz w:val="22"/>
          <w:szCs w:val="22"/>
        </w:rPr>
        <w:t xml:space="preserve">Em alguns doentes o organismo pode ser incapaz de produzir suficientes células sanguíneas que ajudem o organismo a combater infeções ou ajudem a parar hemorragias. </w:t>
      </w:r>
      <w:r w:rsidRPr="0089156B">
        <w:rPr>
          <w:sz w:val="22"/>
          <w:szCs w:val="22"/>
        </w:rPr>
        <w:t>O seu médico pode de</w:t>
      </w:r>
      <w:r w:rsidRPr="000B3FE3">
        <w:rPr>
          <w:sz w:val="22"/>
          <w:szCs w:val="22"/>
        </w:rPr>
        <w:t>cidir suspender o tratamento.</w:t>
      </w:r>
      <w:r w:rsidR="0039521D">
        <w:rPr>
          <w:sz w:val="22"/>
          <w:szCs w:val="22"/>
        </w:rPr>
        <w:t xml:space="preserve"> </w:t>
      </w:r>
      <w:r w:rsidR="0039521D" w:rsidRPr="008E2ED3">
        <w:rPr>
          <w:sz w:val="22"/>
          <w:szCs w:val="22"/>
        </w:rPr>
        <w:t xml:space="preserve">Caso verifique febre que se mantenha, </w:t>
      </w:r>
      <w:r w:rsidR="0039521D">
        <w:rPr>
          <w:sz w:val="22"/>
          <w:szCs w:val="22"/>
        </w:rPr>
        <w:t xml:space="preserve">tiver </w:t>
      </w:r>
      <w:r w:rsidR="0039521D" w:rsidRPr="008E2ED3">
        <w:rPr>
          <w:sz w:val="22"/>
          <w:szCs w:val="22"/>
        </w:rPr>
        <w:t xml:space="preserve">nódoas negras ou perdas de sangue muito facilmente ou </w:t>
      </w:r>
      <w:r w:rsidR="0039521D">
        <w:rPr>
          <w:sz w:val="22"/>
          <w:szCs w:val="22"/>
        </w:rPr>
        <w:t>se</w:t>
      </w:r>
      <w:r w:rsidR="0039521D" w:rsidRPr="008E2ED3">
        <w:rPr>
          <w:sz w:val="22"/>
          <w:szCs w:val="22"/>
        </w:rPr>
        <w:t xml:space="preserve"> apresent</w:t>
      </w:r>
      <w:r w:rsidR="0039521D">
        <w:rPr>
          <w:sz w:val="22"/>
          <w:szCs w:val="22"/>
        </w:rPr>
        <w:t>ar</w:t>
      </w:r>
      <w:r w:rsidR="0039521D" w:rsidRPr="008E2ED3">
        <w:rPr>
          <w:sz w:val="22"/>
          <w:szCs w:val="22"/>
        </w:rPr>
        <w:t xml:space="preserve"> um aspeto </w:t>
      </w:r>
      <w:r w:rsidR="0039521D">
        <w:rPr>
          <w:sz w:val="22"/>
          <w:szCs w:val="22"/>
        </w:rPr>
        <w:t xml:space="preserve">muito </w:t>
      </w:r>
      <w:r w:rsidR="0039521D" w:rsidRPr="008E2ED3">
        <w:rPr>
          <w:sz w:val="22"/>
          <w:szCs w:val="22"/>
        </w:rPr>
        <w:t>pálido, informe imediatamente o seu médico.</w:t>
      </w:r>
    </w:p>
    <w:p w14:paraId="52D31B97" w14:textId="77777777" w:rsidR="004462A0" w:rsidRPr="004931CE" w:rsidRDefault="004462A0" w:rsidP="004462A0">
      <w:pPr>
        <w:rPr>
          <w:sz w:val="22"/>
          <w:szCs w:val="22"/>
        </w:rPr>
      </w:pPr>
    </w:p>
    <w:p w14:paraId="07D6572F" w14:textId="77777777" w:rsidR="004462A0" w:rsidRPr="008B0DDF" w:rsidRDefault="00615769" w:rsidP="004462A0">
      <w:pPr>
        <w:rPr>
          <w:sz w:val="22"/>
          <w:szCs w:val="22"/>
          <w:u w:val="single"/>
        </w:rPr>
      </w:pPr>
      <w:r w:rsidRPr="008B0DDF">
        <w:rPr>
          <w:sz w:val="22"/>
          <w:szCs w:val="22"/>
          <w:u w:val="single"/>
        </w:rPr>
        <w:t>Cancro</w:t>
      </w:r>
    </w:p>
    <w:p w14:paraId="44DB6C0F" w14:textId="77777777" w:rsidR="004462A0" w:rsidRPr="00454F99" w:rsidRDefault="004462A0" w:rsidP="004462A0">
      <w:pPr>
        <w:rPr>
          <w:sz w:val="22"/>
          <w:szCs w:val="22"/>
        </w:rPr>
      </w:pPr>
    </w:p>
    <w:p w14:paraId="30CD47F4" w14:textId="77777777" w:rsidR="004462A0" w:rsidRPr="006462E3" w:rsidRDefault="00615769" w:rsidP="004462A0">
      <w:pPr>
        <w:numPr>
          <w:ilvl w:val="0"/>
          <w:numId w:val="23"/>
        </w:numPr>
        <w:rPr>
          <w:sz w:val="22"/>
          <w:szCs w:val="22"/>
        </w:rPr>
      </w:pPr>
      <w:r w:rsidRPr="004F0FBC">
        <w:rPr>
          <w:sz w:val="22"/>
          <w:szCs w:val="22"/>
        </w:rPr>
        <w:t>T</w:t>
      </w:r>
      <w:r w:rsidR="00B00E30">
        <w:rPr>
          <w:sz w:val="22"/>
          <w:szCs w:val="22"/>
        </w:rPr>
        <w:t>ê</w:t>
      </w:r>
      <w:r w:rsidRPr="004F0FBC">
        <w:rPr>
          <w:sz w:val="22"/>
          <w:szCs w:val="22"/>
        </w:rPr>
        <w:t>m ocorrido</w:t>
      </w:r>
      <w:r w:rsidR="00B00E30">
        <w:rPr>
          <w:sz w:val="22"/>
          <w:szCs w:val="22"/>
        </w:rPr>
        <w:t>,</w:t>
      </w:r>
      <w:r w:rsidRPr="004F0FBC">
        <w:rPr>
          <w:sz w:val="22"/>
          <w:szCs w:val="22"/>
        </w:rPr>
        <w:t xml:space="preserve"> em casos muito raros, certos tipos de cancro em crianças e adultos doentes tratados com Humira ou com outros antagonist</w:t>
      </w:r>
      <w:r w:rsidRPr="006462E3">
        <w:rPr>
          <w:sz w:val="22"/>
          <w:szCs w:val="22"/>
        </w:rPr>
        <w:t xml:space="preserve">as TNF. </w:t>
      </w:r>
    </w:p>
    <w:p w14:paraId="4E4E2093" w14:textId="77777777" w:rsidR="004462A0" w:rsidRPr="006462E3" w:rsidRDefault="004462A0" w:rsidP="004462A0">
      <w:pPr>
        <w:rPr>
          <w:sz w:val="22"/>
          <w:szCs w:val="22"/>
        </w:rPr>
      </w:pPr>
    </w:p>
    <w:p w14:paraId="26448570" w14:textId="77777777" w:rsidR="004462A0" w:rsidRPr="00E47A88" w:rsidRDefault="00615769" w:rsidP="00E47A88">
      <w:pPr>
        <w:numPr>
          <w:ilvl w:val="0"/>
          <w:numId w:val="23"/>
        </w:numPr>
        <w:ind w:left="1134"/>
        <w:rPr>
          <w:sz w:val="22"/>
          <w:szCs w:val="22"/>
        </w:rPr>
      </w:pPr>
      <w:r w:rsidRPr="00E47A88">
        <w:rPr>
          <w:sz w:val="22"/>
          <w:szCs w:val="22"/>
        </w:rPr>
        <w:t>Doentes com artrite reumatoide muito grave que tenham doença prolongada podem ter um maior risco médio de aparecimento de linfoma (</w:t>
      </w:r>
      <w:r w:rsidR="00F93571" w:rsidRPr="00E47A88">
        <w:rPr>
          <w:sz w:val="22"/>
          <w:szCs w:val="22"/>
        </w:rPr>
        <w:t xml:space="preserve">um </w:t>
      </w:r>
      <w:r w:rsidRPr="00E47A88">
        <w:rPr>
          <w:sz w:val="22"/>
          <w:szCs w:val="22"/>
        </w:rPr>
        <w:t>cancro que afeta o sistema linfático) e leucemia (</w:t>
      </w:r>
      <w:r w:rsidR="00F93571" w:rsidRPr="00E47A88">
        <w:rPr>
          <w:sz w:val="22"/>
          <w:szCs w:val="22"/>
        </w:rPr>
        <w:t xml:space="preserve">um </w:t>
      </w:r>
      <w:r w:rsidRPr="00E47A88">
        <w:rPr>
          <w:sz w:val="22"/>
          <w:szCs w:val="22"/>
        </w:rPr>
        <w:t xml:space="preserve">cancro que afeta o sangue e medula óssea). </w:t>
      </w:r>
    </w:p>
    <w:p w14:paraId="2DBFF1F4" w14:textId="77777777" w:rsidR="004462A0" w:rsidRPr="002B2441" w:rsidRDefault="00615769" w:rsidP="004462A0">
      <w:pPr>
        <w:numPr>
          <w:ilvl w:val="0"/>
          <w:numId w:val="23"/>
        </w:numPr>
        <w:ind w:left="1134"/>
        <w:rPr>
          <w:sz w:val="22"/>
          <w:szCs w:val="22"/>
        </w:rPr>
      </w:pPr>
      <w:r w:rsidRPr="004931CE">
        <w:rPr>
          <w:sz w:val="22"/>
          <w:szCs w:val="22"/>
        </w:rPr>
        <w:t>Se toma Humira,</w:t>
      </w:r>
      <w:r w:rsidRPr="00653128">
        <w:rPr>
          <w:sz w:val="22"/>
          <w:szCs w:val="22"/>
        </w:rPr>
        <w:t xml:space="preserve"> o risco de ter linfoma, leucemia, ou outro tipo de cancro pode aumentar. Em raras ocasiões, em doentes tratados com Humira, foi </w:t>
      </w:r>
      <w:r w:rsidR="00712F4C">
        <w:rPr>
          <w:sz w:val="22"/>
          <w:szCs w:val="22"/>
        </w:rPr>
        <w:t>notificado</w:t>
      </w:r>
      <w:r w:rsidR="00712F4C" w:rsidRPr="002D4DE5">
        <w:rPr>
          <w:sz w:val="22"/>
          <w:szCs w:val="22"/>
        </w:rPr>
        <w:t xml:space="preserve"> </w:t>
      </w:r>
      <w:r w:rsidRPr="002D4DE5">
        <w:rPr>
          <w:sz w:val="22"/>
          <w:szCs w:val="22"/>
        </w:rPr>
        <w:t xml:space="preserve">um tipo de linfoma </w:t>
      </w:r>
      <w:r w:rsidR="00712F4C">
        <w:rPr>
          <w:sz w:val="22"/>
          <w:szCs w:val="22"/>
        </w:rPr>
        <w:t>pouco frequente</w:t>
      </w:r>
      <w:r w:rsidR="00712F4C" w:rsidRPr="005F6F98">
        <w:rPr>
          <w:sz w:val="22"/>
          <w:szCs w:val="22"/>
        </w:rPr>
        <w:t xml:space="preserve"> </w:t>
      </w:r>
      <w:r w:rsidRPr="005F6F98">
        <w:rPr>
          <w:sz w:val="22"/>
          <w:szCs w:val="22"/>
        </w:rPr>
        <w:t xml:space="preserve">e grave. Alguns destes doentes foram também tratados com azatioprina ou 6-mercaptopurina. </w:t>
      </w:r>
    </w:p>
    <w:p w14:paraId="37B1F66E" w14:textId="77777777" w:rsidR="00403245" w:rsidRDefault="00615769" w:rsidP="004462A0">
      <w:pPr>
        <w:numPr>
          <w:ilvl w:val="0"/>
          <w:numId w:val="23"/>
        </w:numPr>
        <w:ind w:left="1134"/>
        <w:rPr>
          <w:sz w:val="22"/>
          <w:szCs w:val="22"/>
        </w:rPr>
      </w:pPr>
      <w:r w:rsidRPr="00B830EC">
        <w:rPr>
          <w:sz w:val="22"/>
          <w:szCs w:val="22"/>
        </w:rPr>
        <w:t>Diga ao seu médico se está a tomar azatioprina ou 6-mercaptopurina com Humira</w:t>
      </w:r>
      <w:r>
        <w:rPr>
          <w:sz w:val="22"/>
          <w:szCs w:val="22"/>
        </w:rPr>
        <w:t>.</w:t>
      </w:r>
    </w:p>
    <w:p w14:paraId="4147BD2B" w14:textId="77777777" w:rsidR="004462A0" w:rsidRPr="008B0DDF" w:rsidRDefault="00615769" w:rsidP="004462A0">
      <w:pPr>
        <w:numPr>
          <w:ilvl w:val="0"/>
          <w:numId w:val="23"/>
        </w:numPr>
        <w:ind w:left="1134"/>
        <w:rPr>
          <w:sz w:val="22"/>
          <w:szCs w:val="22"/>
        </w:rPr>
      </w:pPr>
      <w:r>
        <w:rPr>
          <w:sz w:val="22"/>
          <w:szCs w:val="22"/>
        </w:rPr>
        <w:t>F</w:t>
      </w:r>
      <w:r w:rsidRPr="00B830EC">
        <w:rPr>
          <w:sz w:val="22"/>
          <w:szCs w:val="22"/>
        </w:rPr>
        <w:t xml:space="preserve">oram observados casos de neoplasias cutâneas não-melanomas em doentes tratados com Humira. </w:t>
      </w:r>
    </w:p>
    <w:p w14:paraId="7830E0FA" w14:textId="77777777" w:rsidR="004462A0" w:rsidRPr="008B0DDF" w:rsidRDefault="00615769" w:rsidP="004462A0">
      <w:pPr>
        <w:numPr>
          <w:ilvl w:val="0"/>
          <w:numId w:val="23"/>
        </w:numPr>
        <w:ind w:left="1134"/>
        <w:rPr>
          <w:sz w:val="22"/>
          <w:szCs w:val="22"/>
        </w:rPr>
      </w:pPr>
      <w:r w:rsidRPr="008B0DDF">
        <w:rPr>
          <w:sz w:val="22"/>
          <w:szCs w:val="22"/>
        </w:rPr>
        <w:t>Se aparecerem novas lesões de pele durante ou depois do tratamento, ou se existirem alterações no aspeto de lesões existentes, informe o seu médico.</w:t>
      </w:r>
    </w:p>
    <w:p w14:paraId="0633C62B" w14:textId="77777777" w:rsidR="004462A0" w:rsidRPr="008B0DDF" w:rsidRDefault="004462A0" w:rsidP="004462A0">
      <w:pPr>
        <w:tabs>
          <w:tab w:val="num" w:pos="567"/>
        </w:tabs>
        <w:ind w:left="993" w:hanging="426"/>
        <w:rPr>
          <w:sz w:val="22"/>
          <w:szCs w:val="22"/>
        </w:rPr>
      </w:pPr>
    </w:p>
    <w:p w14:paraId="0B46101A" w14:textId="77777777" w:rsidR="004462A0" w:rsidRPr="008B0DDF" w:rsidRDefault="00615769" w:rsidP="004462A0">
      <w:pPr>
        <w:numPr>
          <w:ilvl w:val="0"/>
          <w:numId w:val="23"/>
        </w:numPr>
        <w:rPr>
          <w:sz w:val="22"/>
          <w:szCs w:val="22"/>
        </w:rPr>
      </w:pPr>
      <w:r w:rsidRPr="008B0DDF">
        <w:rPr>
          <w:sz w:val="22"/>
          <w:szCs w:val="22"/>
        </w:rPr>
        <w:t>Existem casos de cancros, para além de linfoma, em doentes com um tipo específico de doença pulmonar denominada Doença Pulmonar Obstrutiva Crónica (DPOC) tratados com outros antagonistas TNF. Se tem DPOC, ou se fuma muito, deve falar com o seu médico para saber se o tratamento com um bloqueador TNF é apropriado para si.</w:t>
      </w:r>
    </w:p>
    <w:p w14:paraId="19E47CEE" w14:textId="77777777" w:rsidR="004462A0" w:rsidRDefault="004462A0" w:rsidP="004462A0">
      <w:pPr>
        <w:rPr>
          <w:sz w:val="22"/>
          <w:szCs w:val="22"/>
        </w:rPr>
      </w:pPr>
    </w:p>
    <w:p w14:paraId="6D9974E0" w14:textId="77777777" w:rsidR="00F93571" w:rsidRPr="00E51FCC" w:rsidRDefault="00615769" w:rsidP="00F93571">
      <w:pPr>
        <w:rPr>
          <w:sz w:val="22"/>
          <w:szCs w:val="22"/>
          <w:u w:val="single"/>
        </w:rPr>
      </w:pPr>
      <w:r w:rsidRPr="00E51FCC">
        <w:rPr>
          <w:sz w:val="22"/>
          <w:szCs w:val="22"/>
          <w:u w:val="single"/>
        </w:rPr>
        <w:t>Doença autoimune</w:t>
      </w:r>
    </w:p>
    <w:p w14:paraId="33259AFB" w14:textId="77777777" w:rsidR="00F93571" w:rsidRDefault="00F93571" w:rsidP="00F93571">
      <w:pPr>
        <w:pStyle w:val="ListParagraph"/>
        <w:rPr>
          <w:sz w:val="22"/>
          <w:szCs w:val="22"/>
        </w:rPr>
      </w:pPr>
    </w:p>
    <w:p w14:paraId="44B74E59" w14:textId="77777777" w:rsidR="00F93571" w:rsidRDefault="00615769" w:rsidP="00F93571">
      <w:pPr>
        <w:pStyle w:val="ListParagraph"/>
        <w:numPr>
          <w:ilvl w:val="0"/>
          <w:numId w:val="144"/>
        </w:numPr>
        <w:rPr>
          <w:sz w:val="22"/>
          <w:szCs w:val="22"/>
        </w:rPr>
      </w:pPr>
      <w:r>
        <w:rPr>
          <w:sz w:val="22"/>
          <w:szCs w:val="22"/>
        </w:rPr>
        <w:t xml:space="preserve">Em raras ocasiões, o </w:t>
      </w:r>
      <w:r w:rsidRPr="00E51FCC">
        <w:rPr>
          <w:sz w:val="22"/>
          <w:szCs w:val="22"/>
        </w:rPr>
        <w:t xml:space="preserve">tratamento com Humira pode dar origem </w:t>
      </w:r>
      <w:r>
        <w:rPr>
          <w:sz w:val="22"/>
          <w:szCs w:val="22"/>
        </w:rPr>
        <w:t>a s</w:t>
      </w:r>
      <w:r w:rsidRPr="0069244F">
        <w:rPr>
          <w:sz w:val="22"/>
          <w:szCs w:val="22"/>
        </w:rPr>
        <w:t>intomas sugestivos de uma síndrome do tipo lúpus</w:t>
      </w:r>
      <w:r>
        <w:rPr>
          <w:sz w:val="22"/>
          <w:szCs w:val="22"/>
        </w:rPr>
        <w:t>. Contacte o seu médico se ocorrerem sintomas tais como inesperada</w:t>
      </w:r>
      <w:r w:rsidRPr="00A33DCB">
        <w:rPr>
          <w:sz w:val="22"/>
          <w:szCs w:val="22"/>
        </w:rPr>
        <w:t xml:space="preserve"> erupção cutânea persistente,</w:t>
      </w:r>
      <w:r>
        <w:rPr>
          <w:sz w:val="22"/>
          <w:szCs w:val="22"/>
        </w:rPr>
        <w:t xml:space="preserve"> febre, dor nas articulações ou cansaço.</w:t>
      </w:r>
      <w:r w:rsidRPr="00A33DCB">
        <w:rPr>
          <w:sz w:val="22"/>
          <w:szCs w:val="22"/>
        </w:rPr>
        <w:t xml:space="preserve"> </w:t>
      </w:r>
    </w:p>
    <w:p w14:paraId="47458AE4" w14:textId="77777777" w:rsidR="00F93571" w:rsidRPr="008B0DDF" w:rsidRDefault="00F93571" w:rsidP="004462A0">
      <w:pPr>
        <w:rPr>
          <w:sz w:val="22"/>
          <w:szCs w:val="22"/>
        </w:rPr>
      </w:pPr>
    </w:p>
    <w:p w14:paraId="51EE2F82" w14:textId="77777777" w:rsidR="004462A0" w:rsidRPr="008B0DDF" w:rsidRDefault="00615769" w:rsidP="004462A0">
      <w:pPr>
        <w:pStyle w:val="EMEAHeadingLeaflet"/>
        <w:spacing w:before="0" w:after="0"/>
        <w:rPr>
          <w:rFonts w:ascii="Times New Roman" w:hAnsi="Times New Roman"/>
          <w:lang w:val="pt-PT"/>
        </w:rPr>
      </w:pPr>
      <w:r w:rsidRPr="008B0DDF">
        <w:rPr>
          <w:rFonts w:ascii="Times New Roman" w:hAnsi="Times New Roman"/>
          <w:lang w:val="pt-PT"/>
        </w:rPr>
        <w:t>Crianças e adolescentes</w:t>
      </w:r>
    </w:p>
    <w:p w14:paraId="39A17088" w14:textId="77777777" w:rsidR="004462A0" w:rsidRPr="008B0DDF" w:rsidRDefault="004462A0" w:rsidP="004462A0">
      <w:pPr>
        <w:pStyle w:val="EMEANormal"/>
        <w:rPr>
          <w:lang w:val="pt-PT"/>
        </w:rPr>
      </w:pPr>
    </w:p>
    <w:p w14:paraId="0166F73D" w14:textId="77777777" w:rsidR="004462A0" w:rsidRPr="008B0DDF" w:rsidRDefault="00615769" w:rsidP="0082266B">
      <w:pPr>
        <w:pStyle w:val="EMEABullet2"/>
        <w:numPr>
          <w:ilvl w:val="0"/>
          <w:numId w:val="88"/>
        </w:numPr>
        <w:tabs>
          <w:tab w:val="clear" w:pos="567"/>
        </w:tabs>
        <w:ind w:left="567" w:hanging="567"/>
        <w:rPr>
          <w:lang w:val="pt-PT"/>
        </w:rPr>
      </w:pPr>
      <w:r w:rsidRPr="008B0DDF">
        <w:rPr>
          <w:lang w:val="pt-PT"/>
        </w:rPr>
        <w:t>Vacinação: se possível, antes de iniciar Humira, as crianças devem ter todas as vacinas atualizadas</w:t>
      </w:r>
      <w:r w:rsidR="00134325">
        <w:rPr>
          <w:lang w:val="pt-PT"/>
        </w:rPr>
        <w:t>.</w:t>
      </w:r>
    </w:p>
    <w:p w14:paraId="66278CDD" w14:textId="77777777" w:rsidR="004462A0" w:rsidRPr="008B0DDF" w:rsidRDefault="004462A0" w:rsidP="004462A0">
      <w:pPr>
        <w:pStyle w:val="EMEANormal"/>
        <w:rPr>
          <w:lang w:val="pt-PT"/>
        </w:rPr>
      </w:pPr>
    </w:p>
    <w:p w14:paraId="1653F2D9" w14:textId="77777777" w:rsidR="004462A0" w:rsidRPr="004F0FBC" w:rsidRDefault="00615769" w:rsidP="001242C2">
      <w:pPr>
        <w:keepNext/>
        <w:rPr>
          <w:sz w:val="22"/>
          <w:szCs w:val="22"/>
        </w:rPr>
      </w:pPr>
      <w:r w:rsidRPr="00454F99">
        <w:rPr>
          <w:b/>
          <w:bCs/>
          <w:sz w:val="22"/>
          <w:szCs w:val="22"/>
        </w:rPr>
        <w:t>Outros medicamentos e Humira</w:t>
      </w:r>
    </w:p>
    <w:p w14:paraId="2D9837BD" w14:textId="77777777" w:rsidR="004462A0" w:rsidRPr="006462E3" w:rsidRDefault="004462A0" w:rsidP="001242C2">
      <w:pPr>
        <w:keepNext/>
        <w:rPr>
          <w:sz w:val="22"/>
          <w:szCs w:val="22"/>
        </w:rPr>
      </w:pPr>
    </w:p>
    <w:p w14:paraId="439F1D62" w14:textId="77777777" w:rsidR="004462A0" w:rsidRPr="006462E3" w:rsidRDefault="00615769" w:rsidP="001242C2">
      <w:pPr>
        <w:keepNext/>
        <w:rPr>
          <w:sz w:val="22"/>
          <w:szCs w:val="22"/>
        </w:rPr>
      </w:pPr>
      <w:r w:rsidRPr="006462E3">
        <w:rPr>
          <w:sz w:val="22"/>
          <w:szCs w:val="22"/>
        </w:rPr>
        <w:t>Informe o seu médico ou farmacêutico se estiver a tomar, tiver tomado recentemente, ou se vier a tomar outros medicamentos.</w:t>
      </w:r>
    </w:p>
    <w:p w14:paraId="4A371CA1" w14:textId="77777777" w:rsidR="004462A0" w:rsidRPr="009A05BE" w:rsidRDefault="004462A0" w:rsidP="004462A0">
      <w:pPr>
        <w:rPr>
          <w:sz w:val="22"/>
          <w:szCs w:val="22"/>
        </w:rPr>
      </w:pPr>
    </w:p>
    <w:p w14:paraId="3F523922" w14:textId="77777777" w:rsidR="004462A0" w:rsidRPr="00854C93" w:rsidRDefault="00615769" w:rsidP="004462A0">
      <w:pPr>
        <w:rPr>
          <w:sz w:val="22"/>
          <w:szCs w:val="22"/>
        </w:rPr>
      </w:pPr>
      <w:r>
        <w:rPr>
          <w:sz w:val="22"/>
          <w:szCs w:val="22"/>
        </w:rPr>
        <w:t>Devido ao risco aumentado de infeções graves, n</w:t>
      </w:r>
      <w:r w:rsidRPr="00854C93">
        <w:rPr>
          <w:sz w:val="22"/>
          <w:szCs w:val="22"/>
        </w:rPr>
        <w:t>ão deve tomar Humira com medicamentos contendo as substâncias ativas</w:t>
      </w:r>
      <w:r>
        <w:rPr>
          <w:sz w:val="22"/>
          <w:szCs w:val="22"/>
        </w:rPr>
        <w:t xml:space="preserve"> seguintes</w:t>
      </w:r>
      <w:r w:rsidRPr="00854C93">
        <w:rPr>
          <w:sz w:val="22"/>
          <w:szCs w:val="22"/>
        </w:rPr>
        <w:t>:</w:t>
      </w:r>
    </w:p>
    <w:p w14:paraId="5066B5BA" w14:textId="77777777" w:rsidR="004462A0" w:rsidRPr="00854C93" w:rsidRDefault="00615769" w:rsidP="004462A0">
      <w:pPr>
        <w:numPr>
          <w:ilvl w:val="0"/>
          <w:numId w:val="88"/>
        </w:numPr>
        <w:ind w:left="567" w:hanging="567"/>
        <w:rPr>
          <w:sz w:val="22"/>
          <w:szCs w:val="22"/>
        </w:rPr>
      </w:pPr>
      <w:r w:rsidRPr="00854C93">
        <w:rPr>
          <w:sz w:val="22"/>
          <w:szCs w:val="22"/>
        </w:rPr>
        <w:t>ana</w:t>
      </w:r>
      <w:r w:rsidR="00F7235D">
        <w:rPr>
          <w:sz w:val="22"/>
          <w:szCs w:val="22"/>
        </w:rPr>
        <w:t>c</w:t>
      </w:r>
      <w:r w:rsidRPr="00854C93">
        <w:rPr>
          <w:sz w:val="22"/>
          <w:szCs w:val="22"/>
        </w:rPr>
        <w:t>inra</w:t>
      </w:r>
    </w:p>
    <w:p w14:paraId="0F567B63" w14:textId="77777777" w:rsidR="004462A0" w:rsidRPr="000B3FE3" w:rsidRDefault="00615769" w:rsidP="004462A0">
      <w:pPr>
        <w:numPr>
          <w:ilvl w:val="0"/>
          <w:numId w:val="88"/>
        </w:numPr>
        <w:ind w:left="567" w:hanging="567"/>
        <w:rPr>
          <w:sz w:val="22"/>
          <w:szCs w:val="22"/>
        </w:rPr>
      </w:pPr>
      <w:r w:rsidRPr="0089156B">
        <w:rPr>
          <w:sz w:val="22"/>
          <w:szCs w:val="22"/>
        </w:rPr>
        <w:t>abatacept.</w:t>
      </w:r>
    </w:p>
    <w:p w14:paraId="03C83E24" w14:textId="77777777" w:rsidR="004462A0" w:rsidRPr="004931CE" w:rsidRDefault="004462A0" w:rsidP="004462A0">
      <w:pPr>
        <w:rPr>
          <w:sz w:val="22"/>
          <w:szCs w:val="22"/>
        </w:rPr>
      </w:pPr>
    </w:p>
    <w:p w14:paraId="34048EE5" w14:textId="77777777" w:rsidR="004462A0" w:rsidRPr="00653128" w:rsidRDefault="00615769" w:rsidP="004462A0">
      <w:pPr>
        <w:ind w:right="-2"/>
        <w:rPr>
          <w:sz w:val="22"/>
          <w:szCs w:val="22"/>
        </w:rPr>
      </w:pPr>
      <w:r w:rsidRPr="00653128">
        <w:rPr>
          <w:sz w:val="22"/>
          <w:szCs w:val="22"/>
        </w:rPr>
        <w:t>Humira pode ser utilizado em conjunto com:</w:t>
      </w:r>
    </w:p>
    <w:p w14:paraId="2DEABA4A" w14:textId="77777777" w:rsidR="004462A0" w:rsidRPr="002D4DE5" w:rsidRDefault="00615769" w:rsidP="004462A0">
      <w:pPr>
        <w:numPr>
          <w:ilvl w:val="0"/>
          <w:numId w:val="88"/>
        </w:numPr>
        <w:ind w:left="567" w:right="-2" w:hanging="567"/>
        <w:rPr>
          <w:sz w:val="22"/>
          <w:szCs w:val="22"/>
        </w:rPr>
      </w:pPr>
      <w:r w:rsidRPr="00D33370">
        <w:rPr>
          <w:sz w:val="22"/>
          <w:szCs w:val="22"/>
        </w:rPr>
        <w:t xml:space="preserve">metotrexato </w:t>
      </w:r>
    </w:p>
    <w:p w14:paraId="20F96D38" w14:textId="77777777" w:rsidR="004462A0" w:rsidRPr="002B2441" w:rsidRDefault="00615769" w:rsidP="004462A0">
      <w:pPr>
        <w:numPr>
          <w:ilvl w:val="0"/>
          <w:numId w:val="88"/>
        </w:numPr>
        <w:ind w:left="567" w:right="-2" w:hanging="567"/>
        <w:rPr>
          <w:sz w:val="22"/>
          <w:szCs w:val="22"/>
        </w:rPr>
      </w:pPr>
      <w:r w:rsidRPr="002D4DE5">
        <w:rPr>
          <w:sz w:val="22"/>
          <w:szCs w:val="22"/>
        </w:rPr>
        <w:t>certos medicamentos anti</w:t>
      </w:r>
      <w:r w:rsidR="00F96DDF">
        <w:rPr>
          <w:sz w:val="22"/>
          <w:szCs w:val="22"/>
        </w:rPr>
        <w:t>-</w:t>
      </w:r>
      <w:r w:rsidRPr="002D4DE5">
        <w:rPr>
          <w:sz w:val="22"/>
          <w:szCs w:val="22"/>
        </w:rPr>
        <w:t>reumatismais modificadores da doença (</w:t>
      </w:r>
      <w:r w:rsidRPr="00003560">
        <w:rPr>
          <w:sz w:val="22"/>
          <w:szCs w:val="22"/>
        </w:rPr>
        <w:t>por exemplo,</w:t>
      </w:r>
      <w:r w:rsidRPr="005F6F98">
        <w:rPr>
          <w:sz w:val="22"/>
          <w:szCs w:val="22"/>
        </w:rPr>
        <w:t xml:space="preserve"> sulfassalazina, hidroxicloroquina, leflunomid</w:t>
      </w:r>
      <w:r w:rsidR="00082F0B">
        <w:rPr>
          <w:sz w:val="22"/>
          <w:szCs w:val="22"/>
        </w:rPr>
        <w:t>a</w:t>
      </w:r>
      <w:r w:rsidRPr="005F6F98">
        <w:rPr>
          <w:sz w:val="22"/>
          <w:szCs w:val="22"/>
        </w:rPr>
        <w:t xml:space="preserve"> e pre</w:t>
      </w:r>
      <w:r w:rsidRPr="002B2441">
        <w:rPr>
          <w:sz w:val="22"/>
          <w:szCs w:val="22"/>
        </w:rPr>
        <w:t xml:space="preserve">parações injetáveis de sais de ouro) </w:t>
      </w:r>
    </w:p>
    <w:p w14:paraId="1BDFC9FF" w14:textId="77777777" w:rsidR="004462A0" w:rsidRPr="00B830EC" w:rsidRDefault="00615769" w:rsidP="004462A0">
      <w:pPr>
        <w:numPr>
          <w:ilvl w:val="0"/>
          <w:numId w:val="88"/>
        </w:numPr>
        <w:ind w:left="567" w:right="-2" w:hanging="567"/>
        <w:rPr>
          <w:sz w:val="22"/>
          <w:szCs w:val="22"/>
        </w:rPr>
      </w:pPr>
      <w:r w:rsidRPr="00B830EC">
        <w:rPr>
          <w:sz w:val="22"/>
          <w:szCs w:val="22"/>
        </w:rPr>
        <w:t xml:space="preserve">corticosteroides ou medicamentos analgésicos, incluindo </w:t>
      </w:r>
      <w:r w:rsidR="003570FF">
        <w:rPr>
          <w:sz w:val="22"/>
          <w:szCs w:val="22"/>
        </w:rPr>
        <w:t>medicamentos</w:t>
      </w:r>
      <w:r w:rsidR="003570FF" w:rsidRPr="00B830EC">
        <w:rPr>
          <w:sz w:val="22"/>
          <w:szCs w:val="22"/>
        </w:rPr>
        <w:t xml:space="preserve"> </w:t>
      </w:r>
      <w:r w:rsidRPr="00B830EC">
        <w:rPr>
          <w:sz w:val="22"/>
          <w:szCs w:val="22"/>
        </w:rPr>
        <w:t>anti-inflamatórios não</w:t>
      </w:r>
      <w:r w:rsidR="003E5033">
        <w:rPr>
          <w:sz w:val="22"/>
          <w:szCs w:val="22"/>
        </w:rPr>
        <w:t xml:space="preserve"> </w:t>
      </w:r>
      <w:r w:rsidRPr="00B830EC">
        <w:rPr>
          <w:sz w:val="22"/>
          <w:szCs w:val="22"/>
        </w:rPr>
        <w:t>esteroides (AINEs).</w:t>
      </w:r>
    </w:p>
    <w:p w14:paraId="73550E81" w14:textId="77777777" w:rsidR="004462A0" w:rsidRPr="008B0DDF" w:rsidRDefault="004462A0" w:rsidP="004462A0">
      <w:pPr>
        <w:ind w:right="-2"/>
        <w:rPr>
          <w:sz w:val="22"/>
          <w:szCs w:val="22"/>
        </w:rPr>
      </w:pPr>
    </w:p>
    <w:p w14:paraId="211A6706" w14:textId="77777777" w:rsidR="004462A0" w:rsidRPr="008B0DDF" w:rsidRDefault="00615769" w:rsidP="004462A0">
      <w:pPr>
        <w:rPr>
          <w:sz w:val="22"/>
          <w:szCs w:val="22"/>
        </w:rPr>
      </w:pPr>
      <w:r w:rsidRPr="008B0DDF">
        <w:rPr>
          <w:sz w:val="22"/>
          <w:szCs w:val="22"/>
        </w:rPr>
        <w:t>Se tiver qualquer dúvida, por favor pergunte ao seu médico.</w:t>
      </w:r>
    </w:p>
    <w:p w14:paraId="0CEF03E9" w14:textId="77777777" w:rsidR="004462A0" w:rsidRPr="008B0DDF" w:rsidRDefault="004462A0" w:rsidP="004462A0">
      <w:pPr>
        <w:rPr>
          <w:sz w:val="22"/>
          <w:szCs w:val="22"/>
        </w:rPr>
      </w:pPr>
    </w:p>
    <w:p w14:paraId="4875B3FF" w14:textId="77777777" w:rsidR="004462A0" w:rsidRPr="00854C93" w:rsidRDefault="00615769" w:rsidP="004462A0">
      <w:pPr>
        <w:ind w:right="-2"/>
        <w:rPr>
          <w:b/>
          <w:sz w:val="22"/>
          <w:szCs w:val="22"/>
        </w:rPr>
      </w:pPr>
      <w:r w:rsidRPr="00854C93">
        <w:rPr>
          <w:b/>
          <w:sz w:val="22"/>
          <w:szCs w:val="22"/>
        </w:rPr>
        <w:t>Gravidez e amamentação</w:t>
      </w:r>
    </w:p>
    <w:p w14:paraId="668719DF" w14:textId="77777777" w:rsidR="004462A0" w:rsidRPr="0089156B" w:rsidRDefault="004462A0" w:rsidP="004462A0">
      <w:pPr>
        <w:ind w:right="-2"/>
        <w:rPr>
          <w:bCs/>
          <w:sz w:val="22"/>
          <w:szCs w:val="22"/>
        </w:rPr>
      </w:pPr>
    </w:p>
    <w:p w14:paraId="67F870DA" w14:textId="77777777" w:rsidR="004462A0" w:rsidRPr="00653128" w:rsidRDefault="00615769" w:rsidP="00123364">
      <w:pPr>
        <w:pStyle w:val="BodyText2"/>
        <w:numPr>
          <w:ilvl w:val="0"/>
          <w:numId w:val="161"/>
        </w:numPr>
        <w:rPr>
          <w:szCs w:val="22"/>
        </w:rPr>
      </w:pPr>
      <w:r>
        <w:rPr>
          <w:szCs w:val="22"/>
        </w:rPr>
        <w:t>Deverá considerar a utilização de</w:t>
      </w:r>
      <w:r w:rsidRPr="004931CE">
        <w:rPr>
          <w:szCs w:val="22"/>
        </w:rPr>
        <w:t xml:space="preserve"> um método contracetivo adequado </w:t>
      </w:r>
      <w:r>
        <w:rPr>
          <w:szCs w:val="22"/>
        </w:rPr>
        <w:t xml:space="preserve">para evitar </w:t>
      </w:r>
      <w:r w:rsidR="00FC18F1">
        <w:rPr>
          <w:szCs w:val="22"/>
        </w:rPr>
        <w:t>a gravidez</w:t>
      </w:r>
      <w:r>
        <w:rPr>
          <w:szCs w:val="22"/>
        </w:rPr>
        <w:t xml:space="preserve"> </w:t>
      </w:r>
      <w:r w:rsidRPr="004931CE">
        <w:rPr>
          <w:szCs w:val="22"/>
        </w:rPr>
        <w:t>e</w:t>
      </w:r>
      <w:r>
        <w:rPr>
          <w:szCs w:val="22"/>
        </w:rPr>
        <w:t xml:space="preserve"> continuar a </w:t>
      </w:r>
      <w:r w:rsidR="00FC18F1">
        <w:rPr>
          <w:szCs w:val="22"/>
        </w:rPr>
        <w:t>utilizá-lo</w:t>
      </w:r>
      <w:r w:rsidRPr="004931CE">
        <w:rPr>
          <w:szCs w:val="22"/>
        </w:rPr>
        <w:t xml:space="preserve"> durante pelo menos 5 meses após </w:t>
      </w:r>
      <w:r w:rsidRPr="00653128">
        <w:rPr>
          <w:szCs w:val="22"/>
        </w:rPr>
        <w:t xml:space="preserve">o último tratamento com Humira. </w:t>
      </w:r>
    </w:p>
    <w:p w14:paraId="410E4A2A" w14:textId="77777777" w:rsidR="00442754" w:rsidRPr="00CA2F11" w:rsidRDefault="00615769" w:rsidP="00442754">
      <w:pPr>
        <w:pStyle w:val="ListParagraph"/>
        <w:numPr>
          <w:ilvl w:val="0"/>
          <w:numId w:val="161"/>
        </w:numPr>
        <w:rPr>
          <w:sz w:val="22"/>
          <w:szCs w:val="22"/>
        </w:rPr>
      </w:pPr>
      <w:r w:rsidRPr="00CA2F11">
        <w:rPr>
          <w:sz w:val="22"/>
          <w:szCs w:val="22"/>
        </w:rPr>
        <w:t>Se est</w:t>
      </w:r>
      <w:r>
        <w:rPr>
          <w:sz w:val="22"/>
          <w:szCs w:val="22"/>
        </w:rPr>
        <w:t>á g</w:t>
      </w:r>
      <w:r w:rsidRPr="00CA2F11">
        <w:rPr>
          <w:sz w:val="22"/>
          <w:szCs w:val="22"/>
        </w:rPr>
        <w:t>rávida, se pensa que pode estar gr</w:t>
      </w:r>
      <w:r>
        <w:rPr>
          <w:sz w:val="22"/>
          <w:szCs w:val="22"/>
        </w:rPr>
        <w:t xml:space="preserve">ávida ou se planeia </w:t>
      </w:r>
      <w:r w:rsidRPr="00CA2F11">
        <w:rPr>
          <w:sz w:val="22"/>
          <w:szCs w:val="22"/>
        </w:rPr>
        <w:t>engravidar</w:t>
      </w:r>
      <w:r>
        <w:rPr>
          <w:sz w:val="22"/>
          <w:szCs w:val="22"/>
        </w:rPr>
        <w:t>,</w:t>
      </w:r>
      <w:r w:rsidRPr="00CA2F11">
        <w:rPr>
          <w:sz w:val="22"/>
          <w:szCs w:val="22"/>
        </w:rPr>
        <w:t xml:space="preserve"> aconselhe-se com o seu médico antes </w:t>
      </w:r>
      <w:r w:rsidR="00035608">
        <w:rPr>
          <w:sz w:val="22"/>
          <w:szCs w:val="22"/>
        </w:rPr>
        <w:t>de utiliza</w:t>
      </w:r>
      <w:r w:rsidRPr="00CA2F11">
        <w:rPr>
          <w:sz w:val="22"/>
          <w:szCs w:val="22"/>
        </w:rPr>
        <w:t>r esta terapêutica.</w:t>
      </w:r>
    </w:p>
    <w:p w14:paraId="5C400778" w14:textId="77777777" w:rsidR="00442754" w:rsidRDefault="00615769" w:rsidP="00442754">
      <w:pPr>
        <w:pStyle w:val="ListParagraph"/>
        <w:numPr>
          <w:ilvl w:val="0"/>
          <w:numId w:val="161"/>
        </w:numPr>
        <w:autoSpaceDE w:val="0"/>
        <w:autoSpaceDN w:val="0"/>
        <w:adjustRightInd w:val="0"/>
        <w:rPr>
          <w:sz w:val="22"/>
          <w:szCs w:val="22"/>
        </w:rPr>
      </w:pPr>
      <w:r w:rsidRPr="00CA2F11">
        <w:rPr>
          <w:sz w:val="22"/>
          <w:szCs w:val="22"/>
        </w:rPr>
        <w:t>Humira só deve ser utilizado durante a gravidez se necessário.</w:t>
      </w:r>
    </w:p>
    <w:p w14:paraId="1F6B7B1C" w14:textId="77777777" w:rsidR="00442754" w:rsidRDefault="00615769" w:rsidP="00442754">
      <w:pPr>
        <w:pStyle w:val="ListParagraph"/>
        <w:numPr>
          <w:ilvl w:val="0"/>
          <w:numId w:val="161"/>
        </w:numPr>
        <w:autoSpaceDE w:val="0"/>
        <w:autoSpaceDN w:val="0"/>
        <w:adjustRightInd w:val="0"/>
        <w:rPr>
          <w:sz w:val="22"/>
          <w:szCs w:val="22"/>
        </w:rPr>
      </w:pPr>
      <w:r w:rsidRPr="008004F8">
        <w:rPr>
          <w:sz w:val="22"/>
          <w:szCs w:val="22"/>
        </w:rPr>
        <w:t xml:space="preserve">De acordo com um estudo </w:t>
      </w:r>
      <w:r w:rsidR="00035608">
        <w:rPr>
          <w:sz w:val="22"/>
          <w:szCs w:val="22"/>
        </w:rPr>
        <w:t>na</w:t>
      </w:r>
      <w:r w:rsidRPr="008004F8">
        <w:rPr>
          <w:sz w:val="22"/>
          <w:szCs w:val="22"/>
        </w:rPr>
        <w:t xml:space="preserve"> gravidez, não houve risco mais elevado de </w:t>
      </w:r>
      <w:r>
        <w:rPr>
          <w:sz w:val="22"/>
          <w:szCs w:val="22"/>
        </w:rPr>
        <w:t>malformações con</w:t>
      </w:r>
      <w:r w:rsidRPr="008004F8">
        <w:rPr>
          <w:sz w:val="22"/>
          <w:szCs w:val="22"/>
        </w:rPr>
        <w:t>génit</w:t>
      </w:r>
      <w:r>
        <w:rPr>
          <w:sz w:val="22"/>
          <w:szCs w:val="22"/>
        </w:rPr>
        <w:t>as</w:t>
      </w:r>
      <w:r w:rsidRPr="008004F8">
        <w:rPr>
          <w:sz w:val="22"/>
          <w:szCs w:val="22"/>
        </w:rPr>
        <w:t xml:space="preserve"> quando a mãe recebeu Humira durante a gravidez, em comparação com mães com a mesma doença que não receberam Humira.</w:t>
      </w:r>
    </w:p>
    <w:p w14:paraId="795EA5F4" w14:textId="77777777" w:rsidR="00442754" w:rsidRDefault="00615769" w:rsidP="00442754">
      <w:pPr>
        <w:pStyle w:val="ListParagraph"/>
        <w:numPr>
          <w:ilvl w:val="0"/>
          <w:numId w:val="161"/>
        </w:numPr>
        <w:autoSpaceDE w:val="0"/>
        <w:autoSpaceDN w:val="0"/>
        <w:adjustRightInd w:val="0"/>
        <w:rPr>
          <w:sz w:val="22"/>
          <w:szCs w:val="22"/>
        </w:rPr>
      </w:pPr>
      <w:r>
        <w:rPr>
          <w:sz w:val="22"/>
          <w:szCs w:val="22"/>
        </w:rPr>
        <w:t>Humira pode ser utilizado durante a amamentação.</w:t>
      </w:r>
    </w:p>
    <w:p w14:paraId="3F11781A" w14:textId="77777777" w:rsidR="00197095" w:rsidRDefault="00615769" w:rsidP="00123364">
      <w:pPr>
        <w:pStyle w:val="ListParagraph"/>
        <w:numPr>
          <w:ilvl w:val="0"/>
          <w:numId w:val="161"/>
        </w:numPr>
        <w:rPr>
          <w:sz w:val="22"/>
          <w:szCs w:val="22"/>
        </w:rPr>
      </w:pPr>
      <w:r w:rsidRPr="00123364">
        <w:rPr>
          <w:sz w:val="22"/>
          <w:szCs w:val="22"/>
        </w:rPr>
        <w:t>Se durante a sua gravidez utiliz</w:t>
      </w:r>
      <w:r w:rsidR="00767DE3">
        <w:rPr>
          <w:sz w:val="22"/>
          <w:szCs w:val="22"/>
        </w:rPr>
        <w:t>ar</w:t>
      </w:r>
      <w:r w:rsidRPr="00123364">
        <w:rPr>
          <w:sz w:val="22"/>
          <w:szCs w:val="22"/>
        </w:rPr>
        <w:t xml:space="preserve"> Humira, o seu bebé pode ter um risco superior de ter uma infeção. </w:t>
      </w:r>
    </w:p>
    <w:p w14:paraId="1C395E08" w14:textId="77777777" w:rsidR="004462A0" w:rsidRPr="00123364" w:rsidRDefault="00615769" w:rsidP="00123364">
      <w:pPr>
        <w:pStyle w:val="ListParagraph"/>
        <w:numPr>
          <w:ilvl w:val="0"/>
          <w:numId w:val="161"/>
        </w:numPr>
        <w:rPr>
          <w:sz w:val="22"/>
          <w:szCs w:val="22"/>
        </w:rPr>
      </w:pPr>
      <w:r w:rsidRPr="00123364">
        <w:rPr>
          <w:sz w:val="22"/>
          <w:szCs w:val="22"/>
        </w:rPr>
        <w:t xml:space="preserve">É importante que diga ao médico do seu bebé e a outros profissionais de saúde que usou Humira durante a sua gravidez antes que o seu bebé tome qualquer vacina. Para mais informação </w:t>
      </w:r>
      <w:r w:rsidR="00197095">
        <w:rPr>
          <w:sz w:val="22"/>
          <w:szCs w:val="22"/>
        </w:rPr>
        <w:t xml:space="preserve">sobre vacinação, </w:t>
      </w:r>
      <w:r w:rsidRPr="00123364">
        <w:rPr>
          <w:sz w:val="22"/>
          <w:szCs w:val="22"/>
        </w:rPr>
        <w:t xml:space="preserve">ver secção </w:t>
      </w:r>
      <w:r w:rsidR="00197095">
        <w:rPr>
          <w:sz w:val="22"/>
          <w:szCs w:val="22"/>
        </w:rPr>
        <w:t>“Advertências e precauções”</w:t>
      </w:r>
      <w:r w:rsidRPr="00123364">
        <w:rPr>
          <w:sz w:val="22"/>
          <w:szCs w:val="22"/>
        </w:rPr>
        <w:t>.</w:t>
      </w:r>
    </w:p>
    <w:p w14:paraId="5FD9118D" w14:textId="77777777" w:rsidR="004462A0" w:rsidRPr="008B0DDF" w:rsidRDefault="004462A0" w:rsidP="004462A0">
      <w:pPr>
        <w:rPr>
          <w:sz w:val="22"/>
          <w:szCs w:val="22"/>
        </w:rPr>
      </w:pPr>
    </w:p>
    <w:p w14:paraId="2583345A" w14:textId="77777777" w:rsidR="004462A0" w:rsidRPr="00854C93" w:rsidRDefault="00615769" w:rsidP="004462A0">
      <w:pPr>
        <w:pStyle w:val="Heading8"/>
        <w:keepNext w:val="0"/>
        <w:rPr>
          <w:szCs w:val="22"/>
        </w:rPr>
      </w:pPr>
      <w:r w:rsidRPr="00854C93">
        <w:rPr>
          <w:szCs w:val="22"/>
        </w:rPr>
        <w:t>Condução de veículos e utilização de máquinas</w:t>
      </w:r>
    </w:p>
    <w:p w14:paraId="357C2A47" w14:textId="77777777" w:rsidR="004462A0" w:rsidRPr="0089156B" w:rsidRDefault="004462A0" w:rsidP="004462A0">
      <w:pPr>
        <w:ind w:right="-2"/>
        <w:rPr>
          <w:sz w:val="22"/>
          <w:szCs w:val="22"/>
        </w:rPr>
      </w:pPr>
    </w:p>
    <w:p w14:paraId="776EA781" w14:textId="77777777" w:rsidR="004462A0" w:rsidRPr="002D4DE5" w:rsidRDefault="00615769" w:rsidP="004462A0">
      <w:pPr>
        <w:ind w:right="-2"/>
        <w:rPr>
          <w:sz w:val="22"/>
          <w:szCs w:val="22"/>
        </w:rPr>
      </w:pPr>
      <w:r w:rsidRPr="000B3FE3">
        <w:rPr>
          <w:sz w:val="22"/>
          <w:szCs w:val="22"/>
        </w:rPr>
        <w:t xml:space="preserve">Humira pode ter </w:t>
      </w:r>
      <w:r w:rsidR="00594E93" w:rsidRPr="008912CF">
        <w:rPr>
          <w:sz w:val="22"/>
          <w:szCs w:val="22"/>
        </w:rPr>
        <w:t xml:space="preserve">uma pequena influência </w:t>
      </w:r>
      <w:r w:rsidRPr="002D4DE5">
        <w:rPr>
          <w:sz w:val="22"/>
          <w:szCs w:val="22"/>
        </w:rPr>
        <w:t xml:space="preserve">na sua capacidade de conduzir, andar de bicicleta ou utilizar máquinas. Depois de tomar Humira pode ter vertigens e alterações da visão. </w:t>
      </w:r>
    </w:p>
    <w:p w14:paraId="6B1CE52A" w14:textId="77777777" w:rsidR="004462A0" w:rsidRDefault="004462A0" w:rsidP="004462A0">
      <w:pPr>
        <w:ind w:right="-2"/>
        <w:rPr>
          <w:ins w:id="16571" w:author="AbbVie2" w:date="2025-05-14T10:32:00Z"/>
          <w:sz w:val="22"/>
          <w:szCs w:val="22"/>
        </w:rPr>
      </w:pPr>
    </w:p>
    <w:p w14:paraId="3AEEFD2B" w14:textId="77777777" w:rsidR="00F558D8" w:rsidRPr="000C532F" w:rsidRDefault="00615769" w:rsidP="00F558D8">
      <w:pPr>
        <w:ind w:right="-2"/>
        <w:rPr>
          <w:ins w:id="16572" w:author="AbbVie2" w:date="2025-05-14T10:32:00Z"/>
          <w:b/>
          <w:bCs/>
          <w:sz w:val="22"/>
          <w:szCs w:val="22"/>
        </w:rPr>
      </w:pPr>
      <w:ins w:id="16573" w:author="AbbVie2" w:date="2025-05-14T10:32:00Z">
        <w:r w:rsidRPr="000C532F">
          <w:rPr>
            <w:b/>
            <w:bCs/>
            <w:sz w:val="22"/>
            <w:szCs w:val="22"/>
          </w:rPr>
          <w:t>Humira contém polissorbato</w:t>
        </w:r>
      </w:ins>
    </w:p>
    <w:p w14:paraId="7D73368E" w14:textId="77777777" w:rsidR="00F558D8" w:rsidRDefault="00F558D8" w:rsidP="00F558D8">
      <w:pPr>
        <w:ind w:right="-2"/>
        <w:rPr>
          <w:ins w:id="16574" w:author="AbbVie2" w:date="2025-05-14T10:32:00Z"/>
          <w:sz w:val="22"/>
          <w:szCs w:val="22"/>
        </w:rPr>
      </w:pPr>
    </w:p>
    <w:p w14:paraId="4800E0EB" w14:textId="3FE88789" w:rsidR="00F558D8" w:rsidRDefault="00615769" w:rsidP="00F558D8">
      <w:pPr>
        <w:ind w:right="-2"/>
        <w:rPr>
          <w:ins w:id="16575" w:author="AbbVie2" w:date="2025-05-14T10:32:00Z"/>
          <w:sz w:val="22"/>
          <w:szCs w:val="22"/>
        </w:rPr>
      </w:pPr>
      <w:ins w:id="16576" w:author="AbbVie2" w:date="2025-05-14T10:32:00Z">
        <w:r>
          <w:rPr>
            <w:sz w:val="22"/>
            <w:szCs w:val="22"/>
          </w:rPr>
          <w:t>Este medicamento contém 0,</w:t>
        </w:r>
      </w:ins>
      <w:ins w:id="16577" w:author="AbbVie2" w:date="2025-05-14T12:37:00Z">
        <w:r w:rsidR="00FF65EF">
          <w:rPr>
            <w:sz w:val="22"/>
            <w:szCs w:val="22"/>
          </w:rPr>
          <w:t>4</w:t>
        </w:r>
      </w:ins>
      <w:ins w:id="16578" w:author="AbbVie2" w:date="2025-05-14T10:32:00Z">
        <w:r>
          <w:rPr>
            <w:sz w:val="22"/>
            <w:szCs w:val="22"/>
          </w:rPr>
          <w:t xml:space="preserve"> mg de polissorbato 80 em cada dose de </w:t>
        </w:r>
      </w:ins>
      <w:ins w:id="16579" w:author="AbbVie2" w:date="2025-05-14T12:37:00Z">
        <w:r w:rsidR="00FF65EF">
          <w:rPr>
            <w:sz w:val="22"/>
            <w:szCs w:val="22"/>
          </w:rPr>
          <w:t>4</w:t>
        </w:r>
      </w:ins>
      <w:ins w:id="16580" w:author="AbbVie2" w:date="2025-05-14T10:32:00Z">
        <w:r>
          <w:rPr>
            <w:sz w:val="22"/>
            <w:szCs w:val="22"/>
          </w:rPr>
          <w:t xml:space="preserve">0 mg. Os polissorbatos podem causar reações alérgicas. Informe o seu médico </w:t>
        </w:r>
      </w:ins>
      <w:ins w:id="16581" w:author="AbbVie2" w:date="2025-05-19T10:10:00Z">
        <w:r w:rsidR="003C277E">
          <w:rPr>
            <w:sz w:val="22"/>
            <w:szCs w:val="22"/>
          </w:rPr>
          <w:t>caso tenha</w:t>
        </w:r>
      </w:ins>
      <w:ins w:id="16582" w:author="AbbVie2" w:date="2025-05-14T10:32:00Z">
        <w:r>
          <w:rPr>
            <w:sz w:val="22"/>
            <w:szCs w:val="22"/>
          </w:rPr>
          <w:t xml:space="preserve"> alguma alergia conhecida.</w:t>
        </w:r>
      </w:ins>
    </w:p>
    <w:p w14:paraId="4D61BBF4" w14:textId="77777777" w:rsidR="00F558D8" w:rsidRPr="00003560" w:rsidRDefault="00F558D8" w:rsidP="004462A0">
      <w:pPr>
        <w:ind w:right="-2"/>
        <w:rPr>
          <w:sz w:val="22"/>
          <w:szCs w:val="22"/>
        </w:rPr>
      </w:pPr>
    </w:p>
    <w:p w14:paraId="4E906C46" w14:textId="77777777" w:rsidR="004462A0" w:rsidRPr="005F6F98" w:rsidRDefault="004462A0" w:rsidP="004462A0">
      <w:pPr>
        <w:ind w:right="-2"/>
        <w:rPr>
          <w:sz w:val="22"/>
          <w:szCs w:val="22"/>
        </w:rPr>
      </w:pPr>
    </w:p>
    <w:p w14:paraId="1596A88D" w14:textId="77777777" w:rsidR="004462A0" w:rsidRPr="002B2441" w:rsidRDefault="00615769" w:rsidP="004462A0">
      <w:pPr>
        <w:ind w:left="567" w:right="-2" w:hanging="567"/>
        <w:rPr>
          <w:sz w:val="22"/>
          <w:szCs w:val="22"/>
        </w:rPr>
      </w:pPr>
      <w:r w:rsidRPr="002B2441">
        <w:rPr>
          <w:b/>
          <w:sz w:val="22"/>
          <w:szCs w:val="22"/>
        </w:rPr>
        <w:t>3.</w:t>
      </w:r>
      <w:r w:rsidRPr="002B2441">
        <w:rPr>
          <w:b/>
          <w:sz w:val="22"/>
          <w:szCs w:val="22"/>
        </w:rPr>
        <w:tab/>
        <w:t>Como utilizar Humira</w:t>
      </w:r>
    </w:p>
    <w:p w14:paraId="4FCCEB02" w14:textId="77777777" w:rsidR="004462A0" w:rsidRPr="00B830EC" w:rsidRDefault="004462A0" w:rsidP="004462A0">
      <w:pPr>
        <w:ind w:right="-2"/>
        <w:rPr>
          <w:sz w:val="22"/>
          <w:szCs w:val="22"/>
        </w:rPr>
      </w:pPr>
    </w:p>
    <w:p w14:paraId="03609801" w14:textId="77777777" w:rsidR="004462A0" w:rsidRPr="008B0DDF" w:rsidRDefault="00615769" w:rsidP="004462A0">
      <w:pPr>
        <w:ind w:right="-2"/>
        <w:rPr>
          <w:sz w:val="22"/>
          <w:szCs w:val="22"/>
        </w:rPr>
      </w:pPr>
      <w:r w:rsidRPr="008B0DDF">
        <w:rPr>
          <w:sz w:val="22"/>
          <w:szCs w:val="22"/>
        </w:rPr>
        <w:t>Utilize este medicamento exatamente como indicado pelo seu médico ou farmacêutico. Fale com o seu médico ou farmacêutico se tiver dúvidas.</w:t>
      </w:r>
    </w:p>
    <w:p w14:paraId="2BB3FD89" w14:textId="77777777" w:rsidR="004462A0" w:rsidRPr="008B0DDF" w:rsidRDefault="004462A0" w:rsidP="004462A0">
      <w:pPr>
        <w:ind w:right="-2"/>
        <w:rPr>
          <w:sz w:val="22"/>
          <w:szCs w:val="22"/>
        </w:rPr>
      </w:pPr>
    </w:p>
    <w:p w14:paraId="331239D3" w14:textId="77777777" w:rsidR="004462A0" w:rsidRDefault="00615769" w:rsidP="004462A0">
      <w:pPr>
        <w:ind w:right="-2"/>
        <w:rPr>
          <w:bCs/>
          <w:sz w:val="22"/>
          <w:szCs w:val="22"/>
        </w:rPr>
      </w:pPr>
      <w:r w:rsidRPr="008B0DDF">
        <w:rPr>
          <w:sz w:val="22"/>
          <w:szCs w:val="22"/>
        </w:rPr>
        <w:t>As doses recomendadas de Humira para cada uma das indicações aprovadas são apresentadas na tabela seguinte.</w:t>
      </w:r>
      <w:r w:rsidR="00AC59BD">
        <w:rPr>
          <w:sz w:val="22"/>
          <w:szCs w:val="22"/>
        </w:rPr>
        <w:t xml:space="preserve"> O seu médico </w:t>
      </w:r>
      <w:r w:rsidR="00AC59BD" w:rsidRPr="008912CF">
        <w:rPr>
          <w:bCs/>
          <w:sz w:val="22"/>
          <w:szCs w:val="22"/>
        </w:rPr>
        <w:t xml:space="preserve">pode prescrever uma dose </w:t>
      </w:r>
      <w:r w:rsidR="00AC59BD">
        <w:rPr>
          <w:bCs/>
          <w:sz w:val="22"/>
          <w:szCs w:val="22"/>
        </w:rPr>
        <w:t xml:space="preserve">diferente de Humira de acordo com as </w:t>
      </w:r>
      <w:r w:rsidR="00041FA6">
        <w:rPr>
          <w:bCs/>
          <w:sz w:val="22"/>
          <w:szCs w:val="22"/>
        </w:rPr>
        <w:t xml:space="preserve">suas </w:t>
      </w:r>
      <w:r w:rsidR="00AC59BD">
        <w:rPr>
          <w:bCs/>
          <w:sz w:val="22"/>
          <w:szCs w:val="22"/>
        </w:rPr>
        <w:t>necessidades.</w:t>
      </w:r>
    </w:p>
    <w:p w14:paraId="5D413150" w14:textId="77777777" w:rsidR="00BE2C13" w:rsidRPr="008B0DDF" w:rsidRDefault="00BE2C13" w:rsidP="004462A0">
      <w:pPr>
        <w:ind w:right="-2"/>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3019"/>
        <w:gridCol w:w="3031"/>
      </w:tblGrid>
      <w:tr w:rsidR="00A7162A" w14:paraId="0BA0633B" w14:textId="77777777" w:rsidTr="00F675CF">
        <w:tc>
          <w:tcPr>
            <w:tcW w:w="9287" w:type="dxa"/>
            <w:gridSpan w:val="3"/>
          </w:tcPr>
          <w:p w14:paraId="290DA5DA" w14:textId="77777777" w:rsidR="004462A0" w:rsidRPr="00854C93" w:rsidRDefault="00615769" w:rsidP="0094797C">
            <w:pPr>
              <w:keepNext/>
              <w:numPr>
                <w:ilvl w:val="12"/>
                <w:numId w:val="0"/>
              </w:numPr>
              <w:suppressAutoHyphens/>
              <w:ind w:right="-2"/>
              <w:rPr>
                <w:b/>
                <w:sz w:val="22"/>
              </w:rPr>
            </w:pPr>
            <w:r w:rsidRPr="004F0FBC">
              <w:rPr>
                <w:b/>
                <w:sz w:val="22"/>
              </w:rPr>
              <w:t>Artrite reumatoide</w:t>
            </w:r>
            <w:r w:rsidRPr="006462E3">
              <w:rPr>
                <w:b/>
                <w:sz w:val="22"/>
              </w:rPr>
              <w:t>, artrite psoriática, espondilite anquilosante</w:t>
            </w:r>
            <w:r w:rsidRPr="009A05BE">
              <w:rPr>
                <w:b/>
                <w:sz w:val="22"/>
              </w:rPr>
              <w:t xml:space="preserve"> ou espondilartrite axial sem evidência radiográfica de espondilite anquilosante</w:t>
            </w:r>
          </w:p>
        </w:tc>
      </w:tr>
      <w:tr w:rsidR="00A7162A" w14:paraId="4BBF216D" w14:textId="77777777" w:rsidTr="00F675CF">
        <w:tc>
          <w:tcPr>
            <w:tcW w:w="3095" w:type="dxa"/>
          </w:tcPr>
          <w:p w14:paraId="230B8967" w14:textId="77777777" w:rsidR="004462A0" w:rsidRPr="008B0DDF" w:rsidRDefault="00615769" w:rsidP="0094797C">
            <w:pPr>
              <w:keepNext/>
              <w:numPr>
                <w:ilvl w:val="12"/>
                <w:numId w:val="0"/>
              </w:numPr>
              <w:suppressAutoHyphens/>
              <w:ind w:right="-2"/>
              <w:rPr>
                <w:sz w:val="22"/>
              </w:rPr>
            </w:pPr>
            <w:r w:rsidRPr="008B0DDF">
              <w:rPr>
                <w:b/>
                <w:sz w:val="22"/>
              </w:rPr>
              <w:t>Idade ou peso corporal</w:t>
            </w:r>
          </w:p>
        </w:tc>
        <w:tc>
          <w:tcPr>
            <w:tcW w:w="3096" w:type="dxa"/>
          </w:tcPr>
          <w:p w14:paraId="0CA30C63" w14:textId="77777777" w:rsidR="004462A0" w:rsidRPr="006462E3" w:rsidRDefault="00615769" w:rsidP="0094797C">
            <w:pPr>
              <w:keepNext/>
              <w:numPr>
                <w:ilvl w:val="12"/>
                <w:numId w:val="0"/>
              </w:numPr>
              <w:suppressAutoHyphens/>
              <w:ind w:right="-2"/>
              <w:rPr>
                <w:sz w:val="22"/>
              </w:rPr>
            </w:pPr>
            <w:r w:rsidRPr="00454F99">
              <w:rPr>
                <w:b/>
                <w:sz w:val="22"/>
              </w:rPr>
              <w:t>Qual</w:t>
            </w:r>
            <w:r w:rsidRPr="004F0FBC">
              <w:rPr>
                <w:b/>
                <w:sz w:val="22"/>
              </w:rPr>
              <w:t xml:space="preserve"> a dose e com que freq</w:t>
            </w:r>
            <w:r w:rsidRPr="006462E3">
              <w:rPr>
                <w:b/>
                <w:sz w:val="22"/>
              </w:rPr>
              <w:t>uência se deve tomar?</w:t>
            </w:r>
          </w:p>
        </w:tc>
        <w:tc>
          <w:tcPr>
            <w:tcW w:w="3096" w:type="dxa"/>
          </w:tcPr>
          <w:p w14:paraId="661EEEE1" w14:textId="77777777" w:rsidR="004462A0" w:rsidRPr="008B0DDF" w:rsidRDefault="00615769" w:rsidP="0094797C">
            <w:pPr>
              <w:keepNext/>
              <w:numPr>
                <w:ilvl w:val="12"/>
                <w:numId w:val="0"/>
              </w:numPr>
              <w:suppressAutoHyphens/>
              <w:ind w:right="-2"/>
              <w:rPr>
                <w:sz w:val="22"/>
              </w:rPr>
            </w:pPr>
            <w:r w:rsidRPr="008B0DDF">
              <w:rPr>
                <w:b/>
                <w:sz w:val="22"/>
              </w:rPr>
              <w:t>Notas</w:t>
            </w:r>
          </w:p>
        </w:tc>
      </w:tr>
      <w:tr w:rsidR="00A7162A" w14:paraId="6FBE8764" w14:textId="77777777" w:rsidTr="00F675CF">
        <w:tc>
          <w:tcPr>
            <w:tcW w:w="3095" w:type="dxa"/>
          </w:tcPr>
          <w:p w14:paraId="7E723DD1" w14:textId="77777777" w:rsidR="004462A0" w:rsidRPr="008B0DDF" w:rsidRDefault="00615769" w:rsidP="0094797C">
            <w:pPr>
              <w:keepNext/>
              <w:numPr>
                <w:ilvl w:val="12"/>
                <w:numId w:val="0"/>
              </w:numPr>
              <w:suppressAutoHyphens/>
              <w:ind w:right="-2"/>
              <w:rPr>
                <w:sz w:val="22"/>
              </w:rPr>
            </w:pPr>
            <w:r w:rsidRPr="008B0DDF">
              <w:rPr>
                <w:sz w:val="22"/>
              </w:rPr>
              <w:t>Adultos</w:t>
            </w:r>
          </w:p>
        </w:tc>
        <w:tc>
          <w:tcPr>
            <w:tcW w:w="3096" w:type="dxa"/>
          </w:tcPr>
          <w:p w14:paraId="7FBA785A" w14:textId="77777777" w:rsidR="004462A0" w:rsidRPr="008B0DDF" w:rsidRDefault="00615769" w:rsidP="0094797C">
            <w:pPr>
              <w:keepNext/>
              <w:numPr>
                <w:ilvl w:val="12"/>
                <w:numId w:val="0"/>
              </w:numPr>
              <w:suppressAutoHyphens/>
              <w:ind w:right="-2"/>
              <w:rPr>
                <w:sz w:val="22"/>
              </w:rPr>
            </w:pPr>
            <w:r w:rsidRPr="008B0DDF">
              <w:rPr>
                <w:sz w:val="22"/>
              </w:rPr>
              <w:t>40 mg em semanas alternadas</w:t>
            </w:r>
          </w:p>
        </w:tc>
        <w:tc>
          <w:tcPr>
            <w:tcW w:w="3096" w:type="dxa"/>
          </w:tcPr>
          <w:p w14:paraId="2FA81799" w14:textId="77777777" w:rsidR="004462A0" w:rsidRDefault="00615769" w:rsidP="0094797C">
            <w:pPr>
              <w:keepNext/>
              <w:tabs>
                <w:tab w:val="left" w:pos="562"/>
              </w:tabs>
              <w:suppressAutoHyphens/>
              <w:rPr>
                <w:sz w:val="22"/>
              </w:rPr>
            </w:pPr>
            <w:r w:rsidRPr="00454F99">
              <w:rPr>
                <w:sz w:val="22"/>
              </w:rPr>
              <w:t>Na artrite reumatoide</w:t>
            </w:r>
            <w:r w:rsidRPr="004F0FBC">
              <w:rPr>
                <w:sz w:val="22"/>
              </w:rPr>
              <w:t>,</w:t>
            </w:r>
            <w:r w:rsidRPr="006462E3">
              <w:rPr>
                <w:sz w:val="22"/>
              </w:rPr>
              <w:t xml:space="preserve"> metotrexato continua a ser utilizado enquanto se usa Humira. Se o seu mé</w:t>
            </w:r>
            <w:r w:rsidRPr="009A05BE">
              <w:rPr>
                <w:sz w:val="22"/>
              </w:rPr>
              <w:t>dico considerar</w:t>
            </w:r>
            <w:r w:rsidRPr="00854C93">
              <w:rPr>
                <w:sz w:val="22"/>
              </w:rPr>
              <w:t xml:space="preserve"> que metotrexato não é adequado, </w:t>
            </w:r>
            <w:r w:rsidRPr="0089156B">
              <w:rPr>
                <w:sz w:val="22"/>
              </w:rPr>
              <w:t xml:space="preserve">Humira </w:t>
            </w:r>
            <w:r w:rsidRPr="000B3FE3">
              <w:rPr>
                <w:sz w:val="22"/>
              </w:rPr>
              <w:t>pode ser usado isoladamente.</w:t>
            </w:r>
          </w:p>
          <w:p w14:paraId="5E9E08A5" w14:textId="77777777" w:rsidR="004462A0" w:rsidRPr="00B830EC" w:rsidRDefault="00615769" w:rsidP="0094797C">
            <w:pPr>
              <w:keepNext/>
              <w:numPr>
                <w:ilvl w:val="12"/>
                <w:numId w:val="0"/>
              </w:numPr>
              <w:suppressAutoHyphens/>
              <w:ind w:right="-2"/>
              <w:rPr>
                <w:sz w:val="22"/>
              </w:rPr>
            </w:pPr>
            <w:r w:rsidRPr="00653128">
              <w:rPr>
                <w:sz w:val="22"/>
              </w:rPr>
              <w:t xml:space="preserve">Se tem artrite reumatoide e não usar metotrexato conjuntamente com </w:t>
            </w:r>
            <w:r w:rsidRPr="00D33370">
              <w:rPr>
                <w:sz w:val="22"/>
              </w:rPr>
              <w:t>Hum</w:t>
            </w:r>
            <w:r w:rsidRPr="002D4DE5">
              <w:rPr>
                <w:sz w:val="22"/>
              </w:rPr>
              <w:t>ira</w:t>
            </w:r>
            <w:r w:rsidRPr="00003560">
              <w:rPr>
                <w:sz w:val="22"/>
              </w:rPr>
              <w:t xml:space="preserve">, o seu médico pode decidir administrar </w:t>
            </w:r>
            <w:r w:rsidRPr="005F6F98">
              <w:rPr>
                <w:sz w:val="22"/>
              </w:rPr>
              <w:t>Humira 40 </w:t>
            </w:r>
            <w:r w:rsidRPr="002B2441">
              <w:rPr>
                <w:sz w:val="22"/>
              </w:rPr>
              <w:t>mg por semana</w:t>
            </w:r>
            <w:r w:rsidR="004F2F3E">
              <w:rPr>
                <w:sz w:val="22"/>
              </w:rPr>
              <w:t xml:space="preserve"> ou 80 mg em semanas alternadas</w:t>
            </w:r>
            <w:r w:rsidRPr="002B2441">
              <w:rPr>
                <w:sz w:val="22"/>
              </w:rPr>
              <w:t>.</w:t>
            </w:r>
            <w:r w:rsidRPr="00B830EC">
              <w:rPr>
                <w:sz w:val="22"/>
              </w:rPr>
              <w:t xml:space="preserve"> </w:t>
            </w:r>
          </w:p>
        </w:tc>
      </w:tr>
    </w:tbl>
    <w:p w14:paraId="7B5D0547" w14:textId="77777777" w:rsidR="004462A0" w:rsidRPr="008B0DDF" w:rsidRDefault="004462A0" w:rsidP="004462A0">
      <w:pPr>
        <w:numPr>
          <w:ilvl w:val="12"/>
          <w:numId w:val="0"/>
        </w:numPr>
        <w:suppressAutoHyphens/>
        <w:ind w:right="-2"/>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22"/>
        <w:gridCol w:w="3014"/>
      </w:tblGrid>
      <w:tr w:rsidR="00A7162A" w14:paraId="3AA955E2" w14:textId="77777777" w:rsidTr="00F675CF">
        <w:tc>
          <w:tcPr>
            <w:tcW w:w="9287" w:type="dxa"/>
            <w:gridSpan w:val="3"/>
          </w:tcPr>
          <w:p w14:paraId="3AA08209" w14:textId="77777777" w:rsidR="004462A0" w:rsidRPr="008B0DDF" w:rsidRDefault="00615769" w:rsidP="00F675CF">
            <w:pPr>
              <w:numPr>
                <w:ilvl w:val="12"/>
                <w:numId w:val="0"/>
              </w:numPr>
              <w:suppressAutoHyphens/>
              <w:ind w:right="-2"/>
              <w:rPr>
                <w:sz w:val="22"/>
              </w:rPr>
            </w:pPr>
            <w:r w:rsidRPr="008B0DDF">
              <w:rPr>
                <w:b/>
                <w:sz w:val="22"/>
              </w:rPr>
              <w:t>Artrite idiopática juvenil poliarticular</w:t>
            </w:r>
          </w:p>
        </w:tc>
      </w:tr>
      <w:tr w:rsidR="00A7162A" w14:paraId="7A47DA2A" w14:textId="77777777" w:rsidTr="00F675CF">
        <w:tc>
          <w:tcPr>
            <w:tcW w:w="3095" w:type="dxa"/>
          </w:tcPr>
          <w:p w14:paraId="0D5084F0" w14:textId="77777777" w:rsidR="004462A0" w:rsidRPr="008B0DDF" w:rsidRDefault="00615769" w:rsidP="00F675CF">
            <w:pPr>
              <w:numPr>
                <w:ilvl w:val="12"/>
                <w:numId w:val="0"/>
              </w:numPr>
              <w:suppressAutoHyphens/>
              <w:ind w:right="-2"/>
              <w:rPr>
                <w:sz w:val="22"/>
              </w:rPr>
            </w:pPr>
            <w:r w:rsidRPr="008B0DDF">
              <w:rPr>
                <w:b/>
                <w:sz w:val="22"/>
              </w:rPr>
              <w:t>Idade ou peso corporal</w:t>
            </w:r>
          </w:p>
        </w:tc>
        <w:tc>
          <w:tcPr>
            <w:tcW w:w="3096" w:type="dxa"/>
          </w:tcPr>
          <w:p w14:paraId="6508A9C0" w14:textId="77777777" w:rsidR="004462A0" w:rsidRPr="006462E3" w:rsidRDefault="00615769" w:rsidP="00F675CF">
            <w:pPr>
              <w:numPr>
                <w:ilvl w:val="12"/>
                <w:numId w:val="0"/>
              </w:numPr>
              <w:suppressAutoHyphens/>
              <w:ind w:right="-2"/>
              <w:rPr>
                <w:sz w:val="22"/>
              </w:rPr>
            </w:pPr>
            <w:r w:rsidRPr="00454F99">
              <w:rPr>
                <w:b/>
                <w:sz w:val="22"/>
              </w:rPr>
              <w:t>Qual a dose e com que frequência s</w:t>
            </w:r>
            <w:r w:rsidRPr="004F0FBC">
              <w:rPr>
                <w:b/>
                <w:sz w:val="22"/>
              </w:rPr>
              <w:t>e deve tomar?</w:t>
            </w:r>
          </w:p>
        </w:tc>
        <w:tc>
          <w:tcPr>
            <w:tcW w:w="3096" w:type="dxa"/>
          </w:tcPr>
          <w:p w14:paraId="18651E4B" w14:textId="77777777" w:rsidR="004462A0" w:rsidRPr="008B0DDF" w:rsidRDefault="00615769" w:rsidP="00F675CF">
            <w:pPr>
              <w:numPr>
                <w:ilvl w:val="12"/>
                <w:numId w:val="0"/>
              </w:numPr>
              <w:suppressAutoHyphens/>
              <w:ind w:right="-2"/>
              <w:rPr>
                <w:sz w:val="22"/>
              </w:rPr>
            </w:pPr>
            <w:r w:rsidRPr="008B0DDF">
              <w:rPr>
                <w:b/>
                <w:sz w:val="22"/>
              </w:rPr>
              <w:t>Notas</w:t>
            </w:r>
          </w:p>
        </w:tc>
      </w:tr>
      <w:tr w:rsidR="00A7162A" w14:paraId="18E5BDB6" w14:textId="77777777" w:rsidTr="00F675CF">
        <w:tc>
          <w:tcPr>
            <w:tcW w:w="3095" w:type="dxa"/>
          </w:tcPr>
          <w:p w14:paraId="318982EE" w14:textId="77777777" w:rsidR="004462A0" w:rsidRPr="009A05BE" w:rsidRDefault="00615769">
            <w:pPr>
              <w:numPr>
                <w:ilvl w:val="12"/>
                <w:numId w:val="0"/>
              </w:numPr>
              <w:suppressAutoHyphens/>
              <w:ind w:right="-2"/>
              <w:rPr>
                <w:sz w:val="22"/>
              </w:rPr>
            </w:pPr>
            <w:r>
              <w:rPr>
                <w:sz w:val="22"/>
              </w:rPr>
              <w:t>Crianças, a</w:t>
            </w:r>
            <w:r w:rsidRPr="00454F99">
              <w:rPr>
                <w:sz w:val="22"/>
              </w:rPr>
              <w:t>dolescentes e</w:t>
            </w:r>
            <w:r w:rsidRPr="004F0FBC">
              <w:rPr>
                <w:sz w:val="22"/>
              </w:rPr>
              <w:t xml:space="preserve"> adult</w:t>
            </w:r>
            <w:r w:rsidRPr="006462E3">
              <w:rPr>
                <w:sz w:val="22"/>
              </w:rPr>
              <w:t xml:space="preserve">os a partir dos </w:t>
            </w:r>
            <w:r>
              <w:rPr>
                <w:sz w:val="22"/>
              </w:rPr>
              <w:t>2</w:t>
            </w:r>
            <w:r w:rsidRPr="006462E3">
              <w:rPr>
                <w:sz w:val="22"/>
              </w:rPr>
              <w:t xml:space="preserve"> anos de idade</w:t>
            </w:r>
            <w:r w:rsidRPr="009A05BE">
              <w:rPr>
                <w:sz w:val="22"/>
              </w:rPr>
              <w:t xml:space="preserve"> </w:t>
            </w:r>
            <w:r>
              <w:rPr>
                <w:sz w:val="22"/>
              </w:rPr>
              <w:t>com peso igual ou superior a 30 kg</w:t>
            </w:r>
          </w:p>
        </w:tc>
        <w:tc>
          <w:tcPr>
            <w:tcW w:w="3096" w:type="dxa"/>
          </w:tcPr>
          <w:p w14:paraId="0370C01A" w14:textId="77777777" w:rsidR="004462A0" w:rsidRPr="008B0DDF" w:rsidRDefault="00615769" w:rsidP="00F675CF">
            <w:pPr>
              <w:numPr>
                <w:ilvl w:val="12"/>
                <w:numId w:val="0"/>
              </w:numPr>
              <w:suppressAutoHyphens/>
              <w:ind w:right="-2"/>
              <w:rPr>
                <w:sz w:val="22"/>
              </w:rPr>
            </w:pPr>
            <w:r w:rsidRPr="008B0DDF">
              <w:rPr>
                <w:sz w:val="22"/>
              </w:rPr>
              <w:t>40 mg em semanas alternadas</w:t>
            </w:r>
          </w:p>
        </w:tc>
        <w:tc>
          <w:tcPr>
            <w:tcW w:w="3096" w:type="dxa"/>
          </w:tcPr>
          <w:p w14:paraId="17865E8B" w14:textId="77777777" w:rsidR="004462A0" w:rsidRPr="008B0DDF" w:rsidRDefault="00615769" w:rsidP="00F675CF">
            <w:pPr>
              <w:numPr>
                <w:ilvl w:val="12"/>
                <w:numId w:val="0"/>
              </w:numPr>
              <w:suppressAutoHyphens/>
              <w:ind w:right="-2"/>
              <w:rPr>
                <w:sz w:val="22"/>
              </w:rPr>
            </w:pPr>
            <w:r>
              <w:rPr>
                <w:sz w:val="22"/>
              </w:rPr>
              <w:t>Não aplicável</w:t>
            </w:r>
          </w:p>
        </w:tc>
      </w:tr>
      <w:tr w:rsidR="00A7162A" w14:paraId="60673178" w14:textId="77777777" w:rsidTr="00F675CF">
        <w:tc>
          <w:tcPr>
            <w:tcW w:w="3095" w:type="dxa"/>
          </w:tcPr>
          <w:p w14:paraId="40AB9FF9" w14:textId="77777777" w:rsidR="004462A0" w:rsidRPr="006462E3" w:rsidRDefault="00615769">
            <w:pPr>
              <w:numPr>
                <w:ilvl w:val="12"/>
                <w:numId w:val="0"/>
              </w:numPr>
              <w:suppressAutoHyphens/>
              <w:ind w:right="-2"/>
              <w:rPr>
                <w:sz w:val="22"/>
              </w:rPr>
            </w:pPr>
            <w:r w:rsidRPr="00454F99">
              <w:rPr>
                <w:sz w:val="22"/>
              </w:rPr>
              <w:t xml:space="preserve">Crianças </w:t>
            </w:r>
            <w:r w:rsidR="00AC59BD">
              <w:rPr>
                <w:sz w:val="22"/>
              </w:rPr>
              <w:t>e adolescentes a partir dos</w:t>
            </w:r>
            <w:r w:rsidRPr="00454F99">
              <w:rPr>
                <w:sz w:val="22"/>
              </w:rPr>
              <w:t xml:space="preserve"> 2</w:t>
            </w:r>
            <w:r w:rsidR="00E47A88">
              <w:rPr>
                <w:sz w:val="22"/>
              </w:rPr>
              <w:t xml:space="preserve"> </w:t>
            </w:r>
            <w:r w:rsidRPr="004F0FBC">
              <w:rPr>
                <w:sz w:val="22"/>
              </w:rPr>
              <w:t>anos de idade</w:t>
            </w:r>
            <w:r w:rsidR="00AC59BD">
              <w:rPr>
                <w:sz w:val="22"/>
              </w:rPr>
              <w:t xml:space="preserve"> com peso igual a 10 kg ou inferior a 30 kg</w:t>
            </w:r>
          </w:p>
        </w:tc>
        <w:tc>
          <w:tcPr>
            <w:tcW w:w="3096" w:type="dxa"/>
          </w:tcPr>
          <w:p w14:paraId="1324D76C" w14:textId="77777777" w:rsidR="004462A0" w:rsidRPr="004931CE" w:rsidRDefault="00615769">
            <w:pPr>
              <w:numPr>
                <w:ilvl w:val="12"/>
                <w:numId w:val="0"/>
              </w:numPr>
              <w:suppressAutoHyphens/>
              <w:ind w:right="-2"/>
              <w:rPr>
                <w:sz w:val="22"/>
              </w:rPr>
            </w:pPr>
            <w:r>
              <w:rPr>
                <w:sz w:val="22"/>
              </w:rPr>
              <w:t>20 mg em semanas alternadas</w:t>
            </w:r>
          </w:p>
        </w:tc>
        <w:tc>
          <w:tcPr>
            <w:tcW w:w="3096" w:type="dxa"/>
          </w:tcPr>
          <w:p w14:paraId="0768F40C" w14:textId="77777777" w:rsidR="004462A0" w:rsidRPr="00653128" w:rsidRDefault="00615769" w:rsidP="00F675CF">
            <w:pPr>
              <w:numPr>
                <w:ilvl w:val="12"/>
                <w:numId w:val="0"/>
              </w:numPr>
              <w:suppressAutoHyphens/>
              <w:ind w:right="-2"/>
              <w:rPr>
                <w:sz w:val="22"/>
              </w:rPr>
            </w:pPr>
            <w:r>
              <w:rPr>
                <w:sz w:val="22"/>
              </w:rPr>
              <w:t>Não aplicável</w:t>
            </w:r>
          </w:p>
        </w:tc>
      </w:tr>
    </w:tbl>
    <w:p w14:paraId="71E1C2E0" w14:textId="77777777" w:rsidR="004462A0" w:rsidRPr="008B0DDF" w:rsidRDefault="004462A0" w:rsidP="004462A0">
      <w:pPr>
        <w:numPr>
          <w:ilvl w:val="12"/>
          <w:numId w:val="0"/>
        </w:numPr>
        <w:suppressAutoHyphens/>
        <w:ind w:right="-2"/>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22"/>
        <w:gridCol w:w="3014"/>
      </w:tblGrid>
      <w:tr w:rsidR="00A7162A" w14:paraId="35D323C2" w14:textId="77777777" w:rsidTr="00F675CF">
        <w:tc>
          <w:tcPr>
            <w:tcW w:w="9287" w:type="dxa"/>
            <w:gridSpan w:val="3"/>
          </w:tcPr>
          <w:p w14:paraId="7CFDF5FF" w14:textId="77777777" w:rsidR="004462A0" w:rsidRPr="008B0DDF" w:rsidRDefault="00615769" w:rsidP="00F675CF">
            <w:pPr>
              <w:keepNext/>
              <w:numPr>
                <w:ilvl w:val="12"/>
                <w:numId w:val="0"/>
              </w:numPr>
              <w:suppressAutoHyphens/>
              <w:ind w:right="-2"/>
              <w:rPr>
                <w:b/>
                <w:sz w:val="22"/>
              </w:rPr>
            </w:pPr>
            <w:r w:rsidRPr="008B0DDF">
              <w:rPr>
                <w:b/>
                <w:sz w:val="22"/>
              </w:rPr>
              <w:t>Artrite relacionada com entesite</w:t>
            </w:r>
          </w:p>
        </w:tc>
      </w:tr>
      <w:tr w:rsidR="00A7162A" w14:paraId="2E874D40" w14:textId="77777777" w:rsidTr="00F675CF">
        <w:tc>
          <w:tcPr>
            <w:tcW w:w="3095" w:type="dxa"/>
          </w:tcPr>
          <w:p w14:paraId="000FA784" w14:textId="77777777" w:rsidR="004462A0" w:rsidRPr="008B0DDF" w:rsidRDefault="00615769" w:rsidP="00F675CF">
            <w:pPr>
              <w:keepNext/>
              <w:numPr>
                <w:ilvl w:val="12"/>
                <w:numId w:val="0"/>
              </w:numPr>
              <w:suppressAutoHyphens/>
              <w:ind w:right="-2"/>
              <w:rPr>
                <w:sz w:val="22"/>
              </w:rPr>
            </w:pPr>
            <w:r w:rsidRPr="008B0DDF">
              <w:rPr>
                <w:b/>
                <w:sz w:val="22"/>
              </w:rPr>
              <w:t>Idade ou peso corporal</w:t>
            </w:r>
          </w:p>
        </w:tc>
        <w:tc>
          <w:tcPr>
            <w:tcW w:w="3096" w:type="dxa"/>
          </w:tcPr>
          <w:p w14:paraId="739A24DA" w14:textId="77777777" w:rsidR="004462A0" w:rsidRPr="004F0FBC" w:rsidRDefault="00615769" w:rsidP="00F675CF">
            <w:pPr>
              <w:keepNext/>
              <w:numPr>
                <w:ilvl w:val="12"/>
                <w:numId w:val="0"/>
              </w:numPr>
              <w:suppressAutoHyphens/>
              <w:ind w:right="-2"/>
              <w:rPr>
                <w:sz w:val="22"/>
              </w:rPr>
            </w:pPr>
            <w:r w:rsidRPr="00454F99">
              <w:rPr>
                <w:b/>
                <w:sz w:val="22"/>
              </w:rPr>
              <w:t>Qual a dose e com que frequência se deve tomar?</w:t>
            </w:r>
          </w:p>
        </w:tc>
        <w:tc>
          <w:tcPr>
            <w:tcW w:w="3096" w:type="dxa"/>
          </w:tcPr>
          <w:p w14:paraId="7B84BE59" w14:textId="77777777" w:rsidR="004462A0" w:rsidRPr="008B0DDF" w:rsidRDefault="00615769" w:rsidP="00F675CF">
            <w:pPr>
              <w:keepNext/>
              <w:numPr>
                <w:ilvl w:val="12"/>
                <w:numId w:val="0"/>
              </w:numPr>
              <w:suppressAutoHyphens/>
              <w:ind w:right="-2"/>
              <w:rPr>
                <w:sz w:val="22"/>
              </w:rPr>
            </w:pPr>
            <w:r w:rsidRPr="008B0DDF">
              <w:rPr>
                <w:b/>
                <w:sz w:val="22"/>
              </w:rPr>
              <w:t>Notas</w:t>
            </w:r>
          </w:p>
        </w:tc>
      </w:tr>
      <w:tr w:rsidR="00A7162A" w14:paraId="7BD2AA78" w14:textId="77777777" w:rsidTr="00F675CF">
        <w:tc>
          <w:tcPr>
            <w:tcW w:w="3095" w:type="dxa"/>
          </w:tcPr>
          <w:p w14:paraId="17AB5FE7" w14:textId="77777777" w:rsidR="004462A0" w:rsidRPr="004F0FBC" w:rsidRDefault="00615769" w:rsidP="00F675CF">
            <w:pPr>
              <w:keepNext/>
              <w:numPr>
                <w:ilvl w:val="12"/>
                <w:numId w:val="0"/>
              </w:numPr>
              <w:suppressAutoHyphens/>
              <w:ind w:right="-2"/>
              <w:rPr>
                <w:sz w:val="22"/>
              </w:rPr>
            </w:pPr>
            <w:r w:rsidRPr="00454F99">
              <w:rPr>
                <w:sz w:val="22"/>
              </w:rPr>
              <w:t>Crianças, adolescentes e adultos a partir dos 6 anos de idade</w:t>
            </w:r>
            <w:r w:rsidR="00AC59BD">
              <w:rPr>
                <w:sz w:val="22"/>
              </w:rPr>
              <w:t xml:space="preserve"> com peso igual ou superior a 30 kg</w:t>
            </w:r>
          </w:p>
        </w:tc>
        <w:tc>
          <w:tcPr>
            <w:tcW w:w="3096" w:type="dxa"/>
          </w:tcPr>
          <w:p w14:paraId="248AD79E" w14:textId="77777777" w:rsidR="004462A0" w:rsidRPr="00854C93" w:rsidRDefault="00615769">
            <w:pPr>
              <w:keepNext/>
              <w:numPr>
                <w:ilvl w:val="12"/>
                <w:numId w:val="0"/>
              </w:numPr>
              <w:suppressAutoHyphens/>
              <w:ind w:right="-2"/>
              <w:rPr>
                <w:sz w:val="22"/>
              </w:rPr>
            </w:pPr>
            <w:r>
              <w:rPr>
                <w:sz w:val="22"/>
              </w:rPr>
              <w:t>40 mg em semanas alternadas</w:t>
            </w:r>
          </w:p>
        </w:tc>
        <w:tc>
          <w:tcPr>
            <w:tcW w:w="3096" w:type="dxa"/>
          </w:tcPr>
          <w:p w14:paraId="7D7E92CC" w14:textId="77777777" w:rsidR="004462A0" w:rsidRPr="0089156B" w:rsidRDefault="00615769">
            <w:pPr>
              <w:keepNext/>
              <w:numPr>
                <w:ilvl w:val="12"/>
                <w:numId w:val="0"/>
              </w:numPr>
              <w:suppressAutoHyphens/>
              <w:ind w:right="-2"/>
              <w:rPr>
                <w:sz w:val="22"/>
              </w:rPr>
            </w:pPr>
            <w:r>
              <w:rPr>
                <w:sz w:val="22"/>
              </w:rPr>
              <w:t>Não aplicável</w:t>
            </w:r>
          </w:p>
        </w:tc>
      </w:tr>
      <w:tr w:rsidR="00A7162A" w14:paraId="792F86A3" w14:textId="77777777" w:rsidTr="00F675CF">
        <w:tc>
          <w:tcPr>
            <w:tcW w:w="3095" w:type="dxa"/>
          </w:tcPr>
          <w:p w14:paraId="5BE2C24A" w14:textId="77777777" w:rsidR="003446F1" w:rsidRPr="00454F99" w:rsidRDefault="00615769">
            <w:pPr>
              <w:keepNext/>
              <w:numPr>
                <w:ilvl w:val="12"/>
                <w:numId w:val="0"/>
              </w:numPr>
              <w:suppressAutoHyphens/>
              <w:ind w:right="-2"/>
              <w:rPr>
                <w:sz w:val="22"/>
              </w:rPr>
            </w:pPr>
            <w:r w:rsidRPr="00454F99">
              <w:rPr>
                <w:sz w:val="22"/>
              </w:rPr>
              <w:t>Crianças</w:t>
            </w:r>
            <w:r>
              <w:rPr>
                <w:sz w:val="22"/>
              </w:rPr>
              <w:t xml:space="preserve"> e</w:t>
            </w:r>
            <w:r w:rsidRPr="00454F99">
              <w:rPr>
                <w:sz w:val="22"/>
              </w:rPr>
              <w:t xml:space="preserve"> adolescentes a partir dos 6 anos de idade</w:t>
            </w:r>
            <w:r>
              <w:rPr>
                <w:sz w:val="22"/>
              </w:rPr>
              <w:t xml:space="preserve"> com peso igual a 15 kg ou inferior a 30 kg</w:t>
            </w:r>
          </w:p>
        </w:tc>
        <w:tc>
          <w:tcPr>
            <w:tcW w:w="3096" w:type="dxa"/>
          </w:tcPr>
          <w:p w14:paraId="25448519" w14:textId="77777777" w:rsidR="003446F1" w:rsidRDefault="00615769" w:rsidP="00AC59BD">
            <w:pPr>
              <w:keepNext/>
              <w:numPr>
                <w:ilvl w:val="12"/>
                <w:numId w:val="0"/>
              </w:numPr>
              <w:suppressAutoHyphens/>
              <w:ind w:right="-2"/>
              <w:rPr>
                <w:sz w:val="22"/>
              </w:rPr>
            </w:pPr>
            <w:r>
              <w:rPr>
                <w:sz w:val="22"/>
              </w:rPr>
              <w:t>20 mg em semanas alternadas</w:t>
            </w:r>
          </w:p>
        </w:tc>
        <w:tc>
          <w:tcPr>
            <w:tcW w:w="3096" w:type="dxa"/>
          </w:tcPr>
          <w:p w14:paraId="50B2DF5B" w14:textId="77777777" w:rsidR="003446F1" w:rsidRDefault="00615769" w:rsidP="00AC59BD">
            <w:pPr>
              <w:keepNext/>
              <w:numPr>
                <w:ilvl w:val="12"/>
                <w:numId w:val="0"/>
              </w:numPr>
              <w:suppressAutoHyphens/>
              <w:ind w:right="-2"/>
              <w:rPr>
                <w:sz w:val="22"/>
              </w:rPr>
            </w:pPr>
            <w:r>
              <w:rPr>
                <w:sz w:val="22"/>
              </w:rPr>
              <w:t>Não aplicável</w:t>
            </w:r>
          </w:p>
        </w:tc>
      </w:tr>
    </w:tbl>
    <w:p w14:paraId="2F4D2097" w14:textId="77777777" w:rsidR="004462A0" w:rsidRPr="008B0DDF" w:rsidRDefault="004462A0" w:rsidP="004462A0">
      <w:pPr>
        <w:numPr>
          <w:ilvl w:val="12"/>
          <w:numId w:val="0"/>
        </w:numPr>
        <w:suppressAutoHyphens/>
        <w:ind w:right="-2"/>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3018"/>
        <w:gridCol w:w="3021"/>
      </w:tblGrid>
      <w:tr w:rsidR="00A7162A" w14:paraId="2B6C9D58" w14:textId="77777777" w:rsidTr="00F675CF">
        <w:tc>
          <w:tcPr>
            <w:tcW w:w="9287" w:type="dxa"/>
            <w:gridSpan w:val="3"/>
          </w:tcPr>
          <w:p w14:paraId="3CE8009F" w14:textId="77777777" w:rsidR="004462A0" w:rsidRPr="008B0DDF" w:rsidRDefault="00615769" w:rsidP="00137CFB">
            <w:pPr>
              <w:keepNext/>
              <w:numPr>
                <w:ilvl w:val="12"/>
                <w:numId w:val="0"/>
              </w:numPr>
              <w:suppressAutoHyphens/>
              <w:ind w:right="-2"/>
              <w:rPr>
                <w:sz w:val="22"/>
              </w:rPr>
            </w:pPr>
            <w:r w:rsidRPr="008B0DDF">
              <w:rPr>
                <w:b/>
                <w:sz w:val="22"/>
              </w:rPr>
              <w:t>Psoríase em placas</w:t>
            </w:r>
          </w:p>
        </w:tc>
      </w:tr>
      <w:tr w:rsidR="00A7162A" w14:paraId="1FD07BD2" w14:textId="77777777" w:rsidTr="00F675CF">
        <w:tc>
          <w:tcPr>
            <w:tcW w:w="3095" w:type="dxa"/>
          </w:tcPr>
          <w:p w14:paraId="00DCFAAF" w14:textId="77777777" w:rsidR="004462A0" w:rsidRPr="008B0DDF" w:rsidRDefault="00615769" w:rsidP="00137CFB">
            <w:pPr>
              <w:keepNext/>
              <w:numPr>
                <w:ilvl w:val="12"/>
                <w:numId w:val="0"/>
              </w:numPr>
              <w:suppressAutoHyphens/>
              <w:ind w:right="-2"/>
              <w:rPr>
                <w:sz w:val="22"/>
              </w:rPr>
            </w:pPr>
            <w:r w:rsidRPr="008B0DDF">
              <w:rPr>
                <w:b/>
                <w:sz w:val="22"/>
              </w:rPr>
              <w:t>Idade ou peso corporal</w:t>
            </w:r>
          </w:p>
        </w:tc>
        <w:tc>
          <w:tcPr>
            <w:tcW w:w="3096" w:type="dxa"/>
          </w:tcPr>
          <w:p w14:paraId="3889CA84" w14:textId="77777777" w:rsidR="004462A0" w:rsidRPr="004F0FBC" w:rsidRDefault="00615769" w:rsidP="00137CFB">
            <w:pPr>
              <w:keepNext/>
              <w:numPr>
                <w:ilvl w:val="12"/>
                <w:numId w:val="0"/>
              </w:numPr>
              <w:suppressAutoHyphens/>
              <w:ind w:right="-2"/>
              <w:rPr>
                <w:sz w:val="22"/>
              </w:rPr>
            </w:pPr>
            <w:r w:rsidRPr="00454F99">
              <w:rPr>
                <w:b/>
                <w:sz w:val="22"/>
              </w:rPr>
              <w:t>Qual a dose e com que frequência se deve tomar?</w:t>
            </w:r>
          </w:p>
        </w:tc>
        <w:tc>
          <w:tcPr>
            <w:tcW w:w="3096" w:type="dxa"/>
          </w:tcPr>
          <w:p w14:paraId="192AF39D" w14:textId="77777777" w:rsidR="004462A0" w:rsidRPr="008B0DDF" w:rsidRDefault="00615769" w:rsidP="00137CFB">
            <w:pPr>
              <w:keepNext/>
              <w:numPr>
                <w:ilvl w:val="12"/>
                <w:numId w:val="0"/>
              </w:numPr>
              <w:suppressAutoHyphens/>
              <w:ind w:right="-2"/>
              <w:rPr>
                <w:sz w:val="22"/>
              </w:rPr>
            </w:pPr>
            <w:r w:rsidRPr="008B0DDF">
              <w:rPr>
                <w:b/>
                <w:sz w:val="22"/>
              </w:rPr>
              <w:t>Notas</w:t>
            </w:r>
          </w:p>
        </w:tc>
      </w:tr>
      <w:tr w:rsidR="00A7162A" w14:paraId="3C2E3265" w14:textId="77777777" w:rsidTr="00F675CF">
        <w:tc>
          <w:tcPr>
            <w:tcW w:w="3095" w:type="dxa"/>
          </w:tcPr>
          <w:p w14:paraId="1C2ADA18" w14:textId="77777777" w:rsidR="004462A0" w:rsidRPr="008B0DDF" w:rsidRDefault="00615769" w:rsidP="00137CFB">
            <w:pPr>
              <w:keepNext/>
              <w:numPr>
                <w:ilvl w:val="12"/>
                <w:numId w:val="0"/>
              </w:numPr>
              <w:suppressAutoHyphens/>
              <w:ind w:right="-2"/>
              <w:rPr>
                <w:sz w:val="22"/>
              </w:rPr>
            </w:pPr>
            <w:r w:rsidRPr="008B0DDF">
              <w:rPr>
                <w:sz w:val="22"/>
              </w:rPr>
              <w:t>Adultos</w:t>
            </w:r>
          </w:p>
          <w:p w14:paraId="32FD840A" w14:textId="77777777" w:rsidR="004462A0" w:rsidRPr="008B0DDF" w:rsidRDefault="004462A0" w:rsidP="00137CFB">
            <w:pPr>
              <w:keepNext/>
              <w:numPr>
                <w:ilvl w:val="12"/>
                <w:numId w:val="0"/>
              </w:numPr>
              <w:suppressAutoHyphens/>
              <w:ind w:right="-2"/>
              <w:rPr>
                <w:sz w:val="22"/>
              </w:rPr>
            </w:pPr>
          </w:p>
        </w:tc>
        <w:tc>
          <w:tcPr>
            <w:tcW w:w="3096" w:type="dxa"/>
          </w:tcPr>
          <w:p w14:paraId="42BF4BC0" w14:textId="77777777" w:rsidR="004462A0" w:rsidRPr="002D4DE5" w:rsidRDefault="00615769" w:rsidP="00137CFB">
            <w:pPr>
              <w:keepNext/>
              <w:numPr>
                <w:ilvl w:val="12"/>
                <w:numId w:val="0"/>
              </w:numPr>
              <w:suppressAutoHyphens/>
              <w:ind w:right="-2"/>
              <w:rPr>
                <w:sz w:val="22"/>
              </w:rPr>
            </w:pPr>
            <w:r w:rsidRPr="00454F99">
              <w:rPr>
                <w:sz w:val="22"/>
              </w:rPr>
              <w:t>Uma dose inicial de 80 </w:t>
            </w:r>
            <w:r w:rsidRPr="004F0FBC">
              <w:rPr>
                <w:sz w:val="22"/>
              </w:rPr>
              <w:t>mg (</w:t>
            </w:r>
            <w:r w:rsidRPr="006462E3">
              <w:rPr>
                <w:sz w:val="22"/>
              </w:rPr>
              <w:t>2 injeções de 40 </w:t>
            </w:r>
            <w:r w:rsidRPr="009A05BE">
              <w:rPr>
                <w:sz w:val="22"/>
              </w:rPr>
              <w:t>mg num dia</w:t>
            </w:r>
            <w:r w:rsidRPr="00854C93">
              <w:rPr>
                <w:sz w:val="22"/>
              </w:rPr>
              <w:t xml:space="preserve">), </w:t>
            </w:r>
            <w:r w:rsidRPr="0089156B">
              <w:rPr>
                <w:sz w:val="22"/>
              </w:rPr>
              <w:t>seguida de 4</w:t>
            </w:r>
            <w:r w:rsidRPr="000B3FE3">
              <w:rPr>
                <w:sz w:val="22"/>
              </w:rPr>
              <w:t>0 </w:t>
            </w:r>
            <w:r w:rsidRPr="004931CE">
              <w:rPr>
                <w:sz w:val="22"/>
              </w:rPr>
              <w:t xml:space="preserve">mg </w:t>
            </w:r>
            <w:r w:rsidRPr="00653128">
              <w:rPr>
                <w:sz w:val="22"/>
              </w:rPr>
              <w:t>em semanas alternadas, uma semana ap</w:t>
            </w:r>
            <w:r w:rsidRPr="00D33370">
              <w:rPr>
                <w:sz w:val="22"/>
              </w:rPr>
              <w:t>ós a dose inicial</w:t>
            </w:r>
            <w:r w:rsidRPr="002D4DE5">
              <w:rPr>
                <w:sz w:val="22"/>
              </w:rPr>
              <w:t>.</w:t>
            </w:r>
          </w:p>
        </w:tc>
        <w:tc>
          <w:tcPr>
            <w:tcW w:w="3096" w:type="dxa"/>
          </w:tcPr>
          <w:p w14:paraId="3FC9CF9B" w14:textId="77777777" w:rsidR="004462A0" w:rsidRPr="008B0DDF" w:rsidRDefault="00615769" w:rsidP="00137CFB">
            <w:pPr>
              <w:keepNext/>
              <w:tabs>
                <w:tab w:val="left" w:pos="562"/>
              </w:tabs>
              <w:suppressAutoHyphens/>
              <w:spacing w:before="100" w:beforeAutospacing="1" w:after="100" w:afterAutospacing="1"/>
              <w:rPr>
                <w:sz w:val="22"/>
              </w:rPr>
            </w:pPr>
            <w:r w:rsidRPr="00003560">
              <w:rPr>
                <w:sz w:val="22"/>
              </w:rPr>
              <w:t>Se tiver uma resposta i</w:t>
            </w:r>
            <w:r w:rsidRPr="005F6F98">
              <w:rPr>
                <w:sz w:val="22"/>
              </w:rPr>
              <w:t xml:space="preserve">nadequada, o seu médico pode aumentar a dose para </w:t>
            </w:r>
            <w:r w:rsidRPr="002B2441">
              <w:rPr>
                <w:sz w:val="22"/>
              </w:rPr>
              <w:t>40 </w:t>
            </w:r>
            <w:r w:rsidRPr="00B830EC">
              <w:rPr>
                <w:sz w:val="22"/>
              </w:rPr>
              <w:t xml:space="preserve">mg </w:t>
            </w:r>
            <w:r w:rsidRPr="008B0DDF">
              <w:rPr>
                <w:sz w:val="22"/>
              </w:rPr>
              <w:t>por semana</w:t>
            </w:r>
            <w:r w:rsidR="004F2F3E">
              <w:rPr>
                <w:sz w:val="22"/>
              </w:rPr>
              <w:t xml:space="preserve"> ou 80 mg em semanas alternadas</w:t>
            </w:r>
            <w:r w:rsidRPr="008B0DDF">
              <w:rPr>
                <w:sz w:val="22"/>
              </w:rPr>
              <w:t>.</w:t>
            </w:r>
          </w:p>
        </w:tc>
      </w:tr>
      <w:tr w:rsidR="00A7162A" w14:paraId="3770F02C" w14:textId="77777777" w:rsidTr="00F675CF">
        <w:tc>
          <w:tcPr>
            <w:tcW w:w="3095" w:type="dxa"/>
          </w:tcPr>
          <w:p w14:paraId="5350124D" w14:textId="77777777" w:rsidR="004462A0" w:rsidRPr="008B0DDF" w:rsidRDefault="00615769" w:rsidP="00137CFB">
            <w:pPr>
              <w:keepNext/>
              <w:numPr>
                <w:ilvl w:val="12"/>
                <w:numId w:val="0"/>
              </w:numPr>
              <w:suppressAutoHyphens/>
              <w:ind w:right="-2"/>
              <w:rPr>
                <w:sz w:val="22"/>
              </w:rPr>
            </w:pPr>
            <w:r w:rsidRPr="008B0DDF">
              <w:rPr>
                <w:sz w:val="22"/>
              </w:rPr>
              <w:t xml:space="preserve">Crianças e adolescentes </w:t>
            </w:r>
            <w:r w:rsidR="003446F1">
              <w:rPr>
                <w:sz w:val="22"/>
              </w:rPr>
              <w:t>entre os</w:t>
            </w:r>
            <w:r w:rsidRPr="008B0DDF">
              <w:rPr>
                <w:sz w:val="22"/>
              </w:rPr>
              <w:t xml:space="preserve"> 4 </w:t>
            </w:r>
            <w:r w:rsidR="003446F1">
              <w:rPr>
                <w:sz w:val="22"/>
              </w:rPr>
              <w:t xml:space="preserve">e os 17 </w:t>
            </w:r>
            <w:r w:rsidRPr="008B0DDF">
              <w:rPr>
                <w:sz w:val="22"/>
              </w:rPr>
              <w:t>anos de idade</w:t>
            </w:r>
            <w:r w:rsidR="003446F1">
              <w:rPr>
                <w:sz w:val="22"/>
              </w:rPr>
              <w:t xml:space="preserve"> com peso igual ou superior a 30 kg</w:t>
            </w:r>
          </w:p>
        </w:tc>
        <w:tc>
          <w:tcPr>
            <w:tcW w:w="3096" w:type="dxa"/>
          </w:tcPr>
          <w:p w14:paraId="41DAE3FF" w14:textId="77777777" w:rsidR="003446F1" w:rsidRDefault="00615769" w:rsidP="00137CFB">
            <w:pPr>
              <w:keepNext/>
              <w:numPr>
                <w:ilvl w:val="12"/>
                <w:numId w:val="0"/>
              </w:numPr>
              <w:suppressAutoHyphens/>
              <w:ind w:right="-2"/>
              <w:rPr>
                <w:sz w:val="22"/>
              </w:rPr>
            </w:pPr>
            <w:r>
              <w:rPr>
                <w:sz w:val="22"/>
              </w:rPr>
              <w:t>Uma dose inicial de 40 mg, seguida de 40 mg uma semana após a dose inicial.</w:t>
            </w:r>
          </w:p>
          <w:p w14:paraId="0569872E" w14:textId="77777777" w:rsidR="003446F1" w:rsidRDefault="003446F1" w:rsidP="00137CFB">
            <w:pPr>
              <w:keepNext/>
              <w:numPr>
                <w:ilvl w:val="12"/>
                <w:numId w:val="0"/>
              </w:numPr>
              <w:suppressAutoHyphens/>
              <w:ind w:right="-2"/>
              <w:rPr>
                <w:sz w:val="22"/>
              </w:rPr>
            </w:pPr>
          </w:p>
          <w:p w14:paraId="3C73A583" w14:textId="77777777" w:rsidR="004462A0" w:rsidRPr="008B0DDF" w:rsidRDefault="00615769" w:rsidP="00137CFB">
            <w:pPr>
              <w:keepNext/>
              <w:numPr>
                <w:ilvl w:val="12"/>
                <w:numId w:val="0"/>
              </w:numPr>
              <w:suppressAutoHyphens/>
              <w:ind w:right="-2"/>
              <w:rPr>
                <w:sz w:val="22"/>
              </w:rPr>
            </w:pPr>
            <w:r>
              <w:rPr>
                <w:sz w:val="22"/>
              </w:rPr>
              <w:t>Depois disso, a dose habitual é de 40 mg em semanas alternadas.</w:t>
            </w:r>
          </w:p>
        </w:tc>
        <w:tc>
          <w:tcPr>
            <w:tcW w:w="3096" w:type="dxa"/>
          </w:tcPr>
          <w:p w14:paraId="3BA1561A" w14:textId="77777777" w:rsidR="004462A0" w:rsidRPr="008B0DDF" w:rsidRDefault="00615769" w:rsidP="00137CFB">
            <w:pPr>
              <w:keepNext/>
              <w:numPr>
                <w:ilvl w:val="12"/>
                <w:numId w:val="0"/>
              </w:numPr>
              <w:suppressAutoHyphens/>
              <w:ind w:right="-2"/>
              <w:rPr>
                <w:sz w:val="22"/>
              </w:rPr>
            </w:pPr>
            <w:r>
              <w:rPr>
                <w:sz w:val="22"/>
              </w:rPr>
              <w:t>Não aplicável</w:t>
            </w:r>
          </w:p>
        </w:tc>
      </w:tr>
      <w:tr w:rsidR="00A7162A" w14:paraId="41D5B5EE" w14:textId="77777777" w:rsidTr="00F675CF">
        <w:tc>
          <w:tcPr>
            <w:tcW w:w="3095" w:type="dxa"/>
          </w:tcPr>
          <w:p w14:paraId="02BAA1D4" w14:textId="77777777" w:rsidR="003446F1" w:rsidRPr="008B0DDF" w:rsidRDefault="00615769" w:rsidP="00137CFB">
            <w:pPr>
              <w:keepNext/>
              <w:numPr>
                <w:ilvl w:val="12"/>
                <w:numId w:val="0"/>
              </w:numPr>
              <w:suppressAutoHyphens/>
              <w:ind w:right="-2"/>
              <w:rPr>
                <w:sz w:val="22"/>
              </w:rPr>
            </w:pPr>
            <w:r w:rsidRPr="008B0DDF">
              <w:rPr>
                <w:sz w:val="22"/>
              </w:rPr>
              <w:t xml:space="preserve">Crianças e adolescentes </w:t>
            </w:r>
            <w:r>
              <w:rPr>
                <w:sz w:val="22"/>
              </w:rPr>
              <w:t>entre os</w:t>
            </w:r>
            <w:r w:rsidRPr="008B0DDF">
              <w:rPr>
                <w:sz w:val="22"/>
              </w:rPr>
              <w:t xml:space="preserve"> 4 </w:t>
            </w:r>
            <w:r>
              <w:rPr>
                <w:sz w:val="22"/>
              </w:rPr>
              <w:t xml:space="preserve">e os 17 </w:t>
            </w:r>
            <w:r w:rsidRPr="008B0DDF">
              <w:rPr>
                <w:sz w:val="22"/>
              </w:rPr>
              <w:t>anos de idade</w:t>
            </w:r>
            <w:r>
              <w:rPr>
                <w:sz w:val="22"/>
              </w:rPr>
              <w:t xml:space="preserve"> com peso igual a 15 kg ou inferior a 30 kg</w:t>
            </w:r>
          </w:p>
        </w:tc>
        <w:tc>
          <w:tcPr>
            <w:tcW w:w="3096" w:type="dxa"/>
          </w:tcPr>
          <w:p w14:paraId="4CDEED53" w14:textId="77777777" w:rsidR="003446F1" w:rsidRDefault="00615769" w:rsidP="00137CFB">
            <w:pPr>
              <w:keepNext/>
              <w:numPr>
                <w:ilvl w:val="12"/>
                <w:numId w:val="0"/>
              </w:numPr>
              <w:suppressAutoHyphens/>
              <w:ind w:right="-2"/>
              <w:rPr>
                <w:sz w:val="22"/>
              </w:rPr>
            </w:pPr>
            <w:r>
              <w:rPr>
                <w:sz w:val="22"/>
              </w:rPr>
              <w:t>Uma dose inicial de 20 mg, seguida de 20 mg uma semana após a dose inicial.</w:t>
            </w:r>
          </w:p>
          <w:p w14:paraId="1F43628C" w14:textId="77777777" w:rsidR="003446F1" w:rsidRDefault="003446F1" w:rsidP="00137CFB">
            <w:pPr>
              <w:keepNext/>
              <w:numPr>
                <w:ilvl w:val="12"/>
                <w:numId w:val="0"/>
              </w:numPr>
              <w:suppressAutoHyphens/>
              <w:ind w:right="-2"/>
              <w:rPr>
                <w:sz w:val="22"/>
              </w:rPr>
            </w:pPr>
          </w:p>
          <w:p w14:paraId="772853B9" w14:textId="77777777" w:rsidR="003446F1" w:rsidRDefault="00615769" w:rsidP="00137CFB">
            <w:pPr>
              <w:keepNext/>
              <w:numPr>
                <w:ilvl w:val="12"/>
                <w:numId w:val="0"/>
              </w:numPr>
              <w:suppressAutoHyphens/>
              <w:ind w:right="-2"/>
              <w:rPr>
                <w:sz w:val="22"/>
              </w:rPr>
            </w:pPr>
            <w:r>
              <w:rPr>
                <w:sz w:val="22"/>
              </w:rPr>
              <w:t>Depois disso, a dose habitual é de 20 mg em semanas alternadas.</w:t>
            </w:r>
          </w:p>
        </w:tc>
        <w:tc>
          <w:tcPr>
            <w:tcW w:w="3096" w:type="dxa"/>
          </w:tcPr>
          <w:p w14:paraId="6120C941" w14:textId="77777777" w:rsidR="003446F1" w:rsidRDefault="00615769" w:rsidP="00137CFB">
            <w:pPr>
              <w:keepNext/>
              <w:numPr>
                <w:ilvl w:val="12"/>
                <w:numId w:val="0"/>
              </w:numPr>
              <w:suppressAutoHyphens/>
              <w:ind w:right="-2"/>
              <w:rPr>
                <w:sz w:val="22"/>
              </w:rPr>
            </w:pPr>
            <w:r>
              <w:rPr>
                <w:sz w:val="22"/>
              </w:rPr>
              <w:t>Não aplicável</w:t>
            </w:r>
          </w:p>
        </w:tc>
      </w:tr>
    </w:tbl>
    <w:p w14:paraId="3EB133D8" w14:textId="77777777" w:rsidR="004462A0" w:rsidRPr="008B0DDF" w:rsidRDefault="004462A0" w:rsidP="004462A0">
      <w:pPr>
        <w:numPr>
          <w:ilvl w:val="12"/>
          <w:numId w:val="0"/>
        </w:numPr>
        <w:suppressAutoHyphens/>
        <w:ind w:right="-2"/>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23"/>
        <w:gridCol w:w="3021"/>
      </w:tblGrid>
      <w:tr w:rsidR="00A7162A" w14:paraId="468A6ECE" w14:textId="77777777" w:rsidTr="00F675CF">
        <w:tc>
          <w:tcPr>
            <w:tcW w:w="9287" w:type="dxa"/>
            <w:gridSpan w:val="3"/>
          </w:tcPr>
          <w:p w14:paraId="2F1EAAC7" w14:textId="77777777" w:rsidR="004462A0" w:rsidRPr="008B0DDF" w:rsidRDefault="00615769" w:rsidP="00F675CF">
            <w:pPr>
              <w:numPr>
                <w:ilvl w:val="12"/>
                <w:numId w:val="0"/>
              </w:numPr>
              <w:suppressAutoHyphens/>
              <w:ind w:right="-2"/>
              <w:rPr>
                <w:b/>
                <w:sz w:val="22"/>
              </w:rPr>
            </w:pPr>
            <w:r w:rsidRPr="008B0DDF">
              <w:rPr>
                <w:b/>
                <w:sz w:val="22"/>
              </w:rPr>
              <w:t>Hidradenite supurativa</w:t>
            </w:r>
          </w:p>
        </w:tc>
      </w:tr>
      <w:tr w:rsidR="00A7162A" w14:paraId="2A8F78C7" w14:textId="77777777" w:rsidTr="00F675CF">
        <w:tc>
          <w:tcPr>
            <w:tcW w:w="3095" w:type="dxa"/>
          </w:tcPr>
          <w:p w14:paraId="47C9BEDC" w14:textId="77777777" w:rsidR="004462A0" w:rsidRPr="008B0DDF" w:rsidRDefault="00615769" w:rsidP="00F675CF">
            <w:pPr>
              <w:numPr>
                <w:ilvl w:val="12"/>
                <w:numId w:val="0"/>
              </w:numPr>
              <w:suppressAutoHyphens/>
              <w:ind w:right="-2"/>
              <w:rPr>
                <w:sz w:val="22"/>
              </w:rPr>
            </w:pPr>
            <w:r w:rsidRPr="008B0DDF">
              <w:rPr>
                <w:b/>
                <w:sz w:val="22"/>
              </w:rPr>
              <w:t>Idade ou peso corporal</w:t>
            </w:r>
          </w:p>
        </w:tc>
        <w:tc>
          <w:tcPr>
            <w:tcW w:w="3096" w:type="dxa"/>
          </w:tcPr>
          <w:p w14:paraId="21ABD896" w14:textId="77777777" w:rsidR="004462A0" w:rsidRPr="004F0FBC" w:rsidRDefault="00615769" w:rsidP="00F675CF">
            <w:pPr>
              <w:numPr>
                <w:ilvl w:val="12"/>
                <w:numId w:val="0"/>
              </w:numPr>
              <w:suppressAutoHyphens/>
              <w:ind w:right="-2"/>
              <w:rPr>
                <w:sz w:val="22"/>
              </w:rPr>
            </w:pPr>
            <w:r w:rsidRPr="00454F99">
              <w:rPr>
                <w:b/>
                <w:sz w:val="22"/>
              </w:rPr>
              <w:t>Qual a dose e com que frequência se deve tomar?</w:t>
            </w:r>
          </w:p>
        </w:tc>
        <w:tc>
          <w:tcPr>
            <w:tcW w:w="3096" w:type="dxa"/>
          </w:tcPr>
          <w:p w14:paraId="58A0C417" w14:textId="77777777" w:rsidR="004462A0" w:rsidRPr="008B0DDF" w:rsidRDefault="00615769" w:rsidP="00F675CF">
            <w:pPr>
              <w:numPr>
                <w:ilvl w:val="12"/>
                <w:numId w:val="0"/>
              </w:numPr>
              <w:suppressAutoHyphens/>
              <w:ind w:right="-2"/>
              <w:rPr>
                <w:sz w:val="22"/>
              </w:rPr>
            </w:pPr>
            <w:r w:rsidRPr="008B0DDF">
              <w:rPr>
                <w:b/>
                <w:sz w:val="22"/>
              </w:rPr>
              <w:t>Notas</w:t>
            </w:r>
          </w:p>
        </w:tc>
      </w:tr>
      <w:tr w:rsidR="00A7162A" w14:paraId="7ACA7B8E" w14:textId="77777777" w:rsidTr="00F675CF">
        <w:tc>
          <w:tcPr>
            <w:tcW w:w="3095" w:type="dxa"/>
          </w:tcPr>
          <w:p w14:paraId="5D193CA3" w14:textId="77777777" w:rsidR="004462A0" w:rsidRPr="008B0DDF" w:rsidRDefault="00615769" w:rsidP="00F675CF">
            <w:pPr>
              <w:numPr>
                <w:ilvl w:val="12"/>
                <w:numId w:val="0"/>
              </w:numPr>
              <w:suppressAutoHyphens/>
              <w:ind w:right="-2"/>
              <w:rPr>
                <w:sz w:val="22"/>
              </w:rPr>
            </w:pPr>
            <w:r w:rsidRPr="008B0DDF">
              <w:rPr>
                <w:sz w:val="22"/>
              </w:rPr>
              <w:t>Adultos</w:t>
            </w:r>
          </w:p>
        </w:tc>
        <w:tc>
          <w:tcPr>
            <w:tcW w:w="3096" w:type="dxa"/>
          </w:tcPr>
          <w:p w14:paraId="2C382AF5" w14:textId="77777777" w:rsidR="004462A0" w:rsidRPr="008B0DDF" w:rsidRDefault="00615769" w:rsidP="00F675CF">
            <w:pPr>
              <w:numPr>
                <w:ilvl w:val="12"/>
                <w:numId w:val="0"/>
              </w:numPr>
              <w:suppressAutoHyphens/>
              <w:ind w:right="-2"/>
              <w:rPr>
                <w:sz w:val="22"/>
              </w:rPr>
            </w:pPr>
            <w:r w:rsidRPr="00454F99">
              <w:rPr>
                <w:sz w:val="22"/>
                <w:szCs w:val="22"/>
              </w:rPr>
              <w:t xml:space="preserve">Uma dose inicial de 160 mg (quatro injeções </w:t>
            </w:r>
            <w:r w:rsidRPr="004F0FBC">
              <w:rPr>
                <w:sz w:val="22"/>
                <w:szCs w:val="22"/>
              </w:rPr>
              <w:t>de 40</w:t>
            </w:r>
            <w:r w:rsidRPr="006462E3">
              <w:rPr>
                <w:sz w:val="22"/>
                <w:szCs w:val="22"/>
              </w:rPr>
              <w:t> mg num dia</w:t>
            </w:r>
            <w:r w:rsidRPr="009A05BE">
              <w:rPr>
                <w:sz w:val="22"/>
                <w:szCs w:val="22"/>
              </w:rPr>
              <w:t xml:space="preserve"> ou 2 injeções de 40</w:t>
            </w:r>
            <w:r w:rsidRPr="00854C93">
              <w:rPr>
                <w:sz w:val="22"/>
                <w:szCs w:val="22"/>
              </w:rPr>
              <w:t> mg por d</w:t>
            </w:r>
            <w:r w:rsidRPr="0089156B">
              <w:rPr>
                <w:sz w:val="22"/>
                <w:szCs w:val="22"/>
              </w:rPr>
              <w:t>ia e</w:t>
            </w:r>
            <w:r w:rsidRPr="000B3FE3">
              <w:rPr>
                <w:sz w:val="22"/>
                <w:szCs w:val="22"/>
              </w:rPr>
              <w:t xml:space="preserve">m dois dias consecutivos), </w:t>
            </w:r>
            <w:r w:rsidRPr="004931CE">
              <w:rPr>
                <w:sz w:val="22"/>
                <w:szCs w:val="22"/>
              </w:rPr>
              <w:t xml:space="preserve">seguida de uma dose de </w:t>
            </w:r>
            <w:r w:rsidRPr="00653128">
              <w:rPr>
                <w:sz w:val="22"/>
                <w:szCs w:val="22"/>
              </w:rPr>
              <w:t xml:space="preserve">80 mg (duas injeções </w:t>
            </w:r>
            <w:r w:rsidRPr="00D33370">
              <w:rPr>
                <w:sz w:val="22"/>
                <w:szCs w:val="22"/>
              </w:rPr>
              <w:t xml:space="preserve">de </w:t>
            </w:r>
            <w:r w:rsidRPr="002D4DE5">
              <w:rPr>
                <w:sz w:val="22"/>
                <w:szCs w:val="22"/>
              </w:rPr>
              <w:t>40</w:t>
            </w:r>
            <w:r w:rsidRPr="00003560">
              <w:rPr>
                <w:sz w:val="22"/>
                <w:szCs w:val="22"/>
              </w:rPr>
              <w:t> </w:t>
            </w:r>
            <w:r w:rsidRPr="005F6F98">
              <w:rPr>
                <w:sz w:val="22"/>
                <w:szCs w:val="22"/>
              </w:rPr>
              <w:t xml:space="preserve">mg num </w:t>
            </w:r>
            <w:r w:rsidRPr="002B2441">
              <w:rPr>
                <w:sz w:val="22"/>
                <w:szCs w:val="22"/>
              </w:rPr>
              <w:t>dia) duas semanas ap</w:t>
            </w:r>
            <w:r w:rsidRPr="00B830EC">
              <w:rPr>
                <w:sz w:val="22"/>
                <w:szCs w:val="22"/>
              </w:rPr>
              <w:t>ós a dose inicial.</w:t>
            </w:r>
            <w:r w:rsidRPr="008B0DDF">
              <w:rPr>
                <w:sz w:val="22"/>
                <w:szCs w:val="22"/>
              </w:rPr>
              <w:t xml:space="preserve"> Após mais duas semanas, continuar com uma dose de 40 mg por semana</w:t>
            </w:r>
            <w:r w:rsidR="004F2F3E">
              <w:rPr>
                <w:sz w:val="22"/>
                <w:szCs w:val="22"/>
              </w:rPr>
              <w:t xml:space="preserve"> ou 80 mg em semanas alternadas, conforme prescrito pelo seu médico</w:t>
            </w:r>
            <w:r w:rsidRPr="008B0DDF">
              <w:rPr>
                <w:sz w:val="22"/>
                <w:szCs w:val="22"/>
              </w:rPr>
              <w:t xml:space="preserve">.  </w:t>
            </w:r>
          </w:p>
        </w:tc>
        <w:tc>
          <w:tcPr>
            <w:tcW w:w="3096" w:type="dxa"/>
          </w:tcPr>
          <w:p w14:paraId="01D4C882" w14:textId="77777777" w:rsidR="004462A0" w:rsidRPr="008B0DDF" w:rsidRDefault="00615769" w:rsidP="00F675CF">
            <w:pPr>
              <w:spacing w:before="100" w:beforeAutospacing="1" w:after="100" w:afterAutospacing="1"/>
              <w:rPr>
                <w:sz w:val="22"/>
                <w:szCs w:val="22"/>
              </w:rPr>
            </w:pPr>
            <w:r w:rsidRPr="008B0DDF">
              <w:rPr>
                <w:sz w:val="22"/>
                <w:szCs w:val="22"/>
              </w:rPr>
              <w:t>É recomendável que use um anti-séptico de lavagem diária nas áreas afetadas.</w:t>
            </w:r>
          </w:p>
          <w:p w14:paraId="5B1CCBFC" w14:textId="77777777" w:rsidR="004462A0" w:rsidRPr="008B0DDF" w:rsidRDefault="004462A0" w:rsidP="00F675CF">
            <w:pPr>
              <w:numPr>
                <w:ilvl w:val="12"/>
                <w:numId w:val="0"/>
              </w:numPr>
              <w:suppressAutoHyphens/>
              <w:ind w:right="-2"/>
              <w:rPr>
                <w:sz w:val="22"/>
              </w:rPr>
            </w:pPr>
          </w:p>
        </w:tc>
      </w:tr>
      <w:tr w:rsidR="00A7162A" w14:paraId="31318039" w14:textId="77777777" w:rsidTr="00F675CF">
        <w:tc>
          <w:tcPr>
            <w:tcW w:w="3095" w:type="dxa"/>
          </w:tcPr>
          <w:p w14:paraId="44F2F4D7" w14:textId="77777777" w:rsidR="004462A0" w:rsidRPr="008B0DDF" w:rsidRDefault="00615769">
            <w:pPr>
              <w:numPr>
                <w:ilvl w:val="12"/>
                <w:numId w:val="0"/>
              </w:numPr>
              <w:suppressAutoHyphens/>
              <w:ind w:right="-2"/>
              <w:rPr>
                <w:sz w:val="22"/>
              </w:rPr>
            </w:pPr>
            <w:r>
              <w:rPr>
                <w:sz w:val="22"/>
              </w:rPr>
              <w:t xml:space="preserve">Adolescentes </w:t>
            </w:r>
            <w:r w:rsidR="003446F1">
              <w:rPr>
                <w:sz w:val="22"/>
              </w:rPr>
              <w:t>entre os</w:t>
            </w:r>
            <w:r>
              <w:rPr>
                <w:sz w:val="22"/>
              </w:rPr>
              <w:t xml:space="preserve"> 12 </w:t>
            </w:r>
            <w:r w:rsidR="003446F1">
              <w:rPr>
                <w:sz w:val="22"/>
              </w:rPr>
              <w:t xml:space="preserve">e os 17 </w:t>
            </w:r>
            <w:r>
              <w:rPr>
                <w:sz w:val="22"/>
              </w:rPr>
              <w:t xml:space="preserve">anos de idade, com </w:t>
            </w:r>
            <w:r w:rsidR="003446F1">
              <w:rPr>
                <w:sz w:val="22"/>
              </w:rPr>
              <w:t>peso igual ou superior a</w:t>
            </w:r>
            <w:r>
              <w:rPr>
                <w:sz w:val="22"/>
              </w:rPr>
              <w:t xml:space="preserve"> 30 kg </w:t>
            </w:r>
          </w:p>
        </w:tc>
        <w:tc>
          <w:tcPr>
            <w:tcW w:w="3096" w:type="dxa"/>
          </w:tcPr>
          <w:p w14:paraId="37A7B87E" w14:textId="77777777" w:rsidR="004462A0" w:rsidRPr="00454F99" w:rsidRDefault="00615769" w:rsidP="00F675CF">
            <w:pPr>
              <w:numPr>
                <w:ilvl w:val="12"/>
                <w:numId w:val="0"/>
              </w:numPr>
              <w:suppressAutoHyphens/>
              <w:ind w:right="-2"/>
              <w:rPr>
                <w:sz w:val="22"/>
                <w:szCs w:val="22"/>
              </w:rPr>
            </w:pPr>
            <w:r w:rsidRPr="00454F99">
              <w:rPr>
                <w:sz w:val="22"/>
              </w:rPr>
              <w:t>Uma dose inicial de 80 </w:t>
            </w:r>
            <w:r w:rsidRPr="004F0FBC">
              <w:rPr>
                <w:sz w:val="22"/>
              </w:rPr>
              <w:t>mg (</w:t>
            </w:r>
            <w:r w:rsidRPr="006462E3">
              <w:rPr>
                <w:sz w:val="22"/>
              </w:rPr>
              <w:t>2 injeções de 40 </w:t>
            </w:r>
            <w:r w:rsidRPr="009A05BE">
              <w:rPr>
                <w:sz w:val="22"/>
              </w:rPr>
              <w:t>mg num dia</w:t>
            </w:r>
            <w:r w:rsidRPr="00854C93">
              <w:rPr>
                <w:sz w:val="22"/>
              </w:rPr>
              <w:t xml:space="preserve">), </w:t>
            </w:r>
            <w:r w:rsidRPr="0089156B">
              <w:rPr>
                <w:sz w:val="22"/>
              </w:rPr>
              <w:t>seguida de 4</w:t>
            </w:r>
            <w:r w:rsidRPr="000B3FE3">
              <w:rPr>
                <w:sz w:val="22"/>
              </w:rPr>
              <w:t>0 </w:t>
            </w:r>
            <w:r w:rsidRPr="004931CE">
              <w:rPr>
                <w:sz w:val="22"/>
              </w:rPr>
              <w:t xml:space="preserve">mg </w:t>
            </w:r>
            <w:r w:rsidRPr="00653128">
              <w:rPr>
                <w:sz w:val="22"/>
              </w:rPr>
              <w:t>em semanas alternadas, uma semana ap</w:t>
            </w:r>
            <w:r w:rsidRPr="00D33370">
              <w:rPr>
                <w:sz w:val="22"/>
              </w:rPr>
              <w:t>ós a dose inicial</w:t>
            </w:r>
            <w:r w:rsidRPr="002D4DE5">
              <w:rPr>
                <w:sz w:val="22"/>
              </w:rPr>
              <w:t>.</w:t>
            </w:r>
          </w:p>
        </w:tc>
        <w:tc>
          <w:tcPr>
            <w:tcW w:w="3096" w:type="dxa"/>
          </w:tcPr>
          <w:p w14:paraId="385D9231" w14:textId="77777777" w:rsidR="004462A0" w:rsidRDefault="00615769" w:rsidP="00F675CF">
            <w:pPr>
              <w:rPr>
                <w:sz w:val="22"/>
              </w:rPr>
            </w:pPr>
            <w:r w:rsidRPr="00003560">
              <w:rPr>
                <w:sz w:val="22"/>
              </w:rPr>
              <w:t>Se tiver uma resposta i</w:t>
            </w:r>
            <w:r w:rsidRPr="005F6F98">
              <w:rPr>
                <w:sz w:val="22"/>
              </w:rPr>
              <w:t>nadequada</w:t>
            </w:r>
            <w:r w:rsidR="006B783E">
              <w:rPr>
                <w:sz w:val="22"/>
              </w:rPr>
              <w:t xml:space="preserve"> com Humira 40 mg em semanas alternadas</w:t>
            </w:r>
            <w:r w:rsidRPr="005F6F98">
              <w:rPr>
                <w:sz w:val="22"/>
              </w:rPr>
              <w:t xml:space="preserve">, o seu médico pode aumentar a dose para </w:t>
            </w:r>
            <w:r w:rsidRPr="002B2441">
              <w:rPr>
                <w:sz w:val="22"/>
              </w:rPr>
              <w:t>40 </w:t>
            </w:r>
            <w:r w:rsidRPr="00B830EC">
              <w:rPr>
                <w:sz w:val="22"/>
              </w:rPr>
              <w:t xml:space="preserve">mg </w:t>
            </w:r>
            <w:r w:rsidRPr="008B0DDF">
              <w:rPr>
                <w:sz w:val="22"/>
              </w:rPr>
              <w:t>por semana</w:t>
            </w:r>
            <w:r w:rsidR="004F2F3E">
              <w:rPr>
                <w:sz w:val="22"/>
              </w:rPr>
              <w:t xml:space="preserve"> ou 80 mg em semanas alternadas</w:t>
            </w:r>
            <w:r w:rsidRPr="008B0DDF">
              <w:rPr>
                <w:sz w:val="22"/>
              </w:rPr>
              <w:t>.</w:t>
            </w:r>
          </w:p>
          <w:p w14:paraId="78BE2229" w14:textId="77777777" w:rsidR="004462A0" w:rsidRPr="008B0DDF" w:rsidRDefault="00615769" w:rsidP="00F675CF">
            <w:pPr>
              <w:rPr>
                <w:sz w:val="22"/>
                <w:szCs w:val="22"/>
              </w:rPr>
            </w:pPr>
            <w:r w:rsidRPr="008B0DDF">
              <w:rPr>
                <w:sz w:val="22"/>
                <w:szCs w:val="22"/>
              </w:rPr>
              <w:t>É recomendável que use um anti-séptico de lavagem diária nas áreas afetadas.</w:t>
            </w:r>
          </w:p>
        </w:tc>
      </w:tr>
    </w:tbl>
    <w:p w14:paraId="5310D1F7" w14:textId="77777777" w:rsidR="004462A0" w:rsidRPr="008B0DDF" w:rsidRDefault="004462A0" w:rsidP="004462A0">
      <w:pPr>
        <w:keepNext/>
        <w:numPr>
          <w:ilvl w:val="12"/>
          <w:numId w:val="0"/>
        </w:numPr>
        <w:suppressAutoHyphens/>
        <w:ind w:right="-2"/>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7"/>
        <w:gridCol w:w="3014"/>
      </w:tblGrid>
      <w:tr w:rsidR="00A7162A" w14:paraId="7310C5E9" w14:textId="77777777" w:rsidTr="00F675CF">
        <w:tc>
          <w:tcPr>
            <w:tcW w:w="9287" w:type="dxa"/>
            <w:gridSpan w:val="3"/>
          </w:tcPr>
          <w:p w14:paraId="4753C09B" w14:textId="77777777" w:rsidR="004462A0" w:rsidRPr="008B0DDF" w:rsidRDefault="00615769" w:rsidP="00137CFB">
            <w:pPr>
              <w:keepNext/>
              <w:numPr>
                <w:ilvl w:val="12"/>
                <w:numId w:val="0"/>
              </w:numPr>
              <w:suppressAutoHyphens/>
              <w:ind w:right="-2"/>
              <w:rPr>
                <w:sz w:val="22"/>
              </w:rPr>
            </w:pPr>
            <w:r w:rsidRPr="008B0DDF">
              <w:rPr>
                <w:b/>
                <w:sz w:val="22"/>
              </w:rPr>
              <w:t>Doença de Crohn</w:t>
            </w:r>
          </w:p>
        </w:tc>
      </w:tr>
      <w:tr w:rsidR="00A7162A" w14:paraId="12CCF39D" w14:textId="77777777" w:rsidTr="00F675CF">
        <w:tc>
          <w:tcPr>
            <w:tcW w:w="3095" w:type="dxa"/>
          </w:tcPr>
          <w:p w14:paraId="6585600C" w14:textId="77777777" w:rsidR="004462A0" w:rsidRPr="008B0DDF" w:rsidRDefault="00615769" w:rsidP="00137CFB">
            <w:pPr>
              <w:keepNext/>
              <w:numPr>
                <w:ilvl w:val="12"/>
                <w:numId w:val="0"/>
              </w:numPr>
              <w:suppressAutoHyphens/>
              <w:ind w:right="-2"/>
              <w:rPr>
                <w:sz w:val="22"/>
              </w:rPr>
            </w:pPr>
            <w:r w:rsidRPr="008B0DDF">
              <w:rPr>
                <w:b/>
                <w:sz w:val="22"/>
              </w:rPr>
              <w:t>Idade ou peso corporal</w:t>
            </w:r>
          </w:p>
        </w:tc>
        <w:tc>
          <w:tcPr>
            <w:tcW w:w="3096" w:type="dxa"/>
          </w:tcPr>
          <w:p w14:paraId="48C2957C" w14:textId="77777777" w:rsidR="004462A0" w:rsidRPr="004F0FBC" w:rsidRDefault="00615769" w:rsidP="00137CFB">
            <w:pPr>
              <w:keepNext/>
              <w:numPr>
                <w:ilvl w:val="12"/>
                <w:numId w:val="0"/>
              </w:numPr>
              <w:suppressAutoHyphens/>
              <w:ind w:right="-2"/>
              <w:rPr>
                <w:sz w:val="22"/>
              </w:rPr>
            </w:pPr>
            <w:r w:rsidRPr="00454F99">
              <w:rPr>
                <w:b/>
                <w:sz w:val="22"/>
              </w:rPr>
              <w:t>Qual a dose e com que frequência se deve tomar?</w:t>
            </w:r>
          </w:p>
        </w:tc>
        <w:tc>
          <w:tcPr>
            <w:tcW w:w="3096" w:type="dxa"/>
          </w:tcPr>
          <w:p w14:paraId="6BED89D0" w14:textId="77777777" w:rsidR="004462A0" w:rsidRPr="008B0DDF" w:rsidRDefault="00615769" w:rsidP="00137CFB">
            <w:pPr>
              <w:keepNext/>
              <w:numPr>
                <w:ilvl w:val="12"/>
                <w:numId w:val="0"/>
              </w:numPr>
              <w:suppressAutoHyphens/>
              <w:ind w:right="-2"/>
              <w:rPr>
                <w:sz w:val="22"/>
              </w:rPr>
            </w:pPr>
            <w:r w:rsidRPr="008B0DDF">
              <w:rPr>
                <w:b/>
                <w:sz w:val="22"/>
              </w:rPr>
              <w:t>Notas</w:t>
            </w:r>
          </w:p>
        </w:tc>
      </w:tr>
      <w:tr w:rsidR="00A7162A" w14:paraId="051158EF" w14:textId="77777777" w:rsidTr="00F675CF">
        <w:tc>
          <w:tcPr>
            <w:tcW w:w="3095" w:type="dxa"/>
          </w:tcPr>
          <w:p w14:paraId="5BAA9C09" w14:textId="77777777" w:rsidR="004462A0" w:rsidRPr="008B0DDF" w:rsidRDefault="00615769" w:rsidP="00137CFB">
            <w:pPr>
              <w:keepNext/>
              <w:numPr>
                <w:ilvl w:val="12"/>
                <w:numId w:val="0"/>
              </w:numPr>
              <w:suppressAutoHyphens/>
              <w:ind w:right="-2"/>
              <w:rPr>
                <w:sz w:val="22"/>
              </w:rPr>
            </w:pPr>
            <w:r w:rsidRPr="008B0DDF">
              <w:rPr>
                <w:sz w:val="22"/>
              </w:rPr>
              <w:t>Crianças</w:t>
            </w:r>
            <w:r w:rsidR="003446F1">
              <w:rPr>
                <w:sz w:val="22"/>
              </w:rPr>
              <w:t>,</w:t>
            </w:r>
            <w:r w:rsidRPr="008B0DDF">
              <w:rPr>
                <w:sz w:val="22"/>
              </w:rPr>
              <w:t xml:space="preserve"> adolescentes </w:t>
            </w:r>
            <w:r w:rsidR="003446F1">
              <w:rPr>
                <w:sz w:val="22"/>
              </w:rPr>
              <w:t xml:space="preserve">e adultos </w:t>
            </w:r>
            <w:r w:rsidRPr="008B0DDF">
              <w:rPr>
                <w:sz w:val="22"/>
              </w:rPr>
              <w:t xml:space="preserve">a partir dos 6 anos de idade com peso igual ou superior a 40 kg </w:t>
            </w:r>
          </w:p>
        </w:tc>
        <w:tc>
          <w:tcPr>
            <w:tcW w:w="3096" w:type="dxa"/>
          </w:tcPr>
          <w:p w14:paraId="3B30E27B" w14:textId="77777777" w:rsidR="004462A0" w:rsidRDefault="00615769" w:rsidP="00137CFB">
            <w:pPr>
              <w:keepNext/>
              <w:tabs>
                <w:tab w:val="left" w:pos="562"/>
              </w:tabs>
              <w:suppressAutoHyphens/>
              <w:rPr>
                <w:sz w:val="22"/>
              </w:rPr>
            </w:pPr>
            <w:r w:rsidRPr="008B0DDF">
              <w:rPr>
                <w:sz w:val="22"/>
              </w:rPr>
              <w:t>Uma dose inicial de 80 mg (duas injeções de 40 mg num dia), seguida de 40 mg duas semanas após a dose inicial.</w:t>
            </w:r>
          </w:p>
          <w:p w14:paraId="5D6D6106" w14:textId="77777777" w:rsidR="004462A0" w:rsidRPr="008B0DDF" w:rsidRDefault="004462A0" w:rsidP="00137CFB">
            <w:pPr>
              <w:keepNext/>
              <w:tabs>
                <w:tab w:val="left" w:pos="562"/>
              </w:tabs>
              <w:suppressAutoHyphens/>
              <w:rPr>
                <w:sz w:val="22"/>
              </w:rPr>
            </w:pPr>
          </w:p>
          <w:p w14:paraId="483002F0" w14:textId="77777777" w:rsidR="004462A0" w:rsidRDefault="00615769" w:rsidP="00137CFB">
            <w:pPr>
              <w:keepNext/>
              <w:numPr>
                <w:ilvl w:val="12"/>
                <w:numId w:val="0"/>
              </w:numPr>
              <w:suppressAutoHyphens/>
              <w:rPr>
                <w:sz w:val="22"/>
              </w:rPr>
            </w:pPr>
            <w:r w:rsidRPr="008B0DDF">
              <w:rPr>
                <w:sz w:val="22"/>
              </w:rPr>
              <w:t xml:space="preserve">Se é necessária uma resposta mais rápida, o médico pode prescrever uma dose inicial de 160 mg (quatro injeções de 40 mg num dia ou duas injeções de 40 mg por dia em dois dias consecutivos), seguida de 80 mg (duas injeções de 40 mg num dia) duas semanas após a </w:t>
            </w:r>
            <w:r w:rsidRPr="00854C93">
              <w:rPr>
                <w:sz w:val="22"/>
              </w:rPr>
              <w:t xml:space="preserve">dose inicial. </w:t>
            </w:r>
          </w:p>
          <w:p w14:paraId="74ED9045" w14:textId="77777777" w:rsidR="004462A0" w:rsidRPr="008B0DDF" w:rsidRDefault="004462A0" w:rsidP="00137CFB">
            <w:pPr>
              <w:keepNext/>
              <w:numPr>
                <w:ilvl w:val="12"/>
                <w:numId w:val="0"/>
              </w:numPr>
              <w:suppressAutoHyphens/>
              <w:rPr>
                <w:sz w:val="22"/>
              </w:rPr>
            </w:pPr>
          </w:p>
          <w:p w14:paraId="58C49429" w14:textId="77777777" w:rsidR="004462A0" w:rsidRPr="006462E3" w:rsidRDefault="00615769" w:rsidP="00137CFB">
            <w:pPr>
              <w:keepNext/>
              <w:numPr>
                <w:ilvl w:val="12"/>
                <w:numId w:val="0"/>
              </w:numPr>
              <w:suppressAutoHyphens/>
              <w:ind w:right="-2"/>
              <w:rPr>
                <w:sz w:val="22"/>
              </w:rPr>
            </w:pPr>
            <w:r w:rsidRPr="00454F99">
              <w:rPr>
                <w:sz w:val="22"/>
              </w:rPr>
              <w:t>Depois disso, a dose habitual é 40</w:t>
            </w:r>
            <w:r w:rsidRPr="004F0FBC">
              <w:rPr>
                <w:sz w:val="22"/>
              </w:rPr>
              <w:t> </w:t>
            </w:r>
            <w:r w:rsidRPr="006462E3">
              <w:rPr>
                <w:sz w:val="22"/>
              </w:rPr>
              <w:t>mg em semanas alternadas.</w:t>
            </w:r>
          </w:p>
        </w:tc>
        <w:tc>
          <w:tcPr>
            <w:tcW w:w="3096" w:type="dxa"/>
          </w:tcPr>
          <w:p w14:paraId="0874D4B8" w14:textId="77777777" w:rsidR="004462A0" w:rsidRPr="008B0DDF" w:rsidRDefault="00615769" w:rsidP="00137CFB">
            <w:pPr>
              <w:keepNext/>
              <w:tabs>
                <w:tab w:val="left" w:pos="562"/>
              </w:tabs>
              <w:suppressAutoHyphens/>
              <w:spacing w:before="100" w:beforeAutospacing="1" w:after="100" w:afterAutospacing="1"/>
              <w:rPr>
                <w:sz w:val="22"/>
              </w:rPr>
            </w:pPr>
            <w:r w:rsidRPr="009A05BE">
              <w:rPr>
                <w:sz w:val="22"/>
              </w:rPr>
              <w:t>O seu mé</w:t>
            </w:r>
            <w:r w:rsidRPr="00854C93">
              <w:rPr>
                <w:sz w:val="22"/>
              </w:rPr>
              <w:t>dico pode aumentar a dose para 40</w:t>
            </w:r>
            <w:r w:rsidRPr="0089156B">
              <w:rPr>
                <w:sz w:val="22"/>
              </w:rPr>
              <w:t> </w:t>
            </w:r>
            <w:r w:rsidRPr="000B3FE3">
              <w:rPr>
                <w:sz w:val="22"/>
              </w:rPr>
              <w:t>mg por semana</w:t>
            </w:r>
            <w:r w:rsidR="004F2F3E">
              <w:rPr>
                <w:sz w:val="22"/>
              </w:rPr>
              <w:t xml:space="preserve"> ou 80 mg em semanas alternadas</w:t>
            </w:r>
            <w:r w:rsidRPr="000B3FE3">
              <w:rPr>
                <w:sz w:val="22"/>
              </w:rPr>
              <w:t>.</w:t>
            </w:r>
          </w:p>
        </w:tc>
      </w:tr>
      <w:tr w:rsidR="00A7162A" w14:paraId="6D25EF4A" w14:textId="77777777" w:rsidTr="00F675CF">
        <w:tc>
          <w:tcPr>
            <w:tcW w:w="3095" w:type="dxa"/>
          </w:tcPr>
          <w:p w14:paraId="058D843F" w14:textId="77777777" w:rsidR="004462A0" w:rsidRPr="006462E3" w:rsidRDefault="00615769" w:rsidP="00137CFB">
            <w:pPr>
              <w:keepNext/>
              <w:numPr>
                <w:ilvl w:val="12"/>
                <w:numId w:val="0"/>
              </w:numPr>
              <w:suppressAutoHyphens/>
              <w:ind w:right="-2"/>
              <w:rPr>
                <w:sz w:val="22"/>
              </w:rPr>
            </w:pPr>
            <w:r w:rsidRPr="00454F99">
              <w:rPr>
                <w:sz w:val="22"/>
              </w:rPr>
              <w:t xml:space="preserve">Crianças e adolescentes </w:t>
            </w:r>
            <w:r w:rsidR="00A54CB1">
              <w:rPr>
                <w:sz w:val="22"/>
              </w:rPr>
              <w:t xml:space="preserve">entre os </w:t>
            </w:r>
            <w:r w:rsidRPr="00454F99">
              <w:rPr>
                <w:sz w:val="22"/>
              </w:rPr>
              <w:t xml:space="preserve">6 </w:t>
            </w:r>
            <w:r w:rsidR="00A54CB1">
              <w:rPr>
                <w:sz w:val="22"/>
              </w:rPr>
              <w:t xml:space="preserve">e os 17 </w:t>
            </w:r>
            <w:r w:rsidRPr="00454F99">
              <w:rPr>
                <w:sz w:val="22"/>
              </w:rPr>
              <w:t>anos</w:t>
            </w:r>
            <w:r w:rsidRPr="004F0FBC">
              <w:rPr>
                <w:sz w:val="22"/>
              </w:rPr>
              <w:t xml:space="preserve"> de idade com peso inferior a </w:t>
            </w:r>
            <w:r w:rsidRPr="006462E3">
              <w:rPr>
                <w:sz w:val="22"/>
              </w:rPr>
              <w:t>40 kg</w:t>
            </w:r>
          </w:p>
        </w:tc>
        <w:tc>
          <w:tcPr>
            <w:tcW w:w="3096" w:type="dxa"/>
          </w:tcPr>
          <w:p w14:paraId="211719F0" w14:textId="77777777" w:rsidR="004462A0" w:rsidRDefault="00615769" w:rsidP="00137CFB">
            <w:pPr>
              <w:keepNext/>
              <w:tabs>
                <w:tab w:val="left" w:pos="562"/>
              </w:tabs>
              <w:suppressAutoHyphens/>
              <w:rPr>
                <w:sz w:val="22"/>
              </w:rPr>
            </w:pPr>
            <w:r w:rsidRPr="009A05BE">
              <w:rPr>
                <w:sz w:val="22"/>
              </w:rPr>
              <w:t>Uma dose inicial de 40 </w:t>
            </w:r>
            <w:r w:rsidRPr="00854C93">
              <w:rPr>
                <w:sz w:val="22"/>
              </w:rPr>
              <w:t xml:space="preserve">mg, </w:t>
            </w:r>
            <w:r w:rsidRPr="0089156B">
              <w:rPr>
                <w:sz w:val="22"/>
              </w:rPr>
              <w:t xml:space="preserve">seguida de </w:t>
            </w:r>
            <w:r w:rsidRPr="000B3FE3">
              <w:rPr>
                <w:sz w:val="22"/>
              </w:rPr>
              <w:t>20 </w:t>
            </w:r>
            <w:r w:rsidRPr="004931CE">
              <w:rPr>
                <w:sz w:val="22"/>
              </w:rPr>
              <w:t xml:space="preserve">mg </w:t>
            </w:r>
            <w:r w:rsidRPr="00653128">
              <w:rPr>
                <w:sz w:val="22"/>
              </w:rPr>
              <w:t>duas semanas após a dose inicial</w:t>
            </w:r>
            <w:r w:rsidRPr="00D33370">
              <w:rPr>
                <w:sz w:val="22"/>
              </w:rPr>
              <w:t xml:space="preserve">. </w:t>
            </w:r>
          </w:p>
          <w:p w14:paraId="0E4AD6BF" w14:textId="77777777" w:rsidR="004462A0" w:rsidRPr="00D33370" w:rsidRDefault="004462A0" w:rsidP="00137CFB">
            <w:pPr>
              <w:keepNext/>
              <w:tabs>
                <w:tab w:val="left" w:pos="562"/>
              </w:tabs>
              <w:suppressAutoHyphens/>
              <w:rPr>
                <w:sz w:val="22"/>
              </w:rPr>
            </w:pPr>
          </w:p>
          <w:p w14:paraId="681D0698" w14:textId="77777777" w:rsidR="004462A0" w:rsidRDefault="00615769" w:rsidP="00137CFB">
            <w:pPr>
              <w:keepNext/>
              <w:numPr>
                <w:ilvl w:val="12"/>
                <w:numId w:val="0"/>
              </w:numPr>
              <w:suppressAutoHyphens/>
              <w:rPr>
                <w:sz w:val="22"/>
              </w:rPr>
            </w:pPr>
            <w:r w:rsidRPr="002D4DE5">
              <w:rPr>
                <w:sz w:val="22"/>
              </w:rPr>
              <w:t>Se é necessária uma resposta mais rápida, o seu m</w:t>
            </w:r>
            <w:r>
              <w:rPr>
                <w:sz w:val="22"/>
              </w:rPr>
              <w:t>é</w:t>
            </w:r>
            <w:r w:rsidRPr="00454F99">
              <w:rPr>
                <w:sz w:val="22"/>
              </w:rPr>
              <w:t xml:space="preserve">dico pode prescrever uma dose inicial de </w:t>
            </w:r>
            <w:r w:rsidRPr="004F0FBC">
              <w:rPr>
                <w:sz w:val="22"/>
              </w:rPr>
              <w:t>80</w:t>
            </w:r>
            <w:r w:rsidRPr="006462E3">
              <w:rPr>
                <w:sz w:val="22"/>
              </w:rPr>
              <w:t> mg (duas</w:t>
            </w:r>
            <w:r w:rsidRPr="009A05BE">
              <w:rPr>
                <w:sz w:val="22"/>
              </w:rPr>
              <w:t xml:space="preserve"> injeções de 40 </w:t>
            </w:r>
            <w:r w:rsidRPr="00854C93">
              <w:rPr>
                <w:sz w:val="22"/>
              </w:rPr>
              <w:t>mg num dia</w:t>
            </w:r>
            <w:r w:rsidRPr="0089156B">
              <w:rPr>
                <w:sz w:val="22"/>
              </w:rPr>
              <w:t>)</w:t>
            </w:r>
            <w:r w:rsidRPr="000B3FE3">
              <w:rPr>
                <w:sz w:val="22"/>
              </w:rPr>
              <w:t>, seguida de 40</w:t>
            </w:r>
            <w:r w:rsidRPr="004931CE">
              <w:rPr>
                <w:sz w:val="22"/>
              </w:rPr>
              <w:t> </w:t>
            </w:r>
            <w:r w:rsidRPr="00653128">
              <w:rPr>
                <w:sz w:val="22"/>
              </w:rPr>
              <w:t xml:space="preserve">mg duas semanas após a dose inicial. </w:t>
            </w:r>
          </w:p>
          <w:p w14:paraId="3C92F1AD" w14:textId="77777777" w:rsidR="004462A0" w:rsidRPr="00D33370" w:rsidRDefault="004462A0" w:rsidP="00137CFB">
            <w:pPr>
              <w:keepNext/>
              <w:numPr>
                <w:ilvl w:val="12"/>
                <w:numId w:val="0"/>
              </w:numPr>
              <w:suppressAutoHyphens/>
              <w:rPr>
                <w:sz w:val="22"/>
              </w:rPr>
            </w:pPr>
          </w:p>
          <w:p w14:paraId="6C4E485F" w14:textId="77777777" w:rsidR="004462A0" w:rsidRPr="005F6F98" w:rsidRDefault="00615769" w:rsidP="00137CFB">
            <w:pPr>
              <w:keepNext/>
              <w:numPr>
                <w:ilvl w:val="12"/>
                <w:numId w:val="0"/>
              </w:numPr>
              <w:suppressAutoHyphens/>
              <w:rPr>
                <w:sz w:val="22"/>
              </w:rPr>
            </w:pPr>
            <w:r w:rsidRPr="002D4DE5">
              <w:rPr>
                <w:sz w:val="22"/>
              </w:rPr>
              <w:t xml:space="preserve">Depois disso, a dose habitual é </w:t>
            </w:r>
            <w:r w:rsidRPr="00003560">
              <w:rPr>
                <w:sz w:val="22"/>
              </w:rPr>
              <w:t>2</w:t>
            </w:r>
            <w:r w:rsidRPr="005F6F98">
              <w:rPr>
                <w:sz w:val="22"/>
              </w:rPr>
              <w:t>0 mg em semanas alternadas.</w:t>
            </w:r>
          </w:p>
        </w:tc>
        <w:tc>
          <w:tcPr>
            <w:tcW w:w="3096" w:type="dxa"/>
          </w:tcPr>
          <w:p w14:paraId="123B4C24" w14:textId="77777777" w:rsidR="004462A0" w:rsidRPr="008B0DDF" w:rsidRDefault="00615769" w:rsidP="00137CFB">
            <w:pPr>
              <w:keepNext/>
              <w:tabs>
                <w:tab w:val="left" w:pos="562"/>
              </w:tabs>
              <w:suppressAutoHyphens/>
              <w:spacing w:before="100" w:beforeAutospacing="1" w:after="100" w:afterAutospacing="1"/>
              <w:rPr>
                <w:sz w:val="22"/>
              </w:rPr>
            </w:pPr>
            <w:r w:rsidRPr="002B2441">
              <w:rPr>
                <w:sz w:val="22"/>
              </w:rPr>
              <w:t>O seu mé</w:t>
            </w:r>
            <w:r w:rsidRPr="00B830EC">
              <w:rPr>
                <w:sz w:val="22"/>
              </w:rPr>
              <w:t>dico pode aumentar a frequência da dose para 20</w:t>
            </w:r>
            <w:r>
              <w:rPr>
                <w:sz w:val="22"/>
              </w:rPr>
              <w:t> </w:t>
            </w:r>
            <w:r w:rsidRPr="00B830EC">
              <w:rPr>
                <w:sz w:val="22"/>
              </w:rPr>
              <w:t>mg por semana.</w:t>
            </w:r>
          </w:p>
          <w:p w14:paraId="07E4BCA6" w14:textId="77777777" w:rsidR="004462A0" w:rsidRPr="008B0DDF" w:rsidRDefault="004462A0" w:rsidP="00137CFB">
            <w:pPr>
              <w:keepNext/>
              <w:numPr>
                <w:ilvl w:val="12"/>
                <w:numId w:val="0"/>
              </w:numPr>
              <w:suppressAutoHyphens/>
              <w:spacing w:before="100" w:beforeAutospacing="1" w:after="100" w:afterAutospacing="1"/>
              <w:ind w:right="-2"/>
              <w:rPr>
                <w:sz w:val="22"/>
              </w:rPr>
            </w:pPr>
          </w:p>
        </w:tc>
      </w:tr>
    </w:tbl>
    <w:p w14:paraId="6359D28E" w14:textId="77777777" w:rsidR="004462A0" w:rsidRPr="008B0DDF" w:rsidRDefault="004462A0" w:rsidP="004462A0">
      <w:pPr>
        <w:numPr>
          <w:ilvl w:val="12"/>
          <w:numId w:val="0"/>
        </w:numPr>
        <w:suppressAutoHyphens/>
        <w:ind w:right="-2"/>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3031"/>
        <w:gridCol w:w="3018"/>
      </w:tblGrid>
      <w:tr w:rsidR="00A7162A" w14:paraId="0B4E945A" w14:textId="77777777" w:rsidTr="004E0FDB">
        <w:tc>
          <w:tcPr>
            <w:tcW w:w="9061" w:type="dxa"/>
            <w:gridSpan w:val="3"/>
          </w:tcPr>
          <w:p w14:paraId="07EF885A" w14:textId="77777777" w:rsidR="004462A0" w:rsidRPr="008B0DDF" w:rsidRDefault="00615769" w:rsidP="00F675CF">
            <w:pPr>
              <w:keepNext/>
              <w:numPr>
                <w:ilvl w:val="12"/>
                <w:numId w:val="0"/>
              </w:numPr>
              <w:suppressAutoHyphens/>
              <w:ind w:right="-2"/>
              <w:rPr>
                <w:b/>
                <w:sz w:val="22"/>
              </w:rPr>
            </w:pPr>
            <w:r w:rsidRPr="008B0DDF">
              <w:rPr>
                <w:b/>
                <w:sz w:val="22"/>
                <w:szCs w:val="22"/>
              </w:rPr>
              <w:t>Colite ulcerosa</w:t>
            </w:r>
          </w:p>
        </w:tc>
      </w:tr>
      <w:tr w:rsidR="00A7162A" w14:paraId="642D56CD" w14:textId="77777777" w:rsidTr="004E0FDB">
        <w:tc>
          <w:tcPr>
            <w:tcW w:w="3012" w:type="dxa"/>
          </w:tcPr>
          <w:p w14:paraId="609E0840" w14:textId="77777777" w:rsidR="004462A0" w:rsidRPr="008B0DDF" w:rsidRDefault="00615769" w:rsidP="00F675CF">
            <w:pPr>
              <w:numPr>
                <w:ilvl w:val="12"/>
                <w:numId w:val="0"/>
              </w:numPr>
              <w:suppressAutoHyphens/>
              <w:ind w:right="-2"/>
              <w:rPr>
                <w:sz w:val="22"/>
              </w:rPr>
            </w:pPr>
            <w:r w:rsidRPr="008B0DDF">
              <w:rPr>
                <w:b/>
                <w:sz w:val="22"/>
              </w:rPr>
              <w:t>Idade ou peso corporal</w:t>
            </w:r>
          </w:p>
        </w:tc>
        <w:tc>
          <w:tcPr>
            <w:tcW w:w="3031" w:type="dxa"/>
          </w:tcPr>
          <w:p w14:paraId="29AF6B00" w14:textId="77777777" w:rsidR="004462A0" w:rsidRPr="006462E3" w:rsidRDefault="00615769" w:rsidP="00F675CF">
            <w:pPr>
              <w:keepNext/>
              <w:numPr>
                <w:ilvl w:val="12"/>
                <w:numId w:val="0"/>
              </w:numPr>
              <w:suppressAutoHyphens/>
              <w:ind w:right="-2"/>
              <w:rPr>
                <w:sz w:val="22"/>
              </w:rPr>
            </w:pPr>
            <w:r w:rsidRPr="00454F99">
              <w:rPr>
                <w:b/>
                <w:sz w:val="22"/>
              </w:rPr>
              <w:t>Qual a dose e com que frequênc</w:t>
            </w:r>
            <w:r w:rsidRPr="004F0FBC">
              <w:rPr>
                <w:b/>
                <w:sz w:val="22"/>
              </w:rPr>
              <w:t>ia se deve tomar?</w:t>
            </w:r>
          </w:p>
        </w:tc>
        <w:tc>
          <w:tcPr>
            <w:tcW w:w="3018" w:type="dxa"/>
          </w:tcPr>
          <w:p w14:paraId="49A89A1E" w14:textId="77777777" w:rsidR="004462A0" w:rsidRPr="008B0DDF" w:rsidRDefault="00615769" w:rsidP="00F675CF">
            <w:pPr>
              <w:keepNext/>
              <w:numPr>
                <w:ilvl w:val="12"/>
                <w:numId w:val="0"/>
              </w:numPr>
              <w:suppressAutoHyphens/>
              <w:ind w:right="-2"/>
              <w:rPr>
                <w:sz w:val="22"/>
              </w:rPr>
            </w:pPr>
            <w:r w:rsidRPr="008B0DDF">
              <w:rPr>
                <w:b/>
                <w:sz w:val="22"/>
              </w:rPr>
              <w:t>Notas</w:t>
            </w:r>
          </w:p>
        </w:tc>
      </w:tr>
      <w:tr w:rsidR="00A7162A" w14:paraId="1936BD93" w14:textId="77777777" w:rsidTr="004E0FDB">
        <w:tc>
          <w:tcPr>
            <w:tcW w:w="3012" w:type="dxa"/>
          </w:tcPr>
          <w:p w14:paraId="3A67D183" w14:textId="77777777" w:rsidR="004462A0" w:rsidRPr="008B0DDF" w:rsidRDefault="00615769" w:rsidP="00F675CF">
            <w:pPr>
              <w:numPr>
                <w:ilvl w:val="12"/>
                <w:numId w:val="0"/>
              </w:numPr>
              <w:suppressAutoHyphens/>
              <w:ind w:right="-2"/>
              <w:rPr>
                <w:sz w:val="22"/>
              </w:rPr>
            </w:pPr>
            <w:r w:rsidRPr="008B0DDF">
              <w:rPr>
                <w:sz w:val="22"/>
              </w:rPr>
              <w:t>Adultos</w:t>
            </w:r>
          </w:p>
        </w:tc>
        <w:tc>
          <w:tcPr>
            <w:tcW w:w="3031" w:type="dxa"/>
          </w:tcPr>
          <w:p w14:paraId="3BDD5CAA" w14:textId="77777777" w:rsidR="004462A0" w:rsidRDefault="00615769" w:rsidP="00F675CF">
            <w:pPr>
              <w:keepNext/>
              <w:numPr>
                <w:ilvl w:val="12"/>
                <w:numId w:val="0"/>
              </w:numPr>
              <w:suppressAutoHyphens/>
              <w:rPr>
                <w:sz w:val="22"/>
              </w:rPr>
            </w:pPr>
            <w:r w:rsidRPr="00454F99">
              <w:rPr>
                <w:sz w:val="22"/>
              </w:rPr>
              <w:t>Uma dose inicial de 160 mg (quatro injeções de 40</w:t>
            </w:r>
            <w:r w:rsidRPr="004F0FBC">
              <w:rPr>
                <w:sz w:val="22"/>
              </w:rPr>
              <w:t> </w:t>
            </w:r>
            <w:r w:rsidRPr="006462E3">
              <w:rPr>
                <w:sz w:val="22"/>
              </w:rPr>
              <w:t xml:space="preserve">mg num dia </w:t>
            </w:r>
            <w:r w:rsidRPr="009A05BE">
              <w:rPr>
                <w:sz w:val="22"/>
              </w:rPr>
              <w:t>ou duas injeções de 40 </w:t>
            </w:r>
            <w:r w:rsidRPr="00854C93">
              <w:rPr>
                <w:sz w:val="22"/>
              </w:rPr>
              <w:t>mg por dia em dois dias consecutivos), seguida de 80</w:t>
            </w:r>
            <w:r w:rsidRPr="0089156B">
              <w:rPr>
                <w:sz w:val="22"/>
              </w:rPr>
              <w:t> </w:t>
            </w:r>
            <w:r w:rsidRPr="004931CE">
              <w:rPr>
                <w:sz w:val="22"/>
              </w:rPr>
              <w:t>mg (duas inje</w:t>
            </w:r>
            <w:r w:rsidRPr="00653128">
              <w:rPr>
                <w:sz w:val="22"/>
              </w:rPr>
              <w:t>ções de 40</w:t>
            </w:r>
            <w:r w:rsidRPr="00D33370">
              <w:rPr>
                <w:sz w:val="22"/>
              </w:rPr>
              <w:t> </w:t>
            </w:r>
            <w:r w:rsidRPr="00003560">
              <w:rPr>
                <w:sz w:val="22"/>
              </w:rPr>
              <w:t>mg num dia) duas semanas após a dose inicial.</w:t>
            </w:r>
          </w:p>
          <w:p w14:paraId="3638C9F0" w14:textId="77777777" w:rsidR="004462A0" w:rsidRPr="00003560" w:rsidRDefault="004462A0" w:rsidP="00F675CF">
            <w:pPr>
              <w:keepNext/>
              <w:numPr>
                <w:ilvl w:val="12"/>
                <w:numId w:val="0"/>
              </w:numPr>
              <w:suppressAutoHyphens/>
              <w:rPr>
                <w:sz w:val="22"/>
              </w:rPr>
            </w:pPr>
          </w:p>
          <w:p w14:paraId="3BA7D068" w14:textId="77777777" w:rsidR="004462A0" w:rsidRPr="00B830EC" w:rsidRDefault="00615769" w:rsidP="00F675CF">
            <w:pPr>
              <w:keepNext/>
              <w:numPr>
                <w:ilvl w:val="12"/>
                <w:numId w:val="0"/>
              </w:numPr>
              <w:suppressAutoHyphens/>
              <w:rPr>
                <w:sz w:val="22"/>
              </w:rPr>
            </w:pPr>
            <w:r w:rsidRPr="005F6F98">
              <w:rPr>
                <w:sz w:val="22"/>
              </w:rPr>
              <w:t>Depois disso, a dose habitual é 40</w:t>
            </w:r>
            <w:r w:rsidRPr="002B2441">
              <w:rPr>
                <w:sz w:val="22"/>
              </w:rPr>
              <w:t> mg em semanas alternadas.</w:t>
            </w:r>
          </w:p>
        </w:tc>
        <w:tc>
          <w:tcPr>
            <w:tcW w:w="3018" w:type="dxa"/>
          </w:tcPr>
          <w:p w14:paraId="2FF305EA" w14:textId="77777777" w:rsidR="004462A0" w:rsidRPr="008B0DDF" w:rsidRDefault="00615769">
            <w:pPr>
              <w:keepNext/>
              <w:numPr>
                <w:ilvl w:val="12"/>
                <w:numId w:val="0"/>
              </w:numPr>
              <w:suppressAutoHyphens/>
              <w:ind w:right="-2"/>
              <w:rPr>
                <w:sz w:val="22"/>
              </w:rPr>
            </w:pPr>
            <w:r w:rsidRPr="008B0DDF">
              <w:rPr>
                <w:sz w:val="22"/>
              </w:rPr>
              <w:t>O seu médico pode aumentar a dose para 40 mg por semana</w:t>
            </w:r>
            <w:r w:rsidR="004F2F3E">
              <w:rPr>
                <w:sz w:val="22"/>
              </w:rPr>
              <w:t xml:space="preserve"> ou 80 mg em semanas alternadas</w:t>
            </w:r>
            <w:r w:rsidRPr="008B0DDF">
              <w:rPr>
                <w:sz w:val="22"/>
              </w:rPr>
              <w:t>.</w:t>
            </w:r>
          </w:p>
        </w:tc>
      </w:tr>
      <w:tr w:rsidR="00A7162A" w14:paraId="2D65F3FE" w14:textId="77777777" w:rsidTr="004E0FDB">
        <w:tc>
          <w:tcPr>
            <w:tcW w:w="3012" w:type="dxa"/>
          </w:tcPr>
          <w:p w14:paraId="64136287" w14:textId="77777777" w:rsidR="004E0FDB" w:rsidRPr="004E0FDB" w:rsidRDefault="00615769" w:rsidP="004E0FDB">
            <w:pPr>
              <w:numPr>
                <w:ilvl w:val="12"/>
                <w:numId w:val="0"/>
              </w:numPr>
              <w:suppressAutoHyphens/>
              <w:ind w:right="-2"/>
              <w:rPr>
                <w:sz w:val="22"/>
                <w:szCs w:val="22"/>
              </w:rPr>
            </w:pPr>
            <w:r w:rsidRPr="004E0FDB">
              <w:rPr>
                <w:sz w:val="22"/>
                <w:szCs w:val="22"/>
              </w:rPr>
              <w:t>Crianças e adolescentes a partir dos 6 anos de idade com peso inferior a 40 kg</w:t>
            </w:r>
          </w:p>
        </w:tc>
        <w:tc>
          <w:tcPr>
            <w:tcW w:w="3031" w:type="dxa"/>
          </w:tcPr>
          <w:p w14:paraId="56B7C2BD" w14:textId="77777777" w:rsidR="004E0FDB" w:rsidRPr="004E0FDB" w:rsidRDefault="00615769" w:rsidP="004E0FDB">
            <w:pPr>
              <w:numPr>
                <w:ilvl w:val="12"/>
                <w:numId w:val="0"/>
              </w:numPr>
              <w:rPr>
                <w:sz w:val="22"/>
                <w:szCs w:val="22"/>
              </w:rPr>
            </w:pPr>
            <w:r w:rsidRPr="004E0FDB">
              <w:rPr>
                <w:sz w:val="22"/>
                <w:szCs w:val="22"/>
              </w:rPr>
              <w:t>Uma dose inicial de 80 mg (duas injeções de 40 mg num dia), seguida de 40 mg (uma injeção de 40 mg) duas semanas após a dose inicial.</w:t>
            </w:r>
          </w:p>
          <w:p w14:paraId="62B6A380" w14:textId="77777777" w:rsidR="004E0FDB" w:rsidRPr="004E0FDB" w:rsidRDefault="004E0FDB" w:rsidP="004E0FDB">
            <w:pPr>
              <w:numPr>
                <w:ilvl w:val="12"/>
                <w:numId w:val="0"/>
              </w:numPr>
              <w:rPr>
                <w:sz w:val="22"/>
                <w:szCs w:val="22"/>
              </w:rPr>
            </w:pPr>
          </w:p>
          <w:p w14:paraId="13AB5359" w14:textId="77777777" w:rsidR="004E0FDB" w:rsidRPr="004E0FDB" w:rsidRDefault="00615769" w:rsidP="004E0FDB">
            <w:pPr>
              <w:keepNext/>
              <w:numPr>
                <w:ilvl w:val="12"/>
                <w:numId w:val="0"/>
              </w:numPr>
              <w:suppressAutoHyphens/>
              <w:rPr>
                <w:sz w:val="22"/>
                <w:szCs w:val="22"/>
              </w:rPr>
            </w:pPr>
            <w:r w:rsidRPr="004E0FDB">
              <w:rPr>
                <w:sz w:val="22"/>
                <w:szCs w:val="22"/>
              </w:rPr>
              <w:t>Depois disso, a dose habitual é de 40 mg em semanas alternadas.</w:t>
            </w:r>
          </w:p>
        </w:tc>
        <w:tc>
          <w:tcPr>
            <w:tcW w:w="3018" w:type="dxa"/>
          </w:tcPr>
          <w:p w14:paraId="2EA93BC0" w14:textId="77777777" w:rsidR="004E0FDB" w:rsidRPr="004E0FDB" w:rsidRDefault="00615769" w:rsidP="004E0FDB">
            <w:pPr>
              <w:keepNext/>
              <w:numPr>
                <w:ilvl w:val="12"/>
                <w:numId w:val="0"/>
              </w:numPr>
              <w:suppressAutoHyphens/>
              <w:ind w:right="-2"/>
              <w:rPr>
                <w:sz w:val="22"/>
                <w:szCs w:val="22"/>
              </w:rPr>
            </w:pPr>
            <w:r w:rsidRPr="004E0FDB">
              <w:rPr>
                <w:sz w:val="22"/>
                <w:szCs w:val="22"/>
              </w:rPr>
              <w:t>Deve continuar a tomar a sua dose habitual de Humira, mesmo após completar 18 anos de idade.</w:t>
            </w:r>
          </w:p>
        </w:tc>
      </w:tr>
      <w:tr w:rsidR="00A7162A" w14:paraId="4151AE29" w14:textId="77777777" w:rsidTr="004E0FDB">
        <w:tc>
          <w:tcPr>
            <w:tcW w:w="3012" w:type="dxa"/>
          </w:tcPr>
          <w:p w14:paraId="3B4E1670" w14:textId="77777777" w:rsidR="004E0FDB" w:rsidRPr="004E0FDB" w:rsidRDefault="00615769" w:rsidP="004E0FDB">
            <w:pPr>
              <w:numPr>
                <w:ilvl w:val="12"/>
                <w:numId w:val="0"/>
              </w:numPr>
              <w:suppressAutoHyphens/>
              <w:ind w:right="-2"/>
              <w:rPr>
                <w:sz w:val="22"/>
                <w:szCs w:val="22"/>
              </w:rPr>
            </w:pPr>
            <w:r w:rsidRPr="004E0FDB">
              <w:rPr>
                <w:sz w:val="22"/>
                <w:szCs w:val="22"/>
              </w:rPr>
              <w:t>Crianças e adolescentes a partir dos 6 anos de idade com peso igual ou superior a 40 kg</w:t>
            </w:r>
          </w:p>
        </w:tc>
        <w:tc>
          <w:tcPr>
            <w:tcW w:w="3031" w:type="dxa"/>
          </w:tcPr>
          <w:p w14:paraId="3DBFA53F" w14:textId="77777777" w:rsidR="004E0FDB" w:rsidRPr="004E0FDB" w:rsidRDefault="00615769" w:rsidP="004E0FDB">
            <w:pPr>
              <w:numPr>
                <w:ilvl w:val="12"/>
                <w:numId w:val="0"/>
              </w:numPr>
              <w:rPr>
                <w:sz w:val="22"/>
                <w:szCs w:val="22"/>
              </w:rPr>
            </w:pPr>
            <w:r w:rsidRPr="004E0FDB">
              <w:rPr>
                <w:sz w:val="22"/>
                <w:szCs w:val="22"/>
              </w:rPr>
              <w:t>Uma dose inicial de 160 mg (quatro injeções de 40 mg num dia ou duas injeções de 40 mg por dia, em dois dias consecutivos), seguida de 80 mg (duas injeções de 40 mg num dia) duas semanas após a dose inicial.</w:t>
            </w:r>
          </w:p>
          <w:p w14:paraId="7C334490" w14:textId="77777777" w:rsidR="004E0FDB" w:rsidRPr="004E0FDB" w:rsidRDefault="004E0FDB" w:rsidP="004E0FDB">
            <w:pPr>
              <w:numPr>
                <w:ilvl w:val="12"/>
                <w:numId w:val="0"/>
              </w:numPr>
              <w:rPr>
                <w:sz w:val="22"/>
                <w:szCs w:val="22"/>
              </w:rPr>
            </w:pPr>
          </w:p>
          <w:p w14:paraId="55DA50FB" w14:textId="77777777" w:rsidR="004E0FDB" w:rsidRPr="004E0FDB" w:rsidRDefault="00615769" w:rsidP="004E0FDB">
            <w:pPr>
              <w:keepNext/>
              <w:numPr>
                <w:ilvl w:val="12"/>
                <w:numId w:val="0"/>
              </w:numPr>
              <w:suppressAutoHyphens/>
              <w:rPr>
                <w:sz w:val="22"/>
                <w:szCs w:val="22"/>
              </w:rPr>
            </w:pPr>
            <w:r w:rsidRPr="004E0FDB">
              <w:rPr>
                <w:sz w:val="22"/>
                <w:szCs w:val="22"/>
              </w:rPr>
              <w:t>Depois disso, a dose habitual é de 80 mg em semanas alternadas.</w:t>
            </w:r>
          </w:p>
        </w:tc>
        <w:tc>
          <w:tcPr>
            <w:tcW w:w="3018" w:type="dxa"/>
          </w:tcPr>
          <w:p w14:paraId="33619303" w14:textId="77777777" w:rsidR="004E0FDB" w:rsidRPr="004E0FDB" w:rsidRDefault="00615769" w:rsidP="004E0FDB">
            <w:pPr>
              <w:keepNext/>
              <w:numPr>
                <w:ilvl w:val="12"/>
                <w:numId w:val="0"/>
              </w:numPr>
              <w:suppressAutoHyphens/>
              <w:ind w:right="-2"/>
              <w:rPr>
                <w:sz w:val="22"/>
                <w:szCs w:val="22"/>
              </w:rPr>
            </w:pPr>
            <w:r w:rsidRPr="004E0FDB">
              <w:rPr>
                <w:sz w:val="22"/>
                <w:szCs w:val="22"/>
              </w:rPr>
              <w:t>Deve continuar a tomar a sua dose habitual de Humira, mesmo após completar 18 anos de idade.</w:t>
            </w:r>
          </w:p>
        </w:tc>
      </w:tr>
    </w:tbl>
    <w:p w14:paraId="75932D17" w14:textId="77777777" w:rsidR="004462A0" w:rsidRPr="004E0FDB" w:rsidRDefault="00615769" w:rsidP="004462A0">
      <w:pPr>
        <w:ind w:right="-2"/>
        <w:rPr>
          <w:szCs w:val="22"/>
        </w:rPr>
      </w:pPr>
      <w:r w:rsidRPr="004E0FDB">
        <w:rPr>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13"/>
        <w:gridCol w:w="3031"/>
      </w:tblGrid>
      <w:tr w:rsidR="00A7162A" w14:paraId="688D8FA2" w14:textId="77777777" w:rsidTr="00F675CF">
        <w:tc>
          <w:tcPr>
            <w:tcW w:w="9287" w:type="dxa"/>
            <w:gridSpan w:val="3"/>
          </w:tcPr>
          <w:p w14:paraId="2A35AF29" w14:textId="77777777" w:rsidR="004462A0" w:rsidRPr="00AA3C8F" w:rsidRDefault="00615769" w:rsidP="00F675CF">
            <w:pPr>
              <w:keepNext/>
              <w:numPr>
                <w:ilvl w:val="12"/>
                <w:numId w:val="0"/>
              </w:numPr>
              <w:suppressAutoHyphens/>
              <w:ind w:right="-2"/>
              <w:rPr>
                <w:b/>
                <w:sz w:val="22"/>
              </w:rPr>
            </w:pPr>
            <w:r>
              <w:rPr>
                <w:b/>
                <w:sz w:val="22"/>
                <w:szCs w:val="22"/>
              </w:rPr>
              <w:t>Uveíte não</w:t>
            </w:r>
            <w:r>
              <w:rPr>
                <w:rFonts w:hint="eastAsia"/>
                <w:b/>
                <w:sz w:val="22"/>
                <w:szCs w:val="22"/>
                <w:lang w:eastAsia="zh-TW"/>
              </w:rPr>
              <w:t xml:space="preserve"> </w:t>
            </w:r>
            <w:r>
              <w:rPr>
                <w:b/>
                <w:sz w:val="22"/>
                <w:szCs w:val="22"/>
              </w:rPr>
              <w:t>infecciosa</w:t>
            </w:r>
          </w:p>
        </w:tc>
      </w:tr>
      <w:tr w:rsidR="00A7162A" w14:paraId="6D735ED9" w14:textId="77777777" w:rsidTr="00F675CF">
        <w:tc>
          <w:tcPr>
            <w:tcW w:w="3095" w:type="dxa"/>
          </w:tcPr>
          <w:p w14:paraId="19CC2E98" w14:textId="77777777" w:rsidR="004462A0" w:rsidRPr="00AA3C8F" w:rsidRDefault="00615769" w:rsidP="00F675CF">
            <w:pPr>
              <w:keepNext/>
              <w:numPr>
                <w:ilvl w:val="12"/>
                <w:numId w:val="0"/>
              </w:numPr>
              <w:suppressAutoHyphens/>
              <w:ind w:right="-2"/>
              <w:rPr>
                <w:sz w:val="22"/>
              </w:rPr>
            </w:pPr>
            <w:r w:rsidRPr="00AA3C8F">
              <w:rPr>
                <w:b/>
                <w:sz w:val="22"/>
              </w:rPr>
              <w:t>Idade ou peso corporal</w:t>
            </w:r>
          </w:p>
        </w:tc>
        <w:tc>
          <w:tcPr>
            <w:tcW w:w="3096" w:type="dxa"/>
          </w:tcPr>
          <w:p w14:paraId="4924308B" w14:textId="77777777" w:rsidR="004462A0" w:rsidRPr="006462E3" w:rsidRDefault="00615769" w:rsidP="00F675CF">
            <w:pPr>
              <w:keepNext/>
              <w:numPr>
                <w:ilvl w:val="12"/>
                <w:numId w:val="0"/>
              </w:numPr>
              <w:suppressAutoHyphens/>
              <w:ind w:right="-2"/>
              <w:rPr>
                <w:sz w:val="22"/>
              </w:rPr>
            </w:pPr>
            <w:r w:rsidRPr="00454F99">
              <w:rPr>
                <w:b/>
                <w:sz w:val="22"/>
              </w:rPr>
              <w:t>Qual a dose e com que frequênc</w:t>
            </w:r>
            <w:r w:rsidRPr="004F0FBC">
              <w:rPr>
                <w:b/>
                <w:sz w:val="22"/>
              </w:rPr>
              <w:t>ia se deve tomar?</w:t>
            </w:r>
          </w:p>
        </w:tc>
        <w:tc>
          <w:tcPr>
            <w:tcW w:w="3096" w:type="dxa"/>
          </w:tcPr>
          <w:p w14:paraId="0C672E99" w14:textId="77777777" w:rsidR="004462A0" w:rsidRPr="00AA3C8F" w:rsidRDefault="00615769" w:rsidP="00F675CF">
            <w:pPr>
              <w:keepNext/>
              <w:numPr>
                <w:ilvl w:val="12"/>
                <w:numId w:val="0"/>
              </w:numPr>
              <w:suppressAutoHyphens/>
              <w:ind w:right="-2"/>
              <w:rPr>
                <w:sz w:val="22"/>
              </w:rPr>
            </w:pPr>
            <w:r w:rsidRPr="00AA3C8F">
              <w:rPr>
                <w:b/>
                <w:sz w:val="22"/>
              </w:rPr>
              <w:t>Notas</w:t>
            </w:r>
          </w:p>
        </w:tc>
      </w:tr>
      <w:tr w:rsidR="00A7162A" w14:paraId="3EB1AA54" w14:textId="77777777" w:rsidTr="00F675CF">
        <w:tc>
          <w:tcPr>
            <w:tcW w:w="3095" w:type="dxa"/>
          </w:tcPr>
          <w:p w14:paraId="7E0A9EAB" w14:textId="77777777" w:rsidR="004462A0" w:rsidRPr="00AA3C8F" w:rsidRDefault="00615769" w:rsidP="00F675CF">
            <w:pPr>
              <w:keepNext/>
              <w:numPr>
                <w:ilvl w:val="12"/>
                <w:numId w:val="0"/>
              </w:numPr>
              <w:suppressAutoHyphens/>
              <w:ind w:right="-2"/>
              <w:rPr>
                <w:sz w:val="22"/>
              </w:rPr>
            </w:pPr>
            <w:r w:rsidRPr="00AA3C8F">
              <w:rPr>
                <w:sz w:val="22"/>
              </w:rPr>
              <w:t>Adultos</w:t>
            </w:r>
          </w:p>
        </w:tc>
        <w:tc>
          <w:tcPr>
            <w:tcW w:w="3096" w:type="dxa"/>
          </w:tcPr>
          <w:p w14:paraId="7875FF6D" w14:textId="77777777" w:rsidR="004462A0" w:rsidRPr="00AA3C8F" w:rsidRDefault="00615769" w:rsidP="00F675CF">
            <w:pPr>
              <w:keepNext/>
              <w:numPr>
                <w:ilvl w:val="12"/>
                <w:numId w:val="0"/>
              </w:numPr>
              <w:suppressAutoHyphens/>
              <w:rPr>
                <w:sz w:val="22"/>
              </w:rPr>
            </w:pPr>
            <w:r w:rsidRPr="00454F99">
              <w:rPr>
                <w:sz w:val="22"/>
              </w:rPr>
              <w:t xml:space="preserve">Uma dose inicial de </w:t>
            </w:r>
            <w:r>
              <w:rPr>
                <w:sz w:val="22"/>
              </w:rPr>
              <w:t>8</w:t>
            </w:r>
            <w:r w:rsidRPr="00454F99">
              <w:rPr>
                <w:sz w:val="22"/>
              </w:rPr>
              <w:t>0 mg (</w:t>
            </w:r>
            <w:r>
              <w:rPr>
                <w:sz w:val="22"/>
              </w:rPr>
              <w:t xml:space="preserve">duas </w:t>
            </w:r>
            <w:r w:rsidRPr="00454F99">
              <w:rPr>
                <w:sz w:val="22"/>
              </w:rPr>
              <w:t>injeções de 40</w:t>
            </w:r>
            <w:r w:rsidRPr="004F0FBC">
              <w:rPr>
                <w:sz w:val="22"/>
              </w:rPr>
              <w:t> </w:t>
            </w:r>
            <w:r w:rsidRPr="006462E3">
              <w:rPr>
                <w:sz w:val="22"/>
              </w:rPr>
              <w:t>mg num dia</w:t>
            </w:r>
            <w:r w:rsidRPr="00854C93">
              <w:rPr>
                <w:sz w:val="22"/>
              </w:rPr>
              <w:t xml:space="preserve">), seguida de </w:t>
            </w:r>
            <w:r>
              <w:rPr>
                <w:sz w:val="22"/>
              </w:rPr>
              <w:t>4</w:t>
            </w:r>
            <w:r w:rsidRPr="00854C93">
              <w:rPr>
                <w:sz w:val="22"/>
              </w:rPr>
              <w:t>0</w:t>
            </w:r>
            <w:r w:rsidRPr="0089156B">
              <w:rPr>
                <w:sz w:val="22"/>
              </w:rPr>
              <w:t> </w:t>
            </w:r>
            <w:r w:rsidRPr="004931CE">
              <w:rPr>
                <w:sz w:val="22"/>
              </w:rPr>
              <w:t>mg</w:t>
            </w:r>
            <w:r>
              <w:rPr>
                <w:sz w:val="22"/>
              </w:rPr>
              <w:t xml:space="preserve"> em semanas alternadas, uma</w:t>
            </w:r>
            <w:r w:rsidRPr="00AA3C8F">
              <w:rPr>
                <w:sz w:val="22"/>
              </w:rPr>
              <w:t xml:space="preserve"> semana após a dose inicial.</w:t>
            </w:r>
          </w:p>
        </w:tc>
        <w:tc>
          <w:tcPr>
            <w:tcW w:w="3096" w:type="dxa"/>
          </w:tcPr>
          <w:p w14:paraId="61D4FBCC" w14:textId="77777777" w:rsidR="004462A0" w:rsidRPr="00C40041" w:rsidRDefault="00615769" w:rsidP="00F675CF">
            <w:pPr>
              <w:keepNext/>
              <w:rPr>
                <w:b/>
                <w:bCs/>
                <w:sz w:val="22"/>
                <w:szCs w:val="22"/>
              </w:rPr>
            </w:pPr>
            <w:r w:rsidRPr="00C40041">
              <w:rPr>
                <w:bCs/>
                <w:sz w:val="22"/>
                <w:szCs w:val="22"/>
              </w:rPr>
              <w:t>Pode continuar a utilizar corticosteroides ou outros medicamentos que influenciam o sistema imunitário enquanto se usa Humira. Humira pode ser usado isoladamente.</w:t>
            </w:r>
          </w:p>
          <w:p w14:paraId="42CC9D0C" w14:textId="77777777" w:rsidR="004462A0" w:rsidRPr="00AA3C8F" w:rsidRDefault="004462A0" w:rsidP="00F675CF">
            <w:pPr>
              <w:keepNext/>
              <w:numPr>
                <w:ilvl w:val="12"/>
                <w:numId w:val="0"/>
              </w:numPr>
              <w:suppressAutoHyphens/>
              <w:ind w:right="-2"/>
              <w:rPr>
                <w:sz w:val="22"/>
              </w:rPr>
            </w:pPr>
          </w:p>
        </w:tc>
      </w:tr>
      <w:tr w:rsidR="00A7162A" w14:paraId="65EB2D6C" w14:textId="77777777" w:rsidTr="00F675CF">
        <w:tc>
          <w:tcPr>
            <w:tcW w:w="3095" w:type="dxa"/>
          </w:tcPr>
          <w:p w14:paraId="40E0319B" w14:textId="77777777" w:rsidR="00403245" w:rsidRPr="00AA3C8F" w:rsidRDefault="00615769" w:rsidP="00F675CF">
            <w:pPr>
              <w:keepNext/>
              <w:numPr>
                <w:ilvl w:val="12"/>
                <w:numId w:val="0"/>
              </w:numPr>
              <w:suppressAutoHyphens/>
              <w:ind w:right="-2"/>
              <w:rPr>
                <w:sz w:val="22"/>
              </w:rPr>
            </w:pPr>
            <w:r>
              <w:rPr>
                <w:sz w:val="22"/>
              </w:rPr>
              <w:t xml:space="preserve">Crianças </w:t>
            </w:r>
            <w:r w:rsidR="00A54CB1">
              <w:rPr>
                <w:sz w:val="22"/>
              </w:rPr>
              <w:t xml:space="preserve">e adolescentes </w:t>
            </w:r>
            <w:r>
              <w:rPr>
                <w:sz w:val="22"/>
              </w:rPr>
              <w:t>a partir dos 2 anos de idade com peso inferior a 30 kg</w:t>
            </w:r>
          </w:p>
        </w:tc>
        <w:tc>
          <w:tcPr>
            <w:tcW w:w="3096" w:type="dxa"/>
          </w:tcPr>
          <w:p w14:paraId="73DBE005" w14:textId="77777777" w:rsidR="00403245" w:rsidRPr="00454F99" w:rsidRDefault="00615769" w:rsidP="00F675CF">
            <w:pPr>
              <w:keepNext/>
              <w:numPr>
                <w:ilvl w:val="12"/>
                <w:numId w:val="0"/>
              </w:numPr>
              <w:suppressAutoHyphens/>
              <w:rPr>
                <w:sz w:val="22"/>
              </w:rPr>
            </w:pPr>
            <w:r>
              <w:rPr>
                <w:sz w:val="22"/>
              </w:rPr>
              <w:t>20 mg em semanas alternadas</w:t>
            </w:r>
          </w:p>
        </w:tc>
        <w:tc>
          <w:tcPr>
            <w:tcW w:w="3096" w:type="dxa"/>
          </w:tcPr>
          <w:p w14:paraId="552E226A" w14:textId="77777777" w:rsidR="00403245" w:rsidRPr="00C40041" w:rsidRDefault="00615769" w:rsidP="00F675CF">
            <w:pPr>
              <w:keepNext/>
              <w:rPr>
                <w:bCs/>
                <w:sz w:val="22"/>
                <w:szCs w:val="22"/>
              </w:rPr>
            </w:pPr>
            <w:r>
              <w:rPr>
                <w:bCs/>
                <w:sz w:val="22"/>
                <w:szCs w:val="22"/>
              </w:rPr>
              <w:t>O seu médico pode prescrever uma dose inicial de 40 mg que pode ser administrada uma semana antes do início da dose habitual de 20 mg em semanas alternadas. Recomenda-se a utilização de Humira em associação com metotrexato.</w:t>
            </w:r>
          </w:p>
        </w:tc>
      </w:tr>
      <w:tr w:rsidR="00A7162A" w14:paraId="34627A03" w14:textId="77777777" w:rsidTr="00F675CF">
        <w:tc>
          <w:tcPr>
            <w:tcW w:w="3095" w:type="dxa"/>
          </w:tcPr>
          <w:p w14:paraId="0A3A7E2D" w14:textId="77777777" w:rsidR="00403245" w:rsidRPr="00AA3C8F" w:rsidRDefault="00615769" w:rsidP="00F675CF">
            <w:pPr>
              <w:keepNext/>
              <w:numPr>
                <w:ilvl w:val="12"/>
                <w:numId w:val="0"/>
              </w:numPr>
              <w:suppressAutoHyphens/>
              <w:ind w:right="-2"/>
              <w:rPr>
                <w:sz w:val="22"/>
              </w:rPr>
            </w:pPr>
            <w:r>
              <w:rPr>
                <w:sz w:val="22"/>
              </w:rPr>
              <w:t xml:space="preserve">Crianças </w:t>
            </w:r>
            <w:r w:rsidR="00A54CB1">
              <w:rPr>
                <w:sz w:val="22"/>
              </w:rPr>
              <w:t xml:space="preserve">e adolescentes </w:t>
            </w:r>
            <w:r>
              <w:rPr>
                <w:sz w:val="22"/>
              </w:rPr>
              <w:t>a partir dos 2 anos de idade com pelo menos 30 kg</w:t>
            </w:r>
          </w:p>
        </w:tc>
        <w:tc>
          <w:tcPr>
            <w:tcW w:w="3096" w:type="dxa"/>
          </w:tcPr>
          <w:p w14:paraId="01073415" w14:textId="77777777" w:rsidR="00403245" w:rsidRPr="00454F99" w:rsidRDefault="00615769" w:rsidP="00F675CF">
            <w:pPr>
              <w:keepNext/>
              <w:numPr>
                <w:ilvl w:val="12"/>
                <w:numId w:val="0"/>
              </w:numPr>
              <w:suppressAutoHyphens/>
              <w:rPr>
                <w:sz w:val="22"/>
              </w:rPr>
            </w:pPr>
            <w:r>
              <w:rPr>
                <w:sz w:val="22"/>
              </w:rPr>
              <w:t>40 mg em semanas alternadas</w:t>
            </w:r>
          </w:p>
        </w:tc>
        <w:tc>
          <w:tcPr>
            <w:tcW w:w="3096" w:type="dxa"/>
          </w:tcPr>
          <w:p w14:paraId="0C65B1CB" w14:textId="77777777" w:rsidR="00403245" w:rsidRPr="00C40041" w:rsidRDefault="00615769" w:rsidP="00F675CF">
            <w:pPr>
              <w:keepNext/>
              <w:rPr>
                <w:bCs/>
                <w:sz w:val="22"/>
                <w:szCs w:val="22"/>
              </w:rPr>
            </w:pPr>
            <w:r>
              <w:rPr>
                <w:bCs/>
                <w:sz w:val="22"/>
                <w:szCs w:val="22"/>
              </w:rPr>
              <w:t>O seu médico pode prescrever uma dose inicial de 80 mg que pode ser administrada uma semana antes do início da dose habitual de 40 mg em semanas alternadas. Recomenda-se a utilização de Humira em associação com metotrexato.</w:t>
            </w:r>
          </w:p>
        </w:tc>
      </w:tr>
    </w:tbl>
    <w:p w14:paraId="40EF8C16" w14:textId="77777777" w:rsidR="004462A0" w:rsidRPr="008B0DDF" w:rsidRDefault="004462A0" w:rsidP="004462A0">
      <w:pPr>
        <w:ind w:right="-2"/>
        <w:rPr>
          <w:sz w:val="22"/>
          <w:szCs w:val="22"/>
        </w:rPr>
      </w:pPr>
    </w:p>
    <w:p w14:paraId="40DDF2A9" w14:textId="77777777" w:rsidR="004462A0" w:rsidRPr="00854C93" w:rsidRDefault="00615769" w:rsidP="004462A0">
      <w:pPr>
        <w:rPr>
          <w:b/>
          <w:bCs/>
          <w:sz w:val="22"/>
          <w:szCs w:val="22"/>
        </w:rPr>
      </w:pPr>
      <w:r w:rsidRPr="00854C93">
        <w:rPr>
          <w:b/>
          <w:bCs/>
          <w:sz w:val="22"/>
          <w:szCs w:val="22"/>
        </w:rPr>
        <w:t>Modo e via de administração</w:t>
      </w:r>
    </w:p>
    <w:p w14:paraId="1DB30447" w14:textId="77777777" w:rsidR="004462A0" w:rsidRPr="0089156B" w:rsidRDefault="004462A0" w:rsidP="004462A0">
      <w:pPr>
        <w:ind w:right="-2"/>
        <w:rPr>
          <w:sz w:val="22"/>
          <w:szCs w:val="22"/>
        </w:rPr>
      </w:pPr>
    </w:p>
    <w:p w14:paraId="77B7EB2F" w14:textId="77777777" w:rsidR="004462A0" w:rsidRPr="000B3FE3" w:rsidRDefault="00615769" w:rsidP="004462A0">
      <w:pPr>
        <w:ind w:right="-2"/>
        <w:rPr>
          <w:sz w:val="22"/>
          <w:szCs w:val="22"/>
        </w:rPr>
      </w:pPr>
      <w:r w:rsidRPr="000B3FE3">
        <w:rPr>
          <w:sz w:val="22"/>
          <w:szCs w:val="22"/>
        </w:rPr>
        <w:t>Humira é administrado por injeção debaixo da pele (via subcutânea).</w:t>
      </w:r>
    </w:p>
    <w:p w14:paraId="65C670A5" w14:textId="77777777" w:rsidR="004462A0" w:rsidRPr="004931CE" w:rsidRDefault="004462A0" w:rsidP="004462A0">
      <w:pPr>
        <w:ind w:right="-2"/>
        <w:rPr>
          <w:sz w:val="22"/>
          <w:szCs w:val="22"/>
        </w:rPr>
      </w:pPr>
    </w:p>
    <w:p w14:paraId="08DC4C7A" w14:textId="77777777" w:rsidR="004462A0" w:rsidRPr="008B0DDF" w:rsidRDefault="00615769" w:rsidP="004462A0">
      <w:pPr>
        <w:ind w:right="-2"/>
        <w:rPr>
          <w:b/>
          <w:sz w:val="22"/>
          <w:szCs w:val="22"/>
        </w:rPr>
      </w:pPr>
      <w:r w:rsidRPr="008B0DDF">
        <w:rPr>
          <w:b/>
          <w:sz w:val="22"/>
          <w:szCs w:val="22"/>
        </w:rPr>
        <w:t xml:space="preserve">Instruções detalhadas sobre como administrar a injeção de Humira </w:t>
      </w:r>
      <w:r w:rsidRPr="00454F99">
        <w:rPr>
          <w:b/>
          <w:sz w:val="22"/>
          <w:szCs w:val="22"/>
        </w:rPr>
        <w:t>estão</w:t>
      </w:r>
      <w:r w:rsidRPr="008B0DDF">
        <w:rPr>
          <w:b/>
          <w:sz w:val="22"/>
          <w:szCs w:val="22"/>
        </w:rPr>
        <w:t xml:space="preserve"> indicadas na secção 7 “</w:t>
      </w:r>
      <w:r w:rsidR="006057F6">
        <w:rPr>
          <w:b/>
          <w:bCs/>
          <w:sz w:val="22"/>
          <w:szCs w:val="22"/>
        </w:rPr>
        <w:t>Injetar Humira</w:t>
      </w:r>
      <w:r w:rsidRPr="008B0DDF">
        <w:rPr>
          <w:b/>
          <w:sz w:val="22"/>
          <w:szCs w:val="22"/>
        </w:rPr>
        <w:t>”.</w:t>
      </w:r>
    </w:p>
    <w:p w14:paraId="066E9255" w14:textId="77777777" w:rsidR="004462A0" w:rsidRPr="008B0DDF" w:rsidRDefault="004462A0" w:rsidP="004462A0">
      <w:pPr>
        <w:jc w:val="center"/>
        <w:rPr>
          <w:sz w:val="22"/>
          <w:szCs w:val="22"/>
        </w:rPr>
      </w:pPr>
    </w:p>
    <w:p w14:paraId="5AF06838" w14:textId="77777777" w:rsidR="004462A0" w:rsidRPr="008B0DDF" w:rsidRDefault="00615769" w:rsidP="004462A0">
      <w:pPr>
        <w:keepNext/>
        <w:rPr>
          <w:b/>
          <w:sz w:val="22"/>
          <w:szCs w:val="22"/>
        </w:rPr>
      </w:pPr>
      <w:r w:rsidRPr="008B0DDF">
        <w:rPr>
          <w:b/>
          <w:sz w:val="22"/>
          <w:szCs w:val="22"/>
        </w:rPr>
        <w:t>Se utilizar mais Humira do que deveria</w:t>
      </w:r>
    </w:p>
    <w:p w14:paraId="53DB2607" w14:textId="77777777" w:rsidR="004462A0" w:rsidRPr="008B0DDF" w:rsidRDefault="004462A0" w:rsidP="004462A0">
      <w:pPr>
        <w:keepNext/>
        <w:rPr>
          <w:sz w:val="22"/>
          <w:szCs w:val="22"/>
        </w:rPr>
      </w:pPr>
    </w:p>
    <w:p w14:paraId="194EB3C9" w14:textId="77777777" w:rsidR="004462A0" w:rsidRPr="008B0DDF" w:rsidRDefault="00615769" w:rsidP="004462A0">
      <w:pPr>
        <w:pStyle w:val="BodyText2"/>
        <w:keepNext/>
        <w:autoSpaceDE/>
        <w:autoSpaceDN/>
        <w:adjustRightInd/>
        <w:rPr>
          <w:szCs w:val="22"/>
        </w:rPr>
      </w:pPr>
      <w:r w:rsidRPr="008B0DDF">
        <w:rPr>
          <w:szCs w:val="22"/>
        </w:rPr>
        <w:t xml:space="preserve">Se injetar acidentalmente Humira mais frequentemente do que o prescrito contacte o seu médico ou farmacêutico e informe-os de que utilizou mais do que devia. Leve sempre consigo a embalagem exterior do medicamento, mesmo que esteja vazia. </w:t>
      </w:r>
    </w:p>
    <w:p w14:paraId="7B53E64E" w14:textId="77777777" w:rsidR="004462A0" w:rsidRPr="008B0DDF" w:rsidRDefault="004462A0" w:rsidP="004462A0">
      <w:pPr>
        <w:rPr>
          <w:sz w:val="22"/>
          <w:szCs w:val="22"/>
        </w:rPr>
      </w:pPr>
    </w:p>
    <w:p w14:paraId="5CB738B1" w14:textId="77777777" w:rsidR="004462A0" w:rsidRPr="008B0DDF" w:rsidRDefault="00615769" w:rsidP="0082266B">
      <w:pPr>
        <w:keepNext/>
        <w:rPr>
          <w:sz w:val="22"/>
          <w:szCs w:val="22"/>
        </w:rPr>
      </w:pPr>
      <w:r w:rsidRPr="008B0DDF">
        <w:rPr>
          <w:b/>
          <w:sz w:val="22"/>
          <w:szCs w:val="22"/>
        </w:rPr>
        <w:t>Caso se tenha esquecido de utilizar</w:t>
      </w:r>
      <w:r w:rsidRPr="008B0DDF">
        <w:rPr>
          <w:b/>
          <w:bCs/>
          <w:sz w:val="22"/>
          <w:szCs w:val="22"/>
        </w:rPr>
        <w:t xml:space="preserve"> Humira</w:t>
      </w:r>
    </w:p>
    <w:p w14:paraId="7C06CFF7" w14:textId="77777777" w:rsidR="004462A0" w:rsidRPr="008B0DDF" w:rsidRDefault="004462A0" w:rsidP="0082266B">
      <w:pPr>
        <w:keepNext/>
        <w:rPr>
          <w:sz w:val="22"/>
          <w:szCs w:val="22"/>
        </w:rPr>
      </w:pPr>
    </w:p>
    <w:p w14:paraId="2C6525A0" w14:textId="77777777" w:rsidR="004462A0" w:rsidRPr="008B0DDF" w:rsidRDefault="00615769" w:rsidP="0082266B">
      <w:pPr>
        <w:keepNext/>
        <w:ind w:right="-2"/>
        <w:rPr>
          <w:sz w:val="22"/>
          <w:szCs w:val="22"/>
        </w:rPr>
      </w:pPr>
      <w:r w:rsidRPr="008B0DDF">
        <w:rPr>
          <w:sz w:val="22"/>
          <w:szCs w:val="22"/>
        </w:rPr>
        <w:t xml:space="preserve">Caso se tenha esquecido de administrar uma injeção, administre a próxima dose de Humira logo que se lembrar. Administre a dose seguinte conforme prescrito, como se não tivesse omitido a dose anterior. </w:t>
      </w:r>
    </w:p>
    <w:p w14:paraId="3F613E5F" w14:textId="77777777" w:rsidR="004462A0" w:rsidRPr="008B0DDF" w:rsidRDefault="004462A0" w:rsidP="004462A0">
      <w:pPr>
        <w:suppressAutoHyphens/>
        <w:rPr>
          <w:b/>
          <w:sz w:val="22"/>
          <w:szCs w:val="22"/>
        </w:rPr>
      </w:pPr>
    </w:p>
    <w:p w14:paraId="10A294C9" w14:textId="77777777" w:rsidR="004462A0" w:rsidRPr="008B0DDF" w:rsidRDefault="00615769" w:rsidP="0093521F">
      <w:pPr>
        <w:keepNext/>
        <w:suppressAutoHyphens/>
        <w:rPr>
          <w:sz w:val="22"/>
          <w:szCs w:val="22"/>
        </w:rPr>
      </w:pPr>
      <w:r w:rsidRPr="008B0DDF">
        <w:rPr>
          <w:b/>
          <w:sz w:val="22"/>
          <w:szCs w:val="22"/>
        </w:rPr>
        <w:t>Se parar de utilizar Humira</w:t>
      </w:r>
    </w:p>
    <w:p w14:paraId="4832A76E" w14:textId="77777777" w:rsidR="004462A0" w:rsidRPr="008B0DDF" w:rsidRDefault="004462A0" w:rsidP="0093521F">
      <w:pPr>
        <w:keepNext/>
        <w:rPr>
          <w:sz w:val="22"/>
          <w:szCs w:val="22"/>
        </w:rPr>
      </w:pPr>
    </w:p>
    <w:p w14:paraId="5A4DFA94" w14:textId="77777777" w:rsidR="004462A0" w:rsidRPr="008B0DDF" w:rsidRDefault="00615769" w:rsidP="0093521F">
      <w:pPr>
        <w:keepNext/>
        <w:rPr>
          <w:sz w:val="22"/>
          <w:szCs w:val="22"/>
        </w:rPr>
      </w:pPr>
      <w:r w:rsidRPr="008B0DDF">
        <w:rPr>
          <w:sz w:val="22"/>
          <w:szCs w:val="22"/>
        </w:rPr>
        <w:t>A decisão de parar de utilizar Humira deve ser avaliada com o seu médico. Os seus sintomas podem voltar se parar de utilizar Humira.</w:t>
      </w:r>
    </w:p>
    <w:p w14:paraId="7C92F4E0" w14:textId="77777777" w:rsidR="004462A0" w:rsidRPr="008B0DDF" w:rsidRDefault="004462A0" w:rsidP="004462A0">
      <w:pPr>
        <w:rPr>
          <w:sz w:val="22"/>
          <w:szCs w:val="22"/>
        </w:rPr>
      </w:pPr>
    </w:p>
    <w:p w14:paraId="2CC931E8" w14:textId="77777777" w:rsidR="004462A0" w:rsidRPr="008B0DDF" w:rsidRDefault="00615769" w:rsidP="004462A0">
      <w:pPr>
        <w:ind w:right="-2"/>
        <w:rPr>
          <w:sz w:val="22"/>
          <w:szCs w:val="22"/>
        </w:rPr>
      </w:pPr>
      <w:r w:rsidRPr="008B0DDF">
        <w:rPr>
          <w:sz w:val="22"/>
          <w:szCs w:val="22"/>
        </w:rPr>
        <w:t xml:space="preserve">Caso </w:t>
      </w:r>
      <w:r w:rsidR="00954510">
        <w:rPr>
          <w:sz w:val="22"/>
          <w:szCs w:val="22"/>
        </w:rPr>
        <w:t xml:space="preserve">ainda </w:t>
      </w:r>
      <w:r w:rsidRPr="008B0DDF">
        <w:rPr>
          <w:sz w:val="22"/>
          <w:szCs w:val="22"/>
        </w:rPr>
        <w:t>tenha dúvidas sobre a utilização deste medicamento, fale com o seu médico ou farmacêutico.</w:t>
      </w:r>
    </w:p>
    <w:p w14:paraId="3D8C66ED" w14:textId="77777777" w:rsidR="004462A0" w:rsidRPr="008B0DDF" w:rsidRDefault="004462A0" w:rsidP="004462A0">
      <w:pPr>
        <w:ind w:right="-2"/>
        <w:rPr>
          <w:sz w:val="22"/>
          <w:szCs w:val="22"/>
        </w:rPr>
      </w:pPr>
    </w:p>
    <w:p w14:paraId="4E555D2D" w14:textId="77777777" w:rsidR="004462A0" w:rsidRPr="008B0DDF" w:rsidRDefault="004462A0" w:rsidP="004462A0">
      <w:pPr>
        <w:ind w:right="-2"/>
        <w:rPr>
          <w:sz w:val="22"/>
          <w:szCs w:val="22"/>
        </w:rPr>
      </w:pPr>
    </w:p>
    <w:p w14:paraId="3BE46156" w14:textId="77777777" w:rsidR="004462A0" w:rsidRPr="008B0DDF" w:rsidRDefault="00615769" w:rsidP="00137CFB">
      <w:pPr>
        <w:keepNext/>
        <w:ind w:left="567" w:hanging="567"/>
        <w:rPr>
          <w:sz w:val="22"/>
          <w:szCs w:val="22"/>
        </w:rPr>
      </w:pPr>
      <w:r w:rsidRPr="008B0DDF">
        <w:rPr>
          <w:b/>
          <w:sz w:val="22"/>
          <w:szCs w:val="22"/>
        </w:rPr>
        <w:t>4.</w:t>
      </w:r>
      <w:r w:rsidRPr="008B0DDF">
        <w:rPr>
          <w:b/>
          <w:sz w:val="22"/>
          <w:szCs w:val="22"/>
        </w:rPr>
        <w:tab/>
        <w:t xml:space="preserve">Efeitos </w:t>
      </w:r>
      <w:r w:rsidR="00571C82">
        <w:rPr>
          <w:b/>
          <w:sz w:val="22"/>
          <w:szCs w:val="22"/>
        </w:rPr>
        <w:t>indesejáveis</w:t>
      </w:r>
      <w:r w:rsidRPr="008B0DDF">
        <w:rPr>
          <w:b/>
          <w:sz w:val="22"/>
          <w:szCs w:val="22"/>
        </w:rPr>
        <w:t xml:space="preserve"> possíveis </w:t>
      </w:r>
    </w:p>
    <w:p w14:paraId="4376FFDA" w14:textId="77777777" w:rsidR="004462A0" w:rsidRPr="008B0DDF" w:rsidRDefault="004462A0" w:rsidP="00137CFB">
      <w:pPr>
        <w:keepNext/>
        <w:ind w:right="-2"/>
        <w:rPr>
          <w:sz w:val="22"/>
          <w:szCs w:val="22"/>
        </w:rPr>
      </w:pPr>
    </w:p>
    <w:p w14:paraId="47421F58" w14:textId="77777777" w:rsidR="004462A0" w:rsidRPr="008B0DDF" w:rsidRDefault="00615769" w:rsidP="00137CFB">
      <w:pPr>
        <w:keepNext/>
        <w:rPr>
          <w:sz w:val="22"/>
          <w:szCs w:val="22"/>
        </w:rPr>
      </w:pPr>
      <w:r w:rsidRPr="008B0DDF">
        <w:rPr>
          <w:sz w:val="22"/>
          <w:szCs w:val="22"/>
        </w:rPr>
        <w:t xml:space="preserve">Como todos os medicamentos, este medicamento pode causar efeitos </w:t>
      </w:r>
      <w:r w:rsidR="00571C82">
        <w:rPr>
          <w:sz w:val="22"/>
          <w:szCs w:val="22"/>
        </w:rPr>
        <w:t>indesejáveis</w:t>
      </w:r>
      <w:r w:rsidRPr="008B0DDF">
        <w:rPr>
          <w:sz w:val="22"/>
          <w:szCs w:val="22"/>
        </w:rPr>
        <w:t xml:space="preserve">, embora estes não se manifestem em todas as pessoas. A maioria dos efeitos </w:t>
      </w:r>
      <w:r w:rsidR="00571C82">
        <w:rPr>
          <w:sz w:val="22"/>
          <w:szCs w:val="22"/>
        </w:rPr>
        <w:t>indesejáveis</w:t>
      </w:r>
      <w:r w:rsidRPr="008B0DDF">
        <w:rPr>
          <w:sz w:val="22"/>
          <w:szCs w:val="22"/>
        </w:rPr>
        <w:t xml:space="preserve"> são ligeiros a moderados. No entanto, alguns podem ser graves e requerer tratamento. Podem ocorrer efeitos </w:t>
      </w:r>
      <w:r w:rsidR="00571C82">
        <w:rPr>
          <w:sz w:val="22"/>
          <w:szCs w:val="22"/>
        </w:rPr>
        <w:t>indesejáveis</w:t>
      </w:r>
      <w:r w:rsidRPr="008B0DDF">
        <w:rPr>
          <w:sz w:val="22"/>
          <w:szCs w:val="22"/>
        </w:rPr>
        <w:t xml:space="preserve"> pelo menos </w:t>
      </w:r>
      <w:r w:rsidR="007C7D86">
        <w:rPr>
          <w:sz w:val="22"/>
          <w:szCs w:val="22"/>
        </w:rPr>
        <w:t xml:space="preserve">até </w:t>
      </w:r>
      <w:r w:rsidRPr="008B0DDF">
        <w:rPr>
          <w:sz w:val="22"/>
          <w:szCs w:val="22"/>
        </w:rPr>
        <w:t>4 meses após a última injeção de Humira.</w:t>
      </w:r>
    </w:p>
    <w:p w14:paraId="4EB941F1" w14:textId="77777777" w:rsidR="004462A0" w:rsidRPr="008B0DDF" w:rsidRDefault="004462A0" w:rsidP="004462A0">
      <w:pPr>
        <w:rPr>
          <w:sz w:val="22"/>
          <w:szCs w:val="22"/>
        </w:rPr>
      </w:pPr>
    </w:p>
    <w:p w14:paraId="3423A5A0" w14:textId="77777777" w:rsidR="004462A0" w:rsidRPr="004F0FBC" w:rsidRDefault="00615769" w:rsidP="004462A0">
      <w:pPr>
        <w:pStyle w:val="EndnoteText"/>
        <w:tabs>
          <w:tab w:val="clear" w:pos="567"/>
        </w:tabs>
        <w:rPr>
          <w:szCs w:val="22"/>
        </w:rPr>
      </w:pPr>
      <w:r w:rsidRPr="008B0DDF">
        <w:rPr>
          <w:b/>
          <w:szCs w:val="22"/>
        </w:rPr>
        <w:t>I</w:t>
      </w:r>
      <w:r w:rsidRPr="00D87764">
        <w:rPr>
          <w:b/>
          <w:szCs w:val="22"/>
        </w:rPr>
        <w:t>nforme imediatamente o seu médico se tiver algum dos seguintes sintomas</w:t>
      </w:r>
    </w:p>
    <w:p w14:paraId="5695B441" w14:textId="77777777" w:rsidR="004462A0" w:rsidRPr="006462E3" w:rsidRDefault="004462A0" w:rsidP="004462A0">
      <w:pPr>
        <w:rPr>
          <w:sz w:val="22"/>
          <w:szCs w:val="22"/>
        </w:rPr>
      </w:pPr>
    </w:p>
    <w:p w14:paraId="4831063E" w14:textId="77777777" w:rsidR="004462A0" w:rsidRPr="006462E3" w:rsidRDefault="00615769" w:rsidP="004462A0">
      <w:pPr>
        <w:numPr>
          <w:ilvl w:val="1"/>
          <w:numId w:val="58"/>
        </w:numPr>
        <w:tabs>
          <w:tab w:val="num" w:pos="1440"/>
        </w:tabs>
        <w:rPr>
          <w:sz w:val="22"/>
          <w:szCs w:val="22"/>
        </w:rPr>
      </w:pPr>
      <w:r>
        <w:rPr>
          <w:sz w:val="22"/>
          <w:szCs w:val="22"/>
        </w:rPr>
        <w:t>p</w:t>
      </w:r>
      <w:r w:rsidRPr="006462E3">
        <w:rPr>
          <w:sz w:val="22"/>
          <w:szCs w:val="22"/>
        </w:rPr>
        <w:t>ele muito irritada, comichão ou outros sinais de reação alérgica</w:t>
      </w:r>
    </w:p>
    <w:p w14:paraId="1BC95031" w14:textId="77777777" w:rsidR="004462A0" w:rsidRPr="009A05BE" w:rsidRDefault="00615769" w:rsidP="004462A0">
      <w:pPr>
        <w:numPr>
          <w:ilvl w:val="1"/>
          <w:numId w:val="58"/>
        </w:numPr>
        <w:tabs>
          <w:tab w:val="num" w:pos="1440"/>
        </w:tabs>
        <w:rPr>
          <w:sz w:val="22"/>
          <w:szCs w:val="22"/>
        </w:rPr>
      </w:pPr>
      <w:r>
        <w:rPr>
          <w:sz w:val="22"/>
          <w:szCs w:val="22"/>
        </w:rPr>
        <w:t>i</w:t>
      </w:r>
      <w:r w:rsidRPr="009A05BE">
        <w:rPr>
          <w:sz w:val="22"/>
          <w:szCs w:val="22"/>
        </w:rPr>
        <w:t>nchaço da face, mãos, pés</w:t>
      </w:r>
    </w:p>
    <w:p w14:paraId="15162F36" w14:textId="77777777" w:rsidR="004462A0" w:rsidRPr="00854C93" w:rsidRDefault="00615769" w:rsidP="004462A0">
      <w:pPr>
        <w:numPr>
          <w:ilvl w:val="1"/>
          <w:numId w:val="58"/>
        </w:numPr>
        <w:tabs>
          <w:tab w:val="num" w:pos="1440"/>
        </w:tabs>
        <w:rPr>
          <w:sz w:val="22"/>
          <w:szCs w:val="22"/>
        </w:rPr>
      </w:pPr>
      <w:r>
        <w:rPr>
          <w:sz w:val="22"/>
          <w:szCs w:val="22"/>
        </w:rPr>
        <w:t>d</w:t>
      </w:r>
      <w:r w:rsidRPr="00854C93">
        <w:rPr>
          <w:sz w:val="22"/>
          <w:szCs w:val="22"/>
        </w:rPr>
        <w:t>ificuldade</w:t>
      </w:r>
      <w:r w:rsidR="007C7D86">
        <w:rPr>
          <w:sz w:val="22"/>
          <w:szCs w:val="22"/>
        </w:rPr>
        <w:t>s</w:t>
      </w:r>
      <w:r w:rsidRPr="00854C93">
        <w:rPr>
          <w:sz w:val="22"/>
          <w:szCs w:val="22"/>
        </w:rPr>
        <w:t xml:space="preserve"> em respirar, em engolir</w:t>
      </w:r>
    </w:p>
    <w:p w14:paraId="0F1DE211" w14:textId="77777777" w:rsidR="004462A0" w:rsidRPr="00653128" w:rsidRDefault="00615769" w:rsidP="004462A0">
      <w:pPr>
        <w:numPr>
          <w:ilvl w:val="1"/>
          <w:numId w:val="58"/>
        </w:numPr>
        <w:tabs>
          <w:tab w:val="num" w:pos="1440"/>
        </w:tabs>
        <w:rPr>
          <w:sz w:val="22"/>
          <w:szCs w:val="22"/>
        </w:rPr>
      </w:pPr>
      <w:r>
        <w:rPr>
          <w:sz w:val="22"/>
          <w:szCs w:val="22"/>
        </w:rPr>
        <w:t>f</w:t>
      </w:r>
      <w:r w:rsidRPr="0089156B">
        <w:rPr>
          <w:sz w:val="22"/>
          <w:szCs w:val="22"/>
        </w:rPr>
        <w:t xml:space="preserve">alta de ar durante </w:t>
      </w:r>
      <w:r w:rsidRPr="000B3FE3">
        <w:rPr>
          <w:sz w:val="22"/>
          <w:szCs w:val="22"/>
        </w:rPr>
        <w:t>atividade física ou quando deitado ou inchaço dos pés</w:t>
      </w:r>
    </w:p>
    <w:p w14:paraId="0876698A" w14:textId="77777777" w:rsidR="004462A0" w:rsidRPr="00D33370" w:rsidRDefault="004462A0" w:rsidP="004462A0">
      <w:pPr>
        <w:tabs>
          <w:tab w:val="num" w:pos="1440"/>
        </w:tabs>
        <w:rPr>
          <w:sz w:val="22"/>
          <w:szCs w:val="22"/>
        </w:rPr>
      </w:pPr>
    </w:p>
    <w:p w14:paraId="41BB91EC" w14:textId="77777777" w:rsidR="004462A0" w:rsidRPr="008B0DDF" w:rsidRDefault="00615769" w:rsidP="004462A0">
      <w:pPr>
        <w:rPr>
          <w:b/>
          <w:sz w:val="22"/>
          <w:szCs w:val="22"/>
        </w:rPr>
      </w:pPr>
      <w:r w:rsidRPr="008B0DDF">
        <w:rPr>
          <w:b/>
          <w:sz w:val="22"/>
          <w:szCs w:val="22"/>
        </w:rPr>
        <w:t xml:space="preserve">Informe </w:t>
      </w:r>
      <w:r>
        <w:rPr>
          <w:b/>
          <w:sz w:val="22"/>
          <w:szCs w:val="22"/>
        </w:rPr>
        <w:t xml:space="preserve">logo que </w:t>
      </w:r>
      <w:r w:rsidRPr="008B0DDF">
        <w:rPr>
          <w:b/>
          <w:sz w:val="22"/>
          <w:szCs w:val="22"/>
        </w:rPr>
        <w:t>possível o seu médico se tiver algum dos seguintes sintomas</w:t>
      </w:r>
    </w:p>
    <w:p w14:paraId="53D9ECD1" w14:textId="77777777" w:rsidR="004462A0" w:rsidRPr="00454F99" w:rsidRDefault="004462A0" w:rsidP="004462A0">
      <w:pPr>
        <w:rPr>
          <w:sz w:val="22"/>
          <w:szCs w:val="22"/>
        </w:rPr>
      </w:pPr>
    </w:p>
    <w:p w14:paraId="6A5EDED9" w14:textId="77777777" w:rsidR="004462A0" w:rsidRPr="006462E3" w:rsidRDefault="00615769" w:rsidP="004462A0">
      <w:pPr>
        <w:numPr>
          <w:ilvl w:val="2"/>
          <w:numId w:val="58"/>
        </w:numPr>
        <w:tabs>
          <w:tab w:val="left" w:pos="993"/>
        </w:tabs>
        <w:rPr>
          <w:sz w:val="22"/>
          <w:szCs w:val="22"/>
        </w:rPr>
      </w:pPr>
      <w:r>
        <w:rPr>
          <w:sz w:val="22"/>
          <w:szCs w:val="22"/>
        </w:rPr>
        <w:t>s</w:t>
      </w:r>
      <w:r w:rsidRPr="004F0FBC">
        <w:rPr>
          <w:sz w:val="22"/>
          <w:szCs w:val="22"/>
        </w:rPr>
        <w:t>inais de infeção tais como febre, má disposição, feridas, problemas dentários ou sensação de ardor ao urinar</w:t>
      </w:r>
      <w:r w:rsidRPr="006462E3">
        <w:rPr>
          <w:sz w:val="22"/>
          <w:szCs w:val="22"/>
        </w:rPr>
        <w:t xml:space="preserve"> </w:t>
      </w:r>
    </w:p>
    <w:p w14:paraId="54980B44" w14:textId="77777777" w:rsidR="004462A0" w:rsidRPr="009A05BE" w:rsidRDefault="00615769" w:rsidP="004462A0">
      <w:pPr>
        <w:numPr>
          <w:ilvl w:val="2"/>
          <w:numId w:val="58"/>
        </w:numPr>
        <w:tabs>
          <w:tab w:val="left" w:pos="993"/>
        </w:tabs>
        <w:rPr>
          <w:sz w:val="22"/>
          <w:szCs w:val="22"/>
        </w:rPr>
      </w:pPr>
      <w:r>
        <w:rPr>
          <w:sz w:val="22"/>
          <w:szCs w:val="22"/>
        </w:rPr>
        <w:t>s</w:t>
      </w:r>
      <w:r w:rsidRPr="009A05BE">
        <w:rPr>
          <w:sz w:val="22"/>
          <w:szCs w:val="22"/>
        </w:rPr>
        <w:t>ensação de fraqueza ou cansaço</w:t>
      </w:r>
    </w:p>
    <w:p w14:paraId="67F500C6" w14:textId="77777777" w:rsidR="004462A0" w:rsidRPr="00854C93" w:rsidRDefault="00615769" w:rsidP="004462A0">
      <w:pPr>
        <w:numPr>
          <w:ilvl w:val="2"/>
          <w:numId w:val="58"/>
        </w:numPr>
        <w:tabs>
          <w:tab w:val="left" w:pos="993"/>
        </w:tabs>
        <w:rPr>
          <w:sz w:val="22"/>
          <w:szCs w:val="22"/>
        </w:rPr>
      </w:pPr>
      <w:r>
        <w:rPr>
          <w:sz w:val="22"/>
          <w:szCs w:val="22"/>
        </w:rPr>
        <w:t>t</w:t>
      </w:r>
      <w:r w:rsidRPr="00854C93">
        <w:rPr>
          <w:sz w:val="22"/>
          <w:szCs w:val="22"/>
        </w:rPr>
        <w:t>osse</w:t>
      </w:r>
    </w:p>
    <w:p w14:paraId="3D2B9A4D" w14:textId="77777777" w:rsidR="004462A0" w:rsidRPr="000B3FE3" w:rsidRDefault="00615769" w:rsidP="004462A0">
      <w:pPr>
        <w:numPr>
          <w:ilvl w:val="2"/>
          <w:numId w:val="58"/>
        </w:numPr>
        <w:tabs>
          <w:tab w:val="left" w:pos="993"/>
        </w:tabs>
        <w:rPr>
          <w:sz w:val="22"/>
          <w:szCs w:val="22"/>
        </w:rPr>
      </w:pPr>
      <w:r>
        <w:rPr>
          <w:sz w:val="22"/>
          <w:szCs w:val="22"/>
        </w:rPr>
        <w:t>f</w:t>
      </w:r>
      <w:r w:rsidRPr="0089156B">
        <w:rPr>
          <w:sz w:val="22"/>
          <w:szCs w:val="22"/>
        </w:rPr>
        <w:t>ormigueiro</w:t>
      </w:r>
    </w:p>
    <w:p w14:paraId="4CCB44CD" w14:textId="77777777" w:rsidR="004462A0" w:rsidRPr="00653128" w:rsidRDefault="00615769" w:rsidP="004462A0">
      <w:pPr>
        <w:numPr>
          <w:ilvl w:val="2"/>
          <w:numId w:val="58"/>
        </w:numPr>
        <w:tabs>
          <w:tab w:val="left" w:pos="993"/>
        </w:tabs>
        <w:rPr>
          <w:sz w:val="22"/>
          <w:szCs w:val="22"/>
        </w:rPr>
      </w:pPr>
      <w:r>
        <w:rPr>
          <w:sz w:val="22"/>
          <w:szCs w:val="22"/>
        </w:rPr>
        <w:t>d</w:t>
      </w:r>
      <w:r w:rsidRPr="004931CE">
        <w:rPr>
          <w:sz w:val="22"/>
          <w:szCs w:val="22"/>
        </w:rPr>
        <w:t>ormência</w:t>
      </w:r>
    </w:p>
    <w:p w14:paraId="2D1B5B98" w14:textId="77777777" w:rsidR="004462A0" w:rsidRPr="00003560" w:rsidRDefault="00615769" w:rsidP="004462A0">
      <w:pPr>
        <w:numPr>
          <w:ilvl w:val="2"/>
          <w:numId w:val="58"/>
        </w:numPr>
        <w:tabs>
          <w:tab w:val="left" w:pos="993"/>
        </w:tabs>
        <w:rPr>
          <w:sz w:val="22"/>
          <w:szCs w:val="22"/>
        </w:rPr>
      </w:pPr>
      <w:r>
        <w:rPr>
          <w:sz w:val="22"/>
          <w:szCs w:val="22"/>
        </w:rPr>
        <w:t>v</w:t>
      </w:r>
      <w:r w:rsidRPr="00D33370">
        <w:rPr>
          <w:sz w:val="22"/>
          <w:szCs w:val="22"/>
        </w:rPr>
        <w:t>isão dupla</w:t>
      </w:r>
      <w:r w:rsidRPr="00003560">
        <w:rPr>
          <w:sz w:val="22"/>
          <w:szCs w:val="22"/>
        </w:rPr>
        <w:t xml:space="preserve"> </w:t>
      </w:r>
    </w:p>
    <w:p w14:paraId="0D959802" w14:textId="77777777" w:rsidR="004462A0" w:rsidRPr="005F6F98" w:rsidRDefault="00615769" w:rsidP="004462A0">
      <w:pPr>
        <w:numPr>
          <w:ilvl w:val="2"/>
          <w:numId w:val="58"/>
        </w:numPr>
        <w:tabs>
          <w:tab w:val="left" w:pos="993"/>
        </w:tabs>
        <w:rPr>
          <w:sz w:val="22"/>
          <w:szCs w:val="22"/>
        </w:rPr>
      </w:pPr>
      <w:r>
        <w:rPr>
          <w:sz w:val="22"/>
          <w:szCs w:val="22"/>
        </w:rPr>
        <w:t>s</w:t>
      </w:r>
      <w:r w:rsidRPr="005F6F98">
        <w:rPr>
          <w:sz w:val="22"/>
          <w:szCs w:val="22"/>
        </w:rPr>
        <w:t>ensação de fraqueza nos braços ou pernas</w:t>
      </w:r>
    </w:p>
    <w:p w14:paraId="3EF54AA3" w14:textId="77777777" w:rsidR="004462A0" w:rsidRPr="00B830EC" w:rsidRDefault="00615769" w:rsidP="004462A0">
      <w:pPr>
        <w:numPr>
          <w:ilvl w:val="2"/>
          <w:numId w:val="58"/>
        </w:numPr>
        <w:tabs>
          <w:tab w:val="left" w:pos="993"/>
        </w:tabs>
        <w:rPr>
          <w:sz w:val="22"/>
          <w:szCs w:val="22"/>
        </w:rPr>
      </w:pPr>
      <w:r>
        <w:rPr>
          <w:sz w:val="22"/>
          <w:szCs w:val="22"/>
        </w:rPr>
        <w:t>i</w:t>
      </w:r>
      <w:r w:rsidRPr="002B2441">
        <w:rPr>
          <w:sz w:val="22"/>
          <w:szCs w:val="22"/>
        </w:rPr>
        <w:t>nchaço ou ferida aberta que não cicatriza</w:t>
      </w:r>
    </w:p>
    <w:p w14:paraId="633D14BF" w14:textId="77777777" w:rsidR="004462A0" w:rsidRPr="008B0DDF" w:rsidRDefault="00615769" w:rsidP="004462A0">
      <w:pPr>
        <w:numPr>
          <w:ilvl w:val="2"/>
          <w:numId w:val="58"/>
        </w:numPr>
        <w:tabs>
          <w:tab w:val="left" w:pos="993"/>
        </w:tabs>
        <w:rPr>
          <w:sz w:val="22"/>
          <w:szCs w:val="22"/>
        </w:rPr>
      </w:pPr>
      <w:r>
        <w:rPr>
          <w:sz w:val="22"/>
          <w:szCs w:val="22"/>
        </w:rPr>
        <w:t>s</w:t>
      </w:r>
      <w:r w:rsidRPr="008B0DDF">
        <w:rPr>
          <w:sz w:val="22"/>
          <w:szCs w:val="22"/>
        </w:rPr>
        <w:t>inais ou sintomas sugestivos de alterações sanguíneas tais como febre persistente, nódoas negras, hemorragias, palidez</w:t>
      </w:r>
    </w:p>
    <w:p w14:paraId="3951D2CE" w14:textId="77777777" w:rsidR="004462A0" w:rsidRPr="008B0DDF" w:rsidRDefault="004462A0" w:rsidP="004462A0">
      <w:pPr>
        <w:rPr>
          <w:sz w:val="22"/>
          <w:szCs w:val="22"/>
        </w:rPr>
      </w:pPr>
    </w:p>
    <w:p w14:paraId="13110680" w14:textId="77777777" w:rsidR="004462A0" w:rsidRPr="008B0DDF" w:rsidRDefault="00615769" w:rsidP="004462A0">
      <w:pPr>
        <w:rPr>
          <w:sz w:val="22"/>
          <w:szCs w:val="22"/>
        </w:rPr>
      </w:pPr>
      <w:r w:rsidRPr="008B0DDF">
        <w:rPr>
          <w:sz w:val="22"/>
          <w:szCs w:val="22"/>
        </w:rPr>
        <w:t xml:space="preserve">Os sintomas descritos acima podem ser sinais dos efeitos </w:t>
      </w:r>
      <w:r w:rsidR="00571C82">
        <w:rPr>
          <w:sz w:val="22"/>
          <w:szCs w:val="22"/>
        </w:rPr>
        <w:t>indesejáveis</w:t>
      </w:r>
      <w:r w:rsidRPr="008B0DDF">
        <w:rPr>
          <w:sz w:val="22"/>
          <w:szCs w:val="22"/>
        </w:rPr>
        <w:t xml:space="preserve"> descritos a seguir e que foram observados com Humira</w:t>
      </w:r>
      <w:r w:rsidR="00544D7F">
        <w:rPr>
          <w:sz w:val="22"/>
          <w:szCs w:val="22"/>
        </w:rPr>
        <w:t>.</w:t>
      </w:r>
    </w:p>
    <w:p w14:paraId="0F3311ED" w14:textId="77777777" w:rsidR="004462A0" w:rsidRPr="008B0DDF" w:rsidRDefault="004462A0" w:rsidP="004462A0">
      <w:pPr>
        <w:rPr>
          <w:sz w:val="22"/>
          <w:szCs w:val="22"/>
        </w:rPr>
      </w:pPr>
    </w:p>
    <w:p w14:paraId="35437821" w14:textId="77777777" w:rsidR="004462A0" w:rsidRPr="008B0DDF" w:rsidRDefault="00615769" w:rsidP="004462A0">
      <w:pPr>
        <w:rPr>
          <w:sz w:val="22"/>
          <w:szCs w:val="22"/>
        </w:rPr>
      </w:pPr>
      <w:r w:rsidRPr="008B0DDF">
        <w:rPr>
          <w:b/>
          <w:sz w:val="22"/>
          <w:szCs w:val="22"/>
        </w:rPr>
        <w:t>Muito frequentes</w:t>
      </w:r>
      <w:r w:rsidRPr="008B0DDF">
        <w:rPr>
          <w:sz w:val="22"/>
          <w:szCs w:val="22"/>
        </w:rPr>
        <w:t xml:space="preserve"> (podem afetar mais de 1 em 10 pessoas)</w:t>
      </w:r>
    </w:p>
    <w:p w14:paraId="78646B51" w14:textId="77777777" w:rsidR="004462A0" w:rsidRPr="008B0DDF" w:rsidRDefault="004462A0" w:rsidP="004462A0">
      <w:pPr>
        <w:rPr>
          <w:sz w:val="22"/>
          <w:szCs w:val="22"/>
        </w:rPr>
      </w:pPr>
    </w:p>
    <w:p w14:paraId="3F7600C1" w14:textId="77777777" w:rsidR="004462A0" w:rsidRPr="008B0DDF" w:rsidRDefault="00615769" w:rsidP="004462A0">
      <w:pPr>
        <w:numPr>
          <w:ilvl w:val="0"/>
          <w:numId w:val="73"/>
        </w:numPr>
        <w:tabs>
          <w:tab w:val="clear" w:pos="0"/>
        </w:tabs>
        <w:ind w:left="568" w:hanging="568"/>
        <w:rPr>
          <w:sz w:val="22"/>
          <w:szCs w:val="22"/>
        </w:rPr>
      </w:pPr>
      <w:r w:rsidRPr="008B0DDF">
        <w:rPr>
          <w:sz w:val="22"/>
          <w:szCs w:val="22"/>
        </w:rPr>
        <w:t>reações no local da injeção (incluindo dor, inchaço, vermelhidão ou comichão)</w:t>
      </w:r>
    </w:p>
    <w:p w14:paraId="2D07CF8B" w14:textId="77777777" w:rsidR="004462A0" w:rsidRPr="008B0DDF" w:rsidRDefault="00615769" w:rsidP="004462A0">
      <w:pPr>
        <w:numPr>
          <w:ilvl w:val="0"/>
          <w:numId w:val="67"/>
        </w:numPr>
        <w:tabs>
          <w:tab w:val="clear" w:pos="284"/>
          <w:tab w:val="left" w:pos="600"/>
        </w:tabs>
        <w:ind w:left="568" w:hanging="568"/>
        <w:rPr>
          <w:sz w:val="22"/>
          <w:szCs w:val="22"/>
        </w:rPr>
      </w:pPr>
      <w:r w:rsidRPr="008B0DDF">
        <w:rPr>
          <w:sz w:val="22"/>
          <w:szCs w:val="22"/>
        </w:rPr>
        <w:t>infeções do trato respiratório (incluindo constipação, nariz a pingar, infeção sinusal, pneumonia)</w:t>
      </w:r>
    </w:p>
    <w:p w14:paraId="1FB1E2C3" w14:textId="77777777" w:rsidR="004462A0" w:rsidRPr="008B0DDF" w:rsidRDefault="00615769" w:rsidP="004462A0">
      <w:pPr>
        <w:numPr>
          <w:ilvl w:val="0"/>
          <w:numId w:val="67"/>
        </w:numPr>
        <w:tabs>
          <w:tab w:val="clear" w:pos="284"/>
          <w:tab w:val="left" w:pos="600"/>
        </w:tabs>
        <w:ind w:left="568" w:hanging="568"/>
        <w:rPr>
          <w:sz w:val="22"/>
          <w:szCs w:val="22"/>
        </w:rPr>
      </w:pPr>
      <w:r w:rsidRPr="008B0DDF">
        <w:rPr>
          <w:sz w:val="22"/>
          <w:szCs w:val="22"/>
        </w:rPr>
        <w:t>dor de cabeça</w:t>
      </w:r>
    </w:p>
    <w:p w14:paraId="06550F76" w14:textId="77777777" w:rsidR="004462A0" w:rsidRPr="008B0DDF" w:rsidRDefault="00615769" w:rsidP="004462A0">
      <w:pPr>
        <w:numPr>
          <w:ilvl w:val="0"/>
          <w:numId w:val="67"/>
        </w:numPr>
        <w:tabs>
          <w:tab w:val="clear" w:pos="284"/>
          <w:tab w:val="left" w:pos="600"/>
        </w:tabs>
        <w:ind w:left="568" w:hanging="568"/>
        <w:rPr>
          <w:sz w:val="22"/>
          <w:szCs w:val="22"/>
        </w:rPr>
      </w:pPr>
      <w:r w:rsidRPr="008B0DDF">
        <w:rPr>
          <w:sz w:val="22"/>
          <w:szCs w:val="22"/>
        </w:rPr>
        <w:t>dor abdominal</w:t>
      </w:r>
    </w:p>
    <w:p w14:paraId="083ED353" w14:textId="77777777" w:rsidR="004462A0" w:rsidRPr="008B0DDF" w:rsidRDefault="00615769" w:rsidP="004462A0">
      <w:pPr>
        <w:numPr>
          <w:ilvl w:val="0"/>
          <w:numId w:val="67"/>
        </w:numPr>
        <w:tabs>
          <w:tab w:val="clear" w:pos="284"/>
          <w:tab w:val="left" w:pos="600"/>
        </w:tabs>
        <w:ind w:left="568" w:hanging="568"/>
        <w:rPr>
          <w:sz w:val="22"/>
          <w:szCs w:val="22"/>
        </w:rPr>
      </w:pPr>
      <w:r w:rsidRPr="008B0DDF">
        <w:rPr>
          <w:sz w:val="22"/>
          <w:szCs w:val="22"/>
        </w:rPr>
        <w:t>náuseas e vómitos</w:t>
      </w:r>
    </w:p>
    <w:p w14:paraId="6D3DC621" w14:textId="77777777" w:rsidR="004462A0" w:rsidRPr="008B0DDF" w:rsidRDefault="00615769" w:rsidP="004462A0">
      <w:pPr>
        <w:numPr>
          <w:ilvl w:val="0"/>
          <w:numId w:val="67"/>
        </w:numPr>
        <w:tabs>
          <w:tab w:val="clear" w:pos="284"/>
          <w:tab w:val="left" w:pos="600"/>
        </w:tabs>
        <w:ind w:left="568" w:hanging="568"/>
        <w:rPr>
          <w:sz w:val="22"/>
          <w:szCs w:val="22"/>
        </w:rPr>
      </w:pPr>
      <w:r w:rsidRPr="008B0DDF">
        <w:rPr>
          <w:sz w:val="22"/>
          <w:szCs w:val="22"/>
        </w:rPr>
        <w:t>erupção cutânea</w:t>
      </w:r>
    </w:p>
    <w:p w14:paraId="75E6DBEB" w14:textId="77777777" w:rsidR="004462A0" w:rsidRPr="008B0DDF" w:rsidRDefault="00615769" w:rsidP="004462A0">
      <w:pPr>
        <w:numPr>
          <w:ilvl w:val="0"/>
          <w:numId w:val="73"/>
        </w:numPr>
        <w:tabs>
          <w:tab w:val="clear" w:pos="0"/>
        </w:tabs>
        <w:ind w:left="568" w:hanging="568"/>
        <w:rPr>
          <w:sz w:val="22"/>
          <w:szCs w:val="22"/>
        </w:rPr>
      </w:pPr>
      <w:r w:rsidRPr="008B0DDF">
        <w:rPr>
          <w:sz w:val="22"/>
          <w:szCs w:val="22"/>
        </w:rPr>
        <w:t>dor musculoesquelética</w:t>
      </w:r>
    </w:p>
    <w:p w14:paraId="348FB0FF" w14:textId="77777777" w:rsidR="004462A0" w:rsidRPr="008B0DDF" w:rsidRDefault="004462A0" w:rsidP="004462A0">
      <w:pPr>
        <w:ind w:left="568" w:hanging="568"/>
        <w:rPr>
          <w:sz w:val="22"/>
          <w:szCs w:val="22"/>
        </w:rPr>
      </w:pPr>
    </w:p>
    <w:p w14:paraId="0785EC66" w14:textId="77777777" w:rsidR="004462A0" w:rsidRPr="008B0DDF" w:rsidRDefault="00615769" w:rsidP="0010302F">
      <w:pPr>
        <w:keepNext/>
        <w:ind w:left="568" w:hanging="568"/>
        <w:rPr>
          <w:sz w:val="22"/>
          <w:szCs w:val="22"/>
        </w:rPr>
      </w:pPr>
      <w:r w:rsidRPr="008B0DDF">
        <w:rPr>
          <w:b/>
          <w:sz w:val="22"/>
          <w:szCs w:val="22"/>
        </w:rPr>
        <w:t xml:space="preserve">Frequentes </w:t>
      </w:r>
      <w:r w:rsidRPr="008B0DDF">
        <w:rPr>
          <w:sz w:val="22"/>
          <w:szCs w:val="22"/>
        </w:rPr>
        <w:t>(podem afetar até 1 em 10 pessoas)</w:t>
      </w:r>
    </w:p>
    <w:p w14:paraId="37CABCA7" w14:textId="77777777" w:rsidR="004462A0" w:rsidRPr="008B0DDF" w:rsidRDefault="004462A0" w:rsidP="0010302F">
      <w:pPr>
        <w:keepNext/>
        <w:ind w:left="568" w:hanging="568"/>
        <w:rPr>
          <w:sz w:val="22"/>
          <w:szCs w:val="22"/>
        </w:rPr>
      </w:pPr>
    </w:p>
    <w:p w14:paraId="77B423F6" w14:textId="77777777" w:rsidR="004462A0" w:rsidRDefault="00615769" w:rsidP="0010302F">
      <w:pPr>
        <w:keepNext/>
        <w:numPr>
          <w:ilvl w:val="0"/>
          <w:numId w:val="73"/>
        </w:numPr>
        <w:tabs>
          <w:tab w:val="clear" w:pos="0"/>
        </w:tabs>
        <w:ind w:left="567" w:hanging="567"/>
        <w:rPr>
          <w:sz w:val="22"/>
          <w:szCs w:val="22"/>
        </w:rPr>
      </w:pPr>
      <w:r w:rsidRPr="008B0DDF">
        <w:rPr>
          <w:sz w:val="22"/>
          <w:szCs w:val="22"/>
        </w:rPr>
        <w:t xml:space="preserve">infeções </w:t>
      </w:r>
      <w:r w:rsidR="006057F6">
        <w:rPr>
          <w:sz w:val="22"/>
          <w:szCs w:val="22"/>
        </w:rPr>
        <w:t>graves</w:t>
      </w:r>
      <w:r w:rsidRPr="008B0DDF">
        <w:rPr>
          <w:sz w:val="22"/>
          <w:szCs w:val="22"/>
        </w:rPr>
        <w:t xml:space="preserve"> (incluindo envenenamento do sangue e gripe)</w:t>
      </w:r>
    </w:p>
    <w:p w14:paraId="54D497A4" w14:textId="77777777" w:rsidR="00A54CB1" w:rsidRPr="008B0DDF" w:rsidRDefault="00615769" w:rsidP="004462A0">
      <w:pPr>
        <w:numPr>
          <w:ilvl w:val="0"/>
          <w:numId w:val="73"/>
        </w:numPr>
        <w:tabs>
          <w:tab w:val="clear" w:pos="0"/>
        </w:tabs>
        <w:ind w:left="567" w:hanging="567"/>
        <w:rPr>
          <w:sz w:val="22"/>
          <w:szCs w:val="22"/>
        </w:rPr>
      </w:pPr>
      <w:r>
        <w:rPr>
          <w:sz w:val="22"/>
          <w:szCs w:val="22"/>
        </w:rPr>
        <w:t>infeções intestinais (incluindo gastroenterite)</w:t>
      </w:r>
    </w:p>
    <w:p w14:paraId="7ACA5168"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infeções da pele (incluindo celulite e zona)</w:t>
      </w:r>
    </w:p>
    <w:p w14:paraId="3EA1F306"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 xml:space="preserve">infeções </w:t>
      </w:r>
      <w:r>
        <w:rPr>
          <w:sz w:val="22"/>
          <w:szCs w:val="22"/>
        </w:rPr>
        <w:t>dos ouvidos</w:t>
      </w:r>
    </w:p>
    <w:p w14:paraId="65F50AEA"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infeções orais (incluindo infeções dentárias e constipações)</w:t>
      </w:r>
    </w:p>
    <w:p w14:paraId="04B095C4"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infeções do sistema reprodutor</w:t>
      </w:r>
    </w:p>
    <w:p w14:paraId="056E431E" w14:textId="77777777" w:rsidR="004462A0" w:rsidRPr="008B0DDF" w:rsidRDefault="00615769" w:rsidP="004462A0">
      <w:pPr>
        <w:numPr>
          <w:ilvl w:val="0"/>
          <w:numId w:val="73"/>
        </w:numPr>
        <w:tabs>
          <w:tab w:val="clear" w:pos="0"/>
        </w:tabs>
        <w:ind w:left="568" w:hanging="568"/>
        <w:rPr>
          <w:sz w:val="22"/>
          <w:szCs w:val="22"/>
        </w:rPr>
      </w:pPr>
      <w:r w:rsidRPr="008B0DDF">
        <w:rPr>
          <w:sz w:val="22"/>
          <w:szCs w:val="22"/>
        </w:rPr>
        <w:t>infeção do trato urinário</w:t>
      </w:r>
    </w:p>
    <w:p w14:paraId="7211913D" w14:textId="77777777" w:rsidR="004462A0" w:rsidRPr="008B0DDF" w:rsidRDefault="00615769" w:rsidP="004462A0">
      <w:pPr>
        <w:numPr>
          <w:ilvl w:val="0"/>
          <w:numId w:val="73"/>
        </w:numPr>
        <w:tabs>
          <w:tab w:val="clear" w:pos="0"/>
        </w:tabs>
        <w:ind w:left="568" w:hanging="568"/>
        <w:rPr>
          <w:sz w:val="22"/>
          <w:szCs w:val="22"/>
        </w:rPr>
      </w:pPr>
      <w:r w:rsidRPr="008B0DDF">
        <w:rPr>
          <w:sz w:val="22"/>
          <w:szCs w:val="22"/>
        </w:rPr>
        <w:t>infeções fúngicas</w:t>
      </w:r>
    </w:p>
    <w:p w14:paraId="26FDCBF8" w14:textId="77777777" w:rsidR="004462A0" w:rsidRPr="008B0DDF" w:rsidRDefault="00615769" w:rsidP="004462A0">
      <w:pPr>
        <w:numPr>
          <w:ilvl w:val="0"/>
          <w:numId w:val="73"/>
        </w:numPr>
        <w:tabs>
          <w:tab w:val="clear" w:pos="0"/>
        </w:tabs>
        <w:ind w:left="568" w:hanging="568"/>
        <w:rPr>
          <w:sz w:val="22"/>
          <w:szCs w:val="22"/>
        </w:rPr>
      </w:pPr>
      <w:r w:rsidRPr="008B0DDF">
        <w:rPr>
          <w:sz w:val="22"/>
          <w:szCs w:val="22"/>
        </w:rPr>
        <w:t xml:space="preserve">infeções </w:t>
      </w:r>
      <w:r>
        <w:rPr>
          <w:sz w:val="22"/>
          <w:szCs w:val="22"/>
        </w:rPr>
        <w:t>das articulações</w:t>
      </w:r>
    </w:p>
    <w:p w14:paraId="7186B7D7"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tumores benignos</w:t>
      </w:r>
    </w:p>
    <w:p w14:paraId="5847AFA3"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cancro da pele</w:t>
      </w:r>
    </w:p>
    <w:p w14:paraId="5129D5DB"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reações alérgicas (incluindo alergia sazonal)</w:t>
      </w:r>
    </w:p>
    <w:p w14:paraId="4CFE2400"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desidratação</w:t>
      </w:r>
    </w:p>
    <w:p w14:paraId="4CB7EDFD"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alterações do humor (incluindo depressão)</w:t>
      </w:r>
    </w:p>
    <w:p w14:paraId="4731E285"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ansiedade</w:t>
      </w:r>
    </w:p>
    <w:p w14:paraId="5FCBD976"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dificuldade em adormecer</w:t>
      </w:r>
    </w:p>
    <w:p w14:paraId="2A627935"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alterações neurológicas tais como prurido, comichão ou dormência</w:t>
      </w:r>
    </w:p>
    <w:p w14:paraId="1ED0AAF7"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enxaqueca</w:t>
      </w:r>
    </w:p>
    <w:p w14:paraId="463B8EDC"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compressão da raiz nervosa (incluindo dor lombar e dor nas pernas)</w:t>
      </w:r>
    </w:p>
    <w:p w14:paraId="75E4728C"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alterações da visão</w:t>
      </w:r>
    </w:p>
    <w:p w14:paraId="580B62E3"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inflamação dos olhos</w:t>
      </w:r>
    </w:p>
    <w:p w14:paraId="47DD8C62"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inflamação das pálpebras e inchaço d</w:t>
      </w:r>
      <w:r w:rsidR="00E47A88">
        <w:rPr>
          <w:sz w:val="22"/>
          <w:szCs w:val="22"/>
        </w:rPr>
        <w:t>os</w:t>
      </w:r>
      <w:r w:rsidRPr="008B0DDF">
        <w:rPr>
          <w:sz w:val="22"/>
          <w:szCs w:val="22"/>
        </w:rPr>
        <w:t xml:space="preserve"> olhos</w:t>
      </w:r>
    </w:p>
    <w:p w14:paraId="195F775A" w14:textId="77777777" w:rsidR="004462A0" w:rsidRPr="008B0DDF" w:rsidRDefault="00615769" w:rsidP="004462A0">
      <w:pPr>
        <w:numPr>
          <w:ilvl w:val="0"/>
          <w:numId w:val="73"/>
        </w:numPr>
        <w:tabs>
          <w:tab w:val="clear" w:pos="0"/>
        </w:tabs>
        <w:ind w:left="568" w:hanging="568"/>
        <w:rPr>
          <w:sz w:val="22"/>
          <w:szCs w:val="22"/>
        </w:rPr>
      </w:pPr>
      <w:r w:rsidRPr="008B0DDF">
        <w:rPr>
          <w:sz w:val="22"/>
          <w:szCs w:val="22"/>
        </w:rPr>
        <w:t xml:space="preserve">vertigem (sensação de tontura ou movimento) </w:t>
      </w:r>
    </w:p>
    <w:p w14:paraId="7E7272CF" w14:textId="77777777" w:rsidR="004462A0" w:rsidRPr="008B0DDF" w:rsidRDefault="00615769" w:rsidP="004462A0">
      <w:pPr>
        <w:numPr>
          <w:ilvl w:val="0"/>
          <w:numId w:val="70"/>
        </w:numPr>
        <w:tabs>
          <w:tab w:val="clear" w:pos="0"/>
        </w:tabs>
        <w:ind w:left="567" w:hanging="567"/>
        <w:rPr>
          <w:sz w:val="22"/>
          <w:szCs w:val="22"/>
        </w:rPr>
      </w:pPr>
      <w:r w:rsidRPr="008B0DDF">
        <w:rPr>
          <w:sz w:val="22"/>
          <w:szCs w:val="22"/>
        </w:rPr>
        <w:t>sensação de batimento cardíaco rápido</w:t>
      </w:r>
    </w:p>
    <w:p w14:paraId="07AB7B78" w14:textId="77777777" w:rsidR="004462A0" w:rsidRPr="008B0DDF" w:rsidRDefault="00615769" w:rsidP="004462A0">
      <w:pPr>
        <w:numPr>
          <w:ilvl w:val="0"/>
          <w:numId w:val="70"/>
        </w:numPr>
        <w:tabs>
          <w:tab w:val="clear" w:pos="0"/>
        </w:tabs>
        <w:ind w:left="567" w:hanging="567"/>
        <w:rPr>
          <w:sz w:val="22"/>
          <w:szCs w:val="22"/>
        </w:rPr>
      </w:pPr>
      <w:r>
        <w:rPr>
          <w:sz w:val="22"/>
          <w:szCs w:val="22"/>
        </w:rPr>
        <w:t>tensão</w:t>
      </w:r>
      <w:r w:rsidRPr="008B0DDF">
        <w:rPr>
          <w:sz w:val="22"/>
          <w:szCs w:val="22"/>
        </w:rPr>
        <w:t xml:space="preserve"> arterial alta</w:t>
      </w:r>
    </w:p>
    <w:p w14:paraId="58AC5F44" w14:textId="77777777" w:rsidR="004462A0" w:rsidRPr="008B0DDF" w:rsidRDefault="00615769" w:rsidP="004462A0">
      <w:pPr>
        <w:numPr>
          <w:ilvl w:val="0"/>
          <w:numId w:val="70"/>
        </w:numPr>
        <w:tabs>
          <w:tab w:val="clear" w:pos="0"/>
        </w:tabs>
        <w:ind w:left="567" w:hanging="567"/>
        <w:rPr>
          <w:sz w:val="22"/>
          <w:szCs w:val="22"/>
        </w:rPr>
      </w:pPr>
      <w:r>
        <w:rPr>
          <w:sz w:val="22"/>
          <w:szCs w:val="22"/>
        </w:rPr>
        <w:t>vermelhidão</w:t>
      </w:r>
    </w:p>
    <w:p w14:paraId="67CFA824" w14:textId="77777777" w:rsidR="004462A0" w:rsidRPr="008B0DDF" w:rsidRDefault="00615769" w:rsidP="004462A0">
      <w:pPr>
        <w:numPr>
          <w:ilvl w:val="0"/>
          <w:numId w:val="70"/>
        </w:numPr>
        <w:tabs>
          <w:tab w:val="clear" w:pos="0"/>
        </w:tabs>
        <w:ind w:left="567" w:hanging="567"/>
        <w:rPr>
          <w:sz w:val="22"/>
          <w:szCs w:val="22"/>
        </w:rPr>
      </w:pPr>
      <w:r w:rsidRPr="008B0DDF">
        <w:rPr>
          <w:sz w:val="22"/>
          <w:szCs w:val="22"/>
        </w:rPr>
        <w:t>hematoma (concentração de sangue fora dos vasos sanguíneos)</w:t>
      </w:r>
    </w:p>
    <w:p w14:paraId="24725142" w14:textId="77777777" w:rsidR="004462A0" w:rsidRPr="008B0DDF" w:rsidRDefault="00615769" w:rsidP="004462A0">
      <w:pPr>
        <w:numPr>
          <w:ilvl w:val="0"/>
          <w:numId w:val="73"/>
        </w:numPr>
        <w:tabs>
          <w:tab w:val="clear" w:pos="0"/>
        </w:tabs>
        <w:ind w:left="568" w:hanging="568"/>
        <w:rPr>
          <w:sz w:val="22"/>
          <w:szCs w:val="22"/>
        </w:rPr>
      </w:pPr>
      <w:r w:rsidRPr="008B0DDF">
        <w:rPr>
          <w:sz w:val="22"/>
          <w:szCs w:val="22"/>
        </w:rPr>
        <w:t>tosse</w:t>
      </w:r>
    </w:p>
    <w:p w14:paraId="50A42532" w14:textId="77777777" w:rsidR="004462A0" w:rsidRPr="008B0DDF" w:rsidRDefault="00615769" w:rsidP="004462A0">
      <w:pPr>
        <w:numPr>
          <w:ilvl w:val="0"/>
          <w:numId w:val="70"/>
        </w:numPr>
        <w:tabs>
          <w:tab w:val="clear" w:pos="0"/>
        </w:tabs>
        <w:ind w:left="567" w:hanging="567"/>
        <w:rPr>
          <w:sz w:val="22"/>
          <w:szCs w:val="22"/>
        </w:rPr>
      </w:pPr>
      <w:r w:rsidRPr="008B0DDF">
        <w:rPr>
          <w:sz w:val="22"/>
          <w:szCs w:val="22"/>
        </w:rPr>
        <w:t>asma</w:t>
      </w:r>
    </w:p>
    <w:p w14:paraId="4433CF4C" w14:textId="77777777" w:rsidR="004462A0" w:rsidRPr="008B0DDF" w:rsidRDefault="00615769" w:rsidP="004462A0">
      <w:pPr>
        <w:numPr>
          <w:ilvl w:val="0"/>
          <w:numId w:val="70"/>
        </w:numPr>
        <w:tabs>
          <w:tab w:val="clear" w:pos="0"/>
        </w:tabs>
        <w:ind w:left="567" w:hanging="567"/>
        <w:rPr>
          <w:sz w:val="22"/>
          <w:szCs w:val="22"/>
        </w:rPr>
      </w:pPr>
      <w:r w:rsidRPr="008B0DDF">
        <w:rPr>
          <w:sz w:val="22"/>
          <w:szCs w:val="22"/>
        </w:rPr>
        <w:t>dificuldade em respirar</w:t>
      </w:r>
    </w:p>
    <w:p w14:paraId="12A4722D" w14:textId="77777777" w:rsidR="004462A0" w:rsidRPr="008B0DDF" w:rsidRDefault="00615769" w:rsidP="004462A0">
      <w:pPr>
        <w:numPr>
          <w:ilvl w:val="0"/>
          <w:numId w:val="70"/>
        </w:numPr>
        <w:tabs>
          <w:tab w:val="clear" w:pos="0"/>
        </w:tabs>
        <w:ind w:left="567" w:hanging="567"/>
        <w:rPr>
          <w:sz w:val="22"/>
          <w:szCs w:val="22"/>
        </w:rPr>
      </w:pPr>
      <w:r w:rsidRPr="008B0DDF">
        <w:rPr>
          <w:sz w:val="22"/>
          <w:szCs w:val="22"/>
        </w:rPr>
        <w:t>hemorragia gastrointestinal</w:t>
      </w:r>
    </w:p>
    <w:p w14:paraId="49BCDA79" w14:textId="77777777" w:rsidR="004462A0" w:rsidRPr="008B0DDF" w:rsidRDefault="00615769" w:rsidP="004462A0">
      <w:pPr>
        <w:numPr>
          <w:ilvl w:val="0"/>
          <w:numId w:val="70"/>
        </w:numPr>
        <w:tabs>
          <w:tab w:val="clear" w:pos="0"/>
        </w:tabs>
        <w:ind w:left="567" w:hanging="567"/>
        <w:rPr>
          <w:sz w:val="22"/>
          <w:szCs w:val="22"/>
        </w:rPr>
      </w:pPr>
      <w:r w:rsidRPr="008B0DDF">
        <w:rPr>
          <w:sz w:val="22"/>
          <w:szCs w:val="22"/>
        </w:rPr>
        <w:t>dispepsia (indigestão, inchaço, azia)</w:t>
      </w:r>
    </w:p>
    <w:p w14:paraId="6D1641A6" w14:textId="77777777" w:rsidR="004462A0" w:rsidRPr="008B0DDF" w:rsidRDefault="00615769" w:rsidP="004462A0">
      <w:pPr>
        <w:numPr>
          <w:ilvl w:val="0"/>
          <w:numId w:val="70"/>
        </w:numPr>
        <w:tabs>
          <w:tab w:val="clear" w:pos="0"/>
        </w:tabs>
        <w:ind w:left="567" w:hanging="567"/>
        <w:rPr>
          <w:sz w:val="22"/>
          <w:szCs w:val="22"/>
        </w:rPr>
      </w:pPr>
      <w:r w:rsidRPr="008B0DDF">
        <w:rPr>
          <w:sz w:val="22"/>
          <w:szCs w:val="22"/>
        </w:rPr>
        <w:t>doença de refluxo</w:t>
      </w:r>
    </w:p>
    <w:p w14:paraId="09E17A83" w14:textId="77777777" w:rsidR="004462A0" w:rsidRPr="008B0DDF" w:rsidRDefault="00615769" w:rsidP="004462A0">
      <w:pPr>
        <w:numPr>
          <w:ilvl w:val="0"/>
          <w:numId w:val="70"/>
        </w:numPr>
        <w:tabs>
          <w:tab w:val="clear" w:pos="0"/>
        </w:tabs>
        <w:ind w:left="567" w:hanging="567"/>
        <w:rPr>
          <w:sz w:val="22"/>
          <w:szCs w:val="22"/>
        </w:rPr>
      </w:pPr>
      <w:r w:rsidRPr="008B0DDF">
        <w:rPr>
          <w:sz w:val="22"/>
          <w:szCs w:val="22"/>
        </w:rPr>
        <w:t>síndrome de sicca (incluindo olhos e boca seca)</w:t>
      </w:r>
    </w:p>
    <w:p w14:paraId="2A25BB26" w14:textId="77777777" w:rsidR="004462A0" w:rsidRPr="008B0DDF" w:rsidRDefault="00615769" w:rsidP="004462A0">
      <w:pPr>
        <w:numPr>
          <w:ilvl w:val="0"/>
          <w:numId w:val="70"/>
        </w:numPr>
        <w:tabs>
          <w:tab w:val="clear" w:pos="0"/>
        </w:tabs>
        <w:ind w:left="567" w:hanging="567"/>
        <w:rPr>
          <w:sz w:val="22"/>
          <w:szCs w:val="22"/>
        </w:rPr>
      </w:pPr>
      <w:r w:rsidRPr="008B0DDF">
        <w:rPr>
          <w:sz w:val="22"/>
          <w:szCs w:val="22"/>
        </w:rPr>
        <w:t>comichão</w:t>
      </w:r>
    </w:p>
    <w:p w14:paraId="04896631"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erupção da pele com comichão</w:t>
      </w:r>
    </w:p>
    <w:p w14:paraId="262220EC"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nódoas negras</w:t>
      </w:r>
    </w:p>
    <w:p w14:paraId="0655BD47"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inflamação da pele (tais como eczema)</w:t>
      </w:r>
    </w:p>
    <w:p w14:paraId="224B0178"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unhas das mãos e dos pés quebradiças</w:t>
      </w:r>
    </w:p>
    <w:p w14:paraId="328426AC"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aumento de suor</w:t>
      </w:r>
    </w:p>
    <w:p w14:paraId="12CC524E"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perda de cabelo</w:t>
      </w:r>
    </w:p>
    <w:p w14:paraId="437E2831"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início ou agravamento da psoríase</w:t>
      </w:r>
    </w:p>
    <w:p w14:paraId="59D8BFEF"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espasmos musculares</w:t>
      </w:r>
    </w:p>
    <w:p w14:paraId="6B480F62"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sangue na urina</w:t>
      </w:r>
    </w:p>
    <w:p w14:paraId="46832175"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perturbações renais</w:t>
      </w:r>
    </w:p>
    <w:p w14:paraId="2FA74CE9"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dor no peito</w:t>
      </w:r>
    </w:p>
    <w:p w14:paraId="403E6474"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 xml:space="preserve">edema (inchaço) </w:t>
      </w:r>
    </w:p>
    <w:p w14:paraId="34A09FDE"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febre</w:t>
      </w:r>
    </w:p>
    <w:p w14:paraId="1121C671"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redução nas plaquetas sanguíneas aumentando o risco de hemorragia ou de nódoas negras</w:t>
      </w:r>
    </w:p>
    <w:p w14:paraId="57C698C4" w14:textId="77777777" w:rsidR="004462A0" w:rsidRPr="008B0DDF" w:rsidRDefault="00615769" w:rsidP="004462A0">
      <w:pPr>
        <w:numPr>
          <w:ilvl w:val="0"/>
          <w:numId w:val="73"/>
        </w:numPr>
        <w:tabs>
          <w:tab w:val="clear" w:pos="0"/>
        </w:tabs>
        <w:ind w:left="568" w:hanging="568"/>
        <w:rPr>
          <w:sz w:val="22"/>
          <w:szCs w:val="22"/>
        </w:rPr>
      </w:pPr>
      <w:r w:rsidRPr="008B0DDF">
        <w:rPr>
          <w:sz w:val="22"/>
          <w:szCs w:val="22"/>
        </w:rPr>
        <w:t>diminuição na cicatrização</w:t>
      </w:r>
    </w:p>
    <w:p w14:paraId="78DF8E7C" w14:textId="77777777" w:rsidR="004462A0" w:rsidRPr="008B0DDF" w:rsidRDefault="004462A0" w:rsidP="004462A0">
      <w:pPr>
        <w:rPr>
          <w:sz w:val="22"/>
          <w:szCs w:val="22"/>
        </w:rPr>
      </w:pPr>
    </w:p>
    <w:p w14:paraId="336A31D8" w14:textId="77777777" w:rsidR="004462A0" w:rsidRPr="004F0FBC" w:rsidRDefault="00615769" w:rsidP="00040D46">
      <w:pPr>
        <w:keepNext/>
        <w:rPr>
          <w:sz w:val="22"/>
          <w:szCs w:val="22"/>
        </w:rPr>
      </w:pPr>
      <w:r w:rsidRPr="008B0DDF">
        <w:rPr>
          <w:b/>
          <w:sz w:val="22"/>
          <w:szCs w:val="22"/>
        </w:rPr>
        <w:t>Pouco frequentes</w:t>
      </w:r>
      <w:r w:rsidRPr="00454F99">
        <w:rPr>
          <w:sz w:val="22"/>
          <w:szCs w:val="22"/>
        </w:rPr>
        <w:t xml:space="preserve"> (podem afetar até 1 em 100 pessoas)</w:t>
      </w:r>
    </w:p>
    <w:p w14:paraId="0C06FC9F" w14:textId="77777777" w:rsidR="004462A0" w:rsidRPr="006462E3" w:rsidRDefault="004462A0" w:rsidP="004462A0">
      <w:pPr>
        <w:rPr>
          <w:sz w:val="22"/>
          <w:szCs w:val="22"/>
        </w:rPr>
      </w:pPr>
    </w:p>
    <w:p w14:paraId="03160860" w14:textId="77777777" w:rsidR="004462A0" w:rsidRPr="009A05BE" w:rsidRDefault="00615769" w:rsidP="004462A0">
      <w:pPr>
        <w:numPr>
          <w:ilvl w:val="0"/>
          <w:numId w:val="68"/>
        </w:numPr>
        <w:tabs>
          <w:tab w:val="clear" w:pos="283"/>
          <w:tab w:val="num" w:pos="600"/>
        </w:tabs>
        <w:ind w:left="568" w:hanging="567"/>
        <w:rPr>
          <w:sz w:val="22"/>
          <w:szCs w:val="22"/>
        </w:rPr>
      </w:pPr>
      <w:r w:rsidRPr="006462E3">
        <w:rPr>
          <w:sz w:val="22"/>
          <w:szCs w:val="22"/>
        </w:rPr>
        <w:t>infeções oportunistas (as quais incluem tuberculose e outras infeções que ocorrem quando a resistência à doença está diminuída)</w:t>
      </w:r>
    </w:p>
    <w:p w14:paraId="7F4C0F95" w14:textId="77777777" w:rsidR="004462A0" w:rsidRPr="00854C93" w:rsidRDefault="00615769" w:rsidP="004462A0">
      <w:pPr>
        <w:numPr>
          <w:ilvl w:val="0"/>
          <w:numId w:val="68"/>
        </w:numPr>
        <w:tabs>
          <w:tab w:val="clear" w:pos="283"/>
          <w:tab w:val="num" w:pos="600"/>
        </w:tabs>
        <w:ind w:left="568" w:hanging="567"/>
        <w:rPr>
          <w:sz w:val="22"/>
          <w:szCs w:val="22"/>
        </w:rPr>
      </w:pPr>
      <w:r w:rsidRPr="00854C93">
        <w:rPr>
          <w:sz w:val="22"/>
          <w:szCs w:val="22"/>
        </w:rPr>
        <w:t>infeções neurológicas (incluindo meningite viral)</w:t>
      </w:r>
    </w:p>
    <w:p w14:paraId="23FEB6A0" w14:textId="77777777" w:rsidR="004462A0" w:rsidRPr="000B3FE3" w:rsidRDefault="00615769" w:rsidP="004462A0">
      <w:pPr>
        <w:numPr>
          <w:ilvl w:val="0"/>
          <w:numId w:val="68"/>
        </w:numPr>
        <w:tabs>
          <w:tab w:val="clear" w:pos="283"/>
          <w:tab w:val="num" w:pos="600"/>
        </w:tabs>
        <w:ind w:left="568" w:hanging="567"/>
        <w:rPr>
          <w:sz w:val="22"/>
          <w:szCs w:val="22"/>
        </w:rPr>
      </w:pPr>
      <w:r w:rsidRPr="0089156B">
        <w:rPr>
          <w:sz w:val="22"/>
          <w:szCs w:val="22"/>
        </w:rPr>
        <w:t>infeções oculares</w:t>
      </w:r>
    </w:p>
    <w:p w14:paraId="7DB0ED77" w14:textId="77777777" w:rsidR="004462A0" w:rsidRPr="00653128" w:rsidRDefault="00615769" w:rsidP="004462A0">
      <w:pPr>
        <w:numPr>
          <w:ilvl w:val="0"/>
          <w:numId w:val="68"/>
        </w:numPr>
        <w:tabs>
          <w:tab w:val="clear" w:pos="283"/>
          <w:tab w:val="num" w:pos="600"/>
        </w:tabs>
        <w:ind w:hanging="567"/>
        <w:rPr>
          <w:sz w:val="22"/>
          <w:szCs w:val="22"/>
        </w:rPr>
      </w:pPr>
      <w:r w:rsidRPr="004931CE">
        <w:rPr>
          <w:sz w:val="22"/>
          <w:szCs w:val="22"/>
        </w:rPr>
        <w:t>infeções bacterianas</w:t>
      </w:r>
    </w:p>
    <w:p w14:paraId="0792EA2A" w14:textId="77777777" w:rsidR="004462A0" w:rsidRPr="00003560" w:rsidRDefault="00615769" w:rsidP="004462A0">
      <w:pPr>
        <w:numPr>
          <w:ilvl w:val="0"/>
          <w:numId w:val="68"/>
        </w:numPr>
        <w:tabs>
          <w:tab w:val="clear" w:pos="283"/>
          <w:tab w:val="num" w:pos="600"/>
        </w:tabs>
        <w:ind w:hanging="567"/>
        <w:rPr>
          <w:sz w:val="22"/>
          <w:szCs w:val="22"/>
        </w:rPr>
      </w:pPr>
      <w:r w:rsidRPr="00D33370">
        <w:rPr>
          <w:sz w:val="22"/>
          <w:szCs w:val="22"/>
        </w:rPr>
        <w:t>diverticulite (inflamação e infeção do intestino grosso)</w:t>
      </w:r>
    </w:p>
    <w:p w14:paraId="2A2E1185" w14:textId="77777777" w:rsidR="004462A0" w:rsidRPr="005F6F98" w:rsidRDefault="00615769" w:rsidP="004462A0">
      <w:pPr>
        <w:numPr>
          <w:ilvl w:val="0"/>
          <w:numId w:val="68"/>
        </w:numPr>
        <w:tabs>
          <w:tab w:val="clear" w:pos="283"/>
          <w:tab w:val="num" w:pos="600"/>
        </w:tabs>
        <w:ind w:hanging="567"/>
        <w:rPr>
          <w:sz w:val="22"/>
          <w:szCs w:val="22"/>
        </w:rPr>
      </w:pPr>
      <w:r w:rsidRPr="005F6F98">
        <w:rPr>
          <w:sz w:val="22"/>
          <w:szCs w:val="22"/>
        </w:rPr>
        <w:t>cancro</w:t>
      </w:r>
    </w:p>
    <w:p w14:paraId="4462E100" w14:textId="77777777" w:rsidR="004462A0" w:rsidRPr="00B830EC" w:rsidRDefault="00615769" w:rsidP="004462A0">
      <w:pPr>
        <w:numPr>
          <w:ilvl w:val="0"/>
          <w:numId w:val="68"/>
        </w:numPr>
        <w:tabs>
          <w:tab w:val="clear" w:pos="283"/>
          <w:tab w:val="num" w:pos="600"/>
        </w:tabs>
        <w:ind w:hanging="567"/>
        <w:rPr>
          <w:sz w:val="22"/>
          <w:szCs w:val="22"/>
        </w:rPr>
      </w:pPr>
      <w:r w:rsidRPr="002B2441">
        <w:rPr>
          <w:sz w:val="22"/>
          <w:szCs w:val="22"/>
        </w:rPr>
        <w:t>cancro que afeta o sistema linfático</w:t>
      </w:r>
    </w:p>
    <w:p w14:paraId="205E93FE"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melanoma</w:t>
      </w:r>
    </w:p>
    <w:p w14:paraId="67604CB1" w14:textId="77777777" w:rsidR="004462A0" w:rsidRPr="008B0DDF" w:rsidRDefault="00615769" w:rsidP="004462A0">
      <w:pPr>
        <w:numPr>
          <w:ilvl w:val="0"/>
          <w:numId w:val="68"/>
        </w:numPr>
        <w:tabs>
          <w:tab w:val="clear" w:pos="283"/>
          <w:tab w:val="num" w:pos="0"/>
        </w:tabs>
        <w:ind w:hanging="566"/>
        <w:rPr>
          <w:sz w:val="22"/>
          <w:szCs w:val="22"/>
        </w:rPr>
      </w:pPr>
      <w:r w:rsidRPr="008B0DDF">
        <w:rPr>
          <w:sz w:val="22"/>
          <w:szCs w:val="22"/>
        </w:rPr>
        <w:t>perturbações do sistema imunitário que podem afetar os pulmões, pele e gânglios linfáticos (apresentando-se mais frequentemente como sarcoidose)</w:t>
      </w:r>
    </w:p>
    <w:p w14:paraId="746AFED6"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vasculite (inflamação dos vasos sanguíneos)</w:t>
      </w:r>
    </w:p>
    <w:p w14:paraId="47BF3E18"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tremor (agitação)</w:t>
      </w:r>
    </w:p>
    <w:p w14:paraId="0EBDFD5B"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neuropatia (alteração dos nervos)</w:t>
      </w:r>
    </w:p>
    <w:p w14:paraId="29AD4F59"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AVC</w:t>
      </w:r>
    </w:p>
    <w:p w14:paraId="78C9C127" w14:textId="77777777" w:rsidR="004462A0" w:rsidRPr="00A54CB1" w:rsidRDefault="00615769" w:rsidP="00F03C54">
      <w:pPr>
        <w:numPr>
          <w:ilvl w:val="0"/>
          <w:numId w:val="68"/>
        </w:numPr>
        <w:tabs>
          <w:tab w:val="clear" w:pos="283"/>
          <w:tab w:val="num" w:pos="600"/>
        </w:tabs>
        <w:ind w:hanging="567"/>
        <w:rPr>
          <w:sz w:val="22"/>
          <w:szCs w:val="22"/>
        </w:rPr>
      </w:pPr>
      <w:r w:rsidRPr="00A54CB1">
        <w:rPr>
          <w:sz w:val="22"/>
          <w:szCs w:val="22"/>
        </w:rPr>
        <w:t>perda de audição, zumbido</w:t>
      </w:r>
    </w:p>
    <w:p w14:paraId="6F03DB5E"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sensação de batimento irregular do coração tal como palpitações</w:t>
      </w:r>
    </w:p>
    <w:p w14:paraId="02039C10"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problemas no coração que podem causar falta de ar ou inchaço nos tornozelos</w:t>
      </w:r>
    </w:p>
    <w:p w14:paraId="5F86CF7A"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ataque cardíaco</w:t>
      </w:r>
    </w:p>
    <w:p w14:paraId="51D267F8"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quisto na parede de uma artéria maior, inflamação e coágulo de uma veia, bloqueio de um vaso sanguíneo</w:t>
      </w:r>
    </w:p>
    <w:p w14:paraId="0FEB6E1D"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doenças pulmonares causando falta de ar (incluindo inflamação)</w:t>
      </w:r>
    </w:p>
    <w:p w14:paraId="55EBF9EB"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emboli</w:t>
      </w:r>
      <w:r w:rsidR="003E3AA9">
        <w:rPr>
          <w:sz w:val="22"/>
          <w:szCs w:val="22"/>
        </w:rPr>
        <w:t>a</w:t>
      </w:r>
      <w:r w:rsidRPr="008B0DDF">
        <w:rPr>
          <w:sz w:val="22"/>
          <w:szCs w:val="22"/>
        </w:rPr>
        <w:t xml:space="preserve"> pulmonar (bloqueio de uma artéria </w:t>
      </w:r>
      <w:r w:rsidR="00F840DB">
        <w:rPr>
          <w:sz w:val="22"/>
          <w:szCs w:val="22"/>
        </w:rPr>
        <w:t>no pulmão</w:t>
      </w:r>
      <w:r w:rsidRPr="008B0DDF">
        <w:rPr>
          <w:sz w:val="22"/>
          <w:szCs w:val="22"/>
        </w:rPr>
        <w:t>)</w:t>
      </w:r>
    </w:p>
    <w:p w14:paraId="58DF8CBA"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derrame pleural (acumulação anormal de líquido no espaço pleural)</w:t>
      </w:r>
    </w:p>
    <w:p w14:paraId="1326AC0A"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inflamação do pâncreas que causa dor grave no abdómen e costas</w:t>
      </w:r>
    </w:p>
    <w:p w14:paraId="4DA2C7C2"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dificuldade em engoli</w:t>
      </w:r>
      <w:r w:rsidR="00E47A88">
        <w:rPr>
          <w:sz w:val="22"/>
          <w:szCs w:val="22"/>
        </w:rPr>
        <w:t>r</w:t>
      </w:r>
    </w:p>
    <w:p w14:paraId="78D64C4B"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edema facial (inchaço da face)</w:t>
      </w:r>
    </w:p>
    <w:p w14:paraId="5039CBE3"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 xml:space="preserve">inflamação da vesícula, pedra na vesícula </w:t>
      </w:r>
    </w:p>
    <w:p w14:paraId="544F9A02"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fígado gordo</w:t>
      </w:r>
    </w:p>
    <w:p w14:paraId="0CD410B4"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suores noturnos</w:t>
      </w:r>
    </w:p>
    <w:p w14:paraId="3E9171ED"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escaras</w:t>
      </w:r>
    </w:p>
    <w:p w14:paraId="6CCC7533"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colapso muscular anormal</w:t>
      </w:r>
    </w:p>
    <w:p w14:paraId="7AB91923"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 xml:space="preserve">lúpus eritematoso sistémico (incluindo inflamação da pele, coração, pulmão, articulações e outros </w:t>
      </w:r>
      <w:r w:rsidR="00CC20F9">
        <w:rPr>
          <w:sz w:val="22"/>
          <w:szCs w:val="22"/>
        </w:rPr>
        <w:t xml:space="preserve">sistemas de </w:t>
      </w:r>
      <w:r w:rsidRPr="008B0DDF">
        <w:rPr>
          <w:sz w:val="22"/>
          <w:szCs w:val="22"/>
        </w:rPr>
        <w:t>órgãos)</w:t>
      </w:r>
    </w:p>
    <w:p w14:paraId="2A065E69"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interrupções de sono</w:t>
      </w:r>
    </w:p>
    <w:p w14:paraId="51609E03"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impotência</w:t>
      </w:r>
    </w:p>
    <w:p w14:paraId="029AB7F4" w14:textId="77777777" w:rsidR="004462A0" w:rsidRPr="008B0DDF" w:rsidRDefault="00615769" w:rsidP="004462A0">
      <w:pPr>
        <w:numPr>
          <w:ilvl w:val="0"/>
          <w:numId w:val="74"/>
        </w:numPr>
        <w:tabs>
          <w:tab w:val="clear" w:pos="0"/>
        </w:tabs>
        <w:ind w:left="568" w:hanging="568"/>
        <w:rPr>
          <w:sz w:val="22"/>
          <w:szCs w:val="22"/>
        </w:rPr>
      </w:pPr>
      <w:r w:rsidRPr="008B0DDF">
        <w:rPr>
          <w:sz w:val="22"/>
          <w:szCs w:val="22"/>
        </w:rPr>
        <w:t>inflamações</w:t>
      </w:r>
    </w:p>
    <w:p w14:paraId="048FBD79" w14:textId="77777777" w:rsidR="004462A0" w:rsidRPr="008B0DDF" w:rsidRDefault="004462A0" w:rsidP="004462A0">
      <w:pPr>
        <w:ind w:left="568" w:hanging="568"/>
        <w:rPr>
          <w:sz w:val="22"/>
          <w:szCs w:val="22"/>
        </w:rPr>
      </w:pPr>
    </w:p>
    <w:p w14:paraId="1964766C" w14:textId="77777777" w:rsidR="004462A0" w:rsidRPr="008B0DDF" w:rsidRDefault="00615769" w:rsidP="004462A0">
      <w:pPr>
        <w:ind w:left="568" w:hanging="568"/>
        <w:rPr>
          <w:sz w:val="22"/>
          <w:szCs w:val="22"/>
        </w:rPr>
      </w:pPr>
      <w:r w:rsidRPr="008B0DDF">
        <w:rPr>
          <w:b/>
          <w:sz w:val="22"/>
          <w:szCs w:val="22"/>
        </w:rPr>
        <w:t>Raros</w:t>
      </w:r>
      <w:r w:rsidRPr="008B0DDF">
        <w:rPr>
          <w:sz w:val="22"/>
          <w:szCs w:val="22"/>
        </w:rPr>
        <w:t xml:space="preserve"> (podem afetar até 1 em 1.000 pessoas)</w:t>
      </w:r>
    </w:p>
    <w:p w14:paraId="3E1FBED4" w14:textId="77777777" w:rsidR="004462A0" w:rsidRPr="008B0DDF" w:rsidRDefault="004462A0" w:rsidP="004462A0">
      <w:pPr>
        <w:ind w:left="568" w:hanging="568"/>
        <w:rPr>
          <w:sz w:val="22"/>
          <w:szCs w:val="22"/>
        </w:rPr>
      </w:pPr>
    </w:p>
    <w:p w14:paraId="62E89F0C"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leucemia (cancro que afeta o sangue e a medula óssea)</w:t>
      </w:r>
    </w:p>
    <w:p w14:paraId="112A7138"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reação alérgica grave com choque</w:t>
      </w:r>
    </w:p>
    <w:p w14:paraId="24462D5D"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esclerose múltipla</w:t>
      </w:r>
    </w:p>
    <w:p w14:paraId="33470F38"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alterações neurológicas (tais como inflamação do nervo ocular e síndrome de Guillain-Barré que pode causar fraqueza muscular, sensações anormais, formigueiro nos braços e na parte superior do corpo)</w:t>
      </w:r>
    </w:p>
    <w:p w14:paraId="481FA74B"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o coração deixa de bombear</w:t>
      </w:r>
    </w:p>
    <w:p w14:paraId="0161BAD2"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fibrose pulmonar (cicatrizes no pulmão)</w:t>
      </w:r>
    </w:p>
    <w:p w14:paraId="1D48C436" w14:textId="77777777" w:rsidR="004462A0" w:rsidRPr="00D87764" w:rsidRDefault="00615769" w:rsidP="00636825">
      <w:pPr>
        <w:numPr>
          <w:ilvl w:val="0"/>
          <w:numId w:val="68"/>
        </w:numPr>
        <w:tabs>
          <w:tab w:val="clear" w:pos="283"/>
          <w:tab w:val="num" w:pos="600"/>
        </w:tabs>
        <w:ind w:hanging="567"/>
        <w:rPr>
          <w:sz w:val="22"/>
          <w:szCs w:val="22"/>
        </w:rPr>
      </w:pPr>
      <w:r w:rsidRPr="008B0DDF">
        <w:rPr>
          <w:sz w:val="22"/>
          <w:szCs w:val="22"/>
        </w:rPr>
        <w:t>perfuração intestinal (</w:t>
      </w:r>
      <w:r w:rsidRPr="00D87764">
        <w:rPr>
          <w:sz w:val="22"/>
          <w:szCs w:val="22"/>
        </w:rPr>
        <w:t>buraco no intestino)</w:t>
      </w:r>
    </w:p>
    <w:p w14:paraId="0B9C0EC2" w14:textId="77777777" w:rsidR="004462A0" w:rsidRPr="006462E3" w:rsidRDefault="00615769" w:rsidP="00636825">
      <w:pPr>
        <w:numPr>
          <w:ilvl w:val="0"/>
          <w:numId w:val="68"/>
        </w:numPr>
        <w:tabs>
          <w:tab w:val="clear" w:pos="283"/>
          <w:tab w:val="num" w:pos="600"/>
        </w:tabs>
        <w:ind w:hanging="567"/>
        <w:rPr>
          <w:sz w:val="22"/>
          <w:szCs w:val="22"/>
        </w:rPr>
      </w:pPr>
      <w:r w:rsidRPr="004F0FBC">
        <w:rPr>
          <w:sz w:val="22"/>
          <w:szCs w:val="22"/>
        </w:rPr>
        <w:t>hepatite</w:t>
      </w:r>
    </w:p>
    <w:p w14:paraId="7CEEDDDC" w14:textId="77777777" w:rsidR="004462A0" w:rsidRPr="00854C93" w:rsidRDefault="00615769" w:rsidP="00636825">
      <w:pPr>
        <w:numPr>
          <w:ilvl w:val="0"/>
          <w:numId w:val="68"/>
        </w:numPr>
        <w:tabs>
          <w:tab w:val="clear" w:pos="283"/>
          <w:tab w:val="num" w:pos="600"/>
        </w:tabs>
        <w:ind w:hanging="567"/>
        <w:rPr>
          <w:sz w:val="22"/>
          <w:szCs w:val="22"/>
        </w:rPr>
      </w:pPr>
      <w:r w:rsidRPr="009A05BE">
        <w:rPr>
          <w:sz w:val="22"/>
          <w:szCs w:val="22"/>
        </w:rPr>
        <w:t>reativação da hepatite B</w:t>
      </w:r>
    </w:p>
    <w:p w14:paraId="72C23E03" w14:textId="77777777" w:rsidR="004462A0" w:rsidRPr="005307A8" w:rsidRDefault="00615769" w:rsidP="00636825">
      <w:pPr>
        <w:numPr>
          <w:ilvl w:val="0"/>
          <w:numId w:val="68"/>
        </w:numPr>
        <w:tabs>
          <w:tab w:val="clear" w:pos="283"/>
          <w:tab w:val="num" w:pos="600"/>
        </w:tabs>
        <w:ind w:hanging="567"/>
        <w:rPr>
          <w:szCs w:val="22"/>
        </w:rPr>
      </w:pPr>
      <w:r w:rsidRPr="00636825">
        <w:rPr>
          <w:sz w:val="22"/>
          <w:szCs w:val="22"/>
        </w:rPr>
        <w:t>hepatite autoimune (inflamação do fígado causada pelo próprio sistema imunitário do corpo)</w:t>
      </w:r>
    </w:p>
    <w:p w14:paraId="20D1EFB4" w14:textId="77777777" w:rsidR="004462A0" w:rsidRPr="000B3FE3" w:rsidRDefault="00615769" w:rsidP="00636825">
      <w:pPr>
        <w:numPr>
          <w:ilvl w:val="0"/>
          <w:numId w:val="68"/>
        </w:numPr>
        <w:tabs>
          <w:tab w:val="clear" w:pos="283"/>
          <w:tab w:val="num" w:pos="600"/>
        </w:tabs>
        <w:ind w:hanging="567"/>
        <w:rPr>
          <w:sz w:val="22"/>
          <w:szCs w:val="22"/>
        </w:rPr>
      </w:pPr>
      <w:r w:rsidRPr="000B3FE3">
        <w:rPr>
          <w:sz w:val="22"/>
          <w:szCs w:val="22"/>
        </w:rPr>
        <w:t>vasculite cutânea (inflamação dos vasos sanguíneos da pele)</w:t>
      </w:r>
    </w:p>
    <w:p w14:paraId="30E5948C" w14:textId="77777777" w:rsidR="004462A0" w:rsidRPr="002D4DE5" w:rsidRDefault="00615769" w:rsidP="00636825">
      <w:pPr>
        <w:numPr>
          <w:ilvl w:val="0"/>
          <w:numId w:val="68"/>
        </w:numPr>
        <w:tabs>
          <w:tab w:val="clear" w:pos="283"/>
          <w:tab w:val="num" w:pos="600"/>
        </w:tabs>
        <w:ind w:hanging="567"/>
        <w:rPr>
          <w:sz w:val="22"/>
          <w:szCs w:val="22"/>
        </w:rPr>
      </w:pPr>
      <w:r w:rsidRPr="004931CE">
        <w:rPr>
          <w:sz w:val="22"/>
          <w:szCs w:val="22"/>
        </w:rPr>
        <w:t>síndrome de Stevens-Johnson (sintomas iniciais incluindo indisposição, feb</w:t>
      </w:r>
      <w:r w:rsidRPr="00653128">
        <w:rPr>
          <w:sz w:val="22"/>
          <w:szCs w:val="22"/>
        </w:rPr>
        <w:t>re, dor de cabeça e erupção cutânea)</w:t>
      </w:r>
    </w:p>
    <w:p w14:paraId="728095A0" w14:textId="77777777" w:rsidR="004462A0" w:rsidRPr="005F6F98" w:rsidRDefault="00615769" w:rsidP="00636825">
      <w:pPr>
        <w:numPr>
          <w:ilvl w:val="0"/>
          <w:numId w:val="68"/>
        </w:numPr>
        <w:tabs>
          <w:tab w:val="clear" w:pos="283"/>
          <w:tab w:val="num" w:pos="600"/>
        </w:tabs>
        <w:ind w:hanging="567"/>
        <w:rPr>
          <w:sz w:val="22"/>
          <w:szCs w:val="22"/>
        </w:rPr>
      </w:pPr>
      <w:r w:rsidRPr="00003560">
        <w:rPr>
          <w:sz w:val="22"/>
          <w:szCs w:val="22"/>
        </w:rPr>
        <w:t>edema facial</w:t>
      </w:r>
      <w:r w:rsidRPr="005F6F98">
        <w:rPr>
          <w:sz w:val="22"/>
          <w:szCs w:val="22"/>
        </w:rPr>
        <w:t xml:space="preserve"> (inchaço da face) associado com reações alérgicas</w:t>
      </w:r>
    </w:p>
    <w:p w14:paraId="49F90200" w14:textId="77777777" w:rsidR="004462A0" w:rsidRPr="00B830EC" w:rsidRDefault="00615769" w:rsidP="00636825">
      <w:pPr>
        <w:numPr>
          <w:ilvl w:val="0"/>
          <w:numId w:val="68"/>
        </w:numPr>
        <w:tabs>
          <w:tab w:val="clear" w:pos="283"/>
          <w:tab w:val="num" w:pos="600"/>
        </w:tabs>
        <w:ind w:hanging="567"/>
        <w:rPr>
          <w:sz w:val="22"/>
          <w:szCs w:val="22"/>
        </w:rPr>
      </w:pPr>
      <w:r w:rsidRPr="002B2441">
        <w:rPr>
          <w:sz w:val="22"/>
          <w:szCs w:val="22"/>
        </w:rPr>
        <w:t>eritema multiforme (erupção cutânea inflamatória)</w:t>
      </w:r>
    </w:p>
    <w:p w14:paraId="70CEA2F9" w14:textId="77777777" w:rsidR="004462A0" w:rsidRDefault="00615769" w:rsidP="00636825">
      <w:pPr>
        <w:numPr>
          <w:ilvl w:val="0"/>
          <w:numId w:val="68"/>
        </w:numPr>
        <w:tabs>
          <w:tab w:val="clear" w:pos="283"/>
          <w:tab w:val="num" w:pos="600"/>
        </w:tabs>
        <w:ind w:hanging="567"/>
        <w:rPr>
          <w:sz w:val="22"/>
          <w:szCs w:val="22"/>
        </w:rPr>
      </w:pPr>
      <w:r w:rsidRPr="008B0DDF">
        <w:rPr>
          <w:sz w:val="22"/>
          <w:szCs w:val="22"/>
        </w:rPr>
        <w:t>síndrome tipo lúpus</w:t>
      </w:r>
    </w:p>
    <w:p w14:paraId="424F16A7" w14:textId="77777777" w:rsidR="00A54CB1" w:rsidRDefault="00615769" w:rsidP="00636825">
      <w:pPr>
        <w:numPr>
          <w:ilvl w:val="0"/>
          <w:numId w:val="68"/>
        </w:numPr>
        <w:tabs>
          <w:tab w:val="clear" w:pos="283"/>
          <w:tab w:val="num" w:pos="600"/>
        </w:tabs>
        <w:ind w:hanging="567"/>
        <w:rPr>
          <w:sz w:val="22"/>
          <w:szCs w:val="22"/>
        </w:rPr>
      </w:pPr>
      <w:r>
        <w:rPr>
          <w:sz w:val="22"/>
          <w:szCs w:val="22"/>
        </w:rPr>
        <w:t>angioedema (inchaço localizado da</w:t>
      </w:r>
      <w:r w:rsidR="00C0208A">
        <w:rPr>
          <w:sz w:val="22"/>
          <w:szCs w:val="22"/>
        </w:rPr>
        <w:t xml:space="preserve"> pele</w:t>
      </w:r>
      <w:r>
        <w:rPr>
          <w:sz w:val="22"/>
          <w:szCs w:val="22"/>
        </w:rPr>
        <w:t>)</w:t>
      </w:r>
    </w:p>
    <w:p w14:paraId="6F24E998" w14:textId="77777777" w:rsidR="006057F6" w:rsidRPr="006057F6" w:rsidRDefault="00615769" w:rsidP="00636825">
      <w:pPr>
        <w:numPr>
          <w:ilvl w:val="0"/>
          <w:numId w:val="68"/>
        </w:numPr>
        <w:tabs>
          <w:tab w:val="clear" w:pos="283"/>
          <w:tab w:val="num" w:pos="600"/>
        </w:tabs>
        <w:ind w:hanging="567"/>
        <w:rPr>
          <w:sz w:val="22"/>
          <w:szCs w:val="22"/>
        </w:rPr>
      </w:pPr>
      <w:r>
        <w:rPr>
          <w:sz w:val="22"/>
          <w:szCs w:val="22"/>
        </w:rPr>
        <w:t>r</w:t>
      </w:r>
      <w:r w:rsidRPr="006057F6">
        <w:rPr>
          <w:sz w:val="22"/>
          <w:szCs w:val="22"/>
        </w:rPr>
        <w:t>eação cutânea liquen</w:t>
      </w:r>
      <w:r>
        <w:rPr>
          <w:sz w:val="22"/>
          <w:szCs w:val="22"/>
        </w:rPr>
        <w:t>o</w:t>
      </w:r>
      <w:r w:rsidRPr="006057F6">
        <w:rPr>
          <w:sz w:val="22"/>
          <w:szCs w:val="22"/>
        </w:rPr>
        <w:t xml:space="preserve">ide (erupção </w:t>
      </w:r>
      <w:r>
        <w:rPr>
          <w:sz w:val="22"/>
          <w:szCs w:val="22"/>
        </w:rPr>
        <w:t>n</w:t>
      </w:r>
      <w:r w:rsidRPr="006057F6">
        <w:rPr>
          <w:sz w:val="22"/>
          <w:szCs w:val="22"/>
        </w:rPr>
        <w:t>a</w:t>
      </w:r>
      <w:r>
        <w:rPr>
          <w:sz w:val="22"/>
          <w:szCs w:val="22"/>
        </w:rPr>
        <w:t xml:space="preserve"> pele</w:t>
      </w:r>
      <w:r w:rsidRPr="006057F6">
        <w:rPr>
          <w:sz w:val="22"/>
          <w:szCs w:val="22"/>
        </w:rPr>
        <w:t xml:space="preserve"> vermelho-púrpura com comichão)</w:t>
      </w:r>
    </w:p>
    <w:p w14:paraId="76225FC1" w14:textId="77777777" w:rsidR="004462A0" w:rsidRPr="008B0DDF" w:rsidRDefault="004462A0" w:rsidP="004462A0">
      <w:pPr>
        <w:rPr>
          <w:sz w:val="22"/>
          <w:szCs w:val="22"/>
        </w:rPr>
      </w:pPr>
    </w:p>
    <w:p w14:paraId="1FC072EA" w14:textId="77777777" w:rsidR="004462A0" w:rsidRPr="008B0DDF" w:rsidRDefault="00615769" w:rsidP="004462A0">
      <w:pPr>
        <w:rPr>
          <w:sz w:val="22"/>
          <w:szCs w:val="22"/>
        </w:rPr>
      </w:pPr>
      <w:r w:rsidRPr="008B0DDF">
        <w:rPr>
          <w:b/>
          <w:sz w:val="22"/>
          <w:szCs w:val="22"/>
        </w:rPr>
        <w:t>Desconhecido</w:t>
      </w:r>
      <w:r w:rsidRPr="008B0DDF">
        <w:rPr>
          <w:sz w:val="22"/>
          <w:szCs w:val="22"/>
        </w:rPr>
        <w:t xml:space="preserve"> (a frequência não pode ser calculada a partir dos dados disponíveis)</w:t>
      </w:r>
    </w:p>
    <w:p w14:paraId="350541F7" w14:textId="77777777" w:rsidR="004462A0" w:rsidRPr="008B0DDF" w:rsidRDefault="004462A0" w:rsidP="004462A0">
      <w:pPr>
        <w:rPr>
          <w:sz w:val="22"/>
          <w:szCs w:val="22"/>
        </w:rPr>
      </w:pPr>
    </w:p>
    <w:p w14:paraId="25C07B19"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linfoma hepatoesplénico de linfócitos T (um raro cancro de sangue que muitas vezes é fatal)</w:t>
      </w:r>
    </w:p>
    <w:p w14:paraId="643F23CE" w14:textId="77777777" w:rsidR="004462A0" w:rsidRDefault="00615769" w:rsidP="00636825">
      <w:pPr>
        <w:numPr>
          <w:ilvl w:val="0"/>
          <w:numId w:val="68"/>
        </w:numPr>
        <w:tabs>
          <w:tab w:val="clear" w:pos="283"/>
          <w:tab w:val="num" w:pos="600"/>
        </w:tabs>
        <w:ind w:hanging="567"/>
        <w:rPr>
          <w:sz w:val="22"/>
          <w:szCs w:val="22"/>
        </w:rPr>
      </w:pPr>
      <w:r w:rsidRPr="008B0DDF">
        <w:rPr>
          <w:sz w:val="22"/>
          <w:szCs w:val="22"/>
        </w:rPr>
        <w:t>carcinoma de células de Merkel (um tipo de cancro de pele)</w:t>
      </w:r>
    </w:p>
    <w:p w14:paraId="654D78BD" w14:textId="77777777" w:rsidR="00A06FA4" w:rsidRPr="008B0DDF" w:rsidRDefault="00615769" w:rsidP="00636825">
      <w:pPr>
        <w:numPr>
          <w:ilvl w:val="0"/>
          <w:numId w:val="68"/>
        </w:numPr>
        <w:tabs>
          <w:tab w:val="clear" w:pos="283"/>
          <w:tab w:val="num" w:pos="600"/>
        </w:tabs>
        <w:ind w:hanging="567"/>
        <w:rPr>
          <w:sz w:val="22"/>
          <w:szCs w:val="22"/>
        </w:rPr>
      </w:pPr>
      <w:r>
        <w:rPr>
          <w:sz w:val="22"/>
          <w:szCs w:val="22"/>
        </w:rPr>
        <w:t>s</w:t>
      </w:r>
      <w:r w:rsidRPr="006819E5">
        <w:rPr>
          <w:sz w:val="22"/>
          <w:szCs w:val="22"/>
        </w:rPr>
        <w:t>arcoma de Kaposi, um cancro raro relacionado com a infeção pelo vírus herpes humano 8. O sarcoma de Kaposi aparece mais frequentemente na forma de lesões cutâneas de cor púrpura</w:t>
      </w:r>
    </w:p>
    <w:p w14:paraId="681DE1DE"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 xml:space="preserve">insuficiência hepática </w:t>
      </w:r>
    </w:p>
    <w:p w14:paraId="5D6F017A" w14:textId="77777777" w:rsidR="007A4E33" w:rsidRDefault="00615769" w:rsidP="007A4E33">
      <w:pPr>
        <w:pStyle w:val="ListParagraph"/>
        <w:numPr>
          <w:ilvl w:val="0"/>
          <w:numId w:val="114"/>
        </w:numPr>
        <w:ind w:left="567" w:hanging="567"/>
        <w:rPr>
          <w:sz w:val="22"/>
          <w:szCs w:val="22"/>
        </w:rPr>
      </w:pPr>
      <w:r w:rsidRPr="008B0DDF">
        <w:rPr>
          <w:sz w:val="22"/>
          <w:szCs w:val="22"/>
        </w:rPr>
        <w:t>agravamento de uma doença chamada dermatomiosite (que corresponde a uma erupção cutânea acompanhada de fraqueza muscular)</w:t>
      </w:r>
      <w:r w:rsidRPr="007A4E33">
        <w:rPr>
          <w:sz w:val="22"/>
          <w:szCs w:val="22"/>
        </w:rPr>
        <w:t xml:space="preserve"> </w:t>
      </w:r>
    </w:p>
    <w:p w14:paraId="06987A85" w14:textId="77777777" w:rsidR="004462A0" w:rsidRPr="00A10CE1" w:rsidRDefault="00615769" w:rsidP="00A10CE1">
      <w:pPr>
        <w:pStyle w:val="ListParagraph"/>
        <w:numPr>
          <w:ilvl w:val="0"/>
          <w:numId w:val="114"/>
        </w:numPr>
        <w:ind w:left="567" w:hanging="567"/>
        <w:rPr>
          <w:sz w:val="22"/>
          <w:szCs w:val="22"/>
        </w:rPr>
      </w:pPr>
      <w:r>
        <w:rPr>
          <w:sz w:val="22"/>
          <w:szCs w:val="22"/>
        </w:rPr>
        <w:t>a</w:t>
      </w:r>
      <w:r w:rsidRPr="007A4E33">
        <w:rPr>
          <w:sz w:val="22"/>
          <w:szCs w:val="22"/>
        </w:rPr>
        <w:t>umento de peso (para a maioria dos doentes, o aumento de peso foi pequeno)</w:t>
      </w:r>
    </w:p>
    <w:p w14:paraId="22A0E196" w14:textId="77777777" w:rsidR="004462A0" w:rsidRPr="008B0DDF" w:rsidRDefault="004462A0" w:rsidP="004462A0">
      <w:pPr>
        <w:rPr>
          <w:sz w:val="22"/>
          <w:szCs w:val="22"/>
        </w:rPr>
      </w:pPr>
    </w:p>
    <w:p w14:paraId="10FB03D9" w14:textId="77777777" w:rsidR="004462A0" w:rsidRPr="008B0DDF" w:rsidRDefault="00615769" w:rsidP="004462A0">
      <w:pPr>
        <w:rPr>
          <w:sz w:val="22"/>
          <w:szCs w:val="22"/>
        </w:rPr>
      </w:pPr>
      <w:r w:rsidRPr="008B0DDF">
        <w:rPr>
          <w:sz w:val="22"/>
          <w:szCs w:val="22"/>
        </w:rPr>
        <w:t xml:space="preserve">Alguns efeitos </w:t>
      </w:r>
      <w:r w:rsidR="00571C82">
        <w:rPr>
          <w:sz w:val="22"/>
          <w:szCs w:val="22"/>
        </w:rPr>
        <w:t>indesejáveis</w:t>
      </w:r>
      <w:r w:rsidRPr="008B0DDF">
        <w:rPr>
          <w:sz w:val="22"/>
          <w:szCs w:val="22"/>
        </w:rPr>
        <w:t xml:space="preserve"> observados com Humira podem não ter sintomas e só podem ser identificados através de análises ao sangue. Estes incluem:</w:t>
      </w:r>
    </w:p>
    <w:p w14:paraId="08CF52D5" w14:textId="77777777" w:rsidR="004462A0" w:rsidRPr="008B0DDF" w:rsidRDefault="004462A0" w:rsidP="004462A0">
      <w:pPr>
        <w:rPr>
          <w:sz w:val="22"/>
          <w:szCs w:val="22"/>
        </w:rPr>
      </w:pPr>
    </w:p>
    <w:p w14:paraId="14A9754C" w14:textId="77777777" w:rsidR="004462A0" w:rsidRPr="008B0DDF" w:rsidRDefault="00615769" w:rsidP="004462A0">
      <w:pPr>
        <w:keepNext/>
        <w:rPr>
          <w:sz w:val="22"/>
          <w:szCs w:val="22"/>
        </w:rPr>
      </w:pPr>
      <w:r w:rsidRPr="008B0DDF">
        <w:rPr>
          <w:b/>
          <w:sz w:val="22"/>
          <w:szCs w:val="22"/>
        </w:rPr>
        <w:t>Muito frequentes</w:t>
      </w:r>
      <w:r w:rsidRPr="008B0DDF">
        <w:rPr>
          <w:sz w:val="22"/>
          <w:szCs w:val="22"/>
        </w:rPr>
        <w:t xml:space="preserve"> (podem afetar mais de 1 em 10 pessoas)</w:t>
      </w:r>
    </w:p>
    <w:p w14:paraId="440595C3" w14:textId="77777777" w:rsidR="004462A0" w:rsidRPr="008B0DDF" w:rsidRDefault="004462A0" w:rsidP="004462A0">
      <w:pPr>
        <w:keepNext/>
        <w:rPr>
          <w:sz w:val="22"/>
          <w:szCs w:val="22"/>
        </w:rPr>
      </w:pPr>
    </w:p>
    <w:p w14:paraId="254F39AD"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 xml:space="preserve">contagem diminuída dos glóbulos brancos </w:t>
      </w:r>
    </w:p>
    <w:p w14:paraId="6B646189"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contagem diminuída dos glóbulos vermelhos</w:t>
      </w:r>
    </w:p>
    <w:p w14:paraId="04FEADBF"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aumento dos lípidos no sangue</w:t>
      </w:r>
    </w:p>
    <w:p w14:paraId="395C3E4C"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aumento das enzimas hepáticas</w:t>
      </w:r>
    </w:p>
    <w:p w14:paraId="22CEAF25" w14:textId="77777777" w:rsidR="004462A0" w:rsidRPr="008B0DDF" w:rsidRDefault="004462A0" w:rsidP="004462A0">
      <w:pPr>
        <w:rPr>
          <w:sz w:val="22"/>
          <w:szCs w:val="22"/>
        </w:rPr>
      </w:pPr>
    </w:p>
    <w:p w14:paraId="6E21E77E" w14:textId="77777777" w:rsidR="004462A0" w:rsidRPr="008B0DDF" w:rsidRDefault="00615769" w:rsidP="004462A0">
      <w:pPr>
        <w:keepNext/>
        <w:rPr>
          <w:sz w:val="22"/>
          <w:szCs w:val="22"/>
        </w:rPr>
      </w:pPr>
      <w:r w:rsidRPr="008B0DDF">
        <w:rPr>
          <w:b/>
          <w:sz w:val="22"/>
          <w:szCs w:val="22"/>
        </w:rPr>
        <w:t>Frequentes</w:t>
      </w:r>
      <w:r w:rsidRPr="008B0DDF">
        <w:rPr>
          <w:sz w:val="22"/>
          <w:szCs w:val="22"/>
        </w:rPr>
        <w:t xml:space="preserve"> (podem afetar até 1 em 10 pessoas)</w:t>
      </w:r>
    </w:p>
    <w:p w14:paraId="25BAD0CD" w14:textId="77777777" w:rsidR="004462A0" w:rsidRPr="008B0DDF" w:rsidRDefault="004462A0" w:rsidP="004462A0">
      <w:pPr>
        <w:keepNext/>
        <w:rPr>
          <w:sz w:val="22"/>
          <w:szCs w:val="22"/>
        </w:rPr>
      </w:pPr>
    </w:p>
    <w:p w14:paraId="0AE8FE0D"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contagem aumentada dos glóbulos brancos</w:t>
      </w:r>
    </w:p>
    <w:p w14:paraId="2766E754"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contagem diminuída das plaquetas</w:t>
      </w:r>
    </w:p>
    <w:p w14:paraId="31C55A9B"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aumento de ácido úrico no sangue</w:t>
      </w:r>
    </w:p>
    <w:p w14:paraId="7B31C505"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contagem anormal de sódio no sangue</w:t>
      </w:r>
    </w:p>
    <w:p w14:paraId="3F60536B"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contagem diminuída de cálcio no sangue</w:t>
      </w:r>
    </w:p>
    <w:p w14:paraId="6D6CFA6C"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contagem diminuída de fosfato no sangue</w:t>
      </w:r>
    </w:p>
    <w:p w14:paraId="08CFF72D"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nível de açúcar aumentado no sangue</w:t>
      </w:r>
    </w:p>
    <w:p w14:paraId="2D4A293A"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valores aumentados de dehidrogenase láctica no sangue</w:t>
      </w:r>
    </w:p>
    <w:p w14:paraId="111C7289" w14:textId="77777777" w:rsidR="004462A0" w:rsidRDefault="00615769" w:rsidP="00636825">
      <w:pPr>
        <w:numPr>
          <w:ilvl w:val="0"/>
          <w:numId w:val="68"/>
        </w:numPr>
        <w:tabs>
          <w:tab w:val="clear" w:pos="283"/>
          <w:tab w:val="num" w:pos="600"/>
        </w:tabs>
        <w:ind w:hanging="567"/>
        <w:rPr>
          <w:sz w:val="22"/>
          <w:szCs w:val="22"/>
        </w:rPr>
      </w:pPr>
      <w:r w:rsidRPr="008B0DDF">
        <w:rPr>
          <w:sz w:val="22"/>
          <w:szCs w:val="22"/>
        </w:rPr>
        <w:t>presença de autoanticorpos no sangue</w:t>
      </w:r>
    </w:p>
    <w:p w14:paraId="0B62AACB" w14:textId="77777777" w:rsidR="00A54CB1" w:rsidRPr="008B0DDF" w:rsidRDefault="00615769" w:rsidP="00636825">
      <w:pPr>
        <w:numPr>
          <w:ilvl w:val="0"/>
          <w:numId w:val="68"/>
        </w:numPr>
        <w:tabs>
          <w:tab w:val="clear" w:pos="283"/>
          <w:tab w:val="num" w:pos="600"/>
        </w:tabs>
        <w:ind w:hanging="567"/>
        <w:rPr>
          <w:sz w:val="22"/>
          <w:szCs w:val="22"/>
        </w:rPr>
      </w:pPr>
      <w:r>
        <w:rPr>
          <w:sz w:val="22"/>
          <w:szCs w:val="22"/>
        </w:rPr>
        <w:t>baixo teor de potássio no sangue</w:t>
      </w:r>
    </w:p>
    <w:p w14:paraId="633EE9FD" w14:textId="77777777" w:rsidR="004462A0" w:rsidRPr="008B0DDF" w:rsidRDefault="004462A0" w:rsidP="004462A0">
      <w:pPr>
        <w:rPr>
          <w:sz w:val="22"/>
          <w:szCs w:val="22"/>
        </w:rPr>
      </w:pPr>
    </w:p>
    <w:p w14:paraId="7FA36A3F" w14:textId="77777777" w:rsidR="00A54CB1" w:rsidRDefault="00615769" w:rsidP="00A54CB1">
      <w:pPr>
        <w:rPr>
          <w:sz w:val="22"/>
          <w:szCs w:val="22"/>
        </w:rPr>
      </w:pPr>
      <w:r w:rsidRPr="00E51FCC">
        <w:rPr>
          <w:b/>
          <w:sz w:val="22"/>
          <w:szCs w:val="22"/>
        </w:rPr>
        <w:t>Pouco frequentes</w:t>
      </w:r>
      <w:r w:rsidRPr="00127FFD">
        <w:rPr>
          <w:sz w:val="22"/>
          <w:szCs w:val="22"/>
        </w:rPr>
        <w:t xml:space="preserve"> (podem afetar até 1 em 100 pessoas</w:t>
      </w:r>
      <w:r w:rsidR="00A7534F">
        <w:rPr>
          <w:sz w:val="22"/>
          <w:szCs w:val="22"/>
        </w:rPr>
        <w:t>)</w:t>
      </w:r>
    </w:p>
    <w:p w14:paraId="3B2FDCD6" w14:textId="77777777" w:rsidR="00A54CB1" w:rsidRDefault="00A54CB1" w:rsidP="00A54CB1">
      <w:pPr>
        <w:rPr>
          <w:sz w:val="22"/>
          <w:szCs w:val="22"/>
        </w:rPr>
      </w:pPr>
    </w:p>
    <w:p w14:paraId="3637D196" w14:textId="77777777" w:rsidR="00A54CB1" w:rsidRDefault="00615769" w:rsidP="00636825">
      <w:pPr>
        <w:numPr>
          <w:ilvl w:val="0"/>
          <w:numId w:val="68"/>
        </w:numPr>
        <w:tabs>
          <w:tab w:val="clear" w:pos="283"/>
          <w:tab w:val="num" w:pos="600"/>
        </w:tabs>
        <w:ind w:hanging="567"/>
        <w:rPr>
          <w:sz w:val="22"/>
          <w:szCs w:val="22"/>
        </w:rPr>
      </w:pPr>
      <w:r>
        <w:rPr>
          <w:sz w:val="22"/>
          <w:szCs w:val="22"/>
        </w:rPr>
        <w:t>aumento de bilirrubina (análises de sangue ao fígado)</w:t>
      </w:r>
    </w:p>
    <w:p w14:paraId="16704B26" w14:textId="77777777" w:rsidR="00A54CB1" w:rsidRDefault="00A54CB1" w:rsidP="004462A0">
      <w:pPr>
        <w:rPr>
          <w:b/>
          <w:sz w:val="22"/>
          <w:szCs w:val="22"/>
        </w:rPr>
      </w:pPr>
    </w:p>
    <w:p w14:paraId="6CFFBA9B" w14:textId="77777777" w:rsidR="004462A0" w:rsidRPr="008B0DDF" w:rsidRDefault="00615769" w:rsidP="004462A0">
      <w:pPr>
        <w:rPr>
          <w:sz w:val="22"/>
          <w:szCs w:val="22"/>
        </w:rPr>
      </w:pPr>
      <w:r w:rsidRPr="008B0DDF">
        <w:rPr>
          <w:b/>
          <w:sz w:val="22"/>
          <w:szCs w:val="22"/>
        </w:rPr>
        <w:t>Raros</w:t>
      </w:r>
      <w:r w:rsidRPr="008B0DDF">
        <w:rPr>
          <w:sz w:val="22"/>
          <w:szCs w:val="22"/>
        </w:rPr>
        <w:t xml:space="preserve"> (podem afetar até 1 em 1.000 pessoas)</w:t>
      </w:r>
    </w:p>
    <w:p w14:paraId="29A6C94A" w14:textId="77777777" w:rsidR="004462A0" w:rsidRPr="008B0DDF" w:rsidRDefault="004462A0" w:rsidP="004462A0">
      <w:pPr>
        <w:rPr>
          <w:sz w:val="22"/>
          <w:szCs w:val="22"/>
        </w:rPr>
      </w:pPr>
    </w:p>
    <w:p w14:paraId="7E84F4D2"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contagem diminuída de glóbulos brancos, glóbulos vermelhos e plaquetas</w:t>
      </w:r>
    </w:p>
    <w:p w14:paraId="4DB10D6E" w14:textId="77777777" w:rsidR="004462A0" w:rsidRPr="008B0DDF" w:rsidRDefault="004462A0" w:rsidP="004462A0">
      <w:pPr>
        <w:rPr>
          <w:sz w:val="22"/>
          <w:szCs w:val="22"/>
        </w:rPr>
      </w:pPr>
    </w:p>
    <w:p w14:paraId="1C5D1998" w14:textId="77777777" w:rsidR="004462A0" w:rsidRPr="008B0DDF" w:rsidRDefault="00615769" w:rsidP="004462A0">
      <w:pPr>
        <w:rPr>
          <w:b/>
          <w:sz w:val="22"/>
          <w:szCs w:val="22"/>
        </w:rPr>
      </w:pPr>
      <w:r w:rsidRPr="008B0DDF">
        <w:rPr>
          <w:b/>
          <w:sz w:val="22"/>
          <w:szCs w:val="22"/>
        </w:rPr>
        <w:t xml:space="preserve">Comunicação de efeitos </w:t>
      </w:r>
      <w:r w:rsidR="00571C82">
        <w:rPr>
          <w:b/>
          <w:sz w:val="22"/>
          <w:szCs w:val="22"/>
        </w:rPr>
        <w:t>indesejáveis</w:t>
      </w:r>
    </w:p>
    <w:p w14:paraId="3AAB8D86" w14:textId="77777777" w:rsidR="004462A0" w:rsidRPr="00454F99" w:rsidRDefault="00615769" w:rsidP="004462A0">
      <w:pPr>
        <w:suppressAutoHyphens/>
        <w:rPr>
          <w:sz w:val="22"/>
          <w:szCs w:val="22"/>
        </w:rPr>
      </w:pPr>
      <w:r w:rsidRPr="004F0FBC">
        <w:rPr>
          <w:sz w:val="22"/>
          <w:szCs w:val="22"/>
        </w:rPr>
        <w:t>Se tiver quaisquer efeitos</w:t>
      </w:r>
      <w:r w:rsidRPr="006462E3">
        <w:rPr>
          <w:sz w:val="22"/>
          <w:szCs w:val="22"/>
        </w:rPr>
        <w:t xml:space="preserve"> </w:t>
      </w:r>
      <w:r w:rsidR="00571C82">
        <w:rPr>
          <w:sz w:val="22"/>
          <w:szCs w:val="22"/>
        </w:rPr>
        <w:t>indesejáveis</w:t>
      </w:r>
      <w:r w:rsidRPr="006462E3">
        <w:rPr>
          <w:sz w:val="22"/>
          <w:szCs w:val="22"/>
        </w:rPr>
        <w:t xml:space="preserve">, incluindo possíveis efeitos </w:t>
      </w:r>
      <w:r w:rsidR="00571C82">
        <w:rPr>
          <w:sz w:val="22"/>
          <w:szCs w:val="22"/>
        </w:rPr>
        <w:t>indesejáveis</w:t>
      </w:r>
      <w:r w:rsidRPr="006462E3">
        <w:rPr>
          <w:sz w:val="22"/>
          <w:szCs w:val="22"/>
        </w:rPr>
        <w:t xml:space="preserve"> não indicados neste folheto, fale com o seu médico ou farmacêutico.</w:t>
      </w:r>
      <w:r w:rsidR="00103AA2">
        <w:rPr>
          <w:sz w:val="22"/>
          <w:szCs w:val="22"/>
        </w:rPr>
        <w:t xml:space="preserve"> </w:t>
      </w:r>
      <w:r w:rsidRPr="009A05BE">
        <w:rPr>
          <w:sz w:val="22"/>
          <w:szCs w:val="22"/>
        </w:rPr>
        <w:t xml:space="preserve">Também poderá comunicar efeitos </w:t>
      </w:r>
      <w:r w:rsidR="00571C82">
        <w:rPr>
          <w:sz w:val="22"/>
          <w:szCs w:val="22"/>
        </w:rPr>
        <w:t>indesejáveis</w:t>
      </w:r>
      <w:r w:rsidRPr="009A05BE">
        <w:rPr>
          <w:sz w:val="22"/>
          <w:szCs w:val="22"/>
        </w:rPr>
        <w:t xml:space="preserve"> diretamente </w:t>
      </w:r>
      <w:r w:rsidRPr="009A05BE">
        <w:rPr>
          <w:sz w:val="22"/>
          <w:szCs w:val="22"/>
          <w:highlight w:val="lightGray"/>
        </w:rPr>
        <w:t xml:space="preserve">através do sistema nacional de notificação mencionado no </w:t>
      </w:r>
      <w:hyperlink r:id="rId66" w:history="1">
        <w:r w:rsidR="004462A0" w:rsidRPr="00AF229F">
          <w:rPr>
            <w:rStyle w:val="Hyperlink"/>
            <w:sz w:val="22"/>
            <w:szCs w:val="22"/>
            <w:highlight w:val="lightGray"/>
          </w:rPr>
          <w:t>Apêndice V</w:t>
        </w:r>
      </w:hyperlink>
      <w:r w:rsidRPr="00454F99">
        <w:rPr>
          <w:sz w:val="22"/>
          <w:szCs w:val="22"/>
        </w:rPr>
        <w:t xml:space="preserve">. Ao comunicar efeitos </w:t>
      </w:r>
      <w:r w:rsidR="00571C82">
        <w:rPr>
          <w:sz w:val="22"/>
          <w:szCs w:val="22"/>
        </w:rPr>
        <w:t>indesejáveis</w:t>
      </w:r>
      <w:r w:rsidRPr="00454F99">
        <w:rPr>
          <w:sz w:val="22"/>
          <w:szCs w:val="22"/>
        </w:rPr>
        <w:t>, estará a ajudar a fornecer mais informações sobre a segurança deste medicamento.</w:t>
      </w:r>
    </w:p>
    <w:p w14:paraId="62611516" w14:textId="77777777" w:rsidR="004462A0" w:rsidRPr="004F0FBC" w:rsidRDefault="004462A0" w:rsidP="004462A0">
      <w:pPr>
        <w:ind w:right="-2"/>
        <w:rPr>
          <w:sz w:val="22"/>
          <w:szCs w:val="22"/>
        </w:rPr>
      </w:pPr>
    </w:p>
    <w:p w14:paraId="4172CACD" w14:textId="77777777" w:rsidR="004462A0" w:rsidRPr="006462E3" w:rsidRDefault="004462A0" w:rsidP="004462A0">
      <w:pPr>
        <w:ind w:right="-2"/>
        <w:rPr>
          <w:sz w:val="22"/>
          <w:szCs w:val="22"/>
        </w:rPr>
      </w:pPr>
    </w:p>
    <w:p w14:paraId="6BDB0432" w14:textId="77777777" w:rsidR="004462A0" w:rsidRPr="006462E3" w:rsidRDefault="00615769" w:rsidP="0010302F">
      <w:pPr>
        <w:keepNext/>
        <w:ind w:left="567" w:hanging="567"/>
        <w:rPr>
          <w:sz w:val="22"/>
          <w:szCs w:val="22"/>
        </w:rPr>
      </w:pPr>
      <w:r w:rsidRPr="006462E3">
        <w:rPr>
          <w:b/>
          <w:sz w:val="22"/>
          <w:szCs w:val="22"/>
        </w:rPr>
        <w:t>5.</w:t>
      </w:r>
      <w:r w:rsidRPr="006462E3">
        <w:rPr>
          <w:b/>
          <w:sz w:val="22"/>
          <w:szCs w:val="22"/>
        </w:rPr>
        <w:tab/>
        <w:t>Como conservar Humira</w:t>
      </w:r>
    </w:p>
    <w:p w14:paraId="4C3CD751" w14:textId="77777777" w:rsidR="004462A0" w:rsidRPr="009A05BE" w:rsidRDefault="004462A0" w:rsidP="0010302F">
      <w:pPr>
        <w:keepNext/>
        <w:ind w:right="-2"/>
        <w:rPr>
          <w:sz w:val="22"/>
          <w:szCs w:val="22"/>
        </w:rPr>
      </w:pPr>
    </w:p>
    <w:p w14:paraId="551D20A8" w14:textId="77777777" w:rsidR="004462A0" w:rsidRPr="00854C93" w:rsidRDefault="00615769" w:rsidP="0010302F">
      <w:pPr>
        <w:keepNext/>
        <w:ind w:right="-2"/>
        <w:rPr>
          <w:sz w:val="22"/>
          <w:szCs w:val="22"/>
        </w:rPr>
      </w:pPr>
      <w:r w:rsidRPr="00854C93">
        <w:rPr>
          <w:sz w:val="22"/>
          <w:szCs w:val="22"/>
        </w:rPr>
        <w:t xml:space="preserve">Manter este medicamento fora da vista e do alcance das crianças. </w:t>
      </w:r>
    </w:p>
    <w:p w14:paraId="597AABE4" w14:textId="77777777" w:rsidR="004462A0" w:rsidRPr="0089156B" w:rsidRDefault="004462A0" w:rsidP="004462A0">
      <w:pPr>
        <w:ind w:right="-2"/>
        <w:rPr>
          <w:sz w:val="22"/>
          <w:szCs w:val="22"/>
        </w:rPr>
      </w:pPr>
    </w:p>
    <w:p w14:paraId="52212205" w14:textId="77777777" w:rsidR="004462A0" w:rsidRDefault="00615769" w:rsidP="004462A0">
      <w:pPr>
        <w:ind w:right="-2"/>
        <w:rPr>
          <w:sz w:val="22"/>
          <w:szCs w:val="22"/>
        </w:rPr>
      </w:pPr>
      <w:r w:rsidRPr="000B3FE3">
        <w:rPr>
          <w:sz w:val="22"/>
          <w:szCs w:val="22"/>
        </w:rPr>
        <w:t xml:space="preserve">Não utilize este medicamento após o prazo de validade impresso no rótulo/blister/embalagem, após </w:t>
      </w:r>
      <w:r>
        <w:rPr>
          <w:sz w:val="22"/>
          <w:szCs w:val="22"/>
        </w:rPr>
        <w:t>EXP</w:t>
      </w:r>
      <w:r w:rsidRPr="000B3FE3">
        <w:rPr>
          <w:sz w:val="22"/>
          <w:szCs w:val="22"/>
        </w:rPr>
        <w:t xml:space="preserve">. </w:t>
      </w:r>
    </w:p>
    <w:p w14:paraId="5C22EBA3" w14:textId="77777777" w:rsidR="004462A0" w:rsidRPr="004931CE" w:rsidRDefault="004462A0" w:rsidP="004462A0">
      <w:pPr>
        <w:ind w:right="-2"/>
        <w:rPr>
          <w:sz w:val="22"/>
          <w:szCs w:val="22"/>
        </w:rPr>
      </w:pPr>
    </w:p>
    <w:p w14:paraId="42B6B38B" w14:textId="77777777" w:rsidR="004462A0" w:rsidRPr="00003560" w:rsidRDefault="00615769" w:rsidP="004462A0">
      <w:pPr>
        <w:pStyle w:val="BodyText3"/>
        <w:rPr>
          <w:szCs w:val="22"/>
        </w:rPr>
      </w:pPr>
      <w:r w:rsidRPr="00653128">
        <w:rPr>
          <w:szCs w:val="22"/>
        </w:rPr>
        <w:t xml:space="preserve">Conservar no frigorífico </w:t>
      </w:r>
      <w:r w:rsidR="00184BF5">
        <w:rPr>
          <w:szCs w:val="22"/>
        </w:rPr>
        <w:t>(2º</w:t>
      </w:r>
      <w:r w:rsidR="00AA2EEA">
        <w:rPr>
          <w:szCs w:val="22"/>
        </w:rPr>
        <w:t xml:space="preserve"> </w:t>
      </w:r>
      <w:r w:rsidR="00184BF5" w:rsidRPr="008912CF">
        <w:rPr>
          <w:szCs w:val="22"/>
        </w:rPr>
        <w:t>C</w:t>
      </w:r>
      <w:r w:rsidR="00184BF5">
        <w:rPr>
          <w:szCs w:val="22"/>
        </w:rPr>
        <w:t xml:space="preserve"> – </w:t>
      </w:r>
      <w:r w:rsidR="00184BF5" w:rsidRPr="008912CF">
        <w:rPr>
          <w:szCs w:val="22"/>
        </w:rPr>
        <w:t>8</w:t>
      </w:r>
      <w:r w:rsidR="00184BF5">
        <w:rPr>
          <w:szCs w:val="22"/>
        </w:rPr>
        <w:t>º</w:t>
      </w:r>
      <w:r w:rsidR="00AA2EEA">
        <w:rPr>
          <w:szCs w:val="22"/>
        </w:rPr>
        <w:t xml:space="preserve"> </w:t>
      </w:r>
      <w:r w:rsidR="00184BF5" w:rsidRPr="008912CF">
        <w:rPr>
          <w:szCs w:val="22"/>
        </w:rPr>
        <w:t>C)</w:t>
      </w:r>
      <w:r w:rsidRPr="00003560">
        <w:rPr>
          <w:szCs w:val="22"/>
        </w:rPr>
        <w:t>. Não congelar.</w:t>
      </w:r>
    </w:p>
    <w:p w14:paraId="7612A17A" w14:textId="77777777" w:rsidR="004462A0" w:rsidRPr="005F6F98" w:rsidRDefault="004462A0" w:rsidP="004462A0">
      <w:pPr>
        <w:pStyle w:val="BodyText3"/>
        <w:rPr>
          <w:szCs w:val="22"/>
        </w:rPr>
      </w:pPr>
    </w:p>
    <w:p w14:paraId="43C9B82F" w14:textId="77777777" w:rsidR="004462A0" w:rsidRPr="002B2441" w:rsidRDefault="00615769" w:rsidP="004462A0">
      <w:pPr>
        <w:pStyle w:val="BodyText3"/>
        <w:rPr>
          <w:szCs w:val="22"/>
        </w:rPr>
      </w:pPr>
      <w:r w:rsidRPr="002B2441">
        <w:rPr>
          <w:szCs w:val="22"/>
        </w:rPr>
        <w:t>Manter a caneta pré-cheia na embalagem exterior para proteger da luz.</w:t>
      </w:r>
    </w:p>
    <w:p w14:paraId="2CABCE73" w14:textId="77777777" w:rsidR="004462A0" w:rsidRPr="002B2441" w:rsidRDefault="004462A0" w:rsidP="004462A0">
      <w:pPr>
        <w:ind w:right="-2"/>
        <w:rPr>
          <w:sz w:val="22"/>
          <w:szCs w:val="22"/>
        </w:rPr>
      </w:pPr>
    </w:p>
    <w:p w14:paraId="561BD06B" w14:textId="77777777" w:rsidR="004462A0" w:rsidRPr="00B830EC" w:rsidRDefault="00615769" w:rsidP="004462A0">
      <w:pPr>
        <w:rPr>
          <w:rStyle w:val="hpsatn"/>
          <w:sz w:val="22"/>
          <w:szCs w:val="22"/>
        </w:rPr>
      </w:pPr>
      <w:r w:rsidRPr="00B830EC">
        <w:rPr>
          <w:rStyle w:val="hpsatn"/>
          <w:sz w:val="22"/>
          <w:szCs w:val="22"/>
        </w:rPr>
        <w:t>Conservação Alternativa:</w:t>
      </w:r>
    </w:p>
    <w:p w14:paraId="04176D05" w14:textId="77777777" w:rsidR="004462A0" w:rsidRPr="008B0DDF" w:rsidRDefault="004462A0" w:rsidP="004462A0">
      <w:pPr>
        <w:rPr>
          <w:rStyle w:val="hpsatn"/>
          <w:sz w:val="22"/>
          <w:szCs w:val="22"/>
        </w:rPr>
      </w:pPr>
    </w:p>
    <w:p w14:paraId="11BE0B9F" w14:textId="77777777" w:rsidR="004462A0" w:rsidRPr="008B0DDF" w:rsidRDefault="00615769" w:rsidP="004462A0">
      <w:pPr>
        <w:rPr>
          <w:rStyle w:val="hps"/>
          <w:sz w:val="22"/>
          <w:szCs w:val="22"/>
        </w:rPr>
      </w:pPr>
      <w:r w:rsidRPr="008B0DDF">
        <w:rPr>
          <w:rStyle w:val="hpsatn"/>
          <w:sz w:val="22"/>
          <w:szCs w:val="22"/>
        </w:rPr>
        <w:t>Quando necessário (</w:t>
      </w:r>
      <w:r w:rsidRPr="008B0DDF">
        <w:rPr>
          <w:sz w:val="22"/>
          <w:szCs w:val="22"/>
        </w:rPr>
        <w:t xml:space="preserve">por exemplo, quando </w:t>
      </w:r>
      <w:r w:rsidRPr="008B0DDF">
        <w:rPr>
          <w:rStyle w:val="hps"/>
          <w:sz w:val="22"/>
          <w:szCs w:val="22"/>
        </w:rPr>
        <w:t>está a viajar</w:t>
      </w:r>
      <w:r w:rsidRPr="008B0DDF">
        <w:rPr>
          <w:sz w:val="22"/>
          <w:szCs w:val="22"/>
        </w:rPr>
        <w:t>), uma caneta</w:t>
      </w:r>
      <w:r w:rsidRPr="008B0DDF">
        <w:rPr>
          <w:rStyle w:val="hps"/>
          <w:sz w:val="22"/>
          <w:szCs w:val="22"/>
        </w:rPr>
        <w:t xml:space="preserve"> pré-cheia</w:t>
      </w:r>
      <w:r w:rsidRPr="008B0DDF">
        <w:rPr>
          <w:sz w:val="22"/>
          <w:szCs w:val="22"/>
        </w:rPr>
        <w:t xml:space="preserve"> de </w:t>
      </w:r>
      <w:r w:rsidRPr="008B0DDF">
        <w:rPr>
          <w:rStyle w:val="hps"/>
          <w:sz w:val="22"/>
          <w:szCs w:val="22"/>
        </w:rPr>
        <w:t>Humira, pode ser</w:t>
      </w:r>
      <w:r w:rsidRPr="008B0DDF">
        <w:rPr>
          <w:sz w:val="22"/>
          <w:szCs w:val="22"/>
        </w:rPr>
        <w:t xml:space="preserve"> conservada</w:t>
      </w:r>
      <w:r w:rsidRPr="008B0DDF">
        <w:rPr>
          <w:rStyle w:val="hps"/>
          <w:sz w:val="22"/>
          <w:szCs w:val="22"/>
        </w:rPr>
        <w:t xml:space="preserve"> até um período</w:t>
      </w:r>
      <w:r w:rsidRPr="008B0DDF">
        <w:rPr>
          <w:sz w:val="22"/>
          <w:szCs w:val="22"/>
        </w:rPr>
        <w:t xml:space="preserve"> </w:t>
      </w:r>
      <w:r w:rsidRPr="008B0DDF">
        <w:rPr>
          <w:rStyle w:val="hps"/>
          <w:sz w:val="22"/>
          <w:szCs w:val="22"/>
        </w:rPr>
        <w:t>máximo de 14 dias,</w:t>
      </w:r>
      <w:r w:rsidRPr="008B0DDF">
        <w:rPr>
          <w:sz w:val="22"/>
          <w:szCs w:val="22"/>
        </w:rPr>
        <w:t xml:space="preserve"> </w:t>
      </w:r>
      <w:r w:rsidRPr="008B0DDF">
        <w:rPr>
          <w:rStyle w:val="hps"/>
          <w:sz w:val="22"/>
          <w:szCs w:val="22"/>
        </w:rPr>
        <w:t>à temperatura ambiente</w:t>
      </w:r>
      <w:r w:rsidRPr="008B0DDF">
        <w:rPr>
          <w:sz w:val="22"/>
          <w:szCs w:val="22"/>
        </w:rPr>
        <w:t xml:space="preserve"> </w:t>
      </w:r>
      <w:r w:rsidRPr="008B0DDF">
        <w:rPr>
          <w:rStyle w:val="hps"/>
          <w:sz w:val="22"/>
          <w:szCs w:val="22"/>
        </w:rPr>
        <w:t>(até 25</w:t>
      </w:r>
      <w:r w:rsidRPr="008B0DDF">
        <w:rPr>
          <w:sz w:val="22"/>
          <w:szCs w:val="22"/>
        </w:rPr>
        <w:t xml:space="preserve"> </w:t>
      </w:r>
      <w:r w:rsidRPr="008B0DDF">
        <w:rPr>
          <w:rStyle w:val="hps"/>
          <w:sz w:val="22"/>
          <w:szCs w:val="22"/>
        </w:rPr>
        <w:t>° C)</w:t>
      </w:r>
      <w:r w:rsidRPr="008B0DDF">
        <w:rPr>
          <w:sz w:val="22"/>
          <w:szCs w:val="22"/>
        </w:rPr>
        <w:t xml:space="preserve"> </w:t>
      </w:r>
      <w:r w:rsidRPr="008B0DDF">
        <w:rPr>
          <w:rStyle w:val="hps"/>
          <w:sz w:val="22"/>
          <w:szCs w:val="22"/>
        </w:rPr>
        <w:t>-</w:t>
      </w:r>
      <w:r w:rsidRPr="008B0DDF">
        <w:rPr>
          <w:sz w:val="22"/>
          <w:szCs w:val="22"/>
        </w:rPr>
        <w:t xml:space="preserve"> </w:t>
      </w:r>
      <w:r w:rsidRPr="008B0DDF">
        <w:rPr>
          <w:rStyle w:val="hps"/>
          <w:sz w:val="22"/>
          <w:szCs w:val="22"/>
        </w:rPr>
        <w:t>ter a certeza que</w:t>
      </w:r>
      <w:r w:rsidRPr="008B0DDF">
        <w:rPr>
          <w:sz w:val="22"/>
          <w:szCs w:val="22"/>
        </w:rPr>
        <w:t xml:space="preserve"> a</w:t>
      </w:r>
      <w:r w:rsidRPr="008B0DDF">
        <w:rPr>
          <w:rStyle w:val="hps"/>
          <w:sz w:val="22"/>
          <w:szCs w:val="22"/>
        </w:rPr>
        <w:t xml:space="preserve"> protege da luz</w:t>
      </w:r>
      <w:r w:rsidRPr="008B0DDF">
        <w:rPr>
          <w:sz w:val="22"/>
          <w:szCs w:val="22"/>
        </w:rPr>
        <w:t xml:space="preserve">. </w:t>
      </w:r>
      <w:r w:rsidRPr="008B0DDF">
        <w:rPr>
          <w:rStyle w:val="hps"/>
          <w:sz w:val="22"/>
          <w:szCs w:val="22"/>
        </w:rPr>
        <w:t>Uma vez</w:t>
      </w:r>
      <w:r w:rsidRPr="008B0DDF">
        <w:rPr>
          <w:sz w:val="22"/>
          <w:szCs w:val="22"/>
        </w:rPr>
        <w:t xml:space="preserve"> </w:t>
      </w:r>
      <w:r w:rsidRPr="008B0DDF">
        <w:rPr>
          <w:rStyle w:val="hps"/>
          <w:sz w:val="22"/>
          <w:szCs w:val="22"/>
        </w:rPr>
        <w:t>retirada do</w:t>
      </w:r>
      <w:r w:rsidRPr="008B0DDF">
        <w:rPr>
          <w:sz w:val="22"/>
          <w:szCs w:val="22"/>
        </w:rPr>
        <w:t xml:space="preserve"> </w:t>
      </w:r>
      <w:r w:rsidRPr="008B0DDF">
        <w:rPr>
          <w:rStyle w:val="hps"/>
          <w:sz w:val="22"/>
          <w:szCs w:val="22"/>
        </w:rPr>
        <w:t>frigorífico</w:t>
      </w:r>
      <w:r w:rsidRPr="008B0DDF">
        <w:rPr>
          <w:sz w:val="22"/>
          <w:szCs w:val="22"/>
        </w:rPr>
        <w:t xml:space="preserve"> </w:t>
      </w:r>
      <w:r w:rsidRPr="008B0DDF">
        <w:rPr>
          <w:rStyle w:val="hps"/>
          <w:sz w:val="22"/>
          <w:szCs w:val="22"/>
        </w:rPr>
        <w:t>para a temperatura ambiente</w:t>
      </w:r>
      <w:r w:rsidRPr="008B0DDF">
        <w:rPr>
          <w:sz w:val="22"/>
          <w:szCs w:val="22"/>
        </w:rPr>
        <w:t xml:space="preserve">, a caneta </w:t>
      </w:r>
      <w:r w:rsidRPr="008B0DDF">
        <w:rPr>
          <w:rStyle w:val="hps"/>
          <w:b/>
          <w:bCs/>
          <w:sz w:val="22"/>
          <w:szCs w:val="22"/>
        </w:rPr>
        <w:t>deve ser utilizada</w:t>
      </w:r>
      <w:r w:rsidRPr="008B0DDF">
        <w:rPr>
          <w:b/>
          <w:bCs/>
          <w:sz w:val="22"/>
          <w:szCs w:val="22"/>
        </w:rPr>
        <w:t xml:space="preserve"> </w:t>
      </w:r>
      <w:r w:rsidRPr="008B0DDF">
        <w:rPr>
          <w:rStyle w:val="hps"/>
          <w:b/>
          <w:bCs/>
          <w:sz w:val="22"/>
          <w:szCs w:val="22"/>
        </w:rPr>
        <w:t>dentro de 14 dias</w:t>
      </w:r>
      <w:r w:rsidRPr="008B0DDF">
        <w:rPr>
          <w:b/>
          <w:bCs/>
          <w:sz w:val="22"/>
          <w:szCs w:val="22"/>
        </w:rPr>
        <w:t xml:space="preserve"> </w:t>
      </w:r>
      <w:r w:rsidRPr="008B0DDF">
        <w:rPr>
          <w:rStyle w:val="hps"/>
          <w:b/>
          <w:bCs/>
          <w:sz w:val="22"/>
          <w:szCs w:val="22"/>
        </w:rPr>
        <w:t>ou eliminada</w:t>
      </w:r>
      <w:r w:rsidRPr="008B0DDF">
        <w:rPr>
          <w:sz w:val="22"/>
          <w:szCs w:val="22"/>
        </w:rPr>
        <w:t>, mesmo que a volte a colocar n</w:t>
      </w:r>
      <w:r w:rsidRPr="008B0DDF">
        <w:rPr>
          <w:rStyle w:val="hps"/>
          <w:sz w:val="22"/>
          <w:szCs w:val="22"/>
        </w:rPr>
        <w:t>o frigorífico.</w:t>
      </w:r>
    </w:p>
    <w:p w14:paraId="42D08C15" w14:textId="77777777" w:rsidR="004462A0" w:rsidRPr="008B0DDF" w:rsidRDefault="004462A0" w:rsidP="004462A0">
      <w:pPr>
        <w:rPr>
          <w:rStyle w:val="hps"/>
          <w:sz w:val="22"/>
          <w:szCs w:val="22"/>
        </w:rPr>
      </w:pPr>
    </w:p>
    <w:p w14:paraId="559AD9BE" w14:textId="77777777" w:rsidR="004462A0" w:rsidRPr="008B0DDF" w:rsidRDefault="00615769" w:rsidP="004462A0">
      <w:pPr>
        <w:ind w:right="-2"/>
        <w:rPr>
          <w:sz w:val="22"/>
          <w:szCs w:val="22"/>
        </w:rPr>
      </w:pPr>
      <w:r w:rsidRPr="008B0DDF">
        <w:rPr>
          <w:rStyle w:val="hps"/>
          <w:sz w:val="22"/>
          <w:szCs w:val="22"/>
        </w:rPr>
        <w:t>Deve registar a data em que</w:t>
      </w:r>
      <w:r w:rsidRPr="008B0DDF">
        <w:rPr>
          <w:sz w:val="22"/>
          <w:szCs w:val="22"/>
        </w:rPr>
        <w:t xml:space="preserve"> </w:t>
      </w:r>
      <w:r w:rsidRPr="008B0DDF">
        <w:rPr>
          <w:rStyle w:val="hps"/>
          <w:sz w:val="22"/>
          <w:szCs w:val="22"/>
        </w:rPr>
        <w:t xml:space="preserve">a caneta foi inicialmente </w:t>
      </w:r>
      <w:r w:rsidRPr="008B0DDF">
        <w:rPr>
          <w:sz w:val="22"/>
          <w:szCs w:val="22"/>
        </w:rPr>
        <w:t>r</w:t>
      </w:r>
      <w:r w:rsidRPr="008B0DDF">
        <w:rPr>
          <w:rStyle w:val="hps"/>
          <w:sz w:val="22"/>
          <w:szCs w:val="22"/>
        </w:rPr>
        <w:t>etirada do frigorífico e a data em que deve ser eliminada.</w:t>
      </w:r>
    </w:p>
    <w:p w14:paraId="30A03F3E" w14:textId="77777777" w:rsidR="004462A0" w:rsidRPr="008B0DDF" w:rsidRDefault="004462A0" w:rsidP="004462A0">
      <w:pPr>
        <w:ind w:right="-2"/>
        <w:rPr>
          <w:sz w:val="22"/>
          <w:szCs w:val="22"/>
        </w:rPr>
      </w:pPr>
    </w:p>
    <w:p w14:paraId="0EA6F29C" w14:textId="77777777" w:rsidR="004462A0" w:rsidRPr="008B0DDF" w:rsidRDefault="00615769" w:rsidP="004462A0">
      <w:pPr>
        <w:ind w:right="-2"/>
        <w:rPr>
          <w:bCs/>
          <w:sz w:val="22"/>
          <w:szCs w:val="22"/>
        </w:rPr>
      </w:pPr>
      <w:r w:rsidRPr="008B0DDF">
        <w:rPr>
          <w:sz w:val="22"/>
          <w:szCs w:val="22"/>
        </w:rPr>
        <w:t>Não deite fora quaisquer medicamentos na canalização ou no lixo doméstico. Pergunte ao seu</w:t>
      </w:r>
      <w:r w:rsidR="00723763">
        <w:rPr>
          <w:sz w:val="22"/>
          <w:szCs w:val="22"/>
        </w:rPr>
        <w:t xml:space="preserve"> médico ou</w:t>
      </w:r>
      <w:r w:rsidRPr="008B0DDF">
        <w:rPr>
          <w:sz w:val="22"/>
          <w:szCs w:val="22"/>
        </w:rPr>
        <w:t xml:space="preserve"> farmacêutico como deitar fora os medicamentos que já não utiliza. Estas medidas ajudarão a proteger o ambiente. </w:t>
      </w:r>
    </w:p>
    <w:p w14:paraId="35B61048" w14:textId="77777777" w:rsidR="004462A0" w:rsidRPr="008B0DDF" w:rsidRDefault="004462A0" w:rsidP="004462A0">
      <w:pPr>
        <w:ind w:right="-2"/>
        <w:rPr>
          <w:sz w:val="22"/>
          <w:szCs w:val="22"/>
        </w:rPr>
      </w:pPr>
    </w:p>
    <w:p w14:paraId="249B6A2F" w14:textId="77777777" w:rsidR="004462A0" w:rsidRPr="008B0DDF" w:rsidRDefault="004462A0" w:rsidP="004462A0">
      <w:pPr>
        <w:ind w:left="567" w:hanging="567"/>
        <w:rPr>
          <w:b/>
          <w:sz w:val="22"/>
          <w:szCs w:val="22"/>
        </w:rPr>
      </w:pPr>
    </w:p>
    <w:p w14:paraId="7945403F" w14:textId="77777777" w:rsidR="004462A0" w:rsidRPr="008B0DDF" w:rsidRDefault="00615769" w:rsidP="004462A0">
      <w:pPr>
        <w:ind w:left="567" w:hanging="567"/>
        <w:rPr>
          <w:b/>
          <w:sz w:val="22"/>
          <w:szCs w:val="22"/>
        </w:rPr>
      </w:pPr>
      <w:r w:rsidRPr="008B0DDF">
        <w:rPr>
          <w:b/>
          <w:sz w:val="22"/>
          <w:szCs w:val="22"/>
        </w:rPr>
        <w:t>6.</w:t>
      </w:r>
      <w:r w:rsidRPr="008B0DDF">
        <w:rPr>
          <w:b/>
          <w:sz w:val="22"/>
          <w:szCs w:val="22"/>
        </w:rPr>
        <w:tab/>
        <w:t xml:space="preserve">Conteúdo da embalagem e outras informações </w:t>
      </w:r>
    </w:p>
    <w:p w14:paraId="70BEB369" w14:textId="77777777" w:rsidR="004462A0" w:rsidRPr="008B0DDF" w:rsidRDefault="004462A0" w:rsidP="004462A0">
      <w:pPr>
        <w:ind w:right="-2"/>
        <w:rPr>
          <w:sz w:val="22"/>
          <w:szCs w:val="22"/>
        </w:rPr>
      </w:pPr>
    </w:p>
    <w:p w14:paraId="5EF5AD2B" w14:textId="77777777" w:rsidR="004462A0" w:rsidRPr="008B0DDF" w:rsidRDefault="00615769" w:rsidP="004462A0">
      <w:pPr>
        <w:pStyle w:val="Heading8"/>
        <w:keepNext w:val="0"/>
        <w:rPr>
          <w:szCs w:val="22"/>
        </w:rPr>
      </w:pPr>
      <w:r w:rsidRPr="008B0DDF">
        <w:rPr>
          <w:szCs w:val="22"/>
        </w:rPr>
        <w:t>Qual a composição de Humira</w:t>
      </w:r>
    </w:p>
    <w:p w14:paraId="1201255D" w14:textId="77777777" w:rsidR="004462A0" w:rsidRPr="008B0DDF" w:rsidRDefault="004462A0" w:rsidP="004462A0">
      <w:pPr>
        <w:ind w:right="-2"/>
        <w:rPr>
          <w:b/>
          <w:bCs/>
          <w:sz w:val="22"/>
          <w:szCs w:val="22"/>
        </w:rPr>
      </w:pPr>
    </w:p>
    <w:p w14:paraId="510312FD" w14:textId="77777777" w:rsidR="004462A0" w:rsidRPr="008B0DDF" w:rsidRDefault="00615769" w:rsidP="004462A0">
      <w:pPr>
        <w:ind w:right="-2"/>
        <w:rPr>
          <w:sz w:val="22"/>
          <w:szCs w:val="22"/>
        </w:rPr>
      </w:pPr>
      <w:r w:rsidRPr="008B0DDF">
        <w:rPr>
          <w:sz w:val="22"/>
          <w:szCs w:val="22"/>
        </w:rPr>
        <w:t>A substância ativa é adalimumab.</w:t>
      </w:r>
    </w:p>
    <w:p w14:paraId="7DFC4235" w14:textId="77777777" w:rsidR="004462A0" w:rsidRPr="008B0DDF" w:rsidRDefault="00615769" w:rsidP="004462A0">
      <w:pPr>
        <w:ind w:right="-2"/>
        <w:rPr>
          <w:sz w:val="22"/>
          <w:szCs w:val="22"/>
        </w:rPr>
      </w:pPr>
      <w:r w:rsidRPr="008B0DDF">
        <w:rPr>
          <w:sz w:val="22"/>
          <w:szCs w:val="22"/>
        </w:rPr>
        <w:t>Os outros componentes são manitol, polissorbato 80 e água para preparações injetáveis.</w:t>
      </w:r>
    </w:p>
    <w:p w14:paraId="5184E456" w14:textId="77777777" w:rsidR="004462A0" w:rsidRPr="008B0DDF" w:rsidRDefault="004462A0" w:rsidP="004462A0">
      <w:pPr>
        <w:ind w:right="-2"/>
        <w:rPr>
          <w:sz w:val="22"/>
          <w:szCs w:val="22"/>
        </w:rPr>
      </w:pPr>
    </w:p>
    <w:p w14:paraId="7238A575" w14:textId="77777777" w:rsidR="004462A0" w:rsidRPr="008B0DDF" w:rsidRDefault="00615769" w:rsidP="004462A0">
      <w:pPr>
        <w:pStyle w:val="Heading8"/>
        <w:keepNext w:val="0"/>
        <w:rPr>
          <w:szCs w:val="22"/>
        </w:rPr>
      </w:pPr>
      <w:r w:rsidRPr="008B0DDF">
        <w:rPr>
          <w:szCs w:val="22"/>
        </w:rPr>
        <w:t>Qual o aspeto de Humira em caneta pré-cheia e conteúdo da embalagem</w:t>
      </w:r>
    </w:p>
    <w:p w14:paraId="02308121" w14:textId="77777777" w:rsidR="004462A0" w:rsidRPr="008B0DDF" w:rsidRDefault="004462A0" w:rsidP="004462A0">
      <w:pPr>
        <w:ind w:right="-2"/>
        <w:rPr>
          <w:sz w:val="22"/>
          <w:szCs w:val="22"/>
        </w:rPr>
      </w:pPr>
    </w:p>
    <w:p w14:paraId="19D679C6" w14:textId="77777777" w:rsidR="004462A0" w:rsidRPr="008B0DDF" w:rsidRDefault="00615769" w:rsidP="004462A0">
      <w:pPr>
        <w:ind w:right="-2"/>
        <w:rPr>
          <w:sz w:val="22"/>
          <w:szCs w:val="22"/>
        </w:rPr>
      </w:pPr>
      <w:r w:rsidRPr="008B0DDF">
        <w:rPr>
          <w:sz w:val="22"/>
          <w:szCs w:val="22"/>
        </w:rPr>
        <w:t>Humira 40 mg solução injetável em caneta pré-cheia é fornecido sob a forma de uma solução estéril contendo 40 mg de adalimumab dissolvido em 0,4 ml de solução.</w:t>
      </w:r>
    </w:p>
    <w:p w14:paraId="540A6FE8" w14:textId="77777777" w:rsidR="004462A0" w:rsidRPr="008B0DDF" w:rsidRDefault="004462A0" w:rsidP="004462A0">
      <w:pPr>
        <w:ind w:right="-2"/>
        <w:rPr>
          <w:sz w:val="22"/>
          <w:szCs w:val="22"/>
        </w:rPr>
      </w:pPr>
    </w:p>
    <w:p w14:paraId="2F73F2FF" w14:textId="77777777" w:rsidR="004462A0" w:rsidRPr="008B0DDF" w:rsidRDefault="00615769" w:rsidP="004462A0">
      <w:pPr>
        <w:ind w:right="-2"/>
        <w:rPr>
          <w:sz w:val="22"/>
          <w:szCs w:val="22"/>
        </w:rPr>
      </w:pPr>
      <w:r w:rsidRPr="008B0DDF">
        <w:rPr>
          <w:sz w:val="22"/>
          <w:szCs w:val="22"/>
        </w:rPr>
        <w:t>A caneta pré-cheia de Humira é uma caneta de dose única de cor cinzenta e roxa que contém uma seringa de vidro com Humira. Contém duas tampas, uma de cor cinzenta marcada com “1”</w:t>
      </w:r>
      <w:r w:rsidR="00E47A88">
        <w:rPr>
          <w:sz w:val="22"/>
          <w:szCs w:val="22"/>
        </w:rPr>
        <w:t xml:space="preserve"> </w:t>
      </w:r>
      <w:r w:rsidRPr="008B0DDF">
        <w:rPr>
          <w:sz w:val="22"/>
          <w:szCs w:val="22"/>
        </w:rPr>
        <w:t>e outra de cor roxa marcada com “2”. Contém uma janela de cada lado da caneta, através da qual se pode ver a solução de Humira dentro da seringa.</w:t>
      </w:r>
    </w:p>
    <w:p w14:paraId="0E3DE0B4" w14:textId="77777777" w:rsidR="004462A0" w:rsidRPr="008B0DDF" w:rsidRDefault="004462A0" w:rsidP="004462A0">
      <w:pPr>
        <w:ind w:right="-2"/>
        <w:rPr>
          <w:sz w:val="22"/>
          <w:szCs w:val="22"/>
        </w:rPr>
      </w:pPr>
    </w:p>
    <w:p w14:paraId="76E2187A" w14:textId="77777777" w:rsidR="00E47A88" w:rsidRDefault="00615769" w:rsidP="004462A0">
      <w:pPr>
        <w:rPr>
          <w:sz w:val="22"/>
          <w:szCs w:val="22"/>
        </w:rPr>
      </w:pPr>
      <w:r w:rsidRPr="008B0DDF">
        <w:rPr>
          <w:sz w:val="22"/>
          <w:szCs w:val="22"/>
        </w:rPr>
        <w:t xml:space="preserve">Humira em caneta pré-cheia está disponível em embalagens contendo 1, 2, 4 e 6 canetas pré-cheias. A embalagem contendo 1 caneta pré-cheia contém 2 compressas embebidas em álcool. Para as embalagens de 2, 4 e 6 canetas pré-cheias, cada caneta pré-cheia contém 1 compressa embebida em álcool. </w:t>
      </w:r>
    </w:p>
    <w:p w14:paraId="5AD1FE46" w14:textId="77777777" w:rsidR="004C27CA" w:rsidRDefault="004C27CA" w:rsidP="004462A0">
      <w:pPr>
        <w:rPr>
          <w:sz w:val="22"/>
          <w:szCs w:val="22"/>
        </w:rPr>
      </w:pPr>
    </w:p>
    <w:p w14:paraId="4514AA4E" w14:textId="77777777" w:rsidR="004462A0" w:rsidRPr="008B0DDF" w:rsidRDefault="00615769" w:rsidP="004462A0">
      <w:pPr>
        <w:rPr>
          <w:sz w:val="22"/>
          <w:szCs w:val="22"/>
        </w:rPr>
      </w:pPr>
      <w:r w:rsidRPr="008B0DDF">
        <w:rPr>
          <w:sz w:val="22"/>
          <w:szCs w:val="22"/>
        </w:rPr>
        <w:t>É possível que não sejam comercializadas todas as apresentações.</w:t>
      </w:r>
    </w:p>
    <w:p w14:paraId="44D65B3C" w14:textId="77777777" w:rsidR="004462A0" w:rsidRPr="008B0DDF" w:rsidRDefault="004462A0" w:rsidP="004462A0">
      <w:pPr>
        <w:rPr>
          <w:sz w:val="22"/>
          <w:szCs w:val="22"/>
        </w:rPr>
      </w:pPr>
    </w:p>
    <w:p w14:paraId="6E76F206" w14:textId="77777777" w:rsidR="004462A0" w:rsidRPr="008B0DDF" w:rsidRDefault="00615769" w:rsidP="004462A0">
      <w:pPr>
        <w:rPr>
          <w:sz w:val="22"/>
          <w:szCs w:val="22"/>
        </w:rPr>
      </w:pPr>
      <w:r w:rsidRPr="008B0DDF">
        <w:rPr>
          <w:sz w:val="22"/>
          <w:szCs w:val="22"/>
        </w:rPr>
        <w:t xml:space="preserve">Humira </w:t>
      </w:r>
      <w:r w:rsidR="00391AD8">
        <w:rPr>
          <w:sz w:val="22"/>
          <w:szCs w:val="22"/>
        </w:rPr>
        <w:t>pode estar</w:t>
      </w:r>
      <w:r w:rsidRPr="008B0DDF">
        <w:rPr>
          <w:sz w:val="22"/>
          <w:szCs w:val="22"/>
        </w:rPr>
        <w:t xml:space="preserve"> disponível em frasco para injetáveis, em seringa pré-cheia e</w:t>
      </w:r>
      <w:r w:rsidR="00391AD8">
        <w:rPr>
          <w:sz w:val="22"/>
          <w:szCs w:val="22"/>
        </w:rPr>
        <w:t>/ou</w:t>
      </w:r>
      <w:r w:rsidRPr="008B0DDF">
        <w:rPr>
          <w:sz w:val="22"/>
          <w:szCs w:val="22"/>
        </w:rPr>
        <w:t xml:space="preserve"> em caneta pré-cheia.</w:t>
      </w:r>
    </w:p>
    <w:p w14:paraId="642FB93A" w14:textId="77777777" w:rsidR="004462A0" w:rsidRPr="008B0DDF" w:rsidRDefault="004462A0" w:rsidP="004462A0">
      <w:pPr>
        <w:ind w:right="-2"/>
        <w:rPr>
          <w:sz w:val="22"/>
          <w:szCs w:val="22"/>
        </w:rPr>
      </w:pPr>
    </w:p>
    <w:p w14:paraId="15E1D963" w14:textId="77777777" w:rsidR="004462A0" w:rsidRPr="008B0DDF" w:rsidRDefault="00615769" w:rsidP="00040D46">
      <w:pPr>
        <w:pStyle w:val="Heading8"/>
        <w:rPr>
          <w:szCs w:val="22"/>
        </w:rPr>
      </w:pPr>
      <w:r w:rsidRPr="008B0DDF">
        <w:rPr>
          <w:szCs w:val="22"/>
        </w:rPr>
        <w:t xml:space="preserve">Titular da Autorização de Introdução no Mercado </w:t>
      </w:r>
    </w:p>
    <w:p w14:paraId="145D7359" w14:textId="77777777" w:rsidR="004462A0" w:rsidRPr="008B0DDF" w:rsidRDefault="004462A0" w:rsidP="00040D46">
      <w:pPr>
        <w:keepNext/>
        <w:ind w:right="-2"/>
        <w:rPr>
          <w:sz w:val="22"/>
          <w:szCs w:val="22"/>
        </w:rPr>
      </w:pPr>
    </w:p>
    <w:p w14:paraId="601EE2A4" w14:textId="77777777" w:rsidR="00283B1B" w:rsidRPr="00140752" w:rsidRDefault="00615769" w:rsidP="00283B1B">
      <w:pPr>
        <w:tabs>
          <w:tab w:val="left" w:pos="720"/>
        </w:tabs>
        <w:rPr>
          <w:sz w:val="22"/>
          <w:szCs w:val="22"/>
          <w:lang w:val="de-DE"/>
        </w:rPr>
      </w:pPr>
      <w:r w:rsidRPr="00140752">
        <w:rPr>
          <w:sz w:val="22"/>
          <w:szCs w:val="22"/>
          <w:lang w:val="de-DE"/>
        </w:rPr>
        <w:t>AbbVie Deutschland GmbH &amp; Co. KG</w:t>
      </w:r>
    </w:p>
    <w:p w14:paraId="1BE98818" w14:textId="77777777" w:rsidR="00283B1B" w:rsidRPr="008D6D3A" w:rsidRDefault="00615769" w:rsidP="00283B1B">
      <w:pPr>
        <w:tabs>
          <w:tab w:val="left" w:pos="720"/>
        </w:tabs>
        <w:rPr>
          <w:sz w:val="22"/>
          <w:szCs w:val="22"/>
          <w:lang w:val="de-CH"/>
        </w:rPr>
      </w:pPr>
      <w:r w:rsidRPr="008D6D3A">
        <w:rPr>
          <w:sz w:val="22"/>
          <w:szCs w:val="22"/>
          <w:lang w:val="de-CH"/>
        </w:rPr>
        <w:t>Knollstrasse</w:t>
      </w:r>
    </w:p>
    <w:p w14:paraId="6916C460" w14:textId="77777777" w:rsidR="00283B1B" w:rsidRPr="008D6D3A" w:rsidRDefault="00615769" w:rsidP="00283B1B">
      <w:pPr>
        <w:tabs>
          <w:tab w:val="left" w:pos="720"/>
        </w:tabs>
        <w:rPr>
          <w:sz w:val="22"/>
          <w:szCs w:val="22"/>
          <w:lang w:val="de-CH"/>
        </w:rPr>
      </w:pPr>
      <w:r w:rsidRPr="008D6D3A">
        <w:rPr>
          <w:sz w:val="22"/>
          <w:szCs w:val="22"/>
          <w:lang w:val="de-CH"/>
        </w:rPr>
        <w:t>67061 Ludwigshafen</w:t>
      </w:r>
    </w:p>
    <w:p w14:paraId="297897E7" w14:textId="77777777" w:rsidR="004462A0" w:rsidRPr="008D6D3A" w:rsidRDefault="00615769" w:rsidP="004462A0">
      <w:pPr>
        <w:rPr>
          <w:sz w:val="22"/>
          <w:szCs w:val="22"/>
          <w:lang w:val="de-CH"/>
        </w:rPr>
      </w:pPr>
      <w:r w:rsidRPr="008D6D3A">
        <w:rPr>
          <w:sz w:val="22"/>
          <w:szCs w:val="22"/>
          <w:lang w:val="de-CH"/>
        </w:rPr>
        <w:t>Alemanha</w:t>
      </w:r>
    </w:p>
    <w:p w14:paraId="12684A85" w14:textId="77777777" w:rsidR="004462A0" w:rsidRPr="008D6D3A" w:rsidRDefault="004462A0" w:rsidP="004462A0">
      <w:pPr>
        <w:ind w:right="-2"/>
        <w:rPr>
          <w:sz w:val="22"/>
          <w:szCs w:val="22"/>
          <w:lang w:val="de-CH"/>
        </w:rPr>
      </w:pPr>
    </w:p>
    <w:p w14:paraId="45FF7C60" w14:textId="77777777" w:rsidR="004462A0" w:rsidRPr="008D6D3A" w:rsidRDefault="00615769" w:rsidP="004462A0">
      <w:pPr>
        <w:keepNext/>
        <w:ind w:right="-2"/>
        <w:rPr>
          <w:b/>
          <w:bCs/>
          <w:sz w:val="22"/>
          <w:szCs w:val="22"/>
          <w:lang w:val="de-CH"/>
        </w:rPr>
      </w:pPr>
      <w:r w:rsidRPr="008D6D3A">
        <w:rPr>
          <w:b/>
          <w:bCs/>
          <w:sz w:val="22"/>
          <w:szCs w:val="22"/>
          <w:lang w:val="de-CH"/>
        </w:rPr>
        <w:t>Fabricante</w:t>
      </w:r>
    </w:p>
    <w:p w14:paraId="75534138" w14:textId="77777777" w:rsidR="004462A0" w:rsidRPr="008D6D3A" w:rsidRDefault="004462A0" w:rsidP="004462A0">
      <w:pPr>
        <w:keepNext/>
        <w:ind w:right="-2"/>
        <w:rPr>
          <w:bCs/>
          <w:sz w:val="22"/>
          <w:szCs w:val="22"/>
          <w:lang w:val="de-CH"/>
        </w:rPr>
      </w:pPr>
    </w:p>
    <w:p w14:paraId="15F9F316" w14:textId="77777777" w:rsidR="004462A0" w:rsidRPr="008D6D3A" w:rsidRDefault="00615769" w:rsidP="004462A0">
      <w:pPr>
        <w:keepNext/>
        <w:tabs>
          <w:tab w:val="left" w:pos="562"/>
        </w:tabs>
        <w:suppressAutoHyphens/>
        <w:rPr>
          <w:sz w:val="22"/>
          <w:lang w:val="de-CH"/>
        </w:rPr>
      </w:pPr>
      <w:r w:rsidRPr="008D6D3A">
        <w:rPr>
          <w:sz w:val="22"/>
          <w:lang w:val="de-CH"/>
        </w:rPr>
        <w:t>AbbVie Biotechnology GmbH</w:t>
      </w:r>
    </w:p>
    <w:p w14:paraId="30EF62A4" w14:textId="77777777" w:rsidR="004462A0" w:rsidRPr="008D6D3A" w:rsidRDefault="00615769" w:rsidP="004462A0">
      <w:pPr>
        <w:keepNext/>
        <w:numPr>
          <w:ilvl w:val="12"/>
          <w:numId w:val="0"/>
        </w:numPr>
        <w:tabs>
          <w:tab w:val="left" w:pos="720"/>
        </w:tabs>
        <w:suppressAutoHyphens/>
        <w:rPr>
          <w:sz w:val="22"/>
          <w:lang w:val="de-CH"/>
        </w:rPr>
      </w:pPr>
      <w:r w:rsidRPr="008D6D3A">
        <w:rPr>
          <w:sz w:val="22"/>
          <w:lang w:val="de-CH"/>
        </w:rPr>
        <w:t>Knollstrasse</w:t>
      </w:r>
    </w:p>
    <w:p w14:paraId="6AA80AA3" w14:textId="77777777" w:rsidR="004462A0" w:rsidRPr="008D6D3A" w:rsidRDefault="00615769" w:rsidP="004462A0">
      <w:pPr>
        <w:keepNext/>
        <w:numPr>
          <w:ilvl w:val="12"/>
          <w:numId w:val="0"/>
        </w:numPr>
        <w:tabs>
          <w:tab w:val="left" w:pos="720"/>
        </w:tabs>
        <w:suppressAutoHyphens/>
        <w:rPr>
          <w:sz w:val="22"/>
          <w:lang w:val="de-CH"/>
        </w:rPr>
      </w:pPr>
      <w:r w:rsidRPr="008D6D3A">
        <w:rPr>
          <w:sz w:val="22"/>
          <w:lang w:val="de-CH"/>
        </w:rPr>
        <w:t>67061 Ludwigshafen</w:t>
      </w:r>
    </w:p>
    <w:p w14:paraId="4BACFFFB" w14:textId="77777777" w:rsidR="004462A0" w:rsidRPr="00003560" w:rsidRDefault="00615769" w:rsidP="004462A0">
      <w:pPr>
        <w:keepNext/>
        <w:ind w:right="-2"/>
        <w:rPr>
          <w:sz w:val="22"/>
        </w:rPr>
      </w:pPr>
      <w:r w:rsidRPr="00003560">
        <w:rPr>
          <w:sz w:val="22"/>
        </w:rPr>
        <w:t>Alemanha</w:t>
      </w:r>
    </w:p>
    <w:p w14:paraId="46E5282F" w14:textId="77777777" w:rsidR="004462A0" w:rsidRPr="005F6F98" w:rsidRDefault="004462A0" w:rsidP="004462A0">
      <w:pPr>
        <w:ind w:right="-2"/>
        <w:rPr>
          <w:sz w:val="22"/>
          <w:szCs w:val="22"/>
        </w:rPr>
      </w:pPr>
    </w:p>
    <w:p w14:paraId="60437168" w14:textId="77777777" w:rsidR="004462A0" w:rsidRPr="008B0DDF" w:rsidRDefault="00615769" w:rsidP="00FB5DB3">
      <w:pPr>
        <w:keepNext/>
        <w:ind w:right="-2"/>
        <w:rPr>
          <w:sz w:val="22"/>
          <w:szCs w:val="22"/>
        </w:rPr>
      </w:pPr>
      <w:r w:rsidRPr="002B2441">
        <w:rPr>
          <w:sz w:val="22"/>
          <w:szCs w:val="22"/>
        </w:rPr>
        <w:t>Para quaisquer informações sobre este medicamento, queira contactar o r</w:t>
      </w:r>
      <w:r w:rsidR="004E51CA">
        <w:rPr>
          <w:sz w:val="22"/>
          <w:szCs w:val="22"/>
        </w:rPr>
        <w:t>epresentante local do Titular da</w:t>
      </w:r>
      <w:r w:rsidRPr="002B2441">
        <w:rPr>
          <w:sz w:val="22"/>
          <w:szCs w:val="22"/>
        </w:rPr>
        <w:t xml:space="preserve"> Autorização de Introdução no Mercado:</w:t>
      </w:r>
    </w:p>
    <w:p w14:paraId="166296EC" w14:textId="77777777" w:rsidR="004462A0" w:rsidRPr="008B0DDF" w:rsidRDefault="004462A0" w:rsidP="00FB5DB3">
      <w:pPr>
        <w:keepNext/>
        <w:rPr>
          <w:sz w:val="22"/>
          <w:szCs w:val="22"/>
        </w:rPr>
      </w:pPr>
    </w:p>
    <w:tbl>
      <w:tblPr>
        <w:tblW w:w="9356" w:type="dxa"/>
        <w:tblInd w:w="-34" w:type="dxa"/>
        <w:tblLayout w:type="fixed"/>
        <w:tblLook w:val="0000" w:firstRow="0" w:lastRow="0" w:firstColumn="0" w:lastColumn="0" w:noHBand="0" w:noVBand="0"/>
      </w:tblPr>
      <w:tblGrid>
        <w:gridCol w:w="34"/>
        <w:gridCol w:w="4610"/>
        <w:gridCol w:w="34"/>
        <w:gridCol w:w="4678"/>
      </w:tblGrid>
      <w:tr w:rsidR="00A7162A" w14:paraId="16C75F76" w14:textId="77777777" w:rsidTr="001F79B0">
        <w:tc>
          <w:tcPr>
            <w:tcW w:w="4644" w:type="dxa"/>
            <w:gridSpan w:val="2"/>
          </w:tcPr>
          <w:p w14:paraId="5F44A40A" w14:textId="77777777" w:rsidR="00CE2B63" w:rsidRPr="00346547" w:rsidRDefault="00615769" w:rsidP="001F79B0">
            <w:pPr>
              <w:rPr>
                <w:b/>
                <w:bCs/>
                <w:sz w:val="22"/>
                <w:szCs w:val="22"/>
                <w:lang w:val="fr-BE"/>
              </w:rPr>
            </w:pPr>
            <w:r w:rsidRPr="00346547">
              <w:rPr>
                <w:b/>
                <w:bCs/>
                <w:sz w:val="22"/>
                <w:szCs w:val="22"/>
                <w:lang w:val="fr-BE"/>
              </w:rPr>
              <w:t>België/Belgique/Belgien</w:t>
            </w:r>
          </w:p>
          <w:p w14:paraId="6755F856" w14:textId="77777777" w:rsidR="00CE2B63" w:rsidRPr="00346547" w:rsidRDefault="00615769" w:rsidP="001F79B0">
            <w:pPr>
              <w:tabs>
                <w:tab w:val="center" w:pos="2214"/>
              </w:tabs>
              <w:rPr>
                <w:bCs/>
                <w:sz w:val="22"/>
                <w:szCs w:val="22"/>
                <w:lang w:val="fr-FR"/>
              </w:rPr>
            </w:pPr>
            <w:r w:rsidRPr="00346547">
              <w:rPr>
                <w:bCs/>
                <w:sz w:val="22"/>
                <w:szCs w:val="22"/>
                <w:lang w:val="fr-FR"/>
              </w:rPr>
              <w:t>AbbVie SA</w:t>
            </w:r>
          </w:p>
          <w:p w14:paraId="6824D9E0" w14:textId="77777777" w:rsidR="00CE2B63" w:rsidRPr="00346547" w:rsidRDefault="00615769" w:rsidP="001F79B0">
            <w:pPr>
              <w:rPr>
                <w:sz w:val="22"/>
                <w:szCs w:val="22"/>
                <w:lang w:val="fr-FR"/>
              </w:rPr>
            </w:pPr>
            <w:r w:rsidRPr="00346547">
              <w:rPr>
                <w:bCs/>
                <w:sz w:val="22"/>
                <w:szCs w:val="22"/>
                <w:lang w:val="fr-FR"/>
              </w:rPr>
              <w:t xml:space="preserve">Tél/Tel: +32 10 </w:t>
            </w:r>
            <w:r w:rsidRPr="00346547">
              <w:rPr>
                <w:sz w:val="22"/>
                <w:szCs w:val="22"/>
                <w:lang w:val="fr-FR"/>
              </w:rPr>
              <w:t>477811</w:t>
            </w:r>
          </w:p>
          <w:p w14:paraId="68C75006" w14:textId="77777777" w:rsidR="00CE2B63" w:rsidRPr="00346547" w:rsidRDefault="00CE2B63" w:rsidP="001F79B0">
            <w:pPr>
              <w:rPr>
                <w:bCs/>
                <w:sz w:val="22"/>
                <w:szCs w:val="22"/>
                <w:lang w:val="fr-FR"/>
              </w:rPr>
            </w:pPr>
          </w:p>
        </w:tc>
        <w:tc>
          <w:tcPr>
            <w:tcW w:w="4678" w:type="dxa"/>
            <w:gridSpan w:val="2"/>
          </w:tcPr>
          <w:p w14:paraId="4155D45D" w14:textId="77777777" w:rsidR="00CE2B63" w:rsidRPr="00346547" w:rsidRDefault="00615769" w:rsidP="001F79B0">
            <w:pPr>
              <w:rPr>
                <w:b/>
                <w:bCs/>
                <w:sz w:val="22"/>
                <w:szCs w:val="22"/>
                <w:lang w:val="lt-LT"/>
              </w:rPr>
            </w:pPr>
            <w:r w:rsidRPr="00346547">
              <w:rPr>
                <w:b/>
                <w:bCs/>
                <w:sz w:val="22"/>
                <w:szCs w:val="22"/>
                <w:lang w:val="lt-LT"/>
              </w:rPr>
              <w:t>Lietuva</w:t>
            </w:r>
          </w:p>
          <w:p w14:paraId="14C0D9FE" w14:textId="77777777" w:rsidR="00CE2B63" w:rsidRPr="00346547" w:rsidRDefault="00615769" w:rsidP="001F79B0">
            <w:pPr>
              <w:rPr>
                <w:bCs/>
                <w:sz w:val="22"/>
                <w:szCs w:val="22"/>
                <w:lang w:val="lv-LV"/>
              </w:rPr>
            </w:pPr>
            <w:r w:rsidRPr="00346547">
              <w:rPr>
                <w:bCs/>
                <w:sz w:val="22"/>
                <w:szCs w:val="22"/>
                <w:lang w:val="lv-LV"/>
              </w:rPr>
              <w:t xml:space="preserve">AbbVie UAB </w:t>
            </w:r>
          </w:p>
          <w:p w14:paraId="45778F75" w14:textId="77777777" w:rsidR="00CE2B63" w:rsidRPr="00346547" w:rsidRDefault="00615769" w:rsidP="001F79B0">
            <w:pPr>
              <w:jc w:val="both"/>
              <w:rPr>
                <w:bCs/>
                <w:sz w:val="22"/>
                <w:szCs w:val="22"/>
                <w:lang w:val="lv-LV"/>
              </w:rPr>
            </w:pPr>
            <w:r w:rsidRPr="00346547">
              <w:rPr>
                <w:bCs/>
                <w:sz w:val="22"/>
                <w:szCs w:val="22"/>
                <w:lang w:val="lv-LV"/>
              </w:rPr>
              <w:t>Tel: +370 5 205 3023</w:t>
            </w:r>
          </w:p>
        </w:tc>
      </w:tr>
      <w:tr w:rsidR="00A7162A" w14:paraId="5CA7542A" w14:textId="77777777" w:rsidTr="001F79B0">
        <w:tc>
          <w:tcPr>
            <w:tcW w:w="4644" w:type="dxa"/>
            <w:gridSpan w:val="2"/>
          </w:tcPr>
          <w:p w14:paraId="79A5F12E" w14:textId="77777777" w:rsidR="00CE2B63" w:rsidRPr="00346547" w:rsidRDefault="00615769" w:rsidP="001F79B0">
            <w:pPr>
              <w:autoSpaceDE w:val="0"/>
              <w:autoSpaceDN w:val="0"/>
              <w:adjustRightInd w:val="0"/>
              <w:rPr>
                <w:b/>
                <w:bCs/>
                <w:sz w:val="22"/>
                <w:szCs w:val="22"/>
                <w:lang w:val="bg-BG"/>
              </w:rPr>
            </w:pPr>
            <w:r w:rsidRPr="00346547">
              <w:rPr>
                <w:b/>
                <w:bCs/>
                <w:sz w:val="22"/>
                <w:szCs w:val="22"/>
                <w:lang w:val="bg-BG"/>
              </w:rPr>
              <w:t>България</w:t>
            </w:r>
          </w:p>
          <w:p w14:paraId="6E225E34" w14:textId="77777777" w:rsidR="00CE2B63" w:rsidRPr="00346547" w:rsidRDefault="00615769" w:rsidP="001F79B0">
            <w:pPr>
              <w:autoSpaceDE w:val="0"/>
              <w:autoSpaceDN w:val="0"/>
              <w:adjustRightInd w:val="0"/>
              <w:rPr>
                <w:sz w:val="22"/>
                <w:szCs w:val="22"/>
                <w:lang w:val="da-DK"/>
              </w:rPr>
            </w:pPr>
            <w:r w:rsidRPr="00346547">
              <w:rPr>
                <w:rFonts w:eastAsia="MS Mincho"/>
                <w:sz w:val="22"/>
                <w:szCs w:val="22"/>
                <w:lang w:eastAsia="ja-JP"/>
              </w:rPr>
              <w:t>АбВи ЕООД</w:t>
            </w:r>
          </w:p>
          <w:p w14:paraId="3784F1B1" w14:textId="77777777" w:rsidR="00CE2B63" w:rsidRPr="00346547" w:rsidRDefault="00615769" w:rsidP="001F79B0">
            <w:pPr>
              <w:tabs>
                <w:tab w:val="left" w:pos="-720"/>
              </w:tabs>
              <w:rPr>
                <w:bCs/>
                <w:sz w:val="22"/>
                <w:szCs w:val="22"/>
                <w:lang w:val="da-DK"/>
              </w:rPr>
            </w:pPr>
            <w:r w:rsidRPr="00346547">
              <w:rPr>
                <w:rFonts w:eastAsia="MS Mincho"/>
                <w:sz w:val="22"/>
                <w:szCs w:val="22"/>
                <w:lang w:eastAsia="ja-JP"/>
              </w:rPr>
              <w:t>Тел</w:t>
            </w:r>
            <w:r w:rsidRPr="00346547">
              <w:rPr>
                <w:rFonts w:eastAsia="MS Mincho"/>
                <w:sz w:val="22"/>
                <w:szCs w:val="22"/>
                <w:lang w:val="it-IT" w:eastAsia="ja-JP"/>
              </w:rPr>
              <w:t>.:+359 2 90 30 430</w:t>
            </w:r>
          </w:p>
        </w:tc>
        <w:tc>
          <w:tcPr>
            <w:tcW w:w="4678" w:type="dxa"/>
            <w:gridSpan w:val="2"/>
          </w:tcPr>
          <w:p w14:paraId="0238F66F" w14:textId="77777777" w:rsidR="00CE2B63" w:rsidRPr="00346547" w:rsidRDefault="00615769" w:rsidP="001F79B0">
            <w:pPr>
              <w:rPr>
                <w:b/>
                <w:bCs/>
                <w:sz w:val="22"/>
                <w:szCs w:val="22"/>
                <w:lang w:val="de-DE"/>
              </w:rPr>
            </w:pPr>
            <w:r w:rsidRPr="00346547">
              <w:rPr>
                <w:b/>
                <w:bCs/>
                <w:sz w:val="22"/>
                <w:szCs w:val="22"/>
                <w:lang w:val="de-DE"/>
              </w:rPr>
              <w:t>Luxembourg/Luxemburg</w:t>
            </w:r>
          </w:p>
          <w:p w14:paraId="5E52BFB6" w14:textId="77777777" w:rsidR="00CE2B63" w:rsidRPr="00346547" w:rsidRDefault="00615769" w:rsidP="001F79B0">
            <w:pPr>
              <w:rPr>
                <w:bCs/>
                <w:sz w:val="22"/>
                <w:szCs w:val="22"/>
                <w:lang w:val="de-DE"/>
              </w:rPr>
            </w:pPr>
            <w:r w:rsidRPr="00346547">
              <w:rPr>
                <w:bCs/>
                <w:sz w:val="22"/>
                <w:szCs w:val="22"/>
                <w:lang w:val="de-DE"/>
              </w:rPr>
              <w:t>AbbVie SA</w:t>
            </w:r>
          </w:p>
          <w:p w14:paraId="27919C96" w14:textId="77777777" w:rsidR="00CE2B63" w:rsidRPr="00346547" w:rsidRDefault="00615769" w:rsidP="001F79B0">
            <w:pPr>
              <w:tabs>
                <w:tab w:val="center" w:pos="2231"/>
              </w:tabs>
              <w:rPr>
                <w:bCs/>
                <w:sz w:val="22"/>
                <w:szCs w:val="22"/>
                <w:lang w:val="de-DE"/>
              </w:rPr>
            </w:pPr>
            <w:r w:rsidRPr="00346547">
              <w:rPr>
                <w:bCs/>
                <w:sz w:val="22"/>
                <w:szCs w:val="22"/>
                <w:lang w:val="de-DE"/>
              </w:rPr>
              <w:t>Belgique/Belgien</w:t>
            </w:r>
          </w:p>
          <w:p w14:paraId="1830ED74" w14:textId="77777777" w:rsidR="00CE2B63" w:rsidRPr="00346547" w:rsidRDefault="00615769" w:rsidP="001F79B0">
            <w:pPr>
              <w:rPr>
                <w:bCs/>
                <w:sz w:val="22"/>
                <w:szCs w:val="22"/>
                <w:lang w:val="fr-FR"/>
              </w:rPr>
            </w:pPr>
            <w:r w:rsidRPr="00346547">
              <w:rPr>
                <w:bCs/>
                <w:sz w:val="22"/>
                <w:szCs w:val="22"/>
                <w:lang w:val="fr-FR"/>
              </w:rPr>
              <w:t>Tél/Tel: +32 10 477811</w:t>
            </w:r>
          </w:p>
          <w:p w14:paraId="28122F25" w14:textId="77777777" w:rsidR="00CE2B63" w:rsidRPr="00346547" w:rsidRDefault="00CE2B63" w:rsidP="001F79B0">
            <w:pPr>
              <w:rPr>
                <w:bCs/>
                <w:sz w:val="22"/>
                <w:szCs w:val="22"/>
                <w:lang w:val="fr-FR"/>
              </w:rPr>
            </w:pPr>
          </w:p>
        </w:tc>
      </w:tr>
      <w:tr w:rsidR="00A7162A" w14:paraId="2AF97F27" w14:textId="77777777" w:rsidTr="001F79B0">
        <w:tc>
          <w:tcPr>
            <w:tcW w:w="4644" w:type="dxa"/>
            <w:gridSpan w:val="2"/>
          </w:tcPr>
          <w:p w14:paraId="1A54B22A" w14:textId="77777777" w:rsidR="00CE2B63" w:rsidRPr="00346547" w:rsidRDefault="00615769" w:rsidP="001F79B0">
            <w:pPr>
              <w:keepNext/>
              <w:rPr>
                <w:b/>
                <w:bCs/>
                <w:sz w:val="22"/>
                <w:szCs w:val="22"/>
              </w:rPr>
            </w:pPr>
            <w:r w:rsidRPr="00346547">
              <w:rPr>
                <w:b/>
                <w:bCs/>
                <w:sz w:val="22"/>
                <w:szCs w:val="22"/>
              </w:rPr>
              <w:t>Česká republika</w:t>
            </w:r>
          </w:p>
          <w:p w14:paraId="3E43C61B" w14:textId="77777777" w:rsidR="00CE2B63" w:rsidRPr="00346547" w:rsidRDefault="00615769" w:rsidP="001F79B0">
            <w:pPr>
              <w:keepNext/>
              <w:rPr>
                <w:bCs/>
                <w:sz w:val="22"/>
                <w:szCs w:val="22"/>
              </w:rPr>
            </w:pPr>
            <w:r w:rsidRPr="00346547">
              <w:rPr>
                <w:bCs/>
                <w:sz w:val="22"/>
                <w:szCs w:val="22"/>
              </w:rPr>
              <w:t xml:space="preserve">AbbVie s.r.o. </w:t>
            </w:r>
          </w:p>
          <w:p w14:paraId="4913D346" w14:textId="77777777" w:rsidR="00CE2B63" w:rsidRPr="00346547" w:rsidRDefault="00615769" w:rsidP="001F79B0">
            <w:pPr>
              <w:keepNext/>
              <w:rPr>
                <w:bCs/>
                <w:sz w:val="22"/>
                <w:szCs w:val="22"/>
              </w:rPr>
            </w:pPr>
            <w:r w:rsidRPr="00346547">
              <w:rPr>
                <w:bCs/>
                <w:sz w:val="22"/>
                <w:szCs w:val="22"/>
              </w:rPr>
              <w:t>Tel: +420 233 098 111</w:t>
            </w:r>
          </w:p>
        </w:tc>
        <w:tc>
          <w:tcPr>
            <w:tcW w:w="4678" w:type="dxa"/>
            <w:gridSpan w:val="2"/>
          </w:tcPr>
          <w:p w14:paraId="189CF9A0" w14:textId="77777777" w:rsidR="00CE2B63" w:rsidRPr="00346547" w:rsidRDefault="00615769" w:rsidP="001F79B0">
            <w:pPr>
              <w:keepNext/>
              <w:rPr>
                <w:b/>
                <w:bCs/>
                <w:sz w:val="22"/>
                <w:szCs w:val="22"/>
                <w:lang w:val="hu-HU"/>
              </w:rPr>
            </w:pPr>
            <w:r w:rsidRPr="00346547">
              <w:rPr>
                <w:b/>
                <w:bCs/>
                <w:sz w:val="22"/>
                <w:szCs w:val="22"/>
                <w:lang w:val="hu-HU"/>
              </w:rPr>
              <w:t>Magyarország</w:t>
            </w:r>
          </w:p>
          <w:p w14:paraId="592136C1" w14:textId="77777777" w:rsidR="00CE2B63" w:rsidRPr="00346547" w:rsidRDefault="00615769" w:rsidP="001F79B0">
            <w:pPr>
              <w:keepNext/>
              <w:rPr>
                <w:bCs/>
                <w:sz w:val="22"/>
                <w:szCs w:val="22"/>
                <w:lang w:val="hu-HU"/>
              </w:rPr>
            </w:pPr>
            <w:r w:rsidRPr="00346547">
              <w:rPr>
                <w:bCs/>
                <w:sz w:val="22"/>
                <w:szCs w:val="22"/>
                <w:lang w:val="hu-HU"/>
              </w:rPr>
              <w:t>AbbVie Kft.</w:t>
            </w:r>
          </w:p>
          <w:p w14:paraId="6A3E7CD4" w14:textId="77777777" w:rsidR="00CE2B63" w:rsidRPr="00346547" w:rsidRDefault="00615769" w:rsidP="001F79B0">
            <w:pPr>
              <w:keepNext/>
              <w:tabs>
                <w:tab w:val="left" w:pos="562"/>
                <w:tab w:val="left" w:pos="2380"/>
              </w:tabs>
              <w:rPr>
                <w:bCs/>
                <w:sz w:val="22"/>
                <w:szCs w:val="22"/>
                <w:lang w:val="hu-HU"/>
              </w:rPr>
            </w:pPr>
            <w:r w:rsidRPr="00346547">
              <w:rPr>
                <w:bCs/>
                <w:sz w:val="22"/>
                <w:szCs w:val="22"/>
                <w:lang w:val="hu-HU"/>
              </w:rPr>
              <w:t>Tel.:+36 1 455 8600</w:t>
            </w:r>
          </w:p>
          <w:p w14:paraId="7A47AE5F" w14:textId="77777777" w:rsidR="00CE2B63" w:rsidRPr="00346547" w:rsidRDefault="00CE2B63" w:rsidP="001F79B0">
            <w:pPr>
              <w:keepNext/>
              <w:tabs>
                <w:tab w:val="left" w:pos="562"/>
                <w:tab w:val="left" w:pos="2380"/>
              </w:tabs>
              <w:rPr>
                <w:bCs/>
                <w:sz w:val="22"/>
                <w:szCs w:val="22"/>
                <w:lang w:val="hu-HU"/>
              </w:rPr>
            </w:pPr>
          </w:p>
        </w:tc>
      </w:tr>
      <w:tr w:rsidR="00A7162A" w14:paraId="0FA200E1" w14:textId="77777777" w:rsidTr="001F79B0">
        <w:trPr>
          <w:trHeight w:val="737"/>
        </w:trPr>
        <w:tc>
          <w:tcPr>
            <w:tcW w:w="4644" w:type="dxa"/>
            <w:gridSpan w:val="2"/>
          </w:tcPr>
          <w:p w14:paraId="408FD2C2" w14:textId="77777777" w:rsidR="00CE2B63" w:rsidRPr="00346547" w:rsidRDefault="00615769" w:rsidP="001F79B0">
            <w:pPr>
              <w:rPr>
                <w:b/>
                <w:bCs/>
                <w:sz w:val="22"/>
                <w:szCs w:val="22"/>
                <w:lang w:val="en-US"/>
              </w:rPr>
            </w:pPr>
            <w:r w:rsidRPr="00346547">
              <w:rPr>
                <w:b/>
                <w:bCs/>
                <w:sz w:val="22"/>
                <w:szCs w:val="22"/>
                <w:lang w:val="en-US"/>
              </w:rPr>
              <w:t>Danmark</w:t>
            </w:r>
          </w:p>
          <w:p w14:paraId="68954347" w14:textId="77777777" w:rsidR="00CE2B63" w:rsidRPr="00346547" w:rsidRDefault="00615769" w:rsidP="001F79B0">
            <w:pPr>
              <w:rPr>
                <w:bCs/>
                <w:sz w:val="22"/>
                <w:szCs w:val="22"/>
                <w:lang w:val="en-US"/>
              </w:rPr>
            </w:pPr>
            <w:r w:rsidRPr="00346547">
              <w:rPr>
                <w:bCs/>
                <w:sz w:val="22"/>
                <w:szCs w:val="22"/>
                <w:lang w:val="en-US"/>
              </w:rPr>
              <w:t>AbbVie A/S</w:t>
            </w:r>
          </w:p>
          <w:p w14:paraId="4142DCB9" w14:textId="38716D84" w:rsidR="00CE2B63" w:rsidRPr="00860B88" w:rsidRDefault="00615769" w:rsidP="001F79B0">
            <w:pPr>
              <w:rPr>
                <w:bCs/>
                <w:sz w:val="22"/>
                <w:szCs w:val="22"/>
                <w:lang w:val="en-US"/>
              </w:rPr>
            </w:pPr>
            <w:r w:rsidRPr="00346547">
              <w:rPr>
                <w:bCs/>
                <w:sz w:val="22"/>
                <w:szCs w:val="22"/>
                <w:lang w:val="en-US"/>
              </w:rPr>
              <w:t>Tlf</w:t>
            </w:r>
            <w:ins w:id="16583" w:author="AbbVie2" w:date="2025-05-14T10:32:00Z">
              <w:r w:rsidR="00F558D8">
                <w:rPr>
                  <w:bCs/>
                  <w:sz w:val="22"/>
                  <w:szCs w:val="22"/>
                  <w:lang w:val="en-US"/>
                </w:rPr>
                <w:t>.</w:t>
              </w:r>
            </w:ins>
            <w:r w:rsidRPr="00346547">
              <w:rPr>
                <w:bCs/>
                <w:sz w:val="22"/>
                <w:szCs w:val="22"/>
                <w:lang w:val="en-US"/>
              </w:rPr>
              <w:t>: +45 72 30-20-28</w:t>
            </w:r>
          </w:p>
        </w:tc>
        <w:tc>
          <w:tcPr>
            <w:tcW w:w="4678" w:type="dxa"/>
            <w:gridSpan w:val="2"/>
          </w:tcPr>
          <w:p w14:paraId="3D1A8E8F" w14:textId="77777777" w:rsidR="00CE2B63" w:rsidRPr="00346547" w:rsidRDefault="00615769" w:rsidP="001F79B0">
            <w:pPr>
              <w:rPr>
                <w:b/>
                <w:bCs/>
                <w:sz w:val="22"/>
                <w:szCs w:val="22"/>
                <w:lang w:val="mt-MT"/>
              </w:rPr>
            </w:pPr>
            <w:r w:rsidRPr="00346547">
              <w:rPr>
                <w:b/>
                <w:bCs/>
                <w:sz w:val="22"/>
                <w:szCs w:val="22"/>
                <w:lang w:val="mt-MT"/>
              </w:rPr>
              <w:t>Malta</w:t>
            </w:r>
          </w:p>
          <w:p w14:paraId="3EDBC643" w14:textId="77777777" w:rsidR="00CE2B63" w:rsidRPr="00346547" w:rsidRDefault="00615769" w:rsidP="001F79B0">
            <w:pPr>
              <w:rPr>
                <w:bCs/>
                <w:sz w:val="22"/>
                <w:szCs w:val="22"/>
              </w:rPr>
            </w:pPr>
            <w:r w:rsidRPr="00346547">
              <w:rPr>
                <w:bCs/>
                <w:sz w:val="22"/>
                <w:szCs w:val="22"/>
              </w:rPr>
              <w:t xml:space="preserve">V.J.Salomone Pharma Limited </w:t>
            </w:r>
          </w:p>
          <w:p w14:paraId="1051C8AB" w14:textId="6B66E60B" w:rsidR="00CE2B63" w:rsidRPr="00346547" w:rsidRDefault="00615769" w:rsidP="001F79B0">
            <w:pPr>
              <w:rPr>
                <w:bCs/>
                <w:sz w:val="22"/>
                <w:szCs w:val="22"/>
              </w:rPr>
            </w:pPr>
            <w:r w:rsidRPr="00346547">
              <w:rPr>
                <w:bCs/>
                <w:sz w:val="22"/>
                <w:szCs w:val="22"/>
              </w:rPr>
              <w:t xml:space="preserve">Tel: </w:t>
            </w:r>
            <w:r w:rsidRPr="00E663CE">
              <w:rPr>
                <w:bCs/>
                <w:sz w:val="22"/>
                <w:szCs w:val="22"/>
                <w:lang w:val="en-GB"/>
              </w:rPr>
              <w:t>+356 21220174</w:t>
            </w:r>
          </w:p>
          <w:p w14:paraId="2C8BF0CF" w14:textId="77777777" w:rsidR="00CE2B63" w:rsidRPr="00346547" w:rsidRDefault="00CE2B63" w:rsidP="001F79B0">
            <w:pPr>
              <w:rPr>
                <w:bCs/>
                <w:sz w:val="22"/>
                <w:szCs w:val="22"/>
              </w:rPr>
            </w:pPr>
          </w:p>
        </w:tc>
      </w:tr>
      <w:tr w:rsidR="00A7162A" w14:paraId="36D5A6B5" w14:textId="77777777" w:rsidTr="001F79B0">
        <w:tc>
          <w:tcPr>
            <w:tcW w:w="4644" w:type="dxa"/>
            <w:gridSpan w:val="2"/>
          </w:tcPr>
          <w:p w14:paraId="55087CBF" w14:textId="77777777" w:rsidR="00CE2B63" w:rsidRPr="00346547" w:rsidRDefault="00615769" w:rsidP="001F79B0">
            <w:pPr>
              <w:keepNext/>
              <w:rPr>
                <w:b/>
                <w:bCs/>
                <w:sz w:val="22"/>
                <w:szCs w:val="22"/>
                <w:lang w:val="de-DE"/>
              </w:rPr>
            </w:pPr>
            <w:r w:rsidRPr="00346547">
              <w:rPr>
                <w:b/>
                <w:bCs/>
                <w:sz w:val="22"/>
                <w:szCs w:val="22"/>
                <w:lang w:val="de-DE"/>
              </w:rPr>
              <w:t>Deutschland</w:t>
            </w:r>
          </w:p>
          <w:p w14:paraId="41A69064" w14:textId="77777777" w:rsidR="00CE2B63" w:rsidRPr="00346547" w:rsidRDefault="00615769" w:rsidP="001F79B0">
            <w:pPr>
              <w:keepNext/>
              <w:rPr>
                <w:bCs/>
                <w:sz w:val="22"/>
                <w:szCs w:val="22"/>
                <w:lang w:val="de-DE"/>
              </w:rPr>
            </w:pPr>
            <w:r w:rsidRPr="00346547">
              <w:rPr>
                <w:sz w:val="22"/>
                <w:szCs w:val="22"/>
                <w:lang w:val="de-DE"/>
              </w:rPr>
              <w:t xml:space="preserve">AbbVie Deutschland </w:t>
            </w:r>
            <w:r w:rsidRPr="00346547">
              <w:rPr>
                <w:bCs/>
                <w:sz w:val="22"/>
                <w:szCs w:val="22"/>
                <w:lang w:val="de-DE"/>
              </w:rPr>
              <w:t>GmbH &amp; Co. KG</w:t>
            </w:r>
          </w:p>
          <w:p w14:paraId="2DFE2079" w14:textId="77777777" w:rsidR="00CE2B63" w:rsidRPr="00346547" w:rsidRDefault="00615769" w:rsidP="001F79B0">
            <w:pPr>
              <w:keepNext/>
              <w:rPr>
                <w:sz w:val="22"/>
                <w:szCs w:val="22"/>
                <w:lang w:val="de-DE"/>
              </w:rPr>
            </w:pPr>
            <w:r w:rsidRPr="00346547">
              <w:rPr>
                <w:sz w:val="22"/>
                <w:szCs w:val="22"/>
                <w:lang w:val="de-DE"/>
              </w:rPr>
              <w:t>Tel: 00800 222843 33 (gebührenfrei)</w:t>
            </w:r>
          </w:p>
          <w:p w14:paraId="09309B20" w14:textId="77777777" w:rsidR="00CE2B63" w:rsidRPr="00346547" w:rsidRDefault="00615769" w:rsidP="001F79B0">
            <w:pPr>
              <w:keepNext/>
              <w:rPr>
                <w:sz w:val="22"/>
                <w:szCs w:val="22"/>
                <w:lang w:val="de-DE"/>
              </w:rPr>
            </w:pPr>
            <w:r w:rsidRPr="00346547">
              <w:rPr>
                <w:sz w:val="22"/>
                <w:szCs w:val="22"/>
                <w:lang w:val="de-DE"/>
              </w:rPr>
              <w:t>Tel: +49 (0) 611 / 1720-0</w:t>
            </w:r>
          </w:p>
          <w:p w14:paraId="28BBD3F2" w14:textId="77777777" w:rsidR="00CE2B63" w:rsidRPr="00346547" w:rsidRDefault="00CE2B63" w:rsidP="001F79B0">
            <w:pPr>
              <w:keepNext/>
              <w:rPr>
                <w:sz w:val="22"/>
                <w:szCs w:val="22"/>
                <w:lang w:val="de-DE"/>
              </w:rPr>
            </w:pPr>
          </w:p>
        </w:tc>
        <w:tc>
          <w:tcPr>
            <w:tcW w:w="4678" w:type="dxa"/>
            <w:gridSpan w:val="2"/>
          </w:tcPr>
          <w:p w14:paraId="48BEC308" w14:textId="77777777" w:rsidR="00CE2B63" w:rsidRPr="00346547" w:rsidRDefault="00615769" w:rsidP="001F79B0">
            <w:pPr>
              <w:keepNext/>
              <w:rPr>
                <w:b/>
                <w:bCs/>
                <w:sz w:val="22"/>
                <w:szCs w:val="22"/>
                <w:lang w:val="nl-NL"/>
              </w:rPr>
            </w:pPr>
            <w:r w:rsidRPr="00346547">
              <w:rPr>
                <w:b/>
                <w:bCs/>
                <w:sz w:val="22"/>
                <w:szCs w:val="22"/>
                <w:lang w:val="nl-NL"/>
              </w:rPr>
              <w:t>Nederland</w:t>
            </w:r>
          </w:p>
          <w:p w14:paraId="594CD4C2" w14:textId="77777777" w:rsidR="00CE2B63" w:rsidRPr="00346547" w:rsidRDefault="00615769" w:rsidP="001F79B0">
            <w:pPr>
              <w:keepNext/>
              <w:rPr>
                <w:bCs/>
                <w:sz w:val="22"/>
                <w:szCs w:val="22"/>
                <w:lang w:val="de-DE"/>
              </w:rPr>
            </w:pPr>
            <w:r w:rsidRPr="00346547">
              <w:rPr>
                <w:bCs/>
                <w:sz w:val="22"/>
                <w:szCs w:val="22"/>
                <w:lang w:val="de-DE"/>
              </w:rPr>
              <w:t>AbbVie B.V.</w:t>
            </w:r>
          </w:p>
          <w:p w14:paraId="738B01EC" w14:textId="77777777" w:rsidR="00CE2B63" w:rsidRPr="00346547" w:rsidRDefault="00615769" w:rsidP="001F79B0">
            <w:pPr>
              <w:keepNext/>
              <w:rPr>
                <w:bCs/>
                <w:sz w:val="22"/>
                <w:szCs w:val="22"/>
                <w:lang w:val="de-DE"/>
              </w:rPr>
            </w:pPr>
            <w:r w:rsidRPr="00346547">
              <w:rPr>
                <w:bCs/>
                <w:sz w:val="22"/>
                <w:szCs w:val="22"/>
                <w:lang w:val="de-DE"/>
              </w:rPr>
              <w:t>Tel: +31 (0)88 322 2843</w:t>
            </w:r>
          </w:p>
        </w:tc>
      </w:tr>
      <w:tr w:rsidR="00A7162A" w14:paraId="66B524DE" w14:textId="77777777" w:rsidTr="001F79B0">
        <w:tc>
          <w:tcPr>
            <w:tcW w:w="4644" w:type="dxa"/>
            <w:gridSpan w:val="2"/>
          </w:tcPr>
          <w:p w14:paraId="3D693DDA" w14:textId="77777777" w:rsidR="00CE2B63" w:rsidRPr="00346547" w:rsidRDefault="00615769" w:rsidP="001F79B0">
            <w:pPr>
              <w:rPr>
                <w:b/>
                <w:bCs/>
                <w:sz w:val="22"/>
                <w:szCs w:val="22"/>
                <w:lang w:val="et-EE"/>
              </w:rPr>
            </w:pPr>
            <w:r w:rsidRPr="00346547">
              <w:rPr>
                <w:b/>
                <w:bCs/>
                <w:sz w:val="22"/>
                <w:szCs w:val="22"/>
                <w:lang w:val="et-EE"/>
              </w:rPr>
              <w:t>Eesti</w:t>
            </w:r>
          </w:p>
          <w:p w14:paraId="0976B4B5" w14:textId="77777777" w:rsidR="00CE2B63" w:rsidRPr="00346547" w:rsidRDefault="00615769" w:rsidP="001F79B0">
            <w:pPr>
              <w:rPr>
                <w:bCs/>
                <w:sz w:val="22"/>
                <w:szCs w:val="22"/>
                <w:lang w:val="et-EE"/>
              </w:rPr>
            </w:pPr>
            <w:r w:rsidRPr="00346547">
              <w:rPr>
                <w:bCs/>
                <w:sz w:val="22"/>
                <w:szCs w:val="22"/>
                <w:lang w:val="et-EE"/>
              </w:rPr>
              <w:t xml:space="preserve">AbbVie </w:t>
            </w:r>
            <w:r w:rsidRPr="00346547">
              <w:rPr>
                <w:bCs/>
                <w:sz w:val="22"/>
                <w:szCs w:val="22"/>
              </w:rPr>
              <w:t>OÜ</w:t>
            </w:r>
            <w:r w:rsidRPr="00346547">
              <w:rPr>
                <w:bCs/>
                <w:sz w:val="22"/>
                <w:szCs w:val="22"/>
                <w:lang w:val="et-EE"/>
              </w:rPr>
              <w:t xml:space="preserve"> </w:t>
            </w:r>
          </w:p>
          <w:p w14:paraId="29FF356F" w14:textId="77777777" w:rsidR="00CE2B63" w:rsidRPr="00346547" w:rsidRDefault="00615769" w:rsidP="001F79B0">
            <w:pPr>
              <w:rPr>
                <w:bCs/>
                <w:sz w:val="22"/>
                <w:szCs w:val="22"/>
                <w:lang w:val="lv-LV"/>
              </w:rPr>
            </w:pPr>
            <w:r w:rsidRPr="00346547">
              <w:rPr>
                <w:bCs/>
                <w:sz w:val="22"/>
                <w:szCs w:val="22"/>
                <w:lang w:val="et-EE"/>
              </w:rPr>
              <w:t>Tel: +372 623 1011</w:t>
            </w:r>
          </w:p>
        </w:tc>
        <w:tc>
          <w:tcPr>
            <w:tcW w:w="4678" w:type="dxa"/>
            <w:gridSpan w:val="2"/>
          </w:tcPr>
          <w:p w14:paraId="3EB1A736" w14:textId="77777777" w:rsidR="00CE2B63" w:rsidRPr="00346547" w:rsidRDefault="00615769" w:rsidP="001F79B0">
            <w:pPr>
              <w:rPr>
                <w:b/>
                <w:bCs/>
                <w:sz w:val="22"/>
                <w:szCs w:val="22"/>
                <w:lang w:val="nb-NO"/>
              </w:rPr>
            </w:pPr>
            <w:r w:rsidRPr="00346547">
              <w:rPr>
                <w:b/>
                <w:bCs/>
                <w:sz w:val="22"/>
                <w:szCs w:val="22"/>
                <w:lang w:val="nb-NO"/>
              </w:rPr>
              <w:t>Norge</w:t>
            </w:r>
          </w:p>
          <w:p w14:paraId="40688BD3" w14:textId="77777777" w:rsidR="00CE2B63" w:rsidRPr="00346547" w:rsidRDefault="00615769" w:rsidP="001F79B0">
            <w:pPr>
              <w:rPr>
                <w:bCs/>
                <w:sz w:val="22"/>
                <w:szCs w:val="22"/>
              </w:rPr>
            </w:pPr>
            <w:r w:rsidRPr="00346547">
              <w:rPr>
                <w:bCs/>
                <w:sz w:val="22"/>
                <w:szCs w:val="22"/>
              </w:rPr>
              <w:t>AbbVie AS</w:t>
            </w:r>
          </w:p>
          <w:p w14:paraId="05C8E2E4" w14:textId="77777777" w:rsidR="00CE2B63" w:rsidRPr="00346547" w:rsidRDefault="00615769" w:rsidP="001F79B0">
            <w:pPr>
              <w:rPr>
                <w:bCs/>
                <w:sz w:val="22"/>
                <w:szCs w:val="22"/>
              </w:rPr>
            </w:pPr>
            <w:r w:rsidRPr="00346547">
              <w:rPr>
                <w:bCs/>
                <w:sz w:val="22"/>
                <w:szCs w:val="22"/>
              </w:rPr>
              <w:t>Tlf: +47 67 81 80 00</w:t>
            </w:r>
          </w:p>
          <w:p w14:paraId="06B4F204" w14:textId="77777777" w:rsidR="00CE2B63" w:rsidRPr="00346547" w:rsidRDefault="00CE2B63" w:rsidP="001F79B0">
            <w:pPr>
              <w:rPr>
                <w:bCs/>
                <w:sz w:val="22"/>
                <w:szCs w:val="22"/>
              </w:rPr>
            </w:pPr>
          </w:p>
        </w:tc>
      </w:tr>
      <w:tr w:rsidR="00A7162A" w14:paraId="67A4CAD3" w14:textId="77777777" w:rsidTr="001F79B0">
        <w:trPr>
          <w:trHeight w:val="794"/>
        </w:trPr>
        <w:tc>
          <w:tcPr>
            <w:tcW w:w="4644" w:type="dxa"/>
            <w:gridSpan w:val="2"/>
          </w:tcPr>
          <w:p w14:paraId="4E54594D" w14:textId="77777777" w:rsidR="00CE2B63" w:rsidRPr="00346547" w:rsidRDefault="00615769" w:rsidP="001F79B0">
            <w:pPr>
              <w:rPr>
                <w:b/>
                <w:bCs/>
                <w:sz w:val="22"/>
                <w:szCs w:val="22"/>
                <w:lang w:val="el-GR"/>
              </w:rPr>
            </w:pPr>
            <w:r w:rsidRPr="00346547">
              <w:rPr>
                <w:b/>
                <w:bCs/>
                <w:sz w:val="22"/>
                <w:szCs w:val="22"/>
                <w:lang w:val="el-GR"/>
              </w:rPr>
              <w:t>Ελλάδα</w:t>
            </w:r>
          </w:p>
          <w:p w14:paraId="14F2B418" w14:textId="77777777" w:rsidR="00CE2B63" w:rsidRPr="00346547" w:rsidRDefault="00615769" w:rsidP="001F79B0">
            <w:pPr>
              <w:rPr>
                <w:bCs/>
                <w:sz w:val="22"/>
                <w:szCs w:val="22"/>
                <w:lang w:val="el-GR"/>
              </w:rPr>
            </w:pPr>
            <w:r w:rsidRPr="00346547">
              <w:rPr>
                <w:bCs/>
                <w:sz w:val="22"/>
                <w:szCs w:val="22"/>
                <w:lang w:val="et-EE"/>
              </w:rPr>
              <w:t xml:space="preserve">AbbVie </w:t>
            </w:r>
            <w:r w:rsidRPr="00346547">
              <w:rPr>
                <w:sz w:val="22"/>
                <w:szCs w:val="22"/>
                <w:lang w:val="el-GR"/>
              </w:rPr>
              <w:t>ΦΑΡΜΑΚΕΥΤΙΚΗ Α.Ε.</w:t>
            </w:r>
          </w:p>
          <w:p w14:paraId="3DF3BD62" w14:textId="77777777" w:rsidR="00CE2B63" w:rsidRPr="00346547" w:rsidRDefault="00615769" w:rsidP="001F79B0">
            <w:pPr>
              <w:rPr>
                <w:bCs/>
                <w:sz w:val="22"/>
                <w:szCs w:val="22"/>
              </w:rPr>
            </w:pPr>
            <w:r w:rsidRPr="00346547">
              <w:rPr>
                <w:bCs/>
                <w:sz w:val="22"/>
                <w:szCs w:val="22"/>
                <w:lang w:val="el-GR"/>
              </w:rPr>
              <w:t xml:space="preserve">Τηλ: +30 </w:t>
            </w:r>
            <w:r w:rsidRPr="00346547">
              <w:rPr>
                <w:bCs/>
                <w:sz w:val="22"/>
                <w:szCs w:val="22"/>
              </w:rPr>
              <w:t>214 4165 555</w:t>
            </w:r>
          </w:p>
        </w:tc>
        <w:tc>
          <w:tcPr>
            <w:tcW w:w="4678" w:type="dxa"/>
            <w:gridSpan w:val="2"/>
          </w:tcPr>
          <w:p w14:paraId="4AB52913" w14:textId="77777777" w:rsidR="00CE2B63" w:rsidRPr="00346547" w:rsidRDefault="00615769" w:rsidP="001F79B0">
            <w:pPr>
              <w:rPr>
                <w:b/>
                <w:bCs/>
                <w:sz w:val="22"/>
                <w:szCs w:val="22"/>
                <w:lang w:val="de-DE"/>
              </w:rPr>
            </w:pPr>
            <w:r w:rsidRPr="00346547">
              <w:rPr>
                <w:b/>
                <w:bCs/>
                <w:sz w:val="22"/>
                <w:szCs w:val="22"/>
                <w:lang w:val="de-DE"/>
              </w:rPr>
              <w:t>Österreich</w:t>
            </w:r>
          </w:p>
          <w:p w14:paraId="22F59AE4" w14:textId="77777777" w:rsidR="00CE2B63" w:rsidRPr="00346547" w:rsidRDefault="00615769" w:rsidP="001F79B0">
            <w:pPr>
              <w:rPr>
                <w:bCs/>
                <w:sz w:val="22"/>
                <w:szCs w:val="22"/>
                <w:lang w:val="de-DE"/>
              </w:rPr>
            </w:pPr>
            <w:r w:rsidRPr="00346547">
              <w:rPr>
                <w:bCs/>
                <w:sz w:val="22"/>
                <w:szCs w:val="22"/>
                <w:lang w:val="de-DE"/>
              </w:rPr>
              <w:t xml:space="preserve">AbbVie GmbH </w:t>
            </w:r>
          </w:p>
          <w:p w14:paraId="4343E044" w14:textId="77777777" w:rsidR="00CE2B63" w:rsidRPr="00346547" w:rsidRDefault="00615769" w:rsidP="001F79B0">
            <w:pPr>
              <w:rPr>
                <w:bCs/>
                <w:sz w:val="22"/>
                <w:szCs w:val="22"/>
                <w:lang w:val="de-DE"/>
              </w:rPr>
            </w:pPr>
            <w:r w:rsidRPr="00346547">
              <w:rPr>
                <w:bCs/>
                <w:sz w:val="22"/>
                <w:szCs w:val="22"/>
                <w:lang w:val="de-DE"/>
              </w:rPr>
              <w:t>Tel: +43 1 20589-0</w:t>
            </w:r>
          </w:p>
          <w:p w14:paraId="1DFF5677" w14:textId="77777777" w:rsidR="00CE2B63" w:rsidRPr="00346547" w:rsidRDefault="00CE2B63" w:rsidP="001F79B0">
            <w:pPr>
              <w:rPr>
                <w:bCs/>
                <w:sz w:val="22"/>
                <w:szCs w:val="22"/>
                <w:lang w:val="de-DE"/>
              </w:rPr>
            </w:pPr>
          </w:p>
        </w:tc>
      </w:tr>
      <w:tr w:rsidR="00A7162A" w14:paraId="6036D323" w14:textId="77777777" w:rsidTr="001F79B0">
        <w:trPr>
          <w:gridBefore w:val="1"/>
          <w:wBefore w:w="34" w:type="dxa"/>
        </w:trPr>
        <w:tc>
          <w:tcPr>
            <w:tcW w:w="4644" w:type="dxa"/>
            <w:gridSpan w:val="2"/>
          </w:tcPr>
          <w:p w14:paraId="3805F850" w14:textId="77777777" w:rsidR="00CE2B63" w:rsidRPr="00346547" w:rsidRDefault="00615769" w:rsidP="001F79B0">
            <w:pPr>
              <w:rPr>
                <w:b/>
                <w:bCs/>
                <w:sz w:val="22"/>
                <w:szCs w:val="22"/>
                <w:lang w:val="es-ES"/>
              </w:rPr>
            </w:pPr>
            <w:r w:rsidRPr="00346547">
              <w:rPr>
                <w:b/>
                <w:bCs/>
                <w:sz w:val="22"/>
                <w:szCs w:val="22"/>
                <w:lang w:val="es-ES"/>
              </w:rPr>
              <w:t>España</w:t>
            </w:r>
          </w:p>
          <w:p w14:paraId="5813F1F9" w14:textId="77777777" w:rsidR="00CE2B63" w:rsidRPr="00346547" w:rsidRDefault="00615769" w:rsidP="001F79B0">
            <w:pPr>
              <w:rPr>
                <w:sz w:val="22"/>
                <w:szCs w:val="22"/>
                <w:lang w:val="es-ES"/>
              </w:rPr>
            </w:pPr>
            <w:r w:rsidRPr="00346547">
              <w:rPr>
                <w:sz w:val="22"/>
                <w:szCs w:val="22"/>
                <w:lang w:val="es-ES"/>
              </w:rPr>
              <w:t xml:space="preserve">AbbVie </w:t>
            </w:r>
            <w:r w:rsidRPr="00346547">
              <w:rPr>
                <w:bCs/>
                <w:sz w:val="22"/>
                <w:szCs w:val="22"/>
                <w:lang w:val="es-ES"/>
              </w:rPr>
              <w:t>Spain</w:t>
            </w:r>
            <w:r w:rsidRPr="00346547">
              <w:rPr>
                <w:sz w:val="22"/>
                <w:szCs w:val="22"/>
                <w:lang w:val="es-ES"/>
              </w:rPr>
              <w:t>, S.L.U</w:t>
            </w:r>
            <w:r w:rsidRPr="00346547">
              <w:rPr>
                <w:bCs/>
                <w:sz w:val="22"/>
                <w:szCs w:val="22"/>
                <w:lang w:val="es-ES"/>
              </w:rPr>
              <w:t>.</w:t>
            </w:r>
          </w:p>
          <w:p w14:paraId="1036C04A" w14:textId="77777777" w:rsidR="00CE2B63" w:rsidRPr="00346547" w:rsidRDefault="00615769" w:rsidP="001F79B0">
            <w:pPr>
              <w:rPr>
                <w:bCs/>
                <w:sz w:val="22"/>
                <w:szCs w:val="22"/>
                <w:lang w:val="pl-PL"/>
              </w:rPr>
            </w:pPr>
            <w:r w:rsidRPr="00346547">
              <w:rPr>
                <w:bCs/>
                <w:sz w:val="22"/>
                <w:szCs w:val="22"/>
              </w:rPr>
              <w:t>Tel: +34 91 384 09 10</w:t>
            </w:r>
          </w:p>
        </w:tc>
        <w:tc>
          <w:tcPr>
            <w:tcW w:w="4678" w:type="dxa"/>
          </w:tcPr>
          <w:p w14:paraId="1F7BA0C4" w14:textId="77777777" w:rsidR="00CE2B63" w:rsidRPr="00346547" w:rsidRDefault="00615769" w:rsidP="001F79B0">
            <w:pPr>
              <w:rPr>
                <w:b/>
                <w:bCs/>
                <w:iCs/>
                <w:sz w:val="22"/>
                <w:szCs w:val="22"/>
                <w:lang w:val="pl-PL"/>
              </w:rPr>
            </w:pPr>
            <w:r w:rsidRPr="00346547">
              <w:rPr>
                <w:b/>
                <w:bCs/>
                <w:iCs/>
                <w:sz w:val="22"/>
                <w:szCs w:val="22"/>
                <w:lang w:val="pl-PL"/>
              </w:rPr>
              <w:t>Polska</w:t>
            </w:r>
          </w:p>
          <w:p w14:paraId="64D3366C" w14:textId="77777777" w:rsidR="00CE2B63" w:rsidRPr="00346547" w:rsidRDefault="00615769" w:rsidP="001F79B0">
            <w:pPr>
              <w:rPr>
                <w:bCs/>
                <w:sz w:val="22"/>
                <w:szCs w:val="22"/>
                <w:lang w:val="pl-PL"/>
              </w:rPr>
            </w:pPr>
            <w:r w:rsidRPr="00346547">
              <w:rPr>
                <w:bCs/>
                <w:sz w:val="22"/>
                <w:szCs w:val="22"/>
                <w:lang w:val="pl-PL"/>
              </w:rPr>
              <w:t>AbbVie Sp. z o.o.</w:t>
            </w:r>
          </w:p>
          <w:p w14:paraId="15DBC86B" w14:textId="77777777" w:rsidR="00CE2B63" w:rsidRPr="00346547" w:rsidRDefault="00615769" w:rsidP="001F79B0">
            <w:pPr>
              <w:pStyle w:val="Footer"/>
              <w:rPr>
                <w:bCs/>
                <w:sz w:val="22"/>
                <w:szCs w:val="22"/>
                <w:lang w:val="pl-PL"/>
              </w:rPr>
            </w:pPr>
            <w:r w:rsidRPr="00346547">
              <w:rPr>
                <w:sz w:val="22"/>
                <w:szCs w:val="22"/>
                <w:lang w:val="es-ES"/>
              </w:rPr>
              <w:t xml:space="preserve">Tel.: +48 22 </w:t>
            </w:r>
            <w:r w:rsidRPr="00346547">
              <w:rPr>
                <w:bCs/>
                <w:sz w:val="22"/>
                <w:szCs w:val="22"/>
                <w:lang w:val="pl-PL"/>
              </w:rPr>
              <w:t xml:space="preserve">372 78 00 </w:t>
            </w:r>
          </w:p>
          <w:p w14:paraId="2BA47C07" w14:textId="77777777" w:rsidR="00CE2B63" w:rsidRPr="00346547" w:rsidRDefault="00CE2B63" w:rsidP="001F79B0">
            <w:pPr>
              <w:pStyle w:val="Footer"/>
              <w:rPr>
                <w:bCs/>
                <w:sz w:val="22"/>
                <w:szCs w:val="22"/>
                <w:lang w:val="pl-PL"/>
              </w:rPr>
            </w:pPr>
          </w:p>
        </w:tc>
      </w:tr>
      <w:tr w:rsidR="00A7162A" w14:paraId="3FDB925D" w14:textId="77777777" w:rsidTr="001F79B0">
        <w:trPr>
          <w:trHeight w:val="734"/>
        </w:trPr>
        <w:tc>
          <w:tcPr>
            <w:tcW w:w="4678" w:type="dxa"/>
            <w:gridSpan w:val="3"/>
          </w:tcPr>
          <w:p w14:paraId="324EC134" w14:textId="77777777" w:rsidR="00CE2B63" w:rsidRPr="00346547" w:rsidRDefault="00615769" w:rsidP="001F79B0">
            <w:pPr>
              <w:ind w:firstLine="34"/>
              <w:rPr>
                <w:b/>
                <w:bCs/>
                <w:sz w:val="22"/>
                <w:szCs w:val="22"/>
                <w:lang w:val="fr-FR"/>
              </w:rPr>
            </w:pPr>
            <w:r w:rsidRPr="00346547">
              <w:rPr>
                <w:b/>
                <w:bCs/>
                <w:sz w:val="22"/>
                <w:szCs w:val="22"/>
                <w:lang w:val="fr-FR"/>
              </w:rPr>
              <w:t>France</w:t>
            </w:r>
          </w:p>
          <w:p w14:paraId="1256B96A" w14:textId="77777777" w:rsidR="00CE2B63" w:rsidRPr="00346547" w:rsidRDefault="00615769" w:rsidP="001F79B0">
            <w:pPr>
              <w:ind w:firstLine="34"/>
              <w:rPr>
                <w:bCs/>
                <w:sz w:val="22"/>
                <w:szCs w:val="22"/>
                <w:lang w:val="fr-FR"/>
              </w:rPr>
            </w:pPr>
            <w:r w:rsidRPr="00346547">
              <w:rPr>
                <w:bCs/>
                <w:sz w:val="22"/>
                <w:szCs w:val="22"/>
                <w:lang w:val="fr-FR"/>
              </w:rPr>
              <w:t>AbbVie</w:t>
            </w:r>
          </w:p>
          <w:p w14:paraId="2413E2F6" w14:textId="77777777" w:rsidR="00CE2B63" w:rsidRPr="00346547" w:rsidRDefault="00615769" w:rsidP="001F79B0">
            <w:pPr>
              <w:ind w:firstLine="34"/>
              <w:rPr>
                <w:bCs/>
                <w:sz w:val="22"/>
                <w:szCs w:val="22"/>
                <w:lang w:val="fr-FR"/>
              </w:rPr>
            </w:pPr>
            <w:r w:rsidRPr="00346547">
              <w:rPr>
                <w:bCs/>
                <w:sz w:val="22"/>
                <w:szCs w:val="22"/>
                <w:lang w:val="fr-FR"/>
              </w:rPr>
              <w:t>Tél: +33 (0) 1 45 60 13 00</w:t>
            </w:r>
          </w:p>
        </w:tc>
        <w:tc>
          <w:tcPr>
            <w:tcW w:w="4678" w:type="dxa"/>
          </w:tcPr>
          <w:p w14:paraId="29F6CDD6" w14:textId="77777777" w:rsidR="00CE2B63" w:rsidRPr="00346547" w:rsidRDefault="00615769" w:rsidP="001F79B0">
            <w:pPr>
              <w:rPr>
                <w:b/>
                <w:bCs/>
                <w:sz w:val="22"/>
                <w:szCs w:val="22"/>
              </w:rPr>
            </w:pPr>
            <w:r w:rsidRPr="00346547">
              <w:rPr>
                <w:b/>
                <w:bCs/>
                <w:sz w:val="22"/>
                <w:szCs w:val="22"/>
              </w:rPr>
              <w:t>Portugal</w:t>
            </w:r>
          </w:p>
          <w:p w14:paraId="7C4355BE" w14:textId="77777777" w:rsidR="00CE2B63" w:rsidRPr="00346547" w:rsidRDefault="00615769" w:rsidP="001F79B0">
            <w:pPr>
              <w:pStyle w:val="Footer"/>
              <w:rPr>
                <w:bCs/>
                <w:sz w:val="22"/>
                <w:szCs w:val="22"/>
                <w:lang w:val="fr-FR"/>
              </w:rPr>
            </w:pPr>
            <w:r w:rsidRPr="00346547">
              <w:rPr>
                <w:bCs/>
                <w:sz w:val="22"/>
                <w:szCs w:val="22"/>
                <w:lang w:val="fr-FR"/>
              </w:rPr>
              <w:t xml:space="preserve">AbbVie, Lda. </w:t>
            </w:r>
          </w:p>
          <w:p w14:paraId="3E3D5368" w14:textId="77777777" w:rsidR="00CE2B63" w:rsidRPr="00346547" w:rsidRDefault="00615769" w:rsidP="001F79B0">
            <w:pPr>
              <w:pStyle w:val="Footer"/>
              <w:rPr>
                <w:sz w:val="22"/>
                <w:szCs w:val="22"/>
                <w:lang w:val="fr-FR"/>
              </w:rPr>
            </w:pPr>
            <w:r w:rsidRPr="00346547">
              <w:rPr>
                <w:sz w:val="22"/>
                <w:szCs w:val="22"/>
                <w:lang w:val="fr-FR"/>
              </w:rPr>
              <w:t>Tel: +351 (0)21 1908400</w:t>
            </w:r>
          </w:p>
          <w:p w14:paraId="51B5A083" w14:textId="77777777" w:rsidR="00CE2B63" w:rsidRPr="00346547" w:rsidRDefault="00CE2B63" w:rsidP="001F79B0">
            <w:pPr>
              <w:pStyle w:val="Footer"/>
              <w:rPr>
                <w:sz w:val="22"/>
                <w:szCs w:val="22"/>
                <w:lang w:val="fr-FR"/>
              </w:rPr>
            </w:pPr>
          </w:p>
        </w:tc>
      </w:tr>
      <w:tr w:rsidR="00A7162A" w14:paraId="27E820F6" w14:textId="77777777" w:rsidTr="001F79B0">
        <w:trPr>
          <w:gridBefore w:val="1"/>
          <w:wBefore w:w="34" w:type="dxa"/>
        </w:trPr>
        <w:tc>
          <w:tcPr>
            <w:tcW w:w="4644" w:type="dxa"/>
            <w:gridSpan w:val="2"/>
          </w:tcPr>
          <w:p w14:paraId="658ACC47" w14:textId="77777777" w:rsidR="00CE2B63" w:rsidRPr="00860B88" w:rsidRDefault="00615769" w:rsidP="001F79B0">
            <w:pPr>
              <w:pStyle w:val="Default"/>
              <w:rPr>
                <w:color w:val="auto"/>
                <w:sz w:val="22"/>
                <w:szCs w:val="22"/>
                <w:lang w:val="pt-PT"/>
              </w:rPr>
            </w:pPr>
            <w:r w:rsidRPr="00860B88">
              <w:rPr>
                <w:b/>
                <w:bCs/>
                <w:color w:val="auto"/>
                <w:sz w:val="22"/>
                <w:szCs w:val="22"/>
                <w:lang w:val="pt-PT"/>
              </w:rPr>
              <w:t xml:space="preserve">Hrvatska </w:t>
            </w:r>
          </w:p>
          <w:p w14:paraId="18CBBF79" w14:textId="77777777" w:rsidR="00CE2B63" w:rsidRPr="00346547" w:rsidRDefault="00615769" w:rsidP="001F79B0">
            <w:pPr>
              <w:rPr>
                <w:sz w:val="22"/>
                <w:szCs w:val="22"/>
                <w:lang w:val="hr-HR"/>
              </w:rPr>
            </w:pPr>
            <w:r w:rsidRPr="00346547">
              <w:rPr>
                <w:sz w:val="22"/>
                <w:szCs w:val="22"/>
                <w:lang w:val="hr-HR"/>
              </w:rPr>
              <w:t>AbbVie d.o.o.</w:t>
            </w:r>
          </w:p>
          <w:p w14:paraId="5B7D4C36" w14:textId="77777777" w:rsidR="00CE2B63" w:rsidRPr="00346547" w:rsidRDefault="00615769" w:rsidP="001F79B0">
            <w:pPr>
              <w:rPr>
                <w:bCs/>
                <w:sz w:val="22"/>
                <w:szCs w:val="22"/>
                <w:lang w:val="it-IT"/>
              </w:rPr>
            </w:pPr>
            <w:r w:rsidRPr="00346547">
              <w:rPr>
                <w:sz w:val="22"/>
                <w:szCs w:val="22"/>
                <w:lang w:val="hr-HR"/>
              </w:rPr>
              <w:t xml:space="preserve">Tel + 385 (0)1 </w:t>
            </w:r>
            <w:r w:rsidRPr="00346547">
              <w:rPr>
                <w:sz w:val="22"/>
                <w:szCs w:val="22"/>
                <w:lang w:val="en-US"/>
              </w:rPr>
              <w:t>5625 501</w:t>
            </w:r>
          </w:p>
        </w:tc>
        <w:tc>
          <w:tcPr>
            <w:tcW w:w="4678" w:type="dxa"/>
          </w:tcPr>
          <w:p w14:paraId="70E1A9DA" w14:textId="77777777" w:rsidR="00CE2B63" w:rsidRPr="00346547" w:rsidRDefault="00615769" w:rsidP="001F79B0">
            <w:pPr>
              <w:pStyle w:val="EMEANormal"/>
              <w:rPr>
                <w:b/>
                <w:bCs/>
                <w:szCs w:val="22"/>
                <w:lang w:val="it-IT"/>
              </w:rPr>
            </w:pPr>
            <w:r w:rsidRPr="00346547">
              <w:rPr>
                <w:b/>
                <w:bCs/>
                <w:szCs w:val="22"/>
                <w:lang w:val="it-IT"/>
              </w:rPr>
              <w:t>România</w:t>
            </w:r>
          </w:p>
          <w:p w14:paraId="1C3E022A" w14:textId="77777777" w:rsidR="00CE2B63" w:rsidRPr="00346547" w:rsidRDefault="00615769" w:rsidP="001F79B0">
            <w:pPr>
              <w:rPr>
                <w:rFonts w:eastAsia="MS Mincho"/>
                <w:sz w:val="22"/>
                <w:szCs w:val="22"/>
                <w:lang w:val="it-IT" w:eastAsia="ja-JP"/>
              </w:rPr>
            </w:pPr>
            <w:r w:rsidRPr="00346547">
              <w:rPr>
                <w:rFonts w:eastAsia="MS Mincho"/>
                <w:sz w:val="22"/>
                <w:szCs w:val="22"/>
                <w:lang w:val="it-IT" w:eastAsia="ja-JP"/>
              </w:rPr>
              <w:t>AbbVie S.R.L.</w:t>
            </w:r>
          </w:p>
          <w:p w14:paraId="11E5C360" w14:textId="77777777" w:rsidR="00CE2B63" w:rsidRPr="00346547" w:rsidRDefault="00615769" w:rsidP="001F79B0">
            <w:pPr>
              <w:rPr>
                <w:sz w:val="22"/>
                <w:szCs w:val="22"/>
                <w:lang w:val="pl-PL"/>
              </w:rPr>
            </w:pPr>
            <w:r w:rsidRPr="00346547">
              <w:rPr>
                <w:sz w:val="22"/>
                <w:szCs w:val="22"/>
                <w:lang w:val="pl-PL"/>
              </w:rPr>
              <w:t>Tel: +40 21 529 30 35</w:t>
            </w:r>
          </w:p>
          <w:p w14:paraId="3685039B" w14:textId="77777777" w:rsidR="00CE2B63" w:rsidRPr="00346547" w:rsidRDefault="00CE2B63" w:rsidP="001F79B0">
            <w:pPr>
              <w:rPr>
                <w:sz w:val="22"/>
                <w:szCs w:val="22"/>
                <w:lang w:val="pl-PL"/>
              </w:rPr>
            </w:pPr>
          </w:p>
        </w:tc>
      </w:tr>
      <w:tr w:rsidR="00A7162A" w14:paraId="1451E2D2" w14:textId="77777777" w:rsidTr="001F79B0">
        <w:trPr>
          <w:gridBefore w:val="1"/>
          <w:wBefore w:w="34" w:type="dxa"/>
        </w:trPr>
        <w:tc>
          <w:tcPr>
            <w:tcW w:w="4644" w:type="dxa"/>
            <w:gridSpan w:val="2"/>
          </w:tcPr>
          <w:p w14:paraId="0F453411" w14:textId="77777777" w:rsidR="00CE2B63" w:rsidRPr="00346547" w:rsidRDefault="00615769" w:rsidP="001F79B0">
            <w:pPr>
              <w:rPr>
                <w:b/>
                <w:bCs/>
                <w:sz w:val="22"/>
                <w:szCs w:val="22"/>
              </w:rPr>
            </w:pPr>
            <w:r w:rsidRPr="00346547">
              <w:rPr>
                <w:b/>
                <w:bCs/>
                <w:sz w:val="22"/>
                <w:szCs w:val="22"/>
              </w:rPr>
              <w:t>Ireland</w:t>
            </w:r>
          </w:p>
          <w:p w14:paraId="6CEB3A94" w14:textId="77777777" w:rsidR="00CE2B63" w:rsidRPr="00346547" w:rsidRDefault="00615769" w:rsidP="001F79B0">
            <w:pPr>
              <w:rPr>
                <w:bCs/>
                <w:sz w:val="22"/>
                <w:szCs w:val="22"/>
              </w:rPr>
            </w:pPr>
            <w:r w:rsidRPr="00346547">
              <w:rPr>
                <w:bCs/>
                <w:sz w:val="22"/>
                <w:szCs w:val="22"/>
              </w:rPr>
              <w:t xml:space="preserve">AbbVie Limited </w:t>
            </w:r>
          </w:p>
          <w:p w14:paraId="173327C5" w14:textId="77777777" w:rsidR="00CE2B63" w:rsidRPr="00346547" w:rsidRDefault="00615769" w:rsidP="001F79B0">
            <w:pPr>
              <w:rPr>
                <w:bCs/>
                <w:sz w:val="22"/>
                <w:szCs w:val="22"/>
              </w:rPr>
            </w:pPr>
            <w:r w:rsidRPr="00346547">
              <w:rPr>
                <w:bCs/>
                <w:sz w:val="22"/>
                <w:szCs w:val="22"/>
              </w:rPr>
              <w:t>Tel: +353 (0)1 42879</w:t>
            </w:r>
            <w:r w:rsidR="00794A65">
              <w:rPr>
                <w:bCs/>
                <w:sz w:val="22"/>
                <w:szCs w:val="22"/>
              </w:rPr>
              <w:t>0</w:t>
            </w:r>
            <w:r w:rsidRPr="00346547">
              <w:rPr>
                <w:bCs/>
                <w:sz w:val="22"/>
                <w:szCs w:val="22"/>
              </w:rPr>
              <w:t>0</w:t>
            </w:r>
          </w:p>
        </w:tc>
        <w:tc>
          <w:tcPr>
            <w:tcW w:w="4678" w:type="dxa"/>
          </w:tcPr>
          <w:p w14:paraId="2089688A" w14:textId="77777777" w:rsidR="00CE2B63" w:rsidRPr="00346547" w:rsidRDefault="00615769" w:rsidP="001F79B0">
            <w:pPr>
              <w:rPr>
                <w:b/>
                <w:bCs/>
                <w:sz w:val="22"/>
                <w:szCs w:val="22"/>
                <w:lang w:val="sl-SI"/>
              </w:rPr>
            </w:pPr>
            <w:r w:rsidRPr="00346547">
              <w:rPr>
                <w:b/>
                <w:bCs/>
                <w:sz w:val="22"/>
                <w:szCs w:val="22"/>
                <w:lang w:val="sl-SI"/>
              </w:rPr>
              <w:t>Slovenija</w:t>
            </w:r>
          </w:p>
          <w:p w14:paraId="527C43E8" w14:textId="77777777" w:rsidR="00CE2B63" w:rsidRPr="00346547" w:rsidRDefault="00615769" w:rsidP="001F79B0">
            <w:pPr>
              <w:rPr>
                <w:bCs/>
                <w:sz w:val="22"/>
                <w:szCs w:val="22"/>
                <w:lang w:val="sl-SI"/>
              </w:rPr>
            </w:pPr>
            <w:r w:rsidRPr="00346547">
              <w:rPr>
                <w:bCs/>
                <w:sz w:val="22"/>
                <w:szCs w:val="22"/>
                <w:lang w:val="sl-SI"/>
              </w:rPr>
              <w:t xml:space="preserve">AbbVie </w:t>
            </w:r>
            <w:r w:rsidRPr="00346547">
              <w:rPr>
                <w:sz w:val="22"/>
                <w:szCs w:val="22"/>
                <w:lang w:val="sl-SI"/>
              </w:rPr>
              <w:t>Biofarmacevtska družba d.o.o.</w:t>
            </w:r>
          </w:p>
          <w:p w14:paraId="044609F4" w14:textId="77777777" w:rsidR="00CE2B63" w:rsidRPr="00346547" w:rsidRDefault="00615769" w:rsidP="001F79B0">
            <w:pPr>
              <w:rPr>
                <w:bCs/>
                <w:sz w:val="22"/>
                <w:szCs w:val="22"/>
                <w:lang w:val="sl-SI"/>
              </w:rPr>
            </w:pPr>
            <w:r w:rsidRPr="00346547">
              <w:rPr>
                <w:bCs/>
                <w:sz w:val="22"/>
                <w:szCs w:val="22"/>
                <w:lang w:val="sl-SI"/>
              </w:rPr>
              <w:t>Tel: +386 (1)32 08 060</w:t>
            </w:r>
          </w:p>
          <w:p w14:paraId="0DF893FC" w14:textId="77777777" w:rsidR="00CE2B63" w:rsidRPr="00346547" w:rsidRDefault="00CE2B63" w:rsidP="001F79B0">
            <w:pPr>
              <w:rPr>
                <w:bCs/>
                <w:sz w:val="22"/>
                <w:szCs w:val="22"/>
                <w:lang w:val="sl-SI"/>
              </w:rPr>
            </w:pPr>
          </w:p>
        </w:tc>
      </w:tr>
      <w:tr w:rsidR="00A7162A" w14:paraId="4A2BE942" w14:textId="77777777" w:rsidTr="001F79B0">
        <w:trPr>
          <w:gridBefore w:val="1"/>
          <w:wBefore w:w="34" w:type="dxa"/>
        </w:trPr>
        <w:tc>
          <w:tcPr>
            <w:tcW w:w="4644" w:type="dxa"/>
            <w:gridSpan w:val="2"/>
          </w:tcPr>
          <w:p w14:paraId="24775594" w14:textId="77777777" w:rsidR="00CE2B63" w:rsidRPr="00346547" w:rsidRDefault="00615769" w:rsidP="001F79B0">
            <w:pPr>
              <w:keepNext/>
              <w:rPr>
                <w:b/>
                <w:bCs/>
                <w:sz w:val="22"/>
                <w:szCs w:val="22"/>
                <w:lang w:val="is-IS"/>
              </w:rPr>
            </w:pPr>
            <w:r w:rsidRPr="00346547">
              <w:rPr>
                <w:b/>
                <w:bCs/>
                <w:sz w:val="22"/>
                <w:szCs w:val="22"/>
                <w:lang w:val="is-IS"/>
              </w:rPr>
              <w:t>Ísland</w:t>
            </w:r>
          </w:p>
          <w:p w14:paraId="111AC697" w14:textId="77777777" w:rsidR="00CE2B63" w:rsidRPr="00346547" w:rsidRDefault="00615769" w:rsidP="001F79B0">
            <w:pPr>
              <w:keepNext/>
              <w:rPr>
                <w:bCs/>
                <w:sz w:val="22"/>
                <w:szCs w:val="22"/>
              </w:rPr>
            </w:pPr>
            <w:r w:rsidRPr="00346547">
              <w:rPr>
                <w:bCs/>
                <w:sz w:val="22"/>
                <w:szCs w:val="22"/>
              </w:rPr>
              <w:t>Vistor</w:t>
            </w:r>
            <w:del w:id="16584" w:author="AbbVie2" w:date="2025-05-14T10:32:00Z">
              <w:r w:rsidRPr="00346547">
                <w:rPr>
                  <w:bCs/>
                  <w:sz w:val="22"/>
                  <w:szCs w:val="22"/>
                </w:rPr>
                <w:delText xml:space="preserve"> hf.</w:delText>
              </w:r>
            </w:del>
          </w:p>
          <w:p w14:paraId="4B414EB2" w14:textId="77777777" w:rsidR="00CE2B63" w:rsidRPr="00346547" w:rsidRDefault="00615769" w:rsidP="001F79B0">
            <w:pPr>
              <w:keepNext/>
              <w:rPr>
                <w:bCs/>
                <w:sz w:val="22"/>
                <w:szCs w:val="22"/>
              </w:rPr>
            </w:pPr>
            <w:r w:rsidRPr="00346547">
              <w:rPr>
                <w:bCs/>
                <w:sz w:val="22"/>
                <w:szCs w:val="22"/>
              </w:rPr>
              <w:t>Tel: +354 535 7000</w:t>
            </w:r>
          </w:p>
        </w:tc>
        <w:tc>
          <w:tcPr>
            <w:tcW w:w="4678" w:type="dxa"/>
          </w:tcPr>
          <w:p w14:paraId="2374D337" w14:textId="77777777" w:rsidR="00CE2B63" w:rsidRPr="00346547" w:rsidRDefault="00615769" w:rsidP="001F79B0">
            <w:pPr>
              <w:keepNext/>
              <w:rPr>
                <w:b/>
                <w:bCs/>
                <w:sz w:val="22"/>
                <w:szCs w:val="22"/>
              </w:rPr>
            </w:pPr>
            <w:r w:rsidRPr="00346547">
              <w:rPr>
                <w:b/>
                <w:bCs/>
                <w:sz w:val="22"/>
                <w:szCs w:val="22"/>
              </w:rPr>
              <w:t>Slovenská republika</w:t>
            </w:r>
          </w:p>
          <w:p w14:paraId="53D7A292" w14:textId="77777777" w:rsidR="00CE2B63" w:rsidRPr="00346547" w:rsidRDefault="00615769" w:rsidP="001F79B0">
            <w:pPr>
              <w:keepNext/>
              <w:rPr>
                <w:bCs/>
                <w:sz w:val="22"/>
                <w:szCs w:val="22"/>
              </w:rPr>
            </w:pPr>
            <w:r w:rsidRPr="00346547">
              <w:rPr>
                <w:bCs/>
                <w:sz w:val="22"/>
                <w:szCs w:val="22"/>
              </w:rPr>
              <w:t>AbbVie s.r.o.</w:t>
            </w:r>
          </w:p>
          <w:p w14:paraId="1284A0B8" w14:textId="77777777" w:rsidR="00CE2B63" w:rsidRPr="00346547" w:rsidRDefault="00615769" w:rsidP="001F79B0">
            <w:pPr>
              <w:keepNext/>
              <w:rPr>
                <w:bCs/>
                <w:sz w:val="22"/>
                <w:szCs w:val="22"/>
              </w:rPr>
            </w:pPr>
            <w:r w:rsidRPr="00346547">
              <w:rPr>
                <w:bCs/>
                <w:sz w:val="22"/>
                <w:szCs w:val="22"/>
              </w:rPr>
              <w:t>Tel: +421 2 5050 0777</w:t>
            </w:r>
          </w:p>
          <w:p w14:paraId="051678FB" w14:textId="77777777" w:rsidR="00CE2B63" w:rsidRPr="00346547" w:rsidRDefault="00CE2B63" w:rsidP="001F79B0">
            <w:pPr>
              <w:keepNext/>
              <w:rPr>
                <w:bCs/>
                <w:sz w:val="22"/>
                <w:szCs w:val="22"/>
              </w:rPr>
            </w:pPr>
          </w:p>
        </w:tc>
      </w:tr>
      <w:tr w:rsidR="00A7162A" w14:paraId="3C9EDD18" w14:textId="77777777" w:rsidTr="001F79B0">
        <w:trPr>
          <w:gridBefore w:val="1"/>
          <w:wBefore w:w="34" w:type="dxa"/>
        </w:trPr>
        <w:tc>
          <w:tcPr>
            <w:tcW w:w="4644" w:type="dxa"/>
            <w:gridSpan w:val="2"/>
          </w:tcPr>
          <w:p w14:paraId="11A06C09" w14:textId="77777777" w:rsidR="00CE2B63" w:rsidRPr="00346547" w:rsidRDefault="00615769" w:rsidP="001F79B0">
            <w:pPr>
              <w:rPr>
                <w:b/>
                <w:bCs/>
                <w:sz w:val="22"/>
                <w:szCs w:val="22"/>
                <w:lang w:val="it-IT"/>
              </w:rPr>
            </w:pPr>
            <w:r w:rsidRPr="00346547">
              <w:rPr>
                <w:b/>
                <w:bCs/>
                <w:sz w:val="22"/>
                <w:szCs w:val="22"/>
                <w:lang w:val="it-IT"/>
              </w:rPr>
              <w:t>Italia</w:t>
            </w:r>
          </w:p>
          <w:p w14:paraId="525D4DB1" w14:textId="77777777" w:rsidR="00CE2B63" w:rsidRPr="00346547" w:rsidRDefault="00615769" w:rsidP="001F79B0">
            <w:pPr>
              <w:pStyle w:val="EndnoteText"/>
              <w:spacing w:line="260" w:lineRule="exact"/>
              <w:rPr>
                <w:bCs/>
                <w:szCs w:val="22"/>
              </w:rPr>
            </w:pPr>
            <w:r w:rsidRPr="00346547">
              <w:rPr>
                <w:bCs/>
                <w:szCs w:val="22"/>
              </w:rPr>
              <w:t xml:space="preserve">AbbVie S.r.l. </w:t>
            </w:r>
          </w:p>
          <w:p w14:paraId="607A5085" w14:textId="77777777" w:rsidR="00CE2B63" w:rsidRPr="00346547" w:rsidRDefault="00615769" w:rsidP="001F79B0">
            <w:pPr>
              <w:rPr>
                <w:bCs/>
                <w:sz w:val="22"/>
                <w:szCs w:val="22"/>
                <w:lang w:val="fi-FI"/>
              </w:rPr>
            </w:pPr>
            <w:r w:rsidRPr="00346547">
              <w:rPr>
                <w:bCs/>
                <w:sz w:val="22"/>
                <w:szCs w:val="22"/>
                <w:lang w:val="fr-FR"/>
              </w:rPr>
              <w:t>Tel: +39 06 928921</w:t>
            </w:r>
          </w:p>
        </w:tc>
        <w:tc>
          <w:tcPr>
            <w:tcW w:w="4678" w:type="dxa"/>
          </w:tcPr>
          <w:p w14:paraId="4F6FFA9F" w14:textId="77777777" w:rsidR="00CE2B63" w:rsidRPr="00346547" w:rsidRDefault="00615769" w:rsidP="001F79B0">
            <w:pPr>
              <w:rPr>
                <w:b/>
                <w:bCs/>
                <w:sz w:val="22"/>
                <w:szCs w:val="22"/>
                <w:lang w:val="fi-FI"/>
              </w:rPr>
            </w:pPr>
            <w:r w:rsidRPr="00346547">
              <w:rPr>
                <w:b/>
                <w:bCs/>
                <w:sz w:val="22"/>
                <w:szCs w:val="22"/>
                <w:lang w:val="fi-FI"/>
              </w:rPr>
              <w:t>Suomi/Finland</w:t>
            </w:r>
          </w:p>
          <w:p w14:paraId="15EE8CB7" w14:textId="77777777" w:rsidR="00CE2B63" w:rsidRPr="00346547" w:rsidRDefault="00615769" w:rsidP="001F79B0">
            <w:pPr>
              <w:rPr>
                <w:bCs/>
                <w:sz w:val="22"/>
                <w:szCs w:val="22"/>
                <w:lang w:val="de-CH"/>
              </w:rPr>
            </w:pPr>
            <w:r w:rsidRPr="00860B88">
              <w:rPr>
                <w:bCs/>
                <w:sz w:val="22"/>
                <w:szCs w:val="22"/>
                <w:lang w:val="en-US"/>
              </w:rPr>
              <w:t>AbbVie Oy</w:t>
            </w:r>
          </w:p>
          <w:p w14:paraId="7B9911FB" w14:textId="77777777" w:rsidR="00CE2B63" w:rsidRPr="00860B88" w:rsidRDefault="00615769" w:rsidP="001F79B0">
            <w:pPr>
              <w:rPr>
                <w:bCs/>
                <w:sz w:val="22"/>
                <w:szCs w:val="22"/>
                <w:lang w:val="en-US"/>
              </w:rPr>
            </w:pPr>
            <w:r w:rsidRPr="00860B88">
              <w:rPr>
                <w:bCs/>
                <w:sz w:val="22"/>
                <w:szCs w:val="22"/>
                <w:lang w:val="en-US"/>
              </w:rPr>
              <w:t>Puh/Tel: +358 (0)10 2411 200</w:t>
            </w:r>
          </w:p>
          <w:p w14:paraId="3A53D1A8" w14:textId="77777777" w:rsidR="00CE2B63" w:rsidRPr="00860B88" w:rsidRDefault="00CE2B63" w:rsidP="001F79B0">
            <w:pPr>
              <w:rPr>
                <w:sz w:val="22"/>
                <w:szCs w:val="22"/>
                <w:lang w:val="en-US"/>
              </w:rPr>
            </w:pPr>
          </w:p>
        </w:tc>
      </w:tr>
      <w:tr w:rsidR="00A7162A" w14:paraId="641EA713" w14:textId="77777777" w:rsidTr="001F79B0">
        <w:trPr>
          <w:gridBefore w:val="1"/>
          <w:wBefore w:w="34" w:type="dxa"/>
          <w:cantSplit/>
          <w:trHeight w:val="887"/>
        </w:trPr>
        <w:tc>
          <w:tcPr>
            <w:tcW w:w="4644" w:type="dxa"/>
            <w:gridSpan w:val="2"/>
          </w:tcPr>
          <w:p w14:paraId="3594AB00" w14:textId="77777777" w:rsidR="00CE2B63" w:rsidRPr="00346547" w:rsidRDefault="00615769" w:rsidP="001F79B0">
            <w:pPr>
              <w:rPr>
                <w:b/>
                <w:bCs/>
                <w:sz w:val="22"/>
                <w:szCs w:val="22"/>
                <w:lang w:val="el-GR"/>
              </w:rPr>
            </w:pPr>
            <w:r w:rsidRPr="00346547">
              <w:rPr>
                <w:b/>
                <w:bCs/>
                <w:sz w:val="22"/>
                <w:szCs w:val="22"/>
                <w:lang w:val="el-GR"/>
              </w:rPr>
              <w:t>Κύπρος</w:t>
            </w:r>
          </w:p>
          <w:p w14:paraId="2370EB34" w14:textId="77777777" w:rsidR="00CE2B63" w:rsidRPr="00346547" w:rsidRDefault="00615769" w:rsidP="001F79B0">
            <w:pPr>
              <w:rPr>
                <w:bCs/>
                <w:sz w:val="22"/>
                <w:szCs w:val="22"/>
                <w:lang w:val="el-GR"/>
              </w:rPr>
            </w:pPr>
            <w:r w:rsidRPr="00BE62F9">
              <w:rPr>
                <w:bCs/>
                <w:sz w:val="22"/>
                <w:szCs w:val="22"/>
                <w:lang w:val="en-US"/>
                <w:rPrChange w:id="16585" w:author="AbbVie2" w:date="2025-09-08T09:53:00Z">
                  <w:rPr>
                    <w:bCs/>
                    <w:sz w:val="22"/>
                    <w:szCs w:val="22"/>
                  </w:rPr>
                </w:rPrChange>
              </w:rPr>
              <w:t xml:space="preserve">Lifepharma (Z.A.M.) </w:t>
            </w:r>
            <w:r w:rsidRPr="00346547">
              <w:rPr>
                <w:bCs/>
                <w:sz w:val="22"/>
                <w:szCs w:val="22"/>
                <w:lang w:val="it-IT"/>
              </w:rPr>
              <w:t>Ltd</w:t>
            </w:r>
          </w:p>
          <w:p w14:paraId="3DFBF951" w14:textId="77777777" w:rsidR="00CE2B63" w:rsidRPr="00346547" w:rsidRDefault="00615769" w:rsidP="001F79B0">
            <w:pPr>
              <w:rPr>
                <w:bCs/>
                <w:sz w:val="22"/>
                <w:szCs w:val="22"/>
                <w:lang w:val="lv-LV"/>
              </w:rPr>
            </w:pPr>
            <w:r w:rsidRPr="00346547">
              <w:rPr>
                <w:bCs/>
                <w:sz w:val="22"/>
                <w:szCs w:val="22"/>
                <w:lang w:val="el-GR"/>
              </w:rPr>
              <w:t>Τηλ.: +357 22 34 74 40</w:t>
            </w:r>
          </w:p>
        </w:tc>
        <w:tc>
          <w:tcPr>
            <w:tcW w:w="4678" w:type="dxa"/>
          </w:tcPr>
          <w:p w14:paraId="06986096" w14:textId="77777777" w:rsidR="00CE2B63" w:rsidRPr="00346547" w:rsidRDefault="00615769" w:rsidP="001F79B0">
            <w:pPr>
              <w:rPr>
                <w:b/>
                <w:bCs/>
                <w:sz w:val="22"/>
                <w:szCs w:val="22"/>
              </w:rPr>
            </w:pPr>
            <w:r w:rsidRPr="00346547">
              <w:rPr>
                <w:b/>
                <w:bCs/>
                <w:sz w:val="22"/>
                <w:szCs w:val="22"/>
              </w:rPr>
              <w:t>Sverige</w:t>
            </w:r>
          </w:p>
          <w:p w14:paraId="1EBE0AE6" w14:textId="77777777" w:rsidR="00CE2B63" w:rsidRPr="00346547" w:rsidRDefault="00615769" w:rsidP="001F79B0">
            <w:pPr>
              <w:rPr>
                <w:bCs/>
                <w:sz w:val="22"/>
                <w:szCs w:val="22"/>
              </w:rPr>
            </w:pPr>
            <w:r w:rsidRPr="00346547">
              <w:rPr>
                <w:bCs/>
                <w:sz w:val="22"/>
                <w:szCs w:val="22"/>
              </w:rPr>
              <w:t>AbbVie AB</w:t>
            </w:r>
          </w:p>
          <w:p w14:paraId="7BB4DA11" w14:textId="77777777" w:rsidR="00CE2B63" w:rsidRPr="00346547" w:rsidRDefault="00615769" w:rsidP="001F79B0">
            <w:pPr>
              <w:rPr>
                <w:bCs/>
                <w:sz w:val="22"/>
                <w:szCs w:val="22"/>
              </w:rPr>
            </w:pPr>
            <w:r w:rsidRPr="00346547">
              <w:rPr>
                <w:bCs/>
                <w:sz w:val="22"/>
                <w:szCs w:val="22"/>
                <w:lang w:val="da-DK"/>
              </w:rPr>
              <w:t>Tel: +46 (0)8 684 44 600</w:t>
            </w:r>
          </w:p>
        </w:tc>
      </w:tr>
      <w:tr w:rsidR="00A7162A" w14:paraId="16AAA748" w14:textId="77777777" w:rsidTr="001F79B0">
        <w:trPr>
          <w:gridBefore w:val="1"/>
          <w:wBefore w:w="34" w:type="dxa"/>
          <w:cantSplit/>
          <w:trHeight w:val="761"/>
        </w:trPr>
        <w:tc>
          <w:tcPr>
            <w:tcW w:w="4644" w:type="dxa"/>
            <w:gridSpan w:val="2"/>
          </w:tcPr>
          <w:p w14:paraId="06FC6922" w14:textId="77777777" w:rsidR="00CE2B63" w:rsidRPr="00346547" w:rsidRDefault="00615769" w:rsidP="001F79B0">
            <w:pPr>
              <w:rPr>
                <w:b/>
                <w:bCs/>
                <w:sz w:val="22"/>
                <w:szCs w:val="22"/>
                <w:lang w:val="lv-LV"/>
              </w:rPr>
            </w:pPr>
            <w:r w:rsidRPr="00346547">
              <w:rPr>
                <w:b/>
                <w:bCs/>
                <w:sz w:val="22"/>
                <w:szCs w:val="22"/>
                <w:lang w:val="lv-LV"/>
              </w:rPr>
              <w:t>Latvija</w:t>
            </w:r>
          </w:p>
          <w:p w14:paraId="1C5A000A" w14:textId="77777777" w:rsidR="00CE2B63" w:rsidRPr="00346547" w:rsidRDefault="00615769" w:rsidP="001F79B0">
            <w:pPr>
              <w:rPr>
                <w:bCs/>
                <w:sz w:val="22"/>
                <w:szCs w:val="22"/>
                <w:lang w:val="lv-LV"/>
              </w:rPr>
            </w:pPr>
            <w:r w:rsidRPr="00346547">
              <w:rPr>
                <w:bCs/>
                <w:sz w:val="22"/>
                <w:szCs w:val="22"/>
                <w:lang w:val="lv-LV"/>
              </w:rPr>
              <w:t xml:space="preserve">AbbVie SIA </w:t>
            </w:r>
          </w:p>
          <w:p w14:paraId="43C04C6F" w14:textId="77777777" w:rsidR="00CE2B63" w:rsidRPr="00346547" w:rsidRDefault="00615769" w:rsidP="001F79B0">
            <w:pPr>
              <w:rPr>
                <w:bCs/>
                <w:sz w:val="22"/>
                <w:szCs w:val="22"/>
                <w:lang w:val="lv-LV"/>
              </w:rPr>
            </w:pPr>
            <w:r w:rsidRPr="00346547">
              <w:rPr>
                <w:bCs/>
                <w:sz w:val="22"/>
                <w:szCs w:val="22"/>
                <w:lang w:val="lv-LV"/>
              </w:rPr>
              <w:t>Tel: +371 67605000</w:t>
            </w:r>
          </w:p>
        </w:tc>
        <w:tc>
          <w:tcPr>
            <w:tcW w:w="4678" w:type="dxa"/>
          </w:tcPr>
          <w:p w14:paraId="1BB1FFAF" w14:textId="73F64A1D" w:rsidR="00CE2B63" w:rsidRPr="00346547" w:rsidRDefault="00CE2B63" w:rsidP="001F79B0">
            <w:pPr>
              <w:rPr>
                <w:b/>
                <w:bCs/>
                <w:sz w:val="22"/>
                <w:szCs w:val="22"/>
              </w:rPr>
            </w:pPr>
          </w:p>
        </w:tc>
      </w:tr>
    </w:tbl>
    <w:p w14:paraId="2BE02C4E" w14:textId="77777777" w:rsidR="004462A0" w:rsidRPr="00EC3632" w:rsidRDefault="004462A0" w:rsidP="004462A0">
      <w:pPr>
        <w:rPr>
          <w:sz w:val="22"/>
          <w:szCs w:val="22"/>
          <w:lang w:val="en-US"/>
        </w:rPr>
      </w:pPr>
    </w:p>
    <w:p w14:paraId="52107A30" w14:textId="77777777" w:rsidR="004462A0" w:rsidRPr="00854C93" w:rsidRDefault="00615769" w:rsidP="004462A0">
      <w:pPr>
        <w:ind w:right="-449"/>
        <w:rPr>
          <w:b/>
          <w:sz w:val="22"/>
          <w:szCs w:val="22"/>
        </w:rPr>
      </w:pPr>
      <w:r w:rsidRPr="00854C93">
        <w:rPr>
          <w:b/>
          <w:sz w:val="22"/>
          <w:szCs w:val="22"/>
        </w:rPr>
        <w:t xml:space="preserve">Este folheto foi revisto pela última vez em </w:t>
      </w:r>
    </w:p>
    <w:p w14:paraId="5D2C52B6" w14:textId="77777777" w:rsidR="004462A0" w:rsidRPr="0089156B" w:rsidRDefault="004462A0" w:rsidP="004462A0">
      <w:pPr>
        <w:ind w:right="-449"/>
        <w:rPr>
          <w:b/>
          <w:sz w:val="22"/>
          <w:szCs w:val="22"/>
        </w:rPr>
      </w:pPr>
    </w:p>
    <w:p w14:paraId="086DF0B4" w14:textId="17ECC895" w:rsidR="004462A0" w:rsidRPr="00AF229F" w:rsidRDefault="00615769" w:rsidP="004462A0">
      <w:pPr>
        <w:ind w:right="-2"/>
        <w:rPr>
          <w:color w:val="0000FF"/>
          <w:sz w:val="22"/>
          <w:szCs w:val="22"/>
        </w:rPr>
      </w:pPr>
      <w:r w:rsidRPr="000B3FE3">
        <w:rPr>
          <w:sz w:val="22"/>
          <w:szCs w:val="22"/>
        </w:rPr>
        <w:t xml:space="preserve">Está disponível informação pormenorizada sobre este medicamento no sítio da internet da Agência Europeia de Medicamentos: </w:t>
      </w:r>
      <w:ins w:id="16586" w:author="AbbVie2" w:date="2025-05-14T10:33:00Z">
        <w:r w:rsidR="00F558D8">
          <w:rPr>
            <w:sz w:val="22"/>
            <w:szCs w:val="22"/>
          </w:rPr>
          <w:fldChar w:fldCharType="begin"/>
        </w:r>
        <w:r w:rsidR="00F558D8">
          <w:rPr>
            <w:sz w:val="22"/>
            <w:szCs w:val="22"/>
          </w:rPr>
          <w:instrText>HYPERLINK "</w:instrText>
        </w:r>
      </w:ins>
      <w:r w:rsidR="00F558D8" w:rsidRPr="00F558D8">
        <w:rPr>
          <w:rStyle w:val="Hyperlink"/>
          <w:sz w:val="22"/>
          <w:szCs w:val="22"/>
        </w:rPr>
        <w:instrText>http</w:instrText>
      </w:r>
      <w:ins w:id="16587" w:author="AbbVie2" w:date="2025-05-14T10:32:00Z">
        <w:r w:rsidR="00F558D8" w:rsidRPr="00F558D8">
          <w:rPr>
            <w:rStyle w:val="Hyperlink"/>
            <w:sz w:val="22"/>
            <w:szCs w:val="22"/>
          </w:rPr>
          <w:instrText>s</w:instrText>
        </w:r>
      </w:ins>
      <w:r w:rsidR="00F558D8" w:rsidRPr="00F558D8">
        <w:rPr>
          <w:rStyle w:val="Hyperlink"/>
          <w:sz w:val="22"/>
          <w:szCs w:val="22"/>
        </w:rPr>
        <w:instrText>://www.ema.europa.eu</w:instrText>
      </w:r>
      <w:ins w:id="16588" w:author="AbbVie2" w:date="2025-05-14T10:33:00Z">
        <w:r w:rsidR="00F558D8">
          <w:rPr>
            <w:sz w:val="22"/>
            <w:szCs w:val="22"/>
          </w:rPr>
          <w:instrText>"</w:instrText>
        </w:r>
        <w:r w:rsidR="00F558D8">
          <w:rPr>
            <w:sz w:val="22"/>
            <w:szCs w:val="22"/>
          </w:rPr>
        </w:r>
        <w:r w:rsidR="00F558D8">
          <w:rPr>
            <w:sz w:val="22"/>
            <w:szCs w:val="22"/>
          </w:rPr>
          <w:fldChar w:fldCharType="separate"/>
        </w:r>
      </w:ins>
      <w:r w:rsidR="00F558D8" w:rsidRPr="00F558D8">
        <w:rPr>
          <w:rStyle w:val="Hyperlink"/>
          <w:sz w:val="22"/>
          <w:szCs w:val="22"/>
        </w:rPr>
        <w:t>http</w:t>
      </w:r>
      <w:ins w:id="16589" w:author="AbbVie2" w:date="2025-05-14T10:32:00Z">
        <w:r w:rsidR="00F558D8" w:rsidRPr="00F558D8">
          <w:rPr>
            <w:rStyle w:val="Hyperlink"/>
            <w:sz w:val="22"/>
            <w:szCs w:val="22"/>
          </w:rPr>
          <w:t>s</w:t>
        </w:r>
      </w:ins>
      <w:r w:rsidR="00F558D8" w:rsidRPr="00F558D8">
        <w:rPr>
          <w:rStyle w:val="Hyperlink"/>
          <w:sz w:val="22"/>
          <w:szCs w:val="22"/>
        </w:rPr>
        <w:t>://www.ema.europa.eu</w:t>
      </w:r>
      <w:ins w:id="16590" w:author="AbbVie2" w:date="2025-05-14T10:33:00Z">
        <w:r w:rsidR="00F558D8">
          <w:rPr>
            <w:sz w:val="22"/>
            <w:szCs w:val="22"/>
          </w:rPr>
          <w:fldChar w:fldCharType="end"/>
        </w:r>
      </w:ins>
      <w:r w:rsidRPr="00454F99">
        <w:rPr>
          <w:color w:val="0000FF"/>
          <w:sz w:val="22"/>
          <w:szCs w:val="22"/>
        </w:rPr>
        <w:t>.</w:t>
      </w:r>
    </w:p>
    <w:p w14:paraId="7CB7E208" w14:textId="77777777" w:rsidR="004462A0" w:rsidRDefault="004462A0" w:rsidP="004462A0">
      <w:pPr>
        <w:ind w:right="-2"/>
        <w:rPr>
          <w:sz w:val="22"/>
          <w:szCs w:val="22"/>
        </w:rPr>
      </w:pPr>
    </w:p>
    <w:p w14:paraId="35675966" w14:textId="77777777" w:rsidR="002A17B6" w:rsidRPr="008912CF" w:rsidRDefault="00615769" w:rsidP="002A17B6">
      <w:pPr>
        <w:ind w:right="-2"/>
        <w:rPr>
          <w:color w:val="0000FF"/>
          <w:sz w:val="22"/>
          <w:szCs w:val="22"/>
        </w:rPr>
      </w:pPr>
      <w:r w:rsidRPr="004D4741">
        <w:rPr>
          <w:b/>
          <w:noProof/>
          <w:sz w:val="22"/>
          <w:szCs w:val="22"/>
        </w:rPr>
        <w:t xml:space="preserve">Para ouvir ou solicitar uma cópia deste folheto em </w:t>
      </w:r>
      <w:r w:rsidRPr="004D4741">
        <w:rPr>
          <w:b/>
          <w:noProof/>
          <w:sz w:val="22"/>
          <w:szCs w:val="22"/>
          <w:highlight w:val="lightGray"/>
        </w:rPr>
        <w:t>&lt;Braille&gt;, &lt;caracteres grandes&gt; ou &lt;áudio&gt;</w:t>
      </w:r>
      <w:r w:rsidRPr="004D4741">
        <w:rPr>
          <w:b/>
          <w:noProof/>
          <w:sz w:val="22"/>
          <w:szCs w:val="22"/>
        </w:rPr>
        <w:t>, por favor contacte o representante local do Titular da Autorização de Introdução no Mercado.</w:t>
      </w:r>
    </w:p>
    <w:p w14:paraId="58DD67B5" w14:textId="77777777" w:rsidR="004462A0" w:rsidRDefault="004462A0" w:rsidP="004462A0">
      <w:pPr>
        <w:ind w:right="-2"/>
        <w:rPr>
          <w:sz w:val="22"/>
          <w:szCs w:val="22"/>
        </w:rPr>
      </w:pPr>
    </w:p>
    <w:p w14:paraId="40E079CC" w14:textId="77777777" w:rsidR="00BE46F4" w:rsidRPr="00B427DD" w:rsidRDefault="00BE46F4" w:rsidP="004462A0">
      <w:pPr>
        <w:ind w:right="-2"/>
        <w:rPr>
          <w:sz w:val="22"/>
          <w:szCs w:val="22"/>
        </w:rPr>
      </w:pPr>
    </w:p>
    <w:p w14:paraId="7EAD684A" w14:textId="77777777" w:rsidR="004462A0" w:rsidRPr="00345814" w:rsidRDefault="00615769" w:rsidP="004462A0">
      <w:pPr>
        <w:ind w:right="-2"/>
        <w:rPr>
          <w:b/>
          <w:sz w:val="22"/>
          <w:szCs w:val="22"/>
        </w:rPr>
      </w:pPr>
      <w:r w:rsidRPr="00345814">
        <w:rPr>
          <w:b/>
          <w:sz w:val="22"/>
          <w:szCs w:val="22"/>
        </w:rPr>
        <w:t>7.</w:t>
      </w:r>
      <w:r w:rsidRPr="00345814">
        <w:rPr>
          <w:b/>
          <w:sz w:val="22"/>
          <w:szCs w:val="22"/>
        </w:rPr>
        <w:tab/>
      </w:r>
      <w:r w:rsidR="006057F6">
        <w:rPr>
          <w:b/>
          <w:bCs/>
          <w:sz w:val="22"/>
          <w:szCs w:val="22"/>
        </w:rPr>
        <w:t>Injetar Humira</w:t>
      </w:r>
    </w:p>
    <w:p w14:paraId="5D86CF46" w14:textId="77777777" w:rsidR="004462A0" w:rsidRPr="00345814" w:rsidRDefault="004462A0" w:rsidP="004462A0">
      <w:pPr>
        <w:ind w:right="-2"/>
        <w:rPr>
          <w:sz w:val="22"/>
          <w:szCs w:val="22"/>
        </w:rPr>
      </w:pPr>
    </w:p>
    <w:p w14:paraId="17CA9BF4" w14:textId="77777777" w:rsidR="004462A0" w:rsidRPr="00345814" w:rsidRDefault="00615769" w:rsidP="004462A0">
      <w:pPr>
        <w:numPr>
          <w:ilvl w:val="0"/>
          <w:numId w:val="89"/>
        </w:numPr>
        <w:tabs>
          <w:tab w:val="clear" w:pos="720"/>
          <w:tab w:val="num" w:pos="567"/>
        </w:tabs>
        <w:suppressAutoHyphens/>
        <w:ind w:left="567" w:hanging="567"/>
        <w:rPr>
          <w:sz w:val="22"/>
        </w:rPr>
      </w:pPr>
      <w:r w:rsidRPr="00345814">
        <w:rPr>
          <w:sz w:val="22"/>
        </w:rPr>
        <w:t>As instruções a seguir indicadas explicam como se autoinjetar, utilizando Humira</w:t>
      </w:r>
      <w:r w:rsidR="00345814">
        <w:rPr>
          <w:sz w:val="22"/>
        </w:rPr>
        <w:t>, por via subcut</w:t>
      </w:r>
      <w:r w:rsidR="00BB700E">
        <w:rPr>
          <w:sz w:val="22"/>
        </w:rPr>
        <w:t xml:space="preserve">ânea, </w:t>
      </w:r>
      <w:r w:rsidRPr="00345814">
        <w:rPr>
          <w:sz w:val="22"/>
        </w:rPr>
        <w:t xml:space="preserve"> em caneta pré-cheia. Leia atentamente as instruções e siga-as passo a passo. </w:t>
      </w:r>
    </w:p>
    <w:p w14:paraId="52CDAC37" w14:textId="77777777" w:rsidR="004462A0" w:rsidRPr="00345814" w:rsidRDefault="004462A0" w:rsidP="004462A0">
      <w:pPr>
        <w:suppressAutoHyphens/>
        <w:ind w:left="720" w:hanging="567"/>
        <w:rPr>
          <w:sz w:val="22"/>
        </w:rPr>
      </w:pPr>
    </w:p>
    <w:p w14:paraId="3754AC3F" w14:textId="77777777" w:rsidR="004462A0" w:rsidRPr="00345814" w:rsidRDefault="00615769" w:rsidP="004462A0">
      <w:pPr>
        <w:numPr>
          <w:ilvl w:val="0"/>
          <w:numId w:val="89"/>
        </w:numPr>
        <w:tabs>
          <w:tab w:val="clear" w:pos="720"/>
        </w:tabs>
        <w:suppressAutoHyphens/>
        <w:ind w:left="567" w:hanging="567"/>
        <w:rPr>
          <w:sz w:val="22"/>
        </w:rPr>
      </w:pPr>
      <w:r w:rsidRPr="00345814">
        <w:rPr>
          <w:sz w:val="22"/>
        </w:rPr>
        <w:t xml:space="preserve">O seu médico, enfermeiro ou farmacêutico dar-lhe-á instruções sobre a técnica de autoinjeção. </w:t>
      </w:r>
    </w:p>
    <w:p w14:paraId="4660C6CD" w14:textId="77777777" w:rsidR="004462A0" w:rsidRPr="00345814" w:rsidRDefault="004462A0" w:rsidP="004462A0">
      <w:pPr>
        <w:suppressAutoHyphens/>
        <w:ind w:left="720" w:hanging="567"/>
        <w:rPr>
          <w:sz w:val="22"/>
        </w:rPr>
      </w:pPr>
    </w:p>
    <w:p w14:paraId="09B77F1E" w14:textId="77777777" w:rsidR="004462A0" w:rsidRPr="00345814" w:rsidRDefault="00615769" w:rsidP="004462A0">
      <w:pPr>
        <w:numPr>
          <w:ilvl w:val="0"/>
          <w:numId w:val="89"/>
        </w:numPr>
        <w:tabs>
          <w:tab w:val="left" w:pos="562"/>
        </w:tabs>
        <w:suppressAutoHyphens/>
        <w:ind w:left="567" w:hanging="567"/>
        <w:rPr>
          <w:sz w:val="22"/>
        </w:rPr>
      </w:pPr>
      <w:r w:rsidRPr="00345814">
        <w:rPr>
          <w:sz w:val="22"/>
        </w:rPr>
        <w:t xml:space="preserve">Não tente autoinjetar-se antes de estar certo de ter compreendido o modo de preparar e administrar a injeção. </w:t>
      </w:r>
    </w:p>
    <w:p w14:paraId="5F9450CD" w14:textId="77777777" w:rsidR="004462A0" w:rsidRPr="00345814" w:rsidRDefault="004462A0" w:rsidP="004462A0">
      <w:pPr>
        <w:suppressAutoHyphens/>
        <w:ind w:left="720" w:hanging="567"/>
        <w:rPr>
          <w:sz w:val="22"/>
        </w:rPr>
      </w:pPr>
    </w:p>
    <w:p w14:paraId="57ECBD6F" w14:textId="77777777" w:rsidR="004462A0" w:rsidRPr="00345814" w:rsidRDefault="00615769" w:rsidP="004462A0">
      <w:pPr>
        <w:numPr>
          <w:ilvl w:val="0"/>
          <w:numId w:val="89"/>
        </w:numPr>
        <w:tabs>
          <w:tab w:val="clear" w:pos="720"/>
        </w:tabs>
        <w:suppressAutoHyphens/>
        <w:ind w:left="567" w:hanging="567"/>
        <w:rPr>
          <w:sz w:val="22"/>
        </w:rPr>
      </w:pPr>
      <w:r w:rsidRPr="00345814">
        <w:rPr>
          <w:sz w:val="22"/>
        </w:rPr>
        <w:t>Após treino adequado, a injeção pode ser administrada pelo doente ou por outra pessoa, por exemplo um familiar ou amigo.</w:t>
      </w:r>
    </w:p>
    <w:p w14:paraId="302C39EB" w14:textId="77777777" w:rsidR="004462A0" w:rsidRPr="00345814" w:rsidRDefault="004462A0" w:rsidP="004462A0">
      <w:pPr>
        <w:suppressAutoHyphens/>
        <w:ind w:left="720" w:hanging="567"/>
        <w:rPr>
          <w:sz w:val="22"/>
        </w:rPr>
      </w:pPr>
    </w:p>
    <w:p w14:paraId="2BB6CA1C" w14:textId="77777777" w:rsidR="004462A0" w:rsidRPr="00345814" w:rsidRDefault="00615769" w:rsidP="004462A0">
      <w:pPr>
        <w:numPr>
          <w:ilvl w:val="0"/>
          <w:numId w:val="89"/>
        </w:numPr>
        <w:tabs>
          <w:tab w:val="clear" w:pos="720"/>
        </w:tabs>
        <w:suppressAutoHyphens/>
        <w:ind w:left="567" w:hanging="567"/>
        <w:rPr>
          <w:sz w:val="22"/>
          <w:szCs w:val="20"/>
        </w:rPr>
      </w:pPr>
      <w:r w:rsidRPr="00345814">
        <w:rPr>
          <w:sz w:val="22"/>
          <w:szCs w:val="20"/>
        </w:rPr>
        <w:t>Use só uma caneta pré-cheia por injeção.</w:t>
      </w:r>
    </w:p>
    <w:p w14:paraId="1E745091" w14:textId="77777777" w:rsidR="004462A0" w:rsidRPr="00345814" w:rsidRDefault="004462A0" w:rsidP="004462A0">
      <w:pPr>
        <w:tabs>
          <w:tab w:val="left" w:pos="562"/>
        </w:tabs>
        <w:suppressAutoHyphens/>
        <w:rPr>
          <w:sz w:val="22"/>
          <w:szCs w:val="20"/>
        </w:rPr>
      </w:pPr>
    </w:p>
    <w:p w14:paraId="6F438D96" w14:textId="77777777" w:rsidR="004462A0" w:rsidRPr="00345814" w:rsidRDefault="00615769" w:rsidP="004462A0">
      <w:pPr>
        <w:keepNext/>
        <w:tabs>
          <w:tab w:val="left" w:pos="562"/>
        </w:tabs>
        <w:suppressAutoHyphens/>
        <w:rPr>
          <w:b/>
          <w:sz w:val="22"/>
          <w:szCs w:val="20"/>
        </w:rPr>
      </w:pPr>
      <w:r w:rsidRPr="00345814">
        <w:rPr>
          <w:b/>
          <w:sz w:val="22"/>
          <w:szCs w:val="20"/>
        </w:rPr>
        <w:t>Caneta Pré-cheia de Humira</w:t>
      </w:r>
    </w:p>
    <w:p w14:paraId="0D9B9534" w14:textId="77777777" w:rsidR="004462A0" w:rsidRPr="00345814" w:rsidRDefault="004462A0" w:rsidP="004462A0">
      <w:pPr>
        <w:keepNext/>
        <w:tabs>
          <w:tab w:val="left" w:pos="562"/>
        </w:tabs>
        <w:suppressAutoHyphens/>
        <w:rPr>
          <w:sz w:val="22"/>
          <w:szCs w:val="20"/>
        </w:rPr>
      </w:pPr>
    </w:p>
    <w:p w14:paraId="24B799F9" w14:textId="77777777" w:rsidR="004462A0" w:rsidRPr="00345814" w:rsidRDefault="00615769" w:rsidP="004462A0">
      <w:pPr>
        <w:keepNext/>
        <w:tabs>
          <w:tab w:val="left" w:pos="562"/>
        </w:tabs>
        <w:suppressAutoHyphens/>
        <w:rPr>
          <w:b/>
          <w:sz w:val="22"/>
          <w:szCs w:val="20"/>
        </w:rPr>
      </w:pPr>
      <w:r w:rsidRPr="00345814">
        <w:rPr>
          <w:b/>
          <w:sz w:val="22"/>
          <w:szCs w:val="20"/>
        </w:rPr>
        <w:t xml:space="preserve">   Tampa 1 cinzenta    Proteção Branca   </w:t>
      </w:r>
      <w:r w:rsidR="004C27CA">
        <w:rPr>
          <w:b/>
          <w:sz w:val="22"/>
          <w:szCs w:val="20"/>
        </w:rPr>
        <w:t xml:space="preserve">   </w:t>
      </w:r>
      <w:r w:rsidRPr="00345814">
        <w:rPr>
          <w:b/>
          <w:sz w:val="22"/>
          <w:szCs w:val="20"/>
        </w:rPr>
        <w:t xml:space="preserve">Seta Branca          </w:t>
      </w:r>
      <w:r w:rsidRPr="00345814">
        <w:rPr>
          <w:b/>
          <w:sz w:val="22"/>
          <w:szCs w:val="20"/>
        </w:rPr>
        <w:tab/>
      </w:r>
      <w:r w:rsidRPr="00345814">
        <w:rPr>
          <w:b/>
          <w:sz w:val="22"/>
          <w:szCs w:val="20"/>
        </w:rPr>
        <w:tab/>
      </w:r>
      <w:r w:rsidRPr="00345814">
        <w:rPr>
          <w:b/>
          <w:sz w:val="22"/>
          <w:szCs w:val="20"/>
        </w:rPr>
        <w:tab/>
        <w:t xml:space="preserve">Tampa 2 Roxa     </w:t>
      </w:r>
    </w:p>
    <w:p w14:paraId="329AB422" w14:textId="77777777" w:rsidR="004462A0" w:rsidRPr="00345814" w:rsidRDefault="00615769" w:rsidP="004462A0">
      <w:pPr>
        <w:keepNext/>
        <w:tabs>
          <w:tab w:val="left" w:pos="562"/>
        </w:tabs>
        <w:suppressAutoHyphens/>
        <w:rPr>
          <w:sz w:val="22"/>
          <w:szCs w:val="20"/>
        </w:rPr>
      </w:pPr>
      <w:r w:rsidRPr="00345814">
        <w:rPr>
          <w:b/>
          <w:sz w:val="22"/>
          <w:szCs w:val="20"/>
        </w:rPr>
        <w:t xml:space="preserve">                                       da Agulha    </w:t>
      </w:r>
      <w:r w:rsidRPr="00345814">
        <w:rPr>
          <w:b/>
          <w:i/>
          <w:sz w:val="22"/>
          <w:szCs w:val="20"/>
        </w:rPr>
        <w:t xml:space="preserve"> </w:t>
      </w:r>
      <w:r w:rsidRPr="00345814">
        <w:rPr>
          <w:b/>
          <w:sz w:val="22"/>
          <w:szCs w:val="20"/>
        </w:rPr>
        <w:t xml:space="preserve">                          </w:t>
      </w:r>
      <w:r w:rsidRPr="00345814">
        <w:rPr>
          <w:noProof/>
          <w:sz w:val="22"/>
          <w:szCs w:val="20"/>
          <w:lang w:val="en-GB" w:eastAsia="en-GB"/>
        </w:rPr>
        <w:drawing>
          <wp:inline distT="0" distB="0" distL="0" distR="0" wp14:anchorId="506FC799" wp14:editId="6B4924A0">
            <wp:extent cx="5883910" cy="1431290"/>
            <wp:effectExtent l="0" t="0" r="2540" b="0"/>
            <wp:docPr id="16" name="Picture 16" descr="HUMIRAPE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52" descr="HUMIRAPEN_grey"/>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5883910" cy="1431290"/>
                    </a:xfrm>
                    <a:prstGeom prst="rect">
                      <a:avLst/>
                    </a:prstGeom>
                    <a:noFill/>
                    <a:ln>
                      <a:noFill/>
                    </a:ln>
                  </pic:spPr>
                </pic:pic>
              </a:graphicData>
            </a:graphic>
          </wp:inline>
        </w:drawing>
      </w:r>
    </w:p>
    <w:p w14:paraId="73FD4B8C" w14:textId="77777777" w:rsidR="004462A0" w:rsidRPr="00345814" w:rsidRDefault="00615769" w:rsidP="004462A0">
      <w:pPr>
        <w:tabs>
          <w:tab w:val="left" w:pos="562"/>
        </w:tabs>
        <w:suppressAutoHyphens/>
        <w:rPr>
          <w:b/>
          <w:sz w:val="22"/>
          <w:szCs w:val="20"/>
        </w:rPr>
      </w:pPr>
      <w:r w:rsidRPr="00345814">
        <w:rPr>
          <w:b/>
          <w:sz w:val="22"/>
          <w:szCs w:val="20"/>
        </w:rPr>
        <w:t xml:space="preserve">                              Agulha           Janela Indicadora                        Botão ativador Roxo     </w:t>
      </w:r>
    </w:p>
    <w:p w14:paraId="574839D6" w14:textId="77777777" w:rsidR="004462A0" w:rsidRPr="00345814" w:rsidRDefault="00615769" w:rsidP="004462A0">
      <w:pPr>
        <w:tabs>
          <w:tab w:val="left" w:pos="562"/>
        </w:tabs>
        <w:suppressAutoHyphens/>
        <w:rPr>
          <w:b/>
          <w:sz w:val="22"/>
          <w:szCs w:val="20"/>
        </w:rPr>
      </w:pPr>
      <w:r w:rsidRPr="00345814">
        <w:rPr>
          <w:b/>
          <w:sz w:val="22"/>
          <w:szCs w:val="20"/>
        </w:rPr>
        <w:t xml:space="preserve">           </w:t>
      </w:r>
    </w:p>
    <w:p w14:paraId="08DFA9E0" w14:textId="77777777" w:rsidR="004462A0" w:rsidRPr="00345814" w:rsidRDefault="00615769" w:rsidP="004462A0">
      <w:pPr>
        <w:keepNext/>
        <w:tabs>
          <w:tab w:val="left" w:pos="562"/>
        </w:tabs>
        <w:suppressAutoHyphens/>
        <w:rPr>
          <w:b/>
          <w:sz w:val="22"/>
          <w:szCs w:val="20"/>
        </w:rPr>
      </w:pPr>
      <w:r w:rsidRPr="00345814">
        <w:rPr>
          <w:b/>
          <w:sz w:val="22"/>
          <w:szCs w:val="20"/>
        </w:rPr>
        <w:t>Não use a caneta pré-cheia e fale com o seu médico ou farmacêutico se</w:t>
      </w:r>
    </w:p>
    <w:p w14:paraId="0784B5C5" w14:textId="77777777" w:rsidR="004462A0" w:rsidRPr="00345814" w:rsidRDefault="004462A0" w:rsidP="004462A0">
      <w:pPr>
        <w:keepNext/>
        <w:tabs>
          <w:tab w:val="left" w:pos="562"/>
        </w:tabs>
        <w:suppressAutoHyphens/>
        <w:rPr>
          <w:b/>
          <w:sz w:val="22"/>
          <w:szCs w:val="20"/>
        </w:rPr>
      </w:pPr>
    </w:p>
    <w:p w14:paraId="093DED4F" w14:textId="77777777" w:rsidR="004462A0" w:rsidRPr="00345814" w:rsidRDefault="00615769" w:rsidP="004462A0">
      <w:pPr>
        <w:keepNext/>
        <w:numPr>
          <w:ilvl w:val="0"/>
          <w:numId w:val="90"/>
        </w:numPr>
        <w:suppressAutoHyphens/>
        <w:ind w:left="567" w:hanging="567"/>
        <w:rPr>
          <w:sz w:val="22"/>
          <w:szCs w:val="20"/>
        </w:rPr>
      </w:pPr>
      <w:r w:rsidRPr="00345814">
        <w:rPr>
          <w:sz w:val="22"/>
          <w:szCs w:val="20"/>
        </w:rPr>
        <w:t>o líquido está turvo, descorado, ou com flocos ou partículas em suspensão</w:t>
      </w:r>
    </w:p>
    <w:p w14:paraId="27C59FA8" w14:textId="77777777" w:rsidR="004462A0" w:rsidRPr="00345814" w:rsidRDefault="00615769" w:rsidP="004462A0">
      <w:pPr>
        <w:keepNext/>
        <w:numPr>
          <w:ilvl w:val="0"/>
          <w:numId w:val="90"/>
        </w:numPr>
        <w:suppressAutoHyphens/>
        <w:ind w:left="567" w:hanging="567"/>
        <w:rPr>
          <w:sz w:val="22"/>
          <w:szCs w:val="20"/>
        </w:rPr>
      </w:pPr>
      <w:r w:rsidRPr="00345814">
        <w:rPr>
          <w:sz w:val="22"/>
          <w:szCs w:val="20"/>
        </w:rPr>
        <w:t xml:space="preserve">prazo de validade (EXP) foi ultrapassado </w:t>
      </w:r>
    </w:p>
    <w:p w14:paraId="638AAD19" w14:textId="77777777" w:rsidR="004462A0" w:rsidRPr="00345814" w:rsidRDefault="00615769" w:rsidP="004462A0">
      <w:pPr>
        <w:keepNext/>
        <w:numPr>
          <w:ilvl w:val="0"/>
          <w:numId w:val="90"/>
        </w:numPr>
        <w:suppressAutoHyphens/>
        <w:ind w:left="567" w:hanging="567"/>
        <w:rPr>
          <w:sz w:val="22"/>
          <w:szCs w:val="20"/>
        </w:rPr>
      </w:pPr>
      <w:r w:rsidRPr="00345814">
        <w:rPr>
          <w:sz w:val="22"/>
          <w:szCs w:val="20"/>
        </w:rPr>
        <w:t>o líquido estiver congelado ou se foi deixado à luz direta do sol</w:t>
      </w:r>
    </w:p>
    <w:p w14:paraId="5A1F7358" w14:textId="77777777" w:rsidR="004462A0" w:rsidRPr="00345814" w:rsidRDefault="00615769" w:rsidP="004462A0">
      <w:pPr>
        <w:keepNext/>
        <w:numPr>
          <w:ilvl w:val="0"/>
          <w:numId w:val="90"/>
        </w:numPr>
        <w:suppressAutoHyphens/>
        <w:ind w:left="567" w:hanging="567"/>
        <w:rPr>
          <w:sz w:val="22"/>
          <w:szCs w:val="20"/>
        </w:rPr>
      </w:pPr>
      <w:r w:rsidRPr="00345814">
        <w:rPr>
          <w:sz w:val="22"/>
          <w:szCs w:val="20"/>
        </w:rPr>
        <w:t xml:space="preserve">a caneta pré-cheia </w:t>
      </w:r>
      <w:r w:rsidR="002E4828">
        <w:rPr>
          <w:sz w:val="22"/>
          <w:szCs w:val="20"/>
        </w:rPr>
        <w:t>tiver caído</w:t>
      </w:r>
      <w:r w:rsidR="002E4828" w:rsidRPr="008B0DDF">
        <w:rPr>
          <w:sz w:val="22"/>
          <w:szCs w:val="20"/>
        </w:rPr>
        <w:t xml:space="preserve"> </w:t>
      </w:r>
      <w:r w:rsidRPr="00345814">
        <w:rPr>
          <w:sz w:val="22"/>
          <w:szCs w:val="20"/>
        </w:rPr>
        <w:t>ou estiver danificada</w:t>
      </w:r>
    </w:p>
    <w:p w14:paraId="0398D9F4" w14:textId="77777777" w:rsidR="004462A0" w:rsidRPr="00345814" w:rsidRDefault="004462A0" w:rsidP="004462A0">
      <w:pPr>
        <w:tabs>
          <w:tab w:val="left" w:pos="562"/>
        </w:tabs>
        <w:suppressAutoHyphens/>
        <w:rPr>
          <w:sz w:val="22"/>
          <w:szCs w:val="20"/>
        </w:rPr>
      </w:pPr>
    </w:p>
    <w:p w14:paraId="19EE1719" w14:textId="77777777" w:rsidR="00816FFE" w:rsidRDefault="00615769" w:rsidP="004462A0">
      <w:pPr>
        <w:keepNext/>
        <w:tabs>
          <w:tab w:val="left" w:pos="0"/>
        </w:tabs>
        <w:suppressAutoHyphens/>
        <w:rPr>
          <w:b/>
          <w:sz w:val="22"/>
          <w:szCs w:val="20"/>
        </w:rPr>
      </w:pPr>
      <w:r w:rsidRPr="008B0DDF">
        <w:rPr>
          <w:b/>
          <w:sz w:val="22"/>
          <w:szCs w:val="20"/>
        </w:rPr>
        <w:t>Retire só a</w:t>
      </w:r>
      <w:r w:rsidR="004C27CA">
        <w:rPr>
          <w:b/>
          <w:sz w:val="22"/>
          <w:szCs w:val="20"/>
        </w:rPr>
        <w:t>s</w:t>
      </w:r>
      <w:r w:rsidRPr="008B0DDF">
        <w:rPr>
          <w:b/>
          <w:sz w:val="22"/>
          <w:szCs w:val="20"/>
        </w:rPr>
        <w:t xml:space="preserve"> tampa</w:t>
      </w:r>
      <w:r w:rsidR="004C27CA">
        <w:rPr>
          <w:b/>
          <w:sz w:val="22"/>
          <w:szCs w:val="20"/>
        </w:rPr>
        <w:t>s</w:t>
      </w:r>
      <w:r w:rsidRPr="008B0DDF">
        <w:rPr>
          <w:b/>
          <w:sz w:val="22"/>
          <w:szCs w:val="20"/>
        </w:rPr>
        <w:t xml:space="preserve"> imediatamente antes da injeção. </w:t>
      </w:r>
    </w:p>
    <w:p w14:paraId="5DF8C910" w14:textId="77777777" w:rsidR="004462A0" w:rsidRPr="008B0DDF" w:rsidRDefault="00615769" w:rsidP="004462A0">
      <w:pPr>
        <w:keepNext/>
        <w:tabs>
          <w:tab w:val="left" w:pos="0"/>
        </w:tabs>
        <w:suppressAutoHyphens/>
        <w:rPr>
          <w:b/>
          <w:sz w:val="22"/>
          <w:szCs w:val="20"/>
        </w:rPr>
      </w:pPr>
      <w:r w:rsidRPr="008B0DDF">
        <w:rPr>
          <w:b/>
          <w:sz w:val="22"/>
          <w:szCs w:val="20"/>
        </w:rPr>
        <w:t xml:space="preserve">Manter </w:t>
      </w:r>
      <w:r w:rsidR="00544D7F">
        <w:rPr>
          <w:b/>
          <w:sz w:val="22"/>
          <w:szCs w:val="20"/>
        </w:rPr>
        <w:t xml:space="preserve">Humira </w:t>
      </w:r>
      <w:r w:rsidRPr="008B0DDF">
        <w:rPr>
          <w:b/>
          <w:sz w:val="22"/>
          <w:szCs w:val="20"/>
        </w:rPr>
        <w:t>fora da vista e do alcance das crianças.</w:t>
      </w:r>
    </w:p>
    <w:p w14:paraId="2C464062" w14:textId="77777777" w:rsidR="004462A0" w:rsidRPr="008B0DDF" w:rsidRDefault="004462A0" w:rsidP="004462A0">
      <w:pPr>
        <w:tabs>
          <w:tab w:val="left" w:pos="562"/>
        </w:tabs>
        <w:suppressAutoHyphens/>
        <w:rPr>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A7162A" w14:paraId="28B05AFE" w14:textId="77777777" w:rsidTr="00F675CF">
        <w:tc>
          <w:tcPr>
            <w:tcW w:w="9287" w:type="dxa"/>
            <w:gridSpan w:val="2"/>
            <w:tcBorders>
              <w:bottom w:val="single" w:sz="4" w:space="0" w:color="auto"/>
            </w:tcBorders>
          </w:tcPr>
          <w:p w14:paraId="1E20B3B7" w14:textId="77777777" w:rsidR="004462A0" w:rsidRPr="008B0DDF" w:rsidRDefault="00615769" w:rsidP="0094797C">
            <w:pPr>
              <w:tabs>
                <w:tab w:val="left" w:pos="562"/>
              </w:tabs>
              <w:suppressAutoHyphens/>
              <w:rPr>
                <w:b/>
                <w:sz w:val="22"/>
                <w:szCs w:val="20"/>
              </w:rPr>
            </w:pPr>
            <w:r w:rsidRPr="008B0DDF">
              <w:rPr>
                <w:b/>
                <w:sz w:val="22"/>
                <w:szCs w:val="20"/>
              </w:rPr>
              <w:t>PASSO 1</w:t>
            </w:r>
          </w:p>
          <w:p w14:paraId="679B2B3A" w14:textId="77777777" w:rsidR="004462A0" w:rsidRPr="008B0DDF" w:rsidRDefault="004462A0" w:rsidP="0094797C">
            <w:pPr>
              <w:tabs>
                <w:tab w:val="left" w:pos="562"/>
              </w:tabs>
              <w:suppressAutoHyphens/>
              <w:rPr>
                <w:sz w:val="22"/>
                <w:szCs w:val="20"/>
              </w:rPr>
            </w:pPr>
          </w:p>
          <w:p w14:paraId="46D62F4E" w14:textId="77777777" w:rsidR="004462A0" w:rsidRPr="008B0DDF" w:rsidRDefault="00615769" w:rsidP="0094797C">
            <w:pPr>
              <w:tabs>
                <w:tab w:val="left" w:pos="562"/>
              </w:tabs>
              <w:suppressAutoHyphens/>
              <w:rPr>
                <w:sz w:val="22"/>
                <w:szCs w:val="20"/>
              </w:rPr>
            </w:pPr>
            <w:r w:rsidRPr="008B0DDF">
              <w:rPr>
                <w:sz w:val="22"/>
                <w:szCs w:val="20"/>
              </w:rPr>
              <w:t>Retire Humira do frigorífico.</w:t>
            </w:r>
          </w:p>
          <w:p w14:paraId="21E19802" w14:textId="77777777" w:rsidR="004462A0" w:rsidRPr="008B0DDF" w:rsidRDefault="004462A0" w:rsidP="0094797C">
            <w:pPr>
              <w:tabs>
                <w:tab w:val="left" w:pos="562"/>
              </w:tabs>
              <w:suppressAutoHyphens/>
              <w:rPr>
                <w:sz w:val="22"/>
                <w:szCs w:val="20"/>
              </w:rPr>
            </w:pPr>
          </w:p>
          <w:p w14:paraId="669141F1" w14:textId="77777777" w:rsidR="004462A0" w:rsidRPr="008B0DDF" w:rsidRDefault="00615769" w:rsidP="0094797C">
            <w:pPr>
              <w:tabs>
                <w:tab w:val="left" w:pos="562"/>
              </w:tabs>
              <w:suppressAutoHyphens/>
              <w:rPr>
                <w:sz w:val="22"/>
                <w:szCs w:val="20"/>
              </w:rPr>
            </w:pPr>
            <w:r w:rsidRPr="008B0DDF">
              <w:rPr>
                <w:sz w:val="22"/>
                <w:szCs w:val="20"/>
              </w:rPr>
              <w:t xml:space="preserve">Deixe Humira à temperatura ambiente durante </w:t>
            </w:r>
            <w:r w:rsidRPr="008B0DDF">
              <w:rPr>
                <w:b/>
                <w:sz w:val="22"/>
                <w:szCs w:val="20"/>
              </w:rPr>
              <w:t xml:space="preserve">15 a 30 minutos </w:t>
            </w:r>
            <w:r w:rsidRPr="008B0DDF">
              <w:rPr>
                <w:sz w:val="22"/>
                <w:szCs w:val="20"/>
              </w:rPr>
              <w:t>antes de administrar a injeção.</w:t>
            </w:r>
          </w:p>
          <w:p w14:paraId="6D9BA3BF" w14:textId="77777777" w:rsidR="004462A0" w:rsidRPr="008B0DDF" w:rsidRDefault="004462A0" w:rsidP="0094797C">
            <w:pPr>
              <w:tabs>
                <w:tab w:val="left" w:pos="562"/>
              </w:tabs>
              <w:suppressAutoHyphens/>
              <w:rPr>
                <w:sz w:val="22"/>
                <w:szCs w:val="20"/>
              </w:rPr>
            </w:pPr>
          </w:p>
          <w:p w14:paraId="06E5D77E" w14:textId="77777777" w:rsidR="004462A0" w:rsidRPr="008B0DDF" w:rsidRDefault="00615769" w:rsidP="0094797C">
            <w:pPr>
              <w:numPr>
                <w:ilvl w:val="0"/>
                <w:numId w:val="91"/>
              </w:numPr>
              <w:suppressAutoHyphens/>
              <w:ind w:left="567" w:hanging="567"/>
              <w:rPr>
                <w:sz w:val="22"/>
                <w:szCs w:val="20"/>
              </w:rPr>
            </w:pPr>
            <w:r w:rsidRPr="008B0DDF">
              <w:rPr>
                <w:b/>
                <w:sz w:val="22"/>
                <w:szCs w:val="20"/>
              </w:rPr>
              <w:t>Não</w:t>
            </w:r>
            <w:r w:rsidRPr="008B0DDF">
              <w:rPr>
                <w:sz w:val="22"/>
                <w:szCs w:val="20"/>
              </w:rPr>
              <w:t xml:space="preserve"> remova as tampas de cor cinzenta ou roxa até que Humira alcance a temperatura ambiente</w:t>
            </w:r>
          </w:p>
          <w:p w14:paraId="3A88AF0D" w14:textId="77777777" w:rsidR="004462A0" w:rsidRPr="008B0DDF" w:rsidRDefault="00615769" w:rsidP="0094797C">
            <w:pPr>
              <w:numPr>
                <w:ilvl w:val="0"/>
                <w:numId w:val="91"/>
              </w:numPr>
              <w:suppressAutoHyphens/>
              <w:ind w:left="567" w:hanging="567"/>
              <w:rPr>
                <w:sz w:val="22"/>
                <w:szCs w:val="20"/>
              </w:rPr>
            </w:pPr>
            <w:r w:rsidRPr="008B0DDF">
              <w:rPr>
                <w:b/>
                <w:sz w:val="22"/>
                <w:szCs w:val="20"/>
              </w:rPr>
              <w:t xml:space="preserve">Não </w:t>
            </w:r>
            <w:r w:rsidRPr="008B0DDF">
              <w:rPr>
                <w:sz w:val="22"/>
                <w:szCs w:val="20"/>
              </w:rPr>
              <w:t xml:space="preserve">aqueça Humira de nenhuma outra forma. Por exemplo, </w:t>
            </w:r>
            <w:r w:rsidRPr="006B7CB4">
              <w:rPr>
                <w:b/>
                <w:sz w:val="22"/>
                <w:szCs w:val="20"/>
              </w:rPr>
              <w:t>não</w:t>
            </w:r>
            <w:r w:rsidRPr="008B0DDF">
              <w:rPr>
                <w:sz w:val="22"/>
                <w:szCs w:val="20"/>
              </w:rPr>
              <w:t xml:space="preserve"> use micro</w:t>
            </w:r>
            <w:r w:rsidR="00750C9C">
              <w:rPr>
                <w:sz w:val="22"/>
                <w:szCs w:val="20"/>
              </w:rPr>
              <w:t>-</w:t>
            </w:r>
            <w:r w:rsidRPr="008B0DDF">
              <w:rPr>
                <w:sz w:val="22"/>
                <w:szCs w:val="20"/>
              </w:rPr>
              <w:t>ondas ou água quente</w:t>
            </w:r>
          </w:p>
        </w:tc>
      </w:tr>
      <w:tr w:rsidR="00A7162A" w14:paraId="0F9B9F46" w14:textId="77777777" w:rsidTr="00F675CF">
        <w:tc>
          <w:tcPr>
            <w:tcW w:w="3708" w:type="dxa"/>
            <w:tcBorders>
              <w:right w:val="nil"/>
            </w:tcBorders>
          </w:tcPr>
          <w:p w14:paraId="109F90E0" w14:textId="77777777" w:rsidR="004462A0" w:rsidRPr="008B0DDF" w:rsidRDefault="00615769" w:rsidP="0094797C">
            <w:pPr>
              <w:tabs>
                <w:tab w:val="left" w:pos="562"/>
              </w:tabs>
              <w:suppressAutoHyphens/>
              <w:rPr>
                <w:b/>
                <w:noProof/>
                <w:sz w:val="22"/>
                <w:szCs w:val="20"/>
              </w:rPr>
            </w:pPr>
            <w:r w:rsidRPr="008B0DDF">
              <w:rPr>
                <w:b/>
                <w:noProof/>
                <w:sz w:val="22"/>
                <w:szCs w:val="20"/>
              </w:rPr>
              <w:t xml:space="preserve">PASSO 2 </w:t>
            </w:r>
          </w:p>
          <w:p w14:paraId="5485A99B" w14:textId="77777777" w:rsidR="004462A0" w:rsidRPr="008B0DDF" w:rsidRDefault="004462A0" w:rsidP="0094797C">
            <w:pPr>
              <w:tabs>
                <w:tab w:val="left" w:pos="562"/>
              </w:tabs>
              <w:suppressAutoHyphens/>
              <w:rPr>
                <w:b/>
                <w:noProof/>
                <w:sz w:val="22"/>
                <w:szCs w:val="20"/>
              </w:rPr>
            </w:pPr>
          </w:p>
          <w:p w14:paraId="26C87D0C" w14:textId="77777777" w:rsidR="004462A0" w:rsidRPr="008B0DDF" w:rsidRDefault="00615769" w:rsidP="0094797C">
            <w:pPr>
              <w:tabs>
                <w:tab w:val="left" w:pos="562"/>
              </w:tabs>
              <w:suppressAutoHyphens/>
              <w:rPr>
                <w:b/>
                <w:noProof/>
                <w:sz w:val="22"/>
                <w:szCs w:val="20"/>
              </w:rPr>
            </w:pPr>
            <w:r w:rsidRPr="008B0DDF">
              <w:rPr>
                <w:noProof/>
                <w:sz w:val="22"/>
                <w:szCs w:val="20"/>
              </w:rPr>
              <w:t xml:space="preserve">              </w:t>
            </w:r>
            <w:r w:rsidRPr="008B0DDF">
              <w:rPr>
                <w:b/>
                <w:noProof/>
                <w:sz w:val="22"/>
                <w:szCs w:val="20"/>
              </w:rPr>
              <w:t xml:space="preserve"> Caneta</w:t>
            </w:r>
          </w:p>
          <w:p w14:paraId="7471F1C0" w14:textId="77777777" w:rsidR="004462A0" w:rsidRPr="008B0DDF" w:rsidRDefault="00615769" w:rsidP="0094797C">
            <w:pPr>
              <w:tabs>
                <w:tab w:val="left" w:pos="562"/>
              </w:tabs>
              <w:suppressAutoHyphens/>
              <w:rPr>
                <w:noProof/>
                <w:sz w:val="22"/>
                <w:szCs w:val="20"/>
              </w:rPr>
            </w:pPr>
            <w:r>
              <w:rPr>
                <w:noProof/>
                <w:sz w:val="22"/>
                <w:szCs w:val="20"/>
                <w:lang w:val="en-GB" w:eastAsia="en-GB"/>
              </w:rPr>
              <w:drawing>
                <wp:inline distT="0" distB="0" distL="0" distR="0" wp14:anchorId="700F0B7A" wp14:editId="0C38432E">
                  <wp:extent cx="2157095" cy="2286000"/>
                  <wp:effectExtent l="0" t="0" r="0" b="0"/>
                  <wp:docPr id="15" name="Picture 15" descr="STEP2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53" descr="STEP2_grey"/>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2157095" cy="2286000"/>
                          </a:xfrm>
                          <a:prstGeom prst="rect">
                            <a:avLst/>
                          </a:prstGeom>
                          <a:noFill/>
                          <a:ln>
                            <a:noFill/>
                          </a:ln>
                        </pic:spPr>
                      </pic:pic>
                    </a:graphicData>
                  </a:graphic>
                </wp:inline>
              </w:drawing>
            </w:r>
          </w:p>
          <w:p w14:paraId="52543C06" w14:textId="77777777" w:rsidR="004462A0" w:rsidRPr="008B0DDF" w:rsidRDefault="00615769" w:rsidP="0094797C">
            <w:pPr>
              <w:tabs>
                <w:tab w:val="left" w:pos="562"/>
              </w:tabs>
              <w:suppressAutoHyphens/>
              <w:rPr>
                <w:b/>
                <w:sz w:val="22"/>
                <w:szCs w:val="20"/>
              </w:rPr>
            </w:pPr>
            <w:r w:rsidRPr="008B0DDF">
              <w:rPr>
                <w:b/>
                <w:noProof/>
                <w:sz w:val="22"/>
                <w:szCs w:val="20"/>
              </w:rPr>
              <w:t xml:space="preserve">                Compressa</w:t>
            </w:r>
          </w:p>
        </w:tc>
        <w:tc>
          <w:tcPr>
            <w:tcW w:w="5579" w:type="dxa"/>
            <w:tcBorders>
              <w:left w:val="nil"/>
            </w:tcBorders>
          </w:tcPr>
          <w:p w14:paraId="048F93F7" w14:textId="77777777" w:rsidR="004462A0" w:rsidRPr="00454F99" w:rsidRDefault="004462A0" w:rsidP="0094797C">
            <w:pPr>
              <w:tabs>
                <w:tab w:val="left" w:pos="562"/>
              </w:tabs>
              <w:suppressAutoHyphens/>
              <w:rPr>
                <w:sz w:val="22"/>
                <w:szCs w:val="20"/>
              </w:rPr>
            </w:pPr>
          </w:p>
          <w:p w14:paraId="132C1FC8" w14:textId="77777777" w:rsidR="004462A0" w:rsidRPr="00854C93" w:rsidRDefault="00615769" w:rsidP="0094797C">
            <w:pPr>
              <w:tabs>
                <w:tab w:val="left" w:pos="562"/>
              </w:tabs>
              <w:suppressAutoHyphens/>
              <w:rPr>
                <w:sz w:val="22"/>
                <w:szCs w:val="20"/>
              </w:rPr>
            </w:pPr>
            <w:r w:rsidRPr="004F0FBC">
              <w:rPr>
                <w:sz w:val="22"/>
                <w:szCs w:val="20"/>
              </w:rPr>
              <w:t>Verifique o praz</w:t>
            </w:r>
            <w:r w:rsidRPr="006462E3">
              <w:rPr>
                <w:sz w:val="22"/>
                <w:szCs w:val="20"/>
              </w:rPr>
              <w:t>o de validade (</w:t>
            </w:r>
            <w:r>
              <w:rPr>
                <w:sz w:val="22"/>
                <w:szCs w:val="20"/>
              </w:rPr>
              <w:t>EXP</w:t>
            </w:r>
            <w:r w:rsidRPr="006462E3">
              <w:rPr>
                <w:sz w:val="22"/>
                <w:szCs w:val="20"/>
              </w:rPr>
              <w:t xml:space="preserve">). </w:t>
            </w:r>
            <w:r w:rsidRPr="006462E3">
              <w:rPr>
                <w:b/>
                <w:sz w:val="22"/>
                <w:szCs w:val="20"/>
              </w:rPr>
              <w:t xml:space="preserve">Não </w:t>
            </w:r>
            <w:r w:rsidRPr="006462E3">
              <w:rPr>
                <w:sz w:val="22"/>
                <w:szCs w:val="20"/>
              </w:rPr>
              <w:t>utilize a caneta pré-cheia</w:t>
            </w:r>
            <w:r w:rsidRPr="009A05BE">
              <w:rPr>
                <w:sz w:val="22"/>
                <w:szCs w:val="20"/>
              </w:rPr>
              <w:t xml:space="preserve"> se já tiver ultrapassado o prazo de validade (</w:t>
            </w:r>
            <w:r>
              <w:rPr>
                <w:sz w:val="22"/>
                <w:szCs w:val="20"/>
              </w:rPr>
              <w:t>EXP</w:t>
            </w:r>
            <w:r w:rsidRPr="009A05BE">
              <w:rPr>
                <w:sz w:val="22"/>
                <w:szCs w:val="20"/>
              </w:rPr>
              <w:t>)</w:t>
            </w:r>
            <w:r w:rsidRPr="00854C93">
              <w:rPr>
                <w:sz w:val="22"/>
                <w:szCs w:val="20"/>
              </w:rPr>
              <w:t>.</w:t>
            </w:r>
          </w:p>
          <w:p w14:paraId="1ECC0636" w14:textId="77777777" w:rsidR="004462A0" w:rsidRPr="0089156B" w:rsidRDefault="004462A0" w:rsidP="0094797C">
            <w:pPr>
              <w:tabs>
                <w:tab w:val="left" w:pos="562"/>
              </w:tabs>
              <w:suppressAutoHyphens/>
              <w:rPr>
                <w:sz w:val="22"/>
                <w:szCs w:val="20"/>
              </w:rPr>
            </w:pPr>
          </w:p>
          <w:p w14:paraId="14171532" w14:textId="77777777" w:rsidR="004462A0" w:rsidRPr="00653128" w:rsidRDefault="00615769" w:rsidP="0094797C">
            <w:pPr>
              <w:tabs>
                <w:tab w:val="left" w:pos="562"/>
              </w:tabs>
              <w:suppressAutoHyphens/>
              <w:rPr>
                <w:sz w:val="22"/>
                <w:szCs w:val="20"/>
              </w:rPr>
            </w:pPr>
            <w:r w:rsidRPr="000B3FE3">
              <w:rPr>
                <w:sz w:val="22"/>
                <w:szCs w:val="20"/>
              </w:rPr>
              <w:t xml:space="preserve">Coloque os seguintes elementos numa superfície plana </w:t>
            </w:r>
            <w:r w:rsidRPr="004931CE">
              <w:rPr>
                <w:sz w:val="22"/>
                <w:szCs w:val="20"/>
              </w:rPr>
              <w:t>limpa</w:t>
            </w:r>
          </w:p>
          <w:p w14:paraId="5494CEE4" w14:textId="77777777" w:rsidR="004462A0" w:rsidRPr="00D33370" w:rsidRDefault="004462A0" w:rsidP="0094797C">
            <w:pPr>
              <w:tabs>
                <w:tab w:val="left" w:pos="562"/>
              </w:tabs>
              <w:suppressAutoHyphens/>
              <w:rPr>
                <w:sz w:val="22"/>
                <w:szCs w:val="20"/>
              </w:rPr>
            </w:pPr>
          </w:p>
          <w:p w14:paraId="6BD1F5B7" w14:textId="77777777" w:rsidR="004462A0" w:rsidRPr="008B0DDF" w:rsidRDefault="00615769" w:rsidP="0094797C">
            <w:pPr>
              <w:numPr>
                <w:ilvl w:val="0"/>
                <w:numId w:val="92"/>
              </w:numPr>
              <w:suppressAutoHyphens/>
              <w:ind w:left="545" w:hanging="545"/>
              <w:rPr>
                <w:sz w:val="22"/>
                <w:szCs w:val="20"/>
              </w:rPr>
            </w:pPr>
            <w:r w:rsidRPr="008B0DDF">
              <w:rPr>
                <w:sz w:val="22"/>
                <w:szCs w:val="20"/>
              </w:rPr>
              <w:t xml:space="preserve">1 caneta pré-cheia e </w:t>
            </w:r>
          </w:p>
          <w:p w14:paraId="70CC551B" w14:textId="77777777" w:rsidR="004462A0" w:rsidRPr="008B0DDF" w:rsidRDefault="00615769" w:rsidP="0094797C">
            <w:pPr>
              <w:numPr>
                <w:ilvl w:val="0"/>
                <w:numId w:val="92"/>
              </w:numPr>
              <w:suppressAutoHyphens/>
              <w:ind w:left="545" w:hanging="545"/>
              <w:rPr>
                <w:sz w:val="22"/>
                <w:szCs w:val="20"/>
              </w:rPr>
            </w:pPr>
            <w:r w:rsidRPr="008B0DDF">
              <w:rPr>
                <w:sz w:val="22"/>
                <w:szCs w:val="20"/>
              </w:rPr>
              <w:t>1 compressa embebida em álcool</w:t>
            </w:r>
          </w:p>
          <w:p w14:paraId="69E9CEBD" w14:textId="77777777" w:rsidR="004462A0" w:rsidRPr="008B0DDF" w:rsidRDefault="004462A0" w:rsidP="0094797C">
            <w:pPr>
              <w:tabs>
                <w:tab w:val="left" w:pos="562"/>
              </w:tabs>
              <w:suppressAutoHyphens/>
              <w:rPr>
                <w:sz w:val="22"/>
                <w:szCs w:val="20"/>
              </w:rPr>
            </w:pPr>
          </w:p>
          <w:p w14:paraId="49AD1216" w14:textId="77777777" w:rsidR="004462A0" w:rsidRPr="00AF229F" w:rsidRDefault="00615769" w:rsidP="0094797C">
            <w:pPr>
              <w:tabs>
                <w:tab w:val="left" w:pos="562"/>
              </w:tabs>
              <w:suppressAutoHyphens/>
              <w:rPr>
                <w:sz w:val="22"/>
                <w:szCs w:val="20"/>
              </w:rPr>
            </w:pPr>
            <w:r w:rsidRPr="00454F99">
              <w:rPr>
                <w:sz w:val="22"/>
                <w:szCs w:val="20"/>
              </w:rPr>
              <w:t>Lave e seque as mãos</w:t>
            </w:r>
            <w:r w:rsidRPr="00AF229F">
              <w:rPr>
                <w:sz w:val="22"/>
                <w:szCs w:val="20"/>
              </w:rPr>
              <w:t>.</w:t>
            </w:r>
          </w:p>
        </w:tc>
      </w:tr>
      <w:tr w:rsidR="00A7162A" w14:paraId="68625CB3" w14:textId="77777777" w:rsidTr="00F675CF">
        <w:tc>
          <w:tcPr>
            <w:tcW w:w="3708" w:type="dxa"/>
            <w:tcBorders>
              <w:right w:val="nil"/>
            </w:tcBorders>
          </w:tcPr>
          <w:p w14:paraId="603A0CA1" w14:textId="77777777" w:rsidR="004462A0" w:rsidRPr="008B0DDF" w:rsidRDefault="00615769" w:rsidP="0094797C">
            <w:pPr>
              <w:tabs>
                <w:tab w:val="left" w:pos="562"/>
              </w:tabs>
              <w:suppressAutoHyphens/>
              <w:rPr>
                <w:b/>
                <w:noProof/>
                <w:sz w:val="22"/>
                <w:szCs w:val="20"/>
              </w:rPr>
            </w:pPr>
            <w:r w:rsidRPr="008B0DDF">
              <w:rPr>
                <w:b/>
                <w:noProof/>
                <w:sz w:val="22"/>
                <w:szCs w:val="20"/>
              </w:rPr>
              <w:t>PASSO 3</w:t>
            </w:r>
          </w:p>
          <w:p w14:paraId="2E037247" w14:textId="77777777" w:rsidR="004462A0" w:rsidRPr="008B0DDF" w:rsidRDefault="004462A0" w:rsidP="0094797C">
            <w:pPr>
              <w:tabs>
                <w:tab w:val="left" w:pos="562"/>
              </w:tabs>
              <w:suppressAutoHyphens/>
              <w:rPr>
                <w:b/>
                <w:noProof/>
                <w:sz w:val="22"/>
                <w:szCs w:val="20"/>
              </w:rPr>
            </w:pPr>
          </w:p>
          <w:p w14:paraId="5543D5F3" w14:textId="77777777" w:rsidR="004462A0" w:rsidRPr="008B0DDF" w:rsidRDefault="00615769" w:rsidP="0094797C">
            <w:pPr>
              <w:tabs>
                <w:tab w:val="left" w:pos="562"/>
              </w:tabs>
              <w:suppressAutoHyphens/>
              <w:rPr>
                <w:b/>
                <w:noProof/>
                <w:sz w:val="22"/>
                <w:szCs w:val="20"/>
              </w:rPr>
            </w:pPr>
            <w:r w:rsidRPr="008B0DDF">
              <w:rPr>
                <w:b/>
                <w:noProof/>
                <w:sz w:val="22"/>
                <w:szCs w:val="20"/>
              </w:rPr>
              <w:t>Locais de Injeção</w:t>
            </w:r>
          </w:p>
          <w:p w14:paraId="2673A20C" w14:textId="77777777" w:rsidR="004462A0" w:rsidRPr="008B0DDF" w:rsidRDefault="00615769" w:rsidP="0094797C">
            <w:pPr>
              <w:tabs>
                <w:tab w:val="left" w:pos="562"/>
              </w:tabs>
              <w:suppressAutoHyphens/>
              <w:rPr>
                <w:noProof/>
                <w:sz w:val="22"/>
                <w:szCs w:val="20"/>
              </w:rPr>
            </w:pPr>
            <w:r>
              <w:rPr>
                <w:noProof/>
                <w:sz w:val="22"/>
                <w:szCs w:val="20"/>
                <w:lang w:val="en-GB" w:eastAsia="en-GB"/>
              </w:rPr>
              <w:drawing>
                <wp:inline distT="0" distB="0" distL="0" distR="0" wp14:anchorId="6575F8ED" wp14:editId="79DB854B">
                  <wp:extent cx="2275840" cy="2385695"/>
                  <wp:effectExtent l="0" t="0" r="0" b="0"/>
                  <wp:docPr id="14" name="Picture 14"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54" descr="STEP3_grey"/>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2275840" cy="2385695"/>
                          </a:xfrm>
                          <a:prstGeom prst="rect">
                            <a:avLst/>
                          </a:prstGeom>
                          <a:noFill/>
                          <a:ln>
                            <a:noFill/>
                          </a:ln>
                        </pic:spPr>
                      </pic:pic>
                    </a:graphicData>
                  </a:graphic>
                </wp:inline>
              </w:drawing>
            </w:r>
          </w:p>
          <w:p w14:paraId="3D1C66E0" w14:textId="77777777" w:rsidR="004462A0" w:rsidRPr="008B0DDF" w:rsidRDefault="00615769" w:rsidP="0094797C">
            <w:pPr>
              <w:tabs>
                <w:tab w:val="left" w:pos="562"/>
              </w:tabs>
              <w:suppressAutoHyphens/>
              <w:rPr>
                <w:b/>
                <w:sz w:val="22"/>
                <w:szCs w:val="20"/>
              </w:rPr>
            </w:pPr>
            <w:r w:rsidRPr="008B0DDF">
              <w:rPr>
                <w:noProof/>
                <w:sz w:val="22"/>
                <w:szCs w:val="20"/>
              </w:rPr>
              <w:t xml:space="preserve">   </w:t>
            </w:r>
            <w:r w:rsidRPr="008B0DDF">
              <w:rPr>
                <w:b/>
                <w:noProof/>
                <w:sz w:val="22"/>
                <w:szCs w:val="20"/>
              </w:rPr>
              <w:t>Locais de Injeção</w:t>
            </w:r>
          </w:p>
        </w:tc>
        <w:tc>
          <w:tcPr>
            <w:tcW w:w="5579" w:type="dxa"/>
            <w:tcBorders>
              <w:left w:val="nil"/>
            </w:tcBorders>
          </w:tcPr>
          <w:p w14:paraId="05A361EA" w14:textId="77777777" w:rsidR="004462A0" w:rsidRPr="00454F99" w:rsidRDefault="004462A0" w:rsidP="0094797C">
            <w:pPr>
              <w:tabs>
                <w:tab w:val="left" w:pos="562"/>
              </w:tabs>
              <w:suppressAutoHyphens/>
              <w:rPr>
                <w:sz w:val="22"/>
                <w:szCs w:val="20"/>
              </w:rPr>
            </w:pPr>
          </w:p>
          <w:p w14:paraId="67F00CDF" w14:textId="77777777" w:rsidR="004462A0" w:rsidRPr="006462E3" w:rsidRDefault="00615769" w:rsidP="0094797C">
            <w:pPr>
              <w:tabs>
                <w:tab w:val="left" w:pos="562"/>
              </w:tabs>
              <w:suppressAutoHyphens/>
              <w:rPr>
                <w:sz w:val="22"/>
                <w:szCs w:val="20"/>
              </w:rPr>
            </w:pPr>
            <w:r w:rsidRPr="004F0FBC">
              <w:rPr>
                <w:sz w:val="22"/>
                <w:szCs w:val="20"/>
              </w:rPr>
              <w:t>Escolha um local de injeção</w:t>
            </w:r>
            <w:r w:rsidRPr="006462E3">
              <w:rPr>
                <w:sz w:val="22"/>
                <w:szCs w:val="20"/>
              </w:rPr>
              <w:t>:</w:t>
            </w:r>
          </w:p>
          <w:p w14:paraId="7F2AB00F" w14:textId="77777777" w:rsidR="004462A0" w:rsidRPr="006462E3" w:rsidRDefault="004462A0" w:rsidP="0094797C">
            <w:pPr>
              <w:tabs>
                <w:tab w:val="left" w:pos="562"/>
              </w:tabs>
              <w:suppressAutoHyphens/>
              <w:rPr>
                <w:sz w:val="22"/>
                <w:szCs w:val="20"/>
              </w:rPr>
            </w:pPr>
          </w:p>
          <w:p w14:paraId="23B1229E" w14:textId="77777777" w:rsidR="004462A0" w:rsidRPr="008B0DDF" w:rsidRDefault="00615769" w:rsidP="0094797C">
            <w:pPr>
              <w:numPr>
                <w:ilvl w:val="0"/>
                <w:numId w:val="93"/>
              </w:numPr>
              <w:suppressAutoHyphens/>
              <w:ind w:left="545" w:hanging="545"/>
              <w:rPr>
                <w:sz w:val="22"/>
                <w:szCs w:val="20"/>
              </w:rPr>
            </w:pPr>
            <w:r w:rsidRPr="008B0DDF">
              <w:rPr>
                <w:sz w:val="22"/>
                <w:szCs w:val="20"/>
              </w:rPr>
              <w:t>No cimo da coxa ou</w:t>
            </w:r>
          </w:p>
          <w:p w14:paraId="5D89C1EA" w14:textId="77777777" w:rsidR="004462A0" w:rsidRPr="009A05BE" w:rsidRDefault="00615769" w:rsidP="0094797C">
            <w:pPr>
              <w:numPr>
                <w:ilvl w:val="0"/>
                <w:numId w:val="93"/>
              </w:numPr>
              <w:suppressAutoHyphens/>
              <w:ind w:left="545" w:hanging="545"/>
              <w:rPr>
                <w:sz w:val="22"/>
                <w:szCs w:val="20"/>
              </w:rPr>
            </w:pPr>
            <w:r w:rsidRPr="00454F99">
              <w:rPr>
                <w:sz w:val="22"/>
                <w:szCs w:val="20"/>
              </w:rPr>
              <w:t>Barriga</w:t>
            </w:r>
            <w:r w:rsidRPr="00AF229F">
              <w:rPr>
                <w:sz w:val="22"/>
                <w:szCs w:val="20"/>
              </w:rPr>
              <w:t xml:space="preserve"> (</w:t>
            </w:r>
            <w:r w:rsidRPr="004F0FBC">
              <w:rPr>
                <w:sz w:val="22"/>
                <w:szCs w:val="20"/>
              </w:rPr>
              <w:t xml:space="preserve">estômago) pelo menos a </w:t>
            </w:r>
            <w:r w:rsidRPr="006462E3">
              <w:rPr>
                <w:sz w:val="22"/>
                <w:szCs w:val="20"/>
              </w:rPr>
              <w:t xml:space="preserve">5 cm </w:t>
            </w:r>
            <w:r w:rsidR="006B7CB4">
              <w:rPr>
                <w:sz w:val="22"/>
                <w:szCs w:val="20"/>
              </w:rPr>
              <w:t xml:space="preserve">do </w:t>
            </w:r>
            <w:r w:rsidRPr="006462E3">
              <w:rPr>
                <w:sz w:val="22"/>
                <w:szCs w:val="20"/>
              </w:rPr>
              <w:t>umbigo</w:t>
            </w:r>
          </w:p>
          <w:p w14:paraId="08E128E5" w14:textId="77777777" w:rsidR="004462A0" w:rsidRPr="004931CE" w:rsidRDefault="00615769" w:rsidP="0094797C">
            <w:pPr>
              <w:numPr>
                <w:ilvl w:val="0"/>
                <w:numId w:val="93"/>
              </w:numPr>
              <w:suppressAutoHyphens/>
              <w:ind w:left="545" w:hanging="545"/>
              <w:rPr>
                <w:sz w:val="22"/>
                <w:szCs w:val="20"/>
              </w:rPr>
            </w:pPr>
            <w:r w:rsidRPr="00854C93">
              <w:rPr>
                <w:sz w:val="22"/>
                <w:szCs w:val="20"/>
              </w:rPr>
              <w:t xml:space="preserve">Pelo menos a </w:t>
            </w:r>
            <w:r w:rsidRPr="0089156B">
              <w:rPr>
                <w:sz w:val="22"/>
                <w:szCs w:val="20"/>
              </w:rPr>
              <w:t xml:space="preserve">3 cm </w:t>
            </w:r>
            <w:r w:rsidRPr="000B3FE3">
              <w:rPr>
                <w:sz w:val="22"/>
                <w:szCs w:val="20"/>
              </w:rPr>
              <w:t>de distância do local da última injeção</w:t>
            </w:r>
          </w:p>
          <w:p w14:paraId="40EA8879" w14:textId="77777777" w:rsidR="004462A0" w:rsidRPr="00653128" w:rsidRDefault="004462A0" w:rsidP="0094797C">
            <w:pPr>
              <w:tabs>
                <w:tab w:val="left" w:pos="562"/>
              </w:tabs>
              <w:suppressAutoHyphens/>
              <w:rPr>
                <w:sz w:val="22"/>
                <w:szCs w:val="20"/>
              </w:rPr>
            </w:pPr>
          </w:p>
          <w:p w14:paraId="0082550A" w14:textId="77777777" w:rsidR="004462A0" w:rsidRPr="008B0DDF" w:rsidRDefault="00615769" w:rsidP="0094797C">
            <w:pPr>
              <w:tabs>
                <w:tab w:val="left" w:pos="562"/>
              </w:tabs>
              <w:suppressAutoHyphens/>
              <w:rPr>
                <w:sz w:val="22"/>
                <w:szCs w:val="20"/>
              </w:rPr>
            </w:pPr>
            <w:r w:rsidRPr="00D33370">
              <w:rPr>
                <w:sz w:val="22"/>
                <w:szCs w:val="20"/>
              </w:rPr>
              <w:t xml:space="preserve">Limpe o local da </w:t>
            </w:r>
            <w:r w:rsidRPr="002D4DE5">
              <w:rPr>
                <w:sz w:val="22"/>
                <w:szCs w:val="20"/>
              </w:rPr>
              <w:t>inje</w:t>
            </w:r>
            <w:r w:rsidRPr="005F6F98">
              <w:rPr>
                <w:sz w:val="22"/>
                <w:szCs w:val="20"/>
              </w:rPr>
              <w:t>ção usando a compressa embebida em álcool</w:t>
            </w:r>
            <w:r w:rsidRPr="002B2441">
              <w:rPr>
                <w:sz w:val="22"/>
                <w:szCs w:val="20"/>
              </w:rPr>
              <w:t xml:space="preserve"> com movimentos circulares</w:t>
            </w:r>
            <w:r w:rsidRPr="00B830EC">
              <w:rPr>
                <w:sz w:val="22"/>
                <w:szCs w:val="20"/>
              </w:rPr>
              <w:t>.</w:t>
            </w:r>
          </w:p>
          <w:p w14:paraId="23051443" w14:textId="77777777" w:rsidR="004462A0" w:rsidRPr="008B0DDF" w:rsidRDefault="004462A0" w:rsidP="0094797C">
            <w:pPr>
              <w:tabs>
                <w:tab w:val="left" w:pos="562"/>
              </w:tabs>
              <w:suppressAutoHyphens/>
              <w:rPr>
                <w:sz w:val="22"/>
                <w:szCs w:val="20"/>
              </w:rPr>
            </w:pPr>
          </w:p>
          <w:p w14:paraId="14E70797" w14:textId="77777777" w:rsidR="004462A0" w:rsidRPr="008B0DDF" w:rsidRDefault="00615769" w:rsidP="0094797C">
            <w:pPr>
              <w:numPr>
                <w:ilvl w:val="0"/>
                <w:numId w:val="94"/>
              </w:numPr>
              <w:suppressAutoHyphens/>
              <w:ind w:left="545" w:hanging="567"/>
              <w:rPr>
                <w:sz w:val="22"/>
                <w:szCs w:val="20"/>
              </w:rPr>
            </w:pPr>
            <w:r w:rsidRPr="008B0DDF">
              <w:rPr>
                <w:b/>
                <w:sz w:val="22"/>
                <w:szCs w:val="20"/>
              </w:rPr>
              <w:t>Não</w:t>
            </w:r>
            <w:r w:rsidRPr="008B0DDF">
              <w:rPr>
                <w:sz w:val="22"/>
                <w:szCs w:val="20"/>
              </w:rPr>
              <w:t xml:space="preserve"> injete através da roupa</w:t>
            </w:r>
          </w:p>
          <w:p w14:paraId="7E1AE223" w14:textId="77777777" w:rsidR="004462A0" w:rsidRPr="00D33370" w:rsidRDefault="00615769" w:rsidP="0094797C">
            <w:pPr>
              <w:numPr>
                <w:ilvl w:val="0"/>
                <w:numId w:val="94"/>
              </w:numPr>
              <w:suppressAutoHyphens/>
              <w:ind w:left="545" w:hanging="567"/>
              <w:rPr>
                <w:sz w:val="22"/>
                <w:szCs w:val="20"/>
              </w:rPr>
            </w:pPr>
            <w:r w:rsidRPr="008B0DDF">
              <w:rPr>
                <w:b/>
                <w:sz w:val="22"/>
                <w:szCs w:val="20"/>
              </w:rPr>
              <w:t xml:space="preserve">Não </w:t>
            </w:r>
            <w:r w:rsidRPr="008B0DDF">
              <w:rPr>
                <w:sz w:val="22"/>
                <w:szCs w:val="20"/>
              </w:rPr>
              <w:t>injete numa área em que a pele esteja dorida,</w:t>
            </w:r>
            <w:r>
              <w:rPr>
                <w:sz w:val="22"/>
                <w:szCs w:val="20"/>
              </w:rPr>
              <w:t xml:space="preserve"> </w:t>
            </w:r>
            <w:r w:rsidRPr="00854C93">
              <w:rPr>
                <w:sz w:val="22"/>
                <w:szCs w:val="20"/>
              </w:rPr>
              <w:t>ferida,</w:t>
            </w:r>
            <w:r w:rsidRPr="000B3FE3">
              <w:rPr>
                <w:sz w:val="22"/>
                <w:szCs w:val="20"/>
              </w:rPr>
              <w:t xml:space="preserve"> avermelhada, </w:t>
            </w:r>
            <w:r w:rsidRPr="004931CE">
              <w:rPr>
                <w:sz w:val="22"/>
                <w:szCs w:val="20"/>
              </w:rPr>
              <w:t>endurecida</w:t>
            </w:r>
            <w:r w:rsidRPr="00653128">
              <w:rPr>
                <w:sz w:val="22"/>
                <w:szCs w:val="20"/>
              </w:rPr>
              <w:t>, tenha estrias ou áreas com placas de psoríase</w:t>
            </w:r>
          </w:p>
        </w:tc>
      </w:tr>
      <w:tr w:rsidR="00A7162A" w14:paraId="0F455D83" w14:textId="77777777" w:rsidTr="00F675CF">
        <w:tc>
          <w:tcPr>
            <w:tcW w:w="3708" w:type="dxa"/>
            <w:tcBorders>
              <w:right w:val="nil"/>
            </w:tcBorders>
          </w:tcPr>
          <w:p w14:paraId="208B2A8D" w14:textId="77777777" w:rsidR="004462A0" w:rsidRPr="008B0DDF" w:rsidRDefault="00615769" w:rsidP="00040D46">
            <w:pPr>
              <w:keepNext/>
              <w:tabs>
                <w:tab w:val="left" w:pos="562"/>
              </w:tabs>
              <w:suppressAutoHyphens/>
              <w:rPr>
                <w:b/>
                <w:noProof/>
                <w:sz w:val="22"/>
                <w:szCs w:val="20"/>
              </w:rPr>
            </w:pPr>
            <w:r w:rsidRPr="008B0DDF">
              <w:rPr>
                <w:b/>
                <w:noProof/>
                <w:sz w:val="22"/>
                <w:szCs w:val="20"/>
              </w:rPr>
              <w:t>PASSO 4</w:t>
            </w:r>
          </w:p>
          <w:p w14:paraId="15EC2FCD" w14:textId="77777777" w:rsidR="004462A0" w:rsidRPr="008B0DDF" w:rsidRDefault="004462A0" w:rsidP="00040D46">
            <w:pPr>
              <w:keepNext/>
              <w:tabs>
                <w:tab w:val="left" w:pos="562"/>
              </w:tabs>
              <w:suppressAutoHyphens/>
              <w:rPr>
                <w:b/>
                <w:noProof/>
                <w:sz w:val="22"/>
                <w:szCs w:val="20"/>
              </w:rPr>
            </w:pPr>
          </w:p>
          <w:p w14:paraId="20F29761" w14:textId="77777777" w:rsidR="004462A0" w:rsidRPr="008B0DDF" w:rsidRDefault="00615769" w:rsidP="00040D46">
            <w:pPr>
              <w:keepNext/>
              <w:tabs>
                <w:tab w:val="left" w:pos="562"/>
              </w:tabs>
              <w:suppressAutoHyphens/>
              <w:rPr>
                <w:sz w:val="22"/>
                <w:szCs w:val="20"/>
              </w:rPr>
            </w:pPr>
            <w:r>
              <w:rPr>
                <w:noProof/>
                <w:sz w:val="22"/>
                <w:szCs w:val="20"/>
                <w:lang w:val="en-GB" w:eastAsia="en-GB"/>
              </w:rPr>
              <w:drawing>
                <wp:inline distT="0" distB="0" distL="0" distR="0" wp14:anchorId="75958F58" wp14:editId="05A921FA">
                  <wp:extent cx="2216150" cy="2047240"/>
                  <wp:effectExtent l="0" t="0" r="0" b="0"/>
                  <wp:docPr id="13" name="Picture 13" descr="STEP4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5" descr="STEP4_grey"/>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2216150" cy="2047240"/>
                          </a:xfrm>
                          <a:prstGeom prst="rect">
                            <a:avLst/>
                          </a:prstGeom>
                          <a:noFill/>
                          <a:ln>
                            <a:noFill/>
                          </a:ln>
                        </pic:spPr>
                      </pic:pic>
                    </a:graphicData>
                  </a:graphic>
                </wp:inline>
              </w:drawing>
            </w:r>
          </w:p>
        </w:tc>
        <w:tc>
          <w:tcPr>
            <w:tcW w:w="5579" w:type="dxa"/>
            <w:tcBorders>
              <w:left w:val="nil"/>
            </w:tcBorders>
          </w:tcPr>
          <w:p w14:paraId="15A617CB" w14:textId="77777777" w:rsidR="004462A0" w:rsidRPr="008B0DDF" w:rsidRDefault="004462A0" w:rsidP="00040D46">
            <w:pPr>
              <w:keepNext/>
              <w:tabs>
                <w:tab w:val="left" w:pos="562"/>
              </w:tabs>
              <w:suppressAutoHyphens/>
              <w:rPr>
                <w:sz w:val="22"/>
                <w:szCs w:val="20"/>
              </w:rPr>
            </w:pPr>
          </w:p>
          <w:p w14:paraId="1FEB7906" w14:textId="77777777" w:rsidR="004462A0" w:rsidRPr="009A05BE" w:rsidRDefault="00615769" w:rsidP="00040D46">
            <w:pPr>
              <w:keepNext/>
              <w:tabs>
                <w:tab w:val="left" w:pos="562"/>
              </w:tabs>
              <w:suppressAutoHyphens/>
              <w:rPr>
                <w:sz w:val="22"/>
                <w:szCs w:val="20"/>
              </w:rPr>
            </w:pPr>
            <w:r w:rsidRPr="00454F99">
              <w:rPr>
                <w:sz w:val="22"/>
                <w:szCs w:val="20"/>
              </w:rPr>
              <w:t xml:space="preserve">Segure na caneta pré-cheia com a tampa </w:t>
            </w:r>
            <w:r w:rsidRPr="00AF229F">
              <w:rPr>
                <w:sz w:val="22"/>
                <w:szCs w:val="20"/>
              </w:rPr>
              <w:t xml:space="preserve">1 </w:t>
            </w:r>
            <w:r w:rsidRPr="004F0FBC">
              <w:rPr>
                <w:sz w:val="22"/>
                <w:szCs w:val="20"/>
              </w:rPr>
              <w:t>cinzenta</w:t>
            </w:r>
            <w:r w:rsidRPr="006462E3">
              <w:rPr>
                <w:sz w:val="22"/>
                <w:szCs w:val="20"/>
              </w:rPr>
              <w:t xml:space="preserve"> voltada </w:t>
            </w:r>
            <w:r w:rsidRPr="009A05BE">
              <w:rPr>
                <w:sz w:val="22"/>
                <w:szCs w:val="20"/>
              </w:rPr>
              <w:t xml:space="preserve">para cima. </w:t>
            </w:r>
          </w:p>
          <w:p w14:paraId="278EB073" w14:textId="77777777" w:rsidR="004462A0" w:rsidRPr="00854C93" w:rsidRDefault="004462A0" w:rsidP="00040D46">
            <w:pPr>
              <w:keepNext/>
              <w:tabs>
                <w:tab w:val="left" w:pos="562"/>
              </w:tabs>
              <w:suppressAutoHyphens/>
              <w:rPr>
                <w:sz w:val="22"/>
                <w:szCs w:val="20"/>
              </w:rPr>
            </w:pPr>
          </w:p>
          <w:p w14:paraId="2813FA61" w14:textId="77777777" w:rsidR="004462A0" w:rsidRPr="000B3FE3" w:rsidRDefault="00615769" w:rsidP="00040D46">
            <w:pPr>
              <w:keepNext/>
              <w:tabs>
                <w:tab w:val="left" w:pos="562"/>
              </w:tabs>
              <w:suppressAutoHyphens/>
              <w:rPr>
                <w:sz w:val="22"/>
                <w:szCs w:val="20"/>
              </w:rPr>
            </w:pPr>
            <w:r w:rsidRPr="0089156B">
              <w:rPr>
                <w:sz w:val="22"/>
                <w:szCs w:val="20"/>
              </w:rPr>
              <w:t>Verifique através da janela</w:t>
            </w:r>
            <w:r w:rsidRPr="000B3FE3">
              <w:rPr>
                <w:sz w:val="22"/>
                <w:szCs w:val="20"/>
              </w:rPr>
              <w:t>.</w:t>
            </w:r>
          </w:p>
          <w:p w14:paraId="21792379" w14:textId="77777777" w:rsidR="004462A0" w:rsidRPr="004931CE" w:rsidRDefault="004462A0" w:rsidP="00040D46">
            <w:pPr>
              <w:keepNext/>
              <w:tabs>
                <w:tab w:val="left" w:pos="562"/>
              </w:tabs>
              <w:suppressAutoHyphens/>
              <w:rPr>
                <w:sz w:val="22"/>
                <w:szCs w:val="20"/>
              </w:rPr>
            </w:pPr>
          </w:p>
          <w:p w14:paraId="3F529054" w14:textId="77777777" w:rsidR="004462A0" w:rsidRPr="005F6F98" w:rsidRDefault="00615769" w:rsidP="00040D46">
            <w:pPr>
              <w:keepNext/>
              <w:numPr>
                <w:ilvl w:val="0"/>
                <w:numId w:val="95"/>
              </w:numPr>
              <w:suppressAutoHyphens/>
              <w:ind w:left="545" w:hanging="545"/>
              <w:rPr>
                <w:sz w:val="22"/>
                <w:szCs w:val="20"/>
              </w:rPr>
            </w:pPr>
            <w:r w:rsidRPr="00653128">
              <w:rPr>
                <w:sz w:val="22"/>
                <w:szCs w:val="20"/>
              </w:rPr>
              <w:t>É normal observar-se</w:t>
            </w:r>
            <w:r w:rsidRPr="00D33370">
              <w:rPr>
                <w:sz w:val="22"/>
                <w:szCs w:val="20"/>
              </w:rPr>
              <w:t xml:space="preserve"> </w:t>
            </w:r>
            <w:r w:rsidRPr="002D4DE5">
              <w:rPr>
                <w:sz w:val="22"/>
                <w:szCs w:val="20"/>
              </w:rPr>
              <w:t>1 o</w:t>
            </w:r>
            <w:r w:rsidRPr="00003560">
              <w:rPr>
                <w:sz w:val="22"/>
                <w:szCs w:val="20"/>
              </w:rPr>
              <w:t>u mais bolhas</w:t>
            </w:r>
            <w:r w:rsidRPr="005F6F98">
              <w:rPr>
                <w:sz w:val="22"/>
                <w:szCs w:val="20"/>
              </w:rPr>
              <w:t xml:space="preserve"> na janela</w:t>
            </w:r>
          </w:p>
          <w:p w14:paraId="5D77C945" w14:textId="77777777" w:rsidR="004462A0" w:rsidRPr="008B0DDF" w:rsidRDefault="00615769" w:rsidP="00040D46">
            <w:pPr>
              <w:keepNext/>
              <w:numPr>
                <w:ilvl w:val="0"/>
                <w:numId w:val="95"/>
              </w:numPr>
              <w:suppressAutoHyphens/>
              <w:ind w:left="545" w:hanging="545"/>
              <w:rPr>
                <w:sz w:val="22"/>
                <w:szCs w:val="20"/>
              </w:rPr>
            </w:pPr>
            <w:r w:rsidRPr="002B2441">
              <w:rPr>
                <w:sz w:val="22"/>
                <w:szCs w:val="20"/>
              </w:rPr>
              <w:t>Assegure</w:t>
            </w:r>
            <w:r w:rsidRPr="00B830EC">
              <w:rPr>
                <w:sz w:val="22"/>
                <w:szCs w:val="20"/>
              </w:rPr>
              <w:t>-se que a solução está límpida e incolor</w:t>
            </w:r>
          </w:p>
          <w:p w14:paraId="57714557" w14:textId="77777777" w:rsidR="004462A0" w:rsidRPr="008B0DDF" w:rsidRDefault="00615769" w:rsidP="00040D46">
            <w:pPr>
              <w:keepNext/>
              <w:numPr>
                <w:ilvl w:val="0"/>
                <w:numId w:val="95"/>
              </w:numPr>
              <w:suppressAutoHyphens/>
              <w:ind w:left="545" w:hanging="545"/>
              <w:rPr>
                <w:sz w:val="22"/>
                <w:szCs w:val="20"/>
              </w:rPr>
            </w:pPr>
            <w:r w:rsidRPr="008B0DDF">
              <w:rPr>
                <w:b/>
                <w:sz w:val="22"/>
                <w:szCs w:val="20"/>
              </w:rPr>
              <w:t>Não</w:t>
            </w:r>
            <w:r w:rsidRPr="008B0DDF">
              <w:rPr>
                <w:sz w:val="22"/>
                <w:szCs w:val="20"/>
              </w:rPr>
              <w:t xml:space="preserve"> use a caneta pré-cheia se a solução estiver turva ou tiver partículas</w:t>
            </w:r>
          </w:p>
          <w:p w14:paraId="2F7DFC50" w14:textId="77777777" w:rsidR="004462A0" w:rsidRPr="008B0DDF" w:rsidRDefault="00615769" w:rsidP="00040D46">
            <w:pPr>
              <w:keepNext/>
              <w:numPr>
                <w:ilvl w:val="0"/>
                <w:numId w:val="95"/>
              </w:numPr>
              <w:suppressAutoHyphens/>
              <w:ind w:left="545" w:hanging="545"/>
              <w:rPr>
                <w:sz w:val="22"/>
                <w:szCs w:val="20"/>
              </w:rPr>
            </w:pPr>
            <w:r w:rsidRPr="008B0DDF">
              <w:rPr>
                <w:b/>
                <w:sz w:val="22"/>
                <w:szCs w:val="20"/>
              </w:rPr>
              <w:t xml:space="preserve">Não </w:t>
            </w:r>
            <w:r w:rsidRPr="008B0DDF">
              <w:rPr>
                <w:sz w:val="22"/>
                <w:szCs w:val="20"/>
              </w:rPr>
              <w:t xml:space="preserve">use a caneta pré-cheia se </w:t>
            </w:r>
            <w:r w:rsidR="002E4828">
              <w:rPr>
                <w:sz w:val="22"/>
                <w:szCs w:val="20"/>
              </w:rPr>
              <w:t>tiver caído</w:t>
            </w:r>
            <w:r w:rsidR="002E4828" w:rsidRPr="008B0DDF">
              <w:rPr>
                <w:sz w:val="22"/>
                <w:szCs w:val="20"/>
              </w:rPr>
              <w:t xml:space="preserve"> </w:t>
            </w:r>
            <w:r w:rsidRPr="008B0DDF">
              <w:rPr>
                <w:sz w:val="22"/>
                <w:szCs w:val="20"/>
              </w:rPr>
              <w:t>ou estiver danificada</w:t>
            </w:r>
          </w:p>
        </w:tc>
      </w:tr>
      <w:tr w:rsidR="00A7162A" w14:paraId="0A42AD41" w14:textId="77777777" w:rsidTr="00F675CF">
        <w:tc>
          <w:tcPr>
            <w:tcW w:w="3708" w:type="dxa"/>
            <w:tcBorders>
              <w:right w:val="nil"/>
            </w:tcBorders>
          </w:tcPr>
          <w:p w14:paraId="732112E6" w14:textId="77777777" w:rsidR="004462A0" w:rsidRPr="008B0DDF" w:rsidRDefault="00615769" w:rsidP="0094797C">
            <w:pPr>
              <w:keepNext/>
              <w:tabs>
                <w:tab w:val="left" w:pos="562"/>
              </w:tabs>
              <w:suppressAutoHyphens/>
              <w:rPr>
                <w:noProof/>
                <w:sz w:val="22"/>
                <w:szCs w:val="20"/>
              </w:rPr>
            </w:pPr>
            <w:r w:rsidRPr="008B0DDF">
              <w:rPr>
                <w:b/>
                <w:noProof/>
                <w:sz w:val="22"/>
                <w:szCs w:val="20"/>
              </w:rPr>
              <w:t>PASSO 5</w:t>
            </w:r>
            <w:r w:rsidRPr="008B0DDF">
              <w:rPr>
                <w:noProof/>
                <w:sz w:val="22"/>
                <w:szCs w:val="20"/>
              </w:rPr>
              <w:t xml:space="preserve"> </w:t>
            </w:r>
          </w:p>
          <w:p w14:paraId="56DEF71E" w14:textId="77777777" w:rsidR="004462A0" w:rsidRPr="008B0DDF" w:rsidRDefault="004462A0" w:rsidP="0094797C">
            <w:pPr>
              <w:keepNext/>
              <w:tabs>
                <w:tab w:val="left" w:pos="562"/>
              </w:tabs>
              <w:suppressAutoHyphens/>
              <w:rPr>
                <w:noProof/>
                <w:sz w:val="22"/>
                <w:szCs w:val="20"/>
              </w:rPr>
            </w:pPr>
          </w:p>
          <w:p w14:paraId="42BB1396" w14:textId="77777777" w:rsidR="004462A0" w:rsidRPr="008B0DDF" w:rsidRDefault="00615769" w:rsidP="0094797C">
            <w:pPr>
              <w:keepNext/>
              <w:tabs>
                <w:tab w:val="left" w:pos="562"/>
              </w:tabs>
              <w:suppressAutoHyphens/>
              <w:spacing w:after="100" w:afterAutospacing="1"/>
              <w:rPr>
                <w:b/>
                <w:noProof/>
                <w:sz w:val="22"/>
                <w:szCs w:val="20"/>
              </w:rPr>
            </w:pPr>
            <w:r w:rsidRPr="008B0DDF">
              <w:rPr>
                <w:noProof/>
                <w:sz w:val="22"/>
                <w:szCs w:val="20"/>
              </w:rPr>
              <w:t xml:space="preserve"> </w:t>
            </w:r>
            <w:r w:rsidRPr="008B0DDF">
              <w:rPr>
                <w:b/>
                <w:noProof/>
                <w:sz w:val="22"/>
                <w:szCs w:val="20"/>
              </w:rPr>
              <w:t>Tampa 1</w:t>
            </w:r>
          </w:p>
          <w:p w14:paraId="1DEB4B98" w14:textId="77777777" w:rsidR="004462A0" w:rsidRPr="008B0DDF" w:rsidRDefault="00615769" w:rsidP="0094797C">
            <w:pPr>
              <w:keepNext/>
              <w:tabs>
                <w:tab w:val="left" w:pos="562"/>
              </w:tabs>
              <w:suppressAutoHyphens/>
              <w:rPr>
                <w:noProof/>
                <w:sz w:val="22"/>
                <w:szCs w:val="20"/>
              </w:rPr>
            </w:pPr>
            <w:r>
              <w:rPr>
                <w:noProof/>
                <w:sz w:val="22"/>
                <w:szCs w:val="20"/>
                <w:lang w:val="en-GB" w:eastAsia="en-GB"/>
              </w:rPr>
              <w:drawing>
                <wp:inline distT="0" distB="0" distL="0" distR="0" wp14:anchorId="448922CD" wp14:editId="5C08E80A">
                  <wp:extent cx="2027555" cy="1838960"/>
                  <wp:effectExtent l="0" t="0" r="0" b="8890"/>
                  <wp:docPr id="12" name="Picture 12" descr="EU_IFU_STEP5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6" descr="EU_IFU_STEP5_grey"/>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2027555" cy="1838960"/>
                          </a:xfrm>
                          <a:prstGeom prst="rect">
                            <a:avLst/>
                          </a:prstGeom>
                          <a:noFill/>
                          <a:ln>
                            <a:noFill/>
                          </a:ln>
                        </pic:spPr>
                      </pic:pic>
                    </a:graphicData>
                  </a:graphic>
                </wp:inline>
              </w:drawing>
            </w:r>
          </w:p>
          <w:p w14:paraId="66BFC17C" w14:textId="77777777" w:rsidR="004462A0" w:rsidRPr="008B0DDF" w:rsidRDefault="00615769" w:rsidP="0094797C">
            <w:pPr>
              <w:keepNext/>
              <w:tabs>
                <w:tab w:val="left" w:pos="562"/>
              </w:tabs>
              <w:suppressAutoHyphens/>
              <w:rPr>
                <w:b/>
                <w:sz w:val="22"/>
                <w:szCs w:val="20"/>
              </w:rPr>
            </w:pPr>
            <w:r w:rsidRPr="008B0DDF">
              <w:rPr>
                <w:b/>
                <w:noProof/>
                <w:sz w:val="22"/>
                <w:szCs w:val="20"/>
              </w:rPr>
              <w:t xml:space="preserve">                                            Tampa 2</w:t>
            </w:r>
          </w:p>
        </w:tc>
        <w:tc>
          <w:tcPr>
            <w:tcW w:w="5579" w:type="dxa"/>
            <w:tcBorders>
              <w:left w:val="nil"/>
            </w:tcBorders>
          </w:tcPr>
          <w:p w14:paraId="656EA5E2" w14:textId="77777777" w:rsidR="004462A0" w:rsidRPr="008B0DDF" w:rsidRDefault="004462A0" w:rsidP="0094797C">
            <w:pPr>
              <w:keepNext/>
              <w:tabs>
                <w:tab w:val="left" w:pos="562"/>
              </w:tabs>
              <w:suppressAutoHyphens/>
              <w:rPr>
                <w:sz w:val="22"/>
                <w:szCs w:val="20"/>
              </w:rPr>
            </w:pPr>
          </w:p>
          <w:p w14:paraId="60DEC842" w14:textId="77777777" w:rsidR="004462A0" w:rsidRPr="009A05BE" w:rsidRDefault="00615769" w:rsidP="0094797C">
            <w:pPr>
              <w:keepNext/>
              <w:tabs>
                <w:tab w:val="left" w:pos="562"/>
              </w:tabs>
              <w:suppressAutoHyphens/>
              <w:rPr>
                <w:sz w:val="22"/>
                <w:szCs w:val="20"/>
              </w:rPr>
            </w:pPr>
            <w:r w:rsidRPr="00454F99">
              <w:rPr>
                <w:sz w:val="22"/>
                <w:szCs w:val="20"/>
              </w:rPr>
              <w:t>Retire a tampa cinzenta na vertical.</w:t>
            </w:r>
            <w:r w:rsidRPr="00AF229F">
              <w:rPr>
                <w:sz w:val="22"/>
                <w:szCs w:val="20"/>
              </w:rPr>
              <w:t xml:space="preserve"> </w:t>
            </w:r>
            <w:r w:rsidRPr="004F0FBC">
              <w:rPr>
                <w:sz w:val="22"/>
                <w:szCs w:val="20"/>
              </w:rPr>
              <w:t>Deite fora a tampa.</w:t>
            </w:r>
            <w:r w:rsidRPr="006462E3">
              <w:rPr>
                <w:sz w:val="22"/>
                <w:szCs w:val="20"/>
              </w:rPr>
              <w:t xml:space="preserve"> Não volte a coloca</w:t>
            </w:r>
            <w:r w:rsidRPr="009A05BE">
              <w:rPr>
                <w:sz w:val="22"/>
                <w:szCs w:val="20"/>
              </w:rPr>
              <w:t>r a tampa.</w:t>
            </w:r>
          </w:p>
          <w:p w14:paraId="5DB5812A" w14:textId="77777777" w:rsidR="004462A0" w:rsidRPr="00854C93" w:rsidRDefault="004462A0" w:rsidP="0094797C">
            <w:pPr>
              <w:keepNext/>
              <w:tabs>
                <w:tab w:val="left" w:pos="562"/>
              </w:tabs>
              <w:suppressAutoHyphens/>
              <w:rPr>
                <w:sz w:val="22"/>
                <w:szCs w:val="20"/>
              </w:rPr>
            </w:pPr>
          </w:p>
          <w:p w14:paraId="17290566" w14:textId="77777777" w:rsidR="004462A0" w:rsidRPr="00653128" w:rsidRDefault="00615769" w:rsidP="0094797C">
            <w:pPr>
              <w:keepNext/>
              <w:numPr>
                <w:ilvl w:val="0"/>
                <w:numId w:val="96"/>
              </w:numPr>
              <w:suppressAutoHyphens/>
              <w:ind w:left="545" w:hanging="545"/>
              <w:rPr>
                <w:sz w:val="22"/>
                <w:szCs w:val="20"/>
              </w:rPr>
            </w:pPr>
            <w:r w:rsidRPr="0089156B">
              <w:rPr>
                <w:sz w:val="22"/>
                <w:szCs w:val="20"/>
              </w:rPr>
              <w:t xml:space="preserve">Verifique se a pequena proteção </w:t>
            </w:r>
            <w:r w:rsidRPr="000B3FE3">
              <w:rPr>
                <w:sz w:val="22"/>
                <w:szCs w:val="20"/>
              </w:rPr>
              <w:t>preta da agulha foi removida com a</w:t>
            </w:r>
            <w:r w:rsidRPr="004931CE">
              <w:rPr>
                <w:sz w:val="22"/>
                <w:szCs w:val="20"/>
              </w:rPr>
              <w:t xml:space="preserve"> tampa da seringa</w:t>
            </w:r>
          </w:p>
          <w:p w14:paraId="1BC0C511" w14:textId="77777777" w:rsidR="004462A0" w:rsidRPr="002B2441" w:rsidRDefault="00615769" w:rsidP="0094797C">
            <w:pPr>
              <w:keepNext/>
              <w:numPr>
                <w:ilvl w:val="0"/>
                <w:numId w:val="96"/>
              </w:numPr>
              <w:suppressAutoHyphens/>
              <w:ind w:left="545" w:hanging="545"/>
              <w:rPr>
                <w:sz w:val="22"/>
                <w:szCs w:val="20"/>
              </w:rPr>
            </w:pPr>
            <w:r w:rsidRPr="00D33370">
              <w:rPr>
                <w:sz w:val="22"/>
                <w:szCs w:val="20"/>
              </w:rPr>
              <w:t>É normal observar</w:t>
            </w:r>
            <w:r w:rsidRPr="002D4DE5">
              <w:rPr>
                <w:sz w:val="22"/>
                <w:szCs w:val="20"/>
              </w:rPr>
              <w:t>-se</w:t>
            </w:r>
            <w:r w:rsidRPr="00003560">
              <w:rPr>
                <w:sz w:val="22"/>
                <w:szCs w:val="20"/>
              </w:rPr>
              <w:t xml:space="preserve"> algumas gotas de </w:t>
            </w:r>
            <w:r w:rsidRPr="005F6F98">
              <w:rPr>
                <w:sz w:val="22"/>
                <w:szCs w:val="20"/>
              </w:rPr>
              <w:t>solução na agulha</w:t>
            </w:r>
          </w:p>
          <w:p w14:paraId="4D54DAB1" w14:textId="77777777" w:rsidR="004462A0" w:rsidRPr="002B2441" w:rsidRDefault="004462A0" w:rsidP="0094797C">
            <w:pPr>
              <w:keepNext/>
              <w:tabs>
                <w:tab w:val="left" w:pos="562"/>
              </w:tabs>
              <w:suppressAutoHyphens/>
              <w:rPr>
                <w:sz w:val="22"/>
                <w:szCs w:val="20"/>
              </w:rPr>
            </w:pPr>
          </w:p>
          <w:p w14:paraId="4B569703" w14:textId="77777777" w:rsidR="004462A0" w:rsidRPr="0089156B" w:rsidRDefault="00615769" w:rsidP="0094797C">
            <w:pPr>
              <w:keepNext/>
              <w:tabs>
                <w:tab w:val="left" w:pos="562"/>
              </w:tabs>
              <w:suppressAutoHyphens/>
              <w:rPr>
                <w:sz w:val="22"/>
                <w:szCs w:val="20"/>
              </w:rPr>
            </w:pPr>
            <w:r w:rsidRPr="00B830EC">
              <w:rPr>
                <w:sz w:val="22"/>
                <w:szCs w:val="20"/>
              </w:rPr>
              <w:t>Retire a tampa de cor roxa na vertical.</w:t>
            </w:r>
            <w:r w:rsidRPr="008B0DDF">
              <w:rPr>
                <w:sz w:val="22"/>
                <w:szCs w:val="20"/>
              </w:rPr>
              <w:t xml:space="preserve"> Dei</w:t>
            </w:r>
            <w:r>
              <w:rPr>
                <w:sz w:val="22"/>
                <w:szCs w:val="20"/>
              </w:rPr>
              <w:t>t</w:t>
            </w:r>
            <w:r w:rsidRPr="009A05BE">
              <w:rPr>
                <w:sz w:val="22"/>
                <w:szCs w:val="20"/>
              </w:rPr>
              <w:t>e fora a tampa. Não volt</w:t>
            </w:r>
            <w:r w:rsidRPr="00854C93">
              <w:rPr>
                <w:sz w:val="22"/>
                <w:szCs w:val="20"/>
              </w:rPr>
              <w:t>e a colocar a tampa.</w:t>
            </w:r>
          </w:p>
          <w:p w14:paraId="53EC1858" w14:textId="77777777" w:rsidR="004462A0" w:rsidRPr="000B3FE3" w:rsidRDefault="004462A0" w:rsidP="0094797C">
            <w:pPr>
              <w:keepNext/>
              <w:tabs>
                <w:tab w:val="left" w:pos="562"/>
              </w:tabs>
              <w:suppressAutoHyphens/>
              <w:rPr>
                <w:sz w:val="22"/>
                <w:szCs w:val="20"/>
              </w:rPr>
            </w:pPr>
          </w:p>
          <w:p w14:paraId="236EC209" w14:textId="77777777" w:rsidR="004462A0" w:rsidRPr="00653128" w:rsidRDefault="00615769" w:rsidP="0094797C">
            <w:pPr>
              <w:keepNext/>
              <w:tabs>
                <w:tab w:val="left" w:pos="562"/>
              </w:tabs>
              <w:suppressAutoHyphens/>
              <w:rPr>
                <w:sz w:val="22"/>
                <w:szCs w:val="20"/>
              </w:rPr>
            </w:pPr>
            <w:r w:rsidRPr="004931CE">
              <w:rPr>
                <w:sz w:val="22"/>
                <w:szCs w:val="20"/>
              </w:rPr>
              <w:t>A caneta pré-cheia está agora pronta a usar</w:t>
            </w:r>
            <w:r w:rsidRPr="00653128">
              <w:rPr>
                <w:sz w:val="22"/>
                <w:szCs w:val="20"/>
              </w:rPr>
              <w:t>.</w:t>
            </w:r>
          </w:p>
          <w:p w14:paraId="6B16937B" w14:textId="77777777" w:rsidR="004462A0" w:rsidRPr="00D33370" w:rsidRDefault="004462A0" w:rsidP="0094797C">
            <w:pPr>
              <w:keepNext/>
              <w:tabs>
                <w:tab w:val="left" w:pos="562"/>
              </w:tabs>
              <w:suppressAutoHyphens/>
              <w:rPr>
                <w:sz w:val="22"/>
                <w:szCs w:val="20"/>
              </w:rPr>
            </w:pPr>
          </w:p>
          <w:p w14:paraId="5C24C912" w14:textId="77777777" w:rsidR="004462A0" w:rsidRPr="002B2441" w:rsidRDefault="00615769" w:rsidP="0094797C">
            <w:pPr>
              <w:keepNext/>
              <w:tabs>
                <w:tab w:val="left" w:pos="562"/>
              </w:tabs>
              <w:suppressAutoHyphens/>
              <w:rPr>
                <w:sz w:val="22"/>
                <w:szCs w:val="20"/>
              </w:rPr>
            </w:pPr>
            <w:r w:rsidRPr="002D4DE5">
              <w:rPr>
                <w:sz w:val="22"/>
                <w:szCs w:val="20"/>
              </w:rPr>
              <w:t>Rode a caneta pré-cheia até que a seta bran</w:t>
            </w:r>
            <w:r w:rsidRPr="00003560">
              <w:rPr>
                <w:sz w:val="22"/>
                <w:szCs w:val="20"/>
              </w:rPr>
              <w:t xml:space="preserve">ca fique posicionada no local de </w:t>
            </w:r>
            <w:r w:rsidRPr="005F6F98">
              <w:rPr>
                <w:sz w:val="22"/>
                <w:szCs w:val="20"/>
              </w:rPr>
              <w:t>injeção.</w:t>
            </w:r>
          </w:p>
        </w:tc>
      </w:tr>
      <w:tr w:rsidR="00A7162A" w14:paraId="081D426F" w14:textId="77777777" w:rsidTr="00F675CF">
        <w:tc>
          <w:tcPr>
            <w:tcW w:w="3708" w:type="dxa"/>
            <w:tcBorders>
              <w:right w:val="nil"/>
            </w:tcBorders>
          </w:tcPr>
          <w:p w14:paraId="3AFD57CD" w14:textId="77777777" w:rsidR="004462A0" w:rsidRPr="008B0DDF" w:rsidRDefault="00615769" w:rsidP="0094797C">
            <w:pPr>
              <w:tabs>
                <w:tab w:val="left" w:pos="562"/>
              </w:tabs>
              <w:suppressAutoHyphens/>
              <w:rPr>
                <w:b/>
                <w:noProof/>
                <w:sz w:val="22"/>
                <w:szCs w:val="20"/>
              </w:rPr>
            </w:pPr>
            <w:r w:rsidRPr="008B0DDF">
              <w:rPr>
                <w:b/>
                <w:noProof/>
                <w:sz w:val="22"/>
                <w:szCs w:val="20"/>
              </w:rPr>
              <w:t>PASSO 6</w:t>
            </w:r>
          </w:p>
          <w:p w14:paraId="241E2E5D" w14:textId="77777777" w:rsidR="004462A0" w:rsidRPr="008B0DDF" w:rsidRDefault="00615769" w:rsidP="0094797C">
            <w:pPr>
              <w:tabs>
                <w:tab w:val="left" w:pos="562"/>
              </w:tabs>
              <w:suppressAutoHyphens/>
              <w:rPr>
                <w:sz w:val="22"/>
                <w:szCs w:val="20"/>
              </w:rPr>
            </w:pPr>
            <w:r>
              <w:rPr>
                <w:noProof/>
                <w:sz w:val="22"/>
                <w:szCs w:val="20"/>
                <w:lang w:val="en-GB" w:eastAsia="en-GB"/>
              </w:rPr>
              <w:drawing>
                <wp:inline distT="0" distB="0" distL="0" distR="0" wp14:anchorId="5CBAB21B" wp14:editId="014F93EC">
                  <wp:extent cx="2256155" cy="2146935"/>
                  <wp:effectExtent l="0" t="0" r="0" b="5715"/>
                  <wp:docPr id="11" name="Picture 11" descr="STEP6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7" descr="STEP6_grey"/>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2256155" cy="2146935"/>
                          </a:xfrm>
                          <a:prstGeom prst="rect">
                            <a:avLst/>
                          </a:prstGeom>
                          <a:noFill/>
                          <a:ln>
                            <a:noFill/>
                          </a:ln>
                        </pic:spPr>
                      </pic:pic>
                    </a:graphicData>
                  </a:graphic>
                </wp:inline>
              </w:drawing>
            </w:r>
          </w:p>
        </w:tc>
        <w:tc>
          <w:tcPr>
            <w:tcW w:w="5579" w:type="dxa"/>
            <w:tcBorders>
              <w:left w:val="nil"/>
            </w:tcBorders>
          </w:tcPr>
          <w:p w14:paraId="34E565ED" w14:textId="77777777" w:rsidR="004462A0" w:rsidRPr="008B0DDF" w:rsidRDefault="004462A0" w:rsidP="0094797C">
            <w:pPr>
              <w:tabs>
                <w:tab w:val="left" w:pos="562"/>
              </w:tabs>
              <w:suppressAutoHyphens/>
              <w:rPr>
                <w:sz w:val="22"/>
                <w:szCs w:val="20"/>
              </w:rPr>
            </w:pPr>
          </w:p>
          <w:p w14:paraId="5F83FB27" w14:textId="77777777" w:rsidR="004462A0" w:rsidRPr="006462E3" w:rsidRDefault="00615769" w:rsidP="0094797C">
            <w:pPr>
              <w:tabs>
                <w:tab w:val="left" w:pos="562"/>
              </w:tabs>
              <w:suppressAutoHyphens/>
              <w:rPr>
                <w:sz w:val="22"/>
                <w:szCs w:val="20"/>
              </w:rPr>
            </w:pPr>
            <w:r>
              <w:rPr>
                <w:sz w:val="22"/>
                <w:szCs w:val="20"/>
              </w:rPr>
              <w:t>Com a outra mão, a</w:t>
            </w:r>
            <w:r w:rsidRPr="00454F99">
              <w:rPr>
                <w:sz w:val="22"/>
                <w:szCs w:val="20"/>
              </w:rPr>
              <w:t xml:space="preserve">garre uma prega cutânea </w:t>
            </w:r>
            <w:r w:rsidRPr="00AF229F">
              <w:rPr>
                <w:sz w:val="22"/>
                <w:szCs w:val="20"/>
              </w:rPr>
              <w:t>bastante elevada</w:t>
            </w:r>
            <w:r w:rsidRPr="004F0FBC">
              <w:rPr>
                <w:sz w:val="22"/>
                <w:szCs w:val="20"/>
              </w:rPr>
              <w:t xml:space="preserve"> no local da injeção</w:t>
            </w:r>
            <w:r w:rsidR="00544D7F">
              <w:rPr>
                <w:sz w:val="22"/>
                <w:szCs w:val="20"/>
              </w:rPr>
              <w:t xml:space="preserve">, </w:t>
            </w:r>
            <w:r w:rsidRPr="006462E3">
              <w:rPr>
                <w:sz w:val="22"/>
                <w:szCs w:val="20"/>
              </w:rPr>
              <w:t>apertando-a firmemente</w:t>
            </w:r>
            <w:r w:rsidR="00C6100D">
              <w:rPr>
                <w:sz w:val="22"/>
                <w:szCs w:val="20"/>
              </w:rPr>
              <w:t xml:space="preserve"> até que a injeção esteja concluída</w:t>
            </w:r>
            <w:r w:rsidRPr="006462E3">
              <w:rPr>
                <w:sz w:val="22"/>
                <w:szCs w:val="20"/>
              </w:rPr>
              <w:t>.</w:t>
            </w:r>
          </w:p>
          <w:p w14:paraId="65470100" w14:textId="77777777" w:rsidR="004462A0" w:rsidRPr="009A05BE" w:rsidRDefault="004462A0" w:rsidP="0094797C">
            <w:pPr>
              <w:tabs>
                <w:tab w:val="left" w:pos="562"/>
              </w:tabs>
              <w:suppressAutoHyphens/>
              <w:rPr>
                <w:sz w:val="22"/>
                <w:szCs w:val="20"/>
              </w:rPr>
            </w:pPr>
          </w:p>
          <w:p w14:paraId="6FFE442C" w14:textId="77777777" w:rsidR="004462A0" w:rsidRPr="0089156B" w:rsidRDefault="00615769" w:rsidP="0094797C">
            <w:pPr>
              <w:tabs>
                <w:tab w:val="left" w:pos="562"/>
              </w:tabs>
              <w:suppressAutoHyphens/>
              <w:rPr>
                <w:sz w:val="22"/>
                <w:szCs w:val="20"/>
              </w:rPr>
            </w:pPr>
            <w:r w:rsidRPr="00854C93">
              <w:rPr>
                <w:sz w:val="22"/>
                <w:szCs w:val="20"/>
              </w:rPr>
              <w:t>Aponte a seta branca para o local da injeção (coxa ou barriga)</w:t>
            </w:r>
            <w:r w:rsidRPr="0089156B">
              <w:rPr>
                <w:sz w:val="22"/>
                <w:szCs w:val="20"/>
              </w:rPr>
              <w:t>.</w:t>
            </w:r>
          </w:p>
          <w:p w14:paraId="088A50C3" w14:textId="77777777" w:rsidR="004462A0" w:rsidRPr="000B3FE3" w:rsidRDefault="004462A0" w:rsidP="0094797C">
            <w:pPr>
              <w:tabs>
                <w:tab w:val="left" w:pos="562"/>
              </w:tabs>
              <w:suppressAutoHyphens/>
              <w:rPr>
                <w:sz w:val="22"/>
                <w:szCs w:val="20"/>
              </w:rPr>
            </w:pPr>
          </w:p>
          <w:p w14:paraId="3D48F739" w14:textId="77777777" w:rsidR="004462A0" w:rsidRPr="008B0DDF" w:rsidRDefault="00615769" w:rsidP="0094797C">
            <w:pPr>
              <w:tabs>
                <w:tab w:val="left" w:pos="562"/>
              </w:tabs>
              <w:suppressAutoHyphens/>
              <w:rPr>
                <w:sz w:val="22"/>
                <w:szCs w:val="20"/>
              </w:rPr>
            </w:pPr>
            <w:r w:rsidRPr="004931CE">
              <w:rPr>
                <w:sz w:val="22"/>
                <w:szCs w:val="20"/>
              </w:rPr>
              <w:t>C</w:t>
            </w:r>
            <w:r w:rsidRPr="00653128">
              <w:rPr>
                <w:sz w:val="22"/>
                <w:szCs w:val="20"/>
              </w:rPr>
              <w:t xml:space="preserve">oloque a extremidade branca da </w:t>
            </w:r>
            <w:r w:rsidRPr="00D33370">
              <w:rPr>
                <w:sz w:val="22"/>
                <w:szCs w:val="20"/>
              </w:rPr>
              <w:t xml:space="preserve">proteção da </w:t>
            </w:r>
            <w:r w:rsidRPr="002D4DE5">
              <w:rPr>
                <w:sz w:val="22"/>
                <w:szCs w:val="20"/>
              </w:rPr>
              <w:t>agu</w:t>
            </w:r>
            <w:r w:rsidRPr="00003560">
              <w:rPr>
                <w:sz w:val="22"/>
                <w:szCs w:val="20"/>
              </w:rPr>
              <w:t>lha</w:t>
            </w:r>
            <w:r w:rsidRPr="005F6F98">
              <w:rPr>
                <w:sz w:val="22"/>
                <w:szCs w:val="20"/>
              </w:rPr>
              <w:t xml:space="preserve"> num ângulo reto </w:t>
            </w:r>
            <w:r w:rsidRPr="002B2441">
              <w:rPr>
                <w:b/>
                <w:sz w:val="22"/>
                <w:szCs w:val="20"/>
              </w:rPr>
              <w:t>(90˚)</w:t>
            </w:r>
            <w:r w:rsidRPr="00B830EC">
              <w:rPr>
                <w:sz w:val="22"/>
                <w:szCs w:val="20"/>
              </w:rPr>
              <w:t xml:space="preserve"> </w:t>
            </w:r>
            <w:r w:rsidRPr="008B0DDF">
              <w:rPr>
                <w:sz w:val="22"/>
                <w:szCs w:val="20"/>
              </w:rPr>
              <w:t>junto ao local da injeção.</w:t>
            </w:r>
          </w:p>
          <w:p w14:paraId="334109E5" w14:textId="77777777" w:rsidR="004462A0" w:rsidRPr="008B0DDF" w:rsidRDefault="004462A0" w:rsidP="0094797C">
            <w:pPr>
              <w:tabs>
                <w:tab w:val="left" w:pos="562"/>
              </w:tabs>
              <w:suppressAutoHyphens/>
              <w:rPr>
                <w:sz w:val="22"/>
                <w:szCs w:val="20"/>
              </w:rPr>
            </w:pPr>
          </w:p>
          <w:p w14:paraId="612554E8" w14:textId="77777777" w:rsidR="004462A0" w:rsidRDefault="00615769" w:rsidP="0094797C">
            <w:pPr>
              <w:tabs>
                <w:tab w:val="left" w:pos="562"/>
              </w:tabs>
              <w:suppressAutoHyphens/>
              <w:rPr>
                <w:sz w:val="22"/>
                <w:szCs w:val="20"/>
              </w:rPr>
            </w:pPr>
            <w:r w:rsidRPr="008B0DDF">
              <w:rPr>
                <w:sz w:val="22"/>
                <w:szCs w:val="20"/>
              </w:rPr>
              <w:t>Segure a caneta pré-cheia de modo a que possa ver a janela.</w:t>
            </w:r>
          </w:p>
          <w:p w14:paraId="70372364" w14:textId="77777777" w:rsidR="00C6100D" w:rsidRDefault="00C6100D" w:rsidP="0094797C">
            <w:pPr>
              <w:tabs>
                <w:tab w:val="left" w:pos="562"/>
              </w:tabs>
              <w:suppressAutoHyphens/>
              <w:rPr>
                <w:sz w:val="22"/>
                <w:szCs w:val="20"/>
              </w:rPr>
            </w:pPr>
          </w:p>
          <w:p w14:paraId="0E55AEBD" w14:textId="77777777" w:rsidR="00C6100D" w:rsidRPr="008B0DDF" w:rsidRDefault="00615769" w:rsidP="0094797C">
            <w:pPr>
              <w:tabs>
                <w:tab w:val="left" w:pos="562"/>
              </w:tabs>
              <w:suppressAutoHyphens/>
              <w:rPr>
                <w:sz w:val="22"/>
                <w:szCs w:val="20"/>
              </w:rPr>
            </w:pPr>
            <w:r w:rsidRPr="00085F35">
              <w:rPr>
                <w:b/>
                <w:bCs/>
                <w:sz w:val="22"/>
                <w:szCs w:val="20"/>
              </w:rPr>
              <w:t>Não</w:t>
            </w:r>
            <w:r w:rsidRPr="00085F35">
              <w:rPr>
                <w:sz w:val="22"/>
                <w:szCs w:val="20"/>
              </w:rPr>
              <w:t xml:space="preserve"> pr</w:t>
            </w:r>
            <w:r w:rsidR="002E6F3C">
              <w:rPr>
                <w:sz w:val="22"/>
                <w:szCs w:val="20"/>
              </w:rPr>
              <w:t>essione</w:t>
            </w:r>
            <w:r w:rsidRPr="00085F35">
              <w:rPr>
                <w:sz w:val="22"/>
                <w:szCs w:val="20"/>
              </w:rPr>
              <w:t xml:space="preserve"> o botão ativador roxo até estar pronto para iniciar a injeção.</w:t>
            </w:r>
          </w:p>
        </w:tc>
      </w:tr>
      <w:tr w:rsidR="00A7162A" w14:paraId="3045C127" w14:textId="77777777" w:rsidTr="00F675CF">
        <w:tc>
          <w:tcPr>
            <w:tcW w:w="3708" w:type="dxa"/>
            <w:tcBorders>
              <w:right w:val="nil"/>
            </w:tcBorders>
          </w:tcPr>
          <w:p w14:paraId="658A5185" w14:textId="77777777" w:rsidR="004462A0" w:rsidRPr="008B0DDF" w:rsidRDefault="00615769" w:rsidP="0094797C">
            <w:pPr>
              <w:keepNext/>
              <w:tabs>
                <w:tab w:val="left" w:pos="562"/>
              </w:tabs>
              <w:suppressAutoHyphens/>
              <w:jc w:val="both"/>
              <w:rPr>
                <w:b/>
                <w:noProof/>
                <w:sz w:val="22"/>
                <w:szCs w:val="20"/>
              </w:rPr>
            </w:pPr>
            <w:r w:rsidRPr="008B0DDF">
              <w:rPr>
                <w:b/>
                <w:noProof/>
                <w:sz w:val="22"/>
                <w:szCs w:val="20"/>
              </w:rPr>
              <w:t>PASSO 7</w:t>
            </w:r>
          </w:p>
          <w:p w14:paraId="06665A2D" w14:textId="77777777" w:rsidR="004462A0" w:rsidRPr="008B0DDF" w:rsidRDefault="004462A0" w:rsidP="0094797C">
            <w:pPr>
              <w:keepNext/>
              <w:tabs>
                <w:tab w:val="left" w:pos="562"/>
              </w:tabs>
              <w:suppressAutoHyphens/>
              <w:jc w:val="both"/>
              <w:rPr>
                <w:b/>
                <w:noProof/>
                <w:sz w:val="22"/>
                <w:szCs w:val="20"/>
              </w:rPr>
            </w:pPr>
          </w:p>
          <w:p w14:paraId="1F9E1152" w14:textId="77777777" w:rsidR="004508D5" w:rsidRDefault="00615769" w:rsidP="0094797C">
            <w:pPr>
              <w:keepNext/>
              <w:tabs>
                <w:tab w:val="left" w:pos="562"/>
              </w:tabs>
              <w:suppressAutoHyphens/>
              <w:rPr>
                <w:b/>
                <w:noProof/>
                <w:sz w:val="22"/>
                <w:szCs w:val="20"/>
              </w:rPr>
            </w:pPr>
            <w:r>
              <w:rPr>
                <w:b/>
                <w:noProof/>
                <w:sz w:val="22"/>
                <w:szCs w:val="20"/>
              </w:rPr>
              <w:t xml:space="preserve">                      </w:t>
            </w:r>
          </w:p>
          <w:p w14:paraId="0E0B2745" w14:textId="77777777" w:rsidR="004462A0" w:rsidRPr="008B0DDF" w:rsidRDefault="00615769" w:rsidP="0094797C">
            <w:pPr>
              <w:keepNext/>
              <w:tabs>
                <w:tab w:val="left" w:pos="562"/>
              </w:tabs>
              <w:suppressAutoHyphens/>
              <w:rPr>
                <w:b/>
                <w:noProof/>
                <w:sz w:val="22"/>
                <w:szCs w:val="20"/>
              </w:rPr>
            </w:pPr>
            <w:r>
              <w:rPr>
                <w:b/>
                <w:noProof/>
                <w:sz w:val="22"/>
                <w:szCs w:val="20"/>
              </w:rPr>
              <w:t xml:space="preserve">                           </w:t>
            </w:r>
            <w:r w:rsidRPr="008B0DDF">
              <w:rPr>
                <w:b/>
                <w:noProof/>
                <w:sz w:val="22"/>
                <w:szCs w:val="20"/>
              </w:rPr>
              <w:t xml:space="preserve">10 Segundos                             </w:t>
            </w:r>
          </w:p>
          <w:p w14:paraId="5CEE498C" w14:textId="77777777" w:rsidR="004462A0" w:rsidRPr="008B0DDF" w:rsidRDefault="00615769" w:rsidP="0094797C">
            <w:pPr>
              <w:keepNext/>
              <w:tabs>
                <w:tab w:val="left" w:pos="562"/>
              </w:tabs>
              <w:suppressAutoHyphens/>
              <w:rPr>
                <w:noProof/>
                <w:sz w:val="22"/>
                <w:szCs w:val="20"/>
              </w:rPr>
            </w:pPr>
            <w:r>
              <w:rPr>
                <w:noProof/>
                <w:sz w:val="22"/>
                <w:szCs w:val="20"/>
                <w:lang w:val="en-GB" w:eastAsia="en-GB"/>
              </w:rPr>
              <w:drawing>
                <wp:inline distT="0" distB="0" distL="0" distR="0" wp14:anchorId="64EA7D9A" wp14:editId="12E177FB">
                  <wp:extent cx="2216150" cy="2783205"/>
                  <wp:effectExtent l="0" t="0" r="0" b="0"/>
                  <wp:docPr id="10" name="Picture 10" descr="STEP7a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8" descr="STEP7a_grey"/>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2216150" cy="2783205"/>
                          </a:xfrm>
                          <a:prstGeom prst="rect">
                            <a:avLst/>
                          </a:prstGeom>
                          <a:noFill/>
                          <a:ln>
                            <a:noFill/>
                          </a:ln>
                        </pic:spPr>
                      </pic:pic>
                    </a:graphicData>
                  </a:graphic>
                </wp:inline>
              </w:drawing>
            </w:r>
          </w:p>
        </w:tc>
        <w:tc>
          <w:tcPr>
            <w:tcW w:w="5579" w:type="dxa"/>
            <w:tcBorders>
              <w:left w:val="nil"/>
            </w:tcBorders>
          </w:tcPr>
          <w:p w14:paraId="3C8864A3" w14:textId="77777777" w:rsidR="004462A0" w:rsidRPr="008B0DDF" w:rsidRDefault="004462A0" w:rsidP="0094797C">
            <w:pPr>
              <w:keepNext/>
              <w:tabs>
                <w:tab w:val="left" w:pos="562"/>
              </w:tabs>
              <w:suppressAutoHyphens/>
              <w:rPr>
                <w:b/>
                <w:sz w:val="22"/>
                <w:szCs w:val="20"/>
              </w:rPr>
            </w:pPr>
          </w:p>
          <w:p w14:paraId="5789A6D1" w14:textId="77777777" w:rsidR="004462A0" w:rsidRDefault="00615769" w:rsidP="0094797C">
            <w:pPr>
              <w:keepNext/>
              <w:tabs>
                <w:tab w:val="left" w:pos="562"/>
              </w:tabs>
              <w:suppressAutoHyphens/>
              <w:rPr>
                <w:sz w:val="22"/>
                <w:szCs w:val="20"/>
              </w:rPr>
            </w:pPr>
            <w:r>
              <w:rPr>
                <w:b/>
                <w:sz w:val="22"/>
                <w:szCs w:val="20"/>
              </w:rPr>
              <w:t>Pressione</w:t>
            </w:r>
            <w:r w:rsidRPr="00454F99">
              <w:rPr>
                <w:b/>
                <w:sz w:val="22"/>
                <w:szCs w:val="20"/>
              </w:rPr>
              <w:t xml:space="preserve"> </w:t>
            </w:r>
            <w:r w:rsidR="00C6100D">
              <w:rPr>
                <w:b/>
                <w:sz w:val="22"/>
                <w:szCs w:val="20"/>
              </w:rPr>
              <w:t>firmemente</w:t>
            </w:r>
            <w:r w:rsidRPr="006462E3">
              <w:rPr>
                <w:b/>
                <w:sz w:val="22"/>
                <w:szCs w:val="20"/>
              </w:rPr>
              <w:t xml:space="preserve"> </w:t>
            </w:r>
            <w:r w:rsidRPr="006462E3">
              <w:rPr>
                <w:sz w:val="22"/>
                <w:szCs w:val="20"/>
              </w:rPr>
              <w:t xml:space="preserve">a caneta pré-cheia </w:t>
            </w:r>
            <w:r w:rsidRPr="009A05BE">
              <w:rPr>
                <w:sz w:val="22"/>
                <w:szCs w:val="20"/>
              </w:rPr>
              <w:t>contra o local de injeção</w:t>
            </w:r>
            <w:r w:rsidR="00C6100D">
              <w:rPr>
                <w:sz w:val="22"/>
                <w:szCs w:val="20"/>
              </w:rPr>
              <w:t xml:space="preserve"> antes de iniciar a injeção</w:t>
            </w:r>
            <w:r w:rsidRPr="00854C93">
              <w:rPr>
                <w:sz w:val="22"/>
                <w:szCs w:val="20"/>
              </w:rPr>
              <w:t>.</w:t>
            </w:r>
          </w:p>
          <w:p w14:paraId="56D18574" w14:textId="77777777" w:rsidR="00C6100D" w:rsidRPr="00854C93" w:rsidRDefault="00615769" w:rsidP="0094797C">
            <w:pPr>
              <w:keepNext/>
              <w:tabs>
                <w:tab w:val="left" w:pos="562"/>
              </w:tabs>
              <w:suppressAutoHyphens/>
              <w:rPr>
                <w:sz w:val="22"/>
                <w:szCs w:val="20"/>
              </w:rPr>
            </w:pPr>
            <w:r w:rsidRPr="00085F35">
              <w:rPr>
                <w:b/>
                <w:sz w:val="22"/>
                <w:szCs w:val="20"/>
              </w:rPr>
              <w:t>Continue a pressionar</w:t>
            </w:r>
            <w:r>
              <w:rPr>
                <w:b/>
                <w:szCs w:val="20"/>
              </w:rPr>
              <w:t xml:space="preserve"> </w:t>
            </w:r>
            <w:r w:rsidRPr="00085F35">
              <w:rPr>
                <w:sz w:val="22"/>
                <w:szCs w:val="20"/>
              </w:rPr>
              <w:t>de modo a evitar que a caneta pré-cheia se afaste da pele durante a injeção.</w:t>
            </w:r>
          </w:p>
          <w:p w14:paraId="3EF991B3" w14:textId="77777777" w:rsidR="004462A0" w:rsidRPr="0089156B" w:rsidRDefault="004462A0" w:rsidP="0094797C">
            <w:pPr>
              <w:keepNext/>
              <w:tabs>
                <w:tab w:val="left" w:pos="562"/>
              </w:tabs>
              <w:suppressAutoHyphens/>
              <w:rPr>
                <w:sz w:val="22"/>
                <w:szCs w:val="20"/>
              </w:rPr>
            </w:pPr>
          </w:p>
          <w:p w14:paraId="075762B6" w14:textId="77777777" w:rsidR="004462A0" w:rsidRPr="005F6F98" w:rsidRDefault="00615769" w:rsidP="0094797C">
            <w:pPr>
              <w:keepNext/>
              <w:tabs>
                <w:tab w:val="left" w:pos="562"/>
              </w:tabs>
              <w:suppressAutoHyphens/>
              <w:rPr>
                <w:sz w:val="22"/>
                <w:szCs w:val="20"/>
              </w:rPr>
            </w:pPr>
            <w:r w:rsidRPr="000B3FE3">
              <w:rPr>
                <w:b/>
                <w:sz w:val="22"/>
                <w:szCs w:val="20"/>
              </w:rPr>
              <w:t xml:space="preserve">Pressione </w:t>
            </w:r>
            <w:r w:rsidRPr="000B3FE3">
              <w:rPr>
                <w:sz w:val="22"/>
                <w:szCs w:val="20"/>
              </w:rPr>
              <w:t>o botão ativador roxo e conte</w:t>
            </w:r>
            <w:r w:rsidRPr="004931CE">
              <w:rPr>
                <w:sz w:val="22"/>
                <w:szCs w:val="20"/>
              </w:rPr>
              <w:t xml:space="preserve"> lentamente durante</w:t>
            </w:r>
            <w:r w:rsidRPr="002D4DE5">
              <w:rPr>
                <w:sz w:val="22"/>
                <w:szCs w:val="20"/>
              </w:rPr>
              <w:t xml:space="preserve"> </w:t>
            </w:r>
            <w:r w:rsidRPr="00003560">
              <w:rPr>
                <w:b/>
                <w:sz w:val="22"/>
                <w:szCs w:val="20"/>
              </w:rPr>
              <w:t xml:space="preserve">10 </w:t>
            </w:r>
            <w:r w:rsidRPr="005F6F98">
              <w:rPr>
                <w:sz w:val="22"/>
                <w:szCs w:val="20"/>
              </w:rPr>
              <w:t>segundos.</w:t>
            </w:r>
          </w:p>
          <w:p w14:paraId="3E729C0F" w14:textId="77777777" w:rsidR="004462A0" w:rsidRPr="002B2441" w:rsidRDefault="004462A0" w:rsidP="0094797C">
            <w:pPr>
              <w:keepNext/>
              <w:tabs>
                <w:tab w:val="left" w:pos="562"/>
              </w:tabs>
              <w:suppressAutoHyphens/>
              <w:rPr>
                <w:sz w:val="22"/>
                <w:szCs w:val="20"/>
              </w:rPr>
            </w:pPr>
          </w:p>
          <w:p w14:paraId="4DD9D147" w14:textId="77777777" w:rsidR="004462A0" w:rsidRPr="008B0DDF" w:rsidRDefault="00615769" w:rsidP="0094797C">
            <w:pPr>
              <w:keepNext/>
              <w:numPr>
                <w:ilvl w:val="0"/>
                <w:numId w:val="97"/>
              </w:numPr>
              <w:suppressAutoHyphens/>
              <w:ind w:left="545" w:hanging="545"/>
              <w:rPr>
                <w:sz w:val="22"/>
                <w:szCs w:val="20"/>
              </w:rPr>
            </w:pPr>
            <w:r w:rsidRPr="002B2441">
              <w:rPr>
                <w:sz w:val="22"/>
                <w:szCs w:val="20"/>
              </w:rPr>
              <w:t>Ouvirá um</w:t>
            </w:r>
            <w:r w:rsidRPr="00B830EC">
              <w:rPr>
                <w:sz w:val="22"/>
                <w:szCs w:val="20"/>
              </w:rPr>
              <w:t xml:space="preserve"> </w:t>
            </w:r>
            <w:r w:rsidRPr="008B0DDF">
              <w:rPr>
                <w:b/>
                <w:sz w:val="22"/>
                <w:szCs w:val="20"/>
              </w:rPr>
              <w:t>“click”</w:t>
            </w:r>
            <w:r w:rsidRPr="008B0DDF">
              <w:rPr>
                <w:sz w:val="22"/>
                <w:szCs w:val="20"/>
              </w:rPr>
              <w:t xml:space="preserve"> em tom audível que marca o início da injeção</w:t>
            </w:r>
          </w:p>
          <w:p w14:paraId="383E64DD" w14:textId="77777777" w:rsidR="004462A0" w:rsidRPr="008B0DDF" w:rsidRDefault="00615769" w:rsidP="0094797C">
            <w:pPr>
              <w:keepNext/>
              <w:numPr>
                <w:ilvl w:val="0"/>
                <w:numId w:val="97"/>
              </w:numPr>
              <w:suppressAutoHyphens/>
              <w:ind w:left="545" w:hanging="545"/>
              <w:rPr>
                <w:sz w:val="22"/>
                <w:szCs w:val="20"/>
              </w:rPr>
            </w:pPr>
            <w:r w:rsidRPr="008B0DDF">
              <w:rPr>
                <w:b/>
                <w:sz w:val="22"/>
                <w:szCs w:val="20"/>
              </w:rPr>
              <w:t xml:space="preserve">Continue a </w:t>
            </w:r>
            <w:r w:rsidR="00C877CC">
              <w:rPr>
                <w:b/>
                <w:sz w:val="22"/>
                <w:szCs w:val="20"/>
              </w:rPr>
              <w:t xml:space="preserve">pressionar </w:t>
            </w:r>
            <w:r w:rsidR="00C6100D">
              <w:rPr>
                <w:b/>
                <w:sz w:val="22"/>
                <w:szCs w:val="20"/>
              </w:rPr>
              <w:t>firmemente</w:t>
            </w:r>
            <w:r w:rsidRPr="008B0DDF">
              <w:rPr>
                <w:b/>
                <w:sz w:val="22"/>
                <w:szCs w:val="20"/>
              </w:rPr>
              <w:t xml:space="preserve"> </w:t>
            </w:r>
            <w:r w:rsidRPr="008B0DDF">
              <w:rPr>
                <w:sz w:val="22"/>
                <w:szCs w:val="20"/>
              </w:rPr>
              <w:t xml:space="preserve">a caneta </w:t>
            </w:r>
            <w:r w:rsidR="002E6F3C">
              <w:rPr>
                <w:sz w:val="22"/>
                <w:szCs w:val="20"/>
              </w:rPr>
              <w:t xml:space="preserve">pré-cheia contra </w:t>
            </w:r>
            <w:r w:rsidRPr="008B0DDF">
              <w:rPr>
                <w:sz w:val="22"/>
                <w:szCs w:val="20"/>
              </w:rPr>
              <w:t xml:space="preserve">o local da injeção </w:t>
            </w:r>
            <w:r w:rsidR="00C6100D" w:rsidRPr="00C6100D">
              <w:rPr>
                <w:sz w:val="22"/>
                <w:szCs w:val="20"/>
              </w:rPr>
              <w:t>até que a injeção esteja concluída</w:t>
            </w:r>
            <w:r w:rsidR="002E6F3C">
              <w:rPr>
                <w:sz w:val="22"/>
                <w:szCs w:val="20"/>
              </w:rPr>
              <w:t>.</w:t>
            </w:r>
          </w:p>
          <w:p w14:paraId="4CB0447B" w14:textId="77777777" w:rsidR="004462A0" w:rsidRPr="008B0DDF" w:rsidRDefault="004462A0" w:rsidP="0094797C">
            <w:pPr>
              <w:keepNext/>
              <w:tabs>
                <w:tab w:val="left" w:pos="562"/>
              </w:tabs>
              <w:suppressAutoHyphens/>
              <w:rPr>
                <w:sz w:val="22"/>
                <w:szCs w:val="20"/>
              </w:rPr>
            </w:pPr>
          </w:p>
          <w:p w14:paraId="2140067E" w14:textId="77777777" w:rsidR="004462A0" w:rsidRPr="008B0DDF" w:rsidRDefault="00615769" w:rsidP="0094797C">
            <w:pPr>
              <w:keepNext/>
              <w:tabs>
                <w:tab w:val="left" w:pos="562"/>
              </w:tabs>
              <w:suppressAutoHyphens/>
              <w:rPr>
                <w:sz w:val="22"/>
                <w:szCs w:val="20"/>
              </w:rPr>
            </w:pPr>
            <w:r w:rsidRPr="008B0DDF">
              <w:rPr>
                <w:sz w:val="22"/>
                <w:szCs w:val="20"/>
              </w:rPr>
              <w:t>A injeção está completa quando o indicador amarelo parar.</w:t>
            </w:r>
          </w:p>
        </w:tc>
      </w:tr>
      <w:tr w:rsidR="00A7162A" w14:paraId="2D4D1B69" w14:textId="77777777" w:rsidTr="00F675CF">
        <w:tc>
          <w:tcPr>
            <w:tcW w:w="3708" w:type="dxa"/>
            <w:tcBorders>
              <w:right w:val="nil"/>
            </w:tcBorders>
          </w:tcPr>
          <w:p w14:paraId="7F0FC38A" w14:textId="77777777" w:rsidR="004462A0" w:rsidRPr="008B0DDF" w:rsidRDefault="00615769" w:rsidP="0094797C">
            <w:pPr>
              <w:keepNext/>
              <w:tabs>
                <w:tab w:val="left" w:pos="562"/>
              </w:tabs>
              <w:suppressAutoHyphens/>
              <w:rPr>
                <w:b/>
                <w:noProof/>
                <w:sz w:val="22"/>
                <w:szCs w:val="20"/>
              </w:rPr>
            </w:pPr>
            <w:r w:rsidRPr="008B0DDF">
              <w:rPr>
                <w:b/>
                <w:noProof/>
                <w:sz w:val="22"/>
                <w:szCs w:val="20"/>
              </w:rPr>
              <w:t>PASSO 8</w:t>
            </w:r>
          </w:p>
          <w:p w14:paraId="1ACD8530" w14:textId="77777777" w:rsidR="004462A0" w:rsidRPr="008B0DDF" w:rsidRDefault="004462A0" w:rsidP="0094797C">
            <w:pPr>
              <w:keepNext/>
              <w:tabs>
                <w:tab w:val="left" w:pos="562"/>
              </w:tabs>
              <w:suppressAutoHyphens/>
              <w:rPr>
                <w:b/>
                <w:noProof/>
                <w:sz w:val="22"/>
                <w:szCs w:val="20"/>
              </w:rPr>
            </w:pPr>
          </w:p>
          <w:p w14:paraId="597B463F" w14:textId="77777777" w:rsidR="004462A0" w:rsidRPr="008B0DDF" w:rsidRDefault="00615769" w:rsidP="0094797C">
            <w:pPr>
              <w:keepNext/>
              <w:tabs>
                <w:tab w:val="left" w:pos="562"/>
              </w:tabs>
              <w:suppressAutoHyphens/>
              <w:rPr>
                <w:sz w:val="22"/>
                <w:szCs w:val="20"/>
              </w:rPr>
            </w:pPr>
            <w:r>
              <w:rPr>
                <w:noProof/>
                <w:sz w:val="22"/>
                <w:szCs w:val="20"/>
                <w:lang w:val="en-GB" w:eastAsia="en-GB"/>
              </w:rPr>
              <w:drawing>
                <wp:inline distT="0" distB="0" distL="0" distR="0" wp14:anchorId="6EC4A0DD" wp14:editId="085C1F79">
                  <wp:extent cx="2027555" cy="1809115"/>
                  <wp:effectExtent l="0" t="0" r="0" b="635"/>
                  <wp:docPr id="9" name="Picture 9" descr="STEP8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9" descr="STEP8_grey"/>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2027555" cy="1809115"/>
                          </a:xfrm>
                          <a:prstGeom prst="rect">
                            <a:avLst/>
                          </a:prstGeom>
                          <a:noFill/>
                          <a:ln>
                            <a:noFill/>
                          </a:ln>
                        </pic:spPr>
                      </pic:pic>
                    </a:graphicData>
                  </a:graphic>
                </wp:inline>
              </w:drawing>
            </w:r>
            <w:r w:rsidRPr="008B0DDF">
              <w:rPr>
                <w:noProof/>
                <w:sz w:val="22"/>
                <w:szCs w:val="20"/>
              </w:rPr>
              <w:t xml:space="preserve"> </w:t>
            </w:r>
          </w:p>
        </w:tc>
        <w:tc>
          <w:tcPr>
            <w:tcW w:w="5579" w:type="dxa"/>
            <w:tcBorders>
              <w:left w:val="nil"/>
            </w:tcBorders>
          </w:tcPr>
          <w:p w14:paraId="6942C77C" w14:textId="77777777" w:rsidR="004462A0" w:rsidRPr="008B0DDF" w:rsidRDefault="004462A0" w:rsidP="0094797C">
            <w:pPr>
              <w:keepNext/>
              <w:tabs>
                <w:tab w:val="left" w:pos="562"/>
              </w:tabs>
              <w:suppressAutoHyphens/>
              <w:rPr>
                <w:sz w:val="22"/>
                <w:szCs w:val="20"/>
              </w:rPr>
            </w:pPr>
          </w:p>
          <w:p w14:paraId="41EBCFC4" w14:textId="77777777" w:rsidR="00C6100D" w:rsidRDefault="00615769" w:rsidP="00085F35">
            <w:pPr>
              <w:keepNext/>
              <w:tabs>
                <w:tab w:val="left" w:pos="562"/>
              </w:tabs>
              <w:suppressAutoHyphens/>
              <w:rPr>
                <w:sz w:val="22"/>
                <w:szCs w:val="20"/>
              </w:rPr>
            </w:pPr>
            <w:r w:rsidRPr="00454F99">
              <w:rPr>
                <w:sz w:val="22"/>
                <w:szCs w:val="20"/>
              </w:rPr>
              <w:t>Qu</w:t>
            </w:r>
            <w:r w:rsidRPr="00AF229F">
              <w:rPr>
                <w:sz w:val="22"/>
                <w:szCs w:val="20"/>
              </w:rPr>
              <w:t>a</w:t>
            </w:r>
            <w:r w:rsidRPr="004F0FBC">
              <w:rPr>
                <w:sz w:val="22"/>
                <w:szCs w:val="20"/>
              </w:rPr>
              <w:t>n</w:t>
            </w:r>
            <w:r w:rsidRPr="006462E3">
              <w:rPr>
                <w:sz w:val="22"/>
                <w:szCs w:val="20"/>
              </w:rPr>
              <w:t xml:space="preserve">do a injeção estiver completa, retire lentamente a caneta pré-cheia </w:t>
            </w:r>
            <w:r w:rsidRPr="009A05BE">
              <w:rPr>
                <w:sz w:val="22"/>
                <w:szCs w:val="20"/>
              </w:rPr>
              <w:t xml:space="preserve">da pele. A proteção branca da agulha </w:t>
            </w:r>
            <w:r w:rsidRPr="00854C93">
              <w:rPr>
                <w:sz w:val="22"/>
                <w:szCs w:val="20"/>
              </w:rPr>
              <w:t>envolve-a completamente</w:t>
            </w:r>
            <w:r w:rsidRPr="0089156B">
              <w:rPr>
                <w:sz w:val="22"/>
                <w:szCs w:val="20"/>
              </w:rPr>
              <w:t>.</w:t>
            </w:r>
          </w:p>
          <w:p w14:paraId="0E8E6560" w14:textId="77777777" w:rsidR="00C6100D" w:rsidRPr="00C6100D" w:rsidRDefault="00615769" w:rsidP="00085F35">
            <w:pPr>
              <w:keepNext/>
              <w:numPr>
                <w:ilvl w:val="0"/>
                <w:numId w:val="98"/>
              </w:numPr>
              <w:suppressAutoHyphens/>
              <w:ind w:left="545" w:hanging="545"/>
              <w:rPr>
                <w:sz w:val="22"/>
                <w:szCs w:val="20"/>
              </w:rPr>
            </w:pPr>
            <w:r>
              <w:rPr>
                <w:sz w:val="22"/>
                <w:szCs w:val="20"/>
              </w:rPr>
              <w:t xml:space="preserve">É </w:t>
            </w:r>
            <w:r w:rsidRPr="00085F35">
              <w:rPr>
                <w:sz w:val="22"/>
                <w:szCs w:val="20"/>
              </w:rPr>
              <w:t xml:space="preserve">normal </w:t>
            </w:r>
            <w:r w:rsidR="00C877CC">
              <w:rPr>
                <w:sz w:val="22"/>
                <w:szCs w:val="20"/>
              </w:rPr>
              <w:t>existir</w:t>
            </w:r>
            <w:r w:rsidRPr="00085F35">
              <w:rPr>
                <w:sz w:val="22"/>
                <w:szCs w:val="20"/>
              </w:rPr>
              <w:t xml:space="preserve"> uma pequena quantidade de líquido no local da injeção</w:t>
            </w:r>
          </w:p>
          <w:p w14:paraId="07D3DF2F" w14:textId="77777777" w:rsidR="004462A0" w:rsidRPr="004931CE" w:rsidRDefault="004462A0" w:rsidP="0094797C">
            <w:pPr>
              <w:keepNext/>
              <w:tabs>
                <w:tab w:val="left" w:pos="562"/>
              </w:tabs>
              <w:suppressAutoHyphens/>
              <w:rPr>
                <w:sz w:val="22"/>
                <w:szCs w:val="20"/>
              </w:rPr>
            </w:pPr>
          </w:p>
          <w:p w14:paraId="6625B03D" w14:textId="77777777" w:rsidR="004462A0" w:rsidRPr="002B2441" w:rsidRDefault="00615769" w:rsidP="0094797C">
            <w:pPr>
              <w:keepNext/>
              <w:tabs>
                <w:tab w:val="left" w:pos="562"/>
              </w:tabs>
              <w:suppressAutoHyphens/>
              <w:rPr>
                <w:sz w:val="22"/>
                <w:szCs w:val="20"/>
              </w:rPr>
            </w:pPr>
            <w:r w:rsidRPr="00653128">
              <w:rPr>
                <w:sz w:val="22"/>
                <w:szCs w:val="20"/>
              </w:rPr>
              <w:t>Se aparecerem</w:t>
            </w:r>
            <w:r w:rsidRPr="00D33370">
              <w:rPr>
                <w:sz w:val="22"/>
                <w:szCs w:val="20"/>
              </w:rPr>
              <w:t xml:space="preserve"> mais do que algumas gotas de soluç</w:t>
            </w:r>
            <w:r w:rsidRPr="002D4DE5">
              <w:rPr>
                <w:sz w:val="22"/>
                <w:szCs w:val="20"/>
              </w:rPr>
              <w:t>ão no local da inje</w:t>
            </w:r>
            <w:r w:rsidRPr="005F6F98">
              <w:rPr>
                <w:sz w:val="22"/>
                <w:szCs w:val="20"/>
              </w:rPr>
              <w:t>ção, fale com o seu médico, enfermeiro ou farm</w:t>
            </w:r>
            <w:r w:rsidRPr="002B2441">
              <w:rPr>
                <w:sz w:val="22"/>
                <w:szCs w:val="20"/>
              </w:rPr>
              <w:t>acêutico.</w:t>
            </w:r>
          </w:p>
          <w:p w14:paraId="4EE70DC5" w14:textId="77777777" w:rsidR="004462A0" w:rsidRPr="00B830EC" w:rsidRDefault="004462A0" w:rsidP="0094797C">
            <w:pPr>
              <w:keepNext/>
              <w:tabs>
                <w:tab w:val="left" w:pos="562"/>
              </w:tabs>
              <w:suppressAutoHyphens/>
              <w:rPr>
                <w:sz w:val="22"/>
                <w:szCs w:val="20"/>
              </w:rPr>
            </w:pPr>
          </w:p>
          <w:p w14:paraId="110810D7" w14:textId="77777777" w:rsidR="004462A0" w:rsidRPr="008B0DDF" w:rsidRDefault="00615769" w:rsidP="0094797C">
            <w:pPr>
              <w:keepNext/>
              <w:tabs>
                <w:tab w:val="left" w:pos="562"/>
              </w:tabs>
              <w:suppressAutoHyphens/>
              <w:rPr>
                <w:sz w:val="22"/>
                <w:szCs w:val="20"/>
              </w:rPr>
            </w:pPr>
            <w:r w:rsidRPr="008B0DDF">
              <w:rPr>
                <w:sz w:val="22"/>
                <w:szCs w:val="20"/>
              </w:rPr>
              <w:t>Após completar a injeção, pressione o local da injeção com algodão ou uma gaze.</w:t>
            </w:r>
          </w:p>
          <w:p w14:paraId="7D7ACC83" w14:textId="77777777" w:rsidR="004462A0" w:rsidRPr="008B0DDF" w:rsidRDefault="004462A0" w:rsidP="0094797C">
            <w:pPr>
              <w:keepNext/>
              <w:tabs>
                <w:tab w:val="left" w:pos="562"/>
              </w:tabs>
              <w:suppressAutoHyphens/>
              <w:rPr>
                <w:sz w:val="22"/>
                <w:szCs w:val="20"/>
              </w:rPr>
            </w:pPr>
          </w:p>
          <w:p w14:paraId="6B04B792" w14:textId="77777777" w:rsidR="004462A0" w:rsidRPr="008B0DDF" w:rsidRDefault="00615769" w:rsidP="0094797C">
            <w:pPr>
              <w:keepNext/>
              <w:numPr>
                <w:ilvl w:val="0"/>
                <w:numId w:val="98"/>
              </w:numPr>
              <w:suppressAutoHyphens/>
              <w:ind w:left="545" w:hanging="545"/>
              <w:rPr>
                <w:sz w:val="22"/>
                <w:szCs w:val="20"/>
              </w:rPr>
            </w:pPr>
            <w:r w:rsidRPr="008B0DDF">
              <w:rPr>
                <w:b/>
                <w:sz w:val="22"/>
                <w:szCs w:val="20"/>
              </w:rPr>
              <w:t xml:space="preserve">Não </w:t>
            </w:r>
            <w:r w:rsidRPr="008B0DDF">
              <w:rPr>
                <w:sz w:val="22"/>
                <w:szCs w:val="20"/>
              </w:rPr>
              <w:t>friccione</w:t>
            </w:r>
          </w:p>
          <w:p w14:paraId="2F035127" w14:textId="77777777" w:rsidR="004462A0" w:rsidRPr="006462E3" w:rsidRDefault="00615769" w:rsidP="0094797C">
            <w:pPr>
              <w:keepNext/>
              <w:numPr>
                <w:ilvl w:val="0"/>
                <w:numId w:val="98"/>
              </w:numPr>
              <w:suppressAutoHyphens/>
              <w:ind w:left="545" w:hanging="545"/>
              <w:rPr>
                <w:sz w:val="22"/>
                <w:szCs w:val="20"/>
              </w:rPr>
            </w:pPr>
            <w:r w:rsidRPr="00454F99">
              <w:rPr>
                <w:sz w:val="22"/>
                <w:szCs w:val="20"/>
              </w:rPr>
              <w:t>É</w:t>
            </w:r>
            <w:r w:rsidRPr="004F0FBC">
              <w:rPr>
                <w:sz w:val="22"/>
                <w:szCs w:val="20"/>
              </w:rPr>
              <w:t xml:space="preserve"> normal aparecer </w:t>
            </w:r>
            <w:r w:rsidRPr="006462E3">
              <w:rPr>
                <w:sz w:val="22"/>
                <w:szCs w:val="20"/>
              </w:rPr>
              <w:t>uma marca de sangue no local da injeção.</w:t>
            </w:r>
          </w:p>
        </w:tc>
      </w:tr>
      <w:tr w:rsidR="00A7162A" w14:paraId="29832198" w14:textId="77777777" w:rsidTr="00F675CF">
        <w:tc>
          <w:tcPr>
            <w:tcW w:w="9287" w:type="dxa"/>
            <w:gridSpan w:val="2"/>
          </w:tcPr>
          <w:p w14:paraId="0221679C" w14:textId="77777777" w:rsidR="004462A0" w:rsidRPr="008B0DDF" w:rsidRDefault="00615769" w:rsidP="0094797C">
            <w:pPr>
              <w:keepNext/>
              <w:tabs>
                <w:tab w:val="left" w:pos="562"/>
              </w:tabs>
              <w:suppressAutoHyphens/>
              <w:rPr>
                <w:b/>
                <w:sz w:val="22"/>
              </w:rPr>
            </w:pPr>
            <w:r w:rsidRPr="008B0DDF">
              <w:rPr>
                <w:b/>
                <w:sz w:val="22"/>
              </w:rPr>
              <w:t>PASSO 9</w:t>
            </w:r>
          </w:p>
          <w:p w14:paraId="569084B1" w14:textId="77777777" w:rsidR="004462A0" w:rsidRPr="008B0DDF" w:rsidRDefault="004462A0" w:rsidP="0094797C">
            <w:pPr>
              <w:keepNext/>
              <w:tabs>
                <w:tab w:val="left" w:pos="562"/>
              </w:tabs>
              <w:suppressAutoHyphens/>
              <w:rPr>
                <w:b/>
                <w:sz w:val="22"/>
              </w:rPr>
            </w:pPr>
          </w:p>
          <w:p w14:paraId="013F5CEA" w14:textId="77777777" w:rsidR="004462A0" w:rsidRPr="00454F99" w:rsidRDefault="00615769" w:rsidP="0094797C">
            <w:pPr>
              <w:keepNext/>
              <w:tabs>
                <w:tab w:val="left" w:pos="562"/>
              </w:tabs>
              <w:suppressAutoHyphens/>
              <w:rPr>
                <w:sz w:val="22"/>
                <w:szCs w:val="20"/>
              </w:rPr>
            </w:pPr>
            <w:r w:rsidRPr="00454F99">
              <w:rPr>
                <w:sz w:val="22"/>
                <w:szCs w:val="20"/>
              </w:rPr>
              <w:t>Elimine imediatamente a caneta pré</w:t>
            </w:r>
            <w:r w:rsidRPr="004F0FBC">
              <w:rPr>
                <w:sz w:val="22"/>
                <w:szCs w:val="20"/>
              </w:rPr>
              <w:t>-cheia utilizada num recipiente</w:t>
            </w:r>
            <w:r w:rsidRPr="006462E3">
              <w:rPr>
                <w:sz w:val="22"/>
                <w:szCs w:val="20"/>
              </w:rPr>
              <w:t xml:space="preserve"> próprio, de acordo com as instruções dadas pelo seu médico, enfermeiro ou farmacêutico</w:t>
            </w:r>
            <w:r>
              <w:rPr>
                <w:sz w:val="22"/>
                <w:szCs w:val="20"/>
              </w:rPr>
              <w:t>.</w:t>
            </w:r>
          </w:p>
          <w:p w14:paraId="76DC229E" w14:textId="77777777" w:rsidR="004462A0" w:rsidRPr="004F0FBC" w:rsidRDefault="004462A0" w:rsidP="0094797C">
            <w:pPr>
              <w:keepNext/>
              <w:tabs>
                <w:tab w:val="left" w:pos="562"/>
              </w:tabs>
              <w:suppressAutoHyphens/>
              <w:rPr>
                <w:sz w:val="22"/>
                <w:szCs w:val="20"/>
              </w:rPr>
            </w:pPr>
          </w:p>
          <w:p w14:paraId="76290EA4" w14:textId="77777777" w:rsidR="004462A0" w:rsidRPr="009A05BE" w:rsidRDefault="00615769" w:rsidP="0094797C">
            <w:pPr>
              <w:keepNext/>
              <w:numPr>
                <w:ilvl w:val="0"/>
                <w:numId w:val="99"/>
              </w:numPr>
              <w:suppressAutoHyphens/>
              <w:ind w:left="567" w:hanging="567"/>
              <w:rPr>
                <w:sz w:val="22"/>
                <w:szCs w:val="20"/>
              </w:rPr>
            </w:pPr>
            <w:r w:rsidRPr="006462E3">
              <w:rPr>
                <w:b/>
                <w:sz w:val="22"/>
                <w:szCs w:val="20"/>
              </w:rPr>
              <w:t xml:space="preserve">Não </w:t>
            </w:r>
            <w:r w:rsidRPr="006462E3">
              <w:rPr>
                <w:sz w:val="22"/>
                <w:szCs w:val="20"/>
              </w:rPr>
              <w:t>deite fora ou recicle a caneta pré-cheia no lixo doméstico</w:t>
            </w:r>
          </w:p>
          <w:p w14:paraId="2023B014" w14:textId="77777777" w:rsidR="004462A0" w:rsidRPr="005F6F98" w:rsidRDefault="00615769" w:rsidP="0094797C">
            <w:pPr>
              <w:keepNext/>
              <w:numPr>
                <w:ilvl w:val="0"/>
                <w:numId w:val="99"/>
              </w:numPr>
              <w:suppressAutoHyphens/>
              <w:ind w:left="567" w:hanging="567"/>
              <w:rPr>
                <w:sz w:val="22"/>
                <w:szCs w:val="20"/>
              </w:rPr>
            </w:pPr>
            <w:r w:rsidRPr="00854C93">
              <w:rPr>
                <w:sz w:val="22"/>
                <w:szCs w:val="20"/>
              </w:rPr>
              <w:t xml:space="preserve">Manter </w:t>
            </w:r>
            <w:r w:rsidRPr="0089156B">
              <w:rPr>
                <w:b/>
                <w:sz w:val="22"/>
                <w:szCs w:val="20"/>
              </w:rPr>
              <w:t xml:space="preserve">sempre </w:t>
            </w:r>
            <w:r w:rsidRPr="000B3FE3">
              <w:rPr>
                <w:sz w:val="22"/>
                <w:szCs w:val="20"/>
              </w:rPr>
              <w:t>a caneta pré-cheia</w:t>
            </w:r>
            <w:r w:rsidRPr="000B3FE3">
              <w:rPr>
                <w:b/>
                <w:sz w:val="22"/>
                <w:szCs w:val="20"/>
              </w:rPr>
              <w:t xml:space="preserve"> </w:t>
            </w:r>
            <w:r w:rsidRPr="000B3FE3">
              <w:rPr>
                <w:sz w:val="22"/>
                <w:szCs w:val="20"/>
              </w:rPr>
              <w:t>e o recipient</w:t>
            </w:r>
            <w:r w:rsidRPr="004931CE">
              <w:rPr>
                <w:sz w:val="22"/>
                <w:szCs w:val="20"/>
              </w:rPr>
              <w:t>e</w:t>
            </w:r>
            <w:r w:rsidRPr="00653128">
              <w:rPr>
                <w:sz w:val="22"/>
                <w:szCs w:val="20"/>
              </w:rPr>
              <w:t xml:space="preserve"> próprio for</w:t>
            </w:r>
            <w:r w:rsidRPr="002D4DE5">
              <w:rPr>
                <w:sz w:val="22"/>
                <w:szCs w:val="20"/>
              </w:rPr>
              <w:t>a</w:t>
            </w:r>
            <w:r w:rsidRPr="00003560">
              <w:rPr>
                <w:sz w:val="22"/>
                <w:szCs w:val="20"/>
              </w:rPr>
              <w:t xml:space="preserve"> </w:t>
            </w:r>
            <w:r w:rsidRPr="005F6F98">
              <w:rPr>
                <w:sz w:val="22"/>
                <w:szCs w:val="20"/>
              </w:rPr>
              <w:t>da vista e do alcance das crianças.</w:t>
            </w:r>
          </w:p>
          <w:p w14:paraId="1426A48B" w14:textId="77777777" w:rsidR="004462A0" w:rsidRPr="008B0DDF" w:rsidRDefault="00615769" w:rsidP="0094797C">
            <w:pPr>
              <w:keepNext/>
              <w:tabs>
                <w:tab w:val="left" w:pos="562"/>
              </w:tabs>
              <w:suppressAutoHyphens/>
              <w:rPr>
                <w:sz w:val="22"/>
                <w:szCs w:val="20"/>
              </w:rPr>
            </w:pPr>
            <w:r w:rsidRPr="002B2441">
              <w:rPr>
                <w:sz w:val="22"/>
                <w:szCs w:val="22"/>
              </w:rPr>
              <w:t xml:space="preserve">As tampas, a compressa embebida em </w:t>
            </w:r>
            <w:r w:rsidRPr="00B830EC">
              <w:rPr>
                <w:sz w:val="22"/>
                <w:szCs w:val="22"/>
              </w:rPr>
              <w:t>álcool</w:t>
            </w:r>
            <w:r w:rsidRPr="008B0DDF">
              <w:rPr>
                <w:sz w:val="22"/>
                <w:szCs w:val="22"/>
              </w:rPr>
              <w:t>, o algodão, a gaze, o blister, e a embalagem, podem ser deitados fora no lixo doméstico.</w:t>
            </w:r>
          </w:p>
        </w:tc>
      </w:tr>
    </w:tbl>
    <w:p w14:paraId="26AC876E" w14:textId="77777777" w:rsidR="004462A0" w:rsidRDefault="004462A0" w:rsidP="004462A0">
      <w:pPr>
        <w:ind w:right="-2"/>
        <w:rPr>
          <w:sz w:val="22"/>
          <w:szCs w:val="22"/>
        </w:rPr>
      </w:pPr>
    </w:p>
    <w:p w14:paraId="43D45E2D" w14:textId="77777777" w:rsidR="004462A0" w:rsidRDefault="00615769" w:rsidP="004462A0">
      <w:pPr>
        <w:suppressAutoHyphens/>
        <w:ind w:left="567" w:hanging="567"/>
        <w:jc w:val="center"/>
        <w:rPr>
          <w:sz w:val="22"/>
          <w:szCs w:val="22"/>
        </w:rPr>
      </w:pPr>
      <w:r>
        <w:rPr>
          <w:sz w:val="22"/>
          <w:szCs w:val="22"/>
        </w:rPr>
        <w:br w:type="page"/>
      </w:r>
    </w:p>
    <w:p w14:paraId="452DCEAC" w14:textId="77777777" w:rsidR="004462A0" w:rsidRPr="008912CF" w:rsidRDefault="00615769" w:rsidP="004462A0">
      <w:pPr>
        <w:suppressAutoHyphens/>
        <w:ind w:left="567" w:hanging="567"/>
        <w:jc w:val="center"/>
        <w:rPr>
          <w:sz w:val="22"/>
          <w:szCs w:val="22"/>
        </w:rPr>
      </w:pPr>
      <w:r w:rsidRPr="008912CF">
        <w:rPr>
          <w:b/>
          <w:sz w:val="22"/>
          <w:szCs w:val="22"/>
        </w:rPr>
        <w:t>Folheto informativo: Informação para o doente</w:t>
      </w:r>
    </w:p>
    <w:p w14:paraId="095E6CA9" w14:textId="77777777" w:rsidR="004462A0" w:rsidRPr="008912CF" w:rsidRDefault="004462A0" w:rsidP="004462A0">
      <w:pPr>
        <w:pStyle w:val="EMEATitle"/>
        <w:tabs>
          <w:tab w:val="clear" w:pos="562"/>
        </w:tabs>
        <w:suppressAutoHyphens w:val="0"/>
        <w:rPr>
          <w:rFonts w:ascii="Times New Roman" w:hAnsi="Times New Roman"/>
          <w:caps w:val="0"/>
          <w:szCs w:val="22"/>
          <w:lang w:val="pt-PT"/>
        </w:rPr>
      </w:pPr>
    </w:p>
    <w:p w14:paraId="067B5083" w14:textId="77777777" w:rsidR="004462A0" w:rsidRPr="008912CF" w:rsidRDefault="00615769" w:rsidP="004462A0">
      <w:pPr>
        <w:pStyle w:val="EMEATitle"/>
        <w:tabs>
          <w:tab w:val="clear" w:pos="562"/>
        </w:tabs>
        <w:suppressAutoHyphens w:val="0"/>
        <w:rPr>
          <w:rFonts w:ascii="Times New Roman" w:hAnsi="Times New Roman"/>
          <w:caps w:val="0"/>
          <w:szCs w:val="22"/>
          <w:lang w:val="pt-PT"/>
        </w:rPr>
      </w:pPr>
      <w:r w:rsidRPr="008912CF">
        <w:rPr>
          <w:rFonts w:ascii="Times New Roman" w:hAnsi="Times New Roman"/>
          <w:caps w:val="0"/>
          <w:szCs w:val="22"/>
          <w:lang w:val="pt-PT"/>
        </w:rPr>
        <w:t xml:space="preserve">Humira </w:t>
      </w:r>
      <w:r>
        <w:rPr>
          <w:rFonts w:ascii="Times New Roman" w:hAnsi="Times New Roman"/>
          <w:bCs/>
          <w:caps w:val="0"/>
          <w:szCs w:val="22"/>
          <w:lang w:val="pt-PT"/>
        </w:rPr>
        <w:t>8</w:t>
      </w:r>
      <w:r w:rsidRPr="008912CF">
        <w:rPr>
          <w:rFonts w:ascii="Times New Roman" w:hAnsi="Times New Roman"/>
          <w:bCs/>
          <w:caps w:val="0"/>
          <w:szCs w:val="22"/>
          <w:lang w:val="pt-PT"/>
        </w:rPr>
        <w:t xml:space="preserve">0 mg solução injetável em seringa pré-cheia </w:t>
      </w:r>
    </w:p>
    <w:p w14:paraId="43CC5F25" w14:textId="77777777" w:rsidR="004462A0" w:rsidRPr="008912CF" w:rsidRDefault="00615769" w:rsidP="004462A0">
      <w:pPr>
        <w:jc w:val="center"/>
        <w:rPr>
          <w:bCs/>
          <w:sz w:val="22"/>
          <w:szCs w:val="22"/>
        </w:rPr>
      </w:pPr>
      <w:r w:rsidRPr="008912CF">
        <w:rPr>
          <w:bCs/>
          <w:sz w:val="22"/>
          <w:szCs w:val="22"/>
        </w:rPr>
        <w:t>adalimumab</w:t>
      </w:r>
    </w:p>
    <w:p w14:paraId="126AF911" w14:textId="77777777" w:rsidR="004462A0" w:rsidRPr="008912CF" w:rsidRDefault="004462A0" w:rsidP="004462A0">
      <w:pPr>
        <w:jc w:val="center"/>
        <w:rPr>
          <w:sz w:val="22"/>
          <w:szCs w:val="22"/>
        </w:rPr>
      </w:pPr>
    </w:p>
    <w:p w14:paraId="2CE1C6DC" w14:textId="77777777" w:rsidR="004462A0" w:rsidRPr="008912CF" w:rsidRDefault="00615769" w:rsidP="004462A0">
      <w:pPr>
        <w:ind w:right="-2"/>
        <w:rPr>
          <w:sz w:val="22"/>
          <w:szCs w:val="22"/>
        </w:rPr>
      </w:pPr>
      <w:r w:rsidRPr="008912CF">
        <w:rPr>
          <w:b/>
          <w:sz w:val="22"/>
          <w:szCs w:val="22"/>
        </w:rPr>
        <w:t>Leia com atenção todo este folheto antes de começar a utilizar este medicamento, pois contém informação importante para si.</w:t>
      </w:r>
    </w:p>
    <w:p w14:paraId="6C96BCE9" w14:textId="77777777" w:rsidR="004462A0" w:rsidRPr="008912CF" w:rsidRDefault="00615769" w:rsidP="004462A0">
      <w:pPr>
        <w:numPr>
          <w:ilvl w:val="0"/>
          <w:numId w:val="19"/>
        </w:numPr>
        <w:ind w:right="-2"/>
        <w:rPr>
          <w:sz w:val="22"/>
          <w:szCs w:val="22"/>
        </w:rPr>
      </w:pPr>
      <w:r w:rsidRPr="008912CF">
        <w:rPr>
          <w:sz w:val="22"/>
          <w:szCs w:val="22"/>
        </w:rPr>
        <w:t xml:space="preserve">Conserve este folheto. Pode ter necessidade de o ler novamente. </w:t>
      </w:r>
    </w:p>
    <w:p w14:paraId="6DDA326C" w14:textId="77777777" w:rsidR="004462A0" w:rsidRPr="008912CF" w:rsidRDefault="00615769" w:rsidP="004462A0">
      <w:pPr>
        <w:numPr>
          <w:ilvl w:val="0"/>
          <w:numId w:val="19"/>
        </w:numPr>
        <w:ind w:right="-2"/>
        <w:rPr>
          <w:sz w:val="22"/>
          <w:szCs w:val="22"/>
        </w:rPr>
      </w:pPr>
      <w:r w:rsidRPr="008912CF">
        <w:rPr>
          <w:sz w:val="22"/>
          <w:szCs w:val="22"/>
        </w:rPr>
        <w:t xml:space="preserve">O seu médico vai dar-lhe também um </w:t>
      </w:r>
      <w:r w:rsidRPr="00365BEE">
        <w:rPr>
          <w:b/>
          <w:sz w:val="22"/>
          <w:szCs w:val="22"/>
        </w:rPr>
        <w:t>Cartão de Segurança do Doente</w:t>
      </w:r>
      <w:r w:rsidRPr="008912CF">
        <w:rPr>
          <w:sz w:val="22"/>
          <w:szCs w:val="22"/>
        </w:rPr>
        <w:t xml:space="preserve">, que contém informação de segurança importante que precisa conhecer, antes e durante o tratamento com Humira. Mantenha o </w:t>
      </w:r>
      <w:r w:rsidRPr="00365BEE">
        <w:rPr>
          <w:b/>
          <w:sz w:val="22"/>
          <w:szCs w:val="22"/>
        </w:rPr>
        <w:t>Cartão de Segurança do Doente</w:t>
      </w:r>
      <w:r w:rsidRPr="008912CF">
        <w:rPr>
          <w:sz w:val="22"/>
          <w:szCs w:val="22"/>
        </w:rPr>
        <w:t xml:space="preserve"> consigo.</w:t>
      </w:r>
    </w:p>
    <w:p w14:paraId="66CD5C22" w14:textId="77777777" w:rsidR="004462A0" w:rsidRPr="008912CF" w:rsidRDefault="00615769" w:rsidP="004462A0">
      <w:pPr>
        <w:numPr>
          <w:ilvl w:val="0"/>
          <w:numId w:val="39"/>
        </w:numPr>
        <w:ind w:right="-2"/>
        <w:rPr>
          <w:sz w:val="22"/>
          <w:szCs w:val="22"/>
        </w:rPr>
      </w:pPr>
      <w:r w:rsidRPr="008912CF">
        <w:rPr>
          <w:sz w:val="22"/>
          <w:szCs w:val="22"/>
        </w:rPr>
        <w:t>Caso ainda tenha dúvidas, fale com o seu médico ou farmacêutico.</w:t>
      </w:r>
    </w:p>
    <w:p w14:paraId="6F546AC7" w14:textId="77777777" w:rsidR="004462A0" w:rsidRPr="008912CF" w:rsidRDefault="00615769" w:rsidP="004462A0">
      <w:pPr>
        <w:numPr>
          <w:ilvl w:val="0"/>
          <w:numId w:val="39"/>
        </w:numPr>
        <w:ind w:right="-2"/>
        <w:rPr>
          <w:b/>
          <w:sz w:val="22"/>
          <w:szCs w:val="22"/>
        </w:rPr>
      </w:pPr>
      <w:r w:rsidRPr="008912CF">
        <w:rPr>
          <w:sz w:val="22"/>
          <w:szCs w:val="22"/>
        </w:rPr>
        <w:t>Este medicamento foi receitado apenas para si. Não deve dá-lo a outros. O medicamento pode ser-lhes prejudicial mesmo que apresentem os mesmos sinais de doença.</w:t>
      </w:r>
    </w:p>
    <w:p w14:paraId="149139C0" w14:textId="77777777" w:rsidR="005A3FC0" w:rsidRPr="00653128" w:rsidRDefault="00615769" w:rsidP="005A3FC0">
      <w:pPr>
        <w:numPr>
          <w:ilvl w:val="0"/>
          <w:numId w:val="39"/>
        </w:numPr>
        <w:ind w:right="-2"/>
        <w:rPr>
          <w:b/>
          <w:sz w:val="22"/>
          <w:szCs w:val="22"/>
        </w:rPr>
      </w:pPr>
      <w:r w:rsidRPr="009A05BE">
        <w:rPr>
          <w:sz w:val="22"/>
          <w:szCs w:val="22"/>
        </w:rPr>
        <w:t xml:space="preserve">Se tiver quaisquer efeitos </w:t>
      </w:r>
      <w:r w:rsidR="00571C82">
        <w:rPr>
          <w:sz w:val="22"/>
          <w:szCs w:val="22"/>
        </w:rPr>
        <w:t>indesejáveis</w:t>
      </w:r>
      <w:r w:rsidRPr="009A05BE">
        <w:rPr>
          <w:sz w:val="22"/>
          <w:szCs w:val="22"/>
        </w:rPr>
        <w:t xml:space="preserve">, incluindo possíveis efeitos </w:t>
      </w:r>
      <w:r w:rsidR="00571C82">
        <w:rPr>
          <w:sz w:val="22"/>
          <w:szCs w:val="22"/>
        </w:rPr>
        <w:t>indesejáveis</w:t>
      </w:r>
      <w:r w:rsidRPr="00854C93">
        <w:rPr>
          <w:sz w:val="22"/>
          <w:szCs w:val="22"/>
        </w:rPr>
        <w:t xml:space="preserve"> não indicados neste folheto, fale com o seu médico ou farmacêutico</w:t>
      </w:r>
      <w:r w:rsidRPr="0089156B">
        <w:rPr>
          <w:sz w:val="22"/>
          <w:szCs w:val="22"/>
        </w:rPr>
        <w:t xml:space="preserve">. </w:t>
      </w:r>
      <w:r w:rsidRPr="000B3FE3">
        <w:rPr>
          <w:sz w:val="22"/>
          <w:szCs w:val="22"/>
        </w:rPr>
        <w:t>Ver secção 4</w:t>
      </w:r>
      <w:r w:rsidRPr="004931CE">
        <w:rPr>
          <w:sz w:val="22"/>
          <w:szCs w:val="22"/>
        </w:rPr>
        <w:t>.</w:t>
      </w:r>
    </w:p>
    <w:p w14:paraId="22612C21" w14:textId="77777777" w:rsidR="004462A0" w:rsidRPr="008912CF" w:rsidRDefault="004462A0" w:rsidP="004462A0">
      <w:pPr>
        <w:ind w:right="-2"/>
        <w:rPr>
          <w:sz w:val="22"/>
          <w:szCs w:val="22"/>
          <w:u w:val="single"/>
        </w:rPr>
      </w:pPr>
    </w:p>
    <w:p w14:paraId="04E6BC5E" w14:textId="77777777" w:rsidR="004462A0" w:rsidRPr="009B21DC" w:rsidRDefault="00615769" w:rsidP="004462A0">
      <w:pPr>
        <w:ind w:right="-2"/>
        <w:rPr>
          <w:sz w:val="22"/>
          <w:szCs w:val="22"/>
        </w:rPr>
      </w:pPr>
      <w:r w:rsidRPr="00F1550B">
        <w:rPr>
          <w:b/>
          <w:sz w:val="22"/>
          <w:szCs w:val="22"/>
        </w:rPr>
        <w:t>O que contém este folheto</w:t>
      </w:r>
      <w:r w:rsidRPr="009B21DC">
        <w:rPr>
          <w:sz w:val="22"/>
          <w:szCs w:val="22"/>
        </w:rPr>
        <w:t xml:space="preserve"> </w:t>
      </w:r>
    </w:p>
    <w:p w14:paraId="22D5157A" w14:textId="77777777" w:rsidR="004462A0" w:rsidRPr="008912CF" w:rsidRDefault="00615769" w:rsidP="004462A0">
      <w:pPr>
        <w:ind w:left="567" w:hanging="567"/>
        <w:rPr>
          <w:sz w:val="22"/>
          <w:szCs w:val="22"/>
        </w:rPr>
      </w:pPr>
      <w:r w:rsidRPr="008912CF">
        <w:rPr>
          <w:sz w:val="22"/>
          <w:szCs w:val="22"/>
        </w:rPr>
        <w:t>1.</w:t>
      </w:r>
      <w:r w:rsidRPr="008912CF">
        <w:rPr>
          <w:sz w:val="22"/>
          <w:szCs w:val="22"/>
        </w:rPr>
        <w:tab/>
        <w:t xml:space="preserve">O que é Humira e para que é utilizado </w:t>
      </w:r>
    </w:p>
    <w:p w14:paraId="63A5AD0E" w14:textId="77777777" w:rsidR="004462A0" w:rsidRPr="008912CF" w:rsidRDefault="00615769" w:rsidP="004462A0">
      <w:pPr>
        <w:ind w:left="567" w:hanging="567"/>
        <w:rPr>
          <w:sz w:val="22"/>
          <w:szCs w:val="22"/>
        </w:rPr>
      </w:pPr>
      <w:r w:rsidRPr="008912CF">
        <w:rPr>
          <w:sz w:val="22"/>
          <w:szCs w:val="22"/>
        </w:rPr>
        <w:t>2.</w:t>
      </w:r>
      <w:r w:rsidRPr="008912CF">
        <w:rPr>
          <w:sz w:val="22"/>
          <w:szCs w:val="22"/>
        </w:rPr>
        <w:tab/>
        <w:t>O que precisa de saber antes de utilizar Humira</w:t>
      </w:r>
    </w:p>
    <w:p w14:paraId="65ECD3B7" w14:textId="77777777" w:rsidR="004462A0" w:rsidRPr="008912CF" w:rsidRDefault="00615769" w:rsidP="004462A0">
      <w:pPr>
        <w:ind w:left="567" w:hanging="567"/>
        <w:rPr>
          <w:sz w:val="22"/>
          <w:szCs w:val="22"/>
        </w:rPr>
      </w:pPr>
      <w:r w:rsidRPr="008912CF">
        <w:rPr>
          <w:sz w:val="22"/>
          <w:szCs w:val="22"/>
        </w:rPr>
        <w:t>3.</w:t>
      </w:r>
      <w:r w:rsidRPr="008912CF">
        <w:rPr>
          <w:sz w:val="22"/>
          <w:szCs w:val="22"/>
        </w:rPr>
        <w:tab/>
        <w:t>Como utilizar Humira</w:t>
      </w:r>
    </w:p>
    <w:p w14:paraId="49830752" w14:textId="77777777" w:rsidR="004462A0" w:rsidRPr="008912CF" w:rsidRDefault="00615769" w:rsidP="004462A0">
      <w:pPr>
        <w:ind w:left="567" w:hanging="567"/>
        <w:rPr>
          <w:sz w:val="22"/>
          <w:szCs w:val="22"/>
        </w:rPr>
      </w:pPr>
      <w:r w:rsidRPr="008912CF">
        <w:rPr>
          <w:sz w:val="22"/>
          <w:szCs w:val="22"/>
        </w:rPr>
        <w:t>4.</w:t>
      </w:r>
      <w:r w:rsidRPr="008912CF">
        <w:rPr>
          <w:sz w:val="22"/>
          <w:szCs w:val="22"/>
        </w:rPr>
        <w:tab/>
        <w:t xml:space="preserve">Efeitos </w:t>
      </w:r>
      <w:r w:rsidR="00571C82">
        <w:rPr>
          <w:sz w:val="22"/>
          <w:szCs w:val="22"/>
        </w:rPr>
        <w:t>indesejáveis</w:t>
      </w:r>
      <w:r w:rsidRPr="008912CF">
        <w:rPr>
          <w:sz w:val="22"/>
          <w:szCs w:val="22"/>
        </w:rPr>
        <w:t xml:space="preserve"> possíveis </w:t>
      </w:r>
    </w:p>
    <w:p w14:paraId="42BCA796" w14:textId="77777777" w:rsidR="004462A0" w:rsidRPr="008912CF" w:rsidRDefault="00615769" w:rsidP="004462A0">
      <w:pPr>
        <w:pStyle w:val="EMEABullet"/>
        <w:tabs>
          <w:tab w:val="clear" w:pos="567"/>
        </w:tabs>
        <w:suppressAutoHyphens w:val="0"/>
        <w:rPr>
          <w:szCs w:val="22"/>
          <w:lang w:val="pt-PT"/>
        </w:rPr>
      </w:pPr>
      <w:r w:rsidRPr="008912CF">
        <w:rPr>
          <w:szCs w:val="22"/>
          <w:lang w:val="pt-PT"/>
        </w:rPr>
        <w:t>5</w:t>
      </w:r>
      <w:r>
        <w:rPr>
          <w:szCs w:val="22"/>
          <w:lang w:val="pt-PT"/>
        </w:rPr>
        <w:t>.</w:t>
      </w:r>
      <w:r w:rsidRPr="008912CF">
        <w:rPr>
          <w:szCs w:val="22"/>
          <w:lang w:val="pt-PT"/>
        </w:rPr>
        <w:tab/>
        <w:t>Como conservar Humira</w:t>
      </w:r>
    </w:p>
    <w:p w14:paraId="5A75F451" w14:textId="77777777" w:rsidR="004462A0" w:rsidRDefault="00615769" w:rsidP="004462A0">
      <w:pPr>
        <w:ind w:left="567" w:hanging="567"/>
        <w:rPr>
          <w:sz w:val="22"/>
          <w:szCs w:val="22"/>
        </w:rPr>
      </w:pPr>
      <w:r w:rsidRPr="008912CF">
        <w:rPr>
          <w:sz w:val="22"/>
          <w:szCs w:val="22"/>
        </w:rPr>
        <w:t>6.</w:t>
      </w:r>
      <w:r w:rsidRPr="008912CF">
        <w:rPr>
          <w:sz w:val="22"/>
          <w:szCs w:val="22"/>
        </w:rPr>
        <w:tab/>
        <w:t>Conteúdo da embalagem e outras informações</w:t>
      </w:r>
    </w:p>
    <w:p w14:paraId="7A2AA48F" w14:textId="77777777" w:rsidR="004462A0" w:rsidRPr="008912CF" w:rsidRDefault="00615769" w:rsidP="004462A0">
      <w:pPr>
        <w:ind w:left="567" w:hanging="567"/>
        <w:rPr>
          <w:sz w:val="22"/>
          <w:szCs w:val="22"/>
        </w:rPr>
      </w:pPr>
      <w:r>
        <w:rPr>
          <w:sz w:val="22"/>
          <w:szCs w:val="22"/>
        </w:rPr>
        <w:t xml:space="preserve">7. </w:t>
      </w:r>
      <w:r>
        <w:rPr>
          <w:sz w:val="22"/>
          <w:szCs w:val="22"/>
        </w:rPr>
        <w:tab/>
      </w:r>
      <w:r w:rsidR="00763569">
        <w:rPr>
          <w:bCs/>
          <w:sz w:val="22"/>
          <w:szCs w:val="22"/>
        </w:rPr>
        <w:t>Injetar Humira</w:t>
      </w:r>
    </w:p>
    <w:p w14:paraId="50F7F9AF" w14:textId="77777777" w:rsidR="004462A0" w:rsidRPr="008912CF" w:rsidRDefault="004462A0" w:rsidP="004462A0">
      <w:pPr>
        <w:ind w:right="-2"/>
        <w:rPr>
          <w:sz w:val="22"/>
          <w:szCs w:val="22"/>
        </w:rPr>
      </w:pPr>
    </w:p>
    <w:p w14:paraId="5432929A" w14:textId="77777777" w:rsidR="004462A0" w:rsidRPr="008912CF" w:rsidRDefault="004462A0" w:rsidP="004462A0">
      <w:pPr>
        <w:ind w:right="-2"/>
        <w:rPr>
          <w:sz w:val="22"/>
          <w:szCs w:val="22"/>
        </w:rPr>
      </w:pPr>
    </w:p>
    <w:p w14:paraId="332F0A98" w14:textId="77777777" w:rsidR="004462A0" w:rsidRPr="008912CF" w:rsidRDefault="00615769" w:rsidP="004462A0">
      <w:pPr>
        <w:ind w:left="567" w:right="-2" w:hanging="567"/>
        <w:rPr>
          <w:sz w:val="22"/>
          <w:szCs w:val="22"/>
        </w:rPr>
      </w:pPr>
      <w:r w:rsidRPr="008912CF">
        <w:rPr>
          <w:b/>
          <w:sz w:val="22"/>
          <w:szCs w:val="22"/>
        </w:rPr>
        <w:t>1.</w:t>
      </w:r>
      <w:r w:rsidRPr="008912CF">
        <w:rPr>
          <w:b/>
          <w:sz w:val="22"/>
          <w:szCs w:val="22"/>
        </w:rPr>
        <w:tab/>
        <w:t>O que é Humira e para que é utilizado</w:t>
      </w:r>
    </w:p>
    <w:p w14:paraId="2EB62B3B" w14:textId="77777777" w:rsidR="004462A0" w:rsidRPr="008912CF" w:rsidRDefault="004462A0" w:rsidP="004462A0">
      <w:pPr>
        <w:pStyle w:val="EndnoteText"/>
        <w:tabs>
          <w:tab w:val="clear" w:pos="567"/>
        </w:tabs>
        <w:rPr>
          <w:szCs w:val="22"/>
        </w:rPr>
      </w:pPr>
    </w:p>
    <w:p w14:paraId="1DA55140" w14:textId="77777777" w:rsidR="004462A0" w:rsidRPr="008B0DDF" w:rsidRDefault="00615769" w:rsidP="004462A0">
      <w:pPr>
        <w:rPr>
          <w:sz w:val="22"/>
          <w:szCs w:val="22"/>
        </w:rPr>
      </w:pPr>
      <w:r w:rsidRPr="004931CE">
        <w:rPr>
          <w:sz w:val="22"/>
          <w:szCs w:val="22"/>
        </w:rPr>
        <w:t>Humira contém adalimumab como substância ativa</w:t>
      </w:r>
      <w:r w:rsidRPr="008B0DDF">
        <w:rPr>
          <w:sz w:val="22"/>
          <w:szCs w:val="22"/>
        </w:rPr>
        <w:t>.</w:t>
      </w:r>
    </w:p>
    <w:p w14:paraId="6A2ABD6B" w14:textId="77777777" w:rsidR="004462A0" w:rsidRPr="008B0DDF" w:rsidRDefault="004462A0" w:rsidP="004462A0">
      <w:pPr>
        <w:rPr>
          <w:sz w:val="22"/>
          <w:szCs w:val="22"/>
        </w:rPr>
      </w:pPr>
    </w:p>
    <w:p w14:paraId="04B1A26B" w14:textId="77777777" w:rsidR="004462A0" w:rsidRDefault="00615769" w:rsidP="004462A0">
      <w:pPr>
        <w:rPr>
          <w:sz w:val="22"/>
          <w:szCs w:val="22"/>
        </w:rPr>
      </w:pPr>
      <w:r w:rsidRPr="008B0DDF">
        <w:rPr>
          <w:sz w:val="22"/>
          <w:szCs w:val="22"/>
        </w:rPr>
        <w:t>Humira é usado no tratamento da</w:t>
      </w:r>
    </w:p>
    <w:p w14:paraId="2DB08F9B" w14:textId="77777777" w:rsidR="004F2F3E" w:rsidRPr="00AA7352" w:rsidRDefault="00615769" w:rsidP="00AA7352">
      <w:pPr>
        <w:pStyle w:val="ListParagraph"/>
        <w:numPr>
          <w:ilvl w:val="0"/>
          <w:numId w:val="152"/>
        </w:numPr>
        <w:ind w:left="567" w:hanging="567"/>
        <w:rPr>
          <w:sz w:val="22"/>
          <w:szCs w:val="22"/>
        </w:rPr>
      </w:pPr>
      <w:r w:rsidRPr="00AA7352">
        <w:rPr>
          <w:sz w:val="22"/>
          <w:szCs w:val="22"/>
        </w:rPr>
        <w:t>Artrite reumat</w:t>
      </w:r>
      <w:r w:rsidR="00D25E3A">
        <w:rPr>
          <w:sz w:val="22"/>
          <w:szCs w:val="22"/>
        </w:rPr>
        <w:t>o</w:t>
      </w:r>
      <w:r w:rsidRPr="00AA7352">
        <w:rPr>
          <w:sz w:val="22"/>
          <w:szCs w:val="22"/>
        </w:rPr>
        <w:t>ide</w:t>
      </w:r>
    </w:p>
    <w:p w14:paraId="6981F1A4" w14:textId="77777777" w:rsidR="004462A0" w:rsidRPr="008B0DDF" w:rsidRDefault="00615769" w:rsidP="004462A0">
      <w:pPr>
        <w:numPr>
          <w:ilvl w:val="0"/>
          <w:numId w:val="84"/>
        </w:numPr>
        <w:ind w:left="567" w:hanging="567"/>
        <w:rPr>
          <w:sz w:val="22"/>
          <w:szCs w:val="22"/>
        </w:rPr>
      </w:pPr>
      <w:r w:rsidRPr="008B0DDF">
        <w:rPr>
          <w:sz w:val="22"/>
          <w:szCs w:val="22"/>
        </w:rPr>
        <w:t>Psoríase em placas</w:t>
      </w:r>
    </w:p>
    <w:p w14:paraId="39201398" w14:textId="77777777" w:rsidR="004462A0" w:rsidRPr="008B0DDF" w:rsidRDefault="00615769" w:rsidP="004462A0">
      <w:pPr>
        <w:numPr>
          <w:ilvl w:val="0"/>
          <w:numId w:val="84"/>
        </w:numPr>
        <w:ind w:left="567" w:hanging="567"/>
        <w:rPr>
          <w:sz w:val="22"/>
          <w:szCs w:val="22"/>
        </w:rPr>
      </w:pPr>
      <w:r w:rsidRPr="008B0DDF">
        <w:rPr>
          <w:sz w:val="22"/>
          <w:szCs w:val="22"/>
        </w:rPr>
        <w:t>Hidradenite supurativa</w:t>
      </w:r>
    </w:p>
    <w:p w14:paraId="1E9C8118" w14:textId="77777777" w:rsidR="004462A0" w:rsidRPr="008B0DDF" w:rsidRDefault="00615769" w:rsidP="004462A0">
      <w:pPr>
        <w:numPr>
          <w:ilvl w:val="0"/>
          <w:numId w:val="84"/>
        </w:numPr>
        <w:ind w:left="567" w:hanging="567"/>
        <w:rPr>
          <w:sz w:val="22"/>
          <w:szCs w:val="22"/>
        </w:rPr>
      </w:pPr>
      <w:r w:rsidRPr="008B0DDF">
        <w:rPr>
          <w:sz w:val="22"/>
          <w:szCs w:val="22"/>
        </w:rPr>
        <w:t>Doença de Crohn</w:t>
      </w:r>
    </w:p>
    <w:p w14:paraId="75112525" w14:textId="77777777" w:rsidR="004462A0" w:rsidRDefault="00615769" w:rsidP="004462A0">
      <w:pPr>
        <w:numPr>
          <w:ilvl w:val="0"/>
          <w:numId w:val="84"/>
        </w:numPr>
        <w:ind w:left="567" w:hanging="567"/>
        <w:rPr>
          <w:sz w:val="22"/>
          <w:szCs w:val="22"/>
        </w:rPr>
      </w:pPr>
      <w:r w:rsidRPr="008B0DDF">
        <w:rPr>
          <w:sz w:val="22"/>
          <w:szCs w:val="22"/>
        </w:rPr>
        <w:t>Colite ulcerosa</w:t>
      </w:r>
    </w:p>
    <w:p w14:paraId="2DCAFBD2" w14:textId="77777777" w:rsidR="004462A0" w:rsidRPr="005F6F98" w:rsidRDefault="00615769" w:rsidP="004462A0">
      <w:pPr>
        <w:numPr>
          <w:ilvl w:val="0"/>
          <w:numId w:val="84"/>
        </w:numPr>
        <w:ind w:left="567" w:hanging="567"/>
        <w:rPr>
          <w:sz w:val="22"/>
          <w:szCs w:val="22"/>
        </w:rPr>
      </w:pPr>
      <w:r w:rsidRPr="005F6F98">
        <w:rPr>
          <w:sz w:val="22"/>
          <w:szCs w:val="22"/>
        </w:rPr>
        <w:t>Uveíte não infecciosa</w:t>
      </w:r>
    </w:p>
    <w:p w14:paraId="5F2B7909" w14:textId="77777777" w:rsidR="004462A0" w:rsidRPr="002B2441" w:rsidRDefault="00615769" w:rsidP="004462A0">
      <w:pPr>
        <w:rPr>
          <w:sz w:val="22"/>
          <w:szCs w:val="22"/>
        </w:rPr>
      </w:pPr>
      <w:r w:rsidRPr="00003560">
        <w:rPr>
          <w:sz w:val="22"/>
          <w:szCs w:val="22"/>
        </w:rPr>
        <w:t xml:space="preserve"> </w:t>
      </w:r>
    </w:p>
    <w:p w14:paraId="21CF2EA1" w14:textId="77777777" w:rsidR="00716239" w:rsidRPr="007D762F" w:rsidRDefault="00615769" w:rsidP="00716239">
      <w:pPr>
        <w:ind w:right="-2"/>
        <w:rPr>
          <w:sz w:val="22"/>
          <w:szCs w:val="22"/>
        </w:rPr>
      </w:pPr>
      <w:r w:rsidRPr="007D762F">
        <w:rPr>
          <w:sz w:val="22"/>
          <w:szCs w:val="22"/>
        </w:rPr>
        <w:t>A substância ativa de Humira, adalimumab, é um anticorpo monoclonal humano. Os anticorpos monoclonais são proteínas que se ligam a um alvo específico.</w:t>
      </w:r>
    </w:p>
    <w:p w14:paraId="243CA098" w14:textId="77777777" w:rsidR="00716239" w:rsidRPr="007D762F" w:rsidRDefault="00716239" w:rsidP="00716239">
      <w:pPr>
        <w:ind w:right="-2"/>
        <w:rPr>
          <w:sz w:val="22"/>
          <w:szCs w:val="22"/>
        </w:rPr>
      </w:pPr>
    </w:p>
    <w:p w14:paraId="44E9B359" w14:textId="77777777" w:rsidR="00716239" w:rsidRDefault="00615769" w:rsidP="00716239">
      <w:pPr>
        <w:ind w:right="-2"/>
        <w:rPr>
          <w:szCs w:val="22"/>
        </w:rPr>
      </w:pPr>
      <w:r w:rsidRPr="007D762F">
        <w:rPr>
          <w:sz w:val="22"/>
          <w:szCs w:val="22"/>
        </w:rPr>
        <w:t>O alvo de adalimumab é uma proteína denominada fator de necrose tumoral (TNFα), que está envolvida no sistema imunitário (defesa) e está presente em níveis aumentados nas doenças inflamatórias a</w:t>
      </w:r>
      <w:r w:rsidR="00816FFE">
        <w:rPr>
          <w:sz w:val="22"/>
          <w:szCs w:val="22"/>
        </w:rPr>
        <w:t xml:space="preserve">cima </w:t>
      </w:r>
      <w:r w:rsidRPr="007D762F">
        <w:rPr>
          <w:sz w:val="22"/>
          <w:szCs w:val="22"/>
        </w:rPr>
        <w:t xml:space="preserve">mencionadas. </w:t>
      </w:r>
      <w:r w:rsidR="00D26B76">
        <w:rPr>
          <w:sz w:val="22"/>
          <w:szCs w:val="22"/>
        </w:rPr>
        <w:t>Ao ligar-se</w:t>
      </w:r>
      <w:r w:rsidRPr="007D762F">
        <w:rPr>
          <w:sz w:val="22"/>
          <w:szCs w:val="22"/>
        </w:rPr>
        <w:t xml:space="preserve"> ao TNFα, Humira diminui o processo inflamatório destas doenças.</w:t>
      </w:r>
    </w:p>
    <w:p w14:paraId="549225C9" w14:textId="77777777" w:rsidR="004462A0" w:rsidRDefault="004462A0" w:rsidP="00F03C54">
      <w:pPr>
        <w:rPr>
          <w:szCs w:val="22"/>
        </w:rPr>
      </w:pPr>
    </w:p>
    <w:p w14:paraId="05C082AA" w14:textId="77777777" w:rsidR="00D25E3A" w:rsidRPr="00277153" w:rsidRDefault="00615769" w:rsidP="00D25E3A">
      <w:pPr>
        <w:rPr>
          <w:sz w:val="22"/>
          <w:szCs w:val="22"/>
        </w:rPr>
      </w:pPr>
      <w:r w:rsidRPr="00277153">
        <w:rPr>
          <w:b/>
          <w:sz w:val="22"/>
          <w:szCs w:val="22"/>
        </w:rPr>
        <w:t>Artrite reumatoide</w:t>
      </w:r>
    </w:p>
    <w:p w14:paraId="456163C9" w14:textId="77777777" w:rsidR="00D25E3A" w:rsidRPr="006462E3" w:rsidRDefault="00D25E3A" w:rsidP="00D25E3A">
      <w:pPr>
        <w:rPr>
          <w:sz w:val="22"/>
          <w:szCs w:val="22"/>
        </w:rPr>
      </w:pPr>
    </w:p>
    <w:p w14:paraId="443E006B" w14:textId="77777777" w:rsidR="00D25E3A" w:rsidRPr="006462E3" w:rsidRDefault="00615769" w:rsidP="00D25E3A">
      <w:pPr>
        <w:rPr>
          <w:sz w:val="22"/>
          <w:szCs w:val="22"/>
        </w:rPr>
      </w:pPr>
      <w:r w:rsidRPr="006462E3">
        <w:rPr>
          <w:sz w:val="22"/>
          <w:szCs w:val="22"/>
        </w:rPr>
        <w:t>A artrite reumatoide é uma doença inflamatória das articulações.</w:t>
      </w:r>
    </w:p>
    <w:p w14:paraId="19A2E004" w14:textId="77777777" w:rsidR="00D25E3A" w:rsidRPr="009A05BE" w:rsidRDefault="00D25E3A" w:rsidP="00D25E3A">
      <w:pPr>
        <w:ind w:right="-2"/>
        <w:rPr>
          <w:sz w:val="22"/>
          <w:szCs w:val="22"/>
        </w:rPr>
      </w:pPr>
    </w:p>
    <w:p w14:paraId="1878B673" w14:textId="77777777" w:rsidR="00D25E3A" w:rsidRPr="00653128" w:rsidRDefault="00615769" w:rsidP="00D25E3A">
      <w:pPr>
        <w:ind w:right="-2"/>
        <w:rPr>
          <w:sz w:val="22"/>
          <w:szCs w:val="22"/>
        </w:rPr>
      </w:pPr>
      <w:r w:rsidRPr="00854C93">
        <w:rPr>
          <w:sz w:val="22"/>
          <w:szCs w:val="22"/>
        </w:rPr>
        <w:t xml:space="preserve">Humira é usado no tratamento da artrite reumatoide moderada a grave em adultos. </w:t>
      </w:r>
      <w:r w:rsidRPr="0089156B">
        <w:rPr>
          <w:sz w:val="22"/>
          <w:szCs w:val="22"/>
        </w:rPr>
        <w:t>É</w:t>
      </w:r>
      <w:r w:rsidRPr="000B3FE3">
        <w:rPr>
          <w:sz w:val="22"/>
          <w:szCs w:val="22"/>
        </w:rPr>
        <w:t xml:space="preserve"> possível que tenha sido previamente tratado com outros medicamentos modificadores da doença, como m</w:t>
      </w:r>
      <w:r w:rsidRPr="004931CE">
        <w:rPr>
          <w:sz w:val="22"/>
          <w:szCs w:val="22"/>
        </w:rPr>
        <w:t>etotrexato. Se a sua resposta a estes medicamentos tiver sido insuficiente, ser-lhe-á administrado Humira</w:t>
      </w:r>
      <w:r w:rsidRPr="00653128">
        <w:rPr>
          <w:sz w:val="22"/>
          <w:szCs w:val="22"/>
        </w:rPr>
        <w:t>.</w:t>
      </w:r>
    </w:p>
    <w:p w14:paraId="69FC07B5" w14:textId="77777777" w:rsidR="00D25E3A" w:rsidRPr="00653128" w:rsidRDefault="00D25E3A" w:rsidP="00D25E3A">
      <w:pPr>
        <w:ind w:right="-2"/>
        <w:rPr>
          <w:sz w:val="22"/>
          <w:szCs w:val="22"/>
        </w:rPr>
      </w:pPr>
    </w:p>
    <w:p w14:paraId="04C091DC" w14:textId="77777777" w:rsidR="00D25E3A" w:rsidRPr="002D4DE5" w:rsidRDefault="00615769" w:rsidP="00D25E3A">
      <w:pPr>
        <w:ind w:right="-2"/>
        <w:rPr>
          <w:sz w:val="22"/>
          <w:szCs w:val="22"/>
        </w:rPr>
      </w:pPr>
      <w:r w:rsidRPr="00D33370">
        <w:rPr>
          <w:sz w:val="22"/>
          <w:szCs w:val="22"/>
        </w:rPr>
        <w:t xml:space="preserve">Humira pode ser usado no tratamento da artrite reumatoide grave, ativa e progressiva sem tratamento prévio com </w:t>
      </w:r>
      <w:r w:rsidRPr="002D4DE5">
        <w:rPr>
          <w:sz w:val="22"/>
          <w:szCs w:val="22"/>
        </w:rPr>
        <w:t>metotrexato.</w:t>
      </w:r>
    </w:p>
    <w:p w14:paraId="6AA855FF" w14:textId="77777777" w:rsidR="00D25E3A" w:rsidRPr="00003560" w:rsidRDefault="00D25E3A" w:rsidP="00D25E3A">
      <w:pPr>
        <w:ind w:right="-2"/>
        <w:rPr>
          <w:sz w:val="22"/>
          <w:szCs w:val="22"/>
        </w:rPr>
      </w:pPr>
    </w:p>
    <w:p w14:paraId="56F816DD" w14:textId="77777777" w:rsidR="00D25E3A" w:rsidRPr="00854C93" w:rsidRDefault="00615769" w:rsidP="00D25E3A">
      <w:pPr>
        <w:ind w:right="-2"/>
        <w:rPr>
          <w:sz w:val="22"/>
          <w:szCs w:val="22"/>
        </w:rPr>
      </w:pPr>
      <w:r w:rsidRPr="00003560">
        <w:rPr>
          <w:sz w:val="22"/>
          <w:szCs w:val="22"/>
        </w:rPr>
        <w:t xml:space="preserve">Humira </w:t>
      </w:r>
      <w:r w:rsidRPr="005F6F98">
        <w:rPr>
          <w:sz w:val="22"/>
          <w:szCs w:val="22"/>
        </w:rPr>
        <w:t xml:space="preserve">pode retardar a lesão das articulações causada pela doença </w:t>
      </w:r>
      <w:r w:rsidRPr="002B2441">
        <w:rPr>
          <w:sz w:val="22"/>
          <w:szCs w:val="22"/>
        </w:rPr>
        <w:t>inflamatória e pode ajud</w:t>
      </w:r>
      <w:r w:rsidRPr="00854C93">
        <w:rPr>
          <w:sz w:val="22"/>
          <w:szCs w:val="22"/>
        </w:rPr>
        <w:t>á-las a mover</w:t>
      </w:r>
      <w:r>
        <w:rPr>
          <w:sz w:val="22"/>
          <w:szCs w:val="22"/>
        </w:rPr>
        <w:t>em</w:t>
      </w:r>
      <w:r w:rsidRPr="00854C93">
        <w:rPr>
          <w:sz w:val="22"/>
          <w:szCs w:val="22"/>
        </w:rPr>
        <w:t>-se mais livremente.</w:t>
      </w:r>
    </w:p>
    <w:p w14:paraId="06920676" w14:textId="77777777" w:rsidR="00D25E3A" w:rsidRPr="0089156B" w:rsidRDefault="00D25E3A" w:rsidP="00D25E3A">
      <w:pPr>
        <w:ind w:right="-2"/>
        <w:rPr>
          <w:sz w:val="22"/>
          <w:szCs w:val="22"/>
        </w:rPr>
      </w:pPr>
    </w:p>
    <w:p w14:paraId="2B0E9F1B" w14:textId="77777777" w:rsidR="004F2F3E" w:rsidRDefault="00615769" w:rsidP="00AA7352">
      <w:pPr>
        <w:ind w:right="-2"/>
        <w:rPr>
          <w:szCs w:val="22"/>
        </w:rPr>
      </w:pPr>
      <w:r w:rsidRPr="004931CE">
        <w:rPr>
          <w:sz w:val="22"/>
          <w:szCs w:val="22"/>
        </w:rPr>
        <w:t>O seu médico irá decidir se Humira pode ser usado com metotrexato ou isola</w:t>
      </w:r>
      <w:r w:rsidRPr="00653128">
        <w:rPr>
          <w:sz w:val="22"/>
          <w:szCs w:val="22"/>
        </w:rPr>
        <w:t>damente.</w:t>
      </w:r>
    </w:p>
    <w:p w14:paraId="6AFA9829" w14:textId="77777777" w:rsidR="004F2F3E" w:rsidRDefault="004F2F3E" w:rsidP="00F03C54">
      <w:pPr>
        <w:rPr>
          <w:szCs w:val="22"/>
        </w:rPr>
      </w:pPr>
    </w:p>
    <w:p w14:paraId="2AAC566E" w14:textId="77777777" w:rsidR="004462A0" w:rsidRPr="004C7CB8" w:rsidRDefault="00615769" w:rsidP="004462A0">
      <w:pPr>
        <w:pStyle w:val="DefaultText"/>
        <w:rPr>
          <w:rFonts w:ascii="Times New Roman" w:hAnsi="Times New Roman"/>
          <w:b/>
          <w:szCs w:val="22"/>
          <w:lang w:val="pt-PT"/>
        </w:rPr>
      </w:pPr>
      <w:r w:rsidRPr="004C7CB8">
        <w:rPr>
          <w:rFonts w:ascii="Times New Roman" w:hAnsi="Times New Roman"/>
          <w:b/>
          <w:szCs w:val="22"/>
          <w:lang w:val="pt-PT"/>
        </w:rPr>
        <w:t xml:space="preserve">Psoríase em placas </w:t>
      </w:r>
    </w:p>
    <w:p w14:paraId="307C856A" w14:textId="77777777" w:rsidR="004462A0" w:rsidRPr="008912CF" w:rsidRDefault="004462A0" w:rsidP="004462A0">
      <w:pPr>
        <w:ind w:right="-2"/>
        <w:rPr>
          <w:sz w:val="22"/>
          <w:szCs w:val="22"/>
          <w:u w:val="single"/>
        </w:rPr>
      </w:pPr>
    </w:p>
    <w:p w14:paraId="341709FA" w14:textId="77777777" w:rsidR="004462A0" w:rsidRDefault="00615769" w:rsidP="004462A0">
      <w:pPr>
        <w:rPr>
          <w:sz w:val="22"/>
          <w:szCs w:val="22"/>
        </w:rPr>
      </w:pPr>
      <w:r w:rsidRPr="008912CF">
        <w:rPr>
          <w:sz w:val="22"/>
          <w:szCs w:val="22"/>
        </w:rPr>
        <w:t xml:space="preserve">Psoríase em placas é uma doença da pele que provoca manchas avermelhadas, secas e com placas na pele, cobertas de escamas prateadas. </w:t>
      </w:r>
      <w:r w:rsidRPr="007D08AF">
        <w:rPr>
          <w:sz w:val="22"/>
          <w:szCs w:val="22"/>
        </w:rPr>
        <w:t xml:space="preserve">A psoríase em placas pode também afetar as unhas, causando a sua desintegração, tornando-as espessas e descoladas da </w:t>
      </w:r>
      <w:r>
        <w:rPr>
          <w:sz w:val="22"/>
          <w:szCs w:val="22"/>
        </w:rPr>
        <w:t>base da unha</w:t>
      </w:r>
      <w:r w:rsidRPr="007D08AF">
        <w:rPr>
          <w:sz w:val="22"/>
          <w:szCs w:val="22"/>
        </w:rPr>
        <w:t xml:space="preserve"> o que pode ser doloroso.</w:t>
      </w:r>
    </w:p>
    <w:p w14:paraId="72E686D2" w14:textId="77777777" w:rsidR="004462A0" w:rsidRPr="008912CF" w:rsidRDefault="004462A0" w:rsidP="004462A0"/>
    <w:p w14:paraId="10CF1FAD" w14:textId="77777777" w:rsidR="004462A0" w:rsidRPr="008912CF" w:rsidRDefault="00615769" w:rsidP="004462A0">
      <w:pPr>
        <w:pStyle w:val="DefaultText"/>
        <w:rPr>
          <w:rFonts w:ascii="Times New Roman" w:hAnsi="Times New Roman"/>
          <w:szCs w:val="22"/>
          <w:u w:val="single"/>
          <w:lang w:val="pt-PT"/>
        </w:rPr>
      </w:pPr>
      <w:r w:rsidRPr="008912CF">
        <w:rPr>
          <w:rFonts w:ascii="Times New Roman" w:hAnsi="Times New Roman"/>
          <w:szCs w:val="22"/>
          <w:lang w:val="pt-PT"/>
        </w:rPr>
        <w:t xml:space="preserve">Humira é usado no tratamento da psoríase </w:t>
      </w:r>
      <w:r w:rsidR="00B71A1F">
        <w:rPr>
          <w:rFonts w:ascii="Times New Roman" w:hAnsi="Times New Roman"/>
          <w:szCs w:val="22"/>
          <w:lang w:val="pt-PT"/>
        </w:rPr>
        <w:t xml:space="preserve">crónica </w:t>
      </w:r>
      <w:r w:rsidRPr="008912CF">
        <w:rPr>
          <w:rFonts w:ascii="Times New Roman" w:hAnsi="Times New Roman"/>
          <w:szCs w:val="22"/>
          <w:lang w:val="pt-PT"/>
        </w:rPr>
        <w:t xml:space="preserve">em placas moderada a grave em adultos. </w:t>
      </w:r>
    </w:p>
    <w:p w14:paraId="74FEED36" w14:textId="77777777" w:rsidR="004462A0" w:rsidRPr="008912CF" w:rsidRDefault="004462A0" w:rsidP="004462A0">
      <w:pPr>
        <w:rPr>
          <w:sz w:val="22"/>
          <w:szCs w:val="22"/>
        </w:rPr>
      </w:pPr>
    </w:p>
    <w:p w14:paraId="72DF27C0" w14:textId="77777777" w:rsidR="004462A0" w:rsidRPr="004C7CB8" w:rsidRDefault="00615769" w:rsidP="004462A0">
      <w:pPr>
        <w:ind w:right="-2"/>
        <w:rPr>
          <w:b/>
          <w:sz w:val="22"/>
          <w:szCs w:val="22"/>
        </w:rPr>
      </w:pPr>
      <w:r w:rsidRPr="004C7CB8">
        <w:rPr>
          <w:b/>
          <w:sz w:val="22"/>
          <w:szCs w:val="22"/>
        </w:rPr>
        <w:t xml:space="preserve">Hidradenite supurativa </w:t>
      </w:r>
    </w:p>
    <w:p w14:paraId="7604E9C2" w14:textId="77777777" w:rsidR="004462A0" w:rsidRPr="00B427DD" w:rsidRDefault="004462A0" w:rsidP="004462A0">
      <w:pPr>
        <w:ind w:right="-2"/>
        <w:rPr>
          <w:sz w:val="22"/>
          <w:szCs w:val="22"/>
        </w:rPr>
      </w:pPr>
    </w:p>
    <w:p w14:paraId="35889ECE" w14:textId="77777777" w:rsidR="004462A0" w:rsidRPr="008912CF" w:rsidRDefault="00615769" w:rsidP="004462A0">
      <w:pPr>
        <w:ind w:right="-2"/>
        <w:rPr>
          <w:sz w:val="22"/>
          <w:szCs w:val="22"/>
        </w:rPr>
      </w:pPr>
      <w:r w:rsidRPr="008912CF">
        <w:rPr>
          <w:sz w:val="22"/>
          <w:szCs w:val="22"/>
        </w:rPr>
        <w:t xml:space="preserve">Hidradenite supurativa (por vezes chamada hidrosadenite supurativa ou acne inversa) é uma doença inflamatória crónica da pele, muitas vezes dolorosa. Os sintomas podem incluir nódulos dolorosos (caroços) e abcessos (furúnculos) que podem libertar pus. Frequentemente afeta áreas da pele </w:t>
      </w:r>
      <w:r w:rsidRPr="008912CF">
        <w:t>específicas</w:t>
      </w:r>
      <w:r w:rsidRPr="008912CF">
        <w:rPr>
          <w:sz w:val="22"/>
          <w:szCs w:val="22"/>
        </w:rPr>
        <w:t xml:space="preserve">, tais como a região inframamária (abaixo das mamas), axilas, coxas, virilhas e nádegas. Nas áreas afetadas, podem também surgir cicatrizes. </w:t>
      </w:r>
    </w:p>
    <w:p w14:paraId="55410AE5" w14:textId="77777777" w:rsidR="004462A0" w:rsidRDefault="004462A0" w:rsidP="004462A0">
      <w:pPr>
        <w:rPr>
          <w:sz w:val="22"/>
          <w:szCs w:val="22"/>
        </w:rPr>
      </w:pPr>
    </w:p>
    <w:p w14:paraId="3B4BC6AA" w14:textId="77777777" w:rsidR="004462A0" w:rsidRPr="008B0DDF" w:rsidRDefault="00615769" w:rsidP="004462A0">
      <w:pPr>
        <w:rPr>
          <w:sz w:val="22"/>
          <w:szCs w:val="22"/>
        </w:rPr>
      </w:pPr>
      <w:r w:rsidRPr="008B0DDF">
        <w:rPr>
          <w:sz w:val="22"/>
          <w:szCs w:val="22"/>
        </w:rPr>
        <w:t>Humira é usado no tratamento da</w:t>
      </w:r>
    </w:p>
    <w:p w14:paraId="65112892" w14:textId="77777777" w:rsidR="004462A0" w:rsidRPr="008B0DDF" w:rsidRDefault="00615769" w:rsidP="004462A0">
      <w:pPr>
        <w:numPr>
          <w:ilvl w:val="0"/>
          <w:numId w:val="84"/>
        </w:numPr>
        <w:ind w:left="567" w:hanging="567"/>
        <w:rPr>
          <w:sz w:val="22"/>
          <w:szCs w:val="22"/>
        </w:rPr>
      </w:pPr>
      <w:r>
        <w:rPr>
          <w:sz w:val="22"/>
          <w:szCs w:val="22"/>
        </w:rPr>
        <w:t>hidradenite supurativa moderada a grave em adultos e</w:t>
      </w:r>
    </w:p>
    <w:p w14:paraId="5E4E4772" w14:textId="77777777" w:rsidR="004462A0" w:rsidRPr="008B0DDF" w:rsidRDefault="00615769" w:rsidP="004462A0">
      <w:pPr>
        <w:numPr>
          <w:ilvl w:val="0"/>
          <w:numId w:val="84"/>
        </w:numPr>
        <w:ind w:left="567" w:hanging="567"/>
        <w:rPr>
          <w:sz w:val="22"/>
          <w:szCs w:val="22"/>
        </w:rPr>
      </w:pPr>
      <w:r>
        <w:rPr>
          <w:sz w:val="22"/>
          <w:szCs w:val="22"/>
        </w:rPr>
        <w:t>h</w:t>
      </w:r>
      <w:r w:rsidRPr="008B0DDF">
        <w:rPr>
          <w:sz w:val="22"/>
          <w:szCs w:val="22"/>
        </w:rPr>
        <w:t>idradenite supurativa</w:t>
      </w:r>
      <w:r>
        <w:rPr>
          <w:sz w:val="22"/>
          <w:szCs w:val="22"/>
        </w:rPr>
        <w:t xml:space="preserve"> moderada a grave em adolescentes </w:t>
      </w:r>
      <w:r w:rsidR="00716239">
        <w:rPr>
          <w:sz w:val="22"/>
          <w:szCs w:val="22"/>
        </w:rPr>
        <w:t>entre os</w:t>
      </w:r>
      <w:r>
        <w:rPr>
          <w:sz w:val="22"/>
          <w:szCs w:val="22"/>
        </w:rPr>
        <w:t xml:space="preserve"> 12 </w:t>
      </w:r>
      <w:r w:rsidR="00716239">
        <w:rPr>
          <w:sz w:val="22"/>
          <w:szCs w:val="22"/>
        </w:rPr>
        <w:t xml:space="preserve">e os 17 </w:t>
      </w:r>
      <w:r>
        <w:rPr>
          <w:sz w:val="22"/>
          <w:szCs w:val="22"/>
        </w:rPr>
        <w:t>anos de idade.</w:t>
      </w:r>
    </w:p>
    <w:p w14:paraId="7C17DB85" w14:textId="77777777" w:rsidR="004462A0" w:rsidRDefault="004462A0" w:rsidP="004462A0">
      <w:pPr>
        <w:ind w:right="-2"/>
        <w:rPr>
          <w:sz w:val="22"/>
          <w:szCs w:val="22"/>
        </w:rPr>
      </w:pPr>
    </w:p>
    <w:p w14:paraId="3A4D67DD" w14:textId="77777777" w:rsidR="004462A0" w:rsidRDefault="00615769" w:rsidP="004462A0">
      <w:pPr>
        <w:ind w:right="-2"/>
        <w:rPr>
          <w:sz w:val="22"/>
          <w:szCs w:val="22"/>
        </w:rPr>
      </w:pPr>
      <w:r w:rsidRPr="008912CF">
        <w:rPr>
          <w:sz w:val="22"/>
          <w:szCs w:val="22"/>
        </w:rPr>
        <w:t>Humira pode reduzir o número de nódulos e abcessos existentes, bem como a dor frequentemente associada com a doença.</w:t>
      </w:r>
      <w:r>
        <w:rPr>
          <w:sz w:val="22"/>
          <w:szCs w:val="22"/>
        </w:rPr>
        <w:t xml:space="preserve"> </w:t>
      </w:r>
      <w:r w:rsidRPr="00653128">
        <w:rPr>
          <w:sz w:val="22"/>
          <w:szCs w:val="22"/>
        </w:rPr>
        <w:t>Pode ser tratado inicialmente com outros medicamentos. Se não responder suficientemente bem a estes me</w:t>
      </w:r>
      <w:r w:rsidRPr="00D33370">
        <w:rPr>
          <w:sz w:val="22"/>
          <w:szCs w:val="22"/>
        </w:rPr>
        <w:t>dicamentos, receberá Humira</w:t>
      </w:r>
      <w:r>
        <w:rPr>
          <w:sz w:val="22"/>
          <w:szCs w:val="22"/>
        </w:rPr>
        <w:t>.</w:t>
      </w:r>
    </w:p>
    <w:p w14:paraId="46966E83" w14:textId="77777777" w:rsidR="004462A0" w:rsidRPr="008912CF" w:rsidRDefault="004462A0" w:rsidP="004462A0">
      <w:pPr>
        <w:ind w:right="-2"/>
        <w:rPr>
          <w:sz w:val="22"/>
          <w:szCs w:val="22"/>
        </w:rPr>
      </w:pPr>
    </w:p>
    <w:p w14:paraId="141A80A4" w14:textId="77777777" w:rsidR="004462A0" w:rsidRPr="004C7CB8" w:rsidRDefault="00615769" w:rsidP="004462A0">
      <w:pPr>
        <w:keepNext/>
        <w:rPr>
          <w:b/>
          <w:sz w:val="22"/>
          <w:szCs w:val="22"/>
        </w:rPr>
      </w:pPr>
      <w:r w:rsidRPr="004C7CB8">
        <w:rPr>
          <w:b/>
          <w:sz w:val="22"/>
          <w:szCs w:val="22"/>
        </w:rPr>
        <w:t xml:space="preserve">Doença de Crohn </w:t>
      </w:r>
    </w:p>
    <w:p w14:paraId="57C5E061" w14:textId="77777777" w:rsidR="004462A0" w:rsidRPr="008912CF" w:rsidRDefault="004462A0" w:rsidP="004462A0">
      <w:pPr>
        <w:pStyle w:val="EndnoteText"/>
        <w:keepNext/>
        <w:tabs>
          <w:tab w:val="clear" w:pos="567"/>
        </w:tabs>
        <w:rPr>
          <w:szCs w:val="22"/>
        </w:rPr>
      </w:pPr>
    </w:p>
    <w:p w14:paraId="5D3DCA0B" w14:textId="77777777" w:rsidR="004462A0" w:rsidRPr="008912CF" w:rsidRDefault="00615769" w:rsidP="004462A0">
      <w:pPr>
        <w:pStyle w:val="EndnoteText"/>
        <w:keepNext/>
        <w:tabs>
          <w:tab w:val="clear" w:pos="567"/>
        </w:tabs>
        <w:rPr>
          <w:szCs w:val="22"/>
        </w:rPr>
      </w:pPr>
      <w:r w:rsidRPr="008912CF">
        <w:rPr>
          <w:szCs w:val="22"/>
        </w:rPr>
        <w:t>A doença de Crohn é uma doença inflamatória do aparelho digestivo.</w:t>
      </w:r>
    </w:p>
    <w:p w14:paraId="267CFBE9" w14:textId="77777777" w:rsidR="004462A0" w:rsidRPr="008912CF" w:rsidRDefault="004462A0" w:rsidP="004462A0">
      <w:pPr>
        <w:pStyle w:val="BodyText2"/>
        <w:autoSpaceDE/>
        <w:autoSpaceDN/>
        <w:adjustRightInd/>
        <w:rPr>
          <w:szCs w:val="22"/>
        </w:rPr>
      </w:pPr>
    </w:p>
    <w:p w14:paraId="23D8F369" w14:textId="77777777" w:rsidR="004462A0" w:rsidRDefault="00615769" w:rsidP="004462A0">
      <w:pPr>
        <w:pStyle w:val="BodyText2"/>
        <w:autoSpaceDE/>
        <w:autoSpaceDN/>
        <w:adjustRightInd/>
        <w:rPr>
          <w:szCs w:val="22"/>
        </w:rPr>
      </w:pPr>
      <w:r w:rsidRPr="008912CF">
        <w:rPr>
          <w:szCs w:val="22"/>
        </w:rPr>
        <w:t xml:space="preserve">Humira é usado no tratamento da </w:t>
      </w:r>
    </w:p>
    <w:p w14:paraId="54FECDD9" w14:textId="77777777" w:rsidR="004462A0" w:rsidRDefault="00615769" w:rsidP="004462A0">
      <w:pPr>
        <w:pStyle w:val="BodyText2"/>
        <w:numPr>
          <w:ilvl w:val="0"/>
          <w:numId w:val="107"/>
        </w:numPr>
        <w:autoSpaceDE/>
        <w:autoSpaceDN/>
        <w:adjustRightInd/>
        <w:ind w:left="567" w:hanging="567"/>
        <w:rPr>
          <w:szCs w:val="22"/>
        </w:rPr>
      </w:pPr>
      <w:r w:rsidRPr="008912CF">
        <w:rPr>
          <w:szCs w:val="22"/>
        </w:rPr>
        <w:t xml:space="preserve">doença de Crohn </w:t>
      </w:r>
      <w:r w:rsidR="00716239">
        <w:rPr>
          <w:szCs w:val="22"/>
        </w:rPr>
        <w:t xml:space="preserve">moderada a grave </w:t>
      </w:r>
      <w:r w:rsidRPr="008912CF">
        <w:rPr>
          <w:szCs w:val="22"/>
        </w:rPr>
        <w:t>em adultos e</w:t>
      </w:r>
    </w:p>
    <w:p w14:paraId="4E2BDB58" w14:textId="77777777" w:rsidR="004462A0" w:rsidRDefault="00615769" w:rsidP="004462A0">
      <w:pPr>
        <w:pStyle w:val="BodyText2"/>
        <w:numPr>
          <w:ilvl w:val="0"/>
          <w:numId w:val="107"/>
        </w:numPr>
        <w:autoSpaceDE/>
        <w:autoSpaceDN/>
        <w:adjustRightInd/>
        <w:ind w:left="567" w:hanging="567"/>
        <w:rPr>
          <w:szCs w:val="22"/>
        </w:rPr>
      </w:pPr>
      <w:r>
        <w:rPr>
          <w:szCs w:val="22"/>
        </w:rPr>
        <w:t xml:space="preserve">doença de Crohn </w:t>
      </w:r>
      <w:r w:rsidR="00716239">
        <w:rPr>
          <w:szCs w:val="22"/>
        </w:rPr>
        <w:t xml:space="preserve">moderada a grave </w:t>
      </w:r>
      <w:r>
        <w:rPr>
          <w:szCs w:val="22"/>
        </w:rPr>
        <w:t>em crianças e adolescentes entre os 6 e os 17 anos</w:t>
      </w:r>
    </w:p>
    <w:p w14:paraId="038A8CD3" w14:textId="77777777" w:rsidR="004462A0" w:rsidRDefault="004462A0" w:rsidP="004462A0">
      <w:pPr>
        <w:pStyle w:val="BodyText2"/>
        <w:autoSpaceDE/>
        <w:autoSpaceDN/>
        <w:adjustRightInd/>
        <w:rPr>
          <w:szCs w:val="22"/>
        </w:rPr>
      </w:pPr>
    </w:p>
    <w:p w14:paraId="7549238F" w14:textId="77777777" w:rsidR="004462A0" w:rsidRDefault="00615769" w:rsidP="004462A0">
      <w:pPr>
        <w:ind w:right="-2"/>
        <w:rPr>
          <w:sz w:val="22"/>
          <w:szCs w:val="22"/>
        </w:rPr>
      </w:pPr>
      <w:r w:rsidRPr="00653128">
        <w:rPr>
          <w:sz w:val="22"/>
          <w:szCs w:val="22"/>
        </w:rPr>
        <w:t>Pode ser tratado inicialmente com outros medicamentos. Se não responder suficientemente bem a estes me</w:t>
      </w:r>
      <w:r w:rsidRPr="00D33370">
        <w:rPr>
          <w:sz w:val="22"/>
          <w:szCs w:val="22"/>
        </w:rPr>
        <w:t>dicamentos, receberá Humira</w:t>
      </w:r>
      <w:r>
        <w:rPr>
          <w:sz w:val="22"/>
          <w:szCs w:val="22"/>
        </w:rPr>
        <w:t>.</w:t>
      </w:r>
    </w:p>
    <w:p w14:paraId="11E62BE6" w14:textId="77777777" w:rsidR="004462A0" w:rsidRPr="008912CF" w:rsidRDefault="004462A0" w:rsidP="004462A0">
      <w:pPr>
        <w:pStyle w:val="BodyText2"/>
        <w:autoSpaceDE/>
        <w:autoSpaceDN/>
        <w:adjustRightInd/>
        <w:rPr>
          <w:szCs w:val="22"/>
        </w:rPr>
      </w:pPr>
    </w:p>
    <w:p w14:paraId="462ECF46" w14:textId="77777777" w:rsidR="004462A0" w:rsidRPr="004C7CB8" w:rsidRDefault="00615769" w:rsidP="004462A0">
      <w:pPr>
        <w:pStyle w:val="BodyText2"/>
        <w:autoSpaceDE/>
        <w:autoSpaceDN/>
        <w:adjustRightInd/>
        <w:rPr>
          <w:b/>
          <w:szCs w:val="22"/>
        </w:rPr>
      </w:pPr>
      <w:r w:rsidRPr="004C7CB8">
        <w:rPr>
          <w:b/>
          <w:szCs w:val="22"/>
        </w:rPr>
        <w:t>Colite ulcerosa</w:t>
      </w:r>
    </w:p>
    <w:p w14:paraId="0CD29D87" w14:textId="77777777" w:rsidR="004462A0" w:rsidRPr="008912CF" w:rsidRDefault="004462A0" w:rsidP="004462A0">
      <w:pPr>
        <w:pStyle w:val="BodyText2"/>
        <w:autoSpaceDE/>
        <w:autoSpaceDN/>
        <w:adjustRightInd/>
        <w:rPr>
          <w:szCs w:val="22"/>
        </w:rPr>
      </w:pPr>
    </w:p>
    <w:p w14:paraId="06F20981" w14:textId="77777777" w:rsidR="004462A0" w:rsidRPr="008912CF" w:rsidRDefault="00615769" w:rsidP="004462A0">
      <w:pPr>
        <w:pStyle w:val="BodyText2"/>
        <w:autoSpaceDE/>
        <w:autoSpaceDN/>
        <w:adjustRightInd/>
        <w:rPr>
          <w:szCs w:val="22"/>
        </w:rPr>
      </w:pPr>
      <w:r w:rsidRPr="008912CF">
        <w:rPr>
          <w:szCs w:val="22"/>
        </w:rPr>
        <w:t>A colite ulcerosa é uma doença inflamatória do intestino</w:t>
      </w:r>
      <w:r w:rsidR="00FA678D">
        <w:rPr>
          <w:szCs w:val="22"/>
        </w:rPr>
        <w:t xml:space="preserve"> grosso</w:t>
      </w:r>
      <w:r w:rsidRPr="008912CF">
        <w:rPr>
          <w:szCs w:val="22"/>
        </w:rPr>
        <w:t>.</w:t>
      </w:r>
    </w:p>
    <w:p w14:paraId="0E635BF4" w14:textId="77777777" w:rsidR="004462A0" w:rsidRPr="008912CF" w:rsidRDefault="004462A0" w:rsidP="004462A0">
      <w:pPr>
        <w:pStyle w:val="BodyText2"/>
        <w:autoSpaceDE/>
        <w:autoSpaceDN/>
        <w:adjustRightInd/>
        <w:rPr>
          <w:szCs w:val="22"/>
        </w:rPr>
      </w:pPr>
    </w:p>
    <w:p w14:paraId="14CB5B10" w14:textId="77777777" w:rsidR="004E0FDB" w:rsidRDefault="00615769" w:rsidP="004462A0">
      <w:pPr>
        <w:pStyle w:val="BodyText2"/>
        <w:autoSpaceDE/>
        <w:autoSpaceDN/>
        <w:adjustRightInd/>
        <w:rPr>
          <w:szCs w:val="22"/>
        </w:rPr>
      </w:pPr>
      <w:r w:rsidRPr="008912CF">
        <w:rPr>
          <w:szCs w:val="22"/>
        </w:rPr>
        <w:t xml:space="preserve">Humira é usado no tratamento da </w:t>
      </w:r>
    </w:p>
    <w:p w14:paraId="587129DC" w14:textId="77777777" w:rsidR="004E0FDB" w:rsidRDefault="00615769" w:rsidP="00740DE7">
      <w:pPr>
        <w:pStyle w:val="BodyText2"/>
        <w:numPr>
          <w:ilvl w:val="0"/>
          <w:numId w:val="183"/>
        </w:numPr>
        <w:autoSpaceDE/>
        <w:autoSpaceDN/>
        <w:adjustRightInd/>
        <w:rPr>
          <w:szCs w:val="22"/>
        </w:rPr>
      </w:pPr>
      <w:r w:rsidRPr="008912CF">
        <w:rPr>
          <w:szCs w:val="22"/>
        </w:rPr>
        <w:t xml:space="preserve">colite ulcerosa </w:t>
      </w:r>
      <w:r w:rsidR="00716239">
        <w:rPr>
          <w:szCs w:val="22"/>
        </w:rPr>
        <w:t xml:space="preserve">moderada a grave </w:t>
      </w:r>
      <w:r w:rsidRPr="008912CF">
        <w:rPr>
          <w:szCs w:val="22"/>
        </w:rPr>
        <w:t xml:space="preserve">em adultos </w:t>
      </w:r>
      <w:r w:rsidR="00B84012">
        <w:rPr>
          <w:szCs w:val="22"/>
        </w:rPr>
        <w:t>e</w:t>
      </w:r>
    </w:p>
    <w:p w14:paraId="085FCDD8" w14:textId="77777777" w:rsidR="004E0FDB" w:rsidRDefault="00615769" w:rsidP="00740DE7">
      <w:pPr>
        <w:pStyle w:val="BodyText2"/>
        <w:numPr>
          <w:ilvl w:val="0"/>
          <w:numId w:val="183"/>
        </w:numPr>
        <w:autoSpaceDE/>
        <w:autoSpaceDN/>
        <w:adjustRightInd/>
        <w:rPr>
          <w:szCs w:val="22"/>
        </w:rPr>
      </w:pPr>
      <w:r w:rsidRPr="004E0FDB">
        <w:rPr>
          <w:szCs w:val="22"/>
        </w:rPr>
        <w:t>colite ulcerosa moderada a grave em crianças e adolescentes entre os 6 e os 17 anos.</w:t>
      </w:r>
    </w:p>
    <w:p w14:paraId="5E6880AE" w14:textId="77777777" w:rsidR="004E0FDB" w:rsidRDefault="004E0FDB" w:rsidP="004462A0">
      <w:pPr>
        <w:pStyle w:val="BodyText2"/>
        <w:autoSpaceDE/>
        <w:autoSpaceDN/>
        <w:adjustRightInd/>
        <w:rPr>
          <w:szCs w:val="22"/>
        </w:rPr>
      </w:pPr>
    </w:p>
    <w:p w14:paraId="6A1D694D" w14:textId="77777777" w:rsidR="004462A0" w:rsidRPr="008912CF" w:rsidRDefault="00615769" w:rsidP="004462A0">
      <w:pPr>
        <w:pStyle w:val="BodyText2"/>
        <w:autoSpaceDE/>
        <w:autoSpaceDN/>
        <w:adjustRightInd/>
        <w:rPr>
          <w:szCs w:val="22"/>
        </w:rPr>
      </w:pPr>
      <w:r w:rsidRPr="00653128">
        <w:rPr>
          <w:szCs w:val="22"/>
        </w:rPr>
        <w:t>Pode ser tratado inicialmente com outros medicamentos</w:t>
      </w:r>
      <w:r>
        <w:rPr>
          <w:szCs w:val="22"/>
        </w:rPr>
        <w:t xml:space="preserve">. </w:t>
      </w:r>
      <w:r w:rsidRPr="008912CF">
        <w:rPr>
          <w:szCs w:val="22"/>
        </w:rPr>
        <w:t>Caso não responda de modo suficiente a esses medicamentos, receberá Humira.</w:t>
      </w:r>
    </w:p>
    <w:p w14:paraId="055DA3DD" w14:textId="77777777" w:rsidR="004462A0" w:rsidRDefault="004462A0" w:rsidP="004462A0">
      <w:pPr>
        <w:ind w:right="-2"/>
        <w:rPr>
          <w:sz w:val="22"/>
          <w:szCs w:val="22"/>
        </w:rPr>
      </w:pPr>
    </w:p>
    <w:p w14:paraId="7464168B" w14:textId="77777777" w:rsidR="004462A0" w:rsidRPr="004C7CB8" w:rsidRDefault="00615769" w:rsidP="002F486F">
      <w:pPr>
        <w:keepNext/>
        <w:ind w:right="-2"/>
        <w:rPr>
          <w:b/>
          <w:sz w:val="22"/>
          <w:szCs w:val="22"/>
        </w:rPr>
      </w:pPr>
      <w:r w:rsidRPr="004C7CB8">
        <w:rPr>
          <w:b/>
          <w:sz w:val="22"/>
          <w:szCs w:val="22"/>
        </w:rPr>
        <w:t>Uveíte não infecciosa</w:t>
      </w:r>
    </w:p>
    <w:p w14:paraId="3EC1DAB7" w14:textId="77777777" w:rsidR="004462A0" w:rsidRDefault="004462A0" w:rsidP="002F486F">
      <w:pPr>
        <w:keepNext/>
        <w:ind w:right="-2"/>
        <w:rPr>
          <w:sz w:val="22"/>
          <w:szCs w:val="22"/>
        </w:rPr>
      </w:pPr>
    </w:p>
    <w:p w14:paraId="2DF08103" w14:textId="77777777" w:rsidR="004462A0" w:rsidRDefault="00615769" w:rsidP="002F486F">
      <w:pPr>
        <w:keepNext/>
        <w:ind w:right="-2"/>
        <w:rPr>
          <w:sz w:val="22"/>
          <w:szCs w:val="22"/>
        </w:rPr>
      </w:pPr>
      <w:r>
        <w:rPr>
          <w:sz w:val="22"/>
          <w:szCs w:val="22"/>
        </w:rPr>
        <w:t>A uveíte não infecciosa é uma doença inflamatória que afeta diferentes partes do olho.</w:t>
      </w:r>
    </w:p>
    <w:p w14:paraId="7E922475" w14:textId="77777777" w:rsidR="004462A0" w:rsidRDefault="004462A0" w:rsidP="004462A0">
      <w:pPr>
        <w:ind w:right="-2"/>
        <w:rPr>
          <w:sz w:val="22"/>
          <w:szCs w:val="22"/>
        </w:rPr>
      </w:pPr>
    </w:p>
    <w:p w14:paraId="478D8A93" w14:textId="77777777" w:rsidR="002E1DDB" w:rsidRDefault="00615769" w:rsidP="004462A0">
      <w:pPr>
        <w:ind w:right="-2"/>
        <w:rPr>
          <w:sz w:val="22"/>
          <w:szCs w:val="22"/>
        </w:rPr>
      </w:pPr>
      <w:r>
        <w:rPr>
          <w:sz w:val="22"/>
          <w:szCs w:val="22"/>
        </w:rPr>
        <w:t xml:space="preserve">Humira é usado no tratamento da </w:t>
      </w:r>
    </w:p>
    <w:p w14:paraId="1C09FCCD" w14:textId="77777777" w:rsidR="002E1DDB" w:rsidRDefault="00615769" w:rsidP="00D45244">
      <w:pPr>
        <w:pStyle w:val="ListParagraph"/>
        <w:numPr>
          <w:ilvl w:val="0"/>
          <w:numId w:val="126"/>
        </w:numPr>
        <w:ind w:left="567" w:right="-2" w:hanging="567"/>
        <w:rPr>
          <w:sz w:val="22"/>
          <w:szCs w:val="22"/>
        </w:rPr>
      </w:pPr>
      <w:r w:rsidRPr="00D45244">
        <w:rPr>
          <w:sz w:val="22"/>
          <w:szCs w:val="22"/>
        </w:rPr>
        <w:t>uveíte não infecciosa com inflamação, afetando a parte de trás do olho, em adultos</w:t>
      </w:r>
    </w:p>
    <w:p w14:paraId="4633FE51" w14:textId="77777777" w:rsidR="002E1DDB" w:rsidRDefault="00615769" w:rsidP="00D45244">
      <w:pPr>
        <w:pStyle w:val="ListParagraph"/>
        <w:numPr>
          <w:ilvl w:val="0"/>
          <w:numId w:val="126"/>
        </w:numPr>
        <w:ind w:left="567" w:right="-2" w:hanging="567"/>
        <w:rPr>
          <w:sz w:val="22"/>
          <w:szCs w:val="22"/>
        </w:rPr>
      </w:pPr>
      <w:r w:rsidRPr="007C2D3E">
        <w:rPr>
          <w:sz w:val="22"/>
          <w:szCs w:val="22"/>
        </w:rPr>
        <w:t xml:space="preserve">uveíte </w:t>
      </w:r>
      <w:r w:rsidR="004D5D58" w:rsidRPr="007C2D3E">
        <w:rPr>
          <w:sz w:val="22"/>
          <w:szCs w:val="22"/>
        </w:rPr>
        <w:t>não infecciosa</w:t>
      </w:r>
      <w:r w:rsidR="00EF7E97">
        <w:rPr>
          <w:sz w:val="22"/>
          <w:szCs w:val="22"/>
        </w:rPr>
        <w:t>,</w:t>
      </w:r>
      <w:r w:rsidR="004D5D58" w:rsidRPr="007C2D3E">
        <w:rPr>
          <w:sz w:val="22"/>
          <w:szCs w:val="22"/>
        </w:rPr>
        <w:t xml:space="preserve"> </w:t>
      </w:r>
      <w:r w:rsidRPr="007C2D3E">
        <w:rPr>
          <w:sz w:val="22"/>
          <w:szCs w:val="22"/>
        </w:rPr>
        <w:t>crónica</w:t>
      </w:r>
      <w:r w:rsidR="004D5D58">
        <w:rPr>
          <w:sz w:val="22"/>
          <w:szCs w:val="22"/>
        </w:rPr>
        <w:t>,</w:t>
      </w:r>
      <w:r w:rsidRPr="007C2D3E">
        <w:rPr>
          <w:sz w:val="22"/>
          <w:szCs w:val="22"/>
        </w:rPr>
        <w:t xml:space="preserve"> com inflamação, afetando a parte da frente do olho, em crianças a partir dos 2</w:t>
      </w:r>
      <w:r>
        <w:rPr>
          <w:sz w:val="22"/>
          <w:szCs w:val="22"/>
        </w:rPr>
        <w:t> </w:t>
      </w:r>
      <w:r w:rsidRPr="007C2D3E">
        <w:rPr>
          <w:sz w:val="22"/>
          <w:szCs w:val="22"/>
        </w:rPr>
        <w:t>anos de idade</w:t>
      </w:r>
    </w:p>
    <w:p w14:paraId="53B04BF5" w14:textId="77777777" w:rsidR="002E1DDB" w:rsidRDefault="002E1DDB" w:rsidP="002E1DDB">
      <w:pPr>
        <w:ind w:right="-2"/>
        <w:rPr>
          <w:sz w:val="22"/>
          <w:szCs w:val="22"/>
        </w:rPr>
      </w:pPr>
    </w:p>
    <w:p w14:paraId="2D5ECA60" w14:textId="77777777" w:rsidR="004462A0" w:rsidRPr="00B71A1F" w:rsidRDefault="00615769" w:rsidP="002E1DDB">
      <w:pPr>
        <w:ind w:right="-2"/>
        <w:rPr>
          <w:sz w:val="22"/>
          <w:szCs w:val="22"/>
        </w:rPr>
      </w:pPr>
      <w:r w:rsidRPr="00D45244">
        <w:rPr>
          <w:sz w:val="22"/>
          <w:szCs w:val="22"/>
        </w:rPr>
        <w:t xml:space="preserve">Esta inflamação </w:t>
      </w:r>
      <w:r w:rsidR="009C3501">
        <w:rPr>
          <w:sz w:val="22"/>
          <w:szCs w:val="22"/>
        </w:rPr>
        <w:t xml:space="preserve">pode </w:t>
      </w:r>
      <w:r w:rsidRPr="00D45244">
        <w:rPr>
          <w:sz w:val="22"/>
          <w:szCs w:val="22"/>
        </w:rPr>
        <w:t>leva</w:t>
      </w:r>
      <w:r w:rsidR="009C3501">
        <w:rPr>
          <w:sz w:val="22"/>
          <w:szCs w:val="22"/>
        </w:rPr>
        <w:t>r</w:t>
      </w:r>
      <w:r w:rsidRPr="00D45244">
        <w:rPr>
          <w:sz w:val="22"/>
          <w:szCs w:val="22"/>
        </w:rPr>
        <w:t xml:space="preserve"> </w:t>
      </w:r>
      <w:r w:rsidRPr="00B71A1F">
        <w:rPr>
          <w:sz w:val="22"/>
          <w:szCs w:val="22"/>
        </w:rPr>
        <w:t>a uma diminuição da visão e/ou à presença de moscas volantes no olho (pontos pretos ou linhas finas que se movem através do campo de visão). Humira atua através da redução da inflamação. Pode ser tratado inicialmente com outros medicamentos. Caso não responda de modo suficiente a esses medicamentos, receberá Humira.</w:t>
      </w:r>
    </w:p>
    <w:p w14:paraId="28868C95" w14:textId="77777777" w:rsidR="004462A0" w:rsidRPr="008912CF" w:rsidRDefault="004462A0" w:rsidP="004462A0">
      <w:pPr>
        <w:ind w:right="-2"/>
        <w:rPr>
          <w:sz w:val="22"/>
          <w:szCs w:val="22"/>
        </w:rPr>
      </w:pPr>
    </w:p>
    <w:p w14:paraId="4CCC0373" w14:textId="77777777" w:rsidR="004462A0" w:rsidRPr="008912CF" w:rsidRDefault="004462A0" w:rsidP="004462A0">
      <w:pPr>
        <w:ind w:right="-2"/>
        <w:rPr>
          <w:sz w:val="22"/>
          <w:szCs w:val="22"/>
        </w:rPr>
      </w:pPr>
    </w:p>
    <w:p w14:paraId="49AD2C04" w14:textId="77777777" w:rsidR="004462A0" w:rsidRPr="008912CF" w:rsidRDefault="00615769" w:rsidP="004462A0">
      <w:pPr>
        <w:ind w:left="567" w:hanging="567"/>
        <w:rPr>
          <w:sz w:val="22"/>
          <w:szCs w:val="22"/>
        </w:rPr>
      </w:pPr>
      <w:r w:rsidRPr="008912CF">
        <w:rPr>
          <w:b/>
          <w:sz w:val="22"/>
          <w:szCs w:val="22"/>
        </w:rPr>
        <w:t>2.</w:t>
      </w:r>
      <w:r w:rsidRPr="008912CF">
        <w:rPr>
          <w:b/>
          <w:sz w:val="22"/>
          <w:szCs w:val="22"/>
        </w:rPr>
        <w:tab/>
      </w:r>
      <w:r w:rsidRPr="008912CF">
        <w:rPr>
          <w:b/>
          <w:bCs/>
          <w:sz w:val="22"/>
          <w:szCs w:val="22"/>
        </w:rPr>
        <w:t>O que precisa de saber antes de utilizar Humira</w:t>
      </w:r>
      <w:r w:rsidRPr="008912CF">
        <w:rPr>
          <w:b/>
          <w:sz w:val="22"/>
          <w:szCs w:val="22"/>
        </w:rPr>
        <w:t xml:space="preserve"> </w:t>
      </w:r>
    </w:p>
    <w:p w14:paraId="137E7C1C" w14:textId="77777777" w:rsidR="004462A0" w:rsidRPr="008912CF" w:rsidRDefault="004462A0" w:rsidP="004462A0">
      <w:pPr>
        <w:ind w:right="-2"/>
        <w:rPr>
          <w:sz w:val="22"/>
          <w:szCs w:val="22"/>
        </w:rPr>
      </w:pPr>
    </w:p>
    <w:p w14:paraId="766BEBCD" w14:textId="77777777" w:rsidR="004462A0" w:rsidRPr="008912CF" w:rsidRDefault="00615769" w:rsidP="004462A0">
      <w:pPr>
        <w:rPr>
          <w:sz w:val="22"/>
          <w:szCs w:val="22"/>
        </w:rPr>
      </w:pPr>
      <w:r w:rsidRPr="008912CF">
        <w:rPr>
          <w:b/>
          <w:sz w:val="22"/>
          <w:szCs w:val="22"/>
        </w:rPr>
        <w:t xml:space="preserve">Não utilize </w:t>
      </w:r>
      <w:r w:rsidRPr="008912CF">
        <w:rPr>
          <w:b/>
          <w:bCs/>
          <w:sz w:val="22"/>
          <w:szCs w:val="22"/>
        </w:rPr>
        <w:t>Humira</w:t>
      </w:r>
    </w:p>
    <w:p w14:paraId="25420911" w14:textId="77777777" w:rsidR="004462A0" w:rsidRPr="008912CF" w:rsidRDefault="004462A0" w:rsidP="004462A0">
      <w:pPr>
        <w:pStyle w:val="EndnoteText"/>
        <w:tabs>
          <w:tab w:val="clear" w:pos="567"/>
        </w:tabs>
        <w:rPr>
          <w:szCs w:val="22"/>
        </w:rPr>
      </w:pPr>
    </w:p>
    <w:p w14:paraId="716292BC" w14:textId="77777777" w:rsidR="004462A0" w:rsidRPr="008912CF" w:rsidRDefault="00615769" w:rsidP="004462A0">
      <w:pPr>
        <w:numPr>
          <w:ilvl w:val="1"/>
          <w:numId w:val="40"/>
        </w:numPr>
        <w:tabs>
          <w:tab w:val="clear" w:pos="567"/>
        </w:tabs>
        <w:rPr>
          <w:sz w:val="22"/>
          <w:szCs w:val="22"/>
        </w:rPr>
      </w:pPr>
      <w:r w:rsidRPr="008912CF">
        <w:rPr>
          <w:sz w:val="22"/>
          <w:szCs w:val="22"/>
        </w:rPr>
        <w:t>Se tem alergia a adalimumab ou a qualquer outro componente deste medicamento (indicados na secção 6).</w:t>
      </w:r>
    </w:p>
    <w:p w14:paraId="6DA43406" w14:textId="77777777" w:rsidR="004462A0" w:rsidRPr="008912CF" w:rsidRDefault="004462A0" w:rsidP="004462A0">
      <w:pPr>
        <w:pStyle w:val="EndnoteText"/>
        <w:tabs>
          <w:tab w:val="clear" w:pos="567"/>
        </w:tabs>
        <w:ind w:left="567" w:hanging="567"/>
        <w:rPr>
          <w:szCs w:val="22"/>
        </w:rPr>
      </w:pPr>
    </w:p>
    <w:p w14:paraId="4F6CC297" w14:textId="77777777" w:rsidR="004462A0" w:rsidRPr="008912CF" w:rsidRDefault="00615769" w:rsidP="004462A0">
      <w:pPr>
        <w:numPr>
          <w:ilvl w:val="1"/>
          <w:numId w:val="40"/>
        </w:numPr>
        <w:tabs>
          <w:tab w:val="clear" w:pos="567"/>
        </w:tabs>
        <w:rPr>
          <w:sz w:val="22"/>
          <w:szCs w:val="22"/>
        </w:rPr>
      </w:pPr>
      <w:r w:rsidRPr="008912CF">
        <w:rPr>
          <w:sz w:val="22"/>
          <w:szCs w:val="22"/>
        </w:rPr>
        <w:t xml:space="preserve">Se tem tuberculose ativa </w:t>
      </w:r>
      <w:r>
        <w:rPr>
          <w:sz w:val="22"/>
          <w:szCs w:val="22"/>
        </w:rPr>
        <w:t xml:space="preserve">ou outras infeções graves </w:t>
      </w:r>
      <w:r w:rsidRPr="008912CF">
        <w:rPr>
          <w:sz w:val="22"/>
          <w:szCs w:val="22"/>
        </w:rPr>
        <w:t>(ver “Advertências e precauções”). Deve contactar o seu médico se tiver sintomas de infeção, tais como febre, feridas, sensação de cansaço, problemas dentários.</w:t>
      </w:r>
    </w:p>
    <w:p w14:paraId="1A71F0CD" w14:textId="77777777" w:rsidR="004462A0" w:rsidRPr="008912CF" w:rsidRDefault="004462A0" w:rsidP="004462A0">
      <w:pPr>
        <w:ind w:left="567" w:hanging="567"/>
        <w:rPr>
          <w:sz w:val="22"/>
          <w:szCs w:val="22"/>
        </w:rPr>
      </w:pPr>
    </w:p>
    <w:p w14:paraId="202FA910" w14:textId="77777777" w:rsidR="004462A0" w:rsidRPr="008912CF" w:rsidRDefault="00615769" w:rsidP="004462A0">
      <w:pPr>
        <w:numPr>
          <w:ilvl w:val="1"/>
          <w:numId w:val="40"/>
        </w:numPr>
        <w:tabs>
          <w:tab w:val="clear" w:pos="567"/>
        </w:tabs>
        <w:rPr>
          <w:sz w:val="22"/>
          <w:szCs w:val="22"/>
        </w:rPr>
      </w:pPr>
      <w:r w:rsidRPr="008912CF">
        <w:rPr>
          <w:sz w:val="22"/>
          <w:szCs w:val="22"/>
        </w:rPr>
        <w:t>Se tem insuficiência cardíaca moderada a grave. É importante que informe o seu médico se tem ou se teve alterações cardíacas graves (ver “Advertências e precauções</w:t>
      </w:r>
      <w:r w:rsidRPr="008912CF">
        <w:rPr>
          <w:bCs/>
          <w:sz w:val="22"/>
          <w:szCs w:val="22"/>
        </w:rPr>
        <w:t>”).</w:t>
      </w:r>
    </w:p>
    <w:p w14:paraId="5F759451" w14:textId="77777777" w:rsidR="004462A0" w:rsidRPr="008912CF" w:rsidRDefault="004462A0" w:rsidP="004462A0">
      <w:pPr>
        <w:pStyle w:val="IndexHeading"/>
        <w:tabs>
          <w:tab w:val="clear" w:pos="567"/>
        </w:tabs>
        <w:spacing w:line="240" w:lineRule="auto"/>
        <w:rPr>
          <w:rFonts w:ascii="Times New Roman" w:hAnsi="Times New Roman"/>
          <w:szCs w:val="22"/>
          <w:lang w:val="pt-PT"/>
        </w:rPr>
      </w:pPr>
    </w:p>
    <w:p w14:paraId="3CC7C889" w14:textId="77777777" w:rsidR="004462A0" w:rsidRPr="008912CF" w:rsidRDefault="00615769" w:rsidP="004462A0">
      <w:pPr>
        <w:keepNext/>
        <w:rPr>
          <w:sz w:val="22"/>
          <w:szCs w:val="22"/>
        </w:rPr>
      </w:pPr>
      <w:r w:rsidRPr="008912CF">
        <w:rPr>
          <w:b/>
          <w:sz w:val="22"/>
          <w:szCs w:val="22"/>
        </w:rPr>
        <w:t>Advertências e precauções</w:t>
      </w:r>
    </w:p>
    <w:p w14:paraId="5764F2D4" w14:textId="77777777" w:rsidR="004462A0" w:rsidRPr="008912CF" w:rsidRDefault="004462A0" w:rsidP="004462A0">
      <w:pPr>
        <w:pStyle w:val="EndnoteText"/>
        <w:keepNext/>
        <w:tabs>
          <w:tab w:val="clear" w:pos="567"/>
        </w:tabs>
        <w:rPr>
          <w:szCs w:val="22"/>
        </w:rPr>
      </w:pPr>
    </w:p>
    <w:p w14:paraId="56C49EA8" w14:textId="77777777" w:rsidR="004462A0" w:rsidRDefault="00615769" w:rsidP="004462A0">
      <w:pPr>
        <w:pStyle w:val="EndnoteText"/>
        <w:keepNext/>
        <w:tabs>
          <w:tab w:val="clear" w:pos="567"/>
        </w:tabs>
        <w:rPr>
          <w:szCs w:val="22"/>
        </w:rPr>
      </w:pPr>
      <w:r w:rsidRPr="008912CF">
        <w:rPr>
          <w:szCs w:val="22"/>
        </w:rPr>
        <w:t>Fale com o seu médico ou farmacêutico antes de utilizar Humira.</w:t>
      </w:r>
    </w:p>
    <w:p w14:paraId="50078599" w14:textId="77777777" w:rsidR="004462A0" w:rsidRDefault="004462A0" w:rsidP="004462A0"/>
    <w:p w14:paraId="4B9D0E01" w14:textId="77777777" w:rsidR="004462A0" w:rsidRPr="00365BEE" w:rsidRDefault="00615769" w:rsidP="004462A0">
      <w:pPr>
        <w:rPr>
          <w:sz w:val="22"/>
          <w:szCs w:val="22"/>
          <w:u w:val="single"/>
        </w:rPr>
      </w:pPr>
      <w:r w:rsidRPr="00365BEE">
        <w:rPr>
          <w:sz w:val="22"/>
          <w:szCs w:val="22"/>
          <w:u w:val="single"/>
        </w:rPr>
        <w:t>Reações alérgicas</w:t>
      </w:r>
    </w:p>
    <w:p w14:paraId="632F2AE1" w14:textId="77777777" w:rsidR="004462A0" w:rsidRPr="008912CF" w:rsidRDefault="004462A0" w:rsidP="004462A0"/>
    <w:p w14:paraId="238CF6DF" w14:textId="77777777" w:rsidR="004462A0" w:rsidRPr="008912CF" w:rsidRDefault="00615769" w:rsidP="004462A0">
      <w:pPr>
        <w:numPr>
          <w:ilvl w:val="0"/>
          <w:numId w:val="15"/>
        </w:numPr>
        <w:tabs>
          <w:tab w:val="clear" w:pos="567"/>
        </w:tabs>
        <w:rPr>
          <w:sz w:val="22"/>
          <w:szCs w:val="22"/>
        </w:rPr>
      </w:pPr>
      <w:r w:rsidRPr="008912CF">
        <w:rPr>
          <w:sz w:val="22"/>
          <w:szCs w:val="22"/>
        </w:rPr>
        <w:t>Se tiver reações alérgicas com sintomas, tais como dificuldade em respirar, respiração ofegante, tonturas, inchaço ou pele irritada, interrompa a administração de Humira e contacte imediatamente o seu médico</w:t>
      </w:r>
      <w:r w:rsidR="00964091">
        <w:rPr>
          <w:sz w:val="22"/>
          <w:szCs w:val="22"/>
        </w:rPr>
        <w:t xml:space="preserve"> uma vez que, em casos raros, estas reações podem ser potencialmente fatais</w:t>
      </w:r>
      <w:r w:rsidRPr="008912CF">
        <w:rPr>
          <w:sz w:val="22"/>
          <w:szCs w:val="22"/>
        </w:rPr>
        <w:t>.</w:t>
      </w:r>
    </w:p>
    <w:p w14:paraId="71E78986" w14:textId="77777777" w:rsidR="004462A0" w:rsidRDefault="004462A0" w:rsidP="004462A0">
      <w:pPr>
        <w:pStyle w:val="EndnoteText"/>
        <w:tabs>
          <w:tab w:val="clear" w:pos="567"/>
        </w:tabs>
        <w:rPr>
          <w:szCs w:val="22"/>
        </w:rPr>
      </w:pPr>
    </w:p>
    <w:p w14:paraId="5A93C294" w14:textId="77777777" w:rsidR="004462A0" w:rsidRPr="00365BEE" w:rsidRDefault="00615769" w:rsidP="004462A0">
      <w:pPr>
        <w:rPr>
          <w:sz w:val="22"/>
          <w:szCs w:val="22"/>
          <w:u w:val="single"/>
        </w:rPr>
      </w:pPr>
      <w:r w:rsidRPr="00365BEE">
        <w:rPr>
          <w:sz w:val="22"/>
          <w:szCs w:val="22"/>
          <w:u w:val="single"/>
        </w:rPr>
        <w:t>Infeções</w:t>
      </w:r>
    </w:p>
    <w:p w14:paraId="719C8CFE" w14:textId="77777777" w:rsidR="004462A0" w:rsidRPr="004863CB" w:rsidRDefault="004462A0" w:rsidP="004462A0"/>
    <w:p w14:paraId="1DD9D553" w14:textId="77777777" w:rsidR="004462A0" w:rsidRPr="008912CF" w:rsidRDefault="00615769" w:rsidP="004462A0">
      <w:pPr>
        <w:numPr>
          <w:ilvl w:val="0"/>
          <w:numId w:val="15"/>
        </w:numPr>
        <w:tabs>
          <w:tab w:val="clear" w:pos="567"/>
        </w:tabs>
        <w:rPr>
          <w:sz w:val="22"/>
          <w:szCs w:val="22"/>
        </w:rPr>
      </w:pPr>
      <w:r w:rsidRPr="008912CF">
        <w:rPr>
          <w:sz w:val="22"/>
          <w:szCs w:val="22"/>
        </w:rPr>
        <w:t xml:space="preserve">Se tiver uma infeção, incluindo uma infeção crónica ou </w:t>
      </w:r>
      <w:r w:rsidR="00FE0AD3">
        <w:rPr>
          <w:sz w:val="22"/>
          <w:szCs w:val="22"/>
        </w:rPr>
        <w:t>uma infeção em qualquer parte do seu corpo</w:t>
      </w:r>
      <w:r w:rsidRPr="008912CF">
        <w:rPr>
          <w:sz w:val="22"/>
          <w:szCs w:val="22"/>
        </w:rPr>
        <w:t xml:space="preserve"> (por exemplo, úlcera da perna) informe o seu médico antes de iniciar o tratamento com Humira. Se tiver quaisquer dúvidas, deve contactar o seu médico. </w:t>
      </w:r>
    </w:p>
    <w:p w14:paraId="48D99E1A" w14:textId="77777777" w:rsidR="004462A0" w:rsidRPr="008912CF" w:rsidRDefault="004462A0" w:rsidP="004462A0">
      <w:pPr>
        <w:ind w:left="567" w:hanging="567"/>
        <w:rPr>
          <w:sz w:val="22"/>
          <w:szCs w:val="22"/>
        </w:rPr>
      </w:pPr>
    </w:p>
    <w:p w14:paraId="5F933A30" w14:textId="77777777" w:rsidR="004462A0" w:rsidRDefault="00615769" w:rsidP="004462A0">
      <w:pPr>
        <w:pStyle w:val="EMEABullet"/>
        <w:numPr>
          <w:ilvl w:val="1"/>
          <w:numId w:val="41"/>
        </w:numPr>
        <w:tabs>
          <w:tab w:val="clear" w:pos="567"/>
        </w:tabs>
        <w:suppressAutoHyphens w:val="0"/>
        <w:rPr>
          <w:szCs w:val="22"/>
          <w:lang w:val="pt-PT"/>
        </w:rPr>
      </w:pPr>
      <w:r w:rsidRPr="008912CF">
        <w:rPr>
          <w:szCs w:val="22"/>
          <w:lang w:val="pt-PT"/>
        </w:rPr>
        <w:t>Pode contrair mais facilmente infeções enquanto estiver a ser tratado com Humira. Este risco pode aumentar se a sua função pulmonar estiver diminuída. Estas infeções podem ser graves e inclu</w:t>
      </w:r>
      <w:r w:rsidR="00FE0AD3">
        <w:rPr>
          <w:szCs w:val="22"/>
          <w:lang w:val="pt-PT"/>
        </w:rPr>
        <w:t>em</w:t>
      </w:r>
      <w:r>
        <w:rPr>
          <w:szCs w:val="22"/>
          <w:lang w:val="pt-PT"/>
        </w:rPr>
        <w:t>:</w:t>
      </w:r>
    </w:p>
    <w:p w14:paraId="2E2C2F1C" w14:textId="77777777" w:rsidR="004462A0" w:rsidRDefault="004462A0" w:rsidP="004462A0">
      <w:pPr>
        <w:pStyle w:val="EMEABullet"/>
        <w:tabs>
          <w:tab w:val="clear" w:pos="567"/>
        </w:tabs>
        <w:suppressAutoHyphens w:val="0"/>
        <w:ind w:left="1134"/>
        <w:rPr>
          <w:szCs w:val="22"/>
          <w:lang w:val="pt-PT"/>
        </w:rPr>
      </w:pPr>
    </w:p>
    <w:p w14:paraId="70181FAF" w14:textId="77777777" w:rsidR="004462A0" w:rsidRDefault="00615769" w:rsidP="004462A0">
      <w:pPr>
        <w:pStyle w:val="EMEABullet"/>
        <w:numPr>
          <w:ilvl w:val="2"/>
          <w:numId w:val="41"/>
        </w:numPr>
        <w:tabs>
          <w:tab w:val="clear" w:pos="567"/>
        </w:tabs>
        <w:suppressAutoHyphens w:val="0"/>
        <w:ind w:left="1134"/>
        <w:rPr>
          <w:szCs w:val="22"/>
          <w:lang w:val="pt-PT"/>
        </w:rPr>
      </w:pPr>
      <w:r>
        <w:rPr>
          <w:szCs w:val="22"/>
          <w:lang w:val="pt-PT"/>
        </w:rPr>
        <w:t>t</w:t>
      </w:r>
      <w:r w:rsidRPr="008912CF">
        <w:rPr>
          <w:szCs w:val="22"/>
          <w:lang w:val="pt-PT"/>
        </w:rPr>
        <w:t>uberculose</w:t>
      </w:r>
    </w:p>
    <w:p w14:paraId="68846698" w14:textId="77777777" w:rsidR="004462A0" w:rsidRDefault="004462A0" w:rsidP="004462A0">
      <w:pPr>
        <w:pStyle w:val="EMEABullet"/>
        <w:tabs>
          <w:tab w:val="clear" w:pos="567"/>
          <w:tab w:val="left" w:pos="851"/>
          <w:tab w:val="num" w:pos="1418"/>
        </w:tabs>
        <w:suppressAutoHyphens w:val="0"/>
        <w:ind w:left="1134"/>
        <w:rPr>
          <w:szCs w:val="22"/>
          <w:lang w:val="pt-PT"/>
        </w:rPr>
      </w:pPr>
    </w:p>
    <w:p w14:paraId="3A60D652" w14:textId="77777777" w:rsidR="004462A0" w:rsidRDefault="00615769" w:rsidP="004462A0">
      <w:pPr>
        <w:pStyle w:val="EMEABullet"/>
        <w:numPr>
          <w:ilvl w:val="1"/>
          <w:numId w:val="41"/>
        </w:numPr>
        <w:tabs>
          <w:tab w:val="clear" w:pos="567"/>
        </w:tabs>
        <w:suppressAutoHyphens w:val="0"/>
        <w:ind w:left="1134"/>
        <w:rPr>
          <w:szCs w:val="22"/>
          <w:lang w:val="pt-PT"/>
        </w:rPr>
      </w:pPr>
      <w:r w:rsidRPr="008912CF">
        <w:rPr>
          <w:szCs w:val="22"/>
          <w:lang w:val="pt-PT"/>
        </w:rPr>
        <w:t>infeções causadas por vírus, fungos, parasitas ou bactérias</w:t>
      </w:r>
    </w:p>
    <w:p w14:paraId="300AE05B" w14:textId="77777777" w:rsidR="004462A0" w:rsidRDefault="004462A0" w:rsidP="004462A0">
      <w:pPr>
        <w:pStyle w:val="EMEABullet"/>
        <w:tabs>
          <w:tab w:val="clear" w:pos="567"/>
          <w:tab w:val="left" w:pos="851"/>
          <w:tab w:val="num" w:pos="1418"/>
        </w:tabs>
        <w:suppressAutoHyphens w:val="0"/>
        <w:ind w:left="1134"/>
        <w:rPr>
          <w:szCs w:val="22"/>
          <w:lang w:val="pt-PT"/>
        </w:rPr>
      </w:pPr>
    </w:p>
    <w:p w14:paraId="2C4DD15C" w14:textId="77777777" w:rsidR="004462A0" w:rsidRDefault="00615769" w:rsidP="004462A0">
      <w:pPr>
        <w:pStyle w:val="EMEABullet"/>
        <w:numPr>
          <w:ilvl w:val="1"/>
          <w:numId w:val="41"/>
        </w:numPr>
        <w:tabs>
          <w:tab w:val="clear" w:pos="567"/>
        </w:tabs>
        <w:suppressAutoHyphens w:val="0"/>
        <w:ind w:left="1134"/>
        <w:rPr>
          <w:szCs w:val="22"/>
          <w:lang w:val="pt-PT"/>
        </w:rPr>
      </w:pPr>
      <w:r w:rsidRPr="008912CF">
        <w:rPr>
          <w:szCs w:val="22"/>
          <w:lang w:val="pt-PT"/>
        </w:rPr>
        <w:t>infeç</w:t>
      </w:r>
      <w:r w:rsidR="00FE0AD3">
        <w:rPr>
          <w:szCs w:val="22"/>
          <w:lang w:val="pt-PT"/>
        </w:rPr>
        <w:t>ão</w:t>
      </w:r>
      <w:r w:rsidRPr="008912CF">
        <w:rPr>
          <w:szCs w:val="22"/>
          <w:lang w:val="pt-PT"/>
        </w:rPr>
        <w:t xml:space="preserve"> </w:t>
      </w:r>
      <w:r>
        <w:rPr>
          <w:szCs w:val="22"/>
          <w:lang w:val="pt-PT"/>
        </w:rPr>
        <w:t>grave no sangue (</w:t>
      </w:r>
      <w:r w:rsidRPr="008912CF">
        <w:rPr>
          <w:szCs w:val="22"/>
          <w:lang w:val="pt-PT"/>
        </w:rPr>
        <w:t>sepsia</w:t>
      </w:r>
      <w:r>
        <w:rPr>
          <w:szCs w:val="22"/>
          <w:lang w:val="pt-PT"/>
        </w:rPr>
        <w:t>)</w:t>
      </w:r>
    </w:p>
    <w:p w14:paraId="40658925" w14:textId="77777777" w:rsidR="004462A0" w:rsidRDefault="004462A0" w:rsidP="004462A0">
      <w:pPr>
        <w:pStyle w:val="EMEABullet"/>
        <w:tabs>
          <w:tab w:val="clear" w:pos="567"/>
        </w:tabs>
        <w:suppressAutoHyphens w:val="0"/>
        <w:ind w:firstLine="426"/>
        <w:rPr>
          <w:szCs w:val="22"/>
          <w:lang w:val="pt-PT"/>
        </w:rPr>
      </w:pPr>
    </w:p>
    <w:p w14:paraId="124B184D" w14:textId="77777777" w:rsidR="004462A0" w:rsidRDefault="00615769" w:rsidP="004462A0">
      <w:pPr>
        <w:pStyle w:val="EMEABullet"/>
        <w:tabs>
          <w:tab w:val="clear" w:pos="567"/>
        </w:tabs>
        <w:suppressAutoHyphens w:val="0"/>
        <w:ind w:left="709" w:firstLine="0"/>
        <w:rPr>
          <w:szCs w:val="22"/>
          <w:lang w:val="pt-PT"/>
        </w:rPr>
      </w:pPr>
      <w:r>
        <w:rPr>
          <w:szCs w:val="22"/>
          <w:lang w:val="pt-PT"/>
        </w:rPr>
        <w:t>E</w:t>
      </w:r>
      <w:r w:rsidRPr="008912CF">
        <w:rPr>
          <w:szCs w:val="22"/>
          <w:lang w:val="pt-PT"/>
        </w:rPr>
        <w:t>m casos raros,</w:t>
      </w:r>
      <w:r>
        <w:rPr>
          <w:szCs w:val="22"/>
          <w:lang w:val="pt-PT"/>
        </w:rPr>
        <w:t xml:space="preserve"> estas infeções podem</w:t>
      </w:r>
      <w:r w:rsidRPr="008912CF">
        <w:rPr>
          <w:szCs w:val="22"/>
          <w:lang w:val="pt-PT"/>
        </w:rPr>
        <w:t xml:space="preserve"> pôr a vida em risco. Deve informar o seu médico se tiver sintomas, tais como febre, feridas, sensação de cansaço ou problemas dentários. O seu médico pode aconselhar a suspensão temporária de Humira.</w:t>
      </w:r>
    </w:p>
    <w:p w14:paraId="65EFFCDD" w14:textId="77777777" w:rsidR="004462A0" w:rsidRDefault="004462A0" w:rsidP="004462A0">
      <w:pPr>
        <w:pStyle w:val="EMEABullet"/>
        <w:tabs>
          <w:tab w:val="clear" w:pos="567"/>
        </w:tabs>
        <w:suppressAutoHyphens w:val="0"/>
        <w:ind w:firstLine="0"/>
        <w:rPr>
          <w:szCs w:val="22"/>
          <w:lang w:val="pt-PT"/>
        </w:rPr>
      </w:pPr>
    </w:p>
    <w:p w14:paraId="42C4A1A5" w14:textId="77777777" w:rsidR="004462A0" w:rsidRPr="008912CF" w:rsidRDefault="00615769" w:rsidP="004462A0">
      <w:pPr>
        <w:numPr>
          <w:ilvl w:val="2"/>
          <w:numId w:val="41"/>
        </w:numPr>
        <w:tabs>
          <w:tab w:val="clear" w:pos="567"/>
        </w:tabs>
        <w:rPr>
          <w:sz w:val="22"/>
          <w:szCs w:val="22"/>
        </w:rPr>
      </w:pPr>
      <w:r w:rsidRPr="008912CF">
        <w:rPr>
          <w:sz w:val="22"/>
          <w:szCs w:val="22"/>
        </w:rPr>
        <w:t xml:space="preserve">Informe o seu médico se reside ou viaja em regiões nas quais as infeções fúngicas </w:t>
      </w:r>
      <w:r w:rsidR="006A3BD4">
        <w:rPr>
          <w:sz w:val="22"/>
          <w:szCs w:val="22"/>
        </w:rPr>
        <w:t>(</w:t>
      </w:r>
      <w:r w:rsidRPr="008912CF">
        <w:rPr>
          <w:sz w:val="22"/>
          <w:szCs w:val="22"/>
        </w:rPr>
        <w:t xml:space="preserve">tais como histoplasmose, </w:t>
      </w:r>
      <w:r w:rsidRPr="008912CF">
        <w:rPr>
          <w:sz w:val="22"/>
          <w:szCs w:val="22"/>
          <w:u w:color="0000FF"/>
        </w:rPr>
        <w:t>coccidioidomicose ou blastomicose</w:t>
      </w:r>
      <w:r w:rsidR="006A3BD4">
        <w:rPr>
          <w:sz w:val="22"/>
          <w:szCs w:val="22"/>
          <w:u w:color="0000FF"/>
        </w:rPr>
        <w:t>)</w:t>
      </w:r>
      <w:r w:rsidRPr="008912CF">
        <w:rPr>
          <w:sz w:val="22"/>
          <w:szCs w:val="22"/>
          <w:u w:color="0000FF"/>
        </w:rPr>
        <w:t xml:space="preserve"> são endémicas</w:t>
      </w:r>
      <w:r w:rsidRPr="008912CF">
        <w:rPr>
          <w:color w:val="0000FF"/>
          <w:sz w:val="22"/>
          <w:szCs w:val="22"/>
          <w:u w:color="0000FF"/>
        </w:rPr>
        <w:t>.</w:t>
      </w:r>
    </w:p>
    <w:p w14:paraId="0C7A1E59" w14:textId="77777777" w:rsidR="004462A0" w:rsidRPr="008912CF" w:rsidRDefault="004462A0" w:rsidP="004462A0">
      <w:pPr>
        <w:pStyle w:val="EndnoteText"/>
        <w:tabs>
          <w:tab w:val="clear" w:pos="567"/>
        </w:tabs>
        <w:ind w:left="567" w:hanging="567"/>
        <w:rPr>
          <w:szCs w:val="22"/>
        </w:rPr>
      </w:pPr>
    </w:p>
    <w:p w14:paraId="43EAE2EC" w14:textId="77777777" w:rsidR="004462A0" w:rsidRPr="008912CF" w:rsidRDefault="00615769" w:rsidP="004462A0">
      <w:pPr>
        <w:numPr>
          <w:ilvl w:val="2"/>
          <w:numId w:val="41"/>
        </w:numPr>
        <w:tabs>
          <w:tab w:val="clear" w:pos="567"/>
        </w:tabs>
        <w:rPr>
          <w:sz w:val="22"/>
          <w:szCs w:val="22"/>
        </w:rPr>
      </w:pPr>
      <w:r w:rsidRPr="008912CF">
        <w:rPr>
          <w:sz w:val="22"/>
          <w:szCs w:val="22"/>
        </w:rPr>
        <w:t>Informe o seu médico se tem antecedentes de infeções recorrentes ou quaisquer outros problemas que aumentem o risco de infeções.</w:t>
      </w:r>
    </w:p>
    <w:p w14:paraId="2510401E" w14:textId="77777777" w:rsidR="004462A0" w:rsidRDefault="004462A0" w:rsidP="004462A0">
      <w:pPr>
        <w:ind w:left="567" w:hanging="567"/>
        <w:rPr>
          <w:sz w:val="22"/>
          <w:szCs w:val="22"/>
        </w:rPr>
      </w:pPr>
    </w:p>
    <w:p w14:paraId="7B788434" w14:textId="77777777" w:rsidR="004462A0" w:rsidRPr="008912CF" w:rsidRDefault="00615769" w:rsidP="004462A0">
      <w:pPr>
        <w:numPr>
          <w:ilvl w:val="2"/>
          <w:numId w:val="41"/>
        </w:numPr>
        <w:tabs>
          <w:tab w:val="clear" w:pos="567"/>
        </w:tabs>
        <w:rPr>
          <w:sz w:val="22"/>
          <w:szCs w:val="22"/>
        </w:rPr>
      </w:pPr>
      <w:r w:rsidRPr="008912CF">
        <w:rPr>
          <w:sz w:val="22"/>
          <w:szCs w:val="22"/>
        </w:rPr>
        <w:t>Se tem mais de 65 anos pode estar mais suscetível a infeções enquanto estiver a ser tratado com Humira. Em conjunto com o seu médico, deve tomar especial atenção a sinais de infeção enquanto estiver a ser tratado com Humira. É importante informar o seu médico se tiver sintomas de infeções, tais como febre, feridas, sensação de cansaço ou problemas dentários.</w:t>
      </w:r>
    </w:p>
    <w:p w14:paraId="5974BFC4" w14:textId="77777777" w:rsidR="004462A0" w:rsidRDefault="004462A0" w:rsidP="004462A0">
      <w:pPr>
        <w:tabs>
          <w:tab w:val="num" w:pos="709"/>
        </w:tabs>
        <w:ind w:left="709" w:hanging="283"/>
        <w:rPr>
          <w:sz w:val="22"/>
          <w:szCs w:val="22"/>
        </w:rPr>
      </w:pPr>
    </w:p>
    <w:p w14:paraId="6EEDAC39" w14:textId="77777777" w:rsidR="004462A0" w:rsidRPr="00365BEE" w:rsidRDefault="00615769" w:rsidP="004462A0">
      <w:pPr>
        <w:rPr>
          <w:sz w:val="22"/>
          <w:szCs w:val="22"/>
          <w:u w:val="single"/>
        </w:rPr>
      </w:pPr>
      <w:r w:rsidRPr="00365BEE">
        <w:rPr>
          <w:sz w:val="22"/>
          <w:szCs w:val="22"/>
          <w:u w:val="single"/>
        </w:rPr>
        <w:t>Tuberculose</w:t>
      </w:r>
    </w:p>
    <w:p w14:paraId="2EF507BC" w14:textId="77777777" w:rsidR="004462A0" w:rsidRDefault="004462A0" w:rsidP="004462A0">
      <w:pPr>
        <w:rPr>
          <w:sz w:val="22"/>
          <w:szCs w:val="22"/>
        </w:rPr>
      </w:pPr>
    </w:p>
    <w:p w14:paraId="0936890C" w14:textId="77777777" w:rsidR="004462A0" w:rsidRDefault="00615769" w:rsidP="004462A0">
      <w:pPr>
        <w:numPr>
          <w:ilvl w:val="0"/>
          <w:numId w:val="108"/>
        </w:numPr>
        <w:ind w:left="567" w:hanging="567"/>
        <w:rPr>
          <w:sz w:val="22"/>
          <w:szCs w:val="22"/>
        </w:rPr>
      </w:pPr>
      <w:r w:rsidRPr="00365BEE">
        <w:rPr>
          <w:sz w:val="22"/>
          <w:szCs w:val="22"/>
        </w:rPr>
        <w:t>É muito importante que informe o seu médico se já sofreu de tuberculose ou se esteve em contacto próximo com alguém com esta doença. Se tem tuberculose ativa, não utilize Humira</w:t>
      </w:r>
      <w:r>
        <w:rPr>
          <w:szCs w:val="22"/>
        </w:rPr>
        <w:t>.</w:t>
      </w:r>
    </w:p>
    <w:p w14:paraId="0C344B5B" w14:textId="77777777" w:rsidR="004462A0" w:rsidRPr="008912CF" w:rsidRDefault="004462A0" w:rsidP="004462A0">
      <w:pPr>
        <w:rPr>
          <w:sz w:val="22"/>
          <w:szCs w:val="22"/>
        </w:rPr>
      </w:pPr>
    </w:p>
    <w:p w14:paraId="4D3BAC2A" w14:textId="77777777" w:rsidR="004462A0" w:rsidRPr="00365BEE" w:rsidRDefault="00615769" w:rsidP="004462A0">
      <w:pPr>
        <w:pStyle w:val="EMEABullet"/>
        <w:numPr>
          <w:ilvl w:val="2"/>
          <w:numId w:val="41"/>
        </w:numPr>
        <w:tabs>
          <w:tab w:val="clear" w:pos="567"/>
        </w:tabs>
        <w:suppressAutoHyphens w:val="0"/>
        <w:ind w:left="1134"/>
        <w:rPr>
          <w:b/>
          <w:szCs w:val="22"/>
          <w:lang w:val="pt-PT"/>
        </w:rPr>
      </w:pPr>
      <w:r w:rsidRPr="008912CF">
        <w:rPr>
          <w:szCs w:val="22"/>
          <w:lang w:val="pt-PT"/>
        </w:rPr>
        <w:t xml:space="preserve">Uma vez que foram notificados casos de tuberculose em doentes tratados com Humira, o seu médico irá avaliá-lo para despiste de sinais e sintomas de tuberculose antes de iniciar a terapêutica com Humira. Esta avaliação irá incluir uma história clínica pormenorizada e exames de despiste apropriados (por exemplo, uma radiografia do tórax e um teste de tuberculina). A realização e o resultado destes exames devem ser registados no </w:t>
      </w:r>
      <w:r w:rsidRPr="00365BEE">
        <w:rPr>
          <w:b/>
          <w:szCs w:val="22"/>
          <w:lang w:val="pt-PT"/>
        </w:rPr>
        <w:t xml:space="preserve">Cartão de Segurança do Doente. </w:t>
      </w:r>
    </w:p>
    <w:p w14:paraId="05489364" w14:textId="77777777" w:rsidR="004462A0" w:rsidRPr="00365BEE" w:rsidRDefault="004462A0" w:rsidP="004462A0">
      <w:pPr>
        <w:pStyle w:val="EMEABullet"/>
        <w:tabs>
          <w:tab w:val="clear" w:pos="567"/>
        </w:tabs>
        <w:suppressAutoHyphens w:val="0"/>
        <w:ind w:left="1134"/>
        <w:rPr>
          <w:b/>
          <w:szCs w:val="22"/>
          <w:lang w:val="pt-PT"/>
        </w:rPr>
      </w:pPr>
    </w:p>
    <w:p w14:paraId="4C4B056C" w14:textId="77777777" w:rsidR="004462A0" w:rsidRDefault="00615769" w:rsidP="004462A0">
      <w:pPr>
        <w:pStyle w:val="EMEABullet"/>
        <w:numPr>
          <w:ilvl w:val="0"/>
          <w:numId w:val="108"/>
        </w:numPr>
        <w:suppressAutoHyphens w:val="0"/>
        <w:ind w:left="1134" w:hanging="567"/>
        <w:rPr>
          <w:szCs w:val="22"/>
          <w:lang w:val="pt-PT"/>
        </w:rPr>
      </w:pPr>
      <w:r w:rsidRPr="008912CF">
        <w:rPr>
          <w:szCs w:val="22"/>
          <w:lang w:val="pt-PT"/>
        </w:rPr>
        <w:t xml:space="preserve">A tuberculose pode vir a manifestar-se durante o tratamento com Humira, ainda que tenha efetuado tratamento de profilaxia da tuberculose. </w:t>
      </w:r>
    </w:p>
    <w:p w14:paraId="751BCC82" w14:textId="77777777" w:rsidR="004462A0" w:rsidRDefault="004462A0" w:rsidP="004462A0">
      <w:pPr>
        <w:pStyle w:val="EMEABullet"/>
        <w:tabs>
          <w:tab w:val="clear" w:pos="567"/>
        </w:tabs>
        <w:suppressAutoHyphens w:val="0"/>
        <w:ind w:left="1134"/>
        <w:rPr>
          <w:szCs w:val="22"/>
          <w:lang w:val="pt-PT"/>
        </w:rPr>
      </w:pPr>
    </w:p>
    <w:p w14:paraId="468193FB" w14:textId="77777777" w:rsidR="004462A0" w:rsidRPr="008912CF" w:rsidRDefault="00615769" w:rsidP="004462A0">
      <w:pPr>
        <w:pStyle w:val="EMEABullet"/>
        <w:numPr>
          <w:ilvl w:val="0"/>
          <w:numId w:val="108"/>
        </w:numPr>
        <w:suppressAutoHyphens w:val="0"/>
        <w:ind w:left="1134" w:hanging="567"/>
        <w:rPr>
          <w:szCs w:val="22"/>
          <w:lang w:val="pt-PT"/>
        </w:rPr>
      </w:pPr>
      <w:r w:rsidRPr="008912CF">
        <w:rPr>
          <w:szCs w:val="22"/>
          <w:lang w:val="pt-PT"/>
        </w:rPr>
        <w:t>Se surgirem sintomas de tuberculose (tosse persistente, perda de peso, fraqueza, febre ligeira) ou qualquer outra infeção durante ou após o tratamento, informe imediatamente o seu médico.</w:t>
      </w:r>
    </w:p>
    <w:p w14:paraId="7416EEA7" w14:textId="77777777" w:rsidR="004462A0" w:rsidRPr="008912CF" w:rsidRDefault="004462A0" w:rsidP="004462A0">
      <w:pPr>
        <w:pStyle w:val="Footer"/>
        <w:tabs>
          <w:tab w:val="clear" w:pos="4320"/>
          <w:tab w:val="clear" w:pos="8640"/>
        </w:tabs>
        <w:ind w:left="1134" w:hanging="567"/>
        <w:rPr>
          <w:sz w:val="22"/>
          <w:szCs w:val="22"/>
        </w:rPr>
      </w:pPr>
    </w:p>
    <w:p w14:paraId="2ECE8124" w14:textId="77777777" w:rsidR="004462A0" w:rsidRPr="00365BEE" w:rsidRDefault="00615769" w:rsidP="004462A0">
      <w:pPr>
        <w:rPr>
          <w:sz w:val="22"/>
          <w:szCs w:val="22"/>
          <w:u w:val="single"/>
        </w:rPr>
      </w:pPr>
      <w:r w:rsidRPr="00365BEE">
        <w:rPr>
          <w:sz w:val="22"/>
          <w:szCs w:val="22"/>
          <w:u w:val="single"/>
        </w:rPr>
        <w:t>Hepatite B</w:t>
      </w:r>
    </w:p>
    <w:p w14:paraId="433D2150" w14:textId="77777777" w:rsidR="004462A0" w:rsidRPr="006E0DC1" w:rsidRDefault="004462A0" w:rsidP="004462A0"/>
    <w:p w14:paraId="1B33CEBC" w14:textId="77777777" w:rsidR="004462A0" w:rsidRDefault="00615769" w:rsidP="004462A0">
      <w:pPr>
        <w:numPr>
          <w:ilvl w:val="2"/>
          <w:numId w:val="41"/>
        </w:numPr>
        <w:tabs>
          <w:tab w:val="clear" w:pos="567"/>
        </w:tabs>
        <w:rPr>
          <w:sz w:val="22"/>
          <w:szCs w:val="22"/>
        </w:rPr>
      </w:pPr>
      <w:r w:rsidRPr="008912CF">
        <w:rPr>
          <w:sz w:val="22"/>
          <w:szCs w:val="22"/>
        </w:rPr>
        <w:t xml:space="preserve">Informe o seu médico se é um portador do vírus da Hepatite B (HBV), se tem o vírus HBV ativo ou se pensa que pode estar em risco de contrair HBV. </w:t>
      </w:r>
    </w:p>
    <w:p w14:paraId="2D8EBF84" w14:textId="77777777" w:rsidR="004462A0" w:rsidRDefault="004462A0" w:rsidP="004462A0">
      <w:pPr>
        <w:rPr>
          <w:sz w:val="22"/>
          <w:szCs w:val="22"/>
        </w:rPr>
      </w:pPr>
    </w:p>
    <w:p w14:paraId="5855EDCA" w14:textId="77777777" w:rsidR="004462A0" w:rsidRDefault="00615769" w:rsidP="004462A0">
      <w:pPr>
        <w:numPr>
          <w:ilvl w:val="2"/>
          <w:numId w:val="41"/>
        </w:numPr>
        <w:tabs>
          <w:tab w:val="clear" w:pos="567"/>
        </w:tabs>
        <w:ind w:left="1134"/>
        <w:rPr>
          <w:sz w:val="22"/>
          <w:szCs w:val="22"/>
        </w:rPr>
      </w:pPr>
      <w:r w:rsidRPr="008912CF">
        <w:rPr>
          <w:sz w:val="22"/>
          <w:szCs w:val="22"/>
        </w:rPr>
        <w:t>O seu médico deve avaliá-lo para determinar se tem HBV. Humira pode causar reativação de HBV em pessoas portadoras deste vírus.</w:t>
      </w:r>
    </w:p>
    <w:p w14:paraId="7390391E" w14:textId="77777777" w:rsidR="004462A0" w:rsidRPr="00BA1FF6" w:rsidRDefault="004462A0" w:rsidP="00BA1FF6">
      <w:pPr>
        <w:rPr>
          <w:sz w:val="22"/>
          <w:szCs w:val="22"/>
        </w:rPr>
      </w:pPr>
    </w:p>
    <w:p w14:paraId="7EEC32D3" w14:textId="77777777" w:rsidR="004462A0" w:rsidRPr="008912CF" w:rsidRDefault="00615769" w:rsidP="004462A0">
      <w:pPr>
        <w:numPr>
          <w:ilvl w:val="2"/>
          <w:numId w:val="41"/>
        </w:numPr>
        <w:tabs>
          <w:tab w:val="clear" w:pos="567"/>
        </w:tabs>
        <w:ind w:left="1134"/>
        <w:rPr>
          <w:sz w:val="22"/>
          <w:szCs w:val="22"/>
        </w:rPr>
      </w:pPr>
      <w:r w:rsidRPr="008912CF">
        <w:rPr>
          <w:sz w:val="22"/>
          <w:szCs w:val="22"/>
        </w:rPr>
        <w:t>Em alguns casos</w:t>
      </w:r>
      <w:r w:rsidR="00BA1FF6">
        <w:rPr>
          <w:sz w:val="22"/>
          <w:szCs w:val="22"/>
        </w:rPr>
        <w:t xml:space="preserve"> raros</w:t>
      </w:r>
      <w:r w:rsidRPr="008912CF">
        <w:rPr>
          <w:sz w:val="22"/>
          <w:szCs w:val="22"/>
        </w:rPr>
        <w:t>, especialmente se tomar outros medicamentos que suprimem o sistema imunitário, a reativação de HBV pode pôr a sua vida em risco.</w:t>
      </w:r>
    </w:p>
    <w:p w14:paraId="4666BD77" w14:textId="77777777" w:rsidR="004462A0" w:rsidRPr="008912CF" w:rsidRDefault="004462A0" w:rsidP="004462A0">
      <w:pPr>
        <w:pStyle w:val="EndnoteText"/>
        <w:tabs>
          <w:tab w:val="clear" w:pos="567"/>
        </w:tabs>
        <w:rPr>
          <w:szCs w:val="22"/>
        </w:rPr>
      </w:pPr>
    </w:p>
    <w:p w14:paraId="6E7F5EF6" w14:textId="77777777" w:rsidR="004462A0" w:rsidRPr="00365BEE" w:rsidRDefault="00615769" w:rsidP="004462A0">
      <w:pPr>
        <w:rPr>
          <w:sz w:val="22"/>
          <w:szCs w:val="22"/>
          <w:u w:val="single"/>
        </w:rPr>
      </w:pPr>
      <w:r>
        <w:rPr>
          <w:sz w:val="22"/>
          <w:szCs w:val="22"/>
          <w:u w:val="single"/>
        </w:rPr>
        <w:t>Intervenção cirúrgica ou dentária</w:t>
      </w:r>
    </w:p>
    <w:p w14:paraId="276AF051" w14:textId="77777777" w:rsidR="004462A0" w:rsidRPr="008912CF" w:rsidRDefault="004462A0" w:rsidP="004462A0">
      <w:pPr>
        <w:rPr>
          <w:sz w:val="22"/>
          <w:szCs w:val="22"/>
        </w:rPr>
      </w:pPr>
    </w:p>
    <w:p w14:paraId="4C920B19" w14:textId="77777777" w:rsidR="004462A0" w:rsidRPr="008912CF" w:rsidRDefault="00615769" w:rsidP="004462A0">
      <w:pPr>
        <w:numPr>
          <w:ilvl w:val="2"/>
          <w:numId w:val="41"/>
        </w:numPr>
        <w:tabs>
          <w:tab w:val="clear" w:pos="567"/>
        </w:tabs>
        <w:rPr>
          <w:sz w:val="22"/>
          <w:szCs w:val="22"/>
        </w:rPr>
      </w:pPr>
      <w:r w:rsidRPr="008912CF">
        <w:rPr>
          <w:sz w:val="22"/>
          <w:szCs w:val="22"/>
        </w:rPr>
        <w:t>Se vai ser submetido a uma intervenção cirúrgica ou dentária, informe o seu médico que está a tomar Humira. O seu médico pode aconselhar a suspensão temporária de Humira.</w:t>
      </w:r>
    </w:p>
    <w:p w14:paraId="19C0965A" w14:textId="77777777" w:rsidR="004462A0" w:rsidRDefault="004462A0" w:rsidP="004462A0">
      <w:pPr>
        <w:rPr>
          <w:sz w:val="22"/>
          <w:szCs w:val="22"/>
        </w:rPr>
      </w:pPr>
    </w:p>
    <w:p w14:paraId="0C54AD20" w14:textId="77777777" w:rsidR="004462A0" w:rsidRPr="00365BEE" w:rsidRDefault="00615769" w:rsidP="004462A0">
      <w:pPr>
        <w:rPr>
          <w:sz w:val="22"/>
          <w:szCs w:val="22"/>
          <w:u w:val="single"/>
        </w:rPr>
      </w:pPr>
      <w:r w:rsidRPr="00365BEE">
        <w:rPr>
          <w:sz w:val="22"/>
          <w:szCs w:val="22"/>
          <w:u w:val="single"/>
        </w:rPr>
        <w:t>Doença desmielinizante</w:t>
      </w:r>
    </w:p>
    <w:p w14:paraId="27826178" w14:textId="77777777" w:rsidR="004462A0" w:rsidRPr="008912CF" w:rsidRDefault="004462A0" w:rsidP="004462A0">
      <w:pPr>
        <w:rPr>
          <w:sz w:val="22"/>
          <w:szCs w:val="22"/>
        </w:rPr>
      </w:pPr>
    </w:p>
    <w:p w14:paraId="4FE1FEF3" w14:textId="77777777" w:rsidR="004462A0" w:rsidRPr="00D03949" w:rsidRDefault="00615769" w:rsidP="004462A0">
      <w:pPr>
        <w:numPr>
          <w:ilvl w:val="2"/>
          <w:numId w:val="41"/>
        </w:numPr>
        <w:tabs>
          <w:tab w:val="clear" w:pos="567"/>
        </w:tabs>
        <w:rPr>
          <w:sz w:val="22"/>
          <w:szCs w:val="22"/>
        </w:rPr>
      </w:pPr>
      <w:r w:rsidRPr="00DE3483">
        <w:rPr>
          <w:sz w:val="22"/>
          <w:szCs w:val="22"/>
        </w:rPr>
        <w:t xml:space="preserve">Se sofre </w:t>
      </w:r>
      <w:r w:rsidRPr="008123C1">
        <w:rPr>
          <w:sz w:val="22"/>
          <w:szCs w:val="22"/>
        </w:rPr>
        <w:t>ou vier a desenvolve</w:t>
      </w:r>
      <w:r w:rsidRPr="005972D0">
        <w:rPr>
          <w:sz w:val="22"/>
          <w:szCs w:val="22"/>
        </w:rPr>
        <w:t>r uma</w:t>
      </w:r>
      <w:r w:rsidRPr="0095665F">
        <w:rPr>
          <w:sz w:val="22"/>
          <w:szCs w:val="22"/>
        </w:rPr>
        <w:t xml:space="preserve"> </w:t>
      </w:r>
      <w:r w:rsidR="00716239">
        <w:rPr>
          <w:sz w:val="22"/>
          <w:szCs w:val="22"/>
        </w:rPr>
        <w:t xml:space="preserve">doença desmielinizante (uma doença que afeta a camada </w:t>
      </w:r>
      <w:r w:rsidR="00D30971">
        <w:rPr>
          <w:sz w:val="22"/>
          <w:szCs w:val="22"/>
        </w:rPr>
        <w:t>isolante à volta dos nervos, tal</w:t>
      </w:r>
      <w:r w:rsidR="00716239">
        <w:rPr>
          <w:sz w:val="22"/>
          <w:szCs w:val="22"/>
        </w:rPr>
        <w:t xml:space="preserve"> como esclerose múltipla)</w:t>
      </w:r>
      <w:r>
        <w:rPr>
          <w:sz w:val="22"/>
          <w:szCs w:val="22"/>
        </w:rPr>
        <w:t>, o</w:t>
      </w:r>
      <w:r w:rsidRPr="0095665F">
        <w:rPr>
          <w:sz w:val="22"/>
          <w:szCs w:val="22"/>
        </w:rPr>
        <w:t xml:space="preserve"> seu médico irá decidir se pode utilizar</w:t>
      </w:r>
      <w:r w:rsidRPr="0095508D">
        <w:rPr>
          <w:sz w:val="22"/>
          <w:szCs w:val="22"/>
        </w:rPr>
        <w:t xml:space="preserve"> ou continuar a utilizar</w:t>
      </w:r>
      <w:r w:rsidRPr="00D03949">
        <w:rPr>
          <w:sz w:val="22"/>
          <w:szCs w:val="22"/>
        </w:rPr>
        <w:t xml:space="preserve"> Humira. </w:t>
      </w:r>
      <w:r w:rsidR="00BA1FF6">
        <w:rPr>
          <w:sz w:val="22"/>
          <w:szCs w:val="22"/>
        </w:rPr>
        <w:t>Caso desenvolva</w:t>
      </w:r>
      <w:r>
        <w:rPr>
          <w:sz w:val="22"/>
          <w:szCs w:val="22"/>
        </w:rPr>
        <w:t xml:space="preserve"> </w:t>
      </w:r>
      <w:r w:rsidRPr="00D03949">
        <w:rPr>
          <w:sz w:val="22"/>
          <w:szCs w:val="22"/>
        </w:rPr>
        <w:t>sintomas</w:t>
      </w:r>
      <w:r w:rsidRPr="00D43276">
        <w:rPr>
          <w:sz w:val="22"/>
          <w:szCs w:val="22"/>
        </w:rPr>
        <w:t xml:space="preserve">, tais como alterações na visão, fraqueza nos braços </w:t>
      </w:r>
      <w:r w:rsidRPr="00A1061E">
        <w:rPr>
          <w:sz w:val="22"/>
          <w:szCs w:val="22"/>
        </w:rPr>
        <w:t>ou pernas ou dormência ou formigueir</w:t>
      </w:r>
      <w:r w:rsidRPr="000919AA">
        <w:rPr>
          <w:sz w:val="22"/>
          <w:szCs w:val="22"/>
        </w:rPr>
        <w:t xml:space="preserve">o em qualquer parte do corpo, </w:t>
      </w:r>
      <w:r>
        <w:rPr>
          <w:sz w:val="22"/>
          <w:szCs w:val="22"/>
        </w:rPr>
        <w:t xml:space="preserve">informe imediatamente </w:t>
      </w:r>
      <w:r w:rsidRPr="00D03949">
        <w:rPr>
          <w:sz w:val="22"/>
          <w:szCs w:val="22"/>
        </w:rPr>
        <w:t>o seu médico</w:t>
      </w:r>
      <w:r>
        <w:rPr>
          <w:sz w:val="22"/>
          <w:szCs w:val="22"/>
        </w:rPr>
        <w:t>.</w:t>
      </w:r>
      <w:r w:rsidRPr="00D03949">
        <w:rPr>
          <w:sz w:val="22"/>
          <w:szCs w:val="22"/>
        </w:rPr>
        <w:t xml:space="preserve"> </w:t>
      </w:r>
    </w:p>
    <w:p w14:paraId="2BFE9F9F" w14:textId="77777777" w:rsidR="004462A0" w:rsidRDefault="004462A0" w:rsidP="004462A0">
      <w:pPr>
        <w:rPr>
          <w:sz w:val="22"/>
          <w:szCs w:val="22"/>
        </w:rPr>
      </w:pPr>
    </w:p>
    <w:p w14:paraId="623E6D74" w14:textId="77777777" w:rsidR="004462A0" w:rsidRPr="00365BEE" w:rsidRDefault="00615769" w:rsidP="004462A0">
      <w:pPr>
        <w:rPr>
          <w:sz w:val="22"/>
          <w:szCs w:val="22"/>
          <w:u w:val="single"/>
        </w:rPr>
      </w:pPr>
      <w:r w:rsidRPr="00365BEE">
        <w:rPr>
          <w:sz w:val="22"/>
          <w:szCs w:val="22"/>
          <w:u w:val="single"/>
        </w:rPr>
        <w:t>Vacinaç</w:t>
      </w:r>
      <w:r w:rsidR="00082835">
        <w:rPr>
          <w:sz w:val="22"/>
          <w:szCs w:val="22"/>
          <w:u w:val="single"/>
        </w:rPr>
        <w:t>ão</w:t>
      </w:r>
    </w:p>
    <w:p w14:paraId="0FF9DB0D" w14:textId="77777777" w:rsidR="004462A0" w:rsidRPr="008912CF" w:rsidRDefault="004462A0" w:rsidP="004462A0">
      <w:pPr>
        <w:rPr>
          <w:sz w:val="22"/>
          <w:szCs w:val="22"/>
        </w:rPr>
      </w:pPr>
    </w:p>
    <w:p w14:paraId="7F554860" w14:textId="77777777" w:rsidR="004462A0" w:rsidRDefault="00615769" w:rsidP="004462A0">
      <w:pPr>
        <w:numPr>
          <w:ilvl w:val="2"/>
          <w:numId w:val="41"/>
        </w:numPr>
        <w:tabs>
          <w:tab w:val="clear" w:pos="567"/>
        </w:tabs>
        <w:rPr>
          <w:sz w:val="22"/>
          <w:szCs w:val="22"/>
        </w:rPr>
      </w:pPr>
      <w:r w:rsidRPr="008912CF">
        <w:rPr>
          <w:sz w:val="22"/>
          <w:szCs w:val="22"/>
        </w:rPr>
        <w:t xml:space="preserve">Certas vacinas podem causar infeções e não devem ser administradas em conjunto com Humira. </w:t>
      </w:r>
    </w:p>
    <w:p w14:paraId="05C69618" w14:textId="77777777" w:rsidR="004462A0" w:rsidRDefault="004462A0" w:rsidP="004462A0">
      <w:pPr>
        <w:rPr>
          <w:sz w:val="22"/>
          <w:szCs w:val="22"/>
        </w:rPr>
      </w:pPr>
    </w:p>
    <w:p w14:paraId="2E78DD14" w14:textId="77777777" w:rsidR="00090B1E" w:rsidRPr="00090B1E" w:rsidRDefault="00615769" w:rsidP="00090B1E">
      <w:pPr>
        <w:numPr>
          <w:ilvl w:val="2"/>
          <w:numId w:val="41"/>
        </w:numPr>
        <w:tabs>
          <w:tab w:val="left" w:pos="1134"/>
        </w:tabs>
        <w:ind w:left="1134"/>
        <w:rPr>
          <w:sz w:val="22"/>
          <w:szCs w:val="22"/>
        </w:rPr>
      </w:pPr>
      <w:r w:rsidRPr="008912CF">
        <w:rPr>
          <w:sz w:val="22"/>
          <w:szCs w:val="22"/>
        </w:rPr>
        <w:t xml:space="preserve">Contacte o seu médico antes de receber qualquer vacina. </w:t>
      </w:r>
    </w:p>
    <w:p w14:paraId="6DC6113E" w14:textId="77777777" w:rsidR="004462A0" w:rsidRPr="006E15E8" w:rsidRDefault="00615769" w:rsidP="00090B1E">
      <w:pPr>
        <w:numPr>
          <w:ilvl w:val="2"/>
          <w:numId w:val="41"/>
        </w:numPr>
        <w:tabs>
          <w:tab w:val="left" w:pos="1134"/>
        </w:tabs>
        <w:ind w:left="1134"/>
        <w:rPr>
          <w:sz w:val="22"/>
          <w:szCs w:val="22"/>
        </w:rPr>
      </w:pPr>
      <w:r w:rsidRPr="006E15E8">
        <w:rPr>
          <w:sz w:val="22"/>
          <w:szCs w:val="22"/>
        </w:rPr>
        <w:t xml:space="preserve">Recomenda-se que as crianças, antes de iniciarem o tratamento com Humira, se possível, recebam todas as vacinas, de acordo com o atual plano de vacinação nacional. </w:t>
      </w:r>
    </w:p>
    <w:p w14:paraId="62907494" w14:textId="77777777" w:rsidR="004462A0" w:rsidRPr="008912CF" w:rsidRDefault="00615769" w:rsidP="004462A0">
      <w:pPr>
        <w:numPr>
          <w:ilvl w:val="2"/>
          <w:numId w:val="41"/>
        </w:numPr>
        <w:tabs>
          <w:tab w:val="left" w:pos="1134"/>
        </w:tabs>
        <w:ind w:left="1134"/>
        <w:rPr>
          <w:sz w:val="22"/>
          <w:szCs w:val="22"/>
        </w:rPr>
      </w:pPr>
      <w:r w:rsidRPr="008912CF">
        <w:rPr>
          <w:sz w:val="22"/>
          <w:szCs w:val="22"/>
        </w:rPr>
        <w:t>Se utilizou Humira durante a gravidez, o seu bebé pode ter um risco superior de ter tais infeções até, aproximadamente, cinco meses após a última dose que administrou durante a gravidez. É importante que diga ao médico do seu bebé e a outros profissionais de saúde que usou Humira durante a sua gravidez, para que estes possam decidir quando pode ser dada qualquer vacina ao seu bebé.</w:t>
      </w:r>
    </w:p>
    <w:p w14:paraId="5AD531BF" w14:textId="77777777" w:rsidR="004462A0" w:rsidRDefault="004462A0" w:rsidP="004462A0">
      <w:pPr>
        <w:tabs>
          <w:tab w:val="left" w:pos="1418"/>
        </w:tabs>
        <w:rPr>
          <w:sz w:val="22"/>
          <w:szCs w:val="22"/>
        </w:rPr>
      </w:pPr>
    </w:p>
    <w:p w14:paraId="3FE26060" w14:textId="77777777" w:rsidR="004462A0" w:rsidRPr="00365BEE" w:rsidRDefault="00615769" w:rsidP="004462A0">
      <w:pPr>
        <w:rPr>
          <w:sz w:val="22"/>
          <w:szCs w:val="22"/>
          <w:u w:val="single"/>
        </w:rPr>
      </w:pPr>
      <w:r>
        <w:rPr>
          <w:sz w:val="22"/>
          <w:szCs w:val="22"/>
          <w:u w:val="single"/>
        </w:rPr>
        <w:t>Insuficiência cardíaca</w:t>
      </w:r>
    </w:p>
    <w:p w14:paraId="6A98239B" w14:textId="77777777" w:rsidR="00202ABA" w:rsidRPr="008B0DDF" w:rsidRDefault="00202ABA" w:rsidP="00202ABA">
      <w:pPr>
        <w:rPr>
          <w:sz w:val="22"/>
          <w:szCs w:val="22"/>
        </w:rPr>
      </w:pPr>
    </w:p>
    <w:p w14:paraId="699ADE41" w14:textId="77777777" w:rsidR="00202ABA" w:rsidRPr="005B0B80" w:rsidRDefault="00615769" w:rsidP="00202ABA">
      <w:pPr>
        <w:pStyle w:val="ListParagraph"/>
        <w:numPr>
          <w:ilvl w:val="0"/>
          <w:numId w:val="88"/>
        </w:numPr>
        <w:ind w:left="567" w:hanging="567"/>
        <w:rPr>
          <w:sz w:val="22"/>
          <w:szCs w:val="22"/>
        </w:rPr>
      </w:pPr>
      <w:r w:rsidRPr="006E6749">
        <w:rPr>
          <w:sz w:val="22"/>
          <w:szCs w:val="22"/>
        </w:rPr>
        <w:t>Se sofre de insuficiência cardíaca ligeira e está a ser tratad</w:t>
      </w:r>
      <w:r w:rsidR="00AC03D8">
        <w:rPr>
          <w:sz w:val="22"/>
          <w:szCs w:val="22"/>
        </w:rPr>
        <w:t>o</w:t>
      </w:r>
      <w:r w:rsidRPr="006E6749">
        <w:rPr>
          <w:sz w:val="22"/>
          <w:szCs w:val="22"/>
        </w:rPr>
        <w:t xml:space="preserve"> com Humira, o estado da sua insuficiência cardíaca deve ser controlado cuidadosamente pelo seu médico. É muito importante que informe o seu médico se sofre ou já sofreu de problemas cardíacos graves. Caso desenvolva novos sintomas ou agravamento dos sintomas de insuficiência cardíaca (por exemplo, falta de ar ou inchaço dos pés), deve contactar o seu médico imediatamente. O seu médico irá decidir se pode</w:t>
      </w:r>
      <w:r w:rsidRPr="00D30971">
        <w:rPr>
          <w:sz w:val="22"/>
          <w:szCs w:val="22"/>
        </w:rPr>
        <w:t xml:space="preserve"> utilizar Humira.</w:t>
      </w:r>
    </w:p>
    <w:p w14:paraId="754D417F" w14:textId="77777777" w:rsidR="004462A0" w:rsidRDefault="004462A0" w:rsidP="004462A0">
      <w:pPr>
        <w:pStyle w:val="ListParagraph"/>
        <w:rPr>
          <w:sz w:val="22"/>
          <w:szCs w:val="22"/>
        </w:rPr>
      </w:pPr>
    </w:p>
    <w:p w14:paraId="2FD695D5" w14:textId="77777777" w:rsidR="006E15E8" w:rsidRPr="00154AA2" w:rsidRDefault="00615769" w:rsidP="006E15E8">
      <w:pPr>
        <w:rPr>
          <w:sz w:val="22"/>
          <w:szCs w:val="22"/>
          <w:u w:val="single"/>
        </w:rPr>
      </w:pPr>
      <w:r w:rsidRPr="00154AA2">
        <w:rPr>
          <w:sz w:val="22"/>
          <w:szCs w:val="22"/>
          <w:u w:val="single"/>
        </w:rPr>
        <w:t>Febre, nódoas negras, perdas de sangue ou aspeto pálido</w:t>
      </w:r>
    </w:p>
    <w:p w14:paraId="563EC70C" w14:textId="77777777" w:rsidR="006E15E8" w:rsidRDefault="006E15E8" w:rsidP="004462A0">
      <w:pPr>
        <w:pStyle w:val="ListParagraph"/>
        <w:rPr>
          <w:sz w:val="22"/>
          <w:szCs w:val="22"/>
        </w:rPr>
      </w:pPr>
    </w:p>
    <w:p w14:paraId="4166F9D1" w14:textId="77777777" w:rsidR="004462A0" w:rsidRPr="00F03C54" w:rsidRDefault="00615769">
      <w:pPr>
        <w:numPr>
          <w:ilvl w:val="0"/>
          <w:numId w:val="23"/>
        </w:numPr>
        <w:rPr>
          <w:sz w:val="22"/>
          <w:szCs w:val="22"/>
        </w:rPr>
      </w:pPr>
      <w:r w:rsidRPr="006E15E8">
        <w:rPr>
          <w:sz w:val="22"/>
          <w:szCs w:val="22"/>
        </w:rPr>
        <w:t xml:space="preserve">Em alguns doentes o organismo pode ser incapaz de produzir suficientes células sanguíneas que </w:t>
      </w:r>
      <w:r w:rsidR="000806CF">
        <w:rPr>
          <w:sz w:val="22"/>
          <w:szCs w:val="22"/>
        </w:rPr>
        <w:t>combatam</w:t>
      </w:r>
      <w:r w:rsidRPr="006E15E8">
        <w:rPr>
          <w:sz w:val="22"/>
          <w:szCs w:val="22"/>
        </w:rPr>
        <w:t xml:space="preserve"> infeções ou ajudem a parar hemorragias. O seu médico pode decidir suspender o tratamento.</w:t>
      </w:r>
      <w:r w:rsidR="006E15E8" w:rsidRPr="006E15E8">
        <w:rPr>
          <w:sz w:val="22"/>
          <w:szCs w:val="22"/>
        </w:rPr>
        <w:t xml:space="preserve"> Caso verifique febre que se mantenha, tiver nódoas negras ou perdas de sangue muito facilmente ou se apresentar um aspeto muito pálido, informe imediatamente o seu médico.</w:t>
      </w:r>
    </w:p>
    <w:p w14:paraId="268A9454" w14:textId="77777777" w:rsidR="004462A0" w:rsidRDefault="004462A0" w:rsidP="004462A0"/>
    <w:p w14:paraId="2D692658" w14:textId="77777777" w:rsidR="004462A0" w:rsidRPr="00B427DD" w:rsidRDefault="00615769" w:rsidP="004462A0">
      <w:pPr>
        <w:rPr>
          <w:sz w:val="22"/>
          <w:szCs w:val="22"/>
          <w:u w:val="single"/>
        </w:rPr>
      </w:pPr>
      <w:r w:rsidRPr="00B427DD">
        <w:rPr>
          <w:sz w:val="22"/>
          <w:szCs w:val="22"/>
          <w:u w:val="single"/>
        </w:rPr>
        <w:t>Cancro</w:t>
      </w:r>
    </w:p>
    <w:p w14:paraId="35F0D0EA" w14:textId="77777777" w:rsidR="004462A0" w:rsidRPr="007A3705" w:rsidRDefault="004462A0" w:rsidP="004462A0"/>
    <w:p w14:paraId="728B7DC4" w14:textId="77777777" w:rsidR="004462A0" w:rsidRDefault="00615769" w:rsidP="004462A0">
      <w:pPr>
        <w:numPr>
          <w:ilvl w:val="0"/>
          <w:numId w:val="23"/>
        </w:numPr>
        <w:tabs>
          <w:tab w:val="clear" w:pos="567"/>
        </w:tabs>
        <w:rPr>
          <w:sz w:val="22"/>
          <w:szCs w:val="22"/>
        </w:rPr>
      </w:pPr>
      <w:r w:rsidRPr="008912CF">
        <w:rPr>
          <w:sz w:val="22"/>
          <w:szCs w:val="22"/>
        </w:rPr>
        <w:t>T</w:t>
      </w:r>
      <w:r w:rsidR="00B00E30">
        <w:rPr>
          <w:sz w:val="22"/>
          <w:szCs w:val="22"/>
        </w:rPr>
        <w:t>ê</w:t>
      </w:r>
      <w:r w:rsidRPr="008912CF">
        <w:rPr>
          <w:sz w:val="22"/>
          <w:szCs w:val="22"/>
        </w:rPr>
        <w:t>m ocorrido</w:t>
      </w:r>
      <w:r w:rsidR="00B00E30">
        <w:rPr>
          <w:sz w:val="22"/>
          <w:szCs w:val="22"/>
        </w:rPr>
        <w:t>,</w:t>
      </w:r>
      <w:r w:rsidRPr="008912CF">
        <w:rPr>
          <w:sz w:val="22"/>
          <w:szCs w:val="22"/>
        </w:rPr>
        <w:t xml:space="preserve"> em casos muito raros, certos tipos de cancro em crianças e adultos doentes tratados com Humira ou com outros antagonistas</w:t>
      </w:r>
      <w:r w:rsidRPr="008912CF">
        <w:rPr>
          <w:sz w:val="22"/>
          <w:szCs w:val="22"/>
        </w:rPr>
        <w:noBreakHyphen/>
        <w:t xml:space="preserve">TNF. </w:t>
      </w:r>
    </w:p>
    <w:p w14:paraId="6C64C375" w14:textId="77777777" w:rsidR="004462A0" w:rsidRDefault="004462A0" w:rsidP="004462A0">
      <w:pPr>
        <w:rPr>
          <w:sz w:val="22"/>
          <w:szCs w:val="22"/>
        </w:rPr>
      </w:pPr>
    </w:p>
    <w:p w14:paraId="70AB5810" w14:textId="77777777" w:rsidR="004462A0" w:rsidRDefault="00615769" w:rsidP="004462A0">
      <w:pPr>
        <w:numPr>
          <w:ilvl w:val="0"/>
          <w:numId w:val="23"/>
        </w:numPr>
        <w:tabs>
          <w:tab w:val="clear" w:pos="567"/>
        </w:tabs>
        <w:ind w:left="1134"/>
        <w:rPr>
          <w:sz w:val="22"/>
          <w:szCs w:val="22"/>
        </w:rPr>
      </w:pPr>
      <w:r w:rsidRPr="008912CF">
        <w:rPr>
          <w:sz w:val="22"/>
          <w:szCs w:val="22"/>
        </w:rPr>
        <w:t>Doentes com artrite reumatoide muito grave que tenham doença prolongada podem ter um maior risco médio de aparecimento de linfoma (</w:t>
      </w:r>
      <w:r w:rsidR="006E15E8">
        <w:rPr>
          <w:sz w:val="22"/>
          <w:szCs w:val="22"/>
        </w:rPr>
        <w:t>um</w:t>
      </w:r>
      <w:r w:rsidRPr="008912CF">
        <w:rPr>
          <w:sz w:val="22"/>
          <w:szCs w:val="22"/>
        </w:rPr>
        <w:t xml:space="preserve"> cancro que afeta o sistema linfático) e leucemia (</w:t>
      </w:r>
      <w:r w:rsidR="006E15E8">
        <w:rPr>
          <w:sz w:val="22"/>
          <w:szCs w:val="22"/>
        </w:rPr>
        <w:t xml:space="preserve">um </w:t>
      </w:r>
      <w:r w:rsidRPr="008912CF">
        <w:rPr>
          <w:sz w:val="22"/>
          <w:szCs w:val="22"/>
        </w:rPr>
        <w:t xml:space="preserve">cancro que afeta o sangue e medula óssea). </w:t>
      </w:r>
    </w:p>
    <w:p w14:paraId="785E41B0" w14:textId="77777777" w:rsidR="004462A0" w:rsidRDefault="004462A0" w:rsidP="004462A0">
      <w:pPr>
        <w:pStyle w:val="ListParagraph"/>
        <w:ind w:left="1134" w:hanging="567"/>
        <w:rPr>
          <w:sz w:val="22"/>
          <w:szCs w:val="22"/>
        </w:rPr>
      </w:pPr>
    </w:p>
    <w:p w14:paraId="530B0216" w14:textId="77777777" w:rsidR="004462A0" w:rsidRDefault="00615769" w:rsidP="004462A0">
      <w:pPr>
        <w:numPr>
          <w:ilvl w:val="0"/>
          <w:numId w:val="23"/>
        </w:numPr>
        <w:tabs>
          <w:tab w:val="clear" w:pos="567"/>
        </w:tabs>
        <w:ind w:left="1134"/>
        <w:rPr>
          <w:sz w:val="22"/>
          <w:szCs w:val="22"/>
        </w:rPr>
      </w:pPr>
      <w:r w:rsidRPr="008912CF">
        <w:rPr>
          <w:sz w:val="22"/>
          <w:szCs w:val="22"/>
        </w:rPr>
        <w:t xml:space="preserve">Se toma Humira o risco de ter linfoma, leucemia, ou outro tipo de cancro pode aumentar. Em raras ocasiões, em doentes tratados com Humira, foi notificado um tipo de linfoma </w:t>
      </w:r>
      <w:r w:rsidR="00712F4C">
        <w:rPr>
          <w:sz w:val="22"/>
          <w:szCs w:val="22"/>
        </w:rPr>
        <w:t>pouco frequente</w:t>
      </w:r>
      <w:r w:rsidR="00712F4C" w:rsidRPr="008912CF">
        <w:rPr>
          <w:sz w:val="22"/>
          <w:szCs w:val="22"/>
        </w:rPr>
        <w:t xml:space="preserve"> </w:t>
      </w:r>
      <w:r w:rsidRPr="008912CF">
        <w:rPr>
          <w:sz w:val="22"/>
          <w:szCs w:val="22"/>
        </w:rPr>
        <w:t xml:space="preserve">e grave. Alguns destes doentes foram também tratados com azatioprina ou 6-mercaptopurina. </w:t>
      </w:r>
    </w:p>
    <w:p w14:paraId="685BD74A" w14:textId="77777777" w:rsidR="004462A0" w:rsidRDefault="004462A0" w:rsidP="004462A0">
      <w:pPr>
        <w:pStyle w:val="ListParagraph"/>
        <w:ind w:left="1134" w:hanging="567"/>
        <w:rPr>
          <w:sz w:val="22"/>
          <w:szCs w:val="22"/>
        </w:rPr>
      </w:pPr>
    </w:p>
    <w:p w14:paraId="265F0ECC" w14:textId="77777777" w:rsidR="004462A0" w:rsidRDefault="00615769" w:rsidP="004462A0">
      <w:pPr>
        <w:numPr>
          <w:ilvl w:val="0"/>
          <w:numId w:val="23"/>
        </w:numPr>
        <w:tabs>
          <w:tab w:val="clear" w:pos="567"/>
        </w:tabs>
        <w:ind w:left="1134"/>
        <w:rPr>
          <w:sz w:val="22"/>
          <w:szCs w:val="22"/>
        </w:rPr>
      </w:pPr>
      <w:r w:rsidRPr="008912CF">
        <w:rPr>
          <w:sz w:val="22"/>
          <w:szCs w:val="22"/>
        </w:rPr>
        <w:t>Diga ao seu médico se está a tomar azatioprina ou 6-mercaptopurina com Humira</w:t>
      </w:r>
      <w:r>
        <w:rPr>
          <w:sz w:val="22"/>
          <w:szCs w:val="22"/>
        </w:rPr>
        <w:t>.</w:t>
      </w:r>
      <w:r w:rsidRPr="008912CF">
        <w:rPr>
          <w:sz w:val="22"/>
          <w:szCs w:val="22"/>
        </w:rPr>
        <w:t xml:space="preserve"> </w:t>
      </w:r>
    </w:p>
    <w:p w14:paraId="27C76494" w14:textId="77777777" w:rsidR="004462A0" w:rsidRDefault="004462A0" w:rsidP="004462A0">
      <w:pPr>
        <w:pStyle w:val="ListParagraph"/>
        <w:ind w:left="1134" w:hanging="567"/>
        <w:rPr>
          <w:sz w:val="22"/>
          <w:szCs w:val="22"/>
        </w:rPr>
      </w:pPr>
    </w:p>
    <w:p w14:paraId="276A4BA6" w14:textId="77777777" w:rsidR="004462A0" w:rsidRDefault="00615769" w:rsidP="004462A0">
      <w:pPr>
        <w:numPr>
          <w:ilvl w:val="0"/>
          <w:numId w:val="23"/>
        </w:numPr>
        <w:tabs>
          <w:tab w:val="clear" w:pos="567"/>
        </w:tabs>
        <w:ind w:left="1134"/>
        <w:rPr>
          <w:sz w:val="22"/>
          <w:szCs w:val="22"/>
        </w:rPr>
      </w:pPr>
      <w:r>
        <w:rPr>
          <w:sz w:val="22"/>
          <w:szCs w:val="22"/>
        </w:rPr>
        <w:t>F</w:t>
      </w:r>
      <w:r w:rsidRPr="008912CF">
        <w:rPr>
          <w:sz w:val="22"/>
          <w:szCs w:val="22"/>
        </w:rPr>
        <w:t xml:space="preserve">oram observados casos de neoplasias cutâneas não-melanomas em doentes tratados com Humira. </w:t>
      </w:r>
    </w:p>
    <w:p w14:paraId="33E4D687" w14:textId="77777777" w:rsidR="004462A0" w:rsidRDefault="004462A0" w:rsidP="004462A0">
      <w:pPr>
        <w:pStyle w:val="ListParagraph"/>
        <w:ind w:left="1134" w:hanging="567"/>
        <w:rPr>
          <w:sz w:val="22"/>
          <w:szCs w:val="22"/>
        </w:rPr>
      </w:pPr>
    </w:p>
    <w:p w14:paraId="6D06CDDC" w14:textId="77777777" w:rsidR="004462A0" w:rsidRPr="008912CF" w:rsidRDefault="00615769" w:rsidP="004462A0">
      <w:pPr>
        <w:numPr>
          <w:ilvl w:val="0"/>
          <w:numId w:val="23"/>
        </w:numPr>
        <w:tabs>
          <w:tab w:val="clear" w:pos="567"/>
        </w:tabs>
        <w:ind w:left="1134"/>
        <w:rPr>
          <w:sz w:val="22"/>
          <w:szCs w:val="22"/>
        </w:rPr>
      </w:pPr>
      <w:r w:rsidRPr="008912CF">
        <w:rPr>
          <w:sz w:val="22"/>
          <w:szCs w:val="22"/>
        </w:rPr>
        <w:t>Se aparecerem novas lesões de pele durante ou depois do tratamento, ou se existirem alterações no aspeto de lesões existentes, informe o seu médico.</w:t>
      </w:r>
    </w:p>
    <w:p w14:paraId="39146270" w14:textId="77777777" w:rsidR="004462A0" w:rsidRPr="008912CF" w:rsidRDefault="004462A0" w:rsidP="004462A0">
      <w:pPr>
        <w:rPr>
          <w:sz w:val="22"/>
          <w:szCs w:val="22"/>
        </w:rPr>
      </w:pPr>
    </w:p>
    <w:p w14:paraId="5E1143B8" w14:textId="77777777" w:rsidR="004462A0" w:rsidRPr="008912CF" w:rsidRDefault="00615769" w:rsidP="004462A0">
      <w:pPr>
        <w:numPr>
          <w:ilvl w:val="0"/>
          <w:numId w:val="23"/>
        </w:numPr>
        <w:tabs>
          <w:tab w:val="clear" w:pos="567"/>
        </w:tabs>
        <w:rPr>
          <w:sz w:val="22"/>
          <w:szCs w:val="22"/>
        </w:rPr>
      </w:pPr>
      <w:r w:rsidRPr="008912CF">
        <w:rPr>
          <w:sz w:val="22"/>
          <w:szCs w:val="22"/>
        </w:rPr>
        <w:t>Existem casos de cancros, para além de linfoma, em doentes com um tipo específico de doença pulmonar denominada Doença Pulmonar Obstrutiva Crónica (DPOC) tratados com outros antagonistas</w:t>
      </w:r>
      <w:r w:rsidRPr="008912CF">
        <w:rPr>
          <w:sz w:val="22"/>
          <w:szCs w:val="22"/>
        </w:rPr>
        <w:noBreakHyphen/>
        <w:t>TNF. Se tem DPOC, ou se fuma muito, deve falar com o seu médico para saber se o tratamento com um bloqueador</w:t>
      </w:r>
      <w:r w:rsidRPr="008912CF">
        <w:rPr>
          <w:sz w:val="22"/>
          <w:szCs w:val="22"/>
        </w:rPr>
        <w:noBreakHyphen/>
        <w:t>TNF é apropriado para si.</w:t>
      </w:r>
    </w:p>
    <w:p w14:paraId="575FCC4C" w14:textId="77777777" w:rsidR="004462A0" w:rsidRPr="008912CF" w:rsidRDefault="004462A0" w:rsidP="004462A0">
      <w:pPr>
        <w:rPr>
          <w:sz w:val="22"/>
          <w:szCs w:val="22"/>
        </w:rPr>
      </w:pPr>
    </w:p>
    <w:p w14:paraId="112D7360" w14:textId="77777777" w:rsidR="006E15E8" w:rsidRPr="00E51FCC" w:rsidRDefault="00615769" w:rsidP="0010302F">
      <w:pPr>
        <w:keepNext/>
        <w:rPr>
          <w:sz w:val="22"/>
          <w:szCs w:val="22"/>
          <w:u w:val="single"/>
        </w:rPr>
      </w:pPr>
      <w:r w:rsidRPr="00E51FCC">
        <w:rPr>
          <w:sz w:val="22"/>
          <w:szCs w:val="22"/>
          <w:u w:val="single"/>
        </w:rPr>
        <w:t>Doença autoimune</w:t>
      </w:r>
    </w:p>
    <w:p w14:paraId="17AFF5B5" w14:textId="77777777" w:rsidR="006E15E8" w:rsidRDefault="006E15E8" w:rsidP="0010302F">
      <w:pPr>
        <w:pStyle w:val="ListParagraph"/>
        <w:keepNext/>
        <w:rPr>
          <w:sz w:val="22"/>
          <w:szCs w:val="22"/>
        </w:rPr>
      </w:pPr>
    </w:p>
    <w:p w14:paraId="5471CD56" w14:textId="77777777" w:rsidR="006E15E8" w:rsidRDefault="00615769" w:rsidP="0010302F">
      <w:pPr>
        <w:pStyle w:val="ListParagraph"/>
        <w:keepNext/>
        <w:numPr>
          <w:ilvl w:val="0"/>
          <w:numId w:val="144"/>
        </w:numPr>
        <w:rPr>
          <w:sz w:val="22"/>
          <w:szCs w:val="22"/>
        </w:rPr>
      </w:pPr>
      <w:r>
        <w:rPr>
          <w:sz w:val="22"/>
          <w:szCs w:val="22"/>
        </w:rPr>
        <w:t xml:space="preserve">Em raras ocasiões, o </w:t>
      </w:r>
      <w:r w:rsidRPr="00E51FCC">
        <w:rPr>
          <w:sz w:val="22"/>
          <w:szCs w:val="22"/>
        </w:rPr>
        <w:t xml:space="preserve">tratamento com Humira pode dar origem </w:t>
      </w:r>
      <w:r>
        <w:rPr>
          <w:sz w:val="22"/>
          <w:szCs w:val="22"/>
        </w:rPr>
        <w:t>a s</w:t>
      </w:r>
      <w:r w:rsidRPr="0069244F">
        <w:rPr>
          <w:sz w:val="22"/>
          <w:szCs w:val="22"/>
        </w:rPr>
        <w:t>intomas sugestivos de uma síndrome do tipo lúpus</w:t>
      </w:r>
      <w:r>
        <w:rPr>
          <w:sz w:val="22"/>
          <w:szCs w:val="22"/>
        </w:rPr>
        <w:t>. Contacte o seu médico se ocorrerem sintomas tais como inesperada</w:t>
      </w:r>
      <w:r w:rsidRPr="00A33DCB">
        <w:rPr>
          <w:sz w:val="22"/>
          <w:szCs w:val="22"/>
        </w:rPr>
        <w:t xml:space="preserve"> erupção cutânea persistente,</w:t>
      </w:r>
      <w:r>
        <w:rPr>
          <w:sz w:val="22"/>
          <w:szCs w:val="22"/>
        </w:rPr>
        <w:t xml:space="preserve"> febre, dor nas articulações ou cansaço.</w:t>
      </w:r>
      <w:r w:rsidRPr="00A33DCB">
        <w:rPr>
          <w:sz w:val="22"/>
          <w:szCs w:val="22"/>
        </w:rPr>
        <w:t xml:space="preserve"> </w:t>
      </w:r>
    </w:p>
    <w:p w14:paraId="2CDF3901" w14:textId="77777777" w:rsidR="006E15E8" w:rsidRDefault="006E15E8" w:rsidP="004462A0">
      <w:pPr>
        <w:pStyle w:val="EMEAHeadingLeaflet"/>
        <w:spacing w:before="0" w:after="0"/>
        <w:rPr>
          <w:rFonts w:ascii="Times New Roman" w:hAnsi="Times New Roman"/>
          <w:szCs w:val="22"/>
          <w:lang w:val="pt-PT"/>
        </w:rPr>
      </w:pPr>
    </w:p>
    <w:p w14:paraId="0A9AB043" w14:textId="77777777" w:rsidR="004462A0" w:rsidRPr="008912CF" w:rsidRDefault="00615769" w:rsidP="004462A0">
      <w:pPr>
        <w:pStyle w:val="EMEAHeadingLeaflet"/>
        <w:spacing w:before="0" w:after="0"/>
        <w:rPr>
          <w:rFonts w:ascii="Times New Roman" w:hAnsi="Times New Roman"/>
          <w:szCs w:val="22"/>
          <w:lang w:val="pt-PT"/>
        </w:rPr>
      </w:pPr>
      <w:r w:rsidRPr="008912CF">
        <w:rPr>
          <w:rFonts w:ascii="Times New Roman" w:hAnsi="Times New Roman"/>
          <w:szCs w:val="22"/>
          <w:lang w:val="pt-PT"/>
        </w:rPr>
        <w:t>Crianças e adolescentes</w:t>
      </w:r>
    </w:p>
    <w:p w14:paraId="6B68A618" w14:textId="77777777" w:rsidR="004462A0" w:rsidRPr="008912CF" w:rsidRDefault="004462A0" w:rsidP="004462A0">
      <w:pPr>
        <w:pStyle w:val="EMEANormal"/>
        <w:rPr>
          <w:lang w:val="pt-PT"/>
        </w:rPr>
      </w:pPr>
    </w:p>
    <w:p w14:paraId="28B8E9EC" w14:textId="77777777" w:rsidR="004462A0" w:rsidRPr="008912CF" w:rsidRDefault="00615769" w:rsidP="0082266B">
      <w:pPr>
        <w:pStyle w:val="EMEABullet2"/>
        <w:numPr>
          <w:ilvl w:val="0"/>
          <w:numId w:val="109"/>
        </w:numPr>
        <w:tabs>
          <w:tab w:val="clear" w:pos="567"/>
        </w:tabs>
        <w:ind w:left="567" w:hanging="567"/>
        <w:rPr>
          <w:szCs w:val="22"/>
          <w:lang w:val="pt-PT"/>
        </w:rPr>
      </w:pPr>
      <w:r w:rsidRPr="008912CF">
        <w:rPr>
          <w:szCs w:val="22"/>
          <w:lang w:val="pt-PT"/>
        </w:rPr>
        <w:t>Vacinação: se possível, antes de iniciar Humira, a sua criança deve ter todas as vacinas atualizadas</w:t>
      </w:r>
      <w:r w:rsidR="00134325">
        <w:rPr>
          <w:szCs w:val="22"/>
          <w:lang w:val="pt-PT"/>
        </w:rPr>
        <w:t>.</w:t>
      </w:r>
    </w:p>
    <w:p w14:paraId="58F2B84F" w14:textId="77777777" w:rsidR="004462A0" w:rsidRPr="008912CF" w:rsidRDefault="004462A0" w:rsidP="004462A0">
      <w:pPr>
        <w:pStyle w:val="EMEABullet2"/>
        <w:rPr>
          <w:szCs w:val="22"/>
          <w:lang w:val="pt-PT"/>
        </w:rPr>
      </w:pPr>
    </w:p>
    <w:p w14:paraId="729583AA" w14:textId="77777777" w:rsidR="004462A0" w:rsidRPr="008912CF" w:rsidRDefault="00615769" w:rsidP="004462A0">
      <w:pPr>
        <w:rPr>
          <w:b/>
          <w:bCs/>
          <w:sz w:val="22"/>
          <w:szCs w:val="22"/>
        </w:rPr>
      </w:pPr>
      <w:r w:rsidRPr="008912CF">
        <w:rPr>
          <w:b/>
          <w:bCs/>
          <w:sz w:val="22"/>
          <w:szCs w:val="22"/>
        </w:rPr>
        <w:t>Outros medicamentos e Humira</w:t>
      </w:r>
    </w:p>
    <w:p w14:paraId="6CE91035" w14:textId="77777777" w:rsidR="004462A0" w:rsidRPr="008912CF" w:rsidRDefault="004462A0" w:rsidP="004462A0">
      <w:pPr>
        <w:rPr>
          <w:sz w:val="22"/>
          <w:szCs w:val="22"/>
        </w:rPr>
      </w:pPr>
    </w:p>
    <w:p w14:paraId="441FC068" w14:textId="77777777" w:rsidR="004462A0" w:rsidRPr="008912CF" w:rsidRDefault="00615769" w:rsidP="004462A0">
      <w:pPr>
        <w:rPr>
          <w:sz w:val="22"/>
          <w:szCs w:val="22"/>
        </w:rPr>
      </w:pPr>
      <w:r w:rsidRPr="008912CF">
        <w:rPr>
          <w:sz w:val="22"/>
          <w:szCs w:val="22"/>
        </w:rPr>
        <w:t xml:space="preserve">Informe o </w:t>
      </w:r>
      <w:r w:rsidR="00082F0B">
        <w:rPr>
          <w:sz w:val="22"/>
          <w:szCs w:val="22"/>
        </w:rPr>
        <w:t xml:space="preserve">seu </w:t>
      </w:r>
      <w:r w:rsidRPr="008912CF">
        <w:rPr>
          <w:sz w:val="22"/>
          <w:szCs w:val="22"/>
        </w:rPr>
        <w:t>médico ou farmacêutico se estiver a tomar, tiver tomado recentemente, ou se vier a tomar outros medicamentos.</w:t>
      </w:r>
    </w:p>
    <w:p w14:paraId="11253910" w14:textId="77777777" w:rsidR="004462A0" w:rsidRPr="008912CF" w:rsidRDefault="004462A0" w:rsidP="004462A0">
      <w:pPr>
        <w:rPr>
          <w:sz w:val="22"/>
          <w:szCs w:val="22"/>
        </w:rPr>
      </w:pPr>
    </w:p>
    <w:p w14:paraId="5C0AE823" w14:textId="77777777" w:rsidR="004462A0" w:rsidRDefault="00615769" w:rsidP="004462A0">
      <w:pPr>
        <w:rPr>
          <w:sz w:val="22"/>
          <w:szCs w:val="22"/>
        </w:rPr>
      </w:pPr>
      <w:r>
        <w:rPr>
          <w:sz w:val="22"/>
          <w:szCs w:val="22"/>
        </w:rPr>
        <w:t>Devido ao risco aumentado de infeções graves,</w:t>
      </w:r>
      <w:r w:rsidRPr="008912CF">
        <w:rPr>
          <w:sz w:val="22"/>
          <w:szCs w:val="22"/>
        </w:rPr>
        <w:t xml:space="preserve"> </w:t>
      </w:r>
      <w:r>
        <w:rPr>
          <w:sz w:val="22"/>
          <w:szCs w:val="22"/>
        </w:rPr>
        <w:t>n</w:t>
      </w:r>
      <w:r w:rsidRPr="008912CF">
        <w:rPr>
          <w:sz w:val="22"/>
          <w:szCs w:val="22"/>
        </w:rPr>
        <w:t>ão deve tomar Humira com medicamentos contendo a</w:t>
      </w:r>
      <w:r>
        <w:rPr>
          <w:sz w:val="22"/>
          <w:szCs w:val="22"/>
        </w:rPr>
        <w:t>s</w:t>
      </w:r>
      <w:r w:rsidRPr="008912CF">
        <w:rPr>
          <w:sz w:val="22"/>
          <w:szCs w:val="22"/>
        </w:rPr>
        <w:t xml:space="preserve"> substância</w:t>
      </w:r>
      <w:r>
        <w:rPr>
          <w:sz w:val="22"/>
          <w:szCs w:val="22"/>
        </w:rPr>
        <w:t>s</w:t>
      </w:r>
      <w:r w:rsidRPr="008912CF">
        <w:rPr>
          <w:sz w:val="22"/>
          <w:szCs w:val="22"/>
        </w:rPr>
        <w:t xml:space="preserve"> ativa</w:t>
      </w:r>
      <w:r>
        <w:rPr>
          <w:sz w:val="22"/>
          <w:szCs w:val="22"/>
        </w:rPr>
        <w:t>s seguintes:</w:t>
      </w:r>
    </w:p>
    <w:p w14:paraId="297871F0" w14:textId="77777777" w:rsidR="004462A0" w:rsidRDefault="00615769" w:rsidP="004462A0">
      <w:pPr>
        <w:numPr>
          <w:ilvl w:val="0"/>
          <w:numId w:val="109"/>
        </w:numPr>
        <w:ind w:left="567" w:hanging="567"/>
        <w:rPr>
          <w:sz w:val="22"/>
          <w:szCs w:val="22"/>
        </w:rPr>
      </w:pPr>
      <w:r>
        <w:rPr>
          <w:sz w:val="22"/>
          <w:szCs w:val="22"/>
        </w:rPr>
        <w:t>a</w:t>
      </w:r>
      <w:r w:rsidRPr="008912CF">
        <w:rPr>
          <w:sz w:val="22"/>
          <w:szCs w:val="22"/>
        </w:rPr>
        <w:t>na</w:t>
      </w:r>
      <w:r w:rsidR="00F7235D">
        <w:rPr>
          <w:sz w:val="22"/>
          <w:szCs w:val="22"/>
        </w:rPr>
        <w:t>c</w:t>
      </w:r>
      <w:r w:rsidRPr="008912CF">
        <w:rPr>
          <w:sz w:val="22"/>
          <w:szCs w:val="22"/>
        </w:rPr>
        <w:t>inra</w:t>
      </w:r>
    </w:p>
    <w:p w14:paraId="0CB7DB42" w14:textId="77777777" w:rsidR="004462A0" w:rsidRPr="008912CF" w:rsidRDefault="00615769" w:rsidP="004462A0">
      <w:pPr>
        <w:numPr>
          <w:ilvl w:val="0"/>
          <w:numId w:val="109"/>
        </w:numPr>
        <w:ind w:left="567" w:hanging="567"/>
        <w:rPr>
          <w:sz w:val="22"/>
          <w:szCs w:val="22"/>
        </w:rPr>
      </w:pPr>
      <w:r w:rsidRPr="008912CF">
        <w:rPr>
          <w:sz w:val="22"/>
          <w:szCs w:val="22"/>
        </w:rPr>
        <w:t xml:space="preserve">abatacept. </w:t>
      </w:r>
    </w:p>
    <w:p w14:paraId="04632901" w14:textId="77777777" w:rsidR="004462A0" w:rsidRDefault="004462A0" w:rsidP="004462A0">
      <w:pPr>
        <w:ind w:right="-2"/>
        <w:rPr>
          <w:sz w:val="22"/>
          <w:szCs w:val="22"/>
        </w:rPr>
      </w:pPr>
    </w:p>
    <w:p w14:paraId="6B28BD6A" w14:textId="77777777" w:rsidR="004462A0" w:rsidRDefault="00615769" w:rsidP="004462A0">
      <w:pPr>
        <w:ind w:right="-2"/>
        <w:rPr>
          <w:sz w:val="22"/>
          <w:szCs w:val="22"/>
        </w:rPr>
      </w:pPr>
      <w:r w:rsidRPr="008912CF">
        <w:rPr>
          <w:sz w:val="22"/>
          <w:szCs w:val="22"/>
        </w:rPr>
        <w:t>Humira pode ser utilizado em conjunto com</w:t>
      </w:r>
      <w:r>
        <w:rPr>
          <w:sz w:val="22"/>
          <w:szCs w:val="22"/>
        </w:rPr>
        <w:t>:</w:t>
      </w:r>
    </w:p>
    <w:p w14:paraId="14F7723D" w14:textId="77777777" w:rsidR="004462A0" w:rsidRDefault="00615769" w:rsidP="004462A0">
      <w:pPr>
        <w:numPr>
          <w:ilvl w:val="0"/>
          <w:numId w:val="110"/>
        </w:numPr>
        <w:ind w:left="567" w:right="-2" w:hanging="567"/>
        <w:rPr>
          <w:sz w:val="22"/>
          <w:szCs w:val="22"/>
        </w:rPr>
      </w:pPr>
      <w:r>
        <w:rPr>
          <w:sz w:val="22"/>
          <w:szCs w:val="22"/>
        </w:rPr>
        <w:t>m</w:t>
      </w:r>
      <w:r w:rsidRPr="008912CF">
        <w:rPr>
          <w:sz w:val="22"/>
          <w:szCs w:val="22"/>
        </w:rPr>
        <w:t>etotrexato</w:t>
      </w:r>
    </w:p>
    <w:p w14:paraId="73E642D5" w14:textId="77777777" w:rsidR="004462A0" w:rsidRDefault="00615769" w:rsidP="004462A0">
      <w:pPr>
        <w:numPr>
          <w:ilvl w:val="0"/>
          <w:numId w:val="110"/>
        </w:numPr>
        <w:ind w:left="567" w:right="-2" w:hanging="567"/>
        <w:rPr>
          <w:sz w:val="22"/>
          <w:szCs w:val="22"/>
        </w:rPr>
      </w:pPr>
      <w:r w:rsidRPr="008912CF">
        <w:rPr>
          <w:sz w:val="22"/>
          <w:szCs w:val="22"/>
        </w:rPr>
        <w:t>certos medicamentos anti</w:t>
      </w:r>
      <w:r w:rsidR="00F96DDF">
        <w:rPr>
          <w:sz w:val="22"/>
          <w:szCs w:val="22"/>
        </w:rPr>
        <w:t>-</w:t>
      </w:r>
      <w:r w:rsidRPr="008912CF">
        <w:rPr>
          <w:sz w:val="22"/>
          <w:szCs w:val="22"/>
        </w:rPr>
        <w:t>reumatismais modificadores da doença (</w:t>
      </w:r>
      <w:r w:rsidR="00712F4C">
        <w:rPr>
          <w:sz w:val="22"/>
          <w:szCs w:val="22"/>
        </w:rPr>
        <w:t xml:space="preserve">por exemplo, </w:t>
      </w:r>
      <w:r w:rsidRPr="008912CF">
        <w:rPr>
          <w:sz w:val="22"/>
          <w:szCs w:val="22"/>
        </w:rPr>
        <w:t>sulfassalazina, hidroxicloroquina, leflunomid</w:t>
      </w:r>
      <w:r w:rsidR="00082F0B">
        <w:rPr>
          <w:sz w:val="22"/>
          <w:szCs w:val="22"/>
        </w:rPr>
        <w:t>a</w:t>
      </w:r>
      <w:r w:rsidRPr="008912CF">
        <w:rPr>
          <w:sz w:val="22"/>
          <w:szCs w:val="22"/>
        </w:rPr>
        <w:t xml:space="preserve"> e preparações injetáveis de sais de ouro)</w:t>
      </w:r>
    </w:p>
    <w:p w14:paraId="639ED9D1" w14:textId="77777777" w:rsidR="004462A0" w:rsidRPr="008912CF" w:rsidRDefault="00615769" w:rsidP="004462A0">
      <w:pPr>
        <w:numPr>
          <w:ilvl w:val="0"/>
          <w:numId w:val="110"/>
        </w:numPr>
        <w:ind w:left="567" w:right="-2" w:hanging="567"/>
        <w:rPr>
          <w:sz w:val="22"/>
          <w:szCs w:val="22"/>
        </w:rPr>
      </w:pPr>
      <w:r w:rsidRPr="008912CF">
        <w:rPr>
          <w:sz w:val="22"/>
          <w:szCs w:val="22"/>
        </w:rPr>
        <w:t xml:space="preserve">corticosteroides ou medicamentos analgésicos, incluindo </w:t>
      </w:r>
      <w:r w:rsidR="003570FF">
        <w:rPr>
          <w:sz w:val="22"/>
          <w:szCs w:val="22"/>
        </w:rPr>
        <w:t>medicamentos</w:t>
      </w:r>
      <w:r w:rsidR="003570FF" w:rsidRPr="008912CF">
        <w:rPr>
          <w:sz w:val="22"/>
          <w:szCs w:val="22"/>
        </w:rPr>
        <w:t xml:space="preserve"> </w:t>
      </w:r>
      <w:r w:rsidRPr="008912CF">
        <w:rPr>
          <w:sz w:val="22"/>
          <w:szCs w:val="22"/>
        </w:rPr>
        <w:t>anti-inflamatórios não</w:t>
      </w:r>
      <w:r w:rsidR="003E5033">
        <w:rPr>
          <w:sz w:val="22"/>
          <w:szCs w:val="22"/>
        </w:rPr>
        <w:t xml:space="preserve"> </w:t>
      </w:r>
      <w:r w:rsidRPr="008912CF">
        <w:rPr>
          <w:sz w:val="22"/>
          <w:szCs w:val="22"/>
        </w:rPr>
        <w:t>esteroides (AINEs).</w:t>
      </w:r>
    </w:p>
    <w:p w14:paraId="60170B41" w14:textId="77777777" w:rsidR="004462A0" w:rsidRDefault="004462A0" w:rsidP="004462A0">
      <w:pPr>
        <w:ind w:left="567" w:right="-2" w:hanging="567"/>
        <w:rPr>
          <w:sz w:val="22"/>
          <w:szCs w:val="22"/>
        </w:rPr>
      </w:pPr>
    </w:p>
    <w:p w14:paraId="6F179EC4" w14:textId="77777777" w:rsidR="004462A0" w:rsidRDefault="00615769" w:rsidP="004462A0">
      <w:pPr>
        <w:ind w:right="-2"/>
        <w:rPr>
          <w:sz w:val="22"/>
          <w:szCs w:val="22"/>
        </w:rPr>
      </w:pPr>
      <w:r w:rsidRPr="008912CF">
        <w:rPr>
          <w:sz w:val="22"/>
          <w:szCs w:val="22"/>
        </w:rPr>
        <w:t>Se tiver qualquer dúvida, por favor pergunte ao seu médico.</w:t>
      </w:r>
    </w:p>
    <w:p w14:paraId="7832C374" w14:textId="77777777" w:rsidR="004462A0" w:rsidRPr="008912CF" w:rsidRDefault="004462A0" w:rsidP="004462A0">
      <w:pPr>
        <w:ind w:right="-2"/>
        <w:rPr>
          <w:b/>
          <w:sz w:val="22"/>
          <w:szCs w:val="22"/>
        </w:rPr>
      </w:pPr>
    </w:p>
    <w:p w14:paraId="4E813BE4" w14:textId="77777777" w:rsidR="004462A0" w:rsidRPr="008912CF" w:rsidRDefault="00615769" w:rsidP="00BE46F4">
      <w:pPr>
        <w:keepNext/>
        <w:rPr>
          <w:b/>
          <w:sz w:val="22"/>
          <w:szCs w:val="22"/>
        </w:rPr>
      </w:pPr>
      <w:r w:rsidRPr="008912CF">
        <w:rPr>
          <w:b/>
          <w:sz w:val="22"/>
          <w:szCs w:val="22"/>
        </w:rPr>
        <w:t xml:space="preserve">Gravidez e amamentação </w:t>
      </w:r>
    </w:p>
    <w:p w14:paraId="4EE37251" w14:textId="77777777" w:rsidR="004462A0" w:rsidRPr="008912CF" w:rsidRDefault="004462A0" w:rsidP="00BE46F4">
      <w:pPr>
        <w:keepNext/>
        <w:ind w:right="-2"/>
        <w:rPr>
          <w:bCs/>
          <w:sz w:val="22"/>
          <w:szCs w:val="22"/>
        </w:rPr>
      </w:pPr>
    </w:p>
    <w:p w14:paraId="06A57B20" w14:textId="77777777" w:rsidR="004462A0" w:rsidRPr="00D863C6" w:rsidRDefault="00615769" w:rsidP="00D863C6">
      <w:pPr>
        <w:pStyle w:val="BodyText2"/>
        <w:keepNext/>
        <w:numPr>
          <w:ilvl w:val="0"/>
          <w:numId w:val="162"/>
        </w:numPr>
        <w:rPr>
          <w:i/>
          <w:szCs w:val="22"/>
        </w:rPr>
      </w:pPr>
      <w:r>
        <w:rPr>
          <w:szCs w:val="22"/>
        </w:rPr>
        <w:t>Deverá considerar a utilização de</w:t>
      </w:r>
      <w:r w:rsidRPr="008912CF">
        <w:rPr>
          <w:szCs w:val="22"/>
        </w:rPr>
        <w:t xml:space="preserve"> um método contracetivo adequado </w:t>
      </w:r>
      <w:r>
        <w:rPr>
          <w:szCs w:val="22"/>
        </w:rPr>
        <w:t xml:space="preserve">para evitar </w:t>
      </w:r>
      <w:r w:rsidR="00FC18F1">
        <w:rPr>
          <w:szCs w:val="22"/>
        </w:rPr>
        <w:t>a gravidez</w:t>
      </w:r>
      <w:r w:rsidRPr="008912CF">
        <w:rPr>
          <w:szCs w:val="22"/>
        </w:rPr>
        <w:t xml:space="preserve"> e </w:t>
      </w:r>
      <w:r>
        <w:rPr>
          <w:szCs w:val="22"/>
        </w:rPr>
        <w:t>co</w:t>
      </w:r>
      <w:r w:rsidR="00FC18F1">
        <w:rPr>
          <w:szCs w:val="22"/>
        </w:rPr>
        <w:t>n</w:t>
      </w:r>
      <w:r>
        <w:rPr>
          <w:szCs w:val="22"/>
        </w:rPr>
        <w:t>tinua</w:t>
      </w:r>
      <w:r w:rsidR="00FC18F1">
        <w:rPr>
          <w:szCs w:val="22"/>
        </w:rPr>
        <w:t>r a utilizá-lo</w:t>
      </w:r>
      <w:r>
        <w:rPr>
          <w:szCs w:val="22"/>
        </w:rPr>
        <w:t xml:space="preserve"> </w:t>
      </w:r>
      <w:r w:rsidRPr="008912CF">
        <w:rPr>
          <w:szCs w:val="22"/>
        </w:rPr>
        <w:t xml:space="preserve">durante pelo menos 5 meses após o último tratamento com Humira. </w:t>
      </w:r>
    </w:p>
    <w:p w14:paraId="15712B1B" w14:textId="77777777" w:rsidR="00FB39F1" w:rsidRPr="00CA2F11" w:rsidRDefault="00615769" w:rsidP="00FB39F1">
      <w:pPr>
        <w:pStyle w:val="ListParagraph"/>
        <w:numPr>
          <w:ilvl w:val="0"/>
          <w:numId w:val="162"/>
        </w:numPr>
        <w:rPr>
          <w:sz w:val="22"/>
          <w:szCs w:val="22"/>
        </w:rPr>
      </w:pPr>
      <w:r w:rsidRPr="00CA2F11">
        <w:rPr>
          <w:sz w:val="22"/>
          <w:szCs w:val="22"/>
        </w:rPr>
        <w:t>Se est</w:t>
      </w:r>
      <w:r>
        <w:rPr>
          <w:sz w:val="22"/>
          <w:szCs w:val="22"/>
        </w:rPr>
        <w:t>á g</w:t>
      </w:r>
      <w:r w:rsidRPr="00CA2F11">
        <w:rPr>
          <w:sz w:val="22"/>
          <w:szCs w:val="22"/>
        </w:rPr>
        <w:t>rávida, se pensa que pode estar gr</w:t>
      </w:r>
      <w:r>
        <w:rPr>
          <w:sz w:val="22"/>
          <w:szCs w:val="22"/>
        </w:rPr>
        <w:t xml:space="preserve">ávida ou se planeia </w:t>
      </w:r>
      <w:r w:rsidRPr="00CA2F11">
        <w:rPr>
          <w:sz w:val="22"/>
          <w:szCs w:val="22"/>
        </w:rPr>
        <w:t>engravidar</w:t>
      </w:r>
      <w:r>
        <w:rPr>
          <w:sz w:val="22"/>
          <w:szCs w:val="22"/>
        </w:rPr>
        <w:t>,</w:t>
      </w:r>
      <w:r w:rsidRPr="00CA2F11">
        <w:rPr>
          <w:sz w:val="22"/>
          <w:szCs w:val="22"/>
        </w:rPr>
        <w:t xml:space="preserve"> aconselhe-se com o seu médico antes </w:t>
      </w:r>
      <w:r w:rsidR="00D863C6">
        <w:rPr>
          <w:sz w:val="22"/>
          <w:szCs w:val="22"/>
        </w:rPr>
        <w:t>de utilizar</w:t>
      </w:r>
      <w:r w:rsidRPr="00CA2F11">
        <w:rPr>
          <w:sz w:val="22"/>
          <w:szCs w:val="22"/>
        </w:rPr>
        <w:t xml:space="preserve"> esta terapêutica.</w:t>
      </w:r>
    </w:p>
    <w:p w14:paraId="318F724B" w14:textId="77777777" w:rsidR="00FB39F1" w:rsidRDefault="00615769" w:rsidP="00FB39F1">
      <w:pPr>
        <w:pStyle w:val="ListParagraph"/>
        <w:numPr>
          <w:ilvl w:val="0"/>
          <w:numId w:val="162"/>
        </w:numPr>
        <w:autoSpaceDE w:val="0"/>
        <w:autoSpaceDN w:val="0"/>
        <w:adjustRightInd w:val="0"/>
        <w:rPr>
          <w:sz w:val="22"/>
          <w:szCs w:val="22"/>
        </w:rPr>
      </w:pPr>
      <w:r w:rsidRPr="00CA2F11">
        <w:rPr>
          <w:sz w:val="22"/>
          <w:szCs w:val="22"/>
        </w:rPr>
        <w:t>Humira só deve ser utilizado durante a gravidez se necessário.</w:t>
      </w:r>
    </w:p>
    <w:p w14:paraId="672065A9" w14:textId="77777777" w:rsidR="00FB39F1" w:rsidRDefault="00615769" w:rsidP="00FB39F1">
      <w:pPr>
        <w:pStyle w:val="ListParagraph"/>
        <w:numPr>
          <w:ilvl w:val="0"/>
          <w:numId w:val="162"/>
        </w:numPr>
        <w:autoSpaceDE w:val="0"/>
        <w:autoSpaceDN w:val="0"/>
        <w:adjustRightInd w:val="0"/>
        <w:rPr>
          <w:sz w:val="22"/>
          <w:szCs w:val="22"/>
        </w:rPr>
      </w:pPr>
      <w:r w:rsidRPr="008004F8">
        <w:rPr>
          <w:sz w:val="22"/>
          <w:szCs w:val="22"/>
        </w:rPr>
        <w:t xml:space="preserve">De acordo com um estudo </w:t>
      </w:r>
      <w:r w:rsidR="00D863C6">
        <w:rPr>
          <w:sz w:val="22"/>
          <w:szCs w:val="22"/>
        </w:rPr>
        <w:t>na</w:t>
      </w:r>
      <w:r w:rsidRPr="008004F8">
        <w:rPr>
          <w:sz w:val="22"/>
          <w:szCs w:val="22"/>
        </w:rPr>
        <w:t xml:space="preserve"> gravidez, não houve risco mais elevado de </w:t>
      </w:r>
      <w:r>
        <w:rPr>
          <w:sz w:val="22"/>
          <w:szCs w:val="22"/>
        </w:rPr>
        <w:t>malformações con</w:t>
      </w:r>
      <w:r w:rsidRPr="008004F8">
        <w:rPr>
          <w:sz w:val="22"/>
          <w:szCs w:val="22"/>
        </w:rPr>
        <w:t>génit</w:t>
      </w:r>
      <w:r>
        <w:rPr>
          <w:sz w:val="22"/>
          <w:szCs w:val="22"/>
        </w:rPr>
        <w:t>as</w:t>
      </w:r>
      <w:r w:rsidRPr="008004F8">
        <w:rPr>
          <w:sz w:val="22"/>
          <w:szCs w:val="22"/>
        </w:rPr>
        <w:t xml:space="preserve"> quando a mãe recebeu Humira durante a gravidez, em comparação com mães com a mesma doença que não receberam Humira.</w:t>
      </w:r>
    </w:p>
    <w:p w14:paraId="60E8E9FF" w14:textId="77777777" w:rsidR="00FB39F1" w:rsidRDefault="00615769" w:rsidP="00FB39F1">
      <w:pPr>
        <w:pStyle w:val="ListParagraph"/>
        <w:numPr>
          <w:ilvl w:val="0"/>
          <w:numId w:val="162"/>
        </w:numPr>
        <w:autoSpaceDE w:val="0"/>
        <w:autoSpaceDN w:val="0"/>
        <w:adjustRightInd w:val="0"/>
        <w:rPr>
          <w:sz w:val="22"/>
          <w:szCs w:val="22"/>
        </w:rPr>
      </w:pPr>
      <w:r>
        <w:rPr>
          <w:sz w:val="22"/>
          <w:szCs w:val="22"/>
        </w:rPr>
        <w:t>Humira pode ser utilizado durante a amamentação.</w:t>
      </w:r>
    </w:p>
    <w:p w14:paraId="6265C12A" w14:textId="77777777" w:rsidR="004462A0" w:rsidRPr="00D863C6" w:rsidRDefault="00615769" w:rsidP="00D863C6">
      <w:pPr>
        <w:pStyle w:val="ListParagraph"/>
        <w:numPr>
          <w:ilvl w:val="0"/>
          <w:numId w:val="162"/>
        </w:numPr>
        <w:rPr>
          <w:b/>
          <w:sz w:val="22"/>
          <w:szCs w:val="22"/>
        </w:rPr>
      </w:pPr>
      <w:r w:rsidRPr="008912CF">
        <w:rPr>
          <w:sz w:val="22"/>
          <w:szCs w:val="22"/>
        </w:rPr>
        <w:t>Se durante a sua gravidez utiliz</w:t>
      </w:r>
      <w:r w:rsidR="00767DE3">
        <w:rPr>
          <w:sz w:val="22"/>
          <w:szCs w:val="22"/>
        </w:rPr>
        <w:t>ar</w:t>
      </w:r>
      <w:r w:rsidRPr="008912CF">
        <w:rPr>
          <w:sz w:val="22"/>
          <w:szCs w:val="22"/>
        </w:rPr>
        <w:t xml:space="preserve"> Humira, o seu bebé pode ter um risco superior de ter uma infeção.</w:t>
      </w:r>
    </w:p>
    <w:p w14:paraId="74B046D0" w14:textId="77777777" w:rsidR="004462A0" w:rsidRPr="00D863C6" w:rsidRDefault="00615769" w:rsidP="00D863C6">
      <w:pPr>
        <w:pStyle w:val="ListParagraph"/>
        <w:numPr>
          <w:ilvl w:val="0"/>
          <w:numId w:val="162"/>
        </w:numPr>
        <w:rPr>
          <w:sz w:val="22"/>
          <w:szCs w:val="22"/>
        </w:rPr>
      </w:pPr>
      <w:r w:rsidRPr="00D863C6">
        <w:rPr>
          <w:sz w:val="22"/>
          <w:szCs w:val="22"/>
        </w:rPr>
        <w:t xml:space="preserve">É importante que diga ao médico do seu bebé e a outros profissionais de saúde que usou Humira durante a sua gravidez antes que o seu bebé tome qualquer vacina. Para mais informação </w:t>
      </w:r>
      <w:r w:rsidR="00EE2021">
        <w:rPr>
          <w:sz w:val="22"/>
          <w:szCs w:val="22"/>
        </w:rPr>
        <w:t xml:space="preserve">sobre vacinação, </w:t>
      </w:r>
      <w:r w:rsidRPr="00D863C6">
        <w:rPr>
          <w:sz w:val="22"/>
          <w:szCs w:val="22"/>
        </w:rPr>
        <w:t xml:space="preserve">ver secção </w:t>
      </w:r>
      <w:r w:rsidR="00EE2021">
        <w:rPr>
          <w:sz w:val="22"/>
          <w:szCs w:val="22"/>
        </w:rPr>
        <w:t>“Advertências e precauções”</w:t>
      </w:r>
      <w:r w:rsidRPr="00D863C6">
        <w:rPr>
          <w:sz w:val="22"/>
          <w:szCs w:val="22"/>
        </w:rPr>
        <w:t>.</w:t>
      </w:r>
    </w:p>
    <w:p w14:paraId="2999A29C" w14:textId="77777777" w:rsidR="004462A0" w:rsidRPr="008912CF" w:rsidRDefault="004462A0" w:rsidP="004462A0">
      <w:pPr>
        <w:ind w:right="-2"/>
        <w:rPr>
          <w:sz w:val="22"/>
          <w:szCs w:val="22"/>
        </w:rPr>
      </w:pPr>
    </w:p>
    <w:p w14:paraId="05FFF6B1" w14:textId="77777777" w:rsidR="004462A0" w:rsidRPr="008912CF" w:rsidRDefault="00615769" w:rsidP="004462A0">
      <w:pPr>
        <w:pStyle w:val="Heading8"/>
        <w:rPr>
          <w:szCs w:val="22"/>
        </w:rPr>
      </w:pPr>
      <w:r w:rsidRPr="008912CF">
        <w:rPr>
          <w:szCs w:val="22"/>
        </w:rPr>
        <w:t>Condução de veículos e utilização de máquinas</w:t>
      </w:r>
    </w:p>
    <w:p w14:paraId="47A7AABC" w14:textId="77777777" w:rsidR="004462A0" w:rsidRPr="008912CF" w:rsidRDefault="004462A0" w:rsidP="004462A0">
      <w:pPr>
        <w:keepNext/>
        <w:ind w:right="-2"/>
        <w:rPr>
          <w:sz w:val="22"/>
          <w:szCs w:val="22"/>
        </w:rPr>
      </w:pPr>
    </w:p>
    <w:p w14:paraId="064DBE40" w14:textId="77777777" w:rsidR="004462A0" w:rsidRPr="008912CF" w:rsidRDefault="00615769" w:rsidP="004462A0">
      <w:pPr>
        <w:keepNext/>
        <w:ind w:right="-2"/>
        <w:rPr>
          <w:sz w:val="22"/>
          <w:szCs w:val="22"/>
        </w:rPr>
      </w:pPr>
      <w:r w:rsidRPr="008912CF">
        <w:rPr>
          <w:sz w:val="22"/>
          <w:szCs w:val="22"/>
        </w:rPr>
        <w:t>Humira pode ter uma pequena influência na sua capacidade de conduzir, andar de bicicleta ou utilizar máquinas. Depois de tomar Humira pode ter vertigens e alterações da visão.</w:t>
      </w:r>
    </w:p>
    <w:p w14:paraId="6F884975" w14:textId="77777777" w:rsidR="004462A0" w:rsidRDefault="004462A0" w:rsidP="004462A0">
      <w:pPr>
        <w:ind w:right="-2"/>
        <w:rPr>
          <w:ins w:id="16591" w:author="AbbVie2" w:date="2025-05-14T10:33:00Z"/>
          <w:sz w:val="22"/>
          <w:szCs w:val="22"/>
        </w:rPr>
      </w:pPr>
    </w:p>
    <w:p w14:paraId="0C19F42B" w14:textId="77777777" w:rsidR="00F558D8" w:rsidRPr="000C532F" w:rsidRDefault="00615769" w:rsidP="00F558D8">
      <w:pPr>
        <w:ind w:right="-2"/>
        <w:rPr>
          <w:ins w:id="16592" w:author="AbbVie2" w:date="2025-05-14T10:33:00Z"/>
          <w:b/>
          <w:bCs/>
          <w:sz w:val="22"/>
          <w:szCs w:val="22"/>
        </w:rPr>
      </w:pPr>
      <w:ins w:id="16593" w:author="AbbVie2" w:date="2025-05-14T10:33:00Z">
        <w:r w:rsidRPr="000C532F">
          <w:rPr>
            <w:b/>
            <w:bCs/>
            <w:sz w:val="22"/>
            <w:szCs w:val="22"/>
          </w:rPr>
          <w:t>Humira contém polissorbato</w:t>
        </w:r>
      </w:ins>
    </w:p>
    <w:p w14:paraId="5AB8BCE2" w14:textId="77777777" w:rsidR="00F558D8" w:rsidRDefault="00F558D8" w:rsidP="00F558D8">
      <w:pPr>
        <w:ind w:right="-2"/>
        <w:rPr>
          <w:ins w:id="16594" w:author="AbbVie2" w:date="2025-05-14T10:33:00Z"/>
          <w:sz w:val="22"/>
          <w:szCs w:val="22"/>
        </w:rPr>
      </w:pPr>
    </w:p>
    <w:p w14:paraId="7C330AD5" w14:textId="1379150C" w:rsidR="00F558D8" w:rsidRDefault="00615769" w:rsidP="00F558D8">
      <w:pPr>
        <w:ind w:right="-2"/>
        <w:rPr>
          <w:ins w:id="16595" w:author="AbbVie2" w:date="2025-05-14T10:33:00Z"/>
          <w:sz w:val="22"/>
          <w:szCs w:val="22"/>
        </w:rPr>
      </w:pPr>
      <w:ins w:id="16596" w:author="AbbVie2" w:date="2025-05-14T10:33:00Z">
        <w:r>
          <w:rPr>
            <w:sz w:val="22"/>
            <w:szCs w:val="22"/>
          </w:rPr>
          <w:t>Este medicamento contém 0,</w:t>
        </w:r>
      </w:ins>
      <w:ins w:id="16597" w:author="AbbVie2" w:date="2025-05-14T12:38:00Z">
        <w:r w:rsidR="00FF65EF">
          <w:rPr>
            <w:sz w:val="22"/>
            <w:szCs w:val="22"/>
          </w:rPr>
          <w:t>8</w:t>
        </w:r>
      </w:ins>
      <w:ins w:id="16598" w:author="AbbVie2" w:date="2025-05-14T10:33:00Z">
        <w:r>
          <w:rPr>
            <w:sz w:val="22"/>
            <w:szCs w:val="22"/>
          </w:rPr>
          <w:t xml:space="preserve"> mg de polissorbato 80 em cada dose de </w:t>
        </w:r>
      </w:ins>
      <w:ins w:id="16599" w:author="AbbVie2" w:date="2025-05-14T12:38:00Z">
        <w:r w:rsidR="00FF65EF">
          <w:rPr>
            <w:sz w:val="22"/>
            <w:szCs w:val="22"/>
          </w:rPr>
          <w:t>8</w:t>
        </w:r>
      </w:ins>
      <w:ins w:id="16600" w:author="AbbVie2" w:date="2025-05-14T10:33:00Z">
        <w:r>
          <w:rPr>
            <w:sz w:val="22"/>
            <w:szCs w:val="22"/>
          </w:rPr>
          <w:t xml:space="preserve">0 mg. Os polissorbatos podem causar reações alérgicas. Informe o seu médico </w:t>
        </w:r>
      </w:ins>
      <w:ins w:id="16601" w:author="AbbVie2" w:date="2025-05-19T10:13:00Z">
        <w:r w:rsidR="003C277E">
          <w:rPr>
            <w:sz w:val="22"/>
            <w:szCs w:val="22"/>
          </w:rPr>
          <w:t>caso tenha</w:t>
        </w:r>
      </w:ins>
      <w:ins w:id="16602" w:author="AbbVie2" w:date="2025-05-14T10:33:00Z">
        <w:r>
          <w:rPr>
            <w:sz w:val="22"/>
            <w:szCs w:val="22"/>
          </w:rPr>
          <w:t xml:space="preserve"> alguma alergia conhecida.</w:t>
        </w:r>
      </w:ins>
    </w:p>
    <w:p w14:paraId="60364D28" w14:textId="77777777" w:rsidR="00F558D8" w:rsidRPr="008912CF" w:rsidRDefault="00F558D8" w:rsidP="004462A0">
      <w:pPr>
        <w:ind w:right="-2"/>
        <w:rPr>
          <w:sz w:val="22"/>
          <w:szCs w:val="22"/>
        </w:rPr>
      </w:pPr>
    </w:p>
    <w:p w14:paraId="5A76EDC9" w14:textId="77777777" w:rsidR="004462A0" w:rsidRPr="008912CF" w:rsidRDefault="004462A0" w:rsidP="004462A0">
      <w:pPr>
        <w:ind w:right="-2"/>
        <w:rPr>
          <w:sz w:val="22"/>
          <w:szCs w:val="22"/>
        </w:rPr>
      </w:pPr>
    </w:p>
    <w:p w14:paraId="1F8D2199" w14:textId="77777777" w:rsidR="004462A0" w:rsidRPr="008912CF" w:rsidRDefault="00615769" w:rsidP="004462A0">
      <w:pPr>
        <w:keepNext/>
        <w:ind w:left="567" w:hanging="567"/>
        <w:rPr>
          <w:sz w:val="22"/>
          <w:szCs w:val="22"/>
        </w:rPr>
      </w:pPr>
      <w:r w:rsidRPr="008912CF">
        <w:rPr>
          <w:b/>
          <w:sz w:val="22"/>
          <w:szCs w:val="22"/>
        </w:rPr>
        <w:t>3.</w:t>
      </w:r>
      <w:r w:rsidRPr="008912CF">
        <w:rPr>
          <w:b/>
          <w:sz w:val="22"/>
          <w:szCs w:val="22"/>
        </w:rPr>
        <w:tab/>
        <w:t>Como utilizar Humira</w:t>
      </w:r>
    </w:p>
    <w:p w14:paraId="044E9B70" w14:textId="77777777" w:rsidR="004462A0" w:rsidRPr="008912CF" w:rsidRDefault="004462A0" w:rsidP="004462A0">
      <w:pPr>
        <w:keepNext/>
        <w:ind w:right="-2"/>
        <w:rPr>
          <w:sz w:val="22"/>
          <w:szCs w:val="22"/>
        </w:rPr>
      </w:pPr>
    </w:p>
    <w:p w14:paraId="56ADDBA5" w14:textId="77777777" w:rsidR="004462A0" w:rsidRPr="008912CF" w:rsidRDefault="00615769" w:rsidP="004462A0">
      <w:pPr>
        <w:keepNext/>
        <w:ind w:right="-2"/>
        <w:rPr>
          <w:sz w:val="22"/>
          <w:szCs w:val="22"/>
        </w:rPr>
      </w:pPr>
      <w:r w:rsidRPr="008912CF">
        <w:rPr>
          <w:sz w:val="22"/>
          <w:szCs w:val="22"/>
        </w:rPr>
        <w:t xml:space="preserve">Utilize este medicamento exatamente como indicado pelo seu médico ou farmacêutico. Fale com o seu médico ou farmacêutico se tiver dúvidas.  </w:t>
      </w:r>
    </w:p>
    <w:p w14:paraId="66D03F7A" w14:textId="77777777" w:rsidR="004462A0" w:rsidRDefault="004462A0" w:rsidP="004462A0">
      <w:pPr>
        <w:ind w:right="-2"/>
        <w:rPr>
          <w:sz w:val="22"/>
          <w:szCs w:val="22"/>
          <w:u w:val="single"/>
        </w:rPr>
      </w:pPr>
    </w:p>
    <w:p w14:paraId="5E2012CB" w14:textId="77777777" w:rsidR="004462A0" w:rsidRPr="008B0DDF" w:rsidRDefault="00615769" w:rsidP="004462A0">
      <w:pPr>
        <w:ind w:right="-2"/>
        <w:rPr>
          <w:sz w:val="22"/>
          <w:szCs w:val="22"/>
        </w:rPr>
      </w:pPr>
      <w:r w:rsidRPr="008B0DDF">
        <w:rPr>
          <w:sz w:val="22"/>
          <w:szCs w:val="22"/>
        </w:rPr>
        <w:t>As doses recomendadas de Humira para cada uma das indicações aprovadas são apresentadas na tabela seguinte.</w:t>
      </w:r>
      <w:r w:rsidR="00594E93">
        <w:rPr>
          <w:sz w:val="22"/>
          <w:szCs w:val="22"/>
        </w:rPr>
        <w:t xml:space="preserve"> O seu médico </w:t>
      </w:r>
      <w:r w:rsidR="00594E93" w:rsidRPr="008912CF">
        <w:rPr>
          <w:bCs/>
          <w:sz w:val="22"/>
          <w:szCs w:val="22"/>
        </w:rPr>
        <w:t xml:space="preserve">pode prescrever uma dose </w:t>
      </w:r>
      <w:r w:rsidR="00594E93">
        <w:rPr>
          <w:bCs/>
          <w:sz w:val="22"/>
          <w:szCs w:val="22"/>
        </w:rPr>
        <w:t>diferente de Humira de acordo com as suas necessidades.</w:t>
      </w:r>
    </w:p>
    <w:p w14:paraId="0F7DF008" w14:textId="77777777" w:rsidR="004462A0" w:rsidRDefault="004462A0" w:rsidP="004462A0">
      <w:pPr>
        <w:numPr>
          <w:ilvl w:val="12"/>
          <w:numId w:val="0"/>
        </w:numPr>
        <w:suppressAutoHyphens/>
        <w:ind w:right="-2"/>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3019"/>
        <w:gridCol w:w="3031"/>
      </w:tblGrid>
      <w:tr w:rsidR="00A7162A" w14:paraId="35E1624E" w14:textId="77777777" w:rsidTr="00AE6411">
        <w:tc>
          <w:tcPr>
            <w:tcW w:w="9287" w:type="dxa"/>
            <w:gridSpan w:val="3"/>
          </w:tcPr>
          <w:p w14:paraId="6D6E272A" w14:textId="77777777" w:rsidR="00D25E3A" w:rsidRPr="008B0DDF" w:rsidRDefault="00615769">
            <w:pPr>
              <w:numPr>
                <w:ilvl w:val="12"/>
                <w:numId w:val="0"/>
              </w:numPr>
              <w:suppressAutoHyphens/>
              <w:ind w:right="-2"/>
              <w:rPr>
                <w:sz w:val="22"/>
              </w:rPr>
            </w:pPr>
            <w:r>
              <w:rPr>
                <w:b/>
                <w:sz w:val="22"/>
              </w:rPr>
              <w:t>Artrite reumatoide</w:t>
            </w:r>
          </w:p>
        </w:tc>
      </w:tr>
      <w:tr w:rsidR="00A7162A" w14:paraId="7D65D12D" w14:textId="77777777" w:rsidTr="00AE6411">
        <w:tc>
          <w:tcPr>
            <w:tcW w:w="3095" w:type="dxa"/>
          </w:tcPr>
          <w:p w14:paraId="2285217B" w14:textId="77777777" w:rsidR="00D25E3A" w:rsidRPr="008B0DDF" w:rsidRDefault="00615769" w:rsidP="00AE6411">
            <w:pPr>
              <w:numPr>
                <w:ilvl w:val="12"/>
                <w:numId w:val="0"/>
              </w:numPr>
              <w:suppressAutoHyphens/>
              <w:ind w:right="-2"/>
              <w:rPr>
                <w:sz w:val="22"/>
              </w:rPr>
            </w:pPr>
            <w:r w:rsidRPr="008B0DDF">
              <w:rPr>
                <w:b/>
                <w:sz w:val="22"/>
              </w:rPr>
              <w:t>Idade ou peso corporal</w:t>
            </w:r>
          </w:p>
        </w:tc>
        <w:tc>
          <w:tcPr>
            <w:tcW w:w="3096" w:type="dxa"/>
          </w:tcPr>
          <w:p w14:paraId="686228AC" w14:textId="77777777" w:rsidR="00D25E3A" w:rsidRPr="004F0FBC" w:rsidRDefault="00615769" w:rsidP="00AE6411">
            <w:pPr>
              <w:numPr>
                <w:ilvl w:val="12"/>
                <w:numId w:val="0"/>
              </w:numPr>
              <w:suppressAutoHyphens/>
              <w:ind w:right="-2"/>
              <w:rPr>
                <w:sz w:val="22"/>
              </w:rPr>
            </w:pPr>
            <w:r w:rsidRPr="00454F99">
              <w:rPr>
                <w:b/>
                <w:sz w:val="22"/>
              </w:rPr>
              <w:t>Qual a dose e com que frequência se deve tomar?</w:t>
            </w:r>
          </w:p>
        </w:tc>
        <w:tc>
          <w:tcPr>
            <w:tcW w:w="3096" w:type="dxa"/>
          </w:tcPr>
          <w:p w14:paraId="18BF4925" w14:textId="77777777" w:rsidR="00D25E3A" w:rsidRPr="008B0DDF" w:rsidRDefault="00615769" w:rsidP="00AE6411">
            <w:pPr>
              <w:numPr>
                <w:ilvl w:val="12"/>
                <w:numId w:val="0"/>
              </w:numPr>
              <w:suppressAutoHyphens/>
              <w:ind w:right="-2"/>
              <w:rPr>
                <w:sz w:val="22"/>
              </w:rPr>
            </w:pPr>
            <w:r w:rsidRPr="008B0DDF">
              <w:rPr>
                <w:b/>
                <w:sz w:val="22"/>
              </w:rPr>
              <w:t>Notas</w:t>
            </w:r>
          </w:p>
        </w:tc>
      </w:tr>
      <w:tr w:rsidR="00A7162A" w14:paraId="238FA0D6" w14:textId="77777777" w:rsidTr="00AE6411">
        <w:tc>
          <w:tcPr>
            <w:tcW w:w="3095" w:type="dxa"/>
          </w:tcPr>
          <w:p w14:paraId="4616A927" w14:textId="77777777" w:rsidR="00D25E3A" w:rsidRPr="008B0DDF" w:rsidRDefault="00615769" w:rsidP="00AE6411">
            <w:pPr>
              <w:numPr>
                <w:ilvl w:val="12"/>
                <w:numId w:val="0"/>
              </w:numPr>
              <w:suppressAutoHyphens/>
              <w:ind w:right="-2"/>
              <w:rPr>
                <w:sz w:val="22"/>
              </w:rPr>
            </w:pPr>
            <w:r w:rsidRPr="008B0DDF">
              <w:rPr>
                <w:sz w:val="22"/>
              </w:rPr>
              <w:t>Adultos</w:t>
            </w:r>
          </w:p>
          <w:p w14:paraId="6E64161B" w14:textId="77777777" w:rsidR="00D25E3A" w:rsidRPr="008B0DDF" w:rsidRDefault="00D25E3A" w:rsidP="00AE6411">
            <w:pPr>
              <w:numPr>
                <w:ilvl w:val="12"/>
                <w:numId w:val="0"/>
              </w:numPr>
              <w:suppressAutoHyphens/>
              <w:ind w:right="-2"/>
              <w:rPr>
                <w:sz w:val="22"/>
              </w:rPr>
            </w:pPr>
          </w:p>
        </w:tc>
        <w:tc>
          <w:tcPr>
            <w:tcW w:w="3096" w:type="dxa"/>
          </w:tcPr>
          <w:p w14:paraId="10B0FAF4" w14:textId="77777777" w:rsidR="00D25E3A" w:rsidRPr="002D4DE5" w:rsidRDefault="00615769">
            <w:pPr>
              <w:numPr>
                <w:ilvl w:val="12"/>
                <w:numId w:val="0"/>
              </w:numPr>
              <w:suppressAutoHyphens/>
              <w:ind w:right="-2"/>
              <w:rPr>
                <w:sz w:val="22"/>
              </w:rPr>
            </w:pPr>
            <w:r>
              <w:rPr>
                <w:sz w:val="22"/>
              </w:rPr>
              <w:t>40 mg em semanas alternadas</w:t>
            </w:r>
          </w:p>
        </w:tc>
        <w:tc>
          <w:tcPr>
            <w:tcW w:w="3096" w:type="dxa"/>
          </w:tcPr>
          <w:p w14:paraId="709820E7" w14:textId="77777777" w:rsidR="00D25E3A" w:rsidRDefault="00615769" w:rsidP="00D25E3A">
            <w:pPr>
              <w:tabs>
                <w:tab w:val="left" w:pos="562"/>
              </w:tabs>
              <w:suppressAutoHyphens/>
              <w:rPr>
                <w:sz w:val="22"/>
              </w:rPr>
            </w:pPr>
            <w:r w:rsidRPr="00454F99">
              <w:rPr>
                <w:sz w:val="22"/>
              </w:rPr>
              <w:t>Na artrite reumatoide</w:t>
            </w:r>
            <w:r w:rsidRPr="004F0FBC">
              <w:rPr>
                <w:sz w:val="22"/>
              </w:rPr>
              <w:t>,</w:t>
            </w:r>
            <w:r w:rsidRPr="006462E3">
              <w:rPr>
                <w:sz w:val="22"/>
              </w:rPr>
              <w:t xml:space="preserve"> metotrexato continua a ser utilizado enquanto se usa Humira. Se o seu mé</w:t>
            </w:r>
            <w:r w:rsidRPr="009A05BE">
              <w:rPr>
                <w:sz w:val="22"/>
              </w:rPr>
              <w:t>dico considerar</w:t>
            </w:r>
            <w:r w:rsidRPr="00854C93">
              <w:rPr>
                <w:sz w:val="22"/>
              </w:rPr>
              <w:t xml:space="preserve"> que metotrexato não é adequado, </w:t>
            </w:r>
            <w:r w:rsidRPr="0089156B">
              <w:rPr>
                <w:sz w:val="22"/>
              </w:rPr>
              <w:t xml:space="preserve">Humira </w:t>
            </w:r>
            <w:r w:rsidRPr="000B3FE3">
              <w:rPr>
                <w:sz w:val="22"/>
              </w:rPr>
              <w:t>pode ser usado isoladamente.</w:t>
            </w:r>
          </w:p>
          <w:p w14:paraId="17333BF3" w14:textId="77777777" w:rsidR="00D25E3A" w:rsidRPr="008B0DDF" w:rsidRDefault="00615769" w:rsidP="00D25E3A">
            <w:pPr>
              <w:tabs>
                <w:tab w:val="left" w:pos="562"/>
              </w:tabs>
              <w:suppressAutoHyphens/>
              <w:spacing w:before="100" w:beforeAutospacing="1" w:after="100" w:afterAutospacing="1"/>
              <w:rPr>
                <w:sz w:val="22"/>
              </w:rPr>
            </w:pPr>
            <w:r w:rsidRPr="00653128">
              <w:rPr>
                <w:sz w:val="22"/>
              </w:rPr>
              <w:t xml:space="preserve">Se tem artrite reumatoide e não usar metotrexato conjuntamente com </w:t>
            </w:r>
            <w:r w:rsidRPr="00D33370">
              <w:rPr>
                <w:sz w:val="22"/>
              </w:rPr>
              <w:t>Hum</w:t>
            </w:r>
            <w:r w:rsidRPr="002D4DE5">
              <w:rPr>
                <w:sz w:val="22"/>
              </w:rPr>
              <w:t>ira</w:t>
            </w:r>
            <w:r w:rsidRPr="00003560">
              <w:rPr>
                <w:sz w:val="22"/>
              </w:rPr>
              <w:t xml:space="preserve">, o seu médico pode decidir administrar </w:t>
            </w:r>
            <w:r w:rsidRPr="005F6F98">
              <w:rPr>
                <w:sz w:val="22"/>
              </w:rPr>
              <w:t>Humira 40 </w:t>
            </w:r>
            <w:r w:rsidRPr="002B2441">
              <w:rPr>
                <w:sz w:val="22"/>
              </w:rPr>
              <w:t>mg por semana</w:t>
            </w:r>
            <w:r>
              <w:rPr>
                <w:sz w:val="22"/>
              </w:rPr>
              <w:t xml:space="preserve"> ou 80 mg em semanas alternadas</w:t>
            </w:r>
            <w:r w:rsidRPr="002B2441">
              <w:rPr>
                <w:sz w:val="22"/>
              </w:rPr>
              <w:t>.</w:t>
            </w:r>
          </w:p>
        </w:tc>
      </w:tr>
    </w:tbl>
    <w:p w14:paraId="5819F720" w14:textId="77777777" w:rsidR="00D25E3A" w:rsidRPr="008B0DDF" w:rsidRDefault="00D25E3A" w:rsidP="004462A0">
      <w:pPr>
        <w:numPr>
          <w:ilvl w:val="12"/>
          <w:numId w:val="0"/>
        </w:numPr>
        <w:suppressAutoHyphens/>
        <w:ind w:right="-2"/>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3"/>
        <w:gridCol w:w="3023"/>
        <w:gridCol w:w="3025"/>
      </w:tblGrid>
      <w:tr w:rsidR="00A7162A" w14:paraId="30E8B9B6" w14:textId="77777777" w:rsidTr="00F675CF">
        <w:tc>
          <w:tcPr>
            <w:tcW w:w="9287" w:type="dxa"/>
            <w:gridSpan w:val="3"/>
          </w:tcPr>
          <w:p w14:paraId="772A681B" w14:textId="77777777" w:rsidR="004462A0" w:rsidRPr="008B0DDF" w:rsidRDefault="00615769" w:rsidP="00F675CF">
            <w:pPr>
              <w:numPr>
                <w:ilvl w:val="12"/>
                <w:numId w:val="0"/>
              </w:numPr>
              <w:suppressAutoHyphens/>
              <w:ind w:right="-2"/>
              <w:rPr>
                <w:sz w:val="22"/>
              </w:rPr>
            </w:pPr>
            <w:r w:rsidRPr="008B0DDF">
              <w:rPr>
                <w:b/>
                <w:sz w:val="22"/>
              </w:rPr>
              <w:t>Psoríase em placas</w:t>
            </w:r>
          </w:p>
        </w:tc>
      </w:tr>
      <w:tr w:rsidR="00A7162A" w14:paraId="6F150F5E" w14:textId="77777777" w:rsidTr="00F675CF">
        <w:tc>
          <w:tcPr>
            <w:tcW w:w="3095" w:type="dxa"/>
          </w:tcPr>
          <w:p w14:paraId="6B295627" w14:textId="77777777" w:rsidR="004462A0" w:rsidRPr="008B0DDF" w:rsidRDefault="00615769" w:rsidP="00F675CF">
            <w:pPr>
              <w:numPr>
                <w:ilvl w:val="12"/>
                <w:numId w:val="0"/>
              </w:numPr>
              <w:suppressAutoHyphens/>
              <w:ind w:right="-2"/>
              <w:rPr>
                <w:sz w:val="22"/>
              </w:rPr>
            </w:pPr>
            <w:r w:rsidRPr="008B0DDF">
              <w:rPr>
                <w:b/>
                <w:sz w:val="22"/>
              </w:rPr>
              <w:t>Idade ou peso corporal</w:t>
            </w:r>
          </w:p>
        </w:tc>
        <w:tc>
          <w:tcPr>
            <w:tcW w:w="3096" w:type="dxa"/>
          </w:tcPr>
          <w:p w14:paraId="2BDB0A9C" w14:textId="77777777" w:rsidR="004462A0" w:rsidRPr="004F0FBC" w:rsidRDefault="00615769" w:rsidP="00F675CF">
            <w:pPr>
              <w:numPr>
                <w:ilvl w:val="12"/>
                <w:numId w:val="0"/>
              </w:numPr>
              <w:suppressAutoHyphens/>
              <w:ind w:right="-2"/>
              <w:rPr>
                <w:sz w:val="22"/>
              </w:rPr>
            </w:pPr>
            <w:r w:rsidRPr="00454F99">
              <w:rPr>
                <w:b/>
                <w:sz w:val="22"/>
              </w:rPr>
              <w:t>Qual a dose e com que frequência se deve tomar?</w:t>
            </w:r>
          </w:p>
        </w:tc>
        <w:tc>
          <w:tcPr>
            <w:tcW w:w="3096" w:type="dxa"/>
          </w:tcPr>
          <w:p w14:paraId="0D32C0A4" w14:textId="77777777" w:rsidR="004462A0" w:rsidRPr="008B0DDF" w:rsidRDefault="00615769" w:rsidP="00F675CF">
            <w:pPr>
              <w:numPr>
                <w:ilvl w:val="12"/>
                <w:numId w:val="0"/>
              </w:numPr>
              <w:suppressAutoHyphens/>
              <w:ind w:right="-2"/>
              <w:rPr>
                <w:sz w:val="22"/>
              </w:rPr>
            </w:pPr>
            <w:r w:rsidRPr="008B0DDF">
              <w:rPr>
                <w:b/>
                <w:sz w:val="22"/>
              </w:rPr>
              <w:t>Notas</w:t>
            </w:r>
          </w:p>
        </w:tc>
      </w:tr>
      <w:tr w:rsidR="00A7162A" w14:paraId="662917C8" w14:textId="77777777" w:rsidTr="00F675CF">
        <w:tc>
          <w:tcPr>
            <w:tcW w:w="3095" w:type="dxa"/>
          </w:tcPr>
          <w:p w14:paraId="15FB8768" w14:textId="77777777" w:rsidR="004462A0" w:rsidRPr="008B0DDF" w:rsidRDefault="00615769" w:rsidP="00F675CF">
            <w:pPr>
              <w:numPr>
                <w:ilvl w:val="12"/>
                <w:numId w:val="0"/>
              </w:numPr>
              <w:suppressAutoHyphens/>
              <w:ind w:right="-2"/>
              <w:rPr>
                <w:sz w:val="22"/>
              </w:rPr>
            </w:pPr>
            <w:r w:rsidRPr="008B0DDF">
              <w:rPr>
                <w:sz w:val="22"/>
              </w:rPr>
              <w:t>Adultos</w:t>
            </w:r>
          </w:p>
          <w:p w14:paraId="6D8656CD" w14:textId="77777777" w:rsidR="004462A0" w:rsidRPr="008B0DDF" w:rsidRDefault="004462A0" w:rsidP="00F675CF">
            <w:pPr>
              <w:numPr>
                <w:ilvl w:val="12"/>
                <w:numId w:val="0"/>
              </w:numPr>
              <w:suppressAutoHyphens/>
              <w:ind w:right="-2"/>
              <w:rPr>
                <w:sz w:val="22"/>
              </w:rPr>
            </w:pPr>
          </w:p>
        </w:tc>
        <w:tc>
          <w:tcPr>
            <w:tcW w:w="3096" w:type="dxa"/>
          </w:tcPr>
          <w:p w14:paraId="55BCF540" w14:textId="77777777" w:rsidR="004462A0" w:rsidRPr="002D4DE5" w:rsidRDefault="00615769" w:rsidP="00F675CF">
            <w:pPr>
              <w:numPr>
                <w:ilvl w:val="12"/>
                <w:numId w:val="0"/>
              </w:numPr>
              <w:suppressAutoHyphens/>
              <w:ind w:right="-2"/>
              <w:rPr>
                <w:sz w:val="22"/>
              </w:rPr>
            </w:pPr>
            <w:r w:rsidRPr="00454F99">
              <w:rPr>
                <w:sz w:val="22"/>
              </w:rPr>
              <w:t>Uma dose inicial de 80 </w:t>
            </w:r>
            <w:r w:rsidRPr="004F0FBC">
              <w:rPr>
                <w:sz w:val="22"/>
              </w:rPr>
              <w:t>mg (</w:t>
            </w:r>
            <w:r>
              <w:rPr>
                <w:sz w:val="22"/>
              </w:rPr>
              <w:t>uma</w:t>
            </w:r>
            <w:r w:rsidRPr="006462E3">
              <w:rPr>
                <w:sz w:val="22"/>
              </w:rPr>
              <w:t xml:space="preserve"> injeç</w:t>
            </w:r>
            <w:r>
              <w:rPr>
                <w:sz w:val="22"/>
              </w:rPr>
              <w:t>ão</w:t>
            </w:r>
            <w:r w:rsidRPr="006462E3">
              <w:rPr>
                <w:sz w:val="22"/>
              </w:rPr>
              <w:t xml:space="preserve"> de </w:t>
            </w:r>
            <w:r>
              <w:rPr>
                <w:sz w:val="22"/>
              </w:rPr>
              <w:t>8</w:t>
            </w:r>
            <w:r w:rsidRPr="006462E3">
              <w:rPr>
                <w:sz w:val="22"/>
              </w:rPr>
              <w:t>0 </w:t>
            </w:r>
            <w:r w:rsidRPr="009A05BE">
              <w:rPr>
                <w:sz w:val="22"/>
              </w:rPr>
              <w:t>mg</w:t>
            </w:r>
            <w:r w:rsidRPr="00854C93">
              <w:rPr>
                <w:sz w:val="22"/>
              </w:rPr>
              <w:t xml:space="preserve">), </w:t>
            </w:r>
            <w:r w:rsidRPr="0089156B">
              <w:rPr>
                <w:sz w:val="22"/>
              </w:rPr>
              <w:t>seguida de 4</w:t>
            </w:r>
            <w:r w:rsidRPr="000B3FE3">
              <w:rPr>
                <w:sz w:val="22"/>
              </w:rPr>
              <w:t>0 </w:t>
            </w:r>
            <w:r w:rsidRPr="004931CE">
              <w:rPr>
                <w:sz w:val="22"/>
              </w:rPr>
              <w:t xml:space="preserve">mg </w:t>
            </w:r>
            <w:r w:rsidRPr="00653128">
              <w:rPr>
                <w:sz w:val="22"/>
              </w:rPr>
              <w:t>em semanas alternadas, uma semana ap</w:t>
            </w:r>
            <w:r w:rsidRPr="00D33370">
              <w:rPr>
                <w:sz w:val="22"/>
              </w:rPr>
              <w:t>ós a dose inicial</w:t>
            </w:r>
            <w:r w:rsidRPr="002D4DE5">
              <w:rPr>
                <w:sz w:val="22"/>
              </w:rPr>
              <w:t>.</w:t>
            </w:r>
          </w:p>
        </w:tc>
        <w:tc>
          <w:tcPr>
            <w:tcW w:w="3096" w:type="dxa"/>
          </w:tcPr>
          <w:p w14:paraId="4D197EFA" w14:textId="77777777" w:rsidR="004462A0" w:rsidRPr="008B0DDF" w:rsidRDefault="00615769">
            <w:pPr>
              <w:tabs>
                <w:tab w:val="left" w:pos="562"/>
              </w:tabs>
              <w:suppressAutoHyphens/>
              <w:spacing w:before="100" w:beforeAutospacing="1" w:after="100" w:afterAutospacing="1"/>
              <w:rPr>
                <w:sz w:val="22"/>
              </w:rPr>
            </w:pPr>
            <w:r w:rsidRPr="00003560">
              <w:rPr>
                <w:sz w:val="22"/>
              </w:rPr>
              <w:t>Se tiver uma resposta i</w:t>
            </w:r>
            <w:r w:rsidRPr="005F6F98">
              <w:rPr>
                <w:sz w:val="22"/>
              </w:rPr>
              <w:t xml:space="preserve">nadequada, o seu médico pode aumentar a dose para </w:t>
            </w:r>
            <w:r w:rsidRPr="002B2441">
              <w:rPr>
                <w:sz w:val="22"/>
              </w:rPr>
              <w:t>40 </w:t>
            </w:r>
            <w:r w:rsidRPr="00B830EC">
              <w:rPr>
                <w:sz w:val="22"/>
              </w:rPr>
              <w:t xml:space="preserve">mg </w:t>
            </w:r>
            <w:r w:rsidRPr="008B0DDF">
              <w:rPr>
                <w:sz w:val="22"/>
              </w:rPr>
              <w:t>por semana</w:t>
            </w:r>
            <w:r w:rsidR="00D25E3A">
              <w:rPr>
                <w:sz w:val="22"/>
              </w:rPr>
              <w:t xml:space="preserve"> </w:t>
            </w:r>
            <w:r w:rsidR="00781925">
              <w:rPr>
                <w:sz w:val="22"/>
              </w:rPr>
              <w:t>ou 80 mg em semanas alternadas</w:t>
            </w:r>
            <w:r w:rsidRPr="008B0DDF">
              <w:rPr>
                <w:sz w:val="22"/>
              </w:rPr>
              <w:t>.</w:t>
            </w:r>
          </w:p>
        </w:tc>
      </w:tr>
    </w:tbl>
    <w:p w14:paraId="51824120" w14:textId="77777777" w:rsidR="004462A0" w:rsidRPr="008B0DDF" w:rsidRDefault="004462A0" w:rsidP="004462A0">
      <w:pPr>
        <w:numPr>
          <w:ilvl w:val="12"/>
          <w:numId w:val="0"/>
        </w:numPr>
        <w:suppressAutoHyphens/>
        <w:ind w:right="-2"/>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23"/>
        <w:gridCol w:w="3021"/>
      </w:tblGrid>
      <w:tr w:rsidR="00A7162A" w14:paraId="397267F1" w14:textId="77777777" w:rsidTr="00F675CF">
        <w:tc>
          <w:tcPr>
            <w:tcW w:w="9287" w:type="dxa"/>
            <w:gridSpan w:val="3"/>
          </w:tcPr>
          <w:p w14:paraId="0D0950EE" w14:textId="77777777" w:rsidR="004462A0" w:rsidRPr="008B0DDF" w:rsidRDefault="00615769" w:rsidP="00F675CF">
            <w:pPr>
              <w:numPr>
                <w:ilvl w:val="12"/>
                <w:numId w:val="0"/>
              </w:numPr>
              <w:suppressAutoHyphens/>
              <w:ind w:right="-2"/>
              <w:rPr>
                <w:b/>
                <w:sz w:val="22"/>
              </w:rPr>
            </w:pPr>
            <w:r w:rsidRPr="008B0DDF">
              <w:rPr>
                <w:b/>
                <w:sz w:val="22"/>
              </w:rPr>
              <w:t>Hidradenite supurativa</w:t>
            </w:r>
          </w:p>
        </w:tc>
      </w:tr>
      <w:tr w:rsidR="00A7162A" w14:paraId="34BB31FD" w14:textId="77777777" w:rsidTr="00F675CF">
        <w:tc>
          <w:tcPr>
            <w:tcW w:w="3095" w:type="dxa"/>
          </w:tcPr>
          <w:p w14:paraId="750A6C34" w14:textId="77777777" w:rsidR="004462A0" w:rsidRPr="008B0DDF" w:rsidRDefault="00615769" w:rsidP="00F675CF">
            <w:pPr>
              <w:numPr>
                <w:ilvl w:val="12"/>
                <w:numId w:val="0"/>
              </w:numPr>
              <w:suppressAutoHyphens/>
              <w:ind w:right="-2"/>
              <w:rPr>
                <w:sz w:val="22"/>
              </w:rPr>
            </w:pPr>
            <w:r w:rsidRPr="008B0DDF">
              <w:rPr>
                <w:b/>
                <w:sz w:val="22"/>
              </w:rPr>
              <w:t>Idade ou peso corporal</w:t>
            </w:r>
          </w:p>
        </w:tc>
        <w:tc>
          <w:tcPr>
            <w:tcW w:w="3096" w:type="dxa"/>
          </w:tcPr>
          <w:p w14:paraId="2BE5F70F" w14:textId="77777777" w:rsidR="004462A0" w:rsidRPr="004F0FBC" w:rsidRDefault="00615769" w:rsidP="00F675CF">
            <w:pPr>
              <w:numPr>
                <w:ilvl w:val="12"/>
                <w:numId w:val="0"/>
              </w:numPr>
              <w:suppressAutoHyphens/>
              <w:ind w:right="-2"/>
              <w:rPr>
                <w:sz w:val="22"/>
              </w:rPr>
            </w:pPr>
            <w:r w:rsidRPr="00454F99">
              <w:rPr>
                <w:b/>
                <w:sz w:val="22"/>
              </w:rPr>
              <w:t>Qual a dose e com que frequência se deve tomar?</w:t>
            </w:r>
          </w:p>
        </w:tc>
        <w:tc>
          <w:tcPr>
            <w:tcW w:w="3096" w:type="dxa"/>
          </w:tcPr>
          <w:p w14:paraId="3043D124" w14:textId="77777777" w:rsidR="004462A0" w:rsidRPr="008B0DDF" w:rsidRDefault="00615769" w:rsidP="00F675CF">
            <w:pPr>
              <w:numPr>
                <w:ilvl w:val="12"/>
                <w:numId w:val="0"/>
              </w:numPr>
              <w:suppressAutoHyphens/>
              <w:ind w:right="-2"/>
              <w:rPr>
                <w:sz w:val="22"/>
              </w:rPr>
            </w:pPr>
            <w:r w:rsidRPr="008B0DDF">
              <w:rPr>
                <w:b/>
                <w:sz w:val="22"/>
              </w:rPr>
              <w:t>Notas</w:t>
            </w:r>
          </w:p>
        </w:tc>
      </w:tr>
      <w:tr w:rsidR="00A7162A" w14:paraId="0FF95CFD" w14:textId="77777777" w:rsidTr="00F675CF">
        <w:tc>
          <w:tcPr>
            <w:tcW w:w="3095" w:type="dxa"/>
          </w:tcPr>
          <w:p w14:paraId="0C797D92" w14:textId="77777777" w:rsidR="004462A0" w:rsidRPr="008B0DDF" w:rsidRDefault="00615769" w:rsidP="00F675CF">
            <w:pPr>
              <w:numPr>
                <w:ilvl w:val="12"/>
                <w:numId w:val="0"/>
              </w:numPr>
              <w:suppressAutoHyphens/>
              <w:ind w:right="-2"/>
              <w:rPr>
                <w:sz w:val="22"/>
              </w:rPr>
            </w:pPr>
            <w:r w:rsidRPr="008B0DDF">
              <w:rPr>
                <w:sz w:val="22"/>
              </w:rPr>
              <w:t>Adultos</w:t>
            </w:r>
          </w:p>
        </w:tc>
        <w:tc>
          <w:tcPr>
            <w:tcW w:w="3096" w:type="dxa"/>
          </w:tcPr>
          <w:p w14:paraId="2BD30888" w14:textId="77777777" w:rsidR="004462A0" w:rsidRPr="008B0DDF" w:rsidRDefault="00615769">
            <w:pPr>
              <w:numPr>
                <w:ilvl w:val="12"/>
                <w:numId w:val="0"/>
              </w:numPr>
              <w:suppressAutoHyphens/>
              <w:ind w:right="-2"/>
              <w:rPr>
                <w:sz w:val="22"/>
              </w:rPr>
            </w:pPr>
            <w:r w:rsidRPr="00454F99">
              <w:rPr>
                <w:sz w:val="22"/>
                <w:szCs w:val="22"/>
              </w:rPr>
              <w:t>Uma dose inicial de 160 mg (</w:t>
            </w:r>
            <w:r>
              <w:rPr>
                <w:sz w:val="22"/>
                <w:szCs w:val="22"/>
              </w:rPr>
              <w:t xml:space="preserve">duas </w:t>
            </w:r>
            <w:r w:rsidRPr="00454F99">
              <w:rPr>
                <w:sz w:val="22"/>
                <w:szCs w:val="22"/>
              </w:rPr>
              <w:t xml:space="preserve">injeções </w:t>
            </w:r>
            <w:r>
              <w:rPr>
                <w:sz w:val="22"/>
                <w:szCs w:val="22"/>
              </w:rPr>
              <w:t>de 8</w:t>
            </w:r>
            <w:r w:rsidRPr="004F0FBC">
              <w:rPr>
                <w:sz w:val="22"/>
                <w:szCs w:val="22"/>
              </w:rPr>
              <w:t>0</w:t>
            </w:r>
            <w:r w:rsidRPr="006462E3">
              <w:rPr>
                <w:sz w:val="22"/>
                <w:szCs w:val="22"/>
              </w:rPr>
              <w:t> mg num dia</w:t>
            </w:r>
            <w:r w:rsidRPr="009A05BE">
              <w:rPr>
                <w:sz w:val="22"/>
                <w:szCs w:val="22"/>
              </w:rPr>
              <w:t xml:space="preserve"> ou</w:t>
            </w:r>
            <w:r>
              <w:rPr>
                <w:rFonts w:hint="eastAsia"/>
                <w:sz w:val="22"/>
                <w:szCs w:val="22"/>
                <w:lang w:eastAsia="zh-TW"/>
              </w:rPr>
              <w:t xml:space="preserve"> </w:t>
            </w:r>
            <w:r>
              <w:rPr>
                <w:sz w:val="22"/>
                <w:szCs w:val="22"/>
                <w:lang w:eastAsia="zh-TW"/>
              </w:rPr>
              <w:t>uma</w:t>
            </w:r>
            <w:r>
              <w:rPr>
                <w:sz w:val="22"/>
                <w:szCs w:val="22"/>
              </w:rPr>
              <w:t xml:space="preserve"> </w:t>
            </w:r>
            <w:r w:rsidRPr="009A05BE">
              <w:rPr>
                <w:sz w:val="22"/>
                <w:szCs w:val="22"/>
              </w:rPr>
              <w:t>injeç</w:t>
            </w:r>
            <w:r>
              <w:rPr>
                <w:sz w:val="22"/>
                <w:szCs w:val="22"/>
              </w:rPr>
              <w:t>ão</w:t>
            </w:r>
            <w:r w:rsidRPr="009A05BE">
              <w:rPr>
                <w:sz w:val="22"/>
                <w:szCs w:val="22"/>
              </w:rPr>
              <w:t xml:space="preserve"> de </w:t>
            </w:r>
            <w:r>
              <w:rPr>
                <w:sz w:val="22"/>
                <w:szCs w:val="22"/>
              </w:rPr>
              <w:t>8</w:t>
            </w:r>
            <w:r w:rsidRPr="009A05BE">
              <w:rPr>
                <w:sz w:val="22"/>
                <w:szCs w:val="22"/>
              </w:rPr>
              <w:t>0</w:t>
            </w:r>
            <w:r w:rsidRPr="00854C93">
              <w:rPr>
                <w:sz w:val="22"/>
                <w:szCs w:val="22"/>
              </w:rPr>
              <w:t> mg por d</w:t>
            </w:r>
            <w:r w:rsidRPr="0089156B">
              <w:rPr>
                <w:sz w:val="22"/>
                <w:szCs w:val="22"/>
              </w:rPr>
              <w:t>ia e</w:t>
            </w:r>
            <w:r w:rsidRPr="000B3FE3">
              <w:rPr>
                <w:sz w:val="22"/>
                <w:szCs w:val="22"/>
              </w:rPr>
              <w:t xml:space="preserve">m dois dias consecutivos), </w:t>
            </w:r>
            <w:r w:rsidRPr="004931CE">
              <w:rPr>
                <w:sz w:val="22"/>
                <w:szCs w:val="22"/>
              </w:rPr>
              <w:t xml:space="preserve">seguida de uma dose de </w:t>
            </w:r>
            <w:r w:rsidRPr="00653128">
              <w:rPr>
                <w:sz w:val="22"/>
                <w:szCs w:val="22"/>
              </w:rPr>
              <w:t>80 mg (</w:t>
            </w:r>
            <w:r>
              <w:rPr>
                <w:sz w:val="22"/>
                <w:szCs w:val="22"/>
              </w:rPr>
              <w:t>uma injeção</w:t>
            </w:r>
            <w:r w:rsidRPr="00653128">
              <w:rPr>
                <w:sz w:val="22"/>
                <w:szCs w:val="22"/>
              </w:rPr>
              <w:t xml:space="preserve"> </w:t>
            </w:r>
            <w:r w:rsidRPr="00D33370">
              <w:rPr>
                <w:sz w:val="22"/>
                <w:szCs w:val="22"/>
              </w:rPr>
              <w:t xml:space="preserve">de </w:t>
            </w:r>
            <w:r>
              <w:rPr>
                <w:sz w:val="22"/>
                <w:szCs w:val="22"/>
              </w:rPr>
              <w:t>8</w:t>
            </w:r>
            <w:r w:rsidRPr="002D4DE5">
              <w:rPr>
                <w:sz w:val="22"/>
                <w:szCs w:val="22"/>
              </w:rPr>
              <w:t>0</w:t>
            </w:r>
            <w:r w:rsidRPr="00003560">
              <w:rPr>
                <w:sz w:val="22"/>
                <w:szCs w:val="22"/>
              </w:rPr>
              <w:t> </w:t>
            </w:r>
            <w:r w:rsidRPr="005F6F98">
              <w:rPr>
                <w:sz w:val="22"/>
                <w:szCs w:val="22"/>
              </w:rPr>
              <w:t>mg</w:t>
            </w:r>
            <w:r w:rsidRPr="002B2441">
              <w:rPr>
                <w:sz w:val="22"/>
                <w:szCs w:val="22"/>
              </w:rPr>
              <w:t>) duas semanas ap</w:t>
            </w:r>
            <w:r w:rsidRPr="00B830EC">
              <w:rPr>
                <w:sz w:val="22"/>
                <w:szCs w:val="22"/>
              </w:rPr>
              <w:t>ós a dose inicial.</w:t>
            </w:r>
            <w:r w:rsidRPr="008B0DDF">
              <w:rPr>
                <w:sz w:val="22"/>
                <w:szCs w:val="22"/>
              </w:rPr>
              <w:t xml:space="preserve"> Após mais duas semanas, continuar com uma dose de 40 mg por semana</w:t>
            </w:r>
            <w:r w:rsidR="00781925">
              <w:rPr>
                <w:sz w:val="22"/>
                <w:szCs w:val="22"/>
              </w:rPr>
              <w:t xml:space="preserve"> ou 80 mg em semanas alternadas, conforme prescrito pelo seu médico</w:t>
            </w:r>
            <w:r w:rsidRPr="008B0DDF">
              <w:rPr>
                <w:sz w:val="22"/>
                <w:szCs w:val="22"/>
              </w:rPr>
              <w:t xml:space="preserve">.  </w:t>
            </w:r>
          </w:p>
        </w:tc>
        <w:tc>
          <w:tcPr>
            <w:tcW w:w="3096" w:type="dxa"/>
          </w:tcPr>
          <w:p w14:paraId="59FB0F9D" w14:textId="77777777" w:rsidR="004462A0" w:rsidRPr="008B0DDF" w:rsidRDefault="00615769" w:rsidP="00F675CF">
            <w:pPr>
              <w:spacing w:before="100" w:beforeAutospacing="1" w:after="100" w:afterAutospacing="1"/>
              <w:rPr>
                <w:sz w:val="22"/>
                <w:szCs w:val="22"/>
              </w:rPr>
            </w:pPr>
            <w:r w:rsidRPr="008B0DDF">
              <w:rPr>
                <w:sz w:val="22"/>
                <w:szCs w:val="22"/>
              </w:rPr>
              <w:t>É recomendável que use um anti-séptico de lavagem diária nas áreas afetadas.</w:t>
            </w:r>
          </w:p>
          <w:p w14:paraId="0F92DB72" w14:textId="77777777" w:rsidR="004462A0" w:rsidRPr="008B0DDF" w:rsidRDefault="004462A0" w:rsidP="00F675CF">
            <w:pPr>
              <w:numPr>
                <w:ilvl w:val="12"/>
                <w:numId w:val="0"/>
              </w:numPr>
              <w:suppressAutoHyphens/>
              <w:ind w:right="-2"/>
              <w:rPr>
                <w:sz w:val="22"/>
              </w:rPr>
            </w:pPr>
          </w:p>
        </w:tc>
      </w:tr>
      <w:tr w:rsidR="00A7162A" w14:paraId="0E25F29D" w14:textId="77777777" w:rsidTr="00F675CF">
        <w:tc>
          <w:tcPr>
            <w:tcW w:w="3095" w:type="dxa"/>
          </w:tcPr>
          <w:p w14:paraId="6C710EB4" w14:textId="77777777" w:rsidR="004462A0" w:rsidRPr="008B0DDF" w:rsidRDefault="00615769">
            <w:pPr>
              <w:keepNext/>
              <w:numPr>
                <w:ilvl w:val="12"/>
                <w:numId w:val="0"/>
              </w:numPr>
              <w:suppressAutoHyphens/>
              <w:ind w:right="-2"/>
              <w:rPr>
                <w:sz w:val="22"/>
              </w:rPr>
            </w:pPr>
            <w:r>
              <w:rPr>
                <w:sz w:val="22"/>
              </w:rPr>
              <w:t xml:space="preserve">Adolescentes </w:t>
            </w:r>
            <w:r w:rsidR="00C0208A">
              <w:rPr>
                <w:sz w:val="22"/>
              </w:rPr>
              <w:t>entre os</w:t>
            </w:r>
            <w:r>
              <w:rPr>
                <w:sz w:val="22"/>
              </w:rPr>
              <w:t xml:space="preserve"> 12 </w:t>
            </w:r>
            <w:r w:rsidR="00C0208A">
              <w:rPr>
                <w:sz w:val="22"/>
              </w:rPr>
              <w:t xml:space="preserve">e os 17 </w:t>
            </w:r>
            <w:r>
              <w:rPr>
                <w:sz w:val="22"/>
              </w:rPr>
              <w:t>anos de idade com</w:t>
            </w:r>
            <w:r w:rsidR="00C0208A">
              <w:rPr>
                <w:sz w:val="22"/>
              </w:rPr>
              <w:t xml:space="preserve"> peso igual ou superior a </w:t>
            </w:r>
            <w:r>
              <w:rPr>
                <w:sz w:val="22"/>
              </w:rPr>
              <w:t>30 kg</w:t>
            </w:r>
          </w:p>
        </w:tc>
        <w:tc>
          <w:tcPr>
            <w:tcW w:w="3096" w:type="dxa"/>
          </w:tcPr>
          <w:p w14:paraId="484E0374" w14:textId="77777777" w:rsidR="004462A0" w:rsidRPr="00454F99" w:rsidRDefault="00615769" w:rsidP="00F675CF">
            <w:pPr>
              <w:keepNext/>
              <w:numPr>
                <w:ilvl w:val="12"/>
                <w:numId w:val="0"/>
              </w:numPr>
              <w:suppressAutoHyphens/>
              <w:ind w:right="-2"/>
              <w:rPr>
                <w:sz w:val="22"/>
                <w:szCs w:val="22"/>
              </w:rPr>
            </w:pPr>
            <w:r w:rsidRPr="00454F99">
              <w:rPr>
                <w:sz w:val="22"/>
              </w:rPr>
              <w:t>Uma dose inicial de 80 </w:t>
            </w:r>
            <w:r w:rsidRPr="004F0FBC">
              <w:rPr>
                <w:sz w:val="22"/>
              </w:rPr>
              <w:t>mg</w:t>
            </w:r>
            <w:r>
              <w:rPr>
                <w:sz w:val="22"/>
              </w:rPr>
              <w:t xml:space="preserve"> (uma</w:t>
            </w:r>
            <w:r w:rsidRPr="006462E3">
              <w:rPr>
                <w:sz w:val="22"/>
              </w:rPr>
              <w:t xml:space="preserve"> injeç</w:t>
            </w:r>
            <w:r>
              <w:rPr>
                <w:sz w:val="22"/>
              </w:rPr>
              <w:t>ão</w:t>
            </w:r>
            <w:r w:rsidRPr="006462E3">
              <w:rPr>
                <w:sz w:val="22"/>
              </w:rPr>
              <w:t xml:space="preserve"> de </w:t>
            </w:r>
            <w:r>
              <w:rPr>
                <w:sz w:val="22"/>
              </w:rPr>
              <w:t>8</w:t>
            </w:r>
            <w:r w:rsidRPr="006462E3">
              <w:rPr>
                <w:sz w:val="22"/>
              </w:rPr>
              <w:t>0 </w:t>
            </w:r>
            <w:r w:rsidRPr="009A05BE">
              <w:rPr>
                <w:sz w:val="22"/>
              </w:rPr>
              <w:t>mg</w:t>
            </w:r>
            <w:r>
              <w:rPr>
                <w:sz w:val="22"/>
              </w:rPr>
              <w:t>)</w:t>
            </w:r>
            <w:r w:rsidRPr="009A05BE">
              <w:rPr>
                <w:sz w:val="22"/>
              </w:rPr>
              <w:t xml:space="preserve"> </w:t>
            </w:r>
            <w:r w:rsidRPr="0089156B">
              <w:rPr>
                <w:sz w:val="22"/>
              </w:rPr>
              <w:t>seguida de 4</w:t>
            </w:r>
            <w:r w:rsidRPr="000B3FE3">
              <w:rPr>
                <w:sz w:val="22"/>
              </w:rPr>
              <w:t>0 </w:t>
            </w:r>
            <w:r w:rsidRPr="004931CE">
              <w:rPr>
                <w:sz w:val="22"/>
              </w:rPr>
              <w:t xml:space="preserve">mg </w:t>
            </w:r>
            <w:r w:rsidRPr="00653128">
              <w:rPr>
                <w:sz w:val="22"/>
              </w:rPr>
              <w:t>em semanas alternadas, uma semana ap</w:t>
            </w:r>
            <w:r w:rsidRPr="00D33370">
              <w:rPr>
                <w:sz w:val="22"/>
              </w:rPr>
              <w:t>ós a dose inicial</w:t>
            </w:r>
            <w:r w:rsidRPr="002D4DE5">
              <w:rPr>
                <w:sz w:val="22"/>
              </w:rPr>
              <w:t>.</w:t>
            </w:r>
          </w:p>
        </w:tc>
        <w:tc>
          <w:tcPr>
            <w:tcW w:w="3096" w:type="dxa"/>
          </w:tcPr>
          <w:p w14:paraId="73E760EA" w14:textId="77777777" w:rsidR="004462A0" w:rsidRDefault="00615769" w:rsidP="00F675CF">
            <w:pPr>
              <w:keepNext/>
              <w:rPr>
                <w:sz w:val="22"/>
              </w:rPr>
            </w:pPr>
            <w:r w:rsidRPr="00003560">
              <w:rPr>
                <w:sz w:val="22"/>
              </w:rPr>
              <w:t>Se tiver uma resposta i</w:t>
            </w:r>
            <w:r w:rsidRPr="005F6F98">
              <w:rPr>
                <w:sz w:val="22"/>
              </w:rPr>
              <w:t>nadequada</w:t>
            </w:r>
            <w:r w:rsidR="00781925">
              <w:rPr>
                <w:sz w:val="22"/>
              </w:rPr>
              <w:t xml:space="preserve"> com Humira 40 mg em semanas alternadas</w:t>
            </w:r>
            <w:r w:rsidRPr="005F6F98">
              <w:rPr>
                <w:sz w:val="22"/>
              </w:rPr>
              <w:t xml:space="preserve">, o seu médico pode aumentar a dose para </w:t>
            </w:r>
            <w:r w:rsidRPr="002B2441">
              <w:rPr>
                <w:sz w:val="22"/>
              </w:rPr>
              <w:t>40 </w:t>
            </w:r>
            <w:r w:rsidRPr="00B830EC">
              <w:rPr>
                <w:sz w:val="22"/>
              </w:rPr>
              <w:t xml:space="preserve">mg </w:t>
            </w:r>
            <w:r w:rsidRPr="008B0DDF">
              <w:rPr>
                <w:sz w:val="22"/>
              </w:rPr>
              <w:t>por semana</w:t>
            </w:r>
            <w:r w:rsidR="00781925">
              <w:rPr>
                <w:sz w:val="22"/>
              </w:rPr>
              <w:t xml:space="preserve"> ou 80 mg em semanas alternadas</w:t>
            </w:r>
            <w:r w:rsidRPr="008B0DDF">
              <w:rPr>
                <w:sz w:val="22"/>
              </w:rPr>
              <w:t>.</w:t>
            </w:r>
          </w:p>
          <w:p w14:paraId="0E7DE0CE" w14:textId="77777777" w:rsidR="004462A0" w:rsidRPr="008B0DDF" w:rsidRDefault="00615769" w:rsidP="00F675CF">
            <w:pPr>
              <w:keepNext/>
              <w:rPr>
                <w:sz w:val="22"/>
                <w:szCs w:val="22"/>
              </w:rPr>
            </w:pPr>
            <w:r w:rsidRPr="008B0DDF">
              <w:rPr>
                <w:sz w:val="22"/>
                <w:szCs w:val="22"/>
              </w:rPr>
              <w:t>É recomendável que use um anti-séptico de lavagem diária nas áreas afetadas.</w:t>
            </w:r>
          </w:p>
        </w:tc>
      </w:tr>
    </w:tbl>
    <w:p w14:paraId="60D93837" w14:textId="77777777" w:rsidR="004462A0" w:rsidRPr="008B0DDF" w:rsidRDefault="004462A0" w:rsidP="004462A0">
      <w:pPr>
        <w:numPr>
          <w:ilvl w:val="12"/>
          <w:numId w:val="0"/>
        </w:numPr>
        <w:suppressAutoHyphens/>
        <w:ind w:right="-2"/>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7"/>
        <w:gridCol w:w="3014"/>
      </w:tblGrid>
      <w:tr w:rsidR="00A7162A" w14:paraId="475AB7F9" w14:textId="77777777" w:rsidTr="00F675CF">
        <w:tc>
          <w:tcPr>
            <w:tcW w:w="9287" w:type="dxa"/>
            <w:gridSpan w:val="3"/>
          </w:tcPr>
          <w:p w14:paraId="084E8541" w14:textId="77777777" w:rsidR="004462A0" w:rsidRPr="008B0DDF" w:rsidRDefault="00615769" w:rsidP="00F675CF">
            <w:pPr>
              <w:numPr>
                <w:ilvl w:val="12"/>
                <w:numId w:val="0"/>
              </w:numPr>
              <w:suppressAutoHyphens/>
              <w:ind w:right="-2"/>
              <w:rPr>
                <w:sz w:val="22"/>
              </w:rPr>
            </w:pPr>
            <w:r>
              <w:rPr>
                <w:b/>
                <w:sz w:val="22"/>
              </w:rPr>
              <w:t>Doença de Crohn</w:t>
            </w:r>
          </w:p>
        </w:tc>
      </w:tr>
      <w:tr w:rsidR="00A7162A" w14:paraId="5D18317A" w14:textId="77777777" w:rsidTr="00F675CF">
        <w:tc>
          <w:tcPr>
            <w:tcW w:w="3095" w:type="dxa"/>
          </w:tcPr>
          <w:p w14:paraId="7E50AF7C" w14:textId="77777777" w:rsidR="004462A0" w:rsidRPr="008B0DDF" w:rsidRDefault="00615769" w:rsidP="00F675CF">
            <w:pPr>
              <w:numPr>
                <w:ilvl w:val="12"/>
                <w:numId w:val="0"/>
              </w:numPr>
              <w:suppressAutoHyphens/>
              <w:ind w:right="-2"/>
              <w:rPr>
                <w:sz w:val="22"/>
              </w:rPr>
            </w:pPr>
            <w:r w:rsidRPr="008B0DDF">
              <w:rPr>
                <w:b/>
                <w:sz w:val="22"/>
              </w:rPr>
              <w:t>Idade ou peso corporal</w:t>
            </w:r>
          </w:p>
        </w:tc>
        <w:tc>
          <w:tcPr>
            <w:tcW w:w="3096" w:type="dxa"/>
          </w:tcPr>
          <w:p w14:paraId="786914B1" w14:textId="77777777" w:rsidR="004462A0" w:rsidRPr="004F0FBC" w:rsidRDefault="00615769" w:rsidP="00F675CF">
            <w:pPr>
              <w:numPr>
                <w:ilvl w:val="12"/>
                <w:numId w:val="0"/>
              </w:numPr>
              <w:suppressAutoHyphens/>
              <w:ind w:right="-2"/>
              <w:rPr>
                <w:sz w:val="22"/>
              </w:rPr>
            </w:pPr>
            <w:r w:rsidRPr="00454F99">
              <w:rPr>
                <w:b/>
                <w:sz w:val="22"/>
              </w:rPr>
              <w:t>Qual a dose e com que frequência se deve tomar?</w:t>
            </w:r>
          </w:p>
        </w:tc>
        <w:tc>
          <w:tcPr>
            <w:tcW w:w="3096" w:type="dxa"/>
          </w:tcPr>
          <w:p w14:paraId="724BB2D3" w14:textId="77777777" w:rsidR="004462A0" w:rsidRPr="008B0DDF" w:rsidRDefault="00615769" w:rsidP="00F675CF">
            <w:pPr>
              <w:numPr>
                <w:ilvl w:val="12"/>
                <w:numId w:val="0"/>
              </w:numPr>
              <w:suppressAutoHyphens/>
              <w:ind w:right="-2"/>
              <w:rPr>
                <w:sz w:val="22"/>
              </w:rPr>
            </w:pPr>
            <w:r w:rsidRPr="008B0DDF">
              <w:rPr>
                <w:b/>
                <w:sz w:val="22"/>
              </w:rPr>
              <w:t>Notas</w:t>
            </w:r>
          </w:p>
        </w:tc>
      </w:tr>
      <w:tr w:rsidR="00A7162A" w14:paraId="669DBB91" w14:textId="77777777" w:rsidTr="00F675CF">
        <w:tc>
          <w:tcPr>
            <w:tcW w:w="3095" w:type="dxa"/>
          </w:tcPr>
          <w:p w14:paraId="042EF3A9" w14:textId="77777777" w:rsidR="004462A0" w:rsidRPr="008B0DDF" w:rsidRDefault="004462A0" w:rsidP="00F675CF">
            <w:pPr>
              <w:numPr>
                <w:ilvl w:val="12"/>
                <w:numId w:val="0"/>
              </w:numPr>
              <w:suppressAutoHyphens/>
              <w:ind w:right="-2"/>
              <w:rPr>
                <w:sz w:val="22"/>
              </w:rPr>
            </w:pPr>
          </w:p>
        </w:tc>
        <w:tc>
          <w:tcPr>
            <w:tcW w:w="3096" w:type="dxa"/>
          </w:tcPr>
          <w:p w14:paraId="184641CF" w14:textId="77777777" w:rsidR="004462A0" w:rsidRPr="008B0DDF" w:rsidRDefault="004462A0" w:rsidP="00F675CF">
            <w:pPr>
              <w:numPr>
                <w:ilvl w:val="12"/>
                <w:numId w:val="0"/>
              </w:numPr>
              <w:suppressAutoHyphens/>
              <w:rPr>
                <w:sz w:val="22"/>
              </w:rPr>
            </w:pPr>
          </w:p>
        </w:tc>
        <w:tc>
          <w:tcPr>
            <w:tcW w:w="3096" w:type="dxa"/>
          </w:tcPr>
          <w:p w14:paraId="5A576A81" w14:textId="77777777" w:rsidR="004462A0" w:rsidRPr="008B0DDF" w:rsidRDefault="004462A0" w:rsidP="00F675CF">
            <w:pPr>
              <w:numPr>
                <w:ilvl w:val="12"/>
                <w:numId w:val="0"/>
              </w:numPr>
              <w:suppressAutoHyphens/>
              <w:ind w:right="-2"/>
              <w:rPr>
                <w:sz w:val="22"/>
              </w:rPr>
            </w:pPr>
          </w:p>
        </w:tc>
      </w:tr>
      <w:tr w:rsidR="00A7162A" w14:paraId="0B86AE0F" w14:textId="77777777" w:rsidTr="00F675CF">
        <w:tc>
          <w:tcPr>
            <w:tcW w:w="3095" w:type="dxa"/>
          </w:tcPr>
          <w:p w14:paraId="4C31884F" w14:textId="77777777" w:rsidR="004462A0" w:rsidRPr="008B0DDF" w:rsidRDefault="00615769">
            <w:pPr>
              <w:numPr>
                <w:ilvl w:val="12"/>
                <w:numId w:val="0"/>
              </w:numPr>
              <w:suppressAutoHyphens/>
              <w:ind w:right="-2"/>
              <w:rPr>
                <w:sz w:val="22"/>
              </w:rPr>
            </w:pPr>
            <w:r w:rsidRPr="008B0DDF">
              <w:rPr>
                <w:sz w:val="22"/>
              </w:rPr>
              <w:t>Crianças</w:t>
            </w:r>
            <w:r w:rsidR="00C0208A">
              <w:rPr>
                <w:sz w:val="22"/>
              </w:rPr>
              <w:t xml:space="preserve">, </w:t>
            </w:r>
            <w:r w:rsidRPr="008B0DDF">
              <w:rPr>
                <w:sz w:val="22"/>
              </w:rPr>
              <w:t xml:space="preserve">adolescentes </w:t>
            </w:r>
            <w:r w:rsidR="00C0208A">
              <w:rPr>
                <w:sz w:val="22"/>
              </w:rPr>
              <w:t xml:space="preserve">e adultos </w:t>
            </w:r>
            <w:r w:rsidRPr="008B0DDF">
              <w:rPr>
                <w:sz w:val="22"/>
              </w:rPr>
              <w:t xml:space="preserve">a partir dos 6 anos de idade com peso igual ou superior a 40 kg </w:t>
            </w:r>
          </w:p>
        </w:tc>
        <w:tc>
          <w:tcPr>
            <w:tcW w:w="3096" w:type="dxa"/>
          </w:tcPr>
          <w:p w14:paraId="2347285A" w14:textId="77777777" w:rsidR="004462A0" w:rsidRDefault="00615769" w:rsidP="00F675CF">
            <w:pPr>
              <w:tabs>
                <w:tab w:val="left" w:pos="562"/>
              </w:tabs>
              <w:suppressAutoHyphens/>
              <w:rPr>
                <w:sz w:val="22"/>
              </w:rPr>
            </w:pPr>
            <w:r w:rsidRPr="008B0DDF">
              <w:rPr>
                <w:sz w:val="22"/>
              </w:rPr>
              <w:t>Uma dose inicial de 80 mg (</w:t>
            </w:r>
            <w:r>
              <w:rPr>
                <w:sz w:val="22"/>
              </w:rPr>
              <w:t>uma injeção</w:t>
            </w:r>
            <w:r w:rsidRPr="008B0DDF">
              <w:rPr>
                <w:sz w:val="22"/>
              </w:rPr>
              <w:t xml:space="preserve"> de </w:t>
            </w:r>
            <w:r>
              <w:rPr>
                <w:sz w:val="22"/>
              </w:rPr>
              <w:t>8</w:t>
            </w:r>
            <w:r w:rsidRPr="008B0DDF">
              <w:rPr>
                <w:sz w:val="22"/>
              </w:rPr>
              <w:t>0 mg), seguida de 40 mg duas semanas após a dose inicial.</w:t>
            </w:r>
          </w:p>
          <w:p w14:paraId="7BE3BC83" w14:textId="77777777" w:rsidR="004462A0" w:rsidRPr="008B0DDF" w:rsidRDefault="004462A0" w:rsidP="00F675CF">
            <w:pPr>
              <w:tabs>
                <w:tab w:val="left" w:pos="562"/>
              </w:tabs>
              <w:suppressAutoHyphens/>
              <w:rPr>
                <w:sz w:val="22"/>
              </w:rPr>
            </w:pPr>
          </w:p>
          <w:p w14:paraId="6AC3FA27" w14:textId="77777777" w:rsidR="004462A0" w:rsidRDefault="00615769" w:rsidP="00F675CF">
            <w:pPr>
              <w:numPr>
                <w:ilvl w:val="12"/>
                <w:numId w:val="0"/>
              </w:numPr>
              <w:suppressAutoHyphens/>
              <w:rPr>
                <w:sz w:val="22"/>
              </w:rPr>
            </w:pPr>
            <w:r w:rsidRPr="008B0DDF">
              <w:rPr>
                <w:sz w:val="22"/>
              </w:rPr>
              <w:t>Se é necessária uma resposta mais rápida, o médico pode prescrever uma dose inicial de 160 mg (</w:t>
            </w:r>
            <w:r>
              <w:rPr>
                <w:sz w:val="22"/>
              </w:rPr>
              <w:t xml:space="preserve">duas </w:t>
            </w:r>
            <w:r w:rsidRPr="008B0DDF">
              <w:rPr>
                <w:sz w:val="22"/>
              </w:rPr>
              <w:t xml:space="preserve">injeções de </w:t>
            </w:r>
            <w:r>
              <w:rPr>
                <w:sz w:val="22"/>
              </w:rPr>
              <w:t>8</w:t>
            </w:r>
            <w:r w:rsidRPr="008B0DDF">
              <w:rPr>
                <w:sz w:val="22"/>
              </w:rPr>
              <w:t xml:space="preserve">0 mg num dia ou </w:t>
            </w:r>
            <w:r>
              <w:rPr>
                <w:sz w:val="22"/>
              </w:rPr>
              <w:t xml:space="preserve">uma injeção </w:t>
            </w:r>
            <w:r w:rsidRPr="008B0DDF">
              <w:rPr>
                <w:sz w:val="22"/>
              </w:rPr>
              <w:t xml:space="preserve">de </w:t>
            </w:r>
            <w:r>
              <w:rPr>
                <w:sz w:val="22"/>
              </w:rPr>
              <w:t>8</w:t>
            </w:r>
            <w:r w:rsidRPr="008B0DDF">
              <w:rPr>
                <w:sz w:val="22"/>
              </w:rPr>
              <w:t>0 mg por dia em dois dias consecutivos), seguida de 80 mg (</w:t>
            </w:r>
            <w:r>
              <w:rPr>
                <w:sz w:val="22"/>
              </w:rPr>
              <w:t xml:space="preserve">uma injeção </w:t>
            </w:r>
            <w:r w:rsidRPr="008B0DDF">
              <w:rPr>
                <w:sz w:val="22"/>
              </w:rPr>
              <w:t xml:space="preserve">de </w:t>
            </w:r>
            <w:r>
              <w:rPr>
                <w:sz w:val="22"/>
              </w:rPr>
              <w:t>8</w:t>
            </w:r>
            <w:r w:rsidRPr="008B0DDF">
              <w:rPr>
                <w:sz w:val="22"/>
              </w:rPr>
              <w:t xml:space="preserve">0 mg) duas semanas após a </w:t>
            </w:r>
            <w:r w:rsidRPr="00854C93">
              <w:rPr>
                <w:sz w:val="22"/>
              </w:rPr>
              <w:t xml:space="preserve">dose inicial. </w:t>
            </w:r>
          </w:p>
          <w:p w14:paraId="7B60A113" w14:textId="77777777" w:rsidR="004462A0" w:rsidRPr="008B0DDF" w:rsidRDefault="004462A0" w:rsidP="00F675CF">
            <w:pPr>
              <w:numPr>
                <w:ilvl w:val="12"/>
                <w:numId w:val="0"/>
              </w:numPr>
              <w:suppressAutoHyphens/>
              <w:rPr>
                <w:sz w:val="22"/>
              </w:rPr>
            </w:pPr>
          </w:p>
          <w:p w14:paraId="45106038" w14:textId="77777777" w:rsidR="004462A0" w:rsidRPr="006462E3" w:rsidRDefault="00615769" w:rsidP="00F675CF">
            <w:pPr>
              <w:numPr>
                <w:ilvl w:val="12"/>
                <w:numId w:val="0"/>
              </w:numPr>
              <w:suppressAutoHyphens/>
              <w:ind w:right="-2"/>
              <w:rPr>
                <w:sz w:val="22"/>
              </w:rPr>
            </w:pPr>
            <w:r w:rsidRPr="00454F99">
              <w:rPr>
                <w:sz w:val="22"/>
              </w:rPr>
              <w:t>Depois disso, a dose habitual é 40</w:t>
            </w:r>
            <w:r w:rsidRPr="004F0FBC">
              <w:rPr>
                <w:sz w:val="22"/>
              </w:rPr>
              <w:t> </w:t>
            </w:r>
            <w:r w:rsidRPr="006462E3">
              <w:rPr>
                <w:sz w:val="22"/>
              </w:rPr>
              <w:t>mg em semanas alternadas.</w:t>
            </w:r>
          </w:p>
        </w:tc>
        <w:tc>
          <w:tcPr>
            <w:tcW w:w="3096" w:type="dxa"/>
          </w:tcPr>
          <w:p w14:paraId="20482A2C" w14:textId="77777777" w:rsidR="004462A0" w:rsidRPr="008B0DDF" w:rsidRDefault="00615769">
            <w:pPr>
              <w:tabs>
                <w:tab w:val="left" w:pos="562"/>
              </w:tabs>
              <w:suppressAutoHyphens/>
              <w:spacing w:before="100" w:beforeAutospacing="1" w:after="100" w:afterAutospacing="1"/>
              <w:rPr>
                <w:sz w:val="22"/>
              </w:rPr>
            </w:pPr>
            <w:r w:rsidRPr="009A05BE">
              <w:rPr>
                <w:sz w:val="22"/>
              </w:rPr>
              <w:t>O seu mé</w:t>
            </w:r>
            <w:r w:rsidRPr="00854C93">
              <w:rPr>
                <w:sz w:val="22"/>
              </w:rPr>
              <w:t>dico pode aumentar a dose para 40</w:t>
            </w:r>
            <w:r w:rsidRPr="0089156B">
              <w:rPr>
                <w:sz w:val="22"/>
              </w:rPr>
              <w:t> </w:t>
            </w:r>
            <w:r w:rsidRPr="000B3FE3">
              <w:rPr>
                <w:sz w:val="22"/>
              </w:rPr>
              <w:t>mg por semana</w:t>
            </w:r>
            <w:r w:rsidR="00781925">
              <w:rPr>
                <w:sz w:val="22"/>
              </w:rPr>
              <w:t xml:space="preserve"> ou 80 mg em semanas alternadas</w:t>
            </w:r>
            <w:r w:rsidRPr="000B3FE3">
              <w:rPr>
                <w:sz w:val="22"/>
              </w:rPr>
              <w:t>.</w:t>
            </w:r>
          </w:p>
        </w:tc>
      </w:tr>
      <w:tr w:rsidR="00A7162A" w14:paraId="4A8A96E5" w14:textId="77777777" w:rsidTr="00F675CF">
        <w:tc>
          <w:tcPr>
            <w:tcW w:w="3095" w:type="dxa"/>
          </w:tcPr>
          <w:p w14:paraId="48D02148" w14:textId="77777777" w:rsidR="004462A0" w:rsidRPr="006462E3" w:rsidRDefault="00615769">
            <w:pPr>
              <w:keepNext/>
              <w:numPr>
                <w:ilvl w:val="12"/>
                <w:numId w:val="0"/>
              </w:numPr>
              <w:suppressAutoHyphens/>
              <w:ind w:right="-2"/>
              <w:rPr>
                <w:sz w:val="22"/>
              </w:rPr>
            </w:pPr>
            <w:r w:rsidRPr="00454F99">
              <w:rPr>
                <w:sz w:val="22"/>
              </w:rPr>
              <w:t xml:space="preserve">Crianças e adolescentes </w:t>
            </w:r>
            <w:r w:rsidR="00C0208A">
              <w:rPr>
                <w:sz w:val="22"/>
              </w:rPr>
              <w:t>entre os</w:t>
            </w:r>
            <w:r w:rsidRPr="00454F99">
              <w:rPr>
                <w:sz w:val="22"/>
              </w:rPr>
              <w:t xml:space="preserve"> 6 </w:t>
            </w:r>
            <w:r w:rsidR="00C0208A">
              <w:rPr>
                <w:sz w:val="22"/>
              </w:rPr>
              <w:t xml:space="preserve">e os 17 </w:t>
            </w:r>
            <w:r w:rsidRPr="00454F99">
              <w:rPr>
                <w:sz w:val="22"/>
              </w:rPr>
              <w:t>anos</w:t>
            </w:r>
            <w:r w:rsidRPr="004F0FBC">
              <w:rPr>
                <w:sz w:val="22"/>
              </w:rPr>
              <w:t xml:space="preserve"> de idade com peso inferior a </w:t>
            </w:r>
            <w:r w:rsidRPr="006462E3">
              <w:rPr>
                <w:sz w:val="22"/>
              </w:rPr>
              <w:t>40 kg</w:t>
            </w:r>
          </w:p>
        </w:tc>
        <w:tc>
          <w:tcPr>
            <w:tcW w:w="3096" w:type="dxa"/>
          </w:tcPr>
          <w:p w14:paraId="7399AAF5" w14:textId="77777777" w:rsidR="004462A0" w:rsidRDefault="00615769" w:rsidP="00F675CF">
            <w:pPr>
              <w:keepNext/>
              <w:tabs>
                <w:tab w:val="left" w:pos="562"/>
              </w:tabs>
              <w:suppressAutoHyphens/>
              <w:rPr>
                <w:sz w:val="22"/>
              </w:rPr>
            </w:pPr>
            <w:r w:rsidRPr="009A05BE">
              <w:rPr>
                <w:sz w:val="22"/>
              </w:rPr>
              <w:t>Uma dose inicial de 40 </w:t>
            </w:r>
            <w:r w:rsidRPr="00854C93">
              <w:rPr>
                <w:sz w:val="22"/>
              </w:rPr>
              <w:t xml:space="preserve">mg, </w:t>
            </w:r>
            <w:r w:rsidRPr="0089156B">
              <w:rPr>
                <w:sz w:val="22"/>
              </w:rPr>
              <w:t xml:space="preserve">seguida de </w:t>
            </w:r>
            <w:r w:rsidRPr="000B3FE3">
              <w:rPr>
                <w:sz w:val="22"/>
              </w:rPr>
              <w:t>20 </w:t>
            </w:r>
            <w:r w:rsidRPr="004931CE">
              <w:rPr>
                <w:sz w:val="22"/>
              </w:rPr>
              <w:t xml:space="preserve">mg </w:t>
            </w:r>
            <w:r w:rsidRPr="00653128">
              <w:rPr>
                <w:sz w:val="22"/>
              </w:rPr>
              <w:t>duas semanas após a dose inicial</w:t>
            </w:r>
            <w:r w:rsidRPr="00D33370">
              <w:rPr>
                <w:sz w:val="22"/>
              </w:rPr>
              <w:t xml:space="preserve">. </w:t>
            </w:r>
          </w:p>
          <w:p w14:paraId="6940771B" w14:textId="77777777" w:rsidR="004462A0" w:rsidRPr="00D33370" w:rsidRDefault="004462A0" w:rsidP="00F675CF">
            <w:pPr>
              <w:keepNext/>
              <w:tabs>
                <w:tab w:val="left" w:pos="562"/>
              </w:tabs>
              <w:suppressAutoHyphens/>
              <w:rPr>
                <w:sz w:val="22"/>
              </w:rPr>
            </w:pPr>
          </w:p>
          <w:p w14:paraId="69263B9F" w14:textId="77777777" w:rsidR="004462A0" w:rsidRDefault="00615769" w:rsidP="00F675CF">
            <w:pPr>
              <w:keepNext/>
              <w:numPr>
                <w:ilvl w:val="12"/>
                <w:numId w:val="0"/>
              </w:numPr>
              <w:suppressAutoHyphens/>
              <w:rPr>
                <w:sz w:val="22"/>
              </w:rPr>
            </w:pPr>
            <w:r w:rsidRPr="002D4DE5">
              <w:rPr>
                <w:sz w:val="22"/>
              </w:rPr>
              <w:t>Se é necessária uma resposta mais rápida, o seu m</w:t>
            </w:r>
            <w:r>
              <w:rPr>
                <w:sz w:val="22"/>
              </w:rPr>
              <w:t>é</w:t>
            </w:r>
            <w:r w:rsidRPr="00454F99">
              <w:rPr>
                <w:sz w:val="22"/>
              </w:rPr>
              <w:t xml:space="preserve">dico pode prescrever uma dose inicial de </w:t>
            </w:r>
            <w:r w:rsidRPr="004F0FBC">
              <w:rPr>
                <w:sz w:val="22"/>
              </w:rPr>
              <w:t>80</w:t>
            </w:r>
            <w:r w:rsidRPr="006462E3">
              <w:rPr>
                <w:sz w:val="22"/>
              </w:rPr>
              <w:t> mg (</w:t>
            </w:r>
            <w:r>
              <w:rPr>
                <w:sz w:val="22"/>
              </w:rPr>
              <w:t xml:space="preserve">uma injeção </w:t>
            </w:r>
            <w:r w:rsidRPr="009A05BE">
              <w:rPr>
                <w:sz w:val="22"/>
              </w:rPr>
              <w:t xml:space="preserve">de </w:t>
            </w:r>
            <w:r>
              <w:rPr>
                <w:sz w:val="22"/>
              </w:rPr>
              <w:t>8</w:t>
            </w:r>
            <w:r w:rsidRPr="009A05BE">
              <w:rPr>
                <w:sz w:val="22"/>
              </w:rPr>
              <w:t>0 </w:t>
            </w:r>
            <w:r w:rsidRPr="00854C93">
              <w:rPr>
                <w:sz w:val="22"/>
              </w:rPr>
              <w:t>mg</w:t>
            </w:r>
            <w:r w:rsidRPr="0089156B">
              <w:rPr>
                <w:sz w:val="22"/>
              </w:rPr>
              <w:t>)</w:t>
            </w:r>
            <w:r w:rsidRPr="000B3FE3">
              <w:rPr>
                <w:sz w:val="22"/>
              </w:rPr>
              <w:t>, seguida de 40</w:t>
            </w:r>
            <w:r w:rsidRPr="004931CE">
              <w:rPr>
                <w:sz w:val="22"/>
              </w:rPr>
              <w:t> </w:t>
            </w:r>
            <w:r w:rsidRPr="00653128">
              <w:rPr>
                <w:sz w:val="22"/>
              </w:rPr>
              <w:t xml:space="preserve">mg duas semanas após a dose inicial. </w:t>
            </w:r>
          </w:p>
          <w:p w14:paraId="7ACA236A" w14:textId="77777777" w:rsidR="004462A0" w:rsidRPr="00D33370" w:rsidRDefault="004462A0" w:rsidP="00F675CF">
            <w:pPr>
              <w:keepNext/>
              <w:numPr>
                <w:ilvl w:val="12"/>
                <w:numId w:val="0"/>
              </w:numPr>
              <w:suppressAutoHyphens/>
              <w:rPr>
                <w:sz w:val="22"/>
              </w:rPr>
            </w:pPr>
          </w:p>
          <w:p w14:paraId="37BDA5D9" w14:textId="77777777" w:rsidR="004462A0" w:rsidRPr="005F6F98" w:rsidRDefault="00615769" w:rsidP="00F675CF">
            <w:pPr>
              <w:keepNext/>
              <w:numPr>
                <w:ilvl w:val="12"/>
                <w:numId w:val="0"/>
              </w:numPr>
              <w:suppressAutoHyphens/>
              <w:rPr>
                <w:sz w:val="22"/>
              </w:rPr>
            </w:pPr>
            <w:r w:rsidRPr="002D4DE5">
              <w:rPr>
                <w:sz w:val="22"/>
              </w:rPr>
              <w:t xml:space="preserve">Depois disso, a dose habitual é </w:t>
            </w:r>
            <w:r w:rsidRPr="00003560">
              <w:rPr>
                <w:sz w:val="22"/>
              </w:rPr>
              <w:t>2</w:t>
            </w:r>
            <w:r w:rsidRPr="005F6F98">
              <w:rPr>
                <w:sz w:val="22"/>
              </w:rPr>
              <w:t>0 mg em semanas alternadas.</w:t>
            </w:r>
          </w:p>
        </w:tc>
        <w:tc>
          <w:tcPr>
            <w:tcW w:w="3096" w:type="dxa"/>
          </w:tcPr>
          <w:p w14:paraId="019057EB" w14:textId="77777777" w:rsidR="004462A0" w:rsidRPr="008B0DDF" w:rsidRDefault="00615769" w:rsidP="00F675CF">
            <w:pPr>
              <w:tabs>
                <w:tab w:val="left" w:pos="562"/>
              </w:tabs>
              <w:suppressAutoHyphens/>
              <w:spacing w:before="100" w:beforeAutospacing="1" w:after="100" w:afterAutospacing="1"/>
              <w:rPr>
                <w:sz w:val="22"/>
              </w:rPr>
            </w:pPr>
            <w:r w:rsidRPr="002B2441">
              <w:rPr>
                <w:sz w:val="22"/>
              </w:rPr>
              <w:t>O seu mé</w:t>
            </w:r>
            <w:r w:rsidRPr="00B830EC">
              <w:rPr>
                <w:sz w:val="22"/>
              </w:rPr>
              <w:t>dico pode aumentar a frequência da dose para 20</w:t>
            </w:r>
            <w:r>
              <w:rPr>
                <w:sz w:val="22"/>
              </w:rPr>
              <w:t> </w:t>
            </w:r>
            <w:r w:rsidRPr="00B830EC">
              <w:rPr>
                <w:sz w:val="22"/>
              </w:rPr>
              <w:t>mg por semana.</w:t>
            </w:r>
          </w:p>
          <w:p w14:paraId="19897CEF" w14:textId="77777777" w:rsidR="004462A0" w:rsidRPr="008B0DDF" w:rsidRDefault="004462A0" w:rsidP="00F675CF">
            <w:pPr>
              <w:numPr>
                <w:ilvl w:val="12"/>
                <w:numId w:val="0"/>
              </w:numPr>
              <w:suppressAutoHyphens/>
              <w:spacing w:before="100" w:beforeAutospacing="1" w:after="100" w:afterAutospacing="1"/>
              <w:ind w:right="-2"/>
              <w:rPr>
                <w:sz w:val="22"/>
              </w:rPr>
            </w:pPr>
          </w:p>
        </w:tc>
      </w:tr>
    </w:tbl>
    <w:p w14:paraId="41CBABC4" w14:textId="77777777" w:rsidR="004462A0" w:rsidRPr="008B0DDF" w:rsidRDefault="004462A0" w:rsidP="004462A0">
      <w:pPr>
        <w:numPr>
          <w:ilvl w:val="12"/>
          <w:numId w:val="0"/>
        </w:numPr>
        <w:suppressAutoHyphens/>
        <w:ind w:right="-2"/>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3031"/>
        <w:gridCol w:w="3018"/>
      </w:tblGrid>
      <w:tr w:rsidR="00A7162A" w14:paraId="5887D53A" w14:textId="77777777" w:rsidTr="00BD6D29">
        <w:tc>
          <w:tcPr>
            <w:tcW w:w="9061" w:type="dxa"/>
            <w:gridSpan w:val="3"/>
          </w:tcPr>
          <w:p w14:paraId="3D8954D2" w14:textId="77777777" w:rsidR="004462A0" w:rsidRPr="008B0DDF" w:rsidRDefault="00615769" w:rsidP="001F27FE">
            <w:pPr>
              <w:keepNext/>
              <w:numPr>
                <w:ilvl w:val="12"/>
                <w:numId w:val="0"/>
              </w:numPr>
              <w:suppressAutoHyphens/>
              <w:ind w:right="-2"/>
              <w:rPr>
                <w:b/>
                <w:sz w:val="22"/>
              </w:rPr>
            </w:pPr>
            <w:r w:rsidRPr="008B0DDF">
              <w:rPr>
                <w:b/>
                <w:sz w:val="22"/>
                <w:szCs w:val="22"/>
              </w:rPr>
              <w:t>Colite ulcerosa</w:t>
            </w:r>
          </w:p>
        </w:tc>
      </w:tr>
      <w:tr w:rsidR="00A7162A" w14:paraId="2B7A2E15" w14:textId="77777777" w:rsidTr="00BD6D29">
        <w:tc>
          <w:tcPr>
            <w:tcW w:w="3012" w:type="dxa"/>
          </w:tcPr>
          <w:p w14:paraId="6E0C0336" w14:textId="77777777" w:rsidR="004462A0" w:rsidRPr="008B0DDF" w:rsidRDefault="00615769" w:rsidP="001F27FE">
            <w:pPr>
              <w:keepNext/>
              <w:numPr>
                <w:ilvl w:val="12"/>
                <w:numId w:val="0"/>
              </w:numPr>
              <w:suppressAutoHyphens/>
              <w:ind w:right="-2"/>
              <w:rPr>
                <w:sz w:val="22"/>
              </w:rPr>
            </w:pPr>
            <w:r w:rsidRPr="008B0DDF">
              <w:rPr>
                <w:b/>
                <w:sz w:val="22"/>
              </w:rPr>
              <w:t>Idade ou peso corporal</w:t>
            </w:r>
          </w:p>
        </w:tc>
        <w:tc>
          <w:tcPr>
            <w:tcW w:w="3031" w:type="dxa"/>
          </w:tcPr>
          <w:p w14:paraId="5DE41318" w14:textId="77777777" w:rsidR="004462A0" w:rsidRPr="006462E3" w:rsidRDefault="00615769" w:rsidP="001F27FE">
            <w:pPr>
              <w:keepNext/>
              <w:numPr>
                <w:ilvl w:val="12"/>
                <w:numId w:val="0"/>
              </w:numPr>
              <w:suppressAutoHyphens/>
              <w:ind w:right="-2"/>
              <w:rPr>
                <w:sz w:val="22"/>
              </w:rPr>
            </w:pPr>
            <w:r w:rsidRPr="00454F99">
              <w:rPr>
                <w:b/>
                <w:sz w:val="22"/>
              </w:rPr>
              <w:t>Qual a dose e com que frequênc</w:t>
            </w:r>
            <w:r w:rsidRPr="004F0FBC">
              <w:rPr>
                <w:b/>
                <w:sz w:val="22"/>
              </w:rPr>
              <w:t>ia se deve tomar?</w:t>
            </w:r>
          </w:p>
        </w:tc>
        <w:tc>
          <w:tcPr>
            <w:tcW w:w="3018" w:type="dxa"/>
          </w:tcPr>
          <w:p w14:paraId="11BD6FE4" w14:textId="77777777" w:rsidR="004462A0" w:rsidRPr="008B0DDF" w:rsidRDefault="00615769" w:rsidP="001F27FE">
            <w:pPr>
              <w:keepNext/>
              <w:numPr>
                <w:ilvl w:val="12"/>
                <w:numId w:val="0"/>
              </w:numPr>
              <w:suppressAutoHyphens/>
              <w:ind w:right="-2"/>
              <w:rPr>
                <w:sz w:val="22"/>
              </w:rPr>
            </w:pPr>
            <w:r w:rsidRPr="008B0DDF">
              <w:rPr>
                <w:b/>
                <w:sz w:val="22"/>
              </w:rPr>
              <w:t>Notas</w:t>
            </w:r>
          </w:p>
        </w:tc>
      </w:tr>
      <w:tr w:rsidR="00A7162A" w14:paraId="3A215C1D" w14:textId="77777777" w:rsidTr="00BD6D29">
        <w:tc>
          <w:tcPr>
            <w:tcW w:w="3012" w:type="dxa"/>
          </w:tcPr>
          <w:p w14:paraId="0946B493" w14:textId="77777777" w:rsidR="004462A0" w:rsidRPr="008B0DDF" w:rsidRDefault="00615769" w:rsidP="001F27FE">
            <w:pPr>
              <w:keepNext/>
              <w:numPr>
                <w:ilvl w:val="12"/>
                <w:numId w:val="0"/>
              </w:numPr>
              <w:suppressAutoHyphens/>
              <w:ind w:right="-2"/>
              <w:rPr>
                <w:sz w:val="22"/>
              </w:rPr>
            </w:pPr>
            <w:r w:rsidRPr="008B0DDF">
              <w:rPr>
                <w:sz w:val="22"/>
              </w:rPr>
              <w:t>Adultos</w:t>
            </w:r>
          </w:p>
        </w:tc>
        <w:tc>
          <w:tcPr>
            <w:tcW w:w="3031" w:type="dxa"/>
          </w:tcPr>
          <w:p w14:paraId="788A0FD0" w14:textId="77777777" w:rsidR="004462A0" w:rsidRDefault="00615769" w:rsidP="001F27FE">
            <w:pPr>
              <w:keepNext/>
              <w:numPr>
                <w:ilvl w:val="12"/>
                <w:numId w:val="0"/>
              </w:numPr>
              <w:suppressAutoHyphens/>
              <w:rPr>
                <w:sz w:val="22"/>
              </w:rPr>
            </w:pPr>
            <w:r w:rsidRPr="00454F99">
              <w:rPr>
                <w:sz w:val="22"/>
              </w:rPr>
              <w:t>Uma dose inicial de 160 mg (</w:t>
            </w:r>
            <w:r>
              <w:rPr>
                <w:sz w:val="22"/>
              </w:rPr>
              <w:t xml:space="preserve">duas </w:t>
            </w:r>
            <w:r w:rsidRPr="00454F99">
              <w:rPr>
                <w:sz w:val="22"/>
              </w:rPr>
              <w:t xml:space="preserve">injeções de </w:t>
            </w:r>
            <w:r>
              <w:rPr>
                <w:sz w:val="22"/>
              </w:rPr>
              <w:t>8</w:t>
            </w:r>
            <w:r w:rsidRPr="00454F99">
              <w:rPr>
                <w:sz w:val="22"/>
              </w:rPr>
              <w:t>0</w:t>
            </w:r>
            <w:r w:rsidRPr="004F0FBC">
              <w:rPr>
                <w:sz w:val="22"/>
              </w:rPr>
              <w:t> </w:t>
            </w:r>
            <w:r w:rsidRPr="006462E3">
              <w:rPr>
                <w:sz w:val="22"/>
              </w:rPr>
              <w:t xml:space="preserve">mg num dia </w:t>
            </w:r>
            <w:r w:rsidRPr="009A05BE">
              <w:rPr>
                <w:sz w:val="22"/>
              </w:rPr>
              <w:t>ou</w:t>
            </w:r>
            <w:r>
              <w:rPr>
                <w:sz w:val="22"/>
              </w:rPr>
              <w:t xml:space="preserve"> uma injeção de 8</w:t>
            </w:r>
            <w:r w:rsidRPr="009A05BE">
              <w:rPr>
                <w:sz w:val="22"/>
              </w:rPr>
              <w:t>0 </w:t>
            </w:r>
            <w:r w:rsidRPr="00854C93">
              <w:rPr>
                <w:sz w:val="22"/>
              </w:rPr>
              <w:t>mg por dia em dois dias consecutivos), seguida de 80</w:t>
            </w:r>
            <w:r w:rsidRPr="0089156B">
              <w:rPr>
                <w:sz w:val="22"/>
              </w:rPr>
              <w:t> </w:t>
            </w:r>
            <w:r w:rsidRPr="004931CE">
              <w:rPr>
                <w:sz w:val="22"/>
              </w:rPr>
              <w:t>mg (</w:t>
            </w:r>
            <w:r>
              <w:rPr>
                <w:sz w:val="22"/>
              </w:rPr>
              <w:t>uma injeção</w:t>
            </w:r>
            <w:r w:rsidRPr="00653128">
              <w:rPr>
                <w:sz w:val="22"/>
              </w:rPr>
              <w:t xml:space="preserve"> de </w:t>
            </w:r>
            <w:r>
              <w:rPr>
                <w:sz w:val="22"/>
              </w:rPr>
              <w:t>8</w:t>
            </w:r>
            <w:r w:rsidRPr="00653128">
              <w:rPr>
                <w:sz w:val="22"/>
              </w:rPr>
              <w:t>0</w:t>
            </w:r>
            <w:r w:rsidRPr="00D33370">
              <w:rPr>
                <w:sz w:val="22"/>
              </w:rPr>
              <w:t> </w:t>
            </w:r>
            <w:r w:rsidRPr="00003560">
              <w:rPr>
                <w:sz w:val="22"/>
              </w:rPr>
              <w:t>mg) duas semanas após a dose inicial.</w:t>
            </w:r>
          </w:p>
          <w:p w14:paraId="638DA967" w14:textId="77777777" w:rsidR="004462A0" w:rsidRPr="00003560" w:rsidRDefault="004462A0" w:rsidP="001F27FE">
            <w:pPr>
              <w:keepNext/>
              <w:numPr>
                <w:ilvl w:val="12"/>
                <w:numId w:val="0"/>
              </w:numPr>
              <w:suppressAutoHyphens/>
              <w:rPr>
                <w:sz w:val="22"/>
              </w:rPr>
            </w:pPr>
          </w:p>
          <w:p w14:paraId="4CA8C496" w14:textId="77777777" w:rsidR="004462A0" w:rsidRPr="00B830EC" w:rsidRDefault="00615769" w:rsidP="001F27FE">
            <w:pPr>
              <w:keepNext/>
              <w:numPr>
                <w:ilvl w:val="12"/>
                <w:numId w:val="0"/>
              </w:numPr>
              <w:suppressAutoHyphens/>
              <w:rPr>
                <w:sz w:val="22"/>
              </w:rPr>
            </w:pPr>
            <w:r w:rsidRPr="005F6F98">
              <w:rPr>
                <w:sz w:val="22"/>
              </w:rPr>
              <w:t>Depois disso, a dose habitual é 40</w:t>
            </w:r>
            <w:r w:rsidRPr="002B2441">
              <w:rPr>
                <w:sz w:val="22"/>
              </w:rPr>
              <w:t> mg em semanas alternadas.</w:t>
            </w:r>
          </w:p>
        </w:tc>
        <w:tc>
          <w:tcPr>
            <w:tcW w:w="3018" w:type="dxa"/>
          </w:tcPr>
          <w:p w14:paraId="018A851D" w14:textId="77777777" w:rsidR="004462A0" w:rsidRPr="008B0DDF" w:rsidRDefault="00615769" w:rsidP="001F27FE">
            <w:pPr>
              <w:keepNext/>
              <w:numPr>
                <w:ilvl w:val="12"/>
                <w:numId w:val="0"/>
              </w:numPr>
              <w:suppressAutoHyphens/>
              <w:ind w:right="-2"/>
              <w:rPr>
                <w:sz w:val="22"/>
              </w:rPr>
            </w:pPr>
            <w:r w:rsidRPr="008B0DDF">
              <w:rPr>
                <w:sz w:val="22"/>
              </w:rPr>
              <w:t>O seu médico pode aumentar a dose para 40 mg por semana</w:t>
            </w:r>
            <w:r w:rsidR="00781925">
              <w:rPr>
                <w:sz w:val="22"/>
              </w:rPr>
              <w:t xml:space="preserve"> ou 80 mg em semanas alternadas</w:t>
            </w:r>
            <w:r w:rsidRPr="008B0DDF">
              <w:rPr>
                <w:sz w:val="22"/>
              </w:rPr>
              <w:t>.</w:t>
            </w:r>
          </w:p>
        </w:tc>
      </w:tr>
      <w:tr w:rsidR="00A7162A" w14:paraId="5C5E4324" w14:textId="77777777" w:rsidTr="00BD6D29">
        <w:tc>
          <w:tcPr>
            <w:tcW w:w="3012" w:type="dxa"/>
          </w:tcPr>
          <w:p w14:paraId="2CD78F51" w14:textId="77777777" w:rsidR="00BD6D29" w:rsidRPr="00BD6D29" w:rsidRDefault="00615769" w:rsidP="00BD6D29">
            <w:pPr>
              <w:keepNext/>
              <w:numPr>
                <w:ilvl w:val="12"/>
                <w:numId w:val="0"/>
              </w:numPr>
              <w:suppressAutoHyphens/>
              <w:ind w:right="-2"/>
              <w:rPr>
                <w:sz w:val="22"/>
                <w:szCs w:val="22"/>
              </w:rPr>
            </w:pPr>
            <w:r w:rsidRPr="00BD6D29">
              <w:rPr>
                <w:sz w:val="22"/>
                <w:szCs w:val="22"/>
              </w:rPr>
              <w:t>Crianças e adolescentes a partir dos 6 anos de idade com peso inferior a 40 kg</w:t>
            </w:r>
          </w:p>
        </w:tc>
        <w:tc>
          <w:tcPr>
            <w:tcW w:w="3031" w:type="dxa"/>
          </w:tcPr>
          <w:p w14:paraId="64A1E001" w14:textId="77777777" w:rsidR="00BD6D29" w:rsidRPr="00BD6D29" w:rsidRDefault="00615769" w:rsidP="00BD6D29">
            <w:pPr>
              <w:numPr>
                <w:ilvl w:val="12"/>
                <w:numId w:val="0"/>
              </w:numPr>
              <w:rPr>
                <w:sz w:val="22"/>
                <w:szCs w:val="22"/>
              </w:rPr>
            </w:pPr>
            <w:r w:rsidRPr="00BD6D29">
              <w:rPr>
                <w:sz w:val="22"/>
                <w:szCs w:val="22"/>
              </w:rPr>
              <w:t>Uma dose inicial de 80 mg (uma injeção de 80 mg), seguida de 40 mg (uma injeção de 40 mg) duas semanas após a dose inicial.</w:t>
            </w:r>
          </w:p>
          <w:p w14:paraId="311B6E71" w14:textId="77777777" w:rsidR="00BD6D29" w:rsidRPr="00BD6D29" w:rsidRDefault="00BD6D29" w:rsidP="00BD6D29">
            <w:pPr>
              <w:numPr>
                <w:ilvl w:val="12"/>
                <w:numId w:val="0"/>
              </w:numPr>
              <w:rPr>
                <w:sz w:val="22"/>
                <w:szCs w:val="22"/>
              </w:rPr>
            </w:pPr>
          </w:p>
          <w:p w14:paraId="0468A3FF" w14:textId="77777777" w:rsidR="00BD6D29" w:rsidRPr="00BD6D29" w:rsidRDefault="00615769" w:rsidP="00BD6D29">
            <w:pPr>
              <w:keepNext/>
              <w:numPr>
                <w:ilvl w:val="12"/>
                <w:numId w:val="0"/>
              </w:numPr>
              <w:suppressAutoHyphens/>
              <w:rPr>
                <w:sz w:val="22"/>
                <w:szCs w:val="22"/>
              </w:rPr>
            </w:pPr>
            <w:r w:rsidRPr="00BD6D29">
              <w:rPr>
                <w:sz w:val="22"/>
                <w:szCs w:val="22"/>
              </w:rPr>
              <w:t>Depois disso, a dose habitual é de 40 mg em semanas alternadas.</w:t>
            </w:r>
          </w:p>
        </w:tc>
        <w:tc>
          <w:tcPr>
            <w:tcW w:w="3018" w:type="dxa"/>
          </w:tcPr>
          <w:p w14:paraId="3D6810EE" w14:textId="77777777" w:rsidR="00BD6D29" w:rsidRPr="00BD6D29" w:rsidRDefault="00615769" w:rsidP="00BD6D29">
            <w:pPr>
              <w:keepNext/>
              <w:numPr>
                <w:ilvl w:val="12"/>
                <w:numId w:val="0"/>
              </w:numPr>
              <w:suppressAutoHyphens/>
              <w:ind w:right="-2"/>
              <w:rPr>
                <w:sz w:val="22"/>
                <w:szCs w:val="22"/>
              </w:rPr>
            </w:pPr>
            <w:r w:rsidRPr="00BD6D29">
              <w:rPr>
                <w:sz w:val="22"/>
                <w:szCs w:val="22"/>
              </w:rPr>
              <w:t>Deve continuar a tomar a sua dose habitual de Humira, mesmo após completar 18 anos de idade.</w:t>
            </w:r>
          </w:p>
        </w:tc>
      </w:tr>
      <w:tr w:rsidR="00A7162A" w14:paraId="63FEB035" w14:textId="77777777" w:rsidTr="00BD6D29">
        <w:tc>
          <w:tcPr>
            <w:tcW w:w="3012" w:type="dxa"/>
          </w:tcPr>
          <w:p w14:paraId="27429D43" w14:textId="77777777" w:rsidR="00BD6D29" w:rsidRPr="00BD6D29" w:rsidRDefault="00615769" w:rsidP="00BD6D29">
            <w:pPr>
              <w:keepNext/>
              <w:numPr>
                <w:ilvl w:val="12"/>
                <w:numId w:val="0"/>
              </w:numPr>
              <w:suppressAutoHyphens/>
              <w:ind w:right="-2"/>
              <w:rPr>
                <w:sz w:val="22"/>
                <w:szCs w:val="22"/>
              </w:rPr>
            </w:pPr>
            <w:r w:rsidRPr="00BD6D29">
              <w:rPr>
                <w:sz w:val="22"/>
                <w:szCs w:val="22"/>
              </w:rPr>
              <w:t>Crianças e adolescentes a partir dos 6 anos de idade com peso igual ou superior a 40 kg</w:t>
            </w:r>
          </w:p>
        </w:tc>
        <w:tc>
          <w:tcPr>
            <w:tcW w:w="3031" w:type="dxa"/>
          </w:tcPr>
          <w:p w14:paraId="4197DD5F" w14:textId="77777777" w:rsidR="00BD6D29" w:rsidRPr="00BD6D29" w:rsidRDefault="00615769" w:rsidP="00BD6D29">
            <w:pPr>
              <w:numPr>
                <w:ilvl w:val="12"/>
                <w:numId w:val="0"/>
              </w:numPr>
              <w:rPr>
                <w:sz w:val="22"/>
                <w:szCs w:val="22"/>
              </w:rPr>
            </w:pPr>
            <w:r w:rsidRPr="00BD6D29">
              <w:rPr>
                <w:sz w:val="22"/>
                <w:szCs w:val="22"/>
              </w:rPr>
              <w:t>Uma dose inicial de 160 mg (duas injeções de 80 mg num dia ou uma injeção de 80 mg por dia, em dois dias consecutivos), seguida de 80 mg (uma injeção de 80 mg) duas semanas após a dose inicial.</w:t>
            </w:r>
          </w:p>
          <w:p w14:paraId="7A144AAB" w14:textId="77777777" w:rsidR="00BD6D29" w:rsidRPr="00BD6D29" w:rsidRDefault="00BD6D29" w:rsidP="00BD6D29">
            <w:pPr>
              <w:numPr>
                <w:ilvl w:val="12"/>
                <w:numId w:val="0"/>
              </w:numPr>
              <w:rPr>
                <w:sz w:val="22"/>
                <w:szCs w:val="22"/>
              </w:rPr>
            </w:pPr>
          </w:p>
          <w:p w14:paraId="7781750F" w14:textId="77777777" w:rsidR="00BD6D29" w:rsidRPr="00BD6D29" w:rsidRDefault="00615769" w:rsidP="00BD6D29">
            <w:pPr>
              <w:keepNext/>
              <w:numPr>
                <w:ilvl w:val="12"/>
                <w:numId w:val="0"/>
              </w:numPr>
              <w:suppressAutoHyphens/>
              <w:rPr>
                <w:sz w:val="22"/>
                <w:szCs w:val="22"/>
              </w:rPr>
            </w:pPr>
            <w:r w:rsidRPr="00BD6D29">
              <w:rPr>
                <w:sz w:val="22"/>
                <w:szCs w:val="22"/>
              </w:rPr>
              <w:t>Depois disso, a dose habitual é de 80 mg em semanas alternadas.</w:t>
            </w:r>
          </w:p>
        </w:tc>
        <w:tc>
          <w:tcPr>
            <w:tcW w:w="3018" w:type="dxa"/>
          </w:tcPr>
          <w:p w14:paraId="3C74B2DE" w14:textId="77777777" w:rsidR="00BD6D29" w:rsidRPr="00BD6D29" w:rsidRDefault="00615769" w:rsidP="00BD6D29">
            <w:pPr>
              <w:keepNext/>
              <w:numPr>
                <w:ilvl w:val="12"/>
                <w:numId w:val="0"/>
              </w:numPr>
              <w:suppressAutoHyphens/>
              <w:ind w:right="-2"/>
              <w:rPr>
                <w:sz w:val="22"/>
                <w:szCs w:val="22"/>
              </w:rPr>
            </w:pPr>
            <w:r w:rsidRPr="00BD6D29">
              <w:rPr>
                <w:sz w:val="22"/>
                <w:szCs w:val="22"/>
              </w:rPr>
              <w:t>Deve continuar a tomar a sua dose habitual de Humira, mesmo após completar 18 anos de idade.</w:t>
            </w:r>
          </w:p>
        </w:tc>
      </w:tr>
    </w:tbl>
    <w:p w14:paraId="3CBADEFC" w14:textId="77777777" w:rsidR="004462A0" w:rsidRPr="00BD6D29" w:rsidRDefault="00615769" w:rsidP="004462A0">
      <w:pPr>
        <w:ind w:right="-2"/>
        <w:rPr>
          <w:szCs w:val="22"/>
        </w:rPr>
      </w:pPr>
      <w:r w:rsidRPr="00BD6D29">
        <w:rPr>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13"/>
        <w:gridCol w:w="3031"/>
      </w:tblGrid>
      <w:tr w:rsidR="00A7162A" w14:paraId="453A4C58" w14:textId="77777777" w:rsidTr="00F675CF">
        <w:tc>
          <w:tcPr>
            <w:tcW w:w="9287" w:type="dxa"/>
            <w:gridSpan w:val="3"/>
          </w:tcPr>
          <w:p w14:paraId="68093B71" w14:textId="77777777" w:rsidR="004462A0" w:rsidRPr="00AA3C8F" w:rsidRDefault="00615769" w:rsidP="00040D46">
            <w:pPr>
              <w:numPr>
                <w:ilvl w:val="12"/>
                <w:numId w:val="0"/>
              </w:numPr>
              <w:suppressAutoHyphens/>
              <w:ind w:right="-2"/>
              <w:rPr>
                <w:b/>
                <w:sz w:val="22"/>
              </w:rPr>
            </w:pPr>
            <w:r>
              <w:rPr>
                <w:b/>
                <w:sz w:val="22"/>
                <w:szCs w:val="22"/>
              </w:rPr>
              <w:t>Uveíte não infecciosa</w:t>
            </w:r>
          </w:p>
        </w:tc>
      </w:tr>
      <w:tr w:rsidR="00A7162A" w14:paraId="715E57A6" w14:textId="77777777" w:rsidTr="00F675CF">
        <w:tc>
          <w:tcPr>
            <w:tcW w:w="3095" w:type="dxa"/>
          </w:tcPr>
          <w:p w14:paraId="688FB431" w14:textId="77777777" w:rsidR="004462A0" w:rsidRPr="00AA3C8F" w:rsidRDefault="00615769" w:rsidP="00040D46">
            <w:pPr>
              <w:numPr>
                <w:ilvl w:val="12"/>
                <w:numId w:val="0"/>
              </w:numPr>
              <w:suppressAutoHyphens/>
              <w:ind w:right="-2"/>
              <w:rPr>
                <w:sz w:val="22"/>
              </w:rPr>
            </w:pPr>
            <w:r w:rsidRPr="00AA3C8F">
              <w:rPr>
                <w:b/>
                <w:sz w:val="22"/>
              </w:rPr>
              <w:t>Idade ou peso corporal</w:t>
            </w:r>
          </w:p>
        </w:tc>
        <w:tc>
          <w:tcPr>
            <w:tcW w:w="3096" w:type="dxa"/>
          </w:tcPr>
          <w:p w14:paraId="6C00AF0A" w14:textId="77777777" w:rsidR="004462A0" w:rsidRPr="006462E3" w:rsidRDefault="00615769" w:rsidP="00040D46">
            <w:pPr>
              <w:numPr>
                <w:ilvl w:val="12"/>
                <w:numId w:val="0"/>
              </w:numPr>
              <w:suppressAutoHyphens/>
              <w:ind w:right="-2"/>
              <w:rPr>
                <w:sz w:val="22"/>
              </w:rPr>
            </w:pPr>
            <w:r w:rsidRPr="00454F99">
              <w:rPr>
                <w:b/>
                <w:sz w:val="22"/>
              </w:rPr>
              <w:t>Qual a dose e com que frequênc</w:t>
            </w:r>
            <w:r w:rsidRPr="004F0FBC">
              <w:rPr>
                <w:b/>
                <w:sz w:val="22"/>
              </w:rPr>
              <w:t>ia se deve tomar?</w:t>
            </w:r>
          </w:p>
        </w:tc>
        <w:tc>
          <w:tcPr>
            <w:tcW w:w="3096" w:type="dxa"/>
          </w:tcPr>
          <w:p w14:paraId="7147FA68" w14:textId="77777777" w:rsidR="004462A0" w:rsidRPr="00AA3C8F" w:rsidRDefault="00615769" w:rsidP="00040D46">
            <w:pPr>
              <w:numPr>
                <w:ilvl w:val="12"/>
                <w:numId w:val="0"/>
              </w:numPr>
              <w:suppressAutoHyphens/>
              <w:ind w:right="-2"/>
              <w:rPr>
                <w:sz w:val="22"/>
              </w:rPr>
            </w:pPr>
            <w:r w:rsidRPr="00AA3C8F">
              <w:rPr>
                <w:b/>
                <w:sz w:val="22"/>
              </w:rPr>
              <w:t>Notas</w:t>
            </w:r>
          </w:p>
        </w:tc>
      </w:tr>
      <w:tr w:rsidR="00A7162A" w14:paraId="323F7758" w14:textId="77777777" w:rsidTr="00F675CF">
        <w:tc>
          <w:tcPr>
            <w:tcW w:w="3095" w:type="dxa"/>
          </w:tcPr>
          <w:p w14:paraId="4B555C7C" w14:textId="77777777" w:rsidR="004462A0" w:rsidRPr="00AA3C8F" w:rsidRDefault="00615769" w:rsidP="00040D46">
            <w:pPr>
              <w:numPr>
                <w:ilvl w:val="12"/>
                <w:numId w:val="0"/>
              </w:numPr>
              <w:suppressAutoHyphens/>
              <w:ind w:right="-2"/>
              <w:rPr>
                <w:sz w:val="22"/>
              </w:rPr>
            </w:pPr>
            <w:r w:rsidRPr="00AA3C8F">
              <w:rPr>
                <w:sz w:val="22"/>
              </w:rPr>
              <w:t>Adultos</w:t>
            </w:r>
          </w:p>
        </w:tc>
        <w:tc>
          <w:tcPr>
            <w:tcW w:w="3096" w:type="dxa"/>
          </w:tcPr>
          <w:p w14:paraId="24C9F184" w14:textId="77777777" w:rsidR="004462A0" w:rsidRPr="00AA3C8F" w:rsidRDefault="00615769" w:rsidP="00040D46">
            <w:pPr>
              <w:numPr>
                <w:ilvl w:val="12"/>
                <w:numId w:val="0"/>
              </w:numPr>
              <w:suppressAutoHyphens/>
              <w:rPr>
                <w:sz w:val="22"/>
              </w:rPr>
            </w:pPr>
            <w:r w:rsidRPr="00454F99">
              <w:rPr>
                <w:sz w:val="22"/>
              </w:rPr>
              <w:t xml:space="preserve">Uma dose inicial de </w:t>
            </w:r>
            <w:r>
              <w:rPr>
                <w:sz w:val="22"/>
              </w:rPr>
              <w:t>8</w:t>
            </w:r>
            <w:r w:rsidRPr="00454F99">
              <w:rPr>
                <w:sz w:val="22"/>
              </w:rPr>
              <w:t>0 mg (</w:t>
            </w:r>
            <w:r>
              <w:rPr>
                <w:sz w:val="22"/>
              </w:rPr>
              <w:t xml:space="preserve">uma injeção </w:t>
            </w:r>
            <w:r w:rsidRPr="00454F99">
              <w:rPr>
                <w:sz w:val="22"/>
              </w:rPr>
              <w:t xml:space="preserve">de </w:t>
            </w:r>
            <w:r>
              <w:rPr>
                <w:sz w:val="22"/>
              </w:rPr>
              <w:t>8</w:t>
            </w:r>
            <w:r w:rsidRPr="00454F99">
              <w:rPr>
                <w:sz w:val="22"/>
              </w:rPr>
              <w:t>0</w:t>
            </w:r>
            <w:r w:rsidRPr="004F0FBC">
              <w:rPr>
                <w:sz w:val="22"/>
              </w:rPr>
              <w:t> </w:t>
            </w:r>
            <w:r w:rsidRPr="006462E3">
              <w:rPr>
                <w:sz w:val="22"/>
              </w:rPr>
              <w:t>mg</w:t>
            </w:r>
            <w:r w:rsidRPr="00854C93">
              <w:rPr>
                <w:sz w:val="22"/>
              </w:rPr>
              <w:t xml:space="preserve">), seguida de </w:t>
            </w:r>
            <w:r>
              <w:rPr>
                <w:sz w:val="22"/>
              </w:rPr>
              <w:t>4</w:t>
            </w:r>
            <w:r w:rsidRPr="00854C93">
              <w:rPr>
                <w:sz w:val="22"/>
              </w:rPr>
              <w:t>0</w:t>
            </w:r>
            <w:r w:rsidRPr="0089156B">
              <w:rPr>
                <w:sz w:val="22"/>
              </w:rPr>
              <w:t> </w:t>
            </w:r>
            <w:r w:rsidRPr="004931CE">
              <w:rPr>
                <w:sz w:val="22"/>
              </w:rPr>
              <w:t>mg</w:t>
            </w:r>
            <w:r>
              <w:rPr>
                <w:sz w:val="22"/>
              </w:rPr>
              <w:t xml:space="preserve"> em semanas alternadas, uma</w:t>
            </w:r>
            <w:r w:rsidRPr="00AA3C8F">
              <w:rPr>
                <w:sz w:val="22"/>
              </w:rPr>
              <w:t xml:space="preserve"> semana após a dose inicial.</w:t>
            </w:r>
          </w:p>
        </w:tc>
        <w:tc>
          <w:tcPr>
            <w:tcW w:w="3096" w:type="dxa"/>
          </w:tcPr>
          <w:p w14:paraId="72432114" w14:textId="77777777" w:rsidR="004462A0" w:rsidRPr="00C40041" w:rsidRDefault="00615769" w:rsidP="00040D46">
            <w:pPr>
              <w:rPr>
                <w:b/>
                <w:bCs/>
                <w:sz w:val="22"/>
                <w:szCs w:val="22"/>
              </w:rPr>
            </w:pPr>
            <w:r w:rsidRPr="00C40041">
              <w:rPr>
                <w:bCs/>
                <w:sz w:val="22"/>
                <w:szCs w:val="22"/>
              </w:rPr>
              <w:t>Pode continuar a utilizar corticosteroides ou outros medicamentos que influenciam o sistema imunitário enquanto se usa Humira. Humira pode ser usado isoladamente.</w:t>
            </w:r>
          </w:p>
          <w:p w14:paraId="1458EB16" w14:textId="77777777" w:rsidR="004462A0" w:rsidRPr="00AA3C8F" w:rsidRDefault="004462A0" w:rsidP="00040D46">
            <w:pPr>
              <w:numPr>
                <w:ilvl w:val="12"/>
                <w:numId w:val="0"/>
              </w:numPr>
              <w:suppressAutoHyphens/>
              <w:ind w:right="-2"/>
              <w:rPr>
                <w:sz w:val="22"/>
              </w:rPr>
            </w:pPr>
          </w:p>
        </w:tc>
      </w:tr>
      <w:tr w:rsidR="00A7162A" w14:paraId="08AA052D" w14:textId="77777777" w:rsidTr="00F675CF">
        <w:tc>
          <w:tcPr>
            <w:tcW w:w="3095" w:type="dxa"/>
          </w:tcPr>
          <w:p w14:paraId="47D24854" w14:textId="77777777" w:rsidR="009C3501" w:rsidRPr="00AA3C8F" w:rsidRDefault="00615769" w:rsidP="00040D46">
            <w:pPr>
              <w:numPr>
                <w:ilvl w:val="12"/>
                <w:numId w:val="0"/>
              </w:numPr>
              <w:suppressAutoHyphens/>
              <w:ind w:right="-2"/>
              <w:rPr>
                <w:sz w:val="22"/>
              </w:rPr>
            </w:pPr>
            <w:r>
              <w:rPr>
                <w:sz w:val="22"/>
              </w:rPr>
              <w:t xml:space="preserve">Crianças </w:t>
            </w:r>
            <w:r w:rsidR="00C0208A">
              <w:rPr>
                <w:sz w:val="22"/>
              </w:rPr>
              <w:t xml:space="preserve">e adolescentes </w:t>
            </w:r>
            <w:r>
              <w:rPr>
                <w:sz w:val="22"/>
              </w:rPr>
              <w:t>a partir dos 2 anos de idade com peso inferior a 30 kg</w:t>
            </w:r>
          </w:p>
        </w:tc>
        <w:tc>
          <w:tcPr>
            <w:tcW w:w="3096" w:type="dxa"/>
          </w:tcPr>
          <w:p w14:paraId="692DA4CA" w14:textId="77777777" w:rsidR="009C3501" w:rsidRPr="00454F99" w:rsidRDefault="00615769" w:rsidP="00040D46">
            <w:pPr>
              <w:numPr>
                <w:ilvl w:val="12"/>
                <w:numId w:val="0"/>
              </w:numPr>
              <w:suppressAutoHyphens/>
              <w:rPr>
                <w:sz w:val="22"/>
              </w:rPr>
            </w:pPr>
            <w:r>
              <w:rPr>
                <w:sz w:val="22"/>
              </w:rPr>
              <w:t>20 mg em semanas alternadas</w:t>
            </w:r>
          </w:p>
        </w:tc>
        <w:tc>
          <w:tcPr>
            <w:tcW w:w="3096" w:type="dxa"/>
          </w:tcPr>
          <w:p w14:paraId="1717D744" w14:textId="77777777" w:rsidR="009C3501" w:rsidRPr="00C40041" w:rsidRDefault="00615769" w:rsidP="00040D46">
            <w:pPr>
              <w:rPr>
                <w:bCs/>
                <w:sz w:val="22"/>
                <w:szCs w:val="22"/>
              </w:rPr>
            </w:pPr>
            <w:r>
              <w:rPr>
                <w:bCs/>
                <w:sz w:val="22"/>
                <w:szCs w:val="22"/>
              </w:rPr>
              <w:t>O seu médico pode prescrever uma dose inicial de 40 mg que pode ser administrada uma semana antes do início da dose habitual de 20 mg em semanas alternadas. Recomenda-se a utilização de Humira em associação com metotrexato.</w:t>
            </w:r>
          </w:p>
        </w:tc>
      </w:tr>
      <w:tr w:rsidR="00A7162A" w14:paraId="77CF52A4" w14:textId="77777777" w:rsidTr="00F675CF">
        <w:tc>
          <w:tcPr>
            <w:tcW w:w="3095" w:type="dxa"/>
          </w:tcPr>
          <w:p w14:paraId="7D954F09" w14:textId="77777777" w:rsidR="009C3501" w:rsidRPr="00AA3C8F" w:rsidRDefault="00615769" w:rsidP="00040D46">
            <w:pPr>
              <w:numPr>
                <w:ilvl w:val="12"/>
                <w:numId w:val="0"/>
              </w:numPr>
              <w:suppressAutoHyphens/>
              <w:ind w:right="-2"/>
              <w:rPr>
                <w:sz w:val="22"/>
              </w:rPr>
            </w:pPr>
            <w:r>
              <w:rPr>
                <w:sz w:val="22"/>
              </w:rPr>
              <w:t xml:space="preserve">Crianças </w:t>
            </w:r>
            <w:r w:rsidR="00C0208A">
              <w:rPr>
                <w:sz w:val="22"/>
              </w:rPr>
              <w:t xml:space="preserve">e adolescentes </w:t>
            </w:r>
            <w:r>
              <w:rPr>
                <w:sz w:val="22"/>
              </w:rPr>
              <w:t xml:space="preserve">a partir dos 2 anos de idade com </w:t>
            </w:r>
            <w:r w:rsidR="00C0208A">
              <w:rPr>
                <w:sz w:val="22"/>
              </w:rPr>
              <w:t>peso igual ou superior a</w:t>
            </w:r>
            <w:r>
              <w:rPr>
                <w:sz w:val="22"/>
              </w:rPr>
              <w:t xml:space="preserve"> 30 kg</w:t>
            </w:r>
          </w:p>
        </w:tc>
        <w:tc>
          <w:tcPr>
            <w:tcW w:w="3096" w:type="dxa"/>
          </w:tcPr>
          <w:p w14:paraId="6405F53E" w14:textId="77777777" w:rsidR="009C3501" w:rsidRPr="00454F99" w:rsidRDefault="00615769" w:rsidP="00040D46">
            <w:pPr>
              <w:numPr>
                <w:ilvl w:val="12"/>
                <w:numId w:val="0"/>
              </w:numPr>
              <w:suppressAutoHyphens/>
              <w:rPr>
                <w:sz w:val="22"/>
              </w:rPr>
            </w:pPr>
            <w:r>
              <w:rPr>
                <w:sz w:val="22"/>
              </w:rPr>
              <w:t>40 mg em semanas alternadas</w:t>
            </w:r>
          </w:p>
        </w:tc>
        <w:tc>
          <w:tcPr>
            <w:tcW w:w="3096" w:type="dxa"/>
          </w:tcPr>
          <w:p w14:paraId="539E37CB" w14:textId="77777777" w:rsidR="009C3501" w:rsidRPr="00C40041" w:rsidRDefault="00615769" w:rsidP="00040D46">
            <w:pPr>
              <w:rPr>
                <w:bCs/>
                <w:sz w:val="22"/>
                <w:szCs w:val="22"/>
              </w:rPr>
            </w:pPr>
            <w:r>
              <w:rPr>
                <w:bCs/>
                <w:sz w:val="22"/>
                <w:szCs w:val="22"/>
              </w:rPr>
              <w:t>O seu médico pode prescrever uma dose inicial de 80 mg que pode ser administrada uma semana antes do início da dose habitual de 40 mg em semanas alternadas. Recomenda-se a utilização de Humira em associação com metotrexato.</w:t>
            </w:r>
          </w:p>
        </w:tc>
      </w:tr>
    </w:tbl>
    <w:p w14:paraId="67A24CFF" w14:textId="77777777" w:rsidR="004462A0" w:rsidRPr="008912CF" w:rsidRDefault="004462A0" w:rsidP="004462A0">
      <w:pPr>
        <w:pStyle w:val="BodyText3"/>
      </w:pPr>
    </w:p>
    <w:p w14:paraId="5870B05F" w14:textId="77777777" w:rsidR="004462A0" w:rsidRPr="008912CF" w:rsidRDefault="00615769" w:rsidP="00683E8D">
      <w:pPr>
        <w:pStyle w:val="BodyText3"/>
        <w:keepNext/>
        <w:rPr>
          <w:b/>
          <w:bCs/>
        </w:rPr>
      </w:pPr>
      <w:r w:rsidRPr="008912CF">
        <w:rPr>
          <w:b/>
          <w:bCs/>
        </w:rPr>
        <w:t>Modo e via de administração</w:t>
      </w:r>
    </w:p>
    <w:p w14:paraId="762B0F44" w14:textId="77777777" w:rsidR="004462A0" w:rsidRPr="008912CF" w:rsidRDefault="004462A0" w:rsidP="00683E8D">
      <w:pPr>
        <w:keepNext/>
        <w:ind w:right="-2"/>
        <w:rPr>
          <w:sz w:val="22"/>
          <w:szCs w:val="22"/>
        </w:rPr>
      </w:pPr>
    </w:p>
    <w:p w14:paraId="6CF58CFA" w14:textId="77777777" w:rsidR="004462A0" w:rsidRPr="008912CF" w:rsidRDefault="00615769" w:rsidP="00683E8D">
      <w:pPr>
        <w:keepNext/>
        <w:ind w:right="-2"/>
        <w:rPr>
          <w:sz w:val="22"/>
          <w:szCs w:val="22"/>
        </w:rPr>
      </w:pPr>
      <w:r w:rsidRPr="008912CF">
        <w:rPr>
          <w:sz w:val="22"/>
          <w:szCs w:val="22"/>
        </w:rPr>
        <w:t>Humira é administrado por injeção debaixo da pele (via subcutânea).</w:t>
      </w:r>
    </w:p>
    <w:p w14:paraId="232E349B" w14:textId="77777777" w:rsidR="004462A0" w:rsidRPr="008912CF" w:rsidRDefault="004462A0" w:rsidP="004462A0">
      <w:pPr>
        <w:pStyle w:val="BodyText3"/>
      </w:pPr>
    </w:p>
    <w:p w14:paraId="3EA4D36F" w14:textId="77777777" w:rsidR="004462A0" w:rsidRPr="008B0DDF" w:rsidRDefault="00615769" w:rsidP="004462A0">
      <w:pPr>
        <w:ind w:right="-2"/>
        <w:rPr>
          <w:b/>
          <w:sz w:val="22"/>
          <w:szCs w:val="22"/>
        </w:rPr>
      </w:pPr>
      <w:r w:rsidRPr="008B0DDF">
        <w:rPr>
          <w:b/>
          <w:sz w:val="22"/>
          <w:szCs w:val="22"/>
        </w:rPr>
        <w:t xml:space="preserve">Instruções detalhadas sobre como administrar a injeção de Humira </w:t>
      </w:r>
      <w:r w:rsidRPr="00454F99">
        <w:rPr>
          <w:b/>
          <w:sz w:val="22"/>
          <w:szCs w:val="22"/>
        </w:rPr>
        <w:t>estão</w:t>
      </w:r>
      <w:r w:rsidRPr="008B0DDF">
        <w:rPr>
          <w:b/>
          <w:sz w:val="22"/>
          <w:szCs w:val="22"/>
        </w:rPr>
        <w:t xml:space="preserve"> indicadas na secção 7 “</w:t>
      </w:r>
      <w:r w:rsidR="00763569">
        <w:rPr>
          <w:b/>
          <w:sz w:val="22"/>
          <w:szCs w:val="22"/>
        </w:rPr>
        <w:t>Injetar Humira</w:t>
      </w:r>
      <w:r w:rsidRPr="008B0DDF">
        <w:rPr>
          <w:b/>
          <w:sz w:val="22"/>
          <w:szCs w:val="22"/>
        </w:rPr>
        <w:t>”.</w:t>
      </w:r>
    </w:p>
    <w:p w14:paraId="54501AD8" w14:textId="77777777" w:rsidR="004462A0" w:rsidRPr="008B0DDF" w:rsidRDefault="004462A0" w:rsidP="004462A0">
      <w:pPr>
        <w:jc w:val="center"/>
        <w:rPr>
          <w:sz w:val="22"/>
          <w:szCs w:val="22"/>
        </w:rPr>
      </w:pPr>
    </w:p>
    <w:p w14:paraId="2022C249" w14:textId="77777777" w:rsidR="004462A0" w:rsidRPr="008B0DDF" w:rsidRDefault="00615769" w:rsidP="004462A0">
      <w:pPr>
        <w:keepNext/>
        <w:rPr>
          <w:b/>
          <w:sz w:val="22"/>
          <w:szCs w:val="22"/>
        </w:rPr>
      </w:pPr>
      <w:r w:rsidRPr="008B0DDF">
        <w:rPr>
          <w:b/>
          <w:sz w:val="22"/>
          <w:szCs w:val="22"/>
        </w:rPr>
        <w:t>Se utilizar mais Humira do que deveria</w:t>
      </w:r>
    </w:p>
    <w:p w14:paraId="708440FC" w14:textId="77777777" w:rsidR="004462A0" w:rsidRPr="008B0DDF" w:rsidRDefault="004462A0" w:rsidP="004462A0">
      <w:pPr>
        <w:keepNext/>
        <w:rPr>
          <w:sz w:val="22"/>
          <w:szCs w:val="22"/>
        </w:rPr>
      </w:pPr>
    </w:p>
    <w:p w14:paraId="1CBDF4EA" w14:textId="77777777" w:rsidR="004462A0" w:rsidRPr="008B0DDF" w:rsidRDefault="00615769" w:rsidP="004462A0">
      <w:pPr>
        <w:pStyle w:val="BodyText2"/>
        <w:keepNext/>
        <w:autoSpaceDE/>
        <w:autoSpaceDN/>
        <w:adjustRightInd/>
        <w:rPr>
          <w:szCs w:val="22"/>
        </w:rPr>
      </w:pPr>
      <w:r w:rsidRPr="008B0DDF">
        <w:rPr>
          <w:szCs w:val="22"/>
        </w:rPr>
        <w:t xml:space="preserve">Se injetar acidentalmente Humira mais frequentemente do que o prescrito contacte o seu médico ou farmacêutico e informe-os de que utilizou mais do que devia. Leve sempre consigo a embalagem exterior do medicamento, mesmo que esteja vazia. </w:t>
      </w:r>
    </w:p>
    <w:p w14:paraId="3E69881B" w14:textId="77777777" w:rsidR="004462A0" w:rsidRPr="008B0DDF" w:rsidRDefault="004462A0" w:rsidP="004462A0">
      <w:pPr>
        <w:rPr>
          <w:sz w:val="22"/>
          <w:szCs w:val="22"/>
        </w:rPr>
      </w:pPr>
    </w:p>
    <w:p w14:paraId="71973824" w14:textId="77777777" w:rsidR="004462A0" w:rsidRPr="008B0DDF" w:rsidRDefault="00615769" w:rsidP="001F27FE">
      <w:pPr>
        <w:keepNext/>
        <w:rPr>
          <w:sz w:val="22"/>
          <w:szCs w:val="22"/>
        </w:rPr>
      </w:pPr>
      <w:r w:rsidRPr="008B0DDF">
        <w:rPr>
          <w:b/>
          <w:sz w:val="22"/>
          <w:szCs w:val="22"/>
        </w:rPr>
        <w:t>Caso se tenha esquecido de utilizar</w:t>
      </w:r>
      <w:r w:rsidRPr="008B0DDF">
        <w:rPr>
          <w:b/>
          <w:bCs/>
          <w:sz w:val="22"/>
          <w:szCs w:val="22"/>
        </w:rPr>
        <w:t xml:space="preserve"> Humira</w:t>
      </w:r>
    </w:p>
    <w:p w14:paraId="5151B018" w14:textId="77777777" w:rsidR="004462A0" w:rsidRPr="008B0DDF" w:rsidRDefault="004462A0" w:rsidP="001F27FE">
      <w:pPr>
        <w:keepNext/>
        <w:rPr>
          <w:sz w:val="22"/>
          <w:szCs w:val="22"/>
        </w:rPr>
      </w:pPr>
    </w:p>
    <w:p w14:paraId="45DD5BAA" w14:textId="77777777" w:rsidR="004462A0" w:rsidRPr="008B0DDF" w:rsidRDefault="00615769" w:rsidP="001F27FE">
      <w:pPr>
        <w:keepNext/>
        <w:ind w:right="-2"/>
        <w:rPr>
          <w:sz w:val="22"/>
          <w:szCs w:val="22"/>
        </w:rPr>
      </w:pPr>
      <w:r w:rsidRPr="008B0DDF">
        <w:rPr>
          <w:sz w:val="22"/>
          <w:szCs w:val="22"/>
        </w:rPr>
        <w:t xml:space="preserve">Caso se tenha esquecido de administrar uma injeção, administre a próxima dose de Humira logo que se lembrar. Administre a dose seguinte conforme prescrito, como se não tivesse omitido a dose anterior. </w:t>
      </w:r>
    </w:p>
    <w:p w14:paraId="58126585" w14:textId="77777777" w:rsidR="004462A0" w:rsidRPr="008B0DDF" w:rsidRDefault="004462A0" w:rsidP="004462A0">
      <w:pPr>
        <w:suppressAutoHyphens/>
        <w:rPr>
          <w:b/>
          <w:sz w:val="22"/>
          <w:szCs w:val="22"/>
        </w:rPr>
      </w:pPr>
    </w:p>
    <w:p w14:paraId="54CD7436" w14:textId="77777777" w:rsidR="004462A0" w:rsidRPr="008B0DDF" w:rsidRDefault="00615769" w:rsidP="004462A0">
      <w:pPr>
        <w:suppressAutoHyphens/>
        <w:rPr>
          <w:sz w:val="22"/>
          <w:szCs w:val="22"/>
        </w:rPr>
      </w:pPr>
      <w:r w:rsidRPr="008B0DDF">
        <w:rPr>
          <w:b/>
          <w:sz w:val="22"/>
          <w:szCs w:val="22"/>
        </w:rPr>
        <w:t>Se parar de utilizar Humira</w:t>
      </w:r>
    </w:p>
    <w:p w14:paraId="68F00DBD" w14:textId="77777777" w:rsidR="004462A0" w:rsidRPr="008B0DDF" w:rsidRDefault="004462A0" w:rsidP="004462A0">
      <w:pPr>
        <w:rPr>
          <w:sz w:val="22"/>
          <w:szCs w:val="22"/>
        </w:rPr>
      </w:pPr>
    </w:p>
    <w:p w14:paraId="5C4BE87F" w14:textId="77777777" w:rsidR="004462A0" w:rsidRPr="008B0DDF" w:rsidRDefault="00615769" w:rsidP="004462A0">
      <w:pPr>
        <w:rPr>
          <w:sz w:val="22"/>
          <w:szCs w:val="22"/>
        </w:rPr>
      </w:pPr>
      <w:r w:rsidRPr="008B0DDF">
        <w:rPr>
          <w:sz w:val="22"/>
          <w:szCs w:val="22"/>
        </w:rPr>
        <w:t>A decisão de parar de utilizar Humira deve ser avaliada com o seu médico. Os seus sintomas podem voltar se parar de utilizar Humira.</w:t>
      </w:r>
    </w:p>
    <w:p w14:paraId="67232BFF" w14:textId="77777777" w:rsidR="004462A0" w:rsidRPr="008B0DDF" w:rsidRDefault="004462A0" w:rsidP="004462A0">
      <w:pPr>
        <w:rPr>
          <w:sz w:val="22"/>
          <w:szCs w:val="22"/>
        </w:rPr>
      </w:pPr>
    </w:p>
    <w:p w14:paraId="4B5BCA00" w14:textId="77777777" w:rsidR="004462A0" w:rsidRPr="008B0DDF" w:rsidRDefault="00615769" w:rsidP="004462A0">
      <w:pPr>
        <w:ind w:right="-2"/>
        <w:rPr>
          <w:sz w:val="22"/>
          <w:szCs w:val="22"/>
        </w:rPr>
      </w:pPr>
      <w:r w:rsidRPr="008B0DDF">
        <w:rPr>
          <w:sz w:val="22"/>
          <w:szCs w:val="22"/>
        </w:rPr>
        <w:t xml:space="preserve">Caso </w:t>
      </w:r>
      <w:r w:rsidR="00954510">
        <w:rPr>
          <w:sz w:val="22"/>
          <w:szCs w:val="22"/>
        </w:rPr>
        <w:t xml:space="preserve">ainda </w:t>
      </w:r>
      <w:r w:rsidRPr="008B0DDF">
        <w:rPr>
          <w:sz w:val="22"/>
          <w:szCs w:val="22"/>
        </w:rPr>
        <w:t>tenha dúvidas sobre a utilização deste medicamento, fale com o seu médico ou farmacêutico.</w:t>
      </w:r>
    </w:p>
    <w:p w14:paraId="1B613F37" w14:textId="77777777" w:rsidR="004462A0" w:rsidRPr="008B0DDF" w:rsidRDefault="004462A0" w:rsidP="004462A0">
      <w:pPr>
        <w:ind w:right="-2"/>
        <w:rPr>
          <w:sz w:val="22"/>
          <w:szCs w:val="22"/>
        </w:rPr>
      </w:pPr>
    </w:p>
    <w:p w14:paraId="7CC2D2F4" w14:textId="77777777" w:rsidR="004462A0" w:rsidRPr="008B0DDF" w:rsidRDefault="004462A0" w:rsidP="004462A0">
      <w:pPr>
        <w:ind w:right="-2"/>
        <w:rPr>
          <w:sz w:val="22"/>
          <w:szCs w:val="22"/>
        </w:rPr>
      </w:pPr>
    </w:p>
    <w:p w14:paraId="5923E0C3" w14:textId="77777777" w:rsidR="004462A0" w:rsidRPr="008B0DDF" w:rsidRDefault="00615769" w:rsidP="0010302F">
      <w:pPr>
        <w:keepNext/>
        <w:ind w:left="567" w:hanging="567"/>
        <w:rPr>
          <w:sz w:val="22"/>
          <w:szCs w:val="22"/>
        </w:rPr>
      </w:pPr>
      <w:r w:rsidRPr="008B0DDF">
        <w:rPr>
          <w:b/>
          <w:sz w:val="22"/>
          <w:szCs w:val="22"/>
        </w:rPr>
        <w:t>4.</w:t>
      </w:r>
      <w:r w:rsidRPr="008B0DDF">
        <w:rPr>
          <w:b/>
          <w:sz w:val="22"/>
          <w:szCs w:val="22"/>
        </w:rPr>
        <w:tab/>
        <w:t xml:space="preserve">Efeitos </w:t>
      </w:r>
      <w:r w:rsidR="00571C82">
        <w:rPr>
          <w:b/>
          <w:sz w:val="22"/>
          <w:szCs w:val="22"/>
        </w:rPr>
        <w:t>indesejáveis</w:t>
      </w:r>
      <w:r w:rsidRPr="008B0DDF">
        <w:rPr>
          <w:b/>
          <w:sz w:val="22"/>
          <w:szCs w:val="22"/>
        </w:rPr>
        <w:t xml:space="preserve"> possíveis </w:t>
      </w:r>
    </w:p>
    <w:p w14:paraId="50727813" w14:textId="77777777" w:rsidR="004462A0" w:rsidRPr="008B0DDF" w:rsidRDefault="004462A0" w:rsidP="0010302F">
      <w:pPr>
        <w:keepNext/>
        <w:ind w:right="-2"/>
        <w:rPr>
          <w:sz w:val="22"/>
          <w:szCs w:val="22"/>
        </w:rPr>
      </w:pPr>
    </w:p>
    <w:p w14:paraId="52754592" w14:textId="77777777" w:rsidR="004462A0" w:rsidRPr="008B0DDF" w:rsidRDefault="00615769" w:rsidP="0010302F">
      <w:pPr>
        <w:keepNext/>
        <w:rPr>
          <w:sz w:val="22"/>
          <w:szCs w:val="22"/>
        </w:rPr>
      </w:pPr>
      <w:r w:rsidRPr="008B0DDF">
        <w:rPr>
          <w:sz w:val="22"/>
          <w:szCs w:val="22"/>
        </w:rPr>
        <w:t xml:space="preserve">Como todos os medicamentos, este medicamento pode causar efeitos </w:t>
      </w:r>
      <w:r w:rsidR="00571C82">
        <w:rPr>
          <w:sz w:val="22"/>
          <w:szCs w:val="22"/>
        </w:rPr>
        <w:t>indesejáveis</w:t>
      </w:r>
      <w:r w:rsidRPr="008B0DDF">
        <w:rPr>
          <w:sz w:val="22"/>
          <w:szCs w:val="22"/>
        </w:rPr>
        <w:t xml:space="preserve">, embora estes não se manifestem em todas as pessoas. A maioria dos efeitos </w:t>
      </w:r>
      <w:r w:rsidR="00571C82">
        <w:rPr>
          <w:sz w:val="22"/>
          <w:szCs w:val="22"/>
        </w:rPr>
        <w:t>indesejáveis</w:t>
      </w:r>
      <w:r w:rsidRPr="008B0DDF">
        <w:rPr>
          <w:sz w:val="22"/>
          <w:szCs w:val="22"/>
        </w:rPr>
        <w:t xml:space="preserve"> são ligeiros a moderados. No entanto, alguns podem ser graves e requerer tratamento. Podem ocorrer efeitos </w:t>
      </w:r>
      <w:r w:rsidR="00571C82">
        <w:rPr>
          <w:sz w:val="22"/>
          <w:szCs w:val="22"/>
        </w:rPr>
        <w:t>indesejáveis</w:t>
      </w:r>
      <w:r w:rsidRPr="008B0DDF">
        <w:rPr>
          <w:sz w:val="22"/>
          <w:szCs w:val="22"/>
        </w:rPr>
        <w:t xml:space="preserve"> pelo menos </w:t>
      </w:r>
      <w:r w:rsidR="007C7D86">
        <w:rPr>
          <w:sz w:val="22"/>
          <w:szCs w:val="22"/>
        </w:rPr>
        <w:t xml:space="preserve">até </w:t>
      </w:r>
      <w:r w:rsidRPr="008B0DDF">
        <w:rPr>
          <w:sz w:val="22"/>
          <w:szCs w:val="22"/>
        </w:rPr>
        <w:t>4 meses após a última injeção de Humira.</w:t>
      </w:r>
    </w:p>
    <w:p w14:paraId="77FAD59E" w14:textId="77777777" w:rsidR="004462A0" w:rsidRPr="008B0DDF" w:rsidRDefault="004462A0" w:rsidP="004462A0">
      <w:pPr>
        <w:rPr>
          <w:sz w:val="22"/>
          <w:szCs w:val="22"/>
        </w:rPr>
      </w:pPr>
    </w:p>
    <w:p w14:paraId="6CE1F798" w14:textId="77777777" w:rsidR="004462A0" w:rsidRPr="004F0FBC" w:rsidRDefault="00615769" w:rsidP="004462A0">
      <w:pPr>
        <w:pStyle w:val="EndnoteText"/>
        <w:tabs>
          <w:tab w:val="clear" w:pos="567"/>
        </w:tabs>
        <w:rPr>
          <w:szCs w:val="22"/>
        </w:rPr>
      </w:pPr>
      <w:r w:rsidRPr="008B0DDF">
        <w:rPr>
          <w:b/>
          <w:szCs w:val="22"/>
        </w:rPr>
        <w:t>I</w:t>
      </w:r>
      <w:r w:rsidRPr="00D87764">
        <w:rPr>
          <w:b/>
          <w:szCs w:val="22"/>
        </w:rPr>
        <w:t>nforme imediatamente o seu médico se tiver algum dos seguintes sintomas</w:t>
      </w:r>
    </w:p>
    <w:p w14:paraId="33E48352" w14:textId="77777777" w:rsidR="004462A0" w:rsidRPr="006462E3" w:rsidRDefault="004462A0" w:rsidP="004462A0">
      <w:pPr>
        <w:rPr>
          <w:sz w:val="22"/>
          <w:szCs w:val="22"/>
        </w:rPr>
      </w:pPr>
    </w:p>
    <w:p w14:paraId="608EB96D" w14:textId="77777777" w:rsidR="004462A0" w:rsidRPr="006462E3" w:rsidRDefault="00615769" w:rsidP="004462A0">
      <w:pPr>
        <w:numPr>
          <w:ilvl w:val="1"/>
          <w:numId w:val="58"/>
        </w:numPr>
        <w:tabs>
          <w:tab w:val="num" w:pos="1440"/>
        </w:tabs>
        <w:rPr>
          <w:sz w:val="22"/>
          <w:szCs w:val="22"/>
        </w:rPr>
      </w:pPr>
      <w:r>
        <w:rPr>
          <w:sz w:val="22"/>
          <w:szCs w:val="22"/>
        </w:rPr>
        <w:t>p</w:t>
      </w:r>
      <w:r w:rsidRPr="006462E3">
        <w:rPr>
          <w:sz w:val="22"/>
          <w:szCs w:val="22"/>
        </w:rPr>
        <w:t>ele muito irritada, comichão ou outros sinais de reação alérgica</w:t>
      </w:r>
    </w:p>
    <w:p w14:paraId="5E6C863A" w14:textId="77777777" w:rsidR="004462A0" w:rsidRPr="009A05BE" w:rsidRDefault="00615769" w:rsidP="004462A0">
      <w:pPr>
        <w:numPr>
          <w:ilvl w:val="1"/>
          <w:numId w:val="58"/>
        </w:numPr>
        <w:tabs>
          <w:tab w:val="num" w:pos="1440"/>
        </w:tabs>
        <w:rPr>
          <w:sz w:val="22"/>
          <w:szCs w:val="22"/>
        </w:rPr>
      </w:pPr>
      <w:r>
        <w:rPr>
          <w:sz w:val="22"/>
          <w:szCs w:val="22"/>
        </w:rPr>
        <w:t>i</w:t>
      </w:r>
      <w:r w:rsidRPr="009A05BE">
        <w:rPr>
          <w:sz w:val="22"/>
          <w:szCs w:val="22"/>
        </w:rPr>
        <w:t>nchaço da face, mãos, pés</w:t>
      </w:r>
    </w:p>
    <w:p w14:paraId="0466540A" w14:textId="77777777" w:rsidR="004462A0" w:rsidRPr="00854C93" w:rsidRDefault="00615769" w:rsidP="004462A0">
      <w:pPr>
        <w:numPr>
          <w:ilvl w:val="1"/>
          <w:numId w:val="58"/>
        </w:numPr>
        <w:tabs>
          <w:tab w:val="num" w:pos="1440"/>
        </w:tabs>
        <w:rPr>
          <w:sz w:val="22"/>
          <w:szCs w:val="22"/>
        </w:rPr>
      </w:pPr>
      <w:r>
        <w:rPr>
          <w:sz w:val="22"/>
          <w:szCs w:val="22"/>
        </w:rPr>
        <w:t>d</w:t>
      </w:r>
      <w:r w:rsidRPr="00854C93">
        <w:rPr>
          <w:sz w:val="22"/>
          <w:szCs w:val="22"/>
        </w:rPr>
        <w:t>ificuldade</w:t>
      </w:r>
      <w:r w:rsidR="007C7D86">
        <w:rPr>
          <w:sz w:val="22"/>
          <w:szCs w:val="22"/>
        </w:rPr>
        <w:t>s</w:t>
      </w:r>
      <w:r w:rsidRPr="00854C93">
        <w:rPr>
          <w:sz w:val="22"/>
          <w:szCs w:val="22"/>
        </w:rPr>
        <w:t xml:space="preserve"> em respirar, em engolir</w:t>
      </w:r>
    </w:p>
    <w:p w14:paraId="64B2A580" w14:textId="77777777" w:rsidR="004462A0" w:rsidRPr="00653128" w:rsidRDefault="00615769" w:rsidP="004462A0">
      <w:pPr>
        <w:numPr>
          <w:ilvl w:val="1"/>
          <w:numId w:val="58"/>
        </w:numPr>
        <w:tabs>
          <w:tab w:val="num" w:pos="1440"/>
        </w:tabs>
        <w:rPr>
          <w:sz w:val="22"/>
          <w:szCs w:val="22"/>
        </w:rPr>
      </w:pPr>
      <w:r>
        <w:rPr>
          <w:sz w:val="22"/>
          <w:szCs w:val="22"/>
        </w:rPr>
        <w:t>f</w:t>
      </w:r>
      <w:r w:rsidRPr="0089156B">
        <w:rPr>
          <w:sz w:val="22"/>
          <w:szCs w:val="22"/>
        </w:rPr>
        <w:t xml:space="preserve">alta de ar durante </w:t>
      </w:r>
      <w:r w:rsidRPr="000B3FE3">
        <w:rPr>
          <w:sz w:val="22"/>
          <w:szCs w:val="22"/>
        </w:rPr>
        <w:t>atividade física ou quando deitado ou inchaço dos pés</w:t>
      </w:r>
    </w:p>
    <w:p w14:paraId="3483FD3C" w14:textId="77777777" w:rsidR="004462A0" w:rsidRPr="00D33370" w:rsidRDefault="004462A0" w:rsidP="004462A0">
      <w:pPr>
        <w:tabs>
          <w:tab w:val="num" w:pos="1440"/>
        </w:tabs>
        <w:rPr>
          <w:sz w:val="22"/>
          <w:szCs w:val="22"/>
        </w:rPr>
      </w:pPr>
    </w:p>
    <w:p w14:paraId="4696C98D" w14:textId="77777777" w:rsidR="004462A0" w:rsidRPr="008B0DDF" w:rsidRDefault="00615769" w:rsidP="004462A0">
      <w:pPr>
        <w:rPr>
          <w:b/>
          <w:sz w:val="22"/>
          <w:szCs w:val="22"/>
        </w:rPr>
      </w:pPr>
      <w:r w:rsidRPr="008B0DDF">
        <w:rPr>
          <w:b/>
          <w:sz w:val="22"/>
          <w:szCs w:val="22"/>
        </w:rPr>
        <w:t xml:space="preserve">Informe </w:t>
      </w:r>
      <w:r>
        <w:rPr>
          <w:b/>
          <w:sz w:val="22"/>
          <w:szCs w:val="22"/>
        </w:rPr>
        <w:t xml:space="preserve">logo que </w:t>
      </w:r>
      <w:r w:rsidRPr="008B0DDF">
        <w:rPr>
          <w:b/>
          <w:sz w:val="22"/>
          <w:szCs w:val="22"/>
        </w:rPr>
        <w:t>possível o seu médico se tiver algum dos seguintes sintomas</w:t>
      </w:r>
    </w:p>
    <w:p w14:paraId="21BF0F80" w14:textId="77777777" w:rsidR="004462A0" w:rsidRPr="00454F99" w:rsidRDefault="004462A0" w:rsidP="004462A0">
      <w:pPr>
        <w:rPr>
          <w:sz w:val="22"/>
          <w:szCs w:val="22"/>
        </w:rPr>
      </w:pPr>
    </w:p>
    <w:p w14:paraId="39C25CD8" w14:textId="77777777" w:rsidR="004462A0" w:rsidRPr="006462E3" w:rsidRDefault="00615769" w:rsidP="004462A0">
      <w:pPr>
        <w:numPr>
          <w:ilvl w:val="2"/>
          <w:numId w:val="58"/>
        </w:numPr>
        <w:tabs>
          <w:tab w:val="left" w:pos="993"/>
        </w:tabs>
        <w:rPr>
          <w:sz w:val="22"/>
          <w:szCs w:val="22"/>
        </w:rPr>
      </w:pPr>
      <w:r>
        <w:rPr>
          <w:sz w:val="22"/>
          <w:szCs w:val="22"/>
        </w:rPr>
        <w:t>s</w:t>
      </w:r>
      <w:r w:rsidRPr="004F0FBC">
        <w:rPr>
          <w:sz w:val="22"/>
          <w:szCs w:val="22"/>
        </w:rPr>
        <w:t>inais de infeção tais como febre, má disposição, feridas, problemas dentários ou sensação de ardor ao urinar</w:t>
      </w:r>
      <w:r w:rsidRPr="006462E3">
        <w:rPr>
          <w:sz w:val="22"/>
          <w:szCs w:val="22"/>
        </w:rPr>
        <w:t xml:space="preserve"> </w:t>
      </w:r>
    </w:p>
    <w:p w14:paraId="70709EE9" w14:textId="77777777" w:rsidR="004462A0" w:rsidRPr="009A05BE" w:rsidRDefault="00615769" w:rsidP="004462A0">
      <w:pPr>
        <w:numPr>
          <w:ilvl w:val="2"/>
          <w:numId w:val="58"/>
        </w:numPr>
        <w:tabs>
          <w:tab w:val="left" w:pos="993"/>
        </w:tabs>
        <w:rPr>
          <w:sz w:val="22"/>
          <w:szCs w:val="22"/>
        </w:rPr>
      </w:pPr>
      <w:r>
        <w:rPr>
          <w:sz w:val="22"/>
          <w:szCs w:val="22"/>
        </w:rPr>
        <w:t>s</w:t>
      </w:r>
      <w:r w:rsidRPr="009A05BE">
        <w:rPr>
          <w:sz w:val="22"/>
          <w:szCs w:val="22"/>
        </w:rPr>
        <w:t>ensação de fraqueza ou cansaço</w:t>
      </w:r>
    </w:p>
    <w:p w14:paraId="2B8D45AF" w14:textId="77777777" w:rsidR="004462A0" w:rsidRPr="00854C93" w:rsidRDefault="00615769" w:rsidP="004462A0">
      <w:pPr>
        <w:numPr>
          <w:ilvl w:val="2"/>
          <w:numId w:val="58"/>
        </w:numPr>
        <w:tabs>
          <w:tab w:val="left" w:pos="993"/>
        </w:tabs>
        <w:rPr>
          <w:sz w:val="22"/>
          <w:szCs w:val="22"/>
        </w:rPr>
      </w:pPr>
      <w:r>
        <w:rPr>
          <w:sz w:val="22"/>
          <w:szCs w:val="22"/>
        </w:rPr>
        <w:t>t</w:t>
      </w:r>
      <w:r w:rsidRPr="00854C93">
        <w:rPr>
          <w:sz w:val="22"/>
          <w:szCs w:val="22"/>
        </w:rPr>
        <w:t>osse</w:t>
      </w:r>
    </w:p>
    <w:p w14:paraId="65B719EC" w14:textId="77777777" w:rsidR="004462A0" w:rsidRPr="000B3FE3" w:rsidRDefault="00615769" w:rsidP="004462A0">
      <w:pPr>
        <w:numPr>
          <w:ilvl w:val="2"/>
          <w:numId w:val="58"/>
        </w:numPr>
        <w:tabs>
          <w:tab w:val="left" w:pos="993"/>
        </w:tabs>
        <w:rPr>
          <w:sz w:val="22"/>
          <w:szCs w:val="22"/>
        </w:rPr>
      </w:pPr>
      <w:r>
        <w:rPr>
          <w:sz w:val="22"/>
          <w:szCs w:val="22"/>
        </w:rPr>
        <w:t>f</w:t>
      </w:r>
      <w:r w:rsidRPr="0089156B">
        <w:rPr>
          <w:sz w:val="22"/>
          <w:szCs w:val="22"/>
        </w:rPr>
        <w:t>ormigueiro</w:t>
      </w:r>
    </w:p>
    <w:p w14:paraId="3C6A5A49" w14:textId="77777777" w:rsidR="004462A0" w:rsidRPr="00653128" w:rsidRDefault="00615769" w:rsidP="004462A0">
      <w:pPr>
        <w:numPr>
          <w:ilvl w:val="2"/>
          <w:numId w:val="58"/>
        </w:numPr>
        <w:tabs>
          <w:tab w:val="left" w:pos="993"/>
        </w:tabs>
        <w:rPr>
          <w:sz w:val="22"/>
          <w:szCs w:val="22"/>
        </w:rPr>
      </w:pPr>
      <w:r>
        <w:rPr>
          <w:sz w:val="22"/>
          <w:szCs w:val="22"/>
        </w:rPr>
        <w:t>d</w:t>
      </w:r>
      <w:r w:rsidRPr="004931CE">
        <w:rPr>
          <w:sz w:val="22"/>
          <w:szCs w:val="22"/>
        </w:rPr>
        <w:t>ormência</w:t>
      </w:r>
    </w:p>
    <w:p w14:paraId="57167D68" w14:textId="77777777" w:rsidR="004462A0" w:rsidRPr="00003560" w:rsidRDefault="00615769" w:rsidP="004462A0">
      <w:pPr>
        <w:numPr>
          <w:ilvl w:val="2"/>
          <w:numId w:val="58"/>
        </w:numPr>
        <w:tabs>
          <w:tab w:val="left" w:pos="993"/>
        </w:tabs>
        <w:rPr>
          <w:sz w:val="22"/>
          <w:szCs w:val="22"/>
        </w:rPr>
      </w:pPr>
      <w:r>
        <w:rPr>
          <w:sz w:val="22"/>
          <w:szCs w:val="22"/>
        </w:rPr>
        <w:t>v</w:t>
      </w:r>
      <w:r w:rsidRPr="00D33370">
        <w:rPr>
          <w:sz w:val="22"/>
          <w:szCs w:val="22"/>
        </w:rPr>
        <w:t>isão dupla</w:t>
      </w:r>
      <w:r w:rsidRPr="00003560">
        <w:rPr>
          <w:sz w:val="22"/>
          <w:szCs w:val="22"/>
        </w:rPr>
        <w:t xml:space="preserve"> </w:t>
      </w:r>
    </w:p>
    <w:p w14:paraId="14D5E549" w14:textId="77777777" w:rsidR="004462A0" w:rsidRPr="005F6F98" w:rsidRDefault="00615769" w:rsidP="004462A0">
      <w:pPr>
        <w:numPr>
          <w:ilvl w:val="2"/>
          <w:numId w:val="58"/>
        </w:numPr>
        <w:tabs>
          <w:tab w:val="left" w:pos="993"/>
        </w:tabs>
        <w:rPr>
          <w:sz w:val="22"/>
          <w:szCs w:val="22"/>
        </w:rPr>
      </w:pPr>
      <w:r>
        <w:rPr>
          <w:sz w:val="22"/>
          <w:szCs w:val="22"/>
        </w:rPr>
        <w:t>s</w:t>
      </w:r>
      <w:r w:rsidRPr="005F6F98">
        <w:rPr>
          <w:sz w:val="22"/>
          <w:szCs w:val="22"/>
        </w:rPr>
        <w:t>ensação de fraqueza nos braços ou pernas</w:t>
      </w:r>
    </w:p>
    <w:p w14:paraId="6CC9E793" w14:textId="77777777" w:rsidR="004462A0" w:rsidRPr="00B830EC" w:rsidRDefault="00615769" w:rsidP="004462A0">
      <w:pPr>
        <w:numPr>
          <w:ilvl w:val="2"/>
          <w:numId w:val="58"/>
        </w:numPr>
        <w:tabs>
          <w:tab w:val="left" w:pos="993"/>
        </w:tabs>
        <w:rPr>
          <w:sz w:val="22"/>
          <w:szCs w:val="22"/>
        </w:rPr>
      </w:pPr>
      <w:r>
        <w:rPr>
          <w:sz w:val="22"/>
          <w:szCs w:val="22"/>
        </w:rPr>
        <w:t>i</w:t>
      </w:r>
      <w:r w:rsidRPr="002B2441">
        <w:rPr>
          <w:sz w:val="22"/>
          <w:szCs w:val="22"/>
        </w:rPr>
        <w:t>nchaço ou ferida aberta que não cicatriza</w:t>
      </w:r>
    </w:p>
    <w:p w14:paraId="18C5EC3D" w14:textId="77777777" w:rsidR="004462A0" w:rsidRPr="008B0DDF" w:rsidRDefault="00615769" w:rsidP="004462A0">
      <w:pPr>
        <w:numPr>
          <w:ilvl w:val="2"/>
          <w:numId w:val="58"/>
        </w:numPr>
        <w:tabs>
          <w:tab w:val="left" w:pos="993"/>
        </w:tabs>
        <w:rPr>
          <w:sz w:val="22"/>
          <w:szCs w:val="22"/>
        </w:rPr>
      </w:pPr>
      <w:r>
        <w:rPr>
          <w:sz w:val="22"/>
          <w:szCs w:val="22"/>
        </w:rPr>
        <w:t>s</w:t>
      </w:r>
      <w:r w:rsidRPr="008B0DDF">
        <w:rPr>
          <w:sz w:val="22"/>
          <w:szCs w:val="22"/>
        </w:rPr>
        <w:t>inais ou sintomas sugestivos de alterações sanguíneas tais como febre persistente, nódoas negras, hemorragias, palidez</w:t>
      </w:r>
    </w:p>
    <w:p w14:paraId="7C04A11F" w14:textId="77777777" w:rsidR="004462A0" w:rsidRPr="008B0DDF" w:rsidRDefault="004462A0" w:rsidP="004462A0">
      <w:pPr>
        <w:rPr>
          <w:sz w:val="22"/>
          <w:szCs w:val="22"/>
        </w:rPr>
      </w:pPr>
    </w:p>
    <w:p w14:paraId="58A60E9B" w14:textId="77777777" w:rsidR="004462A0" w:rsidRPr="008B0DDF" w:rsidRDefault="00615769" w:rsidP="004462A0">
      <w:pPr>
        <w:rPr>
          <w:sz w:val="22"/>
          <w:szCs w:val="22"/>
        </w:rPr>
      </w:pPr>
      <w:r w:rsidRPr="008B0DDF">
        <w:rPr>
          <w:sz w:val="22"/>
          <w:szCs w:val="22"/>
        </w:rPr>
        <w:t xml:space="preserve">Os sintomas descritos acima podem ser sinais dos efeitos </w:t>
      </w:r>
      <w:r w:rsidR="00571C82">
        <w:rPr>
          <w:sz w:val="22"/>
          <w:szCs w:val="22"/>
        </w:rPr>
        <w:t>indesejáveis</w:t>
      </w:r>
      <w:r w:rsidRPr="008B0DDF">
        <w:rPr>
          <w:sz w:val="22"/>
          <w:szCs w:val="22"/>
        </w:rPr>
        <w:t xml:space="preserve"> descritos a seguir e que foram observados com Humira</w:t>
      </w:r>
      <w:r w:rsidR="00122199">
        <w:rPr>
          <w:sz w:val="22"/>
          <w:szCs w:val="22"/>
        </w:rPr>
        <w:t>.</w:t>
      </w:r>
    </w:p>
    <w:p w14:paraId="758B4352" w14:textId="77777777" w:rsidR="004462A0" w:rsidRPr="008B0DDF" w:rsidRDefault="004462A0" w:rsidP="004462A0">
      <w:pPr>
        <w:rPr>
          <w:sz w:val="22"/>
          <w:szCs w:val="22"/>
        </w:rPr>
      </w:pPr>
    </w:p>
    <w:p w14:paraId="7AA29A05" w14:textId="77777777" w:rsidR="004462A0" w:rsidRPr="008B0DDF" w:rsidRDefault="00615769" w:rsidP="004462A0">
      <w:pPr>
        <w:rPr>
          <w:sz w:val="22"/>
          <w:szCs w:val="22"/>
        </w:rPr>
      </w:pPr>
      <w:r w:rsidRPr="008B0DDF">
        <w:rPr>
          <w:b/>
          <w:sz w:val="22"/>
          <w:szCs w:val="22"/>
        </w:rPr>
        <w:t>Muito frequentes</w:t>
      </w:r>
      <w:r w:rsidRPr="008B0DDF">
        <w:rPr>
          <w:sz w:val="22"/>
          <w:szCs w:val="22"/>
        </w:rPr>
        <w:t xml:space="preserve"> (podem afetar mais de 1 em 10 pessoas)</w:t>
      </w:r>
    </w:p>
    <w:p w14:paraId="4AFBAE1F" w14:textId="77777777" w:rsidR="004462A0" w:rsidRPr="008B0DDF" w:rsidRDefault="004462A0" w:rsidP="004462A0">
      <w:pPr>
        <w:rPr>
          <w:sz w:val="22"/>
          <w:szCs w:val="22"/>
        </w:rPr>
      </w:pPr>
    </w:p>
    <w:p w14:paraId="3453C24A" w14:textId="77777777" w:rsidR="004462A0" w:rsidRPr="008B0DDF" w:rsidRDefault="00615769" w:rsidP="004462A0">
      <w:pPr>
        <w:numPr>
          <w:ilvl w:val="0"/>
          <w:numId w:val="73"/>
        </w:numPr>
        <w:tabs>
          <w:tab w:val="clear" w:pos="0"/>
        </w:tabs>
        <w:ind w:left="568" w:hanging="568"/>
        <w:rPr>
          <w:sz w:val="22"/>
          <w:szCs w:val="22"/>
        </w:rPr>
      </w:pPr>
      <w:r w:rsidRPr="008B0DDF">
        <w:rPr>
          <w:sz w:val="22"/>
          <w:szCs w:val="22"/>
        </w:rPr>
        <w:t>reações no local da injeção (incluindo dor, inchaço, vermelhidão ou comichão)</w:t>
      </w:r>
    </w:p>
    <w:p w14:paraId="0C51615C" w14:textId="77777777" w:rsidR="004462A0" w:rsidRPr="008B0DDF" w:rsidRDefault="00615769" w:rsidP="004462A0">
      <w:pPr>
        <w:numPr>
          <w:ilvl w:val="0"/>
          <w:numId w:val="67"/>
        </w:numPr>
        <w:tabs>
          <w:tab w:val="clear" w:pos="284"/>
          <w:tab w:val="left" w:pos="600"/>
        </w:tabs>
        <w:ind w:left="600" w:hanging="600"/>
        <w:rPr>
          <w:sz w:val="22"/>
          <w:szCs w:val="22"/>
        </w:rPr>
      </w:pPr>
      <w:r w:rsidRPr="008B0DDF">
        <w:rPr>
          <w:sz w:val="22"/>
          <w:szCs w:val="22"/>
        </w:rPr>
        <w:t>infeções do trato respiratório (incluindo constipação, nariz a pingar, infeção sinusal, pneumonia)</w:t>
      </w:r>
    </w:p>
    <w:p w14:paraId="2910BD0C" w14:textId="77777777" w:rsidR="004462A0" w:rsidRPr="008B0DDF" w:rsidRDefault="00615769" w:rsidP="004462A0">
      <w:pPr>
        <w:numPr>
          <w:ilvl w:val="0"/>
          <w:numId w:val="67"/>
        </w:numPr>
        <w:tabs>
          <w:tab w:val="clear" w:pos="284"/>
          <w:tab w:val="left" w:pos="600"/>
        </w:tabs>
        <w:ind w:left="600" w:hanging="600"/>
        <w:rPr>
          <w:sz w:val="22"/>
          <w:szCs w:val="22"/>
        </w:rPr>
      </w:pPr>
      <w:r w:rsidRPr="008B0DDF">
        <w:rPr>
          <w:sz w:val="22"/>
          <w:szCs w:val="22"/>
        </w:rPr>
        <w:t>dor de cabeça</w:t>
      </w:r>
    </w:p>
    <w:p w14:paraId="023138CD" w14:textId="77777777" w:rsidR="004462A0" w:rsidRPr="008B0DDF" w:rsidRDefault="00615769" w:rsidP="004462A0">
      <w:pPr>
        <w:numPr>
          <w:ilvl w:val="0"/>
          <w:numId w:val="67"/>
        </w:numPr>
        <w:tabs>
          <w:tab w:val="clear" w:pos="284"/>
          <w:tab w:val="left" w:pos="600"/>
        </w:tabs>
        <w:ind w:left="600" w:hanging="600"/>
        <w:rPr>
          <w:sz w:val="22"/>
          <w:szCs w:val="22"/>
        </w:rPr>
      </w:pPr>
      <w:r w:rsidRPr="008B0DDF">
        <w:rPr>
          <w:sz w:val="22"/>
          <w:szCs w:val="22"/>
        </w:rPr>
        <w:t>dor abdominal</w:t>
      </w:r>
    </w:p>
    <w:p w14:paraId="355CAFDE" w14:textId="77777777" w:rsidR="004462A0" w:rsidRPr="008B0DDF" w:rsidRDefault="00615769" w:rsidP="004462A0">
      <w:pPr>
        <w:numPr>
          <w:ilvl w:val="0"/>
          <w:numId w:val="67"/>
        </w:numPr>
        <w:tabs>
          <w:tab w:val="clear" w:pos="284"/>
          <w:tab w:val="left" w:pos="600"/>
        </w:tabs>
        <w:ind w:left="600" w:hanging="600"/>
        <w:rPr>
          <w:sz w:val="22"/>
          <w:szCs w:val="22"/>
        </w:rPr>
      </w:pPr>
      <w:r w:rsidRPr="008B0DDF">
        <w:rPr>
          <w:sz w:val="22"/>
          <w:szCs w:val="22"/>
        </w:rPr>
        <w:t>náuseas e vómitos</w:t>
      </w:r>
    </w:p>
    <w:p w14:paraId="3FD3B59C" w14:textId="77777777" w:rsidR="004462A0" w:rsidRPr="008B0DDF" w:rsidRDefault="00615769" w:rsidP="004462A0">
      <w:pPr>
        <w:numPr>
          <w:ilvl w:val="0"/>
          <w:numId w:val="67"/>
        </w:numPr>
        <w:tabs>
          <w:tab w:val="clear" w:pos="284"/>
          <w:tab w:val="left" w:pos="600"/>
        </w:tabs>
        <w:ind w:left="600" w:hanging="600"/>
        <w:rPr>
          <w:sz w:val="22"/>
          <w:szCs w:val="22"/>
        </w:rPr>
      </w:pPr>
      <w:r w:rsidRPr="008B0DDF">
        <w:rPr>
          <w:sz w:val="22"/>
          <w:szCs w:val="22"/>
        </w:rPr>
        <w:t>erupção cutânea</w:t>
      </w:r>
    </w:p>
    <w:p w14:paraId="37EB09F9" w14:textId="77777777" w:rsidR="004462A0" w:rsidRPr="008B0DDF" w:rsidRDefault="00615769" w:rsidP="004462A0">
      <w:pPr>
        <w:numPr>
          <w:ilvl w:val="0"/>
          <w:numId w:val="73"/>
        </w:numPr>
        <w:tabs>
          <w:tab w:val="clear" w:pos="0"/>
        </w:tabs>
        <w:ind w:left="568" w:hanging="568"/>
        <w:rPr>
          <w:sz w:val="22"/>
          <w:szCs w:val="22"/>
        </w:rPr>
      </w:pPr>
      <w:r w:rsidRPr="008B0DDF">
        <w:rPr>
          <w:sz w:val="22"/>
          <w:szCs w:val="22"/>
        </w:rPr>
        <w:t>dor musculoesquelética</w:t>
      </w:r>
    </w:p>
    <w:p w14:paraId="4EEA694D" w14:textId="77777777" w:rsidR="004462A0" w:rsidRPr="008B0DDF" w:rsidRDefault="004462A0" w:rsidP="004462A0">
      <w:pPr>
        <w:ind w:left="568" w:hanging="568"/>
        <w:rPr>
          <w:sz w:val="22"/>
          <w:szCs w:val="22"/>
        </w:rPr>
      </w:pPr>
    </w:p>
    <w:p w14:paraId="11D692A1" w14:textId="77777777" w:rsidR="004462A0" w:rsidRPr="008B0DDF" w:rsidRDefault="00615769" w:rsidP="004462A0">
      <w:pPr>
        <w:ind w:left="568" w:hanging="568"/>
        <w:rPr>
          <w:sz w:val="22"/>
          <w:szCs w:val="22"/>
        </w:rPr>
      </w:pPr>
      <w:r w:rsidRPr="008B0DDF">
        <w:rPr>
          <w:b/>
          <w:sz w:val="22"/>
          <w:szCs w:val="22"/>
        </w:rPr>
        <w:t xml:space="preserve">Frequentes </w:t>
      </w:r>
      <w:r w:rsidRPr="008B0DDF">
        <w:rPr>
          <w:sz w:val="22"/>
          <w:szCs w:val="22"/>
        </w:rPr>
        <w:t>(podem afetar até 1 em 10 pessoas)</w:t>
      </w:r>
    </w:p>
    <w:p w14:paraId="6FC3F44A" w14:textId="77777777" w:rsidR="004462A0" w:rsidRPr="008B0DDF" w:rsidRDefault="004462A0" w:rsidP="004462A0">
      <w:pPr>
        <w:ind w:left="568" w:hanging="568"/>
        <w:rPr>
          <w:sz w:val="22"/>
          <w:szCs w:val="22"/>
        </w:rPr>
      </w:pPr>
    </w:p>
    <w:p w14:paraId="4B7FB7DD" w14:textId="77777777" w:rsidR="004462A0" w:rsidRDefault="00615769" w:rsidP="004462A0">
      <w:pPr>
        <w:numPr>
          <w:ilvl w:val="0"/>
          <w:numId w:val="73"/>
        </w:numPr>
        <w:tabs>
          <w:tab w:val="clear" w:pos="0"/>
        </w:tabs>
        <w:ind w:left="567" w:hanging="567"/>
        <w:rPr>
          <w:sz w:val="22"/>
          <w:szCs w:val="22"/>
        </w:rPr>
      </w:pPr>
      <w:r w:rsidRPr="008B0DDF">
        <w:rPr>
          <w:sz w:val="22"/>
          <w:szCs w:val="22"/>
        </w:rPr>
        <w:t xml:space="preserve">infeções </w:t>
      </w:r>
      <w:r w:rsidR="00763569">
        <w:rPr>
          <w:sz w:val="22"/>
          <w:szCs w:val="22"/>
        </w:rPr>
        <w:t>graves</w:t>
      </w:r>
      <w:r w:rsidRPr="008B0DDF">
        <w:rPr>
          <w:sz w:val="22"/>
          <w:szCs w:val="22"/>
        </w:rPr>
        <w:t xml:space="preserve"> (incluindo envenenamento do sangue e gripe)</w:t>
      </w:r>
    </w:p>
    <w:p w14:paraId="7DBD7239" w14:textId="77777777" w:rsidR="00C0208A" w:rsidRPr="008B0DDF" w:rsidRDefault="00615769" w:rsidP="004462A0">
      <w:pPr>
        <w:numPr>
          <w:ilvl w:val="0"/>
          <w:numId w:val="73"/>
        </w:numPr>
        <w:tabs>
          <w:tab w:val="clear" w:pos="0"/>
        </w:tabs>
        <w:ind w:left="567" w:hanging="567"/>
        <w:rPr>
          <w:sz w:val="22"/>
          <w:szCs w:val="22"/>
        </w:rPr>
      </w:pPr>
      <w:r>
        <w:rPr>
          <w:sz w:val="22"/>
          <w:szCs w:val="22"/>
        </w:rPr>
        <w:t>infeções intestinais (incluindo gastroenterite)</w:t>
      </w:r>
    </w:p>
    <w:p w14:paraId="67D3E5D9"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infeções da pele (incluindo celulite e zona)</w:t>
      </w:r>
    </w:p>
    <w:p w14:paraId="47259A76"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 xml:space="preserve">infeções </w:t>
      </w:r>
      <w:r>
        <w:rPr>
          <w:sz w:val="22"/>
          <w:szCs w:val="22"/>
        </w:rPr>
        <w:t>dos ouvidos</w:t>
      </w:r>
    </w:p>
    <w:p w14:paraId="08A37889"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infeções orais (incluindo infeções dentárias e constipações)</w:t>
      </w:r>
    </w:p>
    <w:p w14:paraId="0253E72E"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infeções do sistema reprodutor</w:t>
      </w:r>
    </w:p>
    <w:p w14:paraId="67D88728" w14:textId="77777777" w:rsidR="004462A0" w:rsidRPr="008B0DDF" w:rsidRDefault="00615769" w:rsidP="004462A0">
      <w:pPr>
        <w:numPr>
          <w:ilvl w:val="0"/>
          <w:numId w:val="73"/>
        </w:numPr>
        <w:tabs>
          <w:tab w:val="clear" w:pos="0"/>
        </w:tabs>
        <w:ind w:left="568" w:hanging="568"/>
        <w:rPr>
          <w:sz w:val="22"/>
          <w:szCs w:val="22"/>
        </w:rPr>
      </w:pPr>
      <w:r w:rsidRPr="008B0DDF">
        <w:rPr>
          <w:sz w:val="22"/>
          <w:szCs w:val="22"/>
        </w:rPr>
        <w:t>infeção do trato urinário</w:t>
      </w:r>
    </w:p>
    <w:p w14:paraId="78C5F341" w14:textId="77777777" w:rsidR="004462A0" w:rsidRPr="008B0DDF" w:rsidRDefault="00615769" w:rsidP="004462A0">
      <w:pPr>
        <w:numPr>
          <w:ilvl w:val="0"/>
          <w:numId w:val="73"/>
        </w:numPr>
        <w:tabs>
          <w:tab w:val="clear" w:pos="0"/>
        </w:tabs>
        <w:ind w:left="568" w:hanging="568"/>
        <w:rPr>
          <w:sz w:val="22"/>
          <w:szCs w:val="22"/>
        </w:rPr>
      </w:pPr>
      <w:r w:rsidRPr="008B0DDF">
        <w:rPr>
          <w:sz w:val="22"/>
          <w:szCs w:val="22"/>
        </w:rPr>
        <w:t>infeções fúngicas</w:t>
      </w:r>
    </w:p>
    <w:p w14:paraId="5D1200C5" w14:textId="77777777" w:rsidR="004462A0" w:rsidRPr="008B0DDF" w:rsidRDefault="00615769" w:rsidP="004462A0">
      <w:pPr>
        <w:numPr>
          <w:ilvl w:val="0"/>
          <w:numId w:val="73"/>
        </w:numPr>
        <w:tabs>
          <w:tab w:val="clear" w:pos="0"/>
        </w:tabs>
        <w:ind w:left="568" w:hanging="568"/>
        <w:rPr>
          <w:sz w:val="22"/>
          <w:szCs w:val="22"/>
        </w:rPr>
      </w:pPr>
      <w:r w:rsidRPr="008B0DDF">
        <w:rPr>
          <w:sz w:val="22"/>
          <w:szCs w:val="22"/>
        </w:rPr>
        <w:t xml:space="preserve">infeções </w:t>
      </w:r>
      <w:r>
        <w:rPr>
          <w:sz w:val="22"/>
          <w:szCs w:val="22"/>
        </w:rPr>
        <w:t>das articulações</w:t>
      </w:r>
    </w:p>
    <w:p w14:paraId="16B45EA9"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tumores benignos</w:t>
      </w:r>
    </w:p>
    <w:p w14:paraId="20A02BC0"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cancro da pele</w:t>
      </w:r>
    </w:p>
    <w:p w14:paraId="3BBB1AA0"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reações alérgicas (incluindo alergia sazonal)</w:t>
      </w:r>
    </w:p>
    <w:p w14:paraId="13F9369B"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desidratação</w:t>
      </w:r>
    </w:p>
    <w:p w14:paraId="5AB0A0EA"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alterações do humor (incluindo depressão)</w:t>
      </w:r>
    </w:p>
    <w:p w14:paraId="451A0B39"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ansiedade</w:t>
      </w:r>
    </w:p>
    <w:p w14:paraId="132D57DC"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dificuldade em adormecer</w:t>
      </w:r>
    </w:p>
    <w:p w14:paraId="4D9057B5"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alterações neurológicas tais como prurido, comichão ou dormência</w:t>
      </w:r>
    </w:p>
    <w:p w14:paraId="35818ADA"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enxaqueca</w:t>
      </w:r>
    </w:p>
    <w:p w14:paraId="45B8ADB4"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compressão da raiz nervosa (incluindo dor lombar e dor nas pernas)</w:t>
      </w:r>
    </w:p>
    <w:p w14:paraId="58ECAA6E"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alterações da visão</w:t>
      </w:r>
    </w:p>
    <w:p w14:paraId="0A532836"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inflamação dos olhos</w:t>
      </w:r>
    </w:p>
    <w:p w14:paraId="333A68D3"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inflamação das pálpebras e inchaço d</w:t>
      </w:r>
      <w:r w:rsidR="006A3BD4">
        <w:rPr>
          <w:sz w:val="22"/>
          <w:szCs w:val="22"/>
        </w:rPr>
        <w:t>os</w:t>
      </w:r>
      <w:r w:rsidRPr="008B0DDF">
        <w:rPr>
          <w:sz w:val="22"/>
          <w:szCs w:val="22"/>
        </w:rPr>
        <w:t xml:space="preserve"> olhos</w:t>
      </w:r>
    </w:p>
    <w:p w14:paraId="62D42BE2" w14:textId="77777777" w:rsidR="004462A0" w:rsidRPr="008B0DDF" w:rsidRDefault="00615769" w:rsidP="004462A0">
      <w:pPr>
        <w:numPr>
          <w:ilvl w:val="0"/>
          <w:numId w:val="73"/>
        </w:numPr>
        <w:tabs>
          <w:tab w:val="clear" w:pos="0"/>
        </w:tabs>
        <w:ind w:left="568" w:hanging="568"/>
        <w:rPr>
          <w:sz w:val="22"/>
          <w:szCs w:val="22"/>
        </w:rPr>
      </w:pPr>
      <w:r w:rsidRPr="008B0DDF">
        <w:rPr>
          <w:sz w:val="22"/>
          <w:szCs w:val="22"/>
        </w:rPr>
        <w:t xml:space="preserve">vertigem (sensação de tontura ou movimento) </w:t>
      </w:r>
    </w:p>
    <w:p w14:paraId="00A47704" w14:textId="77777777" w:rsidR="004462A0" w:rsidRPr="008B0DDF" w:rsidRDefault="00615769" w:rsidP="004462A0">
      <w:pPr>
        <w:numPr>
          <w:ilvl w:val="0"/>
          <w:numId w:val="70"/>
        </w:numPr>
        <w:tabs>
          <w:tab w:val="left" w:pos="600"/>
        </w:tabs>
        <w:ind w:left="567" w:hanging="567"/>
        <w:rPr>
          <w:sz w:val="22"/>
          <w:szCs w:val="22"/>
        </w:rPr>
      </w:pPr>
      <w:r w:rsidRPr="008B0DDF">
        <w:rPr>
          <w:sz w:val="22"/>
          <w:szCs w:val="22"/>
        </w:rPr>
        <w:t>sensação de batimento cardíaco rápido</w:t>
      </w:r>
    </w:p>
    <w:p w14:paraId="407675DF" w14:textId="77777777" w:rsidR="004462A0" w:rsidRPr="008B0DDF" w:rsidRDefault="00615769" w:rsidP="004462A0">
      <w:pPr>
        <w:numPr>
          <w:ilvl w:val="0"/>
          <w:numId w:val="70"/>
        </w:numPr>
        <w:tabs>
          <w:tab w:val="left" w:pos="600"/>
        </w:tabs>
        <w:ind w:left="567" w:hanging="567"/>
        <w:rPr>
          <w:sz w:val="22"/>
          <w:szCs w:val="22"/>
        </w:rPr>
      </w:pPr>
      <w:r>
        <w:rPr>
          <w:sz w:val="22"/>
          <w:szCs w:val="22"/>
        </w:rPr>
        <w:t>tensão</w:t>
      </w:r>
      <w:r w:rsidRPr="008B0DDF">
        <w:rPr>
          <w:sz w:val="22"/>
          <w:szCs w:val="22"/>
        </w:rPr>
        <w:t xml:space="preserve"> arterial alta</w:t>
      </w:r>
    </w:p>
    <w:p w14:paraId="1B94C64E" w14:textId="77777777" w:rsidR="004462A0" w:rsidRPr="008B0DDF" w:rsidRDefault="00615769" w:rsidP="004462A0">
      <w:pPr>
        <w:numPr>
          <w:ilvl w:val="0"/>
          <w:numId w:val="70"/>
        </w:numPr>
        <w:tabs>
          <w:tab w:val="left" w:pos="600"/>
        </w:tabs>
        <w:ind w:left="567" w:hanging="567"/>
        <w:rPr>
          <w:sz w:val="22"/>
          <w:szCs w:val="22"/>
        </w:rPr>
      </w:pPr>
      <w:r>
        <w:rPr>
          <w:sz w:val="22"/>
          <w:szCs w:val="22"/>
        </w:rPr>
        <w:t>vermelhidão</w:t>
      </w:r>
    </w:p>
    <w:p w14:paraId="3588588E" w14:textId="77777777" w:rsidR="004462A0" w:rsidRPr="008B0DDF" w:rsidRDefault="00615769" w:rsidP="004462A0">
      <w:pPr>
        <w:numPr>
          <w:ilvl w:val="0"/>
          <w:numId w:val="70"/>
        </w:numPr>
        <w:tabs>
          <w:tab w:val="left" w:pos="600"/>
        </w:tabs>
        <w:ind w:left="567" w:hanging="567"/>
        <w:rPr>
          <w:sz w:val="22"/>
          <w:szCs w:val="22"/>
        </w:rPr>
      </w:pPr>
      <w:r w:rsidRPr="008B0DDF">
        <w:rPr>
          <w:sz w:val="22"/>
          <w:szCs w:val="22"/>
        </w:rPr>
        <w:t>hematoma (concentração de sangue fora dos vasos sanguíneos)</w:t>
      </w:r>
    </w:p>
    <w:p w14:paraId="4ABA1E98" w14:textId="77777777" w:rsidR="004462A0" w:rsidRPr="008B0DDF" w:rsidRDefault="00615769" w:rsidP="004462A0">
      <w:pPr>
        <w:numPr>
          <w:ilvl w:val="0"/>
          <w:numId w:val="73"/>
        </w:numPr>
        <w:tabs>
          <w:tab w:val="clear" w:pos="0"/>
        </w:tabs>
        <w:ind w:left="567" w:hanging="567"/>
        <w:rPr>
          <w:sz w:val="22"/>
          <w:szCs w:val="22"/>
        </w:rPr>
      </w:pPr>
      <w:r w:rsidRPr="008B0DDF">
        <w:rPr>
          <w:sz w:val="22"/>
          <w:szCs w:val="22"/>
        </w:rPr>
        <w:t>tosse</w:t>
      </w:r>
    </w:p>
    <w:p w14:paraId="61349358" w14:textId="77777777" w:rsidR="004462A0" w:rsidRPr="008B0DDF" w:rsidRDefault="00615769" w:rsidP="004462A0">
      <w:pPr>
        <w:numPr>
          <w:ilvl w:val="0"/>
          <w:numId w:val="70"/>
        </w:numPr>
        <w:tabs>
          <w:tab w:val="clear" w:pos="0"/>
        </w:tabs>
        <w:ind w:left="567" w:hanging="567"/>
        <w:rPr>
          <w:sz w:val="22"/>
          <w:szCs w:val="22"/>
        </w:rPr>
      </w:pPr>
      <w:r w:rsidRPr="008B0DDF">
        <w:rPr>
          <w:sz w:val="22"/>
          <w:szCs w:val="22"/>
        </w:rPr>
        <w:t>asma</w:t>
      </w:r>
    </w:p>
    <w:p w14:paraId="390586EA" w14:textId="77777777" w:rsidR="004462A0" w:rsidRPr="008B0DDF" w:rsidRDefault="00615769" w:rsidP="004462A0">
      <w:pPr>
        <w:numPr>
          <w:ilvl w:val="0"/>
          <w:numId w:val="70"/>
        </w:numPr>
        <w:tabs>
          <w:tab w:val="clear" w:pos="0"/>
        </w:tabs>
        <w:ind w:left="567" w:hanging="567"/>
        <w:rPr>
          <w:sz w:val="22"/>
          <w:szCs w:val="22"/>
        </w:rPr>
      </w:pPr>
      <w:r w:rsidRPr="008B0DDF">
        <w:rPr>
          <w:sz w:val="22"/>
          <w:szCs w:val="22"/>
        </w:rPr>
        <w:t>dificuldade em respirar</w:t>
      </w:r>
    </w:p>
    <w:p w14:paraId="241580B9" w14:textId="77777777" w:rsidR="004462A0" w:rsidRPr="008B0DDF" w:rsidRDefault="00615769" w:rsidP="004462A0">
      <w:pPr>
        <w:numPr>
          <w:ilvl w:val="0"/>
          <w:numId w:val="70"/>
        </w:numPr>
        <w:tabs>
          <w:tab w:val="clear" w:pos="0"/>
        </w:tabs>
        <w:ind w:left="567" w:hanging="567"/>
        <w:rPr>
          <w:sz w:val="22"/>
          <w:szCs w:val="22"/>
        </w:rPr>
      </w:pPr>
      <w:r w:rsidRPr="008B0DDF">
        <w:rPr>
          <w:sz w:val="22"/>
          <w:szCs w:val="22"/>
        </w:rPr>
        <w:t>hemorragia gastrointestinal</w:t>
      </w:r>
    </w:p>
    <w:p w14:paraId="67F7F825" w14:textId="77777777" w:rsidR="004462A0" w:rsidRPr="008B0DDF" w:rsidRDefault="00615769" w:rsidP="004462A0">
      <w:pPr>
        <w:numPr>
          <w:ilvl w:val="0"/>
          <w:numId w:val="70"/>
        </w:numPr>
        <w:tabs>
          <w:tab w:val="clear" w:pos="0"/>
        </w:tabs>
        <w:ind w:left="567" w:hanging="567"/>
        <w:rPr>
          <w:sz w:val="22"/>
          <w:szCs w:val="22"/>
        </w:rPr>
      </w:pPr>
      <w:r w:rsidRPr="008B0DDF">
        <w:rPr>
          <w:sz w:val="22"/>
          <w:szCs w:val="22"/>
        </w:rPr>
        <w:t>dispepsia (indigestão, inchaço, azia)</w:t>
      </w:r>
    </w:p>
    <w:p w14:paraId="2EF79376" w14:textId="77777777" w:rsidR="004462A0" w:rsidRPr="008B0DDF" w:rsidRDefault="00615769" w:rsidP="004462A0">
      <w:pPr>
        <w:numPr>
          <w:ilvl w:val="0"/>
          <w:numId w:val="70"/>
        </w:numPr>
        <w:tabs>
          <w:tab w:val="clear" w:pos="0"/>
        </w:tabs>
        <w:ind w:left="567" w:hanging="567"/>
        <w:rPr>
          <w:sz w:val="22"/>
          <w:szCs w:val="22"/>
        </w:rPr>
      </w:pPr>
      <w:r w:rsidRPr="008B0DDF">
        <w:rPr>
          <w:sz w:val="22"/>
          <w:szCs w:val="22"/>
        </w:rPr>
        <w:t>doença de refluxo</w:t>
      </w:r>
    </w:p>
    <w:p w14:paraId="6AE0DE8C" w14:textId="77777777" w:rsidR="004462A0" w:rsidRPr="008B0DDF" w:rsidRDefault="00615769" w:rsidP="004462A0">
      <w:pPr>
        <w:numPr>
          <w:ilvl w:val="0"/>
          <w:numId w:val="70"/>
        </w:numPr>
        <w:tabs>
          <w:tab w:val="clear" w:pos="0"/>
        </w:tabs>
        <w:ind w:left="567" w:hanging="567"/>
        <w:rPr>
          <w:sz w:val="22"/>
          <w:szCs w:val="22"/>
        </w:rPr>
      </w:pPr>
      <w:r w:rsidRPr="008B0DDF">
        <w:rPr>
          <w:sz w:val="22"/>
          <w:szCs w:val="22"/>
        </w:rPr>
        <w:t>síndrome de sicca (incluindo olhos e boca seca)</w:t>
      </w:r>
    </w:p>
    <w:p w14:paraId="4FC6820A" w14:textId="77777777" w:rsidR="004462A0" w:rsidRPr="008B0DDF" w:rsidRDefault="00615769" w:rsidP="004462A0">
      <w:pPr>
        <w:numPr>
          <w:ilvl w:val="0"/>
          <w:numId w:val="70"/>
        </w:numPr>
        <w:tabs>
          <w:tab w:val="clear" w:pos="0"/>
        </w:tabs>
        <w:ind w:left="567" w:hanging="567"/>
        <w:rPr>
          <w:sz w:val="22"/>
          <w:szCs w:val="22"/>
        </w:rPr>
      </w:pPr>
      <w:r w:rsidRPr="008B0DDF">
        <w:rPr>
          <w:sz w:val="22"/>
          <w:szCs w:val="22"/>
        </w:rPr>
        <w:t>comichão</w:t>
      </w:r>
    </w:p>
    <w:p w14:paraId="0D77AA1B"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erupção da pele com comichão</w:t>
      </w:r>
    </w:p>
    <w:p w14:paraId="42C57393"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nódoas negras</w:t>
      </w:r>
    </w:p>
    <w:p w14:paraId="2BEF96DC"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inflamação da pele (tais como eczema)</w:t>
      </w:r>
    </w:p>
    <w:p w14:paraId="217B4233"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unhas das mãos e dos pés quebradiças</w:t>
      </w:r>
    </w:p>
    <w:p w14:paraId="10A774EC"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aumento de suor</w:t>
      </w:r>
    </w:p>
    <w:p w14:paraId="033D45C6"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perda de cabelo</w:t>
      </w:r>
    </w:p>
    <w:p w14:paraId="60AA6DB5"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início ou agravamento da psoríase</w:t>
      </w:r>
    </w:p>
    <w:p w14:paraId="053F9C1D"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espasmos musculares</w:t>
      </w:r>
    </w:p>
    <w:p w14:paraId="7454C977"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sangue na urina</w:t>
      </w:r>
    </w:p>
    <w:p w14:paraId="73C1DEA0"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perturbações renais</w:t>
      </w:r>
    </w:p>
    <w:p w14:paraId="6F869ED3"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dor no peito</w:t>
      </w:r>
    </w:p>
    <w:p w14:paraId="1A880ADA"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 xml:space="preserve">edema (inchaço) </w:t>
      </w:r>
    </w:p>
    <w:p w14:paraId="70150CF5"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febre</w:t>
      </w:r>
    </w:p>
    <w:p w14:paraId="729F02F2" w14:textId="77777777" w:rsidR="004462A0" w:rsidRPr="008B0DDF" w:rsidRDefault="00615769" w:rsidP="004462A0">
      <w:pPr>
        <w:numPr>
          <w:ilvl w:val="0"/>
          <w:numId w:val="67"/>
        </w:numPr>
        <w:tabs>
          <w:tab w:val="clear" w:pos="284"/>
          <w:tab w:val="num" w:pos="600"/>
        </w:tabs>
        <w:ind w:hanging="567"/>
        <w:rPr>
          <w:sz w:val="22"/>
          <w:szCs w:val="22"/>
        </w:rPr>
      </w:pPr>
      <w:r w:rsidRPr="008B0DDF">
        <w:rPr>
          <w:sz w:val="22"/>
          <w:szCs w:val="22"/>
        </w:rPr>
        <w:t>redução nas plaquetas sanguíneas aumentando o risco de hemorragia ou de nódoas negras</w:t>
      </w:r>
    </w:p>
    <w:p w14:paraId="5940E623" w14:textId="77777777" w:rsidR="004462A0" w:rsidRPr="008B0DDF" w:rsidRDefault="00615769" w:rsidP="004462A0">
      <w:pPr>
        <w:numPr>
          <w:ilvl w:val="0"/>
          <w:numId w:val="73"/>
        </w:numPr>
        <w:tabs>
          <w:tab w:val="clear" w:pos="0"/>
        </w:tabs>
        <w:ind w:left="568" w:hanging="568"/>
        <w:rPr>
          <w:sz w:val="22"/>
          <w:szCs w:val="22"/>
        </w:rPr>
      </w:pPr>
      <w:r w:rsidRPr="008B0DDF">
        <w:rPr>
          <w:sz w:val="22"/>
          <w:szCs w:val="22"/>
        </w:rPr>
        <w:t>diminuição na cicatrização</w:t>
      </w:r>
    </w:p>
    <w:p w14:paraId="29C9C008" w14:textId="77777777" w:rsidR="004462A0" w:rsidRPr="008B0DDF" w:rsidRDefault="004462A0" w:rsidP="004462A0">
      <w:pPr>
        <w:rPr>
          <w:sz w:val="22"/>
          <w:szCs w:val="22"/>
        </w:rPr>
      </w:pPr>
    </w:p>
    <w:p w14:paraId="3BD8BB4A" w14:textId="77777777" w:rsidR="004462A0" w:rsidRPr="004F0FBC" w:rsidRDefault="00615769" w:rsidP="00467FA3">
      <w:pPr>
        <w:keepNext/>
        <w:rPr>
          <w:sz w:val="22"/>
          <w:szCs w:val="22"/>
        </w:rPr>
      </w:pPr>
      <w:r w:rsidRPr="008B0DDF">
        <w:rPr>
          <w:b/>
          <w:sz w:val="22"/>
          <w:szCs w:val="22"/>
        </w:rPr>
        <w:t>Pouco frequentes</w:t>
      </w:r>
      <w:r w:rsidRPr="00454F99">
        <w:rPr>
          <w:sz w:val="22"/>
          <w:szCs w:val="22"/>
        </w:rPr>
        <w:t xml:space="preserve"> (podem afetar até 1 em 100 pessoas)</w:t>
      </w:r>
    </w:p>
    <w:p w14:paraId="0495CB32" w14:textId="77777777" w:rsidR="004462A0" w:rsidRPr="006462E3" w:rsidRDefault="004462A0" w:rsidP="00467FA3">
      <w:pPr>
        <w:keepNext/>
        <w:rPr>
          <w:sz w:val="22"/>
          <w:szCs w:val="22"/>
        </w:rPr>
      </w:pPr>
    </w:p>
    <w:p w14:paraId="01A0F151" w14:textId="77777777" w:rsidR="004462A0" w:rsidRPr="009A05BE" w:rsidRDefault="00615769" w:rsidP="00467FA3">
      <w:pPr>
        <w:keepNext/>
        <w:numPr>
          <w:ilvl w:val="0"/>
          <w:numId w:val="68"/>
        </w:numPr>
        <w:tabs>
          <w:tab w:val="clear" w:pos="283"/>
          <w:tab w:val="num" w:pos="600"/>
        </w:tabs>
        <w:ind w:left="568" w:hanging="567"/>
        <w:rPr>
          <w:sz w:val="22"/>
          <w:szCs w:val="22"/>
        </w:rPr>
      </w:pPr>
      <w:r w:rsidRPr="006462E3">
        <w:rPr>
          <w:sz w:val="22"/>
          <w:szCs w:val="22"/>
        </w:rPr>
        <w:t>infeções oportunistas (as quais incluem tuberculose e outras infeções que ocorrem quando a resistência à doença está diminuída)</w:t>
      </w:r>
    </w:p>
    <w:p w14:paraId="16567417" w14:textId="77777777" w:rsidR="004462A0" w:rsidRPr="00854C93" w:rsidRDefault="00615769" w:rsidP="004462A0">
      <w:pPr>
        <w:numPr>
          <w:ilvl w:val="0"/>
          <w:numId w:val="68"/>
        </w:numPr>
        <w:tabs>
          <w:tab w:val="clear" w:pos="283"/>
          <w:tab w:val="num" w:pos="600"/>
        </w:tabs>
        <w:ind w:left="568" w:hanging="567"/>
        <w:rPr>
          <w:sz w:val="22"/>
          <w:szCs w:val="22"/>
        </w:rPr>
      </w:pPr>
      <w:r w:rsidRPr="00854C93">
        <w:rPr>
          <w:sz w:val="22"/>
          <w:szCs w:val="22"/>
        </w:rPr>
        <w:t>infeções neurológicas (incluindo meningite viral)</w:t>
      </w:r>
    </w:p>
    <w:p w14:paraId="0DB04AA9" w14:textId="77777777" w:rsidR="004462A0" w:rsidRPr="000B3FE3" w:rsidRDefault="00615769" w:rsidP="004462A0">
      <w:pPr>
        <w:numPr>
          <w:ilvl w:val="0"/>
          <w:numId w:val="68"/>
        </w:numPr>
        <w:tabs>
          <w:tab w:val="clear" w:pos="283"/>
          <w:tab w:val="num" w:pos="600"/>
        </w:tabs>
        <w:ind w:left="568" w:hanging="567"/>
        <w:rPr>
          <w:sz w:val="22"/>
          <w:szCs w:val="22"/>
        </w:rPr>
      </w:pPr>
      <w:r w:rsidRPr="0089156B">
        <w:rPr>
          <w:sz w:val="22"/>
          <w:szCs w:val="22"/>
        </w:rPr>
        <w:t>infeções oculares</w:t>
      </w:r>
    </w:p>
    <w:p w14:paraId="3F2CEC21" w14:textId="77777777" w:rsidR="004462A0" w:rsidRPr="00653128" w:rsidRDefault="00615769" w:rsidP="004462A0">
      <w:pPr>
        <w:numPr>
          <w:ilvl w:val="0"/>
          <w:numId w:val="68"/>
        </w:numPr>
        <w:tabs>
          <w:tab w:val="clear" w:pos="283"/>
          <w:tab w:val="num" w:pos="600"/>
        </w:tabs>
        <w:ind w:hanging="567"/>
        <w:rPr>
          <w:sz w:val="22"/>
          <w:szCs w:val="22"/>
        </w:rPr>
      </w:pPr>
      <w:r w:rsidRPr="004931CE">
        <w:rPr>
          <w:sz w:val="22"/>
          <w:szCs w:val="22"/>
        </w:rPr>
        <w:t>infeções bacterianas</w:t>
      </w:r>
    </w:p>
    <w:p w14:paraId="396B8F0F" w14:textId="77777777" w:rsidR="004462A0" w:rsidRPr="00003560" w:rsidRDefault="00615769" w:rsidP="004462A0">
      <w:pPr>
        <w:numPr>
          <w:ilvl w:val="0"/>
          <w:numId w:val="68"/>
        </w:numPr>
        <w:tabs>
          <w:tab w:val="clear" w:pos="283"/>
          <w:tab w:val="num" w:pos="600"/>
        </w:tabs>
        <w:ind w:hanging="567"/>
        <w:rPr>
          <w:sz w:val="22"/>
          <w:szCs w:val="22"/>
        </w:rPr>
      </w:pPr>
      <w:r w:rsidRPr="00D33370">
        <w:rPr>
          <w:sz w:val="22"/>
          <w:szCs w:val="22"/>
        </w:rPr>
        <w:t>diverticulite (inflamação e infeção do intestino grosso)</w:t>
      </w:r>
    </w:p>
    <w:p w14:paraId="6E5C052B" w14:textId="77777777" w:rsidR="004462A0" w:rsidRPr="005F6F98" w:rsidRDefault="00615769" w:rsidP="004462A0">
      <w:pPr>
        <w:numPr>
          <w:ilvl w:val="0"/>
          <w:numId w:val="68"/>
        </w:numPr>
        <w:tabs>
          <w:tab w:val="clear" w:pos="283"/>
          <w:tab w:val="num" w:pos="600"/>
        </w:tabs>
        <w:ind w:hanging="567"/>
        <w:rPr>
          <w:sz w:val="22"/>
          <w:szCs w:val="22"/>
        </w:rPr>
      </w:pPr>
      <w:r w:rsidRPr="005F6F98">
        <w:rPr>
          <w:sz w:val="22"/>
          <w:szCs w:val="22"/>
        </w:rPr>
        <w:t>cancro</w:t>
      </w:r>
    </w:p>
    <w:p w14:paraId="5B3F30D7" w14:textId="77777777" w:rsidR="004462A0" w:rsidRPr="00B830EC" w:rsidRDefault="00615769" w:rsidP="004462A0">
      <w:pPr>
        <w:numPr>
          <w:ilvl w:val="0"/>
          <w:numId w:val="68"/>
        </w:numPr>
        <w:tabs>
          <w:tab w:val="clear" w:pos="283"/>
          <w:tab w:val="num" w:pos="600"/>
        </w:tabs>
        <w:ind w:hanging="567"/>
        <w:rPr>
          <w:sz w:val="22"/>
          <w:szCs w:val="22"/>
        </w:rPr>
      </w:pPr>
      <w:r w:rsidRPr="002B2441">
        <w:rPr>
          <w:sz w:val="22"/>
          <w:szCs w:val="22"/>
        </w:rPr>
        <w:t>cancro que afeta o sistema linfático</w:t>
      </w:r>
    </w:p>
    <w:p w14:paraId="22418971"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melanoma</w:t>
      </w:r>
    </w:p>
    <w:p w14:paraId="474265A7" w14:textId="77777777" w:rsidR="004462A0" w:rsidRPr="008B0DDF" w:rsidRDefault="00615769" w:rsidP="004462A0">
      <w:pPr>
        <w:numPr>
          <w:ilvl w:val="0"/>
          <w:numId w:val="68"/>
        </w:numPr>
        <w:tabs>
          <w:tab w:val="clear" w:pos="283"/>
          <w:tab w:val="num" w:pos="0"/>
        </w:tabs>
        <w:ind w:hanging="566"/>
        <w:rPr>
          <w:sz w:val="22"/>
          <w:szCs w:val="22"/>
        </w:rPr>
      </w:pPr>
      <w:r w:rsidRPr="008B0DDF">
        <w:rPr>
          <w:sz w:val="22"/>
          <w:szCs w:val="22"/>
        </w:rPr>
        <w:t>perturbações do sistema imunitário que podem afetar os pulmões, pele e gânglios linfáticos (apresentando-se mais frequentemente como sarcoidose)</w:t>
      </w:r>
    </w:p>
    <w:p w14:paraId="59429AF2"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vasculite (inflamação dos vasos sanguíneos)</w:t>
      </w:r>
    </w:p>
    <w:p w14:paraId="6B3F299A"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tremor (agitação)</w:t>
      </w:r>
    </w:p>
    <w:p w14:paraId="712BE42A"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neuropatia (alteração dos nervos)</w:t>
      </w:r>
    </w:p>
    <w:p w14:paraId="3BDD1CC3"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AVC</w:t>
      </w:r>
    </w:p>
    <w:p w14:paraId="2CA54845" w14:textId="77777777" w:rsidR="004462A0" w:rsidRPr="00C0208A" w:rsidRDefault="00615769" w:rsidP="00F03C54">
      <w:pPr>
        <w:numPr>
          <w:ilvl w:val="0"/>
          <w:numId w:val="68"/>
        </w:numPr>
        <w:tabs>
          <w:tab w:val="clear" w:pos="283"/>
          <w:tab w:val="num" w:pos="600"/>
        </w:tabs>
        <w:ind w:hanging="567"/>
        <w:rPr>
          <w:sz w:val="22"/>
          <w:szCs w:val="22"/>
        </w:rPr>
      </w:pPr>
      <w:r w:rsidRPr="00C0208A">
        <w:rPr>
          <w:sz w:val="22"/>
          <w:szCs w:val="22"/>
        </w:rPr>
        <w:t>perda de audição, zumbido</w:t>
      </w:r>
    </w:p>
    <w:p w14:paraId="5BD25A54"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sensação de batimento irregular do coração tal como palpitações</w:t>
      </w:r>
    </w:p>
    <w:p w14:paraId="2FE02B7F"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problemas no coração que podem causar falta de ar ou inchaço nos tornozelos</w:t>
      </w:r>
    </w:p>
    <w:p w14:paraId="45F17EF4"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ataque cardíaco</w:t>
      </w:r>
    </w:p>
    <w:p w14:paraId="5CA02BFC"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quisto na parede de uma artéria maior, inflamação e coágulo de uma veia, bloqueio de um vaso sanguíneo</w:t>
      </w:r>
    </w:p>
    <w:p w14:paraId="07C4381E"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doenças pulmonares causando falta de ar (incluindo inflamação)</w:t>
      </w:r>
    </w:p>
    <w:p w14:paraId="0DA99B03"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emboli</w:t>
      </w:r>
      <w:r w:rsidR="003E3AA9">
        <w:rPr>
          <w:sz w:val="22"/>
          <w:szCs w:val="22"/>
        </w:rPr>
        <w:t>a</w:t>
      </w:r>
      <w:r w:rsidRPr="008B0DDF">
        <w:rPr>
          <w:sz w:val="22"/>
          <w:szCs w:val="22"/>
        </w:rPr>
        <w:t xml:space="preserve"> pulmonar (bloqueio de uma artéria </w:t>
      </w:r>
      <w:r w:rsidR="00F840DB">
        <w:rPr>
          <w:sz w:val="22"/>
          <w:szCs w:val="22"/>
        </w:rPr>
        <w:t>no pulmão</w:t>
      </w:r>
      <w:r w:rsidRPr="008B0DDF">
        <w:rPr>
          <w:sz w:val="22"/>
          <w:szCs w:val="22"/>
        </w:rPr>
        <w:t>)</w:t>
      </w:r>
    </w:p>
    <w:p w14:paraId="3EAC79D6"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derrame pleural (acumulação anormal de líquido no espaço pleural)</w:t>
      </w:r>
    </w:p>
    <w:p w14:paraId="79CAE5F9"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inflamação do pâncreas que causa dor grave no abdómen e costas</w:t>
      </w:r>
    </w:p>
    <w:p w14:paraId="77E57C7C"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dificuldade em engoli</w:t>
      </w:r>
      <w:r>
        <w:rPr>
          <w:sz w:val="22"/>
          <w:szCs w:val="22"/>
        </w:rPr>
        <w:t>r</w:t>
      </w:r>
    </w:p>
    <w:p w14:paraId="39E5AB24"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edema facial (inchaço da face)</w:t>
      </w:r>
    </w:p>
    <w:p w14:paraId="3AE354ED"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 xml:space="preserve">inflamação da vesícula, pedra na vesícula </w:t>
      </w:r>
    </w:p>
    <w:p w14:paraId="3E3DE190"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fígado gordo</w:t>
      </w:r>
    </w:p>
    <w:p w14:paraId="67032681"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suores noturnos</w:t>
      </w:r>
    </w:p>
    <w:p w14:paraId="7EE910DB"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escaras</w:t>
      </w:r>
    </w:p>
    <w:p w14:paraId="4E389446"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colapso muscular anormal</w:t>
      </w:r>
    </w:p>
    <w:p w14:paraId="6B9D1EDD"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lúpus eritematoso sistémico (incluindo inflamação da pele, coração, pulmão, articulações e outros</w:t>
      </w:r>
      <w:r w:rsidR="00CC20F9">
        <w:rPr>
          <w:sz w:val="22"/>
          <w:szCs w:val="22"/>
        </w:rPr>
        <w:t xml:space="preserve"> sistemas de</w:t>
      </w:r>
      <w:r w:rsidRPr="008B0DDF">
        <w:rPr>
          <w:sz w:val="22"/>
          <w:szCs w:val="22"/>
        </w:rPr>
        <w:t xml:space="preserve"> órgãos)</w:t>
      </w:r>
    </w:p>
    <w:p w14:paraId="05B5F189"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interrupções de sono</w:t>
      </w:r>
    </w:p>
    <w:p w14:paraId="2FFFC1F4" w14:textId="77777777" w:rsidR="004462A0" w:rsidRPr="008B0DDF" w:rsidRDefault="00615769" w:rsidP="004462A0">
      <w:pPr>
        <w:numPr>
          <w:ilvl w:val="0"/>
          <w:numId w:val="68"/>
        </w:numPr>
        <w:tabs>
          <w:tab w:val="clear" w:pos="283"/>
          <w:tab w:val="num" w:pos="600"/>
        </w:tabs>
        <w:ind w:hanging="567"/>
        <w:rPr>
          <w:sz w:val="22"/>
          <w:szCs w:val="22"/>
        </w:rPr>
      </w:pPr>
      <w:r w:rsidRPr="008B0DDF">
        <w:rPr>
          <w:sz w:val="22"/>
          <w:szCs w:val="22"/>
        </w:rPr>
        <w:t>impotência</w:t>
      </w:r>
    </w:p>
    <w:p w14:paraId="01C0756D" w14:textId="77777777" w:rsidR="004462A0" w:rsidRPr="008B0DDF" w:rsidRDefault="00615769" w:rsidP="004462A0">
      <w:pPr>
        <w:numPr>
          <w:ilvl w:val="0"/>
          <w:numId w:val="74"/>
        </w:numPr>
        <w:tabs>
          <w:tab w:val="clear" w:pos="0"/>
        </w:tabs>
        <w:ind w:left="568" w:hanging="568"/>
        <w:rPr>
          <w:sz w:val="22"/>
          <w:szCs w:val="22"/>
        </w:rPr>
      </w:pPr>
      <w:r w:rsidRPr="008B0DDF">
        <w:rPr>
          <w:sz w:val="22"/>
          <w:szCs w:val="22"/>
        </w:rPr>
        <w:t>inflamações</w:t>
      </w:r>
    </w:p>
    <w:p w14:paraId="4F658A86" w14:textId="77777777" w:rsidR="004462A0" w:rsidRPr="008B0DDF" w:rsidRDefault="004462A0" w:rsidP="004462A0">
      <w:pPr>
        <w:ind w:left="568" w:hanging="568"/>
        <w:rPr>
          <w:sz w:val="22"/>
          <w:szCs w:val="22"/>
        </w:rPr>
      </w:pPr>
    </w:p>
    <w:p w14:paraId="05800BCE" w14:textId="77777777" w:rsidR="004462A0" w:rsidRPr="008B0DDF" w:rsidRDefault="00615769" w:rsidP="004462A0">
      <w:pPr>
        <w:ind w:left="568" w:hanging="568"/>
        <w:rPr>
          <w:sz w:val="22"/>
          <w:szCs w:val="22"/>
        </w:rPr>
      </w:pPr>
      <w:r w:rsidRPr="008B0DDF">
        <w:rPr>
          <w:b/>
          <w:sz w:val="22"/>
          <w:szCs w:val="22"/>
        </w:rPr>
        <w:t>Raros</w:t>
      </w:r>
      <w:r w:rsidRPr="008B0DDF">
        <w:rPr>
          <w:sz w:val="22"/>
          <w:szCs w:val="22"/>
        </w:rPr>
        <w:t xml:space="preserve"> (podem afetar até 1 em 1.000 pessoas)</w:t>
      </w:r>
    </w:p>
    <w:p w14:paraId="1C518F24" w14:textId="77777777" w:rsidR="004462A0" w:rsidRPr="008B0DDF" w:rsidRDefault="004462A0" w:rsidP="004462A0">
      <w:pPr>
        <w:ind w:left="568" w:hanging="568"/>
        <w:rPr>
          <w:sz w:val="22"/>
          <w:szCs w:val="22"/>
        </w:rPr>
      </w:pPr>
    </w:p>
    <w:p w14:paraId="7FED1F7B"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leucemia (cancro que afeta o sangue e a medula óssea)</w:t>
      </w:r>
    </w:p>
    <w:p w14:paraId="46DDB5DB"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reação alérgica grave com choque</w:t>
      </w:r>
    </w:p>
    <w:p w14:paraId="42967C48"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esclerose múltipla</w:t>
      </w:r>
    </w:p>
    <w:p w14:paraId="222ABB50"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alterações neurológicas (tais como inflamação do nervo ocular e síndrome de Guillain-Barré que pode causar fraqueza muscular, sensações anormais, formigueiro nos braços e na parte superior do corpo)</w:t>
      </w:r>
    </w:p>
    <w:p w14:paraId="5C60A7C7"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o coração deixa de bombear</w:t>
      </w:r>
    </w:p>
    <w:p w14:paraId="03117495"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fibrose pulmonar (cicatrizes no pulmão)</w:t>
      </w:r>
    </w:p>
    <w:p w14:paraId="4FB23233" w14:textId="77777777" w:rsidR="004462A0" w:rsidRPr="00D87764" w:rsidRDefault="00615769" w:rsidP="00636825">
      <w:pPr>
        <w:numPr>
          <w:ilvl w:val="0"/>
          <w:numId w:val="68"/>
        </w:numPr>
        <w:tabs>
          <w:tab w:val="clear" w:pos="283"/>
          <w:tab w:val="num" w:pos="600"/>
        </w:tabs>
        <w:ind w:hanging="567"/>
        <w:rPr>
          <w:sz w:val="22"/>
          <w:szCs w:val="22"/>
        </w:rPr>
      </w:pPr>
      <w:r w:rsidRPr="008B0DDF">
        <w:rPr>
          <w:sz w:val="22"/>
          <w:szCs w:val="22"/>
        </w:rPr>
        <w:t>perfuração intestinal (</w:t>
      </w:r>
      <w:r w:rsidRPr="00D87764">
        <w:rPr>
          <w:sz w:val="22"/>
          <w:szCs w:val="22"/>
        </w:rPr>
        <w:t>buraco no intestino)</w:t>
      </w:r>
    </w:p>
    <w:p w14:paraId="023C9F9B" w14:textId="77777777" w:rsidR="004462A0" w:rsidRPr="006462E3" w:rsidRDefault="00615769" w:rsidP="00636825">
      <w:pPr>
        <w:numPr>
          <w:ilvl w:val="0"/>
          <w:numId w:val="68"/>
        </w:numPr>
        <w:tabs>
          <w:tab w:val="clear" w:pos="283"/>
          <w:tab w:val="num" w:pos="600"/>
        </w:tabs>
        <w:ind w:hanging="567"/>
        <w:rPr>
          <w:sz w:val="22"/>
          <w:szCs w:val="22"/>
        </w:rPr>
      </w:pPr>
      <w:r w:rsidRPr="004F0FBC">
        <w:rPr>
          <w:sz w:val="22"/>
          <w:szCs w:val="22"/>
        </w:rPr>
        <w:t>hepatite</w:t>
      </w:r>
    </w:p>
    <w:p w14:paraId="6AC3B5F4" w14:textId="77777777" w:rsidR="004462A0" w:rsidRPr="00854C93" w:rsidRDefault="00615769" w:rsidP="00636825">
      <w:pPr>
        <w:numPr>
          <w:ilvl w:val="0"/>
          <w:numId w:val="68"/>
        </w:numPr>
        <w:tabs>
          <w:tab w:val="clear" w:pos="283"/>
          <w:tab w:val="num" w:pos="600"/>
        </w:tabs>
        <w:ind w:hanging="567"/>
        <w:rPr>
          <w:sz w:val="22"/>
          <w:szCs w:val="22"/>
        </w:rPr>
      </w:pPr>
      <w:r w:rsidRPr="009A05BE">
        <w:rPr>
          <w:sz w:val="22"/>
          <w:szCs w:val="22"/>
        </w:rPr>
        <w:t>reativação da hepatite B</w:t>
      </w:r>
    </w:p>
    <w:p w14:paraId="712837C4" w14:textId="77777777" w:rsidR="004462A0" w:rsidRPr="005307A8" w:rsidRDefault="00615769" w:rsidP="00636825">
      <w:pPr>
        <w:numPr>
          <w:ilvl w:val="0"/>
          <w:numId w:val="68"/>
        </w:numPr>
        <w:tabs>
          <w:tab w:val="clear" w:pos="283"/>
          <w:tab w:val="num" w:pos="600"/>
        </w:tabs>
        <w:ind w:hanging="567"/>
        <w:rPr>
          <w:szCs w:val="22"/>
        </w:rPr>
      </w:pPr>
      <w:r w:rsidRPr="00636825">
        <w:rPr>
          <w:sz w:val="22"/>
          <w:szCs w:val="22"/>
        </w:rPr>
        <w:t>hepatite autoimune (inflamação do fígado causada pelo próprio sistema imunitário do corpo)</w:t>
      </w:r>
    </w:p>
    <w:p w14:paraId="2EF06126" w14:textId="77777777" w:rsidR="004462A0" w:rsidRPr="000B3FE3" w:rsidRDefault="00615769" w:rsidP="00636825">
      <w:pPr>
        <w:numPr>
          <w:ilvl w:val="0"/>
          <w:numId w:val="68"/>
        </w:numPr>
        <w:tabs>
          <w:tab w:val="clear" w:pos="283"/>
          <w:tab w:val="num" w:pos="600"/>
        </w:tabs>
        <w:ind w:hanging="567"/>
        <w:rPr>
          <w:sz w:val="22"/>
          <w:szCs w:val="22"/>
        </w:rPr>
      </w:pPr>
      <w:r w:rsidRPr="000B3FE3">
        <w:rPr>
          <w:sz w:val="22"/>
          <w:szCs w:val="22"/>
        </w:rPr>
        <w:t>vasculite cutânea (inflamação dos vasos sanguíneos da pele)</w:t>
      </w:r>
    </w:p>
    <w:p w14:paraId="56CBCDE3" w14:textId="77777777" w:rsidR="004462A0" w:rsidRPr="002D4DE5" w:rsidRDefault="00615769" w:rsidP="00636825">
      <w:pPr>
        <w:numPr>
          <w:ilvl w:val="0"/>
          <w:numId w:val="68"/>
        </w:numPr>
        <w:tabs>
          <w:tab w:val="clear" w:pos="283"/>
          <w:tab w:val="num" w:pos="600"/>
        </w:tabs>
        <w:ind w:hanging="567"/>
        <w:rPr>
          <w:sz w:val="22"/>
          <w:szCs w:val="22"/>
        </w:rPr>
      </w:pPr>
      <w:r w:rsidRPr="004931CE">
        <w:rPr>
          <w:sz w:val="22"/>
          <w:szCs w:val="22"/>
        </w:rPr>
        <w:t>síndrome de Stevens-Johnson (sintomas iniciais incluindo indisposição, feb</w:t>
      </w:r>
      <w:r w:rsidRPr="00653128">
        <w:rPr>
          <w:sz w:val="22"/>
          <w:szCs w:val="22"/>
        </w:rPr>
        <w:t>re, dor de cabeça e erupção cutânea)</w:t>
      </w:r>
    </w:p>
    <w:p w14:paraId="63A66A8F" w14:textId="77777777" w:rsidR="004462A0" w:rsidRPr="005F6F98" w:rsidRDefault="00615769" w:rsidP="00636825">
      <w:pPr>
        <w:numPr>
          <w:ilvl w:val="0"/>
          <w:numId w:val="68"/>
        </w:numPr>
        <w:tabs>
          <w:tab w:val="clear" w:pos="283"/>
          <w:tab w:val="num" w:pos="600"/>
        </w:tabs>
        <w:ind w:hanging="567"/>
        <w:rPr>
          <w:sz w:val="22"/>
          <w:szCs w:val="22"/>
        </w:rPr>
      </w:pPr>
      <w:r w:rsidRPr="00003560">
        <w:rPr>
          <w:sz w:val="22"/>
          <w:szCs w:val="22"/>
        </w:rPr>
        <w:t>edema facial</w:t>
      </w:r>
      <w:r w:rsidRPr="005F6F98">
        <w:rPr>
          <w:sz w:val="22"/>
          <w:szCs w:val="22"/>
        </w:rPr>
        <w:t xml:space="preserve"> (inchaço da face) associado com reações alérgicas</w:t>
      </w:r>
    </w:p>
    <w:p w14:paraId="0252DBC6" w14:textId="77777777" w:rsidR="004462A0" w:rsidRPr="00B830EC" w:rsidRDefault="00615769" w:rsidP="00636825">
      <w:pPr>
        <w:numPr>
          <w:ilvl w:val="0"/>
          <w:numId w:val="68"/>
        </w:numPr>
        <w:tabs>
          <w:tab w:val="clear" w:pos="283"/>
          <w:tab w:val="num" w:pos="600"/>
        </w:tabs>
        <w:ind w:hanging="567"/>
        <w:rPr>
          <w:sz w:val="22"/>
          <w:szCs w:val="22"/>
        </w:rPr>
      </w:pPr>
      <w:r w:rsidRPr="002B2441">
        <w:rPr>
          <w:sz w:val="22"/>
          <w:szCs w:val="22"/>
        </w:rPr>
        <w:t>eritema multiforme (erupção cutânea inflamatória)</w:t>
      </w:r>
    </w:p>
    <w:p w14:paraId="3FC5FD04" w14:textId="77777777" w:rsidR="004462A0" w:rsidRDefault="00615769" w:rsidP="00636825">
      <w:pPr>
        <w:numPr>
          <w:ilvl w:val="0"/>
          <w:numId w:val="68"/>
        </w:numPr>
        <w:tabs>
          <w:tab w:val="clear" w:pos="283"/>
          <w:tab w:val="num" w:pos="600"/>
        </w:tabs>
        <w:ind w:hanging="567"/>
        <w:rPr>
          <w:sz w:val="22"/>
          <w:szCs w:val="22"/>
        </w:rPr>
      </w:pPr>
      <w:r w:rsidRPr="008B0DDF">
        <w:rPr>
          <w:sz w:val="22"/>
          <w:szCs w:val="22"/>
        </w:rPr>
        <w:t>síndrome tipo lúpus</w:t>
      </w:r>
    </w:p>
    <w:p w14:paraId="2988643D" w14:textId="77777777" w:rsidR="00C0208A" w:rsidRDefault="00615769" w:rsidP="00636825">
      <w:pPr>
        <w:numPr>
          <w:ilvl w:val="0"/>
          <w:numId w:val="68"/>
        </w:numPr>
        <w:tabs>
          <w:tab w:val="clear" w:pos="283"/>
          <w:tab w:val="num" w:pos="600"/>
        </w:tabs>
        <w:ind w:hanging="567"/>
        <w:rPr>
          <w:sz w:val="22"/>
          <w:szCs w:val="22"/>
        </w:rPr>
      </w:pPr>
      <w:r>
        <w:rPr>
          <w:sz w:val="22"/>
          <w:szCs w:val="22"/>
        </w:rPr>
        <w:t>angioedema (inchaço localizado da pele)</w:t>
      </w:r>
    </w:p>
    <w:p w14:paraId="707A4436" w14:textId="77777777" w:rsidR="00763569" w:rsidRPr="00763569" w:rsidRDefault="00615769" w:rsidP="00636825">
      <w:pPr>
        <w:numPr>
          <w:ilvl w:val="0"/>
          <w:numId w:val="68"/>
        </w:numPr>
        <w:tabs>
          <w:tab w:val="clear" w:pos="283"/>
          <w:tab w:val="num" w:pos="600"/>
        </w:tabs>
        <w:ind w:hanging="567"/>
        <w:rPr>
          <w:sz w:val="22"/>
          <w:szCs w:val="22"/>
        </w:rPr>
      </w:pPr>
      <w:r>
        <w:rPr>
          <w:sz w:val="22"/>
          <w:szCs w:val="22"/>
        </w:rPr>
        <w:t>r</w:t>
      </w:r>
      <w:r w:rsidRPr="00763569">
        <w:rPr>
          <w:sz w:val="22"/>
          <w:szCs w:val="22"/>
        </w:rPr>
        <w:t>eação cutânea liquen</w:t>
      </w:r>
      <w:r>
        <w:rPr>
          <w:sz w:val="22"/>
          <w:szCs w:val="22"/>
        </w:rPr>
        <w:t>o</w:t>
      </w:r>
      <w:r w:rsidRPr="00763569">
        <w:rPr>
          <w:sz w:val="22"/>
          <w:szCs w:val="22"/>
        </w:rPr>
        <w:t xml:space="preserve">ide (erupção </w:t>
      </w:r>
      <w:r>
        <w:rPr>
          <w:sz w:val="22"/>
          <w:szCs w:val="22"/>
        </w:rPr>
        <w:t>na pele</w:t>
      </w:r>
      <w:r w:rsidRPr="00763569">
        <w:rPr>
          <w:sz w:val="22"/>
          <w:szCs w:val="22"/>
        </w:rPr>
        <w:t xml:space="preserve"> vermelho-púrpura com comichão)</w:t>
      </w:r>
    </w:p>
    <w:p w14:paraId="1D97B378" w14:textId="77777777" w:rsidR="004462A0" w:rsidRPr="008B0DDF" w:rsidRDefault="004462A0" w:rsidP="004462A0">
      <w:pPr>
        <w:rPr>
          <w:sz w:val="22"/>
          <w:szCs w:val="22"/>
        </w:rPr>
      </w:pPr>
    </w:p>
    <w:p w14:paraId="5FCCD324" w14:textId="77777777" w:rsidR="004462A0" w:rsidRPr="008B0DDF" w:rsidRDefault="00615769" w:rsidP="004462A0">
      <w:pPr>
        <w:rPr>
          <w:sz w:val="22"/>
          <w:szCs w:val="22"/>
        </w:rPr>
      </w:pPr>
      <w:r w:rsidRPr="008B0DDF">
        <w:rPr>
          <w:b/>
          <w:sz w:val="22"/>
          <w:szCs w:val="22"/>
        </w:rPr>
        <w:t>Desconhecido</w:t>
      </w:r>
      <w:r w:rsidRPr="008B0DDF">
        <w:rPr>
          <w:sz w:val="22"/>
          <w:szCs w:val="22"/>
        </w:rPr>
        <w:t xml:space="preserve"> (a frequência não pode ser calculada a partir dos dados disponíveis)</w:t>
      </w:r>
    </w:p>
    <w:p w14:paraId="4FCCF008" w14:textId="77777777" w:rsidR="004462A0" w:rsidRPr="008B0DDF" w:rsidRDefault="004462A0" w:rsidP="004462A0">
      <w:pPr>
        <w:rPr>
          <w:sz w:val="22"/>
          <w:szCs w:val="22"/>
        </w:rPr>
      </w:pPr>
    </w:p>
    <w:p w14:paraId="04214897"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linfoma hepatoesplénico de linfócitos T (um raro cancro de sangue que muitas vezes é fatal)</w:t>
      </w:r>
    </w:p>
    <w:p w14:paraId="0BEA68A1" w14:textId="77777777" w:rsidR="004462A0" w:rsidRDefault="00615769" w:rsidP="00636825">
      <w:pPr>
        <w:numPr>
          <w:ilvl w:val="0"/>
          <w:numId w:val="68"/>
        </w:numPr>
        <w:tabs>
          <w:tab w:val="clear" w:pos="283"/>
          <w:tab w:val="num" w:pos="600"/>
        </w:tabs>
        <w:ind w:hanging="567"/>
        <w:rPr>
          <w:sz w:val="22"/>
          <w:szCs w:val="22"/>
        </w:rPr>
      </w:pPr>
      <w:r w:rsidRPr="008B0DDF">
        <w:rPr>
          <w:sz w:val="22"/>
          <w:szCs w:val="22"/>
        </w:rPr>
        <w:t>carcinoma de células de Merkel (um tipo de cancro de pele)</w:t>
      </w:r>
    </w:p>
    <w:p w14:paraId="3ABC9C90" w14:textId="77777777" w:rsidR="00A06FA4" w:rsidRPr="008B0DDF" w:rsidRDefault="00615769" w:rsidP="00636825">
      <w:pPr>
        <w:numPr>
          <w:ilvl w:val="0"/>
          <w:numId w:val="68"/>
        </w:numPr>
        <w:tabs>
          <w:tab w:val="clear" w:pos="283"/>
          <w:tab w:val="num" w:pos="600"/>
        </w:tabs>
        <w:ind w:hanging="567"/>
        <w:rPr>
          <w:sz w:val="22"/>
          <w:szCs w:val="22"/>
        </w:rPr>
      </w:pPr>
      <w:r>
        <w:rPr>
          <w:sz w:val="22"/>
          <w:szCs w:val="22"/>
        </w:rPr>
        <w:t>s</w:t>
      </w:r>
      <w:r w:rsidRPr="006819E5">
        <w:rPr>
          <w:sz w:val="22"/>
          <w:szCs w:val="22"/>
        </w:rPr>
        <w:t>arcoma de Kaposi, um cancro raro relacionado com a infeção pelo vírus herpes humano 8. O sarcoma de Kaposi aparece mais frequentemente na forma de lesões cutâneas de cor púrpura</w:t>
      </w:r>
    </w:p>
    <w:p w14:paraId="70CF235D"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 xml:space="preserve">insuficiência hepática </w:t>
      </w:r>
    </w:p>
    <w:p w14:paraId="558CABEF" w14:textId="77777777" w:rsidR="007A4E33" w:rsidRDefault="00615769" w:rsidP="007A4E33">
      <w:pPr>
        <w:pStyle w:val="ListParagraph"/>
        <w:numPr>
          <w:ilvl w:val="0"/>
          <w:numId w:val="114"/>
        </w:numPr>
        <w:ind w:left="567" w:hanging="567"/>
        <w:rPr>
          <w:sz w:val="22"/>
          <w:szCs w:val="22"/>
        </w:rPr>
      </w:pPr>
      <w:r w:rsidRPr="008B0DDF">
        <w:rPr>
          <w:sz w:val="22"/>
          <w:szCs w:val="22"/>
        </w:rPr>
        <w:t>agravamento de uma doença chamada dermatomiosite (que corresponde a uma erupção cutânea acompanhada de fraqueza muscular)</w:t>
      </w:r>
      <w:r w:rsidRPr="007A4E33">
        <w:rPr>
          <w:sz w:val="22"/>
          <w:szCs w:val="22"/>
        </w:rPr>
        <w:t xml:space="preserve"> </w:t>
      </w:r>
    </w:p>
    <w:p w14:paraId="10ACC120" w14:textId="77777777" w:rsidR="004462A0" w:rsidRPr="00A10CE1" w:rsidRDefault="00615769" w:rsidP="00A10CE1">
      <w:pPr>
        <w:pStyle w:val="ListParagraph"/>
        <w:numPr>
          <w:ilvl w:val="0"/>
          <w:numId w:val="114"/>
        </w:numPr>
        <w:ind w:left="567" w:hanging="567"/>
        <w:rPr>
          <w:sz w:val="22"/>
          <w:szCs w:val="22"/>
        </w:rPr>
      </w:pPr>
      <w:r>
        <w:rPr>
          <w:sz w:val="22"/>
          <w:szCs w:val="22"/>
        </w:rPr>
        <w:t>a</w:t>
      </w:r>
      <w:r w:rsidRPr="007A4E33">
        <w:rPr>
          <w:sz w:val="22"/>
          <w:szCs w:val="22"/>
        </w:rPr>
        <w:t>umento de peso (para a maioria dos doentes, o aumento de peso foi pequeno)</w:t>
      </w:r>
    </w:p>
    <w:p w14:paraId="4E799F2C" w14:textId="77777777" w:rsidR="004462A0" w:rsidRPr="008B0DDF" w:rsidRDefault="004462A0" w:rsidP="004462A0">
      <w:pPr>
        <w:rPr>
          <w:sz w:val="22"/>
          <w:szCs w:val="22"/>
        </w:rPr>
      </w:pPr>
    </w:p>
    <w:p w14:paraId="2ADC3DD1" w14:textId="77777777" w:rsidR="004462A0" w:rsidRPr="008B0DDF" w:rsidRDefault="00615769" w:rsidP="004462A0">
      <w:pPr>
        <w:rPr>
          <w:sz w:val="22"/>
          <w:szCs w:val="22"/>
        </w:rPr>
      </w:pPr>
      <w:r w:rsidRPr="008B0DDF">
        <w:rPr>
          <w:sz w:val="22"/>
          <w:szCs w:val="22"/>
        </w:rPr>
        <w:t xml:space="preserve">Alguns efeitos </w:t>
      </w:r>
      <w:r w:rsidR="00571C82">
        <w:rPr>
          <w:sz w:val="22"/>
          <w:szCs w:val="22"/>
        </w:rPr>
        <w:t>indesejáveis</w:t>
      </w:r>
      <w:r w:rsidRPr="008B0DDF">
        <w:rPr>
          <w:sz w:val="22"/>
          <w:szCs w:val="22"/>
        </w:rPr>
        <w:t xml:space="preserve"> observados com Humira podem não ter sintomas e só podem ser identificados através de análises ao sangue. Estes incluem:</w:t>
      </w:r>
    </w:p>
    <w:p w14:paraId="5E3C44CE" w14:textId="77777777" w:rsidR="004462A0" w:rsidRPr="008B0DDF" w:rsidRDefault="004462A0" w:rsidP="004462A0">
      <w:pPr>
        <w:rPr>
          <w:sz w:val="22"/>
          <w:szCs w:val="22"/>
        </w:rPr>
      </w:pPr>
    </w:p>
    <w:p w14:paraId="4928706C" w14:textId="77777777" w:rsidR="004462A0" w:rsidRPr="008B0DDF" w:rsidRDefault="00615769" w:rsidP="004462A0">
      <w:pPr>
        <w:rPr>
          <w:sz w:val="22"/>
          <w:szCs w:val="22"/>
        </w:rPr>
      </w:pPr>
      <w:r w:rsidRPr="008B0DDF">
        <w:rPr>
          <w:b/>
          <w:sz w:val="22"/>
          <w:szCs w:val="22"/>
        </w:rPr>
        <w:t>Muito frequentes</w:t>
      </w:r>
      <w:r w:rsidRPr="008B0DDF">
        <w:rPr>
          <w:sz w:val="22"/>
          <w:szCs w:val="22"/>
        </w:rPr>
        <w:t xml:space="preserve"> (podem afetar mais de 1 em 10 pessoas)</w:t>
      </w:r>
    </w:p>
    <w:p w14:paraId="2F6DB40E" w14:textId="77777777" w:rsidR="004462A0" w:rsidRPr="008B0DDF" w:rsidRDefault="004462A0" w:rsidP="004462A0">
      <w:pPr>
        <w:rPr>
          <w:sz w:val="22"/>
          <w:szCs w:val="22"/>
        </w:rPr>
      </w:pPr>
    </w:p>
    <w:p w14:paraId="1EA1483E"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 xml:space="preserve">contagem diminuída dos glóbulos brancos </w:t>
      </w:r>
    </w:p>
    <w:p w14:paraId="2C5D2D1E"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contagem diminuída dos glóbulos vermelhos</w:t>
      </w:r>
    </w:p>
    <w:p w14:paraId="0D98B364"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aumento dos lípidos no sangue</w:t>
      </w:r>
    </w:p>
    <w:p w14:paraId="3626AE7D"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aumento das enzimas hepáticas</w:t>
      </w:r>
    </w:p>
    <w:p w14:paraId="0500BCDE" w14:textId="77777777" w:rsidR="004462A0" w:rsidRPr="008B0DDF" w:rsidRDefault="004462A0" w:rsidP="004462A0">
      <w:pPr>
        <w:rPr>
          <w:sz w:val="22"/>
          <w:szCs w:val="22"/>
        </w:rPr>
      </w:pPr>
    </w:p>
    <w:p w14:paraId="085A40C2" w14:textId="77777777" w:rsidR="004462A0" w:rsidRPr="008B0DDF" w:rsidRDefault="00615769" w:rsidP="004462A0">
      <w:pPr>
        <w:keepNext/>
        <w:rPr>
          <w:sz w:val="22"/>
          <w:szCs w:val="22"/>
        </w:rPr>
      </w:pPr>
      <w:r w:rsidRPr="008B0DDF">
        <w:rPr>
          <w:b/>
          <w:sz w:val="22"/>
          <w:szCs w:val="22"/>
        </w:rPr>
        <w:t>Frequentes</w:t>
      </w:r>
      <w:r w:rsidRPr="008B0DDF">
        <w:rPr>
          <w:sz w:val="22"/>
          <w:szCs w:val="22"/>
        </w:rPr>
        <w:t xml:space="preserve"> (podem afetar até 1 em 10 pessoas)</w:t>
      </w:r>
    </w:p>
    <w:p w14:paraId="0972F71F" w14:textId="77777777" w:rsidR="004462A0" w:rsidRPr="008B0DDF" w:rsidRDefault="004462A0" w:rsidP="004462A0">
      <w:pPr>
        <w:keepNext/>
        <w:rPr>
          <w:sz w:val="22"/>
          <w:szCs w:val="22"/>
        </w:rPr>
      </w:pPr>
    </w:p>
    <w:p w14:paraId="1A7F0CEC"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contagem aumentada dos glóbulos brancos</w:t>
      </w:r>
    </w:p>
    <w:p w14:paraId="171F771A"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contagem diminuída das plaquetas</w:t>
      </w:r>
    </w:p>
    <w:p w14:paraId="2D28F138"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aumento de ácido úrico no sangue</w:t>
      </w:r>
    </w:p>
    <w:p w14:paraId="16BAC3D8"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contagem anormal de sódio no sangue</w:t>
      </w:r>
    </w:p>
    <w:p w14:paraId="15F7E86C"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contagem diminuída de cálcio no sangue</w:t>
      </w:r>
    </w:p>
    <w:p w14:paraId="629C3E7D"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contagem diminuída de fosfato no sangue</w:t>
      </w:r>
    </w:p>
    <w:p w14:paraId="1F1637A6"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nível de açúcar aumentado no sangue</w:t>
      </w:r>
    </w:p>
    <w:p w14:paraId="3261A6E9"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valores aumentados de dehidrogenase láctica no sangue</w:t>
      </w:r>
    </w:p>
    <w:p w14:paraId="674CF6AF" w14:textId="77777777" w:rsidR="004462A0" w:rsidRDefault="00615769" w:rsidP="00636825">
      <w:pPr>
        <w:numPr>
          <w:ilvl w:val="0"/>
          <w:numId w:val="68"/>
        </w:numPr>
        <w:tabs>
          <w:tab w:val="clear" w:pos="283"/>
          <w:tab w:val="num" w:pos="600"/>
        </w:tabs>
        <w:ind w:hanging="567"/>
        <w:rPr>
          <w:sz w:val="22"/>
          <w:szCs w:val="22"/>
        </w:rPr>
      </w:pPr>
      <w:r w:rsidRPr="008B0DDF">
        <w:rPr>
          <w:sz w:val="22"/>
          <w:szCs w:val="22"/>
        </w:rPr>
        <w:t>presença de autoanticorpos no sangue</w:t>
      </w:r>
    </w:p>
    <w:p w14:paraId="0EA080B4" w14:textId="77777777" w:rsidR="00C0208A" w:rsidRPr="008B0DDF" w:rsidRDefault="00615769" w:rsidP="00636825">
      <w:pPr>
        <w:numPr>
          <w:ilvl w:val="0"/>
          <w:numId w:val="68"/>
        </w:numPr>
        <w:tabs>
          <w:tab w:val="clear" w:pos="283"/>
          <w:tab w:val="num" w:pos="600"/>
        </w:tabs>
        <w:ind w:hanging="567"/>
        <w:rPr>
          <w:sz w:val="22"/>
          <w:szCs w:val="22"/>
        </w:rPr>
      </w:pPr>
      <w:r>
        <w:rPr>
          <w:sz w:val="22"/>
          <w:szCs w:val="22"/>
        </w:rPr>
        <w:t>baixo teor de potássio no sangue</w:t>
      </w:r>
    </w:p>
    <w:p w14:paraId="3E7626CC" w14:textId="77777777" w:rsidR="004462A0" w:rsidRDefault="004462A0" w:rsidP="004462A0">
      <w:pPr>
        <w:rPr>
          <w:sz w:val="22"/>
          <w:szCs w:val="22"/>
        </w:rPr>
      </w:pPr>
    </w:p>
    <w:p w14:paraId="55BB3CCB" w14:textId="77777777" w:rsidR="00C0208A" w:rsidRDefault="00615769" w:rsidP="00C0208A">
      <w:pPr>
        <w:rPr>
          <w:sz w:val="22"/>
          <w:szCs w:val="22"/>
        </w:rPr>
      </w:pPr>
      <w:r w:rsidRPr="00E51FCC">
        <w:rPr>
          <w:b/>
          <w:sz w:val="22"/>
          <w:szCs w:val="22"/>
        </w:rPr>
        <w:t>Pouco frequentes</w:t>
      </w:r>
      <w:r w:rsidRPr="00127FFD">
        <w:rPr>
          <w:sz w:val="22"/>
          <w:szCs w:val="22"/>
        </w:rPr>
        <w:t xml:space="preserve"> (podem afetar até 1 em 100 pessoas</w:t>
      </w:r>
      <w:r w:rsidR="00A7534F">
        <w:rPr>
          <w:sz w:val="22"/>
          <w:szCs w:val="22"/>
        </w:rPr>
        <w:t>)</w:t>
      </w:r>
    </w:p>
    <w:p w14:paraId="0B182C0A" w14:textId="77777777" w:rsidR="00C0208A" w:rsidRDefault="00C0208A" w:rsidP="00C0208A">
      <w:pPr>
        <w:rPr>
          <w:sz w:val="22"/>
          <w:szCs w:val="22"/>
        </w:rPr>
      </w:pPr>
    </w:p>
    <w:p w14:paraId="395E2B83" w14:textId="77777777" w:rsidR="00C0208A" w:rsidRDefault="00615769" w:rsidP="00636825">
      <w:pPr>
        <w:numPr>
          <w:ilvl w:val="0"/>
          <w:numId w:val="68"/>
        </w:numPr>
        <w:tabs>
          <w:tab w:val="clear" w:pos="283"/>
          <w:tab w:val="num" w:pos="600"/>
        </w:tabs>
        <w:ind w:hanging="567"/>
        <w:rPr>
          <w:sz w:val="22"/>
          <w:szCs w:val="22"/>
        </w:rPr>
      </w:pPr>
      <w:r>
        <w:rPr>
          <w:sz w:val="22"/>
          <w:szCs w:val="22"/>
        </w:rPr>
        <w:t>aumento de bilirrubina (análises de sangue ao fígado)</w:t>
      </w:r>
    </w:p>
    <w:p w14:paraId="6CB81D0D" w14:textId="77777777" w:rsidR="002A17B6" w:rsidRDefault="002A17B6" w:rsidP="00F03C54">
      <w:pPr>
        <w:ind w:left="567" w:hanging="567"/>
        <w:rPr>
          <w:b/>
          <w:sz w:val="22"/>
          <w:szCs w:val="22"/>
        </w:rPr>
      </w:pPr>
    </w:p>
    <w:p w14:paraId="6E3F5B1B" w14:textId="77777777" w:rsidR="004462A0" w:rsidRPr="008B0DDF" w:rsidRDefault="00615769" w:rsidP="004462A0">
      <w:pPr>
        <w:rPr>
          <w:sz w:val="22"/>
          <w:szCs w:val="22"/>
        </w:rPr>
      </w:pPr>
      <w:r w:rsidRPr="008B0DDF">
        <w:rPr>
          <w:b/>
          <w:sz w:val="22"/>
          <w:szCs w:val="22"/>
        </w:rPr>
        <w:t>Raros</w:t>
      </w:r>
      <w:r w:rsidRPr="008B0DDF">
        <w:rPr>
          <w:sz w:val="22"/>
          <w:szCs w:val="22"/>
        </w:rPr>
        <w:t xml:space="preserve"> (podem afetar até 1 em 1.000 pessoas)</w:t>
      </w:r>
    </w:p>
    <w:p w14:paraId="0F96FD7E" w14:textId="77777777" w:rsidR="004462A0" w:rsidRPr="008B0DDF" w:rsidRDefault="004462A0" w:rsidP="004462A0">
      <w:pPr>
        <w:rPr>
          <w:sz w:val="22"/>
          <w:szCs w:val="22"/>
        </w:rPr>
      </w:pPr>
    </w:p>
    <w:p w14:paraId="2E8786CB" w14:textId="77777777" w:rsidR="004462A0" w:rsidRPr="008B0DDF" w:rsidRDefault="00615769" w:rsidP="00636825">
      <w:pPr>
        <w:numPr>
          <w:ilvl w:val="0"/>
          <w:numId w:val="68"/>
        </w:numPr>
        <w:tabs>
          <w:tab w:val="clear" w:pos="283"/>
          <w:tab w:val="num" w:pos="600"/>
        </w:tabs>
        <w:ind w:hanging="567"/>
        <w:rPr>
          <w:sz w:val="22"/>
          <w:szCs w:val="22"/>
        </w:rPr>
      </w:pPr>
      <w:r w:rsidRPr="008B0DDF">
        <w:rPr>
          <w:sz w:val="22"/>
          <w:szCs w:val="22"/>
        </w:rPr>
        <w:t>contagem diminuída de glóbulos brancos, glóbulos vermelhos e plaquetas</w:t>
      </w:r>
    </w:p>
    <w:p w14:paraId="204AE02E" w14:textId="77777777" w:rsidR="004462A0" w:rsidRPr="008B0DDF" w:rsidRDefault="004462A0" w:rsidP="004462A0">
      <w:pPr>
        <w:rPr>
          <w:sz w:val="22"/>
          <w:szCs w:val="22"/>
          <w:lang w:eastAsia="pt-PT"/>
        </w:rPr>
      </w:pPr>
    </w:p>
    <w:p w14:paraId="738714A8" w14:textId="77777777" w:rsidR="004462A0" w:rsidRPr="008B0DDF" w:rsidRDefault="00615769" w:rsidP="004462A0">
      <w:pPr>
        <w:rPr>
          <w:b/>
          <w:sz w:val="22"/>
          <w:szCs w:val="22"/>
        </w:rPr>
      </w:pPr>
      <w:r w:rsidRPr="008B0DDF">
        <w:rPr>
          <w:b/>
          <w:sz w:val="22"/>
          <w:szCs w:val="22"/>
        </w:rPr>
        <w:t xml:space="preserve">Comunicação de efeitos </w:t>
      </w:r>
      <w:r w:rsidR="00571C82">
        <w:rPr>
          <w:b/>
          <w:sz w:val="22"/>
          <w:szCs w:val="22"/>
        </w:rPr>
        <w:t>indesejáveis</w:t>
      </w:r>
    </w:p>
    <w:p w14:paraId="203069F8" w14:textId="77777777" w:rsidR="004462A0" w:rsidRPr="00454F99" w:rsidRDefault="00615769" w:rsidP="004462A0">
      <w:pPr>
        <w:suppressAutoHyphens/>
        <w:rPr>
          <w:sz w:val="22"/>
          <w:szCs w:val="22"/>
        </w:rPr>
      </w:pPr>
      <w:r w:rsidRPr="004F0FBC">
        <w:rPr>
          <w:sz w:val="22"/>
          <w:szCs w:val="22"/>
        </w:rPr>
        <w:t>Se tiver quaisquer efeitos</w:t>
      </w:r>
      <w:r w:rsidRPr="006462E3">
        <w:rPr>
          <w:sz w:val="22"/>
          <w:szCs w:val="22"/>
        </w:rPr>
        <w:t xml:space="preserve"> </w:t>
      </w:r>
      <w:r w:rsidR="00571C82">
        <w:rPr>
          <w:sz w:val="22"/>
          <w:szCs w:val="22"/>
        </w:rPr>
        <w:t>indesejáveis</w:t>
      </w:r>
      <w:r w:rsidRPr="006462E3">
        <w:rPr>
          <w:sz w:val="22"/>
          <w:szCs w:val="22"/>
        </w:rPr>
        <w:t xml:space="preserve">, incluindo possíveis efeitos </w:t>
      </w:r>
      <w:r w:rsidR="00571C82">
        <w:rPr>
          <w:sz w:val="22"/>
          <w:szCs w:val="22"/>
        </w:rPr>
        <w:t>indesejáveis</w:t>
      </w:r>
      <w:r w:rsidRPr="006462E3">
        <w:rPr>
          <w:sz w:val="22"/>
          <w:szCs w:val="22"/>
        </w:rPr>
        <w:t xml:space="preserve"> não indicados neste folheto, fale com o seu médico ou farmacêutico.</w:t>
      </w:r>
      <w:r w:rsidR="007C6926">
        <w:rPr>
          <w:sz w:val="22"/>
          <w:szCs w:val="22"/>
        </w:rPr>
        <w:t xml:space="preserve"> </w:t>
      </w:r>
      <w:r w:rsidRPr="009A05BE">
        <w:rPr>
          <w:sz w:val="22"/>
          <w:szCs w:val="22"/>
        </w:rPr>
        <w:t xml:space="preserve">Também poderá comunicar efeitos </w:t>
      </w:r>
      <w:r w:rsidR="00571C82">
        <w:rPr>
          <w:sz w:val="22"/>
          <w:szCs w:val="22"/>
        </w:rPr>
        <w:t>indesejáveis</w:t>
      </w:r>
      <w:r w:rsidRPr="009A05BE">
        <w:rPr>
          <w:sz w:val="22"/>
          <w:szCs w:val="22"/>
        </w:rPr>
        <w:t xml:space="preserve"> diretamente </w:t>
      </w:r>
      <w:r w:rsidRPr="009A05BE">
        <w:rPr>
          <w:sz w:val="22"/>
          <w:szCs w:val="22"/>
          <w:highlight w:val="lightGray"/>
        </w:rPr>
        <w:t xml:space="preserve">através do sistema nacional de notificação mencionado no </w:t>
      </w:r>
      <w:hyperlink r:id="rId74" w:history="1">
        <w:r w:rsidR="004462A0" w:rsidRPr="00AF229F">
          <w:rPr>
            <w:rStyle w:val="Hyperlink"/>
            <w:sz w:val="22"/>
            <w:szCs w:val="22"/>
            <w:highlight w:val="lightGray"/>
          </w:rPr>
          <w:t>Apêndice V</w:t>
        </w:r>
      </w:hyperlink>
      <w:r w:rsidRPr="00454F99">
        <w:rPr>
          <w:sz w:val="22"/>
          <w:szCs w:val="22"/>
        </w:rPr>
        <w:t xml:space="preserve">. Ao comunicar efeitos </w:t>
      </w:r>
      <w:r w:rsidR="00571C82">
        <w:rPr>
          <w:sz w:val="22"/>
          <w:szCs w:val="22"/>
        </w:rPr>
        <w:t>indesejáveis</w:t>
      </w:r>
      <w:r w:rsidRPr="00454F99">
        <w:rPr>
          <w:sz w:val="22"/>
          <w:szCs w:val="22"/>
        </w:rPr>
        <w:t>, estará a ajudar a fornecer mais informações sobre a segurança deste medicamento.</w:t>
      </w:r>
    </w:p>
    <w:p w14:paraId="7C5E0929" w14:textId="77777777" w:rsidR="004462A0" w:rsidRPr="004F0FBC" w:rsidRDefault="004462A0" w:rsidP="004462A0">
      <w:pPr>
        <w:ind w:right="-2"/>
        <w:rPr>
          <w:sz w:val="22"/>
          <w:szCs w:val="22"/>
        </w:rPr>
      </w:pPr>
    </w:p>
    <w:p w14:paraId="3E926155" w14:textId="77777777" w:rsidR="004462A0" w:rsidRPr="006462E3" w:rsidRDefault="004462A0" w:rsidP="004462A0">
      <w:pPr>
        <w:ind w:right="-2"/>
        <w:rPr>
          <w:sz w:val="22"/>
          <w:szCs w:val="22"/>
        </w:rPr>
      </w:pPr>
    </w:p>
    <w:p w14:paraId="10ACC20A" w14:textId="77777777" w:rsidR="004462A0" w:rsidRPr="006462E3" w:rsidRDefault="00615769" w:rsidP="001F27FE">
      <w:pPr>
        <w:keepNext/>
        <w:ind w:left="567" w:hanging="567"/>
        <w:rPr>
          <w:sz w:val="22"/>
          <w:szCs w:val="22"/>
        </w:rPr>
      </w:pPr>
      <w:r w:rsidRPr="006462E3">
        <w:rPr>
          <w:b/>
          <w:sz w:val="22"/>
          <w:szCs w:val="22"/>
        </w:rPr>
        <w:t>5.</w:t>
      </w:r>
      <w:r w:rsidRPr="006462E3">
        <w:rPr>
          <w:b/>
          <w:sz w:val="22"/>
          <w:szCs w:val="22"/>
        </w:rPr>
        <w:tab/>
        <w:t>Como conservar Humira</w:t>
      </w:r>
    </w:p>
    <w:p w14:paraId="4E9CAA09" w14:textId="77777777" w:rsidR="004462A0" w:rsidRPr="009A05BE" w:rsidRDefault="004462A0" w:rsidP="001F27FE">
      <w:pPr>
        <w:keepNext/>
        <w:ind w:right="-2"/>
        <w:rPr>
          <w:sz w:val="22"/>
          <w:szCs w:val="22"/>
        </w:rPr>
      </w:pPr>
    </w:p>
    <w:p w14:paraId="6B340225" w14:textId="77777777" w:rsidR="004462A0" w:rsidRPr="00854C93" w:rsidRDefault="00615769" w:rsidP="001F27FE">
      <w:pPr>
        <w:keepNext/>
        <w:ind w:right="-2"/>
        <w:rPr>
          <w:sz w:val="22"/>
          <w:szCs w:val="22"/>
        </w:rPr>
      </w:pPr>
      <w:r w:rsidRPr="00854C93">
        <w:rPr>
          <w:sz w:val="22"/>
          <w:szCs w:val="22"/>
        </w:rPr>
        <w:t xml:space="preserve">Manter este medicamento fora da vista e do alcance das crianças. </w:t>
      </w:r>
    </w:p>
    <w:p w14:paraId="45432E57" w14:textId="77777777" w:rsidR="004462A0" w:rsidRPr="0089156B" w:rsidRDefault="004462A0" w:rsidP="004462A0">
      <w:pPr>
        <w:ind w:right="-2"/>
        <w:rPr>
          <w:sz w:val="22"/>
          <w:szCs w:val="22"/>
        </w:rPr>
      </w:pPr>
    </w:p>
    <w:p w14:paraId="3D55A4D6" w14:textId="77777777" w:rsidR="004462A0" w:rsidRDefault="00615769" w:rsidP="004462A0">
      <w:pPr>
        <w:ind w:right="-2"/>
        <w:rPr>
          <w:sz w:val="22"/>
          <w:szCs w:val="22"/>
        </w:rPr>
      </w:pPr>
      <w:r w:rsidRPr="000B3FE3">
        <w:rPr>
          <w:sz w:val="22"/>
          <w:szCs w:val="22"/>
        </w:rPr>
        <w:t xml:space="preserve">Não utilize este medicamento após o prazo de validade impresso no rótulo/blister/embalagem, após </w:t>
      </w:r>
      <w:r>
        <w:rPr>
          <w:sz w:val="22"/>
          <w:szCs w:val="22"/>
        </w:rPr>
        <w:t>EXP</w:t>
      </w:r>
      <w:r w:rsidRPr="000B3FE3">
        <w:rPr>
          <w:sz w:val="22"/>
          <w:szCs w:val="22"/>
        </w:rPr>
        <w:t xml:space="preserve">. </w:t>
      </w:r>
    </w:p>
    <w:p w14:paraId="19A1686E" w14:textId="77777777" w:rsidR="004462A0" w:rsidRPr="004931CE" w:rsidRDefault="004462A0" w:rsidP="004462A0">
      <w:pPr>
        <w:ind w:right="-2"/>
        <w:rPr>
          <w:sz w:val="22"/>
          <w:szCs w:val="22"/>
        </w:rPr>
      </w:pPr>
    </w:p>
    <w:p w14:paraId="603010C3" w14:textId="77777777" w:rsidR="004462A0" w:rsidRPr="00003560" w:rsidRDefault="00615769" w:rsidP="004462A0">
      <w:pPr>
        <w:pStyle w:val="BodyText3"/>
        <w:rPr>
          <w:szCs w:val="22"/>
        </w:rPr>
      </w:pPr>
      <w:r w:rsidRPr="00653128">
        <w:rPr>
          <w:szCs w:val="22"/>
        </w:rPr>
        <w:t xml:space="preserve">Conservar no frigorífico </w:t>
      </w:r>
      <w:r w:rsidR="00184BF5">
        <w:rPr>
          <w:szCs w:val="22"/>
        </w:rPr>
        <w:t>(2º</w:t>
      </w:r>
      <w:r w:rsidR="00AA2EEA">
        <w:rPr>
          <w:szCs w:val="22"/>
        </w:rPr>
        <w:t xml:space="preserve"> </w:t>
      </w:r>
      <w:r w:rsidR="00184BF5" w:rsidRPr="008912CF">
        <w:rPr>
          <w:szCs w:val="22"/>
        </w:rPr>
        <w:t>C</w:t>
      </w:r>
      <w:r w:rsidR="00184BF5">
        <w:rPr>
          <w:szCs w:val="22"/>
        </w:rPr>
        <w:t xml:space="preserve"> – </w:t>
      </w:r>
      <w:r w:rsidR="00184BF5" w:rsidRPr="008912CF">
        <w:rPr>
          <w:szCs w:val="22"/>
        </w:rPr>
        <w:t>8</w:t>
      </w:r>
      <w:r w:rsidR="00184BF5">
        <w:rPr>
          <w:szCs w:val="22"/>
        </w:rPr>
        <w:t>º</w:t>
      </w:r>
      <w:r w:rsidR="00AA2EEA">
        <w:rPr>
          <w:szCs w:val="22"/>
        </w:rPr>
        <w:t xml:space="preserve"> </w:t>
      </w:r>
      <w:r w:rsidR="00184BF5" w:rsidRPr="008912CF">
        <w:rPr>
          <w:szCs w:val="22"/>
        </w:rPr>
        <w:t>C)</w:t>
      </w:r>
      <w:r w:rsidRPr="00003560">
        <w:rPr>
          <w:szCs w:val="22"/>
        </w:rPr>
        <w:t>. Não congelar.</w:t>
      </w:r>
    </w:p>
    <w:p w14:paraId="2EFFE9A6" w14:textId="77777777" w:rsidR="004462A0" w:rsidRPr="005F6F98" w:rsidRDefault="004462A0" w:rsidP="004462A0">
      <w:pPr>
        <w:pStyle w:val="BodyText3"/>
        <w:rPr>
          <w:szCs w:val="22"/>
        </w:rPr>
      </w:pPr>
    </w:p>
    <w:p w14:paraId="2AB352DB" w14:textId="77777777" w:rsidR="004462A0" w:rsidRPr="002B2441" w:rsidRDefault="00615769" w:rsidP="004462A0">
      <w:pPr>
        <w:pStyle w:val="BodyText3"/>
        <w:rPr>
          <w:szCs w:val="22"/>
        </w:rPr>
      </w:pPr>
      <w:r w:rsidRPr="002B2441">
        <w:rPr>
          <w:szCs w:val="22"/>
        </w:rPr>
        <w:t xml:space="preserve">Manter a </w:t>
      </w:r>
      <w:r>
        <w:rPr>
          <w:szCs w:val="22"/>
        </w:rPr>
        <w:t>seringa</w:t>
      </w:r>
      <w:r w:rsidRPr="002B2441">
        <w:rPr>
          <w:szCs w:val="22"/>
        </w:rPr>
        <w:t xml:space="preserve"> pré-cheia na embalagem exterior para proteger da luz.</w:t>
      </w:r>
    </w:p>
    <w:p w14:paraId="3C7E7553" w14:textId="77777777" w:rsidR="004462A0" w:rsidRPr="002B2441" w:rsidRDefault="004462A0" w:rsidP="004462A0">
      <w:pPr>
        <w:ind w:right="-2"/>
        <w:rPr>
          <w:sz w:val="22"/>
          <w:szCs w:val="22"/>
        </w:rPr>
      </w:pPr>
    </w:p>
    <w:p w14:paraId="5A67BBDB" w14:textId="77777777" w:rsidR="004462A0" w:rsidRPr="00B830EC" w:rsidRDefault="00615769" w:rsidP="004462A0">
      <w:pPr>
        <w:rPr>
          <w:rStyle w:val="hpsatn"/>
          <w:sz w:val="22"/>
          <w:szCs w:val="22"/>
        </w:rPr>
      </w:pPr>
      <w:r w:rsidRPr="00B830EC">
        <w:rPr>
          <w:rStyle w:val="hpsatn"/>
          <w:sz w:val="22"/>
          <w:szCs w:val="22"/>
        </w:rPr>
        <w:t>Conservação Alternativa:</w:t>
      </w:r>
    </w:p>
    <w:p w14:paraId="589E9E11" w14:textId="77777777" w:rsidR="004462A0" w:rsidRPr="008B0DDF" w:rsidRDefault="004462A0" w:rsidP="004462A0">
      <w:pPr>
        <w:rPr>
          <w:rStyle w:val="hpsatn"/>
          <w:sz w:val="22"/>
          <w:szCs w:val="22"/>
        </w:rPr>
      </w:pPr>
    </w:p>
    <w:p w14:paraId="5822E663" w14:textId="77777777" w:rsidR="004462A0" w:rsidRPr="008B0DDF" w:rsidRDefault="00615769" w:rsidP="004462A0">
      <w:pPr>
        <w:rPr>
          <w:rStyle w:val="hps"/>
          <w:sz w:val="22"/>
          <w:szCs w:val="22"/>
        </w:rPr>
      </w:pPr>
      <w:r w:rsidRPr="008B0DDF">
        <w:rPr>
          <w:rStyle w:val="hpsatn"/>
          <w:sz w:val="22"/>
          <w:szCs w:val="22"/>
        </w:rPr>
        <w:t>Quando necessário (</w:t>
      </w:r>
      <w:r w:rsidRPr="008B0DDF">
        <w:rPr>
          <w:sz w:val="22"/>
          <w:szCs w:val="22"/>
        </w:rPr>
        <w:t xml:space="preserve">por exemplo, quando </w:t>
      </w:r>
      <w:r w:rsidRPr="008B0DDF">
        <w:rPr>
          <w:rStyle w:val="hps"/>
          <w:sz w:val="22"/>
          <w:szCs w:val="22"/>
        </w:rPr>
        <w:t>está a viajar</w:t>
      </w:r>
      <w:r w:rsidRPr="008B0DDF">
        <w:rPr>
          <w:sz w:val="22"/>
          <w:szCs w:val="22"/>
        </w:rPr>
        <w:t xml:space="preserve">), uma </w:t>
      </w:r>
      <w:r>
        <w:rPr>
          <w:sz w:val="22"/>
          <w:szCs w:val="22"/>
        </w:rPr>
        <w:t>seringa</w:t>
      </w:r>
      <w:r w:rsidRPr="008B0DDF">
        <w:rPr>
          <w:rStyle w:val="hps"/>
          <w:sz w:val="22"/>
          <w:szCs w:val="22"/>
        </w:rPr>
        <w:t xml:space="preserve"> pré-cheia</w:t>
      </w:r>
      <w:r w:rsidRPr="008B0DDF">
        <w:rPr>
          <w:sz w:val="22"/>
          <w:szCs w:val="22"/>
        </w:rPr>
        <w:t xml:space="preserve"> de </w:t>
      </w:r>
      <w:r w:rsidRPr="008B0DDF">
        <w:rPr>
          <w:rStyle w:val="hps"/>
          <w:sz w:val="22"/>
          <w:szCs w:val="22"/>
        </w:rPr>
        <w:t>Humira, pode ser</w:t>
      </w:r>
      <w:r w:rsidRPr="008B0DDF">
        <w:rPr>
          <w:sz w:val="22"/>
          <w:szCs w:val="22"/>
        </w:rPr>
        <w:t xml:space="preserve"> conservada</w:t>
      </w:r>
      <w:r w:rsidRPr="008B0DDF">
        <w:rPr>
          <w:rStyle w:val="hps"/>
          <w:sz w:val="22"/>
          <w:szCs w:val="22"/>
        </w:rPr>
        <w:t xml:space="preserve"> até um período</w:t>
      </w:r>
      <w:r w:rsidRPr="008B0DDF">
        <w:rPr>
          <w:sz w:val="22"/>
          <w:szCs w:val="22"/>
        </w:rPr>
        <w:t xml:space="preserve"> </w:t>
      </w:r>
      <w:r w:rsidRPr="008B0DDF">
        <w:rPr>
          <w:rStyle w:val="hps"/>
          <w:sz w:val="22"/>
          <w:szCs w:val="22"/>
        </w:rPr>
        <w:t>máximo de 14 dias,</w:t>
      </w:r>
      <w:r w:rsidRPr="008B0DDF">
        <w:rPr>
          <w:sz w:val="22"/>
          <w:szCs w:val="22"/>
        </w:rPr>
        <w:t xml:space="preserve"> </w:t>
      </w:r>
      <w:r w:rsidRPr="008B0DDF">
        <w:rPr>
          <w:rStyle w:val="hps"/>
          <w:sz w:val="22"/>
          <w:szCs w:val="22"/>
        </w:rPr>
        <w:t>à temperatura ambiente</w:t>
      </w:r>
      <w:r w:rsidRPr="008B0DDF">
        <w:rPr>
          <w:sz w:val="22"/>
          <w:szCs w:val="22"/>
        </w:rPr>
        <w:t xml:space="preserve"> </w:t>
      </w:r>
      <w:r w:rsidRPr="008B0DDF">
        <w:rPr>
          <w:rStyle w:val="hps"/>
          <w:sz w:val="22"/>
          <w:szCs w:val="22"/>
        </w:rPr>
        <w:t>(até 25</w:t>
      </w:r>
      <w:r w:rsidRPr="008B0DDF">
        <w:rPr>
          <w:sz w:val="22"/>
          <w:szCs w:val="22"/>
        </w:rPr>
        <w:t xml:space="preserve"> </w:t>
      </w:r>
      <w:r w:rsidRPr="008B0DDF">
        <w:rPr>
          <w:rStyle w:val="hps"/>
          <w:sz w:val="22"/>
          <w:szCs w:val="22"/>
        </w:rPr>
        <w:t>° C)</w:t>
      </w:r>
      <w:r w:rsidRPr="008B0DDF">
        <w:rPr>
          <w:sz w:val="22"/>
          <w:szCs w:val="22"/>
        </w:rPr>
        <w:t xml:space="preserve"> </w:t>
      </w:r>
      <w:r w:rsidRPr="008B0DDF">
        <w:rPr>
          <w:rStyle w:val="hps"/>
          <w:sz w:val="22"/>
          <w:szCs w:val="22"/>
        </w:rPr>
        <w:t>-</w:t>
      </w:r>
      <w:r w:rsidRPr="008B0DDF">
        <w:rPr>
          <w:sz w:val="22"/>
          <w:szCs w:val="22"/>
        </w:rPr>
        <w:t xml:space="preserve"> </w:t>
      </w:r>
      <w:r w:rsidRPr="008B0DDF">
        <w:rPr>
          <w:rStyle w:val="hps"/>
          <w:sz w:val="22"/>
          <w:szCs w:val="22"/>
        </w:rPr>
        <w:t>ter a certeza que</w:t>
      </w:r>
      <w:r w:rsidRPr="008B0DDF">
        <w:rPr>
          <w:sz w:val="22"/>
          <w:szCs w:val="22"/>
        </w:rPr>
        <w:t xml:space="preserve"> a</w:t>
      </w:r>
      <w:r w:rsidRPr="008B0DDF">
        <w:rPr>
          <w:rStyle w:val="hps"/>
          <w:sz w:val="22"/>
          <w:szCs w:val="22"/>
        </w:rPr>
        <w:t xml:space="preserve"> protege da luz</w:t>
      </w:r>
      <w:r w:rsidRPr="008B0DDF">
        <w:rPr>
          <w:sz w:val="22"/>
          <w:szCs w:val="22"/>
        </w:rPr>
        <w:t xml:space="preserve">. </w:t>
      </w:r>
      <w:r w:rsidRPr="008B0DDF">
        <w:rPr>
          <w:rStyle w:val="hps"/>
          <w:sz w:val="22"/>
          <w:szCs w:val="22"/>
        </w:rPr>
        <w:t>Uma vez</w:t>
      </w:r>
      <w:r w:rsidRPr="008B0DDF">
        <w:rPr>
          <w:sz w:val="22"/>
          <w:szCs w:val="22"/>
        </w:rPr>
        <w:t xml:space="preserve"> </w:t>
      </w:r>
      <w:r w:rsidRPr="008B0DDF">
        <w:rPr>
          <w:rStyle w:val="hps"/>
          <w:sz w:val="22"/>
          <w:szCs w:val="22"/>
        </w:rPr>
        <w:t>retirada do</w:t>
      </w:r>
      <w:r w:rsidRPr="008B0DDF">
        <w:rPr>
          <w:sz w:val="22"/>
          <w:szCs w:val="22"/>
        </w:rPr>
        <w:t xml:space="preserve"> </w:t>
      </w:r>
      <w:r w:rsidRPr="008B0DDF">
        <w:rPr>
          <w:rStyle w:val="hps"/>
          <w:sz w:val="22"/>
          <w:szCs w:val="22"/>
        </w:rPr>
        <w:t>frigorífico</w:t>
      </w:r>
      <w:r w:rsidRPr="008B0DDF">
        <w:rPr>
          <w:sz w:val="22"/>
          <w:szCs w:val="22"/>
        </w:rPr>
        <w:t xml:space="preserve"> </w:t>
      </w:r>
      <w:r w:rsidRPr="008B0DDF">
        <w:rPr>
          <w:rStyle w:val="hps"/>
          <w:sz w:val="22"/>
          <w:szCs w:val="22"/>
        </w:rPr>
        <w:t>para a temperatura ambiente</w:t>
      </w:r>
      <w:r w:rsidRPr="008B0DDF">
        <w:rPr>
          <w:sz w:val="22"/>
          <w:szCs w:val="22"/>
        </w:rPr>
        <w:t xml:space="preserve">, a </w:t>
      </w:r>
      <w:r>
        <w:rPr>
          <w:sz w:val="22"/>
          <w:szCs w:val="22"/>
        </w:rPr>
        <w:t>seringa</w:t>
      </w:r>
      <w:r w:rsidRPr="008B0DDF">
        <w:rPr>
          <w:sz w:val="22"/>
          <w:szCs w:val="22"/>
        </w:rPr>
        <w:t xml:space="preserve"> </w:t>
      </w:r>
      <w:r w:rsidRPr="008B0DDF">
        <w:rPr>
          <w:rStyle w:val="hps"/>
          <w:b/>
          <w:bCs/>
          <w:sz w:val="22"/>
          <w:szCs w:val="22"/>
        </w:rPr>
        <w:t>deve ser utilizada</w:t>
      </w:r>
      <w:r w:rsidRPr="008B0DDF">
        <w:rPr>
          <w:b/>
          <w:bCs/>
          <w:sz w:val="22"/>
          <w:szCs w:val="22"/>
        </w:rPr>
        <w:t xml:space="preserve"> </w:t>
      </w:r>
      <w:r w:rsidRPr="008B0DDF">
        <w:rPr>
          <w:rStyle w:val="hps"/>
          <w:b/>
          <w:bCs/>
          <w:sz w:val="22"/>
          <w:szCs w:val="22"/>
        </w:rPr>
        <w:t>dentro de 14 dias</w:t>
      </w:r>
      <w:r w:rsidRPr="008B0DDF">
        <w:rPr>
          <w:b/>
          <w:bCs/>
          <w:sz w:val="22"/>
          <w:szCs w:val="22"/>
        </w:rPr>
        <w:t xml:space="preserve"> </w:t>
      </w:r>
      <w:r w:rsidRPr="008B0DDF">
        <w:rPr>
          <w:rStyle w:val="hps"/>
          <w:b/>
          <w:bCs/>
          <w:sz w:val="22"/>
          <w:szCs w:val="22"/>
        </w:rPr>
        <w:t>ou eliminada</w:t>
      </w:r>
      <w:r w:rsidRPr="008B0DDF">
        <w:rPr>
          <w:sz w:val="22"/>
          <w:szCs w:val="22"/>
        </w:rPr>
        <w:t>, mesmo que a volte a colocar n</w:t>
      </w:r>
      <w:r w:rsidRPr="008B0DDF">
        <w:rPr>
          <w:rStyle w:val="hps"/>
          <w:sz w:val="22"/>
          <w:szCs w:val="22"/>
        </w:rPr>
        <w:t>o frigorífico.</w:t>
      </w:r>
    </w:p>
    <w:p w14:paraId="4DED599A" w14:textId="77777777" w:rsidR="004462A0" w:rsidRPr="008B0DDF" w:rsidRDefault="004462A0" w:rsidP="004462A0">
      <w:pPr>
        <w:rPr>
          <w:rStyle w:val="hps"/>
          <w:sz w:val="22"/>
          <w:szCs w:val="22"/>
        </w:rPr>
      </w:pPr>
    </w:p>
    <w:p w14:paraId="25934988" w14:textId="77777777" w:rsidR="004462A0" w:rsidRPr="008B0DDF" w:rsidRDefault="00615769" w:rsidP="004462A0">
      <w:pPr>
        <w:ind w:right="-2"/>
        <w:rPr>
          <w:sz w:val="22"/>
          <w:szCs w:val="22"/>
        </w:rPr>
      </w:pPr>
      <w:r w:rsidRPr="008B0DDF">
        <w:rPr>
          <w:rStyle w:val="hps"/>
          <w:sz w:val="22"/>
          <w:szCs w:val="22"/>
        </w:rPr>
        <w:t>Deve registar a data em que</w:t>
      </w:r>
      <w:r w:rsidRPr="008B0DDF">
        <w:rPr>
          <w:sz w:val="22"/>
          <w:szCs w:val="22"/>
        </w:rPr>
        <w:t xml:space="preserve"> </w:t>
      </w:r>
      <w:r w:rsidRPr="008B0DDF">
        <w:rPr>
          <w:rStyle w:val="hps"/>
          <w:sz w:val="22"/>
          <w:szCs w:val="22"/>
        </w:rPr>
        <w:t xml:space="preserve">a </w:t>
      </w:r>
      <w:r>
        <w:rPr>
          <w:rStyle w:val="hps"/>
          <w:sz w:val="22"/>
          <w:szCs w:val="22"/>
        </w:rPr>
        <w:t>seringa</w:t>
      </w:r>
      <w:r w:rsidRPr="008B0DDF">
        <w:rPr>
          <w:rStyle w:val="hps"/>
          <w:sz w:val="22"/>
          <w:szCs w:val="22"/>
        </w:rPr>
        <w:t xml:space="preserve"> foi inicialmente </w:t>
      </w:r>
      <w:r w:rsidRPr="008B0DDF">
        <w:rPr>
          <w:sz w:val="22"/>
          <w:szCs w:val="22"/>
        </w:rPr>
        <w:t>r</w:t>
      </w:r>
      <w:r w:rsidRPr="008B0DDF">
        <w:rPr>
          <w:rStyle w:val="hps"/>
          <w:sz w:val="22"/>
          <w:szCs w:val="22"/>
        </w:rPr>
        <w:t>etirada do frigorífico e a data em que deve ser eliminada.</w:t>
      </w:r>
    </w:p>
    <w:p w14:paraId="1E789F0E" w14:textId="77777777" w:rsidR="004462A0" w:rsidRPr="008B0DDF" w:rsidRDefault="004462A0" w:rsidP="004462A0">
      <w:pPr>
        <w:ind w:right="-2"/>
        <w:rPr>
          <w:sz w:val="22"/>
          <w:szCs w:val="22"/>
        </w:rPr>
      </w:pPr>
    </w:p>
    <w:p w14:paraId="147A9BDA" w14:textId="77777777" w:rsidR="004462A0" w:rsidRPr="008B0DDF" w:rsidRDefault="00615769" w:rsidP="004462A0">
      <w:pPr>
        <w:ind w:right="-2"/>
        <w:rPr>
          <w:bCs/>
          <w:sz w:val="22"/>
          <w:szCs w:val="22"/>
        </w:rPr>
      </w:pPr>
      <w:r w:rsidRPr="008B0DDF">
        <w:rPr>
          <w:sz w:val="22"/>
          <w:szCs w:val="22"/>
        </w:rPr>
        <w:t xml:space="preserve">Não deite fora quaisquer medicamentos na canalização ou no lixo doméstico. Pergunte ao seu </w:t>
      </w:r>
      <w:r w:rsidR="00723763">
        <w:rPr>
          <w:sz w:val="22"/>
          <w:szCs w:val="22"/>
        </w:rPr>
        <w:t xml:space="preserve">médico ou </w:t>
      </w:r>
      <w:r w:rsidRPr="008B0DDF">
        <w:rPr>
          <w:sz w:val="22"/>
          <w:szCs w:val="22"/>
        </w:rPr>
        <w:t xml:space="preserve">farmacêutico como deitar fora os medicamentos que já não utiliza. Estas medidas ajudarão a proteger o ambiente. </w:t>
      </w:r>
    </w:p>
    <w:p w14:paraId="3EB9C3C6" w14:textId="77777777" w:rsidR="004462A0" w:rsidRPr="008B0DDF" w:rsidRDefault="004462A0" w:rsidP="004462A0">
      <w:pPr>
        <w:ind w:right="-2"/>
        <w:rPr>
          <w:sz w:val="22"/>
          <w:szCs w:val="22"/>
        </w:rPr>
      </w:pPr>
    </w:p>
    <w:p w14:paraId="77986B01" w14:textId="77777777" w:rsidR="004462A0" w:rsidRPr="008B0DDF" w:rsidRDefault="004462A0" w:rsidP="004462A0">
      <w:pPr>
        <w:ind w:left="567" w:hanging="567"/>
        <w:rPr>
          <w:b/>
          <w:sz w:val="22"/>
          <w:szCs w:val="22"/>
        </w:rPr>
      </w:pPr>
    </w:p>
    <w:p w14:paraId="2D4DEAAB" w14:textId="77777777" w:rsidR="004462A0" w:rsidRPr="008B0DDF" w:rsidRDefault="00615769" w:rsidP="004462A0">
      <w:pPr>
        <w:ind w:left="567" w:hanging="567"/>
        <w:rPr>
          <w:b/>
          <w:sz w:val="22"/>
          <w:szCs w:val="22"/>
        </w:rPr>
      </w:pPr>
      <w:r w:rsidRPr="008B0DDF">
        <w:rPr>
          <w:b/>
          <w:sz w:val="22"/>
          <w:szCs w:val="22"/>
        </w:rPr>
        <w:t>6.</w:t>
      </w:r>
      <w:r w:rsidRPr="008B0DDF">
        <w:rPr>
          <w:b/>
          <w:sz w:val="22"/>
          <w:szCs w:val="22"/>
        </w:rPr>
        <w:tab/>
        <w:t xml:space="preserve">Conteúdo da embalagem e outras informações </w:t>
      </w:r>
    </w:p>
    <w:p w14:paraId="21306BC7" w14:textId="77777777" w:rsidR="004462A0" w:rsidRPr="008B0DDF" w:rsidRDefault="004462A0" w:rsidP="004462A0">
      <w:pPr>
        <w:ind w:right="-2"/>
        <w:rPr>
          <w:sz w:val="22"/>
          <w:szCs w:val="22"/>
        </w:rPr>
      </w:pPr>
    </w:p>
    <w:p w14:paraId="59A379F9" w14:textId="77777777" w:rsidR="004462A0" w:rsidRPr="008B0DDF" w:rsidRDefault="00615769" w:rsidP="004462A0">
      <w:pPr>
        <w:pStyle w:val="Heading8"/>
        <w:keepNext w:val="0"/>
        <w:rPr>
          <w:szCs w:val="22"/>
        </w:rPr>
      </w:pPr>
      <w:r w:rsidRPr="008B0DDF">
        <w:rPr>
          <w:szCs w:val="22"/>
        </w:rPr>
        <w:t>Qual a composição de Humira</w:t>
      </w:r>
    </w:p>
    <w:p w14:paraId="6F8B26A3" w14:textId="77777777" w:rsidR="004462A0" w:rsidRPr="008B0DDF" w:rsidRDefault="004462A0" w:rsidP="004462A0">
      <w:pPr>
        <w:ind w:right="-2"/>
        <w:rPr>
          <w:b/>
          <w:bCs/>
          <w:sz w:val="22"/>
          <w:szCs w:val="22"/>
        </w:rPr>
      </w:pPr>
    </w:p>
    <w:p w14:paraId="48562B9B" w14:textId="77777777" w:rsidR="004462A0" w:rsidRPr="008B0DDF" w:rsidRDefault="00615769" w:rsidP="004462A0">
      <w:pPr>
        <w:ind w:right="-2"/>
        <w:rPr>
          <w:sz w:val="22"/>
          <w:szCs w:val="22"/>
        </w:rPr>
      </w:pPr>
      <w:r w:rsidRPr="008B0DDF">
        <w:rPr>
          <w:sz w:val="22"/>
          <w:szCs w:val="22"/>
        </w:rPr>
        <w:t>A substância ativa é adalimumab.</w:t>
      </w:r>
    </w:p>
    <w:p w14:paraId="2CD3C4D5" w14:textId="77777777" w:rsidR="004462A0" w:rsidRPr="008B0DDF" w:rsidRDefault="00615769" w:rsidP="004462A0">
      <w:pPr>
        <w:ind w:right="-2"/>
        <w:rPr>
          <w:sz w:val="22"/>
          <w:szCs w:val="22"/>
        </w:rPr>
      </w:pPr>
      <w:r w:rsidRPr="008B0DDF">
        <w:rPr>
          <w:sz w:val="22"/>
          <w:szCs w:val="22"/>
        </w:rPr>
        <w:t>Os outros componentes são manitol, polissorbato 80 e água para preparações injetáveis.</w:t>
      </w:r>
    </w:p>
    <w:p w14:paraId="5332EBF4" w14:textId="77777777" w:rsidR="004462A0" w:rsidRPr="008B0DDF" w:rsidRDefault="004462A0" w:rsidP="004462A0">
      <w:pPr>
        <w:ind w:right="-2"/>
        <w:rPr>
          <w:sz w:val="22"/>
          <w:szCs w:val="22"/>
        </w:rPr>
      </w:pPr>
    </w:p>
    <w:p w14:paraId="6392E1E8" w14:textId="77777777" w:rsidR="004462A0" w:rsidRPr="008B0DDF" w:rsidRDefault="00615769" w:rsidP="004462A0">
      <w:pPr>
        <w:pStyle w:val="Heading8"/>
        <w:keepNext w:val="0"/>
        <w:rPr>
          <w:szCs w:val="22"/>
        </w:rPr>
      </w:pPr>
      <w:r w:rsidRPr="008B0DDF">
        <w:rPr>
          <w:szCs w:val="22"/>
        </w:rPr>
        <w:t xml:space="preserve">Qual o aspeto de Humira em </w:t>
      </w:r>
      <w:r>
        <w:rPr>
          <w:szCs w:val="22"/>
        </w:rPr>
        <w:t>seringa</w:t>
      </w:r>
      <w:r w:rsidRPr="008B0DDF">
        <w:rPr>
          <w:szCs w:val="22"/>
        </w:rPr>
        <w:t xml:space="preserve"> pré-cheia e conteúdo da embalagem</w:t>
      </w:r>
    </w:p>
    <w:p w14:paraId="14F15B33" w14:textId="77777777" w:rsidR="004462A0" w:rsidRPr="008B0DDF" w:rsidRDefault="004462A0" w:rsidP="004462A0">
      <w:pPr>
        <w:ind w:right="-2"/>
        <w:rPr>
          <w:sz w:val="22"/>
          <w:szCs w:val="22"/>
        </w:rPr>
      </w:pPr>
    </w:p>
    <w:p w14:paraId="0A4465CF" w14:textId="77777777" w:rsidR="004462A0" w:rsidRPr="008B0DDF" w:rsidRDefault="00615769" w:rsidP="004462A0">
      <w:pPr>
        <w:ind w:right="-2"/>
        <w:rPr>
          <w:sz w:val="22"/>
          <w:szCs w:val="22"/>
        </w:rPr>
      </w:pPr>
      <w:r>
        <w:rPr>
          <w:sz w:val="22"/>
          <w:szCs w:val="22"/>
        </w:rPr>
        <w:t>Humira 8</w:t>
      </w:r>
      <w:r w:rsidRPr="008B0DDF">
        <w:rPr>
          <w:sz w:val="22"/>
          <w:szCs w:val="22"/>
        </w:rPr>
        <w:t xml:space="preserve">0 mg solução injetável em </w:t>
      </w:r>
      <w:r>
        <w:rPr>
          <w:sz w:val="22"/>
          <w:szCs w:val="22"/>
        </w:rPr>
        <w:t>seringa</w:t>
      </w:r>
      <w:r w:rsidRPr="008B0DDF">
        <w:rPr>
          <w:sz w:val="22"/>
          <w:szCs w:val="22"/>
        </w:rPr>
        <w:t xml:space="preserve"> pré-cheia é fornecido sob a forma de uma solução estéril contendo </w:t>
      </w:r>
      <w:r>
        <w:rPr>
          <w:sz w:val="22"/>
          <w:szCs w:val="22"/>
        </w:rPr>
        <w:t>8</w:t>
      </w:r>
      <w:r w:rsidRPr="008B0DDF">
        <w:rPr>
          <w:sz w:val="22"/>
          <w:szCs w:val="22"/>
        </w:rPr>
        <w:t>0 mg de adalimumab dissolvido em 0,</w:t>
      </w:r>
      <w:r>
        <w:rPr>
          <w:sz w:val="22"/>
          <w:szCs w:val="22"/>
        </w:rPr>
        <w:t>8</w:t>
      </w:r>
      <w:r w:rsidRPr="008B0DDF">
        <w:rPr>
          <w:sz w:val="22"/>
          <w:szCs w:val="22"/>
        </w:rPr>
        <w:t> ml de solução.</w:t>
      </w:r>
    </w:p>
    <w:p w14:paraId="7D02651A" w14:textId="77777777" w:rsidR="004462A0" w:rsidRDefault="004462A0" w:rsidP="004462A0">
      <w:pPr>
        <w:ind w:right="-2"/>
        <w:rPr>
          <w:sz w:val="22"/>
          <w:szCs w:val="22"/>
        </w:rPr>
      </w:pPr>
    </w:p>
    <w:p w14:paraId="5FED8B68" w14:textId="77777777" w:rsidR="004462A0" w:rsidRDefault="00615769" w:rsidP="004462A0">
      <w:pPr>
        <w:rPr>
          <w:sz w:val="22"/>
          <w:szCs w:val="22"/>
        </w:rPr>
      </w:pPr>
      <w:r w:rsidRPr="008912CF">
        <w:rPr>
          <w:sz w:val="22"/>
          <w:szCs w:val="22"/>
        </w:rPr>
        <w:t xml:space="preserve">Humira em seringa pré-cheia é constituído por uma seringa de vidro contendo uma solução de adalimumab. </w:t>
      </w:r>
    </w:p>
    <w:p w14:paraId="370A0374" w14:textId="77777777" w:rsidR="004462A0" w:rsidRDefault="004462A0" w:rsidP="004462A0">
      <w:pPr>
        <w:rPr>
          <w:sz w:val="22"/>
          <w:szCs w:val="22"/>
        </w:rPr>
      </w:pPr>
    </w:p>
    <w:p w14:paraId="1633377C" w14:textId="77777777" w:rsidR="004462A0" w:rsidRPr="008912CF" w:rsidRDefault="00615769" w:rsidP="004462A0">
      <w:pPr>
        <w:rPr>
          <w:sz w:val="22"/>
          <w:szCs w:val="22"/>
        </w:rPr>
      </w:pPr>
      <w:r w:rsidRPr="008912CF">
        <w:rPr>
          <w:sz w:val="22"/>
          <w:szCs w:val="22"/>
        </w:rPr>
        <w:t>Cada embalagem contém 1</w:t>
      </w:r>
      <w:r w:rsidR="00B40A61">
        <w:rPr>
          <w:sz w:val="22"/>
          <w:szCs w:val="22"/>
        </w:rPr>
        <w:t xml:space="preserve"> </w:t>
      </w:r>
      <w:r w:rsidRPr="008912CF">
        <w:rPr>
          <w:sz w:val="22"/>
          <w:szCs w:val="22"/>
        </w:rPr>
        <w:t>seringa pré-cheia para autoadministração pelo doente com</w:t>
      </w:r>
      <w:r>
        <w:rPr>
          <w:sz w:val="22"/>
          <w:szCs w:val="22"/>
        </w:rPr>
        <w:t xml:space="preserve"> </w:t>
      </w:r>
      <w:r w:rsidRPr="008912CF">
        <w:rPr>
          <w:sz w:val="22"/>
          <w:szCs w:val="22"/>
        </w:rPr>
        <w:t>1</w:t>
      </w:r>
      <w:r>
        <w:rPr>
          <w:sz w:val="22"/>
          <w:szCs w:val="22"/>
        </w:rPr>
        <w:t xml:space="preserve"> </w:t>
      </w:r>
      <w:r w:rsidRPr="008912CF">
        <w:rPr>
          <w:sz w:val="22"/>
          <w:szCs w:val="22"/>
        </w:rPr>
        <w:t xml:space="preserve">compressa embebida em álcool. </w:t>
      </w:r>
    </w:p>
    <w:p w14:paraId="45E44851" w14:textId="77777777" w:rsidR="004462A0" w:rsidRPr="008B0DDF" w:rsidRDefault="004462A0" w:rsidP="004462A0">
      <w:pPr>
        <w:rPr>
          <w:sz w:val="22"/>
          <w:szCs w:val="22"/>
        </w:rPr>
      </w:pPr>
    </w:p>
    <w:p w14:paraId="61B73513" w14:textId="77777777" w:rsidR="004462A0" w:rsidRPr="008B0DDF" w:rsidRDefault="00615769" w:rsidP="004462A0">
      <w:pPr>
        <w:rPr>
          <w:sz w:val="22"/>
          <w:szCs w:val="22"/>
        </w:rPr>
      </w:pPr>
      <w:r w:rsidRPr="008B0DDF">
        <w:rPr>
          <w:sz w:val="22"/>
          <w:szCs w:val="22"/>
        </w:rPr>
        <w:t xml:space="preserve">Humira </w:t>
      </w:r>
      <w:r w:rsidR="00C0208A">
        <w:rPr>
          <w:sz w:val="22"/>
          <w:szCs w:val="22"/>
        </w:rPr>
        <w:t>pode estar</w:t>
      </w:r>
      <w:r w:rsidRPr="008B0DDF">
        <w:rPr>
          <w:sz w:val="22"/>
          <w:szCs w:val="22"/>
        </w:rPr>
        <w:t xml:space="preserve"> disponível em frasco para injetáveis, em seringa pré-cheia e</w:t>
      </w:r>
      <w:r w:rsidR="00C0208A">
        <w:rPr>
          <w:sz w:val="22"/>
          <w:szCs w:val="22"/>
        </w:rPr>
        <w:t>/ou</w:t>
      </w:r>
      <w:r w:rsidRPr="008B0DDF">
        <w:rPr>
          <w:sz w:val="22"/>
          <w:szCs w:val="22"/>
        </w:rPr>
        <w:t xml:space="preserve"> em caneta pré-cheia.</w:t>
      </w:r>
    </w:p>
    <w:p w14:paraId="4C7BF816" w14:textId="77777777" w:rsidR="004462A0" w:rsidRPr="008B0DDF" w:rsidRDefault="004462A0" w:rsidP="004462A0">
      <w:pPr>
        <w:ind w:right="-2"/>
        <w:rPr>
          <w:sz w:val="22"/>
          <w:szCs w:val="22"/>
        </w:rPr>
      </w:pPr>
    </w:p>
    <w:p w14:paraId="4AE94A32" w14:textId="77777777" w:rsidR="004462A0" w:rsidRPr="008B0DDF" w:rsidRDefault="00615769" w:rsidP="004462A0">
      <w:pPr>
        <w:pStyle w:val="Heading8"/>
        <w:keepNext w:val="0"/>
        <w:rPr>
          <w:szCs w:val="22"/>
        </w:rPr>
      </w:pPr>
      <w:r w:rsidRPr="008B0DDF">
        <w:rPr>
          <w:szCs w:val="22"/>
        </w:rPr>
        <w:t xml:space="preserve">Titular da Autorização de Introdução no Mercado </w:t>
      </w:r>
    </w:p>
    <w:p w14:paraId="72D030B6" w14:textId="77777777" w:rsidR="004462A0" w:rsidRPr="008B0DDF" w:rsidRDefault="004462A0" w:rsidP="004462A0">
      <w:pPr>
        <w:ind w:right="-2"/>
        <w:rPr>
          <w:sz w:val="22"/>
          <w:szCs w:val="22"/>
        </w:rPr>
      </w:pPr>
    </w:p>
    <w:p w14:paraId="37E99A13" w14:textId="77777777" w:rsidR="0018667B" w:rsidRPr="00140752" w:rsidRDefault="00615769" w:rsidP="0018667B">
      <w:pPr>
        <w:tabs>
          <w:tab w:val="left" w:pos="720"/>
        </w:tabs>
        <w:rPr>
          <w:sz w:val="22"/>
          <w:szCs w:val="22"/>
          <w:lang w:val="de-DE"/>
        </w:rPr>
      </w:pPr>
      <w:r w:rsidRPr="00140752">
        <w:rPr>
          <w:sz w:val="22"/>
          <w:szCs w:val="22"/>
          <w:lang w:val="de-DE"/>
        </w:rPr>
        <w:t>AbbVie Deutschland GmbH &amp; Co. KG</w:t>
      </w:r>
    </w:p>
    <w:p w14:paraId="17C88A5F" w14:textId="77777777" w:rsidR="0018667B" w:rsidRPr="008D6D3A" w:rsidRDefault="00615769" w:rsidP="0018667B">
      <w:pPr>
        <w:tabs>
          <w:tab w:val="left" w:pos="720"/>
        </w:tabs>
        <w:rPr>
          <w:sz w:val="22"/>
          <w:szCs w:val="22"/>
          <w:lang w:val="de-CH"/>
        </w:rPr>
      </w:pPr>
      <w:r w:rsidRPr="008D6D3A">
        <w:rPr>
          <w:sz w:val="22"/>
          <w:szCs w:val="22"/>
          <w:lang w:val="de-CH"/>
        </w:rPr>
        <w:t>Knollstrasse</w:t>
      </w:r>
    </w:p>
    <w:p w14:paraId="03710C39" w14:textId="77777777" w:rsidR="0018667B" w:rsidRPr="008D6D3A" w:rsidRDefault="00615769" w:rsidP="0018667B">
      <w:pPr>
        <w:tabs>
          <w:tab w:val="left" w:pos="720"/>
        </w:tabs>
        <w:rPr>
          <w:sz w:val="22"/>
          <w:szCs w:val="22"/>
          <w:lang w:val="de-CH"/>
        </w:rPr>
      </w:pPr>
      <w:r w:rsidRPr="008D6D3A">
        <w:rPr>
          <w:sz w:val="22"/>
          <w:szCs w:val="22"/>
          <w:lang w:val="de-CH"/>
        </w:rPr>
        <w:t>67061 Ludwigshafen</w:t>
      </w:r>
    </w:p>
    <w:p w14:paraId="22EE928B" w14:textId="77777777" w:rsidR="004462A0" w:rsidRPr="008D6D3A" w:rsidRDefault="00615769" w:rsidP="004462A0">
      <w:pPr>
        <w:rPr>
          <w:sz w:val="22"/>
          <w:szCs w:val="22"/>
          <w:lang w:val="de-CH"/>
        </w:rPr>
      </w:pPr>
      <w:r w:rsidRPr="008D6D3A">
        <w:rPr>
          <w:sz w:val="22"/>
          <w:szCs w:val="22"/>
          <w:lang w:val="de-CH"/>
        </w:rPr>
        <w:t>Alemanha</w:t>
      </w:r>
    </w:p>
    <w:p w14:paraId="35789BF0" w14:textId="77777777" w:rsidR="004462A0" w:rsidRPr="008D6D3A" w:rsidRDefault="004462A0" w:rsidP="004462A0">
      <w:pPr>
        <w:ind w:right="-2"/>
        <w:rPr>
          <w:sz w:val="22"/>
          <w:szCs w:val="22"/>
          <w:lang w:val="de-CH"/>
        </w:rPr>
      </w:pPr>
    </w:p>
    <w:p w14:paraId="6F031DED" w14:textId="77777777" w:rsidR="004462A0" w:rsidRPr="008D6D3A" w:rsidRDefault="00615769" w:rsidP="004462A0">
      <w:pPr>
        <w:keepNext/>
        <w:ind w:right="-2"/>
        <w:rPr>
          <w:b/>
          <w:bCs/>
          <w:sz w:val="22"/>
          <w:szCs w:val="22"/>
          <w:lang w:val="de-CH"/>
        </w:rPr>
      </w:pPr>
      <w:r w:rsidRPr="008D6D3A">
        <w:rPr>
          <w:b/>
          <w:bCs/>
          <w:sz w:val="22"/>
          <w:szCs w:val="22"/>
          <w:lang w:val="de-CH"/>
        </w:rPr>
        <w:t>Fabricante</w:t>
      </w:r>
    </w:p>
    <w:p w14:paraId="65A001D5" w14:textId="77777777" w:rsidR="004462A0" w:rsidRPr="008D6D3A" w:rsidRDefault="004462A0" w:rsidP="004462A0">
      <w:pPr>
        <w:keepNext/>
        <w:ind w:right="-2"/>
        <w:rPr>
          <w:bCs/>
          <w:sz w:val="22"/>
          <w:szCs w:val="22"/>
          <w:lang w:val="de-CH"/>
        </w:rPr>
      </w:pPr>
    </w:p>
    <w:p w14:paraId="46734895" w14:textId="77777777" w:rsidR="004462A0" w:rsidRPr="008D6D3A" w:rsidRDefault="00615769" w:rsidP="004462A0">
      <w:pPr>
        <w:keepNext/>
        <w:tabs>
          <w:tab w:val="left" w:pos="562"/>
        </w:tabs>
        <w:suppressAutoHyphens/>
        <w:rPr>
          <w:sz w:val="22"/>
          <w:lang w:val="de-CH"/>
        </w:rPr>
      </w:pPr>
      <w:r w:rsidRPr="008D6D3A">
        <w:rPr>
          <w:sz w:val="22"/>
          <w:lang w:val="de-CH"/>
        </w:rPr>
        <w:t>AbbVie Biotechnology GmbH</w:t>
      </w:r>
    </w:p>
    <w:p w14:paraId="4FB44DCD" w14:textId="77777777" w:rsidR="004462A0" w:rsidRPr="008D6D3A" w:rsidRDefault="00615769" w:rsidP="004462A0">
      <w:pPr>
        <w:keepNext/>
        <w:numPr>
          <w:ilvl w:val="12"/>
          <w:numId w:val="0"/>
        </w:numPr>
        <w:tabs>
          <w:tab w:val="left" w:pos="720"/>
        </w:tabs>
        <w:suppressAutoHyphens/>
        <w:rPr>
          <w:sz w:val="22"/>
          <w:lang w:val="de-CH"/>
        </w:rPr>
      </w:pPr>
      <w:r w:rsidRPr="008D6D3A">
        <w:rPr>
          <w:sz w:val="22"/>
          <w:lang w:val="de-CH"/>
        </w:rPr>
        <w:t>Knollstrasse</w:t>
      </w:r>
    </w:p>
    <w:p w14:paraId="53198ADC" w14:textId="77777777" w:rsidR="004462A0" w:rsidRPr="008D6D3A" w:rsidRDefault="00615769" w:rsidP="004462A0">
      <w:pPr>
        <w:keepNext/>
        <w:numPr>
          <w:ilvl w:val="12"/>
          <w:numId w:val="0"/>
        </w:numPr>
        <w:tabs>
          <w:tab w:val="left" w:pos="720"/>
        </w:tabs>
        <w:suppressAutoHyphens/>
        <w:rPr>
          <w:sz w:val="22"/>
          <w:lang w:val="de-CH"/>
        </w:rPr>
      </w:pPr>
      <w:r w:rsidRPr="008D6D3A">
        <w:rPr>
          <w:sz w:val="22"/>
          <w:lang w:val="de-CH"/>
        </w:rPr>
        <w:t>67061 Ludwigshafen</w:t>
      </w:r>
    </w:p>
    <w:p w14:paraId="15F10E83" w14:textId="77777777" w:rsidR="004462A0" w:rsidRPr="00003560" w:rsidRDefault="00615769" w:rsidP="004462A0">
      <w:pPr>
        <w:keepNext/>
        <w:ind w:right="-2"/>
        <w:rPr>
          <w:sz w:val="22"/>
        </w:rPr>
      </w:pPr>
      <w:r w:rsidRPr="00003560">
        <w:rPr>
          <w:sz w:val="22"/>
        </w:rPr>
        <w:t>Alemanha</w:t>
      </w:r>
    </w:p>
    <w:p w14:paraId="5BC68357" w14:textId="77777777" w:rsidR="004462A0" w:rsidRPr="005F6F98" w:rsidRDefault="004462A0" w:rsidP="004462A0">
      <w:pPr>
        <w:ind w:right="-2"/>
        <w:rPr>
          <w:sz w:val="22"/>
          <w:szCs w:val="22"/>
        </w:rPr>
      </w:pPr>
    </w:p>
    <w:p w14:paraId="69A992F2" w14:textId="77777777" w:rsidR="004462A0" w:rsidRPr="008B0DDF" w:rsidRDefault="00615769" w:rsidP="004462A0">
      <w:pPr>
        <w:ind w:right="-2"/>
        <w:rPr>
          <w:sz w:val="22"/>
          <w:szCs w:val="22"/>
        </w:rPr>
      </w:pPr>
      <w:r w:rsidRPr="002B2441">
        <w:rPr>
          <w:sz w:val="22"/>
          <w:szCs w:val="22"/>
        </w:rPr>
        <w:t>Para quaisquer informações sobre este medicamento, queira contactar o r</w:t>
      </w:r>
      <w:r w:rsidR="004E51CA">
        <w:rPr>
          <w:sz w:val="22"/>
          <w:szCs w:val="22"/>
        </w:rPr>
        <w:t>epresentante local do Titular da</w:t>
      </w:r>
      <w:r w:rsidRPr="002B2441">
        <w:rPr>
          <w:sz w:val="22"/>
          <w:szCs w:val="22"/>
        </w:rPr>
        <w:t xml:space="preserve"> Autorização de Introdução no Mercado:</w:t>
      </w:r>
    </w:p>
    <w:p w14:paraId="29772ECC" w14:textId="77777777" w:rsidR="004462A0" w:rsidRPr="008B0DDF" w:rsidRDefault="004462A0" w:rsidP="004462A0">
      <w:pPr>
        <w:rPr>
          <w:sz w:val="22"/>
          <w:szCs w:val="22"/>
        </w:rPr>
      </w:pPr>
    </w:p>
    <w:tbl>
      <w:tblPr>
        <w:tblW w:w="9356" w:type="dxa"/>
        <w:tblInd w:w="-34" w:type="dxa"/>
        <w:tblLayout w:type="fixed"/>
        <w:tblLook w:val="0000" w:firstRow="0" w:lastRow="0" w:firstColumn="0" w:lastColumn="0" w:noHBand="0" w:noVBand="0"/>
      </w:tblPr>
      <w:tblGrid>
        <w:gridCol w:w="34"/>
        <w:gridCol w:w="4610"/>
        <w:gridCol w:w="34"/>
        <w:gridCol w:w="4678"/>
      </w:tblGrid>
      <w:tr w:rsidR="00A7162A" w14:paraId="2EBAFDCD" w14:textId="77777777" w:rsidTr="001F79B0">
        <w:tc>
          <w:tcPr>
            <w:tcW w:w="4644" w:type="dxa"/>
            <w:gridSpan w:val="2"/>
          </w:tcPr>
          <w:p w14:paraId="5C4B1CA1" w14:textId="77777777" w:rsidR="003E37F6" w:rsidRPr="00346547" w:rsidRDefault="00615769" w:rsidP="001F79B0">
            <w:pPr>
              <w:rPr>
                <w:b/>
                <w:bCs/>
                <w:sz w:val="22"/>
                <w:szCs w:val="22"/>
                <w:lang w:val="fr-BE"/>
              </w:rPr>
            </w:pPr>
            <w:r w:rsidRPr="00346547">
              <w:rPr>
                <w:b/>
                <w:bCs/>
                <w:sz w:val="22"/>
                <w:szCs w:val="22"/>
                <w:lang w:val="fr-BE"/>
              </w:rPr>
              <w:t>België/Belgique/Belgien</w:t>
            </w:r>
          </w:p>
          <w:p w14:paraId="48962222" w14:textId="77777777" w:rsidR="003E37F6" w:rsidRPr="00346547" w:rsidRDefault="00615769" w:rsidP="001F79B0">
            <w:pPr>
              <w:tabs>
                <w:tab w:val="center" w:pos="2214"/>
              </w:tabs>
              <w:rPr>
                <w:bCs/>
                <w:sz w:val="22"/>
                <w:szCs w:val="22"/>
                <w:lang w:val="fr-FR"/>
              </w:rPr>
            </w:pPr>
            <w:r w:rsidRPr="00346547">
              <w:rPr>
                <w:bCs/>
                <w:sz w:val="22"/>
                <w:szCs w:val="22"/>
                <w:lang w:val="fr-FR"/>
              </w:rPr>
              <w:t>AbbVie SA</w:t>
            </w:r>
          </w:p>
          <w:p w14:paraId="42A83D6E" w14:textId="77777777" w:rsidR="003E37F6" w:rsidRPr="00346547" w:rsidRDefault="00615769" w:rsidP="001F79B0">
            <w:pPr>
              <w:rPr>
                <w:sz w:val="22"/>
                <w:szCs w:val="22"/>
                <w:lang w:val="fr-FR"/>
              </w:rPr>
            </w:pPr>
            <w:r w:rsidRPr="00346547">
              <w:rPr>
                <w:bCs/>
                <w:sz w:val="22"/>
                <w:szCs w:val="22"/>
                <w:lang w:val="fr-FR"/>
              </w:rPr>
              <w:t xml:space="preserve">Tél/Tel: +32 10 </w:t>
            </w:r>
            <w:r w:rsidRPr="00346547">
              <w:rPr>
                <w:sz w:val="22"/>
                <w:szCs w:val="22"/>
                <w:lang w:val="fr-FR"/>
              </w:rPr>
              <w:t>477811</w:t>
            </w:r>
          </w:p>
          <w:p w14:paraId="4B497EF3" w14:textId="77777777" w:rsidR="003E37F6" w:rsidRPr="00346547" w:rsidRDefault="003E37F6" w:rsidP="001F79B0">
            <w:pPr>
              <w:rPr>
                <w:bCs/>
                <w:sz w:val="22"/>
                <w:szCs w:val="22"/>
                <w:lang w:val="fr-FR"/>
              </w:rPr>
            </w:pPr>
          </w:p>
        </w:tc>
        <w:tc>
          <w:tcPr>
            <w:tcW w:w="4678" w:type="dxa"/>
            <w:gridSpan w:val="2"/>
          </w:tcPr>
          <w:p w14:paraId="5D980FE2" w14:textId="77777777" w:rsidR="003E37F6" w:rsidRPr="00346547" w:rsidRDefault="00615769" w:rsidP="001F79B0">
            <w:pPr>
              <w:rPr>
                <w:b/>
                <w:bCs/>
                <w:sz w:val="22"/>
                <w:szCs w:val="22"/>
                <w:lang w:val="lt-LT"/>
              </w:rPr>
            </w:pPr>
            <w:r w:rsidRPr="00346547">
              <w:rPr>
                <w:b/>
                <w:bCs/>
                <w:sz w:val="22"/>
                <w:szCs w:val="22"/>
                <w:lang w:val="lt-LT"/>
              </w:rPr>
              <w:t>Lietuva</w:t>
            </w:r>
          </w:p>
          <w:p w14:paraId="2DA6489D" w14:textId="77777777" w:rsidR="003E37F6" w:rsidRPr="00346547" w:rsidRDefault="00615769" w:rsidP="001F79B0">
            <w:pPr>
              <w:rPr>
                <w:bCs/>
                <w:sz w:val="22"/>
                <w:szCs w:val="22"/>
                <w:lang w:val="lv-LV"/>
              </w:rPr>
            </w:pPr>
            <w:r w:rsidRPr="00346547">
              <w:rPr>
                <w:bCs/>
                <w:sz w:val="22"/>
                <w:szCs w:val="22"/>
                <w:lang w:val="lv-LV"/>
              </w:rPr>
              <w:t xml:space="preserve">AbbVie UAB </w:t>
            </w:r>
          </w:p>
          <w:p w14:paraId="5F3C7E02" w14:textId="77777777" w:rsidR="003E37F6" w:rsidRPr="00346547" w:rsidRDefault="00615769" w:rsidP="001F79B0">
            <w:pPr>
              <w:jc w:val="both"/>
              <w:rPr>
                <w:bCs/>
                <w:sz w:val="22"/>
                <w:szCs w:val="22"/>
                <w:lang w:val="lv-LV"/>
              </w:rPr>
            </w:pPr>
            <w:r w:rsidRPr="00346547">
              <w:rPr>
                <w:bCs/>
                <w:sz w:val="22"/>
                <w:szCs w:val="22"/>
                <w:lang w:val="lv-LV"/>
              </w:rPr>
              <w:t>Tel: +370 5 205 3023</w:t>
            </w:r>
          </w:p>
        </w:tc>
      </w:tr>
      <w:tr w:rsidR="00A7162A" w14:paraId="241B361A" w14:textId="77777777" w:rsidTr="001F79B0">
        <w:tc>
          <w:tcPr>
            <w:tcW w:w="4644" w:type="dxa"/>
            <w:gridSpan w:val="2"/>
          </w:tcPr>
          <w:p w14:paraId="56A76A9A" w14:textId="77777777" w:rsidR="003E37F6" w:rsidRPr="00346547" w:rsidRDefault="00615769" w:rsidP="001F79B0">
            <w:pPr>
              <w:autoSpaceDE w:val="0"/>
              <w:autoSpaceDN w:val="0"/>
              <w:adjustRightInd w:val="0"/>
              <w:rPr>
                <w:b/>
                <w:bCs/>
                <w:sz w:val="22"/>
                <w:szCs w:val="22"/>
                <w:lang w:val="bg-BG"/>
              </w:rPr>
            </w:pPr>
            <w:r w:rsidRPr="00346547">
              <w:rPr>
                <w:b/>
                <w:bCs/>
                <w:sz w:val="22"/>
                <w:szCs w:val="22"/>
                <w:lang w:val="bg-BG"/>
              </w:rPr>
              <w:t>България</w:t>
            </w:r>
          </w:p>
          <w:p w14:paraId="6FB17A92" w14:textId="77777777" w:rsidR="003E37F6" w:rsidRPr="00346547" w:rsidRDefault="00615769" w:rsidP="001F79B0">
            <w:pPr>
              <w:autoSpaceDE w:val="0"/>
              <w:autoSpaceDN w:val="0"/>
              <w:adjustRightInd w:val="0"/>
              <w:rPr>
                <w:sz w:val="22"/>
                <w:szCs w:val="22"/>
                <w:lang w:val="da-DK"/>
              </w:rPr>
            </w:pPr>
            <w:r w:rsidRPr="00346547">
              <w:rPr>
                <w:rFonts w:eastAsia="MS Mincho"/>
                <w:sz w:val="22"/>
                <w:szCs w:val="22"/>
                <w:lang w:eastAsia="ja-JP"/>
              </w:rPr>
              <w:t>АбВи ЕООД</w:t>
            </w:r>
          </w:p>
          <w:p w14:paraId="06B83113" w14:textId="77777777" w:rsidR="003E37F6" w:rsidRPr="00346547" w:rsidRDefault="00615769" w:rsidP="001F79B0">
            <w:pPr>
              <w:tabs>
                <w:tab w:val="left" w:pos="-720"/>
              </w:tabs>
              <w:rPr>
                <w:bCs/>
                <w:sz w:val="22"/>
                <w:szCs w:val="22"/>
                <w:lang w:val="da-DK"/>
              </w:rPr>
            </w:pPr>
            <w:r w:rsidRPr="00346547">
              <w:rPr>
                <w:rFonts w:eastAsia="MS Mincho"/>
                <w:sz w:val="22"/>
                <w:szCs w:val="22"/>
                <w:lang w:eastAsia="ja-JP"/>
              </w:rPr>
              <w:t>Тел</w:t>
            </w:r>
            <w:r w:rsidRPr="00346547">
              <w:rPr>
                <w:rFonts w:eastAsia="MS Mincho"/>
                <w:sz w:val="22"/>
                <w:szCs w:val="22"/>
                <w:lang w:val="it-IT" w:eastAsia="ja-JP"/>
              </w:rPr>
              <w:t>.:+359 2 90 30 430</w:t>
            </w:r>
          </w:p>
        </w:tc>
        <w:tc>
          <w:tcPr>
            <w:tcW w:w="4678" w:type="dxa"/>
            <w:gridSpan w:val="2"/>
          </w:tcPr>
          <w:p w14:paraId="633F4718" w14:textId="77777777" w:rsidR="003E37F6" w:rsidRPr="00346547" w:rsidRDefault="00615769" w:rsidP="001F79B0">
            <w:pPr>
              <w:rPr>
                <w:b/>
                <w:bCs/>
                <w:sz w:val="22"/>
                <w:szCs w:val="22"/>
                <w:lang w:val="de-DE"/>
              </w:rPr>
            </w:pPr>
            <w:r w:rsidRPr="00346547">
              <w:rPr>
                <w:b/>
                <w:bCs/>
                <w:sz w:val="22"/>
                <w:szCs w:val="22"/>
                <w:lang w:val="de-DE"/>
              </w:rPr>
              <w:t>Luxembourg/Luxemburg</w:t>
            </w:r>
          </w:p>
          <w:p w14:paraId="0D974F78" w14:textId="77777777" w:rsidR="003E37F6" w:rsidRPr="00346547" w:rsidRDefault="00615769" w:rsidP="001F79B0">
            <w:pPr>
              <w:rPr>
                <w:bCs/>
                <w:sz w:val="22"/>
                <w:szCs w:val="22"/>
                <w:lang w:val="de-DE"/>
              </w:rPr>
            </w:pPr>
            <w:r w:rsidRPr="00346547">
              <w:rPr>
                <w:bCs/>
                <w:sz w:val="22"/>
                <w:szCs w:val="22"/>
                <w:lang w:val="de-DE"/>
              </w:rPr>
              <w:t>AbbVie SA</w:t>
            </w:r>
          </w:p>
          <w:p w14:paraId="00D069B7" w14:textId="77777777" w:rsidR="003E37F6" w:rsidRPr="00346547" w:rsidRDefault="00615769" w:rsidP="001F79B0">
            <w:pPr>
              <w:tabs>
                <w:tab w:val="center" w:pos="2231"/>
              </w:tabs>
              <w:rPr>
                <w:bCs/>
                <w:sz w:val="22"/>
                <w:szCs w:val="22"/>
                <w:lang w:val="de-DE"/>
              </w:rPr>
            </w:pPr>
            <w:r w:rsidRPr="00346547">
              <w:rPr>
                <w:bCs/>
                <w:sz w:val="22"/>
                <w:szCs w:val="22"/>
                <w:lang w:val="de-DE"/>
              </w:rPr>
              <w:t>Belgique/Belgien</w:t>
            </w:r>
          </w:p>
          <w:p w14:paraId="56745105" w14:textId="77777777" w:rsidR="003E37F6" w:rsidRPr="00346547" w:rsidRDefault="00615769" w:rsidP="001F79B0">
            <w:pPr>
              <w:rPr>
                <w:bCs/>
                <w:sz w:val="22"/>
                <w:szCs w:val="22"/>
                <w:lang w:val="fr-FR"/>
              </w:rPr>
            </w:pPr>
            <w:r w:rsidRPr="00346547">
              <w:rPr>
                <w:bCs/>
                <w:sz w:val="22"/>
                <w:szCs w:val="22"/>
                <w:lang w:val="fr-FR"/>
              </w:rPr>
              <w:t>Tél/Tel:</w:t>
            </w:r>
            <w:r w:rsidRPr="00346547">
              <w:rPr>
                <w:bCs/>
                <w:sz w:val="22"/>
                <w:szCs w:val="22"/>
                <w:lang w:val="fr-FR"/>
              </w:rPr>
              <w:t xml:space="preserve"> +32 10 477811</w:t>
            </w:r>
          </w:p>
          <w:p w14:paraId="475507DB" w14:textId="77777777" w:rsidR="003E37F6" w:rsidRPr="00346547" w:rsidRDefault="003E37F6" w:rsidP="001F79B0">
            <w:pPr>
              <w:rPr>
                <w:bCs/>
                <w:sz w:val="22"/>
                <w:szCs w:val="22"/>
                <w:lang w:val="fr-FR"/>
              </w:rPr>
            </w:pPr>
          </w:p>
        </w:tc>
      </w:tr>
      <w:tr w:rsidR="00A7162A" w14:paraId="7E828FBD" w14:textId="77777777" w:rsidTr="001F79B0">
        <w:tc>
          <w:tcPr>
            <w:tcW w:w="4644" w:type="dxa"/>
            <w:gridSpan w:val="2"/>
          </w:tcPr>
          <w:p w14:paraId="42F7393E" w14:textId="77777777" w:rsidR="003E37F6" w:rsidRPr="00346547" w:rsidRDefault="00615769" w:rsidP="001F79B0">
            <w:pPr>
              <w:keepNext/>
              <w:rPr>
                <w:b/>
                <w:bCs/>
                <w:sz w:val="22"/>
                <w:szCs w:val="22"/>
              </w:rPr>
            </w:pPr>
            <w:r w:rsidRPr="00346547">
              <w:rPr>
                <w:b/>
                <w:bCs/>
                <w:sz w:val="22"/>
                <w:szCs w:val="22"/>
              </w:rPr>
              <w:t>Česká republika</w:t>
            </w:r>
          </w:p>
          <w:p w14:paraId="215BE966" w14:textId="77777777" w:rsidR="003E37F6" w:rsidRPr="00346547" w:rsidRDefault="00615769" w:rsidP="001F79B0">
            <w:pPr>
              <w:keepNext/>
              <w:rPr>
                <w:bCs/>
                <w:sz w:val="22"/>
                <w:szCs w:val="22"/>
              </w:rPr>
            </w:pPr>
            <w:r w:rsidRPr="00346547">
              <w:rPr>
                <w:bCs/>
                <w:sz w:val="22"/>
                <w:szCs w:val="22"/>
              </w:rPr>
              <w:t xml:space="preserve">AbbVie s.r.o. </w:t>
            </w:r>
          </w:p>
          <w:p w14:paraId="5E15BAC8" w14:textId="77777777" w:rsidR="003E37F6" w:rsidRPr="00346547" w:rsidRDefault="00615769" w:rsidP="001F79B0">
            <w:pPr>
              <w:keepNext/>
              <w:rPr>
                <w:bCs/>
                <w:sz w:val="22"/>
                <w:szCs w:val="22"/>
              </w:rPr>
            </w:pPr>
            <w:r w:rsidRPr="00346547">
              <w:rPr>
                <w:bCs/>
                <w:sz w:val="22"/>
                <w:szCs w:val="22"/>
              </w:rPr>
              <w:t>Tel: +420 233 098 111</w:t>
            </w:r>
          </w:p>
        </w:tc>
        <w:tc>
          <w:tcPr>
            <w:tcW w:w="4678" w:type="dxa"/>
            <w:gridSpan w:val="2"/>
          </w:tcPr>
          <w:p w14:paraId="02AB6480" w14:textId="77777777" w:rsidR="003E37F6" w:rsidRPr="00346547" w:rsidRDefault="00615769" w:rsidP="001F79B0">
            <w:pPr>
              <w:keepNext/>
              <w:rPr>
                <w:b/>
                <w:bCs/>
                <w:sz w:val="22"/>
                <w:szCs w:val="22"/>
                <w:lang w:val="hu-HU"/>
              </w:rPr>
            </w:pPr>
            <w:r w:rsidRPr="00346547">
              <w:rPr>
                <w:b/>
                <w:bCs/>
                <w:sz w:val="22"/>
                <w:szCs w:val="22"/>
                <w:lang w:val="hu-HU"/>
              </w:rPr>
              <w:t>Magyarország</w:t>
            </w:r>
          </w:p>
          <w:p w14:paraId="043B2DD0" w14:textId="77777777" w:rsidR="003E37F6" w:rsidRPr="00346547" w:rsidRDefault="00615769" w:rsidP="001F79B0">
            <w:pPr>
              <w:keepNext/>
              <w:rPr>
                <w:bCs/>
                <w:sz w:val="22"/>
                <w:szCs w:val="22"/>
                <w:lang w:val="hu-HU"/>
              </w:rPr>
            </w:pPr>
            <w:r w:rsidRPr="00346547">
              <w:rPr>
                <w:bCs/>
                <w:sz w:val="22"/>
                <w:szCs w:val="22"/>
                <w:lang w:val="hu-HU"/>
              </w:rPr>
              <w:t>AbbVie Kft.</w:t>
            </w:r>
          </w:p>
          <w:p w14:paraId="6D593797" w14:textId="77777777" w:rsidR="003E37F6" w:rsidRPr="00346547" w:rsidRDefault="00615769" w:rsidP="001F79B0">
            <w:pPr>
              <w:keepNext/>
              <w:tabs>
                <w:tab w:val="left" w:pos="562"/>
                <w:tab w:val="left" w:pos="2380"/>
              </w:tabs>
              <w:rPr>
                <w:bCs/>
                <w:sz w:val="22"/>
                <w:szCs w:val="22"/>
                <w:lang w:val="hu-HU"/>
              </w:rPr>
            </w:pPr>
            <w:r w:rsidRPr="00346547">
              <w:rPr>
                <w:bCs/>
                <w:sz w:val="22"/>
                <w:szCs w:val="22"/>
                <w:lang w:val="hu-HU"/>
              </w:rPr>
              <w:t>Tel.:+36 1 455 8600</w:t>
            </w:r>
          </w:p>
          <w:p w14:paraId="12B68114" w14:textId="77777777" w:rsidR="003E37F6" w:rsidRPr="00346547" w:rsidRDefault="003E37F6" w:rsidP="001F79B0">
            <w:pPr>
              <w:keepNext/>
              <w:tabs>
                <w:tab w:val="left" w:pos="562"/>
                <w:tab w:val="left" w:pos="2380"/>
              </w:tabs>
              <w:rPr>
                <w:bCs/>
                <w:sz w:val="22"/>
                <w:szCs w:val="22"/>
                <w:lang w:val="hu-HU"/>
              </w:rPr>
            </w:pPr>
          </w:p>
        </w:tc>
      </w:tr>
      <w:tr w:rsidR="00A7162A" w14:paraId="55916C61" w14:textId="77777777" w:rsidTr="001F79B0">
        <w:trPr>
          <w:trHeight w:val="737"/>
        </w:trPr>
        <w:tc>
          <w:tcPr>
            <w:tcW w:w="4644" w:type="dxa"/>
            <w:gridSpan w:val="2"/>
          </w:tcPr>
          <w:p w14:paraId="71D13DB1" w14:textId="77777777" w:rsidR="003E37F6" w:rsidRPr="00346547" w:rsidRDefault="00615769" w:rsidP="001F79B0">
            <w:pPr>
              <w:rPr>
                <w:b/>
                <w:bCs/>
                <w:sz w:val="22"/>
                <w:szCs w:val="22"/>
                <w:lang w:val="en-US"/>
              </w:rPr>
            </w:pPr>
            <w:r w:rsidRPr="00346547">
              <w:rPr>
                <w:b/>
                <w:bCs/>
                <w:sz w:val="22"/>
                <w:szCs w:val="22"/>
                <w:lang w:val="en-US"/>
              </w:rPr>
              <w:t>Danmark</w:t>
            </w:r>
          </w:p>
          <w:p w14:paraId="0338AF35" w14:textId="77777777" w:rsidR="003E37F6" w:rsidRPr="00346547" w:rsidRDefault="00615769" w:rsidP="001F79B0">
            <w:pPr>
              <w:rPr>
                <w:bCs/>
                <w:sz w:val="22"/>
                <w:szCs w:val="22"/>
                <w:lang w:val="en-US"/>
              </w:rPr>
            </w:pPr>
            <w:r w:rsidRPr="00346547">
              <w:rPr>
                <w:bCs/>
                <w:sz w:val="22"/>
                <w:szCs w:val="22"/>
                <w:lang w:val="en-US"/>
              </w:rPr>
              <w:t>AbbVie A/S</w:t>
            </w:r>
          </w:p>
          <w:p w14:paraId="30A63A21" w14:textId="5E286AC9" w:rsidR="003E37F6" w:rsidRPr="00860B88" w:rsidRDefault="00615769" w:rsidP="001F79B0">
            <w:pPr>
              <w:rPr>
                <w:bCs/>
                <w:sz w:val="22"/>
                <w:szCs w:val="22"/>
                <w:lang w:val="en-US"/>
              </w:rPr>
            </w:pPr>
            <w:r w:rsidRPr="00346547">
              <w:rPr>
                <w:bCs/>
                <w:sz w:val="22"/>
                <w:szCs w:val="22"/>
                <w:lang w:val="en-US"/>
              </w:rPr>
              <w:t>Tlf</w:t>
            </w:r>
            <w:ins w:id="16603" w:author="AbbVie2" w:date="2025-05-14T10:33:00Z">
              <w:r w:rsidR="00F558D8">
                <w:rPr>
                  <w:bCs/>
                  <w:sz w:val="22"/>
                  <w:szCs w:val="22"/>
                  <w:lang w:val="en-US"/>
                </w:rPr>
                <w:t>.</w:t>
              </w:r>
            </w:ins>
            <w:r w:rsidRPr="00346547">
              <w:rPr>
                <w:bCs/>
                <w:sz w:val="22"/>
                <w:szCs w:val="22"/>
                <w:lang w:val="en-US"/>
              </w:rPr>
              <w:t>: +45 72 30-20-28</w:t>
            </w:r>
          </w:p>
        </w:tc>
        <w:tc>
          <w:tcPr>
            <w:tcW w:w="4678" w:type="dxa"/>
            <w:gridSpan w:val="2"/>
          </w:tcPr>
          <w:p w14:paraId="7410CE77" w14:textId="77777777" w:rsidR="003E37F6" w:rsidRPr="00346547" w:rsidRDefault="00615769" w:rsidP="001F79B0">
            <w:pPr>
              <w:rPr>
                <w:b/>
                <w:bCs/>
                <w:sz w:val="22"/>
                <w:szCs w:val="22"/>
                <w:lang w:val="mt-MT"/>
              </w:rPr>
            </w:pPr>
            <w:r w:rsidRPr="00346547">
              <w:rPr>
                <w:b/>
                <w:bCs/>
                <w:sz w:val="22"/>
                <w:szCs w:val="22"/>
                <w:lang w:val="mt-MT"/>
              </w:rPr>
              <w:t>Malta</w:t>
            </w:r>
          </w:p>
          <w:p w14:paraId="43CDB134" w14:textId="77777777" w:rsidR="003E37F6" w:rsidRPr="00346547" w:rsidRDefault="00615769" w:rsidP="001F79B0">
            <w:pPr>
              <w:rPr>
                <w:bCs/>
                <w:sz w:val="22"/>
                <w:szCs w:val="22"/>
              </w:rPr>
            </w:pPr>
            <w:r w:rsidRPr="00346547">
              <w:rPr>
                <w:bCs/>
                <w:sz w:val="22"/>
                <w:szCs w:val="22"/>
              </w:rPr>
              <w:t xml:space="preserve">V.J.Salomone Pharma Limited </w:t>
            </w:r>
          </w:p>
          <w:p w14:paraId="4513E90A" w14:textId="4A863CFC" w:rsidR="003E37F6" w:rsidRPr="00346547" w:rsidRDefault="00615769" w:rsidP="001F79B0">
            <w:pPr>
              <w:rPr>
                <w:bCs/>
                <w:sz w:val="22"/>
                <w:szCs w:val="22"/>
              </w:rPr>
            </w:pPr>
            <w:r w:rsidRPr="00346547">
              <w:rPr>
                <w:bCs/>
                <w:sz w:val="22"/>
                <w:szCs w:val="22"/>
              </w:rPr>
              <w:t xml:space="preserve">Tel: </w:t>
            </w:r>
            <w:r w:rsidRPr="00E663CE">
              <w:rPr>
                <w:bCs/>
                <w:sz w:val="22"/>
                <w:szCs w:val="22"/>
                <w:lang w:val="en-GB"/>
              </w:rPr>
              <w:t>+356 21220174</w:t>
            </w:r>
          </w:p>
          <w:p w14:paraId="27DFF39C" w14:textId="77777777" w:rsidR="003E37F6" w:rsidRPr="00346547" w:rsidRDefault="003E37F6" w:rsidP="001F79B0">
            <w:pPr>
              <w:rPr>
                <w:bCs/>
                <w:sz w:val="22"/>
                <w:szCs w:val="22"/>
              </w:rPr>
            </w:pPr>
          </w:p>
        </w:tc>
      </w:tr>
      <w:tr w:rsidR="00A7162A" w14:paraId="3105AD0A" w14:textId="77777777" w:rsidTr="001F79B0">
        <w:tc>
          <w:tcPr>
            <w:tcW w:w="4644" w:type="dxa"/>
            <w:gridSpan w:val="2"/>
          </w:tcPr>
          <w:p w14:paraId="46F7B4BB" w14:textId="77777777" w:rsidR="003E37F6" w:rsidRPr="00346547" w:rsidRDefault="00615769" w:rsidP="001F79B0">
            <w:pPr>
              <w:keepNext/>
              <w:rPr>
                <w:b/>
                <w:bCs/>
                <w:sz w:val="22"/>
                <w:szCs w:val="22"/>
                <w:lang w:val="de-DE"/>
              </w:rPr>
            </w:pPr>
            <w:r w:rsidRPr="00346547">
              <w:rPr>
                <w:b/>
                <w:bCs/>
                <w:sz w:val="22"/>
                <w:szCs w:val="22"/>
                <w:lang w:val="de-DE"/>
              </w:rPr>
              <w:t>Deutschland</w:t>
            </w:r>
          </w:p>
          <w:p w14:paraId="27DD4E90" w14:textId="77777777" w:rsidR="003E37F6" w:rsidRPr="00346547" w:rsidRDefault="00615769" w:rsidP="001F79B0">
            <w:pPr>
              <w:keepNext/>
              <w:rPr>
                <w:bCs/>
                <w:sz w:val="22"/>
                <w:szCs w:val="22"/>
                <w:lang w:val="de-DE"/>
              </w:rPr>
            </w:pPr>
            <w:r w:rsidRPr="00346547">
              <w:rPr>
                <w:sz w:val="22"/>
                <w:szCs w:val="22"/>
                <w:lang w:val="de-DE"/>
              </w:rPr>
              <w:t xml:space="preserve">AbbVie Deutschland </w:t>
            </w:r>
            <w:r w:rsidRPr="00346547">
              <w:rPr>
                <w:bCs/>
                <w:sz w:val="22"/>
                <w:szCs w:val="22"/>
                <w:lang w:val="de-DE"/>
              </w:rPr>
              <w:t>GmbH &amp; Co. KG</w:t>
            </w:r>
          </w:p>
          <w:p w14:paraId="701BC1FA" w14:textId="77777777" w:rsidR="003E37F6" w:rsidRPr="00346547" w:rsidRDefault="00615769" w:rsidP="001F79B0">
            <w:pPr>
              <w:keepNext/>
              <w:rPr>
                <w:sz w:val="22"/>
                <w:szCs w:val="22"/>
                <w:lang w:val="de-DE"/>
              </w:rPr>
            </w:pPr>
            <w:r w:rsidRPr="00346547">
              <w:rPr>
                <w:sz w:val="22"/>
                <w:szCs w:val="22"/>
                <w:lang w:val="de-DE"/>
              </w:rPr>
              <w:t>Tel: 00800 222843 33 (gebührenfrei)</w:t>
            </w:r>
          </w:p>
          <w:p w14:paraId="73ED8196" w14:textId="77777777" w:rsidR="003E37F6" w:rsidRPr="00346547" w:rsidRDefault="00615769" w:rsidP="001F79B0">
            <w:pPr>
              <w:keepNext/>
              <w:rPr>
                <w:sz w:val="22"/>
                <w:szCs w:val="22"/>
                <w:lang w:val="de-DE"/>
              </w:rPr>
            </w:pPr>
            <w:r w:rsidRPr="00346547">
              <w:rPr>
                <w:sz w:val="22"/>
                <w:szCs w:val="22"/>
                <w:lang w:val="de-DE"/>
              </w:rPr>
              <w:t>Tel: +49 (0) 611 / 1720-0</w:t>
            </w:r>
          </w:p>
          <w:p w14:paraId="79915BBD" w14:textId="77777777" w:rsidR="003E37F6" w:rsidRPr="00346547" w:rsidRDefault="003E37F6" w:rsidP="001F79B0">
            <w:pPr>
              <w:keepNext/>
              <w:rPr>
                <w:sz w:val="22"/>
                <w:szCs w:val="22"/>
                <w:lang w:val="de-DE"/>
              </w:rPr>
            </w:pPr>
          </w:p>
        </w:tc>
        <w:tc>
          <w:tcPr>
            <w:tcW w:w="4678" w:type="dxa"/>
            <w:gridSpan w:val="2"/>
          </w:tcPr>
          <w:p w14:paraId="5879526D" w14:textId="77777777" w:rsidR="003E37F6" w:rsidRPr="00346547" w:rsidRDefault="00615769" w:rsidP="001F79B0">
            <w:pPr>
              <w:keepNext/>
              <w:rPr>
                <w:b/>
                <w:bCs/>
                <w:sz w:val="22"/>
                <w:szCs w:val="22"/>
                <w:lang w:val="nl-NL"/>
              </w:rPr>
            </w:pPr>
            <w:r w:rsidRPr="00346547">
              <w:rPr>
                <w:b/>
                <w:bCs/>
                <w:sz w:val="22"/>
                <w:szCs w:val="22"/>
                <w:lang w:val="nl-NL"/>
              </w:rPr>
              <w:t>Nederland</w:t>
            </w:r>
          </w:p>
          <w:p w14:paraId="415C07AC" w14:textId="77777777" w:rsidR="003E37F6" w:rsidRPr="00346547" w:rsidRDefault="00615769" w:rsidP="001F79B0">
            <w:pPr>
              <w:keepNext/>
              <w:rPr>
                <w:bCs/>
                <w:sz w:val="22"/>
                <w:szCs w:val="22"/>
                <w:lang w:val="de-DE"/>
              </w:rPr>
            </w:pPr>
            <w:r w:rsidRPr="00346547">
              <w:rPr>
                <w:bCs/>
                <w:sz w:val="22"/>
                <w:szCs w:val="22"/>
                <w:lang w:val="de-DE"/>
              </w:rPr>
              <w:t>AbbVie B.V.</w:t>
            </w:r>
          </w:p>
          <w:p w14:paraId="029F36CB" w14:textId="77777777" w:rsidR="003E37F6" w:rsidRPr="00346547" w:rsidRDefault="00615769" w:rsidP="001F79B0">
            <w:pPr>
              <w:keepNext/>
              <w:rPr>
                <w:bCs/>
                <w:sz w:val="22"/>
                <w:szCs w:val="22"/>
                <w:lang w:val="de-DE"/>
              </w:rPr>
            </w:pPr>
            <w:r w:rsidRPr="00346547">
              <w:rPr>
                <w:bCs/>
                <w:sz w:val="22"/>
                <w:szCs w:val="22"/>
                <w:lang w:val="de-DE"/>
              </w:rPr>
              <w:t>Tel: +31 (0)88 322 2843</w:t>
            </w:r>
          </w:p>
        </w:tc>
      </w:tr>
      <w:tr w:rsidR="00A7162A" w14:paraId="55A0686F" w14:textId="77777777" w:rsidTr="001F79B0">
        <w:tc>
          <w:tcPr>
            <w:tcW w:w="4644" w:type="dxa"/>
            <w:gridSpan w:val="2"/>
          </w:tcPr>
          <w:p w14:paraId="41CC2151" w14:textId="77777777" w:rsidR="003E37F6" w:rsidRPr="00346547" w:rsidRDefault="00615769" w:rsidP="001F79B0">
            <w:pPr>
              <w:rPr>
                <w:b/>
                <w:bCs/>
                <w:sz w:val="22"/>
                <w:szCs w:val="22"/>
                <w:lang w:val="et-EE"/>
              </w:rPr>
            </w:pPr>
            <w:r w:rsidRPr="00346547">
              <w:rPr>
                <w:b/>
                <w:bCs/>
                <w:sz w:val="22"/>
                <w:szCs w:val="22"/>
                <w:lang w:val="et-EE"/>
              </w:rPr>
              <w:t>Eesti</w:t>
            </w:r>
          </w:p>
          <w:p w14:paraId="4F26F23F" w14:textId="77777777" w:rsidR="003E37F6" w:rsidRPr="00346547" w:rsidRDefault="00615769" w:rsidP="001F79B0">
            <w:pPr>
              <w:rPr>
                <w:bCs/>
                <w:sz w:val="22"/>
                <w:szCs w:val="22"/>
                <w:lang w:val="et-EE"/>
              </w:rPr>
            </w:pPr>
            <w:r w:rsidRPr="00346547">
              <w:rPr>
                <w:bCs/>
                <w:sz w:val="22"/>
                <w:szCs w:val="22"/>
                <w:lang w:val="et-EE"/>
              </w:rPr>
              <w:t xml:space="preserve">AbbVie </w:t>
            </w:r>
            <w:r w:rsidRPr="00346547">
              <w:rPr>
                <w:bCs/>
                <w:sz w:val="22"/>
                <w:szCs w:val="22"/>
              </w:rPr>
              <w:t>OÜ</w:t>
            </w:r>
            <w:r w:rsidRPr="00346547">
              <w:rPr>
                <w:bCs/>
                <w:sz w:val="22"/>
                <w:szCs w:val="22"/>
                <w:lang w:val="et-EE"/>
              </w:rPr>
              <w:t xml:space="preserve"> </w:t>
            </w:r>
          </w:p>
          <w:p w14:paraId="24284237" w14:textId="77777777" w:rsidR="003E37F6" w:rsidRPr="00346547" w:rsidRDefault="00615769" w:rsidP="001F79B0">
            <w:pPr>
              <w:rPr>
                <w:bCs/>
                <w:sz w:val="22"/>
                <w:szCs w:val="22"/>
                <w:lang w:val="lv-LV"/>
              </w:rPr>
            </w:pPr>
            <w:r w:rsidRPr="00346547">
              <w:rPr>
                <w:bCs/>
                <w:sz w:val="22"/>
                <w:szCs w:val="22"/>
                <w:lang w:val="et-EE"/>
              </w:rPr>
              <w:t>Tel: +372 623 1011</w:t>
            </w:r>
          </w:p>
        </w:tc>
        <w:tc>
          <w:tcPr>
            <w:tcW w:w="4678" w:type="dxa"/>
            <w:gridSpan w:val="2"/>
          </w:tcPr>
          <w:p w14:paraId="3780FDF7" w14:textId="77777777" w:rsidR="003E37F6" w:rsidRPr="00346547" w:rsidRDefault="00615769" w:rsidP="001F79B0">
            <w:pPr>
              <w:rPr>
                <w:b/>
                <w:bCs/>
                <w:sz w:val="22"/>
                <w:szCs w:val="22"/>
                <w:lang w:val="nb-NO"/>
              </w:rPr>
            </w:pPr>
            <w:r w:rsidRPr="00346547">
              <w:rPr>
                <w:b/>
                <w:bCs/>
                <w:sz w:val="22"/>
                <w:szCs w:val="22"/>
                <w:lang w:val="nb-NO"/>
              </w:rPr>
              <w:t>Norge</w:t>
            </w:r>
          </w:p>
          <w:p w14:paraId="6A9BB93B" w14:textId="77777777" w:rsidR="003E37F6" w:rsidRPr="00346547" w:rsidRDefault="00615769" w:rsidP="001F79B0">
            <w:pPr>
              <w:rPr>
                <w:bCs/>
                <w:sz w:val="22"/>
                <w:szCs w:val="22"/>
              </w:rPr>
            </w:pPr>
            <w:r w:rsidRPr="00346547">
              <w:rPr>
                <w:bCs/>
                <w:sz w:val="22"/>
                <w:szCs w:val="22"/>
              </w:rPr>
              <w:t>AbbVie AS</w:t>
            </w:r>
          </w:p>
          <w:p w14:paraId="731DF7BA" w14:textId="77777777" w:rsidR="003E37F6" w:rsidRPr="00346547" w:rsidRDefault="00615769" w:rsidP="001F79B0">
            <w:pPr>
              <w:rPr>
                <w:bCs/>
                <w:sz w:val="22"/>
                <w:szCs w:val="22"/>
              </w:rPr>
            </w:pPr>
            <w:r w:rsidRPr="00346547">
              <w:rPr>
                <w:bCs/>
                <w:sz w:val="22"/>
                <w:szCs w:val="22"/>
              </w:rPr>
              <w:t>Tlf: +47 67 81 80 00</w:t>
            </w:r>
          </w:p>
          <w:p w14:paraId="5FB59EF8" w14:textId="77777777" w:rsidR="003E37F6" w:rsidRPr="00346547" w:rsidRDefault="003E37F6" w:rsidP="001F79B0">
            <w:pPr>
              <w:rPr>
                <w:bCs/>
                <w:sz w:val="22"/>
                <w:szCs w:val="22"/>
              </w:rPr>
            </w:pPr>
          </w:p>
        </w:tc>
      </w:tr>
      <w:tr w:rsidR="00A7162A" w14:paraId="7F26F7A5" w14:textId="77777777" w:rsidTr="001F79B0">
        <w:trPr>
          <w:trHeight w:val="794"/>
        </w:trPr>
        <w:tc>
          <w:tcPr>
            <w:tcW w:w="4644" w:type="dxa"/>
            <w:gridSpan w:val="2"/>
          </w:tcPr>
          <w:p w14:paraId="05D34A16" w14:textId="77777777" w:rsidR="003E37F6" w:rsidRPr="00346547" w:rsidRDefault="00615769" w:rsidP="001F79B0">
            <w:pPr>
              <w:rPr>
                <w:b/>
                <w:bCs/>
                <w:sz w:val="22"/>
                <w:szCs w:val="22"/>
                <w:lang w:val="el-GR"/>
              </w:rPr>
            </w:pPr>
            <w:r w:rsidRPr="00346547">
              <w:rPr>
                <w:b/>
                <w:bCs/>
                <w:sz w:val="22"/>
                <w:szCs w:val="22"/>
                <w:lang w:val="el-GR"/>
              </w:rPr>
              <w:t>Ελλάδα</w:t>
            </w:r>
          </w:p>
          <w:p w14:paraId="15CDE6B7" w14:textId="77777777" w:rsidR="003E37F6" w:rsidRPr="00346547" w:rsidRDefault="00615769" w:rsidP="001F79B0">
            <w:pPr>
              <w:rPr>
                <w:bCs/>
                <w:sz w:val="22"/>
                <w:szCs w:val="22"/>
                <w:lang w:val="el-GR"/>
              </w:rPr>
            </w:pPr>
            <w:r w:rsidRPr="00346547">
              <w:rPr>
                <w:bCs/>
                <w:sz w:val="22"/>
                <w:szCs w:val="22"/>
                <w:lang w:val="et-EE"/>
              </w:rPr>
              <w:t xml:space="preserve">AbbVie </w:t>
            </w:r>
            <w:r w:rsidRPr="00346547">
              <w:rPr>
                <w:sz w:val="22"/>
                <w:szCs w:val="22"/>
                <w:lang w:val="el-GR"/>
              </w:rPr>
              <w:t>ΦΑΡΜΑΚΕΥΤΙΚΗ Α.Ε.</w:t>
            </w:r>
          </w:p>
          <w:p w14:paraId="1718C137" w14:textId="77777777" w:rsidR="003E37F6" w:rsidRPr="00346547" w:rsidRDefault="00615769" w:rsidP="001F79B0">
            <w:pPr>
              <w:rPr>
                <w:bCs/>
                <w:sz w:val="22"/>
                <w:szCs w:val="22"/>
              </w:rPr>
            </w:pPr>
            <w:r w:rsidRPr="00346547">
              <w:rPr>
                <w:bCs/>
                <w:sz w:val="22"/>
                <w:szCs w:val="22"/>
                <w:lang w:val="el-GR"/>
              </w:rPr>
              <w:t xml:space="preserve">Τηλ: +30 </w:t>
            </w:r>
            <w:r w:rsidRPr="00346547">
              <w:rPr>
                <w:bCs/>
                <w:sz w:val="22"/>
                <w:szCs w:val="22"/>
              </w:rPr>
              <w:t>214 4165 555</w:t>
            </w:r>
          </w:p>
        </w:tc>
        <w:tc>
          <w:tcPr>
            <w:tcW w:w="4678" w:type="dxa"/>
            <w:gridSpan w:val="2"/>
          </w:tcPr>
          <w:p w14:paraId="2BB92071" w14:textId="77777777" w:rsidR="003E37F6" w:rsidRPr="00346547" w:rsidRDefault="00615769" w:rsidP="001F79B0">
            <w:pPr>
              <w:rPr>
                <w:b/>
                <w:bCs/>
                <w:sz w:val="22"/>
                <w:szCs w:val="22"/>
                <w:lang w:val="de-DE"/>
              </w:rPr>
            </w:pPr>
            <w:r w:rsidRPr="00346547">
              <w:rPr>
                <w:b/>
                <w:bCs/>
                <w:sz w:val="22"/>
                <w:szCs w:val="22"/>
                <w:lang w:val="de-DE"/>
              </w:rPr>
              <w:t>Österreich</w:t>
            </w:r>
          </w:p>
          <w:p w14:paraId="781E5122" w14:textId="77777777" w:rsidR="003E37F6" w:rsidRPr="00346547" w:rsidRDefault="00615769" w:rsidP="001F79B0">
            <w:pPr>
              <w:rPr>
                <w:bCs/>
                <w:sz w:val="22"/>
                <w:szCs w:val="22"/>
                <w:lang w:val="de-DE"/>
              </w:rPr>
            </w:pPr>
            <w:r w:rsidRPr="00346547">
              <w:rPr>
                <w:bCs/>
                <w:sz w:val="22"/>
                <w:szCs w:val="22"/>
                <w:lang w:val="de-DE"/>
              </w:rPr>
              <w:t xml:space="preserve">AbbVie GmbH </w:t>
            </w:r>
          </w:p>
          <w:p w14:paraId="3E1B8D7F" w14:textId="77777777" w:rsidR="003E37F6" w:rsidRPr="00346547" w:rsidRDefault="00615769" w:rsidP="001F79B0">
            <w:pPr>
              <w:rPr>
                <w:bCs/>
                <w:sz w:val="22"/>
                <w:szCs w:val="22"/>
                <w:lang w:val="de-DE"/>
              </w:rPr>
            </w:pPr>
            <w:r w:rsidRPr="00346547">
              <w:rPr>
                <w:bCs/>
                <w:sz w:val="22"/>
                <w:szCs w:val="22"/>
                <w:lang w:val="de-DE"/>
              </w:rPr>
              <w:t>Tel: +43 1 20589-0</w:t>
            </w:r>
          </w:p>
          <w:p w14:paraId="42101CA0" w14:textId="77777777" w:rsidR="003E37F6" w:rsidRPr="00346547" w:rsidRDefault="003E37F6" w:rsidP="001F79B0">
            <w:pPr>
              <w:rPr>
                <w:bCs/>
                <w:sz w:val="22"/>
                <w:szCs w:val="22"/>
                <w:lang w:val="de-DE"/>
              </w:rPr>
            </w:pPr>
          </w:p>
        </w:tc>
      </w:tr>
      <w:tr w:rsidR="00A7162A" w14:paraId="2B77F219" w14:textId="77777777" w:rsidTr="001F79B0">
        <w:trPr>
          <w:gridBefore w:val="1"/>
          <w:wBefore w:w="34" w:type="dxa"/>
        </w:trPr>
        <w:tc>
          <w:tcPr>
            <w:tcW w:w="4644" w:type="dxa"/>
            <w:gridSpan w:val="2"/>
          </w:tcPr>
          <w:p w14:paraId="14F766C3" w14:textId="77777777" w:rsidR="003E37F6" w:rsidRPr="00346547" w:rsidRDefault="00615769" w:rsidP="001F79B0">
            <w:pPr>
              <w:rPr>
                <w:b/>
                <w:bCs/>
                <w:sz w:val="22"/>
                <w:szCs w:val="22"/>
                <w:lang w:val="es-ES"/>
              </w:rPr>
            </w:pPr>
            <w:r w:rsidRPr="00346547">
              <w:rPr>
                <w:b/>
                <w:bCs/>
                <w:sz w:val="22"/>
                <w:szCs w:val="22"/>
                <w:lang w:val="es-ES"/>
              </w:rPr>
              <w:t>España</w:t>
            </w:r>
          </w:p>
          <w:p w14:paraId="722DF704" w14:textId="77777777" w:rsidR="003E37F6" w:rsidRPr="00346547" w:rsidRDefault="00615769" w:rsidP="001F79B0">
            <w:pPr>
              <w:rPr>
                <w:sz w:val="22"/>
                <w:szCs w:val="22"/>
                <w:lang w:val="es-ES"/>
              </w:rPr>
            </w:pPr>
            <w:r w:rsidRPr="00346547">
              <w:rPr>
                <w:sz w:val="22"/>
                <w:szCs w:val="22"/>
                <w:lang w:val="es-ES"/>
              </w:rPr>
              <w:t xml:space="preserve">AbbVie </w:t>
            </w:r>
            <w:r w:rsidRPr="00346547">
              <w:rPr>
                <w:bCs/>
                <w:sz w:val="22"/>
                <w:szCs w:val="22"/>
                <w:lang w:val="es-ES"/>
              </w:rPr>
              <w:t>Spain</w:t>
            </w:r>
            <w:r w:rsidRPr="00346547">
              <w:rPr>
                <w:sz w:val="22"/>
                <w:szCs w:val="22"/>
                <w:lang w:val="es-ES"/>
              </w:rPr>
              <w:t>, S.L.U</w:t>
            </w:r>
            <w:r w:rsidRPr="00346547">
              <w:rPr>
                <w:bCs/>
                <w:sz w:val="22"/>
                <w:szCs w:val="22"/>
                <w:lang w:val="es-ES"/>
              </w:rPr>
              <w:t>.</w:t>
            </w:r>
          </w:p>
          <w:p w14:paraId="686A4CC9" w14:textId="77777777" w:rsidR="003E37F6" w:rsidRPr="00346547" w:rsidRDefault="00615769" w:rsidP="001F79B0">
            <w:pPr>
              <w:rPr>
                <w:bCs/>
                <w:sz w:val="22"/>
                <w:szCs w:val="22"/>
                <w:lang w:val="pl-PL"/>
              </w:rPr>
            </w:pPr>
            <w:r w:rsidRPr="00346547">
              <w:rPr>
                <w:bCs/>
                <w:sz w:val="22"/>
                <w:szCs w:val="22"/>
              </w:rPr>
              <w:t>Tel: +34 91 384 09 10</w:t>
            </w:r>
          </w:p>
        </w:tc>
        <w:tc>
          <w:tcPr>
            <w:tcW w:w="4678" w:type="dxa"/>
          </w:tcPr>
          <w:p w14:paraId="5110B06E" w14:textId="77777777" w:rsidR="003E37F6" w:rsidRPr="00346547" w:rsidRDefault="00615769" w:rsidP="001F79B0">
            <w:pPr>
              <w:rPr>
                <w:b/>
                <w:bCs/>
                <w:iCs/>
                <w:sz w:val="22"/>
                <w:szCs w:val="22"/>
                <w:lang w:val="pl-PL"/>
              </w:rPr>
            </w:pPr>
            <w:r w:rsidRPr="00346547">
              <w:rPr>
                <w:b/>
                <w:bCs/>
                <w:iCs/>
                <w:sz w:val="22"/>
                <w:szCs w:val="22"/>
                <w:lang w:val="pl-PL"/>
              </w:rPr>
              <w:t>Polska</w:t>
            </w:r>
          </w:p>
          <w:p w14:paraId="084D5E01" w14:textId="77777777" w:rsidR="003E37F6" w:rsidRPr="00346547" w:rsidRDefault="00615769" w:rsidP="001F79B0">
            <w:pPr>
              <w:rPr>
                <w:bCs/>
                <w:sz w:val="22"/>
                <w:szCs w:val="22"/>
                <w:lang w:val="pl-PL"/>
              </w:rPr>
            </w:pPr>
            <w:r w:rsidRPr="00346547">
              <w:rPr>
                <w:bCs/>
                <w:sz w:val="22"/>
                <w:szCs w:val="22"/>
                <w:lang w:val="pl-PL"/>
              </w:rPr>
              <w:t>AbbVie Sp. z o.o.</w:t>
            </w:r>
          </w:p>
          <w:p w14:paraId="1B1C1160" w14:textId="77777777" w:rsidR="003E37F6" w:rsidRPr="00346547" w:rsidRDefault="00615769" w:rsidP="001F79B0">
            <w:pPr>
              <w:pStyle w:val="Footer"/>
              <w:rPr>
                <w:bCs/>
                <w:sz w:val="22"/>
                <w:szCs w:val="22"/>
                <w:lang w:val="pl-PL"/>
              </w:rPr>
            </w:pPr>
            <w:r w:rsidRPr="00346547">
              <w:rPr>
                <w:sz w:val="22"/>
                <w:szCs w:val="22"/>
                <w:lang w:val="es-ES"/>
              </w:rPr>
              <w:t xml:space="preserve">Tel.: +48 22 </w:t>
            </w:r>
            <w:r w:rsidRPr="00346547">
              <w:rPr>
                <w:bCs/>
                <w:sz w:val="22"/>
                <w:szCs w:val="22"/>
                <w:lang w:val="pl-PL"/>
              </w:rPr>
              <w:t xml:space="preserve">372 78 00 </w:t>
            </w:r>
          </w:p>
          <w:p w14:paraId="1ED34E84" w14:textId="77777777" w:rsidR="003E37F6" w:rsidRPr="00346547" w:rsidRDefault="003E37F6" w:rsidP="001F79B0">
            <w:pPr>
              <w:pStyle w:val="Footer"/>
              <w:rPr>
                <w:bCs/>
                <w:sz w:val="22"/>
                <w:szCs w:val="22"/>
                <w:lang w:val="pl-PL"/>
              </w:rPr>
            </w:pPr>
          </w:p>
        </w:tc>
      </w:tr>
      <w:tr w:rsidR="00A7162A" w14:paraId="7C8FAA74" w14:textId="77777777" w:rsidTr="001F79B0">
        <w:trPr>
          <w:trHeight w:val="734"/>
        </w:trPr>
        <w:tc>
          <w:tcPr>
            <w:tcW w:w="4678" w:type="dxa"/>
            <w:gridSpan w:val="3"/>
          </w:tcPr>
          <w:p w14:paraId="338F823F" w14:textId="77777777" w:rsidR="003E37F6" w:rsidRPr="00346547" w:rsidRDefault="00615769" w:rsidP="001F79B0">
            <w:pPr>
              <w:ind w:firstLine="34"/>
              <w:rPr>
                <w:b/>
                <w:bCs/>
                <w:sz w:val="22"/>
                <w:szCs w:val="22"/>
                <w:lang w:val="fr-FR"/>
              </w:rPr>
            </w:pPr>
            <w:r w:rsidRPr="00346547">
              <w:rPr>
                <w:b/>
                <w:bCs/>
                <w:sz w:val="22"/>
                <w:szCs w:val="22"/>
                <w:lang w:val="fr-FR"/>
              </w:rPr>
              <w:t>France</w:t>
            </w:r>
          </w:p>
          <w:p w14:paraId="23848A92" w14:textId="77777777" w:rsidR="003E37F6" w:rsidRPr="00346547" w:rsidRDefault="00615769" w:rsidP="001F79B0">
            <w:pPr>
              <w:ind w:firstLine="34"/>
              <w:rPr>
                <w:bCs/>
                <w:sz w:val="22"/>
                <w:szCs w:val="22"/>
                <w:lang w:val="fr-FR"/>
              </w:rPr>
            </w:pPr>
            <w:r w:rsidRPr="00346547">
              <w:rPr>
                <w:bCs/>
                <w:sz w:val="22"/>
                <w:szCs w:val="22"/>
                <w:lang w:val="fr-FR"/>
              </w:rPr>
              <w:t>AbbVie</w:t>
            </w:r>
          </w:p>
          <w:p w14:paraId="2EC4DB28" w14:textId="77777777" w:rsidR="003E37F6" w:rsidRPr="00346547" w:rsidRDefault="00615769" w:rsidP="001F79B0">
            <w:pPr>
              <w:ind w:firstLine="34"/>
              <w:rPr>
                <w:bCs/>
                <w:sz w:val="22"/>
                <w:szCs w:val="22"/>
                <w:lang w:val="fr-FR"/>
              </w:rPr>
            </w:pPr>
            <w:r w:rsidRPr="00346547">
              <w:rPr>
                <w:bCs/>
                <w:sz w:val="22"/>
                <w:szCs w:val="22"/>
                <w:lang w:val="fr-FR"/>
              </w:rPr>
              <w:t>Tél: +33 (0) 1 45 60 13 00</w:t>
            </w:r>
          </w:p>
        </w:tc>
        <w:tc>
          <w:tcPr>
            <w:tcW w:w="4678" w:type="dxa"/>
          </w:tcPr>
          <w:p w14:paraId="51185862" w14:textId="77777777" w:rsidR="003E37F6" w:rsidRPr="00346547" w:rsidRDefault="00615769" w:rsidP="001F79B0">
            <w:pPr>
              <w:rPr>
                <w:b/>
                <w:bCs/>
                <w:sz w:val="22"/>
                <w:szCs w:val="22"/>
              </w:rPr>
            </w:pPr>
            <w:r w:rsidRPr="00346547">
              <w:rPr>
                <w:b/>
                <w:bCs/>
                <w:sz w:val="22"/>
                <w:szCs w:val="22"/>
              </w:rPr>
              <w:t>Portugal</w:t>
            </w:r>
          </w:p>
          <w:p w14:paraId="2E03930D" w14:textId="77777777" w:rsidR="003E37F6" w:rsidRPr="00346547" w:rsidRDefault="00615769" w:rsidP="001F79B0">
            <w:pPr>
              <w:pStyle w:val="Footer"/>
              <w:rPr>
                <w:bCs/>
                <w:sz w:val="22"/>
                <w:szCs w:val="22"/>
                <w:lang w:val="fr-FR"/>
              </w:rPr>
            </w:pPr>
            <w:r w:rsidRPr="00346547">
              <w:rPr>
                <w:bCs/>
                <w:sz w:val="22"/>
                <w:szCs w:val="22"/>
                <w:lang w:val="fr-FR"/>
              </w:rPr>
              <w:t xml:space="preserve">AbbVie, Lda. </w:t>
            </w:r>
          </w:p>
          <w:p w14:paraId="5A2D1F54" w14:textId="77777777" w:rsidR="003E37F6" w:rsidRPr="00346547" w:rsidRDefault="00615769" w:rsidP="001F79B0">
            <w:pPr>
              <w:pStyle w:val="Footer"/>
              <w:rPr>
                <w:sz w:val="22"/>
                <w:szCs w:val="22"/>
                <w:lang w:val="fr-FR"/>
              </w:rPr>
            </w:pPr>
            <w:r w:rsidRPr="00346547">
              <w:rPr>
                <w:sz w:val="22"/>
                <w:szCs w:val="22"/>
                <w:lang w:val="fr-FR"/>
              </w:rPr>
              <w:t>Tel: +351 (0)21 1908400</w:t>
            </w:r>
          </w:p>
          <w:p w14:paraId="1017CFE8" w14:textId="77777777" w:rsidR="003E37F6" w:rsidRPr="00346547" w:rsidRDefault="003E37F6" w:rsidP="001F79B0">
            <w:pPr>
              <w:pStyle w:val="Footer"/>
              <w:rPr>
                <w:sz w:val="22"/>
                <w:szCs w:val="22"/>
                <w:lang w:val="fr-FR"/>
              </w:rPr>
            </w:pPr>
          </w:p>
        </w:tc>
      </w:tr>
      <w:tr w:rsidR="00A7162A" w14:paraId="6CA0C18C" w14:textId="77777777" w:rsidTr="001F79B0">
        <w:trPr>
          <w:gridBefore w:val="1"/>
          <w:wBefore w:w="34" w:type="dxa"/>
        </w:trPr>
        <w:tc>
          <w:tcPr>
            <w:tcW w:w="4644" w:type="dxa"/>
            <w:gridSpan w:val="2"/>
          </w:tcPr>
          <w:p w14:paraId="2E8B26AB" w14:textId="77777777" w:rsidR="003E37F6" w:rsidRPr="00860B88" w:rsidRDefault="00615769" w:rsidP="001F79B0">
            <w:pPr>
              <w:pStyle w:val="Default"/>
              <w:rPr>
                <w:color w:val="auto"/>
                <w:sz w:val="22"/>
                <w:szCs w:val="22"/>
                <w:lang w:val="pt-PT"/>
              </w:rPr>
            </w:pPr>
            <w:r w:rsidRPr="00860B88">
              <w:rPr>
                <w:b/>
                <w:bCs/>
                <w:color w:val="auto"/>
                <w:sz w:val="22"/>
                <w:szCs w:val="22"/>
                <w:lang w:val="pt-PT"/>
              </w:rPr>
              <w:t xml:space="preserve">Hrvatska </w:t>
            </w:r>
          </w:p>
          <w:p w14:paraId="2B5731C8" w14:textId="77777777" w:rsidR="003E37F6" w:rsidRPr="00346547" w:rsidRDefault="00615769" w:rsidP="001F79B0">
            <w:pPr>
              <w:rPr>
                <w:sz w:val="22"/>
                <w:szCs w:val="22"/>
                <w:lang w:val="hr-HR"/>
              </w:rPr>
            </w:pPr>
            <w:r w:rsidRPr="00346547">
              <w:rPr>
                <w:sz w:val="22"/>
                <w:szCs w:val="22"/>
                <w:lang w:val="hr-HR"/>
              </w:rPr>
              <w:t>AbbVie d.o.o.</w:t>
            </w:r>
          </w:p>
          <w:p w14:paraId="4B1DA052" w14:textId="77777777" w:rsidR="003E37F6" w:rsidRPr="00346547" w:rsidRDefault="00615769" w:rsidP="001F79B0">
            <w:pPr>
              <w:rPr>
                <w:bCs/>
                <w:sz w:val="22"/>
                <w:szCs w:val="22"/>
                <w:lang w:val="it-IT"/>
              </w:rPr>
            </w:pPr>
            <w:r w:rsidRPr="00346547">
              <w:rPr>
                <w:sz w:val="22"/>
                <w:szCs w:val="22"/>
                <w:lang w:val="hr-HR"/>
              </w:rPr>
              <w:t xml:space="preserve">Tel + 385 (0)1 </w:t>
            </w:r>
            <w:r w:rsidRPr="00346547">
              <w:rPr>
                <w:sz w:val="22"/>
                <w:szCs w:val="22"/>
                <w:lang w:val="en-US"/>
              </w:rPr>
              <w:t>5625 501</w:t>
            </w:r>
          </w:p>
        </w:tc>
        <w:tc>
          <w:tcPr>
            <w:tcW w:w="4678" w:type="dxa"/>
          </w:tcPr>
          <w:p w14:paraId="4A9C3B63" w14:textId="77777777" w:rsidR="003E37F6" w:rsidRPr="00346547" w:rsidRDefault="00615769" w:rsidP="001F79B0">
            <w:pPr>
              <w:pStyle w:val="EMEANormal"/>
              <w:rPr>
                <w:b/>
                <w:bCs/>
                <w:szCs w:val="22"/>
                <w:lang w:val="it-IT"/>
              </w:rPr>
            </w:pPr>
            <w:r w:rsidRPr="00346547">
              <w:rPr>
                <w:b/>
                <w:bCs/>
                <w:szCs w:val="22"/>
                <w:lang w:val="it-IT"/>
              </w:rPr>
              <w:t>România</w:t>
            </w:r>
          </w:p>
          <w:p w14:paraId="669F1762" w14:textId="77777777" w:rsidR="003E37F6" w:rsidRPr="00346547" w:rsidRDefault="00615769" w:rsidP="001F79B0">
            <w:pPr>
              <w:rPr>
                <w:rFonts w:eastAsia="MS Mincho"/>
                <w:sz w:val="22"/>
                <w:szCs w:val="22"/>
                <w:lang w:val="it-IT" w:eastAsia="ja-JP"/>
              </w:rPr>
            </w:pPr>
            <w:r w:rsidRPr="00346547">
              <w:rPr>
                <w:rFonts w:eastAsia="MS Mincho"/>
                <w:sz w:val="22"/>
                <w:szCs w:val="22"/>
                <w:lang w:val="it-IT" w:eastAsia="ja-JP"/>
              </w:rPr>
              <w:t>AbbVie S.R.L.</w:t>
            </w:r>
          </w:p>
          <w:p w14:paraId="00510351" w14:textId="77777777" w:rsidR="003E37F6" w:rsidRPr="00346547" w:rsidRDefault="00615769" w:rsidP="001F79B0">
            <w:pPr>
              <w:rPr>
                <w:sz w:val="22"/>
                <w:szCs w:val="22"/>
                <w:lang w:val="pl-PL"/>
              </w:rPr>
            </w:pPr>
            <w:r w:rsidRPr="00346547">
              <w:rPr>
                <w:sz w:val="22"/>
                <w:szCs w:val="22"/>
                <w:lang w:val="pl-PL"/>
              </w:rPr>
              <w:t>Tel: +40 21 529 30 35</w:t>
            </w:r>
          </w:p>
          <w:p w14:paraId="3EF8DF71" w14:textId="77777777" w:rsidR="003E37F6" w:rsidRPr="00346547" w:rsidRDefault="003E37F6" w:rsidP="001F79B0">
            <w:pPr>
              <w:rPr>
                <w:sz w:val="22"/>
                <w:szCs w:val="22"/>
                <w:lang w:val="pl-PL"/>
              </w:rPr>
            </w:pPr>
          </w:p>
        </w:tc>
      </w:tr>
      <w:tr w:rsidR="00A7162A" w14:paraId="622C4A39" w14:textId="77777777" w:rsidTr="001F79B0">
        <w:trPr>
          <w:gridBefore w:val="1"/>
          <w:wBefore w:w="34" w:type="dxa"/>
        </w:trPr>
        <w:tc>
          <w:tcPr>
            <w:tcW w:w="4644" w:type="dxa"/>
            <w:gridSpan w:val="2"/>
          </w:tcPr>
          <w:p w14:paraId="6E2E1BBB" w14:textId="77777777" w:rsidR="003E37F6" w:rsidRPr="00346547" w:rsidRDefault="00615769" w:rsidP="001F79B0">
            <w:pPr>
              <w:rPr>
                <w:b/>
                <w:bCs/>
                <w:sz w:val="22"/>
                <w:szCs w:val="22"/>
              </w:rPr>
            </w:pPr>
            <w:r w:rsidRPr="00346547">
              <w:rPr>
                <w:b/>
                <w:bCs/>
                <w:sz w:val="22"/>
                <w:szCs w:val="22"/>
              </w:rPr>
              <w:t>Ireland</w:t>
            </w:r>
          </w:p>
          <w:p w14:paraId="79EAC925" w14:textId="77777777" w:rsidR="003E37F6" w:rsidRPr="00346547" w:rsidRDefault="00615769" w:rsidP="001F79B0">
            <w:pPr>
              <w:rPr>
                <w:bCs/>
                <w:sz w:val="22"/>
                <w:szCs w:val="22"/>
              </w:rPr>
            </w:pPr>
            <w:r w:rsidRPr="00346547">
              <w:rPr>
                <w:bCs/>
                <w:sz w:val="22"/>
                <w:szCs w:val="22"/>
              </w:rPr>
              <w:t xml:space="preserve">AbbVie Limited </w:t>
            </w:r>
          </w:p>
          <w:p w14:paraId="3F338627" w14:textId="77777777" w:rsidR="003E37F6" w:rsidRPr="00346547" w:rsidRDefault="00615769" w:rsidP="001F79B0">
            <w:pPr>
              <w:rPr>
                <w:bCs/>
                <w:sz w:val="22"/>
                <w:szCs w:val="22"/>
              </w:rPr>
            </w:pPr>
            <w:r w:rsidRPr="00346547">
              <w:rPr>
                <w:bCs/>
                <w:sz w:val="22"/>
                <w:szCs w:val="22"/>
              </w:rPr>
              <w:t>Tel: +353 (0)1 42879</w:t>
            </w:r>
            <w:r w:rsidR="00794A65">
              <w:rPr>
                <w:bCs/>
                <w:sz w:val="22"/>
                <w:szCs w:val="22"/>
              </w:rPr>
              <w:t>0</w:t>
            </w:r>
            <w:r w:rsidRPr="00346547">
              <w:rPr>
                <w:bCs/>
                <w:sz w:val="22"/>
                <w:szCs w:val="22"/>
              </w:rPr>
              <w:t>0</w:t>
            </w:r>
          </w:p>
        </w:tc>
        <w:tc>
          <w:tcPr>
            <w:tcW w:w="4678" w:type="dxa"/>
          </w:tcPr>
          <w:p w14:paraId="36AE6DCB" w14:textId="77777777" w:rsidR="003E37F6" w:rsidRPr="00346547" w:rsidRDefault="00615769" w:rsidP="001F79B0">
            <w:pPr>
              <w:rPr>
                <w:b/>
                <w:bCs/>
                <w:sz w:val="22"/>
                <w:szCs w:val="22"/>
                <w:lang w:val="sl-SI"/>
              </w:rPr>
            </w:pPr>
            <w:r w:rsidRPr="00346547">
              <w:rPr>
                <w:b/>
                <w:bCs/>
                <w:sz w:val="22"/>
                <w:szCs w:val="22"/>
                <w:lang w:val="sl-SI"/>
              </w:rPr>
              <w:t>Slovenija</w:t>
            </w:r>
          </w:p>
          <w:p w14:paraId="5CB6E69A" w14:textId="77777777" w:rsidR="003E37F6" w:rsidRPr="00346547" w:rsidRDefault="00615769" w:rsidP="001F79B0">
            <w:pPr>
              <w:rPr>
                <w:bCs/>
                <w:sz w:val="22"/>
                <w:szCs w:val="22"/>
                <w:lang w:val="sl-SI"/>
              </w:rPr>
            </w:pPr>
            <w:r w:rsidRPr="00346547">
              <w:rPr>
                <w:bCs/>
                <w:sz w:val="22"/>
                <w:szCs w:val="22"/>
                <w:lang w:val="sl-SI"/>
              </w:rPr>
              <w:t xml:space="preserve">AbbVie </w:t>
            </w:r>
            <w:r w:rsidRPr="00346547">
              <w:rPr>
                <w:sz w:val="22"/>
                <w:szCs w:val="22"/>
                <w:lang w:val="sl-SI"/>
              </w:rPr>
              <w:t>Biofarmacevtska družba d.o.o.</w:t>
            </w:r>
          </w:p>
          <w:p w14:paraId="6FB98453" w14:textId="77777777" w:rsidR="003E37F6" w:rsidRPr="00346547" w:rsidRDefault="00615769" w:rsidP="001F79B0">
            <w:pPr>
              <w:rPr>
                <w:bCs/>
                <w:sz w:val="22"/>
                <w:szCs w:val="22"/>
                <w:lang w:val="sl-SI"/>
              </w:rPr>
            </w:pPr>
            <w:r w:rsidRPr="00346547">
              <w:rPr>
                <w:bCs/>
                <w:sz w:val="22"/>
                <w:szCs w:val="22"/>
                <w:lang w:val="sl-SI"/>
              </w:rPr>
              <w:t>Tel: +386 (1)32 08 060</w:t>
            </w:r>
          </w:p>
          <w:p w14:paraId="3B1650F3" w14:textId="77777777" w:rsidR="003E37F6" w:rsidRPr="00346547" w:rsidRDefault="003E37F6" w:rsidP="001F79B0">
            <w:pPr>
              <w:rPr>
                <w:bCs/>
                <w:sz w:val="22"/>
                <w:szCs w:val="22"/>
                <w:lang w:val="sl-SI"/>
              </w:rPr>
            </w:pPr>
          </w:p>
        </w:tc>
      </w:tr>
      <w:tr w:rsidR="00A7162A" w14:paraId="66B8CE41" w14:textId="77777777" w:rsidTr="001F79B0">
        <w:trPr>
          <w:gridBefore w:val="1"/>
          <w:wBefore w:w="34" w:type="dxa"/>
        </w:trPr>
        <w:tc>
          <w:tcPr>
            <w:tcW w:w="4644" w:type="dxa"/>
            <w:gridSpan w:val="2"/>
          </w:tcPr>
          <w:p w14:paraId="582865A4" w14:textId="77777777" w:rsidR="003E37F6" w:rsidRPr="00346547" w:rsidRDefault="00615769" w:rsidP="001F79B0">
            <w:pPr>
              <w:keepNext/>
              <w:rPr>
                <w:b/>
                <w:bCs/>
                <w:sz w:val="22"/>
                <w:szCs w:val="22"/>
                <w:lang w:val="is-IS"/>
              </w:rPr>
            </w:pPr>
            <w:r w:rsidRPr="00346547">
              <w:rPr>
                <w:b/>
                <w:bCs/>
                <w:sz w:val="22"/>
                <w:szCs w:val="22"/>
                <w:lang w:val="is-IS"/>
              </w:rPr>
              <w:t>Ísland</w:t>
            </w:r>
          </w:p>
          <w:p w14:paraId="20D024DD" w14:textId="77777777" w:rsidR="003E37F6" w:rsidRPr="00346547" w:rsidRDefault="00615769" w:rsidP="001F79B0">
            <w:pPr>
              <w:keepNext/>
              <w:rPr>
                <w:bCs/>
                <w:sz w:val="22"/>
                <w:szCs w:val="22"/>
              </w:rPr>
            </w:pPr>
            <w:r w:rsidRPr="00346547">
              <w:rPr>
                <w:bCs/>
                <w:sz w:val="22"/>
                <w:szCs w:val="22"/>
              </w:rPr>
              <w:t>Vistor</w:t>
            </w:r>
            <w:del w:id="16604" w:author="AbbVie2" w:date="2025-05-14T10:33:00Z">
              <w:r w:rsidRPr="00346547">
                <w:rPr>
                  <w:bCs/>
                  <w:sz w:val="22"/>
                  <w:szCs w:val="22"/>
                </w:rPr>
                <w:delText xml:space="preserve"> hf.</w:delText>
              </w:r>
            </w:del>
          </w:p>
          <w:p w14:paraId="6C22F56B" w14:textId="77777777" w:rsidR="003E37F6" w:rsidRPr="00346547" w:rsidRDefault="00615769" w:rsidP="001F79B0">
            <w:pPr>
              <w:keepNext/>
              <w:rPr>
                <w:bCs/>
                <w:sz w:val="22"/>
                <w:szCs w:val="22"/>
              </w:rPr>
            </w:pPr>
            <w:r w:rsidRPr="00346547">
              <w:rPr>
                <w:bCs/>
                <w:sz w:val="22"/>
                <w:szCs w:val="22"/>
              </w:rPr>
              <w:t>Tel: +354 535 7000</w:t>
            </w:r>
          </w:p>
        </w:tc>
        <w:tc>
          <w:tcPr>
            <w:tcW w:w="4678" w:type="dxa"/>
          </w:tcPr>
          <w:p w14:paraId="142E007C" w14:textId="77777777" w:rsidR="003E37F6" w:rsidRPr="00346547" w:rsidRDefault="00615769" w:rsidP="001F79B0">
            <w:pPr>
              <w:keepNext/>
              <w:rPr>
                <w:b/>
                <w:bCs/>
                <w:sz w:val="22"/>
                <w:szCs w:val="22"/>
              </w:rPr>
            </w:pPr>
            <w:r w:rsidRPr="00346547">
              <w:rPr>
                <w:b/>
                <w:bCs/>
                <w:sz w:val="22"/>
                <w:szCs w:val="22"/>
              </w:rPr>
              <w:t>Slovenská republika</w:t>
            </w:r>
          </w:p>
          <w:p w14:paraId="43D55D34" w14:textId="77777777" w:rsidR="003E37F6" w:rsidRPr="00346547" w:rsidRDefault="00615769" w:rsidP="001F79B0">
            <w:pPr>
              <w:keepNext/>
              <w:rPr>
                <w:bCs/>
                <w:sz w:val="22"/>
                <w:szCs w:val="22"/>
              </w:rPr>
            </w:pPr>
            <w:r w:rsidRPr="00346547">
              <w:rPr>
                <w:bCs/>
                <w:sz w:val="22"/>
                <w:szCs w:val="22"/>
              </w:rPr>
              <w:t>AbbVie s.r.o.</w:t>
            </w:r>
          </w:p>
          <w:p w14:paraId="6B656AA8" w14:textId="77777777" w:rsidR="003E37F6" w:rsidRPr="00346547" w:rsidRDefault="00615769" w:rsidP="001F79B0">
            <w:pPr>
              <w:keepNext/>
              <w:rPr>
                <w:bCs/>
                <w:sz w:val="22"/>
                <w:szCs w:val="22"/>
              </w:rPr>
            </w:pPr>
            <w:r w:rsidRPr="00346547">
              <w:rPr>
                <w:bCs/>
                <w:sz w:val="22"/>
                <w:szCs w:val="22"/>
              </w:rPr>
              <w:t>Tel: +421 2 5050 0777</w:t>
            </w:r>
          </w:p>
          <w:p w14:paraId="2CB995E9" w14:textId="77777777" w:rsidR="003E37F6" w:rsidRPr="00346547" w:rsidRDefault="003E37F6" w:rsidP="001F79B0">
            <w:pPr>
              <w:keepNext/>
              <w:rPr>
                <w:bCs/>
                <w:sz w:val="22"/>
                <w:szCs w:val="22"/>
              </w:rPr>
            </w:pPr>
          </w:p>
        </w:tc>
      </w:tr>
      <w:tr w:rsidR="00A7162A" w14:paraId="5591723B" w14:textId="77777777" w:rsidTr="001F79B0">
        <w:trPr>
          <w:gridBefore w:val="1"/>
          <w:wBefore w:w="34" w:type="dxa"/>
        </w:trPr>
        <w:tc>
          <w:tcPr>
            <w:tcW w:w="4644" w:type="dxa"/>
            <w:gridSpan w:val="2"/>
          </w:tcPr>
          <w:p w14:paraId="5ACD7FCF" w14:textId="77777777" w:rsidR="003E37F6" w:rsidRPr="00346547" w:rsidRDefault="00615769" w:rsidP="001F79B0">
            <w:pPr>
              <w:rPr>
                <w:b/>
                <w:bCs/>
                <w:sz w:val="22"/>
                <w:szCs w:val="22"/>
                <w:lang w:val="it-IT"/>
              </w:rPr>
            </w:pPr>
            <w:r w:rsidRPr="00346547">
              <w:rPr>
                <w:b/>
                <w:bCs/>
                <w:sz w:val="22"/>
                <w:szCs w:val="22"/>
                <w:lang w:val="it-IT"/>
              </w:rPr>
              <w:t>Italia</w:t>
            </w:r>
          </w:p>
          <w:p w14:paraId="18AD0D21" w14:textId="77777777" w:rsidR="003E37F6" w:rsidRPr="00346547" w:rsidRDefault="00615769" w:rsidP="001F79B0">
            <w:pPr>
              <w:pStyle w:val="EndnoteText"/>
              <w:spacing w:line="260" w:lineRule="exact"/>
              <w:rPr>
                <w:bCs/>
                <w:szCs w:val="22"/>
              </w:rPr>
            </w:pPr>
            <w:r w:rsidRPr="00346547">
              <w:rPr>
                <w:bCs/>
                <w:szCs w:val="22"/>
              </w:rPr>
              <w:t xml:space="preserve">AbbVie S.r.l. </w:t>
            </w:r>
          </w:p>
          <w:p w14:paraId="41DD782A" w14:textId="77777777" w:rsidR="003E37F6" w:rsidRPr="00346547" w:rsidRDefault="00615769" w:rsidP="001F79B0">
            <w:pPr>
              <w:rPr>
                <w:bCs/>
                <w:sz w:val="22"/>
                <w:szCs w:val="22"/>
                <w:lang w:val="fi-FI"/>
              </w:rPr>
            </w:pPr>
            <w:r w:rsidRPr="00346547">
              <w:rPr>
                <w:bCs/>
                <w:sz w:val="22"/>
                <w:szCs w:val="22"/>
                <w:lang w:val="fr-FR"/>
              </w:rPr>
              <w:t>Tel: +39 06 928921</w:t>
            </w:r>
          </w:p>
        </w:tc>
        <w:tc>
          <w:tcPr>
            <w:tcW w:w="4678" w:type="dxa"/>
          </w:tcPr>
          <w:p w14:paraId="6857C08B" w14:textId="77777777" w:rsidR="003E37F6" w:rsidRPr="00346547" w:rsidRDefault="00615769" w:rsidP="001F79B0">
            <w:pPr>
              <w:rPr>
                <w:b/>
                <w:bCs/>
                <w:sz w:val="22"/>
                <w:szCs w:val="22"/>
                <w:lang w:val="fi-FI"/>
              </w:rPr>
            </w:pPr>
            <w:r w:rsidRPr="00346547">
              <w:rPr>
                <w:b/>
                <w:bCs/>
                <w:sz w:val="22"/>
                <w:szCs w:val="22"/>
                <w:lang w:val="fi-FI"/>
              </w:rPr>
              <w:t>Suomi/Finland</w:t>
            </w:r>
          </w:p>
          <w:p w14:paraId="098273CF" w14:textId="77777777" w:rsidR="003E37F6" w:rsidRPr="00346547" w:rsidRDefault="00615769" w:rsidP="001F79B0">
            <w:pPr>
              <w:rPr>
                <w:bCs/>
                <w:sz w:val="22"/>
                <w:szCs w:val="22"/>
                <w:lang w:val="de-CH"/>
              </w:rPr>
            </w:pPr>
            <w:r w:rsidRPr="00860B88">
              <w:rPr>
                <w:bCs/>
                <w:sz w:val="22"/>
                <w:szCs w:val="22"/>
                <w:lang w:val="en-US"/>
              </w:rPr>
              <w:t>AbbVie Oy</w:t>
            </w:r>
          </w:p>
          <w:p w14:paraId="6CA18179" w14:textId="77777777" w:rsidR="003E37F6" w:rsidRPr="00860B88" w:rsidRDefault="00615769" w:rsidP="001F79B0">
            <w:pPr>
              <w:rPr>
                <w:bCs/>
                <w:sz w:val="22"/>
                <w:szCs w:val="22"/>
                <w:lang w:val="en-US"/>
              </w:rPr>
            </w:pPr>
            <w:r w:rsidRPr="00860B88">
              <w:rPr>
                <w:bCs/>
                <w:sz w:val="22"/>
                <w:szCs w:val="22"/>
                <w:lang w:val="en-US"/>
              </w:rPr>
              <w:t>Puh/Tel: +358 (0)10 2411 200</w:t>
            </w:r>
          </w:p>
          <w:p w14:paraId="0AF0DE6B" w14:textId="77777777" w:rsidR="003E37F6" w:rsidRPr="00860B88" w:rsidRDefault="003E37F6" w:rsidP="001F79B0">
            <w:pPr>
              <w:rPr>
                <w:sz w:val="22"/>
                <w:szCs w:val="22"/>
                <w:lang w:val="en-US"/>
              </w:rPr>
            </w:pPr>
          </w:p>
        </w:tc>
      </w:tr>
      <w:tr w:rsidR="00A7162A" w14:paraId="52B1E967" w14:textId="77777777" w:rsidTr="001F79B0">
        <w:trPr>
          <w:gridBefore w:val="1"/>
          <w:wBefore w:w="34" w:type="dxa"/>
          <w:cantSplit/>
          <w:trHeight w:val="887"/>
        </w:trPr>
        <w:tc>
          <w:tcPr>
            <w:tcW w:w="4644" w:type="dxa"/>
            <w:gridSpan w:val="2"/>
          </w:tcPr>
          <w:p w14:paraId="47D82696" w14:textId="77777777" w:rsidR="003E37F6" w:rsidRPr="00346547" w:rsidRDefault="00615769" w:rsidP="001F79B0">
            <w:pPr>
              <w:rPr>
                <w:b/>
                <w:bCs/>
                <w:sz w:val="22"/>
                <w:szCs w:val="22"/>
                <w:lang w:val="el-GR"/>
              </w:rPr>
            </w:pPr>
            <w:r w:rsidRPr="00346547">
              <w:rPr>
                <w:b/>
                <w:bCs/>
                <w:sz w:val="22"/>
                <w:szCs w:val="22"/>
                <w:lang w:val="el-GR"/>
              </w:rPr>
              <w:t>Κύπρος</w:t>
            </w:r>
          </w:p>
          <w:p w14:paraId="4A4D2A93" w14:textId="77777777" w:rsidR="003E37F6" w:rsidRPr="00346547" w:rsidRDefault="00615769" w:rsidP="001F79B0">
            <w:pPr>
              <w:rPr>
                <w:bCs/>
                <w:sz w:val="22"/>
                <w:szCs w:val="22"/>
                <w:lang w:val="el-GR"/>
              </w:rPr>
            </w:pPr>
            <w:r w:rsidRPr="00BE62F9">
              <w:rPr>
                <w:bCs/>
                <w:sz w:val="22"/>
                <w:szCs w:val="22"/>
                <w:lang w:val="en-US"/>
                <w:rPrChange w:id="16605" w:author="AbbVie2" w:date="2025-09-08T09:53:00Z">
                  <w:rPr>
                    <w:bCs/>
                    <w:sz w:val="22"/>
                    <w:szCs w:val="22"/>
                  </w:rPr>
                </w:rPrChange>
              </w:rPr>
              <w:t xml:space="preserve">Lifepharma (Z.A.M.) </w:t>
            </w:r>
            <w:r w:rsidRPr="00346547">
              <w:rPr>
                <w:bCs/>
                <w:sz w:val="22"/>
                <w:szCs w:val="22"/>
                <w:lang w:val="it-IT"/>
              </w:rPr>
              <w:t>Ltd</w:t>
            </w:r>
          </w:p>
          <w:p w14:paraId="0D671A54" w14:textId="77777777" w:rsidR="003E37F6" w:rsidRPr="00346547" w:rsidRDefault="00615769" w:rsidP="001F79B0">
            <w:pPr>
              <w:rPr>
                <w:bCs/>
                <w:sz w:val="22"/>
                <w:szCs w:val="22"/>
                <w:lang w:val="lv-LV"/>
              </w:rPr>
            </w:pPr>
            <w:r w:rsidRPr="00346547">
              <w:rPr>
                <w:bCs/>
                <w:sz w:val="22"/>
                <w:szCs w:val="22"/>
                <w:lang w:val="el-GR"/>
              </w:rPr>
              <w:t>Τηλ.: +357 22 34 74 40</w:t>
            </w:r>
          </w:p>
        </w:tc>
        <w:tc>
          <w:tcPr>
            <w:tcW w:w="4678" w:type="dxa"/>
          </w:tcPr>
          <w:p w14:paraId="4769C296" w14:textId="77777777" w:rsidR="003E37F6" w:rsidRPr="00346547" w:rsidRDefault="00615769" w:rsidP="001F79B0">
            <w:pPr>
              <w:rPr>
                <w:b/>
                <w:bCs/>
                <w:sz w:val="22"/>
                <w:szCs w:val="22"/>
              </w:rPr>
            </w:pPr>
            <w:r w:rsidRPr="00346547">
              <w:rPr>
                <w:b/>
                <w:bCs/>
                <w:sz w:val="22"/>
                <w:szCs w:val="22"/>
              </w:rPr>
              <w:t>Sverige</w:t>
            </w:r>
          </w:p>
          <w:p w14:paraId="3F5AC591" w14:textId="77777777" w:rsidR="003E37F6" w:rsidRPr="00346547" w:rsidRDefault="00615769" w:rsidP="001F79B0">
            <w:pPr>
              <w:rPr>
                <w:bCs/>
                <w:sz w:val="22"/>
                <w:szCs w:val="22"/>
              </w:rPr>
            </w:pPr>
            <w:r w:rsidRPr="00346547">
              <w:rPr>
                <w:bCs/>
                <w:sz w:val="22"/>
                <w:szCs w:val="22"/>
              </w:rPr>
              <w:t>AbbVie AB</w:t>
            </w:r>
          </w:p>
          <w:p w14:paraId="185A13AF" w14:textId="77777777" w:rsidR="003E37F6" w:rsidRPr="00346547" w:rsidRDefault="00615769" w:rsidP="001F79B0">
            <w:pPr>
              <w:rPr>
                <w:bCs/>
                <w:sz w:val="22"/>
                <w:szCs w:val="22"/>
              </w:rPr>
            </w:pPr>
            <w:r w:rsidRPr="00346547">
              <w:rPr>
                <w:bCs/>
                <w:sz w:val="22"/>
                <w:szCs w:val="22"/>
                <w:lang w:val="da-DK"/>
              </w:rPr>
              <w:t>Tel: +46 (0)8 684 44 600</w:t>
            </w:r>
          </w:p>
        </w:tc>
      </w:tr>
      <w:tr w:rsidR="00A7162A" w14:paraId="2EEA188F" w14:textId="77777777" w:rsidTr="001F79B0">
        <w:trPr>
          <w:gridBefore w:val="1"/>
          <w:wBefore w:w="34" w:type="dxa"/>
          <w:cantSplit/>
          <w:trHeight w:val="761"/>
        </w:trPr>
        <w:tc>
          <w:tcPr>
            <w:tcW w:w="4644" w:type="dxa"/>
            <w:gridSpan w:val="2"/>
          </w:tcPr>
          <w:p w14:paraId="0E54038A" w14:textId="77777777" w:rsidR="003E37F6" w:rsidRPr="00346547" w:rsidRDefault="00615769" w:rsidP="001F79B0">
            <w:pPr>
              <w:rPr>
                <w:b/>
                <w:bCs/>
                <w:sz w:val="22"/>
                <w:szCs w:val="22"/>
                <w:lang w:val="lv-LV"/>
              </w:rPr>
            </w:pPr>
            <w:r w:rsidRPr="00346547">
              <w:rPr>
                <w:b/>
                <w:bCs/>
                <w:sz w:val="22"/>
                <w:szCs w:val="22"/>
                <w:lang w:val="lv-LV"/>
              </w:rPr>
              <w:t>Latvija</w:t>
            </w:r>
          </w:p>
          <w:p w14:paraId="481886EB" w14:textId="77777777" w:rsidR="003E37F6" w:rsidRPr="00346547" w:rsidRDefault="00615769" w:rsidP="001F79B0">
            <w:pPr>
              <w:rPr>
                <w:bCs/>
                <w:sz w:val="22"/>
                <w:szCs w:val="22"/>
                <w:lang w:val="lv-LV"/>
              </w:rPr>
            </w:pPr>
            <w:r w:rsidRPr="00346547">
              <w:rPr>
                <w:bCs/>
                <w:sz w:val="22"/>
                <w:szCs w:val="22"/>
                <w:lang w:val="lv-LV"/>
              </w:rPr>
              <w:t xml:space="preserve">AbbVie SIA </w:t>
            </w:r>
          </w:p>
          <w:p w14:paraId="6FFCD1A4" w14:textId="77777777" w:rsidR="003E37F6" w:rsidRPr="00346547" w:rsidRDefault="00615769" w:rsidP="001F79B0">
            <w:pPr>
              <w:rPr>
                <w:bCs/>
                <w:sz w:val="22"/>
                <w:szCs w:val="22"/>
                <w:lang w:val="lv-LV"/>
              </w:rPr>
            </w:pPr>
            <w:r w:rsidRPr="00346547">
              <w:rPr>
                <w:bCs/>
                <w:sz w:val="22"/>
                <w:szCs w:val="22"/>
                <w:lang w:val="lv-LV"/>
              </w:rPr>
              <w:t>Tel: +371 67605000</w:t>
            </w:r>
          </w:p>
        </w:tc>
        <w:tc>
          <w:tcPr>
            <w:tcW w:w="4678" w:type="dxa"/>
          </w:tcPr>
          <w:p w14:paraId="48563989" w14:textId="39871706" w:rsidR="003E37F6" w:rsidRPr="00346547" w:rsidRDefault="003E37F6" w:rsidP="001F79B0">
            <w:pPr>
              <w:rPr>
                <w:b/>
                <w:bCs/>
                <w:sz w:val="22"/>
                <w:szCs w:val="22"/>
              </w:rPr>
            </w:pPr>
          </w:p>
        </w:tc>
      </w:tr>
    </w:tbl>
    <w:p w14:paraId="65BCECFB" w14:textId="77777777" w:rsidR="004462A0" w:rsidRPr="00EC3632" w:rsidRDefault="004462A0" w:rsidP="004462A0">
      <w:pPr>
        <w:rPr>
          <w:sz w:val="22"/>
          <w:szCs w:val="22"/>
          <w:lang w:val="en-US"/>
        </w:rPr>
      </w:pPr>
    </w:p>
    <w:p w14:paraId="1BDC3A85" w14:textId="77777777" w:rsidR="004462A0" w:rsidRPr="00854C93" w:rsidRDefault="00615769" w:rsidP="004462A0">
      <w:pPr>
        <w:ind w:right="-449"/>
        <w:rPr>
          <w:b/>
          <w:sz w:val="22"/>
          <w:szCs w:val="22"/>
        </w:rPr>
      </w:pPr>
      <w:r w:rsidRPr="00854C93">
        <w:rPr>
          <w:b/>
          <w:sz w:val="22"/>
          <w:szCs w:val="22"/>
        </w:rPr>
        <w:t xml:space="preserve">Este folheto foi revisto pela última vez em </w:t>
      </w:r>
    </w:p>
    <w:p w14:paraId="6ABDB1EB" w14:textId="77777777" w:rsidR="004462A0" w:rsidRPr="0089156B" w:rsidRDefault="004462A0" w:rsidP="004462A0">
      <w:pPr>
        <w:ind w:right="-449"/>
        <w:rPr>
          <w:b/>
          <w:sz w:val="22"/>
          <w:szCs w:val="22"/>
        </w:rPr>
      </w:pPr>
    </w:p>
    <w:p w14:paraId="0A5F67A8" w14:textId="2474B377" w:rsidR="004462A0" w:rsidRPr="00AF229F" w:rsidRDefault="00615769" w:rsidP="004462A0">
      <w:pPr>
        <w:ind w:right="-2"/>
        <w:rPr>
          <w:color w:val="0000FF"/>
          <w:sz w:val="22"/>
          <w:szCs w:val="22"/>
        </w:rPr>
      </w:pPr>
      <w:r w:rsidRPr="000B3FE3">
        <w:rPr>
          <w:sz w:val="22"/>
          <w:szCs w:val="22"/>
        </w:rPr>
        <w:t xml:space="preserve">Está disponível informação pormenorizada sobre este medicamento no sítio da internet da Agência Europeia de Medicamentos: </w:t>
      </w:r>
      <w:ins w:id="16606" w:author="AbbVie2" w:date="2025-05-14T10:34:00Z">
        <w:r w:rsidR="00F558D8">
          <w:rPr>
            <w:sz w:val="22"/>
            <w:szCs w:val="22"/>
          </w:rPr>
          <w:fldChar w:fldCharType="begin"/>
        </w:r>
        <w:r w:rsidR="00F558D8">
          <w:rPr>
            <w:sz w:val="22"/>
            <w:szCs w:val="22"/>
          </w:rPr>
          <w:instrText>HYPERLINK "</w:instrText>
        </w:r>
      </w:ins>
      <w:r w:rsidR="00F558D8" w:rsidRPr="00F558D8">
        <w:rPr>
          <w:rStyle w:val="Hyperlink"/>
          <w:sz w:val="22"/>
          <w:szCs w:val="22"/>
        </w:rPr>
        <w:instrText>http</w:instrText>
      </w:r>
      <w:ins w:id="16607" w:author="AbbVie2" w:date="2025-05-14T10:34:00Z">
        <w:r w:rsidR="00F558D8" w:rsidRPr="00F558D8">
          <w:rPr>
            <w:rStyle w:val="Hyperlink"/>
            <w:sz w:val="22"/>
            <w:szCs w:val="22"/>
          </w:rPr>
          <w:instrText>s</w:instrText>
        </w:r>
      </w:ins>
      <w:r w:rsidR="00F558D8" w:rsidRPr="00F558D8">
        <w:rPr>
          <w:rStyle w:val="Hyperlink"/>
          <w:sz w:val="22"/>
          <w:szCs w:val="22"/>
        </w:rPr>
        <w:instrText>://www.ema.europa.eu</w:instrText>
      </w:r>
      <w:ins w:id="16608" w:author="AbbVie2" w:date="2025-05-14T10:34:00Z">
        <w:r w:rsidR="00F558D8">
          <w:rPr>
            <w:sz w:val="22"/>
            <w:szCs w:val="22"/>
          </w:rPr>
          <w:instrText>"</w:instrText>
        </w:r>
        <w:r w:rsidR="00F558D8">
          <w:rPr>
            <w:sz w:val="22"/>
            <w:szCs w:val="22"/>
          </w:rPr>
        </w:r>
        <w:r w:rsidR="00F558D8">
          <w:rPr>
            <w:sz w:val="22"/>
            <w:szCs w:val="22"/>
          </w:rPr>
          <w:fldChar w:fldCharType="separate"/>
        </w:r>
      </w:ins>
      <w:r w:rsidR="00F558D8" w:rsidRPr="00F558D8">
        <w:rPr>
          <w:rStyle w:val="Hyperlink"/>
          <w:sz w:val="22"/>
          <w:szCs w:val="22"/>
        </w:rPr>
        <w:t>http</w:t>
      </w:r>
      <w:ins w:id="16609" w:author="AbbVie2" w:date="2025-05-14T10:34:00Z">
        <w:r w:rsidR="00F558D8" w:rsidRPr="00F558D8">
          <w:rPr>
            <w:rStyle w:val="Hyperlink"/>
            <w:sz w:val="22"/>
            <w:szCs w:val="22"/>
          </w:rPr>
          <w:t>s</w:t>
        </w:r>
      </w:ins>
      <w:r w:rsidR="00F558D8" w:rsidRPr="00F558D8">
        <w:rPr>
          <w:rStyle w:val="Hyperlink"/>
          <w:sz w:val="22"/>
          <w:szCs w:val="22"/>
        </w:rPr>
        <w:t>://www.ema.europa.eu</w:t>
      </w:r>
      <w:ins w:id="16610" w:author="AbbVie2" w:date="2025-05-14T10:34:00Z">
        <w:r w:rsidR="00F558D8">
          <w:rPr>
            <w:sz w:val="22"/>
            <w:szCs w:val="22"/>
          </w:rPr>
          <w:fldChar w:fldCharType="end"/>
        </w:r>
      </w:ins>
    </w:p>
    <w:p w14:paraId="09183EFF" w14:textId="77777777" w:rsidR="004462A0" w:rsidRDefault="004462A0" w:rsidP="004462A0">
      <w:pPr>
        <w:ind w:right="-2"/>
        <w:rPr>
          <w:sz w:val="22"/>
          <w:szCs w:val="22"/>
        </w:rPr>
      </w:pPr>
    </w:p>
    <w:p w14:paraId="02358180" w14:textId="77777777" w:rsidR="002A17B6" w:rsidRPr="008912CF" w:rsidRDefault="00615769" w:rsidP="002A17B6">
      <w:pPr>
        <w:ind w:right="-2"/>
        <w:rPr>
          <w:color w:val="0000FF"/>
          <w:sz w:val="22"/>
          <w:szCs w:val="22"/>
        </w:rPr>
      </w:pPr>
      <w:r w:rsidRPr="004D4741">
        <w:rPr>
          <w:b/>
          <w:noProof/>
          <w:sz w:val="22"/>
          <w:szCs w:val="22"/>
        </w:rPr>
        <w:t xml:space="preserve">Para ouvir ou solicitar uma cópia deste folheto em </w:t>
      </w:r>
      <w:r w:rsidRPr="004D4741">
        <w:rPr>
          <w:b/>
          <w:noProof/>
          <w:sz w:val="22"/>
          <w:szCs w:val="22"/>
          <w:highlight w:val="lightGray"/>
        </w:rPr>
        <w:t>&lt;Braille&gt;, &lt;caracteres grandes&gt; ou &lt;áudio&gt;</w:t>
      </w:r>
      <w:r w:rsidRPr="004D4741">
        <w:rPr>
          <w:b/>
          <w:noProof/>
          <w:sz w:val="22"/>
          <w:szCs w:val="22"/>
        </w:rPr>
        <w:t>, por favor contacte o representante local do Titular da Autorização de Introdução no Mercado.</w:t>
      </w:r>
    </w:p>
    <w:p w14:paraId="59B5BC34" w14:textId="77777777" w:rsidR="00573B3A" w:rsidRPr="000D2749" w:rsidRDefault="00573B3A" w:rsidP="004462A0">
      <w:pPr>
        <w:ind w:right="-2"/>
        <w:rPr>
          <w:sz w:val="22"/>
          <w:szCs w:val="22"/>
        </w:rPr>
      </w:pPr>
    </w:p>
    <w:p w14:paraId="2C01F348" w14:textId="77777777" w:rsidR="004462A0" w:rsidRPr="000D2749" w:rsidRDefault="004462A0" w:rsidP="004462A0">
      <w:pPr>
        <w:ind w:right="-2"/>
        <w:rPr>
          <w:sz w:val="22"/>
          <w:szCs w:val="22"/>
        </w:rPr>
      </w:pPr>
    </w:p>
    <w:p w14:paraId="61DEDA36" w14:textId="77777777" w:rsidR="004462A0" w:rsidRPr="006462E3" w:rsidRDefault="00615769" w:rsidP="004462A0">
      <w:pPr>
        <w:keepNext/>
        <w:ind w:right="-2"/>
        <w:rPr>
          <w:b/>
          <w:sz w:val="22"/>
          <w:szCs w:val="22"/>
        </w:rPr>
      </w:pPr>
      <w:r w:rsidRPr="006462E3">
        <w:rPr>
          <w:b/>
          <w:sz w:val="22"/>
          <w:szCs w:val="22"/>
        </w:rPr>
        <w:t>7.</w:t>
      </w:r>
      <w:r w:rsidRPr="006462E3">
        <w:rPr>
          <w:b/>
          <w:sz w:val="22"/>
          <w:szCs w:val="22"/>
        </w:rPr>
        <w:tab/>
      </w:r>
      <w:r w:rsidR="00763569">
        <w:rPr>
          <w:b/>
          <w:sz w:val="22"/>
          <w:szCs w:val="22"/>
        </w:rPr>
        <w:t>Injetar Humira</w:t>
      </w:r>
    </w:p>
    <w:p w14:paraId="3D662747" w14:textId="77777777" w:rsidR="004462A0" w:rsidRPr="009A05BE" w:rsidRDefault="004462A0" w:rsidP="004462A0">
      <w:pPr>
        <w:keepNext/>
        <w:ind w:right="-2"/>
        <w:rPr>
          <w:sz w:val="22"/>
          <w:szCs w:val="22"/>
        </w:rPr>
      </w:pPr>
    </w:p>
    <w:p w14:paraId="12FDAA95" w14:textId="77777777" w:rsidR="004462A0" w:rsidRPr="00D33370" w:rsidRDefault="00615769" w:rsidP="004462A0">
      <w:pPr>
        <w:keepNext/>
        <w:numPr>
          <w:ilvl w:val="0"/>
          <w:numId w:val="89"/>
        </w:numPr>
        <w:tabs>
          <w:tab w:val="clear" w:pos="720"/>
        </w:tabs>
        <w:suppressAutoHyphens/>
        <w:ind w:left="567" w:hanging="567"/>
        <w:rPr>
          <w:sz w:val="22"/>
        </w:rPr>
      </w:pPr>
      <w:r w:rsidRPr="00854C93">
        <w:rPr>
          <w:sz w:val="22"/>
        </w:rPr>
        <w:t>As instruções a seguir indicadas explicam como se autoin</w:t>
      </w:r>
      <w:r w:rsidRPr="0089156B">
        <w:rPr>
          <w:sz w:val="22"/>
        </w:rPr>
        <w:t>jetar</w:t>
      </w:r>
      <w:r w:rsidRPr="000B3FE3">
        <w:rPr>
          <w:sz w:val="22"/>
        </w:rPr>
        <w:t xml:space="preserve">, </w:t>
      </w:r>
      <w:r w:rsidR="00D30971">
        <w:rPr>
          <w:sz w:val="22"/>
        </w:rPr>
        <w:t xml:space="preserve">por via subcutânea, </w:t>
      </w:r>
      <w:r w:rsidRPr="000B3FE3">
        <w:rPr>
          <w:sz w:val="22"/>
        </w:rPr>
        <w:t xml:space="preserve">utilizando Humira em </w:t>
      </w:r>
      <w:r>
        <w:rPr>
          <w:sz w:val="22"/>
        </w:rPr>
        <w:t>seringa</w:t>
      </w:r>
      <w:r w:rsidRPr="000B3FE3">
        <w:rPr>
          <w:sz w:val="22"/>
        </w:rPr>
        <w:t xml:space="preserve"> pré-cheia.</w:t>
      </w:r>
      <w:r w:rsidRPr="004931CE">
        <w:rPr>
          <w:sz w:val="22"/>
        </w:rPr>
        <w:t xml:space="preserve"> </w:t>
      </w:r>
      <w:r w:rsidRPr="00653128">
        <w:rPr>
          <w:sz w:val="22"/>
        </w:rPr>
        <w:t>Leia atentamente as instruções e siga-as passo a passo.</w:t>
      </w:r>
      <w:r w:rsidRPr="00D33370">
        <w:rPr>
          <w:sz w:val="22"/>
        </w:rPr>
        <w:t xml:space="preserve"> </w:t>
      </w:r>
    </w:p>
    <w:p w14:paraId="2885DD2A" w14:textId="77777777" w:rsidR="004462A0" w:rsidRPr="002D4DE5" w:rsidRDefault="004462A0" w:rsidP="004462A0">
      <w:pPr>
        <w:keepNext/>
        <w:tabs>
          <w:tab w:val="num" w:pos="567"/>
        </w:tabs>
        <w:suppressAutoHyphens/>
        <w:ind w:left="720" w:hanging="567"/>
        <w:rPr>
          <w:sz w:val="22"/>
        </w:rPr>
      </w:pPr>
    </w:p>
    <w:p w14:paraId="32824F3A" w14:textId="77777777" w:rsidR="004462A0" w:rsidRPr="005F6F98" w:rsidRDefault="00615769" w:rsidP="004462A0">
      <w:pPr>
        <w:keepNext/>
        <w:numPr>
          <w:ilvl w:val="0"/>
          <w:numId w:val="89"/>
        </w:numPr>
        <w:tabs>
          <w:tab w:val="clear" w:pos="720"/>
        </w:tabs>
        <w:suppressAutoHyphens/>
        <w:ind w:left="567" w:hanging="567"/>
        <w:rPr>
          <w:sz w:val="22"/>
        </w:rPr>
      </w:pPr>
      <w:r w:rsidRPr="00003560">
        <w:rPr>
          <w:sz w:val="22"/>
        </w:rPr>
        <w:t>O seu médico, enfermeiro ou farmacêutico dar-lhe-á instruç</w:t>
      </w:r>
      <w:r w:rsidRPr="005F6F98">
        <w:rPr>
          <w:sz w:val="22"/>
        </w:rPr>
        <w:t xml:space="preserve">ões sobre a técnica de autoinjeção. </w:t>
      </w:r>
    </w:p>
    <w:p w14:paraId="4C263C09" w14:textId="77777777" w:rsidR="004462A0" w:rsidRPr="002B2441" w:rsidRDefault="004462A0" w:rsidP="004462A0">
      <w:pPr>
        <w:keepNext/>
        <w:tabs>
          <w:tab w:val="num" w:pos="567"/>
        </w:tabs>
        <w:suppressAutoHyphens/>
        <w:ind w:left="720" w:hanging="567"/>
        <w:rPr>
          <w:sz w:val="22"/>
        </w:rPr>
      </w:pPr>
    </w:p>
    <w:p w14:paraId="71DA088C" w14:textId="77777777" w:rsidR="004462A0" w:rsidRPr="008B0DDF" w:rsidRDefault="00615769" w:rsidP="004462A0">
      <w:pPr>
        <w:keepNext/>
        <w:numPr>
          <w:ilvl w:val="0"/>
          <w:numId w:val="89"/>
        </w:numPr>
        <w:tabs>
          <w:tab w:val="clear" w:pos="720"/>
        </w:tabs>
        <w:suppressAutoHyphens/>
        <w:ind w:left="567" w:hanging="567"/>
        <w:rPr>
          <w:sz w:val="22"/>
        </w:rPr>
      </w:pPr>
      <w:r w:rsidRPr="002B2441">
        <w:rPr>
          <w:sz w:val="22"/>
        </w:rPr>
        <w:t>Não tente autoinjetar-se antes de estar certo de ter compreendido</w:t>
      </w:r>
      <w:r w:rsidRPr="00B830EC">
        <w:rPr>
          <w:sz w:val="22"/>
        </w:rPr>
        <w:t xml:space="preserve"> </w:t>
      </w:r>
      <w:r w:rsidRPr="008B0DDF">
        <w:rPr>
          <w:sz w:val="22"/>
        </w:rPr>
        <w:t xml:space="preserve">o modo de preparar e administrar a injeção. </w:t>
      </w:r>
    </w:p>
    <w:p w14:paraId="5486D68C" w14:textId="77777777" w:rsidR="004462A0" w:rsidRPr="008B0DDF" w:rsidRDefault="004462A0" w:rsidP="004462A0">
      <w:pPr>
        <w:keepNext/>
        <w:tabs>
          <w:tab w:val="num" w:pos="567"/>
        </w:tabs>
        <w:suppressAutoHyphens/>
        <w:ind w:left="720" w:hanging="567"/>
        <w:rPr>
          <w:sz w:val="22"/>
        </w:rPr>
      </w:pPr>
    </w:p>
    <w:p w14:paraId="53E1A415" w14:textId="77777777" w:rsidR="004462A0" w:rsidRPr="008B0DDF" w:rsidRDefault="00615769" w:rsidP="004462A0">
      <w:pPr>
        <w:keepNext/>
        <w:numPr>
          <w:ilvl w:val="0"/>
          <w:numId w:val="89"/>
        </w:numPr>
        <w:tabs>
          <w:tab w:val="clear" w:pos="720"/>
        </w:tabs>
        <w:suppressAutoHyphens/>
        <w:ind w:left="567" w:hanging="567"/>
        <w:rPr>
          <w:sz w:val="22"/>
        </w:rPr>
      </w:pPr>
      <w:r w:rsidRPr="008B0DDF">
        <w:rPr>
          <w:sz w:val="22"/>
        </w:rPr>
        <w:t>Após treino adequado, a injeção pode ser administrada pelo doente ou por outra pessoa, por exemplo um familiar ou amigo.</w:t>
      </w:r>
    </w:p>
    <w:p w14:paraId="126090B3" w14:textId="77777777" w:rsidR="004462A0" w:rsidRPr="008B0DDF" w:rsidRDefault="004462A0" w:rsidP="004462A0">
      <w:pPr>
        <w:keepNext/>
        <w:tabs>
          <w:tab w:val="num" w:pos="567"/>
        </w:tabs>
        <w:suppressAutoHyphens/>
        <w:ind w:left="720" w:hanging="567"/>
        <w:rPr>
          <w:sz w:val="22"/>
        </w:rPr>
      </w:pPr>
    </w:p>
    <w:p w14:paraId="1D9BD90E" w14:textId="77777777" w:rsidR="004462A0" w:rsidRPr="008B0DDF" w:rsidRDefault="00615769" w:rsidP="004462A0">
      <w:pPr>
        <w:keepNext/>
        <w:numPr>
          <w:ilvl w:val="0"/>
          <w:numId w:val="89"/>
        </w:numPr>
        <w:tabs>
          <w:tab w:val="clear" w:pos="720"/>
        </w:tabs>
        <w:suppressAutoHyphens/>
        <w:ind w:left="567" w:hanging="567"/>
        <w:rPr>
          <w:sz w:val="22"/>
          <w:szCs w:val="20"/>
        </w:rPr>
      </w:pPr>
      <w:r w:rsidRPr="008B0DDF">
        <w:rPr>
          <w:sz w:val="22"/>
          <w:szCs w:val="20"/>
        </w:rPr>
        <w:t xml:space="preserve">Use só uma </w:t>
      </w:r>
      <w:r>
        <w:rPr>
          <w:sz w:val="22"/>
          <w:szCs w:val="20"/>
        </w:rPr>
        <w:t>seringa</w:t>
      </w:r>
      <w:r w:rsidRPr="008B0DDF">
        <w:rPr>
          <w:sz w:val="22"/>
          <w:szCs w:val="20"/>
        </w:rPr>
        <w:t xml:space="preserve"> pré-cheia por injeção.</w:t>
      </w:r>
    </w:p>
    <w:p w14:paraId="7EE2A022" w14:textId="77777777" w:rsidR="004462A0" w:rsidRDefault="004462A0" w:rsidP="004462A0">
      <w:pPr>
        <w:rPr>
          <w:sz w:val="22"/>
          <w:szCs w:val="22"/>
        </w:rPr>
      </w:pPr>
    </w:p>
    <w:p w14:paraId="57264571" w14:textId="77777777" w:rsidR="004462A0" w:rsidRPr="00EC0461" w:rsidRDefault="00615769" w:rsidP="004462A0">
      <w:pPr>
        <w:keepNext/>
        <w:tabs>
          <w:tab w:val="left" w:pos="562"/>
        </w:tabs>
        <w:suppressAutoHyphens/>
        <w:rPr>
          <w:sz w:val="22"/>
          <w:szCs w:val="20"/>
        </w:rPr>
      </w:pPr>
      <w:r>
        <w:rPr>
          <w:b/>
          <w:sz w:val="22"/>
          <w:szCs w:val="20"/>
        </w:rPr>
        <w:t>Seringa</w:t>
      </w:r>
      <w:r w:rsidRPr="008B0DDF">
        <w:rPr>
          <w:b/>
          <w:sz w:val="22"/>
          <w:szCs w:val="20"/>
        </w:rPr>
        <w:t xml:space="preserve"> Pré-cheia de Humira</w:t>
      </w:r>
    </w:p>
    <w:p w14:paraId="7242DB16" w14:textId="77777777" w:rsidR="004462A0" w:rsidRPr="00EC0461" w:rsidRDefault="004462A0" w:rsidP="004462A0">
      <w:pPr>
        <w:keepNext/>
        <w:tabs>
          <w:tab w:val="left" w:pos="562"/>
        </w:tabs>
        <w:suppressAutoHyphens/>
        <w:rPr>
          <w:sz w:val="22"/>
          <w:szCs w:val="20"/>
        </w:rPr>
      </w:pPr>
    </w:p>
    <w:p w14:paraId="09DBCF6F" w14:textId="77777777" w:rsidR="004462A0" w:rsidRPr="00EC0461" w:rsidRDefault="00615769" w:rsidP="004462A0">
      <w:pPr>
        <w:keepNext/>
        <w:tabs>
          <w:tab w:val="left" w:pos="562"/>
        </w:tabs>
        <w:suppressAutoHyphens/>
        <w:rPr>
          <w:sz w:val="22"/>
          <w:szCs w:val="20"/>
        </w:rPr>
      </w:pPr>
      <w:r w:rsidRPr="008B0DDF">
        <w:rPr>
          <w:b/>
          <w:sz w:val="22"/>
          <w:szCs w:val="20"/>
        </w:rPr>
        <w:t xml:space="preserve">   </w:t>
      </w:r>
      <w:r w:rsidRPr="00854C93">
        <w:rPr>
          <w:b/>
          <w:sz w:val="22"/>
          <w:szCs w:val="20"/>
        </w:rPr>
        <w:t xml:space="preserve">     </w:t>
      </w:r>
      <w:r w:rsidR="00467FA3">
        <w:rPr>
          <w:b/>
          <w:sz w:val="22"/>
          <w:szCs w:val="20"/>
        </w:rPr>
        <w:tab/>
      </w:r>
      <w:r w:rsidR="00467FA3">
        <w:rPr>
          <w:b/>
          <w:sz w:val="22"/>
          <w:szCs w:val="20"/>
        </w:rPr>
        <w:tab/>
      </w:r>
      <w:r w:rsidR="00467FA3">
        <w:rPr>
          <w:b/>
          <w:sz w:val="22"/>
          <w:szCs w:val="20"/>
        </w:rPr>
        <w:tab/>
        <w:t xml:space="preserve">       Êmbolo</w:t>
      </w:r>
      <w:r w:rsidR="00467FA3">
        <w:rPr>
          <w:b/>
          <w:sz w:val="22"/>
          <w:szCs w:val="20"/>
        </w:rPr>
        <w:tab/>
        <w:t xml:space="preserve">                Apoio dos dedos</w:t>
      </w:r>
      <w:r w:rsidR="00467FA3">
        <w:rPr>
          <w:b/>
          <w:sz w:val="22"/>
          <w:szCs w:val="20"/>
        </w:rPr>
        <w:tab/>
        <w:t xml:space="preserve">    </w:t>
      </w:r>
      <w:r>
        <w:rPr>
          <w:b/>
          <w:sz w:val="22"/>
          <w:szCs w:val="20"/>
        </w:rPr>
        <w:t>Tampa da agulha</w:t>
      </w:r>
    </w:p>
    <w:p w14:paraId="50B1934A" w14:textId="77777777" w:rsidR="00AF237A" w:rsidRDefault="00615769" w:rsidP="004462A0">
      <w:pPr>
        <w:keepNext/>
        <w:tabs>
          <w:tab w:val="left" w:pos="562"/>
        </w:tabs>
        <w:suppressAutoHyphens/>
        <w:ind w:left="1985"/>
        <w:rPr>
          <w:b/>
          <w:sz w:val="22"/>
          <w:szCs w:val="20"/>
        </w:rPr>
      </w:pPr>
      <w:r>
        <w:rPr>
          <w:noProof/>
          <w:lang w:val="en-GB" w:eastAsia="en-GB"/>
        </w:rPr>
        <w:drawing>
          <wp:inline distT="0" distB="0" distL="0" distR="0" wp14:anchorId="513008B2" wp14:editId="3ACA8728">
            <wp:extent cx="3364992" cy="1478124"/>
            <wp:effectExtent l="0" t="0" r="6985" b="825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Humira_Exploded_Syringe_Only_new grey.jpg"/>
                    <pic:cNvPicPr/>
                  </pic:nvPicPr>
                  <pic:blipFill>
                    <a:blip r:embed="rId23">
                      <a:extLst>
                        <a:ext uri="{28A0092B-C50C-407E-A947-70E740481C1C}">
                          <a14:useLocalDpi xmlns:a14="http://schemas.microsoft.com/office/drawing/2010/main" val="0"/>
                        </a:ext>
                      </a:extLst>
                    </a:blip>
                    <a:stretch>
                      <a:fillRect/>
                    </a:stretch>
                  </pic:blipFill>
                  <pic:spPr>
                    <a:xfrm>
                      <a:off x="0" y="0"/>
                      <a:ext cx="3364992" cy="1478124"/>
                    </a:xfrm>
                    <a:prstGeom prst="rect">
                      <a:avLst/>
                    </a:prstGeom>
                  </pic:spPr>
                </pic:pic>
              </a:graphicData>
            </a:graphic>
          </wp:inline>
        </w:drawing>
      </w:r>
    </w:p>
    <w:p w14:paraId="476C600A" w14:textId="77777777" w:rsidR="00AF237A" w:rsidRPr="00CC22DA" w:rsidRDefault="00AF237A" w:rsidP="004462A0">
      <w:pPr>
        <w:keepNext/>
        <w:tabs>
          <w:tab w:val="left" w:pos="562"/>
        </w:tabs>
        <w:suppressAutoHyphens/>
        <w:ind w:left="1985"/>
        <w:rPr>
          <w:sz w:val="22"/>
          <w:szCs w:val="20"/>
        </w:rPr>
      </w:pPr>
    </w:p>
    <w:p w14:paraId="23AD3787" w14:textId="77777777" w:rsidR="004462A0" w:rsidRPr="00CC22DA" w:rsidRDefault="00615769" w:rsidP="004462A0">
      <w:pPr>
        <w:keepNext/>
        <w:tabs>
          <w:tab w:val="left" w:pos="562"/>
        </w:tabs>
        <w:suppressAutoHyphens/>
        <w:rPr>
          <w:sz w:val="22"/>
          <w:szCs w:val="20"/>
        </w:rPr>
      </w:pPr>
      <w:r w:rsidRPr="000B3FE3">
        <w:rPr>
          <w:b/>
          <w:sz w:val="22"/>
          <w:szCs w:val="20"/>
        </w:rPr>
        <w:t xml:space="preserve">Não use a </w:t>
      </w:r>
      <w:r>
        <w:rPr>
          <w:b/>
          <w:sz w:val="22"/>
          <w:szCs w:val="20"/>
        </w:rPr>
        <w:t xml:space="preserve">seringa </w:t>
      </w:r>
      <w:r w:rsidRPr="000B3FE3">
        <w:rPr>
          <w:b/>
          <w:sz w:val="22"/>
          <w:szCs w:val="20"/>
        </w:rPr>
        <w:t xml:space="preserve">pré-cheia e fale com o seu médico ou farmacêutico </w:t>
      </w:r>
      <w:r w:rsidRPr="004931CE">
        <w:rPr>
          <w:b/>
          <w:sz w:val="22"/>
          <w:szCs w:val="20"/>
        </w:rPr>
        <w:t>se</w:t>
      </w:r>
    </w:p>
    <w:p w14:paraId="4737EBFE" w14:textId="77777777" w:rsidR="004462A0" w:rsidRPr="00CC22DA" w:rsidRDefault="004462A0" w:rsidP="004462A0">
      <w:pPr>
        <w:keepNext/>
        <w:tabs>
          <w:tab w:val="left" w:pos="562"/>
        </w:tabs>
        <w:suppressAutoHyphens/>
        <w:rPr>
          <w:sz w:val="22"/>
          <w:szCs w:val="20"/>
        </w:rPr>
      </w:pPr>
    </w:p>
    <w:p w14:paraId="476540B8" w14:textId="77777777" w:rsidR="004462A0" w:rsidRPr="005F6F98" w:rsidRDefault="00615769" w:rsidP="004462A0">
      <w:pPr>
        <w:keepNext/>
        <w:numPr>
          <w:ilvl w:val="0"/>
          <w:numId w:val="90"/>
        </w:numPr>
        <w:suppressAutoHyphens/>
        <w:ind w:left="567" w:hanging="567"/>
        <w:rPr>
          <w:sz w:val="22"/>
          <w:szCs w:val="20"/>
        </w:rPr>
      </w:pPr>
      <w:r w:rsidRPr="00D33370">
        <w:rPr>
          <w:sz w:val="22"/>
          <w:szCs w:val="20"/>
        </w:rPr>
        <w:t>o</w:t>
      </w:r>
      <w:r w:rsidRPr="002D4DE5">
        <w:rPr>
          <w:sz w:val="22"/>
          <w:szCs w:val="20"/>
        </w:rPr>
        <w:t xml:space="preserve"> líquido está turvo, descorado</w:t>
      </w:r>
      <w:r w:rsidRPr="00003560">
        <w:rPr>
          <w:sz w:val="22"/>
          <w:szCs w:val="20"/>
        </w:rPr>
        <w:t>, o</w:t>
      </w:r>
      <w:r w:rsidRPr="005F6F98">
        <w:rPr>
          <w:sz w:val="22"/>
          <w:szCs w:val="20"/>
        </w:rPr>
        <w:t>u com flocos ou partículas em suspensão</w:t>
      </w:r>
    </w:p>
    <w:p w14:paraId="1270BDB2" w14:textId="77777777" w:rsidR="004462A0" w:rsidRPr="008B0DDF" w:rsidRDefault="00615769" w:rsidP="004462A0">
      <w:pPr>
        <w:keepNext/>
        <w:numPr>
          <w:ilvl w:val="0"/>
          <w:numId w:val="90"/>
        </w:numPr>
        <w:suppressAutoHyphens/>
        <w:ind w:left="567" w:hanging="567"/>
        <w:rPr>
          <w:sz w:val="22"/>
          <w:szCs w:val="20"/>
        </w:rPr>
      </w:pPr>
      <w:r w:rsidRPr="002B2441">
        <w:rPr>
          <w:sz w:val="22"/>
          <w:szCs w:val="20"/>
        </w:rPr>
        <w:t>prazo de validade (</w:t>
      </w:r>
      <w:r>
        <w:rPr>
          <w:sz w:val="22"/>
          <w:szCs w:val="20"/>
        </w:rPr>
        <w:t>EXP</w:t>
      </w:r>
      <w:r w:rsidRPr="002B2441">
        <w:rPr>
          <w:sz w:val="22"/>
          <w:szCs w:val="20"/>
        </w:rPr>
        <w:t xml:space="preserve">) </w:t>
      </w:r>
      <w:r w:rsidRPr="00B830EC">
        <w:rPr>
          <w:sz w:val="22"/>
          <w:szCs w:val="20"/>
        </w:rPr>
        <w:t xml:space="preserve">foi </w:t>
      </w:r>
      <w:r w:rsidRPr="008B0DDF">
        <w:rPr>
          <w:sz w:val="22"/>
          <w:szCs w:val="20"/>
        </w:rPr>
        <w:t xml:space="preserve">ultrapassado </w:t>
      </w:r>
    </w:p>
    <w:p w14:paraId="0A2A09E5" w14:textId="77777777" w:rsidR="004462A0" w:rsidRPr="008B0DDF" w:rsidRDefault="00615769" w:rsidP="004462A0">
      <w:pPr>
        <w:keepNext/>
        <w:numPr>
          <w:ilvl w:val="0"/>
          <w:numId w:val="90"/>
        </w:numPr>
        <w:suppressAutoHyphens/>
        <w:ind w:left="567" w:hanging="567"/>
        <w:rPr>
          <w:sz w:val="22"/>
          <w:szCs w:val="20"/>
        </w:rPr>
      </w:pPr>
      <w:r w:rsidRPr="008B0DDF">
        <w:rPr>
          <w:sz w:val="22"/>
          <w:szCs w:val="20"/>
        </w:rPr>
        <w:t>o líquido estiver congelado ou se foi deixado à luz direta do sol</w:t>
      </w:r>
    </w:p>
    <w:p w14:paraId="09CA3A76" w14:textId="77777777" w:rsidR="004462A0" w:rsidRPr="008B0DDF" w:rsidRDefault="00615769" w:rsidP="004462A0">
      <w:pPr>
        <w:keepNext/>
        <w:numPr>
          <w:ilvl w:val="0"/>
          <w:numId w:val="90"/>
        </w:numPr>
        <w:suppressAutoHyphens/>
        <w:ind w:left="567" w:hanging="567"/>
        <w:rPr>
          <w:sz w:val="22"/>
          <w:szCs w:val="20"/>
        </w:rPr>
      </w:pPr>
      <w:r w:rsidRPr="008B0DDF">
        <w:rPr>
          <w:sz w:val="22"/>
          <w:szCs w:val="20"/>
        </w:rPr>
        <w:t xml:space="preserve">a </w:t>
      </w:r>
      <w:r>
        <w:rPr>
          <w:sz w:val="22"/>
          <w:szCs w:val="20"/>
        </w:rPr>
        <w:t>seringa</w:t>
      </w:r>
      <w:r w:rsidRPr="008B0DDF">
        <w:rPr>
          <w:sz w:val="22"/>
          <w:szCs w:val="20"/>
        </w:rPr>
        <w:t xml:space="preserve"> pré-cheia </w:t>
      </w:r>
      <w:r w:rsidR="002E4828">
        <w:rPr>
          <w:sz w:val="22"/>
          <w:szCs w:val="20"/>
        </w:rPr>
        <w:t>tiver caído</w:t>
      </w:r>
      <w:r w:rsidR="002E4828" w:rsidRPr="008B0DDF">
        <w:rPr>
          <w:sz w:val="22"/>
          <w:szCs w:val="20"/>
        </w:rPr>
        <w:t xml:space="preserve"> </w:t>
      </w:r>
      <w:r w:rsidRPr="008B0DDF">
        <w:rPr>
          <w:sz w:val="22"/>
          <w:szCs w:val="20"/>
        </w:rPr>
        <w:t>ou estiver danificada</w:t>
      </w:r>
    </w:p>
    <w:p w14:paraId="2E31710C" w14:textId="77777777" w:rsidR="004462A0" w:rsidRPr="008B0DDF" w:rsidRDefault="004462A0" w:rsidP="004462A0">
      <w:pPr>
        <w:tabs>
          <w:tab w:val="left" w:pos="562"/>
        </w:tabs>
        <w:suppressAutoHyphens/>
        <w:rPr>
          <w:sz w:val="22"/>
          <w:szCs w:val="20"/>
        </w:rPr>
      </w:pPr>
    </w:p>
    <w:p w14:paraId="39CAAB55" w14:textId="77777777" w:rsidR="00816FFE" w:rsidRPr="00CC22DA" w:rsidRDefault="00615769" w:rsidP="004462A0">
      <w:pPr>
        <w:keepNext/>
        <w:tabs>
          <w:tab w:val="left" w:pos="0"/>
        </w:tabs>
        <w:suppressAutoHyphens/>
        <w:rPr>
          <w:sz w:val="22"/>
          <w:szCs w:val="20"/>
        </w:rPr>
      </w:pPr>
      <w:r>
        <w:rPr>
          <w:b/>
          <w:sz w:val="22"/>
          <w:szCs w:val="20"/>
        </w:rPr>
        <w:t>Retire só a</w:t>
      </w:r>
      <w:r w:rsidRPr="008B0DDF">
        <w:rPr>
          <w:b/>
          <w:sz w:val="22"/>
          <w:szCs w:val="20"/>
        </w:rPr>
        <w:t xml:space="preserve"> tampa </w:t>
      </w:r>
      <w:r w:rsidR="00CC22DA">
        <w:rPr>
          <w:b/>
          <w:sz w:val="22"/>
          <w:szCs w:val="20"/>
        </w:rPr>
        <w:t>imediatamente antes da injeção.</w:t>
      </w:r>
    </w:p>
    <w:p w14:paraId="2F1BAAC8" w14:textId="77777777" w:rsidR="004462A0" w:rsidRPr="00CC22DA" w:rsidRDefault="00615769" w:rsidP="004462A0">
      <w:pPr>
        <w:keepNext/>
        <w:tabs>
          <w:tab w:val="left" w:pos="0"/>
        </w:tabs>
        <w:suppressAutoHyphens/>
        <w:rPr>
          <w:sz w:val="22"/>
          <w:szCs w:val="20"/>
        </w:rPr>
      </w:pPr>
      <w:r w:rsidRPr="008B0DDF">
        <w:rPr>
          <w:b/>
          <w:sz w:val="22"/>
          <w:szCs w:val="20"/>
        </w:rPr>
        <w:t xml:space="preserve">Manter </w:t>
      </w:r>
      <w:r>
        <w:rPr>
          <w:b/>
          <w:sz w:val="22"/>
          <w:szCs w:val="20"/>
        </w:rPr>
        <w:t xml:space="preserve">Humira </w:t>
      </w:r>
      <w:r w:rsidRPr="008B0DDF">
        <w:rPr>
          <w:b/>
          <w:sz w:val="22"/>
          <w:szCs w:val="20"/>
        </w:rPr>
        <w:t>fora da vista e do alcance das crianças.</w:t>
      </w:r>
    </w:p>
    <w:p w14:paraId="53737865" w14:textId="77777777" w:rsidR="004462A0" w:rsidRPr="00CC22DA" w:rsidRDefault="004462A0" w:rsidP="004462A0">
      <w:pPr>
        <w:tabs>
          <w:tab w:val="left" w:pos="562"/>
        </w:tabs>
        <w:suppressAutoHyphens/>
        <w:rPr>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A7162A" w14:paraId="56DBFB51" w14:textId="77777777" w:rsidTr="00F675CF">
        <w:tc>
          <w:tcPr>
            <w:tcW w:w="9287" w:type="dxa"/>
            <w:gridSpan w:val="2"/>
            <w:tcBorders>
              <w:bottom w:val="single" w:sz="4" w:space="0" w:color="auto"/>
            </w:tcBorders>
          </w:tcPr>
          <w:p w14:paraId="0FDEAE4F" w14:textId="77777777" w:rsidR="004462A0" w:rsidRPr="00CC22DA" w:rsidRDefault="00615769" w:rsidP="00040D46">
            <w:pPr>
              <w:tabs>
                <w:tab w:val="left" w:pos="562"/>
              </w:tabs>
              <w:suppressAutoHyphens/>
              <w:rPr>
                <w:sz w:val="22"/>
                <w:szCs w:val="20"/>
              </w:rPr>
            </w:pPr>
            <w:r w:rsidRPr="008B0DDF">
              <w:rPr>
                <w:b/>
                <w:sz w:val="22"/>
                <w:szCs w:val="20"/>
              </w:rPr>
              <w:t>PASSO 1</w:t>
            </w:r>
          </w:p>
          <w:p w14:paraId="6CD1CA96" w14:textId="77777777" w:rsidR="004462A0" w:rsidRPr="00CC22DA" w:rsidRDefault="004462A0" w:rsidP="00040D46">
            <w:pPr>
              <w:tabs>
                <w:tab w:val="left" w:pos="562"/>
              </w:tabs>
              <w:suppressAutoHyphens/>
              <w:rPr>
                <w:sz w:val="22"/>
                <w:szCs w:val="20"/>
              </w:rPr>
            </w:pPr>
          </w:p>
          <w:p w14:paraId="4755DE0B" w14:textId="77777777" w:rsidR="004462A0" w:rsidRPr="008B0DDF" w:rsidRDefault="00615769" w:rsidP="00040D46">
            <w:pPr>
              <w:tabs>
                <w:tab w:val="left" w:pos="562"/>
              </w:tabs>
              <w:suppressAutoHyphens/>
              <w:rPr>
                <w:sz w:val="22"/>
                <w:szCs w:val="20"/>
              </w:rPr>
            </w:pPr>
            <w:r w:rsidRPr="008B0DDF">
              <w:rPr>
                <w:sz w:val="22"/>
                <w:szCs w:val="20"/>
              </w:rPr>
              <w:t>Retire Humira do frigorífico.</w:t>
            </w:r>
          </w:p>
          <w:p w14:paraId="44342815" w14:textId="77777777" w:rsidR="004462A0" w:rsidRPr="008B0DDF" w:rsidRDefault="004462A0" w:rsidP="00040D46">
            <w:pPr>
              <w:tabs>
                <w:tab w:val="left" w:pos="562"/>
              </w:tabs>
              <w:suppressAutoHyphens/>
              <w:rPr>
                <w:sz w:val="22"/>
                <w:szCs w:val="20"/>
              </w:rPr>
            </w:pPr>
          </w:p>
          <w:p w14:paraId="1FF29089" w14:textId="77777777" w:rsidR="004462A0" w:rsidRPr="008B0DDF" w:rsidRDefault="00615769" w:rsidP="00040D46">
            <w:pPr>
              <w:tabs>
                <w:tab w:val="left" w:pos="562"/>
              </w:tabs>
              <w:suppressAutoHyphens/>
              <w:rPr>
                <w:sz w:val="22"/>
                <w:szCs w:val="20"/>
              </w:rPr>
            </w:pPr>
            <w:r w:rsidRPr="008B0DDF">
              <w:rPr>
                <w:sz w:val="22"/>
                <w:szCs w:val="20"/>
              </w:rPr>
              <w:t xml:space="preserve">Deixe Humira à temperatura ambiente durante </w:t>
            </w:r>
            <w:r w:rsidRPr="008B0DDF">
              <w:rPr>
                <w:b/>
                <w:sz w:val="22"/>
                <w:szCs w:val="20"/>
              </w:rPr>
              <w:t xml:space="preserve">15 a 30 minutos </w:t>
            </w:r>
            <w:r w:rsidRPr="008B0DDF">
              <w:rPr>
                <w:sz w:val="22"/>
                <w:szCs w:val="20"/>
              </w:rPr>
              <w:t>antes de administrar a injeção.</w:t>
            </w:r>
          </w:p>
          <w:p w14:paraId="379FA89E" w14:textId="77777777" w:rsidR="004462A0" w:rsidRPr="008B0DDF" w:rsidRDefault="004462A0" w:rsidP="00040D46">
            <w:pPr>
              <w:tabs>
                <w:tab w:val="left" w:pos="562"/>
              </w:tabs>
              <w:suppressAutoHyphens/>
              <w:rPr>
                <w:sz w:val="22"/>
                <w:szCs w:val="20"/>
              </w:rPr>
            </w:pPr>
          </w:p>
          <w:p w14:paraId="03148EDE" w14:textId="77777777" w:rsidR="004462A0" w:rsidRPr="008B0DDF" w:rsidRDefault="00615769" w:rsidP="00040D46">
            <w:pPr>
              <w:numPr>
                <w:ilvl w:val="0"/>
                <w:numId w:val="91"/>
              </w:numPr>
              <w:suppressAutoHyphens/>
              <w:ind w:left="567" w:hanging="567"/>
              <w:rPr>
                <w:sz w:val="22"/>
                <w:szCs w:val="20"/>
              </w:rPr>
            </w:pPr>
            <w:r w:rsidRPr="008B0DDF">
              <w:rPr>
                <w:b/>
                <w:sz w:val="22"/>
                <w:szCs w:val="20"/>
              </w:rPr>
              <w:t>Não</w:t>
            </w:r>
            <w:r w:rsidRPr="008B0DDF">
              <w:rPr>
                <w:sz w:val="22"/>
                <w:szCs w:val="20"/>
              </w:rPr>
              <w:t xml:space="preserve"> remova a tampa</w:t>
            </w:r>
            <w:r>
              <w:rPr>
                <w:sz w:val="22"/>
                <w:szCs w:val="20"/>
              </w:rPr>
              <w:t xml:space="preserve"> a</w:t>
            </w:r>
            <w:r w:rsidRPr="008B0DDF">
              <w:rPr>
                <w:sz w:val="22"/>
                <w:szCs w:val="20"/>
              </w:rPr>
              <w:t>té que Humira alcance a temperatura ambiente</w:t>
            </w:r>
          </w:p>
          <w:p w14:paraId="46B9897B" w14:textId="77777777" w:rsidR="004462A0" w:rsidRPr="008B0DDF" w:rsidRDefault="00615769" w:rsidP="00040D46">
            <w:pPr>
              <w:numPr>
                <w:ilvl w:val="0"/>
                <w:numId w:val="91"/>
              </w:numPr>
              <w:suppressAutoHyphens/>
              <w:ind w:left="567" w:hanging="567"/>
              <w:rPr>
                <w:sz w:val="22"/>
                <w:szCs w:val="20"/>
              </w:rPr>
            </w:pPr>
            <w:r w:rsidRPr="008B0DDF">
              <w:rPr>
                <w:b/>
                <w:sz w:val="22"/>
                <w:szCs w:val="20"/>
              </w:rPr>
              <w:t xml:space="preserve">Não </w:t>
            </w:r>
            <w:r w:rsidRPr="008B0DDF">
              <w:rPr>
                <w:sz w:val="22"/>
                <w:szCs w:val="20"/>
              </w:rPr>
              <w:t xml:space="preserve">aqueça Humira de nenhuma outra forma. Por exemplo, </w:t>
            </w:r>
            <w:r w:rsidRPr="006B7CB4">
              <w:rPr>
                <w:b/>
                <w:sz w:val="22"/>
                <w:szCs w:val="20"/>
              </w:rPr>
              <w:t>não</w:t>
            </w:r>
            <w:r w:rsidRPr="008B0DDF">
              <w:rPr>
                <w:sz w:val="22"/>
                <w:szCs w:val="20"/>
              </w:rPr>
              <w:t xml:space="preserve"> use micro</w:t>
            </w:r>
            <w:r w:rsidR="00750C9C">
              <w:rPr>
                <w:sz w:val="22"/>
                <w:szCs w:val="20"/>
              </w:rPr>
              <w:t>-</w:t>
            </w:r>
            <w:r w:rsidRPr="008B0DDF">
              <w:rPr>
                <w:sz w:val="22"/>
                <w:szCs w:val="20"/>
              </w:rPr>
              <w:t>ondas ou água quente</w:t>
            </w:r>
          </w:p>
        </w:tc>
      </w:tr>
      <w:tr w:rsidR="00A7162A" w14:paraId="23DD04C1" w14:textId="77777777" w:rsidTr="00F675CF">
        <w:tc>
          <w:tcPr>
            <w:tcW w:w="3708" w:type="dxa"/>
            <w:tcBorders>
              <w:right w:val="nil"/>
            </w:tcBorders>
          </w:tcPr>
          <w:p w14:paraId="504535C8" w14:textId="77777777" w:rsidR="004462A0" w:rsidRPr="00CC22DA" w:rsidRDefault="00615769" w:rsidP="00040D46">
            <w:pPr>
              <w:tabs>
                <w:tab w:val="left" w:pos="562"/>
              </w:tabs>
              <w:suppressAutoHyphens/>
              <w:rPr>
                <w:b/>
                <w:i/>
                <w:noProof/>
                <w:sz w:val="22"/>
                <w:szCs w:val="20"/>
              </w:rPr>
            </w:pPr>
            <w:r>
              <w:rPr>
                <w:b/>
                <w:noProof/>
                <w:sz w:val="22"/>
                <w:szCs w:val="20"/>
              </w:rPr>
              <w:t>PASSO 2</w:t>
            </w:r>
          </w:p>
          <w:p w14:paraId="0A2D0DF4" w14:textId="77777777" w:rsidR="004462A0" w:rsidRPr="00CC22DA" w:rsidRDefault="004462A0" w:rsidP="00040D46">
            <w:pPr>
              <w:tabs>
                <w:tab w:val="left" w:pos="562"/>
              </w:tabs>
              <w:suppressAutoHyphens/>
              <w:rPr>
                <w:b/>
                <w:i/>
                <w:noProof/>
                <w:sz w:val="22"/>
                <w:szCs w:val="20"/>
              </w:rPr>
            </w:pPr>
          </w:p>
          <w:p w14:paraId="7D7D0A60" w14:textId="77777777" w:rsidR="00AF237A" w:rsidRDefault="00615769" w:rsidP="00040D46">
            <w:pPr>
              <w:tabs>
                <w:tab w:val="left" w:pos="562"/>
              </w:tabs>
              <w:suppressAutoHyphens/>
              <w:rPr>
                <w:b/>
                <w:noProof/>
                <w:sz w:val="22"/>
                <w:szCs w:val="20"/>
              </w:rPr>
            </w:pPr>
            <w:r>
              <w:rPr>
                <w:b/>
                <w:noProof/>
                <w:sz w:val="22"/>
                <w:szCs w:val="20"/>
              </w:rPr>
              <w:t xml:space="preserve">              Seringa</w:t>
            </w:r>
          </w:p>
          <w:p w14:paraId="410402AE" w14:textId="77777777" w:rsidR="00AF237A" w:rsidRPr="008B0DDF" w:rsidRDefault="00615769" w:rsidP="00040D46">
            <w:pPr>
              <w:tabs>
                <w:tab w:val="left" w:pos="562"/>
              </w:tabs>
              <w:suppressAutoHyphens/>
              <w:rPr>
                <w:b/>
                <w:noProof/>
                <w:sz w:val="22"/>
                <w:szCs w:val="20"/>
              </w:rPr>
            </w:pPr>
            <w:r>
              <w:rPr>
                <w:noProof/>
                <w:szCs w:val="20"/>
                <w:lang w:val="en-GB" w:eastAsia="en-GB"/>
              </w:rPr>
              <w:drawing>
                <wp:inline distT="0" distB="0" distL="0" distR="0" wp14:anchorId="06AFD1FE" wp14:editId="2217A330">
                  <wp:extent cx="2217420" cy="2052320"/>
                  <wp:effectExtent l="0" t="0" r="0" b="508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STEP_2_SYRINGE_IFU_SETUP_new grey.jpg"/>
                          <pic:cNvPicPr/>
                        </pic:nvPicPr>
                        <pic:blipFill>
                          <a:blip r:embed="rId24">
                            <a:extLst>
                              <a:ext uri="{28A0092B-C50C-407E-A947-70E740481C1C}">
                                <a14:useLocalDpi xmlns:a14="http://schemas.microsoft.com/office/drawing/2010/main" val="0"/>
                              </a:ext>
                            </a:extLst>
                          </a:blip>
                          <a:stretch>
                            <a:fillRect/>
                          </a:stretch>
                        </pic:blipFill>
                        <pic:spPr>
                          <a:xfrm>
                            <a:off x="0" y="0"/>
                            <a:ext cx="2217420" cy="2052320"/>
                          </a:xfrm>
                          <a:prstGeom prst="rect">
                            <a:avLst/>
                          </a:prstGeom>
                        </pic:spPr>
                      </pic:pic>
                    </a:graphicData>
                  </a:graphic>
                </wp:inline>
              </w:drawing>
            </w:r>
          </w:p>
          <w:p w14:paraId="51E7A626" w14:textId="77777777" w:rsidR="00AF237A" w:rsidRPr="008B0DDF" w:rsidRDefault="00615769" w:rsidP="00040D46">
            <w:pPr>
              <w:tabs>
                <w:tab w:val="left" w:pos="562"/>
              </w:tabs>
              <w:suppressAutoHyphens/>
              <w:rPr>
                <w:b/>
                <w:noProof/>
                <w:sz w:val="22"/>
                <w:szCs w:val="20"/>
              </w:rPr>
            </w:pPr>
            <w:r w:rsidRPr="008B0DDF">
              <w:rPr>
                <w:b/>
                <w:noProof/>
                <w:sz w:val="22"/>
                <w:szCs w:val="20"/>
              </w:rPr>
              <w:t xml:space="preserve">                Compressa</w:t>
            </w:r>
          </w:p>
        </w:tc>
        <w:tc>
          <w:tcPr>
            <w:tcW w:w="5579" w:type="dxa"/>
            <w:tcBorders>
              <w:left w:val="nil"/>
            </w:tcBorders>
          </w:tcPr>
          <w:p w14:paraId="3EDDF0F2" w14:textId="77777777" w:rsidR="004462A0" w:rsidRPr="00854C93" w:rsidRDefault="00615769" w:rsidP="00040D46">
            <w:pPr>
              <w:tabs>
                <w:tab w:val="left" w:pos="562"/>
              </w:tabs>
              <w:suppressAutoHyphens/>
              <w:rPr>
                <w:sz w:val="22"/>
                <w:szCs w:val="20"/>
              </w:rPr>
            </w:pPr>
            <w:r w:rsidRPr="004F0FBC">
              <w:rPr>
                <w:sz w:val="22"/>
                <w:szCs w:val="20"/>
              </w:rPr>
              <w:t>Verifique o praz</w:t>
            </w:r>
            <w:r w:rsidRPr="006462E3">
              <w:rPr>
                <w:sz w:val="22"/>
                <w:szCs w:val="20"/>
              </w:rPr>
              <w:t>o de validade (</w:t>
            </w:r>
            <w:r>
              <w:rPr>
                <w:sz w:val="22"/>
                <w:szCs w:val="20"/>
              </w:rPr>
              <w:t>EXP</w:t>
            </w:r>
            <w:r w:rsidRPr="006462E3">
              <w:rPr>
                <w:sz w:val="22"/>
                <w:szCs w:val="20"/>
              </w:rPr>
              <w:t xml:space="preserve">). </w:t>
            </w:r>
            <w:r w:rsidRPr="006462E3">
              <w:rPr>
                <w:b/>
                <w:sz w:val="22"/>
                <w:szCs w:val="20"/>
              </w:rPr>
              <w:t xml:space="preserve">Não </w:t>
            </w:r>
            <w:r w:rsidRPr="006462E3">
              <w:rPr>
                <w:sz w:val="22"/>
                <w:szCs w:val="20"/>
              </w:rPr>
              <w:t xml:space="preserve">utilize a </w:t>
            </w:r>
            <w:r>
              <w:rPr>
                <w:sz w:val="22"/>
                <w:szCs w:val="20"/>
              </w:rPr>
              <w:t xml:space="preserve">seringa </w:t>
            </w:r>
            <w:r w:rsidRPr="006462E3">
              <w:rPr>
                <w:sz w:val="22"/>
                <w:szCs w:val="20"/>
              </w:rPr>
              <w:t>pré-cheia</w:t>
            </w:r>
            <w:r w:rsidRPr="009A05BE">
              <w:rPr>
                <w:sz w:val="22"/>
                <w:szCs w:val="20"/>
              </w:rPr>
              <w:t xml:space="preserve"> se já tiver ultrapassado o prazo de validade (</w:t>
            </w:r>
            <w:r>
              <w:rPr>
                <w:sz w:val="22"/>
                <w:szCs w:val="20"/>
              </w:rPr>
              <w:t>EXP</w:t>
            </w:r>
            <w:r w:rsidRPr="009A05BE">
              <w:rPr>
                <w:sz w:val="22"/>
                <w:szCs w:val="20"/>
              </w:rPr>
              <w:t>)</w:t>
            </w:r>
            <w:r w:rsidRPr="00854C93">
              <w:rPr>
                <w:sz w:val="22"/>
                <w:szCs w:val="20"/>
              </w:rPr>
              <w:t>.</w:t>
            </w:r>
          </w:p>
          <w:p w14:paraId="63715864" w14:textId="77777777" w:rsidR="004462A0" w:rsidRPr="0089156B" w:rsidRDefault="004462A0" w:rsidP="00040D46">
            <w:pPr>
              <w:tabs>
                <w:tab w:val="left" w:pos="562"/>
              </w:tabs>
              <w:suppressAutoHyphens/>
              <w:rPr>
                <w:sz w:val="22"/>
                <w:szCs w:val="20"/>
              </w:rPr>
            </w:pPr>
          </w:p>
          <w:p w14:paraId="0E58E46D" w14:textId="77777777" w:rsidR="004462A0" w:rsidRPr="00653128" w:rsidRDefault="00615769" w:rsidP="00040D46">
            <w:pPr>
              <w:tabs>
                <w:tab w:val="left" w:pos="562"/>
              </w:tabs>
              <w:suppressAutoHyphens/>
              <w:rPr>
                <w:sz w:val="22"/>
                <w:szCs w:val="20"/>
              </w:rPr>
            </w:pPr>
            <w:r w:rsidRPr="000B3FE3">
              <w:rPr>
                <w:sz w:val="22"/>
                <w:szCs w:val="20"/>
              </w:rPr>
              <w:t xml:space="preserve">Coloque os seguintes elementos numa superfície plana </w:t>
            </w:r>
            <w:r w:rsidRPr="004931CE">
              <w:rPr>
                <w:sz w:val="22"/>
                <w:szCs w:val="20"/>
              </w:rPr>
              <w:t>limpa</w:t>
            </w:r>
          </w:p>
          <w:p w14:paraId="033FD2E3" w14:textId="77777777" w:rsidR="004462A0" w:rsidRPr="00D33370" w:rsidRDefault="004462A0" w:rsidP="00040D46">
            <w:pPr>
              <w:tabs>
                <w:tab w:val="left" w:pos="562"/>
              </w:tabs>
              <w:suppressAutoHyphens/>
              <w:rPr>
                <w:sz w:val="22"/>
                <w:szCs w:val="20"/>
              </w:rPr>
            </w:pPr>
          </w:p>
          <w:p w14:paraId="428A052A" w14:textId="77777777" w:rsidR="004462A0" w:rsidRPr="008B0DDF" w:rsidRDefault="00615769" w:rsidP="00040D46">
            <w:pPr>
              <w:numPr>
                <w:ilvl w:val="0"/>
                <w:numId w:val="92"/>
              </w:numPr>
              <w:suppressAutoHyphens/>
              <w:ind w:left="545" w:hanging="545"/>
              <w:rPr>
                <w:sz w:val="22"/>
                <w:szCs w:val="20"/>
              </w:rPr>
            </w:pPr>
            <w:r w:rsidRPr="008B0DDF">
              <w:rPr>
                <w:sz w:val="22"/>
                <w:szCs w:val="20"/>
              </w:rPr>
              <w:t xml:space="preserve">1 </w:t>
            </w:r>
            <w:r>
              <w:rPr>
                <w:sz w:val="22"/>
                <w:szCs w:val="20"/>
              </w:rPr>
              <w:t>seringa</w:t>
            </w:r>
            <w:r w:rsidRPr="008B0DDF">
              <w:rPr>
                <w:sz w:val="22"/>
                <w:szCs w:val="20"/>
              </w:rPr>
              <w:t xml:space="preserve"> pré-cheia e </w:t>
            </w:r>
          </w:p>
          <w:p w14:paraId="43F4E6AA" w14:textId="77777777" w:rsidR="004462A0" w:rsidRPr="008B0DDF" w:rsidRDefault="00615769" w:rsidP="00040D46">
            <w:pPr>
              <w:numPr>
                <w:ilvl w:val="0"/>
                <w:numId w:val="92"/>
              </w:numPr>
              <w:suppressAutoHyphens/>
              <w:ind w:left="545" w:hanging="545"/>
              <w:rPr>
                <w:sz w:val="22"/>
                <w:szCs w:val="20"/>
              </w:rPr>
            </w:pPr>
            <w:r w:rsidRPr="008B0DDF">
              <w:rPr>
                <w:sz w:val="22"/>
                <w:szCs w:val="20"/>
              </w:rPr>
              <w:t>1 compressa embebida em álcool</w:t>
            </w:r>
          </w:p>
          <w:p w14:paraId="2541E066" w14:textId="77777777" w:rsidR="004462A0" w:rsidRPr="008B0DDF" w:rsidRDefault="004462A0" w:rsidP="00040D46">
            <w:pPr>
              <w:tabs>
                <w:tab w:val="left" w:pos="562"/>
              </w:tabs>
              <w:suppressAutoHyphens/>
              <w:rPr>
                <w:sz w:val="22"/>
                <w:szCs w:val="20"/>
              </w:rPr>
            </w:pPr>
          </w:p>
          <w:p w14:paraId="6B4A7E52" w14:textId="77777777" w:rsidR="004462A0" w:rsidRPr="00AF229F" w:rsidRDefault="00615769" w:rsidP="00040D46">
            <w:pPr>
              <w:tabs>
                <w:tab w:val="left" w:pos="562"/>
              </w:tabs>
              <w:suppressAutoHyphens/>
              <w:rPr>
                <w:sz w:val="22"/>
                <w:szCs w:val="20"/>
              </w:rPr>
            </w:pPr>
            <w:r w:rsidRPr="00454F99">
              <w:rPr>
                <w:sz w:val="22"/>
                <w:szCs w:val="20"/>
              </w:rPr>
              <w:t>Lave e seque as mãos</w:t>
            </w:r>
            <w:r w:rsidRPr="00AF229F">
              <w:rPr>
                <w:sz w:val="22"/>
                <w:szCs w:val="20"/>
              </w:rPr>
              <w:t>.</w:t>
            </w:r>
          </w:p>
        </w:tc>
      </w:tr>
      <w:tr w:rsidR="00A7162A" w14:paraId="3F111473" w14:textId="77777777" w:rsidTr="00F675CF">
        <w:tc>
          <w:tcPr>
            <w:tcW w:w="3708" w:type="dxa"/>
            <w:tcBorders>
              <w:right w:val="nil"/>
            </w:tcBorders>
          </w:tcPr>
          <w:p w14:paraId="710C286B" w14:textId="77777777" w:rsidR="004462A0" w:rsidRPr="00CC22DA" w:rsidRDefault="00615769" w:rsidP="00040D46">
            <w:pPr>
              <w:keepNext/>
              <w:tabs>
                <w:tab w:val="left" w:pos="562"/>
              </w:tabs>
              <w:suppressAutoHyphens/>
              <w:rPr>
                <w:noProof/>
                <w:sz w:val="22"/>
                <w:szCs w:val="20"/>
              </w:rPr>
            </w:pPr>
            <w:r w:rsidRPr="008B0DDF">
              <w:rPr>
                <w:b/>
                <w:noProof/>
                <w:sz w:val="22"/>
                <w:szCs w:val="20"/>
              </w:rPr>
              <w:t>PASSO 3</w:t>
            </w:r>
          </w:p>
          <w:p w14:paraId="7A777592" w14:textId="77777777" w:rsidR="004462A0" w:rsidRPr="00CC22DA" w:rsidRDefault="004462A0" w:rsidP="00040D46">
            <w:pPr>
              <w:keepNext/>
              <w:tabs>
                <w:tab w:val="left" w:pos="562"/>
              </w:tabs>
              <w:suppressAutoHyphens/>
              <w:rPr>
                <w:noProof/>
                <w:sz w:val="22"/>
                <w:szCs w:val="20"/>
              </w:rPr>
            </w:pPr>
          </w:p>
          <w:p w14:paraId="53E66709" w14:textId="77777777" w:rsidR="004462A0" w:rsidRPr="008B0DDF" w:rsidRDefault="00615769" w:rsidP="00040D46">
            <w:pPr>
              <w:keepNext/>
              <w:tabs>
                <w:tab w:val="left" w:pos="562"/>
              </w:tabs>
              <w:suppressAutoHyphens/>
              <w:rPr>
                <w:b/>
                <w:noProof/>
                <w:sz w:val="22"/>
                <w:szCs w:val="20"/>
              </w:rPr>
            </w:pPr>
            <w:r w:rsidRPr="008B0DDF">
              <w:rPr>
                <w:b/>
                <w:noProof/>
                <w:sz w:val="22"/>
                <w:szCs w:val="20"/>
              </w:rPr>
              <w:t>Locais de Injeção</w:t>
            </w:r>
          </w:p>
          <w:p w14:paraId="490BADFE" w14:textId="77777777" w:rsidR="004462A0" w:rsidRPr="008B0DDF" w:rsidRDefault="00615769" w:rsidP="00040D46">
            <w:pPr>
              <w:keepNext/>
              <w:tabs>
                <w:tab w:val="left" w:pos="562"/>
              </w:tabs>
              <w:suppressAutoHyphens/>
              <w:rPr>
                <w:noProof/>
                <w:sz w:val="22"/>
                <w:szCs w:val="20"/>
              </w:rPr>
            </w:pPr>
            <w:r>
              <w:rPr>
                <w:noProof/>
                <w:sz w:val="22"/>
                <w:szCs w:val="20"/>
                <w:lang w:val="en-GB" w:eastAsia="en-GB"/>
              </w:rPr>
              <w:drawing>
                <wp:inline distT="0" distB="0" distL="0" distR="0" wp14:anchorId="7FDC3ED4" wp14:editId="3F63356A">
                  <wp:extent cx="2275840" cy="2385695"/>
                  <wp:effectExtent l="0" t="0" r="0" b="0"/>
                  <wp:docPr id="6" name="Picture 6"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2" descr="STEP3_grey"/>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2275840" cy="2385695"/>
                          </a:xfrm>
                          <a:prstGeom prst="rect">
                            <a:avLst/>
                          </a:prstGeom>
                          <a:noFill/>
                          <a:ln>
                            <a:noFill/>
                          </a:ln>
                        </pic:spPr>
                      </pic:pic>
                    </a:graphicData>
                  </a:graphic>
                </wp:inline>
              </w:drawing>
            </w:r>
          </w:p>
          <w:p w14:paraId="601ECE6D" w14:textId="77777777" w:rsidR="004462A0" w:rsidRPr="008B0DDF" w:rsidRDefault="00615769" w:rsidP="00040D46">
            <w:pPr>
              <w:keepNext/>
              <w:tabs>
                <w:tab w:val="left" w:pos="562"/>
              </w:tabs>
              <w:suppressAutoHyphens/>
              <w:rPr>
                <w:b/>
                <w:sz w:val="22"/>
                <w:szCs w:val="20"/>
              </w:rPr>
            </w:pPr>
            <w:r w:rsidRPr="008B0DDF">
              <w:rPr>
                <w:noProof/>
                <w:sz w:val="22"/>
                <w:szCs w:val="20"/>
              </w:rPr>
              <w:t xml:space="preserve">   </w:t>
            </w:r>
            <w:r w:rsidRPr="008B0DDF">
              <w:rPr>
                <w:b/>
                <w:noProof/>
                <w:sz w:val="22"/>
                <w:szCs w:val="20"/>
              </w:rPr>
              <w:t>Locais de Injeção</w:t>
            </w:r>
          </w:p>
        </w:tc>
        <w:tc>
          <w:tcPr>
            <w:tcW w:w="5579" w:type="dxa"/>
            <w:tcBorders>
              <w:left w:val="nil"/>
            </w:tcBorders>
          </w:tcPr>
          <w:p w14:paraId="18E20DAE" w14:textId="77777777" w:rsidR="004462A0" w:rsidRPr="006462E3" w:rsidRDefault="00615769" w:rsidP="00040D46">
            <w:pPr>
              <w:keepNext/>
              <w:tabs>
                <w:tab w:val="left" w:pos="562"/>
              </w:tabs>
              <w:suppressAutoHyphens/>
              <w:rPr>
                <w:sz w:val="22"/>
                <w:szCs w:val="20"/>
              </w:rPr>
            </w:pPr>
            <w:r w:rsidRPr="004F0FBC">
              <w:rPr>
                <w:sz w:val="22"/>
                <w:szCs w:val="20"/>
              </w:rPr>
              <w:t>Escolha um local de injeção</w:t>
            </w:r>
            <w:r w:rsidRPr="006462E3">
              <w:rPr>
                <w:sz w:val="22"/>
                <w:szCs w:val="20"/>
              </w:rPr>
              <w:t>:</w:t>
            </w:r>
          </w:p>
          <w:p w14:paraId="33339D22" w14:textId="77777777" w:rsidR="004462A0" w:rsidRPr="006462E3" w:rsidRDefault="004462A0" w:rsidP="00040D46">
            <w:pPr>
              <w:keepNext/>
              <w:tabs>
                <w:tab w:val="left" w:pos="562"/>
              </w:tabs>
              <w:suppressAutoHyphens/>
              <w:rPr>
                <w:sz w:val="22"/>
                <w:szCs w:val="20"/>
              </w:rPr>
            </w:pPr>
          </w:p>
          <w:p w14:paraId="5E2001C8" w14:textId="77777777" w:rsidR="004462A0" w:rsidRPr="008B0DDF" w:rsidRDefault="00615769" w:rsidP="00040D46">
            <w:pPr>
              <w:keepNext/>
              <w:numPr>
                <w:ilvl w:val="0"/>
                <w:numId w:val="93"/>
              </w:numPr>
              <w:suppressAutoHyphens/>
              <w:ind w:left="545" w:hanging="545"/>
              <w:rPr>
                <w:sz w:val="22"/>
                <w:szCs w:val="20"/>
              </w:rPr>
            </w:pPr>
            <w:r w:rsidRPr="008B0DDF">
              <w:rPr>
                <w:sz w:val="22"/>
                <w:szCs w:val="20"/>
              </w:rPr>
              <w:t>No cimo da coxa ou</w:t>
            </w:r>
          </w:p>
          <w:p w14:paraId="0CF14D18" w14:textId="77777777" w:rsidR="004462A0" w:rsidRPr="009A05BE" w:rsidRDefault="00615769" w:rsidP="00040D46">
            <w:pPr>
              <w:keepNext/>
              <w:numPr>
                <w:ilvl w:val="0"/>
                <w:numId w:val="93"/>
              </w:numPr>
              <w:suppressAutoHyphens/>
              <w:ind w:left="545" w:hanging="545"/>
              <w:rPr>
                <w:sz w:val="22"/>
                <w:szCs w:val="20"/>
              </w:rPr>
            </w:pPr>
            <w:r w:rsidRPr="00454F99">
              <w:rPr>
                <w:sz w:val="22"/>
                <w:szCs w:val="20"/>
              </w:rPr>
              <w:t>Barriga</w:t>
            </w:r>
            <w:r w:rsidRPr="00AF229F">
              <w:rPr>
                <w:sz w:val="22"/>
                <w:szCs w:val="20"/>
              </w:rPr>
              <w:t xml:space="preserve"> (</w:t>
            </w:r>
            <w:r w:rsidRPr="004F0FBC">
              <w:rPr>
                <w:sz w:val="22"/>
                <w:szCs w:val="20"/>
              </w:rPr>
              <w:t xml:space="preserve">estômago) pelo menos a </w:t>
            </w:r>
            <w:r w:rsidRPr="006462E3">
              <w:rPr>
                <w:sz w:val="22"/>
                <w:szCs w:val="20"/>
              </w:rPr>
              <w:t>5 cm</w:t>
            </w:r>
            <w:r w:rsidR="006B7CB4">
              <w:rPr>
                <w:sz w:val="22"/>
                <w:szCs w:val="20"/>
              </w:rPr>
              <w:t xml:space="preserve"> do</w:t>
            </w:r>
            <w:r w:rsidRPr="006462E3">
              <w:rPr>
                <w:sz w:val="22"/>
                <w:szCs w:val="20"/>
              </w:rPr>
              <w:t xml:space="preserve"> umbigo</w:t>
            </w:r>
          </w:p>
          <w:p w14:paraId="202759BA" w14:textId="77777777" w:rsidR="004462A0" w:rsidRPr="004931CE" w:rsidRDefault="00615769" w:rsidP="00040D46">
            <w:pPr>
              <w:keepNext/>
              <w:numPr>
                <w:ilvl w:val="0"/>
                <w:numId w:val="93"/>
              </w:numPr>
              <w:suppressAutoHyphens/>
              <w:ind w:left="545" w:hanging="545"/>
              <w:rPr>
                <w:sz w:val="22"/>
                <w:szCs w:val="20"/>
              </w:rPr>
            </w:pPr>
            <w:r w:rsidRPr="00854C93">
              <w:rPr>
                <w:sz w:val="22"/>
                <w:szCs w:val="20"/>
              </w:rPr>
              <w:t xml:space="preserve">Pelo menos a </w:t>
            </w:r>
            <w:r w:rsidRPr="0089156B">
              <w:rPr>
                <w:sz w:val="22"/>
                <w:szCs w:val="20"/>
              </w:rPr>
              <w:t xml:space="preserve">3 cm </w:t>
            </w:r>
            <w:r w:rsidRPr="000B3FE3">
              <w:rPr>
                <w:sz w:val="22"/>
                <w:szCs w:val="20"/>
              </w:rPr>
              <w:t>de distância do local da última injeção</w:t>
            </w:r>
          </w:p>
          <w:p w14:paraId="20A9FD67" w14:textId="77777777" w:rsidR="004462A0" w:rsidRPr="00653128" w:rsidRDefault="004462A0" w:rsidP="00040D46">
            <w:pPr>
              <w:keepNext/>
              <w:tabs>
                <w:tab w:val="left" w:pos="562"/>
              </w:tabs>
              <w:suppressAutoHyphens/>
              <w:rPr>
                <w:sz w:val="22"/>
                <w:szCs w:val="20"/>
              </w:rPr>
            </w:pPr>
          </w:p>
          <w:p w14:paraId="346B212D" w14:textId="77777777" w:rsidR="004462A0" w:rsidRPr="008B0DDF" w:rsidRDefault="00615769" w:rsidP="00040D46">
            <w:pPr>
              <w:keepNext/>
              <w:tabs>
                <w:tab w:val="left" w:pos="562"/>
              </w:tabs>
              <w:suppressAutoHyphens/>
              <w:rPr>
                <w:sz w:val="22"/>
                <w:szCs w:val="20"/>
              </w:rPr>
            </w:pPr>
            <w:r w:rsidRPr="00D33370">
              <w:rPr>
                <w:sz w:val="22"/>
                <w:szCs w:val="20"/>
              </w:rPr>
              <w:t xml:space="preserve">Limpe o local da </w:t>
            </w:r>
            <w:r w:rsidRPr="002D4DE5">
              <w:rPr>
                <w:sz w:val="22"/>
                <w:szCs w:val="20"/>
              </w:rPr>
              <w:t>inje</w:t>
            </w:r>
            <w:r w:rsidRPr="005F6F98">
              <w:rPr>
                <w:sz w:val="22"/>
                <w:szCs w:val="20"/>
              </w:rPr>
              <w:t>ção usando a compressa embebida em álcool</w:t>
            </w:r>
            <w:r w:rsidRPr="002B2441">
              <w:rPr>
                <w:sz w:val="22"/>
                <w:szCs w:val="20"/>
              </w:rPr>
              <w:t xml:space="preserve"> com movimentos circulares</w:t>
            </w:r>
            <w:r w:rsidRPr="00B830EC">
              <w:rPr>
                <w:sz w:val="22"/>
                <w:szCs w:val="20"/>
              </w:rPr>
              <w:t>.</w:t>
            </w:r>
          </w:p>
          <w:p w14:paraId="0CE47D23" w14:textId="77777777" w:rsidR="004462A0" w:rsidRPr="008B0DDF" w:rsidRDefault="004462A0" w:rsidP="00040D46">
            <w:pPr>
              <w:keepNext/>
              <w:tabs>
                <w:tab w:val="left" w:pos="562"/>
              </w:tabs>
              <w:suppressAutoHyphens/>
              <w:rPr>
                <w:sz w:val="22"/>
                <w:szCs w:val="20"/>
              </w:rPr>
            </w:pPr>
          </w:p>
          <w:p w14:paraId="34A16DA0" w14:textId="77777777" w:rsidR="004462A0" w:rsidRPr="008B0DDF" w:rsidRDefault="00615769" w:rsidP="00040D46">
            <w:pPr>
              <w:keepNext/>
              <w:numPr>
                <w:ilvl w:val="0"/>
                <w:numId w:val="94"/>
              </w:numPr>
              <w:suppressAutoHyphens/>
              <w:ind w:left="545" w:hanging="545"/>
              <w:rPr>
                <w:sz w:val="22"/>
                <w:szCs w:val="20"/>
              </w:rPr>
            </w:pPr>
            <w:r w:rsidRPr="008B0DDF">
              <w:rPr>
                <w:b/>
                <w:sz w:val="22"/>
                <w:szCs w:val="20"/>
              </w:rPr>
              <w:t>Não</w:t>
            </w:r>
            <w:r w:rsidRPr="008B0DDF">
              <w:rPr>
                <w:sz w:val="22"/>
                <w:szCs w:val="20"/>
              </w:rPr>
              <w:t xml:space="preserve"> injete através da roupa</w:t>
            </w:r>
          </w:p>
          <w:p w14:paraId="2FF758A9" w14:textId="77777777" w:rsidR="004462A0" w:rsidRPr="00D33370" w:rsidRDefault="00615769" w:rsidP="00040D46">
            <w:pPr>
              <w:keepNext/>
              <w:numPr>
                <w:ilvl w:val="0"/>
                <w:numId w:val="94"/>
              </w:numPr>
              <w:suppressAutoHyphens/>
              <w:ind w:left="545" w:hanging="545"/>
              <w:rPr>
                <w:sz w:val="22"/>
                <w:szCs w:val="20"/>
              </w:rPr>
            </w:pPr>
            <w:r w:rsidRPr="008B0DDF">
              <w:rPr>
                <w:b/>
                <w:sz w:val="22"/>
                <w:szCs w:val="20"/>
              </w:rPr>
              <w:t xml:space="preserve">Não </w:t>
            </w:r>
            <w:r w:rsidRPr="008B0DDF">
              <w:rPr>
                <w:sz w:val="22"/>
                <w:szCs w:val="20"/>
              </w:rPr>
              <w:t>injete numa área em que a pele esteja dorida,</w:t>
            </w:r>
            <w:r>
              <w:rPr>
                <w:sz w:val="22"/>
                <w:szCs w:val="20"/>
              </w:rPr>
              <w:t xml:space="preserve"> </w:t>
            </w:r>
            <w:r w:rsidRPr="00854C93">
              <w:rPr>
                <w:sz w:val="22"/>
                <w:szCs w:val="20"/>
              </w:rPr>
              <w:t>ferida,</w:t>
            </w:r>
            <w:r w:rsidRPr="000B3FE3">
              <w:rPr>
                <w:sz w:val="22"/>
                <w:szCs w:val="20"/>
              </w:rPr>
              <w:t xml:space="preserve"> avermelhada, </w:t>
            </w:r>
            <w:r w:rsidRPr="004931CE">
              <w:rPr>
                <w:sz w:val="22"/>
                <w:szCs w:val="20"/>
              </w:rPr>
              <w:t>endurecida</w:t>
            </w:r>
            <w:r w:rsidRPr="00653128">
              <w:rPr>
                <w:sz w:val="22"/>
                <w:szCs w:val="20"/>
              </w:rPr>
              <w:t>, tenha estrias ou áreas com placas de psoríase</w:t>
            </w:r>
          </w:p>
        </w:tc>
      </w:tr>
      <w:tr w:rsidR="00A7162A" w14:paraId="47859AE4" w14:textId="77777777" w:rsidTr="00F675CF">
        <w:tc>
          <w:tcPr>
            <w:tcW w:w="3708" w:type="dxa"/>
            <w:tcBorders>
              <w:right w:val="nil"/>
            </w:tcBorders>
          </w:tcPr>
          <w:p w14:paraId="0D4A5D71" w14:textId="77777777" w:rsidR="004462A0" w:rsidRPr="00CC22DA" w:rsidRDefault="00615769" w:rsidP="001F27FE">
            <w:pPr>
              <w:keepNext/>
              <w:tabs>
                <w:tab w:val="left" w:pos="562"/>
              </w:tabs>
              <w:suppressAutoHyphens/>
              <w:rPr>
                <w:noProof/>
                <w:sz w:val="22"/>
                <w:szCs w:val="20"/>
              </w:rPr>
            </w:pPr>
            <w:r w:rsidRPr="008B0DDF">
              <w:rPr>
                <w:b/>
                <w:noProof/>
                <w:sz w:val="22"/>
                <w:szCs w:val="20"/>
              </w:rPr>
              <w:t>PASSO 4</w:t>
            </w:r>
          </w:p>
          <w:p w14:paraId="78EF6D79" w14:textId="77777777" w:rsidR="004462A0" w:rsidRPr="00CC22DA" w:rsidRDefault="004462A0" w:rsidP="001F27FE">
            <w:pPr>
              <w:keepNext/>
              <w:tabs>
                <w:tab w:val="left" w:pos="562"/>
              </w:tabs>
              <w:suppressAutoHyphens/>
              <w:rPr>
                <w:noProof/>
                <w:sz w:val="22"/>
                <w:szCs w:val="20"/>
              </w:rPr>
            </w:pPr>
          </w:p>
          <w:p w14:paraId="1447A85B" w14:textId="77777777" w:rsidR="00AF237A" w:rsidRDefault="00615769" w:rsidP="001F27FE">
            <w:pPr>
              <w:keepNext/>
              <w:tabs>
                <w:tab w:val="left" w:pos="562"/>
              </w:tabs>
              <w:suppressAutoHyphens/>
              <w:rPr>
                <w:sz w:val="22"/>
                <w:szCs w:val="20"/>
              </w:rPr>
            </w:pPr>
            <w:r>
              <w:rPr>
                <w:b/>
                <w:noProof/>
                <w:szCs w:val="20"/>
                <w:lang w:val="en-GB" w:eastAsia="en-GB"/>
              </w:rPr>
              <w:drawing>
                <wp:inline distT="0" distB="0" distL="0" distR="0" wp14:anchorId="5C04FAA6" wp14:editId="461095A9">
                  <wp:extent cx="2011680" cy="1563624"/>
                  <wp:effectExtent l="0" t="0" r="762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STEP_4_SYRINGE_IFU_UNCAP_new grey.jpg"/>
                          <pic:cNvPicPr/>
                        </pic:nvPicPr>
                        <pic:blipFill>
                          <a:blip r:embed="rId26">
                            <a:extLst>
                              <a:ext uri="{28A0092B-C50C-407E-A947-70E740481C1C}">
                                <a14:useLocalDpi xmlns:a14="http://schemas.microsoft.com/office/drawing/2010/main" val="0"/>
                              </a:ext>
                            </a:extLst>
                          </a:blip>
                          <a:stretch>
                            <a:fillRect/>
                          </a:stretch>
                        </pic:blipFill>
                        <pic:spPr>
                          <a:xfrm>
                            <a:off x="0" y="0"/>
                            <a:ext cx="2011680" cy="1563624"/>
                          </a:xfrm>
                          <a:prstGeom prst="rect">
                            <a:avLst/>
                          </a:prstGeom>
                        </pic:spPr>
                      </pic:pic>
                    </a:graphicData>
                  </a:graphic>
                </wp:inline>
              </w:drawing>
            </w:r>
          </w:p>
          <w:p w14:paraId="1C126608" w14:textId="77777777" w:rsidR="00AF237A" w:rsidRPr="008B0DDF" w:rsidRDefault="00AF237A" w:rsidP="001F27FE">
            <w:pPr>
              <w:keepNext/>
              <w:tabs>
                <w:tab w:val="left" w:pos="562"/>
              </w:tabs>
              <w:suppressAutoHyphens/>
              <w:rPr>
                <w:sz w:val="22"/>
                <w:szCs w:val="20"/>
              </w:rPr>
            </w:pPr>
          </w:p>
        </w:tc>
        <w:tc>
          <w:tcPr>
            <w:tcW w:w="5579" w:type="dxa"/>
            <w:tcBorders>
              <w:left w:val="nil"/>
            </w:tcBorders>
          </w:tcPr>
          <w:p w14:paraId="08E0F283" w14:textId="77777777" w:rsidR="004462A0" w:rsidRPr="009A05BE" w:rsidRDefault="00615769" w:rsidP="001F27FE">
            <w:pPr>
              <w:keepNext/>
              <w:tabs>
                <w:tab w:val="left" w:pos="562"/>
              </w:tabs>
              <w:suppressAutoHyphens/>
              <w:rPr>
                <w:sz w:val="22"/>
                <w:szCs w:val="20"/>
              </w:rPr>
            </w:pPr>
            <w:r w:rsidRPr="00454F99">
              <w:rPr>
                <w:sz w:val="22"/>
                <w:szCs w:val="20"/>
              </w:rPr>
              <w:t xml:space="preserve">Segure na </w:t>
            </w:r>
            <w:r>
              <w:rPr>
                <w:sz w:val="22"/>
                <w:szCs w:val="20"/>
              </w:rPr>
              <w:t>seringa</w:t>
            </w:r>
            <w:r w:rsidRPr="00454F99">
              <w:rPr>
                <w:sz w:val="22"/>
                <w:szCs w:val="20"/>
              </w:rPr>
              <w:t xml:space="preserve"> pré-cheia com </w:t>
            </w:r>
            <w:r>
              <w:rPr>
                <w:sz w:val="22"/>
                <w:szCs w:val="20"/>
              </w:rPr>
              <w:t>uma das mãos</w:t>
            </w:r>
            <w:r w:rsidR="00CC22DA">
              <w:rPr>
                <w:sz w:val="22"/>
                <w:szCs w:val="20"/>
              </w:rPr>
              <w:t>.</w:t>
            </w:r>
          </w:p>
          <w:p w14:paraId="38C44882" w14:textId="77777777" w:rsidR="004462A0" w:rsidRPr="00854C93" w:rsidRDefault="004462A0" w:rsidP="001F27FE">
            <w:pPr>
              <w:keepNext/>
              <w:tabs>
                <w:tab w:val="left" w:pos="562"/>
              </w:tabs>
              <w:suppressAutoHyphens/>
              <w:rPr>
                <w:sz w:val="22"/>
                <w:szCs w:val="20"/>
              </w:rPr>
            </w:pPr>
          </w:p>
          <w:p w14:paraId="5D1E708D" w14:textId="77777777" w:rsidR="004462A0" w:rsidRPr="000B3FE3" w:rsidRDefault="00615769" w:rsidP="001F27FE">
            <w:pPr>
              <w:keepNext/>
              <w:tabs>
                <w:tab w:val="left" w:pos="562"/>
              </w:tabs>
              <w:suppressAutoHyphens/>
              <w:rPr>
                <w:sz w:val="22"/>
                <w:szCs w:val="20"/>
              </w:rPr>
            </w:pPr>
            <w:r w:rsidRPr="0089156B">
              <w:rPr>
                <w:sz w:val="22"/>
                <w:szCs w:val="20"/>
              </w:rPr>
              <w:t xml:space="preserve">Verifique </w:t>
            </w:r>
            <w:r>
              <w:rPr>
                <w:sz w:val="22"/>
                <w:szCs w:val="20"/>
              </w:rPr>
              <w:t>o líquido na seringa pré-cheia</w:t>
            </w:r>
            <w:r w:rsidRPr="000B3FE3">
              <w:rPr>
                <w:sz w:val="22"/>
                <w:szCs w:val="20"/>
              </w:rPr>
              <w:t>.</w:t>
            </w:r>
          </w:p>
          <w:p w14:paraId="73D0BC71" w14:textId="77777777" w:rsidR="004462A0" w:rsidRPr="004931CE" w:rsidRDefault="004462A0" w:rsidP="001F27FE">
            <w:pPr>
              <w:keepNext/>
              <w:tabs>
                <w:tab w:val="left" w:pos="562"/>
              </w:tabs>
              <w:suppressAutoHyphens/>
              <w:rPr>
                <w:sz w:val="22"/>
                <w:szCs w:val="20"/>
              </w:rPr>
            </w:pPr>
          </w:p>
          <w:p w14:paraId="29DA387C" w14:textId="77777777" w:rsidR="004462A0" w:rsidRPr="008B0DDF" w:rsidRDefault="00615769" w:rsidP="001F27FE">
            <w:pPr>
              <w:keepNext/>
              <w:numPr>
                <w:ilvl w:val="0"/>
                <w:numId w:val="95"/>
              </w:numPr>
              <w:suppressAutoHyphens/>
              <w:ind w:left="545" w:hanging="545"/>
              <w:rPr>
                <w:sz w:val="22"/>
                <w:szCs w:val="20"/>
              </w:rPr>
            </w:pPr>
            <w:r w:rsidRPr="002B2441">
              <w:rPr>
                <w:sz w:val="22"/>
                <w:szCs w:val="20"/>
              </w:rPr>
              <w:t>Assegure</w:t>
            </w:r>
            <w:r w:rsidRPr="00B830EC">
              <w:rPr>
                <w:sz w:val="22"/>
                <w:szCs w:val="20"/>
              </w:rPr>
              <w:t>-se que a solução está límpida e incolor</w:t>
            </w:r>
          </w:p>
          <w:p w14:paraId="33B5A339" w14:textId="77777777" w:rsidR="004462A0" w:rsidRPr="008B0DDF" w:rsidRDefault="00615769" w:rsidP="001F27FE">
            <w:pPr>
              <w:keepNext/>
              <w:numPr>
                <w:ilvl w:val="0"/>
                <w:numId w:val="95"/>
              </w:numPr>
              <w:suppressAutoHyphens/>
              <w:ind w:left="545" w:hanging="545"/>
              <w:rPr>
                <w:sz w:val="22"/>
                <w:szCs w:val="20"/>
              </w:rPr>
            </w:pPr>
            <w:r w:rsidRPr="008B0DDF">
              <w:rPr>
                <w:b/>
                <w:sz w:val="22"/>
                <w:szCs w:val="20"/>
              </w:rPr>
              <w:t>Não</w:t>
            </w:r>
            <w:r w:rsidRPr="008B0DDF">
              <w:rPr>
                <w:sz w:val="22"/>
                <w:szCs w:val="20"/>
              </w:rPr>
              <w:t xml:space="preserve"> use a </w:t>
            </w:r>
            <w:r>
              <w:rPr>
                <w:sz w:val="22"/>
                <w:szCs w:val="20"/>
              </w:rPr>
              <w:t>seringa pré-cheia</w:t>
            </w:r>
            <w:r w:rsidRPr="008B0DDF">
              <w:rPr>
                <w:sz w:val="22"/>
                <w:szCs w:val="20"/>
              </w:rPr>
              <w:t xml:space="preserve"> se a solução estiver turva ou tiver partículas</w:t>
            </w:r>
          </w:p>
          <w:p w14:paraId="5A4381B2" w14:textId="77777777" w:rsidR="004462A0" w:rsidRDefault="00615769" w:rsidP="001F27FE">
            <w:pPr>
              <w:keepNext/>
              <w:numPr>
                <w:ilvl w:val="0"/>
                <w:numId w:val="95"/>
              </w:numPr>
              <w:suppressAutoHyphens/>
              <w:ind w:left="545" w:hanging="545"/>
              <w:rPr>
                <w:sz w:val="22"/>
                <w:szCs w:val="20"/>
              </w:rPr>
            </w:pPr>
            <w:r w:rsidRPr="008B0DDF">
              <w:rPr>
                <w:b/>
                <w:sz w:val="22"/>
                <w:szCs w:val="20"/>
              </w:rPr>
              <w:t xml:space="preserve">Não </w:t>
            </w:r>
            <w:r w:rsidRPr="008B0DDF">
              <w:rPr>
                <w:sz w:val="22"/>
                <w:szCs w:val="20"/>
              </w:rPr>
              <w:t xml:space="preserve">use a </w:t>
            </w:r>
            <w:r>
              <w:rPr>
                <w:sz w:val="22"/>
                <w:szCs w:val="20"/>
              </w:rPr>
              <w:t>seringa</w:t>
            </w:r>
            <w:r w:rsidRPr="008B0DDF">
              <w:rPr>
                <w:sz w:val="22"/>
                <w:szCs w:val="20"/>
              </w:rPr>
              <w:t xml:space="preserve"> pré-cheia se </w:t>
            </w:r>
            <w:r w:rsidR="002E4828">
              <w:rPr>
                <w:sz w:val="22"/>
                <w:szCs w:val="20"/>
              </w:rPr>
              <w:t>tiver caído</w:t>
            </w:r>
            <w:r w:rsidR="002E4828" w:rsidRPr="008B0DDF">
              <w:rPr>
                <w:sz w:val="22"/>
                <w:szCs w:val="20"/>
              </w:rPr>
              <w:t xml:space="preserve"> </w:t>
            </w:r>
            <w:r w:rsidRPr="008B0DDF">
              <w:rPr>
                <w:sz w:val="22"/>
                <w:szCs w:val="20"/>
              </w:rPr>
              <w:t>ou estiver danificada</w:t>
            </w:r>
          </w:p>
          <w:p w14:paraId="6AD36825" w14:textId="77777777" w:rsidR="004462A0" w:rsidRDefault="004462A0" w:rsidP="001F27FE">
            <w:pPr>
              <w:keepNext/>
              <w:tabs>
                <w:tab w:val="left" w:pos="562"/>
                <w:tab w:val="left" w:pos="757"/>
              </w:tabs>
              <w:suppressAutoHyphens/>
              <w:rPr>
                <w:sz w:val="22"/>
                <w:szCs w:val="20"/>
              </w:rPr>
            </w:pPr>
          </w:p>
          <w:p w14:paraId="4B4F5584" w14:textId="77777777" w:rsidR="004462A0" w:rsidRDefault="00615769" w:rsidP="001F27FE">
            <w:pPr>
              <w:keepNext/>
              <w:tabs>
                <w:tab w:val="left" w:pos="562"/>
                <w:tab w:val="left" w:pos="757"/>
              </w:tabs>
              <w:suppressAutoHyphens/>
              <w:rPr>
                <w:sz w:val="22"/>
                <w:szCs w:val="20"/>
              </w:rPr>
            </w:pPr>
            <w:r>
              <w:rPr>
                <w:sz w:val="22"/>
                <w:szCs w:val="20"/>
              </w:rPr>
              <w:t>Com a outra mão retire a tampa de proteção da agulha com muito cuidado. Deite fora a tampa de proteção da agulha. Não volte a colocar a tampa.</w:t>
            </w:r>
          </w:p>
          <w:p w14:paraId="3D908F61" w14:textId="77777777" w:rsidR="004462A0" w:rsidRDefault="004462A0" w:rsidP="001F27FE">
            <w:pPr>
              <w:keepNext/>
              <w:tabs>
                <w:tab w:val="left" w:pos="562"/>
                <w:tab w:val="left" w:pos="757"/>
              </w:tabs>
              <w:suppressAutoHyphens/>
              <w:rPr>
                <w:sz w:val="22"/>
                <w:szCs w:val="20"/>
              </w:rPr>
            </w:pPr>
          </w:p>
          <w:p w14:paraId="6DD961B0" w14:textId="77777777" w:rsidR="004462A0" w:rsidRPr="008B0DDF" w:rsidRDefault="00615769" w:rsidP="001F27FE">
            <w:pPr>
              <w:keepNext/>
              <w:numPr>
                <w:ilvl w:val="0"/>
                <w:numId w:val="111"/>
              </w:numPr>
              <w:suppressAutoHyphens/>
              <w:ind w:left="545" w:hanging="545"/>
              <w:rPr>
                <w:sz w:val="22"/>
                <w:szCs w:val="20"/>
              </w:rPr>
            </w:pPr>
            <w:r w:rsidRPr="00C6420B">
              <w:rPr>
                <w:b/>
                <w:sz w:val="22"/>
                <w:szCs w:val="20"/>
              </w:rPr>
              <w:t>Não</w:t>
            </w:r>
            <w:r>
              <w:rPr>
                <w:sz w:val="22"/>
                <w:szCs w:val="20"/>
              </w:rPr>
              <w:t xml:space="preserve"> toque na agulha com os dedos e não permita que esta toque em qualquer superfície</w:t>
            </w:r>
          </w:p>
        </w:tc>
      </w:tr>
      <w:tr w:rsidR="00A7162A" w14:paraId="24BCFA2C" w14:textId="77777777" w:rsidTr="00F675CF">
        <w:tc>
          <w:tcPr>
            <w:tcW w:w="3708" w:type="dxa"/>
            <w:tcBorders>
              <w:right w:val="nil"/>
            </w:tcBorders>
          </w:tcPr>
          <w:p w14:paraId="6B9403B4" w14:textId="77777777" w:rsidR="004462A0" w:rsidRPr="008B0DDF" w:rsidRDefault="00615769" w:rsidP="00F675CF">
            <w:pPr>
              <w:keepNext/>
              <w:tabs>
                <w:tab w:val="left" w:pos="562"/>
              </w:tabs>
              <w:suppressAutoHyphens/>
              <w:rPr>
                <w:noProof/>
                <w:sz w:val="22"/>
                <w:szCs w:val="20"/>
              </w:rPr>
            </w:pPr>
            <w:r w:rsidRPr="008B0DDF">
              <w:rPr>
                <w:b/>
                <w:noProof/>
                <w:sz w:val="22"/>
                <w:szCs w:val="20"/>
              </w:rPr>
              <w:t>PASSO 5</w:t>
            </w:r>
          </w:p>
          <w:p w14:paraId="285EF94B" w14:textId="77777777" w:rsidR="004462A0" w:rsidRPr="008B0DDF" w:rsidRDefault="004462A0" w:rsidP="00F675CF">
            <w:pPr>
              <w:keepNext/>
              <w:tabs>
                <w:tab w:val="left" w:pos="562"/>
              </w:tabs>
              <w:suppressAutoHyphens/>
              <w:rPr>
                <w:noProof/>
                <w:sz w:val="22"/>
                <w:szCs w:val="20"/>
              </w:rPr>
            </w:pPr>
          </w:p>
          <w:p w14:paraId="5E8E711C" w14:textId="77777777" w:rsidR="004462A0" w:rsidRPr="008B0DDF" w:rsidRDefault="00615769" w:rsidP="00F675CF">
            <w:pPr>
              <w:keepNext/>
              <w:tabs>
                <w:tab w:val="left" w:pos="562"/>
              </w:tabs>
              <w:suppressAutoHyphens/>
              <w:rPr>
                <w:b/>
                <w:sz w:val="22"/>
                <w:szCs w:val="20"/>
              </w:rPr>
            </w:pPr>
            <w:r w:rsidRPr="008B0DDF">
              <w:rPr>
                <w:noProof/>
                <w:sz w:val="22"/>
                <w:szCs w:val="20"/>
              </w:rPr>
              <w:t xml:space="preserve"> </w:t>
            </w:r>
            <w:r>
              <w:rPr>
                <w:noProof/>
                <w:lang w:val="en-GB" w:eastAsia="en-GB"/>
              </w:rPr>
              <w:drawing>
                <wp:inline distT="0" distB="0" distL="0" distR="0" wp14:anchorId="054A48B1" wp14:editId="0DD36F0B">
                  <wp:extent cx="1987550" cy="1967865"/>
                  <wp:effectExtent l="0" t="0" r="0" b="0"/>
                  <wp:docPr id="4" name="Picture 4"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STEP_5_SYRINGE_IFU_FILLING_grey"/>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987550" cy="1967865"/>
                          </a:xfrm>
                          <a:prstGeom prst="rect">
                            <a:avLst/>
                          </a:prstGeom>
                          <a:noFill/>
                          <a:ln>
                            <a:noFill/>
                          </a:ln>
                        </pic:spPr>
                      </pic:pic>
                    </a:graphicData>
                  </a:graphic>
                </wp:inline>
              </w:drawing>
            </w:r>
            <w:r w:rsidRPr="008B0DDF">
              <w:rPr>
                <w:b/>
                <w:noProof/>
                <w:sz w:val="22"/>
                <w:szCs w:val="20"/>
              </w:rPr>
              <w:t xml:space="preserve">                                            </w:t>
            </w:r>
          </w:p>
        </w:tc>
        <w:tc>
          <w:tcPr>
            <w:tcW w:w="5579" w:type="dxa"/>
            <w:tcBorders>
              <w:left w:val="nil"/>
            </w:tcBorders>
          </w:tcPr>
          <w:p w14:paraId="19962839" w14:textId="77777777" w:rsidR="004462A0" w:rsidRPr="009A05BE" w:rsidRDefault="00615769" w:rsidP="00F675CF">
            <w:pPr>
              <w:keepNext/>
              <w:tabs>
                <w:tab w:val="left" w:pos="562"/>
              </w:tabs>
              <w:suppressAutoHyphens/>
              <w:rPr>
                <w:sz w:val="22"/>
                <w:szCs w:val="20"/>
              </w:rPr>
            </w:pPr>
            <w:r>
              <w:rPr>
                <w:sz w:val="22"/>
                <w:szCs w:val="20"/>
              </w:rPr>
              <w:t>Segure a seringa pré-cheia com a agulha na vertical.</w:t>
            </w:r>
          </w:p>
          <w:p w14:paraId="3091DF83" w14:textId="77777777" w:rsidR="004462A0" w:rsidRPr="00854C93" w:rsidRDefault="004462A0" w:rsidP="00F675CF">
            <w:pPr>
              <w:keepNext/>
              <w:tabs>
                <w:tab w:val="left" w:pos="562"/>
              </w:tabs>
              <w:suppressAutoHyphens/>
              <w:rPr>
                <w:sz w:val="22"/>
                <w:szCs w:val="20"/>
              </w:rPr>
            </w:pPr>
          </w:p>
          <w:p w14:paraId="67385F08" w14:textId="77777777" w:rsidR="004462A0" w:rsidRPr="00653128" w:rsidRDefault="00615769" w:rsidP="00F675CF">
            <w:pPr>
              <w:keepNext/>
              <w:numPr>
                <w:ilvl w:val="0"/>
                <w:numId w:val="96"/>
              </w:numPr>
              <w:suppressAutoHyphens/>
              <w:ind w:left="545" w:hanging="545"/>
              <w:rPr>
                <w:sz w:val="22"/>
                <w:szCs w:val="20"/>
              </w:rPr>
            </w:pPr>
            <w:r>
              <w:rPr>
                <w:sz w:val="22"/>
                <w:szCs w:val="20"/>
              </w:rPr>
              <w:t>Com uma das mãos, segure a seringa pré-cheia ao nível dos olhos de modo a poder observar o ar na seringa</w:t>
            </w:r>
          </w:p>
          <w:p w14:paraId="78A2A9D1" w14:textId="77777777" w:rsidR="004462A0" w:rsidRPr="002B2441" w:rsidRDefault="004462A0" w:rsidP="00F675CF">
            <w:pPr>
              <w:keepNext/>
              <w:tabs>
                <w:tab w:val="left" w:pos="562"/>
              </w:tabs>
              <w:suppressAutoHyphens/>
              <w:rPr>
                <w:sz w:val="22"/>
                <w:szCs w:val="20"/>
              </w:rPr>
            </w:pPr>
          </w:p>
          <w:p w14:paraId="1359B70E" w14:textId="77777777" w:rsidR="004462A0" w:rsidRDefault="00615769" w:rsidP="00F675CF">
            <w:pPr>
              <w:keepNext/>
              <w:tabs>
                <w:tab w:val="left" w:pos="562"/>
              </w:tabs>
              <w:suppressAutoHyphens/>
              <w:rPr>
                <w:sz w:val="22"/>
                <w:szCs w:val="20"/>
              </w:rPr>
            </w:pPr>
            <w:r>
              <w:rPr>
                <w:sz w:val="22"/>
                <w:szCs w:val="20"/>
              </w:rPr>
              <w:t>Empurre lentamente o êmbolo para empurrar o ar para fora através da agulha.</w:t>
            </w:r>
          </w:p>
          <w:p w14:paraId="73D05EF0" w14:textId="77777777" w:rsidR="004462A0" w:rsidRDefault="004462A0" w:rsidP="00F675CF">
            <w:pPr>
              <w:keepNext/>
              <w:tabs>
                <w:tab w:val="left" w:pos="562"/>
              </w:tabs>
              <w:suppressAutoHyphens/>
              <w:rPr>
                <w:sz w:val="22"/>
                <w:szCs w:val="20"/>
              </w:rPr>
            </w:pPr>
          </w:p>
          <w:p w14:paraId="1BD708A3" w14:textId="77777777" w:rsidR="004462A0" w:rsidRPr="002B2441" w:rsidRDefault="00615769" w:rsidP="00F675CF">
            <w:pPr>
              <w:keepNext/>
              <w:numPr>
                <w:ilvl w:val="0"/>
                <w:numId w:val="96"/>
              </w:numPr>
              <w:suppressAutoHyphens/>
              <w:ind w:left="545" w:hanging="545"/>
              <w:rPr>
                <w:sz w:val="22"/>
                <w:szCs w:val="20"/>
              </w:rPr>
            </w:pPr>
            <w:r w:rsidRPr="00D33370">
              <w:rPr>
                <w:sz w:val="22"/>
                <w:szCs w:val="20"/>
              </w:rPr>
              <w:t>É normal observar</w:t>
            </w:r>
            <w:r w:rsidRPr="002D4DE5">
              <w:rPr>
                <w:sz w:val="22"/>
                <w:szCs w:val="20"/>
              </w:rPr>
              <w:t>-se</w:t>
            </w:r>
            <w:r w:rsidRPr="00003560">
              <w:rPr>
                <w:sz w:val="22"/>
                <w:szCs w:val="20"/>
              </w:rPr>
              <w:t xml:space="preserve"> algumas gotas de </w:t>
            </w:r>
            <w:r w:rsidRPr="005F6F98">
              <w:rPr>
                <w:sz w:val="22"/>
                <w:szCs w:val="20"/>
              </w:rPr>
              <w:t>solução na agulha</w:t>
            </w:r>
          </w:p>
          <w:p w14:paraId="23731AFA" w14:textId="77777777" w:rsidR="004462A0" w:rsidRPr="000B3FE3" w:rsidRDefault="004462A0" w:rsidP="00F675CF">
            <w:pPr>
              <w:keepNext/>
              <w:tabs>
                <w:tab w:val="left" w:pos="562"/>
              </w:tabs>
              <w:suppressAutoHyphens/>
              <w:rPr>
                <w:sz w:val="22"/>
                <w:szCs w:val="20"/>
              </w:rPr>
            </w:pPr>
          </w:p>
          <w:p w14:paraId="11DEA06C" w14:textId="77777777" w:rsidR="004462A0" w:rsidRPr="002B2441" w:rsidRDefault="004462A0" w:rsidP="00F675CF">
            <w:pPr>
              <w:keepNext/>
              <w:tabs>
                <w:tab w:val="left" w:pos="562"/>
              </w:tabs>
              <w:suppressAutoHyphens/>
              <w:rPr>
                <w:sz w:val="22"/>
                <w:szCs w:val="20"/>
              </w:rPr>
            </w:pPr>
          </w:p>
        </w:tc>
      </w:tr>
      <w:tr w:rsidR="00A7162A" w14:paraId="55AF1A63" w14:textId="77777777" w:rsidTr="00F675CF">
        <w:tc>
          <w:tcPr>
            <w:tcW w:w="3708" w:type="dxa"/>
            <w:tcBorders>
              <w:right w:val="nil"/>
            </w:tcBorders>
          </w:tcPr>
          <w:p w14:paraId="00D62089" w14:textId="77777777" w:rsidR="004462A0" w:rsidRPr="00CC22DA" w:rsidRDefault="00615769" w:rsidP="00040D46">
            <w:pPr>
              <w:keepNext/>
              <w:tabs>
                <w:tab w:val="left" w:pos="562"/>
              </w:tabs>
              <w:suppressAutoHyphens/>
              <w:rPr>
                <w:noProof/>
                <w:sz w:val="22"/>
                <w:szCs w:val="20"/>
              </w:rPr>
            </w:pPr>
            <w:r w:rsidRPr="008B0DDF">
              <w:rPr>
                <w:b/>
                <w:noProof/>
                <w:sz w:val="22"/>
                <w:szCs w:val="20"/>
              </w:rPr>
              <w:t>PASSO 6</w:t>
            </w:r>
          </w:p>
          <w:p w14:paraId="31AAE43D" w14:textId="77777777" w:rsidR="004462A0" w:rsidRPr="008B0DDF" w:rsidRDefault="00615769" w:rsidP="00040D46">
            <w:pPr>
              <w:keepNext/>
              <w:tabs>
                <w:tab w:val="left" w:pos="562"/>
              </w:tabs>
              <w:suppressAutoHyphens/>
              <w:rPr>
                <w:sz w:val="22"/>
                <w:szCs w:val="20"/>
              </w:rPr>
            </w:pPr>
            <w:r>
              <w:rPr>
                <w:noProof/>
                <w:lang w:val="en-GB" w:eastAsia="en-GB"/>
              </w:rPr>
              <w:drawing>
                <wp:inline distT="0" distB="0" distL="0" distR="0" wp14:anchorId="0357AA14" wp14:editId="552473C4">
                  <wp:extent cx="2245995" cy="2146935"/>
                  <wp:effectExtent l="0" t="0" r="1905" b="5715"/>
                  <wp:docPr id="3" name="Picture 3"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7" descr="STEP_6_SYRINGE_IFU_PRE-INJECTION_grey"/>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245995" cy="2146935"/>
                          </a:xfrm>
                          <a:prstGeom prst="rect">
                            <a:avLst/>
                          </a:prstGeom>
                          <a:noFill/>
                          <a:ln>
                            <a:noFill/>
                          </a:ln>
                        </pic:spPr>
                      </pic:pic>
                    </a:graphicData>
                  </a:graphic>
                </wp:inline>
              </w:drawing>
            </w:r>
          </w:p>
        </w:tc>
        <w:tc>
          <w:tcPr>
            <w:tcW w:w="5579" w:type="dxa"/>
            <w:tcBorders>
              <w:left w:val="nil"/>
            </w:tcBorders>
          </w:tcPr>
          <w:p w14:paraId="0402C20B" w14:textId="77777777" w:rsidR="004462A0" w:rsidRDefault="00615769" w:rsidP="00040D46">
            <w:pPr>
              <w:keepNext/>
              <w:tabs>
                <w:tab w:val="left" w:pos="562"/>
              </w:tabs>
              <w:suppressAutoHyphens/>
              <w:rPr>
                <w:sz w:val="22"/>
                <w:szCs w:val="20"/>
              </w:rPr>
            </w:pPr>
            <w:r>
              <w:rPr>
                <w:sz w:val="22"/>
                <w:szCs w:val="20"/>
              </w:rPr>
              <w:t>Com uma das mãos, segure o corpo da seringa entre o polegar e o indicador, como se fosse um lápis.</w:t>
            </w:r>
          </w:p>
          <w:p w14:paraId="78DAE2B7" w14:textId="77777777" w:rsidR="004462A0" w:rsidRDefault="004462A0" w:rsidP="00040D46">
            <w:pPr>
              <w:keepNext/>
              <w:tabs>
                <w:tab w:val="left" w:pos="562"/>
              </w:tabs>
              <w:suppressAutoHyphens/>
              <w:rPr>
                <w:sz w:val="22"/>
                <w:szCs w:val="20"/>
              </w:rPr>
            </w:pPr>
          </w:p>
          <w:p w14:paraId="00389051" w14:textId="77777777" w:rsidR="004462A0" w:rsidRPr="006462E3" w:rsidRDefault="00615769" w:rsidP="00040D46">
            <w:pPr>
              <w:keepNext/>
              <w:tabs>
                <w:tab w:val="left" w:pos="562"/>
              </w:tabs>
              <w:suppressAutoHyphens/>
              <w:rPr>
                <w:sz w:val="22"/>
                <w:szCs w:val="20"/>
              </w:rPr>
            </w:pPr>
            <w:r>
              <w:rPr>
                <w:sz w:val="22"/>
                <w:szCs w:val="20"/>
              </w:rPr>
              <w:t>Com a outra mão, a</w:t>
            </w:r>
            <w:r w:rsidRPr="00454F99">
              <w:rPr>
                <w:sz w:val="22"/>
                <w:szCs w:val="20"/>
              </w:rPr>
              <w:t>garre uma prega cutânea</w:t>
            </w:r>
            <w:r>
              <w:rPr>
                <w:sz w:val="22"/>
                <w:szCs w:val="20"/>
              </w:rPr>
              <w:t xml:space="preserve"> elevada</w:t>
            </w:r>
            <w:r w:rsidRPr="00454F99">
              <w:rPr>
                <w:sz w:val="22"/>
                <w:szCs w:val="20"/>
              </w:rPr>
              <w:t xml:space="preserve"> </w:t>
            </w:r>
            <w:r w:rsidRPr="004F0FBC">
              <w:rPr>
                <w:sz w:val="22"/>
                <w:szCs w:val="20"/>
              </w:rPr>
              <w:t>no local da injeção</w:t>
            </w:r>
            <w:r w:rsidRPr="006462E3">
              <w:rPr>
                <w:sz w:val="22"/>
                <w:szCs w:val="20"/>
              </w:rPr>
              <w:t>, apertando-a firmemente.</w:t>
            </w:r>
          </w:p>
          <w:p w14:paraId="150518AB" w14:textId="77777777" w:rsidR="004462A0" w:rsidRPr="009A05BE" w:rsidRDefault="004462A0" w:rsidP="00040D46">
            <w:pPr>
              <w:keepNext/>
              <w:tabs>
                <w:tab w:val="left" w:pos="562"/>
              </w:tabs>
              <w:suppressAutoHyphens/>
              <w:rPr>
                <w:sz w:val="22"/>
                <w:szCs w:val="20"/>
              </w:rPr>
            </w:pPr>
          </w:p>
          <w:p w14:paraId="7F901629" w14:textId="77777777" w:rsidR="004462A0" w:rsidRPr="008B0DDF" w:rsidRDefault="004462A0" w:rsidP="00040D46">
            <w:pPr>
              <w:keepNext/>
              <w:tabs>
                <w:tab w:val="left" w:pos="562"/>
              </w:tabs>
              <w:suppressAutoHyphens/>
              <w:rPr>
                <w:sz w:val="22"/>
                <w:szCs w:val="20"/>
              </w:rPr>
            </w:pPr>
          </w:p>
        </w:tc>
      </w:tr>
      <w:tr w:rsidR="00A7162A" w14:paraId="7E59EC95" w14:textId="77777777" w:rsidTr="00F675CF">
        <w:tc>
          <w:tcPr>
            <w:tcW w:w="3708" w:type="dxa"/>
            <w:tcBorders>
              <w:right w:val="nil"/>
            </w:tcBorders>
          </w:tcPr>
          <w:p w14:paraId="39941ECF" w14:textId="77777777" w:rsidR="004462A0" w:rsidRDefault="00615769" w:rsidP="001F27FE">
            <w:pPr>
              <w:keepNext/>
              <w:tabs>
                <w:tab w:val="left" w:pos="562"/>
              </w:tabs>
              <w:suppressAutoHyphens/>
              <w:jc w:val="both"/>
              <w:rPr>
                <w:b/>
                <w:noProof/>
                <w:sz w:val="22"/>
                <w:szCs w:val="20"/>
              </w:rPr>
            </w:pPr>
            <w:r w:rsidRPr="008B0DDF">
              <w:rPr>
                <w:b/>
                <w:noProof/>
                <w:sz w:val="22"/>
                <w:szCs w:val="20"/>
              </w:rPr>
              <w:t>PASSO 7</w:t>
            </w:r>
          </w:p>
          <w:p w14:paraId="026EB2AF" w14:textId="77777777" w:rsidR="00CC22DA" w:rsidRPr="00CC22DA" w:rsidRDefault="00CC22DA" w:rsidP="001F27FE">
            <w:pPr>
              <w:keepNext/>
              <w:tabs>
                <w:tab w:val="left" w:pos="562"/>
              </w:tabs>
              <w:suppressAutoHyphens/>
              <w:jc w:val="both"/>
              <w:rPr>
                <w:noProof/>
                <w:sz w:val="22"/>
                <w:szCs w:val="20"/>
              </w:rPr>
            </w:pPr>
          </w:p>
          <w:p w14:paraId="6BC9A1FD" w14:textId="77777777" w:rsidR="004462A0" w:rsidRPr="00CC22DA" w:rsidRDefault="00615769" w:rsidP="001F27FE">
            <w:pPr>
              <w:keepNext/>
              <w:tabs>
                <w:tab w:val="left" w:pos="562"/>
              </w:tabs>
              <w:suppressAutoHyphens/>
              <w:rPr>
                <w:b/>
                <w:noProof/>
                <w:sz w:val="22"/>
                <w:szCs w:val="20"/>
              </w:rPr>
            </w:pPr>
            <w:r>
              <w:rPr>
                <w:noProof/>
                <w:lang w:val="en-GB" w:eastAsia="en-GB"/>
              </w:rPr>
              <w:drawing>
                <wp:inline distT="0" distB="0" distL="0" distR="0" wp14:anchorId="727A1060" wp14:editId="4FD31B79">
                  <wp:extent cx="2186305" cy="2673350"/>
                  <wp:effectExtent l="0" t="0" r="4445" b="0"/>
                  <wp:docPr id="2" name="Picture 2"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STEP_7_SYRINGE_IFU_ABDOMEN-THIGH_grey"/>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2186305" cy="2673350"/>
                          </a:xfrm>
                          <a:prstGeom prst="rect">
                            <a:avLst/>
                          </a:prstGeom>
                          <a:noFill/>
                          <a:ln>
                            <a:noFill/>
                          </a:ln>
                        </pic:spPr>
                      </pic:pic>
                    </a:graphicData>
                  </a:graphic>
                </wp:inline>
              </w:drawing>
            </w:r>
            <w:r w:rsidRPr="008B0DDF">
              <w:rPr>
                <w:b/>
                <w:noProof/>
                <w:sz w:val="22"/>
                <w:szCs w:val="20"/>
              </w:rPr>
              <w:t xml:space="preserve">                  </w:t>
            </w:r>
            <w:r w:rsidR="00CC22DA">
              <w:rPr>
                <w:b/>
                <w:noProof/>
                <w:sz w:val="22"/>
                <w:szCs w:val="20"/>
              </w:rPr>
              <w:t xml:space="preserve">     </w:t>
            </w:r>
          </w:p>
        </w:tc>
        <w:tc>
          <w:tcPr>
            <w:tcW w:w="5579" w:type="dxa"/>
            <w:tcBorders>
              <w:left w:val="nil"/>
            </w:tcBorders>
          </w:tcPr>
          <w:p w14:paraId="31584C84" w14:textId="77777777" w:rsidR="004462A0" w:rsidRPr="00854C93" w:rsidRDefault="00615769" w:rsidP="001F27FE">
            <w:pPr>
              <w:keepNext/>
              <w:tabs>
                <w:tab w:val="left" w:pos="562"/>
              </w:tabs>
              <w:suppressAutoHyphens/>
              <w:rPr>
                <w:sz w:val="22"/>
                <w:szCs w:val="20"/>
              </w:rPr>
            </w:pPr>
            <w:r w:rsidRPr="0044327F">
              <w:rPr>
                <w:sz w:val="22"/>
                <w:szCs w:val="20"/>
              </w:rPr>
              <w:t>Introduza a agulha na pele</w:t>
            </w:r>
            <w:r>
              <w:rPr>
                <w:sz w:val="22"/>
                <w:szCs w:val="20"/>
              </w:rPr>
              <w:t xml:space="preserve"> num ângulo de 45º com um movimento curto e rápido.</w:t>
            </w:r>
          </w:p>
          <w:p w14:paraId="237C3A33" w14:textId="77777777" w:rsidR="004462A0" w:rsidRPr="002B2441" w:rsidRDefault="004462A0" w:rsidP="001F27FE">
            <w:pPr>
              <w:keepNext/>
              <w:tabs>
                <w:tab w:val="left" w:pos="562"/>
              </w:tabs>
              <w:suppressAutoHyphens/>
              <w:rPr>
                <w:sz w:val="22"/>
                <w:szCs w:val="20"/>
              </w:rPr>
            </w:pPr>
          </w:p>
          <w:p w14:paraId="6FD16C9F" w14:textId="77777777" w:rsidR="004462A0" w:rsidRPr="008B0DDF" w:rsidRDefault="00615769" w:rsidP="001F27FE">
            <w:pPr>
              <w:keepNext/>
              <w:numPr>
                <w:ilvl w:val="0"/>
                <w:numId w:val="111"/>
              </w:numPr>
              <w:suppressAutoHyphens/>
              <w:ind w:left="545" w:hanging="545"/>
              <w:rPr>
                <w:sz w:val="22"/>
                <w:szCs w:val="20"/>
              </w:rPr>
            </w:pPr>
            <w:r>
              <w:rPr>
                <w:sz w:val="22"/>
                <w:szCs w:val="20"/>
              </w:rPr>
              <w:t>Após introduzir a agulha, liberte a prega cutânea</w:t>
            </w:r>
          </w:p>
          <w:p w14:paraId="50411582" w14:textId="77777777" w:rsidR="004462A0" w:rsidRDefault="004462A0" w:rsidP="001F27FE">
            <w:pPr>
              <w:keepNext/>
              <w:tabs>
                <w:tab w:val="left" w:pos="562"/>
              </w:tabs>
              <w:suppressAutoHyphens/>
              <w:rPr>
                <w:sz w:val="22"/>
                <w:szCs w:val="20"/>
              </w:rPr>
            </w:pPr>
          </w:p>
          <w:p w14:paraId="6BE2FEE8" w14:textId="77777777" w:rsidR="004462A0" w:rsidRPr="008B0DDF" w:rsidRDefault="00615769" w:rsidP="001F27FE">
            <w:pPr>
              <w:keepNext/>
              <w:tabs>
                <w:tab w:val="left" w:pos="562"/>
              </w:tabs>
              <w:suppressAutoHyphens/>
              <w:rPr>
                <w:sz w:val="22"/>
                <w:szCs w:val="20"/>
              </w:rPr>
            </w:pPr>
            <w:r>
              <w:rPr>
                <w:sz w:val="22"/>
                <w:szCs w:val="20"/>
              </w:rPr>
              <w:t>Empurre lentamente o êmbolo até injetar toda a solução e esvaziar a seringa pré-cheia.</w:t>
            </w:r>
          </w:p>
        </w:tc>
      </w:tr>
      <w:tr w:rsidR="00A7162A" w14:paraId="6470DA4F" w14:textId="77777777" w:rsidTr="00F675CF">
        <w:tc>
          <w:tcPr>
            <w:tcW w:w="3708" w:type="dxa"/>
            <w:tcBorders>
              <w:right w:val="nil"/>
            </w:tcBorders>
          </w:tcPr>
          <w:p w14:paraId="5AD61C52" w14:textId="77777777" w:rsidR="004462A0" w:rsidRPr="00CC22DA" w:rsidRDefault="00615769" w:rsidP="00F675CF">
            <w:pPr>
              <w:keepNext/>
              <w:tabs>
                <w:tab w:val="left" w:pos="562"/>
              </w:tabs>
              <w:suppressAutoHyphens/>
              <w:rPr>
                <w:noProof/>
                <w:sz w:val="22"/>
                <w:szCs w:val="20"/>
              </w:rPr>
            </w:pPr>
            <w:r w:rsidRPr="008B0DDF">
              <w:rPr>
                <w:b/>
                <w:noProof/>
                <w:sz w:val="22"/>
                <w:szCs w:val="20"/>
              </w:rPr>
              <w:t>PASSO 8</w:t>
            </w:r>
          </w:p>
          <w:p w14:paraId="630949EF" w14:textId="77777777" w:rsidR="004462A0" w:rsidRPr="00CC22DA" w:rsidRDefault="004462A0" w:rsidP="00F675CF">
            <w:pPr>
              <w:keepNext/>
              <w:tabs>
                <w:tab w:val="left" w:pos="562"/>
              </w:tabs>
              <w:suppressAutoHyphens/>
              <w:rPr>
                <w:noProof/>
                <w:sz w:val="22"/>
                <w:szCs w:val="20"/>
              </w:rPr>
            </w:pPr>
          </w:p>
          <w:p w14:paraId="76662EFC" w14:textId="77777777" w:rsidR="00624492" w:rsidRDefault="00615769" w:rsidP="00F675CF">
            <w:pPr>
              <w:keepNext/>
              <w:tabs>
                <w:tab w:val="left" w:pos="562"/>
              </w:tabs>
              <w:suppressAutoHyphens/>
              <w:rPr>
                <w:noProof/>
                <w:sz w:val="22"/>
                <w:szCs w:val="20"/>
              </w:rPr>
            </w:pPr>
            <w:r>
              <w:rPr>
                <w:b/>
                <w:noProof/>
                <w:lang w:val="en-GB" w:eastAsia="en-GB"/>
              </w:rPr>
              <w:drawing>
                <wp:inline distT="0" distB="0" distL="0" distR="0" wp14:anchorId="70D1E0AC" wp14:editId="3EA52005">
                  <wp:extent cx="1984248" cy="2093976"/>
                  <wp:effectExtent l="0" t="0" r="0" b="190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STEP_8_SYRINGE_IFU_WITHDRAW_grey.REV 06Sep18.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984248" cy="2093976"/>
                          </a:xfrm>
                          <a:prstGeom prst="rect">
                            <a:avLst/>
                          </a:prstGeom>
                        </pic:spPr>
                      </pic:pic>
                    </a:graphicData>
                  </a:graphic>
                </wp:inline>
              </w:drawing>
            </w:r>
          </w:p>
          <w:p w14:paraId="49257F98" w14:textId="77777777" w:rsidR="004462A0" w:rsidRPr="007960C9" w:rsidRDefault="00615769" w:rsidP="00CB6157">
            <w:pPr>
              <w:keepNext/>
              <w:tabs>
                <w:tab w:val="left" w:pos="562"/>
              </w:tabs>
              <w:suppressAutoHyphens/>
              <w:rPr>
                <w:b/>
                <w:sz w:val="22"/>
                <w:szCs w:val="20"/>
              </w:rPr>
            </w:pPr>
            <w:r>
              <w:rPr>
                <w:b/>
                <w:noProof/>
                <w:sz w:val="22"/>
                <w:szCs w:val="20"/>
              </w:rPr>
              <w:t xml:space="preserve">                 </w:t>
            </w:r>
            <w:r w:rsidR="00624492" w:rsidRPr="007960C9">
              <w:rPr>
                <w:b/>
                <w:noProof/>
                <w:sz w:val="22"/>
                <w:szCs w:val="20"/>
              </w:rPr>
              <w:t>Algodão</w:t>
            </w:r>
          </w:p>
        </w:tc>
        <w:tc>
          <w:tcPr>
            <w:tcW w:w="5579" w:type="dxa"/>
            <w:tcBorders>
              <w:left w:val="nil"/>
            </w:tcBorders>
          </w:tcPr>
          <w:p w14:paraId="3E9CC269" w14:textId="77777777" w:rsidR="004462A0" w:rsidRPr="000B3FE3" w:rsidRDefault="00615769" w:rsidP="00F675CF">
            <w:pPr>
              <w:keepNext/>
              <w:tabs>
                <w:tab w:val="left" w:pos="562"/>
              </w:tabs>
              <w:suppressAutoHyphens/>
              <w:rPr>
                <w:sz w:val="22"/>
                <w:szCs w:val="20"/>
              </w:rPr>
            </w:pPr>
            <w:r w:rsidRPr="00454F99">
              <w:rPr>
                <w:sz w:val="22"/>
                <w:szCs w:val="20"/>
              </w:rPr>
              <w:t>Qu</w:t>
            </w:r>
            <w:r w:rsidRPr="00AF229F">
              <w:rPr>
                <w:sz w:val="22"/>
                <w:szCs w:val="20"/>
              </w:rPr>
              <w:t>a</w:t>
            </w:r>
            <w:r w:rsidRPr="004F0FBC">
              <w:rPr>
                <w:sz w:val="22"/>
                <w:szCs w:val="20"/>
              </w:rPr>
              <w:t>n</w:t>
            </w:r>
            <w:r w:rsidRPr="006462E3">
              <w:rPr>
                <w:sz w:val="22"/>
                <w:szCs w:val="20"/>
              </w:rPr>
              <w:t xml:space="preserve">do a injeção estiver completa, retire lentamente a </w:t>
            </w:r>
            <w:r>
              <w:rPr>
                <w:sz w:val="22"/>
                <w:szCs w:val="20"/>
              </w:rPr>
              <w:t>agulha da pele, procurando manter o mesmo ângulo da inserção.</w:t>
            </w:r>
          </w:p>
          <w:p w14:paraId="1EDB07F8" w14:textId="77777777" w:rsidR="004462A0" w:rsidRPr="004931CE" w:rsidRDefault="004462A0" w:rsidP="00F675CF">
            <w:pPr>
              <w:keepNext/>
              <w:tabs>
                <w:tab w:val="left" w:pos="562"/>
              </w:tabs>
              <w:suppressAutoHyphens/>
              <w:rPr>
                <w:sz w:val="22"/>
                <w:szCs w:val="20"/>
              </w:rPr>
            </w:pPr>
          </w:p>
          <w:p w14:paraId="53CD760E" w14:textId="77777777" w:rsidR="004462A0" w:rsidRPr="008B0DDF" w:rsidRDefault="00615769" w:rsidP="00F675CF">
            <w:pPr>
              <w:keepNext/>
              <w:tabs>
                <w:tab w:val="left" w:pos="562"/>
              </w:tabs>
              <w:suppressAutoHyphens/>
              <w:rPr>
                <w:sz w:val="22"/>
                <w:szCs w:val="20"/>
              </w:rPr>
            </w:pPr>
            <w:r w:rsidRPr="008B0DDF">
              <w:rPr>
                <w:sz w:val="22"/>
                <w:szCs w:val="20"/>
              </w:rPr>
              <w:t>Após completar a injeção, pressione o local da injeção com algodão ou uma gaze.</w:t>
            </w:r>
          </w:p>
          <w:p w14:paraId="0C36E370" w14:textId="77777777" w:rsidR="004462A0" w:rsidRPr="008B0DDF" w:rsidRDefault="004462A0" w:rsidP="00F675CF">
            <w:pPr>
              <w:keepNext/>
              <w:tabs>
                <w:tab w:val="left" w:pos="562"/>
              </w:tabs>
              <w:suppressAutoHyphens/>
              <w:rPr>
                <w:sz w:val="22"/>
                <w:szCs w:val="20"/>
              </w:rPr>
            </w:pPr>
          </w:p>
          <w:p w14:paraId="30BFE5D4" w14:textId="77777777" w:rsidR="004462A0" w:rsidRPr="008B0DDF" w:rsidRDefault="00615769" w:rsidP="00F675CF">
            <w:pPr>
              <w:keepNext/>
              <w:numPr>
                <w:ilvl w:val="0"/>
                <w:numId w:val="98"/>
              </w:numPr>
              <w:suppressAutoHyphens/>
              <w:ind w:left="545" w:hanging="545"/>
              <w:rPr>
                <w:sz w:val="22"/>
                <w:szCs w:val="20"/>
              </w:rPr>
            </w:pPr>
            <w:r w:rsidRPr="008B0DDF">
              <w:rPr>
                <w:b/>
                <w:sz w:val="22"/>
                <w:szCs w:val="20"/>
              </w:rPr>
              <w:t xml:space="preserve">Não </w:t>
            </w:r>
            <w:r w:rsidRPr="008B0DDF">
              <w:rPr>
                <w:sz w:val="22"/>
                <w:szCs w:val="20"/>
              </w:rPr>
              <w:t>friccione</w:t>
            </w:r>
          </w:p>
          <w:p w14:paraId="4CE0BAF3" w14:textId="77777777" w:rsidR="004462A0" w:rsidRPr="006462E3" w:rsidRDefault="00615769" w:rsidP="00F675CF">
            <w:pPr>
              <w:keepNext/>
              <w:numPr>
                <w:ilvl w:val="0"/>
                <w:numId w:val="98"/>
              </w:numPr>
              <w:suppressAutoHyphens/>
              <w:ind w:left="545" w:hanging="545"/>
              <w:rPr>
                <w:sz w:val="22"/>
                <w:szCs w:val="20"/>
              </w:rPr>
            </w:pPr>
            <w:r w:rsidRPr="00454F99">
              <w:rPr>
                <w:sz w:val="22"/>
                <w:szCs w:val="20"/>
              </w:rPr>
              <w:t>É</w:t>
            </w:r>
            <w:r w:rsidRPr="004F0FBC">
              <w:rPr>
                <w:sz w:val="22"/>
                <w:szCs w:val="20"/>
              </w:rPr>
              <w:t xml:space="preserve"> normal aparecer </w:t>
            </w:r>
            <w:r w:rsidRPr="006462E3">
              <w:rPr>
                <w:sz w:val="22"/>
                <w:szCs w:val="20"/>
              </w:rPr>
              <w:t>uma marca de sangue no local da injeção.</w:t>
            </w:r>
          </w:p>
        </w:tc>
      </w:tr>
      <w:tr w:rsidR="00A7162A" w14:paraId="08376BF3" w14:textId="77777777" w:rsidTr="00F675CF">
        <w:tc>
          <w:tcPr>
            <w:tcW w:w="9287" w:type="dxa"/>
            <w:gridSpan w:val="2"/>
          </w:tcPr>
          <w:p w14:paraId="58740754" w14:textId="77777777" w:rsidR="004462A0" w:rsidRPr="00CC22DA" w:rsidRDefault="00615769" w:rsidP="00F675CF">
            <w:pPr>
              <w:keepNext/>
              <w:tabs>
                <w:tab w:val="left" w:pos="562"/>
              </w:tabs>
              <w:suppressAutoHyphens/>
              <w:rPr>
                <w:sz w:val="22"/>
              </w:rPr>
            </w:pPr>
            <w:r w:rsidRPr="008B0DDF">
              <w:rPr>
                <w:b/>
                <w:sz w:val="22"/>
              </w:rPr>
              <w:t>PASSO 9</w:t>
            </w:r>
          </w:p>
          <w:p w14:paraId="7649FA4D" w14:textId="77777777" w:rsidR="004462A0" w:rsidRPr="00CC22DA" w:rsidRDefault="004462A0" w:rsidP="00F675CF">
            <w:pPr>
              <w:keepNext/>
              <w:tabs>
                <w:tab w:val="left" w:pos="562"/>
              </w:tabs>
              <w:suppressAutoHyphens/>
              <w:rPr>
                <w:sz w:val="22"/>
              </w:rPr>
            </w:pPr>
          </w:p>
          <w:p w14:paraId="0F14658B" w14:textId="77777777" w:rsidR="004462A0" w:rsidRPr="00454F99" w:rsidRDefault="00615769" w:rsidP="00F675CF">
            <w:pPr>
              <w:keepNext/>
              <w:tabs>
                <w:tab w:val="left" w:pos="562"/>
              </w:tabs>
              <w:suppressAutoHyphens/>
              <w:rPr>
                <w:sz w:val="22"/>
                <w:szCs w:val="20"/>
              </w:rPr>
            </w:pPr>
            <w:r w:rsidRPr="00454F99">
              <w:rPr>
                <w:sz w:val="22"/>
                <w:szCs w:val="20"/>
              </w:rPr>
              <w:t xml:space="preserve">Elimine imediatamente a </w:t>
            </w:r>
            <w:r>
              <w:rPr>
                <w:sz w:val="22"/>
                <w:szCs w:val="20"/>
              </w:rPr>
              <w:t>seringa</w:t>
            </w:r>
            <w:r w:rsidRPr="00454F99">
              <w:rPr>
                <w:sz w:val="22"/>
                <w:szCs w:val="20"/>
              </w:rPr>
              <w:t xml:space="preserve"> pré</w:t>
            </w:r>
            <w:r w:rsidRPr="004F0FBC">
              <w:rPr>
                <w:sz w:val="22"/>
                <w:szCs w:val="20"/>
              </w:rPr>
              <w:t>-cheia utilizada num recipiente</w:t>
            </w:r>
            <w:r w:rsidRPr="006462E3">
              <w:rPr>
                <w:sz w:val="22"/>
                <w:szCs w:val="20"/>
              </w:rPr>
              <w:t xml:space="preserve"> próprio, de acordo com as instruções dadas pelo seu médico, enfermeiro ou farmacêutico</w:t>
            </w:r>
            <w:r>
              <w:rPr>
                <w:sz w:val="22"/>
                <w:szCs w:val="20"/>
              </w:rPr>
              <w:t xml:space="preserve">. </w:t>
            </w:r>
            <w:r w:rsidRPr="00825A68">
              <w:rPr>
                <w:b/>
                <w:sz w:val="22"/>
                <w:szCs w:val="20"/>
              </w:rPr>
              <w:t>Nunca</w:t>
            </w:r>
            <w:r>
              <w:rPr>
                <w:sz w:val="22"/>
                <w:szCs w:val="20"/>
              </w:rPr>
              <w:t xml:space="preserve"> voltar a colocar a tampa na agulha.</w:t>
            </w:r>
          </w:p>
          <w:p w14:paraId="1C884BDB" w14:textId="77777777" w:rsidR="004462A0" w:rsidRPr="004F0FBC" w:rsidRDefault="004462A0" w:rsidP="00F675CF">
            <w:pPr>
              <w:keepNext/>
              <w:tabs>
                <w:tab w:val="left" w:pos="562"/>
              </w:tabs>
              <w:suppressAutoHyphens/>
              <w:rPr>
                <w:sz w:val="22"/>
                <w:szCs w:val="20"/>
              </w:rPr>
            </w:pPr>
          </w:p>
          <w:p w14:paraId="33D2D98A" w14:textId="77777777" w:rsidR="004462A0" w:rsidRPr="009A05BE" w:rsidRDefault="00615769" w:rsidP="00F675CF">
            <w:pPr>
              <w:keepNext/>
              <w:numPr>
                <w:ilvl w:val="0"/>
                <w:numId w:val="99"/>
              </w:numPr>
              <w:suppressAutoHyphens/>
              <w:ind w:left="567" w:hanging="567"/>
              <w:rPr>
                <w:sz w:val="22"/>
                <w:szCs w:val="20"/>
              </w:rPr>
            </w:pPr>
            <w:r w:rsidRPr="006462E3">
              <w:rPr>
                <w:b/>
                <w:sz w:val="22"/>
                <w:szCs w:val="20"/>
              </w:rPr>
              <w:t xml:space="preserve">Não </w:t>
            </w:r>
            <w:r w:rsidRPr="006462E3">
              <w:rPr>
                <w:sz w:val="22"/>
                <w:szCs w:val="20"/>
              </w:rPr>
              <w:t xml:space="preserve">deite fora ou recicle a </w:t>
            </w:r>
            <w:r>
              <w:rPr>
                <w:sz w:val="22"/>
                <w:szCs w:val="20"/>
              </w:rPr>
              <w:t>seringa</w:t>
            </w:r>
            <w:r w:rsidRPr="006462E3">
              <w:rPr>
                <w:sz w:val="22"/>
                <w:szCs w:val="20"/>
              </w:rPr>
              <w:t xml:space="preserve"> pré-cheia no lixo doméstico</w:t>
            </w:r>
          </w:p>
          <w:p w14:paraId="3AF059D3" w14:textId="77777777" w:rsidR="004462A0" w:rsidRPr="005F6F98" w:rsidRDefault="00615769" w:rsidP="00F675CF">
            <w:pPr>
              <w:keepNext/>
              <w:numPr>
                <w:ilvl w:val="0"/>
                <w:numId w:val="99"/>
              </w:numPr>
              <w:suppressAutoHyphens/>
              <w:ind w:left="567" w:hanging="567"/>
              <w:rPr>
                <w:sz w:val="22"/>
                <w:szCs w:val="20"/>
              </w:rPr>
            </w:pPr>
            <w:r w:rsidRPr="00854C93">
              <w:rPr>
                <w:sz w:val="22"/>
                <w:szCs w:val="20"/>
              </w:rPr>
              <w:t xml:space="preserve">Manter </w:t>
            </w:r>
            <w:r w:rsidRPr="0089156B">
              <w:rPr>
                <w:b/>
                <w:sz w:val="22"/>
                <w:szCs w:val="20"/>
              </w:rPr>
              <w:t xml:space="preserve">sempre </w:t>
            </w:r>
            <w:r w:rsidRPr="000B3FE3">
              <w:rPr>
                <w:sz w:val="22"/>
                <w:szCs w:val="20"/>
              </w:rPr>
              <w:t xml:space="preserve">a </w:t>
            </w:r>
            <w:r>
              <w:rPr>
                <w:sz w:val="22"/>
                <w:szCs w:val="20"/>
              </w:rPr>
              <w:t>seringa</w:t>
            </w:r>
            <w:r w:rsidRPr="000B3FE3">
              <w:rPr>
                <w:sz w:val="22"/>
                <w:szCs w:val="20"/>
              </w:rPr>
              <w:t xml:space="preserve"> pré-cheia</w:t>
            </w:r>
            <w:r w:rsidRPr="000B3FE3">
              <w:rPr>
                <w:b/>
                <w:sz w:val="22"/>
                <w:szCs w:val="20"/>
              </w:rPr>
              <w:t xml:space="preserve"> </w:t>
            </w:r>
            <w:r w:rsidRPr="000B3FE3">
              <w:rPr>
                <w:sz w:val="22"/>
                <w:szCs w:val="20"/>
              </w:rPr>
              <w:t>e o recipient</w:t>
            </w:r>
            <w:r w:rsidRPr="004931CE">
              <w:rPr>
                <w:sz w:val="22"/>
                <w:szCs w:val="20"/>
              </w:rPr>
              <w:t>e</w:t>
            </w:r>
            <w:r w:rsidRPr="00653128">
              <w:rPr>
                <w:sz w:val="22"/>
                <w:szCs w:val="20"/>
              </w:rPr>
              <w:t xml:space="preserve"> próprio for</w:t>
            </w:r>
            <w:r w:rsidRPr="002D4DE5">
              <w:rPr>
                <w:sz w:val="22"/>
                <w:szCs w:val="20"/>
              </w:rPr>
              <w:t>a</w:t>
            </w:r>
            <w:r w:rsidRPr="00003560">
              <w:rPr>
                <w:sz w:val="22"/>
                <w:szCs w:val="20"/>
              </w:rPr>
              <w:t xml:space="preserve"> </w:t>
            </w:r>
            <w:r w:rsidRPr="005F6F98">
              <w:rPr>
                <w:sz w:val="22"/>
                <w:szCs w:val="20"/>
              </w:rPr>
              <w:t>da vista e do alcance das crianças.</w:t>
            </w:r>
          </w:p>
          <w:p w14:paraId="31B2D390" w14:textId="77777777" w:rsidR="004462A0" w:rsidRDefault="004462A0" w:rsidP="00F675CF">
            <w:pPr>
              <w:keepNext/>
              <w:tabs>
                <w:tab w:val="left" w:pos="562"/>
              </w:tabs>
              <w:suppressAutoHyphens/>
              <w:rPr>
                <w:sz w:val="22"/>
                <w:szCs w:val="22"/>
              </w:rPr>
            </w:pPr>
          </w:p>
          <w:p w14:paraId="346B01F9" w14:textId="77777777" w:rsidR="004462A0" w:rsidRPr="008B0DDF" w:rsidRDefault="00615769" w:rsidP="00F675CF">
            <w:pPr>
              <w:keepNext/>
              <w:tabs>
                <w:tab w:val="left" w:pos="562"/>
              </w:tabs>
              <w:suppressAutoHyphens/>
              <w:rPr>
                <w:sz w:val="22"/>
                <w:szCs w:val="20"/>
              </w:rPr>
            </w:pPr>
            <w:r w:rsidRPr="002B2441">
              <w:rPr>
                <w:sz w:val="22"/>
                <w:szCs w:val="22"/>
              </w:rPr>
              <w:t xml:space="preserve">As tampas, a compressa embebida em </w:t>
            </w:r>
            <w:r w:rsidRPr="00B830EC">
              <w:rPr>
                <w:sz w:val="22"/>
                <w:szCs w:val="22"/>
              </w:rPr>
              <w:t>álcool</w:t>
            </w:r>
            <w:r w:rsidRPr="008B0DDF">
              <w:rPr>
                <w:sz w:val="22"/>
                <w:szCs w:val="22"/>
              </w:rPr>
              <w:t>, o algodão, a gaze, o blister, e a embalagem, podem ser deitados fora no lixo doméstico.</w:t>
            </w:r>
          </w:p>
        </w:tc>
      </w:tr>
    </w:tbl>
    <w:p w14:paraId="51350F7C" w14:textId="77777777" w:rsidR="00BE46F4" w:rsidRDefault="00BE46F4" w:rsidP="004462A0">
      <w:pPr>
        <w:rPr>
          <w:sz w:val="22"/>
          <w:szCs w:val="22"/>
        </w:rPr>
      </w:pPr>
    </w:p>
    <w:p w14:paraId="7B9FE973" w14:textId="77777777" w:rsidR="00BE46F4" w:rsidRDefault="00615769">
      <w:pPr>
        <w:spacing w:after="200" w:line="276" w:lineRule="auto"/>
        <w:rPr>
          <w:sz w:val="22"/>
          <w:szCs w:val="22"/>
        </w:rPr>
      </w:pPr>
      <w:r>
        <w:rPr>
          <w:sz w:val="22"/>
          <w:szCs w:val="22"/>
        </w:rPr>
        <w:br w:type="page"/>
      </w:r>
    </w:p>
    <w:p w14:paraId="40CBE613" w14:textId="77777777" w:rsidR="00685047" w:rsidRPr="008912CF" w:rsidRDefault="00615769" w:rsidP="00685047">
      <w:pPr>
        <w:suppressAutoHyphens/>
        <w:ind w:left="567" w:hanging="567"/>
        <w:jc w:val="center"/>
        <w:rPr>
          <w:sz w:val="22"/>
          <w:szCs w:val="22"/>
        </w:rPr>
      </w:pPr>
      <w:r w:rsidRPr="008912CF">
        <w:rPr>
          <w:b/>
          <w:sz w:val="22"/>
          <w:szCs w:val="22"/>
        </w:rPr>
        <w:t>Folheto informativo: Informação para o doente</w:t>
      </w:r>
    </w:p>
    <w:p w14:paraId="69464622" w14:textId="77777777" w:rsidR="00685047" w:rsidRPr="008912CF" w:rsidRDefault="00685047" w:rsidP="00685047">
      <w:pPr>
        <w:pStyle w:val="EMEATitle"/>
        <w:tabs>
          <w:tab w:val="clear" w:pos="562"/>
        </w:tabs>
        <w:suppressAutoHyphens w:val="0"/>
        <w:rPr>
          <w:rFonts w:ascii="Times New Roman" w:hAnsi="Times New Roman"/>
          <w:caps w:val="0"/>
          <w:szCs w:val="22"/>
          <w:lang w:val="pt-PT"/>
        </w:rPr>
      </w:pPr>
    </w:p>
    <w:p w14:paraId="47FD8162" w14:textId="77777777" w:rsidR="00685047" w:rsidRPr="008912CF" w:rsidRDefault="00615769" w:rsidP="00685047">
      <w:pPr>
        <w:pStyle w:val="EMEATitle"/>
        <w:tabs>
          <w:tab w:val="clear" w:pos="562"/>
        </w:tabs>
        <w:suppressAutoHyphens w:val="0"/>
        <w:rPr>
          <w:rFonts w:ascii="Times New Roman" w:hAnsi="Times New Roman"/>
          <w:caps w:val="0"/>
          <w:szCs w:val="22"/>
          <w:lang w:val="pt-PT"/>
        </w:rPr>
      </w:pPr>
      <w:r w:rsidRPr="008912CF">
        <w:rPr>
          <w:rFonts w:ascii="Times New Roman" w:hAnsi="Times New Roman"/>
          <w:caps w:val="0"/>
          <w:szCs w:val="22"/>
          <w:lang w:val="pt-PT"/>
        </w:rPr>
        <w:t xml:space="preserve">Humira </w:t>
      </w:r>
      <w:r>
        <w:rPr>
          <w:rFonts w:ascii="Times New Roman" w:hAnsi="Times New Roman"/>
          <w:bCs/>
          <w:caps w:val="0"/>
          <w:szCs w:val="22"/>
          <w:lang w:val="pt-PT"/>
        </w:rPr>
        <w:t>8</w:t>
      </w:r>
      <w:r w:rsidRPr="008912CF">
        <w:rPr>
          <w:rFonts w:ascii="Times New Roman" w:hAnsi="Times New Roman"/>
          <w:bCs/>
          <w:caps w:val="0"/>
          <w:szCs w:val="22"/>
          <w:lang w:val="pt-PT"/>
        </w:rPr>
        <w:t xml:space="preserve">0 mg solução injetável em </w:t>
      </w:r>
      <w:r>
        <w:rPr>
          <w:rFonts w:ascii="Times New Roman" w:hAnsi="Times New Roman"/>
          <w:bCs/>
          <w:caps w:val="0"/>
          <w:szCs w:val="22"/>
          <w:lang w:val="pt-PT"/>
        </w:rPr>
        <w:t>caneta</w:t>
      </w:r>
      <w:r w:rsidRPr="008912CF">
        <w:rPr>
          <w:rFonts w:ascii="Times New Roman" w:hAnsi="Times New Roman"/>
          <w:bCs/>
          <w:caps w:val="0"/>
          <w:szCs w:val="22"/>
          <w:lang w:val="pt-PT"/>
        </w:rPr>
        <w:t xml:space="preserve"> pré-cheia </w:t>
      </w:r>
    </w:p>
    <w:p w14:paraId="6359702E" w14:textId="77777777" w:rsidR="00685047" w:rsidRPr="008912CF" w:rsidRDefault="00615769" w:rsidP="00685047">
      <w:pPr>
        <w:jc w:val="center"/>
        <w:rPr>
          <w:bCs/>
          <w:sz w:val="22"/>
          <w:szCs w:val="22"/>
        </w:rPr>
      </w:pPr>
      <w:r w:rsidRPr="008912CF">
        <w:rPr>
          <w:bCs/>
          <w:sz w:val="22"/>
          <w:szCs w:val="22"/>
        </w:rPr>
        <w:t>adalimumab</w:t>
      </w:r>
    </w:p>
    <w:p w14:paraId="79317DE8" w14:textId="77777777" w:rsidR="00685047" w:rsidRPr="008912CF" w:rsidRDefault="00685047" w:rsidP="00685047">
      <w:pPr>
        <w:jc w:val="center"/>
        <w:rPr>
          <w:sz w:val="22"/>
          <w:szCs w:val="22"/>
        </w:rPr>
      </w:pPr>
    </w:p>
    <w:p w14:paraId="7AB82E61" w14:textId="77777777" w:rsidR="00685047" w:rsidRPr="008912CF" w:rsidRDefault="00615769" w:rsidP="00685047">
      <w:pPr>
        <w:ind w:right="-2"/>
        <w:rPr>
          <w:sz w:val="22"/>
          <w:szCs w:val="22"/>
        </w:rPr>
      </w:pPr>
      <w:r w:rsidRPr="008912CF">
        <w:rPr>
          <w:b/>
          <w:sz w:val="22"/>
          <w:szCs w:val="22"/>
        </w:rPr>
        <w:t>Leia com atenção todo este folheto antes de começar a utilizar este medicamento, pois contém informação importante para si.</w:t>
      </w:r>
    </w:p>
    <w:p w14:paraId="06D83E3F" w14:textId="77777777" w:rsidR="00685047" w:rsidRPr="008912CF" w:rsidRDefault="00615769" w:rsidP="00685047">
      <w:pPr>
        <w:numPr>
          <w:ilvl w:val="0"/>
          <w:numId w:val="19"/>
        </w:numPr>
        <w:ind w:right="-2"/>
        <w:rPr>
          <w:sz w:val="22"/>
          <w:szCs w:val="22"/>
        </w:rPr>
      </w:pPr>
      <w:r w:rsidRPr="008912CF">
        <w:rPr>
          <w:sz w:val="22"/>
          <w:szCs w:val="22"/>
        </w:rPr>
        <w:t xml:space="preserve">Conserve este folheto. Pode ter necessidade de o ler novamente. </w:t>
      </w:r>
    </w:p>
    <w:p w14:paraId="30D8A5DE" w14:textId="77777777" w:rsidR="00685047" w:rsidRPr="008912CF" w:rsidRDefault="00615769" w:rsidP="00685047">
      <w:pPr>
        <w:numPr>
          <w:ilvl w:val="0"/>
          <w:numId w:val="19"/>
        </w:numPr>
        <w:ind w:right="-2"/>
        <w:rPr>
          <w:sz w:val="22"/>
          <w:szCs w:val="22"/>
        </w:rPr>
      </w:pPr>
      <w:r w:rsidRPr="008912CF">
        <w:rPr>
          <w:sz w:val="22"/>
          <w:szCs w:val="22"/>
        </w:rPr>
        <w:t xml:space="preserve">O seu médico vai dar-lhe também um </w:t>
      </w:r>
      <w:r w:rsidRPr="00365BEE">
        <w:rPr>
          <w:b/>
          <w:sz w:val="22"/>
          <w:szCs w:val="22"/>
        </w:rPr>
        <w:t>Cartão de Segurança do Doente</w:t>
      </w:r>
      <w:r w:rsidRPr="008912CF">
        <w:rPr>
          <w:sz w:val="22"/>
          <w:szCs w:val="22"/>
        </w:rPr>
        <w:t xml:space="preserve">, que contém informação de segurança importante que precisa conhecer, antes e durante o tratamento com Humira. Mantenha o </w:t>
      </w:r>
      <w:r w:rsidRPr="00365BEE">
        <w:rPr>
          <w:b/>
          <w:sz w:val="22"/>
          <w:szCs w:val="22"/>
        </w:rPr>
        <w:t>Cartão de Segurança do Doente</w:t>
      </w:r>
      <w:r w:rsidRPr="008912CF">
        <w:rPr>
          <w:sz w:val="22"/>
          <w:szCs w:val="22"/>
        </w:rPr>
        <w:t xml:space="preserve"> consigo.</w:t>
      </w:r>
    </w:p>
    <w:p w14:paraId="02600B38" w14:textId="77777777" w:rsidR="00685047" w:rsidRPr="008912CF" w:rsidRDefault="00615769" w:rsidP="00685047">
      <w:pPr>
        <w:numPr>
          <w:ilvl w:val="0"/>
          <w:numId w:val="39"/>
        </w:numPr>
        <w:ind w:right="-2"/>
        <w:rPr>
          <w:sz w:val="22"/>
          <w:szCs w:val="22"/>
        </w:rPr>
      </w:pPr>
      <w:r w:rsidRPr="008912CF">
        <w:rPr>
          <w:sz w:val="22"/>
          <w:szCs w:val="22"/>
        </w:rPr>
        <w:t>Caso ainda tenha dúvidas, fale com o seu médico ou farmacêutico.</w:t>
      </w:r>
    </w:p>
    <w:p w14:paraId="399B2774" w14:textId="77777777" w:rsidR="00685047" w:rsidRPr="008912CF" w:rsidRDefault="00615769" w:rsidP="00685047">
      <w:pPr>
        <w:numPr>
          <w:ilvl w:val="0"/>
          <w:numId w:val="39"/>
        </w:numPr>
        <w:ind w:right="-2"/>
        <w:rPr>
          <w:b/>
          <w:sz w:val="22"/>
          <w:szCs w:val="22"/>
        </w:rPr>
      </w:pPr>
      <w:r w:rsidRPr="008912CF">
        <w:rPr>
          <w:sz w:val="22"/>
          <w:szCs w:val="22"/>
        </w:rPr>
        <w:t>Este medicamento foi receitado apenas para si. Não deve dá-lo a outros. O medicamento pode ser-lhes prejudicial mesmo que apresentem os mesmos sinais de doença.</w:t>
      </w:r>
    </w:p>
    <w:p w14:paraId="10456B42" w14:textId="77777777" w:rsidR="005A3FC0" w:rsidRPr="00653128" w:rsidRDefault="00615769" w:rsidP="005A3FC0">
      <w:pPr>
        <w:numPr>
          <w:ilvl w:val="0"/>
          <w:numId w:val="39"/>
        </w:numPr>
        <w:ind w:right="-2"/>
        <w:rPr>
          <w:b/>
          <w:sz w:val="22"/>
          <w:szCs w:val="22"/>
        </w:rPr>
      </w:pPr>
      <w:r w:rsidRPr="009A05BE">
        <w:rPr>
          <w:sz w:val="22"/>
          <w:szCs w:val="22"/>
        </w:rPr>
        <w:t xml:space="preserve">Se tiver quaisquer efeitos </w:t>
      </w:r>
      <w:r w:rsidR="00571C82">
        <w:rPr>
          <w:sz w:val="22"/>
          <w:szCs w:val="22"/>
        </w:rPr>
        <w:t>indesejáveis</w:t>
      </w:r>
      <w:r w:rsidRPr="009A05BE">
        <w:rPr>
          <w:sz w:val="22"/>
          <w:szCs w:val="22"/>
        </w:rPr>
        <w:t xml:space="preserve">, incluindo possíveis efeitos </w:t>
      </w:r>
      <w:r w:rsidR="00571C82">
        <w:rPr>
          <w:sz w:val="22"/>
          <w:szCs w:val="22"/>
        </w:rPr>
        <w:t>indesejáveis</w:t>
      </w:r>
      <w:r w:rsidRPr="00854C93">
        <w:rPr>
          <w:sz w:val="22"/>
          <w:szCs w:val="22"/>
        </w:rPr>
        <w:t xml:space="preserve"> não indicados neste folheto, fale com o seu médico ou farmacêutico</w:t>
      </w:r>
      <w:r w:rsidRPr="0089156B">
        <w:rPr>
          <w:sz w:val="22"/>
          <w:szCs w:val="22"/>
        </w:rPr>
        <w:t xml:space="preserve">. </w:t>
      </w:r>
      <w:r w:rsidRPr="000B3FE3">
        <w:rPr>
          <w:sz w:val="22"/>
          <w:szCs w:val="22"/>
        </w:rPr>
        <w:t>Ver secção 4</w:t>
      </w:r>
      <w:r w:rsidRPr="004931CE">
        <w:rPr>
          <w:sz w:val="22"/>
          <w:szCs w:val="22"/>
        </w:rPr>
        <w:t>.</w:t>
      </w:r>
    </w:p>
    <w:p w14:paraId="52306C7C" w14:textId="77777777" w:rsidR="00685047" w:rsidRPr="008912CF" w:rsidRDefault="00685047" w:rsidP="00685047">
      <w:pPr>
        <w:ind w:right="-2"/>
        <w:rPr>
          <w:sz w:val="22"/>
          <w:szCs w:val="22"/>
          <w:u w:val="single"/>
        </w:rPr>
      </w:pPr>
    </w:p>
    <w:p w14:paraId="26BEC304" w14:textId="77777777" w:rsidR="00685047" w:rsidRPr="009B21DC" w:rsidRDefault="00615769" w:rsidP="00685047">
      <w:pPr>
        <w:ind w:right="-2"/>
        <w:rPr>
          <w:sz w:val="22"/>
          <w:szCs w:val="22"/>
        </w:rPr>
      </w:pPr>
      <w:r w:rsidRPr="00F1550B">
        <w:rPr>
          <w:b/>
          <w:sz w:val="22"/>
          <w:szCs w:val="22"/>
        </w:rPr>
        <w:t>O que contém este folheto</w:t>
      </w:r>
      <w:r w:rsidRPr="009B21DC">
        <w:rPr>
          <w:sz w:val="22"/>
          <w:szCs w:val="22"/>
        </w:rPr>
        <w:t xml:space="preserve"> </w:t>
      </w:r>
    </w:p>
    <w:p w14:paraId="7F4C2E7D" w14:textId="77777777" w:rsidR="00685047" w:rsidRPr="008912CF" w:rsidRDefault="00615769" w:rsidP="00685047">
      <w:pPr>
        <w:ind w:left="567" w:hanging="567"/>
        <w:rPr>
          <w:sz w:val="22"/>
          <w:szCs w:val="22"/>
        </w:rPr>
      </w:pPr>
      <w:r w:rsidRPr="008912CF">
        <w:rPr>
          <w:sz w:val="22"/>
          <w:szCs w:val="22"/>
        </w:rPr>
        <w:t>1.</w:t>
      </w:r>
      <w:r w:rsidRPr="008912CF">
        <w:rPr>
          <w:sz w:val="22"/>
          <w:szCs w:val="22"/>
        </w:rPr>
        <w:tab/>
        <w:t xml:space="preserve">O que é Humira e para que é utilizado </w:t>
      </w:r>
    </w:p>
    <w:p w14:paraId="28A080E6" w14:textId="77777777" w:rsidR="00685047" w:rsidRPr="008912CF" w:rsidRDefault="00615769" w:rsidP="00685047">
      <w:pPr>
        <w:ind w:left="567" w:hanging="567"/>
        <w:rPr>
          <w:sz w:val="22"/>
          <w:szCs w:val="22"/>
        </w:rPr>
      </w:pPr>
      <w:r w:rsidRPr="008912CF">
        <w:rPr>
          <w:sz w:val="22"/>
          <w:szCs w:val="22"/>
        </w:rPr>
        <w:t>2.</w:t>
      </w:r>
      <w:r w:rsidRPr="008912CF">
        <w:rPr>
          <w:sz w:val="22"/>
          <w:szCs w:val="22"/>
        </w:rPr>
        <w:tab/>
        <w:t>O que precisa de saber antes de utilizar Humira</w:t>
      </w:r>
    </w:p>
    <w:p w14:paraId="307DCB67" w14:textId="77777777" w:rsidR="00685047" w:rsidRPr="008912CF" w:rsidRDefault="00615769" w:rsidP="00685047">
      <w:pPr>
        <w:ind w:left="567" w:hanging="567"/>
        <w:rPr>
          <w:sz w:val="22"/>
          <w:szCs w:val="22"/>
        </w:rPr>
      </w:pPr>
      <w:r w:rsidRPr="008912CF">
        <w:rPr>
          <w:sz w:val="22"/>
          <w:szCs w:val="22"/>
        </w:rPr>
        <w:t>3.</w:t>
      </w:r>
      <w:r w:rsidRPr="008912CF">
        <w:rPr>
          <w:sz w:val="22"/>
          <w:szCs w:val="22"/>
        </w:rPr>
        <w:tab/>
        <w:t>Como utilizar Humira</w:t>
      </w:r>
    </w:p>
    <w:p w14:paraId="64F0EBB5" w14:textId="77777777" w:rsidR="00685047" w:rsidRPr="008912CF" w:rsidRDefault="00615769" w:rsidP="00685047">
      <w:pPr>
        <w:ind w:left="567" w:hanging="567"/>
        <w:rPr>
          <w:sz w:val="22"/>
          <w:szCs w:val="22"/>
        </w:rPr>
      </w:pPr>
      <w:r w:rsidRPr="008912CF">
        <w:rPr>
          <w:sz w:val="22"/>
          <w:szCs w:val="22"/>
        </w:rPr>
        <w:t>4.</w:t>
      </w:r>
      <w:r w:rsidRPr="008912CF">
        <w:rPr>
          <w:sz w:val="22"/>
          <w:szCs w:val="22"/>
        </w:rPr>
        <w:tab/>
        <w:t xml:space="preserve">Efeitos </w:t>
      </w:r>
      <w:r w:rsidR="00571C82">
        <w:rPr>
          <w:sz w:val="22"/>
          <w:szCs w:val="22"/>
        </w:rPr>
        <w:t>indesejáveis</w:t>
      </w:r>
      <w:r w:rsidRPr="008912CF">
        <w:rPr>
          <w:sz w:val="22"/>
          <w:szCs w:val="22"/>
        </w:rPr>
        <w:t xml:space="preserve"> possíveis </w:t>
      </w:r>
    </w:p>
    <w:p w14:paraId="098F6EED" w14:textId="77777777" w:rsidR="00685047" w:rsidRPr="008912CF" w:rsidRDefault="00615769" w:rsidP="00685047">
      <w:pPr>
        <w:pStyle w:val="EMEABullet"/>
        <w:tabs>
          <w:tab w:val="clear" w:pos="567"/>
        </w:tabs>
        <w:suppressAutoHyphens w:val="0"/>
        <w:rPr>
          <w:szCs w:val="22"/>
          <w:lang w:val="pt-PT"/>
        </w:rPr>
      </w:pPr>
      <w:r w:rsidRPr="008912CF">
        <w:rPr>
          <w:szCs w:val="22"/>
          <w:lang w:val="pt-PT"/>
        </w:rPr>
        <w:t>5</w:t>
      </w:r>
      <w:r>
        <w:rPr>
          <w:szCs w:val="22"/>
          <w:lang w:val="pt-PT"/>
        </w:rPr>
        <w:t>.</w:t>
      </w:r>
      <w:r w:rsidRPr="008912CF">
        <w:rPr>
          <w:szCs w:val="22"/>
          <w:lang w:val="pt-PT"/>
        </w:rPr>
        <w:tab/>
      </w:r>
      <w:r w:rsidRPr="008912CF">
        <w:rPr>
          <w:szCs w:val="22"/>
          <w:lang w:val="pt-PT"/>
        </w:rPr>
        <w:t>Como conservar Humira</w:t>
      </w:r>
    </w:p>
    <w:p w14:paraId="5E9F2A5A" w14:textId="77777777" w:rsidR="00685047" w:rsidRDefault="00615769" w:rsidP="00685047">
      <w:pPr>
        <w:ind w:left="567" w:hanging="567"/>
        <w:rPr>
          <w:sz w:val="22"/>
          <w:szCs w:val="22"/>
        </w:rPr>
      </w:pPr>
      <w:r w:rsidRPr="008912CF">
        <w:rPr>
          <w:sz w:val="22"/>
          <w:szCs w:val="22"/>
        </w:rPr>
        <w:t>6.</w:t>
      </w:r>
      <w:r w:rsidRPr="008912CF">
        <w:rPr>
          <w:sz w:val="22"/>
          <w:szCs w:val="22"/>
        </w:rPr>
        <w:tab/>
        <w:t>Conteúdo da embalagem e outras informações</w:t>
      </w:r>
    </w:p>
    <w:p w14:paraId="1B2897A3" w14:textId="77777777" w:rsidR="00685047" w:rsidRPr="008912CF" w:rsidRDefault="00615769" w:rsidP="00685047">
      <w:pPr>
        <w:ind w:left="567" w:hanging="567"/>
        <w:rPr>
          <w:sz w:val="22"/>
          <w:szCs w:val="22"/>
        </w:rPr>
      </w:pPr>
      <w:r>
        <w:rPr>
          <w:sz w:val="22"/>
          <w:szCs w:val="22"/>
        </w:rPr>
        <w:t xml:space="preserve">7. </w:t>
      </w:r>
      <w:r>
        <w:rPr>
          <w:sz w:val="22"/>
          <w:szCs w:val="22"/>
        </w:rPr>
        <w:tab/>
      </w:r>
      <w:r w:rsidR="002B1873">
        <w:rPr>
          <w:sz w:val="22"/>
          <w:szCs w:val="22"/>
        </w:rPr>
        <w:t>Injetar Humira</w:t>
      </w:r>
    </w:p>
    <w:p w14:paraId="7F4E12FD" w14:textId="77777777" w:rsidR="00685047" w:rsidRPr="008912CF" w:rsidRDefault="00685047" w:rsidP="00685047">
      <w:pPr>
        <w:ind w:right="-2"/>
        <w:rPr>
          <w:sz w:val="22"/>
          <w:szCs w:val="22"/>
        </w:rPr>
      </w:pPr>
    </w:p>
    <w:p w14:paraId="713B7EC0" w14:textId="77777777" w:rsidR="00685047" w:rsidRPr="008912CF" w:rsidRDefault="00685047" w:rsidP="00685047">
      <w:pPr>
        <w:ind w:right="-2"/>
        <w:rPr>
          <w:sz w:val="22"/>
          <w:szCs w:val="22"/>
        </w:rPr>
      </w:pPr>
    </w:p>
    <w:p w14:paraId="127A7BEC" w14:textId="77777777" w:rsidR="00685047" w:rsidRPr="008912CF" w:rsidRDefault="00615769" w:rsidP="00685047">
      <w:pPr>
        <w:ind w:left="567" w:right="-2" w:hanging="567"/>
        <w:rPr>
          <w:sz w:val="22"/>
          <w:szCs w:val="22"/>
        </w:rPr>
      </w:pPr>
      <w:r w:rsidRPr="008912CF">
        <w:rPr>
          <w:b/>
          <w:sz w:val="22"/>
          <w:szCs w:val="22"/>
        </w:rPr>
        <w:t>1.</w:t>
      </w:r>
      <w:r w:rsidRPr="008912CF">
        <w:rPr>
          <w:b/>
          <w:sz w:val="22"/>
          <w:szCs w:val="22"/>
        </w:rPr>
        <w:tab/>
        <w:t>O que é Humira e para que é utilizado</w:t>
      </w:r>
    </w:p>
    <w:p w14:paraId="7FF0BD0F" w14:textId="77777777" w:rsidR="00685047" w:rsidRPr="008912CF" w:rsidRDefault="00685047" w:rsidP="00685047">
      <w:pPr>
        <w:pStyle w:val="EndnoteText"/>
        <w:tabs>
          <w:tab w:val="clear" w:pos="567"/>
        </w:tabs>
        <w:rPr>
          <w:szCs w:val="22"/>
        </w:rPr>
      </w:pPr>
    </w:p>
    <w:p w14:paraId="5191EEB8" w14:textId="77777777" w:rsidR="00685047" w:rsidRPr="008B0DDF" w:rsidRDefault="00615769" w:rsidP="00685047">
      <w:pPr>
        <w:rPr>
          <w:sz w:val="22"/>
          <w:szCs w:val="22"/>
        </w:rPr>
      </w:pPr>
      <w:r w:rsidRPr="004931CE">
        <w:rPr>
          <w:sz w:val="22"/>
          <w:szCs w:val="22"/>
        </w:rPr>
        <w:t>Humira contém adalimumab como substância ativa</w:t>
      </w:r>
      <w:r w:rsidRPr="008B0DDF">
        <w:rPr>
          <w:sz w:val="22"/>
          <w:szCs w:val="22"/>
        </w:rPr>
        <w:t>.</w:t>
      </w:r>
    </w:p>
    <w:p w14:paraId="667FF5DD" w14:textId="77777777" w:rsidR="00685047" w:rsidRPr="008B0DDF" w:rsidRDefault="00685047" w:rsidP="00685047">
      <w:pPr>
        <w:rPr>
          <w:sz w:val="22"/>
          <w:szCs w:val="22"/>
        </w:rPr>
      </w:pPr>
    </w:p>
    <w:p w14:paraId="56080423" w14:textId="77777777" w:rsidR="00685047" w:rsidRDefault="00615769" w:rsidP="00685047">
      <w:pPr>
        <w:rPr>
          <w:sz w:val="22"/>
          <w:szCs w:val="22"/>
        </w:rPr>
      </w:pPr>
      <w:r w:rsidRPr="008B0DDF">
        <w:rPr>
          <w:sz w:val="22"/>
          <w:szCs w:val="22"/>
        </w:rPr>
        <w:t>Humira é usado no tratamento da</w:t>
      </w:r>
    </w:p>
    <w:p w14:paraId="0C939F4A" w14:textId="77777777" w:rsidR="002918AC" w:rsidRPr="00AA7352" w:rsidRDefault="00615769" w:rsidP="00AA7352">
      <w:pPr>
        <w:pStyle w:val="ListParagraph"/>
        <w:numPr>
          <w:ilvl w:val="0"/>
          <w:numId w:val="111"/>
        </w:numPr>
        <w:rPr>
          <w:sz w:val="22"/>
          <w:szCs w:val="22"/>
        </w:rPr>
      </w:pPr>
      <w:r>
        <w:rPr>
          <w:sz w:val="22"/>
          <w:szCs w:val="22"/>
        </w:rPr>
        <w:t>Artrite reumatoide</w:t>
      </w:r>
    </w:p>
    <w:p w14:paraId="165294EE" w14:textId="77777777" w:rsidR="00685047" w:rsidRPr="00C248FE" w:rsidRDefault="00615769" w:rsidP="00C248FE">
      <w:pPr>
        <w:numPr>
          <w:ilvl w:val="0"/>
          <w:numId w:val="84"/>
        </w:numPr>
        <w:tabs>
          <w:tab w:val="left" w:pos="720"/>
        </w:tabs>
        <w:suppressAutoHyphens/>
        <w:rPr>
          <w:rFonts w:eastAsia="Times New Roman"/>
          <w:sz w:val="22"/>
          <w:lang w:val="en-GB"/>
        </w:rPr>
      </w:pPr>
      <w:r w:rsidRPr="00C248FE">
        <w:rPr>
          <w:rFonts w:eastAsia="Times New Roman"/>
          <w:sz w:val="22"/>
          <w:lang w:val="en-GB"/>
        </w:rPr>
        <w:t>Psoríase em placas</w:t>
      </w:r>
    </w:p>
    <w:p w14:paraId="79282707" w14:textId="77777777" w:rsidR="00685047" w:rsidRPr="00C248FE" w:rsidRDefault="00615769" w:rsidP="00C248FE">
      <w:pPr>
        <w:numPr>
          <w:ilvl w:val="0"/>
          <w:numId w:val="84"/>
        </w:numPr>
        <w:tabs>
          <w:tab w:val="left" w:pos="720"/>
        </w:tabs>
        <w:suppressAutoHyphens/>
        <w:rPr>
          <w:rFonts w:eastAsia="Times New Roman"/>
          <w:sz w:val="22"/>
          <w:lang w:val="en-GB"/>
        </w:rPr>
      </w:pPr>
      <w:r w:rsidRPr="00C248FE">
        <w:rPr>
          <w:rFonts w:eastAsia="Times New Roman"/>
          <w:sz w:val="22"/>
          <w:lang w:val="en-GB"/>
        </w:rPr>
        <w:t>Hidradenite supurativa</w:t>
      </w:r>
    </w:p>
    <w:p w14:paraId="146E3D11" w14:textId="77777777" w:rsidR="00685047" w:rsidRPr="00C248FE" w:rsidRDefault="00615769" w:rsidP="00C248FE">
      <w:pPr>
        <w:numPr>
          <w:ilvl w:val="0"/>
          <w:numId w:val="84"/>
        </w:numPr>
        <w:tabs>
          <w:tab w:val="left" w:pos="720"/>
        </w:tabs>
        <w:suppressAutoHyphens/>
        <w:rPr>
          <w:rFonts w:eastAsia="Times New Roman"/>
          <w:sz w:val="22"/>
          <w:lang w:val="en-GB"/>
        </w:rPr>
      </w:pPr>
      <w:r w:rsidRPr="00C248FE">
        <w:rPr>
          <w:rFonts w:eastAsia="Times New Roman"/>
          <w:sz w:val="22"/>
          <w:lang w:val="en-GB"/>
        </w:rPr>
        <w:t>Doença de Crohn</w:t>
      </w:r>
    </w:p>
    <w:p w14:paraId="64298306" w14:textId="77777777" w:rsidR="00685047" w:rsidRPr="00C248FE" w:rsidRDefault="00615769" w:rsidP="00C248FE">
      <w:pPr>
        <w:numPr>
          <w:ilvl w:val="0"/>
          <w:numId w:val="84"/>
        </w:numPr>
        <w:tabs>
          <w:tab w:val="left" w:pos="720"/>
        </w:tabs>
        <w:suppressAutoHyphens/>
        <w:rPr>
          <w:rFonts w:eastAsia="Times New Roman"/>
          <w:sz w:val="22"/>
          <w:lang w:val="en-GB"/>
        </w:rPr>
      </w:pPr>
      <w:r w:rsidRPr="00C248FE">
        <w:rPr>
          <w:rFonts w:eastAsia="Times New Roman"/>
          <w:sz w:val="22"/>
          <w:lang w:val="en-GB"/>
        </w:rPr>
        <w:t>Colite ulcerosa</w:t>
      </w:r>
    </w:p>
    <w:p w14:paraId="279472D2" w14:textId="77777777" w:rsidR="00685047" w:rsidRPr="005F6F98" w:rsidRDefault="00615769" w:rsidP="00C248FE">
      <w:pPr>
        <w:numPr>
          <w:ilvl w:val="0"/>
          <w:numId w:val="84"/>
        </w:numPr>
        <w:tabs>
          <w:tab w:val="left" w:pos="720"/>
        </w:tabs>
        <w:suppressAutoHyphens/>
        <w:rPr>
          <w:sz w:val="22"/>
          <w:szCs w:val="22"/>
        </w:rPr>
      </w:pPr>
      <w:r w:rsidRPr="0093225C">
        <w:rPr>
          <w:rFonts w:eastAsia="Times New Roman"/>
          <w:sz w:val="22"/>
        </w:rPr>
        <w:t>Uveíte</w:t>
      </w:r>
      <w:r w:rsidRPr="005F6F98">
        <w:rPr>
          <w:sz w:val="22"/>
          <w:szCs w:val="22"/>
        </w:rPr>
        <w:t xml:space="preserve"> não infec</w:t>
      </w:r>
      <w:r w:rsidR="00FC2F7D">
        <w:rPr>
          <w:sz w:val="22"/>
          <w:szCs w:val="22"/>
        </w:rPr>
        <w:t>c</w:t>
      </w:r>
      <w:r w:rsidRPr="005F6F98">
        <w:rPr>
          <w:sz w:val="22"/>
          <w:szCs w:val="22"/>
        </w:rPr>
        <w:t>iosa</w:t>
      </w:r>
    </w:p>
    <w:p w14:paraId="05059C83" w14:textId="77777777" w:rsidR="00C0208A" w:rsidRDefault="00615769" w:rsidP="00C0208A">
      <w:pPr>
        <w:ind w:right="-2"/>
        <w:rPr>
          <w:sz w:val="22"/>
          <w:szCs w:val="22"/>
        </w:rPr>
      </w:pPr>
      <w:r w:rsidRPr="00003560">
        <w:rPr>
          <w:sz w:val="22"/>
          <w:szCs w:val="22"/>
        </w:rPr>
        <w:t xml:space="preserve"> </w:t>
      </w:r>
    </w:p>
    <w:p w14:paraId="4352063C" w14:textId="77777777" w:rsidR="00C0208A" w:rsidRPr="007D762F" w:rsidRDefault="00615769" w:rsidP="00C0208A">
      <w:pPr>
        <w:ind w:right="-2"/>
        <w:rPr>
          <w:sz w:val="22"/>
          <w:szCs w:val="22"/>
        </w:rPr>
      </w:pPr>
      <w:r w:rsidRPr="007D762F">
        <w:rPr>
          <w:sz w:val="22"/>
          <w:szCs w:val="22"/>
        </w:rPr>
        <w:t>A substância ativa de Humira, adalimumab, é um anticorpo monoclonal humano. Os anticorpos monoclonais são proteínas que se ligam a um alvo específico.</w:t>
      </w:r>
    </w:p>
    <w:p w14:paraId="3CC611ED" w14:textId="77777777" w:rsidR="00C0208A" w:rsidRPr="007D762F" w:rsidRDefault="00C0208A" w:rsidP="00C0208A">
      <w:pPr>
        <w:ind w:right="-2"/>
        <w:rPr>
          <w:sz w:val="22"/>
          <w:szCs w:val="22"/>
        </w:rPr>
      </w:pPr>
    </w:p>
    <w:p w14:paraId="15AA7AAE" w14:textId="77777777" w:rsidR="00685047" w:rsidRDefault="00615769" w:rsidP="00685047">
      <w:pPr>
        <w:pStyle w:val="BodyText2"/>
        <w:autoSpaceDE/>
        <w:autoSpaceDN/>
        <w:adjustRightInd/>
        <w:rPr>
          <w:szCs w:val="22"/>
        </w:rPr>
      </w:pPr>
      <w:r w:rsidRPr="007D762F">
        <w:rPr>
          <w:szCs w:val="22"/>
        </w:rPr>
        <w:t>O alvo de adalimumab é uma proteína denominada fator de necrose tumoral (TNFα), que está envolvida no sistema imunitário (defesa) e está presente em níveis aumentados nas doenças inflamatórias a</w:t>
      </w:r>
      <w:r w:rsidR="00816FFE">
        <w:rPr>
          <w:szCs w:val="22"/>
        </w:rPr>
        <w:t>cima</w:t>
      </w:r>
      <w:r w:rsidRPr="007D762F">
        <w:rPr>
          <w:szCs w:val="22"/>
        </w:rPr>
        <w:t xml:space="preserve"> mencionadas. </w:t>
      </w:r>
      <w:r w:rsidR="00D26B76">
        <w:rPr>
          <w:szCs w:val="22"/>
        </w:rPr>
        <w:t xml:space="preserve">Ao ligar-se </w:t>
      </w:r>
      <w:r w:rsidRPr="007D762F">
        <w:rPr>
          <w:szCs w:val="22"/>
        </w:rPr>
        <w:t>ao TNFα, Humira diminui o processo inflamatório destas doenças.</w:t>
      </w:r>
    </w:p>
    <w:p w14:paraId="483126EC" w14:textId="77777777" w:rsidR="008B332E" w:rsidRDefault="008B332E" w:rsidP="00685047">
      <w:pPr>
        <w:pStyle w:val="DefaultText"/>
        <w:rPr>
          <w:rFonts w:ascii="Times New Roman" w:hAnsi="Times New Roman"/>
          <w:b/>
          <w:szCs w:val="22"/>
          <w:lang w:val="pt-PT"/>
        </w:rPr>
      </w:pPr>
    </w:p>
    <w:p w14:paraId="20AF110A" w14:textId="77777777" w:rsidR="00AE6411" w:rsidRPr="00277153" w:rsidRDefault="00615769" w:rsidP="00AE6411">
      <w:pPr>
        <w:rPr>
          <w:sz w:val="22"/>
          <w:szCs w:val="22"/>
        </w:rPr>
      </w:pPr>
      <w:r w:rsidRPr="00277153">
        <w:rPr>
          <w:b/>
          <w:sz w:val="22"/>
          <w:szCs w:val="22"/>
        </w:rPr>
        <w:t>Artrite reumatoide</w:t>
      </w:r>
    </w:p>
    <w:p w14:paraId="772D7649" w14:textId="77777777" w:rsidR="00AE6411" w:rsidRPr="006462E3" w:rsidRDefault="00AE6411" w:rsidP="00AE6411">
      <w:pPr>
        <w:rPr>
          <w:sz w:val="22"/>
          <w:szCs w:val="22"/>
        </w:rPr>
      </w:pPr>
    </w:p>
    <w:p w14:paraId="261FBD91" w14:textId="77777777" w:rsidR="00AE6411" w:rsidRPr="006462E3" w:rsidRDefault="00615769" w:rsidP="00AE6411">
      <w:pPr>
        <w:rPr>
          <w:sz w:val="22"/>
          <w:szCs w:val="22"/>
        </w:rPr>
      </w:pPr>
      <w:r w:rsidRPr="006462E3">
        <w:rPr>
          <w:sz w:val="22"/>
          <w:szCs w:val="22"/>
        </w:rPr>
        <w:t>A artrite reumatoide é uma doença inflamatória das articulações.</w:t>
      </w:r>
    </w:p>
    <w:p w14:paraId="2AB81EA5" w14:textId="77777777" w:rsidR="00AE6411" w:rsidRPr="009A05BE" w:rsidRDefault="00AE6411" w:rsidP="00AE6411">
      <w:pPr>
        <w:ind w:right="-2"/>
        <w:rPr>
          <w:sz w:val="22"/>
          <w:szCs w:val="22"/>
        </w:rPr>
      </w:pPr>
    </w:p>
    <w:p w14:paraId="747C77E8" w14:textId="77777777" w:rsidR="00AE6411" w:rsidRPr="00653128" w:rsidRDefault="00615769" w:rsidP="00AE6411">
      <w:pPr>
        <w:ind w:right="-2"/>
        <w:rPr>
          <w:sz w:val="22"/>
          <w:szCs w:val="22"/>
        </w:rPr>
      </w:pPr>
      <w:r w:rsidRPr="00854C93">
        <w:rPr>
          <w:sz w:val="22"/>
          <w:szCs w:val="22"/>
        </w:rPr>
        <w:t xml:space="preserve">Humira é usado no tratamento da artrite reumatoide moderada a grave em adultos. </w:t>
      </w:r>
      <w:r w:rsidRPr="0089156B">
        <w:rPr>
          <w:sz w:val="22"/>
          <w:szCs w:val="22"/>
        </w:rPr>
        <w:t>É</w:t>
      </w:r>
      <w:r w:rsidRPr="000B3FE3">
        <w:rPr>
          <w:sz w:val="22"/>
          <w:szCs w:val="22"/>
        </w:rPr>
        <w:t xml:space="preserve"> possível que tenha sido previamente tratado com outros medicamentos modificadores da doença, como m</w:t>
      </w:r>
      <w:r w:rsidRPr="004931CE">
        <w:rPr>
          <w:sz w:val="22"/>
          <w:szCs w:val="22"/>
        </w:rPr>
        <w:t>etotrexato. Se a sua resposta a estes medicamentos tiver sido insuficiente, ser-lhe-á administrado Humira</w:t>
      </w:r>
      <w:r w:rsidRPr="00653128">
        <w:rPr>
          <w:sz w:val="22"/>
          <w:szCs w:val="22"/>
        </w:rPr>
        <w:t>.</w:t>
      </w:r>
    </w:p>
    <w:p w14:paraId="6610E28F" w14:textId="77777777" w:rsidR="00AE6411" w:rsidRPr="00653128" w:rsidRDefault="00AE6411" w:rsidP="00AE6411">
      <w:pPr>
        <w:ind w:right="-2"/>
        <w:rPr>
          <w:sz w:val="22"/>
          <w:szCs w:val="22"/>
        </w:rPr>
      </w:pPr>
    </w:p>
    <w:p w14:paraId="30D07BB7" w14:textId="77777777" w:rsidR="00AE6411" w:rsidRPr="002D4DE5" w:rsidRDefault="00615769" w:rsidP="00AE6411">
      <w:pPr>
        <w:ind w:right="-2"/>
        <w:rPr>
          <w:sz w:val="22"/>
          <w:szCs w:val="22"/>
        </w:rPr>
      </w:pPr>
      <w:r w:rsidRPr="00D33370">
        <w:rPr>
          <w:sz w:val="22"/>
          <w:szCs w:val="22"/>
        </w:rPr>
        <w:t xml:space="preserve">Humira pode ser usado no tratamento da artrite reumatoide grave, ativa e progressiva sem tratamento prévio com </w:t>
      </w:r>
      <w:r w:rsidRPr="002D4DE5">
        <w:rPr>
          <w:sz w:val="22"/>
          <w:szCs w:val="22"/>
        </w:rPr>
        <w:t>metotrexato.</w:t>
      </w:r>
    </w:p>
    <w:p w14:paraId="4926E74F" w14:textId="77777777" w:rsidR="00AE6411" w:rsidRPr="00003560" w:rsidRDefault="00AE6411" w:rsidP="00AE6411">
      <w:pPr>
        <w:ind w:right="-2"/>
        <w:rPr>
          <w:sz w:val="22"/>
          <w:szCs w:val="22"/>
        </w:rPr>
      </w:pPr>
    </w:p>
    <w:p w14:paraId="748494A4" w14:textId="77777777" w:rsidR="00AE6411" w:rsidRPr="00854C93" w:rsidRDefault="00615769" w:rsidP="00AE6411">
      <w:pPr>
        <w:ind w:right="-2"/>
        <w:rPr>
          <w:sz w:val="22"/>
          <w:szCs w:val="22"/>
        </w:rPr>
      </w:pPr>
      <w:r w:rsidRPr="00003560">
        <w:rPr>
          <w:sz w:val="22"/>
          <w:szCs w:val="22"/>
        </w:rPr>
        <w:t xml:space="preserve">Humira </w:t>
      </w:r>
      <w:r w:rsidRPr="005F6F98">
        <w:rPr>
          <w:sz w:val="22"/>
          <w:szCs w:val="22"/>
        </w:rPr>
        <w:t xml:space="preserve">pode retardar a lesão das articulações causada pela doença </w:t>
      </w:r>
      <w:r w:rsidRPr="002B2441">
        <w:rPr>
          <w:sz w:val="22"/>
          <w:szCs w:val="22"/>
        </w:rPr>
        <w:t>inflamatória e pode ajud</w:t>
      </w:r>
      <w:r w:rsidRPr="00854C93">
        <w:rPr>
          <w:sz w:val="22"/>
          <w:szCs w:val="22"/>
        </w:rPr>
        <w:t>á-las a mover</w:t>
      </w:r>
      <w:r>
        <w:rPr>
          <w:sz w:val="22"/>
          <w:szCs w:val="22"/>
        </w:rPr>
        <w:t>em</w:t>
      </w:r>
      <w:r w:rsidRPr="00854C93">
        <w:rPr>
          <w:sz w:val="22"/>
          <w:szCs w:val="22"/>
        </w:rPr>
        <w:t>-se mais livremente.</w:t>
      </w:r>
    </w:p>
    <w:p w14:paraId="1D475AB5" w14:textId="77777777" w:rsidR="00AE6411" w:rsidRPr="0089156B" w:rsidRDefault="00AE6411" w:rsidP="00AE6411">
      <w:pPr>
        <w:ind w:right="-2"/>
        <w:rPr>
          <w:sz w:val="22"/>
          <w:szCs w:val="22"/>
        </w:rPr>
      </w:pPr>
    </w:p>
    <w:p w14:paraId="556F806F" w14:textId="77777777" w:rsidR="00AE6411" w:rsidRDefault="00615769" w:rsidP="00AA7352">
      <w:pPr>
        <w:ind w:right="-2"/>
        <w:rPr>
          <w:b/>
          <w:szCs w:val="22"/>
        </w:rPr>
      </w:pPr>
      <w:r w:rsidRPr="004931CE">
        <w:rPr>
          <w:sz w:val="22"/>
          <w:szCs w:val="22"/>
        </w:rPr>
        <w:t>O seu médico irá decidir se Humira pode ser usado com metotrexato ou isola</w:t>
      </w:r>
      <w:r w:rsidRPr="00653128">
        <w:rPr>
          <w:sz w:val="22"/>
          <w:szCs w:val="22"/>
        </w:rPr>
        <w:t>damente.</w:t>
      </w:r>
    </w:p>
    <w:p w14:paraId="319F0262" w14:textId="77777777" w:rsidR="00AE6411" w:rsidRDefault="00AE6411" w:rsidP="00685047">
      <w:pPr>
        <w:pStyle w:val="DefaultText"/>
        <w:rPr>
          <w:rFonts w:ascii="Times New Roman" w:hAnsi="Times New Roman"/>
          <w:b/>
          <w:szCs w:val="22"/>
          <w:lang w:val="pt-PT"/>
        </w:rPr>
      </w:pPr>
    </w:p>
    <w:p w14:paraId="3C2B3E32" w14:textId="77777777" w:rsidR="00685047" w:rsidRPr="004C7CB8" w:rsidRDefault="00615769" w:rsidP="00685047">
      <w:pPr>
        <w:pStyle w:val="DefaultText"/>
        <w:rPr>
          <w:rFonts w:ascii="Times New Roman" w:hAnsi="Times New Roman"/>
          <w:b/>
          <w:szCs w:val="22"/>
          <w:lang w:val="pt-PT"/>
        </w:rPr>
      </w:pPr>
      <w:r w:rsidRPr="004C7CB8">
        <w:rPr>
          <w:rFonts w:ascii="Times New Roman" w:hAnsi="Times New Roman"/>
          <w:b/>
          <w:szCs w:val="22"/>
          <w:lang w:val="pt-PT"/>
        </w:rPr>
        <w:t xml:space="preserve">Psoríase em placas </w:t>
      </w:r>
    </w:p>
    <w:p w14:paraId="61FDE0C6" w14:textId="77777777" w:rsidR="00685047" w:rsidRPr="008912CF" w:rsidRDefault="00685047" w:rsidP="00685047">
      <w:pPr>
        <w:ind w:right="-2"/>
        <w:rPr>
          <w:sz w:val="22"/>
          <w:szCs w:val="22"/>
          <w:u w:val="single"/>
        </w:rPr>
      </w:pPr>
    </w:p>
    <w:p w14:paraId="63A4F940" w14:textId="77777777" w:rsidR="00685047" w:rsidRDefault="00615769" w:rsidP="00685047">
      <w:pPr>
        <w:rPr>
          <w:sz w:val="22"/>
          <w:szCs w:val="22"/>
        </w:rPr>
      </w:pPr>
      <w:r w:rsidRPr="008912CF">
        <w:rPr>
          <w:sz w:val="22"/>
          <w:szCs w:val="22"/>
        </w:rPr>
        <w:t xml:space="preserve">Psoríase em placas é uma doença da pele que provoca manchas avermelhadas, secas e com placas na pele, cobertas de escamas prateadas. </w:t>
      </w:r>
      <w:r w:rsidRPr="007D08AF">
        <w:rPr>
          <w:sz w:val="22"/>
          <w:szCs w:val="22"/>
        </w:rPr>
        <w:t xml:space="preserve">A psoríase em placas pode também afetar as unhas, causando a sua desintegração, tornando-as espessas e descoladas da </w:t>
      </w:r>
      <w:r>
        <w:rPr>
          <w:sz w:val="22"/>
          <w:szCs w:val="22"/>
        </w:rPr>
        <w:t>base da unha</w:t>
      </w:r>
      <w:r w:rsidRPr="007D08AF">
        <w:rPr>
          <w:sz w:val="22"/>
          <w:szCs w:val="22"/>
        </w:rPr>
        <w:t xml:space="preserve"> o que pode ser doloroso.</w:t>
      </w:r>
    </w:p>
    <w:p w14:paraId="4AFAE69D" w14:textId="77777777" w:rsidR="00685047" w:rsidRPr="008912CF" w:rsidRDefault="00685047" w:rsidP="00685047"/>
    <w:p w14:paraId="166DF120" w14:textId="77777777" w:rsidR="00685047" w:rsidRPr="00973CF1" w:rsidRDefault="00615769" w:rsidP="00F03C54">
      <w:pPr>
        <w:pStyle w:val="DefaultText"/>
        <w:rPr>
          <w:rFonts w:eastAsia="Times New Roman"/>
          <w:lang w:val="pt-PT"/>
        </w:rPr>
      </w:pPr>
      <w:r w:rsidRPr="008912CF">
        <w:rPr>
          <w:rFonts w:ascii="Times New Roman" w:hAnsi="Times New Roman"/>
          <w:szCs w:val="22"/>
          <w:lang w:val="pt-PT"/>
        </w:rPr>
        <w:t xml:space="preserve">Humira é usado no tratamento da </w:t>
      </w:r>
      <w:r w:rsidRPr="00F03C54">
        <w:rPr>
          <w:rFonts w:ascii="Times New Roman" w:eastAsia="Times New Roman" w:hAnsi="Times New Roman"/>
          <w:lang w:val="pt-PT"/>
        </w:rPr>
        <w:t xml:space="preserve">psoríase </w:t>
      </w:r>
      <w:r w:rsidR="006A3BD4">
        <w:rPr>
          <w:rFonts w:ascii="Times New Roman" w:eastAsia="Times New Roman" w:hAnsi="Times New Roman"/>
          <w:lang w:val="pt-PT"/>
        </w:rPr>
        <w:t xml:space="preserve">crónica </w:t>
      </w:r>
      <w:r w:rsidRPr="00F03C54">
        <w:rPr>
          <w:rFonts w:ascii="Times New Roman" w:eastAsia="Times New Roman" w:hAnsi="Times New Roman"/>
          <w:lang w:val="pt-PT"/>
        </w:rPr>
        <w:t xml:space="preserve">em placas moderada a grave em adultos. </w:t>
      </w:r>
    </w:p>
    <w:p w14:paraId="12C8152C" w14:textId="77777777" w:rsidR="00685047" w:rsidRPr="008912CF" w:rsidRDefault="00685047" w:rsidP="00685047">
      <w:pPr>
        <w:rPr>
          <w:sz w:val="22"/>
          <w:szCs w:val="22"/>
        </w:rPr>
      </w:pPr>
    </w:p>
    <w:p w14:paraId="20E0E379" w14:textId="77777777" w:rsidR="00685047" w:rsidRPr="004C7CB8" w:rsidRDefault="00615769" w:rsidP="0093521F">
      <w:pPr>
        <w:keepNext/>
        <w:ind w:right="-2"/>
        <w:rPr>
          <w:b/>
          <w:sz w:val="22"/>
          <w:szCs w:val="22"/>
        </w:rPr>
      </w:pPr>
      <w:r w:rsidRPr="004C7CB8">
        <w:rPr>
          <w:b/>
          <w:sz w:val="22"/>
          <w:szCs w:val="22"/>
        </w:rPr>
        <w:t xml:space="preserve">Hidradenite supurativa </w:t>
      </w:r>
    </w:p>
    <w:p w14:paraId="6E834C0E" w14:textId="77777777" w:rsidR="00685047" w:rsidRPr="00B427DD" w:rsidRDefault="00685047" w:rsidP="0093521F">
      <w:pPr>
        <w:keepNext/>
        <w:ind w:right="-2"/>
        <w:rPr>
          <w:sz w:val="22"/>
          <w:szCs w:val="22"/>
        </w:rPr>
      </w:pPr>
    </w:p>
    <w:p w14:paraId="3E09B0A5" w14:textId="77777777" w:rsidR="00685047" w:rsidRPr="008912CF" w:rsidRDefault="00615769" w:rsidP="0093521F">
      <w:pPr>
        <w:keepNext/>
        <w:ind w:right="-2"/>
        <w:rPr>
          <w:sz w:val="22"/>
          <w:szCs w:val="22"/>
        </w:rPr>
      </w:pPr>
      <w:r w:rsidRPr="008912CF">
        <w:rPr>
          <w:sz w:val="22"/>
          <w:szCs w:val="22"/>
        </w:rPr>
        <w:t xml:space="preserve">Hidradenite supurativa (por vezes chamada hidrosadenite supurativa ou acne inversa) é uma doença inflamatória crónica da pele, muitas vezes dolorosa. Os sintomas podem incluir nódulos dolorosos (caroços) e abcessos (furúnculos) que podem libertar pus. Frequentemente afeta áreas da pele </w:t>
      </w:r>
      <w:r w:rsidRPr="008912CF">
        <w:t>específicas</w:t>
      </w:r>
      <w:r w:rsidRPr="008912CF">
        <w:rPr>
          <w:sz w:val="22"/>
          <w:szCs w:val="22"/>
        </w:rPr>
        <w:t xml:space="preserve">, tais como a região inframamária (abaixo das mamas), axilas, coxas, virilhas e nádegas. Nas áreas afetadas, podem também surgir cicatrizes. </w:t>
      </w:r>
    </w:p>
    <w:p w14:paraId="14CA71A7" w14:textId="77777777" w:rsidR="00685047" w:rsidRDefault="00685047" w:rsidP="00685047">
      <w:pPr>
        <w:rPr>
          <w:sz w:val="22"/>
          <w:szCs w:val="22"/>
        </w:rPr>
      </w:pPr>
    </w:p>
    <w:p w14:paraId="3576C0A0" w14:textId="77777777" w:rsidR="00685047" w:rsidRPr="008B0DDF" w:rsidRDefault="00615769" w:rsidP="00685047">
      <w:pPr>
        <w:rPr>
          <w:sz w:val="22"/>
          <w:szCs w:val="22"/>
        </w:rPr>
      </w:pPr>
      <w:r w:rsidRPr="008B0DDF">
        <w:rPr>
          <w:sz w:val="22"/>
          <w:szCs w:val="22"/>
        </w:rPr>
        <w:t>Humira é usado no tratamento da</w:t>
      </w:r>
    </w:p>
    <w:p w14:paraId="27C8935E" w14:textId="77777777" w:rsidR="00685047" w:rsidRPr="0093225C" w:rsidRDefault="00615769" w:rsidP="00C248FE">
      <w:pPr>
        <w:pStyle w:val="EMEANormal"/>
        <w:numPr>
          <w:ilvl w:val="0"/>
          <w:numId w:val="107"/>
        </w:numPr>
        <w:tabs>
          <w:tab w:val="clear" w:pos="562"/>
          <w:tab w:val="left" w:pos="720"/>
        </w:tabs>
        <w:rPr>
          <w:rFonts w:eastAsia="Times New Roman"/>
          <w:szCs w:val="21"/>
          <w:lang w:val="pt-PT"/>
        </w:rPr>
      </w:pPr>
      <w:r w:rsidRPr="0093225C">
        <w:rPr>
          <w:rFonts w:eastAsia="Times New Roman"/>
          <w:szCs w:val="21"/>
          <w:lang w:val="pt-PT"/>
        </w:rPr>
        <w:t>hidradenite supurativa moderada a grave em adultos e</w:t>
      </w:r>
    </w:p>
    <w:p w14:paraId="54CA3D70" w14:textId="77777777" w:rsidR="00685047" w:rsidRPr="0093225C" w:rsidRDefault="00615769" w:rsidP="00C248FE">
      <w:pPr>
        <w:pStyle w:val="EMEANormal"/>
        <w:numPr>
          <w:ilvl w:val="0"/>
          <w:numId w:val="107"/>
        </w:numPr>
        <w:tabs>
          <w:tab w:val="clear" w:pos="562"/>
          <w:tab w:val="left" w:pos="720"/>
        </w:tabs>
        <w:rPr>
          <w:rFonts w:eastAsia="Times New Roman"/>
          <w:szCs w:val="21"/>
          <w:lang w:val="pt-PT"/>
        </w:rPr>
      </w:pPr>
      <w:r w:rsidRPr="0093225C">
        <w:rPr>
          <w:rFonts w:eastAsia="Times New Roman"/>
          <w:szCs w:val="21"/>
          <w:lang w:val="pt-PT"/>
        </w:rPr>
        <w:t xml:space="preserve">hidradenite supurativa moderada a grave em adolescentes </w:t>
      </w:r>
      <w:r w:rsidR="00926003" w:rsidRPr="0093225C">
        <w:rPr>
          <w:rFonts w:eastAsia="Times New Roman"/>
          <w:szCs w:val="21"/>
          <w:lang w:val="pt-PT"/>
        </w:rPr>
        <w:t xml:space="preserve">entre os </w:t>
      </w:r>
      <w:r w:rsidRPr="0093225C">
        <w:rPr>
          <w:rFonts w:eastAsia="Times New Roman"/>
          <w:szCs w:val="21"/>
          <w:lang w:val="pt-PT"/>
        </w:rPr>
        <w:t xml:space="preserve">12 </w:t>
      </w:r>
      <w:r w:rsidR="00926003" w:rsidRPr="0093225C">
        <w:rPr>
          <w:rFonts w:eastAsia="Times New Roman"/>
          <w:szCs w:val="21"/>
          <w:lang w:val="pt-PT"/>
        </w:rPr>
        <w:t xml:space="preserve">e os 17 </w:t>
      </w:r>
      <w:r w:rsidRPr="0093225C">
        <w:rPr>
          <w:rFonts w:eastAsia="Times New Roman"/>
          <w:szCs w:val="21"/>
          <w:lang w:val="pt-PT"/>
        </w:rPr>
        <w:t>anos</w:t>
      </w:r>
    </w:p>
    <w:p w14:paraId="6DA3C5AE" w14:textId="77777777" w:rsidR="00685047" w:rsidRDefault="00685047" w:rsidP="00685047">
      <w:pPr>
        <w:ind w:right="-2"/>
        <w:rPr>
          <w:sz w:val="22"/>
          <w:szCs w:val="22"/>
        </w:rPr>
      </w:pPr>
    </w:p>
    <w:p w14:paraId="3EE395CD" w14:textId="77777777" w:rsidR="00685047" w:rsidRDefault="00615769" w:rsidP="00685047">
      <w:pPr>
        <w:ind w:right="-2"/>
        <w:rPr>
          <w:sz w:val="22"/>
          <w:szCs w:val="22"/>
        </w:rPr>
      </w:pPr>
      <w:r w:rsidRPr="008912CF">
        <w:rPr>
          <w:sz w:val="22"/>
          <w:szCs w:val="22"/>
        </w:rPr>
        <w:t>Humira pode reduzir o número de nódulos e abcessos existentes, bem como a dor frequentemente associada com a doença.</w:t>
      </w:r>
      <w:r>
        <w:rPr>
          <w:sz w:val="22"/>
          <w:szCs w:val="22"/>
        </w:rPr>
        <w:t xml:space="preserve"> </w:t>
      </w:r>
      <w:r w:rsidRPr="00653128">
        <w:rPr>
          <w:sz w:val="22"/>
          <w:szCs w:val="22"/>
        </w:rPr>
        <w:t>Pode ser tratado inicialmente com outros medicamentos. Se não responder suficientemente bem a estes me</w:t>
      </w:r>
      <w:r w:rsidRPr="00D33370">
        <w:rPr>
          <w:sz w:val="22"/>
          <w:szCs w:val="22"/>
        </w:rPr>
        <w:t>dicamentos, receberá Humira</w:t>
      </w:r>
      <w:r>
        <w:rPr>
          <w:sz w:val="22"/>
          <w:szCs w:val="22"/>
        </w:rPr>
        <w:t>.</w:t>
      </w:r>
    </w:p>
    <w:p w14:paraId="3BF6C166" w14:textId="77777777" w:rsidR="00685047" w:rsidRPr="008912CF" w:rsidRDefault="00685047" w:rsidP="00685047">
      <w:pPr>
        <w:ind w:right="-2"/>
        <w:rPr>
          <w:sz w:val="22"/>
          <w:szCs w:val="22"/>
        </w:rPr>
      </w:pPr>
    </w:p>
    <w:p w14:paraId="04663D6D" w14:textId="77777777" w:rsidR="00685047" w:rsidRPr="004C7CB8" w:rsidRDefault="00615769" w:rsidP="00685047">
      <w:pPr>
        <w:keepNext/>
        <w:rPr>
          <w:b/>
          <w:sz w:val="22"/>
          <w:szCs w:val="22"/>
        </w:rPr>
      </w:pPr>
      <w:r w:rsidRPr="004C7CB8">
        <w:rPr>
          <w:b/>
          <w:sz w:val="22"/>
          <w:szCs w:val="22"/>
        </w:rPr>
        <w:t xml:space="preserve">Doença de Crohn </w:t>
      </w:r>
    </w:p>
    <w:p w14:paraId="614F2A21" w14:textId="77777777" w:rsidR="00685047" w:rsidRPr="008912CF" w:rsidRDefault="00685047" w:rsidP="00685047">
      <w:pPr>
        <w:pStyle w:val="EndnoteText"/>
        <w:keepNext/>
        <w:tabs>
          <w:tab w:val="clear" w:pos="567"/>
        </w:tabs>
        <w:rPr>
          <w:szCs w:val="22"/>
        </w:rPr>
      </w:pPr>
    </w:p>
    <w:p w14:paraId="35102249" w14:textId="77777777" w:rsidR="00685047" w:rsidRPr="008912CF" w:rsidRDefault="00615769" w:rsidP="00685047">
      <w:pPr>
        <w:pStyle w:val="EndnoteText"/>
        <w:keepNext/>
        <w:tabs>
          <w:tab w:val="clear" w:pos="567"/>
        </w:tabs>
        <w:rPr>
          <w:szCs w:val="22"/>
        </w:rPr>
      </w:pPr>
      <w:r w:rsidRPr="008912CF">
        <w:rPr>
          <w:szCs w:val="22"/>
        </w:rPr>
        <w:t>A doença de Crohn é uma doença inflamatória do aparelho digestivo.</w:t>
      </w:r>
    </w:p>
    <w:p w14:paraId="47000C62" w14:textId="77777777" w:rsidR="00685047" w:rsidRPr="008912CF" w:rsidRDefault="00685047" w:rsidP="00685047">
      <w:pPr>
        <w:pStyle w:val="BodyText2"/>
        <w:autoSpaceDE/>
        <w:autoSpaceDN/>
        <w:adjustRightInd/>
        <w:rPr>
          <w:szCs w:val="22"/>
        </w:rPr>
      </w:pPr>
    </w:p>
    <w:p w14:paraId="67E7D87A" w14:textId="77777777" w:rsidR="00685047" w:rsidRDefault="00615769" w:rsidP="00685047">
      <w:pPr>
        <w:pStyle w:val="BodyText2"/>
        <w:autoSpaceDE/>
        <w:autoSpaceDN/>
        <w:adjustRightInd/>
        <w:rPr>
          <w:szCs w:val="22"/>
        </w:rPr>
      </w:pPr>
      <w:r w:rsidRPr="008912CF">
        <w:rPr>
          <w:szCs w:val="22"/>
        </w:rPr>
        <w:t xml:space="preserve">Humira é usado no tratamento da </w:t>
      </w:r>
    </w:p>
    <w:p w14:paraId="4468A819" w14:textId="77777777" w:rsidR="00685047" w:rsidRPr="0093225C" w:rsidRDefault="00615769" w:rsidP="00C248FE">
      <w:pPr>
        <w:pStyle w:val="EMEANormal"/>
        <w:numPr>
          <w:ilvl w:val="0"/>
          <w:numId w:val="107"/>
        </w:numPr>
        <w:tabs>
          <w:tab w:val="clear" w:pos="562"/>
          <w:tab w:val="left" w:pos="720"/>
        </w:tabs>
        <w:rPr>
          <w:rFonts w:eastAsia="Times New Roman"/>
          <w:szCs w:val="21"/>
          <w:lang w:val="pt-PT"/>
        </w:rPr>
      </w:pPr>
      <w:r w:rsidRPr="0093225C">
        <w:rPr>
          <w:rFonts w:eastAsia="Times New Roman"/>
          <w:szCs w:val="21"/>
          <w:lang w:val="pt-PT"/>
        </w:rPr>
        <w:t>doença de Crohn em adultos e</w:t>
      </w:r>
    </w:p>
    <w:p w14:paraId="7E059082" w14:textId="77777777" w:rsidR="00685047" w:rsidRPr="0093225C" w:rsidRDefault="00615769" w:rsidP="00C248FE">
      <w:pPr>
        <w:pStyle w:val="EMEANormal"/>
        <w:numPr>
          <w:ilvl w:val="0"/>
          <w:numId w:val="107"/>
        </w:numPr>
        <w:tabs>
          <w:tab w:val="clear" w:pos="562"/>
          <w:tab w:val="left" w:pos="720"/>
        </w:tabs>
        <w:rPr>
          <w:szCs w:val="22"/>
          <w:lang w:val="pt-PT"/>
        </w:rPr>
      </w:pPr>
      <w:r w:rsidRPr="0093225C">
        <w:rPr>
          <w:rFonts w:eastAsia="Times New Roman"/>
          <w:szCs w:val="21"/>
          <w:lang w:val="pt-PT"/>
        </w:rPr>
        <w:t>doença de Crohn em crianças</w:t>
      </w:r>
      <w:r w:rsidRPr="0093225C">
        <w:rPr>
          <w:szCs w:val="22"/>
          <w:lang w:val="pt-PT"/>
        </w:rPr>
        <w:t xml:space="preserve"> e adolescentes entre os 6 e os 17 anos</w:t>
      </w:r>
    </w:p>
    <w:p w14:paraId="3685CBBB" w14:textId="77777777" w:rsidR="00685047" w:rsidRDefault="00685047" w:rsidP="00685047">
      <w:pPr>
        <w:pStyle w:val="BodyText2"/>
        <w:autoSpaceDE/>
        <w:autoSpaceDN/>
        <w:adjustRightInd/>
        <w:rPr>
          <w:szCs w:val="22"/>
        </w:rPr>
      </w:pPr>
    </w:p>
    <w:p w14:paraId="45E58C31" w14:textId="77777777" w:rsidR="00685047" w:rsidRDefault="00615769" w:rsidP="00685047">
      <w:pPr>
        <w:ind w:right="-2"/>
        <w:rPr>
          <w:sz w:val="22"/>
          <w:szCs w:val="22"/>
        </w:rPr>
      </w:pPr>
      <w:r w:rsidRPr="00653128">
        <w:rPr>
          <w:sz w:val="22"/>
          <w:szCs w:val="22"/>
        </w:rPr>
        <w:t>Pode ser tratado inicialmente com outros medicamentos. Se não responder suficientemente bem a estes me</w:t>
      </w:r>
      <w:r w:rsidRPr="00D33370">
        <w:rPr>
          <w:sz w:val="22"/>
          <w:szCs w:val="22"/>
        </w:rPr>
        <w:t>dicamentos, receberá Humira</w:t>
      </w:r>
      <w:r>
        <w:rPr>
          <w:sz w:val="22"/>
          <w:szCs w:val="22"/>
        </w:rPr>
        <w:t>.</w:t>
      </w:r>
    </w:p>
    <w:p w14:paraId="124003AD" w14:textId="77777777" w:rsidR="00685047" w:rsidRPr="008912CF" w:rsidRDefault="00685047" w:rsidP="00685047">
      <w:pPr>
        <w:pStyle w:val="BodyText2"/>
        <w:autoSpaceDE/>
        <w:autoSpaceDN/>
        <w:adjustRightInd/>
        <w:rPr>
          <w:szCs w:val="22"/>
        </w:rPr>
      </w:pPr>
    </w:p>
    <w:p w14:paraId="3CD9CF73" w14:textId="77777777" w:rsidR="00685047" w:rsidRPr="004C7CB8" w:rsidRDefault="00615769" w:rsidP="00685047">
      <w:pPr>
        <w:pStyle w:val="BodyText2"/>
        <w:autoSpaceDE/>
        <w:autoSpaceDN/>
        <w:adjustRightInd/>
        <w:rPr>
          <w:b/>
          <w:szCs w:val="22"/>
        </w:rPr>
      </w:pPr>
      <w:r w:rsidRPr="004C7CB8">
        <w:rPr>
          <w:b/>
          <w:szCs w:val="22"/>
        </w:rPr>
        <w:t>Colite ulcerosa</w:t>
      </w:r>
    </w:p>
    <w:p w14:paraId="0AF8532F" w14:textId="77777777" w:rsidR="00685047" w:rsidRPr="008912CF" w:rsidRDefault="00685047" w:rsidP="00685047">
      <w:pPr>
        <w:pStyle w:val="BodyText2"/>
        <w:autoSpaceDE/>
        <w:autoSpaceDN/>
        <w:adjustRightInd/>
        <w:rPr>
          <w:szCs w:val="22"/>
        </w:rPr>
      </w:pPr>
    </w:p>
    <w:p w14:paraId="739BF4D5" w14:textId="77777777" w:rsidR="00685047" w:rsidRPr="008912CF" w:rsidRDefault="00615769" w:rsidP="00685047">
      <w:pPr>
        <w:pStyle w:val="BodyText2"/>
        <w:autoSpaceDE/>
        <w:autoSpaceDN/>
        <w:adjustRightInd/>
        <w:rPr>
          <w:szCs w:val="22"/>
        </w:rPr>
      </w:pPr>
      <w:r w:rsidRPr="008912CF">
        <w:rPr>
          <w:szCs w:val="22"/>
        </w:rPr>
        <w:t>A colite ulcerosa é uma doença inflamatória do intestino</w:t>
      </w:r>
      <w:r w:rsidR="00FA678D">
        <w:rPr>
          <w:szCs w:val="22"/>
        </w:rPr>
        <w:t xml:space="preserve"> grosso</w:t>
      </w:r>
      <w:r w:rsidRPr="008912CF">
        <w:rPr>
          <w:szCs w:val="22"/>
        </w:rPr>
        <w:t>.</w:t>
      </w:r>
    </w:p>
    <w:p w14:paraId="410C8983" w14:textId="77777777" w:rsidR="00685047" w:rsidRPr="008912CF" w:rsidRDefault="00685047" w:rsidP="00685047">
      <w:pPr>
        <w:pStyle w:val="BodyText2"/>
        <w:autoSpaceDE/>
        <w:autoSpaceDN/>
        <w:adjustRightInd/>
        <w:rPr>
          <w:szCs w:val="22"/>
        </w:rPr>
      </w:pPr>
    </w:p>
    <w:p w14:paraId="1904436E" w14:textId="77777777" w:rsidR="00BD6D29" w:rsidRDefault="00615769" w:rsidP="00685047">
      <w:pPr>
        <w:pStyle w:val="BodyText2"/>
        <w:autoSpaceDE/>
        <w:autoSpaceDN/>
        <w:adjustRightInd/>
        <w:rPr>
          <w:szCs w:val="22"/>
        </w:rPr>
      </w:pPr>
      <w:r w:rsidRPr="008912CF">
        <w:rPr>
          <w:szCs w:val="22"/>
        </w:rPr>
        <w:t xml:space="preserve">Humira é usado no tratamento da </w:t>
      </w:r>
    </w:p>
    <w:p w14:paraId="539B8875" w14:textId="77777777" w:rsidR="00BD6D29" w:rsidRDefault="00615769" w:rsidP="00740DE7">
      <w:pPr>
        <w:pStyle w:val="BodyText2"/>
        <w:numPr>
          <w:ilvl w:val="0"/>
          <w:numId w:val="185"/>
        </w:numPr>
        <w:autoSpaceDE/>
        <w:autoSpaceDN/>
        <w:adjustRightInd/>
        <w:rPr>
          <w:szCs w:val="22"/>
        </w:rPr>
      </w:pPr>
      <w:r w:rsidRPr="008912CF">
        <w:rPr>
          <w:szCs w:val="22"/>
        </w:rPr>
        <w:t xml:space="preserve">colite ulcerosa </w:t>
      </w:r>
      <w:r w:rsidR="00057E4D">
        <w:rPr>
          <w:szCs w:val="22"/>
        </w:rPr>
        <w:t xml:space="preserve">moderada a grave </w:t>
      </w:r>
      <w:r w:rsidRPr="008912CF">
        <w:rPr>
          <w:szCs w:val="22"/>
        </w:rPr>
        <w:t xml:space="preserve">em adultos </w:t>
      </w:r>
      <w:r w:rsidR="00B84012">
        <w:rPr>
          <w:szCs w:val="22"/>
        </w:rPr>
        <w:t>e</w:t>
      </w:r>
    </w:p>
    <w:p w14:paraId="10CEE4DF" w14:textId="77777777" w:rsidR="00BD6D29" w:rsidRDefault="00615769" w:rsidP="00740DE7">
      <w:pPr>
        <w:pStyle w:val="BodyText2"/>
        <w:numPr>
          <w:ilvl w:val="0"/>
          <w:numId w:val="185"/>
        </w:numPr>
        <w:autoSpaceDE/>
        <w:autoSpaceDN/>
        <w:adjustRightInd/>
        <w:rPr>
          <w:szCs w:val="22"/>
        </w:rPr>
      </w:pPr>
      <w:r w:rsidRPr="00BD6D29">
        <w:rPr>
          <w:szCs w:val="22"/>
        </w:rPr>
        <w:t>colite ulcerosa moderada a grave em crianças e adolescentes entre os 6 e os 17 anos.</w:t>
      </w:r>
    </w:p>
    <w:p w14:paraId="6C2EF5DB" w14:textId="77777777" w:rsidR="00BD6D29" w:rsidRDefault="00BD6D29" w:rsidP="00685047">
      <w:pPr>
        <w:pStyle w:val="BodyText2"/>
        <w:autoSpaceDE/>
        <w:autoSpaceDN/>
        <w:adjustRightInd/>
        <w:rPr>
          <w:szCs w:val="22"/>
        </w:rPr>
      </w:pPr>
    </w:p>
    <w:p w14:paraId="609AD143" w14:textId="77777777" w:rsidR="00685047" w:rsidRPr="008912CF" w:rsidRDefault="00615769" w:rsidP="00685047">
      <w:pPr>
        <w:pStyle w:val="BodyText2"/>
        <w:autoSpaceDE/>
        <w:autoSpaceDN/>
        <w:adjustRightInd/>
        <w:rPr>
          <w:szCs w:val="22"/>
        </w:rPr>
      </w:pPr>
      <w:r w:rsidRPr="00653128">
        <w:rPr>
          <w:szCs w:val="22"/>
        </w:rPr>
        <w:t>Pode ser tratado inicialmente com outros medicamentos</w:t>
      </w:r>
      <w:r>
        <w:rPr>
          <w:szCs w:val="22"/>
        </w:rPr>
        <w:t xml:space="preserve">. </w:t>
      </w:r>
      <w:r w:rsidRPr="008912CF">
        <w:rPr>
          <w:szCs w:val="22"/>
        </w:rPr>
        <w:t>Caso não responda de modo suficiente a esses medicamentos, receberá Humira.</w:t>
      </w:r>
    </w:p>
    <w:p w14:paraId="2E5AD72D" w14:textId="77777777" w:rsidR="00685047" w:rsidRDefault="00685047" w:rsidP="00685047">
      <w:pPr>
        <w:ind w:right="-2"/>
        <w:rPr>
          <w:sz w:val="22"/>
          <w:szCs w:val="22"/>
        </w:rPr>
      </w:pPr>
    </w:p>
    <w:p w14:paraId="6DFD9909" w14:textId="77777777" w:rsidR="00685047" w:rsidRPr="004C7CB8" w:rsidRDefault="00615769" w:rsidP="00685047">
      <w:pPr>
        <w:ind w:right="-2"/>
        <w:rPr>
          <w:b/>
          <w:sz w:val="22"/>
          <w:szCs w:val="22"/>
        </w:rPr>
      </w:pPr>
      <w:r w:rsidRPr="004C7CB8">
        <w:rPr>
          <w:b/>
          <w:sz w:val="22"/>
          <w:szCs w:val="22"/>
        </w:rPr>
        <w:t>Uveíte não infe</w:t>
      </w:r>
      <w:r w:rsidR="00FC2F7D">
        <w:rPr>
          <w:b/>
          <w:sz w:val="22"/>
          <w:szCs w:val="22"/>
        </w:rPr>
        <w:t>c</w:t>
      </w:r>
      <w:r w:rsidRPr="004C7CB8">
        <w:rPr>
          <w:b/>
          <w:sz w:val="22"/>
          <w:szCs w:val="22"/>
        </w:rPr>
        <w:t>ciosa</w:t>
      </w:r>
    </w:p>
    <w:p w14:paraId="34E4D73F" w14:textId="77777777" w:rsidR="00685047" w:rsidRDefault="00685047" w:rsidP="00685047">
      <w:pPr>
        <w:ind w:right="-2"/>
        <w:rPr>
          <w:sz w:val="22"/>
          <w:szCs w:val="22"/>
        </w:rPr>
      </w:pPr>
    </w:p>
    <w:p w14:paraId="4A2251CB" w14:textId="77777777" w:rsidR="00685047" w:rsidRDefault="00615769" w:rsidP="00685047">
      <w:pPr>
        <w:ind w:right="-2"/>
        <w:rPr>
          <w:sz w:val="22"/>
          <w:szCs w:val="22"/>
        </w:rPr>
      </w:pPr>
      <w:r>
        <w:rPr>
          <w:sz w:val="22"/>
          <w:szCs w:val="22"/>
        </w:rPr>
        <w:t>A uveíte não infec</w:t>
      </w:r>
      <w:r w:rsidR="00FC2F7D">
        <w:rPr>
          <w:sz w:val="22"/>
          <w:szCs w:val="22"/>
        </w:rPr>
        <w:t>c</w:t>
      </w:r>
      <w:r>
        <w:rPr>
          <w:sz w:val="22"/>
          <w:szCs w:val="22"/>
        </w:rPr>
        <w:t>iosa é uma doença inflamatória que afeta diferentes partes do olho.</w:t>
      </w:r>
    </w:p>
    <w:p w14:paraId="21A8C4A5" w14:textId="77777777" w:rsidR="00685047" w:rsidRDefault="00685047" w:rsidP="00685047">
      <w:pPr>
        <w:ind w:right="-2"/>
        <w:rPr>
          <w:sz w:val="22"/>
          <w:szCs w:val="22"/>
        </w:rPr>
      </w:pPr>
    </w:p>
    <w:p w14:paraId="628CB6FF" w14:textId="77777777" w:rsidR="00573B3A" w:rsidRDefault="00615769" w:rsidP="00685047">
      <w:pPr>
        <w:ind w:right="-2"/>
        <w:rPr>
          <w:sz w:val="22"/>
          <w:szCs w:val="22"/>
        </w:rPr>
      </w:pPr>
      <w:r>
        <w:rPr>
          <w:sz w:val="22"/>
          <w:szCs w:val="22"/>
        </w:rPr>
        <w:t xml:space="preserve">Humira é usado no tratamento da </w:t>
      </w:r>
    </w:p>
    <w:p w14:paraId="4B55324C" w14:textId="77777777" w:rsidR="00573B3A" w:rsidRDefault="00615769" w:rsidP="00D45244">
      <w:pPr>
        <w:pStyle w:val="ListParagraph"/>
        <w:numPr>
          <w:ilvl w:val="0"/>
          <w:numId w:val="127"/>
        </w:numPr>
        <w:ind w:left="567" w:right="-2" w:hanging="567"/>
        <w:rPr>
          <w:sz w:val="22"/>
          <w:szCs w:val="22"/>
        </w:rPr>
      </w:pPr>
      <w:r w:rsidRPr="00D45244">
        <w:rPr>
          <w:sz w:val="22"/>
          <w:szCs w:val="22"/>
        </w:rPr>
        <w:t>uveíte não infec</w:t>
      </w:r>
      <w:r w:rsidR="00FC2F7D">
        <w:rPr>
          <w:sz w:val="22"/>
          <w:szCs w:val="22"/>
        </w:rPr>
        <w:t>c</w:t>
      </w:r>
      <w:r w:rsidRPr="00D45244">
        <w:rPr>
          <w:sz w:val="22"/>
          <w:szCs w:val="22"/>
        </w:rPr>
        <w:t>iosa com inflamação, afetando a parte de trás do olho, em adultos</w:t>
      </w:r>
    </w:p>
    <w:p w14:paraId="1E776966" w14:textId="77777777" w:rsidR="00573B3A" w:rsidRPr="00B936D4" w:rsidRDefault="00615769" w:rsidP="00D45244">
      <w:pPr>
        <w:pStyle w:val="ListParagraph"/>
        <w:numPr>
          <w:ilvl w:val="0"/>
          <w:numId w:val="127"/>
        </w:numPr>
        <w:ind w:left="567" w:hanging="567"/>
        <w:rPr>
          <w:sz w:val="22"/>
          <w:szCs w:val="22"/>
        </w:rPr>
      </w:pPr>
      <w:r w:rsidRPr="00B936D4">
        <w:rPr>
          <w:sz w:val="22"/>
          <w:szCs w:val="22"/>
        </w:rPr>
        <w:t xml:space="preserve">uveíte </w:t>
      </w:r>
      <w:r w:rsidR="004D5D58" w:rsidRPr="00B936D4">
        <w:rPr>
          <w:sz w:val="22"/>
          <w:szCs w:val="22"/>
        </w:rPr>
        <w:t>não infecciosa</w:t>
      </w:r>
      <w:r w:rsidR="00EF7E97">
        <w:rPr>
          <w:sz w:val="22"/>
          <w:szCs w:val="22"/>
        </w:rPr>
        <w:t>,</w:t>
      </w:r>
      <w:r w:rsidR="004D5D58" w:rsidRPr="00B936D4">
        <w:rPr>
          <w:sz w:val="22"/>
          <w:szCs w:val="22"/>
        </w:rPr>
        <w:t xml:space="preserve"> </w:t>
      </w:r>
      <w:r w:rsidRPr="00B936D4">
        <w:rPr>
          <w:sz w:val="22"/>
          <w:szCs w:val="22"/>
        </w:rPr>
        <w:t>crónica</w:t>
      </w:r>
      <w:r w:rsidR="004D5D58">
        <w:rPr>
          <w:sz w:val="22"/>
          <w:szCs w:val="22"/>
        </w:rPr>
        <w:t>,</w:t>
      </w:r>
      <w:r w:rsidRPr="00B936D4">
        <w:rPr>
          <w:sz w:val="22"/>
          <w:szCs w:val="22"/>
        </w:rPr>
        <w:t xml:space="preserve"> com inflamação, afetando a parte da frente do olho, em crianç</w:t>
      </w:r>
      <w:r>
        <w:rPr>
          <w:sz w:val="22"/>
          <w:szCs w:val="22"/>
        </w:rPr>
        <w:t>as a partir dos 2 anos de idade</w:t>
      </w:r>
    </w:p>
    <w:p w14:paraId="66133516" w14:textId="77777777" w:rsidR="00573B3A" w:rsidRDefault="00573B3A" w:rsidP="00D45244">
      <w:pPr>
        <w:pStyle w:val="ListParagraph"/>
        <w:ind w:left="0" w:right="-2"/>
        <w:rPr>
          <w:sz w:val="22"/>
          <w:szCs w:val="22"/>
        </w:rPr>
      </w:pPr>
    </w:p>
    <w:p w14:paraId="09E86E54" w14:textId="77777777" w:rsidR="00685047" w:rsidRPr="00D45244" w:rsidRDefault="00615769" w:rsidP="00D45244">
      <w:pPr>
        <w:pStyle w:val="ListParagraph"/>
        <w:ind w:left="0" w:right="-2"/>
        <w:rPr>
          <w:sz w:val="22"/>
          <w:szCs w:val="22"/>
        </w:rPr>
      </w:pPr>
      <w:r w:rsidRPr="00D45244">
        <w:rPr>
          <w:sz w:val="22"/>
          <w:szCs w:val="22"/>
        </w:rPr>
        <w:t xml:space="preserve">Esta inflamação </w:t>
      </w:r>
      <w:r w:rsidR="00573B3A">
        <w:rPr>
          <w:sz w:val="22"/>
          <w:szCs w:val="22"/>
        </w:rPr>
        <w:t xml:space="preserve">pode </w:t>
      </w:r>
      <w:r w:rsidRPr="00D45244">
        <w:rPr>
          <w:sz w:val="22"/>
          <w:szCs w:val="22"/>
        </w:rPr>
        <w:t>leva</w:t>
      </w:r>
      <w:r w:rsidR="00573B3A">
        <w:rPr>
          <w:sz w:val="22"/>
          <w:szCs w:val="22"/>
        </w:rPr>
        <w:t>r</w:t>
      </w:r>
      <w:r w:rsidRPr="00D45244">
        <w:rPr>
          <w:sz w:val="22"/>
          <w:szCs w:val="22"/>
        </w:rPr>
        <w:t xml:space="preserve"> a uma diminuição da visão e/ou à presença de moscas volantes no olho (pontos pretos ou linhas finas que se movem através do </w:t>
      </w:r>
      <w:r w:rsidRPr="006A3BD4">
        <w:rPr>
          <w:sz w:val="22"/>
          <w:szCs w:val="22"/>
        </w:rPr>
        <w:t>campo de visão). Humira atua através da redução da inflamação. Pode ser tratado inicialmente com outros medicamentos. Caso não responda de modo suficiente a esses medicamentos, receberá Humira.</w:t>
      </w:r>
    </w:p>
    <w:p w14:paraId="34DD3E1F" w14:textId="77777777" w:rsidR="00685047" w:rsidRPr="008912CF" w:rsidRDefault="00685047" w:rsidP="00685047">
      <w:pPr>
        <w:ind w:right="-2"/>
        <w:rPr>
          <w:sz w:val="22"/>
          <w:szCs w:val="22"/>
        </w:rPr>
      </w:pPr>
    </w:p>
    <w:p w14:paraId="26A4E82E" w14:textId="77777777" w:rsidR="00685047" w:rsidRPr="008912CF" w:rsidRDefault="00685047" w:rsidP="00685047">
      <w:pPr>
        <w:ind w:right="-2"/>
        <w:rPr>
          <w:sz w:val="22"/>
          <w:szCs w:val="22"/>
        </w:rPr>
      </w:pPr>
    </w:p>
    <w:p w14:paraId="1F6BFA0A" w14:textId="77777777" w:rsidR="00685047" w:rsidRPr="008912CF" w:rsidRDefault="00615769" w:rsidP="00685047">
      <w:pPr>
        <w:ind w:left="567" w:hanging="567"/>
        <w:rPr>
          <w:sz w:val="22"/>
          <w:szCs w:val="22"/>
        </w:rPr>
      </w:pPr>
      <w:r w:rsidRPr="008912CF">
        <w:rPr>
          <w:b/>
          <w:sz w:val="22"/>
          <w:szCs w:val="22"/>
        </w:rPr>
        <w:t>2.</w:t>
      </w:r>
      <w:r w:rsidRPr="008912CF">
        <w:rPr>
          <w:b/>
          <w:sz w:val="22"/>
          <w:szCs w:val="22"/>
        </w:rPr>
        <w:tab/>
      </w:r>
      <w:r w:rsidRPr="008912CF">
        <w:rPr>
          <w:b/>
          <w:bCs/>
          <w:sz w:val="22"/>
          <w:szCs w:val="22"/>
        </w:rPr>
        <w:t>O que precisa de saber antes de utilizar Humira</w:t>
      </w:r>
      <w:r w:rsidRPr="008912CF">
        <w:rPr>
          <w:b/>
          <w:sz w:val="22"/>
          <w:szCs w:val="22"/>
        </w:rPr>
        <w:t xml:space="preserve"> </w:t>
      </w:r>
    </w:p>
    <w:p w14:paraId="0C64167F" w14:textId="77777777" w:rsidR="00685047" w:rsidRPr="008912CF" w:rsidRDefault="00685047" w:rsidP="00685047">
      <w:pPr>
        <w:ind w:right="-2"/>
        <w:rPr>
          <w:sz w:val="22"/>
          <w:szCs w:val="22"/>
        </w:rPr>
      </w:pPr>
    </w:p>
    <w:p w14:paraId="76BFB6D6" w14:textId="77777777" w:rsidR="00685047" w:rsidRPr="008912CF" w:rsidRDefault="00615769" w:rsidP="00685047">
      <w:pPr>
        <w:rPr>
          <w:sz w:val="22"/>
          <w:szCs w:val="22"/>
        </w:rPr>
      </w:pPr>
      <w:r w:rsidRPr="008912CF">
        <w:rPr>
          <w:b/>
          <w:sz w:val="22"/>
          <w:szCs w:val="22"/>
        </w:rPr>
        <w:t xml:space="preserve">Não utilize </w:t>
      </w:r>
      <w:r w:rsidRPr="008912CF">
        <w:rPr>
          <w:b/>
          <w:bCs/>
          <w:sz w:val="22"/>
          <w:szCs w:val="22"/>
        </w:rPr>
        <w:t>Humira</w:t>
      </w:r>
    </w:p>
    <w:p w14:paraId="33D6327E" w14:textId="77777777" w:rsidR="00685047" w:rsidRPr="008912CF" w:rsidRDefault="00685047" w:rsidP="00685047">
      <w:pPr>
        <w:pStyle w:val="EndnoteText"/>
        <w:tabs>
          <w:tab w:val="clear" w:pos="567"/>
        </w:tabs>
        <w:rPr>
          <w:szCs w:val="22"/>
        </w:rPr>
      </w:pPr>
    </w:p>
    <w:p w14:paraId="3B5BE444" w14:textId="77777777" w:rsidR="00685047" w:rsidRPr="008912CF" w:rsidRDefault="00615769" w:rsidP="00C248FE">
      <w:pPr>
        <w:numPr>
          <w:ilvl w:val="1"/>
          <w:numId w:val="40"/>
        </w:numPr>
        <w:tabs>
          <w:tab w:val="clear" w:pos="567"/>
        </w:tabs>
        <w:ind w:left="720" w:hanging="357"/>
        <w:rPr>
          <w:sz w:val="22"/>
          <w:szCs w:val="22"/>
        </w:rPr>
      </w:pPr>
      <w:r w:rsidRPr="008912CF">
        <w:rPr>
          <w:sz w:val="22"/>
          <w:szCs w:val="22"/>
        </w:rPr>
        <w:t>Se tem alergia a adalimumab ou a qualquer outro componente deste medicamento (indicados na secção 6).</w:t>
      </w:r>
    </w:p>
    <w:p w14:paraId="4F50CC09" w14:textId="77777777" w:rsidR="00685047" w:rsidRPr="008912CF" w:rsidRDefault="00685047" w:rsidP="00685047">
      <w:pPr>
        <w:pStyle w:val="EndnoteText"/>
        <w:tabs>
          <w:tab w:val="clear" w:pos="567"/>
        </w:tabs>
        <w:ind w:left="567" w:hanging="567"/>
        <w:rPr>
          <w:szCs w:val="22"/>
        </w:rPr>
      </w:pPr>
    </w:p>
    <w:p w14:paraId="69B04C1C" w14:textId="77777777" w:rsidR="00685047" w:rsidRPr="008912CF" w:rsidRDefault="00615769" w:rsidP="00C248FE">
      <w:pPr>
        <w:numPr>
          <w:ilvl w:val="1"/>
          <w:numId w:val="40"/>
        </w:numPr>
        <w:tabs>
          <w:tab w:val="clear" w:pos="567"/>
        </w:tabs>
        <w:ind w:left="720" w:hanging="357"/>
        <w:rPr>
          <w:sz w:val="22"/>
          <w:szCs w:val="22"/>
        </w:rPr>
      </w:pPr>
      <w:r w:rsidRPr="008912CF">
        <w:rPr>
          <w:sz w:val="22"/>
          <w:szCs w:val="22"/>
        </w:rPr>
        <w:t xml:space="preserve">Se tem tuberculose ativa </w:t>
      </w:r>
      <w:r w:rsidR="00A64DFC">
        <w:rPr>
          <w:sz w:val="22"/>
          <w:szCs w:val="22"/>
        </w:rPr>
        <w:t xml:space="preserve">ou outras infeções graves </w:t>
      </w:r>
      <w:r w:rsidRPr="008912CF">
        <w:rPr>
          <w:sz w:val="22"/>
          <w:szCs w:val="22"/>
        </w:rPr>
        <w:t>(ver “Advertências e precauções”). Deve contactar o seu médico se tiver sintomas de infeção, tais como febre, feridas, sensação de cansaço, problemas dentários.</w:t>
      </w:r>
    </w:p>
    <w:p w14:paraId="2B64BC05" w14:textId="77777777" w:rsidR="00685047" w:rsidRPr="008912CF" w:rsidRDefault="00685047" w:rsidP="00C248FE">
      <w:pPr>
        <w:ind w:left="720" w:hanging="357"/>
        <w:rPr>
          <w:sz w:val="22"/>
          <w:szCs w:val="22"/>
        </w:rPr>
      </w:pPr>
    </w:p>
    <w:p w14:paraId="528DCA3B" w14:textId="77777777" w:rsidR="00685047" w:rsidRPr="008912CF" w:rsidRDefault="00615769" w:rsidP="00C248FE">
      <w:pPr>
        <w:numPr>
          <w:ilvl w:val="1"/>
          <w:numId w:val="40"/>
        </w:numPr>
        <w:tabs>
          <w:tab w:val="clear" w:pos="567"/>
        </w:tabs>
        <w:ind w:left="720" w:hanging="357"/>
        <w:rPr>
          <w:sz w:val="22"/>
          <w:szCs w:val="22"/>
        </w:rPr>
      </w:pPr>
      <w:r w:rsidRPr="008912CF">
        <w:rPr>
          <w:sz w:val="22"/>
          <w:szCs w:val="22"/>
        </w:rPr>
        <w:t>Se tem insuficiência cardíaca moderada a grave. É importante que informe o seu médico se tem ou se teve alterações cardíacas graves (ver “Advertências e precauções</w:t>
      </w:r>
      <w:r w:rsidRPr="008912CF">
        <w:rPr>
          <w:bCs/>
          <w:sz w:val="22"/>
          <w:szCs w:val="22"/>
        </w:rPr>
        <w:t>”).</w:t>
      </w:r>
    </w:p>
    <w:p w14:paraId="24941F0A" w14:textId="77777777" w:rsidR="00685047" w:rsidRPr="008912CF" w:rsidRDefault="00685047" w:rsidP="00685047">
      <w:pPr>
        <w:pStyle w:val="IndexHeading"/>
        <w:tabs>
          <w:tab w:val="clear" w:pos="567"/>
        </w:tabs>
        <w:spacing w:line="240" w:lineRule="auto"/>
        <w:rPr>
          <w:rFonts w:ascii="Times New Roman" w:hAnsi="Times New Roman"/>
          <w:szCs w:val="22"/>
          <w:lang w:val="pt-PT"/>
        </w:rPr>
      </w:pPr>
    </w:p>
    <w:p w14:paraId="617781CC" w14:textId="77777777" w:rsidR="00685047" w:rsidRPr="008912CF" w:rsidRDefault="00615769" w:rsidP="00685047">
      <w:pPr>
        <w:keepNext/>
        <w:rPr>
          <w:sz w:val="22"/>
          <w:szCs w:val="22"/>
        </w:rPr>
      </w:pPr>
      <w:r w:rsidRPr="008912CF">
        <w:rPr>
          <w:b/>
          <w:sz w:val="22"/>
          <w:szCs w:val="22"/>
        </w:rPr>
        <w:t>Advertências e precauções</w:t>
      </w:r>
    </w:p>
    <w:p w14:paraId="40BB4DAB" w14:textId="77777777" w:rsidR="00685047" w:rsidRPr="008912CF" w:rsidRDefault="00685047" w:rsidP="00685047">
      <w:pPr>
        <w:pStyle w:val="EndnoteText"/>
        <w:keepNext/>
        <w:tabs>
          <w:tab w:val="clear" w:pos="567"/>
        </w:tabs>
        <w:rPr>
          <w:szCs w:val="22"/>
        </w:rPr>
      </w:pPr>
    </w:p>
    <w:p w14:paraId="6C9F7BCD" w14:textId="77777777" w:rsidR="00685047" w:rsidRDefault="00615769" w:rsidP="00685047">
      <w:pPr>
        <w:pStyle w:val="EndnoteText"/>
        <w:keepNext/>
        <w:tabs>
          <w:tab w:val="clear" w:pos="567"/>
        </w:tabs>
        <w:rPr>
          <w:szCs w:val="22"/>
        </w:rPr>
      </w:pPr>
      <w:r w:rsidRPr="008912CF">
        <w:rPr>
          <w:szCs w:val="22"/>
        </w:rPr>
        <w:t>Fale com o seu médico ou farmacêutico antes de utilizar Humira.</w:t>
      </w:r>
    </w:p>
    <w:p w14:paraId="3D5D49C7" w14:textId="77777777" w:rsidR="00685047" w:rsidRDefault="00685047" w:rsidP="00685047"/>
    <w:p w14:paraId="3EE43D1F" w14:textId="77777777" w:rsidR="00685047" w:rsidRPr="00365BEE" w:rsidRDefault="00615769" w:rsidP="00685047">
      <w:pPr>
        <w:rPr>
          <w:sz w:val="22"/>
          <w:szCs w:val="22"/>
          <w:u w:val="single"/>
        </w:rPr>
      </w:pPr>
      <w:r w:rsidRPr="00365BEE">
        <w:rPr>
          <w:sz w:val="22"/>
          <w:szCs w:val="22"/>
          <w:u w:val="single"/>
        </w:rPr>
        <w:t>Reações alérgicas</w:t>
      </w:r>
    </w:p>
    <w:p w14:paraId="5509A255" w14:textId="77777777" w:rsidR="00685047" w:rsidRPr="008912CF" w:rsidRDefault="00685047" w:rsidP="00685047"/>
    <w:p w14:paraId="6DA56913" w14:textId="77777777" w:rsidR="00685047" w:rsidRPr="008912CF" w:rsidRDefault="00615769" w:rsidP="00C248FE">
      <w:pPr>
        <w:numPr>
          <w:ilvl w:val="0"/>
          <w:numId w:val="15"/>
        </w:numPr>
        <w:tabs>
          <w:tab w:val="clear" w:pos="567"/>
        </w:tabs>
        <w:ind w:left="720" w:hanging="357"/>
        <w:rPr>
          <w:sz w:val="22"/>
          <w:szCs w:val="22"/>
        </w:rPr>
      </w:pPr>
      <w:r w:rsidRPr="008912CF">
        <w:rPr>
          <w:sz w:val="22"/>
          <w:szCs w:val="22"/>
        </w:rPr>
        <w:t>Se tiver reações alérgicas com sintomas, tais como dificuldade em respirar, respiração ofegante, tonturas, inchaço ou pele irritada, interrompa a administração de Humira e contacte imediatamente o seu médico</w:t>
      </w:r>
      <w:r w:rsidR="00964091">
        <w:rPr>
          <w:sz w:val="22"/>
          <w:szCs w:val="22"/>
        </w:rPr>
        <w:t xml:space="preserve"> uma vez que, em casos raros, estas reações podem ser potencialmente fatais</w:t>
      </w:r>
      <w:r w:rsidRPr="008912CF">
        <w:rPr>
          <w:sz w:val="22"/>
          <w:szCs w:val="22"/>
        </w:rPr>
        <w:t>.</w:t>
      </w:r>
    </w:p>
    <w:p w14:paraId="7DBCE1B4" w14:textId="77777777" w:rsidR="00685047" w:rsidRDefault="00685047" w:rsidP="00685047">
      <w:pPr>
        <w:pStyle w:val="EndnoteText"/>
        <w:tabs>
          <w:tab w:val="clear" w:pos="567"/>
        </w:tabs>
        <w:rPr>
          <w:szCs w:val="22"/>
        </w:rPr>
      </w:pPr>
    </w:p>
    <w:p w14:paraId="522BB47F" w14:textId="77777777" w:rsidR="00685047" w:rsidRPr="00365BEE" w:rsidRDefault="00615769" w:rsidP="00685047">
      <w:pPr>
        <w:rPr>
          <w:sz w:val="22"/>
          <w:szCs w:val="22"/>
          <w:u w:val="single"/>
        </w:rPr>
      </w:pPr>
      <w:r w:rsidRPr="00365BEE">
        <w:rPr>
          <w:sz w:val="22"/>
          <w:szCs w:val="22"/>
          <w:u w:val="single"/>
        </w:rPr>
        <w:t>Infeções</w:t>
      </w:r>
    </w:p>
    <w:p w14:paraId="71B83A95" w14:textId="77777777" w:rsidR="00685047" w:rsidRPr="004863CB" w:rsidRDefault="00685047" w:rsidP="00685047"/>
    <w:p w14:paraId="43AC6D26" w14:textId="77777777" w:rsidR="00685047" w:rsidRPr="008912CF" w:rsidRDefault="00615769" w:rsidP="00C248FE">
      <w:pPr>
        <w:numPr>
          <w:ilvl w:val="0"/>
          <w:numId w:val="15"/>
        </w:numPr>
        <w:tabs>
          <w:tab w:val="clear" w:pos="567"/>
        </w:tabs>
        <w:ind w:left="720" w:hanging="357"/>
        <w:rPr>
          <w:sz w:val="22"/>
          <w:szCs w:val="22"/>
        </w:rPr>
      </w:pPr>
      <w:r w:rsidRPr="008912CF">
        <w:rPr>
          <w:sz w:val="22"/>
          <w:szCs w:val="22"/>
        </w:rPr>
        <w:t xml:space="preserve">Se tiver uma infeção, incluindo uma infeção crónica ou </w:t>
      </w:r>
      <w:r w:rsidR="00FE0AD3">
        <w:rPr>
          <w:sz w:val="22"/>
          <w:szCs w:val="22"/>
        </w:rPr>
        <w:t>uma infeção em qualquer parte do seu corpo</w:t>
      </w:r>
      <w:r w:rsidR="00FE0AD3" w:rsidRPr="008912CF">
        <w:rPr>
          <w:sz w:val="22"/>
          <w:szCs w:val="22"/>
        </w:rPr>
        <w:t xml:space="preserve"> </w:t>
      </w:r>
      <w:r w:rsidRPr="008912CF">
        <w:rPr>
          <w:sz w:val="22"/>
          <w:szCs w:val="22"/>
        </w:rPr>
        <w:t xml:space="preserve">(por exemplo, úlcera da perna) informe o seu médico antes de iniciar o tratamento com Humira. Se tiver quaisquer dúvidas, deve contactar o seu médico. </w:t>
      </w:r>
    </w:p>
    <w:p w14:paraId="48E430EF" w14:textId="77777777" w:rsidR="00685047" w:rsidRPr="008912CF" w:rsidRDefault="00685047" w:rsidP="00685047">
      <w:pPr>
        <w:ind w:left="567" w:hanging="567"/>
        <w:rPr>
          <w:sz w:val="22"/>
          <w:szCs w:val="22"/>
        </w:rPr>
      </w:pPr>
    </w:p>
    <w:p w14:paraId="75360A67" w14:textId="77777777" w:rsidR="00685047" w:rsidRDefault="00615769" w:rsidP="00C248FE">
      <w:pPr>
        <w:pStyle w:val="EMEABullet"/>
        <w:numPr>
          <w:ilvl w:val="1"/>
          <w:numId w:val="41"/>
        </w:numPr>
        <w:tabs>
          <w:tab w:val="clear" w:pos="567"/>
        </w:tabs>
        <w:suppressAutoHyphens w:val="0"/>
        <w:ind w:left="720" w:hanging="357"/>
        <w:rPr>
          <w:szCs w:val="22"/>
          <w:lang w:val="pt-PT"/>
        </w:rPr>
      </w:pPr>
      <w:r w:rsidRPr="008912CF">
        <w:rPr>
          <w:szCs w:val="22"/>
          <w:lang w:val="pt-PT"/>
        </w:rPr>
        <w:t>Pode contrair mais facilmente infeções enquanto estiver a ser tratado com Humira. Este risco pode aumentar se a sua função pulmonar estiver diminuída. Estas infeções podem ser graves e inclu</w:t>
      </w:r>
      <w:r w:rsidR="00FE0AD3">
        <w:rPr>
          <w:szCs w:val="22"/>
          <w:lang w:val="pt-PT"/>
        </w:rPr>
        <w:t>em</w:t>
      </w:r>
      <w:r>
        <w:rPr>
          <w:szCs w:val="22"/>
          <w:lang w:val="pt-PT"/>
        </w:rPr>
        <w:t>:</w:t>
      </w:r>
    </w:p>
    <w:p w14:paraId="3539F97F" w14:textId="77777777" w:rsidR="00685047" w:rsidRDefault="00615769" w:rsidP="00C248FE">
      <w:pPr>
        <w:pStyle w:val="EMEABullet"/>
        <w:numPr>
          <w:ilvl w:val="2"/>
          <w:numId w:val="41"/>
        </w:numPr>
        <w:tabs>
          <w:tab w:val="clear" w:pos="567"/>
        </w:tabs>
        <w:suppressAutoHyphens w:val="0"/>
        <w:ind w:left="1440" w:hanging="357"/>
        <w:rPr>
          <w:szCs w:val="22"/>
          <w:lang w:val="pt-PT"/>
        </w:rPr>
      </w:pPr>
      <w:r>
        <w:rPr>
          <w:szCs w:val="22"/>
          <w:lang w:val="pt-PT"/>
        </w:rPr>
        <w:t>t</w:t>
      </w:r>
      <w:r w:rsidRPr="008912CF">
        <w:rPr>
          <w:szCs w:val="22"/>
          <w:lang w:val="pt-PT"/>
        </w:rPr>
        <w:t>uberculose</w:t>
      </w:r>
    </w:p>
    <w:p w14:paraId="0C253C28" w14:textId="77777777" w:rsidR="00685047" w:rsidRDefault="00615769" w:rsidP="00C248FE">
      <w:pPr>
        <w:pStyle w:val="EMEABullet"/>
        <w:numPr>
          <w:ilvl w:val="1"/>
          <w:numId w:val="41"/>
        </w:numPr>
        <w:tabs>
          <w:tab w:val="clear" w:pos="567"/>
        </w:tabs>
        <w:suppressAutoHyphens w:val="0"/>
        <w:ind w:left="1440" w:hanging="357"/>
        <w:rPr>
          <w:szCs w:val="22"/>
          <w:lang w:val="pt-PT"/>
        </w:rPr>
      </w:pPr>
      <w:r w:rsidRPr="008912CF">
        <w:rPr>
          <w:szCs w:val="22"/>
          <w:lang w:val="pt-PT"/>
        </w:rPr>
        <w:t>infeções causadas por vírus, fungos, parasitas ou bactérias</w:t>
      </w:r>
    </w:p>
    <w:p w14:paraId="0B8174CB" w14:textId="77777777" w:rsidR="00685047" w:rsidRDefault="00615769" w:rsidP="00C248FE">
      <w:pPr>
        <w:pStyle w:val="EMEABullet"/>
        <w:numPr>
          <w:ilvl w:val="1"/>
          <w:numId w:val="41"/>
        </w:numPr>
        <w:tabs>
          <w:tab w:val="clear" w:pos="567"/>
        </w:tabs>
        <w:suppressAutoHyphens w:val="0"/>
        <w:ind w:left="1440" w:hanging="357"/>
        <w:rPr>
          <w:szCs w:val="22"/>
          <w:lang w:val="pt-PT"/>
        </w:rPr>
      </w:pPr>
      <w:r w:rsidRPr="008912CF">
        <w:rPr>
          <w:szCs w:val="22"/>
          <w:lang w:val="pt-PT"/>
        </w:rPr>
        <w:t>infeç</w:t>
      </w:r>
      <w:r w:rsidR="00FE0AD3">
        <w:rPr>
          <w:szCs w:val="22"/>
          <w:lang w:val="pt-PT"/>
        </w:rPr>
        <w:t>ão</w:t>
      </w:r>
      <w:r w:rsidRPr="008912CF">
        <w:rPr>
          <w:szCs w:val="22"/>
          <w:lang w:val="pt-PT"/>
        </w:rPr>
        <w:t xml:space="preserve"> </w:t>
      </w:r>
      <w:r>
        <w:rPr>
          <w:szCs w:val="22"/>
          <w:lang w:val="pt-PT"/>
        </w:rPr>
        <w:t>grave no sangue (</w:t>
      </w:r>
      <w:r w:rsidRPr="008912CF">
        <w:rPr>
          <w:szCs w:val="22"/>
          <w:lang w:val="pt-PT"/>
        </w:rPr>
        <w:t>sepsia</w:t>
      </w:r>
      <w:r>
        <w:rPr>
          <w:szCs w:val="22"/>
          <w:lang w:val="pt-PT"/>
        </w:rPr>
        <w:t>)</w:t>
      </w:r>
    </w:p>
    <w:p w14:paraId="006A544F" w14:textId="77777777" w:rsidR="00685047" w:rsidRDefault="00685047" w:rsidP="00685047">
      <w:pPr>
        <w:pStyle w:val="EMEABullet"/>
        <w:tabs>
          <w:tab w:val="clear" w:pos="567"/>
        </w:tabs>
        <w:suppressAutoHyphens w:val="0"/>
        <w:ind w:firstLine="426"/>
        <w:rPr>
          <w:szCs w:val="22"/>
          <w:lang w:val="pt-PT"/>
        </w:rPr>
      </w:pPr>
    </w:p>
    <w:p w14:paraId="0A3115E5" w14:textId="77777777" w:rsidR="00685047" w:rsidRDefault="00615769" w:rsidP="00685047">
      <w:pPr>
        <w:pStyle w:val="EMEABullet"/>
        <w:tabs>
          <w:tab w:val="clear" w:pos="567"/>
        </w:tabs>
        <w:suppressAutoHyphens w:val="0"/>
        <w:ind w:left="709" w:firstLine="0"/>
        <w:rPr>
          <w:szCs w:val="22"/>
          <w:lang w:val="pt-PT"/>
        </w:rPr>
      </w:pPr>
      <w:r>
        <w:rPr>
          <w:szCs w:val="22"/>
          <w:lang w:val="pt-PT"/>
        </w:rPr>
        <w:t>E</w:t>
      </w:r>
      <w:r w:rsidRPr="008912CF">
        <w:rPr>
          <w:szCs w:val="22"/>
          <w:lang w:val="pt-PT"/>
        </w:rPr>
        <w:t>m casos raros,</w:t>
      </w:r>
      <w:r>
        <w:rPr>
          <w:szCs w:val="22"/>
          <w:lang w:val="pt-PT"/>
        </w:rPr>
        <w:t xml:space="preserve"> estas infeções podem</w:t>
      </w:r>
      <w:r w:rsidRPr="008912CF">
        <w:rPr>
          <w:szCs w:val="22"/>
          <w:lang w:val="pt-PT"/>
        </w:rPr>
        <w:t xml:space="preserve"> pôr a vida em risco. Deve informar o seu médico se tiver sintomas, tais como febre, feridas, sensação de cansaço ou problemas dentários. O seu médico pode aconselhar a suspensão temporária de Humira.</w:t>
      </w:r>
    </w:p>
    <w:p w14:paraId="1821B8B4" w14:textId="77777777" w:rsidR="00685047" w:rsidRDefault="00685047" w:rsidP="00685047">
      <w:pPr>
        <w:pStyle w:val="EMEABullet"/>
        <w:tabs>
          <w:tab w:val="clear" w:pos="567"/>
        </w:tabs>
        <w:suppressAutoHyphens w:val="0"/>
        <w:ind w:firstLine="0"/>
        <w:rPr>
          <w:szCs w:val="22"/>
          <w:lang w:val="pt-PT"/>
        </w:rPr>
      </w:pPr>
    </w:p>
    <w:p w14:paraId="60B78D72" w14:textId="77777777" w:rsidR="00685047" w:rsidRPr="008912CF" w:rsidRDefault="00615769" w:rsidP="00C248FE">
      <w:pPr>
        <w:numPr>
          <w:ilvl w:val="2"/>
          <w:numId w:val="41"/>
        </w:numPr>
        <w:tabs>
          <w:tab w:val="clear" w:pos="567"/>
        </w:tabs>
        <w:ind w:left="720" w:hanging="357"/>
        <w:rPr>
          <w:sz w:val="22"/>
          <w:szCs w:val="22"/>
        </w:rPr>
      </w:pPr>
      <w:r w:rsidRPr="008912CF">
        <w:rPr>
          <w:sz w:val="22"/>
          <w:szCs w:val="22"/>
        </w:rPr>
        <w:t xml:space="preserve">Informe o seu médico se reside ou viaja em regiões nas quais as infeções fúngicas </w:t>
      </w:r>
      <w:r w:rsidR="006A3BD4">
        <w:rPr>
          <w:sz w:val="22"/>
          <w:szCs w:val="22"/>
        </w:rPr>
        <w:t>(</w:t>
      </w:r>
      <w:r w:rsidRPr="008912CF">
        <w:rPr>
          <w:sz w:val="22"/>
          <w:szCs w:val="22"/>
        </w:rPr>
        <w:t xml:space="preserve">tais como histoplasmose, </w:t>
      </w:r>
      <w:r w:rsidRPr="008912CF">
        <w:rPr>
          <w:sz w:val="22"/>
          <w:szCs w:val="22"/>
          <w:u w:color="0000FF"/>
        </w:rPr>
        <w:t>coccidioidomicose ou blastomicose</w:t>
      </w:r>
      <w:r w:rsidR="006A3BD4">
        <w:rPr>
          <w:sz w:val="22"/>
          <w:szCs w:val="22"/>
          <w:u w:color="0000FF"/>
        </w:rPr>
        <w:t>)</w:t>
      </w:r>
      <w:r w:rsidRPr="008912CF">
        <w:rPr>
          <w:sz w:val="22"/>
          <w:szCs w:val="22"/>
          <w:u w:color="0000FF"/>
        </w:rPr>
        <w:t xml:space="preserve"> são endémicas</w:t>
      </w:r>
      <w:r w:rsidRPr="008912CF">
        <w:rPr>
          <w:color w:val="0000FF"/>
          <w:sz w:val="22"/>
          <w:szCs w:val="22"/>
          <w:u w:color="0000FF"/>
        </w:rPr>
        <w:t>.</w:t>
      </w:r>
    </w:p>
    <w:p w14:paraId="7CBA2B82" w14:textId="77777777" w:rsidR="00685047" w:rsidRPr="008912CF" w:rsidRDefault="00685047" w:rsidP="00C248FE">
      <w:pPr>
        <w:pStyle w:val="EndnoteText"/>
        <w:tabs>
          <w:tab w:val="clear" w:pos="567"/>
        </w:tabs>
        <w:ind w:left="720" w:hanging="357"/>
        <w:rPr>
          <w:szCs w:val="22"/>
        </w:rPr>
      </w:pPr>
    </w:p>
    <w:p w14:paraId="0D2421B3" w14:textId="77777777" w:rsidR="00685047" w:rsidRPr="008912CF" w:rsidRDefault="00615769" w:rsidP="00C248FE">
      <w:pPr>
        <w:numPr>
          <w:ilvl w:val="2"/>
          <w:numId w:val="41"/>
        </w:numPr>
        <w:tabs>
          <w:tab w:val="clear" w:pos="567"/>
        </w:tabs>
        <w:ind w:left="720" w:hanging="357"/>
        <w:rPr>
          <w:sz w:val="22"/>
          <w:szCs w:val="22"/>
        </w:rPr>
      </w:pPr>
      <w:r w:rsidRPr="008912CF">
        <w:rPr>
          <w:sz w:val="22"/>
          <w:szCs w:val="22"/>
        </w:rPr>
        <w:t>Informe o seu médico se tem antecedentes de infeções recorrentes ou quaisquer outros problemas que aumentem o risco de infeções.</w:t>
      </w:r>
    </w:p>
    <w:p w14:paraId="3E2D9317" w14:textId="77777777" w:rsidR="00685047" w:rsidRDefault="00685047" w:rsidP="00C248FE">
      <w:pPr>
        <w:ind w:left="720" w:hanging="357"/>
        <w:rPr>
          <w:sz w:val="22"/>
          <w:szCs w:val="22"/>
        </w:rPr>
      </w:pPr>
    </w:p>
    <w:p w14:paraId="7570A2A2" w14:textId="77777777" w:rsidR="00685047" w:rsidRPr="008912CF" w:rsidRDefault="00615769" w:rsidP="00C248FE">
      <w:pPr>
        <w:numPr>
          <w:ilvl w:val="2"/>
          <w:numId w:val="41"/>
        </w:numPr>
        <w:tabs>
          <w:tab w:val="clear" w:pos="567"/>
        </w:tabs>
        <w:ind w:left="720" w:hanging="357"/>
        <w:rPr>
          <w:sz w:val="22"/>
          <w:szCs w:val="22"/>
        </w:rPr>
      </w:pPr>
      <w:r w:rsidRPr="008912CF">
        <w:rPr>
          <w:sz w:val="22"/>
          <w:szCs w:val="22"/>
        </w:rPr>
        <w:t>Se tem mais de 65 anos pode estar mais suscetível a infeções enquanto estiver a ser tratado com Humira. Em conjunto com o seu médico, deve tomar especial atenção a sinais de infeção enquanto estiver a ser tratado com Humira. É importante informar o seu médico se tiver sintomas de infeções, tais como febre, feridas, sensação de cansaço ou problemas dentários.</w:t>
      </w:r>
    </w:p>
    <w:p w14:paraId="7D1C136A" w14:textId="77777777" w:rsidR="00685047" w:rsidRDefault="00685047" w:rsidP="00685047">
      <w:pPr>
        <w:tabs>
          <w:tab w:val="num" w:pos="709"/>
        </w:tabs>
        <w:ind w:left="709" w:hanging="283"/>
        <w:rPr>
          <w:sz w:val="22"/>
          <w:szCs w:val="22"/>
        </w:rPr>
      </w:pPr>
    </w:p>
    <w:p w14:paraId="3921BF5F" w14:textId="77777777" w:rsidR="00685047" w:rsidRPr="00365BEE" w:rsidRDefault="00615769" w:rsidP="00685047">
      <w:pPr>
        <w:rPr>
          <w:sz w:val="22"/>
          <w:szCs w:val="22"/>
          <w:u w:val="single"/>
        </w:rPr>
      </w:pPr>
      <w:r w:rsidRPr="00365BEE">
        <w:rPr>
          <w:sz w:val="22"/>
          <w:szCs w:val="22"/>
          <w:u w:val="single"/>
        </w:rPr>
        <w:t>Tuberculose</w:t>
      </w:r>
    </w:p>
    <w:p w14:paraId="5EB76EB6" w14:textId="77777777" w:rsidR="00685047" w:rsidRDefault="00685047" w:rsidP="00685047">
      <w:pPr>
        <w:rPr>
          <w:sz w:val="22"/>
          <w:szCs w:val="22"/>
        </w:rPr>
      </w:pPr>
    </w:p>
    <w:p w14:paraId="3E1F15BB" w14:textId="77777777" w:rsidR="00685047" w:rsidRDefault="00615769" w:rsidP="00C248FE">
      <w:pPr>
        <w:numPr>
          <w:ilvl w:val="0"/>
          <w:numId w:val="108"/>
        </w:numPr>
        <w:ind w:left="720" w:hanging="357"/>
        <w:rPr>
          <w:sz w:val="22"/>
          <w:szCs w:val="22"/>
        </w:rPr>
      </w:pPr>
      <w:r w:rsidRPr="00365BEE">
        <w:rPr>
          <w:sz w:val="22"/>
          <w:szCs w:val="22"/>
        </w:rPr>
        <w:t>É muito importante que informe o seu médico se já sofreu de tuberculose ou se esteve em contacto próximo com alguém com esta doença. Se tem tuberculose ativa, não utilize Humira</w:t>
      </w:r>
      <w:r>
        <w:rPr>
          <w:szCs w:val="22"/>
        </w:rPr>
        <w:t>.</w:t>
      </w:r>
    </w:p>
    <w:p w14:paraId="49918A10" w14:textId="77777777" w:rsidR="00685047" w:rsidRPr="008912CF" w:rsidRDefault="00685047" w:rsidP="00685047">
      <w:pPr>
        <w:rPr>
          <w:sz w:val="22"/>
          <w:szCs w:val="22"/>
        </w:rPr>
      </w:pPr>
    </w:p>
    <w:p w14:paraId="6F6A6D90" w14:textId="77777777" w:rsidR="00685047" w:rsidRPr="00365BEE" w:rsidRDefault="00615769" w:rsidP="00C248FE">
      <w:pPr>
        <w:pStyle w:val="EMEABullet"/>
        <w:numPr>
          <w:ilvl w:val="2"/>
          <w:numId w:val="41"/>
        </w:numPr>
        <w:tabs>
          <w:tab w:val="clear" w:pos="567"/>
        </w:tabs>
        <w:suppressAutoHyphens w:val="0"/>
        <w:ind w:left="1440" w:hanging="357"/>
        <w:rPr>
          <w:b/>
          <w:szCs w:val="22"/>
          <w:lang w:val="pt-PT"/>
        </w:rPr>
      </w:pPr>
      <w:r w:rsidRPr="008912CF">
        <w:rPr>
          <w:szCs w:val="22"/>
          <w:lang w:val="pt-PT"/>
        </w:rPr>
        <w:t xml:space="preserve">Uma vez que foram notificados casos de tuberculose em doentes tratados com Humira, o seu médico irá avaliá-lo para despiste de sinais e sintomas de tuberculose antes de iniciar a terapêutica com Humira. Esta avaliação irá incluir uma história clínica pormenorizada e exames de despiste apropriados (por exemplo, uma radiografia do tórax e um teste de tuberculina). A realização e o resultado destes exames devem ser registados no </w:t>
      </w:r>
      <w:r w:rsidRPr="00365BEE">
        <w:rPr>
          <w:b/>
          <w:szCs w:val="22"/>
          <w:lang w:val="pt-PT"/>
        </w:rPr>
        <w:t xml:space="preserve">Cartão de Segurança do Doente. </w:t>
      </w:r>
    </w:p>
    <w:p w14:paraId="60FA20C6" w14:textId="77777777" w:rsidR="00685047" w:rsidRDefault="00615769" w:rsidP="00C248FE">
      <w:pPr>
        <w:pStyle w:val="EMEABullet"/>
        <w:numPr>
          <w:ilvl w:val="0"/>
          <w:numId w:val="108"/>
        </w:numPr>
        <w:suppressAutoHyphens w:val="0"/>
        <w:ind w:left="1440" w:hanging="357"/>
        <w:rPr>
          <w:szCs w:val="22"/>
          <w:lang w:val="pt-PT"/>
        </w:rPr>
      </w:pPr>
      <w:r w:rsidRPr="008912CF">
        <w:rPr>
          <w:szCs w:val="22"/>
          <w:lang w:val="pt-PT"/>
        </w:rPr>
        <w:t xml:space="preserve">A tuberculose pode vir a manifestar-se durante o tratamento com Humira, ainda que tenha efetuado tratamento de profilaxia da tuberculose. </w:t>
      </w:r>
    </w:p>
    <w:p w14:paraId="76C848AF" w14:textId="77777777" w:rsidR="00685047" w:rsidRPr="008912CF" w:rsidRDefault="00615769" w:rsidP="00C248FE">
      <w:pPr>
        <w:pStyle w:val="EMEABullet"/>
        <w:numPr>
          <w:ilvl w:val="0"/>
          <w:numId w:val="108"/>
        </w:numPr>
        <w:suppressAutoHyphens w:val="0"/>
        <w:ind w:left="1440" w:hanging="357"/>
        <w:rPr>
          <w:szCs w:val="22"/>
          <w:lang w:val="pt-PT"/>
        </w:rPr>
      </w:pPr>
      <w:r w:rsidRPr="008912CF">
        <w:rPr>
          <w:szCs w:val="22"/>
          <w:lang w:val="pt-PT"/>
        </w:rPr>
        <w:t>Se surgirem sintomas de tuberculose (tosse persistente, perda de peso, fraqueza, febre ligeira) ou qualquer outra infeção durante ou após o tratamento, informe imediatamente o seu médico.</w:t>
      </w:r>
    </w:p>
    <w:p w14:paraId="7C994BF8" w14:textId="77777777" w:rsidR="00685047" w:rsidRPr="008912CF" w:rsidRDefault="00685047" w:rsidP="00685047">
      <w:pPr>
        <w:pStyle w:val="Footer"/>
        <w:tabs>
          <w:tab w:val="clear" w:pos="4320"/>
          <w:tab w:val="clear" w:pos="8640"/>
        </w:tabs>
        <w:ind w:left="1134" w:hanging="567"/>
        <w:rPr>
          <w:sz w:val="22"/>
          <w:szCs w:val="22"/>
        </w:rPr>
      </w:pPr>
    </w:p>
    <w:p w14:paraId="2004669A" w14:textId="77777777" w:rsidR="00685047" w:rsidRPr="00365BEE" w:rsidRDefault="00615769" w:rsidP="005A645F">
      <w:pPr>
        <w:keepNext/>
        <w:rPr>
          <w:sz w:val="22"/>
          <w:szCs w:val="22"/>
          <w:u w:val="single"/>
        </w:rPr>
      </w:pPr>
      <w:r w:rsidRPr="00365BEE">
        <w:rPr>
          <w:sz w:val="22"/>
          <w:szCs w:val="22"/>
          <w:u w:val="single"/>
        </w:rPr>
        <w:t>Hepatite B</w:t>
      </w:r>
    </w:p>
    <w:p w14:paraId="63E0DF03" w14:textId="77777777" w:rsidR="00685047" w:rsidRPr="006E0DC1" w:rsidRDefault="00685047" w:rsidP="005A645F">
      <w:pPr>
        <w:keepNext/>
      </w:pPr>
    </w:p>
    <w:p w14:paraId="44D8515A" w14:textId="77777777" w:rsidR="00685047" w:rsidRDefault="00615769" w:rsidP="005A645F">
      <w:pPr>
        <w:keepNext/>
        <w:numPr>
          <w:ilvl w:val="2"/>
          <w:numId w:val="41"/>
        </w:numPr>
        <w:tabs>
          <w:tab w:val="clear" w:pos="567"/>
        </w:tabs>
        <w:ind w:left="720" w:hanging="357"/>
        <w:rPr>
          <w:sz w:val="22"/>
          <w:szCs w:val="22"/>
        </w:rPr>
      </w:pPr>
      <w:r w:rsidRPr="008912CF">
        <w:rPr>
          <w:sz w:val="22"/>
          <w:szCs w:val="22"/>
        </w:rPr>
        <w:t xml:space="preserve">Informe o seu médico se é um portador do vírus da Hepatite B (HBV), se tem o vírus HBV ativo ou se pensa que pode estar em risco de contrair HBV. </w:t>
      </w:r>
    </w:p>
    <w:p w14:paraId="39B5CCAD" w14:textId="77777777" w:rsidR="00685047" w:rsidRDefault="00615769" w:rsidP="00C248FE">
      <w:pPr>
        <w:numPr>
          <w:ilvl w:val="2"/>
          <w:numId w:val="41"/>
        </w:numPr>
        <w:tabs>
          <w:tab w:val="clear" w:pos="567"/>
        </w:tabs>
        <w:ind w:left="1440" w:hanging="357"/>
        <w:rPr>
          <w:sz w:val="22"/>
          <w:szCs w:val="22"/>
        </w:rPr>
      </w:pPr>
      <w:r w:rsidRPr="008912CF">
        <w:rPr>
          <w:sz w:val="22"/>
          <w:szCs w:val="22"/>
        </w:rPr>
        <w:t>O seu médico deve avaliá-lo para determinar se tem HBV. Humira pode causar reativação de HBV em pessoas portadoras deste vírus.</w:t>
      </w:r>
    </w:p>
    <w:p w14:paraId="0E79E0AB" w14:textId="77777777" w:rsidR="00685047" w:rsidRPr="008912CF" w:rsidRDefault="00615769" w:rsidP="00C248FE">
      <w:pPr>
        <w:numPr>
          <w:ilvl w:val="2"/>
          <w:numId w:val="41"/>
        </w:numPr>
        <w:tabs>
          <w:tab w:val="clear" w:pos="567"/>
        </w:tabs>
        <w:ind w:left="1440" w:hanging="357"/>
        <w:rPr>
          <w:sz w:val="22"/>
          <w:szCs w:val="22"/>
        </w:rPr>
      </w:pPr>
      <w:r w:rsidRPr="008912CF">
        <w:rPr>
          <w:sz w:val="22"/>
          <w:szCs w:val="22"/>
        </w:rPr>
        <w:t>Em alguns casos</w:t>
      </w:r>
      <w:r w:rsidR="00BA1FF6">
        <w:rPr>
          <w:sz w:val="22"/>
          <w:szCs w:val="22"/>
        </w:rPr>
        <w:t xml:space="preserve"> raros</w:t>
      </w:r>
      <w:r w:rsidRPr="008912CF">
        <w:rPr>
          <w:sz w:val="22"/>
          <w:szCs w:val="22"/>
        </w:rPr>
        <w:t>, especialmente se tomar outros medicamentos que suprimem o sistema imunitário, a reativação de HBV pode pôr a sua vida em risco.</w:t>
      </w:r>
    </w:p>
    <w:p w14:paraId="74ACAF19" w14:textId="77777777" w:rsidR="00685047" w:rsidRPr="008912CF" w:rsidRDefault="00685047" w:rsidP="00685047">
      <w:pPr>
        <w:pStyle w:val="EndnoteText"/>
        <w:tabs>
          <w:tab w:val="clear" w:pos="567"/>
        </w:tabs>
        <w:rPr>
          <w:szCs w:val="22"/>
        </w:rPr>
      </w:pPr>
    </w:p>
    <w:p w14:paraId="1FC64E04" w14:textId="77777777" w:rsidR="00685047" w:rsidRPr="00365BEE" w:rsidRDefault="00615769" w:rsidP="00685047">
      <w:pPr>
        <w:rPr>
          <w:sz w:val="22"/>
          <w:szCs w:val="22"/>
          <w:u w:val="single"/>
        </w:rPr>
      </w:pPr>
      <w:r>
        <w:rPr>
          <w:sz w:val="22"/>
          <w:szCs w:val="22"/>
          <w:u w:val="single"/>
        </w:rPr>
        <w:t>Intervenção cirúrgica ou dentária</w:t>
      </w:r>
    </w:p>
    <w:p w14:paraId="15ABB3B7" w14:textId="77777777" w:rsidR="00685047" w:rsidRPr="008912CF" w:rsidRDefault="00685047" w:rsidP="00685047">
      <w:pPr>
        <w:rPr>
          <w:sz w:val="22"/>
          <w:szCs w:val="22"/>
        </w:rPr>
      </w:pPr>
    </w:p>
    <w:p w14:paraId="771A3929" w14:textId="77777777" w:rsidR="00685047" w:rsidRPr="008912CF" w:rsidRDefault="00615769" w:rsidP="00C248FE">
      <w:pPr>
        <w:numPr>
          <w:ilvl w:val="2"/>
          <w:numId w:val="41"/>
        </w:numPr>
        <w:tabs>
          <w:tab w:val="clear" w:pos="567"/>
        </w:tabs>
        <w:ind w:left="720" w:hanging="357"/>
        <w:rPr>
          <w:sz w:val="22"/>
          <w:szCs w:val="22"/>
        </w:rPr>
      </w:pPr>
      <w:r w:rsidRPr="008912CF">
        <w:rPr>
          <w:sz w:val="22"/>
          <w:szCs w:val="22"/>
        </w:rPr>
        <w:t>Se vai ser submetido a uma intervenção cirúrgica ou dentária, informe o seu médico que está a tomar Humira. O seu médico pode aconselhar a suspensão temporária de Humira.</w:t>
      </w:r>
    </w:p>
    <w:p w14:paraId="440FD740" w14:textId="77777777" w:rsidR="00685047" w:rsidRDefault="00685047" w:rsidP="00685047">
      <w:pPr>
        <w:rPr>
          <w:sz w:val="22"/>
          <w:szCs w:val="22"/>
        </w:rPr>
      </w:pPr>
    </w:p>
    <w:p w14:paraId="2EC187BF" w14:textId="77777777" w:rsidR="00685047" w:rsidRPr="00365BEE" w:rsidRDefault="00615769" w:rsidP="00685047">
      <w:pPr>
        <w:rPr>
          <w:sz w:val="22"/>
          <w:szCs w:val="22"/>
          <w:u w:val="single"/>
        </w:rPr>
      </w:pPr>
      <w:r w:rsidRPr="00365BEE">
        <w:rPr>
          <w:sz w:val="22"/>
          <w:szCs w:val="22"/>
          <w:u w:val="single"/>
        </w:rPr>
        <w:t>Doença desmielinizante</w:t>
      </w:r>
    </w:p>
    <w:p w14:paraId="51816787" w14:textId="77777777" w:rsidR="00685047" w:rsidRPr="008912CF" w:rsidRDefault="00685047" w:rsidP="00685047">
      <w:pPr>
        <w:rPr>
          <w:sz w:val="22"/>
          <w:szCs w:val="22"/>
        </w:rPr>
      </w:pPr>
    </w:p>
    <w:p w14:paraId="6C6D8846" w14:textId="77777777" w:rsidR="00685047" w:rsidRPr="00D03949" w:rsidRDefault="00615769" w:rsidP="00C248FE">
      <w:pPr>
        <w:numPr>
          <w:ilvl w:val="2"/>
          <w:numId w:val="41"/>
        </w:numPr>
        <w:tabs>
          <w:tab w:val="clear" w:pos="567"/>
        </w:tabs>
        <w:ind w:left="720" w:hanging="357"/>
        <w:rPr>
          <w:sz w:val="22"/>
          <w:szCs w:val="22"/>
        </w:rPr>
      </w:pPr>
      <w:r w:rsidRPr="00DE3483">
        <w:rPr>
          <w:sz w:val="22"/>
          <w:szCs w:val="22"/>
        </w:rPr>
        <w:t xml:space="preserve">Se sofre </w:t>
      </w:r>
      <w:r w:rsidRPr="008123C1">
        <w:rPr>
          <w:sz w:val="22"/>
          <w:szCs w:val="22"/>
        </w:rPr>
        <w:t>ou vier a desenvolve</w:t>
      </w:r>
      <w:r w:rsidRPr="005972D0">
        <w:rPr>
          <w:sz w:val="22"/>
          <w:szCs w:val="22"/>
        </w:rPr>
        <w:t>r uma</w:t>
      </w:r>
      <w:r w:rsidRPr="0095665F">
        <w:rPr>
          <w:sz w:val="22"/>
          <w:szCs w:val="22"/>
        </w:rPr>
        <w:t xml:space="preserve"> </w:t>
      </w:r>
      <w:r w:rsidR="00D30971">
        <w:rPr>
          <w:sz w:val="22"/>
          <w:szCs w:val="22"/>
        </w:rPr>
        <w:t>doença desmielinizante (uma doença que afeta a camada isolan</w:t>
      </w:r>
      <w:r w:rsidR="00AA2EEA">
        <w:rPr>
          <w:sz w:val="22"/>
          <w:szCs w:val="22"/>
        </w:rPr>
        <w:t xml:space="preserve">te à volta dos nervos, tal como </w:t>
      </w:r>
      <w:r w:rsidR="00D30971">
        <w:rPr>
          <w:sz w:val="22"/>
          <w:szCs w:val="22"/>
        </w:rPr>
        <w:t>esclerose múltipla)</w:t>
      </w:r>
      <w:r>
        <w:rPr>
          <w:sz w:val="22"/>
          <w:szCs w:val="22"/>
        </w:rPr>
        <w:t>, o</w:t>
      </w:r>
      <w:r w:rsidRPr="0095665F">
        <w:rPr>
          <w:sz w:val="22"/>
          <w:szCs w:val="22"/>
        </w:rPr>
        <w:t xml:space="preserve"> seu médico irá decidir se pode utilizar</w:t>
      </w:r>
      <w:r w:rsidRPr="0095508D">
        <w:rPr>
          <w:sz w:val="22"/>
          <w:szCs w:val="22"/>
        </w:rPr>
        <w:t xml:space="preserve"> ou continuar a utilizar</w:t>
      </w:r>
      <w:r w:rsidRPr="00D03949">
        <w:rPr>
          <w:sz w:val="22"/>
          <w:szCs w:val="22"/>
        </w:rPr>
        <w:t xml:space="preserve"> Humira. </w:t>
      </w:r>
      <w:r w:rsidR="00134325">
        <w:rPr>
          <w:sz w:val="22"/>
          <w:szCs w:val="22"/>
        </w:rPr>
        <w:t>Caso desenvolva</w:t>
      </w:r>
      <w:r>
        <w:rPr>
          <w:sz w:val="22"/>
          <w:szCs w:val="22"/>
        </w:rPr>
        <w:t xml:space="preserve"> sintomas</w:t>
      </w:r>
      <w:r w:rsidRPr="00D43276">
        <w:rPr>
          <w:sz w:val="22"/>
          <w:szCs w:val="22"/>
        </w:rPr>
        <w:t xml:space="preserve">, tais como alterações na visão, fraqueza nos braços </w:t>
      </w:r>
      <w:r w:rsidRPr="00A1061E">
        <w:rPr>
          <w:sz w:val="22"/>
          <w:szCs w:val="22"/>
        </w:rPr>
        <w:t>ou pernas ou dormência ou formigueir</w:t>
      </w:r>
      <w:r w:rsidRPr="000919AA">
        <w:rPr>
          <w:sz w:val="22"/>
          <w:szCs w:val="22"/>
        </w:rPr>
        <w:t xml:space="preserve">o em qualquer parte do corpo, </w:t>
      </w:r>
      <w:r>
        <w:rPr>
          <w:sz w:val="22"/>
          <w:szCs w:val="22"/>
        </w:rPr>
        <w:t xml:space="preserve">informe imediatamente </w:t>
      </w:r>
      <w:r w:rsidRPr="00D03949">
        <w:rPr>
          <w:sz w:val="22"/>
          <w:szCs w:val="22"/>
        </w:rPr>
        <w:t>o seu médico</w:t>
      </w:r>
      <w:r>
        <w:rPr>
          <w:sz w:val="22"/>
          <w:szCs w:val="22"/>
        </w:rPr>
        <w:t>.</w:t>
      </w:r>
      <w:r w:rsidRPr="00D03949">
        <w:rPr>
          <w:sz w:val="22"/>
          <w:szCs w:val="22"/>
        </w:rPr>
        <w:t xml:space="preserve"> </w:t>
      </w:r>
    </w:p>
    <w:p w14:paraId="4111C44A" w14:textId="77777777" w:rsidR="00685047" w:rsidRDefault="00685047" w:rsidP="00685047">
      <w:pPr>
        <w:rPr>
          <w:sz w:val="22"/>
          <w:szCs w:val="22"/>
        </w:rPr>
      </w:pPr>
    </w:p>
    <w:p w14:paraId="61A42339" w14:textId="77777777" w:rsidR="00685047" w:rsidRPr="00365BEE" w:rsidRDefault="00615769" w:rsidP="00685047">
      <w:pPr>
        <w:rPr>
          <w:sz w:val="22"/>
          <w:szCs w:val="22"/>
          <w:u w:val="single"/>
        </w:rPr>
      </w:pPr>
      <w:r w:rsidRPr="00365BEE">
        <w:rPr>
          <w:sz w:val="22"/>
          <w:szCs w:val="22"/>
          <w:u w:val="single"/>
        </w:rPr>
        <w:t>Vacinaç</w:t>
      </w:r>
      <w:r w:rsidR="00082835">
        <w:rPr>
          <w:sz w:val="22"/>
          <w:szCs w:val="22"/>
          <w:u w:val="single"/>
        </w:rPr>
        <w:t>ão</w:t>
      </w:r>
    </w:p>
    <w:p w14:paraId="70E82176" w14:textId="77777777" w:rsidR="00685047" w:rsidRPr="008912CF" w:rsidRDefault="00685047" w:rsidP="00685047">
      <w:pPr>
        <w:rPr>
          <w:sz w:val="22"/>
          <w:szCs w:val="22"/>
        </w:rPr>
      </w:pPr>
    </w:p>
    <w:p w14:paraId="1458B151" w14:textId="77777777" w:rsidR="00685047" w:rsidRDefault="00615769" w:rsidP="00C248FE">
      <w:pPr>
        <w:numPr>
          <w:ilvl w:val="2"/>
          <w:numId w:val="41"/>
        </w:numPr>
        <w:tabs>
          <w:tab w:val="clear" w:pos="567"/>
        </w:tabs>
        <w:ind w:left="720" w:hanging="357"/>
        <w:rPr>
          <w:sz w:val="22"/>
          <w:szCs w:val="22"/>
        </w:rPr>
      </w:pPr>
      <w:r w:rsidRPr="008912CF">
        <w:rPr>
          <w:sz w:val="22"/>
          <w:szCs w:val="22"/>
        </w:rPr>
        <w:t xml:space="preserve">Certas vacinas podem causar infeções e não devem ser administradas em conjunto com Humira. </w:t>
      </w:r>
    </w:p>
    <w:p w14:paraId="2997373C" w14:textId="77777777" w:rsidR="00685047" w:rsidRDefault="00685047" w:rsidP="00685047">
      <w:pPr>
        <w:rPr>
          <w:sz w:val="22"/>
          <w:szCs w:val="22"/>
        </w:rPr>
      </w:pPr>
    </w:p>
    <w:p w14:paraId="292EC53A" w14:textId="77777777" w:rsidR="00685047" w:rsidRDefault="00615769" w:rsidP="00C248FE">
      <w:pPr>
        <w:numPr>
          <w:ilvl w:val="2"/>
          <w:numId w:val="41"/>
        </w:numPr>
        <w:tabs>
          <w:tab w:val="left" w:pos="1134"/>
        </w:tabs>
        <w:ind w:left="1440" w:hanging="357"/>
        <w:rPr>
          <w:sz w:val="22"/>
          <w:szCs w:val="22"/>
        </w:rPr>
      </w:pPr>
      <w:r w:rsidRPr="008912CF">
        <w:rPr>
          <w:sz w:val="22"/>
          <w:szCs w:val="22"/>
        </w:rPr>
        <w:t xml:space="preserve">Contacte o seu médico antes de receber qualquer vacina. </w:t>
      </w:r>
    </w:p>
    <w:p w14:paraId="0251000A" w14:textId="77777777" w:rsidR="00FC2F7D" w:rsidRDefault="00615769">
      <w:pPr>
        <w:numPr>
          <w:ilvl w:val="2"/>
          <w:numId w:val="41"/>
        </w:numPr>
        <w:tabs>
          <w:tab w:val="left" w:pos="1134"/>
        </w:tabs>
        <w:ind w:left="1440" w:hanging="357"/>
        <w:rPr>
          <w:sz w:val="22"/>
          <w:szCs w:val="22"/>
        </w:rPr>
      </w:pPr>
      <w:r w:rsidRPr="00D30971">
        <w:rPr>
          <w:sz w:val="22"/>
          <w:szCs w:val="22"/>
        </w:rPr>
        <w:t xml:space="preserve">Recomenda-se que as crianças, antes de iniciarem o tratamento com Humira, se possível, recebam todas as vacinas, de acordo com o atual plano de vacinação nacional. </w:t>
      </w:r>
    </w:p>
    <w:p w14:paraId="787B3B6C" w14:textId="77777777" w:rsidR="00685047" w:rsidRPr="00D30971" w:rsidRDefault="00615769">
      <w:pPr>
        <w:numPr>
          <w:ilvl w:val="2"/>
          <w:numId w:val="41"/>
        </w:numPr>
        <w:tabs>
          <w:tab w:val="left" w:pos="1134"/>
        </w:tabs>
        <w:ind w:left="1440" w:hanging="357"/>
        <w:rPr>
          <w:sz w:val="22"/>
          <w:szCs w:val="22"/>
        </w:rPr>
      </w:pPr>
      <w:r w:rsidRPr="00D30971">
        <w:rPr>
          <w:sz w:val="22"/>
          <w:szCs w:val="22"/>
        </w:rPr>
        <w:t>Se utilizou Humira durante a gravidez, o seu bebé pode ter um risco superior de ter tais infeções até, aproximadamente, cinco meses após a última dose</w:t>
      </w:r>
      <w:r w:rsidR="00F145CD">
        <w:rPr>
          <w:sz w:val="22"/>
          <w:szCs w:val="22"/>
        </w:rPr>
        <w:t xml:space="preserve"> de Humira</w:t>
      </w:r>
      <w:r w:rsidRPr="00D30971">
        <w:rPr>
          <w:sz w:val="22"/>
          <w:szCs w:val="22"/>
        </w:rPr>
        <w:t xml:space="preserve"> que administrou durante a gravidez. É importante que diga ao médico do seu bebé e a outros profissionais de saúde que usou Humira durante a sua gravidez, para que estes possam decidir quando pode ser dada qualquer vacina ao seu bebé.</w:t>
      </w:r>
    </w:p>
    <w:p w14:paraId="2AA39C7E" w14:textId="77777777" w:rsidR="00685047" w:rsidRDefault="00685047" w:rsidP="00685047">
      <w:pPr>
        <w:tabs>
          <w:tab w:val="left" w:pos="1418"/>
        </w:tabs>
        <w:rPr>
          <w:sz w:val="22"/>
          <w:szCs w:val="22"/>
        </w:rPr>
      </w:pPr>
    </w:p>
    <w:p w14:paraId="61B75AB9" w14:textId="77777777" w:rsidR="00685047" w:rsidRPr="00365BEE" w:rsidRDefault="00615769" w:rsidP="00685047">
      <w:pPr>
        <w:rPr>
          <w:sz w:val="22"/>
          <w:szCs w:val="22"/>
          <w:u w:val="single"/>
        </w:rPr>
      </w:pPr>
      <w:r>
        <w:rPr>
          <w:sz w:val="22"/>
          <w:szCs w:val="22"/>
          <w:u w:val="single"/>
        </w:rPr>
        <w:t>Insuficiência cardíaca</w:t>
      </w:r>
    </w:p>
    <w:p w14:paraId="522059F3" w14:textId="77777777" w:rsidR="00685047" w:rsidRDefault="00685047" w:rsidP="00685047">
      <w:pPr>
        <w:rPr>
          <w:sz w:val="22"/>
          <w:szCs w:val="22"/>
        </w:rPr>
      </w:pPr>
    </w:p>
    <w:p w14:paraId="3E27AAF3" w14:textId="77777777" w:rsidR="001305EF" w:rsidRDefault="00615769" w:rsidP="00E27628">
      <w:pPr>
        <w:keepNext/>
        <w:numPr>
          <w:ilvl w:val="0"/>
          <w:numId w:val="23"/>
        </w:numPr>
        <w:tabs>
          <w:tab w:val="clear" w:pos="567"/>
        </w:tabs>
        <w:ind w:left="720" w:hanging="357"/>
        <w:rPr>
          <w:sz w:val="22"/>
          <w:szCs w:val="22"/>
        </w:rPr>
      </w:pPr>
      <w:r w:rsidRPr="00D30971">
        <w:rPr>
          <w:sz w:val="22"/>
          <w:szCs w:val="22"/>
        </w:rPr>
        <w:t xml:space="preserve">Se </w:t>
      </w:r>
      <w:r w:rsidRPr="006E6749">
        <w:rPr>
          <w:sz w:val="22"/>
          <w:szCs w:val="22"/>
        </w:rPr>
        <w:t>sofre de insuficiência cardíaca ligeira e está a ser tratad</w:t>
      </w:r>
      <w:r w:rsidR="00E27628">
        <w:rPr>
          <w:sz w:val="22"/>
          <w:szCs w:val="22"/>
        </w:rPr>
        <w:t>o</w:t>
      </w:r>
      <w:r w:rsidRPr="006E6749">
        <w:rPr>
          <w:sz w:val="22"/>
          <w:szCs w:val="22"/>
        </w:rPr>
        <w:t xml:space="preserve"> com Humira, o estado da sua insuficiência cardíaca deve ser controlado cuidadosamente pelo seu médico. É muito importante que informe o seu médico se sofre ou já sofreu de problemas cardíacos graves. Caso desenvolva novos sintomas ou agravamento dos sintomas de insuficiência cardíaca (por exemplo, falta de ar ou inchaço dos pés), deve contactar o seu médico imediatamente. O seu médico irá decidir se pode utilizar</w:t>
      </w:r>
      <w:r w:rsidRPr="00D30971">
        <w:rPr>
          <w:sz w:val="22"/>
          <w:szCs w:val="22"/>
        </w:rPr>
        <w:t xml:space="preserve"> Humira.</w:t>
      </w:r>
    </w:p>
    <w:p w14:paraId="12D606CB" w14:textId="77777777" w:rsidR="006D5FCE" w:rsidRPr="00E66468" w:rsidRDefault="006D5FCE" w:rsidP="00F3253B">
      <w:pPr>
        <w:ind w:left="720"/>
        <w:rPr>
          <w:sz w:val="22"/>
          <w:szCs w:val="22"/>
        </w:rPr>
      </w:pPr>
    </w:p>
    <w:p w14:paraId="37CF5D68" w14:textId="77777777" w:rsidR="00685047" w:rsidRPr="00154AA2" w:rsidRDefault="00615769" w:rsidP="0093521F">
      <w:pPr>
        <w:keepNext/>
        <w:rPr>
          <w:sz w:val="22"/>
          <w:szCs w:val="22"/>
          <w:u w:val="single"/>
        </w:rPr>
      </w:pPr>
      <w:r w:rsidRPr="00154AA2">
        <w:rPr>
          <w:sz w:val="22"/>
          <w:szCs w:val="22"/>
          <w:u w:val="single"/>
        </w:rPr>
        <w:t>Febre, nódoas negras, perdas de sangue ou aspeto pálido</w:t>
      </w:r>
    </w:p>
    <w:p w14:paraId="293F3972" w14:textId="77777777" w:rsidR="000806CF" w:rsidRDefault="000806CF" w:rsidP="0093521F">
      <w:pPr>
        <w:pStyle w:val="ListParagraph"/>
        <w:keepNext/>
        <w:rPr>
          <w:sz w:val="22"/>
          <w:szCs w:val="22"/>
        </w:rPr>
      </w:pPr>
    </w:p>
    <w:p w14:paraId="798B9C02" w14:textId="77777777" w:rsidR="00685047" w:rsidRPr="000806CF" w:rsidRDefault="00615769" w:rsidP="0093521F">
      <w:pPr>
        <w:keepNext/>
        <w:numPr>
          <w:ilvl w:val="0"/>
          <w:numId w:val="23"/>
        </w:numPr>
        <w:tabs>
          <w:tab w:val="clear" w:pos="567"/>
        </w:tabs>
        <w:ind w:left="720" w:hanging="357"/>
        <w:rPr>
          <w:sz w:val="22"/>
          <w:szCs w:val="22"/>
        </w:rPr>
      </w:pPr>
      <w:r w:rsidRPr="000806CF">
        <w:rPr>
          <w:sz w:val="22"/>
          <w:szCs w:val="22"/>
        </w:rPr>
        <w:t xml:space="preserve">Em alguns doentes o organismo pode ser incapaz de produzir suficientes células sanguíneas que </w:t>
      </w:r>
      <w:r w:rsidR="000806CF" w:rsidRPr="000806CF">
        <w:rPr>
          <w:sz w:val="22"/>
          <w:szCs w:val="22"/>
        </w:rPr>
        <w:t>combatam</w:t>
      </w:r>
      <w:r w:rsidRPr="000806CF">
        <w:rPr>
          <w:sz w:val="22"/>
          <w:szCs w:val="22"/>
        </w:rPr>
        <w:t xml:space="preserve"> infeções ou ajudem a parar hemorragias. O seu médico pode decidir suspender o tratamento. </w:t>
      </w:r>
      <w:r w:rsidR="000806CF" w:rsidRPr="000806CF">
        <w:rPr>
          <w:sz w:val="22"/>
          <w:szCs w:val="22"/>
        </w:rPr>
        <w:t>Caso verifique febre que se mantenha, tiver nódoas negras ou perdas de sangue muito facilmente ou se apresentar um aspeto muito pálido, informe imediatamente o seu médico.</w:t>
      </w:r>
    </w:p>
    <w:p w14:paraId="7BECF182" w14:textId="77777777" w:rsidR="00685047" w:rsidRDefault="00685047" w:rsidP="00685047"/>
    <w:p w14:paraId="4BFA00F0" w14:textId="77777777" w:rsidR="00685047" w:rsidRPr="00B427DD" w:rsidRDefault="00615769" w:rsidP="00685047">
      <w:pPr>
        <w:rPr>
          <w:sz w:val="22"/>
          <w:szCs w:val="22"/>
          <w:u w:val="single"/>
        </w:rPr>
      </w:pPr>
      <w:r w:rsidRPr="00B427DD">
        <w:rPr>
          <w:sz w:val="22"/>
          <w:szCs w:val="22"/>
          <w:u w:val="single"/>
        </w:rPr>
        <w:t>Cancro</w:t>
      </w:r>
    </w:p>
    <w:p w14:paraId="5102C2A4" w14:textId="77777777" w:rsidR="00685047" w:rsidRPr="007A3705" w:rsidRDefault="00685047" w:rsidP="00685047"/>
    <w:p w14:paraId="71F1E40B" w14:textId="77777777" w:rsidR="00685047" w:rsidRDefault="00615769" w:rsidP="00CC2ACC">
      <w:pPr>
        <w:numPr>
          <w:ilvl w:val="0"/>
          <w:numId w:val="23"/>
        </w:numPr>
        <w:tabs>
          <w:tab w:val="clear" w:pos="567"/>
        </w:tabs>
        <w:ind w:left="720" w:hanging="357"/>
        <w:rPr>
          <w:sz w:val="22"/>
          <w:szCs w:val="22"/>
        </w:rPr>
      </w:pPr>
      <w:r w:rsidRPr="008912CF">
        <w:rPr>
          <w:sz w:val="22"/>
          <w:szCs w:val="22"/>
        </w:rPr>
        <w:t>T</w:t>
      </w:r>
      <w:r w:rsidR="00B00E30">
        <w:rPr>
          <w:sz w:val="22"/>
          <w:szCs w:val="22"/>
        </w:rPr>
        <w:t>ê</w:t>
      </w:r>
      <w:r w:rsidRPr="008912CF">
        <w:rPr>
          <w:sz w:val="22"/>
          <w:szCs w:val="22"/>
        </w:rPr>
        <w:t>m ocorrido</w:t>
      </w:r>
      <w:r w:rsidR="00B00E30">
        <w:rPr>
          <w:sz w:val="22"/>
          <w:szCs w:val="22"/>
        </w:rPr>
        <w:t>,</w:t>
      </w:r>
      <w:r w:rsidRPr="008912CF">
        <w:rPr>
          <w:sz w:val="22"/>
          <w:szCs w:val="22"/>
        </w:rPr>
        <w:t xml:space="preserve"> em casos muito raros, certos tipos de cancro em crianças e adultos doentes tratados com Humira ou com outros antagonistas</w:t>
      </w:r>
      <w:r w:rsidRPr="008912CF">
        <w:rPr>
          <w:sz w:val="22"/>
          <w:szCs w:val="22"/>
        </w:rPr>
        <w:noBreakHyphen/>
        <w:t xml:space="preserve">TNF. </w:t>
      </w:r>
    </w:p>
    <w:p w14:paraId="67C66B5C" w14:textId="77777777" w:rsidR="00685047" w:rsidRDefault="00685047" w:rsidP="00685047">
      <w:pPr>
        <w:rPr>
          <w:sz w:val="22"/>
          <w:szCs w:val="22"/>
        </w:rPr>
      </w:pPr>
    </w:p>
    <w:p w14:paraId="4211A1E1" w14:textId="77777777" w:rsidR="00685047" w:rsidRDefault="00615769" w:rsidP="00CC2ACC">
      <w:pPr>
        <w:numPr>
          <w:ilvl w:val="0"/>
          <w:numId w:val="23"/>
        </w:numPr>
        <w:tabs>
          <w:tab w:val="clear" w:pos="567"/>
        </w:tabs>
        <w:ind w:left="1434" w:hanging="357"/>
        <w:rPr>
          <w:sz w:val="22"/>
          <w:szCs w:val="22"/>
        </w:rPr>
      </w:pPr>
      <w:r w:rsidRPr="008912CF">
        <w:rPr>
          <w:sz w:val="22"/>
          <w:szCs w:val="22"/>
        </w:rPr>
        <w:t>Doentes com artrite reumatoide muito grave que tenham doença prolongada podem ter um maior risco médio de aparecimento de linfoma (</w:t>
      </w:r>
      <w:r w:rsidR="000F0FD1">
        <w:rPr>
          <w:sz w:val="22"/>
          <w:szCs w:val="22"/>
        </w:rPr>
        <w:t>um</w:t>
      </w:r>
      <w:r w:rsidRPr="008912CF">
        <w:rPr>
          <w:sz w:val="22"/>
          <w:szCs w:val="22"/>
        </w:rPr>
        <w:t xml:space="preserve"> cancro que afeta o sistema linfático) e leucemia (</w:t>
      </w:r>
      <w:r w:rsidR="000F0FD1">
        <w:rPr>
          <w:sz w:val="22"/>
          <w:szCs w:val="22"/>
        </w:rPr>
        <w:t>um</w:t>
      </w:r>
      <w:r w:rsidRPr="008912CF">
        <w:rPr>
          <w:sz w:val="22"/>
          <w:szCs w:val="22"/>
        </w:rPr>
        <w:t xml:space="preserve"> cancro que afeta o sangue e medula óssea). </w:t>
      </w:r>
    </w:p>
    <w:p w14:paraId="397C1F70" w14:textId="77777777" w:rsidR="00685047" w:rsidRDefault="00615769" w:rsidP="00CC2ACC">
      <w:pPr>
        <w:numPr>
          <w:ilvl w:val="0"/>
          <w:numId w:val="23"/>
        </w:numPr>
        <w:tabs>
          <w:tab w:val="clear" w:pos="567"/>
        </w:tabs>
        <w:ind w:left="1434" w:hanging="357"/>
        <w:rPr>
          <w:sz w:val="22"/>
          <w:szCs w:val="22"/>
        </w:rPr>
      </w:pPr>
      <w:r w:rsidRPr="008912CF">
        <w:rPr>
          <w:sz w:val="22"/>
          <w:szCs w:val="22"/>
        </w:rPr>
        <w:t xml:space="preserve">Se toma Humira o risco de ter linfoma, leucemia, ou outro tipo de cancro pode aumentar. Em raras ocasiões, em doentes tratados com Humira, foi notificado um tipo de linfoma </w:t>
      </w:r>
      <w:r w:rsidR="00712F4C">
        <w:rPr>
          <w:sz w:val="22"/>
          <w:szCs w:val="22"/>
        </w:rPr>
        <w:t>pouco frequente</w:t>
      </w:r>
      <w:r w:rsidR="00712F4C" w:rsidRPr="008912CF">
        <w:rPr>
          <w:sz w:val="22"/>
          <w:szCs w:val="22"/>
        </w:rPr>
        <w:t xml:space="preserve"> </w:t>
      </w:r>
      <w:r w:rsidRPr="008912CF">
        <w:rPr>
          <w:sz w:val="22"/>
          <w:szCs w:val="22"/>
        </w:rPr>
        <w:t xml:space="preserve">e grave. Alguns destes doentes foram também tratados com azatioprina ou 6-mercaptopurina. </w:t>
      </w:r>
    </w:p>
    <w:p w14:paraId="69CED856" w14:textId="77777777" w:rsidR="00685047" w:rsidRDefault="00615769" w:rsidP="00CC2ACC">
      <w:pPr>
        <w:numPr>
          <w:ilvl w:val="0"/>
          <w:numId w:val="23"/>
        </w:numPr>
        <w:tabs>
          <w:tab w:val="clear" w:pos="567"/>
        </w:tabs>
        <w:ind w:left="1434" w:hanging="357"/>
        <w:rPr>
          <w:sz w:val="22"/>
          <w:szCs w:val="22"/>
        </w:rPr>
      </w:pPr>
      <w:r w:rsidRPr="008912CF">
        <w:rPr>
          <w:sz w:val="22"/>
          <w:szCs w:val="22"/>
        </w:rPr>
        <w:t>Diga ao seu médico se está a tomar azatioprina ou 6-mercaptopurina com Humira</w:t>
      </w:r>
      <w:r>
        <w:rPr>
          <w:sz w:val="22"/>
          <w:szCs w:val="22"/>
        </w:rPr>
        <w:t>.</w:t>
      </w:r>
      <w:r w:rsidRPr="008912CF">
        <w:rPr>
          <w:sz w:val="22"/>
          <w:szCs w:val="22"/>
        </w:rPr>
        <w:t xml:space="preserve"> </w:t>
      </w:r>
    </w:p>
    <w:p w14:paraId="3F4E547A" w14:textId="77777777" w:rsidR="00685047" w:rsidRDefault="00615769" w:rsidP="00CC2ACC">
      <w:pPr>
        <w:numPr>
          <w:ilvl w:val="0"/>
          <w:numId w:val="23"/>
        </w:numPr>
        <w:tabs>
          <w:tab w:val="clear" w:pos="567"/>
        </w:tabs>
        <w:ind w:left="1434" w:hanging="357"/>
        <w:rPr>
          <w:sz w:val="22"/>
          <w:szCs w:val="22"/>
        </w:rPr>
      </w:pPr>
      <w:r>
        <w:rPr>
          <w:sz w:val="22"/>
          <w:szCs w:val="22"/>
        </w:rPr>
        <w:t>F</w:t>
      </w:r>
      <w:r w:rsidRPr="008912CF">
        <w:rPr>
          <w:sz w:val="22"/>
          <w:szCs w:val="22"/>
        </w:rPr>
        <w:t xml:space="preserve">oram observados casos de neoplasias cutâneas não-melanomas em doentes tratados com Humira. </w:t>
      </w:r>
    </w:p>
    <w:p w14:paraId="3B0BA21D" w14:textId="77777777" w:rsidR="00685047" w:rsidRPr="008912CF" w:rsidRDefault="00615769" w:rsidP="00CC2ACC">
      <w:pPr>
        <w:numPr>
          <w:ilvl w:val="0"/>
          <w:numId w:val="23"/>
        </w:numPr>
        <w:tabs>
          <w:tab w:val="clear" w:pos="567"/>
        </w:tabs>
        <w:ind w:left="1434" w:hanging="357"/>
        <w:rPr>
          <w:sz w:val="22"/>
          <w:szCs w:val="22"/>
        </w:rPr>
      </w:pPr>
      <w:r w:rsidRPr="008912CF">
        <w:rPr>
          <w:sz w:val="22"/>
          <w:szCs w:val="22"/>
        </w:rPr>
        <w:t>Se aparecerem novas lesões de pele durante ou depois do tratamento, ou se existirem alterações no aspeto de lesões existentes, informe o seu médico.</w:t>
      </w:r>
    </w:p>
    <w:p w14:paraId="48570B8D" w14:textId="77777777" w:rsidR="00685047" w:rsidRPr="008912CF" w:rsidRDefault="00685047" w:rsidP="00685047">
      <w:pPr>
        <w:rPr>
          <w:sz w:val="22"/>
          <w:szCs w:val="22"/>
        </w:rPr>
      </w:pPr>
    </w:p>
    <w:p w14:paraId="4E62F1F8" w14:textId="77777777" w:rsidR="00685047" w:rsidRPr="008912CF" w:rsidRDefault="00615769" w:rsidP="00CC2ACC">
      <w:pPr>
        <w:numPr>
          <w:ilvl w:val="0"/>
          <w:numId w:val="23"/>
        </w:numPr>
        <w:tabs>
          <w:tab w:val="clear" w:pos="567"/>
        </w:tabs>
        <w:ind w:left="720" w:hanging="357"/>
        <w:rPr>
          <w:sz w:val="22"/>
          <w:szCs w:val="22"/>
        </w:rPr>
      </w:pPr>
      <w:r w:rsidRPr="008912CF">
        <w:rPr>
          <w:sz w:val="22"/>
          <w:szCs w:val="22"/>
        </w:rPr>
        <w:t>Existem casos de cancros, para além de linfoma, em doentes com um tipo específico de doença pulmonar denominada Doença Pulmonar Obstrutiva Crónica (DPOC) tratados com outros antagonistas</w:t>
      </w:r>
      <w:r w:rsidRPr="008912CF">
        <w:rPr>
          <w:sz w:val="22"/>
          <w:szCs w:val="22"/>
        </w:rPr>
        <w:noBreakHyphen/>
        <w:t>TNF. Se tem DPOC, ou se fuma muito, deve falar com o seu médico para saber se o tratamento com um bloqueador</w:t>
      </w:r>
      <w:r w:rsidRPr="008912CF">
        <w:rPr>
          <w:sz w:val="22"/>
          <w:szCs w:val="22"/>
        </w:rPr>
        <w:noBreakHyphen/>
        <w:t>TNF é apropriado para si.</w:t>
      </w:r>
    </w:p>
    <w:p w14:paraId="44E99774" w14:textId="77777777" w:rsidR="00685047" w:rsidRDefault="00685047" w:rsidP="00685047">
      <w:pPr>
        <w:rPr>
          <w:sz w:val="22"/>
          <w:szCs w:val="22"/>
        </w:rPr>
      </w:pPr>
    </w:p>
    <w:p w14:paraId="5064073E" w14:textId="77777777" w:rsidR="000F0FD1" w:rsidRPr="00E51FCC" w:rsidRDefault="00615769" w:rsidP="000F0FD1">
      <w:pPr>
        <w:rPr>
          <w:sz w:val="22"/>
          <w:szCs w:val="22"/>
          <w:u w:val="single"/>
        </w:rPr>
      </w:pPr>
      <w:r w:rsidRPr="00E51FCC">
        <w:rPr>
          <w:sz w:val="22"/>
          <w:szCs w:val="22"/>
          <w:u w:val="single"/>
        </w:rPr>
        <w:t>Doença autoimune</w:t>
      </w:r>
    </w:p>
    <w:p w14:paraId="2876C804" w14:textId="77777777" w:rsidR="000F0FD1" w:rsidRDefault="000F0FD1" w:rsidP="000F0FD1">
      <w:pPr>
        <w:pStyle w:val="ListParagraph"/>
        <w:rPr>
          <w:sz w:val="22"/>
          <w:szCs w:val="22"/>
        </w:rPr>
      </w:pPr>
    </w:p>
    <w:p w14:paraId="6FE409E8" w14:textId="77777777" w:rsidR="000F0FD1" w:rsidRDefault="00615769" w:rsidP="000F0FD1">
      <w:pPr>
        <w:pStyle w:val="ListParagraph"/>
        <w:numPr>
          <w:ilvl w:val="0"/>
          <w:numId w:val="144"/>
        </w:numPr>
        <w:rPr>
          <w:sz w:val="22"/>
          <w:szCs w:val="22"/>
        </w:rPr>
      </w:pPr>
      <w:r>
        <w:rPr>
          <w:sz w:val="22"/>
          <w:szCs w:val="22"/>
        </w:rPr>
        <w:t xml:space="preserve">Em raras ocasiões, o </w:t>
      </w:r>
      <w:r w:rsidRPr="00E51FCC">
        <w:rPr>
          <w:sz w:val="22"/>
          <w:szCs w:val="22"/>
        </w:rPr>
        <w:t xml:space="preserve">tratamento com Humira pode dar origem </w:t>
      </w:r>
      <w:r>
        <w:rPr>
          <w:sz w:val="22"/>
          <w:szCs w:val="22"/>
        </w:rPr>
        <w:t>a s</w:t>
      </w:r>
      <w:r w:rsidRPr="0069244F">
        <w:rPr>
          <w:sz w:val="22"/>
          <w:szCs w:val="22"/>
        </w:rPr>
        <w:t>intomas sugestivos de uma síndrome do tipo lúpus</w:t>
      </w:r>
      <w:r>
        <w:rPr>
          <w:sz w:val="22"/>
          <w:szCs w:val="22"/>
        </w:rPr>
        <w:t>. Contacte o seu médico se ocorrerem sintomas tais como inesperada</w:t>
      </w:r>
      <w:r w:rsidRPr="00A33DCB">
        <w:rPr>
          <w:sz w:val="22"/>
          <w:szCs w:val="22"/>
        </w:rPr>
        <w:t xml:space="preserve"> erupção cutânea persistente,</w:t>
      </w:r>
      <w:r>
        <w:rPr>
          <w:sz w:val="22"/>
          <w:szCs w:val="22"/>
        </w:rPr>
        <w:t xml:space="preserve"> febre, dor nas articulações ou cansaço.</w:t>
      </w:r>
      <w:r w:rsidRPr="00A33DCB">
        <w:rPr>
          <w:sz w:val="22"/>
          <w:szCs w:val="22"/>
        </w:rPr>
        <w:t xml:space="preserve"> </w:t>
      </w:r>
    </w:p>
    <w:p w14:paraId="1A5CFBED" w14:textId="77777777" w:rsidR="000F0FD1" w:rsidRPr="008912CF" w:rsidRDefault="000F0FD1" w:rsidP="00685047">
      <w:pPr>
        <w:rPr>
          <w:sz w:val="22"/>
          <w:szCs w:val="22"/>
        </w:rPr>
      </w:pPr>
    </w:p>
    <w:p w14:paraId="7C396346" w14:textId="77777777" w:rsidR="00685047" w:rsidRPr="008912CF" w:rsidRDefault="00615769" w:rsidP="00040D46">
      <w:pPr>
        <w:pStyle w:val="EMEAHeadingLeaflet"/>
        <w:keepNext/>
        <w:spacing w:before="0" w:after="0"/>
        <w:rPr>
          <w:rFonts w:ascii="Times New Roman" w:hAnsi="Times New Roman"/>
          <w:szCs w:val="22"/>
          <w:lang w:val="pt-PT"/>
        </w:rPr>
      </w:pPr>
      <w:r w:rsidRPr="008912CF">
        <w:rPr>
          <w:rFonts w:ascii="Times New Roman" w:hAnsi="Times New Roman"/>
          <w:szCs w:val="22"/>
          <w:lang w:val="pt-PT"/>
        </w:rPr>
        <w:t>Crianças e adolescentes</w:t>
      </w:r>
    </w:p>
    <w:p w14:paraId="40A26CC4" w14:textId="77777777" w:rsidR="00685047" w:rsidRPr="008912CF" w:rsidRDefault="00685047" w:rsidP="00685047">
      <w:pPr>
        <w:pStyle w:val="EMEANormal"/>
        <w:rPr>
          <w:lang w:val="pt-PT"/>
        </w:rPr>
      </w:pPr>
    </w:p>
    <w:p w14:paraId="32336A41" w14:textId="77777777" w:rsidR="00685047" w:rsidRPr="008912CF" w:rsidRDefault="00615769" w:rsidP="0082266B">
      <w:pPr>
        <w:pStyle w:val="EMEABullet2"/>
        <w:numPr>
          <w:ilvl w:val="0"/>
          <w:numId w:val="109"/>
        </w:numPr>
        <w:tabs>
          <w:tab w:val="clear" w:pos="567"/>
        </w:tabs>
        <w:ind w:left="567" w:hanging="567"/>
        <w:rPr>
          <w:szCs w:val="22"/>
          <w:lang w:val="pt-PT"/>
        </w:rPr>
      </w:pPr>
      <w:r w:rsidRPr="008912CF">
        <w:rPr>
          <w:szCs w:val="22"/>
          <w:lang w:val="pt-PT"/>
        </w:rPr>
        <w:t>Vacinação: se possível, antes de iniciar Humira, a sua criança deve ter todas as vacinas atualizadas</w:t>
      </w:r>
      <w:r w:rsidR="00134325">
        <w:rPr>
          <w:szCs w:val="22"/>
          <w:lang w:val="pt-PT"/>
        </w:rPr>
        <w:t>.</w:t>
      </w:r>
    </w:p>
    <w:p w14:paraId="79800B4A" w14:textId="77777777" w:rsidR="00685047" w:rsidRPr="008912CF" w:rsidRDefault="00685047" w:rsidP="00685047">
      <w:pPr>
        <w:pStyle w:val="EMEABullet2"/>
        <w:rPr>
          <w:szCs w:val="22"/>
          <w:lang w:val="pt-PT"/>
        </w:rPr>
      </w:pPr>
    </w:p>
    <w:p w14:paraId="403E0141" w14:textId="77777777" w:rsidR="00685047" w:rsidRPr="008912CF" w:rsidRDefault="00615769" w:rsidP="0010302F">
      <w:pPr>
        <w:keepNext/>
        <w:rPr>
          <w:b/>
          <w:bCs/>
          <w:sz w:val="22"/>
          <w:szCs w:val="22"/>
        </w:rPr>
      </w:pPr>
      <w:r w:rsidRPr="008912CF">
        <w:rPr>
          <w:b/>
          <w:bCs/>
          <w:sz w:val="22"/>
          <w:szCs w:val="22"/>
        </w:rPr>
        <w:t>Outros medicamentos e Humira</w:t>
      </w:r>
    </w:p>
    <w:p w14:paraId="25C2FFB2" w14:textId="77777777" w:rsidR="00685047" w:rsidRPr="008912CF" w:rsidRDefault="00685047" w:rsidP="0010302F">
      <w:pPr>
        <w:keepNext/>
        <w:rPr>
          <w:sz w:val="22"/>
          <w:szCs w:val="22"/>
        </w:rPr>
      </w:pPr>
    </w:p>
    <w:p w14:paraId="44D8046A" w14:textId="77777777" w:rsidR="00685047" w:rsidRPr="008912CF" w:rsidRDefault="00615769" w:rsidP="0010302F">
      <w:pPr>
        <w:keepNext/>
        <w:rPr>
          <w:sz w:val="22"/>
          <w:szCs w:val="22"/>
        </w:rPr>
      </w:pPr>
      <w:r w:rsidRPr="008912CF">
        <w:rPr>
          <w:sz w:val="22"/>
          <w:szCs w:val="22"/>
        </w:rPr>
        <w:t xml:space="preserve">Informe o </w:t>
      </w:r>
      <w:r w:rsidR="00082F0B">
        <w:rPr>
          <w:sz w:val="22"/>
          <w:szCs w:val="22"/>
        </w:rPr>
        <w:t xml:space="preserve">seu </w:t>
      </w:r>
      <w:r w:rsidRPr="008912CF">
        <w:rPr>
          <w:sz w:val="22"/>
          <w:szCs w:val="22"/>
        </w:rPr>
        <w:t>médico ou farmacêutico se estiver a tomar, tiver tomado recentemente, ou se vier a tomar outros medicamentos.</w:t>
      </w:r>
    </w:p>
    <w:p w14:paraId="2E2E2B8E" w14:textId="77777777" w:rsidR="00685047" w:rsidRPr="008912CF" w:rsidRDefault="00685047" w:rsidP="00685047">
      <w:pPr>
        <w:rPr>
          <w:sz w:val="22"/>
          <w:szCs w:val="22"/>
        </w:rPr>
      </w:pPr>
    </w:p>
    <w:p w14:paraId="3C49A048" w14:textId="77777777" w:rsidR="00685047" w:rsidRDefault="00615769" w:rsidP="00685047">
      <w:pPr>
        <w:rPr>
          <w:sz w:val="22"/>
          <w:szCs w:val="22"/>
        </w:rPr>
      </w:pPr>
      <w:r>
        <w:rPr>
          <w:sz w:val="22"/>
          <w:szCs w:val="22"/>
        </w:rPr>
        <w:t>Devido ao risco aumentado de infeções graves, n</w:t>
      </w:r>
      <w:r w:rsidRPr="008912CF">
        <w:rPr>
          <w:sz w:val="22"/>
          <w:szCs w:val="22"/>
        </w:rPr>
        <w:t>ão deve tomar Humira com medicamentos contendo a</w:t>
      </w:r>
      <w:r>
        <w:rPr>
          <w:sz w:val="22"/>
          <w:szCs w:val="22"/>
        </w:rPr>
        <w:t>s</w:t>
      </w:r>
      <w:r w:rsidRPr="008912CF">
        <w:rPr>
          <w:sz w:val="22"/>
          <w:szCs w:val="22"/>
        </w:rPr>
        <w:t xml:space="preserve"> substância</w:t>
      </w:r>
      <w:r>
        <w:rPr>
          <w:sz w:val="22"/>
          <w:szCs w:val="22"/>
        </w:rPr>
        <w:t>s</w:t>
      </w:r>
      <w:r w:rsidRPr="008912CF">
        <w:rPr>
          <w:sz w:val="22"/>
          <w:szCs w:val="22"/>
        </w:rPr>
        <w:t xml:space="preserve"> ativa</w:t>
      </w:r>
      <w:r>
        <w:rPr>
          <w:sz w:val="22"/>
          <w:szCs w:val="22"/>
        </w:rPr>
        <w:t>s</w:t>
      </w:r>
      <w:r w:rsidR="00BD6D29">
        <w:rPr>
          <w:sz w:val="22"/>
          <w:szCs w:val="22"/>
        </w:rPr>
        <w:t xml:space="preserve"> seguintes</w:t>
      </w:r>
      <w:r>
        <w:rPr>
          <w:sz w:val="22"/>
          <w:szCs w:val="22"/>
        </w:rPr>
        <w:t>:</w:t>
      </w:r>
    </w:p>
    <w:p w14:paraId="6F96BEBF" w14:textId="77777777" w:rsidR="00685047" w:rsidRDefault="00615769" w:rsidP="00CC2ACC">
      <w:pPr>
        <w:numPr>
          <w:ilvl w:val="0"/>
          <w:numId w:val="109"/>
        </w:numPr>
        <w:ind w:hanging="357"/>
        <w:rPr>
          <w:sz w:val="22"/>
          <w:szCs w:val="22"/>
        </w:rPr>
      </w:pPr>
      <w:r>
        <w:rPr>
          <w:sz w:val="22"/>
          <w:szCs w:val="22"/>
        </w:rPr>
        <w:t>a</w:t>
      </w:r>
      <w:r w:rsidRPr="008912CF">
        <w:rPr>
          <w:sz w:val="22"/>
          <w:szCs w:val="22"/>
        </w:rPr>
        <w:t>na</w:t>
      </w:r>
      <w:r w:rsidR="00F7235D">
        <w:rPr>
          <w:sz w:val="22"/>
          <w:szCs w:val="22"/>
        </w:rPr>
        <w:t>c</w:t>
      </w:r>
      <w:r w:rsidRPr="008912CF">
        <w:rPr>
          <w:sz w:val="22"/>
          <w:szCs w:val="22"/>
        </w:rPr>
        <w:t>inra</w:t>
      </w:r>
    </w:p>
    <w:p w14:paraId="0520A85E" w14:textId="77777777" w:rsidR="00685047" w:rsidRPr="008912CF" w:rsidRDefault="00615769" w:rsidP="00CC2ACC">
      <w:pPr>
        <w:numPr>
          <w:ilvl w:val="0"/>
          <w:numId w:val="109"/>
        </w:numPr>
        <w:ind w:hanging="357"/>
        <w:rPr>
          <w:sz w:val="22"/>
          <w:szCs w:val="22"/>
        </w:rPr>
      </w:pPr>
      <w:r w:rsidRPr="008912CF">
        <w:rPr>
          <w:sz w:val="22"/>
          <w:szCs w:val="22"/>
        </w:rPr>
        <w:t xml:space="preserve">abatacept. </w:t>
      </w:r>
    </w:p>
    <w:p w14:paraId="50E7BEBE" w14:textId="77777777" w:rsidR="00685047" w:rsidRDefault="00685047" w:rsidP="00685047">
      <w:pPr>
        <w:ind w:right="-2"/>
        <w:rPr>
          <w:sz w:val="22"/>
          <w:szCs w:val="22"/>
        </w:rPr>
      </w:pPr>
    </w:p>
    <w:p w14:paraId="658D5963" w14:textId="77777777" w:rsidR="00685047" w:rsidRDefault="00615769" w:rsidP="00685047">
      <w:pPr>
        <w:ind w:right="-2"/>
        <w:rPr>
          <w:sz w:val="22"/>
          <w:szCs w:val="22"/>
        </w:rPr>
      </w:pPr>
      <w:r w:rsidRPr="008912CF">
        <w:rPr>
          <w:sz w:val="22"/>
          <w:szCs w:val="22"/>
        </w:rPr>
        <w:t>Humira pode ser utilizado em conjunto com</w:t>
      </w:r>
      <w:r>
        <w:rPr>
          <w:sz w:val="22"/>
          <w:szCs w:val="22"/>
        </w:rPr>
        <w:t>:</w:t>
      </w:r>
    </w:p>
    <w:p w14:paraId="7AAB070C" w14:textId="77777777" w:rsidR="00685047" w:rsidRDefault="00615769" w:rsidP="00CC2ACC">
      <w:pPr>
        <w:numPr>
          <w:ilvl w:val="0"/>
          <w:numId w:val="110"/>
        </w:numPr>
        <w:ind w:hanging="357"/>
        <w:rPr>
          <w:sz w:val="22"/>
          <w:szCs w:val="22"/>
        </w:rPr>
      </w:pPr>
      <w:r>
        <w:rPr>
          <w:sz w:val="22"/>
          <w:szCs w:val="22"/>
        </w:rPr>
        <w:t>m</w:t>
      </w:r>
      <w:r w:rsidRPr="008912CF">
        <w:rPr>
          <w:sz w:val="22"/>
          <w:szCs w:val="22"/>
        </w:rPr>
        <w:t>etotrexato</w:t>
      </w:r>
    </w:p>
    <w:p w14:paraId="0E3A60A2" w14:textId="77777777" w:rsidR="00685047" w:rsidRDefault="00615769" w:rsidP="00CC2ACC">
      <w:pPr>
        <w:numPr>
          <w:ilvl w:val="0"/>
          <w:numId w:val="110"/>
        </w:numPr>
        <w:ind w:hanging="357"/>
        <w:rPr>
          <w:sz w:val="22"/>
          <w:szCs w:val="22"/>
        </w:rPr>
      </w:pPr>
      <w:r w:rsidRPr="008912CF">
        <w:rPr>
          <w:sz w:val="22"/>
          <w:szCs w:val="22"/>
        </w:rPr>
        <w:t>certos medicamentos anti</w:t>
      </w:r>
      <w:r w:rsidR="00F96DDF">
        <w:rPr>
          <w:sz w:val="22"/>
          <w:szCs w:val="22"/>
        </w:rPr>
        <w:t>-</w:t>
      </w:r>
      <w:r w:rsidRPr="008912CF">
        <w:rPr>
          <w:sz w:val="22"/>
          <w:szCs w:val="22"/>
        </w:rPr>
        <w:t>reumatismais modificadores da doença (</w:t>
      </w:r>
      <w:r w:rsidR="00712F4C">
        <w:rPr>
          <w:sz w:val="22"/>
          <w:szCs w:val="22"/>
        </w:rPr>
        <w:t xml:space="preserve">por exemplo, </w:t>
      </w:r>
      <w:r w:rsidRPr="008912CF">
        <w:rPr>
          <w:sz w:val="22"/>
          <w:szCs w:val="22"/>
        </w:rPr>
        <w:t>sulfassalazina, hidroxicloroquina, leflunomid</w:t>
      </w:r>
      <w:r w:rsidR="00082F0B">
        <w:rPr>
          <w:sz w:val="22"/>
          <w:szCs w:val="22"/>
        </w:rPr>
        <w:t>a</w:t>
      </w:r>
      <w:r w:rsidRPr="008912CF">
        <w:rPr>
          <w:sz w:val="22"/>
          <w:szCs w:val="22"/>
        </w:rPr>
        <w:t xml:space="preserve"> e preparações injetáveis de sais de ouro)</w:t>
      </w:r>
    </w:p>
    <w:p w14:paraId="7099D155" w14:textId="77777777" w:rsidR="00685047" w:rsidRPr="008912CF" w:rsidRDefault="00615769" w:rsidP="00CC2ACC">
      <w:pPr>
        <w:numPr>
          <w:ilvl w:val="0"/>
          <w:numId w:val="110"/>
        </w:numPr>
        <w:ind w:hanging="357"/>
        <w:rPr>
          <w:sz w:val="22"/>
          <w:szCs w:val="22"/>
        </w:rPr>
      </w:pPr>
      <w:r w:rsidRPr="008912CF">
        <w:rPr>
          <w:sz w:val="22"/>
          <w:szCs w:val="22"/>
        </w:rPr>
        <w:t xml:space="preserve">corticosteroides ou medicamentos analgésicos, incluindo </w:t>
      </w:r>
      <w:r w:rsidR="003570FF">
        <w:rPr>
          <w:sz w:val="22"/>
          <w:szCs w:val="22"/>
        </w:rPr>
        <w:t>medicamentos</w:t>
      </w:r>
      <w:r w:rsidR="003570FF" w:rsidRPr="008912CF">
        <w:rPr>
          <w:sz w:val="22"/>
          <w:szCs w:val="22"/>
        </w:rPr>
        <w:t xml:space="preserve"> </w:t>
      </w:r>
      <w:r w:rsidRPr="008912CF">
        <w:rPr>
          <w:sz w:val="22"/>
          <w:szCs w:val="22"/>
        </w:rPr>
        <w:t>anti-inflamatórios não</w:t>
      </w:r>
      <w:r w:rsidR="003E5033">
        <w:rPr>
          <w:sz w:val="22"/>
          <w:szCs w:val="22"/>
        </w:rPr>
        <w:t xml:space="preserve"> </w:t>
      </w:r>
      <w:r w:rsidRPr="008912CF">
        <w:rPr>
          <w:sz w:val="22"/>
          <w:szCs w:val="22"/>
        </w:rPr>
        <w:t>esteroides (AINEs).</w:t>
      </w:r>
    </w:p>
    <w:p w14:paraId="5800A9B5" w14:textId="77777777" w:rsidR="00685047" w:rsidRDefault="00685047" w:rsidP="00685047">
      <w:pPr>
        <w:ind w:left="567" w:right="-2" w:hanging="567"/>
        <w:rPr>
          <w:sz w:val="22"/>
          <w:szCs w:val="22"/>
        </w:rPr>
      </w:pPr>
    </w:p>
    <w:p w14:paraId="2C7B5A19" w14:textId="77777777" w:rsidR="00685047" w:rsidRDefault="00615769" w:rsidP="00685047">
      <w:pPr>
        <w:ind w:right="-2"/>
        <w:rPr>
          <w:sz w:val="22"/>
          <w:szCs w:val="22"/>
        </w:rPr>
      </w:pPr>
      <w:r w:rsidRPr="008912CF">
        <w:rPr>
          <w:sz w:val="22"/>
          <w:szCs w:val="22"/>
        </w:rPr>
        <w:t>Se tiver qualquer dúvida, por favor pergunte ao seu médico.</w:t>
      </w:r>
    </w:p>
    <w:p w14:paraId="133C46A7" w14:textId="77777777" w:rsidR="00685047" w:rsidRPr="008912CF" w:rsidRDefault="00685047" w:rsidP="00685047">
      <w:pPr>
        <w:ind w:right="-2"/>
        <w:rPr>
          <w:b/>
          <w:sz w:val="22"/>
          <w:szCs w:val="22"/>
        </w:rPr>
      </w:pPr>
    </w:p>
    <w:p w14:paraId="0A6F38C8" w14:textId="77777777" w:rsidR="00685047" w:rsidRPr="008912CF" w:rsidRDefault="00615769" w:rsidP="00685047">
      <w:pPr>
        <w:rPr>
          <w:b/>
          <w:sz w:val="22"/>
          <w:szCs w:val="22"/>
        </w:rPr>
      </w:pPr>
      <w:r w:rsidRPr="008912CF">
        <w:rPr>
          <w:b/>
          <w:sz w:val="22"/>
          <w:szCs w:val="22"/>
        </w:rPr>
        <w:t xml:space="preserve">Gravidez e amamentação </w:t>
      </w:r>
    </w:p>
    <w:p w14:paraId="67E20867" w14:textId="77777777" w:rsidR="00685047" w:rsidRPr="008912CF" w:rsidRDefault="00685047" w:rsidP="00685047">
      <w:pPr>
        <w:ind w:right="-2"/>
        <w:rPr>
          <w:bCs/>
          <w:sz w:val="22"/>
          <w:szCs w:val="22"/>
        </w:rPr>
      </w:pPr>
    </w:p>
    <w:p w14:paraId="656936A6" w14:textId="77777777" w:rsidR="00685047" w:rsidRPr="008912CF" w:rsidRDefault="00615769" w:rsidP="006774A2">
      <w:pPr>
        <w:pStyle w:val="BodyText2"/>
        <w:numPr>
          <w:ilvl w:val="0"/>
          <w:numId w:val="164"/>
        </w:numPr>
        <w:rPr>
          <w:i/>
          <w:szCs w:val="22"/>
        </w:rPr>
      </w:pPr>
      <w:r>
        <w:rPr>
          <w:szCs w:val="22"/>
        </w:rPr>
        <w:t>Deverá considerar a utilização de</w:t>
      </w:r>
      <w:r w:rsidRPr="008912CF">
        <w:rPr>
          <w:szCs w:val="22"/>
        </w:rPr>
        <w:t xml:space="preserve"> um método contracetivo adequado </w:t>
      </w:r>
      <w:r>
        <w:rPr>
          <w:szCs w:val="22"/>
        </w:rPr>
        <w:t xml:space="preserve">para evitar </w:t>
      </w:r>
      <w:r w:rsidR="00D93F5F">
        <w:rPr>
          <w:szCs w:val="22"/>
        </w:rPr>
        <w:t>a gravidez</w:t>
      </w:r>
      <w:r>
        <w:rPr>
          <w:szCs w:val="22"/>
        </w:rPr>
        <w:t xml:space="preserve"> </w:t>
      </w:r>
      <w:r w:rsidRPr="008912CF">
        <w:rPr>
          <w:szCs w:val="22"/>
        </w:rPr>
        <w:t xml:space="preserve">e </w:t>
      </w:r>
      <w:r>
        <w:rPr>
          <w:szCs w:val="22"/>
        </w:rPr>
        <w:t>continua</w:t>
      </w:r>
      <w:r w:rsidR="00D93F5F">
        <w:rPr>
          <w:szCs w:val="22"/>
        </w:rPr>
        <w:t>r a utilizá-lo</w:t>
      </w:r>
      <w:r>
        <w:rPr>
          <w:szCs w:val="22"/>
        </w:rPr>
        <w:t xml:space="preserve"> </w:t>
      </w:r>
      <w:r w:rsidRPr="008912CF">
        <w:rPr>
          <w:szCs w:val="22"/>
        </w:rPr>
        <w:t xml:space="preserve">durante pelo menos 5 meses após o último tratamento com Humira. </w:t>
      </w:r>
    </w:p>
    <w:p w14:paraId="10627957" w14:textId="77777777" w:rsidR="00EE2021" w:rsidRPr="00CA2F11" w:rsidRDefault="00615769" w:rsidP="00EE2021">
      <w:pPr>
        <w:pStyle w:val="ListParagraph"/>
        <w:numPr>
          <w:ilvl w:val="0"/>
          <w:numId w:val="164"/>
        </w:numPr>
        <w:rPr>
          <w:sz w:val="22"/>
          <w:szCs w:val="22"/>
        </w:rPr>
      </w:pPr>
      <w:r w:rsidRPr="00CA2F11">
        <w:rPr>
          <w:sz w:val="22"/>
          <w:szCs w:val="22"/>
        </w:rPr>
        <w:t>Se est</w:t>
      </w:r>
      <w:r>
        <w:rPr>
          <w:sz w:val="22"/>
          <w:szCs w:val="22"/>
        </w:rPr>
        <w:t>á g</w:t>
      </w:r>
      <w:r w:rsidRPr="00CA2F11">
        <w:rPr>
          <w:sz w:val="22"/>
          <w:szCs w:val="22"/>
        </w:rPr>
        <w:t>rávida, se pensa que pode estar gr</w:t>
      </w:r>
      <w:r>
        <w:rPr>
          <w:sz w:val="22"/>
          <w:szCs w:val="22"/>
        </w:rPr>
        <w:t xml:space="preserve">ávida ou se planeia </w:t>
      </w:r>
      <w:r w:rsidRPr="00CA2F11">
        <w:rPr>
          <w:sz w:val="22"/>
          <w:szCs w:val="22"/>
        </w:rPr>
        <w:t>engravidar</w:t>
      </w:r>
      <w:r>
        <w:rPr>
          <w:sz w:val="22"/>
          <w:szCs w:val="22"/>
        </w:rPr>
        <w:t>,</w:t>
      </w:r>
      <w:r w:rsidRPr="00CA2F11">
        <w:rPr>
          <w:sz w:val="22"/>
          <w:szCs w:val="22"/>
        </w:rPr>
        <w:t xml:space="preserve"> aconselhe-se com o seu médico antes </w:t>
      </w:r>
      <w:r w:rsidR="00D60D7F">
        <w:rPr>
          <w:sz w:val="22"/>
          <w:szCs w:val="22"/>
        </w:rPr>
        <w:t>de utilizar</w:t>
      </w:r>
      <w:r w:rsidRPr="00CA2F11">
        <w:rPr>
          <w:sz w:val="22"/>
          <w:szCs w:val="22"/>
        </w:rPr>
        <w:t xml:space="preserve"> esta terapêutica.</w:t>
      </w:r>
    </w:p>
    <w:p w14:paraId="2CD5BBD3" w14:textId="77777777" w:rsidR="00EE2021" w:rsidRDefault="00615769" w:rsidP="00EE2021">
      <w:pPr>
        <w:pStyle w:val="ListParagraph"/>
        <w:numPr>
          <w:ilvl w:val="0"/>
          <w:numId w:val="164"/>
        </w:numPr>
        <w:autoSpaceDE w:val="0"/>
        <w:autoSpaceDN w:val="0"/>
        <w:adjustRightInd w:val="0"/>
        <w:rPr>
          <w:sz w:val="22"/>
          <w:szCs w:val="22"/>
        </w:rPr>
      </w:pPr>
      <w:r w:rsidRPr="00CA2F11">
        <w:rPr>
          <w:sz w:val="22"/>
          <w:szCs w:val="22"/>
        </w:rPr>
        <w:t>Humira só deve ser utilizado durante a gravidez se necessário.</w:t>
      </w:r>
    </w:p>
    <w:p w14:paraId="1E93507E" w14:textId="77777777" w:rsidR="00EE2021" w:rsidRDefault="00615769" w:rsidP="00EE2021">
      <w:pPr>
        <w:pStyle w:val="ListParagraph"/>
        <w:numPr>
          <w:ilvl w:val="0"/>
          <w:numId w:val="164"/>
        </w:numPr>
        <w:autoSpaceDE w:val="0"/>
        <w:autoSpaceDN w:val="0"/>
        <w:adjustRightInd w:val="0"/>
        <w:rPr>
          <w:sz w:val="22"/>
          <w:szCs w:val="22"/>
        </w:rPr>
      </w:pPr>
      <w:r w:rsidRPr="008004F8">
        <w:rPr>
          <w:sz w:val="22"/>
          <w:szCs w:val="22"/>
        </w:rPr>
        <w:t xml:space="preserve">De acordo com um estudo </w:t>
      </w:r>
      <w:r w:rsidR="00D60D7F">
        <w:rPr>
          <w:sz w:val="22"/>
          <w:szCs w:val="22"/>
        </w:rPr>
        <w:t>na</w:t>
      </w:r>
      <w:r w:rsidRPr="008004F8">
        <w:rPr>
          <w:sz w:val="22"/>
          <w:szCs w:val="22"/>
        </w:rPr>
        <w:t xml:space="preserve"> gravidez, não houve risco mais elevado de </w:t>
      </w:r>
      <w:r>
        <w:rPr>
          <w:sz w:val="22"/>
          <w:szCs w:val="22"/>
        </w:rPr>
        <w:t>malformações con</w:t>
      </w:r>
      <w:r w:rsidRPr="008004F8">
        <w:rPr>
          <w:sz w:val="22"/>
          <w:szCs w:val="22"/>
        </w:rPr>
        <w:t>génit</w:t>
      </w:r>
      <w:r>
        <w:rPr>
          <w:sz w:val="22"/>
          <w:szCs w:val="22"/>
        </w:rPr>
        <w:t>as</w:t>
      </w:r>
      <w:r w:rsidRPr="008004F8">
        <w:rPr>
          <w:sz w:val="22"/>
          <w:szCs w:val="22"/>
        </w:rPr>
        <w:t xml:space="preserve"> quando a mãe recebeu Humira durante a gravidez, em comparação com mães com a mesma doença que não receberam Humira.</w:t>
      </w:r>
    </w:p>
    <w:p w14:paraId="1483A627" w14:textId="77777777" w:rsidR="00EE2021" w:rsidRDefault="00615769" w:rsidP="00EE2021">
      <w:pPr>
        <w:pStyle w:val="ListParagraph"/>
        <w:numPr>
          <w:ilvl w:val="0"/>
          <w:numId w:val="164"/>
        </w:numPr>
        <w:autoSpaceDE w:val="0"/>
        <w:autoSpaceDN w:val="0"/>
        <w:adjustRightInd w:val="0"/>
        <w:rPr>
          <w:sz w:val="22"/>
          <w:szCs w:val="22"/>
        </w:rPr>
      </w:pPr>
      <w:r>
        <w:rPr>
          <w:sz w:val="22"/>
          <w:szCs w:val="22"/>
        </w:rPr>
        <w:t>Humira pode ser utilizado durante a amamentação.</w:t>
      </w:r>
    </w:p>
    <w:p w14:paraId="1989D85F" w14:textId="77777777" w:rsidR="00EE2021" w:rsidRDefault="00615769" w:rsidP="006774A2">
      <w:pPr>
        <w:pStyle w:val="ListParagraph"/>
        <w:numPr>
          <w:ilvl w:val="0"/>
          <w:numId w:val="164"/>
        </w:numPr>
        <w:rPr>
          <w:sz w:val="22"/>
          <w:szCs w:val="22"/>
        </w:rPr>
      </w:pPr>
      <w:r w:rsidRPr="006774A2">
        <w:rPr>
          <w:sz w:val="22"/>
          <w:szCs w:val="22"/>
        </w:rPr>
        <w:t>Se durante a sua gravidez utiliz</w:t>
      </w:r>
      <w:r w:rsidR="00767DE3">
        <w:rPr>
          <w:sz w:val="22"/>
          <w:szCs w:val="22"/>
        </w:rPr>
        <w:t>ar</w:t>
      </w:r>
      <w:r w:rsidRPr="006774A2">
        <w:rPr>
          <w:sz w:val="22"/>
          <w:szCs w:val="22"/>
        </w:rPr>
        <w:t xml:space="preserve"> Humira, o seu bebé pode ter um risco superior de ter uma infeção. </w:t>
      </w:r>
    </w:p>
    <w:p w14:paraId="583E82D0" w14:textId="77777777" w:rsidR="00685047" w:rsidRPr="006774A2" w:rsidRDefault="00615769" w:rsidP="006774A2">
      <w:pPr>
        <w:pStyle w:val="ListParagraph"/>
        <w:numPr>
          <w:ilvl w:val="0"/>
          <w:numId w:val="164"/>
        </w:numPr>
        <w:rPr>
          <w:sz w:val="22"/>
          <w:szCs w:val="22"/>
        </w:rPr>
      </w:pPr>
      <w:r w:rsidRPr="006774A2">
        <w:rPr>
          <w:sz w:val="22"/>
          <w:szCs w:val="22"/>
        </w:rPr>
        <w:t xml:space="preserve">É importante que diga ao médico do seu bebé e a outros profissionais de saúde que usou Humira durante a sua gravidez antes que o seu bebé tome qualquer vacina. Para mais informação </w:t>
      </w:r>
      <w:r w:rsidR="00EE2021">
        <w:rPr>
          <w:sz w:val="22"/>
          <w:szCs w:val="22"/>
        </w:rPr>
        <w:t xml:space="preserve">sobre vacinação, </w:t>
      </w:r>
      <w:r w:rsidRPr="006774A2">
        <w:rPr>
          <w:sz w:val="22"/>
          <w:szCs w:val="22"/>
        </w:rPr>
        <w:t xml:space="preserve">ver secção </w:t>
      </w:r>
      <w:r w:rsidR="00EE2021">
        <w:rPr>
          <w:sz w:val="22"/>
          <w:szCs w:val="22"/>
        </w:rPr>
        <w:t>“Advertências e precauções”</w:t>
      </w:r>
      <w:r w:rsidRPr="006774A2">
        <w:rPr>
          <w:sz w:val="22"/>
          <w:szCs w:val="22"/>
        </w:rPr>
        <w:t>.</w:t>
      </w:r>
    </w:p>
    <w:p w14:paraId="712D3848" w14:textId="77777777" w:rsidR="00685047" w:rsidRPr="008912CF" w:rsidRDefault="00685047" w:rsidP="00685047">
      <w:pPr>
        <w:ind w:right="-2"/>
        <w:rPr>
          <w:sz w:val="22"/>
          <w:szCs w:val="22"/>
        </w:rPr>
      </w:pPr>
    </w:p>
    <w:p w14:paraId="6ED51060" w14:textId="77777777" w:rsidR="00685047" w:rsidRPr="008912CF" w:rsidRDefault="00615769" w:rsidP="00685047">
      <w:pPr>
        <w:pStyle w:val="Heading8"/>
        <w:rPr>
          <w:szCs w:val="22"/>
        </w:rPr>
      </w:pPr>
      <w:r w:rsidRPr="008912CF">
        <w:rPr>
          <w:szCs w:val="22"/>
        </w:rPr>
        <w:t>Condução de veículos e utilização de máquinas</w:t>
      </w:r>
    </w:p>
    <w:p w14:paraId="7EE21434" w14:textId="77777777" w:rsidR="00685047" w:rsidRPr="008912CF" w:rsidRDefault="00685047" w:rsidP="00685047">
      <w:pPr>
        <w:keepNext/>
        <w:ind w:right="-2"/>
        <w:rPr>
          <w:sz w:val="22"/>
          <w:szCs w:val="22"/>
        </w:rPr>
      </w:pPr>
    </w:p>
    <w:p w14:paraId="422E0D4B" w14:textId="77777777" w:rsidR="00685047" w:rsidRPr="008912CF" w:rsidRDefault="00615769" w:rsidP="00685047">
      <w:pPr>
        <w:keepNext/>
        <w:ind w:right="-2"/>
        <w:rPr>
          <w:sz w:val="22"/>
          <w:szCs w:val="22"/>
        </w:rPr>
      </w:pPr>
      <w:r w:rsidRPr="008912CF">
        <w:rPr>
          <w:sz w:val="22"/>
          <w:szCs w:val="22"/>
        </w:rPr>
        <w:t>Humira pode ter uma pequena influência na sua capacidade de conduzir, andar de bicicleta ou utilizar máquinas. Depois de tomar Humira pode ter vertigens e alterações da visão.</w:t>
      </w:r>
    </w:p>
    <w:p w14:paraId="7BC0E091" w14:textId="77777777" w:rsidR="00685047" w:rsidRDefault="00685047" w:rsidP="00685047">
      <w:pPr>
        <w:ind w:right="-2"/>
        <w:rPr>
          <w:ins w:id="16611" w:author="AbbVie2" w:date="2025-05-14T10:36:00Z"/>
          <w:sz w:val="22"/>
          <w:szCs w:val="22"/>
        </w:rPr>
      </w:pPr>
    </w:p>
    <w:p w14:paraId="099012C6" w14:textId="77777777" w:rsidR="00F558D8" w:rsidRPr="000C532F" w:rsidRDefault="00615769" w:rsidP="00F558D8">
      <w:pPr>
        <w:ind w:right="-2"/>
        <w:rPr>
          <w:ins w:id="16612" w:author="AbbVie2" w:date="2025-05-14T10:36:00Z"/>
          <w:b/>
          <w:bCs/>
          <w:sz w:val="22"/>
          <w:szCs w:val="22"/>
        </w:rPr>
      </w:pPr>
      <w:ins w:id="16613" w:author="AbbVie2" w:date="2025-05-14T10:36:00Z">
        <w:r w:rsidRPr="000C532F">
          <w:rPr>
            <w:b/>
            <w:bCs/>
            <w:sz w:val="22"/>
            <w:szCs w:val="22"/>
          </w:rPr>
          <w:t>Humira contém polissorbato</w:t>
        </w:r>
      </w:ins>
    </w:p>
    <w:p w14:paraId="772CDB3E" w14:textId="77777777" w:rsidR="00F558D8" w:rsidRDefault="00F558D8" w:rsidP="00F558D8">
      <w:pPr>
        <w:ind w:right="-2"/>
        <w:rPr>
          <w:ins w:id="16614" w:author="AbbVie2" w:date="2025-05-14T10:36:00Z"/>
          <w:sz w:val="22"/>
          <w:szCs w:val="22"/>
        </w:rPr>
      </w:pPr>
    </w:p>
    <w:p w14:paraId="0EE3C4E6" w14:textId="4D9A3AE0" w:rsidR="00F558D8" w:rsidRDefault="00615769" w:rsidP="00F558D8">
      <w:pPr>
        <w:ind w:right="-2"/>
        <w:rPr>
          <w:ins w:id="16615" w:author="AbbVie2" w:date="2025-05-14T10:36:00Z"/>
          <w:sz w:val="22"/>
          <w:szCs w:val="22"/>
        </w:rPr>
      </w:pPr>
      <w:ins w:id="16616" w:author="AbbVie2" w:date="2025-05-14T10:36:00Z">
        <w:r>
          <w:rPr>
            <w:sz w:val="22"/>
            <w:szCs w:val="22"/>
          </w:rPr>
          <w:t>Este medicamento contém 0,</w:t>
        </w:r>
      </w:ins>
      <w:ins w:id="16617" w:author="AbbVie2" w:date="2025-05-14T12:36:00Z">
        <w:r w:rsidR="00FF65EF">
          <w:rPr>
            <w:sz w:val="22"/>
            <w:szCs w:val="22"/>
          </w:rPr>
          <w:t>8</w:t>
        </w:r>
      </w:ins>
      <w:ins w:id="16618" w:author="AbbVie2" w:date="2025-05-14T10:36:00Z">
        <w:r>
          <w:rPr>
            <w:sz w:val="22"/>
            <w:szCs w:val="22"/>
          </w:rPr>
          <w:t xml:space="preserve"> mg de polissorbato 80 em cada dose de </w:t>
        </w:r>
      </w:ins>
      <w:ins w:id="16619" w:author="AbbVie2" w:date="2025-05-14T12:36:00Z">
        <w:r w:rsidR="00FF65EF">
          <w:rPr>
            <w:sz w:val="22"/>
            <w:szCs w:val="22"/>
          </w:rPr>
          <w:t>8</w:t>
        </w:r>
      </w:ins>
      <w:ins w:id="16620" w:author="AbbVie2" w:date="2025-05-14T10:36:00Z">
        <w:r>
          <w:rPr>
            <w:sz w:val="22"/>
            <w:szCs w:val="22"/>
          </w:rPr>
          <w:t xml:space="preserve">0 mg. Os polissorbatos podem causar reações alérgicas. Informe o seu médico </w:t>
        </w:r>
      </w:ins>
      <w:ins w:id="16621" w:author="AbbVie2" w:date="2025-05-19T10:15:00Z">
        <w:r w:rsidR="002B66F3">
          <w:rPr>
            <w:sz w:val="22"/>
            <w:szCs w:val="22"/>
          </w:rPr>
          <w:t>caso tenha</w:t>
        </w:r>
      </w:ins>
      <w:ins w:id="16622" w:author="AbbVie2" w:date="2025-05-14T10:36:00Z">
        <w:r>
          <w:rPr>
            <w:sz w:val="22"/>
            <w:szCs w:val="22"/>
          </w:rPr>
          <w:t xml:space="preserve"> alguma alergia conhecida.</w:t>
        </w:r>
      </w:ins>
    </w:p>
    <w:p w14:paraId="671A4623" w14:textId="77777777" w:rsidR="00F558D8" w:rsidRPr="008912CF" w:rsidRDefault="00F558D8" w:rsidP="00685047">
      <w:pPr>
        <w:ind w:right="-2"/>
        <w:rPr>
          <w:sz w:val="22"/>
          <w:szCs w:val="22"/>
        </w:rPr>
      </w:pPr>
    </w:p>
    <w:p w14:paraId="31741137" w14:textId="77777777" w:rsidR="00685047" w:rsidRPr="008912CF" w:rsidRDefault="00685047" w:rsidP="00685047">
      <w:pPr>
        <w:ind w:right="-2"/>
        <w:rPr>
          <w:sz w:val="22"/>
          <w:szCs w:val="22"/>
        </w:rPr>
      </w:pPr>
    </w:p>
    <w:p w14:paraId="4CC52C3E" w14:textId="77777777" w:rsidR="00685047" w:rsidRPr="008912CF" w:rsidRDefault="00615769" w:rsidP="00685047">
      <w:pPr>
        <w:keepNext/>
        <w:ind w:left="567" w:hanging="567"/>
        <w:rPr>
          <w:sz w:val="22"/>
          <w:szCs w:val="22"/>
        </w:rPr>
      </w:pPr>
      <w:r w:rsidRPr="008912CF">
        <w:rPr>
          <w:b/>
          <w:sz w:val="22"/>
          <w:szCs w:val="22"/>
        </w:rPr>
        <w:t>3.</w:t>
      </w:r>
      <w:r w:rsidRPr="008912CF">
        <w:rPr>
          <w:b/>
          <w:sz w:val="22"/>
          <w:szCs w:val="22"/>
        </w:rPr>
        <w:tab/>
      </w:r>
      <w:r w:rsidRPr="008912CF">
        <w:rPr>
          <w:b/>
          <w:sz w:val="22"/>
          <w:szCs w:val="22"/>
        </w:rPr>
        <w:t>Como utilizar Humira</w:t>
      </w:r>
    </w:p>
    <w:p w14:paraId="433F2861" w14:textId="77777777" w:rsidR="00685047" w:rsidRPr="008912CF" w:rsidRDefault="00685047" w:rsidP="00685047">
      <w:pPr>
        <w:keepNext/>
        <w:ind w:right="-2"/>
        <w:rPr>
          <w:sz w:val="22"/>
          <w:szCs w:val="22"/>
        </w:rPr>
      </w:pPr>
    </w:p>
    <w:p w14:paraId="68FCF39E" w14:textId="77777777" w:rsidR="00685047" w:rsidRPr="008912CF" w:rsidRDefault="00615769" w:rsidP="00685047">
      <w:pPr>
        <w:keepNext/>
        <w:ind w:right="-2"/>
        <w:rPr>
          <w:sz w:val="22"/>
          <w:szCs w:val="22"/>
        </w:rPr>
      </w:pPr>
      <w:r w:rsidRPr="008912CF">
        <w:rPr>
          <w:sz w:val="22"/>
          <w:szCs w:val="22"/>
        </w:rPr>
        <w:t xml:space="preserve">Utilize este medicamento exatamente como indicado pelo seu médico ou farmacêutico. Fale com o seu médico ou farmacêutico se tiver dúvidas.  </w:t>
      </w:r>
    </w:p>
    <w:p w14:paraId="4B1AE132" w14:textId="77777777" w:rsidR="00685047" w:rsidRDefault="00685047" w:rsidP="00685047">
      <w:pPr>
        <w:ind w:right="-2"/>
        <w:rPr>
          <w:sz w:val="22"/>
          <w:szCs w:val="22"/>
          <w:u w:val="single"/>
        </w:rPr>
      </w:pPr>
    </w:p>
    <w:p w14:paraId="613E0B1C" w14:textId="77777777" w:rsidR="00685047" w:rsidRPr="008B0DDF" w:rsidRDefault="00615769" w:rsidP="00685047">
      <w:pPr>
        <w:ind w:right="-2"/>
        <w:rPr>
          <w:sz w:val="22"/>
          <w:szCs w:val="22"/>
        </w:rPr>
      </w:pPr>
      <w:r w:rsidRPr="008B0DDF">
        <w:rPr>
          <w:sz w:val="22"/>
          <w:szCs w:val="22"/>
        </w:rPr>
        <w:t>As doses recomendadas de Humira para cada uma das indicações aprovadas são apresentadas na tabela seguinte.</w:t>
      </w:r>
      <w:r w:rsidR="007460BC">
        <w:rPr>
          <w:sz w:val="22"/>
          <w:szCs w:val="22"/>
        </w:rPr>
        <w:t xml:space="preserve"> </w:t>
      </w:r>
      <w:r w:rsidR="00594E93">
        <w:rPr>
          <w:sz w:val="22"/>
          <w:szCs w:val="22"/>
        </w:rPr>
        <w:t xml:space="preserve">O seu médico </w:t>
      </w:r>
      <w:r w:rsidR="00594E93" w:rsidRPr="008912CF">
        <w:rPr>
          <w:bCs/>
          <w:sz w:val="22"/>
          <w:szCs w:val="22"/>
        </w:rPr>
        <w:t xml:space="preserve">pode prescrever uma dose </w:t>
      </w:r>
      <w:r w:rsidR="00594E93">
        <w:rPr>
          <w:bCs/>
          <w:sz w:val="22"/>
          <w:szCs w:val="22"/>
        </w:rPr>
        <w:t>diferente de Humira de acordo com as suas necessidades.</w:t>
      </w:r>
    </w:p>
    <w:p w14:paraId="243D2A1C" w14:textId="77777777" w:rsidR="00685047" w:rsidRDefault="00685047" w:rsidP="00685047">
      <w:pPr>
        <w:numPr>
          <w:ilvl w:val="12"/>
          <w:numId w:val="0"/>
        </w:numPr>
        <w:suppressAutoHyphens/>
        <w:ind w:right="-2"/>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3019"/>
        <w:gridCol w:w="3031"/>
      </w:tblGrid>
      <w:tr w:rsidR="00A7162A" w14:paraId="654611DA" w14:textId="77777777" w:rsidTr="00AE6411">
        <w:tc>
          <w:tcPr>
            <w:tcW w:w="9287" w:type="dxa"/>
            <w:gridSpan w:val="3"/>
          </w:tcPr>
          <w:p w14:paraId="59852E17" w14:textId="77777777" w:rsidR="00AE6411" w:rsidRPr="008B0DDF" w:rsidRDefault="00615769" w:rsidP="003A1AEF">
            <w:pPr>
              <w:keepNext/>
              <w:numPr>
                <w:ilvl w:val="12"/>
                <w:numId w:val="0"/>
              </w:numPr>
              <w:suppressAutoHyphens/>
              <w:ind w:right="-2"/>
              <w:rPr>
                <w:sz w:val="22"/>
              </w:rPr>
            </w:pPr>
            <w:r>
              <w:rPr>
                <w:b/>
                <w:sz w:val="22"/>
              </w:rPr>
              <w:t>Artrite reumatoide</w:t>
            </w:r>
          </w:p>
        </w:tc>
      </w:tr>
      <w:tr w:rsidR="00A7162A" w14:paraId="71EE0BA3" w14:textId="77777777" w:rsidTr="00AE6411">
        <w:tc>
          <w:tcPr>
            <w:tcW w:w="3095" w:type="dxa"/>
          </w:tcPr>
          <w:p w14:paraId="4C27CECE" w14:textId="77777777" w:rsidR="00AE6411" w:rsidRPr="008B0DDF" w:rsidRDefault="00615769" w:rsidP="003A1AEF">
            <w:pPr>
              <w:keepNext/>
              <w:numPr>
                <w:ilvl w:val="12"/>
                <w:numId w:val="0"/>
              </w:numPr>
              <w:suppressAutoHyphens/>
              <w:ind w:right="-2"/>
              <w:rPr>
                <w:sz w:val="22"/>
              </w:rPr>
            </w:pPr>
            <w:r w:rsidRPr="008B0DDF">
              <w:rPr>
                <w:b/>
                <w:sz w:val="22"/>
              </w:rPr>
              <w:t>Idade ou peso corporal</w:t>
            </w:r>
          </w:p>
        </w:tc>
        <w:tc>
          <w:tcPr>
            <w:tcW w:w="3096" w:type="dxa"/>
          </w:tcPr>
          <w:p w14:paraId="2E35A348" w14:textId="77777777" w:rsidR="00AE6411" w:rsidRPr="004F0FBC" w:rsidRDefault="00615769" w:rsidP="003A1AEF">
            <w:pPr>
              <w:keepNext/>
              <w:numPr>
                <w:ilvl w:val="12"/>
                <w:numId w:val="0"/>
              </w:numPr>
              <w:suppressAutoHyphens/>
              <w:ind w:right="-2"/>
              <w:rPr>
                <w:sz w:val="22"/>
              </w:rPr>
            </w:pPr>
            <w:r w:rsidRPr="00454F99">
              <w:rPr>
                <w:b/>
                <w:sz w:val="22"/>
              </w:rPr>
              <w:t>Qual a dose e com que frequência se deve tomar?</w:t>
            </w:r>
          </w:p>
        </w:tc>
        <w:tc>
          <w:tcPr>
            <w:tcW w:w="3096" w:type="dxa"/>
          </w:tcPr>
          <w:p w14:paraId="5AC5D0F4" w14:textId="77777777" w:rsidR="00AE6411" w:rsidRPr="008B0DDF" w:rsidRDefault="00615769" w:rsidP="003A1AEF">
            <w:pPr>
              <w:keepNext/>
              <w:numPr>
                <w:ilvl w:val="12"/>
                <w:numId w:val="0"/>
              </w:numPr>
              <w:suppressAutoHyphens/>
              <w:ind w:right="-2"/>
              <w:rPr>
                <w:sz w:val="22"/>
              </w:rPr>
            </w:pPr>
            <w:r w:rsidRPr="008B0DDF">
              <w:rPr>
                <w:b/>
                <w:sz w:val="22"/>
              </w:rPr>
              <w:t>Notas</w:t>
            </w:r>
          </w:p>
        </w:tc>
      </w:tr>
      <w:tr w:rsidR="00A7162A" w14:paraId="6DAC28FF" w14:textId="77777777" w:rsidTr="00AE6411">
        <w:tc>
          <w:tcPr>
            <w:tcW w:w="3095" w:type="dxa"/>
          </w:tcPr>
          <w:p w14:paraId="544154BD" w14:textId="77777777" w:rsidR="00AE6411" w:rsidRPr="008B0DDF" w:rsidRDefault="00615769" w:rsidP="003A1AEF">
            <w:pPr>
              <w:keepNext/>
              <w:numPr>
                <w:ilvl w:val="12"/>
                <w:numId w:val="0"/>
              </w:numPr>
              <w:suppressAutoHyphens/>
              <w:ind w:right="-2"/>
              <w:rPr>
                <w:sz w:val="22"/>
              </w:rPr>
            </w:pPr>
            <w:r w:rsidRPr="008B0DDF">
              <w:rPr>
                <w:sz w:val="22"/>
              </w:rPr>
              <w:t>Adultos</w:t>
            </w:r>
          </w:p>
          <w:p w14:paraId="695CBF7C" w14:textId="77777777" w:rsidR="00AE6411" w:rsidRPr="008B0DDF" w:rsidRDefault="00AE6411" w:rsidP="003A1AEF">
            <w:pPr>
              <w:keepNext/>
              <w:numPr>
                <w:ilvl w:val="12"/>
                <w:numId w:val="0"/>
              </w:numPr>
              <w:suppressAutoHyphens/>
              <w:ind w:right="-2"/>
              <w:rPr>
                <w:sz w:val="22"/>
              </w:rPr>
            </w:pPr>
          </w:p>
        </w:tc>
        <w:tc>
          <w:tcPr>
            <w:tcW w:w="3096" w:type="dxa"/>
          </w:tcPr>
          <w:p w14:paraId="262AD64F" w14:textId="77777777" w:rsidR="00AE6411" w:rsidRPr="002D4DE5" w:rsidRDefault="00615769" w:rsidP="003A1AEF">
            <w:pPr>
              <w:keepNext/>
              <w:numPr>
                <w:ilvl w:val="12"/>
                <w:numId w:val="0"/>
              </w:numPr>
              <w:suppressAutoHyphens/>
              <w:ind w:right="-2"/>
              <w:rPr>
                <w:sz w:val="22"/>
              </w:rPr>
            </w:pPr>
            <w:r w:rsidRPr="0089156B">
              <w:rPr>
                <w:sz w:val="22"/>
              </w:rPr>
              <w:t>4</w:t>
            </w:r>
            <w:r w:rsidRPr="000B3FE3">
              <w:rPr>
                <w:sz w:val="22"/>
              </w:rPr>
              <w:t>0 </w:t>
            </w:r>
            <w:r w:rsidRPr="004931CE">
              <w:rPr>
                <w:sz w:val="22"/>
              </w:rPr>
              <w:t xml:space="preserve">mg </w:t>
            </w:r>
            <w:r w:rsidRPr="00653128">
              <w:rPr>
                <w:sz w:val="22"/>
              </w:rPr>
              <w:t>em semanas alternadas</w:t>
            </w:r>
          </w:p>
        </w:tc>
        <w:tc>
          <w:tcPr>
            <w:tcW w:w="3096" w:type="dxa"/>
          </w:tcPr>
          <w:p w14:paraId="546C5B81" w14:textId="77777777" w:rsidR="00AE6411" w:rsidRDefault="00615769" w:rsidP="003A1AEF">
            <w:pPr>
              <w:keepNext/>
              <w:tabs>
                <w:tab w:val="left" w:pos="562"/>
              </w:tabs>
              <w:suppressAutoHyphens/>
              <w:rPr>
                <w:sz w:val="22"/>
              </w:rPr>
            </w:pPr>
            <w:r w:rsidRPr="00454F99">
              <w:rPr>
                <w:sz w:val="22"/>
              </w:rPr>
              <w:t>Na artrite reumatoide</w:t>
            </w:r>
            <w:r w:rsidRPr="004F0FBC">
              <w:rPr>
                <w:sz w:val="22"/>
              </w:rPr>
              <w:t>,</w:t>
            </w:r>
            <w:r w:rsidRPr="006462E3">
              <w:rPr>
                <w:sz w:val="22"/>
              </w:rPr>
              <w:t xml:space="preserve"> metotrexato continua a ser utilizado enquanto se usa Humira. Se o seu mé</w:t>
            </w:r>
            <w:r w:rsidRPr="009A05BE">
              <w:rPr>
                <w:sz w:val="22"/>
              </w:rPr>
              <w:t>dico considerar</w:t>
            </w:r>
            <w:r w:rsidRPr="00854C93">
              <w:rPr>
                <w:sz w:val="22"/>
              </w:rPr>
              <w:t xml:space="preserve"> que metotrexato não é adequado, </w:t>
            </w:r>
            <w:r w:rsidRPr="0089156B">
              <w:rPr>
                <w:sz w:val="22"/>
              </w:rPr>
              <w:t xml:space="preserve">Humira </w:t>
            </w:r>
            <w:r w:rsidRPr="000B3FE3">
              <w:rPr>
                <w:sz w:val="22"/>
              </w:rPr>
              <w:t>pode ser usado isoladamente.</w:t>
            </w:r>
          </w:p>
          <w:p w14:paraId="5BFF56A7" w14:textId="77777777" w:rsidR="00AE6411" w:rsidRPr="008B0DDF" w:rsidRDefault="00615769" w:rsidP="003A1AEF">
            <w:pPr>
              <w:keepNext/>
              <w:tabs>
                <w:tab w:val="left" w:pos="562"/>
              </w:tabs>
              <w:suppressAutoHyphens/>
              <w:spacing w:before="100" w:beforeAutospacing="1" w:after="100" w:afterAutospacing="1"/>
              <w:rPr>
                <w:sz w:val="22"/>
              </w:rPr>
            </w:pPr>
            <w:r w:rsidRPr="00653128">
              <w:rPr>
                <w:sz w:val="22"/>
              </w:rPr>
              <w:t xml:space="preserve">Se tem artrite reumatoide e não usar metotrexato conjuntamente com </w:t>
            </w:r>
            <w:r w:rsidRPr="00D33370">
              <w:rPr>
                <w:sz w:val="22"/>
              </w:rPr>
              <w:t>Hum</w:t>
            </w:r>
            <w:r w:rsidRPr="002D4DE5">
              <w:rPr>
                <w:sz w:val="22"/>
              </w:rPr>
              <w:t>ira</w:t>
            </w:r>
            <w:r w:rsidRPr="00003560">
              <w:rPr>
                <w:sz w:val="22"/>
              </w:rPr>
              <w:t xml:space="preserve">, o seu médico pode decidir administrar </w:t>
            </w:r>
            <w:r w:rsidRPr="005F6F98">
              <w:rPr>
                <w:sz w:val="22"/>
              </w:rPr>
              <w:t>Humira 40 </w:t>
            </w:r>
            <w:r w:rsidRPr="002B2441">
              <w:rPr>
                <w:sz w:val="22"/>
              </w:rPr>
              <w:t>mg por semana</w:t>
            </w:r>
            <w:r>
              <w:rPr>
                <w:sz w:val="22"/>
              </w:rPr>
              <w:t xml:space="preserve"> ou 80 mg em semanas alternadas</w:t>
            </w:r>
            <w:r w:rsidRPr="002B2441">
              <w:rPr>
                <w:sz w:val="22"/>
              </w:rPr>
              <w:t>.</w:t>
            </w:r>
          </w:p>
        </w:tc>
      </w:tr>
    </w:tbl>
    <w:p w14:paraId="00ADA0CC" w14:textId="77777777" w:rsidR="00AE6411" w:rsidRPr="008B0DDF" w:rsidRDefault="00AE6411" w:rsidP="00685047">
      <w:pPr>
        <w:numPr>
          <w:ilvl w:val="12"/>
          <w:numId w:val="0"/>
        </w:numPr>
        <w:suppressAutoHyphens/>
        <w:ind w:right="-2"/>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3"/>
        <w:gridCol w:w="3023"/>
        <w:gridCol w:w="3025"/>
      </w:tblGrid>
      <w:tr w:rsidR="00A7162A" w14:paraId="7D470044" w14:textId="77777777" w:rsidTr="00691603">
        <w:tc>
          <w:tcPr>
            <w:tcW w:w="9287" w:type="dxa"/>
            <w:gridSpan w:val="3"/>
          </w:tcPr>
          <w:p w14:paraId="1FFE63CA" w14:textId="77777777" w:rsidR="00685047" w:rsidRPr="008B0DDF" w:rsidRDefault="00615769" w:rsidP="00691603">
            <w:pPr>
              <w:numPr>
                <w:ilvl w:val="12"/>
                <w:numId w:val="0"/>
              </w:numPr>
              <w:suppressAutoHyphens/>
              <w:ind w:right="-2"/>
              <w:rPr>
                <w:sz w:val="22"/>
              </w:rPr>
            </w:pPr>
            <w:r w:rsidRPr="008B0DDF">
              <w:rPr>
                <w:b/>
                <w:sz w:val="22"/>
              </w:rPr>
              <w:t>Psoríase em placas</w:t>
            </w:r>
          </w:p>
        </w:tc>
      </w:tr>
      <w:tr w:rsidR="00A7162A" w14:paraId="06839915" w14:textId="77777777" w:rsidTr="00691603">
        <w:tc>
          <w:tcPr>
            <w:tcW w:w="3095" w:type="dxa"/>
          </w:tcPr>
          <w:p w14:paraId="27E22BC6" w14:textId="77777777" w:rsidR="00685047" w:rsidRPr="008B0DDF" w:rsidRDefault="00615769" w:rsidP="00691603">
            <w:pPr>
              <w:numPr>
                <w:ilvl w:val="12"/>
                <w:numId w:val="0"/>
              </w:numPr>
              <w:suppressAutoHyphens/>
              <w:ind w:right="-2"/>
              <w:rPr>
                <w:sz w:val="22"/>
              </w:rPr>
            </w:pPr>
            <w:r w:rsidRPr="008B0DDF">
              <w:rPr>
                <w:b/>
                <w:sz w:val="22"/>
              </w:rPr>
              <w:t>Idade ou peso corporal</w:t>
            </w:r>
          </w:p>
        </w:tc>
        <w:tc>
          <w:tcPr>
            <w:tcW w:w="3096" w:type="dxa"/>
          </w:tcPr>
          <w:p w14:paraId="2AB61EED" w14:textId="77777777" w:rsidR="00685047" w:rsidRPr="004F0FBC" w:rsidRDefault="00615769" w:rsidP="00691603">
            <w:pPr>
              <w:numPr>
                <w:ilvl w:val="12"/>
                <w:numId w:val="0"/>
              </w:numPr>
              <w:suppressAutoHyphens/>
              <w:ind w:right="-2"/>
              <w:rPr>
                <w:sz w:val="22"/>
              </w:rPr>
            </w:pPr>
            <w:r w:rsidRPr="00454F99">
              <w:rPr>
                <w:b/>
                <w:sz w:val="22"/>
              </w:rPr>
              <w:t>Qual a dose e com que frequência se deve tomar?</w:t>
            </w:r>
          </w:p>
        </w:tc>
        <w:tc>
          <w:tcPr>
            <w:tcW w:w="3096" w:type="dxa"/>
          </w:tcPr>
          <w:p w14:paraId="27CD3554" w14:textId="77777777" w:rsidR="00685047" w:rsidRPr="008B0DDF" w:rsidRDefault="00615769" w:rsidP="00691603">
            <w:pPr>
              <w:numPr>
                <w:ilvl w:val="12"/>
                <w:numId w:val="0"/>
              </w:numPr>
              <w:suppressAutoHyphens/>
              <w:ind w:right="-2"/>
              <w:rPr>
                <w:sz w:val="22"/>
              </w:rPr>
            </w:pPr>
            <w:r w:rsidRPr="008B0DDF">
              <w:rPr>
                <w:b/>
                <w:sz w:val="22"/>
              </w:rPr>
              <w:t>Notas</w:t>
            </w:r>
          </w:p>
        </w:tc>
      </w:tr>
      <w:tr w:rsidR="00A7162A" w14:paraId="22AB18C7" w14:textId="77777777" w:rsidTr="00691603">
        <w:tc>
          <w:tcPr>
            <w:tcW w:w="3095" w:type="dxa"/>
          </w:tcPr>
          <w:p w14:paraId="01946BA3" w14:textId="77777777" w:rsidR="00685047" w:rsidRPr="008B0DDF" w:rsidRDefault="00615769" w:rsidP="00691603">
            <w:pPr>
              <w:numPr>
                <w:ilvl w:val="12"/>
                <w:numId w:val="0"/>
              </w:numPr>
              <w:suppressAutoHyphens/>
              <w:ind w:right="-2"/>
              <w:rPr>
                <w:sz w:val="22"/>
              </w:rPr>
            </w:pPr>
            <w:r w:rsidRPr="008B0DDF">
              <w:rPr>
                <w:sz w:val="22"/>
              </w:rPr>
              <w:t>Adultos</w:t>
            </w:r>
          </w:p>
          <w:p w14:paraId="35F1F7C0" w14:textId="77777777" w:rsidR="00685047" w:rsidRPr="008B0DDF" w:rsidRDefault="00685047" w:rsidP="00691603">
            <w:pPr>
              <w:numPr>
                <w:ilvl w:val="12"/>
                <w:numId w:val="0"/>
              </w:numPr>
              <w:suppressAutoHyphens/>
              <w:ind w:right="-2"/>
              <w:rPr>
                <w:sz w:val="22"/>
              </w:rPr>
            </w:pPr>
          </w:p>
        </w:tc>
        <w:tc>
          <w:tcPr>
            <w:tcW w:w="3096" w:type="dxa"/>
          </w:tcPr>
          <w:p w14:paraId="1EBA48AF" w14:textId="77777777" w:rsidR="00685047" w:rsidRPr="002D4DE5" w:rsidRDefault="00615769" w:rsidP="00691603">
            <w:pPr>
              <w:numPr>
                <w:ilvl w:val="12"/>
                <w:numId w:val="0"/>
              </w:numPr>
              <w:suppressAutoHyphens/>
              <w:ind w:right="-2"/>
              <w:rPr>
                <w:sz w:val="22"/>
              </w:rPr>
            </w:pPr>
            <w:r w:rsidRPr="00454F99">
              <w:rPr>
                <w:sz w:val="22"/>
              </w:rPr>
              <w:t>Uma dose inicial de 80 </w:t>
            </w:r>
            <w:r w:rsidRPr="004F0FBC">
              <w:rPr>
                <w:sz w:val="22"/>
              </w:rPr>
              <w:t>mg (</w:t>
            </w:r>
            <w:r>
              <w:rPr>
                <w:sz w:val="22"/>
              </w:rPr>
              <w:t>uma</w:t>
            </w:r>
            <w:r w:rsidRPr="006462E3">
              <w:rPr>
                <w:sz w:val="22"/>
              </w:rPr>
              <w:t xml:space="preserve"> injeç</w:t>
            </w:r>
            <w:r>
              <w:rPr>
                <w:sz w:val="22"/>
              </w:rPr>
              <w:t>ão</w:t>
            </w:r>
            <w:r w:rsidRPr="006462E3">
              <w:rPr>
                <w:sz w:val="22"/>
              </w:rPr>
              <w:t xml:space="preserve"> de </w:t>
            </w:r>
            <w:r>
              <w:rPr>
                <w:sz w:val="22"/>
              </w:rPr>
              <w:t>8</w:t>
            </w:r>
            <w:r w:rsidRPr="006462E3">
              <w:rPr>
                <w:sz w:val="22"/>
              </w:rPr>
              <w:t>0 </w:t>
            </w:r>
            <w:r w:rsidRPr="009A05BE">
              <w:rPr>
                <w:sz w:val="22"/>
              </w:rPr>
              <w:t>mg</w:t>
            </w:r>
            <w:r w:rsidRPr="00854C93">
              <w:rPr>
                <w:sz w:val="22"/>
              </w:rPr>
              <w:t xml:space="preserve">), </w:t>
            </w:r>
            <w:r w:rsidRPr="0089156B">
              <w:rPr>
                <w:sz w:val="22"/>
              </w:rPr>
              <w:t>seguida de 4</w:t>
            </w:r>
            <w:r w:rsidRPr="000B3FE3">
              <w:rPr>
                <w:sz w:val="22"/>
              </w:rPr>
              <w:t>0 </w:t>
            </w:r>
            <w:r w:rsidRPr="004931CE">
              <w:rPr>
                <w:sz w:val="22"/>
              </w:rPr>
              <w:t xml:space="preserve">mg </w:t>
            </w:r>
            <w:r w:rsidRPr="00653128">
              <w:rPr>
                <w:sz w:val="22"/>
              </w:rPr>
              <w:t>em semanas alternadas, uma semana ap</w:t>
            </w:r>
            <w:r w:rsidRPr="00D33370">
              <w:rPr>
                <w:sz w:val="22"/>
              </w:rPr>
              <w:t>ós a dose inicial</w:t>
            </w:r>
            <w:r w:rsidRPr="002D4DE5">
              <w:rPr>
                <w:sz w:val="22"/>
              </w:rPr>
              <w:t>.</w:t>
            </w:r>
          </w:p>
        </w:tc>
        <w:tc>
          <w:tcPr>
            <w:tcW w:w="3096" w:type="dxa"/>
          </w:tcPr>
          <w:p w14:paraId="6B832EE6" w14:textId="77777777" w:rsidR="00685047" w:rsidRPr="008B0DDF" w:rsidRDefault="00615769">
            <w:pPr>
              <w:tabs>
                <w:tab w:val="left" w:pos="562"/>
              </w:tabs>
              <w:suppressAutoHyphens/>
              <w:spacing w:before="100" w:beforeAutospacing="1" w:after="100" w:afterAutospacing="1"/>
              <w:rPr>
                <w:sz w:val="22"/>
              </w:rPr>
            </w:pPr>
            <w:r w:rsidRPr="00003560">
              <w:rPr>
                <w:sz w:val="22"/>
              </w:rPr>
              <w:t>Se tiver uma resposta i</w:t>
            </w:r>
            <w:r w:rsidRPr="005F6F98">
              <w:rPr>
                <w:sz w:val="22"/>
              </w:rPr>
              <w:t xml:space="preserve">nadequada, o seu médico pode aumentar a dose para </w:t>
            </w:r>
            <w:r w:rsidRPr="002B2441">
              <w:rPr>
                <w:sz w:val="22"/>
              </w:rPr>
              <w:t>40 </w:t>
            </w:r>
            <w:r w:rsidRPr="00B830EC">
              <w:rPr>
                <w:sz w:val="22"/>
              </w:rPr>
              <w:t xml:space="preserve">mg </w:t>
            </w:r>
            <w:r w:rsidRPr="008B0DDF">
              <w:rPr>
                <w:sz w:val="22"/>
              </w:rPr>
              <w:t>por semana</w:t>
            </w:r>
            <w:r w:rsidR="00AE6411">
              <w:rPr>
                <w:sz w:val="22"/>
              </w:rPr>
              <w:t xml:space="preserve"> ou 80 mg em semanas alternadas</w:t>
            </w:r>
            <w:r w:rsidRPr="008B0DDF">
              <w:rPr>
                <w:sz w:val="22"/>
              </w:rPr>
              <w:t>.</w:t>
            </w:r>
          </w:p>
        </w:tc>
      </w:tr>
    </w:tbl>
    <w:p w14:paraId="18E26170" w14:textId="77777777" w:rsidR="00685047" w:rsidRPr="008B0DDF" w:rsidRDefault="00685047" w:rsidP="00685047">
      <w:pPr>
        <w:numPr>
          <w:ilvl w:val="12"/>
          <w:numId w:val="0"/>
        </w:numPr>
        <w:suppressAutoHyphens/>
        <w:ind w:right="-2"/>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23"/>
        <w:gridCol w:w="3021"/>
      </w:tblGrid>
      <w:tr w:rsidR="00A7162A" w14:paraId="60F96181" w14:textId="77777777" w:rsidTr="00691603">
        <w:tc>
          <w:tcPr>
            <w:tcW w:w="9287" w:type="dxa"/>
            <w:gridSpan w:val="3"/>
          </w:tcPr>
          <w:p w14:paraId="3FC0C2AE" w14:textId="77777777" w:rsidR="00685047" w:rsidRPr="008B0DDF" w:rsidRDefault="00615769" w:rsidP="00691603">
            <w:pPr>
              <w:numPr>
                <w:ilvl w:val="12"/>
                <w:numId w:val="0"/>
              </w:numPr>
              <w:suppressAutoHyphens/>
              <w:ind w:right="-2"/>
              <w:rPr>
                <w:b/>
                <w:sz w:val="22"/>
              </w:rPr>
            </w:pPr>
            <w:r w:rsidRPr="008B0DDF">
              <w:rPr>
                <w:b/>
                <w:sz w:val="22"/>
              </w:rPr>
              <w:t>Hidradenite supurativa</w:t>
            </w:r>
          </w:p>
        </w:tc>
      </w:tr>
      <w:tr w:rsidR="00A7162A" w14:paraId="5A096A01" w14:textId="77777777" w:rsidTr="00691603">
        <w:tc>
          <w:tcPr>
            <w:tcW w:w="3095" w:type="dxa"/>
          </w:tcPr>
          <w:p w14:paraId="5A1E78F7" w14:textId="77777777" w:rsidR="00685047" w:rsidRPr="008B0DDF" w:rsidRDefault="00615769" w:rsidP="00691603">
            <w:pPr>
              <w:numPr>
                <w:ilvl w:val="12"/>
                <w:numId w:val="0"/>
              </w:numPr>
              <w:suppressAutoHyphens/>
              <w:ind w:right="-2"/>
              <w:rPr>
                <w:sz w:val="22"/>
              </w:rPr>
            </w:pPr>
            <w:r w:rsidRPr="008B0DDF">
              <w:rPr>
                <w:b/>
                <w:sz w:val="22"/>
              </w:rPr>
              <w:t>Idade ou peso corporal</w:t>
            </w:r>
          </w:p>
        </w:tc>
        <w:tc>
          <w:tcPr>
            <w:tcW w:w="3096" w:type="dxa"/>
          </w:tcPr>
          <w:p w14:paraId="5E13732C" w14:textId="77777777" w:rsidR="00685047" w:rsidRPr="004F0FBC" w:rsidRDefault="00615769" w:rsidP="00691603">
            <w:pPr>
              <w:numPr>
                <w:ilvl w:val="12"/>
                <w:numId w:val="0"/>
              </w:numPr>
              <w:suppressAutoHyphens/>
              <w:ind w:right="-2"/>
              <w:rPr>
                <w:sz w:val="22"/>
              </w:rPr>
            </w:pPr>
            <w:r w:rsidRPr="00454F99">
              <w:rPr>
                <w:b/>
                <w:sz w:val="22"/>
              </w:rPr>
              <w:t>Qual a dose e com que frequência se deve tomar?</w:t>
            </w:r>
          </w:p>
        </w:tc>
        <w:tc>
          <w:tcPr>
            <w:tcW w:w="3096" w:type="dxa"/>
          </w:tcPr>
          <w:p w14:paraId="2B3637DA" w14:textId="77777777" w:rsidR="00685047" w:rsidRPr="008B0DDF" w:rsidRDefault="00615769" w:rsidP="00691603">
            <w:pPr>
              <w:numPr>
                <w:ilvl w:val="12"/>
                <w:numId w:val="0"/>
              </w:numPr>
              <w:suppressAutoHyphens/>
              <w:ind w:right="-2"/>
              <w:rPr>
                <w:sz w:val="22"/>
              </w:rPr>
            </w:pPr>
            <w:r w:rsidRPr="008B0DDF">
              <w:rPr>
                <w:b/>
                <w:sz w:val="22"/>
              </w:rPr>
              <w:t>Notas</w:t>
            </w:r>
          </w:p>
        </w:tc>
      </w:tr>
      <w:tr w:rsidR="00A7162A" w14:paraId="5BDB42D7" w14:textId="77777777" w:rsidTr="00691603">
        <w:tc>
          <w:tcPr>
            <w:tcW w:w="3095" w:type="dxa"/>
          </w:tcPr>
          <w:p w14:paraId="363490F7" w14:textId="77777777" w:rsidR="00685047" w:rsidRPr="008B0DDF" w:rsidRDefault="00615769" w:rsidP="00691603">
            <w:pPr>
              <w:numPr>
                <w:ilvl w:val="12"/>
                <w:numId w:val="0"/>
              </w:numPr>
              <w:suppressAutoHyphens/>
              <w:ind w:right="-2"/>
              <w:rPr>
                <w:sz w:val="22"/>
              </w:rPr>
            </w:pPr>
            <w:r w:rsidRPr="008B0DDF">
              <w:rPr>
                <w:sz w:val="22"/>
              </w:rPr>
              <w:t>Adultos</w:t>
            </w:r>
          </w:p>
        </w:tc>
        <w:tc>
          <w:tcPr>
            <w:tcW w:w="3096" w:type="dxa"/>
          </w:tcPr>
          <w:p w14:paraId="19AA1D17" w14:textId="77777777" w:rsidR="00685047" w:rsidRPr="008B0DDF" w:rsidRDefault="00615769" w:rsidP="00691603">
            <w:pPr>
              <w:numPr>
                <w:ilvl w:val="12"/>
                <w:numId w:val="0"/>
              </w:numPr>
              <w:suppressAutoHyphens/>
              <w:ind w:right="-2"/>
              <w:rPr>
                <w:sz w:val="22"/>
              </w:rPr>
            </w:pPr>
            <w:r w:rsidRPr="00454F99">
              <w:rPr>
                <w:sz w:val="22"/>
                <w:szCs w:val="22"/>
              </w:rPr>
              <w:t>Uma dose inicial de 160 mg (</w:t>
            </w:r>
            <w:r>
              <w:rPr>
                <w:sz w:val="22"/>
                <w:szCs w:val="22"/>
              </w:rPr>
              <w:t xml:space="preserve">duas </w:t>
            </w:r>
            <w:r w:rsidRPr="00454F99">
              <w:rPr>
                <w:sz w:val="22"/>
                <w:szCs w:val="22"/>
              </w:rPr>
              <w:t xml:space="preserve">injeções </w:t>
            </w:r>
            <w:r>
              <w:rPr>
                <w:sz w:val="22"/>
                <w:szCs w:val="22"/>
              </w:rPr>
              <w:t>de 8</w:t>
            </w:r>
            <w:r w:rsidRPr="004F0FBC">
              <w:rPr>
                <w:sz w:val="22"/>
                <w:szCs w:val="22"/>
              </w:rPr>
              <w:t>0</w:t>
            </w:r>
            <w:r w:rsidRPr="006462E3">
              <w:rPr>
                <w:sz w:val="22"/>
                <w:szCs w:val="22"/>
              </w:rPr>
              <w:t> mg num dia</w:t>
            </w:r>
            <w:r w:rsidRPr="009A05BE">
              <w:rPr>
                <w:sz w:val="22"/>
                <w:szCs w:val="22"/>
              </w:rPr>
              <w:t xml:space="preserve"> ou</w:t>
            </w:r>
            <w:r>
              <w:rPr>
                <w:rFonts w:hint="eastAsia"/>
                <w:sz w:val="22"/>
                <w:szCs w:val="22"/>
                <w:lang w:eastAsia="zh-TW"/>
              </w:rPr>
              <w:t xml:space="preserve"> </w:t>
            </w:r>
            <w:r>
              <w:rPr>
                <w:sz w:val="22"/>
                <w:szCs w:val="22"/>
                <w:lang w:eastAsia="zh-TW"/>
              </w:rPr>
              <w:t>uma</w:t>
            </w:r>
            <w:r>
              <w:rPr>
                <w:sz w:val="22"/>
                <w:szCs w:val="22"/>
              </w:rPr>
              <w:t xml:space="preserve"> </w:t>
            </w:r>
            <w:r w:rsidRPr="009A05BE">
              <w:rPr>
                <w:sz w:val="22"/>
                <w:szCs w:val="22"/>
              </w:rPr>
              <w:t>injeç</w:t>
            </w:r>
            <w:r>
              <w:rPr>
                <w:sz w:val="22"/>
                <w:szCs w:val="22"/>
              </w:rPr>
              <w:t>ão</w:t>
            </w:r>
            <w:r w:rsidRPr="009A05BE">
              <w:rPr>
                <w:sz w:val="22"/>
                <w:szCs w:val="22"/>
              </w:rPr>
              <w:t xml:space="preserve"> de </w:t>
            </w:r>
            <w:r>
              <w:rPr>
                <w:sz w:val="22"/>
                <w:szCs w:val="22"/>
              </w:rPr>
              <w:t>8</w:t>
            </w:r>
            <w:r w:rsidRPr="009A05BE">
              <w:rPr>
                <w:sz w:val="22"/>
                <w:szCs w:val="22"/>
              </w:rPr>
              <w:t>0</w:t>
            </w:r>
            <w:r w:rsidRPr="00854C93">
              <w:rPr>
                <w:sz w:val="22"/>
                <w:szCs w:val="22"/>
              </w:rPr>
              <w:t> mg por d</w:t>
            </w:r>
            <w:r w:rsidRPr="0089156B">
              <w:rPr>
                <w:sz w:val="22"/>
                <w:szCs w:val="22"/>
              </w:rPr>
              <w:t>ia e</w:t>
            </w:r>
            <w:r w:rsidRPr="000B3FE3">
              <w:rPr>
                <w:sz w:val="22"/>
                <w:szCs w:val="22"/>
              </w:rPr>
              <w:t xml:space="preserve">m dois dias consecutivos), </w:t>
            </w:r>
            <w:r w:rsidRPr="004931CE">
              <w:rPr>
                <w:sz w:val="22"/>
                <w:szCs w:val="22"/>
              </w:rPr>
              <w:t xml:space="preserve">seguida de uma dose de </w:t>
            </w:r>
            <w:r w:rsidRPr="00653128">
              <w:rPr>
                <w:sz w:val="22"/>
                <w:szCs w:val="22"/>
              </w:rPr>
              <w:t>80 mg (</w:t>
            </w:r>
            <w:r>
              <w:rPr>
                <w:sz w:val="22"/>
                <w:szCs w:val="22"/>
              </w:rPr>
              <w:t>uma injeção</w:t>
            </w:r>
            <w:r w:rsidRPr="00653128">
              <w:rPr>
                <w:sz w:val="22"/>
                <w:szCs w:val="22"/>
              </w:rPr>
              <w:t xml:space="preserve"> </w:t>
            </w:r>
            <w:r w:rsidRPr="00D33370">
              <w:rPr>
                <w:sz w:val="22"/>
                <w:szCs w:val="22"/>
              </w:rPr>
              <w:t xml:space="preserve">de </w:t>
            </w:r>
            <w:r>
              <w:rPr>
                <w:sz w:val="22"/>
                <w:szCs w:val="22"/>
              </w:rPr>
              <w:t>8</w:t>
            </w:r>
            <w:r w:rsidRPr="002D4DE5">
              <w:rPr>
                <w:sz w:val="22"/>
                <w:szCs w:val="22"/>
              </w:rPr>
              <w:t>0</w:t>
            </w:r>
            <w:r w:rsidRPr="00003560">
              <w:rPr>
                <w:sz w:val="22"/>
                <w:szCs w:val="22"/>
              </w:rPr>
              <w:t> </w:t>
            </w:r>
            <w:r w:rsidRPr="005F6F98">
              <w:rPr>
                <w:sz w:val="22"/>
                <w:szCs w:val="22"/>
              </w:rPr>
              <w:t>mg</w:t>
            </w:r>
            <w:r w:rsidRPr="002B2441">
              <w:rPr>
                <w:sz w:val="22"/>
                <w:szCs w:val="22"/>
              </w:rPr>
              <w:t>) duas semanas ap</w:t>
            </w:r>
            <w:r w:rsidRPr="00B830EC">
              <w:rPr>
                <w:sz w:val="22"/>
                <w:szCs w:val="22"/>
              </w:rPr>
              <w:t>ós a dose inicial.</w:t>
            </w:r>
            <w:r w:rsidRPr="008B0DDF">
              <w:rPr>
                <w:sz w:val="22"/>
                <w:szCs w:val="22"/>
              </w:rPr>
              <w:t xml:space="preserve"> Após mais duas semanas, continuar com uma dose de 40 mg por semana</w:t>
            </w:r>
            <w:r w:rsidR="00AE6411">
              <w:rPr>
                <w:sz w:val="22"/>
                <w:szCs w:val="22"/>
              </w:rPr>
              <w:t xml:space="preserve"> ou 80 mg em semanas alternadas, conforme prescrito pelo seu médico</w:t>
            </w:r>
            <w:r w:rsidRPr="008B0DDF">
              <w:rPr>
                <w:sz w:val="22"/>
                <w:szCs w:val="22"/>
              </w:rPr>
              <w:t xml:space="preserve">.  </w:t>
            </w:r>
          </w:p>
        </w:tc>
        <w:tc>
          <w:tcPr>
            <w:tcW w:w="3096" w:type="dxa"/>
          </w:tcPr>
          <w:p w14:paraId="2E2AA82A" w14:textId="77777777" w:rsidR="00685047" w:rsidRPr="008B0DDF" w:rsidRDefault="00615769" w:rsidP="00691603">
            <w:pPr>
              <w:spacing w:before="100" w:beforeAutospacing="1" w:after="100" w:afterAutospacing="1"/>
              <w:rPr>
                <w:sz w:val="22"/>
                <w:szCs w:val="22"/>
              </w:rPr>
            </w:pPr>
            <w:r w:rsidRPr="008B0DDF">
              <w:rPr>
                <w:sz w:val="22"/>
                <w:szCs w:val="22"/>
              </w:rPr>
              <w:t>É recomendável que use um anti-séptico de lavagem diária nas áreas afetadas.</w:t>
            </w:r>
          </w:p>
          <w:p w14:paraId="35821E90" w14:textId="77777777" w:rsidR="00685047" w:rsidRPr="008B0DDF" w:rsidRDefault="00685047" w:rsidP="00691603">
            <w:pPr>
              <w:numPr>
                <w:ilvl w:val="12"/>
                <w:numId w:val="0"/>
              </w:numPr>
              <w:suppressAutoHyphens/>
              <w:ind w:right="-2"/>
              <w:rPr>
                <w:sz w:val="22"/>
              </w:rPr>
            </w:pPr>
          </w:p>
        </w:tc>
      </w:tr>
      <w:tr w:rsidR="00A7162A" w14:paraId="3E740198" w14:textId="77777777" w:rsidTr="00691603">
        <w:tc>
          <w:tcPr>
            <w:tcW w:w="3095" w:type="dxa"/>
          </w:tcPr>
          <w:p w14:paraId="05A02BB8" w14:textId="77777777" w:rsidR="00685047" w:rsidRPr="008B0DDF" w:rsidRDefault="00615769">
            <w:pPr>
              <w:keepNext/>
              <w:numPr>
                <w:ilvl w:val="12"/>
                <w:numId w:val="0"/>
              </w:numPr>
              <w:suppressAutoHyphens/>
              <w:ind w:right="-2"/>
              <w:rPr>
                <w:sz w:val="22"/>
              </w:rPr>
            </w:pPr>
            <w:r>
              <w:rPr>
                <w:sz w:val="22"/>
              </w:rPr>
              <w:t xml:space="preserve">Adolescentes </w:t>
            </w:r>
            <w:r w:rsidR="005E2992">
              <w:rPr>
                <w:sz w:val="22"/>
              </w:rPr>
              <w:t xml:space="preserve">entre </w:t>
            </w:r>
            <w:r>
              <w:rPr>
                <w:sz w:val="22"/>
              </w:rPr>
              <w:t xml:space="preserve">os 12 </w:t>
            </w:r>
            <w:r w:rsidR="005E2992">
              <w:rPr>
                <w:sz w:val="22"/>
              </w:rPr>
              <w:t xml:space="preserve">e os 17 </w:t>
            </w:r>
            <w:r>
              <w:rPr>
                <w:sz w:val="22"/>
              </w:rPr>
              <w:t>anos de idade, com pe</w:t>
            </w:r>
            <w:r w:rsidR="005E2992">
              <w:rPr>
                <w:sz w:val="22"/>
              </w:rPr>
              <w:t xml:space="preserve">so igual ou superior a </w:t>
            </w:r>
            <w:r>
              <w:rPr>
                <w:sz w:val="22"/>
              </w:rPr>
              <w:t>30 kg</w:t>
            </w:r>
          </w:p>
        </w:tc>
        <w:tc>
          <w:tcPr>
            <w:tcW w:w="3096" w:type="dxa"/>
          </w:tcPr>
          <w:p w14:paraId="6CB9DDC0" w14:textId="77777777" w:rsidR="00685047" w:rsidRPr="00454F99" w:rsidRDefault="00615769" w:rsidP="00691603">
            <w:pPr>
              <w:keepNext/>
              <w:numPr>
                <w:ilvl w:val="12"/>
                <w:numId w:val="0"/>
              </w:numPr>
              <w:suppressAutoHyphens/>
              <w:ind w:right="-2"/>
              <w:rPr>
                <w:sz w:val="22"/>
                <w:szCs w:val="22"/>
              </w:rPr>
            </w:pPr>
            <w:r w:rsidRPr="00454F99">
              <w:rPr>
                <w:sz w:val="22"/>
              </w:rPr>
              <w:t>Uma dose inicial de 80 </w:t>
            </w:r>
            <w:r w:rsidRPr="004F0FBC">
              <w:rPr>
                <w:sz w:val="22"/>
              </w:rPr>
              <w:t>mg</w:t>
            </w:r>
            <w:r>
              <w:rPr>
                <w:sz w:val="22"/>
              </w:rPr>
              <w:t xml:space="preserve"> (uma</w:t>
            </w:r>
            <w:r w:rsidRPr="006462E3">
              <w:rPr>
                <w:sz w:val="22"/>
              </w:rPr>
              <w:t xml:space="preserve"> injeç</w:t>
            </w:r>
            <w:r>
              <w:rPr>
                <w:sz w:val="22"/>
              </w:rPr>
              <w:t>ão</w:t>
            </w:r>
            <w:r w:rsidRPr="006462E3">
              <w:rPr>
                <w:sz w:val="22"/>
              </w:rPr>
              <w:t xml:space="preserve"> de </w:t>
            </w:r>
            <w:r>
              <w:rPr>
                <w:sz w:val="22"/>
              </w:rPr>
              <w:t>8</w:t>
            </w:r>
            <w:r w:rsidRPr="006462E3">
              <w:rPr>
                <w:sz w:val="22"/>
              </w:rPr>
              <w:t>0 </w:t>
            </w:r>
            <w:r w:rsidRPr="009A05BE">
              <w:rPr>
                <w:sz w:val="22"/>
              </w:rPr>
              <w:t>mg</w:t>
            </w:r>
            <w:r>
              <w:rPr>
                <w:sz w:val="22"/>
              </w:rPr>
              <w:t>)</w:t>
            </w:r>
            <w:r w:rsidRPr="009A05BE">
              <w:rPr>
                <w:sz w:val="22"/>
              </w:rPr>
              <w:t xml:space="preserve"> </w:t>
            </w:r>
            <w:r w:rsidRPr="0089156B">
              <w:rPr>
                <w:sz w:val="22"/>
              </w:rPr>
              <w:t>seguida de 4</w:t>
            </w:r>
            <w:r w:rsidRPr="000B3FE3">
              <w:rPr>
                <w:sz w:val="22"/>
              </w:rPr>
              <w:t>0 </w:t>
            </w:r>
            <w:r w:rsidRPr="004931CE">
              <w:rPr>
                <w:sz w:val="22"/>
              </w:rPr>
              <w:t xml:space="preserve">mg </w:t>
            </w:r>
            <w:r w:rsidRPr="00653128">
              <w:rPr>
                <w:sz w:val="22"/>
              </w:rPr>
              <w:t>em semanas alternadas, uma semana ap</w:t>
            </w:r>
            <w:r w:rsidRPr="00D33370">
              <w:rPr>
                <w:sz w:val="22"/>
              </w:rPr>
              <w:t>ós a dose inicial</w:t>
            </w:r>
            <w:r w:rsidRPr="002D4DE5">
              <w:rPr>
                <w:sz w:val="22"/>
              </w:rPr>
              <w:t>.</w:t>
            </w:r>
          </w:p>
        </w:tc>
        <w:tc>
          <w:tcPr>
            <w:tcW w:w="3096" w:type="dxa"/>
          </w:tcPr>
          <w:p w14:paraId="317CF986" w14:textId="77777777" w:rsidR="00685047" w:rsidRDefault="00615769" w:rsidP="00691603">
            <w:pPr>
              <w:keepNext/>
              <w:rPr>
                <w:sz w:val="22"/>
              </w:rPr>
            </w:pPr>
            <w:r w:rsidRPr="00003560">
              <w:rPr>
                <w:sz w:val="22"/>
              </w:rPr>
              <w:t>Se tiver uma resposta i</w:t>
            </w:r>
            <w:r w:rsidRPr="005F6F98">
              <w:rPr>
                <w:sz w:val="22"/>
              </w:rPr>
              <w:t>nadequada</w:t>
            </w:r>
            <w:r w:rsidR="009E275F">
              <w:rPr>
                <w:sz w:val="22"/>
              </w:rPr>
              <w:t xml:space="preserve"> com Humira 40 mg em semanas alternadas</w:t>
            </w:r>
            <w:r w:rsidRPr="005F6F98">
              <w:rPr>
                <w:sz w:val="22"/>
              </w:rPr>
              <w:t xml:space="preserve">, o seu médico pode aumentar a dose para </w:t>
            </w:r>
            <w:r w:rsidRPr="002B2441">
              <w:rPr>
                <w:sz w:val="22"/>
              </w:rPr>
              <w:t>40 </w:t>
            </w:r>
            <w:r w:rsidRPr="00B830EC">
              <w:rPr>
                <w:sz w:val="22"/>
              </w:rPr>
              <w:t xml:space="preserve">mg </w:t>
            </w:r>
            <w:r w:rsidRPr="008B0DDF">
              <w:rPr>
                <w:sz w:val="22"/>
              </w:rPr>
              <w:t>por semana</w:t>
            </w:r>
            <w:r w:rsidR="009E275F">
              <w:rPr>
                <w:sz w:val="22"/>
              </w:rPr>
              <w:t xml:space="preserve"> ou 80 mg em semanas alternadas</w:t>
            </w:r>
            <w:r w:rsidRPr="008B0DDF">
              <w:rPr>
                <w:sz w:val="22"/>
              </w:rPr>
              <w:t>.</w:t>
            </w:r>
          </w:p>
          <w:p w14:paraId="227D5D60" w14:textId="77777777" w:rsidR="00685047" w:rsidRPr="008B0DDF" w:rsidRDefault="00615769" w:rsidP="00691603">
            <w:pPr>
              <w:keepNext/>
              <w:rPr>
                <w:sz w:val="22"/>
                <w:szCs w:val="22"/>
              </w:rPr>
            </w:pPr>
            <w:r w:rsidRPr="008B0DDF">
              <w:rPr>
                <w:sz w:val="22"/>
                <w:szCs w:val="22"/>
              </w:rPr>
              <w:t>É recomendável que use um anti-séptico de lavagem diária nas áreas afetadas.</w:t>
            </w:r>
          </w:p>
        </w:tc>
      </w:tr>
    </w:tbl>
    <w:p w14:paraId="036DF645" w14:textId="77777777" w:rsidR="00685047" w:rsidRPr="008B0DDF" w:rsidRDefault="00685047" w:rsidP="00685047">
      <w:pPr>
        <w:numPr>
          <w:ilvl w:val="12"/>
          <w:numId w:val="0"/>
        </w:numPr>
        <w:suppressAutoHyphens/>
        <w:ind w:right="-2"/>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7"/>
        <w:gridCol w:w="3014"/>
      </w:tblGrid>
      <w:tr w:rsidR="00A7162A" w14:paraId="47581506" w14:textId="77777777" w:rsidTr="00691603">
        <w:tc>
          <w:tcPr>
            <w:tcW w:w="9287" w:type="dxa"/>
            <w:gridSpan w:val="3"/>
          </w:tcPr>
          <w:p w14:paraId="2C8D6493" w14:textId="77777777" w:rsidR="00685047" w:rsidRPr="008B0DDF" w:rsidRDefault="00615769" w:rsidP="00BE46F4">
            <w:pPr>
              <w:keepNext/>
              <w:numPr>
                <w:ilvl w:val="12"/>
                <w:numId w:val="0"/>
              </w:numPr>
              <w:suppressAutoHyphens/>
              <w:ind w:right="-2"/>
              <w:rPr>
                <w:sz w:val="22"/>
              </w:rPr>
            </w:pPr>
            <w:r>
              <w:rPr>
                <w:b/>
                <w:sz w:val="22"/>
              </w:rPr>
              <w:t>Doença de Crohn</w:t>
            </w:r>
          </w:p>
        </w:tc>
      </w:tr>
      <w:tr w:rsidR="00A7162A" w14:paraId="5159F7A5" w14:textId="77777777" w:rsidTr="00691603">
        <w:tc>
          <w:tcPr>
            <w:tcW w:w="3095" w:type="dxa"/>
          </w:tcPr>
          <w:p w14:paraId="192B54CF" w14:textId="77777777" w:rsidR="00685047" w:rsidRPr="008B0DDF" w:rsidRDefault="00615769" w:rsidP="00BE46F4">
            <w:pPr>
              <w:keepNext/>
              <w:numPr>
                <w:ilvl w:val="12"/>
                <w:numId w:val="0"/>
              </w:numPr>
              <w:suppressAutoHyphens/>
              <w:ind w:right="-2"/>
              <w:rPr>
                <w:sz w:val="22"/>
              </w:rPr>
            </w:pPr>
            <w:r w:rsidRPr="008B0DDF">
              <w:rPr>
                <w:b/>
                <w:sz w:val="22"/>
              </w:rPr>
              <w:t>Idade ou peso corporal</w:t>
            </w:r>
          </w:p>
        </w:tc>
        <w:tc>
          <w:tcPr>
            <w:tcW w:w="3096" w:type="dxa"/>
          </w:tcPr>
          <w:p w14:paraId="2E614392" w14:textId="77777777" w:rsidR="00685047" w:rsidRPr="004F0FBC" w:rsidRDefault="00615769" w:rsidP="00BE46F4">
            <w:pPr>
              <w:keepNext/>
              <w:numPr>
                <w:ilvl w:val="12"/>
                <w:numId w:val="0"/>
              </w:numPr>
              <w:suppressAutoHyphens/>
              <w:ind w:right="-2"/>
              <w:rPr>
                <w:sz w:val="22"/>
              </w:rPr>
            </w:pPr>
            <w:r w:rsidRPr="00454F99">
              <w:rPr>
                <w:b/>
                <w:sz w:val="22"/>
              </w:rPr>
              <w:t>Qual a dose e com que frequência se deve tomar?</w:t>
            </w:r>
          </w:p>
        </w:tc>
        <w:tc>
          <w:tcPr>
            <w:tcW w:w="3096" w:type="dxa"/>
          </w:tcPr>
          <w:p w14:paraId="6469FE9F" w14:textId="77777777" w:rsidR="00685047" w:rsidRPr="008B0DDF" w:rsidRDefault="00615769" w:rsidP="00BE46F4">
            <w:pPr>
              <w:keepNext/>
              <w:numPr>
                <w:ilvl w:val="12"/>
                <w:numId w:val="0"/>
              </w:numPr>
              <w:suppressAutoHyphens/>
              <w:ind w:right="-2"/>
              <w:rPr>
                <w:sz w:val="22"/>
              </w:rPr>
            </w:pPr>
            <w:r w:rsidRPr="008B0DDF">
              <w:rPr>
                <w:b/>
                <w:sz w:val="22"/>
              </w:rPr>
              <w:t>Notas</w:t>
            </w:r>
          </w:p>
        </w:tc>
      </w:tr>
      <w:tr w:rsidR="00A7162A" w14:paraId="77496181" w14:textId="77777777" w:rsidTr="00691603">
        <w:tc>
          <w:tcPr>
            <w:tcW w:w="3095" w:type="dxa"/>
          </w:tcPr>
          <w:p w14:paraId="037E65A3" w14:textId="77777777" w:rsidR="00685047" w:rsidRPr="008B0DDF" w:rsidRDefault="00615769">
            <w:pPr>
              <w:numPr>
                <w:ilvl w:val="12"/>
                <w:numId w:val="0"/>
              </w:numPr>
              <w:suppressAutoHyphens/>
              <w:ind w:right="-2"/>
              <w:rPr>
                <w:sz w:val="22"/>
              </w:rPr>
            </w:pPr>
            <w:r w:rsidRPr="008B0DDF">
              <w:rPr>
                <w:sz w:val="22"/>
              </w:rPr>
              <w:t>Crianças</w:t>
            </w:r>
            <w:r w:rsidR="000F0FD1">
              <w:rPr>
                <w:sz w:val="22"/>
              </w:rPr>
              <w:t xml:space="preserve">, </w:t>
            </w:r>
            <w:r w:rsidRPr="008B0DDF">
              <w:rPr>
                <w:sz w:val="22"/>
              </w:rPr>
              <w:t xml:space="preserve">adolescentes </w:t>
            </w:r>
            <w:r w:rsidR="000F0FD1">
              <w:rPr>
                <w:sz w:val="22"/>
              </w:rPr>
              <w:t xml:space="preserve">e adultos </w:t>
            </w:r>
            <w:r w:rsidR="001157F2">
              <w:rPr>
                <w:sz w:val="22"/>
              </w:rPr>
              <w:t xml:space="preserve">entre os </w:t>
            </w:r>
            <w:r w:rsidRPr="008B0DDF">
              <w:rPr>
                <w:sz w:val="22"/>
              </w:rPr>
              <w:t>6</w:t>
            </w:r>
            <w:r w:rsidR="001157F2">
              <w:rPr>
                <w:sz w:val="22"/>
              </w:rPr>
              <w:t xml:space="preserve"> e os 17</w:t>
            </w:r>
            <w:r w:rsidRPr="008B0DDF">
              <w:rPr>
                <w:sz w:val="22"/>
              </w:rPr>
              <w:t xml:space="preserve"> anos de idade com peso igual ou superior a 40 kg </w:t>
            </w:r>
          </w:p>
        </w:tc>
        <w:tc>
          <w:tcPr>
            <w:tcW w:w="3096" w:type="dxa"/>
          </w:tcPr>
          <w:p w14:paraId="230DD8E3" w14:textId="77777777" w:rsidR="00685047" w:rsidRDefault="00615769" w:rsidP="00691603">
            <w:pPr>
              <w:tabs>
                <w:tab w:val="left" w:pos="562"/>
              </w:tabs>
              <w:suppressAutoHyphens/>
              <w:rPr>
                <w:sz w:val="22"/>
              </w:rPr>
            </w:pPr>
            <w:r w:rsidRPr="008B0DDF">
              <w:rPr>
                <w:sz w:val="22"/>
              </w:rPr>
              <w:t>Uma dose inicial de 80 mg (</w:t>
            </w:r>
            <w:r>
              <w:rPr>
                <w:sz w:val="22"/>
              </w:rPr>
              <w:t>uma injeção</w:t>
            </w:r>
            <w:r w:rsidRPr="008B0DDF">
              <w:rPr>
                <w:sz w:val="22"/>
              </w:rPr>
              <w:t xml:space="preserve"> de </w:t>
            </w:r>
            <w:r>
              <w:rPr>
                <w:sz w:val="22"/>
              </w:rPr>
              <w:t>8</w:t>
            </w:r>
            <w:r w:rsidRPr="008B0DDF">
              <w:rPr>
                <w:sz w:val="22"/>
              </w:rPr>
              <w:t>0 mg), seguida de 40 mg duas semanas após a dose inicial.</w:t>
            </w:r>
          </w:p>
          <w:p w14:paraId="6546388E" w14:textId="77777777" w:rsidR="00685047" w:rsidRPr="008B0DDF" w:rsidRDefault="00685047" w:rsidP="00691603">
            <w:pPr>
              <w:tabs>
                <w:tab w:val="left" w:pos="562"/>
              </w:tabs>
              <w:suppressAutoHyphens/>
              <w:rPr>
                <w:sz w:val="22"/>
              </w:rPr>
            </w:pPr>
          </w:p>
          <w:p w14:paraId="51F49359" w14:textId="77777777" w:rsidR="00685047" w:rsidRDefault="00615769" w:rsidP="00691603">
            <w:pPr>
              <w:numPr>
                <w:ilvl w:val="12"/>
                <w:numId w:val="0"/>
              </w:numPr>
              <w:suppressAutoHyphens/>
              <w:rPr>
                <w:sz w:val="22"/>
              </w:rPr>
            </w:pPr>
            <w:r w:rsidRPr="008B0DDF">
              <w:rPr>
                <w:sz w:val="22"/>
              </w:rPr>
              <w:t>Se é necessária uma resposta mais rápida, o médico pode prescrever uma dose inicial de 160 mg (</w:t>
            </w:r>
            <w:r>
              <w:rPr>
                <w:sz w:val="22"/>
              </w:rPr>
              <w:t xml:space="preserve">duas </w:t>
            </w:r>
            <w:r w:rsidRPr="008B0DDF">
              <w:rPr>
                <w:sz w:val="22"/>
              </w:rPr>
              <w:t xml:space="preserve">injeções de </w:t>
            </w:r>
            <w:r>
              <w:rPr>
                <w:sz w:val="22"/>
              </w:rPr>
              <w:t>8</w:t>
            </w:r>
            <w:r w:rsidRPr="008B0DDF">
              <w:rPr>
                <w:sz w:val="22"/>
              </w:rPr>
              <w:t xml:space="preserve">0 mg num dia ou </w:t>
            </w:r>
            <w:r>
              <w:rPr>
                <w:sz w:val="22"/>
              </w:rPr>
              <w:t xml:space="preserve">uma injeção </w:t>
            </w:r>
            <w:r w:rsidRPr="008B0DDF">
              <w:rPr>
                <w:sz w:val="22"/>
              </w:rPr>
              <w:t xml:space="preserve">de </w:t>
            </w:r>
            <w:r>
              <w:rPr>
                <w:sz w:val="22"/>
              </w:rPr>
              <w:t>8</w:t>
            </w:r>
            <w:r w:rsidRPr="008B0DDF">
              <w:rPr>
                <w:sz w:val="22"/>
              </w:rPr>
              <w:t>0 mg por dia em dois dias consecutivos), seguida de 80 mg (</w:t>
            </w:r>
            <w:r>
              <w:rPr>
                <w:sz w:val="22"/>
              </w:rPr>
              <w:t xml:space="preserve">uma injeção </w:t>
            </w:r>
            <w:r w:rsidRPr="008B0DDF">
              <w:rPr>
                <w:sz w:val="22"/>
              </w:rPr>
              <w:t xml:space="preserve">de </w:t>
            </w:r>
            <w:r>
              <w:rPr>
                <w:sz w:val="22"/>
              </w:rPr>
              <w:t>8</w:t>
            </w:r>
            <w:r w:rsidRPr="008B0DDF">
              <w:rPr>
                <w:sz w:val="22"/>
              </w:rPr>
              <w:t xml:space="preserve">0 mg) duas semanas após a </w:t>
            </w:r>
            <w:r w:rsidRPr="00854C93">
              <w:rPr>
                <w:sz w:val="22"/>
              </w:rPr>
              <w:t xml:space="preserve">dose inicial. </w:t>
            </w:r>
          </w:p>
          <w:p w14:paraId="2EC5AF86" w14:textId="77777777" w:rsidR="00685047" w:rsidRPr="008B0DDF" w:rsidRDefault="00685047" w:rsidP="00691603">
            <w:pPr>
              <w:numPr>
                <w:ilvl w:val="12"/>
                <w:numId w:val="0"/>
              </w:numPr>
              <w:suppressAutoHyphens/>
              <w:rPr>
                <w:sz w:val="22"/>
              </w:rPr>
            </w:pPr>
          </w:p>
          <w:p w14:paraId="70EB7A9F" w14:textId="77777777" w:rsidR="00685047" w:rsidRPr="006462E3" w:rsidRDefault="00615769" w:rsidP="00691603">
            <w:pPr>
              <w:numPr>
                <w:ilvl w:val="12"/>
                <w:numId w:val="0"/>
              </w:numPr>
              <w:suppressAutoHyphens/>
              <w:ind w:right="-2"/>
              <w:rPr>
                <w:sz w:val="22"/>
              </w:rPr>
            </w:pPr>
            <w:r w:rsidRPr="00454F99">
              <w:rPr>
                <w:sz w:val="22"/>
              </w:rPr>
              <w:t>Depois disso, a dose habitual é 40</w:t>
            </w:r>
            <w:r w:rsidRPr="004F0FBC">
              <w:rPr>
                <w:sz w:val="22"/>
              </w:rPr>
              <w:t> </w:t>
            </w:r>
            <w:r w:rsidRPr="006462E3">
              <w:rPr>
                <w:sz w:val="22"/>
              </w:rPr>
              <w:t>mg em semanas alternadas.</w:t>
            </w:r>
          </w:p>
        </w:tc>
        <w:tc>
          <w:tcPr>
            <w:tcW w:w="3096" w:type="dxa"/>
          </w:tcPr>
          <w:p w14:paraId="14CC28E4" w14:textId="77777777" w:rsidR="00685047" w:rsidRPr="008B0DDF" w:rsidRDefault="00615769">
            <w:pPr>
              <w:tabs>
                <w:tab w:val="left" w:pos="562"/>
              </w:tabs>
              <w:suppressAutoHyphens/>
              <w:spacing w:before="100" w:beforeAutospacing="1" w:after="100" w:afterAutospacing="1"/>
              <w:rPr>
                <w:sz w:val="22"/>
              </w:rPr>
            </w:pPr>
            <w:r w:rsidRPr="009A05BE">
              <w:rPr>
                <w:sz w:val="22"/>
              </w:rPr>
              <w:t>O seu mé</w:t>
            </w:r>
            <w:r w:rsidRPr="00854C93">
              <w:rPr>
                <w:sz w:val="22"/>
              </w:rPr>
              <w:t>dico pode aumentar a dose para 40</w:t>
            </w:r>
            <w:r w:rsidRPr="0089156B">
              <w:rPr>
                <w:sz w:val="22"/>
              </w:rPr>
              <w:t> </w:t>
            </w:r>
            <w:r w:rsidRPr="000B3FE3">
              <w:rPr>
                <w:sz w:val="22"/>
              </w:rPr>
              <w:t>mg por semana</w:t>
            </w:r>
            <w:r w:rsidR="009E275F">
              <w:rPr>
                <w:sz w:val="22"/>
              </w:rPr>
              <w:t xml:space="preserve"> ou 80 mg em semanas alternadas</w:t>
            </w:r>
            <w:r w:rsidRPr="000B3FE3">
              <w:rPr>
                <w:sz w:val="22"/>
              </w:rPr>
              <w:t>.</w:t>
            </w:r>
          </w:p>
        </w:tc>
      </w:tr>
      <w:tr w:rsidR="00A7162A" w14:paraId="7428770B" w14:textId="77777777" w:rsidTr="00691603">
        <w:tc>
          <w:tcPr>
            <w:tcW w:w="3095" w:type="dxa"/>
          </w:tcPr>
          <w:p w14:paraId="552E9849" w14:textId="77777777" w:rsidR="00685047" w:rsidRPr="006462E3" w:rsidRDefault="00615769">
            <w:pPr>
              <w:keepNext/>
              <w:numPr>
                <w:ilvl w:val="12"/>
                <w:numId w:val="0"/>
              </w:numPr>
              <w:suppressAutoHyphens/>
              <w:ind w:right="-2"/>
              <w:rPr>
                <w:sz w:val="22"/>
              </w:rPr>
            </w:pPr>
            <w:r w:rsidRPr="00454F99">
              <w:rPr>
                <w:sz w:val="22"/>
              </w:rPr>
              <w:t xml:space="preserve">Crianças e adolescentes </w:t>
            </w:r>
            <w:r w:rsidR="001157F2">
              <w:rPr>
                <w:sz w:val="22"/>
              </w:rPr>
              <w:t xml:space="preserve">entre os </w:t>
            </w:r>
            <w:r w:rsidRPr="00454F99">
              <w:rPr>
                <w:sz w:val="22"/>
              </w:rPr>
              <w:t xml:space="preserve">6 </w:t>
            </w:r>
            <w:r w:rsidR="001157F2">
              <w:rPr>
                <w:sz w:val="22"/>
              </w:rPr>
              <w:t xml:space="preserve">e os 17 </w:t>
            </w:r>
            <w:r w:rsidRPr="00454F99">
              <w:rPr>
                <w:sz w:val="22"/>
              </w:rPr>
              <w:t>anos</w:t>
            </w:r>
            <w:r w:rsidRPr="004F0FBC">
              <w:rPr>
                <w:sz w:val="22"/>
              </w:rPr>
              <w:t xml:space="preserve"> de idade com peso inferior a </w:t>
            </w:r>
            <w:r w:rsidRPr="006462E3">
              <w:rPr>
                <w:sz w:val="22"/>
              </w:rPr>
              <w:t>40 kg</w:t>
            </w:r>
          </w:p>
        </w:tc>
        <w:tc>
          <w:tcPr>
            <w:tcW w:w="3096" w:type="dxa"/>
          </w:tcPr>
          <w:p w14:paraId="7794FD43" w14:textId="77777777" w:rsidR="00685047" w:rsidRDefault="00615769" w:rsidP="00691603">
            <w:pPr>
              <w:keepNext/>
              <w:tabs>
                <w:tab w:val="left" w:pos="562"/>
              </w:tabs>
              <w:suppressAutoHyphens/>
              <w:rPr>
                <w:sz w:val="22"/>
              </w:rPr>
            </w:pPr>
            <w:r w:rsidRPr="009A05BE">
              <w:rPr>
                <w:sz w:val="22"/>
              </w:rPr>
              <w:t>Uma dose inicial de 40 </w:t>
            </w:r>
            <w:r w:rsidRPr="00854C93">
              <w:rPr>
                <w:sz w:val="22"/>
              </w:rPr>
              <w:t xml:space="preserve">mg, </w:t>
            </w:r>
            <w:r w:rsidRPr="0089156B">
              <w:rPr>
                <w:sz w:val="22"/>
              </w:rPr>
              <w:t xml:space="preserve">seguida de </w:t>
            </w:r>
            <w:r w:rsidRPr="000B3FE3">
              <w:rPr>
                <w:sz w:val="22"/>
              </w:rPr>
              <w:t>20 </w:t>
            </w:r>
            <w:r w:rsidRPr="004931CE">
              <w:rPr>
                <w:sz w:val="22"/>
              </w:rPr>
              <w:t xml:space="preserve">mg </w:t>
            </w:r>
            <w:r w:rsidRPr="00653128">
              <w:rPr>
                <w:sz w:val="22"/>
              </w:rPr>
              <w:t>duas semanas após a dose inicial</w:t>
            </w:r>
            <w:r w:rsidRPr="00D33370">
              <w:rPr>
                <w:sz w:val="22"/>
              </w:rPr>
              <w:t xml:space="preserve">. </w:t>
            </w:r>
          </w:p>
          <w:p w14:paraId="29C4DDE4" w14:textId="77777777" w:rsidR="00685047" w:rsidRPr="00D33370" w:rsidRDefault="00685047" w:rsidP="00691603">
            <w:pPr>
              <w:keepNext/>
              <w:tabs>
                <w:tab w:val="left" w:pos="562"/>
              </w:tabs>
              <w:suppressAutoHyphens/>
              <w:rPr>
                <w:sz w:val="22"/>
              </w:rPr>
            </w:pPr>
          </w:p>
          <w:p w14:paraId="008132B2" w14:textId="77777777" w:rsidR="00685047" w:rsidRDefault="00615769" w:rsidP="00691603">
            <w:pPr>
              <w:keepNext/>
              <w:numPr>
                <w:ilvl w:val="12"/>
                <w:numId w:val="0"/>
              </w:numPr>
              <w:suppressAutoHyphens/>
              <w:rPr>
                <w:sz w:val="22"/>
              </w:rPr>
            </w:pPr>
            <w:r w:rsidRPr="002D4DE5">
              <w:rPr>
                <w:sz w:val="22"/>
              </w:rPr>
              <w:t>Se é necessária uma resposta mais rápida, o seu m</w:t>
            </w:r>
            <w:r>
              <w:rPr>
                <w:sz w:val="22"/>
              </w:rPr>
              <w:t>é</w:t>
            </w:r>
            <w:r w:rsidRPr="00454F99">
              <w:rPr>
                <w:sz w:val="22"/>
              </w:rPr>
              <w:t xml:space="preserve">dico pode prescrever uma dose inicial de </w:t>
            </w:r>
            <w:r w:rsidRPr="004F0FBC">
              <w:rPr>
                <w:sz w:val="22"/>
              </w:rPr>
              <w:t>80</w:t>
            </w:r>
            <w:r w:rsidRPr="006462E3">
              <w:rPr>
                <w:sz w:val="22"/>
              </w:rPr>
              <w:t> mg (</w:t>
            </w:r>
            <w:r>
              <w:rPr>
                <w:sz w:val="22"/>
              </w:rPr>
              <w:t xml:space="preserve">uma injeção </w:t>
            </w:r>
            <w:r w:rsidRPr="009A05BE">
              <w:rPr>
                <w:sz w:val="22"/>
              </w:rPr>
              <w:t xml:space="preserve">de </w:t>
            </w:r>
            <w:r>
              <w:rPr>
                <w:sz w:val="22"/>
              </w:rPr>
              <w:t>8</w:t>
            </w:r>
            <w:r w:rsidRPr="009A05BE">
              <w:rPr>
                <w:sz w:val="22"/>
              </w:rPr>
              <w:t>0 </w:t>
            </w:r>
            <w:r w:rsidRPr="00854C93">
              <w:rPr>
                <w:sz w:val="22"/>
              </w:rPr>
              <w:t>mg</w:t>
            </w:r>
            <w:r w:rsidRPr="0089156B">
              <w:rPr>
                <w:sz w:val="22"/>
              </w:rPr>
              <w:t>)</w:t>
            </w:r>
            <w:r w:rsidRPr="000B3FE3">
              <w:rPr>
                <w:sz w:val="22"/>
              </w:rPr>
              <w:t>, seguida de 40</w:t>
            </w:r>
            <w:r w:rsidRPr="004931CE">
              <w:rPr>
                <w:sz w:val="22"/>
              </w:rPr>
              <w:t> </w:t>
            </w:r>
            <w:r w:rsidRPr="00653128">
              <w:rPr>
                <w:sz w:val="22"/>
              </w:rPr>
              <w:t xml:space="preserve">mg duas semanas após a dose inicial. </w:t>
            </w:r>
          </w:p>
          <w:p w14:paraId="77829959" w14:textId="77777777" w:rsidR="00685047" w:rsidRPr="00D33370" w:rsidRDefault="00685047" w:rsidP="00691603">
            <w:pPr>
              <w:keepNext/>
              <w:numPr>
                <w:ilvl w:val="12"/>
                <w:numId w:val="0"/>
              </w:numPr>
              <w:suppressAutoHyphens/>
              <w:rPr>
                <w:sz w:val="22"/>
              </w:rPr>
            </w:pPr>
          </w:p>
          <w:p w14:paraId="6841DE7F" w14:textId="77777777" w:rsidR="00685047" w:rsidRPr="005F6F98" w:rsidRDefault="00615769" w:rsidP="00691603">
            <w:pPr>
              <w:keepNext/>
              <w:numPr>
                <w:ilvl w:val="12"/>
                <w:numId w:val="0"/>
              </w:numPr>
              <w:suppressAutoHyphens/>
              <w:rPr>
                <w:sz w:val="22"/>
              </w:rPr>
            </w:pPr>
            <w:r w:rsidRPr="002D4DE5">
              <w:rPr>
                <w:sz w:val="22"/>
              </w:rPr>
              <w:t xml:space="preserve">Depois disso, a dose habitual é </w:t>
            </w:r>
            <w:r w:rsidRPr="00003560">
              <w:rPr>
                <w:sz w:val="22"/>
              </w:rPr>
              <w:t>2</w:t>
            </w:r>
            <w:r w:rsidRPr="005F6F98">
              <w:rPr>
                <w:sz w:val="22"/>
              </w:rPr>
              <w:t>0 mg em semanas alternadas.</w:t>
            </w:r>
          </w:p>
        </w:tc>
        <w:tc>
          <w:tcPr>
            <w:tcW w:w="3096" w:type="dxa"/>
          </w:tcPr>
          <w:p w14:paraId="42019A8F" w14:textId="77777777" w:rsidR="00685047" w:rsidRPr="008B0DDF" w:rsidRDefault="00615769" w:rsidP="00691603">
            <w:pPr>
              <w:tabs>
                <w:tab w:val="left" w:pos="562"/>
              </w:tabs>
              <w:suppressAutoHyphens/>
              <w:spacing w:before="100" w:beforeAutospacing="1" w:after="100" w:afterAutospacing="1"/>
              <w:rPr>
                <w:sz w:val="22"/>
              </w:rPr>
            </w:pPr>
            <w:r w:rsidRPr="002B2441">
              <w:rPr>
                <w:sz w:val="22"/>
              </w:rPr>
              <w:t>O seu mé</w:t>
            </w:r>
            <w:r w:rsidRPr="00B830EC">
              <w:rPr>
                <w:sz w:val="22"/>
              </w:rPr>
              <w:t>dico pode aumentar a frequência da dose para 20</w:t>
            </w:r>
            <w:r>
              <w:rPr>
                <w:sz w:val="22"/>
              </w:rPr>
              <w:t> </w:t>
            </w:r>
            <w:r w:rsidRPr="00B830EC">
              <w:rPr>
                <w:sz w:val="22"/>
              </w:rPr>
              <w:t>mg por semana.</w:t>
            </w:r>
          </w:p>
          <w:p w14:paraId="5293336B" w14:textId="77777777" w:rsidR="00685047" w:rsidRPr="008B0DDF" w:rsidRDefault="00685047" w:rsidP="00691603">
            <w:pPr>
              <w:numPr>
                <w:ilvl w:val="12"/>
                <w:numId w:val="0"/>
              </w:numPr>
              <w:suppressAutoHyphens/>
              <w:spacing w:before="100" w:beforeAutospacing="1" w:after="100" w:afterAutospacing="1"/>
              <w:ind w:right="-2"/>
              <w:rPr>
                <w:sz w:val="22"/>
              </w:rPr>
            </w:pPr>
          </w:p>
        </w:tc>
      </w:tr>
    </w:tbl>
    <w:p w14:paraId="4F6BE5C5" w14:textId="77777777" w:rsidR="00685047" w:rsidRPr="008B0DDF" w:rsidRDefault="00685047" w:rsidP="00685047">
      <w:pPr>
        <w:numPr>
          <w:ilvl w:val="12"/>
          <w:numId w:val="0"/>
        </w:numPr>
        <w:suppressAutoHyphens/>
        <w:ind w:right="-2"/>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3031"/>
        <w:gridCol w:w="3018"/>
      </w:tblGrid>
      <w:tr w:rsidR="00A7162A" w14:paraId="219F4040" w14:textId="77777777" w:rsidTr="00BD6D29">
        <w:tc>
          <w:tcPr>
            <w:tcW w:w="9061" w:type="dxa"/>
            <w:gridSpan w:val="3"/>
          </w:tcPr>
          <w:p w14:paraId="795A8B4F" w14:textId="77777777" w:rsidR="00685047" w:rsidRPr="008B0DDF" w:rsidRDefault="00615769" w:rsidP="00BE46F4">
            <w:pPr>
              <w:keepNext/>
              <w:numPr>
                <w:ilvl w:val="12"/>
                <w:numId w:val="0"/>
              </w:numPr>
              <w:suppressAutoHyphens/>
              <w:ind w:right="-2"/>
              <w:rPr>
                <w:b/>
                <w:sz w:val="22"/>
              </w:rPr>
            </w:pPr>
            <w:r w:rsidRPr="008B0DDF">
              <w:rPr>
                <w:b/>
                <w:sz w:val="22"/>
                <w:szCs w:val="22"/>
              </w:rPr>
              <w:t>Colite ulcerosa</w:t>
            </w:r>
          </w:p>
        </w:tc>
      </w:tr>
      <w:tr w:rsidR="00A7162A" w14:paraId="12649FDF" w14:textId="77777777" w:rsidTr="00BD6D29">
        <w:tc>
          <w:tcPr>
            <w:tcW w:w="3012" w:type="dxa"/>
          </w:tcPr>
          <w:p w14:paraId="7570961D" w14:textId="77777777" w:rsidR="00685047" w:rsidRPr="008B0DDF" w:rsidRDefault="00615769" w:rsidP="00BE46F4">
            <w:pPr>
              <w:keepNext/>
              <w:numPr>
                <w:ilvl w:val="12"/>
                <w:numId w:val="0"/>
              </w:numPr>
              <w:suppressAutoHyphens/>
              <w:ind w:right="-2"/>
              <w:rPr>
                <w:sz w:val="22"/>
              </w:rPr>
            </w:pPr>
            <w:r w:rsidRPr="008B0DDF">
              <w:rPr>
                <w:b/>
                <w:sz w:val="22"/>
              </w:rPr>
              <w:t>Idade ou peso corporal</w:t>
            </w:r>
          </w:p>
        </w:tc>
        <w:tc>
          <w:tcPr>
            <w:tcW w:w="3031" w:type="dxa"/>
          </w:tcPr>
          <w:p w14:paraId="7B3BBF95" w14:textId="77777777" w:rsidR="00685047" w:rsidRPr="006462E3" w:rsidRDefault="00615769" w:rsidP="00BE46F4">
            <w:pPr>
              <w:keepNext/>
              <w:numPr>
                <w:ilvl w:val="12"/>
                <w:numId w:val="0"/>
              </w:numPr>
              <w:suppressAutoHyphens/>
              <w:ind w:right="-2"/>
              <w:rPr>
                <w:sz w:val="22"/>
              </w:rPr>
            </w:pPr>
            <w:r w:rsidRPr="00454F99">
              <w:rPr>
                <w:b/>
                <w:sz w:val="22"/>
              </w:rPr>
              <w:t>Qual a dose e com que frequênc</w:t>
            </w:r>
            <w:r w:rsidRPr="004F0FBC">
              <w:rPr>
                <w:b/>
                <w:sz w:val="22"/>
              </w:rPr>
              <w:t>ia se deve tomar?</w:t>
            </w:r>
          </w:p>
        </w:tc>
        <w:tc>
          <w:tcPr>
            <w:tcW w:w="3018" w:type="dxa"/>
          </w:tcPr>
          <w:p w14:paraId="3E31AA72" w14:textId="77777777" w:rsidR="00685047" w:rsidRPr="008B0DDF" w:rsidRDefault="00615769" w:rsidP="00BE46F4">
            <w:pPr>
              <w:keepNext/>
              <w:numPr>
                <w:ilvl w:val="12"/>
                <w:numId w:val="0"/>
              </w:numPr>
              <w:suppressAutoHyphens/>
              <w:ind w:right="-2"/>
              <w:rPr>
                <w:sz w:val="22"/>
              </w:rPr>
            </w:pPr>
            <w:r w:rsidRPr="008B0DDF">
              <w:rPr>
                <w:b/>
                <w:sz w:val="22"/>
              </w:rPr>
              <w:t>Notas</w:t>
            </w:r>
          </w:p>
        </w:tc>
      </w:tr>
      <w:tr w:rsidR="00A7162A" w14:paraId="1FA403C3" w14:textId="77777777" w:rsidTr="00BD6D29">
        <w:tc>
          <w:tcPr>
            <w:tcW w:w="3012" w:type="dxa"/>
          </w:tcPr>
          <w:p w14:paraId="3955FA4A" w14:textId="77777777" w:rsidR="00685047" w:rsidRPr="008B0DDF" w:rsidRDefault="00615769" w:rsidP="00BE46F4">
            <w:pPr>
              <w:keepNext/>
              <w:numPr>
                <w:ilvl w:val="12"/>
                <w:numId w:val="0"/>
              </w:numPr>
              <w:suppressAutoHyphens/>
              <w:ind w:right="-2"/>
              <w:rPr>
                <w:sz w:val="22"/>
              </w:rPr>
            </w:pPr>
            <w:r w:rsidRPr="008B0DDF">
              <w:rPr>
                <w:sz w:val="22"/>
              </w:rPr>
              <w:t>Adultos</w:t>
            </w:r>
          </w:p>
        </w:tc>
        <w:tc>
          <w:tcPr>
            <w:tcW w:w="3031" w:type="dxa"/>
          </w:tcPr>
          <w:p w14:paraId="326FBF47" w14:textId="77777777" w:rsidR="00685047" w:rsidRDefault="00615769" w:rsidP="00BE46F4">
            <w:pPr>
              <w:keepNext/>
              <w:numPr>
                <w:ilvl w:val="12"/>
                <w:numId w:val="0"/>
              </w:numPr>
              <w:suppressAutoHyphens/>
              <w:rPr>
                <w:sz w:val="22"/>
              </w:rPr>
            </w:pPr>
            <w:r w:rsidRPr="00454F99">
              <w:rPr>
                <w:sz w:val="22"/>
              </w:rPr>
              <w:t>Uma dose inicial de 160 mg (</w:t>
            </w:r>
            <w:r>
              <w:rPr>
                <w:sz w:val="22"/>
              </w:rPr>
              <w:t xml:space="preserve">duas </w:t>
            </w:r>
            <w:r w:rsidRPr="00454F99">
              <w:rPr>
                <w:sz w:val="22"/>
              </w:rPr>
              <w:t xml:space="preserve">injeções de </w:t>
            </w:r>
            <w:r>
              <w:rPr>
                <w:sz w:val="22"/>
              </w:rPr>
              <w:t>8</w:t>
            </w:r>
            <w:r w:rsidRPr="00454F99">
              <w:rPr>
                <w:sz w:val="22"/>
              </w:rPr>
              <w:t>0</w:t>
            </w:r>
            <w:r w:rsidRPr="004F0FBC">
              <w:rPr>
                <w:sz w:val="22"/>
              </w:rPr>
              <w:t> </w:t>
            </w:r>
            <w:r w:rsidRPr="006462E3">
              <w:rPr>
                <w:sz w:val="22"/>
              </w:rPr>
              <w:t xml:space="preserve">mg num dia </w:t>
            </w:r>
            <w:r w:rsidRPr="009A05BE">
              <w:rPr>
                <w:sz w:val="22"/>
              </w:rPr>
              <w:t>ou</w:t>
            </w:r>
            <w:r>
              <w:rPr>
                <w:sz w:val="22"/>
              </w:rPr>
              <w:t xml:space="preserve"> uma injeção de 8</w:t>
            </w:r>
            <w:r w:rsidRPr="009A05BE">
              <w:rPr>
                <w:sz w:val="22"/>
              </w:rPr>
              <w:t>0 </w:t>
            </w:r>
            <w:r w:rsidRPr="00854C93">
              <w:rPr>
                <w:sz w:val="22"/>
              </w:rPr>
              <w:t>mg por dia em dois dias consecutivos), seguida de 80</w:t>
            </w:r>
            <w:r w:rsidRPr="0089156B">
              <w:rPr>
                <w:sz w:val="22"/>
              </w:rPr>
              <w:t> </w:t>
            </w:r>
            <w:r w:rsidRPr="004931CE">
              <w:rPr>
                <w:sz w:val="22"/>
              </w:rPr>
              <w:t>mg (</w:t>
            </w:r>
            <w:r>
              <w:rPr>
                <w:sz w:val="22"/>
              </w:rPr>
              <w:t>uma injeção</w:t>
            </w:r>
            <w:r w:rsidRPr="00653128">
              <w:rPr>
                <w:sz w:val="22"/>
              </w:rPr>
              <w:t xml:space="preserve"> de </w:t>
            </w:r>
            <w:r>
              <w:rPr>
                <w:sz w:val="22"/>
              </w:rPr>
              <w:t>8</w:t>
            </w:r>
            <w:r w:rsidRPr="00653128">
              <w:rPr>
                <w:sz w:val="22"/>
              </w:rPr>
              <w:t>0</w:t>
            </w:r>
            <w:r w:rsidRPr="00D33370">
              <w:rPr>
                <w:sz w:val="22"/>
              </w:rPr>
              <w:t> </w:t>
            </w:r>
            <w:r w:rsidRPr="00003560">
              <w:rPr>
                <w:sz w:val="22"/>
              </w:rPr>
              <w:t>mg) duas semanas após a dose inicial.</w:t>
            </w:r>
          </w:p>
          <w:p w14:paraId="0409CAD5" w14:textId="77777777" w:rsidR="00685047" w:rsidRPr="00003560" w:rsidRDefault="00685047" w:rsidP="00BE46F4">
            <w:pPr>
              <w:keepNext/>
              <w:numPr>
                <w:ilvl w:val="12"/>
                <w:numId w:val="0"/>
              </w:numPr>
              <w:suppressAutoHyphens/>
              <w:rPr>
                <w:sz w:val="22"/>
              </w:rPr>
            </w:pPr>
          </w:p>
          <w:p w14:paraId="06B6FE29" w14:textId="77777777" w:rsidR="00685047" w:rsidRPr="00B830EC" w:rsidRDefault="00615769" w:rsidP="00BE46F4">
            <w:pPr>
              <w:keepNext/>
              <w:numPr>
                <w:ilvl w:val="12"/>
                <w:numId w:val="0"/>
              </w:numPr>
              <w:suppressAutoHyphens/>
              <w:rPr>
                <w:sz w:val="22"/>
              </w:rPr>
            </w:pPr>
            <w:r w:rsidRPr="005F6F98">
              <w:rPr>
                <w:sz w:val="22"/>
              </w:rPr>
              <w:t>Depois disso, a dose habitual é 40</w:t>
            </w:r>
            <w:r w:rsidRPr="002B2441">
              <w:rPr>
                <w:sz w:val="22"/>
              </w:rPr>
              <w:t> mg em semanas alternadas.</w:t>
            </w:r>
          </w:p>
        </w:tc>
        <w:tc>
          <w:tcPr>
            <w:tcW w:w="3018" w:type="dxa"/>
          </w:tcPr>
          <w:p w14:paraId="354127E3" w14:textId="77777777" w:rsidR="00685047" w:rsidRPr="008B0DDF" w:rsidRDefault="00615769">
            <w:pPr>
              <w:keepNext/>
              <w:numPr>
                <w:ilvl w:val="12"/>
                <w:numId w:val="0"/>
              </w:numPr>
              <w:suppressAutoHyphens/>
              <w:ind w:right="-2"/>
              <w:rPr>
                <w:sz w:val="22"/>
              </w:rPr>
            </w:pPr>
            <w:r w:rsidRPr="008B0DDF">
              <w:rPr>
                <w:sz w:val="22"/>
              </w:rPr>
              <w:t>O seu médico pode aumentar a dose para 40 mg por semana</w:t>
            </w:r>
            <w:r w:rsidR="009E275F">
              <w:rPr>
                <w:sz w:val="22"/>
              </w:rPr>
              <w:t xml:space="preserve"> ou 80 mg em semanas alternadas</w:t>
            </w:r>
            <w:r w:rsidRPr="008B0DDF">
              <w:rPr>
                <w:sz w:val="22"/>
              </w:rPr>
              <w:t>.</w:t>
            </w:r>
          </w:p>
        </w:tc>
      </w:tr>
      <w:tr w:rsidR="00A7162A" w14:paraId="773FD560" w14:textId="77777777" w:rsidTr="00BD6D29">
        <w:tc>
          <w:tcPr>
            <w:tcW w:w="3012" w:type="dxa"/>
          </w:tcPr>
          <w:p w14:paraId="72311093" w14:textId="77777777" w:rsidR="00BD6D29" w:rsidRPr="00BD6D29" w:rsidRDefault="00615769" w:rsidP="00BD6D29">
            <w:pPr>
              <w:keepNext/>
              <w:numPr>
                <w:ilvl w:val="12"/>
                <w:numId w:val="0"/>
              </w:numPr>
              <w:suppressAutoHyphens/>
              <w:ind w:right="-2"/>
              <w:rPr>
                <w:sz w:val="22"/>
                <w:szCs w:val="22"/>
              </w:rPr>
            </w:pPr>
            <w:r w:rsidRPr="00BD6D29">
              <w:rPr>
                <w:sz w:val="22"/>
                <w:szCs w:val="22"/>
              </w:rPr>
              <w:t>Crianças e adolescentes a partir dos 6 anos de idade com peso inferior a 40 kg</w:t>
            </w:r>
          </w:p>
        </w:tc>
        <w:tc>
          <w:tcPr>
            <w:tcW w:w="3031" w:type="dxa"/>
          </w:tcPr>
          <w:p w14:paraId="5F55D535" w14:textId="77777777" w:rsidR="00BD6D29" w:rsidRPr="00BD6D29" w:rsidRDefault="00615769" w:rsidP="00BD6D29">
            <w:pPr>
              <w:numPr>
                <w:ilvl w:val="12"/>
                <w:numId w:val="0"/>
              </w:numPr>
              <w:rPr>
                <w:sz w:val="22"/>
                <w:szCs w:val="22"/>
              </w:rPr>
            </w:pPr>
            <w:r w:rsidRPr="00BD6D29">
              <w:rPr>
                <w:sz w:val="22"/>
                <w:szCs w:val="22"/>
              </w:rPr>
              <w:t>Uma dose inicial de 80 mg (uma injeção de 80 mg), seguida de 40 mg (uma injeção de 40 mg) duas semanas após a dose inicial.</w:t>
            </w:r>
          </w:p>
          <w:p w14:paraId="7AE12B31" w14:textId="77777777" w:rsidR="00BD6D29" w:rsidRPr="00BD6D29" w:rsidRDefault="00BD6D29" w:rsidP="00BD6D29">
            <w:pPr>
              <w:numPr>
                <w:ilvl w:val="12"/>
                <w:numId w:val="0"/>
              </w:numPr>
              <w:rPr>
                <w:sz w:val="22"/>
                <w:szCs w:val="22"/>
              </w:rPr>
            </w:pPr>
          </w:p>
          <w:p w14:paraId="2B42E7F2" w14:textId="77777777" w:rsidR="00BD6D29" w:rsidRPr="00BD6D29" w:rsidRDefault="00615769" w:rsidP="00BD6D29">
            <w:pPr>
              <w:keepNext/>
              <w:numPr>
                <w:ilvl w:val="12"/>
                <w:numId w:val="0"/>
              </w:numPr>
              <w:suppressAutoHyphens/>
              <w:rPr>
                <w:sz w:val="22"/>
                <w:szCs w:val="22"/>
              </w:rPr>
            </w:pPr>
            <w:r w:rsidRPr="00BD6D29">
              <w:rPr>
                <w:sz w:val="22"/>
                <w:szCs w:val="22"/>
              </w:rPr>
              <w:t>Depois disso, a dose habitual é de 40 mg em semanas alternadas.</w:t>
            </w:r>
          </w:p>
        </w:tc>
        <w:tc>
          <w:tcPr>
            <w:tcW w:w="3018" w:type="dxa"/>
          </w:tcPr>
          <w:p w14:paraId="40C8ED2E" w14:textId="77777777" w:rsidR="00BD6D29" w:rsidRPr="00BD6D29" w:rsidRDefault="00615769" w:rsidP="00BD6D29">
            <w:pPr>
              <w:keepNext/>
              <w:numPr>
                <w:ilvl w:val="12"/>
                <w:numId w:val="0"/>
              </w:numPr>
              <w:suppressAutoHyphens/>
              <w:ind w:right="-2"/>
              <w:rPr>
                <w:sz w:val="22"/>
                <w:szCs w:val="22"/>
              </w:rPr>
            </w:pPr>
            <w:r w:rsidRPr="00BD6D29">
              <w:rPr>
                <w:sz w:val="22"/>
                <w:szCs w:val="22"/>
              </w:rPr>
              <w:t>Deve continuar a tomar a sua dose habitual de Humira, mesmo após completar 18 anos de idade.</w:t>
            </w:r>
          </w:p>
        </w:tc>
      </w:tr>
      <w:tr w:rsidR="00A7162A" w14:paraId="1DBC97C7" w14:textId="77777777" w:rsidTr="00BD6D29">
        <w:tc>
          <w:tcPr>
            <w:tcW w:w="3012" w:type="dxa"/>
          </w:tcPr>
          <w:p w14:paraId="66E9B1A5" w14:textId="77777777" w:rsidR="00BD6D29" w:rsidRPr="00BD6D29" w:rsidRDefault="00615769" w:rsidP="00BD6D29">
            <w:pPr>
              <w:keepNext/>
              <w:numPr>
                <w:ilvl w:val="12"/>
                <w:numId w:val="0"/>
              </w:numPr>
              <w:suppressAutoHyphens/>
              <w:ind w:right="-2"/>
              <w:rPr>
                <w:sz w:val="22"/>
                <w:szCs w:val="22"/>
              </w:rPr>
            </w:pPr>
            <w:r w:rsidRPr="00BD6D29">
              <w:rPr>
                <w:sz w:val="22"/>
                <w:szCs w:val="22"/>
              </w:rPr>
              <w:t>Crianças e adolescentes a partir dos 6 anos de idade com peso igual ou superior a 40 kg</w:t>
            </w:r>
          </w:p>
        </w:tc>
        <w:tc>
          <w:tcPr>
            <w:tcW w:w="3031" w:type="dxa"/>
          </w:tcPr>
          <w:p w14:paraId="2E50E4D4" w14:textId="77777777" w:rsidR="00BD6D29" w:rsidRPr="00BD6D29" w:rsidRDefault="00615769" w:rsidP="00BD6D29">
            <w:pPr>
              <w:numPr>
                <w:ilvl w:val="12"/>
                <w:numId w:val="0"/>
              </w:numPr>
              <w:rPr>
                <w:sz w:val="22"/>
                <w:szCs w:val="22"/>
              </w:rPr>
            </w:pPr>
            <w:r w:rsidRPr="00BD6D29">
              <w:rPr>
                <w:sz w:val="22"/>
                <w:szCs w:val="22"/>
              </w:rPr>
              <w:t>Uma dose inicial de 160 mg (duas injeções de 80 mg num dia ou uma injeção de 80 mg por dia, em dois dias consecutivos), seguida de 80 mg (uma injeção de 80 mg) duas semanas após a dose inicial.</w:t>
            </w:r>
          </w:p>
          <w:p w14:paraId="70676358" w14:textId="77777777" w:rsidR="00BD6D29" w:rsidRPr="00BD6D29" w:rsidRDefault="00BD6D29" w:rsidP="00BD6D29">
            <w:pPr>
              <w:numPr>
                <w:ilvl w:val="12"/>
                <w:numId w:val="0"/>
              </w:numPr>
              <w:rPr>
                <w:sz w:val="22"/>
                <w:szCs w:val="22"/>
              </w:rPr>
            </w:pPr>
          </w:p>
          <w:p w14:paraId="495B0800" w14:textId="77777777" w:rsidR="00BD6D29" w:rsidRPr="00BD6D29" w:rsidRDefault="00615769" w:rsidP="00BD6D29">
            <w:pPr>
              <w:keepNext/>
              <w:numPr>
                <w:ilvl w:val="12"/>
                <w:numId w:val="0"/>
              </w:numPr>
              <w:suppressAutoHyphens/>
              <w:rPr>
                <w:sz w:val="22"/>
                <w:szCs w:val="22"/>
              </w:rPr>
            </w:pPr>
            <w:r w:rsidRPr="00BD6D29">
              <w:rPr>
                <w:sz w:val="22"/>
                <w:szCs w:val="22"/>
              </w:rPr>
              <w:t>Depois disso, a dose habitual é de 80 mg em semanas alternadas.</w:t>
            </w:r>
          </w:p>
        </w:tc>
        <w:tc>
          <w:tcPr>
            <w:tcW w:w="3018" w:type="dxa"/>
          </w:tcPr>
          <w:p w14:paraId="444ECA88" w14:textId="77777777" w:rsidR="00BD6D29" w:rsidRPr="00BD6D29" w:rsidRDefault="00615769" w:rsidP="00BD6D29">
            <w:pPr>
              <w:keepNext/>
              <w:numPr>
                <w:ilvl w:val="12"/>
                <w:numId w:val="0"/>
              </w:numPr>
              <w:suppressAutoHyphens/>
              <w:ind w:right="-2"/>
              <w:rPr>
                <w:sz w:val="22"/>
                <w:szCs w:val="22"/>
              </w:rPr>
            </w:pPr>
            <w:r w:rsidRPr="00BD6D29">
              <w:rPr>
                <w:sz w:val="22"/>
                <w:szCs w:val="22"/>
              </w:rPr>
              <w:t>Deve continuar a tomar a sua dose habitual de Humira, mesmo após completar 18 anos de idade.</w:t>
            </w:r>
          </w:p>
        </w:tc>
      </w:tr>
    </w:tbl>
    <w:p w14:paraId="671774FF" w14:textId="77777777" w:rsidR="00685047" w:rsidRPr="00740DE7" w:rsidRDefault="00615769" w:rsidP="00685047">
      <w:pPr>
        <w:ind w:right="-2"/>
        <w:rPr>
          <w:szCs w:val="22"/>
        </w:rPr>
      </w:pPr>
      <w:r w:rsidRPr="00740DE7">
        <w:rPr>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13"/>
        <w:gridCol w:w="3031"/>
      </w:tblGrid>
      <w:tr w:rsidR="00A7162A" w14:paraId="63DFA707" w14:textId="77777777" w:rsidTr="00691603">
        <w:tc>
          <w:tcPr>
            <w:tcW w:w="9287" w:type="dxa"/>
            <w:gridSpan w:val="3"/>
          </w:tcPr>
          <w:p w14:paraId="09F05453" w14:textId="77777777" w:rsidR="00685047" w:rsidRPr="00AA3C8F" w:rsidRDefault="00615769" w:rsidP="00691603">
            <w:pPr>
              <w:keepNext/>
              <w:numPr>
                <w:ilvl w:val="12"/>
                <w:numId w:val="0"/>
              </w:numPr>
              <w:suppressAutoHyphens/>
              <w:ind w:right="-2"/>
              <w:rPr>
                <w:b/>
                <w:sz w:val="22"/>
              </w:rPr>
            </w:pPr>
            <w:r>
              <w:rPr>
                <w:b/>
                <w:sz w:val="22"/>
                <w:szCs w:val="22"/>
              </w:rPr>
              <w:t>Uveíte não infecciosa</w:t>
            </w:r>
          </w:p>
        </w:tc>
      </w:tr>
      <w:tr w:rsidR="00A7162A" w14:paraId="4DF73530" w14:textId="77777777" w:rsidTr="00691603">
        <w:tc>
          <w:tcPr>
            <w:tcW w:w="3095" w:type="dxa"/>
          </w:tcPr>
          <w:p w14:paraId="16179E33" w14:textId="77777777" w:rsidR="00685047" w:rsidRPr="00AA3C8F" w:rsidRDefault="00615769" w:rsidP="00691603">
            <w:pPr>
              <w:keepNext/>
              <w:numPr>
                <w:ilvl w:val="12"/>
                <w:numId w:val="0"/>
              </w:numPr>
              <w:suppressAutoHyphens/>
              <w:ind w:right="-2"/>
              <w:rPr>
                <w:sz w:val="22"/>
              </w:rPr>
            </w:pPr>
            <w:r w:rsidRPr="00AA3C8F">
              <w:rPr>
                <w:b/>
                <w:sz w:val="22"/>
              </w:rPr>
              <w:t>Idade ou peso corporal</w:t>
            </w:r>
          </w:p>
        </w:tc>
        <w:tc>
          <w:tcPr>
            <w:tcW w:w="3096" w:type="dxa"/>
          </w:tcPr>
          <w:p w14:paraId="231CB829" w14:textId="77777777" w:rsidR="00685047" w:rsidRPr="006462E3" w:rsidRDefault="00615769" w:rsidP="00691603">
            <w:pPr>
              <w:keepNext/>
              <w:numPr>
                <w:ilvl w:val="12"/>
                <w:numId w:val="0"/>
              </w:numPr>
              <w:suppressAutoHyphens/>
              <w:ind w:right="-2"/>
              <w:rPr>
                <w:sz w:val="22"/>
              </w:rPr>
            </w:pPr>
            <w:r w:rsidRPr="00454F99">
              <w:rPr>
                <w:b/>
                <w:sz w:val="22"/>
              </w:rPr>
              <w:t>Qual a dose e com que frequênc</w:t>
            </w:r>
            <w:r w:rsidRPr="004F0FBC">
              <w:rPr>
                <w:b/>
                <w:sz w:val="22"/>
              </w:rPr>
              <w:t>ia se deve tomar?</w:t>
            </w:r>
          </w:p>
        </w:tc>
        <w:tc>
          <w:tcPr>
            <w:tcW w:w="3096" w:type="dxa"/>
          </w:tcPr>
          <w:p w14:paraId="1FD1C820" w14:textId="77777777" w:rsidR="00685047" w:rsidRPr="00AA3C8F" w:rsidRDefault="00615769" w:rsidP="00691603">
            <w:pPr>
              <w:keepNext/>
              <w:numPr>
                <w:ilvl w:val="12"/>
                <w:numId w:val="0"/>
              </w:numPr>
              <w:suppressAutoHyphens/>
              <w:ind w:right="-2"/>
              <w:rPr>
                <w:sz w:val="22"/>
              </w:rPr>
            </w:pPr>
            <w:r w:rsidRPr="00AA3C8F">
              <w:rPr>
                <w:b/>
                <w:sz w:val="22"/>
              </w:rPr>
              <w:t>Notas</w:t>
            </w:r>
          </w:p>
        </w:tc>
      </w:tr>
      <w:tr w:rsidR="00A7162A" w14:paraId="64A7627C" w14:textId="77777777" w:rsidTr="00691603">
        <w:tc>
          <w:tcPr>
            <w:tcW w:w="3095" w:type="dxa"/>
          </w:tcPr>
          <w:p w14:paraId="1FC049CE" w14:textId="77777777" w:rsidR="00685047" w:rsidRPr="00AA3C8F" w:rsidRDefault="00615769" w:rsidP="00691603">
            <w:pPr>
              <w:keepNext/>
              <w:numPr>
                <w:ilvl w:val="12"/>
                <w:numId w:val="0"/>
              </w:numPr>
              <w:suppressAutoHyphens/>
              <w:ind w:right="-2"/>
              <w:rPr>
                <w:sz w:val="22"/>
              </w:rPr>
            </w:pPr>
            <w:r w:rsidRPr="00AA3C8F">
              <w:rPr>
                <w:sz w:val="22"/>
              </w:rPr>
              <w:t>Adultos</w:t>
            </w:r>
          </w:p>
        </w:tc>
        <w:tc>
          <w:tcPr>
            <w:tcW w:w="3096" w:type="dxa"/>
          </w:tcPr>
          <w:p w14:paraId="2EDC35BC" w14:textId="77777777" w:rsidR="00685047" w:rsidRPr="00AA3C8F" w:rsidRDefault="00615769" w:rsidP="00691603">
            <w:pPr>
              <w:keepNext/>
              <w:numPr>
                <w:ilvl w:val="12"/>
                <w:numId w:val="0"/>
              </w:numPr>
              <w:suppressAutoHyphens/>
              <w:rPr>
                <w:sz w:val="22"/>
              </w:rPr>
            </w:pPr>
            <w:r w:rsidRPr="00454F99">
              <w:rPr>
                <w:sz w:val="22"/>
              </w:rPr>
              <w:t xml:space="preserve">Uma dose inicial de </w:t>
            </w:r>
            <w:r>
              <w:rPr>
                <w:sz w:val="22"/>
              </w:rPr>
              <w:t>8</w:t>
            </w:r>
            <w:r w:rsidRPr="00454F99">
              <w:rPr>
                <w:sz w:val="22"/>
              </w:rPr>
              <w:t>0 mg (</w:t>
            </w:r>
            <w:r>
              <w:rPr>
                <w:sz w:val="22"/>
              </w:rPr>
              <w:t xml:space="preserve">uma injeção </w:t>
            </w:r>
            <w:r w:rsidRPr="00454F99">
              <w:rPr>
                <w:sz w:val="22"/>
              </w:rPr>
              <w:t xml:space="preserve">de </w:t>
            </w:r>
            <w:r>
              <w:rPr>
                <w:sz w:val="22"/>
              </w:rPr>
              <w:t>8</w:t>
            </w:r>
            <w:r w:rsidRPr="00454F99">
              <w:rPr>
                <w:sz w:val="22"/>
              </w:rPr>
              <w:t>0</w:t>
            </w:r>
            <w:r w:rsidRPr="004F0FBC">
              <w:rPr>
                <w:sz w:val="22"/>
              </w:rPr>
              <w:t> </w:t>
            </w:r>
            <w:r w:rsidRPr="006462E3">
              <w:rPr>
                <w:sz w:val="22"/>
              </w:rPr>
              <w:t>mg</w:t>
            </w:r>
            <w:r w:rsidRPr="00854C93">
              <w:rPr>
                <w:sz w:val="22"/>
              </w:rPr>
              <w:t xml:space="preserve">), seguida de </w:t>
            </w:r>
            <w:r>
              <w:rPr>
                <w:sz w:val="22"/>
              </w:rPr>
              <w:t>4</w:t>
            </w:r>
            <w:r w:rsidRPr="00854C93">
              <w:rPr>
                <w:sz w:val="22"/>
              </w:rPr>
              <w:t>0</w:t>
            </w:r>
            <w:r w:rsidRPr="0089156B">
              <w:rPr>
                <w:sz w:val="22"/>
              </w:rPr>
              <w:t> </w:t>
            </w:r>
            <w:r w:rsidRPr="004931CE">
              <w:rPr>
                <w:sz w:val="22"/>
              </w:rPr>
              <w:t>mg</w:t>
            </w:r>
            <w:r>
              <w:rPr>
                <w:sz w:val="22"/>
              </w:rPr>
              <w:t xml:space="preserve"> em semanas alternadas, uma</w:t>
            </w:r>
            <w:r w:rsidRPr="00AA3C8F">
              <w:rPr>
                <w:sz w:val="22"/>
              </w:rPr>
              <w:t xml:space="preserve"> semana após a dose inicial.</w:t>
            </w:r>
          </w:p>
        </w:tc>
        <w:tc>
          <w:tcPr>
            <w:tcW w:w="3096" w:type="dxa"/>
          </w:tcPr>
          <w:p w14:paraId="5106353A" w14:textId="77777777" w:rsidR="00685047" w:rsidRPr="00C40041" w:rsidRDefault="00615769" w:rsidP="00691603">
            <w:pPr>
              <w:keepNext/>
              <w:rPr>
                <w:b/>
                <w:bCs/>
                <w:sz w:val="22"/>
                <w:szCs w:val="22"/>
              </w:rPr>
            </w:pPr>
            <w:r w:rsidRPr="00C40041">
              <w:rPr>
                <w:bCs/>
                <w:sz w:val="22"/>
                <w:szCs w:val="22"/>
              </w:rPr>
              <w:t>Pode continuar a utilizar corticosteroides ou outros medicamentos que influenciam o sistema imunitário enquanto se usa Humira. Humira pode ser usado isoladamente.</w:t>
            </w:r>
          </w:p>
          <w:p w14:paraId="7634DA4B" w14:textId="77777777" w:rsidR="00685047" w:rsidRPr="00AA3C8F" w:rsidRDefault="00685047" w:rsidP="00691603">
            <w:pPr>
              <w:keepNext/>
              <w:numPr>
                <w:ilvl w:val="12"/>
                <w:numId w:val="0"/>
              </w:numPr>
              <w:suppressAutoHyphens/>
              <w:ind w:right="-2"/>
              <w:rPr>
                <w:sz w:val="22"/>
              </w:rPr>
            </w:pPr>
          </w:p>
        </w:tc>
      </w:tr>
      <w:tr w:rsidR="00A7162A" w14:paraId="26A4A628" w14:textId="77777777" w:rsidTr="00691603">
        <w:tc>
          <w:tcPr>
            <w:tcW w:w="3095" w:type="dxa"/>
          </w:tcPr>
          <w:p w14:paraId="047A16FA" w14:textId="77777777" w:rsidR="00573B3A" w:rsidRPr="00AA3C8F" w:rsidRDefault="00615769" w:rsidP="00691603">
            <w:pPr>
              <w:keepNext/>
              <w:numPr>
                <w:ilvl w:val="12"/>
                <w:numId w:val="0"/>
              </w:numPr>
              <w:suppressAutoHyphens/>
              <w:ind w:right="-2"/>
              <w:rPr>
                <w:sz w:val="22"/>
              </w:rPr>
            </w:pPr>
            <w:r>
              <w:rPr>
                <w:sz w:val="22"/>
              </w:rPr>
              <w:t>Crianças</w:t>
            </w:r>
            <w:r w:rsidR="000F0FD1">
              <w:rPr>
                <w:sz w:val="22"/>
              </w:rPr>
              <w:t xml:space="preserve"> e adolescentes</w:t>
            </w:r>
            <w:r>
              <w:rPr>
                <w:sz w:val="22"/>
              </w:rPr>
              <w:t xml:space="preserve"> a partir dos 2 anos de idade com peso inferior a 30 kg</w:t>
            </w:r>
          </w:p>
        </w:tc>
        <w:tc>
          <w:tcPr>
            <w:tcW w:w="3096" w:type="dxa"/>
          </w:tcPr>
          <w:p w14:paraId="5AD025D2" w14:textId="77777777" w:rsidR="00573B3A" w:rsidRPr="00454F99" w:rsidRDefault="00615769" w:rsidP="00691603">
            <w:pPr>
              <w:keepNext/>
              <w:numPr>
                <w:ilvl w:val="12"/>
                <w:numId w:val="0"/>
              </w:numPr>
              <w:suppressAutoHyphens/>
              <w:rPr>
                <w:sz w:val="22"/>
              </w:rPr>
            </w:pPr>
            <w:r>
              <w:rPr>
                <w:sz w:val="22"/>
              </w:rPr>
              <w:t>20 mg em semanas alternadas</w:t>
            </w:r>
          </w:p>
        </w:tc>
        <w:tc>
          <w:tcPr>
            <w:tcW w:w="3096" w:type="dxa"/>
          </w:tcPr>
          <w:p w14:paraId="7E47E18C" w14:textId="77777777" w:rsidR="00573B3A" w:rsidRPr="00C40041" w:rsidRDefault="00615769" w:rsidP="00691603">
            <w:pPr>
              <w:keepNext/>
              <w:rPr>
                <w:bCs/>
                <w:sz w:val="22"/>
                <w:szCs w:val="22"/>
              </w:rPr>
            </w:pPr>
            <w:r>
              <w:rPr>
                <w:bCs/>
                <w:sz w:val="22"/>
                <w:szCs w:val="22"/>
              </w:rPr>
              <w:t>O seu médico pode prescrever uma dose inicial de 40 mg que pode ser administrada uma semana antes do início da dose habitual de 20 mg em semanas alternadas. Recomenda-se a utilização de Humira em associação com metotrexato.</w:t>
            </w:r>
          </w:p>
        </w:tc>
      </w:tr>
      <w:tr w:rsidR="00A7162A" w14:paraId="4CB3F2A5" w14:textId="77777777" w:rsidTr="00691603">
        <w:tc>
          <w:tcPr>
            <w:tcW w:w="3095" w:type="dxa"/>
          </w:tcPr>
          <w:p w14:paraId="15870E65" w14:textId="77777777" w:rsidR="00573B3A" w:rsidRPr="00AA3C8F" w:rsidRDefault="00615769">
            <w:pPr>
              <w:keepNext/>
              <w:numPr>
                <w:ilvl w:val="12"/>
                <w:numId w:val="0"/>
              </w:numPr>
              <w:suppressAutoHyphens/>
              <w:ind w:right="-2"/>
              <w:rPr>
                <w:sz w:val="22"/>
              </w:rPr>
            </w:pPr>
            <w:r>
              <w:rPr>
                <w:sz w:val="22"/>
              </w:rPr>
              <w:t xml:space="preserve">Crianças </w:t>
            </w:r>
            <w:r w:rsidR="000F0FD1">
              <w:rPr>
                <w:sz w:val="22"/>
              </w:rPr>
              <w:t xml:space="preserve">e adolescentes </w:t>
            </w:r>
            <w:r>
              <w:rPr>
                <w:sz w:val="22"/>
              </w:rPr>
              <w:t xml:space="preserve">a partir dos 2 anos de idade com </w:t>
            </w:r>
            <w:r w:rsidR="000F0FD1">
              <w:rPr>
                <w:sz w:val="22"/>
              </w:rPr>
              <w:t>peso igual ou superior a</w:t>
            </w:r>
            <w:r>
              <w:rPr>
                <w:sz w:val="22"/>
              </w:rPr>
              <w:t xml:space="preserve"> 30 kg</w:t>
            </w:r>
          </w:p>
        </w:tc>
        <w:tc>
          <w:tcPr>
            <w:tcW w:w="3096" w:type="dxa"/>
          </w:tcPr>
          <w:p w14:paraId="79400591" w14:textId="77777777" w:rsidR="00573B3A" w:rsidRPr="00454F99" w:rsidRDefault="00615769" w:rsidP="00691603">
            <w:pPr>
              <w:keepNext/>
              <w:numPr>
                <w:ilvl w:val="12"/>
                <w:numId w:val="0"/>
              </w:numPr>
              <w:suppressAutoHyphens/>
              <w:rPr>
                <w:sz w:val="22"/>
              </w:rPr>
            </w:pPr>
            <w:r>
              <w:rPr>
                <w:sz w:val="22"/>
              </w:rPr>
              <w:t>40 mg em semanas alternadas</w:t>
            </w:r>
          </w:p>
        </w:tc>
        <w:tc>
          <w:tcPr>
            <w:tcW w:w="3096" w:type="dxa"/>
          </w:tcPr>
          <w:p w14:paraId="28227374" w14:textId="77777777" w:rsidR="00573B3A" w:rsidRPr="00C40041" w:rsidRDefault="00615769" w:rsidP="00691603">
            <w:pPr>
              <w:keepNext/>
              <w:rPr>
                <w:bCs/>
                <w:sz w:val="22"/>
                <w:szCs w:val="22"/>
              </w:rPr>
            </w:pPr>
            <w:r>
              <w:rPr>
                <w:bCs/>
                <w:sz w:val="22"/>
                <w:szCs w:val="22"/>
              </w:rPr>
              <w:t>O seu médico pode prescrever uma dose inicial de 80 mg que pode ser administrada uma semana antes do início da dose habitual de 40 mg em semanas alternadas. Recomenda-se a utilização de Humira em associação com metotrexato.</w:t>
            </w:r>
          </w:p>
        </w:tc>
      </w:tr>
    </w:tbl>
    <w:p w14:paraId="2E70850D" w14:textId="77777777" w:rsidR="00685047" w:rsidRPr="008912CF" w:rsidRDefault="00685047" w:rsidP="00685047">
      <w:pPr>
        <w:pStyle w:val="BodyText3"/>
      </w:pPr>
    </w:p>
    <w:p w14:paraId="2DAD06C9" w14:textId="77777777" w:rsidR="00685047" w:rsidRPr="008912CF" w:rsidRDefault="00615769" w:rsidP="00685047">
      <w:pPr>
        <w:pStyle w:val="BodyText3"/>
        <w:rPr>
          <w:b/>
          <w:bCs/>
        </w:rPr>
      </w:pPr>
      <w:r w:rsidRPr="008912CF">
        <w:rPr>
          <w:b/>
          <w:bCs/>
        </w:rPr>
        <w:t>Modo e via de administração</w:t>
      </w:r>
    </w:p>
    <w:p w14:paraId="61EA164C" w14:textId="77777777" w:rsidR="00685047" w:rsidRPr="008912CF" w:rsidRDefault="00685047" w:rsidP="00685047">
      <w:pPr>
        <w:ind w:right="-2"/>
        <w:rPr>
          <w:sz w:val="22"/>
          <w:szCs w:val="22"/>
        </w:rPr>
      </w:pPr>
    </w:p>
    <w:p w14:paraId="6C66542C" w14:textId="77777777" w:rsidR="00685047" w:rsidRPr="008912CF" w:rsidRDefault="00615769" w:rsidP="00685047">
      <w:pPr>
        <w:ind w:right="-2"/>
        <w:rPr>
          <w:sz w:val="22"/>
          <w:szCs w:val="22"/>
        </w:rPr>
      </w:pPr>
      <w:r w:rsidRPr="008912CF">
        <w:rPr>
          <w:sz w:val="22"/>
          <w:szCs w:val="22"/>
        </w:rPr>
        <w:t>Humira é administrado por injeção debaixo da pele (via subcutânea).</w:t>
      </w:r>
    </w:p>
    <w:p w14:paraId="2CB811C6" w14:textId="77777777" w:rsidR="00685047" w:rsidRPr="008912CF" w:rsidRDefault="00685047" w:rsidP="00685047">
      <w:pPr>
        <w:pStyle w:val="BodyText3"/>
      </w:pPr>
    </w:p>
    <w:p w14:paraId="2C8EA116" w14:textId="77777777" w:rsidR="00685047" w:rsidRPr="008B0DDF" w:rsidRDefault="00615769" w:rsidP="00685047">
      <w:pPr>
        <w:ind w:right="-2"/>
        <w:rPr>
          <w:b/>
          <w:sz w:val="22"/>
          <w:szCs w:val="22"/>
        </w:rPr>
      </w:pPr>
      <w:r w:rsidRPr="008B0DDF">
        <w:rPr>
          <w:b/>
          <w:sz w:val="22"/>
          <w:szCs w:val="22"/>
        </w:rPr>
        <w:t xml:space="preserve">Instruções detalhadas sobre como administrar a injeção de Humira </w:t>
      </w:r>
      <w:r w:rsidRPr="00454F99">
        <w:rPr>
          <w:b/>
          <w:sz w:val="22"/>
          <w:szCs w:val="22"/>
        </w:rPr>
        <w:t>estão</w:t>
      </w:r>
      <w:r w:rsidRPr="008B0DDF">
        <w:rPr>
          <w:b/>
          <w:sz w:val="22"/>
          <w:szCs w:val="22"/>
        </w:rPr>
        <w:t xml:space="preserve"> indicadas na secção 7 “</w:t>
      </w:r>
      <w:r w:rsidR="002B1873">
        <w:rPr>
          <w:b/>
          <w:sz w:val="22"/>
          <w:szCs w:val="22"/>
        </w:rPr>
        <w:t>Injetar Humira</w:t>
      </w:r>
      <w:r w:rsidRPr="008B0DDF">
        <w:rPr>
          <w:b/>
          <w:sz w:val="22"/>
          <w:szCs w:val="22"/>
        </w:rPr>
        <w:t>”.</w:t>
      </w:r>
    </w:p>
    <w:p w14:paraId="76C69FC2" w14:textId="77777777" w:rsidR="00685047" w:rsidRPr="008B0DDF" w:rsidRDefault="00685047" w:rsidP="00685047">
      <w:pPr>
        <w:jc w:val="center"/>
        <w:rPr>
          <w:sz w:val="22"/>
          <w:szCs w:val="22"/>
        </w:rPr>
      </w:pPr>
    </w:p>
    <w:p w14:paraId="3CEBBC5B" w14:textId="77777777" w:rsidR="00685047" w:rsidRPr="008B0DDF" w:rsidRDefault="00615769" w:rsidP="00685047">
      <w:pPr>
        <w:keepNext/>
        <w:rPr>
          <w:b/>
          <w:sz w:val="22"/>
          <w:szCs w:val="22"/>
        </w:rPr>
      </w:pPr>
      <w:r w:rsidRPr="008B0DDF">
        <w:rPr>
          <w:b/>
          <w:sz w:val="22"/>
          <w:szCs w:val="22"/>
        </w:rPr>
        <w:t>Se utilizar mais Humira do que deveria</w:t>
      </w:r>
    </w:p>
    <w:p w14:paraId="3AA5B1AC" w14:textId="77777777" w:rsidR="00685047" w:rsidRPr="008B0DDF" w:rsidRDefault="00685047" w:rsidP="00685047">
      <w:pPr>
        <w:keepNext/>
        <w:rPr>
          <w:sz w:val="22"/>
          <w:szCs w:val="22"/>
        </w:rPr>
      </w:pPr>
    </w:p>
    <w:p w14:paraId="019DD952" w14:textId="77777777" w:rsidR="00685047" w:rsidRPr="008B0DDF" w:rsidRDefault="00615769" w:rsidP="00685047">
      <w:pPr>
        <w:pStyle w:val="BodyText2"/>
        <w:keepNext/>
        <w:autoSpaceDE/>
        <w:autoSpaceDN/>
        <w:adjustRightInd/>
        <w:rPr>
          <w:szCs w:val="22"/>
        </w:rPr>
      </w:pPr>
      <w:r w:rsidRPr="008B0DDF">
        <w:rPr>
          <w:szCs w:val="22"/>
        </w:rPr>
        <w:t xml:space="preserve">Se injetar acidentalmente Humira mais frequentemente do que o prescrito contacte o seu médico ou farmacêutico e informe-os de que utilizou mais do que devia. Leve sempre consigo a embalagem exterior do medicamento, mesmo que esteja vazia. </w:t>
      </w:r>
    </w:p>
    <w:p w14:paraId="1FA6DD5B" w14:textId="77777777" w:rsidR="00685047" w:rsidRPr="008B0DDF" w:rsidRDefault="00685047" w:rsidP="00685047">
      <w:pPr>
        <w:rPr>
          <w:sz w:val="22"/>
          <w:szCs w:val="22"/>
        </w:rPr>
      </w:pPr>
    </w:p>
    <w:p w14:paraId="5F86B93C" w14:textId="77777777" w:rsidR="00685047" w:rsidRPr="008B0DDF" w:rsidRDefault="00615769" w:rsidP="00683E8D">
      <w:pPr>
        <w:keepNext/>
        <w:rPr>
          <w:sz w:val="22"/>
          <w:szCs w:val="22"/>
        </w:rPr>
      </w:pPr>
      <w:r w:rsidRPr="008B0DDF">
        <w:rPr>
          <w:b/>
          <w:sz w:val="22"/>
          <w:szCs w:val="22"/>
        </w:rPr>
        <w:t>Caso se tenha esquecido de utilizar</w:t>
      </w:r>
      <w:r w:rsidRPr="008B0DDF">
        <w:rPr>
          <w:b/>
          <w:bCs/>
          <w:sz w:val="22"/>
          <w:szCs w:val="22"/>
        </w:rPr>
        <w:t xml:space="preserve"> Humira</w:t>
      </w:r>
    </w:p>
    <w:p w14:paraId="4E7D1B95" w14:textId="77777777" w:rsidR="00685047" w:rsidRPr="008B0DDF" w:rsidRDefault="00685047" w:rsidP="00683E8D">
      <w:pPr>
        <w:keepNext/>
        <w:rPr>
          <w:sz w:val="22"/>
          <w:szCs w:val="22"/>
        </w:rPr>
      </w:pPr>
    </w:p>
    <w:p w14:paraId="30981120" w14:textId="77777777" w:rsidR="00685047" w:rsidRPr="008B0DDF" w:rsidRDefault="00615769" w:rsidP="00683E8D">
      <w:pPr>
        <w:keepNext/>
        <w:ind w:right="-2"/>
        <w:rPr>
          <w:sz w:val="22"/>
          <w:szCs w:val="22"/>
        </w:rPr>
      </w:pPr>
      <w:r w:rsidRPr="008B0DDF">
        <w:rPr>
          <w:sz w:val="22"/>
          <w:szCs w:val="22"/>
        </w:rPr>
        <w:t xml:space="preserve">Caso se tenha esquecido de administrar uma injeção, administre a próxima dose de Humira logo que se lembrar. Administre a dose seguinte conforme prescrito, como se não tivesse omitido a dose anterior. </w:t>
      </w:r>
    </w:p>
    <w:p w14:paraId="54D5C4FA" w14:textId="77777777" w:rsidR="00685047" w:rsidRPr="008B0DDF" w:rsidRDefault="00685047" w:rsidP="00685047">
      <w:pPr>
        <w:suppressAutoHyphens/>
        <w:rPr>
          <w:b/>
          <w:sz w:val="22"/>
          <w:szCs w:val="22"/>
        </w:rPr>
      </w:pPr>
    </w:p>
    <w:p w14:paraId="27F2882F" w14:textId="77777777" w:rsidR="00685047" w:rsidRPr="008B0DDF" w:rsidRDefault="00615769" w:rsidP="00685047">
      <w:pPr>
        <w:suppressAutoHyphens/>
        <w:rPr>
          <w:sz w:val="22"/>
          <w:szCs w:val="22"/>
        </w:rPr>
      </w:pPr>
      <w:r w:rsidRPr="008B0DDF">
        <w:rPr>
          <w:b/>
          <w:sz w:val="22"/>
          <w:szCs w:val="22"/>
        </w:rPr>
        <w:t>Se parar de utilizar Humira</w:t>
      </w:r>
    </w:p>
    <w:p w14:paraId="1E5F32FE" w14:textId="77777777" w:rsidR="00685047" w:rsidRPr="008B0DDF" w:rsidRDefault="00685047" w:rsidP="00685047">
      <w:pPr>
        <w:rPr>
          <w:sz w:val="22"/>
          <w:szCs w:val="22"/>
        </w:rPr>
      </w:pPr>
    </w:p>
    <w:p w14:paraId="4533EB6D" w14:textId="77777777" w:rsidR="00685047" w:rsidRPr="008B0DDF" w:rsidRDefault="00615769" w:rsidP="00685047">
      <w:pPr>
        <w:rPr>
          <w:sz w:val="22"/>
          <w:szCs w:val="22"/>
        </w:rPr>
      </w:pPr>
      <w:r w:rsidRPr="008B0DDF">
        <w:rPr>
          <w:sz w:val="22"/>
          <w:szCs w:val="22"/>
        </w:rPr>
        <w:t>A decisão de parar de utilizar Humira deve ser avaliada com o seu médico. Os seus sintomas podem voltar se parar de utilizar Humira.</w:t>
      </w:r>
    </w:p>
    <w:p w14:paraId="73DB946E" w14:textId="77777777" w:rsidR="00685047" w:rsidRPr="008B0DDF" w:rsidRDefault="00685047" w:rsidP="00685047">
      <w:pPr>
        <w:rPr>
          <w:sz w:val="22"/>
          <w:szCs w:val="22"/>
        </w:rPr>
      </w:pPr>
    </w:p>
    <w:p w14:paraId="49DA2603" w14:textId="77777777" w:rsidR="00685047" w:rsidRPr="008B0DDF" w:rsidRDefault="00615769" w:rsidP="00685047">
      <w:pPr>
        <w:ind w:right="-2"/>
        <w:rPr>
          <w:sz w:val="22"/>
          <w:szCs w:val="22"/>
        </w:rPr>
      </w:pPr>
      <w:r w:rsidRPr="008B0DDF">
        <w:rPr>
          <w:sz w:val="22"/>
          <w:szCs w:val="22"/>
        </w:rPr>
        <w:t xml:space="preserve">Caso </w:t>
      </w:r>
      <w:r w:rsidR="00954510">
        <w:rPr>
          <w:sz w:val="22"/>
          <w:szCs w:val="22"/>
        </w:rPr>
        <w:t xml:space="preserve">ainda </w:t>
      </w:r>
      <w:r w:rsidRPr="008B0DDF">
        <w:rPr>
          <w:sz w:val="22"/>
          <w:szCs w:val="22"/>
        </w:rPr>
        <w:t>tenha dúvidas sobre a utilização deste medicamento, fale com o seu médico ou farmacêutico.</w:t>
      </w:r>
    </w:p>
    <w:p w14:paraId="50F12A37" w14:textId="77777777" w:rsidR="00685047" w:rsidRPr="008B0DDF" w:rsidRDefault="00685047" w:rsidP="00685047">
      <w:pPr>
        <w:ind w:right="-2"/>
        <w:rPr>
          <w:sz w:val="22"/>
          <w:szCs w:val="22"/>
        </w:rPr>
      </w:pPr>
    </w:p>
    <w:p w14:paraId="4EED53C0" w14:textId="77777777" w:rsidR="00685047" w:rsidRPr="008B0DDF" w:rsidRDefault="00685047" w:rsidP="00685047">
      <w:pPr>
        <w:ind w:right="-2"/>
        <w:rPr>
          <w:sz w:val="22"/>
          <w:szCs w:val="22"/>
        </w:rPr>
      </w:pPr>
    </w:p>
    <w:p w14:paraId="01B2C971" w14:textId="77777777" w:rsidR="00685047" w:rsidRPr="008B0DDF" w:rsidRDefault="00615769" w:rsidP="003A1AEF">
      <w:pPr>
        <w:keepNext/>
        <w:ind w:left="567" w:hanging="567"/>
        <w:rPr>
          <w:sz w:val="22"/>
          <w:szCs w:val="22"/>
        </w:rPr>
      </w:pPr>
      <w:r w:rsidRPr="008B0DDF">
        <w:rPr>
          <w:b/>
          <w:sz w:val="22"/>
          <w:szCs w:val="22"/>
        </w:rPr>
        <w:t>4.</w:t>
      </w:r>
      <w:r w:rsidRPr="008B0DDF">
        <w:rPr>
          <w:b/>
          <w:sz w:val="22"/>
          <w:szCs w:val="22"/>
        </w:rPr>
        <w:tab/>
        <w:t xml:space="preserve">Efeitos </w:t>
      </w:r>
      <w:r w:rsidR="00571C82">
        <w:rPr>
          <w:b/>
          <w:sz w:val="22"/>
          <w:szCs w:val="22"/>
        </w:rPr>
        <w:t>indesejáveis</w:t>
      </w:r>
      <w:r w:rsidRPr="008B0DDF">
        <w:rPr>
          <w:b/>
          <w:sz w:val="22"/>
          <w:szCs w:val="22"/>
        </w:rPr>
        <w:t xml:space="preserve"> possíveis </w:t>
      </w:r>
    </w:p>
    <w:p w14:paraId="42E69B9D" w14:textId="77777777" w:rsidR="00685047" w:rsidRPr="008B0DDF" w:rsidRDefault="00685047" w:rsidP="003A1AEF">
      <w:pPr>
        <w:keepNext/>
        <w:ind w:right="-2"/>
        <w:rPr>
          <w:sz w:val="22"/>
          <w:szCs w:val="22"/>
        </w:rPr>
      </w:pPr>
    </w:p>
    <w:p w14:paraId="23ECAC48" w14:textId="77777777" w:rsidR="00685047" w:rsidRPr="008B0DDF" w:rsidRDefault="00615769" w:rsidP="003A1AEF">
      <w:pPr>
        <w:keepNext/>
        <w:rPr>
          <w:sz w:val="22"/>
          <w:szCs w:val="22"/>
        </w:rPr>
      </w:pPr>
      <w:r w:rsidRPr="008B0DDF">
        <w:rPr>
          <w:sz w:val="22"/>
          <w:szCs w:val="22"/>
        </w:rPr>
        <w:t xml:space="preserve">Como todos os medicamentos, este medicamento pode causar efeitos </w:t>
      </w:r>
      <w:r w:rsidR="00571C82">
        <w:rPr>
          <w:sz w:val="22"/>
          <w:szCs w:val="22"/>
        </w:rPr>
        <w:t>indesejáveis</w:t>
      </w:r>
      <w:r w:rsidRPr="008B0DDF">
        <w:rPr>
          <w:sz w:val="22"/>
          <w:szCs w:val="22"/>
        </w:rPr>
        <w:t xml:space="preserve">, embora estes não se manifestem em todas as pessoas. A maioria dos efeitos </w:t>
      </w:r>
      <w:r w:rsidR="00571C82">
        <w:rPr>
          <w:sz w:val="22"/>
          <w:szCs w:val="22"/>
        </w:rPr>
        <w:t>indesejáveis</w:t>
      </w:r>
      <w:r w:rsidRPr="008B0DDF">
        <w:rPr>
          <w:sz w:val="22"/>
          <w:szCs w:val="22"/>
        </w:rPr>
        <w:t xml:space="preserve"> são ligeiros a moderados. No entanto, alguns podem ser graves e requerer tratamento. Podem ocorrer efeitos </w:t>
      </w:r>
      <w:r w:rsidR="00571C82">
        <w:rPr>
          <w:sz w:val="22"/>
          <w:szCs w:val="22"/>
        </w:rPr>
        <w:t>indesejáveis</w:t>
      </w:r>
      <w:r w:rsidRPr="008B0DDF">
        <w:rPr>
          <w:sz w:val="22"/>
          <w:szCs w:val="22"/>
        </w:rPr>
        <w:t xml:space="preserve"> pelo menos</w:t>
      </w:r>
      <w:r w:rsidR="007C7D86">
        <w:rPr>
          <w:sz w:val="22"/>
          <w:szCs w:val="22"/>
        </w:rPr>
        <w:t xml:space="preserve"> até</w:t>
      </w:r>
      <w:r w:rsidRPr="008B0DDF">
        <w:rPr>
          <w:sz w:val="22"/>
          <w:szCs w:val="22"/>
        </w:rPr>
        <w:t xml:space="preserve"> 4 meses após a última injeção de Humira.</w:t>
      </w:r>
    </w:p>
    <w:p w14:paraId="499A1342" w14:textId="77777777" w:rsidR="00685047" w:rsidRPr="008B0DDF" w:rsidRDefault="00685047" w:rsidP="00685047">
      <w:pPr>
        <w:rPr>
          <w:sz w:val="22"/>
          <w:szCs w:val="22"/>
        </w:rPr>
      </w:pPr>
    </w:p>
    <w:p w14:paraId="36E1A14B" w14:textId="77777777" w:rsidR="00685047" w:rsidRPr="004F0FBC" w:rsidRDefault="00615769" w:rsidP="00685047">
      <w:pPr>
        <w:pStyle w:val="EndnoteText"/>
        <w:tabs>
          <w:tab w:val="clear" w:pos="567"/>
        </w:tabs>
        <w:rPr>
          <w:szCs w:val="22"/>
        </w:rPr>
      </w:pPr>
      <w:r w:rsidRPr="008B0DDF">
        <w:rPr>
          <w:b/>
          <w:szCs w:val="22"/>
        </w:rPr>
        <w:t>I</w:t>
      </w:r>
      <w:r w:rsidRPr="00D87764">
        <w:rPr>
          <w:b/>
          <w:szCs w:val="22"/>
        </w:rPr>
        <w:t>nforme imediatamente o seu médico se tiver algum dos seguintes sintomas</w:t>
      </w:r>
    </w:p>
    <w:p w14:paraId="08F59DAE" w14:textId="77777777" w:rsidR="00685047" w:rsidRPr="006462E3" w:rsidRDefault="00685047" w:rsidP="00685047">
      <w:pPr>
        <w:rPr>
          <w:sz w:val="22"/>
          <w:szCs w:val="22"/>
        </w:rPr>
      </w:pPr>
    </w:p>
    <w:p w14:paraId="51AED11C" w14:textId="77777777" w:rsidR="00685047" w:rsidRPr="0093225C" w:rsidRDefault="00615769" w:rsidP="00CC2ACC">
      <w:pPr>
        <w:pStyle w:val="EMEABullet2"/>
        <w:keepNext/>
        <w:numPr>
          <w:ilvl w:val="1"/>
          <w:numId w:val="58"/>
        </w:numPr>
        <w:tabs>
          <w:tab w:val="num" w:pos="360"/>
          <w:tab w:val="num" w:pos="720"/>
        </w:tabs>
        <w:ind w:left="547" w:hanging="547"/>
        <w:rPr>
          <w:szCs w:val="22"/>
          <w:lang w:val="pt-PT"/>
        </w:rPr>
      </w:pPr>
      <w:r w:rsidRPr="0093225C">
        <w:rPr>
          <w:szCs w:val="22"/>
          <w:lang w:val="pt-PT"/>
        </w:rPr>
        <w:t>pele muito irritada, comichão ou outros sinais de reação alérgica</w:t>
      </w:r>
    </w:p>
    <w:p w14:paraId="3A990227" w14:textId="77777777" w:rsidR="00685047" w:rsidRPr="00CC2ACC" w:rsidRDefault="00615769" w:rsidP="00CC2ACC">
      <w:pPr>
        <w:pStyle w:val="EMEABullet2"/>
        <w:keepNext/>
        <w:numPr>
          <w:ilvl w:val="1"/>
          <w:numId w:val="58"/>
        </w:numPr>
        <w:tabs>
          <w:tab w:val="num" w:pos="360"/>
          <w:tab w:val="num" w:pos="720"/>
        </w:tabs>
        <w:ind w:left="547" w:hanging="547"/>
        <w:rPr>
          <w:rFonts w:eastAsia="Times New Roman"/>
          <w:lang w:val="en-GB"/>
        </w:rPr>
      </w:pPr>
      <w:r w:rsidRPr="00CC2ACC">
        <w:rPr>
          <w:rFonts w:eastAsia="Times New Roman"/>
          <w:lang w:val="en-GB"/>
        </w:rPr>
        <w:t>inchaço da face, mãos, pés</w:t>
      </w:r>
    </w:p>
    <w:p w14:paraId="1AF469FD" w14:textId="77777777" w:rsidR="00685047" w:rsidRPr="007C7D86" w:rsidRDefault="00615769" w:rsidP="00CC2ACC">
      <w:pPr>
        <w:pStyle w:val="EMEABullet2"/>
        <w:keepNext/>
        <w:numPr>
          <w:ilvl w:val="1"/>
          <w:numId w:val="58"/>
        </w:numPr>
        <w:tabs>
          <w:tab w:val="num" w:pos="360"/>
          <w:tab w:val="num" w:pos="720"/>
        </w:tabs>
        <w:ind w:left="547" w:hanging="547"/>
        <w:rPr>
          <w:rFonts w:eastAsia="Times New Roman"/>
          <w:lang w:val="pt-PT"/>
        </w:rPr>
      </w:pPr>
      <w:r w:rsidRPr="007C7D86">
        <w:rPr>
          <w:rFonts w:eastAsia="Times New Roman"/>
          <w:lang w:val="pt-PT"/>
        </w:rPr>
        <w:t>dificuldade</w:t>
      </w:r>
      <w:r w:rsidR="007C7D86" w:rsidRPr="007C7D86">
        <w:rPr>
          <w:rFonts w:eastAsia="Times New Roman"/>
          <w:lang w:val="pt-PT"/>
        </w:rPr>
        <w:t>s</w:t>
      </w:r>
      <w:r w:rsidRPr="007C7D86">
        <w:rPr>
          <w:rFonts w:eastAsia="Times New Roman"/>
          <w:lang w:val="pt-PT"/>
        </w:rPr>
        <w:t xml:space="preserve"> em respirar, em engolir</w:t>
      </w:r>
    </w:p>
    <w:p w14:paraId="2D92BDE4" w14:textId="77777777" w:rsidR="00685047" w:rsidRPr="0093225C" w:rsidRDefault="00615769" w:rsidP="00CC2ACC">
      <w:pPr>
        <w:pStyle w:val="EMEABullet2"/>
        <w:keepNext/>
        <w:numPr>
          <w:ilvl w:val="1"/>
          <w:numId w:val="58"/>
        </w:numPr>
        <w:tabs>
          <w:tab w:val="num" w:pos="360"/>
          <w:tab w:val="num" w:pos="720"/>
        </w:tabs>
        <w:ind w:left="547" w:hanging="547"/>
        <w:rPr>
          <w:szCs w:val="22"/>
          <w:lang w:val="pt-PT"/>
        </w:rPr>
      </w:pPr>
      <w:r w:rsidRPr="0093225C">
        <w:rPr>
          <w:rFonts w:eastAsia="Times New Roman"/>
          <w:lang w:val="pt-PT"/>
        </w:rPr>
        <w:t>fa</w:t>
      </w:r>
      <w:r w:rsidRPr="0093225C">
        <w:rPr>
          <w:szCs w:val="22"/>
          <w:lang w:val="pt-PT"/>
        </w:rPr>
        <w:t>lta de ar durante atividade física ou quando deitado ou inchaço dos pés</w:t>
      </w:r>
    </w:p>
    <w:p w14:paraId="718BA965" w14:textId="77777777" w:rsidR="00685047" w:rsidRPr="00D33370" w:rsidRDefault="00685047" w:rsidP="00685047">
      <w:pPr>
        <w:tabs>
          <w:tab w:val="num" w:pos="1440"/>
        </w:tabs>
        <w:rPr>
          <w:sz w:val="22"/>
          <w:szCs w:val="22"/>
        </w:rPr>
      </w:pPr>
    </w:p>
    <w:p w14:paraId="15EE722B" w14:textId="77777777" w:rsidR="00685047" w:rsidRPr="008B0DDF" w:rsidRDefault="00615769" w:rsidP="00685047">
      <w:pPr>
        <w:rPr>
          <w:b/>
          <w:sz w:val="22"/>
          <w:szCs w:val="22"/>
        </w:rPr>
      </w:pPr>
      <w:r w:rsidRPr="008B0DDF">
        <w:rPr>
          <w:b/>
          <w:sz w:val="22"/>
          <w:szCs w:val="22"/>
        </w:rPr>
        <w:t xml:space="preserve">Informe </w:t>
      </w:r>
      <w:r>
        <w:rPr>
          <w:b/>
          <w:sz w:val="22"/>
          <w:szCs w:val="22"/>
        </w:rPr>
        <w:t xml:space="preserve">logo que </w:t>
      </w:r>
      <w:r w:rsidRPr="008B0DDF">
        <w:rPr>
          <w:b/>
          <w:sz w:val="22"/>
          <w:szCs w:val="22"/>
        </w:rPr>
        <w:t>possível o seu médico se tiver algum dos seguintes sintomas</w:t>
      </w:r>
    </w:p>
    <w:p w14:paraId="779E9371" w14:textId="77777777" w:rsidR="00685047" w:rsidRPr="00454F99" w:rsidRDefault="00685047" w:rsidP="00685047">
      <w:pPr>
        <w:rPr>
          <w:sz w:val="22"/>
          <w:szCs w:val="22"/>
        </w:rPr>
      </w:pPr>
    </w:p>
    <w:p w14:paraId="198B3C41" w14:textId="77777777" w:rsidR="00685047" w:rsidRPr="0093225C" w:rsidRDefault="00615769" w:rsidP="00CC2ACC">
      <w:pPr>
        <w:pStyle w:val="EMEABullet2"/>
        <w:numPr>
          <w:ilvl w:val="2"/>
          <w:numId w:val="58"/>
        </w:numPr>
        <w:tabs>
          <w:tab w:val="clear" w:pos="567"/>
          <w:tab w:val="num" w:pos="360"/>
          <w:tab w:val="num" w:pos="720"/>
        </w:tabs>
        <w:ind w:left="360" w:hanging="360"/>
        <w:rPr>
          <w:rFonts w:eastAsia="Times New Roman"/>
          <w:lang w:val="pt-PT"/>
        </w:rPr>
      </w:pPr>
      <w:r w:rsidRPr="0093225C">
        <w:rPr>
          <w:rFonts w:eastAsia="Times New Roman"/>
          <w:lang w:val="pt-PT"/>
        </w:rPr>
        <w:t xml:space="preserve">sinais de infeção tais como febre, má disposição, feridas, problemas dentários ou sensação de ardor ao urinar </w:t>
      </w:r>
    </w:p>
    <w:p w14:paraId="0D935A2A" w14:textId="77777777" w:rsidR="00685047" w:rsidRPr="00CC2ACC" w:rsidRDefault="00615769" w:rsidP="00CC2ACC">
      <w:pPr>
        <w:pStyle w:val="EMEABullet2"/>
        <w:numPr>
          <w:ilvl w:val="2"/>
          <w:numId w:val="58"/>
        </w:numPr>
        <w:tabs>
          <w:tab w:val="clear" w:pos="567"/>
          <w:tab w:val="num" w:pos="360"/>
          <w:tab w:val="num" w:pos="720"/>
        </w:tabs>
        <w:ind w:left="360" w:hanging="360"/>
        <w:rPr>
          <w:rFonts w:eastAsia="Times New Roman"/>
          <w:lang w:val="en-GB"/>
        </w:rPr>
      </w:pPr>
      <w:r w:rsidRPr="00CC2ACC">
        <w:rPr>
          <w:rFonts w:eastAsia="Times New Roman"/>
          <w:lang w:val="en-GB"/>
        </w:rPr>
        <w:t>sensação de fraqueza ou cansaço</w:t>
      </w:r>
    </w:p>
    <w:p w14:paraId="68F6BAD9" w14:textId="77777777" w:rsidR="00685047" w:rsidRPr="00CC2ACC" w:rsidRDefault="00615769" w:rsidP="00CC2ACC">
      <w:pPr>
        <w:pStyle w:val="EMEABullet2"/>
        <w:numPr>
          <w:ilvl w:val="2"/>
          <w:numId w:val="58"/>
        </w:numPr>
        <w:tabs>
          <w:tab w:val="clear" w:pos="567"/>
          <w:tab w:val="num" w:pos="360"/>
          <w:tab w:val="num" w:pos="720"/>
        </w:tabs>
        <w:ind w:left="360" w:hanging="360"/>
        <w:rPr>
          <w:rFonts w:eastAsia="Times New Roman"/>
          <w:lang w:val="en-GB"/>
        </w:rPr>
      </w:pPr>
      <w:r w:rsidRPr="00CC2ACC">
        <w:rPr>
          <w:rFonts w:eastAsia="Times New Roman"/>
          <w:lang w:val="en-GB"/>
        </w:rPr>
        <w:t>tosse</w:t>
      </w:r>
    </w:p>
    <w:p w14:paraId="5C6AFC82" w14:textId="77777777" w:rsidR="00685047" w:rsidRPr="00CC2ACC" w:rsidRDefault="00615769" w:rsidP="00CC2ACC">
      <w:pPr>
        <w:pStyle w:val="EMEABullet2"/>
        <w:numPr>
          <w:ilvl w:val="2"/>
          <w:numId w:val="58"/>
        </w:numPr>
        <w:tabs>
          <w:tab w:val="clear" w:pos="567"/>
          <w:tab w:val="num" w:pos="360"/>
          <w:tab w:val="num" w:pos="720"/>
        </w:tabs>
        <w:ind w:left="360" w:hanging="360"/>
        <w:rPr>
          <w:rFonts w:eastAsia="Times New Roman"/>
          <w:lang w:val="en-GB"/>
        </w:rPr>
      </w:pPr>
      <w:r w:rsidRPr="00CC2ACC">
        <w:rPr>
          <w:rFonts w:eastAsia="Times New Roman"/>
          <w:lang w:val="en-GB"/>
        </w:rPr>
        <w:t>formigueiro</w:t>
      </w:r>
    </w:p>
    <w:p w14:paraId="0F65F3BA" w14:textId="77777777" w:rsidR="00685047" w:rsidRPr="00CC2ACC" w:rsidRDefault="00615769" w:rsidP="00CC2ACC">
      <w:pPr>
        <w:pStyle w:val="EMEABullet2"/>
        <w:numPr>
          <w:ilvl w:val="2"/>
          <w:numId w:val="58"/>
        </w:numPr>
        <w:tabs>
          <w:tab w:val="clear" w:pos="567"/>
          <w:tab w:val="num" w:pos="360"/>
          <w:tab w:val="num" w:pos="720"/>
        </w:tabs>
        <w:ind w:left="360" w:hanging="360"/>
        <w:rPr>
          <w:rFonts w:eastAsia="Times New Roman"/>
          <w:lang w:val="en-GB"/>
        </w:rPr>
      </w:pPr>
      <w:r w:rsidRPr="00CC2ACC">
        <w:rPr>
          <w:rFonts w:eastAsia="Times New Roman"/>
          <w:lang w:val="en-GB"/>
        </w:rPr>
        <w:t>dormência</w:t>
      </w:r>
    </w:p>
    <w:p w14:paraId="5543DAA5" w14:textId="77777777" w:rsidR="00685047" w:rsidRPr="00CC2ACC" w:rsidRDefault="00615769" w:rsidP="00CC2ACC">
      <w:pPr>
        <w:pStyle w:val="EMEABullet2"/>
        <w:numPr>
          <w:ilvl w:val="2"/>
          <w:numId w:val="58"/>
        </w:numPr>
        <w:tabs>
          <w:tab w:val="clear" w:pos="567"/>
          <w:tab w:val="num" w:pos="360"/>
          <w:tab w:val="num" w:pos="720"/>
        </w:tabs>
        <w:ind w:left="360" w:hanging="360"/>
        <w:rPr>
          <w:rFonts w:eastAsia="Times New Roman"/>
          <w:lang w:val="en-GB"/>
        </w:rPr>
      </w:pPr>
      <w:r w:rsidRPr="00CC2ACC">
        <w:rPr>
          <w:rFonts w:eastAsia="Times New Roman"/>
          <w:lang w:val="en-GB"/>
        </w:rPr>
        <w:t xml:space="preserve">visão dupla </w:t>
      </w:r>
    </w:p>
    <w:p w14:paraId="2727CF00" w14:textId="77777777" w:rsidR="00685047" w:rsidRPr="0093225C" w:rsidRDefault="00615769" w:rsidP="00CC2ACC">
      <w:pPr>
        <w:pStyle w:val="EMEABullet2"/>
        <w:numPr>
          <w:ilvl w:val="2"/>
          <w:numId w:val="58"/>
        </w:numPr>
        <w:tabs>
          <w:tab w:val="clear" w:pos="567"/>
          <w:tab w:val="num" w:pos="360"/>
          <w:tab w:val="num" w:pos="720"/>
        </w:tabs>
        <w:ind w:left="360" w:hanging="360"/>
        <w:rPr>
          <w:rFonts w:eastAsia="Times New Roman"/>
          <w:lang w:val="pt-PT"/>
        </w:rPr>
      </w:pPr>
      <w:r w:rsidRPr="0093225C">
        <w:rPr>
          <w:rFonts w:eastAsia="Times New Roman"/>
          <w:lang w:val="pt-PT"/>
        </w:rPr>
        <w:t>sensação de fraqueza nos braços ou pernas</w:t>
      </w:r>
    </w:p>
    <w:p w14:paraId="3D3CEB6C" w14:textId="77777777" w:rsidR="00685047" w:rsidRPr="0093225C" w:rsidRDefault="00615769" w:rsidP="00CC2ACC">
      <w:pPr>
        <w:pStyle w:val="EMEABullet2"/>
        <w:numPr>
          <w:ilvl w:val="2"/>
          <w:numId w:val="58"/>
        </w:numPr>
        <w:tabs>
          <w:tab w:val="clear" w:pos="567"/>
          <w:tab w:val="num" w:pos="360"/>
          <w:tab w:val="num" w:pos="720"/>
        </w:tabs>
        <w:ind w:left="360" w:hanging="360"/>
        <w:rPr>
          <w:rFonts w:eastAsia="Times New Roman"/>
          <w:lang w:val="pt-PT"/>
        </w:rPr>
      </w:pPr>
      <w:r w:rsidRPr="0093225C">
        <w:rPr>
          <w:rFonts w:eastAsia="Times New Roman"/>
          <w:lang w:val="pt-PT"/>
        </w:rPr>
        <w:t>inchaço ou ferida aberta que não cicatriza</w:t>
      </w:r>
    </w:p>
    <w:p w14:paraId="65205F74" w14:textId="77777777" w:rsidR="00685047" w:rsidRPr="0093225C" w:rsidRDefault="00615769" w:rsidP="00CC2ACC">
      <w:pPr>
        <w:pStyle w:val="EMEABullet2"/>
        <w:numPr>
          <w:ilvl w:val="2"/>
          <w:numId w:val="58"/>
        </w:numPr>
        <w:tabs>
          <w:tab w:val="clear" w:pos="567"/>
          <w:tab w:val="num" w:pos="360"/>
          <w:tab w:val="num" w:pos="720"/>
        </w:tabs>
        <w:ind w:left="360" w:hanging="360"/>
        <w:rPr>
          <w:szCs w:val="22"/>
          <w:lang w:val="pt-PT"/>
        </w:rPr>
      </w:pPr>
      <w:r w:rsidRPr="0093225C">
        <w:rPr>
          <w:rFonts w:eastAsia="Times New Roman"/>
          <w:lang w:val="pt-PT"/>
        </w:rPr>
        <w:t>sinais ou sintomas sugestivos de alterações sanguíneas tais como febre persistente, nódoas negras</w:t>
      </w:r>
      <w:r w:rsidRPr="0093225C">
        <w:rPr>
          <w:szCs w:val="22"/>
          <w:lang w:val="pt-PT"/>
        </w:rPr>
        <w:t>, hemorragias, palidez</w:t>
      </w:r>
    </w:p>
    <w:p w14:paraId="25FAE173" w14:textId="77777777" w:rsidR="00685047" w:rsidRPr="008B0DDF" w:rsidRDefault="00685047" w:rsidP="00685047">
      <w:pPr>
        <w:rPr>
          <w:sz w:val="22"/>
          <w:szCs w:val="22"/>
        </w:rPr>
      </w:pPr>
    </w:p>
    <w:p w14:paraId="24A7B95E" w14:textId="77777777" w:rsidR="00685047" w:rsidRPr="008B0DDF" w:rsidRDefault="00615769" w:rsidP="00685047">
      <w:pPr>
        <w:rPr>
          <w:sz w:val="22"/>
          <w:szCs w:val="22"/>
        </w:rPr>
      </w:pPr>
      <w:r w:rsidRPr="008B0DDF">
        <w:rPr>
          <w:sz w:val="22"/>
          <w:szCs w:val="22"/>
        </w:rPr>
        <w:t xml:space="preserve">Os sintomas descritos acima podem ser sinais dos efeitos </w:t>
      </w:r>
      <w:r w:rsidR="00571C82">
        <w:rPr>
          <w:sz w:val="22"/>
          <w:szCs w:val="22"/>
        </w:rPr>
        <w:t>indesejáveis</w:t>
      </w:r>
      <w:r w:rsidRPr="008B0DDF">
        <w:rPr>
          <w:sz w:val="22"/>
          <w:szCs w:val="22"/>
        </w:rPr>
        <w:t xml:space="preserve"> descritos a seguir e que foram observados com Humira</w:t>
      </w:r>
      <w:r w:rsidR="00122199">
        <w:rPr>
          <w:sz w:val="22"/>
          <w:szCs w:val="22"/>
        </w:rPr>
        <w:t>.</w:t>
      </w:r>
    </w:p>
    <w:p w14:paraId="517F14A7" w14:textId="77777777" w:rsidR="00685047" w:rsidRPr="008B0DDF" w:rsidRDefault="00685047" w:rsidP="00685047">
      <w:pPr>
        <w:rPr>
          <w:sz w:val="22"/>
          <w:szCs w:val="22"/>
        </w:rPr>
      </w:pPr>
    </w:p>
    <w:p w14:paraId="13482BC7" w14:textId="77777777" w:rsidR="00685047" w:rsidRPr="008B0DDF" w:rsidRDefault="00615769" w:rsidP="00685047">
      <w:pPr>
        <w:rPr>
          <w:sz w:val="22"/>
          <w:szCs w:val="22"/>
        </w:rPr>
      </w:pPr>
      <w:r w:rsidRPr="008B0DDF">
        <w:rPr>
          <w:b/>
          <w:sz w:val="22"/>
          <w:szCs w:val="22"/>
        </w:rPr>
        <w:t>Muito frequentes</w:t>
      </w:r>
      <w:r w:rsidRPr="008B0DDF">
        <w:rPr>
          <w:sz w:val="22"/>
          <w:szCs w:val="22"/>
        </w:rPr>
        <w:t xml:space="preserve"> (podem afetar mais de 1 em 10 pessoas)</w:t>
      </w:r>
    </w:p>
    <w:p w14:paraId="52C4345A" w14:textId="77777777" w:rsidR="00685047" w:rsidRPr="008B0DDF" w:rsidRDefault="00685047" w:rsidP="00685047">
      <w:pPr>
        <w:rPr>
          <w:sz w:val="22"/>
          <w:szCs w:val="22"/>
        </w:rPr>
      </w:pPr>
    </w:p>
    <w:p w14:paraId="4C195057" w14:textId="77777777" w:rsidR="00685047" w:rsidRPr="008B0DDF" w:rsidRDefault="00615769" w:rsidP="00CC2ACC">
      <w:pPr>
        <w:numPr>
          <w:ilvl w:val="0"/>
          <w:numId w:val="73"/>
        </w:numPr>
        <w:tabs>
          <w:tab w:val="clear" w:pos="0"/>
          <w:tab w:val="num" w:pos="540"/>
        </w:tabs>
        <w:suppressAutoHyphens/>
        <w:ind w:left="539" w:hanging="539"/>
        <w:rPr>
          <w:sz w:val="22"/>
          <w:szCs w:val="22"/>
        </w:rPr>
      </w:pPr>
      <w:r w:rsidRPr="008B0DDF">
        <w:rPr>
          <w:sz w:val="22"/>
          <w:szCs w:val="22"/>
        </w:rPr>
        <w:t>reações no local da injeção (incluindo dor, inchaço, vermelhidão ou comichão)</w:t>
      </w:r>
    </w:p>
    <w:p w14:paraId="022BE5D0" w14:textId="77777777" w:rsidR="00685047" w:rsidRPr="0093225C" w:rsidRDefault="00615769" w:rsidP="00CC2ACC">
      <w:pPr>
        <w:numPr>
          <w:ilvl w:val="0"/>
          <w:numId w:val="67"/>
        </w:numPr>
        <w:tabs>
          <w:tab w:val="clear" w:pos="284"/>
          <w:tab w:val="num" w:pos="540"/>
        </w:tabs>
        <w:suppressAutoHyphens/>
        <w:ind w:left="539" w:hanging="539"/>
        <w:rPr>
          <w:rFonts w:eastAsia="Times New Roman"/>
          <w:sz w:val="22"/>
        </w:rPr>
      </w:pPr>
      <w:r w:rsidRPr="0093225C">
        <w:rPr>
          <w:rFonts w:eastAsia="Times New Roman"/>
          <w:sz w:val="22"/>
        </w:rPr>
        <w:t>infeções do trato respiratório (incluindo constipação, nariz a pingar, infeção sinusal, pneumonia)</w:t>
      </w:r>
    </w:p>
    <w:p w14:paraId="691C059F" w14:textId="77777777" w:rsidR="00685047" w:rsidRPr="00CC2ACC" w:rsidRDefault="00615769" w:rsidP="00CC2ACC">
      <w:pPr>
        <w:numPr>
          <w:ilvl w:val="0"/>
          <w:numId w:val="67"/>
        </w:numPr>
        <w:tabs>
          <w:tab w:val="clear" w:pos="284"/>
          <w:tab w:val="num" w:pos="540"/>
        </w:tabs>
        <w:suppressAutoHyphens/>
        <w:ind w:left="539" w:hanging="539"/>
        <w:rPr>
          <w:rFonts w:eastAsia="Times New Roman"/>
          <w:sz w:val="22"/>
          <w:lang w:val="en-GB"/>
        </w:rPr>
      </w:pPr>
      <w:r w:rsidRPr="00CC2ACC">
        <w:rPr>
          <w:rFonts w:eastAsia="Times New Roman"/>
          <w:sz w:val="22"/>
          <w:lang w:val="en-GB"/>
        </w:rPr>
        <w:t>dor de cabeça</w:t>
      </w:r>
    </w:p>
    <w:p w14:paraId="73109348" w14:textId="77777777" w:rsidR="00685047" w:rsidRPr="00CC2ACC" w:rsidRDefault="00615769" w:rsidP="00CC2ACC">
      <w:pPr>
        <w:numPr>
          <w:ilvl w:val="0"/>
          <w:numId w:val="67"/>
        </w:numPr>
        <w:tabs>
          <w:tab w:val="clear" w:pos="284"/>
          <w:tab w:val="num" w:pos="540"/>
        </w:tabs>
        <w:suppressAutoHyphens/>
        <w:ind w:left="539" w:hanging="539"/>
        <w:rPr>
          <w:rFonts w:eastAsia="Times New Roman"/>
          <w:sz w:val="22"/>
          <w:lang w:val="en-GB"/>
        </w:rPr>
      </w:pPr>
      <w:r w:rsidRPr="00CC2ACC">
        <w:rPr>
          <w:rFonts w:eastAsia="Times New Roman"/>
          <w:sz w:val="22"/>
          <w:lang w:val="en-GB"/>
        </w:rPr>
        <w:t>dor abdominal</w:t>
      </w:r>
    </w:p>
    <w:p w14:paraId="5DEF1EED" w14:textId="77777777" w:rsidR="00685047" w:rsidRPr="00CC2ACC" w:rsidRDefault="00615769" w:rsidP="00CC2ACC">
      <w:pPr>
        <w:numPr>
          <w:ilvl w:val="0"/>
          <w:numId w:val="67"/>
        </w:numPr>
        <w:tabs>
          <w:tab w:val="clear" w:pos="284"/>
          <w:tab w:val="num" w:pos="540"/>
        </w:tabs>
        <w:suppressAutoHyphens/>
        <w:ind w:left="539" w:hanging="539"/>
        <w:rPr>
          <w:rFonts w:eastAsia="Times New Roman"/>
          <w:sz w:val="22"/>
          <w:lang w:val="en-GB"/>
        </w:rPr>
      </w:pPr>
      <w:r w:rsidRPr="00CC2ACC">
        <w:rPr>
          <w:rFonts w:eastAsia="Times New Roman"/>
          <w:sz w:val="22"/>
          <w:lang w:val="en-GB"/>
        </w:rPr>
        <w:t>náuseas e vómitos</w:t>
      </w:r>
    </w:p>
    <w:p w14:paraId="398247FC" w14:textId="77777777" w:rsidR="00685047" w:rsidRPr="00CC2ACC" w:rsidRDefault="00615769" w:rsidP="00CC2ACC">
      <w:pPr>
        <w:numPr>
          <w:ilvl w:val="0"/>
          <w:numId w:val="67"/>
        </w:numPr>
        <w:tabs>
          <w:tab w:val="clear" w:pos="284"/>
          <w:tab w:val="num" w:pos="540"/>
        </w:tabs>
        <w:suppressAutoHyphens/>
        <w:ind w:left="539" w:hanging="539"/>
        <w:rPr>
          <w:rFonts w:eastAsia="Times New Roman"/>
          <w:sz w:val="22"/>
          <w:lang w:val="en-GB"/>
        </w:rPr>
      </w:pPr>
      <w:r w:rsidRPr="00CC2ACC">
        <w:rPr>
          <w:rFonts w:eastAsia="Times New Roman"/>
          <w:sz w:val="22"/>
          <w:lang w:val="en-GB"/>
        </w:rPr>
        <w:t>erupção cutânea</w:t>
      </w:r>
    </w:p>
    <w:p w14:paraId="561058E0" w14:textId="77777777" w:rsidR="00685047" w:rsidRPr="00CC2ACC" w:rsidRDefault="00615769" w:rsidP="00CC2ACC">
      <w:pPr>
        <w:numPr>
          <w:ilvl w:val="0"/>
          <w:numId w:val="67"/>
        </w:numPr>
        <w:tabs>
          <w:tab w:val="clear" w:pos="284"/>
          <w:tab w:val="num" w:pos="540"/>
        </w:tabs>
        <w:suppressAutoHyphens/>
        <w:ind w:left="539" w:hanging="539"/>
        <w:rPr>
          <w:rFonts w:eastAsia="Times New Roman"/>
          <w:sz w:val="22"/>
          <w:lang w:val="en-GB"/>
        </w:rPr>
      </w:pPr>
      <w:r w:rsidRPr="00CC2ACC">
        <w:rPr>
          <w:rFonts w:eastAsia="Times New Roman"/>
          <w:sz w:val="22"/>
          <w:lang w:val="en-GB"/>
        </w:rPr>
        <w:t>dor musculoesquelética</w:t>
      </w:r>
    </w:p>
    <w:p w14:paraId="4C2E6A68" w14:textId="77777777" w:rsidR="00685047" w:rsidRPr="008B0DDF" w:rsidRDefault="00685047" w:rsidP="00685047">
      <w:pPr>
        <w:ind w:left="568" w:hanging="568"/>
        <w:rPr>
          <w:sz w:val="22"/>
          <w:szCs w:val="22"/>
        </w:rPr>
      </w:pPr>
    </w:p>
    <w:p w14:paraId="2BB4FA3D" w14:textId="77777777" w:rsidR="00685047" w:rsidRPr="008B0DDF" w:rsidRDefault="00615769" w:rsidP="00685047">
      <w:pPr>
        <w:ind w:left="568" w:hanging="568"/>
        <w:rPr>
          <w:sz w:val="22"/>
          <w:szCs w:val="22"/>
        </w:rPr>
      </w:pPr>
      <w:r w:rsidRPr="008B0DDF">
        <w:rPr>
          <w:b/>
          <w:sz w:val="22"/>
          <w:szCs w:val="22"/>
        </w:rPr>
        <w:t xml:space="preserve">Frequentes </w:t>
      </w:r>
      <w:r w:rsidRPr="008B0DDF">
        <w:rPr>
          <w:sz w:val="22"/>
          <w:szCs w:val="22"/>
        </w:rPr>
        <w:t>(podem afetar até 1 em 10 pessoas)</w:t>
      </w:r>
    </w:p>
    <w:p w14:paraId="58F0C38F" w14:textId="77777777" w:rsidR="00685047" w:rsidRPr="008B0DDF" w:rsidRDefault="00685047" w:rsidP="00685047">
      <w:pPr>
        <w:ind w:left="568" w:hanging="568"/>
        <w:rPr>
          <w:sz w:val="22"/>
          <w:szCs w:val="22"/>
        </w:rPr>
      </w:pPr>
    </w:p>
    <w:p w14:paraId="278B3724" w14:textId="77777777" w:rsidR="00685047" w:rsidRDefault="00615769" w:rsidP="00CC2ACC">
      <w:pPr>
        <w:numPr>
          <w:ilvl w:val="0"/>
          <w:numId w:val="73"/>
        </w:numPr>
        <w:tabs>
          <w:tab w:val="clear" w:pos="0"/>
          <w:tab w:val="num" w:pos="540"/>
        </w:tabs>
        <w:suppressAutoHyphens/>
        <w:ind w:left="539" w:hanging="539"/>
        <w:rPr>
          <w:rFonts w:eastAsia="Times New Roman"/>
          <w:sz w:val="22"/>
        </w:rPr>
      </w:pPr>
      <w:r w:rsidRPr="0093225C">
        <w:rPr>
          <w:rFonts w:eastAsia="Times New Roman"/>
          <w:sz w:val="22"/>
        </w:rPr>
        <w:t xml:space="preserve">infeções </w:t>
      </w:r>
      <w:r w:rsidR="002B1873">
        <w:rPr>
          <w:rFonts w:eastAsia="Times New Roman"/>
          <w:sz w:val="22"/>
        </w:rPr>
        <w:t>graves</w:t>
      </w:r>
      <w:r w:rsidRPr="0093225C">
        <w:rPr>
          <w:rFonts w:eastAsia="Times New Roman"/>
          <w:sz w:val="22"/>
        </w:rPr>
        <w:t xml:space="preserve"> (incluindo envenenamento do sangue e gripe)</w:t>
      </w:r>
    </w:p>
    <w:p w14:paraId="22CF3307" w14:textId="77777777" w:rsidR="00A7534F" w:rsidRPr="0093225C" w:rsidRDefault="00615769" w:rsidP="00CC2ACC">
      <w:pPr>
        <w:numPr>
          <w:ilvl w:val="0"/>
          <w:numId w:val="73"/>
        </w:numPr>
        <w:tabs>
          <w:tab w:val="clear" w:pos="0"/>
          <w:tab w:val="num" w:pos="540"/>
        </w:tabs>
        <w:suppressAutoHyphens/>
        <w:ind w:left="539" w:hanging="539"/>
        <w:rPr>
          <w:rFonts w:eastAsia="Times New Roman"/>
          <w:sz w:val="22"/>
        </w:rPr>
      </w:pPr>
      <w:r>
        <w:rPr>
          <w:rFonts w:eastAsia="Times New Roman"/>
          <w:sz w:val="22"/>
        </w:rPr>
        <w:t>infeções intestinais (incluindo gastroenterite)</w:t>
      </w:r>
    </w:p>
    <w:p w14:paraId="01E549F2" w14:textId="77777777" w:rsidR="00685047" w:rsidRPr="0093225C" w:rsidRDefault="00615769" w:rsidP="00CC2ACC">
      <w:pPr>
        <w:numPr>
          <w:ilvl w:val="0"/>
          <w:numId w:val="73"/>
        </w:numPr>
        <w:tabs>
          <w:tab w:val="clear" w:pos="0"/>
          <w:tab w:val="num" w:pos="540"/>
        </w:tabs>
        <w:suppressAutoHyphens/>
        <w:ind w:left="539" w:hanging="539"/>
        <w:rPr>
          <w:rFonts w:eastAsia="Times New Roman"/>
          <w:sz w:val="22"/>
        </w:rPr>
      </w:pPr>
      <w:r w:rsidRPr="0093225C">
        <w:rPr>
          <w:rFonts w:eastAsia="Times New Roman"/>
          <w:sz w:val="22"/>
        </w:rPr>
        <w:t>infeções da pele (incluindo celulite e zona)</w:t>
      </w:r>
    </w:p>
    <w:p w14:paraId="54527772"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infeções dos ouvidos</w:t>
      </w:r>
    </w:p>
    <w:p w14:paraId="7ABD2289" w14:textId="77777777" w:rsidR="00685047" w:rsidRPr="0093225C" w:rsidRDefault="00615769" w:rsidP="00CC2ACC">
      <w:pPr>
        <w:numPr>
          <w:ilvl w:val="0"/>
          <w:numId w:val="73"/>
        </w:numPr>
        <w:tabs>
          <w:tab w:val="clear" w:pos="0"/>
          <w:tab w:val="num" w:pos="540"/>
        </w:tabs>
        <w:suppressAutoHyphens/>
        <w:ind w:left="539" w:hanging="539"/>
        <w:rPr>
          <w:rFonts w:eastAsia="Times New Roman"/>
          <w:sz w:val="22"/>
        </w:rPr>
      </w:pPr>
      <w:r w:rsidRPr="0093225C">
        <w:rPr>
          <w:rFonts w:eastAsia="Times New Roman"/>
          <w:sz w:val="22"/>
        </w:rPr>
        <w:t>infeções orais (incluindo infeções dentárias e constipações)</w:t>
      </w:r>
    </w:p>
    <w:p w14:paraId="44E2D59C" w14:textId="77777777" w:rsidR="00685047" w:rsidRPr="008B0DDF" w:rsidRDefault="00615769" w:rsidP="00CC2ACC">
      <w:pPr>
        <w:numPr>
          <w:ilvl w:val="0"/>
          <w:numId w:val="73"/>
        </w:numPr>
        <w:tabs>
          <w:tab w:val="clear" w:pos="0"/>
          <w:tab w:val="num" w:pos="540"/>
        </w:tabs>
        <w:suppressAutoHyphens/>
        <w:ind w:left="539" w:hanging="539"/>
        <w:rPr>
          <w:sz w:val="22"/>
          <w:szCs w:val="22"/>
        </w:rPr>
      </w:pPr>
      <w:r w:rsidRPr="00CC2ACC">
        <w:rPr>
          <w:rFonts w:eastAsia="Times New Roman"/>
          <w:sz w:val="22"/>
          <w:lang w:val="en-GB"/>
        </w:rPr>
        <w:t>infeções</w:t>
      </w:r>
      <w:r w:rsidRPr="008B0DDF">
        <w:rPr>
          <w:sz w:val="22"/>
          <w:szCs w:val="22"/>
        </w:rPr>
        <w:t xml:space="preserve"> do sistema reprodutor</w:t>
      </w:r>
    </w:p>
    <w:p w14:paraId="4D29949E"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infeção do trato urinário</w:t>
      </w:r>
    </w:p>
    <w:p w14:paraId="4F374E29"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infeções fúngicas</w:t>
      </w:r>
    </w:p>
    <w:p w14:paraId="17BE4FCB"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infeções das articulações</w:t>
      </w:r>
    </w:p>
    <w:p w14:paraId="7B07CA80"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tumores benignos</w:t>
      </w:r>
    </w:p>
    <w:p w14:paraId="74F093B2"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cancro da pele</w:t>
      </w:r>
    </w:p>
    <w:p w14:paraId="4C5F15F7" w14:textId="77777777" w:rsidR="00685047" w:rsidRPr="0093225C" w:rsidRDefault="00615769" w:rsidP="00CC2ACC">
      <w:pPr>
        <w:numPr>
          <w:ilvl w:val="0"/>
          <w:numId w:val="73"/>
        </w:numPr>
        <w:tabs>
          <w:tab w:val="clear" w:pos="0"/>
          <w:tab w:val="num" w:pos="540"/>
        </w:tabs>
        <w:suppressAutoHyphens/>
        <w:ind w:left="539" w:hanging="539"/>
        <w:rPr>
          <w:rFonts w:eastAsia="Times New Roman"/>
          <w:sz w:val="22"/>
        </w:rPr>
      </w:pPr>
      <w:r w:rsidRPr="0093225C">
        <w:rPr>
          <w:rFonts w:eastAsia="Times New Roman"/>
          <w:sz w:val="22"/>
        </w:rPr>
        <w:t>reações alérgicas (incluindo alergia sazonal)</w:t>
      </w:r>
    </w:p>
    <w:p w14:paraId="76DA79C5"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desidratação</w:t>
      </w:r>
    </w:p>
    <w:p w14:paraId="367E80FD" w14:textId="77777777" w:rsidR="00685047" w:rsidRPr="0093225C" w:rsidRDefault="00615769" w:rsidP="00CC2ACC">
      <w:pPr>
        <w:numPr>
          <w:ilvl w:val="0"/>
          <w:numId w:val="73"/>
        </w:numPr>
        <w:tabs>
          <w:tab w:val="clear" w:pos="0"/>
          <w:tab w:val="num" w:pos="540"/>
        </w:tabs>
        <w:suppressAutoHyphens/>
        <w:ind w:left="539" w:hanging="539"/>
        <w:rPr>
          <w:rFonts w:eastAsia="Times New Roman"/>
          <w:sz w:val="22"/>
        </w:rPr>
      </w:pPr>
      <w:r w:rsidRPr="0093225C">
        <w:rPr>
          <w:rFonts w:eastAsia="Times New Roman"/>
          <w:sz w:val="22"/>
        </w:rPr>
        <w:t>alterações do humor (incluindo depressão)</w:t>
      </w:r>
    </w:p>
    <w:p w14:paraId="2E273EA8"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ansiedade</w:t>
      </w:r>
    </w:p>
    <w:p w14:paraId="329B7738"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dificuldade em adormecer</w:t>
      </w:r>
    </w:p>
    <w:p w14:paraId="11395E10" w14:textId="77777777" w:rsidR="00685047" w:rsidRPr="0093225C" w:rsidRDefault="00615769" w:rsidP="00CC2ACC">
      <w:pPr>
        <w:numPr>
          <w:ilvl w:val="0"/>
          <w:numId w:val="73"/>
        </w:numPr>
        <w:tabs>
          <w:tab w:val="clear" w:pos="0"/>
          <w:tab w:val="num" w:pos="540"/>
        </w:tabs>
        <w:suppressAutoHyphens/>
        <w:ind w:left="539" w:hanging="539"/>
        <w:rPr>
          <w:rFonts w:eastAsia="Times New Roman"/>
          <w:sz w:val="22"/>
        </w:rPr>
      </w:pPr>
      <w:r w:rsidRPr="0093225C">
        <w:rPr>
          <w:rFonts w:eastAsia="Times New Roman"/>
          <w:sz w:val="22"/>
        </w:rPr>
        <w:t>alterações neurológicas tais como prurido, comichão ou dormência</w:t>
      </w:r>
    </w:p>
    <w:p w14:paraId="60DA408F"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enxaqueca</w:t>
      </w:r>
    </w:p>
    <w:p w14:paraId="2FEBA95B" w14:textId="77777777" w:rsidR="00685047" w:rsidRPr="0093225C" w:rsidRDefault="00615769" w:rsidP="00CC2ACC">
      <w:pPr>
        <w:numPr>
          <w:ilvl w:val="0"/>
          <w:numId w:val="73"/>
        </w:numPr>
        <w:tabs>
          <w:tab w:val="clear" w:pos="0"/>
          <w:tab w:val="num" w:pos="540"/>
        </w:tabs>
        <w:suppressAutoHyphens/>
        <w:ind w:left="539" w:hanging="539"/>
        <w:rPr>
          <w:rFonts w:eastAsia="Times New Roman"/>
          <w:sz w:val="22"/>
        </w:rPr>
      </w:pPr>
      <w:r w:rsidRPr="0093225C">
        <w:rPr>
          <w:rFonts w:eastAsia="Times New Roman"/>
          <w:sz w:val="22"/>
        </w:rPr>
        <w:t>compressão da raiz nervosa (incluindo dor lombar e dor nas pernas)</w:t>
      </w:r>
    </w:p>
    <w:p w14:paraId="7ECCE81D"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alterações da visão</w:t>
      </w:r>
    </w:p>
    <w:p w14:paraId="15F19B7F"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inflamação dos olhos</w:t>
      </w:r>
    </w:p>
    <w:p w14:paraId="70E70D75" w14:textId="77777777" w:rsidR="00685047" w:rsidRPr="0093225C" w:rsidRDefault="00615769" w:rsidP="00CC2ACC">
      <w:pPr>
        <w:numPr>
          <w:ilvl w:val="0"/>
          <w:numId w:val="73"/>
        </w:numPr>
        <w:tabs>
          <w:tab w:val="clear" w:pos="0"/>
          <w:tab w:val="num" w:pos="540"/>
        </w:tabs>
        <w:suppressAutoHyphens/>
        <w:ind w:left="539" w:hanging="539"/>
        <w:rPr>
          <w:rFonts w:eastAsia="Times New Roman"/>
          <w:sz w:val="22"/>
        </w:rPr>
      </w:pPr>
      <w:r w:rsidRPr="0093225C">
        <w:rPr>
          <w:rFonts w:eastAsia="Times New Roman"/>
          <w:sz w:val="22"/>
        </w:rPr>
        <w:t>inflamação das pálpebras e inchaço d</w:t>
      </w:r>
      <w:r w:rsidR="006A3BD4">
        <w:rPr>
          <w:rFonts w:eastAsia="Times New Roman"/>
          <w:sz w:val="22"/>
        </w:rPr>
        <w:t>os</w:t>
      </w:r>
      <w:r w:rsidRPr="0093225C">
        <w:rPr>
          <w:rFonts w:eastAsia="Times New Roman"/>
          <w:sz w:val="22"/>
        </w:rPr>
        <w:t xml:space="preserve"> olhos</w:t>
      </w:r>
    </w:p>
    <w:p w14:paraId="6AFC35CA" w14:textId="77777777" w:rsidR="00685047" w:rsidRPr="0093225C" w:rsidRDefault="00615769" w:rsidP="00CC2ACC">
      <w:pPr>
        <w:numPr>
          <w:ilvl w:val="0"/>
          <w:numId w:val="73"/>
        </w:numPr>
        <w:tabs>
          <w:tab w:val="clear" w:pos="0"/>
          <w:tab w:val="num" w:pos="540"/>
        </w:tabs>
        <w:suppressAutoHyphens/>
        <w:ind w:left="539" w:hanging="539"/>
        <w:rPr>
          <w:rFonts w:eastAsia="Times New Roman"/>
          <w:sz w:val="22"/>
        </w:rPr>
      </w:pPr>
      <w:r w:rsidRPr="0093225C">
        <w:rPr>
          <w:rFonts w:eastAsia="Times New Roman"/>
          <w:sz w:val="22"/>
        </w:rPr>
        <w:t xml:space="preserve">vertigem (sensação de tontura ou movimento) </w:t>
      </w:r>
    </w:p>
    <w:p w14:paraId="68A882FD"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sensação de batimento cardíaco rápido</w:t>
      </w:r>
    </w:p>
    <w:p w14:paraId="23B60073"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tensão arterial alta</w:t>
      </w:r>
    </w:p>
    <w:p w14:paraId="183BFBC5"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vermelhidão</w:t>
      </w:r>
    </w:p>
    <w:p w14:paraId="50366CB0" w14:textId="77777777" w:rsidR="00685047" w:rsidRPr="0093225C" w:rsidRDefault="00615769" w:rsidP="00CC2ACC">
      <w:pPr>
        <w:numPr>
          <w:ilvl w:val="0"/>
          <w:numId w:val="73"/>
        </w:numPr>
        <w:tabs>
          <w:tab w:val="clear" w:pos="0"/>
          <w:tab w:val="num" w:pos="540"/>
        </w:tabs>
        <w:suppressAutoHyphens/>
        <w:ind w:left="539" w:hanging="539"/>
        <w:rPr>
          <w:rFonts w:eastAsia="Times New Roman"/>
          <w:sz w:val="22"/>
        </w:rPr>
      </w:pPr>
      <w:r w:rsidRPr="0093225C">
        <w:rPr>
          <w:rFonts w:eastAsia="Times New Roman"/>
          <w:sz w:val="22"/>
        </w:rPr>
        <w:t>hematoma (concentração de sangue fora dos vasos sanguíneos)</w:t>
      </w:r>
    </w:p>
    <w:p w14:paraId="52F477A6"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tosse</w:t>
      </w:r>
    </w:p>
    <w:p w14:paraId="079F01BC"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asma</w:t>
      </w:r>
    </w:p>
    <w:p w14:paraId="7A124862"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dificuldade em respirar</w:t>
      </w:r>
    </w:p>
    <w:p w14:paraId="2A6FD58F"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hemorragia gastrointestinal</w:t>
      </w:r>
    </w:p>
    <w:p w14:paraId="1F608F77"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dispepsia (indigestão, inchaço, azia)</w:t>
      </w:r>
    </w:p>
    <w:p w14:paraId="566C8AC4"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doença de refluxo</w:t>
      </w:r>
    </w:p>
    <w:p w14:paraId="1D14666F" w14:textId="77777777" w:rsidR="00685047" w:rsidRPr="0093225C" w:rsidRDefault="00615769" w:rsidP="00CC2ACC">
      <w:pPr>
        <w:numPr>
          <w:ilvl w:val="0"/>
          <w:numId w:val="73"/>
        </w:numPr>
        <w:tabs>
          <w:tab w:val="clear" w:pos="0"/>
          <w:tab w:val="num" w:pos="540"/>
        </w:tabs>
        <w:suppressAutoHyphens/>
        <w:ind w:left="539" w:hanging="539"/>
        <w:rPr>
          <w:rFonts w:eastAsia="Times New Roman"/>
          <w:sz w:val="22"/>
        </w:rPr>
      </w:pPr>
      <w:r w:rsidRPr="0093225C">
        <w:rPr>
          <w:rFonts w:eastAsia="Times New Roman"/>
          <w:sz w:val="22"/>
        </w:rPr>
        <w:t>síndrome de sicca (incluindo olhos e boca seca)</w:t>
      </w:r>
    </w:p>
    <w:p w14:paraId="32AA7303"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comichão</w:t>
      </w:r>
    </w:p>
    <w:p w14:paraId="500B06E4"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erupção da pele com comichão</w:t>
      </w:r>
    </w:p>
    <w:p w14:paraId="521439A2"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nódoas negras</w:t>
      </w:r>
    </w:p>
    <w:p w14:paraId="6CF3EFC3" w14:textId="77777777" w:rsidR="00685047" w:rsidRPr="0093225C" w:rsidRDefault="00615769" w:rsidP="00CC2ACC">
      <w:pPr>
        <w:numPr>
          <w:ilvl w:val="0"/>
          <w:numId w:val="73"/>
        </w:numPr>
        <w:tabs>
          <w:tab w:val="clear" w:pos="0"/>
          <w:tab w:val="num" w:pos="540"/>
        </w:tabs>
        <w:suppressAutoHyphens/>
        <w:ind w:left="539" w:hanging="539"/>
        <w:rPr>
          <w:rFonts w:eastAsia="Times New Roman"/>
          <w:sz w:val="22"/>
        </w:rPr>
      </w:pPr>
      <w:r w:rsidRPr="0093225C">
        <w:rPr>
          <w:rFonts w:eastAsia="Times New Roman"/>
          <w:sz w:val="22"/>
        </w:rPr>
        <w:t>inflamação da pele (tais como eczema)</w:t>
      </w:r>
    </w:p>
    <w:p w14:paraId="65420BF7" w14:textId="77777777" w:rsidR="00685047" w:rsidRPr="0093225C" w:rsidRDefault="00615769" w:rsidP="00CC2ACC">
      <w:pPr>
        <w:numPr>
          <w:ilvl w:val="0"/>
          <w:numId w:val="73"/>
        </w:numPr>
        <w:tabs>
          <w:tab w:val="clear" w:pos="0"/>
          <w:tab w:val="num" w:pos="540"/>
        </w:tabs>
        <w:suppressAutoHyphens/>
        <w:ind w:left="539" w:hanging="539"/>
        <w:rPr>
          <w:rFonts w:eastAsia="Times New Roman"/>
          <w:sz w:val="22"/>
        </w:rPr>
      </w:pPr>
      <w:r w:rsidRPr="0093225C">
        <w:rPr>
          <w:rFonts w:eastAsia="Times New Roman"/>
          <w:sz w:val="22"/>
        </w:rPr>
        <w:t>unhas das mãos e dos pés quebradiças</w:t>
      </w:r>
    </w:p>
    <w:p w14:paraId="31D1F3F3"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aumento de suor</w:t>
      </w:r>
    </w:p>
    <w:p w14:paraId="5E88765C"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perda de cabelo</w:t>
      </w:r>
    </w:p>
    <w:p w14:paraId="34319365"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início ou agravamento da psoríase</w:t>
      </w:r>
    </w:p>
    <w:p w14:paraId="6CF059B6"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espasmos musculares</w:t>
      </w:r>
    </w:p>
    <w:p w14:paraId="5BAE9B05"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sangue na urina</w:t>
      </w:r>
    </w:p>
    <w:p w14:paraId="547DEB0D"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perturbações renais</w:t>
      </w:r>
    </w:p>
    <w:p w14:paraId="7DAF4290"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dor no peito</w:t>
      </w:r>
    </w:p>
    <w:p w14:paraId="47997D48"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 xml:space="preserve">edema (inchaço) </w:t>
      </w:r>
    </w:p>
    <w:p w14:paraId="66680D71" w14:textId="77777777" w:rsidR="00685047" w:rsidRPr="00CC2ACC" w:rsidRDefault="00615769" w:rsidP="00CC2ACC">
      <w:pPr>
        <w:numPr>
          <w:ilvl w:val="0"/>
          <w:numId w:val="73"/>
        </w:numPr>
        <w:tabs>
          <w:tab w:val="clear" w:pos="0"/>
          <w:tab w:val="num" w:pos="540"/>
        </w:tabs>
        <w:suppressAutoHyphens/>
        <w:ind w:left="539" w:hanging="539"/>
        <w:rPr>
          <w:rFonts w:eastAsia="Times New Roman"/>
          <w:sz w:val="22"/>
          <w:lang w:val="en-GB"/>
        </w:rPr>
      </w:pPr>
      <w:r w:rsidRPr="00CC2ACC">
        <w:rPr>
          <w:rFonts w:eastAsia="Times New Roman"/>
          <w:sz w:val="22"/>
          <w:lang w:val="en-GB"/>
        </w:rPr>
        <w:t>febre</w:t>
      </w:r>
    </w:p>
    <w:p w14:paraId="40D8A388" w14:textId="77777777" w:rsidR="00685047" w:rsidRPr="0093225C" w:rsidRDefault="00615769" w:rsidP="00CC2ACC">
      <w:pPr>
        <w:numPr>
          <w:ilvl w:val="0"/>
          <w:numId w:val="73"/>
        </w:numPr>
        <w:tabs>
          <w:tab w:val="clear" w:pos="0"/>
          <w:tab w:val="num" w:pos="540"/>
        </w:tabs>
        <w:suppressAutoHyphens/>
        <w:ind w:left="539" w:hanging="539"/>
        <w:rPr>
          <w:rFonts w:eastAsia="Times New Roman"/>
          <w:sz w:val="22"/>
        </w:rPr>
      </w:pPr>
      <w:r w:rsidRPr="0093225C">
        <w:rPr>
          <w:rFonts w:eastAsia="Times New Roman"/>
          <w:sz w:val="22"/>
        </w:rPr>
        <w:t>redução nas plaquetas sanguíneas aumentando o risco de hemorragia ou de nódoas negras</w:t>
      </w:r>
    </w:p>
    <w:p w14:paraId="52067F6F" w14:textId="77777777" w:rsidR="00685047" w:rsidRPr="008B0DDF" w:rsidRDefault="00615769" w:rsidP="00CC2ACC">
      <w:pPr>
        <w:numPr>
          <w:ilvl w:val="0"/>
          <w:numId w:val="73"/>
        </w:numPr>
        <w:tabs>
          <w:tab w:val="clear" w:pos="0"/>
          <w:tab w:val="num" w:pos="540"/>
        </w:tabs>
        <w:suppressAutoHyphens/>
        <w:ind w:left="539" w:hanging="539"/>
        <w:rPr>
          <w:sz w:val="22"/>
          <w:szCs w:val="22"/>
        </w:rPr>
      </w:pPr>
      <w:r w:rsidRPr="00CC2ACC">
        <w:rPr>
          <w:rFonts w:eastAsia="Times New Roman"/>
          <w:sz w:val="22"/>
          <w:lang w:val="en-GB"/>
        </w:rPr>
        <w:t>diminuição</w:t>
      </w:r>
      <w:r w:rsidRPr="008B0DDF">
        <w:rPr>
          <w:sz w:val="22"/>
          <w:szCs w:val="22"/>
        </w:rPr>
        <w:t xml:space="preserve"> na cicatrização</w:t>
      </w:r>
    </w:p>
    <w:p w14:paraId="5E5395CC" w14:textId="77777777" w:rsidR="00685047" w:rsidRPr="008B0DDF" w:rsidRDefault="00685047" w:rsidP="00685047">
      <w:pPr>
        <w:rPr>
          <w:sz w:val="22"/>
          <w:szCs w:val="22"/>
        </w:rPr>
      </w:pPr>
    </w:p>
    <w:p w14:paraId="47A69018" w14:textId="77777777" w:rsidR="00685047" w:rsidRPr="004F0FBC" w:rsidRDefault="00615769" w:rsidP="00685047">
      <w:pPr>
        <w:rPr>
          <w:sz w:val="22"/>
          <w:szCs w:val="22"/>
        </w:rPr>
      </w:pPr>
      <w:r w:rsidRPr="008B0DDF">
        <w:rPr>
          <w:b/>
          <w:sz w:val="22"/>
          <w:szCs w:val="22"/>
        </w:rPr>
        <w:t>Pouco frequentes</w:t>
      </w:r>
      <w:r w:rsidRPr="00454F99">
        <w:rPr>
          <w:sz w:val="22"/>
          <w:szCs w:val="22"/>
        </w:rPr>
        <w:t xml:space="preserve"> (podem afetar até 1 em 100 pessoas)</w:t>
      </w:r>
    </w:p>
    <w:p w14:paraId="5BF2D284" w14:textId="77777777" w:rsidR="00685047" w:rsidRPr="006462E3" w:rsidRDefault="00685047" w:rsidP="00685047">
      <w:pPr>
        <w:rPr>
          <w:sz w:val="22"/>
          <w:szCs w:val="22"/>
        </w:rPr>
      </w:pPr>
    </w:p>
    <w:p w14:paraId="0D82FE14" w14:textId="77777777" w:rsidR="00685047" w:rsidRPr="0093225C" w:rsidRDefault="00615769" w:rsidP="00CC2ACC">
      <w:pPr>
        <w:numPr>
          <w:ilvl w:val="0"/>
          <w:numId w:val="68"/>
        </w:numPr>
        <w:tabs>
          <w:tab w:val="clear" w:pos="283"/>
          <w:tab w:val="num" w:pos="540"/>
        </w:tabs>
        <w:suppressAutoHyphens/>
        <w:ind w:left="539" w:hanging="539"/>
        <w:rPr>
          <w:rFonts w:eastAsia="Times New Roman"/>
          <w:sz w:val="22"/>
        </w:rPr>
      </w:pPr>
      <w:r w:rsidRPr="0093225C">
        <w:rPr>
          <w:rFonts w:eastAsia="Times New Roman"/>
          <w:sz w:val="22"/>
        </w:rPr>
        <w:t>infeções oportunistas (as quais incluem tuberculose e outras infeções que ocorrem quando a resistência à doença está diminuída)</w:t>
      </w:r>
    </w:p>
    <w:p w14:paraId="7559FCDC" w14:textId="77777777" w:rsidR="00685047" w:rsidRPr="0093225C" w:rsidRDefault="00615769" w:rsidP="00CC2ACC">
      <w:pPr>
        <w:numPr>
          <w:ilvl w:val="0"/>
          <w:numId w:val="68"/>
        </w:numPr>
        <w:tabs>
          <w:tab w:val="clear" w:pos="283"/>
          <w:tab w:val="num" w:pos="540"/>
        </w:tabs>
        <w:suppressAutoHyphens/>
        <w:ind w:left="539" w:hanging="539"/>
        <w:rPr>
          <w:rFonts w:eastAsia="Times New Roman"/>
          <w:sz w:val="22"/>
        </w:rPr>
      </w:pPr>
      <w:r w:rsidRPr="0093225C">
        <w:rPr>
          <w:rFonts w:eastAsia="Times New Roman"/>
          <w:sz w:val="22"/>
        </w:rPr>
        <w:t>infeções neurológicas (incluindo meningite viral)</w:t>
      </w:r>
    </w:p>
    <w:p w14:paraId="18467B96" w14:textId="77777777" w:rsidR="00685047" w:rsidRPr="00CC2ACC" w:rsidRDefault="00615769" w:rsidP="00CC2ACC">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infeções oculares</w:t>
      </w:r>
    </w:p>
    <w:p w14:paraId="62FFE01D" w14:textId="77777777" w:rsidR="00685047" w:rsidRPr="00CC2ACC" w:rsidRDefault="00615769" w:rsidP="00CC2ACC">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infeções bacterianas</w:t>
      </w:r>
    </w:p>
    <w:p w14:paraId="0D45A256" w14:textId="77777777" w:rsidR="00685047" w:rsidRPr="0093225C" w:rsidRDefault="00615769" w:rsidP="00CC2ACC">
      <w:pPr>
        <w:numPr>
          <w:ilvl w:val="0"/>
          <w:numId w:val="68"/>
        </w:numPr>
        <w:tabs>
          <w:tab w:val="clear" w:pos="283"/>
          <w:tab w:val="num" w:pos="540"/>
        </w:tabs>
        <w:suppressAutoHyphens/>
        <w:ind w:left="539" w:hanging="539"/>
        <w:rPr>
          <w:rFonts w:eastAsia="Times New Roman"/>
          <w:sz w:val="22"/>
        </w:rPr>
      </w:pPr>
      <w:r w:rsidRPr="0093225C">
        <w:rPr>
          <w:rFonts w:eastAsia="Times New Roman"/>
          <w:sz w:val="22"/>
        </w:rPr>
        <w:t>diverticulite (inflamação e infeção do intestino grosso)</w:t>
      </w:r>
    </w:p>
    <w:p w14:paraId="43718300" w14:textId="77777777" w:rsidR="00685047" w:rsidRPr="005F6F98" w:rsidRDefault="00615769" w:rsidP="00CC2ACC">
      <w:pPr>
        <w:numPr>
          <w:ilvl w:val="0"/>
          <w:numId w:val="68"/>
        </w:numPr>
        <w:tabs>
          <w:tab w:val="clear" w:pos="283"/>
          <w:tab w:val="num" w:pos="540"/>
        </w:tabs>
        <w:suppressAutoHyphens/>
        <w:ind w:left="539" w:hanging="539"/>
        <w:rPr>
          <w:sz w:val="22"/>
          <w:szCs w:val="22"/>
        </w:rPr>
      </w:pPr>
      <w:r w:rsidRPr="00CC2ACC">
        <w:rPr>
          <w:rFonts w:eastAsia="Times New Roman"/>
          <w:sz w:val="22"/>
          <w:lang w:val="en-GB"/>
        </w:rPr>
        <w:t>cancro</w:t>
      </w:r>
    </w:p>
    <w:p w14:paraId="74BB74F5" w14:textId="77777777" w:rsidR="00685047" w:rsidRPr="0093225C" w:rsidRDefault="00615769" w:rsidP="00CC2ACC">
      <w:pPr>
        <w:numPr>
          <w:ilvl w:val="0"/>
          <w:numId w:val="68"/>
        </w:numPr>
        <w:tabs>
          <w:tab w:val="clear" w:pos="283"/>
          <w:tab w:val="num" w:pos="540"/>
        </w:tabs>
        <w:suppressAutoHyphens/>
        <w:ind w:left="539" w:hanging="539"/>
        <w:rPr>
          <w:rFonts w:eastAsia="Times New Roman"/>
          <w:sz w:val="22"/>
        </w:rPr>
      </w:pPr>
      <w:r w:rsidRPr="0093225C">
        <w:rPr>
          <w:rFonts w:eastAsia="Times New Roman"/>
          <w:sz w:val="22"/>
        </w:rPr>
        <w:t>cancro que afeta o sistema linfático</w:t>
      </w:r>
    </w:p>
    <w:p w14:paraId="5682D2AA" w14:textId="77777777" w:rsidR="00685047" w:rsidRPr="00CC2ACC" w:rsidRDefault="00615769" w:rsidP="00CC2ACC">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melanoma</w:t>
      </w:r>
    </w:p>
    <w:p w14:paraId="73D8A0BE" w14:textId="77777777" w:rsidR="00685047" w:rsidRPr="0093225C" w:rsidRDefault="00615769" w:rsidP="00CC2ACC">
      <w:pPr>
        <w:numPr>
          <w:ilvl w:val="0"/>
          <w:numId w:val="68"/>
        </w:numPr>
        <w:tabs>
          <w:tab w:val="clear" w:pos="283"/>
          <w:tab w:val="num" w:pos="540"/>
        </w:tabs>
        <w:suppressAutoHyphens/>
        <w:ind w:left="539" w:hanging="539"/>
        <w:rPr>
          <w:rFonts w:eastAsia="Times New Roman"/>
          <w:sz w:val="22"/>
        </w:rPr>
      </w:pPr>
      <w:r w:rsidRPr="0093225C">
        <w:rPr>
          <w:rFonts w:eastAsia="Times New Roman"/>
          <w:sz w:val="22"/>
        </w:rPr>
        <w:t>perturbações do sistema imunitário que podem afetar os pulmões, pele e gânglios linfáticos (apresentando-se mais frequentemente como sarcoidose)</w:t>
      </w:r>
    </w:p>
    <w:p w14:paraId="589B82D2" w14:textId="77777777" w:rsidR="00685047" w:rsidRPr="0093225C" w:rsidRDefault="00615769" w:rsidP="00CC2ACC">
      <w:pPr>
        <w:numPr>
          <w:ilvl w:val="0"/>
          <w:numId w:val="68"/>
        </w:numPr>
        <w:tabs>
          <w:tab w:val="clear" w:pos="283"/>
          <w:tab w:val="num" w:pos="540"/>
        </w:tabs>
        <w:suppressAutoHyphens/>
        <w:ind w:left="539" w:hanging="539"/>
        <w:rPr>
          <w:rFonts w:eastAsia="Times New Roman"/>
          <w:sz w:val="22"/>
        </w:rPr>
      </w:pPr>
      <w:r w:rsidRPr="0093225C">
        <w:rPr>
          <w:rFonts w:eastAsia="Times New Roman"/>
          <w:sz w:val="22"/>
        </w:rPr>
        <w:t>vasculite (inflamação dos vasos sanguíneos)</w:t>
      </w:r>
    </w:p>
    <w:p w14:paraId="60F69E69" w14:textId="77777777" w:rsidR="00685047" w:rsidRPr="00CC2ACC" w:rsidRDefault="00615769" w:rsidP="00CC2ACC">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tremor (agitação)</w:t>
      </w:r>
    </w:p>
    <w:p w14:paraId="7028001A" w14:textId="77777777" w:rsidR="00685047" w:rsidRPr="00CC2ACC" w:rsidRDefault="00615769" w:rsidP="00CC2ACC">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neuropatia (alteração dos nervos)</w:t>
      </w:r>
    </w:p>
    <w:p w14:paraId="4998DD1B" w14:textId="77777777" w:rsidR="00685047" w:rsidRPr="00CC2ACC" w:rsidRDefault="00615769" w:rsidP="00CC2ACC">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AVC</w:t>
      </w:r>
    </w:p>
    <w:p w14:paraId="086731CC" w14:textId="77777777" w:rsidR="00685047" w:rsidRPr="00A7534F" w:rsidRDefault="00615769" w:rsidP="00F03C54">
      <w:pPr>
        <w:numPr>
          <w:ilvl w:val="0"/>
          <w:numId w:val="68"/>
        </w:numPr>
        <w:tabs>
          <w:tab w:val="clear" w:pos="283"/>
          <w:tab w:val="num" w:pos="540"/>
        </w:tabs>
        <w:suppressAutoHyphens/>
        <w:ind w:left="539" w:hanging="539"/>
        <w:rPr>
          <w:rFonts w:eastAsia="Times New Roman"/>
          <w:sz w:val="22"/>
          <w:lang w:val="en-GB"/>
        </w:rPr>
      </w:pPr>
      <w:r w:rsidRPr="00A7534F">
        <w:rPr>
          <w:rFonts w:eastAsia="Times New Roman"/>
          <w:sz w:val="22"/>
          <w:lang w:val="en-GB"/>
        </w:rPr>
        <w:t>perda de audição, zumbido</w:t>
      </w:r>
    </w:p>
    <w:p w14:paraId="79EE228B" w14:textId="77777777" w:rsidR="00685047" w:rsidRPr="0093225C" w:rsidRDefault="00615769" w:rsidP="00CC2ACC">
      <w:pPr>
        <w:numPr>
          <w:ilvl w:val="0"/>
          <w:numId w:val="68"/>
        </w:numPr>
        <w:tabs>
          <w:tab w:val="clear" w:pos="283"/>
          <w:tab w:val="num" w:pos="540"/>
        </w:tabs>
        <w:suppressAutoHyphens/>
        <w:ind w:left="539" w:hanging="539"/>
        <w:rPr>
          <w:rFonts w:eastAsia="Times New Roman"/>
          <w:sz w:val="22"/>
        </w:rPr>
      </w:pPr>
      <w:r w:rsidRPr="0093225C">
        <w:rPr>
          <w:rFonts w:eastAsia="Times New Roman"/>
          <w:sz w:val="22"/>
        </w:rPr>
        <w:t>sensação de batimento irregular do coração tal como palpitações</w:t>
      </w:r>
    </w:p>
    <w:p w14:paraId="3FB01A9E" w14:textId="77777777" w:rsidR="00685047" w:rsidRPr="0093225C" w:rsidRDefault="00615769" w:rsidP="00CC2ACC">
      <w:pPr>
        <w:numPr>
          <w:ilvl w:val="0"/>
          <w:numId w:val="68"/>
        </w:numPr>
        <w:tabs>
          <w:tab w:val="clear" w:pos="283"/>
          <w:tab w:val="num" w:pos="540"/>
        </w:tabs>
        <w:suppressAutoHyphens/>
        <w:ind w:left="539" w:hanging="539"/>
        <w:rPr>
          <w:rFonts w:eastAsia="Times New Roman"/>
          <w:sz w:val="22"/>
        </w:rPr>
      </w:pPr>
      <w:r w:rsidRPr="0093225C">
        <w:rPr>
          <w:rFonts w:eastAsia="Times New Roman"/>
          <w:sz w:val="22"/>
        </w:rPr>
        <w:t>problemas no coração que podem causar falta de ar ou inchaço nos tornozelos</w:t>
      </w:r>
    </w:p>
    <w:p w14:paraId="61F9FD6F" w14:textId="77777777" w:rsidR="00685047" w:rsidRPr="00CC2ACC" w:rsidRDefault="00615769" w:rsidP="00CC2ACC">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ataque cardíaco</w:t>
      </w:r>
    </w:p>
    <w:p w14:paraId="4E7C6397" w14:textId="77777777" w:rsidR="00685047" w:rsidRPr="0093225C" w:rsidRDefault="00615769" w:rsidP="00CC2ACC">
      <w:pPr>
        <w:numPr>
          <w:ilvl w:val="0"/>
          <w:numId w:val="68"/>
        </w:numPr>
        <w:tabs>
          <w:tab w:val="clear" w:pos="283"/>
          <w:tab w:val="num" w:pos="540"/>
        </w:tabs>
        <w:suppressAutoHyphens/>
        <w:ind w:left="539" w:hanging="539"/>
        <w:rPr>
          <w:rFonts w:eastAsia="Times New Roman"/>
          <w:sz w:val="22"/>
        </w:rPr>
      </w:pPr>
      <w:r w:rsidRPr="0093225C">
        <w:rPr>
          <w:rFonts w:eastAsia="Times New Roman"/>
          <w:sz w:val="22"/>
        </w:rPr>
        <w:t>quisto na parede de uma artéria maior, inflamação e coágulo de uma veia, bloqueio de um vaso sanguíneo</w:t>
      </w:r>
    </w:p>
    <w:p w14:paraId="150570A6" w14:textId="77777777" w:rsidR="00685047" w:rsidRPr="0093225C" w:rsidRDefault="00615769" w:rsidP="00CC2ACC">
      <w:pPr>
        <w:numPr>
          <w:ilvl w:val="0"/>
          <w:numId w:val="68"/>
        </w:numPr>
        <w:tabs>
          <w:tab w:val="clear" w:pos="283"/>
          <w:tab w:val="num" w:pos="540"/>
        </w:tabs>
        <w:suppressAutoHyphens/>
        <w:ind w:left="539" w:hanging="539"/>
        <w:rPr>
          <w:rFonts w:eastAsia="Times New Roman"/>
          <w:sz w:val="22"/>
        </w:rPr>
      </w:pPr>
      <w:r w:rsidRPr="0093225C">
        <w:rPr>
          <w:rFonts w:eastAsia="Times New Roman"/>
          <w:sz w:val="22"/>
        </w:rPr>
        <w:t>doenças pulmonares causando falta de ar (incluindo inflamação)</w:t>
      </w:r>
    </w:p>
    <w:p w14:paraId="0CBF4D26" w14:textId="77777777" w:rsidR="00685047" w:rsidRPr="0093225C" w:rsidRDefault="00615769" w:rsidP="00CC2ACC">
      <w:pPr>
        <w:numPr>
          <w:ilvl w:val="0"/>
          <w:numId w:val="68"/>
        </w:numPr>
        <w:tabs>
          <w:tab w:val="clear" w:pos="283"/>
          <w:tab w:val="num" w:pos="540"/>
        </w:tabs>
        <w:suppressAutoHyphens/>
        <w:ind w:left="539" w:hanging="539"/>
        <w:rPr>
          <w:rFonts w:eastAsia="Times New Roman"/>
          <w:sz w:val="22"/>
        </w:rPr>
      </w:pPr>
      <w:r w:rsidRPr="0093225C">
        <w:rPr>
          <w:rFonts w:eastAsia="Times New Roman"/>
          <w:sz w:val="22"/>
        </w:rPr>
        <w:t>emboli</w:t>
      </w:r>
      <w:r w:rsidR="003E3AA9">
        <w:rPr>
          <w:rFonts w:eastAsia="Times New Roman"/>
          <w:sz w:val="22"/>
        </w:rPr>
        <w:t>a</w:t>
      </w:r>
      <w:r w:rsidRPr="0093225C">
        <w:rPr>
          <w:rFonts w:eastAsia="Times New Roman"/>
          <w:sz w:val="22"/>
        </w:rPr>
        <w:t xml:space="preserve"> pulmonar (bloqueio de uma artéria </w:t>
      </w:r>
      <w:r w:rsidR="00F840DB">
        <w:rPr>
          <w:rFonts w:eastAsia="Times New Roman"/>
          <w:sz w:val="22"/>
        </w:rPr>
        <w:t>no pulmão</w:t>
      </w:r>
      <w:r w:rsidRPr="0093225C">
        <w:rPr>
          <w:rFonts w:eastAsia="Times New Roman"/>
          <w:sz w:val="22"/>
        </w:rPr>
        <w:t>)</w:t>
      </w:r>
    </w:p>
    <w:p w14:paraId="21FF712A" w14:textId="77777777" w:rsidR="00685047" w:rsidRPr="0093225C" w:rsidRDefault="00615769" w:rsidP="00CC2ACC">
      <w:pPr>
        <w:numPr>
          <w:ilvl w:val="0"/>
          <w:numId w:val="68"/>
        </w:numPr>
        <w:tabs>
          <w:tab w:val="clear" w:pos="283"/>
          <w:tab w:val="num" w:pos="540"/>
        </w:tabs>
        <w:suppressAutoHyphens/>
        <w:ind w:left="539" w:hanging="539"/>
        <w:rPr>
          <w:rFonts w:eastAsia="Times New Roman"/>
          <w:sz w:val="22"/>
        </w:rPr>
      </w:pPr>
      <w:r w:rsidRPr="0093225C">
        <w:rPr>
          <w:rFonts w:eastAsia="Times New Roman"/>
          <w:sz w:val="22"/>
        </w:rPr>
        <w:t>derrame pleural (acumulação anormal de líquido no espaço pleural)</w:t>
      </w:r>
    </w:p>
    <w:p w14:paraId="5FA5213D" w14:textId="77777777" w:rsidR="00685047" w:rsidRPr="0093225C" w:rsidRDefault="00615769" w:rsidP="00CC2ACC">
      <w:pPr>
        <w:numPr>
          <w:ilvl w:val="0"/>
          <w:numId w:val="68"/>
        </w:numPr>
        <w:tabs>
          <w:tab w:val="clear" w:pos="283"/>
          <w:tab w:val="num" w:pos="540"/>
        </w:tabs>
        <w:suppressAutoHyphens/>
        <w:ind w:left="539" w:hanging="539"/>
        <w:rPr>
          <w:rFonts w:eastAsia="Times New Roman"/>
          <w:sz w:val="22"/>
        </w:rPr>
      </w:pPr>
      <w:r w:rsidRPr="0093225C">
        <w:rPr>
          <w:rFonts w:eastAsia="Times New Roman"/>
          <w:sz w:val="22"/>
        </w:rPr>
        <w:t>inflamação do pâncreas que causa dor grave no abdómen e costas</w:t>
      </w:r>
    </w:p>
    <w:p w14:paraId="5CF8F7DA" w14:textId="77777777" w:rsidR="00685047" w:rsidRPr="00CC2ACC" w:rsidRDefault="00615769" w:rsidP="00CC2ACC">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dificuldade em engolir</w:t>
      </w:r>
    </w:p>
    <w:p w14:paraId="5649461A" w14:textId="77777777" w:rsidR="00685047" w:rsidRPr="0093225C" w:rsidRDefault="00615769" w:rsidP="00CC2ACC">
      <w:pPr>
        <w:numPr>
          <w:ilvl w:val="0"/>
          <w:numId w:val="68"/>
        </w:numPr>
        <w:tabs>
          <w:tab w:val="clear" w:pos="283"/>
          <w:tab w:val="num" w:pos="540"/>
        </w:tabs>
        <w:suppressAutoHyphens/>
        <w:ind w:left="539" w:hanging="539"/>
        <w:rPr>
          <w:rFonts w:eastAsia="Times New Roman"/>
          <w:sz w:val="22"/>
        </w:rPr>
      </w:pPr>
      <w:r w:rsidRPr="0093225C">
        <w:rPr>
          <w:rFonts w:eastAsia="Times New Roman"/>
          <w:sz w:val="22"/>
        </w:rPr>
        <w:t>edema facial (inchaço da face)</w:t>
      </w:r>
    </w:p>
    <w:p w14:paraId="54134077" w14:textId="77777777" w:rsidR="00685047" w:rsidRPr="0093225C" w:rsidRDefault="00615769" w:rsidP="00CC2ACC">
      <w:pPr>
        <w:numPr>
          <w:ilvl w:val="0"/>
          <w:numId w:val="68"/>
        </w:numPr>
        <w:tabs>
          <w:tab w:val="clear" w:pos="283"/>
          <w:tab w:val="num" w:pos="540"/>
        </w:tabs>
        <w:suppressAutoHyphens/>
        <w:ind w:left="539" w:hanging="539"/>
        <w:rPr>
          <w:rFonts w:eastAsia="Times New Roman"/>
          <w:sz w:val="22"/>
        </w:rPr>
      </w:pPr>
      <w:r w:rsidRPr="0093225C">
        <w:rPr>
          <w:rFonts w:eastAsia="Times New Roman"/>
          <w:sz w:val="22"/>
        </w:rPr>
        <w:t xml:space="preserve">inflamação da vesícula, pedra na vesícula </w:t>
      </w:r>
    </w:p>
    <w:p w14:paraId="019CFA17" w14:textId="77777777" w:rsidR="00685047" w:rsidRPr="00CC2ACC" w:rsidRDefault="00615769" w:rsidP="00CC2ACC">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fígado gordo</w:t>
      </w:r>
    </w:p>
    <w:p w14:paraId="7E32E432" w14:textId="77777777" w:rsidR="00685047" w:rsidRPr="00CC2ACC" w:rsidRDefault="00615769" w:rsidP="00CC2ACC">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suores noturnos</w:t>
      </w:r>
    </w:p>
    <w:p w14:paraId="016959F0" w14:textId="77777777" w:rsidR="00685047" w:rsidRPr="00CC2ACC" w:rsidRDefault="00615769" w:rsidP="00CC2ACC">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escaras</w:t>
      </w:r>
    </w:p>
    <w:p w14:paraId="41AC104C" w14:textId="77777777" w:rsidR="00685047" w:rsidRPr="00CC2ACC" w:rsidRDefault="00615769" w:rsidP="00CC2ACC">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colapso muscular anormal</w:t>
      </w:r>
    </w:p>
    <w:p w14:paraId="00FA11BA" w14:textId="77777777" w:rsidR="00685047" w:rsidRPr="0093225C" w:rsidRDefault="00615769" w:rsidP="00CC2ACC">
      <w:pPr>
        <w:numPr>
          <w:ilvl w:val="0"/>
          <w:numId w:val="68"/>
        </w:numPr>
        <w:tabs>
          <w:tab w:val="clear" w:pos="283"/>
          <w:tab w:val="num" w:pos="540"/>
        </w:tabs>
        <w:suppressAutoHyphens/>
        <w:ind w:left="539" w:hanging="539"/>
        <w:rPr>
          <w:rFonts w:eastAsia="Times New Roman"/>
          <w:sz w:val="22"/>
        </w:rPr>
      </w:pPr>
      <w:r w:rsidRPr="0093225C">
        <w:rPr>
          <w:rFonts w:eastAsia="Times New Roman"/>
          <w:sz w:val="22"/>
        </w:rPr>
        <w:t xml:space="preserve">lúpus eritematoso sistémico (incluindo inflamação da pele, coração, pulmão, articulações e outros </w:t>
      </w:r>
      <w:r w:rsidR="00CC20F9">
        <w:rPr>
          <w:rFonts w:eastAsia="Times New Roman"/>
          <w:sz w:val="22"/>
        </w:rPr>
        <w:t xml:space="preserve">sistemas de </w:t>
      </w:r>
      <w:r w:rsidRPr="0093225C">
        <w:rPr>
          <w:rFonts w:eastAsia="Times New Roman"/>
          <w:sz w:val="22"/>
        </w:rPr>
        <w:t>órgãos)</w:t>
      </w:r>
    </w:p>
    <w:p w14:paraId="1486AA8B" w14:textId="77777777" w:rsidR="00685047" w:rsidRPr="00CC2ACC" w:rsidRDefault="00615769" w:rsidP="00CC2ACC">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interrupções de sono</w:t>
      </w:r>
    </w:p>
    <w:p w14:paraId="0D496327" w14:textId="77777777" w:rsidR="00685047" w:rsidRPr="00CC2ACC" w:rsidRDefault="00615769" w:rsidP="00CC2ACC">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impotência</w:t>
      </w:r>
    </w:p>
    <w:p w14:paraId="536D872D" w14:textId="77777777" w:rsidR="00685047" w:rsidRPr="00CC2ACC" w:rsidRDefault="00615769" w:rsidP="00CC2ACC">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inflamações</w:t>
      </w:r>
    </w:p>
    <w:p w14:paraId="2BE7ADCA" w14:textId="77777777" w:rsidR="00685047" w:rsidRPr="008B0DDF" w:rsidRDefault="00685047" w:rsidP="00685047">
      <w:pPr>
        <w:ind w:left="568" w:hanging="568"/>
        <w:rPr>
          <w:sz w:val="22"/>
          <w:szCs w:val="22"/>
        </w:rPr>
      </w:pPr>
    </w:p>
    <w:p w14:paraId="7202F7D8" w14:textId="77777777" w:rsidR="00685047" w:rsidRPr="008B0DDF" w:rsidRDefault="00615769" w:rsidP="00685047">
      <w:pPr>
        <w:ind w:left="568" w:hanging="568"/>
        <w:rPr>
          <w:sz w:val="22"/>
          <w:szCs w:val="22"/>
        </w:rPr>
      </w:pPr>
      <w:r w:rsidRPr="008B0DDF">
        <w:rPr>
          <w:b/>
          <w:sz w:val="22"/>
          <w:szCs w:val="22"/>
        </w:rPr>
        <w:t>Raros</w:t>
      </w:r>
      <w:r w:rsidRPr="008B0DDF">
        <w:rPr>
          <w:sz w:val="22"/>
          <w:szCs w:val="22"/>
        </w:rPr>
        <w:t xml:space="preserve"> (podem afetar até 1 em 1.000 pessoas)</w:t>
      </w:r>
    </w:p>
    <w:p w14:paraId="76EB1506" w14:textId="77777777" w:rsidR="00685047" w:rsidRPr="008B0DDF" w:rsidRDefault="00685047" w:rsidP="00685047">
      <w:pPr>
        <w:ind w:left="568" w:hanging="568"/>
        <w:rPr>
          <w:sz w:val="22"/>
          <w:szCs w:val="22"/>
        </w:rPr>
      </w:pPr>
    </w:p>
    <w:p w14:paraId="33927540" w14:textId="77777777" w:rsidR="00685047" w:rsidRPr="00A44E27" w:rsidRDefault="00615769" w:rsidP="006A3BD4">
      <w:pPr>
        <w:numPr>
          <w:ilvl w:val="0"/>
          <w:numId w:val="68"/>
        </w:numPr>
        <w:tabs>
          <w:tab w:val="clear" w:pos="283"/>
          <w:tab w:val="num" w:pos="540"/>
        </w:tabs>
        <w:suppressAutoHyphens/>
        <w:ind w:left="539" w:hanging="539"/>
        <w:rPr>
          <w:rFonts w:eastAsia="Times New Roman"/>
          <w:sz w:val="22"/>
        </w:rPr>
      </w:pPr>
      <w:r w:rsidRPr="00A44E27">
        <w:rPr>
          <w:rFonts w:eastAsia="Times New Roman"/>
          <w:sz w:val="22"/>
        </w:rPr>
        <w:t>leucemia (cancro que afeta o sangue e a medula óssea)</w:t>
      </w:r>
    </w:p>
    <w:p w14:paraId="14A8EBA6" w14:textId="77777777" w:rsidR="00685047" w:rsidRPr="00CC2ACC" w:rsidRDefault="00615769" w:rsidP="006A3BD4">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reação alérgica grave com choque</w:t>
      </w:r>
    </w:p>
    <w:p w14:paraId="2F64F927" w14:textId="77777777" w:rsidR="00685047" w:rsidRPr="00CC2ACC" w:rsidRDefault="00615769" w:rsidP="006A3BD4">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esclerose múltipla</w:t>
      </w:r>
    </w:p>
    <w:p w14:paraId="4FB70956" w14:textId="77777777" w:rsidR="00685047" w:rsidRPr="00A44E27" w:rsidRDefault="00615769" w:rsidP="006A3BD4">
      <w:pPr>
        <w:numPr>
          <w:ilvl w:val="0"/>
          <w:numId w:val="68"/>
        </w:numPr>
        <w:tabs>
          <w:tab w:val="clear" w:pos="283"/>
          <w:tab w:val="num" w:pos="540"/>
        </w:tabs>
        <w:suppressAutoHyphens/>
        <w:ind w:left="539" w:hanging="539"/>
        <w:rPr>
          <w:rFonts w:eastAsia="Times New Roman"/>
          <w:sz w:val="22"/>
        </w:rPr>
      </w:pPr>
      <w:r w:rsidRPr="00A44E27">
        <w:rPr>
          <w:rFonts w:eastAsia="Times New Roman"/>
          <w:sz w:val="22"/>
        </w:rPr>
        <w:t>alterações neurológicas (tais como inflamação do nervo ocular e síndrome de Guillain-Barré que pode causar fraqueza muscular, sensações anormais, formigueiro nos braços e na parte superior do corpo)</w:t>
      </w:r>
    </w:p>
    <w:p w14:paraId="3BEDFC9D" w14:textId="77777777" w:rsidR="00685047" w:rsidRPr="00CC2ACC" w:rsidRDefault="00615769" w:rsidP="006A3BD4">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o coração deixa de bombear</w:t>
      </w:r>
    </w:p>
    <w:p w14:paraId="3400DABE" w14:textId="77777777" w:rsidR="00685047" w:rsidRPr="00A44E27" w:rsidRDefault="00615769" w:rsidP="006A3BD4">
      <w:pPr>
        <w:numPr>
          <w:ilvl w:val="0"/>
          <w:numId w:val="68"/>
        </w:numPr>
        <w:tabs>
          <w:tab w:val="clear" w:pos="283"/>
          <w:tab w:val="num" w:pos="540"/>
        </w:tabs>
        <w:suppressAutoHyphens/>
        <w:ind w:left="539" w:hanging="539"/>
        <w:rPr>
          <w:rFonts w:eastAsia="Times New Roman"/>
          <w:sz w:val="22"/>
        </w:rPr>
      </w:pPr>
      <w:r w:rsidRPr="00A44E27">
        <w:rPr>
          <w:rFonts w:eastAsia="Times New Roman"/>
          <w:sz w:val="22"/>
        </w:rPr>
        <w:t>fibrose pulmonar (cicatrizes no pulmão)</w:t>
      </w:r>
    </w:p>
    <w:p w14:paraId="1FD47E59" w14:textId="77777777" w:rsidR="00685047" w:rsidRPr="00A44E27" w:rsidRDefault="00615769" w:rsidP="006A3BD4">
      <w:pPr>
        <w:numPr>
          <w:ilvl w:val="0"/>
          <w:numId w:val="68"/>
        </w:numPr>
        <w:tabs>
          <w:tab w:val="clear" w:pos="283"/>
          <w:tab w:val="num" w:pos="540"/>
        </w:tabs>
        <w:suppressAutoHyphens/>
        <w:ind w:left="539" w:hanging="539"/>
        <w:rPr>
          <w:rFonts w:eastAsia="Times New Roman"/>
          <w:sz w:val="22"/>
        </w:rPr>
      </w:pPr>
      <w:r w:rsidRPr="00A44E27">
        <w:rPr>
          <w:rFonts w:eastAsia="Times New Roman"/>
          <w:sz w:val="22"/>
        </w:rPr>
        <w:t>perfuração intestinal (buraco no intestino)</w:t>
      </w:r>
    </w:p>
    <w:p w14:paraId="35FFCF36" w14:textId="77777777" w:rsidR="00685047" w:rsidRPr="00CC2ACC" w:rsidRDefault="00615769" w:rsidP="006A3BD4">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hepatite</w:t>
      </w:r>
    </w:p>
    <w:p w14:paraId="31BD0AE8" w14:textId="77777777" w:rsidR="00685047" w:rsidRPr="00CC2ACC" w:rsidRDefault="00615769" w:rsidP="006A3BD4">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reativação da hepatite B</w:t>
      </w:r>
    </w:p>
    <w:p w14:paraId="3C583A47" w14:textId="77777777" w:rsidR="00685047" w:rsidRPr="00A44E27" w:rsidRDefault="00615769" w:rsidP="006A3BD4">
      <w:pPr>
        <w:numPr>
          <w:ilvl w:val="0"/>
          <w:numId w:val="68"/>
        </w:numPr>
        <w:tabs>
          <w:tab w:val="clear" w:pos="283"/>
          <w:tab w:val="num" w:pos="540"/>
        </w:tabs>
        <w:suppressAutoHyphens/>
        <w:ind w:left="539" w:hanging="539"/>
        <w:rPr>
          <w:rFonts w:eastAsia="Times New Roman"/>
          <w:sz w:val="22"/>
        </w:rPr>
      </w:pPr>
      <w:r w:rsidRPr="00A44E27">
        <w:rPr>
          <w:rFonts w:eastAsia="Times New Roman"/>
          <w:sz w:val="22"/>
        </w:rPr>
        <w:t>hepatite autoimune (inflamação do fígado causada pelo próprio sistema imunitário do corpo)</w:t>
      </w:r>
    </w:p>
    <w:p w14:paraId="1FC08106" w14:textId="77777777" w:rsidR="00685047" w:rsidRPr="00A44E27" w:rsidRDefault="00615769" w:rsidP="006A3BD4">
      <w:pPr>
        <w:numPr>
          <w:ilvl w:val="0"/>
          <w:numId w:val="68"/>
        </w:numPr>
        <w:tabs>
          <w:tab w:val="clear" w:pos="283"/>
          <w:tab w:val="num" w:pos="540"/>
        </w:tabs>
        <w:suppressAutoHyphens/>
        <w:ind w:left="539" w:hanging="539"/>
        <w:rPr>
          <w:rFonts w:eastAsia="Times New Roman"/>
          <w:sz w:val="22"/>
        </w:rPr>
      </w:pPr>
      <w:r w:rsidRPr="00A44E27">
        <w:rPr>
          <w:rFonts w:eastAsia="Times New Roman"/>
          <w:sz w:val="22"/>
        </w:rPr>
        <w:t>vasculite cutânea (inflamação dos vasos sanguíneos da pele)</w:t>
      </w:r>
    </w:p>
    <w:p w14:paraId="372284BE" w14:textId="77777777" w:rsidR="00685047" w:rsidRPr="00A44E27" w:rsidRDefault="00615769" w:rsidP="006A3BD4">
      <w:pPr>
        <w:numPr>
          <w:ilvl w:val="0"/>
          <w:numId w:val="68"/>
        </w:numPr>
        <w:tabs>
          <w:tab w:val="clear" w:pos="283"/>
          <w:tab w:val="num" w:pos="540"/>
        </w:tabs>
        <w:suppressAutoHyphens/>
        <w:ind w:left="539" w:hanging="539"/>
        <w:rPr>
          <w:rFonts w:eastAsia="Times New Roman"/>
          <w:sz w:val="22"/>
        </w:rPr>
      </w:pPr>
      <w:r w:rsidRPr="00A44E27">
        <w:rPr>
          <w:rFonts w:eastAsia="Times New Roman"/>
          <w:sz w:val="22"/>
        </w:rPr>
        <w:t>síndrome de Stevens-Johnson (sintomas iniciais incluindo indisposição, febre, dor de cabeça e erupção cutânea)</w:t>
      </w:r>
    </w:p>
    <w:p w14:paraId="424B4464" w14:textId="77777777" w:rsidR="00685047" w:rsidRPr="00A44E27" w:rsidRDefault="00615769" w:rsidP="006A3BD4">
      <w:pPr>
        <w:numPr>
          <w:ilvl w:val="0"/>
          <w:numId w:val="68"/>
        </w:numPr>
        <w:tabs>
          <w:tab w:val="clear" w:pos="283"/>
          <w:tab w:val="num" w:pos="540"/>
        </w:tabs>
        <w:suppressAutoHyphens/>
        <w:ind w:left="539" w:hanging="539"/>
        <w:rPr>
          <w:rFonts w:eastAsia="Times New Roman"/>
          <w:sz w:val="22"/>
        </w:rPr>
      </w:pPr>
      <w:r w:rsidRPr="00A44E27">
        <w:rPr>
          <w:rFonts w:eastAsia="Times New Roman"/>
          <w:sz w:val="22"/>
        </w:rPr>
        <w:t>edema facial (inchaço da face) associado com reações alérgicas</w:t>
      </w:r>
    </w:p>
    <w:p w14:paraId="5C8B8239" w14:textId="77777777" w:rsidR="00685047" w:rsidRPr="00A44E27" w:rsidRDefault="00615769" w:rsidP="006A3BD4">
      <w:pPr>
        <w:numPr>
          <w:ilvl w:val="0"/>
          <w:numId w:val="68"/>
        </w:numPr>
        <w:tabs>
          <w:tab w:val="clear" w:pos="283"/>
          <w:tab w:val="num" w:pos="540"/>
        </w:tabs>
        <w:suppressAutoHyphens/>
        <w:ind w:left="539" w:hanging="539"/>
        <w:rPr>
          <w:rFonts w:eastAsia="Times New Roman"/>
          <w:sz w:val="22"/>
        </w:rPr>
      </w:pPr>
      <w:r w:rsidRPr="00A44E27">
        <w:rPr>
          <w:rFonts w:eastAsia="Times New Roman"/>
          <w:sz w:val="22"/>
        </w:rPr>
        <w:t>eritema multiforme (erupção cutânea inflamatória)</w:t>
      </w:r>
    </w:p>
    <w:p w14:paraId="6F0FB300" w14:textId="77777777" w:rsidR="00685047" w:rsidRPr="006A3BD4" w:rsidRDefault="00615769" w:rsidP="006A3BD4">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síndrome tipo</w:t>
      </w:r>
      <w:r w:rsidRPr="006A3BD4">
        <w:rPr>
          <w:rFonts w:eastAsia="Times New Roman"/>
          <w:sz w:val="22"/>
          <w:lang w:val="en-GB"/>
        </w:rPr>
        <w:t xml:space="preserve"> lúpus</w:t>
      </w:r>
    </w:p>
    <w:p w14:paraId="4852EF3A" w14:textId="77777777" w:rsidR="00A7534F" w:rsidRDefault="00615769" w:rsidP="006A3BD4">
      <w:pPr>
        <w:numPr>
          <w:ilvl w:val="0"/>
          <w:numId w:val="68"/>
        </w:numPr>
        <w:tabs>
          <w:tab w:val="clear" w:pos="283"/>
          <w:tab w:val="num" w:pos="540"/>
        </w:tabs>
        <w:suppressAutoHyphens/>
        <w:ind w:left="539" w:hanging="539"/>
        <w:rPr>
          <w:rFonts w:eastAsia="Times New Roman"/>
          <w:sz w:val="22"/>
        </w:rPr>
      </w:pPr>
      <w:r w:rsidRPr="00A44E27">
        <w:rPr>
          <w:rFonts w:eastAsia="Times New Roman"/>
          <w:sz w:val="22"/>
        </w:rPr>
        <w:t>angioedema (inchaço localizado da pele)</w:t>
      </w:r>
    </w:p>
    <w:p w14:paraId="30B05106" w14:textId="77777777" w:rsidR="002B1873" w:rsidRPr="002B1873" w:rsidRDefault="00615769" w:rsidP="00636825">
      <w:pPr>
        <w:pStyle w:val="ListParagraph"/>
        <w:numPr>
          <w:ilvl w:val="0"/>
          <w:numId w:val="68"/>
        </w:numPr>
        <w:tabs>
          <w:tab w:val="clear" w:pos="283"/>
          <w:tab w:val="num" w:pos="0"/>
        </w:tabs>
        <w:ind w:hanging="566"/>
        <w:rPr>
          <w:rFonts w:eastAsia="Times New Roman"/>
          <w:sz w:val="22"/>
        </w:rPr>
      </w:pPr>
      <w:r>
        <w:rPr>
          <w:rFonts w:eastAsia="Times New Roman"/>
          <w:sz w:val="22"/>
        </w:rPr>
        <w:t>r</w:t>
      </w:r>
      <w:r w:rsidRPr="002B1873">
        <w:rPr>
          <w:rFonts w:eastAsia="Times New Roman"/>
          <w:sz w:val="22"/>
        </w:rPr>
        <w:t>eação cutânea liquen</w:t>
      </w:r>
      <w:r>
        <w:rPr>
          <w:rFonts w:eastAsia="Times New Roman"/>
          <w:sz w:val="22"/>
        </w:rPr>
        <w:t>o</w:t>
      </w:r>
      <w:r w:rsidRPr="002B1873">
        <w:rPr>
          <w:rFonts w:eastAsia="Times New Roman"/>
          <w:sz w:val="22"/>
        </w:rPr>
        <w:t xml:space="preserve">ide (erupção </w:t>
      </w:r>
      <w:r>
        <w:rPr>
          <w:rFonts w:eastAsia="Times New Roman"/>
          <w:sz w:val="22"/>
        </w:rPr>
        <w:t>na pele</w:t>
      </w:r>
      <w:r w:rsidRPr="002B1873">
        <w:rPr>
          <w:rFonts w:eastAsia="Times New Roman"/>
          <w:sz w:val="22"/>
        </w:rPr>
        <w:t xml:space="preserve"> vermelho-púrpura com comichão)</w:t>
      </w:r>
    </w:p>
    <w:p w14:paraId="77211B8F" w14:textId="77777777" w:rsidR="00685047" w:rsidRPr="008B0DDF" w:rsidRDefault="00685047" w:rsidP="00685047">
      <w:pPr>
        <w:rPr>
          <w:sz w:val="22"/>
          <w:szCs w:val="22"/>
        </w:rPr>
      </w:pPr>
    </w:p>
    <w:p w14:paraId="4C2B289F" w14:textId="77777777" w:rsidR="00685047" w:rsidRPr="008B0DDF" w:rsidRDefault="00615769" w:rsidP="00685047">
      <w:pPr>
        <w:rPr>
          <w:sz w:val="22"/>
          <w:szCs w:val="22"/>
        </w:rPr>
      </w:pPr>
      <w:r w:rsidRPr="008B0DDF">
        <w:rPr>
          <w:b/>
          <w:sz w:val="22"/>
          <w:szCs w:val="22"/>
        </w:rPr>
        <w:t>Desconhecido</w:t>
      </w:r>
      <w:r w:rsidRPr="008B0DDF">
        <w:rPr>
          <w:sz w:val="22"/>
          <w:szCs w:val="22"/>
        </w:rPr>
        <w:t xml:space="preserve"> (a frequência não pode ser calculada a partir dos dados disponíveis)</w:t>
      </w:r>
    </w:p>
    <w:p w14:paraId="2EC2365A" w14:textId="77777777" w:rsidR="00685047" w:rsidRPr="008B0DDF" w:rsidRDefault="00685047" w:rsidP="00685047">
      <w:pPr>
        <w:rPr>
          <w:sz w:val="22"/>
          <w:szCs w:val="22"/>
        </w:rPr>
      </w:pPr>
    </w:p>
    <w:p w14:paraId="6BABE552" w14:textId="77777777" w:rsidR="00685047" w:rsidRPr="00A44E27" w:rsidRDefault="00615769" w:rsidP="006A3BD4">
      <w:pPr>
        <w:numPr>
          <w:ilvl w:val="0"/>
          <w:numId w:val="68"/>
        </w:numPr>
        <w:tabs>
          <w:tab w:val="clear" w:pos="283"/>
          <w:tab w:val="num" w:pos="540"/>
        </w:tabs>
        <w:suppressAutoHyphens/>
        <w:ind w:left="539" w:hanging="539"/>
        <w:rPr>
          <w:rFonts w:eastAsia="Times New Roman"/>
          <w:sz w:val="22"/>
        </w:rPr>
      </w:pPr>
      <w:r w:rsidRPr="00A44E27">
        <w:rPr>
          <w:rFonts w:eastAsia="Times New Roman"/>
          <w:sz w:val="22"/>
        </w:rPr>
        <w:t>linfoma hepatoesplénico de linfócitos T (um raro cancro de sangue que muitas vezes é fatal)</w:t>
      </w:r>
    </w:p>
    <w:p w14:paraId="3C8977B2" w14:textId="77777777" w:rsidR="00685047" w:rsidRDefault="00615769" w:rsidP="006A3BD4">
      <w:pPr>
        <w:numPr>
          <w:ilvl w:val="0"/>
          <w:numId w:val="68"/>
        </w:numPr>
        <w:tabs>
          <w:tab w:val="clear" w:pos="283"/>
          <w:tab w:val="num" w:pos="540"/>
        </w:tabs>
        <w:suppressAutoHyphens/>
        <w:ind w:left="539" w:hanging="539"/>
        <w:rPr>
          <w:rFonts w:eastAsia="Times New Roman"/>
          <w:sz w:val="22"/>
        </w:rPr>
      </w:pPr>
      <w:r w:rsidRPr="00A44E27">
        <w:rPr>
          <w:rFonts w:eastAsia="Times New Roman"/>
          <w:sz w:val="22"/>
        </w:rPr>
        <w:t>carcinoma de células de Merkel (um tipo de cancro de pele)</w:t>
      </w:r>
    </w:p>
    <w:p w14:paraId="00C1B9B7" w14:textId="77777777" w:rsidR="00A06FA4" w:rsidRPr="00A44E27" w:rsidRDefault="00615769" w:rsidP="006A3BD4">
      <w:pPr>
        <w:numPr>
          <w:ilvl w:val="0"/>
          <w:numId w:val="68"/>
        </w:numPr>
        <w:tabs>
          <w:tab w:val="clear" w:pos="283"/>
          <w:tab w:val="num" w:pos="540"/>
        </w:tabs>
        <w:suppressAutoHyphens/>
        <w:ind w:left="539" w:hanging="539"/>
        <w:rPr>
          <w:rFonts w:eastAsia="Times New Roman"/>
          <w:sz w:val="22"/>
        </w:rPr>
      </w:pPr>
      <w:r>
        <w:rPr>
          <w:sz w:val="22"/>
          <w:szCs w:val="22"/>
        </w:rPr>
        <w:t>s</w:t>
      </w:r>
      <w:r w:rsidRPr="006819E5">
        <w:rPr>
          <w:sz w:val="22"/>
          <w:szCs w:val="22"/>
        </w:rPr>
        <w:t>arcoma de Kaposi, um cancro raro relacionado com a infeção pelo vírus herpes humano 8. O sarcoma de Kaposi aparece mais frequentemente na forma de lesões cutâneas de cor púrpura</w:t>
      </w:r>
    </w:p>
    <w:p w14:paraId="22FE50FD" w14:textId="77777777" w:rsidR="00685047" w:rsidRPr="00CC2ACC" w:rsidRDefault="00615769" w:rsidP="006A3BD4">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 xml:space="preserve">insuficiência hepática </w:t>
      </w:r>
    </w:p>
    <w:p w14:paraId="1175B389" w14:textId="77777777" w:rsidR="007A4E33" w:rsidRDefault="00615769" w:rsidP="007A4E33">
      <w:pPr>
        <w:pStyle w:val="ListParagraph"/>
        <w:numPr>
          <w:ilvl w:val="0"/>
          <w:numId w:val="114"/>
        </w:numPr>
        <w:ind w:left="567" w:hanging="567"/>
        <w:rPr>
          <w:sz w:val="22"/>
          <w:szCs w:val="22"/>
        </w:rPr>
      </w:pPr>
      <w:r w:rsidRPr="00A44E27">
        <w:rPr>
          <w:rFonts w:eastAsia="Times New Roman"/>
          <w:sz w:val="22"/>
        </w:rPr>
        <w:t>agravamento de uma doença chamada dermatomiosite (que corresponde a uma erupção cutânea acompanhada de fraqueza muscular)</w:t>
      </w:r>
      <w:r w:rsidRPr="007A4E33">
        <w:rPr>
          <w:sz w:val="22"/>
          <w:szCs w:val="22"/>
        </w:rPr>
        <w:t xml:space="preserve"> </w:t>
      </w:r>
    </w:p>
    <w:p w14:paraId="6B754188" w14:textId="77777777" w:rsidR="00685047" w:rsidRPr="00A10CE1" w:rsidRDefault="00615769" w:rsidP="00A10CE1">
      <w:pPr>
        <w:pStyle w:val="ListParagraph"/>
        <w:numPr>
          <w:ilvl w:val="0"/>
          <w:numId w:val="114"/>
        </w:numPr>
        <w:ind w:left="567" w:hanging="567"/>
        <w:rPr>
          <w:sz w:val="22"/>
          <w:szCs w:val="22"/>
        </w:rPr>
      </w:pPr>
      <w:r>
        <w:rPr>
          <w:sz w:val="22"/>
          <w:szCs w:val="22"/>
        </w:rPr>
        <w:t>a</w:t>
      </w:r>
      <w:r w:rsidRPr="007A4E33">
        <w:rPr>
          <w:sz w:val="22"/>
          <w:szCs w:val="22"/>
        </w:rPr>
        <w:t>umento de peso (para a maioria dos doentes, o aumento de peso foi pequeno)</w:t>
      </w:r>
    </w:p>
    <w:p w14:paraId="0C5FEDCA" w14:textId="77777777" w:rsidR="00685047" w:rsidRPr="008B0DDF" w:rsidRDefault="00685047" w:rsidP="00685047">
      <w:pPr>
        <w:rPr>
          <w:sz w:val="22"/>
          <w:szCs w:val="22"/>
        </w:rPr>
      </w:pPr>
    </w:p>
    <w:p w14:paraId="5732257D" w14:textId="77777777" w:rsidR="00685047" w:rsidRPr="008B0DDF" w:rsidRDefault="00615769" w:rsidP="00685047">
      <w:pPr>
        <w:rPr>
          <w:sz w:val="22"/>
          <w:szCs w:val="22"/>
        </w:rPr>
      </w:pPr>
      <w:r w:rsidRPr="008B0DDF">
        <w:rPr>
          <w:sz w:val="22"/>
          <w:szCs w:val="22"/>
        </w:rPr>
        <w:t xml:space="preserve">Alguns efeitos </w:t>
      </w:r>
      <w:r w:rsidR="00571C82">
        <w:rPr>
          <w:sz w:val="22"/>
          <w:szCs w:val="22"/>
        </w:rPr>
        <w:t>indesejáveis</w:t>
      </w:r>
      <w:r w:rsidRPr="008B0DDF">
        <w:rPr>
          <w:sz w:val="22"/>
          <w:szCs w:val="22"/>
        </w:rPr>
        <w:t xml:space="preserve"> observados com Humira podem não ter sintomas e só podem ser identificados através de análises ao sangue. Estes incluem:</w:t>
      </w:r>
    </w:p>
    <w:p w14:paraId="39D514B6" w14:textId="77777777" w:rsidR="00685047" w:rsidRPr="008B0DDF" w:rsidRDefault="00685047" w:rsidP="00685047">
      <w:pPr>
        <w:rPr>
          <w:sz w:val="22"/>
          <w:szCs w:val="22"/>
        </w:rPr>
      </w:pPr>
    </w:p>
    <w:p w14:paraId="3E885DF6" w14:textId="77777777" w:rsidR="00685047" w:rsidRPr="008B0DDF" w:rsidRDefault="00615769" w:rsidP="00685047">
      <w:pPr>
        <w:rPr>
          <w:sz w:val="22"/>
          <w:szCs w:val="22"/>
        </w:rPr>
      </w:pPr>
      <w:r w:rsidRPr="008B0DDF">
        <w:rPr>
          <w:b/>
          <w:sz w:val="22"/>
          <w:szCs w:val="22"/>
        </w:rPr>
        <w:t>Muito frequentes</w:t>
      </w:r>
      <w:r w:rsidRPr="008B0DDF">
        <w:rPr>
          <w:sz w:val="22"/>
          <w:szCs w:val="22"/>
        </w:rPr>
        <w:t xml:space="preserve"> (podem afetar mais de 1 em 10 pessoas)</w:t>
      </w:r>
    </w:p>
    <w:p w14:paraId="10898A06" w14:textId="77777777" w:rsidR="00685047" w:rsidRPr="008B0DDF" w:rsidRDefault="00685047" w:rsidP="00685047">
      <w:pPr>
        <w:rPr>
          <w:sz w:val="22"/>
          <w:szCs w:val="22"/>
        </w:rPr>
      </w:pPr>
    </w:p>
    <w:p w14:paraId="0780D1FD" w14:textId="77777777" w:rsidR="00685047" w:rsidRPr="00CC2ACC" w:rsidRDefault="00615769" w:rsidP="006A3BD4">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 xml:space="preserve">contagem diminuída dos glóbulos brancos </w:t>
      </w:r>
    </w:p>
    <w:p w14:paraId="74048729" w14:textId="77777777" w:rsidR="00685047" w:rsidRPr="00CC2ACC" w:rsidRDefault="00615769" w:rsidP="006A3BD4">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contagem diminuída dos glóbulos vermelhos</w:t>
      </w:r>
    </w:p>
    <w:p w14:paraId="6CC22F32" w14:textId="77777777" w:rsidR="00685047" w:rsidRPr="00CC2ACC" w:rsidRDefault="00615769" w:rsidP="006A3BD4">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aumento dos lípidos no sangue</w:t>
      </w:r>
    </w:p>
    <w:p w14:paraId="70998261" w14:textId="77777777" w:rsidR="00685047" w:rsidRPr="008B0DDF" w:rsidRDefault="00615769" w:rsidP="006A3BD4">
      <w:pPr>
        <w:numPr>
          <w:ilvl w:val="0"/>
          <w:numId w:val="68"/>
        </w:numPr>
        <w:tabs>
          <w:tab w:val="clear" w:pos="283"/>
          <w:tab w:val="num" w:pos="540"/>
        </w:tabs>
        <w:suppressAutoHyphens/>
        <w:ind w:left="539" w:hanging="539"/>
        <w:rPr>
          <w:sz w:val="22"/>
          <w:szCs w:val="22"/>
        </w:rPr>
      </w:pPr>
      <w:r w:rsidRPr="00CC2ACC">
        <w:rPr>
          <w:rFonts w:eastAsia="Times New Roman"/>
          <w:sz w:val="22"/>
          <w:lang w:val="en-GB"/>
        </w:rPr>
        <w:t>aumento</w:t>
      </w:r>
      <w:r w:rsidRPr="006A3BD4">
        <w:rPr>
          <w:rFonts w:eastAsia="Times New Roman"/>
          <w:sz w:val="22"/>
          <w:lang w:val="en-GB"/>
        </w:rPr>
        <w:t xml:space="preserve"> das enzimas hepáticas</w:t>
      </w:r>
    </w:p>
    <w:p w14:paraId="4C2BAEC3" w14:textId="77777777" w:rsidR="00685047" w:rsidRPr="008B0DDF" w:rsidRDefault="00685047" w:rsidP="00685047">
      <w:pPr>
        <w:rPr>
          <w:sz w:val="22"/>
          <w:szCs w:val="22"/>
        </w:rPr>
      </w:pPr>
    </w:p>
    <w:p w14:paraId="42DC3B7E" w14:textId="77777777" w:rsidR="00685047" w:rsidRPr="008B0DDF" w:rsidRDefault="00615769" w:rsidP="00685047">
      <w:pPr>
        <w:keepNext/>
        <w:rPr>
          <w:sz w:val="22"/>
          <w:szCs w:val="22"/>
        </w:rPr>
      </w:pPr>
      <w:r w:rsidRPr="008B0DDF">
        <w:rPr>
          <w:b/>
          <w:sz w:val="22"/>
          <w:szCs w:val="22"/>
        </w:rPr>
        <w:t>Frequentes</w:t>
      </w:r>
      <w:r w:rsidRPr="008B0DDF">
        <w:rPr>
          <w:sz w:val="22"/>
          <w:szCs w:val="22"/>
        </w:rPr>
        <w:t xml:space="preserve"> (podem afetar até 1 em 10 pessoas)</w:t>
      </w:r>
    </w:p>
    <w:p w14:paraId="15E323A6" w14:textId="77777777" w:rsidR="00685047" w:rsidRPr="008B0DDF" w:rsidRDefault="00685047" w:rsidP="00685047">
      <w:pPr>
        <w:keepNext/>
        <w:rPr>
          <w:sz w:val="22"/>
          <w:szCs w:val="22"/>
        </w:rPr>
      </w:pPr>
    </w:p>
    <w:p w14:paraId="45DB46BC" w14:textId="77777777" w:rsidR="00685047" w:rsidRPr="00CC2ACC" w:rsidRDefault="00615769" w:rsidP="006A3BD4">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contagem aumentada dos glóbulos brancos</w:t>
      </w:r>
    </w:p>
    <w:p w14:paraId="08357351" w14:textId="77777777" w:rsidR="00685047" w:rsidRPr="00CC2ACC" w:rsidRDefault="00615769" w:rsidP="006A3BD4">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 xml:space="preserve">contagem </w:t>
      </w:r>
      <w:r w:rsidRPr="00CC2ACC">
        <w:rPr>
          <w:rFonts w:eastAsia="Times New Roman"/>
          <w:sz w:val="22"/>
          <w:lang w:val="en-GB"/>
        </w:rPr>
        <w:t>diminuída das plaquetas</w:t>
      </w:r>
    </w:p>
    <w:p w14:paraId="059595D0" w14:textId="77777777" w:rsidR="00685047" w:rsidRPr="00A44E27" w:rsidRDefault="00615769" w:rsidP="006A3BD4">
      <w:pPr>
        <w:numPr>
          <w:ilvl w:val="0"/>
          <w:numId w:val="68"/>
        </w:numPr>
        <w:tabs>
          <w:tab w:val="clear" w:pos="283"/>
          <w:tab w:val="num" w:pos="540"/>
        </w:tabs>
        <w:suppressAutoHyphens/>
        <w:ind w:left="539" w:hanging="539"/>
        <w:rPr>
          <w:rFonts w:eastAsia="Times New Roman"/>
          <w:sz w:val="22"/>
        </w:rPr>
      </w:pPr>
      <w:r w:rsidRPr="00A44E27">
        <w:rPr>
          <w:rFonts w:eastAsia="Times New Roman"/>
          <w:sz w:val="22"/>
        </w:rPr>
        <w:t>aumento de ácido úrico no sangue</w:t>
      </w:r>
    </w:p>
    <w:p w14:paraId="56A1068E" w14:textId="77777777" w:rsidR="00685047" w:rsidRPr="00A44E27" w:rsidRDefault="00615769" w:rsidP="006A3BD4">
      <w:pPr>
        <w:numPr>
          <w:ilvl w:val="0"/>
          <w:numId w:val="68"/>
        </w:numPr>
        <w:tabs>
          <w:tab w:val="clear" w:pos="283"/>
          <w:tab w:val="num" w:pos="540"/>
        </w:tabs>
        <w:suppressAutoHyphens/>
        <w:ind w:left="539" w:hanging="539"/>
        <w:rPr>
          <w:rFonts w:eastAsia="Times New Roman"/>
          <w:sz w:val="22"/>
        </w:rPr>
      </w:pPr>
      <w:r w:rsidRPr="00A44E27">
        <w:rPr>
          <w:rFonts w:eastAsia="Times New Roman"/>
          <w:sz w:val="22"/>
        </w:rPr>
        <w:t>contagem anormal de sódio no sangue</w:t>
      </w:r>
    </w:p>
    <w:p w14:paraId="7A85660D" w14:textId="77777777" w:rsidR="00685047" w:rsidRPr="00A44E27" w:rsidRDefault="00615769" w:rsidP="006A3BD4">
      <w:pPr>
        <w:numPr>
          <w:ilvl w:val="0"/>
          <w:numId w:val="68"/>
        </w:numPr>
        <w:tabs>
          <w:tab w:val="clear" w:pos="283"/>
          <w:tab w:val="num" w:pos="540"/>
        </w:tabs>
        <w:suppressAutoHyphens/>
        <w:ind w:left="539" w:hanging="539"/>
        <w:rPr>
          <w:rFonts w:eastAsia="Times New Roman"/>
          <w:sz w:val="22"/>
        </w:rPr>
      </w:pPr>
      <w:r w:rsidRPr="00A44E27">
        <w:rPr>
          <w:rFonts w:eastAsia="Times New Roman"/>
          <w:sz w:val="22"/>
        </w:rPr>
        <w:t>contagem diminuída de cálcio no sangue</w:t>
      </w:r>
    </w:p>
    <w:p w14:paraId="6AA8F336" w14:textId="77777777" w:rsidR="00685047" w:rsidRPr="00A44E27" w:rsidRDefault="00615769" w:rsidP="006A3BD4">
      <w:pPr>
        <w:numPr>
          <w:ilvl w:val="0"/>
          <w:numId w:val="68"/>
        </w:numPr>
        <w:tabs>
          <w:tab w:val="clear" w:pos="283"/>
          <w:tab w:val="num" w:pos="540"/>
        </w:tabs>
        <w:suppressAutoHyphens/>
        <w:ind w:left="539" w:hanging="539"/>
        <w:rPr>
          <w:rFonts w:eastAsia="Times New Roman"/>
          <w:sz w:val="22"/>
        </w:rPr>
      </w:pPr>
      <w:r w:rsidRPr="00A44E27">
        <w:rPr>
          <w:rFonts w:eastAsia="Times New Roman"/>
          <w:sz w:val="22"/>
        </w:rPr>
        <w:t>contagem diminuída de fosfato no sangue</w:t>
      </w:r>
    </w:p>
    <w:p w14:paraId="6E874D6F" w14:textId="77777777" w:rsidR="00685047" w:rsidRPr="00A44E27" w:rsidRDefault="00615769" w:rsidP="006A3BD4">
      <w:pPr>
        <w:numPr>
          <w:ilvl w:val="0"/>
          <w:numId w:val="68"/>
        </w:numPr>
        <w:tabs>
          <w:tab w:val="clear" w:pos="283"/>
          <w:tab w:val="num" w:pos="540"/>
        </w:tabs>
        <w:suppressAutoHyphens/>
        <w:ind w:left="539" w:hanging="539"/>
        <w:rPr>
          <w:rFonts w:eastAsia="Times New Roman"/>
          <w:sz w:val="22"/>
        </w:rPr>
      </w:pPr>
      <w:r w:rsidRPr="00A44E27">
        <w:rPr>
          <w:rFonts w:eastAsia="Times New Roman"/>
          <w:sz w:val="22"/>
        </w:rPr>
        <w:t>nível de açúcar aumentado no sangue</w:t>
      </w:r>
    </w:p>
    <w:p w14:paraId="57B28DF7" w14:textId="77777777" w:rsidR="00685047" w:rsidRPr="00A44E27" w:rsidRDefault="00615769" w:rsidP="006A3BD4">
      <w:pPr>
        <w:numPr>
          <w:ilvl w:val="0"/>
          <w:numId w:val="68"/>
        </w:numPr>
        <w:tabs>
          <w:tab w:val="clear" w:pos="283"/>
          <w:tab w:val="num" w:pos="540"/>
        </w:tabs>
        <w:suppressAutoHyphens/>
        <w:ind w:left="539" w:hanging="539"/>
        <w:rPr>
          <w:rFonts w:eastAsia="Times New Roman"/>
          <w:sz w:val="22"/>
        </w:rPr>
      </w:pPr>
      <w:r w:rsidRPr="00A44E27">
        <w:rPr>
          <w:rFonts w:eastAsia="Times New Roman"/>
          <w:sz w:val="22"/>
        </w:rPr>
        <w:t>valores aumentados de dehidrogenase láctica no sangue</w:t>
      </w:r>
    </w:p>
    <w:p w14:paraId="77FD1345" w14:textId="77777777" w:rsidR="00685047" w:rsidRDefault="00615769" w:rsidP="006A3BD4">
      <w:pPr>
        <w:numPr>
          <w:ilvl w:val="0"/>
          <w:numId w:val="68"/>
        </w:numPr>
        <w:tabs>
          <w:tab w:val="clear" w:pos="283"/>
          <w:tab w:val="num" w:pos="540"/>
        </w:tabs>
        <w:suppressAutoHyphens/>
        <w:ind w:left="539" w:hanging="539"/>
        <w:rPr>
          <w:rFonts w:eastAsia="Times New Roman"/>
          <w:sz w:val="22"/>
          <w:lang w:val="en-GB"/>
        </w:rPr>
      </w:pPr>
      <w:r w:rsidRPr="00CC2ACC">
        <w:rPr>
          <w:rFonts w:eastAsia="Times New Roman"/>
          <w:sz w:val="22"/>
          <w:lang w:val="en-GB"/>
        </w:rPr>
        <w:t>presença de autoanticorpos no sangue</w:t>
      </w:r>
    </w:p>
    <w:p w14:paraId="42D93667" w14:textId="77777777" w:rsidR="00A7534F" w:rsidRPr="00A44E27" w:rsidRDefault="00615769" w:rsidP="006A3BD4">
      <w:pPr>
        <w:numPr>
          <w:ilvl w:val="0"/>
          <w:numId w:val="68"/>
        </w:numPr>
        <w:tabs>
          <w:tab w:val="clear" w:pos="283"/>
          <w:tab w:val="num" w:pos="540"/>
        </w:tabs>
        <w:suppressAutoHyphens/>
        <w:ind w:left="539" w:hanging="539"/>
        <w:rPr>
          <w:rFonts w:eastAsia="Times New Roman"/>
          <w:sz w:val="22"/>
        </w:rPr>
      </w:pPr>
      <w:r w:rsidRPr="00A44E27">
        <w:rPr>
          <w:rFonts w:eastAsia="Times New Roman"/>
          <w:sz w:val="22"/>
        </w:rPr>
        <w:t>baixo teor de potássio no sangue</w:t>
      </w:r>
    </w:p>
    <w:p w14:paraId="2208DC78" w14:textId="77777777" w:rsidR="00685047" w:rsidRPr="00F03C54" w:rsidRDefault="00685047" w:rsidP="00CC2ACC">
      <w:pPr>
        <w:suppressAutoHyphens/>
        <w:ind w:left="539"/>
        <w:rPr>
          <w:rFonts w:eastAsia="Times New Roman"/>
          <w:sz w:val="22"/>
        </w:rPr>
      </w:pPr>
    </w:p>
    <w:p w14:paraId="48FEB345" w14:textId="77777777" w:rsidR="00A7534F" w:rsidRDefault="00615769" w:rsidP="00A7534F">
      <w:pPr>
        <w:rPr>
          <w:sz w:val="22"/>
          <w:szCs w:val="22"/>
        </w:rPr>
      </w:pPr>
      <w:r w:rsidRPr="00E51FCC">
        <w:rPr>
          <w:b/>
          <w:sz w:val="22"/>
          <w:szCs w:val="22"/>
        </w:rPr>
        <w:t>Pouco frequentes</w:t>
      </w:r>
      <w:r w:rsidRPr="00127FFD">
        <w:rPr>
          <w:sz w:val="22"/>
          <w:szCs w:val="22"/>
        </w:rPr>
        <w:t xml:space="preserve"> (podem afetar até 1 em 100 pessoas</w:t>
      </w:r>
      <w:r>
        <w:rPr>
          <w:sz w:val="22"/>
          <w:szCs w:val="22"/>
        </w:rPr>
        <w:t>)</w:t>
      </w:r>
    </w:p>
    <w:p w14:paraId="6E304970" w14:textId="77777777" w:rsidR="00A7534F" w:rsidRDefault="00A7534F" w:rsidP="00A7534F">
      <w:pPr>
        <w:rPr>
          <w:sz w:val="22"/>
          <w:szCs w:val="22"/>
        </w:rPr>
      </w:pPr>
    </w:p>
    <w:p w14:paraId="4D7E32B1" w14:textId="77777777" w:rsidR="00A7534F" w:rsidRPr="006A3BD4" w:rsidRDefault="00615769" w:rsidP="006A3BD4">
      <w:pPr>
        <w:numPr>
          <w:ilvl w:val="0"/>
          <w:numId w:val="68"/>
        </w:numPr>
        <w:tabs>
          <w:tab w:val="clear" w:pos="283"/>
          <w:tab w:val="num" w:pos="540"/>
        </w:tabs>
        <w:suppressAutoHyphens/>
        <w:ind w:left="539" w:hanging="539"/>
        <w:rPr>
          <w:rFonts w:eastAsia="Times New Roman"/>
          <w:sz w:val="22"/>
        </w:rPr>
      </w:pPr>
      <w:r w:rsidRPr="006A3BD4">
        <w:rPr>
          <w:rFonts w:eastAsia="Times New Roman"/>
          <w:sz w:val="22"/>
        </w:rPr>
        <w:t>aumento de bilirrubina (análises de sangue ao fígado)</w:t>
      </w:r>
    </w:p>
    <w:p w14:paraId="7D6B8471" w14:textId="77777777" w:rsidR="00A7534F" w:rsidRPr="006A3BD4" w:rsidRDefault="00A7534F" w:rsidP="006A3BD4">
      <w:pPr>
        <w:suppressAutoHyphens/>
        <w:ind w:left="539"/>
        <w:rPr>
          <w:rFonts w:eastAsia="Times New Roman"/>
          <w:sz w:val="22"/>
        </w:rPr>
      </w:pPr>
    </w:p>
    <w:p w14:paraId="20C4E295" w14:textId="77777777" w:rsidR="00685047" w:rsidRPr="008B0DDF" w:rsidRDefault="00615769" w:rsidP="00685047">
      <w:pPr>
        <w:rPr>
          <w:sz w:val="22"/>
          <w:szCs w:val="22"/>
        </w:rPr>
      </w:pPr>
      <w:r w:rsidRPr="008B0DDF">
        <w:rPr>
          <w:b/>
          <w:sz w:val="22"/>
          <w:szCs w:val="22"/>
        </w:rPr>
        <w:t>Raros</w:t>
      </w:r>
      <w:r w:rsidRPr="008B0DDF">
        <w:rPr>
          <w:sz w:val="22"/>
          <w:szCs w:val="22"/>
        </w:rPr>
        <w:t xml:space="preserve"> (podem afetar até 1 em 1.000 pessoas)</w:t>
      </w:r>
    </w:p>
    <w:p w14:paraId="3C352799" w14:textId="77777777" w:rsidR="00685047" w:rsidRPr="008B0DDF" w:rsidRDefault="00685047" w:rsidP="00685047">
      <w:pPr>
        <w:rPr>
          <w:sz w:val="22"/>
          <w:szCs w:val="22"/>
        </w:rPr>
      </w:pPr>
    </w:p>
    <w:p w14:paraId="5E3CFEA2" w14:textId="77777777" w:rsidR="00685047" w:rsidRPr="00A44E27" w:rsidRDefault="00615769" w:rsidP="006A3BD4">
      <w:pPr>
        <w:numPr>
          <w:ilvl w:val="0"/>
          <w:numId w:val="68"/>
        </w:numPr>
        <w:tabs>
          <w:tab w:val="clear" w:pos="283"/>
          <w:tab w:val="num" w:pos="540"/>
        </w:tabs>
        <w:suppressAutoHyphens/>
        <w:ind w:left="539" w:hanging="539"/>
        <w:rPr>
          <w:rFonts w:eastAsia="Times New Roman"/>
          <w:sz w:val="22"/>
        </w:rPr>
      </w:pPr>
      <w:r w:rsidRPr="00A44E27">
        <w:rPr>
          <w:rFonts w:eastAsia="Times New Roman"/>
          <w:sz w:val="22"/>
        </w:rPr>
        <w:t>contagem diminuída de glóbulos brancos, glóbulos vermelhos e plaquetas</w:t>
      </w:r>
    </w:p>
    <w:p w14:paraId="650175D3" w14:textId="77777777" w:rsidR="00685047" w:rsidRPr="00A44E27" w:rsidRDefault="00685047" w:rsidP="006A3BD4">
      <w:pPr>
        <w:suppressAutoHyphens/>
        <w:ind w:left="539"/>
        <w:rPr>
          <w:rFonts w:eastAsia="Times New Roman"/>
          <w:sz w:val="22"/>
        </w:rPr>
      </w:pPr>
    </w:p>
    <w:p w14:paraId="04120BDA" w14:textId="77777777" w:rsidR="00685047" w:rsidRPr="008B0DDF" w:rsidRDefault="00615769" w:rsidP="00685047">
      <w:pPr>
        <w:rPr>
          <w:b/>
          <w:sz w:val="22"/>
          <w:szCs w:val="22"/>
        </w:rPr>
      </w:pPr>
      <w:r w:rsidRPr="008B0DDF">
        <w:rPr>
          <w:b/>
          <w:sz w:val="22"/>
          <w:szCs w:val="22"/>
        </w:rPr>
        <w:t xml:space="preserve">Comunicação de efeitos </w:t>
      </w:r>
      <w:r w:rsidR="00571C82">
        <w:rPr>
          <w:b/>
          <w:sz w:val="22"/>
          <w:szCs w:val="22"/>
        </w:rPr>
        <w:t>indesejáveis</w:t>
      </w:r>
    </w:p>
    <w:p w14:paraId="435D68C3" w14:textId="77777777" w:rsidR="00685047" w:rsidRPr="00454F99" w:rsidRDefault="00615769" w:rsidP="00636825">
      <w:pPr>
        <w:ind w:right="-2"/>
        <w:rPr>
          <w:sz w:val="22"/>
          <w:szCs w:val="22"/>
        </w:rPr>
      </w:pPr>
      <w:r w:rsidRPr="004F0FBC">
        <w:rPr>
          <w:sz w:val="22"/>
          <w:szCs w:val="22"/>
        </w:rPr>
        <w:t>Se tiver quaisquer efeitos</w:t>
      </w:r>
      <w:r w:rsidRPr="006462E3">
        <w:rPr>
          <w:sz w:val="22"/>
          <w:szCs w:val="22"/>
        </w:rPr>
        <w:t xml:space="preserve"> </w:t>
      </w:r>
      <w:r w:rsidR="00571C82">
        <w:rPr>
          <w:sz w:val="22"/>
          <w:szCs w:val="22"/>
        </w:rPr>
        <w:t>indesejáveis</w:t>
      </w:r>
      <w:r w:rsidRPr="006462E3">
        <w:rPr>
          <w:sz w:val="22"/>
          <w:szCs w:val="22"/>
        </w:rPr>
        <w:t xml:space="preserve">, incluindo possíveis efeitos </w:t>
      </w:r>
      <w:r w:rsidR="00571C82">
        <w:rPr>
          <w:sz w:val="22"/>
          <w:szCs w:val="22"/>
        </w:rPr>
        <w:t>indesejáveis</w:t>
      </w:r>
      <w:r w:rsidRPr="006462E3">
        <w:rPr>
          <w:sz w:val="22"/>
          <w:szCs w:val="22"/>
        </w:rPr>
        <w:t xml:space="preserve"> não indicados neste folheto, fale com o seu médico ou farmacêutico.</w:t>
      </w:r>
      <w:r w:rsidR="00103AA2">
        <w:rPr>
          <w:sz w:val="22"/>
          <w:szCs w:val="22"/>
        </w:rPr>
        <w:t xml:space="preserve"> </w:t>
      </w:r>
      <w:r w:rsidRPr="009A05BE">
        <w:rPr>
          <w:sz w:val="22"/>
          <w:szCs w:val="22"/>
        </w:rPr>
        <w:t xml:space="preserve">Também poderá comunicar efeitos </w:t>
      </w:r>
      <w:r w:rsidR="00571C82">
        <w:rPr>
          <w:sz w:val="22"/>
          <w:szCs w:val="22"/>
        </w:rPr>
        <w:t>indesejáveis</w:t>
      </w:r>
      <w:r w:rsidRPr="009A05BE">
        <w:rPr>
          <w:sz w:val="22"/>
          <w:szCs w:val="22"/>
        </w:rPr>
        <w:t xml:space="preserve"> diretamente </w:t>
      </w:r>
      <w:r w:rsidRPr="009A05BE">
        <w:rPr>
          <w:sz w:val="22"/>
          <w:szCs w:val="22"/>
          <w:highlight w:val="lightGray"/>
        </w:rPr>
        <w:t xml:space="preserve">através do sistema nacional de notificação mencionado no </w:t>
      </w:r>
      <w:hyperlink r:id="rId75" w:history="1">
        <w:r w:rsidR="00685047" w:rsidRPr="00AF229F">
          <w:rPr>
            <w:rStyle w:val="Hyperlink"/>
            <w:sz w:val="22"/>
            <w:szCs w:val="22"/>
            <w:highlight w:val="lightGray"/>
          </w:rPr>
          <w:t>Apêndice V</w:t>
        </w:r>
      </w:hyperlink>
      <w:r w:rsidRPr="00454F99">
        <w:rPr>
          <w:sz w:val="22"/>
          <w:szCs w:val="22"/>
        </w:rPr>
        <w:t xml:space="preserve">. Ao comunicar efeitos </w:t>
      </w:r>
      <w:r w:rsidR="00571C82">
        <w:rPr>
          <w:sz w:val="22"/>
          <w:szCs w:val="22"/>
        </w:rPr>
        <w:t>indesejáveis</w:t>
      </w:r>
      <w:r w:rsidRPr="00454F99">
        <w:rPr>
          <w:sz w:val="22"/>
          <w:szCs w:val="22"/>
        </w:rPr>
        <w:t>, estará a ajudar a fornecer mais informações sobre a segurança deste medicamento.</w:t>
      </w:r>
    </w:p>
    <w:p w14:paraId="7188CE03" w14:textId="77777777" w:rsidR="00685047" w:rsidRPr="004F0FBC" w:rsidRDefault="00685047" w:rsidP="00685047">
      <w:pPr>
        <w:ind w:right="-2"/>
        <w:rPr>
          <w:sz w:val="22"/>
          <w:szCs w:val="22"/>
        </w:rPr>
      </w:pPr>
    </w:p>
    <w:p w14:paraId="28544CBE" w14:textId="77777777" w:rsidR="00685047" w:rsidRPr="006462E3" w:rsidRDefault="00685047" w:rsidP="00685047">
      <w:pPr>
        <w:ind w:right="-2"/>
        <w:rPr>
          <w:sz w:val="22"/>
          <w:szCs w:val="22"/>
        </w:rPr>
      </w:pPr>
    </w:p>
    <w:p w14:paraId="4510CE0B" w14:textId="77777777" w:rsidR="00685047" w:rsidRPr="006462E3" w:rsidRDefault="00615769" w:rsidP="00685047">
      <w:pPr>
        <w:ind w:left="567" w:hanging="567"/>
        <w:rPr>
          <w:sz w:val="22"/>
          <w:szCs w:val="22"/>
        </w:rPr>
      </w:pPr>
      <w:r w:rsidRPr="006462E3">
        <w:rPr>
          <w:b/>
          <w:sz w:val="22"/>
          <w:szCs w:val="22"/>
        </w:rPr>
        <w:t>5.</w:t>
      </w:r>
      <w:r w:rsidRPr="006462E3">
        <w:rPr>
          <w:b/>
          <w:sz w:val="22"/>
          <w:szCs w:val="22"/>
        </w:rPr>
        <w:tab/>
        <w:t>Como conservar Humira</w:t>
      </w:r>
    </w:p>
    <w:p w14:paraId="30BD5E9A" w14:textId="77777777" w:rsidR="00685047" w:rsidRPr="009A05BE" w:rsidRDefault="00685047" w:rsidP="00685047">
      <w:pPr>
        <w:ind w:right="-2"/>
        <w:rPr>
          <w:sz w:val="22"/>
          <w:szCs w:val="22"/>
        </w:rPr>
      </w:pPr>
    </w:p>
    <w:p w14:paraId="6BE31548" w14:textId="77777777" w:rsidR="00685047" w:rsidRPr="00854C93" w:rsidRDefault="00615769" w:rsidP="00685047">
      <w:pPr>
        <w:ind w:right="-2"/>
        <w:rPr>
          <w:sz w:val="22"/>
          <w:szCs w:val="22"/>
        </w:rPr>
      </w:pPr>
      <w:r w:rsidRPr="00854C93">
        <w:rPr>
          <w:sz w:val="22"/>
          <w:szCs w:val="22"/>
        </w:rPr>
        <w:t xml:space="preserve">Manter este medicamento fora da vista e do alcance das crianças. </w:t>
      </w:r>
    </w:p>
    <w:p w14:paraId="01B4551C" w14:textId="77777777" w:rsidR="00685047" w:rsidRPr="0089156B" w:rsidRDefault="00685047" w:rsidP="00685047">
      <w:pPr>
        <w:ind w:right="-2"/>
        <w:rPr>
          <w:sz w:val="22"/>
          <w:szCs w:val="22"/>
        </w:rPr>
      </w:pPr>
    </w:p>
    <w:p w14:paraId="7E31C0A6" w14:textId="77777777" w:rsidR="00685047" w:rsidRDefault="00615769" w:rsidP="00685047">
      <w:pPr>
        <w:ind w:right="-2"/>
        <w:rPr>
          <w:sz w:val="22"/>
          <w:szCs w:val="22"/>
        </w:rPr>
      </w:pPr>
      <w:r w:rsidRPr="000B3FE3">
        <w:rPr>
          <w:sz w:val="22"/>
          <w:szCs w:val="22"/>
        </w:rPr>
        <w:t xml:space="preserve">Não utilize este medicamento após o prazo de validade impresso no rótulo/blister/embalagem, após </w:t>
      </w:r>
      <w:r w:rsidR="002620E0">
        <w:rPr>
          <w:sz w:val="22"/>
          <w:szCs w:val="22"/>
        </w:rPr>
        <w:t>EXP</w:t>
      </w:r>
      <w:r w:rsidRPr="000B3FE3">
        <w:rPr>
          <w:sz w:val="22"/>
          <w:szCs w:val="22"/>
        </w:rPr>
        <w:t xml:space="preserve">. </w:t>
      </w:r>
    </w:p>
    <w:p w14:paraId="55B8AA53" w14:textId="77777777" w:rsidR="00685047" w:rsidRPr="004931CE" w:rsidRDefault="00685047" w:rsidP="00685047">
      <w:pPr>
        <w:ind w:right="-2"/>
        <w:rPr>
          <w:sz w:val="22"/>
          <w:szCs w:val="22"/>
        </w:rPr>
      </w:pPr>
    </w:p>
    <w:p w14:paraId="286B1309" w14:textId="77777777" w:rsidR="00685047" w:rsidRPr="00003560" w:rsidRDefault="00615769" w:rsidP="00685047">
      <w:pPr>
        <w:pStyle w:val="BodyText3"/>
        <w:rPr>
          <w:szCs w:val="22"/>
        </w:rPr>
      </w:pPr>
      <w:r w:rsidRPr="00653128">
        <w:rPr>
          <w:szCs w:val="22"/>
        </w:rPr>
        <w:t xml:space="preserve">Conservar no frigorífico </w:t>
      </w:r>
      <w:r w:rsidR="00184BF5">
        <w:rPr>
          <w:szCs w:val="22"/>
        </w:rPr>
        <w:t>(2º</w:t>
      </w:r>
      <w:r w:rsidR="00AA2EEA">
        <w:rPr>
          <w:szCs w:val="22"/>
        </w:rPr>
        <w:t xml:space="preserve"> </w:t>
      </w:r>
      <w:r w:rsidR="00184BF5" w:rsidRPr="008912CF">
        <w:rPr>
          <w:szCs w:val="22"/>
        </w:rPr>
        <w:t>C</w:t>
      </w:r>
      <w:r w:rsidR="00184BF5">
        <w:rPr>
          <w:szCs w:val="22"/>
        </w:rPr>
        <w:t xml:space="preserve"> – </w:t>
      </w:r>
      <w:r w:rsidR="00184BF5" w:rsidRPr="008912CF">
        <w:rPr>
          <w:szCs w:val="22"/>
        </w:rPr>
        <w:t>8</w:t>
      </w:r>
      <w:r w:rsidR="00184BF5">
        <w:rPr>
          <w:szCs w:val="22"/>
        </w:rPr>
        <w:t>º</w:t>
      </w:r>
      <w:r w:rsidR="00AA2EEA">
        <w:rPr>
          <w:szCs w:val="22"/>
        </w:rPr>
        <w:t xml:space="preserve"> </w:t>
      </w:r>
      <w:r w:rsidR="00184BF5" w:rsidRPr="008912CF">
        <w:rPr>
          <w:szCs w:val="22"/>
        </w:rPr>
        <w:t>C)</w:t>
      </w:r>
      <w:r w:rsidRPr="00003560">
        <w:rPr>
          <w:szCs w:val="22"/>
        </w:rPr>
        <w:t>. Não congelar.</w:t>
      </w:r>
    </w:p>
    <w:p w14:paraId="2EC614CA" w14:textId="77777777" w:rsidR="00685047" w:rsidRPr="005F6F98" w:rsidRDefault="00685047" w:rsidP="00685047">
      <w:pPr>
        <w:pStyle w:val="BodyText3"/>
        <w:rPr>
          <w:szCs w:val="22"/>
        </w:rPr>
      </w:pPr>
    </w:p>
    <w:p w14:paraId="00185F08" w14:textId="77777777" w:rsidR="00685047" w:rsidRPr="002B2441" w:rsidRDefault="00615769" w:rsidP="00685047">
      <w:pPr>
        <w:pStyle w:val="BodyText3"/>
        <w:rPr>
          <w:szCs w:val="22"/>
        </w:rPr>
      </w:pPr>
      <w:r w:rsidRPr="002B2441">
        <w:rPr>
          <w:szCs w:val="22"/>
        </w:rPr>
        <w:t xml:space="preserve">Manter a </w:t>
      </w:r>
      <w:r w:rsidR="005A1CF4">
        <w:rPr>
          <w:szCs w:val="22"/>
        </w:rPr>
        <w:t xml:space="preserve">caneta </w:t>
      </w:r>
      <w:r w:rsidRPr="002B2441">
        <w:rPr>
          <w:szCs w:val="22"/>
        </w:rPr>
        <w:t>pré-cheia na embalagem exterior para proteger da luz.</w:t>
      </w:r>
    </w:p>
    <w:p w14:paraId="42025A9F" w14:textId="77777777" w:rsidR="00685047" w:rsidRPr="002B2441" w:rsidRDefault="00685047" w:rsidP="00685047">
      <w:pPr>
        <w:ind w:right="-2"/>
        <w:rPr>
          <w:sz w:val="22"/>
          <w:szCs w:val="22"/>
        </w:rPr>
      </w:pPr>
    </w:p>
    <w:p w14:paraId="6F5B5FC0" w14:textId="77777777" w:rsidR="00685047" w:rsidRPr="00B830EC" w:rsidRDefault="00615769" w:rsidP="00F01E5C">
      <w:pPr>
        <w:keepNext/>
        <w:rPr>
          <w:rStyle w:val="hpsatn"/>
          <w:sz w:val="22"/>
          <w:szCs w:val="22"/>
        </w:rPr>
      </w:pPr>
      <w:r w:rsidRPr="00B830EC">
        <w:rPr>
          <w:rStyle w:val="hpsatn"/>
          <w:sz w:val="22"/>
          <w:szCs w:val="22"/>
        </w:rPr>
        <w:t>Conservação Alternativa:</w:t>
      </w:r>
    </w:p>
    <w:p w14:paraId="1F7535FF" w14:textId="77777777" w:rsidR="00685047" w:rsidRPr="008B0DDF" w:rsidRDefault="00685047" w:rsidP="00F01E5C">
      <w:pPr>
        <w:keepNext/>
        <w:rPr>
          <w:rStyle w:val="hpsatn"/>
          <w:sz w:val="22"/>
          <w:szCs w:val="22"/>
        </w:rPr>
      </w:pPr>
    </w:p>
    <w:p w14:paraId="6EA54B2E" w14:textId="77777777" w:rsidR="00685047" w:rsidRPr="008B0DDF" w:rsidRDefault="00615769" w:rsidP="00F01E5C">
      <w:pPr>
        <w:keepNext/>
        <w:rPr>
          <w:rStyle w:val="hps"/>
          <w:sz w:val="22"/>
          <w:szCs w:val="22"/>
        </w:rPr>
      </w:pPr>
      <w:r w:rsidRPr="008B0DDF">
        <w:rPr>
          <w:rStyle w:val="hpsatn"/>
          <w:sz w:val="22"/>
          <w:szCs w:val="22"/>
        </w:rPr>
        <w:t>Quando necessário (</w:t>
      </w:r>
      <w:r w:rsidRPr="008B0DDF">
        <w:rPr>
          <w:sz w:val="22"/>
          <w:szCs w:val="22"/>
        </w:rPr>
        <w:t xml:space="preserve">por exemplo, quando </w:t>
      </w:r>
      <w:r w:rsidRPr="008B0DDF">
        <w:rPr>
          <w:rStyle w:val="hps"/>
          <w:sz w:val="22"/>
          <w:szCs w:val="22"/>
        </w:rPr>
        <w:t>está a viajar</w:t>
      </w:r>
      <w:r w:rsidRPr="008B0DDF">
        <w:rPr>
          <w:sz w:val="22"/>
          <w:szCs w:val="22"/>
        </w:rPr>
        <w:t xml:space="preserve">), uma </w:t>
      </w:r>
      <w:r w:rsidR="005A1CF4">
        <w:rPr>
          <w:sz w:val="22"/>
          <w:szCs w:val="22"/>
        </w:rPr>
        <w:t>caneta</w:t>
      </w:r>
      <w:r w:rsidRPr="008B0DDF">
        <w:rPr>
          <w:rStyle w:val="hps"/>
          <w:sz w:val="22"/>
          <w:szCs w:val="22"/>
        </w:rPr>
        <w:t xml:space="preserve"> pré-cheia</w:t>
      </w:r>
      <w:r w:rsidRPr="008B0DDF">
        <w:rPr>
          <w:sz w:val="22"/>
          <w:szCs w:val="22"/>
        </w:rPr>
        <w:t xml:space="preserve"> de </w:t>
      </w:r>
      <w:r w:rsidRPr="008B0DDF">
        <w:rPr>
          <w:rStyle w:val="hps"/>
          <w:sz w:val="22"/>
          <w:szCs w:val="22"/>
        </w:rPr>
        <w:t>Humira, pode ser</w:t>
      </w:r>
      <w:r w:rsidRPr="008B0DDF">
        <w:rPr>
          <w:sz w:val="22"/>
          <w:szCs w:val="22"/>
        </w:rPr>
        <w:t xml:space="preserve"> conservada</w:t>
      </w:r>
      <w:r w:rsidRPr="008B0DDF">
        <w:rPr>
          <w:rStyle w:val="hps"/>
          <w:sz w:val="22"/>
          <w:szCs w:val="22"/>
        </w:rPr>
        <w:t xml:space="preserve"> até um período</w:t>
      </w:r>
      <w:r w:rsidRPr="008B0DDF">
        <w:rPr>
          <w:sz w:val="22"/>
          <w:szCs w:val="22"/>
        </w:rPr>
        <w:t xml:space="preserve"> </w:t>
      </w:r>
      <w:r w:rsidRPr="008B0DDF">
        <w:rPr>
          <w:rStyle w:val="hps"/>
          <w:sz w:val="22"/>
          <w:szCs w:val="22"/>
        </w:rPr>
        <w:t>máximo de 14 dias,</w:t>
      </w:r>
      <w:r w:rsidRPr="008B0DDF">
        <w:rPr>
          <w:sz w:val="22"/>
          <w:szCs w:val="22"/>
        </w:rPr>
        <w:t xml:space="preserve"> </w:t>
      </w:r>
      <w:r w:rsidRPr="008B0DDF">
        <w:rPr>
          <w:rStyle w:val="hps"/>
          <w:sz w:val="22"/>
          <w:szCs w:val="22"/>
        </w:rPr>
        <w:t>à temperatura ambiente</w:t>
      </w:r>
      <w:r w:rsidRPr="008B0DDF">
        <w:rPr>
          <w:sz w:val="22"/>
          <w:szCs w:val="22"/>
        </w:rPr>
        <w:t xml:space="preserve"> </w:t>
      </w:r>
      <w:r w:rsidRPr="008B0DDF">
        <w:rPr>
          <w:rStyle w:val="hps"/>
          <w:sz w:val="22"/>
          <w:szCs w:val="22"/>
        </w:rPr>
        <w:t>(até 25</w:t>
      </w:r>
      <w:r w:rsidRPr="008B0DDF">
        <w:rPr>
          <w:sz w:val="22"/>
          <w:szCs w:val="22"/>
        </w:rPr>
        <w:t xml:space="preserve"> </w:t>
      </w:r>
      <w:r w:rsidRPr="008B0DDF">
        <w:rPr>
          <w:rStyle w:val="hps"/>
          <w:sz w:val="22"/>
          <w:szCs w:val="22"/>
        </w:rPr>
        <w:t>° C)</w:t>
      </w:r>
      <w:r w:rsidRPr="008B0DDF">
        <w:rPr>
          <w:sz w:val="22"/>
          <w:szCs w:val="22"/>
        </w:rPr>
        <w:t xml:space="preserve"> </w:t>
      </w:r>
      <w:r w:rsidRPr="008B0DDF">
        <w:rPr>
          <w:rStyle w:val="hps"/>
          <w:sz w:val="22"/>
          <w:szCs w:val="22"/>
        </w:rPr>
        <w:t>-</w:t>
      </w:r>
      <w:r w:rsidRPr="008B0DDF">
        <w:rPr>
          <w:sz w:val="22"/>
          <w:szCs w:val="22"/>
        </w:rPr>
        <w:t xml:space="preserve"> </w:t>
      </w:r>
      <w:r w:rsidRPr="008B0DDF">
        <w:rPr>
          <w:rStyle w:val="hps"/>
          <w:sz w:val="22"/>
          <w:szCs w:val="22"/>
        </w:rPr>
        <w:t>ter a certeza que</w:t>
      </w:r>
      <w:r w:rsidRPr="008B0DDF">
        <w:rPr>
          <w:sz w:val="22"/>
          <w:szCs w:val="22"/>
        </w:rPr>
        <w:t xml:space="preserve"> a</w:t>
      </w:r>
      <w:r w:rsidRPr="008B0DDF">
        <w:rPr>
          <w:rStyle w:val="hps"/>
          <w:sz w:val="22"/>
          <w:szCs w:val="22"/>
        </w:rPr>
        <w:t xml:space="preserve"> protege da luz</w:t>
      </w:r>
      <w:r w:rsidRPr="008B0DDF">
        <w:rPr>
          <w:sz w:val="22"/>
          <w:szCs w:val="22"/>
        </w:rPr>
        <w:t xml:space="preserve">. </w:t>
      </w:r>
      <w:r w:rsidRPr="008B0DDF">
        <w:rPr>
          <w:rStyle w:val="hps"/>
          <w:sz w:val="22"/>
          <w:szCs w:val="22"/>
        </w:rPr>
        <w:t>Uma vez</w:t>
      </w:r>
      <w:r w:rsidRPr="008B0DDF">
        <w:rPr>
          <w:sz w:val="22"/>
          <w:szCs w:val="22"/>
        </w:rPr>
        <w:t xml:space="preserve"> </w:t>
      </w:r>
      <w:r w:rsidRPr="008B0DDF">
        <w:rPr>
          <w:rStyle w:val="hps"/>
          <w:sz w:val="22"/>
          <w:szCs w:val="22"/>
        </w:rPr>
        <w:t>retirada do</w:t>
      </w:r>
      <w:r w:rsidRPr="008B0DDF">
        <w:rPr>
          <w:sz w:val="22"/>
          <w:szCs w:val="22"/>
        </w:rPr>
        <w:t xml:space="preserve"> </w:t>
      </w:r>
      <w:r w:rsidRPr="008B0DDF">
        <w:rPr>
          <w:rStyle w:val="hps"/>
          <w:sz w:val="22"/>
          <w:szCs w:val="22"/>
        </w:rPr>
        <w:t>frigorífico</w:t>
      </w:r>
      <w:r w:rsidRPr="008B0DDF">
        <w:rPr>
          <w:sz w:val="22"/>
          <w:szCs w:val="22"/>
        </w:rPr>
        <w:t xml:space="preserve"> </w:t>
      </w:r>
      <w:r w:rsidRPr="008B0DDF">
        <w:rPr>
          <w:rStyle w:val="hps"/>
          <w:sz w:val="22"/>
          <w:szCs w:val="22"/>
        </w:rPr>
        <w:t>para a temperatura ambiente</w:t>
      </w:r>
      <w:r w:rsidRPr="008B0DDF">
        <w:rPr>
          <w:sz w:val="22"/>
          <w:szCs w:val="22"/>
        </w:rPr>
        <w:t xml:space="preserve">, a </w:t>
      </w:r>
      <w:r w:rsidR="005A1CF4">
        <w:rPr>
          <w:sz w:val="22"/>
          <w:szCs w:val="22"/>
        </w:rPr>
        <w:t>caneta</w:t>
      </w:r>
      <w:r w:rsidRPr="008B0DDF">
        <w:rPr>
          <w:sz w:val="22"/>
          <w:szCs w:val="22"/>
        </w:rPr>
        <w:t xml:space="preserve"> </w:t>
      </w:r>
      <w:r w:rsidRPr="008B0DDF">
        <w:rPr>
          <w:rStyle w:val="hps"/>
          <w:b/>
          <w:bCs/>
          <w:sz w:val="22"/>
          <w:szCs w:val="22"/>
        </w:rPr>
        <w:t>deve ser utilizada</w:t>
      </w:r>
      <w:r w:rsidRPr="008B0DDF">
        <w:rPr>
          <w:b/>
          <w:bCs/>
          <w:sz w:val="22"/>
          <w:szCs w:val="22"/>
        </w:rPr>
        <w:t xml:space="preserve"> </w:t>
      </w:r>
      <w:r w:rsidRPr="008B0DDF">
        <w:rPr>
          <w:rStyle w:val="hps"/>
          <w:b/>
          <w:bCs/>
          <w:sz w:val="22"/>
          <w:szCs w:val="22"/>
        </w:rPr>
        <w:t>dentro de 14 dias</w:t>
      </w:r>
      <w:r w:rsidRPr="008B0DDF">
        <w:rPr>
          <w:b/>
          <w:bCs/>
          <w:sz w:val="22"/>
          <w:szCs w:val="22"/>
        </w:rPr>
        <w:t xml:space="preserve"> </w:t>
      </w:r>
      <w:r w:rsidRPr="008B0DDF">
        <w:rPr>
          <w:rStyle w:val="hps"/>
          <w:b/>
          <w:bCs/>
          <w:sz w:val="22"/>
          <w:szCs w:val="22"/>
        </w:rPr>
        <w:t>ou eliminada</w:t>
      </w:r>
      <w:r w:rsidRPr="008B0DDF">
        <w:rPr>
          <w:sz w:val="22"/>
          <w:szCs w:val="22"/>
        </w:rPr>
        <w:t>, mesmo que a volte a colocar n</w:t>
      </w:r>
      <w:r w:rsidRPr="008B0DDF">
        <w:rPr>
          <w:rStyle w:val="hps"/>
          <w:sz w:val="22"/>
          <w:szCs w:val="22"/>
        </w:rPr>
        <w:t>o frigorífico.</w:t>
      </w:r>
    </w:p>
    <w:p w14:paraId="564211DB" w14:textId="77777777" w:rsidR="00685047" w:rsidRPr="008B0DDF" w:rsidRDefault="00685047" w:rsidP="00685047">
      <w:pPr>
        <w:rPr>
          <w:rStyle w:val="hps"/>
          <w:sz w:val="22"/>
          <w:szCs w:val="22"/>
        </w:rPr>
      </w:pPr>
    </w:p>
    <w:p w14:paraId="3FB3D8FF" w14:textId="77777777" w:rsidR="00685047" w:rsidRPr="008B0DDF" w:rsidRDefault="00615769" w:rsidP="00685047">
      <w:pPr>
        <w:ind w:right="-2"/>
        <w:rPr>
          <w:sz w:val="22"/>
          <w:szCs w:val="22"/>
        </w:rPr>
      </w:pPr>
      <w:r w:rsidRPr="008B0DDF">
        <w:rPr>
          <w:rStyle w:val="hps"/>
          <w:sz w:val="22"/>
          <w:szCs w:val="22"/>
        </w:rPr>
        <w:t>Deve registar a data em que</w:t>
      </w:r>
      <w:r w:rsidRPr="008B0DDF">
        <w:rPr>
          <w:sz w:val="22"/>
          <w:szCs w:val="22"/>
        </w:rPr>
        <w:t xml:space="preserve"> </w:t>
      </w:r>
      <w:r w:rsidRPr="008B0DDF">
        <w:rPr>
          <w:rStyle w:val="hps"/>
          <w:sz w:val="22"/>
          <w:szCs w:val="22"/>
        </w:rPr>
        <w:t xml:space="preserve">a </w:t>
      </w:r>
      <w:r w:rsidR="005A1CF4">
        <w:rPr>
          <w:rStyle w:val="hps"/>
          <w:sz w:val="22"/>
          <w:szCs w:val="22"/>
        </w:rPr>
        <w:t>caneta</w:t>
      </w:r>
      <w:r w:rsidRPr="008B0DDF">
        <w:rPr>
          <w:rStyle w:val="hps"/>
          <w:sz w:val="22"/>
          <w:szCs w:val="22"/>
        </w:rPr>
        <w:t xml:space="preserve"> foi inicialmente </w:t>
      </w:r>
      <w:r w:rsidRPr="008B0DDF">
        <w:rPr>
          <w:sz w:val="22"/>
          <w:szCs w:val="22"/>
        </w:rPr>
        <w:t>r</w:t>
      </w:r>
      <w:r w:rsidRPr="008B0DDF">
        <w:rPr>
          <w:rStyle w:val="hps"/>
          <w:sz w:val="22"/>
          <w:szCs w:val="22"/>
        </w:rPr>
        <w:t>etirada do frigorífico e a data em que deve ser eliminada.</w:t>
      </w:r>
    </w:p>
    <w:p w14:paraId="719891B0" w14:textId="77777777" w:rsidR="00685047" w:rsidRPr="008B0DDF" w:rsidRDefault="00685047" w:rsidP="00685047">
      <w:pPr>
        <w:ind w:right="-2"/>
        <w:rPr>
          <w:sz w:val="22"/>
          <w:szCs w:val="22"/>
        </w:rPr>
      </w:pPr>
    </w:p>
    <w:p w14:paraId="051A1217" w14:textId="77777777" w:rsidR="00685047" w:rsidRPr="008B0DDF" w:rsidRDefault="00615769" w:rsidP="00685047">
      <w:pPr>
        <w:ind w:right="-2"/>
        <w:rPr>
          <w:bCs/>
          <w:sz w:val="22"/>
          <w:szCs w:val="22"/>
        </w:rPr>
      </w:pPr>
      <w:r w:rsidRPr="008B0DDF">
        <w:rPr>
          <w:sz w:val="22"/>
          <w:szCs w:val="22"/>
        </w:rPr>
        <w:t>Não deite fora quaisquer medicamentos na canalização ou no lixo doméstico. Pergunte ao seu</w:t>
      </w:r>
      <w:r w:rsidR="00723763">
        <w:rPr>
          <w:sz w:val="22"/>
          <w:szCs w:val="22"/>
        </w:rPr>
        <w:t xml:space="preserve"> médico ou</w:t>
      </w:r>
      <w:r w:rsidRPr="008B0DDF">
        <w:rPr>
          <w:sz w:val="22"/>
          <w:szCs w:val="22"/>
        </w:rPr>
        <w:t xml:space="preserve"> farmacêutico como deitar fora os medicamentos que já não utiliza. Estas medidas ajudarão a proteger o ambiente. </w:t>
      </w:r>
    </w:p>
    <w:p w14:paraId="5434A74A" w14:textId="77777777" w:rsidR="00685047" w:rsidRPr="008B0DDF" w:rsidRDefault="00685047" w:rsidP="00685047">
      <w:pPr>
        <w:ind w:right="-2"/>
        <w:rPr>
          <w:sz w:val="22"/>
          <w:szCs w:val="22"/>
        </w:rPr>
      </w:pPr>
    </w:p>
    <w:p w14:paraId="03029ECC" w14:textId="77777777" w:rsidR="00685047" w:rsidRPr="008B0DDF" w:rsidRDefault="00685047" w:rsidP="00685047">
      <w:pPr>
        <w:ind w:left="567" w:hanging="567"/>
        <w:rPr>
          <w:b/>
          <w:sz w:val="22"/>
          <w:szCs w:val="22"/>
        </w:rPr>
      </w:pPr>
    </w:p>
    <w:p w14:paraId="1692B494" w14:textId="77777777" w:rsidR="00685047" w:rsidRPr="008B0DDF" w:rsidRDefault="00615769" w:rsidP="00685047">
      <w:pPr>
        <w:ind w:left="567" w:hanging="567"/>
        <w:rPr>
          <w:b/>
          <w:sz w:val="22"/>
          <w:szCs w:val="22"/>
        </w:rPr>
      </w:pPr>
      <w:r w:rsidRPr="008B0DDF">
        <w:rPr>
          <w:b/>
          <w:sz w:val="22"/>
          <w:szCs w:val="22"/>
        </w:rPr>
        <w:t>6.</w:t>
      </w:r>
      <w:r w:rsidRPr="008B0DDF">
        <w:rPr>
          <w:b/>
          <w:sz w:val="22"/>
          <w:szCs w:val="22"/>
        </w:rPr>
        <w:tab/>
        <w:t xml:space="preserve">Conteúdo da embalagem e outras informações </w:t>
      </w:r>
    </w:p>
    <w:p w14:paraId="15265BA6" w14:textId="77777777" w:rsidR="00685047" w:rsidRPr="008B0DDF" w:rsidRDefault="00685047" w:rsidP="00685047">
      <w:pPr>
        <w:ind w:right="-2"/>
        <w:rPr>
          <w:sz w:val="22"/>
          <w:szCs w:val="22"/>
        </w:rPr>
      </w:pPr>
    </w:p>
    <w:p w14:paraId="7B96BD87" w14:textId="77777777" w:rsidR="00685047" w:rsidRPr="008B0DDF" w:rsidRDefault="00615769" w:rsidP="00685047">
      <w:pPr>
        <w:pStyle w:val="Heading8"/>
        <w:keepNext w:val="0"/>
        <w:rPr>
          <w:szCs w:val="22"/>
        </w:rPr>
      </w:pPr>
      <w:r w:rsidRPr="008B0DDF">
        <w:rPr>
          <w:szCs w:val="22"/>
        </w:rPr>
        <w:t>Qual a composição de Humira</w:t>
      </w:r>
    </w:p>
    <w:p w14:paraId="60F1D628" w14:textId="77777777" w:rsidR="00685047" w:rsidRPr="008B0DDF" w:rsidRDefault="00685047" w:rsidP="00685047">
      <w:pPr>
        <w:ind w:right="-2"/>
        <w:rPr>
          <w:b/>
          <w:bCs/>
          <w:sz w:val="22"/>
          <w:szCs w:val="22"/>
        </w:rPr>
      </w:pPr>
    </w:p>
    <w:p w14:paraId="38B1AEF3" w14:textId="77777777" w:rsidR="00685047" w:rsidRPr="008B0DDF" w:rsidRDefault="00615769" w:rsidP="00685047">
      <w:pPr>
        <w:ind w:right="-2"/>
        <w:rPr>
          <w:sz w:val="22"/>
          <w:szCs w:val="22"/>
        </w:rPr>
      </w:pPr>
      <w:r w:rsidRPr="008B0DDF">
        <w:rPr>
          <w:sz w:val="22"/>
          <w:szCs w:val="22"/>
        </w:rPr>
        <w:t>A substância ativa é adalimumab.</w:t>
      </w:r>
    </w:p>
    <w:p w14:paraId="139161C5" w14:textId="77777777" w:rsidR="00685047" w:rsidRPr="008B0DDF" w:rsidRDefault="00615769" w:rsidP="00685047">
      <w:pPr>
        <w:ind w:right="-2"/>
        <w:rPr>
          <w:sz w:val="22"/>
          <w:szCs w:val="22"/>
        </w:rPr>
      </w:pPr>
      <w:r w:rsidRPr="008B0DDF">
        <w:rPr>
          <w:sz w:val="22"/>
          <w:szCs w:val="22"/>
        </w:rPr>
        <w:t>Os outros componentes são manitol, polissorbato 80 e água para preparações injetáveis.</w:t>
      </w:r>
    </w:p>
    <w:p w14:paraId="4B606C9A" w14:textId="77777777" w:rsidR="00685047" w:rsidRPr="008B0DDF" w:rsidRDefault="00685047" w:rsidP="00685047">
      <w:pPr>
        <w:ind w:right="-2"/>
        <w:rPr>
          <w:sz w:val="22"/>
          <w:szCs w:val="22"/>
        </w:rPr>
      </w:pPr>
    </w:p>
    <w:p w14:paraId="4D3325F6" w14:textId="77777777" w:rsidR="00685047" w:rsidRPr="008B0DDF" w:rsidRDefault="00615769" w:rsidP="00685047">
      <w:pPr>
        <w:pStyle w:val="Heading8"/>
        <w:keepNext w:val="0"/>
        <w:rPr>
          <w:szCs w:val="22"/>
        </w:rPr>
      </w:pPr>
      <w:r w:rsidRPr="008B0DDF">
        <w:rPr>
          <w:szCs w:val="22"/>
        </w:rPr>
        <w:t xml:space="preserve">Qual o aspeto de Humira em </w:t>
      </w:r>
      <w:r w:rsidR="005A1CF4">
        <w:rPr>
          <w:szCs w:val="22"/>
        </w:rPr>
        <w:t>caneta</w:t>
      </w:r>
      <w:r w:rsidRPr="008B0DDF">
        <w:rPr>
          <w:szCs w:val="22"/>
        </w:rPr>
        <w:t xml:space="preserve"> pré-cheia e conteúdo da embalagem</w:t>
      </w:r>
    </w:p>
    <w:p w14:paraId="3E443C4A" w14:textId="77777777" w:rsidR="00685047" w:rsidRPr="008B0DDF" w:rsidRDefault="00685047" w:rsidP="00685047">
      <w:pPr>
        <w:ind w:right="-2"/>
        <w:rPr>
          <w:sz w:val="22"/>
          <w:szCs w:val="22"/>
        </w:rPr>
      </w:pPr>
    </w:p>
    <w:p w14:paraId="5AC9A844" w14:textId="77777777" w:rsidR="00685047" w:rsidRPr="008B0DDF" w:rsidRDefault="00615769" w:rsidP="00685047">
      <w:pPr>
        <w:ind w:right="-2"/>
        <w:rPr>
          <w:sz w:val="22"/>
          <w:szCs w:val="22"/>
        </w:rPr>
      </w:pPr>
      <w:r>
        <w:rPr>
          <w:sz w:val="22"/>
          <w:szCs w:val="22"/>
        </w:rPr>
        <w:t>Humira 8</w:t>
      </w:r>
      <w:r w:rsidRPr="008B0DDF">
        <w:rPr>
          <w:sz w:val="22"/>
          <w:szCs w:val="22"/>
        </w:rPr>
        <w:t xml:space="preserve">0 mg solução injetável em </w:t>
      </w:r>
      <w:r w:rsidR="005A1CF4">
        <w:rPr>
          <w:sz w:val="22"/>
          <w:szCs w:val="22"/>
        </w:rPr>
        <w:t>caneta</w:t>
      </w:r>
      <w:r w:rsidRPr="008B0DDF">
        <w:rPr>
          <w:sz w:val="22"/>
          <w:szCs w:val="22"/>
        </w:rPr>
        <w:t xml:space="preserve"> pré-cheia é fornecido sob a forma de uma solução estéril contendo </w:t>
      </w:r>
      <w:r>
        <w:rPr>
          <w:sz w:val="22"/>
          <w:szCs w:val="22"/>
        </w:rPr>
        <w:t>8</w:t>
      </w:r>
      <w:r w:rsidRPr="008B0DDF">
        <w:rPr>
          <w:sz w:val="22"/>
          <w:szCs w:val="22"/>
        </w:rPr>
        <w:t>0 mg de adalimumab dissolvido em 0,</w:t>
      </w:r>
      <w:r>
        <w:rPr>
          <w:sz w:val="22"/>
          <w:szCs w:val="22"/>
        </w:rPr>
        <w:t>8</w:t>
      </w:r>
      <w:r w:rsidRPr="008B0DDF">
        <w:rPr>
          <w:sz w:val="22"/>
          <w:szCs w:val="22"/>
        </w:rPr>
        <w:t> ml de solução.</w:t>
      </w:r>
    </w:p>
    <w:p w14:paraId="05491A30" w14:textId="77777777" w:rsidR="00685047" w:rsidRDefault="00685047" w:rsidP="00685047">
      <w:pPr>
        <w:ind w:right="-2"/>
        <w:rPr>
          <w:sz w:val="22"/>
          <w:szCs w:val="22"/>
        </w:rPr>
      </w:pPr>
    </w:p>
    <w:p w14:paraId="607E62FA" w14:textId="77777777" w:rsidR="00C27675" w:rsidRPr="008B0DDF" w:rsidRDefault="00615769" w:rsidP="00C27675">
      <w:pPr>
        <w:ind w:right="-2"/>
        <w:rPr>
          <w:sz w:val="22"/>
          <w:szCs w:val="22"/>
        </w:rPr>
      </w:pPr>
      <w:r w:rsidRPr="008B0DDF">
        <w:rPr>
          <w:sz w:val="22"/>
          <w:szCs w:val="22"/>
        </w:rPr>
        <w:t>A caneta pré-cheia de Humira é uma caneta de dose única de cor cinzenta e roxa que contém uma seringa de vidro com Humira. Contém duas tampas, uma de cor cinzenta marcada com “1”</w:t>
      </w:r>
      <w:r w:rsidR="006A3BD4">
        <w:rPr>
          <w:sz w:val="22"/>
          <w:szCs w:val="22"/>
        </w:rPr>
        <w:t xml:space="preserve"> </w:t>
      </w:r>
      <w:r w:rsidRPr="008B0DDF">
        <w:rPr>
          <w:sz w:val="22"/>
          <w:szCs w:val="22"/>
        </w:rPr>
        <w:t>e outra de cor roxa marcada com “2”. Contém uma janela de cada lado da caneta, através da qual se pode ver a solução de Humira dentro da seringa.</w:t>
      </w:r>
    </w:p>
    <w:p w14:paraId="6BA7EBDB" w14:textId="77777777" w:rsidR="00685047" w:rsidRDefault="00685047" w:rsidP="00685047">
      <w:pPr>
        <w:rPr>
          <w:sz w:val="22"/>
          <w:szCs w:val="22"/>
        </w:rPr>
      </w:pPr>
    </w:p>
    <w:p w14:paraId="24102500" w14:textId="77777777" w:rsidR="00640462" w:rsidRDefault="00615769" w:rsidP="00685047">
      <w:pPr>
        <w:rPr>
          <w:sz w:val="22"/>
          <w:szCs w:val="22"/>
        </w:rPr>
      </w:pPr>
      <w:r w:rsidRPr="008912CF">
        <w:rPr>
          <w:sz w:val="22"/>
          <w:szCs w:val="22"/>
        </w:rPr>
        <w:t xml:space="preserve">Cada embalagem </w:t>
      </w:r>
      <w:r w:rsidRPr="00640462">
        <w:rPr>
          <w:sz w:val="22"/>
          <w:szCs w:val="22"/>
        </w:rPr>
        <w:t xml:space="preserve">de Humira caneta pré-cheia </w:t>
      </w:r>
      <w:r w:rsidRPr="008912CF">
        <w:rPr>
          <w:sz w:val="22"/>
          <w:szCs w:val="22"/>
        </w:rPr>
        <w:t>contém</w:t>
      </w:r>
      <w:r>
        <w:rPr>
          <w:sz w:val="22"/>
          <w:szCs w:val="22"/>
        </w:rPr>
        <w:t>:</w:t>
      </w:r>
    </w:p>
    <w:p w14:paraId="1A682EF8" w14:textId="77777777" w:rsidR="00640462" w:rsidRPr="00B11C76" w:rsidRDefault="00615769" w:rsidP="00640462">
      <w:pPr>
        <w:pStyle w:val="ListParagraph"/>
        <w:numPr>
          <w:ilvl w:val="0"/>
          <w:numId w:val="166"/>
        </w:numPr>
        <w:rPr>
          <w:sz w:val="22"/>
          <w:szCs w:val="22"/>
        </w:rPr>
      </w:pPr>
      <w:r w:rsidRPr="00B11C76">
        <w:rPr>
          <w:sz w:val="22"/>
          <w:szCs w:val="22"/>
        </w:rPr>
        <w:t>1 caneta pré-cheia para autoadministração pelo doente com 2</w:t>
      </w:r>
      <w:r w:rsidR="00F01603">
        <w:rPr>
          <w:sz w:val="22"/>
          <w:szCs w:val="22"/>
        </w:rPr>
        <w:t xml:space="preserve"> compressas embebidas em álcool</w:t>
      </w:r>
    </w:p>
    <w:p w14:paraId="29DE9BE3" w14:textId="77777777" w:rsidR="00640462" w:rsidRPr="00B11C76" w:rsidRDefault="00615769" w:rsidP="00640462">
      <w:pPr>
        <w:pStyle w:val="ListParagraph"/>
        <w:numPr>
          <w:ilvl w:val="0"/>
          <w:numId w:val="165"/>
        </w:numPr>
        <w:rPr>
          <w:sz w:val="22"/>
          <w:szCs w:val="22"/>
        </w:rPr>
      </w:pPr>
      <w:r w:rsidRPr="00B11C76">
        <w:rPr>
          <w:sz w:val="22"/>
          <w:szCs w:val="22"/>
        </w:rPr>
        <w:t>3 canetas pré-cheias para autoadministração pelo doente com 4</w:t>
      </w:r>
      <w:r w:rsidR="00F01603">
        <w:rPr>
          <w:sz w:val="22"/>
          <w:szCs w:val="22"/>
        </w:rPr>
        <w:t xml:space="preserve"> compressas embebidas em álcool</w:t>
      </w:r>
    </w:p>
    <w:p w14:paraId="5C0F2B5B" w14:textId="77777777" w:rsidR="00640462" w:rsidRDefault="00640462" w:rsidP="00640462">
      <w:pPr>
        <w:rPr>
          <w:sz w:val="22"/>
          <w:szCs w:val="22"/>
        </w:rPr>
      </w:pPr>
    </w:p>
    <w:p w14:paraId="4CFF1E5F" w14:textId="77777777" w:rsidR="00640462" w:rsidRDefault="00615769" w:rsidP="00640462">
      <w:pPr>
        <w:ind w:right="-2"/>
        <w:rPr>
          <w:sz w:val="22"/>
          <w:szCs w:val="22"/>
        </w:rPr>
      </w:pPr>
      <w:r w:rsidRPr="008912CF">
        <w:rPr>
          <w:sz w:val="22"/>
          <w:szCs w:val="22"/>
        </w:rPr>
        <w:t>É possível que não sejam comercializadas todas as apresentações.</w:t>
      </w:r>
    </w:p>
    <w:p w14:paraId="723CF3F5" w14:textId="77777777" w:rsidR="00685047" w:rsidRPr="008B0DDF" w:rsidRDefault="00685047" w:rsidP="00685047">
      <w:pPr>
        <w:rPr>
          <w:sz w:val="22"/>
          <w:szCs w:val="22"/>
        </w:rPr>
      </w:pPr>
    </w:p>
    <w:p w14:paraId="2767E8DA" w14:textId="77777777" w:rsidR="00685047" w:rsidRPr="008B0DDF" w:rsidRDefault="00615769" w:rsidP="00685047">
      <w:pPr>
        <w:rPr>
          <w:sz w:val="22"/>
          <w:szCs w:val="22"/>
        </w:rPr>
      </w:pPr>
      <w:r w:rsidRPr="008B0DDF">
        <w:rPr>
          <w:sz w:val="22"/>
          <w:szCs w:val="22"/>
        </w:rPr>
        <w:t xml:space="preserve">Humira </w:t>
      </w:r>
      <w:r w:rsidR="006A3BD4">
        <w:rPr>
          <w:sz w:val="22"/>
          <w:szCs w:val="22"/>
        </w:rPr>
        <w:t>pode estar</w:t>
      </w:r>
      <w:r w:rsidRPr="008B0DDF">
        <w:rPr>
          <w:sz w:val="22"/>
          <w:szCs w:val="22"/>
        </w:rPr>
        <w:t xml:space="preserve"> disponível em frasco para injetáveis, em seringa pré-cheia e</w:t>
      </w:r>
      <w:r w:rsidR="007D5514">
        <w:rPr>
          <w:sz w:val="22"/>
          <w:szCs w:val="22"/>
        </w:rPr>
        <w:t>/ou</w:t>
      </w:r>
      <w:r w:rsidRPr="008B0DDF">
        <w:rPr>
          <w:sz w:val="22"/>
          <w:szCs w:val="22"/>
        </w:rPr>
        <w:t xml:space="preserve"> em caneta pré-cheia.</w:t>
      </w:r>
    </w:p>
    <w:p w14:paraId="585CCDEF" w14:textId="77777777" w:rsidR="00685047" w:rsidRPr="008B0DDF" w:rsidRDefault="00685047" w:rsidP="00685047">
      <w:pPr>
        <w:ind w:right="-2"/>
        <w:rPr>
          <w:sz w:val="22"/>
          <w:szCs w:val="22"/>
        </w:rPr>
      </w:pPr>
    </w:p>
    <w:p w14:paraId="7B552263" w14:textId="77777777" w:rsidR="00685047" w:rsidRPr="008B0DDF" w:rsidRDefault="00615769" w:rsidP="00685047">
      <w:pPr>
        <w:pStyle w:val="Heading8"/>
        <w:keepNext w:val="0"/>
        <w:rPr>
          <w:szCs w:val="22"/>
        </w:rPr>
      </w:pPr>
      <w:r w:rsidRPr="008B0DDF">
        <w:rPr>
          <w:szCs w:val="22"/>
        </w:rPr>
        <w:t xml:space="preserve">Titular da Autorização de Introdução no Mercado </w:t>
      </w:r>
    </w:p>
    <w:p w14:paraId="0C1524A2" w14:textId="77777777" w:rsidR="00685047" w:rsidRPr="008B0DDF" w:rsidRDefault="00685047" w:rsidP="00685047">
      <w:pPr>
        <w:ind w:right="-2"/>
        <w:rPr>
          <w:sz w:val="22"/>
          <w:szCs w:val="22"/>
        </w:rPr>
      </w:pPr>
    </w:p>
    <w:p w14:paraId="222B0749" w14:textId="77777777" w:rsidR="0051177F" w:rsidRPr="00140752" w:rsidRDefault="00615769" w:rsidP="0051177F">
      <w:pPr>
        <w:tabs>
          <w:tab w:val="left" w:pos="720"/>
        </w:tabs>
        <w:rPr>
          <w:sz w:val="22"/>
          <w:szCs w:val="22"/>
          <w:lang w:val="de-DE"/>
        </w:rPr>
      </w:pPr>
      <w:r w:rsidRPr="00140752">
        <w:rPr>
          <w:sz w:val="22"/>
          <w:szCs w:val="22"/>
          <w:lang w:val="de-DE"/>
        </w:rPr>
        <w:t>AbbVie Deutschland GmbH &amp; Co. KG</w:t>
      </w:r>
    </w:p>
    <w:p w14:paraId="67C34A58" w14:textId="77777777" w:rsidR="0051177F" w:rsidRPr="008D6D3A" w:rsidRDefault="00615769" w:rsidP="0051177F">
      <w:pPr>
        <w:tabs>
          <w:tab w:val="left" w:pos="720"/>
        </w:tabs>
        <w:rPr>
          <w:sz w:val="22"/>
          <w:szCs w:val="22"/>
          <w:lang w:val="de-CH"/>
        </w:rPr>
      </w:pPr>
      <w:r w:rsidRPr="008D6D3A">
        <w:rPr>
          <w:sz w:val="22"/>
          <w:szCs w:val="22"/>
          <w:lang w:val="de-CH"/>
        </w:rPr>
        <w:t>Knollstrasse</w:t>
      </w:r>
    </w:p>
    <w:p w14:paraId="4A07EF1B" w14:textId="77777777" w:rsidR="0051177F" w:rsidRPr="008D6D3A" w:rsidRDefault="00615769" w:rsidP="0051177F">
      <w:pPr>
        <w:tabs>
          <w:tab w:val="left" w:pos="720"/>
        </w:tabs>
        <w:rPr>
          <w:sz w:val="22"/>
          <w:szCs w:val="22"/>
          <w:lang w:val="de-CH"/>
        </w:rPr>
      </w:pPr>
      <w:r w:rsidRPr="008D6D3A">
        <w:rPr>
          <w:sz w:val="22"/>
          <w:szCs w:val="22"/>
          <w:lang w:val="de-CH"/>
        </w:rPr>
        <w:t>67061 Ludwigshafen</w:t>
      </w:r>
    </w:p>
    <w:p w14:paraId="2D6CB02F" w14:textId="77777777" w:rsidR="00685047" w:rsidRPr="008D6D3A" w:rsidRDefault="00615769" w:rsidP="00685047">
      <w:pPr>
        <w:rPr>
          <w:sz w:val="22"/>
          <w:szCs w:val="22"/>
          <w:lang w:val="de-CH"/>
        </w:rPr>
      </w:pPr>
      <w:r w:rsidRPr="008D6D3A">
        <w:rPr>
          <w:sz w:val="22"/>
          <w:szCs w:val="22"/>
          <w:lang w:val="de-CH"/>
        </w:rPr>
        <w:t>Alemanha</w:t>
      </w:r>
    </w:p>
    <w:p w14:paraId="3DAFB897" w14:textId="77777777" w:rsidR="00685047" w:rsidRPr="008D6D3A" w:rsidRDefault="00685047" w:rsidP="00685047">
      <w:pPr>
        <w:ind w:right="-2"/>
        <w:rPr>
          <w:sz w:val="22"/>
          <w:szCs w:val="22"/>
          <w:lang w:val="de-CH"/>
        </w:rPr>
      </w:pPr>
    </w:p>
    <w:p w14:paraId="19495791" w14:textId="77777777" w:rsidR="00685047" w:rsidRPr="008D6D3A" w:rsidRDefault="00615769" w:rsidP="00685047">
      <w:pPr>
        <w:keepNext/>
        <w:ind w:right="-2"/>
        <w:rPr>
          <w:b/>
          <w:bCs/>
          <w:sz w:val="22"/>
          <w:szCs w:val="22"/>
          <w:lang w:val="de-CH"/>
        </w:rPr>
      </w:pPr>
      <w:r w:rsidRPr="008D6D3A">
        <w:rPr>
          <w:b/>
          <w:bCs/>
          <w:sz w:val="22"/>
          <w:szCs w:val="22"/>
          <w:lang w:val="de-CH"/>
        </w:rPr>
        <w:t>Fabricante</w:t>
      </w:r>
    </w:p>
    <w:p w14:paraId="2DB11FEE" w14:textId="77777777" w:rsidR="00685047" w:rsidRPr="008D6D3A" w:rsidRDefault="00685047" w:rsidP="00685047">
      <w:pPr>
        <w:keepNext/>
        <w:ind w:right="-2"/>
        <w:rPr>
          <w:bCs/>
          <w:sz w:val="22"/>
          <w:szCs w:val="22"/>
          <w:lang w:val="de-CH"/>
        </w:rPr>
      </w:pPr>
    </w:p>
    <w:p w14:paraId="7F22C785" w14:textId="77777777" w:rsidR="00685047" w:rsidRPr="008D6D3A" w:rsidRDefault="00615769" w:rsidP="00685047">
      <w:pPr>
        <w:keepNext/>
        <w:tabs>
          <w:tab w:val="left" w:pos="562"/>
        </w:tabs>
        <w:suppressAutoHyphens/>
        <w:rPr>
          <w:sz w:val="22"/>
          <w:lang w:val="de-CH"/>
        </w:rPr>
      </w:pPr>
      <w:r w:rsidRPr="008D6D3A">
        <w:rPr>
          <w:sz w:val="22"/>
          <w:lang w:val="de-CH"/>
        </w:rPr>
        <w:t>AbbVie Biotechnology GmbH</w:t>
      </w:r>
    </w:p>
    <w:p w14:paraId="744D4641" w14:textId="77777777" w:rsidR="00685047" w:rsidRPr="008D6D3A" w:rsidRDefault="00615769" w:rsidP="00685047">
      <w:pPr>
        <w:keepNext/>
        <w:numPr>
          <w:ilvl w:val="12"/>
          <w:numId w:val="0"/>
        </w:numPr>
        <w:tabs>
          <w:tab w:val="left" w:pos="720"/>
        </w:tabs>
        <w:suppressAutoHyphens/>
        <w:rPr>
          <w:sz w:val="22"/>
          <w:lang w:val="de-CH"/>
        </w:rPr>
      </w:pPr>
      <w:r w:rsidRPr="008D6D3A">
        <w:rPr>
          <w:sz w:val="22"/>
          <w:lang w:val="de-CH"/>
        </w:rPr>
        <w:t>Knollstrasse</w:t>
      </w:r>
    </w:p>
    <w:p w14:paraId="538D1F14" w14:textId="77777777" w:rsidR="00685047" w:rsidRPr="008D6D3A" w:rsidRDefault="00615769" w:rsidP="00685047">
      <w:pPr>
        <w:keepNext/>
        <w:numPr>
          <w:ilvl w:val="12"/>
          <w:numId w:val="0"/>
        </w:numPr>
        <w:tabs>
          <w:tab w:val="left" w:pos="720"/>
        </w:tabs>
        <w:suppressAutoHyphens/>
        <w:rPr>
          <w:sz w:val="22"/>
          <w:lang w:val="de-CH"/>
        </w:rPr>
      </w:pPr>
      <w:r w:rsidRPr="008D6D3A">
        <w:rPr>
          <w:sz w:val="22"/>
          <w:lang w:val="de-CH"/>
        </w:rPr>
        <w:t>67061 Ludwigshafen</w:t>
      </w:r>
    </w:p>
    <w:p w14:paraId="67EE18A8" w14:textId="77777777" w:rsidR="00685047" w:rsidRPr="00003560" w:rsidRDefault="00615769" w:rsidP="00685047">
      <w:pPr>
        <w:keepNext/>
        <w:ind w:right="-2"/>
        <w:rPr>
          <w:sz w:val="22"/>
        </w:rPr>
      </w:pPr>
      <w:r w:rsidRPr="00003560">
        <w:rPr>
          <w:sz w:val="22"/>
        </w:rPr>
        <w:t>Alemanha</w:t>
      </w:r>
    </w:p>
    <w:p w14:paraId="3434CF6E" w14:textId="77777777" w:rsidR="00685047" w:rsidRPr="005F6F98" w:rsidRDefault="00685047" w:rsidP="00685047">
      <w:pPr>
        <w:ind w:right="-2"/>
        <w:rPr>
          <w:sz w:val="22"/>
          <w:szCs w:val="22"/>
        </w:rPr>
      </w:pPr>
    </w:p>
    <w:p w14:paraId="6906861A" w14:textId="77777777" w:rsidR="00685047" w:rsidRPr="008B0DDF" w:rsidRDefault="00615769" w:rsidP="00685047">
      <w:pPr>
        <w:ind w:right="-2"/>
        <w:rPr>
          <w:sz w:val="22"/>
          <w:szCs w:val="22"/>
        </w:rPr>
      </w:pPr>
      <w:r w:rsidRPr="002B2441">
        <w:rPr>
          <w:sz w:val="22"/>
          <w:szCs w:val="22"/>
        </w:rPr>
        <w:t>Para quaisquer informações sobre este medicamento, queira contactar o r</w:t>
      </w:r>
      <w:r w:rsidR="004E51CA">
        <w:rPr>
          <w:sz w:val="22"/>
          <w:szCs w:val="22"/>
        </w:rPr>
        <w:t>epresentante local do Titular da</w:t>
      </w:r>
      <w:r w:rsidRPr="002B2441">
        <w:rPr>
          <w:sz w:val="22"/>
          <w:szCs w:val="22"/>
        </w:rPr>
        <w:t xml:space="preserve"> Autorização de Introdução no Mercado:</w:t>
      </w:r>
    </w:p>
    <w:p w14:paraId="3A5376CD" w14:textId="77777777" w:rsidR="00685047" w:rsidRPr="008B0DDF" w:rsidRDefault="00685047" w:rsidP="00685047">
      <w:pPr>
        <w:rPr>
          <w:sz w:val="22"/>
          <w:szCs w:val="22"/>
        </w:rPr>
      </w:pPr>
    </w:p>
    <w:tbl>
      <w:tblPr>
        <w:tblW w:w="9356" w:type="dxa"/>
        <w:tblInd w:w="-34" w:type="dxa"/>
        <w:tblLayout w:type="fixed"/>
        <w:tblLook w:val="0000" w:firstRow="0" w:lastRow="0" w:firstColumn="0" w:lastColumn="0" w:noHBand="0" w:noVBand="0"/>
      </w:tblPr>
      <w:tblGrid>
        <w:gridCol w:w="34"/>
        <w:gridCol w:w="4610"/>
        <w:gridCol w:w="34"/>
        <w:gridCol w:w="4678"/>
      </w:tblGrid>
      <w:tr w:rsidR="00A7162A" w14:paraId="6C2F17A8" w14:textId="77777777" w:rsidTr="001F79B0">
        <w:tc>
          <w:tcPr>
            <w:tcW w:w="4644" w:type="dxa"/>
            <w:gridSpan w:val="2"/>
          </w:tcPr>
          <w:p w14:paraId="2F016AC5" w14:textId="77777777" w:rsidR="003E37F6" w:rsidRPr="00346547" w:rsidRDefault="00615769" w:rsidP="001F79B0">
            <w:pPr>
              <w:rPr>
                <w:b/>
                <w:bCs/>
                <w:sz w:val="22"/>
                <w:szCs w:val="22"/>
                <w:lang w:val="fr-BE"/>
              </w:rPr>
            </w:pPr>
            <w:r w:rsidRPr="00346547">
              <w:rPr>
                <w:b/>
                <w:bCs/>
                <w:sz w:val="22"/>
                <w:szCs w:val="22"/>
                <w:lang w:val="fr-BE"/>
              </w:rPr>
              <w:t>België/Belgique/Belgien</w:t>
            </w:r>
          </w:p>
          <w:p w14:paraId="6469C84D" w14:textId="77777777" w:rsidR="003E37F6" w:rsidRPr="00346547" w:rsidRDefault="00615769" w:rsidP="001F79B0">
            <w:pPr>
              <w:tabs>
                <w:tab w:val="center" w:pos="2214"/>
              </w:tabs>
              <w:rPr>
                <w:bCs/>
                <w:sz w:val="22"/>
                <w:szCs w:val="22"/>
                <w:lang w:val="fr-FR"/>
              </w:rPr>
            </w:pPr>
            <w:r w:rsidRPr="00346547">
              <w:rPr>
                <w:bCs/>
                <w:sz w:val="22"/>
                <w:szCs w:val="22"/>
                <w:lang w:val="fr-FR"/>
              </w:rPr>
              <w:t>AbbVie SA</w:t>
            </w:r>
          </w:p>
          <w:p w14:paraId="49362FC7" w14:textId="77777777" w:rsidR="003E37F6" w:rsidRPr="00346547" w:rsidRDefault="00615769" w:rsidP="001F79B0">
            <w:pPr>
              <w:rPr>
                <w:sz w:val="22"/>
                <w:szCs w:val="22"/>
                <w:lang w:val="fr-FR"/>
              </w:rPr>
            </w:pPr>
            <w:r w:rsidRPr="00346547">
              <w:rPr>
                <w:bCs/>
                <w:sz w:val="22"/>
                <w:szCs w:val="22"/>
                <w:lang w:val="fr-FR"/>
              </w:rPr>
              <w:t xml:space="preserve">Tél/Tel: +32 10 </w:t>
            </w:r>
            <w:r w:rsidRPr="00346547">
              <w:rPr>
                <w:sz w:val="22"/>
                <w:szCs w:val="22"/>
                <w:lang w:val="fr-FR"/>
              </w:rPr>
              <w:t>477811</w:t>
            </w:r>
          </w:p>
          <w:p w14:paraId="3ED3BE29" w14:textId="77777777" w:rsidR="003E37F6" w:rsidRPr="00346547" w:rsidRDefault="003E37F6" w:rsidP="001F79B0">
            <w:pPr>
              <w:rPr>
                <w:bCs/>
                <w:sz w:val="22"/>
                <w:szCs w:val="22"/>
                <w:lang w:val="fr-FR"/>
              </w:rPr>
            </w:pPr>
          </w:p>
        </w:tc>
        <w:tc>
          <w:tcPr>
            <w:tcW w:w="4678" w:type="dxa"/>
            <w:gridSpan w:val="2"/>
          </w:tcPr>
          <w:p w14:paraId="5C32EEB4" w14:textId="77777777" w:rsidR="003E37F6" w:rsidRPr="00346547" w:rsidRDefault="00615769" w:rsidP="001F79B0">
            <w:pPr>
              <w:rPr>
                <w:b/>
                <w:bCs/>
                <w:sz w:val="22"/>
                <w:szCs w:val="22"/>
                <w:lang w:val="lt-LT"/>
              </w:rPr>
            </w:pPr>
            <w:r w:rsidRPr="00346547">
              <w:rPr>
                <w:b/>
                <w:bCs/>
                <w:sz w:val="22"/>
                <w:szCs w:val="22"/>
                <w:lang w:val="lt-LT"/>
              </w:rPr>
              <w:t>Lietuva</w:t>
            </w:r>
          </w:p>
          <w:p w14:paraId="28FC57FE" w14:textId="77777777" w:rsidR="003E37F6" w:rsidRPr="00346547" w:rsidRDefault="00615769" w:rsidP="001F79B0">
            <w:pPr>
              <w:rPr>
                <w:bCs/>
                <w:sz w:val="22"/>
                <w:szCs w:val="22"/>
                <w:lang w:val="lv-LV"/>
              </w:rPr>
            </w:pPr>
            <w:r w:rsidRPr="00346547">
              <w:rPr>
                <w:bCs/>
                <w:sz w:val="22"/>
                <w:szCs w:val="22"/>
                <w:lang w:val="lv-LV"/>
              </w:rPr>
              <w:t xml:space="preserve">AbbVie UAB </w:t>
            </w:r>
          </w:p>
          <w:p w14:paraId="73C874A0" w14:textId="77777777" w:rsidR="003E37F6" w:rsidRPr="00346547" w:rsidRDefault="00615769" w:rsidP="001F79B0">
            <w:pPr>
              <w:jc w:val="both"/>
              <w:rPr>
                <w:bCs/>
                <w:sz w:val="22"/>
                <w:szCs w:val="22"/>
                <w:lang w:val="lv-LV"/>
              </w:rPr>
            </w:pPr>
            <w:r w:rsidRPr="00346547">
              <w:rPr>
                <w:bCs/>
                <w:sz w:val="22"/>
                <w:szCs w:val="22"/>
                <w:lang w:val="lv-LV"/>
              </w:rPr>
              <w:t>Tel: +370 5 205 3023</w:t>
            </w:r>
          </w:p>
        </w:tc>
      </w:tr>
      <w:tr w:rsidR="00A7162A" w14:paraId="3F30559A" w14:textId="77777777" w:rsidTr="001F79B0">
        <w:tc>
          <w:tcPr>
            <w:tcW w:w="4644" w:type="dxa"/>
            <w:gridSpan w:val="2"/>
          </w:tcPr>
          <w:p w14:paraId="65AB79D8" w14:textId="77777777" w:rsidR="003E37F6" w:rsidRPr="00346547" w:rsidRDefault="00615769" w:rsidP="001F79B0">
            <w:pPr>
              <w:autoSpaceDE w:val="0"/>
              <w:autoSpaceDN w:val="0"/>
              <w:adjustRightInd w:val="0"/>
              <w:rPr>
                <w:b/>
                <w:bCs/>
                <w:sz w:val="22"/>
                <w:szCs w:val="22"/>
                <w:lang w:val="bg-BG"/>
              </w:rPr>
            </w:pPr>
            <w:r w:rsidRPr="00346547">
              <w:rPr>
                <w:b/>
                <w:bCs/>
                <w:sz w:val="22"/>
                <w:szCs w:val="22"/>
                <w:lang w:val="bg-BG"/>
              </w:rPr>
              <w:t>България</w:t>
            </w:r>
          </w:p>
          <w:p w14:paraId="7E6E505F" w14:textId="77777777" w:rsidR="003E37F6" w:rsidRPr="00346547" w:rsidRDefault="00615769" w:rsidP="001F79B0">
            <w:pPr>
              <w:autoSpaceDE w:val="0"/>
              <w:autoSpaceDN w:val="0"/>
              <w:adjustRightInd w:val="0"/>
              <w:rPr>
                <w:sz w:val="22"/>
                <w:szCs w:val="22"/>
                <w:lang w:val="da-DK"/>
              </w:rPr>
            </w:pPr>
            <w:r w:rsidRPr="00346547">
              <w:rPr>
                <w:rFonts w:eastAsia="MS Mincho"/>
                <w:sz w:val="22"/>
                <w:szCs w:val="22"/>
                <w:lang w:eastAsia="ja-JP"/>
              </w:rPr>
              <w:t>АбВи ЕООД</w:t>
            </w:r>
          </w:p>
          <w:p w14:paraId="690E44D8" w14:textId="77777777" w:rsidR="003E37F6" w:rsidRPr="00346547" w:rsidRDefault="00615769" w:rsidP="001F79B0">
            <w:pPr>
              <w:tabs>
                <w:tab w:val="left" w:pos="-720"/>
              </w:tabs>
              <w:rPr>
                <w:bCs/>
                <w:sz w:val="22"/>
                <w:szCs w:val="22"/>
                <w:lang w:val="da-DK"/>
              </w:rPr>
            </w:pPr>
            <w:r w:rsidRPr="00346547">
              <w:rPr>
                <w:rFonts w:eastAsia="MS Mincho"/>
                <w:sz w:val="22"/>
                <w:szCs w:val="22"/>
                <w:lang w:eastAsia="ja-JP"/>
              </w:rPr>
              <w:t>Тел</w:t>
            </w:r>
            <w:r w:rsidRPr="00346547">
              <w:rPr>
                <w:rFonts w:eastAsia="MS Mincho"/>
                <w:sz w:val="22"/>
                <w:szCs w:val="22"/>
                <w:lang w:val="it-IT" w:eastAsia="ja-JP"/>
              </w:rPr>
              <w:t>.:+359 2 90 30 430</w:t>
            </w:r>
          </w:p>
        </w:tc>
        <w:tc>
          <w:tcPr>
            <w:tcW w:w="4678" w:type="dxa"/>
            <w:gridSpan w:val="2"/>
          </w:tcPr>
          <w:p w14:paraId="637407E1" w14:textId="77777777" w:rsidR="003E37F6" w:rsidRPr="00346547" w:rsidRDefault="00615769" w:rsidP="001F79B0">
            <w:pPr>
              <w:rPr>
                <w:b/>
                <w:bCs/>
                <w:sz w:val="22"/>
                <w:szCs w:val="22"/>
                <w:lang w:val="de-DE"/>
              </w:rPr>
            </w:pPr>
            <w:r w:rsidRPr="00346547">
              <w:rPr>
                <w:b/>
                <w:bCs/>
                <w:sz w:val="22"/>
                <w:szCs w:val="22"/>
                <w:lang w:val="de-DE"/>
              </w:rPr>
              <w:t>Luxembourg/Luxemburg</w:t>
            </w:r>
          </w:p>
          <w:p w14:paraId="755F34C7" w14:textId="77777777" w:rsidR="003E37F6" w:rsidRPr="00346547" w:rsidRDefault="00615769" w:rsidP="001F79B0">
            <w:pPr>
              <w:rPr>
                <w:bCs/>
                <w:sz w:val="22"/>
                <w:szCs w:val="22"/>
                <w:lang w:val="de-DE"/>
              </w:rPr>
            </w:pPr>
            <w:r w:rsidRPr="00346547">
              <w:rPr>
                <w:bCs/>
                <w:sz w:val="22"/>
                <w:szCs w:val="22"/>
                <w:lang w:val="de-DE"/>
              </w:rPr>
              <w:t>AbbVie SA</w:t>
            </w:r>
          </w:p>
          <w:p w14:paraId="6078A1AA" w14:textId="77777777" w:rsidR="003E37F6" w:rsidRPr="00346547" w:rsidRDefault="00615769" w:rsidP="001F79B0">
            <w:pPr>
              <w:tabs>
                <w:tab w:val="center" w:pos="2231"/>
              </w:tabs>
              <w:rPr>
                <w:bCs/>
                <w:sz w:val="22"/>
                <w:szCs w:val="22"/>
                <w:lang w:val="de-DE"/>
              </w:rPr>
            </w:pPr>
            <w:r w:rsidRPr="00346547">
              <w:rPr>
                <w:bCs/>
                <w:sz w:val="22"/>
                <w:szCs w:val="22"/>
                <w:lang w:val="de-DE"/>
              </w:rPr>
              <w:t>Belgique/Belgien</w:t>
            </w:r>
          </w:p>
          <w:p w14:paraId="0EDEDBD7" w14:textId="77777777" w:rsidR="003E37F6" w:rsidRPr="00346547" w:rsidRDefault="00615769" w:rsidP="001F79B0">
            <w:pPr>
              <w:rPr>
                <w:bCs/>
                <w:sz w:val="22"/>
                <w:szCs w:val="22"/>
                <w:lang w:val="fr-FR"/>
              </w:rPr>
            </w:pPr>
            <w:r w:rsidRPr="00346547">
              <w:rPr>
                <w:bCs/>
                <w:sz w:val="22"/>
                <w:szCs w:val="22"/>
                <w:lang w:val="fr-FR"/>
              </w:rPr>
              <w:t>Tél/Tel: +32 10 477811</w:t>
            </w:r>
          </w:p>
          <w:p w14:paraId="16A47BDC" w14:textId="77777777" w:rsidR="003E37F6" w:rsidRPr="00346547" w:rsidRDefault="003E37F6" w:rsidP="001F79B0">
            <w:pPr>
              <w:rPr>
                <w:bCs/>
                <w:sz w:val="22"/>
                <w:szCs w:val="22"/>
                <w:lang w:val="fr-FR"/>
              </w:rPr>
            </w:pPr>
          </w:p>
        </w:tc>
      </w:tr>
      <w:tr w:rsidR="00A7162A" w14:paraId="27F63B83" w14:textId="77777777" w:rsidTr="001F79B0">
        <w:tc>
          <w:tcPr>
            <w:tcW w:w="4644" w:type="dxa"/>
            <w:gridSpan w:val="2"/>
          </w:tcPr>
          <w:p w14:paraId="3C50D501" w14:textId="77777777" w:rsidR="003E37F6" w:rsidRPr="00346547" w:rsidRDefault="00615769" w:rsidP="001F79B0">
            <w:pPr>
              <w:keepNext/>
              <w:rPr>
                <w:b/>
                <w:bCs/>
                <w:sz w:val="22"/>
                <w:szCs w:val="22"/>
              </w:rPr>
            </w:pPr>
            <w:r w:rsidRPr="00346547">
              <w:rPr>
                <w:b/>
                <w:bCs/>
                <w:sz w:val="22"/>
                <w:szCs w:val="22"/>
              </w:rPr>
              <w:t>Česká republika</w:t>
            </w:r>
          </w:p>
          <w:p w14:paraId="04085BF6" w14:textId="77777777" w:rsidR="003E37F6" w:rsidRPr="00346547" w:rsidRDefault="00615769" w:rsidP="001F79B0">
            <w:pPr>
              <w:keepNext/>
              <w:rPr>
                <w:bCs/>
                <w:sz w:val="22"/>
                <w:szCs w:val="22"/>
              </w:rPr>
            </w:pPr>
            <w:r w:rsidRPr="00346547">
              <w:rPr>
                <w:bCs/>
                <w:sz w:val="22"/>
                <w:szCs w:val="22"/>
              </w:rPr>
              <w:t xml:space="preserve">AbbVie s.r.o. </w:t>
            </w:r>
          </w:p>
          <w:p w14:paraId="4FBCA29D" w14:textId="77777777" w:rsidR="003E37F6" w:rsidRPr="00346547" w:rsidRDefault="00615769" w:rsidP="001F79B0">
            <w:pPr>
              <w:keepNext/>
              <w:rPr>
                <w:bCs/>
                <w:sz w:val="22"/>
                <w:szCs w:val="22"/>
              </w:rPr>
            </w:pPr>
            <w:r w:rsidRPr="00346547">
              <w:rPr>
                <w:bCs/>
                <w:sz w:val="22"/>
                <w:szCs w:val="22"/>
              </w:rPr>
              <w:t>Tel: +420 233 098 111</w:t>
            </w:r>
          </w:p>
        </w:tc>
        <w:tc>
          <w:tcPr>
            <w:tcW w:w="4678" w:type="dxa"/>
            <w:gridSpan w:val="2"/>
          </w:tcPr>
          <w:p w14:paraId="12B74E5C" w14:textId="77777777" w:rsidR="003E37F6" w:rsidRPr="00346547" w:rsidRDefault="00615769" w:rsidP="001F79B0">
            <w:pPr>
              <w:keepNext/>
              <w:rPr>
                <w:b/>
                <w:bCs/>
                <w:sz w:val="22"/>
                <w:szCs w:val="22"/>
                <w:lang w:val="hu-HU"/>
              </w:rPr>
            </w:pPr>
            <w:r w:rsidRPr="00346547">
              <w:rPr>
                <w:b/>
                <w:bCs/>
                <w:sz w:val="22"/>
                <w:szCs w:val="22"/>
                <w:lang w:val="hu-HU"/>
              </w:rPr>
              <w:t>Magyarország</w:t>
            </w:r>
          </w:p>
          <w:p w14:paraId="1D45D36D" w14:textId="77777777" w:rsidR="003E37F6" w:rsidRPr="00346547" w:rsidRDefault="00615769" w:rsidP="001F79B0">
            <w:pPr>
              <w:keepNext/>
              <w:rPr>
                <w:bCs/>
                <w:sz w:val="22"/>
                <w:szCs w:val="22"/>
                <w:lang w:val="hu-HU"/>
              </w:rPr>
            </w:pPr>
            <w:r w:rsidRPr="00346547">
              <w:rPr>
                <w:bCs/>
                <w:sz w:val="22"/>
                <w:szCs w:val="22"/>
                <w:lang w:val="hu-HU"/>
              </w:rPr>
              <w:t>AbbVie Kft.</w:t>
            </w:r>
          </w:p>
          <w:p w14:paraId="1ACCB253" w14:textId="77777777" w:rsidR="003E37F6" w:rsidRPr="00346547" w:rsidRDefault="00615769" w:rsidP="001F79B0">
            <w:pPr>
              <w:keepNext/>
              <w:tabs>
                <w:tab w:val="left" w:pos="562"/>
                <w:tab w:val="left" w:pos="2380"/>
              </w:tabs>
              <w:rPr>
                <w:bCs/>
                <w:sz w:val="22"/>
                <w:szCs w:val="22"/>
                <w:lang w:val="hu-HU"/>
              </w:rPr>
            </w:pPr>
            <w:r w:rsidRPr="00346547">
              <w:rPr>
                <w:bCs/>
                <w:sz w:val="22"/>
                <w:szCs w:val="22"/>
                <w:lang w:val="hu-HU"/>
              </w:rPr>
              <w:t>Tel.:+36 1 455 8600</w:t>
            </w:r>
          </w:p>
          <w:p w14:paraId="39E1D6B2" w14:textId="77777777" w:rsidR="003E37F6" w:rsidRPr="00346547" w:rsidRDefault="003E37F6" w:rsidP="001F79B0">
            <w:pPr>
              <w:keepNext/>
              <w:tabs>
                <w:tab w:val="left" w:pos="562"/>
                <w:tab w:val="left" w:pos="2380"/>
              </w:tabs>
              <w:rPr>
                <w:bCs/>
                <w:sz w:val="22"/>
                <w:szCs w:val="22"/>
                <w:lang w:val="hu-HU"/>
              </w:rPr>
            </w:pPr>
          </w:p>
        </w:tc>
      </w:tr>
      <w:tr w:rsidR="00A7162A" w14:paraId="61524A04" w14:textId="77777777" w:rsidTr="001F79B0">
        <w:trPr>
          <w:trHeight w:val="737"/>
        </w:trPr>
        <w:tc>
          <w:tcPr>
            <w:tcW w:w="4644" w:type="dxa"/>
            <w:gridSpan w:val="2"/>
          </w:tcPr>
          <w:p w14:paraId="2C55EA0E" w14:textId="77777777" w:rsidR="003E37F6" w:rsidRPr="00346547" w:rsidRDefault="00615769" w:rsidP="001F79B0">
            <w:pPr>
              <w:rPr>
                <w:b/>
                <w:bCs/>
                <w:sz w:val="22"/>
                <w:szCs w:val="22"/>
                <w:lang w:val="en-US"/>
              </w:rPr>
            </w:pPr>
            <w:r w:rsidRPr="00346547">
              <w:rPr>
                <w:b/>
                <w:bCs/>
                <w:sz w:val="22"/>
                <w:szCs w:val="22"/>
                <w:lang w:val="en-US"/>
              </w:rPr>
              <w:t>Danmark</w:t>
            </w:r>
          </w:p>
          <w:p w14:paraId="7700F047" w14:textId="77777777" w:rsidR="003E37F6" w:rsidRPr="00346547" w:rsidRDefault="00615769" w:rsidP="001F79B0">
            <w:pPr>
              <w:rPr>
                <w:bCs/>
                <w:sz w:val="22"/>
                <w:szCs w:val="22"/>
                <w:lang w:val="en-US"/>
              </w:rPr>
            </w:pPr>
            <w:r w:rsidRPr="00346547">
              <w:rPr>
                <w:bCs/>
                <w:sz w:val="22"/>
                <w:szCs w:val="22"/>
                <w:lang w:val="en-US"/>
              </w:rPr>
              <w:t>AbbVie A/S</w:t>
            </w:r>
          </w:p>
          <w:p w14:paraId="321A855C" w14:textId="77777777" w:rsidR="003E37F6" w:rsidRDefault="00615769" w:rsidP="001F79B0">
            <w:pPr>
              <w:rPr>
                <w:ins w:id="16623" w:author="AbbVie2" w:date="2025-05-14T10:37:00Z"/>
                <w:bCs/>
                <w:sz w:val="22"/>
                <w:szCs w:val="22"/>
                <w:lang w:val="en-US"/>
              </w:rPr>
            </w:pPr>
            <w:r w:rsidRPr="00346547">
              <w:rPr>
                <w:bCs/>
                <w:sz w:val="22"/>
                <w:szCs w:val="22"/>
                <w:lang w:val="en-US"/>
              </w:rPr>
              <w:t>Tlf</w:t>
            </w:r>
            <w:ins w:id="16624" w:author="AbbVie2" w:date="2025-05-14T10:37:00Z">
              <w:r w:rsidR="00F558D8">
                <w:rPr>
                  <w:bCs/>
                  <w:sz w:val="22"/>
                  <w:szCs w:val="22"/>
                  <w:lang w:val="en-US"/>
                </w:rPr>
                <w:t>.</w:t>
              </w:r>
            </w:ins>
            <w:r w:rsidRPr="00346547">
              <w:rPr>
                <w:bCs/>
                <w:sz w:val="22"/>
                <w:szCs w:val="22"/>
                <w:lang w:val="en-US"/>
              </w:rPr>
              <w:t>: +45 72 30-20-28</w:t>
            </w:r>
          </w:p>
          <w:p w14:paraId="7A0EC1C9" w14:textId="06C0EF11" w:rsidR="00F558D8" w:rsidRPr="00860B88" w:rsidRDefault="00F558D8" w:rsidP="001F79B0">
            <w:pPr>
              <w:rPr>
                <w:bCs/>
                <w:sz w:val="22"/>
                <w:szCs w:val="22"/>
                <w:lang w:val="en-US"/>
              </w:rPr>
            </w:pPr>
          </w:p>
        </w:tc>
        <w:tc>
          <w:tcPr>
            <w:tcW w:w="4678" w:type="dxa"/>
            <w:gridSpan w:val="2"/>
          </w:tcPr>
          <w:p w14:paraId="232D2EBD" w14:textId="77777777" w:rsidR="003E37F6" w:rsidRPr="00346547" w:rsidRDefault="00615769" w:rsidP="001F79B0">
            <w:pPr>
              <w:rPr>
                <w:b/>
                <w:bCs/>
                <w:sz w:val="22"/>
                <w:szCs w:val="22"/>
                <w:lang w:val="mt-MT"/>
              </w:rPr>
            </w:pPr>
            <w:r w:rsidRPr="00346547">
              <w:rPr>
                <w:b/>
                <w:bCs/>
                <w:sz w:val="22"/>
                <w:szCs w:val="22"/>
                <w:lang w:val="mt-MT"/>
              </w:rPr>
              <w:t>Malta</w:t>
            </w:r>
          </w:p>
          <w:p w14:paraId="1766BFBC" w14:textId="77777777" w:rsidR="003E37F6" w:rsidRPr="00346547" w:rsidRDefault="00615769" w:rsidP="001F79B0">
            <w:pPr>
              <w:rPr>
                <w:bCs/>
                <w:sz w:val="22"/>
                <w:szCs w:val="22"/>
              </w:rPr>
            </w:pPr>
            <w:r w:rsidRPr="00346547">
              <w:rPr>
                <w:bCs/>
                <w:sz w:val="22"/>
                <w:szCs w:val="22"/>
              </w:rPr>
              <w:t xml:space="preserve">V.J.Salomone Pharma Limited </w:t>
            </w:r>
          </w:p>
          <w:p w14:paraId="48B4F61B" w14:textId="170C78E3" w:rsidR="003E37F6" w:rsidRPr="00346547" w:rsidRDefault="00615769" w:rsidP="001F79B0">
            <w:pPr>
              <w:rPr>
                <w:bCs/>
                <w:sz w:val="22"/>
                <w:szCs w:val="22"/>
              </w:rPr>
            </w:pPr>
            <w:r w:rsidRPr="00346547">
              <w:rPr>
                <w:bCs/>
                <w:sz w:val="22"/>
                <w:szCs w:val="22"/>
              </w:rPr>
              <w:t xml:space="preserve">Tel: </w:t>
            </w:r>
            <w:r w:rsidRPr="00E663CE">
              <w:rPr>
                <w:bCs/>
                <w:sz w:val="22"/>
                <w:szCs w:val="22"/>
                <w:lang w:val="en-GB"/>
              </w:rPr>
              <w:t>+356 21220174</w:t>
            </w:r>
          </w:p>
        </w:tc>
      </w:tr>
      <w:tr w:rsidR="00A7162A" w14:paraId="0E10D125" w14:textId="77777777" w:rsidTr="001F79B0">
        <w:tc>
          <w:tcPr>
            <w:tcW w:w="4644" w:type="dxa"/>
            <w:gridSpan w:val="2"/>
          </w:tcPr>
          <w:p w14:paraId="2CEE5DFC" w14:textId="77777777" w:rsidR="003E37F6" w:rsidRPr="00346547" w:rsidRDefault="00615769" w:rsidP="001F79B0">
            <w:pPr>
              <w:keepNext/>
              <w:rPr>
                <w:b/>
                <w:bCs/>
                <w:sz w:val="22"/>
                <w:szCs w:val="22"/>
                <w:lang w:val="de-DE"/>
              </w:rPr>
            </w:pPr>
            <w:r w:rsidRPr="00346547">
              <w:rPr>
                <w:b/>
                <w:bCs/>
                <w:sz w:val="22"/>
                <w:szCs w:val="22"/>
                <w:lang w:val="de-DE"/>
              </w:rPr>
              <w:t>Deutschland</w:t>
            </w:r>
          </w:p>
          <w:p w14:paraId="4F9860EA" w14:textId="77777777" w:rsidR="003E37F6" w:rsidRPr="00346547" w:rsidRDefault="00615769" w:rsidP="001F79B0">
            <w:pPr>
              <w:keepNext/>
              <w:rPr>
                <w:bCs/>
                <w:sz w:val="22"/>
                <w:szCs w:val="22"/>
                <w:lang w:val="de-DE"/>
              </w:rPr>
            </w:pPr>
            <w:r w:rsidRPr="00346547">
              <w:rPr>
                <w:sz w:val="22"/>
                <w:szCs w:val="22"/>
                <w:lang w:val="de-DE"/>
              </w:rPr>
              <w:t xml:space="preserve">AbbVie Deutschland </w:t>
            </w:r>
            <w:r w:rsidRPr="00346547">
              <w:rPr>
                <w:bCs/>
                <w:sz w:val="22"/>
                <w:szCs w:val="22"/>
                <w:lang w:val="de-DE"/>
              </w:rPr>
              <w:t>GmbH &amp; Co. KG</w:t>
            </w:r>
          </w:p>
          <w:p w14:paraId="23CADF14" w14:textId="77777777" w:rsidR="003E37F6" w:rsidRPr="00346547" w:rsidRDefault="00615769" w:rsidP="001F79B0">
            <w:pPr>
              <w:keepNext/>
              <w:rPr>
                <w:sz w:val="22"/>
                <w:szCs w:val="22"/>
                <w:lang w:val="de-DE"/>
              </w:rPr>
            </w:pPr>
            <w:r w:rsidRPr="00346547">
              <w:rPr>
                <w:sz w:val="22"/>
                <w:szCs w:val="22"/>
                <w:lang w:val="de-DE"/>
              </w:rPr>
              <w:t>Tel: 00800 222843 33 (gebührenfrei)</w:t>
            </w:r>
          </w:p>
          <w:p w14:paraId="38DCD596" w14:textId="77777777" w:rsidR="003E37F6" w:rsidRPr="00346547" w:rsidRDefault="00615769" w:rsidP="001F79B0">
            <w:pPr>
              <w:keepNext/>
              <w:rPr>
                <w:sz w:val="22"/>
                <w:szCs w:val="22"/>
                <w:lang w:val="de-DE"/>
              </w:rPr>
            </w:pPr>
            <w:r w:rsidRPr="00346547">
              <w:rPr>
                <w:sz w:val="22"/>
                <w:szCs w:val="22"/>
                <w:lang w:val="de-DE"/>
              </w:rPr>
              <w:t>Tel: +49 (0) 611 / 1720-0</w:t>
            </w:r>
          </w:p>
          <w:p w14:paraId="0AFAB4BC" w14:textId="77777777" w:rsidR="003E37F6" w:rsidRPr="00346547" w:rsidRDefault="003E37F6" w:rsidP="001F79B0">
            <w:pPr>
              <w:keepNext/>
              <w:rPr>
                <w:sz w:val="22"/>
                <w:szCs w:val="22"/>
                <w:lang w:val="de-DE"/>
              </w:rPr>
            </w:pPr>
          </w:p>
        </w:tc>
        <w:tc>
          <w:tcPr>
            <w:tcW w:w="4678" w:type="dxa"/>
            <w:gridSpan w:val="2"/>
          </w:tcPr>
          <w:p w14:paraId="4EF45096" w14:textId="77777777" w:rsidR="003E37F6" w:rsidRPr="00346547" w:rsidRDefault="00615769" w:rsidP="001F79B0">
            <w:pPr>
              <w:keepNext/>
              <w:rPr>
                <w:b/>
                <w:bCs/>
                <w:sz w:val="22"/>
                <w:szCs w:val="22"/>
                <w:lang w:val="nl-NL"/>
              </w:rPr>
            </w:pPr>
            <w:r w:rsidRPr="00346547">
              <w:rPr>
                <w:b/>
                <w:bCs/>
                <w:sz w:val="22"/>
                <w:szCs w:val="22"/>
                <w:lang w:val="nl-NL"/>
              </w:rPr>
              <w:t>Nederland</w:t>
            </w:r>
          </w:p>
          <w:p w14:paraId="0DC45E7D" w14:textId="77777777" w:rsidR="003E37F6" w:rsidRPr="00346547" w:rsidRDefault="00615769" w:rsidP="001F79B0">
            <w:pPr>
              <w:keepNext/>
              <w:rPr>
                <w:bCs/>
                <w:sz w:val="22"/>
                <w:szCs w:val="22"/>
                <w:lang w:val="de-DE"/>
              </w:rPr>
            </w:pPr>
            <w:r w:rsidRPr="00346547">
              <w:rPr>
                <w:bCs/>
                <w:sz w:val="22"/>
                <w:szCs w:val="22"/>
                <w:lang w:val="de-DE"/>
              </w:rPr>
              <w:t>AbbVie B.V.</w:t>
            </w:r>
          </w:p>
          <w:p w14:paraId="4169ACA3" w14:textId="77777777" w:rsidR="003E37F6" w:rsidRPr="00346547" w:rsidRDefault="00615769" w:rsidP="001F79B0">
            <w:pPr>
              <w:keepNext/>
              <w:rPr>
                <w:bCs/>
                <w:sz w:val="22"/>
                <w:szCs w:val="22"/>
                <w:lang w:val="de-DE"/>
              </w:rPr>
            </w:pPr>
            <w:r w:rsidRPr="00346547">
              <w:rPr>
                <w:bCs/>
                <w:sz w:val="22"/>
                <w:szCs w:val="22"/>
                <w:lang w:val="de-DE"/>
              </w:rPr>
              <w:t>Tel: +31 (0)88 322 2843</w:t>
            </w:r>
          </w:p>
        </w:tc>
      </w:tr>
      <w:tr w:rsidR="00A7162A" w14:paraId="2DCFB5E0" w14:textId="77777777" w:rsidTr="001F79B0">
        <w:tc>
          <w:tcPr>
            <w:tcW w:w="4644" w:type="dxa"/>
            <w:gridSpan w:val="2"/>
          </w:tcPr>
          <w:p w14:paraId="36342972" w14:textId="77777777" w:rsidR="003E37F6" w:rsidRPr="00346547" w:rsidRDefault="00615769" w:rsidP="001F79B0">
            <w:pPr>
              <w:rPr>
                <w:b/>
                <w:bCs/>
                <w:sz w:val="22"/>
                <w:szCs w:val="22"/>
                <w:lang w:val="et-EE"/>
              </w:rPr>
            </w:pPr>
            <w:r w:rsidRPr="00346547">
              <w:rPr>
                <w:b/>
                <w:bCs/>
                <w:sz w:val="22"/>
                <w:szCs w:val="22"/>
                <w:lang w:val="et-EE"/>
              </w:rPr>
              <w:t>Eesti</w:t>
            </w:r>
          </w:p>
          <w:p w14:paraId="0A26CC50" w14:textId="77777777" w:rsidR="003E37F6" w:rsidRPr="00346547" w:rsidRDefault="00615769" w:rsidP="001F79B0">
            <w:pPr>
              <w:rPr>
                <w:bCs/>
                <w:sz w:val="22"/>
                <w:szCs w:val="22"/>
                <w:lang w:val="et-EE"/>
              </w:rPr>
            </w:pPr>
            <w:r w:rsidRPr="00346547">
              <w:rPr>
                <w:bCs/>
                <w:sz w:val="22"/>
                <w:szCs w:val="22"/>
                <w:lang w:val="et-EE"/>
              </w:rPr>
              <w:t xml:space="preserve">AbbVie </w:t>
            </w:r>
            <w:r w:rsidRPr="00346547">
              <w:rPr>
                <w:bCs/>
                <w:sz w:val="22"/>
                <w:szCs w:val="22"/>
              </w:rPr>
              <w:t>OÜ</w:t>
            </w:r>
            <w:r w:rsidRPr="00346547">
              <w:rPr>
                <w:bCs/>
                <w:sz w:val="22"/>
                <w:szCs w:val="22"/>
                <w:lang w:val="et-EE"/>
              </w:rPr>
              <w:t xml:space="preserve"> </w:t>
            </w:r>
          </w:p>
          <w:p w14:paraId="0D78E0FF" w14:textId="77777777" w:rsidR="003E37F6" w:rsidRPr="00346547" w:rsidRDefault="00615769" w:rsidP="001F79B0">
            <w:pPr>
              <w:rPr>
                <w:bCs/>
                <w:sz w:val="22"/>
                <w:szCs w:val="22"/>
                <w:lang w:val="lv-LV"/>
              </w:rPr>
            </w:pPr>
            <w:r w:rsidRPr="00346547">
              <w:rPr>
                <w:bCs/>
                <w:sz w:val="22"/>
                <w:szCs w:val="22"/>
                <w:lang w:val="et-EE"/>
              </w:rPr>
              <w:t>Tel: +372 623 1011</w:t>
            </w:r>
          </w:p>
        </w:tc>
        <w:tc>
          <w:tcPr>
            <w:tcW w:w="4678" w:type="dxa"/>
            <w:gridSpan w:val="2"/>
          </w:tcPr>
          <w:p w14:paraId="715C587F" w14:textId="77777777" w:rsidR="003E37F6" w:rsidRPr="00346547" w:rsidRDefault="00615769" w:rsidP="001F79B0">
            <w:pPr>
              <w:rPr>
                <w:b/>
                <w:bCs/>
                <w:sz w:val="22"/>
                <w:szCs w:val="22"/>
                <w:lang w:val="nb-NO"/>
              </w:rPr>
            </w:pPr>
            <w:r w:rsidRPr="00346547">
              <w:rPr>
                <w:b/>
                <w:bCs/>
                <w:sz w:val="22"/>
                <w:szCs w:val="22"/>
                <w:lang w:val="nb-NO"/>
              </w:rPr>
              <w:t>Norge</w:t>
            </w:r>
          </w:p>
          <w:p w14:paraId="7EBBF35F" w14:textId="77777777" w:rsidR="003E37F6" w:rsidRPr="00346547" w:rsidRDefault="00615769" w:rsidP="001F79B0">
            <w:pPr>
              <w:rPr>
                <w:bCs/>
                <w:sz w:val="22"/>
                <w:szCs w:val="22"/>
              </w:rPr>
            </w:pPr>
            <w:r w:rsidRPr="00346547">
              <w:rPr>
                <w:bCs/>
                <w:sz w:val="22"/>
                <w:szCs w:val="22"/>
              </w:rPr>
              <w:t>AbbVie AS</w:t>
            </w:r>
          </w:p>
          <w:p w14:paraId="0B7491CE" w14:textId="77777777" w:rsidR="003E37F6" w:rsidRPr="00346547" w:rsidRDefault="00615769" w:rsidP="001F79B0">
            <w:pPr>
              <w:rPr>
                <w:bCs/>
                <w:sz w:val="22"/>
                <w:szCs w:val="22"/>
              </w:rPr>
            </w:pPr>
            <w:r w:rsidRPr="00346547">
              <w:rPr>
                <w:bCs/>
                <w:sz w:val="22"/>
                <w:szCs w:val="22"/>
              </w:rPr>
              <w:t>Tlf: +47 67 81 80 00</w:t>
            </w:r>
          </w:p>
          <w:p w14:paraId="120A3CEB" w14:textId="77777777" w:rsidR="003E37F6" w:rsidRPr="00346547" w:rsidRDefault="003E37F6" w:rsidP="001F79B0">
            <w:pPr>
              <w:rPr>
                <w:bCs/>
                <w:sz w:val="22"/>
                <w:szCs w:val="22"/>
              </w:rPr>
            </w:pPr>
          </w:p>
        </w:tc>
      </w:tr>
      <w:tr w:rsidR="00A7162A" w14:paraId="1BAD2F87" w14:textId="77777777" w:rsidTr="001F79B0">
        <w:trPr>
          <w:trHeight w:val="794"/>
        </w:trPr>
        <w:tc>
          <w:tcPr>
            <w:tcW w:w="4644" w:type="dxa"/>
            <w:gridSpan w:val="2"/>
          </w:tcPr>
          <w:p w14:paraId="14811630" w14:textId="77777777" w:rsidR="003E37F6" w:rsidRPr="00346547" w:rsidRDefault="00615769" w:rsidP="001F79B0">
            <w:pPr>
              <w:rPr>
                <w:b/>
                <w:bCs/>
                <w:sz w:val="22"/>
                <w:szCs w:val="22"/>
                <w:lang w:val="el-GR"/>
              </w:rPr>
            </w:pPr>
            <w:r w:rsidRPr="00346547">
              <w:rPr>
                <w:b/>
                <w:bCs/>
                <w:sz w:val="22"/>
                <w:szCs w:val="22"/>
                <w:lang w:val="el-GR"/>
              </w:rPr>
              <w:t>Ελλάδα</w:t>
            </w:r>
          </w:p>
          <w:p w14:paraId="373CF1AD" w14:textId="77777777" w:rsidR="003E37F6" w:rsidRPr="00346547" w:rsidRDefault="00615769" w:rsidP="001F79B0">
            <w:pPr>
              <w:rPr>
                <w:bCs/>
                <w:sz w:val="22"/>
                <w:szCs w:val="22"/>
                <w:lang w:val="el-GR"/>
              </w:rPr>
            </w:pPr>
            <w:r w:rsidRPr="00346547">
              <w:rPr>
                <w:bCs/>
                <w:sz w:val="22"/>
                <w:szCs w:val="22"/>
                <w:lang w:val="et-EE"/>
              </w:rPr>
              <w:t xml:space="preserve">AbbVie </w:t>
            </w:r>
            <w:r w:rsidRPr="00346547">
              <w:rPr>
                <w:sz w:val="22"/>
                <w:szCs w:val="22"/>
                <w:lang w:val="el-GR"/>
              </w:rPr>
              <w:t>ΦΑΡΜΑΚΕΥΤΙΚΗ Α.Ε.</w:t>
            </w:r>
          </w:p>
          <w:p w14:paraId="38104334" w14:textId="77777777" w:rsidR="003E37F6" w:rsidRPr="00346547" w:rsidRDefault="00615769" w:rsidP="001F79B0">
            <w:pPr>
              <w:rPr>
                <w:bCs/>
                <w:sz w:val="22"/>
                <w:szCs w:val="22"/>
              </w:rPr>
            </w:pPr>
            <w:r w:rsidRPr="00346547">
              <w:rPr>
                <w:bCs/>
                <w:sz w:val="22"/>
                <w:szCs w:val="22"/>
                <w:lang w:val="el-GR"/>
              </w:rPr>
              <w:t xml:space="preserve">Τηλ: +30 </w:t>
            </w:r>
            <w:r w:rsidRPr="00346547">
              <w:rPr>
                <w:bCs/>
                <w:sz w:val="22"/>
                <w:szCs w:val="22"/>
              </w:rPr>
              <w:t>214 4165 555</w:t>
            </w:r>
          </w:p>
        </w:tc>
        <w:tc>
          <w:tcPr>
            <w:tcW w:w="4678" w:type="dxa"/>
            <w:gridSpan w:val="2"/>
          </w:tcPr>
          <w:p w14:paraId="62EEF50F" w14:textId="77777777" w:rsidR="003E37F6" w:rsidRPr="00346547" w:rsidRDefault="00615769" w:rsidP="001F79B0">
            <w:pPr>
              <w:rPr>
                <w:b/>
                <w:bCs/>
                <w:sz w:val="22"/>
                <w:szCs w:val="22"/>
                <w:lang w:val="de-DE"/>
              </w:rPr>
            </w:pPr>
            <w:r w:rsidRPr="00346547">
              <w:rPr>
                <w:b/>
                <w:bCs/>
                <w:sz w:val="22"/>
                <w:szCs w:val="22"/>
                <w:lang w:val="de-DE"/>
              </w:rPr>
              <w:t>Österreich</w:t>
            </w:r>
          </w:p>
          <w:p w14:paraId="043C321F" w14:textId="77777777" w:rsidR="003E37F6" w:rsidRPr="00346547" w:rsidRDefault="00615769" w:rsidP="001F79B0">
            <w:pPr>
              <w:rPr>
                <w:bCs/>
                <w:sz w:val="22"/>
                <w:szCs w:val="22"/>
                <w:lang w:val="de-DE"/>
              </w:rPr>
            </w:pPr>
            <w:r w:rsidRPr="00346547">
              <w:rPr>
                <w:bCs/>
                <w:sz w:val="22"/>
                <w:szCs w:val="22"/>
                <w:lang w:val="de-DE"/>
              </w:rPr>
              <w:t xml:space="preserve">AbbVie GmbH </w:t>
            </w:r>
          </w:p>
          <w:p w14:paraId="145B716F" w14:textId="77777777" w:rsidR="003E37F6" w:rsidRPr="00346547" w:rsidRDefault="00615769" w:rsidP="001F79B0">
            <w:pPr>
              <w:rPr>
                <w:bCs/>
                <w:sz w:val="22"/>
                <w:szCs w:val="22"/>
                <w:lang w:val="de-DE"/>
              </w:rPr>
            </w:pPr>
            <w:r w:rsidRPr="00346547">
              <w:rPr>
                <w:bCs/>
                <w:sz w:val="22"/>
                <w:szCs w:val="22"/>
                <w:lang w:val="de-DE"/>
              </w:rPr>
              <w:t>Tel: +43 1 20589-0</w:t>
            </w:r>
          </w:p>
          <w:p w14:paraId="131B5C36" w14:textId="77777777" w:rsidR="003E37F6" w:rsidRPr="00346547" w:rsidRDefault="003E37F6" w:rsidP="001F79B0">
            <w:pPr>
              <w:rPr>
                <w:bCs/>
                <w:sz w:val="22"/>
                <w:szCs w:val="22"/>
                <w:lang w:val="de-DE"/>
              </w:rPr>
            </w:pPr>
          </w:p>
        </w:tc>
      </w:tr>
      <w:tr w:rsidR="00A7162A" w14:paraId="64070B3B" w14:textId="77777777" w:rsidTr="001F79B0">
        <w:trPr>
          <w:gridBefore w:val="1"/>
          <w:wBefore w:w="34" w:type="dxa"/>
        </w:trPr>
        <w:tc>
          <w:tcPr>
            <w:tcW w:w="4644" w:type="dxa"/>
            <w:gridSpan w:val="2"/>
          </w:tcPr>
          <w:p w14:paraId="5E051273" w14:textId="77777777" w:rsidR="003E37F6" w:rsidRPr="00346547" w:rsidRDefault="00615769" w:rsidP="001F79B0">
            <w:pPr>
              <w:rPr>
                <w:b/>
                <w:bCs/>
                <w:sz w:val="22"/>
                <w:szCs w:val="22"/>
                <w:lang w:val="es-ES"/>
              </w:rPr>
            </w:pPr>
            <w:r w:rsidRPr="00346547">
              <w:rPr>
                <w:b/>
                <w:bCs/>
                <w:sz w:val="22"/>
                <w:szCs w:val="22"/>
                <w:lang w:val="es-ES"/>
              </w:rPr>
              <w:t>España</w:t>
            </w:r>
          </w:p>
          <w:p w14:paraId="03A1BFC4" w14:textId="77777777" w:rsidR="003E37F6" w:rsidRPr="00346547" w:rsidRDefault="00615769" w:rsidP="001F79B0">
            <w:pPr>
              <w:rPr>
                <w:sz w:val="22"/>
                <w:szCs w:val="22"/>
                <w:lang w:val="es-ES"/>
              </w:rPr>
            </w:pPr>
            <w:r w:rsidRPr="00346547">
              <w:rPr>
                <w:sz w:val="22"/>
                <w:szCs w:val="22"/>
                <w:lang w:val="es-ES"/>
              </w:rPr>
              <w:t xml:space="preserve">AbbVie </w:t>
            </w:r>
            <w:r w:rsidRPr="00346547">
              <w:rPr>
                <w:bCs/>
                <w:sz w:val="22"/>
                <w:szCs w:val="22"/>
                <w:lang w:val="es-ES"/>
              </w:rPr>
              <w:t>Spain</w:t>
            </w:r>
            <w:r w:rsidRPr="00346547">
              <w:rPr>
                <w:sz w:val="22"/>
                <w:szCs w:val="22"/>
                <w:lang w:val="es-ES"/>
              </w:rPr>
              <w:t>, S.L.U</w:t>
            </w:r>
            <w:r w:rsidRPr="00346547">
              <w:rPr>
                <w:bCs/>
                <w:sz w:val="22"/>
                <w:szCs w:val="22"/>
                <w:lang w:val="es-ES"/>
              </w:rPr>
              <w:t>.</w:t>
            </w:r>
          </w:p>
          <w:p w14:paraId="6F466A96" w14:textId="77777777" w:rsidR="003E37F6" w:rsidRPr="00346547" w:rsidRDefault="00615769" w:rsidP="001F79B0">
            <w:pPr>
              <w:rPr>
                <w:bCs/>
                <w:sz w:val="22"/>
                <w:szCs w:val="22"/>
                <w:lang w:val="pl-PL"/>
              </w:rPr>
            </w:pPr>
            <w:r w:rsidRPr="00346547">
              <w:rPr>
                <w:bCs/>
                <w:sz w:val="22"/>
                <w:szCs w:val="22"/>
              </w:rPr>
              <w:t>Tel: +34 91 384 09 10</w:t>
            </w:r>
          </w:p>
        </w:tc>
        <w:tc>
          <w:tcPr>
            <w:tcW w:w="4678" w:type="dxa"/>
          </w:tcPr>
          <w:p w14:paraId="7B73F905" w14:textId="77777777" w:rsidR="003E37F6" w:rsidRPr="00346547" w:rsidRDefault="00615769" w:rsidP="001F79B0">
            <w:pPr>
              <w:rPr>
                <w:b/>
                <w:bCs/>
                <w:iCs/>
                <w:sz w:val="22"/>
                <w:szCs w:val="22"/>
                <w:lang w:val="pl-PL"/>
              </w:rPr>
            </w:pPr>
            <w:r w:rsidRPr="00346547">
              <w:rPr>
                <w:b/>
                <w:bCs/>
                <w:iCs/>
                <w:sz w:val="22"/>
                <w:szCs w:val="22"/>
                <w:lang w:val="pl-PL"/>
              </w:rPr>
              <w:t>Polska</w:t>
            </w:r>
          </w:p>
          <w:p w14:paraId="2B2530D3" w14:textId="77777777" w:rsidR="003E37F6" w:rsidRPr="00346547" w:rsidRDefault="00615769" w:rsidP="001F79B0">
            <w:pPr>
              <w:rPr>
                <w:bCs/>
                <w:sz w:val="22"/>
                <w:szCs w:val="22"/>
                <w:lang w:val="pl-PL"/>
              </w:rPr>
            </w:pPr>
            <w:r w:rsidRPr="00346547">
              <w:rPr>
                <w:bCs/>
                <w:sz w:val="22"/>
                <w:szCs w:val="22"/>
                <w:lang w:val="pl-PL"/>
              </w:rPr>
              <w:t>AbbVie Sp. z o.o.</w:t>
            </w:r>
          </w:p>
          <w:p w14:paraId="4CCED9CE" w14:textId="77777777" w:rsidR="003E37F6" w:rsidRPr="00346547" w:rsidRDefault="00615769" w:rsidP="001F79B0">
            <w:pPr>
              <w:pStyle w:val="Footer"/>
              <w:rPr>
                <w:bCs/>
                <w:sz w:val="22"/>
                <w:szCs w:val="22"/>
                <w:lang w:val="pl-PL"/>
              </w:rPr>
            </w:pPr>
            <w:r w:rsidRPr="00346547">
              <w:rPr>
                <w:sz w:val="22"/>
                <w:szCs w:val="22"/>
                <w:lang w:val="es-ES"/>
              </w:rPr>
              <w:t xml:space="preserve">Tel.: +48 22 </w:t>
            </w:r>
            <w:r w:rsidRPr="00346547">
              <w:rPr>
                <w:bCs/>
                <w:sz w:val="22"/>
                <w:szCs w:val="22"/>
                <w:lang w:val="pl-PL"/>
              </w:rPr>
              <w:t xml:space="preserve">372 78 00 </w:t>
            </w:r>
          </w:p>
          <w:p w14:paraId="368694CB" w14:textId="77777777" w:rsidR="003E37F6" w:rsidRPr="00346547" w:rsidRDefault="003E37F6" w:rsidP="001F79B0">
            <w:pPr>
              <w:pStyle w:val="Footer"/>
              <w:rPr>
                <w:bCs/>
                <w:sz w:val="22"/>
                <w:szCs w:val="22"/>
                <w:lang w:val="pl-PL"/>
              </w:rPr>
            </w:pPr>
          </w:p>
        </w:tc>
      </w:tr>
      <w:tr w:rsidR="00A7162A" w14:paraId="0E2BA77E" w14:textId="77777777" w:rsidTr="001F79B0">
        <w:trPr>
          <w:trHeight w:val="734"/>
        </w:trPr>
        <w:tc>
          <w:tcPr>
            <w:tcW w:w="4678" w:type="dxa"/>
            <w:gridSpan w:val="3"/>
          </w:tcPr>
          <w:p w14:paraId="7D46CE51" w14:textId="77777777" w:rsidR="003E37F6" w:rsidRPr="00346547" w:rsidRDefault="00615769" w:rsidP="001F79B0">
            <w:pPr>
              <w:ind w:firstLine="34"/>
              <w:rPr>
                <w:b/>
                <w:bCs/>
                <w:sz w:val="22"/>
                <w:szCs w:val="22"/>
                <w:lang w:val="fr-FR"/>
              </w:rPr>
            </w:pPr>
            <w:r w:rsidRPr="00346547">
              <w:rPr>
                <w:b/>
                <w:bCs/>
                <w:sz w:val="22"/>
                <w:szCs w:val="22"/>
                <w:lang w:val="fr-FR"/>
              </w:rPr>
              <w:t>France</w:t>
            </w:r>
          </w:p>
          <w:p w14:paraId="2065EB3E" w14:textId="77777777" w:rsidR="003E37F6" w:rsidRPr="00346547" w:rsidRDefault="00615769" w:rsidP="001F79B0">
            <w:pPr>
              <w:ind w:firstLine="34"/>
              <w:rPr>
                <w:bCs/>
                <w:sz w:val="22"/>
                <w:szCs w:val="22"/>
                <w:lang w:val="fr-FR"/>
              </w:rPr>
            </w:pPr>
            <w:r w:rsidRPr="00346547">
              <w:rPr>
                <w:bCs/>
                <w:sz w:val="22"/>
                <w:szCs w:val="22"/>
                <w:lang w:val="fr-FR"/>
              </w:rPr>
              <w:t>AbbVie</w:t>
            </w:r>
          </w:p>
          <w:p w14:paraId="00FE8012" w14:textId="77777777" w:rsidR="003E37F6" w:rsidRPr="00346547" w:rsidRDefault="00615769" w:rsidP="001F79B0">
            <w:pPr>
              <w:ind w:firstLine="34"/>
              <w:rPr>
                <w:bCs/>
                <w:sz w:val="22"/>
                <w:szCs w:val="22"/>
                <w:lang w:val="fr-FR"/>
              </w:rPr>
            </w:pPr>
            <w:r w:rsidRPr="00346547">
              <w:rPr>
                <w:bCs/>
                <w:sz w:val="22"/>
                <w:szCs w:val="22"/>
                <w:lang w:val="fr-FR"/>
              </w:rPr>
              <w:t>Tél: +33 (0) 1 45 60 13 00</w:t>
            </w:r>
          </w:p>
        </w:tc>
        <w:tc>
          <w:tcPr>
            <w:tcW w:w="4678" w:type="dxa"/>
          </w:tcPr>
          <w:p w14:paraId="3E83DE26" w14:textId="77777777" w:rsidR="003E37F6" w:rsidRPr="00346547" w:rsidRDefault="00615769" w:rsidP="001F79B0">
            <w:pPr>
              <w:rPr>
                <w:b/>
                <w:bCs/>
                <w:sz w:val="22"/>
                <w:szCs w:val="22"/>
              </w:rPr>
            </w:pPr>
            <w:r w:rsidRPr="00346547">
              <w:rPr>
                <w:b/>
                <w:bCs/>
                <w:sz w:val="22"/>
                <w:szCs w:val="22"/>
              </w:rPr>
              <w:t>Portugal</w:t>
            </w:r>
          </w:p>
          <w:p w14:paraId="63EE26B4" w14:textId="77777777" w:rsidR="003E37F6" w:rsidRPr="00346547" w:rsidRDefault="00615769" w:rsidP="001F79B0">
            <w:pPr>
              <w:pStyle w:val="Footer"/>
              <w:rPr>
                <w:bCs/>
                <w:sz w:val="22"/>
                <w:szCs w:val="22"/>
                <w:lang w:val="fr-FR"/>
              </w:rPr>
            </w:pPr>
            <w:r w:rsidRPr="00346547">
              <w:rPr>
                <w:bCs/>
                <w:sz w:val="22"/>
                <w:szCs w:val="22"/>
                <w:lang w:val="fr-FR"/>
              </w:rPr>
              <w:t xml:space="preserve">AbbVie, Lda. </w:t>
            </w:r>
          </w:p>
          <w:p w14:paraId="424FB6F6" w14:textId="77777777" w:rsidR="003E37F6" w:rsidRPr="00346547" w:rsidRDefault="00615769" w:rsidP="001F79B0">
            <w:pPr>
              <w:pStyle w:val="Footer"/>
              <w:rPr>
                <w:sz w:val="22"/>
                <w:szCs w:val="22"/>
                <w:lang w:val="fr-FR"/>
              </w:rPr>
            </w:pPr>
            <w:r w:rsidRPr="00346547">
              <w:rPr>
                <w:sz w:val="22"/>
                <w:szCs w:val="22"/>
                <w:lang w:val="fr-FR"/>
              </w:rPr>
              <w:t>Tel: +351 (0)21 1908400</w:t>
            </w:r>
          </w:p>
          <w:p w14:paraId="072AC09B" w14:textId="77777777" w:rsidR="003E37F6" w:rsidRPr="00346547" w:rsidRDefault="003E37F6" w:rsidP="001F79B0">
            <w:pPr>
              <w:pStyle w:val="Footer"/>
              <w:rPr>
                <w:sz w:val="22"/>
                <w:szCs w:val="22"/>
                <w:lang w:val="fr-FR"/>
              </w:rPr>
            </w:pPr>
          </w:p>
        </w:tc>
      </w:tr>
      <w:tr w:rsidR="00A7162A" w14:paraId="758D20AF" w14:textId="77777777" w:rsidTr="001F79B0">
        <w:trPr>
          <w:gridBefore w:val="1"/>
          <w:wBefore w:w="34" w:type="dxa"/>
        </w:trPr>
        <w:tc>
          <w:tcPr>
            <w:tcW w:w="4644" w:type="dxa"/>
            <w:gridSpan w:val="2"/>
          </w:tcPr>
          <w:p w14:paraId="3BC5548E" w14:textId="77777777" w:rsidR="003E37F6" w:rsidRPr="00860B88" w:rsidRDefault="00615769" w:rsidP="001F79B0">
            <w:pPr>
              <w:pStyle w:val="Default"/>
              <w:rPr>
                <w:color w:val="auto"/>
                <w:sz w:val="22"/>
                <w:szCs w:val="22"/>
                <w:lang w:val="pt-PT"/>
              </w:rPr>
            </w:pPr>
            <w:r w:rsidRPr="00860B88">
              <w:rPr>
                <w:b/>
                <w:bCs/>
                <w:color w:val="auto"/>
                <w:sz w:val="22"/>
                <w:szCs w:val="22"/>
                <w:lang w:val="pt-PT"/>
              </w:rPr>
              <w:t xml:space="preserve">Hrvatska </w:t>
            </w:r>
          </w:p>
          <w:p w14:paraId="1C49A5E1" w14:textId="77777777" w:rsidR="003E37F6" w:rsidRPr="00346547" w:rsidRDefault="00615769" w:rsidP="001F79B0">
            <w:pPr>
              <w:rPr>
                <w:sz w:val="22"/>
                <w:szCs w:val="22"/>
                <w:lang w:val="hr-HR"/>
              </w:rPr>
            </w:pPr>
            <w:r w:rsidRPr="00346547">
              <w:rPr>
                <w:sz w:val="22"/>
                <w:szCs w:val="22"/>
                <w:lang w:val="hr-HR"/>
              </w:rPr>
              <w:t>AbbVie d.o.o.</w:t>
            </w:r>
          </w:p>
          <w:p w14:paraId="506D577E" w14:textId="77777777" w:rsidR="003E37F6" w:rsidRPr="00346547" w:rsidRDefault="00615769" w:rsidP="001F79B0">
            <w:pPr>
              <w:rPr>
                <w:bCs/>
                <w:sz w:val="22"/>
                <w:szCs w:val="22"/>
                <w:lang w:val="it-IT"/>
              </w:rPr>
            </w:pPr>
            <w:r w:rsidRPr="00346547">
              <w:rPr>
                <w:sz w:val="22"/>
                <w:szCs w:val="22"/>
                <w:lang w:val="hr-HR"/>
              </w:rPr>
              <w:t xml:space="preserve">Tel + 385 (0)1 </w:t>
            </w:r>
            <w:r w:rsidRPr="00346547">
              <w:rPr>
                <w:sz w:val="22"/>
                <w:szCs w:val="22"/>
                <w:lang w:val="en-US"/>
              </w:rPr>
              <w:t>5625 501</w:t>
            </w:r>
          </w:p>
        </w:tc>
        <w:tc>
          <w:tcPr>
            <w:tcW w:w="4678" w:type="dxa"/>
          </w:tcPr>
          <w:p w14:paraId="0DC263CE" w14:textId="77777777" w:rsidR="003E37F6" w:rsidRPr="00346547" w:rsidRDefault="00615769" w:rsidP="001F79B0">
            <w:pPr>
              <w:pStyle w:val="EMEANormal"/>
              <w:rPr>
                <w:b/>
                <w:bCs/>
                <w:szCs w:val="22"/>
                <w:lang w:val="it-IT"/>
              </w:rPr>
            </w:pPr>
            <w:r w:rsidRPr="00346547">
              <w:rPr>
                <w:b/>
                <w:bCs/>
                <w:szCs w:val="22"/>
                <w:lang w:val="it-IT"/>
              </w:rPr>
              <w:t>România</w:t>
            </w:r>
          </w:p>
          <w:p w14:paraId="757B7FF1" w14:textId="77777777" w:rsidR="003E37F6" w:rsidRPr="00346547" w:rsidRDefault="00615769" w:rsidP="001F79B0">
            <w:pPr>
              <w:rPr>
                <w:rFonts w:eastAsia="MS Mincho"/>
                <w:sz w:val="22"/>
                <w:szCs w:val="22"/>
                <w:lang w:val="it-IT" w:eastAsia="ja-JP"/>
              </w:rPr>
            </w:pPr>
            <w:r w:rsidRPr="00346547">
              <w:rPr>
                <w:rFonts w:eastAsia="MS Mincho"/>
                <w:sz w:val="22"/>
                <w:szCs w:val="22"/>
                <w:lang w:val="it-IT" w:eastAsia="ja-JP"/>
              </w:rPr>
              <w:t>AbbVie S.R.L.</w:t>
            </w:r>
          </w:p>
          <w:p w14:paraId="1DE843E7" w14:textId="77777777" w:rsidR="003E37F6" w:rsidRPr="00346547" w:rsidRDefault="00615769" w:rsidP="001F79B0">
            <w:pPr>
              <w:rPr>
                <w:sz w:val="22"/>
                <w:szCs w:val="22"/>
                <w:lang w:val="pl-PL"/>
              </w:rPr>
            </w:pPr>
            <w:r w:rsidRPr="00346547">
              <w:rPr>
                <w:sz w:val="22"/>
                <w:szCs w:val="22"/>
                <w:lang w:val="pl-PL"/>
              </w:rPr>
              <w:t>Tel: +40 21 529 30 35</w:t>
            </w:r>
          </w:p>
          <w:p w14:paraId="7281B86D" w14:textId="77777777" w:rsidR="003E37F6" w:rsidRPr="00346547" w:rsidRDefault="003E37F6" w:rsidP="001F79B0">
            <w:pPr>
              <w:rPr>
                <w:sz w:val="22"/>
                <w:szCs w:val="22"/>
                <w:lang w:val="pl-PL"/>
              </w:rPr>
            </w:pPr>
          </w:p>
        </w:tc>
      </w:tr>
      <w:tr w:rsidR="00A7162A" w14:paraId="0D5233E3" w14:textId="77777777" w:rsidTr="001F79B0">
        <w:trPr>
          <w:gridBefore w:val="1"/>
          <w:wBefore w:w="34" w:type="dxa"/>
        </w:trPr>
        <w:tc>
          <w:tcPr>
            <w:tcW w:w="4644" w:type="dxa"/>
            <w:gridSpan w:val="2"/>
          </w:tcPr>
          <w:p w14:paraId="422BD9C7" w14:textId="77777777" w:rsidR="003E37F6" w:rsidRPr="00346547" w:rsidRDefault="00615769" w:rsidP="001F79B0">
            <w:pPr>
              <w:rPr>
                <w:b/>
                <w:bCs/>
                <w:sz w:val="22"/>
                <w:szCs w:val="22"/>
              </w:rPr>
            </w:pPr>
            <w:r w:rsidRPr="00346547">
              <w:rPr>
                <w:b/>
                <w:bCs/>
                <w:sz w:val="22"/>
                <w:szCs w:val="22"/>
              </w:rPr>
              <w:t>Ireland</w:t>
            </w:r>
          </w:p>
          <w:p w14:paraId="274E790B" w14:textId="77777777" w:rsidR="003E37F6" w:rsidRPr="00346547" w:rsidRDefault="00615769" w:rsidP="001F79B0">
            <w:pPr>
              <w:rPr>
                <w:bCs/>
                <w:sz w:val="22"/>
                <w:szCs w:val="22"/>
              </w:rPr>
            </w:pPr>
            <w:r w:rsidRPr="00346547">
              <w:rPr>
                <w:bCs/>
                <w:sz w:val="22"/>
                <w:szCs w:val="22"/>
              </w:rPr>
              <w:t xml:space="preserve">AbbVie Limited </w:t>
            </w:r>
          </w:p>
          <w:p w14:paraId="088654FF" w14:textId="77777777" w:rsidR="003E37F6" w:rsidRPr="00346547" w:rsidRDefault="00615769" w:rsidP="001F79B0">
            <w:pPr>
              <w:rPr>
                <w:bCs/>
                <w:sz w:val="22"/>
                <w:szCs w:val="22"/>
              </w:rPr>
            </w:pPr>
            <w:r w:rsidRPr="00346547">
              <w:rPr>
                <w:bCs/>
                <w:sz w:val="22"/>
                <w:szCs w:val="22"/>
              </w:rPr>
              <w:t>Tel: +353 (0)1 42879</w:t>
            </w:r>
            <w:r w:rsidR="00794A65">
              <w:rPr>
                <w:bCs/>
                <w:sz w:val="22"/>
                <w:szCs w:val="22"/>
              </w:rPr>
              <w:t>0</w:t>
            </w:r>
            <w:r w:rsidRPr="00346547">
              <w:rPr>
                <w:bCs/>
                <w:sz w:val="22"/>
                <w:szCs w:val="22"/>
              </w:rPr>
              <w:t>0</w:t>
            </w:r>
          </w:p>
        </w:tc>
        <w:tc>
          <w:tcPr>
            <w:tcW w:w="4678" w:type="dxa"/>
          </w:tcPr>
          <w:p w14:paraId="24775E61" w14:textId="77777777" w:rsidR="003E37F6" w:rsidRPr="00346547" w:rsidRDefault="00615769" w:rsidP="001F79B0">
            <w:pPr>
              <w:rPr>
                <w:b/>
                <w:bCs/>
                <w:sz w:val="22"/>
                <w:szCs w:val="22"/>
                <w:lang w:val="sl-SI"/>
              </w:rPr>
            </w:pPr>
            <w:r w:rsidRPr="00346547">
              <w:rPr>
                <w:b/>
                <w:bCs/>
                <w:sz w:val="22"/>
                <w:szCs w:val="22"/>
                <w:lang w:val="sl-SI"/>
              </w:rPr>
              <w:t>Slovenija</w:t>
            </w:r>
          </w:p>
          <w:p w14:paraId="126C7B5E" w14:textId="77777777" w:rsidR="003E37F6" w:rsidRPr="00346547" w:rsidRDefault="00615769" w:rsidP="001F79B0">
            <w:pPr>
              <w:rPr>
                <w:bCs/>
                <w:sz w:val="22"/>
                <w:szCs w:val="22"/>
                <w:lang w:val="sl-SI"/>
              </w:rPr>
            </w:pPr>
            <w:r w:rsidRPr="00346547">
              <w:rPr>
                <w:bCs/>
                <w:sz w:val="22"/>
                <w:szCs w:val="22"/>
                <w:lang w:val="sl-SI"/>
              </w:rPr>
              <w:t xml:space="preserve">AbbVie </w:t>
            </w:r>
            <w:r w:rsidRPr="00346547">
              <w:rPr>
                <w:sz w:val="22"/>
                <w:szCs w:val="22"/>
                <w:lang w:val="sl-SI"/>
              </w:rPr>
              <w:t>Biofarmacevtska družba d.o.o.</w:t>
            </w:r>
          </w:p>
          <w:p w14:paraId="66C58D9A" w14:textId="77777777" w:rsidR="003E37F6" w:rsidRPr="00346547" w:rsidRDefault="00615769" w:rsidP="001F79B0">
            <w:pPr>
              <w:rPr>
                <w:bCs/>
                <w:sz w:val="22"/>
                <w:szCs w:val="22"/>
                <w:lang w:val="sl-SI"/>
              </w:rPr>
            </w:pPr>
            <w:r w:rsidRPr="00346547">
              <w:rPr>
                <w:bCs/>
                <w:sz w:val="22"/>
                <w:szCs w:val="22"/>
                <w:lang w:val="sl-SI"/>
              </w:rPr>
              <w:t>Tel: +386 (1)32 08 060</w:t>
            </w:r>
          </w:p>
          <w:p w14:paraId="43D63F96" w14:textId="77777777" w:rsidR="003E37F6" w:rsidRPr="00346547" w:rsidRDefault="003E37F6" w:rsidP="001F79B0">
            <w:pPr>
              <w:rPr>
                <w:bCs/>
                <w:sz w:val="22"/>
                <w:szCs w:val="22"/>
                <w:lang w:val="sl-SI"/>
              </w:rPr>
            </w:pPr>
          </w:p>
        </w:tc>
      </w:tr>
      <w:tr w:rsidR="00A7162A" w14:paraId="544AFE2E" w14:textId="77777777" w:rsidTr="001F79B0">
        <w:trPr>
          <w:gridBefore w:val="1"/>
          <w:wBefore w:w="34" w:type="dxa"/>
        </w:trPr>
        <w:tc>
          <w:tcPr>
            <w:tcW w:w="4644" w:type="dxa"/>
            <w:gridSpan w:val="2"/>
          </w:tcPr>
          <w:p w14:paraId="259D4F80" w14:textId="77777777" w:rsidR="003E37F6" w:rsidRPr="00346547" w:rsidRDefault="00615769" w:rsidP="001F79B0">
            <w:pPr>
              <w:keepNext/>
              <w:rPr>
                <w:b/>
                <w:bCs/>
                <w:sz w:val="22"/>
                <w:szCs w:val="22"/>
                <w:lang w:val="is-IS"/>
              </w:rPr>
            </w:pPr>
            <w:r w:rsidRPr="00346547">
              <w:rPr>
                <w:b/>
                <w:bCs/>
                <w:sz w:val="22"/>
                <w:szCs w:val="22"/>
                <w:lang w:val="is-IS"/>
              </w:rPr>
              <w:t>Ísland</w:t>
            </w:r>
          </w:p>
          <w:p w14:paraId="1EFFB8A5" w14:textId="77777777" w:rsidR="003E37F6" w:rsidRPr="00346547" w:rsidRDefault="00615769" w:rsidP="001F79B0">
            <w:pPr>
              <w:keepNext/>
              <w:rPr>
                <w:bCs/>
                <w:sz w:val="22"/>
                <w:szCs w:val="22"/>
              </w:rPr>
            </w:pPr>
            <w:r w:rsidRPr="00346547">
              <w:rPr>
                <w:bCs/>
                <w:sz w:val="22"/>
                <w:szCs w:val="22"/>
              </w:rPr>
              <w:t>Vistor</w:t>
            </w:r>
            <w:del w:id="16625" w:author="AbbVie2" w:date="2025-05-14T10:37:00Z">
              <w:r w:rsidRPr="00346547">
                <w:rPr>
                  <w:bCs/>
                  <w:sz w:val="22"/>
                  <w:szCs w:val="22"/>
                </w:rPr>
                <w:delText xml:space="preserve"> hf.</w:delText>
              </w:r>
            </w:del>
          </w:p>
          <w:p w14:paraId="535B4EEF" w14:textId="77777777" w:rsidR="003E37F6" w:rsidRPr="00346547" w:rsidRDefault="00615769" w:rsidP="001F79B0">
            <w:pPr>
              <w:keepNext/>
              <w:rPr>
                <w:bCs/>
                <w:sz w:val="22"/>
                <w:szCs w:val="22"/>
              </w:rPr>
            </w:pPr>
            <w:r w:rsidRPr="00346547">
              <w:rPr>
                <w:bCs/>
                <w:sz w:val="22"/>
                <w:szCs w:val="22"/>
              </w:rPr>
              <w:t>Tel: +354 535 7000</w:t>
            </w:r>
          </w:p>
        </w:tc>
        <w:tc>
          <w:tcPr>
            <w:tcW w:w="4678" w:type="dxa"/>
          </w:tcPr>
          <w:p w14:paraId="70EFFB1E" w14:textId="77777777" w:rsidR="003E37F6" w:rsidRPr="00346547" w:rsidRDefault="00615769" w:rsidP="001F79B0">
            <w:pPr>
              <w:keepNext/>
              <w:rPr>
                <w:b/>
                <w:bCs/>
                <w:sz w:val="22"/>
                <w:szCs w:val="22"/>
              </w:rPr>
            </w:pPr>
            <w:r w:rsidRPr="00346547">
              <w:rPr>
                <w:b/>
                <w:bCs/>
                <w:sz w:val="22"/>
                <w:szCs w:val="22"/>
              </w:rPr>
              <w:t>Slovenská republika</w:t>
            </w:r>
          </w:p>
          <w:p w14:paraId="41819500" w14:textId="77777777" w:rsidR="003E37F6" w:rsidRPr="00346547" w:rsidRDefault="00615769" w:rsidP="001F79B0">
            <w:pPr>
              <w:keepNext/>
              <w:rPr>
                <w:bCs/>
                <w:sz w:val="22"/>
                <w:szCs w:val="22"/>
              </w:rPr>
            </w:pPr>
            <w:r w:rsidRPr="00346547">
              <w:rPr>
                <w:bCs/>
                <w:sz w:val="22"/>
                <w:szCs w:val="22"/>
              </w:rPr>
              <w:t>AbbVie s.r.o.</w:t>
            </w:r>
          </w:p>
          <w:p w14:paraId="233DF872" w14:textId="77777777" w:rsidR="003E37F6" w:rsidRPr="00346547" w:rsidRDefault="00615769" w:rsidP="001F79B0">
            <w:pPr>
              <w:keepNext/>
              <w:rPr>
                <w:bCs/>
                <w:sz w:val="22"/>
                <w:szCs w:val="22"/>
              </w:rPr>
            </w:pPr>
            <w:r w:rsidRPr="00346547">
              <w:rPr>
                <w:bCs/>
                <w:sz w:val="22"/>
                <w:szCs w:val="22"/>
              </w:rPr>
              <w:t>Tel: +421 2 5050 0777</w:t>
            </w:r>
          </w:p>
          <w:p w14:paraId="1B70DFEB" w14:textId="77777777" w:rsidR="003E37F6" w:rsidRPr="00346547" w:rsidRDefault="003E37F6" w:rsidP="001F79B0">
            <w:pPr>
              <w:keepNext/>
              <w:rPr>
                <w:bCs/>
                <w:sz w:val="22"/>
                <w:szCs w:val="22"/>
              </w:rPr>
            </w:pPr>
          </w:p>
        </w:tc>
      </w:tr>
      <w:tr w:rsidR="00A7162A" w14:paraId="6DA7D08F" w14:textId="77777777" w:rsidTr="001F79B0">
        <w:trPr>
          <w:gridBefore w:val="1"/>
          <w:wBefore w:w="34" w:type="dxa"/>
        </w:trPr>
        <w:tc>
          <w:tcPr>
            <w:tcW w:w="4644" w:type="dxa"/>
            <w:gridSpan w:val="2"/>
          </w:tcPr>
          <w:p w14:paraId="5C06134F" w14:textId="77777777" w:rsidR="003E37F6" w:rsidRPr="00346547" w:rsidRDefault="00615769" w:rsidP="001F79B0">
            <w:pPr>
              <w:rPr>
                <w:b/>
                <w:bCs/>
                <w:sz w:val="22"/>
                <w:szCs w:val="22"/>
                <w:lang w:val="it-IT"/>
              </w:rPr>
            </w:pPr>
            <w:r w:rsidRPr="00346547">
              <w:rPr>
                <w:b/>
                <w:bCs/>
                <w:sz w:val="22"/>
                <w:szCs w:val="22"/>
                <w:lang w:val="it-IT"/>
              </w:rPr>
              <w:t>Italia</w:t>
            </w:r>
          </w:p>
          <w:p w14:paraId="701FAD6A" w14:textId="77777777" w:rsidR="003E37F6" w:rsidRPr="00346547" w:rsidRDefault="00615769" w:rsidP="001F79B0">
            <w:pPr>
              <w:pStyle w:val="EndnoteText"/>
              <w:spacing w:line="260" w:lineRule="exact"/>
              <w:rPr>
                <w:bCs/>
                <w:szCs w:val="22"/>
              </w:rPr>
            </w:pPr>
            <w:r w:rsidRPr="00346547">
              <w:rPr>
                <w:bCs/>
                <w:szCs w:val="22"/>
              </w:rPr>
              <w:t xml:space="preserve">AbbVie S.r.l. </w:t>
            </w:r>
          </w:p>
          <w:p w14:paraId="0A4CB50C" w14:textId="77777777" w:rsidR="003E37F6" w:rsidRPr="00346547" w:rsidRDefault="00615769" w:rsidP="001F79B0">
            <w:pPr>
              <w:rPr>
                <w:bCs/>
                <w:sz w:val="22"/>
                <w:szCs w:val="22"/>
                <w:lang w:val="fi-FI"/>
              </w:rPr>
            </w:pPr>
            <w:r w:rsidRPr="00346547">
              <w:rPr>
                <w:bCs/>
                <w:sz w:val="22"/>
                <w:szCs w:val="22"/>
                <w:lang w:val="fr-FR"/>
              </w:rPr>
              <w:t>Tel: +39 06 928921</w:t>
            </w:r>
          </w:p>
        </w:tc>
        <w:tc>
          <w:tcPr>
            <w:tcW w:w="4678" w:type="dxa"/>
          </w:tcPr>
          <w:p w14:paraId="3BCA3273" w14:textId="77777777" w:rsidR="003E37F6" w:rsidRPr="00346547" w:rsidRDefault="00615769" w:rsidP="001F79B0">
            <w:pPr>
              <w:rPr>
                <w:b/>
                <w:bCs/>
                <w:sz w:val="22"/>
                <w:szCs w:val="22"/>
                <w:lang w:val="fi-FI"/>
              </w:rPr>
            </w:pPr>
            <w:r w:rsidRPr="00346547">
              <w:rPr>
                <w:b/>
                <w:bCs/>
                <w:sz w:val="22"/>
                <w:szCs w:val="22"/>
                <w:lang w:val="fi-FI"/>
              </w:rPr>
              <w:t>Suomi/Finland</w:t>
            </w:r>
          </w:p>
          <w:p w14:paraId="56FE3C3E" w14:textId="77777777" w:rsidR="003E37F6" w:rsidRPr="00346547" w:rsidRDefault="00615769" w:rsidP="001F79B0">
            <w:pPr>
              <w:rPr>
                <w:bCs/>
                <w:sz w:val="22"/>
                <w:szCs w:val="22"/>
                <w:lang w:val="de-CH"/>
              </w:rPr>
            </w:pPr>
            <w:r w:rsidRPr="00860B88">
              <w:rPr>
                <w:bCs/>
                <w:sz w:val="22"/>
                <w:szCs w:val="22"/>
                <w:lang w:val="en-US"/>
              </w:rPr>
              <w:t>AbbVie Oy</w:t>
            </w:r>
          </w:p>
          <w:p w14:paraId="725A07E3" w14:textId="77777777" w:rsidR="003E37F6" w:rsidRPr="00860B88" w:rsidRDefault="00615769" w:rsidP="001F79B0">
            <w:pPr>
              <w:rPr>
                <w:bCs/>
                <w:sz w:val="22"/>
                <w:szCs w:val="22"/>
                <w:lang w:val="en-US"/>
              </w:rPr>
            </w:pPr>
            <w:r w:rsidRPr="00860B88">
              <w:rPr>
                <w:bCs/>
                <w:sz w:val="22"/>
                <w:szCs w:val="22"/>
                <w:lang w:val="en-US"/>
              </w:rPr>
              <w:t>Puh/Tel: +358 (0)10 2411 200</w:t>
            </w:r>
          </w:p>
          <w:p w14:paraId="02ED88DA" w14:textId="77777777" w:rsidR="003E37F6" w:rsidRPr="00860B88" w:rsidRDefault="003E37F6" w:rsidP="001F79B0">
            <w:pPr>
              <w:rPr>
                <w:sz w:val="22"/>
                <w:szCs w:val="22"/>
                <w:lang w:val="en-US"/>
              </w:rPr>
            </w:pPr>
          </w:p>
        </w:tc>
      </w:tr>
      <w:tr w:rsidR="00A7162A" w14:paraId="5020368C" w14:textId="77777777" w:rsidTr="001F79B0">
        <w:trPr>
          <w:gridBefore w:val="1"/>
          <w:wBefore w:w="34" w:type="dxa"/>
          <w:cantSplit/>
          <w:trHeight w:val="887"/>
        </w:trPr>
        <w:tc>
          <w:tcPr>
            <w:tcW w:w="4644" w:type="dxa"/>
            <w:gridSpan w:val="2"/>
          </w:tcPr>
          <w:p w14:paraId="59F8F516" w14:textId="77777777" w:rsidR="003E37F6" w:rsidRPr="00346547" w:rsidRDefault="00615769" w:rsidP="001F79B0">
            <w:pPr>
              <w:rPr>
                <w:b/>
                <w:bCs/>
                <w:sz w:val="22"/>
                <w:szCs w:val="22"/>
                <w:lang w:val="el-GR"/>
              </w:rPr>
            </w:pPr>
            <w:r w:rsidRPr="00346547">
              <w:rPr>
                <w:b/>
                <w:bCs/>
                <w:sz w:val="22"/>
                <w:szCs w:val="22"/>
                <w:lang w:val="el-GR"/>
              </w:rPr>
              <w:t>Κύπρος</w:t>
            </w:r>
          </w:p>
          <w:p w14:paraId="3EDF3691" w14:textId="77777777" w:rsidR="003E37F6" w:rsidRPr="00346547" w:rsidRDefault="00615769" w:rsidP="001F79B0">
            <w:pPr>
              <w:rPr>
                <w:bCs/>
                <w:sz w:val="22"/>
                <w:szCs w:val="22"/>
                <w:lang w:val="el-GR"/>
              </w:rPr>
            </w:pPr>
            <w:r w:rsidRPr="00BE62F9">
              <w:rPr>
                <w:bCs/>
                <w:sz w:val="22"/>
                <w:szCs w:val="22"/>
                <w:lang w:val="en-US"/>
                <w:rPrChange w:id="16626" w:author="AbbVie2" w:date="2025-09-08T09:53:00Z">
                  <w:rPr>
                    <w:bCs/>
                    <w:sz w:val="22"/>
                    <w:szCs w:val="22"/>
                  </w:rPr>
                </w:rPrChange>
              </w:rPr>
              <w:t xml:space="preserve">Lifepharma (Z.A.M.) </w:t>
            </w:r>
            <w:r w:rsidRPr="00346547">
              <w:rPr>
                <w:bCs/>
                <w:sz w:val="22"/>
                <w:szCs w:val="22"/>
                <w:lang w:val="it-IT"/>
              </w:rPr>
              <w:t>Ltd</w:t>
            </w:r>
          </w:p>
          <w:p w14:paraId="143D2FE5" w14:textId="77777777" w:rsidR="003E37F6" w:rsidRPr="00346547" w:rsidRDefault="00615769" w:rsidP="001F79B0">
            <w:pPr>
              <w:rPr>
                <w:bCs/>
                <w:sz w:val="22"/>
                <w:szCs w:val="22"/>
                <w:lang w:val="lv-LV"/>
              </w:rPr>
            </w:pPr>
            <w:r w:rsidRPr="00346547">
              <w:rPr>
                <w:bCs/>
                <w:sz w:val="22"/>
                <w:szCs w:val="22"/>
                <w:lang w:val="el-GR"/>
              </w:rPr>
              <w:t>Τηλ.: +357 22 34 74 40</w:t>
            </w:r>
          </w:p>
        </w:tc>
        <w:tc>
          <w:tcPr>
            <w:tcW w:w="4678" w:type="dxa"/>
          </w:tcPr>
          <w:p w14:paraId="0A632828" w14:textId="77777777" w:rsidR="003E37F6" w:rsidRPr="00346547" w:rsidRDefault="00615769" w:rsidP="001F79B0">
            <w:pPr>
              <w:rPr>
                <w:b/>
                <w:bCs/>
                <w:sz w:val="22"/>
                <w:szCs w:val="22"/>
              </w:rPr>
            </w:pPr>
            <w:r w:rsidRPr="00346547">
              <w:rPr>
                <w:b/>
                <w:bCs/>
                <w:sz w:val="22"/>
                <w:szCs w:val="22"/>
              </w:rPr>
              <w:t>Sverige</w:t>
            </w:r>
          </w:p>
          <w:p w14:paraId="19083058" w14:textId="77777777" w:rsidR="003E37F6" w:rsidRPr="00346547" w:rsidRDefault="00615769" w:rsidP="001F79B0">
            <w:pPr>
              <w:rPr>
                <w:bCs/>
                <w:sz w:val="22"/>
                <w:szCs w:val="22"/>
              </w:rPr>
            </w:pPr>
            <w:r w:rsidRPr="00346547">
              <w:rPr>
                <w:bCs/>
                <w:sz w:val="22"/>
                <w:szCs w:val="22"/>
              </w:rPr>
              <w:t>AbbVie AB</w:t>
            </w:r>
          </w:p>
          <w:p w14:paraId="6A336114" w14:textId="77777777" w:rsidR="003E37F6" w:rsidRPr="00346547" w:rsidRDefault="00615769" w:rsidP="001F79B0">
            <w:pPr>
              <w:rPr>
                <w:bCs/>
                <w:sz w:val="22"/>
                <w:szCs w:val="22"/>
              </w:rPr>
            </w:pPr>
            <w:r w:rsidRPr="00346547">
              <w:rPr>
                <w:bCs/>
                <w:sz w:val="22"/>
                <w:szCs w:val="22"/>
                <w:lang w:val="da-DK"/>
              </w:rPr>
              <w:t>Tel: +46 (0)8 684 44 600</w:t>
            </w:r>
          </w:p>
        </w:tc>
      </w:tr>
      <w:tr w:rsidR="00A7162A" w14:paraId="39F5E445" w14:textId="77777777" w:rsidTr="001F79B0">
        <w:trPr>
          <w:gridBefore w:val="1"/>
          <w:wBefore w:w="34" w:type="dxa"/>
          <w:cantSplit/>
          <w:trHeight w:val="761"/>
        </w:trPr>
        <w:tc>
          <w:tcPr>
            <w:tcW w:w="4644" w:type="dxa"/>
            <w:gridSpan w:val="2"/>
          </w:tcPr>
          <w:p w14:paraId="7ED9837B" w14:textId="77777777" w:rsidR="003E37F6" w:rsidRPr="00346547" w:rsidRDefault="00615769" w:rsidP="001F79B0">
            <w:pPr>
              <w:rPr>
                <w:b/>
                <w:bCs/>
                <w:sz w:val="22"/>
                <w:szCs w:val="22"/>
                <w:lang w:val="lv-LV"/>
              </w:rPr>
            </w:pPr>
            <w:r w:rsidRPr="00346547">
              <w:rPr>
                <w:b/>
                <w:bCs/>
                <w:sz w:val="22"/>
                <w:szCs w:val="22"/>
                <w:lang w:val="lv-LV"/>
              </w:rPr>
              <w:t>Latvija</w:t>
            </w:r>
          </w:p>
          <w:p w14:paraId="7995F1BA" w14:textId="77777777" w:rsidR="003E37F6" w:rsidRPr="00346547" w:rsidRDefault="00615769" w:rsidP="001F79B0">
            <w:pPr>
              <w:rPr>
                <w:bCs/>
                <w:sz w:val="22"/>
                <w:szCs w:val="22"/>
                <w:lang w:val="lv-LV"/>
              </w:rPr>
            </w:pPr>
            <w:r w:rsidRPr="00346547">
              <w:rPr>
                <w:bCs/>
                <w:sz w:val="22"/>
                <w:szCs w:val="22"/>
                <w:lang w:val="lv-LV"/>
              </w:rPr>
              <w:t xml:space="preserve">AbbVie SIA </w:t>
            </w:r>
          </w:p>
          <w:p w14:paraId="08676A14" w14:textId="77777777" w:rsidR="003E37F6" w:rsidRPr="00346547" w:rsidRDefault="00615769" w:rsidP="001F79B0">
            <w:pPr>
              <w:rPr>
                <w:bCs/>
                <w:sz w:val="22"/>
                <w:szCs w:val="22"/>
                <w:lang w:val="lv-LV"/>
              </w:rPr>
            </w:pPr>
            <w:r w:rsidRPr="00346547">
              <w:rPr>
                <w:bCs/>
                <w:sz w:val="22"/>
                <w:szCs w:val="22"/>
                <w:lang w:val="lv-LV"/>
              </w:rPr>
              <w:t>Tel: +371 67605000</w:t>
            </w:r>
          </w:p>
        </w:tc>
        <w:tc>
          <w:tcPr>
            <w:tcW w:w="4678" w:type="dxa"/>
          </w:tcPr>
          <w:p w14:paraId="33EA2E10" w14:textId="40E93666" w:rsidR="003E37F6" w:rsidRPr="00346547" w:rsidRDefault="003E37F6" w:rsidP="001F79B0">
            <w:pPr>
              <w:rPr>
                <w:b/>
                <w:bCs/>
                <w:sz w:val="22"/>
                <w:szCs w:val="22"/>
              </w:rPr>
            </w:pPr>
          </w:p>
        </w:tc>
      </w:tr>
    </w:tbl>
    <w:p w14:paraId="2942F758" w14:textId="77777777" w:rsidR="00685047" w:rsidRPr="00EC3632" w:rsidRDefault="00685047" w:rsidP="00685047">
      <w:pPr>
        <w:rPr>
          <w:sz w:val="22"/>
          <w:szCs w:val="22"/>
          <w:lang w:val="en-US"/>
        </w:rPr>
      </w:pPr>
    </w:p>
    <w:p w14:paraId="0917C15D" w14:textId="77777777" w:rsidR="00685047" w:rsidRPr="00854C93" w:rsidRDefault="00615769" w:rsidP="00685047">
      <w:pPr>
        <w:ind w:right="-449"/>
        <w:rPr>
          <w:b/>
          <w:sz w:val="22"/>
          <w:szCs w:val="22"/>
        </w:rPr>
      </w:pPr>
      <w:r w:rsidRPr="00854C93">
        <w:rPr>
          <w:b/>
          <w:sz w:val="22"/>
          <w:szCs w:val="22"/>
        </w:rPr>
        <w:t xml:space="preserve">Este folheto foi revisto pela última vez em </w:t>
      </w:r>
    </w:p>
    <w:p w14:paraId="6F61D0D1" w14:textId="77777777" w:rsidR="00685047" w:rsidRPr="0089156B" w:rsidRDefault="00685047" w:rsidP="00685047">
      <w:pPr>
        <w:ind w:right="-449"/>
        <w:rPr>
          <w:b/>
          <w:sz w:val="22"/>
          <w:szCs w:val="22"/>
        </w:rPr>
      </w:pPr>
    </w:p>
    <w:p w14:paraId="1694DF6F" w14:textId="72E2DB7B" w:rsidR="00685047" w:rsidRPr="00AF229F" w:rsidRDefault="00615769" w:rsidP="00685047">
      <w:pPr>
        <w:ind w:right="-2"/>
        <w:rPr>
          <w:color w:val="0000FF"/>
          <w:sz w:val="22"/>
          <w:szCs w:val="22"/>
        </w:rPr>
      </w:pPr>
      <w:r w:rsidRPr="000B3FE3">
        <w:rPr>
          <w:sz w:val="22"/>
          <w:szCs w:val="22"/>
        </w:rPr>
        <w:t xml:space="preserve">Está disponível informação pormenorizada sobre este medicamento no sítio da internet da Agência Europeia de Medicamentos: </w:t>
      </w:r>
      <w:ins w:id="16627" w:author="AbbVie2" w:date="2025-05-14T10:37:00Z">
        <w:r w:rsidR="00D85B1F">
          <w:rPr>
            <w:sz w:val="22"/>
            <w:szCs w:val="22"/>
          </w:rPr>
          <w:fldChar w:fldCharType="begin"/>
        </w:r>
        <w:r w:rsidR="00D85B1F">
          <w:rPr>
            <w:sz w:val="22"/>
            <w:szCs w:val="22"/>
          </w:rPr>
          <w:instrText>HYPERLINK "</w:instrText>
        </w:r>
      </w:ins>
      <w:r w:rsidR="00D85B1F" w:rsidRPr="00D85B1F">
        <w:rPr>
          <w:rStyle w:val="Hyperlink"/>
          <w:sz w:val="22"/>
          <w:szCs w:val="22"/>
        </w:rPr>
        <w:instrText>http</w:instrText>
      </w:r>
      <w:ins w:id="16628" w:author="AbbVie2" w:date="2025-05-14T10:37:00Z">
        <w:r w:rsidR="00D85B1F" w:rsidRPr="00D85B1F">
          <w:rPr>
            <w:rStyle w:val="Hyperlink"/>
            <w:sz w:val="22"/>
            <w:szCs w:val="22"/>
          </w:rPr>
          <w:instrText>s</w:instrText>
        </w:r>
      </w:ins>
      <w:r w:rsidR="00D85B1F" w:rsidRPr="00D85B1F">
        <w:rPr>
          <w:rStyle w:val="Hyperlink"/>
          <w:sz w:val="22"/>
          <w:szCs w:val="22"/>
        </w:rPr>
        <w:instrText>://www.ema.europa.eu</w:instrText>
      </w:r>
      <w:ins w:id="16629" w:author="AbbVie2" w:date="2025-05-14T10:37:00Z">
        <w:r w:rsidR="00D85B1F">
          <w:rPr>
            <w:sz w:val="22"/>
            <w:szCs w:val="22"/>
          </w:rPr>
          <w:instrText>"</w:instrText>
        </w:r>
        <w:r w:rsidR="00D85B1F">
          <w:rPr>
            <w:sz w:val="22"/>
            <w:szCs w:val="22"/>
          </w:rPr>
        </w:r>
        <w:r w:rsidR="00D85B1F">
          <w:rPr>
            <w:sz w:val="22"/>
            <w:szCs w:val="22"/>
          </w:rPr>
          <w:fldChar w:fldCharType="separate"/>
        </w:r>
      </w:ins>
      <w:r w:rsidR="00D85B1F" w:rsidRPr="00D85B1F">
        <w:rPr>
          <w:rStyle w:val="Hyperlink"/>
          <w:sz w:val="22"/>
          <w:szCs w:val="22"/>
        </w:rPr>
        <w:t>http</w:t>
      </w:r>
      <w:ins w:id="16630" w:author="AbbVie2" w:date="2025-05-14T10:37:00Z">
        <w:r w:rsidR="00D85B1F" w:rsidRPr="00D85B1F">
          <w:rPr>
            <w:rStyle w:val="Hyperlink"/>
            <w:sz w:val="22"/>
            <w:szCs w:val="22"/>
          </w:rPr>
          <w:t>s</w:t>
        </w:r>
      </w:ins>
      <w:r w:rsidR="00D85B1F" w:rsidRPr="00D85B1F">
        <w:rPr>
          <w:rStyle w:val="Hyperlink"/>
          <w:sz w:val="22"/>
          <w:szCs w:val="22"/>
        </w:rPr>
        <w:t>://www.ema.europa.eu</w:t>
      </w:r>
      <w:ins w:id="16631" w:author="AbbVie2" w:date="2025-05-14T10:37:00Z">
        <w:r w:rsidR="00D85B1F">
          <w:rPr>
            <w:sz w:val="22"/>
            <w:szCs w:val="22"/>
          </w:rPr>
          <w:fldChar w:fldCharType="end"/>
        </w:r>
      </w:ins>
    </w:p>
    <w:p w14:paraId="684C6263" w14:textId="77777777" w:rsidR="00685047" w:rsidRPr="000D2749" w:rsidRDefault="00685047" w:rsidP="00685047">
      <w:pPr>
        <w:ind w:right="-2"/>
        <w:rPr>
          <w:sz w:val="22"/>
          <w:szCs w:val="22"/>
        </w:rPr>
      </w:pPr>
    </w:p>
    <w:p w14:paraId="55677197" w14:textId="77777777" w:rsidR="002A17B6" w:rsidRPr="008912CF" w:rsidRDefault="00615769" w:rsidP="002A17B6">
      <w:pPr>
        <w:ind w:right="-2"/>
        <w:rPr>
          <w:color w:val="0000FF"/>
          <w:sz w:val="22"/>
          <w:szCs w:val="22"/>
        </w:rPr>
      </w:pPr>
      <w:r w:rsidRPr="004D4741">
        <w:rPr>
          <w:b/>
          <w:noProof/>
          <w:sz w:val="22"/>
          <w:szCs w:val="22"/>
        </w:rPr>
        <w:t xml:space="preserve">Para ouvir ou solicitar uma cópia deste folheto em </w:t>
      </w:r>
      <w:r w:rsidRPr="004D4741">
        <w:rPr>
          <w:b/>
          <w:noProof/>
          <w:sz w:val="22"/>
          <w:szCs w:val="22"/>
          <w:highlight w:val="lightGray"/>
        </w:rPr>
        <w:t>&lt;Braille&gt;, &lt;caracteres grandes&gt; ou &lt;áudio&gt;</w:t>
      </w:r>
      <w:r w:rsidRPr="004D4741">
        <w:rPr>
          <w:b/>
          <w:noProof/>
          <w:sz w:val="22"/>
          <w:szCs w:val="22"/>
        </w:rPr>
        <w:t>, por favor contacte o representante local do Titular da Autorização de Introdução no Mercado.</w:t>
      </w:r>
    </w:p>
    <w:p w14:paraId="7C7D90D5" w14:textId="77777777" w:rsidR="00685047" w:rsidRPr="000D2749" w:rsidRDefault="00685047" w:rsidP="00685047">
      <w:pPr>
        <w:ind w:right="-2"/>
        <w:rPr>
          <w:sz w:val="22"/>
          <w:szCs w:val="22"/>
        </w:rPr>
      </w:pPr>
    </w:p>
    <w:p w14:paraId="782A398E" w14:textId="77777777" w:rsidR="00F675CF" w:rsidRPr="0093225C" w:rsidRDefault="00F675CF" w:rsidP="00CC2ACC">
      <w:pPr>
        <w:pStyle w:val="EMEATitle"/>
        <w:tabs>
          <w:tab w:val="clear" w:pos="562"/>
        </w:tabs>
        <w:suppressAutoHyphens w:val="0"/>
        <w:rPr>
          <w:b w:val="0"/>
          <w:caps w:val="0"/>
          <w:lang w:val="pt-PT"/>
        </w:rPr>
      </w:pPr>
    </w:p>
    <w:p w14:paraId="06EEF84C" w14:textId="77777777" w:rsidR="000E07B0" w:rsidRPr="006462E3" w:rsidRDefault="00615769" w:rsidP="000E07B0">
      <w:pPr>
        <w:ind w:right="-2"/>
        <w:rPr>
          <w:b/>
          <w:sz w:val="22"/>
          <w:szCs w:val="22"/>
        </w:rPr>
      </w:pPr>
      <w:r w:rsidRPr="006462E3">
        <w:rPr>
          <w:b/>
          <w:sz w:val="22"/>
          <w:szCs w:val="22"/>
        </w:rPr>
        <w:t>7.</w:t>
      </w:r>
      <w:r w:rsidRPr="006462E3">
        <w:rPr>
          <w:b/>
          <w:sz w:val="22"/>
          <w:szCs w:val="22"/>
        </w:rPr>
        <w:tab/>
      </w:r>
      <w:r w:rsidR="002B1873">
        <w:rPr>
          <w:b/>
          <w:sz w:val="22"/>
          <w:szCs w:val="22"/>
        </w:rPr>
        <w:t>Injetar Humira</w:t>
      </w:r>
    </w:p>
    <w:p w14:paraId="18B82AE4" w14:textId="77777777" w:rsidR="000E07B0" w:rsidRPr="009A05BE" w:rsidRDefault="000E07B0" w:rsidP="000E07B0">
      <w:pPr>
        <w:ind w:right="-2"/>
        <w:rPr>
          <w:sz w:val="22"/>
          <w:szCs w:val="22"/>
        </w:rPr>
      </w:pPr>
    </w:p>
    <w:p w14:paraId="6C5237E7" w14:textId="77777777" w:rsidR="000E07B0" w:rsidRPr="0093225C" w:rsidRDefault="00615769" w:rsidP="00BE46F4">
      <w:pPr>
        <w:numPr>
          <w:ilvl w:val="0"/>
          <w:numId w:val="89"/>
        </w:numPr>
        <w:suppressAutoHyphens/>
        <w:rPr>
          <w:rFonts w:eastAsia="Times New Roman"/>
          <w:sz w:val="22"/>
        </w:rPr>
      </w:pPr>
      <w:r w:rsidRPr="0093225C">
        <w:rPr>
          <w:rFonts w:eastAsia="Times New Roman"/>
          <w:sz w:val="22"/>
        </w:rPr>
        <w:t xml:space="preserve">As instruções a seguir indicadas explicam como se autoinjetar, utilizando Humira em caneta pré-cheia. Leia atentamente as instruções e siga-as passo a passo. </w:t>
      </w:r>
    </w:p>
    <w:p w14:paraId="29379946" w14:textId="77777777" w:rsidR="000E07B0" w:rsidRPr="0093225C" w:rsidRDefault="000E07B0" w:rsidP="00BE46F4">
      <w:pPr>
        <w:suppressAutoHyphens/>
        <w:ind w:left="360"/>
        <w:rPr>
          <w:rFonts w:eastAsia="Times New Roman"/>
          <w:sz w:val="22"/>
        </w:rPr>
      </w:pPr>
    </w:p>
    <w:p w14:paraId="54FFCBC0" w14:textId="77777777" w:rsidR="000E07B0" w:rsidRPr="0093225C" w:rsidRDefault="00615769" w:rsidP="00BE46F4">
      <w:pPr>
        <w:numPr>
          <w:ilvl w:val="0"/>
          <w:numId w:val="89"/>
        </w:numPr>
        <w:suppressAutoHyphens/>
        <w:rPr>
          <w:rFonts w:eastAsia="Times New Roman"/>
          <w:sz w:val="22"/>
        </w:rPr>
      </w:pPr>
      <w:r w:rsidRPr="0093225C">
        <w:rPr>
          <w:rFonts w:eastAsia="Times New Roman"/>
          <w:sz w:val="22"/>
        </w:rPr>
        <w:t xml:space="preserve">O seu médico, enfermeiro ou farmacêutico dar-lhe-á instruções sobre a técnica de autoinjeção. </w:t>
      </w:r>
    </w:p>
    <w:p w14:paraId="74385CDD" w14:textId="77777777" w:rsidR="000E07B0" w:rsidRPr="0093225C" w:rsidRDefault="000E07B0" w:rsidP="00BE46F4">
      <w:pPr>
        <w:suppressAutoHyphens/>
        <w:ind w:left="720"/>
        <w:rPr>
          <w:rFonts w:eastAsia="Times New Roman"/>
          <w:sz w:val="22"/>
        </w:rPr>
      </w:pPr>
    </w:p>
    <w:p w14:paraId="314F7B81" w14:textId="77777777" w:rsidR="000E07B0" w:rsidRPr="0093225C" w:rsidRDefault="00615769" w:rsidP="00BE46F4">
      <w:pPr>
        <w:numPr>
          <w:ilvl w:val="0"/>
          <w:numId w:val="89"/>
        </w:numPr>
        <w:suppressAutoHyphens/>
        <w:rPr>
          <w:rFonts w:eastAsia="Times New Roman"/>
          <w:sz w:val="22"/>
        </w:rPr>
      </w:pPr>
      <w:r w:rsidRPr="0093225C">
        <w:rPr>
          <w:rFonts w:eastAsia="Times New Roman"/>
          <w:sz w:val="22"/>
        </w:rPr>
        <w:t xml:space="preserve">Não tente autoinjetar-se antes de estar certo de ter compreendido o modo de preparar e administrar a injeção. </w:t>
      </w:r>
    </w:p>
    <w:p w14:paraId="5141C905" w14:textId="77777777" w:rsidR="000E07B0" w:rsidRPr="0093225C" w:rsidRDefault="000E07B0" w:rsidP="00BE46F4">
      <w:pPr>
        <w:suppressAutoHyphens/>
        <w:ind w:left="720"/>
        <w:rPr>
          <w:rFonts w:eastAsia="Times New Roman"/>
          <w:sz w:val="22"/>
        </w:rPr>
      </w:pPr>
    </w:p>
    <w:p w14:paraId="63C9B7C1" w14:textId="77777777" w:rsidR="000E07B0" w:rsidRPr="0093225C" w:rsidRDefault="00615769" w:rsidP="00BE46F4">
      <w:pPr>
        <w:numPr>
          <w:ilvl w:val="0"/>
          <w:numId w:val="89"/>
        </w:numPr>
        <w:suppressAutoHyphens/>
        <w:rPr>
          <w:rFonts w:eastAsia="Times New Roman"/>
          <w:sz w:val="22"/>
        </w:rPr>
      </w:pPr>
      <w:r w:rsidRPr="0093225C">
        <w:rPr>
          <w:rFonts w:eastAsia="Times New Roman"/>
          <w:sz w:val="22"/>
        </w:rPr>
        <w:t>Após treino adequado, a injeção pode ser administrada pelo doente ou por outra pessoa, por exemplo um familiar ou amigo.</w:t>
      </w:r>
    </w:p>
    <w:p w14:paraId="4C9B5961" w14:textId="77777777" w:rsidR="000E07B0" w:rsidRPr="0093225C" w:rsidRDefault="000E07B0" w:rsidP="00BE46F4">
      <w:pPr>
        <w:suppressAutoHyphens/>
        <w:ind w:left="720"/>
        <w:rPr>
          <w:rFonts w:eastAsia="Times New Roman"/>
          <w:sz w:val="22"/>
        </w:rPr>
      </w:pPr>
    </w:p>
    <w:p w14:paraId="7EC0B826" w14:textId="77777777" w:rsidR="000E07B0" w:rsidRPr="008B0DDF" w:rsidRDefault="00615769" w:rsidP="00BE46F4">
      <w:pPr>
        <w:numPr>
          <w:ilvl w:val="0"/>
          <w:numId w:val="89"/>
        </w:numPr>
        <w:suppressAutoHyphens/>
        <w:rPr>
          <w:sz w:val="22"/>
          <w:szCs w:val="20"/>
        </w:rPr>
      </w:pPr>
      <w:r w:rsidRPr="0093225C">
        <w:rPr>
          <w:rFonts w:eastAsia="Times New Roman"/>
          <w:sz w:val="22"/>
        </w:rPr>
        <w:t>Use</w:t>
      </w:r>
      <w:r w:rsidRPr="008B0DDF">
        <w:rPr>
          <w:sz w:val="22"/>
          <w:szCs w:val="20"/>
        </w:rPr>
        <w:t xml:space="preserve"> só uma caneta pré-cheia por injeção.</w:t>
      </w:r>
    </w:p>
    <w:p w14:paraId="426588CF" w14:textId="77777777" w:rsidR="000E07B0" w:rsidRPr="008B0DDF" w:rsidRDefault="000E07B0" w:rsidP="000E07B0">
      <w:pPr>
        <w:tabs>
          <w:tab w:val="left" w:pos="562"/>
        </w:tabs>
        <w:suppressAutoHyphens/>
        <w:rPr>
          <w:sz w:val="22"/>
          <w:szCs w:val="20"/>
        </w:rPr>
      </w:pPr>
    </w:p>
    <w:p w14:paraId="4C3E428B" w14:textId="77777777" w:rsidR="000E07B0" w:rsidRPr="008B0DDF" w:rsidRDefault="00615769" w:rsidP="000E07B0">
      <w:pPr>
        <w:keepNext/>
        <w:tabs>
          <w:tab w:val="left" w:pos="562"/>
        </w:tabs>
        <w:suppressAutoHyphens/>
        <w:rPr>
          <w:b/>
          <w:sz w:val="22"/>
          <w:szCs w:val="20"/>
        </w:rPr>
      </w:pPr>
      <w:r w:rsidRPr="008B0DDF">
        <w:rPr>
          <w:b/>
          <w:sz w:val="22"/>
          <w:szCs w:val="20"/>
        </w:rPr>
        <w:t>Caneta Pré-cheia de Humira</w:t>
      </w:r>
    </w:p>
    <w:p w14:paraId="0B8BA411" w14:textId="77777777" w:rsidR="000E07B0" w:rsidRPr="008B0DDF" w:rsidRDefault="000E07B0" w:rsidP="000E07B0">
      <w:pPr>
        <w:keepNext/>
        <w:tabs>
          <w:tab w:val="left" w:pos="562"/>
        </w:tabs>
        <w:suppressAutoHyphens/>
        <w:rPr>
          <w:sz w:val="22"/>
          <w:szCs w:val="20"/>
        </w:rPr>
      </w:pPr>
    </w:p>
    <w:p w14:paraId="0721E44A" w14:textId="77777777" w:rsidR="000E07B0" w:rsidRPr="008B0DDF" w:rsidRDefault="00615769" w:rsidP="000E07B0">
      <w:pPr>
        <w:keepNext/>
        <w:tabs>
          <w:tab w:val="left" w:pos="562"/>
        </w:tabs>
        <w:suppressAutoHyphens/>
        <w:rPr>
          <w:b/>
          <w:sz w:val="22"/>
          <w:szCs w:val="20"/>
        </w:rPr>
      </w:pPr>
      <w:r w:rsidRPr="008B0DDF">
        <w:rPr>
          <w:b/>
          <w:sz w:val="22"/>
          <w:szCs w:val="20"/>
        </w:rPr>
        <w:t xml:space="preserve">   Tampa 1 cinzenta    Proteção Branca   Seta Branca          </w:t>
      </w:r>
      <w:r w:rsidRPr="008B0DDF">
        <w:rPr>
          <w:b/>
          <w:sz w:val="22"/>
          <w:szCs w:val="20"/>
        </w:rPr>
        <w:tab/>
      </w:r>
      <w:r w:rsidRPr="008B0DDF">
        <w:rPr>
          <w:b/>
          <w:sz w:val="22"/>
          <w:szCs w:val="20"/>
        </w:rPr>
        <w:tab/>
      </w:r>
      <w:r w:rsidRPr="008B0DDF">
        <w:rPr>
          <w:b/>
          <w:sz w:val="22"/>
          <w:szCs w:val="20"/>
        </w:rPr>
        <w:tab/>
        <w:t xml:space="preserve">Tampa 2 Roxa     </w:t>
      </w:r>
    </w:p>
    <w:p w14:paraId="3A3FA2A1" w14:textId="77777777" w:rsidR="000E07B0" w:rsidRPr="00454F99" w:rsidRDefault="00615769" w:rsidP="000E07B0">
      <w:pPr>
        <w:keepNext/>
        <w:tabs>
          <w:tab w:val="left" w:pos="562"/>
        </w:tabs>
        <w:suppressAutoHyphens/>
        <w:rPr>
          <w:sz w:val="22"/>
          <w:szCs w:val="20"/>
        </w:rPr>
      </w:pPr>
      <w:r w:rsidRPr="008B0DDF">
        <w:rPr>
          <w:b/>
          <w:sz w:val="22"/>
          <w:szCs w:val="20"/>
        </w:rPr>
        <w:t xml:space="preserve">                                       da Agulha    </w:t>
      </w:r>
      <w:r w:rsidRPr="008B0DDF">
        <w:rPr>
          <w:b/>
          <w:i/>
          <w:sz w:val="22"/>
          <w:szCs w:val="20"/>
        </w:rPr>
        <w:t xml:space="preserve"> </w:t>
      </w:r>
      <w:r w:rsidRPr="008B0DDF">
        <w:rPr>
          <w:b/>
          <w:sz w:val="22"/>
          <w:szCs w:val="20"/>
        </w:rPr>
        <w:t xml:space="preserve">                          </w:t>
      </w:r>
      <w:r>
        <w:rPr>
          <w:noProof/>
          <w:sz w:val="22"/>
          <w:szCs w:val="20"/>
          <w:lang w:val="en-GB" w:eastAsia="en-GB"/>
        </w:rPr>
        <w:drawing>
          <wp:inline distT="0" distB="0" distL="0" distR="0" wp14:anchorId="5FCA2B45" wp14:editId="69EACC88">
            <wp:extent cx="5883910" cy="1431290"/>
            <wp:effectExtent l="0" t="0" r="2540" b="0"/>
            <wp:docPr id="95" name="Picture 95" descr="HUMIRAPE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52" descr="HUMIRAPEN_grey"/>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5883910" cy="1431290"/>
                    </a:xfrm>
                    <a:prstGeom prst="rect">
                      <a:avLst/>
                    </a:prstGeom>
                    <a:noFill/>
                    <a:ln>
                      <a:noFill/>
                    </a:ln>
                  </pic:spPr>
                </pic:pic>
              </a:graphicData>
            </a:graphic>
          </wp:inline>
        </w:drawing>
      </w:r>
    </w:p>
    <w:p w14:paraId="364ED9B9" w14:textId="77777777" w:rsidR="000E07B0" w:rsidRPr="00854C93" w:rsidRDefault="00615769" w:rsidP="000E07B0">
      <w:pPr>
        <w:tabs>
          <w:tab w:val="left" w:pos="562"/>
        </w:tabs>
        <w:suppressAutoHyphens/>
        <w:rPr>
          <w:b/>
          <w:sz w:val="22"/>
          <w:szCs w:val="20"/>
        </w:rPr>
      </w:pPr>
      <w:r w:rsidRPr="004F0FBC">
        <w:rPr>
          <w:b/>
          <w:sz w:val="22"/>
          <w:szCs w:val="20"/>
        </w:rPr>
        <w:t xml:space="preserve">                              </w:t>
      </w:r>
      <w:r w:rsidRPr="006462E3">
        <w:rPr>
          <w:b/>
          <w:sz w:val="22"/>
          <w:szCs w:val="20"/>
        </w:rPr>
        <w:t xml:space="preserve">Agulha           Janela Indicadora    </w:t>
      </w:r>
      <w:r w:rsidRPr="009A05BE">
        <w:rPr>
          <w:b/>
          <w:sz w:val="22"/>
          <w:szCs w:val="20"/>
        </w:rPr>
        <w:t xml:space="preserve">                    Botão a</w:t>
      </w:r>
      <w:r w:rsidRPr="00854C93">
        <w:rPr>
          <w:b/>
          <w:sz w:val="22"/>
          <w:szCs w:val="20"/>
        </w:rPr>
        <w:t xml:space="preserve">tivador Roxo     </w:t>
      </w:r>
    </w:p>
    <w:p w14:paraId="0A0362E1" w14:textId="77777777" w:rsidR="000E07B0" w:rsidRPr="0089156B" w:rsidRDefault="00615769" w:rsidP="000E07B0">
      <w:pPr>
        <w:tabs>
          <w:tab w:val="left" w:pos="562"/>
        </w:tabs>
        <w:suppressAutoHyphens/>
        <w:rPr>
          <w:b/>
          <w:sz w:val="22"/>
          <w:szCs w:val="20"/>
        </w:rPr>
      </w:pPr>
      <w:r w:rsidRPr="0089156B">
        <w:rPr>
          <w:b/>
          <w:sz w:val="22"/>
          <w:szCs w:val="20"/>
        </w:rPr>
        <w:t xml:space="preserve">           </w:t>
      </w:r>
    </w:p>
    <w:p w14:paraId="3EF50EF5" w14:textId="77777777" w:rsidR="000E07B0" w:rsidRPr="00072954" w:rsidRDefault="00615769" w:rsidP="000E07B0">
      <w:pPr>
        <w:keepNext/>
        <w:tabs>
          <w:tab w:val="left" w:pos="562"/>
        </w:tabs>
        <w:suppressAutoHyphens/>
        <w:rPr>
          <w:b/>
          <w:sz w:val="22"/>
          <w:szCs w:val="20"/>
        </w:rPr>
      </w:pPr>
      <w:r w:rsidRPr="00072954">
        <w:rPr>
          <w:b/>
          <w:sz w:val="22"/>
          <w:szCs w:val="20"/>
        </w:rPr>
        <w:t>Não use a caneta pré-cheia e fale com o seu médico ou farmacêutico se</w:t>
      </w:r>
    </w:p>
    <w:p w14:paraId="5A4B8FD7" w14:textId="77777777" w:rsidR="000E07B0" w:rsidRPr="00072954" w:rsidRDefault="000E07B0" w:rsidP="000E07B0">
      <w:pPr>
        <w:keepNext/>
        <w:tabs>
          <w:tab w:val="left" w:pos="562"/>
        </w:tabs>
        <w:suppressAutoHyphens/>
        <w:rPr>
          <w:b/>
          <w:sz w:val="22"/>
          <w:szCs w:val="20"/>
        </w:rPr>
      </w:pPr>
    </w:p>
    <w:p w14:paraId="1FDA05D9" w14:textId="77777777" w:rsidR="000E07B0" w:rsidRPr="00072954" w:rsidRDefault="00615769" w:rsidP="00CC2ACC">
      <w:pPr>
        <w:pStyle w:val="EMEAHeadingLeaflet"/>
        <w:keepNext/>
        <w:numPr>
          <w:ilvl w:val="0"/>
          <w:numId w:val="90"/>
        </w:numPr>
        <w:tabs>
          <w:tab w:val="clear" w:pos="562"/>
          <w:tab w:val="left" w:pos="720"/>
        </w:tabs>
        <w:spacing w:before="0" w:after="0"/>
        <w:rPr>
          <w:rFonts w:ascii="Times New Roman" w:eastAsia="Times New Roman" w:hAnsi="Times New Roman"/>
          <w:b w:val="0"/>
          <w:lang w:val="pt-PT"/>
        </w:rPr>
      </w:pPr>
      <w:r w:rsidRPr="00072954">
        <w:rPr>
          <w:rFonts w:ascii="Times New Roman" w:eastAsia="Times New Roman" w:hAnsi="Times New Roman"/>
          <w:b w:val="0"/>
          <w:lang w:val="pt-PT"/>
        </w:rPr>
        <w:t>o líquido está turvo, descorado, ou com flocos ou partículas em suspensão</w:t>
      </w:r>
    </w:p>
    <w:p w14:paraId="0A1F080A" w14:textId="77777777" w:rsidR="000E07B0" w:rsidRPr="00072954" w:rsidRDefault="00615769" w:rsidP="00CC2ACC">
      <w:pPr>
        <w:pStyle w:val="EMEAHeadingLeaflet"/>
        <w:keepNext/>
        <w:numPr>
          <w:ilvl w:val="0"/>
          <w:numId w:val="90"/>
        </w:numPr>
        <w:tabs>
          <w:tab w:val="clear" w:pos="562"/>
          <w:tab w:val="left" w:pos="720"/>
        </w:tabs>
        <w:spacing w:before="0" w:after="0"/>
        <w:rPr>
          <w:rFonts w:ascii="Times New Roman" w:eastAsia="Times New Roman" w:hAnsi="Times New Roman"/>
          <w:b w:val="0"/>
          <w:lang w:val="pt-PT"/>
        </w:rPr>
      </w:pPr>
      <w:r w:rsidRPr="00072954">
        <w:rPr>
          <w:rFonts w:ascii="Times New Roman" w:eastAsia="Times New Roman" w:hAnsi="Times New Roman"/>
          <w:b w:val="0"/>
          <w:lang w:val="pt-PT"/>
        </w:rPr>
        <w:t xml:space="preserve">prazo de validade (EXP) foi ultrapassado </w:t>
      </w:r>
    </w:p>
    <w:p w14:paraId="63840F91" w14:textId="77777777" w:rsidR="000E07B0" w:rsidRPr="00072954" w:rsidRDefault="00615769" w:rsidP="00CC2ACC">
      <w:pPr>
        <w:pStyle w:val="EMEAHeadingLeaflet"/>
        <w:keepNext/>
        <w:numPr>
          <w:ilvl w:val="0"/>
          <w:numId w:val="90"/>
        </w:numPr>
        <w:tabs>
          <w:tab w:val="clear" w:pos="562"/>
          <w:tab w:val="left" w:pos="720"/>
        </w:tabs>
        <w:spacing w:before="0" w:after="0"/>
        <w:rPr>
          <w:rFonts w:ascii="Times New Roman" w:eastAsia="Times New Roman" w:hAnsi="Times New Roman"/>
          <w:b w:val="0"/>
          <w:lang w:val="pt-PT"/>
        </w:rPr>
      </w:pPr>
      <w:r w:rsidRPr="00072954">
        <w:rPr>
          <w:rFonts w:ascii="Times New Roman" w:eastAsia="Times New Roman" w:hAnsi="Times New Roman"/>
          <w:b w:val="0"/>
          <w:lang w:val="pt-PT"/>
        </w:rPr>
        <w:t>o líquido estiver congelado ou se foi deixado à luz direta do sol</w:t>
      </w:r>
    </w:p>
    <w:p w14:paraId="5C5626C2" w14:textId="77777777" w:rsidR="000E07B0" w:rsidRPr="00072954" w:rsidRDefault="00615769" w:rsidP="00CC2ACC">
      <w:pPr>
        <w:pStyle w:val="EMEAHeadingLeaflet"/>
        <w:keepNext/>
        <w:numPr>
          <w:ilvl w:val="0"/>
          <w:numId w:val="90"/>
        </w:numPr>
        <w:tabs>
          <w:tab w:val="clear" w:pos="562"/>
          <w:tab w:val="left" w:pos="720"/>
        </w:tabs>
        <w:spacing w:before="0" w:after="0"/>
        <w:rPr>
          <w:rFonts w:ascii="Times New Roman" w:hAnsi="Times New Roman"/>
          <w:b w:val="0"/>
          <w:lang w:val="pt-PT"/>
        </w:rPr>
      </w:pPr>
      <w:r w:rsidRPr="00072954">
        <w:rPr>
          <w:rFonts w:ascii="Times New Roman" w:eastAsia="Times New Roman" w:hAnsi="Times New Roman"/>
          <w:b w:val="0"/>
          <w:lang w:val="pt-PT"/>
        </w:rPr>
        <w:t>a caneta</w:t>
      </w:r>
      <w:r w:rsidRPr="00072954">
        <w:rPr>
          <w:rFonts w:ascii="Times New Roman" w:hAnsi="Times New Roman"/>
          <w:b w:val="0"/>
          <w:lang w:val="pt-PT"/>
        </w:rPr>
        <w:t xml:space="preserve"> pré-cheia </w:t>
      </w:r>
      <w:r w:rsidR="002E4828" w:rsidRPr="00072954">
        <w:rPr>
          <w:rFonts w:ascii="Times New Roman" w:hAnsi="Times New Roman"/>
          <w:b w:val="0"/>
          <w:lang w:val="pt-PT"/>
        </w:rPr>
        <w:t>tiver caído</w:t>
      </w:r>
      <w:r w:rsidRPr="00072954">
        <w:rPr>
          <w:rFonts w:ascii="Times New Roman" w:hAnsi="Times New Roman"/>
          <w:b w:val="0"/>
          <w:lang w:val="pt-PT"/>
        </w:rPr>
        <w:t xml:space="preserve"> ou estiver danificada</w:t>
      </w:r>
    </w:p>
    <w:p w14:paraId="7019CEB2" w14:textId="77777777" w:rsidR="000E07B0" w:rsidRPr="00072954" w:rsidRDefault="000E07B0" w:rsidP="000E07B0">
      <w:pPr>
        <w:tabs>
          <w:tab w:val="left" w:pos="562"/>
        </w:tabs>
        <w:suppressAutoHyphens/>
        <w:rPr>
          <w:sz w:val="22"/>
          <w:szCs w:val="20"/>
        </w:rPr>
      </w:pPr>
    </w:p>
    <w:p w14:paraId="291B63EC" w14:textId="77777777" w:rsidR="000E07B0" w:rsidRPr="00072954" w:rsidRDefault="00615769" w:rsidP="000E07B0">
      <w:pPr>
        <w:keepNext/>
        <w:tabs>
          <w:tab w:val="left" w:pos="0"/>
        </w:tabs>
        <w:suppressAutoHyphens/>
        <w:rPr>
          <w:b/>
          <w:sz w:val="22"/>
          <w:szCs w:val="20"/>
        </w:rPr>
      </w:pPr>
      <w:r w:rsidRPr="00072954">
        <w:rPr>
          <w:b/>
          <w:sz w:val="22"/>
          <w:szCs w:val="20"/>
        </w:rPr>
        <w:t>Retire só as tampas imediatamente antes da injeção. Manter fora da vista e do alcance das crianças.</w:t>
      </w:r>
    </w:p>
    <w:p w14:paraId="1AD525E2" w14:textId="77777777" w:rsidR="000E07B0" w:rsidRPr="00072954" w:rsidRDefault="000E07B0" w:rsidP="000E07B0">
      <w:pPr>
        <w:tabs>
          <w:tab w:val="left" w:pos="562"/>
        </w:tabs>
        <w:suppressAutoHyphens/>
        <w:rPr>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A7162A" w14:paraId="0950CD60" w14:textId="77777777" w:rsidTr="00691603">
        <w:tc>
          <w:tcPr>
            <w:tcW w:w="9287" w:type="dxa"/>
            <w:gridSpan w:val="2"/>
            <w:tcBorders>
              <w:bottom w:val="single" w:sz="4" w:space="0" w:color="auto"/>
            </w:tcBorders>
          </w:tcPr>
          <w:p w14:paraId="7E1B1E13" w14:textId="77777777" w:rsidR="000E07B0" w:rsidRPr="00072954" w:rsidRDefault="00615769" w:rsidP="00691603">
            <w:pPr>
              <w:tabs>
                <w:tab w:val="left" w:pos="562"/>
              </w:tabs>
              <w:suppressAutoHyphens/>
              <w:rPr>
                <w:b/>
                <w:sz w:val="22"/>
                <w:szCs w:val="20"/>
              </w:rPr>
            </w:pPr>
            <w:r w:rsidRPr="00072954">
              <w:rPr>
                <w:b/>
                <w:sz w:val="22"/>
                <w:szCs w:val="20"/>
              </w:rPr>
              <w:t>PASSO 1</w:t>
            </w:r>
          </w:p>
          <w:p w14:paraId="715DA9F9" w14:textId="77777777" w:rsidR="000E07B0" w:rsidRPr="00072954" w:rsidRDefault="000E07B0" w:rsidP="00691603">
            <w:pPr>
              <w:tabs>
                <w:tab w:val="left" w:pos="562"/>
              </w:tabs>
              <w:suppressAutoHyphens/>
              <w:rPr>
                <w:sz w:val="22"/>
                <w:szCs w:val="20"/>
              </w:rPr>
            </w:pPr>
          </w:p>
          <w:p w14:paraId="314EA507" w14:textId="77777777" w:rsidR="000E07B0" w:rsidRPr="00072954" w:rsidRDefault="00615769" w:rsidP="00691603">
            <w:pPr>
              <w:tabs>
                <w:tab w:val="left" w:pos="562"/>
              </w:tabs>
              <w:suppressAutoHyphens/>
              <w:rPr>
                <w:sz w:val="22"/>
                <w:szCs w:val="20"/>
              </w:rPr>
            </w:pPr>
            <w:r w:rsidRPr="00072954">
              <w:rPr>
                <w:sz w:val="22"/>
                <w:szCs w:val="20"/>
              </w:rPr>
              <w:t>Retire Humira do frigorífico.</w:t>
            </w:r>
          </w:p>
          <w:p w14:paraId="311DC2DA" w14:textId="77777777" w:rsidR="000E07B0" w:rsidRPr="00072954" w:rsidRDefault="000E07B0" w:rsidP="00691603">
            <w:pPr>
              <w:tabs>
                <w:tab w:val="left" w:pos="562"/>
              </w:tabs>
              <w:suppressAutoHyphens/>
              <w:rPr>
                <w:sz w:val="22"/>
                <w:szCs w:val="20"/>
              </w:rPr>
            </w:pPr>
          </w:p>
          <w:p w14:paraId="5DC8FFB5" w14:textId="77777777" w:rsidR="000E07B0" w:rsidRPr="00072954" w:rsidRDefault="00615769" w:rsidP="00691603">
            <w:pPr>
              <w:tabs>
                <w:tab w:val="left" w:pos="562"/>
              </w:tabs>
              <w:suppressAutoHyphens/>
              <w:rPr>
                <w:sz w:val="22"/>
                <w:szCs w:val="20"/>
              </w:rPr>
            </w:pPr>
            <w:r w:rsidRPr="00072954">
              <w:rPr>
                <w:sz w:val="22"/>
                <w:szCs w:val="20"/>
              </w:rPr>
              <w:t xml:space="preserve">Deixe Humira à temperatura ambiente durante </w:t>
            </w:r>
            <w:r w:rsidRPr="00072954">
              <w:rPr>
                <w:b/>
                <w:sz w:val="22"/>
                <w:szCs w:val="20"/>
              </w:rPr>
              <w:t xml:space="preserve">15 a 30 minutos </w:t>
            </w:r>
            <w:r w:rsidRPr="00072954">
              <w:rPr>
                <w:sz w:val="22"/>
                <w:szCs w:val="20"/>
              </w:rPr>
              <w:t>antes de administrar a injeção.</w:t>
            </w:r>
          </w:p>
          <w:p w14:paraId="0306ACC8" w14:textId="77777777" w:rsidR="000E07B0" w:rsidRPr="00072954" w:rsidRDefault="000E07B0" w:rsidP="00691603">
            <w:pPr>
              <w:tabs>
                <w:tab w:val="left" w:pos="562"/>
              </w:tabs>
              <w:suppressAutoHyphens/>
              <w:rPr>
                <w:sz w:val="22"/>
                <w:szCs w:val="20"/>
              </w:rPr>
            </w:pPr>
          </w:p>
          <w:p w14:paraId="321F28F5" w14:textId="77777777" w:rsidR="000E07B0" w:rsidRPr="00072954" w:rsidRDefault="00615769" w:rsidP="00CC2ACC">
            <w:pPr>
              <w:pStyle w:val="EMEAHeadingLeaflet"/>
              <w:numPr>
                <w:ilvl w:val="0"/>
                <w:numId w:val="91"/>
              </w:numPr>
              <w:tabs>
                <w:tab w:val="clear" w:pos="562"/>
                <w:tab w:val="left" w:pos="720"/>
              </w:tabs>
              <w:spacing w:before="0" w:after="0"/>
              <w:rPr>
                <w:rFonts w:ascii="Times New Roman" w:eastAsia="Times New Roman" w:hAnsi="Times New Roman"/>
                <w:lang w:val="pt-PT"/>
              </w:rPr>
            </w:pPr>
            <w:r w:rsidRPr="00072954">
              <w:rPr>
                <w:rFonts w:ascii="Times New Roman" w:eastAsia="Times New Roman" w:hAnsi="Times New Roman"/>
                <w:lang w:val="pt-PT"/>
              </w:rPr>
              <w:t xml:space="preserve">Não </w:t>
            </w:r>
            <w:r w:rsidRPr="00072954">
              <w:rPr>
                <w:rFonts w:ascii="Times New Roman" w:eastAsia="Times New Roman" w:hAnsi="Times New Roman"/>
                <w:b w:val="0"/>
                <w:lang w:val="pt-PT"/>
              </w:rPr>
              <w:t>remova as tampas de cor cinzenta ou roxa até que Humira alcance a temperatura ambiente</w:t>
            </w:r>
          </w:p>
          <w:p w14:paraId="7073109A" w14:textId="77777777" w:rsidR="000E07B0" w:rsidRPr="00072954" w:rsidRDefault="00615769" w:rsidP="00CC2ACC">
            <w:pPr>
              <w:pStyle w:val="EMEAHeadingLeaflet"/>
              <w:numPr>
                <w:ilvl w:val="0"/>
                <w:numId w:val="91"/>
              </w:numPr>
              <w:tabs>
                <w:tab w:val="clear" w:pos="562"/>
                <w:tab w:val="left" w:pos="720"/>
              </w:tabs>
              <w:spacing w:before="0" w:after="0"/>
              <w:rPr>
                <w:rFonts w:ascii="Times New Roman" w:hAnsi="Times New Roman"/>
                <w:lang w:val="pt-PT"/>
              </w:rPr>
            </w:pPr>
            <w:r w:rsidRPr="00072954">
              <w:rPr>
                <w:rFonts w:ascii="Times New Roman" w:eastAsia="Times New Roman" w:hAnsi="Times New Roman"/>
                <w:lang w:val="pt-PT"/>
              </w:rPr>
              <w:t>Não</w:t>
            </w:r>
            <w:r w:rsidRPr="00072954">
              <w:rPr>
                <w:rFonts w:ascii="Times New Roman" w:hAnsi="Times New Roman"/>
                <w:b w:val="0"/>
                <w:lang w:val="pt-PT"/>
              </w:rPr>
              <w:t xml:space="preserve"> aqueça Humira de nenhuma outra forma. Por exemplo, </w:t>
            </w:r>
            <w:r w:rsidRPr="00072954">
              <w:rPr>
                <w:rFonts w:ascii="Times New Roman" w:hAnsi="Times New Roman"/>
                <w:lang w:val="pt-PT"/>
              </w:rPr>
              <w:t>não</w:t>
            </w:r>
            <w:r w:rsidRPr="00072954">
              <w:rPr>
                <w:rFonts w:ascii="Times New Roman" w:hAnsi="Times New Roman"/>
                <w:b w:val="0"/>
                <w:lang w:val="pt-PT"/>
              </w:rPr>
              <w:t xml:space="preserve"> use micro</w:t>
            </w:r>
            <w:r w:rsidR="00750C9C" w:rsidRPr="00072954">
              <w:rPr>
                <w:rFonts w:ascii="Times New Roman" w:hAnsi="Times New Roman"/>
                <w:b w:val="0"/>
                <w:lang w:val="pt-PT"/>
              </w:rPr>
              <w:t>-</w:t>
            </w:r>
            <w:r w:rsidRPr="00072954">
              <w:rPr>
                <w:rFonts w:ascii="Times New Roman" w:hAnsi="Times New Roman"/>
                <w:b w:val="0"/>
                <w:lang w:val="pt-PT"/>
              </w:rPr>
              <w:t>ondas ou água quente</w:t>
            </w:r>
          </w:p>
        </w:tc>
      </w:tr>
      <w:tr w:rsidR="00A7162A" w14:paraId="4C71A504" w14:textId="77777777" w:rsidTr="00691603">
        <w:tc>
          <w:tcPr>
            <w:tcW w:w="3708" w:type="dxa"/>
            <w:tcBorders>
              <w:right w:val="nil"/>
            </w:tcBorders>
          </w:tcPr>
          <w:p w14:paraId="7BE37EDD" w14:textId="77777777" w:rsidR="000E07B0" w:rsidRPr="00072954" w:rsidRDefault="00615769" w:rsidP="00691603">
            <w:pPr>
              <w:keepNext/>
              <w:tabs>
                <w:tab w:val="left" w:pos="562"/>
              </w:tabs>
              <w:suppressAutoHyphens/>
              <w:rPr>
                <w:b/>
                <w:noProof/>
                <w:sz w:val="22"/>
                <w:szCs w:val="20"/>
              </w:rPr>
            </w:pPr>
            <w:r w:rsidRPr="00072954">
              <w:rPr>
                <w:b/>
                <w:noProof/>
                <w:sz w:val="22"/>
                <w:szCs w:val="20"/>
              </w:rPr>
              <w:t xml:space="preserve">PASSO 2 </w:t>
            </w:r>
          </w:p>
          <w:p w14:paraId="6186DDD1" w14:textId="77777777" w:rsidR="000E07B0" w:rsidRPr="00072954" w:rsidRDefault="000E07B0" w:rsidP="00691603">
            <w:pPr>
              <w:keepNext/>
              <w:tabs>
                <w:tab w:val="left" w:pos="562"/>
              </w:tabs>
              <w:suppressAutoHyphens/>
              <w:rPr>
                <w:b/>
                <w:noProof/>
                <w:sz w:val="22"/>
                <w:szCs w:val="20"/>
              </w:rPr>
            </w:pPr>
          </w:p>
          <w:p w14:paraId="0DF88CBF" w14:textId="77777777" w:rsidR="000E07B0" w:rsidRPr="00072954" w:rsidRDefault="00615769" w:rsidP="00691603">
            <w:pPr>
              <w:keepNext/>
              <w:tabs>
                <w:tab w:val="left" w:pos="562"/>
              </w:tabs>
              <w:suppressAutoHyphens/>
              <w:rPr>
                <w:b/>
                <w:noProof/>
                <w:sz w:val="22"/>
                <w:szCs w:val="20"/>
              </w:rPr>
            </w:pPr>
            <w:r w:rsidRPr="00072954">
              <w:rPr>
                <w:noProof/>
                <w:sz w:val="22"/>
                <w:szCs w:val="20"/>
              </w:rPr>
              <w:t xml:space="preserve">              </w:t>
            </w:r>
            <w:r w:rsidRPr="00072954">
              <w:rPr>
                <w:b/>
                <w:noProof/>
                <w:sz w:val="22"/>
                <w:szCs w:val="20"/>
              </w:rPr>
              <w:t xml:space="preserve"> Caneta</w:t>
            </w:r>
          </w:p>
          <w:p w14:paraId="133C2B7E" w14:textId="77777777" w:rsidR="000E07B0" w:rsidRPr="00072954" w:rsidRDefault="00615769" w:rsidP="00691603">
            <w:pPr>
              <w:keepNext/>
              <w:tabs>
                <w:tab w:val="left" w:pos="562"/>
              </w:tabs>
              <w:suppressAutoHyphens/>
              <w:rPr>
                <w:noProof/>
                <w:sz w:val="22"/>
                <w:szCs w:val="20"/>
              </w:rPr>
            </w:pPr>
            <w:r w:rsidRPr="00072954">
              <w:rPr>
                <w:noProof/>
                <w:sz w:val="22"/>
                <w:szCs w:val="20"/>
                <w:lang w:val="en-GB" w:eastAsia="en-GB"/>
              </w:rPr>
              <w:drawing>
                <wp:inline distT="0" distB="0" distL="0" distR="0" wp14:anchorId="6FB56EC5" wp14:editId="1E6774F4">
                  <wp:extent cx="2157095" cy="2286000"/>
                  <wp:effectExtent l="0" t="0" r="0" b="0"/>
                  <wp:docPr id="96" name="Picture 96" descr="STEP2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53" descr="STEP2_grey"/>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2157095" cy="2286000"/>
                          </a:xfrm>
                          <a:prstGeom prst="rect">
                            <a:avLst/>
                          </a:prstGeom>
                          <a:noFill/>
                          <a:ln>
                            <a:noFill/>
                          </a:ln>
                        </pic:spPr>
                      </pic:pic>
                    </a:graphicData>
                  </a:graphic>
                </wp:inline>
              </w:drawing>
            </w:r>
          </w:p>
          <w:p w14:paraId="065D4BC8" w14:textId="77777777" w:rsidR="000E07B0" w:rsidRPr="00072954" w:rsidRDefault="00615769" w:rsidP="00691603">
            <w:pPr>
              <w:keepNext/>
              <w:tabs>
                <w:tab w:val="left" w:pos="562"/>
              </w:tabs>
              <w:suppressAutoHyphens/>
              <w:rPr>
                <w:b/>
                <w:sz w:val="22"/>
                <w:szCs w:val="20"/>
              </w:rPr>
            </w:pPr>
            <w:r w:rsidRPr="00072954">
              <w:rPr>
                <w:b/>
                <w:noProof/>
                <w:sz w:val="22"/>
                <w:szCs w:val="20"/>
              </w:rPr>
              <w:t xml:space="preserve">                Compressa</w:t>
            </w:r>
          </w:p>
        </w:tc>
        <w:tc>
          <w:tcPr>
            <w:tcW w:w="5579" w:type="dxa"/>
            <w:tcBorders>
              <w:left w:val="nil"/>
            </w:tcBorders>
          </w:tcPr>
          <w:p w14:paraId="4430E450" w14:textId="77777777" w:rsidR="000E07B0" w:rsidRPr="00072954" w:rsidRDefault="000E07B0" w:rsidP="00691603">
            <w:pPr>
              <w:keepNext/>
              <w:tabs>
                <w:tab w:val="left" w:pos="562"/>
              </w:tabs>
              <w:suppressAutoHyphens/>
              <w:rPr>
                <w:sz w:val="22"/>
                <w:szCs w:val="20"/>
              </w:rPr>
            </w:pPr>
          </w:p>
          <w:p w14:paraId="22B3B4CB" w14:textId="77777777" w:rsidR="000E07B0" w:rsidRPr="00072954" w:rsidRDefault="00615769" w:rsidP="00691603">
            <w:pPr>
              <w:keepNext/>
              <w:tabs>
                <w:tab w:val="left" w:pos="562"/>
              </w:tabs>
              <w:suppressAutoHyphens/>
              <w:rPr>
                <w:sz w:val="22"/>
                <w:szCs w:val="20"/>
              </w:rPr>
            </w:pPr>
            <w:r w:rsidRPr="00072954">
              <w:rPr>
                <w:sz w:val="22"/>
                <w:szCs w:val="20"/>
              </w:rPr>
              <w:t xml:space="preserve">Verifique o prazo de validade (EXP). </w:t>
            </w:r>
            <w:r w:rsidRPr="00072954">
              <w:rPr>
                <w:b/>
                <w:sz w:val="22"/>
                <w:szCs w:val="20"/>
              </w:rPr>
              <w:t xml:space="preserve">Não </w:t>
            </w:r>
            <w:r w:rsidRPr="00072954">
              <w:rPr>
                <w:sz w:val="22"/>
                <w:szCs w:val="20"/>
              </w:rPr>
              <w:t>utilize a caneta pré-cheia se já tiver ultrapassado o prazo de validade (EXP).</w:t>
            </w:r>
          </w:p>
          <w:p w14:paraId="632BA084" w14:textId="77777777" w:rsidR="000E07B0" w:rsidRPr="00072954" w:rsidRDefault="000E07B0" w:rsidP="00691603">
            <w:pPr>
              <w:keepNext/>
              <w:tabs>
                <w:tab w:val="left" w:pos="562"/>
              </w:tabs>
              <w:suppressAutoHyphens/>
              <w:rPr>
                <w:sz w:val="22"/>
                <w:szCs w:val="20"/>
              </w:rPr>
            </w:pPr>
          </w:p>
          <w:p w14:paraId="1BB9E0D1" w14:textId="77777777" w:rsidR="000E07B0" w:rsidRPr="00072954" w:rsidRDefault="00615769" w:rsidP="00691603">
            <w:pPr>
              <w:keepNext/>
              <w:tabs>
                <w:tab w:val="left" w:pos="562"/>
              </w:tabs>
              <w:suppressAutoHyphens/>
              <w:rPr>
                <w:sz w:val="22"/>
                <w:szCs w:val="20"/>
              </w:rPr>
            </w:pPr>
            <w:r w:rsidRPr="00072954">
              <w:rPr>
                <w:sz w:val="22"/>
                <w:szCs w:val="20"/>
              </w:rPr>
              <w:t>Coloque os seguintes elementos numa superfície plana limpa</w:t>
            </w:r>
          </w:p>
          <w:p w14:paraId="44F264E1" w14:textId="77777777" w:rsidR="000E07B0" w:rsidRPr="00072954" w:rsidRDefault="000E07B0" w:rsidP="00691603">
            <w:pPr>
              <w:keepNext/>
              <w:tabs>
                <w:tab w:val="left" w:pos="562"/>
              </w:tabs>
              <w:suppressAutoHyphens/>
              <w:rPr>
                <w:sz w:val="22"/>
                <w:szCs w:val="20"/>
              </w:rPr>
            </w:pPr>
          </w:p>
          <w:p w14:paraId="2214D2FF" w14:textId="77777777" w:rsidR="000E07B0" w:rsidRPr="00072954" w:rsidRDefault="00615769" w:rsidP="00C248FE">
            <w:pPr>
              <w:pStyle w:val="EMEAHeadingLeaflet"/>
              <w:numPr>
                <w:ilvl w:val="0"/>
                <w:numId w:val="92"/>
              </w:numPr>
              <w:tabs>
                <w:tab w:val="clear" w:pos="562"/>
                <w:tab w:val="left" w:pos="757"/>
              </w:tabs>
              <w:spacing w:before="0" w:after="0"/>
              <w:ind w:left="757"/>
              <w:rPr>
                <w:rFonts w:ascii="Times New Roman" w:eastAsia="Times New Roman" w:hAnsi="Times New Roman"/>
                <w:b w:val="0"/>
                <w:lang w:val="en-GB"/>
              </w:rPr>
            </w:pPr>
            <w:r w:rsidRPr="00072954">
              <w:rPr>
                <w:rFonts w:ascii="Times New Roman" w:eastAsia="Times New Roman" w:hAnsi="Times New Roman"/>
                <w:b w:val="0"/>
                <w:lang w:val="en-GB"/>
              </w:rPr>
              <w:t xml:space="preserve">1 caneta pré-cheia e </w:t>
            </w:r>
          </w:p>
          <w:p w14:paraId="13EF5083" w14:textId="77777777" w:rsidR="000E07B0" w:rsidRPr="00072954" w:rsidRDefault="00615769" w:rsidP="00C248FE">
            <w:pPr>
              <w:pStyle w:val="EMEAHeadingLeaflet"/>
              <w:numPr>
                <w:ilvl w:val="0"/>
                <w:numId w:val="92"/>
              </w:numPr>
              <w:tabs>
                <w:tab w:val="clear" w:pos="562"/>
                <w:tab w:val="left" w:pos="757"/>
              </w:tabs>
              <w:spacing w:before="0" w:after="0"/>
              <w:ind w:left="757"/>
              <w:rPr>
                <w:rFonts w:ascii="Times New Roman" w:hAnsi="Times New Roman"/>
                <w:b w:val="0"/>
              </w:rPr>
            </w:pPr>
            <w:r w:rsidRPr="00072954">
              <w:rPr>
                <w:rFonts w:ascii="Times New Roman" w:eastAsia="Times New Roman" w:hAnsi="Times New Roman"/>
                <w:b w:val="0"/>
                <w:lang w:val="en-GB"/>
              </w:rPr>
              <w:t>1</w:t>
            </w:r>
            <w:r w:rsidRPr="00072954">
              <w:rPr>
                <w:rFonts w:ascii="Times New Roman" w:hAnsi="Times New Roman"/>
                <w:b w:val="0"/>
              </w:rPr>
              <w:t xml:space="preserve"> compressa </w:t>
            </w:r>
            <w:r w:rsidRPr="00072954">
              <w:rPr>
                <w:rFonts w:ascii="Times New Roman" w:hAnsi="Times New Roman"/>
                <w:b w:val="0"/>
              </w:rPr>
              <w:t>embebida em álcool</w:t>
            </w:r>
          </w:p>
          <w:p w14:paraId="5EF07D31" w14:textId="77777777" w:rsidR="000E07B0" w:rsidRPr="00072954" w:rsidRDefault="000E07B0" w:rsidP="00691603">
            <w:pPr>
              <w:keepNext/>
              <w:tabs>
                <w:tab w:val="left" w:pos="562"/>
              </w:tabs>
              <w:suppressAutoHyphens/>
              <w:rPr>
                <w:sz w:val="22"/>
                <w:szCs w:val="20"/>
              </w:rPr>
            </w:pPr>
          </w:p>
          <w:p w14:paraId="4AFFA534" w14:textId="77777777" w:rsidR="000E07B0" w:rsidRPr="00072954" w:rsidRDefault="00615769" w:rsidP="00691603">
            <w:pPr>
              <w:keepNext/>
              <w:tabs>
                <w:tab w:val="left" w:pos="562"/>
              </w:tabs>
              <w:suppressAutoHyphens/>
              <w:rPr>
                <w:sz w:val="22"/>
                <w:szCs w:val="20"/>
              </w:rPr>
            </w:pPr>
            <w:r w:rsidRPr="00072954">
              <w:rPr>
                <w:sz w:val="22"/>
                <w:szCs w:val="20"/>
              </w:rPr>
              <w:t>Lave e seque as mãos.</w:t>
            </w:r>
          </w:p>
        </w:tc>
      </w:tr>
      <w:tr w:rsidR="00A7162A" w14:paraId="22A3EC40" w14:textId="77777777" w:rsidTr="00691603">
        <w:tc>
          <w:tcPr>
            <w:tcW w:w="3708" w:type="dxa"/>
            <w:tcBorders>
              <w:right w:val="nil"/>
            </w:tcBorders>
          </w:tcPr>
          <w:p w14:paraId="3ED45E39" w14:textId="77777777" w:rsidR="000E07B0" w:rsidRPr="00072954" w:rsidRDefault="00615769" w:rsidP="00691603">
            <w:pPr>
              <w:keepNext/>
              <w:tabs>
                <w:tab w:val="left" w:pos="562"/>
              </w:tabs>
              <w:suppressAutoHyphens/>
              <w:rPr>
                <w:b/>
                <w:noProof/>
                <w:sz w:val="22"/>
                <w:szCs w:val="20"/>
              </w:rPr>
            </w:pPr>
            <w:r w:rsidRPr="00072954">
              <w:rPr>
                <w:b/>
                <w:noProof/>
                <w:sz w:val="22"/>
                <w:szCs w:val="20"/>
              </w:rPr>
              <w:t>PASSO 3</w:t>
            </w:r>
          </w:p>
          <w:p w14:paraId="742F8D64" w14:textId="77777777" w:rsidR="000E07B0" w:rsidRPr="00072954" w:rsidRDefault="000E07B0" w:rsidP="00691603">
            <w:pPr>
              <w:keepNext/>
              <w:tabs>
                <w:tab w:val="left" w:pos="562"/>
              </w:tabs>
              <w:suppressAutoHyphens/>
              <w:rPr>
                <w:b/>
                <w:noProof/>
                <w:sz w:val="22"/>
                <w:szCs w:val="20"/>
              </w:rPr>
            </w:pPr>
          </w:p>
          <w:p w14:paraId="5F50299E" w14:textId="77777777" w:rsidR="000E07B0" w:rsidRPr="00072954" w:rsidRDefault="00615769" w:rsidP="00691603">
            <w:pPr>
              <w:keepNext/>
              <w:tabs>
                <w:tab w:val="left" w:pos="562"/>
              </w:tabs>
              <w:suppressAutoHyphens/>
              <w:rPr>
                <w:b/>
                <w:noProof/>
                <w:sz w:val="22"/>
                <w:szCs w:val="20"/>
              </w:rPr>
            </w:pPr>
            <w:r w:rsidRPr="00072954">
              <w:rPr>
                <w:b/>
                <w:noProof/>
                <w:sz w:val="22"/>
                <w:szCs w:val="20"/>
              </w:rPr>
              <w:t>Locais de Injeção</w:t>
            </w:r>
          </w:p>
          <w:p w14:paraId="215968A5" w14:textId="77777777" w:rsidR="000E07B0" w:rsidRPr="00072954" w:rsidRDefault="00615769" w:rsidP="00691603">
            <w:pPr>
              <w:keepNext/>
              <w:tabs>
                <w:tab w:val="left" w:pos="562"/>
              </w:tabs>
              <w:suppressAutoHyphens/>
              <w:rPr>
                <w:noProof/>
                <w:sz w:val="22"/>
                <w:szCs w:val="20"/>
              </w:rPr>
            </w:pPr>
            <w:r w:rsidRPr="00072954">
              <w:rPr>
                <w:noProof/>
                <w:sz w:val="22"/>
                <w:szCs w:val="20"/>
                <w:lang w:val="en-GB" w:eastAsia="en-GB"/>
              </w:rPr>
              <w:drawing>
                <wp:inline distT="0" distB="0" distL="0" distR="0" wp14:anchorId="01FE7203" wp14:editId="19688780">
                  <wp:extent cx="2275840" cy="2385695"/>
                  <wp:effectExtent l="0" t="0" r="0" b="0"/>
                  <wp:docPr id="97" name="Picture 97"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54" descr="STEP3_grey"/>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2275840" cy="2385695"/>
                          </a:xfrm>
                          <a:prstGeom prst="rect">
                            <a:avLst/>
                          </a:prstGeom>
                          <a:noFill/>
                          <a:ln>
                            <a:noFill/>
                          </a:ln>
                        </pic:spPr>
                      </pic:pic>
                    </a:graphicData>
                  </a:graphic>
                </wp:inline>
              </w:drawing>
            </w:r>
          </w:p>
          <w:p w14:paraId="7E103809" w14:textId="77777777" w:rsidR="000E07B0" w:rsidRPr="00072954" w:rsidRDefault="00615769" w:rsidP="00691603">
            <w:pPr>
              <w:keepNext/>
              <w:tabs>
                <w:tab w:val="left" w:pos="562"/>
              </w:tabs>
              <w:suppressAutoHyphens/>
              <w:rPr>
                <w:b/>
                <w:sz w:val="22"/>
                <w:szCs w:val="20"/>
              </w:rPr>
            </w:pPr>
            <w:r w:rsidRPr="00072954">
              <w:rPr>
                <w:noProof/>
                <w:sz w:val="22"/>
                <w:szCs w:val="20"/>
              </w:rPr>
              <w:t xml:space="preserve">   </w:t>
            </w:r>
            <w:r w:rsidRPr="00072954">
              <w:rPr>
                <w:b/>
                <w:noProof/>
                <w:sz w:val="22"/>
                <w:szCs w:val="20"/>
              </w:rPr>
              <w:t>Locais de Injeção</w:t>
            </w:r>
          </w:p>
        </w:tc>
        <w:tc>
          <w:tcPr>
            <w:tcW w:w="5579" w:type="dxa"/>
            <w:tcBorders>
              <w:left w:val="nil"/>
            </w:tcBorders>
          </w:tcPr>
          <w:p w14:paraId="4F42B704" w14:textId="77777777" w:rsidR="000E07B0" w:rsidRPr="00072954" w:rsidRDefault="000E07B0" w:rsidP="00691603">
            <w:pPr>
              <w:keepNext/>
              <w:tabs>
                <w:tab w:val="left" w:pos="562"/>
              </w:tabs>
              <w:suppressAutoHyphens/>
              <w:rPr>
                <w:sz w:val="22"/>
                <w:szCs w:val="20"/>
              </w:rPr>
            </w:pPr>
          </w:p>
          <w:p w14:paraId="4D73F722" w14:textId="77777777" w:rsidR="000E07B0" w:rsidRPr="00072954" w:rsidRDefault="00615769" w:rsidP="00691603">
            <w:pPr>
              <w:keepNext/>
              <w:tabs>
                <w:tab w:val="left" w:pos="562"/>
              </w:tabs>
              <w:suppressAutoHyphens/>
              <w:rPr>
                <w:sz w:val="22"/>
                <w:szCs w:val="20"/>
              </w:rPr>
            </w:pPr>
            <w:r w:rsidRPr="00072954">
              <w:rPr>
                <w:sz w:val="22"/>
                <w:szCs w:val="20"/>
              </w:rPr>
              <w:t>Escolha um local de injeção:</w:t>
            </w:r>
          </w:p>
          <w:p w14:paraId="74DCB5A8" w14:textId="77777777" w:rsidR="000E07B0" w:rsidRPr="00072954" w:rsidRDefault="000E07B0" w:rsidP="00691603">
            <w:pPr>
              <w:keepNext/>
              <w:tabs>
                <w:tab w:val="left" w:pos="562"/>
              </w:tabs>
              <w:suppressAutoHyphens/>
              <w:rPr>
                <w:sz w:val="22"/>
                <w:szCs w:val="20"/>
              </w:rPr>
            </w:pPr>
          </w:p>
          <w:p w14:paraId="5231D3DC" w14:textId="77777777" w:rsidR="000E07B0" w:rsidRPr="00072954" w:rsidRDefault="00615769" w:rsidP="00C248FE">
            <w:pPr>
              <w:pStyle w:val="EMEAHeadingLeaflet"/>
              <w:keepNext/>
              <w:numPr>
                <w:ilvl w:val="0"/>
                <w:numId w:val="93"/>
              </w:numPr>
              <w:tabs>
                <w:tab w:val="clear" w:pos="562"/>
                <w:tab w:val="left" w:pos="757"/>
              </w:tabs>
              <w:spacing w:before="0" w:after="0"/>
              <w:ind w:left="757"/>
              <w:rPr>
                <w:rFonts w:ascii="Times New Roman" w:eastAsia="Times New Roman" w:hAnsi="Times New Roman"/>
                <w:b w:val="0"/>
                <w:lang w:val="en-GB"/>
              </w:rPr>
            </w:pPr>
            <w:r w:rsidRPr="00072954">
              <w:rPr>
                <w:rFonts w:ascii="Times New Roman" w:eastAsia="Times New Roman" w:hAnsi="Times New Roman"/>
                <w:b w:val="0"/>
                <w:lang w:val="en-GB"/>
              </w:rPr>
              <w:t>No cimo da coxa ou</w:t>
            </w:r>
          </w:p>
          <w:p w14:paraId="5C997311" w14:textId="77777777" w:rsidR="000E07B0" w:rsidRPr="00072954" w:rsidRDefault="00615769" w:rsidP="00C248FE">
            <w:pPr>
              <w:pStyle w:val="EMEAHeadingLeaflet"/>
              <w:keepNext/>
              <w:numPr>
                <w:ilvl w:val="0"/>
                <w:numId w:val="93"/>
              </w:numPr>
              <w:tabs>
                <w:tab w:val="clear" w:pos="562"/>
                <w:tab w:val="left" w:pos="757"/>
              </w:tabs>
              <w:spacing w:before="0" w:after="0"/>
              <w:ind w:left="757"/>
              <w:rPr>
                <w:rFonts w:ascii="Times New Roman" w:eastAsia="Times New Roman" w:hAnsi="Times New Roman"/>
                <w:b w:val="0"/>
                <w:lang w:val="pt-PT"/>
              </w:rPr>
            </w:pPr>
            <w:r w:rsidRPr="00072954">
              <w:rPr>
                <w:rFonts w:ascii="Times New Roman" w:eastAsia="Times New Roman" w:hAnsi="Times New Roman"/>
                <w:b w:val="0"/>
                <w:lang w:val="pt-PT"/>
              </w:rPr>
              <w:t xml:space="preserve">Barriga (estômago) pelo menos a 5 cm </w:t>
            </w:r>
            <w:r w:rsidR="006B7CB4" w:rsidRPr="00072954">
              <w:rPr>
                <w:rFonts w:ascii="Times New Roman" w:eastAsia="Times New Roman" w:hAnsi="Times New Roman"/>
                <w:b w:val="0"/>
                <w:lang w:val="pt-PT"/>
              </w:rPr>
              <w:t xml:space="preserve">do </w:t>
            </w:r>
            <w:r w:rsidRPr="00072954">
              <w:rPr>
                <w:rFonts w:ascii="Times New Roman" w:eastAsia="Times New Roman" w:hAnsi="Times New Roman"/>
                <w:b w:val="0"/>
                <w:lang w:val="pt-PT"/>
              </w:rPr>
              <w:t>umbigo</w:t>
            </w:r>
          </w:p>
          <w:p w14:paraId="05E02C58" w14:textId="77777777" w:rsidR="000E07B0" w:rsidRPr="00072954" w:rsidRDefault="00615769" w:rsidP="00C248FE">
            <w:pPr>
              <w:pStyle w:val="EMEAHeadingLeaflet"/>
              <w:keepNext/>
              <w:numPr>
                <w:ilvl w:val="0"/>
                <w:numId w:val="93"/>
              </w:numPr>
              <w:tabs>
                <w:tab w:val="clear" w:pos="562"/>
                <w:tab w:val="left" w:pos="757"/>
              </w:tabs>
              <w:spacing w:before="0" w:after="0"/>
              <w:ind w:left="757"/>
              <w:rPr>
                <w:rFonts w:ascii="Times New Roman" w:eastAsia="Times New Roman" w:hAnsi="Times New Roman"/>
                <w:b w:val="0"/>
                <w:lang w:val="pt-PT"/>
              </w:rPr>
            </w:pPr>
            <w:r w:rsidRPr="00072954">
              <w:rPr>
                <w:rFonts w:ascii="Times New Roman" w:eastAsia="Times New Roman" w:hAnsi="Times New Roman"/>
                <w:b w:val="0"/>
                <w:lang w:val="pt-PT"/>
              </w:rPr>
              <w:t>Pelo menos a 3 cm de distância do local da última injeção</w:t>
            </w:r>
          </w:p>
          <w:p w14:paraId="0411E54B" w14:textId="77777777" w:rsidR="000E07B0" w:rsidRPr="00072954" w:rsidRDefault="000E07B0" w:rsidP="00691603">
            <w:pPr>
              <w:keepNext/>
              <w:tabs>
                <w:tab w:val="left" w:pos="562"/>
              </w:tabs>
              <w:suppressAutoHyphens/>
              <w:rPr>
                <w:sz w:val="22"/>
                <w:szCs w:val="20"/>
              </w:rPr>
            </w:pPr>
          </w:p>
          <w:p w14:paraId="3D962000" w14:textId="77777777" w:rsidR="000E07B0" w:rsidRPr="00072954" w:rsidRDefault="00615769" w:rsidP="00691603">
            <w:pPr>
              <w:keepNext/>
              <w:tabs>
                <w:tab w:val="left" w:pos="562"/>
              </w:tabs>
              <w:suppressAutoHyphens/>
              <w:rPr>
                <w:sz w:val="22"/>
                <w:szCs w:val="20"/>
              </w:rPr>
            </w:pPr>
            <w:r w:rsidRPr="00072954">
              <w:rPr>
                <w:sz w:val="22"/>
                <w:szCs w:val="20"/>
              </w:rPr>
              <w:t>Limpe o local da injeção usando a compressa embebida em álcool com movimentos circulares.</w:t>
            </w:r>
          </w:p>
          <w:p w14:paraId="43566ADA" w14:textId="77777777" w:rsidR="000E07B0" w:rsidRPr="00072954" w:rsidRDefault="000E07B0" w:rsidP="00691603">
            <w:pPr>
              <w:keepNext/>
              <w:tabs>
                <w:tab w:val="left" w:pos="562"/>
              </w:tabs>
              <w:suppressAutoHyphens/>
              <w:rPr>
                <w:sz w:val="22"/>
                <w:szCs w:val="20"/>
              </w:rPr>
            </w:pPr>
          </w:p>
          <w:p w14:paraId="654E18A4" w14:textId="77777777" w:rsidR="000E07B0" w:rsidRPr="00072954" w:rsidRDefault="00615769" w:rsidP="00C248FE">
            <w:pPr>
              <w:pStyle w:val="EMEAHeadingLeaflet"/>
              <w:keepNext/>
              <w:numPr>
                <w:ilvl w:val="0"/>
                <w:numId w:val="94"/>
              </w:numPr>
              <w:tabs>
                <w:tab w:val="clear" w:pos="562"/>
                <w:tab w:val="left" w:pos="757"/>
              </w:tabs>
              <w:spacing w:before="0" w:after="0"/>
              <w:ind w:left="757"/>
              <w:rPr>
                <w:rFonts w:ascii="Times New Roman" w:eastAsia="Times New Roman" w:hAnsi="Times New Roman"/>
                <w:b w:val="0"/>
                <w:lang w:val="en-GB"/>
              </w:rPr>
            </w:pPr>
            <w:r w:rsidRPr="00072954">
              <w:rPr>
                <w:rFonts w:ascii="Times New Roman" w:eastAsia="Times New Roman" w:hAnsi="Times New Roman"/>
                <w:lang w:val="en-GB"/>
              </w:rPr>
              <w:t>Não</w:t>
            </w:r>
            <w:r w:rsidRPr="00072954">
              <w:rPr>
                <w:rFonts w:ascii="Times New Roman" w:eastAsia="Times New Roman" w:hAnsi="Times New Roman"/>
                <w:b w:val="0"/>
                <w:lang w:val="en-GB"/>
              </w:rPr>
              <w:t xml:space="preserve"> injete através da roupa</w:t>
            </w:r>
          </w:p>
          <w:p w14:paraId="0014378E" w14:textId="77777777" w:rsidR="000E07B0" w:rsidRPr="00072954" w:rsidRDefault="00615769" w:rsidP="00C248FE">
            <w:pPr>
              <w:pStyle w:val="EMEAHeadingLeaflet"/>
              <w:keepNext/>
              <w:numPr>
                <w:ilvl w:val="0"/>
                <w:numId w:val="94"/>
              </w:numPr>
              <w:tabs>
                <w:tab w:val="clear" w:pos="562"/>
                <w:tab w:val="left" w:pos="757"/>
              </w:tabs>
              <w:spacing w:before="0" w:after="0"/>
              <w:ind w:left="757"/>
              <w:rPr>
                <w:rFonts w:ascii="Times New Roman" w:hAnsi="Times New Roman"/>
                <w:lang w:val="pt-PT"/>
              </w:rPr>
            </w:pPr>
            <w:r w:rsidRPr="00072954">
              <w:rPr>
                <w:rFonts w:ascii="Times New Roman" w:eastAsia="Times New Roman" w:hAnsi="Times New Roman"/>
                <w:lang w:val="pt-PT"/>
              </w:rPr>
              <w:t>Não</w:t>
            </w:r>
            <w:r w:rsidRPr="00072954">
              <w:rPr>
                <w:rFonts w:ascii="Times New Roman" w:eastAsia="Times New Roman" w:hAnsi="Times New Roman"/>
                <w:b w:val="0"/>
                <w:lang w:val="pt-PT"/>
              </w:rPr>
              <w:t xml:space="preserve"> injete numa área em que a pele esteja dorida, ferida, avermelhada, endurecida, tenha estrias ou áreas com placas</w:t>
            </w:r>
            <w:r w:rsidRPr="00072954">
              <w:rPr>
                <w:rFonts w:ascii="Times New Roman" w:hAnsi="Times New Roman"/>
                <w:b w:val="0"/>
                <w:lang w:val="pt-PT"/>
              </w:rPr>
              <w:t xml:space="preserve"> de psoríase</w:t>
            </w:r>
          </w:p>
        </w:tc>
      </w:tr>
      <w:tr w:rsidR="00A7162A" w14:paraId="4FA7D905" w14:textId="77777777" w:rsidTr="00691603">
        <w:tc>
          <w:tcPr>
            <w:tcW w:w="3708" w:type="dxa"/>
            <w:tcBorders>
              <w:right w:val="nil"/>
            </w:tcBorders>
          </w:tcPr>
          <w:p w14:paraId="05AB066E" w14:textId="77777777" w:rsidR="000E07B0" w:rsidRPr="00072954" w:rsidRDefault="00615769" w:rsidP="00691603">
            <w:pPr>
              <w:tabs>
                <w:tab w:val="left" w:pos="562"/>
              </w:tabs>
              <w:suppressAutoHyphens/>
              <w:rPr>
                <w:b/>
                <w:noProof/>
                <w:sz w:val="22"/>
                <w:szCs w:val="20"/>
              </w:rPr>
            </w:pPr>
            <w:r w:rsidRPr="00072954">
              <w:rPr>
                <w:b/>
                <w:noProof/>
                <w:sz w:val="22"/>
                <w:szCs w:val="20"/>
              </w:rPr>
              <w:t>PASSO 4</w:t>
            </w:r>
          </w:p>
          <w:p w14:paraId="0D226D66" w14:textId="77777777" w:rsidR="000E07B0" w:rsidRPr="00072954" w:rsidRDefault="000E07B0" w:rsidP="00691603">
            <w:pPr>
              <w:tabs>
                <w:tab w:val="left" w:pos="562"/>
              </w:tabs>
              <w:suppressAutoHyphens/>
              <w:rPr>
                <w:b/>
                <w:noProof/>
                <w:sz w:val="22"/>
                <w:szCs w:val="20"/>
              </w:rPr>
            </w:pPr>
          </w:p>
          <w:p w14:paraId="7CCBA7CF" w14:textId="77777777" w:rsidR="000E07B0" w:rsidRPr="00072954" w:rsidRDefault="00615769" w:rsidP="00691603">
            <w:pPr>
              <w:tabs>
                <w:tab w:val="left" w:pos="562"/>
              </w:tabs>
              <w:suppressAutoHyphens/>
              <w:rPr>
                <w:sz w:val="22"/>
                <w:szCs w:val="20"/>
              </w:rPr>
            </w:pPr>
            <w:r w:rsidRPr="00072954">
              <w:rPr>
                <w:noProof/>
                <w:sz w:val="22"/>
                <w:szCs w:val="20"/>
                <w:lang w:val="en-GB" w:eastAsia="en-GB"/>
              </w:rPr>
              <w:drawing>
                <wp:inline distT="0" distB="0" distL="0" distR="0" wp14:anchorId="5A230BFF" wp14:editId="0D9025F5">
                  <wp:extent cx="2216150" cy="2047240"/>
                  <wp:effectExtent l="0" t="0" r="0" b="0"/>
                  <wp:docPr id="98" name="Picture 98" descr="STEP4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55" descr="STEP4_grey"/>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2216150" cy="2047240"/>
                          </a:xfrm>
                          <a:prstGeom prst="rect">
                            <a:avLst/>
                          </a:prstGeom>
                          <a:noFill/>
                          <a:ln>
                            <a:noFill/>
                          </a:ln>
                        </pic:spPr>
                      </pic:pic>
                    </a:graphicData>
                  </a:graphic>
                </wp:inline>
              </w:drawing>
            </w:r>
          </w:p>
        </w:tc>
        <w:tc>
          <w:tcPr>
            <w:tcW w:w="5579" w:type="dxa"/>
            <w:tcBorders>
              <w:left w:val="nil"/>
            </w:tcBorders>
          </w:tcPr>
          <w:p w14:paraId="2BF1B486" w14:textId="77777777" w:rsidR="000E07B0" w:rsidRPr="00072954" w:rsidRDefault="000E07B0" w:rsidP="00691603">
            <w:pPr>
              <w:keepNext/>
              <w:tabs>
                <w:tab w:val="left" w:pos="562"/>
              </w:tabs>
              <w:suppressAutoHyphens/>
              <w:rPr>
                <w:sz w:val="22"/>
                <w:szCs w:val="20"/>
              </w:rPr>
            </w:pPr>
          </w:p>
          <w:p w14:paraId="72A74A20" w14:textId="77777777" w:rsidR="000E07B0" w:rsidRPr="00072954" w:rsidRDefault="00615769" w:rsidP="00691603">
            <w:pPr>
              <w:keepNext/>
              <w:tabs>
                <w:tab w:val="left" w:pos="562"/>
              </w:tabs>
              <w:suppressAutoHyphens/>
              <w:rPr>
                <w:sz w:val="22"/>
                <w:szCs w:val="20"/>
              </w:rPr>
            </w:pPr>
            <w:r w:rsidRPr="00072954">
              <w:rPr>
                <w:sz w:val="22"/>
                <w:szCs w:val="20"/>
              </w:rPr>
              <w:t xml:space="preserve">Segure na caneta pré-cheia com a tampa 1 cinzenta voltada para cima. </w:t>
            </w:r>
          </w:p>
          <w:p w14:paraId="16D3987A" w14:textId="77777777" w:rsidR="000E07B0" w:rsidRPr="00072954" w:rsidRDefault="000E07B0" w:rsidP="00691603">
            <w:pPr>
              <w:tabs>
                <w:tab w:val="left" w:pos="562"/>
              </w:tabs>
              <w:suppressAutoHyphens/>
              <w:rPr>
                <w:sz w:val="22"/>
                <w:szCs w:val="20"/>
              </w:rPr>
            </w:pPr>
          </w:p>
          <w:p w14:paraId="4E8D34B2" w14:textId="77777777" w:rsidR="000E07B0" w:rsidRPr="00072954" w:rsidRDefault="00615769" w:rsidP="00691603">
            <w:pPr>
              <w:keepNext/>
              <w:tabs>
                <w:tab w:val="left" w:pos="562"/>
              </w:tabs>
              <w:suppressAutoHyphens/>
              <w:rPr>
                <w:sz w:val="22"/>
                <w:szCs w:val="20"/>
              </w:rPr>
            </w:pPr>
            <w:r w:rsidRPr="00072954">
              <w:rPr>
                <w:sz w:val="22"/>
                <w:szCs w:val="20"/>
              </w:rPr>
              <w:t>Verifique através da janela.</w:t>
            </w:r>
          </w:p>
          <w:p w14:paraId="1A2B693B" w14:textId="77777777" w:rsidR="000E07B0" w:rsidRPr="00072954" w:rsidRDefault="000E07B0" w:rsidP="00691603">
            <w:pPr>
              <w:tabs>
                <w:tab w:val="left" w:pos="562"/>
              </w:tabs>
              <w:suppressAutoHyphens/>
              <w:rPr>
                <w:sz w:val="22"/>
                <w:szCs w:val="20"/>
              </w:rPr>
            </w:pPr>
          </w:p>
          <w:p w14:paraId="0E70CABD" w14:textId="77777777" w:rsidR="000E07B0" w:rsidRPr="00072954" w:rsidRDefault="00615769" w:rsidP="00CC2ACC">
            <w:pPr>
              <w:pStyle w:val="EMEAHeadingLeaflet"/>
              <w:keepNext/>
              <w:numPr>
                <w:ilvl w:val="0"/>
                <w:numId w:val="95"/>
              </w:numPr>
              <w:tabs>
                <w:tab w:val="clear" w:pos="562"/>
                <w:tab w:val="left" w:pos="757"/>
              </w:tabs>
              <w:spacing w:before="0" w:after="0"/>
              <w:ind w:left="757"/>
              <w:rPr>
                <w:rFonts w:ascii="Times New Roman" w:eastAsia="Times New Roman" w:hAnsi="Times New Roman"/>
                <w:b w:val="0"/>
                <w:lang w:val="pt-PT"/>
              </w:rPr>
            </w:pPr>
            <w:r w:rsidRPr="00072954">
              <w:rPr>
                <w:rFonts w:ascii="Times New Roman" w:eastAsia="Times New Roman" w:hAnsi="Times New Roman"/>
                <w:b w:val="0"/>
                <w:lang w:val="pt-PT"/>
              </w:rPr>
              <w:t>É normal observar-se 1 ou mais bolhas na janela</w:t>
            </w:r>
          </w:p>
          <w:p w14:paraId="181E6105" w14:textId="77777777" w:rsidR="000E07B0" w:rsidRPr="00072954" w:rsidRDefault="00615769" w:rsidP="00CC2ACC">
            <w:pPr>
              <w:pStyle w:val="EMEAHeadingLeaflet"/>
              <w:keepNext/>
              <w:numPr>
                <w:ilvl w:val="0"/>
                <w:numId w:val="95"/>
              </w:numPr>
              <w:tabs>
                <w:tab w:val="clear" w:pos="562"/>
                <w:tab w:val="left" w:pos="757"/>
              </w:tabs>
              <w:spacing w:before="0" w:after="0"/>
              <w:ind w:left="757"/>
              <w:rPr>
                <w:rFonts w:ascii="Times New Roman" w:eastAsia="Times New Roman" w:hAnsi="Times New Roman"/>
                <w:b w:val="0"/>
                <w:lang w:val="pt-PT"/>
              </w:rPr>
            </w:pPr>
            <w:r w:rsidRPr="00072954">
              <w:rPr>
                <w:rFonts w:ascii="Times New Roman" w:eastAsia="Times New Roman" w:hAnsi="Times New Roman"/>
                <w:b w:val="0"/>
                <w:lang w:val="pt-PT"/>
              </w:rPr>
              <w:t>Assegure-se que a solução está límpida e incolor</w:t>
            </w:r>
          </w:p>
          <w:p w14:paraId="607CC4AC" w14:textId="77777777" w:rsidR="000E07B0" w:rsidRPr="00072954" w:rsidRDefault="00615769" w:rsidP="00CC2ACC">
            <w:pPr>
              <w:pStyle w:val="EMEAHeadingLeaflet"/>
              <w:keepNext/>
              <w:numPr>
                <w:ilvl w:val="0"/>
                <w:numId w:val="95"/>
              </w:numPr>
              <w:tabs>
                <w:tab w:val="clear" w:pos="562"/>
                <w:tab w:val="left" w:pos="757"/>
              </w:tabs>
              <w:spacing w:before="0" w:after="0"/>
              <w:ind w:left="757"/>
              <w:rPr>
                <w:rFonts w:ascii="Times New Roman" w:eastAsia="Times New Roman" w:hAnsi="Times New Roman"/>
                <w:b w:val="0"/>
                <w:lang w:val="pt-PT"/>
              </w:rPr>
            </w:pPr>
            <w:r w:rsidRPr="00072954">
              <w:rPr>
                <w:rFonts w:ascii="Times New Roman" w:eastAsia="Times New Roman" w:hAnsi="Times New Roman"/>
                <w:lang w:val="pt-PT"/>
              </w:rPr>
              <w:t>Não</w:t>
            </w:r>
            <w:r w:rsidRPr="00072954">
              <w:rPr>
                <w:rFonts w:ascii="Times New Roman" w:eastAsia="Times New Roman" w:hAnsi="Times New Roman"/>
                <w:b w:val="0"/>
                <w:lang w:val="pt-PT"/>
              </w:rPr>
              <w:t xml:space="preserve"> use a caneta pré-cheia se a solução estiver turva ou tiver partículas</w:t>
            </w:r>
          </w:p>
          <w:p w14:paraId="2D91DBBE" w14:textId="77777777" w:rsidR="000E07B0" w:rsidRPr="00072954" w:rsidRDefault="00615769" w:rsidP="00CC2ACC">
            <w:pPr>
              <w:pStyle w:val="EMEAHeadingLeaflet"/>
              <w:keepNext/>
              <w:numPr>
                <w:ilvl w:val="0"/>
                <w:numId w:val="95"/>
              </w:numPr>
              <w:tabs>
                <w:tab w:val="clear" w:pos="562"/>
                <w:tab w:val="left" w:pos="757"/>
              </w:tabs>
              <w:spacing w:before="0" w:after="0"/>
              <w:ind w:left="757"/>
              <w:rPr>
                <w:rFonts w:ascii="Times New Roman" w:hAnsi="Times New Roman"/>
                <w:lang w:val="pt-PT"/>
              </w:rPr>
            </w:pPr>
            <w:r w:rsidRPr="00072954">
              <w:rPr>
                <w:rFonts w:ascii="Times New Roman" w:eastAsia="Times New Roman" w:hAnsi="Times New Roman"/>
                <w:lang w:val="pt-PT"/>
              </w:rPr>
              <w:t>Não</w:t>
            </w:r>
            <w:r w:rsidRPr="00072954">
              <w:rPr>
                <w:rFonts w:ascii="Times New Roman" w:eastAsia="Times New Roman" w:hAnsi="Times New Roman"/>
                <w:b w:val="0"/>
                <w:lang w:val="pt-PT"/>
              </w:rPr>
              <w:t xml:space="preserve"> use a caneta pré-cheia se </w:t>
            </w:r>
            <w:r w:rsidR="002E4828" w:rsidRPr="00072954">
              <w:rPr>
                <w:rFonts w:ascii="Times New Roman" w:hAnsi="Times New Roman"/>
                <w:b w:val="0"/>
                <w:lang w:val="pt-PT"/>
              </w:rPr>
              <w:t>tiver caído</w:t>
            </w:r>
            <w:r w:rsidR="002E4828" w:rsidRPr="00072954">
              <w:rPr>
                <w:rFonts w:ascii="Times New Roman" w:hAnsi="Times New Roman"/>
                <w:lang w:val="pt-PT"/>
              </w:rPr>
              <w:t xml:space="preserve"> </w:t>
            </w:r>
            <w:r w:rsidRPr="00072954">
              <w:rPr>
                <w:rFonts w:ascii="Times New Roman" w:eastAsia="Times New Roman" w:hAnsi="Times New Roman"/>
                <w:b w:val="0"/>
                <w:lang w:val="pt-PT"/>
              </w:rPr>
              <w:t>ou estiver danificada</w:t>
            </w:r>
          </w:p>
        </w:tc>
      </w:tr>
      <w:tr w:rsidR="00A7162A" w14:paraId="1ABCDC0B" w14:textId="77777777" w:rsidTr="00691603">
        <w:tc>
          <w:tcPr>
            <w:tcW w:w="3708" w:type="dxa"/>
            <w:tcBorders>
              <w:right w:val="nil"/>
            </w:tcBorders>
          </w:tcPr>
          <w:p w14:paraId="753D7C37" w14:textId="77777777" w:rsidR="000E07B0" w:rsidRPr="00072954" w:rsidRDefault="00615769" w:rsidP="00691603">
            <w:pPr>
              <w:keepNext/>
              <w:tabs>
                <w:tab w:val="left" w:pos="562"/>
              </w:tabs>
              <w:suppressAutoHyphens/>
              <w:rPr>
                <w:noProof/>
                <w:sz w:val="22"/>
                <w:szCs w:val="20"/>
              </w:rPr>
            </w:pPr>
            <w:r w:rsidRPr="00072954">
              <w:rPr>
                <w:b/>
                <w:noProof/>
                <w:sz w:val="22"/>
                <w:szCs w:val="20"/>
              </w:rPr>
              <w:t>PASSO 5</w:t>
            </w:r>
            <w:r w:rsidRPr="00072954">
              <w:rPr>
                <w:noProof/>
                <w:sz w:val="22"/>
                <w:szCs w:val="20"/>
              </w:rPr>
              <w:t xml:space="preserve"> </w:t>
            </w:r>
          </w:p>
          <w:p w14:paraId="52D33D4B" w14:textId="77777777" w:rsidR="000E07B0" w:rsidRPr="00072954" w:rsidRDefault="000E07B0" w:rsidP="00691603">
            <w:pPr>
              <w:keepNext/>
              <w:tabs>
                <w:tab w:val="left" w:pos="562"/>
              </w:tabs>
              <w:suppressAutoHyphens/>
              <w:rPr>
                <w:noProof/>
                <w:sz w:val="22"/>
                <w:szCs w:val="20"/>
              </w:rPr>
            </w:pPr>
          </w:p>
          <w:p w14:paraId="0CE35512" w14:textId="77777777" w:rsidR="000E07B0" w:rsidRPr="00072954" w:rsidRDefault="00615769" w:rsidP="00691603">
            <w:pPr>
              <w:keepNext/>
              <w:tabs>
                <w:tab w:val="left" w:pos="562"/>
              </w:tabs>
              <w:suppressAutoHyphens/>
              <w:spacing w:after="100" w:afterAutospacing="1"/>
              <w:rPr>
                <w:b/>
                <w:noProof/>
                <w:sz w:val="22"/>
                <w:szCs w:val="20"/>
              </w:rPr>
            </w:pPr>
            <w:r w:rsidRPr="00072954">
              <w:rPr>
                <w:noProof/>
                <w:sz w:val="22"/>
                <w:szCs w:val="20"/>
              </w:rPr>
              <w:t xml:space="preserve"> </w:t>
            </w:r>
            <w:r w:rsidRPr="00072954">
              <w:rPr>
                <w:b/>
                <w:noProof/>
                <w:sz w:val="22"/>
                <w:szCs w:val="20"/>
              </w:rPr>
              <w:t>Tampa 1</w:t>
            </w:r>
          </w:p>
          <w:p w14:paraId="08433975" w14:textId="77777777" w:rsidR="000E07B0" w:rsidRPr="00072954" w:rsidRDefault="00615769" w:rsidP="00691603">
            <w:pPr>
              <w:keepNext/>
              <w:tabs>
                <w:tab w:val="left" w:pos="562"/>
              </w:tabs>
              <w:suppressAutoHyphens/>
              <w:rPr>
                <w:noProof/>
                <w:sz w:val="22"/>
                <w:szCs w:val="20"/>
              </w:rPr>
            </w:pPr>
            <w:r w:rsidRPr="00072954">
              <w:rPr>
                <w:noProof/>
                <w:sz w:val="22"/>
                <w:szCs w:val="20"/>
                <w:lang w:val="en-GB" w:eastAsia="en-GB"/>
              </w:rPr>
              <w:drawing>
                <wp:inline distT="0" distB="0" distL="0" distR="0" wp14:anchorId="6E0CE631" wp14:editId="7FE7DCDC">
                  <wp:extent cx="2027555" cy="1838960"/>
                  <wp:effectExtent l="0" t="0" r="0" b="8890"/>
                  <wp:docPr id="99" name="Picture 99" descr="EU_IFU_STEP5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56" descr="EU_IFU_STEP5_grey"/>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2027555" cy="1838960"/>
                          </a:xfrm>
                          <a:prstGeom prst="rect">
                            <a:avLst/>
                          </a:prstGeom>
                          <a:noFill/>
                          <a:ln>
                            <a:noFill/>
                          </a:ln>
                        </pic:spPr>
                      </pic:pic>
                    </a:graphicData>
                  </a:graphic>
                </wp:inline>
              </w:drawing>
            </w:r>
          </w:p>
          <w:p w14:paraId="15FFED89" w14:textId="77777777" w:rsidR="000E07B0" w:rsidRPr="00072954" w:rsidRDefault="00615769" w:rsidP="00691603">
            <w:pPr>
              <w:keepNext/>
              <w:tabs>
                <w:tab w:val="left" w:pos="562"/>
              </w:tabs>
              <w:suppressAutoHyphens/>
              <w:rPr>
                <w:b/>
                <w:sz w:val="22"/>
                <w:szCs w:val="20"/>
              </w:rPr>
            </w:pPr>
            <w:r w:rsidRPr="00072954">
              <w:rPr>
                <w:b/>
                <w:noProof/>
                <w:sz w:val="22"/>
                <w:szCs w:val="20"/>
              </w:rPr>
              <w:t xml:space="preserve">                                            Tampa 2</w:t>
            </w:r>
          </w:p>
        </w:tc>
        <w:tc>
          <w:tcPr>
            <w:tcW w:w="5579" w:type="dxa"/>
            <w:tcBorders>
              <w:left w:val="nil"/>
            </w:tcBorders>
          </w:tcPr>
          <w:p w14:paraId="164864CF" w14:textId="77777777" w:rsidR="000E07B0" w:rsidRPr="00072954" w:rsidRDefault="000E07B0" w:rsidP="00691603">
            <w:pPr>
              <w:keepNext/>
              <w:tabs>
                <w:tab w:val="left" w:pos="562"/>
              </w:tabs>
              <w:suppressAutoHyphens/>
              <w:rPr>
                <w:sz w:val="22"/>
                <w:szCs w:val="20"/>
              </w:rPr>
            </w:pPr>
          </w:p>
          <w:p w14:paraId="725009FA" w14:textId="77777777" w:rsidR="000E07B0" w:rsidRPr="00072954" w:rsidRDefault="00615769" w:rsidP="00691603">
            <w:pPr>
              <w:keepNext/>
              <w:tabs>
                <w:tab w:val="left" w:pos="562"/>
              </w:tabs>
              <w:suppressAutoHyphens/>
              <w:rPr>
                <w:sz w:val="22"/>
                <w:szCs w:val="20"/>
              </w:rPr>
            </w:pPr>
            <w:r w:rsidRPr="00072954">
              <w:rPr>
                <w:sz w:val="22"/>
                <w:szCs w:val="20"/>
              </w:rPr>
              <w:t xml:space="preserve">Retire a tampa cinzenta na vertical. Deite fora a tampa. </w:t>
            </w:r>
            <w:r w:rsidRPr="00072954">
              <w:rPr>
                <w:b/>
                <w:sz w:val="22"/>
                <w:szCs w:val="20"/>
              </w:rPr>
              <w:t>Não volte</w:t>
            </w:r>
            <w:r w:rsidRPr="00072954">
              <w:rPr>
                <w:sz w:val="22"/>
                <w:szCs w:val="20"/>
              </w:rPr>
              <w:t xml:space="preserve"> a colocar a tampa.</w:t>
            </w:r>
          </w:p>
          <w:p w14:paraId="039B9F2E" w14:textId="77777777" w:rsidR="000E07B0" w:rsidRPr="00072954" w:rsidRDefault="000E07B0" w:rsidP="00691603">
            <w:pPr>
              <w:keepNext/>
              <w:tabs>
                <w:tab w:val="left" w:pos="562"/>
              </w:tabs>
              <w:suppressAutoHyphens/>
              <w:rPr>
                <w:sz w:val="22"/>
                <w:szCs w:val="20"/>
              </w:rPr>
            </w:pPr>
          </w:p>
          <w:p w14:paraId="043655CC" w14:textId="77777777" w:rsidR="000E07B0" w:rsidRPr="00072954" w:rsidRDefault="00615769" w:rsidP="00CC2ACC">
            <w:pPr>
              <w:pStyle w:val="EMEAHeadingLeaflet"/>
              <w:keepNext/>
              <w:numPr>
                <w:ilvl w:val="0"/>
                <w:numId w:val="95"/>
              </w:numPr>
              <w:tabs>
                <w:tab w:val="clear" w:pos="562"/>
                <w:tab w:val="left" w:pos="757"/>
              </w:tabs>
              <w:spacing w:before="0" w:after="0"/>
              <w:ind w:left="757"/>
              <w:rPr>
                <w:rFonts w:ascii="Times New Roman" w:eastAsia="Times New Roman" w:hAnsi="Times New Roman"/>
                <w:b w:val="0"/>
                <w:lang w:val="pt-PT"/>
              </w:rPr>
            </w:pPr>
            <w:r w:rsidRPr="00072954">
              <w:rPr>
                <w:rFonts w:ascii="Times New Roman" w:eastAsia="Times New Roman" w:hAnsi="Times New Roman"/>
                <w:b w:val="0"/>
                <w:lang w:val="pt-PT"/>
              </w:rPr>
              <w:t>Verifique se a pequena proteção preta da agulha foi removida com a tampa da seringa</w:t>
            </w:r>
          </w:p>
          <w:p w14:paraId="33861B6C" w14:textId="77777777" w:rsidR="000E07B0" w:rsidRPr="00072954" w:rsidRDefault="00615769" w:rsidP="00CC2ACC">
            <w:pPr>
              <w:pStyle w:val="EMEAHeadingLeaflet"/>
              <w:keepNext/>
              <w:numPr>
                <w:ilvl w:val="0"/>
                <w:numId w:val="95"/>
              </w:numPr>
              <w:tabs>
                <w:tab w:val="clear" w:pos="562"/>
                <w:tab w:val="left" w:pos="757"/>
              </w:tabs>
              <w:spacing w:before="0" w:after="0"/>
              <w:ind w:left="757"/>
              <w:rPr>
                <w:rFonts w:ascii="Times New Roman" w:eastAsia="Times New Roman" w:hAnsi="Times New Roman"/>
                <w:b w:val="0"/>
                <w:lang w:val="pt-PT"/>
              </w:rPr>
            </w:pPr>
            <w:r w:rsidRPr="00072954">
              <w:rPr>
                <w:rFonts w:ascii="Times New Roman" w:eastAsia="Times New Roman" w:hAnsi="Times New Roman"/>
                <w:b w:val="0"/>
                <w:lang w:val="pt-PT"/>
              </w:rPr>
              <w:t>É normal observar-se algumas gotas de solução na agulha</w:t>
            </w:r>
          </w:p>
          <w:p w14:paraId="3AD6CD6F" w14:textId="77777777" w:rsidR="000E07B0" w:rsidRPr="00072954" w:rsidRDefault="000E07B0" w:rsidP="00691603">
            <w:pPr>
              <w:keepNext/>
              <w:tabs>
                <w:tab w:val="left" w:pos="562"/>
              </w:tabs>
              <w:suppressAutoHyphens/>
              <w:rPr>
                <w:sz w:val="22"/>
                <w:szCs w:val="20"/>
              </w:rPr>
            </w:pPr>
          </w:p>
          <w:p w14:paraId="5D93F4F0" w14:textId="77777777" w:rsidR="000E07B0" w:rsidRPr="00072954" w:rsidRDefault="00615769" w:rsidP="00691603">
            <w:pPr>
              <w:keepNext/>
              <w:tabs>
                <w:tab w:val="left" w:pos="562"/>
              </w:tabs>
              <w:suppressAutoHyphens/>
              <w:rPr>
                <w:sz w:val="22"/>
                <w:szCs w:val="20"/>
              </w:rPr>
            </w:pPr>
            <w:r w:rsidRPr="00072954">
              <w:rPr>
                <w:sz w:val="22"/>
                <w:szCs w:val="20"/>
              </w:rPr>
              <w:t xml:space="preserve">Retire a tampa de cor roxa na vertical. Deite fora a tampa. </w:t>
            </w:r>
            <w:r w:rsidRPr="00072954">
              <w:rPr>
                <w:b/>
                <w:sz w:val="22"/>
                <w:szCs w:val="20"/>
              </w:rPr>
              <w:t>Não volte</w:t>
            </w:r>
            <w:r w:rsidRPr="00072954">
              <w:rPr>
                <w:sz w:val="22"/>
                <w:szCs w:val="20"/>
              </w:rPr>
              <w:t xml:space="preserve"> a colocar a tampa.</w:t>
            </w:r>
          </w:p>
          <w:p w14:paraId="10287E52" w14:textId="77777777" w:rsidR="000E07B0" w:rsidRPr="00072954" w:rsidRDefault="000E07B0" w:rsidP="00691603">
            <w:pPr>
              <w:keepNext/>
              <w:tabs>
                <w:tab w:val="left" w:pos="562"/>
              </w:tabs>
              <w:suppressAutoHyphens/>
              <w:rPr>
                <w:sz w:val="22"/>
                <w:szCs w:val="20"/>
              </w:rPr>
            </w:pPr>
          </w:p>
          <w:p w14:paraId="7C82CF2D" w14:textId="77777777" w:rsidR="000E07B0" w:rsidRPr="00072954" w:rsidRDefault="00615769" w:rsidP="00691603">
            <w:pPr>
              <w:keepNext/>
              <w:tabs>
                <w:tab w:val="left" w:pos="562"/>
              </w:tabs>
              <w:suppressAutoHyphens/>
              <w:rPr>
                <w:sz w:val="22"/>
                <w:szCs w:val="20"/>
              </w:rPr>
            </w:pPr>
            <w:r w:rsidRPr="00072954">
              <w:rPr>
                <w:sz w:val="22"/>
                <w:szCs w:val="20"/>
              </w:rPr>
              <w:t>A caneta pré-cheia está agora pronta a usar.</w:t>
            </w:r>
          </w:p>
          <w:p w14:paraId="4152E4D0" w14:textId="77777777" w:rsidR="000E07B0" w:rsidRPr="00072954" w:rsidRDefault="000E07B0" w:rsidP="00691603">
            <w:pPr>
              <w:keepNext/>
              <w:tabs>
                <w:tab w:val="left" w:pos="562"/>
              </w:tabs>
              <w:suppressAutoHyphens/>
              <w:rPr>
                <w:sz w:val="22"/>
                <w:szCs w:val="20"/>
              </w:rPr>
            </w:pPr>
          </w:p>
          <w:p w14:paraId="2420D5F5" w14:textId="77777777" w:rsidR="000E07B0" w:rsidRPr="00072954" w:rsidRDefault="00615769" w:rsidP="00691603">
            <w:pPr>
              <w:keepNext/>
              <w:tabs>
                <w:tab w:val="left" w:pos="562"/>
              </w:tabs>
              <w:suppressAutoHyphens/>
              <w:rPr>
                <w:sz w:val="22"/>
                <w:szCs w:val="20"/>
              </w:rPr>
            </w:pPr>
            <w:r w:rsidRPr="00072954">
              <w:rPr>
                <w:sz w:val="22"/>
                <w:szCs w:val="20"/>
              </w:rPr>
              <w:t>Rode a caneta pré-cheia até que a seta branca fique posicionada no local de injeção.</w:t>
            </w:r>
          </w:p>
        </w:tc>
      </w:tr>
      <w:tr w:rsidR="00A7162A" w14:paraId="2F29B11E" w14:textId="77777777" w:rsidTr="003570FF">
        <w:trPr>
          <w:trHeight w:val="3847"/>
        </w:trPr>
        <w:tc>
          <w:tcPr>
            <w:tcW w:w="3708" w:type="dxa"/>
            <w:tcBorders>
              <w:right w:val="nil"/>
            </w:tcBorders>
          </w:tcPr>
          <w:p w14:paraId="5A5242C6" w14:textId="77777777" w:rsidR="000E07B0" w:rsidRPr="00072954" w:rsidRDefault="00615769" w:rsidP="00691603">
            <w:pPr>
              <w:keepNext/>
              <w:tabs>
                <w:tab w:val="left" w:pos="562"/>
              </w:tabs>
              <w:suppressAutoHyphens/>
              <w:rPr>
                <w:b/>
                <w:noProof/>
                <w:sz w:val="22"/>
                <w:szCs w:val="20"/>
              </w:rPr>
            </w:pPr>
            <w:r w:rsidRPr="00072954">
              <w:rPr>
                <w:b/>
                <w:noProof/>
                <w:sz w:val="22"/>
                <w:szCs w:val="20"/>
              </w:rPr>
              <w:t>PASSO 6</w:t>
            </w:r>
          </w:p>
          <w:p w14:paraId="20D88949" w14:textId="77777777" w:rsidR="000E07B0" w:rsidRPr="00072954" w:rsidRDefault="00615769" w:rsidP="00691603">
            <w:pPr>
              <w:keepNext/>
              <w:tabs>
                <w:tab w:val="left" w:pos="562"/>
              </w:tabs>
              <w:suppressAutoHyphens/>
              <w:rPr>
                <w:sz w:val="22"/>
                <w:szCs w:val="20"/>
              </w:rPr>
            </w:pPr>
            <w:r w:rsidRPr="00072954">
              <w:rPr>
                <w:noProof/>
                <w:sz w:val="22"/>
                <w:szCs w:val="20"/>
                <w:lang w:val="en-GB" w:eastAsia="en-GB"/>
              </w:rPr>
              <w:drawing>
                <wp:inline distT="0" distB="0" distL="0" distR="0" wp14:anchorId="7D10D5E2" wp14:editId="09EA49F3">
                  <wp:extent cx="2256155" cy="2146935"/>
                  <wp:effectExtent l="0" t="0" r="0" b="5715"/>
                  <wp:docPr id="100" name="Picture 100" descr="STEP6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57" descr="STEP6_grey"/>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2256155" cy="2146935"/>
                          </a:xfrm>
                          <a:prstGeom prst="rect">
                            <a:avLst/>
                          </a:prstGeom>
                          <a:noFill/>
                          <a:ln>
                            <a:noFill/>
                          </a:ln>
                        </pic:spPr>
                      </pic:pic>
                    </a:graphicData>
                  </a:graphic>
                </wp:inline>
              </w:drawing>
            </w:r>
          </w:p>
        </w:tc>
        <w:tc>
          <w:tcPr>
            <w:tcW w:w="5579" w:type="dxa"/>
            <w:tcBorders>
              <w:left w:val="nil"/>
            </w:tcBorders>
          </w:tcPr>
          <w:p w14:paraId="2E1789D1" w14:textId="77777777" w:rsidR="000E07B0" w:rsidRPr="00072954" w:rsidRDefault="000E07B0" w:rsidP="00691603">
            <w:pPr>
              <w:keepNext/>
              <w:tabs>
                <w:tab w:val="left" w:pos="562"/>
              </w:tabs>
              <w:suppressAutoHyphens/>
              <w:rPr>
                <w:sz w:val="22"/>
                <w:szCs w:val="20"/>
              </w:rPr>
            </w:pPr>
          </w:p>
          <w:p w14:paraId="580ED7AA" w14:textId="77777777" w:rsidR="000E07B0" w:rsidRPr="00072954" w:rsidRDefault="00615769" w:rsidP="00691603">
            <w:pPr>
              <w:keepNext/>
              <w:tabs>
                <w:tab w:val="left" w:pos="562"/>
              </w:tabs>
              <w:suppressAutoHyphens/>
              <w:rPr>
                <w:sz w:val="22"/>
                <w:szCs w:val="20"/>
              </w:rPr>
            </w:pPr>
            <w:r w:rsidRPr="00072954">
              <w:rPr>
                <w:sz w:val="22"/>
                <w:szCs w:val="20"/>
              </w:rPr>
              <w:t>Agarre uma prega cutânea bastante elevada no local da injeção, apertando-a firmemente</w:t>
            </w:r>
            <w:r w:rsidR="00C76EED">
              <w:rPr>
                <w:sz w:val="22"/>
                <w:szCs w:val="20"/>
              </w:rPr>
              <w:t xml:space="preserve"> </w:t>
            </w:r>
            <w:r w:rsidR="00C76EED" w:rsidRPr="00C76EED">
              <w:rPr>
                <w:sz w:val="22"/>
                <w:szCs w:val="20"/>
              </w:rPr>
              <w:t>até que a injeção esteja concluída</w:t>
            </w:r>
            <w:r w:rsidRPr="00072954">
              <w:rPr>
                <w:sz w:val="22"/>
                <w:szCs w:val="20"/>
              </w:rPr>
              <w:t>.</w:t>
            </w:r>
          </w:p>
          <w:p w14:paraId="4C746C33" w14:textId="77777777" w:rsidR="000E07B0" w:rsidRPr="00072954" w:rsidRDefault="000E07B0" w:rsidP="00691603">
            <w:pPr>
              <w:keepNext/>
              <w:tabs>
                <w:tab w:val="left" w:pos="562"/>
              </w:tabs>
              <w:suppressAutoHyphens/>
              <w:rPr>
                <w:sz w:val="22"/>
                <w:szCs w:val="20"/>
              </w:rPr>
            </w:pPr>
          </w:p>
          <w:p w14:paraId="2967B965" w14:textId="77777777" w:rsidR="000E07B0" w:rsidRPr="00072954" w:rsidRDefault="00615769" w:rsidP="00691603">
            <w:pPr>
              <w:keepNext/>
              <w:tabs>
                <w:tab w:val="left" w:pos="562"/>
              </w:tabs>
              <w:suppressAutoHyphens/>
              <w:rPr>
                <w:sz w:val="22"/>
                <w:szCs w:val="20"/>
              </w:rPr>
            </w:pPr>
            <w:r w:rsidRPr="00072954">
              <w:rPr>
                <w:sz w:val="22"/>
                <w:szCs w:val="20"/>
              </w:rPr>
              <w:t>Aponte a seta branca para o local da injeção (coxa ou barriga).</w:t>
            </w:r>
          </w:p>
          <w:p w14:paraId="0B401B81" w14:textId="77777777" w:rsidR="000E07B0" w:rsidRPr="00072954" w:rsidRDefault="000E07B0" w:rsidP="00691603">
            <w:pPr>
              <w:keepNext/>
              <w:tabs>
                <w:tab w:val="left" w:pos="562"/>
              </w:tabs>
              <w:suppressAutoHyphens/>
              <w:rPr>
                <w:sz w:val="22"/>
                <w:szCs w:val="20"/>
              </w:rPr>
            </w:pPr>
          </w:p>
          <w:p w14:paraId="356BE61A" w14:textId="77777777" w:rsidR="000E07B0" w:rsidRPr="00072954" w:rsidRDefault="00615769" w:rsidP="00691603">
            <w:pPr>
              <w:keepNext/>
              <w:tabs>
                <w:tab w:val="left" w:pos="562"/>
              </w:tabs>
              <w:suppressAutoHyphens/>
              <w:rPr>
                <w:sz w:val="22"/>
                <w:szCs w:val="20"/>
              </w:rPr>
            </w:pPr>
            <w:r w:rsidRPr="00072954">
              <w:rPr>
                <w:sz w:val="22"/>
                <w:szCs w:val="20"/>
              </w:rPr>
              <w:t xml:space="preserve">Coloque a extremidade branca da proteção da agulha num ângulo reto </w:t>
            </w:r>
            <w:r w:rsidRPr="00072954">
              <w:rPr>
                <w:b/>
                <w:sz w:val="22"/>
                <w:szCs w:val="20"/>
              </w:rPr>
              <w:t>(90˚)</w:t>
            </w:r>
            <w:r w:rsidRPr="00072954">
              <w:rPr>
                <w:sz w:val="22"/>
                <w:szCs w:val="20"/>
              </w:rPr>
              <w:t xml:space="preserve"> junto ao local da injeção.</w:t>
            </w:r>
          </w:p>
          <w:p w14:paraId="07673CCE" w14:textId="77777777" w:rsidR="000E07B0" w:rsidRPr="00072954" w:rsidRDefault="000E07B0" w:rsidP="00691603">
            <w:pPr>
              <w:keepNext/>
              <w:tabs>
                <w:tab w:val="left" w:pos="562"/>
              </w:tabs>
              <w:suppressAutoHyphens/>
              <w:rPr>
                <w:sz w:val="22"/>
                <w:szCs w:val="20"/>
              </w:rPr>
            </w:pPr>
          </w:p>
          <w:p w14:paraId="1E9457A5" w14:textId="77777777" w:rsidR="000E07B0" w:rsidRDefault="00615769" w:rsidP="00691603">
            <w:pPr>
              <w:keepNext/>
              <w:tabs>
                <w:tab w:val="left" w:pos="562"/>
              </w:tabs>
              <w:suppressAutoHyphens/>
              <w:rPr>
                <w:sz w:val="22"/>
                <w:szCs w:val="20"/>
              </w:rPr>
            </w:pPr>
            <w:r w:rsidRPr="00072954">
              <w:rPr>
                <w:sz w:val="22"/>
                <w:szCs w:val="20"/>
              </w:rPr>
              <w:t>Segure a caneta pré-cheia de modo a que possa ver a janela.</w:t>
            </w:r>
          </w:p>
          <w:p w14:paraId="3BF3203F" w14:textId="77777777" w:rsidR="00C76EED" w:rsidRDefault="00C76EED" w:rsidP="00691603">
            <w:pPr>
              <w:keepNext/>
              <w:tabs>
                <w:tab w:val="left" w:pos="562"/>
              </w:tabs>
              <w:suppressAutoHyphens/>
              <w:rPr>
                <w:sz w:val="22"/>
                <w:szCs w:val="20"/>
              </w:rPr>
            </w:pPr>
          </w:p>
          <w:p w14:paraId="7928D96A" w14:textId="77777777" w:rsidR="00C76EED" w:rsidRPr="00072954" w:rsidRDefault="00615769" w:rsidP="00691603">
            <w:pPr>
              <w:keepNext/>
              <w:tabs>
                <w:tab w:val="left" w:pos="562"/>
              </w:tabs>
              <w:suppressAutoHyphens/>
              <w:rPr>
                <w:sz w:val="22"/>
                <w:szCs w:val="20"/>
              </w:rPr>
            </w:pPr>
            <w:r w:rsidRPr="00085F35">
              <w:rPr>
                <w:b/>
                <w:bCs/>
                <w:sz w:val="22"/>
                <w:szCs w:val="20"/>
              </w:rPr>
              <w:t>Não</w:t>
            </w:r>
            <w:r w:rsidRPr="00085F35">
              <w:rPr>
                <w:sz w:val="22"/>
                <w:szCs w:val="20"/>
              </w:rPr>
              <w:t xml:space="preserve"> pr</w:t>
            </w:r>
            <w:r w:rsidR="003570FF">
              <w:rPr>
                <w:sz w:val="22"/>
                <w:szCs w:val="20"/>
              </w:rPr>
              <w:t>ession</w:t>
            </w:r>
            <w:r w:rsidR="009420F1">
              <w:rPr>
                <w:sz w:val="22"/>
                <w:szCs w:val="20"/>
              </w:rPr>
              <w:t>e</w:t>
            </w:r>
            <w:r w:rsidRPr="00085F35">
              <w:rPr>
                <w:sz w:val="22"/>
                <w:szCs w:val="20"/>
              </w:rPr>
              <w:t xml:space="preserve"> o botão ativador roxo até estar pronto para iniciar a injeção.</w:t>
            </w:r>
          </w:p>
        </w:tc>
      </w:tr>
      <w:tr w:rsidR="00A7162A" w14:paraId="66376693" w14:textId="77777777" w:rsidTr="00691603">
        <w:tc>
          <w:tcPr>
            <w:tcW w:w="3708" w:type="dxa"/>
            <w:tcBorders>
              <w:right w:val="nil"/>
            </w:tcBorders>
          </w:tcPr>
          <w:p w14:paraId="6D7C9E3E" w14:textId="77777777" w:rsidR="000E07B0" w:rsidRPr="00072954" w:rsidRDefault="00615769" w:rsidP="00691603">
            <w:pPr>
              <w:tabs>
                <w:tab w:val="left" w:pos="562"/>
              </w:tabs>
              <w:suppressAutoHyphens/>
              <w:jc w:val="both"/>
              <w:rPr>
                <w:b/>
                <w:noProof/>
                <w:sz w:val="22"/>
                <w:szCs w:val="20"/>
              </w:rPr>
            </w:pPr>
            <w:r w:rsidRPr="00072954">
              <w:rPr>
                <w:b/>
                <w:noProof/>
                <w:sz w:val="22"/>
                <w:szCs w:val="20"/>
              </w:rPr>
              <w:t>PASSO 7</w:t>
            </w:r>
          </w:p>
          <w:p w14:paraId="60CFA243" w14:textId="77777777" w:rsidR="000E07B0" w:rsidRPr="00072954" w:rsidRDefault="000E07B0" w:rsidP="00691603">
            <w:pPr>
              <w:tabs>
                <w:tab w:val="left" w:pos="562"/>
              </w:tabs>
              <w:suppressAutoHyphens/>
              <w:jc w:val="both"/>
              <w:rPr>
                <w:b/>
                <w:noProof/>
                <w:sz w:val="22"/>
                <w:szCs w:val="20"/>
              </w:rPr>
            </w:pPr>
          </w:p>
          <w:p w14:paraId="1890DA5B" w14:textId="77777777" w:rsidR="000E07B0" w:rsidRPr="00072954" w:rsidRDefault="00615769" w:rsidP="00691603">
            <w:pPr>
              <w:tabs>
                <w:tab w:val="left" w:pos="562"/>
              </w:tabs>
              <w:suppressAutoHyphens/>
              <w:rPr>
                <w:b/>
                <w:noProof/>
                <w:sz w:val="22"/>
                <w:szCs w:val="20"/>
              </w:rPr>
            </w:pPr>
            <w:r w:rsidRPr="00072954">
              <w:rPr>
                <w:b/>
                <w:noProof/>
                <w:sz w:val="22"/>
                <w:szCs w:val="20"/>
              </w:rPr>
              <w:t xml:space="preserve">                             1</w:t>
            </w:r>
            <w:r w:rsidR="00CE278A" w:rsidRPr="00072954">
              <w:rPr>
                <w:b/>
                <w:noProof/>
                <w:sz w:val="22"/>
                <w:szCs w:val="20"/>
              </w:rPr>
              <w:t>5</w:t>
            </w:r>
            <w:r w:rsidRPr="00072954">
              <w:rPr>
                <w:b/>
                <w:noProof/>
                <w:sz w:val="22"/>
                <w:szCs w:val="20"/>
              </w:rPr>
              <w:t xml:space="preserve"> Segundos                             </w:t>
            </w:r>
          </w:p>
          <w:p w14:paraId="08158BC3" w14:textId="77777777" w:rsidR="000E07B0" w:rsidRPr="00072954" w:rsidRDefault="00615769" w:rsidP="00691603">
            <w:pPr>
              <w:tabs>
                <w:tab w:val="left" w:pos="562"/>
              </w:tabs>
              <w:suppressAutoHyphens/>
              <w:rPr>
                <w:noProof/>
                <w:sz w:val="22"/>
                <w:szCs w:val="20"/>
              </w:rPr>
            </w:pPr>
            <w:r w:rsidRPr="00072954">
              <w:rPr>
                <w:noProof/>
                <w:sz w:val="22"/>
                <w:szCs w:val="20"/>
                <w:lang w:val="en-GB" w:eastAsia="en-GB"/>
              </w:rPr>
              <w:drawing>
                <wp:inline distT="0" distB="0" distL="0" distR="0" wp14:anchorId="7C2392B7" wp14:editId="7BC07375">
                  <wp:extent cx="2228850" cy="2780665"/>
                  <wp:effectExtent l="0" t="0" r="0" b="63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3"/>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bwMode="auto">
                          <a:xfrm>
                            <a:off x="0" y="0"/>
                            <a:ext cx="2228850" cy="2780665"/>
                          </a:xfrm>
                          <a:prstGeom prst="rect">
                            <a:avLst/>
                          </a:prstGeom>
                          <a:noFill/>
                        </pic:spPr>
                      </pic:pic>
                    </a:graphicData>
                  </a:graphic>
                </wp:inline>
              </w:drawing>
            </w:r>
          </w:p>
        </w:tc>
        <w:tc>
          <w:tcPr>
            <w:tcW w:w="5579" w:type="dxa"/>
            <w:tcBorders>
              <w:left w:val="nil"/>
            </w:tcBorders>
          </w:tcPr>
          <w:p w14:paraId="3D9F5BE1" w14:textId="77777777" w:rsidR="000E07B0" w:rsidRPr="00072954" w:rsidRDefault="000E07B0" w:rsidP="00691603">
            <w:pPr>
              <w:keepNext/>
              <w:tabs>
                <w:tab w:val="left" w:pos="562"/>
              </w:tabs>
              <w:suppressAutoHyphens/>
              <w:rPr>
                <w:b/>
                <w:sz w:val="22"/>
                <w:szCs w:val="20"/>
              </w:rPr>
            </w:pPr>
          </w:p>
          <w:p w14:paraId="2594AEBE" w14:textId="77777777" w:rsidR="000E07B0" w:rsidRPr="003570FF" w:rsidRDefault="00615769" w:rsidP="00691603">
            <w:pPr>
              <w:keepNext/>
              <w:tabs>
                <w:tab w:val="left" w:pos="562"/>
              </w:tabs>
              <w:suppressAutoHyphens/>
              <w:rPr>
                <w:b/>
                <w:sz w:val="22"/>
                <w:szCs w:val="20"/>
              </w:rPr>
            </w:pPr>
            <w:r>
              <w:rPr>
                <w:b/>
                <w:sz w:val="22"/>
                <w:szCs w:val="20"/>
              </w:rPr>
              <w:t>Pressione</w:t>
            </w:r>
            <w:r w:rsidR="009C6722">
              <w:rPr>
                <w:b/>
                <w:sz w:val="22"/>
                <w:szCs w:val="20"/>
              </w:rPr>
              <w:t xml:space="preserve"> </w:t>
            </w:r>
            <w:r w:rsidR="00C76EED">
              <w:rPr>
                <w:b/>
                <w:sz w:val="22"/>
                <w:szCs w:val="20"/>
              </w:rPr>
              <w:t>firmemente</w:t>
            </w:r>
            <w:r w:rsidRPr="00072954">
              <w:rPr>
                <w:b/>
                <w:sz w:val="22"/>
                <w:szCs w:val="20"/>
              </w:rPr>
              <w:t xml:space="preserve"> </w:t>
            </w:r>
            <w:r w:rsidRPr="00072954">
              <w:rPr>
                <w:sz w:val="22"/>
                <w:szCs w:val="20"/>
              </w:rPr>
              <w:t>a caneta pré-cheia contra o local de injeção</w:t>
            </w:r>
            <w:r w:rsidR="00C76EED">
              <w:rPr>
                <w:sz w:val="22"/>
                <w:szCs w:val="20"/>
              </w:rPr>
              <w:t xml:space="preserve"> </w:t>
            </w:r>
            <w:r w:rsidR="00C76EED" w:rsidRPr="00C76EED">
              <w:rPr>
                <w:sz w:val="22"/>
                <w:szCs w:val="20"/>
              </w:rPr>
              <w:t>antes de iniciar a injeção</w:t>
            </w:r>
            <w:r w:rsidRPr="00072954">
              <w:rPr>
                <w:sz w:val="22"/>
                <w:szCs w:val="20"/>
              </w:rPr>
              <w:t>.</w:t>
            </w:r>
          </w:p>
          <w:p w14:paraId="540066FE" w14:textId="77777777" w:rsidR="00C76EED" w:rsidRPr="00072954" w:rsidRDefault="00615769" w:rsidP="00691603">
            <w:pPr>
              <w:keepNext/>
              <w:tabs>
                <w:tab w:val="left" w:pos="562"/>
              </w:tabs>
              <w:suppressAutoHyphens/>
              <w:rPr>
                <w:sz w:val="22"/>
                <w:szCs w:val="20"/>
              </w:rPr>
            </w:pPr>
            <w:r w:rsidRPr="00085F35">
              <w:rPr>
                <w:b/>
                <w:sz w:val="22"/>
                <w:szCs w:val="20"/>
              </w:rPr>
              <w:t>Continue a pressionar</w:t>
            </w:r>
            <w:r w:rsidRPr="00C76EED">
              <w:rPr>
                <w:sz w:val="22"/>
                <w:szCs w:val="20"/>
              </w:rPr>
              <w:t xml:space="preserve"> de modo a evitar que a caneta pré-cheia se afaste da pele durante a injeção.</w:t>
            </w:r>
          </w:p>
          <w:p w14:paraId="2E7C126A" w14:textId="77777777" w:rsidR="000E07B0" w:rsidRPr="00072954" w:rsidRDefault="000E07B0" w:rsidP="00691603">
            <w:pPr>
              <w:tabs>
                <w:tab w:val="left" w:pos="562"/>
              </w:tabs>
              <w:suppressAutoHyphens/>
              <w:rPr>
                <w:sz w:val="22"/>
                <w:szCs w:val="20"/>
              </w:rPr>
            </w:pPr>
          </w:p>
          <w:p w14:paraId="68DB34D0" w14:textId="77777777" w:rsidR="000E07B0" w:rsidRPr="00072954" w:rsidRDefault="00615769" w:rsidP="00691603">
            <w:pPr>
              <w:keepNext/>
              <w:tabs>
                <w:tab w:val="left" w:pos="562"/>
              </w:tabs>
              <w:suppressAutoHyphens/>
              <w:rPr>
                <w:sz w:val="22"/>
                <w:szCs w:val="20"/>
              </w:rPr>
            </w:pPr>
            <w:r w:rsidRPr="00072954">
              <w:rPr>
                <w:b/>
                <w:sz w:val="22"/>
                <w:szCs w:val="20"/>
              </w:rPr>
              <w:t xml:space="preserve">Pressione </w:t>
            </w:r>
            <w:r w:rsidRPr="00072954">
              <w:rPr>
                <w:sz w:val="22"/>
                <w:szCs w:val="20"/>
              </w:rPr>
              <w:t xml:space="preserve">o botão ativador roxo e conte lentamente durante </w:t>
            </w:r>
            <w:r w:rsidRPr="00072954">
              <w:rPr>
                <w:b/>
                <w:sz w:val="22"/>
                <w:szCs w:val="20"/>
              </w:rPr>
              <w:t>1</w:t>
            </w:r>
            <w:r w:rsidR="00CE278A" w:rsidRPr="00072954">
              <w:rPr>
                <w:b/>
                <w:sz w:val="22"/>
                <w:szCs w:val="20"/>
              </w:rPr>
              <w:t>5</w:t>
            </w:r>
            <w:r w:rsidRPr="00072954">
              <w:rPr>
                <w:b/>
                <w:sz w:val="22"/>
                <w:szCs w:val="20"/>
              </w:rPr>
              <w:t xml:space="preserve"> </w:t>
            </w:r>
            <w:r w:rsidRPr="00072954">
              <w:rPr>
                <w:sz w:val="22"/>
                <w:szCs w:val="20"/>
              </w:rPr>
              <w:t>segundos.</w:t>
            </w:r>
          </w:p>
          <w:p w14:paraId="3C85F444" w14:textId="77777777" w:rsidR="000E07B0" w:rsidRPr="00072954" w:rsidRDefault="000E07B0" w:rsidP="00691603">
            <w:pPr>
              <w:tabs>
                <w:tab w:val="left" w:pos="562"/>
              </w:tabs>
              <w:suppressAutoHyphens/>
              <w:rPr>
                <w:sz w:val="22"/>
                <w:szCs w:val="20"/>
              </w:rPr>
            </w:pPr>
          </w:p>
          <w:p w14:paraId="79F8B356" w14:textId="77777777" w:rsidR="000E07B0" w:rsidRPr="00072954" w:rsidRDefault="00615769" w:rsidP="00CC2ACC">
            <w:pPr>
              <w:pStyle w:val="EMEAHeadingLeaflet"/>
              <w:keepNext/>
              <w:numPr>
                <w:ilvl w:val="0"/>
                <w:numId w:val="95"/>
              </w:numPr>
              <w:tabs>
                <w:tab w:val="clear" w:pos="562"/>
                <w:tab w:val="left" w:pos="757"/>
              </w:tabs>
              <w:spacing w:before="0" w:after="0"/>
              <w:ind w:left="757"/>
              <w:rPr>
                <w:rFonts w:ascii="Times New Roman" w:eastAsia="Times New Roman" w:hAnsi="Times New Roman"/>
                <w:b w:val="0"/>
                <w:lang w:val="pt-PT"/>
              </w:rPr>
            </w:pPr>
            <w:r w:rsidRPr="00072954">
              <w:rPr>
                <w:rFonts w:ascii="Times New Roman" w:eastAsia="Times New Roman" w:hAnsi="Times New Roman"/>
                <w:b w:val="0"/>
                <w:lang w:val="pt-PT"/>
              </w:rPr>
              <w:t xml:space="preserve">Ouvirá um </w:t>
            </w:r>
            <w:r w:rsidRPr="00072954">
              <w:rPr>
                <w:rFonts w:ascii="Times New Roman" w:eastAsia="Times New Roman" w:hAnsi="Times New Roman"/>
                <w:lang w:val="pt-PT"/>
              </w:rPr>
              <w:t>“click”</w:t>
            </w:r>
            <w:r w:rsidRPr="00072954">
              <w:rPr>
                <w:rFonts w:ascii="Times New Roman" w:eastAsia="Times New Roman" w:hAnsi="Times New Roman"/>
                <w:b w:val="0"/>
                <w:lang w:val="pt-PT"/>
              </w:rPr>
              <w:t xml:space="preserve"> em tom audível que marca o início da injeção</w:t>
            </w:r>
          </w:p>
          <w:p w14:paraId="5504D3E4" w14:textId="77777777" w:rsidR="000E07B0" w:rsidRPr="00072954" w:rsidRDefault="00615769" w:rsidP="00CC2ACC">
            <w:pPr>
              <w:pStyle w:val="EMEAHeadingLeaflet"/>
              <w:keepNext/>
              <w:numPr>
                <w:ilvl w:val="0"/>
                <w:numId w:val="95"/>
              </w:numPr>
              <w:tabs>
                <w:tab w:val="clear" w:pos="562"/>
                <w:tab w:val="left" w:pos="757"/>
              </w:tabs>
              <w:spacing w:before="0" w:after="0"/>
              <w:ind w:left="757"/>
              <w:rPr>
                <w:rFonts w:ascii="Times New Roman" w:hAnsi="Times New Roman"/>
                <w:b w:val="0"/>
                <w:lang w:val="pt-PT"/>
              </w:rPr>
            </w:pPr>
            <w:r w:rsidRPr="00072954">
              <w:rPr>
                <w:rFonts w:ascii="Times New Roman" w:eastAsia="Times New Roman" w:hAnsi="Times New Roman"/>
                <w:lang w:val="pt-PT"/>
              </w:rPr>
              <w:t>Continue</w:t>
            </w:r>
            <w:r w:rsidRPr="00072954">
              <w:rPr>
                <w:rFonts w:ascii="Times New Roman" w:hAnsi="Times New Roman"/>
                <w:lang w:val="pt-PT"/>
              </w:rPr>
              <w:t xml:space="preserve"> a </w:t>
            </w:r>
            <w:r w:rsidR="003570FF">
              <w:rPr>
                <w:rFonts w:ascii="Times New Roman" w:hAnsi="Times New Roman"/>
                <w:lang w:val="pt-PT"/>
              </w:rPr>
              <w:t xml:space="preserve">pressionar </w:t>
            </w:r>
            <w:r w:rsidR="00AE021D">
              <w:rPr>
                <w:rFonts w:ascii="Times New Roman" w:hAnsi="Times New Roman"/>
                <w:lang w:val="pt-PT"/>
              </w:rPr>
              <w:t>firmemente</w:t>
            </w:r>
            <w:r w:rsidRPr="00072954">
              <w:rPr>
                <w:rFonts w:ascii="Times New Roman" w:hAnsi="Times New Roman"/>
                <w:b w:val="0"/>
                <w:lang w:val="pt-PT"/>
              </w:rPr>
              <w:t xml:space="preserve"> a caneta </w:t>
            </w:r>
            <w:r w:rsidR="003570FF">
              <w:rPr>
                <w:rFonts w:ascii="Times New Roman" w:hAnsi="Times New Roman"/>
                <w:b w:val="0"/>
                <w:lang w:val="pt-PT"/>
              </w:rPr>
              <w:t xml:space="preserve">pré-cheia contra </w:t>
            </w:r>
            <w:r w:rsidRPr="00072954">
              <w:rPr>
                <w:rFonts w:ascii="Times New Roman" w:hAnsi="Times New Roman"/>
                <w:b w:val="0"/>
                <w:lang w:val="pt-PT"/>
              </w:rPr>
              <w:t xml:space="preserve">o local da injeção </w:t>
            </w:r>
            <w:r w:rsidR="00AE021D" w:rsidRPr="00AE021D">
              <w:rPr>
                <w:rFonts w:ascii="Times New Roman" w:hAnsi="Times New Roman"/>
                <w:b w:val="0"/>
                <w:lang w:val="pt-PT"/>
              </w:rPr>
              <w:t>até que a injeção esteja concluída</w:t>
            </w:r>
            <w:r w:rsidR="003570FF">
              <w:rPr>
                <w:rFonts w:ascii="Times New Roman" w:hAnsi="Times New Roman"/>
                <w:b w:val="0"/>
                <w:lang w:val="pt-PT"/>
              </w:rPr>
              <w:t>.</w:t>
            </w:r>
          </w:p>
          <w:p w14:paraId="3541B02A" w14:textId="77777777" w:rsidR="000E07B0" w:rsidRPr="00072954" w:rsidRDefault="000E07B0" w:rsidP="00691603">
            <w:pPr>
              <w:tabs>
                <w:tab w:val="left" w:pos="562"/>
              </w:tabs>
              <w:suppressAutoHyphens/>
              <w:rPr>
                <w:sz w:val="22"/>
                <w:szCs w:val="20"/>
              </w:rPr>
            </w:pPr>
          </w:p>
          <w:p w14:paraId="34100909" w14:textId="77777777" w:rsidR="000E07B0" w:rsidRPr="00072954" w:rsidRDefault="00615769" w:rsidP="00691603">
            <w:pPr>
              <w:tabs>
                <w:tab w:val="left" w:pos="562"/>
              </w:tabs>
              <w:suppressAutoHyphens/>
              <w:rPr>
                <w:sz w:val="22"/>
                <w:szCs w:val="20"/>
              </w:rPr>
            </w:pPr>
            <w:r w:rsidRPr="00072954">
              <w:rPr>
                <w:sz w:val="22"/>
                <w:szCs w:val="20"/>
              </w:rPr>
              <w:t>A injeção está completa quando o indicador amarelo parar.</w:t>
            </w:r>
          </w:p>
        </w:tc>
      </w:tr>
      <w:tr w:rsidR="00A7162A" w14:paraId="670434AB" w14:textId="77777777" w:rsidTr="00691603">
        <w:tc>
          <w:tcPr>
            <w:tcW w:w="3708" w:type="dxa"/>
            <w:tcBorders>
              <w:right w:val="nil"/>
            </w:tcBorders>
          </w:tcPr>
          <w:p w14:paraId="7666FA1A" w14:textId="77777777" w:rsidR="000E07B0" w:rsidRPr="00072954" w:rsidRDefault="00615769" w:rsidP="00691603">
            <w:pPr>
              <w:keepNext/>
              <w:tabs>
                <w:tab w:val="left" w:pos="562"/>
              </w:tabs>
              <w:suppressAutoHyphens/>
              <w:rPr>
                <w:b/>
                <w:noProof/>
                <w:sz w:val="22"/>
                <w:szCs w:val="20"/>
              </w:rPr>
            </w:pPr>
            <w:r w:rsidRPr="00072954">
              <w:rPr>
                <w:b/>
                <w:noProof/>
                <w:sz w:val="22"/>
                <w:szCs w:val="20"/>
              </w:rPr>
              <w:t>PASSO 8</w:t>
            </w:r>
          </w:p>
          <w:p w14:paraId="6795BC71" w14:textId="77777777" w:rsidR="000E07B0" w:rsidRPr="00072954" w:rsidRDefault="000E07B0" w:rsidP="00691603">
            <w:pPr>
              <w:keepNext/>
              <w:tabs>
                <w:tab w:val="left" w:pos="562"/>
              </w:tabs>
              <w:suppressAutoHyphens/>
              <w:rPr>
                <w:b/>
                <w:noProof/>
                <w:sz w:val="22"/>
                <w:szCs w:val="20"/>
              </w:rPr>
            </w:pPr>
          </w:p>
          <w:p w14:paraId="766B24C6" w14:textId="77777777" w:rsidR="000E07B0" w:rsidRPr="00072954" w:rsidRDefault="00615769" w:rsidP="00691603">
            <w:pPr>
              <w:keepNext/>
              <w:tabs>
                <w:tab w:val="left" w:pos="562"/>
              </w:tabs>
              <w:suppressAutoHyphens/>
              <w:rPr>
                <w:sz w:val="22"/>
                <w:szCs w:val="20"/>
              </w:rPr>
            </w:pPr>
            <w:r w:rsidRPr="00072954">
              <w:rPr>
                <w:noProof/>
                <w:sz w:val="22"/>
                <w:szCs w:val="20"/>
                <w:lang w:val="en-GB" w:eastAsia="en-GB"/>
              </w:rPr>
              <w:drawing>
                <wp:inline distT="0" distB="0" distL="0" distR="0" wp14:anchorId="211A4ECF" wp14:editId="094E260E">
                  <wp:extent cx="2027555" cy="1809115"/>
                  <wp:effectExtent l="0" t="0" r="0" b="635"/>
                  <wp:docPr id="102" name="Picture 102" descr="STEP8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59" descr="STEP8_grey"/>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2027555" cy="1809115"/>
                          </a:xfrm>
                          <a:prstGeom prst="rect">
                            <a:avLst/>
                          </a:prstGeom>
                          <a:noFill/>
                          <a:ln>
                            <a:noFill/>
                          </a:ln>
                        </pic:spPr>
                      </pic:pic>
                    </a:graphicData>
                  </a:graphic>
                </wp:inline>
              </w:drawing>
            </w:r>
            <w:r w:rsidRPr="00072954">
              <w:rPr>
                <w:noProof/>
                <w:sz w:val="22"/>
                <w:szCs w:val="20"/>
              </w:rPr>
              <w:t xml:space="preserve"> </w:t>
            </w:r>
          </w:p>
        </w:tc>
        <w:tc>
          <w:tcPr>
            <w:tcW w:w="5579" w:type="dxa"/>
            <w:tcBorders>
              <w:left w:val="nil"/>
            </w:tcBorders>
          </w:tcPr>
          <w:p w14:paraId="076EA516" w14:textId="77777777" w:rsidR="000E07B0" w:rsidRPr="00072954" w:rsidRDefault="000E07B0" w:rsidP="00691603">
            <w:pPr>
              <w:keepNext/>
              <w:tabs>
                <w:tab w:val="left" w:pos="562"/>
              </w:tabs>
              <w:suppressAutoHyphens/>
              <w:rPr>
                <w:sz w:val="22"/>
                <w:szCs w:val="20"/>
              </w:rPr>
            </w:pPr>
          </w:p>
          <w:p w14:paraId="3ABFF8DC" w14:textId="77777777" w:rsidR="000E07B0" w:rsidRPr="00072954" w:rsidRDefault="00615769" w:rsidP="00691603">
            <w:pPr>
              <w:keepNext/>
              <w:tabs>
                <w:tab w:val="left" w:pos="562"/>
              </w:tabs>
              <w:suppressAutoHyphens/>
              <w:rPr>
                <w:sz w:val="22"/>
                <w:szCs w:val="20"/>
              </w:rPr>
            </w:pPr>
            <w:r w:rsidRPr="00072954">
              <w:rPr>
                <w:sz w:val="22"/>
                <w:szCs w:val="20"/>
              </w:rPr>
              <w:t>Quando a injeção estiver completa, retire lentamente a caneta pré-cheia da pele. A proteção branca da agulha envolve-a completamente.</w:t>
            </w:r>
          </w:p>
          <w:p w14:paraId="71BAEEC7" w14:textId="77777777" w:rsidR="000E07B0" w:rsidRPr="003E5033" w:rsidRDefault="00615769" w:rsidP="00085F35">
            <w:pPr>
              <w:pStyle w:val="EMEAHeadingLeaflet"/>
              <w:keepNext/>
              <w:numPr>
                <w:ilvl w:val="0"/>
                <w:numId w:val="95"/>
              </w:numPr>
              <w:tabs>
                <w:tab w:val="clear" w:pos="562"/>
                <w:tab w:val="left" w:pos="757"/>
              </w:tabs>
              <w:spacing w:before="0" w:after="0"/>
              <w:ind w:left="757"/>
              <w:rPr>
                <w:lang w:val="pt-PT"/>
              </w:rPr>
            </w:pPr>
            <w:r w:rsidRPr="00085F35">
              <w:rPr>
                <w:rFonts w:ascii="Times New Roman" w:hAnsi="Times New Roman"/>
                <w:b w:val="0"/>
                <w:lang w:val="pt-PT"/>
              </w:rPr>
              <w:t xml:space="preserve">É normal </w:t>
            </w:r>
            <w:r w:rsidR="003570FF">
              <w:rPr>
                <w:rFonts w:ascii="Times New Roman" w:hAnsi="Times New Roman"/>
                <w:b w:val="0"/>
                <w:lang w:val="pt-PT"/>
              </w:rPr>
              <w:t>existir</w:t>
            </w:r>
            <w:r w:rsidRPr="00085F35">
              <w:rPr>
                <w:rFonts w:ascii="Times New Roman" w:hAnsi="Times New Roman"/>
                <w:b w:val="0"/>
                <w:lang w:val="pt-PT"/>
              </w:rPr>
              <w:t xml:space="preserve"> uma pequena quantidade de líquido no local da injeção</w:t>
            </w:r>
          </w:p>
          <w:p w14:paraId="2B6746D9" w14:textId="77777777" w:rsidR="00D229A7" w:rsidRDefault="00D229A7" w:rsidP="00691603">
            <w:pPr>
              <w:keepNext/>
              <w:tabs>
                <w:tab w:val="left" w:pos="562"/>
              </w:tabs>
              <w:suppressAutoHyphens/>
              <w:rPr>
                <w:sz w:val="22"/>
                <w:szCs w:val="20"/>
              </w:rPr>
            </w:pPr>
          </w:p>
          <w:p w14:paraId="3415C4BB" w14:textId="77777777" w:rsidR="000E07B0" w:rsidRPr="00072954" w:rsidRDefault="00615769" w:rsidP="00691603">
            <w:pPr>
              <w:keepNext/>
              <w:tabs>
                <w:tab w:val="left" w:pos="562"/>
              </w:tabs>
              <w:suppressAutoHyphens/>
              <w:rPr>
                <w:sz w:val="22"/>
                <w:szCs w:val="20"/>
              </w:rPr>
            </w:pPr>
            <w:r w:rsidRPr="00072954">
              <w:rPr>
                <w:sz w:val="22"/>
                <w:szCs w:val="20"/>
              </w:rPr>
              <w:t>Se aparecerem mais do que algumas gotas de solução no local da injeção, fale com o seu médico, enfermeiro ou farmacêutico.</w:t>
            </w:r>
          </w:p>
          <w:p w14:paraId="422901DD" w14:textId="77777777" w:rsidR="000E07B0" w:rsidRPr="00072954" w:rsidRDefault="000E07B0" w:rsidP="00691603">
            <w:pPr>
              <w:keepNext/>
              <w:tabs>
                <w:tab w:val="left" w:pos="562"/>
              </w:tabs>
              <w:suppressAutoHyphens/>
              <w:rPr>
                <w:sz w:val="22"/>
                <w:szCs w:val="20"/>
              </w:rPr>
            </w:pPr>
          </w:p>
          <w:p w14:paraId="3A396383" w14:textId="77777777" w:rsidR="000E07B0" w:rsidRPr="00072954" w:rsidRDefault="00615769" w:rsidP="00691603">
            <w:pPr>
              <w:keepNext/>
              <w:tabs>
                <w:tab w:val="left" w:pos="562"/>
              </w:tabs>
              <w:suppressAutoHyphens/>
              <w:rPr>
                <w:sz w:val="22"/>
                <w:szCs w:val="20"/>
              </w:rPr>
            </w:pPr>
            <w:r w:rsidRPr="00072954">
              <w:rPr>
                <w:sz w:val="22"/>
                <w:szCs w:val="20"/>
              </w:rPr>
              <w:t>Após completar a injeção, pressione o local da injeção com algodão ou uma gaze.</w:t>
            </w:r>
          </w:p>
          <w:p w14:paraId="46AB6577" w14:textId="77777777" w:rsidR="000E07B0" w:rsidRPr="00072954" w:rsidRDefault="000E07B0" w:rsidP="00691603">
            <w:pPr>
              <w:keepNext/>
              <w:tabs>
                <w:tab w:val="left" w:pos="562"/>
              </w:tabs>
              <w:suppressAutoHyphens/>
              <w:rPr>
                <w:sz w:val="22"/>
                <w:szCs w:val="20"/>
              </w:rPr>
            </w:pPr>
          </w:p>
          <w:p w14:paraId="38606E02" w14:textId="77777777" w:rsidR="000E07B0" w:rsidRPr="00072954" w:rsidRDefault="00615769" w:rsidP="00CC2ACC">
            <w:pPr>
              <w:pStyle w:val="EMEAHeadingLeaflet"/>
              <w:keepNext/>
              <w:numPr>
                <w:ilvl w:val="0"/>
                <w:numId w:val="95"/>
              </w:numPr>
              <w:tabs>
                <w:tab w:val="clear" w:pos="562"/>
                <w:tab w:val="left" w:pos="757"/>
              </w:tabs>
              <w:spacing w:before="0" w:after="0"/>
              <w:ind w:left="757"/>
              <w:rPr>
                <w:rFonts w:ascii="Times New Roman" w:eastAsia="Times New Roman" w:hAnsi="Times New Roman"/>
                <w:b w:val="0"/>
                <w:lang w:val="en-GB"/>
              </w:rPr>
            </w:pPr>
            <w:r w:rsidRPr="00072954">
              <w:rPr>
                <w:rFonts w:ascii="Times New Roman" w:eastAsia="Times New Roman" w:hAnsi="Times New Roman"/>
                <w:lang w:val="en-GB"/>
              </w:rPr>
              <w:t xml:space="preserve">Não </w:t>
            </w:r>
            <w:r w:rsidRPr="00072954">
              <w:rPr>
                <w:rFonts w:ascii="Times New Roman" w:eastAsia="Times New Roman" w:hAnsi="Times New Roman"/>
                <w:b w:val="0"/>
                <w:lang w:val="en-GB"/>
              </w:rPr>
              <w:t>friccione</w:t>
            </w:r>
          </w:p>
          <w:p w14:paraId="66690C27" w14:textId="77777777" w:rsidR="000E07B0" w:rsidRPr="00072954" w:rsidRDefault="00615769" w:rsidP="00CC2ACC">
            <w:pPr>
              <w:pStyle w:val="EMEAHeadingLeaflet"/>
              <w:keepNext/>
              <w:numPr>
                <w:ilvl w:val="0"/>
                <w:numId w:val="95"/>
              </w:numPr>
              <w:tabs>
                <w:tab w:val="clear" w:pos="562"/>
                <w:tab w:val="left" w:pos="757"/>
              </w:tabs>
              <w:spacing w:before="0" w:after="0"/>
              <w:ind w:left="757"/>
              <w:rPr>
                <w:rFonts w:ascii="Times New Roman" w:hAnsi="Times New Roman"/>
                <w:lang w:val="pt-PT"/>
              </w:rPr>
            </w:pPr>
            <w:r w:rsidRPr="00072954">
              <w:rPr>
                <w:rFonts w:ascii="Times New Roman" w:eastAsia="Times New Roman" w:hAnsi="Times New Roman"/>
                <w:b w:val="0"/>
                <w:lang w:val="pt-PT"/>
              </w:rPr>
              <w:t>É normal aparecer uma marca de sangue no local da injeção</w:t>
            </w:r>
            <w:r w:rsidRPr="00072954">
              <w:rPr>
                <w:rFonts w:ascii="Times New Roman" w:hAnsi="Times New Roman"/>
                <w:lang w:val="pt-PT"/>
              </w:rPr>
              <w:t>.</w:t>
            </w:r>
          </w:p>
        </w:tc>
      </w:tr>
      <w:tr w:rsidR="00A7162A" w14:paraId="5B5A735C" w14:textId="77777777" w:rsidTr="00691603">
        <w:tc>
          <w:tcPr>
            <w:tcW w:w="9287" w:type="dxa"/>
            <w:gridSpan w:val="2"/>
          </w:tcPr>
          <w:p w14:paraId="276571AB" w14:textId="77777777" w:rsidR="000E07B0" w:rsidRPr="00072954" w:rsidRDefault="00615769" w:rsidP="00691603">
            <w:pPr>
              <w:keepNext/>
              <w:tabs>
                <w:tab w:val="left" w:pos="562"/>
              </w:tabs>
              <w:suppressAutoHyphens/>
              <w:rPr>
                <w:b/>
                <w:sz w:val="22"/>
              </w:rPr>
            </w:pPr>
            <w:r w:rsidRPr="00072954">
              <w:rPr>
                <w:b/>
                <w:sz w:val="22"/>
              </w:rPr>
              <w:t>PASSO 9</w:t>
            </w:r>
          </w:p>
          <w:p w14:paraId="79C67606" w14:textId="77777777" w:rsidR="000E07B0" w:rsidRPr="00072954" w:rsidRDefault="000E07B0" w:rsidP="00691603">
            <w:pPr>
              <w:keepNext/>
              <w:tabs>
                <w:tab w:val="left" w:pos="562"/>
              </w:tabs>
              <w:suppressAutoHyphens/>
              <w:rPr>
                <w:b/>
                <w:sz w:val="22"/>
              </w:rPr>
            </w:pPr>
          </w:p>
          <w:p w14:paraId="4DAABA44" w14:textId="77777777" w:rsidR="000E07B0" w:rsidRPr="00072954" w:rsidRDefault="00615769" w:rsidP="00691603">
            <w:pPr>
              <w:keepNext/>
              <w:tabs>
                <w:tab w:val="left" w:pos="562"/>
              </w:tabs>
              <w:suppressAutoHyphens/>
              <w:rPr>
                <w:sz w:val="22"/>
                <w:szCs w:val="20"/>
              </w:rPr>
            </w:pPr>
            <w:r w:rsidRPr="00072954">
              <w:rPr>
                <w:sz w:val="22"/>
                <w:szCs w:val="20"/>
              </w:rPr>
              <w:t>Elimine imediatamente a caneta pré-cheia utilizada num recipiente próprio, de acordo com as instruções dadas pelo seu médico, enfermeiro ou farmacêutico.</w:t>
            </w:r>
          </w:p>
          <w:p w14:paraId="29B8A6BC" w14:textId="77777777" w:rsidR="000E07B0" w:rsidRPr="00072954" w:rsidRDefault="000E07B0" w:rsidP="00691603">
            <w:pPr>
              <w:keepNext/>
              <w:tabs>
                <w:tab w:val="left" w:pos="562"/>
              </w:tabs>
              <w:suppressAutoHyphens/>
              <w:rPr>
                <w:sz w:val="22"/>
                <w:szCs w:val="20"/>
              </w:rPr>
            </w:pPr>
          </w:p>
          <w:p w14:paraId="2BE14095" w14:textId="77777777" w:rsidR="000E07B0" w:rsidRPr="00072954" w:rsidRDefault="00615769" w:rsidP="00CC2ACC">
            <w:pPr>
              <w:pStyle w:val="EMEAHeadingLeaflet"/>
              <w:keepNext/>
              <w:numPr>
                <w:ilvl w:val="0"/>
                <w:numId w:val="99"/>
              </w:numPr>
              <w:tabs>
                <w:tab w:val="clear" w:pos="562"/>
              </w:tabs>
              <w:spacing w:before="0" w:after="0"/>
              <w:rPr>
                <w:rFonts w:ascii="Times New Roman" w:eastAsia="Times New Roman" w:hAnsi="Times New Roman"/>
                <w:b w:val="0"/>
                <w:lang w:val="pt-PT"/>
              </w:rPr>
            </w:pPr>
            <w:r w:rsidRPr="00072954">
              <w:rPr>
                <w:rFonts w:ascii="Times New Roman" w:eastAsia="Times New Roman" w:hAnsi="Times New Roman"/>
                <w:lang w:val="pt-PT"/>
              </w:rPr>
              <w:t>Não</w:t>
            </w:r>
            <w:r w:rsidRPr="00072954">
              <w:rPr>
                <w:rFonts w:ascii="Times New Roman" w:eastAsia="Times New Roman" w:hAnsi="Times New Roman"/>
                <w:b w:val="0"/>
                <w:lang w:val="pt-PT"/>
              </w:rPr>
              <w:t xml:space="preserve"> deite fora ou recicle a caneta pré-cheia no lixo doméstico</w:t>
            </w:r>
          </w:p>
          <w:p w14:paraId="7B775623" w14:textId="77777777" w:rsidR="000E07B0" w:rsidRPr="00072954" w:rsidRDefault="00615769" w:rsidP="00CC2ACC">
            <w:pPr>
              <w:pStyle w:val="EMEAHeadingLeaflet"/>
              <w:keepNext/>
              <w:numPr>
                <w:ilvl w:val="0"/>
                <w:numId w:val="99"/>
              </w:numPr>
              <w:tabs>
                <w:tab w:val="clear" w:pos="562"/>
              </w:tabs>
              <w:spacing w:before="0" w:after="0"/>
              <w:rPr>
                <w:rFonts w:ascii="Times New Roman" w:hAnsi="Times New Roman"/>
                <w:lang w:val="pt-PT"/>
              </w:rPr>
            </w:pPr>
            <w:r w:rsidRPr="00072954">
              <w:rPr>
                <w:rFonts w:ascii="Times New Roman" w:eastAsia="Times New Roman" w:hAnsi="Times New Roman"/>
                <w:b w:val="0"/>
                <w:lang w:val="pt-PT"/>
              </w:rPr>
              <w:t>Manter</w:t>
            </w:r>
            <w:r w:rsidRPr="00072954">
              <w:rPr>
                <w:rFonts w:ascii="Times New Roman" w:hAnsi="Times New Roman"/>
                <w:b w:val="0"/>
                <w:lang w:val="pt-PT"/>
              </w:rPr>
              <w:t xml:space="preserve"> </w:t>
            </w:r>
            <w:r w:rsidRPr="00072954">
              <w:rPr>
                <w:rFonts w:ascii="Times New Roman" w:hAnsi="Times New Roman"/>
                <w:lang w:val="pt-PT"/>
              </w:rPr>
              <w:t>sempre</w:t>
            </w:r>
            <w:r w:rsidRPr="00072954">
              <w:rPr>
                <w:rFonts w:ascii="Times New Roman" w:hAnsi="Times New Roman"/>
                <w:b w:val="0"/>
                <w:lang w:val="pt-PT"/>
              </w:rPr>
              <w:t xml:space="preserve"> a caneta pré-cheia e o recipiente próprio fora da vista e do alcance das crianças</w:t>
            </w:r>
            <w:r w:rsidRPr="00072954">
              <w:rPr>
                <w:rFonts w:ascii="Times New Roman" w:hAnsi="Times New Roman"/>
                <w:lang w:val="pt-PT"/>
              </w:rPr>
              <w:t>.</w:t>
            </w:r>
          </w:p>
          <w:p w14:paraId="2C307DE5" w14:textId="77777777" w:rsidR="000E07B0" w:rsidRPr="00072954" w:rsidRDefault="00615769" w:rsidP="00691603">
            <w:pPr>
              <w:keepNext/>
              <w:tabs>
                <w:tab w:val="left" w:pos="562"/>
              </w:tabs>
              <w:suppressAutoHyphens/>
              <w:rPr>
                <w:sz w:val="22"/>
                <w:szCs w:val="20"/>
              </w:rPr>
            </w:pPr>
            <w:r w:rsidRPr="00072954">
              <w:rPr>
                <w:sz w:val="22"/>
                <w:szCs w:val="22"/>
              </w:rPr>
              <w:t>As tampas, a compressa embebida em álcool, o algodão, a gaze, o blister, e a embalagem, podem ser deitados fora no lixo doméstico.</w:t>
            </w:r>
          </w:p>
        </w:tc>
      </w:tr>
    </w:tbl>
    <w:p w14:paraId="380880F7" w14:textId="77777777" w:rsidR="000E07B0" w:rsidRPr="00072954" w:rsidRDefault="000E07B0" w:rsidP="000E07B0">
      <w:pPr>
        <w:ind w:right="-2"/>
        <w:rPr>
          <w:sz w:val="22"/>
          <w:szCs w:val="22"/>
        </w:rPr>
      </w:pPr>
    </w:p>
    <w:sectPr w:rsidR="000E07B0" w:rsidRPr="00072954" w:rsidSect="00F675CF">
      <w:footerReference w:type="even" r:id="rId77"/>
      <w:footerReference w:type="default" r:id="rId78"/>
      <w:pgSz w:w="11907" w:h="16840" w:code="9"/>
      <w:pgMar w:top="1134" w:right="1418" w:bottom="1134" w:left="1418" w:header="737" w:footer="73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0A648" w14:textId="77777777" w:rsidR="00615769" w:rsidRDefault="00615769">
      <w:r>
        <w:separator/>
      </w:r>
    </w:p>
  </w:endnote>
  <w:endnote w:type="continuationSeparator" w:id="0">
    <w:p w14:paraId="4FC14EDA" w14:textId="77777777" w:rsidR="00615769" w:rsidRDefault="00615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w:panose1 w:val="00000000000000000000"/>
    <w:charset w:val="80"/>
    <w:family w:val="auto"/>
    <w:notTrueType/>
    <w:pitch w:val="default"/>
    <w:sig w:usb0="00000003" w:usb1="08070000" w:usb2="00000010" w:usb3="00000000" w:csb0="0002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ymbo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D07F" w14:textId="77777777" w:rsidR="000036F0" w:rsidRDefault="006157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59BD520E" w14:textId="77777777" w:rsidR="000036F0" w:rsidRDefault="000036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27DBF" w14:textId="77777777" w:rsidR="000036F0" w:rsidRDefault="00615769">
    <w:pPr>
      <w:pStyle w:val="Footer"/>
      <w:framePr w:wrap="around" w:vAnchor="text" w:hAnchor="margin" w:xAlign="center" w:y="1"/>
      <w:rPr>
        <w:rStyle w:val="PageNumbe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PAGE  </w:instrText>
    </w:r>
    <w:r>
      <w:rPr>
        <w:rStyle w:val="PageNumber"/>
        <w:rFonts w:ascii="Arial" w:hAnsi="Arial" w:cs="Arial"/>
        <w:sz w:val="16"/>
      </w:rPr>
      <w:fldChar w:fldCharType="separate"/>
    </w:r>
    <w:r w:rsidR="0004619E">
      <w:rPr>
        <w:rStyle w:val="PageNumber"/>
        <w:rFonts w:ascii="Arial" w:hAnsi="Arial" w:cs="Arial"/>
        <w:noProof/>
        <w:sz w:val="16"/>
      </w:rPr>
      <w:t>520</w:t>
    </w:r>
    <w:r>
      <w:rPr>
        <w:rStyle w:val="PageNumber"/>
        <w:rFonts w:ascii="Arial" w:hAnsi="Arial" w:cs="Arial"/>
        <w:sz w:val="16"/>
      </w:rPr>
      <w:fldChar w:fldCharType="end"/>
    </w:r>
  </w:p>
  <w:p w14:paraId="476EC767" w14:textId="77777777" w:rsidR="000036F0" w:rsidRDefault="000036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EAEC3" w14:textId="77777777" w:rsidR="00615769" w:rsidRDefault="00615769">
      <w:r>
        <w:separator/>
      </w:r>
    </w:p>
  </w:footnote>
  <w:footnote w:type="continuationSeparator" w:id="0">
    <w:p w14:paraId="065AAE65" w14:textId="77777777" w:rsidR="00615769" w:rsidRDefault="00615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C43820"/>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8EA7DF2"/>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7AAE3CA"/>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A3602458"/>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313C3BA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B2EFD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44579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138D2D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406532"/>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6B42253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1247FED"/>
    <w:multiLevelType w:val="hybridMultilevel"/>
    <w:tmpl w:val="D81C6B36"/>
    <w:lvl w:ilvl="0" w:tplc="4E30F4BC">
      <w:start w:val="1"/>
      <w:numFmt w:val="bullet"/>
      <w:lvlText w:val="-"/>
      <w:lvlJc w:val="left"/>
      <w:pPr>
        <w:tabs>
          <w:tab w:val="num" w:pos="567"/>
        </w:tabs>
        <w:ind w:left="567" w:hanging="567"/>
      </w:pPr>
      <w:rPr>
        <w:rFonts w:hint="default"/>
      </w:rPr>
    </w:lvl>
    <w:lvl w:ilvl="1" w:tplc="7E8A00CA" w:tentative="1">
      <w:start w:val="1"/>
      <w:numFmt w:val="bullet"/>
      <w:lvlText w:val="o"/>
      <w:lvlJc w:val="left"/>
      <w:pPr>
        <w:tabs>
          <w:tab w:val="num" w:pos="1440"/>
        </w:tabs>
        <w:ind w:left="1440" w:hanging="360"/>
      </w:pPr>
      <w:rPr>
        <w:rFonts w:ascii="Courier New" w:hAnsi="Courier New" w:hint="default"/>
      </w:rPr>
    </w:lvl>
    <w:lvl w:ilvl="2" w:tplc="B9A0AB40" w:tentative="1">
      <w:start w:val="1"/>
      <w:numFmt w:val="bullet"/>
      <w:lvlText w:val=""/>
      <w:lvlJc w:val="left"/>
      <w:pPr>
        <w:tabs>
          <w:tab w:val="num" w:pos="2160"/>
        </w:tabs>
        <w:ind w:left="2160" w:hanging="360"/>
      </w:pPr>
      <w:rPr>
        <w:rFonts w:ascii="Wingdings" w:hAnsi="Wingdings" w:hint="default"/>
      </w:rPr>
    </w:lvl>
    <w:lvl w:ilvl="3" w:tplc="406CC676" w:tentative="1">
      <w:start w:val="1"/>
      <w:numFmt w:val="bullet"/>
      <w:lvlText w:val=""/>
      <w:lvlJc w:val="left"/>
      <w:pPr>
        <w:tabs>
          <w:tab w:val="num" w:pos="2880"/>
        </w:tabs>
        <w:ind w:left="2880" w:hanging="360"/>
      </w:pPr>
      <w:rPr>
        <w:rFonts w:ascii="Symbol" w:hAnsi="Symbol" w:hint="default"/>
      </w:rPr>
    </w:lvl>
    <w:lvl w:ilvl="4" w:tplc="10E20A8E" w:tentative="1">
      <w:start w:val="1"/>
      <w:numFmt w:val="bullet"/>
      <w:lvlText w:val="o"/>
      <w:lvlJc w:val="left"/>
      <w:pPr>
        <w:tabs>
          <w:tab w:val="num" w:pos="3600"/>
        </w:tabs>
        <w:ind w:left="3600" w:hanging="360"/>
      </w:pPr>
      <w:rPr>
        <w:rFonts w:ascii="Courier New" w:hAnsi="Courier New" w:hint="default"/>
      </w:rPr>
    </w:lvl>
    <w:lvl w:ilvl="5" w:tplc="3B7A067C" w:tentative="1">
      <w:start w:val="1"/>
      <w:numFmt w:val="bullet"/>
      <w:lvlText w:val=""/>
      <w:lvlJc w:val="left"/>
      <w:pPr>
        <w:tabs>
          <w:tab w:val="num" w:pos="4320"/>
        </w:tabs>
        <w:ind w:left="4320" w:hanging="360"/>
      </w:pPr>
      <w:rPr>
        <w:rFonts w:ascii="Wingdings" w:hAnsi="Wingdings" w:hint="default"/>
      </w:rPr>
    </w:lvl>
    <w:lvl w:ilvl="6" w:tplc="2402C920" w:tentative="1">
      <w:start w:val="1"/>
      <w:numFmt w:val="bullet"/>
      <w:lvlText w:val=""/>
      <w:lvlJc w:val="left"/>
      <w:pPr>
        <w:tabs>
          <w:tab w:val="num" w:pos="5040"/>
        </w:tabs>
        <w:ind w:left="5040" w:hanging="360"/>
      </w:pPr>
      <w:rPr>
        <w:rFonts w:ascii="Symbol" w:hAnsi="Symbol" w:hint="default"/>
      </w:rPr>
    </w:lvl>
    <w:lvl w:ilvl="7" w:tplc="6A26CA6E" w:tentative="1">
      <w:start w:val="1"/>
      <w:numFmt w:val="bullet"/>
      <w:lvlText w:val="o"/>
      <w:lvlJc w:val="left"/>
      <w:pPr>
        <w:tabs>
          <w:tab w:val="num" w:pos="5760"/>
        </w:tabs>
        <w:ind w:left="5760" w:hanging="360"/>
      </w:pPr>
      <w:rPr>
        <w:rFonts w:ascii="Courier New" w:hAnsi="Courier New" w:hint="default"/>
      </w:rPr>
    </w:lvl>
    <w:lvl w:ilvl="8" w:tplc="8162179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1610E26"/>
    <w:multiLevelType w:val="hybridMultilevel"/>
    <w:tmpl w:val="ED627D94"/>
    <w:lvl w:ilvl="0" w:tplc="417E13DA">
      <w:start w:val="1"/>
      <w:numFmt w:val="bullet"/>
      <w:lvlText w:val=""/>
      <w:lvlJc w:val="left"/>
      <w:pPr>
        <w:ind w:left="720" w:hanging="360"/>
      </w:pPr>
      <w:rPr>
        <w:rFonts w:ascii="Symbol" w:hAnsi="Symbol" w:hint="default"/>
      </w:rPr>
    </w:lvl>
    <w:lvl w:ilvl="1" w:tplc="E62E26AA" w:tentative="1">
      <w:start w:val="1"/>
      <w:numFmt w:val="bullet"/>
      <w:lvlText w:val="o"/>
      <w:lvlJc w:val="left"/>
      <w:pPr>
        <w:ind w:left="1440" w:hanging="360"/>
      </w:pPr>
      <w:rPr>
        <w:rFonts w:ascii="Courier New" w:hAnsi="Courier New" w:cs="Courier New" w:hint="default"/>
      </w:rPr>
    </w:lvl>
    <w:lvl w:ilvl="2" w:tplc="ABDC91A4" w:tentative="1">
      <w:start w:val="1"/>
      <w:numFmt w:val="bullet"/>
      <w:lvlText w:val=""/>
      <w:lvlJc w:val="left"/>
      <w:pPr>
        <w:ind w:left="2160" w:hanging="360"/>
      </w:pPr>
      <w:rPr>
        <w:rFonts w:ascii="Wingdings" w:hAnsi="Wingdings" w:hint="default"/>
      </w:rPr>
    </w:lvl>
    <w:lvl w:ilvl="3" w:tplc="BC6604E4" w:tentative="1">
      <w:start w:val="1"/>
      <w:numFmt w:val="bullet"/>
      <w:lvlText w:val=""/>
      <w:lvlJc w:val="left"/>
      <w:pPr>
        <w:ind w:left="2880" w:hanging="360"/>
      </w:pPr>
      <w:rPr>
        <w:rFonts w:ascii="Symbol" w:hAnsi="Symbol" w:hint="default"/>
      </w:rPr>
    </w:lvl>
    <w:lvl w:ilvl="4" w:tplc="10E819A6" w:tentative="1">
      <w:start w:val="1"/>
      <w:numFmt w:val="bullet"/>
      <w:lvlText w:val="o"/>
      <w:lvlJc w:val="left"/>
      <w:pPr>
        <w:ind w:left="3600" w:hanging="360"/>
      </w:pPr>
      <w:rPr>
        <w:rFonts w:ascii="Courier New" w:hAnsi="Courier New" w:cs="Courier New" w:hint="default"/>
      </w:rPr>
    </w:lvl>
    <w:lvl w:ilvl="5" w:tplc="474EEB16" w:tentative="1">
      <w:start w:val="1"/>
      <w:numFmt w:val="bullet"/>
      <w:lvlText w:val=""/>
      <w:lvlJc w:val="left"/>
      <w:pPr>
        <w:ind w:left="4320" w:hanging="360"/>
      </w:pPr>
      <w:rPr>
        <w:rFonts w:ascii="Wingdings" w:hAnsi="Wingdings" w:hint="default"/>
      </w:rPr>
    </w:lvl>
    <w:lvl w:ilvl="6" w:tplc="6B5C01E8" w:tentative="1">
      <w:start w:val="1"/>
      <w:numFmt w:val="bullet"/>
      <w:lvlText w:val=""/>
      <w:lvlJc w:val="left"/>
      <w:pPr>
        <w:ind w:left="5040" w:hanging="360"/>
      </w:pPr>
      <w:rPr>
        <w:rFonts w:ascii="Symbol" w:hAnsi="Symbol" w:hint="default"/>
      </w:rPr>
    </w:lvl>
    <w:lvl w:ilvl="7" w:tplc="763AF5F8" w:tentative="1">
      <w:start w:val="1"/>
      <w:numFmt w:val="bullet"/>
      <w:lvlText w:val="o"/>
      <w:lvlJc w:val="left"/>
      <w:pPr>
        <w:ind w:left="5760" w:hanging="360"/>
      </w:pPr>
      <w:rPr>
        <w:rFonts w:ascii="Courier New" w:hAnsi="Courier New" w:cs="Courier New" w:hint="default"/>
      </w:rPr>
    </w:lvl>
    <w:lvl w:ilvl="8" w:tplc="E0944838" w:tentative="1">
      <w:start w:val="1"/>
      <w:numFmt w:val="bullet"/>
      <w:lvlText w:val=""/>
      <w:lvlJc w:val="left"/>
      <w:pPr>
        <w:ind w:left="6480" w:hanging="360"/>
      </w:pPr>
      <w:rPr>
        <w:rFonts w:ascii="Wingdings" w:hAnsi="Wingdings" w:hint="default"/>
      </w:rPr>
    </w:lvl>
  </w:abstractNum>
  <w:abstractNum w:abstractNumId="13" w15:restartNumberingAfterBreak="0">
    <w:nsid w:val="033E1AF0"/>
    <w:multiLevelType w:val="hybridMultilevel"/>
    <w:tmpl w:val="2E3AC1C4"/>
    <w:lvl w:ilvl="0" w:tplc="4AF2AE26">
      <w:start w:val="1"/>
      <w:numFmt w:val="bullet"/>
      <w:lvlText w:val="-"/>
      <w:lvlJc w:val="left"/>
      <w:pPr>
        <w:tabs>
          <w:tab w:val="num" w:pos="567"/>
        </w:tabs>
        <w:ind w:left="567" w:hanging="567"/>
      </w:pPr>
      <w:rPr>
        <w:rFonts w:hint="default"/>
      </w:rPr>
    </w:lvl>
    <w:lvl w:ilvl="1" w:tplc="86B09022" w:tentative="1">
      <w:start w:val="1"/>
      <w:numFmt w:val="bullet"/>
      <w:lvlText w:val="o"/>
      <w:lvlJc w:val="left"/>
      <w:pPr>
        <w:tabs>
          <w:tab w:val="num" w:pos="1440"/>
        </w:tabs>
        <w:ind w:left="1440" w:hanging="360"/>
      </w:pPr>
      <w:rPr>
        <w:rFonts w:ascii="Courier New" w:hAnsi="Courier New" w:hint="default"/>
      </w:rPr>
    </w:lvl>
    <w:lvl w:ilvl="2" w:tplc="F2FA01B6" w:tentative="1">
      <w:start w:val="1"/>
      <w:numFmt w:val="bullet"/>
      <w:lvlText w:val=""/>
      <w:lvlJc w:val="left"/>
      <w:pPr>
        <w:tabs>
          <w:tab w:val="num" w:pos="2160"/>
        </w:tabs>
        <w:ind w:left="2160" w:hanging="360"/>
      </w:pPr>
      <w:rPr>
        <w:rFonts w:ascii="Wingdings" w:hAnsi="Wingdings" w:hint="default"/>
      </w:rPr>
    </w:lvl>
    <w:lvl w:ilvl="3" w:tplc="0C684AF0" w:tentative="1">
      <w:start w:val="1"/>
      <w:numFmt w:val="bullet"/>
      <w:lvlText w:val=""/>
      <w:lvlJc w:val="left"/>
      <w:pPr>
        <w:tabs>
          <w:tab w:val="num" w:pos="2880"/>
        </w:tabs>
        <w:ind w:left="2880" w:hanging="360"/>
      </w:pPr>
      <w:rPr>
        <w:rFonts w:ascii="Symbol" w:hAnsi="Symbol" w:hint="default"/>
      </w:rPr>
    </w:lvl>
    <w:lvl w:ilvl="4" w:tplc="3D8A6964" w:tentative="1">
      <w:start w:val="1"/>
      <w:numFmt w:val="bullet"/>
      <w:lvlText w:val="o"/>
      <w:lvlJc w:val="left"/>
      <w:pPr>
        <w:tabs>
          <w:tab w:val="num" w:pos="3600"/>
        </w:tabs>
        <w:ind w:left="3600" w:hanging="360"/>
      </w:pPr>
      <w:rPr>
        <w:rFonts w:ascii="Courier New" w:hAnsi="Courier New" w:hint="default"/>
      </w:rPr>
    </w:lvl>
    <w:lvl w:ilvl="5" w:tplc="A6766744" w:tentative="1">
      <w:start w:val="1"/>
      <w:numFmt w:val="bullet"/>
      <w:lvlText w:val=""/>
      <w:lvlJc w:val="left"/>
      <w:pPr>
        <w:tabs>
          <w:tab w:val="num" w:pos="4320"/>
        </w:tabs>
        <w:ind w:left="4320" w:hanging="360"/>
      </w:pPr>
      <w:rPr>
        <w:rFonts w:ascii="Wingdings" w:hAnsi="Wingdings" w:hint="default"/>
      </w:rPr>
    </w:lvl>
    <w:lvl w:ilvl="6" w:tplc="1180A8F8" w:tentative="1">
      <w:start w:val="1"/>
      <w:numFmt w:val="bullet"/>
      <w:lvlText w:val=""/>
      <w:lvlJc w:val="left"/>
      <w:pPr>
        <w:tabs>
          <w:tab w:val="num" w:pos="5040"/>
        </w:tabs>
        <w:ind w:left="5040" w:hanging="360"/>
      </w:pPr>
      <w:rPr>
        <w:rFonts w:ascii="Symbol" w:hAnsi="Symbol" w:hint="default"/>
      </w:rPr>
    </w:lvl>
    <w:lvl w:ilvl="7" w:tplc="D54EA3FA" w:tentative="1">
      <w:start w:val="1"/>
      <w:numFmt w:val="bullet"/>
      <w:lvlText w:val="o"/>
      <w:lvlJc w:val="left"/>
      <w:pPr>
        <w:tabs>
          <w:tab w:val="num" w:pos="5760"/>
        </w:tabs>
        <w:ind w:left="5760" w:hanging="360"/>
      </w:pPr>
      <w:rPr>
        <w:rFonts w:ascii="Courier New" w:hAnsi="Courier New" w:hint="default"/>
      </w:rPr>
    </w:lvl>
    <w:lvl w:ilvl="8" w:tplc="4FBEB09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3573CE7"/>
    <w:multiLevelType w:val="hybridMultilevel"/>
    <w:tmpl w:val="4EB62CC6"/>
    <w:lvl w:ilvl="0" w:tplc="6450ECC8">
      <w:start w:val="1"/>
      <w:numFmt w:val="bullet"/>
      <w:lvlText w:val=""/>
      <w:lvlJc w:val="left"/>
      <w:pPr>
        <w:ind w:left="720" w:hanging="360"/>
      </w:pPr>
      <w:rPr>
        <w:rFonts w:ascii="Symbol" w:hAnsi="Symbol" w:hint="default"/>
      </w:rPr>
    </w:lvl>
    <w:lvl w:ilvl="1" w:tplc="7D14EEEE" w:tentative="1">
      <w:start w:val="1"/>
      <w:numFmt w:val="bullet"/>
      <w:lvlText w:val="o"/>
      <w:lvlJc w:val="left"/>
      <w:pPr>
        <w:ind w:left="1440" w:hanging="360"/>
      </w:pPr>
      <w:rPr>
        <w:rFonts w:ascii="Courier New" w:hAnsi="Courier New" w:cs="Courier New" w:hint="default"/>
      </w:rPr>
    </w:lvl>
    <w:lvl w:ilvl="2" w:tplc="A3FC7644" w:tentative="1">
      <w:start w:val="1"/>
      <w:numFmt w:val="bullet"/>
      <w:lvlText w:val=""/>
      <w:lvlJc w:val="left"/>
      <w:pPr>
        <w:ind w:left="2160" w:hanging="360"/>
      </w:pPr>
      <w:rPr>
        <w:rFonts w:ascii="Wingdings" w:hAnsi="Wingdings" w:hint="default"/>
      </w:rPr>
    </w:lvl>
    <w:lvl w:ilvl="3" w:tplc="6FAA66EC" w:tentative="1">
      <w:start w:val="1"/>
      <w:numFmt w:val="bullet"/>
      <w:lvlText w:val=""/>
      <w:lvlJc w:val="left"/>
      <w:pPr>
        <w:ind w:left="2880" w:hanging="360"/>
      </w:pPr>
      <w:rPr>
        <w:rFonts w:ascii="Symbol" w:hAnsi="Symbol" w:hint="default"/>
      </w:rPr>
    </w:lvl>
    <w:lvl w:ilvl="4" w:tplc="FC1696FE" w:tentative="1">
      <w:start w:val="1"/>
      <w:numFmt w:val="bullet"/>
      <w:lvlText w:val="o"/>
      <w:lvlJc w:val="left"/>
      <w:pPr>
        <w:ind w:left="3600" w:hanging="360"/>
      </w:pPr>
      <w:rPr>
        <w:rFonts w:ascii="Courier New" w:hAnsi="Courier New" w:cs="Courier New" w:hint="default"/>
      </w:rPr>
    </w:lvl>
    <w:lvl w:ilvl="5" w:tplc="213A0382" w:tentative="1">
      <w:start w:val="1"/>
      <w:numFmt w:val="bullet"/>
      <w:lvlText w:val=""/>
      <w:lvlJc w:val="left"/>
      <w:pPr>
        <w:ind w:left="4320" w:hanging="360"/>
      </w:pPr>
      <w:rPr>
        <w:rFonts w:ascii="Wingdings" w:hAnsi="Wingdings" w:hint="default"/>
      </w:rPr>
    </w:lvl>
    <w:lvl w:ilvl="6" w:tplc="EB1E8626" w:tentative="1">
      <w:start w:val="1"/>
      <w:numFmt w:val="bullet"/>
      <w:lvlText w:val=""/>
      <w:lvlJc w:val="left"/>
      <w:pPr>
        <w:ind w:left="5040" w:hanging="360"/>
      </w:pPr>
      <w:rPr>
        <w:rFonts w:ascii="Symbol" w:hAnsi="Symbol" w:hint="default"/>
      </w:rPr>
    </w:lvl>
    <w:lvl w:ilvl="7" w:tplc="DDDA728E" w:tentative="1">
      <w:start w:val="1"/>
      <w:numFmt w:val="bullet"/>
      <w:lvlText w:val="o"/>
      <w:lvlJc w:val="left"/>
      <w:pPr>
        <w:ind w:left="5760" w:hanging="360"/>
      </w:pPr>
      <w:rPr>
        <w:rFonts w:ascii="Courier New" w:hAnsi="Courier New" w:cs="Courier New" w:hint="default"/>
      </w:rPr>
    </w:lvl>
    <w:lvl w:ilvl="8" w:tplc="4B243BA4" w:tentative="1">
      <w:start w:val="1"/>
      <w:numFmt w:val="bullet"/>
      <w:lvlText w:val=""/>
      <w:lvlJc w:val="left"/>
      <w:pPr>
        <w:ind w:left="6480" w:hanging="360"/>
      </w:pPr>
      <w:rPr>
        <w:rFonts w:ascii="Wingdings" w:hAnsi="Wingdings" w:hint="default"/>
      </w:rPr>
    </w:lvl>
  </w:abstractNum>
  <w:abstractNum w:abstractNumId="15" w15:restartNumberingAfterBreak="0">
    <w:nsid w:val="036E470E"/>
    <w:multiLevelType w:val="hybridMultilevel"/>
    <w:tmpl w:val="34249F68"/>
    <w:lvl w:ilvl="0" w:tplc="F5B8359E">
      <w:start w:val="1"/>
      <w:numFmt w:val="bullet"/>
      <w:lvlText w:val=""/>
      <w:lvlJc w:val="left"/>
      <w:pPr>
        <w:ind w:left="720" w:hanging="360"/>
      </w:pPr>
      <w:rPr>
        <w:rFonts w:ascii="Symbol" w:hAnsi="Symbol" w:hint="default"/>
      </w:rPr>
    </w:lvl>
    <w:lvl w:ilvl="1" w:tplc="6F904450" w:tentative="1">
      <w:start w:val="1"/>
      <w:numFmt w:val="bullet"/>
      <w:lvlText w:val="o"/>
      <w:lvlJc w:val="left"/>
      <w:pPr>
        <w:ind w:left="1440" w:hanging="360"/>
      </w:pPr>
      <w:rPr>
        <w:rFonts w:ascii="Courier New" w:hAnsi="Courier New" w:cs="Courier New" w:hint="default"/>
      </w:rPr>
    </w:lvl>
    <w:lvl w:ilvl="2" w:tplc="3D74D97C" w:tentative="1">
      <w:start w:val="1"/>
      <w:numFmt w:val="bullet"/>
      <w:lvlText w:val=""/>
      <w:lvlJc w:val="left"/>
      <w:pPr>
        <w:ind w:left="2160" w:hanging="360"/>
      </w:pPr>
      <w:rPr>
        <w:rFonts w:ascii="Wingdings" w:hAnsi="Wingdings" w:hint="default"/>
      </w:rPr>
    </w:lvl>
    <w:lvl w:ilvl="3" w:tplc="E8F6C1FC" w:tentative="1">
      <w:start w:val="1"/>
      <w:numFmt w:val="bullet"/>
      <w:lvlText w:val=""/>
      <w:lvlJc w:val="left"/>
      <w:pPr>
        <w:ind w:left="2880" w:hanging="360"/>
      </w:pPr>
      <w:rPr>
        <w:rFonts w:ascii="Symbol" w:hAnsi="Symbol" w:hint="default"/>
      </w:rPr>
    </w:lvl>
    <w:lvl w:ilvl="4" w:tplc="78E42A3A" w:tentative="1">
      <w:start w:val="1"/>
      <w:numFmt w:val="bullet"/>
      <w:lvlText w:val="o"/>
      <w:lvlJc w:val="left"/>
      <w:pPr>
        <w:ind w:left="3600" w:hanging="360"/>
      </w:pPr>
      <w:rPr>
        <w:rFonts w:ascii="Courier New" w:hAnsi="Courier New" w:cs="Courier New" w:hint="default"/>
      </w:rPr>
    </w:lvl>
    <w:lvl w:ilvl="5" w:tplc="450086E0" w:tentative="1">
      <w:start w:val="1"/>
      <w:numFmt w:val="bullet"/>
      <w:lvlText w:val=""/>
      <w:lvlJc w:val="left"/>
      <w:pPr>
        <w:ind w:left="4320" w:hanging="360"/>
      </w:pPr>
      <w:rPr>
        <w:rFonts w:ascii="Wingdings" w:hAnsi="Wingdings" w:hint="default"/>
      </w:rPr>
    </w:lvl>
    <w:lvl w:ilvl="6" w:tplc="D0386F3C" w:tentative="1">
      <w:start w:val="1"/>
      <w:numFmt w:val="bullet"/>
      <w:lvlText w:val=""/>
      <w:lvlJc w:val="left"/>
      <w:pPr>
        <w:ind w:left="5040" w:hanging="360"/>
      </w:pPr>
      <w:rPr>
        <w:rFonts w:ascii="Symbol" w:hAnsi="Symbol" w:hint="default"/>
      </w:rPr>
    </w:lvl>
    <w:lvl w:ilvl="7" w:tplc="F0BE3C90" w:tentative="1">
      <w:start w:val="1"/>
      <w:numFmt w:val="bullet"/>
      <w:lvlText w:val="o"/>
      <w:lvlJc w:val="left"/>
      <w:pPr>
        <w:ind w:left="5760" w:hanging="360"/>
      </w:pPr>
      <w:rPr>
        <w:rFonts w:ascii="Courier New" w:hAnsi="Courier New" w:cs="Courier New" w:hint="default"/>
      </w:rPr>
    </w:lvl>
    <w:lvl w:ilvl="8" w:tplc="F47CF2F4" w:tentative="1">
      <w:start w:val="1"/>
      <w:numFmt w:val="bullet"/>
      <w:lvlText w:val=""/>
      <w:lvlJc w:val="left"/>
      <w:pPr>
        <w:ind w:left="6480" w:hanging="360"/>
      </w:pPr>
      <w:rPr>
        <w:rFonts w:ascii="Wingdings" w:hAnsi="Wingdings" w:hint="default"/>
      </w:rPr>
    </w:lvl>
  </w:abstractNum>
  <w:abstractNum w:abstractNumId="16" w15:restartNumberingAfterBreak="0">
    <w:nsid w:val="03871241"/>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17" w15:restartNumberingAfterBreak="0">
    <w:nsid w:val="03A51235"/>
    <w:multiLevelType w:val="hybridMultilevel"/>
    <w:tmpl w:val="7E447AB2"/>
    <w:lvl w:ilvl="0" w:tplc="080C3670">
      <w:start w:val="1"/>
      <w:numFmt w:val="bullet"/>
      <w:lvlText w:val=""/>
      <w:lvlJc w:val="left"/>
      <w:pPr>
        <w:ind w:left="720" w:hanging="360"/>
      </w:pPr>
      <w:rPr>
        <w:rFonts w:ascii="Symbol" w:hAnsi="Symbol" w:hint="default"/>
        <w:sz w:val="22"/>
      </w:rPr>
    </w:lvl>
    <w:lvl w:ilvl="1" w:tplc="E346B848" w:tentative="1">
      <w:start w:val="1"/>
      <w:numFmt w:val="bullet"/>
      <w:lvlText w:val="o"/>
      <w:lvlJc w:val="left"/>
      <w:pPr>
        <w:ind w:left="1440" w:hanging="360"/>
      </w:pPr>
      <w:rPr>
        <w:rFonts w:ascii="Courier New" w:hAnsi="Courier New" w:cs="Courier New" w:hint="default"/>
      </w:rPr>
    </w:lvl>
    <w:lvl w:ilvl="2" w:tplc="115C659E" w:tentative="1">
      <w:start w:val="1"/>
      <w:numFmt w:val="bullet"/>
      <w:lvlText w:val=""/>
      <w:lvlJc w:val="left"/>
      <w:pPr>
        <w:ind w:left="2160" w:hanging="360"/>
      </w:pPr>
      <w:rPr>
        <w:rFonts w:ascii="Wingdings" w:hAnsi="Wingdings" w:hint="default"/>
      </w:rPr>
    </w:lvl>
    <w:lvl w:ilvl="3" w:tplc="E36AD3CA" w:tentative="1">
      <w:start w:val="1"/>
      <w:numFmt w:val="bullet"/>
      <w:lvlText w:val=""/>
      <w:lvlJc w:val="left"/>
      <w:pPr>
        <w:ind w:left="2880" w:hanging="360"/>
      </w:pPr>
      <w:rPr>
        <w:rFonts w:ascii="Symbol" w:hAnsi="Symbol" w:hint="default"/>
      </w:rPr>
    </w:lvl>
    <w:lvl w:ilvl="4" w:tplc="996A249E" w:tentative="1">
      <w:start w:val="1"/>
      <w:numFmt w:val="bullet"/>
      <w:lvlText w:val="o"/>
      <w:lvlJc w:val="left"/>
      <w:pPr>
        <w:ind w:left="3600" w:hanging="360"/>
      </w:pPr>
      <w:rPr>
        <w:rFonts w:ascii="Courier New" w:hAnsi="Courier New" w:cs="Courier New" w:hint="default"/>
      </w:rPr>
    </w:lvl>
    <w:lvl w:ilvl="5" w:tplc="2638967C" w:tentative="1">
      <w:start w:val="1"/>
      <w:numFmt w:val="bullet"/>
      <w:lvlText w:val=""/>
      <w:lvlJc w:val="left"/>
      <w:pPr>
        <w:ind w:left="4320" w:hanging="360"/>
      </w:pPr>
      <w:rPr>
        <w:rFonts w:ascii="Wingdings" w:hAnsi="Wingdings" w:hint="default"/>
      </w:rPr>
    </w:lvl>
    <w:lvl w:ilvl="6" w:tplc="B2A4B2EA" w:tentative="1">
      <w:start w:val="1"/>
      <w:numFmt w:val="bullet"/>
      <w:lvlText w:val=""/>
      <w:lvlJc w:val="left"/>
      <w:pPr>
        <w:ind w:left="5040" w:hanging="360"/>
      </w:pPr>
      <w:rPr>
        <w:rFonts w:ascii="Symbol" w:hAnsi="Symbol" w:hint="default"/>
      </w:rPr>
    </w:lvl>
    <w:lvl w:ilvl="7" w:tplc="439E94B0" w:tentative="1">
      <w:start w:val="1"/>
      <w:numFmt w:val="bullet"/>
      <w:lvlText w:val="o"/>
      <w:lvlJc w:val="left"/>
      <w:pPr>
        <w:ind w:left="5760" w:hanging="360"/>
      </w:pPr>
      <w:rPr>
        <w:rFonts w:ascii="Courier New" w:hAnsi="Courier New" w:cs="Courier New" w:hint="default"/>
      </w:rPr>
    </w:lvl>
    <w:lvl w:ilvl="8" w:tplc="AE3A798A" w:tentative="1">
      <w:start w:val="1"/>
      <w:numFmt w:val="bullet"/>
      <w:lvlText w:val=""/>
      <w:lvlJc w:val="left"/>
      <w:pPr>
        <w:ind w:left="6480" w:hanging="360"/>
      </w:pPr>
      <w:rPr>
        <w:rFonts w:ascii="Wingdings" w:hAnsi="Wingdings" w:hint="default"/>
      </w:rPr>
    </w:lvl>
  </w:abstractNum>
  <w:abstractNum w:abstractNumId="18" w15:restartNumberingAfterBreak="0">
    <w:nsid w:val="03E7674B"/>
    <w:multiLevelType w:val="hybridMultilevel"/>
    <w:tmpl w:val="6278F630"/>
    <w:lvl w:ilvl="0" w:tplc="040A49D2">
      <w:start w:val="1"/>
      <w:numFmt w:val="bullet"/>
      <w:lvlText w:val=""/>
      <w:lvlJc w:val="left"/>
      <w:pPr>
        <w:ind w:left="720" w:hanging="360"/>
      </w:pPr>
      <w:rPr>
        <w:rFonts w:ascii="Symbol" w:hAnsi="Symbol" w:hint="default"/>
      </w:rPr>
    </w:lvl>
    <w:lvl w:ilvl="1" w:tplc="7B060208" w:tentative="1">
      <w:start w:val="1"/>
      <w:numFmt w:val="bullet"/>
      <w:lvlText w:val="o"/>
      <w:lvlJc w:val="left"/>
      <w:pPr>
        <w:ind w:left="1440" w:hanging="360"/>
      </w:pPr>
      <w:rPr>
        <w:rFonts w:ascii="Courier New" w:hAnsi="Courier New" w:cs="Courier New" w:hint="default"/>
      </w:rPr>
    </w:lvl>
    <w:lvl w:ilvl="2" w:tplc="3B8E3C1E" w:tentative="1">
      <w:start w:val="1"/>
      <w:numFmt w:val="bullet"/>
      <w:lvlText w:val=""/>
      <w:lvlJc w:val="left"/>
      <w:pPr>
        <w:ind w:left="2160" w:hanging="360"/>
      </w:pPr>
      <w:rPr>
        <w:rFonts w:ascii="Wingdings" w:hAnsi="Wingdings" w:hint="default"/>
      </w:rPr>
    </w:lvl>
    <w:lvl w:ilvl="3" w:tplc="D7346A90" w:tentative="1">
      <w:start w:val="1"/>
      <w:numFmt w:val="bullet"/>
      <w:lvlText w:val=""/>
      <w:lvlJc w:val="left"/>
      <w:pPr>
        <w:ind w:left="2880" w:hanging="360"/>
      </w:pPr>
      <w:rPr>
        <w:rFonts w:ascii="Symbol" w:hAnsi="Symbol" w:hint="default"/>
      </w:rPr>
    </w:lvl>
    <w:lvl w:ilvl="4" w:tplc="7E5069CE" w:tentative="1">
      <w:start w:val="1"/>
      <w:numFmt w:val="bullet"/>
      <w:lvlText w:val="o"/>
      <w:lvlJc w:val="left"/>
      <w:pPr>
        <w:ind w:left="3600" w:hanging="360"/>
      </w:pPr>
      <w:rPr>
        <w:rFonts w:ascii="Courier New" w:hAnsi="Courier New" w:cs="Courier New" w:hint="default"/>
      </w:rPr>
    </w:lvl>
    <w:lvl w:ilvl="5" w:tplc="91EA35F4" w:tentative="1">
      <w:start w:val="1"/>
      <w:numFmt w:val="bullet"/>
      <w:lvlText w:val=""/>
      <w:lvlJc w:val="left"/>
      <w:pPr>
        <w:ind w:left="4320" w:hanging="360"/>
      </w:pPr>
      <w:rPr>
        <w:rFonts w:ascii="Wingdings" w:hAnsi="Wingdings" w:hint="default"/>
      </w:rPr>
    </w:lvl>
    <w:lvl w:ilvl="6" w:tplc="2A24057E" w:tentative="1">
      <w:start w:val="1"/>
      <w:numFmt w:val="bullet"/>
      <w:lvlText w:val=""/>
      <w:lvlJc w:val="left"/>
      <w:pPr>
        <w:ind w:left="5040" w:hanging="360"/>
      </w:pPr>
      <w:rPr>
        <w:rFonts w:ascii="Symbol" w:hAnsi="Symbol" w:hint="default"/>
      </w:rPr>
    </w:lvl>
    <w:lvl w:ilvl="7" w:tplc="1AA213FC" w:tentative="1">
      <w:start w:val="1"/>
      <w:numFmt w:val="bullet"/>
      <w:lvlText w:val="o"/>
      <w:lvlJc w:val="left"/>
      <w:pPr>
        <w:ind w:left="5760" w:hanging="360"/>
      </w:pPr>
      <w:rPr>
        <w:rFonts w:ascii="Courier New" w:hAnsi="Courier New" w:cs="Courier New" w:hint="default"/>
      </w:rPr>
    </w:lvl>
    <w:lvl w:ilvl="8" w:tplc="ED5A1E32" w:tentative="1">
      <w:start w:val="1"/>
      <w:numFmt w:val="bullet"/>
      <w:lvlText w:val=""/>
      <w:lvlJc w:val="left"/>
      <w:pPr>
        <w:ind w:left="6480" w:hanging="360"/>
      </w:pPr>
      <w:rPr>
        <w:rFonts w:ascii="Wingdings" w:hAnsi="Wingdings" w:hint="default"/>
      </w:rPr>
    </w:lvl>
  </w:abstractNum>
  <w:abstractNum w:abstractNumId="19" w15:restartNumberingAfterBreak="0">
    <w:nsid w:val="04277AF3"/>
    <w:multiLevelType w:val="singleLevel"/>
    <w:tmpl w:val="2FDA33E8"/>
    <w:lvl w:ilvl="0">
      <w:start w:val="1"/>
      <w:numFmt w:val="upperLetter"/>
      <w:lvlText w:val="%1."/>
      <w:legacy w:legacy="1" w:legacySpace="0" w:legacyIndent="360"/>
      <w:lvlJc w:val="left"/>
      <w:pPr>
        <w:ind w:left="1494" w:hanging="360"/>
      </w:pPr>
      <w:rPr>
        <w:rFonts w:cs="Times New Roman"/>
      </w:rPr>
    </w:lvl>
  </w:abstractNum>
  <w:abstractNum w:abstractNumId="20" w15:restartNumberingAfterBreak="0">
    <w:nsid w:val="04833ACF"/>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21" w15:restartNumberingAfterBreak="0">
    <w:nsid w:val="04DE6C58"/>
    <w:multiLevelType w:val="hybridMultilevel"/>
    <w:tmpl w:val="11EE579C"/>
    <w:lvl w:ilvl="0" w:tplc="59825E58">
      <w:numFmt w:val="bullet"/>
      <w:lvlText w:val="•"/>
      <w:lvlJc w:val="left"/>
      <w:pPr>
        <w:ind w:left="1065" w:hanging="705"/>
      </w:pPr>
      <w:rPr>
        <w:rFonts w:ascii="Times New Roman" w:eastAsia="PMingLiU" w:hAnsi="Times New Roman" w:cs="Times New Roman" w:hint="default"/>
      </w:rPr>
    </w:lvl>
    <w:lvl w:ilvl="1" w:tplc="C21E9550" w:tentative="1">
      <w:start w:val="1"/>
      <w:numFmt w:val="bullet"/>
      <w:lvlText w:val="o"/>
      <w:lvlJc w:val="left"/>
      <w:pPr>
        <w:ind w:left="1440" w:hanging="360"/>
      </w:pPr>
      <w:rPr>
        <w:rFonts w:ascii="Courier New" w:hAnsi="Courier New" w:cs="Courier New" w:hint="default"/>
      </w:rPr>
    </w:lvl>
    <w:lvl w:ilvl="2" w:tplc="C748A298" w:tentative="1">
      <w:start w:val="1"/>
      <w:numFmt w:val="bullet"/>
      <w:lvlText w:val=""/>
      <w:lvlJc w:val="left"/>
      <w:pPr>
        <w:ind w:left="2160" w:hanging="360"/>
      </w:pPr>
      <w:rPr>
        <w:rFonts w:ascii="Wingdings" w:hAnsi="Wingdings" w:hint="default"/>
      </w:rPr>
    </w:lvl>
    <w:lvl w:ilvl="3" w:tplc="4906D366" w:tentative="1">
      <w:start w:val="1"/>
      <w:numFmt w:val="bullet"/>
      <w:lvlText w:val=""/>
      <w:lvlJc w:val="left"/>
      <w:pPr>
        <w:ind w:left="2880" w:hanging="360"/>
      </w:pPr>
      <w:rPr>
        <w:rFonts w:ascii="Symbol" w:hAnsi="Symbol" w:hint="default"/>
      </w:rPr>
    </w:lvl>
    <w:lvl w:ilvl="4" w:tplc="9746DFB6" w:tentative="1">
      <w:start w:val="1"/>
      <w:numFmt w:val="bullet"/>
      <w:lvlText w:val="o"/>
      <w:lvlJc w:val="left"/>
      <w:pPr>
        <w:ind w:left="3600" w:hanging="360"/>
      </w:pPr>
      <w:rPr>
        <w:rFonts w:ascii="Courier New" w:hAnsi="Courier New" w:cs="Courier New" w:hint="default"/>
      </w:rPr>
    </w:lvl>
    <w:lvl w:ilvl="5" w:tplc="CA0CB9C8" w:tentative="1">
      <w:start w:val="1"/>
      <w:numFmt w:val="bullet"/>
      <w:lvlText w:val=""/>
      <w:lvlJc w:val="left"/>
      <w:pPr>
        <w:ind w:left="4320" w:hanging="360"/>
      </w:pPr>
      <w:rPr>
        <w:rFonts w:ascii="Wingdings" w:hAnsi="Wingdings" w:hint="default"/>
      </w:rPr>
    </w:lvl>
    <w:lvl w:ilvl="6" w:tplc="9C365976" w:tentative="1">
      <w:start w:val="1"/>
      <w:numFmt w:val="bullet"/>
      <w:lvlText w:val=""/>
      <w:lvlJc w:val="left"/>
      <w:pPr>
        <w:ind w:left="5040" w:hanging="360"/>
      </w:pPr>
      <w:rPr>
        <w:rFonts w:ascii="Symbol" w:hAnsi="Symbol" w:hint="default"/>
      </w:rPr>
    </w:lvl>
    <w:lvl w:ilvl="7" w:tplc="638A1CD4" w:tentative="1">
      <w:start w:val="1"/>
      <w:numFmt w:val="bullet"/>
      <w:lvlText w:val="o"/>
      <w:lvlJc w:val="left"/>
      <w:pPr>
        <w:ind w:left="5760" w:hanging="360"/>
      </w:pPr>
      <w:rPr>
        <w:rFonts w:ascii="Courier New" w:hAnsi="Courier New" w:cs="Courier New" w:hint="default"/>
      </w:rPr>
    </w:lvl>
    <w:lvl w:ilvl="8" w:tplc="73261DD2" w:tentative="1">
      <w:start w:val="1"/>
      <w:numFmt w:val="bullet"/>
      <w:lvlText w:val=""/>
      <w:lvlJc w:val="left"/>
      <w:pPr>
        <w:ind w:left="6480" w:hanging="360"/>
      </w:pPr>
      <w:rPr>
        <w:rFonts w:ascii="Wingdings" w:hAnsi="Wingdings" w:hint="default"/>
      </w:rPr>
    </w:lvl>
  </w:abstractNum>
  <w:abstractNum w:abstractNumId="22" w15:restartNumberingAfterBreak="0">
    <w:nsid w:val="05442A44"/>
    <w:multiLevelType w:val="hybridMultilevel"/>
    <w:tmpl w:val="61C640BC"/>
    <w:lvl w:ilvl="0" w:tplc="0122B080">
      <w:start w:val="1"/>
      <w:numFmt w:val="bullet"/>
      <w:lvlText w:val=""/>
      <w:lvlJc w:val="left"/>
      <w:pPr>
        <w:ind w:left="720" w:hanging="360"/>
      </w:pPr>
      <w:rPr>
        <w:rFonts w:ascii="Symbol" w:hAnsi="Symbol" w:hint="default"/>
      </w:rPr>
    </w:lvl>
    <w:lvl w:ilvl="1" w:tplc="B1FCBB30" w:tentative="1">
      <w:start w:val="1"/>
      <w:numFmt w:val="bullet"/>
      <w:lvlText w:val="o"/>
      <w:lvlJc w:val="left"/>
      <w:pPr>
        <w:ind w:left="1440" w:hanging="360"/>
      </w:pPr>
      <w:rPr>
        <w:rFonts w:ascii="Courier New" w:hAnsi="Courier New" w:cs="Courier New" w:hint="default"/>
      </w:rPr>
    </w:lvl>
    <w:lvl w:ilvl="2" w:tplc="96E6816A" w:tentative="1">
      <w:start w:val="1"/>
      <w:numFmt w:val="bullet"/>
      <w:lvlText w:val=""/>
      <w:lvlJc w:val="left"/>
      <w:pPr>
        <w:ind w:left="2160" w:hanging="360"/>
      </w:pPr>
      <w:rPr>
        <w:rFonts w:ascii="Wingdings" w:hAnsi="Wingdings" w:hint="default"/>
      </w:rPr>
    </w:lvl>
    <w:lvl w:ilvl="3" w:tplc="2A1A883A" w:tentative="1">
      <w:start w:val="1"/>
      <w:numFmt w:val="bullet"/>
      <w:lvlText w:val=""/>
      <w:lvlJc w:val="left"/>
      <w:pPr>
        <w:ind w:left="2880" w:hanging="360"/>
      </w:pPr>
      <w:rPr>
        <w:rFonts w:ascii="Symbol" w:hAnsi="Symbol" w:hint="default"/>
      </w:rPr>
    </w:lvl>
    <w:lvl w:ilvl="4" w:tplc="AA786C42" w:tentative="1">
      <w:start w:val="1"/>
      <w:numFmt w:val="bullet"/>
      <w:lvlText w:val="o"/>
      <w:lvlJc w:val="left"/>
      <w:pPr>
        <w:ind w:left="3600" w:hanging="360"/>
      </w:pPr>
      <w:rPr>
        <w:rFonts w:ascii="Courier New" w:hAnsi="Courier New" w:cs="Courier New" w:hint="default"/>
      </w:rPr>
    </w:lvl>
    <w:lvl w:ilvl="5" w:tplc="AFCA544C" w:tentative="1">
      <w:start w:val="1"/>
      <w:numFmt w:val="bullet"/>
      <w:lvlText w:val=""/>
      <w:lvlJc w:val="left"/>
      <w:pPr>
        <w:ind w:left="4320" w:hanging="360"/>
      </w:pPr>
      <w:rPr>
        <w:rFonts w:ascii="Wingdings" w:hAnsi="Wingdings" w:hint="default"/>
      </w:rPr>
    </w:lvl>
    <w:lvl w:ilvl="6" w:tplc="3F52AEA6" w:tentative="1">
      <w:start w:val="1"/>
      <w:numFmt w:val="bullet"/>
      <w:lvlText w:val=""/>
      <w:lvlJc w:val="left"/>
      <w:pPr>
        <w:ind w:left="5040" w:hanging="360"/>
      </w:pPr>
      <w:rPr>
        <w:rFonts w:ascii="Symbol" w:hAnsi="Symbol" w:hint="default"/>
      </w:rPr>
    </w:lvl>
    <w:lvl w:ilvl="7" w:tplc="B9DA8D24" w:tentative="1">
      <w:start w:val="1"/>
      <w:numFmt w:val="bullet"/>
      <w:lvlText w:val="o"/>
      <w:lvlJc w:val="left"/>
      <w:pPr>
        <w:ind w:left="5760" w:hanging="360"/>
      </w:pPr>
      <w:rPr>
        <w:rFonts w:ascii="Courier New" w:hAnsi="Courier New" w:cs="Courier New" w:hint="default"/>
      </w:rPr>
    </w:lvl>
    <w:lvl w:ilvl="8" w:tplc="1EACF390" w:tentative="1">
      <w:start w:val="1"/>
      <w:numFmt w:val="bullet"/>
      <w:lvlText w:val=""/>
      <w:lvlJc w:val="left"/>
      <w:pPr>
        <w:ind w:left="6480" w:hanging="360"/>
      </w:pPr>
      <w:rPr>
        <w:rFonts w:ascii="Wingdings" w:hAnsi="Wingdings" w:hint="default"/>
      </w:rPr>
    </w:lvl>
  </w:abstractNum>
  <w:abstractNum w:abstractNumId="23" w15:restartNumberingAfterBreak="0">
    <w:nsid w:val="05F6712A"/>
    <w:multiLevelType w:val="hybridMultilevel"/>
    <w:tmpl w:val="CA48C544"/>
    <w:lvl w:ilvl="0" w:tplc="4008F67C">
      <w:start w:val="1"/>
      <w:numFmt w:val="bullet"/>
      <w:lvlText w:val=""/>
      <w:lvlJc w:val="left"/>
      <w:pPr>
        <w:tabs>
          <w:tab w:val="num" w:pos="360"/>
        </w:tabs>
        <w:ind w:left="360" w:hanging="360"/>
      </w:pPr>
      <w:rPr>
        <w:rFonts w:ascii="Symbol" w:hAnsi="Symbol" w:hint="default"/>
      </w:rPr>
    </w:lvl>
    <w:lvl w:ilvl="1" w:tplc="A4C4807C">
      <w:start w:val="1"/>
      <w:numFmt w:val="bullet"/>
      <w:lvlText w:val=""/>
      <w:lvlJc w:val="left"/>
      <w:pPr>
        <w:tabs>
          <w:tab w:val="num" w:pos="567"/>
        </w:tabs>
        <w:ind w:left="567" w:hanging="567"/>
      </w:pPr>
      <w:rPr>
        <w:rFonts w:ascii="Symbol" w:hAnsi="Symbol" w:hint="default"/>
      </w:rPr>
    </w:lvl>
    <w:lvl w:ilvl="2" w:tplc="8C9CD350">
      <w:start w:val="1"/>
      <w:numFmt w:val="bullet"/>
      <w:lvlText w:val=""/>
      <w:lvlJc w:val="left"/>
      <w:pPr>
        <w:tabs>
          <w:tab w:val="num" w:pos="2160"/>
        </w:tabs>
        <w:ind w:left="2160" w:hanging="360"/>
      </w:pPr>
      <w:rPr>
        <w:rFonts w:ascii="Wingdings" w:hAnsi="Wingdings" w:hint="default"/>
      </w:rPr>
    </w:lvl>
    <w:lvl w:ilvl="3" w:tplc="49804846" w:tentative="1">
      <w:start w:val="1"/>
      <w:numFmt w:val="bullet"/>
      <w:lvlText w:val=""/>
      <w:lvlJc w:val="left"/>
      <w:pPr>
        <w:tabs>
          <w:tab w:val="num" w:pos="2880"/>
        </w:tabs>
        <w:ind w:left="2880" w:hanging="360"/>
      </w:pPr>
      <w:rPr>
        <w:rFonts w:ascii="Symbol" w:hAnsi="Symbol" w:hint="default"/>
      </w:rPr>
    </w:lvl>
    <w:lvl w:ilvl="4" w:tplc="3780A726" w:tentative="1">
      <w:start w:val="1"/>
      <w:numFmt w:val="bullet"/>
      <w:lvlText w:val="o"/>
      <w:lvlJc w:val="left"/>
      <w:pPr>
        <w:tabs>
          <w:tab w:val="num" w:pos="3600"/>
        </w:tabs>
        <w:ind w:left="3600" w:hanging="360"/>
      </w:pPr>
      <w:rPr>
        <w:rFonts w:ascii="Courier New" w:hAnsi="Courier New" w:hint="default"/>
      </w:rPr>
    </w:lvl>
    <w:lvl w:ilvl="5" w:tplc="EFD69622" w:tentative="1">
      <w:start w:val="1"/>
      <w:numFmt w:val="bullet"/>
      <w:lvlText w:val=""/>
      <w:lvlJc w:val="left"/>
      <w:pPr>
        <w:tabs>
          <w:tab w:val="num" w:pos="4320"/>
        </w:tabs>
        <w:ind w:left="4320" w:hanging="360"/>
      </w:pPr>
      <w:rPr>
        <w:rFonts w:ascii="Wingdings" w:hAnsi="Wingdings" w:hint="default"/>
      </w:rPr>
    </w:lvl>
    <w:lvl w:ilvl="6" w:tplc="3F88A7F2" w:tentative="1">
      <w:start w:val="1"/>
      <w:numFmt w:val="bullet"/>
      <w:lvlText w:val=""/>
      <w:lvlJc w:val="left"/>
      <w:pPr>
        <w:tabs>
          <w:tab w:val="num" w:pos="5040"/>
        </w:tabs>
        <w:ind w:left="5040" w:hanging="360"/>
      </w:pPr>
      <w:rPr>
        <w:rFonts w:ascii="Symbol" w:hAnsi="Symbol" w:hint="default"/>
      </w:rPr>
    </w:lvl>
    <w:lvl w:ilvl="7" w:tplc="5928BD80" w:tentative="1">
      <w:start w:val="1"/>
      <w:numFmt w:val="bullet"/>
      <w:lvlText w:val="o"/>
      <w:lvlJc w:val="left"/>
      <w:pPr>
        <w:tabs>
          <w:tab w:val="num" w:pos="5760"/>
        </w:tabs>
        <w:ind w:left="5760" w:hanging="360"/>
      </w:pPr>
      <w:rPr>
        <w:rFonts w:ascii="Courier New" w:hAnsi="Courier New" w:hint="default"/>
      </w:rPr>
    </w:lvl>
    <w:lvl w:ilvl="8" w:tplc="52E6A18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68A7CA3"/>
    <w:multiLevelType w:val="hybridMultilevel"/>
    <w:tmpl w:val="6F24381A"/>
    <w:lvl w:ilvl="0" w:tplc="B33C8A58">
      <w:start w:val="1"/>
      <w:numFmt w:val="bullet"/>
      <w:lvlText w:val=""/>
      <w:lvlJc w:val="left"/>
      <w:pPr>
        <w:tabs>
          <w:tab w:val="num" w:pos="720"/>
        </w:tabs>
        <w:ind w:left="720" w:hanging="360"/>
      </w:pPr>
      <w:rPr>
        <w:rFonts w:ascii="Symbol" w:hAnsi="Symbol" w:hint="default"/>
      </w:rPr>
    </w:lvl>
    <w:lvl w:ilvl="1" w:tplc="D43481F0">
      <w:start w:val="1"/>
      <w:numFmt w:val="bullet"/>
      <w:lvlText w:val=""/>
      <w:lvlJc w:val="left"/>
      <w:pPr>
        <w:tabs>
          <w:tab w:val="num" w:pos="567"/>
        </w:tabs>
        <w:ind w:left="567" w:hanging="567"/>
      </w:pPr>
      <w:rPr>
        <w:rFonts w:ascii="Symbol" w:hAnsi="Symbol" w:hint="default"/>
      </w:rPr>
    </w:lvl>
    <w:lvl w:ilvl="2" w:tplc="7BA62C90">
      <w:start w:val="1"/>
      <w:numFmt w:val="bullet"/>
      <w:lvlText w:val=""/>
      <w:lvlJc w:val="left"/>
      <w:pPr>
        <w:tabs>
          <w:tab w:val="num" w:pos="2160"/>
        </w:tabs>
        <w:ind w:left="2160" w:hanging="360"/>
      </w:pPr>
      <w:rPr>
        <w:rFonts w:ascii="Wingdings" w:hAnsi="Wingdings" w:hint="default"/>
      </w:rPr>
    </w:lvl>
    <w:lvl w:ilvl="3" w:tplc="E146FDCA" w:tentative="1">
      <w:start w:val="1"/>
      <w:numFmt w:val="bullet"/>
      <w:lvlText w:val=""/>
      <w:lvlJc w:val="left"/>
      <w:pPr>
        <w:tabs>
          <w:tab w:val="num" w:pos="2880"/>
        </w:tabs>
        <w:ind w:left="2880" w:hanging="360"/>
      </w:pPr>
      <w:rPr>
        <w:rFonts w:ascii="Symbol" w:hAnsi="Symbol" w:hint="default"/>
      </w:rPr>
    </w:lvl>
    <w:lvl w:ilvl="4" w:tplc="D4BCB27E" w:tentative="1">
      <w:start w:val="1"/>
      <w:numFmt w:val="bullet"/>
      <w:lvlText w:val="o"/>
      <w:lvlJc w:val="left"/>
      <w:pPr>
        <w:tabs>
          <w:tab w:val="num" w:pos="3600"/>
        </w:tabs>
        <w:ind w:left="3600" w:hanging="360"/>
      </w:pPr>
      <w:rPr>
        <w:rFonts w:ascii="Courier New" w:hAnsi="Courier New" w:hint="default"/>
      </w:rPr>
    </w:lvl>
    <w:lvl w:ilvl="5" w:tplc="25A8E176" w:tentative="1">
      <w:start w:val="1"/>
      <w:numFmt w:val="bullet"/>
      <w:lvlText w:val=""/>
      <w:lvlJc w:val="left"/>
      <w:pPr>
        <w:tabs>
          <w:tab w:val="num" w:pos="4320"/>
        </w:tabs>
        <w:ind w:left="4320" w:hanging="360"/>
      </w:pPr>
      <w:rPr>
        <w:rFonts w:ascii="Wingdings" w:hAnsi="Wingdings" w:hint="default"/>
      </w:rPr>
    </w:lvl>
    <w:lvl w:ilvl="6" w:tplc="17068536" w:tentative="1">
      <w:start w:val="1"/>
      <w:numFmt w:val="bullet"/>
      <w:lvlText w:val=""/>
      <w:lvlJc w:val="left"/>
      <w:pPr>
        <w:tabs>
          <w:tab w:val="num" w:pos="5040"/>
        </w:tabs>
        <w:ind w:left="5040" w:hanging="360"/>
      </w:pPr>
      <w:rPr>
        <w:rFonts w:ascii="Symbol" w:hAnsi="Symbol" w:hint="default"/>
      </w:rPr>
    </w:lvl>
    <w:lvl w:ilvl="7" w:tplc="F2125BD0" w:tentative="1">
      <w:start w:val="1"/>
      <w:numFmt w:val="bullet"/>
      <w:lvlText w:val="o"/>
      <w:lvlJc w:val="left"/>
      <w:pPr>
        <w:tabs>
          <w:tab w:val="num" w:pos="5760"/>
        </w:tabs>
        <w:ind w:left="5760" w:hanging="360"/>
      </w:pPr>
      <w:rPr>
        <w:rFonts w:ascii="Courier New" w:hAnsi="Courier New" w:hint="default"/>
      </w:rPr>
    </w:lvl>
    <w:lvl w:ilvl="8" w:tplc="BDFE439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816623A"/>
    <w:multiLevelType w:val="hybridMultilevel"/>
    <w:tmpl w:val="C00E74D0"/>
    <w:lvl w:ilvl="0" w:tplc="410CD282">
      <w:start w:val="1"/>
      <w:numFmt w:val="bullet"/>
      <w:lvlText w:val=""/>
      <w:lvlJc w:val="left"/>
      <w:pPr>
        <w:tabs>
          <w:tab w:val="num" w:pos="851"/>
        </w:tabs>
        <w:ind w:left="851" w:hanging="567"/>
      </w:pPr>
      <w:rPr>
        <w:rFonts w:ascii="Symbol" w:hAnsi="Symbol" w:hint="default"/>
      </w:rPr>
    </w:lvl>
    <w:lvl w:ilvl="1" w:tplc="6F78C5A6">
      <w:start w:val="1"/>
      <w:numFmt w:val="bullet"/>
      <w:lvlText w:val="o"/>
      <w:lvlJc w:val="left"/>
      <w:pPr>
        <w:tabs>
          <w:tab w:val="num" w:pos="1724"/>
        </w:tabs>
        <w:ind w:left="1724" w:hanging="360"/>
      </w:pPr>
      <w:rPr>
        <w:rFonts w:ascii="Courier New" w:hAnsi="Courier New" w:hint="default"/>
      </w:rPr>
    </w:lvl>
    <w:lvl w:ilvl="2" w:tplc="24789BF4" w:tentative="1">
      <w:start w:val="1"/>
      <w:numFmt w:val="bullet"/>
      <w:lvlText w:val=""/>
      <w:lvlJc w:val="left"/>
      <w:pPr>
        <w:tabs>
          <w:tab w:val="num" w:pos="2444"/>
        </w:tabs>
        <w:ind w:left="2444" w:hanging="360"/>
      </w:pPr>
      <w:rPr>
        <w:rFonts w:ascii="Wingdings" w:hAnsi="Wingdings" w:hint="default"/>
      </w:rPr>
    </w:lvl>
    <w:lvl w:ilvl="3" w:tplc="54384446" w:tentative="1">
      <w:start w:val="1"/>
      <w:numFmt w:val="bullet"/>
      <w:lvlText w:val=""/>
      <w:lvlJc w:val="left"/>
      <w:pPr>
        <w:tabs>
          <w:tab w:val="num" w:pos="3164"/>
        </w:tabs>
        <w:ind w:left="3164" w:hanging="360"/>
      </w:pPr>
      <w:rPr>
        <w:rFonts w:ascii="Symbol" w:hAnsi="Symbol" w:hint="default"/>
      </w:rPr>
    </w:lvl>
    <w:lvl w:ilvl="4" w:tplc="95BCD442" w:tentative="1">
      <w:start w:val="1"/>
      <w:numFmt w:val="bullet"/>
      <w:lvlText w:val="o"/>
      <w:lvlJc w:val="left"/>
      <w:pPr>
        <w:tabs>
          <w:tab w:val="num" w:pos="3884"/>
        </w:tabs>
        <w:ind w:left="3884" w:hanging="360"/>
      </w:pPr>
      <w:rPr>
        <w:rFonts w:ascii="Courier New" w:hAnsi="Courier New" w:hint="default"/>
      </w:rPr>
    </w:lvl>
    <w:lvl w:ilvl="5" w:tplc="9B50E19A" w:tentative="1">
      <w:start w:val="1"/>
      <w:numFmt w:val="bullet"/>
      <w:lvlText w:val=""/>
      <w:lvlJc w:val="left"/>
      <w:pPr>
        <w:tabs>
          <w:tab w:val="num" w:pos="4604"/>
        </w:tabs>
        <w:ind w:left="4604" w:hanging="360"/>
      </w:pPr>
      <w:rPr>
        <w:rFonts w:ascii="Wingdings" w:hAnsi="Wingdings" w:hint="default"/>
      </w:rPr>
    </w:lvl>
    <w:lvl w:ilvl="6" w:tplc="4B043AAC" w:tentative="1">
      <w:start w:val="1"/>
      <w:numFmt w:val="bullet"/>
      <w:lvlText w:val=""/>
      <w:lvlJc w:val="left"/>
      <w:pPr>
        <w:tabs>
          <w:tab w:val="num" w:pos="5324"/>
        </w:tabs>
        <w:ind w:left="5324" w:hanging="360"/>
      </w:pPr>
      <w:rPr>
        <w:rFonts w:ascii="Symbol" w:hAnsi="Symbol" w:hint="default"/>
      </w:rPr>
    </w:lvl>
    <w:lvl w:ilvl="7" w:tplc="28603AD6" w:tentative="1">
      <w:start w:val="1"/>
      <w:numFmt w:val="bullet"/>
      <w:lvlText w:val="o"/>
      <w:lvlJc w:val="left"/>
      <w:pPr>
        <w:tabs>
          <w:tab w:val="num" w:pos="6044"/>
        </w:tabs>
        <w:ind w:left="6044" w:hanging="360"/>
      </w:pPr>
      <w:rPr>
        <w:rFonts w:ascii="Courier New" w:hAnsi="Courier New" w:hint="default"/>
      </w:rPr>
    </w:lvl>
    <w:lvl w:ilvl="8" w:tplc="B1B87CDC" w:tentative="1">
      <w:start w:val="1"/>
      <w:numFmt w:val="bullet"/>
      <w:lvlText w:val=""/>
      <w:lvlJc w:val="left"/>
      <w:pPr>
        <w:tabs>
          <w:tab w:val="num" w:pos="6764"/>
        </w:tabs>
        <w:ind w:left="6764" w:hanging="360"/>
      </w:pPr>
      <w:rPr>
        <w:rFonts w:ascii="Wingdings" w:hAnsi="Wingdings" w:hint="default"/>
      </w:rPr>
    </w:lvl>
  </w:abstractNum>
  <w:abstractNum w:abstractNumId="26" w15:restartNumberingAfterBreak="0">
    <w:nsid w:val="0839293A"/>
    <w:multiLevelType w:val="hybridMultilevel"/>
    <w:tmpl w:val="C52EFD5C"/>
    <w:lvl w:ilvl="0" w:tplc="F8323A28">
      <w:start w:val="1"/>
      <w:numFmt w:val="bullet"/>
      <w:lvlText w:val=""/>
      <w:lvlJc w:val="left"/>
      <w:pPr>
        <w:tabs>
          <w:tab w:val="num" w:pos="567"/>
        </w:tabs>
        <w:ind w:left="567" w:hanging="567"/>
      </w:pPr>
      <w:rPr>
        <w:rFonts w:ascii="Symbol" w:hAnsi="Symbol" w:hint="default"/>
        <w:color w:val="auto"/>
      </w:rPr>
    </w:lvl>
    <w:lvl w:ilvl="1" w:tplc="63D8EA04">
      <w:start w:val="1"/>
      <w:numFmt w:val="bullet"/>
      <w:lvlText w:val="o"/>
      <w:lvlJc w:val="left"/>
      <w:pPr>
        <w:tabs>
          <w:tab w:val="num" w:pos="1440"/>
        </w:tabs>
        <w:ind w:left="1440" w:hanging="360"/>
      </w:pPr>
      <w:rPr>
        <w:rFonts w:ascii="Courier New" w:hAnsi="Courier New" w:hint="default"/>
      </w:rPr>
    </w:lvl>
    <w:lvl w:ilvl="2" w:tplc="1DA2504A" w:tentative="1">
      <w:start w:val="1"/>
      <w:numFmt w:val="bullet"/>
      <w:lvlText w:val=""/>
      <w:lvlJc w:val="left"/>
      <w:pPr>
        <w:tabs>
          <w:tab w:val="num" w:pos="2160"/>
        </w:tabs>
        <w:ind w:left="2160" w:hanging="360"/>
      </w:pPr>
      <w:rPr>
        <w:rFonts w:ascii="Wingdings" w:hAnsi="Wingdings" w:hint="default"/>
      </w:rPr>
    </w:lvl>
    <w:lvl w:ilvl="3" w:tplc="A5BE0A0A" w:tentative="1">
      <w:start w:val="1"/>
      <w:numFmt w:val="bullet"/>
      <w:lvlText w:val=""/>
      <w:lvlJc w:val="left"/>
      <w:pPr>
        <w:tabs>
          <w:tab w:val="num" w:pos="2880"/>
        </w:tabs>
        <w:ind w:left="2880" w:hanging="360"/>
      </w:pPr>
      <w:rPr>
        <w:rFonts w:ascii="Symbol" w:hAnsi="Symbol" w:hint="default"/>
      </w:rPr>
    </w:lvl>
    <w:lvl w:ilvl="4" w:tplc="9D9CD730" w:tentative="1">
      <w:start w:val="1"/>
      <w:numFmt w:val="bullet"/>
      <w:lvlText w:val="o"/>
      <w:lvlJc w:val="left"/>
      <w:pPr>
        <w:tabs>
          <w:tab w:val="num" w:pos="3600"/>
        </w:tabs>
        <w:ind w:left="3600" w:hanging="360"/>
      </w:pPr>
      <w:rPr>
        <w:rFonts w:ascii="Courier New" w:hAnsi="Courier New" w:hint="default"/>
      </w:rPr>
    </w:lvl>
    <w:lvl w:ilvl="5" w:tplc="041E72E2" w:tentative="1">
      <w:start w:val="1"/>
      <w:numFmt w:val="bullet"/>
      <w:lvlText w:val=""/>
      <w:lvlJc w:val="left"/>
      <w:pPr>
        <w:tabs>
          <w:tab w:val="num" w:pos="4320"/>
        </w:tabs>
        <w:ind w:left="4320" w:hanging="360"/>
      </w:pPr>
      <w:rPr>
        <w:rFonts w:ascii="Wingdings" w:hAnsi="Wingdings" w:hint="default"/>
      </w:rPr>
    </w:lvl>
    <w:lvl w:ilvl="6" w:tplc="C86A4376" w:tentative="1">
      <w:start w:val="1"/>
      <w:numFmt w:val="bullet"/>
      <w:lvlText w:val=""/>
      <w:lvlJc w:val="left"/>
      <w:pPr>
        <w:tabs>
          <w:tab w:val="num" w:pos="5040"/>
        </w:tabs>
        <w:ind w:left="5040" w:hanging="360"/>
      </w:pPr>
      <w:rPr>
        <w:rFonts w:ascii="Symbol" w:hAnsi="Symbol" w:hint="default"/>
      </w:rPr>
    </w:lvl>
    <w:lvl w:ilvl="7" w:tplc="6E30905E" w:tentative="1">
      <w:start w:val="1"/>
      <w:numFmt w:val="bullet"/>
      <w:lvlText w:val="o"/>
      <w:lvlJc w:val="left"/>
      <w:pPr>
        <w:tabs>
          <w:tab w:val="num" w:pos="5760"/>
        </w:tabs>
        <w:ind w:left="5760" w:hanging="360"/>
      </w:pPr>
      <w:rPr>
        <w:rFonts w:ascii="Courier New" w:hAnsi="Courier New" w:hint="default"/>
      </w:rPr>
    </w:lvl>
    <w:lvl w:ilvl="8" w:tplc="D76E465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8EF5AF4"/>
    <w:multiLevelType w:val="hybridMultilevel"/>
    <w:tmpl w:val="1B724680"/>
    <w:lvl w:ilvl="0" w:tplc="B9382834">
      <w:start w:val="1"/>
      <w:numFmt w:val="bullet"/>
      <w:lvlText w:val=""/>
      <w:lvlJc w:val="left"/>
      <w:pPr>
        <w:tabs>
          <w:tab w:val="num" w:pos="283"/>
        </w:tabs>
        <w:ind w:left="566" w:hanging="283"/>
      </w:pPr>
      <w:rPr>
        <w:rFonts w:ascii="Symbol" w:hAnsi="Symbol" w:hint="default"/>
      </w:rPr>
    </w:lvl>
    <w:lvl w:ilvl="1" w:tplc="C08C30A8">
      <w:start w:val="1"/>
      <w:numFmt w:val="bullet"/>
      <w:lvlText w:val="o"/>
      <w:lvlJc w:val="left"/>
      <w:pPr>
        <w:tabs>
          <w:tab w:val="num" w:pos="1723"/>
        </w:tabs>
        <w:ind w:left="1723" w:hanging="360"/>
      </w:pPr>
      <w:rPr>
        <w:rFonts w:ascii="Courier New" w:hAnsi="Courier New" w:hint="default"/>
      </w:rPr>
    </w:lvl>
    <w:lvl w:ilvl="2" w:tplc="0CD818D4" w:tentative="1">
      <w:start w:val="1"/>
      <w:numFmt w:val="bullet"/>
      <w:lvlText w:val=""/>
      <w:lvlJc w:val="left"/>
      <w:pPr>
        <w:tabs>
          <w:tab w:val="num" w:pos="2443"/>
        </w:tabs>
        <w:ind w:left="2443" w:hanging="360"/>
      </w:pPr>
      <w:rPr>
        <w:rFonts w:ascii="Wingdings" w:hAnsi="Wingdings" w:hint="default"/>
      </w:rPr>
    </w:lvl>
    <w:lvl w:ilvl="3" w:tplc="E55804B4" w:tentative="1">
      <w:start w:val="1"/>
      <w:numFmt w:val="bullet"/>
      <w:lvlText w:val=""/>
      <w:lvlJc w:val="left"/>
      <w:pPr>
        <w:tabs>
          <w:tab w:val="num" w:pos="3163"/>
        </w:tabs>
        <w:ind w:left="3163" w:hanging="360"/>
      </w:pPr>
      <w:rPr>
        <w:rFonts w:ascii="Symbol" w:hAnsi="Symbol" w:hint="default"/>
      </w:rPr>
    </w:lvl>
    <w:lvl w:ilvl="4" w:tplc="BE2ACA2A" w:tentative="1">
      <w:start w:val="1"/>
      <w:numFmt w:val="bullet"/>
      <w:lvlText w:val="o"/>
      <w:lvlJc w:val="left"/>
      <w:pPr>
        <w:tabs>
          <w:tab w:val="num" w:pos="3883"/>
        </w:tabs>
        <w:ind w:left="3883" w:hanging="360"/>
      </w:pPr>
      <w:rPr>
        <w:rFonts w:ascii="Courier New" w:hAnsi="Courier New" w:hint="default"/>
      </w:rPr>
    </w:lvl>
    <w:lvl w:ilvl="5" w:tplc="21A86EBC" w:tentative="1">
      <w:start w:val="1"/>
      <w:numFmt w:val="bullet"/>
      <w:lvlText w:val=""/>
      <w:lvlJc w:val="left"/>
      <w:pPr>
        <w:tabs>
          <w:tab w:val="num" w:pos="4603"/>
        </w:tabs>
        <w:ind w:left="4603" w:hanging="360"/>
      </w:pPr>
      <w:rPr>
        <w:rFonts w:ascii="Wingdings" w:hAnsi="Wingdings" w:hint="default"/>
      </w:rPr>
    </w:lvl>
    <w:lvl w:ilvl="6" w:tplc="9782DD7A" w:tentative="1">
      <w:start w:val="1"/>
      <w:numFmt w:val="bullet"/>
      <w:lvlText w:val=""/>
      <w:lvlJc w:val="left"/>
      <w:pPr>
        <w:tabs>
          <w:tab w:val="num" w:pos="5323"/>
        </w:tabs>
        <w:ind w:left="5323" w:hanging="360"/>
      </w:pPr>
      <w:rPr>
        <w:rFonts w:ascii="Symbol" w:hAnsi="Symbol" w:hint="default"/>
      </w:rPr>
    </w:lvl>
    <w:lvl w:ilvl="7" w:tplc="4008CE50" w:tentative="1">
      <w:start w:val="1"/>
      <w:numFmt w:val="bullet"/>
      <w:lvlText w:val="o"/>
      <w:lvlJc w:val="left"/>
      <w:pPr>
        <w:tabs>
          <w:tab w:val="num" w:pos="6043"/>
        </w:tabs>
        <w:ind w:left="6043" w:hanging="360"/>
      </w:pPr>
      <w:rPr>
        <w:rFonts w:ascii="Courier New" w:hAnsi="Courier New" w:hint="default"/>
      </w:rPr>
    </w:lvl>
    <w:lvl w:ilvl="8" w:tplc="549C7D94" w:tentative="1">
      <w:start w:val="1"/>
      <w:numFmt w:val="bullet"/>
      <w:lvlText w:val=""/>
      <w:lvlJc w:val="left"/>
      <w:pPr>
        <w:tabs>
          <w:tab w:val="num" w:pos="6763"/>
        </w:tabs>
        <w:ind w:left="6763" w:hanging="360"/>
      </w:pPr>
      <w:rPr>
        <w:rFonts w:ascii="Wingdings" w:hAnsi="Wingdings" w:hint="default"/>
      </w:rPr>
    </w:lvl>
  </w:abstractNum>
  <w:abstractNum w:abstractNumId="28" w15:restartNumberingAfterBreak="0">
    <w:nsid w:val="09C44CC1"/>
    <w:multiLevelType w:val="hybridMultilevel"/>
    <w:tmpl w:val="7FF2C56E"/>
    <w:lvl w:ilvl="0" w:tplc="D7FEB882">
      <w:start w:val="1"/>
      <w:numFmt w:val="bullet"/>
      <w:lvlText w:val=""/>
      <w:lvlJc w:val="left"/>
      <w:pPr>
        <w:tabs>
          <w:tab w:val="num" w:pos="720"/>
        </w:tabs>
        <w:ind w:left="720" w:hanging="360"/>
      </w:pPr>
      <w:rPr>
        <w:rFonts w:ascii="Symbol" w:hAnsi="Symbol" w:hint="default"/>
      </w:rPr>
    </w:lvl>
    <w:lvl w:ilvl="1" w:tplc="FF3C6B56" w:tentative="1">
      <w:start w:val="1"/>
      <w:numFmt w:val="bullet"/>
      <w:lvlText w:val="o"/>
      <w:lvlJc w:val="left"/>
      <w:pPr>
        <w:tabs>
          <w:tab w:val="num" w:pos="1440"/>
        </w:tabs>
        <w:ind w:left="1440" w:hanging="360"/>
      </w:pPr>
      <w:rPr>
        <w:rFonts w:ascii="Courier New" w:hAnsi="Courier New" w:hint="default"/>
      </w:rPr>
    </w:lvl>
    <w:lvl w:ilvl="2" w:tplc="4912BB3A" w:tentative="1">
      <w:start w:val="1"/>
      <w:numFmt w:val="bullet"/>
      <w:lvlText w:val=""/>
      <w:lvlJc w:val="left"/>
      <w:pPr>
        <w:tabs>
          <w:tab w:val="num" w:pos="2160"/>
        </w:tabs>
        <w:ind w:left="2160" w:hanging="360"/>
      </w:pPr>
      <w:rPr>
        <w:rFonts w:ascii="Wingdings" w:hAnsi="Wingdings" w:hint="default"/>
      </w:rPr>
    </w:lvl>
    <w:lvl w:ilvl="3" w:tplc="2F006642" w:tentative="1">
      <w:start w:val="1"/>
      <w:numFmt w:val="bullet"/>
      <w:lvlText w:val=""/>
      <w:lvlJc w:val="left"/>
      <w:pPr>
        <w:tabs>
          <w:tab w:val="num" w:pos="2880"/>
        </w:tabs>
        <w:ind w:left="2880" w:hanging="360"/>
      </w:pPr>
      <w:rPr>
        <w:rFonts w:ascii="Symbol" w:hAnsi="Symbol" w:hint="default"/>
      </w:rPr>
    </w:lvl>
    <w:lvl w:ilvl="4" w:tplc="7F8C826C" w:tentative="1">
      <w:start w:val="1"/>
      <w:numFmt w:val="bullet"/>
      <w:lvlText w:val="o"/>
      <w:lvlJc w:val="left"/>
      <w:pPr>
        <w:tabs>
          <w:tab w:val="num" w:pos="3600"/>
        </w:tabs>
        <w:ind w:left="3600" w:hanging="360"/>
      </w:pPr>
      <w:rPr>
        <w:rFonts w:ascii="Courier New" w:hAnsi="Courier New" w:hint="default"/>
      </w:rPr>
    </w:lvl>
    <w:lvl w:ilvl="5" w:tplc="DE8C62B6" w:tentative="1">
      <w:start w:val="1"/>
      <w:numFmt w:val="bullet"/>
      <w:lvlText w:val=""/>
      <w:lvlJc w:val="left"/>
      <w:pPr>
        <w:tabs>
          <w:tab w:val="num" w:pos="4320"/>
        </w:tabs>
        <w:ind w:left="4320" w:hanging="360"/>
      </w:pPr>
      <w:rPr>
        <w:rFonts w:ascii="Wingdings" w:hAnsi="Wingdings" w:hint="default"/>
      </w:rPr>
    </w:lvl>
    <w:lvl w:ilvl="6" w:tplc="4B3A5B32" w:tentative="1">
      <w:start w:val="1"/>
      <w:numFmt w:val="bullet"/>
      <w:lvlText w:val=""/>
      <w:lvlJc w:val="left"/>
      <w:pPr>
        <w:tabs>
          <w:tab w:val="num" w:pos="5040"/>
        </w:tabs>
        <w:ind w:left="5040" w:hanging="360"/>
      </w:pPr>
      <w:rPr>
        <w:rFonts w:ascii="Symbol" w:hAnsi="Symbol" w:hint="default"/>
      </w:rPr>
    </w:lvl>
    <w:lvl w:ilvl="7" w:tplc="ECD401BC" w:tentative="1">
      <w:start w:val="1"/>
      <w:numFmt w:val="bullet"/>
      <w:lvlText w:val="o"/>
      <w:lvlJc w:val="left"/>
      <w:pPr>
        <w:tabs>
          <w:tab w:val="num" w:pos="5760"/>
        </w:tabs>
        <w:ind w:left="5760" w:hanging="360"/>
      </w:pPr>
      <w:rPr>
        <w:rFonts w:ascii="Courier New" w:hAnsi="Courier New" w:hint="default"/>
      </w:rPr>
    </w:lvl>
    <w:lvl w:ilvl="8" w:tplc="DD407CC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09DC79AA"/>
    <w:multiLevelType w:val="hybridMultilevel"/>
    <w:tmpl w:val="BF188ED2"/>
    <w:lvl w:ilvl="0" w:tplc="505C5F98">
      <w:start w:val="1"/>
      <w:numFmt w:val="bullet"/>
      <w:lvlText w:val=""/>
      <w:lvlJc w:val="left"/>
      <w:pPr>
        <w:ind w:left="720" w:hanging="360"/>
      </w:pPr>
      <w:rPr>
        <w:rFonts w:ascii="Symbol" w:hAnsi="Symbol" w:hint="default"/>
      </w:rPr>
    </w:lvl>
    <w:lvl w:ilvl="1" w:tplc="B34289DC" w:tentative="1">
      <w:start w:val="1"/>
      <w:numFmt w:val="bullet"/>
      <w:lvlText w:val="o"/>
      <w:lvlJc w:val="left"/>
      <w:pPr>
        <w:ind w:left="1440" w:hanging="360"/>
      </w:pPr>
      <w:rPr>
        <w:rFonts w:ascii="Courier New" w:hAnsi="Courier New" w:cs="Courier New" w:hint="default"/>
      </w:rPr>
    </w:lvl>
    <w:lvl w:ilvl="2" w:tplc="6756E9C4" w:tentative="1">
      <w:start w:val="1"/>
      <w:numFmt w:val="bullet"/>
      <w:lvlText w:val=""/>
      <w:lvlJc w:val="left"/>
      <w:pPr>
        <w:ind w:left="2160" w:hanging="360"/>
      </w:pPr>
      <w:rPr>
        <w:rFonts w:ascii="Wingdings" w:hAnsi="Wingdings" w:hint="default"/>
      </w:rPr>
    </w:lvl>
    <w:lvl w:ilvl="3" w:tplc="975C15DA" w:tentative="1">
      <w:start w:val="1"/>
      <w:numFmt w:val="bullet"/>
      <w:lvlText w:val=""/>
      <w:lvlJc w:val="left"/>
      <w:pPr>
        <w:ind w:left="2880" w:hanging="360"/>
      </w:pPr>
      <w:rPr>
        <w:rFonts w:ascii="Symbol" w:hAnsi="Symbol" w:hint="default"/>
      </w:rPr>
    </w:lvl>
    <w:lvl w:ilvl="4" w:tplc="91829CA2" w:tentative="1">
      <w:start w:val="1"/>
      <w:numFmt w:val="bullet"/>
      <w:lvlText w:val="o"/>
      <w:lvlJc w:val="left"/>
      <w:pPr>
        <w:ind w:left="3600" w:hanging="360"/>
      </w:pPr>
      <w:rPr>
        <w:rFonts w:ascii="Courier New" w:hAnsi="Courier New" w:cs="Courier New" w:hint="default"/>
      </w:rPr>
    </w:lvl>
    <w:lvl w:ilvl="5" w:tplc="7B4A6B10" w:tentative="1">
      <w:start w:val="1"/>
      <w:numFmt w:val="bullet"/>
      <w:lvlText w:val=""/>
      <w:lvlJc w:val="left"/>
      <w:pPr>
        <w:ind w:left="4320" w:hanging="360"/>
      </w:pPr>
      <w:rPr>
        <w:rFonts w:ascii="Wingdings" w:hAnsi="Wingdings" w:hint="default"/>
      </w:rPr>
    </w:lvl>
    <w:lvl w:ilvl="6" w:tplc="C5AA8C06" w:tentative="1">
      <w:start w:val="1"/>
      <w:numFmt w:val="bullet"/>
      <w:lvlText w:val=""/>
      <w:lvlJc w:val="left"/>
      <w:pPr>
        <w:ind w:left="5040" w:hanging="360"/>
      </w:pPr>
      <w:rPr>
        <w:rFonts w:ascii="Symbol" w:hAnsi="Symbol" w:hint="default"/>
      </w:rPr>
    </w:lvl>
    <w:lvl w:ilvl="7" w:tplc="69569FAA" w:tentative="1">
      <w:start w:val="1"/>
      <w:numFmt w:val="bullet"/>
      <w:lvlText w:val="o"/>
      <w:lvlJc w:val="left"/>
      <w:pPr>
        <w:ind w:left="5760" w:hanging="360"/>
      </w:pPr>
      <w:rPr>
        <w:rFonts w:ascii="Courier New" w:hAnsi="Courier New" w:cs="Courier New" w:hint="default"/>
      </w:rPr>
    </w:lvl>
    <w:lvl w:ilvl="8" w:tplc="CCA21534" w:tentative="1">
      <w:start w:val="1"/>
      <w:numFmt w:val="bullet"/>
      <w:lvlText w:val=""/>
      <w:lvlJc w:val="left"/>
      <w:pPr>
        <w:ind w:left="6480" w:hanging="360"/>
      </w:pPr>
      <w:rPr>
        <w:rFonts w:ascii="Wingdings" w:hAnsi="Wingdings" w:hint="default"/>
      </w:rPr>
    </w:lvl>
  </w:abstractNum>
  <w:abstractNum w:abstractNumId="30" w15:restartNumberingAfterBreak="0">
    <w:nsid w:val="0A7B4523"/>
    <w:multiLevelType w:val="hybridMultilevel"/>
    <w:tmpl w:val="41B4F34C"/>
    <w:lvl w:ilvl="0" w:tplc="C0C608C0">
      <w:start w:val="1"/>
      <w:numFmt w:val="bullet"/>
      <w:lvlText w:val=""/>
      <w:lvlJc w:val="left"/>
      <w:pPr>
        <w:tabs>
          <w:tab w:val="num" w:pos="567"/>
        </w:tabs>
        <w:ind w:left="567" w:hanging="567"/>
      </w:pPr>
      <w:rPr>
        <w:rFonts w:ascii="Symbol" w:hAnsi="Symbol" w:hint="default"/>
      </w:rPr>
    </w:lvl>
    <w:lvl w:ilvl="1" w:tplc="1A9045AC" w:tentative="1">
      <w:start w:val="1"/>
      <w:numFmt w:val="bullet"/>
      <w:lvlText w:val="o"/>
      <w:lvlJc w:val="left"/>
      <w:pPr>
        <w:tabs>
          <w:tab w:val="num" w:pos="1440"/>
        </w:tabs>
        <w:ind w:left="1440" w:hanging="360"/>
      </w:pPr>
      <w:rPr>
        <w:rFonts w:ascii="Courier New" w:hAnsi="Courier New" w:hint="default"/>
      </w:rPr>
    </w:lvl>
    <w:lvl w:ilvl="2" w:tplc="34AAAB32" w:tentative="1">
      <w:start w:val="1"/>
      <w:numFmt w:val="bullet"/>
      <w:lvlText w:val=""/>
      <w:lvlJc w:val="left"/>
      <w:pPr>
        <w:tabs>
          <w:tab w:val="num" w:pos="2160"/>
        </w:tabs>
        <w:ind w:left="2160" w:hanging="360"/>
      </w:pPr>
      <w:rPr>
        <w:rFonts w:ascii="Wingdings" w:hAnsi="Wingdings" w:hint="default"/>
      </w:rPr>
    </w:lvl>
    <w:lvl w:ilvl="3" w:tplc="528E8714" w:tentative="1">
      <w:start w:val="1"/>
      <w:numFmt w:val="bullet"/>
      <w:lvlText w:val=""/>
      <w:lvlJc w:val="left"/>
      <w:pPr>
        <w:tabs>
          <w:tab w:val="num" w:pos="2880"/>
        </w:tabs>
        <w:ind w:left="2880" w:hanging="360"/>
      </w:pPr>
      <w:rPr>
        <w:rFonts w:ascii="Symbol" w:hAnsi="Symbol" w:hint="default"/>
      </w:rPr>
    </w:lvl>
    <w:lvl w:ilvl="4" w:tplc="A3B84EB8" w:tentative="1">
      <w:start w:val="1"/>
      <w:numFmt w:val="bullet"/>
      <w:lvlText w:val="o"/>
      <w:lvlJc w:val="left"/>
      <w:pPr>
        <w:tabs>
          <w:tab w:val="num" w:pos="3600"/>
        </w:tabs>
        <w:ind w:left="3600" w:hanging="360"/>
      </w:pPr>
      <w:rPr>
        <w:rFonts w:ascii="Courier New" w:hAnsi="Courier New" w:hint="default"/>
      </w:rPr>
    </w:lvl>
    <w:lvl w:ilvl="5" w:tplc="60CAABB6" w:tentative="1">
      <w:start w:val="1"/>
      <w:numFmt w:val="bullet"/>
      <w:lvlText w:val=""/>
      <w:lvlJc w:val="left"/>
      <w:pPr>
        <w:tabs>
          <w:tab w:val="num" w:pos="4320"/>
        </w:tabs>
        <w:ind w:left="4320" w:hanging="360"/>
      </w:pPr>
      <w:rPr>
        <w:rFonts w:ascii="Wingdings" w:hAnsi="Wingdings" w:hint="default"/>
      </w:rPr>
    </w:lvl>
    <w:lvl w:ilvl="6" w:tplc="0448B7A6" w:tentative="1">
      <w:start w:val="1"/>
      <w:numFmt w:val="bullet"/>
      <w:lvlText w:val=""/>
      <w:lvlJc w:val="left"/>
      <w:pPr>
        <w:tabs>
          <w:tab w:val="num" w:pos="5040"/>
        </w:tabs>
        <w:ind w:left="5040" w:hanging="360"/>
      </w:pPr>
      <w:rPr>
        <w:rFonts w:ascii="Symbol" w:hAnsi="Symbol" w:hint="default"/>
      </w:rPr>
    </w:lvl>
    <w:lvl w:ilvl="7" w:tplc="D75A2C10" w:tentative="1">
      <w:start w:val="1"/>
      <w:numFmt w:val="bullet"/>
      <w:lvlText w:val="o"/>
      <w:lvlJc w:val="left"/>
      <w:pPr>
        <w:tabs>
          <w:tab w:val="num" w:pos="5760"/>
        </w:tabs>
        <w:ind w:left="5760" w:hanging="360"/>
      </w:pPr>
      <w:rPr>
        <w:rFonts w:ascii="Courier New" w:hAnsi="Courier New" w:hint="default"/>
      </w:rPr>
    </w:lvl>
    <w:lvl w:ilvl="8" w:tplc="BDF84E0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A982C5B"/>
    <w:multiLevelType w:val="hybridMultilevel"/>
    <w:tmpl w:val="EE0A9C20"/>
    <w:lvl w:ilvl="0" w:tplc="356484B4">
      <w:start w:val="4"/>
      <w:numFmt w:val="decimal"/>
      <w:lvlText w:val="%1"/>
      <w:lvlJc w:val="left"/>
      <w:pPr>
        <w:ind w:left="720" w:hanging="360"/>
      </w:pPr>
      <w:rPr>
        <w:rFonts w:hint="default"/>
      </w:rPr>
    </w:lvl>
    <w:lvl w:ilvl="1" w:tplc="80F0DA2A" w:tentative="1">
      <w:start w:val="1"/>
      <w:numFmt w:val="lowerLetter"/>
      <w:lvlText w:val="%2."/>
      <w:lvlJc w:val="left"/>
      <w:pPr>
        <w:ind w:left="1440" w:hanging="360"/>
      </w:pPr>
    </w:lvl>
    <w:lvl w:ilvl="2" w:tplc="4128E918" w:tentative="1">
      <w:start w:val="1"/>
      <w:numFmt w:val="lowerRoman"/>
      <w:lvlText w:val="%3."/>
      <w:lvlJc w:val="right"/>
      <w:pPr>
        <w:ind w:left="2160" w:hanging="180"/>
      </w:pPr>
    </w:lvl>
    <w:lvl w:ilvl="3" w:tplc="053E859A" w:tentative="1">
      <w:start w:val="1"/>
      <w:numFmt w:val="decimal"/>
      <w:lvlText w:val="%4."/>
      <w:lvlJc w:val="left"/>
      <w:pPr>
        <w:ind w:left="2880" w:hanging="360"/>
      </w:pPr>
    </w:lvl>
    <w:lvl w:ilvl="4" w:tplc="DF80B650" w:tentative="1">
      <w:start w:val="1"/>
      <w:numFmt w:val="lowerLetter"/>
      <w:lvlText w:val="%5."/>
      <w:lvlJc w:val="left"/>
      <w:pPr>
        <w:ind w:left="3600" w:hanging="360"/>
      </w:pPr>
    </w:lvl>
    <w:lvl w:ilvl="5" w:tplc="BB7E6266" w:tentative="1">
      <w:start w:val="1"/>
      <w:numFmt w:val="lowerRoman"/>
      <w:lvlText w:val="%6."/>
      <w:lvlJc w:val="right"/>
      <w:pPr>
        <w:ind w:left="4320" w:hanging="180"/>
      </w:pPr>
    </w:lvl>
    <w:lvl w:ilvl="6" w:tplc="79A4E780" w:tentative="1">
      <w:start w:val="1"/>
      <w:numFmt w:val="decimal"/>
      <w:lvlText w:val="%7."/>
      <w:lvlJc w:val="left"/>
      <w:pPr>
        <w:ind w:left="5040" w:hanging="360"/>
      </w:pPr>
    </w:lvl>
    <w:lvl w:ilvl="7" w:tplc="E188E4B0" w:tentative="1">
      <w:start w:val="1"/>
      <w:numFmt w:val="lowerLetter"/>
      <w:lvlText w:val="%8."/>
      <w:lvlJc w:val="left"/>
      <w:pPr>
        <w:ind w:left="5760" w:hanging="360"/>
      </w:pPr>
    </w:lvl>
    <w:lvl w:ilvl="8" w:tplc="DD5A5DA6" w:tentative="1">
      <w:start w:val="1"/>
      <w:numFmt w:val="lowerRoman"/>
      <w:lvlText w:val="%9."/>
      <w:lvlJc w:val="right"/>
      <w:pPr>
        <w:ind w:left="6480" w:hanging="180"/>
      </w:pPr>
    </w:lvl>
  </w:abstractNum>
  <w:abstractNum w:abstractNumId="32" w15:restartNumberingAfterBreak="0">
    <w:nsid w:val="0C0E19AD"/>
    <w:multiLevelType w:val="hybridMultilevel"/>
    <w:tmpl w:val="62F82E72"/>
    <w:lvl w:ilvl="0" w:tplc="1FD45730">
      <w:start w:val="1"/>
      <w:numFmt w:val="bullet"/>
      <w:lvlText w:val=""/>
      <w:lvlJc w:val="left"/>
      <w:pPr>
        <w:ind w:left="720" w:hanging="360"/>
      </w:pPr>
      <w:rPr>
        <w:rFonts w:ascii="Symbol" w:hAnsi="Symbol" w:hint="default"/>
        <w:sz w:val="22"/>
      </w:rPr>
    </w:lvl>
    <w:lvl w:ilvl="1" w:tplc="4530BD28" w:tentative="1">
      <w:start w:val="1"/>
      <w:numFmt w:val="bullet"/>
      <w:lvlText w:val="o"/>
      <w:lvlJc w:val="left"/>
      <w:pPr>
        <w:ind w:left="1440" w:hanging="360"/>
      </w:pPr>
      <w:rPr>
        <w:rFonts w:ascii="Courier New" w:hAnsi="Courier New" w:cs="Courier New" w:hint="default"/>
      </w:rPr>
    </w:lvl>
    <w:lvl w:ilvl="2" w:tplc="62360B48" w:tentative="1">
      <w:start w:val="1"/>
      <w:numFmt w:val="bullet"/>
      <w:lvlText w:val=""/>
      <w:lvlJc w:val="left"/>
      <w:pPr>
        <w:ind w:left="2160" w:hanging="360"/>
      </w:pPr>
      <w:rPr>
        <w:rFonts w:ascii="Wingdings" w:hAnsi="Wingdings" w:hint="default"/>
      </w:rPr>
    </w:lvl>
    <w:lvl w:ilvl="3" w:tplc="293EAD8E" w:tentative="1">
      <w:start w:val="1"/>
      <w:numFmt w:val="bullet"/>
      <w:lvlText w:val=""/>
      <w:lvlJc w:val="left"/>
      <w:pPr>
        <w:ind w:left="2880" w:hanging="360"/>
      </w:pPr>
      <w:rPr>
        <w:rFonts w:ascii="Symbol" w:hAnsi="Symbol" w:hint="default"/>
      </w:rPr>
    </w:lvl>
    <w:lvl w:ilvl="4" w:tplc="ACACD3D8" w:tentative="1">
      <w:start w:val="1"/>
      <w:numFmt w:val="bullet"/>
      <w:lvlText w:val="o"/>
      <w:lvlJc w:val="left"/>
      <w:pPr>
        <w:ind w:left="3600" w:hanging="360"/>
      </w:pPr>
      <w:rPr>
        <w:rFonts w:ascii="Courier New" w:hAnsi="Courier New" w:cs="Courier New" w:hint="default"/>
      </w:rPr>
    </w:lvl>
    <w:lvl w:ilvl="5" w:tplc="B8A6371E" w:tentative="1">
      <w:start w:val="1"/>
      <w:numFmt w:val="bullet"/>
      <w:lvlText w:val=""/>
      <w:lvlJc w:val="left"/>
      <w:pPr>
        <w:ind w:left="4320" w:hanging="360"/>
      </w:pPr>
      <w:rPr>
        <w:rFonts w:ascii="Wingdings" w:hAnsi="Wingdings" w:hint="default"/>
      </w:rPr>
    </w:lvl>
    <w:lvl w:ilvl="6" w:tplc="F65A7F66" w:tentative="1">
      <w:start w:val="1"/>
      <w:numFmt w:val="bullet"/>
      <w:lvlText w:val=""/>
      <w:lvlJc w:val="left"/>
      <w:pPr>
        <w:ind w:left="5040" w:hanging="360"/>
      </w:pPr>
      <w:rPr>
        <w:rFonts w:ascii="Symbol" w:hAnsi="Symbol" w:hint="default"/>
      </w:rPr>
    </w:lvl>
    <w:lvl w:ilvl="7" w:tplc="0E7AA86C" w:tentative="1">
      <w:start w:val="1"/>
      <w:numFmt w:val="bullet"/>
      <w:lvlText w:val="o"/>
      <w:lvlJc w:val="left"/>
      <w:pPr>
        <w:ind w:left="5760" w:hanging="360"/>
      </w:pPr>
      <w:rPr>
        <w:rFonts w:ascii="Courier New" w:hAnsi="Courier New" w:cs="Courier New" w:hint="default"/>
      </w:rPr>
    </w:lvl>
    <w:lvl w:ilvl="8" w:tplc="A5F0649A" w:tentative="1">
      <w:start w:val="1"/>
      <w:numFmt w:val="bullet"/>
      <w:lvlText w:val=""/>
      <w:lvlJc w:val="left"/>
      <w:pPr>
        <w:ind w:left="6480" w:hanging="360"/>
      </w:pPr>
      <w:rPr>
        <w:rFonts w:ascii="Wingdings" w:hAnsi="Wingdings" w:hint="default"/>
      </w:rPr>
    </w:lvl>
  </w:abstractNum>
  <w:abstractNum w:abstractNumId="33" w15:restartNumberingAfterBreak="0">
    <w:nsid w:val="0DD967A1"/>
    <w:multiLevelType w:val="hybridMultilevel"/>
    <w:tmpl w:val="C9D43D6E"/>
    <w:lvl w:ilvl="0" w:tplc="604EEEC2">
      <w:start w:val="1"/>
      <w:numFmt w:val="bullet"/>
      <w:lvlText w:val=""/>
      <w:lvlJc w:val="left"/>
      <w:pPr>
        <w:ind w:left="720" w:hanging="360"/>
      </w:pPr>
      <w:rPr>
        <w:rFonts w:ascii="Symbol" w:hAnsi="Symbol" w:hint="default"/>
      </w:rPr>
    </w:lvl>
    <w:lvl w:ilvl="1" w:tplc="3634F9E4" w:tentative="1">
      <w:start w:val="1"/>
      <w:numFmt w:val="bullet"/>
      <w:lvlText w:val="o"/>
      <w:lvlJc w:val="left"/>
      <w:pPr>
        <w:ind w:left="1440" w:hanging="360"/>
      </w:pPr>
      <w:rPr>
        <w:rFonts w:ascii="Courier New" w:hAnsi="Courier New" w:cs="Courier New" w:hint="default"/>
      </w:rPr>
    </w:lvl>
    <w:lvl w:ilvl="2" w:tplc="3FA4FBA2" w:tentative="1">
      <w:start w:val="1"/>
      <w:numFmt w:val="bullet"/>
      <w:lvlText w:val=""/>
      <w:lvlJc w:val="left"/>
      <w:pPr>
        <w:ind w:left="2160" w:hanging="360"/>
      </w:pPr>
      <w:rPr>
        <w:rFonts w:ascii="Wingdings" w:hAnsi="Wingdings" w:hint="default"/>
      </w:rPr>
    </w:lvl>
    <w:lvl w:ilvl="3" w:tplc="33AA8F2C" w:tentative="1">
      <w:start w:val="1"/>
      <w:numFmt w:val="bullet"/>
      <w:lvlText w:val=""/>
      <w:lvlJc w:val="left"/>
      <w:pPr>
        <w:ind w:left="2880" w:hanging="360"/>
      </w:pPr>
      <w:rPr>
        <w:rFonts w:ascii="Symbol" w:hAnsi="Symbol" w:hint="default"/>
      </w:rPr>
    </w:lvl>
    <w:lvl w:ilvl="4" w:tplc="332C736A" w:tentative="1">
      <w:start w:val="1"/>
      <w:numFmt w:val="bullet"/>
      <w:lvlText w:val="o"/>
      <w:lvlJc w:val="left"/>
      <w:pPr>
        <w:ind w:left="3600" w:hanging="360"/>
      </w:pPr>
      <w:rPr>
        <w:rFonts w:ascii="Courier New" w:hAnsi="Courier New" w:cs="Courier New" w:hint="default"/>
      </w:rPr>
    </w:lvl>
    <w:lvl w:ilvl="5" w:tplc="20827E84" w:tentative="1">
      <w:start w:val="1"/>
      <w:numFmt w:val="bullet"/>
      <w:lvlText w:val=""/>
      <w:lvlJc w:val="left"/>
      <w:pPr>
        <w:ind w:left="4320" w:hanging="360"/>
      </w:pPr>
      <w:rPr>
        <w:rFonts w:ascii="Wingdings" w:hAnsi="Wingdings" w:hint="default"/>
      </w:rPr>
    </w:lvl>
    <w:lvl w:ilvl="6" w:tplc="1A9A0974" w:tentative="1">
      <w:start w:val="1"/>
      <w:numFmt w:val="bullet"/>
      <w:lvlText w:val=""/>
      <w:lvlJc w:val="left"/>
      <w:pPr>
        <w:ind w:left="5040" w:hanging="360"/>
      </w:pPr>
      <w:rPr>
        <w:rFonts w:ascii="Symbol" w:hAnsi="Symbol" w:hint="default"/>
      </w:rPr>
    </w:lvl>
    <w:lvl w:ilvl="7" w:tplc="FD7C4BBA" w:tentative="1">
      <w:start w:val="1"/>
      <w:numFmt w:val="bullet"/>
      <w:lvlText w:val="o"/>
      <w:lvlJc w:val="left"/>
      <w:pPr>
        <w:ind w:left="5760" w:hanging="360"/>
      </w:pPr>
      <w:rPr>
        <w:rFonts w:ascii="Courier New" w:hAnsi="Courier New" w:cs="Courier New" w:hint="default"/>
      </w:rPr>
    </w:lvl>
    <w:lvl w:ilvl="8" w:tplc="995AAC0E" w:tentative="1">
      <w:start w:val="1"/>
      <w:numFmt w:val="bullet"/>
      <w:lvlText w:val=""/>
      <w:lvlJc w:val="left"/>
      <w:pPr>
        <w:ind w:left="6480" w:hanging="360"/>
      </w:pPr>
      <w:rPr>
        <w:rFonts w:ascii="Wingdings" w:hAnsi="Wingdings" w:hint="default"/>
      </w:rPr>
    </w:lvl>
  </w:abstractNum>
  <w:abstractNum w:abstractNumId="34" w15:restartNumberingAfterBreak="0">
    <w:nsid w:val="0E312C9F"/>
    <w:multiLevelType w:val="multilevel"/>
    <w:tmpl w:val="985ED0C2"/>
    <w:lvl w:ilvl="0">
      <w:start w:val="1"/>
      <w:numFmt w:val="bullet"/>
      <w:lvlText w:val=""/>
      <w:lvlJc w:val="left"/>
      <w:pPr>
        <w:ind w:left="720" w:hanging="360"/>
      </w:pPr>
      <w:rPr>
        <w:rFonts w:ascii="Symbol" w:hAnsi="Symbol" w:hint="default"/>
        <w:b w:val="0"/>
        <w:i w:val="0"/>
        <w:color w:val="auto"/>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35" w15:restartNumberingAfterBreak="0">
    <w:nsid w:val="0E9175C1"/>
    <w:multiLevelType w:val="hybridMultilevel"/>
    <w:tmpl w:val="C48E00B8"/>
    <w:lvl w:ilvl="0" w:tplc="0A76B72A">
      <w:start w:val="1"/>
      <w:numFmt w:val="bullet"/>
      <w:lvlText w:val=""/>
      <w:lvlJc w:val="left"/>
      <w:pPr>
        <w:ind w:left="720" w:hanging="360"/>
      </w:pPr>
      <w:rPr>
        <w:rFonts w:ascii="Symbol" w:hAnsi="Symbol" w:hint="default"/>
        <w:sz w:val="22"/>
      </w:rPr>
    </w:lvl>
    <w:lvl w:ilvl="1" w:tplc="6AB04EF4" w:tentative="1">
      <w:start w:val="1"/>
      <w:numFmt w:val="bullet"/>
      <w:lvlText w:val="o"/>
      <w:lvlJc w:val="left"/>
      <w:pPr>
        <w:ind w:left="1440" w:hanging="360"/>
      </w:pPr>
      <w:rPr>
        <w:rFonts w:ascii="Courier New" w:hAnsi="Courier New" w:cs="Courier New" w:hint="default"/>
      </w:rPr>
    </w:lvl>
    <w:lvl w:ilvl="2" w:tplc="5604718A" w:tentative="1">
      <w:start w:val="1"/>
      <w:numFmt w:val="bullet"/>
      <w:lvlText w:val=""/>
      <w:lvlJc w:val="left"/>
      <w:pPr>
        <w:ind w:left="2160" w:hanging="360"/>
      </w:pPr>
      <w:rPr>
        <w:rFonts w:ascii="Wingdings" w:hAnsi="Wingdings" w:hint="default"/>
      </w:rPr>
    </w:lvl>
    <w:lvl w:ilvl="3" w:tplc="283CFC24" w:tentative="1">
      <w:start w:val="1"/>
      <w:numFmt w:val="bullet"/>
      <w:lvlText w:val=""/>
      <w:lvlJc w:val="left"/>
      <w:pPr>
        <w:ind w:left="2880" w:hanging="360"/>
      </w:pPr>
      <w:rPr>
        <w:rFonts w:ascii="Symbol" w:hAnsi="Symbol" w:hint="default"/>
      </w:rPr>
    </w:lvl>
    <w:lvl w:ilvl="4" w:tplc="9CFAD3EC" w:tentative="1">
      <w:start w:val="1"/>
      <w:numFmt w:val="bullet"/>
      <w:lvlText w:val="o"/>
      <w:lvlJc w:val="left"/>
      <w:pPr>
        <w:ind w:left="3600" w:hanging="360"/>
      </w:pPr>
      <w:rPr>
        <w:rFonts w:ascii="Courier New" w:hAnsi="Courier New" w:cs="Courier New" w:hint="default"/>
      </w:rPr>
    </w:lvl>
    <w:lvl w:ilvl="5" w:tplc="A75032BA" w:tentative="1">
      <w:start w:val="1"/>
      <w:numFmt w:val="bullet"/>
      <w:lvlText w:val=""/>
      <w:lvlJc w:val="left"/>
      <w:pPr>
        <w:ind w:left="4320" w:hanging="360"/>
      </w:pPr>
      <w:rPr>
        <w:rFonts w:ascii="Wingdings" w:hAnsi="Wingdings" w:hint="default"/>
      </w:rPr>
    </w:lvl>
    <w:lvl w:ilvl="6" w:tplc="83FE0F70" w:tentative="1">
      <w:start w:val="1"/>
      <w:numFmt w:val="bullet"/>
      <w:lvlText w:val=""/>
      <w:lvlJc w:val="left"/>
      <w:pPr>
        <w:ind w:left="5040" w:hanging="360"/>
      </w:pPr>
      <w:rPr>
        <w:rFonts w:ascii="Symbol" w:hAnsi="Symbol" w:hint="default"/>
      </w:rPr>
    </w:lvl>
    <w:lvl w:ilvl="7" w:tplc="C100AB8C" w:tentative="1">
      <w:start w:val="1"/>
      <w:numFmt w:val="bullet"/>
      <w:lvlText w:val="o"/>
      <w:lvlJc w:val="left"/>
      <w:pPr>
        <w:ind w:left="5760" w:hanging="360"/>
      </w:pPr>
      <w:rPr>
        <w:rFonts w:ascii="Courier New" w:hAnsi="Courier New" w:cs="Courier New" w:hint="default"/>
      </w:rPr>
    </w:lvl>
    <w:lvl w:ilvl="8" w:tplc="9398CBC2" w:tentative="1">
      <w:start w:val="1"/>
      <w:numFmt w:val="bullet"/>
      <w:lvlText w:val=""/>
      <w:lvlJc w:val="left"/>
      <w:pPr>
        <w:ind w:left="6480" w:hanging="360"/>
      </w:pPr>
      <w:rPr>
        <w:rFonts w:ascii="Wingdings" w:hAnsi="Wingdings" w:hint="default"/>
      </w:rPr>
    </w:lvl>
  </w:abstractNum>
  <w:abstractNum w:abstractNumId="36" w15:restartNumberingAfterBreak="0">
    <w:nsid w:val="0EC30C59"/>
    <w:multiLevelType w:val="hybridMultilevel"/>
    <w:tmpl w:val="4BF4217A"/>
    <w:lvl w:ilvl="0" w:tplc="F050CB98">
      <w:start w:val="1"/>
      <w:numFmt w:val="bullet"/>
      <w:lvlText w:val=""/>
      <w:lvlJc w:val="left"/>
      <w:pPr>
        <w:ind w:left="720" w:hanging="360"/>
      </w:pPr>
      <w:rPr>
        <w:rFonts w:ascii="Symbol" w:hAnsi="Symbol" w:hint="default"/>
        <w:sz w:val="16"/>
      </w:rPr>
    </w:lvl>
    <w:lvl w:ilvl="1" w:tplc="419EA5B6" w:tentative="1">
      <w:start w:val="1"/>
      <w:numFmt w:val="bullet"/>
      <w:lvlText w:val="o"/>
      <w:lvlJc w:val="left"/>
      <w:pPr>
        <w:ind w:left="1440" w:hanging="360"/>
      </w:pPr>
      <w:rPr>
        <w:rFonts w:ascii="Courier New" w:hAnsi="Courier New" w:cs="Courier New" w:hint="default"/>
      </w:rPr>
    </w:lvl>
    <w:lvl w:ilvl="2" w:tplc="E778821C" w:tentative="1">
      <w:start w:val="1"/>
      <w:numFmt w:val="bullet"/>
      <w:lvlText w:val=""/>
      <w:lvlJc w:val="left"/>
      <w:pPr>
        <w:ind w:left="2160" w:hanging="360"/>
      </w:pPr>
      <w:rPr>
        <w:rFonts w:ascii="Wingdings" w:hAnsi="Wingdings" w:hint="default"/>
      </w:rPr>
    </w:lvl>
    <w:lvl w:ilvl="3" w:tplc="1208F914" w:tentative="1">
      <w:start w:val="1"/>
      <w:numFmt w:val="bullet"/>
      <w:lvlText w:val=""/>
      <w:lvlJc w:val="left"/>
      <w:pPr>
        <w:ind w:left="2880" w:hanging="360"/>
      </w:pPr>
      <w:rPr>
        <w:rFonts w:ascii="Symbol" w:hAnsi="Symbol" w:hint="default"/>
      </w:rPr>
    </w:lvl>
    <w:lvl w:ilvl="4" w:tplc="FFC495C4" w:tentative="1">
      <w:start w:val="1"/>
      <w:numFmt w:val="bullet"/>
      <w:lvlText w:val="o"/>
      <w:lvlJc w:val="left"/>
      <w:pPr>
        <w:ind w:left="3600" w:hanging="360"/>
      </w:pPr>
      <w:rPr>
        <w:rFonts w:ascii="Courier New" w:hAnsi="Courier New" w:cs="Courier New" w:hint="default"/>
      </w:rPr>
    </w:lvl>
    <w:lvl w:ilvl="5" w:tplc="2228A9DC" w:tentative="1">
      <w:start w:val="1"/>
      <w:numFmt w:val="bullet"/>
      <w:lvlText w:val=""/>
      <w:lvlJc w:val="left"/>
      <w:pPr>
        <w:ind w:left="4320" w:hanging="360"/>
      </w:pPr>
      <w:rPr>
        <w:rFonts w:ascii="Wingdings" w:hAnsi="Wingdings" w:hint="default"/>
      </w:rPr>
    </w:lvl>
    <w:lvl w:ilvl="6" w:tplc="FD44C330" w:tentative="1">
      <w:start w:val="1"/>
      <w:numFmt w:val="bullet"/>
      <w:lvlText w:val=""/>
      <w:lvlJc w:val="left"/>
      <w:pPr>
        <w:ind w:left="5040" w:hanging="360"/>
      </w:pPr>
      <w:rPr>
        <w:rFonts w:ascii="Symbol" w:hAnsi="Symbol" w:hint="default"/>
      </w:rPr>
    </w:lvl>
    <w:lvl w:ilvl="7" w:tplc="C17A13B8" w:tentative="1">
      <w:start w:val="1"/>
      <w:numFmt w:val="bullet"/>
      <w:lvlText w:val="o"/>
      <w:lvlJc w:val="left"/>
      <w:pPr>
        <w:ind w:left="5760" w:hanging="360"/>
      </w:pPr>
      <w:rPr>
        <w:rFonts w:ascii="Courier New" w:hAnsi="Courier New" w:cs="Courier New" w:hint="default"/>
      </w:rPr>
    </w:lvl>
    <w:lvl w:ilvl="8" w:tplc="C138021E" w:tentative="1">
      <w:start w:val="1"/>
      <w:numFmt w:val="bullet"/>
      <w:lvlText w:val=""/>
      <w:lvlJc w:val="left"/>
      <w:pPr>
        <w:ind w:left="6480" w:hanging="360"/>
      </w:pPr>
      <w:rPr>
        <w:rFonts w:ascii="Wingdings" w:hAnsi="Wingdings" w:hint="default"/>
      </w:rPr>
    </w:lvl>
  </w:abstractNum>
  <w:abstractNum w:abstractNumId="37" w15:restartNumberingAfterBreak="0">
    <w:nsid w:val="12586AF8"/>
    <w:multiLevelType w:val="hybridMultilevel"/>
    <w:tmpl w:val="C78AA146"/>
    <w:lvl w:ilvl="0" w:tplc="E6083ED4">
      <w:start w:val="1"/>
      <w:numFmt w:val="bullet"/>
      <w:lvlText w:val=""/>
      <w:lvlJc w:val="left"/>
      <w:pPr>
        <w:ind w:left="720" w:hanging="360"/>
      </w:pPr>
      <w:rPr>
        <w:rFonts w:ascii="Symbol" w:hAnsi="Symbol" w:hint="default"/>
      </w:rPr>
    </w:lvl>
    <w:lvl w:ilvl="1" w:tplc="9C1EB204" w:tentative="1">
      <w:start w:val="1"/>
      <w:numFmt w:val="bullet"/>
      <w:lvlText w:val="o"/>
      <w:lvlJc w:val="left"/>
      <w:pPr>
        <w:ind w:left="1440" w:hanging="360"/>
      </w:pPr>
      <w:rPr>
        <w:rFonts w:ascii="Courier New" w:hAnsi="Courier New" w:cs="Courier New" w:hint="default"/>
      </w:rPr>
    </w:lvl>
    <w:lvl w:ilvl="2" w:tplc="B32071EC" w:tentative="1">
      <w:start w:val="1"/>
      <w:numFmt w:val="bullet"/>
      <w:lvlText w:val=""/>
      <w:lvlJc w:val="left"/>
      <w:pPr>
        <w:ind w:left="2160" w:hanging="360"/>
      </w:pPr>
      <w:rPr>
        <w:rFonts w:ascii="Wingdings" w:hAnsi="Wingdings" w:hint="default"/>
      </w:rPr>
    </w:lvl>
    <w:lvl w:ilvl="3" w:tplc="F80C8D74" w:tentative="1">
      <w:start w:val="1"/>
      <w:numFmt w:val="bullet"/>
      <w:lvlText w:val=""/>
      <w:lvlJc w:val="left"/>
      <w:pPr>
        <w:ind w:left="2880" w:hanging="360"/>
      </w:pPr>
      <w:rPr>
        <w:rFonts w:ascii="Symbol" w:hAnsi="Symbol" w:hint="default"/>
      </w:rPr>
    </w:lvl>
    <w:lvl w:ilvl="4" w:tplc="3064D60C" w:tentative="1">
      <w:start w:val="1"/>
      <w:numFmt w:val="bullet"/>
      <w:lvlText w:val="o"/>
      <w:lvlJc w:val="left"/>
      <w:pPr>
        <w:ind w:left="3600" w:hanging="360"/>
      </w:pPr>
      <w:rPr>
        <w:rFonts w:ascii="Courier New" w:hAnsi="Courier New" w:cs="Courier New" w:hint="default"/>
      </w:rPr>
    </w:lvl>
    <w:lvl w:ilvl="5" w:tplc="37BA5602" w:tentative="1">
      <w:start w:val="1"/>
      <w:numFmt w:val="bullet"/>
      <w:lvlText w:val=""/>
      <w:lvlJc w:val="left"/>
      <w:pPr>
        <w:ind w:left="4320" w:hanging="360"/>
      </w:pPr>
      <w:rPr>
        <w:rFonts w:ascii="Wingdings" w:hAnsi="Wingdings" w:hint="default"/>
      </w:rPr>
    </w:lvl>
    <w:lvl w:ilvl="6" w:tplc="FB0A4BE8" w:tentative="1">
      <w:start w:val="1"/>
      <w:numFmt w:val="bullet"/>
      <w:lvlText w:val=""/>
      <w:lvlJc w:val="left"/>
      <w:pPr>
        <w:ind w:left="5040" w:hanging="360"/>
      </w:pPr>
      <w:rPr>
        <w:rFonts w:ascii="Symbol" w:hAnsi="Symbol" w:hint="default"/>
      </w:rPr>
    </w:lvl>
    <w:lvl w:ilvl="7" w:tplc="74E60D82" w:tentative="1">
      <w:start w:val="1"/>
      <w:numFmt w:val="bullet"/>
      <w:lvlText w:val="o"/>
      <w:lvlJc w:val="left"/>
      <w:pPr>
        <w:ind w:left="5760" w:hanging="360"/>
      </w:pPr>
      <w:rPr>
        <w:rFonts w:ascii="Courier New" w:hAnsi="Courier New" w:cs="Courier New" w:hint="default"/>
      </w:rPr>
    </w:lvl>
    <w:lvl w:ilvl="8" w:tplc="749E39D8" w:tentative="1">
      <w:start w:val="1"/>
      <w:numFmt w:val="bullet"/>
      <w:lvlText w:val=""/>
      <w:lvlJc w:val="left"/>
      <w:pPr>
        <w:ind w:left="6480" w:hanging="360"/>
      </w:pPr>
      <w:rPr>
        <w:rFonts w:ascii="Wingdings" w:hAnsi="Wingdings" w:hint="default"/>
      </w:rPr>
    </w:lvl>
  </w:abstractNum>
  <w:abstractNum w:abstractNumId="38" w15:restartNumberingAfterBreak="0">
    <w:nsid w:val="149E31C7"/>
    <w:multiLevelType w:val="hybridMultilevel"/>
    <w:tmpl w:val="41B4F34C"/>
    <w:lvl w:ilvl="0" w:tplc="61F204F0">
      <w:start w:val="1"/>
      <w:numFmt w:val="bullet"/>
      <w:lvlText w:val=""/>
      <w:lvlJc w:val="left"/>
      <w:pPr>
        <w:tabs>
          <w:tab w:val="num" w:pos="567"/>
        </w:tabs>
        <w:ind w:left="567" w:hanging="567"/>
      </w:pPr>
      <w:rPr>
        <w:rFonts w:ascii="Symbol" w:hAnsi="Symbol" w:hint="default"/>
      </w:rPr>
    </w:lvl>
    <w:lvl w:ilvl="1" w:tplc="E8BCFB32" w:tentative="1">
      <w:start w:val="1"/>
      <w:numFmt w:val="bullet"/>
      <w:lvlText w:val="o"/>
      <w:lvlJc w:val="left"/>
      <w:pPr>
        <w:tabs>
          <w:tab w:val="num" w:pos="1440"/>
        </w:tabs>
        <w:ind w:left="1440" w:hanging="360"/>
      </w:pPr>
      <w:rPr>
        <w:rFonts w:ascii="Courier New" w:hAnsi="Courier New" w:hint="default"/>
      </w:rPr>
    </w:lvl>
    <w:lvl w:ilvl="2" w:tplc="6EBCB438" w:tentative="1">
      <w:start w:val="1"/>
      <w:numFmt w:val="bullet"/>
      <w:lvlText w:val=""/>
      <w:lvlJc w:val="left"/>
      <w:pPr>
        <w:tabs>
          <w:tab w:val="num" w:pos="2160"/>
        </w:tabs>
        <w:ind w:left="2160" w:hanging="360"/>
      </w:pPr>
      <w:rPr>
        <w:rFonts w:ascii="Wingdings" w:hAnsi="Wingdings" w:hint="default"/>
      </w:rPr>
    </w:lvl>
    <w:lvl w:ilvl="3" w:tplc="77964C9E" w:tentative="1">
      <w:start w:val="1"/>
      <w:numFmt w:val="bullet"/>
      <w:lvlText w:val=""/>
      <w:lvlJc w:val="left"/>
      <w:pPr>
        <w:tabs>
          <w:tab w:val="num" w:pos="2880"/>
        </w:tabs>
        <w:ind w:left="2880" w:hanging="360"/>
      </w:pPr>
      <w:rPr>
        <w:rFonts w:ascii="Symbol" w:hAnsi="Symbol" w:hint="default"/>
      </w:rPr>
    </w:lvl>
    <w:lvl w:ilvl="4" w:tplc="BAB652E0" w:tentative="1">
      <w:start w:val="1"/>
      <w:numFmt w:val="bullet"/>
      <w:lvlText w:val="o"/>
      <w:lvlJc w:val="left"/>
      <w:pPr>
        <w:tabs>
          <w:tab w:val="num" w:pos="3600"/>
        </w:tabs>
        <w:ind w:left="3600" w:hanging="360"/>
      </w:pPr>
      <w:rPr>
        <w:rFonts w:ascii="Courier New" w:hAnsi="Courier New" w:hint="default"/>
      </w:rPr>
    </w:lvl>
    <w:lvl w:ilvl="5" w:tplc="E7C4D698" w:tentative="1">
      <w:start w:val="1"/>
      <w:numFmt w:val="bullet"/>
      <w:lvlText w:val=""/>
      <w:lvlJc w:val="left"/>
      <w:pPr>
        <w:tabs>
          <w:tab w:val="num" w:pos="4320"/>
        </w:tabs>
        <w:ind w:left="4320" w:hanging="360"/>
      </w:pPr>
      <w:rPr>
        <w:rFonts w:ascii="Wingdings" w:hAnsi="Wingdings" w:hint="default"/>
      </w:rPr>
    </w:lvl>
    <w:lvl w:ilvl="6" w:tplc="15BAC6DE" w:tentative="1">
      <w:start w:val="1"/>
      <w:numFmt w:val="bullet"/>
      <w:lvlText w:val=""/>
      <w:lvlJc w:val="left"/>
      <w:pPr>
        <w:tabs>
          <w:tab w:val="num" w:pos="5040"/>
        </w:tabs>
        <w:ind w:left="5040" w:hanging="360"/>
      </w:pPr>
      <w:rPr>
        <w:rFonts w:ascii="Symbol" w:hAnsi="Symbol" w:hint="default"/>
      </w:rPr>
    </w:lvl>
    <w:lvl w:ilvl="7" w:tplc="A4A86C44" w:tentative="1">
      <w:start w:val="1"/>
      <w:numFmt w:val="bullet"/>
      <w:lvlText w:val="o"/>
      <w:lvlJc w:val="left"/>
      <w:pPr>
        <w:tabs>
          <w:tab w:val="num" w:pos="5760"/>
        </w:tabs>
        <w:ind w:left="5760" w:hanging="360"/>
      </w:pPr>
      <w:rPr>
        <w:rFonts w:ascii="Courier New" w:hAnsi="Courier New" w:hint="default"/>
      </w:rPr>
    </w:lvl>
    <w:lvl w:ilvl="8" w:tplc="E970FE02"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4FD59F8"/>
    <w:multiLevelType w:val="hybridMultilevel"/>
    <w:tmpl w:val="209684FA"/>
    <w:lvl w:ilvl="0" w:tplc="096A6FDC">
      <w:start w:val="1"/>
      <w:numFmt w:val="bullet"/>
      <w:lvlText w:val=""/>
      <w:lvlJc w:val="left"/>
      <w:pPr>
        <w:tabs>
          <w:tab w:val="num" w:pos="720"/>
        </w:tabs>
        <w:ind w:left="720" w:hanging="360"/>
      </w:pPr>
      <w:rPr>
        <w:rFonts w:ascii="Symbol" w:hAnsi="Symbol" w:hint="default"/>
      </w:rPr>
    </w:lvl>
    <w:lvl w:ilvl="1" w:tplc="D12618D2">
      <w:start w:val="1"/>
      <w:numFmt w:val="bullet"/>
      <w:lvlText w:val=""/>
      <w:lvlJc w:val="left"/>
      <w:pPr>
        <w:tabs>
          <w:tab w:val="num" w:pos="567"/>
        </w:tabs>
        <w:ind w:left="567" w:hanging="567"/>
      </w:pPr>
      <w:rPr>
        <w:rFonts w:ascii="Symbol" w:hAnsi="Symbol" w:hint="default"/>
      </w:rPr>
    </w:lvl>
    <w:lvl w:ilvl="2" w:tplc="AB98543A" w:tentative="1">
      <w:start w:val="1"/>
      <w:numFmt w:val="bullet"/>
      <w:lvlText w:val=""/>
      <w:lvlJc w:val="left"/>
      <w:pPr>
        <w:tabs>
          <w:tab w:val="num" w:pos="2160"/>
        </w:tabs>
        <w:ind w:left="2160" w:hanging="360"/>
      </w:pPr>
      <w:rPr>
        <w:rFonts w:ascii="Wingdings" w:hAnsi="Wingdings" w:hint="default"/>
      </w:rPr>
    </w:lvl>
    <w:lvl w:ilvl="3" w:tplc="AD6CA9BC" w:tentative="1">
      <w:start w:val="1"/>
      <w:numFmt w:val="bullet"/>
      <w:lvlText w:val=""/>
      <w:lvlJc w:val="left"/>
      <w:pPr>
        <w:tabs>
          <w:tab w:val="num" w:pos="2880"/>
        </w:tabs>
        <w:ind w:left="2880" w:hanging="360"/>
      </w:pPr>
      <w:rPr>
        <w:rFonts w:ascii="Symbol" w:hAnsi="Symbol" w:hint="default"/>
      </w:rPr>
    </w:lvl>
    <w:lvl w:ilvl="4" w:tplc="0B086E6E" w:tentative="1">
      <w:start w:val="1"/>
      <w:numFmt w:val="bullet"/>
      <w:lvlText w:val="o"/>
      <w:lvlJc w:val="left"/>
      <w:pPr>
        <w:tabs>
          <w:tab w:val="num" w:pos="3600"/>
        </w:tabs>
        <w:ind w:left="3600" w:hanging="360"/>
      </w:pPr>
      <w:rPr>
        <w:rFonts w:ascii="Courier New" w:hAnsi="Courier New" w:hint="default"/>
      </w:rPr>
    </w:lvl>
    <w:lvl w:ilvl="5" w:tplc="139C9E66" w:tentative="1">
      <w:start w:val="1"/>
      <w:numFmt w:val="bullet"/>
      <w:lvlText w:val=""/>
      <w:lvlJc w:val="left"/>
      <w:pPr>
        <w:tabs>
          <w:tab w:val="num" w:pos="4320"/>
        </w:tabs>
        <w:ind w:left="4320" w:hanging="360"/>
      </w:pPr>
      <w:rPr>
        <w:rFonts w:ascii="Wingdings" w:hAnsi="Wingdings" w:hint="default"/>
      </w:rPr>
    </w:lvl>
    <w:lvl w:ilvl="6" w:tplc="5492EF86" w:tentative="1">
      <w:start w:val="1"/>
      <w:numFmt w:val="bullet"/>
      <w:lvlText w:val=""/>
      <w:lvlJc w:val="left"/>
      <w:pPr>
        <w:tabs>
          <w:tab w:val="num" w:pos="5040"/>
        </w:tabs>
        <w:ind w:left="5040" w:hanging="360"/>
      </w:pPr>
      <w:rPr>
        <w:rFonts w:ascii="Symbol" w:hAnsi="Symbol" w:hint="default"/>
      </w:rPr>
    </w:lvl>
    <w:lvl w:ilvl="7" w:tplc="9DECD6BC" w:tentative="1">
      <w:start w:val="1"/>
      <w:numFmt w:val="bullet"/>
      <w:lvlText w:val="o"/>
      <w:lvlJc w:val="left"/>
      <w:pPr>
        <w:tabs>
          <w:tab w:val="num" w:pos="5760"/>
        </w:tabs>
        <w:ind w:left="5760" w:hanging="360"/>
      </w:pPr>
      <w:rPr>
        <w:rFonts w:ascii="Courier New" w:hAnsi="Courier New" w:hint="default"/>
      </w:rPr>
    </w:lvl>
    <w:lvl w:ilvl="8" w:tplc="9FCCF646"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5535660"/>
    <w:multiLevelType w:val="multilevel"/>
    <w:tmpl w:val="B9CEAC6A"/>
    <w:lvl w:ilvl="0">
      <w:start w:val="4"/>
      <w:numFmt w:val="decimal"/>
      <w:lvlText w:val="%1"/>
      <w:lvlJc w:val="left"/>
      <w:pPr>
        <w:ind w:left="360" w:hanging="360"/>
      </w:pPr>
      <w:rPr>
        <w:rFonts w:hint="default"/>
        <w:b w:val="0"/>
      </w:rPr>
    </w:lvl>
    <w:lvl w:ilvl="1">
      <w:start w:val="8"/>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1" w15:restartNumberingAfterBreak="0">
    <w:nsid w:val="156A4157"/>
    <w:multiLevelType w:val="hybridMultilevel"/>
    <w:tmpl w:val="CC34704A"/>
    <w:lvl w:ilvl="0" w:tplc="C9EE272A">
      <w:start w:val="1"/>
      <w:numFmt w:val="bullet"/>
      <w:lvlText w:val=""/>
      <w:lvlJc w:val="left"/>
      <w:pPr>
        <w:ind w:left="720" w:hanging="360"/>
      </w:pPr>
      <w:rPr>
        <w:rFonts w:ascii="Symbol" w:hAnsi="Symbol" w:hint="default"/>
      </w:rPr>
    </w:lvl>
    <w:lvl w:ilvl="1" w:tplc="D7AED3FA" w:tentative="1">
      <w:start w:val="1"/>
      <w:numFmt w:val="bullet"/>
      <w:lvlText w:val="o"/>
      <w:lvlJc w:val="left"/>
      <w:pPr>
        <w:ind w:left="1440" w:hanging="360"/>
      </w:pPr>
      <w:rPr>
        <w:rFonts w:ascii="Courier New" w:hAnsi="Courier New" w:cs="Courier New" w:hint="default"/>
      </w:rPr>
    </w:lvl>
    <w:lvl w:ilvl="2" w:tplc="A6EAD5F0" w:tentative="1">
      <w:start w:val="1"/>
      <w:numFmt w:val="bullet"/>
      <w:lvlText w:val=""/>
      <w:lvlJc w:val="left"/>
      <w:pPr>
        <w:ind w:left="2160" w:hanging="360"/>
      </w:pPr>
      <w:rPr>
        <w:rFonts w:ascii="Wingdings" w:hAnsi="Wingdings" w:hint="default"/>
      </w:rPr>
    </w:lvl>
    <w:lvl w:ilvl="3" w:tplc="E6FCE26E" w:tentative="1">
      <w:start w:val="1"/>
      <w:numFmt w:val="bullet"/>
      <w:lvlText w:val=""/>
      <w:lvlJc w:val="left"/>
      <w:pPr>
        <w:ind w:left="2880" w:hanging="360"/>
      </w:pPr>
      <w:rPr>
        <w:rFonts w:ascii="Symbol" w:hAnsi="Symbol" w:hint="default"/>
      </w:rPr>
    </w:lvl>
    <w:lvl w:ilvl="4" w:tplc="33548B32" w:tentative="1">
      <w:start w:val="1"/>
      <w:numFmt w:val="bullet"/>
      <w:lvlText w:val="o"/>
      <w:lvlJc w:val="left"/>
      <w:pPr>
        <w:ind w:left="3600" w:hanging="360"/>
      </w:pPr>
      <w:rPr>
        <w:rFonts w:ascii="Courier New" w:hAnsi="Courier New" w:cs="Courier New" w:hint="default"/>
      </w:rPr>
    </w:lvl>
    <w:lvl w:ilvl="5" w:tplc="8C007C6E" w:tentative="1">
      <w:start w:val="1"/>
      <w:numFmt w:val="bullet"/>
      <w:lvlText w:val=""/>
      <w:lvlJc w:val="left"/>
      <w:pPr>
        <w:ind w:left="4320" w:hanging="360"/>
      </w:pPr>
      <w:rPr>
        <w:rFonts w:ascii="Wingdings" w:hAnsi="Wingdings" w:hint="default"/>
      </w:rPr>
    </w:lvl>
    <w:lvl w:ilvl="6" w:tplc="E3BC36EC" w:tentative="1">
      <w:start w:val="1"/>
      <w:numFmt w:val="bullet"/>
      <w:lvlText w:val=""/>
      <w:lvlJc w:val="left"/>
      <w:pPr>
        <w:ind w:left="5040" w:hanging="360"/>
      </w:pPr>
      <w:rPr>
        <w:rFonts w:ascii="Symbol" w:hAnsi="Symbol" w:hint="default"/>
      </w:rPr>
    </w:lvl>
    <w:lvl w:ilvl="7" w:tplc="6284C83C" w:tentative="1">
      <w:start w:val="1"/>
      <w:numFmt w:val="bullet"/>
      <w:lvlText w:val="o"/>
      <w:lvlJc w:val="left"/>
      <w:pPr>
        <w:ind w:left="5760" w:hanging="360"/>
      </w:pPr>
      <w:rPr>
        <w:rFonts w:ascii="Courier New" w:hAnsi="Courier New" w:cs="Courier New" w:hint="default"/>
      </w:rPr>
    </w:lvl>
    <w:lvl w:ilvl="8" w:tplc="43A0E29C" w:tentative="1">
      <w:start w:val="1"/>
      <w:numFmt w:val="bullet"/>
      <w:lvlText w:val=""/>
      <w:lvlJc w:val="left"/>
      <w:pPr>
        <w:ind w:left="6480" w:hanging="360"/>
      </w:pPr>
      <w:rPr>
        <w:rFonts w:ascii="Wingdings" w:hAnsi="Wingdings" w:hint="default"/>
      </w:rPr>
    </w:lvl>
  </w:abstractNum>
  <w:abstractNum w:abstractNumId="42" w15:restartNumberingAfterBreak="0">
    <w:nsid w:val="15D95CFE"/>
    <w:multiLevelType w:val="hybridMultilevel"/>
    <w:tmpl w:val="ACBAD194"/>
    <w:lvl w:ilvl="0" w:tplc="7194AB86">
      <w:start w:val="1"/>
      <w:numFmt w:val="bullet"/>
      <w:lvlText w:val=""/>
      <w:lvlJc w:val="left"/>
      <w:pPr>
        <w:tabs>
          <w:tab w:val="num" w:pos="567"/>
        </w:tabs>
        <w:ind w:left="567" w:hanging="567"/>
      </w:pPr>
      <w:rPr>
        <w:rFonts w:ascii="Symbol" w:hAnsi="Symbol" w:hint="default"/>
      </w:rPr>
    </w:lvl>
    <w:lvl w:ilvl="1" w:tplc="E408AD62" w:tentative="1">
      <w:start w:val="1"/>
      <w:numFmt w:val="bullet"/>
      <w:lvlText w:val="o"/>
      <w:lvlJc w:val="left"/>
      <w:pPr>
        <w:tabs>
          <w:tab w:val="num" w:pos="1440"/>
        </w:tabs>
        <w:ind w:left="1440" w:hanging="360"/>
      </w:pPr>
      <w:rPr>
        <w:rFonts w:ascii="Courier New" w:hAnsi="Courier New" w:hint="default"/>
      </w:rPr>
    </w:lvl>
    <w:lvl w:ilvl="2" w:tplc="1B8AFAD6" w:tentative="1">
      <w:start w:val="1"/>
      <w:numFmt w:val="bullet"/>
      <w:lvlText w:val=""/>
      <w:lvlJc w:val="left"/>
      <w:pPr>
        <w:tabs>
          <w:tab w:val="num" w:pos="2160"/>
        </w:tabs>
        <w:ind w:left="2160" w:hanging="360"/>
      </w:pPr>
      <w:rPr>
        <w:rFonts w:ascii="Wingdings" w:hAnsi="Wingdings" w:hint="default"/>
      </w:rPr>
    </w:lvl>
    <w:lvl w:ilvl="3" w:tplc="668A2CF4" w:tentative="1">
      <w:start w:val="1"/>
      <w:numFmt w:val="bullet"/>
      <w:lvlText w:val=""/>
      <w:lvlJc w:val="left"/>
      <w:pPr>
        <w:tabs>
          <w:tab w:val="num" w:pos="2880"/>
        </w:tabs>
        <w:ind w:left="2880" w:hanging="360"/>
      </w:pPr>
      <w:rPr>
        <w:rFonts w:ascii="Symbol" w:hAnsi="Symbol" w:hint="default"/>
      </w:rPr>
    </w:lvl>
    <w:lvl w:ilvl="4" w:tplc="0B54FD6A" w:tentative="1">
      <w:start w:val="1"/>
      <w:numFmt w:val="bullet"/>
      <w:lvlText w:val="o"/>
      <w:lvlJc w:val="left"/>
      <w:pPr>
        <w:tabs>
          <w:tab w:val="num" w:pos="3600"/>
        </w:tabs>
        <w:ind w:left="3600" w:hanging="360"/>
      </w:pPr>
      <w:rPr>
        <w:rFonts w:ascii="Courier New" w:hAnsi="Courier New" w:hint="default"/>
      </w:rPr>
    </w:lvl>
    <w:lvl w:ilvl="5" w:tplc="597444E4" w:tentative="1">
      <w:start w:val="1"/>
      <w:numFmt w:val="bullet"/>
      <w:lvlText w:val=""/>
      <w:lvlJc w:val="left"/>
      <w:pPr>
        <w:tabs>
          <w:tab w:val="num" w:pos="4320"/>
        </w:tabs>
        <w:ind w:left="4320" w:hanging="360"/>
      </w:pPr>
      <w:rPr>
        <w:rFonts w:ascii="Wingdings" w:hAnsi="Wingdings" w:hint="default"/>
      </w:rPr>
    </w:lvl>
    <w:lvl w:ilvl="6" w:tplc="6F187982" w:tentative="1">
      <w:start w:val="1"/>
      <w:numFmt w:val="bullet"/>
      <w:lvlText w:val=""/>
      <w:lvlJc w:val="left"/>
      <w:pPr>
        <w:tabs>
          <w:tab w:val="num" w:pos="5040"/>
        </w:tabs>
        <w:ind w:left="5040" w:hanging="360"/>
      </w:pPr>
      <w:rPr>
        <w:rFonts w:ascii="Symbol" w:hAnsi="Symbol" w:hint="default"/>
      </w:rPr>
    </w:lvl>
    <w:lvl w:ilvl="7" w:tplc="F7202DCA" w:tentative="1">
      <w:start w:val="1"/>
      <w:numFmt w:val="bullet"/>
      <w:lvlText w:val="o"/>
      <w:lvlJc w:val="left"/>
      <w:pPr>
        <w:tabs>
          <w:tab w:val="num" w:pos="5760"/>
        </w:tabs>
        <w:ind w:left="5760" w:hanging="360"/>
      </w:pPr>
      <w:rPr>
        <w:rFonts w:ascii="Courier New" w:hAnsi="Courier New" w:hint="default"/>
      </w:rPr>
    </w:lvl>
    <w:lvl w:ilvl="8" w:tplc="0A40ACAC"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67C3BD0"/>
    <w:multiLevelType w:val="hybridMultilevel"/>
    <w:tmpl w:val="ACBAD194"/>
    <w:lvl w:ilvl="0" w:tplc="A40E5600">
      <w:start w:val="1"/>
      <w:numFmt w:val="bullet"/>
      <w:lvlText w:val=""/>
      <w:lvlJc w:val="left"/>
      <w:pPr>
        <w:tabs>
          <w:tab w:val="num" w:pos="567"/>
        </w:tabs>
        <w:ind w:left="567" w:hanging="567"/>
      </w:pPr>
      <w:rPr>
        <w:rFonts w:ascii="Symbol" w:hAnsi="Symbol" w:hint="default"/>
      </w:rPr>
    </w:lvl>
    <w:lvl w:ilvl="1" w:tplc="94D07448" w:tentative="1">
      <w:start w:val="1"/>
      <w:numFmt w:val="bullet"/>
      <w:lvlText w:val="o"/>
      <w:lvlJc w:val="left"/>
      <w:pPr>
        <w:tabs>
          <w:tab w:val="num" w:pos="1440"/>
        </w:tabs>
        <w:ind w:left="1440" w:hanging="360"/>
      </w:pPr>
      <w:rPr>
        <w:rFonts w:ascii="Courier New" w:hAnsi="Courier New" w:hint="default"/>
      </w:rPr>
    </w:lvl>
    <w:lvl w:ilvl="2" w:tplc="526EC968" w:tentative="1">
      <w:start w:val="1"/>
      <w:numFmt w:val="bullet"/>
      <w:lvlText w:val=""/>
      <w:lvlJc w:val="left"/>
      <w:pPr>
        <w:tabs>
          <w:tab w:val="num" w:pos="2160"/>
        </w:tabs>
        <w:ind w:left="2160" w:hanging="360"/>
      </w:pPr>
      <w:rPr>
        <w:rFonts w:ascii="Wingdings" w:hAnsi="Wingdings" w:hint="default"/>
      </w:rPr>
    </w:lvl>
    <w:lvl w:ilvl="3" w:tplc="433CB5FE" w:tentative="1">
      <w:start w:val="1"/>
      <w:numFmt w:val="bullet"/>
      <w:lvlText w:val=""/>
      <w:lvlJc w:val="left"/>
      <w:pPr>
        <w:tabs>
          <w:tab w:val="num" w:pos="2880"/>
        </w:tabs>
        <w:ind w:left="2880" w:hanging="360"/>
      </w:pPr>
      <w:rPr>
        <w:rFonts w:ascii="Symbol" w:hAnsi="Symbol" w:hint="default"/>
      </w:rPr>
    </w:lvl>
    <w:lvl w:ilvl="4" w:tplc="6744F76E" w:tentative="1">
      <w:start w:val="1"/>
      <w:numFmt w:val="bullet"/>
      <w:lvlText w:val="o"/>
      <w:lvlJc w:val="left"/>
      <w:pPr>
        <w:tabs>
          <w:tab w:val="num" w:pos="3600"/>
        </w:tabs>
        <w:ind w:left="3600" w:hanging="360"/>
      </w:pPr>
      <w:rPr>
        <w:rFonts w:ascii="Courier New" w:hAnsi="Courier New" w:hint="default"/>
      </w:rPr>
    </w:lvl>
    <w:lvl w:ilvl="5" w:tplc="EBA01544" w:tentative="1">
      <w:start w:val="1"/>
      <w:numFmt w:val="bullet"/>
      <w:lvlText w:val=""/>
      <w:lvlJc w:val="left"/>
      <w:pPr>
        <w:tabs>
          <w:tab w:val="num" w:pos="4320"/>
        </w:tabs>
        <w:ind w:left="4320" w:hanging="360"/>
      </w:pPr>
      <w:rPr>
        <w:rFonts w:ascii="Wingdings" w:hAnsi="Wingdings" w:hint="default"/>
      </w:rPr>
    </w:lvl>
    <w:lvl w:ilvl="6" w:tplc="52807DB4" w:tentative="1">
      <w:start w:val="1"/>
      <w:numFmt w:val="bullet"/>
      <w:lvlText w:val=""/>
      <w:lvlJc w:val="left"/>
      <w:pPr>
        <w:tabs>
          <w:tab w:val="num" w:pos="5040"/>
        </w:tabs>
        <w:ind w:left="5040" w:hanging="360"/>
      </w:pPr>
      <w:rPr>
        <w:rFonts w:ascii="Symbol" w:hAnsi="Symbol" w:hint="default"/>
      </w:rPr>
    </w:lvl>
    <w:lvl w:ilvl="7" w:tplc="EC46C7CA" w:tentative="1">
      <w:start w:val="1"/>
      <w:numFmt w:val="bullet"/>
      <w:lvlText w:val="o"/>
      <w:lvlJc w:val="left"/>
      <w:pPr>
        <w:tabs>
          <w:tab w:val="num" w:pos="5760"/>
        </w:tabs>
        <w:ind w:left="5760" w:hanging="360"/>
      </w:pPr>
      <w:rPr>
        <w:rFonts w:ascii="Courier New" w:hAnsi="Courier New" w:hint="default"/>
      </w:rPr>
    </w:lvl>
    <w:lvl w:ilvl="8" w:tplc="2A7E8D32"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6DC2E74"/>
    <w:multiLevelType w:val="hybridMultilevel"/>
    <w:tmpl w:val="A0EACD7A"/>
    <w:lvl w:ilvl="0" w:tplc="4FF4AB8C">
      <w:start w:val="1"/>
      <w:numFmt w:val="bullet"/>
      <w:lvlText w:val=""/>
      <w:lvlJc w:val="left"/>
      <w:pPr>
        <w:ind w:left="720" w:hanging="360"/>
      </w:pPr>
      <w:rPr>
        <w:rFonts w:ascii="Symbol" w:hAnsi="Symbol" w:hint="default"/>
        <w:sz w:val="22"/>
      </w:rPr>
    </w:lvl>
    <w:lvl w:ilvl="1" w:tplc="83C0D442" w:tentative="1">
      <w:start w:val="1"/>
      <w:numFmt w:val="bullet"/>
      <w:lvlText w:val="o"/>
      <w:lvlJc w:val="left"/>
      <w:pPr>
        <w:ind w:left="1440" w:hanging="360"/>
      </w:pPr>
      <w:rPr>
        <w:rFonts w:ascii="Courier New" w:hAnsi="Courier New" w:cs="Courier New" w:hint="default"/>
      </w:rPr>
    </w:lvl>
    <w:lvl w:ilvl="2" w:tplc="7F649030" w:tentative="1">
      <w:start w:val="1"/>
      <w:numFmt w:val="bullet"/>
      <w:lvlText w:val=""/>
      <w:lvlJc w:val="left"/>
      <w:pPr>
        <w:ind w:left="2160" w:hanging="360"/>
      </w:pPr>
      <w:rPr>
        <w:rFonts w:ascii="Wingdings" w:hAnsi="Wingdings" w:hint="default"/>
      </w:rPr>
    </w:lvl>
    <w:lvl w:ilvl="3" w:tplc="F4667BFC" w:tentative="1">
      <w:start w:val="1"/>
      <w:numFmt w:val="bullet"/>
      <w:lvlText w:val=""/>
      <w:lvlJc w:val="left"/>
      <w:pPr>
        <w:ind w:left="2880" w:hanging="360"/>
      </w:pPr>
      <w:rPr>
        <w:rFonts w:ascii="Symbol" w:hAnsi="Symbol" w:hint="default"/>
      </w:rPr>
    </w:lvl>
    <w:lvl w:ilvl="4" w:tplc="1110F4CE" w:tentative="1">
      <w:start w:val="1"/>
      <w:numFmt w:val="bullet"/>
      <w:lvlText w:val="o"/>
      <w:lvlJc w:val="left"/>
      <w:pPr>
        <w:ind w:left="3600" w:hanging="360"/>
      </w:pPr>
      <w:rPr>
        <w:rFonts w:ascii="Courier New" w:hAnsi="Courier New" w:cs="Courier New" w:hint="default"/>
      </w:rPr>
    </w:lvl>
    <w:lvl w:ilvl="5" w:tplc="3B34A310" w:tentative="1">
      <w:start w:val="1"/>
      <w:numFmt w:val="bullet"/>
      <w:lvlText w:val=""/>
      <w:lvlJc w:val="left"/>
      <w:pPr>
        <w:ind w:left="4320" w:hanging="360"/>
      </w:pPr>
      <w:rPr>
        <w:rFonts w:ascii="Wingdings" w:hAnsi="Wingdings" w:hint="default"/>
      </w:rPr>
    </w:lvl>
    <w:lvl w:ilvl="6" w:tplc="1D34A5A0" w:tentative="1">
      <w:start w:val="1"/>
      <w:numFmt w:val="bullet"/>
      <w:lvlText w:val=""/>
      <w:lvlJc w:val="left"/>
      <w:pPr>
        <w:ind w:left="5040" w:hanging="360"/>
      </w:pPr>
      <w:rPr>
        <w:rFonts w:ascii="Symbol" w:hAnsi="Symbol" w:hint="default"/>
      </w:rPr>
    </w:lvl>
    <w:lvl w:ilvl="7" w:tplc="8AD6D49A" w:tentative="1">
      <w:start w:val="1"/>
      <w:numFmt w:val="bullet"/>
      <w:lvlText w:val="o"/>
      <w:lvlJc w:val="left"/>
      <w:pPr>
        <w:ind w:left="5760" w:hanging="360"/>
      </w:pPr>
      <w:rPr>
        <w:rFonts w:ascii="Courier New" w:hAnsi="Courier New" w:cs="Courier New" w:hint="default"/>
      </w:rPr>
    </w:lvl>
    <w:lvl w:ilvl="8" w:tplc="8DD6DD0A" w:tentative="1">
      <w:start w:val="1"/>
      <w:numFmt w:val="bullet"/>
      <w:lvlText w:val=""/>
      <w:lvlJc w:val="left"/>
      <w:pPr>
        <w:ind w:left="6480" w:hanging="360"/>
      </w:pPr>
      <w:rPr>
        <w:rFonts w:ascii="Wingdings" w:hAnsi="Wingdings" w:hint="default"/>
      </w:rPr>
    </w:lvl>
  </w:abstractNum>
  <w:abstractNum w:abstractNumId="45" w15:restartNumberingAfterBreak="0">
    <w:nsid w:val="178746CB"/>
    <w:multiLevelType w:val="hybridMultilevel"/>
    <w:tmpl w:val="1E6469F0"/>
    <w:lvl w:ilvl="0" w:tplc="380EB88E">
      <w:start w:val="1"/>
      <w:numFmt w:val="bullet"/>
      <w:lvlText w:val=""/>
      <w:lvlJc w:val="left"/>
      <w:pPr>
        <w:tabs>
          <w:tab w:val="num" w:pos="1134"/>
        </w:tabs>
        <w:ind w:left="1134" w:hanging="567"/>
      </w:pPr>
      <w:rPr>
        <w:rFonts w:ascii="Symbol" w:hAnsi="Symbol" w:hint="default"/>
      </w:rPr>
    </w:lvl>
    <w:lvl w:ilvl="1" w:tplc="91329218" w:tentative="1">
      <w:start w:val="1"/>
      <w:numFmt w:val="bullet"/>
      <w:lvlText w:val="o"/>
      <w:lvlJc w:val="left"/>
      <w:pPr>
        <w:tabs>
          <w:tab w:val="num" w:pos="1440"/>
        </w:tabs>
        <w:ind w:left="1440" w:hanging="360"/>
      </w:pPr>
      <w:rPr>
        <w:rFonts w:ascii="Courier New" w:hAnsi="Courier New" w:hint="default"/>
      </w:rPr>
    </w:lvl>
    <w:lvl w:ilvl="2" w:tplc="4A980C06" w:tentative="1">
      <w:start w:val="1"/>
      <w:numFmt w:val="bullet"/>
      <w:lvlText w:val=""/>
      <w:lvlJc w:val="left"/>
      <w:pPr>
        <w:tabs>
          <w:tab w:val="num" w:pos="2160"/>
        </w:tabs>
        <w:ind w:left="2160" w:hanging="360"/>
      </w:pPr>
      <w:rPr>
        <w:rFonts w:ascii="Wingdings" w:hAnsi="Wingdings" w:hint="default"/>
      </w:rPr>
    </w:lvl>
    <w:lvl w:ilvl="3" w:tplc="A36CFC00" w:tentative="1">
      <w:start w:val="1"/>
      <w:numFmt w:val="bullet"/>
      <w:lvlText w:val=""/>
      <w:lvlJc w:val="left"/>
      <w:pPr>
        <w:tabs>
          <w:tab w:val="num" w:pos="2880"/>
        </w:tabs>
        <w:ind w:left="2880" w:hanging="360"/>
      </w:pPr>
      <w:rPr>
        <w:rFonts w:ascii="Symbol" w:hAnsi="Symbol" w:hint="default"/>
      </w:rPr>
    </w:lvl>
    <w:lvl w:ilvl="4" w:tplc="531012A4" w:tentative="1">
      <w:start w:val="1"/>
      <w:numFmt w:val="bullet"/>
      <w:lvlText w:val="o"/>
      <w:lvlJc w:val="left"/>
      <w:pPr>
        <w:tabs>
          <w:tab w:val="num" w:pos="3600"/>
        </w:tabs>
        <w:ind w:left="3600" w:hanging="360"/>
      </w:pPr>
      <w:rPr>
        <w:rFonts w:ascii="Courier New" w:hAnsi="Courier New" w:hint="default"/>
      </w:rPr>
    </w:lvl>
    <w:lvl w:ilvl="5" w:tplc="5B7E591C" w:tentative="1">
      <w:start w:val="1"/>
      <w:numFmt w:val="bullet"/>
      <w:lvlText w:val=""/>
      <w:lvlJc w:val="left"/>
      <w:pPr>
        <w:tabs>
          <w:tab w:val="num" w:pos="4320"/>
        </w:tabs>
        <w:ind w:left="4320" w:hanging="360"/>
      </w:pPr>
      <w:rPr>
        <w:rFonts w:ascii="Wingdings" w:hAnsi="Wingdings" w:hint="default"/>
      </w:rPr>
    </w:lvl>
    <w:lvl w:ilvl="6" w:tplc="129E83FC" w:tentative="1">
      <w:start w:val="1"/>
      <w:numFmt w:val="bullet"/>
      <w:lvlText w:val=""/>
      <w:lvlJc w:val="left"/>
      <w:pPr>
        <w:tabs>
          <w:tab w:val="num" w:pos="5040"/>
        </w:tabs>
        <w:ind w:left="5040" w:hanging="360"/>
      </w:pPr>
      <w:rPr>
        <w:rFonts w:ascii="Symbol" w:hAnsi="Symbol" w:hint="default"/>
      </w:rPr>
    </w:lvl>
    <w:lvl w:ilvl="7" w:tplc="C70CBE94" w:tentative="1">
      <w:start w:val="1"/>
      <w:numFmt w:val="bullet"/>
      <w:lvlText w:val="o"/>
      <w:lvlJc w:val="left"/>
      <w:pPr>
        <w:tabs>
          <w:tab w:val="num" w:pos="5760"/>
        </w:tabs>
        <w:ind w:left="5760" w:hanging="360"/>
      </w:pPr>
      <w:rPr>
        <w:rFonts w:ascii="Courier New" w:hAnsi="Courier New" w:hint="default"/>
      </w:rPr>
    </w:lvl>
    <w:lvl w:ilvl="8" w:tplc="BD503FDA"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86932F6"/>
    <w:multiLevelType w:val="hybridMultilevel"/>
    <w:tmpl w:val="76B452C2"/>
    <w:lvl w:ilvl="0" w:tplc="881612EA">
      <w:start w:val="1"/>
      <w:numFmt w:val="bullet"/>
      <w:lvlText w:val=""/>
      <w:lvlJc w:val="left"/>
      <w:pPr>
        <w:ind w:left="720" w:hanging="360"/>
      </w:pPr>
      <w:rPr>
        <w:rFonts w:ascii="Symbol" w:hAnsi="Symbol" w:hint="default"/>
      </w:rPr>
    </w:lvl>
    <w:lvl w:ilvl="1" w:tplc="FE023DFE" w:tentative="1">
      <w:start w:val="1"/>
      <w:numFmt w:val="bullet"/>
      <w:lvlText w:val="o"/>
      <w:lvlJc w:val="left"/>
      <w:pPr>
        <w:ind w:left="1440" w:hanging="360"/>
      </w:pPr>
      <w:rPr>
        <w:rFonts w:ascii="Courier New" w:hAnsi="Courier New" w:cs="Courier New" w:hint="default"/>
      </w:rPr>
    </w:lvl>
    <w:lvl w:ilvl="2" w:tplc="9A1C9F50" w:tentative="1">
      <w:start w:val="1"/>
      <w:numFmt w:val="bullet"/>
      <w:lvlText w:val=""/>
      <w:lvlJc w:val="left"/>
      <w:pPr>
        <w:ind w:left="2160" w:hanging="360"/>
      </w:pPr>
      <w:rPr>
        <w:rFonts w:ascii="Wingdings" w:hAnsi="Wingdings" w:hint="default"/>
      </w:rPr>
    </w:lvl>
    <w:lvl w:ilvl="3" w:tplc="5EE85AC2" w:tentative="1">
      <w:start w:val="1"/>
      <w:numFmt w:val="bullet"/>
      <w:lvlText w:val=""/>
      <w:lvlJc w:val="left"/>
      <w:pPr>
        <w:ind w:left="2880" w:hanging="360"/>
      </w:pPr>
      <w:rPr>
        <w:rFonts w:ascii="Symbol" w:hAnsi="Symbol" w:hint="default"/>
      </w:rPr>
    </w:lvl>
    <w:lvl w:ilvl="4" w:tplc="514C4BC2" w:tentative="1">
      <w:start w:val="1"/>
      <w:numFmt w:val="bullet"/>
      <w:lvlText w:val="o"/>
      <w:lvlJc w:val="left"/>
      <w:pPr>
        <w:ind w:left="3600" w:hanging="360"/>
      </w:pPr>
      <w:rPr>
        <w:rFonts w:ascii="Courier New" w:hAnsi="Courier New" w:cs="Courier New" w:hint="default"/>
      </w:rPr>
    </w:lvl>
    <w:lvl w:ilvl="5" w:tplc="AED231C0" w:tentative="1">
      <w:start w:val="1"/>
      <w:numFmt w:val="bullet"/>
      <w:lvlText w:val=""/>
      <w:lvlJc w:val="left"/>
      <w:pPr>
        <w:ind w:left="4320" w:hanging="360"/>
      </w:pPr>
      <w:rPr>
        <w:rFonts w:ascii="Wingdings" w:hAnsi="Wingdings" w:hint="default"/>
      </w:rPr>
    </w:lvl>
    <w:lvl w:ilvl="6" w:tplc="1196077C" w:tentative="1">
      <w:start w:val="1"/>
      <w:numFmt w:val="bullet"/>
      <w:lvlText w:val=""/>
      <w:lvlJc w:val="left"/>
      <w:pPr>
        <w:ind w:left="5040" w:hanging="360"/>
      </w:pPr>
      <w:rPr>
        <w:rFonts w:ascii="Symbol" w:hAnsi="Symbol" w:hint="default"/>
      </w:rPr>
    </w:lvl>
    <w:lvl w:ilvl="7" w:tplc="61F8D1BE" w:tentative="1">
      <w:start w:val="1"/>
      <w:numFmt w:val="bullet"/>
      <w:lvlText w:val="o"/>
      <w:lvlJc w:val="left"/>
      <w:pPr>
        <w:ind w:left="5760" w:hanging="360"/>
      </w:pPr>
      <w:rPr>
        <w:rFonts w:ascii="Courier New" w:hAnsi="Courier New" w:cs="Courier New" w:hint="default"/>
      </w:rPr>
    </w:lvl>
    <w:lvl w:ilvl="8" w:tplc="FC0024CC" w:tentative="1">
      <w:start w:val="1"/>
      <w:numFmt w:val="bullet"/>
      <w:lvlText w:val=""/>
      <w:lvlJc w:val="left"/>
      <w:pPr>
        <w:ind w:left="6480" w:hanging="360"/>
      </w:pPr>
      <w:rPr>
        <w:rFonts w:ascii="Wingdings" w:hAnsi="Wingdings" w:hint="default"/>
      </w:rPr>
    </w:lvl>
  </w:abstractNum>
  <w:abstractNum w:abstractNumId="47" w15:restartNumberingAfterBreak="0">
    <w:nsid w:val="18900169"/>
    <w:multiLevelType w:val="hybridMultilevel"/>
    <w:tmpl w:val="B4080E2E"/>
    <w:lvl w:ilvl="0" w:tplc="C37AA204">
      <w:start w:val="1"/>
      <w:numFmt w:val="bullet"/>
      <w:lvlText w:val=""/>
      <w:lvlJc w:val="left"/>
      <w:pPr>
        <w:ind w:left="720" w:hanging="360"/>
      </w:pPr>
      <w:rPr>
        <w:rFonts w:ascii="Symbol" w:hAnsi="Symbol" w:hint="default"/>
      </w:rPr>
    </w:lvl>
    <w:lvl w:ilvl="1" w:tplc="02525D04" w:tentative="1">
      <w:start w:val="1"/>
      <w:numFmt w:val="bullet"/>
      <w:lvlText w:val="o"/>
      <w:lvlJc w:val="left"/>
      <w:pPr>
        <w:ind w:left="1440" w:hanging="360"/>
      </w:pPr>
      <w:rPr>
        <w:rFonts w:ascii="Courier New" w:hAnsi="Courier New" w:cs="Courier New" w:hint="default"/>
      </w:rPr>
    </w:lvl>
    <w:lvl w:ilvl="2" w:tplc="F3C0C80E" w:tentative="1">
      <w:start w:val="1"/>
      <w:numFmt w:val="bullet"/>
      <w:lvlText w:val=""/>
      <w:lvlJc w:val="left"/>
      <w:pPr>
        <w:ind w:left="2160" w:hanging="360"/>
      </w:pPr>
      <w:rPr>
        <w:rFonts w:ascii="Wingdings" w:hAnsi="Wingdings" w:hint="default"/>
      </w:rPr>
    </w:lvl>
    <w:lvl w:ilvl="3" w:tplc="435CA2A0" w:tentative="1">
      <w:start w:val="1"/>
      <w:numFmt w:val="bullet"/>
      <w:lvlText w:val=""/>
      <w:lvlJc w:val="left"/>
      <w:pPr>
        <w:ind w:left="2880" w:hanging="360"/>
      </w:pPr>
      <w:rPr>
        <w:rFonts w:ascii="Symbol" w:hAnsi="Symbol" w:hint="default"/>
      </w:rPr>
    </w:lvl>
    <w:lvl w:ilvl="4" w:tplc="7932E842" w:tentative="1">
      <w:start w:val="1"/>
      <w:numFmt w:val="bullet"/>
      <w:lvlText w:val="o"/>
      <w:lvlJc w:val="left"/>
      <w:pPr>
        <w:ind w:left="3600" w:hanging="360"/>
      </w:pPr>
      <w:rPr>
        <w:rFonts w:ascii="Courier New" w:hAnsi="Courier New" w:cs="Courier New" w:hint="default"/>
      </w:rPr>
    </w:lvl>
    <w:lvl w:ilvl="5" w:tplc="A7C22AD2" w:tentative="1">
      <w:start w:val="1"/>
      <w:numFmt w:val="bullet"/>
      <w:lvlText w:val=""/>
      <w:lvlJc w:val="left"/>
      <w:pPr>
        <w:ind w:left="4320" w:hanging="360"/>
      </w:pPr>
      <w:rPr>
        <w:rFonts w:ascii="Wingdings" w:hAnsi="Wingdings" w:hint="default"/>
      </w:rPr>
    </w:lvl>
    <w:lvl w:ilvl="6" w:tplc="277C382A" w:tentative="1">
      <w:start w:val="1"/>
      <w:numFmt w:val="bullet"/>
      <w:lvlText w:val=""/>
      <w:lvlJc w:val="left"/>
      <w:pPr>
        <w:ind w:left="5040" w:hanging="360"/>
      </w:pPr>
      <w:rPr>
        <w:rFonts w:ascii="Symbol" w:hAnsi="Symbol" w:hint="default"/>
      </w:rPr>
    </w:lvl>
    <w:lvl w:ilvl="7" w:tplc="28AA7E50" w:tentative="1">
      <w:start w:val="1"/>
      <w:numFmt w:val="bullet"/>
      <w:lvlText w:val="o"/>
      <w:lvlJc w:val="left"/>
      <w:pPr>
        <w:ind w:left="5760" w:hanging="360"/>
      </w:pPr>
      <w:rPr>
        <w:rFonts w:ascii="Courier New" w:hAnsi="Courier New" w:cs="Courier New" w:hint="default"/>
      </w:rPr>
    </w:lvl>
    <w:lvl w:ilvl="8" w:tplc="386AA390" w:tentative="1">
      <w:start w:val="1"/>
      <w:numFmt w:val="bullet"/>
      <w:lvlText w:val=""/>
      <w:lvlJc w:val="left"/>
      <w:pPr>
        <w:ind w:left="6480" w:hanging="360"/>
      </w:pPr>
      <w:rPr>
        <w:rFonts w:ascii="Wingdings" w:hAnsi="Wingdings" w:hint="default"/>
      </w:rPr>
    </w:lvl>
  </w:abstractNum>
  <w:abstractNum w:abstractNumId="48" w15:restartNumberingAfterBreak="0">
    <w:nsid w:val="19C71633"/>
    <w:multiLevelType w:val="hybridMultilevel"/>
    <w:tmpl w:val="C736F24C"/>
    <w:lvl w:ilvl="0" w:tplc="595A5BE4">
      <w:start w:val="1"/>
      <w:numFmt w:val="bullet"/>
      <w:lvlText w:val=""/>
      <w:lvlJc w:val="left"/>
      <w:pPr>
        <w:ind w:left="720" w:hanging="360"/>
      </w:pPr>
      <w:rPr>
        <w:rFonts w:ascii="Symbol" w:hAnsi="Symbol" w:hint="default"/>
        <w:sz w:val="22"/>
      </w:rPr>
    </w:lvl>
    <w:lvl w:ilvl="1" w:tplc="A0FA3802" w:tentative="1">
      <w:start w:val="1"/>
      <w:numFmt w:val="bullet"/>
      <w:lvlText w:val="o"/>
      <w:lvlJc w:val="left"/>
      <w:pPr>
        <w:ind w:left="1440" w:hanging="360"/>
      </w:pPr>
      <w:rPr>
        <w:rFonts w:ascii="Courier New" w:hAnsi="Courier New" w:cs="Courier New" w:hint="default"/>
      </w:rPr>
    </w:lvl>
    <w:lvl w:ilvl="2" w:tplc="03820052" w:tentative="1">
      <w:start w:val="1"/>
      <w:numFmt w:val="bullet"/>
      <w:lvlText w:val=""/>
      <w:lvlJc w:val="left"/>
      <w:pPr>
        <w:ind w:left="2160" w:hanging="360"/>
      </w:pPr>
      <w:rPr>
        <w:rFonts w:ascii="Wingdings" w:hAnsi="Wingdings" w:hint="default"/>
      </w:rPr>
    </w:lvl>
    <w:lvl w:ilvl="3" w:tplc="CA584CC0" w:tentative="1">
      <w:start w:val="1"/>
      <w:numFmt w:val="bullet"/>
      <w:lvlText w:val=""/>
      <w:lvlJc w:val="left"/>
      <w:pPr>
        <w:ind w:left="2880" w:hanging="360"/>
      </w:pPr>
      <w:rPr>
        <w:rFonts w:ascii="Symbol" w:hAnsi="Symbol" w:hint="default"/>
      </w:rPr>
    </w:lvl>
    <w:lvl w:ilvl="4" w:tplc="C6762AFE" w:tentative="1">
      <w:start w:val="1"/>
      <w:numFmt w:val="bullet"/>
      <w:lvlText w:val="o"/>
      <w:lvlJc w:val="left"/>
      <w:pPr>
        <w:ind w:left="3600" w:hanging="360"/>
      </w:pPr>
      <w:rPr>
        <w:rFonts w:ascii="Courier New" w:hAnsi="Courier New" w:cs="Courier New" w:hint="default"/>
      </w:rPr>
    </w:lvl>
    <w:lvl w:ilvl="5" w:tplc="D2C2D7A4" w:tentative="1">
      <w:start w:val="1"/>
      <w:numFmt w:val="bullet"/>
      <w:lvlText w:val=""/>
      <w:lvlJc w:val="left"/>
      <w:pPr>
        <w:ind w:left="4320" w:hanging="360"/>
      </w:pPr>
      <w:rPr>
        <w:rFonts w:ascii="Wingdings" w:hAnsi="Wingdings" w:hint="default"/>
      </w:rPr>
    </w:lvl>
    <w:lvl w:ilvl="6" w:tplc="43407F66" w:tentative="1">
      <w:start w:val="1"/>
      <w:numFmt w:val="bullet"/>
      <w:lvlText w:val=""/>
      <w:lvlJc w:val="left"/>
      <w:pPr>
        <w:ind w:left="5040" w:hanging="360"/>
      </w:pPr>
      <w:rPr>
        <w:rFonts w:ascii="Symbol" w:hAnsi="Symbol" w:hint="default"/>
      </w:rPr>
    </w:lvl>
    <w:lvl w:ilvl="7" w:tplc="C9D0B12C" w:tentative="1">
      <w:start w:val="1"/>
      <w:numFmt w:val="bullet"/>
      <w:lvlText w:val="o"/>
      <w:lvlJc w:val="left"/>
      <w:pPr>
        <w:ind w:left="5760" w:hanging="360"/>
      </w:pPr>
      <w:rPr>
        <w:rFonts w:ascii="Courier New" w:hAnsi="Courier New" w:cs="Courier New" w:hint="default"/>
      </w:rPr>
    </w:lvl>
    <w:lvl w:ilvl="8" w:tplc="8736AE1C" w:tentative="1">
      <w:start w:val="1"/>
      <w:numFmt w:val="bullet"/>
      <w:lvlText w:val=""/>
      <w:lvlJc w:val="left"/>
      <w:pPr>
        <w:ind w:left="6480" w:hanging="360"/>
      </w:pPr>
      <w:rPr>
        <w:rFonts w:ascii="Wingdings" w:hAnsi="Wingdings" w:hint="default"/>
      </w:rPr>
    </w:lvl>
  </w:abstractNum>
  <w:abstractNum w:abstractNumId="49" w15:restartNumberingAfterBreak="0">
    <w:nsid w:val="19D776B7"/>
    <w:multiLevelType w:val="hybridMultilevel"/>
    <w:tmpl w:val="B1B031D6"/>
    <w:lvl w:ilvl="0" w:tplc="72C0A1B2">
      <w:start w:val="1"/>
      <w:numFmt w:val="bullet"/>
      <w:lvlText w:val=""/>
      <w:lvlJc w:val="left"/>
      <w:pPr>
        <w:tabs>
          <w:tab w:val="num" w:pos="567"/>
        </w:tabs>
        <w:ind w:left="567" w:hanging="567"/>
      </w:pPr>
      <w:rPr>
        <w:rFonts w:ascii="Symbol" w:hAnsi="Symbol" w:hint="default"/>
      </w:rPr>
    </w:lvl>
    <w:lvl w:ilvl="1" w:tplc="DCBA78C8" w:tentative="1">
      <w:start w:val="1"/>
      <w:numFmt w:val="bullet"/>
      <w:lvlText w:val="o"/>
      <w:lvlJc w:val="left"/>
      <w:pPr>
        <w:tabs>
          <w:tab w:val="num" w:pos="1440"/>
        </w:tabs>
        <w:ind w:left="1440" w:hanging="360"/>
      </w:pPr>
      <w:rPr>
        <w:rFonts w:ascii="Courier New" w:hAnsi="Courier New" w:hint="default"/>
      </w:rPr>
    </w:lvl>
    <w:lvl w:ilvl="2" w:tplc="F7B8FFA2" w:tentative="1">
      <w:start w:val="1"/>
      <w:numFmt w:val="bullet"/>
      <w:lvlText w:val=""/>
      <w:lvlJc w:val="left"/>
      <w:pPr>
        <w:tabs>
          <w:tab w:val="num" w:pos="2160"/>
        </w:tabs>
        <w:ind w:left="2160" w:hanging="360"/>
      </w:pPr>
      <w:rPr>
        <w:rFonts w:ascii="Wingdings" w:hAnsi="Wingdings" w:hint="default"/>
      </w:rPr>
    </w:lvl>
    <w:lvl w:ilvl="3" w:tplc="946202CE" w:tentative="1">
      <w:start w:val="1"/>
      <w:numFmt w:val="bullet"/>
      <w:lvlText w:val=""/>
      <w:lvlJc w:val="left"/>
      <w:pPr>
        <w:tabs>
          <w:tab w:val="num" w:pos="2880"/>
        </w:tabs>
        <w:ind w:left="2880" w:hanging="360"/>
      </w:pPr>
      <w:rPr>
        <w:rFonts w:ascii="Symbol" w:hAnsi="Symbol" w:hint="default"/>
      </w:rPr>
    </w:lvl>
    <w:lvl w:ilvl="4" w:tplc="D6A61E44" w:tentative="1">
      <w:start w:val="1"/>
      <w:numFmt w:val="bullet"/>
      <w:lvlText w:val="o"/>
      <w:lvlJc w:val="left"/>
      <w:pPr>
        <w:tabs>
          <w:tab w:val="num" w:pos="3600"/>
        </w:tabs>
        <w:ind w:left="3600" w:hanging="360"/>
      </w:pPr>
      <w:rPr>
        <w:rFonts w:ascii="Courier New" w:hAnsi="Courier New" w:hint="default"/>
      </w:rPr>
    </w:lvl>
    <w:lvl w:ilvl="5" w:tplc="749C2A3E" w:tentative="1">
      <w:start w:val="1"/>
      <w:numFmt w:val="bullet"/>
      <w:lvlText w:val=""/>
      <w:lvlJc w:val="left"/>
      <w:pPr>
        <w:tabs>
          <w:tab w:val="num" w:pos="4320"/>
        </w:tabs>
        <w:ind w:left="4320" w:hanging="360"/>
      </w:pPr>
      <w:rPr>
        <w:rFonts w:ascii="Wingdings" w:hAnsi="Wingdings" w:hint="default"/>
      </w:rPr>
    </w:lvl>
    <w:lvl w:ilvl="6" w:tplc="F530BCDC" w:tentative="1">
      <w:start w:val="1"/>
      <w:numFmt w:val="bullet"/>
      <w:lvlText w:val=""/>
      <w:lvlJc w:val="left"/>
      <w:pPr>
        <w:tabs>
          <w:tab w:val="num" w:pos="5040"/>
        </w:tabs>
        <w:ind w:left="5040" w:hanging="360"/>
      </w:pPr>
      <w:rPr>
        <w:rFonts w:ascii="Symbol" w:hAnsi="Symbol" w:hint="default"/>
      </w:rPr>
    </w:lvl>
    <w:lvl w:ilvl="7" w:tplc="DF9C0F8A" w:tentative="1">
      <w:start w:val="1"/>
      <w:numFmt w:val="bullet"/>
      <w:lvlText w:val="o"/>
      <w:lvlJc w:val="left"/>
      <w:pPr>
        <w:tabs>
          <w:tab w:val="num" w:pos="5760"/>
        </w:tabs>
        <w:ind w:left="5760" w:hanging="360"/>
      </w:pPr>
      <w:rPr>
        <w:rFonts w:ascii="Courier New" w:hAnsi="Courier New" w:hint="default"/>
      </w:rPr>
    </w:lvl>
    <w:lvl w:ilvl="8" w:tplc="982C5C54"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A3C2FF5"/>
    <w:multiLevelType w:val="hybridMultilevel"/>
    <w:tmpl w:val="CA48C544"/>
    <w:lvl w:ilvl="0" w:tplc="8BB89218">
      <w:start w:val="1"/>
      <w:numFmt w:val="bullet"/>
      <w:lvlText w:val=""/>
      <w:lvlJc w:val="left"/>
      <w:pPr>
        <w:tabs>
          <w:tab w:val="num" w:pos="360"/>
        </w:tabs>
        <w:ind w:left="360" w:hanging="360"/>
      </w:pPr>
      <w:rPr>
        <w:rFonts w:ascii="Symbol" w:hAnsi="Symbol" w:hint="default"/>
      </w:rPr>
    </w:lvl>
    <w:lvl w:ilvl="1" w:tplc="14704A78">
      <w:start w:val="1"/>
      <w:numFmt w:val="bullet"/>
      <w:lvlText w:val=""/>
      <w:lvlJc w:val="left"/>
      <w:pPr>
        <w:tabs>
          <w:tab w:val="num" w:pos="567"/>
        </w:tabs>
        <w:ind w:left="567" w:hanging="567"/>
      </w:pPr>
      <w:rPr>
        <w:rFonts w:ascii="Symbol" w:hAnsi="Symbol" w:hint="default"/>
      </w:rPr>
    </w:lvl>
    <w:lvl w:ilvl="2" w:tplc="73306CC6" w:tentative="1">
      <w:start w:val="1"/>
      <w:numFmt w:val="bullet"/>
      <w:lvlText w:val=""/>
      <w:lvlJc w:val="left"/>
      <w:pPr>
        <w:tabs>
          <w:tab w:val="num" w:pos="2160"/>
        </w:tabs>
        <w:ind w:left="2160" w:hanging="360"/>
      </w:pPr>
      <w:rPr>
        <w:rFonts w:ascii="Wingdings" w:hAnsi="Wingdings" w:hint="default"/>
      </w:rPr>
    </w:lvl>
    <w:lvl w:ilvl="3" w:tplc="6A84E8A8" w:tentative="1">
      <w:start w:val="1"/>
      <w:numFmt w:val="bullet"/>
      <w:lvlText w:val=""/>
      <w:lvlJc w:val="left"/>
      <w:pPr>
        <w:tabs>
          <w:tab w:val="num" w:pos="2880"/>
        </w:tabs>
        <w:ind w:left="2880" w:hanging="360"/>
      </w:pPr>
      <w:rPr>
        <w:rFonts w:ascii="Symbol" w:hAnsi="Symbol" w:hint="default"/>
      </w:rPr>
    </w:lvl>
    <w:lvl w:ilvl="4" w:tplc="02A273CC" w:tentative="1">
      <w:start w:val="1"/>
      <w:numFmt w:val="bullet"/>
      <w:lvlText w:val="o"/>
      <w:lvlJc w:val="left"/>
      <w:pPr>
        <w:tabs>
          <w:tab w:val="num" w:pos="3600"/>
        </w:tabs>
        <w:ind w:left="3600" w:hanging="360"/>
      </w:pPr>
      <w:rPr>
        <w:rFonts w:ascii="Courier New" w:hAnsi="Courier New" w:hint="default"/>
      </w:rPr>
    </w:lvl>
    <w:lvl w:ilvl="5" w:tplc="ECF63EE2" w:tentative="1">
      <w:start w:val="1"/>
      <w:numFmt w:val="bullet"/>
      <w:lvlText w:val=""/>
      <w:lvlJc w:val="left"/>
      <w:pPr>
        <w:tabs>
          <w:tab w:val="num" w:pos="4320"/>
        </w:tabs>
        <w:ind w:left="4320" w:hanging="360"/>
      </w:pPr>
      <w:rPr>
        <w:rFonts w:ascii="Wingdings" w:hAnsi="Wingdings" w:hint="default"/>
      </w:rPr>
    </w:lvl>
    <w:lvl w:ilvl="6" w:tplc="DA1037FC" w:tentative="1">
      <w:start w:val="1"/>
      <w:numFmt w:val="bullet"/>
      <w:lvlText w:val=""/>
      <w:lvlJc w:val="left"/>
      <w:pPr>
        <w:tabs>
          <w:tab w:val="num" w:pos="5040"/>
        </w:tabs>
        <w:ind w:left="5040" w:hanging="360"/>
      </w:pPr>
      <w:rPr>
        <w:rFonts w:ascii="Symbol" w:hAnsi="Symbol" w:hint="default"/>
      </w:rPr>
    </w:lvl>
    <w:lvl w:ilvl="7" w:tplc="167CD3CC" w:tentative="1">
      <w:start w:val="1"/>
      <w:numFmt w:val="bullet"/>
      <w:lvlText w:val="o"/>
      <w:lvlJc w:val="left"/>
      <w:pPr>
        <w:tabs>
          <w:tab w:val="num" w:pos="5760"/>
        </w:tabs>
        <w:ind w:left="5760" w:hanging="360"/>
      </w:pPr>
      <w:rPr>
        <w:rFonts w:ascii="Courier New" w:hAnsi="Courier New" w:hint="default"/>
      </w:rPr>
    </w:lvl>
    <w:lvl w:ilvl="8" w:tplc="C2A4834E"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A8B7EFB"/>
    <w:multiLevelType w:val="hybridMultilevel"/>
    <w:tmpl w:val="548AABE4"/>
    <w:lvl w:ilvl="0" w:tplc="DB98E7A6">
      <w:start w:val="1"/>
      <w:numFmt w:val="bullet"/>
      <w:lvlText w:val=""/>
      <w:lvlJc w:val="left"/>
      <w:pPr>
        <w:tabs>
          <w:tab w:val="num" w:pos="0"/>
        </w:tabs>
        <w:ind w:left="283" w:hanging="283"/>
      </w:pPr>
      <w:rPr>
        <w:rFonts w:ascii="Symbol" w:hAnsi="Symbol" w:hint="default"/>
      </w:rPr>
    </w:lvl>
    <w:lvl w:ilvl="1" w:tplc="5DAAD144">
      <w:start w:val="1"/>
      <w:numFmt w:val="bullet"/>
      <w:lvlText w:val="o"/>
      <w:lvlJc w:val="left"/>
      <w:pPr>
        <w:tabs>
          <w:tab w:val="num" w:pos="1440"/>
        </w:tabs>
        <w:ind w:left="1440" w:hanging="360"/>
      </w:pPr>
      <w:rPr>
        <w:rFonts w:ascii="Courier New" w:hAnsi="Courier New" w:hint="default"/>
      </w:rPr>
    </w:lvl>
    <w:lvl w:ilvl="2" w:tplc="BB08C586" w:tentative="1">
      <w:start w:val="1"/>
      <w:numFmt w:val="bullet"/>
      <w:lvlText w:val=""/>
      <w:lvlJc w:val="left"/>
      <w:pPr>
        <w:tabs>
          <w:tab w:val="num" w:pos="2160"/>
        </w:tabs>
        <w:ind w:left="2160" w:hanging="360"/>
      </w:pPr>
      <w:rPr>
        <w:rFonts w:ascii="Wingdings" w:hAnsi="Wingdings" w:hint="default"/>
      </w:rPr>
    </w:lvl>
    <w:lvl w:ilvl="3" w:tplc="5E0C6FD0" w:tentative="1">
      <w:start w:val="1"/>
      <w:numFmt w:val="bullet"/>
      <w:lvlText w:val=""/>
      <w:lvlJc w:val="left"/>
      <w:pPr>
        <w:tabs>
          <w:tab w:val="num" w:pos="2880"/>
        </w:tabs>
        <w:ind w:left="2880" w:hanging="360"/>
      </w:pPr>
      <w:rPr>
        <w:rFonts w:ascii="Symbol" w:hAnsi="Symbol" w:hint="default"/>
      </w:rPr>
    </w:lvl>
    <w:lvl w:ilvl="4" w:tplc="E5847BAA" w:tentative="1">
      <w:start w:val="1"/>
      <w:numFmt w:val="bullet"/>
      <w:lvlText w:val="o"/>
      <w:lvlJc w:val="left"/>
      <w:pPr>
        <w:tabs>
          <w:tab w:val="num" w:pos="3600"/>
        </w:tabs>
        <w:ind w:left="3600" w:hanging="360"/>
      </w:pPr>
      <w:rPr>
        <w:rFonts w:ascii="Courier New" w:hAnsi="Courier New" w:hint="default"/>
      </w:rPr>
    </w:lvl>
    <w:lvl w:ilvl="5" w:tplc="A1466AC2" w:tentative="1">
      <w:start w:val="1"/>
      <w:numFmt w:val="bullet"/>
      <w:lvlText w:val=""/>
      <w:lvlJc w:val="left"/>
      <w:pPr>
        <w:tabs>
          <w:tab w:val="num" w:pos="4320"/>
        </w:tabs>
        <w:ind w:left="4320" w:hanging="360"/>
      </w:pPr>
      <w:rPr>
        <w:rFonts w:ascii="Wingdings" w:hAnsi="Wingdings" w:hint="default"/>
      </w:rPr>
    </w:lvl>
    <w:lvl w:ilvl="6" w:tplc="0D14F9C6" w:tentative="1">
      <w:start w:val="1"/>
      <w:numFmt w:val="bullet"/>
      <w:lvlText w:val=""/>
      <w:lvlJc w:val="left"/>
      <w:pPr>
        <w:tabs>
          <w:tab w:val="num" w:pos="5040"/>
        </w:tabs>
        <w:ind w:left="5040" w:hanging="360"/>
      </w:pPr>
      <w:rPr>
        <w:rFonts w:ascii="Symbol" w:hAnsi="Symbol" w:hint="default"/>
      </w:rPr>
    </w:lvl>
    <w:lvl w:ilvl="7" w:tplc="D8387C32" w:tentative="1">
      <w:start w:val="1"/>
      <w:numFmt w:val="bullet"/>
      <w:lvlText w:val="o"/>
      <w:lvlJc w:val="left"/>
      <w:pPr>
        <w:tabs>
          <w:tab w:val="num" w:pos="5760"/>
        </w:tabs>
        <w:ind w:left="5760" w:hanging="360"/>
      </w:pPr>
      <w:rPr>
        <w:rFonts w:ascii="Courier New" w:hAnsi="Courier New" w:hint="default"/>
      </w:rPr>
    </w:lvl>
    <w:lvl w:ilvl="8" w:tplc="07489A10"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1B925ADF"/>
    <w:multiLevelType w:val="hybridMultilevel"/>
    <w:tmpl w:val="E9027DEE"/>
    <w:lvl w:ilvl="0" w:tplc="33B61B6E">
      <w:start w:val="1"/>
      <w:numFmt w:val="bullet"/>
      <w:lvlText w:val=""/>
      <w:lvlJc w:val="left"/>
      <w:pPr>
        <w:ind w:left="720" w:hanging="360"/>
      </w:pPr>
      <w:rPr>
        <w:rFonts w:ascii="Symbol" w:hAnsi="Symbol" w:hint="default"/>
      </w:rPr>
    </w:lvl>
    <w:lvl w:ilvl="1" w:tplc="CA721546" w:tentative="1">
      <w:start w:val="1"/>
      <w:numFmt w:val="bullet"/>
      <w:lvlText w:val="o"/>
      <w:lvlJc w:val="left"/>
      <w:pPr>
        <w:ind w:left="1440" w:hanging="360"/>
      </w:pPr>
      <w:rPr>
        <w:rFonts w:ascii="Courier New" w:hAnsi="Courier New" w:cs="Courier New" w:hint="default"/>
      </w:rPr>
    </w:lvl>
    <w:lvl w:ilvl="2" w:tplc="98045FD8" w:tentative="1">
      <w:start w:val="1"/>
      <w:numFmt w:val="bullet"/>
      <w:lvlText w:val=""/>
      <w:lvlJc w:val="left"/>
      <w:pPr>
        <w:ind w:left="2160" w:hanging="360"/>
      </w:pPr>
      <w:rPr>
        <w:rFonts w:ascii="Wingdings" w:hAnsi="Wingdings" w:hint="default"/>
      </w:rPr>
    </w:lvl>
    <w:lvl w:ilvl="3" w:tplc="6C463B0A" w:tentative="1">
      <w:start w:val="1"/>
      <w:numFmt w:val="bullet"/>
      <w:lvlText w:val=""/>
      <w:lvlJc w:val="left"/>
      <w:pPr>
        <w:ind w:left="2880" w:hanging="360"/>
      </w:pPr>
      <w:rPr>
        <w:rFonts w:ascii="Symbol" w:hAnsi="Symbol" w:hint="default"/>
      </w:rPr>
    </w:lvl>
    <w:lvl w:ilvl="4" w:tplc="7522FA5E" w:tentative="1">
      <w:start w:val="1"/>
      <w:numFmt w:val="bullet"/>
      <w:lvlText w:val="o"/>
      <w:lvlJc w:val="left"/>
      <w:pPr>
        <w:ind w:left="3600" w:hanging="360"/>
      </w:pPr>
      <w:rPr>
        <w:rFonts w:ascii="Courier New" w:hAnsi="Courier New" w:cs="Courier New" w:hint="default"/>
      </w:rPr>
    </w:lvl>
    <w:lvl w:ilvl="5" w:tplc="9582351E" w:tentative="1">
      <w:start w:val="1"/>
      <w:numFmt w:val="bullet"/>
      <w:lvlText w:val=""/>
      <w:lvlJc w:val="left"/>
      <w:pPr>
        <w:ind w:left="4320" w:hanging="360"/>
      </w:pPr>
      <w:rPr>
        <w:rFonts w:ascii="Wingdings" w:hAnsi="Wingdings" w:hint="default"/>
      </w:rPr>
    </w:lvl>
    <w:lvl w:ilvl="6" w:tplc="3EA6D74E" w:tentative="1">
      <w:start w:val="1"/>
      <w:numFmt w:val="bullet"/>
      <w:lvlText w:val=""/>
      <w:lvlJc w:val="left"/>
      <w:pPr>
        <w:ind w:left="5040" w:hanging="360"/>
      </w:pPr>
      <w:rPr>
        <w:rFonts w:ascii="Symbol" w:hAnsi="Symbol" w:hint="default"/>
      </w:rPr>
    </w:lvl>
    <w:lvl w:ilvl="7" w:tplc="45228A82" w:tentative="1">
      <w:start w:val="1"/>
      <w:numFmt w:val="bullet"/>
      <w:lvlText w:val="o"/>
      <w:lvlJc w:val="left"/>
      <w:pPr>
        <w:ind w:left="5760" w:hanging="360"/>
      </w:pPr>
      <w:rPr>
        <w:rFonts w:ascii="Courier New" w:hAnsi="Courier New" w:cs="Courier New" w:hint="default"/>
      </w:rPr>
    </w:lvl>
    <w:lvl w:ilvl="8" w:tplc="34BEDCDC" w:tentative="1">
      <w:start w:val="1"/>
      <w:numFmt w:val="bullet"/>
      <w:lvlText w:val=""/>
      <w:lvlJc w:val="left"/>
      <w:pPr>
        <w:ind w:left="6480" w:hanging="360"/>
      </w:pPr>
      <w:rPr>
        <w:rFonts w:ascii="Wingdings" w:hAnsi="Wingdings" w:hint="default"/>
      </w:rPr>
    </w:lvl>
  </w:abstractNum>
  <w:abstractNum w:abstractNumId="53" w15:restartNumberingAfterBreak="0">
    <w:nsid w:val="1B9E3272"/>
    <w:multiLevelType w:val="hybridMultilevel"/>
    <w:tmpl w:val="FE70999A"/>
    <w:lvl w:ilvl="0" w:tplc="6D0AA464">
      <w:start w:val="1"/>
      <w:numFmt w:val="bullet"/>
      <w:lvlText w:val=""/>
      <w:lvlJc w:val="left"/>
      <w:pPr>
        <w:ind w:left="1065" w:hanging="705"/>
      </w:pPr>
      <w:rPr>
        <w:rFonts w:ascii="Symbol" w:hAnsi="Symbol" w:hint="default"/>
      </w:rPr>
    </w:lvl>
    <w:lvl w:ilvl="1" w:tplc="F9FE12DA" w:tentative="1">
      <w:start w:val="1"/>
      <w:numFmt w:val="bullet"/>
      <w:lvlText w:val="o"/>
      <w:lvlJc w:val="left"/>
      <w:pPr>
        <w:ind w:left="1440" w:hanging="360"/>
      </w:pPr>
      <w:rPr>
        <w:rFonts w:ascii="Courier New" w:hAnsi="Courier New" w:cs="Courier New" w:hint="default"/>
      </w:rPr>
    </w:lvl>
    <w:lvl w:ilvl="2" w:tplc="7AB6F82A" w:tentative="1">
      <w:start w:val="1"/>
      <w:numFmt w:val="bullet"/>
      <w:lvlText w:val=""/>
      <w:lvlJc w:val="left"/>
      <w:pPr>
        <w:ind w:left="2160" w:hanging="360"/>
      </w:pPr>
      <w:rPr>
        <w:rFonts w:ascii="Wingdings" w:hAnsi="Wingdings" w:hint="default"/>
      </w:rPr>
    </w:lvl>
    <w:lvl w:ilvl="3" w:tplc="E8687ABC" w:tentative="1">
      <w:start w:val="1"/>
      <w:numFmt w:val="bullet"/>
      <w:lvlText w:val=""/>
      <w:lvlJc w:val="left"/>
      <w:pPr>
        <w:ind w:left="2880" w:hanging="360"/>
      </w:pPr>
      <w:rPr>
        <w:rFonts w:ascii="Symbol" w:hAnsi="Symbol" w:hint="default"/>
      </w:rPr>
    </w:lvl>
    <w:lvl w:ilvl="4" w:tplc="0ED4525C" w:tentative="1">
      <w:start w:val="1"/>
      <w:numFmt w:val="bullet"/>
      <w:lvlText w:val="o"/>
      <w:lvlJc w:val="left"/>
      <w:pPr>
        <w:ind w:left="3600" w:hanging="360"/>
      </w:pPr>
      <w:rPr>
        <w:rFonts w:ascii="Courier New" w:hAnsi="Courier New" w:cs="Courier New" w:hint="default"/>
      </w:rPr>
    </w:lvl>
    <w:lvl w:ilvl="5" w:tplc="295E6E3A" w:tentative="1">
      <w:start w:val="1"/>
      <w:numFmt w:val="bullet"/>
      <w:lvlText w:val=""/>
      <w:lvlJc w:val="left"/>
      <w:pPr>
        <w:ind w:left="4320" w:hanging="360"/>
      </w:pPr>
      <w:rPr>
        <w:rFonts w:ascii="Wingdings" w:hAnsi="Wingdings" w:hint="default"/>
      </w:rPr>
    </w:lvl>
    <w:lvl w:ilvl="6" w:tplc="28662602" w:tentative="1">
      <w:start w:val="1"/>
      <w:numFmt w:val="bullet"/>
      <w:lvlText w:val=""/>
      <w:lvlJc w:val="left"/>
      <w:pPr>
        <w:ind w:left="5040" w:hanging="360"/>
      </w:pPr>
      <w:rPr>
        <w:rFonts w:ascii="Symbol" w:hAnsi="Symbol" w:hint="default"/>
      </w:rPr>
    </w:lvl>
    <w:lvl w:ilvl="7" w:tplc="689A4B64" w:tentative="1">
      <w:start w:val="1"/>
      <w:numFmt w:val="bullet"/>
      <w:lvlText w:val="o"/>
      <w:lvlJc w:val="left"/>
      <w:pPr>
        <w:ind w:left="5760" w:hanging="360"/>
      </w:pPr>
      <w:rPr>
        <w:rFonts w:ascii="Courier New" w:hAnsi="Courier New" w:cs="Courier New" w:hint="default"/>
      </w:rPr>
    </w:lvl>
    <w:lvl w:ilvl="8" w:tplc="B418B3E4" w:tentative="1">
      <w:start w:val="1"/>
      <w:numFmt w:val="bullet"/>
      <w:lvlText w:val=""/>
      <w:lvlJc w:val="left"/>
      <w:pPr>
        <w:ind w:left="6480" w:hanging="360"/>
      </w:pPr>
      <w:rPr>
        <w:rFonts w:ascii="Wingdings" w:hAnsi="Wingdings" w:hint="default"/>
      </w:rPr>
    </w:lvl>
  </w:abstractNum>
  <w:abstractNum w:abstractNumId="54" w15:restartNumberingAfterBreak="0">
    <w:nsid w:val="1C7D15C7"/>
    <w:multiLevelType w:val="hybridMultilevel"/>
    <w:tmpl w:val="41B4F34C"/>
    <w:lvl w:ilvl="0" w:tplc="B712E506">
      <w:start w:val="1"/>
      <w:numFmt w:val="bullet"/>
      <w:lvlText w:val=""/>
      <w:lvlJc w:val="left"/>
      <w:pPr>
        <w:tabs>
          <w:tab w:val="num" w:pos="567"/>
        </w:tabs>
        <w:ind w:left="567" w:hanging="567"/>
      </w:pPr>
      <w:rPr>
        <w:rFonts w:ascii="Symbol" w:hAnsi="Symbol" w:hint="default"/>
      </w:rPr>
    </w:lvl>
    <w:lvl w:ilvl="1" w:tplc="C6EE1E90" w:tentative="1">
      <w:start w:val="1"/>
      <w:numFmt w:val="bullet"/>
      <w:lvlText w:val="o"/>
      <w:lvlJc w:val="left"/>
      <w:pPr>
        <w:tabs>
          <w:tab w:val="num" w:pos="1440"/>
        </w:tabs>
        <w:ind w:left="1440" w:hanging="360"/>
      </w:pPr>
      <w:rPr>
        <w:rFonts w:ascii="Courier New" w:hAnsi="Courier New" w:hint="default"/>
      </w:rPr>
    </w:lvl>
    <w:lvl w:ilvl="2" w:tplc="F0E28EA8" w:tentative="1">
      <w:start w:val="1"/>
      <w:numFmt w:val="bullet"/>
      <w:lvlText w:val=""/>
      <w:lvlJc w:val="left"/>
      <w:pPr>
        <w:tabs>
          <w:tab w:val="num" w:pos="2160"/>
        </w:tabs>
        <w:ind w:left="2160" w:hanging="360"/>
      </w:pPr>
      <w:rPr>
        <w:rFonts w:ascii="Wingdings" w:hAnsi="Wingdings" w:hint="default"/>
      </w:rPr>
    </w:lvl>
    <w:lvl w:ilvl="3" w:tplc="2AF8C910" w:tentative="1">
      <w:start w:val="1"/>
      <w:numFmt w:val="bullet"/>
      <w:lvlText w:val=""/>
      <w:lvlJc w:val="left"/>
      <w:pPr>
        <w:tabs>
          <w:tab w:val="num" w:pos="2880"/>
        </w:tabs>
        <w:ind w:left="2880" w:hanging="360"/>
      </w:pPr>
      <w:rPr>
        <w:rFonts w:ascii="Symbol" w:hAnsi="Symbol" w:hint="default"/>
      </w:rPr>
    </w:lvl>
    <w:lvl w:ilvl="4" w:tplc="E3386B2A" w:tentative="1">
      <w:start w:val="1"/>
      <w:numFmt w:val="bullet"/>
      <w:lvlText w:val="o"/>
      <w:lvlJc w:val="left"/>
      <w:pPr>
        <w:tabs>
          <w:tab w:val="num" w:pos="3600"/>
        </w:tabs>
        <w:ind w:left="3600" w:hanging="360"/>
      </w:pPr>
      <w:rPr>
        <w:rFonts w:ascii="Courier New" w:hAnsi="Courier New" w:hint="default"/>
      </w:rPr>
    </w:lvl>
    <w:lvl w:ilvl="5" w:tplc="B29EDEA4" w:tentative="1">
      <w:start w:val="1"/>
      <w:numFmt w:val="bullet"/>
      <w:lvlText w:val=""/>
      <w:lvlJc w:val="left"/>
      <w:pPr>
        <w:tabs>
          <w:tab w:val="num" w:pos="4320"/>
        </w:tabs>
        <w:ind w:left="4320" w:hanging="360"/>
      </w:pPr>
      <w:rPr>
        <w:rFonts w:ascii="Wingdings" w:hAnsi="Wingdings" w:hint="default"/>
      </w:rPr>
    </w:lvl>
    <w:lvl w:ilvl="6" w:tplc="D21632A4" w:tentative="1">
      <w:start w:val="1"/>
      <w:numFmt w:val="bullet"/>
      <w:lvlText w:val=""/>
      <w:lvlJc w:val="left"/>
      <w:pPr>
        <w:tabs>
          <w:tab w:val="num" w:pos="5040"/>
        </w:tabs>
        <w:ind w:left="5040" w:hanging="360"/>
      </w:pPr>
      <w:rPr>
        <w:rFonts w:ascii="Symbol" w:hAnsi="Symbol" w:hint="default"/>
      </w:rPr>
    </w:lvl>
    <w:lvl w:ilvl="7" w:tplc="3A342EC0" w:tentative="1">
      <w:start w:val="1"/>
      <w:numFmt w:val="bullet"/>
      <w:lvlText w:val="o"/>
      <w:lvlJc w:val="left"/>
      <w:pPr>
        <w:tabs>
          <w:tab w:val="num" w:pos="5760"/>
        </w:tabs>
        <w:ind w:left="5760" w:hanging="360"/>
      </w:pPr>
      <w:rPr>
        <w:rFonts w:ascii="Courier New" w:hAnsi="Courier New" w:hint="default"/>
      </w:rPr>
    </w:lvl>
    <w:lvl w:ilvl="8" w:tplc="EF80989E"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1C7D1CD0"/>
    <w:multiLevelType w:val="hybridMultilevel"/>
    <w:tmpl w:val="7DDCE9B8"/>
    <w:lvl w:ilvl="0" w:tplc="9318A8C4">
      <w:start w:val="1"/>
      <w:numFmt w:val="bullet"/>
      <w:lvlText w:val=""/>
      <w:lvlJc w:val="left"/>
      <w:pPr>
        <w:ind w:left="720" w:hanging="360"/>
      </w:pPr>
      <w:rPr>
        <w:rFonts w:ascii="Symbol" w:hAnsi="Symbol" w:hint="default"/>
      </w:rPr>
    </w:lvl>
    <w:lvl w:ilvl="1" w:tplc="EAF8BC12" w:tentative="1">
      <w:start w:val="1"/>
      <w:numFmt w:val="bullet"/>
      <w:lvlText w:val="o"/>
      <w:lvlJc w:val="left"/>
      <w:pPr>
        <w:ind w:left="1440" w:hanging="360"/>
      </w:pPr>
      <w:rPr>
        <w:rFonts w:ascii="Courier New" w:hAnsi="Courier New" w:cs="Courier New" w:hint="default"/>
      </w:rPr>
    </w:lvl>
    <w:lvl w:ilvl="2" w:tplc="A588C99E" w:tentative="1">
      <w:start w:val="1"/>
      <w:numFmt w:val="bullet"/>
      <w:lvlText w:val=""/>
      <w:lvlJc w:val="left"/>
      <w:pPr>
        <w:ind w:left="2160" w:hanging="360"/>
      </w:pPr>
      <w:rPr>
        <w:rFonts w:ascii="Wingdings" w:hAnsi="Wingdings" w:hint="default"/>
      </w:rPr>
    </w:lvl>
    <w:lvl w:ilvl="3" w:tplc="366E7978" w:tentative="1">
      <w:start w:val="1"/>
      <w:numFmt w:val="bullet"/>
      <w:lvlText w:val=""/>
      <w:lvlJc w:val="left"/>
      <w:pPr>
        <w:ind w:left="2880" w:hanging="360"/>
      </w:pPr>
      <w:rPr>
        <w:rFonts w:ascii="Symbol" w:hAnsi="Symbol" w:hint="default"/>
      </w:rPr>
    </w:lvl>
    <w:lvl w:ilvl="4" w:tplc="7D3CD7A6" w:tentative="1">
      <w:start w:val="1"/>
      <w:numFmt w:val="bullet"/>
      <w:lvlText w:val="o"/>
      <w:lvlJc w:val="left"/>
      <w:pPr>
        <w:ind w:left="3600" w:hanging="360"/>
      </w:pPr>
      <w:rPr>
        <w:rFonts w:ascii="Courier New" w:hAnsi="Courier New" w:cs="Courier New" w:hint="default"/>
      </w:rPr>
    </w:lvl>
    <w:lvl w:ilvl="5" w:tplc="9FF4EAE0" w:tentative="1">
      <w:start w:val="1"/>
      <w:numFmt w:val="bullet"/>
      <w:lvlText w:val=""/>
      <w:lvlJc w:val="left"/>
      <w:pPr>
        <w:ind w:left="4320" w:hanging="360"/>
      </w:pPr>
      <w:rPr>
        <w:rFonts w:ascii="Wingdings" w:hAnsi="Wingdings" w:hint="default"/>
      </w:rPr>
    </w:lvl>
    <w:lvl w:ilvl="6" w:tplc="309C196C" w:tentative="1">
      <w:start w:val="1"/>
      <w:numFmt w:val="bullet"/>
      <w:lvlText w:val=""/>
      <w:lvlJc w:val="left"/>
      <w:pPr>
        <w:ind w:left="5040" w:hanging="360"/>
      </w:pPr>
      <w:rPr>
        <w:rFonts w:ascii="Symbol" w:hAnsi="Symbol" w:hint="default"/>
      </w:rPr>
    </w:lvl>
    <w:lvl w:ilvl="7" w:tplc="89FE6FDA" w:tentative="1">
      <w:start w:val="1"/>
      <w:numFmt w:val="bullet"/>
      <w:lvlText w:val="o"/>
      <w:lvlJc w:val="left"/>
      <w:pPr>
        <w:ind w:left="5760" w:hanging="360"/>
      </w:pPr>
      <w:rPr>
        <w:rFonts w:ascii="Courier New" w:hAnsi="Courier New" w:cs="Courier New" w:hint="default"/>
      </w:rPr>
    </w:lvl>
    <w:lvl w:ilvl="8" w:tplc="875EC7E4" w:tentative="1">
      <w:start w:val="1"/>
      <w:numFmt w:val="bullet"/>
      <w:lvlText w:val=""/>
      <w:lvlJc w:val="left"/>
      <w:pPr>
        <w:ind w:left="6480" w:hanging="360"/>
      </w:pPr>
      <w:rPr>
        <w:rFonts w:ascii="Wingdings" w:hAnsi="Wingdings" w:hint="default"/>
      </w:rPr>
    </w:lvl>
  </w:abstractNum>
  <w:abstractNum w:abstractNumId="56" w15:restartNumberingAfterBreak="0">
    <w:nsid w:val="1CB87414"/>
    <w:multiLevelType w:val="hybridMultilevel"/>
    <w:tmpl w:val="CA48C544"/>
    <w:lvl w:ilvl="0" w:tplc="A4B0915A">
      <w:start w:val="1"/>
      <w:numFmt w:val="bullet"/>
      <w:lvlText w:val=""/>
      <w:lvlJc w:val="left"/>
      <w:pPr>
        <w:tabs>
          <w:tab w:val="num" w:pos="1440"/>
        </w:tabs>
        <w:ind w:left="1440" w:hanging="360"/>
      </w:pPr>
      <w:rPr>
        <w:rFonts w:ascii="Symbol" w:hAnsi="Symbol" w:hint="default"/>
      </w:rPr>
    </w:lvl>
    <w:lvl w:ilvl="1" w:tplc="9E48A156">
      <w:start w:val="1"/>
      <w:numFmt w:val="bullet"/>
      <w:lvlText w:val=""/>
      <w:lvlJc w:val="left"/>
      <w:pPr>
        <w:tabs>
          <w:tab w:val="num" w:pos="567"/>
        </w:tabs>
        <w:ind w:left="567" w:hanging="567"/>
      </w:pPr>
      <w:rPr>
        <w:rFonts w:ascii="Symbol" w:hAnsi="Symbol" w:hint="default"/>
      </w:rPr>
    </w:lvl>
    <w:lvl w:ilvl="2" w:tplc="E4D6A1BE">
      <w:start w:val="1"/>
      <w:numFmt w:val="bullet"/>
      <w:lvlText w:val=""/>
      <w:lvlJc w:val="left"/>
      <w:pPr>
        <w:tabs>
          <w:tab w:val="num" w:pos="3240"/>
        </w:tabs>
        <w:ind w:left="3240" w:hanging="360"/>
      </w:pPr>
      <w:rPr>
        <w:rFonts w:ascii="Symbol" w:hAnsi="Symbol" w:hint="default"/>
      </w:rPr>
    </w:lvl>
    <w:lvl w:ilvl="3" w:tplc="A12C8648" w:tentative="1">
      <w:start w:val="1"/>
      <w:numFmt w:val="bullet"/>
      <w:lvlText w:val=""/>
      <w:lvlJc w:val="left"/>
      <w:pPr>
        <w:tabs>
          <w:tab w:val="num" w:pos="3960"/>
        </w:tabs>
        <w:ind w:left="3960" w:hanging="360"/>
      </w:pPr>
      <w:rPr>
        <w:rFonts w:ascii="Symbol" w:hAnsi="Symbol" w:hint="default"/>
      </w:rPr>
    </w:lvl>
    <w:lvl w:ilvl="4" w:tplc="F4C83552" w:tentative="1">
      <w:start w:val="1"/>
      <w:numFmt w:val="bullet"/>
      <w:lvlText w:val="o"/>
      <w:lvlJc w:val="left"/>
      <w:pPr>
        <w:tabs>
          <w:tab w:val="num" w:pos="4680"/>
        </w:tabs>
        <w:ind w:left="4680" w:hanging="360"/>
      </w:pPr>
      <w:rPr>
        <w:rFonts w:ascii="Courier New" w:hAnsi="Courier New" w:hint="default"/>
      </w:rPr>
    </w:lvl>
    <w:lvl w:ilvl="5" w:tplc="14321B52" w:tentative="1">
      <w:start w:val="1"/>
      <w:numFmt w:val="bullet"/>
      <w:lvlText w:val=""/>
      <w:lvlJc w:val="left"/>
      <w:pPr>
        <w:tabs>
          <w:tab w:val="num" w:pos="5400"/>
        </w:tabs>
        <w:ind w:left="5400" w:hanging="360"/>
      </w:pPr>
      <w:rPr>
        <w:rFonts w:ascii="Wingdings" w:hAnsi="Wingdings" w:hint="default"/>
      </w:rPr>
    </w:lvl>
    <w:lvl w:ilvl="6" w:tplc="7806EF76" w:tentative="1">
      <w:start w:val="1"/>
      <w:numFmt w:val="bullet"/>
      <w:lvlText w:val=""/>
      <w:lvlJc w:val="left"/>
      <w:pPr>
        <w:tabs>
          <w:tab w:val="num" w:pos="6120"/>
        </w:tabs>
        <w:ind w:left="6120" w:hanging="360"/>
      </w:pPr>
      <w:rPr>
        <w:rFonts w:ascii="Symbol" w:hAnsi="Symbol" w:hint="default"/>
      </w:rPr>
    </w:lvl>
    <w:lvl w:ilvl="7" w:tplc="37CAAC06" w:tentative="1">
      <w:start w:val="1"/>
      <w:numFmt w:val="bullet"/>
      <w:lvlText w:val="o"/>
      <w:lvlJc w:val="left"/>
      <w:pPr>
        <w:tabs>
          <w:tab w:val="num" w:pos="6840"/>
        </w:tabs>
        <w:ind w:left="6840" w:hanging="360"/>
      </w:pPr>
      <w:rPr>
        <w:rFonts w:ascii="Courier New" w:hAnsi="Courier New" w:hint="default"/>
      </w:rPr>
    </w:lvl>
    <w:lvl w:ilvl="8" w:tplc="DD443B0C" w:tentative="1">
      <w:start w:val="1"/>
      <w:numFmt w:val="bullet"/>
      <w:lvlText w:val=""/>
      <w:lvlJc w:val="left"/>
      <w:pPr>
        <w:tabs>
          <w:tab w:val="num" w:pos="7560"/>
        </w:tabs>
        <w:ind w:left="7560" w:hanging="360"/>
      </w:pPr>
      <w:rPr>
        <w:rFonts w:ascii="Wingdings" w:hAnsi="Wingdings" w:hint="default"/>
      </w:rPr>
    </w:lvl>
  </w:abstractNum>
  <w:abstractNum w:abstractNumId="57" w15:restartNumberingAfterBreak="0">
    <w:nsid w:val="1EC63BE5"/>
    <w:multiLevelType w:val="hybridMultilevel"/>
    <w:tmpl w:val="1D36E50A"/>
    <w:lvl w:ilvl="0" w:tplc="F91659CA">
      <w:start w:val="1"/>
      <w:numFmt w:val="bullet"/>
      <w:lvlText w:val=""/>
      <w:lvlJc w:val="left"/>
      <w:pPr>
        <w:ind w:left="720" w:hanging="360"/>
      </w:pPr>
      <w:rPr>
        <w:rFonts w:ascii="Symbol" w:hAnsi="Symbol" w:hint="default"/>
      </w:rPr>
    </w:lvl>
    <w:lvl w:ilvl="1" w:tplc="FA58A534" w:tentative="1">
      <w:start w:val="1"/>
      <w:numFmt w:val="bullet"/>
      <w:lvlText w:val="o"/>
      <w:lvlJc w:val="left"/>
      <w:pPr>
        <w:ind w:left="1440" w:hanging="360"/>
      </w:pPr>
      <w:rPr>
        <w:rFonts w:ascii="Courier New" w:hAnsi="Courier New" w:cs="Courier New" w:hint="default"/>
      </w:rPr>
    </w:lvl>
    <w:lvl w:ilvl="2" w:tplc="409E6024" w:tentative="1">
      <w:start w:val="1"/>
      <w:numFmt w:val="bullet"/>
      <w:lvlText w:val=""/>
      <w:lvlJc w:val="left"/>
      <w:pPr>
        <w:ind w:left="2160" w:hanging="360"/>
      </w:pPr>
      <w:rPr>
        <w:rFonts w:ascii="Wingdings" w:hAnsi="Wingdings" w:hint="default"/>
      </w:rPr>
    </w:lvl>
    <w:lvl w:ilvl="3" w:tplc="E1588408" w:tentative="1">
      <w:start w:val="1"/>
      <w:numFmt w:val="bullet"/>
      <w:lvlText w:val=""/>
      <w:lvlJc w:val="left"/>
      <w:pPr>
        <w:ind w:left="2880" w:hanging="360"/>
      </w:pPr>
      <w:rPr>
        <w:rFonts w:ascii="Symbol" w:hAnsi="Symbol" w:hint="default"/>
      </w:rPr>
    </w:lvl>
    <w:lvl w:ilvl="4" w:tplc="9D843D6E" w:tentative="1">
      <w:start w:val="1"/>
      <w:numFmt w:val="bullet"/>
      <w:lvlText w:val="o"/>
      <w:lvlJc w:val="left"/>
      <w:pPr>
        <w:ind w:left="3600" w:hanging="360"/>
      </w:pPr>
      <w:rPr>
        <w:rFonts w:ascii="Courier New" w:hAnsi="Courier New" w:cs="Courier New" w:hint="default"/>
      </w:rPr>
    </w:lvl>
    <w:lvl w:ilvl="5" w:tplc="1BFC09DA" w:tentative="1">
      <w:start w:val="1"/>
      <w:numFmt w:val="bullet"/>
      <w:lvlText w:val=""/>
      <w:lvlJc w:val="left"/>
      <w:pPr>
        <w:ind w:left="4320" w:hanging="360"/>
      </w:pPr>
      <w:rPr>
        <w:rFonts w:ascii="Wingdings" w:hAnsi="Wingdings" w:hint="default"/>
      </w:rPr>
    </w:lvl>
    <w:lvl w:ilvl="6" w:tplc="696AA2F4" w:tentative="1">
      <w:start w:val="1"/>
      <w:numFmt w:val="bullet"/>
      <w:lvlText w:val=""/>
      <w:lvlJc w:val="left"/>
      <w:pPr>
        <w:ind w:left="5040" w:hanging="360"/>
      </w:pPr>
      <w:rPr>
        <w:rFonts w:ascii="Symbol" w:hAnsi="Symbol" w:hint="default"/>
      </w:rPr>
    </w:lvl>
    <w:lvl w:ilvl="7" w:tplc="DEAADAD8" w:tentative="1">
      <w:start w:val="1"/>
      <w:numFmt w:val="bullet"/>
      <w:lvlText w:val="o"/>
      <w:lvlJc w:val="left"/>
      <w:pPr>
        <w:ind w:left="5760" w:hanging="360"/>
      </w:pPr>
      <w:rPr>
        <w:rFonts w:ascii="Courier New" w:hAnsi="Courier New" w:cs="Courier New" w:hint="default"/>
      </w:rPr>
    </w:lvl>
    <w:lvl w:ilvl="8" w:tplc="43CC5AEE" w:tentative="1">
      <w:start w:val="1"/>
      <w:numFmt w:val="bullet"/>
      <w:lvlText w:val=""/>
      <w:lvlJc w:val="left"/>
      <w:pPr>
        <w:ind w:left="6480" w:hanging="360"/>
      </w:pPr>
      <w:rPr>
        <w:rFonts w:ascii="Wingdings" w:hAnsi="Wingdings" w:hint="default"/>
      </w:rPr>
    </w:lvl>
  </w:abstractNum>
  <w:abstractNum w:abstractNumId="58" w15:restartNumberingAfterBreak="0">
    <w:nsid w:val="1F595B40"/>
    <w:multiLevelType w:val="hybridMultilevel"/>
    <w:tmpl w:val="50F2E0D2"/>
    <w:lvl w:ilvl="0" w:tplc="5DACFEC4">
      <w:start w:val="1"/>
      <w:numFmt w:val="bullet"/>
      <w:lvlText w:val=""/>
      <w:lvlJc w:val="left"/>
      <w:pPr>
        <w:tabs>
          <w:tab w:val="num" w:pos="567"/>
        </w:tabs>
        <w:ind w:left="567" w:hanging="567"/>
      </w:pPr>
      <w:rPr>
        <w:rFonts w:ascii="Symbol" w:hAnsi="Symbol" w:hint="default"/>
      </w:rPr>
    </w:lvl>
    <w:lvl w:ilvl="1" w:tplc="56B825C6" w:tentative="1">
      <w:start w:val="1"/>
      <w:numFmt w:val="bullet"/>
      <w:lvlText w:val="o"/>
      <w:lvlJc w:val="left"/>
      <w:pPr>
        <w:tabs>
          <w:tab w:val="num" w:pos="1440"/>
        </w:tabs>
        <w:ind w:left="1440" w:hanging="360"/>
      </w:pPr>
      <w:rPr>
        <w:rFonts w:ascii="Courier New" w:hAnsi="Courier New" w:hint="default"/>
      </w:rPr>
    </w:lvl>
    <w:lvl w:ilvl="2" w:tplc="82B82A44" w:tentative="1">
      <w:start w:val="1"/>
      <w:numFmt w:val="bullet"/>
      <w:lvlText w:val=""/>
      <w:lvlJc w:val="left"/>
      <w:pPr>
        <w:tabs>
          <w:tab w:val="num" w:pos="2160"/>
        </w:tabs>
        <w:ind w:left="2160" w:hanging="360"/>
      </w:pPr>
      <w:rPr>
        <w:rFonts w:ascii="Wingdings" w:hAnsi="Wingdings" w:hint="default"/>
      </w:rPr>
    </w:lvl>
    <w:lvl w:ilvl="3" w:tplc="D8F82C30" w:tentative="1">
      <w:start w:val="1"/>
      <w:numFmt w:val="bullet"/>
      <w:lvlText w:val=""/>
      <w:lvlJc w:val="left"/>
      <w:pPr>
        <w:tabs>
          <w:tab w:val="num" w:pos="2880"/>
        </w:tabs>
        <w:ind w:left="2880" w:hanging="360"/>
      </w:pPr>
      <w:rPr>
        <w:rFonts w:ascii="Symbol" w:hAnsi="Symbol" w:hint="default"/>
      </w:rPr>
    </w:lvl>
    <w:lvl w:ilvl="4" w:tplc="B6F2D63E" w:tentative="1">
      <w:start w:val="1"/>
      <w:numFmt w:val="bullet"/>
      <w:lvlText w:val="o"/>
      <w:lvlJc w:val="left"/>
      <w:pPr>
        <w:tabs>
          <w:tab w:val="num" w:pos="3600"/>
        </w:tabs>
        <w:ind w:left="3600" w:hanging="360"/>
      </w:pPr>
      <w:rPr>
        <w:rFonts w:ascii="Courier New" w:hAnsi="Courier New" w:hint="default"/>
      </w:rPr>
    </w:lvl>
    <w:lvl w:ilvl="5" w:tplc="9D846AD2" w:tentative="1">
      <w:start w:val="1"/>
      <w:numFmt w:val="bullet"/>
      <w:lvlText w:val=""/>
      <w:lvlJc w:val="left"/>
      <w:pPr>
        <w:tabs>
          <w:tab w:val="num" w:pos="4320"/>
        </w:tabs>
        <w:ind w:left="4320" w:hanging="360"/>
      </w:pPr>
      <w:rPr>
        <w:rFonts w:ascii="Wingdings" w:hAnsi="Wingdings" w:hint="default"/>
      </w:rPr>
    </w:lvl>
    <w:lvl w:ilvl="6" w:tplc="77B607A2" w:tentative="1">
      <w:start w:val="1"/>
      <w:numFmt w:val="bullet"/>
      <w:lvlText w:val=""/>
      <w:lvlJc w:val="left"/>
      <w:pPr>
        <w:tabs>
          <w:tab w:val="num" w:pos="5040"/>
        </w:tabs>
        <w:ind w:left="5040" w:hanging="360"/>
      </w:pPr>
      <w:rPr>
        <w:rFonts w:ascii="Symbol" w:hAnsi="Symbol" w:hint="default"/>
      </w:rPr>
    </w:lvl>
    <w:lvl w:ilvl="7" w:tplc="46AECCF0" w:tentative="1">
      <w:start w:val="1"/>
      <w:numFmt w:val="bullet"/>
      <w:lvlText w:val="o"/>
      <w:lvlJc w:val="left"/>
      <w:pPr>
        <w:tabs>
          <w:tab w:val="num" w:pos="5760"/>
        </w:tabs>
        <w:ind w:left="5760" w:hanging="360"/>
      </w:pPr>
      <w:rPr>
        <w:rFonts w:ascii="Courier New" w:hAnsi="Courier New" w:hint="default"/>
      </w:rPr>
    </w:lvl>
    <w:lvl w:ilvl="8" w:tplc="BB343C58"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22A9728E"/>
    <w:multiLevelType w:val="hybridMultilevel"/>
    <w:tmpl w:val="F0EE999A"/>
    <w:lvl w:ilvl="0" w:tplc="557CDAF6">
      <w:start w:val="1"/>
      <w:numFmt w:val="bullet"/>
      <w:lvlText w:val=""/>
      <w:lvlJc w:val="left"/>
      <w:pPr>
        <w:ind w:left="720" w:hanging="360"/>
      </w:pPr>
      <w:rPr>
        <w:rFonts w:ascii="Symbol" w:hAnsi="Symbol" w:hint="default"/>
      </w:rPr>
    </w:lvl>
    <w:lvl w:ilvl="1" w:tplc="AD448BAA" w:tentative="1">
      <w:start w:val="1"/>
      <w:numFmt w:val="bullet"/>
      <w:lvlText w:val="o"/>
      <w:lvlJc w:val="left"/>
      <w:pPr>
        <w:ind w:left="1440" w:hanging="360"/>
      </w:pPr>
      <w:rPr>
        <w:rFonts w:ascii="Courier New" w:hAnsi="Courier New" w:cs="Courier New" w:hint="default"/>
      </w:rPr>
    </w:lvl>
    <w:lvl w:ilvl="2" w:tplc="951AA7D0" w:tentative="1">
      <w:start w:val="1"/>
      <w:numFmt w:val="bullet"/>
      <w:lvlText w:val=""/>
      <w:lvlJc w:val="left"/>
      <w:pPr>
        <w:ind w:left="2160" w:hanging="360"/>
      </w:pPr>
      <w:rPr>
        <w:rFonts w:ascii="Wingdings" w:hAnsi="Wingdings" w:hint="default"/>
      </w:rPr>
    </w:lvl>
    <w:lvl w:ilvl="3" w:tplc="6A92D92A" w:tentative="1">
      <w:start w:val="1"/>
      <w:numFmt w:val="bullet"/>
      <w:lvlText w:val=""/>
      <w:lvlJc w:val="left"/>
      <w:pPr>
        <w:ind w:left="2880" w:hanging="360"/>
      </w:pPr>
      <w:rPr>
        <w:rFonts w:ascii="Symbol" w:hAnsi="Symbol" w:hint="default"/>
      </w:rPr>
    </w:lvl>
    <w:lvl w:ilvl="4" w:tplc="CFDCC86E" w:tentative="1">
      <w:start w:val="1"/>
      <w:numFmt w:val="bullet"/>
      <w:lvlText w:val="o"/>
      <w:lvlJc w:val="left"/>
      <w:pPr>
        <w:ind w:left="3600" w:hanging="360"/>
      </w:pPr>
      <w:rPr>
        <w:rFonts w:ascii="Courier New" w:hAnsi="Courier New" w:cs="Courier New" w:hint="default"/>
      </w:rPr>
    </w:lvl>
    <w:lvl w:ilvl="5" w:tplc="B8A671AA" w:tentative="1">
      <w:start w:val="1"/>
      <w:numFmt w:val="bullet"/>
      <w:lvlText w:val=""/>
      <w:lvlJc w:val="left"/>
      <w:pPr>
        <w:ind w:left="4320" w:hanging="360"/>
      </w:pPr>
      <w:rPr>
        <w:rFonts w:ascii="Wingdings" w:hAnsi="Wingdings" w:hint="default"/>
      </w:rPr>
    </w:lvl>
    <w:lvl w:ilvl="6" w:tplc="15D6089A" w:tentative="1">
      <w:start w:val="1"/>
      <w:numFmt w:val="bullet"/>
      <w:lvlText w:val=""/>
      <w:lvlJc w:val="left"/>
      <w:pPr>
        <w:ind w:left="5040" w:hanging="360"/>
      </w:pPr>
      <w:rPr>
        <w:rFonts w:ascii="Symbol" w:hAnsi="Symbol" w:hint="default"/>
      </w:rPr>
    </w:lvl>
    <w:lvl w:ilvl="7" w:tplc="51B62130" w:tentative="1">
      <w:start w:val="1"/>
      <w:numFmt w:val="bullet"/>
      <w:lvlText w:val="o"/>
      <w:lvlJc w:val="left"/>
      <w:pPr>
        <w:ind w:left="5760" w:hanging="360"/>
      </w:pPr>
      <w:rPr>
        <w:rFonts w:ascii="Courier New" w:hAnsi="Courier New" w:cs="Courier New" w:hint="default"/>
      </w:rPr>
    </w:lvl>
    <w:lvl w:ilvl="8" w:tplc="8C681602" w:tentative="1">
      <w:start w:val="1"/>
      <w:numFmt w:val="bullet"/>
      <w:lvlText w:val=""/>
      <w:lvlJc w:val="left"/>
      <w:pPr>
        <w:ind w:left="6480" w:hanging="360"/>
      </w:pPr>
      <w:rPr>
        <w:rFonts w:ascii="Wingdings" w:hAnsi="Wingdings" w:hint="default"/>
      </w:rPr>
    </w:lvl>
  </w:abstractNum>
  <w:abstractNum w:abstractNumId="60" w15:restartNumberingAfterBreak="0">
    <w:nsid w:val="23AE7AC0"/>
    <w:multiLevelType w:val="hybridMultilevel"/>
    <w:tmpl w:val="F98AD2CC"/>
    <w:lvl w:ilvl="0" w:tplc="94DEA4AE">
      <w:start w:val="1"/>
      <w:numFmt w:val="bullet"/>
      <w:lvlText w:val=""/>
      <w:lvlJc w:val="left"/>
      <w:pPr>
        <w:tabs>
          <w:tab w:val="num" w:pos="0"/>
        </w:tabs>
        <w:ind w:left="283" w:hanging="283"/>
      </w:pPr>
      <w:rPr>
        <w:rFonts w:ascii="Symbol" w:hAnsi="Symbol" w:hint="default"/>
      </w:rPr>
    </w:lvl>
    <w:lvl w:ilvl="1" w:tplc="44283476" w:tentative="1">
      <w:start w:val="1"/>
      <w:numFmt w:val="bullet"/>
      <w:lvlText w:val="o"/>
      <w:lvlJc w:val="left"/>
      <w:pPr>
        <w:tabs>
          <w:tab w:val="num" w:pos="1440"/>
        </w:tabs>
        <w:ind w:left="1440" w:hanging="360"/>
      </w:pPr>
      <w:rPr>
        <w:rFonts w:ascii="Courier New" w:hAnsi="Courier New" w:hint="default"/>
      </w:rPr>
    </w:lvl>
    <w:lvl w:ilvl="2" w:tplc="DE6C613A" w:tentative="1">
      <w:start w:val="1"/>
      <w:numFmt w:val="bullet"/>
      <w:lvlText w:val=""/>
      <w:lvlJc w:val="left"/>
      <w:pPr>
        <w:tabs>
          <w:tab w:val="num" w:pos="2160"/>
        </w:tabs>
        <w:ind w:left="2160" w:hanging="360"/>
      </w:pPr>
      <w:rPr>
        <w:rFonts w:ascii="Wingdings" w:hAnsi="Wingdings" w:hint="default"/>
      </w:rPr>
    </w:lvl>
    <w:lvl w:ilvl="3" w:tplc="81F4FCCC" w:tentative="1">
      <w:start w:val="1"/>
      <w:numFmt w:val="bullet"/>
      <w:lvlText w:val=""/>
      <w:lvlJc w:val="left"/>
      <w:pPr>
        <w:tabs>
          <w:tab w:val="num" w:pos="2880"/>
        </w:tabs>
        <w:ind w:left="2880" w:hanging="360"/>
      </w:pPr>
      <w:rPr>
        <w:rFonts w:ascii="Symbol" w:hAnsi="Symbol" w:hint="default"/>
      </w:rPr>
    </w:lvl>
    <w:lvl w:ilvl="4" w:tplc="C82CFCFE" w:tentative="1">
      <w:start w:val="1"/>
      <w:numFmt w:val="bullet"/>
      <w:lvlText w:val="o"/>
      <w:lvlJc w:val="left"/>
      <w:pPr>
        <w:tabs>
          <w:tab w:val="num" w:pos="3600"/>
        </w:tabs>
        <w:ind w:left="3600" w:hanging="360"/>
      </w:pPr>
      <w:rPr>
        <w:rFonts w:ascii="Courier New" w:hAnsi="Courier New" w:hint="default"/>
      </w:rPr>
    </w:lvl>
    <w:lvl w:ilvl="5" w:tplc="290E41AC" w:tentative="1">
      <w:start w:val="1"/>
      <w:numFmt w:val="bullet"/>
      <w:lvlText w:val=""/>
      <w:lvlJc w:val="left"/>
      <w:pPr>
        <w:tabs>
          <w:tab w:val="num" w:pos="4320"/>
        </w:tabs>
        <w:ind w:left="4320" w:hanging="360"/>
      </w:pPr>
      <w:rPr>
        <w:rFonts w:ascii="Wingdings" w:hAnsi="Wingdings" w:hint="default"/>
      </w:rPr>
    </w:lvl>
    <w:lvl w:ilvl="6" w:tplc="E79A9800" w:tentative="1">
      <w:start w:val="1"/>
      <w:numFmt w:val="bullet"/>
      <w:lvlText w:val=""/>
      <w:lvlJc w:val="left"/>
      <w:pPr>
        <w:tabs>
          <w:tab w:val="num" w:pos="5040"/>
        </w:tabs>
        <w:ind w:left="5040" w:hanging="360"/>
      </w:pPr>
      <w:rPr>
        <w:rFonts w:ascii="Symbol" w:hAnsi="Symbol" w:hint="default"/>
      </w:rPr>
    </w:lvl>
    <w:lvl w:ilvl="7" w:tplc="A588E174" w:tentative="1">
      <w:start w:val="1"/>
      <w:numFmt w:val="bullet"/>
      <w:lvlText w:val="o"/>
      <w:lvlJc w:val="left"/>
      <w:pPr>
        <w:tabs>
          <w:tab w:val="num" w:pos="5760"/>
        </w:tabs>
        <w:ind w:left="5760" w:hanging="360"/>
      </w:pPr>
      <w:rPr>
        <w:rFonts w:ascii="Courier New" w:hAnsi="Courier New" w:hint="default"/>
      </w:rPr>
    </w:lvl>
    <w:lvl w:ilvl="8" w:tplc="C292E35A"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24DB12A6"/>
    <w:multiLevelType w:val="hybridMultilevel"/>
    <w:tmpl w:val="3D2C2D46"/>
    <w:lvl w:ilvl="0" w:tplc="DFA0AF2E">
      <w:start w:val="1"/>
      <w:numFmt w:val="bullet"/>
      <w:lvlText w:val=""/>
      <w:lvlJc w:val="left"/>
      <w:pPr>
        <w:ind w:left="720" w:hanging="360"/>
      </w:pPr>
      <w:rPr>
        <w:rFonts w:ascii="Symbol" w:hAnsi="Symbol" w:hint="default"/>
      </w:rPr>
    </w:lvl>
    <w:lvl w:ilvl="1" w:tplc="25685272" w:tentative="1">
      <w:start w:val="1"/>
      <w:numFmt w:val="bullet"/>
      <w:lvlText w:val="o"/>
      <w:lvlJc w:val="left"/>
      <w:pPr>
        <w:ind w:left="1440" w:hanging="360"/>
      </w:pPr>
      <w:rPr>
        <w:rFonts w:ascii="Courier New" w:hAnsi="Courier New" w:cs="Courier New" w:hint="default"/>
      </w:rPr>
    </w:lvl>
    <w:lvl w:ilvl="2" w:tplc="693EFA90" w:tentative="1">
      <w:start w:val="1"/>
      <w:numFmt w:val="bullet"/>
      <w:lvlText w:val=""/>
      <w:lvlJc w:val="left"/>
      <w:pPr>
        <w:ind w:left="2160" w:hanging="360"/>
      </w:pPr>
      <w:rPr>
        <w:rFonts w:ascii="Wingdings" w:hAnsi="Wingdings" w:hint="default"/>
      </w:rPr>
    </w:lvl>
    <w:lvl w:ilvl="3" w:tplc="0C70A36A" w:tentative="1">
      <w:start w:val="1"/>
      <w:numFmt w:val="bullet"/>
      <w:lvlText w:val=""/>
      <w:lvlJc w:val="left"/>
      <w:pPr>
        <w:ind w:left="2880" w:hanging="360"/>
      </w:pPr>
      <w:rPr>
        <w:rFonts w:ascii="Symbol" w:hAnsi="Symbol" w:hint="default"/>
      </w:rPr>
    </w:lvl>
    <w:lvl w:ilvl="4" w:tplc="9726F4D8" w:tentative="1">
      <w:start w:val="1"/>
      <w:numFmt w:val="bullet"/>
      <w:lvlText w:val="o"/>
      <w:lvlJc w:val="left"/>
      <w:pPr>
        <w:ind w:left="3600" w:hanging="360"/>
      </w:pPr>
      <w:rPr>
        <w:rFonts w:ascii="Courier New" w:hAnsi="Courier New" w:cs="Courier New" w:hint="default"/>
      </w:rPr>
    </w:lvl>
    <w:lvl w:ilvl="5" w:tplc="B916233E" w:tentative="1">
      <w:start w:val="1"/>
      <w:numFmt w:val="bullet"/>
      <w:lvlText w:val=""/>
      <w:lvlJc w:val="left"/>
      <w:pPr>
        <w:ind w:left="4320" w:hanging="360"/>
      </w:pPr>
      <w:rPr>
        <w:rFonts w:ascii="Wingdings" w:hAnsi="Wingdings" w:hint="default"/>
      </w:rPr>
    </w:lvl>
    <w:lvl w:ilvl="6" w:tplc="58C4D36E" w:tentative="1">
      <w:start w:val="1"/>
      <w:numFmt w:val="bullet"/>
      <w:lvlText w:val=""/>
      <w:lvlJc w:val="left"/>
      <w:pPr>
        <w:ind w:left="5040" w:hanging="360"/>
      </w:pPr>
      <w:rPr>
        <w:rFonts w:ascii="Symbol" w:hAnsi="Symbol" w:hint="default"/>
      </w:rPr>
    </w:lvl>
    <w:lvl w:ilvl="7" w:tplc="A4DE64F2" w:tentative="1">
      <w:start w:val="1"/>
      <w:numFmt w:val="bullet"/>
      <w:lvlText w:val="o"/>
      <w:lvlJc w:val="left"/>
      <w:pPr>
        <w:ind w:left="5760" w:hanging="360"/>
      </w:pPr>
      <w:rPr>
        <w:rFonts w:ascii="Courier New" w:hAnsi="Courier New" w:cs="Courier New" w:hint="default"/>
      </w:rPr>
    </w:lvl>
    <w:lvl w:ilvl="8" w:tplc="04F6D1EA" w:tentative="1">
      <w:start w:val="1"/>
      <w:numFmt w:val="bullet"/>
      <w:lvlText w:val=""/>
      <w:lvlJc w:val="left"/>
      <w:pPr>
        <w:ind w:left="6480" w:hanging="360"/>
      </w:pPr>
      <w:rPr>
        <w:rFonts w:ascii="Wingdings" w:hAnsi="Wingdings" w:hint="default"/>
      </w:rPr>
    </w:lvl>
  </w:abstractNum>
  <w:abstractNum w:abstractNumId="62" w15:restartNumberingAfterBreak="0">
    <w:nsid w:val="26F25211"/>
    <w:multiLevelType w:val="hybridMultilevel"/>
    <w:tmpl w:val="C00E74D0"/>
    <w:lvl w:ilvl="0" w:tplc="0FDE0E62">
      <w:start w:val="1"/>
      <w:numFmt w:val="bullet"/>
      <w:lvlText w:val=""/>
      <w:lvlJc w:val="left"/>
      <w:pPr>
        <w:tabs>
          <w:tab w:val="num" w:pos="567"/>
        </w:tabs>
        <w:ind w:left="567" w:hanging="567"/>
      </w:pPr>
      <w:rPr>
        <w:rFonts w:ascii="Symbol" w:hAnsi="Symbol" w:hint="default"/>
      </w:rPr>
    </w:lvl>
    <w:lvl w:ilvl="1" w:tplc="4134C97C">
      <w:start w:val="1"/>
      <w:numFmt w:val="bullet"/>
      <w:lvlText w:val="o"/>
      <w:lvlJc w:val="left"/>
      <w:pPr>
        <w:tabs>
          <w:tab w:val="num" w:pos="1440"/>
        </w:tabs>
        <w:ind w:left="1440" w:hanging="360"/>
      </w:pPr>
      <w:rPr>
        <w:rFonts w:ascii="Courier New" w:hAnsi="Courier New" w:hint="default"/>
      </w:rPr>
    </w:lvl>
    <w:lvl w:ilvl="2" w:tplc="0DEA1B88" w:tentative="1">
      <w:start w:val="1"/>
      <w:numFmt w:val="bullet"/>
      <w:lvlText w:val=""/>
      <w:lvlJc w:val="left"/>
      <w:pPr>
        <w:tabs>
          <w:tab w:val="num" w:pos="2160"/>
        </w:tabs>
        <w:ind w:left="2160" w:hanging="360"/>
      </w:pPr>
      <w:rPr>
        <w:rFonts w:ascii="Wingdings" w:hAnsi="Wingdings" w:hint="default"/>
      </w:rPr>
    </w:lvl>
    <w:lvl w:ilvl="3" w:tplc="9886BBDC" w:tentative="1">
      <w:start w:val="1"/>
      <w:numFmt w:val="bullet"/>
      <w:lvlText w:val=""/>
      <w:lvlJc w:val="left"/>
      <w:pPr>
        <w:tabs>
          <w:tab w:val="num" w:pos="2880"/>
        </w:tabs>
        <w:ind w:left="2880" w:hanging="360"/>
      </w:pPr>
      <w:rPr>
        <w:rFonts w:ascii="Symbol" w:hAnsi="Symbol" w:hint="default"/>
      </w:rPr>
    </w:lvl>
    <w:lvl w:ilvl="4" w:tplc="9A3439F6" w:tentative="1">
      <w:start w:val="1"/>
      <w:numFmt w:val="bullet"/>
      <w:lvlText w:val="o"/>
      <w:lvlJc w:val="left"/>
      <w:pPr>
        <w:tabs>
          <w:tab w:val="num" w:pos="3600"/>
        </w:tabs>
        <w:ind w:left="3600" w:hanging="360"/>
      </w:pPr>
      <w:rPr>
        <w:rFonts w:ascii="Courier New" w:hAnsi="Courier New" w:hint="default"/>
      </w:rPr>
    </w:lvl>
    <w:lvl w:ilvl="5" w:tplc="DD0EF4E0" w:tentative="1">
      <w:start w:val="1"/>
      <w:numFmt w:val="bullet"/>
      <w:lvlText w:val=""/>
      <w:lvlJc w:val="left"/>
      <w:pPr>
        <w:tabs>
          <w:tab w:val="num" w:pos="4320"/>
        </w:tabs>
        <w:ind w:left="4320" w:hanging="360"/>
      </w:pPr>
      <w:rPr>
        <w:rFonts w:ascii="Wingdings" w:hAnsi="Wingdings" w:hint="default"/>
      </w:rPr>
    </w:lvl>
    <w:lvl w:ilvl="6" w:tplc="C4160F30" w:tentative="1">
      <w:start w:val="1"/>
      <w:numFmt w:val="bullet"/>
      <w:lvlText w:val=""/>
      <w:lvlJc w:val="left"/>
      <w:pPr>
        <w:tabs>
          <w:tab w:val="num" w:pos="5040"/>
        </w:tabs>
        <w:ind w:left="5040" w:hanging="360"/>
      </w:pPr>
      <w:rPr>
        <w:rFonts w:ascii="Symbol" w:hAnsi="Symbol" w:hint="default"/>
      </w:rPr>
    </w:lvl>
    <w:lvl w:ilvl="7" w:tplc="0A1C0D82" w:tentative="1">
      <w:start w:val="1"/>
      <w:numFmt w:val="bullet"/>
      <w:lvlText w:val="o"/>
      <w:lvlJc w:val="left"/>
      <w:pPr>
        <w:tabs>
          <w:tab w:val="num" w:pos="5760"/>
        </w:tabs>
        <w:ind w:left="5760" w:hanging="360"/>
      </w:pPr>
      <w:rPr>
        <w:rFonts w:ascii="Courier New" w:hAnsi="Courier New" w:hint="default"/>
      </w:rPr>
    </w:lvl>
    <w:lvl w:ilvl="8" w:tplc="839C791C"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7F2226D"/>
    <w:multiLevelType w:val="hybridMultilevel"/>
    <w:tmpl w:val="41B4F34C"/>
    <w:lvl w:ilvl="0" w:tplc="FA44999E">
      <w:start w:val="1"/>
      <w:numFmt w:val="bullet"/>
      <w:lvlText w:val=""/>
      <w:lvlJc w:val="left"/>
      <w:pPr>
        <w:tabs>
          <w:tab w:val="num" w:pos="567"/>
        </w:tabs>
        <w:ind w:left="567" w:hanging="567"/>
      </w:pPr>
      <w:rPr>
        <w:rFonts w:ascii="Symbol" w:hAnsi="Symbol" w:hint="default"/>
      </w:rPr>
    </w:lvl>
    <w:lvl w:ilvl="1" w:tplc="E0DA9FC8" w:tentative="1">
      <w:start w:val="1"/>
      <w:numFmt w:val="bullet"/>
      <w:lvlText w:val="o"/>
      <w:lvlJc w:val="left"/>
      <w:pPr>
        <w:tabs>
          <w:tab w:val="num" w:pos="1440"/>
        </w:tabs>
        <w:ind w:left="1440" w:hanging="360"/>
      </w:pPr>
      <w:rPr>
        <w:rFonts w:ascii="Courier New" w:hAnsi="Courier New" w:hint="default"/>
      </w:rPr>
    </w:lvl>
    <w:lvl w:ilvl="2" w:tplc="5AB2C9BA" w:tentative="1">
      <w:start w:val="1"/>
      <w:numFmt w:val="bullet"/>
      <w:lvlText w:val=""/>
      <w:lvlJc w:val="left"/>
      <w:pPr>
        <w:tabs>
          <w:tab w:val="num" w:pos="2160"/>
        </w:tabs>
        <w:ind w:left="2160" w:hanging="360"/>
      </w:pPr>
      <w:rPr>
        <w:rFonts w:ascii="Wingdings" w:hAnsi="Wingdings" w:hint="default"/>
      </w:rPr>
    </w:lvl>
    <w:lvl w:ilvl="3" w:tplc="826A9642" w:tentative="1">
      <w:start w:val="1"/>
      <w:numFmt w:val="bullet"/>
      <w:lvlText w:val=""/>
      <w:lvlJc w:val="left"/>
      <w:pPr>
        <w:tabs>
          <w:tab w:val="num" w:pos="2880"/>
        </w:tabs>
        <w:ind w:left="2880" w:hanging="360"/>
      </w:pPr>
      <w:rPr>
        <w:rFonts w:ascii="Symbol" w:hAnsi="Symbol" w:hint="default"/>
      </w:rPr>
    </w:lvl>
    <w:lvl w:ilvl="4" w:tplc="D938EC68" w:tentative="1">
      <w:start w:val="1"/>
      <w:numFmt w:val="bullet"/>
      <w:lvlText w:val="o"/>
      <w:lvlJc w:val="left"/>
      <w:pPr>
        <w:tabs>
          <w:tab w:val="num" w:pos="3600"/>
        </w:tabs>
        <w:ind w:left="3600" w:hanging="360"/>
      </w:pPr>
      <w:rPr>
        <w:rFonts w:ascii="Courier New" w:hAnsi="Courier New" w:hint="default"/>
      </w:rPr>
    </w:lvl>
    <w:lvl w:ilvl="5" w:tplc="F754F5CC" w:tentative="1">
      <w:start w:val="1"/>
      <w:numFmt w:val="bullet"/>
      <w:lvlText w:val=""/>
      <w:lvlJc w:val="left"/>
      <w:pPr>
        <w:tabs>
          <w:tab w:val="num" w:pos="4320"/>
        </w:tabs>
        <w:ind w:left="4320" w:hanging="360"/>
      </w:pPr>
      <w:rPr>
        <w:rFonts w:ascii="Wingdings" w:hAnsi="Wingdings" w:hint="default"/>
      </w:rPr>
    </w:lvl>
    <w:lvl w:ilvl="6" w:tplc="2DD0EB9C" w:tentative="1">
      <w:start w:val="1"/>
      <w:numFmt w:val="bullet"/>
      <w:lvlText w:val=""/>
      <w:lvlJc w:val="left"/>
      <w:pPr>
        <w:tabs>
          <w:tab w:val="num" w:pos="5040"/>
        </w:tabs>
        <w:ind w:left="5040" w:hanging="360"/>
      </w:pPr>
      <w:rPr>
        <w:rFonts w:ascii="Symbol" w:hAnsi="Symbol" w:hint="default"/>
      </w:rPr>
    </w:lvl>
    <w:lvl w:ilvl="7" w:tplc="5EE617BA" w:tentative="1">
      <w:start w:val="1"/>
      <w:numFmt w:val="bullet"/>
      <w:lvlText w:val="o"/>
      <w:lvlJc w:val="left"/>
      <w:pPr>
        <w:tabs>
          <w:tab w:val="num" w:pos="5760"/>
        </w:tabs>
        <w:ind w:left="5760" w:hanging="360"/>
      </w:pPr>
      <w:rPr>
        <w:rFonts w:ascii="Courier New" w:hAnsi="Courier New" w:hint="default"/>
      </w:rPr>
    </w:lvl>
    <w:lvl w:ilvl="8" w:tplc="A774A5B0"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280D3D81"/>
    <w:multiLevelType w:val="hybridMultilevel"/>
    <w:tmpl w:val="DB281D66"/>
    <w:lvl w:ilvl="0" w:tplc="B6FE9C0A">
      <w:start w:val="1"/>
      <w:numFmt w:val="bullet"/>
      <w:lvlText w:val=""/>
      <w:lvlJc w:val="left"/>
      <w:pPr>
        <w:ind w:left="720" w:hanging="360"/>
      </w:pPr>
      <w:rPr>
        <w:rFonts w:ascii="Symbol" w:hAnsi="Symbol" w:hint="default"/>
      </w:rPr>
    </w:lvl>
    <w:lvl w:ilvl="1" w:tplc="C0120A62">
      <w:start w:val="1"/>
      <w:numFmt w:val="bullet"/>
      <w:lvlText w:val=""/>
      <w:lvlJc w:val="left"/>
      <w:pPr>
        <w:ind w:left="1440" w:hanging="360"/>
      </w:pPr>
      <w:rPr>
        <w:rFonts w:ascii="Symbol" w:hAnsi="Symbol" w:hint="default"/>
      </w:rPr>
    </w:lvl>
    <w:lvl w:ilvl="2" w:tplc="92E005F6" w:tentative="1">
      <w:start w:val="1"/>
      <w:numFmt w:val="bullet"/>
      <w:lvlText w:val=""/>
      <w:lvlJc w:val="left"/>
      <w:pPr>
        <w:ind w:left="2160" w:hanging="360"/>
      </w:pPr>
      <w:rPr>
        <w:rFonts w:ascii="Wingdings" w:hAnsi="Wingdings" w:hint="default"/>
      </w:rPr>
    </w:lvl>
    <w:lvl w:ilvl="3" w:tplc="EEBC3044" w:tentative="1">
      <w:start w:val="1"/>
      <w:numFmt w:val="bullet"/>
      <w:lvlText w:val=""/>
      <w:lvlJc w:val="left"/>
      <w:pPr>
        <w:ind w:left="2880" w:hanging="360"/>
      </w:pPr>
      <w:rPr>
        <w:rFonts w:ascii="Symbol" w:hAnsi="Symbol" w:hint="default"/>
      </w:rPr>
    </w:lvl>
    <w:lvl w:ilvl="4" w:tplc="EE12DDFA" w:tentative="1">
      <w:start w:val="1"/>
      <w:numFmt w:val="bullet"/>
      <w:lvlText w:val="o"/>
      <w:lvlJc w:val="left"/>
      <w:pPr>
        <w:ind w:left="3600" w:hanging="360"/>
      </w:pPr>
      <w:rPr>
        <w:rFonts w:ascii="Courier New" w:hAnsi="Courier New" w:cs="Courier New" w:hint="default"/>
      </w:rPr>
    </w:lvl>
    <w:lvl w:ilvl="5" w:tplc="7AF6C534" w:tentative="1">
      <w:start w:val="1"/>
      <w:numFmt w:val="bullet"/>
      <w:lvlText w:val=""/>
      <w:lvlJc w:val="left"/>
      <w:pPr>
        <w:ind w:left="4320" w:hanging="360"/>
      </w:pPr>
      <w:rPr>
        <w:rFonts w:ascii="Wingdings" w:hAnsi="Wingdings" w:hint="default"/>
      </w:rPr>
    </w:lvl>
    <w:lvl w:ilvl="6" w:tplc="DD92D846" w:tentative="1">
      <w:start w:val="1"/>
      <w:numFmt w:val="bullet"/>
      <w:lvlText w:val=""/>
      <w:lvlJc w:val="left"/>
      <w:pPr>
        <w:ind w:left="5040" w:hanging="360"/>
      </w:pPr>
      <w:rPr>
        <w:rFonts w:ascii="Symbol" w:hAnsi="Symbol" w:hint="default"/>
      </w:rPr>
    </w:lvl>
    <w:lvl w:ilvl="7" w:tplc="8BF0D796" w:tentative="1">
      <w:start w:val="1"/>
      <w:numFmt w:val="bullet"/>
      <w:lvlText w:val="o"/>
      <w:lvlJc w:val="left"/>
      <w:pPr>
        <w:ind w:left="5760" w:hanging="360"/>
      </w:pPr>
      <w:rPr>
        <w:rFonts w:ascii="Courier New" w:hAnsi="Courier New" w:cs="Courier New" w:hint="default"/>
      </w:rPr>
    </w:lvl>
    <w:lvl w:ilvl="8" w:tplc="20829D02" w:tentative="1">
      <w:start w:val="1"/>
      <w:numFmt w:val="bullet"/>
      <w:lvlText w:val=""/>
      <w:lvlJc w:val="left"/>
      <w:pPr>
        <w:ind w:left="6480" w:hanging="360"/>
      </w:pPr>
      <w:rPr>
        <w:rFonts w:ascii="Wingdings" w:hAnsi="Wingdings" w:hint="default"/>
      </w:rPr>
    </w:lvl>
  </w:abstractNum>
  <w:abstractNum w:abstractNumId="65" w15:restartNumberingAfterBreak="0">
    <w:nsid w:val="282B2583"/>
    <w:multiLevelType w:val="hybridMultilevel"/>
    <w:tmpl w:val="41B4F34C"/>
    <w:lvl w:ilvl="0" w:tplc="3BC8DE7E">
      <w:start w:val="1"/>
      <w:numFmt w:val="bullet"/>
      <w:lvlText w:val=""/>
      <w:lvlJc w:val="left"/>
      <w:pPr>
        <w:tabs>
          <w:tab w:val="num" w:pos="720"/>
        </w:tabs>
        <w:ind w:left="720" w:hanging="360"/>
      </w:pPr>
      <w:rPr>
        <w:rFonts w:ascii="Symbol" w:hAnsi="Symbol" w:hint="default"/>
      </w:rPr>
    </w:lvl>
    <w:lvl w:ilvl="1" w:tplc="2624A62C">
      <w:start w:val="1"/>
      <w:numFmt w:val="bullet"/>
      <w:lvlText w:val=""/>
      <w:lvlJc w:val="left"/>
      <w:pPr>
        <w:tabs>
          <w:tab w:val="num" w:pos="567"/>
        </w:tabs>
        <w:ind w:left="567" w:hanging="567"/>
      </w:pPr>
      <w:rPr>
        <w:rFonts w:ascii="Symbol" w:hAnsi="Symbol" w:hint="default"/>
      </w:rPr>
    </w:lvl>
    <w:lvl w:ilvl="2" w:tplc="843A354A" w:tentative="1">
      <w:start w:val="1"/>
      <w:numFmt w:val="bullet"/>
      <w:lvlText w:val=""/>
      <w:lvlJc w:val="left"/>
      <w:pPr>
        <w:tabs>
          <w:tab w:val="num" w:pos="2160"/>
        </w:tabs>
        <w:ind w:left="2160" w:hanging="360"/>
      </w:pPr>
      <w:rPr>
        <w:rFonts w:ascii="Wingdings" w:hAnsi="Wingdings" w:hint="default"/>
      </w:rPr>
    </w:lvl>
    <w:lvl w:ilvl="3" w:tplc="AFF83F52" w:tentative="1">
      <w:start w:val="1"/>
      <w:numFmt w:val="bullet"/>
      <w:lvlText w:val=""/>
      <w:lvlJc w:val="left"/>
      <w:pPr>
        <w:tabs>
          <w:tab w:val="num" w:pos="2880"/>
        </w:tabs>
        <w:ind w:left="2880" w:hanging="360"/>
      </w:pPr>
      <w:rPr>
        <w:rFonts w:ascii="Symbol" w:hAnsi="Symbol" w:hint="default"/>
      </w:rPr>
    </w:lvl>
    <w:lvl w:ilvl="4" w:tplc="AB7074AA" w:tentative="1">
      <w:start w:val="1"/>
      <w:numFmt w:val="bullet"/>
      <w:lvlText w:val="o"/>
      <w:lvlJc w:val="left"/>
      <w:pPr>
        <w:tabs>
          <w:tab w:val="num" w:pos="3600"/>
        </w:tabs>
        <w:ind w:left="3600" w:hanging="360"/>
      </w:pPr>
      <w:rPr>
        <w:rFonts w:ascii="Courier New" w:hAnsi="Courier New" w:hint="default"/>
      </w:rPr>
    </w:lvl>
    <w:lvl w:ilvl="5" w:tplc="1C0C751C" w:tentative="1">
      <w:start w:val="1"/>
      <w:numFmt w:val="bullet"/>
      <w:lvlText w:val=""/>
      <w:lvlJc w:val="left"/>
      <w:pPr>
        <w:tabs>
          <w:tab w:val="num" w:pos="4320"/>
        </w:tabs>
        <w:ind w:left="4320" w:hanging="360"/>
      </w:pPr>
      <w:rPr>
        <w:rFonts w:ascii="Wingdings" w:hAnsi="Wingdings" w:hint="default"/>
      </w:rPr>
    </w:lvl>
    <w:lvl w:ilvl="6" w:tplc="58A642B4" w:tentative="1">
      <w:start w:val="1"/>
      <w:numFmt w:val="bullet"/>
      <w:lvlText w:val=""/>
      <w:lvlJc w:val="left"/>
      <w:pPr>
        <w:tabs>
          <w:tab w:val="num" w:pos="5040"/>
        </w:tabs>
        <w:ind w:left="5040" w:hanging="360"/>
      </w:pPr>
      <w:rPr>
        <w:rFonts w:ascii="Symbol" w:hAnsi="Symbol" w:hint="default"/>
      </w:rPr>
    </w:lvl>
    <w:lvl w:ilvl="7" w:tplc="77E85E84" w:tentative="1">
      <w:start w:val="1"/>
      <w:numFmt w:val="bullet"/>
      <w:lvlText w:val="o"/>
      <w:lvlJc w:val="left"/>
      <w:pPr>
        <w:tabs>
          <w:tab w:val="num" w:pos="5760"/>
        </w:tabs>
        <w:ind w:left="5760" w:hanging="360"/>
      </w:pPr>
      <w:rPr>
        <w:rFonts w:ascii="Courier New" w:hAnsi="Courier New" w:hint="default"/>
      </w:rPr>
    </w:lvl>
    <w:lvl w:ilvl="8" w:tplc="70944F66"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89A4A9D"/>
    <w:multiLevelType w:val="hybridMultilevel"/>
    <w:tmpl w:val="68585E16"/>
    <w:lvl w:ilvl="0" w:tplc="E40E740C">
      <w:start w:val="1"/>
      <w:numFmt w:val="bullet"/>
      <w:lvlText w:val="-"/>
      <w:lvlJc w:val="left"/>
      <w:pPr>
        <w:ind w:left="720" w:hanging="360"/>
      </w:pPr>
      <w:rPr>
        <w:rFonts w:hint="default"/>
      </w:rPr>
    </w:lvl>
    <w:lvl w:ilvl="1" w:tplc="7E7CEDB8" w:tentative="1">
      <w:start w:val="1"/>
      <w:numFmt w:val="bullet"/>
      <w:lvlText w:val="o"/>
      <w:lvlJc w:val="left"/>
      <w:pPr>
        <w:ind w:left="1440" w:hanging="360"/>
      </w:pPr>
      <w:rPr>
        <w:rFonts w:ascii="Courier New" w:hAnsi="Courier New" w:cs="Courier New" w:hint="default"/>
      </w:rPr>
    </w:lvl>
    <w:lvl w:ilvl="2" w:tplc="412A33A2" w:tentative="1">
      <w:start w:val="1"/>
      <w:numFmt w:val="bullet"/>
      <w:lvlText w:val=""/>
      <w:lvlJc w:val="left"/>
      <w:pPr>
        <w:ind w:left="2160" w:hanging="360"/>
      </w:pPr>
      <w:rPr>
        <w:rFonts w:ascii="Wingdings" w:hAnsi="Wingdings" w:hint="default"/>
      </w:rPr>
    </w:lvl>
    <w:lvl w:ilvl="3" w:tplc="4D1CA116" w:tentative="1">
      <w:start w:val="1"/>
      <w:numFmt w:val="bullet"/>
      <w:lvlText w:val=""/>
      <w:lvlJc w:val="left"/>
      <w:pPr>
        <w:ind w:left="2880" w:hanging="360"/>
      </w:pPr>
      <w:rPr>
        <w:rFonts w:ascii="Symbol" w:hAnsi="Symbol" w:hint="default"/>
      </w:rPr>
    </w:lvl>
    <w:lvl w:ilvl="4" w:tplc="654A41D0" w:tentative="1">
      <w:start w:val="1"/>
      <w:numFmt w:val="bullet"/>
      <w:lvlText w:val="o"/>
      <w:lvlJc w:val="left"/>
      <w:pPr>
        <w:ind w:left="3600" w:hanging="360"/>
      </w:pPr>
      <w:rPr>
        <w:rFonts w:ascii="Courier New" w:hAnsi="Courier New" w:cs="Courier New" w:hint="default"/>
      </w:rPr>
    </w:lvl>
    <w:lvl w:ilvl="5" w:tplc="2282555E" w:tentative="1">
      <w:start w:val="1"/>
      <w:numFmt w:val="bullet"/>
      <w:lvlText w:val=""/>
      <w:lvlJc w:val="left"/>
      <w:pPr>
        <w:ind w:left="4320" w:hanging="360"/>
      </w:pPr>
      <w:rPr>
        <w:rFonts w:ascii="Wingdings" w:hAnsi="Wingdings" w:hint="default"/>
      </w:rPr>
    </w:lvl>
    <w:lvl w:ilvl="6" w:tplc="76922B4A" w:tentative="1">
      <w:start w:val="1"/>
      <w:numFmt w:val="bullet"/>
      <w:lvlText w:val=""/>
      <w:lvlJc w:val="left"/>
      <w:pPr>
        <w:ind w:left="5040" w:hanging="360"/>
      </w:pPr>
      <w:rPr>
        <w:rFonts w:ascii="Symbol" w:hAnsi="Symbol" w:hint="default"/>
      </w:rPr>
    </w:lvl>
    <w:lvl w:ilvl="7" w:tplc="16760BEA" w:tentative="1">
      <w:start w:val="1"/>
      <w:numFmt w:val="bullet"/>
      <w:lvlText w:val="o"/>
      <w:lvlJc w:val="left"/>
      <w:pPr>
        <w:ind w:left="5760" w:hanging="360"/>
      </w:pPr>
      <w:rPr>
        <w:rFonts w:ascii="Courier New" w:hAnsi="Courier New" w:cs="Courier New" w:hint="default"/>
      </w:rPr>
    </w:lvl>
    <w:lvl w:ilvl="8" w:tplc="85CC51E0" w:tentative="1">
      <w:start w:val="1"/>
      <w:numFmt w:val="bullet"/>
      <w:lvlText w:val=""/>
      <w:lvlJc w:val="left"/>
      <w:pPr>
        <w:ind w:left="6480" w:hanging="360"/>
      </w:pPr>
      <w:rPr>
        <w:rFonts w:ascii="Wingdings" w:hAnsi="Wingdings" w:hint="default"/>
      </w:rPr>
    </w:lvl>
  </w:abstractNum>
  <w:abstractNum w:abstractNumId="67" w15:restartNumberingAfterBreak="0">
    <w:nsid w:val="29636CE6"/>
    <w:multiLevelType w:val="hybridMultilevel"/>
    <w:tmpl w:val="2A2057DC"/>
    <w:lvl w:ilvl="0" w:tplc="0F744004">
      <w:start w:val="1"/>
      <w:numFmt w:val="bullet"/>
      <w:lvlText w:val="-"/>
      <w:lvlJc w:val="left"/>
      <w:pPr>
        <w:tabs>
          <w:tab w:val="num" w:pos="567"/>
        </w:tabs>
        <w:ind w:left="567" w:hanging="567"/>
      </w:pPr>
      <w:rPr>
        <w:rFonts w:hint="default"/>
      </w:rPr>
    </w:lvl>
    <w:lvl w:ilvl="1" w:tplc="59B6F55E">
      <w:start w:val="1"/>
      <w:numFmt w:val="bullet"/>
      <w:lvlText w:val="o"/>
      <w:lvlJc w:val="left"/>
      <w:pPr>
        <w:tabs>
          <w:tab w:val="num" w:pos="1440"/>
        </w:tabs>
        <w:ind w:left="1440" w:hanging="360"/>
      </w:pPr>
      <w:rPr>
        <w:rFonts w:ascii="Courier New" w:hAnsi="Courier New" w:hint="default"/>
      </w:rPr>
    </w:lvl>
    <w:lvl w:ilvl="2" w:tplc="B8CE576A" w:tentative="1">
      <w:start w:val="1"/>
      <w:numFmt w:val="bullet"/>
      <w:lvlText w:val=""/>
      <w:lvlJc w:val="left"/>
      <w:pPr>
        <w:tabs>
          <w:tab w:val="num" w:pos="2160"/>
        </w:tabs>
        <w:ind w:left="2160" w:hanging="360"/>
      </w:pPr>
      <w:rPr>
        <w:rFonts w:ascii="Wingdings" w:hAnsi="Wingdings" w:hint="default"/>
      </w:rPr>
    </w:lvl>
    <w:lvl w:ilvl="3" w:tplc="FBBE4986" w:tentative="1">
      <w:start w:val="1"/>
      <w:numFmt w:val="bullet"/>
      <w:lvlText w:val=""/>
      <w:lvlJc w:val="left"/>
      <w:pPr>
        <w:tabs>
          <w:tab w:val="num" w:pos="2880"/>
        </w:tabs>
        <w:ind w:left="2880" w:hanging="360"/>
      </w:pPr>
      <w:rPr>
        <w:rFonts w:ascii="Symbol" w:hAnsi="Symbol" w:hint="default"/>
      </w:rPr>
    </w:lvl>
    <w:lvl w:ilvl="4" w:tplc="06068E32" w:tentative="1">
      <w:start w:val="1"/>
      <w:numFmt w:val="bullet"/>
      <w:lvlText w:val="o"/>
      <w:lvlJc w:val="left"/>
      <w:pPr>
        <w:tabs>
          <w:tab w:val="num" w:pos="3600"/>
        </w:tabs>
        <w:ind w:left="3600" w:hanging="360"/>
      </w:pPr>
      <w:rPr>
        <w:rFonts w:ascii="Courier New" w:hAnsi="Courier New" w:hint="default"/>
      </w:rPr>
    </w:lvl>
    <w:lvl w:ilvl="5" w:tplc="83C481FE" w:tentative="1">
      <w:start w:val="1"/>
      <w:numFmt w:val="bullet"/>
      <w:lvlText w:val=""/>
      <w:lvlJc w:val="left"/>
      <w:pPr>
        <w:tabs>
          <w:tab w:val="num" w:pos="4320"/>
        </w:tabs>
        <w:ind w:left="4320" w:hanging="360"/>
      </w:pPr>
      <w:rPr>
        <w:rFonts w:ascii="Wingdings" w:hAnsi="Wingdings" w:hint="default"/>
      </w:rPr>
    </w:lvl>
    <w:lvl w:ilvl="6" w:tplc="92949F50" w:tentative="1">
      <w:start w:val="1"/>
      <w:numFmt w:val="bullet"/>
      <w:lvlText w:val=""/>
      <w:lvlJc w:val="left"/>
      <w:pPr>
        <w:tabs>
          <w:tab w:val="num" w:pos="5040"/>
        </w:tabs>
        <w:ind w:left="5040" w:hanging="360"/>
      </w:pPr>
      <w:rPr>
        <w:rFonts w:ascii="Symbol" w:hAnsi="Symbol" w:hint="default"/>
      </w:rPr>
    </w:lvl>
    <w:lvl w:ilvl="7" w:tplc="6DB2D01C" w:tentative="1">
      <w:start w:val="1"/>
      <w:numFmt w:val="bullet"/>
      <w:lvlText w:val="o"/>
      <w:lvlJc w:val="left"/>
      <w:pPr>
        <w:tabs>
          <w:tab w:val="num" w:pos="5760"/>
        </w:tabs>
        <w:ind w:left="5760" w:hanging="360"/>
      </w:pPr>
      <w:rPr>
        <w:rFonts w:ascii="Courier New" w:hAnsi="Courier New" w:hint="default"/>
      </w:rPr>
    </w:lvl>
    <w:lvl w:ilvl="8" w:tplc="73F2796C"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29B959A1"/>
    <w:multiLevelType w:val="hybridMultilevel"/>
    <w:tmpl w:val="70446DBE"/>
    <w:lvl w:ilvl="0" w:tplc="E30CED8A">
      <w:start w:val="1"/>
      <w:numFmt w:val="bullet"/>
      <w:lvlText w:val="-"/>
      <w:lvlJc w:val="left"/>
      <w:pPr>
        <w:tabs>
          <w:tab w:val="num" w:pos="567"/>
        </w:tabs>
        <w:ind w:left="567" w:hanging="567"/>
      </w:pPr>
      <w:rPr>
        <w:rFonts w:hint="default"/>
      </w:rPr>
    </w:lvl>
    <w:lvl w:ilvl="1" w:tplc="51D237EC" w:tentative="1">
      <w:start w:val="1"/>
      <w:numFmt w:val="bullet"/>
      <w:lvlText w:val="o"/>
      <w:lvlJc w:val="left"/>
      <w:pPr>
        <w:tabs>
          <w:tab w:val="num" w:pos="1440"/>
        </w:tabs>
        <w:ind w:left="1440" w:hanging="360"/>
      </w:pPr>
      <w:rPr>
        <w:rFonts w:ascii="Courier New" w:hAnsi="Courier New" w:hint="default"/>
      </w:rPr>
    </w:lvl>
    <w:lvl w:ilvl="2" w:tplc="BE64BB76" w:tentative="1">
      <w:start w:val="1"/>
      <w:numFmt w:val="bullet"/>
      <w:lvlText w:val=""/>
      <w:lvlJc w:val="left"/>
      <w:pPr>
        <w:tabs>
          <w:tab w:val="num" w:pos="2160"/>
        </w:tabs>
        <w:ind w:left="2160" w:hanging="360"/>
      </w:pPr>
      <w:rPr>
        <w:rFonts w:ascii="Wingdings" w:hAnsi="Wingdings" w:hint="default"/>
      </w:rPr>
    </w:lvl>
    <w:lvl w:ilvl="3" w:tplc="5310F1BA" w:tentative="1">
      <w:start w:val="1"/>
      <w:numFmt w:val="bullet"/>
      <w:lvlText w:val=""/>
      <w:lvlJc w:val="left"/>
      <w:pPr>
        <w:tabs>
          <w:tab w:val="num" w:pos="2880"/>
        </w:tabs>
        <w:ind w:left="2880" w:hanging="360"/>
      </w:pPr>
      <w:rPr>
        <w:rFonts w:ascii="Symbol" w:hAnsi="Symbol" w:hint="default"/>
      </w:rPr>
    </w:lvl>
    <w:lvl w:ilvl="4" w:tplc="37B81806" w:tentative="1">
      <w:start w:val="1"/>
      <w:numFmt w:val="bullet"/>
      <w:lvlText w:val="o"/>
      <w:lvlJc w:val="left"/>
      <w:pPr>
        <w:tabs>
          <w:tab w:val="num" w:pos="3600"/>
        </w:tabs>
        <w:ind w:left="3600" w:hanging="360"/>
      </w:pPr>
      <w:rPr>
        <w:rFonts w:ascii="Courier New" w:hAnsi="Courier New" w:hint="default"/>
      </w:rPr>
    </w:lvl>
    <w:lvl w:ilvl="5" w:tplc="124C4E60" w:tentative="1">
      <w:start w:val="1"/>
      <w:numFmt w:val="bullet"/>
      <w:lvlText w:val=""/>
      <w:lvlJc w:val="left"/>
      <w:pPr>
        <w:tabs>
          <w:tab w:val="num" w:pos="4320"/>
        </w:tabs>
        <w:ind w:left="4320" w:hanging="360"/>
      </w:pPr>
      <w:rPr>
        <w:rFonts w:ascii="Wingdings" w:hAnsi="Wingdings" w:hint="default"/>
      </w:rPr>
    </w:lvl>
    <w:lvl w:ilvl="6" w:tplc="2E70F038" w:tentative="1">
      <w:start w:val="1"/>
      <w:numFmt w:val="bullet"/>
      <w:lvlText w:val=""/>
      <w:lvlJc w:val="left"/>
      <w:pPr>
        <w:tabs>
          <w:tab w:val="num" w:pos="5040"/>
        </w:tabs>
        <w:ind w:left="5040" w:hanging="360"/>
      </w:pPr>
      <w:rPr>
        <w:rFonts w:ascii="Symbol" w:hAnsi="Symbol" w:hint="default"/>
      </w:rPr>
    </w:lvl>
    <w:lvl w:ilvl="7" w:tplc="5B82F644" w:tentative="1">
      <w:start w:val="1"/>
      <w:numFmt w:val="bullet"/>
      <w:lvlText w:val="o"/>
      <w:lvlJc w:val="left"/>
      <w:pPr>
        <w:tabs>
          <w:tab w:val="num" w:pos="5760"/>
        </w:tabs>
        <w:ind w:left="5760" w:hanging="360"/>
      </w:pPr>
      <w:rPr>
        <w:rFonts w:ascii="Courier New" w:hAnsi="Courier New" w:hint="default"/>
      </w:rPr>
    </w:lvl>
    <w:lvl w:ilvl="8" w:tplc="4A981F1C"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29FC67AA"/>
    <w:multiLevelType w:val="hybridMultilevel"/>
    <w:tmpl w:val="6ADCDCF2"/>
    <w:lvl w:ilvl="0" w:tplc="A522B520">
      <w:start w:val="1"/>
      <w:numFmt w:val="bullet"/>
      <w:lvlText w:val=""/>
      <w:lvlJc w:val="left"/>
      <w:pPr>
        <w:ind w:left="720" w:hanging="360"/>
      </w:pPr>
      <w:rPr>
        <w:rFonts w:ascii="Symbol" w:hAnsi="Symbol" w:hint="default"/>
      </w:rPr>
    </w:lvl>
    <w:lvl w:ilvl="1" w:tplc="41D6FCC6" w:tentative="1">
      <w:start w:val="1"/>
      <w:numFmt w:val="bullet"/>
      <w:lvlText w:val="o"/>
      <w:lvlJc w:val="left"/>
      <w:pPr>
        <w:ind w:left="1440" w:hanging="360"/>
      </w:pPr>
      <w:rPr>
        <w:rFonts w:ascii="Courier New" w:hAnsi="Courier New" w:cs="Courier New" w:hint="default"/>
      </w:rPr>
    </w:lvl>
    <w:lvl w:ilvl="2" w:tplc="CE5C201C" w:tentative="1">
      <w:start w:val="1"/>
      <w:numFmt w:val="bullet"/>
      <w:lvlText w:val=""/>
      <w:lvlJc w:val="left"/>
      <w:pPr>
        <w:ind w:left="2160" w:hanging="360"/>
      </w:pPr>
      <w:rPr>
        <w:rFonts w:ascii="Wingdings" w:hAnsi="Wingdings" w:hint="default"/>
      </w:rPr>
    </w:lvl>
    <w:lvl w:ilvl="3" w:tplc="1E589BC6" w:tentative="1">
      <w:start w:val="1"/>
      <w:numFmt w:val="bullet"/>
      <w:lvlText w:val=""/>
      <w:lvlJc w:val="left"/>
      <w:pPr>
        <w:ind w:left="2880" w:hanging="360"/>
      </w:pPr>
      <w:rPr>
        <w:rFonts w:ascii="Symbol" w:hAnsi="Symbol" w:hint="default"/>
      </w:rPr>
    </w:lvl>
    <w:lvl w:ilvl="4" w:tplc="A4B8B5A2" w:tentative="1">
      <w:start w:val="1"/>
      <w:numFmt w:val="bullet"/>
      <w:lvlText w:val="o"/>
      <w:lvlJc w:val="left"/>
      <w:pPr>
        <w:ind w:left="3600" w:hanging="360"/>
      </w:pPr>
      <w:rPr>
        <w:rFonts w:ascii="Courier New" w:hAnsi="Courier New" w:cs="Courier New" w:hint="default"/>
      </w:rPr>
    </w:lvl>
    <w:lvl w:ilvl="5" w:tplc="AD809258" w:tentative="1">
      <w:start w:val="1"/>
      <w:numFmt w:val="bullet"/>
      <w:lvlText w:val=""/>
      <w:lvlJc w:val="left"/>
      <w:pPr>
        <w:ind w:left="4320" w:hanging="360"/>
      </w:pPr>
      <w:rPr>
        <w:rFonts w:ascii="Wingdings" w:hAnsi="Wingdings" w:hint="default"/>
      </w:rPr>
    </w:lvl>
    <w:lvl w:ilvl="6" w:tplc="C22EEC9C" w:tentative="1">
      <w:start w:val="1"/>
      <w:numFmt w:val="bullet"/>
      <w:lvlText w:val=""/>
      <w:lvlJc w:val="left"/>
      <w:pPr>
        <w:ind w:left="5040" w:hanging="360"/>
      </w:pPr>
      <w:rPr>
        <w:rFonts w:ascii="Symbol" w:hAnsi="Symbol" w:hint="default"/>
      </w:rPr>
    </w:lvl>
    <w:lvl w:ilvl="7" w:tplc="B6A6B180" w:tentative="1">
      <w:start w:val="1"/>
      <w:numFmt w:val="bullet"/>
      <w:lvlText w:val="o"/>
      <w:lvlJc w:val="left"/>
      <w:pPr>
        <w:ind w:left="5760" w:hanging="360"/>
      </w:pPr>
      <w:rPr>
        <w:rFonts w:ascii="Courier New" w:hAnsi="Courier New" w:cs="Courier New" w:hint="default"/>
      </w:rPr>
    </w:lvl>
    <w:lvl w:ilvl="8" w:tplc="155A6596" w:tentative="1">
      <w:start w:val="1"/>
      <w:numFmt w:val="bullet"/>
      <w:lvlText w:val=""/>
      <w:lvlJc w:val="left"/>
      <w:pPr>
        <w:ind w:left="6480" w:hanging="360"/>
      </w:pPr>
      <w:rPr>
        <w:rFonts w:ascii="Wingdings" w:hAnsi="Wingdings" w:hint="default"/>
      </w:rPr>
    </w:lvl>
  </w:abstractNum>
  <w:abstractNum w:abstractNumId="70" w15:restartNumberingAfterBreak="0">
    <w:nsid w:val="2A065557"/>
    <w:multiLevelType w:val="hybridMultilevel"/>
    <w:tmpl w:val="B1B031D6"/>
    <w:lvl w:ilvl="0" w:tplc="D7CE7A78">
      <w:start w:val="1"/>
      <w:numFmt w:val="bullet"/>
      <w:lvlText w:val=""/>
      <w:lvlJc w:val="left"/>
      <w:pPr>
        <w:tabs>
          <w:tab w:val="num" w:pos="360"/>
        </w:tabs>
        <w:ind w:left="360" w:hanging="360"/>
      </w:pPr>
      <w:rPr>
        <w:rFonts w:ascii="Symbol" w:hAnsi="Symbol" w:hint="default"/>
      </w:rPr>
    </w:lvl>
    <w:lvl w:ilvl="1" w:tplc="E8A252A8">
      <w:start w:val="1"/>
      <w:numFmt w:val="bullet"/>
      <w:lvlText w:val=""/>
      <w:lvlJc w:val="left"/>
      <w:pPr>
        <w:tabs>
          <w:tab w:val="num" w:pos="567"/>
        </w:tabs>
        <w:ind w:left="567" w:hanging="567"/>
      </w:pPr>
      <w:rPr>
        <w:rFonts w:ascii="Symbol" w:hAnsi="Symbol" w:hint="default"/>
      </w:rPr>
    </w:lvl>
    <w:lvl w:ilvl="2" w:tplc="58869BB6" w:tentative="1">
      <w:start w:val="1"/>
      <w:numFmt w:val="bullet"/>
      <w:lvlText w:val=""/>
      <w:lvlJc w:val="left"/>
      <w:pPr>
        <w:tabs>
          <w:tab w:val="num" w:pos="2160"/>
        </w:tabs>
        <w:ind w:left="2160" w:hanging="360"/>
      </w:pPr>
      <w:rPr>
        <w:rFonts w:ascii="Wingdings" w:hAnsi="Wingdings" w:hint="default"/>
      </w:rPr>
    </w:lvl>
    <w:lvl w:ilvl="3" w:tplc="12E640EA" w:tentative="1">
      <w:start w:val="1"/>
      <w:numFmt w:val="bullet"/>
      <w:lvlText w:val=""/>
      <w:lvlJc w:val="left"/>
      <w:pPr>
        <w:tabs>
          <w:tab w:val="num" w:pos="2880"/>
        </w:tabs>
        <w:ind w:left="2880" w:hanging="360"/>
      </w:pPr>
      <w:rPr>
        <w:rFonts w:ascii="Symbol" w:hAnsi="Symbol" w:hint="default"/>
      </w:rPr>
    </w:lvl>
    <w:lvl w:ilvl="4" w:tplc="B8C85888" w:tentative="1">
      <w:start w:val="1"/>
      <w:numFmt w:val="bullet"/>
      <w:lvlText w:val="o"/>
      <w:lvlJc w:val="left"/>
      <w:pPr>
        <w:tabs>
          <w:tab w:val="num" w:pos="3600"/>
        </w:tabs>
        <w:ind w:left="3600" w:hanging="360"/>
      </w:pPr>
      <w:rPr>
        <w:rFonts w:ascii="Courier New" w:hAnsi="Courier New" w:hint="default"/>
      </w:rPr>
    </w:lvl>
    <w:lvl w:ilvl="5" w:tplc="D42A07CE" w:tentative="1">
      <w:start w:val="1"/>
      <w:numFmt w:val="bullet"/>
      <w:lvlText w:val=""/>
      <w:lvlJc w:val="left"/>
      <w:pPr>
        <w:tabs>
          <w:tab w:val="num" w:pos="4320"/>
        </w:tabs>
        <w:ind w:left="4320" w:hanging="360"/>
      </w:pPr>
      <w:rPr>
        <w:rFonts w:ascii="Wingdings" w:hAnsi="Wingdings" w:hint="default"/>
      </w:rPr>
    </w:lvl>
    <w:lvl w:ilvl="6" w:tplc="BD34144C" w:tentative="1">
      <w:start w:val="1"/>
      <w:numFmt w:val="bullet"/>
      <w:lvlText w:val=""/>
      <w:lvlJc w:val="left"/>
      <w:pPr>
        <w:tabs>
          <w:tab w:val="num" w:pos="5040"/>
        </w:tabs>
        <w:ind w:left="5040" w:hanging="360"/>
      </w:pPr>
      <w:rPr>
        <w:rFonts w:ascii="Symbol" w:hAnsi="Symbol" w:hint="default"/>
      </w:rPr>
    </w:lvl>
    <w:lvl w:ilvl="7" w:tplc="E8ACD444" w:tentative="1">
      <w:start w:val="1"/>
      <w:numFmt w:val="bullet"/>
      <w:lvlText w:val="o"/>
      <w:lvlJc w:val="left"/>
      <w:pPr>
        <w:tabs>
          <w:tab w:val="num" w:pos="5760"/>
        </w:tabs>
        <w:ind w:left="5760" w:hanging="360"/>
      </w:pPr>
      <w:rPr>
        <w:rFonts w:ascii="Courier New" w:hAnsi="Courier New" w:hint="default"/>
      </w:rPr>
    </w:lvl>
    <w:lvl w:ilvl="8" w:tplc="BC102B6C"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2B227CBC"/>
    <w:multiLevelType w:val="hybridMultilevel"/>
    <w:tmpl w:val="FB2ED7D0"/>
    <w:lvl w:ilvl="0" w:tplc="F3164D8C">
      <w:start w:val="1"/>
      <w:numFmt w:val="bullet"/>
      <w:lvlText w:val=""/>
      <w:lvlJc w:val="left"/>
      <w:pPr>
        <w:ind w:left="720" w:hanging="360"/>
      </w:pPr>
      <w:rPr>
        <w:rFonts w:ascii="Symbol" w:hAnsi="Symbol" w:hint="default"/>
        <w:sz w:val="22"/>
      </w:rPr>
    </w:lvl>
    <w:lvl w:ilvl="1" w:tplc="726E6F30" w:tentative="1">
      <w:start w:val="1"/>
      <w:numFmt w:val="bullet"/>
      <w:lvlText w:val="o"/>
      <w:lvlJc w:val="left"/>
      <w:pPr>
        <w:ind w:left="1440" w:hanging="360"/>
      </w:pPr>
      <w:rPr>
        <w:rFonts w:ascii="Courier New" w:hAnsi="Courier New" w:cs="Courier New" w:hint="default"/>
      </w:rPr>
    </w:lvl>
    <w:lvl w:ilvl="2" w:tplc="0060C536" w:tentative="1">
      <w:start w:val="1"/>
      <w:numFmt w:val="bullet"/>
      <w:lvlText w:val=""/>
      <w:lvlJc w:val="left"/>
      <w:pPr>
        <w:ind w:left="2160" w:hanging="360"/>
      </w:pPr>
      <w:rPr>
        <w:rFonts w:ascii="Wingdings" w:hAnsi="Wingdings" w:hint="default"/>
      </w:rPr>
    </w:lvl>
    <w:lvl w:ilvl="3" w:tplc="3A705128" w:tentative="1">
      <w:start w:val="1"/>
      <w:numFmt w:val="bullet"/>
      <w:lvlText w:val=""/>
      <w:lvlJc w:val="left"/>
      <w:pPr>
        <w:ind w:left="2880" w:hanging="360"/>
      </w:pPr>
      <w:rPr>
        <w:rFonts w:ascii="Symbol" w:hAnsi="Symbol" w:hint="default"/>
      </w:rPr>
    </w:lvl>
    <w:lvl w:ilvl="4" w:tplc="F11C4008" w:tentative="1">
      <w:start w:val="1"/>
      <w:numFmt w:val="bullet"/>
      <w:lvlText w:val="o"/>
      <w:lvlJc w:val="left"/>
      <w:pPr>
        <w:ind w:left="3600" w:hanging="360"/>
      </w:pPr>
      <w:rPr>
        <w:rFonts w:ascii="Courier New" w:hAnsi="Courier New" w:cs="Courier New" w:hint="default"/>
      </w:rPr>
    </w:lvl>
    <w:lvl w:ilvl="5" w:tplc="FFBEEA96" w:tentative="1">
      <w:start w:val="1"/>
      <w:numFmt w:val="bullet"/>
      <w:lvlText w:val=""/>
      <w:lvlJc w:val="left"/>
      <w:pPr>
        <w:ind w:left="4320" w:hanging="360"/>
      </w:pPr>
      <w:rPr>
        <w:rFonts w:ascii="Wingdings" w:hAnsi="Wingdings" w:hint="default"/>
      </w:rPr>
    </w:lvl>
    <w:lvl w:ilvl="6" w:tplc="33B652A2" w:tentative="1">
      <w:start w:val="1"/>
      <w:numFmt w:val="bullet"/>
      <w:lvlText w:val=""/>
      <w:lvlJc w:val="left"/>
      <w:pPr>
        <w:ind w:left="5040" w:hanging="360"/>
      </w:pPr>
      <w:rPr>
        <w:rFonts w:ascii="Symbol" w:hAnsi="Symbol" w:hint="default"/>
      </w:rPr>
    </w:lvl>
    <w:lvl w:ilvl="7" w:tplc="AAD66008" w:tentative="1">
      <w:start w:val="1"/>
      <w:numFmt w:val="bullet"/>
      <w:lvlText w:val="o"/>
      <w:lvlJc w:val="left"/>
      <w:pPr>
        <w:ind w:left="5760" w:hanging="360"/>
      </w:pPr>
      <w:rPr>
        <w:rFonts w:ascii="Courier New" w:hAnsi="Courier New" w:cs="Courier New" w:hint="default"/>
      </w:rPr>
    </w:lvl>
    <w:lvl w:ilvl="8" w:tplc="91CCC560" w:tentative="1">
      <w:start w:val="1"/>
      <w:numFmt w:val="bullet"/>
      <w:lvlText w:val=""/>
      <w:lvlJc w:val="left"/>
      <w:pPr>
        <w:ind w:left="6480" w:hanging="360"/>
      </w:pPr>
      <w:rPr>
        <w:rFonts w:ascii="Wingdings" w:hAnsi="Wingdings" w:hint="default"/>
      </w:rPr>
    </w:lvl>
  </w:abstractNum>
  <w:abstractNum w:abstractNumId="72" w15:restartNumberingAfterBreak="0">
    <w:nsid w:val="2B38385B"/>
    <w:multiLevelType w:val="hybridMultilevel"/>
    <w:tmpl w:val="41B4F34C"/>
    <w:lvl w:ilvl="0" w:tplc="92AC6736">
      <w:start w:val="1"/>
      <w:numFmt w:val="bullet"/>
      <w:lvlText w:val=""/>
      <w:lvlJc w:val="left"/>
      <w:pPr>
        <w:tabs>
          <w:tab w:val="num" w:pos="567"/>
        </w:tabs>
        <w:ind w:left="567" w:hanging="567"/>
      </w:pPr>
      <w:rPr>
        <w:rFonts w:ascii="Symbol" w:hAnsi="Symbol" w:hint="default"/>
      </w:rPr>
    </w:lvl>
    <w:lvl w:ilvl="1" w:tplc="E5A80694" w:tentative="1">
      <w:start w:val="1"/>
      <w:numFmt w:val="bullet"/>
      <w:lvlText w:val="o"/>
      <w:lvlJc w:val="left"/>
      <w:pPr>
        <w:tabs>
          <w:tab w:val="num" w:pos="1440"/>
        </w:tabs>
        <w:ind w:left="1440" w:hanging="360"/>
      </w:pPr>
      <w:rPr>
        <w:rFonts w:ascii="Courier New" w:hAnsi="Courier New" w:hint="default"/>
      </w:rPr>
    </w:lvl>
    <w:lvl w:ilvl="2" w:tplc="CA801212" w:tentative="1">
      <w:start w:val="1"/>
      <w:numFmt w:val="bullet"/>
      <w:lvlText w:val=""/>
      <w:lvlJc w:val="left"/>
      <w:pPr>
        <w:tabs>
          <w:tab w:val="num" w:pos="2160"/>
        </w:tabs>
        <w:ind w:left="2160" w:hanging="360"/>
      </w:pPr>
      <w:rPr>
        <w:rFonts w:ascii="Wingdings" w:hAnsi="Wingdings" w:hint="default"/>
      </w:rPr>
    </w:lvl>
    <w:lvl w:ilvl="3" w:tplc="93406C4E" w:tentative="1">
      <w:start w:val="1"/>
      <w:numFmt w:val="bullet"/>
      <w:lvlText w:val=""/>
      <w:lvlJc w:val="left"/>
      <w:pPr>
        <w:tabs>
          <w:tab w:val="num" w:pos="2880"/>
        </w:tabs>
        <w:ind w:left="2880" w:hanging="360"/>
      </w:pPr>
      <w:rPr>
        <w:rFonts w:ascii="Symbol" w:hAnsi="Symbol" w:hint="default"/>
      </w:rPr>
    </w:lvl>
    <w:lvl w:ilvl="4" w:tplc="563221D6" w:tentative="1">
      <w:start w:val="1"/>
      <w:numFmt w:val="bullet"/>
      <w:lvlText w:val="o"/>
      <w:lvlJc w:val="left"/>
      <w:pPr>
        <w:tabs>
          <w:tab w:val="num" w:pos="3600"/>
        </w:tabs>
        <w:ind w:left="3600" w:hanging="360"/>
      </w:pPr>
      <w:rPr>
        <w:rFonts w:ascii="Courier New" w:hAnsi="Courier New" w:hint="default"/>
      </w:rPr>
    </w:lvl>
    <w:lvl w:ilvl="5" w:tplc="541660F4" w:tentative="1">
      <w:start w:val="1"/>
      <w:numFmt w:val="bullet"/>
      <w:lvlText w:val=""/>
      <w:lvlJc w:val="left"/>
      <w:pPr>
        <w:tabs>
          <w:tab w:val="num" w:pos="4320"/>
        </w:tabs>
        <w:ind w:left="4320" w:hanging="360"/>
      </w:pPr>
      <w:rPr>
        <w:rFonts w:ascii="Wingdings" w:hAnsi="Wingdings" w:hint="default"/>
      </w:rPr>
    </w:lvl>
    <w:lvl w:ilvl="6" w:tplc="08B67DCC" w:tentative="1">
      <w:start w:val="1"/>
      <w:numFmt w:val="bullet"/>
      <w:lvlText w:val=""/>
      <w:lvlJc w:val="left"/>
      <w:pPr>
        <w:tabs>
          <w:tab w:val="num" w:pos="5040"/>
        </w:tabs>
        <w:ind w:left="5040" w:hanging="360"/>
      </w:pPr>
      <w:rPr>
        <w:rFonts w:ascii="Symbol" w:hAnsi="Symbol" w:hint="default"/>
      </w:rPr>
    </w:lvl>
    <w:lvl w:ilvl="7" w:tplc="78A4B5DA" w:tentative="1">
      <w:start w:val="1"/>
      <w:numFmt w:val="bullet"/>
      <w:lvlText w:val="o"/>
      <w:lvlJc w:val="left"/>
      <w:pPr>
        <w:tabs>
          <w:tab w:val="num" w:pos="5760"/>
        </w:tabs>
        <w:ind w:left="5760" w:hanging="360"/>
      </w:pPr>
      <w:rPr>
        <w:rFonts w:ascii="Courier New" w:hAnsi="Courier New" w:hint="default"/>
      </w:rPr>
    </w:lvl>
    <w:lvl w:ilvl="8" w:tplc="1AACAA86"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2BCC63FC"/>
    <w:multiLevelType w:val="multilevel"/>
    <w:tmpl w:val="A208B00C"/>
    <w:lvl w:ilvl="0">
      <w:start w:val="1"/>
      <w:numFmt w:val="lowerLetter"/>
      <w:lvlText w:val="%1"/>
      <w:lvlJc w:val="left"/>
      <w:pPr>
        <w:ind w:left="720" w:hanging="720"/>
      </w:pPr>
      <w:rPr>
        <w:rFonts w:hint="default"/>
        <w:b w:val="0"/>
        <w:i w:val="0"/>
        <w:caps w:val="0"/>
        <w:sz w:val="16"/>
        <w:szCs w:val="16"/>
        <w:u w:val="none"/>
        <w:vertAlign w:val="superscrip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2C904CA9"/>
    <w:multiLevelType w:val="hybridMultilevel"/>
    <w:tmpl w:val="768EAAD6"/>
    <w:lvl w:ilvl="0" w:tplc="802CADFC">
      <w:start w:val="1"/>
      <w:numFmt w:val="bullet"/>
      <w:lvlText w:val=""/>
      <w:lvlJc w:val="left"/>
      <w:pPr>
        <w:ind w:left="360" w:hanging="360"/>
      </w:pPr>
      <w:rPr>
        <w:rFonts w:ascii="Symbol" w:hAnsi="Symbol" w:hint="default"/>
      </w:rPr>
    </w:lvl>
    <w:lvl w:ilvl="1" w:tplc="124C4744" w:tentative="1">
      <w:start w:val="1"/>
      <w:numFmt w:val="bullet"/>
      <w:lvlText w:val="o"/>
      <w:lvlJc w:val="left"/>
      <w:pPr>
        <w:ind w:left="1080" w:hanging="360"/>
      </w:pPr>
      <w:rPr>
        <w:rFonts w:ascii="Courier New" w:hAnsi="Courier New" w:cs="Courier New" w:hint="default"/>
      </w:rPr>
    </w:lvl>
    <w:lvl w:ilvl="2" w:tplc="886C2FE2" w:tentative="1">
      <w:start w:val="1"/>
      <w:numFmt w:val="bullet"/>
      <w:lvlText w:val=""/>
      <w:lvlJc w:val="left"/>
      <w:pPr>
        <w:ind w:left="1800" w:hanging="360"/>
      </w:pPr>
      <w:rPr>
        <w:rFonts w:ascii="Wingdings" w:hAnsi="Wingdings" w:hint="default"/>
      </w:rPr>
    </w:lvl>
    <w:lvl w:ilvl="3" w:tplc="76AC0094" w:tentative="1">
      <w:start w:val="1"/>
      <w:numFmt w:val="bullet"/>
      <w:lvlText w:val=""/>
      <w:lvlJc w:val="left"/>
      <w:pPr>
        <w:ind w:left="2520" w:hanging="360"/>
      </w:pPr>
      <w:rPr>
        <w:rFonts w:ascii="Symbol" w:hAnsi="Symbol" w:hint="default"/>
      </w:rPr>
    </w:lvl>
    <w:lvl w:ilvl="4" w:tplc="85245D42" w:tentative="1">
      <w:start w:val="1"/>
      <w:numFmt w:val="bullet"/>
      <w:lvlText w:val="o"/>
      <w:lvlJc w:val="left"/>
      <w:pPr>
        <w:ind w:left="3240" w:hanging="360"/>
      </w:pPr>
      <w:rPr>
        <w:rFonts w:ascii="Courier New" w:hAnsi="Courier New" w:cs="Courier New" w:hint="default"/>
      </w:rPr>
    </w:lvl>
    <w:lvl w:ilvl="5" w:tplc="47309158" w:tentative="1">
      <w:start w:val="1"/>
      <w:numFmt w:val="bullet"/>
      <w:lvlText w:val=""/>
      <w:lvlJc w:val="left"/>
      <w:pPr>
        <w:ind w:left="3960" w:hanging="360"/>
      </w:pPr>
      <w:rPr>
        <w:rFonts w:ascii="Wingdings" w:hAnsi="Wingdings" w:hint="default"/>
      </w:rPr>
    </w:lvl>
    <w:lvl w:ilvl="6" w:tplc="3F46ACCC" w:tentative="1">
      <w:start w:val="1"/>
      <w:numFmt w:val="bullet"/>
      <w:lvlText w:val=""/>
      <w:lvlJc w:val="left"/>
      <w:pPr>
        <w:ind w:left="4680" w:hanging="360"/>
      </w:pPr>
      <w:rPr>
        <w:rFonts w:ascii="Symbol" w:hAnsi="Symbol" w:hint="default"/>
      </w:rPr>
    </w:lvl>
    <w:lvl w:ilvl="7" w:tplc="9EC43D98" w:tentative="1">
      <w:start w:val="1"/>
      <w:numFmt w:val="bullet"/>
      <w:lvlText w:val="o"/>
      <w:lvlJc w:val="left"/>
      <w:pPr>
        <w:ind w:left="5400" w:hanging="360"/>
      </w:pPr>
      <w:rPr>
        <w:rFonts w:ascii="Courier New" w:hAnsi="Courier New" w:cs="Courier New" w:hint="default"/>
      </w:rPr>
    </w:lvl>
    <w:lvl w:ilvl="8" w:tplc="551C7874" w:tentative="1">
      <w:start w:val="1"/>
      <w:numFmt w:val="bullet"/>
      <w:lvlText w:val=""/>
      <w:lvlJc w:val="left"/>
      <w:pPr>
        <w:ind w:left="6120" w:hanging="360"/>
      </w:pPr>
      <w:rPr>
        <w:rFonts w:ascii="Wingdings" w:hAnsi="Wingdings" w:hint="default"/>
      </w:rPr>
    </w:lvl>
  </w:abstractNum>
  <w:abstractNum w:abstractNumId="75" w15:restartNumberingAfterBreak="0">
    <w:nsid w:val="2D1114D4"/>
    <w:multiLevelType w:val="hybridMultilevel"/>
    <w:tmpl w:val="54C8DD40"/>
    <w:lvl w:ilvl="0" w:tplc="41DABAAC">
      <w:start w:val="1"/>
      <w:numFmt w:val="bullet"/>
      <w:lvlText w:val=""/>
      <w:lvlJc w:val="left"/>
      <w:pPr>
        <w:ind w:left="720" w:hanging="360"/>
      </w:pPr>
      <w:rPr>
        <w:rFonts w:ascii="Symbol" w:hAnsi="Symbol" w:hint="default"/>
      </w:rPr>
    </w:lvl>
    <w:lvl w:ilvl="1" w:tplc="033A2DE6" w:tentative="1">
      <w:start w:val="1"/>
      <w:numFmt w:val="bullet"/>
      <w:lvlText w:val="o"/>
      <w:lvlJc w:val="left"/>
      <w:pPr>
        <w:ind w:left="1440" w:hanging="360"/>
      </w:pPr>
      <w:rPr>
        <w:rFonts w:ascii="Courier New" w:hAnsi="Courier New" w:cs="Courier New" w:hint="default"/>
      </w:rPr>
    </w:lvl>
    <w:lvl w:ilvl="2" w:tplc="3AC06AB8" w:tentative="1">
      <w:start w:val="1"/>
      <w:numFmt w:val="bullet"/>
      <w:lvlText w:val=""/>
      <w:lvlJc w:val="left"/>
      <w:pPr>
        <w:ind w:left="2160" w:hanging="360"/>
      </w:pPr>
      <w:rPr>
        <w:rFonts w:ascii="Wingdings" w:hAnsi="Wingdings" w:hint="default"/>
      </w:rPr>
    </w:lvl>
    <w:lvl w:ilvl="3" w:tplc="7B6C3ECC" w:tentative="1">
      <w:start w:val="1"/>
      <w:numFmt w:val="bullet"/>
      <w:lvlText w:val=""/>
      <w:lvlJc w:val="left"/>
      <w:pPr>
        <w:ind w:left="2880" w:hanging="360"/>
      </w:pPr>
      <w:rPr>
        <w:rFonts w:ascii="Symbol" w:hAnsi="Symbol" w:hint="default"/>
      </w:rPr>
    </w:lvl>
    <w:lvl w:ilvl="4" w:tplc="818C4FFE" w:tentative="1">
      <w:start w:val="1"/>
      <w:numFmt w:val="bullet"/>
      <w:lvlText w:val="o"/>
      <w:lvlJc w:val="left"/>
      <w:pPr>
        <w:ind w:left="3600" w:hanging="360"/>
      </w:pPr>
      <w:rPr>
        <w:rFonts w:ascii="Courier New" w:hAnsi="Courier New" w:cs="Courier New" w:hint="default"/>
      </w:rPr>
    </w:lvl>
    <w:lvl w:ilvl="5" w:tplc="58484DD4" w:tentative="1">
      <w:start w:val="1"/>
      <w:numFmt w:val="bullet"/>
      <w:lvlText w:val=""/>
      <w:lvlJc w:val="left"/>
      <w:pPr>
        <w:ind w:left="4320" w:hanging="360"/>
      </w:pPr>
      <w:rPr>
        <w:rFonts w:ascii="Wingdings" w:hAnsi="Wingdings" w:hint="default"/>
      </w:rPr>
    </w:lvl>
    <w:lvl w:ilvl="6" w:tplc="27A697DA" w:tentative="1">
      <w:start w:val="1"/>
      <w:numFmt w:val="bullet"/>
      <w:lvlText w:val=""/>
      <w:lvlJc w:val="left"/>
      <w:pPr>
        <w:ind w:left="5040" w:hanging="360"/>
      </w:pPr>
      <w:rPr>
        <w:rFonts w:ascii="Symbol" w:hAnsi="Symbol" w:hint="default"/>
      </w:rPr>
    </w:lvl>
    <w:lvl w:ilvl="7" w:tplc="12D60D86" w:tentative="1">
      <w:start w:val="1"/>
      <w:numFmt w:val="bullet"/>
      <w:lvlText w:val="o"/>
      <w:lvlJc w:val="left"/>
      <w:pPr>
        <w:ind w:left="5760" w:hanging="360"/>
      </w:pPr>
      <w:rPr>
        <w:rFonts w:ascii="Courier New" w:hAnsi="Courier New" w:cs="Courier New" w:hint="default"/>
      </w:rPr>
    </w:lvl>
    <w:lvl w:ilvl="8" w:tplc="1A6E3554" w:tentative="1">
      <w:start w:val="1"/>
      <w:numFmt w:val="bullet"/>
      <w:lvlText w:val=""/>
      <w:lvlJc w:val="left"/>
      <w:pPr>
        <w:ind w:left="6480" w:hanging="360"/>
      </w:pPr>
      <w:rPr>
        <w:rFonts w:ascii="Wingdings" w:hAnsi="Wingdings" w:hint="default"/>
      </w:rPr>
    </w:lvl>
  </w:abstractNum>
  <w:abstractNum w:abstractNumId="76" w15:restartNumberingAfterBreak="0">
    <w:nsid w:val="2D571868"/>
    <w:multiLevelType w:val="hybridMultilevel"/>
    <w:tmpl w:val="15DA9C38"/>
    <w:lvl w:ilvl="0" w:tplc="CA2ED138">
      <w:start w:val="1"/>
      <w:numFmt w:val="bullet"/>
      <w:lvlText w:val=""/>
      <w:lvlJc w:val="left"/>
      <w:pPr>
        <w:ind w:left="720" w:hanging="360"/>
      </w:pPr>
      <w:rPr>
        <w:rFonts w:ascii="Symbol" w:hAnsi="Symbol" w:hint="default"/>
      </w:rPr>
    </w:lvl>
    <w:lvl w:ilvl="1" w:tplc="F3D859D6" w:tentative="1">
      <w:start w:val="1"/>
      <w:numFmt w:val="bullet"/>
      <w:lvlText w:val="o"/>
      <w:lvlJc w:val="left"/>
      <w:pPr>
        <w:ind w:left="1440" w:hanging="360"/>
      </w:pPr>
      <w:rPr>
        <w:rFonts w:ascii="Courier New" w:hAnsi="Courier New" w:cs="Courier New" w:hint="default"/>
      </w:rPr>
    </w:lvl>
    <w:lvl w:ilvl="2" w:tplc="DD14F1EE" w:tentative="1">
      <w:start w:val="1"/>
      <w:numFmt w:val="bullet"/>
      <w:lvlText w:val=""/>
      <w:lvlJc w:val="left"/>
      <w:pPr>
        <w:ind w:left="2160" w:hanging="360"/>
      </w:pPr>
      <w:rPr>
        <w:rFonts w:ascii="Wingdings" w:hAnsi="Wingdings" w:hint="default"/>
      </w:rPr>
    </w:lvl>
    <w:lvl w:ilvl="3" w:tplc="FDC283D0" w:tentative="1">
      <w:start w:val="1"/>
      <w:numFmt w:val="bullet"/>
      <w:lvlText w:val=""/>
      <w:lvlJc w:val="left"/>
      <w:pPr>
        <w:ind w:left="2880" w:hanging="360"/>
      </w:pPr>
      <w:rPr>
        <w:rFonts w:ascii="Symbol" w:hAnsi="Symbol" w:hint="default"/>
      </w:rPr>
    </w:lvl>
    <w:lvl w:ilvl="4" w:tplc="24369F9C" w:tentative="1">
      <w:start w:val="1"/>
      <w:numFmt w:val="bullet"/>
      <w:lvlText w:val="o"/>
      <w:lvlJc w:val="left"/>
      <w:pPr>
        <w:ind w:left="3600" w:hanging="360"/>
      </w:pPr>
      <w:rPr>
        <w:rFonts w:ascii="Courier New" w:hAnsi="Courier New" w:cs="Courier New" w:hint="default"/>
      </w:rPr>
    </w:lvl>
    <w:lvl w:ilvl="5" w:tplc="A8382020" w:tentative="1">
      <w:start w:val="1"/>
      <w:numFmt w:val="bullet"/>
      <w:lvlText w:val=""/>
      <w:lvlJc w:val="left"/>
      <w:pPr>
        <w:ind w:left="4320" w:hanging="360"/>
      </w:pPr>
      <w:rPr>
        <w:rFonts w:ascii="Wingdings" w:hAnsi="Wingdings" w:hint="default"/>
      </w:rPr>
    </w:lvl>
    <w:lvl w:ilvl="6" w:tplc="BA04A320" w:tentative="1">
      <w:start w:val="1"/>
      <w:numFmt w:val="bullet"/>
      <w:lvlText w:val=""/>
      <w:lvlJc w:val="left"/>
      <w:pPr>
        <w:ind w:left="5040" w:hanging="360"/>
      </w:pPr>
      <w:rPr>
        <w:rFonts w:ascii="Symbol" w:hAnsi="Symbol" w:hint="default"/>
      </w:rPr>
    </w:lvl>
    <w:lvl w:ilvl="7" w:tplc="86D89EC4" w:tentative="1">
      <w:start w:val="1"/>
      <w:numFmt w:val="bullet"/>
      <w:lvlText w:val="o"/>
      <w:lvlJc w:val="left"/>
      <w:pPr>
        <w:ind w:left="5760" w:hanging="360"/>
      </w:pPr>
      <w:rPr>
        <w:rFonts w:ascii="Courier New" w:hAnsi="Courier New" w:cs="Courier New" w:hint="default"/>
      </w:rPr>
    </w:lvl>
    <w:lvl w:ilvl="8" w:tplc="4CC0CC64" w:tentative="1">
      <w:start w:val="1"/>
      <w:numFmt w:val="bullet"/>
      <w:lvlText w:val=""/>
      <w:lvlJc w:val="left"/>
      <w:pPr>
        <w:ind w:left="6480" w:hanging="360"/>
      </w:pPr>
      <w:rPr>
        <w:rFonts w:ascii="Wingdings" w:hAnsi="Wingdings" w:hint="default"/>
      </w:rPr>
    </w:lvl>
  </w:abstractNum>
  <w:abstractNum w:abstractNumId="77" w15:restartNumberingAfterBreak="0">
    <w:nsid w:val="2DF953E5"/>
    <w:multiLevelType w:val="hybridMultilevel"/>
    <w:tmpl w:val="8A1E1472"/>
    <w:lvl w:ilvl="0" w:tplc="88AEE4D8">
      <w:start w:val="1"/>
      <w:numFmt w:val="bullet"/>
      <w:lvlText w:val="-"/>
      <w:lvlJc w:val="left"/>
      <w:pPr>
        <w:tabs>
          <w:tab w:val="num" w:pos="360"/>
        </w:tabs>
        <w:ind w:left="357" w:hanging="357"/>
      </w:pPr>
      <w:rPr>
        <w:rFonts w:hint="default"/>
      </w:rPr>
    </w:lvl>
    <w:lvl w:ilvl="1" w:tplc="F42CC332">
      <w:start w:val="1"/>
      <w:numFmt w:val="bullet"/>
      <w:lvlText w:val="o"/>
      <w:lvlJc w:val="left"/>
      <w:pPr>
        <w:tabs>
          <w:tab w:val="num" w:pos="1440"/>
        </w:tabs>
        <w:ind w:left="1440" w:hanging="360"/>
      </w:pPr>
      <w:rPr>
        <w:rFonts w:ascii="Courier New" w:hAnsi="Courier New" w:hint="default"/>
      </w:rPr>
    </w:lvl>
    <w:lvl w:ilvl="2" w:tplc="CCB24094" w:tentative="1">
      <w:start w:val="1"/>
      <w:numFmt w:val="bullet"/>
      <w:lvlText w:val=""/>
      <w:lvlJc w:val="left"/>
      <w:pPr>
        <w:tabs>
          <w:tab w:val="num" w:pos="2160"/>
        </w:tabs>
        <w:ind w:left="2160" w:hanging="360"/>
      </w:pPr>
      <w:rPr>
        <w:rFonts w:ascii="Wingdings" w:hAnsi="Wingdings" w:hint="default"/>
      </w:rPr>
    </w:lvl>
    <w:lvl w:ilvl="3" w:tplc="C4349308" w:tentative="1">
      <w:start w:val="1"/>
      <w:numFmt w:val="bullet"/>
      <w:lvlText w:val=""/>
      <w:lvlJc w:val="left"/>
      <w:pPr>
        <w:tabs>
          <w:tab w:val="num" w:pos="2880"/>
        </w:tabs>
        <w:ind w:left="2880" w:hanging="360"/>
      </w:pPr>
      <w:rPr>
        <w:rFonts w:ascii="Symbol" w:hAnsi="Symbol" w:hint="default"/>
      </w:rPr>
    </w:lvl>
    <w:lvl w:ilvl="4" w:tplc="116EEF34" w:tentative="1">
      <w:start w:val="1"/>
      <w:numFmt w:val="bullet"/>
      <w:lvlText w:val="o"/>
      <w:lvlJc w:val="left"/>
      <w:pPr>
        <w:tabs>
          <w:tab w:val="num" w:pos="3600"/>
        </w:tabs>
        <w:ind w:left="3600" w:hanging="360"/>
      </w:pPr>
      <w:rPr>
        <w:rFonts w:ascii="Courier New" w:hAnsi="Courier New" w:hint="default"/>
      </w:rPr>
    </w:lvl>
    <w:lvl w:ilvl="5" w:tplc="5B625758" w:tentative="1">
      <w:start w:val="1"/>
      <w:numFmt w:val="bullet"/>
      <w:lvlText w:val=""/>
      <w:lvlJc w:val="left"/>
      <w:pPr>
        <w:tabs>
          <w:tab w:val="num" w:pos="4320"/>
        </w:tabs>
        <w:ind w:left="4320" w:hanging="360"/>
      </w:pPr>
      <w:rPr>
        <w:rFonts w:ascii="Wingdings" w:hAnsi="Wingdings" w:hint="default"/>
      </w:rPr>
    </w:lvl>
    <w:lvl w:ilvl="6" w:tplc="3294A75A" w:tentative="1">
      <w:start w:val="1"/>
      <w:numFmt w:val="bullet"/>
      <w:lvlText w:val=""/>
      <w:lvlJc w:val="left"/>
      <w:pPr>
        <w:tabs>
          <w:tab w:val="num" w:pos="5040"/>
        </w:tabs>
        <w:ind w:left="5040" w:hanging="360"/>
      </w:pPr>
      <w:rPr>
        <w:rFonts w:ascii="Symbol" w:hAnsi="Symbol" w:hint="default"/>
      </w:rPr>
    </w:lvl>
    <w:lvl w:ilvl="7" w:tplc="C02850F4" w:tentative="1">
      <w:start w:val="1"/>
      <w:numFmt w:val="bullet"/>
      <w:lvlText w:val="o"/>
      <w:lvlJc w:val="left"/>
      <w:pPr>
        <w:tabs>
          <w:tab w:val="num" w:pos="5760"/>
        </w:tabs>
        <w:ind w:left="5760" w:hanging="360"/>
      </w:pPr>
      <w:rPr>
        <w:rFonts w:ascii="Courier New" w:hAnsi="Courier New" w:hint="default"/>
      </w:rPr>
    </w:lvl>
    <w:lvl w:ilvl="8" w:tplc="1A407976"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2EFD693C"/>
    <w:multiLevelType w:val="hybridMultilevel"/>
    <w:tmpl w:val="F3943312"/>
    <w:lvl w:ilvl="0" w:tplc="EC922C38">
      <w:start w:val="1"/>
      <w:numFmt w:val="bullet"/>
      <w:lvlText w:val=""/>
      <w:lvlJc w:val="left"/>
      <w:pPr>
        <w:ind w:left="720" w:hanging="360"/>
      </w:pPr>
      <w:rPr>
        <w:rFonts w:ascii="Symbol" w:hAnsi="Symbol" w:hint="default"/>
      </w:rPr>
    </w:lvl>
    <w:lvl w:ilvl="1" w:tplc="D24074E0" w:tentative="1">
      <w:start w:val="1"/>
      <w:numFmt w:val="bullet"/>
      <w:lvlText w:val="o"/>
      <w:lvlJc w:val="left"/>
      <w:pPr>
        <w:ind w:left="1440" w:hanging="360"/>
      </w:pPr>
      <w:rPr>
        <w:rFonts w:ascii="Courier New" w:hAnsi="Courier New" w:cs="Courier New" w:hint="default"/>
      </w:rPr>
    </w:lvl>
    <w:lvl w:ilvl="2" w:tplc="4C826D2C" w:tentative="1">
      <w:start w:val="1"/>
      <w:numFmt w:val="bullet"/>
      <w:lvlText w:val=""/>
      <w:lvlJc w:val="left"/>
      <w:pPr>
        <w:ind w:left="2160" w:hanging="360"/>
      </w:pPr>
      <w:rPr>
        <w:rFonts w:ascii="Wingdings" w:hAnsi="Wingdings" w:hint="default"/>
      </w:rPr>
    </w:lvl>
    <w:lvl w:ilvl="3" w:tplc="B67419A0" w:tentative="1">
      <w:start w:val="1"/>
      <w:numFmt w:val="bullet"/>
      <w:lvlText w:val=""/>
      <w:lvlJc w:val="left"/>
      <w:pPr>
        <w:ind w:left="2880" w:hanging="360"/>
      </w:pPr>
      <w:rPr>
        <w:rFonts w:ascii="Symbol" w:hAnsi="Symbol" w:hint="default"/>
      </w:rPr>
    </w:lvl>
    <w:lvl w:ilvl="4" w:tplc="7E0C2DF8" w:tentative="1">
      <w:start w:val="1"/>
      <w:numFmt w:val="bullet"/>
      <w:lvlText w:val="o"/>
      <w:lvlJc w:val="left"/>
      <w:pPr>
        <w:ind w:left="3600" w:hanging="360"/>
      </w:pPr>
      <w:rPr>
        <w:rFonts w:ascii="Courier New" w:hAnsi="Courier New" w:cs="Courier New" w:hint="default"/>
      </w:rPr>
    </w:lvl>
    <w:lvl w:ilvl="5" w:tplc="EC3C74CE" w:tentative="1">
      <w:start w:val="1"/>
      <w:numFmt w:val="bullet"/>
      <w:lvlText w:val=""/>
      <w:lvlJc w:val="left"/>
      <w:pPr>
        <w:ind w:left="4320" w:hanging="360"/>
      </w:pPr>
      <w:rPr>
        <w:rFonts w:ascii="Wingdings" w:hAnsi="Wingdings" w:hint="default"/>
      </w:rPr>
    </w:lvl>
    <w:lvl w:ilvl="6" w:tplc="817AB94A" w:tentative="1">
      <w:start w:val="1"/>
      <w:numFmt w:val="bullet"/>
      <w:lvlText w:val=""/>
      <w:lvlJc w:val="left"/>
      <w:pPr>
        <w:ind w:left="5040" w:hanging="360"/>
      </w:pPr>
      <w:rPr>
        <w:rFonts w:ascii="Symbol" w:hAnsi="Symbol" w:hint="default"/>
      </w:rPr>
    </w:lvl>
    <w:lvl w:ilvl="7" w:tplc="FF620228" w:tentative="1">
      <w:start w:val="1"/>
      <w:numFmt w:val="bullet"/>
      <w:lvlText w:val="o"/>
      <w:lvlJc w:val="left"/>
      <w:pPr>
        <w:ind w:left="5760" w:hanging="360"/>
      </w:pPr>
      <w:rPr>
        <w:rFonts w:ascii="Courier New" w:hAnsi="Courier New" w:cs="Courier New" w:hint="default"/>
      </w:rPr>
    </w:lvl>
    <w:lvl w:ilvl="8" w:tplc="22CAFB2C" w:tentative="1">
      <w:start w:val="1"/>
      <w:numFmt w:val="bullet"/>
      <w:lvlText w:val=""/>
      <w:lvlJc w:val="left"/>
      <w:pPr>
        <w:ind w:left="6480" w:hanging="360"/>
      </w:pPr>
      <w:rPr>
        <w:rFonts w:ascii="Wingdings" w:hAnsi="Wingdings" w:hint="default"/>
      </w:rPr>
    </w:lvl>
  </w:abstractNum>
  <w:abstractNum w:abstractNumId="79" w15:restartNumberingAfterBreak="0">
    <w:nsid w:val="31A12755"/>
    <w:multiLevelType w:val="hybridMultilevel"/>
    <w:tmpl w:val="3F8C5A76"/>
    <w:lvl w:ilvl="0" w:tplc="40DEF9B2">
      <w:start w:val="1"/>
      <w:numFmt w:val="bullet"/>
      <w:lvlText w:val=""/>
      <w:lvlJc w:val="left"/>
      <w:pPr>
        <w:tabs>
          <w:tab w:val="num" w:pos="0"/>
        </w:tabs>
        <w:ind w:left="283" w:hanging="283"/>
      </w:pPr>
      <w:rPr>
        <w:rFonts w:ascii="Symbol" w:hAnsi="Symbol" w:hint="default"/>
      </w:rPr>
    </w:lvl>
    <w:lvl w:ilvl="1" w:tplc="B7E8F090">
      <w:start w:val="1"/>
      <w:numFmt w:val="bullet"/>
      <w:lvlText w:val="o"/>
      <w:lvlJc w:val="left"/>
      <w:pPr>
        <w:tabs>
          <w:tab w:val="num" w:pos="1440"/>
        </w:tabs>
        <w:ind w:left="1440" w:hanging="360"/>
      </w:pPr>
      <w:rPr>
        <w:rFonts w:ascii="Courier New" w:hAnsi="Courier New" w:hint="default"/>
      </w:rPr>
    </w:lvl>
    <w:lvl w:ilvl="2" w:tplc="89CCBCB6" w:tentative="1">
      <w:start w:val="1"/>
      <w:numFmt w:val="bullet"/>
      <w:lvlText w:val=""/>
      <w:lvlJc w:val="left"/>
      <w:pPr>
        <w:tabs>
          <w:tab w:val="num" w:pos="2160"/>
        </w:tabs>
        <w:ind w:left="2160" w:hanging="360"/>
      </w:pPr>
      <w:rPr>
        <w:rFonts w:ascii="Wingdings" w:hAnsi="Wingdings" w:hint="default"/>
      </w:rPr>
    </w:lvl>
    <w:lvl w:ilvl="3" w:tplc="133C3792" w:tentative="1">
      <w:start w:val="1"/>
      <w:numFmt w:val="bullet"/>
      <w:lvlText w:val=""/>
      <w:lvlJc w:val="left"/>
      <w:pPr>
        <w:tabs>
          <w:tab w:val="num" w:pos="2880"/>
        </w:tabs>
        <w:ind w:left="2880" w:hanging="360"/>
      </w:pPr>
      <w:rPr>
        <w:rFonts w:ascii="Symbol" w:hAnsi="Symbol" w:hint="default"/>
      </w:rPr>
    </w:lvl>
    <w:lvl w:ilvl="4" w:tplc="6570DCC2" w:tentative="1">
      <w:start w:val="1"/>
      <w:numFmt w:val="bullet"/>
      <w:lvlText w:val="o"/>
      <w:lvlJc w:val="left"/>
      <w:pPr>
        <w:tabs>
          <w:tab w:val="num" w:pos="3600"/>
        </w:tabs>
        <w:ind w:left="3600" w:hanging="360"/>
      </w:pPr>
      <w:rPr>
        <w:rFonts w:ascii="Courier New" w:hAnsi="Courier New" w:hint="default"/>
      </w:rPr>
    </w:lvl>
    <w:lvl w:ilvl="5" w:tplc="7AB4DE06" w:tentative="1">
      <w:start w:val="1"/>
      <w:numFmt w:val="bullet"/>
      <w:lvlText w:val=""/>
      <w:lvlJc w:val="left"/>
      <w:pPr>
        <w:tabs>
          <w:tab w:val="num" w:pos="4320"/>
        </w:tabs>
        <w:ind w:left="4320" w:hanging="360"/>
      </w:pPr>
      <w:rPr>
        <w:rFonts w:ascii="Wingdings" w:hAnsi="Wingdings" w:hint="default"/>
      </w:rPr>
    </w:lvl>
    <w:lvl w:ilvl="6" w:tplc="3EC8E498" w:tentative="1">
      <w:start w:val="1"/>
      <w:numFmt w:val="bullet"/>
      <w:lvlText w:val=""/>
      <w:lvlJc w:val="left"/>
      <w:pPr>
        <w:tabs>
          <w:tab w:val="num" w:pos="5040"/>
        </w:tabs>
        <w:ind w:left="5040" w:hanging="360"/>
      </w:pPr>
      <w:rPr>
        <w:rFonts w:ascii="Symbol" w:hAnsi="Symbol" w:hint="default"/>
      </w:rPr>
    </w:lvl>
    <w:lvl w:ilvl="7" w:tplc="2D740608" w:tentative="1">
      <w:start w:val="1"/>
      <w:numFmt w:val="bullet"/>
      <w:lvlText w:val="o"/>
      <w:lvlJc w:val="left"/>
      <w:pPr>
        <w:tabs>
          <w:tab w:val="num" w:pos="5760"/>
        </w:tabs>
        <w:ind w:left="5760" w:hanging="360"/>
      </w:pPr>
      <w:rPr>
        <w:rFonts w:ascii="Courier New" w:hAnsi="Courier New" w:hint="default"/>
      </w:rPr>
    </w:lvl>
    <w:lvl w:ilvl="8" w:tplc="9F4A60C2"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320817C1"/>
    <w:multiLevelType w:val="hybridMultilevel"/>
    <w:tmpl w:val="497C9318"/>
    <w:lvl w:ilvl="0" w:tplc="5B80C654">
      <w:start w:val="1"/>
      <w:numFmt w:val="bullet"/>
      <w:lvlText w:val=""/>
      <w:lvlJc w:val="left"/>
      <w:pPr>
        <w:ind w:left="720" w:hanging="360"/>
      </w:pPr>
      <w:rPr>
        <w:rFonts w:ascii="Symbol" w:hAnsi="Symbol" w:hint="default"/>
      </w:rPr>
    </w:lvl>
    <w:lvl w:ilvl="1" w:tplc="39AA99D2" w:tentative="1">
      <w:start w:val="1"/>
      <w:numFmt w:val="bullet"/>
      <w:lvlText w:val="o"/>
      <w:lvlJc w:val="left"/>
      <w:pPr>
        <w:ind w:left="1440" w:hanging="360"/>
      </w:pPr>
      <w:rPr>
        <w:rFonts w:ascii="Courier New" w:hAnsi="Courier New" w:cs="Courier New" w:hint="default"/>
      </w:rPr>
    </w:lvl>
    <w:lvl w:ilvl="2" w:tplc="AF9A2294" w:tentative="1">
      <w:start w:val="1"/>
      <w:numFmt w:val="bullet"/>
      <w:lvlText w:val=""/>
      <w:lvlJc w:val="left"/>
      <w:pPr>
        <w:ind w:left="2160" w:hanging="360"/>
      </w:pPr>
      <w:rPr>
        <w:rFonts w:ascii="Wingdings" w:hAnsi="Wingdings" w:hint="default"/>
      </w:rPr>
    </w:lvl>
    <w:lvl w:ilvl="3" w:tplc="CA56C610" w:tentative="1">
      <w:start w:val="1"/>
      <w:numFmt w:val="bullet"/>
      <w:lvlText w:val=""/>
      <w:lvlJc w:val="left"/>
      <w:pPr>
        <w:ind w:left="2880" w:hanging="360"/>
      </w:pPr>
      <w:rPr>
        <w:rFonts w:ascii="Symbol" w:hAnsi="Symbol" w:hint="default"/>
      </w:rPr>
    </w:lvl>
    <w:lvl w:ilvl="4" w:tplc="CC88225C" w:tentative="1">
      <w:start w:val="1"/>
      <w:numFmt w:val="bullet"/>
      <w:lvlText w:val="o"/>
      <w:lvlJc w:val="left"/>
      <w:pPr>
        <w:ind w:left="3600" w:hanging="360"/>
      </w:pPr>
      <w:rPr>
        <w:rFonts w:ascii="Courier New" w:hAnsi="Courier New" w:cs="Courier New" w:hint="default"/>
      </w:rPr>
    </w:lvl>
    <w:lvl w:ilvl="5" w:tplc="A1060160" w:tentative="1">
      <w:start w:val="1"/>
      <w:numFmt w:val="bullet"/>
      <w:lvlText w:val=""/>
      <w:lvlJc w:val="left"/>
      <w:pPr>
        <w:ind w:left="4320" w:hanging="360"/>
      </w:pPr>
      <w:rPr>
        <w:rFonts w:ascii="Wingdings" w:hAnsi="Wingdings" w:hint="default"/>
      </w:rPr>
    </w:lvl>
    <w:lvl w:ilvl="6" w:tplc="FCA61966" w:tentative="1">
      <w:start w:val="1"/>
      <w:numFmt w:val="bullet"/>
      <w:lvlText w:val=""/>
      <w:lvlJc w:val="left"/>
      <w:pPr>
        <w:ind w:left="5040" w:hanging="360"/>
      </w:pPr>
      <w:rPr>
        <w:rFonts w:ascii="Symbol" w:hAnsi="Symbol" w:hint="default"/>
      </w:rPr>
    </w:lvl>
    <w:lvl w:ilvl="7" w:tplc="D25E12D6" w:tentative="1">
      <w:start w:val="1"/>
      <w:numFmt w:val="bullet"/>
      <w:lvlText w:val="o"/>
      <w:lvlJc w:val="left"/>
      <w:pPr>
        <w:ind w:left="5760" w:hanging="360"/>
      </w:pPr>
      <w:rPr>
        <w:rFonts w:ascii="Courier New" w:hAnsi="Courier New" w:cs="Courier New" w:hint="default"/>
      </w:rPr>
    </w:lvl>
    <w:lvl w:ilvl="8" w:tplc="1B7484C0" w:tentative="1">
      <w:start w:val="1"/>
      <w:numFmt w:val="bullet"/>
      <w:lvlText w:val=""/>
      <w:lvlJc w:val="left"/>
      <w:pPr>
        <w:ind w:left="6480" w:hanging="360"/>
      </w:pPr>
      <w:rPr>
        <w:rFonts w:ascii="Wingdings" w:hAnsi="Wingdings" w:hint="default"/>
      </w:rPr>
    </w:lvl>
  </w:abstractNum>
  <w:abstractNum w:abstractNumId="81" w15:restartNumberingAfterBreak="0">
    <w:nsid w:val="32EB2CB8"/>
    <w:multiLevelType w:val="multilevel"/>
    <w:tmpl w:val="B9381C2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33260527"/>
    <w:multiLevelType w:val="hybridMultilevel"/>
    <w:tmpl w:val="D7DEDA08"/>
    <w:lvl w:ilvl="0" w:tplc="4FFAB4A2">
      <w:start w:val="1"/>
      <w:numFmt w:val="bullet"/>
      <w:lvlText w:val=""/>
      <w:lvlJc w:val="left"/>
      <w:pPr>
        <w:ind w:left="720" w:hanging="360"/>
      </w:pPr>
      <w:rPr>
        <w:rFonts w:ascii="Symbol" w:hAnsi="Symbol" w:hint="default"/>
      </w:rPr>
    </w:lvl>
    <w:lvl w:ilvl="1" w:tplc="251CF512" w:tentative="1">
      <w:start w:val="1"/>
      <w:numFmt w:val="bullet"/>
      <w:lvlText w:val="o"/>
      <w:lvlJc w:val="left"/>
      <w:pPr>
        <w:ind w:left="1440" w:hanging="360"/>
      </w:pPr>
      <w:rPr>
        <w:rFonts w:ascii="Courier New" w:hAnsi="Courier New" w:cs="Courier New" w:hint="default"/>
      </w:rPr>
    </w:lvl>
    <w:lvl w:ilvl="2" w:tplc="4BCAD28A" w:tentative="1">
      <w:start w:val="1"/>
      <w:numFmt w:val="bullet"/>
      <w:lvlText w:val=""/>
      <w:lvlJc w:val="left"/>
      <w:pPr>
        <w:ind w:left="2160" w:hanging="360"/>
      </w:pPr>
      <w:rPr>
        <w:rFonts w:ascii="Wingdings" w:hAnsi="Wingdings" w:hint="default"/>
      </w:rPr>
    </w:lvl>
    <w:lvl w:ilvl="3" w:tplc="7C56734E" w:tentative="1">
      <w:start w:val="1"/>
      <w:numFmt w:val="bullet"/>
      <w:lvlText w:val=""/>
      <w:lvlJc w:val="left"/>
      <w:pPr>
        <w:ind w:left="2880" w:hanging="360"/>
      </w:pPr>
      <w:rPr>
        <w:rFonts w:ascii="Symbol" w:hAnsi="Symbol" w:hint="default"/>
      </w:rPr>
    </w:lvl>
    <w:lvl w:ilvl="4" w:tplc="0A2EC220" w:tentative="1">
      <w:start w:val="1"/>
      <w:numFmt w:val="bullet"/>
      <w:lvlText w:val="o"/>
      <w:lvlJc w:val="left"/>
      <w:pPr>
        <w:ind w:left="3600" w:hanging="360"/>
      </w:pPr>
      <w:rPr>
        <w:rFonts w:ascii="Courier New" w:hAnsi="Courier New" w:cs="Courier New" w:hint="default"/>
      </w:rPr>
    </w:lvl>
    <w:lvl w:ilvl="5" w:tplc="CE6A4126" w:tentative="1">
      <w:start w:val="1"/>
      <w:numFmt w:val="bullet"/>
      <w:lvlText w:val=""/>
      <w:lvlJc w:val="left"/>
      <w:pPr>
        <w:ind w:left="4320" w:hanging="360"/>
      </w:pPr>
      <w:rPr>
        <w:rFonts w:ascii="Wingdings" w:hAnsi="Wingdings" w:hint="default"/>
      </w:rPr>
    </w:lvl>
    <w:lvl w:ilvl="6" w:tplc="A72A9BB8" w:tentative="1">
      <w:start w:val="1"/>
      <w:numFmt w:val="bullet"/>
      <w:lvlText w:val=""/>
      <w:lvlJc w:val="left"/>
      <w:pPr>
        <w:ind w:left="5040" w:hanging="360"/>
      </w:pPr>
      <w:rPr>
        <w:rFonts w:ascii="Symbol" w:hAnsi="Symbol" w:hint="default"/>
      </w:rPr>
    </w:lvl>
    <w:lvl w:ilvl="7" w:tplc="6424409E" w:tentative="1">
      <w:start w:val="1"/>
      <w:numFmt w:val="bullet"/>
      <w:lvlText w:val="o"/>
      <w:lvlJc w:val="left"/>
      <w:pPr>
        <w:ind w:left="5760" w:hanging="360"/>
      </w:pPr>
      <w:rPr>
        <w:rFonts w:ascii="Courier New" w:hAnsi="Courier New" w:cs="Courier New" w:hint="default"/>
      </w:rPr>
    </w:lvl>
    <w:lvl w:ilvl="8" w:tplc="387C5260" w:tentative="1">
      <w:start w:val="1"/>
      <w:numFmt w:val="bullet"/>
      <w:lvlText w:val=""/>
      <w:lvlJc w:val="left"/>
      <w:pPr>
        <w:ind w:left="6480" w:hanging="360"/>
      </w:pPr>
      <w:rPr>
        <w:rFonts w:ascii="Wingdings" w:hAnsi="Wingdings" w:hint="default"/>
      </w:rPr>
    </w:lvl>
  </w:abstractNum>
  <w:abstractNum w:abstractNumId="83" w15:restartNumberingAfterBreak="0">
    <w:nsid w:val="34001F43"/>
    <w:multiLevelType w:val="hybridMultilevel"/>
    <w:tmpl w:val="F53C9FB8"/>
    <w:lvl w:ilvl="0" w:tplc="772681D8">
      <w:start w:val="1"/>
      <w:numFmt w:val="bullet"/>
      <w:lvlText w:val=""/>
      <w:lvlJc w:val="left"/>
      <w:pPr>
        <w:ind w:left="830" w:hanging="360"/>
      </w:pPr>
      <w:rPr>
        <w:rFonts w:ascii="Symbol" w:hAnsi="Symbol" w:hint="default"/>
      </w:rPr>
    </w:lvl>
    <w:lvl w:ilvl="1" w:tplc="CAA22702" w:tentative="1">
      <w:start w:val="1"/>
      <w:numFmt w:val="bullet"/>
      <w:lvlText w:val="o"/>
      <w:lvlJc w:val="left"/>
      <w:pPr>
        <w:ind w:left="1550" w:hanging="360"/>
      </w:pPr>
      <w:rPr>
        <w:rFonts w:ascii="Courier New" w:hAnsi="Courier New" w:cs="Courier New" w:hint="default"/>
      </w:rPr>
    </w:lvl>
    <w:lvl w:ilvl="2" w:tplc="CC267336" w:tentative="1">
      <w:start w:val="1"/>
      <w:numFmt w:val="bullet"/>
      <w:lvlText w:val=""/>
      <w:lvlJc w:val="left"/>
      <w:pPr>
        <w:ind w:left="2270" w:hanging="360"/>
      </w:pPr>
      <w:rPr>
        <w:rFonts w:ascii="Wingdings" w:hAnsi="Wingdings" w:hint="default"/>
      </w:rPr>
    </w:lvl>
    <w:lvl w:ilvl="3" w:tplc="630E7D72" w:tentative="1">
      <w:start w:val="1"/>
      <w:numFmt w:val="bullet"/>
      <w:lvlText w:val=""/>
      <w:lvlJc w:val="left"/>
      <w:pPr>
        <w:ind w:left="2990" w:hanging="360"/>
      </w:pPr>
      <w:rPr>
        <w:rFonts w:ascii="Symbol" w:hAnsi="Symbol" w:hint="default"/>
      </w:rPr>
    </w:lvl>
    <w:lvl w:ilvl="4" w:tplc="063216DC" w:tentative="1">
      <w:start w:val="1"/>
      <w:numFmt w:val="bullet"/>
      <w:lvlText w:val="o"/>
      <w:lvlJc w:val="left"/>
      <w:pPr>
        <w:ind w:left="3710" w:hanging="360"/>
      </w:pPr>
      <w:rPr>
        <w:rFonts w:ascii="Courier New" w:hAnsi="Courier New" w:cs="Courier New" w:hint="default"/>
      </w:rPr>
    </w:lvl>
    <w:lvl w:ilvl="5" w:tplc="376ED99C" w:tentative="1">
      <w:start w:val="1"/>
      <w:numFmt w:val="bullet"/>
      <w:lvlText w:val=""/>
      <w:lvlJc w:val="left"/>
      <w:pPr>
        <w:ind w:left="4430" w:hanging="360"/>
      </w:pPr>
      <w:rPr>
        <w:rFonts w:ascii="Wingdings" w:hAnsi="Wingdings" w:hint="default"/>
      </w:rPr>
    </w:lvl>
    <w:lvl w:ilvl="6" w:tplc="DEA4BFC8" w:tentative="1">
      <w:start w:val="1"/>
      <w:numFmt w:val="bullet"/>
      <w:lvlText w:val=""/>
      <w:lvlJc w:val="left"/>
      <w:pPr>
        <w:ind w:left="5150" w:hanging="360"/>
      </w:pPr>
      <w:rPr>
        <w:rFonts w:ascii="Symbol" w:hAnsi="Symbol" w:hint="default"/>
      </w:rPr>
    </w:lvl>
    <w:lvl w:ilvl="7" w:tplc="E36E9424" w:tentative="1">
      <w:start w:val="1"/>
      <w:numFmt w:val="bullet"/>
      <w:lvlText w:val="o"/>
      <w:lvlJc w:val="left"/>
      <w:pPr>
        <w:ind w:left="5870" w:hanging="360"/>
      </w:pPr>
      <w:rPr>
        <w:rFonts w:ascii="Courier New" w:hAnsi="Courier New" w:cs="Courier New" w:hint="default"/>
      </w:rPr>
    </w:lvl>
    <w:lvl w:ilvl="8" w:tplc="CA801998" w:tentative="1">
      <w:start w:val="1"/>
      <w:numFmt w:val="bullet"/>
      <w:lvlText w:val=""/>
      <w:lvlJc w:val="left"/>
      <w:pPr>
        <w:ind w:left="6590" w:hanging="360"/>
      </w:pPr>
      <w:rPr>
        <w:rFonts w:ascii="Wingdings" w:hAnsi="Wingdings" w:hint="default"/>
      </w:rPr>
    </w:lvl>
  </w:abstractNum>
  <w:abstractNum w:abstractNumId="84" w15:restartNumberingAfterBreak="0">
    <w:nsid w:val="34154F92"/>
    <w:multiLevelType w:val="hybridMultilevel"/>
    <w:tmpl w:val="C00E74D0"/>
    <w:lvl w:ilvl="0" w:tplc="54B89746">
      <w:start w:val="1"/>
      <w:numFmt w:val="bullet"/>
      <w:lvlText w:val=""/>
      <w:lvlJc w:val="left"/>
      <w:pPr>
        <w:tabs>
          <w:tab w:val="num" w:pos="360"/>
        </w:tabs>
        <w:ind w:left="360" w:hanging="360"/>
      </w:pPr>
      <w:rPr>
        <w:rFonts w:ascii="Symbol" w:hAnsi="Symbol" w:hint="default"/>
      </w:rPr>
    </w:lvl>
    <w:lvl w:ilvl="1" w:tplc="F29616B0">
      <w:start w:val="1"/>
      <w:numFmt w:val="bullet"/>
      <w:lvlText w:val=""/>
      <w:lvlJc w:val="left"/>
      <w:pPr>
        <w:tabs>
          <w:tab w:val="num" w:pos="567"/>
        </w:tabs>
        <w:ind w:left="567" w:hanging="567"/>
      </w:pPr>
      <w:rPr>
        <w:rFonts w:ascii="Symbol" w:hAnsi="Symbol" w:hint="default"/>
      </w:rPr>
    </w:lvl>
    <w:lvl w:ilvl="2" w:tplc="BA5604E4">
      <w:start w:val="1"/>
      <w:numFmt w:val="bullet"/>
      <w:lvlText w:val=""/>
      <w:lvlJc w:val="left"/>
      <w:pPr>
        <w:tabs>
          <w:tab w:val="num" w:pos="567"/>
        </w:tabs>
        <w:ind w:left="567" w:hanging="567"/>
      </w:pPr>
      <w:rPr>
        <w:rFonts w:ascii="Symbol" w:hAnsi="Symbol" w:hint="default"/>
      </w:rPr>
    </w:lvl>
    <w:lvl w:ilvl="3" w:tplc="0FF46412" w:tentative="1">
      <w:start w:val="1"/>
      <w:numFmt w:val="bullet"/>
      <w:lvlText w:val=""/>
      <w:lvlJc w:val="left"/>
      <w:pPr>
        <w:tabs>
          <w:tab w:val="num" w:pos="2880"/>
        </w:tabs>
        <w:ind w:left="2880" w:hanging="360"/>
      </w:pPr>
      <w:rPr>
        <w:rFonts w:ascii="Symbol" w:hAnsi="Symbol" w:hint="default"/>
      </w:rPr>
    </w:lvl>
    <w:lvl w:ilvl="4" w:tplc="643A744A" w:tentative="1">
      <w:start w:val="1"/>
      <w:numFmt w:val="bullet"/>
      <w:lvlText w:val="o"/>
      <w:lvlJc w:val="left"/>
      <w:pPr>
        <w:tabs>
          <w:tab w:val="num" w:pos="3600"/>
        </w:tabs>
        <w:ind w:left="3600" w:hanging="360"/>
      </w:pPr>
      <w:rPr>
        <w:rFonts w:ascii="Courier New" w:hAnsi="Courier New" w:hint="default"/>
      </w:rPr>
    </w:lvl>
    <w:lvl w:ilvl="5" w:tplc="9572CABE" w:tentative="1">
      <w:start w:val="1"/>
      <w:numFmt w:val="bullet"/>
      <w:lvlText w:val=""/>
      <w:lvlJc w:val="left"/>
      <w:pPr>
        <w:tabs>
          <w:tab w:val="num" w:pos="4320"/>
        </w:tabs>
        <w:ind w:left="4320" w:hanging="360"/>
      </w:pPr>
      <w:rPr>
        <w:rFonts w:ascii="Wingdings" w:hAnsi="Wingdings" w:hint="default"/>
      </w:rPr>
    </w:lvl>
    <w:lvl w:ilvl="6" w:tplc="779634BC" w:tentative="1">
      <w:start w:val="1"/>
      <w:numFmt w:val="bullet"/>
      <w:lvlText w:val=""/>
      <w:lvlJc w:val="left"/>
      <w:pPr>
        <w:tabs>
          <w:tab w:val="num" w:pos="5040"/>
        </w:tabs>
        <w:ind w:left="5040" w:hanging="360"/>
      </w:pPr>
      <w:rPr>
        <w:rFonts w:ascii="Symbol" w:hAnsi="Symbol" w:hint="default"/>
      </w:rPr>
    </w:lvl>
    <w:lvl w:ilvl="7" w:tplc="6FBE2B86" w:tentative="1">
      <w:start w:val="1"/>
      <w:numFmt w:val="bullet"/>
      <w:lvlText w:val="o"/>
      <w:lvlJc w:val="left"/>
      <w:pPr>
        <w:tabs>
          <w:tab w:val="num" w:pos="5760"/>
        </w:tabs>
        <w:ind w:left="5760" w:hanging="360"/>
      </w:pPr>
      <w:rPr>
        <w:rFonts w:ascii="Courier New" w:hAnsi="Courier New" w:hint="default"/>
      </w:rPr>
    </w:lvl>
    <w:lvl w:ilvl="8" w:tplc="0D688F68"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349B5E4D"/>
    <w:multiLevelType w:val="multilevel"/>
    <w:tmpl w:val="9B98C006"/>
    <w:lvl w:ilvl="0">
      <w:start w:val="1"/>
      <w:numFmt w:val="lowerLetter"/>
      <w:lvlText w:val="%1"/>
      <w:lvlJc w:val="left"/>
      <w:pPr>
        <w:ind w:left="720" w:hanging="720"/>
      </w:pPr>
      <w:rPr>
        <w:rFonts w:ascii="Times New Roman" w:hAnsi="Times New Roman" w:cs="Times New Roman" w:hint="default"/>
        <w:b w:val="0"/>
        <w:i w:val="0"/>
        <w:caps w:val="0"/>
        <w:sz w:val="16"/>
        <w:szCs w:val="16"/>
        <w:u w:val="none"/>
        <w:vertAlign w:val="superscrip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numFmt w:val="none"/>
      <w:lvlText w:val=""/>
      <w:lvlJc w:val="left"/>
      <w:pPr>
        <w:tabs>
          <w:tab w:val="num" w:pos="360"/>
        </w:tabs>
      </w:p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34AC60B0"/>
    <w:multiLevelType w:val="hybridMultilevel"/>
    <w:tmpl w:val="209684FA"/>
    <w:lvl w:ilvl="0" w:tplc="7BAE415E">
      <w:start w:val="1"/>
      <w:numFmt w:val="bullet"/>
      <w:lvlText w:val=""/>
      <w:lvlJc w:val="left"/>
      <w:pPr>
        <w:tabs>
          <w:tab w:val="num" w:pos="720"/>
        </w:tabs>
        <w:ind w:left="720" w:hanging="360"/>
      </w:pPr>
      <w:rPr>
        <w:rFonts w:ascii="Symbol" w:hAnsi="Symbol" w:hint="default"/>
      </w:rPr>
    </w:lvl>
    <w:lvl w:ilvl="1" w:tplc="300E1958">
      <w:start w:val="1"/>
      <w:numFmt w:val="bullet"/>
      <w:lvlText w:val=""/>
      <w:lvlJc w:val="left"/>
      <w:pPr>
        <w:tabs>
          <w:tab w:val="num" w:pos="567"/>
        </w:tabs>
        <w:ind w:left="567" w:hanging="567"/>
      </w:pPr>
      <w:rPr>
        <w:rFonts w:ascii="Symbol" w:hAnsi="Symbol" w:hint="default"/>
      </w:rPr>
    </w:lvl>
    <w:lvl w:ilvl="2" w:tplc="8F563FD2">
      <w:start w:val="1"/>
      <w:numFmt w:val="bullet"/>
      <w:lvlText w:val=""/>
      <w:lvlJc w:val="left"/>
      <w:pPr>
        <w:tabs>
          <w:tab w:val="num" w:pos="567"/>
        </w:tabs>
        <w:ind w:left="567" w:hanging="567"/>
      </w:pPr>
      <w:rPr>
        <w:rFonts w:ascii="Symbol" w:hAnsi="Symbol" w:hint="default"/>
      </w:rPr>
    </w:lvl>
    <w:lvl w:ilvl="3" w:tplc="AC163232" w:tentative="1">
      <w:start w:val="1"/>
      <w:numFmt w:val="bullet"/>
      <w:lvlText w:val=""/>
      <w:lvlJc w:val="left"/>
      <w:pPr>
        <w:tabs>
          <w:tab w:val="num" w:pos="2880"/>
        </w:tabs>
        <w:ind w:left="2880" w:hanging="360"/>
      </w:pPr>
      <w:rPr>
        <w:rFonts w:ascii="Symbol" w:hAnsi="Symbol" w:hint="default"/>
      </w:rPr>
    </w:lvl>
    <w:lvl w:ilvl="4" w:tplc="0B82F7D8" w:tentative="1">
      <w:start w:val="1"/>
      <w:numFmt w:val="bullet"/>
      <w:lvlText w:val="o"/>
      <w:lvlJc w:val="left"/>
      <w:pPr>
        <w:tabs>
          <w:tab w:val="num" w:pos="3600"/>
        </w:tabs>
        <w:ind w:left="3600" w:hanging="360"/>
      </w:pPr>
      <w:rPr>
        <w:rFonts w:ascii="Courier New" w:hAnsi="Courier New" w:hint="default"/>
      </w:rPr>
    </w:lvl>
    <w:lvl w:ilvl="5" w:tplc="BA363BFC" w:tentative="1">
      <w:start w:val="1"/>
      <w:numFmt w:val="bullet"/>
      <w:lvlText w:val=""/>
      <w:lvlJc w:val="left"/>
      <w:pPr>
        <w:tabs>
          <w:tab w:val="num" w:pos="4320"/>
        </w:tabs>
        <w:ind w:left="4320" w:hanging="360"/>
      </w:pPr>
      <w:rPr>
        <w:rFonts w:ascii="Wingdings" w:hAnsi="Wingdings" w:hint="default"/>
      </w:rPr>
    </w:lvl>
    <w:lvl w:ilvl="6" w:tplc="BB344FF6" w:tentative="1">
      <w:start w:val="1"/>
      <w:numFmt w:val="bullet"/>
      <w:lvlText w:val=""/>
      <w:lvlJc w:val="left"/>
      <w:pPr>
        <w:tabs>
          <w:tab w:val="num" w:pos="5040"/>
        </w:tabs>
        <w:ind w:left="5040" w:hanging="360"/>
      </w:pPr>
      <w:rPr>
        <w:rFonts w:ascii="Symbol" w:hAnsi="Symbol" w:hint="default"/>
      </w:rPr>
    </w:lvl>
    <w:lvl w:ilvl="7" w:tplc="12247482" w:tentative="1">
      <w:start w:val="1"/>
      <w:numFmt w:val="bullet"/>
      <w:lvlText w:val="o"/>
      <w:lvlJc w:val="left"/>
      <w:pPr>
        <w:tabs>
          <w:tab w:val="num" w:pos="5760"/>
        </w:tabs>
        <w:ind w:left="5760" w:hanging="360"/>
      </w:pPr>
      <w:rPr>
        <w:rFonts w:ascii="Courier New" w:hAnsi="Courier New" w:hint="default"/>
      </w:rPr>
    </w:lvl>
    <w:lvl w:ilvl="8" w:tplc="0C00C22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35955189"/>
    <w:multiLevelType w:val="hybridMultilevel"/>
    <w:tmpl w:val="891A21F4"/>
    <w:lvl w:ilvl="0" w:tplc="6D605948">
      <w:start w:val="1"/>
      <w:numFmt w:val="bullet"/>
      <w:lvlText w:val=""/>
      <w:lvlJc w:val="left"/>
      <w:pPr>
        <w:ind w:left="720" w:hanging="360"/>
      </w:pPr>
      <w:rPr>
        <w:rFonts w:ascii="Symbol" w:hAnsi="Symbol" w:hint="default"/>
      </w:rPr>
    </w:lvl>
    <w:lvl w:ilvl="1" w:tplc="966E6306" w:tentative="1">
      <w:start w:val="1"/>
      <w:numFmt w:val="bullet"/>
      <w:lvlText w:val="o"/>
      <w:lvlJc w:val="left"/>
      <w:pPr>
        <w:ind w:left="1440" w:hanging="360"/>
      </w:pPr>
      <w:rPr>
        <w:rFonts w:ascii="Courier New" w:hAnsi="Courier New" w:cs="Courier New" w:hint="default"/>
      </w:rPr>
    </w:lvl>
    <w:lvl w:ilvl="2" w:tplc="539AD0D0" w:tentative="1">
      <w:start w:val="1"/>
      <w:numFmt w:val="bullet"/>
      <w:lvlText w:val=""/>
      <w:lvlJc w:val="left"/>
      <w:pPr>
        <w:ind w:left="2160" w:hanging="360"/>
      </w:pPr>
      <w:rPr>
        <w:rFonts w:ascii="Wingdings" w:hAnsi="Wingdings" w:hint="default"/>
      </w:rPr>
    </w:lvl>
    <w:lvl w:ilvl="3" w:tplc="7528FAFE" w:tentative="1">
      <w:start w:val="1"/>
      <w:numFmt w:val="bullet"/>
      <w:lvlText w:val=""/>
      <w:lvlJc w:val="left"/>
      <w:pPr>
        <w:ind w:left="2880" w:hanging="360"/>
      </w:pPr>
      <w:rPr>
        <w:rFonts w:ascii="Symbol" w:hAnsi="Symbol" w:hint="default"/>
      </w:rPr>
    </w:lvl>
    <w:lvl w:ilvl="4" w:tplc="ADFE7494" w:tentative="1">
      <w:start w:val="1"/>
      <w:numFmt w:val="bullet"/>
      <w:lvlText w:val="o"/>
      <w:lvlJc w:val="left"/>
      <w:pPr>
        <w:ind w:left="3600" w:hanging="360"/>
      </w:pPr>
      <w:rPr>
        <w:rFonts w:ascii="Courier New" w:hAnsi="Courier New" w:cs="Courier New" w:hint="default"/>
      </w:rPr>
    </w:lvl>
    <w:lvl w:ilvl="5" w:tplc="D7403E70" w:tentative="1">
      <w:start w:val="1"/>
      <w:numFmt w:val="bullet"/>
      <w:lvlText w:val=""/>
      <w:lvlJc w:val="left"/>
      <w:pPr>
        <w:ind w:left="4320" w:hanging="360"/>
      </w:pPr>
      <w:rPr>
        <w:rFonts w:ascii="Wingdings" w:hAnsi="Wingdings" w:hint="default"/>
      </w:rPr>
    </w:lvl>
    <w:lvl w:ilvl="6" w:tplc="A84CE0C2" w:tentative="1">
      <w:start w:val="1"/>
      <w:numFmt w:val="bullet"/>
      <w:lvlText w:val=""/>
      <w:lvlJc w:val="left"/>
      <w:pPr>
        <w:ind w:left="5040" w:hanging="360"/>
      </w:pPr>
      <w:rPr>
        <w:rFonts w:ascii="Symbol" w:hAnsi="Symbol" w:hint="default"/>
      </w:rPr>
    </w:lvl>
    <w:lvl w:ilvl="7" w:tplc="3258BE98" w:tentative="1">
      <w:start w:val="1"/>
      <w:numFmt w:val="bullet"/>
      <w:lvlText w:val="o"/>
      <w:lvlJc w:val="left"/>
      <w:pPr>
        <w:ind w:left="5760" w:hanging="360"/>
      </w:pPr>
      <w:rPr>
        <w:rFonts w:ascii="Courier New" w:hAnsi="Courier New" w:cs="Courier New" w:hint="default"/>
      </w:rPr>
    </w:lvl>
    <w:lvl w:ilvl="8" w:tplc="6C0C615A" w:tentative="1">
      <w:start w:val="1"/>
      <w:numFmt w:val="bullet"/>
      <w:lvlText w:val=""/>
      <w:lvlJc w:val="left"/>
      <w:pPr>
        <w:ind w:left="6480" w:hanging="360"/>
      </w:pPr>
      <w:rPr>
        <w:rFonts w:ascii="Wingdings" w:hAnsi="Wingdings" w:hint="default"/>
      </w:rPr>
    </w:lvl>
  </w:abstractNum>
  <w:abstractNum w:abstractNumId="88" w15:restartNumberingAfterBreak="0">
    <w:nsid w:val="37503CA3"/>
    <w:multiLevelType w:val="hybridMultilevel"/>
    <w:tmpl w:val="D518B860"/>
    <w:lvl w:ilvl="0" w:tplc="A33014DC">
      <w:start w:val="1"/>
      <w:numFmt w:val="bullet"/>
      <w:lvlText w:val=""/>
      <w:lvlJc w:val="left"/>
      <w:pPr>
        <w:ind w:left="720" w:hanging="360"/>
      </w:pPr>
      <w:rPr>
        <w:rFonts w:ascii="Symbol" w:hAnsi="Symbol" w:hint="default"/>
      </w:rPr>
    </w:lvl>
    <w:lvl w:ilvl="1" w:tplc="C1D6BAA2" w:tentative="1">
      <w:start w:val="1"/>
      <w:numFmt w:val="bullet"/>
      <w:lvlText w:val="o"/>
      <w:lvlJc w:val="left"/>
      <w:pPr>
        <w:ind w:left="1440" w:hanging="360"/>
      </w:pPr>
      <w:rPr>
        <w:rFonts w:ascii="Courier New" w:hAnsi="Courier New" w:cs="Courier New" w:hint="default"/>
      </w:rPr>
    </w:lvl>
    <w:lvl w:ilvl="2" w:tplc="5EB8350E" w:tentative="1">
      <w:start w:val="1"/>
      <w:numFmt w:val="bullet"/>
      <w:lvlText w:val=""/>
      <w:lvlJc w:val="left"/>
      <w:pPr>
        <w:ind w:left="2160" w:hanging="360"/>
      </w:pPr>
      <w:rPr>
        <w:rFonts w:ascii="Wingdings" w:hAnsi="Wingdings" w:hint="default"/>
      </w:rPr>
    </w:lvl>
    <w:lvl w:ilvl="3" w:tplc="B66C0382" w:tentative="1">
      <w:start w:val="1"/>
      <w:numFmt w:val="bullet"/>
      <w:lvlText w:val=""/>
      <w:lvlJc w:val="left"/>
      <w:pPr>
        <w:ind w:left="2880" w:hanging="360"/>
      </w:pPr>
      <w:rPr>
        <w:rFonts w:ascii="Symbol" w:hAnsi="Symbol" w:hint="default"/>
      </w:rPr>
    </w:lvl>
    <w:lvl w:ilvl="4" w:tplc="E1E80C68" w:tentative="1">
      <w:start w:val="1"/>
      <w:numFmt w:val="bullet"/>
      <w:lvlText w:val="o"/>
      <w:lvlJc w:val="left"/>
      <w:pPr>
        <w:ind w:left="3600" w:hanging="360"/>
      </w:pPr>
      <w:rPr>
        <w:rFonts w:ascii="Courier New" w:hAnsi="Courier New" w:cs="Courier New" w:hint="default"/>
      </w:rPr>
    </w:lvl>
    <w:lvl w:ilvl="5" w:tplc="34A88CD0" w:tentative="1">
      <w:start w:val="1"/>
      <w:numFmt w:val="bullet"/>
      <w:lvlText w:val=""/>
      <w:lvlJc w:val="left"/>
      <w:pPr>
        <w:ind w:left="4320" w:hanging="360"/>
      </w:pPr>
      <w:rPr>
        <w:rFonts w:ascii="Wingdings" w:hAnsi="Wingdings" w:hint="default"/>
      </w:rPr>
    </w:lvl>
    <w:lvl w:ilvl="6" w:tplc="7A7EDA6E" w:tentative="1">
      <w:start w:val="1"/>
      <w:numFmt w:val="bullet"/>
      <w:lvlText w:val=""/>
      <w:lvlJc w:val="left"/>
      <w:pPr>
        <w:ind w:left="5040" w:hanging="360"/>
      </w:pPr>
      <w:rPr>
        <w:rFonts w:ascii="Symbol" w:hAnsi="Symbol" w:hint="default"/>
      </w:rPr>
    </w:lvl>
    <w:lvl w:ilvl="7" w:tplc="2F58A962" w:tentative="1">
      <w:start w:val="1"/>
      <w:numFmt w:val="bullet"/>
      <w:lvlText w:val="o"/>
      <w:lvlJc w:val="left"/>
      <w:pPr>
        <w:ind w:left="5760" w:hanging="360"/>
      </w:pPr>
      <w:rPr>
        <w:rFonts w:ascii="Courier New" w:hAnsi="Courier New" w:cs="Courier New" w:hint="default"/>
      </w:rPr>
    </w:lvl>
    <w:lvl w:ilvl="8" w:tplc="9DF8B0E6" w:tentative="1">
      <w:start w:val="1"/>
      <w:numFmt w:val="bullet"/>
      <w:lvlText w:val=""/>
      <w:lvlJc w:val="left"/>
      <w:pPr>
        <w:ind w:left="6480" w:hanging="360"/>
      </w:pPr>
      <w:rPr>
        <w:rFonts w:ascii="Wingdings" w:hAnsi="Wingdings" w:hint="default"/>
      </w:rPr>
    </w:lvl>
  </w:abstractNum>
  <w:abstractNum w:abstractNumId="89" w15:restartNumberingAfterBreak="0">
    <w:nsid w:val="37C247AA"/>
    <w:multiLevelType w:val="hybridMultilevel"/>
    <w:tmpl w:val="84B460AE"/>
    <w:lvl w:ilvl="0" w:tplc="17BE29CE">
      <w:start w:val="1"/>
      <w:numFmt w:val="bullet"/>
      <w:lvlText w:val=""/>
      <w:lvlJc w:val="left"/>
      <w:pPr>
        <w:ind w:left="1707" w:hanging="360"/>
      </w:pPr>
      <w:rPr>
        <w:rFonts w:ascii="Symbol" w:hAnsi="Symbol" w:hint="default"/>
      </w:rPr>
    </w:lvl>
    <w:lvl w:ilvl="1" w:tplc="22D6ADDE">
      <w:start w:val="1"/>
      <w:numFmt w:val="bullet"/>
      <w:lvlText w:val="o"/>
      <w:lvlJc w:val="left"/>
      <w:pPr>
        <w:ind w:left="2427" w:hanging="360"/>
      </w:pPr>
      <w:rPr>
        <w:rFonts w:ascii="Courier New" w:hAnsi="Courier New" w:cs="Courier New" w:hint="default"/>
      </w:rPr>
    </w:lvl>
    <w:lvl w:ilvl="2" w:tplc="B42A462E" w:tentative="1">
      <w:start w:val="1"/>
      <w:numFmt w:val="bullet"/>
      <w:lvlText w:val=""/>
      <w:lvlJc w:val="left"/>
      <w:pPr>
        <w:ind w:left="3147" w:hanging="360"/>
      </w:pPr>
      <w:rPr>
        <w:rFonts w:ascii="Wingdings" w:hAnsi="Wingdings" w:hint="default"/>
      </w:rPr>
    </w:lvl>
    <w:lvl w:ilvl="3" w:tplc="E312BB80" w:tentative="1">
      <w:start w:val="1"/>
      <w:numFmt w:val="bullet"/>
      <w:lvlText w:val=""/>
      <w:lvlJc w:val="left"/>
      <w:pPr>
        <w:ind w:left="3867" w:hanging="360"/>
      </w:pPr>
      <w:rPr>
        <w:rFonts w:ascii="Symbol" w:hAnsi="Symbol" w:hint="default"/>
      </w:rPr>
    </w:lvl>
    <w:lvl w:ilvl="4" w:tplc="A9B631A6" w:tentative="1">
      <w:start w:val="1"/>
      <w:numFmt w:val="bullet"/>
      <w:lvlText w:val="o"/>
      <w:lvlJc w:val="left"/>
      <w:pPr>
        <w:ind w:left="4587" w:hanging="360"/>
      </w:pPr>
      <w:rPr>
        <w:rFonts w:ascii="Courier New" w:hAnsi="Courier New" w:cs="Courier New" w:hint="default"/>
      </w:rPr>
    </w:lvl>
    <w:lvl w:ilvl="5" w:tplc="00CC1176" w:tentative="1">
      <w:start w:val="1"/>
      <w:numFmt w:val="bullet"/>
      <w:lvlText w:val=""/>
      <w:lvlJc w:val="left"/>
      <w:pPr>
        <w:ind w:left="5307" w:hanging="360"/>
      </w:pPr>
      <w:rPr>
        <w:rFonts w:ascii="Wingdings" w:hAnsi="Wingdings" w:hint="default"/>
      </w:rPr>
    </w:lvl>
    <w:lvl w:ilvl="6" w:tplc="604483BE" w:tentative="1">
      <w:start w:val="1"/>
      <w:numFmt w:val="bullet"/>
      <w:lvlText w:val=""/>
      <w:lvlJc w:val="left"/>
      <w:pPr>
        <w:ind w:left="6027" w:hanging="360"/>
      </w:pPr>
      <w:rPr>
        <w:rFonts w:ascii="Symbol" w:hAnsi="Symbol" w:hint="default"/>
      </w:rPr>
    </w:lvl>
    <w:lvl w:ilvl="7" w:tplc="AF76B126" w:tentative="1">
      <w:start w:val="1"/>
      <w:numFmt w:val="bullet"/>
      <w:lvlText w:val="o"/>
      <w:lvlJc w:val="left"/>
      <w:pPr>
        <w:ind w:left="6747" w:hanging="360"/>
      </w:pPr>
      <w:rPr>
        <w:rFonts w:ascii="Courier New" w:hAnsi="Courier New" w:cs="Courier New" w:hint="default"/>
      </w:rPr>
    </w:lvl>
    <w:lvl w:ilvl="8" w:tplc="A1C44A40" w:tentative="1">
      <w:start w:val="1"/>
      <w:numFmt w:val="bullet"/>
      <w:lvlText w:val=""/>
      <w:lvlJc w:val="left"/>
      <w:pPr>
        <w:ind w:left="7467" w:hanging="360"/>
      </w:pPr>
      <w:rPr>
        <w:rFonts w:ascii="Wingdings" w:hAnsi="Wingdings" w:hint="default"/>
      </w:rPr>
    </w:lvl>
  </w:abstractNum>
  <w:abstractNum w:abstractNumId="90" w15:restartNumberingAfterBreak="0">
    <w:nsid w:val="385B313D"/>
    <w:multiLevelType w:val="hybridMultilevel"/>
    <w:tmpl w:val="41B4F34C"/>
    <w:lvl w:ilvl="0" w:tplc="BFEC7698">
      <w:start w:val="1"/>
      <w:numFmt w:val="bullet"/>
      <w:lvlText w:val=""/>
      <w:lvlJc w:val="left"/>
      <w:pPr>
        <w:tabs>
          <w:tab w:val="num" w:pos="567"/>
        </w:tabs>
        <w:ind w:left="567" w:hanging="567"/>
      </w:pPr>
      <w:rPr>
        <w:rFonts w:ascii="Symbol" w:hAnsi="Symbol" w:hint="default"/>
      </w:rPr>
    </w:lvl>
    <w:lvl w:ilvl="1" w:tplc="067C1158" w:tentative="1">
      <w:start w:val="1"/>
      <w:numFmt w:val="bullet"/>
      <w:lvlText w:val="o"/>
      <w:lvlJc w:val="left"/>
      <w:pPr>
        <w:tabs>
          <w:tab w:val="num" w:pos="1440"/>
        </w:tabs>
        <w:ind w:left="1440" w:hanging="360"/>
      </w:pPr>
      <w:rPr>
        <w:rFonts w:ascii="Courier New" w:hAnsi="Courier New" w:hint="default"/>
      </w:rPr>
    </w:lvl>
    <w:lvl w:ilvl="2" w:tplc="DB84E928" w:tentative="1">
      <w:start w:val="1"/>
      <w:numFmt w:val="bullet"/>
      <w:lvlText w:val=""/>
      <w:lvlJc w:val="left"/>
      <w:pPr>
        <w:tabs>
          <w:tab w:val="num" w:pos="2160"/>
        </w:tabs>
        <w:ind w:left="2160" w:hanging="360"/>
      </w:pPr>
      <w:rPr>
        <w:rFonts w:ascii="Wingdings" w:hAnsi="Wingdings" w:hint="default"/>
      </w:rPr>
    </w:lvl>
    <w:lvl w:ilvl="3" w:tplc="37B4478A" w:tentative="1">
      <w:start w:val="1"/>
      <w:numFmt w:val="bullet"/>
      <w:lvlText w:val=""/>
      <w:lvlJc w:val="left"/>
      <w:pPr>
        <w:tabs>
          <w:tab w:val="num" w:pos="2880"/>
        </w:tabs>
        <w:ind w:left="2880" w:hanging="360"/>
      </w:pPr>
      <w:rPr>
        <w:rFonts w:ascii="Symbol" w:hAnsi="Symbol" w:hint="default"/>
      </w:rPr>
    </w:lvl>
    <w:lvl w:ilvl="4" w:tplc="0F22F786" w:tentative="1">
      <w:start w:val="1"/>
      <w:numFmt w:val="bullet"/>
      <w:lvlText w:val="o"/>
      <w:lvlJc w:val="left"/>
      <w:pPr>
        <w:tabs>
          <w:tab w:val="num" w:pos="3600"/>
        </w:tabs>
        <w:ind w:left="3600" w:hanging="360"/>
      </w:pPr>
      <w:rPr>
        <w:rFonts w:ascii="Courier New" w:hAnsi="Courier New" w:hint="default"/>
      </w:rPr>
    </w:lvl>
    <w:lvl w:ilvl="5" w:tplc="99C22430" w:tentative="1">
      <w:start w:val="1"/>
      <w:numFmt w:val="bullet"/>
      <w:lvlText w:val=""/>
      <w:lvlJc w:val="left"/>
      <w:pPr>
        <w:tabs>
          <w:tab w:val="num" w:pos="4320"/>
        </w:tabs>
        <w:ind w:left="4320" w:hanging="360"/>
      </w:pPr>
      <w:rPr>
        <w:rFonts w:ascii="Wingdings" w:hAnsi="Wingdings" w:hint="default"/>
      </w:rPr>
    </w:lvl>
    <w:lvl w:ilvl="6" w:tplc="BA9A5A82" w:tentative="1">
      <w:start w:val="1"/>
      <w:numFmt w:val="bullet"/>
      <w:lvlText w:val=""/>
      <w:lvlJc w:val="left"/>
      <w:pPr>
        <w:tabs>
          <w:tab w:val="num" w:pos="5040"/>
        </w:tabs>
        <w:ind w:left="5040" w:hanging="360"/>
      </w:pPr>
      <w:rPr>
        <w:rFonts w:ascii="Symbol" w:hAnsi="Symbol" w:hint="default"/>
      </w:rPr>
    </w:lvl>
    <w:lvl w:ilvl="7" w:tplc="BC386718" w:tentative="1">
      <w:start w:val="1"/>
      <w:numFmt w:val="bullet"/>
      <w:lvlText w:val="o"/>
      <w:lvlJc w:val="left"/>
      <w:pPr>
        <w:tabs>
          <w:tab w:val="num" w:pos="5760"/>
        </w:tabs>
        <w:ind w:left="5760" w:hanging="360"/>
      </w:pPr>
      <w:rPr>
        <w:rFonts w:ascii="Courier New" w:hAnsi="Courier New" w:hint="default"/>
      </w:rPr>
    </w:lvl>
    <w:lvl w:ilvl="8" w:tplc="70FCEF38"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39F3595D"/>
    <w:multiLevelType w:val="hybridMultilevel"/>
    <w:tmpl w:val="2C5C0F7A"/>
    <w:lvl w:ilvl="0" w:tplc="13B4589E">
      <w:start w:val="1"/>
      <w:numFmt w:val="bullet"/>
      <w:lvlText w:val=""/>
      <w:lvlJc w:val="left"/>
      <w:pPr>
        <w:ind w:left="720" w:hanging="360"/>
      </w:pPr>
      <w:rPr>
        <w:rFonts w:ascii="Symbol" w:hAnsi="Symbol" w:hint="default"/>
      </w:rPr>
    </w:lvl>
    <w:lvl w:ilvl="1" w:tplc="1988C110" w:tentative="1">
      <w:start w:val="1"/>
      <w:numFmt w:val="bullet"/>
      <w:lvlText w:val="o"/>
      <w:lvlJc w:val="left"/>
      <w:pPr>
        <w:ind w:left="1440" w:hanging="360"/>
      </w:pPr>
      <w:rPr>
        <w:rFonts w:ascii="Courier New" w:hAnsi="Courier New" w:cs="Courier New" w:hint="default"/>
      </w:rPr>
    </w:lvl>
    <w:lvl w:ilvl="2" w:tplc="3EFA897A" w:tentative="1">
      <w:start w:val="1"/>
      <w:numFmt w:val="bullet"/>
      <w:lvlText w:val=""/>
      <w:lvlJc w:val="left"/>
      <w:pPr>
        <w:ind w:left="2160" w:hanging="360"/>
      </w:pPr>
      <w:rPr>
        <w:rFonts w:ascii="Wingdings" w:hAnsi="Wingdings" w:hint="default"/>
      </w:rPr>
    </w:lvl>
    <w:lvl w:ilvl="3" w:tplc="A9EA15FC" w:tentative="1">
      <w:start w:val="1"/>
      <w:numFmt w:val="bullet"/>
      <w:lvlText w:val=""/>
      <w:lvlJc w:val="left"/>
      <w:pPr>
        <w:ind w:left="2880" w:hanging="360"/>
      </w:pPr>
      <w:rPr>
        <w:rFonts w:ascii="Symbol" w:hAnsi="Symbol" w:hint="default"/>
      </w:rPr>
    </w:lvl>
    <w:lvl w:ilvl="4" w:tplc="B93837E6" w:tentative="1">
      <w:start w:val="1"/>
      <w:numFmt w:val="bullet"/>
      <w:lvlText w:val="o"/>
      <w:lvlJc w:val="left"/>
      <w:pPr>
        <w:ind w:left="3600" w:hanging="360"/>
      </w:pPr>
      <w:rPr>
        <w:rFonts w:ascii="Courier New" w:hAnsi="Courier New" w:cs="Courier New" w:hint="default"/>
      </w:rPr>
    </w:lvl>
    <w:lvl w:ilvl="5" w:tplc="DDD86296" w:tentative="1">
      <w:start w:val="1"/>
      <w:numFmt w:val="bullet"/>
      <w:lvlText w:val=""/>
      <w:lvlJc w:val="left"/>
      <w:pPr>
        <w:ind w:left="4320" w:hanging="360"/>
      </w:pPr>
      <w:rPr>
        <w:rFonts w:ascii="Wingdings" w:hAnsi="Wingdings" w:hint="default"/>
      </w:rPr>
    </w:lvl>
    <w:lvl w:ilvl="6" w:tplc="9AB8EC04" w:tentative="1">
      <w:start w:val="1"/>
      <w:numFmt w:val="bullet"/>
      <w:lvlText w:val=""/>
      <w:lvlJc w:val="left"/>
      <w:pPr>
        <w:ind w:left="5040" w:hanging="360"/>
      </w:pPr>
      <w:rPr>
        <w:rFonts w:ascii="Symbol" w:hAnsi="Symbol" w:hint="default"/>
      </w:rPr>
    </w:lvl>
    <w:lvl w:ilvl="7" w:tplc="E7AEB5DE" w:tentative="1">
      <w:start w:val="1"/>
      <w:numFmt w:val="bullet"/>
      <w:lvlText w:val="o"/>
      <w:lvlJc w:val="left"/>
      <w:pPr>
        <w:ind w:left="5760" w:hanging="360"/>
      </w:pPr>
      <w:rPr>
        <w:rFonts w:ascii="Courier New" w:hAnsi="Courier New" w:cs="Courier New" w:hint="default"/>
      </w:rPr>
    </w:lvl>
    <w:lvl w:ilvl="8" w:tplc="8960CC2E" w:tentative="1">
      <w:start w:val="1"/>
      <w:numFmt w:val="bullet"/>
      <w:lvlText w:val=""/>
      <w:lvlJc w:val="left"/>
      <w:pPr>
        <w:ind w:left="6480" w:hanging="360"/>
      </w:pPr>
      <w:rPr>
        <w:rFonts w:ascii="Wingdings" w:hAnsi="Wingdings" w:hint="default"/>
      </w:rPr>
    </w:lvl>
  </w:abstractNum>
  <w:abstractNum w:abstractNumId="92" w15:restartNumberingAfterBreak="0">
    <w:nsid w:val="3A9B1032"/>
    <w:multiLevelType w:val="hybridMultilevel"/>
    <w:tmpl w:val="14CC544E"/>
    <w:lvl w:ilvl="0" w:tplc="312CDA2C">
      <w:start w:val="1"/>
      <w:numFmt w:val="bullet"/>
      <w:lvlText w:val=""/>
      <w:lvlJc w:val="left"/>
      <w:pPr>
        <w:ind w:left="720" w:hanging="360"/>
      </w:pPr>
      <w:rPr>
        <w:rFonts w:ascii="Symbol" w:hAnsi="Symbol" w:hint="default"/>
      </w:rPr>
    </w:lvl>
    <w:lvl w:ilvl="1" w:tplc="4BF09BCC" w:tentative="1">
      <w:start w:val="1"/>
      <w:numFmt w:val="bullet"/>
      <w:lvlText w:val="o"/>
      <w:lvlJc w:val="left"/>
      <w:pPr>
        <w:ind w:left="1440" w:hanging="360"/>
      </w:pPr>
      <w:rPr>
        <w:rFonts w:ascii="Courier New" w:hAnsi="Courier New" w:cs="Courier New" w:hint="default"/>
      </w:rPr>
    </w:lvl>
    <w:lvl w:ilvl="2" w:tplc="6C0C7262" w:tentative="1">
      <w:start w:val="1"/>
      <w:numFmt w:val="bullet"/>
      <w:lvlText w:val=""/>
      <w:lvlJc w:val="left"/>
      <w:pPr>
        <w:ind w:left="2160" w:hanging="360"/>
      </w:pPr>
      <w:rPr>
        <w:rFonts w:ascii="Wingdings" w:hAnsi="Wingdings" w:hint="default"/>
      </w:rPr>
    </w:lvl>
    <w:lvl w:ilvl="3" w:tplc="AE929AEA" w:tentative="1">
      <w:start w:val="1"/>
      <w:numFmt w:val="bullet"/>
      <w:lvlText w:val=""/>
      <w:lvlJc w:val="left"/>
      <w:pPr>
        <w:ind w:left="2880" w:hanging="360"/>
      </w:pPr>
      <w:rPr>
        <w:rFonts w:ascii="Symbol" w:hAnsi="Symbol" w:hint="default"/>
      </w:rPr>
    </w:lvl>
    <w:lvl w:ilvl="4" w:tplc="973ECBC4" w:tentative="1">
      <w:start w:val="1"/>
      <w:numFmt w:val="bullet"/>
      <w:lvlText w:val="o"/>
      <w:lvlJc w:val="left"/>
      <w:pPr>
        <w:ind w:left="3600" w:hanging="360"/>
      </w:pPr>
      <w:rPr>
        <w:rFonts w:ascii="Courier New" w:hAnsi="Courier New" w:cs="Courier New" w:hint="default"/>
      </w:rPr>
    </w:lvl>
    <w:lvl w:ilvl="5" w:tplc="C35AE42A" w:tentative="1">
      <w:start w:val="1"/>
      <w:numFmt w:val="bullet"/>
      <w:lvlText w:val=""/>
      <w:lvlJc w:val="left"/>
      <w:pPr>
        <w:ind w:left="4320" w:hanging="360"/>
      </w:pPr>
      <w:rPr>
        <w:rFonts w:ascii="Wingdings" w:hAnsi="Wingdings" w:hint="default"/>
      </w:rPr>
    </w:lvl>
    <w:lvl w:ilvl="6" w:tplc="9AFAFBA8" w:tentative="1">
      <w:start w:val="1"/>
      <w:numFmt w:val="bullet"/>
      <w:lvlText w:val=""/>
      <w:lvlJc w:val="left"/>
      <w:pPr>
        <w:ind w:left="5040" w:hanging="360"/>
      </w:pPr>
      <w:rPr>
        <w:rFonts w:ascii="Symbol" w:hAnsi="Symbol" w:hint="default"/>
      </w:rPr>
    </w:lvl>
    <w:lvl w:ilvl="7" w:tplc="099C1DCE" w:tentative="1">
      <w:start w:val="1"/>
      <w:numFmt w:val="bullet"/>
      <w:lvlText w:val="o"/>
      <w:lvlJc w:val="left"/>
      <w:pPr>
        <w:ind w:left="5760" w:hanging="360"/>
      </w:pPr>
      <w:rPr>
        <w:rFonts w:ascii="Courier New" w:hAnsi="Courier New" w:cs="Courier New" w:hint="default"/>
      </w:rPr>
    </w:lvl>
    <w:lvl w:ilvl="8" w:tplc="CC78BD34" w:tentative="1">
      <w:start w:val="1"/>
      <w:numFmt w:val="bullet"/>
      <w:lvlText w:val=""/>
      <w:lvlJc w:val="left"/>
      <w:pPr>
        <w:ind w:left="6480" w:hanging="360"/>
      </w:pPr>
      <w:rPr>
        <w:rFonts w:ascii="Wingdings" w:hAnsi="Wingdings" w:hint="default"/>
      </w:rPr>
    </w:lvl>
  </w:abstractNum>
  <w:abstractNum w:abstractNumId="93" w15:restartNumberingAfterBreak="0">
    <w:nsid w:val="3AAF1CAF"/>
    <w:multiLevelType w:val="hybridMultilevel"/>
    <w:tmpl w:val="178830D4"/>
    <w:lvl w:ilvl="0" w:tplc="08B429DA">
      <w:start w:val="1"/>
      <w:numFmt w:val="bullet"/>
      <w:lvlText w:val=""/>
      <w:lvlJc w:val="left"/>
      <w:pPr>
        <w:ind w:left="720" w:hanging="360"/>
      </w:pPr>
      <w:rPr>
        <w:rFonts w:ascii="Symbol" w:hAnsi="Symbol" w:hint="default"/>
      </w:rPr>
    </w:lvl>
    <w:lvl w:ilvl="1" w:tplc="FF808CDA" w:tentative="1">
      <w:start w:val="1"/>
      <w:numFmt w:val="bullet"/>
      <w:lvlText w:val="o"/>
      <w:lvlJc w:val="left"/>
      <w:pPr>
        <w:ind w:left="1440" w:hanging="360"/>
      </w:pPr>
      <w:rPr>
        <w:rFonts w:ascii="Courier New" w:hAnsi="Courier New" w:cs="Courier New" w:hint="default"/>
      </w:rPr>
    </w:lvl>
    <w:lvl w:ilvl="2" w:tplc="0A361A6E" w:tentative="1">
      <w:start w:val="1"/>
      <w:numFmt w:val="bullet"/>
      <w:lvlText w:val=""/>
      <w:lvlJc w:val="left"/>
      <w:pPr>
        <w:ind w:left="2160" w:hanging="360"/>
      </w:pPr>
      <w:rPr>
        <w:rFonts w:ascii="Wingdings" w:hAnsi="Wingdings" w:hint="default"/>
      </w:rPr>
    </w:lvl>
    <w:lvl w:ilvl="3" w:tplc="6F188448" w:tentative="1">
      <w:start w:val="1"/>
      <w:numFmt w:val="bullet"/>
      <w:lvlText w:val=""/>
      <w:lvlJc w:val="left"/>
      <w:pPr>
        <w:ind w:left="2880" w:hanging="360"/>
      </w:pPr>
      <w:rPr>
        <w:rFonts w:ascii="Symbol" w:hAnsi="Symbol" w:hint="default"/>
      </w:rPr>
    </w:lvl>
    <w:lvl w:ilvl="4" w:tplc="62A48CC6" w:tentative="1">
      <w:start w:val="1"/>
      <w:numFmt w:val="bullet"/>
      <w:lvlText w:val="o"/>
      <w:lvlJc w:val="left"/>
      <w:pPr>
        <w:ind w:left="3600" w:hanging="360"/>
      </w:pPr>
      <w:rPr>
        <w:rFonts w:ascii="Courier New" w:hAnsi="Courier New" w:cs="Courier New" w:hint="default"/>
      </w:rPr>
    </w:lvl>
    <w:lvl w:ilvl="5" w:tplc="25A45B08" w:tentative="1">
      <w:start w:val="1"/>
      <w:numFmt w:val="bullet"/>
      <w:lvlText w:val=""/>
      <w:lvlJc w:val="left"/>
      <w:pPr>
        <w:ind w:left="4320" w:hanging="360"/>
      </w:pPr>
      <w:rPr>
        <w:rFonts w:ascii="Wingdings" w:hAnsi="Wingdings" w:hint="default"/>
      </w:rPr>
    </w:lvl>
    <w:lvl w:ilvl="6" w:tplc="B066EBA2" w:tentative="1">
      <w:start w:val="1"/>
      <w:numFmt w:val="bullet"/>
      <w:lvlText w:val=""/>
      <w:lvlJc w:val="left"/>
      <w:pPr>
        <w:ind w:left="5040" w:hanging="360"/>
      </w:pPr>
      <w:rPr>
        <w:rFonts w:ascii="Symbol" w:hAnsi="Symbol" w:hint="default"/>
      </w:rPr>
    </w:lvl>
    <w:lvl w:ilvl="7" w:tplc="41DE3758" w:tentative="1">
      <w:start w:val="1"/>
      <w:numFmt w:val="bullet"/>
      <w:lvlText w:val="o"/>
      <w:lvlJc w:val="left"/>
      <w:pPr>
        <w:ind w:left="5760" w:hanging="360"/>
      </w:pPr>
      <w:rPr>
        <w:rFonts w:ascii="Courier New" w:hAnsi="Courier New" w:cs="Courier New" w:hint="default"/>
      </w:rPr>
    </w:lvl>
    <w:lvl w:ilvl="8" w:tplc="9DF09B70" w:tentative="1">
      <w:start w:val="1"/>
      <w:numFmt w:val="bullet"/>
      <w:lvlText w:val=""/>
      <w:lvlJc w:val="left"/>
      <w:pPr>
        <w:ind w:left="6480" w:hanging="360"/>
      </w:pPr>
      <w:rPr>
        <w:rFonts w:ascii="Wingdings" w:hAnsi="Wingdings" w:hint="default"/>
      </w:rPr>
    </w:lvl>
  </w:abstractNum>
  <w:abstractNum w:abstractNumId="94" w15:restartNumberingAfterBreak="0">
    <w:nsid w:val="3B2E19D9"/>
    <w:multiLevelType w:val="hybridMultilevel"/>
    <w:tmpl w:val="877C3D04"/>
    <w:lvl w:ilvl="0" w:tplc="CC3CCCCE">
      <w:start w:val="1"/>
      <w:numFmt w:val="bullet"/>
      <w:lvlText w:val=""/>
      <w:lvlJc w:val="left"/>
      <w:pPr>
        <w:tabs>
          <w:tab w:val="num" w:pos="720"/>
        </w:tabs>
        <w:ind w:left="720" w:hanging="360"/>
      </w:pPr>
      <w:rPr>
        <w:rFonts w:ascii="Symbol" w:hAnsi="Symbol" w:hint="default"/>
      </w:rPr>
    </w:lvl>
    <w:lvl w:ilvl="1" w:tplc="906C155C" w:tentative="1">
      <w:start w:val="1"/>
      <w:numFmt w:val="bullet"/>
      <w:lvlText w:val="o"/>
      <w:lvlJc w:val="left"/>
      <w:pPr>
        <w:tabs>
          <w:tab w:val="num" w:pos="1440"/>
        </w:tabs>
        <w:ind w:left="1440" w:hanging="360"/>
      </w:pPr>
      <w:rPr>
        <w:rFonts w:ascii="Courier New" w:hAnsi="Courier New" w:hint="default"/>
      </w:rPr>
    </w:lvl>
    <w:lvl w:ilvl="2" w:tplc="EA64A6F0" w:tentative="1">
      <w:start w:val="1"/>
      <w:numFmt w:val="bullet"/>
      <w:lvlText w:val=""/>
      <w:lvlJc w:val="left"/>
      <w:pPr>
        <w:tabs>
          <w:tab w:val="num" w:pos="2160"/>
        </w:tabs>
        <w:ind w:left="2160" w:hanging="360"/>
      </w:pPr>
      <w:rPr>
        <w:rFonts w:ascii="Wingdings" w:hAnsi="Wingdings" w:hint="default"/>
      </w:rPr>
    </w:lvl>
    <w:lvl w:ilvl="3" w:tplc="D1AE96B0" w:tentative="1">
      <w:start w:val="1"/>
      <w:numFmt w:val="bullet"/>
      <w:lvlText w:val=""/>
      <w:lvlJc w:val="left"/>
      <w:pPr>
        <w:tabs>
          <w:tab w:val="num" w:pos="2880"/>
        </w:tabs>
        <w:ind w:left="2880" w:hanging="360"/>
      </w:pPr>
      <w:rPr>
        <w:rFonts w:ascii="Symbol" w:hAnsi="Symbol" w:hint="default"/>
      </w:rPr>
    </w:lvl>
    <w:lvl w:ilvl="4" w:tplc="7E90DA4E" w:tentative="1">
      <w:start w:val="1"/>
      <w:numFmt w:val="bullet"/>
      <w:lvlText w:val="o"/>
      <w:lvlJc w:val="left"/>
      <w:pPr>
        <w:tabs>
          <w:tab w:val="num" w:pos="3600"/>
        </w:tabs>
        <w:ind w:left="3600" w:hanging="360"/>
      </w:pPr>
      <w:rPr>
        <w:rFonts w:ascii="Courier New" w:hAnsi="Courier New" w:hint="default"/>
      </w:rPr>
    </w:lvl>
    <w:lvl w:ilvl="5" w:tplc="9F065216" w:tentative="1">
      <w:start w:val="1"/>
      <w:numFmt w:val="bullet"/>
      <w:lvlText w:val=""/>
      <w:lvlJc w:val="left"/>
      <w:pPr>
        <w:tabs>
          <w:tab w:val="num" w:pos="4320"/>
        </w:tabs>
        <w:ind w:left="4320" w:hanging="360"/>
      </w:pPr>
      <w:rPr>
        <w:rFonts w:ascii="Wingdings" w:hAnsi="Wingdings" w:hint="default"/>
      </w:rPr>
    </w:lvl>
    <w:lvl w:ilvl="6" w:tplc="8A2C26F4" w:tentative="1">
      <w:start w:val="1"/>
      <w:numFmt w:val="bullet"/>
      <w:lvlText w:val=""/>
      <w:lvlJc w:val="left"/>
      <w:pPr>
        <w:tabs>
          <w:tab w:val="num" w:pos="5040"/>
        </w:tabs>
        <w:ind w:left="5040" w:hanging="360"/>
      </w:pPr>
      <w:rPr>
        <w:rFonts w:ascii="Symbol" w:hAnsi="Symbol" w:hint="default"/>
      </w:rPr>
    </w:lvl>
    <w:lvl w:ilvl="7" w:tplc="A7840AE6" w:tentative="1">
      <w:start w:val="1"/>
      <w:numFmt w:val="bullet"/>
      <w:lvlText w:val="o"/>
      <w:lvlJc w:val="left"/>
      <w:pPr>
        <w:tabs>
          <w:tab w:val="num" w:pos="5760"/>
        </w:tabs>
        <w:ind w:left="5760" w:hanging="360"/>
      </w:pPr>
      <w:rPr>
        <w:rFonts w:ascii="Courier New" w:hAnsi="Courier New" w:hint="default"/>
      </w:rPr>
    </w:lvl>
    <w:lvl w:ilvl="8" w:tplc="6088E070"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3BC77894"/>
    <w:multiLevelType w:val="hybridMultilevel"/>
    <w:tmpl w:val="7AAE017E"/>
    <w:lvl w:ilvl="0" w:tplc="EF46D29E">
      <w:start w:val="1"/>
      <w:numFmt w:val="bullet"/>
      <w:lvlText w:val=""/>
      <w:lvlJc w:val="left"/>
      <w:pPr>
        <w:ind w:left="1350" w:hanging="360"/>
      </w:pPr>
      <w:rPr>
        <w:rFonts w:ascii="Symbol" w:hAnsi="Symbol" w:hint="default"/>
      </w:rPr>
    </w:lvl>
    <w:lvl w:ilvl="1" w:tplc="78C4764E" w:tentative="1">
      <w:start w:val="1"/>
      <w:numFmt w:val="bullet"/>
      <w:lvlText w:val="o"/>
      <w:lvlJc w:val="left"/>
      <w:pPr>
        <w:ind w:left="2070" w:hanging="360"/>
      </w:pPr>
      <w:rPr>
        <w:rFonts w:ascii="Courier New" w:hAnsi="Courier New" w:cs="Courier New" w:hint="default"/>
      </w:rPr>
    </w:lvl>
    <w:lvl w:ilvl="2" w:tplc="FC9204F0" w:tentative="1">
      <w:start w:val="1"/>
      <w:numFmt w:val="bullet"/>
      <w:lvlText w:val=""/>
      <w:lvlJc w:val="left"/>
      <w:pPr>
        <w:ind w:left="2790" w:hanging="360"/>
      </w:pPr>
      <w:rPr>
        <w:rFonts w:ascii="Wingdings" w:hAnsi="Wingdings" w:hint="default"/>
      </w:rPr>
    </w:lvl>
    <w:lvl w:ilvl="3" w:tplc="E54AED1E" w:tentative="1">
      <w:start w:val="1"/>
      <w:numFmt w:val="bullet"/>
      <w:lvlText w:val=""/>
      <w:lvlJc w:val="left"/>
      <w:pPr>
        <w:ind w:left="3510" w:hanging="360"/>
      </w:pPr>
      <w:rPr>
        <w:rFonts w:ascii="Symbol" w:hAnsi="Symbol" w:hint="default"/>
      </w:rPr>
    </w:lvl>
    <w:lvl w:ilvl="4" w:tplc="44E0BE40" w:tentative="1">
      <w:start w:val="1"/>
      <w:numFmt w:val="bullet"/>
      <w:lvlText w:val="o"/>
      <w:lvlJc w:val="left"/>
      <w:pPr>
        <w:ind w:left="4230" w:hanging="360"/>
      </w:pPr>
      <w:rPr>
        <w:rFonts w:ascii="Courier New" w:hAnsi="Courier New" w:cs="Courier New" w:hint="default"/>
      </w:rPr>
    </w:lvl>
    <w:lvl w:ilvl="5" w:tplc="28FCC332" w:tentative="1">
      <w:start w:val="1"/>
      <w:numFmt w:val="bullet"/>
      <w:lvlText w:val=""/>
      <w:lvlJc w:val="left"/>
      <w:pPr>
        <w:ind w:left="4950" w:hanging="360"/>
      </w:pPr>
      <w:rPr>
        <w:rFonts w:ascii="Wingdings" w:hAnsi="Wingdings" w:hint="default"/>
      </w:rPr>
    </w:lvl>
    <w:lvl w:ilvl="6" w:tplc="F5067434" w:tentative="1">
      <w:start w:val="1"/>
      <w:numFmt w:val="bullet"/>
      <w:lvlText w:val=""/>
      <w:lvlJc w:val="left"/>
      <w:pPr>
        <w:ind w:left="5670" w:hanging="360"/>
      </w:pPr>
      <w:rPr>
        <w:rFonts w:ascii="Symbol" w:hAnsi="Symbol" w:hint="default"/>
      </w:rPr>
    </w:lvl>
    <w:lvl w:ilvl="7" w:tplc="4A1C9EFC" w:tentative="1">
      <w:start w:val="1"/>
      <w:numFmt w:val="bullet"/>
      <w:lvlText w:val="o"/>
      <w:lvlJc w:val="left"/>
      <w:pPr>
        <w:ind w:left="6390" w:hanging="360"/>
      </w:pPr>
      <w:rPr>
        <w:rFonts w:ascii="Courier New" w:hAnsi="Courier New" w:cs="Courier New" w:hint="default"/>
      </w:rPr>
    </w:lvl>
    <w:lvl w:ilvl="8" w:tplc="99723E24" w:tentative="1">
      <w:start w:val="1"/>
      <w:numFmt w:val="bullet"/>
      <w:lvlText w:val=""/>
      <w:lvlJc w:val="left"/>
      <w:pPr>
        <w:ind w:left="7110" w:hanging="360"/>
      </w:pPr>
      <w:rPr>
        <w:rFonts w:ascii="Wingdings" w:hAnsi="Wingdings" w:hint="default"/>
      </w:rPr>
    </w:lvl>
  </w:abstractNum>
  <w:abstractNum w:abstractNumId="96" w15:restartNumberingAfterBreak="0">
    <w:nsid w:val="3C542FEE"/>
    <w:multiLevelType w:val="hybridMultilevel"/>
    <w:tmpl w:val="513619DC"/>
    <w:lvl w:ilvl="0" w:tplc="A5E83BA4">
      <w:start w:val="1"/>
      <w:numFmt w:val="bullet"/>
      <w:lvlText w:val=""/>
      <w:lvlJc w:val="left"/>
      <w:pPr>
        <w:ind w:left="720" w:hanging="360"/>
      </w:pPr>
      <w:rPr>
        <w:rFonts w:ascii="Symbol" w:hAnsi="Symbol" w:hint="default"/>
        <w:sz w:val="22"/>
      </w:rPr>
    </w:lvl>
    <w:lvl w:ilvl="1" w:tplc="6524B2CC" w:tentative="1">
      <w:start w:val="1"/>
      <w:numFmt w:val="bullet"/>
      <w:lvlText w:val="o"/>
      <w:lvlJc w:val="left"/>
      <w:pPr>
        <w:ind w:left="1440" w:hanging="360"/>
      </w:pPr>
      <w:rPr>
        <w:rFonts w:ascii="Courier New" w:hAnsi="Courier New" w:cs="Courier New" w:hint="default"/>
      </w:rPr>
    </w:lvl>
    <w:lvl w:ilvl="2" w:tplc="F1F026EC" w:tentative="1">
      <w:start w:val="1"/>
      <w:numFmt w:val="bullet"/>
      <w:lvlText w:val=""/>
      <w:lvlJc w:val="left"/>
      <w:pPr>
        <w:ind w:left="2160" w:hanging="360"/>
      </w:pPr>
      <w:rPr>
        <w:rFonts w:ascii="Wingdings" w:hAnsi="Wingdings" w:hint="default"/>
      </w:rPr>
    </w:lvl>
    <w:lvl w:ilvl="3" w:tplc="918640AC" w:tentative="1">
      <w:start w:val="1"/>
      <w:numFmt w:val="bullet"/>
      <w:lvlText w:val=""/>
      <w:lvlJc w:val="left"/>
      <w:pPr>
        <w:ind w:left="2880" w:hanging="360"/>
      </w:pPr>
      <w:rPr>
        <w:rFonts w:ascii="Symbol" w:hAnsi="Symbol" w:hint="default"/>
      </w:rPr>
    </w:lvl>
    <w:lvl w:ilvl="4" w:tplc="891EEB86" w:tentative="1">
      <w:start w:val="1"/>
      <w:numFmt w:val="bullet"/>
      <w:lvlText w:val="o"/>
      <w:lvlJc w:val="left"/>
      <w:pPr>
        <w:ind w:left="3600" w:hanging="360"/>
      </w:pPr>
      <w:rPr>
        <w:rFonts w:ascii="Courier New" w:hAnsi="Courier New" w:cs="Courier New" w:hint="default"/>
      </w:rPr>
    </w:lvl>
    <w:lvl w:ilvl="5" w:tplc="19B46D50" w:tentative="1">
      <w:start w:val="1"/>
      <w:numFmt w:val="bullet"/>
      <w:lvlText w:val=""/>
      <w:lvlJc w:val="left"/>
      <w:pPr>
        <w:ind w:left="4320" w:hanging="360"/>
      </w:pPr>
      <w:rPr>
        <w:rFonts w:ascii="Wingdings" w:hAnsi="Wingdings" w:hint="default"/>
      </w:rPr>
    </w:lvl>
    <w:lvl w:ilvl="6" w:tplc="1F78BAC2" w:tentative="1">
      <w:start w:val="1"/>
      <w:numFmt w:val="bullet"/>
      <w:lvlText w:val=""/>
      <w:lvlJc w:val="left"/>
      <w:pPr>
        <w:ind w:left="5040" w:hanging="360"/>
      </w:pPr>
      <w:rPr>
        <w:rFonts w:ascii="Symbol" w:hAnsi="Symbol" w:hint="default"/>
      </w:rPr>
    </w:lvl>
    <w:lvl w:ilvl="7" w:tplc="1D9A0350" w:tentative="1">
      <w:start w:val="1"/>
      <w:numFmt w:val="bullet"/>
      <w:lvlText w:val="o"/>
      <w:lvlJc w:val="left"/>
      <w:pPr>
        <w:ind w:left="5760" w:hanging="360"/>
      </w:pPr>
      <w:rPr>
        <w:rFonts w:ascii="Courier New" w:hAnsi="Courier New" w:cs="Courier New" w:hint="default"/>
      </w:rPr>
    </w:lvl>
    <w:lvl w:ilvl="8" w:tplc="50EE5158" w:tentative="1">
      <w:start w:val="1"/>
      <w:numFmt w:val="bullet"/>
      <w:lvlText w:val=""/>
      <w:lvlJc w:val="left"/>
      <w:pPr>
        <w:ind w:left="6480" w:hanging="360"/>
      </w:pPr>
      <w:rPr>
        <w:rFonts w:ascii="Wingdings" w:hAnsi="Wingdings" w:hint="default"/>
      </w:rPr>
    </w:lvl>
  </w:abstractNum>
  <w:abstractNum w:abstractNumId="97" w15:restartNumberingAfterBreak="0">
    <w:nsid w:val="3C7234A7"/>
    <w:multiLevelType w:val="multilevel"/>
    <w:tmpl w:val="B1E08776"/>
    <w:lvl w:ilvl="0">
      <w:start w:val="1"/>
      <w:numFmt w:val="lowerLetter"/>
      <w:lvlText w:val="%1"/>
      <w:lvlJc w:val="left"/>
      <w:pPr>
        <w:ind w:left="720" w:hanging="720"/>
      </w:pPr>
      <w:rPr>
        <w:rFonts w:ascii="Times New Roman" w:hAnsi="Times New Roman" w:cs="Times New Roman" w:hint="default"/>
        <w:b w:val="0"/>
        <w:i w:val="0"/>
        <w:caps w:val="0"/>
        <w:sz w:val="16"/>
        <w:szCs w:val="16"/>
        <w:u w:val="none"/>
        <w:vertAlign w:val="superscrip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numFmt w:val="none"/>
      <w:lvlText w:val=""/>
      <w:lvlJc w:val="left"/>
      <w:pPr>
        <w:tabs>
          <w:tab w:val="num" w:pos="360"/>
        </w:tabs>
        <w:ind w:left="0"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3D0777C5"/>
    <w:multiLevelType w:val="hybridMultilevel"/>
    <w:tmpl w:val="289099DE"/>
    <w:lvl w:ilvl="0" w:tplc="CA9EC0D8">
      <w:start w:val="1"/>
      <w:numFmt w:val="bullet"/>
      <w:lvlText w:val="-"/>
      <w:lvlJc w:val="left"/>
      <w:pPr>
        <w:tabs>
          <w:tab w:val="num" w:pos="360"/>
        </w:tabs>
        <w:ind w:left="357" w:hanging="357"/>
      </w:pPr>
      <w:rPr>
        <w:rFonts w:hint="default"/>
      </w:rPr>
    </w:lvl>
    <w:lvl w:ilvl="1" w:tplc="ADDC5AA8" w:tentative="1">
      <w:start w:val="1"/>
      <w:numFmt w:val="bullet"/>
      <w:lvlText w:val="o"/>
      <w:lvlJc w:val="left"/>
      <w:pPr>
        <w:tabs>
          <w:tab w:val="num" w:pos="1440"/>
        </w:tabs>
        <w:ind w:left="1440" w:hanging="360"/>
      </w:pPr>
      <w:rPr>
        <w:rFonts w:ascii="Courier New" w:hAnsi="Courier New" w:hint="default"/>
      </w:rPr>
    </w:lvl>
    <w:lvl w:ilvl="2" w:tplc="381E23B4" w:tentative="1">
      <w:start w:val="1"/>
      <w:numFmt w:val="bullet"/>
      <w:lvlText w:val=""/>
      <w:lvlJc w:val="left"/>
      <w:pPr>
        <w:tabs>
          <w:tab w:val="num" w:pos="2160"/>
        </w:tabs>
        <w:ind w:left="2160" w:hanging="360"/>
      </w:pPr>
      <w:rPr>
        <w:rFonts w:ascii="Wingdings" w:hAnsi="Wingdings" w:hint="default"/>
      </w:rPr>
    </w:lvl>
    <w:lvl w:ilvl="3" w:tplc="30EAC62A" w:tentative="1">
      <w:start w:val="1"/>
      <w:numFmt w:val="bullet"/>
      <w:lvlText w:val=""/>
      <w:lvlJc w:val="left"/>
      <w:pPr>
        <w:tabs>
          <w:tab w:val="num" w:pos="2880"/>
        </w:tabs>
        <w:ind w:left="2880" w:hanging="360"/>
      </w:pPr>
      <w:rPr>
        <w:rFonts w:ascii="Symbol" w:hAnsi="Symbol" w:hint="default"/>
      </w:rPr>
    </w:lvl>
    <w:lvl w:ilvl="4" w:tplc="C144F8F8" w:tentative="1">
      <w:start w:val="1"/>
      <w:numFmt w:val="bullet"/>
      <w:lvlText w:val="o"/>
      <w:lvlJc w:val="left"/>
      <w:pPr>
        <w:tabs>
          <w:tab w:val="num" w:pos="3600"/>
        </w:tabs>
        <w:ind w:left="3600" w:hanging="360"/>
      </w:pPr>
      <w:rPr>
        <w:rFonts w:ascii="Courier New" w:hAnsi="Courier New" w:hint="default"/>
      </w:rPr>
    </w:lvl>
    <w:lvl w:ilvl="5" w:tplc="C63A505A" w:tentative="1">
      <w:start w:val="1"/>
      <w:numFmt w:val="bullet"/>
      <w:lvlText w:val=""/>
      <w:lvlJc w:val="left"/>
      <w:pPr>
        <w:tabs>
          <w:tab w:val="num" w:pos="4320"/>
        </w:tabs>
        <w:ind w:left="4320" w:hanging="360"/>
      </w:pPr>
      <w:rPr>
        <w:rFonts w:ascii="Wingdings" w:hAnsi="Wingdings" w:hint="default"/>
      </w:rPr>
    </w:lvl>
    <w:lvl w:ilvl="6" w:tplc="FA80B0B2" w:tentative="1">
      <w:start w:val="1"/>
      <w:numFmt w:val="bullet"/>
      <w:lvlText w:val=""/>
      <w:lvlJc w:val="left"/>
      <w:pPr>
        <w:tabs>
          <w:tab w:val="num" w:pos="5040"/>
        </w:tabs>
        <w:ind w:left="5040" w:hanging="360"/>
      </w:pPr>
      <w:rPr>
        <w:rFonts w:ascii="Symbol" w:hAnsi="Symbol" w:hint="default"/>
      </w:rPr>
    </w:lvl>
    <w:lvl w:ilvl="7" w:tplc="2A94CEBE" w:tentative="1">
      <w:start w:val="1"/>
      <w:numFmt w:val="bullet"/>
      <w:lvlText w:val="o"/>
      <w:lvlJc w:val="left"/>
      <w:pPr>
        <w:tabs>
          <w:tab w:val="num" w:pos="5760"/>
        </w:tabs>
        <w:ind w:left="5760" w:hanging="360"/>
      </w:pPr>
      <w:rPr>
        <w:rFonts w:ascii="Courier New" w:hAnsi="Courier New" w:hint="default"/>
      </w:rPr>
    </w:lvl>
    <w:lvl w:ilvl="8" w:tplc="0BD64AAC"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3D2C02FC"/>
    <w:multiLevelType w:val="hybridMultilevel"/>
    <w:tmpl w:val="9F6A3B8C"/>
    <w:lvl w:ilvl="0" w:tplc="91E21628">
      <w:start w:val="1"/>
      <w:numFmt w:val="bullet"/>
      <w:lvlText w:val=""/>
      <w:lvlJc w:val="left"/>
      <w:pPr>
        <w:ind w:left="720" w:hanging="360"/>
      </w:pPr>
      <w:rPr>
        <w:rFonts w:ascii="Symbol" w:hAnsi="Symbol" w:hint="default"/>
      </w:rPr>
    </w:lvl>
    <w:lvl w:ilvl="1" w:tplc="395AAA0C" w:tentative="1">
      <w:start w:val="1"/>
      <w:numFmt w:val="bullet"/>
      <w:lvlText w:val="o"/>
      <w:lvlJc w:val="left"/>
      <w:pPr>
        <w:ind w:left="1440" w:hanging="360"/>
      </w:pPr>
      <w:rPr>
        <w:rFonts w:ascii="Courier New" w:hAnsi="Courier New" w:cs="Courier New" w:hint="default"/>
      </w:rPr>
    </w:lvl>
    <w:lvl w:ilvl="2" w:tplc="FF422E38">
      <w:start w:val="1"/>
      <w:numFmt w:val="bullet"/>
      <w:lvlText w:val=""/>
      <w:lvlJc w:val="left"/>
      <w:pPr>
        <w:ind w:left="2160" w:hanging="360"/>
      </w:pPr>
      <w:rPr>
        <w:rFonts w:ascii="Symbol" w:hAnsi="Symbol" w:hint="default"/>
      </w:rPr>
    </w:lvl>
    <w:lvl w:ilvl="3" w:tplc="9B62A302" w:tentative="1">
      <w:start w:val="1"/>
      <w:numFmt w:val="bullet"/>
      <w:lvlText w:val=""/>
      <w:lvlJc w:val="left"/>
      <w:pPr>
        <w:ind w:left="2880" w:hanging="360"/>
      </w:pPr>
      <w:rPr>
        <w:rFonts w:ascii="Symbol" w:hAnsi="Symbol" w:hint="default"/>
      </w:rPr>
    </w:lvl>
    <w:lvl w:ilvl="4" w:tplc="FDAA2962" w:tentative="1">
      <w:start w:val="1"/>
      <w:numFmt w:val="bullet"/>
      <w:lvlText w:val="o"/>
      <w:lvlJc w:val="left"/>
      <w:pPr>
        <w:ind w:left="3600" w:hanging="360"/>
      </w:pPr>
      <w:rPr>
        <w:rFonts w:ascii="Courier New" w:hAnsi="Courier New" w:cs="Courier New" w:hint="default"/>
      </w:rPr>
    </w:lvl>
    <w:lvl w:ilvl="5" w:tplc="07A49BFE" w:tentative="1">
      <w:start w:val="1"/>
      <w:numFmt w:val="bullet"/>
      <w:lvlText w:val=""/>
      <w:lvlJc w:val="left"/>
      <w:pPr>
        <w:ind w:left="4320" w:hanging="360"/>
      </w:pPr>
      <w:rPr>
        <w:rFonts w:ascii="Wingdings" w:hAnsi="Wingdings" w:hint="default"/>
      </w:rPr>
    </w:lvl>
    <w:lvl w:ilvl="6" w:tplc="F4E46148" w:tentative="1">
      <w:start w:val="1"/>
      <w:numFmt w:val="bullet"/>
      <w:lvlText w:val=""/>
      <w:lvlJc w:val="left"/>
      <w:pPr>
        <w:ind w:left="5040" w:hanging="360"/>
      </w:pPr>
      <w:rPr>
        <w:rFonts w:ascii="Symbol" w:hAnsi="Symbol" w:hint="default"/>
      </w:rPr>
    </w:lvl>
    <w:lvl w:ilvl="7" w:tplc="9E6C0996" w:tentative="1">
      <w:start w:val="1"/>
      <w:numFmt w:val="bullet"/>
      <w:lvlText w:val="o"/>
      <w:lvlJc w:val="left"/>
      <w:pPr>
        <w:ind w:left="5760" w:hanging="360"/>
      </w:pPr>
      <w:rPr>
        <w:rFonts w:ascii="Courier New" w:hAnsi="Courier New" w:cs="Courier New" w:hint="default"/>
      </w:rPr>
    </w:lvl>
    <w:lvl w:ilvl="8" w:tplc="1CA06622" w:tentative="1">
      <w:start w:val="1"/>
      <w:numFmt w:val="bullet"/>
      <w:lvlText w:val=""/>
      <w:lvlJc w:val="left"/>
      <w:pPr>
        <w:ind w:left="6480" w:hanging="360"/>
      </w:pPr>
      <w:rPr>
        <w:rFonts w:ascii="Wingdings" w:hAnsi="Wingdings" w:hint="default"/>
      </w:rPr>
    </w:lvl>
  </w:abstractNum>
  <w:abstractNum w:abstractNumId="100" w15:restartNumberingAfterBreak="0">
    <w:nsid w:val="3D535987"/>
    <w:multiLevelType w:val="hybridMultilevel"/>
    <w:tmpl w:val="CA48C544"/>
    <w:lvl w:ilvl="0" w:tplc="70B4226E">
      <w:start w:val="1"/>
      <w:numFmt w:val="bullet"/>
      <w:lvlText w:val=""/>
      <w:lvlJc w:val="left"/>
      <w:pPr>
        <w:tabs>
          <w:tab w:val="num" w:pos="1440"/>
        </w:tabs>
        <w:ind w:left="1440" w:hanging="360"/>
      </w:pPr>
      <w:rPr>
        <w:rFonts w:ascii="Symbol" w:hAnsi="Symbol" w:hint="default"/>
      </w:rPr>
    </w:lvl>
    <w:lvl w:ilvl="1" w:tplc="5704A214">
      <w:start w:val="1"/>
      <w:numFmt w:val="bullet"/>
      <w:lvlText w:val=""/>
      <w:lvlJc w:val="left"/>
      <w:pPr>
        <w:tabs>
          <w:tab w:val="num" w:pos="567"/>
        </w:tabs>
        <w:ind w:left="567" w:hanging="567"/>
      </w:pPr>
      <w:rPr>
        <w:rFonts w:ascii="Symbol" w:hAnsi="Symbol" w:hint="default"/>
      </w:rPr>
    </w:lvl>
    <w:lvl w:ilvl="2" w:tplc="7BE47B28">
      <w:start w:val="1"/>
      <w:numFmt w:val="bullet"/>
      <w:lvlText w:val=""/>
      <w:lvlJc w:val="left"/>
      <w:pPr>
        <w:tabs>
          <w:tab w:val="num" w:pos="3240"/>
        </w:tabs>
        <w:ind w:left="3240" w:hanging="360"/>
      </w:pPr>
      <w:rPr>
        <w:rFonts w:ascii="Symbol" w:hAnsi="Symbol" w:hint="default"/>
      </w:rPr>
    </w:lvl>
    <w:lvl w:ilvl="3" w:tplc="4F04ABB4" w:tentative="1">
      <w:start w:val="1"/>
      <w:numFmt w:val="bullet"/>
      <w:lvlText w:val=""/>
      <w:lvlJc w:val="left"/>
      <w:pPr>
        <w:tabs>
          <w:tab w:val="num" w:pos="3960"/>
        </w:tabs>
        <w:ind w:left="3960" w:hanging="360"/>
      </w:pPr>
      <w:rPr>
        <w:rFonts w:ascii="Symbol" w:hAnsi="Symbol" w:hint="default"/>
      </w:rPr>
    </w:lvl>
    <w:lvl w:ilvl="4" w:tplc="CBA63D5C" w:tentative="1">
      <w:start w:val="1"/>
      <w:numFmt w:val="bullet"/>
      <w:lvlText w:val="o"/>
      <w:lvlJc w:val="left"/>
      <w:pPr>
        <w:tabs>
          <w:tab w:val="num" w:pos="4680"/>
        </w:tabs>
        <w:ind w:left="4680" w:hanging="360"/>
      </w:pPr>
      <w:rPr>
        <w:rFonts w:ascii="Courier New" w:hAnsi="Courier New" w:hint="default"/>
      </w:rPr>
    </w:lvl>
    <w:lvl w:ilvl="5" w:tplc="41CA6B02" w:tentative="1">
      <w:start w:val="1"/>
      <w:numFmt w:val="bullet"/>
      <w:lvlText w:val=""/>
      <w:lvlJc w:val="left"/>
      <w:pPr>
        <w:tabs>
          <w:tab w:val="num" w:pos="5400"/>
        </w:tabs>
        <w:ind w:left="5400" w:hanging="360"/>
      </w:pPr>
      <w:rPr>
        <w:rFonts w:ascii="Wingdings" w:hAnsi="Wingdings" w:hint="default"/>
      </w:rPr>
    </w:lvl>
    <w:lvl w:ilvl="6" w:tplc="B91843F8" w:tentative="1">
      <w:start w:val="1"/>
      <w:numFmt w:val="bullet"/>
      <w:lvlText w:val=""/>
      <w:lvlJc w:val="left"/>
      <w:pPr>
        <w:tabs>
          <w:tab w:val="num" w:pos="6120"/>
        </w:tabs>
        <w:ind w:left="6120" w:hanging="360"/>
      </w:pPr>
      <w:rPr>
        <w:rFonts w:ascii="Symbol" w:hAnsi="Symbol" w:hint="default"/>
      </w:rPr>
    </w:lvl>
    <w:lvl w:ilvl="7" w:tplc="F4B8EFD6" w:tentative="1">
      <w:start w:val="1"/>
      <w:numFmt w:val="bullet"/>
      <w:lvlText w:val="o"/>
      <w:lvlJc w:val="left"/>
      <w:pPr>
        <w:tabs>
          <w:tab w:val="num" w:pos="6840"/>
        </w:tabs>
        <w:ind w:left="6840" w:hanging="360"/>
      </w:pPr>
      <w:rPr>
        <w:rFonts w:ascii="Courier New" w:hAnsi="Courier New" w:hint="default"/>
      </w:rPr>
    </w:lvl>
    <w:lvl w:ilvl="8" w:tplc="774E4E1C" w:tentative="1">
      <w:start w:val="1"/>
      <w:numFmt w:val="bullet"/>
      <w:lvlText w:val=""/>
      <w:lvlJc w:val="left"/>
      <w:pPr>
        <w:tabs>
          <w:tab w:val="num" w:pos="7560"/>
        </w:tabs>
        <w:ind w:left="7560" w:hanging="360"/>
      </w:pPr>
      <w:rPr>
        <w:rFonts w:ascii="Wingdings" w:hAnsi="Wingdings" w:hint="default"/>
      </w:rPr>
    </w:lvl>
  </w:abstractNum>
  <w:abstractNum w:abstractNumId="101" w15:restartNumberingAfterBreak="0">
    <w:nsid w:val="3F711E55"/>
    <w:multiLevelType w:val="hybridMultilevel"/>
    <w:tmpl w:val="D680642E"/>
    <w:lvl w:ilvl="0" w:tplc="7E924A14">
      <w:start w:val="38"/>
      <w:numFmt w:val="bullet"/>
      <w:lvlText w:val="-"/>
      <w:lvlJc w:val="left"/>
      <w:pPr>
        <w:tabs>
          <w:tab w:val="num" w:pos="567"/>
        </w:tabs>
        <w:ind w:left="567" w:hanging="567"/>
      </w:pPr>
      <w:rPr>
        <w:rFonts w:hint="default"/>
      </w:rPr>
    </w:lvl>
    <w:lvl w:ilvl="1" w:tplc="31E479AE">
      <w:start w:val="1"/>
      <w:numFmt w:val="bullet"/>
      <w:lvlText w:val="o"/>
      <w:lvlJc w:val="left"/>
      <w:pPr>
        <w:tabs>
          <w:tab w:val="num" w:pos="1440"/>
        </w:tabs>
        <w:ind w:left="1440" w:hanging="360"/>
      </w:pPr>
      <w:rPr>
        <w:rFonts w:ascii="Courier New" w:hAnsi="Courier New" w:hint="default"/>
      </w:rPr>
    </w:lvl>
    <w:lvl w:ilvl="2" w:tplc="8D4E4C56" w:tentative="1">
      <w:start w:val="1"/>
      <w:numFmt w:val="bullet"/>
      <w:lvlText w:val=""/>
      <w:lvlJc w:val="left"/>
      <w:pPr>
        <w:tabs>
          <w:tab w:val="num" w:pos="2160"/>
        </w:tabs>
        <w:ind w:left="2160" w:hanging="360"/>
      </w:pPr>
      <w:rPr>
        <w:rFonts w:ascii="Wingdings" w:hAnsi="Wingdings" w:hint="default"/>
      </w:rPr>
    </w:lvl>
    <w:lvl w:ilvl="3" w:tplc="EA34931C" w:tentative="1">
      <w:start w:val="1"/>
      <w:numFmt w:val="bullet"/>
      <w:lvlText w:val=""/>
      <w:lvlJc w:val="left"/>
      <w:pPr>
        <w:tabs>
          <w:tab w:val="num" w:pos="2880"/>
        </w:tabs>
        <w:ind w:left="2880" w:hanging="360"/>
      </w:pPr>
      <w:rPr>
        <w:rFonts w:ascii="Symbol" w:hAnsi="Symbol" w:hint="default"/>
      </w:rPr>
    </w:lvl>
    <w:lvl w:ilvl="4" w:tplc="0206FF62" w:tentative="1">
      <w:start w:val="1"/>
      <w:numFmt w:val="bullet"/>
      <w:lvlText w:val="o"/>
      <w:lvlJc w:val="left"/>
      <w:pPr>
        <w:tabs>
          <w:tab w:val="num" w:pos="3600"/>
        </w:tabs>
        <w:ind w:left="3600" w:hanging="360"/>
      </w:pPr>
      <w:rPr>
        <w:rFonts w:ascii="Courier New" w:hAnsi="Courier New" w:hint="default"/>
      </w:rPr>
    </w:lvl>
    <w:lvl w:ilvl="5" w:tplc="052E36B6" w:tentative="1">
      <w:start w:val="1"/>
      <w:numFmt w:val="bullet"/>
      <w:lvlText w:val=""/>
      <w:lvlJc w:val="left"/>
      <w:pPr>
        <w:tabs>
          <w:tab w:val="num" w:pos="4320"/>
        </w:tabs>
        <w:ind w:left="4320" w:hanging="360"/>
      </w:pPr>
      <w:rPr>
        <w:rFonts w:ascii="Wingdings" w:hAnsi="Wingdings" w:hint="default"/>
      </w:rPr>
    </w:lvl>
    <w:lvl w:ilvl="6" w:tplc="3BF807B2" w:tentative="1">
      <w:start w:val="1"/>
      <w:numFmt w:val="bullet"/>
      <w:lvlText w:val=""/>
      <w:lvlJc w:val="left"/>
      <w:pPr>
        <w:tabs>
          <w:tab w:val="num" w:pos="5040"/>
        </w:tabs>
        <w:ind w:left="5040" w:hanging="360"/>
      </w:pPr>
      <w:rPr>
        <w:rFonts w:ascii="Symbol" w:hAnsi="Symbol" w:hint="default"/>
      </w:rPr>
    </w:lvl>
    <w:lvl w:ilvl="7" w:tplc="A7D40896" w:tentative="1">
      <w:start w:val="1"/>
      <w:numFmt w:val="bullet"/>
      <w:lvlText w:val="o"/>
      <w:lvlJc w:val="left"/>
      <w:pPr>
        <w:tabs>
          <w:tab w:val="num" w:pos="5760"/>
        </w:tabs>
        <w:ind w:left="5760" w:hanging="360"/>
      </w:pPr>
      <w:rPr>
        <w:rFonts w:ascii="Courier New" w:hAnsi="Courier New" w:hint="default"/>
      </w:rPr>
    </w:lvl>
    <w:lvl w:ilvl="8" w:tplc="AFA6E4CC"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40971C01"/>
    <w:multiLevelType w:val="hybridMultilevel"/>
    <w:tmpl w:val="2592D8EA"/>
    <w:lvl w:ilvl="0" w:tplc="A970C86E">
      <w:start w:val="1"/>
      <w:numFmt w:val="bullet"/>
      <w:lvlText w:val=""/>
      <w:lvlJc w:val="left"/>
      <w:pPr>
        <w:ind w:left="720" w:hanging="360"/>
      </w:pPr>
      <w:rPr>
        <w:rFonts w:ascii="Symbol" w:hAnsi="Symbol" w:hint="default"/>
      </w:rPr>
    </w:lvl>
    <w:lvl w:ilvl="1" w:tplc="BE02EFD6" w:tentative="1">
      <w:start w:val="1"/>
      <w:numFmt w:val="bullet"/>
      <w:lvlText w:val="o"/>
      <w:lvlJc w:val="left"/>
      <w:pPr>
        <w:ind w:left="1440" w:hanging="360"/>
      </w:pPr>
      <w:rPr>
        <w:rFonts w:ascii="Courier New" w:hAnsi="Courier New" w:cs="Courier New" w:hint="default"/>
      </w:rPr>
    </w:lvl>
    <w:lvl w:ilvl="2" w:tplc="8EE09758" w:tentative="1">
      <w:start w:val="1"/>
      <w:numFmt w:val="bullet"/>
      <w:lvlText w:val=""/>
      <w:lvlJc w:val="left"/>
      <w:pPr>
        <w:ind w:left="2160" w:hanging="360"/>
      </w:pPr>
      <w:rPr>
        <w:rFonts w:ascii="Wingdings" w:hAnsi="Wingdings" w:hint="default"/>
      </w:rPr>
    </w:lvl>
    <w:lvl w:ilvl="3" w:tplc="B0A078E8" w:tentative="1">
      <w:start w:val="1"/>
      <w:numFmt w:val="bullet"/>
      <w:lvlText w:val=""/>
      <w:lvlJc w:val="left"/>
      <w:pPr>
        <w:ind w:left="2880" w:hanging="360"/>
      </w:pPr>
      <w:rPr>
        <w:rFonts w:ascii="Symbol" w:hAnsi="Symbol" w:hint="default"/>
      </w:rPr>
    </w:lvl>
    <w:lvl w:ilvl="4" w:tplc="F2B6F9BC" w:tentative="1">
      <w:start w:val="1"/>
      <w:numFmt w:val="bullet"/>
      <w:lvlText w:val="o"/>
      <w:lvlJc w:val="left"/>
      <w:pPr>
        <w:ind w:left="3600" w:hanging="360"/>
      </w:pPr>
      <w:rPr>
        <w:rFonts w:ascii="Courier New" w:hAnsi="Courier New" w:cs="Courier New" w:hint="default"/>
      </w:rPr>
    </w:lvl>
    <w:lvl w:ilvl="5" w:tplc="55C25202" w:tentative="1">
      <w:start w:val="1"/>
      <w:numFmt w:val="bullet"/>
      <w:lvlText w:val=""/>
      <w:lvlJc w:val="left"/>
      <w:pPr>
        <w:ind w:left="4320" w:hanging="360"/>
      </w:pPr>
      <w:rPr>
        <w:rFonts w:ascii="Wingdings" w:hAnsi="Wingdings" w:hint="default"/>
      </w:rPr>
    </w:lvl>
    <w:lvl w:ilvl="6" w:tplc="961E7AFC" w:tentative="1">
      <w:start w:val="1"/>
      <w:numFmt w:val="bullet"/>
      <w:lvlText w:val=""/>
      <w:lvlJc w:val="left"/>
      <w:pPr>
        <w:ind w:left="5040" w:hanging="360"/>
      </w:pPr>
      <w:rPr>
        <w:rFonts w:ascii="Symbol" w:hAnsi="Symbol" w:hint="default"/>
      </w:rPr>
    </w:lvl>
    <w:lvl w:ilvl="7" w:tplc="9CB09F8C" w:tentative="1">
      <w:start w:val="1"/>
      <w:numFmt w:val="bullet"/>
      <w:lvlText w:val="o"/>
      <w:lvlJc w:val="left"/>
      <w:pPr>
        <w:ind w:left="5760" w:hanging="360"/>
      </w:pPr>
      <w:rPr>
        <w:rFonts w:ascii="Courier New" w:hAnsi="Courier New" w:cs="Courier New" w:hint="default"/>
      </w:rPr>
    </w:lvl>
    <w:lvl w:ilvl="8" w:tplc="4B06923C" w:tentative="1">
      <w:start w:val="1"/>
      <w:numFmt w:val="bullet"/>
      <w:lvlText w:val=""/>
      <w:lvlJc w:val="left"/>
      <w:pPr>
        <w:ind w:left="6480" w:hanging="360"/>
      </w:pPr>
      <w:rPr>
        <w:rFonts w:ascii="Wingdings" w:hAnsi="Wingdings" w:hint="default"/>
      </w:rPr>
    </w:lvl>
  </w:abstractNum>
  <w:abstractNum w:abstractNumId="103" w15:restartNumberingAfterBreak="0">
    <w:nsid w:val="40BB0610"/>
    <w:multiLevelType w:val="hybridMultilevel"/>
    <w:tmpl w:val="7BF49ECE"/>
    <w:lvl w:ilvl="0" w:tplc="638C7538">
      <w:start w:val="1"/>
      <w:numFmt w:val="bullet"/>
      <w:lvlText w:val=""/>
      <w:lvlJc w:val="left"/>
      <w:pPr>
        <w:ind w:left="720" w:hanging="360"/>
      </w:pPr>
      <w:rPr>
        <w:rFonts w:ascii="Symbol" w:hAnsi="Symbol" w:hint="default"/>
      </w:rPr>
    </w:lvl>
    <w:lvl w:ilvl="1" w:tplc="48C081E6" w:tentative="1">
      <w:start w:val="1"/>
      <w:numFmt w:val="bullet"/>
      <w:lvlText w:val="o"/>
      <w:lvlJc w:val="left"/>
      <w:pPr>
        <w:ind w:left="1440" w:hanging="360"/>
      </w:pPr>
      <w:rPr>
        <w:rFonts w:ascii="Courier New" w:hAnsi="Courier New" w:cs="Courier New" w:hint="default"/>
      </w:rPr>
    </w:lvl>
    <w:lvl w:ilvl="2" w:tplc="DD267BBE" w:tentative="1">
      <w:start w:val="1"/>
      <w:numFmt w:val="bullet"/>
      <w:lvlText w:val=""/>
      <w:lvlJc w:val="left"/>
      <w:pPr>
        <w:ind w:left="2160" w:hanging="360"/>
      </w:pPr>
      <w:rPr>
        <w:rFonts w:ascii="Wingdings" w:hAnsi="Wingdings" w:hint="default"/>
      </w:rPr>
    </w:lvl>
    <w:lvl w:ilvl="3" w:tplc="860029AE" w:tentative="1">
      <w:start w:val="1"/>
      <w:numFmt w:val="bullet"/>
      <w:lvlText w:val=""/>
      <w:lvlJc w:val="left"/>
      <w:pPr>
        <w:ind w:left="2880" w:hanging="360"/>
      </w:pPr>
      <w:rPr>
        <w:rFonts w:ascii="Symbol" w:hAnsi="Symbol" w:hint="default"/>
      </w:rPr>
    </w:lvl>
    <w:lvl w:ilvl="4" w:tplc="59DA600A" w:tentative="1">
      <w:start w:val="1"/>
      <w:numFmt w:val="bullet"/>
      <w:lvlText w:val="o"/>
      <w:lvlJc w:val="left"/>
      <w:pPr>
        <w:ind w:left="3600" w:hanging="360"/>
      </w:pPr>
      <w:rPr>
        <w:rFonts w:ascii="Courier New" w:hAnsi="Courier New" w:cs="Courier New" w:hint="default"/>
      </w:rPr>
    </w:lvl>
    <w:lvl w:ilvl="5" w:tplc="B866B45E" w:tentative="1">
      <w:start w:val="1"/>
      <w:numFmt w:val="bullet"/>
      <w:lvlText w:val=""/>
      <w:lvlJc w:val="left"/>
      <w:pPr>
        <w:ind w:left="4320" w:hanging="360"/>
      </w:pPr>
      <w:rPr>
        <w:rFonts w:ascii="Wingdings" w:hAnsi="Wingdings" w:hint="default"/>
      </w:rPr>
    </w:lvl>
    <w:lvl w:ilvl="6" w:tplc="EBAE1F48" w:tentative="1">
      <w:start w:val="1"/>
      <w:numFmt w:val="bullet"/>
      <w:lvlText w:val=""/>
      <w:lvlJc w:val="left"/>
      <w:pPr>
        <w:ind w:left="5040" w:hanging="360"/>
      </w:pPr>
      <w:rPr>
        <w:rFonts w:ascii="Symbol" w:hAnsi="Symbol" w:hint="default"/>
      </w:rPr>
    </w:lvl>
    <w:lvl w:ilvl="7" w:tplc="6CB27312" w:tentative="1">
      <w:start w:val="1"/>
      <w:numFmt w:val="bullet"/>
      <w:lvlText w:val="o"/>
      <w:lvlJc w:val="left"/>
      <w:pPr>
        <w:ind w:left="5760" w:hanging="360"/>
      </w:pPr>
      <w:rPr>
        <w:rFonts w:ascii="Courier New" w:hAnsi="Courier New" w:cs="Courier New" w:hint="default"/>
      </w:rPr>
    </w:lvl>
    <w:lvl w:ilvl="8" w:tplc="FF34028C" w:tentative="1">
      <w:start w:val="1"/>
      <w:numFmt w:val="bullet"/>
      <w:lvlText w:val=""/>
      <w:lvlJc w:val="left"/>
      <w:pPr>
        <w:ind w:left="6480" w:hanging="360"/>
      </w:pPr>
      <w:rPr>
        <w:rFonts w:ascii="Wingdings" w:hAnsi="Wingdings" w:hint="default"/>
      </w:rPr>
    </w:lvl>
  </w:abstractNum>
  <w:abstractNum w:abstractNumId="104" w15:restartNumberingAfterBreak="0">
    <w:nsid w:val="40E54B09"/>
    <w:multiLevelType w:val="hybridMultilevel"/>
    <w:tmpl w:val="28E680C8"/>
    <w:lvl w:ilvl="0" w:tplc="09EC03BA">
      <w:start w:val="1"/>
      <w:numFmt w:val="bullet"/>
      <w:lvlText w:val=""/>
      <w:lvlJc w:val="left"/>
      <w:pPr>
        <w:tabs>
          <w:tab w:val="num" w:pos="720"/>
        </w:tabs>
        <w:ind w:left="720" w:hanging="360"/>
      </w:pPr>
      <w:rPr>
        <w:rFonts w:ascii="Symbol" w:hAnsi="Symbol" w:hint="default"/>
      </w:rPr>
    </w:lvl>
    <w:lvl w:ilvl="1" w:tplc="71E0F848">
      <w:start w:val="1"/>
      <w:numFmt w:val="bullet"/>
      <w:lvlText w:val=""/>
      <w:lvlJc w:val="left"/>
      <w:pPr>
        <w:tabs>
          <w:tab w:val="num" w:pos="1440"/>
        </w:tabs>
        <w:ind w:left="1440" w:hanging="360"/>
      </w:pPr>
      <w:rPr>
        <w:rFonts w:ascii="Symbol" w:hAnsi="Symbol" w:hint="default"/>
      </w:rPr>
    </w:lvl>
    <w:lvl w:ilvl="2" w:tplc="739CC070" w:tentative="1">
      <w:start w:val="1"/>
      <w:numFmt w:val="bullet"/>
      <w:lvlText w:val=""/>
      <w:lvlJc w:val="left"/>
      <w:pPr>
        <w:tabs>
          <w:tab w:val="num" w:pos="2160"/>
        </w:tabs>
        <w:ind w:left="2160" w:hanging="360"/>
      </w:pPr>
      <w:rPr>
        <w:rFonts w:ascii="Wingdings" w:hAnsi="Wingdings" w:hint="default"/>
      </w:rPr>
    </w:lvl>
    <w:lvl w:ilvl="3" w:tplc="081A4632" w:tentative="1">
      <w:start w:val="1"/>
      <w:numFmt w:val="bullet"/>
      <w:lvlText w:val=""/>
      <w:lvlJc w:val="left"/>
      <w:pPr>
        <w:tabs>
          <w:tab w:val="num" w:pos="2880"/>
        </w:tabs>
        <w:ind w:left="2880" w:hanging="360"/>
      </w:pPr>
      <w:rPr>
        <w:rFonts w:ascii="Symbol" w:hAnsi="Symbol" w:hint="default"/>
      </w:rPr>
    </w:lvl>
    <w:lvl w:ilvl="4" w:tplc="4882027C" w:tentative="1">
      <w:start w:val="1"/>
      <w:numFmt w:val="bullet"/>
      <w:lvlText w:val="o"/>
      <w:lvlJc w:val="left"/>
      <w:pPr>
        <w:tabs>
          <w:tab w:val="num" w:pos="3600"/>
        </w:tabs>
        <w:ind w:left="3600" w:hanging="360"/>
      </w:pPr>
      <w:rPr>
        <w:rFonts w:ascii="Courier New" w:hAnsi="Courier New" w:hint="default"/>
      </w:rPr>
    </w:lvl>
    <w:lvl w:ilvl="5" w:tplc="C3A8B9BA" w:tentative="1">
      <w:start w:val="1"/>
      <w:numFmt w:val="bullet"/>
      <w:lvlText w:val=""/>
      <w:lvlJc w:val="left"/>
      <w:pPr>
        <w:tabs>
          <w:tab w:val="num" w:pos="4320"/>
        </w:tabs>
        <w:ind w:left="4320" w:hanging="360"/>
      </w:pPr>
      <w:rPr>
        <w:rFonts w:ascii="Wingdings" w:hAnsi="Wingdings" w:hint="default"/>
      </w:rPr>
    </w:lvl>
    <w:lvl w:ilvl="6" w:tplc="CB7867F8" w:tentative="1">
      <w:start w:val="1"/>
      <w:numFmt w:val="bullet"/>
      <w:lvlText w:val=""/>
      <w:lvlJc w:val="left"/>
      <w:pPr>
        <w:tabs>
          <w:tab w:val="num" w:pos="5040"/>
        </w:tabs>
        <w:ind w:left="5040" w:hanging="360"/>
      </w:pPr>
      <w:rPr>
        <w:rFonts w:ascii="Symbol" w:hAnsi="Symbol" w:hint="default"/>
      </w:rPr>
    </w:lvl>
    <w:lvl w:ilvl="7" w:tplc="EB7C762A" w:tentative="1">
      <w:start w:val="1"/>
      <w:numFmt w:val="bullet"/>
      <w:lvlText w:val="o"/>
      <w:lvlJc w:val="left"/>
      <w:pPr>
        <w:tabs>
          <w:tab w:val="num" w:pos="5760"/>
        </w:tabs>
        <w:ind w:left="5760" w:hanging="360"/>
      </w:pPr>
      <w:rPr>
        <w:rFonts w:ascii="Courier New" w:hAnsi="Courier New" w:hint="default"/>
      </w:rPr>
    </w:lvl>
    <w:lvl w:ilvl="8" w:tplc="C80273B2"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42410736"/>
    <w:multiLevelType w:val="hybridMultilevel"/>
    <w:tmpl w:val="19E48ED0"/>
    <w:lvl w:ilvl="0" w:tplc="BD82DCA2">
      <w:start w:val="1"/>
      <w:numFmt w:val="bullet"/>
      <w:lvlText w:val=""/>
      <w:lvlJc w:val="left"/>
      <w:pPr>
        <w:ind w:left="720" w:hanging="360"/>
      </w:pPr>
      <w:rPr>
        <w:rFonts w:ascii="Symbol" w:hAnsi="Symbol" w:hint="default"/>
        <w:sz w:val="22"/>
      </w:rPr>
    </w:lvl>
    <w:lvl w:ilvl="1" w:tplc="F66C229C" w:tentative="1">
      <w:start w:val="1"/>
      <w:numFmt w:val="bullet"/>
      <w:lvlText w:val="o"/>
      <w:lvlJc w:val="left"/>
      <w:pPr>
        <w:ind w:left="1440" w:hanging="360"/>
      </w:pPr>
      <w:rPr>
        <w:rFonts w:ascii="Courier New" w:hAnsi="Courier New" w:cs="Courier New" w:hint="default"/>
      </w:rPr>
    </w:lvl>
    <w:lvl w:ilvl="2" w:tplc="05A4CB12" w:tentative="1">
      <w:start w:val="1"/>
      <w:numFmt w:val="bullet"/>
      <w:lvlText w:val=""/>
      <w:lvlJc w:val="left"/>
      <w:pPr>
        <w:ind w:left="2160" w:hanging="360"/>
      </w:pPr>
      <w:rPr>
        <w:rFonts w:ascii="Wingdings" w:hAnsi="Wingdings" w:hint="default"/>
      </w:rPr>
    </w:lvl>
    <w:lvl w:ilvl="3" w:tplc="EBF82980" w:tentative="1">
      <w:start w:val="1"/>
      <w:numFmt w:val="bullet"/>
      <w:lvlText w:val=""/>
      <w:lvlJc w:val="left"/>
      <w:pPr>
        <w:ind w:left="2880" w:hanging="360"/>
      </w:pPr>
      <w:rPr>
        <w:rFonts w:ascii="Symbol" w:hAnsi="Symbol" w:hint="default"/>
      </w:rPr>
    </w:lvl>
    <w:lvl w:ilvl="4" w:tplc="96CC8062" w:tentative="1">
      <w:start w:val="1"/>
      <w:numFmt w:val="bullet"/>
      <w:lvlText w:val="o"/>
      <w:lvlJc w:val="left"/>
      <w:pPr>
        <w:ind w:left="3600" w:hanging="360"/>
      </w:pPr>
      <w:rPr>
        <w:rFonts w:ascii="Courier New" w:hAnsi="Courier New" w:cs="Courier New" w:hint="default"/>
      </w:rPr>
    </w:lvl>
    <w:lvl w:ilvl="5" w:tplc="9ED0231C" w:tentative="1">
      <w:start w:val="1"/>
      <w:numFmt w:val="bullet"/>
      <w:lvlText w:val=""/>
      <w:lvlJc w:val="left"/>
      <w:pPr>
        <w:ind w:left="4320" w:hanging="360"/>
      </w:pPr>
      <w:rPr>
        <w:rFonts w:ascii="Wingdings" w:hAnsi="Wingdings" w:hint="default"/>
      </w:rPr>
    </w:lvl>
    <w:lvl w:ilvl="6" w:tplc="34C017D0" w:tentative="1">
      <w:start w:val="1"/>
      <w:numFmt w:val="bullet"/>
      <w:lvlText w:val=""/>
      <w:lvlJc w:val="left"/>
      <w:pPr>
        <w:ind w:left="5040" w:hanging="360"/>
      </w:pPr>
      <w:rPr>
        <w:rFonts w:ascii="Symbol" w:hAnsi="Symbol" w:hint="default"/>
      </w:rPr>
    </w:lvl>
    <w:lvl w:ilvl="7" w:tplc="10805E98" w:tentative="1">
      <w:start w:val="1"/>
      <w:numFmt w:val="bullet"/>
      <w:lvlText w:val="o"/>
      <w:lvlJc w:val="left"/>
      <w:pPr>
        <w:ind w:left="5760" w:hanging="360"/>
      </w:pPr>
      <w:rPr>
        <w:rFonts w:ascii="Courier New" w:hAnsi="Courier New" w:cs="Courier New" w:hint="default"/>
      </w:rPr>
    </w:lvl>
    <w:lvl w:ilvl="8" w:tplc="842AC88C" w:tentative="1">
      <w:start w:val="1"/>
      <w:numFmt w:val="bullet"/>
      <w:lvlText w:val=""/>
      <w:lvlJc w:val="left"/>
      <w:pPr>
        <w:ind w:left="6480" w:hanging="360"/>
      </w:pPr>
      <w:rPr>
        <w:rFonts w:ascii="Wingdings" w:hAnsi="Wingdings" w:hint="default"/>
      </w:rPr>
    </w:lvl>
  </w:abstractNum>
  <w:abstractNum w:abstractNumId="106" w15:restartNumberingAfterBreak="0">
    <w:nsid w:val="425D334C"/>
    <w:multiLevelType w:val="hybridMultilevel"/>
    <w:tmpl w:val="2C8EA9C6"/>
    <w:lvl w:ilvl="0" w:tplc="25E64F9E">
      <w:start w:val="1"/>
      <w:numFmt w:val="bullet"/>
      <w:lvlText w:val=""/>
      <w:lvlJc w:val="left"/>
      <w:pPr>
        <w:ind w:left="720" w:hanging="360"/>
      </w:pPr>
      <w:rPr>
        <w:rFonts w:ascii="Symbol" w:hAnsi="Symbol" w:hint="default"/>
        <w:sz w:val="22"/>
      </w:rPr>
    </w:lvl>
    <w:lvl w:ilvl="1" w:tplc="E4504E1A" w:tentative="1">
      <w:start w:val="1"/>
      <w:numFmt w:val="bullet"/>
      <w:lvlText w:val="o"/>
      <w:lvlJc w:val="left"/>
      <w:pPr>
        <w:ind w:left="1440" w:hanging="360"/>
      </w:pPr>
      <w:rPr>
        <w:rFonts w:ascii="Courier New" w:hAnsi="Courier New" w:cs="Courier New" w:hint="default"/>
      </w:rPr>
    </w:lvl>
    <w:lvl w:ilvl="2" w:tplc="C6369F2A" w:tentative="1">
      <w:start w:val="1"/>
      <w:numFmt w:val="bullet"/>
      <w:lvlText w:val=""/>
      <w:lvlJc w:val="left"/>
      <w:pPr>
        <w:ind w:left="2160" w:hanging="360"/>
      </w:pPr>
      <w:rPr>
        <w:rFonts w:ascii="Wingdings" w:hAnsi="Wingdings" w:hint="default"/>
      </w:rPr>
    </w:lvl>
    <w:lvl w:ilvl="3" w:tplc="A55C58F6" w:tentative="1">
      <w:start w:val="1"/>
      <w:numFmt w:val="bullet"/>
      <w:lvlText w:val=""/>
      <w:lvlJc w:val="left"/>
      <w:pPr>
        <w:ind w:left="2880" w:hanging="360"/>
      </w:pPr>
      <w:rPr>
        <w:rFonts w:ascii="Symbol" w:hAnsi="Symbol" w:hint="default"/>
      </w:rPr>
    </w:lvl>
    <w:lvl w:ilvl="4" w:tplc="36188D50" w:tentative="1">
      <w:start w:val="1"/>
      <w:numFmt w:val="bullet"/>
      <w:lvlText w:val="o"/>
      <w:lvlJc w:val="left"/>
      <w:pPr>
        <w:ind w:left="3600" w:hanging="360"/>
      </w:pPr>
      <w:rPr>
        <w:rFonts w:ascii="Courier New" w:hAnsi="Courier New" w:cs="Courier New" w:hint="default"/>
      </w:rPr>
    </w:lvl>
    <w:lvl w:ilvl="5" w:tplc="AD7ABF4A" w:tentative="1">
      <w:start w:val="1"/>
      <w:numFmt w:val="bullet"/>
      <w:lvlText w:val=""/>
      <w:lvlJc w:val="left"/>
      <w:pPr>
        <w:ind w:left="4320" w:hanging="360"/>
      </w:pPr>
      <w:rPr>
        <w:rFonts w:ascii="Wingdings" w:hAnsi="Wingdings" w:hint="default"/>
      </w:rPr>
    </w:lvl>
    <w:lvl w:ilvl="6" w:tplc="32D0D38C" w:tentative="1">
      <w:start w:val="1"/>
      <w:numFmt w:val="bullet"/>
      <w:lvlText w:val=""/>
      <w:lvlJc w:val="left"/>
      <w:pPr>
        <w:ind w:left="5040" w:hanging="360"/>
      </w:pPr>
      <w:rPr>
        <w:rFonts w:ascii="Symbol" w:hAnsi="Symbol" w:hint="default"/>
      </w:rPr>
    </w:lvl>
    <w:lvl w:ilvl="7" w:tplc="2302469E" w:tentative="1">
      <w:start w:val="1"/>
      <w:numFmt w:val="bullet"/>
      <w:lvlText w:val="o"/>
      <w:lvlJc w:val="left"/>
      <w:pPr>
        <w:ind w:left="5760" w:hanging="360"/>
      </w:pPr>
      <w:rPr>
        <w:rFonts w:ascii="Courier New" w:hAnsi="Courier New" w:cs="Courier New" w:hint="default"/>
      </w:rPr>
    </w:lvl>
    <w:lvl w:ilvl="8" w:tplc="84728398" w:tentative="1">
      <w:start w:val="1"/>
      <w:numFmt w:val="bullet"/>
      <w:lvlText w:val=""/>
      <w:lvlJc w:val="left"/>
      <w:pPr>
        <w:ind w:left="6480" w:hanging="360"/>
      </w:pPr>
      <w:rPr>
        <w:rFonts w:ascii="Wingdings" w:hAnsi="Wingdings" w:hint="default"/>
      </w:rPr>
    </w:lvl>
  </w:abstractNum>
  <w:abstractNum w:abstractNumId="107" w15:restartNumberingAfterBreak="0">
    <w:nsid w:val="430D0E95"/>
    <w:multiLevelType w:val="multilevel"/>
    <w:tmpl w:val="A3383FCE"/>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08" w15:restartNumberingAfterBreak="0">
    <w:nsid w:val="430D0FFD"/>
    <w:multiLevelType w:val="hybridMultilevel"/>
    <w:tmpl w:val="1C96FCF4"/>
    <w:lvl w:ilvl="0" w:tplc="D6F41176">
      <w:start w:val="1"/>
      <w:numFmt w:val="bullet"/>
      <w:lvlText w:val=""/>
      <w:lvlJc w:val="left"/>
      <w:pPr>
        <w:ind w:left="720" w:hanging="360"/>
      </w:pPr>
      <w:rPr>
        <w:rFonts w:ascii="Symbol" w:hAnsi="Symbol" w:hint="default"/>
      </w:rPr>
    </w:lvl>
    <w:lvl w:ilvl="1" w:tplc="5202B160" w:tentative="1">
      <w:start w:val="1"/>
      <w:numFmt w:val="bullet"/>
      <w:lvlText w:val="o"/>
      <w:lvlJc w:val="left"/>
      <w:pPr>
        <w:ind w:left="1440" w:hanging="360"/>
      </w:pPr>
      <w:rPr>
        <w:rFonts w:ascii="Courier New" w:hAnsi="Courier New" w:cs="Courier New" w:hint="default"/>
      </w:rPr>
    </w:lvl>
    <w:lvl w:ilvl="2" w:tplc="2884BA50" w:tentative="1">
      <w:start w:val="1"/>
      <w:numFmt w:val="bullet"/>
      <w:lvlText w:val=""/>
      <w:lvlJc w:val="left"/>
      <w:pPr>
        <w:ind w:left="2160" w:hanging="360"/>
      </w:pPr>
      <w:rPr>
        <w:rFonts w:ascii="Wingdings" w:hAnsi="Wingdings" w:hint="default"/>
      </w:rPr>
    </w:lvl>
    <w:lvl w:ilvl="3" w:tplc="2F6CBE84" w:tentative="1">
      <w:start w:val="1"/>
      <w:numFmt w:val="bullet"/>
      <w:lvlText w:val=""/>
      <w:lvlJc w:val="left"/>
      <w:pPr>
        <w:ind w:left="2880" w:hanging="360"/>
      </w:pPr>
      <w:rPr>
        <w:rFonts w:ascii="Symbol" w:hAnsi="Symbol" w:hint="default"/>
      </w:rPr>
    </w:lvl>
    <w:lvl w:ilvl="4" w:tplc="3F44600C" w:tentative="1">
      <w:start w:val="1"/>
      <w:numFmt w:val="bullet"/>
      <w:lvlText w:val="o"/>
      <w:lvlJc w:val="left"/>
      <w:pPr>
        <w:ind w:left="3600" w:hanging="360"/>
      </w:pPr>
      <w:rPr>
        <w:rFonts w:ascii="Courier New" w:hAnsi="Courier New" w:cs="Courier New" w:hint="default"/>
      </w:rPr>
    </w:lvl>
    <w:lvl w:ilvl="5" w:tplc="0C321B08" w:tentative="1">
      <w:start w:val="1"/>
      <w:numFmt w:val="bullet"/>
      <w:lvlText w:val=""/>
      <w:lvlJc w:val="left"/>
      <w:pPr>
        <w:ind w:left="4320" w:hanging="360"/>
      </w:pPr>
      <w:rPr>
        <w:rFonts w:ascii="Wingdings" w:hAnsi="Wingdings" w:hint="default"/>
      </w:rPr>
    </w:lvl>
    <w:lvl w:ilvl="6" w:tplc="6650A2F2" w:tentative="1">
      <w:start w:val="1"/>
      <w:numFmt w:val="bullet"/>
      <w:lvlText w:val=""/>
      <w:lvlJc w:val="left"/>
      <w:pPr>
        <w:ind w:left="5040" w:hanging="360"/>
      </w:pPr>
      <w:rPr>
        <w:rFonts w:ascii="Symbol" w:hAnsi="Symbol" w:hint="default"/>
      </w:rPr>
    </w:lvl>
    <w:lvl w:ilvl="7" w:tplc="88DE1BA2" w:tentative="1">
      <w:start w:val="1"/>
      <w:numFmt w:val="bullet"/>
      <w:lvlText w:val="o"/>
      <w:lvlJc w:val="left"/>
      <w:pPr>
        <w:ind w:left="5760" w:hanging="360"/>
      </w:pPr>
      <w:rPr>
        <w:rFonts w:ascii="Courier New" w:hAnsi="Courier New" w:cs="Courier New" w:hint="default"/>
      </w:rPr>
    </w:lvl>
    <w:lvl w:ilvl="8" w:tplc="96BC59E4" w:tentative="1">
      <w:start w:val="1"/>
      <w:numFmt w:val="bullet"/>
      <w:lvlText w:val=""/>
      <w:lvlJc w:val="left"/>
      <w:pPr>
        <w:ind w:left="6480" w:hanging="360"/>
      </w:pPr>
      <w:rPr>
        <w:rFonts w:ascii="Wingdings" w:hAnsi="Wingdings" w:hint="default"/>
      </w:rPr>
    </w:lvl>
  </w:abstractNum>
  <w:abstractNum w:abstractNumId="109" w15:restartNumberingAfterBreak="0">
    <w:nsid w:val="441646F2"/>
    <w:multiLevelType w:val="hybridMultilevel"/>
    <w:tmpl w:val="E27C59B2"/>
    <w:lvl w:ilvl="0" w:tplc="F3BC31AE">
      <w:start w:val="1"/>
      <w:numFmt w:val="bullet"/>
      <w:lvlText w:val=""/>
      <w:lvlJc w:val="left"/>
      <w:pPr>
        <w:ind w:left="720" w:hanging="360"/>
      </w:pPr>
      <w:rPr>
        <w:rFonts w:ascii="Symbol" w:hAnsi="Symbol" w:hint="default"/>
      </w:rPr>
    </w:lvl>
    <w:lvl w:ilvl="1" w:tplc="4BC8A914" w:tentative="1">
      <w:start w:val="1"/>
      <w:numFmt w:val="bullet"/>
      <w:lvlText w:val="o"/>
      <w:lvlJc w:val="left"/>
      <w:pPr>
        <w:ind w:left="1440" w:hanging="360"/>
      </w:pPr>
      <w:rPr>
        <w:rFonts w:ascii="Courier New" w:hAnsi="Courier New" w:cs="Courier New" w:hint="default"/>
      </w:rPr>
    </w:lvl>
    <w:lvl w:ilvl="2" w:tplc="EC2CF6A4" w:tentative="1">
      <w:start w:val="1"/>
      <w:numFmt w:val="bullet"/>
      <w:lvlText w:val=""/>
      <w:lvlJc w:val="left"/>
      <w:pPr>
        <w:ind w:left="2160" w:hanging="360"/>
      </w:pPr>
      <w:rPr>
        <w:rFonts w:ascii="Wingdings" w:hAnsi="Wingdings" w:hint="default"/>
      </w:rPr>
    </w:lvl>
    <w:lvl w:ilvl="3" w:tplc="9C946856" w:tentative="1">
      <w:start w:val="1"/>
      <w:numFmt w:val="bullet"/>
      <w:lvlText w:val=""/>
      <w:lvlJc w:val="left"/>
      <w:pPr>
        <w:ind w:left="2880" w:hanging="360"/>
      </w:pPr>
      <w:rPr>
        <w:rFonts w:ascii="Symbol" w:hAnsi="Symbol" w:hint="default"/>
      </w:rPr>
    </w:lvl>
    <w:lvl w:ilvl="4" w:tplc="0BECDE52" w:tentative="1">
      <w:start w:val="1"/>
      <w:numFmt w:val="bullet"/>
      <w:lvlText w:val="o"/>
      <w:lvlJc w:val="left"/>
      <w:pPr>
        <w:ind w:left="3600" w:hanging="360"/>
      </w:pPr>
      <w:rPr>
        <w:rFonts w:ascii="Courier New" w:hAnsi="Courier New" w:cs="Courier New" w:hint="default"/>
      </w:rPr>
    </w:lvl>
    <w:lvl w:ilvl="5" w:tplc="8EA00E58" w:tentative="1">
      <w:start w:val="1"/>
      <w:numFmt w:val="bullet"/>
      <w:lvlText w:val=""/>
      <w:lvlJc w:val="left"/>
      <w:pPr>
        <w:ind w:left="4320" w:hanging="360"/>
      </w:pPr>
      <w:rPr>
        <w:rFonts w:ascii="Wingdings" w:hAnsi="Wingdings" w:hint="default"/>
      </w:rPr>
    </w:lvl>
    <w:lvl w:ilvl="6" w:tplc="894A440E" w:tentative="1">
      <w:start w:val="1"/>
      <w:numFmt w:val="bullet"/>
      <w:lvlText w:val=""/>
      <w:lvlJc w:val="left"/>
      <w:pPr>
        <w:ind w:left="5040" w:hanging="360"/>
      </w:pPr>
      <w:rPr>
        <w:rFonts w:ascii="Symbol" w:hAnsi="Symbol" w:hint="default"/>
      </w:rPr>
    </w:lvl>
    <w:lvl w:ilvl="7" w:tplc="3AFC67FC" w:tentative="1">
      <w:start w:val="1"/>
      <w:numFmt w:val="bullet"/>
      <w:lvlText w:val="o"/>
      <w:lvlJc w:val="left"/>
      <w:pPr>
        <w:ind w:left="5760" w:hanging="360"/>
      </w:pPr>
      <w:rPr>
        <w:rFonts w:ascii="Courier New" w:hAnsi="Courier New" w:cs="Courier New" w:hint="default"/>
      </w:rPr>
    </w:lvl>
    <w:lvl w:ilvl="8" w:tplc="A6047238" w:tentative="1">
      <w:start w:val="1"/>
      <w:numFmt w:val="bullet"/>
      <w:lvlText w:val=""/>
      <w:lvlJc w:val="left"/>
      <w:pPr>
        <w:ind w:left="6480" w:hanging="360"/>
      </w:pPr>
      <w:rPr>
        <w:rFonts w:ascii="Wingdings" w:hAnsi="Wingdings" w:hint="default"/>
      </w:rPr>
    </w:lvl>
  </w:abstractNum>
  <w:abstractNum w:abstractNumId="110" w15:restartNumberingAfterBreak="0">
    <w:nsid w:val="449D7D0C"/>
    <w:multiLevelType w:val="hybridMultilevel"/>
    <w:tmpl w:val="A216950E"/>
    <w:lvl w:ilvl="0" w:tplc="51127FEC">
      <w:start w:val="4"/>
      <w:numFmt w:val="decimal"/>
      <w:lvlText w:val="%1)"/>
      <w:lvlJc w:val="left"/>
      <w:pPr>
        <w:ind w:left="720" w:hanging="360"/>
      </w:pPr>
      <w:rPr>
        <w:rFonts w:hint="default"/>
      </w:rPr>
    </w:lvl>
    <w:lvl w:ilvl="1" w:tplc="0D8E3C78" w:tentative="1">
      <w:start w:val="1"/>
      <w:numFmt w:val="lowerLetter"/>
      <w:lvlText w:val="%2."/>
      <w:lvlJc w:val="left"/>
      <w:pPr>
        <w:ind w:left="1440" w:hanging="360"/>
      </w:pPr>
    </w:lvl>
    <w:lvl w:ilvl="2" w:tplc="4EFED98C" w:tentative="1">
      <w:start w:val="1"/>
      <w:numFmt w:val="lowerRoman"/>
      <w:lvlText w:val="%3."/>
      <w:lvlJc w:val="right"/>
      <w:pPr>
        <w:ind w:left="2160" w:hanging="180"/>
      </w:pPr>
    </w:lvl>
    <w:lvl w:ilvl="3" w:tplc="71B46E08" w:tentative="1">
      <w:start w:val="1"/>
      <w:numFmt w:val="decimal"/>
      <w:lvlText w:val="%4."/>
      <w:lvlJc w:val="left"/>
      <w:pPr>
        <w:ind w:left="2880" w:hanging="360"/>
      </w:pPr>
    </w:lvl>
    <w:lvl w:ilvl="4" w:tplc="A5C86B46" w:tentative="1">
      <w:start w:val="1"/>
      <w:numFmt w:val="lowerLetter"/>
      <w:lvlText w:val="%5."/>
      <w:lvlJc w:val="left"/>
      <w:pPr>
        <w:ind w:left="3600" w:hanging="360"/>
      </w:pPr>
    </w:lvl>
    <w:lvl w:ilvl="5" w:tplc="F23A3040" w:tentative="1">
      <w:start w:val="1"/>
      <w:numFmt w:val="lowerRoman"/>
      <w:lvlText w:val="%6."/>
      <w:lvlJc w:val="right"/>
      <w:pPr>
        <w:ind w:left="4320" w:hanging="180"/>
      </w:pPr>
    </w:lvl>
    <w:lvl w:ilvl="6" w:tplc="6DDC1FEE" w:tentative="1">
      <w:start w:val="1"/>
      <w:numFmt w:val="decimal"/>
      <w:lvlText w:val="%7."/>
      <w:lvlJc w:val="left"/>
      <w:pPr>
        <w:ind w:left="5040" w:hanging="360"/>
      </w:pPr>
    </w:lvl>
    <w:lvl w:ilvl="7" w:tplc="42DA37E8" w:tentative="1">
      <w:start w:val="1"/>
      <w:numFmt w:val="lowerLetter"/>
      <w:lvlText w:val="%8."/>
      <w:lvlJc w:val="left"/>
      <w:pPr>
        <w:ind w:left="5760" w:hanging="360"/>
      </w:pPr>
    </w:lvl>
    <w:lvl w:ilvl="8" w:tplc="4F025DF6" w:tentative="1">
      <w:start w:val="1"/>
      <w:numFmt w:val="lowerRoman"/>
      <w:lvlText w:val="%9."/>
      <w:lvlJc w:val="right"/>
      <w:pPr>
        <w:ind w:left="6480" w:hanging="180"/>
      </w:pPr>
    </w:lvl>
  </w:abstractNum>
  <w:abstractNum w:abstractNumId="111" w15:restartNumberingAfterBreak="0">
    <w:nsid w:val="45784509"/>
    <w:multiLevelType w:val="hybridMultilevel"/>
    <w:tmpl w:val="B1B031D6"/>
    <w:lvl w:ilvl="0" w:tplc="1A662A9A">
      <w:start w:val="1"/>
      <w:numFmt w:val="bullet"/>
      <w:lvlText w:val=""/>
      <w:lvlJc w:val="left"/>
      <w:pPr>
        <w:tabs>
          <w:tab w:val="num" w:pos="567"/>
        </w:tabs>
        <w:ind w:left="567" w:hanging="567"/>
      </w:pPr>
      <w:rPr>
        <w:rFonts w:ascii="Symbol" w:hAnsi="Symbol" w:hint="default"/>
      </w:rPr>
    </w:lvl>
    <w:lvl w:ilvl="1" w:tplc="9BF8F32A" w:tentative="1">
      <w:start w:val="1"/>
      <w:numFmt w:val="bullet"/>
      <w:lvlText w:val="o"/>
      <w:lvlJc w:val="left"/>
      <w:pPr>
        <w:tabs>
          <w:tab w:val="num" w:pos="1440"/>
        </w:tabs>
        <w:ind w:left="1440" w:hanging="360"/>
      </w:pPr>
      <w:rPr>
        <w:rFonts w:ascii="Courier New" w:hAnsi="Courier New" w:hint="default"/>
      </w:rPr>
    </w:lvl>
    <w:lvl w:ilvl="2" w:tplc="3BD82872" w:tentative="1">
      <w:start w:val="1"/>
      <w:numFmt w:val="bullet"/>
      <w:lvlText w:val=""/>
      <w:lvlJc w:val="left"/>
      <w:pPr>
        <w:tabs>
          <w:tab w:val="num" w:pos="2160"/>
        </w:tabs>
        <w:ind w:left="2160" w:hanging="360"/>
      </w:pPr>
      <w:rPr>
        <w:rFonts w:ascii="Wingdings" w:hAnsi="Wingdings" w:hint="default"/>
      </w:rPr>
    </w:lvl>
    <w:lvl w:ilvl="3" w:tplc="1652B0AE" w:tentative="1">
      <w:start w:val="1"/>
      <w:numFmt w:val="bullet"/>
      <w:lvlText w:val=""/>
      <w:lvlJc w:val="left"/>
      <w:pPr>
        <w:tabs>
          <w:tab w:val="num" w:pos="2880"/>
        </w:tabs>
        <w:ind w:left="2880" w:hanging="360"/>
      </w:pPr>
      <w:rPr>
        <w:rFonts w:ascii="Symbol" w:hAnsi="Symbol" w:hint="default"/>
      </w:rPr>
    </w:lvl>
    <w:lvl w:ilvl="4" w:tplc="A196A628" w:tentative="1">
      <w:start w:val="1"/>
      <w:numFmt w:val="bullet"/>
      <w:lvlText w:val="o"/>
      <w:lvlJc w:val="left"/>
      <w:pPr>
        <w:tabs>
          <w:tab w:val="num" w:pos="3600"/>
        </w:tabs>
        <w:ind w:left="3600" w:hanging="360"/>
      </w:pPr>
      <w:rPr>
        <w:rFonts w:ascii="Courier New" w:hAnsi="Courier New" w:hint="default"/>
      </w:rPr>
    </w:lvl>
    <w:lvl w:ilvl="5" w:tplc="B5BCA23E" w:tentative="1">
      <w:start w:val="1"/>
      <w:numFmt w:val="bullet"/>
      <w:lvlText w:val=""/>
      <w:lvlJc w:val="left"/>
      <w:pPr>
        <w:tabs>
          <w:tab w:val="num" w:pos="4320"/>
        </w:tabs>
        <w:ind w:left="4320" w:hanging="360"/>
      </w:pPr>
      <w:rPr>
        <w:rFonts w:ascii="Wingdings" w:hAnsi="Wingdings" w:hint="default"/>
      </w:rPr>
    </w:lvl>
    <w:lvl w:ilvl="6" w:tplc="C5F27960" w:tentative="1">
      <w:start w:val="1"/>
      <w:numFmt w:val="bullet"/>
      <w:lvlText w:val=""/>
      <w:lvlJc w:val="left"/>
      <w:pPr>
        <w:tabs>
          <w:tab w:val="num" w:pos="5040"/>
        </w:tabs>
        <w:ind w:left="5040" w:hanging="360"/>
      </w:pPr>
      <w:rPr>
        <w:rFonts w:ascii="Symbol" w:hAnsi="Symbol" w:hint="default"/>
      </w:rPr>
    </w:lvl>
    <w:lvl w:ilvl="7" w:tplc="EE7223EE" w:tentative="1">
      <w:start w:val="1"/>
      <w:numFmt w:val="bullet"/>
      <w:lvlText w:val="o"/>
      <w:lvlJc w:val="left"/>
      <w:pPr>
        <w:tabs>
          <w:tab w:val="num" w:pos="5760"/>
        </w:tabs>
        <w:ind w:left="5760" w:hanging="360"/>
      </w:pPr>
      <w:rPr>
        <w:rFonts w:ascii="Courier New" w:hAnsi="Courier New" w:hint="default"/>
      </w:rPr>
    </w:lvl>
    <w:lvl w:ilvl="8" w:tplc="CC043DA6"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47537DF2"/>
    <w:multiLevelType w:val="hybridMultilevel"/>
    <w:tmpl w:val="03B0BEDE"/>
    <w:lvl w:ilvl="0" w:tplc="5B44AE86">
      <w:start w:val="1"/>
      <w:numFmt w:val="bullet"/>
      <w:lvlText w:val="•"/>
      <w:lvlJc w:val="left"/>
      <w:pPr>
        <w:ind w:left="720" w:hanging="360"/>
      </w:pPr>
      <w:rPr>
        <w:rFonts w:hint="default"/>
        <w:b/>
        <w:i w:val="0"/>
        <w:color w:val="002060"/>
        <w:sz w:val="22"/>
      </w:rPr>
    </w:lvl>
    <w:lvl w:ilvl="1" w:tplc="FFD07062" w:tentative="1">
      <w:start w:val="1"/>
      <w:numFmt w:val="bullet"/>
      <w:lvlText w:val="o"/>
      <w:lvlJc w:val="left"/>
      <w:pPr>
        <w:ind w:left="1440" w:hanging="360"/>
      </w:pPr>
      <w:rPr>
        <w:rFonts w:ascii="Courier New" w:hAnsi="Courier New" w:cs="Courier New" w:hint="default"/>
      </w:rPr>
    </w:lvl>
    <w:lvl w:ilvl="2" w:tplc="E2DC9326" w:tentative="1">
      <w:start w:val="1"/>
      <w:numFmt w:val="bullet"/>
      <w:lvlText w:val=""/>
      <w:lvlJc w:val="left"/>
      <w:pPr>
        <w:ind w:left="2160" w:hanging="360"/>
      </w:pPr>
      <w:rPr>
        <w:rFonts w:ascii="Wingdings" w:hAnsi="Wingdings" w:hint="default"/>
      </w:rPr>
    </w:lvl>
    <w:lvl w:ilvl="3" w:tplc="9B1638F2" w:tentative="1">
      <w:start w:val="1"/>
      <w:numFmt w:val="bullet"/>
      <w:lvlText w:val=""/>
      <w:lvlJc w:val="left"/>
      <w:pPr>
        <w:ind w:left="2880" w:hanging="360"/>
      </w:pPr>
      <w:rPr>
        <w:rFonts w:ascii="Symbol" w:hAnsi="Symbol" w:hint="default"/>
      </w:rPr>
    </w:lvl>
    <w:lvl w:ilvl="4" w:tplc="FFC23C5E" w:tentative="1">
      <w:start w:val="1"/>
      <w:numFmt w:val="bullet"/>
      <w:lvlText w:val="o"/>
      <w:lvlJc w:val="left"/>
      <w:pPr>
        <w:ind w:left="3600" w:hanging="360"/>
      </w:pPr>
      <w:rPr>
        <w:rFonts w:ascii="Courier New" w:hAnsi="Courier New" w:cs="Courier New" w:hint="default"/>
      </w:rPr>
    </w:lvl>
    <w:lvl w:ilvl="5" w:tplc="328EC4B8" w:tentative="1">
      <w:start w:val="1"/>
      <w:numFmt w:val="bullet"/>
      <w:lvlText w:val=""/>
      <w:lvlJc w:val="left"/>
      <w:pPr>
        <w:ind w:left="4320" w:hanging="360"/>
      </w:pPr>
      <w:rPr>
        <w:rFonts w:ascii="Wingdings" w:hAnsi="Wingdings" w:hint="default"/>
      </w:rPr>
    </w:lvl>
    <w:lvl w:ilvl="6" w:tplc="7296576A" w:tentative="1">
      <w:start w:val="1"/>
      <w:numFmt w:val="bullet"/>
      <w:lvlText w:val=""/>
      <w:lvlJc w:val="left"/>
      <w:pPr>
        <w:ind w:left="5040" w:hanging="360"/>
      </w:pPr>
      <w:rPr>
        <w:rFonts w:ascii="Symbol" w:hAnsi="Symbol" w:hint="default"/>
      </w:rPr>
    </w:lvl>
    <w:lvl w:ilvl="7" w:tplc="FD08C234" w:tentative="1">
      <w:start w:val="1"/>
      <w:numFmt w:val="bullet"/>
      <w:lvlText w:val="o"/>
      <w:lvlJc w:val="left"/>
      <w:pPr>
        <w:ind w:left="5760" w:hanging="360"/>
      </w:pPr>
      <w:rPr>
        <w:rFonts w:ascii="Courier New" w:hAnsi="Courier New" w:cs="Courier New" w:hint="default"/>
      </w:rPr>
    </w:lvl>
    <w:lvl w:ilvl="8" w:tplc="FC3E97A4" w:tentative="1">
      <w:start w:val="1"/>
      <w:numFmt w:val="bullet"/>
      <w:lvlText w:val=""/>
      <w:lvlJc w:val="left"/>
      <w:pPr>
        <w:ind w:left="6480" w:hanging="360"/>
      </w:pPr>
      <w:rPr>
        <w:rFonts w:ascii="Wingdings" w:hAnsi="Wingdings" w:hint="default"/>
      </w:rPr>
    </w:lvl>
  </w:abstractNum>
  <w:abstractNum w:abstractNumId="113" w15:restartNumberingAfterBreak="0">
    <w:nsid w:val="477758FE"/>
    <w:multiLevelType w:val="hybridMultilevel"/>
    <w:tmpl w:val="C00E74D0"/>
    <w:lvl w:ilvl="0" w:tplc="957C5F86">
      <w:start w:val="1"/>
      <w:numFmt w:val="bullet"/>
      <w:lvlText w:val=""/>
      <w:lvlJc w:val="left"/>
      <w:pPr>
        <w:tabs>
          <w:tab w:val="num" w:pos="567"/>
        </w:tabs>
        <w:ind w:left="567" w:hanging="567"/>
      </w:pPr>
      <w:rPr>
        <w:rFonts w:ascii="Symbol" w:hAnsi="Symbol" w:hint="default"/>
      </w:rPr>
    </w:lvl>
    <w:lvl w:ilvl="1" w:tplc="11983AB4">
      <w:start w:val="1"/>
      <w:numFmt w:val="bullet"/>
      <w:lvlText w:val="o"/>
      <w:lvlJc w:val="left"/>
      <w:pPr>
        <w:tabs>
          <w:tab w:val="num" w:pos="1440"/>
        </w:tabs>
        <w:ind w:left="1440" w:hanging="360"/>
      </w:pPr>
      <w:rPr>
        <w:rFonts w:ascii="Courier New" w:hAnsi="Courier New" w:hint="default"/>
      </w:rPr>
    </w:lvl>
    <w:lvl w:ilvl="2" w:tplc="5CB87ED4" w:tentative="1">
      <w:start w:val="1"/>
      <w:numFmt w:val="bullet"/>
      <w:lvlText w:val=""/>
      <w:lvlJc w:val="left"/>
      <w:pPr>
        <w:tabs>
          <w:tab w:val="num" w:pos="2160"/>
        </w:tabs>
        <w:ind w:left="2160" w:hanging="360"/>
      </w:pPr>
      <w:rPr>
        <w:rFonts w:ascii="Wingdings" w:hAnsi="Wingdings" w:hint="default"/>
      </w:rPr>
    </w:lvl>
    <w:lvl w:ilvl="3" w:tplc="293AFEA8" w:tentative="1">
      <w:start w:val="1"/>
      <w:numFmt w:val="bullet"/>
      <w:lvlText w:val=""/>
      <w:lvlJc w:val="left"/>
      <w:pPr>
        <w:tabs>
          <w:tab w:val="num" w:pos="2880"/>
        </w:tabs>
        <w:ind w:left="2880" w:hanging="360"/>
      </w:pPr>
      <w:rPr>
        <w:rFonts w:ascii="Symbol" w:hAnsi="Symbol" w:hint="default"/>
      </w:rPr>
    </w:lvl>
    <w:lvl w:ilvl="4" w:tplc="FE8E1E8E" w:tentative="1">
      <w:start w:val="1"/>
      <w:numFmt w:val="bullet"/>
      <w:lvlText w:val="o"/>
      <w:lvlJc w:val="left"/>
      <w:pPr>
        <w:tabs>
          <w:tab w:val="num" w:pos="3600"/>
        </w:tabs>
        <w:ind w:left="3600" w:hanging="360"/>
      </w:pPr>
      <w:rPr>
        <w:rFonts w:ascii="Courier New" w:hAnsi="Courier New" w:hint="default"/>
      </w:rPr>
    </w:lvl>
    <w:lvl w:ilvl="5" w:tplc="8CD2E18E" w:tentative="1">
      <w:start w:val="1"/>
      <w:numFmt w:val="bullet"/>
      <w:lvlText w:val=""/>
      <w:lvlJc w:val="left"/>
      <w:pPr>
        <w:tabs>
          <w:tab w:val="num" w:pos="4320"/>
        </w:tabs>
        <w:ind w:left="4320" w:hanging="360"/>
      </w:pPr>
      <w:rPr>
        <w:rFonts w:ascii="Wingdings" w:hAnsi="Wingdings" w:hint="default"/>
      </w:rPr>
    </w:lvl>
    <w:lvl w:ilvl="6" w:tplc="9D648EDE" w:tentative="1">
      <w:start w:val="1"/>
      <w:numFmt w:val="bullet"/>
      <w:lvlText w:val=""/>
      <w:lvlJc w:val="left"/>
      <w:pPr>
        <w:tabs>
          <w:tab w:val="num" w:pos="5040"/>
        </w:tabs>
        <w:ind w:left="5040" w:hanging="360"/>
      </w:pPr>
      <w:rPr>
        <w:rFonts w:ascii="Symbol" w:hAnsi="Symbol" w:hint="default"/>
      </w:rPr>
    </w:lvl>
    <w:lvl w:ilvl="7" w:tplc="71820F5C" w:tentative="1">
      <w:start w:val="1"/>
      <w:numFmt w:val="bullet"/>
      <w:lvlText w:val="o"/>
      <w:lvlJc w:val="left"/>
      <w:pPr>
        <w:tabs>
          <w:tab w:val="num" w:pos="5760"/>
        </w:tabs>
        <w:ind w:left="5760" w:hanging="360"/>
      </w:pPr>
      <w:rPr>
        <w:rFonts w:ascii="Courier New" w:hAnsi="Courier New" w:hint="default"/>
      </w:rPr>
    </w:lvl>
    <w:lvl w:ilvl="8" w:tplc="82DCC5C2"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4777640F"/>
    <w:multiLevelType w:val="hybridMultilevel"/>
    <w:tmpl w:val="98CE7ECE"/>
    <w:lvl w:ilvl="0" w:tplc="647AF546">
      <w:start w:val="1"/>
      <w:numFmt w:val="bullet"/>
      <w:lvlText w:val=""/>
      <w:lvlJc w:val="left"/>
      <w:pPr>
        <w:ind w:left="720" w:hanging="360"/>
      </w:pPr>
      <w:rPr>
        <w:rFonts w:ascii="Symbol" w:hAnsi="Symbol" w:hint="default"/>
      </w:rPr>
    </w:lvl>
    <w:lvl w:ilvl="1" w:tplc="3542ABC6" w:tentative="1">
      <w:start w:val="1"/>
      <w:numFmt w:val="bullet"/>
      <w:lvlText w:val="o"/>
      <w:lvlJc w:val="left"/>
      <w:pPr>
        <w:ind w:left="1440" w:hanging="360"/>
      </w:pPr>
      <w:rPr>
        <w:rFonts w:ascii="Courier New" w:hAnsi="Courier New" w:cs="Courier New" w:hint="default"/>
      </w:rPr>
    </w:lvl>
    <w:lvl w:ilvl="2" w:tplc="5CF491D0" w:tentative="1">
      <w:start w:val="1"/>
      <w:numFmt w:val="bullet"/>
      <w:lvlText w:val=""/>
      <w:lvlJc w:val="left"/>
      <w:pPr>
        <w:ind w:left="2160" w:hanging="360"/>
      </w:pPr>
      <w:rPr>
        <w:rFonts w:ascii="Wingdings" w:hAnsi="Wingdings" w:hint="default"/>
      </w:rPr>
    </w:lvl>
    <w:lvl w:ilvl="3" w:tplc="84AC1C68" w:tentative="1">
      <w:start w:val="1"/>
      <w:numFmt w:val="bullet"/>
      <w:lvlText w:val=""/>
      <w:lvlJc w:val="left"/>
      <w:pPr>
        <w:ind w:left="2880" w:hanging="360"/>
      </w:pPr>
      <w:rPr>
        <w:rFonts w:ascii="Symbol" w:hAnsi="Symbol" w:hint="default"/>
      </w:rPr>
    </w:lvl>
    <w:lvl w:ilvl="4" w:tplc="122EEAE4" w:tentative="1">
      <w:start w:val="1"/>
      <w:numFmt w:val="bullet"/>
      <w:lvlText w:val="o"/>
      <w:lvlJc w:val="left"/>
      <w:pPr>
        <w:ind w:left="3600" w:hanging="360"/>
      </w:pPr>
      <w:rPr>
        <w:rFonts w:ascii="Courier New" w:hAnsi="Courier New" w:cs="Courier New" w:hint="default"/>
      </w:rPr>
    </w:lvl>
    <w:lvl w:ilvl="5" w:tplc="ACA85438" w:tentative="1">
      <w:start w:val="1"/>
      <w:numFmt w:val="bullet"/>
      <w:lvlText w:val=""/>
      <w:lvlJc w:val="left"/>
      <w:pPr>
        <w:ind w:left="4320" w:hanging="360"/>
      </w:pPr>
      <w:rPr>
        <w:rFonts w:ascii="Wingdings" w:hAnsi="Wingdings" w:hint="default"/>
      </w:rPr>
    </w:lvl>
    <w:lvl w:ilvl="6" w:tplc="759AFDB4" w:tentative="1">
      <w:start w:val="1"/>
      <w:numFmt w:val="bullet"/>
      <w:lvlText w:val=""/>
      <w:lvlJc w:val="left"/>
      <w:pPr>
        <w:ind w:left="5040" w:hanging="360"/>
      </w:pPr>
      <w:rPr>
        <w:rFonts w:ascii="Symbol" w:hAnsi="Symbol" w:hint="default"/>
      </w:rPr>
    </w:lvl>
    <w:lvl w:ilvl="7" w:tplc="83781D4A" w:tentative="1">
      <w:start w:val="1"/>
      <w:numFmt w:val="bullet"/>
      <w:lvlText w:val="o"/>
      <w:lvlJc w:val="left"/>
      <w:pPr>
        <w:ind w:left="5760" w:hanging="360"/>
      </w:pPr>
      <w:rPr>
        <w:rFonts w:ascii="Courier New" w:hAnsi="Courier New" w:cs="Courier New" w:hint="default"/>
      </w:rPr>
    </w:lvl>
    <w:lvl w:ilvl="8" w:tplc="FEB63E72" w:tentative="1">
      <w:start w:val="1"/>
      <w:numFmt w:val="bullet"/>
      <w:lvlText w:val=""/>
      <w:lvlJc w:val="left"/>
      <w:pPr>
        <w:ind w:left="6480" w:hanging="360"/>
      </w:pPr>
      <w:rPr>
        <w:rFonts w:ascii="Wingdings" w:hAnsi="Wingdings" w:hint="default"/>
      </w:rPr>
    </w:lvl>
  </w:abstractNum>
  <w:abstractNum w:abstractNumId="115" w15:restartNumberingAfterBreak="0">
    <w:nsid w:val="48A346E3"/>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116" w15:restartNumberingAfterBreak="0">
    <w:nsid w:val="49726D68"/>
    <w:multiLevelType w:val="hybridMultilevel"/>
    <w:tmpl w:val="C046B69A"/>
    <w:lvl w:ilvl="0" w:tplc="19A4236C">
      <w:start w:val="1"/>
      <w:numFmt w:val="bullet"/>
      <w:lvlText w:val=""/>
      <w:lvlJc w:val="left"/>
      <w:pPr>
        <w:ind w:left="720" w:hanging="360"/>
      </w:pPr>
      <w:rPr>
        <w:rFonts w:ascii="Symbol" w:hAnsi="Symbol" w:hint="default"/>
      </w:rPr>
    </w:lvl>
    <w:lvl w:ilvl="1" w:tplc="2D4408A0" w:tentative="1">
      <w:start w:val="1"/>
      <w:numFmt w:val="bullet"/>
      <w:lvlText w:val="o"/>
      <w:lvlJc w:val="left"/>
      <w:pPr>
        <w:ind w:left="1440" w:hanging="360"/>
      </w:pPr>
      <w:rPr>
        <w:rFonts w:ascii="Courier New" w:hAnsi="Courier New" w:cs="Courier New" w:hint="default"/>
      </w:rPr>
    </w:lvl>
    <w:lvl w:ilvl="2" w:tplc="2144A964" w:tentative="1">
      <w:start w:val="1"/>
      <w:numFmt w:val="bullet"/>
      <w:lvlText w:val=""/>
      <w:lvlJc w:val="left"/>
      <w:pPr>
        <w:ind w:left="2160" w:hanging="360"/>
      </w:pPr>
      <w:rPr>
        <w:rFonts w:ascii="Wingdings" w:hAnsi="Wingdings" w:hint="default"/>
      </w:rPr>
    </w:lvl>
    <w:lvl w:ilvl="3" w:tplc="F32A309C" w:tentative="1">
      <w:start w:val="1"/>
      <w:numFmt w:val="bullet"/>
      <w:lvlText w:val=""/>
      <w:lvlJc w:val="left"/>
      <w:pPr>
        <w:ind w:left="2880" w:hanging="360"/>
      </w:pPr>
      <w:rPr>
        <w:rFonts w:ascii="Symbol" w:hAnsi="Symbol" w:hint="default"/>
      </w:rPr>
    </w:lvl>
    <w:lvl w:ilvl="4" w:tplc="2D9074A8" w:tentative="1">
      <w:start w:val="1"/>
      <w:numFmt w:val="bullet"/>
      <w:lvlText w:val="o"/>
      <w:lvlJc w:val="left"/>
      <w:pPr>
        <w:ind w:left="3600" w:hanging="360"/>
      </w:pPr>
      <w:rPr>
        <w:rFonts w:ascii="Courier New" w:hAnsi="Courier New" w:cs="Courier New" w:hint="default"/>
      </w:rPr>
    </w:lvl>
    <w:lvl w:ilvl="5" w:tplc="BE40164C" w:tentative="1">
      <w:start w:val="1"/>
      <w:numFmt w:val="bullet"/>
      <w:lvlText w:val=""/>
      <w:lvlJc w:val="left"/>
      <w:pPr>
        <w:ind w:left="4320" w:hanging="360"/>
      </w:pPr>
      <w:rPr>
        <w:rFonts w:ascii="Wingdings" w:hAnsi="Wingdings" w:hint="default"/>
      </w:rPr>
    </w:lvl>
    <w:lvl w:ilvl="6" w:tplc="BAFC097E" w:tentative="1">
      <w:start w:val="1"/>
      <w:numFmt w:val="bullet"/>
      <w:lvlText w:val=""/>
      <w:lvlJc w:val="left"/>
      <w:pPr>
        <w:ind w:left="5040" w:hanging="360"/>
      </w:pPr>
      <w:rPr>
        <w:rFonts w:ascii="Symbol" w:hAnsi="Symbol" w:hint="default"/>
      </w:rPr>
    </w:lvl>
    <w:lvl w:ilvl="7" w:tplc="A2EA871C" w:tentative="1">
      <w:start w:val="1"/>
      <w:numFmt w:val="bullet"/>
      <w:lvlText w:val="o"/>
      <w:lvlJc w:val="left"/>
      <w:pPr>
        <w:ind w:left="5760" w:hanging="360"/>
      </w:pPr>
      <w:rPr>
        <w:rFonts w:ascii="Courier New" w:hAnsi="Courier New" w:cs="Courier New" w:hint="default"/>
      </w:rPr>
    </w:lvl>
    <w:lvl w:ilvl="8" w:tplc="E7E4D3AE" w:tentative="1">
      <w:start w:val="1"/>
      <w:numFmt w:val="bullet"/>
      <w:lvlText w:val=""/>
      <w:lvlJc w:val="left"/>
      <w:pPr>
        <w:ind w:left="6480" w:hanging="360"/>
      </w:pPr>
      <w:rPr>
        <w:rFonts w:ascii="Wingdings" w:hAnsi="Wingdings" w:hint="default"/>
      </w:rPr>
    </w:lvl>
  </w:abstractNum>
  <w:abstractNum w:abstractNumId="117" w15:restartNumberingAfterBreak="0">
    <w:nsid w:val="4A427F00"/>
    <w:multiLevelType w:val="multilevel"/>
    <w:tmpl w:val="9B98C006"/>
    <w:lvl w:ilvl="0">
      <w:start w:val="1"/>
      <w:numFmt w:val="lowerLetter"/>
      <w:lvlText w:val="%1"/>
      <w:lvlJc w:val="left"/>
      <w:pPr>
        <w:ind w:left="720" w:hanging="720"/>
      </w:pPr>
      <w:rPr>
        <w:rFonts w:ascii="Times New Roman" w:hAnsi="Times New Roman" w:cs="Times New Roman" w:hint="default"/>
        <w:b w:val="0"/>
        <w:i w:val="0"/>
        <w:caps w:val="0"/>
        <w:sz w:val="16"/>
        <w:szCs w:val="16"/>
        <w:u w:val="none"/>
        <w:vertAlign w:val="superscrip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numFmt w:val="none"/>
      <w:lvlText w:val=""/>
      <w:lvlJc w:val="left"/>
      <w:pPr>
        <w:tabs>
          <w:tab w:val="num" w:pos="360"/>
        </w:tabs>
      </w:p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8" w15:restartNumberingAfterBreak="0">
    <w:nsid w:val="4A4E5BB5"/>
    <w:multiLevelType w:val="hybridMultilevel"/>
    <w:tmpl w:val="41B4F34C"/>
    <w:lvl w:ilvl="0" w:tplc="50D2D882">
      <w:start w:val="1"/>
      <w:numFmt w:val="bullet"/>
      <w:lvlText w:val=""/>
      <w:lvlJc w:val="left"/>
      <w:pPr>
        <w:tabs>
          <w:tab w:val="num" w:pos="720"/>
        </w:tabs>
        <w:ind w:left="720" w:hanging="360"/>
      </w:pPr>
      <w:rPr>
        <w:rFonts w:ascii="Symbol" w:hAnsi="Symbol" w:hint="default"/>
      </w:rPr>
    </w:lvl>
    <w:lvl w:ilvl="1" w:tplc="6C2075F2">
      <w:start w:val="1"/>
      <w:numFmt w:val="bullet"/>
      <w:lvlText w:val=""/>
      <w:lvlJc w:val="left"/>
      <w:pPr>
        <w:tabs>
          <w:tab w:val="num" w:pos="567"/>
        </w:tabs>
        <w:ind w:left="567" w:hanging="567"/>
      </w:pPr>
      <w:rPr>
        <w:rFonts w:ascii="Symbol" w:hAnsi="Symbol" w:hint="default"/>
      </w:rPr>
    </w:lvl>
    <w:lvl w:ilvl="2" w:tplc="3B56E0D6" w:tentative="1">
      <w:start w:val="1"/>
      <w:numFmt w:val="bullet"/>
      <w:lvlText w:val=""/>
      <w:lvlJc w:val="left"/>
      <w:pPr>
        <w:tabs>
          <w:tab w:val="num" w:pos="2160"/>
        </w:tabs>
        <w:ind w:left="2160" w:hanging="360"/>
      </w:pPr>
      <w:rPr>
        <w:rFonts w:ascii="Wingdings" w:hAnsi="Wingdings" w:hint="default"/>
      </w:rPr>
    </w:lvl>
    <w:lvl w:ilvl="3" w:tplc="11880882" w:tentative="1">
      <w:start w:val="1"/>
      <w:numFmt w:val="bullet"/>
      <w:lvlText w:val=""/>
      <w:lvlJc w:val="left"/>
      <w:pPr>
        <w:tabs>
          <w:tab w:val="num" w:pos="2880"/>
        </w:tabs>
        <w:ind w:left="2880" w:hanging="360"/>
      </w:pPr>
      <w:rPr>
        <w:rFonts w:ascii="Symbol" w:hAnsi="Symbol" w:hint="default"/>
      </w:rPr>
    </w:lvl>
    <w:lvl w:ilvl="4" w:tplc="BB6483E0" w:tentative="1">
      <w:start w:val="1"/>
      <w:numFmt w:val="bullet"/>
      <w:lvlText w:val="o"/>
      <w:lvlJc w:val="left"/>
      <w:pPr>
        <w:tabs>
          <w:tab w:val="num" w:pos="3600"/>
        </w:tabs>
        <w:ind w:left="3600" w:hanging="360"/>
      </w:pPr>
      <w:rPr>
        <w:rFonts w:ascii="Courier New" w:hAnsi="Courier New" w:hint="default"/>
      </w:rPr>
    </w:lvl>
    <w:lvl w:ilvl="5" w:tplc="B9465FB0" w:tentative="1">
      <w:start w:val="1"/>
      <w:numFmt w:val="bullet"/>
      <w:lvlText w:val=""/>
      <w:lvlJc w:val="left"/>
      <w:pPr>
        <w:tabs>
          <w:tab w:val="num" w:pos="4320"/>
        </w:tabs>
        <w:ind w:left="4320" w:hanging="360"/>
      </w:pPr>
      <w:rPr>
        <w:rFonts w:ascii="Wingdings" w:hAnsi="Wingdings" w:hint="default"/>
      </w:rPr>
    </w:lvl>
    <w:lvl w:ilvl="6" w:tplc="7BFCCF7E" w:tentative="1">
      <w:start w:val="1"/>
      <w:numFmt w:val="bullet"/>
      <w:lvlText w:val=""/>
      <w:lvlJc w:val="left"/>
      <w:pPr>
        <w:tabs>
          <w:tab w:val="num" w:pos="5040"/>
        </w:tabs>
        <w:ind w:left="5040" w:hanging="360"/>
      </w:pPr>
      <w:rPr>
        <w:rFonts w:ascii="Symbol" w:hAnsi="Symbol" w:hint="default"/>
      </w:rPr>
    </w:lvl>
    <w:lvl w:ilvl="7" w:tplc="C82CBAC8" w:tentative="1">
      <w:start w:val="1"/>
      <w:numFmt w:val="bullet"/>
      <w:lvlText w:val="o"/>
      <w:lvlJc w:val="left"/>
      <w:pPr>
        <w:tabs>
          <w:tab w:val="num" w:pos="5760"/>
        </w:tabs>
        <w:ind w:left="5760" w:hanging="360"/>
      </w:pPr>
      <w:rPr>
        <w:rFonts w:ascii="Courier New" w:hAnsi="Courier New" w:hint="default"/>
      </w:rPr>
    </w:lvl>
    <w:lvl w:ilvl="8" w:tplc="08121074"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4AC3725F"/>
    <w:multiLevelType w:val="hybridMultilevel"/>
    <w:tmpl w:val="C3E230AE"/>
    <w:lvl w:ilvl="0" w:tplc="773845CC">
      <w:start w:val="1"/>
      <w:numFmt w:val="bullet"/>
      <w:lvlText w:val=""/>
      <w:lvlJc w:val="left"/>
      <w:pPr>
        <w:ind w:left="720" w:hanging="360"/>
      </w:pPr>
      <w:rPr>
        <w:rFonts w:ascii="Symbol" w:hAnsi="Symbol" w:hint="default"/>
      </w:rPr>
    </w:lvl>
    <w:lvl w:ilvl="1" w:tplc="258A83CE" w:tentative="1">
      <w:start w:val="1"/>
      <w:numFmt w:val="bullet"/>
      <w:lvlText w:val="o"/>
      <w:lvlJc w:val="left"/>
      <w:pPr>
        <w:ind w:left="1440" w:hanging="360"/>
      </w:pPr>
      <w:rPr>
        <w:rFonts w:ascii="Courier New" w:hAnsi="Courier New" w:cs="Courier New" w:hint="default"/>
      </w:rPr>
    </w:lvl>
    <w:lvl w:ilvl="2" w:tplc="1C66CBC0" w:tentative="1">
      <w:start w:val="1"/>
      <w:numFmt w:val="bullet"/>
      <w:lvlText w:val=""/>
      <w:lvlJc w:val="left"/>
      <w:pPr>
        <w:ind w:left="2160" w:hanging="360"/>
      </w:pPr>
      <w:rPr>
        <w:rFonts w:ascii="Wingdings" w:hAnsi="Wingdings" w:hint="default"/>
      </w:rPr>
    </w:lvl>
    <w:lvl w:ilvl="3" w:tplc="F8600762" w:tentative="1">
      <w:start w:val="1"/>
      <w:numFmt w:val="bullet"/>
      <w:lvlText w:val=""/>
      <w:lvlJc w:val="left"/>
      <w:pPr>
        <w:ind w:left="2880" w:hanging="360"/>
      </w:pPr>
      <w:rPr>
        <w:rFonts w:ascii="Symbol" w:hAnsi="Symbol" w:hint="default"/>
      </w:rPr>
    </w:lvl>
    <w:lvl w:ilvl="4" w:tplc="B0729558" w:tentative="1">
      <w:start w:val="1"/>
      <w:numFmt w:val="bullet"/>
      <w:lvlText w:val="o"/>
      <w:lvlJc w:val="left"/>
      <w:pPr>
        <w:ind w:left="3600" w:hanging="360"/>
      </w:pPr>
      <w:rPr>
        <w:rFonts w:ascii="Courier New" w:hAnsi="Courier New" w:cs="Courier New" w:hint="default"/>
      </w:rPr>
    </w:lvl>
    <w:lvl w:ilvl="5" w:tplc="E2D6E2AC" w:tentative="1">
      <w:start w:val="1"/>
      <w:numFmt w:val="bullet"/>
      <w:lvlText w:val=""/>
      <w:lvlJc w:val="left"/>
      <w:pPr>
        <w:ind w:left="4320" w:hanging="360"/>
      </w:pPr>
      <w:rPr>
        <w:rFonts w:ascii="Wingdings" w:hAnsi="Wingdings" w:hint="default"/>
      </w:rPr>
    </w:lvl>
    <w:lvl w:ilvl="6" w:tplc="5D74994E" w:tentative="1">
      <w:start w:val="1"/>
      <w:numFmt w:val="bullet"/>
      <w:lvlText w:val=""/>
      <w:lvlJc w:val="left"/>
      <w:pPr>
        <w:ind w:left="5040" w:hanging="360"/>
      </w:pPr>
      <w:rPr>
        <w:rFonts w:ascii="Symbol" w:hAnsi="Symbol" w:hint="default"/>
      </w:rPr>
    </w:lvl>
    <w:lvl w:ilvl="7" w:tplc="E2E057E4" w:tentative="1">
      <w:start w:val="1"/>
      <w:numFmt w:val="bullet"/>
      <w:lvlText w:val="o"/>
      <w:lvlJc w:val="left"/>
      <w:pPr>
        <w:ind w:left="5760" w:hanging="360"/>
      </w:pPr>
      <w:rPr>
        <w:rFonts w:ascii="Courier New" w:hAnsi="Courier New" w:cs="Courier New" w:hint="default"/>
      </w:rPr>
    </w:lvl>
    <w:lvl w:ilvl="8" w:tplc="1A50E020" w:tentative="1">
      <w:start w:val="1"/>
      <w:numFmt w:val="bullet"/>
      <w:lvlText w:val=""/>
      <w:lvlJc w:val="left"/>
      <w:pPr>
        <w:ind w:left="6480" w:hanging="360"/>
      </w:pPr>
      <w:rPr>
        <w:rFonts w:ascii="Wingdings" w:hAnsi="Wingdings" w:hint="default"/>
      </w:rPr>
    </w:lvl>
  </w:abstractNum>
  <w:abstractNum w:abstractNumId="120" w15:restartNumberingAfterBreak="0">
    <w:nsid w:val="4ADF1C07"/>
    <w:multiLevelType w:val="hybridMultilevel"/>
    <w:tmpl w:val="ED183480"/>
    <w:lvl w:ilvl="0" w:tplc="2FBEE6E2">
      <w:start w:val="1"/>
      <w:numFmt w:val="bullet"/>
      <w:lvlText w:val=""/>
      <w:lvlJc w:val="left"/>
      <w:pPr>
        <w:ind w:left="720" w:hanging="360"/>
      </w:pPr>
      <w:rPr>
        <w:rFonts w:ascii="Symbol" w:hAnsi="Symbol" w:hint="default"/>
      </w:rPr>
    </w:lvl>
    <w:lvl w:ilvl="1" w:tplc="1500FB56" w:tentative="1">
      <w:start w:val="1"/>
      <w:numFmt w:val="bullet"/>
      <w:lvlText w:val="o"/>
      <w:lvlJc w:val="left"/>
      <w:pPr>
        <w:ind w:left="1440" w:hanging="360"/>
      </w:pPr>
      <w:rPr>
        <w:rFonts w:ascii="Courier New" w:hAnsi="Courier New" w:cs="Courier New" w:hint="default"/>
      </w:rPr>
    </w:lvl>
    <w:lvl w:ilvl="2" w:tplc="D9E8294C" w:tentative="1">
      <w:start w:val="1"/>
      <w:numFmt w:val="bullet"/>
      <w:lvlText w:val=""/>
      <w:lvlJc w:val="left"/>
      <w:pPr>
        <w:ind w:left="2160" w:hanging="360"/>
      </w:pPr>
      <w:rPr>
        <w:rFonts w:ascii="Wingdings" w:hAnsi="Wingdings" w:hint="default"/>
      </w:rPr>
    </w:lvl>
    <w:lvl w:ilvl="3" w:tplc="A2D8AD7C" w:tentative="1">
      <w:start w:val="1"/>
      <w:numFmt w:val="bullet"/>
      <w:lvlText w:val=""/>
      <w:lvlJc w:val="left"/>
      <w:pPr>
        <w:ind w:left="2880" w:hanging="360"/>
      </w:pPr>
      <w:rPr>
        <w:rFonts w:ascii="Symbol" w:hAnsi="Symbol" w:hint="default"/>
      </w:rPr>
    </w:lvl>
    <w:lvl w:ilvl="4" w:tplc="14DC8620" w:tentative="1">
      <w:start w:val="1"/>
      <w:numFmt w:val="bullet"/>
      <w:lvlText w:val="o"/>
      <w:lvlJc w:val="left"/>
      <w:pPr>
        <w:ind w:left="3600" w:hanging="360"/>
      </w:pPr>
      <w:rPr>
        <w:rFonts w:ascii="Courier New" w:hAnsi="Courier New" w:cs="Courier New" w:hint="default"/>
      </w:rPr>
    </w:lvl>
    <w:lvl w:ilvl="5" w:tplc="FA9CCDD4" w:tentative="1">
      <w:start w:val="1"/>
      <w:numFmt w:val="bullet"/>
      <w:lvlText w:val=""/>
      <w:lvlJc w:val="left"/>
      <w:pPr>
        <w:ind w:left="4320" w:hanging="360"/>
      </w:pPr>
      <w:rPr>
        <w:rFonts w:ascii="Wingdings" w:hAnsi="Wingdings" w:hint="default"/>
      </w:rPr>
    </w:lvl>
    <w:lvl w:ilvl="6" w:tplc="CE366D8A" w:tentative="1">
      <w:start w:val="1"/>
      <w:numFmt w:val="bullet"/>
      <w:lvlText w:val=""/>
      <w:lvlJc w:val="left"/>
      <w:pPr>
        <w:ind w:left="5040" w:hanging="360"/>
      </w:pPr>
      <w:rPr>
        <w:rFonts w:ascii="Symbol" w:hAnsi="Symbol" w:hint="default"/>
      </w:rPr>
    </w:lvl>
    <w:lvl w:ilvl="7" w:tplc="B8A052CC" w:tentative="1">
      <w:start w:val="1"/>
      <w:numFmt w:val="bullet"/>
      <w:lvlText w:val="o"/>
      <w:lvlJc w:val="left"/>
      <w:pPr>
        <w:ind w:left="5760" w:hanging="360"/>
      </w:pPr>
      <w:rPr>
        <w:rFonts w:ascii="Courier New" w:hAnsi="Courier New" w:cs="Courier New" w:hint="default"/>
      </w:rPr>
    </w:lvl>
    <w:lvl w:ilvl="8" w:tplc="C5863878" w:tentative="1">
      <w:start w:val="1"/>
      <w:numFmt w:val="bullet"/>
      <w:lvlText w:val=""/>
      <w:lvlJc w:val="left"/>
      <w:pPr>
        <w:ind w:left="6480" w:hanging="360"/>
      </w:pPr>
      <w:rPr>
        <w:rFonts w:ascii="Wingdings" w:hAnsi="Wingdings" w:hint="default"/>
      </w:rPr>
    </w:lvl>
  </w:abstractNum>
  <w:abstractNum w:abstractNumId="121" w15:restartNumberingAfterBreak="0">
    <w:nsid w:val="4BFB1EA1"/>
    <w:multiLevelType w:val="hybridMultilevel"/>
    <w:tmpl w:val="85189034"/>
    <w:lvl w:ilvl="0" w:tplc="FF98F19E">
      <w:start w:val="1"/>
      <w:numFmt w:val="bullet"/>
      <w:lvlText w:val=""/>
      <w:lvlJc w:val="left"/>
      <w:pPr>
        <w:ind w:left="720" w:hanging="360"/>
      </w:pPr>
      <w:rPr>
        <w:rFonts w:ascii="Symbol" w:hAnsi="Symbol" w:hint="default"/>
      </w:rPr>
    </w:lvl>
    <w:lvl w:ilvl="1" w:tplc="DCD4748C" w:tentative="1">
      <w:start w:val="1"/>
      <w:numFmt w:val="bullet"/>
      <w:lvlText w:val="o"/>
      <w:lvlJc w:val="left"/>
      <w:pPr>
        <w:ind w:left="1440" w:hanging="360"/>
      </w:pPr>
      <w:rPr>
        <w:rFonts w:ascii="Courier New" w:hAnsi="Courier New" w:cs="Courier New" w:hint="default"/>
      </w:rPr>
    </w:lvl>
    <w:lvl w:ilvl="2" w:tplc="B73065BC" w:tentative="1">
      <w:start w:val="1"/>
      <w:numFmt w:val="bullet"/>
      <w:lvlText w:val=""/>
      <w:lvlJc w:val="left"/>
      <w:pPr>
        <w:ind w:left="2160" w:hanging="360"/>
      </w:pPr>
      <w:rPr>
        <w:rFonts w:ascii="Wingdings" w:hAnsi="Wingdings" w:hint="default"/>
      </w:rPr>
    </w:lvl>
    <w:lvl w:ilvl="3" w:tplc="712C26F4" w:tentative="1">
      <w:start w:val="1"/>
      <w:numFmt w:val="bullet"/>
      <w:lvlText w:val=""/>
      <w:lvlJc w:val="left"/>
      <w:pPr>
        <w:ind w:left="2880" w:hanging="360"/>
      </w:pPr>
      <w:rPr>
        <w:rFonts w:ascii="Symbol" w:hAnsi="Symbol" w:hint="default"/>
      </w:rPr>
    </w:lvl>
    <w:lvl w:ilvl="4" w:tplc="E416CDF2" w:tentative="1">
      <w:start w:val="1"/>
      <w:numFmt w:val="bullet"/>
      <w:lvlText w:val="o"/>
      <w:lvlJc w:val="left"/>
      <w:pPr>
        <w:ind w:left="3600" w:hanging="360"/>
      </w:pPr>
      <w:rPr>
        <w:rFonts w:ascii="Courier New" w:hAnsi="Courier New" w:cs="Courier New" w:hint="default"/>
      </w:rPr>
    </w:lvl>
    <w:lvl w:ilvl="5" w:tplc="7610B700" w:tentative="1">
      <w:start w:val="1"/>
      <w:numFmt w:val="bullet"/>
      <w:lvlText w:val=""/>
      <w:lvlJc w:val="left"/>
      <w:pPr>
        <w:ind w:left="4320" w:hanging="360"/>
      </w:pPr>
      <w:rPr>
        <w:rFonts w:ascii="Wingdings" w:hAnsi="Wingdings" w:hint="default"/>
      </w:rPr>
    </w:lvl>
    <w:lvl w:ilvl="6" w:tplc="F59E623E" w:tentative="1">
      <w:start w:val="1"/>
      <w:numFmt w:val="bullet"/>
      <w:lvlText w:val=""/>
      <w:lvlJc w:val="left"/>
      <w:pPr>
        <w:ind w:left="5040" w:hanging="360"/>
      </w:pPr>
      <w:rPr>
        <w:rFonts w:ascii="Symbol" w:hAnsi="Symbol" w:hint="default"/>
      </w:rPr>
    </w:lvl>
    <w:lvl w:ilvl="7" w:tplc="6B947E1A" w:tentative="1">
      <w:start w:val="1"/>
      <w:numFmt w:val="bullet"/>
      <w:lvlText w:val="o"/>
      <w:lvlJc w:val="left"/>
      <w:pPr>
        <w:ind w:left="5760" w:hanging="360"/>
      </w:pPr>
      <w:rPr>
        <w:rFonts w:ascii="Courier New" w:hAnsi="Courier New" w:cs="Courier New" w:hint="default"/>
      </w:rPr>
    </w:lvl>
    <w:lvl w:ilvl="8" w:tplc="09323A6E" w:tentative="1">
      <w:start w:val="1"/>
      <w:numFmt w:val="bullet"/>
      <w:lvlText w:val=""/>
      <w:lvlJc w:val="left"/>
      <w:pPr>
        <w:ind w:left="6480" w:hanging="360"/>
      </w:pPr>
      <w:rPr>
        <w:rFonts w:ascii="Wingdings" w:hAnsi="Wingdings" w:hint="default"/>
      </w:rPr>
    </w:lvl>
  </w:abstractNum>
  <w:abstractNum w:abstractNumId="122" w15:restartNumberingAfterBreak="0">
    <w:nsid w:val="4C1A52ED"/>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123" w15:restartNumberingAfterBreak="0">
    <w:nsid w:val="4CAF10E2"/>
    <w:multiLevelType w:val="hybridMultilevel"/>
    <w:tmpl w:val="CA48C544"/>
    <w:lvl w:ilvl="0" w:tplc="07B024B8">
      <w:start w:val="1"/>
      <w:numFmt w:val="bullet"/>
      <w:lvlText w:val=""/>
      <w:lvlJc w:val="left"/>
      <w:pPr>
        <w:tabs>
          <w:tab w:val="num" w:pos="1440"/>
        </w:tabs>
        <w:ind w:left="1440" w:hanging="360"/>
      </w:pPr>
      <w:rPr>
        <w:rFonts w:ascii="Symbol" w:hAnsi="Symbol" w:hint="default"/>
      </w:rPr>
    </w:lvl>
    <w:lvl w:ilvl="1" w:tplc="EA460B64">
      <w:start w:val="1"/>
      <w:numFmt w:val="bullet"/>
      <w:lvlText w:val="o"/>
      <w:lvlJc w:val="left"/>
      <w:pPr>
        <w:tabs>
          <w:tab w:val="num" w:pos="2520"/>
        </w:tabs>
        <w:ind w:left="2520" w:hanging="360"/>
      </w:pPr>
      <w:rPr>
        <w:rFonts w:ascii="Courier New" w:hAnsi="Courier New" w:hint="default"/>
      </w:rPr>
    </w:lvl>
    <w:lvl w:ilvl="2" w:tplc="586ED40A">
      <w:start w:val="1"/>
      <w:numFmt w:val="bullet"/>
      <w:lvlText w:val=""/>
      <w:lvlJc w:val="left"/>
      <w:pPr>
        <w:tabs>
          <w:tab w:val="num" w:pos="3240"/>
        </w:tabs>
        <w:ind w:left="3240" w:hanging="360"/>
      </w:pPr>
      <w:rPr>
        <w:rFonts w:ascii="Symbol" w:hAnsi="Symbol" w:hint="default"/>
      </w:rPr>
    </w:lvl>
    <w:lvl w:ilvl="3" w:tplc="2CCC0776" w:tentative="1">
      <w:start w:val="1"/>
      <w:numFmt w:val="bullet"/>
      <w:lvlText w:val=""/>
      <w:lvlJc w:val="left"/>
      <w:pPr>
        <w:tabs>
          <w:tab w:val="num" w:pos="3960"/>
        </w:tabs>
        <w:ind w:left="3960" w:hanging="360"/>
      </w:pPr>
      <w:rPr>
        <w:rFonts w:ascii="Symbol" w:hAnsi="Symbol" w:hint="default"/>
      </w:rPr>
    </w:lvl>
    <w:lvl w:ilvl="4" w:tplc="8DF694FE" w:tentative="1">
      <w:start w:val="1"/>
      <w:numFmt w:val="bullet"/>
      <w:lvlText w:val="o"/>
      <w:lvlJc w:val="left"/>
      <w:pPr>
        <w:tabs>
          <w:tab w:val="num" w:pos="4680"/>
        </w:tabs>
        <w:ind w:left="4680" w:hanging="360"/>
      </w:pPr>
      <w:rPr>
        <w:rFonts w:ascii="Courier New" w:hAnsi="Courier New" w:hint="default"/>
      </w:rPr>
    </w:lvl>
    <w:lvl w:ilvl="5" w:tplc="74A681F4" w:tentative="1">
      <w:start w:val="1"/>
      <w:numFmt w:val="bullet"/>
      <w:lvlText w:val=""/>
      <w:lvlJc w:val="left"/>
      <w:pPr>
        <w:tabs>
          <w:tab w:val="num" w:pos="5400"/>
        </w:tabs>
        <w:ind w:left="5400" w:hanging="360"/>
      </w:pPr>
      <w:rPr>
        <w:rFonts w:ascii="Wingdings" w:hAnsi="Wingdings" w:hint="default"/>
      </w:rPr>
    </w:lvl>
    <w:lvl w:ilvl="6" w:tplc="CD188C48" w:tentative="1">
      <w:start w:val="1"/>
      <w:numFmt w:val="bullet"/>
      <w:lvlText w:val=""/>
      <w:lvlJc w:val="left"/>
      <w:pPr>
        <w:tabs>
          <w:tab w:val="num" w:pos="6120"/>
        </w:tabs>
        <w:ind w:left="6120" w:hanging="360"/>
      </w:pPr>
      <w:rPr>
        <w:rFonts w:ascii="Symbol" w:hAnsi="Symbol" w:hint="default"/>
      </w:rPr>
    </w:lvl>
    <w:lvl w:ilvl="7" w:tplc="461639C2" w:tentative="1">
      <w:start w:val="1"/>
      <w:numFmt w:val="bullet"/>
      <w:lvlText w:val="o"/>
      <w:lvlJc w:val="left"/>
      <w:pPr>
        <w:tabs>
          <w:tab w:val="num" w:pos="6840"/>
        </w:tabs>
        <w:ind w:left="6840" w:hanging="360"/>
      </w:pPr>
      <w:rPr>
        <w:rFonts w:ascii="Courier New" w:hAnsi="Courier New" w:hint="default"/>
      </w:rPr>
    </w:lvl>
    <w:lvl w:ilvl="8" w:tplc="1A34BAA4" w:tentative="1">
      <w:start w:val="1"/>
      <w:numFmt w:val="bullet"/>
      <w:lvlText w:val=""/>
      <w:lvlJc w:val="left"/>
      <w:pPr>
        <w:tabs>
          <w:tab w:val="num" w:pos="7560"/>
        </w:tabs>
        <w:ind w:left="7560" w:hanging="360"/>
      </w:pPr>
      <w:rPr>
        <w:rFonts w:ascii="Wingdings" w:hAnsi="Wingdings" w:hint="default"/>
      </w:rPr>
    </w:lvl>
  </w:abstractNum>
  <w:abstractNum w:abstractNumId="124" w15:restartNumberingAfterBreak="0">
    <w:nsid w:val="4E031D4C"/>
    <w:multiLevelType w:val="multilevel"/>
    <w:tmpl w:val="9B98C006"/>
    <w:lvl w:ilvl="0">
      <w:start w:val="1"/>
      <w:numFmt w:val="lowerLetter"/>
      <w:lvlText w:val="%1"/>
      <w:lvlJc w:val="left"/>
      <w:pPr>
        <w:ind w:left="720" w:hanging="720"/>
      </w:pPr>
      <w:rPr>
        <w:rFonts w:ascii="Times New Roman" w:hAnsi="Times New Roman" w:cs="Times New Roman" w:hint="default"/>
        <w:b w:val="0"/>
        <w:i w:val="0"/>
        <w:caps w:val="0"/>
        <w:sz w:val="16"/>
        <w:szCs w:val="16"/>
        <w:u w:val="none"/>
        <w:vertAlign w:val="superscrip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numFmt w:val="none"/>
      <w:lvlText w:val=""/>
      <w:lvlJc w:val="left"/>
      <w:pPr>
        <w:tabs>
          <w:tab w:val="num" w:pos="360"/>
        </w:tabs>
      </w:p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5" w15:restartNumberingAfterBreak="0">
    <w:nsid w:val="4E61213E"/>
    <w:multiLevelType w:val="hybridMultilevel"/>
    <w:tmpl w:val="2160BF3C"/>
    <w:lvl w:ilvl="0" w:tplc="E8BC355C">
      <w:start w:val="1"/>
      <w:numFmt w:val="bullet"/>
      <w:lvlText w:val=""/>
      <w:lvlJc w:val="left"/>
      <w:pPr>
        <w:ind w:left="720" w:hanging="360"/>
      </w:pPr>
      <w:rPr>
        <w:rFonts w:ascii="Symbol" w:hAnsi="Symbol" w:hint="default"/>
      </w:rPr>
    </w:lvl>
    <w:lvl w:ilvl="1" w:tplc="99EC84BE" w:tentative="1">
      <w:start w:val="1"/>
      <w:numFmt w:val="bullet"/>
      <w:lvlText w:val="o"/>
      <w:lvlJc w:val="left"/>
      <w:pPr>
        <w:ind w:left="1440" w:hanging="360"/>
      </w:pPr>
      <w:rPr>
        <w:rFonts w:ascii="Courier New" w:hAnsi="Courier New" w:cs="Courier New" w:hint="default"/>
      </w:rPr>
    </w:lvl>
    <w:lvl w:ilvl="2" w:tplc="EE6056CA" w:tentative="1">
      <w:start w:val="1"/>
      <w:numFmt w:val="bullet"/>
      <w:lvlText w:val=""/>
      <w:lvlJc w:val="left"/>
      <w:pPr>
        <w:ind w:left="2160" w:hanging="360"/>
      </w:pPr>
      <w:rPr>
        <w:rFonts w:ascii="Wingdings" w:hAnsi="Wingdings" w:hint="default"/>
      </w:rPr>
    </w:lvl>
    <w:lvl w:ilvl="3" w:tplc="032AE3A4" w:tentative="1">
      <w:start w:val="1"/>
      <w:numFmt w:val="bullet"/>
      <w:lvlText w:val=""/>
      <w:lvlJc w:val="left"/>
      <w:pPr>
        <w:ind w:left="2880" w:hanging="360"/>
      </w:pPr>
      <w:rPr>
        <w:rFonts w:ascii="Symbol" w:hAnsi="Symbol" w:hint="default"/>
      </w:rPr>
    </w:lvl>
    <w:lvl w:ilvl="4" w:tplc="B82874E8" w:tentative="1">
      <w:start w:val="1"/>
      <w:numFmt w:val="bullet"/>
      <w:lvlText w:val="o"/>
      <w:lvlJc w:val="left"/>
      <w:pPr>
        <w:ind w:left="3600" w:hanging="360"/>
      </w:pPr>
      <w:rPr>
        <w:rFonts w:ascii="Courier New" w:hAnsi="Courier New" w:cs="Courier New" w:hint="default"/>
      </w:rPr>
    </w:lvl>
    <w:lvl w:ilvl="5" w:tplc="64AA3770" w:tentative="1">
      <w:start w:val="1"/>
      <w:numFmt w:val="bullet"/>
      <w:lvlText w:val=""/>
      <w:lvlJc w:val="left"/>
      <w:pPr>
        <w:ind w:left="4320" w:hanging="360"/>
      </w:pPr>
      <w:rPr>
        <w:rFonts w:ascii="Wingdings" w:hAnsi="Wingdings" w:hint="default"/>
      </w:rPr>
    </w:lvl>
    <w:lvl w:ilvl="6" w:tplc="21F6586E" w:tentative="1">
      <w:start w:val="1"/>
      <w:numFmt w:val="bullet"/>
      <w:lvlText w:val=""/>
      <w:lvlJc w:val="left"/>
      <w:pPr>
        <w:ind w:left="5040" w:hanging="360"/>
      </w:pPr>
      <w:rPr>
        <w:rFonts w:ascii="Symbol" w:hAnsi="Symbol" w:hint="default"/>
      </w:rPr>
    </w:lvl>
    <w:lvl w:ilvl="7" w:tplc="E7843C7C" w:tentative="1">
      <w:start w:val="1"/>
      <w:numFmt w:val="bullet"/>
      <w:lvlText w:val="o"/>
      <w:lvlJc w:val="left"/>
      <w:pPr>
        <w:ind w:left="5760" w:hanging="360"/>
      </w:pPr>
      <w:rPr>
        <w:rFonts w:ascii="Courier New" w:hAnsi="Courier New" w:cs="Courier New" w:hint="default"/>
      </w:rPr>
    </w:lvl>
    <w:lvl w:ilvl="8" w:tplc="CB74B9A0" w:tentative="1">
      <w:start w:val="1"/>
      <w:numFmt w:val="bullet"/>
      <w:lvlText w:val=""/>
      <w:lvlJc w:val="left"/>
      <w:pPr>
        <w:ind w:left="6480" w:hanging="360"/>
      </w:pPr>
      <w:rPr>
        <w:rFonts w:ascii="Wingdings" w:hAnsi="Wingdings" w:hint="default"/>
      </w:rPr>
    </w:lvl>
  </w:abstractNum>
  <w:abstractNum w:abstractNumId="126" w15:restartNumberingAfterBreak="0">
    <w:nsid w:val="4EB37B6A"/>
    <w:multiLevelType w:val="hybridMultilevel"/>
    <w:tmpl w:val="2D7669F8"/>
    <w:lvl w:ilvl="0" w:tplc="F6CEE6D2">
      <w:start w:val="1"/>
      <w:numFmt w:val="bullet"/>
      <w:lvlText w:val=""/>
      <w:lvlJc w:val="left"/>
      <w:pPr>
        <w:ind w:left="720" w:hanging="360"/>
      </w:pPr>
      <w:rPr>
        <w:rFonts w:ascii="Symbol" w:hAnsi="Symbol" w:hint="default"/>
      </w:rPr>
    </w:lvl>
    <w:lvl w:ilvl="1" w:tplc="B26EC70A">
      <w:start w:val="1"/>
      <w:numFmt w:val="bullet"/>
      <w:lvlText w:val=""/>
      <w:lvlJc w:val="left"/>
      <w:pPr>
        <w:ind w:left="1440" w:hanging="360"/>
      </w:pPr>
      <w:rPr>
        <w:rFonts w:ascii="Symbol" w:hAnsi="Symbol" w:hint="default"/>
      </w:rPr>
    </w:lvl>
    <w:lvl w:ilvl="2" w:tplc="587296D0" w:tentative="1">
      <w:start w:val="1"/>
      <w:numFmt w:val="bullet"/>
      <w:lvlText w:val=""/>
      <w:lvlJc w:val="left"/>
      <w:pPr>
        <w:ind w:left="2160" w:hanging="360"/>
      </w:pPr>
      <w:rPr>
        <w:rFonts w:ascii="Wingdings" w:hAnsi="Wingdings" w:hint="default"/>
      </w:rPr>
    </w:lvl>
    <w:lvl w:ilvl="3" w:tplc="352C2C06" w:tentative="1">
      <w:start w:val="1"/>
      <w:numFmt w:val="bullet"/>
      <w:lvlText w:val=""/>
      <w:lvlJc w:val="left"/>
      <w:pPr>
        <w:ind w:left="2880" w:hanging="360"/>
      </w:pPr>
      <w:rPr>
        <w:rFonts w:ascii="Symbol" w:hAnsi="Symbol" w:hint="default"/>
      </w:rPr>
    </w:lvl>
    <w:lvl w:ilvl="4" w:tplc="570AA638" w:tentative="1">
      <w:start w:val="1"/>
      <w:numFmt w:val="bullet"/>
      <w:lvlText w:val="o"/>
      <w:lvlJc w:val="left"/>
      <w:pPr>
        <w:ind w:left="3600" w:hanging="360"/>
      </w:pPr>
      <w:rPr>
        <w:rFonts w:ascii="Courier New" w:hAnsi="Courier New" w:cs="Courier New" w:hint="default"/>
      </w:rPr>
    </w:lvl>
    <w:lvl w:ilvl="5" w:tplc="536A9534" w:tentative="1">
      <w:start w:val="1"/>
      <w:numFmt w:val="bullet"/>
      <w:lvlText w:val=""/>
      <w:lvlJc w:val="left"/>
      <w:pPr>
        <w:ind w:left="4320" w:hanging="360"/>
      </w:pPr>
      <w:rPr>
        <w:rFonts w:ascii="Wingdings" w:hAnsi="Wingdings" w:hint="default"/>
      </w:rPr>
    </w:lvl>
    <w:lvl w:ilvl="6" w:tplc="5A560BD6" w:tentative="1">
      <w:start w:val="1"/>
      <w:numFmt w:val="bullet"/>
      <w:lvlText w:val=""/>
      <w:lvlJc w:val="left"/>
      <w:pPr>
        <w:ind w:left="5040" w:hanging="360"/>
      </w:pPr>
      <w:rPr>
        <w:rFonts w:ascii="Symbol" w:hAnsi="Symbol" w:hint="default"/>
      </w:rPr>
    </w:lvl>
    <w:lvl w:ilvl="7" w:tplc="663460C6" w:tentative="1">
      <w:start w:val="1"/>
      <w:numFmt w:val="bullet"/>
      <w:lvlText w:val="o"/>
      <w:lvlJc w:val="left"/>
      <w:pPr>
        <w:ind w:left="5760" w:hanging="360"/>
      </w:pPr>
      <w:rPr>
        <w:rFonts w:ascii="Courier New" w:hAnsi="Courier New" w:cs="Courier New" w:hint="default"/>
      </w:rPr>
    </w:lvl>
    <w:lvl w:ilvl="8" w:tplc="E89C2D7C" w:tentative="1">
      <w:start w:val="1"/>
      <w:numFmt w:val="bullet"/>
      <w:lvlText w:val=""/>
      <w:lvlJc w:val="left"/>
      <w:pPr>
        <w:ind w:left="6480" w:hanging="360"/>
      </w:pPr>
      <w:rPr>
        <w:rFonts w:ascii="Wingdings" w:hAnsi="Wingdings" w:hint="default"/>
      </w:rPr>
    </w:lvl>
  </w:abstractNum>
  <w:abstractNum w:abstractNumId="127" w15:restartNumberingAfterBreak="0">
    <w:nsid w:val="4F8B5FA7"/>
    <w:multiLevelType w:val="hybridMultilevel"/>
    <w:tmpl w:val="C00E74D0"/>
    <w:lvl w:ilvl="0" w:tplc="F698DD5C">
      <w:start w:val="1"/>
      <w:numFmt w:val="bullet"/>
      <w:lvlText w:val=""/>
      <w:lvlJc w:val="left"/>
      <w:pPr>
        <w:tabs>
          <w:tab w:val="num" w:pos="360"/>
        </w:tabs>
        <w:ind w:left="360" w:hanging="360"/>
      </w:pPr>
      <w:rPr>
        <w:rFonts w:ascii="Symbol" w:hAnsi="Symbol" w:hint="default"/>
      </w:rPr>
    </w:lvl>
    <w:lvl w:ilvl="1" w:tplc="CA628ACA">
      <w:start w:val="1"/>
      <w:numFmt w:val="bullet"/>
      <w:lvlText w:val="o"/>
      <w:lvlJc w:val="left"/>
      <w:pPr>
        <w:tabs>
          <w:tab w:val="num" w:pos="1440"/>
        </w:tabs>
        <w:ind w:left="1440" w:hanging="360"/>
      </w:pPr>
      <w:rPr>
        <w:rFonts w:ascii="Courier New" w:hAnsi="Courier New" w:hint="default"/>
      </w:rPr>
    </w:lvl>
    <w:lvl w:ilvl="2" w:tplc="F29E4666" w:tentative="1">
      <w:start w:val="1"/>
      <w:numFmt w:val="bullet"/>
      <w:lvlText w:val=""/>
      <w:lvlJc w:val="left"/>
      <w:pPr>
        <w:tabs>
          <w:tab w:val="num" w:pos="2160"/>
        </w:tabs>
        <w:ind w:left="2160" w:hanging="360"/>
      </w:pPr>
      <w:rPr>
        <w:rFonts w:ascii="Wingdings" w:hAnsi="Wingdings" w:hint="default"/>
      </w:rPr>
    </w:lvl>
    <w:lvl w:ilvl="3" w:tplc="07CA5228" w:tentative="1">
      <w:start w:val="1"/>
      <w:numFmt w:val="bullet"/>
      <w:lvlText w:val=""/>
      <w:lvlJc w:val="left"/>
      <w:pPr>
        <w:tabs>
          <w:tab w:val="num" w:pos="2880"/>
        </w:tabs>
        <w:ind w:left="2880" w:hanging="360"/>
      </w:pPr>
      <w:rPr>
        <w:rFonts w:ascii="Symbol" w:hAnsi="Symbol" w:hint="default"/>
      </w:rPr>
    </w:lvl>
    <w:lvl w:ilvl="4" w:tplc="5DF2AAD0" w:tentative="1">
      <w:start w:val="1"/>
      <w:numFmt w:val="bullet"/>
      <w:lvlText w:val="o"/>
      <w:lvlJc w:val="left"/>
      <w:pPr>
        <w:tabs>
          <w:tab w:val="num" w:pos="3600"/>
        </w:tabs>
        <w:ind w:left="3600" w:hanging="360"/>
      </w:pPr>
      <w:rPr>
        <w:rFonts w:ascii="Courier New" w:hAnsi="Courier New" w:hint="default"/>
      </w:rPr>
    </w:lvl>
    <w:lvl w:ilvl="5" w:tplc="7ABCEA82" w:tentative="1">
      <w:start w:val="1"/>
      <w:numFmt w:val="bullet"/>
      <w:lvlText w:val=""/>
      <w:lvlJc w:val="left"/>
      <w:pPr>
        <w:tabs>
          <w:tab w:val="num" w:pos="4320"/>
        </w:tabs>
        <w:ind w:left="4320" w:hanging="360"/>
      </w:pPr>
      <w:rPr>
        <w:rFonts w:ascii="Wingdings" w:hAnsi="Wingdings" w:hint="default"/>
      </w:rPr>
    </w:lvl>
    <w:lvl w:ilvl="6" w:tplc="FA808E4C" w:tentative="1">
      <w:start w:val="1"/>
      <w:numFmt w:val="bullet"/>
      <w:lvlText w:val=""/>
      <w:lvlJc w:val="left"/>
      <w:pPr>
        <w:tabs>
          <w:tab w:val="num" w:pos="5040"/>
        </w:tabs>
        <w:ind w:left="5040" w:hanging="360"/>
      </w:pPr>
      <w:rPr>
        <w:rFonts w:ascii="Symbol" w:hAnsi="Symbol" w:hint="default"/>
      </w:rPr>
    </w:lvl>
    <w:lvl w:ilvl="7" w:tplc="95347134" w:tentative="1">
      <w:start w:val="1"/>
      <w:numFmt w:val="bullet"/>
      <w:lvlText w:val="o"/>
      <w:lvlJc w:val="left"/>
      <w:pPr>
        <w:tabs>
          <w:tab w:val="num" w:pos="5760"/>
        </w:tabs>
        <w:ind w:left="5760" w:hanging="360"/>
      </w:pPr>
      <w:rPr>
        <w:rFonts w:ascii="Courier New" w:hAnsi="Courier New" w:hint="default"/>
      </w:rPr>
    </w:lvl>
    <w:lvl w:ilvl="8" w:tplc="5502C58A"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4FD96EC7"/>
    <w:multiLevelType w:val="hybridMultilevel"/>
    <w:tmpl w:val="2E4A3F8E"/>
    <w:lvl w:ilvl="0" w:tplc="C284D790">
      <w:start w:val="1"/>
      <w:numFmt w:val="bullet"/>
      <w:lvlText w:val=""/>
      <w:lvlJc w:val="left"/>
      <w:pPr>
        <w:tabs>
          <w:tab w:val="num" w:pos="360"/>
        </w:tabs>
        <w:ind w:left="360" w:hanging="360"/>
      </w:pPr>
      <w:rPr>
        <w:rFonts w:ascii="Symbol" w:hAnsi="Symbol" w:hint="default"/>
      </w:rPr>
    </w:lvl>
    <w:lvl w:ilvl="1" w:tplc="71926A80" w:tentative="1">
      <w:start w:val="1"/>
      <w:numFmt w:val="bullet"/>
      <w:lvlText w:val="o"/>
      <w:lvlJc w:val="left"/>
      <w:pPr>
        <w:tabs>
          <w:tab w:val="num" w:pos="1080"/>
        </w:tabs>
        <w:ind w:left="1080" w:hanging="360"/>
      </w:pPr>
      <w:rPr>
        <w:rFonts w:ascii="Courier New" w:hAnsi="Courier New" w:hint="default"/>
      </w:rPr>
    </w:lvl>
    <w:lvl w:ilvl="2" w:tplc="37147C36" w:tentative="1">
      <w:start w:val="1"/>
      <w:numFmt w:val="bullet"/>
      <w:lvlText w:val=""/>
      <w:lvlJc w:val="left"/>
      <w:pPr>
        <w:tabs>
          <w:tab w:val="num" w:pos="1800"/>
        </w:tabs>
        <w:ind w:left="1800" w:hanging="360"/>
      </w:pPr>
      <w:rPr>
        <w:rFonts w:ascii="Wingdings" w:hAnsi="Wingdings" w:hint="default"/>
      </w:rPr>
    </w:lvl>
    <w:lvl w:ilvl="3" w:tplc="84368A2A" w:tentative="1">
      <w:start w:val="1"/>
      <w:numFmt w:val="bullet"/>
      <w:lvlText w:val=""/>
      <w:lvlJc w:val="left"/>
      <w:pPr>
        <w:tabs>
          <w:tab w:val="num" w:pos="2520"/>
        </w:tabs>
        <w:ind w:left="2520" w:hanging="360"/>
      </w:pPr>
      <w:rPr>
        <w:rFonts w:ascii="Symbol" w:hAnsi="Symbol" w:hint="default"/>
      </w:rPr>
    </w:lvl>
    <w:lvl w:ilvl="4" w:tplc="FD148CD4" w:tentative="1">
      <w:start w:val="1"/>
      <w:numFmt w:val="bullet"/>
      <w:lvlText w:val="o"/>
      <w:lvlJc w:val="left"/>
      <w:pPr>
        <w:tabs>
          <w:tab w:val="num" w:pos="3240"/>
        </w:tabs>
        <w:ind w:left="3240" w:hanging="360"/>
      </w:pPr>
      <w:rPr>
        <w:rFonts w:ascii="Courier New" w:hAnsi="Courier New" w:hint="default"/>
      </w:rPr>
    </w:lvl>
    <w:lvl w:ilvl="5" w:tplc="44421F68" w:tentative="1">
      <w:start w:val="1"/>
      <w:numFmt w:val="bullet"/>
      <w:lvlText w:val=""/>
      <w:lvlJc w:val="left"/>
      <w:pPr>
        <w:tabs>
          <w:tab w:val="num" w:pos="3960"/>
        </w:tabs>
        <w:ind w:left="3960" w:hanging="360"/>
      </w:pPr>
      <w:rPr>
        <w:rFonts w:ascii="Wingdings" w:hAnsi="Wingdings" w:hint="default"/>
      </w:rPr>
    </w:lvl>
    <w:lvl w:ilvl="6" w:tplc="524C7F54" w:tentative="1">
      <w:start w:val="1"/>
      <w:numFmt w:val="bullet"/>
      <w:lvlText w:val=""/>
      <w:lvlJc w:val="left"/>
      <w:pPr>
        <w:tabs>
          <w:tab w:val="num" w:pos="4680"/>
        </w:tabs>
        <w:ind w:left="4680" w:hanging="360"/>
      </w:pPr>
      <w:rPr>
        <w:rFonts w:ascii="Symbol" w:hAnsi="Symbol" w:hint="default"/>
      </w:rPr>
    </w:lvl>
    <w:lvl w:ilvl="7" w:tplc="59544564" w:tentative="1">
      <w:start w:val="1"/>
      <w:numFmt w:val="bullet"/>
      <w:lvlText w:val="o"/>
      <w:lvlJc w:val="left"/>
      <w:pPr>
        <w:tabs>
          <w:tab w:val="num" w:pos="5400"/>
        </w:tabs>
        <w:ind w:left="5400" w:hanging="360"/>
      </w:pPr>
      <w:rPr>
        <w:rFonts w:ascii="Courier New" w:hAnsi="Courier New" w:hint="default"/>
      </w:rPr>
    </w:lvl>
    <w:lvl w:ilvl="8" w:tplc="99000322" w:tentative="1">
      <w:start w:val="1"/>
      <w:numFmt w:val="bullet"/>
      <w:lvlText w:val=""/>
      <w:lvlJc w:val="left"/>
      <w:pPr>
        <w:tabs>
          <w:tab w:val="num" w:pos="6120"/>
        </w:tabs>
        <w:ind w:left="6120" w:hanging="360"/>
      </w:pPr>
      <w:rPr>
        <w:rFonts w:ascii="Wingdings" w:hAnsi="Wingdings" w:hint="default"/>
      </w:rPr>
    </w:lvl>
  </w:abstractNum>
  <w:abstractNum w:abstractNumId="129" w15:restartNumberingAfterBreak="0">
    <w:nsid w:val="505C193A"/>
    <w:multiLevelType w:val="hybridMultilevel"/>
    <w:tmpl w:val="12A486E4"/>
    <w:lvl w:ilvl="0" w:tplc="DB7CE46E">
      <w:start w:val="1"/>
      <w:numFmt w:val="bullet"/>
      <w:lvlText w:val=""/>
      <w:lvlJc w:val="left"/>
      <w:pPr>
        <w:ind w:left="1287" w:hanging="360"/>
      </w:pPr>
      <w:rPr>
        <w:rFonts w:ascii="Symbol" w:hAnsi="Symbol" w:hint="default"/>
      </w:rPr>
    </w:lvl>
    <w:lvl w:ilvl="1" w:tplc="01A0D75C">
      <w:start w:val="1"/>
      <w:numFmt w:val="bullet"/>
      <w:lvlText w:val="o"/>
      <w:lvlJc w:val="left"/>
      <w:pPr>
        <w:ind w:left="2007" w:hanging="360"/>
      </w:pPr>
      <w:rPr>
        <w:rFonts w:ascii="Courier New" w:hAnsi="Courier New" w:cs="Courier New" w:hint="default"/>
      </w:rPr>
    </w:lvl>
    <w:lvl w:ilvl="2" w:tplc="825C6448" w:tentative="1">
      <w:start w:val="1"/>
      <w:numFmt w:val="bullet"/>
      <w:lvlText w:val=""/>
      <w:lvlJc w:val="left"/>
      <w:pPr>
        <w:ind w:left="2727" w:hanging="360"/>
      </w:pPr>
      <w:rPr>
        <w:rFonts w:ascii="Wingdings" w:hAnsi="Wingdings" w:hint="default"/>
      </w:rPr>
    </w:lvl>
    <w:lvl w:ilvl="3" w:tplc="BD24C14C" w:tentative="1">
      <w:start w:val="1"/>
      <w:numFmt w:val="bullet"/>
      <w:lvlText w:val=""/>
      <w:lvlJc w:val="left"/>
      <w:pPr>
        <w:ind w:left="3447" w:hanging="360"/>
      </w:pPr>
      <w:rPr>
        <w:rFonts w:ascii="Symbol" w:hAnsi="Symbol" w:hint="default"/>
      </w:rPr>
    </w:lvl>
    <w:lvl w:ilvl="4" w:tplc="381011AE" w:tentative="1">
      <w:start w:val="1"/>
      <w:numFmt w:val="bullet"/>
      <w:lvlText w:val="o"/>
      <w:lvlJc w:val="left"/>
      <w:pPr>
        <w:ind w:left="4167" w:hanging="360"/>
      </w:pPr>
      <w:rPr>
        <w:rFonts w:ascii="Courier New" w:hAnsi="Courier New" w:cs="Courier New" w:hint="default"/>
      </w:rPr>
    </w:lvl>
    <w:lvl w:ilvl="5" w:tplc="B0E610F0" w:tentative="1">
      <w:start w:val="1"/>
      <w:numFmt w:val="bullet"/>
      <w:lvlText w:val=""/>
      <w:lvlJc w:val="left"/>
      <w:pPr>
        <w:ind w:left="4887" w:hanging="360"/>
      </w:pPr>
      <w:rPr>
        <w:rFonts w:ascii="Wingdings" w:hAnsi="Wingdings" w:hint="default"/>
      </w:rPr>
    </w:lvl>
    <w:lvl w:ilvl="6" w:tplc="2F96F8DE" w:tentative="1">
      <w:start w:val="1"/>
      <w:numFmt w:val="bullet"/>
      <w:lvlText w:val=""/>
      <w:lvlJc w:val="left"/>
      <w:pPr>
        <w:ind w:left="5607" w:hanging="360"/>
      </w:pPr>
      <w:rPr>
        <w:rFonts w:ascii="Symbol" w:hAnsi="Symbol" w:hint="default"/>
      </w:rPr>
    </w:lvl>
    <w:lvl w:ilvl="7" w:tplc="E5B841A0" w:tentative="1">
      <w:start w:val="1"/>
      <w:numFmt w:val="bullet"/>
      <w:lvlText w:val="o"/>
      <w:lvlJc w:val="left"/>
      <w:pPr>
        <w:ind w:left="6327" w:hanging="360"/>
      </w:pPr>
      <w:rPr>
        <w:rFonts w:ascii="Courier New" w:hAnsi="Courier New" w:cs="Courier New" w:hint="default"/>
      </w:rPr>
    </w:lvl>
    <w:lvl w:ilvl="8" w:tplc="E4A07D6A" w:tentative="1">
      <w:start w:val="1"/>
      <w:numFmt w:val="bullet"/>
      <w:lvlText w:val=""/>
      <w:lvlJc w:val="left"/>
      <w:pPr>
        <w:ind w:left="7047" w:hanging="360"/>
      </w:pPr>
      <w:rPr>
        <w:rFonts w:ascii="Wingdings" w:hAnsi="Wingdings" w:hint="default"/>
      </w:rPr>
    </w:lvl>
  </w:abstractNum>
  <w:abstractNum w:abstractNumId="130" w15:restartNumberingAfterBreak="0">
    <w:nsid w:val="52C8174D"/>
    <w:multiLevelType w:val="multilevel"/>
    <w:tmpl w:val="5AA28542"/>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31" w15:restartNumberingAfterBreak="0">
    <w:nsid w:val="533567A7"/>
    <w:multiLevelType w:val="hybridMultilevel"/>
    <w:tmpl w:val="25967086"/>
    <w:lvl w:ilvl="0" w:tplc="DCB49A28">
      <w:start w:val="1"/>
      <w:numFmt w:val="bullet"/>
      <w:lvlText w:val=""/>
      <w:lvlJc w:val="left"/>
      <w:pPr>
        <w:ind w:left="720" w:hanging="360"/>
      </w:pPr>
      <w:rPr>
        <w:rFonts w:ascii="Symbol" w:hAnsi="Symbol" w:hint="default"/>
        <w:sz w:val="22"/>
        <w:szCs w:val="22"/>
      </w:rPr>
    </w:lvl>
    <w:lvl w:ilvl="1" w:tplc="995C0550" w:tentative="1">
      <w:start w:val="1"/>
      <w:numFmt w:val="bullet"/>
      <w:lvlText w:val="o"/>
      <w:lvlJc w:val="left"/>
      <w:pPr>
        <w:ind w:left="1440" w:hanging="360"/>
      </w:pPr>
      <w:rPr>
        <w:rFonts w:ascii="Courier New" w:hAnsi="Courier New" w:cs="Courier New" w:hint="default"/>
      </w:rPr>
    </w:lvl>
    <w:lvl w:ilvl="2" w:tplc="1DD034CE" w:tentative="1">
      <w:start w:val="1"/>
      <w:numFmt w:val="bullet"/>
      <w:lvlText w:val=""/>
      <w:lvlJc w:val="left"/>
      <w:pPr>
        <w:ind w:left="2160" w:hanging="360"/>
      </w:pPr>
      <w:rPr>
        <w:rFonts w:ascii="Wingdings" w:hAnsi="Wingdings" w:hint="default"/>
      </w:rPr>
    </w:lvl>
    <w:lvl w:ilvl="3" w:tplc="32A8B9E8" w:tentative="1">
      <w:start w:val="1"/>
      <w:numFmt w:val="bullet"/>
      <w:lvlText w:val=""/>
      <w:lvlJc w:val="left"/>
      <w:pPr>
        <w:ind w:left="2880" w:hanging="360"/>
      </w:pPr>
      <w:rPr>
        <w:rFonts w:ascii="Symbol" w:hAnsi="Symbol" w:hint="default"/>
      </w:rPr>
    </w:lvl>
    <w:lvl w:ilvl="4" w:tplc="A860EAC2" w:tentative="1">
      <w:start w:val="1"/>
      <w:numFmt w:val="bullet"/>
      <w:lvlText w:val="o"/>
      <w:lvlJc w:val="left"/>
      <w:pPr>
        <w:ind w:left="3600" w:hanging="360"/>
      </w:pPr>
      <w:rPr>
        <w:rFonts w:ascii="Courier New" w:hAnsi="Courier New" w:cs="Courier New" w:hint="default"/>
      </w:rPr>
    </w:lvl>
    <w:lvl w:ilvl="5" w:tplc="D79E7C56" w:tentative="1">
      <w:start w:val="1"/>
      <w:numFmt w:val="bullet"/>
      <w:lvlText w:val=""/>
      <w:lvlJc w:val="left"/>
      <w:pPr>
        <w:ind w:left="4320" w:hanging="360"/>
      </w:pPr>
      <w:rPr>
        <w:rFonts w:ascii="Wingdings" w:hAnsi="Wingdings" w:hint="default"/>
      </w:rPr>
    </w:lvl>
    <w:lvl w:ilvl="6" w:tplc="4CCA6D58" w:tentative="1">
      <w:start w:val="1"/>
      <w:numFmt w:val="bullet"/>
      <w:lvlText w:val=""/>
      <w:lvlJc w:val="left"/>
      <w:pPr>
        <w:ind w:left="5040" w:hanging="360"/>
      </w:pPr>
      <w:rPr>
        <w:rFonts w:ascii="Symbol" w:hAnsi="Symbol" w:hint="default"/>
      </w:rPr>
    </w:lvl>
    <w:lvl w:ilvl="7" w:tplc="2F7ADB18" w:tentative="1">
      <w:start w:val="1"/>
      <w:numFmt w:val="bullet"/>
      <w:lvlText w:val="o"/>
      <w:lvlJc w:val="left"/>
      <w:pPr>
        <w:ind w:left="5760" w:hanging="360"/>
      </w:pPr>
      <w:rPr>
        <w:rFonts w:ascii="Courier New" w:hAnsi="Courier New" w:cs="Courier New" w:hint="default"/>
      </w:rPr>
    </w:lvl>
    <w:lvl w:ilvl="8" w:tplc="A5D2D790" w:tentative="1">
      <w:start w:val="1"/>
      <w:numFmt w:val="bullet"/>
      <w:lvlText w:val=""/>
      <w:lvlJc w:val="left"/>
      <w:pPr>
        <w:ind w:left="6480" w:hanging="360"/>
      </w:pPr>
      <w:rPr>
        <w:rFonts w:ascii="Wingdings" w:hAnsi="Wingdings" w:hint="default"/>
      </w:rPr>
    </w:lvl>
  </w:abstractNum>
  <w:abstractNum w:abstractNumId="132" w15:restartNumberingAfterBreak="0">
    <w:nsid w:val="538F6038"/>
    <w:multiLevelType w:val="hybridMultilevel"/>
    <w:tmpl w:val="E1C01090"/>
    <w:lvl w:ilvl="0" w:tplc="50007068">
      <w:start w:val="1"/>
      <w:numFmt w:val="bullet"/>
      <w:lvlText w:val=""/>
      <w:lvlJc w:val="left"/>
      <w:pPr>
        <w:tabs>
          <w:tab w:val="num" w:pos="567"/>
        </w:tabs>
        <w:ind w:left="567" w:hanging="567"/>
      </w:pPr>
      <w:rPr>
        <w:rFonts w:ascii="Symbol" w:hAnsi="Symbol" w:hint="default"/>
      </w:rPr>
    </w:lvl>
    <w:lvl w:ilvl="1" w:tplc="B0F435A6">
      <w:start w:val="1"/>
      <w:numFmt w:val="bullet"/>
      <w:lvlText w:val=""/>
      <w:lvlJc w:val="left"/>
      <w:pPr>
        <w:tabs>
          <w:tab w:val="num" w:pos="1440"/>
        </w:tabs>
        <w:ind w:left="1440" w:hanging="360"/>
      </w:pPr>
      <w:rPr>
        <w:rFonts w:ascii="Symbol" w:hAnsi="Symbol" w:hint="default"/>
      </w:rPr>
    </w:lvl>
    <w:lvl w:ilvl="2" w:tplc="B338D968" w:tentative="1">
      <w:start w:val="1"/>
      <w:numFmt w:val="bullet"/>
      <w:lvlText w:val=""/>
      <w:lvlJc w:val="left"/>
      <w:pPr>
        <w:tabs>
          <w:tab w:val="num" w:pos="2160"/>
        </w:tabs>
        <w:ind w:left="2160" w:hanging="360"/>
      </w:pPr>
      <w:rPr>
        <w:rFonts w:ascii="Wingdings" w:hAnsi="Wingdings" w:hint="default"/>
      </w:rPr>
    </w:lvl>
    <w:lvl w:ilvl="3" w:tplc="07107460" w:tentative="1">
      <w:start w:val="1"/>
      <w:numFmt w:val="bullet"/>
      <w:lvlText w:val=""/>
      <w:lvlJc w:val="left"/>
      <w:pPr>
        <w:tabs>
          <w:tab w:val="num" w:pos="2880"/>
        </w:tabs>
        <w:ind w:left="2880" w:hanging="360"/>
      </w:pPr>
      <w:rPr>
        <w:rFonts w:ascii="Symbol" w:hAnsi="Symbol" w:hint="default"/>
      </w:rPr>
    </w:lvl>
    <w:lvl w:ilvl="4" w:tplc="1946055E" w:tentative="1">
      <w:start w:val="1"/>
      <w:numFmt w:val="bullet"/>
      <w:lvlText w:val="o"/>
      <w:lvlJc w:val="left"/>
      <w:pPr>
        <w:tabs>
          <w:tab w:val="num" w:pos="3600"/>
        </w:tabs>
        <w:ind w:left="3600" w:hanging="360"/>
      </w:pPr>
      <w:rPr>
        <w:rFonts w:ascii="Courier New" w:hAnsi="Courier New" w:hint="default"/>
      </w:rPr>
    </w:lvl>
    <w:lvl w:ilvl="5" w:tplc="4096298C" w:tentative="1">
      <w:start w:val="1"/>
      <w:numFmt w:val="bullet"/>
      <w:lvlText w:val=""/>
      <w:lvlJc w:val="left"/>
      <w:pPr>
        <w:tabs>
          <w:tab w:val="num" w:pos="4320"/>
        </w:tabs>
        <w:ind w:left="4320" w:hanging="360"/>
      </w:pPr>
      <w:rPr>
        <w:rFonts w:ascii="Wingdings" w:hAnsi="Wingdings" w:hint="default"/>
      </w:rPr>
    </w:lvl>
    <w:lvl w:ilvl="6" w:tplc="3E9C3270" w:tentative="1">
      <w:start w:val="1"/>
      <w:numFmt w:val="bullet"/>
      <w:lvlText w:val=""/>
      <w:lvlJc w:val="left"/>
      <w:pPr>
        <w:tabs>
          <w:tab w:val="num" w:pos="5040"/>
        </w:tabs>
        <w:ind w:left="5040" w:hanging="360"/>
      </w:pPr>
      <w:rPr>
        <w:rFonts w:ascii="Symbol" w:hAnsi="Symbol" w:hint="default"/>
      </w:rPr>
    </w:lvl>
    <w:lvl w:ilvl="7" w:tplc="772E7F30" w:tentative="1">
      <w:start w:val="1"/>
      <w:numFmt w:val="bullet"/>
      <w:lvlText w:val="o"/>
      <w:lvlJc w:val="left"/>
      <w:pPr>
        <w:tabs>
          <w:tab w:val="num" w:pos="5760"/>
        </w:tabs>
        <w:ind w:left="5760" w:hanging="360"/>
      </w:pPr>
      <w:rPr>
        <w:rFonts w:ascii="Courier New" w:hAnsi="Courier New" w:hint="default"/>
      </w:rPr>
    </w:lvl>
    <w:lvl w:ilvl="8" w:tplc="DAB4D96A"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54092137"/>
    <w:multiLevelType w:val="hybridMultilevel"/>
    <w:tmpl w:val="2E84E628"/>
    <w:lvl w:ilvl="0" w:tplc="C25CE136">
      <w:start w:val="1"/>
      <w:numFmt w:val="bullet"/>
      <w:lvlText w:val=""/>
      <w:lvlJc w:val="left"/>
      <w:pPr>
        <w:ind w:left="720" w:hanging="360"/>
      </w:pPr>
      <w:rPr>
        <w:rFonts w:ascii="Symbol" w:hAnsi="Symbol" w:hint="default"/>
      </w:rPr>
    </w:lvl>
    <w:lvl w:ilvl="1" w:tplc="4F7E238C" w:tentative="1">
      <w:start w:val="1"/>
      <w:numFmt w:val="bullet"/>
      <w:lvlText w:val="o"/>
      <w:lvlJc w:val="left"/>
      <w:pPr>
        <w:ind w:left="1440" w:hanging="360"/>
      </w:pPr>
      <w:rPr>
        <w:rFonts w:ascii="Courier New" w:hAnsi="Courier New" w:cs="Courier New" w:hint="default"/>
      </w:rPr>
    </w:lvl>
    <w:lvl w:ilvl="2" w:tplc="25DEF90C" w:tentative="1">
      <w:start w:val="1"/>
      <w:numFmt w:val="bullet"/>
      <w:lvlText w:val=""/>
      <w:lvlJc w:val="left"/>
      <w:pPr>
        <w:ind w:left="2160" w:hanging="360"/>
      </w:pPr>
      <w:rPr>
        <w:rFonts w:ascii="Wingdings" w:hAnsi="Wingdings" w:hint="default"/>
      </w:rPr>
    </w:lvl>
    <w:lvl w:ilvl="3" w:tplc="CFD0197A" w:tentative="1">
      <w:start w:val="1"/>
      <w:numFmt w:val="bullet"/>
      <w:lvlText w:val=""/>
      <w:lvlJc w:val="left"/>
      <w:pPr>
        <w:ind w:left="2880" w:hanging="360"/>
      </w:pPr>
      <w:rPr>
        <w:rFonts w:ascii="Symbol" w:hAnsi="Symbol" w:hint="default"/>
      </w:rPr>
    </w:lvl>
    <w:lvl w:ilvl="4" w:tplc="CA965B96" w:tentative="1">
      <w:start w:val="1"/>
      <w:numFmt w:val="bullet"/>
      <w:lvlText w:val="o"/>
      <w:lvlJc w:val="left"/>
      <w:pPr>
        <w:ind w:left="3600" w:hanging="360"/>
      </w:pPr>
      <w:rPr>
        <w:rFonts w:ascii="Courier New" w:hAnsi="Courier New" w:cs="Courier New" w:hint="default"/>
      </w:rPr>
    </w:lvl>
    <w:lvl w:ilvl="5" w:tplc="00423B5E" w:tentative="1">
      <w:start w:val="1"/>
      <w:numFmt w:val="bullet"/>
      <w:lvlText w:val=""/>
      <w:lvlJc w:val="left"/>
      <w:pPr>
        <w:ind w:left="4320" w:hanging="360"/>
      </w:pPr>
      <w:rPr>
        <w:rFonts w:ascii="Wingdings" w:hAnsi="Wingdings" w:hint="default"/>
      </w:rPr>
    </w:lvl>
    <w:lvl w:ilvl="6" w:tplc="EF16A052" w:tentative="1">
      <w:start w:val="1"/>
      <w:numFmt w:val="bullet"/>
      <w:lvlText w:val=""/>
      <w:lvlJc w:val="left"/>
      <w:pPr>
        <w:ind w:left="5040" w:hanging="360"/>
      </w:pPr>
      <w:rPr>
        <w:rFonts w:ascii="Symbol" w:hAnsi="Symbol" w:hint="default"/>
      </w:rPr>
    </w:lvl>
    <w:lvl w:ilvl="7" w:tplc="1C625ADE" w:tentative="1">
      <w:start w:val="1"/>
      <w:numFmt w:val="bullet"/>
      <w:lvlText w:val="o"/>
      <w:lvlJc w:val="left"/>
      <w:pPr>
        <w:ind w:left="5760" w:hanging="360"/>
      </w:pPr>
      <w:rPr>
        <w:rFonts w:ascii="Courier New" w:hAnsi="Courier New" w:cs="Courier New" w:hint="default"/>
      </w:rPr>
    </w:lvl>
    <w:lvl w:ilvl="8" w:tplc="51B28646" w:tentative="1">
      <w:start w:val="1"/>
      <w:numFmt w:val="bullet"/>
      <w:lvlText w:val=""/>
      <w:lvlJc w:val="left"/>
      <w:pPr>
        <w:ind w:left="6480" w:hanging="360"/>
      </w:pPr>
      <w:rPr>
        <w:rFonts w:ascii="Wingdings" w:hAnsi="Wingdings" w:hint="default"/>
      </w:rPr>
    </w:lvl>
  </w:abstractNum>
  <w:abstractNum w:abstractNumId="134" w15:restartNumberingAfterBreak="0">
    <w:nsid w:val="56007351"/>
    <w:multiLevelType w:val="hybridMultilevel"/>
    <w:tmpl w:val="6A9C6E94"/>
    <w:lvl w:ilvl="0" w:tplc="63E84768">
      <w:start w:val="1"/>
      <w:numFmt w:val="bullet"/>
      <w:lvlText w:val=""/>
      <w:lvlJc w:val="left"/>
      <w:pPr>
        <w:ind w:left="720" w:hanging="360"/>
      </w:pPr>
      <w:rPr>
        <w:rFonts w:ascii="Symbol" w:hAnsi="Symbol" w:hint="default"/>
        <w:sz w:val="22"/>
      </w:rPr>
    </w:lvl>
    <w:lvl w:ilvl="1" w:tplc="AECC4C1C" w:tentative="1">
      <w:start w:val="1"/>
      <w:numFmt w:val="bullet"/>
      <w:lvlText w:val="o"/>
      <w:lvlJc w:val="left"/>
      <w:pPr>
        <w:ind w:left="1440" w:hanging="360"/>
      </w:pPr>
      <w:rPr>
        <w:rFonts w:ascii="Courier New" w:hAnsi="Courier New" w:cs="Courier New" w:hint="default"/>
      </w:rPr>
    </w:lvl>
    <w:lvl w:ilvl="2" w:tplc="3172313E" w:tentative="1">
      <w:start w:val="1"/>
      <w:numFmt w:val="bullet"/>
      <w:lvlText w:val=""/>
      <w:lvlJc w:val="left"/>
      <w:pPr>
        <w:ind w:left="2160" w:hanging="360"/>
      </w:pPr>
      <w:rPr>
        <w:rFonts w:ascii="Wingdings" w:hAnsi="Wingdings" w:hint="default"/>
      </w:rPr>
    </w:lvl>
    <w:lvl w:ilvl="3" w:tplc="A2228D12" w:tentative="1">
      <w:start w:val="1"/>
      <w:numFmt w:val="bullet"/>
      <w:lvlText w:val=""/>
      <w:lvlJc w:val="left"/>
      <w:pPr>
        <w:ind w:left="2880" w:hanging="360"/>
      </w:pPr>
      <w:rPr>
        <w:rFonts w:ascii="Symbol" w:hAnsi="Symbol" w:hint="default"/>
      </w:rPr>
    </w:lvl>
    <w:lvl w:ilvl="4" w:tplc="5BCAF0FA" w:tentative="1">
      <w:start w:val="1"/>
      <w:numFmt w:val="bullet"/>
      <w:lvlText w:val="o"/>
      <w:lvlJc w:val="left"/>
      <w:pPr>
        <w:ind w:left="3600" w:hanging="360"/>
      </w:pPr>
      <w:rPr>
        <w:rFonts w:ascii="Courier New" w:hAnsi="Courier New" w:cs="Courier New" w:hint="default"/>
      </w:rPr>
    </w:lvl>
    <w:lvl w:ilvl="5" w:tplc="27A665CA" w:tentative="1">
      <w:start w:val="1"/>
      <w:numFmt w:val="bullet"/>
      <w:lvlText w:val=""/>
      <w:lvlJc w:val="left"/>
      <w:pPr>
        <w:ind w:left="4320" w:hanging="360"/>
      </w:pPr>
      <w:rPr>
        <w:rFonts w:ascii="Wingdings" w:hAnsi="Wingdings" w:hint="default"/>
      </w:rPr>
    </w:lvl>
    <w:lvl w:ilvl="6" w:tplc="5E4E5B98" w:tentative="1">
      <w:start w:val="1"/>
      <w:numFmt w:val="bullet"/>
      <w:lvlText w:val=""/>
      <w:lvlJc w:val="left"/>
      <w:pPr>
        <w:ind w:left="5040" w:hanging="360"/>
      </w:pPr>
      <w:rPr>
        <w:rFonts w:ascii="Symbol" w:hAnsi="Symbol" w:hint="default"/>
      </w:rPr>
    </w:lvl>
    <w:lvl w:ilvl="7" w:tplc="6EE6E5AE" w:tentative="1">
      <w:start w:val="1"/>
      <w:numFmt w:val="bullet"/>
      <w:lvlText w:val="o"/>
      <w:lvlJc w:val="left"/>
      <w:pPr>
        <w:ind w:left="5760" w:hanging="360"/>
      </w:pPr>
      <w:rPr>
        <w:rFonts w:ascii="Courier New" w:hAnsi="Courier New" w:cs="Courier New" w:hint="default"/>
      </w:rPr>
    </w:lvl>
    <w:lvl w:ilvl="8" w:tplc="E538572E" w:tentative="1">
      <w:start w:val="1"/>
      <w:numFmt w:val="bullet"/>
      <w:lvlText w:val=""/>
      <w:lvlJc w:val="left"/>
      <w:pPr>
        <w:ind w:left="6480" w:hanging="360"/>
      </w:pPr>
      <w:rPr>
        <w:rFonts w:ascii="Wingdings" w:hAnsi="Wingdings" w:hint="default"/>
      </w:rPr>
    </w:lvl>
  </w:abstractNum>
  <w:abstractNum w:abstractNumId="135" w15:restartNumberingAfterBreak="0">
    <w:nsid w:val="56A5523D"/>
    <w:multiLevelType w:val="hybridMultilevel"/>
    <w:tmpl w:val="831894D8"/>
    <w:lvl w:ilvl="0" w:tplc="2B10657E">
      <w:start w:val="1"/>
      <w:numFmt w:val="bullet"/>
      <w:lvlText w:val="-"/>
      <w:lvlJc w:val="left"/>
      <w:pPr>
        <w:tabs>
          <w:tab w:val="num" w:pos="567"/>
        </w:tabs>
        <w:ind w:left="567" w:hanging="567"/>
      </w:pPr>
      <w:rPr>
        <w:rFonts w:hint="default"/>
      </w:rPr>
    </w:lvl>
    <w:lvl w:ilvl="1" w:tplc="135AE780" w:tentative="1">
      <w:start w:val="1"/>
      <w:numFmt w:val="bullet"/>
      <w:lvlText w:val="o"/>
      <w:lvlJc w:val="left"/>
      <w:pPr>
        <w:tabs>
          <w:tab w:val="num" w:pos="1440"/>
        </w:tabs>
        <w:ind w:left="1440" w:hanging="360"/>
      </w:pPr>
      <w:rPr>
        <w:rFonts w:ascii="Courier New" w:hAnsi="Courier New" w:hint="default"/>
      </w:rPr>
    </w:lvl>
    <w:lvl w:ilvl="2" w:tplc="B55C12F0" w:tentative="1">
      <w:start w:val="1"/>
      <w:numFmt w:val="bullet"/>
      <w:lvlText w:val=""/>
      <w:lvlJc w:val="left"/>
      <w:pPr>
        <w:tabs>
          <w:tab w:val="num" w:pos="2160"/>
        </w:tabs>
        <w:ind w:left="2160" w:hanging="360"/>
      </w:pPr>
      <w:rPr>
        <w:rFonts w:ascii="Wingdings" w:hAnsi="Wingdings" w:hint="default"/>
      </w:rPr>
    </w:lvl>
    <w:lvl w:ilvl="3" w:tplc="F44E0E0E" w:tentative="1">
      <w:start w:val="1"/>
      <w:numFmt w:val="bullet"/>
      <w:lvlText w:val=""/>
      <w:lvlJc w:val="left"/>
      <w:pPr>
        <w:tabs>
          <w:tab w:val="num" w:pos="2880"/>
        </w:tabs>
        <w:ind w:left="2880" w:hanging="360"/>
      </w:pPr>
      <w:rPr>
        <w:rFonts w:ascii="Symbol" w:hAnsi="Symbol" w:hint="default"/>
      </w:rPr>
    </w:lvl>
    <w:lvl w:ilvl="4" w:tplc="78A4B4B6" w:tentative="1">
      <w:start w:val="1"/>
      <w:numFmt w:val="bullet"/>
      <w:lvlText w:val="o"/>
      <w:lvlJc w:val="left"/>
      <w:pPr>
        <w:tabs>
          <w:tab w:val="num" w:pos="3600"/>
        </w:tabs>
        <w:ind w:left="3600" w:hanging="360"/>
      </w:pPr>
      <w:rPr>
        <w:rFonts w:ascii="Courier New" w:hAnsi="Courier New" w:hint="default"/>
      </w:rPr>
    </w:lvl>
    <w:lvl w:ilvl="5" w:tplc="4164EFEE" w:tentative="1">
      <w:start w:val="1"/>
      <w:numFmt w:val="bullet"/>
      <w:lvlText w:val=""/>
      <w:lvlJc w:val="left"/>
      <w:pPr>
        <w:tabs>
          <w:tab w:val="num" w:pos="4320"/>
        </w:tabs>
        <w:ind w:left="4320" w:hanging="360"/>
      </w:pPr>
      <w:rPr>
        <w:rFonts w:ascii="Wingdings" w:hAnsi="Wingdings" w:hint="default"/>
      </w:rPr>
    </w:lvl>
    <w:lvl w:ilvl="6" w:tplc="FC96AC2E" w:tentative="1">
      <w:start w:val="1"/>
      <w:numFmt w:val="bullet"/>
      <w:lvlText w:val=""/>
      <w:lvlJc w:val="left"/>
      <w:pPr>
        <w:tabs>
          <w:tab w:val="num" w:pos="5040"/>
        </w:tabs>
        <w:ind w:left="5040" w:hanging="360"/>
      </w:pPr>
      <w:rPr>
        <w:rFonts w:ascii="Symbol" w:hAnsi="Symbol" w:hint="default"/>
      </w:rPr>
    </w:lvl>
    <w:lvl w:ilvl="7" w:tplc="E194AA30" w:tentative="1">
      <w:start w:val="1"/>
      <w:numFmt w:val="bullet"/>
      <w:lvlText w:val="o"/>
      <w:lvlJc w:val="left"/>
      <w:pPr>
        <w:tabs>
          <w:tab w:val="num" w:pos="5760"/>
        </w:tabs>
        <w:ind w:left="5760" w:hanging="360"/>
      </w:pPr>
      <w:rPr>
        <w:rFonts w:ascii="Courier New" w:hAnsi="Courier New" w:hint="default"/>
      </w:rPr>
    </w:lvl>
    <w:lvl w:ilvl="8" w:tplc="9C7E3D40"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77E3ED0"/>
    <w:multiLevelType w:val="hybridMultilevel"/>
    <w:tmpl w:val="41B4F34C"/>
    <w:lvl w:ilvl="0" w:tplc="A0AA1B98">
      <w:start w:val="1"/>
      <w:numFmt w:val="bullet"/>
      <w:lvlText w:val=""/>
      <w:lvlJc w:val="left"/>
      <w:pPr>
        <w:tabs>
          <w:tab w:val="num" w:pos="567"/>
        </w:tabs>
        <w:ind w:left="567" w:hanging="567"/>
      </w:pPr>
      <w:rPr>
        <w:rFonts w:ascii="Symbol" w:hAnsi="Symbol" w:hint="default"/>
      </w:rPr>
    </w:lvl>
    <w:lvl w:ilvl="1" w:tplc="010A5FB2" w:tentative="1">
      <w:start w:val="1"/>
      <w:numFmt w:val="bullet"/>
      <w:lvlText w:val="o"/>
      <w:lvlJc w:val="left"/>
      <w:pPr>
        <w:tabs>
          <w:tab w:val="num" w:pos="1440"/>
        </w:tabs>
        <w:ind w:left="1440" w:hanging="360"/>
      </w:pPr>
      <w:rPr>
        <w:rFonts w:ascii="Courier New" w:hAnsi="Courier New" w:hint="default"/>
      </w:rPr>
    </w:lvl>
    <w:lvl w:ilvl="2" w:tplc="CE7C1C10" w:tentative="1">
      <w:start w:val="1"/>
      <w:numFmt w:val="bullet"/>
      <w:lvlText w:val=""/>
      <w:lvlJc w:val="left"/>
      <w:pPr>
        <w:tabs>
          <w:tab w:val="num" w:pos="2160"/>
        </w:tabs>
        <w:ind w:left="2160" w:hanging="360"/>
      </w:pPr>
      <w:rPr>
        <w:rFonts w:ascii="Wingdings" w:hAnsi="Wingdings" w:hint="default"/>
      </w:rPr>
    </w:lvl>
    <w:lvl w:ilvl="3" w:tplc="0D14FAA2" w:tentative="1">
      <w:start w:val="1"/>
      <w:numFmt w:val="bullet"/>
      <w:lvlText w:val=""/>
      <w:lvlJc w:val="left"/>
      <w:pPr>
        <w:tabs>
          <w:tab w:val="num" w:pos="2880"/>
        </w:tabs>
        <w:ind w:left="2880" w:hanging="360"/>
      </w:pPr>
      <w:rPr>
        <w:rFonts w:ascii="Symbol" w:hAnsi="Symbol" w:hint="default"/>
      </w:rPr>
    </w:lvl>
    <w:lvl w:ilvl="4" w:tplc="D34E061A" w:tentative="1">
      <w:start w:val="1"/>
      <w:numFmt w:val="bullet"/>
      <w:lvlText w:val="o"/>
      <w:lvlJc w:val="left"/>
      <w:pPr>
        <w:tabs>
          <w:tab w:val="num" w:pos="3600"/>
        </w:tabs>
        <w:ind w:left="3600" w:hanging="360"/>
      </w:pPr>
      <w:rPr>
        <w:rFonts w:ascii="Courier New" w:hAnsi="Courier New" w:hint="default"/>
      </w:rPr>
    </w:lvl>
    <w:lvl w:ilvl="5" w:tplc="57E09F4C" w:tentative="1">
      <w:start w:val="1"/>
      <w:numFmt w:val="bullet"/>
      <w:lvlText w:val=""/>
      <w:lvlJc w:val="left"/>
      <w:pPr>
        <w:tabs>
          <w:tab w:val="num" w:pos="4320"/>
        </w:tabs>
        <w:ind w:left="4320" w:hanging="360"/>
      </w:pPr>
      <w:rPr>
        <w:rFonts w:ascii="Wingdings" w:hAnsi="Wingdings" w:hint="default"/>
      </w:rPr>
    </w:lvl>
    <w:lvl w:ilvl="6" w:tplc="A14ED946" w:tentative="1">
      <w:start w:val="1"/>
      <w:numFmt w:val="bullet"/>
      <w:lvlText w:val=""/>
      <w:lvlJc w:val="left"/>
      <w:pPr>
        <w:tabs>
          <w:tab w:val="num" w:pos="5040"/>
        </w:tabs>
        <w:ind w:left="5040" w:hanging="360"/>
      </w:pPr>
      <w:rPr>
        <w:rFonts w:ascii="Symbol" w:hAnsi="Symbol" w:hint="default"/>
      </w:rPr>
    </w:lvl>
    <w:lvl w:ilvl="7" w:tplc="E65CFBF8" w:tentative="1">
      <w:start w:val="1"/>
      <w:numFmt w:val="bullet"/>
      <w:lvlText w:val="o"/>
      <w:lvlJc w:val="left"/>
      <w:pPr>
        <w:tabs>
          <w:tab w:val="num" w:pos="5760"/>
        </w:tabs>
        <w:ind w:left="5760" w:hanging="360"/>
      </w:pPr>
      <w:rPr>
        <w:rFonts w:ascii="Courier New" w:hAnsi="Courier New" w:hint="default"/>
      </w:rPr>
    </w:lvl>
    <w:lvl w:ilvl="8" w:tplc="E9526CFE"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586C62C3"/>
    <w:multiLevelType w:val="hybridMultilevel"/>
    <w:tmpl w:val="B9906166"/>
    <w:lvl w:ilvl="0" w:tplc="00D06C62">
      <w:start w:val="1"/>
      <w:numFmt w:val="bullet"/>
      <w:lvlText w:val=""/>
      <w:lvlJc w:val="left"/>
      <w:pPr>
        <w:tabs>
          <w:tab w:val="num" w:pos="567"/>
        </w:tabs>
        <w:ind w:left="567" w:hanging="567"/>
      </w:pPr>
      <w:rPr>
        <w:rFonts w:ascii="Symbol" w:hAnsi="Symbol" w:hint="default"/>
      </w:rPr>
    </w:lvl>
    <w:lvl w:ilvl="1" w:tplc="76563BE2">
      <w:start w:val="1"/>
      <w:numFmt w:val="bullet"/>
      <w:lvlText w:val=""/>
      <w:lvlJc w:val="left"/>
      <w:pPr>
        <w:tabs>
          <w:tab w:val="num" w:pos="1440"/>
        </w:tabs>
        <w:ind w:left="1440" w:hanging="360"/>
      </w:pPr>
      <w:rPr>
        <w:rFonts w:ascii="Symbol" w:hAnsi="Symbol" w:hint="default"/>
      </w:rPr>
    </w:lvl>
    <w:lvl w:ilvl="2" w:tplc="99D4D8C2" w:tentative="1">
      <w:start w:val="1"/>
      <w:numFmt w:val="bullet"/>
      <w:lvlText w:val=""/>
      <w:lvlJc w:val="left"/>
      <w:pPr>
        <w:tabs>
          <w:tab w:val="num" w:pos="2160"/>
        </w:tabs>
        <w:ind w:left="2160" w:hanging="360"/>
      </w:pPr>
      <w:rPr>
        <w:rFonts w:ascii="Wingdings" w:hAnsi="Wingdings" w:hint="default"/>
      </w:rPr>
    </w:lvl>
    <w:lvl w:ilvl="3" w:tplc="169A5180" w:tentative="1">
      <w:start w:val="1"/>
      <w:numFmt w:val="bullet"/>
      <w:lvlText w:val=""/>
      <w:lvlJc w:val="left"/>
      <w:pPr>
        <w:tabs>
          <w:tab w:val="num" w:pos="2880"/>
        </w:tabs>
        <w:ind w:left="2880" w:hanging="360"/>
      </w:pPr>
      <w:rPr>
        <w:rFonts w:ascii="Symbol" w:hAnsi="Symbol" w:hint="default"/>
      </w:rPr>
    </w:lvl>
    <w:lvl w:ilvl="4" w:tplc="121AB576" w:tentative="1">
      <w:start w:val="1"/>
      <w:numFmt w:val="bullet"/>
      <w:lvlText w:val="o"/>
      <w:lvlJc w:val="left"/>
      <w:pPr>
        <w:tabs>
          <w:tab w:val="num" w:pos="3600"/>
        </w:tabs>
        <w:ind w:left="3600" w:hanging="360"/>
      </w:pPr>
      <w:rPr>
        <w:rFonts w:ascii="Courier New" w:hAnsi="Courier New" w:hint="default"/>
      </w:rPr>
    </w:lvl>
    <w:lvl w:ilvl="5" w:tplc="1DD6E8EC" w:tentative="1">
      <w:start w:val="1"/>
      <w:numFmt w:val="bullet"/>
      <w:lvlText w:val=""/>
      <w:lvlJc w:val="left"/>
      <w:pPr>
        <w:tabs>
          <w:tab w:val="num" w:pos="4320"/>
        </w:tabs>
        <w:ind w:left="4320" w:hanging="360"/>
      </w:pPr>
      <w:rPr>
        <w:rFonts w:ascii="Wingdings" w:hAnsi="Wingdings" w:hint="default"/>
      </w:rPr>
    </w:lvl>
    <w:lvl w:ilvl="6" w:tplc="288E2208" w:tentative="1">
      <w:start w:val="1"/>
      <w:numFmt w:val="bullet"/>
      <w:lvlText w:val=""/>
      <w:lvlJc w:val="left"/>
      <w:pPr>
        <w:tabs>
          <w:tab w:val="num" w:pos="5040"/>
        </w:tabs>
        <w:ind w:left="5040" w:hanging="360"/>
      </w:pPr>
      <w:rPr>
        <w:rFonts w:ascii="Symbol" w:hAnsi="Symbol" w:hint="default"/>
      </w:rPr>
    </w:lvl>
    <w:lvl w:ilvl="7" w:tplc="DC12524C" w:tentative="1">
      <w:start w:val="1"/>
      <w:numFmt w:val="bullet"/>
      <w:lvlText w:val="o"/>
      <w:lvlJc w:val="left"/>
      <w:pPr>
        <w:tabs>
          <w:tab w:val="num" w:pos="5760"/>
        </w:tabs>
        <w:ind w:left="5760" w:hanging="360"/>
      </w:pPr>
      <w:rPr>
        <w:rFonts w:ascii="Courier New" w:hAnsi="Courier New" w:hint="default"/>
      </w:rPr>
    </w:lvl>
    <w:lvl w:ilvl="8" w:tplc="AA24C648"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587F4585"/>
    <w:multiLevelType w:val="hybridMultilevel"/>
    <w:tmpl w:val="A4D2BD86"/>
    <w:lvl w:ilvl="0" w:tplc="90C6893E">
      <w:start w:val="1"/>
      <w:numFmt w:val="bullet"/>
      <w:lvlText w:val=""/>
      <w:lvlJc w:val="left"/>
      <w:pPr>
        <w:ind w:left="720" w:hanging="360"/>
      </w:pPr>
      <w:rPr>
        <w:rFonts w:ascii="Symbol" w:hAnsi="Symbol" w:hint="default"/>
      </w:rPr>
    </w:lvl>
    <w:lvl w:ilvl="1" w:tplc="B2D8B144" w:tentative="1">
      <w:start w:val="1"/>
      <w:numFmt w:val="bullet"/>
      <w:lvlText w:val="o"/>
      <w:lvlJc w:val="left"/>
      <w:pPr>
        <w:ind w:left="1440" w:hanging="360"/>
      </w:pPr>
      <w:rPr>
        <w:rFonts w:ascii="Courier New" w:hAnsi="Courier New" w:cs="Courier New" w:hint="default"/>
      </w:rPr>
    </w:lvl>
    <w:lvl w:ilvl="2" w:tplc="1CC4D782" w:tentative="1">
      <w:start w:val="1"/>
      <w:numFmt w:val="bullet"/>
      <w:lvlText w:val=""/>
      <w:lvlJc w:val="left"/>
      <w:pPr>
        <w:ind w:left="2160" w:hanging="360"/>
      </w:pPr>
      <w:rPr>
        <w:rFonts w:ascii="Wingdings" w:hAnsi="Wingdings" w:hint="default"/>
      </w:rPr>
    </w:lvl>
    <w:lvl w:ilvl="3" w:tplc="0EC88EBA" w:tentative="1">
      <w:start w:val="1"/>
      <w:numFmt w:val="bullet"/>
      <w:lvlText w:val=""/>
      <w:lvlJc w:val="left"/>
      <w:pPr>
        <w:ind w:left="2880" w:hanging="360"/>
      </w:pPr>
      <w:rPr>
        <w:rFonts w:ascii="Symbol" w:hAnsi="Symbol" w:hint="default"/>
      </w:rPr>
    </w:lvl>
    <w:lvl w:ilvl="4" w:tplc="EF68F472" w:tentative="1">
      <w:start w:val="1"/>
      <w:numFmt w:val="bullet"/>
      <w:lvlText w:val="o"/>
      <w:lvlJc w:val="left"/>
      <w:pPr>
        <w:ind w:left="3600" w:hanging="360"/>
      </w:pPr>
      <w:rPr>
        <w:rFonts w:ascii="Courier New" w:hAnsi="Courier New" w:cs="Courier New" w:hint="default"/>
      </w:rPr>
    </w:lvl>
    <w:lvl w:ilvl="5" w:tplc="70AC0182" w:tentative="1">
      <w:start w:val="1"/>
      <w:numFmt w:val="bullet"/>
      <w:lvlText w:val=""/>
      <w:lvlJc w:val="left"/>
      <w:pPr>
        <w:ind w:left="4320" w:hanging="360"/>
      </w:pPr>
      <w:rPr>
        <w:rFonts w:ascii="Wingdings" w:hAnsi="Wingdings" w:hint="default"/>
      </w:rPr>
    </w:lvl>
    <w:lvl w:ilvl="6" w:tplc="38626B8E" w:tentative="1">
      <w:start w:val="1"/>
      <w:numFmt w:val="bullet"/>
      <w:lvlText w:val=""/>
      <w:lvlJc w:val="left"/>
      <w:pPr>
        <w:ind w:left="5040" w:hanging="360"/>
      </w:pPr>
      <w:rPr>
        <w:rFonts w:ascii="Symbol" w:hAnsi="Symbol" w:hint="default"/>
      </w:rPr>
    </w:lvl>
    <w:lvl w:ilvl="7" w:tplc="905C92F0" w:tentative="1">
      <w:start w:val="1"/>
      <w:numFmt w:val="bullet"/>
      <w:lvlText w:val="o"/>
      <w:lvlJc w:val="left"/>
      <w:pPr>
        <w:ind w:left="5760" w:hanging="360"/>
      </w:pPr>
      <w:rPr>
        <w:rFonts w:ascii="Courier New" w:hAnsi="Courier New" w:cs="Courier New" w:hint="default"/>
      </w:rPr>
    </w:lvl>
    <w:lvl w:ilvl="8" w:tplc="AE3EFF5E" w:tentative="1">
      <w:start w:val="1"/>
      <w:numFmt w:val="bullet"/>
      <w:lvlText w:val=""/>
      <w:lvlJc w:val="left"/>
      <w:pPr>
        <w:ind w:left="6480" w:hanging="360"/>
      </w:pPr>
      <w:rPr>
        <w:rFonts w:ascii="Wingdings" w:hAnsi="Wingdings" w:hint="default"/>
      </w:rPr>
    </w:lvl>
  </w:abstractNum>
  <w:abstractNum w:abstractNumId="139" w15:restartNumberingAfterBreak="0">
    <w:nsid w:val="599F62FA"/>
    <w:multiLevelType w:val="hybridMultilevel"/>
    <w:tmpl w:val="AC5A95E2"/>
    <w:lvl w:ilvl="0" w:tplc="F61660EE">
      <w:start w:val="1"/>
      <w:numFmt w:val="bullet"/>
      <w:lvlText w:val=""/>
      <w:lvlJc w:val="left"/>
      <w:pPr>
        <w:ind w:left="720" w:hanging="360"/>
      </w:pPr>
      <w:rPr>
        <w:rFonts w:ascii="Symbol" w:hAnsi="Symbol" w:hint="default"/>
      </w:rPr>
    </w:lvl>
    <w:lvl w:ilvl="1" w:tplc="09C66682" w:tentative="1">
      <w:start w:val="1"/>
      <w:numFmt w:val="bullet"/>
      <w:lvlText w:val="o"/>
      <w:lvlJc w:val="left"/>
      <w:pPr>
        <w:ind w:left="1440" w:hanging="360"/>
      </w:pPr>
      <w:rPr>
        <w:rFonts w:ascii="Courier New" w:hAnsi="Courier New" w:cs="Courier New" w:hint="default"/>
      </w:rPr>
    </w:lvl>
    <w:lvl w:ilvl="2" w:tplc="EFDEA892" w:tentative="1">
      <w:start w:val="1"/>
      <w:numFmt w:val="bullet"/>
      <w:lvlText w:val=""/>
      <w:lvlJc w:val="left"/>
      <w:pPr>
        <w:ind w:left="2160" w:hanging="360"/>
      </w:pPr>
      <w:rPr>
        <w:rFonts w:ascii="Wingdings" w:hAnsi="Wingdings" w:hint="default"/>
      </w:rPr>
    </w:lvl>
    <w:lvl w:ilvl="3" w:tplc="8F3468BE" w:tentative="1">
      <w:start w:val="1"/>
      <w:numFmt w:val="bullet"/>
      <w:lvlText w:val=""/>
      <w:lvlJc w:val="left"/>
      <w:pPr>
        <w:ind w:left="2880" w:hanging="360"/>
      </w:pPr>
      <w:rPr>
        <w:rFonts w:ascii="Symbol" w:hAnsi="Symbol" w:hint="default"/>
      </w:rPr>
    </w:lvl>
    <w:lvl w:ilvl="4" w:tplc="DB96C24E" w:tentative="1">
      <w:start w:val="1"/>
      <w:numFmt w:val="bullet"/>
      <w:lvlText w:val="o"/>
      <w:lvlJc w:val="left"/>
      <w:pPr>
        <w:ind w:left="3600" w:hanging="360"/>
      </w:pPr>
      <w:rPr>
        <w:rFonts w:ascii="Courier New" w:hAnsi="Courier New" w:cs="Courier New" w:hint="default"/>
      </w:rPr>
    </w:lvl>
    <w:lvl w:ilvl="5" w:tplc="A18AA5F2" w:tentative="1">
      <w:start w:val="1"/>
      <w:numFmt w:val="bullet"/>
      <w:lvlText w:val=""/>
      <w:lvlJc w:val="left"/>
      <w:pPr>
        <w:ind w:left="4320" w:hanging="360"/>
      </w:pPr>
      <w:rPr>
        <w:rFonts w:ascii="Wingdings" w:hAnsi="Wingdings" w:hint="default"/>
      </w:rPr>
    </w:lvl>
    <w:lvl w:ilvl="6" w:tplc="AC14093C" w:tentative="1">
      <w:start w:val="1"/>
      <w:numFmt w:val="bullet"/>
      <w:lvlText w:val=""/>
      <w:lvlJc w:val="left"/>
      <w:pPr>
        <w:ind w:left="5040" w:hanging="360"/>
      </w:pPr>
      <w:rPr>
        <w:rFonts w:ascii="Symbol" w:hAnsi="Symbol" w:hint="default"/>
      </w:rPr>
    </w:lvl>
    <w:lvl w:ilvl="7" w:tplc="B60EADD6" w:tentative="1">
      <w:start w:val="1"/>
      <w:numFmt w:val="bullet"/>
      <w:lvlText w:val="o"/>
      <w:lvlJc w:val="left"/>
      <w:pPr>
        <w:ind w:left="5760" w:hanging="360"/>
      </w:pPr>
      <w:rPr>
        <w:rFonts w:ascii="Courier New" w:hAnsi="Courier New" w:cs="Courier New" w:hint="default"/>
      </w:rPr>
    </w:lvl>
    <w:lvl w:ilvl="8" w:tplc="72B62270" w:tentative="1">
      <w:start w:val="1"/>
      <w:numFmt w:val="bullet"/>
      <w:lvlText w:val=""/>
      <w:lvlJc w:val="left"/>
      <w:pPr>
        <w:ind w:left="6480" w:hanging="360"/>
      </w:pPr>
      <w:rPr>
        <w:rFonts w:ascii="Wingdings" w:hAnsi="Wingdings" w:hint="default"/>
      </w:rPr>
    </w:lvl>
  </w:abstractNum>
  <w:abstractNum w:abstractNumId="140" w15:restartNumberingAfterBreak="0">
    <w:nsid w:val="59D3402E"/>
    <w:multiLevelType w:val="hybridMultilevel"/>
    <w:tmpl w:val="EB2A48AA"/>
    <w:lvl w:ilvl="0" w:tplc="23FAA2C0">
      <w:start w:val="1"/>
      <w:numFmt w:val="bullet"/>
      <w:lvlText w:val=""/>
      <w:lvlJc w:val="left"/>
      <w:pPr>
        <w:ind w:left="720" w:hanging="360"/>
      </w:pPr>
      <w:rPr>
        <w:rFonts w:ascii="Symbol" w:hAnsi="Symbol" w:hint="default"/>
      </w:rPr>
    </w:lvl>
    <w:lvl w:ilvl="1" w:tplc="1DEE75FE" w:tentative="1">
      <w:start w:val="1"/>
      <w:numFmt w:val="bullet"/>
      <w:lvlText w:val="o"/>
      <w:lvlJc w:val="left"/>
      <w:pPr>
        <w:ind w:left="1440" w:hanging="360"/>
      </w:pPr>
      <w:rPr>
        <w:rFonts w:ascii="Courier New" w:hAnsi="Courier New" w:cs="Courier New" w:hint="default"/>
      </w:rPr>
    </w:lvl>
    <w:lvl w:ilvl="2" w:tplc="17F67766" w:tentative="1">
      <w:start w:val="1"/>
      <w:numFmt w:val="bullet"/>
      <w:lvlText w:val=""/>
      <w:lvlJc w:val="left"/>
      <w:pPr>
        <w:ind w:left="2160" w:hanging="360"/>
      </w:pPr>
      <w:rPr>
        <w:rFonts w:ascii="Wingdings" w:hAnsi="Wingdings" w:hint="default"/>
      </w:rPr>
    </w:lvl>
    <w:lvl w:ilvl="3" w:tplc="1B9A5148" w:tentative="1">
      <w:start w:val="1"/>
      <w:numFmt w:val="bullet"/>
      <w:lvlText w:val=""/>
      <w:lvlJc w:val="left"/>
      <w:pPr>
        <w:ind w:left="2880" w:hanging="360"/>
      </w:pPr>
      <w:rPr>
        <w:rFonts w:ascii="Symbol" w:hAnsi="Symbol" w:hint="default"/>
      </w:rPr>
    </w:lvl>
    <w:lvl w:ilvl="4" w:tplc="CDC6D5F4" w:tentative="1">
      <w:start w:val="1"/>
      <w:numFmt w:val="bullet"/>
      <w:lvlText w:val="o"/>
      <w:lvlJc w:val="left"/>
      <w:pPr>
        <w:ind w:left="3600" w:hanging="360"/>
      </w:pPr>
      <w:rPr>
        <w:rFonts w:ascii="Courier New" w:hAnsi="Courier New" w:cs="Courier New" w:hint="default"/>
      </w:rPr>
    </w:lvl>
    <w:lvl w:ilvl="5" w:tplc="6CE62C8A" w:tentative="1">
      <w:start w:val="1"/>
      <w:numFmt w:val="bullet"/>
      <w:lvlText w:val=""/>
      <w:lvlJc w:val="left"/>
      <w:pPr>
        <w:ind w:left="4320" w:hanging="360"/>
      </w:pPr>
      <w:rPr>
        <w:rFonts w:ascii="Wingdings" w:hAnsi="Wingdings" w:hint="default"/>
      </w:rPr>
    </w:lvl>
    <w:lvl w:ilvl="6" w:tplc="FAEE008A" w:tentative="1">
      <w:start w:val="1"/>
      <w:numFmt w:val="bullet"/>
      <w:lvlText w:val=""/>
      <w:lvlJc w:val="left"/>
      <w:pPr>
        <w:ind w:left="5040" w:hanging="360"/>
      </w:pPr>
      <w:rPr>
        <w:rFonts w:ascii="Symbol" w:hAnsi="Symbol" w:hint="default"/>
      </w:rPr>
    </w:lvl>
    <w:lvl w:ilvl="7" w:tplc="E4D2F0E8" w:tentative="1">
      <w:start w:val="1"/>
      <w:numFmt w:val="bullet"/>
      <w:lvlText w:val="o"/>
      <w:lvlJc w:val="left"/>
      <w:pPr>
        <w:ind w:left="5760" w:hanging="360"/>
      </w:pPr>
      <w:rPr>
        <w:rFonts w:ascii="Courier New" w:hAnsi="Courier New" w:cs="Courier New" w:hint="default"/>
      </w:rPr>
    </w:lvl>
    <w:lvl w:ilvl="8" w:tplc="84AE7D36" w:tentative="1">
      <w:start w:val="1"/>
      <w:numFmt w:val="bullet"/>
      <w:lvlText w:val=""/>
      <w:lvlJc w:val="left"/>
      <w:pPr>
        <w:ind w:left="6480" w:hanging="360"/>
      </w:pPr>
      <w:rPr>
        <w:rFonts w:ascii="Wingdings" w:hAnsi="Wingdings" w:hint="default"/>
      </w:rPr>
    </w:lvl>
  </w:abstractNum>
  <w:abstractNum w:abstractNumId="141" w15:restartNumberingAfterBreak="0">
    <w:nsid w:val="5AA8353F"/>
    <w:multiLevelType w:val="hybridMultilevel"/>
    <w:tmpl w:val="EE40CCA4"/>
    <w:lvl w:ilvl="0" w:tplc="995E4EE2">
      <w:start w:val="1"/>
      <w:numFmt w:val="bullet"/>
      <w:lvlText w:val=""/>
      <w:lvlJc w:val="left"/>
      <w:pPr>
        <w:tabs>
          <w:tab w:val="num" w:pos="0"/>
        </w:tabs>
        <w:ind w:left="283" w:hanging="283"/>
      </w:pPr>
      <w:rPr>
        <w:rFonts w:ascii="Symbol" w:hAnsi="Symbol" w:hint="default"/>
      </w:rPr>
    </w:lvl>
    <w:lvl w:ilvl="1" w:tplc="A866EC86" w:tentative="1">
      <w:start w:val="1"/>
      <w:numFmt w:val="bullet"/>
      <w:lvlText w:val="o"/>
      <w:lvlJc w:val="left"/>
      <w:pPr>
        <w:tabs>
          <w:tab w:val="num" w:pos="1440"/>
        </w:tabs>
        <w:ind w:left="1440" w:hanging="360"/>
      </w:pPr>
      <w:rPr>
        <w:rFonts w:ascii="Courier New" w:hAnsi="Courier New" w:hint="default"/>
      </w:rPr>
    </w:lvl>
    <w:lvl w:ilvl="2" w:tplc="6B2E5EB2" w:tentative="1">
      <w:start w:val="1"/>
      <w:numFmt w:val="bullet"/>
      <w:lvlText w:val=""/>
      <w:lvlJc w:val="left"/>
      <w:pPr>
        <w:tabs>
          <w:tab w:val="num" w:pos="2160"/>
        </w:tabs>
        <w:ind w:left="2160" w:hanging="360"/>
      </w:pPr>
      <w:rPr>
        <w:rFonts w:ascii="Wingdings" w:hAnsi="Wingdings" w:hint="default"/>
      </w:rPr>
    </w:lvl>
    <w:lvl w:ilvl="3" w:tplc="51D8369C" w:tentative="1">
      <w:start w:val="1"/>
      <w:numFmt w:val="bullet"/>
      <w:lvlText w:val=""/>
      <w:lvlJc w:val="left"/>
      <w:pPr>
        <w:tabs>
          <w:tab w:val="num" w:pos="2880"/>
        </w:tabs>
        <w:ind w:left="2880" w:hanging="360"/>
      </w:pPr>
      <w:rPr>
        <w:rFonts w:ascii="Symbol" w:hAnsi="Symbol" w:hint="default"/>
      </w:rPr>
    </w:lvl>
    <w:lvl w:ilvl="4" w:tplc="619C2604" w:tentative="1">
      <w:start w:val="1"/>
      <w:numFmt w:val="bullet"/>
      <w:lvlText w:val="o"/>
      <w:lvlJc w:val="left"/>
      <w:pPr>
        <w:tabs>
          <w:tab w:val="num" w:pos="3600"/>
        </w:tabs>
        <w:ind w:left="3600" w:hanging="360"/>
      </w:pPr>
      <w:rPr>
        <w:rFonts w:ascii="Courier New" w:hAnsi="Courier New" w:hint="default"/>
      </w:rPr>
    </w:lvl>
    <w:lvl w:ilvl="5" w:tplc="A91C0AAA" w:tentative="1">
      <w:start w:val="1"/>
      <w:numFmt w:val="bullet"/>
      <w:lvlText w:val=""/>
      <w:lvlJc w:val="left"/>
      <w:pPr>
        <w:tabs>
          <w:tab w:val="num" w:pos="4320"/>
        </w:tabs>
        <w:ind w:left="4320" w:hanging="360"/>
      </w:pPr>
      <w:rPr>
        <w:rFonts w:ascii="Wingdings" w:hAnsi="Wingdings" w:hint="default"/>
      </w:rPr>
    </w:lvl>
    <w:lvl w:ilvl="6" w:tplc="5A46C970" w:tentative="1">
      <w:start w:val="1"/>
      <w:numFmt w:val="bullet"/>
      <w:lvlText w:val=""/>
      <w:lvlJc w:val="left"/>
      <w:pPr>
        <w:tabs>
          <w:tab w:val="num" w:pos="5040"/>
        </w:tabs>
        <w:ind w:left="5040" w:hanging="360"/>
      </w:pPr>
      <w:rPr>
        <w:rFonts w:ascii="Symbol" w:hAnsi="Symbol" w:hint="default"/>
      </w:rPr>
    </w:lvl>
    <w:lvl w:ilvl="7" w:tplc="447EFC22" w:tentative="1">
      <w:start w:val="1"/>
      <w:numFmt w:val="bullet"/>
      <w:lvlText w:val="o"/>
      <w:lvlJc w:val="left"/>
      <w:pPr>
        <w:tabs>
          <w:tab w:val="num" w:pos="5760"/>
        </w:tabs>
        <w:ind w:left="5760" w:hanging="360"/>
      </w:pPr>
      <w:rPr>
        <w:rFonts w:ascii="Courier New" w:hAnsi="Courier New" w:hint="default"/>
      </w:rPr>
    </w:lvl>
    <w:lvl w:ilvl="8" w:tplc="70BC5FD0"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5CF27282"/>
    <w:multiLevelType w:val="hybridMultilevel"/>
    <w:tmpl w:val="41B4F34C"/>
    <w:lvl w:ilvl="0" w:tplc="9934F23C">
      <w:start w:val="1"/>
      <w:numFmt w:val="bullet"/>
      <w:lvlText w:val=""/>
      <w:lvlJc w:val="left"/>
      <w:pPr>
        <w:tabs>
          <w:tab w:val="num" w:pos="567"/>
        </w:tabs>
        <w:ind w:left="567" w:hanging="567"/>
      </w:pPr>
      <w:rPr>
        <w:rFonts w:ascii="Symbol" w:hAnsi="Symbol" w:hint="default"/>
      </w:rPr>
    </w:lvl>
    <w:lvl w:ilvl="1" w:tplc="A306A32C" w:tentative="1">
      <w:start w:val="1"/>
      <w:numFmt w:val="bullet"/>
      <w:lvlText w:val="o"/>
      <w:lvlJc w:val="left"/>
      <w:pPr>
        <w:tabs>
          <w:tab w:val="num" w:pos="1440"/>
        </w:tabs>
        <w:ind w:left="1440" w:hanging="360"/>
      </w:pPr>
      <w:rPr>
        <w:rFonts w:ascii="Courier New" w:hAnsi="Courier New" w:hint="default"/>
      </w:rPr>
    </w:lvl>
    <w:lvl w:ilvl="2" w:tplc="3D204396" w:tentative="1">
      <w:start w:val="1"/>
      <w:numFmt w:val="bullet"/>
      <w:lvlText w:val=""/>
      <w:lvlJc w:val="left"/>
      <w:pPr>
        <w:tabs>
          <w:tab w:val="num" w:pos="2160"/>
        </w:tabs>
        <w:ind w:left="2160" w:hanging="360"/>
      </w:pPr>
      <w:rPr>
        <w:rFonts w:ascii="Wingdings" w:hAnsi="Wingdings" w:hint="default"/>
      </w:rPr>
    </w:lvl>
    <w:lvl w:ilvl="3" w:tplc="5D10CA68" w:tentative="1">
      <w:start w:val="1"/>
      <w:numFmt w:val="bullet"/>
      <w:lvlText w:val=""/>
      <w:lvlJc w:val="left"/>
      <w:pPr>
        <w:tabs>
          <w:tab w:val="num" w:pos="2880"/>
        </w:tabs>
        <w:ind w:left="2880" w:hanging="360"/>
      </w:pPr>
      <w:rPr>
        <w:rFonts w:ascii="Symbol" w:hAnsi="Symbol" w:hint="default"/>
      </w:rPr>
    </w:lvl>
    <w:lvl w:ilvl="4" w:tplc="92D47358" w:tentative="1">
      <w:start w:val="1"/>
      <w:numFmt w:val="bullet"/>
      <w:lvlText w:val="o"/>
      <w:lvlJc w:val="left"/>
      <w:pPr>
        <w:tabs>
          <w:tab w:val="num" w:pos="3600"/>
        </w:tabs>
        <w:ind w:left="3600" w:hanging="360"/>
      </w:pPr>
      <w:rPr>
        <w:rFonts w:ascii="Courier New" w:hAnsi="Courier New" w:hint="default"/>
      </w:rPr>
    </w:lvl>
    <w:lvl w:ilvl="5" w:tplc="60AE59F2" w:tentative="1">
      <w:start w:val="1"/>
      <w:numFmt w:val="bullet"/>
      <w:lvlText w:val=""/>
      <w:lvlJc w:val="left"/>
      <w:pPr>
        <w:tabs>
          <w:tab w:val="num" w:pos="4320"/>
        </w:tabs>
        <w:ind w:left="4320" w:hanging="360"/>
      </w:pPr>
      <w:rPr>
        <w:rFonts w:ascii="Wingdings" w:hAnsi="Wingdings" w:hint="default"/>
      </w:rPr>
    </w:lvl>
    <w:lvl w:ilvl="6" w:tplc="F2F8BBF8" w:tentative="1">
      <w:start w:val="1"/>
      <w:numFmt w:val="bullet"/>
      <w:lvlText w:val=""/>
      <w:lvlJc w:val="left"/>
      <w:pPr>
        <w:tabs>
          <w:tab w:val="num" w:pos="5040"/>
        </w:tabs>
        <w:ind w:left="5040" w:hanging="360"/>
      </w:pPr>
      <w:rPr>
        <w:rFonts w:ascii="Symbol" w:hAnsi="Symbol" w:hint="default"/>
      </w:rPr>
    </w:lvl>
    <w:lvl w:ilvl="7" w:tplc="CD9E9DA8" w:tentative="1">
      <w:start w:val="1"/>
      <w:numFmt w:val="bullet"/>
      <w:lvlText w:val="o"/>
      <w:lvlJc w:val="left"/>
      <w:pPr>
        <w:tabs>
          <w:tab w:val="num" w:pos="5760"/>
        </w:tabs>
        <w:ind w:left="5760" w:hanging="360"/>
      </w:pPr>
      <w:rPr>
        <w:rFonts w:ascii="Courier New" w:hAnsi="Courier New" w:hint="default"/>
      </w:rPr>
    </w:lvl>
    <w:lvl w:ilvl="8" w:tplc="D2FEF9B2"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5D4E3933"/>
    <w:multiLevelType w:val="multilevel"/>
    <w:tmpl w:val="55367D84"/>
    <w:lvl w:ilvl="0">
      <w:start w:val="1"/>
      <w:numFmt w:val="decimal"/>
      <w:lvlText w:val=""/>
      <w:lvlJc w:val="left"/>
      <w:pPr>
        <w:ind w:left="0" w:hanging="360"/>
      </w:pPr>
    </w:lvl>
    <w:lvl w:ilvl="1">
      <w:start w:val="1"/>
      <w:numFmt w:val="decimal"/>
      <w:lvlText w:val=""/>
      <w:lvlJc w:val="left"/>
      <w:pPr>
        <w:ind w:left="0" w:hanging="360"/>
      </w:pPr>
    </w:lvl>
    <w:lvl w:ilvl="2">
      <w:start w:val="1"/>
      <w:numFmt w:val="decimal"/>
      <w:lvlText w:val=""/>
      <w:lvlJc w:val="left"/>
      <w:pPr>
        <w:ind w:left="0" w:hanging="360"/>
      </w:pPr>
    </w:lvl>
    <w:lvl w:ilvl="3">
      <w:start w:val="1"/>
      <w:numFmt w:val="decimal"/>
      <w:lvlText w:val=""/>
      <w:lvlJc w:val="left"/>
      <w:pPr>
        <w:ind w:left="0" w:hanging="360"/>
      </w:pPr>
    </w:lvl>
    <w:lvl w:ilvl="4">
      <w:start w:val="1"/>
      <w:numFmt w:val="decimal"/>
      <w:lvlText w:val=""/>
      <w:lvlJc w:val="left"/>
      <w:pPr>
        <w:ind w:left="0" w:hanging="360"/>
      </w:pPr>
    </w:lvl>
    <w:lvl w:ilvl="5">
      <w:start w:val="1"/>
      <w:numFmt w:val="decimal"/>
      <w:lvlText w:val=""/>
      <w:lvlJc w:val="left"/>
      <w:pPr>
        <w:ind w:left="0" w:hanging="360"/>
      </w:pPr>
    </w:lvl>
    <w:lvl w:ilvl="6">
      <w:start w:val="1"/>
      <w:numFmt w:val="decimal"/>
      <w:lvlText w:val=""/>
      <w:lvlJc w:val="left"/>
      <w:pPr>
        <w:ind w:left="0" w:hanging="360"/>
      </w:pPr>
    </w:lvl>
    <w:lvl w:ilvl="7">
      <w:start w:val="1"/>
      <w:numFmt w:val="decimal"/>
      <w:lvlText w:val=""/>
      <w:lvlJc w:val="left"/>
      <w:pPr>
        <w:ind w:left="0" w:hanging="360"/>
      </w:pPr>
    </w:lvl>
    <w:lvl w:ilvl="8">
      <w:start w:val="1"/>
      <w:numFmt w:val="decimal"/>
      <w:lvlText w:val=""/>
      <w:lvlJc w:val="left"/>
      <w:pPr>
        <w:ind w:left="0" w:hanging="360"/>
      </w:pPr>
    </w:lvl>
  </w:abstractNum>
  <w:abstractNum w:abstractNumId="144" w15:restartNumberingAfterBreak="0">
    <w:nsid w:val="5DD3435F"/>
    <w:multiLevelType w:val="hybridMultilevel"/>
    <w:tmpl w:val="C442B2FA"/>
    <w:lvl w:ilvl="0" w:tplc="6F6CDB26">
      <w:start w:val="1"/>
      <w:numFmt w:val="bullet"/>
      <w:lvlText w:val=""/>
      <w:lvlJc w:val="left"/>
      <w:pPr>
        <w:tabs>
          <w:tab w:val="num" w:pos="567"/>
        </w:tabs>
        <w:ind w:left="567" w:hanging="567"/>
      </w:pPr>
      <w:rPr>
        <w:rFonts w:ascii="Symbol" w:hAnsi="Symbol" w:hint="default"/>
        <w:color w:val="auto"/>
      </w:rPr>
    </w:lvl>
    <w:lvl w:ilvl="1" w:tplc="EE9A33E4">
      <w:start w:val="1"/>
      <w:numFmt w:val="bullet"/>
      <w:lvlText w:val="o"/>
      <w:lvlJc w:val="left"/>
      <w:pPr>
        <w:tabs>
          <w:tab w:val="num" w:pos="1440"/>
        </w:tabs>
        <w:ind w:left="1440" w:hanging="360"/>
      </w:pPr>
      <w:rPr>
        <w:rFonts w:ascii="Courier New" w:hAnsi="Courier New" w:hint="default"/>
      </w:rPr>
    </w:lvl>
    <w:lvl w:ilvl="2" w:tplc="23FE202A" w:tentative="1">
      <w:start w:val="1"/>
      <w:numFmt w:val="bullet"/>
      <w:lvlText w:val=""/>
      <w:lvlJc w:val="left"/>
      <w:pPr>
        <w:tabs>
          <w:tab w:val="num" w:pos="2160"/>
        </w:tabs>
        <w:ind w:left="2160" w:hanging="360"/>
      </w:pPr>
      <w:rPr>
        <w:rFonts w:ascii="Wingdings" w:hAnsi="Wingdings" w:hint="default"/>
      </w:rPr>
    </w:lvl>
    <w:lvl w:ilvl="3" w:tplc="2B329906" w:tentative="1">
      <w:start w:val="1"/>
      <w:numFmt w:val="bullet"/>
      <w:lvlText w:val=""/>
      <w:lvlJc w:val="left"/>
      <w:pPr>
        <w:tabs>
          <w:tab w:val="num" w:pos="2880"/>
        </w:tabs>
        <w:ind w:left="2880" w:hanging="360"/>
      </w:pPr>
      <w:rPr>
        <w:rFonts w:ascii="Symbol" w:hAnsi="Symbol" w:hint="default"/>
      </w:rPr>
    </w:lvl>
    <w:lvl w:ilvl="4" w:tplc="258A8BBA" w:tentative="1">
      <w:start w:val="1"/>
      <w:numFmt w:val="bullet"/>
      <w:lvlText w:val="o"/>
      <w:lvlJc w:val="left"/>
      <w:pPr>
        <w:tabs>
          <w:tab w:val="num" w:pos="3600"/>
        </w:tabs>
        <w:ind w:left="3600" w:hanging="360"/>
      </w:pPr>
      <w:rPr>
        <w:rFonts w:ascii="Courier New" w:hAnsi="Courier New" w:hint="default"/>
      </w:rPr>
    </w:lvl>
    <w:lvl w:ilvl="5" w:tplc="E91A486C" w:tentative="1">
      <w:start w:val="1"/>
      <w:numFmt w:val="bullet"/>
      <w:lvlText w:val=""/>
      <w:lvlJc w:val="left"/>
      <w:pPr>
        <w:tabs>
          <w:tab w:val="num" w:pos="4320"/>
        </w:tabs>
        <w:ind w:left="4320" w:hanging="360"/>
      </w:pPr>
      <w:rPr>
        <w:rFonts w:ascii="Wingdings" w:hAnsi="Wingdings" w:hint="default"/>
      </w:rPr>
    </w:lvl>
    <w:lvl w:ilvl="6" w:tplc="C4F0D298" w:tentative="1">
      <w:start w:val="1"/>
      <w:numFmt w:val="bullet"/>
      <w:lvlText w:val=""/>
      <w:lvlJc w:val="left"/>
      <w:pPr>
        <w:tabs>
          <w:tab w:val="num" w:pos="5040"/>
        </w:tabs>
        <w:ind w:left="5040" w:hanging="360"/>
      </w:pPr>
      <w:rPr>
        <w:rFonts w:ascii="Symbol" w:hAnsi="Symbol" w:hint="default"/>
      </w:rPr>
    </w:lvl>
    <w:lvl w:ilvl="7" w:tplc="C64C0F9A" w:tentative="1">
      <w:start w:val="1"/>
      <w:numFmt w:val="bullet"/>
      <w:lvlText w:val="o"/>
      <w:lvlJc w:val="left"/>
      <w:pPr>
        <w:tabs>
          <w:tab w:val="num" w:pos="5760"/>
        </w:tabs>
        <w:ind w:left="5760" w:hanging="360"/>
      </w:pPr>
      <w:rPr>
        <w:rFonts w:ascii="Courier New" w:hAnsi="Courier New" w:hint="default"/>
      </w:rPr>
    </w:lvl>
    <w:lvl w:ilvl="8" w:tplc="CCB258C6"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5E564BB8"/>
    <w:multiLevelType w:val="hybridMultilevel"/>
    <w:tmpl w:val="ACBEA082"/>
    <w:lvl w:ilvl="0" w:tplc="1944B196">
      <w:start w:val="1"/>
      <w:numFmt w:val="bullet"/>
      <w:lvlText w:val=""/>
      <w:lvlJc w:val="left"/>
      <w:pPr>
        <w:ind w:left="720" w:hanging="360"/>
      </w:pPr>
      <w:rPr>
        <w:rFonts w:ascii="Symbol" w:hAnsi="Symbol" w:hint="default"/>
      </w:rPr>
    </w:lvl>
    <w:lvl w:ilvl="1" w:tplc="3A785FD2" w:tentative="1">
      <w:start w:val="1"/>
      <w:numFmt w:val="bullet"/>
      <w:lvlText w:val="o"/>
      <w:lvlJc w:val="left"/>
      <w:pPr>
        <w:ind w:left="1440" w:hanging="360"/>
      </w:pPr>
      <w:rPr>
        <w:rFonts w:ascii="Courier New" w:hAnsi="Courier New" w:cs="Courier New" w:hint="default"/>
      </w:rPr>
    </w:lvl>
    <w:lvl w:ilvl="2" w:tplc="7FFEAD60" w:tentative="1">
      <w:start w:val="1"/>
      <w:numFmt w:val="bullet"/>
      <w:lvlText w:val=""/>
      <w:lvlJc w:val="left"/>
      <w:pPr>
        <w:ind w:left="2160" w:hanging="360"/>
      </w:pPr>
      <w:rPr>
        <w:rFonts w:ascii="Wingdings" w:hAnsi="Wingdings" w:hint="default"/>
      </w:rPr>
    </w:lvl>
    <w:lvl w:ilvl="3" w:tplc="EC46C98C" w:tentative="1">
      <w:start w:val="1"/>
      <w:numFmt w:val="bullet"/>
      <w:lvlText w:val=""/>
      <w:lvlJc w:val="left"/>
      <w:pPr>
        <w:ind w:left="2880" w:hanging="360"/>
      </w:pPr>
      <w:rPr>
        <w:rFonts w:ascii="Symbol" w:hAnsi="Symbol" w:hint="default"/>
      </w:rPr>
    </w:lvl>
    <w:lvl w:ilvl="4" w:tplc="9E12C00C" w:tentative="1">
      <w:start w:val="1"/>
      <w:numFmt w:val="bullet"/>
      <w:lvlText w:val="o"/>
      <w:lvlJc w:val="left"/>
      <w:pPr>
        <w:ind w:left="3600" w:hanging="360"/>
      </w:pPr>
      <w:rPr>
        <w:rFonts w:ascii="Courier New" w:hAnsi="Courier New" w:cs="Courier New" w:hint="default"/>
      </w:rPr>
    </w:lvl>
    <w:lvl w:ilvl="5" w:tplc="318C5952" w:tentative="1">
      <w:start w:val="1"/>
      <w:numFmt w:val="bullet"/>
      <w:lvlText w:val=""/>
      <w:lvlJc w:val="left"/>
      <w:pPr>
        <w:ind w:left="4320" w:hanging="360"/>
      </w:pPr>
      <w:rPr>
        <w:rFonts w:ascii="Wingdings" w:hAnsi="Wingdings" w:hint="default"/>
      </w:rPr>
    </w:lvl>
    <w:lvl w:ilvl="6" w:tplc="F20EAF84" w:tentative="1">
      <w:start w:val="1"/>
      <w:numFmt w:val="bullet"/>
      <w:lvlText w:val=""/>
      <w:lvlJc w:val="left"/>
      <w:pPr>
        <w:ind w:left="5040" w:hanging="360"/>
      </w:pPr>
      <w:rPr>
        <w:rFonts w:ascii="Symbol" w:hAnsi="Symbol" w:hint="default"/>
      </w:rPr>
    </w:lvl>
    <w:lvl w:ilvl="7" w:tplc="F594DBEC" w:tentative="1">
      <w:start w:val="1"/>
      <w:numFmt w:val="bullet"/>
      <w:lvlText w:val="o"/>
      <w:lvlJc w:val="left"/>
      <w:pPr>
        <w:ind w:left="5760" w:hanging="360"/>
      </w:pPr>
      <w:rPr>
        <w:rFonts w:ascii="Courier New" w:hAnsi="Courier New" w:cs="Courier New" w:hint="default"/>
      </w:rPr>
    </w:lvl>
    <w:lvl w:ilvl="8" w:tplc="99F6FE14" w:tentative="1">
      <w:start w:val="1"/>
      <w:numFmt w:val="bullet"/>
      <w:lvlText w:val=""/>
      <w:lvlJc w:val="left"/>
      <w:pPr>
        <w:ind w:left="6480" w:hanging="360"/>
      </w:pPr>
      <w:rPr>
        <w:rFonts w:ascii="Wingdings" w:hAnsi="Wingdings" w:hint="default"/>
      </w:rPr>
    </w:lvl>
  </w:abstractNum>
  <w:abstractNum w:abstractNumId="146" w15:restartNumberingAfterBreak="0">
    <w:nsid w:val="5EA93566"/>
    <w:multiLevelType w:val="hybridMultilevel"/>
    <w:tmpl w:val="209684FA"/>
    <w:lvl w:ilvl="0" w:tplc="9CDC2F90">
      <w:start w:val="1"/>
      <w:numFmt w:val="bullet"/>
      <w:lvlText w:val=""/>
      <w:lvlJc w:val="left"/>
      <w:pPr>
        <w:tabs>
          <w:tab w:val="num" w:pos="567"/>
        </w:tabs>
        <w:ind w:left="567" w:hanging="567"/>
      </w:pPr>
      <w:rPr>
        <w:rFonts w:ascii="Symbol" w:hAnsi="Symbol" w:hint="default"/>
      </w:rPr>
    </w:lvl>
    <w:lvl w:ilvl="1" w:tplc="0BA2CA9C">
      <w:start w:val="1"/>
      <w:numFmt w:val="bullet"/>
      <w:lvlText w:val=""/>
      <w:lvlJc w:val="left"/>
      <w:pPr>
        <w:tabs>
          <w:tab w:val="num" w:pos="567"/>
        </w:tabs>
        <w:ind w:left="567" w:hanging="567"/>
      </w:pPr>
      <w:rPr>
        <w:rFonts w:ascii="Symbol" w:hAnsi="Symbol" w:hint="default"/>
      </w:rPr>
    </w:lvl>
    <w:lvl w:ilvl="2" w:tplc="60BA4868" w:tentative="1">
      <w:start w:val="1"/>
      <w:numFmt w:val="bullet"/>
      <w:lvlText w:val=""/>
      <w:lvlJc w:val="left"/>
      <w:pPr>
        <w:tabs>
          <w:tab w:val="num" w:pos="2160"/>
        </w:tabs>
        <w:ind w:left="2160" w:hanging="360"/>
      </w:pPr>
      <w:rPr>
        <w:rFonts w:ascii="Wingdings" w:hAnsi="Wingdings" w:hint="default"/>
      </w:rPr>
    </w:lvl>
    <w:lvl w:ilvl="3" w:tplc="398AC998" w:tentative="1">
      <w:start w:val="1"/>
      <w:numFmt w:val="bullet"/>
      <w:lvlText w:val=""/>
      <w:lvlJc w:val="left"/>
      <w:pPr>
        <w:tabs>
          <w:tab w:val="num" w:pos="2880"/>
        </w:tabs>
        <w:ind w:left="2880" w:hanging="360"/>
      </w:pPr>
      <w:rPr>
        <w:rFonts w:ascii="Symbol" w:hAnsi="Symbol" w:hint="default"/>
      </w:rPr>
    </w:lvl>
    <w:lvl w:ilvl="4" w:tplc="7948272E" w:tentative="1">
      <w:start w:val="1"/>
      <w:numFmt w:val="bullet"/>
      <w:lvlText w:val="o"/>
      <w:lvlJc w:val="left"/>
      <w:pPr>
        <w:tabs>
          <w:tab w:val="num" w:pos="3600"/>
        </w:tabs>
        <w:ind w:left="3600" w:hanging="360"/>
      </w:pPr>
      <w:rPr>
        <w:rFonts w:ascii="Courier New" w:hAnsi="Courier New" w:hint="default"/>
      </w:rPr>
    </w:lvl>
    <w:lvl w:ilvl="5" w:tplc="6CDE0368" w:tentative="1">
      <w:start w:val="1"/>
      <w:numFmt w:val="bullet"/>
      <w:lvlText w:val=""/>
      <w:lvlJc w:val="left"/>
      <w:pPr>
        <w:tabs>
          <w:tab w:val="num" w:pos="4320"/>
        </w:tabs>
        <w:ind w:left="4320" w:hanging="360"/>
      </w:pPr>
      <w:rPr>
        <w:rFonts w:ascii="Wingdings" w:hAnsi="Wingdings" w:hint="default"/>
      </w:rPr>
    </w:lvl>
    <w:lvl w:ilvl="6" w:tplc="ED740090" w:tentative="1">
      <w:start w:val="1"/>
      <w:numFmt w:val="bullet"/>
      <w:lvlText w:val=""/>
      <w:lvlJc w:val="left"/>
      <w:pPr>
        <w:tabs>
          <w:tab w:val="num" w:pos="5040"/>
        </w:tabs>
        <w:ind w:left="5040" w:hanging="360"/>
      </w:pPr>
      <w:rPr>
        <w:rFonts w:ascii="Symbol" w:hAnsi="Symbol" w:hint="default"/>
      </w:rPr>
    </w:lvl>
    <w:lvl w:ilvl="7" w:tplc="08502710" w:tentative="1">
      <w:start w:val="1"/>
      <w:numFmt w:val="bullet"/>
      <w:lvlText w:val="o"/>
      <w:lvlJc w:val="left"/>
      <w:pPr>
        <w:tabs>
          <w:tab w:val="num" w:pos="5760"/>
        </w:tabs>
        <w:ind w:left="5760" w:hanging="360"/>
      </w:pPr>
      <w:rPr>
        <w:rFonts w:ascii="Courier New" w:hAnsi="Courier New" w:hint="default"/>
      </w:rPr>
    </w:lvl>
    <w:lvl w:ilvl="8" w:tplc="031485E0"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5EBD4053"/>
    <w:multiLevelType w:val="hybridMultilevel"/>
    <w:tmpl w:val="C00E74D0"/>
    <w:lvl w:ilvl="0" w:tplc="89921E52">
      <w:start w:val="1"/>
      <w:numFmt w:val="bullet"/>
      <w:lvlText w:val=""/>
      <w:lvlJc w:val="left"/>
      <w:pPr>
        <w:tabs>
          <w:tab w:val="num" w:pos="360"/>
        </w:tabs>
        <w:ind w:left="360" w:hanging="360"/>
      </w:pPr>
      <w:rPr>
        <w:rFonts w:ascii="Symbol" w:hAnsi="Symbol" w:hint="default"/>
      </w:rPr>
    </w:lvl>
    <w:lvl w:ilvl="1" w:tplc="A218EA30">
      <w:start w:val="1"/>
      <w:numFmt w:val="bullet"/>
      <w:lvlText w:val=""/>
      <w:lvlJc w:val="left"/>
      <w:pPr>
        <w:tabs>
          <w:tab w:val="num" w:pos="567"/>
        </w:tabs>
        <w:ind w:left="567" w:hanging="567"/>
      </w:pPr>
      <w:rPr>
        <w:rFonts w:ascii="Symbol" w:hAnsi="Symbol" w:hint="default"/>
      </w:rPr>
    </w:lvl>
    <w:lvl w:ilvl="2" w:tplc="EF96F268" w:tentative="1">
      <w:start w:val="1"/>
      <w:numFmt w:val="bullet"/>
      <w:lvlText w:val=""/>
      <w:lvlJc w:val="left"/>
      <w:pPr>
        <w:tabs>
          <w:tab w:val="num" w:pos="2160"/>
        </w:tabs>
        <w:ind w:left="2160" w:hanging="360"/>
      </w:pPr>
      <w:rPr>
        <w:rFonts w:ascii="Wingdings" w:hAnsi="Wingdings" w:hint="default"/>
      </w:rPr>
    </w:lvl>
    <w:lvl w:ilvl="3" w:tplc="1EC84D34" w:tentative="1">
      <w:start w:val="1"/>
      <w:numFmt w:val="bullet"/>
      <w:lvlText w:val=""/>
      <w:lvlJc w:val="left"/>
      <w:pPr>
        <w:tabs>
          <w:tab w:val="num" w:pos="2880"/>
        </w:tabs>
        <w:ind w:left="2880" w:hanging="360"/>
      </w:pPr>
      <w:rPr>
        <w:rFonts w:ascii="Symbol" w:hAnsi="Symbol" w:hint="default"/>
      </w:rPr>
    </w:lvl>
    <w:lvl w:ilvl="4" w:tplc="3F5C1B00" w:tentative="1">
      <w:start w:val="1"/>
      <w:numFmt w:val="bullet"/>
      <w:lvlText w:val="o"/>
      <w:lvlJc w:val="left"/>
      <w:pPr>
        <w:tabs>
          <w:tab w:val="num" w:pos="3600"/>
        </w:tabs>
        <w:ind w:left="3600" w:hanging="360"/>
      </w:pPr>
      <w:rPr>
        <w:rFonts w:ascii="Courier New" w:hAnsi="Courier New" w:hint="default"/>
      </w:rPr>
    </w:lvl>
    <w:lvl w:ilvl="5" w:tplc="46B0373A" w:tentative="1">
      <w:start w:val="1"/>
      <w:numFmt w:val="bullet"/>
      <w:lvlText w:val=""/>
      <w:lvlJc w:val="left"/>
      <w:pPr>
        <w:tabs>
          <w:tab w:val="num" w:pos="4320"/>
        </w:tabs>
        <w:ind w:left="4320" w:hanging="360"/>
      </w:pPr>
      <w:rPr>
        <w:rFonts w:ascii="Wingdings" w:hAnsi="Wingdings" w:hint="default"/>
      </w:rPr>
    </w:lvl>
    <w:lvl w:ilvl="6" w:tplc="36FE0976" w:tentative="1">
      <w:start w:val="1"/>
      <w:numFmt w:val="bullet"/>
      <w:lvlText w:val=""/>
      <w:lvlJc w:val="left"/>
      <w:pPr>
        <w:tabs>
          <w:tab w:val="num" w:pos="5040"/>
        </w:tabs>
        <w:ind w:left="5040" w:hanging="360"/>
      </w:pPr>
      <w:rPr>
        <w:rFonts w:ascii="Symbol" w:hAnsi="Symbol" w:hint="default"/>
      </w:rPr>
    </w:lvl>
    <w:lvl w:ilvl="7" w:tplc="6538A9D0" w:tentative="1">
      <w:start w:val="1"/>
      <w:numFmt w:val="bullet"/>
      <w:lvlText w:val="o"/>
      <w:lvlJc w:val="left"/>
      <w:pPr>
        <w:tabs>
          <w:tab w:val="num" w:pos="5760"/>
        </w:tabs>
        <w:ind w:left="5760" w:hanging="360"/>
      </w:pPr>
      <w:rPr>
        <w:rFonts w:ascii="Courier New" w:hAnsi="Courier New" w:hint="default"/>
      </w:rPr>
    </w:lvl>
    <w:lvl w:ilvl="8" w:tplc="3354966E"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5FA75B1A"/>
    <w:multiLevelType w:val="multilevel"/>
    <w:tmpl w:val="B1E08776"/>
    <w:lvl w:ilvl="0">
      <w:start w:val="1"/>
      <w:numFmt w:val="lowerLetter"/>
      <w:lvlText w:val="%1"/>
      <w:lvlJc w:val="left"/>
      <w:pPr>
        <w:ind w:left="720" w:hanging="720"/>
      </w:pPr>
      <w:rPr>
        <w:rFonts w:ascii="Times New Roman" w:hAnsi="Times New Roman" w:cs="Times New Roman" w:hint="default"/>
        <w:b w:val="0"/>
        <w:i w:val="0"/>
        <w:caps w:val="0"/>
        <w:sz w:val="16"/>
        <w:szCs w:val="16"/>
        <w:u w:val="none"/>
        <w:vertAlign w:val="superscrip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numFmt w:val="none"/>
      <w:lvlText w:val=""/>
      <w:lvlJc w:val="left"/>
      <w:pPr>
        <w:tabs>
          <w:tab w:val="num" w:pos="360"/>
        </w:tabs>
        <w:ind w:left="0"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9" w15:restartNumberingAfterBreak="0">
    <w:nsid w:val="5FC023BA"/>
    <w:multiLevelType w:val="hybridMultilevel"/>
    <w:tmpl w:val="8BA831F0"/>
    <w:lvl w:ilvl="0" w:tplc="7EF890F8">
      <w:start w:val="1"/>
      <w:numFmt w:val="bullet"/>
      <w:lvlText w:val=""/>
      <w:lvlJc w:val="left"/>
      <w:pPr>
        <w:ind w:left="720" w:hanging="360"/>
      </w:pPr>
      <w:rPr>
        <w:rFonts w:ascii="Symbol" w:hAnsi="Symbol" w:hint="default"/>
      </w:rPr>
    </w:lvl>
    <w:lvl w:ilvl="1" w:tplc="1FC64F36" w:tentative="1">
      <w:start w:val="1"/>
      <w:numFmt w:val="bullet"/>
      <w:lvlText w:val="o"/>
      <w:lvlJc w:val="left"/>
      <w:pPr>
        <w:ind w:left="1440" w:hanging="360"/>
      </w:pPr>
      <w:rPr>
        <w:rFonts w:ascii="Courier New" w:hAnsi="Courier New" w:cs="Courier New" w:hint="default"/>
      </w:rPr>
    </w:lvl>
    <w:lvl w:ilvl="2" w:tplc="3A2AE3AA" w:tentative="1">
      <w:start w:val="1"/>
      <w:numFmt w:val="bullet"/>
      <w:lvlText w:val=""/>
      <w:lvlJc w:val="left"/>
      <w:pPr>
        <w:ind w:left="2160" w:hanging="360"/>
      </w:pPr>
      <w:rPr>
        <w:rFonts w:ascii="Wingdings" w:hAnsi="Wingdings" w:hint="default"/>
      </w:rPr>
    </w:lvl>
    <w:lvl w:ilvl="3" w:tplc="7862E8F2" w:tentative="1">
      <w:start w:val="1"/>
      <w:numFmt w:val="bullet"/>
      <w:lvlText w:val=""/>
      <w:lvlJc w:val="left"/>
      <w:pPr>
        <w:ind w:left="2880" w:hanging="360"/>
      </w:pPr>
      <w:rPr>
        <w:rFonts w:ascii="Symbol" w:hAnsi="Symbol" w:hint="default"/>
      </w:rPr>
    </w:lvl>
    <w:lvl w:ilvl="4" w:tplc="43A0BDA6" w:tentative="1">
      <w:start w:val="1"/>
      <w:numFmt w:val="bullet"/>
      <w:lvlText w:val="o"/>
      <w:lvlJc w:val="left"/>
      <w:pPr>
        <w:ind w:left="3600" w:hanging="360"/>
      </w:pPr>
      <w:rPr>
        <w:rFonts w:ascii="Courier New" w:hAnsi="Courier New" w:cs="Courier New" w:hint="default"/>
      </w:rPr>
    </w:lvl>
    <w:lvl w:ilvl="5" w:tplc="3294A02C" w:tentative="1">
      <w:start w:val="1"/>
      <w:numFmt w:val="bullet"/>
      <w:lvlText w:val=""/>
      <w:lvlJc w:val="left"/>
      <w:pPr>
        <w:ind w:left="4320" w:hanging="360"/>
      </w:pPr>
      <w:rPr>
        <w:rFonts w:ascii="Wingdings" w:hAnsi="Wingdings" w:hint="default"/>
      </w:rPr>
    </w:lvl>
    <w:lvl w:ilvl="6" w:tplc="24066190" w:tentative="1">
      <w:start w:val="1"/>
      <w:numFmt w:val="bullet"/>
      <w:lvlText w:val=""/>
      <w:lvlJc w:val="left"/>
      <w:pPr>
        <w:ind w:left="5040" w:hanging="360"/>
      </w:pPr>
      <w:rPr>
        <w:rFonts w:ascii="Symbol" w:hAnsi="Symbol" w:hint="default"/>
      </w:rPr>
    </w:lvl>
    <w:lvl w:ilvl="7" w:tplc="5C605B22" w:tentative="1">
      <w:start w:val="1"/>
      <w:numFmt w:val="bullet"/>
      <w:lvlText w:val="o"/>
      <w:lvlJc w:val="left"/>
      <w:pPr>
        <w:ind w:left="5760" w:hanging="360"/>
      </w:pPr>
      <w:rPr>
        <w:rFonts w:ascii="Courier New" w:hAnsi="Courier New" w:cs="Courier New" w:hint="default"/>
      </w:rPr>
    </w:lvl>
    <w:lvl w:ilvl="8" w:tplc="B1E2BC46" w:tentative="1">
      <w:start w:val="1"/>
      <w:numFmt w:val="bullet"/>
      <w:lvlText w:val=""/>
      <w:lvlJc w:val="left"/>
      <w:pPr>
        <w:ind w:left="6480" w:hanging="360"/>
      </w:pPr>
      <w:rPr>
        <w:rFonts w:ascii="Wingdings" w:hAnsi="Wingdings" w:hint="default"/>
      </w:rPr>
    </w:lvl>
  </w:abstractNum>
  <w:abstractNum w:abstractNumId="150" w15:restartNumberingAfterBreak="0">
    <w:nsid w:val="61D7364A"/>
    <w:multiLevelType w:val="hybridMultilevel"/>
    <w:tmpl w:val="78188B3A"/>
    <w:lvl w:ilvl="0" w:tplc="784C8142">
      <w:start w:val="1"/>
      <w:numFmt w:val="bullet"/>
      <w:lvlText w:val=""/>
      <w:lvlJc w:val="left"/>
      <w:pPr>
        <w:ind w:left="720" w:hanging="360"/>
      </w:pPr>
      <w:rPr>
        <w:rFonts w:ascii="Symbol" w:hAnsi="Symbol" w:hint="default"/>
      </w:rPr>
    </w:lvl>
    <w:lvl w:ilvl="1" w:tplc="5BC4F20C" w:tentative="1">
      <w:start w:val="1"/>
      <w:numFmt w:val="bullet"/>
      <w:lvlText w:val="o"/>
      <w:lvlJc w:val="left"/>
      <w:pPr>
        <w:ind w:left="1440" w:hanging="360"/>
      </w:pPr>
      <w:rPr>
        <w:rFonts w:ascii="Courier New" w:hAnsi="Courier New" w:cs="Courier New" w:hint="default"/>
      </w:rPr>
    </w:lvl>
    <w:lvl w:ilvl="2" w:tplc="6812F9BA" w:tentative="1">
      <w:start w:val="1"/>
      <w:numFmt w:val="bullet"/>
      <w:lvlText w:val=""/>
      <w:lvlJc w:val="left"/>
      <w:pPr>
        <w:ind w:left="2160" w:hanging="360"/>
      </w:pPr>
      <w:rPr>
        <w:rFonts w:ascii="Wingdings" w:hAnsi="Wingdings" w:hint="default"/>
      </w:rPr>
    </w:lvl>
    <w:lvl w:ilvl="3" w:tplc="F5CAF0DA" w:tentative="1">
      <w:start w:val="1"/>
      <w:numFmt w:val="bullet"/>
      <w:lvlText w:val=""/>
      <w:lvlJc w:val="left"/>
      <w:pPr>
        <w:ind w:left="2880" w:hanging="360"/>
      </w:pPr>
      <w:rPr>
        <w:rFonts w:ascii="Symbol" w:hAnsi="Symbol" w:hint="default"/>
      </w:rPr>
    </w:lvl>
    <w:lvl w:ilvl="4" w:tplc="844833A4" w:tentative="1">
      <w:start w:val="1"/>
      <w:numFmt w:val="bullet"/>
      <w:lvlText w:val="o"/>
      <w:lvlJc w:val="left"/>
      <w:pPr>
        <w:ind w:left="3600" w:hanging="360"/>
      </w:pPr>
      <w:rPr>
        <w:rFonts w:ascii="Courier New" w:hAnsi="Courier New" w:cs="Courier New" w:hint="default"/>
      </w:rPr>
    </w:lvl>
    <w:lvl w:ilvl="5" w:tplc="9C7CE320" w:tentative="1">
      <w:start w:val="1"/>
      <w:numFmt w:val="bullet"/>
      <w:lvlText w:val=""/>
      <w:lvlJc w:val="left"/>
      <w:pPr>
        <w:ind w:left="4320" w:hanging="360"/>
      </w:pPr>
      <w:rPr>
        <w:rFonts w:ascii="Wingdings" w:hAnsi="Wingdings" w:hint="default"/>
      </w:rPr>
    </w:lvl>
    <w:lvl w:ilvl="6" w:tplc="C39E1650" w:tentative="1">
      <w:start w:val="1"/>
      <w:numFmt w:val="bullet"/>
      <w:lvlText w:val=""/>
      <w:lvlJc w:val="left"/>
      <w:pPr>
        <w:ind w:left="5040" w:hanging="360"/>
      </w:pPr>
      <w:rPr>
        <w:rFonts w:ascii="Symbol" w:hAnsi="Symbol" w:hint="default"/>
      </w:rPr>
    </w:lvl>
    <w:lvl w:ilvl="7" w:tplc="8048C810" w:tentative="1">
      <w:start w:val="1"/>
      <w:numFmt w:val="bullet"/>
      <w:lvlText w:val="o"/>
      <w:lvlJc w:val="left"/>
      <w:pPr>
        <w:ind w:left="5760" w:hanging="360"/>
      </w:pPr>
      <w:rPr>
        <w:rFonts w:ascii="Courier New" w:hAnsi="Courier New" w:cs="Courier New" w:hint="default"/>
      </w:rPr>
    </w:lvl>
    <w:lvl w:ilvl="8" w:tplc="B4860B5A" w:tentative="1">
      <w:start w:val="1"/>
      <w:numFmt w:val="bullet"/>
      <w:lvlText w:val=""/>
      <w:lvlJc w:val="left"/>
      <w:pPr>
        <w:ind w:left="6480" w:hanging="360"/>
      </w:pPr>
      <w:rPr>
        <w:rFonts w:ascii="Wingdings" w:hAnsi="Wingdings" w:hint="default"/>
      </w:rPr>
    </w:lvl>
  </w:abstractNum>
  <w:abstractNum w:abstractNumId="151" w15:restartNumberingAfterBreak="0">
    <w:nsid w:val="62FA5879"/>
    <w:multiLevelType w:val="hybridMultilevel"/>
    <w:tmpl w:val="A3A6C288"/>
    <w:lvl w:ilvl="0" w:tplc="B658FA7A">
      <w:start w:val="1"/>
      <w:numFmt w:val="decimal"/>
      <w:lvlText w:val="%1."/>
      <w:lvlJc w:val="left"/>
      <w:pPr>
        <w:ind w:left="720" w:hanging="360"/>
      </w:pPr>
    </w:lvl>
    <w:lvl w:ilvl="1" w:tplc="CFE04BD8" w:tentative="1">
      <w:start w:val="1"/>
      <w:numFmt w:val="lowerLetter"/>
      <w:lvlText w:val="%2."/>
      <w:lvlJc w:val="left"/>
      <w:pPr>
        <w:ind w:left="1440" w:hanging="360"/>
      </w:pPr>
    </w:lvl>
    <w:lvl w:ilvl="2" w:tplc="21DA0D24" w:tentative="1">
      <w:start w:val="1"/>
      <w:numFmt w:val="lowerRoman"/>
      <w:lvlText w:val="%3."/>
      <w:lvlJc w:val="right"/>
      <w:pPr>
        <w:ind w:left="2160" w:hanging="180"/>
      </w:pPr>
    </w:lvl>
    <w:lvl w:ilvl="3" w:tplc="8AB83CE0" w:tentative="1">
      <w:start w:val="1"/>
      <w:numFmt w:val="decimal"/>
      <w:lvlText w:val="%4."/>
      <w:lvlJc w:val="left"/>
      <w:pPr>
        <w:ind w:left="2880" w:hanging="360"/>
      </w:pPr>
    </w:lvl>
    <w:lvl w:ilvl="4" w:tplc="DE0022F2" w:tentative="1">
      <w:start w:val="1"/>
      <w:numFmt w:val="lowerLetter"/>
      <w:lvlText w:val="%5."/>
      <w:lvlJc w:val="left"/>
      <w:pPr>
        <w:ind w:left="3600" w:hanging="360"/>
      </w:pPr>
    </w:lvl>
    <w:lvl w:ilvl="5" w:tplc="1720AB94" w:tentative="1">
      <w:start w:val="1"/>
      <w:numFmt w:val="lowerRoman"/>
      <w:lvlText w:val="%6."/>
      <w:lvlJc w:val="right"/>
      <w:pPr>
        <w:ind w:left="4320" w:hanging="180"/>
      </w:pPr>
    </w:lvl>
    <w:lvl w:ilvl="6" w:tplc="E5C42972" w:tentative="1">
      <w:start w:val="1"/>
      <w:numFmt w:val="decimal"/>
      <w:lvlText w:val="%7."/>
      <w:lvlJc w:val="left"/>
      <w:pPr>
        <w:ind w:left="5040" w:hanging="360"/>
      </w:pPr>
    </w:lvl>
    <w:lvl w:ilvl="7" w:tplc="577A64B4" w:tentative="1">
      <w:start w:val="1"/>
      <w:numFmt w:val="lowerLetter"/>
      <w:lvlText w:val="%8."/>
      <w:lvlJc w:val="left"/>
      <w:pPr>
        <w:ind w:left="5760" w:hanging="360"/>
      </w:pPr>
    </w:lvl>
    <w:lvl w:ilvl="8" w:tplc="ED683E34" w:tentative="1">
      <w:start w:val="1"/>
      <w:numFmt w:val="lowerRoman"/>
      <w:lvlText w:val="%9."/>
      <w:lvlJc w:val="right"/>
      <w:pPr>
        <w:ind w:left="6480" w:hanging="180"/>
      </w:pPr>
    </w:lvl>
  </w:abstractNum>
  <w:abstractNum w:abstractNumId="152" w15:restartNumberingAfterBreak="0">
    <w:nsid w:val="633F46D8"/>
    <w:multiLevelType w:val="multilevel"/>
    <w:tmpl w:val="A208B00C"/>
    <w:lvl w:ilvl="0">
      <w:start w:val="1"/>
      <w:numFmt w:val="lowerLetter"/>
      <w:lvlText w:val="%1"/>
      <w:lvlJc w:val="left"/>
      <w:pPr>
        <w:ind w:left="720" w:hanging="720"/>
      </w:pPr>
      <w:rPr>
        <w:rFonts w:hint="default"/>
        <w:b w:val="0"/>
        <w:i w:val="0"/>
        <w:caps w:val="0"/>
        <w:sz w:val="16"/>
        <w:szCs w:val="16"/>
        <w:u w:val="none"/>
        <w:vertAlign w:val="superscrip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3" w15:restartNumberingAfterBreak="0">
    <w:nsid w:val="63AB71A2"/>
    <w:multiLevelType w:val="hybridMultilevel"/>
    <w:tmpl w:val="ACBAD194"/>
    <w:lvl w:ilvl="0" w:tplc="FFE0D6D0">
      <w:start w:val="1"/>
      <w:numFmt w:val="bullet"/>
      <w:lvlText w:val=""/>
      <w:lvlJc w:val="left"/>
      <w:pPr>
        <w:tabs>
          <w:tab w:val="num" w:pos="567"/>
        </w:tabs>
        <w:ind w:left="567" w:hanging="567"/>
      </w:pPr>
      <w:rPr>
        <w:rFonts w:ascii="Symbol" w:hAnsi="Symbol" w:hint="default"/>
      </w:rPr>
    </w:lvl>
    <w:lvl w:ilvl="1" w:tplc="9D961214" w:tentative="1">
      <w:start w:val="1"/>
      <w:numFmt w:val="bullet"/>
      <w:lvlText w:val="o"/>
      <w:lvlJc w:val="left"/>
      <w:pPr>
        <w:tabs>
          <w:tab w:val="num" w:pos="1440"/>
        </w:tabs>
        <w:ind w:left="1440" w:hanging="360"/>
      </w:pPr>
      <w:rPr>
        <w:rFonts w:ascii="Courier New" w:hAnsi="Courier New" w:hint="default"/>
      </w:rPr>
    </w:lvl>
    <w:lvl w:ilvl="2" w:tplc="D4DA45B2" w:tentative="1">
      <w:start w:val="1"/>
      <w:numFmt w:val="bullet"/>
      <w:lvlText w:val=""/>
      <w:lvlJc w:val="left"/>
      <w:pPr>
        <w:tabs>
          <w:tab w:val="num" w:pos="2160"/>
        </w:tabs>
        <w:ind w:left="2160" w:hanging="360"/>
      </w:pPr>
      <w:rPr>
        <w:rFonts w:ascii="Wingdings" w:hAnsi="Wingdings" w:hint="default"/>
      </w:rPr>
    </w:lvl>
    <w:lvl w:ilvl="3" w:tplc="0D40AB6E" w:tentative="1">
      <w:start w:val="1"/>
      <w:numFmt w:val="bullet"/>
      <w:lvlText w:val=""/>
      <w:lvlJc w:val="left"/>
      <w:pPr>
        <w:tabs>
          <w:tab w:val="num" w:pos="2880"/>
        </w:tabs>
        <w:ind w:left="2880" w:hanging="360"/>
      </w:pPr>
      <w:rPr>
        <w:rFonts w:ascii="Symbol" w:hAnsi="Symbol" w:hint="default"/>
      </w:rPr>
    </w:lvl>
    <w:lvl w:ilvl="4" w:tplc="074E76B8" w:tentative="1">
      <w:start w:val="1"/>
      <w:numFmt w:val="bullet"/>
      <w:lvlText w:val="o"/>
      <w:lvlJc w:val="left"/>
      <w:pPr>
        <w:tabs>
          <w:tab w:val="num" w:pos="3600"/>
        </w:tabs>
        <w:ind w:left="3600" w:hanging="360"/>
      </w:pPr>
      <w:rPr>
        <w:rFonts w:ascii="Courier New" w:hAnsi="Courier New" w:hint="default"/>
      </w:rPr>
    </w:lvl>
    <w:lvl w:ilvl="5" w:tplc="E30CEB9A" w:tentative="1">
      <w:start w:val="1"/>
      <w:numFmt w:val="bullet"/>
      <w:lvlText w:val=""/>
      <w:lvlJc w:val="left"/>
      <w:pPr>
        <w:tabs>
          <w:tab w:val="num" w:pos="4320"/>
        </w:tabs>
        <w:ind w:left="4320" w:hanging="360"/>
      </w:pPr>
      <w:rPr>
        <w:rFonts w:ascii="Wingdings" w:hAnsi="Wingdings" w:hint="default"/>
      </w:rPr>
    </w:lvl>
    <w:lvl w:ilvl="6" w:tplc="22E2ADEE" w:tentative="1">
      <w:start w:val="1"/>
      <w:numFmt w:val="bullet"/>
      <w:lvlText w:val=""/>
      <w:lvlJc w:val="left"/>
      <w:pPr>
        <w:tabs>
          <w:tab w:val="num" w:pos="5040"/>
        </w:tabs>
        <w:ind w:left="5040" w:hanging="360"/>
      </w:pPr>
      <w:rPr>
        <w:rFonts w:ascii="Symbol" w:hAnsi="Symbol" w:hint="default"/>
      </w:rPr>
    </w:lvl>
    <w:lvl w:ilvl="7" w:tplc="2F229CD8" w:tentative="1">
      <w:start w:val="1"/>
      <w:numFmt w:val="bullet"/>
      <w:lvlText w:val="o"/>
      <w:lvlJc w:val="left"/>
      <w:pPr>
        <w:tabs>
          <w:tab w:val="num" w:pos="5760"/>
        </w:tabs>
        <w:ind w:left="5760" w:hanging="360"/>
      </w:pPr>
      <w:rPr>
        <w:rFonts w:ascii="Courier New" w:hAnsi="Courier New" w:hint="default"/>
      </w:rPr>
    </w:lvl>
    <w:lvl w:ilvl="8" w:tplc="98A8F0A8"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63C42583"/>
    <w:multiLevelType w:val="hybridMultilevel"/>
    <w:tmpl w:val="B1DE4838"/>
    <w:lvl w:ilvl="0" w:tplc="36246252">
      <w:start w:val="1"/>
      <w:numFmt w:val="bullet"/>
      <w:lvlText w:val=""/>
      <w:lvlJc w:val="left"/>
      <w:pPr>
        <w:tabs>
          <w:tab w:val="num" w:pos="567"/>
        </w:tabs>
        <w:ind w:left="567" w:hanging="567"/>
      </w:pPr>
      <w:rPr>
        <w:rFonts w:ascii="Symbol" w:hAnsi="Symbol" w:hint="default"/>
      </w:rPr>
    </w:lvl>
    <w:lvl w:ilvl="1" w:tplc="5ADAF9BE" w:tentative="1">
      <w:start w:val="1"/>
      <w:numFmt w:val="bullet"/>
      <w:lvlText w:val="o"/>
      <w:lvlJc w:val="left"/>
      <w:pPr>
        <w:tabs>
          <w:tab w:val="num" w:pos="1440"/>
        </w:tabs>
        <w:ind w:left="1440" w:hanging="360"/>
      </w:pPr>
      <w:rPr>
        <w:rFonts w:ascii="Courier New" w:hAnsi="Courier New" w:hint="default"/>
      </w:rPr>
    </w:lvl>
    <w:lvl w:ilvl="2" w:tplc="81B0E3BA" w:tentative="1">
      <w:start w:val="1"/>
      <w:numFmt w:val="bullet"/>
      <w:lvlText w:val=""/>
      <w:lvlJc w:val="left"/>
      <w:pPr>
        <w:tabs>
          <w:tab w:val="num" w:pos="2160"/>
        </w:tabs>
        <w:ind w:left="2160" w:hanging="360"/>
      </w:pPr>
      <w:rPr>
        <w:rFonts w:ascii="Wingdings" w:hAnsi="Wingdings" w:hint="default"/>
      </w:rPr>
    </w:lvl>
    <w:lvl w:ilvl="3" w:tplc="F5D694D6" w:tentative="1">
      <w:start w:val="1"/>
      <w:numFmt w:val="bullet"/>
      <w:lvlText w:val=""/>
      <w:lvlJc w:val="left"/>
      <w:pPr>
        <w:tabs>
          <w:tab w:val="num" w:pos="2880"/>
        </w:tabs>
        <w:ind w:left="2880" w:hanging="360"/>
      </w:pPr>
      <w:rPr>
        <w:rFonts w:ascii="Symbol" w:hAnsi="Symbol" w:hint="default"/>
      </w:rPr>
    </w:lvl>
    <w:lvl w:ilvl="4" w:tplc="77B28B80" w:tentative="1">
      <w:start w:val="1"/>
      <w:numFmt w:val="bullet"/>
      <w:lvlText w:val="o"/>
      <w:lvlJc w:val="left"/>
      <w:pPr>
        <w:tabs>
          <w:tab w:val="num" w:pos="3600"/>
        </w:tabs>
        <w:ind w:left="3600" w:hanging="360"/>
      </w:pPr>
      <w:rPr>
        <w:rFonts w:ascii="Courier New" w:hAnsi="Courier New" w:hint="default"/>
      </w:rPr>
    </w:lvl>
    <w:lvl w:ilvl="5" w:tplc="45B6E950" w:tentative="1">
      <w:start w:val="1"/>
      <w:numFmt w:val="bullet"/>
      <w:lvlText w:val=""/>
      <w:lvlJc w:val="left"/>
      <w:pPr>
        <w:tabs>
          <w:tab w:val="num" w:pos="4320"/>
        </w:tabs>
        <w:ind w:left="4320" w:hanging="360"/>
      </w:pPr>
      <w:rPr>
        <w:rFonts w:ascii="Wingdings" w:hAnsi="Wingdings" w:hint="default"/>
      </w:rPr>
    </w:lvl>
    <w:lvl w:ilvl="6" w:tplc="5DCCB3A4" w:tentative="1">
      <w:start w:val="1"/>
      <w:numFmt w:val="bullet"/>
      <w:lvlText w:val=""/>
      <w:lvlJc w:val="left"/>
      <w:pPr>
        <w:tabs>
          <w:tab w:val="num" w:pos="5040"/>
        </w:tabs>
        <w:ind w:left="5040" w:hanging="360"/>
      </w:pPr>
      <w:rPr>
        <w:rFonts w:ascii="Symbol" w:hAnsi="Symbol" w:hint="default"/>
      </w:rPr>
    </w:lvl>
    <w:lvl w:ilvl="7" w:tplc="523AE9BA" w:tentative="1">
      <w:start w:val="1"/>
      <w:numFmt w:val="bullet"/>
      <w:lvlText w:val="o"/>
      <w:lvlJc w:val="left"/>
      <w:pPr>
        <w:tabs>
          <w:tab w:val="num" w:pos="5760"/>
        </w:tabs>
        <w:ind w:left="5760" w:hanging="360"/>
      </w:pPr>
      <w:rPr>
        <w:rFonts w:ascii="Courier New" w:hAnsi="Courier New" w:hint="default"/>
      </w:rPr>
    </w:lvl>
    <w:lvl w:ilvl="8" w:tplc="0840E642"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68001E40"/>
    <w:multiLevelType w:val="hybridMultilevel"/>
    <w:tmpl w:val="5AC803AA"/>
    <w:lvl w:ilvl="0" w:tplc="0FAA5750">
      <w:start w:val="1"/>
      <w:numFmt w:val="bullet"/>
      <w:lvlText w:val=""/>
      <w:lvlJc w:val="left"/>
      <w:pPr>
        <w:ind w:left="720" w:hanging="360"/>
      </w:pPr>
      <w:rPr>
        <w:rFonts w:ascii="Symbol" w:hAnsi="Symbol" w:hint="default"/>
      </w:rPr>
    </w:lvl>
    <w:lvl w:ilvl="1" w:tplc="1536230A" w:tentative="1">
      <w:start w:val="1"/>
      <w:numFmt w:val="bullet"/>
      <w:lvlText w:val="o"/>
      <w:lvlJc w:val="left"/>
      <w:pPr>
        <w:ind w:left="1440" w:hanging="360"/>
      </w:pPr>
      <w:rPr>
        <w:rFonts w:ascii="Courier New" w:hAnsi="Courier New" w:cs="Courier New" w:hint="default"/>
      </w:rPr>
    </w:lvl>
    <w:lvl w:ilvl="2" w:tplc="AEAA2A10" w:tentative="1">
      <w:start w:val="1"/>
      <w:numFmt w:val="bullet"/>
      <w:lvlText w:val=""/>
      <w:lvlJc w:val="left"/>
      <w:pPr>
        <w:ind w:left="2160" w:hanging="360"/>
      </w:pPr>
      <w:rPr>
        <w:rFonts w:ascii="Wingdings" w:hAnsi="Wingdings" w:hint="default"/>
      </w:rPr>
    </w:lvl>
    <w:lvl w:ilvl="3" w:tplc="19AE9DEC" w:tentative="1">
      <w:start w:val="1"/>
      <w:numFmt w:val="bullet"/>
      <w:lvlText w:val=""/>
      <w:lvlJc w:val="left"/>
      <w:pPr>
        <w:ind w:left="2880" w:hanging="360"/>
      </w:pPr>
      <w:rPr>
        <w:rFonts w:ascii="Symbol" w:hAnsi="Symbol" w:hint="default"/>
      </w:rPr>
    </w:lvl>
    <w:lvl w:ilvl="4" w:tplc="0B84158A" w:tentative="1">
      <w:start w:val="1"/>
      <w:numFmt w:val="bullet"/>
      <w:lvlText w:val="o"/>
      <w:lvlJc w:val="left"/>
      <w:pPr>
        <w:ind w:left="3600" w:hanging="360"/>
      </w:pPr>
      <w:rPr>
        <w:rFonts w:ascii="Courier New" w:hAnsi="Courier New" w:cs="Courier New" w:hint="default"/>
      </w:rPr>
    </w:lvl>
    <w:lvl w:ilvl="5" w:tplc="BFA47BAA" w:tentative="1">
      <w:start w:val="1"/>
      <w:numFmt w:val="bullet"/>
      <w:lvlText w:val=""/>
      <w:lvlJc w:val="left"/>
      <w:pPr>
        <w:ind w:left="4320" w:hanging="360"/>
      </w:pPr>
      <w:rPr>
        <w:rFonts w:ascii="Wingdings" w:hAnsi="Wingdings" w:hint="default"/>
      </w:rPr>
    </w:lvl>
    <w:lvl w:ilvl="6" w:tplc="A57039A0" w:tentative="1">
      <w:start w:val="1"/>
      <w:numFmt w:val="bullet"/>
      <w:lvlText w:val=""/>
      <w:lvlJc w:val="left"/>
      <w:pPr>
        <w:ind w:left="5040" w:hanging="360"/>
      </w:pPr>
      <w:rPr>
        <w:rFonts w:ascii="Symbol" w:hAnsi="Symbol" w:hint="default"/>
      </w:rPr>
    </w:lvl>
    <w:lvl w:ilvl="7" w:tplc="19CABA92" w:tentative="1">
      <w:start w:val="1"/>
      <w:numFmt w:val="bullet"/>
      <w:lvlText w:val="o"/>
      <w:lvlJc w:val="left"/>
      <w:pPr>
        <w:ind w:left="5760" w:hanging="360"/>
      </w:pPr>
      <w:rPr>
        <w:rFonts w:ascii="Courier New" w:hAnsi="Courier New" w:cs="Courier New" w:hint="default"/>
      </w:rPr>
    </w:lvl>
    <w:lvl w:ilvl="8" w:tplc="0C742954" w:tentative="1">
      <w:start w:val="1"/>
      <w:numFmt w:val="bullet"/>
      <w:lvlText w:val=""/>
      <w:lvlJc w:val="left"/>
      <w:pPr>
        <w:ind w:left="6480" w:hanging="360"/>
      </w:pPr>
      <w:rPr>
        <w:rFonts w:ascii="Wingdings" w:hAnsi="Wingdings" w:hint="default"/>
      </w:rPr>
    </w:lvl>
  </w:abstractNum>
  <w:abstractNum w:abstractNumId="156" w15:restartNumberingAfterBreak="0">
    <w:nsid w:val="699252E4"/>
    <w:multiLevelType w:val="multilevel"/>
    <w:tmpl w:val="704CB042"/>
    <w:lvl w:ilvl="0">
      <w:start w:val="4"/>
      <w:numFmt w:val="decimal"/>
      <w:lvlText w:val="%1"/>
      <w:lvlJc w:val="left"/>
      <w:pPr>
        <w:tabs>
          <w:tab w:val="num" w:pos="570"/>
        </w:tabs>
        <w:ind w:left="570" w:hanging="570"/>
      </w:pPr>
      <w:rPr>
        <w:rFonts w:cs="Times New Roman" w:hint="default"/>
        <w:color w:val="000000"/>
      </w:rPr>
    </w:lvl>
    <w:lvl w:ilvl="1">
      <w:start w:val="6"/>
      <w:numFmt w:val="decimal"/>
      <w:lvlText w:val="%1.%2"/>
      <w:lvlJc w:val="left"/>
      <w:pPr>
        <w:tabs>
          <w:tab w:val="num" w:pos="570"/>
        </w:tabs>
        <w:ind w:left="570" w:hanging="57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440"/>
        </w:tabs>
        <w:ind w:left="1440" w:hanging="1440"/>
      </w:pPr>
      <w:rPr>
        <w:rFonts w:cs="Times New Roman" w:hint="default"/>
        <w:color w:val="000000"/>
      </w:rPr>
    </w:lvl>
  </w:abstractNum>
  <w:abstractNum w:abstractNumId="157" w15:restartNumberingAfterBreak="0">
    <w:nsid w:val="69A05FD2"/>
    <w:multiLevelType w:val="hybridMultilevel"/>
    <w:tmpl w:val="209684FA"/>
    <w:lvl w:ilvl="0" w:tplc="C3705372">
      <w:start w:val="1"/>
      <w:numFmt w:val="bullet"/>
      <w:lvlText w:val=""/>
      <w:lvlJc w:val="left"/>
      <w:pPr>
        <w:tabs>
          <w:tab w:val="num" w:pos="567"/>
        </w:tabs>
        <w:ind w:left="567" w:hanging="567"/>
      </w:pPr>
      <w:rPr>
        <w:rFonts w:ascii="Symbol" w:hAnsi="Symbol" w:hint="default"/>
      </w:rPr>
    </w:lvl>
    <w:lvl w:ilvl="1" w:tplc="9F2AB392">
      <w:start w:val="1"/>
      <w:numFmt w:val="bullet"/>
      <w:lvlText w:val="o"/>
      <w:lvlJc w:val="left"/>
      <w:pPr>
        <w:tabs>
          <w:tab w:val="num" w:pos="1440"/>
        </w:tabs>
        <w:ind w:left="1440" w:hanging="360"/>
      </w:pPr>
      <w:rPr>
        <w:rFonts w:ascii="Courier New" w:hAnsi="Courier New" w:hint="default"/>
      </w:rPr>
    </w:lvl>
    <w:lvl w:ilvl="2" w:tplc="8B4A2174" w:tentative="1">
      <w:start w:val="1"/>
      <w:numFmt w:val="bullet"/>
      <w:lvlText w:val=""/>
      <w:lvlJc w:val="left"/>
      <w:pPr>
        <w:tabs>
          <w:tab w:val="num" w:pos="2160"/>
        </w:tabs>
        <w:ind w:left="2160" w:hanging="360"/>
      </w:pPr>
      <w:rPr>
        <w:rFonts w:ascii="Wingdings" w:hAnsi="Wingdings" w:hint="default"/>
      </w:rPr>
    </w:lvl>
    <w:lvl w:ilvl="3" w:tplc="DCEE5B5C" w:tentative="1">
      <w:start w:val="1"/>
      <w:numFmt w:val="bullet"/>
      <w:lvlText w:val=""/>
      <w:lvlJc w:val="left"/>
      <w:pPr>
        <w:tabs>
          <w:tab w:val="num" w:pos="2880"/>
        </w:tabs>
        <w:ind w:left="2880" w:hanging="360"/>
      </w:pPr>
      <w:rPr>
        <w:rFonts w:ascii="Symbol" w:hAnsi="Symbol" w:hint="default"/>
      </w:rPr>
    </w:lvl>
    <w:lvl w:ilvl="4" w:tplc="38243ADE" w:tentative="1">
      <w:start w:val="1"/>
      <w:numFmt w:val="bullet"/>
      <w:lvlText w:val="o"/>
      <w:lvlJc w:val="left"/>
      <w:pPr>
        <w:tabs>
          <w:tab w:val="num" w:pos="3600"/>
        </w:tabs>
        <w:ind w:left="3600" w:hanging="360"/>
      </w:pPr>
      <w:rPr>
        <w:rFonts w:ascii="Courier New" w:hAnsi="Courier New" w:hint="default"/>
      </w:rPr>
    </w:lvl>
    <w:lvl w:ilvl="5" w:tplc="E2E86636" w:tentative="1">
      <w:start w:val="1"/>
      <w:numFmt w:val="bullet"/>
      <w:lvlText w:val=""/>
      <w:lvlJc w:val="left"/>
      <w:pPr>
        <w:tabs>
          <w:tab w:val="num" w:pos="4320"/>
        </w:tabs>
        <w:ind w:left="4320" w:hanging="360"/>
      </w:pPr>
      <w:rPr>
        <w:rFonts w:ascii="Wingdings" w:hAnsi="Wingdings" w:hint="default"/>
      </w:rPr>
    </w:lvl>
    <w:lvl w:ilvl="6" w:tplc="94ECAE38" w:tentative="1">
      <w:start w:val="1"/>
      <w:numFmt w:val="bullet"/>
      <w:lvlText w:val=""/>
      <w:lvlJc w:val="left"/>
      <w:pPr>
        <w:tabs>
          <w:tab w:val="num" w:pos="5040"/>
        </w:tabs>
        <w:ind w:left="5040" w:hanging="360"/>
      </w:pPr>
      <w:rPr>
        <w:rFonts w:ascii="Symbol" w:hAnsi="Symbol" w:hint="default"/>
      </w:rPr>
    </w:lvl>
    <w:lvl w:ilvl="7" w:tplc="17F09F40" w:tentative="1">
      <w:start w:val="1"/>
      <w:numFmt w:val="bullet"/>
      <w:lvlText w:val="o"/>
      <w:lvlJc w:val="left"/>
      <w:pPr>
        <w:tabs>
          <w:tab w:val="num" w:pos="5760"/>
        </w:tabs>
        <w:ind w:left="5760" w:hanging="360"/>
      </w:pPr>
      <w:rPr>
        <w:rFonts w:ascii="Courier New" w:hAnsi="Courier New" w:hint="default"/>
      </w:rPr>
    </w:lvl>
    <w:lvl w:ilvl="8" w:tplc="F140AF54"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6D854E4D"/>
    <w:multiLevelType w:val="hybridMultilevel"/>
    <w:tmpl w:val="62A82F0A"/>
    <w:lvl w:ilvl="0" w:tplc="F9608ABA">
      <w:start w:val="1"/>
      <w:numFmt w:val="bullet"/>
      <w:lvlText w:val=""/>
      <w:lvlJc w:val="left"/>
      <w:pPr>
        <w:tabs>
          <w:tab w:val="num" w:pos="284"/>
        </w:tabs>
        <w:ind w:left="567" w:hanging="283"/>
      </w:pPr>
      <w:rPr>
        <w:rFonts w:ascii="Symbol" w:hAnsi="Symbol" w:hint="default"/>
      </w:rPr>
    </w:lvl>
    <w:lvl w:ilvl="1" w:tplc="8496F63E" w:tentative="1">
      <w:start w:val="1"/>
      <w:numFmt w:val="bullet"/>
      <w:lvlText w:val="o"/>
      <w:lvlJc w:val="left"/>
      <w:pPr>
        <w:tabs>
          <w:tab w:val="num" w:pos="1724"/>
        </w:tabs>
        <w:ind w:left="1724" w:hanging="360"/>
      </w:pPr>
      <w:rPr>
        <w:rFonts w:ascii="Courier New" w:hAnsi="Courier New" w:hint="default"/>
      </w:rPr>
    </w:lvl>
    <w:lvl w:ilvl="2" w:tplc="465C95F8" w:tentative="1">
      <w:start w:val="1"/>
      <w:numFmt w:val="bullet"/>
      <w:lvlText w:val=""/>
      <w:lvlJc w:val="left"/>
      <w:pPr>
        <w:tabs>
          <w:tab w:val="num" w:pos="2444"/>
        </w:tabs>
        <w:ind w:left="2444" w:hanging="360"/>
      </w:pPr>
      <w:rPr>
        <w:rFonts w:ascii="Wingdings" w:hAnsi="Wingdings" w:hint="default"/>
      </w:rPr>
    </w:lvl>
    <w:lvl w:ilvl="3" w:tplc="B5EEFD84" w:tentative="1">
      <w:start w:val="1"/>
      <w:numFmt w:val="bullet"/>
      <w:lvlText w:val=""/>
      <w:lvlJc w:val="left"/>
      <w:pPr>
        <w:tabs>
          <w:tab w:val="num" w:pos="3164"/>
        </w:tabs>
        <w:ind w:left="3164" w:hanging="360"/>
      </w:pPr>
      <w:rPr>
        <w:rFonts w:ascii="Symbol" w:hAnsi="Symbol" w:hint="default"/>
      </w:rPr>
    </w:lvl>
    <w:lvl w:ilvl="4" w:tplc="7CB6EA82" w:tentative="1">
      <w:start w:val="1"/>
      <w:numFmt w:val="bullet"/>
      <w:lvlText w:val="o"/>
      <w:lvlJc w:val="left"/>
      <w:pPr>
        <w:tabs>
          <w:tab w:val="num" w:pos="3884"/>
        </w:tabs>
        <w:ind w:left="3884" w:hanging="360"/>
      </w:pPr>
      <w:rPr>
        <w:rFonts w:ascii="Courier New" w:hAnsi="Courier New" w:hint="default"/>
      </w:rPr>
    </w:lvl>
    <w:lvl w:ilvl="5" w:tplc="4218215C" w:tentative="1">
      <w:start w:val="1"/>
      <w:numFmt w:val="bullet"/>
      <w:lvlText w:val=""/>
      <w:lvlJc w:val="left"/>
      <w:pPr>
        <w:tabs>
          <w:tab w:val="num" w:pos="4604"/>
        </w:tabs>
        <w:ind w:left="4604" w:hanging="360"/>
      </w:pPr>
      <w:rPr>
        <w:rFonts w:ascii="Wingdings" w:hAnsi="Wingdings" w:hint="default"/>
      </w:rPr>
    </w:lvl>
    <w:lvl w:ilvl="6" w:tplc="4234151C" w:tentative="1">
      <w:start w:val="1"/>
      <w:numFmt w:val="bullet"/>
      <w:lvlText w:val=""/>
      <w:lvlJc w:val="left"/>
      <w:pPr>
        <w:tabs>
          <w:tab w:val="num" w:pos="5324"/>
        </w:tabs>
        <w:ind w:left="5324" w:hanging="360"/>
      </w:pPr>
      <w:rPr>
        <w:rFonts w:ascii="Symbol" w:hAnsi="Symbol" w:hint="default"/>
      </w:rPr>
    </w:lvl>
    <w:lvl w:ilvl="7" w:tplc="2F7C0494" w:tentative="1">
      <w:start w:val="1"/>
      <w:numFmt w:val="bullet"/>
      <w:lvlText w:val="o"/>
      <w:lvlJc w:val="left"/>
      <w:pPr>
        <w:tabs>
          <w:tab w:val="num" w:pos="6044"/>
        </w:tabs>
        <w:ind w:left="6044" w:hanging="360"/>
      </w:pPr>
      <w:rPr>
        <w:rFonts w:ascii="Courier New" w:hAnsi="Courier New" w:hint="default"/>
      </w:rPr>
    </w:lvl>
    <w:lvl w:ilvl="8" w:tplc="ED5C8866" w:tentative="1">
      <w:start w:val="1"/>
      <w:numFmt w:val="bullet"/>
      <w:lvlText w:val=""/>
      <w:lvlJc w:val="left"/>
      <w:pPr>
        <w:tabs>
          <w:tab w:val="num" w:pos="6764"/>
        </w:tabs>
        <w:ind w:left="6764" w:hanging="360"/>
      </w:pPr>
      <w:rPr>
        <w:rFonts w:ascii="Wingdings" w:hAnsi="Wingdings" w:hint="default"/>
      </w:rPr>
    </w:lvl>
  </w:abstractNum>
  <w:abstractNum w:abstractNumId="159" w15:restartNumberingAfterBreak="0">
    <w:nsid w:val="6DB05829"/>
    <w:multiLevelType w:val="hybridMultilevel"/>
    <w:tmpl w:val="CA48C544"/>
    <w:lvl w:ilvl="0" w:tplc="62FCC2C4">
      <w:start w:val="1"/>
      <w:numFmt w:val="bullet"/>
      <w:lvlText w:val=""/>
      <w:lvlJc w:val="left"/>
      <w:pPr>
        <w:tabs>
          <w:tab w:val="num" w:pos="1440"/>
        </w:tabs>
        <w:ind w:left="1440" w:hanging="360"/>
      </w:pPr>
      <w:rPr>
        <w:rFonts w:ascii="Symbol" w:hAnsi="Symbol" w:hint="default"/>
      </w:rPr>
    </w:lvl>
    <w:lvl w:ilvl="1" w:tplc="49BC0000">
      <w:start w:val="1"/>
      <w:numFmt w:val="bullet"/>
      <w:lvlText w:val=""/>
      <w:lvlJc w:val="left"/>
      <w:pPr>
        <w:tabs>
          <w:tab w:val="num" w:pos="567"/>
        </w:tabs>
        <w:ind w:left="567" w:hanging="567"/>
      </w:pPr>
      <w:rPr>
        <w:rFonts w:ascii="Symbol" w:hAnsi="Symbol" w:hint="default"/>
      </w:rPr>
    </w:lvl>
    <w:lvl w:ilvl="2" w:tplc="59CEAF02">
      <w:start w:val="1"/>
      <w:numFmt w:val="bullet"/>
      <w:lvlText w:val=""/>
      <w:lvlJc w:val="left"/>
      <w:pPr>
        <w:tabs>
          <w:tab w:val="num" w:pos="3240"/>
        </w:tabs>
        <w:ind w:left="3240" w:hanging="360"/>
      </w:pPr>
      <w:rPr>
        <w:rFonts w:ascii="Symbol" w:hAnsi="Symbol" w:hint="default"/>
      </w:rPr>
    </w:lvl>
    <w:lvl w:ilvl="3" w:tplc="6CEE774A" w:tentative="1">
      <w:start w:val="1"/>
      <w:numFmt w:val="bullet"/>
      <w:lvlText w:val=""/>
      <w:lvlJc w:val="left"/>
      <w:pPr>
        <w:tabs>
          <w:tab w:val="num" w:pos="3960"/>
        </w:tabs>
        <w:ind w:left="3960" w:hanging="360"/>
      </w:pPr>
      <w:rPr>
        <w:rFonts w:ascii="Symbol" w:hAnsi="Symbol" w:hint="default"/>
      </w:rPr>
    </w:lvl>
    <w:lvl w:ilvl="4" w:tplc="DA743F28" w:tentative="1">
      <w:start w:val="1"/>
      <w:numFmt w:val="bullet"/>
      <w:lvlText w:val="o"/>
      <w:lvlJc w:val="left"/>
      <w:pPr>
        <w:tabs>
          <w:tab w:val="num" w:pos="4680"/>
        </w:tabs>
        <w:ind w:left="4680" w:hanging="360"/>
      </w:pPr>
      <w:rPr>
        <w:rFonts w:ascii="Courier New" w:hAnsi="Courier New" w:hint="default"/>
      </w:rPr>
    </w:lvl>
    <w:lvl w:ilvl="5" w:tplc="5142EA90" w:tentative="1">
      <w:start w:val="1"/>
      <w:numFmt w:val="bullet"/>
      <w:lvlText w:val=""/>
      <w:lvlJc w:val="left"/>
      <w:pPr>
        <w:tabs>
          <w:tab w:val="num" w:pos="5400"/>
        </w:tabs>
        <w:ind w:left="5400" w:hanging="360"/>
      </w:pPr>
      <w:rPr>
        <w:rFonts w:ascii="Wingdings" w:hAnsi="Wingdings" w:hint="default"/>
      </w:rPr>
    </w:lvl>
    <w:lvl w:ilvl="6" w:tplc="3A60F312" w:tentative="1">
      <w:start w:val="1"/>
      <w:numFmt w:val="bullet"/>
      <w:lvlText w:val=""/>
      <w:lvlJc w:val="left"/>
      <w:pPr>
        <w:tabs>
          <w:tab w:val="num" w:pos="6120"/>
        </w:tabs>
        <w:ind w:left="6120" w:hanging="360"/>
      </w:pPr>
      <w:rPr>
        <w:rFonts w:ascii="Symbol" w:hAnsi="Symbol" w:hint="default"/>
      </w:rPr>
    </w:lvl>
    <w:lvl w:ilvl="7" w:tplc="97C2730A" w:tentative="1">
      <w:start w:val="1"/>
      <w:numFmt w:val="bullet"/>
      <w:lvlText w:val="o"/>
      <w:lvlJc w:val="left"/>
      <w:pPr>
        <w:tabs>
          <w:tab w:val="num" w:pos="6840"/>
        </w:tabs>
        <w:ind w:left="6840" w:hanging="360"/>
      </w:pPr>
      <w:rPr>
        <w:rFonts w:ascii="Courier New" w:hAnsi="Courier New" w:hint="default"/>
      </w:rPr>
    </w:lvl>
    <w:lvl w:ilvl="8" w:tplc="E51E3F78" w:tentative="1">
      <w:start w:val="1"/>
      <w:numFmt w:val="bullet"/>
      <w:lvlText w:val=""/>
      <w:lvlJc w:val="left"/>
      <w:pPr>
        <w:tabs>
          <w:tab w:val="num" w:pos="7560"/>
        </w:tabs>
        <w:ind w:left="7560" w:hanging="360"/>
      </w:pPr>
      <w:rPr>
        <w:rFonts w:ascii="Wingdings" w:hAnsi="Wingdings" w:hint="default"/>
      </w:rPr>
    </w:lvl>
  </w:abstractNum>
  <w:abstractNum w:abstractNumId="160" w15:restartNumberingAfterBreak="0">
    <w:nsid w:val="703158D0"/>
    <w:multiLevelType w:val="hybridMultilevel"/>
    <w:tmpl w:val="ACBAD194"/>
    <w:lvl w:ilvl="0" w:tplc="5B2068D4">
      <w:start w:val="1"/>
      <w:numFmt w:val="bullet"/>
      <w:lvlText w:val=""/>
      <w:lvlJc w:val="left"/>
      <w:pPr>
        <w:tabs>
          <w:tab w:val="num" w:pos="567"/>
        </w:tabs>
        <w:ind w:left="567" w:hanging="567"/>
      </w:pPr>
      <w:rPr>
        <w:rFonts w:ascii="Symbol" w:hAnsi="Symbol" w:hint="default"/>
      </w:rPr>
    </w:lvl>
    <w:lvl w:ilvl="1" w:tplc="F7540EF4">
      <w:start w:val="1"/>
      <w:numFmt w:val="bullet"/>
      <w:lvlText w:val="o"/>
      <w:lvlJc w:val="left"/>
      <w:pPr>
        <w:tabs>
          <w:tab w:val="num" w:pos="1440"/>
        </w:tabs>
        <w:ind w:left="1440" w:hanging="360"/>
      </w:pPr>
      <w:rPr>
        <w:rFonts w:ascii="Courier New" w:hAnsi="Courier New" w:hint="default"/>
      </w:rPr>
    </w:lvl>
    <w:lvl w:ilvl="2" w:tplc="EF4618A6" w:tentative="1">
      <w:start w:val="1"/>
      <w:numFmt w:val="bullet"/>
      <w:lvlText w:val=""/>
      <w:lvlJc w:val="left"/>
      <w:pPr>
        <w:tabs>
          <w:tab w:val="num" w:pos="2160"/>
        </w:tabs>
        <w:ind w:left="2160" w:hanging="360"/>
      </w:pPr>
      <w:rPr>
        <w:rFonts w:ascii="Wingdings" w:hAnsi="Wingdings" w:hint="default"/>
      </w:rPr>
    </w:lvl>
    <w:lvl w:ilvl="3" w:tplc="E2BAA20A" w:tentative="1">
      <w:start w:val="1"/>
      <w:numFmt w:val="bullet"/>
      <w:lvlText w:val=""/>
      <w:lvlJc w:val="left"/>
      <w:pPr>
        <w:tabs>
          <w:tab w:val="num" w:pos="2880"/>
        </w:tabs>
        <w:ind w:left="2880" w:hanging="360"/>
      </w:pPr>
      <w:rPr>
        <w:rFonts w:ascii="Symbol" w:hAnsi="Symbol" w:hint="default"/>
      </w:rPr>
    </w:lvl>
    <w:lvl w:ilvl="4" w:tplc="EDCC6988" w:tentative="1">
      <w:start w:val="1"/>
      <w:numFmt w:val="bullet"/>
      <w:lvlText w:val="o"/>
      <w:lvlJc w:val="left"/>
      <w:pPr>
        <w:tabs>
          <w:tab w:val="num" w:pos="3600"/>
        </w:tabs>
        <w:ind w:left="3600" w:hanging="360"/>
      </w:pPr>
      <w:rPr>
        <w:rFonts w:ascii="Courier New" w:hAnsi="Courier New" w:hint="default"/>
      </w:rPr>
    </w:lvl>
    <w:lvl w:ilvl="5" w:tplc="E7AA045E" w:tentative="1">
      <w:start w:val="1"/>
      <w:numFmt w:val="bullet"/>
      <w:lvlText w:val=""/>
      <w:lvlJc w:val="left"/>
      <w:pPr>
        <w:tabs>
          <w:tab w:val="num" w:pos="4320"/>
        </w:tabs>
        <w:ind w:left="4320" w:hanging="360"/>
      </w:pPr>
      <w:rPr>
        <w:rFonts w:ascii="Wingdings" w:hAnsi="Wingdings" w:hint="default"/>
      </w:rPr>
    </w:lvl>
    <w:lvl w:ilvl="6" w:tplc="DA6C10C4" w:tentative="1">
      <w:start w:val="1"/>
      <w:numFmt w:val="bullet"/>
      <w:lvlText w:val=""/>
      <w:lvlJc w:val="left"/>
      <w:pPr>
        <w:tabs>
          <w:tab w:val="num" w:pos="5040"/>
        </w:tabs>
        <w:ind w:left="5040" w:hanging="360"/>
      </w:pPr>
      <w:rPr>
        <w:rFonts w:ascii="Symbol" w:hAnsi="Symbol" w:hint="default"/>
      </w:rPr>
    </w:lvl>
    <w:lvl w:ilvl="7" w:tplc="A27016BE" w:tentative="1">
      <w:start w:val="1"/>
      <w:numFmt w:val="bullet"/>
      <w:lvlText w:val="o"/>
      <w:lvlJc w:val="left"/>
      <w:pPr>
        <w:tabs>
          <w:tab w:val="num" w:pos="5760"/>
        </w:tabs>
        <w:ind w:left="5760" w:hanging="360"/>
      </w:pPr>
      <w:rPr>
        <w:rFonts w:ascii="Courier New" w:hAnsi="Courier New" w:hint="default"/>
      </w:rPr>
    </w:lvl>
    <w:lvl w:ilvl="8" w:tplc="D7C2CDE4"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721F51E8"/>
    <w:multiLevelType w:val="hybridMultilevel"/>
    <w:tmpl w:val="C00E74D0"/>
    <w:lvl w:ilvl="0" w:tplc="E5C0B48C">
      <w:start w:val="1"/>
      <w:numFmt w:val="bullet"/>
      <w:lvlText w:val=""/>
      <w:lvlJc w:val="left"/>
      <w:pPr>
        <w:tabs>
          <w:tab w:val="num" w:pos="360"/>
        </w:tabs>
        <w:ind w:left="360" w:hanging="360"/>
      </w:pPr>
      <w:rPr>
        <w:rFonts w:ascii="Symbol" w:hAnsi="Symbol" w:hint="default"/>
      </w:rPr>
    </w:lvl>
    <w:lvl w:ilvl="1" w:tplc="E388841C">
      <w:start w:val="1"/>
      <w:numFmt w:val="bullet"/>
      <w:lvlText w:val=""/>
      <w:lvlJc w:val="left"/>
      <w:pPr>
        <w:tabs>
          <w:tab w:val="num" w:pos="567"/>
        </w:tabs>
        <w:ind w:left="567" w:hanging="567"/>
      </w:pPr>
      <w:rPr>
        <w:rFonts w:ascii="Symbol" w:hAnsi="Symbol" w:hint="default"/>
      </w:rPr>
    </w:lvl>
    <w:lvl w:ilvl="2" w:tplc="8CCA9036" w:tentative="1">
      <w:start w:val="1"/>
      <w:numFmt w:val="bullet"/>
      <w:lvlText w:val=""/>
      <w:lvlJc w:val="left"/>
      <w:pPr>
        <w:tabs>
          <w:tab w:val="num" w:pos="2160"/>
        </w:tabs>
        <w:ind w:left="2160" w:hanging="360"/>
      </w:pPr>
      <w:rPr>
        <w:rFonts w:ascii="Wingdings" w:hAnsi="Wingdings" w:hint="default"/>
      </w:rPr>
    </w:lvl>
    <w:lvl w:ilvl="3" w:tplc="09905160" w:tentative="1">
      <w:start w:val="1"/>
      <w:numFmt w:val="bullet"/>
      <w:lvlText w:val=""/>
      <w:lvlJc w:val="left"/>
      <w:pPr>
        <w:tabs>
          <w:tab w:val="num" w:pos="2880"/>
        </w:tabs>
        <w:ind w:left="2880" w:hanging="360"/>
      </w:pPr>
      <w:rPr>
        <w:rFonts w:ascii="Symbol" w:hAnsi="Symbol" w:hint="default"/>
      </w:rPr>
    </w:lvl>
    <w:lvl w:ilvl="4" w:tplc="3EB87F80" w:tentative="1">
      <w:start w:val="1"/>
      <w:numFmt w:val="bullet"/>
      <w:lvlText w:val="o"/>
      <w:lvlJc w:val="left"/>
      <w:pPr>
        <w:tabs>
          <w:tab w:val="num" w:pos="3600"/>
        </w:tabs>
        <w:ind w:left="3600" w:hanging="360"/>
      </w:pPr>
      <w:rPr>
        <w:rFonts w:ascii="Courier New" w:hAnsi="Courier New" w:hint="default"/>
      </w:rPr>
    </w:lvl>
    <w:lvl w:ilvl="5" w:tplc="B6E6210A" w:tentative="1">
      <w:start w:val="1"/>
      <w:numFmt w:val="bullet"/>
      <w:lvlText w:val=""/>
      <w:lvlJc w:val="left"/>
      <w:pPr>
        <w:tabs>
          <w:tab w:val="num" w:pos="4320"/>
        </w:tabs>
        <w:ind w:left="4320" w:hanging="360"/>
      </w:pPr>
      <w:rPr>
        <w:rFonts w:ascii="Wingdings" w:hAnsi="Wingdings" w:hint="default"/>
      </w:rPr>
    </w:lvl>
    <w:lvl w:ilvl="6" w:tplc="C72C6F68" w:tentative="1">
      <w:start w:val="1"/>
      <w:numFmt w:val="bullet"/>
      <w:lvlText w:val=""/>
      <w:lvlJc w:val="left"/>
      <w:pPr>
        <w:tabs>
          <w:tab w:val="num" w:pos="5040"/>
        </w:tabs>
        <w:ind w:left="5040" w:hanging="360"/>
      </w:pPr>
      <w:rPr>
        <w:rFonts w:ascii="Symbol" w:hAnsi="Symbol" w:hint="default"/>
      </w:rPr>
    </w:lvl>
    <w:lvl w:ilvl="7" w:tplc="6916D100" w:tentative="1">
      <w:start w:val="1"/>
      <w:numFmt w:val="bullet"/>
      <w:lvlText w:val="o"/>
      <w:lvlJc w:val="left"/>
      <w:pPr>
        <w:tabs>
          <w:tab w:val="num" w:pos="5760"/>
        </w:tabs>
        <w:ind w:left="5760" w:hanging="360"/>
      </w:pPr>
      <w:rPr>
        <w:rFonts w:ascii="Courier New" w:hAnsi="Courier New" w:hint="default"/>
      </w:rPr>
    </w:lvl>
    <w:lvl w:ilvl="8" w:tplc="8FC612BC"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2E47631"/>
    <w:multiLevelType w:val="hybridMultilevel"/>
    <w:tmpl w:val="F6BE9FA0"/>
    <w:lvl w:ilvl="0" w:tplc="322E92FE">
      <w:start w:val="1"/>
      <w:numFmt w:val="bullet"/>
      <w:lvlText w:val=""/>
      <w:lvlJc w:val="left"/>
      <w:pPr>
        <w:tabs>
          <w:tab w:val="num" w:pos="0"/>
        </w:tabs>
        <w:ind w:left="283" w:hanging="283"/>
      </w:pPr>
      <w:rPr>
        <w:rFonts w:ascii="Symbol" w:hAnsi="Symbol" w:hint="default"/>
      </w:rPr>
    </w:lvl>
    <w:lvl w:ilvl="1" w:tplc="8C1A4CA2" w:tentative="1">
      <w:start w:val="1"/>
      <w:numFmt w:val="bullet"/>
      <w:lvlText w:val="o"/>
      <w:lvlJc w:val="left"/>
      <w:pPr>
        <w:tabs>
          <w:tab w:val="num" w:pos="1440"/>
        </w:tabs>
        <w:ind w:left="1440" w:hanging="360"/>
      </w:pPr>
      <w:rPr>
        <w:rFonts w:ascii="Courier New" w:hAnsi="Courier New" w:hint="default"/>
      </w:rPr>
    </w:lvl>
    <w:lvl w:ilvl="2" w:tplc="3C98F8F6" w:tentative="1">
      <w:start w:val="1"/>
      <w:numFmt w:val="bullet"/>
      <w:lvlText w:val=""/>
      <w:lvlJc w:val="left"/>
      <w:pPr>
        <w:tabs>
          <w:tab w:val="num" w:pos="2160"/>
        </w:tabs>
        <w:ind w:left="2160" w:hanging="360"/>
      </w:pPr>
      <w:rPr>
        <w:rFonts w:ascii="Wingdings" w:hAnsi="Wingdings" w:hint="default"/>
      </w:rPr>
    </w:lvl>
    <w:lvl w:ilvl="3" w:tplc="8F3C56C6" w:tentative="1">
      <w:start w:val="1"/>
      <w:numFmt w:val="bullet"/>
      <w:lvlText w:val=""/>
      <w:lvlJc w:val="left"/>
      <w:pPr>
        <w:tabs>
          <w:tab w:val="num" w:pos="2880"/>
        </w:tabs>
        <w:ind w:left="2880" w:hanging="360"/>
      </w:pPr>
      <w:rPr>
        <w:rFonts w:ascii="Symbol" w:hAnsi="Symbol" w:hint="default"/>
      </w:rPr>
    </w:lvl>
    <w:lvl w:ilvl="4" w:tplc="7292C2DC" w:tentative="1">
      <w:start w:val="1"/>
      <w:numFmt w:val="bullet"/>
      <w:lvlText w:val="o"/>
      <w:lvlJc w:val="left"/>
      <w:pPr>
        <w:tabs>
          <w:tab w:val="num" w:pos="3600"/>
        </w:tabs>
        <w:ind w:left="3600" w:hanging="360"/>
      </w:pPr>
      <w:rPr>
        <w:rFonts w:ascii="Courier New" w:hAnsi="Courier New" w:hint="default"/>
      </w:rPr>
    </w:lvl>
    <w:lvl w:ilvl="5" w:tplc="2438D486" w:tentative="1">
      <w:start w:val="1"/>
      <w:numFmt w:val="bullet"/>
      <w:lvlText w:val=""/>
      <w:lvlJc w:val="left"/>
      <w:pPr>
        <w:tabs>
          <w:tab w:val="num" w:pos="4320"/>
        </w:tabs>
        <w:ind w:left="4320" w:hanging="360"/>
      </w:pPr>
      <w:rPr>
        <w:rFonts w:ascii="Wingdings" w:hAnsi="Wingdings" w:hint="default"/>
      </w:rPr>
    </w:lvl>
    <w:lvl w:ilvl="6" w:tplc="9A3EB8C0" w:tentative="1">
      <w:start w:val="1"/>
      <w:numFmt w:val="bullet"/>
      <w:lvlText w:val=""/>
      <w:lvlJc w:val="left"/>
      <w:pPr>
        <w:tabs>
          <w:tab w:val="num" w:pos="5040"/>
        </w:tabs>
        <w:ind w:left="5040" w:hanging="360"/>
      </w:pPr>
      <w:rPr>
        <w:rFonts w:ascii="Symbol" w:hAnsi="Symbol" w:hint="default"/>
      </w:rPr>
    </w:lvl>
    <w:lvl w:ilvl="7" w:tplc="0F0A7540" w:tentative="1">
      <w:start w:val="1"/>
      <w:numFmt w:val="bullet"/>
      <w:lvlText w:val="o"/>
      <w:lvlJc w:val="left"/>
      <w:pPr>
        <w:tabs>
          <w:tab w:val="num" w:pos="5760"/>
        </w:tabs>
        <w:ind w:left="5760" w:hanging="360"/>
      </w:pPr>
      <w:rPr>
        <w:rFonts w:ascii="Courier New" w:hAnsi="Courier New" w:hint="default"/>
      </w:rPr>
    </w:lvl>
    <w:lvl w:ilvl="8" w:tplc="7E60B5FE"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2EA56F3"/>
    <w:multiLevelType w:val="hybridMultilevel"/>
    <w:tmpl w:val="E69EF576"/>
    <w:lvl w:ilvl="0" w:tplc="81228FD8">
      <w:start w:val="1"/>
      <w:numFmt w:val="bullet"/>
      <w:lvlText w:val=""/>
      <w:lvlJc w:val="left"/>
      <w:pPr>
        <w:ind w:left="720" w:hanging="360"/>
      </w:pPr>
      <w:rPr>
        <w:rFonts w:ascii="Symbol" w:hAnsi="Symbol" w:hint="default"/>
      </w:rPr>
    </w:lvl>
    <w:lvl w:ilvl="1" w:tplc="CF404A0A" w:tentative="1">
      <w:start w:val="1"/>
      <w:numFmt w:val="bullet"/>
      <w:lvlText w:val="o"/>
      <w:lvlJc w:val="left"/>
      <w:pPr>
        <w:ind w:left="1440" w:hanging="360"/>
      </w:pPr>
      <w:rPr>
        <w:rFonts w:ascii="Courier New" w:hAnsi="Courier New" w:cs="Courier New" w:hint="default"/>
      </w:rPr>
    </w:lvl>
    <w:lvl w:ilvl="2" w:tplc="C3B442C8" w:tentative="1">
      <w:start w:val="1"/>
      <w:numFmt w:val="bullet"/>
      <w:lvlText w:val=""/>
      <w:lvlJc w:val="left"/>
      <w:pPr>
        <w:ind w:left="2160" w:hanging="360"/>
      </w:pPr>
      <w:rPr>
        <w:rFonts w:ascii="Wingdings" w:hAnsi="Wingdings" w:hint="default"/>
      </w:rPr>
    </w:lvl>
    <w:lvl w:ilvl="3" w:tplc="60C04336" w:tentative="1">
      <w:start w:val="1"/>
      <w:numFmt w:val="bullet"/>
      <w:lvlText w:val=""/>
      <w:lvlJc w:val="left"/>
      <w:pPr>
        <w:ind w:left="2880" w:hanging="360"/>
      </w:pPr>
      <w:rPr>
        <w:rFonts w:ascii="Symbol" w:hAnsi="Symbol" w:hint="default"/>
      </w:rPr>
    </w:lvl>
    <w:lvl w:ilvl="4" w:tplc="011ABB06" w:tentative="1">
      <w:start w:val="1"/>
      <w:numFmt w:val="bullet"/>
      <w:lvlText w:val="o"/>
      <w:lvlJc w:val="left"/>
      <w:pPr>
        <w:ind w:left="3600" w:hanging="360"/>
      </w:pPr>
      <w:rPr>
        <w:rFonts w:ascii="Courier New" w:hAnsi="Courier New" w:cs="Courier New" w:hint="default"/>
      </w:rPr>
    </w:lvl>
    <w:lvl w:ilvl="5" w:tplc="5F7EF8CA" w:tentative="1">
      <w:start w:val="1"/>
      <w:numFmt w:val="bullet"/>
      <w:lvlText w:val=""/>
      <w:lvlJc w:val="left"/>
      <w:pPr>
        <w:ind w:left="4320" w:hanging="360"/>
      </w:pPr>
      <w:rPr>
        <w:rFonts w:ascii="Wingdings" w:hAnsi="Wingdings" w:hint="default"/>
      </w:rPr>
    </w:lvl>
    <w:lvl w:ilvl="6" w:tplc="1354C0D4" w:tentative="1">
      <w:start w:val="1"/>
      <w:numFmt w:val="bullet"/>
      <w:lvlText w:val=""/>
      <w:lvlJc w:val="left"/>
      <w:pPr>
        <w:ind w:left="5040" w:hanging="360"/>
      </w:pPr>
      <w:rPr>
        <w:rFonts w:ascii="Symbol" w:hAnsi="Symbol" w:hint="default"/>
      </w:rPr>
    </w:lvl>
    <w:lvl w:ilvl="7" w:tplc="FE8278E0" w:tentative="1">
      <w:start w:val="1"/>
      <w:numFmt w:val="bullet"/>
      <w:lvlText w:val="o"/>
      <w:lvlJc w:val="left"/>
      <w:pPr>
        <w:ind w:left="5760" w:hanging="360"/>
      </w:pPr>
      <w:rPr>
        <w:rFonts w:ascii="Courier New" w:hAnsi="Courier New" w:cs="Courier New" w:hint="default"/>
      </w:rPr>
    </w:lvl>
    <w:lvl w:ilvl="8" w:tplc="B6C65BB4" w:tentative="1">
      <w:start w:val="1"/>
      <w:numFmt w:val="bullet"/>
      <w:lvlText w:val=""/>
      <w:lvlJc w:val="left"/>
      <w:pPr>
        <w:ind w:left="6480" w:hanging="360"/>
      </w:pPr>
      <w:rPr>
        <w:rFonts w:ascii="Wingdings" w:hAnsi="Wingdings" w:hint="default"/>
      </w:rPr>
    </w:lvl>
  </w:abstractNum>
  <w:abstractNum w:abstractNumId="164" w15:restartNumberingAfterBreak="0">
    <w:nsid w:val="72F14AC8"/>
    <w:multiLevelType w:val="hybridMultilevel"/>
    <w:tmpl w:val="63A87C46"/>
    <w:lvl w:ilvl="0" w:tplc="62D28890">
      <w:start w:val="1"/>
      <w:numFmt w:val="bullet"/>
      <w:lvlText w:val=""/>
      <w:lvlJc w:val="left"/>
      <w:pPr>
        <w:ind w:left="720" w:hanging="360"/>
      </w:pPr>
      <w:rPr>
        <w:rFonts w:ascii="Symbol" w:hAnsi="Symbol" w:hint="default"/>
      </w:rPr>
    </w:lvl>
    <w:lvl w:ilvl="1" w:tplc="6166EA98" w:tentative="1">
      <w:start w:val="1"/>
      <w:numFmt w:val="bullet"/>
      <w:lvlText w:val="o"/>
      <w:lvlJc w:val="left"/>
      <w:pPr>
        <w:ind w:left="1440" w:hanging="360"/>
      </w:pPr>
      <w:rPr>
        <w:rFonts w:ascii="Courier New" w:hAnsi="Courier New" w:cs="Courier New" w:hint="default"/>
      </w:rPr>
    </w:lvl>
    <w:lvl w:ilvl="2" w:tplc="46D840EA" w:tentative="1">
      <w:start w:val="1"/>
      <w:numFmt w:val="bullet"/>
      <w:lvlText w:val=""/>
      <w:lvlJc w:val="left"/>
      <w:pPr>
        <w:ind w:left="2160" w:hanging="360"/>
      </w:pPr>
      <w:rPr>
        <w:rFonts w:ascii="Wingdings" w:hAnsi="Wingdings" w:hint="default"/>
      </w:rPr>
    </w:lvl>
    <w:lvl w:ilvl="3" w:tplc="D1CAC7A0" w:tentative="1">
      <w:start w:val="1"/>
      <w:numFmt w:val="bullet"/>
      <w:lvlText w:val=""/>
      <w:lvlJc w:val="left"/>
      <w:pPr>
        <w:ind w:left="2880" w:hanging="360"/>
      </w:pPr>
      <w:rPr>
        <w:rFonts w:ascii="Symbol" w:hAnsi="Symbol" w:hint="default"/>
      </w:rPr>
    </w:lvl>
    <w:lvl w:ilvl="4" w:tplc="CC6A8A2E" w:tentative="1">
      <w:start w:val="1"/>
      <w:numFmt w:val="bullet"/>
      <w:lvlText w:val="o"/>
      <w:lvlJc w:val="left"/>
      <w:pPr>
        <w:ind w:left="3600" w:hanging="360"/>
      </w:pPr>
      <w:rPr>
        <w:rFonts w:ascii="Courier New" w:hAnsi="Courier New" w:cs="Courier New" w:hint="default"/>
      </w:rPr>
    </w:lvl>
    <w:lvl w:ilvl="5" w:tplc="9E34A7D6" w:tentative="1">
      <w:start w:val="1"/>
      <w:numFmt w:val="bullet"/>
      <w:lvlText w:val=""/>
      <w:lvlJc w:val="left"/>
      <w:pPr>
        <w:ind w:left="4320" w:hanging="360"/>
      </w:pPr>
      <w:rPr>
        <w:rFonts w:ascii="Wingdings" w:hAnsi="Wingdings" w:hint="default"/>
      </w:rPr>
    </w:lvl>
    <w:lvl w:ilvl="6" w:tplc="2E0846EA" w:tentative="1">
      <w:start w:val="1"/>
      <w:numFmt w:val="bullet"/>
      <w:lvlText w:val=""/>
      <w:lvlJc w:val="left"/>
      <w:pPr>
        <w:ind w:left="5040" w:hanging="360"/>
      </w:pPr>
      <w:rPr>
        <w:rFonts w:ascii="Symbol" w:hAnsi="Symbol" w:hint="default"/>
      </w:rPr>
    </w:lvl>
    <w:lvl w:ilvl="7" w:tplc="1122C128" w:tentative="1">
      <w:start w:val="1"/>
      <w:numFmt w:val="bullet"/>
      <w:lvlText w:val="o"/>
      <w:lvlJc w:val="left"/>
      <w:pPr>
        <w:ind w:left="5760" w:hanging="360"/>
      </w:pPr>
      <w:rPr>
        <w:rFonts w:ascii="Courier New" w:hAnsi="Courier New" w:cs="Courier New" w:hint="default"/>
      </w:rPr>
    </w:lvl>
    <w:lvl w:ilvl="8" w:tplc="984893CC" w:tentative="1">
      <w:start w:val="1"/>
      <w:numFmt w:val="bullet"/>
      <w:lvlText w:val=""/>
      <w:lvlJc w:val="left"/>
      <w:pPr>
        <w:ind w:left="6480" w:hanging="360"/>
      </w:pPr>
      <w:rPr>
        <w:rFonts w:ascii="Wingdings" w:hAnsi="Wingdings" w:hint="default"/>
      </w:rPr>
    </w:lvl>
  </w:abstractNum>
  <w:abstractNum w:abstractNumId="165" w15:restartNumberingAfterBreak="0">
    <w:nsid w:val="732235ED"/>
    <w:multiLevelType w:val="hybridMultilevel"/>
    <w:tmpl w:val="209684FA"/>
    <w:lvl w:ilvl="0" w:tplc="6D8C293A">
      <w:start w:val="1"/>
      <w:numFmt w:val="bullet"/>
      <w:lvlText w:val=""/>
      <w:lvlJc w:val="left"/>
      <w:pPr>
        <w:tabs>
          <w:tab w:val="num" w:pos="720"/>
        </w:tabs>
        <w:ind w:left="720" w:hanging="360"/>
      </w:pPr>
      <w:rPr>
        <w:rFonts w:ascii="Symbol" w:hAnsi="Symbol" w:hint="default"/>
      </w:rPr>
    </w:lvl>
    <w:lvl w:ilvl="1" w:tplc="E402E01E">
      <w:start w:val="1"/>
      <w:numFmt w:val="bullet"/>
      <w:lvlText w:val=""/>
      <w:lvlJc w:val="left"/>
      <w:pPr>
        <w:tabs>
          <w:tab w:val="num" w:pos="567"/>
        </w:tabs>
        <w:ind w:left="567" w:hanging="567"/>
      </w:pPr>
      <w:rPr>
        <w:rFonts w:ascii="Symbol" w:hAnsi="Symbol" w:hint="default"/>
      </w:rPr>
    </w:lvl>
    <w:lvl w:ilvl="2" w:tplc="92A2DCF6">
      <w:start w:val="1"/>
      <w:numFmt w:val="bullet"/>
      <w:lvlText w:val=""/>
      <w:lvlJc w:val="left"/>
      <w:pPr>
        <w:tabs>
          <w:tab w:val="num" w:pos="567"/>
        </w:tabs>
        <w:ind w:left="567" w:hanging="567"/>
      </w:pPr>
      <w:rPr>
        <w:rFonts w:ascii="Symbol" w:hAnsi="Symbol" w:hint="default"/>
      </w:rPr>
    </w:lvl>
    <w:lvl w:ilvl="3" w:tplc="81B22F12" w:tentative="1">
      <w:start w:val="1"/>
      <w:numFmt w:val="bullet"/>
      <w:lvlText w:val=""/>
      <w:lvlJc w:val="left"/>
      <w:pPr>
        <w:tabs>
          <w:tab w:val="num" w:pos="2880"/>
        </w:tabs>
        <w:ind w:left="2880" w:hanging="360"/>
      </w:pPr>
      <w:rPr>
        <w:rFonts w:ascii="Symbol" w:hAnsi="Symbol" w:hint="default"/>
      </w:rPr>
    </w:lvl>
    <w:lvl w:ilvl="4" w:tplc="17E059E4" w:tentative="1">
      <w:start w:val="1"/>
      <w:numFmt w:val="bullet"/>
      <w:lvlText w:val="o"/>
      <w:lvlJc w:val="left"/>
      <w:pPr>
        <w:tabs>
          <w:tab w:val="num" w:pos="3600"/>
        </w:tabs>
        <w:ind w:left="3600" w:hanging="360"/>
      </w:pPr>
      <w:rPr>
        <w:rFonts w:ascii="Courier New" w:hAnsi="Courier New" w:hint="default"/>
      </w:rPr>
    </w:lvl>
    <w:lvl w:ilvl="5" w:tplc="1560720C" w:tentative="1">
      <w:start w:val="1"/>
      <w:numFmt w:val="bullet"/>
      <w:lvlText w:val=""/>
      <w:lvlJc w:val="left"/>
      <w:pPr>
        <w:tabs>
          <w:tab w:val="num" w:pos="4320"/>
        </w:tabs>
        <w:ind w:left="4320" w:hanging="360"/>
      </w:pPr>
      <w:rPr>
        <w:rFonts w:ascii="Wingdings" w:hAnsi="Wingdings" w:hint="default"/>
      </w:rPr>
    </w:lvl>
    <w:lvl w:ilvl="6" w:tplc="CBB6AE6C" w:tentative="1">
      <w:start w:val="1"/>
      <w:numFmt w:val="bullet"/>
      <w:lvlText w:val=""/>
      <w:lvlJc w:val="left"/>
      <w:pPr>
        <w:tabs>
          <w:tab w:val="num" w:pos="5040"/>
        </w:tabs>
        <w:ind w:left="5040" w:hanging="360"/>
      </w:pPr>
      <w:rPr>
        <w:rFonts w:ascii="Symbol" w:hAnsi="Symbol" w:hint="default"/>
      </w:rPr>
    </w:lvl>
    <w:lvl w:ilvl="7" w:tplc="D99480A6" w:tentative="1">
      <w:start w:val="1"/>
      <w:numFmt w:val="bullet"/>
      <w:lvlText w:val="o"/>
      <w:lvlJc w:val="left"/>
      <w:pPr>
        <w:tabs>
          <w:tab w:val="num" w:pos="5760"/>
        </w:tabs>
        <w:ind w:left="5760" w:hanging="360"/>
      </w:pPr>
      <w:rPr>
        <w:rFonts w:ascii="Courier New" w:hAnsi="Courier New" w:hint="default"/>
      </w:rPr>
    </w:lvl>
    <w:lvl w:ilvl="8" w:tplc="D90424A6"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73357CAB"/>
    <w:multiLevelType w:val="hybridMultilevel"/>
    <w:tmpl w:val="1682E7C2"/>
    <w:lvl w:ilvl="0" w:tplc="51C0AEE0">
      <w:start w:val="1"/>
      <w:numFmt w:val="bullet"/>
      <w:lvlText w:val=""/>
      <w:lvlJc w:val="left"/>
      <w:pPr>
        <w:ind w:left="870" w:hanging="360"/>
      </w:pPr>
      <w:rPr>
        <w:rFonts w:ascii="Symbol" w:hAnsi="Symbol" w:hint="default"/>
      </w:rPr>
    </w:lvl>
    <w:lvl w:ilvl="1" w:tplc="773A5DDA" w:tentative="1">
      <w:start w:val="1"/>
      <w:numFmt w:val="bullet"/>
      <w:lvlText w:val="o"/>
      <w:lvlJc w:val="left"/>
      <w:pPr>
        <w:ind w:left="1590" w:hanging="360"/>
      </w:pPr>
      <w:rPr>
        <w:rFonts w:ascii="Courier New" w:hAnsi="Courier New" w:cs="Courier New" w:hint="default"/>
      </w:rPr>
    </w:lvl>
    <w:lvl w:ilvl="2" w:tplc="F5CC523C" w:tentative="1">
      <w:start w:val="1"/>
      <w:numFmt w:val="bullet"/>
      <w:lvlText w:val=""/>
      <w:lvlJc w:val="left"/>
      <w:pPr>
        <w:ind w:left="2310" w:hanging="360"/>
      </w:pPr>
      <w:rPr>
        <w:rFonts w:ascii="Wingdings" w:hAnsi="Wingdings" w:hint="default"/>
      </w:rPr>
    </w:lvl>
    <w:lvl w:ilvl="3" w:tplc="41EC4BC4" w:tentative="1">
      <w:start w:val="1"/>
      <w:numFmt w:val="bullet"/>
      <w:lvlText w:val=""/>
      <w:lvlJc w:val="left"/>
      <w:pPr>
        <w:ind w:left="3030" w:hanging="360"/>
      </w:pPr>
      <w:rPr>
        <w:rFonts w:ascii="Symbol" w:hAnsi="Symbol" w:hint="default"/>
      </w:rPr>
    </w:lvl>
    <w:lvl w:ilvl="4" w:tplc="0F0EE1AA" w:tentative="1">
      <w:start w:val="1"/>
      <w:numFmt w:val="bullet"/>
      <w:lvlText w:val="o"/>
      <w:lvlJc w:val="left"/>
      <w:pPr>
        <w:ind w:left="3750" w:hanging="360"/>
      </w:pPr>
      <w:rPr>
        <w:rFonts w:ascii="Courier New" w:hAnsi="Courier New" w:cs="Courier New" w:hint="default"/>
      </w:rPr>
    </w:lvl>
    <w:lvl w:ilvl="5" w:tplc="C69CCC66" w:tentative="1">
      <w:start w:val="1"/>
      <w:numFmt w:val="bullet"/>
      <w:lvlText w:val=""/>
      <w:lvlJc w:val="left"/>
      <w:pPr>
        <w:ind w:left="4470" w:hanging="360"/>
      </w:pPr>
      <w:rPr>
        <w:rFonts w:ascii="Wingdings" w:hAnsi="Wingdings" w:hint="default"/>
      </w:rPr>
    </w:lvl>
    <w:lvl w:ilvl="6" w:tplc="FC667E3E" w:tentative="1">
      <w:start w:val="1"/>
      <w:numFmt w:val="bullet"/>
      <w:lvlText w:val=""/>
      <w:lvlJc w:val="left"/>
      <w:pPr>
        <w:ind w:left="5190" w:hanging="360"/>
      </w:pPr>
      <w:rPr>
        <w:rFonts w:ascii="Symbol" w:hAnsi="Symbol" w:hint="default"/>
      </w:rPr>
    </w:lvl>
    <w:lvl w:ilvl="7" w:tplc="A18CE22E" w:tentative="1">
      <w:start w:val="1"/>
      <w:numFmt w:val="bullet"/>
      <w:lvlText w:val="o"/>
      <w:lvlJc w:val="left"/>
      <w:pPr>
        <w:ind w:left="5910" w:hanging="360"/>
      </w:pPr>
      <w:rPr>
        <w:rFonts w:ascii="Courier New" w:hAnsi="Courier New" w:cs="Courier New" w:hint="default"/>
      </w:rPr>
    </w:lvl>
    <w:lvl w:ilvl="8" w:tplc="AC12C4B6" w:tentative="1">
      <w:start w:val="1"/>
      <w:numFmt w:val="bullet"/>
      <w:lvlText w:val=""/>
      <w:lvlJc w:val="left"/>
      <w:pPr>
        <w:ind w:left="6630" w:hanging="360"/>
      </w:pPr>
      <w:rPr>
        <w:rFonts w:ascii="Wingdings" w:hAnsi="Wingdings" w:hint="default"/>
      </w:rPr>
    </w:lvl>
  </w:abstractNum>
  <w:abstractNum w:abstractNumId="167" w15:restartNumberingAfterBreak="0">
    <w:nsid w:val="737B0BE8"/>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168" w15:restartNumberingAfterBreak="0">
    <w:nsid w:val="751C7194"/>
    <w:multiLevelType w:val="multilevel"/>
    <w:tmpl w:val="24E4C3B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9" w15:restartNumberingAfterBreak="0">
    <w:nsid w:val="788D19A6"/>
    <w:multiLevelType w:val="hybridMultilevel"/>
    <w:tmpl w:val="C00E74D0"/>
    <w:lvl w:ilvl="0" w:tplc="CC22E58E">
      <w:start w:val="1"/>
      <w:numFmt w:val="bullet"/>
      <w:lvlText w:val=""/>
      <w:lvlJc w:val="left"/>
      <w:pPr>
        <w:tabs>
          <w:tab w:val="num" w:pos="567"/>
        </w:tabs>
        <w:ind w:left="567" w:hanging="567"/>
      </w:pPr>
      <w:rPr>
        <w:rFonts w:ascii="Symbol" w:hAnsi="Symbol" w:hint="default"/>
      </w:rPr>
    </w:lvl>
    <w:lvl w:ilvl="1" w:tplc="0B2A8BD0">
      <w:start w:val="1"/>
      <w:numFmt w:val="bullet"/>
      <w:lvlText w:val="o"/>
      <w:lvlJc w:val="left"/>
      <w:pPr>
        <w:tabs>
          <w:tab w:val="num" w:pos="1440"/>
        </w:tabs>
        <w:ind w:left="1440" w:hanging="360"/>
      </w:pPr>
      <w:rPr>
        <w:rFonts w:ascii="Courier New" w:hAnsi="Courier New" w:hint="default"/>
      </w:rPr>
    </w:lvl>
    <w:lvl w:ilvl="2" w:tplc="2D4C0C04" w:tentative="1">
      <w:start w:val="1"/>
      <w:numFmt w:val="bullet"/>
      <w:lvlText w:val=""/>
      <w:lvlJc w:val="left"/>
      <w:pPr>
        <w:tabs>
          <w:tab w:val="num" w:pos="2160"/>
        </w:tabs>
        <w:ind w:left="2160" w:hanging="360"/>
      </w:pPr>
      <w:rPr>
        <w:rFonts w:ascii="Wingdings" w:hAnsi="Wingdings" w:hint="default"/>
      </w:rPr>
    </w:lvl>
    <w:lvl w:ilvl="3" w:tplc="359275F4" w:tentative="1">
      <w:start w:val="1"/>
      <w:numFmt w:val="bullet"/>
      <w:lvlText w:val=""/>
      <w:lvlJc w:val="left"/>
      <w:pPr>
        <w:tabs>
          <w:tab w:val="num" w:pos="2880"/>
        </w:tabs>
        <w:ind w:left="2880" w:hanging="360"/>
      </w:pPr>
      <w:rPr>
        <w:rFonts w:ascii="Symbol" w:hAnsi="Symbol" w:hint="default"/>
      </w:rPr>
    </w:lvl>
    <w:lvl w:ilvl="4" w:tplc="AEA0BE78" w:tentative="1">
      <w:start w:val="1"/>
      <w:numFmt w:val="bullet"/>
      <w:lvlText w:val="o"/>
      <w:lvlJc w:val="left"/>
      <w:pPr>
        <w:tabs>
          <w:tab w:val="num" w:pos="3600"/>
        </w:tabs>
        <w:ind w:left="3600" w:hanging="360"/>
      </w:pPr>
      <w:rPr>
        <w:rFonts w:ascii="Courier New" w:hAnsi="Courier New" w:hint="default"/>
      </w:rPr>
    </w:lvl>
    <w:lvl w:ilvl="5" w:tplc="7A78CFEA" w:tentative="1">
      <w:start w:val="1"/>
      <w:numFmt w:val="bullet"/>
      <w:lvlText w:val=""/>
      <w:lvlJc w:val="left"/>
      <w:pPr>
        <w:tabs>
          <w:tab w:val="num" w:pos="4320"/>
        </w:tabs>
        <w:ind w:left="4320" w:hanging="360"/>
      </w:pPr>
      <w:rPr>
        <w:rFonts w:ascii="Wingdings" w:hAnsi="Wingdings" w:hint="default"/>
      </w:rPr>
    </w:lvl>
    <w:lvl w:ilvl="6" w:tplc="E8AC9650" w:tentative="1">
      <w:start w:val="1"/>
      <w:numFmt w:val="bullet"/>
      <w:lvlText w:val=""/>
      <w:lvlJc w:val="left"/>
      <w:pPr>
        <w:tabs>
          <w:tab w:val="num" w:pos="5040"/>
        </w:tabs>
        <w:ind w:left="5040" w:hanging="360"/>
      </w:pPr>
      <w:rPr>
        <w:rFonts w:ascii="Symbol" w:hAnsi="Symbol" w:hint="default"/>
      </w:rPr>
    </w:lvl>
    <w:lvl w:ilvl="7" w:tplc="F36AAB3A" w:tentative="1">
      <w:start w:val="1"/>
      <w:numFmt w:val="bullet"/>
      <w:lvlText w:val="o"/>
      <w:lvlJc w:val="left"/>
      <w:pPr>
        <w:tabs>
          <w:tab w:val="num" w:pos="5760"/>
        </w:tabs>
        <w:ind w:left="5760" w:hanging="360"/>
      </w:pPr>
      <w:rPr>
        <w:rFonts w:ascii="Courier New" w:hAnsi="Courier New" w:hint="default"/>
      </w:rPr>
    </w:lvl>
    <w:lvl w:ilvl="8" w:tplc="770EC6D2"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78AC2EAC"/>
    <w:multiLevelType w:val="hybridMultilevel"/>
    <w:tmpl w:val="B1B031D6"/>
    <w:lvl w:ilvl="0" w:tplc="8C089834">
      <w:start w:val="1"/>
      <w:numFmt w:val="bullet"/>
      <w:lvlText w:val=""/>
      <w:lvlJc w:val="left"/>
      <w:pPr>
        <w:tabs>
          <w:tab w:val="num" w:pos="360"/>
        </w:tabs>
        <w:ind w:left="360" w:hanging="360"/>
      </w:pPr>
      <w:rPr>
        <w:rFonts w:ascii="Symbol" w:hAnsi="Symbol" w:hint="default"/>
      </w:rPr>
    </w:lvl>
    <w:lvl w:ilvl="1" w:tplc="7DA6C7D6">
      <w:start w:val="1"/>
      <w:numFmt w:val="bullet"/>
      <w:lvlText w:val=""/>
      <w:lvlJc w:val="left"/>
      <w:pPr>
        <w:tabs>
          <w:tab w:val="num" w:pos="567"/>
        </w:tabs>
        <w:ind w:left="567" w:hanging="567"/>
      </w:pPr>
      <w:rPr>
        <w:rFonts w:ascii="Symbol" w:hAnsi="Symbol" w:hint="default"/>
      </w:rPr>
    </w:lvl>
    <w:lvl w:ilvl="2" w:tplc="0AA4B5BC" w:tentative="1">
      <w:start w:val="1"/>
      <w:numFmt w:val="bullet"/>
      <w:lvlText w:val=""/>
      <w:lvlJc w:val="left"/>
      <w:pPr>
        <w:tabs>
          <w:tab w:val="num" w:pos="2160"/>
        </w:tabs>
        <w:ind w:left="2160" w:hanging="360"/>
      </w:pPr>
      <w:rPr>
        <w:rFonts w:ascii="Wingdings" w:hAnsi="Wingdings" w:hint="default"/>
      </w:rPr>
    </w:lvl>
    <w:lvl w:ilvl="3" w:tplc="6930CC76" w:tentative="1">
      <w:start w:val="1"/>
      <w:numFmt w:val="bullet"/>
      <w:lvlText w:val=""/>
      <w:lvlJc w:val="left"/>
      <w:pPr>
        <w:tabs>
          <w:tab w:val="num" w:pos="2880"/>
        </w:tabs>
        <w:ind w:left="2880" w:hanging="360"/>
      </w:pPr>
      <w:rPr>
        <w:rFonts w:ascii="Symbol" w:hAnsi="Symbol" w:hint="default"/>
      </w:rPr>
    </w:lvl>
    <w:lvl w:ilvl="4" w:tplc="4C6EA044" w:tentative="1">
      <w:start w:val="1"/>
      <w:numFmt w:val="bullet"/>
      <w:lvlText w:val="o"/>
      <w:lvlJc w:val="left"/>
      <w:pPr>
        <w:tabs>
          <w:tab w:val="num" w:pos="3600"/>
        </w:tabs>
        <w:ind w:left="3600" w:hanging="360"/>
      </w:pPr>
      <w:rPr>
        <w:rFonts w:ascii="Courier New" w:hAnsi="Courier New" w:hint="default"/>
      </w:rPr>
    </w:lvl>
    <w:lvl w:ilvl="5" w:tplc="E6AE4CF0" w:tentative="1">
      <w:start w:val="1"/>
      <w:numFmt w:val="bullet"/>
      <w:lvlText w:val=""/>
      <w:lvlJc w:val="left"/>
      <w:pPr>
        <w:tabs>
          <w:tab w:val="num" w:pos="4320"/>
        </w:tabs>
        <w:ind w:left="4320" w:hanging="360"/>
      </w:pPr>
      <w:rPr>
        <w:rFonts w:ascii="Wingdings" w:hAnsi="Wingdings" w:hint="default"/>
      </w:rPr>
    </w:lvl>
    <w:lvl w:ilvl="6" w:tplc="239A3A46" w:tentative="1">
      <w:start w:val="1"/>
      <w:numFmt w:val="bullet"/>
      <w:lvlText w:val=""/>
      <w:lvlJc w:val="left"/>
      <w:pPr>
        <w:tabs>
          <w:tab w:val="num" w:pos="5040"/>
        </w:tabs>
        <w:ind w:left="5040" w:hanging="360"/>
      </w:pPr>
      <w:rPr>
        <w:rFonts w:ascii="Symbol" w:hAnsi="Symbol" w:hint="default"/>
      </w:rPr>
    </w:lvl>
    <w:lvl w:ilvl="7" w:tplc="1796434E" w:tentative="1">
      <w:start w:val="1"/>
      <w:numFmt w:val="bullet"/>
      <w:lvlText w:val="o"/>
      <w:lvlJc w:val="left"/>
      <w:pPr>
        <w:tabs>
          <w:tab w:val="num" w:pos="5760"/>
        </w:tabs>
        <w:ind w:left="5760" w:hanging="360"/>
      </w:pPr>
      <w:rPr>
        <w:rFonts w:ascii="Courier New" w:hAnsi="Courier New" w:hint="default"/>
      </w:rPr>
    </w:lvl>
    <w:lvl w:ilvl="8" w:tplc="9BDA802E"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795758D1"/>
    <w:multiLevelType w:val="hybridMultilevel"/>
    <w:tmpl w:val="8FAC58D6"/>
    <w:lvl w:ilvl="0" w:tplc="EFA8BED0">
      <w:start w:val="1"/>
      <w:numFmt w:val="bullet"/>
      <w:lvlText w:val=""/>
      <w:lvlJc w:val="left"/>
      <w:pPr>
        <w:ind w:left="720" w:hanging="360"/>
      </w:pPr>
      <w:rPr>
        <w:rFonts w:ascii="Symbol" w:hAnsi="Symbol" w:hint="default"/>
      </w:rPr>
    </w:lvl>
    <w:lvl w:ilvl="1" w:tplc="D03ADE8C" w:tentative="1">
      <w:start w:val="1"/>
      <w:numFmt w:val="bullet"/>
      <w:lvlText w:val="o"/>
      <w:lvlJc w:val="left"/>
      <w:pPr>
        <w:ind w:left="1440" w:hanging="360"/>
      </w:pPr>
      <w:rPr>
        <w:rFonts w:ascii="Courier New" w:hAnsi="Courier New" w:cs="Courier New" w:hint="default"/>
      </w:rPr>
    </w:lvl>
    <w:lvl w:ilvl="2" w:tplc="28BE5FA2" w:tentative="1">
      <w:start w:val="1"/>
      <w:numFmt w:val="bullet"/>
      <w:lvlText w:val=""/>
      <w:lvlJc w:val="left"/>
      <w:pPr>
        <w:ind w:left="2160" w:hanging="360"/>
      </w:pPr>
      <w:rPr>
        <w:rFonts w:ascii="Wingdings" w:hAnsi="Wingdings" w:hint="default"/>
      </w:rPr>
    </w:lvl>
    <w:lvl w:ilvl="3" w:tplc="5E88065A" w:tentative="1">
      <w:start w:val="1"/>
      <w:numFmt w:val="bullet"/>
      <w:lvlText w:val=""/>
      <w:lvlJc w:val="left"/>
      <w:pPr>
        <w:ind w:left="2880" w:hanging="360"/>
      </w:pPr>
      <w:rPr>
        <w:rFonts w:ascii="Symbol" w:hAnsi="Symbol" w:hint="default"/>
      </w:rPr>
    </w:lvl>
    <w:lvl w:ilvl="4" w:tplc="03505622" w:tentative="1">
      <w:start w:val="1"/>
      <w:numFmt w:val="bullet"/>
      <w:lvlText w:val="o"/>
      <w:lvlJc w:val="left"/>
      <w:pPr>
        <w:ind w:left="3600" w:hanging="360"/>
      </w:pPr>
      <w:rPr>
        <w:rFonts w:ascii="Courier New" w:hAnsi="Courier New" w:cs="Courier New" w:hint="default"/>
      </w:rPr>
    </w:lvl>
    <w:lvl w:ilvl="5" w:tplc="DACC4446" w:tentative="1">
      <w:start w:val="1"/>
      <w:numFmt w:val="bullet"/>
      <w:lvlText w:val=""/>
      <w:lvlJc w:val="left"/>
      <w:pPr>
        <w:ind w:left="4320" w:hanging="360"/>
      </w:pPr>
      <w:rPr>
        <w:rFonts w:ascii="Wingdings" w:hAnsi="Wingdings" w:hint="default"/>
      </w:rPr>
    </w:lvl>
    <w:lvl w:ilvl="6" w:tplc="AFB8B194" w:tentative="1">
      <w:start w:val="1"/>
      <w:numFmt w:val="bullet"/>
      <w:lvlText w:val=""/>
      <w:lvlJc w:val="left"/>
      <w:pPr>
        <w:ind w:left="5040" w:hanging="360"/>
      </w:pPr>
      <w:rPr>
        <w:rFonts w:ascii="Symbol" w:hAnsi="Symbol" w:hint="default"/>
      </w:rPr>
    </w:lvl>
    <w:lvl w:ilvl="7" w:tplc="E99CB4BA" w:tentative="1">
      <w:start w:val="1"/>
      <w:numFmt w:val="bullet"/>
      <w:lvlText w:val="o"/>
      <w:lvlJc w:val="left"/>
      <w:pPr>
        <w:ind w:left="5760" w:hanging="360"/>
      </w:pPr>
      <w:rPr>
        <w:rFonts w:ascii="Courier New" w:hAnsi="Courier New" w:cs="Courier New" w:hint="default"/>
      </w:rPr>
    </w:lvl>
    <w:lvl w:ilvl="8" w:tplc="C574A9AC" w:tentative="1">
      <w:start w:val="1"/>
      <w:numFmt w:val="bullet"/>
      <w:lvlText w:val=""/>
      <w:lvlJc w:val="left"/>
      <w:pPr>
        <w:ind w:left="6480" w:hanging="360"/>
      </w:pPr>
      <w:rPr>
        <w:rFonts w:ascii="Wingdings" w:hAnsi="Wingdings" w:hint="default"/>
      </w:rPr>
    </w:lvl>
  </w:abstractNum>
  <w:abstractNum w:abstractNumId="172" w15:restartNumberingAfterBreak="0">
    <w:nsid w:val="79CD7F37"/>
    <w:multiLevelType w:val="multilevel"/>
    <w:tmpl w:val="905201FA"/>
    <w:lvl w:ilvl="0">
      <w:start w:val="1"/>
      <w:numFmt w:val="bullet"/>
      <w:lvlText w:val="•"/>
      <w:lvlJc w:val="left"/>
      <w:pPr>
        <w:ind w:left="643"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73" w15:restartNumberingAfterBreak="0">
    <w:nsid w:val="7A817EE2"/>
    <w:multiLevelType w:val="hybridMultilevel"/>
    <w:tmpl w:val="E070EA74"/>
    <w:lvl w:ilvl="0" w:tplc="E1365824">
      <w:start w:val="1"/>
      <w:numFmt w:val="bullet"/>
      <w:lvlText w:val=""/>
      <w:lvlJc w:val="left"/>
      <w:pPr>
        <w:ind w:left="720" w:hanging="360"/>
      </w:pPr>
      <w:rPr>
        <w:rFonts w:ascii="Symbol" w:hAnsi="Symbol" w:hint="default"/>
      </w:rPr>
    </w:lvl>
    <w:lvl w:ilvl="1" w:tplc="E44A84BA" w:tentative="1">
      <w:start w:val="1"/>
      <w:numFmt w:val="bullet"/>
      <w:lvlText w:val="o"/>
      <w:lvlJc w:val="left"/>
      <w:pPr>
        <w:ind w:left="1440" w:hanging="360"/>
      </w:pPr>
      <w:rPr>
        <w:rFonts w:ascii="Courier New" w:hAnsi="Courier New" w:cs="Courier New" w:hint="default"/>
      </w:rPr>
    </w:lvl>
    <w:lvl w:ilvl="2" w:tplc="5CF6AC28" w:tentative="1">
      <w:start w:val="1"/>
      <w:numFmt w:val="bullet"/>
      <w:lvlText w:val=""/>
      <w:lvlJc w:val="left"/>
      <w:pPr>
        <w:ind w:left="2160" w:hanging="360"/>
      </w:pPr>
      <w:rPr>
        <w:rFonts w:ascii="Wingdings" w:hAnsi="Wingdings" w:hint="default"/>
      </w:rPr>
    </w:lvl>
    <w:lvl w:ilvl="3" w:tplc="122C9952" w:tentative="1">
      <w:start w:val="1"/>
      <w:numFmt w:val="bullet"/>
      <w:lvlText w:val=""/>
      <w:lvlJc w:val="left"/>
      <w:pPr>
        <w:ind w:left="2880" w:hanging="360"/>
      </w:pPr>
      <w:rPr>
        <w:rFonts w:ascii="Symbol" w:hAnsi="Symbol" w:hint="default"/>
      </w:rPr>
    </w:lvl>
    <w:lvl w:ilvl="4" w:tplc="7BFAB0EA" w:tentative="1">
      <w:start w:val="1"/>
      <w:numFmt w:val="bullet"/>
      <w:lvlText w:val="o"/>
      <w:lvlJc w:val="left"/>
      <w:pPr>
        <w:ind w:left="3600" w:hanging="360"/>
      </w:pPr>
      <w:rPr>
        <w:rFonts w:ascii="Courier New" w:hAnsi="Courier New" w:cs="Courier New" w:hint="default"/>
      </w:rPr>
    </w:lvl>
    <w:lvl w:ilvl="5" w:tplc="929AA6A2" w:tentative="1">
      <w:start w:val="1"/>
      <w:numFmt w:val="bullet"/>
      <w:lvlText w:val=""/>
      <w:lvlJc w:val="left"/>
      <w:pPr>
        <w:ind w:left="4320" w:hanging="360"/>
      </w:pPr>
      <w:rPr>
        <w:rFonts w:ascii="Wingdings" w:hAnsi="Wingdings" w:hint="default"/>
      </w:rPr>
    </w:lvl>
    <w:lvl w:ilvl="6" w:tplc="3458A006" w:tentative="1">
      <w:start w:val="1"/>
      <w:numFmt w:val="bullet"/>
      <w:lvlText w:val=""/>
      <w:lvlJc w:val="left"/>
      <w:pPr>
        <w:ind w:left="5040" w:hanging="360"/>
      </w:pPr>
      <w:rPr>
        <w:rFonts w:ascii="Symbol" w:hAnsi="Symbol" w:hint="default"/>
      </w:rPr>
    </w:lvl>
    <w:lvl w:ilvl="7" w:tplc="AF8AB05A" w:tentative="1">
      <w:start w:val="1"/>
      <w:numFmt w:val="bullet"/>
      <w:lvlText w:val="o"/>
      <w:lvlJc w:val="left"/>
      <w:pPr>
        <w:ind w:left="5760" w:hanging="360"/>
      </w:pPr>
      <w:rPr>
        <w:rFonts w:ascii="Courier New" w:hAnsi="Courier New" w:cs="Courier New" w:hint="default"/>
      </w:rPr>
    </w:lvl>
    <w:lvl w:ilvl="8" w:tplc="ED22B910" w:tentative="1">
      <w:start w:val="1"/>
      <w:numFmt w:val="bullet"/>
      <w:lvlText w:val=""/>
      <w:lvlJc w:val="left"/>
      <w:pPr>
        <w:ind w:left="6480" w:hanging="360"/>
      </w:pPr>
      <w:rPr>
        <w:rFonts w:ascii="Wingdings" w:hAnsi="Wingdings" w:hint="default"/>
      </w:rPr>
    </w:lvl>
  </w:abstractNum>
  <w:abstractNum w:abstractNumId="174" w15:restartNumberingAfterBreak="0">
    <w:nsid w:val="7B151F52"/>
    <w:multiLevelType w:val="hybridMultilevel"/>
    <w:tmpl w:val="41B4F34C"/>
    <w:lvl w:ilvl="0" w:tplc="3A5E7BFC">
      <w:start w:val="1"/>
      <w:numFmt w:val="bullet"/>
      <w:lvlText w:val=""/>
      <w:lvlJc w:val="left"/>
      <w:pPr>
        <w:tabs>
          <w:tab w:val="num" w:pos="567"/>
        </w:tabs>
        <w:ind w:left="567" w:hanging="567"/>
      </w:pPr>
      <w:rPr>
        <w:rFonts w:ascii="Symbol" w:hAnsi="Symbol" w:hint="default"/>
      </w:rPr>
    </w:lvl>
    <w:lvl w:ilvl="1" w:tplc="1194C992" w:tentative="1">
      <w:start w:val="1"/>
      <w:numFmt w:val="bullet"/>
      <w:lvlText w:val="o"/>
      <w:lvlJc w:val="left"/>
      <w:pPr>
        <w:tabs>
          <w:tab w:val="num" w:pos="1440"/>
        </w:tabs>
        <w:ind w:left="1440" w:hanging="360"/>
      </w:pPr>
      <w:rPr>
        <w:rFonts w:ascii="Courier New" w:hAnsi="Courier New" w:hint="default"/>
      </w:rPr>
    </w:lvl>
    <w:lvl w:ilvl="2" w:tplc="7B968B12" w:tentative="1">
      <w:start w:val="1"/>
      <w:numFmt w:val="bullet"/>
      <w:lvlText w:val=""/>
      <w:lvlJc w:val="left"/>
      <w:pPr>
        <w:tabs>
          <w:tab w:val="num" w:pos="2160"/>
        </w:tabs>
        <w:ind w:left="2160" w:hanging="360"/>
      </w:pPr>
      <w:rPr>
        <w:rFonts w:ascii="Wingdings" w:hAnsi="Wingdings" w:hint="default"/>
      </w:rPr>
    </w:lvl>
    <w:lvl w:ilvl="3" w:tplc="99806902" w:tentative="1">
      <w:start w:val="1"/>
      <w:numFmt w:val="bullet"/>
      <w:lvlText w:val=""/>
      <w:lvlJc w:val="left"/>
      <w:pPr>
        <w:tabs>
          <w:tab w:val="num" w:pos="2880"/>
        </w:tabs>
        <w:ind w:left="2880" w:hanging="360"/>
      </w:pPr>
      <w:rPr>
        <w:rFonts w:ascii="Symbol" w:hAnsi="Symbol" w:hint="default"/>
      </w:rPr>
    </w:lvl>
    <w:lvl w:ilvl="4" w:tplc="F8BA7872" w:tentative="1">
      <w:start w:val="1"/>
      <w:numFmt w:val="bullet"/>
      <w:lvlText w:val="o"/>
      <w:lvlJc w:val="left"/>
      <w:pPr>
        <w:tabs>
          <w:tab w:val="num" w:pos="3600"/>
        </w:tabs>
        <w:ind w:left="3600" w:hanging="360"/>
      </w:pPr>
      <w:rPr>
        <w:rFonts w:ascii="Courier New" w:hAnsi="Courier New" w:hint="default"/>
      </w:rPr>
    </w:lvl>
    <w:lvl w:ilvl="5" w:tplc="435A3666" w:tentative="1">
      <w:start w:val="1"/>
      <w:numFmt w:val="bullet"/>
      <w:lvlText w:val=""/>
      <w:lvlJc w:val="left"/>
      <w:pPr>
        <w:tabs>
          <w:tab w:val="num" w:pos="4320"/>
        </w:tabs>
        <w:ind w:left="4320" w:hanging="360"/>
      </w:pPr>
      <w:rPr>
        <w:rFonts w:ascii="Wingdings" w:hAnsi="Wingdings" w:hint="default"/>
      </w:rPr>
    </w:lvl>
    <w:lvl w:ilvl="6" w:tplc="36164422" w:tentative="1">
      <w:start w:val="1"/>
      <w:numFmt w:val="bullet"/>
      <w:lvlText w:val=""/>
      <w:lvlJc w:val="left"/>
      <w:pPr>
        <w:tabs>
          <w:tab w:val="num" w:pos="5040"/>
        </w:tabs>
        <w:ind w:left="5040" w:hanging="360"/>
      </w:pPr>
      <w:rPr>
        <w:rFonts w:ascii="Symbol" w:hAnsi="Symbol" w:hint="default"/>
      </w:rPr>
    </w:lvl>
    <w:lvl w:ilvl="7" w:tplc="2138D33A" w:tentative="1">
      <w:start w:val="1"/>
      <w:numFmt w:val="bullet"/>
      <w:lvlText w:val="o"/>
      <w:lvlJc w:val="left"/>
      <w:pPr>
        <w:tabs>
          <w:tab w:val="num" w:pos="5760"/>
        </w:tabs>
        <w:ind w:left="5760" w:hanging="360"/>
      </w:pPr>
      <w:rPr>
        <w:rFonts w:ascii="Courier New" w:hAnsi="Courier New" w:hint="default"/>
      </w:rPr>
    </w:lvl>
    <w:lvl w:ilvl="8" w:tplc="F1C6EFFC"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7BE66AB4"/>
    <w:multiLevelType w:val="hybridMultilevel"/>
    <w:tmpl w:val="9BDE104E"/>
    <w:lvl w:ilvl="0" w:tplc="717C401C">
      <w:start w:val="1"/>
      <w:numFmt w:val="bullet"/>
      <w:lvlText w:val="•"/>
      <w:lvlJc w:val="left"/>
      <w:pPr>
        <w:ind w:left="720" w:hanging="360"/>
      </w:pPr>
      <w:rPr>
        <w:rFonts w:hint="default"/>
        <w:b/>
        <w:i w:val="0"/>
        <w:color w:val="002060"/>
        <w:sz w:val="22"/>
      </w:rPr>
    </w:lvl>
    <w:lvl w:ilvl="1" w:tplc="F0E2C386" w:tentative="1">
      <w:start w:val="1"/>
      <w:numFmt w:val="bullet"/>
      <w:lvlText w:val="o"/>
      <w:lvlJc w:val="left"/>
      <w:pPr>
        <w:ind w:left="1440" w:hanging="360"/>
      </w:pPr>
      <w:rPr>
        <w:rFonts w:ascii="Courier New" w:hAnsi="Courier New" w:cs="Courier New" w:hint="default"/>
      </w:rPr>
    </w:lvl>
    <w:lvl w:ilvl="2" w:tplc="92CC0DAC" w:tentative="1">
      <w:start w:val="1"/>
      <w:numFmt w:val="bullet"/>
      <w:lvlText w:val=""/>
      <w:lvlJc w:val="left"/>
      <w:pPr>
        <w:ind w:left="2160" w:hanging="360"/>
      </w:pPr>
      <w:rPr>
        <w:rFonts w:ascii="Wingdings" w:hAnsi="Wingdings" w:hint="default"/>
      </w:rPr>
    </w:lvl>
    <w:lvl w:ilvl="3" w:tplc="F13048AC" w:tentative="1">
      <w:start w:val="1"/>
      <w:numFmt w:val="bullet"/>
      <w:lvlText w:val=""/>
      <w:lvlJc w:val="left"/>
      <w:pPr>
        <w:ind w:left="2880" w:hanging="360"/>
      </w:pPr>
      <w:rPr>
        <w:rFonts w:ascii="Symbol" w:hAnsi="Symbol" w:hint="default"/>
      </w:rPr>
    </w:lvl>
    <w:lvl w:ilvl="4" w:tplc="52C48248" w:tentative="1">
      <w:start w:val="1"/>
      <w:numFmt w:val="bullet"/>
      <w:lvlText w:val="o"/>
      <w:lvlJc w:val="left"/>
      <w:pPr>
        <w:ind w:left="3600" w:hanging="360"/>
      </w:pPr>
      <w:rPr>
        <w:rFonts w:ascii="Courier New" w:hAnsi="Courier New" w:cs="Courier New" w:hint="default"/>
      </w:rPr>
    </w:lvl>
    <w:lvl w:ilvl="5" w:tplc="AAD8C3D0" w:tentative="1">
      <w:start w:val="1"/>
      <w:numFmt w:val="bullet"/>
      <w:lvlText w:val=""/>
      <w:lvlJc w:val="left"/>
      <w:pPr>
        <w:ind w:left="4320" w:hanging="360"/>
      </w:pPr>
      <w:rPr>
        <w:rFonts w:ascii="Wingdings" w:hAnsi="Wingdings" w:hint="default"/>
      </w:rPr>
    </w:lvl>
    <w:lvl w:ilvl="6" w:tplc="B2645B8C" w:tentative="1">
      <w:start w:val="1"/>
      <w:numFmt w:val="bullet"/>
      <w:lvlText w:val=""/>
      <w:lvlJc w:val="left"/>
      <w:pPr>
        <w:ind w:left="5040" w:hanging="360"/>
      </w:pPr>
      <w:rPr>
        <w:rFonts w:ascii="Symbol" w:hAnsi="Symbol" w:hint="default"/>
      </w:rPr>
    </w:lvl>
    <w:lvl w:ilvl="7" w:tplc="67DE3F88" w:tentative="1">
      <w:start w:val="1"/>
      <w:numFmt w:val="bullet"/>
      <w:lvlText w:val="o"/>
      <w:lvlJc w:val="left"/>
      <w:pPr>
        <w:ind w:left="5760" w:hanging="360"/>
      </w:pPr>
      <w:rPr>
        <w:rFonts w:ascii="Courier New" w:hAnsi="Courier New" w:cs="Courier New" w:hint="default"/>
      </w:rPr>
    </w:lvl>
    <w:lvl w:ilvl="8" w:tplc="9DB8496E" w:tentative="1">
      <w:start w:val="1"/>
      <w:numFmt w:val="bullet"/>
      <w:lvlText w:val=""/>
      <w:lvlJc w:val="left"/>
      <w:pPr>
        <w:ind w:left="6480" w:hanging="360"/>
      </w:pPr>
      <w:rPr>
        <w:rFonts w:ascii="Wingdings" w:hAnsi="Wingdings" w:hint="default"/>
      </w:rPr>
    </w:lvl>
  </w:abstractNum>
  <w:abstractNum w:abstractNumId="176" w15:restartNumberingAfterBreak="0">
    <w:nsid w:val="7C187EC3"/>
    <w:multiLevelType w:val="hybridMultilevel"/>
    <w:tmpl w:val="FD8C9B5A"/>
    <w:lvl w:ilvl="0" w:tplc="6FBE60F8">
      <w:start w:val="1"/>
      <w:numFmt w:val="bullet"/>
      <w:lvlText w:val=""/>
      <w:lvlJc w:val="left"/>
      <w:pPr>
        <w:ind w:left="720" w:hanging="360"/>
      </w:pPr>
      <w:rPr>
        <w:rFonts w:ascii="Symbol" w:hAnsi="Symbol" w:hint="default"/>
      </w:rPr>
    </w:lvl>
    <w:lvl w:ilvl="1" w:tplc="A92EF62E" w:tentative="1">
      <w:start w:val="1"/>
      <w:numFmt w:val="bullet"/>
      <w:lvlText w:val="o"/>
      <w:lvlJc w:val="left"/>
      <w:pPr>
        <w:ind w:left="1440" w:hanging="360"/>
      </w:pPr>
      <w:rPr>
        <w:rFonts w:ascii="Courier New" w:hAnsi="Courier New" w:cs="Courier New" w:hint="default"/>
      </w:rPr>
    </w:lvl>
    <w:lvl w:ilvl="2" w:tplc="C772DC9E" w:tentative="1">
      <w:start w:val="1"/>
      <w:numFmt w:val="bullet"/>
      <w:lvlText w:val=""/>
      <w:lvlJc w:val="left"/>
      <w:pPr>
        <w:ind w:left="2160" w:hanging="360"/>
      </w:pPr>
      <w:rPr>
        <w:rFonts w:ascii="Wingdings" w:hAnsi="Wingdings" w:hint="default"/>
      </w:rPr>
    </w:lvl>
    <w:lvl w:ilvl="3" w:tplc="4D90F6E2" w:tentative="1">
      <w:start w:val="1"/>
      <w:numFmt w:val="bullet"/>
      <w:lvlText w:val=""/>
      <w:lvlJc w:val="left"/>
      <w:pPr>
        <w:ind w:left="2880" w:hanging="360"/>
      </w:pPr>
      <w:rPr>
        <w:rFonts w:ascii="Symbol" w:hAnsi="Symbol" w:hint="default"/>
      </w:rPr>
    </w:lvl>
    <w:lvl w:ilvl="4" w:tplc="F2462D58" w:tentative="1">
      <w:start w:val="1"/>
      <w:numFmt w:val="bullet"/>
      <w:lvlText w:val="o"/>
      <w:lvlJc w:val="left"/>
      <w:pPr>
        <w:ind w:left="3600" w:hanging="360"/>
      </w:pPr>
      <w:rPr>
        <w:rFonts w:ascii="Courier New" w:hAnsi="Courier New" w:cs="Courier New" w:hint="default"/>
      </w:rPr>
    </w:lvl>
    <w:lvl w:ilvl="5" w:tplc="F9864062" w:tentative="1">
      <w:start w:val="1"/>
      <w:numFmt w:val="bullet"/>
      <w:lvlText w:val=""/>
      <w:lvlJc w:val="left"/>
      <w:pPr>
        <w:ind w:left="4320" w:hanging="360"/>
      </w:pPr>
      <w:rPr>
        <w:rFonts w:ascii="Wingdings" w:hAnsi="Wingdings" w:hint="default"/>
      </w:rPr>
    </w:lvl>
    <w:lvl w:ilvl="6" w:tplc="64D4ABE6" w:tentative="1">
      <w:start w:val="1"/>
      <w:numFmt w:val="bullet"/>
      <w:lvlText w:val=""/>
      <w:lvlJc w:val="left"/>
      <w:pPr>
        <w:ind w:left="5040" w:hanging="360"/>
      </w:pPr>
      <w:rPr>
        <w:rFonts w:ascii="Symbol" w:hAnsi="Symbol" w:hint="default"/>
      </w:rPr>
    </w:lvl>
    <w:lvl w:ilvl="7" w:tplc="181C297C" w:tentative="1">
      <w:start w:val="1"/>
      <w:numFmt w:val="bullet"/>
      <w:lvlText w:val="o"/>
      <w:lvlJc w:val="left"/>
      <w:pPr>
        <w:ind w:left="5760" w:hanging="360"/>
      </w:pPr>
      <w:rPr>
        <w:rFonts w:ascii="Courier New" w:hAnsi="Courier New" w:cs="Courier New" w:hint="default"/>
      </w:rPr>
    </w:lvl>
    <w:lvl w:ilvl="8" w:tplc="FC4EFE86" w:tentative="1">
      <w:start w:val="1"/>
      <w:numFmt w:val="bullet"/>
      <w:lvlText w:val=""/>
      <w:lvlJc w:val="left"/>
      <w:pPr>
        <w:ind w:left="6480" w:hanging="360"/>
      </w:pPr>
      <w:rPr>
        <w:rFonts w:ascii="Wingdings" w:hAnsi="Wingdings" w:hint="default"/>
      </w:rPr>
    </w:lvl>
  </w:abstractNum>
  <w:abstractNum w:abstractNumId="177" w15:restartNumberingAfterBreak="0">
    <w:nsid w:val="7C367E09"/>
    <w:multiLevelType w:val="hybridMultilevel"/>
    <w:tmpl w:val="CC5EC1E0"/>
    <w:lvl w:ilvl="0" w:tplc="570AA6CC">
      <w:start w:val="1"/>
      <w:numFmt w:val="bullet"/>
      <w:lvlText w:val=""/>
      <w:lvlJc w:val="left"/>
      <w:pPr>
        <w:ind w:left="720" w:hanging="360"/>
      </w:pPr>
      <w:rPr>
        <w:rFonts w:ascii="Symbol" w:hAnsi="Symbol" w:hint="default"/>
      </w:rPr>
    </w:lvl>
    <w:lvl w:ilvl="1" w:tplc="881C2586" w:tentative="1">
      <w:start w:val="1"/>
      <w:numFmt w:val="bullet"/>
      <w:lvlText w:val="o"/>
      <w:lvlJc w:val="left"/>
      <w:pPr>
        <w:ind w:left="1440" w:hanging="360"/>
      </w:pPr>
      <w:rPr>
        <w:rFonts w:ascii="Courier New" w:hAnsi="Courier New" w:cs="Courier New" w:hint="default"/>
      </w:rPr>
    </w:lvl>
    <w:lvl w:ilvl="2" w:tplc="C8005CD6" w:tentative="1">
      <w:start w:val="1"/>
      <w:numFmt w:val="bullet"/>
      <w:lvlText w:val=""/>
      <w:lvlJc w:val="left"/>
      <w:pPr>
        <w:ind w:left="2160" w:hanging="360"/>
      </w:pPr>
      <w:rPr>
        <w:rFonts w:ascii="Wingdings" w:hAnsi="Wingdings" w:hint="default"/>
      </w:rPr>
    </w:lvl>
    <w:lvl w:ilvl="3" w:tplc="F19C83D8" w:tentative="1">
      <w:start w:val="1"/>
      <w:numFmt w:val="bullet"/>
      <w:lvlText w:val=""/>
      <w:lvlJc w:val="left"/>
      <w:pPr>
        <w:ind w:left="2880" w:hanging="360"/>
      </w:pPr>
      <w:rPr>
        <w:rFonts w:ascii="Symbol" w:hAnsi="Symbol" w:hint="default"/>
      </w:rPr>
    </w:lvl>
    <w:lvl w:ilvl="4" w:tplc="76F402EC" w:tentative="1">
      <w:start w:val="1"/>
      <w:numFmt w:val="bullet"/>
      <w:lvlText w:val="o"/>
      <w:lvlJc w:val="left"/>
      <w:pPr>
        <w:ind w:left="3600" w:hanging="360"/>
      </w:pPr>
      <w:rPr>
        <w:rFonts w:ascii="Courier New" w:hAnsi="Courier New" w:cs="Courier New" w:hint="default"/>
      </w:rPr>
    </w:lvl>
    <w:lvl w:ilvl="5" w:tplc="69DED808" w:tentative="1">
      <w:start w:val="1"/>
      <w:numFmt w:val="bullet"/>
      <w:lvlText w:val=""/>
      <w:lvlJc w:val="left"/>
      <w:pPr>
        <w:ind w:left="4320" w:hanging="360"/>
      </w:pPr>
      <w:rPr>
        <w:rFonts w:ascii="Wingdings" w:hAnsi="Wingdings" w:hint="default"/>
      </w:rPr>
    </w:lvl>
    <w:lvl w:ilvl="6" w:tplc="3F06404E" w:tentative="1">
      <w:start w:val="1"/>
      <w:numFmt w:val="bullet"/>
      <w:lvlText w:val=""/>
      <w:lvlJc w:val="left"/>
      <w:pPr>
        <w:ind w:left="5040" w:hanging="360"/>
      </w:pPr>
      <w:rPr>
        <w:rFonts w:ascii="Symbol" w:hAnsi="Symbol" w:hint="default"/>
      </w:rPr>
    </w:lvl>
    <w:lvl w:ilvl="7" w:tplc="402A13D6" w:tentative="1">
      <w:start w:val="1"/>
      <w:numFmt w:val="bullet"/>
      <w:lvlText w:val="o"/>
      <w:lvlJc w:val="left"/>
      <w:pPr>
        <w:ind w:left="5760" w:hanging="360"/>
      </w:pPr>
      <w:rPr>
        <w:rFonts w:ascii="Courier New" w:hAnsi="Courier New" w:cs="Courier New" w:hint="default"/>
      </w:rPr>
    </w:lvl>
    <w:lvl w:ilvl="8" w:tplc="3CA4F342" w:tentative="1">
      <w:start w:val="1"/>
      <w:numFmt w:val="bullet"/>
      <w:lvlText w:val=""/>
      <w:lvlJc w:val="left"/>
      <w:pPr>
        <w:ind w:left="6480" w:hanging="360"/>
      </w:pPr>
      <w:rPr>
        <w:rFonts w:ascii="Wingdings" w:hAnsi="Wingdings" w:hint="default"/>
      </w:rPr>
    </w:lvl>
  </w:abstractNum>
  <w:abstractNum w:abstractNumId="178" w15:restartNumberingAfterBreak="0">
    <w:nsid w:val="7C395717"/>
    <w:multiLevelType w:val="hybridMultilevel"/>
    <w:tmpl w:val="86028708"/>
    <w:lvl w:ilvl="0" w:tplc="5DEA2C9A">
      <w:start w:val="1"/>
      <w:numFmt w:val="bullet"/>
      <w:lvlText w:val=""/>
      <w:lvlJc w:val="left"/>
      <w:pPr>
        <w:tabs>
          <w:tab w:val="num" w:pos="720"/>
        </w:tabs>
        <w:ind w:left="720" w:hanging="360"/>
      </w:pPr>
      <w:rPr>
        <w:rFonts w:ascii="Symbol" w:hAnsi="Symbol" w:hint="default"/>
        <w:sz w:val="22"/>
      </w:rPr>
    </w:lvl>
    <w:lvl w:ilvl="1" w:tplc="7FA092B4">
      <w:start w:val="1"/>
      <w:numFmt w:val="bullet"/>
      <w:lvlText w:val="o"/>
      <w:lvlJc w:val="left"/>
      <w:pPr>
        <w:tabs>
          <w:tab w:val="num" w:pos="1440"/>
        </w:tabs>
        <w:ind w:left="1440" w:hanging="360"/>
      </w:pPr>
      <w:rPr>
        <w:rFonts w:ascii="Courier New" w:hAnsi="Courier New" w:hint="default"/>
      </w:rPr>
    </w:lvl>
    <w:lvl w:ilvl="2" w:tplc="AA982764" w:tentative="1">
      <w:start w:val="1"/>
      <w:numFmt w:val="bullet"/>
      <w:lvlText w:val=""/>
      <w:lvlJc w:val="left"/>
      <w:pPr>
        <w:tabs>
          <w:tab w:val="num" w:pos="2160"/>
        </w:tabs>
        <w:ind w:left="2160" w:hanging="360"/>
      </w:pPr>
      <w:rPr>
        <w:rFonts w:ascii="Wingdings" w:hAnsi="Wingdings" w:hint="default"/>
      </w:rPr>
    </w:lvl>
    <w:lvl w:ilvl="3" w:tplc="90407C2A" w:tentative="1">
      <w:start w:val="1"/>
      <w:numFmt w:val="bullet"/>
      <w:lvlText w:val=""/>
      <w:lvlJc w:val="left"/>
      <w:pPr>
        <w:tabs>
          <w:tab w:val="num" w:pos="2880"/>
        </w:tabs>
        <w:ind w:left="2880" w:hanging="360"/>
      </w:pPr>
      <w:rPr>
        <w:rFonts w:ascii="Symbol" w:hAnsi="Symbol" w:hint="default"/>
      </w:rPr>
    </w:lvl>
    <w:lvl w:ilvl="4" w:tplc="EDAA2A14" w:tentative="1">
      <w:start w:val="1"/>
      <w:numFmt w:val="bullet"/>
      <w:lvlText w:val="o"/>
      <w:lvlJc w:val="left"/>
      <w:pPr>
        <w:tabs>
          <w:tab w:val="num" w:pos="3600"/>
        </w:tabs>
        <w:ind w:left="3600" w:hanging="360"/>
      </w:pPr>
      <w:rPr>
        <w:rFonts w:ascii="Courier New" w:hAnsi="Courier New" w:hint="default"/>
      </w:rPr>
    </w:lvl>
    <w:lvl w:ilvl="5" w:tplc="8736B662" w:tentative="1">
      <w:start w:val="1"/>
      <w:numFmt w:val="bullet"/>
      <w:lvlText w:val=""/>
      <w:lvlJc w:val="left"/>
      <w:pPr>
        <w:tabs>
          <w:tab w:val="num" w:pos="4320"/>
        </w:tabs>
        <w:ind w:left="4320" w:hanging="360"/>
      </w:pPr>
      <w:rPr>
        <w:rFonts w:ascii="Wingdings" w:hAnsi="Wingdings" w:hint="default"/>
      </w:rPr>
    </w:lvl>
    <w:lvl w:ilvl="6" w:tplc="4B9CF568" w:tentative="1">
      <w:start w:val="1"/>
      <w:numFmt w:val="bullet"/>
      <w:lvlText w:val=""/>
      <w:lvlJc w:val="left"/>
      <w:pPr>
        <w:tabs>
          <w:tab w:val="num" w:pos="5040"/>
        </w:tabs>
        <w:ind w:left="5040" w:hanging="360"/>
      </w:pPr>
      <w:rPr>
        <w:rFonts w:ascii="Symbol" w:hAnsi="Symbol" w:hint="default"/>
      </w:rPr>
    </w:lvl>
    <w:lvl w:ilvl="7" w:tplc="33B4F936" w:tentative="1">
      <w:start w:val="1"/>
      <w:numFmt w:val="bullet"/>
      <w:lvlText w:val="o"/>
      <w:lvlJc w:val="left"/>
      <w:pPr>
        <w:tabs>
          <w:tab w:val="num" w:pos="5760"/>
        </w:tabs>
        <w:ind w:left="5760" w:hanging="360"/>
      </w:pPr>
      <w:rPr>
        <w:rFonts w:ascii="Courier New" w:hAnsi="Courier New" w:hint="default"/>
      </w:rPr>
    </w:lvl>
    <w:lvl w:ilvl="8" w:tplc="38B27126"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7C761E21"/>
    <w:multiLevelType w:val="hybridMultilevel"/>
    <w:tmpl w:val="C74094BC"/>
    <w:lvl w:ilvl="0" w:tplc="87B6BCD4">
      <w:start w:val="1"/>
      <w:numFmt w:val="bullet"/>
      <w:lvlText w:val=""/>
      <w:lvlJc w:val="left"/>
      <w:pPr>
        <w:ind w:left="1350" w:hanging="360"/>
      </w:pPr>
      <w:rPr>
        <w:rFonts w:ascii="Symbol" w:hAnsi="Symbol" w:hint="default"/>
      </w:rPr>
    </w:lvl>
    <w:lvl w:ilvl="1" w:tplc="C3A892D8">
      <w:start w:val="1"/>
      <w:numFmt w:val="bullet"/>
      <w:lvlText w:val="o"/>
      <w:lvlJc w:val="left"/>
      <w:pPr>
        <w:ind w:left="2070" w:hanging="360"/>
      </w:pPr>
      <w:rPr>
        <w:rFonts w:ascii="Courier New" w:hAnsi="Courier New" w:cs="Courier New" w:hint="default"/>
      </w:rPr>
    </w:lvl>
    <w:lvl w:ilvl="2" w:tplc="DA162508" w:tentative="1">
      <w:start w:val="1"/>
      <w:numFmt w:val="bullet"/>
      <w:lvlText w:val=""/>
      <w:lvlJc w:val="left"/>
      <w:pPr>
        <w:ind w:left="2790" w:hanging="360"/>
      </w:pPr>
      <w:rPr>
        <w:rFonts w:ascii="Wingdings" w:hAnsi="Wingdings" w:hint="default"/>
      </w:rPr>
    </w:lvl>
    <w:lvl w:ilvl="3" w:tplc="FBC09D3C" w:tentative="1">
      <w:start w:val="1"/>
      <w:numFmt w:val="bullet"/>
      <w:lvlText w:val=""/>
      <w:lvlJc w:val="left"/>
      <w:pPr>
        <w:ind w:left="3510" w:hanging="360"/>
      </w:pPr>
      <w:rPr>
        <w:rFonts w:ascii="Symbol" w:hAnsi="Symbol" w:hint="default"/>
      </w:rPr>
    </w:lvl>
    <w:lvl w:ilvl="4" w:tplc="87007C7A" w:tentative="1">
      <w:start w:val="1"/>
      <w:numFmt w:val="bullet"/>
      <w:lvlText w:val="o"/>
      <w:lvlJc w:val="left"/>
      <w:pPr>
        <w:ind w:left="4230" w:hanging="360"/>
      </w:pPr>
      <w:rPr>
        <w:rFonts w:ascii="Courier New" w:hAnsi="Courier New" w:cs="Courier New" w:hint="default"/>
      </w:rPr>
    </w:lvl>
    <w:lvl w:ilvl="5" w:tplc="E75C63F0" w:tentative="1">
      <w:start w:val="1"/>
      <w:numFmt w:val="bullet"/>
      <w:lvlText w:val=""/>
      <w:lvlJc w:val="left"/>
      <w:pPr>
        <w:ind w:left="4950" w:hanging="360"/>
      </w:pPr>
      <w:rPr>
        <w:rFonts w:ascii="Wingdings" w:hAnsi="Wingdings" w:hint="default"/>
      </w:rPr>
    </w:lvl>
    <w:lvl w:ilvl="6" w:tplc="7FAC7EA0" w:tentative="1">
      <w:start w:val="1"/>
      <w:numFmt w:val="bullet"/>
      <w:lvlText w:val=""/>
      <w:lvlJc w:val="left"/>
      <w:pPr>
        <w:ind w:left="5670" w:hanging="360"/>
      </w:pPr>
      <w:rPr>
        <w:rFonts w:ascii="Symbol" w:hAnsi="Symbol" w:hint="default"/>
      </w:rPr>
    </w:lvl>
    <w:lvl w:ilvl="7" w:tplc="438802E6" w:tentative="1">
      <w:start w:val="1"/>
      <w:numFmt w:val="bullet"/>
      <w:lvlText w:val="o"/>
      <w:lvlJc w:val="left"/>
      <w:pPr>
        <w:ind w:left="6390" w:hanging="360"/>
      </w:pPr>
      <w:rPr>
        <w:rFonts w:ascii="Courier New" w:hAnsi="Courier New" w:cs="Courier New" w:hint="default"/>
      </w:rPr>
    </w:lvl>
    <w:lvl w:ilvl="8" w:tplc="9BDAA0C0" w:tentative="1">
      <w:start w:val="1"/>
      <w:numFmt w:val="bullet"/>
      <w:lvlText w:val=""/>
      <w:lvlJc w:val="left"/>
      <w:pPr>
        <w:ind w:left="7110" w:hanging="360"/>
      </w:pPr>
      <w:rPr>
        <w:rFonts w:ascii="Wingdings" w:hAnsi="Wingdings" w:hint="default"/>
      </w:rPr>
    </w:lvl>
  </w:abstractNum>
  <w:abstractNum w:abstractNumId="180" w15:restartNumberingAfterBreak="0">
    <w:nsid w:val="7CF92156"/>
    <w:multiLevelType w:val="hybridMultilevel"/>
    <w:tmpl w:val="5388004C"/>
    <w:lvl w:ilvl="0" w:tplc="F70050A8">
      <w:start w:val="1"/>
      <w:numFmt w:val="lowerLetter"/>
      <w:lvlText w:val="%1"/>
      <w:lvlJc w:val="left"/>
      <w:pPr>
        <w:ind w:left="720" w:hanging="360"/>
      </w:pPr>
      <w:rPr>
        <w:rFonts w:hint="default"/>
        <w:sz w:val="16"/>
        <w:szCs w:val="16"/>
        <w:vertAlign w:val="superscript"/>
      </w:rPr>
    </w:lvl>
    <w:lvl w:ilvl="1" w:tplc="AEACAF3E" w:tentative="1">
      <w:start w:val="1"/>
      <w:numFmt w:val="lowerLetter"/>
      <w:lvlText w:val="%2."/>
      <w:lvlJc w:val="left"/>
      <w:pPr>
        <w:ind w:left="1440" w:hanging="360"/>
      </w:pPr>
    </w:lvl>
    <w:lvl w:ilvl="2" w:tplc="8690D23E" w:tentative="1">
      <w:start w:val="1"/>
      <w:numFmt w:val="lowerRoman"/>
      <w:lvlText w:val="%3."/>
      <w:lvlJc w:val="right"/>
      <w:pPr>
        <w:ind w:left="2160" w:hanging="180"/>
      </w:pPr>
    </w:lvl>
    <w:lvl w:ilvl="3" w:tplc="1744D67C" w:tentative="1">
      <w:start w:val="1"/>
      <w:numFmt w:val="decimal"/>
      <w:lvlText w:val="%4."/>
      <w:lvlJc w:val="left"/>
      <w:pPr>
        <w:ind w:left="2880" w:hanging="360"/>
      </w:pPr>
    </w:lvl>
    <w:lvl w:ilvl="4" w:tplc="E01AF426" w:tentative="1">
      <w:start w:val="1"/>
      <w:numFmt w:val="lowerLetter"/>
      <w:lvlText w:val="%5."/>
      <w:lvlJc w:val="left"/>
      <w:pPr>
        <w:ind w:left="3600" w:hanging="360"/>
      </w:pPr>
    </w:lvl>
    <w:lvl w:ilvl="5" w:tplc="F156111C" w:tentative="1">
      <w:start w:val="1"/>
      <w:numFmt w:val="lowerRoman"/>
      <w:lvlText w:val="%6."/>
      <w:lvlJc w:val="right"/>
      <w:pPr>
        <w:ind w:left="4320" w:hanging="180"/>
      </w:pPr>
    </w:lvl>
    <w:lvl w:ilvl="6" w:tplc="B136D6C2" w:tentative="1">
      <w:start w:val="1"/>
      <w:numFmt w:val="decimal"/>
      <w:lvlText w:val="%7."/>
      <w:lvlJc w:val="left"/>
      <w:pPr>
        <w:ind w:left="5040" w:hanging="360"/>
      </w:pPr>
    </w:lvl>
    <w:lvl w:ilvl="7" w:tplc="48020A1A" w:tentative="1">
      <w:start w:val="1"/>
      <w:numFmt w:val="lowerLetter"/>
      <w:lvlText w:val="%8."/>
      <w:lvlJc w:val="left"/>
      <w:pPr>
        <w:ind w:left="5760" w:hanging="360"/>
      </w:pPr>
    </w:lvl>
    <w:lvl w:ilvl="8" w:tplc="F7C6265C" w:tentative="1">
      <w:start w:val="1"/>
      <w:numFmt w:val="lowerRoman"/>
      <w:lvlText w:val="%9."/>
      <w:lvlJc w:val="right"/>
      <w:pPr>
        <w:ind w:left="6480" w:hanging="180"/>
      </w:pPr>
    </w:lvl>
  </w:abstractNum>
  <w:abstractNum w:abstractNumId="181" w15:restartNumberingAfterBreak="0">
    <w:nsid w:val="7D421239"/>
    <w:multiLevelType w:val="hybridMultilevel"/>
    <w:tmpl w:val="D632F5E2"/>
    <w:lvl w:ilvl="0" w:tplc="9B76ABE0">
      <w:start w:val="1"/>
      <w:numFmt w:val="bullet"/>
      <w:lvlText w:val="•"/>
      <w:lvlJc w:val="left"/>
      <w:pPr>
        <w:ind w:left="720" w:hanging="360"/>
      </w:pPr>
      <w:rPr>
        <w:rFonts w:hint="default"/>
        <w:b/>
        <w:i w:val="0"/>
        <w:color w:val="002060"/>
        <w:sz w:val="22"/>
      </w:rPr>
    </w:lvl>
    <w:lvl w:ilvl="1" w:tplc="502AD71A" w:tentative="1">
      <w:start w:val="1"/>
      <w:numFmt w:val="bullet"/>
      <w:lvlText w:val="o"/>
      <w:lvlJc w:val="left"/>
      <w:pPr>
        <w:ind w:left="1440" w:hanging="360"/>
      </w:pPr>
      <w:rPr>
        <w:rFonts w:ascii="Courier New" w:hAnsi="Courier New" w:cs="Courier New" w:hint="default"/>
      </w:rPr>
    </w:lvl>
    <w:lvl w:ilvl="2" w:tplc="B5749672" w:tentative="1">
      <w:start w:val="1"/>
      <w:numFmt w:val="bullet"/>
      <w:lvlText w:val=""/>
      <w:lvlJc w:val="left"/>
      <w:pPr>
        <w:ind w:left="2160" w:hanging="360"/>
      </w:pPr>
      <w:rPr>
        <w:rFonts w:ascii="Wingdings" w:hAnsi="Wingdings" w:hint="default"/>
      </w:rPr>
    </w:lvl>
    <w:lvl w:ilvl="3" w:tplc="06681092" w:tentative="1">
      <w:start w:val="1"/>
      <w:numFmt w:val="bullet"/>
      <w:lvlText w:val=""/>
      <w:lvlJc w:val="left"/>
      <w:pPr>
        <w:ind w:left="2880" w:hanging="360"/>
      </w:pPr>
      <w:rPr>
        <w:rFonts w:ascii="Symbol" w:hAnsi="Symbol" w:hint="default"/>
      </w:rPr>
    </w:lvl>
    <w:lvl w:ilvl="4" w:tplc="260CDC86" w:tentative="1">
      <w:start w:val="1"/>
      <w:numFmt w:val="bullet"/>
      <w:lvlText w:val="o"/>
      <w:lvlJc w:val="left"/>
      <w:pPr>
        <w:ind w:left="3600" w:hanging="360"/>
      </w:pPr>
      <w:rPr>
        <w:rFonts w:ascii="Courier New" w:hAnsi="Courier New" w:cs="Courier New" w:hint="default"/>
      </w:rPr>
    </w:lvl>
    <w:lvl w:ilvl="5" w:tplc="B0E84604" w:tentative="1">
      <w:start w:val="1"/>
      <w:numFmt w:val="bullet"/>
      <w:lvlText w:val=""/>
      <w:lvlJc w:val="left"/>
      <w:pPr>
        <w:ind w:left="4320" w:hanging="360"/>
      </w:pPr>
      <w:rPr>
        <w:rFonts w:ascii="Wingdings" w:hAnsi="Wingdings" w:hint="default"/>
      </w:rPr>
    </w:lvl>
    <w:lvl w:ilvl="6" w:tplc="626892BE" w:tentative="1">
      <w:start w:val="1"/>
      <w:numFmt w:val="bullet"/>
      <w:lvlText w:val=""/>
      <w:lvlJc w:val="left"/>
      <w:pPr>
        <w:ind w:left="5040" w:hanging="360"/>
      </w:pPr>
      <w:rPr>
        <w:rFonts w:ascii="Symbol" w:hAnsi="Symbol" w:hint="default"/>
      </w:rPr>
    </w:lvl>
    <w:lvl w:ilvl="7" w:tplc="EF7E5C00" w:tentative="1">
      <w:start w:val="1"/>
      <w:numFmt w:val="bullet"/>
      <w:lvlText w:val="o"/>
      <w:lvlJc w:val="left"/>
      <w:pPr>
        <w:ind w:left="5760" w:hanging="360"/>
      </w:pPr>
      <w:rPr>
        <w:rFonts w:ascii="Courier New" w:hAnsi="Courier New" w:cs="Courier New" w:hint="default"/>
      </w:rPr>
    </w:lvl>
    <w:lvl w:ilvl="8" w:tplc="015A3AA0" w:tentative="1">
      <w:start w:val="1"/>
      <w:numFmt w:val="bullet"/>
      <w:lvlText w:val=""/>
      <w:lvlJc w:val="left"/>
      <w:pPr>
        <w:ind w:left="6480" w:hanging="360"/>
      </w:pPr>
      <w:rPr>
        <w:rFonts w:ascii="Wingdings" w:hAnsi="Wingdings" w:hint="default"/>
      </w:rPr>
    </w:lvl>
  </w:abstractNum>
  <w:abstractNum w:abstractNumId="182" w15:restartNumberingAfterBreak="0">
    <w:nsid w:val="7DD1179D"/>
    <w:multiLevelType w:val="hybridMultilevel"/>
    <w:tmpl w:val="22EC29DC"/>
    <w:lvl w:ilvl="0" w:tplc="393AC6D0">
      <w:start w:val="1"/>
      <w:numFmt w:val="bullet"/>
      <w:lvlText w:val="•"/>
      <w:lvlJc w:val="left"/>
      <w:pPr>
        <w:tabs>
          <w:tab w:val="num" w:pos="0"/>
        </w:tabs>
        <w:ind w:left="283" w:hanging="283"/>
      </w:pPr>
      <w:rPr>
        <w:rFonts w:hint="default"/>
        <w:b/>
        <w:i w:val="0"/>
        <w:color w:val="002060"/>
        <w:sz w:val="22"/>
      </w:rPr>
    </w:lvl>
    <w:lvl w:ilvl="1" w:tplc="A68A960A">
      <w:start w:val="1"/>
      <w:numFmt w:val="bullet"/>
      <w:lvlText w:val=""/>
      <w:lvlJc w:val="left"/>
      <w:pPr>
        <w:tabs>
          <w:tab w:val="num" w:pos="1440"/>
        </w:tabs>
        <w:ind w:left="1440" w:hanging="360"/>
      </w:pPr>
      <w:rPr>
        <w:rFonts w:ascii="Symbol" w:hAnsi="Symbol" w:hint="default"/>
      </w:rPr>
    </w:lvl>
    <w:lvl w:ilvl="2" w:tplc="AA9E035A">
      <w:start w:val="1"/>
      <w:numFmt w:val="bullet"/>
      <w:lvlText w:val=""/>
      <w:lvlJc w:val="left"/>
      <w:pPr>
        <w:ind w:left="2370" w:hanging="570"/>
      </w:pPr>
      <w:rPr>
        <w:rFonts w:ascii="Symbol" w:hAnsi="Symbol" w:hint="default"/>
      </w:rPr>
    </w:lvl>
    <w:lvl w:ilvl="3" w:tplc="CC2ADAF2" w:tentative="1">
      <w:start w:val="1"/>
      <w:numFmt w:val="bullet"/>
      <w:lvlText w:val=""/>
      <w:lvlJc w:val="left"/>
      <w:pPr>
        <w:tabs>
          <w:tab w:val="num" w:pos="2880"/>
        </w:tabs>
        <w:ind w:left="2880" w:hanging="360"/>
      </w:pPr>
      <w:rPr>
        <w:rFonts w:ascii="Symbol" w:hAnsi="Symbol" w:hint="default"/>
      </w:rPr>
    </w:lvl>
    <w:lvl w:ilvl="4" w:tplc="F8CAF97A" w:tentative="1">
      <w:start w:val="1"/>
      <w:numFmt w:val="bullet"/>
      <w:lvlText w:val="o"/>
      <w:lvlJc w:val="left"/>
      <w:pPr>
        <w:tabs>
          <w:tab w:val="num" w:pos="3600"/>
        </w:tabs>
        <w:ind w:left="3600" w:hanging="360"/>
      </w:pPr>
      <w:rPr>
        <w:rFonts w:ascii="Courier New" w:hAnsi="Courier New" w:hint="default"/>
      </w:rPr>
    </w:lvl>
    <w:lvl w:ilvl="5" w:tplc="46E4116A" w:tentative="1">
      <w:start w:val="1"/>
      <w:numFmt w:val="bullet"/>
      <w:lvlText w:val=""/>
      <w:lvlJc w:val="left"/>
      <w:pPr>
        <w:tabs>
          <w:tab w:val="num" w:pos="4320"/>
        </w:tabs>
        <w:ind w:left="4320" w:hanging="360"/>
      </w:pPr>
      <w:rPr>
        <w:rFonts w:ascii="Wingdings" w:hAnsi="Wingdings" w:hint="default"/>
      </w:rPr>
    </w:lvl>
    <w:lvl w:ilvl="6" w:tplc="4C04CB54" w:tentative="1">
      <w:start w:val="1"/>
      <w:numFmt w:val="bullet"/>
      <w:lvlText w:val=""/>
      <w:lvlJc w:val="left"/>
      <w:pPr>
        <w:tabs>
          <w:tab w:val="num" w:pos="5040"/>
        </w:tabs>
        <w:ind w:left="5040" w:hanging="360"/>
      </w:pPr>
      <w:rPr>
        <w:rFonts w:ascii="Symbol" w:hAnsi="Symbol" w:hint="default"/>
      </w:rPr>
    </w:lvl>
    <w:lvl w:ilvl="7" w:tplc="1330685A" w:tentative="1">
      <w:start w:val="1"/>
      <w:numFmt w:val="bullet"/>
      <w:lvlText w:val="o"/>
      <w:lvlJc w:val="left"/>
      <w:pPr>
        <w:tabs>
          <w:tab w:val="num" w:pos="5760"/>
        </w:tabs>
        <w:ind w:left="5760" w:hanging="360"/>
      </w:pPr>
      <w:rPr>
        <w:rFonts w:ascii="Courier New" w:hAnsi="Courier New" w:hint="default"/>
      </w:rPr>
    </w:lvl>
    <w:lvl w:ilvl="8" w:tplc="D7A697DC"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7E874CBB"/>
    <w:multiLevelType w:val="hybridMultilevel"/>
    <w:tmpl w:val="B7EA0D08"/>
    <w:lvl w:ilvl="0" w:tplc="DAEE5578">
      <w:start w:val="1"/>
      <w:numFmt w:val="bullet"/>
      <w:lvlText w:val=""/>
      <w:lvlJc w:val="left"/>
      <w:pPr>
        <w:ind w:left="1080" w:hanging="360"/>
      </w:pPr>
      <w:rPr>
        <w:rFonts w:ascii="Symbol" w:hAnsi="Symbol" w:hint="default"/>
      </w:rPr>
    </w:lvl>
    <w:lvl w:ilvl="1" w:tplc="73DE7B8A" w:tentative="1">
      <w:start w:val="1"/>
      <w:numFmt w:val="bullet"/>
      <w:lvlText w:val="o"/>
      <w:lvlJc w:val="left"/>
      <w:pPr>
        <w:ind w:left="1800" w:hanging="360"/>
      </w:pPr>
      <w:rPr>
        <w:rFonts w:ascii="Courier New" w:hAnsi="Courier New" w:cs="Courier New" w:hint="default"/>
      </w:rPr>
    </w:lvl>
    <w:lvl w:ilvl="2" w:tplc="C3CCFBE0" w:tentative="1">
      <w:start w:val="1"/>
      <w:numFmt w:val="bullet"/>
      <w:lvlText w:val=""/>
      <w:lvlJc w:val="left"/>
      <w:pPr>
        <w:ind w:left="2520" w:hanging="360"/>
      </w:pPr>
      <w:rPr>
        <w:rFonts w:ascii="Wingdings" w:hAnsi="Wingdings" w:hint="default"/>
      </w:rPr>
    </w:lvl>
    <w:lvl w:ilvl="3" w:tplc="7C100426" w:tentative="1">
      <w:start w:val="1"/>
      <w:numFmt w:val="bullet"/>
      <w:lvlText w:val=""/>
      <w:lvlJc w:val="left"/>
      <w:pPr>
        <w:ind w:left="3240" w:hanging="360"/>
      </w:pPr>
      <w:rPr>
        <w:rFonts w:ascii="Symbol" w:hAnsi="Symbol" w:hint="default"/>
      </w:rPr>
    </w:lvl>
    <w:lvl w:ilvl="4" w:tplc="81D41DDA" w:tentative="1">
      <w:start w:val="1"/>
      <w:numFmt w:val="bullet"/>
      <w:lvlText w:val="o"/>
      <w:lvlJc w:val="left"/>
      <w:pPr>
        <w:ind w:left="3960" w:hanging="360"/>
      </w:pPr>
      <w:rPr>
        <w:rFonts w:ascii="Courier New" w:hAnsi="Courier New" w:cs="Courier New" w:hint="default"/>
      </w:rPr>
    </w:lvl>
    <w:lvl w:ilvl="5" w:tplc="B23E6BD6" w:tentative="1">
      <w:start w:val="1"/>
      <w:numFmt w:val="bullet"/>
      <w:lvlText w:val=""/>
      <w:lvlJc w:val="left"/>
      <w:pPr>
        <w:ind w:left="4680" w:hanging="360"/>
      </w:pPr>
      <w:rPr>
        <w:rFonts w:ascii="Wingdings" w:hAnsi="Wingdings" w:hint="default"/>
      </w:rPr>
    </w:lvl>
    <w:lvl w:ilvl="6" w:tplc="5CEE6A58" w:tentative="1">
      <w:start w:val="1"/>
      <w:numFmt w:val="bullet"/>
      <w:lvlText w:val=""/>
      <w:lvlJc w:val="left"/>
      <w:pPr>
        <w:ind w:left="5400" w:hanging="360"/>
      </w:pPr>
      <w:rPr>
        <w:rFonts w:ascii="Symbol" w:hAnsi="Symbol" w:hint="default"/>
      </w:rPr>
    </w:lvl>
    <w:lvl w:ilvl="7" w:tplc="2B604998" w:tentative="1">
      <w:start w:val="1"/>
      <w:numFmt w:val="bullet"/>
      <w:lvlText w:val="o"/>
      <w:lvlJc w:val="left"/>
      <w:pPr>
        <w:ind w:left="6120" w:hanging="360"/>
      </w:pPr>
      <w:rPr>
        <w:rFonts w:ascii="Courier New" w:hAnsi="Courier New" w:cs="Courier New" w:hint="default"/>
      </w:rPr>
    </w:lvl>
    <w:lvl w:ilvl="8" w:tplc="A9F8101A" w:tentative="1">
      <w:start w:val="1"/>
      <w:numFmt w:val="bullet"/>
      <w:lvlText w:val=""/>
      <w:lvlJc w:val="left"/>
      <w:pPr>
        <w:ind w:left="6840" w:hanging="360"/>
      </w:pPr>
      <w:rPr>
        <w:rFonts w:ascii="Wingdings" w:hAnsi="Wingdings" w:hint="default"/>
      </w:rPr>
    </w:lvl>
  </w:abstractNum>
  <w:abstractNum w:abstractNumId="184" w15:restartNumberingAfterBreak="0">
    <w:nsid w:val="7F3566DF"/>
    <w:multiLevelType w:val="hybridMultilevel"/>
    <w:tmpl w:val="3B44246C"/>
    <w:lvl w:ilvl="0" w:tplc="9490D486">
      <w:start w:val="1"/>
      <w:numFmt w:val="bullet"/>
      <w:lvlText w:val=""/>
      <w:lvlJc w:val="left"/>
      <w:pPr>
        <w:ind w:left="720" w:hanging="360"/>
      </w:pPr>
      <w:rPr>
        <w:rFonts w:ascii="Symbol" w:hAnsi="Symbol" w:hint="default"/>
      </w:rPr>
    </w:lvl>
    <w:lvl w:ilvl="1" w:tplc="9FF02FFA" w:tentative="1">
      <w:start w:val="1"/>
      <w:numFmt w:val="bullet"/>
      <w:lvlText w:val="o"/>
      <w:lvlJc w:val="left"/>
      <w:pPr>
        <w:ind w:left="1440" w:hanging="360"/>
      </w:pPr>
      <w:rPr>
        <w:rFonts w:ascii="Courier New" w:hAnsi="Courier New" w:cs="Courier New" w:hint="default"/>
      </w:rPr>
    </w:lvl>
    <w:lvl w:ilvl="2" w:tplc="FC947AAE" w:tentative="1">
      <w:start w:val="1"/>
      <w:numFmt w:val="bullet"/>
      <w:lvlText w:val=""/>
      <w:lvlJc w:val="left"/>
      <w:pPr>
        <w:ind w:left="2160" w:hanging="360"/>
      </w:pPr>
      <w:rPr>
        <w:rFonts w:ascii="Wingdings" w:hAnsi="Wingdings" w:hint="default"/>
      </w:rPr>
    </w:lvl>
    <w:lvl w:ilvl="3" w:tplc="DD7A287C" w:tentative="1">
      <w:start w:val="1"/>
      <w:numFmt w:val="bullet"/>
      <w:lvlText w:val=""/>
      <w:lvlJc w:val="left"/>
      <w:pPr>
        <w:ind w:left="2880" w:hanging="360"/>
      </w:pPr>
      <w:rPr>
        <w:rFonts w:ascii="Symbol" w:hAnsi="Symbol" w:hint="default"/>
      </w:rPr>
    </w:lvl>
    <w:lvl w:ilvl="4" w:tplc="7796440A" w:tentative="1">
      <w:start w:val="1"/>
      <w:numFmt w:val="bullet"/>
      <w:lvlText w:val="o"/>
      <w:lvlJc w:val="left"/>
      <w:pPr>
        <w:ind w:left="3600" w:hanging="360"/>
      </w:pPr>
      <w:rPr>
        <w:rFonts w:ascii="Courier New" w:hAnsi="Courier New" w:cs="Courier New" w:hint="default"/>
      </w:rPr>
    </w:lvl>
    <w:lvl w:ilvl="5" w:tplc="964EC3BA" w:tentative="1">
      <w:start w:val="1"/>
      <w:numFmt w:val="bullet"/>
      <w:lvlText w:val=""/>
      <w:lvlJc w:val="left"/>
      <w:pPr>
        <w:ind w:left="4320" w:hanging="360"/>
      </w:pPr>
      <w:rPr>
        <w:rFonts w:ascii="Wingdings" w:hAnsi="Wingdings" w:hint="default"/>
      </w:rPr>
    </w:lvl>
    <w:lvl w:ilvl="6" w:tplc="594C1B28" w:tentative="1">
      <w:start w:val="1"/>
      <w:numFmt w:val="bullet"/>
      <w:lvlText w:val=""/>
      <w:lvlJc w:val="left"/>
      <w:pPr>
        <w:ind w:left="5040" w:hanging="360"/>
      </w:pPr>
      <w:rPr>
        <w:rFonts w:ascii="Symbol" w:hAnsi="Symbol" w:hint="default"/>
      </w:rPr>
    </w:lvl>
    <w:lvl w:ilvl="7" w:tplc="46B053FA" w:tentative="1">
      <w:start w:val="1"/>
      <w:numFmt w:val="bullet"/>
      <w:lvlText w:val="o"/>
      <w:lvlJc w:val="left"/>
      <w:pPr>
        <w:ind w:left="5760" w:hanging="360"/>
      </w:pPr>
      <w:rPr>
        <w:rFonts w:ascii="Courier New" w:hAnsi="Courier New" w:cs="Courier New" w:hint="default"/>
      </w:rPr>
    </w:lvl>
    <w:lvl w:ilvl="8" w:tplc="14E2897C" w:tentative="1">
      <w:start w:val="1"/>
      <w:numFmt w:val="bullet"/>
      <w:lvlText w:val=""/>
      <w:lvlJc w:val="left"/>
      <w:pPr>
        <w:ind w:left="6480" w:hanging="360"/>
      </w:pPr>
      <w:rPr>
        <w:rFonts w:ascii="Wingdings" w:hAnsi="Wingdings" w:hint="default"/>
      </w:rPr>
    </w:lvl>
  </w:abstractNum>
  <w:num w:numId="1" w16cid:durableId="1870944382">
    <w:abstractNumId w:val="7"/>
  </w:num>
  <w:num w:numId="2" w16cid:durableId="61955601">
    <w:abstractNumId w:val="6"/>
  </w:num>
  <w:num w:numId="3" w16cid:durableId="1749888786">
    <w:abstractNumId w:val="5"/>
  </w:num>
  <w:num w:numId="4" w16cid:durableId="1954634923">
    <w:abstractNumId w:val="4"/>
  </w:num>
  <w:num w:numId="5" w16cid:durableId="256988165">
    <w:abstractNumId w:val="8"/>
  </w:num>
  <w:num w:numId="6" w16cid:durableId="1900359978">
    <w:abstractNumId w:val="3"/>
  </w:num>
  <w:num w:numId="7" w16cid:durableId="774252147">
    <w:abstractNumId w:val="2"/>
  </w:num>
  <w:num w:numId="8" w16cid:durableId="394932121">
    <w:abstractNumId w:val="1"/>
  </w:num>
  <w:num w:numId="9" w16cid:durableId="635574276">
    <w:abstractNumId w:val="0"/>
  </w:num>
  <w:num w:numId="10" w16cid:durableId="1626689333">
    <w:abstractNumId w:val="9"/>
  </w:num>
  <w:num w:numId="11" w16cid:durableId="1509639972">
    <w:abstractNumId w:val="168"/>
  </w:num>
  <w:num w:numId="12" w16cid:durableId="2078896116">
    <w:abstractNumId w:val="156"/>
  </w:num>
  <w:num w:numId="13" w16cid:durableId="2097167977">
    <w:abstractNumId w:val="127"/>
  </w:num>
  <w:num w:numId="14" w16cid:durableId="663360040">
    <w:abstractNumId w:val="123"/>
  </w:num>
  <w:num w:numId="15" w16cid:durableId="1451120809">
    <w:abstractNumId w:val="113"/>
  </w:num>
  <w:num w:numId="16" w16cid:durableId="813302264">
    <w:abstractNumId w:val="132"/>
  </w:num>
  <w:num w:numId="17" w16cid:durableId="2092505116">
    <w:abstractNumId w:val="62"/>
  </w:num>
  <w:num w:numId="18" w16cid:durableId="851185269">
    <w:abstractNumId w:val="169"/>
  </w:num>
  <w:num w:numId="19" w16cid:durableId="2114397991">
    <w:abstractNumId w:val="68"/>
  </w:num>
  <w:num w:numId="20" w16cid:durableId="553275618">
    <w:abstractNumId w:val="13"/>
  </w:num>
  <w:num w:numId="21" w16cid:durableId="728267495">
    <w:abstractNumId w:val="135"/>
  </w:num>
  <w:num w:numId="22" w16cid:durableId="1658923034">
    <w:abstractNumId w:val="25"/>
  </w:num>
  <w:num w:numId="23" w16cid:durableId="2144033708">
    <w:abstractNumId w:val="58"/>
  </w:num>
  <w:num w:numId="24" w16cid:durableId="616108120">
    <w:abstractNumId w:val="42"/>
  </w:num>
  <w:num w:numId="25" w16cid:durableId="2103984195">
    <w:abstractNumId w:val="43"/>
  </w:num>
  <w:num w:numId="26" w16cid:durableId="566308415">
    <w:abstractNumId w:val="100"/>
  </w:num>
  <w:num w:numId="27" w16cid:durableId="690690082">
    <w:abstractNumId w:val="142"/>
  </w:num>
  <w:num w:numId="28" w16cid:durableId="296187602">
    <w:abstractNumId w:val="72"/>
  </w:num>
  <w:num w:numId="29" w16cid:durableId="1544515033">
    <w:abstractNumId w:val="90"/>
  </w:num>
  <w:num w:numId="30" w16cid:durableId="2077169667">
    <w:abstractNumId w:val="38"/>
  </w:num>
  <w:num w:numId="31" w16cid:durableId="1292326675">
    <w:abstractNumId w:val="174"/>
  </w:num>
  <w:num w:numId="32" w16cid:durableId="1221137037">
    <w:abstractNumId w:val="30"/>
  </w:num>
  <w:num w:numId="33" w16cid:durableId="613638279">
    <w:abstractNumId w:val="136"/>
  </w:num>
  <w:num w:numId="34" w16cid:durableId="2030064504">
    <w:abstractNumId w:val="111"/>
  </w:num>
  <w:num w:numId="35" w16cid:durableId="1936328598">
    <w:abstractNumId w:val="49"/>
  </w:num>
  <w:num w:numId="36" w16cid:durableId="928343070">
    <w:abstractNumId w:val="39"/>
  </w:num>
  <w:num w:numId="37" w16cid:durableId="221256447">
    <w:abstractNumId w:val="157"/>
  </w:num>
  <w:num w:numId="38" w16cid:durableId="237594932">
    <w:abstractNumId w:val="146"/>
  </w:num>
  <w:num w:numId="39" w16cid:durableId="307516903">
    <w:abstractNumId w:val="11"/>
  </w:num>
  <w:num w:numId="40" w16cid:durableId="1674213771">
    <w:abstractNumId w:val="147"/>
  </w:num>
  <w:num w:numId="41" w16cid:durableId="554707595">
    <w:abstractNumId w:val="84"/>
  </w:num>
  <w:num w:numId="42" w16cid:durableId="1962757659">
    <w:abstractNumId w:val="160"/>
  </w:num>
  <w:num w:numId="43" w16cid:durableId="89861407">
    <w:abstractNumId w:val="23"/>
  </w:num>
  <w:num w:numId="44" w16cid:durableId="990059053">
    <w:abstractNumId w:val="56"/>
  </w:num>
  <w:num w:numId="45" w16cid:durableId="1958755357">
    <w:abstractNumId w:val="65"/>
  </w:num>
  <w:num w:numId="46" w16cid:durableId="1064910381">
    <w:abstractNumId w:val="63"/>
  </w:num>
  <w:num w:numId="47" w16cid:durableId="202986157">
    <w:abstractNumId w:val="70"/>
  </w:num>
  <w:num w:numId="48" w16cid:durableId="1653214187">
    <w:abstractNumId w:val="86"/>
  </w:num>
  <w:num w:numId="49" w16cid:durableId="953293101">
    <w:abstractNumId w:val="137"/>
  </w:num>
  <w:num w:numId="50" w16cid:durableId="1354186456">
    <w:abstractNumId w:val="24"/>
  </w:num>
  <w:num w:numId="51" w16cid:durableId="1667056654">
    <w:abstractNumId w:val="161"/>
  </w:num>
  <w:num w:numId="52" w16cid:durableId="1168516934">
    <w:abstractNumId w:val="153"/>
  </w:num>
  <w:num w:numId="53" w16cid:durableId="1922637398">
    <w:abstractNumId w:val="50"/>
  </w:num>
  <w:num w:numId="54" w16cid:durableId="543641222">
    <w:abstractNumId w:val="159"/>
  </w:num>
  <w:num w:numId="55" w16cid:durableId="1791707785">
    <w:abstractNumId w:val="118"/>
  </w:num>
  <w:num w:numId="56" w16cid:durableId="39869857">
    <w:abstractNumId w:val="54"/>
  </w:num>
  <w:num w:numId="57" w16cid:durableId="1225602675">
    <w:abstractNumId w:val="170"/>
  </w:num>
  <w:num w:numId="58" w16cid:durableId="593053761">
    <w:abstractNumId w:val="165"/>
  </w:num>
  <w:num w:numId="59" w16cid:durableId="1063332386">
    <w:abstractNumId w:val="67"/>
  </w:num>
  <w:num w:numId="60" w16cid:durableId="771127373">
    <w:abstractNumId w:val="144"/>
  </w:num>
  <w:num w:numId="61" w16cid:durableId="1763989820">
    <w:abstractNumId w:val="154"/>
  </w:num>
  <w:num w:numId="62" w16cid:durableId="1893345425">
    <w:abstractNumId w:val="26"/>
  </w:num>
  <w:num w:numId="63" w16cid:durableId="517625378">
    <w:abstractNumId w:val="19"/>
    <w:lvlOverride w:ilvl="0">
      <w:startOverride w:val="1"/>
    </w:lvlOverride>
  </w:num>
  <w:num w:numId="64" w16cid:durableId="693699697">
    <w:abstractNumId w:val="10"/>
    <w:lvlOverride w:ilvl="0">
      <w:lvl w:ilvl="0">
        <w:numFmt w:val="bullet"/>
        <w:lvlText w:val=""/>
        <w:legacy w:legacy="1" w:legacySpace="0" w:legacyIndent="360"/>
        <w:lvlJc w:val="left"/>
        <w:pPr>
          <w:ind w:left="360" w:hanging="360"/>
        </w:pPr>
        <w:rPr>
          <w:rFonts w:ascii="Symbol" w:hAnsi="Symbol" w:hint="default"/>
        </w:rPr>
      </w:lvl>
    </w:lvlOverride>
  </w:num>
  <w:num w:numId="65" w16cid:durableId="163975640">
    <w:abstractNumId w:val="98"/>
  </w:num>
  <w:num w:numId="66" w16cid:durableId="530923479">
    <w:abstractNumId w:val="77"/>
  </w:num>
  <w:num w:numId="67" w16cid:durableId="415786549">
    <w:abstractNumId w:val="158"/>
  </w:num>
  <w:num w:numId="68" w16cid:durableId="1024286341">
    <w:abstractNumId w:val="27"/>
  </w:num>
  <w:num w:numId="69" w16cid:durableId="285161380">
    <w:abstractNumId w:val="182"/>
  </w:num>
  <w:num w:numId="70" w16cid:durableId="816654618">
    <w:abstractNumId w:val="60"/>
  </w:num>
  <w:num w:numId="71" w16cid:durableId="1561867580">
    <w:abstractNumId w:val="79"/>
  </w:num>
  <w:num w:numId="72" w16cid:durableId="2033804598">
    <w:abstractNumId w:val="162"/>
  </w:num>
  <w:num w:numId="73" w16cid:durableId="334192021">
    <w:abstractNumId w:val="51"/>
  </w:num>
  <w:num w:numId="74" w16cid:durableId="948388062">
    <w:abstractNumId w:val="141"/>
  </w:num>
  <w:num w:numId="75" w16cid:durableId="1535581047">
    <w:abstractNumId w:val="101"/>
  </w:num>
  <w:num w:numId="76" w16cid:durableId="2052150479">
    <w:abstractNumId w:val="104"/>
  </w:num>
  <w:num w:numId="77" w16cid:durableId="516235879">
    <w:abstractNumId w:val="128"/>
  </w:num>
  <w:num w:numId="78" w16cid:durableId="1395659239">
    <w:abstractNumId w:val="45"/>
  </w:num>
  <w:num w:numId="79" w16cid:durableId="1410469684">
    <w:abstractNumId w:val="28"/>
  </w:num>
  <w:num w:numId="80" w16cid:durableId="111558925">
    <w:abstractNumId w:val="18"/>
  </w:num>
  <w:num w:numId="81" w16cid:durableId="2041976032">
    <w:abstractNumId w:val="94"/>
  </w:num>
  <w:num w:numId="82" w16cid:durableId="1949390150">
    <w:abstractNumId w:val="124"/>
  </w:num>
  <w:num w:numId="83" w16cid:durableId="1346859811">
    <w:abstractNumId w:val="180"/>
  </w:num>
  <w:num w:numId="84" w16cid:durableId="292176621">
    <w:abstractNumId w:val="173"/>
  </w:num>
  <w:num w:numId="85" w16cid:durableId="568342774">
    <w:abstractNumId w:val="150"/>
  </w:num>
  <w:num w:numId="86" w16cid:durableId="1787651639">
    <w:abstractNumId w:val="41"/>
  </w:num>
  <w:num w:numId="87" w16cid:durableId="533998746">
    <w:abstractNumId w:val="179"/>
  </w:num>
  <w:num w:numId="88" w16cid:durableId="1259748553">
    <w:abstractNumId w:val="126"/>
  </w:num>
  <w:num w:numId="89" w16cid:durableId="1825075799">
    <w:abstractNumId w:val="178"/>
  </w:num>
  <w:num w:numId="90" w16cid:durableId="1040281261">
    <w:abstractNumId w:val="106"/>
  </w:num>
  <w:num w:numId="91" w16cid:durableId="1739591345">
    <w:abstractNumId w:val="17"/>
  </w:num>
  <w:num w:numId="92" w16cid:durableId="1771507840">
    <w:abstractNumId w:val="71"/>
  </w:num>
  <w:num w:numId="93" w16cid:durableId="1666931532">
    <w:abstractNumId w:val="44"/>
  </w:num>
  <w:num w:numId="94" w16cid:durableId="1343699802">
    <w:abstractNumId w:val="96"/>
  </w:num>
  <w:num w:numId="95" w16cid:durableId="1045759233">
    <w:abstractNumId w:val="35"/>
  </w:num>
  <w:num w:numId="96" w16cid:durableId="64648939">
    <w:abstractNumId w:val="32"/>
  </w:num>
  <w:num w:numId="97" w16cid:durableId="1187064794">
    <w:abstractNumId w:val="48"/>
  </w:num>
  <w:num w:numId="98" w16cid:durableId="1025012031">
    <w:abstractNumId w:val="105"/>
  </w:num>
  <w:num w:numId="99" w16cid:durableId="608705996">
    <w:abstractNumId w:val="134"/>
  </w:num>
  <w:num w:numId="100" w16cid:durableId="1763255791">
    <w:abstractNumId w:val="129"/>
  </w:num>
  <w:num w:numId="101" w16cid:durableId="238180720">
    <w:abstractNumId w:val="167"/>
  </w:num>
  <w:num w:numId="102" w16cid:durableId="1786339160">
    <w:abstractNumId w:val="73"/>
  </w:num>
  <w:num w:numId="103" w16cid:durableId="1636643835">
    <w:abstractNumId w:val="152"/>
  </w:num>
  <w:num w:numId="104" w16cid:durableId="2066680053">
    <w:abstractNumId w:val="176"/>
  </w:num>
  <w:num w:numId="105" w16cid:durableId="1009481335">
    <w:abstractNumId w:val="148"/>
  </w:num>
  <w:num w:numId="106" w16cid:durableId="1408385114">
    <w:abstractNumId w:val="117"/>
  </w:num>
  <w:num w:numId="107" w16cid:durableId="245112871">
    <w:abstractNumId w:val="125"/>
  </w:num>
  <w:num w:numId="108" w16cid:durableId="1037465671">
    <w:abstractNumId w:val="89"/>
  </w:num>
  <w:num w:numId="109" w16cid:durableId="42142728">
    <w:abstractNumId w:val="14"/>
  </w:num>
  <w:num w:numId="110" w16cid:durableId="127938895">
    <w:abstractNumId w:val="92"/>
  </w:num>
  <w:num w:numId="111" w16cid:durableId="487550719">
    <w:abstractNumId w:val="57"/>
  </w:num>
  <w:num w:numId="112" w16cid:durableId="771365452">
    <w:abstractNumId w:val="99"/>
  </w:num>
  <w:num w:numId="113" w16cid:durableId="690448058">
    <w:abstractNumId w:val="120"/>
  </w:num>
  <w:num w:numId="114" w16cid:durableId="5984386">
    <w:abstractNumId w:val="78"/>
  </w:num>
  <w:num w:numId="115" w16cid:durableId="532576125">
    <w:abstractNumId w:val="109"/>
  </w:num>
  <w:num w:numId="116" w16cid:durableId="1202475856">
    <w:abstractNumId w:val="21"/>
  </w:num>
  <w:num w:numId="117" w16cid:durableId="542182762">
    <w:abstractNumId w:val="53"/>
  </w:num>
  <w:num w:numId="118" w16cid:durableId="1153985732">
    <w:abstractNumId w:val="61"/>
  </w:num>
  <w:num w:numId="119" w16cid:durableId="102695933">
    <w:abstractNumId w:val="119"/>
  </w:num>
  <w:num w:numId="120" w16cid:durableId="35275171">
    <w:abstractNumId w:val="149"/>
  </w:num>
  <w:num w:numId="121" w16cid:durableId="409548301">
    <w:abstractNumId w:val="29"/>
  </w:num>
  <w:num w:numId="122" w16cid:durableId="140002639">
    <w:abstractNumId w:val="82"/>
  </w:num>
  <w:num w:numId="123" w16cid:durableId="712585558">
    <w:abstractNumId w:val="164"/>
  </w:num>
  <w:num w:numId="124" w16cid:durableId="238635318">
    <w:abstractNumId w:val="140"/>
  </w:num>
  <w:num w:numId="125" w16cid:durableId="134223618">
    <w:abstractNumId w:val="52"/>
  </w:num>
  <w:num w:numId="126" w16cid:durableId="1188256324">
    <w:abstractNumId w:val="33"/>
  </w:num>
  <w:num w:numId="127" w16cid:durableId="249850822">
    <w:abstractNumId w:val="177"/>
  </w:num>
  <w:num w:numId="128" w16cid:durableId="1600290228">
    <w:abstractNumId w:val="88"/>
  </w:num>
  <w:num w:numId="129" w16cid:durableId="1952740973">
    <w:abstractNumId w:val="139"/>
  </w:num>
  <w:num w:numId="130" w16cid:durableId="2015718038">
    <w:abstractNumId w:val="83"/>
  </w:num>
  <w:num w:numId="131" w16cid:durableId="276526717">
    <w:abstractNumId w:val="138"/>
  </w:num>
  <w:num w:numId="132" w16cid:durableId="1094790560">
    <w:abstractNumId w:val="183"/>
  </w:num>
  <w:num w:numId="133" w16cid:durableId="641806908">
    <w:abstractNumId w:val="171"/>
  </w:num>
  <w:num w:numId="134" w16cid:durableId="109711069">
    <w:abstractNumId w:val="116"/>
  </w:num>
  <w:num w:numId="135" w16cid:durableId="1000740361">
    <w:abstractNumId w:val="87"/>
  </w:num>
  <w:num w:numId="136" w16cid:durableId="1956717949">
    <w:abstractNumId w:val="80"/>
  </w:num>
  <w:num w:numId="137" w16cid:durableId="1314408620">
    <w:abstractNumId w:val="107"/>
  </w:num>
  <w:num w:numId="138" w16cid:durableId="1109281770">
    <w:abstractNumId w:val="95"/>
  </w:num>
  <w:num w:numId="139" w16cid:durableId="1271010391">
    <w:abstractNumId w:val="166"/>
  </w:num>
  <w:num w:numId="140" w16cid:durableId="993755068">
    <w:abstractNumId w:val="34"/>
  </w:num>
  <w:num w:numId="141" w16cid:durableId="2116517366">
    <w:abstractNumId w:val="22"/>
  </w:num>
  <w:num w:numId="142" w16cid:durableId="255134855">
    <w:abstractNumId w:val="151"/>
  </w:num>
  <w:num w:numId="143" w16cid:durableId="1035155566">
    <w:abstractNumId w:val="64"/>
  </w:num>
  <w:num w:numId="144" w16cid:durableId="249391651">
    <w:abstractNumId w:val="12"/>
  </w:num>
  <w:num w:numId="145" w16cid:durableId="883179855">
    <w:abstractNumId w:val="46"/>
  </w:num>
  <w:num w:numId="146" w16cid:durableId="1661107839">
    <w:abstractNumId w:val="163"/>
  </w:num>
  <w:num w:numId="147" w16cid:durableId="180240286">
    <w:abstractNumId w:val="112"/>
  </w:num>
  <w:num w:numId="148" w16cid:durableId="93747275">
    <w:abstractNumId w:val="74"/>
  </w:num>
  <w:num w:numId="149" w16cid:durableId="206257742">
    <w:abstractNumId w:val="181"/>
  </w:num>
  <w:num w:numId="150" w16cid:durableId="1400901357">
    <w:abstractNumId w:val="175"/>
  </w:num>
  <w:num w:numId="151" w16cid:durableId="1066144395">
    <w:abstractNumId w:val="36"/>
  </w:num>
  <w:num w:numId="152" w16cid:durableId="908463246">
    <w:abstractNumId w:val="59"/>
  </w:num>
  <w:num w:numId="153" w16cid:durableId="775293638">
    <w:abstractNumId w:val="114"/>
  </w:num>
  <w:num w:numId="154" w16cid:durableId="1255286481">
    <w:abstractNumId w:val="155"/>
  </w:num>
  <w:num w:numId="155" w16cid:durableId="1369334338">
    <w:abstractNumId w:val="103"/>
  </w:num>
  <w:num w:numId="156" w16cid:durableId="733312678">
    <w:abstractNumId w:val="102"/>
  </w:num>
  <w:num w:numId="157" w16cid:durableId="866794290">
    <w:abstractNumId w:val="69"/>
  </w:num>
  <w:num w:numId="158" w16cid:durableId="133177527">
    <w:abstractNumId w:val="15"/>
  </w:num>
  <w:num w:numId="159" w16cid:durableId="962231815">
    <w:abstractNumId w:val="47"/>
  </w:num>
  <w:num w:numId="160" w16cid:durableId="1816406203">
    <w:abstractNumId w:val="55"/>
  </w:num>
  <w:num w:numId="161" w16cid:durableId="999308114">
    <w:abstractNumId w:val="37"/>
  </w:num>
  <w:num w:numId="162" w16cid:durableId="584412936">
    <w:abstractNumId w:val="145"/>
  </w:num>
  <w:num w:numId="163" w16cid:durableId="368453370">
    <w:abstractNumId w:val="133"/>
  </w:num>
  <w:num w:numId="164" w16cid:durableId="2096241908">
    <w:abstractNumId w:val="184"/>
  </w:num>
  <w:num w:numId="165" w16cid:durableId="51512438">
    <w:abstractNumId w:val="91"/>
  </w:num>
  <w:num w:numId="166" w16cid:durableId="827555805">
    <w:abstractNumId w:val="121"/>
  </w:num>
  <w:num w:numId="167" w16cid:durableId="917055909">
    <w:abstractNumId w:val="66"/>
  </w:num>
  <w:num w:numId="168" w16cid:durableId="256983549">
    <w:abstractNumId w:val="110"/>
  </w:num>
  <w:num w:numId="169" w16cid:durableId="1129124351">
    <w:abstractNumId w:val="31"/>
  </w:num>
  <w:num w:numId="170" w16cid:durableId="2124029288">
    <w:abstractNumId w:val="81"/>
  </w:num>
  <w:num w:numId="171" w16cid:durableId="2001691555">
    <w:abstractNumId w:val="40"/>
  </w:num>
  <w:num w:numId="172" w16cid:durableId="2136629896">
    <w:abstractNumId w:val="122"/>
  </w:num>
  <w:num w:numId="173" w16cid:durableId="967202450">
    <w:abstractNumId w:val="20"/>
  </w:num>
  <w:num w:numId="174" w16cid:durableId="2116291262">
    <w:abstractNumId w:val="115"/>
  </w:num>
  <w:num w:numId="175" w16cid:durableId="1000621384">
    <w:abstractNumId w:val="16"/>
  </w:num>
  <w:num w:numId="176" w16cid:durableId="1480339394">
    <w:abstractNumId w:val="85"/>
  </w:num>
  <w:num w:numId="177" w16cid:durableId="320080756">
    <w:abstractNumId w:val="97"/>
  </w:num>
  <w:num w:numId="178" w16cid:durableId="1134442763">
    <w:abstractNumId w:val="143"/>
  </w:num>
  <w:num w:numId="179" w16cid:durableId="1149907317">
    <w:abstractNumId w:val="130"/>
  </w:num>
  <w:num w:numId="180" w16cid:durableId="1552425071">
    <w:abstractNumId w:val="172"/>
  </w:num>
  <w:num w:numId="181" w16cid:durableId="1825046657">
    <w:abstractNumId w:val="131"/>
  </w:num>
  <w:num w:numId="182" w16cid:durableId="1021784670">
    <w:abstractNumId w:val="93"/>
  </w:num>
  <w:num w:numId="183" w16cid:durableId="1075779662">
    <w:abstractNumId w:val="76"/>
  </w:num>
  <w:num w:numId="184" w16cid:durableId="2080399309">
    <w:abstractNumId w:val="108"/>
  </w:num>
  <w:num w:numId="185" w16cid:durableId="1299339061">
    <w:abstractNumId w:val="75"/>
  </w:num>
  <w:numIdMacAtCleanup w:val="17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bVie2">
    <w15:presenceInfo w15:providerId="None" w15:userId="AbbVi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2A0"/>
    <w:rsid w:val="00000375"/>
    <w:rsid w:val="00003560"/>
    <w:rsid w:val="000036F0"/>
    <w:rsid w:val="00005E0C"/>
    <w:rsid w:val="00005EF8"/>
    <w:rsid w:val="00006C8E"/>
    <w:rsid w:val="00012B02"/>
    <w:rsid w:val="00012D36"/>
    <w:rsid w:val="00016166"/>
    <w:rsid w:val="00017FBD"/>
    <w:rsid w:val="00020595"/>
    <w:rsid w:val="000234B4"/>
    <w:rsid w:val="00024A0E"/>
    <w:rsid w:val="00026109"/>
    <w:rsid w:val="00026992"/>
    <w:rsid w:val="000277CC"/>
    <w:rsid w:val="0002784C"/>
    <w:rsid w:val="00030971"/>
    <w:rsid w:val="00030A01"/>
    <w:rsid w:val="00031757"/>
    <w:rsid w:val="0003481B"/>
    <w:rsid w:val="00034BDE"/>
    <w:rsid w:val="0003518D"/>
    <w:rsid w:val="00035608"/>
    <w:rsid w:val="00035763"/>
    <w:rsid w:val="0003637A"/>
    <w:rsid w:val="00036D4F"/>
    <w:rsid w:val="00040D46"/>
    <w:rsid w:val="000412C9"/>
    <w:rsid w:val="00041FA6"/>
    <w:rsid w:val="00042ED5"/>
    <w:rsid w:val="0004619E"/>
    <w:rsid w:val="00046E4A"/>
    <w:rsid w:val="00047604"/>
    <w:rsid w:val="00053C0C"/>
    <w:rsid w:val="000550F3"/>
    <w:rsid w:val="000554EA"/>
    <w:rsid w:val="000558DD"/>
    <w:rsid w:val="00057E4D"/>
    <w:rsid w:val="0006032A"/>
    <w:rsid w:val="00060A3E"/>
    <w:rsid w:val="00060B17"/>
    <w:rsid w:val="000610BF"/>
    <w:rsid w:val="0006111B"/>
    <w:rsid w:val="00063CCF"/>
    <w:rsid w:val="000644BD"/>
    <w:rsid w:val="000657B1"/>
    <w:rsid w:val="00067275"/>
    <w:rsid w:val="00070E50"/>
    <w:rsid w:val="00070F7D"/>
    <w:rsid w:val="00071159"/>
    <w:rsid w:val="00071E96"/>
    <w:rsid w:val="0007231B"/>
    <w:rsid w:val="000728E0"/>
    <w:rsid w:val="00072954"/>
    <w:rsid w:val="00074F1B"/>
    <w:rsid w:val="000752D2"/>
    <w:rsid w:val="00075680"/>
    <w:rsid w:val="00075F60"/>
    <w:rsid w:val="0007777F"/>
    <w:rsid w:val="000806CF"/>
    <w:rsid w:val="000815CE"/>
    <w:rsid w:val="000821DB"/>
    <w:rsid w:val="00082835"/>
    <w:rsid w:val="00082F0B"/>
    <w:rsid w:val="00085CD8"/>
    <w:rsid w:val="00085ED5"/>
    <w:rsid w:val="00085F35"/>
    <w:rsid w:val="00090620"/>
    <w:rsid w:val="0009093D"/>
    <w:rsid w:val="00090B1E"/>
    <w:rsid w:val="000919AA"/>
    <w:rsid w:val="00092159"/>
    <w:rsid w:val="00093745"/>
    <w:rsid w:val="00093F09"/>
    <w:rsid w:val="00096662"/>
    <w:rsid w:val="00096E24"/>
    <w:rsid w:val="000A0D77"/>
    <w:rsid w:val="000A1999"/>
    <w:rsid w:val="000A1E2A"/>
    <w:rsid w:val="000A3565"/>
    <w:rsid w:val="000A65DC"/>
    <w:rsid w:val="000A6B15"/>
    <w:rsid w:val="000B3FE3"/>
    <w:rsid w:val="000B426B"/>
    <w:rsid w:val="000B7D0F"/>
    <w:rsid w:val="000C0AA3"/>
    <w:rsid w:val="000C224C"/>
    <w:rsid w:val="000C4CC9"/>
    <w:rsid w:val="000C51DF"/>
    <w:rsid w:val="000C532F"/>
    <w:rsid w:val="000C7914"/>
    <w:rsid w:val="000D10C2"/>
    <w:rsid w:val="000D1418"/>
    <w:rsid w:val="000D2749"/>
    <w:rsid w:val="000D5D61"/>
    <w:rsid w:val="000D69E9"/>
    <w:rsid w:val="000E07B0"/>
    <w:rsid w:val="000E0DB5"/>
    <w:rsid w:val="000E1CF5"/>
    <w:rsid w:val="000F033A"/>
    <w:rsid w:val="000F0FD1"/>
    <w:rsid w:val="000F241E"/>
    <w:rsid w:val="000F24AC"/>
    <w:rsid w:val="000F2DE8"/>
    <w:rsid w:val="000F4BA0"/>
    <w:rsid w:val="000F4F59"/>
    <w:rsid w:val="000F5827"/>
    <w:rsid w:val="000F7101"/>
    <w:rsid w:val="001008EA"/>
    <w:rsid w:val="00101782"/>
    <w:rsid w:val="00101D63"/>
    <w:rsid w:val="00102FC8"/>
    <w:rsid w:val="0010302F"/>
    <w:rsid w:val="001034C0"/>
    <w:rsid w:val="00103AA2"/>
    <w:rsid w:val="001114A4"/>
    <w:rsid w:val="001126E0"/>
    <w:rsid w:val="00112C97"/>
    <w:rsid w:val="00112EE3"/>
    <w:rsid w:val="0011472B"/>
    <w:rsid w:val="0011498D"/>
    <w:rsid w:val="001157F2"/>
    <w:rsid w:val="00116EA1"/>
    <w:rsid w:val="0011744A"/>
    <w:rsid w:val="0011775F"/>
    <w:rsid w:val="001178F4"/>
    <w:rsid w:val="00117ED5"/>
    <w:rsid w:val="00120C36"/>
    <w:rsid w:val="00122199"/>
    <w:rsid w:val="0012250B"/>
    <w:rsid w:val="00122F78"/>
    <w:rsid w:val="00122F85"/>
    <w:rsid w:val="00123364"/>
    <w:rsid w:val="001242C2"/>
    <w:rsid w:val="001253B7"/>
    <w:rsid w:val="00125AE3"/>
    <w:rsid w:val="00127516"/>
    <w:rsid w:val="00127AF9"/>
    <w:rsid w:val="00127FFD"/>
    <w:rsid w:val="001305EF"/>
    <w:rsid w:val="0013275C"/>
    <w:rsid w:val="00134325"/>
    <w:rsid w:val="00135B54"/>
    <w:rsid w:val="001364E9"/>
    <w:rsid w:val="00137149"/>
    <w:rsid w:val="001377E3"/>
    <w:rsid w:val="00137CFB"/>
    <w:rsid w:val="00140561"/>
    <w:rsid w:val="00140752"/>
    <w:rsid w:val="001409A7"/>
    <w:rsid w:val="00141394"/>
    <w:rsid w:val="001420EB"/>
    <w:rsid w:val="00142853"/>
    <w:rsid w:val="00142C8C"/>
    <w:rsid w:val="0014779C"/>
    <w:rsid w:val="00147853"/>
    <w:rsid w:val="00152BF6"/>
    <w:rsid w:val="001545C2"/>
    <w:rsid w:val="00154AA2"/>
    <w:rsid w:val="00154C95"/>
    <w:rsid w:val="00155965"/>
    <w:rsid w:val="00155F9A"/>
    <w:rsid w:val="00156DAD"/>
    <w:rsid w:val="0016077D"/>
    <w:rsid w:val="0016206C"/>
    <w:rsid w:val="001626B4"/>
    <w:rsid w:val="00163483"/>
    <w:rsid w:val="001641A2"/>
    <w:rsid w:val="00164875"/>
    <w:rsid w:val="00166A51"/>
    <w:rsid w:val="00167156"/>
    <w:rsid w:val="00167385"/>
    <w:rsid w:val="00171175"/>
    <w:rsid w:val="001712F4"/>
    <w:rsid w:val="001729C1"/>
    <w:rsid w:val="001738AA"/>
    <w:rsid w:val="00174CC6"/>
    <w:rsid w:val="00174CD0"/>
    <w:rsid w:val="00174D30"/>
    <w:rsid w:val="00176C6F"/>
    <w:rsid w:val="001772C9"/>
    <w:rsid w:val="00180B6A"/>
    <w:rsid w:val="0018238D"/>
    <w:rsid w:val="00182D4E"/>
    <w:rsid w:val="001842AB"/>
    <w:rsid w:val="00184BF5"/>
    <w:rsid w:val="00185B88"/>
    <w:rsid w:val="0018667B"/>
    <w:rsid w:val="00187CED"/>
    <w:rsid w:val="0019143F"/>
    <w:rsid w:val="00191526"/>
    <w:rsid w:val="00191BE7"/>
    <w:rsid w:val="00192392"/>
    <w:rsid w:val="00192FD7"/>
    <w:rsid w:val="0019560B"/>
    <w:rsid w:val="001968CF"/>
    <w:rsid w:val="00197095"/>
    <w:rsid w:val="00197239"/>
    <w:rsid w:val="001A1E51"/>
    <w:rsid w:val="001A299A"/>
    <w:rsid w:val="001A3DC2"/>
    <w:rsid w:val="001A5C4E"/>
    <w:rsid w:val="001A67E9"/>
    <w:rsid w:val="001A6B78"/>
    <w:rsid w:val="001B4951"/>
    <w:rsid w:val="001B50B6"/>
    <w:rsid w:val="001B54B4"/>
    <w:rsid w:val="001B64BC"/>
    <w:rsid w:val="001B7DFD"/>
    <w:rsid w:val="001D3CA7"/>
    <w:rsid w:val="001D3CF2"/>
    <w:rsid w:val="001D5656"/>
    <w:rsid w:val="001D65CF"/>
    <w:rsid w:val="001D79C6"/>
    <w:rsid w:val="001E0AF0"/>
    <w:rsid w:val="001E0ED8"/>
    <w:rsid w:val="001E16B7"/>
    <w:rsid w:val="001E244D"/>
    <w:rsid w:val="001E41D6"/>
    <w:rsid w:val="001E4510"/>
    <w:rsid w:val="001E4A60"/>
    <w:rsid w:val="001E4E3E"/>
    <w:rsid w:val="001E662E"/>
    <w:rsid w:val="001E68AA"/>
    <w:rsid w:val="001F0C03"/>
    <w:rsid w:val="001F27FE"/>
    <w:rsid w:val="001F5907"/>
    <w:rsid w:val="001F6824"/>
    <w:rsid w:val="001F76D6"/>
    <w:rsid w:val="001F79B0"/>
    <w:rsid w:val="002022F7"/>
    <w:rsid w:val="002025D1"/>
    <w:rsid w:val="00202ABA"/>
    <w:rsid w:val="00202AE8"/>
    <w:rsid w:val="00203406"/>
    <w:rsid w:val="00204580"/>
    <w:rsid w:val="00204AC6"/>
    <w:rsid w:val="00210ECC"/>
    <w:rsid w:val="002112C5"/>
    <w:rsid w:val="00211E06"/>
    <w:rsid w:val="00211FD0"/>
    <w:rsid w:val="00212B10"/>
    <w:rsid w:val="0021479C"/>
    <w:rsid w:val="00214D34"/>
    <w:rsid w:val="002170C9"/>
    <w:rsid w:val="00217FAC"/>
    <w:rsid w:val="00225696"/>
    <w:rsid w:val="002275ED"/>
    <w:rsid w:val="0023287C"/>
    <w:rsid w:val="0023344C"/>
    <w:rsid w:val="002339BF"/>
    <w:rsid w:val="002355AF"/>
    <w:rsid w:val="002426D6"/>
    <w:rsid w:val="00243203"/>
    <w:rsid w:val="00243E50"/>
    <w:rsid w:val="0024491E"/>
    <w:rsid w:val="002501BC"/>
    <w:rsid w:val="00250B06"/>
    <w:rsid w:val="0025198D"/>
    <w:rsid w:val="00254140"/>
    <w:rsid w:val="0025563F"/>
    <w:rsid w:val="00256262"/>
    <w:rsid w:val="00257246"/>
    <w:rsid w:val="002620E0"/>
    <w:rsid w:val="0026483D"/>
    <w:rsid w:val="0026770E"/>
    <w:rsid w:val="00267C89"/>
    <w:rsid w:val="00270770"/>
    <w:rsid w:val="0027280F"/>
    <w:rsid w:val="0027333A"/>
    <w:rsid w:val="002740E6"/>
    <w:rsid w:val="00275378"/>
    <w:rsid w:val="00275685"/>
    <w:rsid w:val="00276E13"/>
    <w:rsid w:val="00277153"/>
    <w:rsid w:val="00281283"/>
    <w:rsid w:val="00282384"/>
    <w:rsid w:val="00283B1B"/>
    <w:rsid w:val="002840D7"/>
    <w:rsid w:val="00284968"/>
    <w:rsid w:val="0028623F"/>
    <w:rsid w:val="0029007D"/>
    <w:rsid w:val="002917C9"/>
    <w:rsid w:val="002918AC"/>
    <w:rsid w:val="002925ED"/>
    <w:rsid w:val="0029286D"/>
    <w:rsid w:val="00293AA5"/>
    <w:rsid w:val="002962CD"/>
    <w:rsid w:val="00297A32"/>
    <w:rsid w:val="002A17B6"/>
    <w:rsid w:val="002A3BA6"/>
    <w:rsid w:val="002A563C"/>
    <w:rsid w:val="002A67D5"/>
    <w:rsid w:val="002A7154"/>
    <w:rsid w:val="002A7CC6"/>
    <w:rsid w:val="002B1836"/>
    <w:rsid w:val="002B1873"/>
    <w:rsid w:val="002B1B8A"/>
    <w:rsid w:val="002B1D84"/>
    <w:rsid w:val="002B2441"/>
    <w:rsid w:val="002B24DC"/>
    <w:rsid w:val="002B2A61"/>
    <w:rsid w:val="002B3706"/>
    <w:rsid w:val="002B4742"/>
    <w:rsid w:val="002B5913"/>
    <w:rsid w:val="002B66F3"/>
    <w:rsid w:val="002B6C48"/>
    <w:rsid w:val="002B6CA3"/>
    <w:rsid w:val="002B761E"/>
    <w:rsid w:val="002B7F41"/>
    <w:rsid w:val="002C2941"/>
    <w:rsid w:val="002C78FD"/>
    <w:rsid w:val="002C7955"/>
    <w:rsid w:val="002D1DA8"/>
    <w:rsid w:val="002D2EE4"/>
    <w:rsid w:val="002D31C1"/>
    <w:rsid w:val="002D4DE5"/>
    <w:rsid w:val="002D4EB6"/>
    <w:rsid w:val="002E0AB3"/>
    <w:rsid w:val="002E1DDB"/>
    <w:rsid w:val="002E2E75"/>
    <w:rsid w:val="002E3152"/>
    <w:rsid w:val="002E4541"/>
    <w:rsid w:val="002E4828"/>
    <w:rsid w:val="002E663A"/>
    <w:rsid w:val="002E6F3C"/>
    <w:rsid w:val="002E704B"/>
    <w:rsid w:val="002E762D"/>
    <w:rsid w:val="002F1ECA"/>
    <w:rsid w:val="002F2449"/>
    <w:rsid w:val="002F314C"/>
    <w:rsid w:val="002F3216"/>
    <w:rsid w:val="002F486F"/>
    <w:rsid w:val="002F618D"/>
    <w:rsid w:val="002F6811"/>
    <w:rsid w:val="00305D7B"/>
    <w:rsid w:val="0031096F"/>
    <w:rsid w:val="00311D2C"/>
    <w:rsid w:val="0031288A"/>
    <w:rsid w:val="00312D3D"/>
    <w:rsid w:val="003167C2"/>
    <w:rsid w:val="00317803"/>
    <w:rsid w:val="0032371C"/>
    <w:rsid w:val="003255A9"/>
    <w:rsid w:val="00330BCC"/>
    <w:rsid w:val="00331062"/>
    <w:rsid w:val="003314B2"/>
    <w:rsid w:val="0033187E"/>
    <w:rsid w:val="00331BCF"/>
    <w:rsid w:val="00331F8A"/>
    <w:rsid w:val="00332442"/>
    <w:rsid w:val="00336928"/>
    <w:rsid w:val="0034241F"/>
    <w:rsid w:val="00342BDA"/>
    <w:rsid w:val="00343089"/>
    <w:rsid w:val="003446F1"/>
    <w:rsid w:val="00344E5E"/>
    <w:rsid w:val="00345814"/>
    <w:rsid w:val="00346547"/>
    <w:rsid w:val="0035376C"/>
    <w:rsid w:val="0035701C"/>
    <w:rsid w:val="003570FF"/>
    <w:rsid w:val="00361246"/>
    <w:rsid w:val="00361443"/>
    <w:rsid w:val="003628CF"/>
    <w:rsid w:val="00365BEE"/>
    <w:rsid w:val="0036673C"/>
    <w:rsid w:val="00366F92"/>
    <w:rsid w:val="00367A9E"/>
    <w:rsid w:val="00372684"/>
    <w:rsid w:val="00372D0D"/>
    <w:rsid w:val="003737B0"/>
    <w:rsid w:val="003741D0"/>
    <w:rsid w:val="0037510D"/>
    <w:rsid w:val="00376451"/>
    <w:rsid w:val="00377C21"/>
    <w:rsid w:val="00377CEE"/>
    <w:rsid w:val="00381888"/>
    <w:rsid w:val="00384E8F"/>
    <w:rsid w:val="00385E32"/>
    <w:rsid w:val="00390D91"/>
    <w:rsid w:val="00391AD8"/>
    <w:rsid w:val="0039521D"/>
    <w:rsid w:val="00395D60"/>
    <w:rsid w:val="003A08D5"/>
    <w:rsid w:val="003A12AC"/>
    <w:rsid w:val="003A1AEF"/>
    <w:rsid w:val="003A1E9A"/>
    <w:rsid w:val="003A2398"/>
    <w:rsid w:val="003A33F1"/>
    <w:rsid w:val="003A3548"/>
    <w:rsid w:val="003A4405"/>
    <w:rsid w:val="003A4C51"/>
    <w:rsid w:val="003A732E"/>
    <w:rsid w:val="003B2051"/>
    <w:rsid w:val="003B276F"/>
    <w:rsid w:val="003B4BA6"/>
    <w:rsid w:val="003B5C55"/>
    <w:rsid w:val="003B7529"/>
    <w:rsid w:val="003B7C3A"/>
    <w:rsid w:val="003C18B1"/>
    <w:rsid w:val="003C1CE1"/>
    <w:rsid w:val="003C277E"/>
    <w:rsid w:val="003C391D"/>
    <w:rsid w:val="003C4A29"/>
    <w:rsid w:val="003C5B52"/>
    <w:rsid w:val="003C6698"/>
    <w:rsid w:val="003D0BC0"/>
    <w:rsid w:val="003D0FAD"/>
    <w:rsid w:val="003D108D"/>
    <w:rsid w:val="003D294B"/>
    <w:rsid w:val="003D3C3B"/>
    <w:rsid w:val="003D5DB6"/>
    <w:rsid w:val="003D66D7"/>
    <w:rsid w:val="003D7D06"/>
    <w:rsid w:val="003E1601"/>
    <w:rsid w:val="003E37F6"/>
    <w:rsid w:val="003E3AA9"/>
    <w:rsid w:val="003E5033"/>
    <w:rsid w:val="003E54FD"/>
    <w:rsid w:val="003E58D4"/>
    <w:rsid w:val="003E67D6"/>
    <w:rsid w:val="003F613C"/>
    <w:rsid w:val="003F6638"/>
    <w:rsid w:val="00401F39"/>
    <w:rsid w:val="00402C9E"/>
    <w:rsid w:val="00403245"/>
    <w:rsid w:val="004039BB"/>
    <w:rsid w:val="0041015F"/>
    <w:rsid w:val="00412500"/>
    <w:rsid w:val="00412728"/>
    <w:rsid w:val="00412FC8"/>
    <w:rsid w:val="00413323"/>
    <w:rsid w:val="00414F86"/>
    <w:rsid w:val="00415E2D"/>
    <w:rsid w:val="00416A8C"/>
    <w:rsid w:val="004176CD"/>
    <w:rsid w:val="00420047"/>
    <w:rsid w:val="0042094C"/>
    <w:rsid w:val="00421006"/>
    <w:rsid w:val="00421B10"/>
    <w:rsid w:val="00421DAF"/>
    <w:rsid w:val="00425141"/>
    <w:rsid w:val="0042571F"/>
    <w:rsid w:val="00427500"/>
    <w:rsid w:val="00427B90"/>
    <w:rsid w:val="00431557"/>
    <w:rsid w:val="004317DD"/>
    <w:rsid w:val="00431BF1"/>
    <w:rsid w:val="004333B5"/>
    <w:rsid w:val="00433BBF"/>
    <w:rsid w:val="00433CBB"/>
    <w:rsid w:val="00434FDF"/>
    <w:rsid w:val="00435AA4"/>
    <w:rsid w:val="004362CE"/>
    <w:rsid w:val="00437552"/>
    <w:rsid w:val="00442754"/>
    <w:rsid w:val="0044327F"/>
    <w:rsid w:val="00444043"/>
    <w:rsid w:val="004462A0"/>
    <w:rsid w:val="0044722C"/>
    <w:rsid w:val="00447847"/>
    <w:rsid w:val="004504BA"/>
    <w:rsid w:val="004508D5"/>
    <w:rsid w:val="00450998"/>
    <w:rsid w:val="00450A03"/>
    <w:rsid w:val="004524F6"/>
    <w:rsid w:val="004536E5"/>
    <w:rsid w:val="00454F99"/>
    <w:rsid w:val="00456838"/>
    <w:rsid w:val="00457382"/>
    <w:rsid w:val="004574C8"/>
    <w:rsid w:val="00464189"/>
    <w:rsid w:val="00464B70"/>
    <w:rsid w:val="00467FA3"/>
    <w:rsid w:val="00470B48"/>
    <w:rsid w:val="00472095"/>
    <w:rsid w:val="00472F82"/>
    <w:rsid w:val="00474252"/>
    <w:rsid w:val="00475D7E"/>
    <w:rsid w:val="004770A0"/>
    <w:rsid w:val="004777FE"/>
    <w:rsid w:val="00477A1B"/>
    <w:rsid w:val="00480FCA"/>
    <w:rsid w:val="00481DED"/>
    <w:rsid w:val="00482808"/>
    <w:rsid w:val="00483520"/>
    <w:rsid w:val="00486179"/>
    <w:rsid w:val="004863CB"/>
    <w:rsid w:val="00486A03"/>
    <w:rsid w:val="00490B63"/>
    <w:rsid w:val="00491A73"/>
    <w:rsid w:val="004928A0"/>
    <w:rsid w:val="00492E45"/>
    <w:rsid w:val="004931CE"/>
    <w:rsid w:val="00497512"/>
    <w:rsid w:val="00497F47"/>
    <w:rsid w:val="004A0618"/>
    <w:rsid w:val="004A2092"/>
    <w:rsid w:val="004A2528"/>
    <w:rsid w:val="004A41F7"/>
    <w:rsid w:val="004A4EC2"/>
    <w:rsid w:val="004A6A74"/>
    <w:rsid w:val="004A71E6"/>
    <w:rsid w:val="004B42F6"/>
    <w:rsid w:val="004B43E3"/>
    <w:rsid w:val="004B66CF"/>
    <w:rsid w:val="004B67CB"/>
    <w:rsid w:val="004B6AAF"/>
    <w:rsid w:val="004B6D49"/>
    <w:rsid w:val="004C0021"/>
    <w:rsid w:val="004C0184"/>
    <w:rsid w:val="004C064C"/>
    <w:rsid w:val="004C27CA"/>
    <w:rsid w:val="004C2DF2"/>
    <w:rsid w:val="004C45D6"/>
    <w:rsid w:val="004C534C"/>
    <w:rsid w:val="004C6F1A"/>
    <w:rsid w:val="004C7CB8"/>
    <w:rsid w:val="004D006C"/>
    <w:rsid w:val="004D010F"/>
    <w:rsid w:val="004D2A1C"/>
    <w:rsid w:val="004D2A92"/>
    <w:rsid w:val="004D4741"/>
    <w:rsid w:val="004D5D22"/>
    <w:rsid w:val="004D5D58"/>
    <w:rsid w:val="004D623B"/>
    <w:rsid w:val="004D6803"/>
    <w:rsid w:val="004D7257"/>
    <w:rsid w:val="004E0FDB"/>
    <w:rsid w:val="004E18EF"/>
    <w:rsid w:val="004E29A4"/>
    <w:rsid w:val="004E38D3"/>
    <w:rsid w:val="004E3E05"/>
    <w:rsid w:val="004E4E6E"/>
    <w:rsid w:val="004E50D0"/>
    <w:rsid w:val="004E51CA"/>
    <w:rsid w:val="004E5D75"/>
    <w:rsid w:val="004E766C"/>
    <w:rsid w:val="004F021E"/>
    <w:rsid w:val="004F0FBC"/>
    <w:rsid w:val="004F0FDB"/>
    <w:rsid w:val="004F1B93"/>
    <w:rsid w:val="004F27D7"/>
    <w:rsid w:val="004F2E54"/>
    <w:rsid w:val="004F2F0D"/>
    <w:rsid w:val="004F2F3E"/>
    <w:rsid w:val="004F4910"/>
    <w:rsid w:val="004F5A36"/>
    <w:rsid w:val="004F7F3A"/>
    <w:rsid w:val="005021AB"/>
    <w:rsid w:val="005027F5"/>
    <w:rsid w:val="00502CD5"/>
    <w:rsid w:val="005049F7"/>
    <w:rsid w:val="00504ADB"/>
    <w:rsid w:val="00504AE2"/>
    <w:rsid w:val="0050581A"/>
    <w:rsid w:val="00505E4D"/>
    <w:rsid w:val="00506235"/>
    <w:rsid w:val="00506582"/>
    <w:rsid w:val="0050748E"/>
    <w:rsid w:val="00507965"/>
    <w:rsid w:val="00510BC4"/>
    <w:rsid w:val="0051177F"/>
    <w:rsid w:val="00511D10"/>
    <w:rsid w:val="00513B95"/>
    <w:rsid w:val="00514C16"/>
    <w:rsid w:val="00514D74"/>
    <w:rsid w:val="0051646D"/>
    <w:rsid w:val="00517014"/>
    <w:rsid w:val="005212CE"/>
    <w:rsid w:val="005253AF"/>
    <w:rsid w:val="0053002F"/>
    <w:rsid w:val="005307A8"/>
    <w:rsid w:val="00533063"/>
    <w:rsid w:val="00533CFB"/>
    <w:rsid w:val="00536ED5"/>
    <w:rsid w:val="00544D7F"/>
    <w:rsid w:val="00547171"/>
    <w:rsid w:val="00547396"/>
    <w:rsid w:val="00547FDC"/>
    <w:rsid w:val="005513E0"/>
    <w:rsid w:val="00551808"/>
    <w:rsid w:val="00554634"/>
    <w:rsid w:val="00556837"/>
    <w:rsid w:val="005619A2"/>
    <w:rsid w:val="00564B77"/>
    <w:rsid w:val="00566892"/>
    <w:rsid w:val="00570253"/>
    <w:rsid w:val="00571C82"/>
    <w:rsid w:val="00572C7B"/>
    <w:rsid w:val="00573B3A"/>
    <w:rsid w:val="0057609E"/>
    <w:rsid w:val="0057678E"/>
    <w:rsid w:val="00576E17"/>
    <w:rsid w:val="00577833"/>
    <w:rsid w:val="00580DAA"/>
    <w:rsid w:val="00581BAF"/>
    <w:rsid w:val="00586D42"/>
    <w:rsid w:val="00587987"/>
    <w:rsid w:val="00590E59"/>
    <w:rsid w:val="00593BA5"/>
    <w:rsid w:val="00594E93"/>
    <w:rsid w:val="005955F5"/>
    <w:rsid w:val="00595C42"/>
    <w:rsid w:val="005972D0"/>
    <w:rsid w:val="00597FBB"/>
    <w:rsid w:val="005A0507"/>
    <w:rsid w:val="005A1CF4"/>
    <w:rsid w:val="005A3FC0"/>
    <w:rsid w:val="005A40C0"/>
    <w:rsid w:val="005A576B"/>
    <w:rsid w:val="005A6069"/>
    <w:rsid w:val="005A645F"/>
    <w:rsid w:val="005A7CF3"/>
    <w:rsid w:val="005B0539"/>
    <w:rsid w:val="005B0B80"/>
    <w:rsid w:val="005B0CCF"/>
    <w:rsid w:val="005B24D2"/>
    <w:rsid w:val="005B2AB5"/>
    <w:rsid w:val="005B34E8"/>
    <w:rsid w:val="005B6638"/>
    <w:rsid w:val="005B795C"/>
    <w:rsid w:val="005B7E61"/>
    <w:rsid w:val="005C0FF3"/>
    <w:rsid w:val="005C1C05"/>
    <w:rsid w:val="005C2C36"/>
    <w:rsid w:val="005C49DA"/>
    <w:rsid w:val="005C6FE0"/>
    <w:rsid w:val="005C75FC"/>
    <w:rsid w:val="005D2ECC"/>
    <w:rsid w:val="005D50DB"/>
    <w:rsid w:val="005D73F4"/>
    <w:rsid w:val="005E03BA"/>
    <w:rsid w:val="005E1905"/>
    <w:rsid w:val="005E2992"/>
    <w:rsid w:val="005E3DFC"/>
    <w:rsid w:val="005E450E"/>
    <w:rsid w:val="005E4B70"/>
    <w:rsid w:val="005E5956"/>
    <w:rsid w:val="005E5DB2"/>
    <w:rsid w:val="005E622E"/>
    <w:rsid w:val="005E65AF"/>
    <w:rsid w:val="005E708A"/>
    <w:rsid w:val="005F0894"/>
    <w:rsid w:val="005F3E68"/>
    <w:rsid w:val="005F6F98"/>
    <w:rsid w:val="005F79FA"/>
    <w:rsid w:val="005F7A16"/>
    <w:rsid w:val="00601734"/>
    <w:rsid w:val="00603D9C"/>
    <w:rsid w:val="006057F6"/>
    <w:rsid w:val="006107BB"/>
    <w:rsid w:val="00612E98"/>
    <w:rsid w:val="00613AB0"/>
    <w:rsid w:val="00613B96"/>
    <w:rsid w:val="006154D7"/>
    <w:rsid w:val="00615769"/>
    <w:rsid w:val="00615DED"/>
    <w:rsid w:val="00616E2A"/>
    <w:rsid w:val="00620828"/>
    <w:rsid w:val="00620DAC"/>
    <w:rsid w:val="00624492"/>
    <w:rsid w:val="00624AC4"/>
    <w:rsid w:val="00625E2D"/>
    <w:rsid w:val="00626F07"/>
    <w:rsid w:val="006329B1"/>
    <w:rsid w:val="00634559"/>
    <w:rsid w:val="00635048"/>
    <w:rsid w:val="00635AC6"/>
    <w:rsid w:val="006361FE"/>
    <w:rsid w:val="00636825"/>
    <w:rsid w:val="006374AC"/>
    <w:rsid w:val="00640462"/>
    <w:rsid w:val="00642655"/>
    <w:rsid w:val="0064352A"/>
    <w:rsid w:val="006462E3"/>
    <w:rsid w:val="00653128"/>
    <w:rsid w:val="006566C4"/>
    <w:rsid w:val="006576D5"/>
    <w:rsid w:val="00663140"/>
    <w:rsid w:val="006649C6"/>
    <w:rsid w:val="00665B09"/>
    <w:rsid w:val="006663BA"/>
    <w:rsid w:val="00671FF6"/>
    <w:rsid w:val="0067252B"/>
    <w:rsid w:val="006740B7"/>
    <w:rsid w:val="00674219"/>
    <w:rsid w:val="00675DF0"/>
    <w:rsid w:val="00676003"/>
    <w:rsid w:val="006764A4"/>
    <w:rsid w:val="00676A46"/>
    <w:rsid w:val="006774A2"/>
    <w:rsid w:val="00681424"/>
    <w:rsid w:val="0068159A"/>
    <w:rsid w:val="006819E5"/>
    <w:rsid w:val="00682B79"/>
    <w:rsid w:val="00683E8D"/>
    <w:rsid w:val="0068416B"/>
    <w:rsid w:val="00684AF9"/>
    <w:rsid w:val="00685047"/>
    <w:rsid w:val="0068697B"/>
    <w:rsid w:val="00686D4F"/>
    <w:rsid w:val="00687303"/>
    <w:rsid w:val="006879AE"/>
    <w:rsid w:val="00690057"/>
    <w:rsid w:val="00691603"/>
    <w:rsid w:val="0069244F"/>
    <w:rsid w:val="006A233C"/>
    <w:rsid w:val="006A3BD4"/>
    <w:rsid w:val="006A5654"/>
    <w:rsid w:val="006A794B"/>
    <w:rsid w:val="006B04AC"/>
    <w:rsid w:val="006B2D48"/>
    <w:rsid w:val="006B3477"/>
    <w:rsid w:val="006B45B1"/>
    <w:rsid w:val="006B4DB1"/>
    <w:rsid w:val="006B562E"/>
    <w:rsid w:val="006B5F73"/>
    <w:rsid w:val="006B783E"/>
    <w:rsid w:val="006B7CB4"/>
    <w:rsid w:val="006C0045"/>
    <w:rsid w:val="006C0CC4"/>
    <w:rsid w:val="006C1C99"/>
    <w:rsid w:val="006C2AB4"/>
    <w:rsid w:val="006C6F8E"/>
    <w:rsid w:val="006C73C4"/>
    <w:rsid w:val="006D5FCE"/>
    <w:rsid w:val="006D627D"/>
    <w:rsid w:val="006D79D1"/>
    <w:rsid w:val="006E0C12"/>
    <w:rsid w:val="006E0DC1"/>
    <w:rsid w:val="006E15E8"/>
    <w:rsid w:val="006E288B"/>
    <w:rsid w:val="006E33AB"/>
    <w:rsid w:val="006E6134"/>
    <w:rsid w:val="006E6749"/>
    <w:rsid w:val="006F025B"/>
    <w:rsid w:val="006F3656"/>
    <w:rsid w:val="006F377F"/>
    <w:rsid w:val="006F6F32"/>
    <w:rsid w:val="006F6F6B"/>
    <w:rsid w:val="006F7D10"/>
    <w:rsid w:val="006F7D34"/>
    <w:rsid w:val="006F7F6A"/>
    <w:rsid w:val="00702B42"/>
    <w:rsid w:val="0070495A"/>
    <w:rsid w:val="0070539E"/>
    <w:rsid w:val="007068A6"/>
    <w:rsid w:val="00706CCD"/>
    <w:rsid w:val="00707B8C"/>
    <w:rsid w:val="0071248B"/>
    <w:rsid w:val="00712E4D"/>
    <w:rsid w:val="00712F4C"/>
    <w:rsid w:val="0071535A"/>
    <w:rsid w:val="00716239"/>
    <w:rsid w:val="0071746E"/>
    <w:rsid w:val="00720C9C"/>
    <w:rsid w:val="007217E3"/>
    <w:rsid w:val="00723763"/>
    <w:rsid w:val="0072666C"/>
    <w:rsid w:val="00727D18"/>
    <w:rsid w:val="00733416"/>
    <w:rsid w:val="007346E8"/>
    <w:rsid w:val="007365DF"/>
    <w:rsid w:val="00736F9F"/>
    <w:rsid w:val="00737C40"/>
    <w:rsid w:val="00740D97"/>
    <w:rsid w:val="00740DE7"/>
    <w:rsid w:val="007416AA"/>
    <w:rsid w:val="0074276E"/>
    <w:rsid w:val="007440D7"/>
    <w:rsid w:val="007457EC"/>
    <w:rsid w:val="007460BC"/>
    <w:rsid w:val="0074724A"/>
    <w:rsid w:val="0074737D"/>
    <w:rsid w:val="00747CB2"/>
    <w:rsid w:val="007507AB"/>
    <w:rsid w:val="00750C9C"/>
    <w:rsid w:val="00750D41"/>
    <w:rsid w:val="00751F0E"/>
    <w:rsid w:val="00756D1A"/>
    <w:rsid w:val="00757720"/>
    <w:rsid w:val="00762634"/>
    <w:rsid w:val="00763569"/>
    <w:rsid w:val="00763DB3"/>
    <w:rsid w:val="00765805"/>
    <w:rsid w:val="0076581C"/>
    <w:rsid w:val="00765EB6"/>
    <w:rsid w:val="007679FF"/>
    <w:rsid w:val="00767B8A"/>
    <w:rsid w:val="00767DE3"/>
    <w:rsid w:val="00770229"/>
    <w:rsid w:val="00771456"/>
    <w:rsid w:val="00771F8E"/>
    <w:rsid w:val="00773B4A"/>
    <w:rsid w:val="0077545E"/>
    <w:rsid w:val="007763FB"/>
    <w:rsid w:val="00781925"/>
    <w:rsid w:val="00782056"/>
    <w:rsid w:val="00782FAB"/>
    <w:rsid w:val="00784C05"/>
    <w:rsid w:val="00784D09"/>
    <w:rsid w:val="00785534"/>
    <w:rsid w:val="00785885"/>
    <w:rsid w:val="007901D0"/>
    <w:rsid w:val="00790398"/>
    <w:rsid w:val="007916BF"/>
    <w:rsid w:val="00792761"/>
    <w:rsid w:val="00794A65"/>
    <w:rsid w:val="00794F26"/>
    <w:rsid w:val="007960C9"/>
    <w:rsid w:val="007A15C2"/>
    <w:rsid w:val="007A1D1B"/>
    <w:rsid w:val="007A3705"/>
    <w:rsid w:val="007A4CB6"/>
    <w:rsid w:val="007A4E33"/>
    <w:rsid w:val="007A7A43"/>
    <w:rsid w:val="007B1DFC"/>
    <w:rsid w:val="007B1EB2"/>
    <w:rsid w:val="007B2153"/>
    <w:rsid w:val="007B634B"/>
    <w:rsid w:val="007C13BC"/>
    <w:rsid w:val="007C2D3E"/>
    <w:rsid w:val="007C3593"/>
    <w:rsid w:val="007C6926"/>
    <w:rsid w:val="007C6A44"/>
    <w:rsid w:val="007C6FBE"/>
    <w:rsid w:val="007C7304"/>
    <w:rsid w:val="007C756E"/>
    <w:rsid w:val="007C7D86"/>
    <w:rsid w:val="007D0200"/>
    <w:rsid w:val="007D08AF"/>
    <w:rsid w:val="007D1DA9"/>
    <w:rsid w:val="007D25DB"/>
    <w:rsid w:val="007D3C14"/>
    <w:rsid w:val="007D406F"/>
    <w:rsid w:val="007D4890"/>
    <w:rsid w:val="007D4ED2"/>
    <w:rsid w:val="007D5514"/>
    <w:rsid w:val="007D762F"/>
    <w:rsid w:val="007E3545"/>
    <w:rsid w:val="007E470F"/>
    <w:rsid w:val="007E6B56"/>
    <w:rsid w:val="007F018D"/>
    <w:rsid w:val="007F0A96"/>
    <w:rsid w:val="007F52B0"/>
    <w:rsid w:val="007F544F"/>
    <w:rsid w:val="007F623A"/>
    <w:rsid w:val="008004F8"/>
    <w:rsid w:val="00800A92"/>
    <w:rsid w:val="00801616"/>
    <w:rsid w:val="00801AC0"/>
    <w:rsid w:val="00802221"/>
    <w:rsid w:val="00803B25"/>
    <w:rsid w:val="00804480"/>
    <w:rsid w:val="00806748"/>
    <w:rsid w:val="008070A7"/>
    <w:rsid w:val="008123C1"/>
    <w:rsid w:val="00813F73"/>
    <w:rsid w:val="00814394"/>
    <w:rsid w:val="0081699E"/>
    <w:rsid w:val="00816FFE"/>
    <w:rsid w:val="00817CA9"/>
    <w:rsid w:val="00817E9D"/>
    <w:rsid w:val="00820951"/>
    <w:rsid w:val="00821A9B"/>
    <w:rsid w:val="00821AA1"/>
    <w:rsid w:val="0082206C"/>
    <w:rsid w:val="0082266B"/>
    <w:rsid w:val="0082333B"/>
    <w:rsid w:val="008234D6"/>
    <w:rsid w:val="00824537"/>
    <w:rsid w:val="00824CA3"/>
    <w:rsid w:val="008256D9"/>
    <w:rsid w:val="00825A68"/>
    <w:rsid w:val="0082669E"/>
    <w:rsid w:val="008324B5"/>
    <w:rsid w:val="00833083"/>
    <w:rsid w:val="0083458C"/>
    <w:rsid w:val="008358AC"/>
    <w:rsid w:val="00835AFF"/>
    <w:rsid w:val="00835DDA"/>
    <w:rsid w:val="008365E9"/>
    <w:rsid w:val="00836794"/>
    <w:rsid w:val="008369E4"/>
    <w:rsid w:val="008379D4"/>
    <w:rsid w:val="00837F0E"/>
    <w:rsid w:val="00840424"/>
    <w:rsid w:val="008407E0"/>
    <w:rsid w:val="00842E29"/>
    <w:rsid w:val="0084367E"/>
    <w:rsid w:val="00845229"/>
    <w:rsid w:val="00851774"/>
    <w:rsid w:val="008540C3"/>
    <w:rsid w:val="00854C93"/>
    <w:rsid w:val="0085738C"/>
    <w:rsid w:val="0085794C"/>
    <w:rsid w:val="00860B88"/>
    <w:rsid w:val="008622FE"/>
    <w:rsid w:val="00862DA6"/>
    <w:rsid w:val="008649AC"/>
    <w:rsid w:val="00864A2F"/>
    <w:rsid w:val="008651D0"/>
    <w:rsid w:val="00872335"/>
    <w:rsid w:val="00881EDB"/>
    <w:rsid w:val="00887507"/>
    <w:rsid w:val="008908BF"/>
    <w:rsid w:val="00890D2F"/>
    <w:rsid w:val="008912CF"/>
    <w:rsid w:val="0089156B"/>
    <w:rsid w:val="00891B19"/>
    <w:rsid w:val="00892008"/>
    <w:rsid w:val="008921C9"/>
    <w:rsid w:val="00892429"/>
    <w:rsid w:val="00892AFB"/>
    <w:rsid w:val="00895ADB"/>
    <w:rsid w:val="0089624F"/>
    <w:rsid w:val="00896C27"/>
    <w:rsid w:val="008979D5"/>
    <w:rsid w:val="008A046A"/>
    <w:rsid w:val="008A13BA"/>
    <w:rsid w:val="008A25FC"/>
    <w:rsid w:val="008A29B9"/>
    <w:rsid w:val="008A32FC"/>
    <w:rsid w:val="008A3A6B"/>
    <w:rsid w:val="008A3D10"/>
    <w:rsid w:val="008A40F5"/>
    <w:rsid w:val="008A4736"/>
    <w:rsid w:val="008A4F29"/>
    <w:rsid w:val="008A6D3C"/>
    <w:rsid w:val="008B0DDF"/>
    <w:rsid w:val="008B18C6"/>
    <w:rsid w:val="008B193B"/>
    <w:rsid w:val="008B2A21"/>
    <w:rsid w:val="008B332E"/>
    <w:rsid w:val="008B4234"/>
    <w:rsid w:val="008B5C6D"/>
    <w:rsid w:val="008C04F1"/>
    <w:rsid w:val="008C3D22"/>
    <w:rsid w:val="008C3DD3"/>
    <w:rsid w:val="008C53E0"/>
    <w:rsid w:val="008C5964"/>
    <w:rsid w:val="008C66DC"/>
    <w:rsid w:val="008D0FA7"/>
    <w:rsid w:val="008D13F4"/>
    <w:rsid w:val="008D4B8F"/>
    <w:rsid w:val="008D5866"/>
    <w:rsid w:val="008D59A5"/>
    <w:rsid w:val="008D61F9"/>
    <w:rsid w:val="008D6D3A"/>
    <w:rsid w:val="008D74A4"/>
    <w:rsid w:val="008E2ED3"/>
    <w:rsid w:val="008E42FA"/>
    <w:rsid w:val="008E48A8"/>
    <w:rsid w:val="008E6B44"/>
    <w:rsid w:val="008E77F4"/>
    <w:rsid w:val="008E7B59"/>
    <w:rsid w:val="008E7EED"/>
    <w:rsid w:val="008E7EF7"/>
    <w:rsid w:val="008F2CDC"/>
    <w:rsid w:val="008F2FAC"/>
    <w:rsid w:val="008F3475"/>
    <w:rsid w:val="008F48BD"/>
    <w:rsid w:val="008F5CCC"/>
    <w:rsid w:val="008F6287"/>
    <w:rsid w:val="008F7488"/>
    <w:rsid w:val="009004E9"/>
    <w:rsid w:val="009011E6"/>
    <w:rsid w:val="009017FA"/>
    <w:rsid w:val="00906287"/>
    <w:rsid w:val="0090687D"/>
    <w:rsid w:val="00907DB1"/>
    <w:rsid w:val="00907F74"/>
    <w:rsid w:val="00907FBE"/>
    <w:rsid w:val="00913FD2"/>
    <w:rsid w:val="009154C5"/>
    <w:rsid w:val="009159CF"/>
    <w:rsid w:val="0091614F"/>
    <w:rsid w:val="00916310"/>
    <w:rsid w:val="009178C4"/>
    <w:rsid w:val="0091791A"/>
    <w:rsid w:val="00923E1E"/>
    <w:rsid w:val="00924846"/>
    <w:rsid w:val="009259F5"/>
    <w:rsid w:val="00926003"/>
    <w:rsid w:val="0092648F"/>
    <w:rsid w:val="00926C63"/>
    <w:rsid w:val="0093025B"/>
    <w:rsid w:val="009310CC"/>
    <w:rsid w:val="009311EF"/>
    <w:rsid w:val="0093225C"/>
    <w:rsid w:val="009343EF"/>
    <w:rsid w:val="0093521F"/>
    <w:rsid w:val="00940477"/>
    <w:rsid w:val="009420F1"/>
    <w:rsid w:val="00942123"/>
    <w:rsid w:val="00942B60"/>
    <w:rsid w:val="0094797C"/>
    <w:rsid w:val="0095297D"/>
    <w:rsid w:val="009529CB"/>
    <w:rsid w:val="00952E89"/>
    <w:rsid w:val="00953E6E"/>
    <w:rsid w:val="00954234"/>
    <w:rsid w:val="00954510"/>
    <w:rsid w:val="00954BBE"/>
    <w:rsid w:val="00954CD5"/>
    <w:rsid w:val="0095508D"/>
    <w:rsid w:val="0095665F"/>
    <w:rsid w:val="00957A69"/>
    <w:rsid w:val="00961DA7"/>
    <w:rsid w:val="00964091"/>
    <w:rsid w:val="00965800"/>
    <w:rsid w:val="00965E4A"/>
    <w:rsid w:val="00965EC6"/>
    <w:rsid w:val="009663C2"/>
    <w:rsid w:val="00966B42"/>
    <w:rsid w:val="00967D33"/>
    <w:rsid w:val="00970280"/>
    <w:rsid w:val="009719CD"/>
    <w:rsid w:val="00971C6F"/>
    <w:rsid w:val="00973127"/>
    <w:rsid w:val="00973CF1"/>
    <w:rsid w:val="00974A0A"/>
    <w:rsid w:val="00975727"/>
    <w:rsid w:val="009801E8"/>
    <w:rsid w:val="00983201"/>
    <w:rsid w:val="009833F9"/>
    <w:rsid w:val="00983778"/>
    <w:rsid w:val="00983BD6"/>
    <w:rsid w:val="0098579F"/>
    <w:rsid w:val="00987CB6"/>
    <w:rsid w:val="00990823"/>
    <w:rsid w:val="00990D0A"/>
    <w:rsid w:val="00991B08"/>
    <w:rsid w:val="00992AAC"/>
    <w:rsid w:val="00994B36"/>
    <w:rsid w:val="00996174"/>
    <w:rsid w:val="00997376"/>
    <w:rsid w:val="009979B4"/>
    <w:rsid w:val="009A05BE"/>
    <w:rsid w:val="009A0977"/>
    <w:rsid w:val="009A10AE"/>
    <w:rsid w:val="009A1276"/>
    <w:rsid w:val="009A6D22"/>
    <w:rsid w:val="009A7479"/>
    <w:rsid w:val="009B0E0D"/>
    <w:rsid w:val="009B116D"/>
    <w:rsid w:val="009B1F68"/>
    <w:rsid w:val="009B21DC"/>
    <w:rsid w:val="009B235D"/>
    <w:rsid w:val="009B23A3"/>
    <w:rsid w:val="009B26D4"/>
    <w:rsid w:val="009B3731"/>
    <w:rsid w:val="009B431E"/>
    <w:rsid w:val="009B4379"/>
    <w:rsid w:val="009B4CD7"/>
    <w:rsid w:val="009B5246"/>
    <w:rsid w:val="009B7596"/>
    <w:rsid w:val="009C171F"/>
    <w:rsid w:val="009C1A3B"/>
    <w:rsid w:val="009C24E0"/>
    <w:rsid w:val="009C25B0"/>
    <w:rsid w:val="009C3501"/>
    <w:rsid w:val="009C37D7"/>
    <w:rsid w:val="009C50CC"/>
    <w:rsid w:val="009C6722"/>
    <w:rsid w:val="009C739B"/>
    <w:rsid w:val="009D1824"/>
    <w:rsid w:val="009D19CD"/>
    <w:rsid w:val="009D3E8E"/>
    <w:rsid w:val="009E086D"/>
    <w:rsid w:val="009E275F"/>
    <w:rsid w:val="009E4984"/>
    <w:rsid w:val="009F083F"/>
    <w:rsid w:val="009F0D8E"/>
    <w:rsid w:val="009F7044"/>
    <w:rsid w:val="00A00389"/>
    <w:rsid w:val="00A01E0B"/>
    <w:rsid w:val="00A0236A"/>
    <w:rsid w:val="00A03B9D"/>
    <w:rsid w:val="00A04687"/>
    <w:rsid w:val="00A05EE3"/>
    <w:rsid w:val="00A06FA4"/>
    <w:rsid w:val="00A07803"/>
    <w:rsid w:val="00A1061E"/>
    <w:rsid w:val="00A10CE1"/>
    <w:rsid w:val="00A14CF0"/>
    <w:rsid w:val="00A14E04"/>
    <w:rsid w:val="00A163B9"/>
    <w:rsid w:val="00A20116"/>
    <w:rsid w:val="00A22EC4"/>
    <w:rsid w:val="00A2448F"/>
    <w:rsid w:val="00A303D5"/>
    <w:rsid w:val="00A314C9"/>
    <w:rsid w:val="00A31714"/>
    <w:rsid w:val="00A3305A"/>
    <w:rsid w:val="00A33DCB"/>
    <w:rsid w:val="00A347AC"/>
    <w:rsid w:val="00A36232"/>
    <w:rsid w:val="00A426C6"/>
    <w:rsid w:val="00A44E27"/>
    <w:rsid w:val="00A44FDA"/>
    <w:rsid w:val="00A4692F"/>
    <w:rsid w:val="00A47665"/>
    <w:rsid w:val="00A54758"/>
    <w:rsid w:val="00A54CB1"/>
    <w:rsid w:val="00A56D1E"/>
    <w:rsid w:val="00A57F9C"/>
    <w:rsid w:val="00A61CAB"/>
    <w:rsid w:val="00A63F1F"/>
    <w:rsid w:val="00A64DFC"/>
    <w:rsid w:val="00A66374"/>
    <w:rsid w:val="00A66D7E"/>
    <w:rsid w:val="00A70DE6"/>
    <w:rsid w:val="00A710A1"/>
    <w:rsid w:val="00A7162A"/>
    <w:rsid w:val="00A72952"/>
    <w:rsid w:val="00A739D9"/>
    <w:rsid w:val="00A7534F"/>
    <w:rsid w:val="00A7629F"/>
    <w:rsid w:val="00A7660D"/>
    <w:rsid w:val="00A77C15"/>
    <w:rsid w:val="00A80FD3"/>
    <w:rsid w:val="00A84A8D"/>
    <w:rsid w:val="00A85772"/>
    <w:rsid w:val="00A91345"/>
    <w:rsid w:val="00A94B4C"/>
    <w:rsid w:val="00A94E7B"/>
    <w:rsid w:val="00A96FFD"/>
    <w:rsid w:val="00AA0777"/>
    <w:rsid w:val="00AA19A3"/>
    <w:rsid w:val="00AA2EEA"/>
    <w:rsid w:val="00AA3C8F"/>
    <w:rsid w:val="00AA43F3"/>
    <w:rsid w:val="00AA4B00"/>
    <w:rsid w:val="00AA572A"/>
    <w:rsid w:val="00AA6D42"/>
    <w:rsid w:val="00AA7183"/>
    <w:rsid w:val="00AA7352"/>
    <w:rsid w:val="00AB02F8"/>
    <w:rsid w:val="00AB0849"/>
    <w:rsid w:val="00AB0A48"/>
    <w:rsid w:val="00AB0B1F"/>
    <w:rsid w:val="00AB343F"/>
    <w:rsid w:val="00AB387B"/>
    <w:rsid w:val="00AB3E6A"/>
    <w:rsid w:val="00AB53A0"/>
    <w:rsid w:val="00AB5C4A"/>
    <w:rsid w:val="00AB606B"/>
    <w:rsid w:val="00AB7DBC"/>
    <w:rsid w:val="00AB7F69"/>
    <w:rsid w:val="00AC03D8"/>
    <w:rsid w:val="00AC04A9"/>
    <w:rsid w:val="00AC59BD"/>
    <w:rsid w:val="00AC5AC9"/>
    <w:rsid w:val="00AC650C"/>
    <w:rsid w:val="00AD0004"/>
    <w:rsid w:val="00AD0954"/>
    <w:rsid w:val="00AD0C73"/>
    <w:rsid w:val="00AD11A7"/>
    <w:rsid w:val="00AD2BCF"/>
    <w:rsid w:val="00AD3E13"/>
    <w:rsid w:val="00AD3F6A"/>
    <w:rsid w:val="00AD4F25"/>
    <w:rsid w:val="00AD51C8"/>
    <w:rsid w:val="00AD5225"/>
    <w:rsid w:val="00AD63BC"/>
    <w:rsid w:val="00AD6DE5"/>
    <w:rsid w:val="00AD6FCC"/>
    <w:rsid w:val="00AE021D"/>
    <w:rsid w:val="00AE3C41"/>
    <w:rsid w:val="00AE44E1"/>
    <w:rsid w:val="00AE6411"/>
    <w:rsid w:val="00AF191B"/>
    <w:rsid w:val="00AF229F"/>
    <w:rsid w:val="00AF237A"/>
    <w:rsid w:val="00AF3ACD"/>
    <w:rsid w:val="00AF502E"/>
    <w:rsid w:val="00AF6A53"/>
    <w:rsid w:val="00AF70F9"/>
    <w:rsid w:val="00B003C4"/>
    <w:rsid w:val="00B00E30"/>
    <w:rsid w:val="00B01D23"/>
    <w:rsid w:val="00B025DD"/>
    <w:rsid w:val="00B03996"/>
    <w:rsid w:val="00B04323"/>
    <w:rsid w:val="00B054DD"/>
    <w:rsid w:val="00B067C6"/>
    <w:rsid w:val="00B10B70"/>
    <w:rsid w:val="00B10D14"/>
    <w:rsid w:val="00B11C76"/>
    <w:rsid w:val="00B14DE7"/>
    <w:rsid w:val="00B150A1"/>
    <w:rsid w:val="00B175B2"/>
    <w:rsid w:val="00B2058C"/>
    <w:rsid w:val="00B205BC"/>
    <w:rsid w:val="00B22DA7"/>
    <w:rsid w:val="00B24078"/>
    <w:rsid w:val="00B24AC6"/>
    <w:rsid w:val="00B25AD1"/>
    <w:rsid w:val="00B2651E"/>
    <w:rsid w:val="00B276B5"/>
    <w:rsid w:val="00B30F0B"/>
    <w:rsid w:val="00B3244A"/>
    <w:rsid w:val="00B3514A"/>
    <w:rsid w:val="00B35CAE"/>
    <w:rsid w:val="00B365CE"/>
    <w:rsid w:val="00B40A61"/>
    <w:rsid w:val="00B427DD"/>
    <w:rsid w:val="00B439ED"/>
    <w:rsid w:val="00B461F4"/>
    <w:rsid w:val="00B46447"/>
    <w:rsid w:val="00B479D1"/>
    <w:rsid w:val="00B507B6"/>
    <w:rsid w:val="00B50AD9"/>
    <w:rsid w:val="00B52A5B"/>
    <w:rsid w:val="00B52A81"/>
    <w:rsid w:val="00B52F54"/>
    <w:rsid w:val="00B538F3"/>
    <w:rsid w:val="00B542C8"/>
    <w:rsid w:val="00B5581D"/>
    <w:rsid w:val="00B57746"/>
    <w:rsid w:val="00B57BA5"/>
    <w:rsid w:val="00B606DA"/>
    <w:rsid w:val="00B609FF"/>
    <w:rsid w:val="00B64211"/>
    <w:rsid w:val="00B66D89"/>
    <w:rsid w:val="00B66E1C"/>
    <w:rsid w:val="00B677A1"/>
    <w:rsid w:val="00B71A1F"/>
    <w:rsid w:val="00B747B4"/>
    <w:rsid w:val="00B77BEC"/>
    <w:rsid w:val="00B815EF"/>
    <w:rsid w:val="00B82100"/>
    <w:rsid w:val="00B82967"/>
    <w:rsid w:val="00B82C91"/>
    <w:rsid w:val="00B82E69"/>
    <w:rsid w:val="00B830EC"/>
    <w:rsid w:val="00B83476"/>
    <w:rsid w:val="00B84012"/>
    <w:rsid w:val="00B85A53"/>
    <w:rsid w:val="00B866F6"/>
    <w:rsid w:val="00B9007F"/>
    <w:rsid w:val="00B90369"/>
    <w:rsid w:val="00B904F9"/>
    <w:rsid w:val="00B925B3"/>
    <w:rsid w:val="00B936D4"/>
    <w:rsid w:val="00B94A56"/>
    <w:rsid w:val="00B954D6"/>
    <w:rsid w:val="00B96A30"/>
    <w:rsid w:val="00B974E6"/>
    <w:rsid w:val="00BA18AB"/>
    <w:rsid w:val="00BA1FF6"/>
    <w:rsid w:val="00BA3731"/>
    <w:rsid w:val="00BA3A07"/>
    <w:rsid w:val="00BA3AB7"/>
    <w:rsid w:val="00BA5138"/>
    <w:rsid w:val="00BB1C80"/>
    <w:rsid w:val="00BB2CEC"/>
    <w:rsid w:val="00BB4793"/>
    <w:rsid w:val="00BB6668"/>
    <w:rsid w:val="00BB6E31"/>
    <w:rsid w:val="00BB700E"/>
    <w:rsid w:val="00BC300E"/>
    <w:rsid w:val="00BC3780"/>
    <w:rsid w:val="00BC3E7E"/>
    <w:rsid w:val="00BC46BD"/>
    <w:rsid w:val="00BC7FB8"/>
    <w:rsid w:val="00BD02F4"/>
    <w:rsid w:val="00BD22D2"/>
    <w:rsid w:val="00BD4F81"/>
    <w:rsid w:val="00BD522A"/>
    <w:rsid w:val="00BD5315"/>
    <w:rsid w:val="00BD6D29"/>
    <w:rsid w:val="00BE2C13"/>
    <w:rsid w:val="00BE3989"/>
    <w:rsid w:val="00BE3E75"/>
    <w:rsid w:val="00BE3EFF"/>
    <w:rsid w:val="00BE4522"/>
    <w:rsid w:val="00BE46F4"/>
    <w:rsid w:val="00BE516A"/>
    <w:rsid w:val="00BE559B"/>
    <w:rsid w:val="00BE62F9"/>
    <w:rsid w:val="00BF2279"/>
    <w:rsid w:val="00BF2F9C"/>
    <w:rsid w:val="00BF3168"/>
    <w:rsid w:val="00BF43D9"/>
    <w:rsid w:val="00BF4E59"/>
    <w:rsid w:val="00BF7825"/>
    <w:rsid w:val="00C00953"/>
    <w:rsid w:val="00C00E3F"/>
    <w:rsid w:val="00C0208A"/>
    <w:rsid w:val="00C04EFE"/>
    <w:rsid w:val="00C1288B"/>
    <w:rsid w:val="00C12FF2"/>
    <w:rsid w:val="00C13299"/>
    <w:rsid w:val="00C16036"/>
    <w:rsid w:val="00C17E6E"/>
    <w:rsid w:val="00C17EC1"/>
    <w:rsid w:val="00C17FDD"/>
    <w:rsid w:val="00C22168"/>
    <w:rsid w:val="00C22F22"/>
    <w:rsid w:val="00C248FE"/>
    <w:rsid w:val="00C25BAB"/>
    <w:rsid w:val="00C25DF2"/>
    <w:rsid w:val="00C27675"/>
    <w:rsid w:val="00C306EF"/>
    <w:rsid w:val="00C30B7A"/>
    <w:rsid w:val="00C32156"/>
    <w:rsid w:val="00C33FCB"/>
    <w:rsid w:val="00C340EB"/>
    <w:rsid w:val="00C34A4F"/>
    <w:rsid w:val="00C3693D"/>
    <w:rsid w:val="00C37881"/>
    <w:rsid w:val="00C37A72"/>
    <w:rsid w:val="00C40041"/>
    <w:rsid w:val="00C41293"/>
    <w:rsid w:val="00C43D1D"/>
    <w:rsid w:val="00C4636A"/>
    <w:rsid w:val="00C47066"/>
    <w:rsid w:val="00C50874"/>
    <w:rsid w:val="00C529E1"/>
    <w:rsid w:val="00C541D2"/>
    <w:rsid w:val="00C546DC"/>
    <w:rsid w:val="00C55814"/>
    <w:rsid w:val="00C56402"/>
    <w:rsid w:val="00C5700B"/>
    <w:rsid w:val="00C6100D"/>
    <w:rsid w:val="00C629A1"/>
    <w:rsid w:val="00C630FB"/>
    <w:rsid w:val="00C63CC8"/>
    <w:rsid w:val="00C6420B"/>
    <w:rsid w:val="00C657E4"/>
    <w:rsid w:val="00C667BF"/>
    <w:rsid w:val="00C66F34"/>
    <w:rsid w:val="00C706AB"/>
    <w:rsid w:val="00C70F81"/>
    <w:rsid w:val="00C716B5"/>
    <w:rsid w:val="00C72510"/>
    <w:rsid w:val="00C7406A"/>
    <w:rsid w:val="00C74219"/>
    <w:rsid w:val="00C76435"/>
    <w:rsid w:val="00C76546"/>
    <w:rsid w:val="00C76DF0"/>
    <w:rsid w:val="00C76EED"/>
    <w:rsid w:val="00C76FE5"/>
    <w:rsid w:val="00C8133C"/>
    <w:rsid w:val="00C81A23"/>
    <w:rsid w:val="00C833C2"/>
    <w:rsid w:val="00C83609"/>
    <w:rsid w:val="00C8394C"/>
    <w:rsid w:val="00C842A9"/>
    <w:rsid w:val="00C851E4"/>
    <w:rsid w:val="00C877CC"/>
    <w:rsid w:val="00C878A8"/>
    <w:rsid w:val="00C87A4D"/>
    <w:rsid w:val="00C9385F"/>
    <w:rsid w:val="00C9386F"/>
    <w:rsid w:val="00C938B7"/>
    <w:rsid w:val="00C95D7D"/>
    <w:rsid w:val="00C95E77"/>
    <w:rsid w:val="00C9670E"/>
    <w:rsid w:val="00C97EA8"/>
    <w:rsid w:val="00CA02C4"/>
    <w:rsid w:val="00CA2F11"/>
    <w:rsid w:val="00CA479B"/>
    <w:rsid w:val="00CB01BD"/>
    <w:rsid w:val="00CB02E8"/>
    <w:rsid w:val="00CB07D4"/>
    <w:rsid w:val="00CB140F"/>
    <w:rsid w:val="00CB1589"/>
    <w:rsid w:val="00CB1DC5"/>
    <w:rsid w:val="00CB25CC"/>
    <w:rsid w:val="00CB560B"/>
    <w:rsid w:val="00CB6157"/>
    <w:rsid w:val="00CC0FA3"/>
    <w:rsid w:val="00CC150F"/>
    <w:rsid w:val="00CC18CE"/>
    <w:rsid w:val="00CC20F9"/>
    <w:rsid w:val="00CC22DA"/>
    <w:rsid w:val="00CC2ACC"/>
    <w:rsid w:val="00CC4B51"/>
    <w:rsid w:val="00CD1E1B"/>
    <w:rsid w:val="00CD232C"/>
    <w:rsid w:val="00CD2AEF"/>
    <w:rsid w:val="00CD2CCE"/>
    <w:rsid w:val="00CD5952"/>
    <w:rsid w:val="00CD6D57"/>
    <w:rsid w:val="00CD7207"/>
    <w:rsid w:val="00CD7BFE"/>
    <w:rsid w:val="00CE278A"/>
    <w:rsid w:val="00CE2B63"/>
    <w:rsid w:val="00CE3465"/>
    <w:rsid w:val="00CE42B7"/>
    <w:rsid w:val="00CE580C"/>
    <w:rsid w:val="00CE5ECF"/>
    <w:rsid w:val="00CE6BF2"/>
    <w:rsid w:val="00CE7104"/>
    <w:rsid w:val="00CF00A8"/>
    <w:rsid w:val="00CF16D8"/>
    <w:rsid w:val="00CF2AE4"/>
    <w:rsid w:val="00CF3350"/>
    <w:rsid w:val="00CF3A74"/>
    <w:rsid w:val="00CF53DB"/>
    <w:rsid w:val="00CF6942"/>
    <w:rsid w:val="00CF6E91"/>
    <w:rsid w:val="00D01EDE"/>
    <w:rsid w:val="00D02F83"/>
    <w:rsid w:val="00D03949"/>
    <w:rsid w:val="00D0749B"/>
    <w:rsid w:val="00D1059E"/>
    <w:rsid w:val="00D105CA"/>
    <w:rsid w:val="00D13E45"/>
    <w:rsid w:val="00D15D37"/>
    <w:rsid w:val="00D169AB"/>
    <w:rsid w:val="00D229A7"/>
    <w:rsid w:val="00D22E86"/>
    <w:rsid w:val="00D23CD9"/>
    <w:rsid w:val="00D24F87"/>
    <w:rsid w:val="00D25608"/>
    <w:rsid w:val="00D25E3A"/>
    <w:rsid w:val="00D26B76"/>
    <w:rsid w:val="00D27F43"/>
    <w:rsid w:val="00D30971"/>
    <w:rsid w:val="00D31037"/>
    <w:rsid w:val="00D311E3"/>
    <w:rsid w:val="00D315BE"/>
    <w:rsid w:val="00D33370"/>
    <w:rsid w:val="00D34BF5"/>
    <w:rsid w:val="00D35DAA"/>
    <w:rsid w:val="00D37D11"/>
    <w:rsid w:val="00D40B40"/>
    <w:rsid w:val="00D41B9F"/>
    <w:rsid w:val="00D41FC8"/>
    <w:rsid w:val="00D43276"/>
    <w:rsid w:val="00D43539"/>
    <w:rsid w:val="00D43E7A"/>
    <w:rsid w:val="00D45244"/>
    <w:rsid w:val="00D47117"/>
    <w:rsid w:val="00D50F4E"/>
    <w:rsid w:val="00D52332"/>
    <w:rsid w:val="00D52CAF"/>
    <w:rsid w:val="00D57834"/>
    <w:rsid w:val="00D57D99"/>
    <w:rsid w:val="00D6007A"/>
    <w:rsid w:val="00D6014E"/>
    <w:rsid w:val="00D60D7F"/>
    <w:rsid w:val="00D62E4B"/>
    <w:rsid w:val="00D6302B"/>
    <w:rsid w:val="00D6465B"/>
    <w:rsid w:val="00D64F3A"/>
    <w:rsid w:val="00D67443"/>
    <w:rsid w:val="00D67AEC"/>
    <w:rsid w:val="00D70AC7"/>
    <w:rsid w:val="00D72FFF"/>
    <w:rsid w:val="00D7349B"/>
    <w:rsid w:val="00D74B8C"/>
    <w:rsid w:val="00D751CF"/>
    <w:rsid w:val="00D77448"/>
    <w:rsid w:val="00D808C9"/>
    <w:rsid w:val="00D84E4E"/>
    <w:rsid w:val="00D8512E"/>
    <w:rsid w:val="00D85B1F"/>
    <w:rsid w:val="00D863C6"/>
    <w:rsid w:val="00D86FA9"/>
    <w:rsid w:val="00D87764"/>
    <w:rsid w:val="00D902E7"/>
    <w:rsid w:val="00D9310E"/>
    <w:rsid w:val="00D93157"/>
    <w:rsid w:val="00D93F5F"/>
    <w:rsid w:val="00D9427F"/>
    <w:rsid w:val="00D94630"/>
    <w:rsid w:val="00D9472B"/>
    <w:rsid w:val="00D950CE"/>
    <w:rsid w:val="00D95462"/>
    <w:rsid w:val="00D958DD"/>
    <w:rsid w:val="00D95FF9"/>
    <w:rsid w:val="00D961A0"/>
    <w:rsid w:val="00DA0040"/>
    <w:rsid w:val="00DA0087"/>
    <w:rsid w:val="00DA0998"/>
    <w:rsid w:val="00DA131C"/>
    <w:rsid w:val="00DA2140"/>
    <w:rsid w:val="00DA4490"/>
    <w:rsid w:val="00DB07D0"/>
    <w:rsid w:val="00DB43D8"/>
    <w:rsid w:val="00DB6F45"/>
    <w:rsid w:val="00DC21D7"/>
    <w:rsid w:val="00DC4853"/>
    <w:rsid w:val="00DC593C"/>
    <w:rsid w:val="00DC6888"/>
    <w:rsid w:val="00DD143A"/>
    <w:rsid w:val="00DD26F5"/>
    <w:rsid w:val="00DD2C89"/>
    <w:rsid w:val="00DD3375"/>
    <w:rsid w:val="00DD344B"/>
    <w:rsid w:val="00DD35AC"/>
    <w:rsid w:val="00DD403A"/>
    <w:rsid w:val="00DD4820"/>
    <w:rsid w:val="00DD5889"/>
    <w:rsid w:val="00DD67FB"/>
    <w:rsid w:val="00DD70E7"/>
    <w:rsid w:val="00DD749E"/>
    <w:rsid w:val="00DE0117"/>
    <w:rsid w:val="00DE1090"/>
    <w:rsid w:val="00DE1B6C"/>
    <w:rsid w:val="00DE2803"/>
    <w:rsid w:val="00DE332E"/>
    <w:rsid w:val="00DE3483"/>
    <w:rsid w:val="00DE594E"/>
    <w:rsid w:val="00DE5A8A"/>
    <w:rsid w:val="00DE675E"/>
    <w:rsid w:val="00DF02FD"/>
    <w:rsid w:val="00DF06F3"/>
    <w:rsid w:val="00DF2122"/>
    <w:rsid w:val="00DF5632"/>
    <w:rsid w:val="00DF5727"/>
    <w:rsid w:val="00DF66B7"/>
    <w:rsid w:val="00DF66EB"/>
    <w:rsid w:val="00DF67C0"/>
    <w:rsid w:val="00DF78AD"/>
    <w:rsid w:val="00E0045B"/>
    <w:rsid w:val="00E00787"/>
    <w:rsid w:val="00E01012"/>
    <w:rsid w:val="00E02FA8"/>
    <w:rsid w:val="00E03A0D"/>
    <w:rsid w:val="00E03CE0"/>
    <w:rsid w:val="00E06CAF"/>
    <w:rsid w:val="00E106FA"/>
    <w:rsid w:val="00E1114B"/>
    <w:rsid w:val="00E1263F"/>
    <w:rsid w:val="00E12FF1"/>
    <w:rsid w:val="00E153FC"/>
    <w:rsid w:val="00E21713"/>
    <w:rsid w:val="00E22CBA"/>
    <w:rsid w:val="00E24A18"/>
    <w:rsid w:val="00E26768"/>
    <w:rsid w:val="00E27628"/>
    <w:rsid w:val="00E27CD2"/>
    <w:rsid w:val="00E307C2"/>
    <w:rsid w:val="00E31B3D"/>
    <w:rsid w:val="00E321F4"/>
    <w:rsid w:val="00E32E84"/>
    <w:rsid w:val="00E3326B"/>
    <w:rsid w:val="00E35985"/>
    <w:rsid w:val="00E3620C"/>
    <w:rsid w:val="00E36F46"/>
    <w:rsid w:val="00E37E8E"/>
    <w:rsid w:val="00E42BFF"/>
    <w:rsid w:val="00E45662"/>
    <w:rsid w:val="00E46082"/>
    <w:rsid w:val="00E46855"/>
    <w:rsid w:val="00E4790F"/>
    <w:rsid w:val="00E47A88"/>
    <w:rsid w:val="00E51FCC"/>
    <w:rsid w:val="00E52890"/>
    <w:rsid w:val="00E548D9"/>
    <w:rsid w:val="00E549E4"/>
    <w:rsid w:val="00E57BBD"/>
    <w:rsid w:val="00E60179"/>
    <w:rsid w:val="00E60C95"/>
    <w:rsid w:val="00E6264E"/>
    <w:rsid w:val="00E627F1"/>
    <w:rsid w:val="00E644B5"/>
    <w:rsid w:val="00E64803"/>
    <w:rsid w:val="00E663CE"/>
    <w:rsid w:val="00E66468"/>
    <w:rsid w:val="00E70146"/>
    <w:rsid w:val="00E721EF"/>
    <w:rsid w:val="00E7252B"/>
    <w:rsid w:val="00E7293F"/>
    <w:rsid w:val="00E72CB7"/>
    <w:rsid w:val="00E72DA2"/>
    <w:rsid w:val="00E7354C"/>
    <w:rsid w:val="00E74988"/>
    <w:rsid w:val="00E7501D"/>
    <w:rsid w:val="00E75D85"/>
    <w:rsid w:val="00E77A57"/>
    <w:rsid w:val="00E80DE8"/>
    <w:rsid w:val="00E81CA7"/>
    <w:rsid w:val="00E84897"/>
    <w:rsid w:val="00E86779"/>
    <w:rsid w:val="00E876B5"/>
    <w:rsid w:val="00E905A5"/>
    <w:rsid w:val="00E9064D"/>
    <w:rsid w:val="00E91933"/>
    <w:rsid w:val="00E92C4A"/>
    <w:rsid w:val="00E95471"/>
    <w:rsid w:val="00E95650"/>
    <w:rsid w:val="00E96468"/>
    <w:rsid w:val="00E97AB7"/>
    <w:rsid w:val="00EA0F56"/>
    <w:rsid w:val="00EA3C4B"/>
    <w:rsid w:val="00EA4F7C"/>
    <w:rsid w:val="00EA5707"/>
    <w:rsid w:val="00EA5D73"/>
    <w:rsid w:val="00EA5EC7"/>
    <w:rsid w:val="00EB068C"/>
    <w:rsid w:val="00EB572F"/>
    <w:rsid w:val="00EC0461"/>
    <w:rsid w:val="00EC2554"/>
    <w:rsid w:val="00EC3632"/>
    <w:rsid w:val="00EC4181"/>
    <w:rsid w:val="00EC5DE4"/>
    <w:rsid w:val="00EC7A13"/>
    <w:rsid w:val="00ED00A2"/>
    <w:rsid w:val="00ED04BB"/>
    <w:rsid w:val="00ED0ED2"/>
    <w:rsid w:val="00ED1E34"/>
    <w:rsid w:val="00ED54AB"/>
    <w:rsid w:val="00ED63D8"/>
    <w:rsid w:val="00EE1DF4"/>
    <w:rsid w:val="00EE2021"/>
    <w:rsid w:val="00EE357A"/>
    <w:rsid w:val="00EE4020"/>
    <w:rsid w:val="00EE5F6E"/>
    <w:rsid w:val="00EE6902"/>
    <w:rsid w:val="00EF021D"/>
    <w:rsid w:val="00EF0B10"/>
    <w:rsid w:val="00EF33D0"/>
    <w:rsid w:val="00EF4208"/>
    <w:rsid w:val="00EF4271"/>
    <w:rsid w:val="00EF6D8E"/>
    <w:rsid w:val="00EF6DEF"/>
    <w:rsid w:val="00EF74B7"/>
    <w:rsid w:val="00EF7E97"/>
    <w:rsid w:val="00F01603"/>
    <w:rsid w:val="00F01E5C"/>
    <w:rsid w:val="00F02962"/>
    <w:rsid w:val="00F03C54"/>
    <w:rsid w:val="00F05224"/>
    <w:rsid w:val="00F06203"/>
    <w:rsid w:val="00F06E31"/>
    <w:rsid w:val="00F071B0"/>
    <w:rsid w:val="00F103F9"/>
    <w:rsid w:val="00F120BB"/>
    <w:rsid w:val="00F12F3E"/>
    <w:rsid w:val="00F134EE"/>
    <w:rsid w:val="00F145CD"/>
    <w:rsid w:val="00F1550B"/>
    <w:rsid w:val="00F20321"/>
    <w:rsid w:val="00F21025"/>
    <w:rsid w:val="00F22AF1"/>
    <w:rsid w:val="00F26EA6"/>
    <w:rsid w:val="00F3002E"/>
    <w:rsid w:val="00F31798"/>
    <w:rsid w:val="00F3253B"/>
    <w:rsid w:val="00F33FED"/>
    <w:rsid w:val="00F35B64"/>
    <w:rsid w:val="00F4016C"/>
    <w:rsid w:val="00F42903"/>
    <w:rsid w:val="00F432D6"/>
    <w:rsid w:val="00F4664A"/>
    <w:rsid w:val="00F47F7A"/>
    <w:rsid w:val="00F558D8"/>
    <w:rsid w:val="00F55CBF"/>
    <w:rsid w:val="00F57DD7"/>
    <w:rsid w:val="00F60F83"/>
    <w:rsid w:val="00F62C9A"/>
    <w:rsid w:val="00F6498B"/>
    <w:rsid w:val="00F6505C"/>
    <w:rsid w:val="00F675CF"/>
    <w:rsid w:val="00F7026C"/>
    <w:rsid w:val="00F71B63"/>
    <w:rsid w:val="00F7235D"/>
    <w:rsid w:val="00F73E10"/>
    <w:rsid w:val="00F7457B"/>
    <w:rsid w:val="00F766D7"/>
    <w:rsid w:val="00F8037C"/>
    <w:rsid w:val="00F80672"/>
    <w:rsid w:val="00F80CC4"/>
    <w:rsid w:val="00F82079"/>
    <w:rsid w:val="00F840DB"/>
    <w:rsid w:val="00F8563F"/>
    <w:rsid w:val="00F90EC2"/>
    <w:rsid w:val="00F919C1"/>
    <w:rsid w:val="00F93571"/>
    <w:rsid w:val="00F94419"/>
    <w:rsid w:val="00F9650A"/>
    <w:rsid w:val="00F96848"/>
    <w:rsid w:val="00F96DDF"/>
    <w:rsid w:val="00F9792B"/>
    <w:rsid w:val="00FA32A9"/>
    <w:rsid w:val="00FA58AC"/>
    <w:rsid w:val="00FA5FD1"/>
    <w:rsid w:val="00FA678D"/>
    <w:rsid w:val="00FA69E8"/>
    <w:rsid w:val="00FA7AF2"/>
    <w:rsid w:val="00FB0C02"/>
    <w:rsid w:val="00FB24F2"/>
    <w:rsid w:val="00FB31DC"/>
    <w:rsid w:val="00FB39F1"/>
    <w:rsid w:val="00FB4614"/>
    <w:rsid w:val="00FB5DB3"/>
    <w:rsid w:val="00FB6C29"/>
    <w:rsid w:val="00FB75CB"/>
    <w:rsid w:val="00FC0304"/>
    <w:rsid w:val="00FC18F1"/>
    <w:rsid w:val="00FC202D"/>
    <w:rsid w:val="00FC2F7D"/>
    <w:rsid w:val="00FC33D1"/>
    <w:rsid w:val="00FC3D01"/>
    <w:rsid w:val="00FC3D49"/>
    <w:rsid w:val="00FC4443"/>
    <w:rsid w:val="00FC55A6"/>
    <w:rsid w:val="00FC7E81"/>
    <w:rsid w:val="00FC7F2F"/>
    <w:rsid w:val="00FD024F"/>
    <w:rsid w:val="00FD031C"/>
    <w:rsid w:val="00FD11AF"/>
    <w:rsid w:val="00FD14A1"/>
    <w:rsid w:val="00FD1D0F"/>
    <w:rsid w:val="00FD49F6"/>
    <w:rsid w:val="00FD51F4"/>
    <w:rsid w:val="00FD5897"/>
    <w:rsid w:val="00FD6D0F"/>
    <w:rsid w:val="00FD757B"/>
    <w:rsid w:val="00FD7DDE"/>
    <w:rsid w:val="00FE0090"/>
    <w:rsid w:val="00FE08F4"/>
    <w:rsid w:val="00FE0AD3"/>
    <w:rsid w:val="00FE0B84"/>
    <w:rsid w:val="00FE24B0"/>
    <w:rsid w:val="00FE259B"/>
    <w:rsid w:val="00FE643C"/>
    <w:rsid w:val="00FF0C95"/>
    <w:rsid w:val="00FF23FB"/>
    <w:rsid w:val="00FF4AB1"/>
    <w:rsid w:val="00FF6365"/>
    <w:rsid w:val="00FF65EF"/>
    <w:rsid w:val="00FF665D"/>
    <w:rsid w:val="00FF670B"/>
  </w:rsids>
  <m:mathPr>
    <m:mathFont m:val="Cambria Math"/>
    <m:brkBin m:val="before"/>
    <m:brkBinSub m:val="--"/>
    <m:smallFrac m:val="0"/>
    <m:dispDef/>
    <m:lMargin m:val="0"/>
    <m:rMargin m:val="0"/>
    <m:defJc m:val="centerGroup"/>
    <m:wrapIndent m:val="1440"/>
    <m:intLim m:val="subSup"/>
    <m:naryLim m:val="undOvr"/>
  </m:mathPr>
  <w:themeFontLang w:val="pt-PT"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511E1"/>
  <w15:docId w15:val="{C1688DBD-2347-442C-A990-8B014441F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PT" w:eastAsia="zh-CN"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27F"/>
    <w:pPr>
      <w:spacing w:after="0" w:line="240" w:lineRule="auto"/>
    </w:pPr>
    <w:rPr>
      <w:rFonts w:ascii="Times New Roman" w:eastAsia="PMingLiU" w:hAnsi="Times New Roman" w:cs="Times New Roman"/>
      <w:sz w:val="24"/>
      <w:szCs w:val="24"/>
      <w:lang w:eastAsia="en-US"/>
    </w:rPr>
  </w:style>
  <w:style w:type="paragraph" w:styleId="Heading1">
    <w:name w:val="heading 1"/>
    <w:aliases w:val="D70AR,Info rubrik 1,titel 1"/>
    <w:basedOn w:val="Normal"/>
    <w:next w:val="Normal"/>
    <w:link w:val="Heading1Char"/>
    <w:qFormat/>
    <w:rsid w:val="004462A0"/>
    <w:pPr>
      <w:keepNext/>
      <w:pBdr>
        <w:top w:val="single" w:sz="4" w:space="1" w:color="auto"/>
        <w:left w:val="single" w:sz="4" w:space="4" w:color="auto"/>
        <w:bottom w:val="single" w:sz="4" w:space="1" w:color="auto"/>
        <w:right w:val="single" w:sz="4" w:space="4" w:color="auto"/>
      </w:pBdr>
      <w:tabs>
        <w:tab w:val="left" w:pos="567"/>
      </w:tabs>
      <w:outlineLvl w:val="0"/>
    </w:pPr>
    <w:rPr>
      <w:b/>
      <w:bCs/>
      <w:sz w:val="22"/>
    </w:rPr>
  </w:style>
  <w:style w:type="paragraph" w:styleId="Heading2">
    <w:name w:val="heading 2"/>
    <w:basedOn w:val="Normal"/>
    <w:next w:val="Normal"/>
    <w:link w:val="Heading2Char"/>
    <w:qFormat/>
    <w:rsid w:val="004462A0"/>
    <w:pPr>
      <w:keepNext/>
      <w:ind w:left="567" w:hanging="567"/>
      <w:outlineLvl w:val="1"/>
    </w:pPr>
    <w:rPr>
      <w:b/>
      <w:sz w:val="22"/>
    </w:rPr>
  </w:style>
  <w:style w:type="paragraph" w:styleId="Heading3">
    <w:name w:val="heading 3"/>
    <w:basedOn w:val="Normal"/>
    <w:next w:val="Normal"/>
    <w:link w:val="Heading3Char"/>
    <w:qFormat/>
    <w:rsid w:val="004462A0"/>
    <w:pPr>
      <w:keepNext/>
      <w:keepLines/>
      <w:tabs>
        <w:tab w:val="left" w:pos="567"/>
      </w:tabs>
      <w:spacing w:before="120" w:after="80" w:line="260" w:lineRule="exact"/>
      <w:outlineLvl w:val="2"/>
    </w:pPr>
    <w:rPr>
      <w:b/>
      <w:kern w:val="28"/>
      <w:szCs w:val="20"/>
      <w:lang w:val="en-US"/>
    </w:rPr>
  </w:style>
  <w:style w:type="paragraph" w:styleId="Heading4">
    <w:name w:val="heading 4"/>
    <w:basedOn w:val="Normal"/>
    <w:next w:val="Normal"/>
    <w:link w:val="Heading4Char"/>
    <w:qFormat/>
    <w:rsid w:val="004462A0"/>
    <w:pPr>
      <w:keepNext/>
      <w:tabs>
        <w:tab w:val="left" w:pos="567"/>
      </w:tabs>
      <w:spacing w:line="260" w:lineRule="exact"/>
      <w:jc w:val="both"/>
      <w:outlineLvl w:val="3"/>
    </w:pPr>
    <w:rPr>
      <w:b/>
      <w:noProof/>
      <w:sz w:val="22"/>
      <w:szCs w:val="20"/>
    </w:rPr>
  </w:style>
  <w:style w:type="paragraph" w:styleId="Heading5">
    <w:name w:val="heading 5"/>
    <w:basedOn w:val="Normal"/>
    <w:next w:val="Normal"/>
    <w:link w:val="Heading5Char"/>
    <w:qFormat/>
    <w:rsid w:val="004462A0"/>
    <w:pPr>
      <w:keepNext/>
      <w:outlineLvl w:val="4"/>
    </w:pPr>
    <w:rPr>
      <w:b/>
      <w:i/>
      <w:iCs/>
      <w:sz w:val="22"/>
    </w:rPr>
  </w:style>
  <w:style w:type="paragraph" w:styleId="Heading6">
    <w:name w:val="heading 6"/>
    <w:basedOn w:val="Normal"/>
    <w:next w:val="Normal"/>
    <w:link w:val="Heading6Char"/>
    <w:qFormat/>
    <w:rsid w:val="004462A0"/>
    <w:pPr>
      <w:keepNext/>
      <w:tabs>
        <w:tab w:val="left" w:pos="-720"/>
        <w:tab w:val="left" w:pos="567"/>
        <w:tab w:val="left" w:pos="4536"/>
      </w:tabs>
      <w:suppressAutoHyphens/>
      <w:spacing w:line="260" w:lineRule="exact"/>
      <w:outlineLvl w:val="5"/>
    </w:pPr>
    <w:rPr>
      <w:i/>
      <w:sz w:val="22"/>
      <w:szCs w:val="20"/>
    </w:rPr>
  </w:style>
  <w:style w:type="paragraph" w:styleId="Heading7">
    <w:name w:val="heading 7"/>
    <w:basedOn w:val="Normal"/>
    <w:next w:val="Normal"/>
    <w:link w:val="Heading7Char"/>
    <w:qFormat/>
    <w:rsid w:val="004462A0"/>
    <w:pPr>
      <w:keepNext/>
      <w:tabs>
        <w:tab w:val="left" w:pos="-720"/>
        <w:tab w:val="left" w:pos="567"/>
        <w:tab w:val="left" w:pos="4536"/>
      </w:tabs>
      <w:suppressAutoHyphens/>
      <w:spacing w:line="260" w:lineRule="exact"/>
      <w:jc w:val="both"/>
      <w:outlineLvl w:val="6"/>
    </w:pPr>
    <w:rPr>
      <w:i/>
      <w:sz w:val="22"/>
      <w:szCs w:val="20"/>
    </w:rPr>
  </w:style>
  <w:style w:type="paragraph" w:styleId="Heading8">
    <w:name w:val="heading 8"/>
    <w:basedOn w:val="Normal"/>
    <w:next w:val="Normal"/>
    <w:link w:val="Heading8Char"/>
    <w:qFormat/>
    <w:rsid w:val="004462A0"/>
    <w:pPr>
      <w:keepNext/>
      <w:ind w:right="-2"/>
      <w:outlineLvl w:val="7"/>
    </w:pPr>
    <w:rPr>
      <w:b/>
      <w:bCs/>
      <w:sz w:val="22"/>
    </w:rPr>
  </w:style>
  <w:style w:type="paragraph" w:styleId="Heading9">
    <w:name w:val="heading 9"/>
    <w:basedOn w:val="Normal"/>
    <w:next w:val="Normal"/>
    <w:link w:val="Heading9Char"/>
    <w:qFormat/>
    <w:rsid w:val="004462A0"/>
    <w:pPr>
      <w:keepNext/>
      <w:outlineLvl w:val="8"/>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70AR Char,Info rubrik 1 Char,titel 1 Char"/>
    <w:basedOn w:val="DefaultParagraphFont"/>
    <w:link w:val="Heading1"/>
    <w:rsid w:val="004462A0"/>
    <w:rPr>
      <w:rFonts w:ascii="Times New Roman" w:eastAsia="PMingLiU" w:hAnsi="Times New Roman" w:cs="Times New Roman"/>
      <w:b/>
      <w:bCs/>
      <w:szCs w:val="24"/>
      <w:lang w:eastAsia="en-US"/>
    </w:rPr>
  </w:style>
  <w:style w:type="character" w:customStyle="1" w:styleId="Heading2Char">
    <w:name w:val="Heading 2 Char"/>
    <w:basedOn w:val="DefaultParagraphFont"/>
    <w:link w:val="Heading2"/>
    <w:rsid w:val="004462A0"/>
    <w:rPr>
      <w:rFonts w:ascii="Times New Roman" w:eastAsia="PMingLiU" w:hAnsi="Times New Roman" w:cs="Times New Roman"/>
      <w:b/>
      <w:szCs w:val="24"/>
      <w:lang w:eastAsia="en-US"/>
    </w:rPr>
  </w:style>
  <w:style w:type="character" w:customStyle="1" w:styleId="Heading3Char">
    <w:name w:val="Heading 3 Char"/>
    <w:basedOn w:val="DefaultParagraphFont"/>
    <w:link w:val="Heading3"/>
    <w:rsid w:val="004462A0"/>
    <w:rPr>
      <w:rFonts w:ascii="Times New Roman" w:eastAsia="PMingLiU" w:hAnsi="Times New Roman" w:cs="Times New Roman"/>
      <w:b/>
      <w:kern w:val="28"/>
      <w:sz w:val="24"/>
      <w:szCs w:val="20"/>
      <w:lang w:val="en-US" w:eastAsia="en-US"/>
    </w:rPr>
  </w:style>
  <w:style w:type="character" w:customStyle="1" w:styleId="Heading4Char">
    <w:name w:val="Heading 4 Char"/>
    <w:basedOn w:val="DefaultParagraphFont"/>
    <w:link w:val="Heading4"/>
    <w:rsid w:val="004462A0"/>
    <w:rPr>
      <w:rFonts w:ascii="Times New Roman" w:eastAsia="PMingLiU" w:hAnsi="Times New Roman" w:cs="Times New Roman"/>
      <w:b/>
      <w:noProof/>
      <w:szCs w:val="20"/>
      <w:lang w:eastAsia="en-US"/>
    </w:rPr>
  </w:style>
  <w:style w:type="character" w:customStyle="1" w:styleId="Heading5Char">
    <w:name w:val="Heading 5 Char"/>
    <w:basedOn w:val="DefaultParagraphFont"/>
    <w:link w:val="Heading5"/>
    <w:rsid w:val="004462A0"/>
    <w:rPr>
      <w:rFonts w:ascii="Times New Roman" w:eastAsia="PMingLiU" w:hAnsi="Times New Roman" w:cs="Times New Roman"/>
      <w:b/>
      <w:i/>
      <w:iCs/>
      <w:szCs w:val="24"/>
      <w:lang w:eastAsia="en-US"/>
    </w:rPr>
  </w:style>
  <w:style w:type="character" w:customStyle="1" w:styleId="Heading6Char">
    <w:name w:val="Heading 6 Char"/>
    <w:basedOn w:val="DefaultParagraphFont"/>
    <w:link w:val="Heading6"/>
    <w:rsid w:val="004462A0"/>
    <w:rPr>
      <w:rFonts w:ascii="Times New Roman" w:eastAsia="PMingLiU" w:hAnsi="Times New Roman" w:cs="Times New Roman"/>
      <w:i/>
      <w:szCs w:val="20"/>
      <w:lang w:eastAsia="en-US"/>
    </w:rPr>
  </w:style>
  <w:style w:type="character" w:customStyle="1" w:styleId="Heading7Char">
    <w:name w:val="Heading 7 Char"/>
    <w:basedOn w:val="DefaultParagraphFont"/>
    <w:link w:val="Heading7"/>
    <w:rsid w:val="004462A0"/>
    <w:rPr>
      <w:rFonts w:ascii="Times New Roman" w:eastAsia="PMingLiU" w:hAnsi="Times New Roman" w:cs="Times New Roman"/>
      <w:i/>
      <w:szCs w:val="20"/>
      <w:lang w:eastAsia="en-US"/>
    </w:rPr>
  </w:style>
  <w:style w:type="character" w:customStyle="1" w:styleId="Heading8Char">
    <w:name w:val="Heading 8 Char"/>
    <w:basedOn w:val="DefaultParagraphFont"/>
    <w:link w:val="Heading8"/>
    <w:rsid w:val="004462A0"/>
    <w:rPr>
      <w:rFonts w:ascii="Times New Roman" w:eastAsia="PMingLiU" w:hAnsi="Times New Roman" w:cs="Times New Roman"/>
      <w:b/>
      <w:bCs/>
      <w:szCs w:val="24"/>
      <w:lang w:eastAsia="en-US"/>
    </w:rPr>
  </w:style>
  <w:style w:type="character" w:customStyle="1" w:styleId="Heading9Char">
    <w:name w:val="Heading 9 Char"/>
    <w:basedOn w:val="DefaultParagraphFont"/>
    <w:link w:val="Heading9"/>
    <w:rsid w:val="004462A0"/>
    <w:rPr>
      <w:rFonts w:ascii="Times New Roman" w:eastAsia="PMingLiU" w:hAnsi="Times New Roman" w:cs="Times New Roman"/>
      <w:szCs w:val="24"/>
      <w:u w:val="single"/>
      <w:lang w:eastAsia="en-US"/>
    </w:rPr>
  </w:style>
  <w:style w:type="paragraph" w:styleId="EndnoteText">
    <w:name w:val="endnote text"/>
    <w:basedOn w:val="Normal"/>
    <w:next w:val="Normal"/>
    <w:link w:val="EndnoteTextChar"/>
    <w:rsid w:val="004462A0"/>
    <w:pPr>
      <w:tabs>
        <w:tab w:val="left" w:pos="567"/>
      </w:tabs>
    </w:pPr>
    <w:rPr>
      <w:sz w:val="22"/>
      <w:szCs w:val="20"/>
    </w:rPr>
  </w:style>
  <w:style w:type="character" w:customStyle="1" w:styleId="EndnoteTextChar">
    <w:name w:val="Endnote Text Char"/>
    <w:basedOn w:val="DefaultParagraphFont"/>
    <w:link w:val="EndnoteText"/>
    <w:rsid w:val="004462A0"/>
    <w:rPr>
      <w:rFonts w:ascii="Times New Roman" w:eastAsia="PMingLiU" w:hAnsi="Times New Roman" w:cs="Times New Roman"/>
      <w:szCs w:val="20"/>
      <w:lang w:eastAsia="en-US"/>
    </w:rPr>
  </w:style>
  <w:style w:type="paragraph" w:styleId="BodyTextIndent">
    <w:name w:val="Body Text Indent"/>
    <w:basedOn w:val="Normal"/>
    <w:link w:val="BodyTextIndentChar"/>
    <w:rsid w:val="004462A0"/>
    <w:pPr>
      <w:ind w:left="567" w:hanging="567"/>
    </w:pPr>
    <w:rPr>
      <w:b/>
      <w:color w:val="808080"/>
      <w:sz w:val="22"/>
      <w:szCs w:val="20"/>
    </w:rPr>
  </w:style>
  <w:style w:type="character" w:customStyle="1" w:styleId="BodyTextIndentChar">
    <w:name w:val="Body Text Indent Char"/>
    <w:basedOn w:val="DefaultParagraphFont"/>
    <w:link w:val="BodyTextIndent"/>
    <w:rsid w:val="004462A0"/>
    <w:rPr>
      <w:rFonts w:ascii="Times New Roman" w:eastAsia="PMingLiU" w:hAnsi="Times New Roman" w:cs="Times New Roman"/>
      <w:b/>
      <w:color w:val="808080"/>
      <w:szCs w:val="20"/>
      <w:lang w:eastAsia="en-US"/>
    </w:rPr>
  </w:style>
  <w:style w:type="paragraph" w:customStyle="1" w:styleId="Corpodetexto1">
    <w:name w:val="Corpo de texto1"/>
    <w:rsid w:val="004462A0"/>
    <w:pPr>
      <w:tabs>
        <w:tab w:val="left" w:pos="1152"/>
        <w:tab w:val="left" w:pos="1872"/>
      </w:tabs>
      <w:overflowPunct w:val="0"/>
      <w:autoSpaceDE w:val="0"/>
      <w:autoSpaceDN w:val="0"/>
      <w:adjustRightInd w:val="0"/>
      <w:spacing w:after="240" w:line="288" w:lineRule="auto"/>
      <w:ind w:left="1151"/>
      <w:jc w:val="both"/>
      <w:textAlignment w:val="baseline"/>
    </w:pPr>
    <w:rPr>
      <w:rFonts w:ascii="Times New Roman" w:eastAsia="PMingLiU" w:hAnsi="Times New Roman" w:cs="Times New Roman"/>
      <w:sz w:val="24"/>
      <w:szCs w:val="20"/>
      <w:lang w:val="en-US" w:eastAsia="en-US"/>
    </w:rPr>
  </w:style>
  <w:style w:type="paragraph" w:customStyle="1" w:styleId="In-texttable">
    <w:name w:val="In-text table"/>
    <w:basedOn w:val="Normal"/>
    <w:rsid w:val="004462A0"/>
    <w:pPr>
      <w:keepNext/>
      <w:overflowPunct w:val="0"/>
      <w:autoSpaceDE w:val="0"/>
      <w:autoSpaceDN w:val="0"/>
      <w:adjustRightInd w:val="0"/>
      <w:spacing w:line="288" w:lineRule="auto"/>
      <w:textAlignment w:val="baseline"/>
    </w:pPr>
    <w:rPr>
      <w:rFonts w:ascii="Arial" w:hAnsi="Arial"/>
      <w:sz w:val="16"/>
      <w:szCs w:val="20"/>
      <w:lang w:val="en-US"/>
    </w:rPr>
  </w:style>
  <w:style w:type="paragraph" w:customStyle="1" w:styleId="In-textfootnote">
    <w:name w:val="In-text footnote"/>
    <w:basedOn w:val="In-texttable"/>
    <w:rsid w:val="004462A0"/>
    <w:pPr>
      <w:tabs>
        <w:tab w:val="left" w:pos="142"/>
      </w:tabs>
      <w:spacing w:before="40"/>
      <w:ind w:left="142" w:hanging="142"/>
    </w:pPr>
  </w:style>
  <w:style w:type="paragraph" w:styleId="BalloonText">
    <w:name w:val="Balloon Text"/>
    <w:basedOn w:val="Normal"/>
    <w:link w:val="BalloonTextChar"/>
    <w:semiHidden/>
    <w:rsid w:val="004462A0"/>
    <w:pPr>
      <w:tabs>
        <w:tab w:val="left" w:pos="567"/>
      </w:tabs>
      <w:spacing w:line="260" w:lineRule="exact"/>
    </w:pPr>
    <w:rPr>
      <w:rFonts w:ascii="Tahoma" w:hAnsi="Tahoma" w:cs="Tahoma"/>
      <w:sz w:val="16"/>
      <w:szCs w:val="16"/>
    </w:rPr>
  </w:style>
  <w:style w:type="character" w:customStyle="1" w:styleId="BalloonTextChar">
    <w:name w:val="Balloon Text Char"/>
    <w:basedOn w:val="DefaultParagraphFont"/>
    <w:link w:val="BalloonText"/>
    <w:semiHidden/>
    <w:rsid w:val="004462A0"/>
    <w:rPr>
      <w:rFonts w:ascii="Tahoma" w:eastAsia="PMingLiU" w:hAnsi="Tahoma" w:cs="Tahoma"/>
      <w:sz w:val="16"/>
      <w:szCs w:val="16"/>
      <w:lang w:eastAsia="en-US"/>
    </w:rPr>
  </w:style>
  <w:style w:type="paragraph" w:styleId="Index1">
    <w:name w:val="index 1"/>
    <w:basedOn w:val="Normal"/>
    <w:next w:val="Normal"/>
    <w:autoRedefine/>
    <w:semiHidden/>
    <w:rsid w:val="004462A0"/>
    <w:pPr>
      <w:spacing w:line="260" w:lineRule="atLeast"/>
      <w:ind w:left="220" w:hanging="220"/>
    </w:pPr>
    <w:rPr>
      <w:sz w:val="22"/>
      <w:szCs w:val="20"/>
      <w:lang w:val="en-GB"/>
    </w:rPr>
  </w:style>
  <w:style w:type="paragraph" w:styleId="IndexHeading">
    <w:name w:val="index heading"/>
    <w:basedOn w:val="Normal"/>
    <w:next w:val="Index1"/>
    <w:semiHidden/>
    <w:rsid w:val="004462A0"/>
    <w:pPr>
      <w:tabs>
        <w:tab w:val="left" w:pos="567"/>
      </w:tabs>
      <w:spacing w:line="260" w:lineRule="atLeast"/>
    </w:pPr>
    <w:rPr>
      <w:rFonts w:ascii="Arial" w:hAnsi="Arial"/>
      <w:b/>
      <w:sz w:val="22"/>
      <w:szCs w:val="20"/>
      <w:lang w:val="en-GB"/>
    </w:rPr>
  </w:style>
  <w:style w:type="paragraph" w:styleId="CommentText">
    <w:name w:val="annotation text"/>
    <w:basedOn w:val="Normal"/>
    <w:link w:val="CommentTextChar"/>
    <w:semiHidden/>
    <w:rsid w:val="004462A0"/>
    <w:pPr>
      <w:tabs>
        <w:tab w:val="left" w:pos="567"/>
      </w:tabs>
      <w:spacing w:line="260" w:lineRule="exact"/>
    </w:pPr>
    <w:rPr>
      <w:sz w:val="20"/>
      <w:szCs w:val="20"/>
    </w:rPr>
  </w:style>
  <w:style w:type="character" w:customStyle="1" w:styleId="CommentTextChar">
    <w:name w:val="Comment Text Char"/>
    <w:basedOn w:val="DefaultParagraphFont"/>
    <w:link w:val="CommentText"/>
    <w:semiHidden/>
    <w:rsid w:val="004462A0"/>
    <w:rPr>
      <w:rFonts w:ascii="Times New Roman" w:eastAsia="PMingLiU" w:hAnsi="Times New Roman" w:cs="Times New Roman"/>
      <w:sz w:val="20"/>
      <w:szCs w:val="20"/>
      <w:lang w:eastAsia="en-US"/>
    </w:rPr>
  </w:style>
  <w:style w:type="paragraph" w:styleId="Header">
    <w:name w:val="header"/>
    <w:basedOn w:val="Normal"/>
    <w:link w:val="HeaderChar"/>
    <w:rsid w:val="004462A0"/>
    <w:pPr>
      <w:tabs>
        <w:tab w:val="left" w:pos="567"/>
        <w:tab w:val="center" w:pos="4153"/>
        <w:tab w:val="right" w:pos="8306"/>
      </w:tabs>
    </w:pPr>
    <w:rPr>
      <w:rFonts w:ascii="Helvetica" w:hAnsi="Helvetica"/>
      <w:sz w:val="20"/>
      <w:szCs w:val="20"/>
    </w:rPr>
  </w:style>
  <w:style w:type="character" w:customStyle="1" w:styleId="HeaderChar">
    <w:name w:val="Header Char"/>
    <w:basedOn w:val="DefaultParagraphFont"/>
    <w:link w:val="Header"/>
    <w:rsid w:val="004462A0"/>
    <w:rPr>
      <w:rFonts w:ascii="Helvetica" w:eastAsia="PMingLiU" w:hAnsi="Helvetica" w:cs="Times New Roman"/>
      <w:sz w:val="20"/>
      <w:szCs w:val="20"/>
      <w:lang w:eastAsia="en-US"/>
    </w:rPr>
  </w:style>
  <w:style w:type="paragraph" w:styleId="BodyTextIndent3">
    <w:name w:val="Body Text Indent 3"/>
    <w:basedOn w:val="Normal"/>
    <w:link w:val="BodyTextIndent3Char"/>
    <w:rsid w:val="004462A0"/>
    <w:pPr>
      <w:tabs>
        <w:tab w:val="left" w:pos="567"/>
      </w:tabs>
      <w:spacing w:line="260" w:lineRule="exact"/>
      <w:ind w:left="567" w:hanging="567"/>
    </w:pPr>
    <w:rPr>
      <w:i/>
      <w:color w:val="008000"/>
      <w:sz w:val="22"/>
      <w:szCs w:val="20"/>
    </w:rPr>
  </w:style>
  <w:style w:type="character" w:customStyle="1" w:styleId="BodyTextIndent3Char">
    <w:name w:val="Body Text Indent 3 Char"/>
    <w:basedOn w:val="DefaultParagraphFont"/>
    <w:link w:val="BodyTextIndent3"/>
    <w:rsid w:val="004462A0"/>
    <w:rPr>
      <w:rFonts w:ascii="Times New Roman" w:eastAsia="PMingLiU" w:hAnsi="Times New Roman" w:cs="Times New Roman"/>
      <w:i/>
      <w:color w:val="008000"/>
      <w:szCs w:val="20"/>
      <w:lang w:eastAsia="en-US"/>
    </w:rPr>
  </w:style>
  <w:style w:type="paragraph" w:styleId="BodyTextIndent2">
    <w:name w:val="Body Text Indent 2"/>
    <w:basedOn w:val="Normal"/>
    <w:link w:val="BodyTextIndent2Char"/>
    <w:rsid w:val="004462A0"/>
    <w:pPr>
      <w:ind w:left="567" w:hanging="567"/>
    </w:pPr>
    <w:rPr>
      <w:b/>
      <w:sz w:val="22"/>
    </w:rPr>
  </w:style>
  <w:style w:type="character" w:customStyle="1" w:styleId="BodyTextIndent2Char">
    <w:name w:val="Body Text Indent 2 Char"/>
    <w:basedOn w:val="DefaultParagraphFont"/>
    <w:link w:val="BodyTextIndent2"/>
    <w:rsid w:val="004462A0"/>
    <w:rPr>
      <w:rFonts w:ascii="Times New Roman" w:eastAsia="PMingLiU" w:hAnsi="Times New Roman" w:cs="Times New Roman"/>
      <w:b/>
      <w:szCs w:val="24"/>
      <w:lang w:eastAsia="en-US"/>
    </w:rPr>
  </w:style>
  <w:style w:type="paragraph" w:styleId="BodyText">
    <w:name w:val="Body Text"/>
    <w:basedOn w:val="Normal"/>
    <w:link w:val="BodyTextChar"/>
    <w:rsid w:val="004462A0"/>
    <w:pPr>
      <w:tabs>
        <w:tab w:val="left" w:pos="720"/>
      </w:tabs>
      <w:jc w:val="both"/>
    </w:pPr>
  </w:style>
  <w:style w:type="character" w:customStyle="1" w:styleId="BodyTextChar">
    <w:name w:val="Body Text Char"/>
    <w:basedOn w:val="DefaultParagraphFont"/>
    <w:link w:val="BodyText"/>
    <w:rsid w:val="004462A0"/>
    <w:rPr>
      <w:rFonts w:ascii="Times New Roman" w:eastAsia="PMingLiU" w:hAnsi="Times New Roman" w:cs="Times New Roman"/>
      <w:sz w:val="24"/>
      <w:szCs w:val="24"/>
      <w:lang w:eastAsia="en-US"/>
    </w:rPr>
  </w:style>
  <w:style w:type="paragraph" w:styleId="BodyText2">
    <w:name w:val="Body Text 2"/>
    <w:basedOn w:val="Normal"/>
    <w:link w:val="BodyText2Char"/>
    <w:rsid w:val="004462A0"/>
    <w:pPr>
      <w:autoSpaceDE w:val="0"/>
      <w:autoSpaceDN w:val="0"/>
      <w:adjustRightInd w:val="0"/>
    </w:pPr>
    <w:rPr>
      <w:sz w:val="22"/>
    </w:rPr>
  </w:style>
  <w:style w:type="character" w:customStyle="1" w:styleId="BodyText2Char">
    <w:name w:val="Body Text 2 Char"/>
    <w:basedOn w:val="DefaultParagraphFont"/>
    <w:link w:val="BodyText2"/>
    <w:rsid w:val="004462A0"/>
    <w:rPr>
      <w:rFonts w:ascii="Times New Roman" w:eastAsia="PMingLiU" w:hAnsi="Times New Roman" w:cs="Times New Roman"/>
      <w:szCs w:val="24"/>
      <w:lang w:eastAsia="en-US"/>
    </w:rPr>
  </w:style>
  <w:style w:type="paragraph" w:styleId="BodyText3">
    <w:name w:val="Body Text 3"/>
    <w:basedOn w:val="Normal"/>
    <w:link w:val="BodyText3Char"/>
    <w:rsid w:val="004462A0"/>
    <w:pPr>
      <w:ind w:right="-2"/>
    </w:pPr>
    <w:rPr>
      <w:sz w:val="22"/>
    </w:rPr>
  </w:style>
  <w:style w:type="character" w:customStyle="1" w:styleId="BodyText3Char">
    <w:name w:val="Body Text 3 Char"/>
    <w:basedOn w:val="DefaultParagraphFont"/>
    <w:link w:val="BodyText3"/>
    <w:rsid w:val="004462A0"/>
    <w:rPr>
      <w:rFonts w:ascii="Times New Roman" w:eastAsia="PMingLiU" w:hAnsi="Times New Roman" w:cs="Times New Roman"/>
      <w:szCs w:val="24"/>
      <w:lang w:eastAsia="en-US"/>
    </w:rPr>
  </w:style>
  <w:style w:type="paragraph" w:styleId="Footer">
    <w:name w:val="footer"/>
    <w:basedOn w:val="Normal"/>
    <w:link w:val="FooterChar"/>
    <w:uiPriority w:val="99"/>
    <w:rsid w:val="004462A0"/>
    <w:pPr>
      <w:tabs>
        <w:tab w:val="center" w:pos="4320"/>
        <w:tab w:val="right" w:pos="8640"/>
      </w:tabs>
    </w:pPr>
  </w:style>
  <w:style w:type="character" w:customStyle="1" w:styleId="FooterChar">
    <w:name w:val="Footer Char"/>
    <w:basedOn w:val="DefaultParagraphFont"/>
    <w:link w:val="Footer"/>
    <w:uiPriority w:val="99"/>
    <w:rsid w:val="004462A0"/>
    <w:rPr>
      <w:rFonts w:ascii="Times New Roman" w:eastAsia="PMingLiU" w:hAnsi="Times New Roman" w:cs="Times New Roman"/>
      <w:sz w:val="24"/>
      <w:szCs w:val="24"/>
      <w:lang w:eastAsia="en-US"/>
    </w:rPr>
  </w:style>
  <w:style w:type="character" w:styleId="PageNumber">
    <w:name w:val="page number"/>
    <w:rsid w:val="004462A0"/>
    <w:rPr>
      <w:rFonts w:cs="Times New Roman"/>
    </w:rPr>
  </w:style>
  <w:style w:type="paragraph" w:styleId="Title">
    <w:name w:val="Title"/>
    <w:basedOn w:val="Normal"/>
    <w:link w:val="TitleChar"/>
    <w:qFormat/>
    <w:rsid w:val="004462A0"/>
    <w:pPr>
      <w:jc w:val="center"/>
    </w:pPr>
    <w:rPr>
      <w:b/>
      <w:szCs w:val="20"/>
      <w:u w:val="single"/>
      <w:lang w:val="fr-FR" w:eastAsia="sv-SE"/>
    </w:rPr>
  </w:style>
  <w:style w:type="character" w:customStyle="1" w:styleId="TitleChar">
    <w:name w:val="Title Char"/>
    <w:basedOn w:val="DefaultParagraphFont"/>
    <w:link w:val="Title"/>
    <w:rsid w:val="004462A0"/>
    <w:rPr>
      <w:rFonts w:ascii="Times New Roman" w:eastAsia="PMingLiU" w:hAnsi="Times New Roman" w:cs="Times New Roman"/>
      <w:b/>
      <w:sz w:val="24"/>
      <w:szCs w:val="20"/>
      <w:u w:val="single"/>
      <w:lang w:val="fr-FR" w:eastAsia="sv-SE"/>
    </w:rPr>
  </w:style>
  <w:style w:type="paragraph" w:styleId="BlockText">
    <w:name w:val="Block Text"/>
    <w:basedOn w:val="Normal"/>
    <w:rsid w:val="004462A0"/>
    <w:pPr>
      <w:tabs>
        <w:tab w:val="left" w:pos="720"/>
        <w:tab w:val="left" w:pos="8200"/>
      </w:tabs>
      <w:ind w:left="100" w:right="871"/>
    </w:pPr>
    <w:rPr>
      <w:lang w:val="en-US"/>
    </w:rPr>
  </w:style>
  <w:style w:type="paragraph" w:customStyle="1" w:styleId="EMEAHeadingUnderline">
    <w:name w:val="EMEA Heading Underline"/>
    <w:next w:val="Normal"/>
    <w:rsid w:val="004462A0"/>
    <w:pPr>
      <w:tabs>
        <w:tab w:val="left" w:pos="562"/>
      </w:tabs>
      <w:suppressAutoHyphens/>
      <w:spacing w:before="100" w:after="100" w:line="240" w:lineRule="auto"/>
    </w:pPr>
    <w:rPr>
      <w:rFonts w:ascii="Times New Roman" w:eastAsia="PMingLiU" w:hAnsi="Times New Roman" w:cs="Times New Roman"/>
      <w:szCs w:val="20"/>
      <w:u w:val="single"/>
      <w:lang w:val="en-US" w:eastAsia="en-US"/>
    </w:rPr>
  </w:style>
  <w:style w:type="paragraph" w:customStyle="1" w:styleId="EMEAFigureTitle">
    <w:name w:val="EMEA Figure Title"/>
    <w:basedOn w:val="EMEANormal"/>
    <w:next w:val="EMEANormal"/>
    <w:rsid w:val="004462A0"/>
  </w:style>
  <w:style w:type="paragraph" w:customStyle="1" w:styleId="EMEANormal">
    <w:name w:val="EMEA Normal"/>
    <w:link w:val="EMEANormalChar"/>
    <w:rsid w:val="004462A0"/>
    <w:pPr>
      <w:tabs>
        <w:tab w:val="left" w:pos="562"/>
      </w:tabs>
      <w:suppressAutoHyphens/>
      <w:spacing w:after="0" w:line="240" w:lineRule="auto"/>
    </w:pPr>
    <w:rPr>
      <w:rFonts w:ascii="Times New Roman" w:eastAsia="PMingLiU" w:hAnsi="Times New Roman" w:cs="Times New Roman"/>
      <w:szCs w:val="20"/>
      <w:lang w:val="en-US" w:eastAsia="en-US"/>
    </w:rPr>
  </w:style>
  <w:style w:type="paragraph" w:customStyle="1" w:styleId="EMEATitle">
    <w:name w:val="EMEA Title"/>
    <w:rsid w:val="004462A0"/>
    <w:pPr>
      <w:tabs>
        <w:tab w:val="left" w:pos="562"/>
      </w:tabs>
      <w:suppressAutoHyphens/>
      <w:spacing w:after="0" w:line="240" w:lineRule="auto"/>
      <w:jc w:val="center"/>
    </w:pPr>
    <w:rPr>
      <w:rFonts w:ascii="Times New Roman Bold" w:eastAsia="PMingLiU" w:hAnsi="Times New Roman Bold" w:cs="Times New Roman"/>
      <w:b/>
      <w:caps/>
      <w:szCs w:val="20"/>
      <w:lang w:val="en-US" w:eastAsia="en-US"/>
    </w:rPr>
  </w:style>
  <w:style w:type="paragraph" w:customStyle="1" w:styleId="DefaultText">
    <w:name w:val="Default Text"/>
    <w:basedOn w:val="Normal"/>
    <w:rsid w:val="004462A0"/>
    <w:pPr>
      <w:overflowPunct w:val="0"/>
      <w:autoSpaceDE w:val="0"/>
      <w:autoSpaceDN w:val="0"/>
      <w:adjustRightInd w:val="0"/>
      <w:textAlignment w:val="baseline"/>
    </w:pPr>
    <w:rPr>
      <w:rFonts w:ascii="Arial" w:hAnsi="Arial"/>
      <w:bCs/>
      <w:iCs/>
      <w:sz w:val="22"/>
      <w:szCs w:val="20"/>
      <w:lang w:val="en-US"/>
    </w:rPr>
  </w:style>
  <w:style w:type="paragraph" w:customStyle="1" w:styleId="Textodebalo1">
    <w:name w:val="Texto de balão1"/>
    <w:basedOn w:val="Normal"/>
    <w:semiHidden/>
    <w:rsid w:val="004462A0"/>
    <w:rPr>
      <w:rFonts w:ascii="Tahoma" w:hAnsi="Tahoma" w:cs="Tahoma"/>
      <w:sz w:val="16"/>
      <w:szCs w:val="16"/>
    </w:rPr>
  </w:style>
  <w:style w:type="character" w:styleId="CommentReference">
    <w:name w:val="annotation reference"/>
    <w:semiHidden/>
    <w:rsid w:val="004462A0"/>
    <w:rPr>
      <w:rFonts w:cs="Times New Roman"/>
      <w:sz w:val="16"/>
      <w:szCs w:val="16"/>
    </w:rPr>
  </w:style>
  <w:style w:type="paragraph" w:customStyle="1" w:styleId="Assuntodecomentrio1">
    <w:name w:val="Assunto de comentário1"/>
    <w:basedOn w:val="CommentText"/>
    <w:next w:val="CommentText"/>
    <w:semiHidden/>
    <w:rsid w:val="004462A0"/>
    <w:pPr>
      <w:tabs>
        <w:tab w:val="clear" w:pos="567"/>
      </w:tabs>
      <w:spacing w:line="240" w:lineRule="auto"/>
    </w:pPr>
    <w:rPr>
      <w:b/>
      <w:bCs/>
    </w:rPr>
  </w:style>
  <w:style w:type="paragraph" w:customStyle="1" w:styleId="TableText">
    <w:name w:val="Table Text"/>
    <w:rsid w:val="004462A0"/>
    <w:pPr>
      <w:keepNext/>
      <w:keepLines/>
      <w:tabs>
        <w:tab w:val="left" w:pos="360"/>
      </w:tabs>
      <w:suppressAutoHyphens/>
      <w:spacing w:before="40" w:after="40" w:line="240" w:lineRule="exact"/>
    </w:pPr>
    <w:rPr>
      <w:rFonts w:ascii="Times New Roman" w:eastAsia="PMingLiU" w:hAnsi="Times New Roman" w:cs="Times New Roman"/>
      <w:sz w:val="20"/>
      <w:szCs w:val="20"/>
      <w:lang w:val="en-US" w:eastAsia="en-US"/>
    </w:rPr>
  </w:style>
  <w:style w:type="paragraph" w:customStyle="1" w:styleId="EMEABullet2">
    <w:name w:val="EMEA Bullet 2"/>
    <w:basedOn w:val="Normal"/>
    <w:next w:val="EMEANormal"/>
    <w:rsid w:val="004462A0"/>
    <w:pPr>
      <w:tabs>
        <w:tab w:val="left" w:pos="567"/>
      </w:tabs>
      <w:suppressAutoHyphens/>
    </w:pPr>
    <w:rPr>
      <w:sz w:val="22"/>
      <w:szCs w:val="20"/>
      <w:lang w:val="en-US"/>
    </w:rPr>
  </w:style>
  <w:style w:type="paragraph" w:customStyle="1" w:styleId="Default">
    <w:name w:val="Default"/>
    <w:rsid w:val="004462A0"/>
    <w:pPr>
      <w:autoSpaceDE w:val="0"/>
      <w:autoSpaceDN w:val="0"/>
      <w:adjustRightInd w:val="0"/>
      <w:spacing w:after="0" w:line="240" w:lineRule="auto"/>
    </w:pPr>
    <w:rPr>
      <w:rFonts w:ascii="Times New Roman" w:eastAsia="PMingLiU" w:hAnsi="Times New Roman" w:cs="Times New Roman"/>
      <w:color w:val="000000"/>
      <w:sz w:val="24"/>
      <w:szCs w:val="24"/>
      <w:lang w:val="en-US" w:eastAsia="en-US"/>
    </w:rPr>
  </w:style>
  <w:style w:type="character" w:customStyle="1" w:styleId="EstiloDeEmail45">
    <w:name w:val="EstiloDeEmail45"/>
    <w:semiHidden/>
    <w:rsid w:val="004462A0"/>
    <w:rPr>
      <w:rFonts w:ascii="Arial" w:hAnsi="Arial" w:cs="Arial"/>
      <w:color w:val="000080"/>
      <w:sz w:val="20"/>
      <w:szCs w:val="20"/>
    </w:rPr>
  </w:style>
  <w:style w:type="paragraph" w:customStyle="1" w:styleId="EMEABullet">
    <w:name w:val="EMEA Bullet"/>
    <w:rsid w:val="004462A0"/>
    <w:pPr>
      <w:tabs>
        <w:tab w:val="num" w:pos="567"/>
      </w:tabs>
      <w:suppressAutoHyphens/>
      <w:spacing w:after="0" w:line="240" w:lineRule="auto"/>
      <w:ind w:left="567" w:hanging="567"/>
    </w:pPr>
    <w:rPr>
      <w:rFonts w:ascii="Times New Roman" w:eastAsia="PMingLiU" w:hAnsi="Times New Roman" w:cs="Times New Roman"/>
      <w:szCs w:val="20"/>
      <w:lang w:val="en-US" w:eastAsia="en-US"/>
    </w:rPr>
  </w:style>
  <w:style w:type="paragraph" w:customStyle="1" w:styleId="EMEAHeading1">
    <w:name w:val="EMEA Heading 1"/>
    <w:next w:val="EMEANormal"/>
    <w:rsid w:val="004462A0"/>
    <w:pPr>
      <w:tabs>
        <w:tab w:val="left" w:pos="562"/>
      </w:tabs>
      <w:suppressAutoHyphens/>
      <w:spacing w:before="200" w:after="100" w:line="240" w:lineRule="auto"/>
      <w:outlineLvl w:val="0"/>
    </w:pPr>
    <w:rPr>
      <w:rFonts w:ascii="Times New Roman Bold" w:eastAsia="PMingLiU" w:hAnsi="Times New Roman Bold" w:cs="Times New Roman"/>
      <w:b/>
      <w:caps/>
      <w:szCs w:val="20"/>
      <w:lang w:val="en-US" w:eastAsia="en-US"/>
    </w:rPr>
  </w:style>
  <w:style w:type="paragraph" w:customStyle="1" w:styleId="EMEAHeading2SPC">
    <w:name w:val="EMEA Heading 2 SPC"/>
    <w:next w:val="EMEANormal"/>
    <w:rsid w:val="004462A0"/>
    <w:pPr>
      <w:tabs>
        <w:tab w:val="left" w:pos="562"/>
      </w:tabs>
      <w:spacing w:before="100" w:after="100" w:line="240" w:lineRule="auto"/>
      <w:outlineLvl w:val="1"/>
    </w:pPr>
    <w:rPr>
      <w:rFonts w:ascii="Times New Roman Bold" w:eastAsia="PMingLiU" w:hAnsi="Times New Roman Bold" w:cs="Times New Roman"/>
      <w:b/>
      <w:szCs w:val="20"/>
      <w:lang w:val="en-US" w:eastAsia="en-US"/>
    </w:rPr>
  </w:style>
  <w:style w:type="paragraph" w:customStyle="1" w:styleId="EMEAHeadingBoxed">
    <w:name w:val="EMEA Heading Boxed"/>
    <w:next w:val="EMEANormal"/>
    <w:rsid w:val="004462A0"/>
    <w:pPr>
      <w:pBdr>
        <w:top w:val="single" w:sz="4" w:space="1" w:color="auto"/>
        <w:left w:val="single" w:sz="4" w:space="4" w:color="auto"/>
        <w:bottom w:val="single" w:sz="4" w:space="1" w:color="auto"/>
        <w:right w:val="single" w:sz="4" w:space="4" w:color="auto"/>
      </w:pBdr>
      <w:tabs>
        <w:tab w:val="left" w:pos="562"/>
      </w:tabs>
      <w:suppressAutoHyphens/>
      <w:spacing w:before="200" w:after="100" w:line="240" w:lineRule="auto"/>
      <w:ind w:left="562" w:hanging="562"/>
    </w:pPr>
    <w:rPr>
      <w:rFonts w:ascii="Times New Roman Bold" w:eastAsia="PMingLiU" w:hAnsi="Times New Roman Bold" w:cs="Times New Roman"/>
      <w:b/>
      <w:caps/>
      <w:szCs w:val="20"/>
      <w:lang w:val="en-US" w:eastAsia="en-US"/>
    </w:rPr>
  </w:style>
  <w:style w:type="paragraph" w:customStyle="1" w:styleId="EMEAHeadingItalic">
    <w:name w:val="EMEA Heading Italic"/>
    <w:next w:val="EMEANormal"/>
    <w:rsid w:val="004462A0"/>
    <w:pPr>
      <w:tabs>
        <w:tab w:val="left" w:pos="562"/>
      </w:tabs>
      <w:suppressAutoHyphens/>
      <w:spacing w:before="100" w:after="100" w:line="240" w:lineRule="auto"/>
    </w:pPr>
    <w:rPr>
      <w:rFonts w:ascii="Times New Roman" w:eastAsia="PMingLiU" w:hAnsi="Times New Roman" w:cs="Times New Roman"/>
      <w:i/>
      <w:szCs w:val="20"/>
      <w:lang w:val="en-US" w:eastAsia="en-US"/>
    </w:rPr>
  </w:style>
  <w:style w:type="paragraph" w:customStyle="1" w:styleId="EMEAHeadingLeaflet">
    <w:name w:val="EMEA Heading Leaflet"/>
    <w:next w:val="EMEANormal"/>
    <w:rsid w:val="004462A0"/>
    <w:pPr>
      <w:tabs>
        <w:tab w:val="left" w:pos="562"/>
      </w:tabs>
      <w:suppressAutoHyphens/>
      <w:spacing w:before="100" w:after="100" w:line="240" w:lineRule="auto"/>
    </w:pPr>
    <w:rPr>
      <w:rFonts w:ascii="Times New Roman Bold" w:eastAsia="PMingLiU" w:hAnsi="Times New Roman Bold" w:cs="Times New Roman"/>
      <w:b/>
      <w:szCs w:val="20"/>
      <w:lang w:val="en-US" w:eastAsia="en-US"/>
    </w:rPr>
  </w:style>
  <w:style w:type="paragraph" w:customStyle="1" w:styleId="EMEAHeadingUI">
    <w:name w:val="EMEA Heading UI"/>
    <w:next w:val="EMEANormal"/>
    <w:rsid w:val="004462A0"/>
    <w:pPr>
      <w:tabs>
        <w:tab w:val="left" w:pos="562"/>
      </w:tabs>
      <w:suppressAutoHyphens/>
      <w:spacing w:before="100" w:after="100" w:line="240" w:lineRule="auto"/>
    </w:pPr>
    <w:rPr>
      <w:rFonts w:ascii="Times New Roman" w:eastAsia="PMingLiU" w:hAnsi="Times New Roman" w:cs="Times New Roman"/>
      <w:i/>
      <w:szCs w:val="20"/>
      <w:u w:val="single"/>
      <w:lang w:val="en-US" w:eastAsia="en-US"/>
    </w:rPr>
  </w:style>
  <w:style w:type="paragraph" w:customStyle="1" w:styleId="EMEAHint">
    <w:name w:val="EMEA Hint"/>
    <w:next w:val="EMEANormal"/>
    <w:rsid w:val="004462A0"/>
    <w:pPr>
      <w:tabs>
        <w:tab w:val="left" w:pos="562"/>
      </w:tabs>
      <w:suppressAutoHyphens/>
      <w:spacing w:after="0" w:line="240" w:lineRule="auto"/>
    </w:pPr>
    <w:rPr>
      <w:rFonts w:ascii="Times New Roman" w:eastAsia="PMingLiU" w:hAnsi="Times New Roman" w:cs="Times New Roman"/>
      <w:i/>
      <w:color w:val="008000"/>
      <w:szCs w:val="20"/>
      <w:lang w:val="en-US" w:eastAsia="en-US"/>
    </w:rPr>
  </w:style>
  <w:style w:type="paragraph" w:customStyle="1" w:styleId="EMEAFooter">
    <w:name w:val="EMEA Footer"/>
    <w:rsid w:val="004462A0"/>
    <w:pPr>
      <w:suppressAutoHyphens/>
      <w:spacing w:after="0" w:line="240" w:lineRule="auto"/>
      <w:jc w:val="center"/>
    </w:pPr>
    <w:rPr>
      <w:rFonts w:ascii="Helvetica" w:eastAsia="PMingLiU" w:hAnsi="Helvetica" w:cs="Times New Roman"/>
      <w:sz w:val="16"/>
      <w:szCs w:val="20"/>
      <w:lang w:val="en-US" w:eastAsia="en-US"/>
    </w:rPr>
  </w:style>
  <w:style w:type="paragraph" w:customStyle="1" w:styleId="EMEAHeading2SPCEmpty">
    <w:name w:val="EMEA Heading 2 SPC Empty"/>
    <w:basedOn w:val="EMEAHeading2SPC"/>
    <w:next w:val="EMEANormal"/>
    <w:rsid w:val="004462A0"/>
    <w:pPr>
      <w:spacing w:before="0"/>
    </w:pPr>
  </w:style>
  <w:style w:type="paragraph" w:customStyle="1" w:styleId="EMEAHeading1Para1">
    <w:name w:val="EMEA Heading 1 Para 1"/>
    <w:basedOn w:val="EMEAHeading1"/>
    <w:next w:val="EMEANormal"/>
    <w:rsid w:val="004462A0"/>
    <w:pPr>
      <w:spacing w:before="0"/>
    </w:pPr>
  </w:style>
  <w:style w:type="paragraph" w:customStyle="1" w:styleId="EMEAHeadingBoxedEmpty">
    <w:name w:val="EMEA Heading Boxed Empty"/>
    <w:basedOn w:val="EMEAHeadingBoxed"/>
    <w:next w:val="EMEANormal"/>
    <w:rsid w:val="004462A0"/>
    <w:pPr>
      <w:spacing w:after="0"/>
    </w:pPr>
  </w:style>
  <w:style w:type="paragraph" w:customStyle="1" w:styleId="EMEAHeadingBoxed1">
    <w:name w:val="EMEA Heading Boxed 1"/>
    <w:basedOn w:val="EMEAHeadingBoxed"/>
    <w:rsid w:val="004462A0"/>
    <w:pPr>
      <w:spacing w:before="240" w:after="240"/>
      <w:ind w:left="561" w:hanging="561"/>
    </w:pPr>
    <w:rPr>
      <w:lang w:val="en-GB"/>
    </w:rPr>
  </w:style>
  <w:style w:type="paragraph" w:customStyle="1" w:styleId="EMEAHeadingBoxedTitle">
    <w:name w:val="EMEA Heading Boxed Title"/>
    <w:basedOn w:val="EMEAHeadingBoxed"/>
    <w:rsid w:val="004462A0"/>
    <w:pPr>
      <w:spacing w:before="0" w:after="0"/>
      <w:ind w:left="561" w:hanging="561"/>
    </w:pPr>
    <w:rPr>
      <w:b w:val="0"/>
      <w:lang w:val="en-GB"/>
    </w:rPr>
  </w:style>
  <w:style w:type="paragraph" w:customStyle="1" w:styleId="a">
    <w:name w:val="_"/>
    <w:rsid w:val="004462A0"/>
    <w:pPr>
      <w:widowControl w:val="0"/>
      <w:spacing w:after="0" w:line="240" w:lineRule="auto"/>
    </w:pPr>
    <w:rPr>
      <w:rFonts w:ascii="Roman" w:eastAsia="PMingLiU" w:hAnsi="Roman" w:cs="Times New Roman"/>
      <w:sz w:val="24"/>
      <w:szCs w:val="20"/>
      <w:lang w:val="en-US" w:eastAsia="en-US"/>
    </w:rPr>
  </w:style>
  <w:style w:type="paragraph" w:styleId="FootnoteText">
    <w:name w:val="footnote text"/>
    <w:basedOn w:val="Normal"/>
    <w:link w:val="FootnoteTextChar"/>
    <w:semiHidden/>
    <w:rsid w:val="004462A0"/>
    <w:pPr>
      <w:tabs>
        <w:tab w:val="left" w:pos="562"/>
      </w:tabs>
      <w:suppressAutoHyphens/>
    </w:pPr>
    <w:rPr>
      <w:sz w:val="20"/>
      <w:lang w:val="en-US"/>
    </w:rPr>
  </w:style>
  <w:style w:type="character" w:customStyle="1" w:styleId="FootnoteTextChar">
    <w:name w:val="Footnote Text Char"/>
    <w:basedOn w:val="DefaultParagraphFont"/>
    <w:link w:val="FootnoteText"/>
    <w:semiHidden/>
    <w:rsid w:val="004462A0"/>
    <w:rPr>
      <w:rFonts w:ascii="Times New Roman" w:eastAsia="PMingLiU" w:hAnsi="Times New Roman" w:cs="Times New Roman"/>
      <w:sz w:val="20"/>
      <w:szCs w:val="24"/>
      <w:lang w:val="en-US" w:eastAsia="en-US"/>
    </w:rPr>
  </w:style>
  <w:style w:type="table" w:styleId="TableGrid">
    <w:name w:val="Table Grid"/>
    <w:basedOn w:val="TableNormal"/>
    <w:rsid w:val="004462A0"/>
    <w:pPr>
      <w:tabs>
        <w:tab w:val="left" w:pos="562"/>
      </w:tabs>
      <w:suppressAutoHyphens/>
      <w:spacing w:after="0" w:line="240" w:lineRule="auto"/>
    </w:pPr>
    <w:rPr>
      <w:rFonts w:ascii="Times New Roman" w:eastAsia="PMingLiU"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rsid w:val="004462A0"/>
    <w:pPr>
      <w:tabs>
        <w:tab w:val="clear" w:pos="567"/>
      </w:tabs>
      <w:spacing w:line="240" w:lineRule="auto"/>
    </w:pPr>
    <w:rPr>
      <w:b/>
      <w:bCs/>
    </w:rPr>
  </w:style>
  <w:style w:type="character" w:customStyle="1" w:styleId="CommentSubjectChar">
    <w:name w:val="Comment Subject Char"/>
    <w:basedOn w:val="CommentTextChar"/>
    <w:link w:val="CommentSubject"/>
    <w:semiHidden/>
    <w:rsid w:val="004462A0"/>
    <w:rPr>
      <w:rFonts w:ascii="Times New Roman" w:eastAsia="PMingLiU" w:hAnsi="Times New Roman" w:cs="Times New Roman"/>
      <w:b/>
      <w:bCs/>
      <w:sz w:val="20"/>
      <w:szCs w:val="20"/>
      <w:lang w:eastAsia="en-US"/>
    </w:rPr>
  </w:style>
  <w:style w:type="character" w:customStyle="1" w:styleId="hps">
    <w:name w:val="hps"/>
    <w:rsid w:val="004462A0"/>
    <w:rPr>
      <w:rFonts w:cs="Times New Roman"/>
    </w:rPr>
  </w:style>
  <w:style w:type="character" w:customStyle="1" w:styleId="longtext">
    <w:name w:val="long_text"/>
    <w:rsid w:val="004462A0"/>
    <w:rPr>
      <w:rFonts w:cs="Times New Roman"/>
    </w:rPr>
  </w:style>
  <w:style w:type="paragraph" w:customStyle="1" w:styleId="BMCENTRED">
    <w:name w:val="BM CENTRED"/>
    <w:basedOn w:val="Normal"/>
    <w:rsid w:val="004462A0"/>
    <w:pPr>
      <w:keepNext/>
      <w:jc w:val="center"/>
    </w:pPr>
    <w:rPr>
      <w:b/>
      <w:sz w:val="22"/>
      <w:szCs w:val="22"/>
    </w:rPr>
  </w:style>
  <w:style w:type="paragraph" w:customStyle="1" w:styleId="BMLeftAligned">
    <w:name w:val="BM Left Aligned"/>
    <w:basedOn w:val="Normal"/>
    <w:rsid w:val="004462A0"/>
    <w:pPr>
      <w:keepNext/>
      <w:ind w:left="600" w:hanging="600"/>
    </w:pPr>
    <w:rPr>
      <w:b/>
      <w:sz w:val="22"/>
      <w:szCs w:val="22"/>
    </w:rPr>
  </w:style>
  <w:style w:type="character" w:customStyle="1" w:styleId="st1">
    <w:name w:val="st1"/>
    <w:rsid w:val="004462A0"/>
    <w:rPr>
      <w:rFonts w:cs="Times New Roman"/>
    </w:rPr>
  </w:style>
  <w:style w:type="character" w:styleId="FootnoteReference">
    <w:name w:val="footnote reference"/>
    <w:semiHidden/>
    <w:rsid w:val="004462A0"/>
    <w:rPr>
      <w:rFonts w:cs="Times New Roman"/>
      <w:vertAlign w:val="superscript"/>
    </w:rPr>
  </w:style>
  <w:style w:type="character" w:customStyle="1" w:styleId="bold4">
    <w:name w:val="bold4"/>
    <w:rsid w:val="004462A0"/>
    <w:rPr>
      <w:rFonts w:cs="Times New Roman"/>
      <w:b/>
      <w:bCs/>
    </w:rPr>
  </w:style>
  <w:style w:type="character" w:customStyle="1" w:styleId="italics5">
    <w:name w:val="italics5"/>
    <w:rsid w:val="004462A0"/>
    <w:rPr>
      <w:rFonts w:cs="Times New Roman"/>
      <w:i/>
      <w:iCs/>
    </w:rPr>
  </w:style>
  <w:style w:type="character" w:customStyle="1" w:styleId="sup1">
    <w:name w:val="sup1"/>
    <w:rsid w:val="004462A0"/>
    <w:rPr>
      <w:rFonts w:cs="Times New Roman"/>
      <w:sz w:val="19"/>
      <w:szCs w:val="19"/>
    </w:rPr>
  </w:style>
  <w:style w:type="paragraph" w:styleId="BodyTextFirstIndent">
    <w:name w:val="Body Text First Indent"/>
    <w:basedOn w:val="BodyText"/>
    <w:link w:val="BodyTextFirstIndentChar"/>
    <w:rsid w:val="004462A0"/>
    <w:pPr>
      <w:tabs>
        <w:tab w:val="clear" w:pos="720"/>
      </w:tabs>
      <w:spacing w:after="120"/>
      <w:ind w:firstLine="210"/>
      <w:jc w:val="left"/>
    </w:pPr>
  </w:style>
  <w:style w:type="character" w:customStyle="1" w:styleId="BodyTextFirstIndentChar">
    <w:name w:val="Body Text First Indent Char"/>
    <w:basedOn w:val="BodyTextChar"/>
    <w:link w:val="BodyTextFirstIndent"/>
    <w:rsid w:val="004462A0"/>
    <w:rPr>
      <w:rFonts w:ascii="Times New Roman" w:eastAsia="PMingLiU" w:hAnsi="Times New Roman" w:cs="Times New Roman"/>
      <w:sz w:val="24"/>
      <w:szCs w:val="24"/>
      <w:lang w:eastAsia="en-US"/>
    </w:rPr>
  </w:style>
  <w:style w:type="paragraph" w:styleId="BodyTextFirstIndent2">
    <w:name w:val="Body Text First Indent 2"/>
    <w:basedOn w:val="BodyTextIndent"/>
    <w:link w:val="BodyTextFirstIndent2Char"/>
    <w:rsid w:val="004462A0"/>
    <w:pPr>
      <w:spacing w:after="120"/>
      <w:ind w:left="283" w:firstLine="210"/>
    </w:pPr>
    <w:rPr>
      <w:b w:val="0"/>
      <w:color w:val="auto"/>
      <w:sz w:val="24"/>
      <w:szCs w:val="24"/>
    </w:rPr>
  </w:style>
  <w:style w:type="character" w:customStyle="1" w:styleId="BodyTextFirstIndent2Char">
    <w:name w:val="Body Text First Indent 2 Char"/>
    <w:basedOn w:val="BodyTextIndentChar"/>
    <w:link w:val="BodyTextFirstIndent2"/>
    <w:rsid w:val="004462A0"/>
    <w:rPr>
      <w:rFonts w:ascii="Times New Roman" w:eastAsia="PMingLiU" w:hAnsi="Times New Roman" w:cs="Times New Roman"/>
      <w:b w:val="0"/>
      <w:color w:val="808080"/>
      <w:sz w:val="24"/>
      <w:szCs w:val="24"/>
      <w:lang w:eastAsia="en-US"/>
    </w:rPr>
  </w:style>
  <w:style w:type="paragraph" w:styleId="Caption">
    <w:name w:val="caption"/>
    <w:basedOn w:val="Normal"/>
    <w:next w:val="Normal"/>
    <w:qFormat/>
    <w:rsid w:val="004462A0"/>
    <w:rPr>
      <w:b/>
      <w:bCs/>
      <w:sz w:val="20"/>
      <w:szCs w:val="20"/>
    </w:rPr>
  </w:style>
  <w:style w:type="paragraph" w:styleId="Closing">
    <w:name w:val="Closing"/>
    <w:basedOn w:val="Normal"/>
    <w:link w:val="ClosingChar"/>
    <w:rsid w:val="004462A0"/>
    <w:pPr>
      <w:ind w:left="4252"/>
    </w:pPr>
  </w:style>
  <w:style w:type="character" w:customStyle="1" w:styleId="ClosingChar">
    <w:name w:val="Closing Char"/>
    <w:basedOn w:val="DefaultParagraphFont"/>
    <w:link w:val="Closing"/>
    <w:rsid w:val="004462A0"/>
    <w:rPr>
      <w:rFonts w:ascii="Times New Roman" w:eastAsia="PMingLiU" w:hAnsi="Times New Roman" w:cs="Times New Roman"/>
      <w:sz w:val="24"/>
      <w:szCs w:val="24"/>
      <w:lang w:eastAsia="en-US"/>
    </w:rPr>
  </w:style>
  <w:style w:type="paragraph" w:styleId="Date">
    <w:name w:val="Date"/>
    <w:basedOn w:val="Normal"/>
    <w:next w:val="Normal"/>
    <w:link w:val="DateChar"/>
    <w:rsid w:val="004462A0"/>
  </w:style>
  <w:style w:type="character" w:customStyle="1" w:styleId="DateChar">
    <w:name w:val="Date Char"/>
    <w:basedOn w:val="DefaultParagraphFont"/>
    <w:link w:val="Date"/>
    <w:rsid w:val="004462A0"/>
    <w:rPr>
      <w:rFonts w:ascii="Times New Roman" w:eastAsia="PMingLiU" w:hAnsi="Times New Roman" w:cs="Times New Roman"/>
      <w:sz w:val="24"/>
      <w:szCs w:val="24"/>
      <w:lang w:eastAsia="en-US"/>
    </w:rPr>
  </w:style>
  <w:style w:type="paragraph" w:styleId="DocumentMap">
    <w:name w:val="Document Map"/>
    <w:basedOn w:val="Normal"/>
    <w:link w:val="DocumentMapChar"/>
    <w:semiHidden/>
    <w:rsid w:val="004462A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4462A0"/>
    <w:rPr>
      <w:rFonts w:ascii="Tahoma" w:eastAsia="PMingLiU" w:hAnsi="Tahoma" w:cs="Tahoma"/>
      <w:sz w:val="20"/>
      <w:szCs w:val="20"/>
      <w:shd w:val="clear" w:color="auto" w:fill="000080"/>
      <w:lang w:eastAsia="en-US"/>
    </w:rPr>
  </w:style>
  <w:style w:type="paragraph" w:styleId="E-mailSignature">
    <w:name w:val="E-mail Signature"/>
    <w:basedOn w:val="Normal"/>
    <w:link w:val="E-mailSignatureChar"/>
    <w:rsid w:val="004462A0"/>
  </w:style>
  <w:style w:type="character" w:customStyle="1" w:styleId="E-mailSignatureChar">
    <w:name w:val="E-mail Signature Char"/>
    <w:basedOn w:val="DefaultParagraphFont"/>
    <w:link w:val="E-mailSignature"/>
    <w:rsid w:val="004462A0"/>
    <w:rPr>
      <w:rFonts w:ascii="Times New Roman" w:eastAsia="PMingLiU" w:hAnsi="Times New Roman" w:cs="Times New Roman"/>
      <w:sz w:val="24"/>
      <w:szCs w:val="24"/>
      <w:lang w:eastAsia="en-US"/>
    </w:rPr>
  </w:style>
  <w:style w:type="paragraph" w:styleId="EnvelopeAddress">
    <w:name w:val="envelope address"/>
    <w:basedOn w:val="Normal"/>
    <w:rsid w:val="004462A0"/>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4462A0"/>
    <w:rPr>
      <w:rFonts w:ascii="Arial" w:hAnsi="Arial" w:cs="Arial"/>
      <w:sz w:val="20"/>
      <w:szCs w:val="20"/>
    </w:rPr>
  </w:style>
  <w:style w:type="paragraph" w:styleId="HTMLAddress">
    <w:name w:val="HTML Address"/>
    <w:basedOn w:val="Normal"/>
    <w:link w:val="HTMLAddressChar"/>
    <w:rsid w:val="004462A0"/>
    <w:rPr>
      <w:i/>
      <w:iCs/>
    </w:rPr>
  </w:style>
  <w:style w:type="character" w:customStyle="1" w:styleId="HTMLAddressChar">
    <w:name w:val="HTML Address Char"/>
    <w:basedOn w:val="DefaultParagraphFont"/>
    <w:link w:val="HTMLAddress"/>
    <w:rsid w:val="004462A0"/>
    <w:rPr>
      <w:rFonts w:ascii="Times New Roman" w:eastAsia="PMingLiU" w:hAnsi="Times New Roman" w:cs="Times New Roman"/>
      <w:i/>
      <w:iCs/>
      <w:sz w:val="24"/>
      <w:szCs w:val="24"/>
      <w:lang w:eastAsia="en-US"/>
    </w:rPr>
  </w:style>
  <w:style w:type="paragraph" w:styleId="HTMLPreformatted">
    <w:name w:val="HTML Preformatted"/>
    <w:basedOn w:val="Normal"/>
    <w:link w:val="HTMLPreformattedChar"/>
    <w:rsid w:val="004462A0"/>
    <w:rPr>
      <w:rFonts w:ascii="Courier New" w:hAnsi="Courier New" w:cs="Courier New"/>
      <w:sz w:val="20"/>
      <w:szCs w:val="20"/>
    </w:rPr>
  </w:style>
  <w:style w:type="character" w:customStyle="1" w:styleId="HTMLPreformattedChar">
    <w:name w:val="HTML Preformatted Char"/>
    <w:basedOn w:val="DefaultParagraphFont"/>
    <w:link w:val="HTMLPreformatted"/>
    <w:rsid w:val="004462A0"/>
    <w:rPr>
      <w:rFonts w:ascii="Courier New" w:eastAsia="PMingLiU" w:hAnsi="Courier New" w:cs="Courier New"/>
      <w:sz w:val="20"/>
      <w:szCs w:val="20"/>
      <w:lang w:eastAsia="en-US"/>
    </w:rPr>
  </w:style>
  <w:style w:type="paragraph" w:styleId="Index2">
    <w:name w:val="index 2"/>
    <w:basedOn w:val="Normal"/>
    <w:next w:val="Normal"/>
    <w:autoRedefine/>
    <w:semiHidden/>
    <w:rsid w:val="004462A0"/>
    <w:pPr>
      <w:ind w:left="480" w:hanging="240"/>
    </w:pPr>
  </w:style>
  <w:style w:type="paragraph" w:styleId="Index3">
    <w:name w:val="index 3"/>
    <w:basedOn w:val="Normal"/>
    <w:next w:val="Normal"/>
    <w:autoRedefine/>
    <w:semiHidden/>
    <w:rsid w:val="004462A0"/>
    <w:pPr>
      <w:ind w:left="720" w:hanging="240"/>
    </w:pPr>
  </w:style>
  <w:style w:type="paragraph" w:styleId="Index4">
    <w:name w:val="index 4"/>
    <w:basedOn w:val="Normal"/>
    <w:next w:val="Normal"/>
    <w:autoRedefine/>
    <w:semiHidden/>
    <w:rsid w:val="004462A0"/>
    <w:pPr>
      <w:ind w:left="960" w:hanging="240"/>
    </w:pPr>
  </w:style>
  <w:style w:type="paragraph" w:styleId="Index5">
    <w:name w:val="index 5"/>
    <w:basedOn w:val="Normal"/>
    <w:next w:val="Normal"/>
    <w:autoRedefine/>
    <w:semiHidden/>
    <w:rsid w:val="004462A0"/>
    <w:pPr>
      <w:ind w:left="1200" w:hanging="240"/>
    </w:pPr>
  </w:style>
  <w:style w:type="paragraph" w:styleId="Index6">
    <w:name w:val="index 6"/>
    <w:basedOn w:val="Normal"/>
    <w:next w:val="Normal"/>
    <w:autoRedefine/>
    <w:semiHidden/>
    <w:rsid w:val="004462A0"/>
    <w:pPr>
      <w:ind w:left="1440" w:hanging="240"/>
    </w:pPr>
  </w:style>
  <w:style w:type="paragraph" w:styleId="Index7">
    <w:name w:val="index 7"/>
    <w:basedOn w:val="Normal"/>
    <w:next w:val="Normal"/>
    <w:autoRedefine/>
    <w:semiHidden/>
    <w:rsid w:val="004462A0"/>
    <w:pPr>
      <w:ind w:left="1680" w:hanging="240"/>
    </w:pPr>
  </w:style>
  <w:style w:type="paragraph" w:styleId="Index8">
    <w:name w:val="index 8"/>
    <w:basedOn w:val="Normal"/>
    <w:next w:val="Normal"/>
    <w:autoRedefine/>
    <w:semiHidden/>
    <w:rsid w:val="004462A0"/>
    <w:pPr>
      <w:ind w:left="1920" w:hanging="240"/>
    </w:pPr>
  </w:style>
  <w:style w:type="paragraph" w:styleId="Index9">
    <w:name w:val="index 9"/>
    <w:basedOn w:val="Normal"/>
    <w:next w:val="Normal"/>
    <w:autoRedefine/>
    <w:semiHidden/>
    <w:rsid w:val="004462A0"/>
    <w:pPr>
      <w:ind w:left="2160" w:hanging="240"/>
    </w:pPr>
  </w:style>
  <w:style w:type="paragraph" w:styleId="List">
    <w:name w:val="List"/>
    <w:basedOn w:val="Normal"/>
    <w:rsid w:val="004462A0"/>
    <w:pPr>
      <w:ind w:left="283" w:hanging="283"/>
    </w:pPr>
  </w:style>
  <w:style w:type="paragraph" w:styleId="List2">
    <w:name w:val="List 2"/>
    <w:basedOn w:val="Normal"/>
    <w:rsid w:val="004462A0"/>
    <w:pPr>
      <w:ind w:left="566" w:hanging="283"/>
    </w:pPr>
  </w:style>
  <w:style w:type="paragraph" w:styleId="List3">
    <w:name w:val="List 3"/>
    <w:basedOn w:val="Normal"/>
    <w:rsid w:val="004462A0"/>
    <w:pPr>
      <w:ind w:left="849" w:hanging="283"/>
    </w:pPr>
  </w:style>
  <w:style w:type="paragraph" w:styleId="List4">
    <w:name w:val="List 4"/>
    <w:basedOn w:val="Normal"/>
    <w:rsid w:val="004462A0"/>
    <w:pPr>
      <w:ind w:left="1132" w:hanging="283"/>
    </w:pPr>
  </w:style>
  <w:style w:type="paragraph" w:styleId="List5">
    <w:name w:val="List 5"/>
    <w:basedOn w:val="Normal"/>
    <w:rsid w:val="004462A0"/>
    <w:pPr>
      <w:ind w:left="1415" w:hanging="283"/>
    </w:pPr>
  </w:style>
  <w:style w:type="paragraph" w:styleId="ListBullet">
    <w:name w:val="List Bullet"/>
    <w:basedOn w:val="Normal"/>
    <w:rsid w:val="004462A0"/>
    <w:pPr>
      <w:numPr>
        <w:numId w:val="10"/>
      </w:numPr>
    </w:pPr>
  </w:style>
  <w:style w:type="paragraph" w:styleId="ListBullet2">
    <w:name w:val="List Bullet 2"/>
    <w:basedOn w:val="Normal"/>
    <w:rsid w:val="004462A0"/>
    <w:pPr>
      <w:numPr>
        <w:numId w:val="1"/>
      </w:numPr>
    </w:pPr>
  </w:style>
  <w:style w:type="paragraph" w:styleId="ListBullet3">
    <w:name w:val="List Bullet 3"/>
    <w:basedOn w:val="Normal"/>
    <w:rsid w:val="004462A0"/>
    <w:pPr>
      <w:numPr>
        <w:numId w:val="2"/>
      </w:numPr>
    </w:pPr>
  </w:style>
  <w:style w:type="paragraph" w:styleId="ListBullet4">
    <w:name w:val="List Bullet 4"/>
    <w:basedOn w:val="Normal"/>
    <w:rsid w:val="004462A0"/>
    <w:pPr>
      <w:numPr>
        <w:numId w:val="3"/>
      </w:numPr>
    </w:pPr>
  </w:style>
  <w:style w:type="paragraph" w:styleId="ListBullet5">
    <w:name w:val="List Bullet 5"/>
    <w:basedOn w:val="Normal"/>
    <w:rsid w:val="004462A0"/>
    <w:pPr>
      <w:numPr>
        <w:numId w:val="4"/>
      </w:numPr>
    </w:pPr>
  </w:style>
  <w:style w:type="paragraph" w:styleId="ListContinue">
    <w:name w:val="List Continue"/>
    <w:basedOn w:val="Normal"/>
    <w:rsid w:val="004462A0"/>
    <w:pPr>
      <w:spacing w:after="120"/>
      <w:ind w:left="283"/>
    </w:pPr>
  </w:style>
  <w:style w:type="paragraph" w:styleId="ListContinue2">
    <w:name w:val="List Continue 2"/>
    <w:basedOn w:val="Normal"/>
    <w:rsid w:val="004462A0"/>
    <w:pPr>
      <w:spacing w:after="120"/>
      <w:ind w:left="566"/>
    </w:pPr>
  </w:style>
  <w:style w:type="paragraph" w:styleId="ListContinue3">
    <w:name w:val="List Continue 3"/>
    <w:basedOn w:val="Normal"/>
    <w:rsid w:val="004462A0"/>
    <w:pPr>
      <w:spacing w:after="120"/>
      <w:ind w:left="849"/>
    </w:pPr>
  </w:style>
  <w:style w:type="paragraph" w:styleId="ListContinue4">
    <w:name w:val="List Continue 4"/>
    <w:basedOn w:val="Normal"/>
    <w:rsid w:val="004462A0"/>
    <w:pPr>
      <w:spacing w:after="120"/>
      <w:ind w:left="1132"/>
    </w:pPr>
  </w:style>
  <w:style w:type="paragraph" w:styleId="ListContinue5">
    <w:name w:val="List Continue 5"/>
    <w:basedOn w:val="Normal"/>
    <w:rsid w:val="004462A0"/>
    <w:pPr>
      <w:spacing w:after="120"/>
      <w:ind w:left="1415"/>
    </w:pPr>
  </w:style>
  <w:style w:type="paragraph" w:styleId="ListNumber">
    <w:name w:val="List Number"/>
    <w:basedOn w:val="Normal"/>
    <w:rsid w:val="004462A0"/>
    <w:pPr>
      <w:numPr>
        <w:numId w:val="5"/>
      </w:numPr>
    </w:pPr>
  </w:style>
  <w:style w:type="paragraph" w:styleId="ListNumber2">
    <w:name w:val="List Number 2"/>
    <w:basedOn w:val="Normal"/>
    <w:rsid w:val="004462A0"/>
    <w:pPr>
      <w:numPr>
        <w:numId w:val="6"/>
      </w:numPr>
    </w:pPr>
  </w:style>
  <w:style w:type="paragraph" w:styleId="ListNumber3">
    <w:name w:val="List Number 3"/>
    <w:basedOn w:val="Normal"/>
    <w:rsid w:val="004462A0"/>
    <w:pPr>
      <w:numPr>
        <w:numId w:val="7"/>
      </w:numPr>
    </w:pPr>
  </w:style>
  <w:style w:type="paragraph" w:styleId="ListNumber4">
    <w:name w:val="List Number 4"/>
    <w:basedOn w:val="Normal"/>
    <w:rsid w:val="004462A0"/>
    <w:pPr>
      <w:numPr>
        <w:numId w:val="8"/>
      </w:numPr>
    </w:pPr>
  </w:style>
  <w:style w:type="paragraph" w:styleId="ListNumber5">
    <w:name w:val="List Number 5"/>
    <w:basedOn w:val="Normal"/>
    <w:rsid w:val="004462A0"/>
    <w:pPr>
      <w:numPr>
        <w:numId w:val="9"/>
      </w:numPr>
    </w:pPr>
  </w:style>
  <w:style w:type="paragraph" w:styleId="MacroText">
    <w:name w:val="macro"/>
    <w:link w:val="MacroTextChar"/>
    <w:semiHidden/>
    <w:rsid w:val="004462A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PMingLiU" w:hAnsi="Courier New" w:cs="Courier New"/>
      <w:sz w:val="20"/>
      <w:szCs w:val="20"/>
      <w:lang w:eastAsia="en-US"/>
    </w:rPr>
  </w:style>
  <w:style w:type="character" w:customStyle="1" w:styleId="MacroTextChar">
    <w:name w:val="Macro Text Char"/>
    <w:basedOn w:val="DefaultParagraphFont"/>
    <w:link w:val="MacroText"/>
    <w:semiHidden/>
    <w:rsid w:val="004462A0"/>
    <w:rPr>
      <w:rFonts w:ascii="Courier New" w:eastAsia="PMingLiU" w:hAnsi="Courier New" w:cs="Courier New"/>
      <w:sz w:val="20"/>
      <w:szCs w:val="20"/>
      <w:lang w:eastAsia="en-US"/>
    </w:rPr>
  </w:style>
  <w:style w:type="paragraph" w:styleId="MessageHeader">
    <w:name w:val="Message Header"/>
    <w:basedOn w:val="Normal"/>
    <w:link w:val="MessageHeaderChar"/>
    <w:rsid w:val="004462A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MessageHeaderChar">
    <w:name w:val="Message Header Char"/>
    <w:basedOn w:val="DefaultParagraphFont"/>
    <w:link w:val="MessageHeader"/>
    <w:rsid w:val="004462A0"/>
    <w:rPr>
      <w:rFonts w:ascii="Arial" w:eastAsia="PMingLiU" w:hAnsi="Arial" w:cs="Arial"/>
      <w:sz w:val="24"/>
      <w:szCs w:val="24"/>
      <w:shd w:val="pct20" w:color="auto" w:fill="auto"/>
      <w:lang w:eastAsia="en-US"/>
    </w:rPr>
  </w:style>
  <w:style w:type="paragraph" w:styleId="NormalWeb">
    <w:name w:val="Normal (Web)"/>
    <w:basedOn w:val="Normal"/>
    <w:rsid w:val="004462A0"/>
  </w:style>
  <w:style w:type="paragraph" w:styleId="NormalIndent">
    <w:name w:val="Normal Indent"/>
    <w:basedOn w:val="Normal"/>
    <w:rsid w:val="004462A0"/>
    <w:pPr>
      <w:ind w:left="720"/>
    </w:pPr>
  </w:style>
  <w:style w:type="paragraph" w:styleId="NoteHeading">
    <w:name w:val="Note Heading"/>
    <w:basedOn w:val="Normal"/>
    <w:next w:val="Normal"/>
    <w:link w:val="NoteHeadingChar"/>
    <w:rsid w:val="004462A0"/>
  </w:style>
  <w:style w:type="character" w:customStyle="1" w:styleId="NoteHeadingChar">
    <w:name w:val="Note Heading Char"/>
    <w:basedOn w:val="DefaultParagraphFont"/>
    <w:link w:val="NoteHeading"/>
    <w:rsid w:val="004462A0"/>
    <w:rPr>
      <w:rFonts w:ascii="Times New Roman" w:eastAsia="PMingLiU" w:hAnsi="Times New Roman" w:cs="Times New Roman"/>
      <w:sz w:val="24"/>
      <w:szCs w:val="24"/>
      <w:lang w:eastAsia="en-US"/>
    </w:rPr>
  </w:style>
  <w:style w:type="paragraph" w:styleId="PlainText">
    <w:name w:val="Plain Text"/>
    <w:basedOn w:val="Normal"/>
    <w:link w:val="PlainTextChar"/>
    <w:rsid w:val="004462A0"/>
    <w:rPr>
      <w:rFonts w:ascii="Courier New" w:hAnsi="Courier New" w:cs="Courier New"/>
      <w:sz w:val="20"/>
      <w:szCs w:val="20"/>
    </w:rPr>
  </w:style>
  <w:style w:type="character" w:customStyle="1" w:styleId="PlainTextChar">
    <w:name w:val="Plain Text Char"/>
    <w:basedOn w:val="DefaultParagraphFont"/>
    <w:link w:val="PlainText"/>
    <w:rsid w:val="004462A0"/>
    <w:rPr>
      <w:rFonts w:ascii="Courier New" w:eastAsia="PMingLiU" w:hAnsi="Courier New" w:cs="Courier New"/>
      <w:sz w:val="20"/>
      <w:szCs w:val="20"/>
      <w:lang w:eastAsia="en-US"/>
    </w:rPr>
  </w:style>
  <w:style w:type="paragraph" w:styleId="Salutation">
    <w:name w:val="Salutation"/>
    <w:basedOn w:val="Normal"/>
    <w:next w:val="Normal"/>
    <w:link w:val="SalutationChar"/>
    <w:rsid w:val="004462A0"/>
  </w:style>
  <w:style w:type="character" w:customStyle="1" w:styleId="SalutationChar">
    <w:name w:val="Salutation Char"/>
    <w:basedOn w:val="DefaultParagraphFont"/>
    <w:link w:val="Salutation"/>
    <w:rsid w:val="004462A0"/>
    <w:rPr>
      <w:rFonts w:ascii="Times New Roman" w:eastAsia="PMingLiU" w:hAnsi="Times New Roman" w:cs="Times New Roman"/>
      <w:sz w:val="24"/>
      <w:szCs w:val="24"/>
      <w:lang w:eastAsia="en-US"/>
    </w:rPr>
  </w:style>
  <w:style w:type="paragraph" w:styleId="Signature">
    <w:name w:val="Signature"/>
    <w:basedOn w:val="Normal"/>
    <w:link w:val="SignatureChar"/>
    <w:rsid w:val="004462A0"/>
    <w:pPr>
      <w:ind w:left="4252"/>
    </w:pPr>
  </w:style>
  <w:style w:type="character" w:customStyle="1" w:styleId="SignatureChar">
    <w:name w:val="Signature Char"/>
    <w:basedOn w:val="DefaultParagraphFont"/>
    <w:link w:val="Signature"/>
    <w:rsid w:val="004462A0"/>
    <w:rPr>
      <w:rFonts w:ascii="Times New Roman" w:eastAsia="PMingLiU" w:hAnsi="Times New Roman" w:cs="Times New Roman"/>
      <w:sz w:val="24"/>
      <w:szCs w:val="24"/>
      <w:lang w:eastAsia="en-US"/>
    </w:rPr>
  </w:style>
  <w:style w:type="paragraph" w:styleId="Subtitle">
    <w:name w:val="Subtitle"/>
    <w:basedOn w:val="Normal"/>
    <w:link w:val="SubtitleChar"/>
    <w:qFormat/>
    <w:rsid w:val="004462A0"/>
    <w:pPr>
      <w:spacing w:after="60"/>
      <w:jc w:val="center"/>
      <w:outlineLvl w:val="1"/>
    </w:pPr>
    <w:rPr>
      <w:rFonts w:ascii="Arial" w:hAnsi="Arial" w:cs="Arial"/>
    </w:rPr>
  </w:style>
  <w:style w:type="character" w:customStyle="1" w:styleId="SubtitleChar">
    <w:name w:val="Subtitle Char"/>
    <w:basedOn w:val="DefaultParagraphFont"/>
    <w:link w:val="Subtitle"/>
    <w:rsid w:val="004462A0"/>
    <w:rPr>
      <w:rFonts w:ascii="Arial" w:eastAsia="PMingLiU" w:hAnsi="Arial" w:cs="Arial"/>
      <w:sz w:val="24"/>
      <w:szCs w:val="24"/>
      <w:lang w:eastAsia="en-US"/>
    </w:rPr>
  </w:style>
  <w:style w:type="paragraph" w:styleId="TableofAuthorities">
    <w:name w:val="table of authorities"/>
    <w:basedOn w:val="Normal"/>
    <w:next w:val="Normal"/>
    <w:semiHidden/>
    <w:rsid w:val="004462A0"/>
    <w:pPr>
      <w:ind w:left="240" w:hanging="240"/>
    </w:pPr>
  </w:style>
  <w:style w:type="paragraph" w:styleId="TableofFigures">
    <w:name w:val="table of figures"/>
    <w:basedOn w:val="Normal"/>
    <w:next w:val="Normal"/>
    <w:semiHidden/>
    <w:rsid w:val="004462A0"/>
  </w:style>
  <w:style w:type="paragraph" w:styleId="TOAHeading">
    <w:name w:val="toa heading"/>
    <w:basedOn w:val="Normal"/>
    <w:next w:val="Normal"/>
    <w:semiHidden/>
    <w:rsid w:val="004462A0"/>
    <w:pPr>
      <w:spacing w:before="120"/>
    </w:pPr>
    <w:rPr>
      <w:rFonts w:ascii="Arial" w:hAnsi="Arial" w:cs="Arial"/>
      <w:b/>
      <w:bCs/>
    </w:rPr>
  </w:style>
  <w:style w:type="paragraph" w:styleId="TOC1">
    <w:name w:val="toc 1"/>
    <w:basedOn w:val="Normal"/>
    <w:next w:val="Normal"/>
    <w:autoRedefine/>
    <w:semiHidden/>
    <w:rsid w:val="004462A0"/>
  </w:style>
  <w:style w:type="paragraph" w:styleId="TOC2">
    <w:name w:val="toc 2"/>
    <w:basedOn w:val="Normal"/>
    <w:next w:val="Normal"/>
    <w:autoRedefine/>
    <w:semiHidden/>
    <w:rsid w:val="004462A0"/>
    <w:pPr>
      <w:ind w:left="240"/>
    </w:pPr>
  </w:style>
  <w:style w:type="paragraph" w:styleId="TOC3">
    <w:name w:val="toc 3"/>
    <w:basedOn w:val="Normal"/>
    <w:next w:val="Normal"/>
    <w:autoRedefine/>
    <w:semiHidden/>
    <w:rsid w:val="004462A0"/>
    <w:pPr>
      <w:ind w:left="480"/>
    </w:pPr>
  </w:style>
  <w:style w:type="paragraph" w:styleId="TOC4">
    <w:name w:val="toc 4"/>
    <w:basedOn w:val="Normal"/>
    <w:next w:val="Normal"/>
    <w:autoRedefine/>
    <w:semiHidden/>
    <w:rsid w:val="004462A0"/>
    <w:pPr>
      <w:ind w:left="720"/>
    </w:pPr>
  </w:style>
  <w:style w:type="paragraph" w:styleId="TOC5">
    <w:name w:val="toc 5"/>
    <w:basedOn w:val="Normal"/>
    <w:next w:val="Normal"/>
    <w:autoRedefine/>
    <w:semiHidden/>
    <w:rsid w:val="004462A0"/>
    <w:pPr>
      <w:ind w:left="960"/>
    </w:pPr>
  </w:style>
  <w:style w:type="paragraph" w:styleId="TOC6">
    <w:name w:val="toc 6"/>
    <w:basedOn w:val="Normal"/>
    <w:next w:val="Normal"/>
    <w:autoRedefine/>
    <w:semiHidden/>
    <w:rsid w:val="004462A0"/>
    <w:pPr>
      <w:ind w:left="1200"/>
    </w:pPr>
  </w:style>
  <w:style w:type="paragraph" w:styleId="TOC7">
    <w:name w:val="toc 7"/>
    <w:basedOn w:val="Normal"/>
    <w:next w:val="Normal"/>
    <w:autoRedefine/>
    <w:semiHidden/>
    <w:rsid w:val="004462A0"/>
    <w:pPr>
      <w:ind w:left="1440"/>
    </w:pPr>
  </w:style>
  <w:style w:type="paragraph" w:styleId="TOC8">
    <w:name w:val="toc 8"/>
    <w:basedOn w:val="Normal"/>
    <w:next w:val="Normal"/>
    <w:autoRedefine/>
    <w:semiHidden/>
    <w:rsid w:val="004462A0"/>
    <w:pPr>
      <w:ind w:left="1680"/>
    </w:pPr>
  </w:style>
  <w:style w:type="paragraph" w:styleId="TOC9">
    <w:name w:val="toc 9"/>
    <w:basedOn w:val="Normal"/>
    <w:next w:val="Normal"/>
    <w:autoRedefine/>
    <w:semiHidden/>
    <w:rsid w:val="004462A0"/>
    <w:pPr>
      <w:ind w:left="1920"/>
    </w:pPr>
  </w:style>
  <w:style w:type="character" w:customStyle="1" w:styleId="CharChar20">
    <w:name w:val="Char Char20"/>
    <w:locked/>
    <w:rsid w:val="004462A0"/>
    <w:rPr>
      <w:rFonts w:cs="Times New Roman"/>
      <w:sz w:val="24"/>
      <w:szCs w:val="24"/>
      <w:lang w:val="x-none" w:eastAsia="en-US"/>
    </w:rPr>
  </w:style>
  <w:style w:type="character" w:customStyle="1" w:styleId="EMEANormalChar">
    <w:name w:val="EMEA Normal Char"/>
    <w:link w:val="EMEANormal"/>
    <w:rsid w:val="004462A0"/>
    <w:rPr>
      <w:rFonts w:ascii="Times New Roman" w:eastAsia="PMingLiU" w:hAnsi="Times New Roman" w:cs="Times New Roman"/>
      <w:szCs w:val="20"/>
      <w:lang w:val="en-US" w:eastAsia="en-US"/>
    </w:rPr>
  </w:style>
  <w:style w:type="character" w:customStyle="1" w:styleId="CharChar">
    <w:name w:val="Char Char"/>
    <w:locked/>
    <w:rsid w:val="004462A0"/>
    <w:rPr>
      <w:sz w:val="22"/>
      <w:szCs w:val="24"/>
      <w:lang w:val="en-US" w:eastAsia="en-US" w:bidi="ar-SA"/>
    </w:rPr>
  </w:style>
  <w:style w:type="character" w:customStyle="1" w:styleId="hpsatn">
    <w:name w:val="hps atn"/>
    <w:basedOn w:val="DefaultParagraphFont"/>
    <w:rsid w:val="004462A0"/>
  </w:style>
  <w:style w:type="character" w:styleId="Hyperlink">
    <w:name w:val="Hyperlink"/>
    <w:rsid w:val="004462A0"/>
    <w:rPr>
      <w:rFonts w:cs="Times New Roman"/>
      <w:color w:val="0000FF"/>
      <w:u w:val="single"/>
    </w:rPr>
  </w:style>
  <w:style w:type="character" w:styleId="FollowedHyperlink">
    <w:name w:val="FollowedHyperlink"/>
    <w:rsid w:val="004462A0"/>
    <w:rPr>
      <w:color w:val="800080"/>
      <w:u w:val="single"/>
    </w:rPr>
  </w:style>
  <w:style w:type="paragraph" w:styleId="Bibliography">
    <w:name w:val="Bibliography"/>
    <w:basedOn w:val="Normal"/>
    <w:next w:val="Normal"/>
    <w:uiPriority w:val="37"/>
    <w:semiHidden/>
    <w:unhideWhenUsed/>
    <w:rsid w:val="004462A0"/>
  </w:style>
  <w:style w:type="paragraph" w:styleId="IntenseQuote">
    <w:name w:val="Intense Quote"/>
    <w:basedOn w:val="Normal"/>
    <w:next w:val="Normal"/>
    <w:link w:val="IntenseQuoteChar"/>
    <w:uiPriority w:val="30"/>
    <w:qFormat/>
    <w:rsid w:val="004462A0"/>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4462A0"/>
    <w:rPr>
      <w:rFonts w:ascii="Times New Roman" w:eastAsia="PMingLiU" w:hAnsi="Times New Roman" w:cs="Times New Roman"/>
      <w:b/>
      <w:bCs/>
      <w:i/>
      <w:iCs/>
      <w:color w:val="4F81BD"/>
      <w:sz w:val="24"/>
      <w:szCs w:val="24"/>
      <w:lang w:eastAsia="en-US"/>
    </w:rPr>
  </w:style>
  <w:style w:type="paragraph" w:styleId="ListParagraph">
    <w:name w:val="List Paragraph"/>
    <w:basedOn w:val="Normal"/>
    <w:uiPriority w:val="34"/>
    <w:qFormat/>
    <w:rsid w:val="004462A0"/>
    <w:pPr>
      <w:ind w:left="720"/>
    </w:pPr>
  </w:style>
  <w:style w:type="paragraph" w:styleId="NoSpacing">
    <w:name w:val="No Spacing"/>
    <w:uiPriority w:val="1"/>
    <w:qFormat/>
    <w:rsid w:val="004462A0"/>
    <w:pPr>
      <w:spacing w:after="0" w:line="240" w:lineRule="auto"/>
    </w:pPr>
    <w:rPr>
      <w:rFonts w:ascii="Times New Roman" w:eastAsia="PMingLiU" w:hAnsi="Times New Roman" w:cs="Times New Roman"/>
      <w:sz w:val="24"/>
      <w:szCs w:val="24"/>
      <w:lang w:eastAsia="en-US"/>
    </w:rPr>
  </w:style>
  <w:style w:type="paragraph" w:styleId="Quote">
    <w:name w:val="Quote"/>
    <w:basedOn w:val="Normal"/>
    <w:next w:val="Normal"/>
    <w:link w:val="QuoteChar"/>
    <w:uiPriority w:val="29"/>
    <w:qFormat/>
    <w:rsid w:val="004462A0"/>
    <w:rPr>
      <w:i/>
      <w:iCs/>
      <w:color w:val="000000"/>
    </w:rPr>
  </w:style>
  <w:style w:type="character" w:customStyle="1" w:styleId="QuoteChar">
    <w:name w:val="Quote Char"/>
    <w:basedOn w:val="DefaultParagraphFont"/>
    <w:link w:val="Quote"/>
    <w:uiPriority w:val="29"/>
    <w:rsid w:val="004462A0"/>
    <w:rPr>
      <w:rFonts w:ascii="Times New Roman" w:eastAsia="PMingLiU" w:hAnsi="Times New Roman" w:cs="Times New Roman"/>
      <w:i/>
      <w:iCs/>
      <w:color w:val="000000"/>
      <w:sz w:val="24"/>
      <w:szCs w:val="24"/>
      <w:lang w:eastAsia="en-US"/>
    </w:rPr>
  </w:style>
  <w:style w:type="paragraph" w:styleId="TOCHeading">
    <w:name w:val="TOC Heading"/>
    <w:basedOn w:val="Heading1"/>
    <w:next w:val="Normal"/>
    <w:uiPriority w:val="39"/>
    <w:semiHidden/>
    <w:unhideWhenUsed/>
    <w:qFormat/>
    <w:rsid w:val="004462A0"/>
    <w:pPr>
      <w:pBdr>
        <w:top w:val="none" w:sz="0" w:space="0" w:color="auto"/>
        <w:left w:val="none" w:sz="0" w:space="0" w:color="auto"/>
        <w:bottom w:val="none" w:sz="0" w:space="0" w:color="auto"/>
        <w:right w:val="none" w:sz="0" w:space="0" w:color="auto"/>
      </w:pBdr>
      <w:tabs>
        <w:tab w:val="clear" w:pos="567"/>
      </w:tabs>
      <w:spacing w:before="240" w:after="60"/>
      <w:outlineLvl w:val="9"/>
    </w:pPr>
    <w:rPr>
      <w:rFonts w:ascii="Cambria" w:eastAsia="Times New Roman" w:hAnsi="Cambria"/>
      <w:kern w:val="32"/>
      <w:sz w:val="32"/>
      <w:szCs w:val="32"/>
    </w:rPr>
  </w:style>
  <w:style w:type="paragraph" w:styleId="Revision">
    <w:name w:val="Revision"/>
    <w:hidden/>
    <w:uiPriority w:val="99"/>
    <w:semiHidden/>
    <w:rsid w:val="004462A0"/>
    <w:pPr>
      <w:spacing w:after="0" w:line="240" w:lineRule="auto"/>
    </w:pPr>
    <w:rPr>
      <w:rFonts w:ascii="Times New Roman" w:eastAsia="PMingLiU" w:hAnsi="Times New Roman" w:cs="Times New Roman"/>
      <w:sz w:val="24"/>
      <w:szCs w:val="24"/>
      <w:lang w:eastAsia="en-US"/>
    </w:rPr>
  </w:style>
  <w:style w:type="paragraph" w:customStyle="1" w:styleId="BodytextAgency">
    <w:name w:val="Body text (Agency)"/>
    <w:basedOn w:val="Normal"/>
    <w:link w:val="BodytextAgencyChar"/>
    <w:qFormat/>
    <w:rsid w:val="004462A0"/>
    <w:pPr>
      <w:spacing w:after="140" w:line="280" w:lineRule="atLeast"/>
    </w:pPr>
    <w:rPr>
      <w:rFonts w:ascii="Verdana" w:hAnsi="Verdana"/>
      <w:snapToGrid w:val="0"/>
      <w:sz w:val="18"/>
      <w:szCs w:val="20"/>
      <w:lang w:val="en-GB" w:eastAsia="fr-LU"/>
    </w:rPr>
  </w:style>
  <w:style w:type="paragraph" w:customStyle="1" w:styleId="No-numheading3Agency">
    <w:name w:val="No-num heading 3 (Agency)"/>
    <w:link w:val="No-numheading3AgencyChar"/>
    <w:qFormat/>
    <w:rsid w:val="004462A0"/>
    <w:pPr>
      <w:keepNext/>
      <w:spacing w:before="280" w:after="220" w:line="240" w:lineRule="auto"/>
      <w:outlineLvl w:val="2"/>
    </w:pPr>
    <w:rPr>
      <w:rFonts w:ascii="Verdana" w:eastAsia="PMingLiU" w:hAnsi="Verdana" w:cs="Times New Roman"/>
      <w:b/>
      <w:snapToGrid w:val="0"/>
      <w:kern w:val="32"/>
      <w:szCs w:val="20"/>
      <w:lang w:val="en-GB" w:eastAsia="fr-LU"/>
    </w:rPr>
  </w:style>
  <w:style w:type="character" w:styleId="Emphasis">
    <w:name w:val="Emphasis"/>
    <w:uiPriority w:val="20"/>
    <w:qFormat/>
    <w:rsid w:val="004462A0"/>
    <w:rPr>
      <w:b/>
      <w:bCs/>
      <w:i w:val="0"/>
      <w:iCs w:val="0"/>
    </w:rPr>
  </w:style>
  <w:style w:type="character" w:customStyle="1" w:styleId="st">
    <w:name w:val="st"/>
    <w:rsid w:val="004462A0"/>
  </w:style>
  <w:style w:type="paragraph" w:customStyle="1" w:styleId="TableFootnoteLetter">
    <w:name w:val="Table Footnote Letter"/>
    <w:rsid w:val="004462A0"/>
    <w:pPr>
      <w:keepLines/>
      <w:spacing w:before="40" w:after="0" w:line="240" w:lineRule="exact"/>
    </w:pPr>
    <w:rPr>
      <w:rFonts w:ascii="Verdana" w:eastAsia="MS Mincho" w:hAnsi="Verdana" w:cs="Times New Roman"/>
      <w:sz w:val="16"/>
      <w:szCs w:val="18"/>
      <w:lang w:val="en-US" w:eastAsia="ja-JP"/>
    </w:rPr>
  </w:style>
  <w:style w:type="paragraph" w:customStyle="1" w:styleId="gtcbodytext">
    <w:name w:val="gtcbodytext"/>
    <w:basedOn w:val="Normal"/>
    <w:rsid w:val="007B1EB2"/>
    <w:pPr>
      <w:spacing w:before="240" w:after="240" w:line="300" w:lineRule="auto"/>
    </w:pPr>
    <w:rPr>
      <w:rFonts w:eastAsia="Times New Roman"/>
      <w:lang w:val="en-US"/>
    </w:rPr>
  </w:style>
  <w:style w:type="character" w:customStyle="1" w:styleId="BodytextAgencyChar">
    <w:name w:val="Body text (Agency) Char"/>
    <w:link w:val="BodytextAgency"/>
    <w:locked/>
    <w:rsid w:val="0011472B"/>
    <w:rPr>
      <w:rFonts w:ascii="Verdana" w:eastAsia="PMingLiU" w:hAnsi="Verdana" w:cs="Times New Roman"/>
      <w:snapToGrid w:val="0"/>
      <w:sz w:val="18"/>
      <w:szCs w:val="20"/>
      <w:lang w:val="en-GB" w:eastAsia="fr-LU"/>
    </w:rPr>
  </w:style>
  <w:style w:type="character" w:customStyle="1" w:styleId="No-numheading3AgencyChar">
    <w:name w:val="No-num heading 3 (Agency) Char"/>
    <w:link w:val="No-numheading3Agency"/>
    <w:rsid w:val="0011472B"/>
    <w:rPr>
      <w:rFonts w:ascii="Verdana" w:eastAsia="PMingLiU" w:hAnsi="Verdana" w:cs="Times New Roman"/>
      <w:b/>
      <w:snapToGrid w:val="0"/>
      <w:kern w:val="32"/>
      <w:szCs w:val="20"/>
      <w:lang w:val="en-GB" w:eastAsia="fr-LU"/>
    </w:rPr>
  </w:style>
  <w:style w:type="character" w:customStyle="1" w:styleId="alt-edited1">
    <w:name w:val="alt-edited1"/>
    <w:basedOn w:val="DefaultParagraphFont"/>
    <w:rsid w:val="00DA0040"/>
    <w:rPr>
      <w:color w:val="4D90F0"/>
    </w:rPr>
  </w:style>
  <w:style w:type="table" w:customStyle="1" w:styleId="TableGrid1">
    <w:name w:val="Table Grid1"/>
    <w:basedOn w:val="TableNormal"/>
    <w:next w:val="TableGrid"/>
    <w:rsid w:val="00FD6D0F"/>
    <w:pPr>
      <w:tabs>
        <w:tab w:val="left" w:pos="562"/>
      </w:tabs>
      <w:suppressAutoHyphens/>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D7D06"/>
    <w:rPr>
      <w:color w:val="605E5C"/>
      <w:shd w:val="clear" w:color="auto" w:fill="E1DFDD"/>
    </w:rPr>
  </w:style>
  <w:style w:type="paragraph" w:customStyle="1" w:styleId="gtctablespaceafter">
    <w:name w:val="gtctablespaceafter"/>
    <w:basedOn w:val="Normal"/>
    <w:rsid w:val="00785885"/>
    <w:pPr>
      <w:spacing w:after="280"/>
    </w:pPr>
    <w:rPr>
      <w:rFonts w:eastAsia="Times New Roman"/>
      <w:sz w:val="2"/>
      <w:szCs w:val="2"/>
      <w:lang w:val="en-GB"/>
    </w:rPr>
  </w:style>
  <w:style w:type="character" w:customStyle="1" w:styleId="normaltextrun">
    <w:name w:val="normaltextrun"/>
    <w:basedOn w:val="DefaultParagraphFont"/>
    <w:rsid w:val="00953E6E"/>
  </w:style>
  <w:style w:type="paragraph" w:customStyle="1" w:styleId="paragraph">
    <w:name w:val="paragraph"/>
    <w:basedOn w:val="Normal"/>
    <w:rsid w:val="00953E6E"/>
    <w:pPr>
      <w:spacing w:before="100" w:beforeAutospacing="1" w:after="100" w:afterAutospacing="1"/>
    </w:pPr>
    <w:rPr>
      <w:rFonts w:eastAsia="Times New Roman"/>
      <w:lang w:val="en-US"/>
    </w:rPr>
  </w:style>
  <w:style w:type="character" w:customStyle="1" w:styleId="spellingerror">
    <w:name w:val="spellingerror"/>
    <w:basedOn w:val="DefaultParagraphFont"/>
    <w:rsid w:val="00953E6E"/>
  </w:style>
  <w:style w:type="character" w:customStyle="1" w:styleId="eop">
    <w:name w:val="eop"/>
    <w:basedOn w:val="DefaultParagraphFont"/>
    <w:rsid w:val="00953E6E"/>
  </w:style>
  <w:style w:type="character" w:styleId="UnresolvedMention">
    <w:name w:val="Unresolved Mention"/>
    <w:basedOn w:val="DefaultParagraphFont"/>
    <w:rsid w:val="00AD4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hyperlink" Target="http://www.ema.europa.eu/docs/en_GB/document_library/Template_or_form/2013/03/WC500139752.doc" TargetMode="External"/><Relationship Id="rId42" Type="http://schemas.openxmlformats.org/officeDocument/2006/relationships/image" Target="media/image28.emf"/><Relationship Id="rId47" Type="http://schemas.openxmlformats.org/officeDocument/2006/relationships/image" Target="media/image33.emf"/><Relationship Id="rId63" Type="http://schemas.openxmlformats.org/officeDocument/2006/relationships/image" Target="media/image46.emf"/><Relationship Id="rId68" Type="http://schemas.openxmlformats.org/officeDocument/2006/relationships/image" Target="media/image49.jpeg"/><Relationship Id="rId84" Type="http://schemas.openxmlformats.org/officeDocument/2006/relationships/customXml" Target="../customXml/item4.xml"/><Relationship Id="rId16" Type="http://schemas.openxmlformats.org/officeDocument/2006/relationships/image" Target="media/image5.jpeg"/><Relationship Id="rId11" Type="http://schemas.openxmlformats.org/officeDocument/2006/relationships/image" Target="media/image1.jpeg"/><Relationship Id="rId32" Type="http://schemas.openxmlformats.org/officeDocument/2006/relationships/image" Target="media/image18.emf"/><Relationship Id="rId37" Type="http://schemas.openxmlformats.org/officeDocument/2006/relationships/image" Target="media/image23.emf"/><Relationship Id="rId53" Type="http://schemas.openxmlformats.org/officeDocument/2006/relationships/image" Target="media/image38.png"/><Relationship Id="rId58" Type="http://schemas.openxmlformats.org/officeDocument/2006/relationships/image" Target="media/image41.emf"/><Relationship Id="rId74" Type="http://schemas.openxmlformats.org/officeDocument/2006/relationships/hyperlink" Target="http://www.ema.europa.eu/docs/en_GB/document_library/Template_or_form/2013/03/WC500139752.doc" TargetMode="External"/><Relationship Id="rId79"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image" Target="media/image34.emf"/><Relationship Id="rId56" Type="http://schemas.openxmlformats.org/officeDocument/2006/relationships/oleObject" Target="embeddings/oleObject3.bin"/><Relationship Id="rId64" Type="http://schemas.openxmlformats.org/officeDocument/2006/relationships/image" Target="media/image47.emf"/><Relationship Id="rId69" Type="http://schemas.openxmlformats.org/officeDocument/2006/relationships/image" Target="media/image50.jpeg"/><Relationship Id="rId77" Type="http://schemas.openxmlformats.org/officeDocument/2006/relationships/footer" Target="footer1.xml"/><Relationship Id="rId8" Type="http://schemas.openxmlformats.org/officeDocument/2006/relationships/hyperlink" Target="https://www.ema.europa.eu/en/medicines/human/EPAR/Humira" TargetMode="External"/><Relationship Id="rId51" Type="http://schemas.openxmlformats.org/officeDocument/2006/relationships/image" Target="media/image37.png"/><Relationship Id="rId72" Type="http://schemas.openxmlformats.org/officeDocument/2006/relationships/image" Target="media/image53.jpeg"/><Relationship Id="rId80" Type="http://schemas.microsoft.com/office/2011/relationships/people" Target="people.xml"/><Relationship Id="rId85" Type="http://schemas.openxmlformats.org/officeDocument/2006/relationships/customXml" Target="../customXml/item5.xml"/><Relationship Id="rId3" Type="http://schemas.openxmlformats.org/officeDocument/2006/relationships/styles" Target="styles.xml"/><Relationship Id="rId12" Type="http://schemas.openxmlformats.org/officeDocument/2006/relationships/image" Target="cid:image002.jpg@01D1C6DB.4CE2BB40" TargetMode="External"/><Relationship Id="rId17" Type="http://schemas.openxmlformats.org/officeDocument/2006/relationships/image" Target="media/image6.jpeg"/><Relationship Id="rId25" Type="http://schemas.openxmlformats.org/officeDocument/2006/relationships/image" Target="media/image11.jpeg"/><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59" Type="http://schemas.openxmlformats.org/officeDocument/2006/relationships/image" Target="media/image42.emf"/><Relationship Id="rId67" Type="http://schemas.openxmlformats.org/officeDocument/2006/relationships/image" Target="media/image48.jpeg"/><Relationship Id="rId20" Type="http://schemas.openxmlformats.org/officeDocument/2006/relationships/hyperlink" Target="http://www.ema.europa.eu/docs/en_GB/document_library/Template_or_form/2013/03/WC500139752.doc" TargetMode="External"/><Relationship Id="rId41" Type="http://schemas.openxmlformats.org/officeDocument/2006/relationships/image" Target="media/image27.emf"/><Relationship Id="rId54" Type="http://schemas.openxmlformats.org/officeDocument/2006/relationships/oleObject" Target="embeddings/oleObject2.bin"/><Relationship Id="rId62" Type="http://schemas.openxmlformats.org/officeDocument/2006/relationships/image" Target="media/image45.emf"/><Relationship Id="rId70" Type="http://schemas.openxmlformats.org/officeDocument/2006/relationships/image" Target="media/image51.jpeg"/><Relationship Id="rId75" Type="http://schemas.openxmlformats.org/officeDocument/2006/relationships/hyperlink" Target="http://www.ema.europa.eu/docs/en_GB/document_library/Template_or_form/2013/03/WC500139752.doc" TargetMode="External"/><Relationship Id="rId83"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emf"/><Relationship Id="rId49" Type="http://schemas.openxmlformats.org/officeDocument/2006/relationships/image" Target="media/image35.emf"/><Relationship Id="rId57" Type="http://schemas.openxmlformats.org/officeDocument/2006/relationships/image" Target="media/image40.emf"/><Relationship Id="rId10" Type="http://schemas.openxmlformats.org/officeDocument/2006/relationships/hyperlink" Target="http://www.ema.europa.eu/docs/en_GB/document_library/Template_or_form/2013/03/WC500139752.doc" TargetMode="External"/><Relationship Id="rId31" Type="http://schemas.openxmlformats.org/officeDocument/2006/relationships/image" Target="media/image17.emf"/><Relationship Id="rId44" Type="http://schemas.openxmlformats.org/officeDocument/2006/relationships/image" Target="media/image30.emf"/><Relationship Id="rId52" Type="http://schemas.openxmlformats.org/officeDocument/2006/relationships/oleObject" Target="embeddings/oleObject1.bin"/><Relationship Id="rId60" Type="http://schemas.openxmlformats.org/officeDocument/2006/relationships/image" Target="media/image43.emf"/><Relationship Id="rId65" Type="http://schemas.openxmlformats.org/officeDocument/2006/relationships/hyperlink" Target="http://www.ema.europa.eu/docs/en_GB/document_library/Template_or_form/2013/03/WC500139752.doc" TargetMode="External"/><Relationship Id="rId73" Type="http://schemas.openxmlformats.org/officeDocument/2006/relationships/image" Target="media/image54.jpeg"/><Relationship Id="rId78" Type="http://schemas.openxmlformats.org/officeDocument/2006/relationships/footer" Target="footer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ma.europa.eu/en/medicines/human/EPAR/Humira" TargetMode="External"/><Relationship Id="rId13" Type="http://schemas.openxmlformats.org/officeDocument/2006/relationships/image" Target="media/image2.jpeg"/><Relationship Id="rId18" Type="http://schemas.openxmlformats.org/officeDocument/2006/relationships/image" Target="media/image7.jpeg"/><Relationship Id="rId39" Type="http://schemas.openxmlformats.org/officeDocument/2006/relationships/image" Target="media/image25.emf"/><Relationship Id="rId34" Type="http://schemas.openxmlformats.org/officeDocument/2006/relationships/image" Target="media/image20.emf"/><Relationship Id="rId50" Type="http://schemas.openxmlformats.org/officeDocument/2006/relationships/image" Target="media/image36.emf"/><Relationship Id="rId55" Type="http://schemas.openxmlformats.org/officeDocument/2006/relationships/image" Target="media/image39.png"/><Relationship Id="rId76" Type="http://schemas.openxmlformats.org/officeDocument/2006/relationships/image" Target="media/image55.png"/><Relationship Id="rId7" Type="http://schemas.openxmlformats.org/officeDocument/2006/relationships/endnotes" Target="endnotes.xml"/><Relationship Id="rId71" Type="http://schemas.openxmlformats.org/officeDocument/2006/relationships/image" Target="media/image52.jpeg"/><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image" Target="media/image10.jpeg"/><Relationship Id="rId40" Type="http://schemas.openxmlformats.org/officeDocument/2006/relationships/image" Target="media/image26.png"/><Relationship Id="rId45" Type="http://schemas.openxmlformats.org/officeDocument/2006/relationships/image" Target="media/image31.emf"/><Relationship Id="rId66" Type="http://schemas.openxmlformats.org/officeDocument/2006/relationships/hyperlink" Target="http://www.ema.europa.eu/docs/en_GB/document_library/Template_or_form/2013/03/WC500139752.doc" TargetMode="External"/><Relationship Id="rId61" Type="http://schemas.openxmlformats.org/officeDocument/2006/relationships/image" Target="media/image44.emf"/><Relationship Id="rId8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EMADOC-1700519818-2508143</_dlc_DocId>
    <_dlc_DocIdUrl xmlns="a034c160-bfb7-45f5-8632-2eb7e0508071">
      <Url>https://euema.sharepoint.com/sites/CRM/_layouts/15/DocIdRedir.aspx?ID=EMADOC-1700519818-2508143</Url>
      <Description>EMADOC-1700519818-2508143</Description>
    </_dlc_DocIdUrl>
  </documentManagement>
</p:properties>
</file>

<file path=customXml/itemProps1.xml><?xml version="1.0" encoding="utf-8"?>
<ds:datastoreItem xmlns:ds="http://schemas.openxmlformats.org/officeDocument/2006/customXml" ds:itemID="{3B75339E-2DE5-4525-8896-511350A61344}">
  <ds:schemaRefs>
    <ds:schemaRef ds:uri="http://schemas.openxmlformats.org/officeDocument/2006/bibliography"/>
  </ds:schemaRefs>
</ds:datastoreItem>
</file>

<file path=customXml/itemProps2.xml><?xml version="1.0" encoding="utf-8"?>
<ds:datastoreItem xmlns:ds="http://schemas.openxmlformats.org/officeDocument/2006/customXml" ds:itemID="{1B4313C4-F84C-4FEC-A319-7AD9888B2820}"/>
</file>

<file path=customXml/itemProps3.xml><?xml version="1.0" encoding="utf-8"?>
<ds:datastoreItem xmlns:ds="http://schemas.openxmlformats.org/officeDocument/2006/customXml" ds:itemID="{0A4083D7-6B09-4BEF-9670-E1CC7CBB82B0}"/>
</file>

<file path=customXml/itemProps4.xml><?xml version="1.0" encoding="utf-8"?>
<ds:datastoreItem xmlns:ds="http://schemas.openxmlformats.org/officeDocument/2006/customXml" ds:itemID="{B7B578E9-FBC5-4C1C-9B9C-C4D950854EF2}"/>
</file>

<file path=customXml/itemProps5.xml><?xml version="1.0" encoding="utf-8"?>
<ds:datastoreItem xmlns:ds="http://schemas.openxmlformats.org/officeDocument/2006/customXml" ds:itemID="{995B7266-359A-4E85-A6EC-39E91FA5D9A3}"/>
</file>

<file path=docProps/app.xml><?xml version="1.0" encoding="utf-8"?>
<Properties xmlns="http://schemas.openxmlformats.org/officeDocument/2006/extended-properties" xmlns:vt="http://schemas.openxmlformats.org/officeDocument/2006/docPropsVTypes">
  <Template>Normal</Template>
  <TotalTime>113</TotalTime>
  <Pages>480</Pages>
  <Words>162588</Words>
  <Characters>926753</Characters>
  <Application>Microsoft Office Word</Application>
  <DocSecurity>0</DocSecurity>
  <Lines>7722</Lines>
  <Paragraphs>2174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Humira: EPAR – Product information – tracked changes</vt:lpstr>
      <vt:lpstr>Humira, INN-adalimumab;</vt:lpstr>
    </vt:vector>
  </TitlesOfParts>
  <Company>AbbVie Inc</Company>
  <LinksUpToDate>false</LinksUpToDate>
  <CharactersWithSpaces>1087167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Humira: EPAR – Product information – tracked changes</dc:title>
  <dc:subject>EPAR</dc:subject>
  <dc:creator>CHMP</dc:creator>
  <cp:keywords>Humira, INN-adalimumab</cp:keywords>
  <cp:lastModifiedBy>AbbVie19</cp:lastModifiedBy>
  <cp:revision>26</cp:revision>
  <cp:lastPrinted>2020-10-09T13:41:00Z</cp:lastPrinted>
  <dcterms:created xsi:type="dcterms:W3CDTF">2021-08-05T08:31:00Z</dcterms:created>
  <dcterms:modified xsi:type="dcterms:W3CDTF">2025-09-10T07:26:00Z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61884e2c-7f22-4634-9b40-51f31e984807</vt:lpwstr>
  </property>
  <property fmtid="{D5CDD505-2E9C-101B-9397-08002B2CF9AE}" pid="4" name="MediaServiceImageTags">
    <vt:lpwstr/>
  </property>
</Properties>
</file>